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2.xml" ContentType="application/vnd.openxmlformats-officedocument.wordprocessingml.footer+xml"/>
  <Override PartName="/word/footer353.xml" ContentType="application/vnd.openxmlformats-officedocument.wordprocessingml.footer+xml"/>
  <Override PartName="/word/footer354.xml" ContentType="application/vnd.openxmlformats-officedocument.wordprocessingml.footer+xml"/>
  <Override PartName="/word/footer355.xml" ContentType="application/vnd.openxmlformats-officedocument.wordprocessingml.footer+xml"/>
  <Override PartName="/word/footer356.xml" ContentType="application/vnd.openxmlformats-officedocument.wordprocessingml.footer+xml"/>
  <Override PartName="/word/footer357.xml" ContentType="application/vnd.openxmlformats-officedocument.wordprocessingml.footer+xml"/>
  <Override PartName="/word/footer358.xml" ContentType="application/vnd.openxmlformats-officedocument.wordprocessingml.footer+xml"/>
  <Override PartName="/word/footer359.xml" ContentType="application/vnd.openxmlformats-officedocument.wordprocessingml.footer+xml"/>
  <Override PartName="/word/footer360.xml" ContentType="application/vnd.openxmlformats-officedocument.wordprocessingml.footer+xml"/>
  <Override PartName="/word/footer361.xml" ContentType="application/vnd.openxmlformats-officedocument.wordprocessingml.footer+xml"/>
  <Override PartName="/word/footer362.xml" ContentType="application/vnd.openxmlformats-officedocument.wordprocessingml.footer+xml"/>
  <Override PartName="/word/footer363.xml" ContentType="application/vnd.openxmlformats-officedocument.wordprocessingml.footer+xml"/>
  <Override PartName="/word/footer364.xml" ContentType="application/vnd.openxmlformats-officedocument.wordprocessingml.footer+xml"/>
  <Override PartName="/word/footer365.xml" ContentType="application/vnd.openxmlformats-officedocument.wordprocessingml.footer+xml"/>
  <Override PartName="/word/footer366.xml" ContentType="application/vnd.openxmlformats-officedocument.wordprocessingml.footer+xml"/>
  <Override PartName="/word/footer367.xml" ContentType="application/vnd.openxmlformats-officedocument.wordprocessingml.footer+xml"/>
  <Override PartName="/word/footer368.xml" ContentType="application/vnd.openxmlformats-officedocument.wordprocessingml.footer+xml"/>
  <Override PartName="/word/footer369.xml" ContentType="application/vnd.openxmlformats-officedocument.wordprocessingml.footer+xml"/>
  <Override PartName="/word/footer370.xml" ContentType="application/vnd.openxmlformats-officedocument.wordprocessingml.footer+xml"/>
  <Override PartName="/word/footer371.xml" ContentType="application/vnd.openxmlformats-officedocument.wordprocessingml.footer+xml"/>
  <Override PartName="/word/footer372.xml" ContentType="application/vnd.openxmlformats-officedocument.wordprocessingml.footer+xml"/>
  <Override PartName="/word/footer373.xml" ContentType="application/vnd.openxmlformats-officedocument.wordprocessingml.footer+xml"/>
  <Override PartName="/word/footer374.xml" ContentType="application/vnd.openxmlformats-officedocument.wordprocessingml.footer+xml"/>
  <Override PartName="/word/footer375.xml" ContentType="application/vnd.openxmlformats-officedocument.wordprocessingml.footer+xml"/>
  <Override PartName="/word/footer376.xml" ContentType="application/vnd.openxmlformats-officedocument.wordprocessingml.footer+xml"/>
  <Override PartName="/word/footer377.xml" ContentType="application/vnd.openxmlformats-officedocument.wordprocessingml.footer+xml"/>
  <Override PartName="/word/footer378.xml" ContentType="application/vnd.openxmlformats-officedocument.wordprocessingml.footer+xml"/>
  <Override PartName="/word/footer379.xml" ContentType="application/vnd.openxmlformats-officedocument.wordprocessingml.footer+xml"/>
  <Override PartName="/word/footer380.xml" ContentType="application/vnd.openxmlformats-officedocument.wordprocessingml.footer+xml"/>
  <Override PartName="/word/footer381.xml" ContentType="application/vnd.openxmlformats-officedocument.wordprocessingml.footer+xml"/>
  <Override PartName="/word/footer382.xml" ContentType="application/vnd.openxmlformats-officedocument.wordprocessingml.footer+xml"/>
  <Override PartName="/word/footer383.xml" ContentType="application/vnd.openxmlformats-officedocument.wordprocessingml.footer+xml"/>
  <Override PartName="/word/footer384.xml" ContentType="application/vnd.openxmlformats-officedocument.wordprocessingml.footer+xml"/>
  <Override PartName="/word/footer385.xml" ContentType="application/vnd.openxmlformats-officedocument.wordprocessingml.footer+xml"/>
  <Override PartName="/word/footer386.xml" ContentType="application/vnd.openxmlformats-officedocument.wordprocessingml.footer+xml"/>
  <Override PartName="/word/footer387.xml" ContentType="application/vnd.openxmlformats-officedocument.wordprocessingml.footer+xml"/>
  <Override PartName="/word/footer388.xml" ContentType="application/vnd.openxmlformats-officedocument.wordprocessingml.footer+xml"/>
  <Override PartName="/word/footer389.xml" ContentType="application/vnd.openxmlformats-officedocument.wordprocessingml.footer+xml"/>
  <Override PartName="/word/footer390.xml" ContentType="application/vnd.openxmlformats-officedocument.wordprocessingml.footer+xml"/>
  <Override PartName="/word/footer391.xml" ContentType="application/vnd.openxmlformats-officedocument.wordprocessingml.footer+xml"/>
  <Override PartName="/word/footer392.xml" ContentType="application/vnd.openxmlformats-officedocument.wordprocessingml.footer+xml"/>
  <Override PartName="/word/footer393.xml" ContentType="application/vnd.openxmlformats-officedocument.wordprocessingml.footer+xml"/>
  <Override PartName="/word/footer394.xml" ContentType="application/vnd.openxmlformats-officedocument.wordprocessingml.footer+xml"/>
  <Override PartName="/word/footer395.xml" ContentType="application/vnd.openxmlformats-officedocument.wordprocessingml.footer+xml"/>
  <Override PartName="/word/footer396.xml" ContentType="application/vnd.openxmlformats-officedocument.wordprocessingml.footer+xml"/>
  <Override PartName="/word/footer397.xml" ContentType="application/vnd.openxmlformats-officedocument.wordprocessingml.footer+xml"/>
  <Override PartName="/word/footer398.xml" ContentType="application/vnd.openxmlformats-officedocument.wordprocessingml.footer+xml"/>
  <Override PartName="/word/footer399.xml" ContentType="application/vnd.openxmlformats-officedocument.wordprocessingml.footer+xml"/>
  <Override PartName="/word/footer400.xml" ContentType="application/vnd.openxmlformats-officedocument.wordprocessingml.footer+xml"/>
  <Override PartName="/word/footer401.xml" ContentType="application/vnd.openxmlformats-officedocument.wordprocessingml.footer+xml"/>
  <Override PartName="/word/footer402.xml" ContentType="application/vnd.openxmlformats-officedocument.wordprocessingml.footer+xml"/>
  <Override PartName="/word/footer403.xml" ContentType="application/vnd.openxmlformats-officedocument.wordprocessingml.footer+xml"/>
  <Override PartName="/word/footer404.xml" ContentType="application/vnd.openxmlformats-officedocument.wordprocessingml.footer+xml"/>
  <Override PartName="/word/footer405.xml" ContentType="application/vnd.openxmlformats-officedocument.wordprocessingml.footer+xml"/>
  <Override PartName="/word/footer406.xml" ContentType="application/vnd.openxmlformats-officedocument.wordprocessingml.footer+xml"/>
  <Override PartName="/word/footer407.xml" ContentType="application/vnd.openxmlformats-officedocument.wordprocessingml.footer+xml"/>
  <Override PartName="/word/footer408.xml" ContentType="application/vnd.openxmlformats-officedocument.wordprocessingml.footer+xml"/>
  <Override PartName="/word/footer409.xml" ContentType="application/vnd.openxmlformats-officedocument.wordprocessingml.footer+xml"/>
  <Override PartName="/word/footer410.xml" ContentType="application/vnd.openxmlformats-officedocument.wordprocessingml.footer+xml"/>
  <Override PartName="/word/footer411.xml" ContentType="application/vnd.openxmlformats-officedocument.wordprocessingml.footer+xml"/>
  <Override PartName="/word/footer412.xml" ContentType="application/vnd.openxmlformats-officedocument.wordprocessingml.footer+xml"/>
  <Override PartName="/word/footer413.xml" ContentType="application/vnd.openxmlformats-officedocument.wordprocessingml.footer+xml"/>
  <Override PartName="/word/footer414.xml" ContentType="application/vnd.openxmlformats-officedocument.wordprocessingml.footer+xml"/>
  <Override PartName="/word/footer415.xml" ContentType="application/vnd.openxmlformats-officedocument.wordprocessingml.footer+xml"/>
  <Override PartName="/word/footer416.xml" ContentType="application/vnd.openxmlformats-officedocument.wordprocessingml.footer+xml"/>
  <Override PartName="/word/footer417.xml" ContentType="application/vnd.openxmlformats-officedocument.wordprocessingml.footer+xml"/>
  <Override PartName="/word/footer418.xml" ContentType="application/vnd.openxmlformats-officedocument.wordprocessingml.footer+xml"/>
  <Override PartName="/word/footer419.xml" ContentType="application/vnd.openxmlformats-officedocument.wordprocessingml.footer+xml"/>
  <Override PartName="/word/footer420.xml" ContentType="application/vnd.openxmlformats-officedocument.wordprocessingml.footer+xml"/>
  <Override PartName="/word/footer421.xml" ContentType="application/vnd.openxmlformats-officedocument.wordprocessingml.footer+xml"/>
  <Override PartName="/word/footer422.xml" ContentType="application/vnd.openxmlformats-officedocument.wordprocessingml.footer+xml"/>
  <Override PartName="/word/footer423.xml" ContentType="application/vnd.openxmlformats-officedocument.wordprocessingml.footer+xml"/>
  <Override PartName="/word/footer424.xml" ContentType="application/vnd.openxmlformats-officedocument.wordprocessingml.footer+xml"/>
  <Override PartName="/word/footer425.xml" ContentType="application/vnd.openxmlformats-officedocument.wordprocessingml.footer+xml"/>
  <Override PartName="/word/footer426.xml" ContentType="application/vnd.openxmlformats-officedocument.wordprocessingml.footer+xml"/>
  <Override PartName="/word/footer427.xml" ContentType="application/vnd.openxmlformats-officedocument.wordprocessingml.footer+xml"/>
  <Override PartName="/word/footer428.xml" ContentType="application/vnd.openxmlformats-officedocument.wordprocessingml.footer+xml"/>
  <Override PartName="/word/footer429.xml" ContentType="application/vnd.openxmlformats-officedocument.wordprocessingml.footer+xml"/>
  <Override PartName="/word/footer430.xml" ContentType="application/vnd.openxmlformats-officedocument.wordprocessingml.footer+xml"/>
  <Override PartName="/word/footer431.xml" ContentType="application/vnd.openxmlformats-officedocument.wordprocessingml.footer+xml"/>
  <Override PartName="/word/footer432.xml" ContentType="application/vnd.openxmlformats-officedocument.wordprocessingml.footer+xml"/>
  <Override PartName="/word/footer433.xml" ContentType="application/vnd.openxmlformats-officedocument.wordprocessingml.footer+xml"/>
  <Override PartName="/word/footer434.xml" ContentType="application/vnd.openxmlformats-officedocument.wordprocessingml.footer+xml"/>
  <Override PartName="/word/footer435.xml" ContentType="application/vnd.openxmlformats-officedocument.wordprocessingml.footer+xml"/>
  <Override PartName="/word/footer436.xml" ContentType="application/vnd.openxmlformats-officedocument.wordprocessingml.footer+xml"/>
  <Override PartName="/word/footer437.xml" ContentType="application/vnd.openxmlformats-officedocument.wordprocessingml.footer+xml"/>
  <Override PartName="/word/footer438.xml" ContentType="application/vnd.openxmlformats-officedocument.wordprocessingml.footer+xml"/>
  <Override PartName="/word/footer439.xml" ContentType="application/vnd.openxmlformats-officedocument.wordprocessingml.footer+xml"/>
  <Override PartName="/word/footer440.xml" ContentType="application/vnd.openxmlformats-officedocument.wordprocessingml.footer+xml"/>
  <Override PartName="/word/footer441.xml" ContentType="application/vnd.openxmlformats-officedocument.wordprocessingml.footer+xml"/>
  <Override PartName="/word/footer442.xml" ContentType="application/vnd.openxmlformats-officedocument.wordprocessingml.footer+xml"/>
  <Override PartName="/word/footer443.xml" ContentType="application/vnd.openxmlformats-officedocument.wordprocessingml.footer+xml"/>
  <Override PartName="/word/footer444.xml" ContentType="application/vnd.openxmlformats-officedocument.wordprocessingml.footer+xml"/>
  <Override PartName="/word/footer445.xml" ContentType="application/vnd.openxmlformats-officedocument.wordprocessingml.footer+xml"/>
  <Override PartName="/word/footer446.xml" ContentType="application/vnd.openxmlformats-officedocument.wordprocessingml.footer+xml"/>
  <Override PartName="/word/footer44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138AA" w14:textId="77777777" w:rsidR="002653E8" w:rsidRDefault="003115E3">
      <w:pPr>
        <w:pStyle w:val="a3"/>
        <w:ind w:right="-40"/>
        <w:rPr>
          <w:rFonts w:ascii="Times New Roman"/>
        </w:rPr>
      </w:pPr>
      <w:r>
        <w:rPr>
          <w:rFonts w:ascii="Times New Roman"/>
        </w:rPr>
        <w:drawing>
          <wp:inline distT="0" distB="0" distL="0" distR="0" wp14:anchorId="00D49EE5" wp14:editId="77E0614C">
            <wp:extent cx="5486400" cy="82296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486400" cy="8229600"/>
                    </a:xfrm>
                    <a:prstGeom prst="rect">
                      <a:avLst/>
                    </a:prstGeom>
                  </pic:spPr>
                </pic:pic>
              </a:graphicData>
            </a:graphic>
          </wp:inline>
        </w:drawing>
      </w:r>
    </w:p>
    <w:p w14:paraId="13A7B364" w14:textId="77777777" w:rsidR="002653E8" w:rsidRDefault="002653E8">
      <w:pPr>
        <w:rPr>
          <w:rFonts w:ascii="Times New Roman"/>
        </w:rPr>
        <w:sectPr w:rsidR="002653E8">
          <w:type w:val="continuous"/>
          <w:pgSz w:w="8640" w:h="12960"/>
          <w:pgMar w:top="0" w:right="0" w:bottom="0" w:left="0" w:header="720" w:footer="720" w:gutter="0"/>
          <w:cols w:space="720"/>
        </w:sectPr>
      </w:pPr>
    </w:p>
    <w:p w14:paraId="2399D0CE" w14:textId="77777777" w:rsidR="002653E8" w:rsidRDefault="003115E3">
      <w:pPr>
        <w:spacing w:before="82" w:line="261" w:lineRule="auto"/>
        <w:ind w:left="1080" w:right="1580"/>
        <w:rPr>
          <w:i/>
          <w:sz w:val="20"/>
        </w:rPr>
      </w:pPr>
      <w:r>
        <w:rPr>
          <w:i/>
          <w:color w:val="231F20"/>
          <w:w w:val="105"/>
          <w:sz w:val="20"/>
        </w:rPr>
        <w:lastRenderedPageBreak/>
        <w:t xml:space="preserve">This book about the Red Army Faction of </w:t>
      </w:r>
      <w:r>
        <w:rPr>
          <w:i/>
          <w:color w:val="231F20"/>
          <w:spacing w:val="1"/>
          <w:w w:val="105"/>
          <w:sz w:val="20"/>
        </w:rPr>
        <w:t xml:space="preserve">American-occupied Germany </w:t>
      </w:r>
      <w:r>
        <w:rPr>
          <w:i/>
          <w:color w:val="231F20"/>
          <w:w w:val="105"/>
          <w:sz w:val="20"/>
        </w:rPr>
        <w:t xml:space="preserve">is one that should be read by any serious </w:t>
      </w:r>
      <w:r>
        <w:rPr>
          <w:i/>
          <w:color w:val="231F20"/>
          <w:spacing w:val="1"/>
          <w:w w:val="105"/>
          <w:sz w:val="20"/>
        </w:rPr>
        <w:t xml:space="preserve">student </w:t>
      </w:r>
      <w:r>
        <w:rPr>
          <w:i/>
          <w:color w:val="231F20"/>
          <w:w w:val="105"/>
          <w:sz w:val="20"/>
        </w:rPr>
        <w:t xml:space="preserve">of antiimperialist politics. “Volume 1: Projectiles for the People” provides    a history of the </w:t>
      </w:r>
      <w:r w:rsidR="00C507A5">
        <w:rPr>
          <w:i/>
          <w:color w:val="231F20"/>
          <w:spacing w:val="3"/>
          <w:w w:val="105"/>
          <w:sz w:val="20"/>
        </w:rPr>
        <w:t>red army faction</w:t>
      </w:r>
      <w:r>
        <w:rPr>
          <w:i/>
          <w:color w:val="231F20"/>
          <w:spacing w:val="3"/>
          <w:w w:val="105"/>
          <w:sz w:val="20"/>
        </w:rPr>
        <w:t xml:space="preserve">’s </w:t>
      </w:r>
      <w:r>
        <w:rPr>
          <w:i/>
          <w:color w:val="231F20"/>
          <w:w w:val="105"/>
          <w:sz w:val="20"/>
        </w:rPr>
        <w:t xml:space="preserve">development through the words of its </w:t>
      </w:r>
      <w:r>
        <w:rPr>
          <w:i/>
          <w:color w:val="231F20"/>
          <w:spacing w:val="1"/>
          <w:w w:val="105"/>
          <w:sz w:val="20"/>
        </w:rPr>
        <w:t xml:space="preserve">letters </w:t>
      </w:r>
      <w:r>
        <w:rPr>
          <w:i/>
          <w:color w:val="231F20"/>
          <w:w w:val="105"/>
          <w:sz w:val="20"/>
        </w:rPr>
        <w:t>and communiqués. What makes the book especially important and relevant, however, is the careful research and documentation done by</w:t>
      </w:r>
      <w:r>
        <w:rPr>
          <w:i/>
          <w:color w:val="231F20"/>
          <w:spacing w:val="8"/>
          <w:w w:val="105"/>
          <w:sz w:val="20"/>
        </w:rPr>
        <w:t xml:space="preserve"> </w:t>
      </w:r>
      <w:r>
        <w:rPr>
          <w:i/>
          <w:color w:val="231F20"/>
          <w:w w:val="105"/>
          <w:sz w:val="20"/>
        </w:rPr>
        <w:t>its</w:t>
      </w:r>
      <w:r>
        <w:rPr>
          <w:i/>
          <w:color w:val="231F20"/>
          <w:spacing w:val="8"/>
          <w:w w:val="105"/>
          <w:sz w:val="20"/>
        </w:rPr>
        <w:t xml:space="preserve"> </w:t>
      </w:r>
      <w:r>
        <w:rPr>
          <w:i/>
          <w:color w:val="231F20"/>
          <w:w w:val="105"/>
          <w:sz w:val="20"/>
        </w:rPr>
        <w:t>editors.</w:t>
      </w:r>
      <w:r>
        <w:rPr>
          <w:i/>
          <w:color w:val="231F20"/>
          <w:spacing w:val="8"/>
          <w:w w:val="105"/>
          <w:sz w:val="20"/>
        </w:rPr>
        <w:t xml:space="preserve"> </w:t>
      </w:r>
      <w:r>
        <w:rPr>
          <w:i/>
          <w:color w:val="231F20"/>
          <w:w w:val="105"/>
          <w:sz w:val="20"/>
        </w:rPr>
        <w:t>From</w:t>
      </w:r>
      <w:r>
        <w:rPr>
          <w:i/>
          <w:color w:val="231F20"/>
          <w:spacing w:val="8"/>
          <w:w w:val="105"/>
          <w:sz w:val="20"/>
        </w:rPr>
        <w:t xml:space="preserve"> </w:t>
      </w:r>
      <w:r>
        <w:rPr>
          <w:i/>
          <w:color w:val="231F20"/>
          <w:w w:val="105"/>
          <w:sz w:val="20"/>
        </w:rPr>
        <w:t>this</w:t>
      </w:r>
      <w:r>
        <w:rPr>
          <w:i/>
          <w:color w:val="231F20"/>
          <w:spacing w:val="8"/>
          <w:w w:val="105"/>
          <w:sz w:val="20"/>
        </w:rPr>
        <w:t xml:space="preserve"> </w:t>
      </w:r>
      <w:r>
        <w:rPr>
          <w:i/>
          <w:color w:val="231F20"/>
          <w:w w:val="105"/>
          <w:sz w:val="20"/>
        </w:rPr>
        <w:t>book</w:t>
      </w:r>
      <w:r>
        <w:rPr>
          <w:i/>
          <w:color w:val="231F20"/>
          <w:spacing w:val="8"/>
          <w:w w:val="105"/>
          <w:sz w:val="20"/>
        </w:rPr>
        <w:t xml:space="preserve"> </w:t>
      </w:r>
      <w:r>
        <w:rPr>
          <w:i/>
          <w:color w:val="231F20"/>
          <w:w w:val="105"/>
          <w:sz w:val="20"/>
        </w:rPr>
        <w:t>you</w:t>
      </w:r>
      <w:r>
        <w:rPr>
          <w:i/>
          <w:color w:val="231F20"/>
          <w:spacing w:val="8"/>
          <w:w w:val="105"/>
          <w:sz w:val="20"/>
        </w:rPr>
        <w:t xml:space="preserve"> </w:t>
      </w:r>
      <w:r>
        <w:rPr>
          <w:i/>
          <w:color w:val="231F20"/>
          <w:w w:val="105"/>
          <w:sz w:val="20"/>
        </w:rPr>
        <w:t>will</w:t>
      </w:r>
      <w:r>
        <w:rPr>
          <w:i/>
          <w:color w:val="231F20"/>
          <w:spacing w:val="8"/>
          <w:w w:val="105"/>
          <w:sz w:val="20"/>
        </w:rPr>
        <w:t xml:space="preserve"> </w:t>
      </w:r>
      <w:r>
        <w:rPr>
          <w:i/>
          <w:color w:val="231F20"/>
          <w:w w:val="105"/>
          <w:sz w:val="20"/>
        </w:rPr>
        <w:t>learn</w:t>
      </w:r>
      <w:r>
        <w:rPr>
          <w:i/>
          <w:color w:val="231F20"/>
          <w:spacing w:val="8"/>
          <w:w w:val="105"/>
          <w:sz w:val="20"/>
        </w:rPr>
        <w:t xml:space="preserve"> </w:t>
      </w:r>
      <w:r>
        <w:rPr>
          <w:i/>
          <w:color w:val="231F20"/>
          <w:w w:val="105"/>
          <w:sz w:val="20"/>
        </w:rPr>
        <w:t>the</w:t>
      </w:r>
      <w:r>
        <w:rPr>
          <w:i/>
          <w:color w:val="231F20"/>
          <w:spacing w:val="8"/>
          <w:w w:val="105"/>
          <w:sz w:val="20"/>
        </w:rPr>
        <w:t xml:space="preserve"> </w:t>
      </w:r>
      <w:r>
        <w:rPr>
          <w:i/>
          <w:color w:val="231F20"/>
          <w:w w:val="105"/>
          <w:sz w:val="20"/>
        </w:rPr>
        <w:t>mistakes</w:t>
      </w:r>
      <w:r>
        <w:rPr>
          <w:i/>
          <w:color w:val="231F20"/>
          <w:spacing w:val="8"/>
          <w:w w:val="105"/>
          <w:sz w:val="20"/>
        </w:rPr>
        <w:t xml:space="preserve"> </w:t>
      </w:r>
      <w:r>
        <w:rPr>
          <w:i/>
          <w:color w:val="231F20"/>
          <w:w w:val="105"/>
          <w:sz w:val="20"/>
        </w:rPr>
        <w:t>of</w:t>
      </w:r>
      <w:r>
        <w:rPr>
          <w:i/>
          <w:color w:val="231F20"/>
          <w:spacing w:val="8"/>
          <w:w w:val="105"/>
          <w:sz w:val="20"/>
        </w:rPr>
        <w:t xml:space="preserve"> </w:t>
      </w:r>
      <w:r>
        <w:rPr>
          <w:i/>
          <w:color w:val="231F20"/>
          <w:w w:val="105"/>
          <w:sz w:val="20"/>
        </w:rPr>
        <w:t>a</w:t>
      </w:r>
      <w:r>
        <w:rPr>
          <w:i/>
          <w:color w:val="231F20"/>
          <w:spacing w:val="8"/>
          <w:w w:val="105"/>
          <w:sz w:val="20"/>
        </w:rPr>
        <w:t xml:space="preserve"> </w:t>
      </w:r>
      <w:r>
        <w:rPr>
          <w:i/>
          <w:color w:val="231F20"/>
          <w:w w:val="105"/>
          <w:sz w:val="20"/>
        </w:rPr>
        <w:t>group</w:t>
      </w:r>
    </w:p>
    <w:p w14:paraId="5EEC41A1" w14:textId="77777777" w:rsidR="002653E8" w:rsidRDefault="003115E3">
      <w:pPr>
        <w:spacing w:before="3" w:line="261" w:lineRule="auto"/>
        <w:ind w:left="1080" w:right="1580"/>
        <w:rPr>
          <w:i/>
          <w:sz w:val="20"/>
        </w:rPr>
      </w:pPr>
      <w:r>
        <w:rPr>
          <w:i/>
          <w:color w:val="231F20"/>
          <w:sz w:val="20"/>
        </w:rPr>
        <w:t xml:space="preserve">that was both large and strong, but which (like our </w:t>
      </w:r>
      <w:r>
        <w:rPr>
          <w:i/>
          <w:color w:val="231F20"/>
          <w:spacing w:val="1"/>
          <w:sz w:val="20"/>
        </w:rPr>
        <w:t xml:space="preserve">own home-grown  </w:t>
      </w:r>
      <w:r>
        <w:rPr>
          <w:i/>
          <w:color w:val="231F20"/>
          <w:sz w:val="20"/>
        </w:rPr>
        <w:t xml:space="preserve">attempts in this regard) was unable to successfully communicate with  the working </w:t>
      </w:r>
      <w:r>
        <w:rPr>
          <w:i/>
          <w:color w:val="231F20"/>
          <w:spacing w:val="1"/>
          <w:sz w:val="20"/>
        </w:rPr>
        <w:t xml:space="preserve">class </w:t>
      </w:r>
      <w:r>
        <w:rPr>
          <w:i/>
          <w:color w:val="231F20"/>
          <w:sz w:val="20"/>
        </w:rPr>
        <w:t xml:space="preserve">of a “democratic” </w:t>
      </w:r>
      <w:r>
        <w:rPr>
          <w:i/>
          <w:color w:val="231F20"/>
          <w:spacing w:val="1"/>
          <w:sz w:val="20"/>
        </w:rPr>
        <w:t xml:space="preserve">country </w:t>
      </w:r>
      <w:r>
        <w:rPr>
          <w:i/>
          <w:color w:val="231F20"/>
          <w:sz w:val="20"/>
        </w:rPr>
        <w:t xml:space="preserve">on a level that met their needs. While the armed struggle can be the seed of something much larger, it is also another </w:t>
      </w:r>
      <w:r>
        <w:rPr>
          <w:i/>
          <w:color w:val="231F20"/>
          <w:spacing w:val="1"/>
          <w:sz w:val="20"/>
        </w:rPr>
        <w:t xml:space="preserve">means </w:t>
      </w:r>
      <w:r>
        <w:rPr>
          <w:i/>
          <w:color w:val="231F20"/>
          <w:sz w:val="20"/>
        </w:rPr>
        <w:t>of reaching  out  and  communicating with</w:t>
      </w:r>
      <w:r>
        <w:rPr>
          <w:i/>
          <w:color w:val="231F20"/>
          <w:spacing w:val="20"/>
          <w:sz w:val="20"/>
        </w:rPr>
        <w:t xml:space="preserve"> </w:t>
      </w:r>
      <w:r>
        <w:rPr>
          <w:i/>
          <w:color w:val="231F20"/>
          <w:sz w:val="20"/>
        </w:rPr>
        <w:t>the</w:t>
      </w:r>
      <w:r>
        <w:rPr>
          <w:i/>
          <w:color w:val="231F20"/>
          <w:spacing w:val="20"/>
          <w:sz w:val="20"/>
        </w:rPr>
        <w:t xml:space="preserve"> </w:t>
      </w:r>
      <w:r>
        <w:rPr>
          <w:i/>
          <w:color w:val="231F20"/>
          <w:sz w:val="20"/>
        </w:rPr>
        <w:t>people.</w:t>
      </w:r>
      <w:r>
        <w:rPr>
          <w:i/>
          <w:color w:val="231F20"/>
          <w:spacing w:val="20"/>
          <w:sz w:val="20"/>
        </w:rPr>
        <w:t xml:space="preserve"> </w:t>
      </w:r>
      <w:r>
        <w:rPr>
          <w:i/>
          <w:color w:val="231F20"/>
          <w:spacing w:val="1"/>
          <w:sz w:val="20"/>
        </w:rPr>
        <w:t>Students</w:t>
      </w:r>
      <w:r>
        <w:rPr>
          <w:i/>
          <w:color w:val="231F20"/>
          <w:spacing w:val="20"/>
          <w:sz w:val="20"/>
        </w:rPr>
        <w:t xml:space="preserve"> </w:t>
      </w:r>
      <w:r>
        <w:rPr>
          <w:i/>
          <w:color w:val="231F20"/>
          <w:sz w:val="20"/>
        </w:rPr>
        <w:t>interested</w:t>
      </w:r>
      <w:r>
        <w:rPr>
          <w:i/>
          <w:color w:val="231F20"/>
          <w:spacing w:val="20"/>
          <w:sz w:val="20"/>
        </w:rPr>
        <w:t xml:space="preserve"> </w:t>
      </w:r>
      <w:r>
        <w:rPr>
          <w:i/>
          <w:color w:val="231F20"/>
          <w:sz w:val="20"/>
        </w:rPr>
        <w:t>in</w:t>
      </w:r>
      <w:r>
        <w:rPr>
          <w:i/>
          <w:color w:val="231F20"/>
          <w:spacing w:val="20"/>
          <w:sz w:val="20"/>
        </w:rPr>
        <w:t xml:space="preserve"> </w:t>
      </w:r>
      <w:r>
        <w:rPr>
          <w:i/>
          <w:color w:val="231F20"/>
          <w:sz w:val="20"/>
        </w:rPr>
        <w:t>this</w:t>
      </w:r>
      <w:r>
        <w:rPr>
          <w:i/>
          <w:color w:val="231F20"/>
          <w:spacing w:val="20"/>
          <w:sz w:val="20"/>
        </w:rPr>
        <w:t xml:space="preserve"> </w:t>
      </w:r>
      <w:r>
        <w:rPr>
          <w:i/>
          <w:color w:val="231F20"/>
          <w:sz w:val="20"/>
        </w:rPr>
        <w:t>historic</w:t>
      </w:r>
      <w:r>
        <w:rPr>
          <w:i/>
          <w:color w:val="231F20"/>
          <w:spacing w:val="20"/>
          <w:sz w:val="20"/>
        </w:rPr>
        <w:t xml:space="preserve"> </w:t>
      </w:r>
      <w:r>
        <w:rPr>
          <w:i/>
          <w:color w:val="231F20"/>
          <w:sz w:val="20"/>
        </w:rPr>
        <w:t>era</w:t>
      </w:r>
      <w:r>
        <w:rPr>
          <w:i/>
          <w:color w:val="231F20"/>
          <w:spacing w:val="20"/>
          <w:sz w:val="20"/>
        </w:rPr>
        <w:t xml:space="preserve"> </w:t>
      </w:r>
      <w:r>
        <w:rPr>
          <w:i/>
          <w:color w:val="231F20"/>
          <w:sz w:val="20"/>
        </w:rPr>
        <w:t>would</w:t>
      </w:r>
      <w:r>
        <w:rPr>
          <w:i/>
          <w:color w:val="231F20"/>
          <w:spacing w:val="20"/>
          <w:sz w:val="20"/>
        </w:rPr>
        <w:t xml:space="preserve"> </w:t>
      </w:r>
      <w:r>
        <w:rPr>
          <w:i/>
          <w:color w:val="231F20"/>
          <w:sz w:val="20"/>
        </w:rPr>
        <w:t>do</w:t>
      </w:r>
    </w:p>
    <w:p w14:paraId="289EB2AE" w14:textId="77777777" w:rsidR="002653E8" w:rsidRDefault="003115E3">
      <w:pPr>
        <w:spacing w:before="3" w:line="261" w:lineRule="auto"/>
        <w:ind w:left="1080" w:right="1848"/>
        <w:rPr>
          <w:i/>
          <w:sz w:val="20"/>
        </w:rPr>
      </w:pPr>
      <w:r>
        <w:rPr>
          <w:i/>
          <w:color w:val="231F20"/>
          <w:sz w:val="20"/>
        </w:rPr>
        <w:t>well to study this book and to internalize both the successes and failures of one of the largest organized armed anti-imperialist organizations operating in Western Europe since World War II.</w:t>
      </w:r>
    </w:p>
    <w:p w14:paraId="6B3973FB" w14:textId="77777777" w:rsidR="002653E8" w:rsidRDefault="003115E3">
      <w:pPr>
        <w:spacing w:before="41"/>
        <w:ind w:left="1823"/>
        <w:rPr>
          <w:i/>
          <w:sz w:val="20"/>
        </w:rPr>
      </w:pPr>
      <w:r>
        <w:rPr>
          <w:i/>
          <w:color w:val="231F20"/>
          <w:w w:val="105"/>
          <w:sz w:val="20"/>
        </w:rPr>
        <w:t>—Ed Mead, former political prisoner, George Jackson Brigade</w:t>
      </w:r>
    </w:p>
    <w:p w14:paraId="16235BEC" w14:textId="77777777" w:rsidR="002653E8" w:rsidRDefault="002653E8">
      <w:pPr>
        <w:pStyle w:val="a3"/>
        <w:spacing w:before="6"/>
        <w:rPr>
          <w:i/>
          <w:sz w:val="30"/>
        </w:rPr>
      </w:pPr>
    </w:p>
    <w:p w14:paraId="658A2A66" w14:textId="77777777" w:rsidR="002653E8" w:rsidRDefault="003115E3">
      <w:pPr>
        <w:spacing w:line="261" w:lineRule="auto"/>
        <w:ind w:left="1080" w:right="1693"/>
        <w:jc w:val="both"/>
        <w:rPr>
          <w:i/>
          <w:sz w:val="20"/>
        </w:rPr>
      </w:pPr>
      <w:r>
        <w:rPr>
          <w:i/>
          <w:color w:val="231F20"/>
          <w:w w:val="105"/>
          <w:sz w:val="20"/>
        </w:rPr>
        <w:t xml:space="preserve">Clear-headed and meticulously researched, this book deftly avoids many of the problems that plagued earlier attempts to tell the brief but enduring history of the </w:t>
      </w:r>
      <w:r w:rsidR="00C507A5">
        <w:rPr>
          <w:i/>
          <w:color w:val="231F20"/>
          <w:w w:val="105"/>
          <w:sz w:val="20"/>
        </w:rPr>
        <w:t>red army faction</w:t>
      </w:r>
      <w:r>
        <w:rPr>
          <w:i/>
          <w:color w:val="231F20"/>
          <w:w w:val="105"/>
          <w:sz w:val="20"/>
        </w:rPr>
        <w:t>. It offers a remarkable wealth</w:t>
      </w:r>
    </w:p>
    <w:p w14:paraId="008977B4" w14:textId="77777777" w:rsidR="002653E8" w:rsidRDefault="003115E3">
      <w:pPr>
        <w:spacing w:before="1" w:line="261" w:lineRule="auto"/>
        <w:ind w:left="1080" w:right="1848"/>
        <w:rPr>
          <w:i/>
          <w:sz w:val="20"/>
        </w:rPr>
      </w:pPr>
      <w:r>
        <w:rPr>
          <w:i/>
          <w:color w:val="231F20"/>
          <w:sz w:val="20"/>
        </w:rPr>
        <w:t xml:space="preserve">of source </w:t>
      </w:r>
      <w:r>
        <w:rPr>
          <w:i/>
          <w:color w:val="231F20"/>
          <w:spacing w:val="1"/>
          <w:sz w:val="20"/>
        </w:rPr>
        <w:t xml:space="preserve">material </w:t>
      </w:r>
      <w:r>
        <w:rPr>
          <w:i/>
          <w:color w:val="231F20"/>
          <w:sz w:val="20"/>
        </w:rPr>
        <w:t xml:space="preserve">in the form of </w:t>
      </w:r>
      <w:r>
        <w:rPr>
          <w:i/>
          <w:color w:val="231F20"/>
          <w:spacing w:val="1"/>
          <w:sz w:val="20"/>
        </w:rPr>
        <w:t xml:space="preserve">statements </w:t>
      </w:r>
      <w:r>
        <w:rPr>
          <w:i/>
          <w:color w:val="231F20"/>
          <w:sz w:val="20"/>
        </w:rPr>
        <w:t xml:space="preserve">and </w:t>
      </w:r>
      <w:r>
        <w:rPr>
          <w:i/>
          <w:color w:val="231F20"/>
          <w:spacing w:val="1"/>
          <w:sz w:val="20"/>
        </w:rPr>
        <w:t xml:space="preserve">letters </w:t>
      </w:r>
      <w:r>
        <w:rPr>
          <w:i/>
          <w:color w:val="231F20"/>
          <w:sz w:val="20"/>
        </w:rPr>
        <w:t xml:space="preserve">from the combatants, yet the authors manage to present it in a  way  that  is both coherent and engaging. </w:t>
      </w:r>
      <w:r>
        <w:rPr>
          <w:i/>
          <w:color w:val="231F20"/>
          <w:spacing w:val="1"/>
          <w:sz w:val="20"/>
        </w:rPr>
        <w:t xml:space="preserve">Evidence </w:t>
      </w:r>
      <w:r>
        <w:rPr>
          <w:i/>
          <w:color w:val="231F20"/>
          <w:sz w:val="20"/>
        </w:rPr>
        <w:t xml:space="preserve">of </w:t>
      </w:r>
      <w:r>
        <w:rPr>
          <w:i/>
          <w:color w:val="231F20"/>
          <w:spacing w:val="2"/>
          <w:sz w:val="20"/>
        </w:rPr>
        <w:t xml:space="preserve">brutal—and </w:t>
      </w:r>
      <w:r>
        <w:rPr>
          <w:i/>
          <w:color w:val="231F20"/>
          <w:sz w:val="20"/>
        </w:rPr>
        <w:t xml:space="preserve">ultimately </w:t>
      </w:r>
      <w:r>
        <w:rPr>
          <w:i/>
          <w:color w:val="231F20"/>
          <w:spacing w:val="1"/>
          <w:sz w:val="20"/>
        </w:rPr>
        <w:t xml:space="preserve">ineffective—attempts </w:t>
      </w:r>
      <w:r>
        <w:rPr>
          <w:i/>
          <w:color w:val="231F20"/>
          <w:sz w:val="20"/>
        </w:rPr>
        <w:t xml:space="preserve">by the state to silence the voices of political prisoners serve </w:t>
      </w:r>
      <w:r>
        <w:rPr>
          <w:i/>
          <w:color w:val="231F20"/>
          <w:spacing w:val="1"/>
          <w:sz w:val="20"/>
        </w:rPr>
        <w:t xml:space="preserve">as </w:t>
      </w:r>
      <w:r>
        <w:rPr>
          <w:i/>
          <w:color w:val="231F20"/>
          <w:sz w:val="20"/>
        </w:rPr>
        <w:t xml:space="preserve">a timely and powerful reminder of the continued need for anti-imperialist prisoners </w:t>
      </w:r>
      <w:r>
        <w:rPr>
          <w:i/>
          <w:color w:val="231F20"/>
          <w:spacing w:val="1"/>
          <w:sz w:val="20"/>
        </w:rPr>
        <w:t xml:space="preserve">as leaders  </w:t>
      </w:r>
      <w:r>
        <w:rPr>
          <w:i/>
          <w:color w:val="231F20"/>
          <w:sz w:val="20"/>
        </w:rPr>
        <w:t xml:space="preserve">in  our  </w:t>
      </w:r>
      <w:r>
        <w:rPr>
          <w:i/>
          <w:color w:val="231F20"/>
          <w:spacing w:val="1"/>
          <w:sz w:val="20"/>
        </w:rPr>
        <w:t xml:space="preserve">movements </w:t>
      </w:r>
      <w:r>
        <w:rPr>
          <w:i/>
          <w:color w:val="231F20"/>
          <w:sz w:val="20"/>
        </w:rPr>
        <w:t>today. At once informative and inspirational, this is a much-needed contribution to the analysis of armed struggle and the cycles of repression</w:t>
      </w:r>
      <w:r>
        <w:rPr>
          <w:i/>
          <w:color w:val="231F20"/>
          <w:spacing w:val="17"/>
          <w:sz w:val="20"/>
        </w:rPr>
        <w:t xml:space="preserve"> </w:t>
      </w:r>
      <w:r>
        <w:rPr>
          <w:i/>
          <w:color w:val="231F20"/>
          <w:sz w:val="20"/>
        </w:rPr>
        <w:t>and</w:t>
      </w:r>
      <w:r>
        <w:rPr>
          <w:i/>
          <w:color w:val="231F20"/>
          <w:spacing w:val="17"/>
          <w:sz w:val="20"/>
        </w:rPr>
        <w:t xml:space="preserve"> </w:t>
      </w:r>
      <w:r>
        <w:rPr>
          <w:i/>
          <w:color w:val="231F20"/>
          <w:sz w:val="20"/>
        </w:rPr>
        <w:t>resistance</w:t>
      </w:r>
      <w:r>
        <w:rPr>
          <w:i/>
          <w:color w:val="231F20"/>
          <w:spacing w:val="17"/>
          <w:sz w:val="20"/>
        </w:rPr>
        <w:t xml:space="preserve"> </w:t>
      </w:r>
      <w:r>
        <w:rPr>
          <w:i/>
          <w:color w:val="231F20"/>
          <w:sz w:val="20"/>
        </w:rPr>
        <w:t>in</w:t>
      </w:r>
      <w:r>
        <w:rPr>
          <w:i/>
          <w:color w:val="231F20"/>
          <w:spacing w:val="17"/>
          <w:sz w:val="20"/>
        </w:rPr>
        <w:t xml:space="preserve"> </w:t>
      </w:r>
      <w:r>
        <w:rPr>
          <w:i/>
          <w:color w:val="231F20"/>
          <w:sz w:val="20"/>
        </w:rPr>
        <w:t>Europe</w:t>
      </w:r>
      <w:r>
        <w:rPr>
          <w:i/>
          <w:color w:val="231F20"/>
          <w:spacing w:val="17"/>
          <w:sz w:val="20"/>
        </w:rPr>
        <w:t xml:space="preserve"> </w:t>
      </w:r>
      <w:r>
        <w:rPr>
          <w:i/>
          <w:color w:val="231F20"/>
          <w:sz w:val="20"/>
        </w:rPr>
        <w:t>and</w:t>
      </w:r>
      <w:r>
        <w:rPr>
          <w:i/>
          <w:color w:val="231F20"/>
          <w:spacing w:val="17"/>
          <w:sz w:val="20"/>
        </w:rPr>
        <w:t xml:space="preserve"> </w:t>
      </w:r>
      <w:r>
        <w:rPr>
          <w:i/>
          <w:color w:val="231F20"/>
          <w:sz w:val="20"/>
        </w:rPr>
        <w:t>around</w:t>
      </w:r>
      <w:r>
        <w:rPr>
          <w:i/>
          <w:color w:val="231F20"/>
          <w:spacing w:val="17"/>
          <w:sz w:val="20"/>
        </w:rPr>
        <w:t xml:space="preserve"> </w:t>
      </w:r>
      <w:r>
        <w:rPr>
          <w:i/>
          <w:color w:val="231F20"/>
          <w:sz w:val="20"/>
        </w:rPr>
        <w:t>the</w:t>
      </w:r>
      <w:r>
        <w:rPr>
          <w:i/>
          <w:color w:val="231F20"/>
          <w:spacing w:val="17"/>
          <w:sz w:val="20"/>
        </w:rPr>
        <w:t xml:space="preserve"> </w:t>
      </w:r>
      <w:r>
        <w:rPr>
          <w:i/>
          <w:color w:val="231F20"/>
          <w:sz w:val="20"/>
        </w:rPr>
        <w:t>world.</w:t>
      </w:r>
    </w:p>
    <w:p w14:paraId="34C1F667" w14:textId="77777777" w:rsidR="002653E8" w:rsidRDefault="003115E3">
      <w:pPr>
        <w:spacing w:before="44"/>
        <w:ind w:left="2091"/>
        <w:rPr>
          <w:i/>
          <w:sz w:val="20"/>
        </w:rPr>
      </w:pPr>
      <w:r>
        <w:rPr>
          <w:i/>
          <w:color w:val="231F20"/>
          <w:w w:val="105"/>
          <w:sz w:val="20"/>
        </w:rPr>
        <w:t>—Sara Falconer, Toronto Anarchist Black Cross Federation</w:t>
      </w:r>
    </w:p>
    <w:p w14:paraId="1016A83C" w14:textId="77777777" w:rsidR="002653E8" w:rsidRDefault="002653E8">
      <w:pPr>
        <w:pStyle w:val="a3"/>
        <w:spacing w:before="6"/>
        <w:rPr>
          <w:i/>
          <w:sz w:val="30"/>
        </w:rPr>
      </w:pPr>
    </w:p>
    <w:p w14:paraId="5040CA78" w14:textId="77777777" w:rsidR="002653E8" w:rsidRDefault="003115E3">
      <w:pPr>
        <w:spacing w:line="261" w:lineRule="auto"/>
        <w:ind w:left="1080" w:right="1580"/>
        <w:rPr>
          <w:i/>
          <w:sz w:val="20"/>
        </w:rPr>
      </w:pPr>
      <w:r>
        <w:rPr>
          <w:i/>
          <w:color w:val="231F20"/>
          <w:sz w:val="20"/>
        </w:rPr>
        <w:t xml:space="preserve">This first volume about the </w:t>
      </w:r>
      <w:r w:rsidR="00C507A5">
        <w:rPr>
          <w:i/>
          <w:color w:val="231F20"/>
          <w:spacing w:val="5"/>
          <w:sz w:val="20"/>
        </w:rPr>
        <w:t>red army faction</w:t>
      </w:r>
      <w:r>
        <w:rPr>
          <w:i/>
          <w:color w:val="231F20"/>
          <w:spacing w:val="5"/>
          <w:sz w:val="20"/>
        </w:rPr>
        <w:t xml:space="preserve"> </w:t>
      </w:r>
      <w:r>
        <w:rPr>
          <w:i/>
          <w:color w:val="231F20"/>
          <w:sz w:val="20"/>
        </w:rPr>
        <w:t xml:space="preserve">is about a part of </w:t>
      </w:r>
      <w:r>
        <w:rPr>
          <w:i/>
          <w:color w:val="231F20"/>
          <w:spacing w:val="5"/>
          <w:sz w:val="20"/>
        </w:rPr>
        <w:t xml:space="preserve">WWII </w:t>
      </w:r>
      <w:r>
        <w:rPr>
          <w:i/>
          <w:color w:val="231F20"/>
          <w:sz w:val="20"/>
        </w:rPr>
        <w:t xml:space="preserve">that did not    </w:t>
      </w:r>
      <w:r>
        <w:rPr>
          <w:i/>
          <w:color w:val="231F20"/>
          <w:spacing w:val="1"/>
          <w:sz w:val="20"/>
        </w:rPr>
        <w:t xml:space="preserve">end </w:t>
      </w:r>
      <w:r>
        <w:rPr>
          <w:i/>
          <w:color w:val="231F20"/>
          <w:sz w:val="20"/>
        </w:rPr>
        <w:t xml:space="preserve">when the so called allies defeated the  nazis.  The  </w:t>
      </w:r>
      <w:r w:rsidR="00C507A5">
        <w:rPr>
          <w:i/>
          <w:color w:val="231F20"/>
          <w:spacing w:val="5"/>
          <w:sz w:val="20"/>
        </w:rPr>
        <w:t>red army faction</w:t>
      </w:r>
      <w:r>
        <w:rPr>
          <w:i/>
          <w:color w:val="231F20"/>
          <w:spacing w:val="5"/>
          <w:sz w:val="20"/>
        </w:rPr>
        <w:t xml:space="preserve">  </w:t>
      </w:r>
      <w:r>
        <w:rPr>
          <w:i/>
          <w:color w:val="231F20"/>
          <w:sz w:val="20"/>
        </w:rPr>
        <w:t xml:space="preserve">warriors come from a strong socialist history and  </w:t>
      </w:r>
      <w:r>
        <w:rPr>
          <w:i/>
          <w:color w:val="231F20"/>
          <w:spacing w:val="1"/>
          <w:sz w:val="20"/>
        </w:rPr>
        <w:t xml:space="preserve">knew </w:t>
      </w:r>
      <w:r>
        <w:rPr>
          <w:i/>
          <w:color w:val="231F20"/>
          <w:sz w:val="20"/>
        </w:rPr>
        <w:t xml:space="preserve">they  were  fighting  for the </w:t>
      </w:r>
      <w:r>
        <w:rPr>
          <w:i/>
          <w:color w:val="231F20"/>
          <w:spacing w:val="1"/>
          <w:sz w:val="20"/>
        </w:rPr>
        <w:t xml:space="preserve">very </w:t>
      </w:r>
      <w:r>
        <w:rPr>
          <w:i/>
          <w:color w:val="231F20"/>
          <w:sz w:val="20"/>
        </w:rPr>
        <w:t xml:space="preserve">life of their country. </w:t>
      </w:r>
      <w:r>
        <w:rPr>
          <w:i/>
          <w:color w:val="231F20"/>
          <w:spacing w:val="1"/>
          <w:sz w:val="20"/>
        </w:rPr>
        <w:t xml:space="preserve">Many </w:t>
      </w:r>
      <w:r>
        <w:rPr>
          <w:i/>
          <w:color w:val="231F20"/>
          <w:sz w:val="20"/>
        </w:rPr>
        <w:t xml:space="preserve">victories and many  errors  were scored which provide this important  look  into  </w:t>
      </w:r>
      <w:r>
        <w:rPr>
          <w:i/>
          <w:color w:val="231F20"/>
          <w:spacing w:val="5"/>
          <w:sz w:val="20"/>
        </w:rPr>
        <w:t xml:space="preserve">REAL  </w:t>
      </w:r>
      <w:r>
        <w:rPr>
          <w:i/>
          <w:color w:val="231F20"/>
          <w:sz w:val="20"/>
        </w:rPr>
        <w:t xml:space="preserve">her/history lessons. A must read for all serious alternative  history  </w:t>
      </w:r>
      <w:r>
        <w:rPr>
          <w:i/>
          <w:color w:val="231F20"/>
          <w:spacing w:val="1"/>
          <w:sz w:val="20"/>
        </w:rPr>
        <w:t xml:space="preserve">students  </w:t>
      </w:r>
      <w:r>
        <w:rPr>
          <w:i/>
          <w:color w:val="231F20"/>
          <w:sz w:val="20"/>
        </w:rPr>
        <w:t>who then</w:t>
      </w:r>
      <w:r>
        <w:rPr>
          <w:i/>
          <w:color w:val="231F20"/>
          <w:spacing w:val="15"/>
          <w:sz w:val="20"/>
        </w:rPr>
        <w:t xml:space="preserve"> </w:t>
      </w:r>
      <w:r>
        <w:rPr>
          <w:i/>
          <w:color w:val="231F20"/>
          <w:sz w:val="20"/>
        </w:rPr>
        <w:t>in</w:t>
      </w:r>
      <w:r>
        <w:rPr>
          <w:i/>
          <w:color w:val="231F20"/>
          <w:spacing w:val="15"/>
          <w:sz w:val="20"/>
        </w:rPr>
        <w:t xml:space="preserve"> </w:t>
      </w:r>
      <w:r>
        <w:rPr>
          <w:i/>
          <w:color w:val="231F20"/>
          <w:sz w:val="20"/>
        </w:rPr>
        <w:t>turn</w:t>
      </w:r>
      <w:r>
        <w:rPr>
          <w:i/>
          <w:color w:val="231F20"/>
          <w:spacing w:val="15"/>
          <w:sz w:val="20"/>
        </w:rPr>
        <w:t xml:space="preserve"> </w:t>
      </w:r>
      <w:r>
        <w:rPr>
          <w:i/>
          <w:color w:val="231F20"/>
          <w:sz w:val="20"/>
        </w:rPr>
        <w:t>can</w:t>
      </w:r>
      <w:r>
        <w:rPr>
          <w:i/>
          <w:color w:val="231F20"/>
          <w:spacing w:val="15"/>
          <w:sz w:val="20"/>
        </w:rPr>
        <w:t xml:space="preserve"> </w:t>
      </w:r>
      <w:r>
        <w:rPr>
          <w:i/>
          <w:color w:val="231F20"/>
          <w:sz w:val="20"/>
        </w:rPr>
        <w:t>use</w:t>
      </w:r>
      <w:r>
        <w:rPr>
          <w:i/>
          <w:color w:val="231F20"/>
          <w:spacing w:val="15"/>
          <w:sz w:val="20"/>
        </w:rPr>
        <w:t xml:space="preserve"> </w:t>
      </w:r>
      <w:r>
        <w:rPr>
          <w:i/>
          <w:color w:val="231F20"/>
          <w:sz w:val="20"/>
        </w:rPr>
        <w:t>it</w:t>
      </w:r>
      <w:r>
        <w:rPr>
          <w:i/>
          <w:color w:val="231F20"/>
          <w:spacing w:val="15"/>
          <w:sz w:val="20"/>
        </w:rPr>
        <w:t xml:space="preserve"> </w:t>
      </w:r>
      <w:r>
        <w:rPr>
          <w:i/>
          <w:color w:val="231F20"/>
          <w:spacing w:val="1"/>
          <w:sz w:val="20"/>
        </w:rPr>
        <w:t>as</w:t>
      </w:r>
      <w:r>
        <w:rPr>
          <w:i/>
          <w:color w:val="231F20"/>
          <w:spacing w:val="15"/>
          <w:sz w:val="20"/>
        </w:rPr>
        <w:t xml:space="preserve"> </w:t>
      </w:r>
      <w:r>
        <w:rPr>
          <w:i/>
          <w:color w:val="231F20"/>
          <w:sz w:val="20"/>
        </w:rPr>
        <w:t>a</w:t>
      </w:r>
      <w:r>
        <w:rPr>
          <w:i/>
          <w:color w:val="231F20"/>
          <w:spacing w:val="15"/>
          <w:sz w:val="20"/>
        </w:rPr>
        <w:t xml:space="preserve"> </w:t>
      </w:r>
      <w:r>
        <w:rPr>
          <w:i/>
          <w:color w:val="231F20"/>
          <w:sz w:val="20"/>
        </w:rPr>
        <w:t>teaching</w:t>
      </w:r>
      <w:r>
        <w:rPr>
          <w:i/>
          <w:color w:val="231F20"/>
          <w:spacing w:val="15"/>
          <w:sz w:val="20"/>
        </w:rPr>
        <w:t xml:space="preserve"> </w:t>
      </w:r>
      <w:r>
        <w:rPr>
          <w:i/>
          <w:color w:val="231F20"/>
          <w:sz w:val="20"/>
        </w:rPr>
        <w:t>tool</w:t>
      </w:r>
      <w:r>
        <w:rPr>
          <w:i/>
          <w:color w:val="231F20"/>
          <w:spacing w:val="15"/>
          <w:sz w:val="20"/>
        </w:rPr>
        <w:t xml:space="preserve"> </w:t>
      </w:r>
      <w:r>
        <w:rPr>
          <w:i/>
          <w:color w:val="231F20"/>
          <w:sz w:val="20"/>
        </w:rPr>
        <w:t>towards</w:t>
      </w:r>
      <w:r>
        <w:rPr>
          <w:i/>
          <w:color w:val="231F20"/>
          <w:spacing w:val="15"/>
          <w:sz w:val="20"/>
        </w:rPr>
        <w:t xml:space="preserve"> </w:t>
      </w:r>
      <w:r>
        <w:rPr>
          <w:i/>
          <w:color w:val="231F20"/>
          <w:sz w:val="20"/>
        </w:rPr>
        <w:t>a</w:t>
      </w:r>
      <w:r>
        <w:rPr>
          <w:i/>
          <w:color w:val="231F20"/>
          <w:spacing w:val="15"/>
          <w:sz w:val="20"/>
        </w:rPr>
        <w:t xml:space="preserve"> </w:t>
      </w:r>
      <w:r>
        <w:rPr>
          <w:i/>
          <w:color w:val="231F20"/>
          <w:spacing w:val="1"/>
          <w:sz w:val="20"/>
        </w:rPr>
        <w:t>better</w:t>
      </w:r>
      <w:r>
        <w:rPr>
          <w:i/>
          <w:color w:val="231F20"/>
          <w:spacing w:val="15"/>
          <w:sz w:val="20"/>
        </w:rPr>
        <w:t xml:space="preserve"> </w:t>
      </w:r>
      <w:r>
        <w:rPr>
          <w:i/>
          <w:color w:val="231F20"/>
          <w:sz w:val="20"/>
        </w:rPr>
        <w:t>future.</w:t>
      </w:r>
    </w:p>
    <w:p w14:paraId="60A4366B" w14:textId="77777777" w:rsidR="002653E8" w:rsidRDefault="003115E3">
      <w:pPr>
        <w:spacing w:before="43"/>
        <w:ind w:left="1292"/>
        <w:rPr>
          <w:i/>
          <w:sz w:val="20"/>
        </w:rPr>
      </w:pPr>
      <w:r>
        <w:rPr>
          <w:i/>
          <w:color w:val="231F20"/>
          <w:w w:val="105"/>
          <w:sz w:val="20"/>
        </w:rPr>
        <w:t>—b</w:t>
      </w:r>
      <w:r>
        <w:rPr>
          <w:rFonts w:ascii="Book Antiqua" w:hAnsi="Book Antiqua"/>
          <w:b/>
          <w:i/>
          <w:color w:val="231F20"/>
          <w:w w:val="105"/>
          <w:sz w:val="20"/>
        </w:rPr>
        <w:t xml:space="preserve">♀ </w:t>
      </w:r>
      <w:r>
        <w:rPr>
          <w:i/>
          <w:color w:val="231F20"/>
          <w:w w:val="105"/>
          <w:sz w:val="20"/>
        </w:rPr>
        <w:t>(r.d. brown), former political prisoner, George Jackson Brigade</w:t>
      </w:r>
    </w:p>
    <w:p w14:paraId="16C8A0B5" w14:textId="77777777" w:rsidR="002653E8" w:rsidRDefault="002653E8">
      <w:pPr>
        <w:rPr>
          <w:sz w:val="20"/>
        </w:rPr>
        <w:sectPr w:rsidR="002653E8">
          <w:pgSz w:w="8640" w:h="12960"/>
          <w:pgMar w:top="960" w:right="0" w:bottom="280" w:left="0" w:header="720" w:footer="720" w:gutter="0"/>
          <w:cols w:space="720"/>
        </w:sectPr>
      </w:pPr>
    </w:p>
    <w:p w14:paraId="29CA0092" w14:textId="77777777" w:rsidR="002653E8" w:rsidRDefault="003115E3">
      <w:pPr>
        <w:spacing w:before="66" w:line="261" w:lineRule="auto"/>
        <w:ind w:left="1147" w:right="1848"/>
        <w:rPr>
          <w:i/>
          <w:sz w:val="20"/>
        </w:rPr>
      </w:pPr>
      <w:r>
        <w:rPr>
          <w:i/>
          <w:color w:val="231F20"/>
          <w:sz w:val="20"/>
        </w:rPr>
        <w:lastRenderedPageBreak/>
        <w:t xml:space="preserve">Starting in the Sixties, a </w:t>
      </w:r>
      <w:r>
        <w:rPr>
          <w:i/>
          <w:color w:val="231F20"/>
          <w:spacing w:val="1"/>
          <w:sz w:val="20"/>
        </w:rPr>
        <w:t xml:space="preserve">new </w:t>
      </w:r>
      <w:r>
        <w:rPr>
          <w:i/>
          <w:color w:val="231F20"/>
          <w:sz w:val="20"/>
        </w:rPr>
        <w:t xml:space="preserve">revolutionary strategy  began  to plague the capitalist metropolis—the  urban  </w:t>
      </w:r>
      <w:r>
        <w:rPr>
          <w:i/>
          <w:color w:val="231F20"/>
          <w:spacing w:val="1"/>
          <w:sz w:val="20"/>
        </w:rPr>
        <w:t xml:space="preserve">guerilla.  </w:t>
      </w:r>
      <w:r>
        <w:rPr>
          <w:i/>
          <w:color w:val="231F20"/>
          <w:sz w:val="20"/>
        </w:rPr>
        <w:t xml:space="preserve">Warfare once waged by peasant armies in the countryside of a </w:t>
      </w:r>
      <w:r>
        <w:rPr>
          <w:i/>
          <w:color w:val="231F20"/>
          <w:spacing w:val="1"/>
          <w:sz w:val="20"/>
        </w:rPr>
        <w:t xml:space="preserve">Cuba,  </w:t>
      </w:r>
      <w:r>
        <w:rPr>
          <w:i/>
          <w:color w:val="231F20"/>
          <w:sz w:val="20"/>
        </w:rPr>
        <w:t xml:space="preserve">a </w:t>
      </w:r>
      <w:r>
        <w:rPr>
          <w:i/>
          <w:color w:val="231F20"/>
          <w:spacing w:val="1"/>
          <w:sz w:val="20"/>
        </w:rPr>
        <w:t xml:space="preserve">China, </w:t>
      </w:r>
      <w:r>
        <w:rPr>
          <w:i/>
          <w:color w:val="231F20"/>
          <w:sz w:val="20"/>
        </w:rPr>
        <w:t xml:space="preserve">or a  </w:t>
      </w:r>
      <w:r>
        <w:rPr>
          <w:i/>
          <w:color w:val="231F20"/>
          <w:spacing w:val="1"/>
          <w:sz w:val="20"/>
        </w:rPr>
        <w:t xml:space="preserve">Guinea-Bissau,  </w:t>
      </w:r>
      <w:r>
        <w:rPr>
          <w:i/>
          <w:color w:val="231F20"/>
          <w:sz w:val="20"/>
        </w:rPr>
        <w:t xml:space="preserve">was  </w:t>
      </w:r>
      <w:r>
        <w:rPr>
          <w:i/>
          <w:color w:val="231F20"/>
          <w:spacing w:val="1"/>
          <w:sz w:val="20"/>
        </w:rPr>
        <w:t xml:space="preserve">suddenly  </w:t>
      </w:r>
      <w:r>
        <w:rPr>
          <w:i/>
          <w:color w:val="231F20"/>
          <w:sz w:val="20"/>
        </w:rPr>
        <w:t xml:space="preserve">transferred  to  small cells of </w:t>
      </w:r>
      <w:r>
        <w:rPr>
          <w:i/>
          <w:color w:val="231F20"/>
          <w:spacing w:val="1"/>
          <w:sz w:val="20"/>
        </w:rPr>
        <w:t xml:space="preserve">ex-students  </w:t>
      </w:r>
      <w:r>
        <w:rPr>
          <w:i/>
          <w:color w:val="231F20"/>
          <w:sz w:val="20"/>
        </w:rPr>
        <w:t xml:space="preserve">in  the  imperialist  </w:t>
      </w:r>
      <w:r>
        <w:rPr>
          <w:i/>
          <w:color w:val="231F20"/>
          <w:spacing w:val="1"/>
          <w:sz w:val="20"/>
        </w:rPr>
        <w:t xml:space="preserve">centers  </w:t>
      </w:r>
      <w:r>
        <w:rPr>
          <w:i/>
          <w:color w:val="231F20"/>
          <w:sz w:val="20"/>
        </w:rPr>
        <w:t xml:space="preserve">of  Berlin,  Rome, and New York. No urban </w:t>
      </w:r>
      <w:r>
        <w:rPr>
          <w:i/>
          <w:color w:val="231F20"/>
          <w:spacing w:val="2"/>
          <w:sz w:val="20"/>
        </w:rPr>
        <w:t xml:space="preserve">guerrillas </w:t>
      </w:r>
      <w:r>
        <w:rPr>
          <w:i/>
          <w:color w:val="231F20"/>
          <w:sz w:val="20"/>
        </w:rPr>
        <w:t>became more famed or more demonized</w:t>
      </w:r>
      <w:r>
        <w:rPr>
          <w:i/>
          <w:color w:val="231F20"/>
          <w:spacing w:val="31"/>
          <w:sz w:val="20"/>
        </w:rPr>
        <w:t xml:space="preserve"> </w:t>
      </w:r>
      <w:r>
        <w:rPr>
          <w:i/>
          <w:color w:val="231F20"/>
          <w:sz w:val="20"/>
        </w:rPr>
        <w:t>than</w:t>
      </w:r>
      <w:r>
        <w:rPr>
          <w:i/>
          <w:color w:val="231F20"/>
          <w:spacing w:val="31"/>
          <w:sz w:val="20"/>
        </w:rPr>
        <w:t xml:space="preserve"> </w:t>
      </w:r>
      <w:r>
        <w:rPr>
          <w:i/>
          <w:color w:val="231F20"/>
          <w:sz w:val="20"/>
        </w:rPr>
        <w:t>West</w:t>
      </w:r>
      <w:r>
        <w:rPr>
          <w:i/>
          <w:color w:val="231F20"/>
          <w:spacing w:val="31"/>
          <w:sz w:val="20"/>
        </w:rPr>
        <w:t xml:space="preserve"> </w:t>
      </w:r>
      <w:r>
        <w:rPr>
          <w:i/>
          <w:color w:val="231F20"/>
          <w:sz w:val="20"/>
        </w:rPr>
        <w:t>Germany’s</w:t>
      </w:r>
      <w:r>
        <w:rPr>
          <w:i/>
          <w:color w:val="231F20"/>
          <w:spacing w:val="31"/>
          <w:sz w:val="20"/>
        </w:rPr>
        <w:t xml:space="preserve"> </w:t>
      </w:r>
      <w:r>
        <w:rPr>
          <w:i/>
          <w:color w:val="231F20"/>
          <w:sz w:val="20"/>
        </w:rPr>
        <w:t>Red</w:t>
      </w:r>
      <w:r>
        <w:rPr>
          <w:i/>
          <w:color w:val="231F20"/>
          <w:spacing w:val="31"/>
          <w:sz w:val="20"/>
        </w:rPr>
        <w:t xml:space="preserve"> </w:t>
      </w:r>
      <w:r>
        <w:rPr>
          <w:i/>
          <w:color w:val="231F20"/>
          <w:sz w:val="20"/>
        </w:rPr>
        <w:t>Army</w:t>
      </w:r>
      <w:r>
        <w:rPr>
          <w:i/>
          <w:color w:val="231F20"/>
          <w:spacing w:val="31"/>
          <w:sz w:val="20"/>
        </w:rPr>
        <w:t xml:space="preserve"> </w:t>
      </w:r>
      <w:r>
        <w:rPr>
          <w:i/>
          <w:color w:val="231F20"/>
          <w:sz w:val="20"/>
        </w:rPr>
        <w:t>Faction</w:t>
      </w:r>
      <w:r>
        <w:rPr>
          <w:i/>
          <w:color w:val="231F20"/>
          <w:spacing w:val="31"/>
          <w:sz w:val="20"/>
        </w:rPr>
        <w:t xml:space="preserve"> </w:t>
      </w:r>
      <w:r>
        <w:rPr>
          <w:i/>
          <w:color w:val="231F20"/>
          <w:spacing w:val="2"/>
          <w:sz w:val="20"/>
        </w:rPr>
        <w:t>(</w:t>
      </w:r>
      <w:r w:rsidR="00C507A5">
        <w:rPr>
          <w:i/>
          <w:color w:val="231F20"/>
          <w:spacing w:val="2"/>
          <w:sz w:val="20"/>
        </w:rPr>
        <w:t>red army faction</w:t>
      </w:r>
      <w:r>
        <w:rPr>
          <w:i/>
          <w:color w:val="231F20"/>
          <w:spacing w:val="2"/>
          <w:sz w:val="20"/>
        </w:rPr>
        <w:t>).</w:t>
      </w:r>
    </w:p>
    <w:p w14:paraId="45849916" w14:textId="77777777" w:rsidR="002653E8" w:rsidRDefault="003115E3">
      <w:pPr>
        <w:spacing w:before="3" w:line="261" w:lineRule="auto"/>
        <w:ind w:left="1147" w:right="1681"/>
        <w:rPr>
          <w:i/>
          <w:sz w:val="20"/>
        </w:rPr>
      </w:pPr>
      <w:r>
        <w:rPr>
          <w:i/>
          <w:color w:val="231F20"/>
          <w:spacing w:val="-4"/>
          <w:w w:val="105"/>
          <w:sz w:val="20"/>
        </w:rPr>
        <w:t xml:space="preserve">We </w:t>
      </w:r>
      <w:r>
        <w:rPr>
          <w:i/>
          <w:color w:val="231F20"/>
          <w:spacing w:val="1"/>
          <w:w w:val="105"/>
          <w:sz w:val="20"/>
        </w:rPr>
        <w:t xml:space="preserve">knew </w:t>
      </w:r>
      <w:r>
        <w:rPr>
          <w:i/>
          <w:color w:val="231F20"/>
          <w:w w:val="105"/>
          <w:sz w:val="20"/>
        </w:rPr>
        <w:t xml:space="preserve">their signature bold actions in the headlines: from the damaging bombing of the </w:t>
      </w:r>
      <w:r>
        <w:rPr>
          <w:i/>
          <w:color w:val="231F20"/>
          <w:spacing w:val="2"/>
          <w:w w:val="105"/>
          <w:sz w:val="20"/>
        </w:rPr>
        <w:t xml:space="preserve">u.s. </w:t>
      </w:r>
      <w:r>
        <w:rPr>
          <w:i/>
          <w:color w:val="231F20"/>
          <w:w w:val="105"/>
          <w:sz w:val="20"/>
        </w:rPr>
        <w:t xml:space="preserve">army V </w:t>
      </w:r>
      <w:r>
        <w:rPr>
          <w:i/>
          <w:color w:val="231F20"/>
          <w:spacing w:val="1"/>
          <w:w w:val="105"/>
          <w:sz w:val="20"/>
        </w:rPr>
        <w:t xml:space="preserve">Corps headquarters </w:t>
      </w:r>
      <w:r>
        <w:rPr>
          <w:i/>
          <w:color w:val="231F20"/>
          <w:w w:val="105"/>
          <w:sz w:val="20"/>
        </w:rPr>
        <w:t xml:space="preserve">in Frankfurt in 1972, in response to Washington’s mining of Hanoi’s harbor in an escalation of the Vietnam </w:t>
      </w:r>
      <w:r>
        <w:rPr>
          <w:i/>
          <w:color w:val="231F20"/>
          <w:spacing w:val="-5"/>
          <w:w w:val="105"/>
          <w:sz w:val="20"/>
        </w:rPr>
        <w:t xml:space="preserve">War,  </w:t>
      </w:r>
      <w:r>
        <w:rPr>
          <w:i/>
          <w:color w:val="231F20"/>
          <w:w w:val="105"/>
          <w:sz w:val="20"/>
        </w:rPr>
        <w:t>to the kidnapping  and</w:t>
      </w:r>
      <w:r>
        <w:rPr>
          <w:i/>
          <w:color w:val="231F20"/>
          <w:spacing w:val="5"/>
          <w:w w:val="105"/>
          <w:sz w:val="20"/>
        </w:rPr>
        <w:t xml:space="preserve"> </w:t>
      </w:r>
      <w:r>
        <w:rPr>
          <w:i/>
          <w:color w:val="231F20"/>
          <w:spacing w:val="1"/>
          <w:w w:val="105"/>
          <w:sz w:val="20"/>
        </w:rPr>
        <w:t>later</w:t>
      </w:r>
      <w:r>
        <w:rPr>
          <w:i/>
          <w:color w:val="231F20"/>
          <w:spacing w:val="5"/>
          <w:w w:val="105"/>
          <w:sz w:val="20"/>
        </w:rPr>
        <w:t xml:space="preserve"> </w:t>
      </w:r>
      <w:r>
        <w:rPr>
          <w:i/>
          <w:color w:val="231F20"/>
          <w:w w:val="105"/>
          <w:sz w:val="20"/>
        </w:rPr>
        <w:t>execution</w:t>
      </w:r>
      <w:r>
        <w:rPr>
          <w:i/>
          <w:color w:val="231F20"/>
          <w:spacing w:val="5"/>
          <w:w w:val="105"/>
          <w:sz w:val="20"/>
        </w:rPr>
        <w:t xml:space="preserve"> </w:t>
      </w:r>
      <w:r>
        <w:rPr>
          <w:i/>
          <w:color w:val="231F20"/>
          <w:w w:val="105"/>
          <w:sz w:val="20"/>
        </w:rPr>
        <w:t>of</w:t>
      </w:r>
      <w:r>
        <w:rPr>
          <w:i/>
          <w:color w:val="231F20"/>
          <w:spacing w:val="5"/>
          <w:w w:val="105"/>
          <w:sz w:val="20"/>
        </w:rPr>
        <w:t xml:space="preserve"> </w:t>
      </w:r>
      <w:r>
        <w:rPr>
          <w:i/>
          <w:color w:val="231F20"/>
          <w:w w:val="105"/>
          <w:sz w:val="20"/>
        </w:rPr>
        <w:t>the</w:t>
      </w:r>
      <w:r>
        <w:rPr>
          <w:i/>
          <w:color w:val="231F20"/>
          <w:spacing w:val="5"/>
          <w:w w:val="105"/>
          <w:sz w:val="20"/>
        </w:rPr>
        <w:t xml:space="preserve"> </w:t>
      </w:r>
      <w:r>
        <w:rPr>
          <w:i/>
          <w:color w:val="231F20"/>
          <w:w w:val="105"/>
          <w:sz w:val="20"/>
        </w:rPr>
        <w:t>head</w:t>
      </w:r>
      <w:r>
        <w:rPr>
          <w:i/>
          <w:color w:val="231F20"/>
          <w:spacing w:val="5"/>
          <w:w w:val="105"/>
          <w:sz w:val="20"/>
        </w:rPr>
        <w:t xml:space="preserve"> </w:t>
      </w:r>
      <w:r>
        <w:rPr>
          <w:i/>
          <w:color w:val="231F20"/>
          <w:w w:val="105"/>
          <w:sz w:val="20"/>
        </w:rPr>
        <w:t>of</w:t>
      </w:r>
      <w:r>
        <w:rPr>
          <w:i/>
          <w:color w:val="231F20"/>
          <w:spacing w:val="5"/>
          <w:w w:val="105"/>
          <w:sz w:val="20"/>
        </w:rPr>
        <w:t xml:space="preserve"> </w:t>
      </w:r>
      <w:r>
        <w:rPr>
          <w:i/>
          <w:color w:val="231F20"/>
          <w:w w:val="105"/>
          <w:sz w:val="20"/>
        </w:rPr>
        <w:t>the</w:t>
      </w:r>
      <w:r>
        <w:rPr>
          <w:i/>
          <w:color w:val="231F20"/>
          <w:spacing w:val="5"/>
          <w:w w:val="105"/>
          <w:sz w:val="20"/>
        </w:rPr>
        <w:t xml:space="preserve"> </w:t>
      </w:r>
      <w:r>
        <w:rPr>
          <w:i/>
          <w:color w:val="231F20"/>
          <w:w w:val="105"/>
          <w:sz w:val="20"/>
        </w:rPr>
        <w:t>West</w:t>
      </w:r>
      <w:r>
        <w:rPr>
          <w:i/>
          <w:color w:val="231F20"/>
          <w:spacing w:val="5"/>
          <w:w w:val="105"/>
          <w:sz w:val="20"/>
        </w:rPr>
        <w:t xml:space="preserve"> </w:t>
      </w:r>
      <w:r>
        <w:rPr>
          <w:i/>
          <w:color w:val="231F20"/>
          <w:spacing w:val="1"/>
          <w:w w:val="105"/>
          <w:sz w:val="20"/>
        </w:rPr>
        <w:t>German</w:t>
      </w:r>
      <w:r>
        <w:rPr>
          <w:i/>
          <w:color w:val="231F20"/>
          <w:spacing w:val="5"/>
          <w:w w:val="105"/>
          <w:sz w:val="20"/>
        </w:rPr>
        <w:t xml:space="preserve"> </w:t>
      </w:r>
      <w:r>
        <w:rPr>
          <w:i/>
          <w:color w:val="231F20"/>
          <w:w w:val="105"/>
          <w:sz w:val="20"/>
        </w:rPr>
        <w:t>industrialists’</w:t>
      </w:r>
    </w:p>
    <w:p w14:paraId="0AF1B5BD" w14:textId="77777777" w:rsidR="002653E8" w:rsidRDefault="003115E3">
      <w:pPr>
        <w:spacing w:before="2" w:line="261" w:lineRule="auto"/>
        <w:ind w:left="1147" w:right="1580"/>
        <w:rPr>
          <w:i/>
          <w:sz w:val="20"/>
        </w:rPr>
      </w:pPr>
      <w:r>
        <w:rPr>
          <w:i/>
          <w:color w:val="231F20"/>
          <w:sz w:val="20"/>
        </w:rPr>
        <w:t xml:space="preserve">association, in an effort to negotiate for the release of revolutionary prisoners.  </w:t>
      </w:r>
      <w:r>
        <w:rPr>
          <w:i/>
          <w:color w:val="231F20"/>
          <w:sz w:val="20"/>
          <w:u w:val="single" w:color="231F20"/>
        </w:rPr>
        <w:t xml:space="preserve">But  we  </w:t>
      </w:r>
      <w:r>
        <w:rPr>
          <w:i/>
          <w:color w:val="231F20"/>
          <w:spacing w:val="1"/>
          <w:sz w:val="20"/>
          <w:u w:val="single" w:color="231F20"/>
        </w:rPr>
        <w:t xml:space="preserve">never  </w:t>
      </w:r>
      <w:r>
        <w:rPr>
          <w:i/>
          <w:color w:val="231F20"/>
          <w:sz w:val="20"/>
          <w:u w:val="single" w:color="231F20"/>
        </w:rPr>
        <w:t>heard  their  political  voices.</w:t>
      </w:r>
      <w:r>
        <w:rPr>
          <w:i/>
          <w:color w:val="231F20"/>
          <w:sz w:val="20"/>
        </w:rPr>
        <w:t xml:space="preserve">  Since  the </w:t>
      </w:r>
      <w:r w:rsidR="00C507A5">
        <w:rPr>
          <w:i/>
          <w:color w:val="231F20"/>
          <w:spacing w:val="3"/>
          <w:sz w:val="20"/>
        </w:rPr>
        <w:t>red army faction</w:t>
      </w:r>
      <w:r>
        <w:rPr>
          <w:i/>
          <w:color w:val="231F20"/>
          <w:spacing w:val="3"/>
          <w:sz w:val="20"/>
        </w:rPr>
        <w:t xml:space="preserve">’s </w:t>
      </w:r>
      <w:r>
        <w:rPr>
          <w:i/>
          <w:color w:val="231F20"/>
          <w:sz w:val="20"/>
        </w:rPr>
        <w:t xml:space="preserve">political </w:t>
      </w:r>
      <w:r>
        <w:rPr>
          <w:i/>
          <w:color w:val="231F20"/>
          <w:spacing w:val="1"/>
          <w:sz w:val="20"/>
        </w:rPr>
        <w:t xml:space="preserve">statements, </w:t>
      </w:r>
      <w:r>
        <w:rPr>
          <w:i/>
          <w:color w:val="231F20"/>
          <w:sz w:val="20"/>
        </w:rPr>
        <w:t>debates, and communiqués were untranslated</w:t>
      </w:r>
      <w:r>
        <w:rPr>
          <w:i/>
          <w:color w:val="231F20"/>
          <w:spacing w:val="18"/>
          <w:sz w:val="20"/>
        </w:rPr>
        <w:t xml:space="preserve"> </w:t>
      </w:r>
      <w:r>
        <w:rPr>
          <w:i/>
          <w:color w:val="231F20"/>
          <w:sz w:val="20"/>
        </w:rPr>
        <w:t>and</w:t>
      </w:r>
      <w:r>
        <w:rPr>
          <w:i/>
          <w:color w:val="231F20"/>
          <w:spacing w:val="18"/>
          <w:sz w:val="20"/>
        </w:rPr>
        <w:t xml:space="preserve"> </w:t>
      </w:r>
      <w:r>
        <w:rPr>
          <w:i/>
          <w:color w:val="231F20"/>
          <w:sz w:val="20"/>
        </w:rPr>
        <w:t>unavailable</w:t>
      </w:r>
      <w:r>
        <w:rPr>
          <w:i/>
          <w:color w:val="231F20"/>
          <w:spacing w:val="18"/>
          <w:sz w:val="20"/>
        </w:rPr>
        <w:t xml:space="preserve"> </w:t>
      </w:r>
      <w:r>
        <w:rPr>
          <w:i/>
          <w:color w:val="231F20"/>
          <w:sz w:val="20"/>
        </w:rPr>
        <w:t>in</w:t>
      </w:r>
      <w:r>
        <w:rPr>
          <w:i/>
          <w:color w:val="231F20"/>
          <w:spacing w:val="18"/>
          <w:sz w:val="20"/>
        </w:rPr>
        <w:t xml:space="preserve"> </w:t>
      </w:r>
      <w:r>
        <w:rPr>
          <w:i/>
          <w:color w:val="231F20"/>
          <w:sz w:val="20"/>
        </w:rPr>
        <w:t>English</w:t>
      </w:r>
      <w:r>
        <w:rPr>
          <w:i/>
          <w:color w:val="231F20"/>
          <w:spacing w:val="18"/>
          <w:sz w:val="20"/>
        </w:rPr>
        <w:t xml:space="preserve"> </w:t>
      </w:r>
      <w:r>
        <w:rPr>
          <w:i/>
          <w:color w:val="231F20"/>
          <w:spacing w:val="1"/>
          <w:sz w:val="20"/>
        </w:rPr>
        <w:t>even</w:t>
      </w:r>
      <w:r>
        <w:rPr>
          <w:i/>
          <w:color w:val="231F20"/>
          <w:spacing w:val="18"/>
          <w:sz w:val="20"/>
        </w:rPr>
        <w:t xml:space="preserve"> </w:t>
      </w:r>
      <w:r>
        <w:rPr>
          <w:i/>
          <w:color w:val="231F20"/>
          <w:sz w:val="20"/>
        </w:rPr>
        <w:t>within</w:t>
      </w:r>
      <w:r>
        <w:rPr>
          <w:i/>
          <w:color w:val="231F20"/>
          <w:spacing w:val="18"/>
          <w:sz w:val="20"/>
        </w:rPr>
        <w:t xml:space="preserve"> </w:t>
      </w:r>
      <w:r>
        <w:rPr>
          <w:i/>
          <w:color w:val="231F20"/>
          <w:sz w:val="20"/>
        </w:rPr>
        <w:t>the</w:t>
      </w:r>
      <w:r>
        <w:rPr>
          <w:i/>
          <w:color w:val="231F20"/>
          <w:spacing w:val="18"/>
          <w:sz w:val="20"/>
        </w:rPr>
        <w:t xml:space="preserve"> </w:t>
      </w:r>
      <w:r>
        <w:rPr>
          <w:i/>
          <w:color w:val="231F20"/>
          <w:spacing w:val="1"/>
          <w:sz w:val="20"/>
        </w:rPr>
        <w:t>left.</w:t>
      </w:r>
    </w:p>
    <w:p w14:paraId="75D5D7D8" w14:textId="77777777" w:rsidR="002653E8" w:rsidRDefault="003115E3">
      <w:pPr>
        <w:spacing w:before="1" w:line="261" w:lineRule="auto"/>
        <w:ind w:left="1147" w:right="1954" w:firstLine="200"/>
        <w:rPr>
          <w:i/>
          <w:sz w:val="20"/>
        </w:rPr>
      </w:pPr>
      <w:r>
        <w:rPr>
          <w:i/>
          <w:color w:val="231F20"/>
          <w:sz w:val="20"/>
        </w:rPr>
        <w:t xml:space="preserve">Now, at </w:t>
      </w:r>
      <w:r>
        <w:rPr>
          <w:i/>
          <w:color w:val="231F20"/>
          <w:spacing w:val="2"/>
          <w:sz w:val="20"/>
        </w:rPr>
        <w:t xml:space="preserve">last, </w:t>
      </w:r>
      <w:r>
        <w:rPr>
          <w:i/>
          <w:color w:val="231F20"/>
          <w:sz w:val="20"/>
        </w:rPr>
        <w:t xml:space="preserve">a significant  </w:t>
      </w:r>
      <w:r>
        <w:rPr>
          <w:i/>
          <w:color w:val="231F20"/>
          <w:spacing w:val="1"/>
          <w:sz w:val="20"/>
        </w:rPr>
        <w:t xml:space="preserve">documentary  </w:t>
      </w:r>
      <w:r>
        <w:rPr>
          <w:i/>
          <w:color w:val="231F20"/>
          <w:sz w:val="20"/>
        </w:rPr>
        <w:t xml:space="preserve">history  of  the  </w:t>
      </w:r>
      <w:r w:rsidR="00C507A5">
        <w:rPr>
          <w:i/>
          <w:color w:val="231F20"/>
          <w:spacing w:val="5"/>
          <w:sz w:val="20"/>
        </w:rPr>
        <w:t>red army faction</w:t>
      </w:r>
      <w:r>
        <w:rPr>
          <w:i/>
          <w:color w:val="231F20"/>
          <w:spacing w:val="5"/>
          <w:sz w:val="20"/>
        </w:rPr>
        <w:t xml:space="preserve"> </w:t>
      </w:r>
      <w:r>
        <w:rPr>
          <w:i/>
          <w:color w:val="231F20"/>
          <w:sz w:val="20"/>
        </w:rPr>
        <w:t xml:space="preserve">has come into the spotlight,  complete  with  a  readable  account of the postwar </w:t>
      </w:r>
      <w:r>
        <w:rPr>
          <w:i/>
          <w:color w:val="231F20"/>
          <w:spacing w:val="1"/>
          <w:sz w:val="20"/>
        </w:rPr>
        <w:t xml:space="preserve">German </w:t>
      </w:r>
      <w:r>
        <w:rPr>
          <w:i/>
          <w:color w:val="231F20"/>
          <w:sz w:val="20"/>
        </w:rPr>
        <w:t xml:space="preserve">New </w:t>
      </w:r>
      <w:r>
        <w:rPr>
          <w:i/>
          <w:color w:val="231F20"/>
          <w:spacing w:val="2"/>
          <w:sz w:val="20"/>
        </w:rPr>
        <w:t xml:space="preserve">Left </w:t>
      </w:r>
      <w:r>
        <w:rPr>
          <w:i/>
          <w:color w:val="231F20"/>
          <w:sz w:val="20"/>
        </w:rPr>
        <w:t xml:space="preserve">from which it </w:t>
      </w:r>
      <w:r>
        <w:rPr>
          <w:i/>
          <w:color w:val="231F20"/>
          <w:spacing w:val="1"/>
          <w:sz w:val="20"/>
        </w:rPr>
        <w:t xml:space="preserve">emerged. </w:t>
      </w:r>
      <w:r>
        <w:rPr>
          <w:i/>
          <w:color w:val="231F20"/>
          <w:sz w:val="20"/>
        </w:rPr>
        <w:t>Even better,</w:t>
      </w:r>
      <w:r>
        <w:rPr>
          <w:i/>
          <w:color w:val="231F20"/>
          <w:spacing w:val="23"/>
          <w:sz w:val="20"/>
        </w:rPr>
        <w:t xml:space="preserve"> </w:t>
      </w:r>
      <w:r>
        <w:rPr>
          <w:i/>
          <w:color w:val="231F20"/>
          <w:sz w:val="20"/>
        </w:rPr>
        <w:t>this</w:t>
      </w:r>
      <w:r>
        <w:rPr>
          <w:i/>
          <w:color w:val="231F20"/>
          <w:spacing w:val="23"/>
          <w:sz w:val="20"/>
        </w:rPr>
        <w:t xml:space="preserve"> </w:t>
      </w:r>
      <w:r>
        <w:rPr>
          <w:i/>
          <w:color w:val="231F20"/>
          <w:sz w:val="20"/>
        </w:rPr>
        <w:t>work</w:t>
      </w:r>
      <w:r>
        <w:rPr>
          <w:i/>
          <w:color w:val="231F20"/>
          <w:spacing w:val="23"/>
          <w:sz w:val="20"/>
        </w:rPr>
        <w:t xml:space="preserve"> </w:t>
      </w:r>
      <w:r>
        <w:rPr>
          <w:i/>
          <w:color w:val="231F20"/>
          <w:sz w:val="20"/>
        </w:rPr>
        <w:t>was</w:t>
      </w:r>
      <w:r>
        <w:rPr>
          <w:i/>
          <w:color w:val="231F20"/>
          <w:spacing w:val="23"/>
          <w:sz w:val="20"/>
        </w:rPr>
        <w:t xml:space="preserve"> </w:t>
      </w:r>
      <w:r>
        <w:rPr>
          <w:i/>
          <w:color w:val="231F20"/>
          <w:sz w:val="20"/>
        </w:rPr>
        <w:t>done</w:t>
      </w:r>
      <w:r>
        <w:rPr>
          <w:i/>
          <w:color w:val="231F20"/>
          <w:spacing w:val="23"/>
          <w:sz w:val="20"/>
        </w:rPr>
        <w:t xml:space="preserve"> </w:t>
      </w:r>
      <w:r>
        <w:rPr>
          <w:i/>
          <w:color w:val="231F20"/>
          <w:sz w:val="20"/>
        </w:rPr>
        <w:t>by</w:t>
      </w:r>
      <w:r>
        <w:rPr>
          <w:i/>
          <w:color w:val="231F20"/>
          <w:spacing w:val="23"/>
          <w:sz w:val="20"/>
        </w:rPr>
        <w:t xml:space="preserve"> </w:t>
      </w:r>
      <w:r>
        <w:rPr>
          <w:i/>
          <w:color w:val="231F20"/>
          <w:sz w:val="20"/>
        </w:rPr>
        <w:t>editors/translators</w:t>
      </w:r>
      <w:r>
        <w:rPr>
          <w:i/>
          <w:color w:val="231F20"/>
          <w:spacing w:val="23"/>
          <w:sz w:val="20"/>
        </w:rPr>
        <w:t xml:space="preserve"> </w:t>
      </w:r>
      <w:r>
        <w:rPr>
          <w:i/>
          <w:color w:val="231F20"/>
          <w:sz w:val="20"/>
        </w:rPr>
        <w:t>who</w:t>
      </w:r>
      <w:r>
        <w:rPr>
          <w:i/>
          <w:color w:val="231F20"/>
          <w:spacing w:val="23"/>
          <w:sz w:val="20"/>
        </w:rPr>
        <w:t xml:space="preserve"> </w:t>
      </w:r>
      <w:r>
        <w:rPr>
          <w:i/>
          <w:color w:val="231F20"/>
          <w:sz w:val="20"/>
        </w:rPr>
        <w:t>reject</w:t>
      </w:r>
      <w:r>
        <w:rPr>
          <w:i/>
          <w:color w:val="231F20"/>
          <w:spacing w:val="23"/>
          <w:sz w:val="20"/>
        </w:rPr>
        <w:t xml:space="preserve"> </w:t>
      </w:r>
      <w:r>
        <w:rPr>
          <w:i/>
          <w:color w:val="231F20"/>
          <w:sz w:val="20"/>
        </w:rPr>
        <w:t>the</w:t>
      </w:r>
    </w:p>
    <w:p w14:paraId="27C65E8C" w14:textId="77777777" w:rsidR="002653E8" w:rsidRDefault="003115E3">
      <w:pPr>
        <w:spacing w:before="2" w:line="261" w:lineRule="auto"/>
        <w:ind w:left="1147" w:right="1513"/>
        <w:rPr>
          <w:i/>
          <w:sz w:val="20"/>
        </w:rPr>
      </w:pPr>
      <w:r>
        <w:rPr>
          <w:i/>
          <w:color w:val="231F20"/>
          <w:w w:val="105"/>
          <w:sz w:val="20"/>
        </w:rPr>
        <w:t xml:space="preserve">obedient capitalist media’s trivializing of the </w:t>
      </w:r>
      <w:r w:rsidR="00C507A5">
        <w:rPr>
          <w:i/>
          <w:color w:val="231F20"/>
          <w:w w:val="105"/>
          <w:sz w:val="20"/>
        </w:rPr>
        <w:t>red army faction</w:t>
      </w:r>
      <w:r>
        <w:rPr>
          <w:i/>
          <w:color w:val="231F20"/>
          <w:w w:val="105"/>
          <w:sz w:val="20"/>
        </w:rPr>
        <w:t xml:space="preserve"> as “pathological” death-wishing celebrities. In their hands, the words of the </w:t>
      </w:r>
      <w:r w:rsidR="00C507A5">
        <w:rPr>
          <w:i/>
          <w:color w:val="231F20"/>
          <w:w w:val="105"/>
          <w:sz w:val="20"/>
        </w:rPr>
        <w:t>red army faction</w:t>
      </w:r>
    </w:p>
    <w:p w14:paraId="0025FC0D" w14:textId="77777777" w:rsidR="002653E8" w:rsidRDefault="003115E3">
      <w:pPr>
        <w:spacing w:before="1" w:line="261" w:lineRule="auto"/>
        <w:ind w:left="1147" w:right="1479"/>
        <w:rPr>
          <w:i/>
          <w:sz w:val="20"/>
        </w:rPr>
      </w:pPr>
      <w:r>
        <w:rPr>
          <w:i/>
          <w:color w:val="231F20"/>
          <w:w w:val="105"/>
          <w:sz w:val="20"/>
        </w:rPr>
        <w:t xml:space="preserve">are revealed </w:t>
      </w:r>
      <w:r>
        <w:rPr>
          <w:i/>
          <w:color w:val="231F20"/>
          <w:spacing w:val="1"/>
          <w:w w:val="105"/>
          <w:sz w:val="20"/>
        </w:rPr>
        <w:t xml:space="preserve">as </w:t>
      </w:r>
      <w:r>
        <w:rPr>
          <w:i/>
          <w:color w:val="231F20"/>
          <w:w w:val="105"/>
          <w:sz w:val="20"/>
        </w:rPr>
        <w:t xml:space="preserve">serious responses to the failure of parliamentary reformism, trade-unionism, and </w:t>
      </w:r>
      <w:r>
        <w:rPr>
          <w:i/>
          <w:color w:val="231F20"/>
          <w:spacing w:val="1"/>
          <w:w w:val="105"/>
          <w:sz w:val="20"/>
        </w:rPr>
        <w:t xml:space="preserve">pacifism, </w:t>
      </w:r>
      <w:r>
        <w:rPr>
          <w:i/>
          <w:color w:val="231F20"/>
          <w:w w:val="105"/>
          <w:sz w:val="20"/>
        </w:rPr>
        <w:t xml:space="preserve">to stop the solidification of Germany’s own form of a neofascist capitalism (lightly cosmeticized with a </w:t>
      </w:r>
      <w:r>
        <w:rPr>
          <w:i/>
          <w:color w:val="231F20"/>
          <w:spacing w:val="1"/>
          <w:w w:val="105"/>
          <w:sz w:val="20"/>
        </w:rPr>
        <w:t xml:space="preserve">layer </w:t>
      </w:r>
      <w:r>
        <w:rPr>
          <w:i/>
          <w:color w:val="231F20"/>
          <w:w w:val="105"/>
          <w:sz w:val="20"/>
        </w:rPr>
        <w:t xml:space="preserve">of that numbing “consumer democracy”). The young  </w:t>
      </w:r>
      <w:r w:rsidR="00C507A5">
        <w:rPr>
          <w:i/>
          <w:color w:val="231F20"/>
          <w:spacing w:val="5"/>
          <w:w w:val="105"/>
          <w:sz w:val="20"/>
        </w:rPr>
        <w:t>red army faction</w:t>
      </w:r>
      <w:r>
        <w:rPr>
          <w:i/>
          <w:color w:val="231F20"/>
          <w:spacing w:val="5"/>
          <w:w w:val="105"/>
          <w:sz w:val="20"/>
        </w:rPr>
        <w:t xml:space="preserve"> </w:t>
      </w:r>
      <w:r>
        <w:rPr>
          <w:i/>
          <w:color w:val="231F20"/>
          <w:w w:val="105"/>
          <w:sz w:val="20"/>
        </w:rPr>
        <w:t>fighters hoped for liberation in their dangerous</w:t>
      </w:r>
      <w:r>
        <w:rPr>
          <w:i/>
          <w:color w:val="231F20"/>
          <w:spacing w:val="38"/>
          <w:w w:val="105"/>
          <w:sz w:val="20"/>
        </w:rPr>
        <w:t xml:space="preserve"> </w:t>
      </w:r>
      <w:r>
        <w:rPr>
          <w:i/>
          <w:color w:val="231F20"/>
          <w:spacing w:val="1"/>
          <w:w w:val="105"/>
          <w:sz w:val="20"/>
        </w:rPr>
        <w:t>experiment</w:t>
      </w:r>
    </w:p>
    <w:p w14:paraId="4C43345F" w14:textId="77777777" w:rsidR="002653E8" w:rsidRDefault="003115E3">
      <w:pPr>
        <w:spacing w:before="2" w:line="261" w:lineRule="auto"/>
        <w:ind w:left="1147" w:right="1903"/>
        <w:rPr>
          <w:i/>
          <w:sz w:val="20"/>
        </w:rPr>
      </w:pPr>
      <w:r>
        <w:rPr>
          <w:i/>
          <w:color w:val="231F20"/>
          <w:w w:val="105"/>
          <w:sz w:val="20"/>
        </w:rPr>
        <w:t xml:space="preserve">but were willing to accept tragic consequences, and their story is emotionally difficult to read with eyes open. Controversial </w:t>
      </w:r>
      <w:r>
        <w:rPr>
          <w:i/>
          <w:color w:val="231F20"/>
          <w:spacing w:val="1"/>
          <w:w w:val="105"/>
          <w:sz w:val="20"/>
        </w:rPr>
        <w:t xml:space="preserve">as </w:t>
      </w:r>
      <w:r>
        <w:rPr>
          <w:i/>
          <w:color w:val="231F20"/>
          <w:w w:val="105"/>
          <w:sz w:val="20"/>
        </w:rPr>
        <w:t>the</w:t>
      </w:r>
      <w:r>
        <w:rPr>
          <w:i/>
          <w:color w:val="231F20"/>
          <w:spacing w:val="10"/>
          <w:w w:val="105"/>
          <w:sz w:val="20"/>
        </w:rPr>
        <w:t xml:space="preserve"> </w:t>
      </w:r>
      <w:r w:rsidR="00C507A5">
        <w:rPr>
          <w:i/>
          <w:color w:val="231F20"/>
          <w:spacing w:val="5"/>
          <w:w w:val="105"/>
          <w:sz w:val="20"/>
        </w:rPr>
        <w:t>red army faction</w:t>
      </w:r>
      <w:r>
        <w:rPr>
          <w:i/>
          <w:color w:val="231F20"/>
          <w:spacing w:val="10"/>
          <w:w w:val="105"/>
          <w:sz w:val="20"/>
        </w:rPr>
        <w:t xml:space="preserve"> </w:t>
      </w:r>
      <w:r>
        <w:rPr>
          <w:i/>
          <w:color w:val="231F20"/>
          <w:w w:val="105"/>
          <w:sz w:val="20"/>
        </w:rPr>
        <w:t>was,</w:t>
      </w:r>
      <w:r>
        <w:rPr>
          <w:i/>
          <w:color w:val="231F20"/>
          <w:spacing w:val="10"/>
          <w:w w:val="105"/>
          <w:sz w:val="20"/>
        </w:rPr>
        <w:t xml:space="preserve"> </w:t>
      </w:r>
      <w:r>
        <w:rPr>
          <w:i/>
          <w:color w:val="231F20"/>
          <w:w w:val="105"/>
          <w:sz w:val="20"/>
        </w:rPr>
        <w:t>their</w:t>
      </w:r>
      <w:r>
        <w:rPr>
          <w:i/>
          <w:color w:val="231F20"/>
          <w:spacing w:val="10"/>
          <w:w w:val="105"/>
          <w:sz w:val="20"/>
        </w:rPr>
        <w:t xml:space="preserve"> </w:t>
      </w:r>
      <w:r>
        <w:rPr>
          <w:i/>
          <w:color w:val="231F20"/>
          <w:w w:val="105"/>
          <w:sz w:val="20"/>
        </w:rPr>
        <w:t>systematic</w:t>
      </w:r>
      <w:r>
        <w:rPr>
          <w:i/>
          <w:color w:val="231F20"/>
          <w:spacing w:val="10"/>
          <w:w w:val="105"/>
          <w:sz w:val="20"/>
        </w:rPr>
        <w:t xml:space="preserve"> </w:t>
      </w:r>
      <w:r>
        <w:rPr>
          <w:i/>
          <w:color w:val="231F20"/>
          <w:w w:val="105"/>
          <w:sz w:val="20"/>
        </w:rPr>
        <w:t>torture</w:t>
      </w:r>
      <w:r>
        <w:rPr>
          <w:i/>
          <w:color w:val="231F20"/>
          <w:spacing w:val="10"/>
          <w:w w:val="105"/>
          <w:sz w:val="20"/>
        </w:rPr>
        <w:t xml:space="preserve"> </w:t>
      </w:r>
      <w:r>
        <w:rPr>
          <w:i/>
          <w:color w:val="231F20"/>
          <w:w w:val="105"/>
          <w:sz w:val="20"/>
        </w:rPr>
        <w:t>in</w:t>
      </w:r>
      <w:r>
        <w:rPr>
          <w:i/>
          <w:color w:val="231F20"/>
          <w:spacing w:val="10"/>
          <w:w w:val="105"/>
          <w:sz w:val="20"/>
        </w:rPr>
        <w:t xml:space="preserve"> </w:t>
      </w:r>
      <w:r>
        <w:rPr>
          <w:i/>
          <w:color w:val="231F20"/>
          <w:w w:val="105"/>
          <w:sz w:val="20"/>
        </w:rPr>
        <w:t>special</w:t>
      </w:r>
      <w:r>
        <w:rPr>
          <w:i/>
          <w:color w:val="231F20"/>
          <w:spacing w:val="10"/>
          <w:w w:val="105"/>
          <w:sz w:val="20"/>
        </w:rPr>
        <w:t xml:space="preserve"> </w:t>
      </w:r>
      <w:r>
        <w:rPr>
          <w:i/>
          <w:color w:val="231F20"/>
          <w:w w:val="105"/>
          <w:sz w:val="20"/>
        </w:rPr>
        <w:t>“anti-terrorist”</w:t>
      </w:r>
    </w:p>
    <w:p w14:paraId="493CFC73" w14:textId="77777777" w:rsidR="002653E8" w:rsidRDefault="003115E3">
      <w:pPr>
        <w:spacing w:before="1" w:line="261" w:lineRule="auto"/>
        <w:ind w:left="1147" w:right="1729"/>
        <w:rPr>
          <w:i/>
          <w:sz w:val="20"/>
        </w:rPr>
      </w:pPr>
      <w:r>
        <w:rPr>
          <w:i/>
          <w:color w:val="231F20"/>
          <w:w w:val="105"/>
          <w:sz w:val="20"/>
        </w:rPr>
        <w:t xml:space="preserve">facilities stirred worldwide unease and </w:t>
      </w:r>
      <w:r>
        <w:rPr>
          <w:i/>
          <w:color w:val="231F20"/>
          <w:spacing w:val="1"/>
          <w:w w:val="105"/>
          <w:sz w:val="20"/>
        </w:rPr>
        <w:t xml:space="preserve">even </w:t>
      </w:r>
      <w:r>
        <w:rPr>
          <w:i/>
          <w:color w:val="231F20"/>
          <w:w w:val="105"/>
          <w:sz w:val="20"/>
        </w:rPr>
        <w:t xml:space="preserve">protest. In fact, those special prisons were the eagerly studied forerunners for the </w:t>
      </w:r>
      <w:r>
        <w:rPr>
          <w:i/>
          <w:color w:val="231F20"/>
          <w:spacing w:val="2"/>
          <w:w w:val="105"/>
          <w:sz w:val="20"/>
        </w:rPr>
        <w:t xml:space="preserve">u.s. </w:t>
      </w:r>
      <w:r>
        <w:rPr>
          <w:i/>
          <w:color w:val="231F20"/>
          <w:w w:val="105"/>
          <w:sz w:val="20"/>
        </w:rPr>
        <w:t xml:space="preserve">empire’s own latest human rights abuses, from </w:t>
      </w:r>
      <w:r>
        <w:rPr>
          <w:i/>
          <w:color w:val="231F20"/>
          <w:spacing w:val="1"/>
          <w:w w:val="105"/>
          <w:sz w:val="20"/>
        </w:rPr>
        <w:t xml:space="preserve">Guantanamo </w:t>
      </w:r>
      <w:r>
        <w:rPr>
          <w:i/>
          <w:color w:val="231F20"/>
          <w:w w:val="105"/>
          <w:sz w:val="20"/>
        </w:rPr>
        <w:t xml:space="preserve">to the domestic </w:t>
      </w:r>
      <w:r>
        <w:rPr>
          <w:i/>
          <w:color w:val="231F20"/>
          <w:spacing w:val="1"/>
          <w:w w:val="105"/>
          <w:sz w:val="20"/>
        </w:rPr>
        <w:t xml:space="preserve">“maxi-maxi” </w:t>
      </w:r>
      <w:r>
        <w:rPr>
          <w:i/>
          <w:color w:val="231F20"/>
          <w:w w:val="105"/>
          <w:sz w:val="20"/>
        </w:rPr>
        <w:t xml:space="preserve">prisons. </w:t>
      </w:r>
      <w:r>
        <w:rPr>
          <w:i/>
          <w:color w:val="231F20"/>
          <w:spacing w:val="-4"/>
          <w:w w:val="105"/>
          <w:sz w:val="20"/>
        </w:rPr>
        <w:t xml:space="preserve">We </w:t>
      </w:r>
      <w:r>
        <w:rPr>
          <w:i/>
          <w:color w:val="231F20"/>
          <w:w w:val="105"/>
          <w:sz w:val="20"/>
        </w:rPr>
        <w:t xml:space="preserve">all and the </w:t>
      </w:r>
      <w:r w:rsidR="00C507A5">
        <w:rPr>
          <w:i/>
          <w:color w:val="231F20"/>
          <w:spacing w:val="5"/>
          <w:w w:val="105"/>
          <w:sz w:val="20"/>
        </w:rPr>
        <w:t>red army faction</w:t>
      </w:r>
      <w:r>
        <w:rPr>
          <w:i/>
          <w:color w:val="231F20"/>
          <w:spacing w:val="5"/>
          <w:w w:val="105"/>
          <w:sz w:val="20"/>
        </w:rPr>
        <w:t xml:space="preserve"> </w:t>
      </w:r>
      <w:r>
        <w:rPr>
          <w:i/>
          <w:color w:val="231F20"/>
          <w:w w:val="105"/>
          <w:sz w:val="20"/>
        </w:rPr>
        <w:t xml:space="preserve">are much closer than the capitalist public wants to believe. It is all here, in this first volume of the Red Army Faction </w:t>
      </w:r>
      <w:r>
        <w:rPr>
          <w:i/>
          <w:color w:val="231F20"/>
          <w:spacing w:val="1"/>
          <w:w w:val="105"/>
          <w:sz w:val="20"/>
        </w:rPr>
        <w:t xml:space="preserve">documentary </w:t>
      </w:r>
      <w:r>
        <w:rPr>
          <w:i/>
          <w:color w:val="231F20"/>
          <w:w w:val="105"/>
          <w:sz w:val="20"/>
        </w:rPr>
        <w:t>histories, and</w:t>
      </w:r>
      <w:r>
        <w:rPr>
          <w:i/>
          <w:color w:val="231F20"/>
          <w:spacing w:val="8"/>
          <w:w w:val="105"/>
          <w:sz w:val="20"/>
        </w:rPr>
        <w:t xml:space="preserve"> </w:t>
      </w:r>
      <w:r>
        <w:rPr>
          <w:i/>
          <w:color w:val="231F20"/>
          <w:w w:val="105"/>
          <w:sz w:val="20"/>
        </w:rPr>
        <w:t>we</w:t>
      </w:r>
      <w:r>
        <w:rPr>
          <w:i/>
          <w:color w:val="231F20"/>
          <w:spacing w:val="8"/>
          <w:w w:val="105"/>
          <w:sz w:val="20"/>
        </w:rPr>
        <w:t xml:space="preserve"> </w:t>
      </w:r>
      <w:r>
        <w:rPr>
          <w:i/>
          <w:color w:val="231F20"/>
          <w:w w:val="105"/>
          <w:sz w:val="20"/>
        </w:rPr>
        <w:t>should</w:t>
      </w:r>
      <w:r>
        <w:rPr>
          <w:i/>
          <w:color w:val="231F20"/>
          <w:spacing w:val="8"/>
          <w:w w:val="105"/>
          <w:sz w:val="20"/>
        </w:rPr>
        <w:t xml:space="preserve"> </w:t>
      </w:r>
      <w:r>
        <w:rPr>
          <w:i/>
          <w:color w:val="231F20"/>
          <w:w w:val="105"/>
          <w:sz w:val="20"/>
        </w:rPr>
        <w:t>thank</w:t>
      </w:r>
      <w:r>
        <w:rPr>
          <w:i/>
          <w:color w:val="231F20"/>
          <w:spacing w:val="8"/>
          <w:w w:val="105"/>
          <w:sz w:val="20"/>
        </w:rPr>
        <w:t xml:space="preserve"> </w:t>
      </w:r>
      <w:r>
        <w:rPr>
          <w:i/>
          <w:color w:val="231F20"/>
          <w:w w:val="105"/>
          <w:sz w:val="20"/>
        </w:rPr>
        <w:t>all</w:t>
      </w:r>
      <w:r>
        <w:rPr>
          <w:i/>
          <w:color w:val="231F20"/>
          <w:spacing w:val="8"/>
          <w:w w:val="105"/>
          <w:sz w:val="20"/>
        </w:rPr>
        <w:t xml:space="preserve"> </w:t>
      </w:r>
      <w:r>
        <w:rPr>
          <w:i/>
          <w:color w:val="231F20"/>
          <w:w w:val="105"/>
          <w:sz w:val="20"/>
        </w:rPr>
        <w:t>those</w:t>
      </w:r>
      <w:r>
        <w:rPr>
          <w:i/>
          <w:color w:val="231F20"/>
          <w:spacing w:val="8"/>
          <w:w w:val="105"/>
          <w:sz w:val="20"/>
        </w:rPr>
        <w:t xml:space="preserve"> </w:t>
      </w:r>
      <w:r>
        <w:rPr>
          <w:i/>
          <w:color w:val="231F20"/>
          <w:w w:val="105"/>
          <w:sz w:val="20"/>
        </w:rPr>
        <w:t>who</w:t>
      </w:r>
      <w:r>
        <w:rPr>
          <w:i/>
          <w:color w:val="231F20"/>
          <w:spacing w:val="8"/>
          <w:w w:val="105"/>
          <w:sz w:val="20"/>
        </w:rPr>
        <w:t xml:space="preserve"> </w:t>
      </w:r>
      <w:r>
        <w:rPr>
          <w:i/>
          <w:color w:val="231F20"/>
          <w:w w:val="105"/>
          <w:sz w:val="20"/>
        </w:rPr>
        <w:t>worked</w:t>
      </w:r>
      <w:r>
        <w:rPr>
          <w:i/>
          <w:color w:val="231F20"/>
          <w:spacing w:val="8"/>
          <w:w w:val="105"/>
          <w:sz w:val="20"/>
        </w:rPr>
        <w:t xml:space="preserve"> </w:t>
      </w:r>
      <w:r>
        <w:rPr>
          <w:i/>
          <w:color w:val="231F20"/>
          <w:w w:val="105"/>
          <w:sz w:val="20"/>
        </w:rPr>
        <w:t>on</w:t>
      </w:r>
      <w:r>
        <w:rPr>
          <w:i/>
          <w:color w:val="231F20"/>
          <w:spacing w:val="8"/>
          <w:w w:val="105"/>
          <w:sz w:val="20"/>
        </w:rPr>
        <w:t xml:space="preserve"> </w:t>
      </w:r>
      <w:r>
        <w:rPr>
          <w:i/>
          <w:color w:val="231F20"/>
          <w:w w:val="105"/>
          <w:sz w:val="20"/>
        </w:rPr>
        <w:t>this</w:t>
      </w:r>
      <w:r>
        <w:rPr>
          <w:i/>
          <w:color w:val="231F20"/>
          <w:spacing w:val="8"/>
          <w:w w:val="105"/>
          <w:sz w:val="20"/>
        </w:rPr>
        <w:t xml:space="preserve"> </w:t>
      </w:r>
      <w:r>
        <w:rPr>
          <w:i/>
          <w:color w:val="231F20"/>
          <w:w w:val="105"/>
          <w:sz w:val="20"/>
        </w:rPr>
        <w:t>book.</w:t>
      </w:r>
    </w:p>
    <w:p w14:paraId="43ADAB22" w14:textId="77777777" w:rsidR="002653E8" w:rsidRDefault="003115E3">
      <w:pPr>
        <w:spacing w:before="43"/>
        <w:ind w:left="1573"/>
        <w:rPr>
          <w:i/>
          <w:sz w:val="20"/>
        </w:rPr>
      </w:pPr>
      <w:r>
        <w:rPr>
          <w:i/>
          <w:color w:val="231F20"/>
          <w:w w:val="105"/>
          <w:sz w:val="20"/>
        </w:rPr>
        <w:t>—J. Sakai, author of Settlers: Mythology of the White Proletariat</w:t>
      </w:r>
    </w:p>
    <w:p w14:paraId="788B0BA5" w14:textId="77777777" w:rsidR="002653E8" w:rsidRDefault="002653E8">
      <w:pPr>
        <w:rPr>
          <w:sz w:val="20"/>
        </w:rPr>
        <w:sectPr w:rsidR="002653E8">
          <w:pgSz w:w="8640" w:h="12960"/>
          <w:pgMar w:top="1080" w:right="0" w:bottom="280" w:left="0" w:header="720" w:footer="720" w:gutter="0"/>
          <w:cols w:space="720"/>
        </w:sectPr>
      </w:pPr>
    </w:p>
    <w:p w14:paraId="094AA00C" w14:textId="77777777" w:rsidR="002653E8" w:rsidRDefault="003115E3">
      <w:pPr>
        <w:spacing w:before="163"/>
        <w:ind w:left="3907" w:right="1729"/>
      </w:pPr>
      <w:r>
        <w:rPr>
          <w:color w:val="231F20"/>
          <w:spacing w:val="16"/>
          <w:w w:val="120"/>
        </w:rPr>
        <w:lastRenderedPageBreak/>
        <w:t xml:space="preserve">the red  </w:t>
      </w:r>
      <w:r>
        <w:rPr>
          <w:color w:val="231F20"/>
          <w:spacing w:val="20"/>
          <w:w w:val="120"/>
        </w:rPr>
        <w:t xml:space="preserve">army  </w:t>
      </w:r>
      <w:r>
        <w:rPr>
          <w:color w:val="231F20"/>
          <w:spacing w:val="15"/>
          <w:w w:val="120"/>
        </w:rPr>
        <w:t xml:space="preserve">faction: </w:t>
      </w:r>
      <w:r>
        <w:rPr>
          <w:color w:val="231F20"/>
          <w:w w:val="120"/>
        </w:rPr>
        <w:t xml:space="preserve">a </w:t>
      </w:r>
      <w:r>
        <w:rPr>
          <w:color w:val="231F20"/>
          <w:spacing w:val="20"/>
          <w:w w:val="120"/>
        </w:rPr>
        <w:t>documentary</w:t>
      </w:r>
      <w:r>
        <w:rPr>
          <w:color w:val="231F20"/>
          <w:spacing w:val="40"/>
          <w:w w:val="120"/>
        </w:rPr>
        <w:t xml:space="preserve"> </w:t>
      </w:r>
      <w:r>
        <w:rPr>
          <w:color w:val="231F20"/>
          <w:spacing w:val="18"/>
          <w:w w:val="120"/>
        </w:rPr>
        <w:t>history</w:t>
      </w:r>
    </w:p>
    <w:p w14:paraId="0EEA9D71" w14:textId="77777777" w:rsidR="002653E8" w:rsidRDefault="002653E8">
      <w:pPr>
        <w:pStyle w:val="a3"/>
        <w:rPr>
          <w:sz w:val="26"/>
        </w:rPr>
      </w:pPr>
    </w:p>
    <w:p w14:paraId="59A6AA8D" w14:textId="77777777" w:rsidR="002653E8" w:rsidRDefault="002653E8">
      <w:pPr>
        <w:pStyle w:val="a3"/>
        <w:rPr>
          <w:sz w:val="26"/>
        </w:rPr>
      </w:pPr>
    </w:p>
    <w:p w14:paraId="69E9CD65" w14:textId="77777777" w:rsidR="002653E8" w:rsidRDefault="002653E8">
      <w:pPr>
        <w:pStyle w:val="a3"/>
        <w:rPr>
          <w:sz w:val="26"/>
        </w:rPr>
      </w:pPr>
    </w:p>
    <w:p w14:paraId="4979844B" w14:textId="77777777" w:rsidR="002653E8" w:rsidRDefault="002653E8">
      <w:pPr>
        <w:pStyle w:val="a3"/>
        <w:rPr>
          <w:sz w:val="26"/>
        </w:rPr>
      </w:pPr>
    </w:p>
    <w:p w14:paraId="55D4FA9A" w14:textId="77777777" w:rsidR="002653E8" w:rsidRDefault="002653E8">
      <w:pPr>
        <w:pStyle w:val="a3"/>
        <w:rPr>
          <w:sz w:val="26"/>
        </w:rPr>
      </w:pPr>
    </w:p>
    <w:p w14:paraId="669EB91D" w14:textId="77777777" w:rsidR="002653E8" w:rsidRDefault="002653E8">
      <w:pPr>
        <w:pStyle w:val="a3"/>
        <w:rPr>
          <w:sz w:val="26"/>
        </w:rPr>
      </w:pPr>
    </w:p>
    <w:p w14:paraId="72307F33" w14:textId="77777777" w:rsidR="002653E8" w:rsidRDefault="003115E3">
      <w:pPr>
        <w:spacing w:before="225"/>
        <w:ind w:left="322"/>
        <w:jc w:val="center"/>
      </w:pPr>
      <w:r>
        <w:rPr>
          <w:color w:val="757679"/>
          <w:spacing w:val="15"/>
          <w:w w:val="115"/>
        </w:rPr>
        <w:t xml:space="preserve">volume </w:t>
      </w:r>
      <w:r>
        <w:rPr>
          <w:color w:val="757679"/>
          <w:w w:val="115"/>
        </w:rPr>
        <w:t>1</w:t>
      </w:r>
    </w:p>
    <w:p w14:paraId="498CB66C" w14:textId="77777777" w:rsidR="002653E8" w:rsidRDefault="003115E3">
      <w:pPr>
        <w:spacing w:before="64" w:line="1100" w:lineRule="exact"/>
        <w:ind w:left="3452"/>
        <w:rPr>
          <w:rFonts w:ascii="Calibri"/>
          <w:sz w:val="50"/>
        </w:rPr>
      </w:pPr>
      <w:r>
        <w:rPr>
          <w:rFonts w:ascii="Calibri"/>
          <w:color w:val="231F20"/>
          <w:w w:val="120"/>
          <w:sz w:val="96"/>
        </w:rPr>
        <w:t>P</w:t>
      </w:r>
      <w:r>
        <w:rPr>
          <w:rFonts w:ascii="Calibri"/>
          <w:color w:val="231F20"/>
          <w:w w:val="120"/>
          <w:sz w:val="50"/>
        </w:rPr>
        <w:t>ROJECTILES</w:t>
      </w:r>
    </w:p>
    <w:p w14:paraId="363F207B" w14:textId="77777777" w:rsidR="002653E8" w:rsidRDefault="003115E3">
      <w:pPr>
        <w:spacing w:line="1100" w:lineRule="exact"/>
        <w:ind w:left="3507"/>
        <w:rPr>
          <w:rFonts w:ascii="Calibri"/>
          <w:sz w:val="50"/>
        </w:rPr>
      </w:pPr>
      <w:r>
        <w:rPr>
          <w:rFonts w:ascii="Calibri"/>
          <w:color w:val="231F20"/>
          <w:w w:val="110"/>
          <w:sz w:val="36"/>
        </w:rPr>
        <w:t xml:space="preserve">for the </w:t>
      </w:r>
      <w:r>
        <w:rPr>
          <w:rFonts w:ascii="Calibri"/>
          <w:color w:val="231F20"/>
          <w:w w:val="110"/>
          <w:sz w:val="96"/>
        </w:rPr>
        <w:t>P</w:t>
      </w:r>
      <w:r>
        <w:rPr>
          <w:rFonts w:ascii="Calibri"/>
          <w:color w:val="231F20"/>
          <w:w w:val="110"/>
          <w:sz w:val="50"/>
        </w:rPr>
        <w:t>EOPLE</w:t>
      </w:r>
    </w:p>
    <w:p w14:paraId="2ECDE0F5" w14:textId="77777777" w:rsidR="002653E8" w:rsidRDefault="002653E8">
      <w:pPr>
        <w:spacing w:line="1100" w:lineRule="exact"/>
        <w:rPr>
          <w:rFonts w:ascii="Calibri"/>
          <w:sz w:val="50"/>
        </w:rPr>
        <w:sectPr w:rsidR="002653E8">
          <w:pgSz w:w="8640" w:h="12960"/>
          <w:pgMar w:top="1220" w:right="0" w:bottom="280" w:left="0" w:header="720" w:footer="720" w:gutter="0"/>
          <w:cols w:space="720"/>
        </w:sectPr>
      </w:pPr>
    </w:p>
    <w:p w14:paraId="2B3BDB6A" w14:textId="77777777" w:rsidR="002653E8" w:rsidRDefault="002653E8">
      <w:pPr>
        <w:pStyle w:val="a3"/>
        <w:spacing w:before="4"/>
        <w:rPr>
          <w:rFonts w:ascii="Times New Roman"/>
          <w:sz w:val="17"/>
        </w:rPr>
      </w:pPr>
    </w:p>
    <w:p w14:paraId="325D4521" w14:textId="77777777" w:rsidR="002653E8" w:rsidRDefault="002653E8">
      <w:pPr>
        <w:rPr>
          <w:rFonts w:ascii="Times New Roman"/>
          <w:sz w:val="17"/>
        </w:rPr>
        <w:sectPr w:rsidR="002653E8">
          <w:pgSz w:w="8640" w:h="12960"/>
          <w:pgMar w:top="1220" w:right="0" w:bottom="280" w:left="0" w:header="720" w:footer="720" w:gutter="0"/>
          <w:cols w:space="720"/>
        </w:sectPr>
      </w:pPr>
    </w:p>
    <w:p w14:paraId="3F31D1BD" w14:textId="77777777" w:rsidR="002653E8" w:rsidRDefault="003115E3">
      <w:pPr>
        <w:spacing w:before="163"/>
        <w:ind w:left="3907" w:right="1729"/>
      </w:pPr>
      <w:r>
        <w:rPr>
          <w:color w:val="231F20"/>
          <w:spacing w:val="16"/>
          <w:w w:val="120"/>
        </w:rPr>
        <w:lastRenderedPageBreak/>
        <w:t xml:space="preserve">the red  </w:t>
      </w:r>
      <w:r>
        <w:rPr>
          <w:color w:val="231F20"/>
          <w:spacing w:val="20"/>
          <w:w w:val="120"/>
        </w:rPr>
        <w:t xml:space="preserve">army  </w:t>
      </w:r>
      <w:r>
        <w:rPr>
          <w:color w:val="231F20"/>
          <w:spacing w:val="15"/>
          <w:w w:val="120"/>
        </w:rPr>
        <w:t xml:space="preserve">faction: </w:t>
      </w:r>
      <w:r>
        <w:rPr>
          <w:color w:val="231F20"/>
          <w:w w:val="120"/>
        </w:rPr>
        <w:t xml:space="preserve">a </w:t>
      </w:r>
      <w:r>
        <w:rPr>
          <w:color w:val="231F20"/>
          <w:spacing w:val="20"/>
          <w:w w:val="120"/>
        </w:rPr>
        <w:t>documentary</w:t>
      </w:r>
      <w:r>
        <w:rPr>
          <w:color w:val="231F20"/>
          <w:spacing w:val="40"/>
          <w:w w:val="120"/>
        </w:rPr>
        <w:t xml:space="preserve"> </w:t>
      </w:r>
      <w:r>
        <w:rPr>
          <w:color w:val="231F20"/>
          <w:spacing w:val="18"/>
          <w:w w:val="120"/>
        </w:rPr>
        <w:t>history</w:t>
      </w:r>
    </w:p>
    <w:p w14:paraId="754815D3" w14:textId="77777777" w:rsidR="002653E8" w:rsidRDefault="002653E8">
      <w:pPr>
        <w:pStyle w:val="a3"/>
        <w:rPr>
          <w:sz w:val="26"/>
        </w:rPr>
      </w:pPr>
    </w:p>
    <w:p w14:paraId="697A3B82" w14:textId="77777777" w:rsidR="002653E8" w:rsidRDefault="002653E8">
      <w:pPr>
        <w:pStyle w:val="a3"/>
        <w:rPr>
          <w:sz w:val="26"/>
        </w:rPr>
      </w:pPr>
    </w:p>
    <w:p w14:paraId="1149CDCF" w14:textId="77777777" w:rsidR="002653E8" w:rsidRDefault="002653E8">
      <w:pPr>
        <w:pStyle w:val="a3"/>
        <w:rPr>
          <w:sz w:val="26"/>
        </w:rPr>
      </w:pPr>
    </w:p>
    <w:p w14:paraId="57694109" w14:textId="77777777" w:rsidR="002653E8" w:rsidRDefault="002653E8">
      <w:pPr>
        <w:pStyle w:val="a3"/>
        <w:rPr>
          <w:sz w:val="26"/>
        </w:rPr>
      </w:pPr>
    </w:p>
    <w:p w14:paraId="7BF0D101" w14:textId="77777777" w:rsidR="002653E8" w:rsidRDefault="002653E8">
      <w:pPr>
        <w:pStyle w:val="a3"/>
        <w:rPr>
          <w:sz w:val="26"/>
        </w:rPr>
      </w:pPr>
    </w:p>
    <w:p w14:paraId="608F124A" w14:textId="77777777" w:rsidR="002653E8" w:rsidRDefault="002653E8">
      <w:pPr>
        <w:pStyle w:val="a3"/>
        <w:rPr>
          <w:sz w:val="26"/>
        </w:rPr>
      </w:pPr>
    </w:p>
    <w:p w14:paraId="6BBD95B2" w14:textId="77777777" w:rsidR="002653E8" w:rsidRDefault="003115E3">
      <w:pPr>
        <w:spacing w:before="225"/>
        <w:ind w:left="322"/>
        <w:jc w:val="center"/>
      </w:pPr>
      <w:r>
        <w:rPr>
          <w:color w:val="757679"/>
          <w:spacing w:val="15"/>
          <w:w w:val="115"/>
        </w:rPr>
        <w:t xml:space="preserve">volume </w:t>
      </w:r>
      <w:r>
        <w:rPr>
          <w:color w:val="757679"/>
          <w:w w:val="115"/>
        </w:rPr>
        <w:t>1</w:t>
      </w:r>
    </w:p>
    <w:p w14:paraId="6324AE52" w14:textId="77777777" w:rsidR="002653E8" w:rsidRDefault="003115E3">
      <w:pPr>
        <w:spacing w:before="64" w:line="1100" w:lineRule="exact"/>
        <w:ind w:left="3452"/>
        <w:rPr>
          <w:rFonts w:ascii="Calibri"/>
          <w:sz w:val="50"/>
        </w:rPr>
      </w:pPr>
      <w:r>
        <w:rPr>
          <w:rFonts w:ascii="Calibri"/>
          <w:color w:val="231F20"/>
          <w:w w:val="120"/>
          <w:sz w:val="96"/>
        </w:rPr>
        <w:t>P</w:t>
      </w:r>
      <w:r>
        <w:rPr>
          <w:rFonts w:ascii="Calibri"/>
          <w:color w:val="231F20"/>
          <w:w w:val="120"/>
          <w:sz w:val="50"/>
        </w:rPr>
        <w:t>ROJECTILES</w:t>
      </w:r>
    </w:p>
    <w:p w14:paraId="114065EB" w14:textId="77777777" w:rsidR="002653E8" w:rsidRDefault="003115E3">
      <w:pPr>
        <w:spacing w:line="1100" w:lineRule="exact"/>
        <w:ind w:left="3507"/>
        <w:rPr>
          <w:rFonts w:ascii="Calibri"/>
          <w:sz w:val="50"/>
        </w:rPr>
      </w:pPr>
      <w:r>
        <w:rPr>
          <w:rFonts w:ascii="Calibri"/>
          <w:color w:val="231F20"/>
          <w:w w:val="110"/>
          <w:sz w:val="36"/>
        </w:rPr>
        <w:t xml:space="preserve">for  the </w:t>
      </w:r>
      <w:r>
        <w:rPr>
          <w:rFonts w:ascii="Calibri"/>
          <w:color w:val="231F20"/>
          <w:w w:val="110"/>
          <w:sz w:val="96"/>
        </w:rPr>
        <w:t>P</w:t>
      </w:r>
      <w:r>
        <w:rPr>
          <w:rFonts w:ascii="Calibri"/>
          <w:color w:val="231F20"/>
          <w:w w:val="110"/>
          <w:sz w:val="50"/>
        </w:rPr>
        <w:t>EOPLE</w:t>
      </w:r>
    </w:p>
    <w:p w14:paraId="6E92B1F3" w14:textId="77777777" w:rsidR="002653E8" w:rsidRDefault="002653E8">
      <w:pPr>
        <w:pStyle w:val="a3"/>
        <w:spacing w:before="2"/>
        <w:rPr>
          <w:rFonts w:ascii="Calibri"/>
          <w:sz w:val="112"/>
        </w:rPr>
      </w:pPr>
    </w:p>
    <w:p w14:paraId="0CC19F5B" w14:textId="77777777" w:rsidR="002653E8" w:rsidRDefault="003115E3">
      <w:pPr>
        <w:ind w:left="2477"/>
        <w:rPr>
          <w:i/>
          <w:sz w:val="18"/>
        </w:rPr>
      </w:pPr>
      <w:r>
        <w:rPr>
          <w:i/>
          <w:color w:val="231F20"/>
          <w:w w:val="105"/>
          <w:sz w:val="18"/>
        </w:rPr>
        <w:t>forewords  by  Bill  Dunne and Russell  “Maroon” Shoats</w:t>
      </w:r>
    </w:p>
    <w:p w14:paraId="7B0B2512" w14:textId="77777777" w:rsidR="002653E8" w:rsidRDefault="002653E8">
      <w:pPr>
        <w:pStyle w:val="a3"/>
        <w:spacing w:before="10"/>
        <w:rPr>
          <w:i/>
          <w:sz w:val="25"/>
        </w:rPr>
      </w:pPr>
    </w:p>
    <w:p w14:paraId="759A1A86" w14:textId="77777777" w:rsidR="002653E8" w:rsidRDefault="003115E3">
      <w:pPr>
        <w:spacing w:line="319" w:lineRule="auto"/>
        <w:ind w:left="4509" w:right="1580" w:hanging="656"/>
        <w:rPr>
          <w:i/>
          <w:sz w:val="18"/>
        </w:rPr>
      </w:pPr>
      <w:r>
        <w:rPr>
          <w:i/>
          <w:color w:val="231F20"/>
          <w:w w:val="105"/>
          <w:sz w:val="18"/>
        </w:rPr>
        <w:t xml:space="preserve">introductory texts and translations by André  </w:t>
      </w:r>
      <w:bookmarkStart w:id="0" w:name="_Hlk122910123"/>
      <w:r>
        <w:rPr>
          <w:i/>
          <w:color w:val="231F20"/>
          <w:w w:val="105"/>
          <w:sz w:val="18"/>
        </w:rPr>
        <w:t>Moncourt  and J. Smith</w:t>
      </w:r>
      <w:bookmarkEnd w:id="0"/>
    </w:p>
    <w:p w14:paraId="33F8719A" w14:textId="77777777" w:rsidR="002653E8" w:rsidRDefault="002653E8">
      <w:pPr>
        <w:pStyle w:val="a3"/>
        <w:rPr>
          <w:i/>
        </w:rPr>
      </w:pPr>
    </w:p>
    <w:p w14:paraId="5D2B0293" w14:textId="77777777" w:rsidR="002653E8" w:rsidRDefault="002653E8">
      <w:pPr>
        <w:pStyle w:val="a3"/>
        <w:rPr>
          <w:i/>
        </w:rPr>
      </w:pPr>
    </w:p>
    <w:p w14:paraId="560EB53E" w14:textId="77777777" w:rsidR="002653E8" w:rsidRDefault="002653E8">
      <w:pPr>
        <w:pStyle w:val="a3"/>
        <w:rPr>
          <w:i/>
        </w:rPr>
      </w:pPr>
    </w:p>
    <w:p w14:paraId="0D4BDE53" w14:textId="77777777" w:rsidR="002653E8" w:rsidRDefault="002653E8">
      <w:pPr>
        <w:pStyle w:val="a3"/>
        <w:rPr>
          <w:i/>
        </w:rPr>
      </w:pPr>
    </w:p>
    <w:p w14:paraId="329CBE9D" w14:textId="77777777" w:rsidR="002653E8" w:rsidRDefault="002653E8">
      <w:pPr>
        <w:pStyle w:val="a3"/>
        <w:rPr>
          <w:i/>
        </w:rPr>
      </w:pPr>
    </w:p>
    <w:p w14:paraId="42496A2C" w14:textId="77777777" w:rsidR="002653E8" w:rsidRDefault="002653E8">
      <w:pPr>
        <w:pStyle w:val="a3"/>
        <w:rPr>
          <w:i/>
        </w:rPr>
      </w:pPr>
    </w:p>
    <w:p w14:paraId="157AEB5C" w14:textId="77777777" w:rsidR="002653E8" w:rsidRDefault="003115E3">
      <w:pPr>
        <w:pStyle w:val="a3"/>
        <w:spacing w:before="5"/>
        <w:rPr>
          <w:i/>
          <w:sz w:val="17"/>
        </w:rPr>
      </w:pPr>
      <w:r>
        <w:drawing>
          <wp:anchor distT="0" distB="0" distL="0" distR="0" simplePos="0" relativeHeight="251658240" behindDoc="0" locked="0" layoutInCell="1" allowOverlap="1" wp14:anchorId="7601A3F5" wp14:editId="37FBE36B">
            <wp:simplePos x="0" y="0"/>
            <wp:positionH relativeFrom="page">
              <wp:posOffset>3352972</wp:posOffset>
            </wp:positionH>
            <wp:positionV relativeFrom="paragraph">
              <wp:posOffset>185998</wp:posOffset>
            </wp:positionV>
            <wp:extent cx="239724" cy="4358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39724" cy="435864"/>
                    </a:xfrm>
                    <a:prstGeom prst="rect">
                      <a:avLst/>
                    </a:prstGeom>
                  </pic:spPr>
                </pic:pic>
              </a:graphicData>
            </a:graphic>
          </wp:anchor>
        </w:drawing>
      </w:r>
      <w:r>
        <w:drawing>
          <wp:anchor distT="0" distB="0" distL="0" distR="0" simplePos="0" relativeHeight="1048" behindDoc="0" locked="0" layoutInCell="1" allowOverlap="1" wp14:anchorId="55504B9F" wp14:editId="0472051B">
            <wp:simplePos x="0" y="0"/>
            <wp:positionH relativeFrom="page">
              <wp:posOffset>3795582</wp:posOffset>
            </wp:positionH>
            <wp:positionV relativeFrom="paragraph">
              <wp:posOffset>154904</wp:posOffset>
            </wp:positionV>
            <wp:extent cx="583406" cy="4953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83406" cy="495300"/>
                    </a:xfrm>
                    <a:prstGeom prst="rect">
                      <a:avLst/>
                    </a:prstGeom>
                  </pic:spPr>
                </pic:pic>
              </a:graphicData>
            </a:graphic>
          </wp:anchor>
        </w:drawing>
      </w:r>
    </w:p>
    <w:p w14:paraId="27A3E5F1" w14:textId="77777777" w:rsidR="002653E8" w:rsidRDefault="002653E8">
      <w:pPr>
        <w:rPr>
          <w:sz w:val="17"/>
        </w:rPr>
        <w:sectPr w:rsidR="002653E8">
          <w:pgSz w:w="8640" w:h="12960"/>
          <w:pgMar w:top="1220" w:right="0" w:bottom="280" w:left="0" w:header="720" w:footer="720" w:gutter="0"/>
          <w:cols w:space="720"/>
        </w:sectPr>
      </w:pPr>
    </w:p>
    <w:p w14:paraId="55B906E5" w14:textId="77777777" w:rsidR="002653E8" w:rsidRDefault="002653E8">
      <w:pPr>
        <w:pStyle w:val="a3"/>
        <w:spacing w:before="3"/>
        <w:rPr>
          <w:i/>
          <w:sz w:val="10"/>
        </w:rPr>
      </w:pPr>
    </w:p>
    <w:p w14:paraId="364A6FCF" w14:textId="77777777" w:rsidR="002653E8" w:rsidRDefault="003115E3">
      <w:pPr>
        <w:spacing w:before="99" w:line="244" w:lineRule="auto"/>
        <w:ind w:left="1147" w:right="4206"/>
        <w:rPr>
          <w:sz w:val="16"/>
        </w:rPr>
      </w:pPr>
      <w:bookmarkStart w:id="1" w:name="Copyright_"/>
      <w:bookmarkEnd w:id="1"/>
      <w:r>
        <w:rPr>
          <w:color w:val="231F20"/>
          <w:sz w:val="16"/>
        </w:rPr>
        <w:t>the red army faction: a documentary history volume 1: projectiles for the people</w:t>
      </w:r>
    </w:p>
    <w:p w14:paraId="60B03243" w14:textId="77777777" w:rsidR="002653E8" w:rsidRDefault="002653E8">
      <w:pPr>
        <w:pStyle w:val="a3"/>
        <w:spacing w:before="6"/>
        <w:rPr>
          <w:sz w:val="16"/>
        </w:rPr>
      </w:pPr>
    </w:p>
    <w:p w14:paraId="62851AEA" w14:textId="77777777" w:rsidR="002653E8" w:rsidRDefault="003115E3">
      <w:pPr>
        <w:ind w:left="1147"/>
        <w:rPr>
          <w:sz w:val="16"/>
        </w:rPr>
      </w:pPr>
      <w:r>
        <w:rPr>
          <w:color w:val="231F20"/>
          <w:w w:val="105"/>
          <w:sz w:val="16"/>
        </w:rPr>
        <w:t>introductory texts and translations by André Moncourt and J. Smith</w:t>
      </w:r>
    </w:p>
    <w:p w14:paraId="27667666" w14:textId="77777777" w:rsidR="002653E8" w:rsidRDefault="002653E8">
      <w:pPr>
        <w:pStyle w:val="a3"/>
        <w:spacing w:before="9"/>
        <w:rPr>
          <w:sz w:val="16"/>
        </w:rPr>
      </w:pPr>
    </w:p>
    <w:p w14:paraId="20D8F668" w14:textId="77777777" w:rsidR="002653E8" w:rsidRDefault="003115E3">
      <w:pPr>
        <w:spacing w:line="244" w:lineRule="auto"/>
        <w:ind w:left="1147" w:right="1634"/>
        <w:rPr>
          <w:sz w:val="16"/>
        </w:rPr>
      </w:pPr>
      <w:r w:rsidRPr="00C507A5">
        <w:rPr>
          <w:color w:val="231F20"/>
          <w:sz w:val="16"/>
          <w:lang w:val="de-DE"/>
        </w:rPr>
        <w:t xml:space="preserve">The opening  epigram  on  page  v  is  from  Karl-Heinz  Dellwo  “Kein  Ankommen, kein Zurück” in </w:t>
      </w:r>
      <w:r w:rsidRPr="00C507A5">
        <w:rPr>
          <w:i/>
          <w:color w:val="231F20"/>
          <w:sz w:val="16"/>
          <w:lang w:val="de-DE"/>
        </w:rPr>
        <w:t xml:space="preserve">Nach </w:t>
      </w:r>
      <w:r w:rsidRPr="00C507A5">
        <w:rPr>
          <w:i/>
          <w:color w:val="231F20"/>
          <w:spacing w:val="1"/>
          <w:sz w:val="16"/>
          <w:lang w:val="de-DE"/>
        </w:rPr>
        <w:t xml:space="preserve">dem bewaffneten </w:t>
      </w:r>
      <w:r w:rsidRPr="00C507A5">
        <w:rPr>
          <w:i/>
          <w:color w:val="231F20"/>
          <w:sz w:val="16"/>
          <w:lang w:val="de-DE"/>
        </w:rPr>
        <w:t>Kampf</w:t>
      </w:r>
      <w:r w:rsidRPr="00C507A5">
        <w:rPr>
          <w:color w:val="231F20"/>
          <w:sz w:val="16"/>
          <w:lang w:val="de-DE"/>
        </w:rPr>
        <w:t xml:space="preserve">, Angelika Holderberg ed. </w:t>
      </w:r>
      <w:r>
        <w:rPr>
          <w:color w:val="231F20"/>
          <w:sz w:val="16"/>
        </w:rPr>
        <w:t>(Gießen: Psychsozial-Verlag,</w:t>
      </w:r>
      <w:r>
        <w:rPr>
          <w:color w:val="231F20"/>
          <w:spacing w:val="8"/>
          <w:sz w:val="16"/>
        </w:rPr>
        <w:t xml:space="preserve"> </w:t>
      </w:r>
      <w:r>
        <w:rPr>
          <w:color w:val="231F20"/>
          <w:sz w:val="16"/>
        </w:rPr>
        <w:t>2007).</w:t>
      </w:r>
    </w:p>
    <w:p w14:paraId="3E71B4F8" w14:textId="77777777" w:rsidR="002653E8" w:rsidRDefault="002653E8">
      <w:pPr>
        <w:pStyle w:val="a3"/>
        <w:spacing w:before="6"/>
        <w:rPr>
          <w:sz w:val="16"/>
        </w:rPr>
      </w:pPr>
    </w:p>
    <w:p w14:paraId="2B3868FC" w14:textId="77777777" w:rsidR="002653E8" w:rsidRDefault="003115E3">
      <w:pPr>
        <w:ind w:left="1148"/>
        <w:rPr>
          <w:sz w:val="16"/>
        </w:rPr>
      </w:pPr>
      <w:r>
        <w:rPr>
          <w:color w:val="231F20"/>
          <w:w w:val="105"/>
          <w:sz w:val="16"/>
        </w:rPr>
        <w:t>ISBN: 978-1-60486-029-0</w:t>
      </w:r>
    </w:p>
    <w:p w14:paraId="2E204BB0" w14:textId="77777777" w:rsidR="002653E8" w:rsidRDefault="003115E3">
      <w:pPr>
        <w:spacing w:before="5"/>
        <w:ind w:left="1148"/>
        <w:rPr>
          <w:sz w:val="16"/>
        </w:rPr>
      </w:pPr>
      <w:r>
        <w:rPr>
          <w:color w:val="231F20"/>
          <w:sz w:val="16"/>
        </w:rPr>
        <w:t>Library of Congress Control Number: 2008929110</w:t>
      </w:r>
    </w:p>
    <w:p w14:paraId="280464FF" w14:textId="77777777" w:rsidR="002653E8" w:rsidRDefault="002653E8">
      <w:pPr>
        <w:pStyle w:val="a3"/>
        <w:spacing w:before="9"/>
        <w:rPr>
          <w:sz w:val="16"/>
        </w:rPr>
      </w:pPr>
    </w:p>
    <w:p w14:paraId="4BA35E1B" w14:textId="77777777" w:rsidR="002653E8" w:rsidRDefault="003115E3">
      <w:pPr>
        <w:ind w:left="1148"/>
        <w:rPr>
          <w:sz w:val="16"/>
        </w:rPr>
      </w:pPr>
      <w:r>
        <w:rPr>
          <w:color w:val="231F20"/>
          <w:sz w:val="16"/>
        </w:rPr>
        <w:t>Copyright 2009 Kersplebedeb</w:t>
      </w:r>
    </w:p>
    <w:p w14:paraId="555E18FC" w14:textId="77777777" w:rsidR="002653E8" w:rsidRDefault="003115E3">
      <w:pPr>
        <w:spacing w:before="4"/>
        <w:ind w:left="1148"/>
        <w:rPr>
          <w:sz w:val="16"/>
        </w:rPr>
      </w:pPr>
      <w:r>
        <w:rPr>
          <w:color w:val="231F20"/>
          <w:sz w:val="16"/>
        </w:rPr>
        <w:t>This edition copyright 2009 PM Press and Kersplebedeb</w:t>
      </w:r>
    </w:p>
    <w:p w14:paraId="15F159F6" w14:textId="77777777" w:rsidR="002653E8" w:rsidRDefault="002653E8">
      <w:pPr>
        <w:pStyle w:val="a3"/>
        <w:spacing w:before="9"/>
        <w:rPr>
          <w:sz w:val="16"/>
        </w:rPr>
      </w:pPr>
    </w:p>
    <w:p w14:paraId="6714E0BF" w14:textId="77777777" w:rsidR="002653E8" w:rsidRDefault="003115E3">
      <w:pPr>
        <w:ind w:left="1148"/>
        <w:rPr>
          <w:sz w:val="16"/>
        </w:rPr>
      </w:pPr>
      <w:r>
        <w:rPr>
          <w:color w:val="231F20"/>
          <w:sz w:val="16"/>
        </w:rPr>
        <w:t>Many of the translated texts in this book</w:t>
      </w:r>
    </w:p>
    <w:p w14:paraId="26FEE9F0" w14:textId="77777777" w:rsidR="002653E8" w:rsidRDefault="003115E3">
      <w:pPr>
        <w:spacing w:before="4"/>
        <w:ind w:left="1148"/>
        <w:rPr>
          <w:sz w:val="16"/>
        </w:rPr>
      </w:pPr>
      <w:r>
        <w:rPr>
          <w:color w:val="231F20"/>
          <w:sz w:val="16"/>
        </w:rPr>
        <w:t xml:space="preserve">are available online at </w:t>
      </w:r>
      <w:hyperlink r:id="rId10">
        <w:r>
          <w:rPr>
            <w:color w:val="231F20"/>
            <w:sz w:val="16"/>
          </w:rPr>
          <w:t>www.germanguerilla.com</w:t>
        </w:r>
      </w:hyperlink>
    </w:p>
    <w:p w14:paraId="1C615AE8" w14:textId="77777777" w:rsidR="002653E8" w:rsidRDefault="002653E8">
      <w:pPr>
        <w:pStyle w:val="a3"/>
        <w:rPr>
          <w:sz w:val="18"/>
        </w:rPr>
      </w:pPr>
    </w:p>
    <w:p w14:paraId="5DE92B07" w14:textId="77777777" w:rsidR="002653E8" w:rsidRDefault="002653E8">
      <w:pPr>
        <w:pStyle w:val="a3"/>
        <w:rPr>
          <w:sz w:val="18"/>
        </w:rPr>
      </w:pPr>
    </w:p>
    <w:p w14:paraId="5524A6F3" w14:textId="77777777" w:rsidR="002653E8" w:rsidRDefault="002653E8">
      <w:pPr>
        <w:pStyle w:val="a3"/>
        <w:spacing w:before="9"/>
        <w:rPr>
          <w:sz w:val="14"/>
        </w:rPr>
      </w:pPr>
    </w:p>
    <w:p w14:paraId="7A259855" w14:textId="77777777" w:rsidR="002653E8" w:rsidRDefault="003115E3">
      <w:pPr>
        <w:spacing w:line="244" w:lineRule="auto"/>
        <w:ind w:left="1148" w:right="4524"/>
        <w:rPr>
          <w:sz w:val="16"/>
        </w:rPr>
      </w:pPr>
      <w:r>
        <w:rPr>
          <w:color w:val="231F20"/>
          <w:sz w:val="16"/>
        </w:rPr>
        <w:t>Kersplebedeb Publishing and Distribution CP 63560</w:t>
      </w:r>
    </w:p>
    <w:p w14:paraId="0F51EFD7" w14:textId="77777777" w:rsidR="002653E8" w:rsidRDefault="003115E3">
      <w:pPr>
        <w:spacing w:before="1" w:line="244" w:lineRule="auto"/>
        <w:ind w:left="1148" w:right="5724"/>
        <w:rPr>
          <w:sz w:val="16"/>
        </w:rPr>
      </w:pPr>
      <w:r>
        <w:rPr>
          <w:color w:val="231F20"/>
          <w:w w:val="105"/>
          <w:sz w:val="16"/>
        </w:rPr>
        <w:t xml:space="preserve">CCCP Van Horne Montreal, Quebec Canada H3W 3H8 </w:t>
      </w:r>
      <w:hyperlink r:id="rId11">
        <w:r>
          <w:rPr>
            <w:color w:val="231F20"/>
            <w:sz w:val="16"/>
          </w:rPr>
          <w:t>www.kersplebedeb.com</w:t>
        </w:r>
      </w:hyperlink>
    </w:p>
    <w:p w14:paraId="556AC16D" w14:textId="77777777" w:rsidR="002653E8" w:rsidRDefault="002653E8">
      <w:pPr>
        <w:pStyle w:val="a3"/>
        <w:rPr>
          <w:sz w:val="18"/>
        </w:rPr>
      </w:pPr>
    </w:p>
    <w:p w14:paraId="7B8B66E2" w14:textId="77777777" w:rsidR="002653E8" w:rsidRDefault="002653E8">
      <w:pPr>
        <w:pStyle w:val="a3"/>
        <w:spacing w:before="5"/>
        <w:rPr>
          <w:sz w:val="15"/>
        </w:rPr>
      </w:pPr>
    </w:p>
    <w:p w14:paraId="2DF6E8B5" w14:textId="77777777" w:rsidR="002653E8" w:rsidRDefault="003115E3">
      <w:pPr>
        <w:ind w:left="1148"/>
        <w:rPr>
          <w:sz w:val="16"/>
        </w:rPr>
      </w:pPr>
      <w:r>
        <w:rPr>
          <w:color w:val="231F20"/>
          <w:sz w:val="16"/>
        </w:rPr>
        <w:t>PM Press</w:t>
      </w:r>
    </w:p>
    <w:p w14:paraId="744A444A" w14:textId="77777777" w:rsidR="002653E8" w:rsidRDefault="003115E3">
      <w:pPr>
        <w:spacing w:before="4"/>
        <w:ind w:left="1148"/>
        <w:rPr>
          <w:sz w:val="16"/>
        </w:rPr>
      </w:pPr>
      <w:r>
        <w:rPr>
          <w:color w:val="231F20"/>
          <w:w w:val="105"/>
          <w:sz w:val="16"/>
        </w:rPr>
        <w:t>PO Box 23912</w:t>
      </w:r>
    </w:p>
    <w:p w14:paraId="602AB13C" w14:textId="77777777" w:rsidR="002653E8" w:rsidRDefault="003115E3">
      <w:pPr>
        <w:spacing w:before="5" w:line="244" w:lineRule="auto"/>
        <w:ind w:left="1148" w:right="5724"/>
        <w:rPr>
          <w:sz w:val="16"/>
        </w:rPr>
      </w:pPr>
      <w:r>
        <w:rPr>
          <w:color w:val="231F20"/>
          <w:w w:val="110"/>
          <w:sz w:val="16"/>
        </w:rPr>
        <w:t xml:space="preserve">Oakland, CA 94623 </w:t>
      </w:r>
      <w:hyperlink r:id="rId12">
        <w:r>
          <w:rPr>
            <w:color w:val="231F20"/>
            <w:w w:val="110"/>
            <w:sz w:val="16"/>
          </w:rPr>
          <w:t>www.pmpress.org</w:t>
        </w:r>
      </w:hyperlink>
    </w:p>
    <w:p w14:paraId="60DE296E" w14:textId="77777777" w:rsidR="002653E8" w:rsidRDefault="002653E8">
      <w:pPr>
        <w:pStyle w:val="a3"/>
        <w:spacing w:before="2"/>
        <w:rPr>
          <w:sz w:val="22"/>
        </w:rPr>
      </w:pPr>
    </w:p>
    <w:p w14:paraId="45E84A9C" w14:textId="77777777" w:rsidR="002653E8" w:rsidRDefault="003115E3">
      <w:pPr>
        <w:spacing w:before="1"/>
        <w:ind w:left="1148"/>
        <w:rPr>
          <w:sz w:val="16"/>
        </w:rPr>
      </w:pPr>
      <w:r>
        <w:rPr>
          <w:color w:val="231F20"/>
          <w:sz w:val="16"/>
        </w:rPr>
        <w:t>Layout and Index by Kersplebedeb</w:t>
      </w:r>
    </w:p>
    <w:p w14:paraId="7B8320DA" w14:textId="77777777" w:rsidR="002653E8" w:rsidRDefault="002653E8">
      <w:pPr>
        <w:pStyle w:val="a3"/>
        <w:rPr>
          <w:sz w:val="18"/>
        </w:rPr>
      </w:pPr>
    </w:p>
    <w:p w14:paraId="709057C2" w14:textId="77777777" w:rsidR="002653E8" w:rsidRDefault="003115E3">
      <w:pPr>
        <w:spacing w:before="115"/>
        <w:ind w:left="1148"/>
        <w:rPr>
          <w:sz w:val="16"/>
        </w:rPr>
      </w:pPr>
      <w:r>
        <w:rPr>
          <w:color w:val="231F20"/>
          <w:spacing w:val="3"/>
          <w:w w:val="128"/>
          <w:sz w:val="16"/>
        </w:rPr>
        <w:t>C</w:t>
      </w:r>
      <w:r>
        <w:rPr>
          <w:color w:val="231F20"/>
          <w:spacing w:val="-1"/>
          <w:w w:val="104"/>
          <w:sz w:val="16"/>
        </w:rPr>
        <w:t>o</w:t>
      </w:r>
      <w:r>
        <w:rPr>
          <w:color w:val="231F20"/>
          <w:w w:val="95"/>
          <w:sz w:val="16"/>
        </w:rPr>
        <w:t>ve</w:t>
      </w:r>
      <w:r>
        <w:rPr>
          <w:color w:val="231F20"/>
          <w:w w:val="94"/>
          <w:sz w:val="16"/>
        </w:rPr>
        <w:t>r</w:t>
      </w:r>
      <w:r>
        <w:rPr>
          <w:color w:val="231F20"/>
          <w:spacing w:val="8"/>
          <w:sz w:val="16"/>
        </w:rPr>
        <w:t xml:space="preserve"> </w:t>
      </w:r>
      <w:r>
        <w:rPr>
          <w:color w:val="231F20"/>
          <w:spacing w:val="2"/>
          <w:w w:val="117"/>
          <w:sz w:val="16"/>
        </w:rPr>
        <w:t>D</w:t>
      </w:r>
      <w:r>
        <w:rPr>
          <w:color w:val="231F20"/>
          <w:spacing w:val="2"/>
          <w:w w:val="91"/>
          <w:sz w:val="16"/>
        </w:rPr>
        <w:t>e</w:t>
      </w:r>
      <w:r>
        <w:rPr>
          <w:color w:val="231F20"/>
          <w:w w:val="90"/>
          <w:sz w:val="16"/>
        </w:rPr>
        <w:t>s</w:t>
      </w:r>
      <w:r>
        <w:rPr>
          <w:color w:val="231F20"/>
          <w:sz w:val="16"/>
        </w:rPr>
        <w:t>i</w:t>
      </w:r>
      <w:r>
        <w:rPr>
          <w:color w:val="231F20"/>
          <w:spacing w:val="5"/>
          <w:w w:val="101"/>
          <w:sz w:val="16"/>
        </w:rPr>
        <w:t>g</w:t>
      </w:r>
      <w:r>
        <w:rPr>
          <w:color w:val="231F20"/>
          <w:spacing w:val="1"/>
          <w:w w:val="99"/>
          <w:sz w:val="16"/>
        </w:rPr>
        <w:t>n</w:t>
      </w:r>
      <w:r>
        <w:rPr>
          <w:color w:val="231F20"/>
          <w:w w:val="105"/>
          <w:sz w:val="16"/>
        </w:rPr>
        <w:t>:</w:t>
      </w:r>
      <w:r>
        <w:rPr>
          <w:color w:val="231F20"/>
          <w:spacing w:val="8"/>
          <w:sz w:val="16"/>
        </w:rPr>
        <w:t xml:space="preserve"> </w:t>
      </w:r>
      <w:r>
        <w:rPr>
          <w:color w:val="231F20"/>
          <w:w w:val="126"/>
          <w:sz w:val="16"/>
        </w:rPr>
        <w:t>J</w:t>
      </w:r>
      <w:r>
        <w:rPr>
          <w:color w:val="231F20"/>
          <w:spacing w:val="1"/>
          <w:w w:val="104"/>
          <w:sz w:val="16"/>
        </w:rPr>
        <w:t>o</w:t>
      </w:r>
      <w:r>
        <w:rPr>
          <w:color w:val="231F20"/>
          <w:w w:val="90"/>
          <w:sz w:val="16"/>
        </w:rPr>
        <w:t>s</w:t>
      </w:r>
      <w:r>
        <w:rPr>
          <w:color w:val="231F20"/>
          <w:sz w:val="16"/>
        </w:rPr>
        <w:t>h</w:t>
      </w:r>
      <w:r>
        <w:rPr>
          <w:color w:val="231F20"/>
          <w:spacing w:val="8"/>
          <w:sz w:val="16"/>
        </w:rPr>
        <w:t xml:space="preserve"> </w:t>
      </w:r>
      <w:r>
        <w:rPr>
          <w:color w:val="231F20"/>
          <w:spacing w:val="3"/>
          <w:w w:val="122"/>
          <w:sz w:val="16"/>
        </w:rPr>
        <w:t>M</w:t>
      </w:r>
      <w:r>
        <w:rPr>
          <w:color w:val="231F20"/>
          <w:w w:val="102"/>
          <w:sz w:val="16"/>
        </w:rPr>
        <w:t>a</w:t>
      </w:r>
      <w:r>
        <w:rPr>
          <w:color w:val="231F20"/>
          <w:spacing w:val="2"/>
          <w:sz w:val="16"/>
        </w:rPr>
        <w:t>c</w:t>
      </w:r>
      <w:r>
        <w:rPr>
          <w:color w:val="231F20"/>
          <w:w w:val="97"/>
          <w:sz w:val="16"/>
        </w:rPr>
        <w:t>P</w:t>
      </w:r>
      <w:r>
        <w:rPr>
          <w:color w:val="231F20"/>
          <w:sz w:val="16"/>
        </w:rPr>
        <w:t>h</w:t>
      </w:r>
      <w:r>
        <w:rPr>
          <w:color w:val="231F20"/>
          <w:spacing w:val="2"/>
          <w:w w:val="91"/>
          <w:sz w:val="16"/>
        </w:rPr>
        <w:t>e</w:t>
      </w:r>
      <w:r>
        <w:rPr>
          <w:color w:val="231F20"/>
          <w:spacing w:val="5"/>
          <w:w w:val="91"/>
          <w:sz w:val="16"/>
        </w:rPr>
        <w:t>e</w:t>
      </w:r>
      <w:r>
        <w:rPr>
          <w:color w:val="231F20"/>
          <w:spacing w:val="5"/>
          <w:w w:val="56"/>
          <w:sz w:val="16"/>
        </w:rPr>
        <w:t>/</w:t>
      </w:r>
      <w:r>
        <w:rPr>
          <w:color w:val="231F20"/>
          <w:w w:val="126"/>
          <w:sz w:val="16"/>
        </w:rPr>
        <w:t>J</w:t>
      </w:r>
      <w:r>
        <w:rPr>
          <w:color w:val="231F20"/>
          <w:spacing w:val="2"/>
          <w:sz w:val="16"/>
        </w:rPr>
        <w:t>u</w:t>
      </w:r>
      <w:r>
        <w:rPr>
          <w:color w:val="231F20"/>
          <w:spacing w:val="1"/>
          <w:w w:val="90"/>
          <w:sz w:val="16"/>
        </w:rPr>
        <w:t>s</w:t>
      </w:r>
      <w:r>
        <w:rPr>
          <w:color w:val="231F20"/>
          <w:spacing w:val="2"/>
          <w:w w:val="98"/>
          <w:sz w:val="16"/>
        </w:rPr>
        <w:t>t</w:t>
      </w:r>
      <w:r>
        <w:rPr>
          <w:color w:val="231F20"/>
          <w:spacing w:val="1"/>
          <w:w w:val="90"/>
          <w:sz w:val="16"/>
        </w:rPr>
        <w:t>s</w:t>
      </w:r>
      <w:r>
        <w:rPr>
          <w:color w:val="231F20"/>
          <w:spacing w:val="2"/>
          <w:w w:val="91"/>
          <w:sz w:val="16"/>
        </w:rPr>
        <w:t>e</w:t>
      </w:r>
      <w:r>
        <w:rPr>
          <w:color w:val="231F20"/>
          <w:spacing w:val="1"/>
          <w:w w:val="91"/>
          <w:sz w:val="16"/>
        </w:rPr>
        <w:t>e</w:t>
      </w:r>
      <w:r>
        <w:rPr>
          <w:color w:val="231F20"/>
          <w:spacing w:val="2"/>
          <w:sz w:val="16"/>
        </w:rPr>
        <w:t>d</w:t>
      </w:r>
      <w:r>
        <w:rPr>
          <w:color w:val="231F20"/>
          <w:spacing w:val="1"/>
          <w:w w:val="90"/>
          <w:sz w:val="16"/>
        </w:rPr>
        <w:t>s</w:t>
      </w:r>
      <w:r>
        <w:rPr>
          <w:color w:val="231F20"/>
          <w:w w:val="135"/>
          <w:sz w:val="16"/>
        </w:rPr>
        <w:t>.</w:t>
      </w:r>
      <w:r>
        <w:rPr>
          <w:color w:val="231F20"/>
          <w:w w:val="104"/>
          <w:sz w:val="16"/>
        </w:rPr>
        <w:t>o</w:t>
      </w:r>
      <w:r>
        <w:rPr>
          <w:color w:val="231F20"/>
          <w:spacing w:val="1"/>
          <w:w w:val="94"/>
          <w:sz w:val="16"/>
        </w:rPr>
        <w:t>r</w:t>
      </w:r>
      <w:r>
        <w:rPr>
          <w:color w:val="231F20"/>
          <w:w w:val="101"/>
          <w:sz w:val="16"/>
        </w:rPr>
        <w:t>g</w:t>
      </w:r>
    </w:p>
    <w:p w14:paraId="6C83A463" w14:textId="77777777" w:rsidR="002653E8" w:rsidRDefault="003115E3">
      <w:pPr>
        <w:spacing w:before="69" w:line="328" w:lineRule="auto"/>
        <w:ind w:left="1148" w:right="1513"/>
        <w:rPr>
          <w:sz w:val="16"/>
        </w:rPr>
      </w:pPr>
      <w:r>
        <w:rPr>
          <w:color w:val="231F20"/>
          <w:sz w:val="16"/>
        </w:rPr>
        <w:t xml:space="preserve">The photo used on the front cover is of the funeral of Andreas Baader, </w:t>
      </w:r>
      <w:r>
        <w:rPr>
          <w:color w:val="231F20"/>
          <w:spacing w:val="1"/>
          <w:sz w:val="16"/>
        </w:rPr>
        <w:t xml:space="preserve">Gudrun </w:t>
      </w:r>
      <w:r>
        <w:rPr>
          <w:color w:val="231F20"/>
          <w:sz w:val="16"/>
        </w:rPr>
        <w:t>Ensslin, and Jan-Carl Raspe in</w:t>
      </w:r>
      <w:r>
        <w:rPr>
          <w:color w:val="231F20"/>
          <w:spacing w:val="3"/>
          <w:sz w:val="16"/>
        </w:rPr>
        <w:t xml:space="preserve"> </w:t>
      </w:r>
      <w:r>
        <w:rPr>
          <w:color w:val="231F20"/>
          <w:sz w:val="16"/>
        </w:rPr>
        <w:t>1977.</w:t>
      </w:r>
    </w:p>
    <w:p w14:paraId="11464DFF" w14:textId="77777777" w:rsidR="002653E8" w:rsidRDefault="002653E8">
      <w:pPr>
        <w:pStyle w:val="a3"/>
        <w:rPr>
          <w:sz w:val="18"/>
        </w:rPr>
      </w:pPr>
    </w:p>
    <w:p w14:paraId="512AF5FE" w14:textId="77777777" w:rsidR="002653E8" w:rsidRDefault="002653E8">
      <w:pPr>
        <w:pStyle w:val="a3"/>
        <w:spacing w:before="9"/>
        <w:rPr>
          <w:sz w:val="25"/>
        </w:rPr>
      </w:pPr>
    </w:p>
    <w:p w14:paraId="782C009D" w14:textId="77777777" w:rsidR="002653E8" w:rsidRDefault="003115E3">
      <w:pPr>
        <w:ind w:left="1148"/>
        <w:rPr>
          <w:sz w:val="16"/>
        </w:rPr>
      </w:pPr>
      <w:r>
        <w:rPr>
          <w:color w:val="231F20"/>
          <w:sz w:val="16"/>
        </w:rPr>
        <w:t>Printed in the United States on recycled paper</w:t>
      </w:r>
    </w:p>
    <w:p w14:paraId="4B208417" w14:textId="77777777" w:rsidR="002653E8" w:rsidRDefault="002653E8">
      <w:pPr>
        <w:rPr>
          <w:sz w:val="16"/>
        </w:rPr>
        <w:sectPr w:rsidR="002653E8">
          <w:pgSz w:w="8640" w:h="12960"/>
          <w:pgMar w:top="1220" w:right="0" w:bottom="280" w:left="0" w:header="720" w:footer="720" w:gutter="0"/>
          <w:cols w:space="720"/>
        </w:sectPr>
      </w:pPr>
    </w:p>
    <w:p w14:paraId="39784657" w14:textId="77777777" w:rsidR="002653E8" w:rsidRDefault="002653E8">
      <w:pPr>
        <w:pStyle w:val="a3"/>
      </w:pPr>
    </w:p>
    <w:p w14:paraId="562F453B" w14:textId="77777777" w:rsidR="002653E8" w:rsidRDefault="002653E8">
      <w:pPr>
        <w:pStyle w:val="a3"/>
      </w:pPr>
    </w:p>
    <w:p w14:paraId="6E7FC92A" w14:textId="77777777" w:rsidR="002653E8" w:rsidRDefault="002653E8">
      <w:pPr>
        <w:pStyle w:val="a3"/>
      </w:pPr>
    </w:p>
    <w:p w14:paraId="37553D34" w14:textId="77777777" w:rsidR="002653E8" w:rsidRDefault="002653E8">
      <w:pPr>
        <w:pStyle w:val="a3"/>
      </w:pPr>
    </w:p>
    <w:p w14:paraId="5C19D1ED" w14:textId="77777777" w:rsidR="002653E8" w:rsidRDefault="002653E8">
      <w:pPr>
        <w:pStyle w:val="a3"/>
      </w:pPr>
    </w:p>
    <w:p w14:paraId="6597495C" w14:textId="77777777" w:rsidR="002653E8" w:rsidRDefault="002653E8">
      <w:pPr>
        <w:pStyle w:val="a3"/>
      </w:pPr>
    </w:p>
    <w:p w14:paraId="77E64D92" w14:textId="77777777" w:rsidR="002653E8" w:rsidRDefault="002653E8">
      <w:pPr>
        <w:pStyle w:val="a3"/>
      </w:pPr>
    </w:p>
    <w:p w14:paraId="593AE39B" w14:textId="77777777" w:rsidR="002653E8" w:rsidRDefault="002653E8">
      <w:pPr>
        <w:pStyle w:val="a3"/>
      </w:pPr>
    </w:p>
    <w:p w14:paraId="433A9E08" w14:textId="77777777" w:rsidR="002653E8" w:rsidRDefault="002653E8">
      <w:pPr>
        <w:pStyle w:val="a3"/>
      </w:pPr>
    </w:p>
    <w:p w14:paraId="3ACD61E3" w14:textId="77777777" w:rsidR="002653E8" w:rsidRDefault="002653E8">
      <w:pPr>
        <w:pStyle w:val="a3"/>
      </w:pPr>
    </w:p>
    <w:p w14:paraId="74311827" w14:textId="77777777" w:rsidR="002653E8" w:rsidRDefault="002653E8">
      <w:pPr>
        <w:pStyle w:val="a3"/>
      </w:pPr>
    </w:p>
    <w:p w14:paraId="1A789671" w14:textId="77777777" w:rsidR="002653E8" w:rsidRDefault="002653E8">
      <w:pPr>
        <w:pStyle w:val="a3"/>
      </w:pPr>
    </w:p>
    <w:p w14:paraId="1F3033B6" w14:textId="77777777" w:rsidR="002653E8" w:rsidRDefault="002653E8">
      <w:pPr>
        <w:pStyle w:val="a3"/>
      </w:pPr>
    </w:p>
    <w:p w14:paraId="173C8B9C" w14:textId="77777777" w:rsidR="002653E8" w:rsidRDefault="002653E8">
      <w:pPr>
        <w:pStyle w:val="a3"/>
      </w:pPr>
    </w:p>
    <w:p w14:paraId="08C4A5E2" w14:textId="77777777" w:rsidR="002653E8" w:rsidRDefault="002653E8">
      <w:pPr>
        <w:pStyle w:val="a3"/>
        <w:spacing w:before="2"/>
      </w:pPr>
    </w:p>
    <w:p w14:paraId="7B1C8A24" w14:textId="77777777" w:rsidR="002653E8" w:rsidRDefault="003115E3">
      <w:pPr>
        <w:spacing w:before="89"/>
        <w:ind w:left="2587"/>
        <w:rPr>
          <w:rFonts w:ascii="Palatino Linotype"/>
          <w:i/>
          <w:sz w:val="24"/>
        </w:rPr>
      </w:pPr>
      <w:r>
        <w:rPr>
          <w:rFonts w:ascii="Palatino Linotype"/>
          <w:i/>
          <w:color w:val="231F20"/>
          <w:sz w:val="24"/>
        </w:rPr>
        <w:t>dedicated to the memory of Jim Campbell</w:t>
      </w:r>
    </w:p>
    <w:p w14:paraId="10EC8C61" w14:textId="77777777" w:rsidR="002653E8" w:rsidRDefault="002653E8">
      <w:pPr>
        <w:rPr>
          <w:rFonts w:ascii="Palatino Linotype"/>
          <w:sz w:val="24"/>
        </w:rPr>
        <w:sectPr w:rsidR="002653E8">
          <w:pgSz w:w="8640" w:h="12960"/>
          <w:pgMar w:top="1220" w:right="0" w:bottom="280" w:left="0" w:header="720" w:footer="720" w:gutter="0"/>
          <w:cols w:space="720"/>
        </w:sectPr>
      </w:pPr>
    </w:p>
    <w:p w14:paraId="5DD21E1B" w14:textId="77777777" w:rsidR="002653E8" w:rsidRDefault="002653E8">
      <w:pPr>
        <w:pStyle w:val="a3"/>
        <w:spacing w:before="4"/>
        <w:rPr>
          <w:rFonts w:ascii="Times New Roman"/>
          <w:sz w:val="17"/>
        </w:rPr>
      </w:pPr>
    </w:p>
    <w:p w14:paraId="60D9ECD7" w14:textId="77777777" w:rsidR="002653E8" w:rsidRDefault="002653E8">
      <w:pPr>
        <w:rPr>
          <w:rFonts w:ascii="Times New Roman"/>
          <w:sz w:val="17"/>
        </w:rPr>
        <w:sectPr w:rsidR="002653E8">
          <w:pgSz w:w="8640" w:h="12960"/>
          <w:pgMar w:top="1220" w:right="0" w:bottom="280" w:left="0" w:header="720" w:footer="720" w:gutter="0"/>
          <w:cols w:space="720"/>
        </w:sectPr>
      </w:pPr>
    </w:p>
    <w:p w14:paraId="235FD7B0" w14:textId="77777777" w:rsidR="002653E8" w:rsidRDefault="002653E8">
      <w:pPr>
        <w:pStyle w:val="a3"/>
        <w:rPr>
          <w:rFonts w:ascii="Times New Roman"/>
        </w:rPr>
      </w:pPr>
    </w:p>
    <w:p w14:paraId="2EE23DC6" w14:textId="77777777" w:rsidR="002653E8" w:rsidRDefault="002653E8">
      <w:pPr>
        <w:pStyle w:val="a3"/>
        <w:rPr>
          <w:rFonts w:ascii="Times New Roman"/>
        </w:rPr>
      </w:pPr>
    </w:p>
    <w:p w14:paraId="3868AFAB" w14:textId="77777777" w:rsidR="002653E8" w:rsidRDefault="002653E8">
      <w:pPr>
        <w:pStyle w:val="a3"/>
        <w:rPr>
          <w:rFonts w:ascii="Times New Roman"/>
        </w:rPr>
      </w:pPr>
    </w:p>
    <w:p w14:paraId="23280BB0" w14:textId="77777777" w:rsidR="002653E8" w:rsidRDefault="002653E8">
      <w:pPr>
        <w:pStyle w:val="a3"/>
        <w:rPr>
          <w:rFonts w:ascii="Times New Roman"/>
        </w:rPr>
      </w:pPr>
    </w:p>
    <w:p w14:paraId="52552D3D" w14:textId="77777777" w:rsidR="002653E8" w:rsidRDefault="002653E8">
      <w:pPr>
        <w:pStyle w:val="a3"/>
        <w:rPr>
          <w:rFonts w:ascii="Times New Roman"/>
        </w:rPr>
      </w:pPr>
    </w:p>
    <w:p w14:paraId="28B54FE2" w14:textId="77777777" w:rsidR="002653E8" w:rsidRDefault="002653E8">
      <w:pPr>
        <w:pStyle w:val="a3"/>
        <w:rPr>
          <w:rFonts w:ascii="Times New Roman"/>
        </w:rPr>
      </w:pPr>
    </w:p>
    <w:p w14:paraId="4EC658F5" w14:textId="77777777" w:rsidR="002653E8" w:rsidRDefault="002653E8">
      <w:pPr>
        <w:pStyle w:val="a3"/>
        <w:rPr>
          <w:rFonts w:ascii="Times New Roman"/>
        </w:rPr>
      </w:pPr>
    </w:p>
    <w:p w14:paraId="2A4F9043" w14:textId="77777777" w:rsidR="002653E8" w:rsidRDefault="002653E8">
      <w:pPr>
        <w:pStyle w:val="a3"/>
        <w:rPr>
          <w:rFonts w:ascii="Times New Roman"/>
        </w:rPr>
      </w:pPr>
    </w:p>
    <w:p w14:paraId="495E2B56" w14:textId="77777777" w:rsidR="002653E8" w:rsidRDefault="002653E8">
      <w:pPr>
        <w:pStyle w:val="a3"/>
        <w:rPr>
          <w:rFonts w:ascii="Times New Roman"/>
        </w:rPr>
      </w:pPr>
    </w:p>
    <w:p w14:paraId="3CB169A5" w14:textId="77777777" w:rsidR="002653E8" w:rsidRDefault="002653E8">
      <w:pPr>
        <w:pStyle w:val="a3"/>
        <w:rPr>
          <w:rFonts w:ascii="Times New Roman"/>
        </w:rPr>
      </w:pPr>
    </w:p>
    <w:p w14:paraId="7D2EABE4" w14:textId="77777777" w:rsidR="002653E8" w:rsidRDefault="002653E8">
      <w:pPr>
        <w:pStyle w:val="a3"/>
        <w:rPr>
          <w:rFonts w:ascii="Times New Roman"/>
        </w:rPr>
      </w:pPr>
    </w:p>
    <w:p w14:paraId="02853894" w14:textId="77777777" w:rsidR="002653E8" w:rsidRDefault="002653E8">
      <w:pPr>
        <w:pStyle w:val="a3"/>
        <w:rPr>
          <w:rFonts w:ascii="Times New Roman"/>
        </w:rPr>
      </w:pPr>
    </w:p>
    <w:p w14:paraId="4BD824DC" w14:textId="77777777" w:rsidR="002653E8" w:rsidRDefault="002653E8">
      <w:pPr>
        <w:pStyle w:val="a3"/>
        <w:rPr>
          <w:rFonts w:ascii="Times New Roman"/>
        </w:rPr>
      </w:pPr>
    </w:p>
    <w:p w14:paraId="3E0AF460" w14:textId="77777777" w:rsidR="002653E8" w:rsidRDefault="002653E8">
      <w:pPr>
        <w:pStyle w:val="a3"/>
        <w:rPr>
          <w:rFonts w:ascii="Times New Roman"/>
        </w:rPr>
      </w:pPr>
    </w:p>
    <w:p w14:paraId="454DD94C" w14:textId="77777777" w:rsidR="002653E8" w:rsidRDefault="002653E8">
      <w:pPr>
        <w:pStyle w:val="a3"/>
        <w:rPr>
          <w:rFonts w:ascii="Times New Roman"/>
        </w:rPr>
      </w:pPr>
    </w:p>
    <w:p w14:paraId="56960AF4" w14:textId="77777777" w:rsidR="002653E8" w:rsidRDefault="002653E8">
      <w:pPr>
        <w:pStyle w:val="a3"/>
        <w:spacing w:before="1"/>
        <w:rPr>
          <w:rFonts w:ascii="Times New Roman"/>
          <w:sz w:val="19"/>
        </w:rPr>
      </w:pPr>
    </w:p>
    <w:p w14:paraId="552F2461" w14:textId="77777777" w:rsidR="002653E8" w:rsidRDefault="003115E3">
      <w:pPr>
        <w:spacing w:line="268" w:lineRule="auto"/>
        <w:ind w:left="1747" w:right="1595"/>
        <w:rPr>
          <w:rFonts w:ascii="Tahoma" w:hAnsi="Tahoma"/>
          <w:sz w:val="19"/>
        </w:rPr>
      </w:pPr>
      <w:r>
        <w:rPr>
          <w:rFonts w:ascii="Tahoma" w:hAnsi="Tahoma"/>
          <w:color w:val="231F20"/>
          <w:sz w:val="19"/>
        </w:rPr>
        <w:t>“We are a projectile,” Andreas Baader wrote to the group, thereby articulating an ethical point of view in which the subject and his objective became a single thing. It also meant that if no further separation existed between the “subject” and “object” it was obvious how it would end: in death.</w:t>
      </w:r>
    </w:p>
    <w:p w14:paraId="0C93931B" w14:textId="77777777" w:rsidR="002653E8" w:rsidRDefault="003115E3" w:rsidP="00F452BC">
      <w:pPr>
        <w:spacing w:before="116"/>
        <w:ind w:left="5548"/>
        <w:rPr>
          <w:rFonts w:ascii="Tahoma"/>
          <w:sz w:val="19"/>
        </w:rPr>
        <w:sectPr w:rsidR="002653E8">
          <w:pgSz w:w="8640" w:h="12960"/>
          <w:pgMar w:top="1220" w:right="0" w:bottom="280" w:left="0" w:header="720" w:footer="720" w:gutter="0"/>
          <w:cols w:space="720"/>
        </w:sectPr>
      </w:pPr>
      <w:r>
        <w:rPr>
          <w:rFonts w:ascii="Tahoma"/>
          <w:color w:val="231F20"/>
          <w:w w:val="105"/>
          <w:sz w:val="19"/>
        </w:rPr>
        <w:t>Karl-Heinz Dellwo</w:t>
      </w:r>
    </w:p>
    <w:p w14:paraId="147F1B93" w14:textId="77777777" w:rsidR="002653E8" w:rsidRDefault="002653E8">
      <w:pPr>
        <w:pStyle w:val="a3"/>
        <w:spacing w:before="10"/>
        <w:rPr>
          <w:rFonts w:ascii="Tahoma"/>
          <w:sz w:val="24"/>
        </w:rPr>
      </w:pPr>
    </w:p>
    <w:p w14:paraId="6B5182AF" w14:textId="77777777" w:rsidR="002653E8" w:rsidRDefault="003115E3">
      <w:pPr>
        <w:pStyle w:val="8"/>
        <w:tabs>
          <w:tab w:val="left" w:pos="7311"/>
        </w:tabs>
        <w:spacing w:before="87"/>
        <w:rPr>
          <w:rFonts w:ascii="Lucida Sans"/>
          <w:b/>
        </w:rPr>
      </w:pPr>
      <w:bookmarkStart w:id="2" w:name="Contents_"/>
      <w:bookmarkStart w:id="3" w:name="_Hlk59218260"/>
      <w:bookmarkEnd w:id="2"/>
      <w:r>
        <w:rPr>
          <w:rFonts w:ascii="Lucida Sans"/>
          <w:b/>
          <w:color w:val="FFFFFF"/>
          <w:w w:val="87"/>
          <w:shd w:val="clear" w:color="auto" w:fill="231F20"/>
        </w:rPr>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310F5AD4" w14:textId="77777777" w:rsidR="002653E8" w:rsidRDefault="00000000">
      <w:pPr>
        <w:pStyle w:val="8"/>
        <w:tabs>
          <w:tab w:val="right" w:pos="7311"/>
        </w:tabs>
        <w:spacing w:before="660"/>
        <w:rPr>
          <w:sz w:val="24"/>
        </w:rPr>
      </w:pPr>
      <w:hyperlink w:anchor="_bookmark0" w:history="1">
        <w:r w:rsidR="003115E3">
          <w:rPr>
            <w:color w:val="231F20"/>
            <w:w w:val="115"/>
          </w:rPr>
          <w:t>foreword by</w:t>
        </w:r>
        <w:r w:rsidR="003115E3">
          <w:rPr>
            <w:color w:val="231F20"/>
            <w:spacing w:val="15"/>
            <w:w w:val="115"/>
          </w:rPr>
          <w:t xml:space="preserve"> </w:t>
        </w:r>
        <w:r w:rsidR="003115E3">
          <w:rPr>
            <w:color w:val="231F20"/>
            <w:w w:val="115"/>
          </w:rPr>
          <w:t>bill</w:t>
        </w:r>
        <w:r w:rsidR="003115E3">
          <w:rPr>
            <w:color w:val="231F20"/>
            <w:spacing w:val="6"/>
            <w:w w:val="115"/>
          </w:rPr>
          <w:t xml:space="preserve"> </w:t>
        </w:r>
        <w:r w:rsidR="003115E3">
          <w:rPr>
            <w:color w:val="231F20"/>
            <w:w w:val="115"/>
          </w:rPr>
          <w:t>dunne</w:t>
        </w:r>
        <w:r w:rsidR="003115E3">
          <w:rPr>
            <w:color w:val="231F20"/>
            <w:w w:val="115"/>
          </w:rPr>
          <w:tab/>
        </w:r>
        <w:r w:rsidR="003115E3">
          <w:rPr>
            <w:color w:val="231F20"/>
            <w:w w:val="115"/>
            <w:sz w:val="24"/>
          </w:rPr>
          <w:t>xiv</w:t>
        </w:r>
      </w:hyperlink>
    </w:p>
    <w:p w14:paraId="351C362E" w14:textId="77777777" w:rsidR="002653E8" w:rsidRDefault="00000000">
      <w:pPr>
        <w:pStyle w:val="8"/>
        <w:tabs>
          <w:tab w:val="right" w:pos="7311"/>
        </w:tabs>
        <w:spacing w:before="15"/>
        <w:rPr>
          <w:sz w:val="24"/>
        </w:rPr>
      </w:pPr>
      <w:hyperlink w:anchor="_bookmark1" w:history="1">
        <w:r w:rsidR="003115E3">
          <w:rPr>
            <w:color w:val="231F20"/>
            <w:w w:val="120"/>
          </w:rPr>
          <w:t>a word from russell</w:t>
        </w:r>
        <w:r w:rsidR="003115E3">
          <w:rPr>
            <w:color w:val="231F20"/>
            <w:spacing w:val="-8"/>
            <w:w w:val="120"/>
          </w:rPr>
          <w:t xml:space="preserve"> </w:t>
        </w:r>
        <w:r w:rsidR="003115E3">
          <w:rPr>
            <w:color w:val="231F20"/>
            <w:w w:val="120"/>
            <w:vertAlign w:val="subscript"/>
          </w:rPr>
          <w:t>“</w:t>
        </w:r>
        <w:r w:rsidR="003115E3">
          <w:rPr>
            <w:color w:val="231F20"/>
            <w:w w:val="120"/>
          </w:rPr>
          <w:t>maroon</w:t>
        </w:r>
        <w:r w:rsidR="003115E3">
          <w:rPr>
            <w:color w:val="231F20"/>
            <w:w w:val="120"/>
            <w:vertAlign w:val="subscript"/>
          </w:rPr>
          <w:t>”</w:t>
        </w:r>
        <w:r w:rsidR="003115E3">
          <w:rPr>
            <w:color w:val="231F20"/>
            <w:spacing w:val="-23"/>
            <w:w w:val="120"/>
          </w:rPr>
          <w:t xml:space="preserve"> </w:t>
        </w:r>
        <w:r w:rsidR="003115E3">
          <w:rPr>
            <w:color w:val="231F20"/>
            <w:spacing w:val="-3"/>
            <w:w w:val="120"/>
          </w:rPr>
          <w:t>shoats</w:t>
        </w:r>
        <w:r w:rsidR="003115E3">
          <w:rPr>
            <w:color w:val="231F20"/>
            <w:spacing w:val="-3"/>
            <w:w w:val="120"/>
          </w:rPr>
          <w:tab/>
        </w:r>
        <w:r w:rsidR="003115E3">
          <w:rPr>
            <w:color w:val="231F20"/>
            <w:w w:val="120"/>
            <w:sz w:val="24"/>
          </w:rPr>
          <w:t>xv</w:t>
        </w:r>
      </w:hyperlink>
    </w:p>
    <w:p w14:paraId="16576146" w14:textId="77777777" w:rsidR="002653E8" w:rsidRDefault="00000000">
      <w:pPr>
        <w:pStyle w:val="8"/>
        <w:tabs>
          <w:tab w:val="right" w:pos="7311"/>
        </w:tabs>
        <w:spacing w:before="15"/>
        <w:rPr>
          <w:sz w:val="24"/>
        </w:rPr>
      </w:pPr>
      <w:hyperlink w:anchor="_bookmark2" w:history="1">
        <w:r w:rsidR="003115E3">
          <w:rPr>
            <w:color w:val="231F20"/>
            <w:w w:val="110"/>
          </w:rPr>
          <w:t>acknowledgements</w:t>
        </w:r>
        <w:r w:rsidR="003115E3">
          <w:rPr>
            <w:color w:val="231F20"/>
            <w:w w:val="110"/>
          </w:rPr>
          <w:tab/>
        </w:r>
        <w:r w:rsidR="003115E3">
          <w:rPr>
            <w:color w:val="231F20"/>
            <w:w w:val="110"/>
            <w:sz w:val="24"/>
          </w:rPr>
          <w:t>xvi</w:t>
        </w:r>
      </w:hyperlink>
    </w:p>
    <w:p w14:paraId="313B76C0" w14:textId="77777777" w:rsidR="002653E8" w:rsidRDefault="00000000">
      <w:pPr>
        <w:tabs>
          <w:tab w:val="right" w:pos="7311"/>
        </w:tabs>
        <w:spacing w:before="16"/>
        <w:ind w:left="1147"/>
        <w:rPr>
          <w:sz w:val="24"/>
        </w:rPr>
      </w:pPr>
      <w:hyperlink w:anchor="_bookmark3" w:history="1">
        <w:r w:rsidR="003115E3">
          <w:rPr>
            <w:color w:val="231F20"/>
            <w:w w:val="115"/>
            <w:sz w:val="26"/>
          </w:rPr>
          <w:t>translators</w:t>
        </w:r>
        <w:r w:rsidR="003115E3">
          <w:rPr>
            <w:color w:val="231F20"/>
            <w:w w:val="115"/>
            <w:sz w:val="26"/>
            <w:vertAlign w:val="subscript"/>
          </w:rPr>
          <w:t>’</w:t>
        </w:r>
        <w:r w:rsidR="003115E3">
          <w:rPr>
            <w:color w:val="231F20"/>
            <w:spacing w:val="-13"/>
            <w:w w:val="115"/>
            <w:sz w:val="26"/>
          </w:rPr>
          <w:t xml:space="preserve"> </w:t>
        </w:r>
        <w:r w:rsidR="003115E3">
          <w:rPr>
            <w:color w:val="231F20"/>
            <w:w w:val="115"/>
            <w:sz w:val="26"/>
          </w:rPr>
          <w:t>note</w:t>
        </w:r>
        <w:r w:rsidR="003115E3">
          <w:rPr>
            <w:color w:val="231F20"/>
            <w:w w:val="115"/>
            <w:sz w:val="26"/>
          </w:rPr>
          <w:tab/>
        </w:r>
        <w:r w:rsidR="003115E3">
          <w:rPr>
            <w:color w:val="231F20"/>
            <w:w w:val="115"/>
            <w:sz w:val="24"/>
          </w:rPr>
          <w:t>xviii</w:t>
        </w:r>
      </w:hyperlink>
    </w:p>
    <w:p w14:paraId="51475FB1" w14:textId="77777777" w:rsidR="002653E8" w:rsidRDefault="00000000">
      <w:pPr>
        <w:tabs>
          <w:tab w:val="right" w:pos="7311"/>
        </w:tabs>
        <w:spacing w:before="15"/>
        <w:ind w:left="1147"/>
        <w:rPr>
          <w:sz w:val="24"/>
        </w:rPr>
      </w:pPr>
      <w:hyperlink w:anchor="_bookmark4" w:history="1">
        <w:r w:rsidR="003115E3">
          <w:rPr>
            <w:color w:val="231F20"/>
            <w:w w:val="115"/>
            <w:sz w:val="26"/>
          </w:rPr>
          <w:t>preface</w:t>
        </w:r>
        <w:r w:rsidR="003115E3">
          <w:rPr>
            <w:color w:val="231F20"/>
            <w:w w:val="115"/>
            <w:sz w:val="26"/>
          </w:rPr>
          <w:tab/>
        </w:r>
        <w:r w:rsidR="003115E3">
          <w:rPr>
            <w:color w:val="231F20"/>
            <w:w w:val="115"/>
            <w:sz w:val="24"/>
          </w:rPr>
          <w:t>xxi</w:t>
        </w:r>
      </w:hyperlink>
    </w:p>
    <w:p w14:paraId="3A2EEF21" w14:textId="77777777" w:rsidR="002653E8" w:rsidRDefault="00000000">
      <w:pPr>
        <w:pStyle w:val="8"/>
        <w:tabs>
          <w:tab w:val="right" w:pos="7311"/>
        </w:tabs>
        <w:spacing w:before="15"/>
        <w:rPr>
          <w:sz w:val="24"/>
        </w:rPr>
      </w:pPr>
      <w:hyperlink w:anchor="_bookmark5" w:history="1">
        <w:r w:rsidR="003115E3">
          <w:rPr>
            <w:color w:val="231F20"/>
            <w:w w:val="110"/>
          </w:rPr>
          <w:t>acronym</w:t>
        </w:r>
        <w:r w:rsidR="003115E3">
          <w:rPr>
            <w:color w:val="231F20"/>
            <w:spacing w:val="8"/>
            <w:w w:val="110"/>
          </w:rPr>
          <w:t xml:space="preserve"> </w:t>
        </w:r>
        <w:r w:rsidR="003115E3">
          <w:rPr>
            <w:color w:val="231F20"/>
            <w:w w:val="110"/>
          </w:rPr>
          <w:t>key</w:t>
        </w:r>
        <w:r w:rsidR="003115E3">
          <w:rPr>
            <w:color w:val="231F20"/>
            <w:w w:val="110"/>
          </w:rPr>
          <w:tab/>
        </w:r>
        <w:r w:rsidR="003115E3">
          <w:rPr>
            <w:color w:val="231F20"/>
            <w:w w:val="110"/>
            <w:sz w:val="24"/>
          </w:rPr>
          <w:t>xxv</w:t>
        </w:r>
      </w:hyperlink>
    </w:p>
    <w:p w14:paraId="3598990F" w14:textId="77777777" w:rsidR="002653E8" w:rsidRDefault="00000000">
      <w:pPr>
        <w:tabs>
          <w:tab w:val="right" w:pos="7311"/>
        </w:tabs>
        <w:spacing w:before="15"/>
        <w:ind w:left="1147"/>
        <w:rPr>
          <w:sz w:val="24"/>
        </w:rPr>
      </w:pPr>
      <w:hyperlink w:anchor="_bookmark6" w:history="1">
        <w:r w:rsidR="003115E3">
          <w:rPr>
            <w:color w:val="231F20"/>
            <w:w w:val="110"/>
            <w:sz w:val="26"/>
          </w:rPr>
          <w:t>german</w:t>
        </w:r>
        <w:r w:rsidR="003115E3">
          <w:rPr>
            <w:color w:val="231F20"/>
            <w:spacing w:val="1"/>
            <w:w w:val="110"/>
            <w:sz w:val="26"/>
          </w:rPr>
          <w:t xml:space="preserve"> </w:t>
        </w:r>
        <w:r w:rsidR="003115E3">
          <w:rPr>
            <w:color w:val="231F20"/>
            <w:w w:val="110"/>
            <w:sz w:val="26"/>
          </w:rPr>
          <w:t>terms</w:t>
        </w:r>
        <w:r w:rsidR="003115E3">
          <w:rPr>
            <w:color w:val="231F20"/>
            <w:w w:val="110"/>
            <w:sz w:val="26"/>
          </w:rPr>
          <w:tab/>
        </w:r>
        <w:r w:rsidR="003115E3">
          <w:rPr>
            <w:color w:val="231F20"/>
            <w:w w:val="110"/>
            <w:sz w:val="24"/>
          </w:rPr>
          <w:t>xxix</w:t>
        </w:r>
      </w:hyperlink>
    </w:p>
    <w:p w14:paraId="3A34A6A5" w14:textId="77777777" w:rsidR="002653E8" w:rsidRDefault="00000000">
      <w:pPr>
        <w:pStyle w:val="8"/>
        <w:spacing w:before="351" w:line="252" w:lineRule="auto"/>
        <w:ind w:left="1727" w:right="1580"/>
      </w:pPr>
      <w:r>
        <w:rPr>
          <w:noProof w:val="0"/>
        </w:rPr>
        <w:pict w14:anchorId="253A9754">
          <v:shapetype id="_x0000_t202" coordsize="21600,21600" o:spt="202" path="m,l,21600r21600,l21600,xe">
            <v:stroke joinstyle="miter"/>
            <v:path gradientshapeok="t" o:connecttype="rect"/>
          </v:shapetype>
          <v:shape id="_x0000_s2738" type="#_x0000_t202" style="position:absolute;left:0;text-align:left;margin-left:65.95pt;margin-top:17.25pt;width:13.35pt;height:28.15pt;z-index:1072;mso-position-horizontal-relative:page" filled="f" stroked="f">
            <v:textbox inset="0,0,0,0">
              <w:txbxContent>
                <w:p w14:paraId="5CE97F7D" w14:textId="77777777" w:rsidR="001008C3" w:rsidRDefault="00000000">
                  <w:pPr>
                    <w:spacing w:line="560" w:lineRule="exact"/>
                    <w:rPr>
                      <w:sz w:val="48"/>
                    </w:rPr>
                  </w:pPr>
                  <w:hyperlink w:anchor="_bookmark7" w:history="1">
                    <w:r w:rsidR="001008C3">
                      <w:rPr>
                        <w:color w:val="757679"/>
                        <w:sz w:val="48"/>
                      </w:rPr>
                      <w:t>1</w:t>
                    </w:r>
                  </w:hyperlink>
                </w:p>
              </w:txbxContent>
            </v:textbox>
            <w10:wrap anchorx="page"/>
          </v:shape>
        </w:pict>
      </w:r>
      <w:hyperlink w:anchor="_bookmark7" w:history="1">
        <w:r w:rsidR="003115E3">
          <w:rPr>
            <w:color w:val="231F20"/>
            <w:w w:val="120"/>
          </w:rPr>
          <w:t>“democracy” comes to deutschland: postfascist germany and the</w:t>
        </w:r>
      </w:hyperlink>
    </w:p>
    <w:p w14:paraId="10E9EBC0" w14:textId="77777777" w:rsidR="002653E8" w:rsidRDefault="00000000">
      <w:pPr>
        <w:pStyle w:val="8"/>
        <w:tabs>
          <w:tab w:val="right" w:pos="7311"/>
        </w:tabs>
        <w:spacing w:before="0"/>
        <w:ind w:left="1727"/>
        <w:rPr>
          <w:sz w:val="22"/>
        </w:rPr>
      </w:pPr>
      <w:hyperlink w:anchor="_bookmark7" w:history="1">
        <w:r w:rsidR="003115E3">
          <w:rPr>
            <w:color w:val="231F20"/>
            <w:spacing w:val="-1"/>
            <w:w w:val="126"/>
          </w:rPr>
          <w:t>c</w:t>
        </w:r>
        <w:r w:rsidR="003115E3">
          <w:rPr>
            <w:color w:val="231F20"/>
            <w:spacing w:val="-5"/>
            <w:w w:val="125"/>
          </w:rPr>
          <w:t>o</w:t>
        </w:r>
        <w:r w:rsidR="003115E3">
          <w:rPr>
            <w:color w:val="231F20"/>
            <w:spacing w:val="7"/>
            <w:w w:val="109"/>
          </w:rPr>
          <w:t>n</w:t>
        </w:r>
        <w:r w:rsidR="003115E3">
          <w:rPr>
            <w:color w:val="231F20"/>
            <w:spacing w:val="5"/>
            <w:w w:val="147"/>
          </w:rPr>
          <w:t>t</w:t>
        </w:r>
        <w:r w:rsidR="003115E3">
          <w:rPr>
            <w:color w:val="231F20"/>
            <w:spacing w:val="3"/>
            <w:w w:val="119"/>
          </w:rPr>
          <w:t>i</w:t>
        </w:r>
        <w:r w:rsidR="003115E3">
          <w:rPr>
            <w:color w:val="231F20"/>
            <w:spacing w:val="5"/>
            <w:w w:val="109"/>
          </w:rPr>
          <w:t>n</w:t>
        </w:r>
        <w:r w:rsidR="003115E3">
          <w:rPr>
            <w:color w:val="231F20"/>
            <w:spacing w:val="2"/>
            <w:w w:val="110"/>
          </w:rPr>
          <w:t>u</w:t>
        </w:r>
        <w:r w:rsidR="003115E3">
          <w:rPr>
            <w:color w:val="231F20"/>
            <w:spacing w:val="3"/>
            <w:w w:val="119"/>
          </w:rPr>
          <w:t>i</w:t>
        </w:r>
        <w:r w:rsidR="003115E3">
          <w:rPr>
            <w:color w:val="231F20"/>
            <w:spacing w:val="-5"/>
            <w:w w:val="109"/>
          </w:rPr>
          <w:t>n</w:t>
        </w:r>
        <w:r w:rsidR="003115E3">
          <w:rPr>
            <w:color w:val="231F20"/>
            <w:w w:val="123"/>
          </w:rPr>
          <w:t>g</w:t>
        </w:r>
        <w:r w:rsidR="003115E3">
          <w:rPr>
            <w:color w:val="231F20"/>
            <w:spacing w:val="15"/>
          </w:rPr>
          <w:t xml:space="preserve"> </w:t>
        </w:r>
        <w:r w:rsidR="003115E3">
          <w:rPr>
            <w:color w:val="231F20"/>
            <w:spacing w:val="6"/>
            <w:w w:val="113"/>
          </w:rPr>
          <w:t>a</w:t>
        </w:r>
        <w:r w:rsidR="003115E3">
          <w:rPr>
            <w:color w:val="231F20"/>
            <w:spacing w:val="-1"/>
            <w:w w:val="89"/>
          </w:rPr>
          <w:t>p</w:t>
        </w:r>
        <w:r w:rsidR="003115E3">
          <w:rPr>
            <w:color w:val="231F20"/>
            <w:w w:val="89"/>
          </w:rPr>
          <w:t>p</w:t>
        </w:r>
        <w:r w:rsidR="003115E3">
          <w:rPr>
            <w:color w:val="231F20"/>
            <w:spacing w:val="6"/>
            <w:w w:val="102"/>
          </w:rPr>
          <w:t>e</w:t>
        </w:r>
        <w:r w:rsidR="003115E3">
          <w:rPr>
            <w:color w:val="231F20"/>
            <w:spacing w:val="5"/>
            <w:w w:val="113"/>
          </w:rPr>
          <w:t>a</w:t>
        </w:r>
        <w:r w:rsidR="003115E3">
          <w:rPr>
            <w:color w:val="231F20"/>
            <w:w w:val="184"/>
          </w:rPr>
          <w:t>l</w:t>
        </w:r>
        <w:r w:rsidR="003115E3">
          <w:rPr>
            <w:color w:val="231F20"/>
            <w:spacing w:val="15"/>
          </w:rPr>
          <w:t xml:space="preserve"> </w:t>
        </w:r>
        <w:r w:rsidR="003115E3">
          <w:rPr>
            <w:color w:val="231F20"/>
            <w:spacing w:val="-7"/>
            <w:w w:val="125"/>
          </w:rPr>
          <w:t>o</w:t>
        </w:r>
        <w:r w:rsidR="003115E3">
          <w:rPr>
            <w:color w:val="231F20"/>
            <w:w w:val="165"/>
          </w:rPr>
          <w:t>f</w:t>
        </w:r>
        <w:r w:rsidR="003115E3">
          <w:rPr>
            <w:color w:val="231F20"/>
            <w:spacing w:val="15"/>
          </w:rPr>
          <w:t xml:space="preserve"> </w:t>
        </w:r>
        <w:r w:rsidR="003115E3">
          <w:rPr>
            <w:color w:val="231F20"/>
            <w:spacing w:val="2"/>
            <w:w w:val="119"/>
          </w:rPr>
          <w:t>i</w:t>
        </w:r>
        <w:r w:rsidR="003115E3">
          <w:rPr>
            <w:color w:val="231F20"/>
            <w:spacing w:val="2"/>
            <w:w w:val="93"/>
          </w:rPr>
          <w:t>m</w:t>
        </w:r>
        <w:r w:rsidR="003115E3">
          <w:rPr>
            <w:color w:val="231F20"/>
            <w:w w:val="89"/>
          </w:rPr>
          <w:t>p</w:t>
        </w:r>
        <w:r w:rsidR="003115E3">
          <w:rPr>
            <w:color w:val="231F20"/>
            <w:spacing w:val="3"/>
            <w:w w:val="102"/>
          </w:rPr>
          <w:t>e</w:t>
        </w:r>
        <w:r w:rsidR="003115E3">
          <w:rPr>
            <w:color w:val="231F20"/>
            <w:spacing w:val="5"/>
            <w:w w:val="134"/>
          </w:rPr>
          <w:t>r</w:t>
        </w:r>
        <w:r w:rsidR="003115E3">
          <w:rPr>
            <w:color w:val="231F20"/>
            <w:spacing w:val="6"/>
            <w:w w:val="119"/>
          </w:rPr>
          <w:t>i</w:t>
        </w:r>
        <w:r w:rsidR="003115E3">
          <w:rPr>
            <w:color w:val="231F20"/>
            <w:spacing w:val="5"/>
            <w:w w:val="113"/>
          </w:rPr>
          <w:t>a</w:t>
        </w:r>
        <w:r w:rsidR="003115E3">
          <w:rPr>
            <w:color w:val="231F20"/>
            <w:spacing w:val="3"/>
            <w:w w:val="184"/>
          </w:rPr>
          <w:t>l</w:t>
        </w:r>
        <w:r w:rsidR="003115E3">
          <w:rPr>
            <w:color w:val="231F20"/>
            <w:spacing w:val="-2"/>
            <w:w w:val="119"/>
          </w:rPr>
          <w:t>i</w:t>
        </w:r>
        <w:r w:rsidR="003115E3">
          <w:rPr>
            <w:color w:val="231F20"/>
            <w:spacing w:val="-3"/>
            <w:w w:val="103"/>
          </w:rPr>
          <w:t>s</w:t>
        </w:r>
        <w:r w:rsidR="003115E3">
          <w:rPr>
            <w:color w:val="231F20"/>
            <w:w w:val="93"/>
          </w:rPr>
          <w:t>m</w:t>
        </w:r>
        <w:r w:rsidR="003115E3">
          <w:rPr>
            <w:color w:val="231F20"/>
            <w:w w:val="126"/>
            <w:sz w:val="22"/>
          </w:rPr>
          <w:t xml:space="preserve"> </w:t>
        </w:r>
        <w:r w:rsidR="003115E3">
          <w:rPr>
            <w:color w:val="231F20"/>
            <w:sz w:val="22"/>
          </w:rPr>
          <w:tab/>
          <w:t>3</w:t>
        </w:r>
      </w:hyperlink>
    </w:p>
    <w:p w14:paraId="7905D620" w14:textId="77777777" w:rsidR="002653E8" w:rsidRDefault="00000000">
      <w:pPr>
        <w:tabs>
          <w:tab w:val="right" w:pos="7311"/>
        </w:tabs>
        <w:spacing w:before="54"/>
        <w:ind w:left="2179"/>
      </w:pPr>
      <w:hyperlink w:anchor="_bookmark8" w:history="1">
        <w:r w:rsidR="003115E3">
          <w:rPr>
            <w:i/>
            <w:color w:val="231F20"/>
          </w:rPr>
          <w:t xml:space="preserve">not wanted in the model: </w:t>
        </w:r>
        <w:r w:rsidR="003115E3">
          <w:rPr>
            <w:i/>
            <w:color w:val="231F20"/>
            <w:spacing w:val="25"/>
          </w:rPr>
          <w:t xml:space="preserve"> </w:t>
        </w:r>
        <w:r w:rsidR="003115E3">
          <w:rPr>
            <w:i/>
            <w:color w:val="231F20"/>
          </w:rPr>
          <w:t>the</w:t>
        </w:r>
        <w:r w:rsidR="003115E3">
          <w:rPr>
            <w:i/>
            <w:color w:val="231F20"/>
            <w:spacing w:val="13"/>
          </w:rPr>
          <w:t xml:space="preserve"> </w:t>
        </w:r>
        <w:r w:rsidR="003115E3">
          <w:rPr>
            <w:i/>
            <w:color w:val="231F20"/>
            <w:spacing w:val="-3"/>
          </w:rPr>
          <w:t>kpd</w:t>
        </w:r>
        <w:r w:rsidR="003115E3">
          <w:rPr>
            <w:i/>
            <w:color w:val="231F20"/>
            <w:spacing w:val="-3"/>
          </w:rPr>
          <w:tab/>
        </w:r>
        <w:r w:rsidR="003115E3">
          <w:rPr>
            <w:color w:val="231F20"/>
            <w:spacing w:val="-4"/>
          </w:rPr>
          <w:t>17</w:t>
        </w:r>
      </w:hyperlink>
    </w:p>
    <w:p w14:paraId="6FF47E5C" w14:textId="77777777" w:rsidR="002653E8" w:rsidRDefault="00000000">
      <w:pPr>
        <w:pStyle w:val="8"/>
        <w:spacing w:before="504"/>
        <w:ind w:left="1728"/>
      </w:pPr>
      <w:r>
        <w:rPr>
          <w:noProof w:val="0"/>
        </w:rPr>
        <w:pict w14:anchorId="53CC4609">
          <v:shape id="_x0000_s2737" type="#_x0000_t202" style="position:absolute;left:0;text-align:left;margin-left:67.85pt;margin-top:24.9pt;width:13.35pt;height:28.15pt;z-index:1096;mso-position-horizontal-relative:page" filled="f" stroked="f">
            <v:textbox inset="0,0,0,0">
              <w:txbxContent>
                <w:p w14:paraId="3D019E35" w14:textId="77777777" w:rsidR="001008C3" w:rsidRDefault="00000000">
                  <w:pPr>
                    <w:spacing w:line="560" w:lineRule="exact"/>
                    <w:rPr>
                      <w:sz w:val="48"/>
                    </w:rPr>
                  </w:pPr>
                  <w:hyperlink w:anchor="_bookmark9" w:history="1">
                    <w:r w:rsidR="001008C3">
                      <w:rPr>
                        <w:color w:val="757679"/>
                        <w:sz w:val="48"/>
                      </w:rPr>
                      <w:t>2</w:t>
                    </w:r>
                  </w:hyperlink>
                </w:p>
              </w:txbxContent>
            </v:textbox>
            <w10:wrap anchorx="page"/>
          </v:shape>
        </w:pict>
      </w:r>
      <w:hyperlink w:anchor="_bookmark9" w:history="1">
        <w:r w:rsidR="003115E3">
          <w:rPr>
            <w:color w:val="231F20"/>
            <w:w w:val="125"/>
          </w:rPr>
          <w:t>the re-emergence of</w:t>
        </w:r>
      </w:hyperlink>
    </w:p>
    <w:p w14:paraId="11A08FA1" w14:textId="77777777" w:rsidR="002653E8" w:rsidRDefault="00000000">
      <w:pPr>
        <w:pStyle w:val="8"/>
        <w:tabs>
          <w:tab w:val="right" w:pos="7311"/>
        </w:tabs>
        <w:spacing w:before="15"/>
        <w:ind w:left="1728"/>
        <w:rPr>
          <w:sz w:val="22"/>
        </w:rPr>
      </w:pPr>
      <w:hyperlink w:anchor="_bookmark9" w:history="1">
        <w:r w:rsidR="003115E3">
          <w:rPr>
            <w:color w:val="231F20"/>
            <w:spacing w:val="7"/>
            <w:w w:val="134"/>
          </w:rPr>
          <w:t>r</w:t>
        </w:r>
        <w:r w:rsidR="003115E3">
          <w:rPr>
            <w:color w:val="231F20"/>
            <w:spacing w:val="1"/>
            <w:w w:val="102"/>
          </w:rPr>
          <w:t>e</w:t>
        </w:r>
        <w:r w:rsidR="003115E3">
          <w:rPr>
            <w:color w:val="231F20"/>
            <w:spacing w:val="-8"/>
            <w:w w:val="110"/>
          </w:rPr>
          <w:t>v</w:t>
        </w:r>
        <w:r w:rsidR="003115E3">
          <w:rPr>
            <w:color w:val="231F20"/>
            <w:spacing w:val="-9"/>
            <w:w w:val="125"/>
          </w:rPr>
          <w:t>o</w:t>
        </w:r>
        <w:r w:rsidR="003115E3">
          <w:rPr>
            <w:color w:val="231F20"/>
            <w:spacing w:val="-1"/>
            <w:w w:val="184"/>
          </w:rPr>
          <w:t>l</w:t>
        </w:r>
        <w:r w:rsidR="003115E3">
          <w:rPr>
            <w:color w:val="231F20"/>
            <w:spacing w:val="6"/>
            <w:w w:val="110"/>
          </w:rPr>
          <w:t>u</w:t>
        </w:r>
        <w:r w:rsidR="003115E3">
          <w:rPr>
            <w:color w:val="231F20"/>
            <w:spacing w:val="5"/>
            <w:w w:val="147"/>
          </w:rPr>
          <w:t>t</w:t>
        </w:r>
        <w:r w:rsidR="003115E3">
          <w:rPr>
            <w:color w:val="231F20"/>
            <w:spacing w:val="-7"/>
            <w:w w:val="119"/>
          </w:rPr>
          <w:t>i</w:t>
        </w:r>
        <w:r w:rsidR="003115E3">
          <w:rPr>
            <w:color w:val="231F20"/>
            <w:spacing w:val="-5"/>
            <w:w w:val="125"/>
          </w:rPr>
          <w:t>o</w:t>
        </w:r>
        <w:r w:rsidR="003115E3">
          <w:rPr>
            <w:color w:val="231F20"/>
            <w:w w:val="109"/>
          </w:rPr>
          <w:t>n</w:t>
        </w:r>
        <w:r w:rsidR="003115E3">
          <w:rPr>
            <w:color w:val="231F20"/>
            <w:spacing w:val="7"/>
            <w:w w:val="113"/>
          </w:rPr>
          <w:t>a</w:t>
        </w:r>
        <w:r w:rsidR="003115E3">
          <w:rPr>
            <w:color w:val="231F20"/>
            <w:spacing w:val="-5"/>
            <w:w w:val="134"/>
          </w:rPr>
          <w:t>r</w:t>
        </w:r>
        <w:r w:rsidR="003115E3">
          <w:rPr>
            <w:color w:val="231F20"/>
            <w:w w:val="110"/>
          </w:rPr>
          <w:t>y</w:t>
        </w:r>
        <w:r w:rsidR="003115E3">
          <w:rPr>
            <w:color w:val="231F20"/>
            <w:spacing w:val="15"/>
          </w:rPr>
          <w:t xml:space="preserve"> </w:t>
        </w:r>
        <w:r w:rsidR="003115E3">
          <w:rPr>
            <w:color w:val="231F20"/>
            <w:w w:val="89"/>
          </w:rPr>
          <w:t>p</w:t>
        </w:r>
        <w:r w:rsidR="003115E3">
          <w:rPr>
            <w:color w:val="231F20"/>
            <w:spacing w:val="-9"/>
            <w:w w:val="125"/>
          </w:rPr>
          <w:t>o</w:t>
        </w:r>
        <w:r w:rsidR="003115E3">
          <w:rPr>
            <w:color w:val="231F20"/>
            <w:spacing w:val="3"/>
            <w:w w:val="184"/>
          </w:rPr>
          <w:t>l</w:t>
        </w:r>
        <w:r w:rsidR="003115E3">
          <w:rPr>
            <w:color w:val="231F20"/>
            <w:spacing w:val="5"/>
            <w:w w:val="119"/>
          </w:rPr>
          <w:t>i</w:t>
        </w:r>
        <w:r w:rsidR="003115E3">
          <w:rPr>
            <w:color w:val="231F20"/>
            <w:spacing w:val="5"/>
            <w:w w:val="147"/>
          </w:rPr>
          <w:t>t</w:t>
        </w:r>
        <w:r w:rsidR="003115E3">
          <w:rPr>
            <w:color w:val="231F20"/>
            <w:spacing w:val="-6"/>
            <w:w w:val="119"/>
          </w:rPr>
          <w:t>i</w:t>
        </w:r>
        <w:r w:rsidR="003115E3">
          <w:rPr>
            <w:color w:val="231F20"/>
            <w:w w:val="126"/>
          </w:rPr>
          <w:t>c</w:t>
        </w:r>
        <w:r w:rsidR="003115E3">
          <w:rPr>
            <w:color w:val="231F20"/>
            <w:w w:val="103"/>
          </w:rPr>
          <w:t>s</w:t>
        </w:r>
        <w:r w:rsidR="003115E3">
          <w:rPr>
            <w:color w:val="231F20"/>
            <w:spacing w:val="15"/>
          </w:rPr>
          <w:t xml:space="preserve"> </w:t>
        </w:r>
        <w:r w:rsidR="003115E3">
          <w:rPr>
            <w:color w:val="231F20"/>
            <w:spacing w:val="3"/>
            <w:w w:val="119"/>
          </w:rPr>
          <w:t>i</w:t>
        </w:r>
        <w:r w:rsidR="003115E3">
          <w:rPr>
            <w:color w:val="231F20"/>
            <w:w w:val="109"/>
          </w:rPr>
          <w:t>n</w:t>
        </w:r>
        <w:r w:rsidR="003115E3">
          <w:rPr>
            <w:color w:val="231F20"/>
            <w:spacing w:val="15"/>
          </w:rPr>
          <w:t xml:space="preserve"> </w:t>
        </w:r>
        <w:r w:rsidR="003115E3">
          <w:rPr>
            <w:color w:val="231F20"/>
            <w:spacing w:val="7"/>
          </w:rPr>
          <w:t>w</w:t>
        </w:r>
        <w:r w:rsidR="003115E3">
          <w:rPr>
            <w:color w:val="231F20"/>
            <w:spacing w:val="2"/>
            <w:w w:val="102"/>
          </w:rPr>
          <w:t>e</w:t>
        </w:r>
        <w:r w:rsidR="003115E3">
          <w:rPr>
            <w:color w:val="231F20"/>
            <w:w w:val="103"/>
          </w:rPr>
          <w:t>s</w:t>
        </w:r>
        <w:r w:rsidR="003115E3">
          <w:rPr>
            <w:color w:val="231F20"/>
            <w:w w:val="147"/>
          </w:rPr>
          <w:t>t</w:t>
        </w:r>
        <w:r w:rsidR="003115E3">
          <w:rPr>
            <w:color w:val="231F20"/>
            <w:spacing w:val="15"/>
          </w:rPr>
          <w:t xml:space="preserve"> </w:t>
        </w:r>
        <w:r w:rsidR="003115E3">
          <w:rPr>
            <w:color w:val="231F20"/>
            <w:w w:val="123"/>
          </w:rPr>
          <w:t>g</w:t>
        </w:r>
        <w:r w:rsidR="003115E3">
          <w:rPr>
            <w:color w:val="231F20"/>
            <w:spacing w:val="3"/>
            <w:w w:val="102"/>
          </w:rPr>
          <w:t>e</w:t>
        </w:r>
        <w:r w:rsidR="003115E3">
          <w:rPr>
            <w:color w:val="231F20"/>
            <w:spacing w:val="7"/>
            <w:w w:val="134"/>
          </w:rPr>
          <w:t>r</w:t>
        </w:r>
        <w:r w:rsidR="003115E3">
          <w:rPr>
            <w:color w:val="231F20"/>
            <w:spacing w:val="8"/>
            <w:w w:val="93"/>
          </w:rPr>
          <w:t>m</w:t>
        </w:r>
        <w:r w:rsidR="003115E3">
          <w:rPr>
            <w:color w:val="231F20"/>
            <w:spacing w:val="8"/>
            <w:w w:val="113"/>
          </w:rPr>
          <w:t>a</w:t>
        </w:r>
        <w:r w:rsidR="003115E3">
          <w:rPr>
            <w:color w:val="231F20"/>
            <w:spacing w:val="8"/>
            <w:w w:val="109"/>
          </w:rPr>
          <w:t>n</w:t>
        </w:r>
        <w:r w:rsidR="003115E3">
          <w:rPr>
            <w:color w:val="231F20"/>
            <w:w w:val="110"/>
          </w:rPr>
          <w:t>y</w:t>
        </w:r>
        <w:r w:rsidR="003115E3">
          <w:rPr>
            <w:color w:val="231F20"/>
            <w:w w:val="126"/>
            <w:sz w:val="22"/>
          </w:rPr>
          <w:t xml:space="preserve"> </w:t>
        </w:r>
        <w:r w:rsidR="003115E3">
          <w:rPr>
            <w:color w:val="231F20"/>
            <w:sz w:val="22"/>
          </w:rPr>
          <w:tab/>
        </w:r>
        <w:r w:rsidR="003115E3">
          <w:rPr>
            <w:color w:val="231F20"/>
            <w:spacing w:val="-12"/>
            <w:sz w:val="22"/>
          </w:rPr>
          <w:t>1</w:t>
        </w:r>
        <w:r w:rsidR="003115E3">
          <w:rPr>
            <w:color w:val="231F20"/>
            <w:sz w:val="22"/>
          </w:rPr>
          <w:t>9</w:t>
        </w:r>
      </w:hyperlink>
    </w:p>
    <w:p w14:paraId="57B2BEDF" w14:textId="77777777" w:rsidR="002653E8" w:rsidRDefault="00000000">
      <w:pPr>
        <w:tabs>
          <w:tab w:val="right" w:pos="7311"/>
        </w:tabs>
        <w:spacing w:before="53"/>
        <w:ind w:left="2179"/>
      </w:pPr>
      <w:hyperlink w:anchor="_bookmark10" w:history="1">
        <w:r w:rsidR="003115E3">
          <w:rPr>
            <w:i/>
            <w:color w:val="231F20"/>
          </w:rPr>
          <w:t xml:space="preserve">the old left and the </w:t>
        </w:r>
        <w:r w:rsidR="003115E3">
          <w:rPr>
            <w:i/>
            <w:color w:val="231F20"/>
            <w:spacing w:val="20"/>
          </w:rPr>
          <w:t xml:space="preserve"> </w:t>
        </w:r>
        <w:r w:rsidR="003115E3">
          <w:rPr>
            <w:i/>
            <w:color w:val="231F20"/>
            <w:spacing w:val="1"/>
          </w:rPr>
          <w:t>new</w:t>
        </w:r>
        <w:r w:rsidR="003115E3">
          <w:rPr>
            <w:i/>
            <w:color w:val="231F20"/>
            <w:spacing w:val="12"/>
          </w:rPr>
          <w:t xml:space="preserve"> </w:t>
        </w:r>
        <w:r w:rsidR="003115E3">
          <w:rPr>
            <w:i/>
            <w:color w:val="231F20"/>
          </w:rPr>
          <w:t>reality</w:t>
        </w:r>
        <w:r w:rsidR="003115E3">
          <w:rPr>
            <w:i/>
            <w:color w:val="231F20"/>
          </w:rPr>
          <w:tab/>
        </w:r>
        <w:r w:rsidR="003115E3">
          <w:rPr>
            <w:color w:val="231F20"/>
          </w:rPr>
          <w:t>24</w:t>
        </w:r>
      </w:hyperlink>
    </w:p>
    <w:p w14:paraId="7F51515E" w14:textId="77777777" w:rsidR="002653E8" w:rsidRDefault="002653E8">
      <w:pPr>
        <w:sectPr w:rsidR="002653E8">
          <w:pgSz w:w="8640" w:h="12960"/>
          <w:pgMar w:top="1220" w:right="0" w:bottom="280" w:left="0" w:header="720" w:footer="720" w:gutter="0"/>
          <w:cols w:space="720"/>
        </w:sectPr>
      </w:pPr>
    </w:p>
    <w:p w14:paraId="6DAB739D" w14:textId="77777777" w:rsidR="002653E8" w:rsidRDefault="00000000">
      <w:pPr>
        <w:pStyle w:val="8"/>
        <w:tabs>
          <w:tab w:val="left" w:pos="7263"/>
        </w:tabs>
        <w:spacing w:before="84" w:line="554" w:lineRule="exact"/>
        <w:ind w:left="1515"/>
        <w:rPr>
          <w:sz w:val="22"/>
        </w:rPr>
      </w:pPr>
      <w:hyperlink w:anchor="_bookmark11" w:history="1">
        <w:r w:rsidR="003115E3">
          <w:rPr>
            <w:color w:val="757679"/>
            <w:w w:val="115"/>
            <w:position w:val="-19"/>
            <w:sz w:val="48"/>
          </w:rPr>
          <w:t xml:space="preserve">3 </w:t>
        </w:r>
        <w:r w:rsidR="003115E3">
          <w:rPr>
            <w:color w:val="231F20"/>
            <w:w w:val="115"/>
          </w:rPr>
          <w:t>taking up</w:t>
        </w:r>
        <w:r w:rsidR="003115E3">
          <w:rPr>
            <w:color w:val="231F20"/>
            <w:spacing w:val="5"/>
            <w:w w:val="115"/>
          </w:rPr>
          <w:t xml:space="preserve"> </w:t>
        </w:r>
        <w:r w:rsidR="003115E3">
          <w:rPr>
            <w:color w:val="231F20"/>
            <w:spacing w:val="2"/>
            <w:w w:val="115"/>
          </w:rPr>
          <w:t xml:space="preserve">the </w:t>
        </w:r>
        <w:r w:rsidR="003115E3">
          <w:rPr>
            <w:color w:val="231F20"/>
            <w:w w:val="115"/>
          </w:rPr>
          <w:t>gun</w:t>
        </w:r>
        <w:r w:rsidR="003115E3">
          <w:rPr>
            <w:color w:val="231F20"/>
            <w:w w:val="115"/>
          </w:rPr>
          <w:tab/>
        </w:r>
        <w:r w:rsidR="003115E3">
          <w:rPr>
            <w:color w:val="231F20"/>
            <w:spacing w:val="-8"/>
            <w:w w:val="115"/>
            <w:sz w:val="22"/>
          </w:rPr>
          <w:t>45</w:t>
        </w:r>
      </w:hyperlink>
    </w:p>
    <w:p w14:paraId="657F4099" w14:textId="77777777" w:rsidR="002653E8" w:rsidRDefault="00000000">
      <w:pPr>
        <w:pStyle w:val="a3"/>
        <w:spacing w:line="226" w:lineRule="exact"/>
        <w:ind w:left="2067"/>
      </w:pPr>
      <w:hyperlink w:anchor="_bookmark12" w:history="1">
        <w:r w:rsidR="003115E3">
          <w:rPr>
            <w:color w:val="231F20"/>
            <w:w w:val="105"/>
          </w:rPr>
          <w:t>Faced With This Justice System,</w:t>
        </w:r>
      </w:hyperlink>
    </w:p>
    <w:p w14:paraId="5DDE2371" w14:textId="77777777" w:rsidR="002653E8" w:rsidRDefault="00000000">
      <w:pPr>
        <w:pStyle w:val="a3"/>
        <w:spacing w:before="85"/>
        <w:ind w:left="2067"/>
      </w:pPr>
      <w:hyperlink w:anchor="_bookmark12" w:history="1">
        <w:r w:rsidR="003115E3">
          <w:rPr>
            <w:color w:val="231F20"/>
            <w:w w:val="105"/>
          </w:rPr>
          <w:t>We Can’t Be Bothered Defending Ourselves</w:t>
        </w:r>
      </w:hyperlink>
    </w:p>
    <w:p w14:paraId="2E029B8A" w14:textId="77777777" w:rsidR="002653E8" w:rsidRDefault="00000000">
      <w:pPr>
        <w:pStyle w:val="a3"/>
        <w:tabs>
          <w:tab w:val="left" w:pos="7249"/>
        </w:tabs>
        <w:spacing w:before="66"/>
        <w:ind w:left="2067"/>
        <w:rPr>
          <w:sz w:val="22"/>
        </w:rPr>
      </w:pPr>
      <w:hyperlink w:anchor="_bookmark12" w:history="1">
        <w:r w:rsidR="003115E3">
          <w:rPr>
            <w:color w:val="231F20"/>
            <w:w w:val="105"/>
          </w:rPr>
          <w:t>(Thorwald Proll,</w:t>
        </w:r>
        <w:r w:rsidR="003115E3">
          <w:rPr>
            <w:color w:val="231F20"/>
            <w:spacing w:val="25"/>
            <w:w w:val="105"/>
          </w:rPr>
          <w:t xml:space="preserve"> </w:t>
        </w:r>
        <w:r w:rsidR="003115E3">
          <w:rPr>
            <w:color w:val="231F20"/>
            <w:w w:val="105"/>
          </w:rPr>
          <w:t>October</w:t>
        </w:r>
        <w:r w:rsidR="003115E3">
          <w:rPr>
            <w:color w:val="231F20"/>
            <w:spacing w:val="12"/>
            <w:w w:val="105"/>
          </w:rPr>
          <w:t xml:space="preserve"> </w:t>
        </w:r>
        <w:r w:rsidR="003115E3">
          <w:rPr>
            <w:color w:val="231F20"/>
            <w:spacing w:val="-6"/>
            <w:w w:val="105"/>
          </w:rPr>
          <w:t>1968)</w:t>
        </w:r>
        <w:r w:rsidR="003115E3">
          <w:rPr>
            <w:color w:val="231F20"/>
            <w:spacing w:val="-6"/>
            <w:w w:val="105"/>
          </w:rPr>
          <w:tab/>
        </w:r>
        <w:r w:rsidR="003115E3">
          <w:rPr>
            <w:color w:val="231F20"/>
            <w:w w:val="105"/>
            <w:sz w:val="22"/>
          </w:rPr>
          <w:t>66</w:t>
        </w:r>
      </w:hyperlink>
    </w:p>
    <w:p w14:paraId="3515CFC8" w14:textId="77777777" w:rsidR="002653E8" w:rsidRDefault="00000000">
      <w:pPr>
        <w:pStyle w:val="a3"/>
        <w:spacing w:before="402"/>
        <w:ind w:left="2067"/>
      </w:pPr>
      <w:hyperlink w:anchor="_bookmark13" w:history="1">
        <w:r w:rsidR="003115E3">
          <w:rPr>
            <w:color w:val="231F20"/>
            <w:w w:val="105"/>
          </w:rPr>
          <w:t>Build the Red Army!</w:t>
        </w:r>
      </w:hyperlink>
    </w:p>
    <w:p w14:paraId="20D0EC8C" w14:textId="77777777" w:rsidR="002653E8" w:rsidRDefault="00000000">
      <w:pPr>
        <w:pStyle w:val="a3"/>
        <w:tabs>
          <w:tab w:val="left" w:pos="7252"/>
        </w:tabs>
        <w:spacing w:before="66"/>
        <w:ind w:left="2067"/>
        <w:rPr>
          <w:sz w:val="22"/>
        </w:rPr>
      </w:pPr>
      <w:hyperlink w:anchor="_bookmark13" w:history="1">
        <w:r w:rsidR="003115E3">
          <w:rPr>
            <w:color w:val="231F20"/>
            <w:w w:val="105"/>
          </w:rPr>
          <w:t>(June</w:t>
        </w:r>
        <w:r w:rsidR="003115E3">
          <w:rPr>
            <w:color w:val="231F20"/>
            <w:spacing w:val="7"/>
            <w:w w:val="105"/>
          </w:rPr>
          <w:t xml:space="preserve"> </w:t>
        </w:r>
        <w:r w:rsidR="003115E3">
          <w:rPr>
            <w:color w:val="231F20"/>
            <w:spacing w:val="-4"/>
            <w:w w:val="105"/>
          </w:rPr>
          <w:t>5,</w:t>
        </w:r>
        <w:r w:rsidR="003115E3">
          <w:rPr>
            <w:color w:val="231F20"/>
            <w:spacing w:val="7"/>
            <w:w w:val="105"/>
          </w:rPr>
          <w:t xml:space="preserve"> </w:t>
        </w:r>
        <w:r w:rsidR="003115E3">
          <w:rPr>
            <w:color w:val="231F20"/>
            <w:spacing w:val="-5"/>
            <w:w w:val="105"/>
          </w:rPr>
          <w:t>1970)</w:t>
        </w:r>
        <w:r w:rsidR="003115E3">
          <w:rPr>
            <w:color w:val="231F20"/>
            <w:spacing w:val="-5"/>
            <w:w w:val="105"/>
          </w:rPr>
          <w:tab/>
        </w:r>
        <w:r w:rsidR="003115E3">
          <w:rPr>
            <w:color w:val="231F20"/>
            <w:spacing w:val="-3"/>
            <w:w w:val="105"/>
            <w:sz w:val="22"/>
          </w:rPr>
          <w:t>79</w:t>
        </w:r>
      </w:hyperlink>
    </w:p>
    <w:p w14:paraId="0A0F75E1" w14:textId="77777777" w:rsidR="002653E8" w:rsidRDefault="00000000">
      <w:pPr>
        <w:pStyle w:val="a3"/>
        <w:spacing w:before="401"/>
        <w:ind w:left="2067"/>
      </w:pPr>
      <w:hyperlink w:anchor="_bookmark14" w:history="1">
        <w:r w:rsidR="003115E3">
          <w:rPr>
            <w:color w:val="231F20"/>
            <w:w w:val="105"/>
          </w:rPr>
          <w:t>The Urban Guerilla Concept</w:t>
        </w:r>
      </w:hyperlink>
    </w:p>
    <w:p w14:paraId="0E29E300" w14:textId="77777777" w:rsidR="002653E8" w:rsidRDefault="00000000">
      <w:pPr>
        <w:tabs>
          <w:tab w:val="left" w:pos="7258"/>
        </w:tabs>
        <w:spacing w:before="67"/>
        <w:ind w:left="2067"/>
      </w:pPr>
      <w:hyperlink w:anchor="_bookmark14" w:history="1">
        <w:r w:rsidR="003115E3">
          <w:rPr>
            <w:color w:val="231F20"/>
            <w:sz w:val="20"/>
          </w:rPr>
          <w:t>(April</w:t>
        </w:r>
        <w:r w:rsidR="003115E3">
          <w:rPr>
            <w:color w:val="231F20"/>
            <w:spacing w:val="13"/>
            <w:sz w:val="20"/>
          </w:rPr>
          <w:t xml:space="preserve"> </w:t>
        </w:r>
        <w:r w:rsidR="003115E3">
          <w:rPr>
            <w:color w:val="231F20"/>
            <w:spacing w:val="-7"/>
          </w:rPr>
          <w:t>1971</w:t>
        </w:r>
        <w:r w:rsidR="003115E3">
          <w:rPr>
            <w:color w:val="231F20"/>
            <w:spacing w:val="-7"/>
            <w:sz w:val="20"/>
          </w:rPr>
          <w:t>)</w:t>
        </w:r>
        <w:r w:rsidR="003115E3">
          <w:rPr>
            <w:color w:val="231F20"/>
            <w:spacing w:val="-7"/>
            <w:sz w:val="20"/>
          </w:rPr>
          <w:tab/>
        </w:r>
        <w:r w:rsidR="003115E3">
          <w:rPr>
            <w:color w:val="231F20"/>
            <w:spacing w:val="-6"/>
          </w:rPr>
          <w:t>83</w:t>
        </w:r>
      </w:hyperlink>
    </w:p>
    <w:p w14:paraId="77F63B8E" w14:textId="77777777" w:rsidR="002653E8" w:rsidRDefault="00000000">
      <w:pPr>
        <w:pStyle w:val="8"/>
        <w:spacing w:before="504"/>
        <w:ind w:left="760"/>
        <w:jc w:val="center"/>
        <w:rPr>
          <w:sz w:val="22"/>
        </w:rPr>
      </w:pPr>
      <w:r>
        <w:rPr>
          <w:noProof w:val="0"/>
        </w:rPr>
        <w:pict w14:anchorId="5EA79CE9">
          <v:shape id="_x0000_s2736" type="#_x0000_t202" style="position:absolute;left:0;text-align:left;margin-left:76.85pt;margin-top:24.9pt;width:13.35pt;height:28.15pt;z-index:1120;mso-position-horizontal-relative:page" filled="f" stroked="f">
            <v:textbox inset="0,0,0,0">
              <w:txbxContent>
                <w:p w14:paraId="0021691D" w14:textId="77777777" w:rsidR="001008C3" w:rsidRDefault="001008C3">
                  <w:pPr>
                    <w:spacing w:line="560" w:lineRule="exact"/>
                    <w:rPr>
                      <w:sz w:val="48"/>
                    </w:rPr>
                  </w:pPr>
                  <w:r>
                    <w:rPr>
                      <w:color w:val="757679"/>
                      <w:sz w:val="48"/>
                    </w:rPr>
                    <w:t>4</w:t>
                  </w:r>
                </w:p>
              </w:txbxContent>
            </v:textbox>
            <w10:wrap anchorx="page"/>
          </v:shape>
        </w:pict>
      </w:r>
      <w:hyperlink w:anchor="_bookmark15" w:history="1">
        <w:r w:rsidR="003115E3">
          <w:rPr>
            <w:color w:val="231F20"/>
            <w:spacing w:val="-6"/>
            <w:w w:val="101"/>
          </w:rPr>
          <w:t>b</w:t>
        </w:r>
        <w:r w:rsidR="003115E3">
          <w:rPr>
            <w:color w:val="231F20"/>
            <w:spacing w:val="2"/>
            <w:w w:val="110"/>
          </w:rPr>
          <w:t>u</w:t>
        </w:r>
        <w:r w:rsidR="003115E3">
          <w:rPr>
            <w:color w:val="231F20"/>
            <w:w w:val="151"/>
          </w:rPr>
          <w:t>i</w:t>
        </w:r>
        <w:r w:rsidR="003115E3">
          <w:rPr>
            <w:color w:val="231F20"/>
            <w:spacing w:val="3"/>
            <w:w w:val="151"/>
          </w:rPr>
          <w:t>l</w:t>
        </w:r>
        <w:r w:rsidR="003115E3">
          <w:rPr>
            <w:color w:val="231F20"/>
            <w:spacing w:val="-7"/>
            <w:w w:val="120"/>
          </w:rPr>
          <w:t>d</w:t>
        </w:r>
        <w:r w:rsidR="003115E3">
          <w:rPr>
            <w:color w:val="231F20"/>
            <w:spacing w:val="3"/>
            <w:w w:val="119"/>
          </w:rPr>
          <w:t>i</w:t>
        </w:r>
        <w:r w:rsidR="003115E3">
          <w:rPr>
            <w:color w:val="231F20"/>
            <w:spacing w:val="-5"/>
            <w:w w:val="109"/>
          </w:rPr>
          <w:t>n</w:t>
        </w:r>
        <w:r w:rsidR="003115E3">
          <w:rPr>
            <w:color w:val="231F20"/>
            <w:w w:val="123"/>
          </w:rPr>
          <w:t>g</w:t>
        </w:r>
        <w:r w:rsidR="003115E3">
          <w:rPr>
            <w:color w:val="231F20"/>
            <w:spacing w:val="15"/>
          </w:rPr>
          <w:t xml:space="preserve"> </w:t>
        </w:r>
        <w:r w:rsidR="003115E3">
          <w:rPr>
            <w:color w:val="231F20"/>
            <w:w w:val="113"/>
          </w:rPr>
          <w:t>a</w:t>
        </w:r>
        <w:r w:rsidR="003115E3">
          <w:rPr>
            <w:color w:val="231F20"/>
            <w:spacing w:val="15"/>
          </w:rPr>
          <w:t xml:space="preserve"> </w:t>
        </w:r>
        <w:r w:rsidR="003115E3">
          <w:rPr>
            <w:color w:val="231F20"/>
            <w:spacing w:val="-1"/>
            <w:w w:val="101"/>
          </w:rPr>
          <w:t>b</w:t>
        </w:r>
        <w:r w:rsidR="003115E3">
          <w:rPr>
            <w:color w:val="231F20"/>
            <w:spacing w:val="2"/>
            <w:w w:val="113"/>
          </w:rPr>
          <w:t>a</w:t>
        </w:r>
        <w:r w:rsidR="003115E3">
          <w:rPr>
            <w:color w:val="231F20"/>
            <w:spacing w:val="-4"/>
            <w:w w:val="103"/>
          </w:rPr>
          <w:t>s</w:t>
        </w:r>
        <w:r w:rsidR="003115E3">
          <w:rPr>
            <w:color w:val="231F20"/>
            <w:w w:val="102"/>
          </w:rPr>
          <w:t>e</w:t>
        </w:r>
        <w:r w:rsidR="003115E3">
          <w:rPr>
            <w:color w:val="231F20"/>
            <w:spacing w:val="15"/>
          </w:rPr>
          <w:t xml:space="preserve"> </w:t>
        </w:r>
        <w:r w:rsidR="003115E3">
          <w:rPr>
            <w:color w:val="231F20"/>
            <w:spacing w:val="8"/>
            <w:w w:val="113"/>
          </w:rPr>
          <w:t>a</w:t>
        </w:r>
        <w:r w:rsidR="003115E3">
          <w:rPr>
            <w:color w:val="231F20"/>
            <w:spacing w:val="3"/>
            <w:w w:val="109"/>
          </w:rPr>
          <w:t>n</w:t>
        </w:r>
        <w:r w:rsidR="003115E3">
          <w:rPr>
            <w:color w:val="231F20"/>
            <w:w w:val="120"/>
          </w:rPr>
          <w:t>d</w:t>
        </w:r>
        <w:r w:rsidR="003115E3">
          <w:rPr>
            <w:color w:val="231F20"/>
            <w:spacing w:val="13"/>
          </w:rPr>
          <w:t xml:space="preserve"> </w:t>
        </w:r>
        <w:r w:rsidR="003115E3">
          <w:rPr>
            <w:color w:val="231F20"/>
            <w:spacing w:val="-2"/>
            <w:w w:val="139"/>
            <w:vertAlign w:val="subscript"/>
          </w:rPr>
          <w:t>“</w:t>
        </w:r>
        <w:r w:rsidR="003115E3">
          <w:rPr>
            <w:color w:val="231F20"/>
            <w:spacing w:val="-4"/>
            <w:w w:val="103"/>
          </w:rPr>
          <w:t>s</w:t>
        </w:r>
        <w:r w:rsidR="003115E3">
          <w:rPr>
            <w:color w:val="231F20"/>
            <w:spacing w:val="3"/>
            <w:w w:val="102"/>
          </w:rPr>
          <w:t>e</w:t>
        </w:r>
        <w:r w:rsidR="003115E3">
          <w:rPr>
            <w:color w:val="231F20"/>
            <w:spacing w:val="-5"/>
            <w:w w:val="134"/>
          </w:rPr>
          <w:t>r</w:t>
        </w:r>
        <w:r w:rsidR="003115E3">
          <w:rPr>
            <w:color w:val="231F20"/>
            <w:spacing w:val="5"/>
            <w:w w:val="110"/>
          </w:rPr>
          <w:t>v</w:t>
        </w:r>
        <w:r w:rsidR="003115E3">
          <w:rPr>
            <w:color w:val="231F20"/>
            <w:spacing w:val="3"/>
            <w:w w:val="119"/>
          </w:rPr>
          <w:t>i</w:t>
        </w:r>
        <w:r w:rsidR="003115E3">
          <w:rPr>
            <w:color w:val="231F20"/>
            <w:spacing w:val="-5"/>
            <w:w w:val="109"/>
          </w:rPr>
          <w:t>n</w:t>
        </w:r>
        <w:r w:rsidR="003115E3">
          <w:rPr>
            <w:color w:val="231F20"/>
            <w:w w:val="123"/>
          </w:rPr>
          <w:t>g</w:t>
        </w:r>
        <w:r w:rsidR="003115E3">
          <w:rPr>
            <w:color w:val="231F20"/>
            <w:spacing w:val="15"/>
          </w:rPr>
          <w:t xml:space="preserve"> </w:t>
        </w:r>
        <w:r w:rsidR="003115E3">
          <w:rPr>
            <w:color w:val="231F20"/>
            <w:spacing w:val="6"/>
            <w:w w:val="147"/>
          </w:rPr>
          <w:t>t</w:t>
        </w:r>
        <w:r w:rsidR="003115E3">
          <w:rPr>
            <w:color w:val="231F20"/>
            <w:spacing w:val="5"/>
            <w:w w:val="120"/>
          </w:rPr>
          <w:t>h</w:t>
        </w:r>
        <w:r w:rsidR="003115E3">
          <w:rPr>
            <w:color w:val="231F20"/>
            <w:w w:val="102"/>
          </w:rPr>
          <w:t>e</w:t>
        </w:r>
        <w:r w:rsidR="003115E3">
          <w:rPr>
            <w:color w:val="231F20"/>
            <w:spacing w:val="15"/>
          </w:rPr>
          <w:t xml:space="preserve"> </w:t>
        </w:r>
        <w:r w:rsidR="003115E3">
          <w:rPr>
            <w:color w:val="231F20"/>
            <w:w w:val="89"/>
          </w:rPr>
          <w:t>p</w:t>
        </w:r>
        <w:r w:rsidR="003115E3">
          <w:rPr>
            <w:color w:val="231F20"/>
            <w:w w:val="102"/>
          </w:rPr>
          <w:t>e</w:t>
        </w:r>
        <w:r w:rsidR="003115E3">
          <w:rPr>
            <w:color w:val="231F20"/>
            <w:spacing w:val="-7"/>
            <w:w w:val="125"/>
          </w:rPr>
          <w:t>o</w:t>
        </w:r>
        <w:r w:rsidR="003115E3">
          <w:rPr>
            <w:color w:val="231F20"/>
            <w:spacing w:val="-3"/>
            <w:w w:val="89"/>
          </w:rPr>
          <w:t>p</w:t>
        </w:r>
        <w:r w:rsidR="003115E3">
          <w:rPr>
            <w:color w:val="231F20"/>
            <w:spacing w:val="5"/>
            <w:w w:val="184"/>
          </w:rPr>
          <w:t>l</w:t>
        </w:r>
        <w:r w:rsidR="003115E3">
          <w:rPr>
            <w:color w:val="231F20"/>
            <w:spacing w:val="-4"/>
            <w:w w:val="102"/>
          </w:rPr>
          <w:t>e</w:t>
        </w:r>
        <w:r w:rsidR="003115E3">
          <w:rPr>
            <w:color w:val="231F20"/>
            <w:w w:val="139"/>
            <w:vertAlign w:val="subscript"/>
          </w:rPr>
          <w:t>”</w:t>
        </w:r>
        <w:r w:rsidR="003115E3">
          <w:rPr>
            <w:color w:val="231F20"/>
            <w:w w:val="126"/>
            <w:sz w:val="22"/>
          </w:rPr>
          <w:t xml:space="preserve"> </w:t>
        </w:r>
        <w:r w:rsidR="003115E3">
          <w:rPr>
            <w:color w:val="231F20"/>
            <w:spacing w:val="15"/>
            <w:sz w:val="22"/>
          </w:rPr>
          <w:t xml:space="preserve"> </w:t>
        </w:r>
        <w:r w:rsidR="003115E3">
          <w:rPr>
            <w:color w:val="231F20"/>
            <w:spacing w:val="-12"/>
            <w:sz w:val="22"/>
          </w:rPr>
          <w:t>1</w:t>
        </w:r>
        <w:r w:rsidR="003115E3">
          <w:rPr>
            <w:color w:val="231F20"/>
            <w:sz w:val="22"/>
          </w:rPr>
          <w:t>07</w:t>
        </w:r>
      </w:hyperlink>
    </w:p>
    <w:p w14:paraId="3C57BE82" w14:textId="77777777" w:rsidR="002653E8" w:rsidRDefault="00000000">
      <w:pPr>
        <w:tabs>
          <w:tab w:val="left" w:pos="7134"/>
        </w:tabs>
        <w:spacing w:before="53"/>
        <w:ind w:left="2359"/>
      </w:pPr>
      <w:hyperlink w:anchor="_bookmark16" w:history="1">
        <w:r w:rsidR="003115E3">
          <w:rPr>
            <w:i/>
            <w:color w:val="231F20"/>
          </w:rPr>
          <w:t>the  socialist patients’</w:t>
        </w:r>
        <w:r w:rsidR="003115E3">
          <w:rPr>
            <w:i/>
            <w:color w:val="231F20"/>
            <w:spacing w:val="23"/>
          </w:rPr>
          <w:t xml:space="preserve"> </w:t>
        </w:r>
        <w:r w:rsidR="003115E3">
          <w:rPr>
            <w:i/>
            <w:color w:val="231F20"/>
          </w:rPr>
          <w:t>collective</w:t>
        </w:r>
        <w:r w:rsidR="003115E3">
          <w:rPr>
            <w:i/>
            <w:color w:val="231F20"/>
          </w:rPr>
          <w:tab/>
        </w:r>
        <w:r w:rsidR="003115E3">
          <w:rPr>
            <w:color w:val="231F20"/>
            <w:spacing w:val="-4"/>
          </w:rPr>
          <w:t>109</w:t>
        </w:r>
      </w:hyperlink>
    </w:p>
    <w:p w14:paraId="0D3447E3" w14:textId="77777777" w:rsidR="002653E8" w:rsidRDefault="00000000">
      <w:pPr>
        <w:pStyle w:val="a3"/>
        <w:spacing w:before="241"/>
        <w:ind w:left="2067"/>
      </w:pPr>
      <w:hyperlink w:anchor="_bookmark17" w:history="1">
        <w:r w:rsidR="003115E3">
          <w:rPr>
            <w:color w:val="231F20"/>
          </w:rPr>
          <w:t>Andreas Baader: Letter to the Press</w:t>
        </w:r>
      </w:hyperlink>
    </w:p>
    <w:p w14:paraId="29B68DF5" w14:textId="77777777" w:rsidR="002653E8" w:rsidRDefault="00000000">
      <w:pPr>
        <w:pStyle w:val="a3"/>
        <w:tabs>
          <w:tab w:val="left" w:pos="7128"/>
        </w:tabs>
        <w:spacing w:before="67"/>
        <w:ind w:left="2067"/>
        <w:rPr>
          <w:sz w:val="22"/>
        </w:rPr>
      </w:pPr>
      <w:hyperlink w:anchor="_bookmark17" w:history="1">
        <w:r w:rsidR="003115E3">
          <w:rPr>
            <w:color w:val="231F20"/>
            <w:w w:val="105"/>
          </w:rPr>
          <w:t>(January</w:t>
        </w:r>
        <w:r w:rsidR="003115E3">
          <w:rPr>
            <w:color w:val="231F20"/>
            <w:spacing w:val="10"/>
            <w:w w:val="105"/>
          </w:rPr>
          <w:t xml:space="preserve"> </w:t>
        </w:r>
        <w:r w:rsidR="003115E3">
          <w:rPr>
            <w:color w:val="231F20"/>
            <w:w w:val="105"/>
          </w:rPr>
          <w:t>24,</w:t>
        </w:r>
        <w:r w:rsidR="003115E3">
          <w:rPr>
            <w:color w:val="231F20"/>
            <w:spacing w:val="10"/>
            <w:w w:val="105"/>
          </w:rPr>
          <w:t xml:space="preserve"> </w:t>
        </w:r>
        <w:r w:rsidR="003115E3">
          <w:rPr>
            <w:color w:val="231F20"/>
            <w:spacing w:val="-5"/>
            <w:w w:val="105"/>
          </w:rPr>
          <w:t>1972)</w:t>
        </w:r>
        <w:r w:rsidR="003115E3">
          <w:rPr>
            <w:color w:val="231F20"/>
            <w:spacing w:val="-5"/>
            <w:w w:val="105"/>
          </w:rPr>
          <w:tab/>
        </w:r>
        <w:r w:rsidR="003115E3">
          <w:rPr>
            <w:color w:val="231F20"/>
            <w:w w:val="105"/>
            <w:sz w:val="22"/>
          </w:rPr>
          <w:t>120</w:t>
        </w:r>
      </w:hyperlink>
    </w:p>
    <w:p w14:paraId="5B70B636" w14:textId="77777777" w:rsidR="002653E8" w:rsidRDefault="00000000">
      <w:pPr>
        <w:pStyle w:val="a3"/>
        <w:tabs>
          <w:tab w:val="left" w:pos="7132"/>
        </w:tabs>
        <w:spacing w:before="401" w:line="307" w:lineRule="auto"/>
        <w:ind w:left="2067" w:right="1145"/>
        <w:rPr>
          <w:sz w:val="22"/>
        </w:rPr>
      </w:pPr>
      <w:hyperlink w:anchor="_bookmark18" w:history="1">
        <w:r w:rsidR="003115E3">
          <w:rPr>
            <w:color w:val="231F20"/>
          </w:rPr>
          <w:t>Serve the People: The Urban  Guerilla  and  Class  Struggle (April</w:t>
        </w:r>
        <w:r w:rsidR="003115E3">
          <w:rPr>
            <w:color w:val="231F20"/>
            <w:spacing w:val="20"/>
          </w:rPr>
          <w:t xml:space="preserve"> </w:t>
        </w:r>
        <w:r w:rsidR="003115E3">
          <w:rPr>
            <w:color w:val="231F20"/>
            <w:spacing w:val="-5"/>
          </w:rPr>
          <w:t>1972)</w:t>
        </w:r>
        <w:r w:rsidR="003115E3">
          <w:rPr>
            <w:color w:val="231F20"/>
            <w:spacing w:val="-5"/>
          </w:rPr>
          <w:tab/>
        </w:r>
        <w:r w:rsidR="003115E3">
          <w:rPr>
            <w:color w:val="231F20"/>
            <w:spacing w:val="-3"/>
            <w:sz w:val="22"/>
          </w:rPr>
          <w:t>122</w:t>
        </w:r>
      </w:hyperlink>
    </w:p>
    <w:p w14:paraId="0E0B1707" w14:textId="77777777" w:rsidR="002653E8" w:rsidRDefault="00000000">
      <w:pPr>
        <w:tabs>
          <w:tab w:val="left" w:pos="7136"/>
        </w:tabs>
        <w:spacing w:before="311"/>
        <w:ind w:left="2359"/>
      </w:pPr>
      <w:hyperlink w:anchor="_bookmark19" w:history="1">
        <w:r w:rsidR="003115E3">
          <w:rPr>
            <w:i/>
            <w:color w:val="231F20"/>
          </w:rPr>
          <w:t>on the treatment  of</w:t>
        </w:r>
        <w:r w:rsidR="003115E3">
          <w:rPr>
            <w:i/>
            <w:color w:val="231F20"/>
            <w:spacing w:val="15"/>
          </w:rPr>
          <w:t xml:space="preserve"> </w:t>
        </w:r>
        <w:r w:rsidR="003115E3">
          <w:rPr>
            <w:i/>
            <w:color w:val="231F20"/>
          </w:rPr>
          <w:t>traitors</w:t>
        </w:r>
        <w:r w:rsidR="003115E3">
          <w:rPr>
            <w:i/>
            <w:color w:val="231F20"/>
          </w:rPr>
          <w:tab/>
        </w:r>
        <w:r w:rsidR="003115E3">
          <w:rPr>
            <w:color w:val="231F20"/>
            <w:spacing w:val="-5"/>
          </w:rPr>
          <w:t>160</w:t>
        </w:r>
      </w:hyperlink>
    </w:p>
    <w:p w14:paraId="5A7F201D" w14:textId="77777777" w:rsidR="002653E8" w:rsidRDefault="00000000">
      <w:pPr>
        <w:pStyle w:val="a3"/>
        <w:spacing w:before="401"/>
        <w:ind w:left="2067"/>
      </w:pPr>
      <w:hyperlink w:anchor="_bookmark20" w:history="1">
        <w:r w:rsidR="003115E3">
          <w:rPr>
            <w:color w:val="231F20"/>
            <w:w w:val="105"/>
          </w:rPr>
          <w:t>This is Edelgard Graefer...</w:t>
        </w:r>
      </w:hyperlink>
    </w:p>
    <w:p w14:paraId="59FFD7B1" w14:textId="77777777" w:rsidR="002653E8" w:rsidRDefault="00000000">
      <w:pPr>
        <w:pStyle w:val="a3"/>
        <w:tabs>
          <w:tab w:val="left" w:pos="7146"/>
        </w:tabs>
        <w:spacing w:before="66"/>
        <w:ind w:left="2067"/>
        <w:rPr>
          <w:sz w:val="22"/>
        </w:rPr>
      </w:pPr>
      <w:hyperlink w:anchor="_bookmark20" w:history="1">
        <w:r w:rsidR="003115E3">
          <w:rPr>
            <w:color w:val="231F20"/>
            <w:w w:val="105"/>
          </w:rPr>
          <w:t>(March</w:t>
        </w:r>
        <w:r w:rsidR="003115E3">
          <w:rPr>
            <w:color w:val="231F20"/>
            <w:spacing w:val="12"/>
            <w:w w:val="105"/>
          </w:rPr>
          <w:t xml:space="preserve"> </w:t>
        </w:r>
        <w:r w:rsidR="003115E3">
          <w:rPr>
            <w:color w:val="231F20"/>
            <w:spacing w:val="-9"/>
            <w:w w:val="105"/>
          </w:rPr>
          <w:t>27,</w:t>
        </w:r>
        <w:r w:rsidR="003115E3">
          <w:rPr>
            <w:color w:val="231F20"/>
            <w:spacing w:val="12"/>
            <w:w w:val="105"/>
          </w:rPr>
          <w:t xml:space="preserve"> </w:t>
        </w:r>
        <w:r w:rsidR="003115E3">
          <w:rPr>
            <w:color w:val="231F20"/>
            <w:spacing w:val="-5"/>
            <w:w w:val="105"/>
          </w:rPr>
          <w:t>1972)</w:t>
        </w:r>
        <w:r w:rsidR="003115E3">
          <w:rPr>
            <w:color w:val="231F20"/>
            <w:spacing w:val="-5"/>
            <w:w w:val="105"/>
          </w:rPr>
          <w:tab/>
        </w:r>
        <w:r w:rsidR="003115E3">
          <w:rPr>
            <w:color w:val="231F20"/>
            <w:spacing w:val="-8"/>
            <w:w w:val="105"/>
            <w:sz w:val="22"/>
          </w:rPr>
          <w:t>162</w:t>
        </w:r>
      </w:hyperlink>
    </w:p>
    <w:p w14:paraId="4702955D" w14:textId="77777777" w:rsidR="002653E8" w:rsidRDefault="00000000">
      <w:pPr>
        <w:pStyle w:val="8"/>
        <w:spacing w:before="504"/>
        <w:ind w:left="1907"/>
      </w:pPr>
      <w:r>
        <w:rPr>
          <w:noProof w:val="0"/>
        </w:rPr>
        <w:pict w14:anchorId="5F3B8816">
          <v:shape id="_x0000_s2735" type="#_x0000_t202" style="position:absolute;left:0;text-align:left;margin-left:76pt;margin-top:24.9pt;width:13.35pt;height:28.15pt;z-index:1144;mso-position-horizontal-relative:page" filled="f" stroked="f">
            <v:textbox inset="0,0,0,0">
              <w:txbxContent>
                <w:p w14:paraId="12151C4A" w14:textId="77777777" w:rsidR="001008C3" w:rsidRDefault="00000000">
                  <w:pPr>
                    <w:spacing w:line="560" w:lineRule="exact"/>
                    <w:rPr>
                      <w:sz w:val="48"/>
                    </w:rPr>
                  </w:pPr>
                  <w:hyperlink w:anchor="_bookmark21" w:history="1">
                    <w:r w:rsidR="001008C3">
                      <w:rPr>
                        <w:color w:val="757679"/>
                        <w:sz w:val="48"/>
                      </w:rPr>
                      <w:t>5</w:t>
                    </w:r>
                  </w:hyperlink>
                </w:p>
              </w:txbxContent>
            </v:textbox>
            <w10:wrap anchorx="page"/>
          </v:shape>
        </w:pict>
      </w:r>
      <w:hyperlink w:anchor="_bookmark21" w:history="1">
        <w:r w:rsidR="003115E3">
          <w:rPr>
            <w:color w:val="231F20"/>
            <w:w w:val="120"/>
          </w:rPr>
          <w:t>the may offensive:</w:t>
        </w:r>
      </w:hyperlink>
    </w:p>
    <w:p w14:paraId="4928F87C" w14:textId="77777777" w:rsidR="002653E8" w:rsidRDefault="00000000">
      <w:pPr>
        <w:pStyle w:val="8"/>
        <w:tabs>
          <w:tab w:val="left" w:pos="5999"/>
        </w:tabs>
        <w:spacing w:before="15"/>
        <w:ind w:left="759"/>
        <w:jc w:val="center"/>
        <w:rPr>
          <w:sz w:val="22"/>
        </w:rPr>
      </w:pPr>
      <w:hyperlink w:anchor="_bookmark21" w:history="1">
        <w:r w:rsidR="003115E3">
          <w:rPr>
            <w:color w:val="231F20"/>
            <w:w w:val="115"/>
          </w:rPr>
          <w:t xml:space="preserve">bringing </w:t>
        </w:r>
        <w:r w:rsidR="003115E3">
          <w:rPr>
            <w:color w:val="231F20"/>
            <w:spacing w:val="2"/>
            <w:w w:val="115"/>
          </w:rPr>
          <w:t>the</w:t>
        </w:r>
        <w:r w:rsidR="003115E3">
          <w:rPr>
            <w:color w:val="231F20"/>
            <w:spacing w:val="5"/>
            <w:w w:val="115"/>
          </w:rPr>
          <w:t xml:space="preserve"> </w:t>
        </w:r>
        <w:r w:rsidR="003115E3">
          <w:rPr>
            <w:color w:val="231F20"/>
            <w:spacing w:val="-4"/>
            <w:w w:val="115"/>
          </w:rPr>
          <w:t>war</w:t>
        </w:r>
        <w:r w:rsidR="003115E3">
          <w:rPr>
            <w:color w:val="231F20"/>
            <w:spacing w:val="2"/>
            <w:w w:val="115"/>
          </w:rPr>
          <w:t xml:space="preserve"> </w:t>
        </w:r>
        <w:r w:rsidR="003115E3">
          <w:rPr>
            <w:color w:val="231F20"/>
            <w:w w:val="115"/>
          </w:rPr>
          <w:t>home</w:t>
        </w:r>
        <w:r w:rsidR="003115E3">
          <w:rPr>
            <w:color w:val="231F20"/>
            <w:w w:val="115"/>
          </w:rPr>
          <w:tab/>
        </w:r>
        <w:r w:rsidR="003115E3">
          <w:rPr>
            <w:color w:val="231F20"/>
            <w:spacing w:val="-8"/>
            <w:w w:val="115"/>
            <w:sz w:val="22"/>
          </w:rPr>
          <w:t>163</w:t>
        </w:r>
      </w:hyperlink>
    </w:p>
    <w:p w14:paraId="43D195DF" w14:textId="77777777" w:rsidR="002653E8" w:rsidRDefault="00000000">
      <w:pPr>
        <w:pStyle w:val="a3"/>
        <w:spacing w:before="233"/>
        <w:ind w:left="2067"/>
      </w:pPr>
      <w:hyperlink w:anchor="_bookmark22" w:history="1">
        <w:r w:rsidR="003115E3">
          <w:rPr>
            <w:color w:val="231F20"/>
            <w:w w:val="105"/>
          </w:rPr>
          <w:t>For the Victory of the People of Vietnam</w:t>
        </w:r>
      </w:hyperlink>
    </w:p>
    <w:p w14:paraId="5A6F6A45" w14:textId="77777777" w:rsidR="002653E8" w:rsidRDefault="00000000">
      <w:pPr>
        <w:pStyle w:val="a3"/>
        <w:tabs>
          <w:tab w:val="left" w:pos="7149"/>
        </w:tabs>
        <w:spacing w:before="66"/>
        <w:ind w:left="2067"/>
        <w:rPr>
          <w:sz w:val="22"/>
        </w:rPr>
      </w:pPr>
      <w:hyperlink w:anchor="_bookmark22" w:history="1">
        <w:r w:rsidR="003115E3">
          <w:rPr>
            <w:color w:val="231F20"/>
            <w:w w:val="105"/>
          </w:rPr>
          <w:t>(May</w:t>
        </w:r>
        <w:r w:rsidR="003115E3">
          <w:rPr>
            <w:color w:val="231F20"/>
            <w:spacing w:val="12"/>
            <w:w w:val="105"/>
          </w:rPr>
          <w:t xml:space="preserve"> </w:t>
        </w:r>
        <w:r w:rsidR="003115E3">
          <w:rPr>
            <w:color w:val="231F20"/>
            <w:w w:val="105"/>
          </w:rPr>
          <w:t>14,</w:t>
        </w:r>
        <w:r w:rsidR="003115E3">
          <w:rPr>
            <w:color w:val="231F20"/>
            <w:spacing w:val="12"/>
            <w:w w:val="105"/>
          </w:rPr>
          <w:t xml:space="preserve"> </w:t>
        </w:r>
        <w:r w:rsidR="003115E3">
          <w:rPr>
            <w:color w:val="231F20"/>
            <w:spacing w:val="-5"/>
            <w:w w:val="105"/>
          </w:rPr>
          <w:t>1972)</w:t>
        </w:r>
        <w:r w:rsidR="003115E3">
          <w:rPr>
            <w:color w:val="231F20"/>
            <w:spacing w:val="-5"/>
            <w:w w:val="105"/>
          </w:rPr>
          <w:tab/>
        </w:r>
        <w:r w:rsidR="003115E3">
          <w:rPr>
            <w:color w:val="231F20"/>
            <w:spacing w:val="-9"/>
            <w:w w:val="105"/>
            <w:sz w:val="22"/>
          </w:rPr>
          <w:t>174</w:t>
        </w:r>
      </w:hyperlink>
    </w:p>
    <w:p w14:paraId="7F4CC63C" w14:textId="77777777" w:rsidR="002653E8" w:rsidRDefault="002653E8">
      <w:pPr>
        <w:sectPr w:rsidR="002653E8">
          <w:pgSz w:w="8640" w:h="12960"/>
          <w:pgMar w:top="1220" w:right="0" w:bottom="280" w:left="0" w:header="720" w:footer="720" w:gutter="0"/>
          <w:cols w:space="720"/>
        </w:sectPr>
      </w:pPr>
    </w:p>
    <w:p w14:paraId="3F5DDE96" w14:textId="77777777" w:rsidR="002653E8" w:rsidRDefault="00000000">
      <w:pPr>
        <w:pStyle w:val="a3"/>
        <w:spacing w:before="90"/>
        <w:ind w:left="1887"/>
      </w:pPr>
      <w:hyperlink w:anchor="_bookmark23" w:history="1">
        <w:r w:rsidR="003115E3">
          <w:rPr>
            <w:color w:val="231F20"/>
            <w:w w:val="105"/>
          </w:rPr>
          <w:t>Attacks in Augsburg and Munich</w:t>
        </w:r>
      </w:hyperlink>
    </w:p>
    <w:p w14:paraId="0F3104D3" w14:textId="77777777" w:rsidR="002653E8" w:rsidRDefault="00000000">
      <w:pPr>
        <w:pStyle w:val="a3"/>
        <w:tabs>
          <w:tab w:val="left" w:pos="6965"/>
        </w:tabs>
        <w:spacing w:before="66"/>
        <w:ind w:left="1887"/>
        <w:rPr>
          <w:sz w:val="22"/>
        </w:rPr>
      </w:pPr>
      <w:hyperlink w:anchor="_bookmark23" w:history="1">
        <w:r w:rsidR="003115E3">
          <w:rPr>
            <w:color w:val="231F20"/>
            <w:w w:val="105"/>
          </w:rPr>
          <w:t>(May</w:t>
        </w:r>
        <w:r w:rsidR="003115E3">
          <w:rPr>
            <w:color w:val="231F20"/>
            <w:spacing w:val="12"/>
            <w:w w:val="105"/>
          </w:rPr>
          <w:t xml:space="preserve"> </w:t>
        </w:r>
        <w:r w:rsidR="003115E3">
          <w:rPr>
            <w:color w:val="231F20"/>
            <w:spacing w:val="-5"/>
            <w:w w:val="105"/>
          </w:rPr>
          <w:t>16,</w:t>
        </w:r>
        <w:r w:rsidR="003115E3">
          <w:rPr>
            <w:color w:val="231F20"/>
            <w:spacing w:val="12"/>
            <w:w w:val="105"/>
          </w:rPr>
          <w:t xml:space="preserve"> </w:t>
        </w:r>
        <w:r w:rsidR="003115E3">
          <w:rPr>
            <w:color w:val="231F20"/>
            <w:spacing w:val="-5"/>
            <w:w w:val="105"/>
          </w:rPr>
          <w:t>1972)</w:t>
        </w:r>
        <w:r w:rsidR="003115E3">
          <w:rPr>
            <w:color w:val="231F20"/>
            <w:spacing w:val="-5"/>
            <w:w w:val="105"/>
          </w:rPr>
          <w:tab/>
        </w:r>
        <w:r w:rsidR="003115E3">
          <w:rPr>
            <w:color w:val="231F20"/>
            <w:spacing w:val="-7"/>
            <w:w w:val="105"/>
            <w:sz w:val="22"/>
          </w:rPr>
          <w:t>175</w:t>
        </w:r>
      </w:hyperlink>
    </w:p>
    <w:p w14:paraId="6692CE71" w14:textId="77777777" w:rsidR="002653E8" w:rsidRDefault="00000000">
      <w:pPr>
        <w:pStyle w:val="a3"/>
        <w:spacing w:before="401"/>
        <w:ind w:left="1887"/>
      </w:pPr>
      <w:hyperlink w:anchor="_bookmark24" w:history="1">
        <w:r w:rsidR="003115E3">
          <w:rPr>
            <w:color w:val="231F20"/>
            <w:w w:val="105"/>
          </w:rPr>
          <w:t>Attack on Judge Buddenberg</w:t>
        </w:r>
      </w:hyperlink>
    </w:p>
    <w:p w14:paraId="2906C34F" w14:textId="77777777" w:rsidR="002653E8" w:rsidRDefault="00000000">
      <w:pPr>
        <w:pStyle w:val="a3"/>
        <w:tabs>
          <w:tab w:val="left" w:pos="6958"/>
        </w:tabs>
        <w:spacing w:before="67"/>
        <w:ind w:left="1887"/>
        <w:rPr>
          <w:sz w:val="22"/>
        </w:rPr>
      </w:pPr>
      <w:hyperlink w:anchor="_bookmark24" w:history="1">
        <w:r w:rsidR="003115E3">
          <w:rPr>
            <w:color w:val="231F20"/>
            <w:w w:val="105"/>
          </w:rPr>
          <w:t>(May</w:t>
        </w:r>
        <w:r w:rsidR="003115E3">
          <w:rPr>
            <w:color w:val="231F20"/>
            <w:spacing w:val="12"/>
            <w:w w:val="105"/>
          </w:rPr>
          <w:t xml:space="preserve"> </w:t>
        </w:r>
        <w:r w:rsidR="003115E3">
          <w:rPr>
            <w:color w:val="231F20"/>
            <w:w w:val="105"/>
          </w:rPr>
          <w:t>20,</w:t>
        </w:r>
        <w:r w:rsidR="003115E3">
          <w:rPr>
            <w:color w:val="231F20"/>
            <w:spacing w:val="12"/>
            <w:w w:val="105"/>
          </w:rPr>
          <w:t xml:space="preserve"> </w:t>
        </w:r>
        <w:r w:rsidR="003115E3">
          <w:rPr>
            <w:color w:val="231F20"/>
            <w:spacing w:val="-5"/>
            <w:w w:val="105"/>
          </w:rPr>
          <w:t>1972)</w:t>
        </w:r>
        <w:r w:rsidR="003115E3">
          <w:rPr>
            <w:color w:val="231F20"/>
            <w:spacing w:val="-5"/>
            <w:w w:val="105"/>
          </w:rPr>
          <w:tab/>
        </w:r>
        <w:r w:rsidR="003115E3">
          <w:rPr>
            <w:color w:val="231F20"/>
            <w:spacing w:val="-5"/>
            <w:w w:val="105"/>
            <w:sz w:val="22"/>
          </w:rPr>
          <w:t>176</w:t>
        </w:r>
      </w:hyperlink>
    </w:p>
    <w:p w14:paraId="037F63A7" w14:textId="77777777" w:rsidR="002653E8" w:rsidRDefault="00000000">
      <w:pPr>
        <w:pStyle w:val="a3"/>
        <w:spacing w:before="401"/>
        <w:ind w:left="1887"/>
      </w:pPr>
      <w:hyperlink w:anchor="_bookmark25" w:history="1">
        <w:r w:rsidR="003115E3">
          <w:rPr>
            <w:color w:val="231F20"/>
            <w:w w:val="105"/>
          </w:rPr>
          <w:t>Attack on the Springer Building</w:t>
        </w:r>
      </w:hyperlink>
    </w:p>
    <w:p w14:paraId="491EA8C0" w14:textId="77777777" w:rsidR="002653E8" w:rsidRDefault="00000000">
      <w:pPr>
        <w:pStyle w:val="a3"/>
        <w:tabs>
          <w:tab w:val="left" w:pos="6951"/>
        </w:tabs>
        <w:spacing w:before="66"/>
        <w:ind w:left="1887"/>
        <w:rPr>
          <w:sz w:val="22"/>
        </w:rPr>
      </w:pPr>
      <w:hyperlink w:anchor="_bookmark25" w:history="1">
        <w:r w:rsidR="003115E3">
          <w:rPr>
            <w:color w:val="231F20"/>
            <w:w w:val="105"/>
          </w:rPr>
          <w:t>(May</w:t>
        </w:r>
        <w:r w:rsidR="003115E3">
          <w:rPr>
            <w:color w:val="231F20"/>
            <w:spacing w:val="12"/>
            <w:w w:val="105"/>
          </w:rPr>
          <w:t xml:space="preserve"> </w:t>
        </w:r>
        <w:r w:rsidR="003115E3">
          <w:rPr>
            <w:color w:val="231F20"/>
            <w:w w:val="105"/>
          </w:rPr>
          <w:t>20,</w:t>
        </w:r>
        <w:r w:rsidR="003115E3">
          <w:rPr>
            <w:color w:val="231F20"/>
            <w:spacing w:val="12"/>
            <w:w w:val="105"/>
          </w:rPr>
          <w:t xml:space="preserve"> </w:t>
        </w:r>
        <w:r w:rsidR="003115E3">
          <w:rPr>
            <w:color w:val="231F20"/>
            <w:spacing w:val="-5"/>
            <w:w w:val="105"/>
          </w:rPr>
          <w:t>1972)</w:t>
        </w:r>
        <w:r w:rsidR="003115E3">
          <w:rPr>
            <w:color w:val="231F20"/>
            <w:spacing w:val="-5"/>
            <w:w w:val="105"/>
          </w:rPr>
          <w:tab/>
        </w:r>
        <w:r w:rsidR="003115E3">
          <w:rPr>
            <w:color w:val="231F20"/>
            <w:spacing w:val="-3"/>
            <w:w w:val="105"/>
            <w:sz w:val="22"/>
          </w:rPr>
          <w:t>177</w:t>
        </w:r>
      </w:hyperlink>
    </w:p>
    <w:p w14:paraId="383CB899" w14:textId="77777777" w:rsidR="002653E8" w:rsidRDefault="00000000">
      <w:pPr>
        <w:pStyle w:val="a3"/>
        <w:spacing w:before="401" w:line="326" w:lineRule="auto"/>
        <w:ind w:left="1887" w:right="3115"/>
      </w:pPr>
      <w:hyperlink w:anchor="_bookmark26" w:history="1">
        <w:r w:rsidR="003115E3">
          <w:rPr>
            <w:color w:val="231F20"/>
            <w:w w:val="105"/>
          </w:rPr>
          <w:t>Attack on the Heidelberg Headquarters of the U.S. Army in Europe</w:t>
        </w:r>
      </w:hyperlink>
    </w:p>
    <w:p w14:paraId="0C82A02C" w14:textId="77777777" w:rsidR="002653E8" w:rsidRDefault="00000000">
      <w:pPr>
        <w:pStyle w:val="a3"/>
        <w:tabs>
          <w:tab w:val="left" w:pos="6954"/>
        </w:tabs>
        <w:spacing w:line="241" w:lineRule="exact"/>
        <w:ind w:left="1887"/>
        <w:rPr>
          <w:sz w:val="22"/>
        </w:rPr>
      </w:pPr>
      <w:hyperlink w:anchor="_bookmark26" w:history="1">
        <w:r w:rsidR="003115E3">
          <w:rPr>
            <w:color w:val="231F20"/>
            <w:w w:val="105"/>
          </w:rPr>
          <w:t>(May</w:t>
        </w:r>
        <w:r w:rsidR="003115E3">
          <w:rPr>
            <w:color w:val="231F20"/>
            <w:spacing w:val="12"/>
            <w:w w:val="105"/>
          </w:rPr>
          <w:t xml:space="preserve"> </w:t>
        </w:r>
        <w:r w:rsidR="003115E3">
          <w:rPr>
            <w:color w:val="231F20"/>
            <w:spacing w:val="-7"/>
            <w:w w:val="105"/>
          </w:rPr>
          <w:t>25,</w:t>
        </w:r>
        <w:r w:rsidR="003115E3">
          <w:rPr>
            <w:color w:val="231F20"/>
            <w:spacing w:val="12"/>
            <w:w w:val="105"/>
          </w:rPr>
          <w:t xml:space="preserve"> </w:t>
        </w:r>
        <w:r w:rsidR="003115E3">
          <w:rPr>
            <w:color w:val="231F20"/>
            <w:spacing w:val="-5"/>
            <w:w w:val="105"/>
          </w:rPr>
          <w:t>1972)</w:t>
        </w:r>
        <w:r w:rsidR="003115E3">
          <w:rPr>
            <w:color w:val="231F20"/>
            <w:spacing w:val="-5"/>
            <w:w w:val="105"/>
          </w:rPr>
          <w:tab/>
        </w:r>
        <w:r w:rsidR="003115E3">
          <w:rPr>
            <w:color w:val="231F20"/>
            <w:spacing w:val="-4"/>
            <w:w w:val="105"/>
            <w:sz w:val="22"/>
          </w:rPr>
          <w:t>178</w:t>
        </w:r>
      </w:hyperlink>
    </w:p>
    <w:p w14:paraId="0A47829E" w14:textId="77777777" w:rsidR="002653E8" w:rsidRDefault="00000000">
      <w:pPr>
        <w:pStyle w:val="a3"/>
        <w:spacing w:before="402"/>
        <w:ind w:left="1887"/>
      </w:pPr>
      <w:hyperlink w:anchor="_bookmark27" w:history="1">
        <w:r w:rsidR="003115E3">
          <w:rPr>
            <w:color w:val="231F20"/>
            <w:w w:val="105"/>
          </w:rPr>
          <w:t>To the News Editors of the West German Press</w:t>
        </w:r>
      </w:hyperlink>
    </w:p>
    <w:p w14:paraId="746A9793" w14:textId="77777777" w:rsidR="002653E8" w:rsidRDefault="00000000">
      <w:pPr>
        <w:pStyle w:val="a3"/>
        <w:tabs>
          <w:tab w:val="left" w:pos="6956"/>
        </w:tabs>
        <w:spacing w:before="66"/>
        <w:ind w:left="1887"/>
        <w:rPr>
          <w:sz w:val="22"/>
        </w:rPr>
      </w:pPr>
      <w:hyperlink w:anchor="_bookmark27" w:history="1">
        <w:r w:rsidR="003115E3">
          <w:rPr>
            <w:color w:val="231F20"/>
            <w:w w:val="105"/>
          </w:rPr>
          <w:t>(May</w:t>
        </w:r>
        <w:r w:rsidR="003115E3">
          <w:rPr>
            <w:color w:val="231F20"/>
            <w:spacing w:val="11"/>
            <w:w w:val="105"/>
          </w:rPr>
          <w:t xml:space="preserve"> </w:t>
        </w:r>
        <w:r w:rsidR="003115E3">
          <w:rPr>
            <w:color w:val="231F20"/>
            <w:w w:val="105"/>
          </w:rPr>
          <w:t>28,</w:t>
        </w:r>
        <w:r w:rsidR="003115E3">
          <w:rPr>
            <w:color w:val="231F20"/>
            <w:spacing w:val="11"/>
            <w:w w:val="105"/>
          </w:rPr>
          <w:t xml:space="preserve"> </w:t>
        </w:r>
        <w:r w:rsidR="003115E3">
          <w:rPr>
            <w:color w:val="231F20"/>
            <w:spacing w:val="-5"/>
            <w:w w:val="105"/>
          </w:rPr>
          <w:t>1972)</w:t>
        </w:r>
        <w:r w:rsidR="003115E3">
          <w:rPr>
            <w:color w:val="231F20"/>
            <w:spacing w:val="-5"/>
            <w:w w:val="105"/>
          </w:rPr>
          <w:tab/>
        </w:r>
        <w:r w:rsidR="003115E3">
          <w:rPr>
            <w:color w:val="231F20"/>
            <w:spacing w:val="-4"/>
            <w:w w:val="105"/>
            <w:sz w:val="22"/>
          </w:rPr>
          <w:t>179</w:t>
        </w:r>
      </w:hyperlink>
    </w:p>
    <w:p w14:paraId="3845DABD" w14:textId="77777777" w:rsidR="002653E8" w:rsidRDefault="00000000">
      <w:pPr>
        <w:pStyle w:val="a3"/>
        <w:spacing w:before="401"/>
        <w:ind w:left="1887"/>
      </w:pPr>
      <w:hyperlink w:anchor="_bookmark28" w:history="1">
        <w:r w:rsidR="003115E3">
          <w:rPr>
            <w:color w:val="231F20"/>
          </w:rPr>
          <w:t>Regarding the Fascist Bomb Threats Against Stuttgart</w:t>
        </w:r>
      </w:hyperlink>
    </w:p>
    <w:p w14:paraId="6AE553B5" w14:textId="77777777" w:rsidR="002653E8" w:rsidRDefault="00000000">
      <w:pPr>
        <w:pStyle w:val="a3"/>
        <w:tabs>
          <w:tab w:val="left" w:pos="6965"/>
        </w:tabs>
        <w:spacing w:before="67"/>
        <w:ind w:left="1887"/>
        <w:rPr>
          <w:sz w:val="22"/>
        </w:rPr>
      </w:pPr>
      <w:hyperlink w:anchor="_bookmark28" w:history="1">
        <w:r w:rsidR="003115E3">
          <w:rPr>
            <w:color w:val="231F20"/>
            <w:w w:val="105"/>
          </w:rPr>
          <w:t>(May</w:t>
        </w:r>
        <w:r w:rsidR="003115E3">
          <w:rPr>
            <w:color w:val="231F20"/>
            <w:spacing w:val="12"/>
            <w:w w:val="105"/>
          </w:rPr>
          <w:t xml:space="preserve"> </w:t>
        </w:r>
        <w:r w:rsidR="003115E3">
          <w:rPr>
            <w:color w:val="231F20"/>
            <w:spacing w:val="-3"/>
            <w:w w:val="105"/>
          </w:rPr>
          <w:t>29,</w:t>
        </w:r>
        <w:r w:rsidR="003115E3">
          <w:rPr>
            <w:color w:val="231F20"/>
            <w:spacing w:val="12"/>
            <w:w w:val="105"/>
          </w:rPr>
          <w:t xml:space="preserve"> </w:t>
        </w:r>
        <w:r w:rsidR="003115E3">
          <w:rPr>
            <w:color w:val="231F20"/>
            <w:spacing w:val="-5"/>
            <w:w w:val="105"/>
          </w:rPr>
          <w:t>1972)</w:t>
        </w:r>
        <w:r w:rsidR="003115E3">
          <w:rPr>
            <w:color w:val="231F20"/>
            <w:spacing w:val="-5"/>
            <w:w w:val="105"/>
          </w:rPr>
          <w:tab/>
        </w:r>
        <w:r w:rsidR="003115E3">
          <w:rPr>
            <w:color w:val="231F20"/>
            <w:spacing w:val="-8"/>
            <w:w w:val="105"/>
            <w:sz w:val="22"/>
          </w:rPr>
          <w:t>181</w:t>
        </w:r>
      </w:hyperlink>
    </w:p>
    <w:p w14:paraId="7AC938CB" w14:textId="77777777" w:rsidR="002653E8" w:rsidRDefault="00000000">
      <w:pPr>
        <w:pStyle w:val="a3"/>
        <w:spacing w:before="401"/>
        <w:ind w:left="1887"/>
      </w:pPr>
      <w:hyperlink w:anchor="_bookmark29" w:history="1">
        <w:r w:rsidR="003115E3">
          <w:rPr>
            <w:color w:val="231F20"/>
            <w:w w:val="105"/>
          </w:rPr>
          <w:t>Statement to the Red Aid Teach-In</w:t>
        </w:r>
      </w:hyperlink>
    </w:p>
    <w:p w14:paraId="1494AF45" w14:textId="77777777" w:rsidR="002653E8" w:rsidRDefault="00000000">
      <w:pPr>
        <w:pStyle w:val="a3"/>
        <w:tabs>
          <w:tab w:val="left" w:pos="6966"/>
        </w:tabs>
        <w:spacing w:before="66"/>
        <w:ind w:left="1887"/>
        <w:rPr>
          <w:sz w:val="22"/>
        </w:rPr>
      </w:pPr>
      <w:hyperlink w:anchor="_bookmark29" w:history="1">
        <w:r w:rsidR="003115E3">
          <w:rPr>
            <w:color w:val="231F20"/>
            <w:w w:val="105"/>
          </w:rPr>
          <w:t>(May</w:t>
        </w:r>
        <w:r w:rsidR="003115E3">
          <w:rPr>
            <w:color w:val="231F20"/>
            <w:spacing w:val="12"/>
            <w:w w:val="105"/>
          </w:rPr>
          <w:t xml:space="preserve"> </w:t>
        </w:r>
        <w:r w:rsidR="003115E3">
          <w:rPr>
            <w:color w:val="231F20"/>
            <w:spacing w:val="-5"/>
            <w:w w:val="105"/>
          </w:rPr>
          <w:t>31,</w:t>
        </w:r>
        <w:r w:rsidR="003115E3">
          <w:rPr>
            <w:color w:val="231F20"/>
            <w:spacing w:val="12"/>
            <w:w w:val="105"/>
          </w:rPr>
          <w:t xml:space="preserve"> </w:t>
        </w:r>
        <w:r w:rsidR="003115E3">
          <w:rPr>
            <w:color w:val="231F20"/>
            <w:spacing w:val="-5"/>
            <w:w w:val="105"/>
          </w:rPr>
          <w:t>1972)</w:t>
        </w:r>
        <w:r w:rsidR="003115E3">
          <w:rPr>
            <w:color w:val="231F20"/>
            <w:spacing w:val="-5"/>
            <w:w w:val="105"/>
          </w:rPr>
          <w:tab/>
        </w:r>
        <w:r w:rsidR="003115E3">
          <w:rPr>
            <w:color w:val="231F20"/>
            <w:spacing w:val="-8"/>
            <w:w w:val="105"/>
            <w:sz w:val="22"/>
          </w:rPr>
          <w:t>183</w:t>
        </w:r>
      </w:hyperlink>
    </w:p>
    <w:p w14:paraId="2714B6B8" w14:textId="77777777" w:rsidR="002653E8" w:rsidRDefault="00000000">
      <w:pPr>
        <w:pStyle w:val="8"/>
        <w:spacing w:before="505"/>
        <w:ind w:left="1728"/>
      </w:pPr>
      <w:r>
        <w:rPr>
          <w:noProof w:val="0"/>
        </w:rPr>
        <w:pict w14:anchorId="09E08DFC">
          <v:shape id="_x0000_s2734" type="#_x0000_t202" style="position:absolute;left:0;text-align:left;margin-left:67.2pt;margin-top:24.95pt;width:13.35pt;height:28.15pt;z-index:1168;mso-position-horizontal-relative:page" filled="f" stroked="f">
            <v:textbox inset="0,0,0,0">
              <w:txbxContent>
                <w:p w14:paraId="2A21B4C1" w14:textId="77777777" w:rsidR="001008C3" w:rsidRDefault="00000000">
                  <w:pPr>
                    <w:spacing w:line="560" w:lineRule="exact"/>
                    <w:rPr>
                      <w:sz w:val="48"/>
                    </w:rPr>
                  </w:pPr>
                  <w:hyperlink w:anchor="_bookmark30" w:history="1">
                    <w:r w:rsidR="001008C3">
                      <w:rPr>
                        <w:color w:val="757679"/>
                        <w:sz w:val="48"/>
                      </w:rPr>
                      <w:t>6</w:t>
                    </w:r>
                  </w:hyperlink>
                </w:p>
              </w:txbxContent>
            </v:textbox>
            <w10:wrap anchorx="page"/>
          </v:shape>
        </w:pict>
      </w:r>
      <w:hyperlink w:anchor="_bookmark30" w:history="1">
        <w:r w:rsidR="003115E3">
          <w:rPr>
            <w:color w:val="231F20"/>
            <w:w w:val="115"/>
          </w:rPr>
          <w:t>black september:</w:t>
        </w:r>
      </w:hyperlink>
    </w:p>
    <w:p w14:paraId="60B283B6" w14:textId="77777777" w:rsidR="002653E8" w:rsidRDefault="00000000">
      <w:pPr>
        <w:pStyle w:val="8"/>
        <w:tabs>
          <w:tab w:val="left" w:pos="5634"/>
        </w:tabs>
        <w:spacing w:before="15"/>
        <w:ind w:left="400"/>
        <w:jc w:val="center"/>
        <w:rPr>
          <w:sz w:val="22"/>
        </w:rPr>
      </w:pPr>
      <w:hyperlink w:anchor="_bookmark30" w:history="1">
        <w:r w:rsidR="003115E3">
          <w:rPr>
            <w:color w:val="231F20"/>
            <w:w w:val="120"/>
          </w:rPr>
          <w:t>a</w:t>
        </w:r>
        <w:r w:rsidR="003115E3">
          <w:rPr>
            <w:color w:val="231F20"/>
            <w:spacing w:val="-20"/>
            <w:w w:val="120"/>
          </w:rPr>
          <w:t xml:space="preserve"> </w:t>
        </w:r>
        <w:r w:rsidR="003115E3">
          <w:rPr>
            <w:color w:val="231F20"/>
            <w:w w:val="120"/>
          </w:rPr>
          <w:t>statement</w:t>
        </w:r>
        <w:r w:rsidR="003115E3">
          <w:rPr>
            <w:color w:val="231F20"/>
            <w:spacing w:val="-20"/>
            <w:w w:val="120"/>
          </w:rPr>
          <w:t xml:space="preserve"> </w:t>
        </w:r>
        <w:r w:rsidR="003115E3">
          <w:rPr>
            <w:color w:val="231F20"/>
            <w:spacing w:val="-3"/>
            <w:w w:val="120"/>
          </w:rPr>
          <w:t>from</w:t>
        </w:r>
        <w:r w:rsidR="003115E3">
          <w:rPr>
            <w:color w:val="231F20"/>
            <w:spacing w:val="-20"/>
            <w:w w:val="120"/>
          </w:rPr>
          <w:t xml:space="preserve"> </w:t>
        </w:r>
        <w:r w:rsidR="003115E3">
          <w:rPr>
            <w:color w:val="231F20"/>
            <w:w w:val="120"/>
          </w:rPr>
          <w:t>behind</w:t>
        </w:r>
        <w:r w:rsidR="003115E3">
          <w:rPr>
            <w:color w:val="231F20"/>
            <w:spacing w:val="-20"/>
            <w:w w:val="120"/>
          </w:rPr>
          <w:t xml:space="preserve"> </w:t>
        </w:r>
        <w:r w:rsidR="003115E3">
          <w:rPr>
            <w:color w:val="231F20"/>
            <w:spacing w:val="1"/>
            <w:w w:val="120"/>
          </w:rPr>
          <w:t>bars</w:t>
        </w:r>
        <w:r w:rsidR="003115E3">
          <w:rPr>
            <w:color w:val="231F20"/>
            <w:spacing w:val="1"/>
            <w:w w:val="120"/>
          </w:rPr>
          <w:tab/>
        </w:r>
        <w:r w:rsidR="003115E3">
          <w:rPr>
            <w:color w:val="231F20"/>
            <w:spacing w:val="-7"/>
            <w:w w:val="120"/>
            <w:sz w:val="22"/>
          </w:rPr>
          <w:t>187</w:t>
        </w:r>
      </w:hyperlink>
    </w:p>
    <w:p w14:paraId="3B73D946" w14:textId="77777777" w:rsidR="002653E8" w:rsidRDefault="00000000">
      <w:pPr>
        <w:spacing w:before="53"/>
        <w:ind w:left="482" w:right="2205"/>
        <w:jc w:val="center"/>
        <w:rPr>
          <w:i/>
        </w:rPr>
      </w:pPr>
      <w:hyperlink w:anchor="_bookmark31" w:history="1">
        <w:r w:rsidR="003115E3">
          <w:rPr>
            <w:i/>
            <w:color w:val="231F20"/>
            <w:w w:val="105"/>
          </w:rPr>
          <w:t>the appeal of the fedayeen:</w:t>
        </w:r>
      </w:hyperlink>
    </w:p>
    <w:p w14:paraId="66632B71" w14:textId="77777777" w:rsidR="002653E8" w:rsidRDefault="00000000">
      <w:pPr>
        <w:tabs>
          <w:tab w:val="left" w:pos="6944"/>
        </w:tabs>
        <w:spacing w:before="62"/>
        <w:ind w:left="2179"/>
      </w:pPr>
      <w:hyperlink w:anchor="_bookmark31" w:history="1">
        <w:r w:rsidR="003115E3">
          <w:rPr>
            <w:i/>
            <w:color w:val="231F20"/>
            <w:w w:val="105"/>
          </w:rPr>
          <w:t>to all the free people of</w:t>
        </w:r>
        <w:r w:rsidR="003115E3">
          <w:rPr>
            <w:i/>
            <w:color w:val="231F20"/>
            <w:spacing w:val="16"/>
            <w:w w:val="105"/>
          </w:rPr>
          <w:t xml:space="preserve"> </w:t>
        </w:r>
        <w:r w:rsidR="003115E3">
          <w:rPr>
            <w:i/>
            <w:color w:val="231F20"/>
            <w:w w:val="105"/>
          </w:rPr>
          <w:t>the</w:t>
        </w:r>
        <w:r w:rsidR="003115E3">
          <w:rPr>
            <w:i/>
            <w:color w:val="231F20"/>
            <w:spacing w:val="1"/>
            <w:w w:val="105"/>
          </w:rPr>
          <w:t xml:space="preserve"> </w:t>
        </w:r>
        <w:r w:rsidR="003115E3">
          <w:rPr>
            <w:i/>
            <w:color w:val="231F20"/>
            <w:w w:val="105"/>
          </w:rPr>
          <w:t>world</w:t>
        </w:r>
        <w:r w:rsidR="003115E3">
          <w:rPr>
            <w:i/>
            <w:color w:val="231F20"/>
            <w:w w:val="105"/>
          </w:rPr>
          <w:tab/>
        </w:r>
        <w:r w:rsidR="003115E3">
          <w:rPr>
            <w:color w:val="231F20"/>
            <w:w w:val="105"/>
          </w:rPr>
          <w:t>204</w:t>
        </w:r>
      </w:hyperlink>
    </w:p>
    <w:p w14:paraId="0586862A" w14:textId="77777777" w:rsidR="002653E8" w:rsidRDefault="00000000">
      <w:pPr>
        <w:pStyle w:val="a3"/>
        <w:spacing w:before="241"/>
        <w:ind w:left="1887"/>
      </w:pPr>
      <w:hyperlink w:anchor="_bookmark32" w:history="1">
        <w:r w:rsidR="003115E3">
          <w:rPr>
            <w:color w:val="231F20"/>
            <w:w w:val="105"/>
          </w:rPr>
          <w:t>The Black September Action in Munich:</w:t>
        </w:r>
      </w:hyperlink>
    </w:p>
    <w:p w14:paraId="14D5B341" w14:textId="77777777" w:rsidR="002653E8" w:rsidRDefault="00000000">
      <w:pPr>
        <w:pStyle w:val="a3"/>
        <w:tabs>
          <w:tab w:val="left" w:pos="6948"/>
        </w:tabs>
        <w:spacing w:before="86" w:line="307" w:lineRule="auto"/>
        <w:ind w:left="1887" w:right="1325"/>
        <w:rPr>
          <w:sz w:val="22"/>
        </w:rPr>
      </w:pPr>
      <w:hyperlink w:anchor="_bookmark32" w:history="1">
        <w:r w:rsidR="003115E3">
          <w:rPr>
            <w:color w:val="231F20"/>
          </w:rPr>
          <w:t>Regarding the Strategy for Anti-Imperialist  Struggle (November</w:t>
        </w:r>
        <w:r w:rsidR="003115E3">
          <w:rPr>
            <w:color w:val="231F20"/>
            <w:spacing w:val="23"/>
          </w:rPr>
          <w:t xml:space="preserve"> </w:t>
        </w:r>
        <w:r w:rsidR="003115E3">
          <w:rPr>
            <w:color w:val="231F20"/>
            <w:spacing w:val="-5"/>
          </w:rPr>
          <w:t>1972)</w:t>
        </w:r>
        <w:r w:rsidR="003115E3">
          <w:rPr>
            <w:color w:val="231F20"/>
            <w:spacing w:val="-5"/>
          </w:rPr>
          <w:tab/>
        </w:r>
        <w:r w:rsidR="003115E3">
          <w:rPr>
            <w:color w:val="231F20"/>
            <w:spacing w:val="-1"/>
            <w:sz w:val="22"/>
          </w:rPr>
          <w:t>205</w:t>
        </w:r>
      </w:hyperlink>
    </w:p>
    <w:p w14:paraId="654A8EB7" w14:textId="77777777" w:rsidR="002653E8" w:rsidRDefault="002653E8">
      <w:pPr>
        <w:spacing w:line="307" w:lineRule="auto"/>
        <w:sectPr w:rsidR="002653E8">
          <w:pgSz w:w="8640" w:h="12960"/>
          <w:pgMar w:top="1120" w:right="0" w:bottom="280" w:left="0" w:header="720" w:footer="720" w:gutter="0"/>
          <w:cols w:space="720"/>
        </w:sectPr>
      </w:pPr>
    </w:p>
    <w:p w14:paraId="7851F4F8" w14:textId="77777777" w:rsidR="002653E8" w:rsidRDefault="00000000">
      <w:pPr>
        <w:pStyle w:val="8"/>
        <w:tabs>
          <w:tab w:val="left" w:pos="7142"/>
        </w:tabs>
        <w:spacing w:line="252" w:lineRule="auto"/>
        <w:ind w:left="1908" w:right="1146" w:hanging="1"/>
        <w:rPr>
          <w:sz w:val="22"/>
        </w:rPr>
      </w:pPr>
      <w:r>
        <w:rPr>
          <w:noProof w:val="0"/>
        </w:rPr>
        <w:lastRenderedPageBreak/>
        <w:pict w14:anchorId="06B3B5CC">
          <v:shape id="_x0000_s2733" type="#_x0000_t202" style="position:absolute;left:0;text-align:left;margin-left:74.65pt;margin-top:4.35pt;width:13.35pt;height:28.15pt;z-index:1192;mso-position-horizontal-relative:page" filled="f" stroked="f">
            <v:textbox inset="0,0,0,0">
              <w:txbxContent>
                <w:p w14:paraId="6DD3F45F" w14:textId="77777777" w:rsidR="001008C3" w:rsidRDefault="001008C3">
                  <w:pPr>
                    <w:spacing w:line="560" w:lineRule="exact"/>
                    <w:rPr>
                      <w:sz w:val="48"/>
                    </w:rPr>
                  </w:pPr>
                  <w:r>
                    <w:rPr>
                      <w:color w:val="757679"/>
                      <w:sz w:val="48"/>
                    </w:rPr>
                    <w:t>7</w:t>
                  </w:r>
                </w:p>
              </w:txbxContent>
            </v:textbox>
            <w10:wrap anchorx="page"/>
          </v:shape>
        </w:pict>
      </w:r>
      <w:hyperlink w:anchor="_bookmark33" w:history="1">
        <w:r w:rsidR="003115E3">
          <w:rPr>
            <w:color w:val="231F20"/>
            <w:w w:val="120"/>
          </w:rPr>
          <w:t xml:space="preserve">staying </w:t>
        </w:r>
        <w:r w:rsidR="003115E3">
          <w:rPr>
            <w:color w:val="231F20"/>
            <w:spacing w:val="2"/>
            <w:w w:val="120"/>
          </w:rPr>
          <w:t xml:space="preserve">alive: </w:t>
        </w:r>
        <w:r w:rsidR="003115E3">
          <w:rPr>
            <w:color w:val="231F20"/>
            <w:spacing w:val="-3"/>
            <w:w w:val="120"/>
          </w:rPr>
          <w:t xml:space="preserve">sensory deprivation, </w:t>
        </w:r>
        <w:r w:rsidR="003115E3">
          <w:rPr>
            <w:color w:val="231F20"/>
            <w:w w:val="120"/>
          </w:rPr>
          <w:t xml:space="preserve">torture, </w:t>
        </w:r>
        <w:r w:rsidR="003115E3">
          <w:rPr>
            <w:color w:val="231F20"/>
            <w:spacing w:val="2"/>
            <w:w w:val="120"/>
          </w:rPr>
          <w:t xml:space="preserve">and the </w:t>
        </w:r>
        <w:r w:rsidR="003115E3">
          <w:rPr>
            <w:color w:val="231F20"/>
            <w:w w:val="120"/>
          </w:rPr>
          <w:t>struggle</w:t>
        </w:r>
        <w:r w:rsidR="003115E3">
          <w:rPr>
            <w:color w:val="231F20"/>
            <w:spacing w:val="17"/>
            <w:w w:val="120"/>
          </w:rPr>
          <w:t xml:space="preserve"> </w:t>
        </w:r>
        <w:r w:rsidR="003115E3">
          <w:rPr>
            <w:color w:val="231F20"/>
            <w:w w:val="120"/>
          </w:rPr>
          <w:t>behind</w:t>
        </w:r>
        <w:r w:rsidR="003115E3">
          <w:rPr>
            <w:color w:val="231F20"/>
            <w:spacing w:val="5"/>
            <w:w w:val="120"/>
          </w:rPr>
          <w:t xml:space="preserve"> </w:t>
        </w:r>
        <w:r w:rsidR="003115E3">
          <w:rPr>
            <w:color w:val="231F20"/>
            <w:spacing w:val="1"/>
            <w:w w:val="120"/>
          </w:rPr>
          <w:t>bars</w:t>
        </w:r>
        <w:r w:rsidR="003115E3">
          <w:rPr>
            <w:color w:val="231F20"/>
            <w:spacing w:val="1"/>
            <w:w w:val="120"/>
          </w:rPr>
          <w:tab/>
        </w:r>
        <w:r w:rsidR="003115E3">
          <w:rPr>
            <w:color w:val="231F20"/>
            <w:spacing w:val="-6"/>
            <w:sz w:val="22"/>
          </w:rPr>
          <w:t>237</w:t>
        </w:r>
      </w:hyperlink>
    </w:p>
    <w:p w14:paraId="7B2FBCE9" w14:textId="77777777" w:rsidR="002653E8" w:rsidRDefault="00000000">
      <w:pPr>
        <w:tabs>
          <w:tab w:val="right" w:pos="7491"/>
        </w:tabs>
        <w:spacing w:before="38"/>
        <w:ind w:left="2359"/>
      </w:pPr>
      <w:hyperlink w:anchor="_bookmark34" w:history="1">
        <w:r w:rsidR="003115E3">
          <w:rPr>
            <w:i/>
            <w:color w:val="231F20"/>
          </w:rPr>
          <w:t>the</w:t>
        </w:r>
        <w:r w:rsidR="003115E3">
          <w:rPr>
            <w:i/>
            <w:color w:val="231F20"/>
            <w:spacing w:val="11"/>
          </w:rPr>
          <w:t xml:space="preserve"> </w:t>
        </w:r>
        <w:r w:rsidR="003115E3">
          <w:rPr>
            <w:i/>
            <w:color w:val="231F20"/>
          </w:rPr>
          <w:t>lawyers</w:t>
        </w:r>
        <w:r w:rsidR="003115E3">
          <w:rPr>
            <w:i/>
            <w:color w:val="231F20"/>
          </w:rPr>
          <w:tab/>
        </w:r>
        <w:r w:rsidR="003115E3">
          <w:rPr>
            <w:color w:val="231F20"/>
          </w:rPr>
          <w:t>246</w:t>
        </w:r>
      </w:hyperlink>
    </w:p>
    <w:p w14:paraId="716F295B" w14:textId="77777777" w:rsidR="002653E8" w:rsidRDefault="00000000">
      <w:pPr>
        <w:tabs>
          <w:tab w:val="right" w:pos="7491"/>
        </w:tabs>
        <w:spacing w:before="62"/>
        <w:ind w:left="2359"/>
      </w:pPr>
      <w:hyperlink w:anchor="_bookmark35" w:history="1">
        <w:r w:rsidR="003115E3">
          <w:rPr>
            <w:i/>
            <w:color w:val="231F20"/>
          </w:rPr>
          <w:t>horst mahler after</w:t>
        </w:r>
        <w:r w:rsidR="003115E3">
          <w:rPr>
            <w:i/>
            <w:color w:val="231F20"/>
            <w:spacing w:val="36"/>
          </w:rPr>
          <w:t xml:space="preserve"> </w:t>
        </w:r>
        <w:r w:rsidR="003115E3">
          <w:rPr>
            <w:i/>
            <w:color w:val="231F20"/>
          </w:rPr>
          <w:t>the</w:t>
        </w:r>
        <w:r w:rsidR="003115E3">
          <w:rPr>
            <w:i/>
            <w:color w:val="231F20"/>
            <w:spacing w:val="11"/>
          </w:rPr>
          <w:t xml:space="preserve"> </w:t>
        </w:r>
        <w:r w:rsidR="003115E3">
          <w:rPr>
            <w:i/>
            <w:color w:val="231F20"/>
            <w:spacing w:val="-3"/>
          </w:rPr>
          <w:t>raf</w:t>
        </w:r>
        <w:r w:rsidR="003115E3">
          <w:rPr>
            <w:i/>
            <w:color w:val="231F20"/>
            <w:spacing w:val="-3"/>
          </w:rPr>
          <w:tab/>
        </w:r>
        <w:r w:rsidR="003115E3">
          <w:rPr>
            <w:color w:val="231F20"/>
            <w:spacing w:val="-9"/>
          </w:rPr>
          <w:t>256</w:t>
        </w:r>
      </w:hyperlink>
    </w:p>
    <w:p w14:paraId="50928BDB" w14:textId="77777777" w:rsidR="002653E8" w:rsidRDefault="002653E8">
      <w:pPr>
        <w:pStyle w:val="a3"/>
        <w:spacing w:before="2"/>
        <w:rPr>
          <w:sz w:val="34"/>
        </w:rPr>
      </w:pPr>
    </w:p>
    <w:p w14:paraId="210C3DE2" w14:textId="77777777" w:rsidR="002653E8" w:rsidRDefault="00000000">
      <w:pPr>
        <w:pStyle w:val="a3"/>
        <w:ind w:left="2067"/>
      </w:pPr>
      <w:hyperlink w:anchor="_bookmark36" w:history="1">
        <w:r w:rsidR="003115E3">
          <w:rPr>
            <w:color w:val="231F20"/>
            <w:w w:val="105"/>
          </w:rPr>
          <w:t>Ulrike Meinhof on the Dead Wing</w:t>
        </w:r>
      </w:hyperlink>
    </w:p>
    <w:p w14:paraId="6DAEBB19" w14:textId="77777777" w:rsidR="002653E8" w:rsidRDefault="00000000">
      <w:pPr>
        <w:pStyle w:val="a3"/>
        <w:tabs>
          <w:tab w:val="left" w:pos="7138"/>
        </w:tabs>
        <w:spacing w:before="67"/>
        <w:ind w:left="2067"/>
        <w:rPr>
          <w:sz w:val="22"/>
        </w:rPr>
      </w:pPr>
      <w:hyperlink w:anchor="_bookmark36" w:history="1">
        <w:r w:rsidR="003115E3">
          <w:rPr>
            <w:color w:val="231F20"/>
            <w:spacing w:val="-4"/>
            <w:w w:val="105"/>
          </w:rPr>
          <w:t>(1972–3,</w:t>
        </w:r>
        <w:r w:rsidR="003115E3">
          <w:rPr>
            <w:color w:val="231F20"/>
            <w:spacing w:val="1"/>
            <w:w w:val="105"/>
          </w:rPr>
          <w:t xml:space="preserve"> </w:t>
        </w:r>
        <w:r w:rsidR="003115E3">
          <w:rPr>
            <w:color w:val="231F20"/>
            <w:spacing w:val="-4"/>
            <w:w w:val="105"/>
          </w:rPr>
          <w:t>1973–4)</w:t>
        </w:r>
        <w:r w:rsidR="003115E3">
          <w:rPr>
            <w:color w:val="231F20"/>
            <w:spacing w:val="-4"/>
            <w:w w:val="105"/>
          </w:rPr>
          <w:tab/>
        </w:r>
        <w:r w:rsidR="003115E3">
          <w:rPr>
            <w:color w:val="231F20"/>
            <w:spacing w:val="-5"/>
            <w:w w:val="105"/>
            <w:sz w:val="22"/>
          </w:rPr>
          <w:t>271</w:t>
        </w:r>
      </w:hyperlink>
    </w:p>
    <w:p w14:paraId="634CB088" w14:textId="77777777" w:rsidR="002653E8" w:rsidRDefault="002653E8">
      <w:pPr>
        <w:pStyle w:val="a3"/>
        <w:spacing w:before="2"/>
        <w:rPr>
          <w:sz w:val="34"/>
        </w:rPr>
      </w:pPr>
    </w:p>
    <w:p w14:paraId="101D3464" w14:textId="77777777" w:rsidR="002653E8" w:rsidRDefault="00000000">
      <w:pPr>
        <w:pStyle w:val="a3"/>
        <w:ind w:left="2067"/>
      </w:pPr>
      <w:hyperlink w:anchor="_bookmark37" w:history="1">
        <w:r w:rsidR="003115E3">
          <w:rPr>
            <w:color w:val="231F20"/>
            <w:w w:val="105"/>
          </w:rPr>
          <w:t>Second Hunger Strike</w:t>
        </w:r>
      </w:hyperlink>
    </w:p>
    <w:p w14:paraId="4B6F91C8" w14:textId="77777777" w:rsidR="002653E8" w:rsidRDefault="00000000">
      <w:pPr>
        <w:pStyle w:val="a3"/>
        <w:tabs>
          <w:tab w:val="left" w:pos="7153"/>
        </w:tabs>
        <w:spacing w:before="67"/>
        <w:ind w:left="2067"/>
        <w:rPr>
          <w:sz w:val="22"/>
        </w:rPr>
      </w:pPr>
      <w:hyperlink w:anchor="_bookmark37" w:history="1">
        <w:r w:rsidR="003115E3">
          <w:rPr>
            <w:color w:val="231F20"/>
            <w:w w:val="105"/>
          </w:rPr>
          <w:t>(May</w:t>
        </w:r>
        <w:r w:rsidR="003115E3">
          <w:rPr>
            <w:color w:val="231F20"/>
            <w:spacing w:val="12"/>
            <w:w w:val="105"/>
          </w:rPr>
          <w:t xml:space="preserve"> </w:t>
        </w:r>
        <w:r w:rsidR="003115E3">
          <w:rPr>
            <w:color w:val="231F20"/>
            <w:w w:val="105"/>
          </w:rPr>
          <w:t>8,</w:t>
        </w:r>
        <w:r w:rsidR="003115E3">
          <w:rPr>
            <w:color w:val="231F20"/>
            <w:spacing w:val="12"/>
            <w:w w:val="105"/>
          </w:rPr>
          <w:t xml:space="preserve"> </w:t>
        </w:r>
        <w:r w:rsidR="003115E3">
          <w:rPr>
            <w:color w:val="231F20"/>
            <w:spacing w:val="-7"/>
            <w:w w:val="105"/>
          </w:rPr>
          <w:t>1973)</w:t>
        </w:r>
        <w:r w:rsidR="003115E3">
          <w:rPr>
            <w:color w:val="231F20"/>
            <w:spacing w:val="-7"/>
            <w:w w:val="105"/>
          </w:rPr>
          <w:tab/>
        </w:r>
        <w:r w:rsidR="003115E3">
          <w:rPr>
            <w:color w:val="231F20"/>
            <w:spacing w:val="-10"/>
            <w:w w:val="105"/>
            <w:sz w:val="22"/>
          </w:rPr>
          <w:t>274</w:t>
        </w:r>
      </w:hyperlink>
    </w:p>
    <w:p w14:paraId="12387B01" w14:textId="77777777" w:rsidR="002653E8" w:rsidRDefault="002653E8">
      <w:pPr>
        <w:pStyle w:val="a3"/>
        <w:spacing w:before="2"/>
        <w:rPr>
          <w:sz w:val="34"/>
        </w:rPr>
      </w:pPr>
    </w:p>
    <w:p w14:paraId="1BD38492" w14:textId="77777777" w:rsidR="002653E8" w:rsidRDefault="00000000">
      <w:pPr>
        <w:pStyle w:val="a3"/>
        <w:spacing w:line="326" w:lineRule="auto"/>
        <w:ind w:left="2067" w:right="3046"/>
      </w:pPr>
      <w:hyperlink w:anchor="_bookmark38" w:history="1">
        <w:r w:rsidR="003115E3">
          <w:rPr>
            <w:color w:val="231F20"/>
            <w:w w:val="105"/>
          </w:rPr>
          <w:t>Provisional Program of Struggle for the Political Rights of Imprisoned Workers</w:t>
        </w:r>
      </w:hyperlink>
    </w:p>
    <w:p w14:paraId="1C919927" w14:textId="77777777" w:rsidR="002653E8" w:rsidRDefault="00000000">
      <w:pPr>
        <w:pStyle w:val="a3"/>
        <w:tabs>
          <w:tab w:val="left" w:pos="7139"/>
        </w:tabs>
        <w:spacing w:line="241" w:lineRule="exact"/>
        <w:ind w:left="2067"/>
        <w:rPr>
          <w:sz w:val="22"/>
        </w:rPr>
      </w:pPr>
      <w:hyperlink w:anchor="_bookmark38" w:history="1">
        <w:r w:rsidR="003115E3">
          <w:rPr>
            <w:color w:val="231F20"/>
          </w:rPr>
          <w:t>(September</w:t>
        </w:r>
        <w:r w:rsidR="003115E3">
          <w:rPr>
            <w:color w:val="231F20"/>
            <w:spacing w:val="12"/>
          </w:rPr>
          <w:t xml:space="preserve"> </w:t>
        </w:r>
        <w:r w:rsidR="003115E3">
          <w:rPr>
            <w:color w:val="231F20"/>
            <w:spacing w:val="-8"/>
          </w:rPr>
          <w:t>1974)</w:t>
        </w:r>
        <w:r w:rsidR="003115E3">
          <w:rPr>
            <w:color w:val="231F20"/>
            <w:spacing w:val="-8"/>
          </w:rPr>
          <w:tab/>
        </w:r>
        <w:r w:rsidR="003115E3">
          <w:rPr>
            <w:color w:val="231F20"/>
            <w:spacing w:val="-6"/>
            <w:sz w:val="22"/>
          </w:rPr>
          <w:t>279</w:t>
        </w:r>
      </w:hyperlink>
    </w:p>
    <w:p w14:paraId="18AD24EB" w14:textId="77777777" w:rsidR="002653E8" w:rsidRDefault="002653E8">
      <w:pPr>
        <w:pStyle w:val="a3"/>
        <w:spacing w:before="3"/>
        <w:rPr>
          <w:sz w:val="34"/>
        </w:rPr>
      </w:pPr>
    </w:p>
    <w:p w14:paraId="456E043E" w14:textId="77777777" w:rsidR="002653E8" w:rsidRDefault="00000000">
      <w:pPr>
        <w:pStyle w:val="a3"/>
        <w:ind w:left="2067"/>
      </w:pPr>
      <w:hyperlink w:anchor="_bookmark39" w:history="1">
        <w:r w:rsidR="003115E3">
          <w:rPr>
            <w:color w:val="231F20"/>
            <w:w w:val="105"/>
          </w:rPr>
          <w:t>Third Hunger Strike</w:t>
        </w:r>
      </w:hyperlink>
    </w:p>
    <w:p w14:paraId="28A59332" w14:textId="77777777" w:rsidR="002653E8" w:rsidRDefault="00000000">
      <w:pPr>
        <w:pStyle w:val="a3"/>
        <w:tabs>
          <w:tab w:val="left" w:pos="7138"/>
        </w:tabs>
        <w:spacing w:before="66"/>
        <w:ind w:left="2067"/>
        <w:rPr>
          <w:sz w:val="22"/>
        </w:rPr>
      </w:pPr>
      <w:hyperlink w:anchor="_bookmark39" w:history="1">
        <w:r w:rsidR="003115E3">
          <w:rPr>
            <w:color w:val="231F20"/>
          </w:rPr>
          <w:t>(September</w:t>
        </w:r>
        <w:r w:rsidR="003115E3">
          <w:rPr>
            <w:color w:val="231F20"/>
            <w:spacing w:val="17"/>
          </w:rPr>
          <w:t xml:space="preserve"> </w:t>
        </w:r>
        <w:r w:rsidR="003115E3">
          <w:rPr>
            <w:color w:val="231F20"/>
            <w:spacing w:val="-6"/>
          </w:rPr>
          <w:t>13,</w:t>
        </w:r>
        <w:r w:rsidR="003115E3">
          <w:rPr>
            <w:color w:val="231F20"/>
            <w:spacing w:val="17"/>
          </w:rPr>
          <w:t xml:space="preserve"> </w:t>
        </w:r>
        <w:r w:rsidR="003115E3">
          <w:rPr>
            <w:color w:val="231F20"/>
            <w:spacing w:val="-8"/>
          </w:rPr>
          <w:t>1974)</w:t>
        </w:r>
        <w:r w:rsidR="003115E3">
          <w:rPr>
            <w:color w:val="231F20"/>
            <w:spacing w:val="-8"/>
          </w:rPr>
          <w:tab/>
        </w:r>
        <w:r w:rsidR="003115E3">
          <w:rPr>
            <w:color w:val="231F20"/>
            <w:spacing w:val="-5"/>
            <w:sz w:val="22"/>
          </w:rPr>
          <w:t>285</w:t>
        </w:r>
      </w:hyperlink>
    </w:p>
    <w:p w14:paraId="730CA261" w14:textId="77777777" w:rsidR="002653E8" w:rsidRDefault="002653E8">
      <w:pPr>
        <w:pStyle w:val="a3"/>
        <w:spacing w:before="3"/>
        <w:rPr>
          <w:sz w:val="34"/>
        </w:rPr>
      </w:pPr>
    </w:p>
    <w:p w14:paraId="46BE4C70" w14:textId="77777777" w:rsidR="002653E8" w:rsidRDefault="00000000">
      <w:pPr>
        <w:pStyle w:val="a3"/>
        <w:ind w:left="2067"/>
      </w:pPr>
      <w:hyperlink w:anchor="_bookmark40" w:history="1">
        <w:r w:rsidR="003115E3">
          <w:rPr>
            <w:color w:val="231F20"/>
            <w:w w:val="105"/>
          </w:rPr>
          <w:t>The Expulsion of Horst Mahler</w:t>
        </w:r>
      </w:hyperlink>
    </w:p>
    <w:p w14:paraId="0D873F6E" w14:textId="77777777" w:rsidR="002653E8" w:rsidRDefault="00000000">
      <w:pPr>
        <w:pStyle w:val="a3"/>
        <w:tabs>
          <w:tab w:val="left" w:pos="7131"/>
        </w:tabs>
        <w:spacing w:before="66"/>
        <w:ind w:left="2067"/>
        <w:rPr>
          <w:sz w:val="22"/>
        </w:rPr>
      </w:pPr>
      <w:hyperlink w:anchor="_bookmark40" w:history="1">
        <w:r w:rsidR="003115E3">
          <w:rPr>
            <w:color w:val="231F20"/>
            <w:w w:val="105"/>
          </w:rPr>
          <w:t>(Monika Berberich, September</w:t>
        </w:r>
        <w:r w:rsidR="003115E3">
          <w:rPr>
            <w:color w:val="231F20"/>
            <w:spacing w:val="12"/>
            <w:w w:val="105"/>
          </w:rPr>
          <w:t xml:space="preserve"> </w:t>
        </w:r>
        <w:r w:rsidR="003115E3">
          <w:rPr>
            <w:color w:val="231F20"/>
            <w:spacing w:val="-9"/>
            <w:w w:val="105"/>
          </w:rPr>
          <w:t>27,</w:t>
        </w:r>
        <w:r w:rsidR="003115E3">
          <w:rPr>
            <w:color w:val="231F20"/>
            <w:spacing w:val="3"/>
            <w:w w:val="105"/>
          </w:rPr>
          <w:t xml:space="preserve"> </w:t>
        </w:r>
        <w:r w:rsidR="003115E3">
          <w:rPr>
            <w:color w:val="231F20"/>
            <w:spacing w:val="-8"/>
            <w:w w:val="105"/>
          </w:rPr>
          <w:t>1974)</w:t>
        </w:r>
        <w:r w:rsidR="003115E3">
          <w:rPr>
            <w:color w:val="231F20"/>
            <w:spacing w:val="-8"/>
            <w:w w:val="105"/>
          </w:rPr>
          <w:tab/>
        </w:r>
        <w:r w:rsidR="003115E3">
          <w:rPr>
            <w:color w:val="231F20"/>
            <w:spacing w:val="-3"/>
            <w:w w:val="105"/>
            <w:sz w:val="22"/>
          </w:rPr>
          <w:t>288</w:t>
        </w:r>
      </w:hyperlink>
    </w:p>
    <w:p w14:paraId="1899112A" w14:textId="77777777" w:rsidR="002653E8" w:rsidRDefault="002653E8">
      <w:pPr>
        <w:pStyle w:val="a3"/>
        <w:spacing w:before="3"/>
        <w:rPr>
          <w:sz w:val="34"/>
        </w:rPr>
      </w:pPr>
    </w:p>
    <w:p w14:paraId="4334468F" w14:textId="77777777" w:rsidR="002653E8" w:rsidRDefault="00000000">
      <w:pPr>
        <w:pStyle w:val="a3"/>
        <w:ind w:left="2067"/>
      </w:pPr>
      <w:hyperlink w:anchor="_bookmark41" w:history="1">
        <w:r w:rsidR="003115E3">
          <w:rPr>
            <w:color w:val="231F20"/>
            <w:w w:val="105"/>
          </w:rPr>
          <w:t>Holger Meins’ Report on Force-Feeding</w:t>
        </w:r>
      </w:hyperlink>
    </w:p>
    <w:p w14:paraId="4783AEAB" w14:textId="77777777" w:rsidR="002653E8" w:rsidRDefault="00000000">
      <w:pPr>
        <w:pStyle w:val="a3"/>
        <w:tabs>
          <w:tab w:val="left" w:pos="7133"/>
        </w:tabs>
        <w:spacing w:before="66"/>
        <w:ind w:left="2067"/>
        <w:rPr>
          <w:sz w:val="22"/>
        </w:rPr>
      </w:pPr>
      <w:hyperlink w:anchor="_bookmark41" w:history="1">
        <w:r w:rsidR="003115E3">
          <w:rPr>
            <w:color w:val="231F20"/>
            <w:w w:val="105"/>
          </w:rPr>
          <w:t>(October</w:t>
        </w:r>
        <w:r w:rsidR="003115E3">
          <w:rPr>
            <w:color w:val="231F20"/>
            <w:spacing w:val="10"/>
            <w:w w:val="105"/>
          </w:rPr>
          <w:t xml:space="preserve"> </w:t>
        </w:r>
        <w:r w:rsidR="003115E3">
          <w:rPr>
            <w:color w:val="231F20"/>
            <w:spacing w:val="-5"/>
            <w:w w:val="105"/>
          </w:rPr>
          <w:t>11,</w:t>
        </w:r>
        <w:r w:rsidR="003115E3">
          <w:rPr>
            <w:color w:val="231F20"/>
            <w:spacing w:val="10"/>
            <w:w w:val="105"/>
          </w:rPr>
          <w:t xml:space="preserve"> </w:t>
        </w:r>
        <w:r w:rsidR="003115E3">
          <w:rPr>
            <w:color w:val="231F20"/>
            <w:spacing w:val="-8"/>
            <w:w w:val="105"/>
          </w:rPr>
          <w:t>1974)</w:t>
        </w:r>
        <w:r w:rsidR="003115E3">
          <w:rPr>
            <w:color w:val="231F20"/>
            <w:spacing w:val="-8"/>
            <w:w w:val="105"/>
          </w:rPr>
          <w:tab/>
        </w:r>
        <w:r w:rsidR="003115E3">
          <w:rPr>
            <w:color w:val="231F20"/>
            <w:spacing w:val="-4"/>
            <w:w w:val="105"/>
            <w:sz w:val="22"/>
          </w:rPr>
          <w:t>292</w:t>
        </w:r>
      </w:hyperlink>
    </w:p>
    <w:p w14:paraId="21D0C458" w14:textId="77777777" w:rsidR="002653E8" w:rsidRDefault="002653E8">
      <w:pPr>
        <w:pStyle w:val="a3"/>
        <w:spacing w:before="3"/>
        <w:rPr>
          <w:sz w:val="34"/>
        </w:rPr>
      </w:pPr>
    </w:p>
    <w:p w14:paraId="61091EDC" w14:textId="77777777" w:rsidR="002653E8" w:rsidRPr="00C507A5" w:rsidRDefault="00000000">
      <w:pPr>
        <w:pStyle w:val="a3"/>
        <w:ind w:left="2067"/>
        <w:rPr>
          <w:lang w:val="de-DE"/>
        </w:rPr>
      </w:pPr>
      <w:hyperlink w:anchor="_bookmark42" w:history="1">
        <w:r w:rsidR="003115E3" w:rsidRPr="00C507A5">
          <w:rPr>
            <w:color w:val="231F20"/>
            <w:w w:val="105"/>
            <w:lang w:val="de-DE"/>
          </w:rPr>
          <w:t>Holger Meins’ Last Letter</w:t>
        </w:r>
      </w:hyperlink>
    </w:p>
    <w:p w14:paraId="35F1D549" w14:textId="77777777" w:rsidR="002653E8" w:rsidRPr="00C507A5" w:rsidRDefault="00000000">
      <w:pPr>
        <w:pStyle w:val="a3"/>
        <w:tabs>
          <w:tab w:val="left" w:pos="7131"/>
        </w:tabs>
        <w:spacing w:before="66"/>
        <w:ind w:left="2067"/>
        <w:rPr>
          <w:sz w:val="22"/>
          <w:lang w:val="de-DE"/>
        </w:rPr>
      </w:pPr>
      <w:hyperlink w:anchor="_bookmark42" w:history="1">
        <w:r w:rsidR="003115E3" w:rsidRPr="00C507A5">
          <w:rPr>
            <w:color w:val="231F20"/>
            <w:w w:val="110"/>
            <w:lang w:val="de-DE"/>
          </w:rPr>
          <w:t>(November</w:t>
        </w:r>
        <w:r w:rsidR="003115E3" w:rsidRPr="00C507A5">
          <w:rPr>
            <w:color w:val="231F20"/>
            <w:spacing w:val="-17"/>
            <w:w w:val="110"/>
            <w:lang w:val="de-DE"/>
          </w:rPr>
          <w:t xml:space="preserve"> </w:t>
        </w:r>
        <w:r w:rsidR="003115E3" w:rsidRPr="00C507A5">
          <w:rPr>
            <w:color w:val="231F20"/>
            <w:w w:val="110"/>
            <w:lang w:val="de-DE"/>
          </w:rPr>
          <w:t>1,</w:t>
        </w:r>
        <w:r w:rsidR="003115E3" w:rsidRPr="00C507A5">
          <w:rPr>
            <w:color w:val="231F20"/>
            <w:spacing w:val="-17"/>
            <w:w w:val="110"/>
            <w:lang w:val="de-DE"/>
          </w:rPr>
          <w:t xml:space="preserve"> </w:t>
        </w:r>
        <w:r w:rsidR="003115E3" w:rsidRPr="00C507A5">
          <w:rPr>
            <w:color w:val="231F20"/>
            <w:spacing w:val="-8"/>
            <w:w w:val="110"/>
            <w:lang w:val="de-DE"/>
          </w:rPr>
          <w:t>1974)</w:t>
        </w:r>
        <w:r w:rsidR="003115E3" w:rsidRPr="00C507A5">
          <w:rPr>
            <w:color w:val="231F20"/>
            <w:spacing w:val="-8"/>
            <w:w w:val="110"/>
            <w:lang w:val="de-DE"/>
          </w:rPr>
          <w:tab/>
        </w:r>
        <w:r w:rsidR="003115E3" w:rsidRPr="00C507A5">
          <w:rPr>
            <w:color w:val="231F20"/>
            <w:spacing w:val="-3"/>
            <w:w w:val="110"/>
            <w:sz w:val="22"/>
            <w:lang w:val="de-DE"/>
          </w:rPr>
          <w:t>296</w:t>
        </w:r>
      </w:hyperlink>
    </w:p>
    <w:p w14:paraId="1990128F" w14:textId="77777777" w:rsidR="002653E8" w:rsidRPr="00C507A5" w:rsidRDefault="002653E8">
      <w:pPr>
        <w:pStyle w:val="a3"/>
        <w:spacing w:before="3"/>
        <w:rPr>
          <w:sz w:val="34"/>
          <w:lang w:val="de-DE"/>
        </w:rPr>
      </w:pPr>
    </w:p>
    <w:p w14:paraId="4724C4E7" w14:textId="77777777" w:rsidR="002653E8" w:rsidRDefault="00000000">
      <w:pPr>
        <w:ind w:left="2067"/>
        <w:rPr>
          <w:sz w:val="20"/>
        </w:rPr>
      </w:pPr>
      <w:hyperlink w:anchor="_bookmark43" w:history="1">
        <w:r w:rsidR="003115E3">
          <w:rPr>
            <w:color w:val="231F20"/>
            <w:w w:val="105"/>
            <w:sz w:val="20"/>
          </w:rPr>
          <w:t xml:space="preserve">Interview with </w:t>
        </w:r>
        <w:r w:rsidR="003115E3">
          <w:rPr>
            <w:i/>
            <w:color w:val="231F20"/>
            <w:w w:val="105"/>
            <w:sz w:val="20"/>
          </w:rPr>
          <w:t xml:space="preserve">Spiegel </w:t>
        </w:r>
        <w:r w:rsidR="003115E3">
          <w:rPr>
            <w:color w:val="231F20"/>
            <w:w w:val="105"/>
            <w:sz w:val="20"/>
          </w:rPr>
          <w:t>Magazine</w:t>
        </w:r>
      </w:hyperlink>
    </w:p>
    <w:p w14:paraId="68A29A4C" w14:textId="77777777" w:rsidR="002653E8" w:rsidRDefault="00000000">
      <w:pPr>
        <w:pStyle w:val="a3"/>
        <w:tabs>
          <w:tab w:val="left" w:pos="7128"/>
        </w:tabs>
        <w:spacing w:before="66"/>
        <w:ind w:left="2067"/>
        <w:rPr>
          <w:sz w:val="22"/>
        </w:rPr>
      </w:pPr>
      <w:hyperlink w:anchor="_bookmark43" w:history="1">
        <w:r w:rsidR="003115E3">
          <w:rPr>
            <w:color w:val="231F20"/>
          </w:rPr>
          <w:t>(January</w:t>
        </w:r>
        <w:r w:rsidR="003115E3">
          <w:rPr>
            <w:color w:val="231F20"/>
            <w:spacing w:val="28"/>
          </w:rPr>
          <w:t xml:space="preserve"> </w:t>
        </w:r>
        <w:r w:rsidR="003115E3">
          <w:rPr>
            <w:color w:val="231F20"/>
            <w:spacing w:val="-8"/>
          </w:rPr>
          <w:t>1975)</w:t>
        </w:r>
        <w:r w:rsidR="003115E3">
          <w:rPr>
            <w:color w:val="231F20"/>
            <w:spacing w:val="-8"/>
          </w:rPr>
          <w:tab/>
        </w:r>
        <w:r w:rsidR="003115E3">
          <w:rPr>
            <w:color w:val="231F20"/>
            <w:sz w:val="22"/>
          </w:rPr>
          <w:t>300</w:t>
        </w:r>
      </w:hyperlink>
    </w:p>
    <w:p w14:paraId="41064148" w14:textId="77777777" w:rsidR="002653E8" w:rsidRDefault="002653E8">
      <w:pPr>
        <w:pStyle w:val="a3"/>
        <w:spacing w:before="3"/>
        <w:rPr>
          <w:sz w:val="34"/>
        </w:rPr>
      </w:pPr>
    </w:p>
    <w:p w14:paraId="280341AC" w14:textId="77777777" w:rsidR="002653E8" w:rsidRDefault="00000000">
      <w:pPr>
        <w:pStyle w:val="a3"/>
        <w:ind w:left="2067"/>
      </w:pPr>
      <w:hyperlink w:anchor="_bookmark44" w:history="1">
        <w:r w:rsidR="003115E3">
          <w:rPr>
            <w:color w:val="231F20"/>
          </w:rPr>
          <w:t>Andreas Baader Regarding Torture</w:t>
        </w:r>
      </w:hyperlink>
    </w:p>
    <w:p w14:paraId="1FFB2726" w14:textId="77777777" w:rsidR="002653E8" w:rsidRDefault="00000000">
      <w:pPr>
        <w:pStyle w:val="a3"/>
        <w:tabs>
          <w:tab w:val="left" w:pos="7148"/>
        </w:tabs>
        <w:spacing w:before="66"/>
        <w:ind w:left="2067"/>
        <w:rPr>
          <w:sz w:val="22"/>
        </w:rPr>
      </w:pPr>
      <w:hyperlink w:anchor="_bookmark44" w:history="1">
        <w:r w:rsidR="003115E3">
          <w:rPr>
            <w:color w:val="231F20"/>
            <w:w w:val="105"/>
          </w:rPr>
          <w:t>(June</w:t>
        </w:r>
        <w:r w:rsidR="003115E3">
          <w:rPr>
            <w:color w:val="231F20"/>
            <w:spacing w:val="7"/>
            <w:w w:val="105"/>
          </w:rPr>
          <w:t xml:space="preserve"> </w:t>
        </w:r>
        <w:r w:rsidR="003115E3">
          <w:rPr>
            <w:color w:val="231F20"/>
            <w:spacing w:val="-4"/>
            <w:w w:val="105"/>
          </w:rPr>
          <w:t>18,</w:t>
        </w:r>
        <w:r w:rsidR="003115E3">
          <w:rPr>
            <w:color w:val="231F20"/>
            <w:spacing w:val="7"/>
            <w:w w:val="105"/>
          </w:rPr>
          <w:t xml:space="preserve"> </w:t>
        </w:r>
        <w:r w:rsidR="003115E3">
          <w:rPr>
            <w:color w:val="231F20"/>
            <w:spacing w:val="-8"/>
            <w:w w:val="105"/>
          </w:rPr>
          <w:t>1975)</w:t>
        </w:r>
        <w:r w:rsidR="003115E3">
          <w:rPr>
            <w:color w:val="231F20"/>
            <w:spacing w:val="-8"/>
            <w:w w:val="105"/>
          </w:rPr>
          <w:tab/>
        </w:r>
        <w:r w:rsidR="003115E3">
          <w:rPr>
            <w:color w:val="231F20"/>
            <w:spacing w:val="-9"/>
            <w:w w:val="105"/>
            <w:sz w:val="22"/>
          </w:rPr>
          <w:t>319</w:t>
        </w:r>
      </w:hyperlink>
    </w:p>
    <w:p w14:paraId="0119911C" w14:textId="77777777" w:rsidR="002653E8" w:rsidRDefault="002653E8">
      <w:pPr>
        <w:sectPr w:rsidR="002653E8">
          <w:pgSz w:w="8640" w:h="12960"/>
          <w:pgMar w:top="1060" w:right="0" w:bottom="280" w:left="0" w:header="720" w:footer="720" w:gutter="0"/>
          <w:cols w:space="720"/>
        </w:sectPr>
      </w:pPr>
    </w:p>
    <w:p w14:paraId="4CE08A68" w14:textId="77777777" w:rsidR="002653E8" w:rsidRDefault="00000000">
      <w:pPr>
        <w:pStyle w:val="8"/>
        <w:ind w:left="1727"/>
      </w:pPr>
      <w:r>
        <w:rPr>
          <w:noProof w:val="0"/>
        </w:rPr>
        <w:lastRenderedPageBreak/>
        <w:pict w14:anchorId="3751FDE5">
          <v:shape id="_x0000_s2732" type="#_x0000_t202" style="position:absolute;left:0;text-align:left;margin-left:66.55pt;margin-top:4.35pt;width:13.35pt;height:28.15pt;z-index:1216;mso-position-horizontal-relative:page" filled="f" stroked="f">
            <v:textbox inset="0,0,0,0">
              <w:txbxContent>
                <w:p w14:paraId="409508E3" w14:textId="77777777" w:rsidR="001008C3" w:rsidRDefault="001008C3">
                  <w:pPr>
                    <w:spacing w:line="560" w:lineRule="exact"/>
                    <w:rPr>
                      <w:sz w:val="48"/>
                    </w:rPr>
                  </w:pPr>
                  <w:r>
                    <w:rPr>
                      <w:color w:val="757679"/>
                      <w:sz w:val="48"/>
                    </w:rPr>
                    <w:t>8</w:t>
                  </w:r>
                </w:p>
              </w:txbxContent>
            </v:textbox>
            <w10:wrap anchorx="page"/>
          </v:shape>
        </w:pict>
      </w:r>
      <w:hyperlink w:anchor="_bookmark45" w:history="1">
        <w:r w:rsidR="003115E3">
          <w:rPr>
            <w:color w:val="231F20"/>
            <w:w w:val="120"/>
          </w:rPr>
          <w:t>a desperate bid to free the prisoners:</w:t>
        </w:r>
      </w:hyperlink>
    </w:p>
    <w:p w14:paraId="5D2A8A34" w14:textId="77777777" w:rsidR="002653E8" w:rsidRDefault="00000000">
      <w:pPr>
        <w:pStyle w:val="8"/>
        <w:tabs>
          <w:tab w:val="left" w:pos="5640"/>
        </w:tabs>
        <w:spacing w:before="15"/>
        <w:ind w:left="400"/>
        <w:jc w:val="center"/>
        <w:rPr>
          <w:sz w:val="22"/>
        </w:rPr>
      </w:pPr>
      <w:hyperlink w:anchor="_bookmark45" w:history="1">
        <w:r w:rsidR="003115E3">
          <w:rPr>
            <w:color w:val="231F20"/>
            <w:spacing w:val="2"/>
            <w:w w:val="120"/>
          </w:rPr>
          <w:t>the</w:t>
        </w:r>
        <w:r w:rsidR="003115E3">
          <w:rPr>
            <w:color w:val="231F20"/>
            <w:spacing w:val="6"/>
            <w:w w:val="120"/>
          </w:rPr>
          <w:t xml:space="preserve"> </w:t>
        </w:r>
        <w:r w:rsidR="003115E3">
          <w:rPr>
            <w:color w:val="231F20"/>
            <w:w w:val="120"/>
          </w:rPr>
          <w:t>stockholm</w:t>
        </w:r>
        <w:r w:rsidR="003115E3">
          <w:rPr>
            <w:color w:val="231F20"/>
            <w:spacing w:val="6"/>
            <w:w w:val="120"/>
          </w:rPr>
          <w:t xml:space="preserve"> </w:t>
        </w:r>
        <w:r w:rsidR="003115E3">
          <w:rPr>
            <w:color w:val="231F20"/>
            <w:w w:val="120"/>
          </w:rPr>
          <w:t>action</w:t>
        </w:r>
        <w:r w:rsidR="003115E3">
          <w:rPr>
            <w:color w:val="231F20"/>
            <w:w w:val="120"/>
          </w:rPr>
          <w:tab/>
        </w:r>
        <w:r w:rsidR="003115E3">
          <w:rPr>
            <w:color w:val="231F20"/>
            <w:spacing w:val="-8"/>
            <w:w w:val="120"/>
            <w:sz w:val="22"/>
          </w:rPr>
          <w:t>325</w:t>
        </w:r>
      </w:hyperlink>
    </w:p>
    <w:p w14:paraId="4404CAB3" w14:textId="77777777" w:rsidR="002653E8" w:rsidRDefault="00000000">
      <w:pPr>
        <w:pStyle w:val="a3"/>
        <w:spacing w:before="232"/>
        <w:ind w:left="1887"/>
      </w:pPr>
      <w:hyperlink w:anchor="_bookmark46" w:history="1">
        <w:r w:rsidR="003115E3">
          <w:rPr>
            <w:color w:val="231F20"/>
            <w:w w:val="105"/>
          </w:rPr>
          <w:t xml:space="preserve">Letter from the </w:t>
        </w:r>
        <w:r w:rsidR="00C507A5">
          <w:rPr>
            <w:color w:val="231F20"/>
            <w:w w:val="105"/>
          </w:rPr>
          <w:t>red army faction</w:t>
        </w:r>
        <w:r w:rsidR="003115E3">
          <w:rPr>
            <w:color w:val="231F20"/>
            <w:w w:val="105"/>
          </w:rPr>
          <w:t xml:space="preserve"> to the </w:t>
        </w:r>
        <w:r w:rsidR="00C507A5">
          <w:rPr>
            <w:color w:val="231F20"/>
            <w:w w:val="105"/>
          </w:rPr>
          <w:t>red army faction</w:t>
        </w:r>
        <w:r w:rsidR="003115E3">
          <w:rPr>
            <w:color w:val="231F20"/>
            <w:w w:val="105"/>
          </w:rPr>
          <w:t xml:space="preserve"> Prisoners</w:t>
        </w:r>
      </w:hyperlink>
    </w:p>
    <w:p w14:paraId="06E11EC1" w14:textId="77777777" w:rsidR="002653E8" w:rsidRDefault="00000000">
      <w:pPr>
        <w:pStyle w:val="a3"/>
        <w:tabs>
          <w:tab w:val="left" w:pos="6971"/>
        </w:tabs>
        <w:spacing w:before="66"/>
        <w:ind w:left="1887"/>
        <w:rPr>
          <w:sz w:val="22"/>
        </w:rPr>
      </w:pPr>
      <w:hyperlink w:anchor="_bookmark46" w:history="1">
        <w:r w:rsidR="003115E3">
          <w:rPr>
            <w:color w:val="231F20"/>
            <w:w w:val="105"/>
          </w:rPr>
          <w:t>(February</w:t>
        </w:r>
        <w:r w:rsidR="003115E3">
          <w:rPr>
            <w:color w:val="231F20"/>
            <w:spacing w:val="2"/>
            <w:w w:val="105"/>
          </w:rPr>
          <w:t xml:space="preserve"> </w:t>
        </w:r>
        <w:r w:rsidR="003115E3">
          <w:rPr>
            <w:color w:val="231F20"/>
            <w:w w:val="105"/>
          </w:rPr>
          <w:t>2,</w:t>
        </w:r>
        <w:r w:rsidR="003115E3">
          <w:rPr>
            <w:color w:val="231F20"/>
            <w:spacing w:val="2"/>
            <w:w w:val="105"/>
          </w:rPr>
          <w:t xml:space="preserve"> </w:t>
        </w:r>
        <w:r w:rsidR="003115E3">
          <w:rPr>
            <w:color w:val="231F20"/>
            <w:spacing w:val="-8"/>
            <w:w w:val="105"/>
          </w:rPr>
          <w:t>1975)</w:t>
        </w:r>
        <w:r w:rsidR="003115E3">
          <w:rPr>
            <w:color w:val="231F20"/>
            <w:spacing w:val="-8"/>
            <w:w w:val="105"/>
          </w:rPr>
          <w:tab/>
        </w:r>
        <w:r w:rsidR="003115E3">
          <w:rPr>
            <w:color w:val="231F20"/>
            <w:spacing w:val="-9"/>
            <w:w w:val="105"/>
            <w:sz w:val="22"/>
          </w:rPr>
          <w:t>338</w:t>
        </w:r>
      </w:hyperlink>
    </w:p>
    <w:p w14:paraId="056590E8" w14:textId="77777777" w:rsidR="002653E8" w:rsidRDefault="00000000">
      <w:pPr>
        <w:pStyle w:val="a3"/>
        <w:tabs>
          <w:tab w:val="left" w:pos="6972"/>
        </w:tabs>
        <w:spacing w:before="402" w:line="307" w:lineRule="auto"/>
        <w:ind w:left="1887" w:right="1326"/>
        <w:rPr>
          <w:sz w:val="22"/>
        </w:rPr>
      </w:pPr>
      <w:hyperlink w:anchor="_bookmark47" w:history="1">
        <w:r w:rsidR="003115E3">
          <w:rPr>
            <w:color w:val="231F20"/>
            <w:w w:val="105"/>
          </w:rPr>
          <w:t xml:space="preserve">Occupation of the </w:t>
        </w:r>
        <w:r w:rsidR="003115E3">
          <w:rPr>
            <w:color w:val="231F20"/>
            <w:spacing w:val="-3"/>
            <w:w w:val="105"/>
          </w:rPr>
          <w:t xml:space="preserve">West </w:t>
        </w:r>
        <w:r w:rsidR="003115E3">
          <w:rPr>
            <w:color w:val="231F20"/>
            <w:w w:val="105"/>
          </w:rPr>
          <w:t>German Embassy in Stockholm (April</w:t>
        </w:r>
        <w:r w:rsidR="003115E3">
          <w:rPr>
            <w:color w:val="231F20"/>
            <w:spacing w:val="8"/>
            <w:w w:val="105"/>
          </w:rPr>
          <w:t xml:space="preserve"> </w:t>
        </w:r>
        <w:r w:rsidR="003115E3">
          <w:rPr>
            <w:color w:val="231F20"/>
            <w:w w:val="105"/>
          </w:rPr>
          <w:t>24,</w:t>
        </w:r>
        <w:r w:rsidR="003115E3">
          <w:rPr>
            <w:color w:val="231F20"/>
            <w:spacing w:val="8"/>
            <w:w w:val="105"/>
          </w:rPr>
          <w:t xml:space="preserve"> </w:t>
        </w:r>
        <w:r w:rsidR="003115E3">
          <w:rPr>
            <w:color w:val="231F20"/>
            <w:spacing w:val="-8"/>
            <w:w w:val="105"/>
          </w:rPr>
          <w:t>1975)</w:t>
        </w:r>
        <w:r w:rsidR="003115E3">
          <w:rPr>
            <w:color w:val="231F20"/>
            <w:spacing w:val="-8"/>
            <w:w w:val="105"/>
          </w:rPr>
          <w:tab/>
        </w:r>
        <w:r w:rsidR="003115E3">
          <w:rPr>
            <w:color w:val="231F20"/>
            <w:spacing w:val="-10"/>
            <w:sz w:val="22"/>
          </w:rPr>
          <w:t>339</w:t>
        </w:r>
      </w:hyperlink>
    </w:p>
    <w:p w14:paraId="2474D000" w14:textId="77777777" w:rsidR="002653E8" w:rsidRDefault="00000000">
      <w:pPr>
        <w:pStyle w:val="a3"/>
        <w:spacing w:before="329"/>
        <w:ind w:left="1887"/>
      </w:pPr>
      <w:hyperlink w:anchor="_bookmark48" w:history="1">
        <w:r w:rsidR="003115E3">
          <w:rPr>
            <w:color w:val="231F20"/>
            <w:w w:val="105"/>
          </w:rPr>
          <w:t>Defense Attorney Siegfried Haag Goes Underground</w:t>
        </w:r>
      </w:hyperlink>
    </w:p>
    <w:p w14:paraId="305C60ED" w14:textId="77777777" w:rsidR="002653E8" w:rsidRDefault="00000000">
      <w:pPr>
        <w:tabs>
          <w:tab w:val="left" w:pos="6954"/>
        </w:tabs>
        <w:spacing w:before="67"/>
        <w:ind w:left="1887"/>
      </w:pPr>
      <w:hyperlink w:anchor="_bookmark48" w:history="1">
        <w:r w:rsidR="003115E3">
          <w:rPr>
            <w:color w:val="231F20"/>
            <w:w w:val="105"/>
            <w:sz w:val="20"/>
          </w:rPr>
          <w:t>(May</w:t>
        </w:r>
        <w:r w:rsidR="003115E3">
          <w:rPr>
            <w:color w:val="231F20"/>
            <w:spacing w:val="3"/>
            <w:w w:val="105"/>
            <w:sz w:val="20"/>
          </w:rPr>
          <w:t xml:space="preserve"> </w:t>
        </w:r>
        <w:r w:rsidR="003115E3">
          <w:rPr>
            <w:color w:val="231F20"/>
            <w:spacing w:val="-5"/>
            <w:w w:val="105"/>
          </w:rPr>
          <w:t>11</w:t>
        </w:r>
        <w:r w:rsidR="003115E3">
          <w:rPr>
            <w:color w:val="231F20"/>
            <w:spacing w:val="-5"/>
            <w:w w:val="105"/>
            <w:sz w:val="20"/>
          </w:rPr>
          <w:t>,</w:t>
        </w:r>
        <w:r w:rsidR="003115E3">
          <w:rPr>
            <w:color w:val="231F20"/>
            <w:spacing w:val="3"/>
            <w:w w:val="105"/>
            <w:sz w:val="20"/>
          </w:rPr>
          <w:t xml:space="preserve"> </w:t>
        </w:r>
        <w:r w:rsidR="003115E3">
          <w:rPr>
            <w:color w:val="231F20"/>
            <w:spacing w:val="-9"/>
            <w:w w:val="105"/>
          </w:rPr>
          <w:t>1975</w:t>
        </w:r>
        <w:r w:rsidR="003115E3">
          <w:rPr>
            <w:color w:val="231F20"/>
            <w:spacing w:val="-9"/>
            <w:w w:val="105"/>
            <w:sz w:val="20"/>
          </w:rPr>
          <w:t>)</w:t>
        </w:r>
        <w:r w:rsidR="003115E3">
          <w:rPr>
            <w:color w:val="231F20"/>
            <w:spacing w:val="-9"/>
            <w:w w:val="105"/>
            <w:sz w:val="20"/>
          </w:rPr>
          <w:tab/>
        </w:r>
        <w:r w:rsidR="003115E3">
          <w:rPr>
            <w:color w:val="231F20"/>
            <w:spacing w:val="-4"/>
            <w:w w:val="105"/>
          </w:rPr>
          <w:t>341</w:t>
        </w:r>
      </w:hyperlink>
    </w:p>
    <w:p w14:paraId="62FF1E2A" w14:textId="77777777" w:rsidR="002653E8" w:rsidRDefault="00000000">
      <w:pPr>
        <w:pStyle w:val="8"/>
        <w:spacing w:before="504"/>
        <w:ind w:left="1727"/>
      </w:pPr>
      <w:r>
        <w:rPr>
          <w:noProof w:val="0"/>
        </w:rPr>
        <w:pict w14:anchorId="5F86092A">
          <v:shape id="_x0000_s2731" type="#_x0000_t202" style="position:absolute;left:0;text-align:left;margin-left:70.85pt;margin-top:24.9pt;width:13.35pt;height:28.15pt;z-index:1240;mso-position-horizontal-relative:page" filled="f" stroked="f">
            <v:textbox inset="0,0,0,0">
              <w:txbxContent>
                <w:p w14:paraId="23747638" w14:textId="77777777" w:rsidR="001008C3" w:rsidRDefault="00000000">
                  <w:pPr>
                    <w:spacing w:line="560" w:lineRule="exact"/>
                    <w:rPr>
                      <w:sz w:val="48"/>
                    </w:rPr>
                  </w:pPr>
                  <w:hyperlink w:anchor="_bookmark49" w:history="1">
                    <w:r w:rsidR="001008C3">
                      <w:rPr>
                        <w:color w:val="757679"/>
                        <w:sz w:val="48"/>
                      </w:rPr>
                      <w:t>9</w:t>
                    </w:r>
                  </w:hyperlink>
                </w:p>
              </w:txbxContent>
            </v:textbox>
            <w10:wrap anchorx="page"/>
          </v:shape>
        </w:pict>
      </w:r>
      <w:hyperlink w:anchor="_bookmark49" w:history="1">
        <w:r w:rsidR="003115E3">
          <w:rPr>
            <w:color w:val="231F20"/>
            <w:w w:val="115"/>
          </w:rPr>
          <w:t>shadow boxing:</w:t>
        </w:r>
      </w:hyperlink>
    </w:p>
    <w:p w14:paraId="703528B1" w14:textId="77777777" w:rsidR="002653E8" w:rsidRDefault="00000000">
      <w:pPr>
        <w:pStyle w:val="8"/>
        <w:tabs>
          <w:tab w:val="left" w:pos="5632"/>
        </w:tabs>
        <w:spacing w:before="15"/>
        <w:ind w:left="400"/>
        <w:jc w:val="center"/>
        <w:rPr>
          <w:sz w:val="22"/>
        </w:rPr>
      </w:pPr>
      <w:hyperlink w:anchor="_bookmark49" w:history="1">
        <w:r w:rsidR="003115E3">
          <w:rPr>
            <w:color w:val="231F20"/>
            <w:w w:val="120"/>
          </w:rPr>
          <w:t>countering</w:t>
        </w:r>
        <w:r w:rsidR="003115E3">
          <w:rPr>
            <w:color w:val="231F20"/>
            <w:spacing w:val="10"/>
            <w:w w:val="120"/>
          </w:rPr>
          <w:t xml:space="preserve"> </w:t>
        </w:r>
        <w:r w:rsidR="003115E3">
          <w:rPr>
            <w:color w:val="231F20"/>
            <w:w w:val="120"/>
          </w:rPr>
          <w:t>psychological</w:t>
        </w:r>
        <w:r w:rsidR="003115E3">
          <w:rPr>
            <w:color w:val="231F20"/>
            <w:spacing w:val="10"/>
            <w:w w:val="120"/>
          </w:rPr>
          <w:t xml:space="preserve"> </w:t>
        </w:r>
        <w:r w:rsidR="003115E3">
          <w:rPr>
            <w:color w:val="231F20"/>
            <w:w w:val="120"/>
          </w:rPr>
          <w:t>warfare</w:t>
        </w:r>
        <w:r w:rsidR="003115E3">
          <w:rPr>
            <w:color w:val="231F20"/>
            <w:w w:val="120"/>
          </w:rPr>
          <w:tab/>
        </w:r>
        <w:r w:rsidR="003115E3">
          <w:rPr>
            <w:color w:val="231F20"/>
            <w:spacing w:val="-6"/>
            <w:w w:val="120"/>
            <w:sz w:val="22"/>
          </w:rPr>
          <w:t>343</w:t>
        </w:r>
      </w:hyperlink>
    </w:p>
    <w:p w14:paraId="4266FCAC" w14:textId="77777777" w:rsidR="002653E8" w:rsidRDefault="00000000">
      <w:pPr>
        <w:pStyle w:val="a3"/>
        <w:spacing w:before="232"/>
        <w:ind w:left="1887"/>
      </w:pPr>
      <w:hyperlink w:anchor="_bookmark50" w:history="1">
        <w:r w:rsidR="003115E3">
          <w:rPr>
            <w:color w:val="231F20"/>
            <w:w w:val="110"/>
          </w:rPr>
          <w:t>“We know why he’s saying it”</w:t>
        </w:r>
      </w:hyperlink>
    </w:p>
    <w:p w14:paraId="03F81B65" w14:textId="77777777" w:rsidR="002653E8" w:rsidRDefault="00000000">
      <w:pPr>
        <w:pStyle w:val="a3"/>
        <w:tabs>
          <w:tab w:val="left" w:pos="6987"/>
        </w:tabs>
        <w:spacing w:before="67"/>
        <w:ind w:left="1887"/>
        <w:rPr>
          <w:sz w:val="22"/>
        </w:rPr>
      </w:pPr>
      <w:hyperlink w:anchor="_bookmark50" w:history="1">
        <w:r w:rsidR="003115E3">
          <w:rPr>
            <w:color w:val="231F20"/>
            <w:w w:val="110"/>
          </w:rPr>
          <w:t>(Brigitte Mohnhaupt, July</w:t>
        </w:r>
        <w:r w:rsidR="003115E3">
          <w:rPr>
            <w:color w:val="231F20"/>
            <w:spacing w:val="-34"/>
            <w:w w:val="110"/>
          </w:rPr>
          <w:t xml:space="preserve"> </w:t>
        </w:r>
        <w:r w:rsidR="003115E3">
          <w:rPr>
            <w:color w:val="231F20"/>
            <w:w w:val="110"/>
          </w:rPr>
          <w:t>22,</w:t>
        </w:r>
        <w:r w:rsidR="003115E3">
          <w:rPr>
            <w:color w:val="231F20"/>
            <w:spacing w:val="-12"/>
            <w:w w:val="110"/>
          </w:rPr>
          <w:t xml:space="preserve"> </w:t>
        </w:r>
        <w:r w:rsidR="003115E3">
          <w:rPr>
            <w:color w:val="231F20"/>
            <w:spacing w:val="-4"/>
            <w:w w:val="110"/>
          </w:rPr>
          <w:t>1976)</w:t>
        </w:r>
        <w:r w:rsidR="003115E3">
          <w:rPr>
            <w:color w:val="231F20"/>
            <w:spacing w:val="-4"/>
            <w:w w:val="110"/>
          </w:rPr>
          <w:tab/>
        </w:r>
        <w:r w:rsidR="003115E3">
          <w:rPr>
            <w:color w:val="231F20"/>
            <w:spacing w:val="-15"/>
            <w:w w:val="110"/>
            <w:sz w:val="22"/>
          </w:rPr>
          <w:t>355</w:t>
        </w:r>
      </w:hyperlink>
    </w:p>
    <w:p w14:paraId="603F9B0D" w14:textId="77777777" w:rsidR="002653E8" w:rsidRDefault="00000000">
      <w:pPr>
        <w:pStyle w:val="a3"/>
        <w:spacing w:before="401"/>
        <w:ind w:left="1887"/>
      </w:pPr>
      <w:hyperlink w:anchor="_bookmark51" w:history="1">
        <w:r w:rsidR="003115E3">
          <w:rPr>
            <w:color w:val="231F20"/>
            <w:w w:val="105"/>
          </w:rPr>
          <w:t>On the Liberation of Andreas Baader</w:t>
        </w:r>
      </w:hyperlink>
    </w:p>
    <w:p w14:paraId="032C25C2" w14:textId="77777777" w:rsidR="002653E8" w:rsidRDefault="00000000">
      <w:pPr>
        <w:pStyle w:val="a3"/>
        <w:tabs>
          <w:tab w:val="left" w:pos="6977"/>
        </w:tabs>
        <w:spacing w:before="66"/>
        <w:ind w:left="1887"/>
        <w:rPr>
          <w:sz w:val="22"/>
        </w:rPr>
      </w:pPr>
      <w:hyperlink w:anchor="_bookmark51" w:history="1">
        <w:r w:rsidR="003115E3">
          <w:rPr>
            <w:color w:val="231F20"/>
            <w:w w:val="105"/>
          </w:rPr>
          <w:t>(Ulrike Meinhof, September</w:t>
        </w:r>
        <w:r w:rsidR="003115E3">
          <w:rPr>
            <w:color w:val="231F20"/>
            <w:spacing w:val="28"/>
            <w:w w:val="105"/>
          </w:rPr>
          <w:t xml:space="preserve"> </w:t>
        </w:r>
        <w:r w:rsidR="003115E3">
          <w:rPr>
            <w:color w:val="231F20"/>
            <w:spacing w:val="-6"/>
            <w:w w:val="105"/>
          </w:rPr>
          <w:t>13,</w:t>
        </w:r>
        <w:r w:rsidR="003115E3">
          <w:rPr>
            <w:color w:val="231F20"/>
            <w:spacing w:val="8"/>
            <w:w w:val="105"/>
          </w:rPr>
          <w:t xml:space="preserve"> </w:t>
        </w:r>
        <w:r w:rsidR="003115E3">
          <w:rPr>
            <w:color w:val="231F20"/>
            <w:spacing w:val="-8"/>
            <w:w w:val="105"/>
          </w:rPr>
          <w:t>1974)</w:t>
        </w:r>
        <w:r w:rsidR="003115E3">
          <w:rPr>
            <w:color w:val="231F20"/>
            <w:spacing w:val="-8"/>
            <w:w w:val="105"/>
          </w:rPr>
          <w:tab/>
        </w:r>
        <w:r w:rsidR="003115E3">
          <w:rPr>
            <w:color w:val="231F20"/>
            <w:spacing w:val="-11"/>
            <w:w w:val="105"/>
            <w:sz w:val="22"/>
          </w:rPr>
          <w:t>359</w:t>
        </w:r>
      </w:hyperlink>
    </w:p>
    <w:p w14:paraId="4FB12365" w14:textId="77777777" w:rsidR="002653E8" w:rsidRDefault="00000000">
      <w:pPr>
        <w:pStyle w:val="a3"/>
        <w:spacing w:before="402"/>
        <w:ind w:left="1887"/>
      </w:pPr>
      <w:hyperlink w:anchor="_bookmark52" w:history="1">
        <w:r w:rsidR="003115E3">
          <w:rPr>
            <w:color w:val="231F20"/>
            <w:w w:val="105"/>
          </w:rPr>
          <w:t>The Bombing of the Bremen Train Station</w:t>
        </w:r>
      </w:hyperlink>
    </w:p>
    <w:p w14:paraId="59A7C211" w14:textId="77777777" w:rsidR="002653E8" w:rsidRDefault="00000000">
      <w:pPr>
        <w:pStyle w:val="a3"/>
        <w:tabs>
          <w:tab w:val="left" w:pos="6958"/>
        </w:tabs>
        <w:spacing w:before="66"/>
        <w:ind w:left="1887"/>
        <w:rPr>
          <w:sz w:val="22"/>
        </w:rPr>
      </w:pPr>
      <w:hyperlink w:anchor="_bookmark52" w:history="1">
        <w:r w:rsidR="003115E3">
          <w:rPr>
            <w:color w:val="231F20"/>
            <w:w w:val="105"/>
          </w:rPr>
          <w:t>(December</w:t>
        </w:r>
        <w:r w:rsidR="003115E3">
          <w:rPr>
            <w:color w:val="231F20"/>
            <w:spacing w:val="1"/>
            <w:w w:val="105"/>
          </w:rPr>
          <w:t xml:space="preserve"> </w:t>
        </w:r>
        <w:r w:rsidR="003115E3">
          <w:rPr>
            <w:color w:val="231F20"/>
            <w:w w:val="105"/>
          </w:rPr>
          <w:t>9,</w:t>
        </w:r>
        <w:r w:rsidR="003115E3">
          <w:rPr>
            <w:color w:val="231F20"/>
            <w:spacing w:val="1"/>
            <w:w w:val="105"/>
          </w:rPr>
          <w:t xml:space="preserve"> </w:t>
        </w:r>
        <w:r w:rsidR="003115E3">
          <w:rPr>
            <w:color w:val="231F20"/>
            <w:spacing w:val="-8"/>
            <w:w w:val="105"/>
          </w:rPr>
          <w:t>1974)</w:t>
        </w:r>
        <w:r w:rsidR="003115E3">
          <w:rPr>
            <w:color w:val="231F20"/>
            <w:spacing w:val="-8"/>
            <w:w w:val="105"/>
          </w:rPr>
          <w:tab/>
        </w:r>
        <w:r w:rsidR="003115E3">
          <w:rPr>
            <w:color w:val="231F20"/>
            <w:spacing w:val="-5"/>
            <w:w w:val="105"/>
            <w:sz w:val="22"/>
          </w:rPr>
          <w:t>371</w:t>
        </w:r>
      </w:hyperlink>
    </w:p>
    <w:p w14:paraId="13CCF7FF" w14:textId="77777777" w:rsidR="002653E8" w:rsidRDefault="00000000">
      <w:pPr>
        <w:pStyle w:val="a3"/>
        <w:tabs>
          <w:tab w:val="left" w:pos="6961"/>
        </w:tabs>
        <w:spacing w:before="401" w:line="307" w:lineRule="auto"/>
        <w:ind w:left="1887" w:right="1325"/>
        <w:rPr>
          <w:sz w:val="22"/>
        </w:rPr>
      </w:pPr>
      <w:hyperlink w:anchor="_bookmark53" w:history="1">
        <w:r w:rsidR="003115E3">
          <w:rPr>
            <w:color w:val="231F20"/>
            <w:w w:val="105"/>
          </w:rPr>
          <w:t>The Nature of the Stammheim Trial: The Prisoners Testify (August</w:t>
        </w:r>
        <w:r w:rsidR="003115E3">
          <w:rPr>
            <w:color w:val="231F20"/>
            <w:spacing w:val="6"/>
            <w:w w:val="105"/>
          </w:rPr>
          <w:t xml:space="preserve"> </w:t>
        </w:r>
        <w:r w:rsidR="003115E3">
          <w:rPr>
            <w:color w:val="231F20"/>
            <w:spacing w:val="-5"/>
            <w:w w:val="105"/>
          </w:rPr>
          <w:t>19,</w:t>
        </w:r>
        <w:r w:rsidR="003115E3">
          <w:rPr>
            <w:color w:val="231F20"/>
            <w:spacing w:val="6"/>
            <w:w w:val="105"/>
          </w:rPr>
          <w:t xml:space="preserve"> </w:t>
        </w:r>
        <w:r w:rsidR="003115E3">
          <w:rPr>
            <w:color w:val="231F20"/>
            <w:spacing w:val="-8"/>
            <w:w w:val="105"/>
          </w:rPr>
          <w:t>1975)</w:t>
        </w:r>
        <w:r w:rsidR="003115E3">
          <w:rPr>
            <w:color w:val="231F20"/>
            <w:spacing w:val="-8"/>
            <w:w w:val="105"/>
          </w:rPr>
          <w:tab/>
        </w:r>
        <w:r w:rsidR="003115E3">
          <w:rPr>
            <w:color w:val="231F20"/>
            <w:spacing w:val="-6"/>
            <w:sz w:val="22"/>
          </w:rPr>
          <w:t>372</w:t>
        </w:r>
      </w:hyperlink>
    </w:p>
    <w:p w14:paraId="3952A1BE" w14:textId="77777777" w:rsidR="002653E8" w:rsidRDefault="00000000">
      <w:pPr>
        <w:pStyle w:val="a3"/>
        <w:spacing w:before="330"/>
        <w:ind w:left="1887"/>
      </w:pPr>
      <w:hyperlink w:anchor="_bookmark54" w:history="1">
        <w:r w:rsidR="003115E3">
          <w:rPr>
            <w:color w:val="231F20"/>
            <w:w w:val="105"/>
          </w:rPr>
          <w:t>No Bomb in Munich Central Station</w:t>
        </w:r>
      </w:hyperlink>
    </w:p>
    <w:p w14:paraId="3213C107" w14:textId="77777777" w:rsidR="002653E8" w:rsidRDefault="00000000">
      <w:pPr>
        <w:pStyle w:val="a3"/>
        <w:tabs>
          <w:tab w:val="left" w:pos="6963"/>
        </w:tabs>
        <w:spacing w:before="66"/>
        <w:ind w:left="1887"/>
        <w:rPr>
          <w:sz w:val="22"/>
        </w:rPr>
      </w:pPr>
      <w:hyperlink w:anchor="_bookmark54" w:history="1">
        <w:r w:rsidR="003115E3">
          <w:rPr>
            <w:color w:val="231F20"/>
            <w:w w:val="105"/>
          </w:rPr>
          <w:t>(September</w:t>
        </w:r>
        <w:r w:rsidR="003115E3">
          <w:rPr>
            <w:color w:val="231F20"/>
            <w:spacing w:val="-5"/>
            <w:w w:val="105"/>
          </w:rPr>
          <w:t xml:space="preserve"> </w:t>
        </w:r>
        <w:r w:rsidR="003115E3">
          <w:rPr>
            <w:color w:val="231F20"/>
            <w:w w:val="105"/>
          </w:rPr>
          <w:t>14,</w:t>
        </w:r>
        <w:r w:rsidR="003115E3">
          <w:rPr>
            <w:color w:val="231F20"/>
            <w:spacing w:val="-5"/>
            <w:w w:val="105"/>
          </w:rPr>
          <w:t xml:space="preserve"> </w:t>
        </w:r>
        <w:r w:rsidR="003115E3">
          <w:rPr>
            <w:color w:val="231F20"/>
            <w:spacing w:val="-8"/>
            <w:w w:val="105"/>
          </w:rPr>
          <w:t>1975)</w:t>
        </w:r>
        <w:r w:rsidR="003115E3">
          <w:rPr>
            <w:color w:val="231F20"/>
            <w:spacing w:val="-8"/>
            <w:w w:val="105"/>
          </w:rPr>
          <w:tab/>
        </w:r>
        <w:r w:rsidR="003115E3">
          <w:rPr>
            <w:color w:val="231F20"/>
            <w:spacing w:val="-7"/>
            <w:w w:val="105"/>
            <w:sz w:val="22"/>
          </w:rPr>
          <w:t>376</w:t>
        </w:r>
      </w:hyperlink>
    </w:p>
    <w:p w14:paraId="3AE0FC90" w14:textId="77777777" w:rsidR="002653E8" w:rsidRDefault="00000000">
      <w:pPr>
        <w:pStyle w:val="a3"/>
        <w:spacing w:before="402"/>
        <w:ind w:left="1887"/>
      </w:pPr>
      <w:hyperlink w:anchor="_bookmark55" w:history="1">
        <w:r w:rsidR="003115E3">
          <w:rPr>
            <w:color w:val="231F20"/>
            <w:w w:val="105"/>
          </w:rPr>
          <w:t>The Bombing of the Hamburg Train Station</w:t>
        </w:r>
      </w:hyperlink>
    </w:p>
    <w:p w14:paraId="6446040A" w14:textId="77777777" w:rsidR="002653E8" w:rsidRDefault="00000000">
      <w:pPr>
        <w:pStyle w:val="a3"/>
        <w:tabs>
          <w:tab w:val="left" w:pos="6959"/>
        </w:tabs>
        <w:spacing w:before="66"/>
        <w:ind w:left="1887"/>
        <w:rPr>
          <w:sz w:val="22"/>
        </w:rPr>
      </w:pPr>
      <w:hyperlink w:anchor="_bookmark55" w:history="1">
        <w:r w:rsidR="003115E3">
          <w:rPr>
            <w:color w:val="231F20"/>
          </w:rPr>
          <w:t>(September</w:t>
        </w:r>
        <w:r w:rsidR="003115E3">
          <w:rPr>
            <w:color w:val="231F20"/>
            <w:spacing w:val="17"/>
          </w:rPr>
          <w:t xml:space="preserve"> </w:t>
        </w:r>
        <w:r w:rsidR="003115E3">
          <w:rPr>
            <w:color w:val="231F20"/>
            <w:spacing w:val="-4"/>
          </w:rPr>
          <w:t>23,</w:t>
        </w:r>
        <w:r w:rsidR="003115E3">
          <w:rPr>
            <w:color w:val="231F20"/>
            <w:spacing w:val="17"/>
          </w:rPr>
          <w:t xml:space="preserve"> </w:t>
        </w:r>
        <w:r w:rsidR="003115E3">
          <w:rPr>
            <w:color w:val="231F20"/>
            <w:spacing w:val="-8"/>
          </w:rPr>
          <w:t>1975)</w:t>
        </w:r>
        <w:r w:rsidR="003115E3">
          <w:rPr>
            <w:color w:val="231F20"/>
            <w:spacing w:val="-8"/>
          </w:rPr>
          <w:tab/>
        </w:r>
        <w:r w:rsidR="003115E3">
          <w:rPr>
            <w:color w:val="231F20"/>
            <w:spacing w:val="-5"/>
            <w:sz w:val="22"/>
          </w:rPr>
          <w:t>378</w:t>
        </w:r>
      </w:hyperlink>
    </w:p>
    <w:p w14:paraId="6D15EAC4" w14:textId="77777777" w:rsidR="002653E8" w:rsidRDefault="002653E8">
      <w:pPr>
        <w:sectPr w:rsidR="002653E8">
          <w:pgSz w:w="8640" w:h="12960"/>
          <w:pgMar w:top="1220" w:right="0" w:bottom="280" w:left="0" w:header="720" w:footer="720" w:gutter="0"/>
          <w:cols w:space="720"/>
        </w:sectPr>
      </w:pPr>
    </w:p>
    <w:p w14:paraId="7CDC5A0F" w14:textId="77777777" w:rsidR="002653E8" w:rsidRDefault="00000000">
      <w:pPr>
        <w:pStyle w:val="a3"/>
        <w:spacing w:before="90"/>
        <w:ind w:left="2067"/>
      </w:pPr>
      <w:hyperlink w:anchor="_bookmark56" w:history="1">
        <w:r w:rsidR="003115E3">
          <w:rPr>
            <w:color w:val="231F20"/>
            <w:w w:val="105"/>
          </w:rPr>
          <w:t>The Bombing of the Cologne Train Station</w:t>
        </w:r>
      </w:hyperlink>
    </w:p>
    <w:p w14:paraId="2C77F134" w14:textId="77777777" w:rsidR="002653E8" w:rsidRDefault="00000000">
      <w:pPr>
        <w:tabs>
          <w:tab w:val="right" w:pos="7491"/>
        </w:tabs>
        <w:spacing w:before="66"/>
        <w:ind w:left="2067"/>
      </w:pPr>
      <w:hyperlink w:anchor="_bookmark56" w:history="1">
        <w:r w:rsidR="003115E3">
          <w:rPr>
            <w:color w:val="231F20"/>
            <w:sz w:val="20"/>
          </w:rPr>
          <w:t>(November</w:t>
        </w:r>
        <w:r w:rsidR="003115E3">
          <w:rPr>
            <w:color w:val="231F20"/>
            <w:spacing w:val="8"/>
            <w:sz w:val="20"/>
          </w:rPr>
          <w:t xml:space="preserve"> </w:t>
        </w:r>
        <w:r w:rsidR="003115E3">
          <w:rPr>
            <w:color w:val="231F20"/>
            <w:spacing w:val="-9"/>
          </w:rPr>
          <w:t>1975</w:t>
        </w:r>
        <w:r w:rsidR="003115E3">
          <w:rPr>
            <w:color w:val="231F20"/>
            <w:spacing w:val="-9"/>
            <w:sz w:val="20"/>
          </w:rPr>
          <w:t>)</w:t>
        </w:r>
        <w:r w:rsidR="003115E3">
          <w:rPr>
            <w:color w:val="231F20"/>
            <w:spacing w:val="-9"/>
            <w:sz w:val="20"/>
          </w:rPr>
          <w:tab/>
        </w:r>
        <w:r w:rsidR="003115E3">
          <w:rPr>
            <w:color w:val="231F20"/>
            <w:spacing w:val="-5"/>
          </w:rPr>
          <w:t>380</w:t>
        </w:r>
      </w:hyperlink>
    </w:p>
    <w:p w14:paraId="106D2632" w14:textId="77777777" w:rsidR="002653E8" w:rsidRDefault="00000000">
      <w:pPr>
        <w:pStyle w:val="8"/>
        <w:tabs>
          <w:tab w:val="right" w:pos="6344"/>
        </w:tabs>
        <w:spacing w:before="504"/>
        <w:ind w:left="760"/>
        <w:jc w:val="center"/>
        <w:rPr>
          <w:sz w:val="22"/>
        </w:rPr>
      </w:pPr>
      <w:r>
        <w:rPr>
          <w:noProof w:val="0"/>
        </w:rPr>
        <w:pict w14:anchorId="341A7B55">
          <v:shape id="_x0000_s2730" type="#_x0000_t202" style="position:absolute;left:0;text-align:left;margin-left:66.4pt;margin-top:24.9pt;width:25.5pt;height:28.15pt;z-index:1264;mso-position-horizontal-relative:page" filled="f" stroked="f">
            <v:textbox style="mso-next-textbox:#_x0000_s2730" inset="0,0,0,0">
              <w:txbxContent>
                <w:p w14:paraId="6FA30163" w14:textId="77777777" w:rsidR="001008C3" w:rsidRDefault="001008C3">
                  <w:pPr>
                    <w:spacing w:line="560" w:lineRule="exact"/>
                    <w:rPr>
                      <w:sz w:val="48"/>
                    </w:rPr>
                  </w:pPr>
                  <w:r>
                    <w:rPr>
                      <w:color w:val="757679"/>
                      <w:spacing w:val="-13"/>
                      <w:sz w:val="48"/>
                    </w:rPr>
                    <w:t>10</w:t>
                  </w:r>
                </w:p>
              </w:txbxContent>
            </v:textbox>
            <w10:wrap anchorx="page"/>
          </v:shape>
        </w:pict>
      </w:r>
      <w:hyperlink w:anchor="_bookmark57" w:history="1">
        <w:r w:rsidR="003115E3">
          <w:rPr>
            <w:color w:val="231F20"/>
            <w:spacing w:val="2"/>
            <w:w w:val="120"/>
          </w:rPr>
          <w:t xml:space="preserve">the </w:t>
        </w:r>
        <w:r w:rsidR="003115E3">
          <w:rPr>
            <w:color w:val="231F20"/>
            <w:w w:val="120"/>
          </w:rPr>
          <w:t xml:space="preserve">murder </w:t>
        </w:r>
        <w:r w:rsidR="003115E3">
          <w:rPr>
            <w:color w:val="231F20"/>
            <w:spacing w:val="-4"/>
            <w:w w:val="120"/>
          </w:rPr>
          <w:t>of</w:t>
        </w:r>
        <w:r w:rsidR="003115E3">
          <w:rPr>
            <w:color w:val="231F20"/>
            <w:spacing w:val="-6"/>
            <w:w w:val="120"/>
          </w:rPr>
          <w:t xml:space="preserve"> </w:t>
        </w:r>
        <w:r w:rsidR="003115E3">
          <w:rPr>
            <w:color w:val="231F20"/>
            <w:spacing w:val="1"/>
            <w:w w:val="120"/>
          </w:rPr>
          <w:t>ulrike</w:t>
        </w:r>
        <w:r w:rsidR="003115E3">
          <w:rPr>
            <w:color w:val="231F20"/>
            <w:spacing w:val="-1"/>
            <w:w w:val="120"/>
          </w:rPr>
          <w:t xml:space="preserve"> </w:t>
        </w:r>
        <w:r w:rsidR="003115E3">
          <w:rPr>
            <w:color w:val="231F20"/>
            <w:w w:val="120"/>
          </w:rPr>
          <w:t>meinhof</w:t>
        </w:r>
        <w:r w:rsidR="003115E3">
          <w:rPr>
            <w:color w:val="231F20"/>
            <w:w w:val="120"/>
          </w:rPr>
          <w:tab/>
        </w:r>
        <w:r w:rsidR="003115E3">
          <w:rPr>
            <w:color w:val="231F20"/>
            <w:spacing w:val="-8"/>
            <w:w w:val="120"/>
            <w:sz w:val="22"/>
          </w:rPr>
          <w:t>381</w:t>
        </w:r>
      </w:hyperlink>
    </w:p>
    <w:p w14:paraId="465EF886" w14:textId="77777777" w:rsidR="002653E8" w:rsidRDefault="00000000">
      <w:pPr>
        <w:tabs>
          <w:tab w:val="right" w:pos="7491"/>
        </w:tabs>
        <w:spacing w:before="54"/>
        <w:ind w:left="2359"/>
      </w:pPr>
      <w:hyperlink w:anchor="_bookmark58" w:history="1">
        <w:r w:rsidR="003115E3">
          <w:rPr>
            <w:i/>
            <w:color w:val="231F20"/>
            <w:w w:val="105"/>
          </w:rPr>
          <w:t>ulrike’s</w:t>
        </w:r>
        <w:r w:rsidR="003115E3">
          <w:rPr>
            <w:i/>
            <w:color w:val="231F20"/>
            <w:spacing w:val="7"/>
            <w:w w:val="105"/>
          </w:rPr>
          <w:t xml:space="preserve"> </w:t>
        </w:r>
        <w:r w:rsidR="003115E3">
          <w:rPr>
            <w:i/>
            <w:color w:val="231F20"/>
            <w:w w:val="105"/>
          </w:rPr>
          <w:t>brain</w:t>
        </w:r>
        <w:r w:rsidR="003115E3">
          <w:rPr>
            <w:i/>
            <w:color w:val="231F20"/>
            <w:w w:val="105"/>
          </w:rPr>
          <w:tab/>
        </w:r>
        <w:r w:rsidR="003115E3">
          <w:rPr>
            <w:color w:val="231F20"/>
            <w:spacing w:val="-8"/>
            <w:w w:val="105"/>
          </w:rPr>
          <w:t>385</w:t>
        </w:r>
      </w:hyperlink>
    </w:p>
    <w:p w14:paraId="4470F489" w14:textId="77777777" w:rsidR="002653E8" w:rsidRDefault="00000000">
      <w:pPr>
        <w:tabs>
          <w:tab w:val="right" w:pos="7491"/>
        </w:tabs>
        <w:spacing w:before="62"/>
        <w:ind w:left="2359"/>
      </w:pPr>
      <w:hyperlink w:anchor="_bookmark59" w:history="1">
        <w:r w:rsidR="003115E3">
          <w:rPr>
            <w:i/>
            <w:color w:val="231F20"/>
          </w:rPr>
          <w:t>meinhof:  the</w:t>
        </w:r>
        <w:r w:rsidR="003115E3">
          <w:rPr>
            <w:i/>
            <w:color w:val="231F20"/>
            <w:spacing w:val="-17"/>
          </w:rPr>
          <w:t xml:space="preserve"> </w:t>
        </w:r>
        <w:r w:rsidR="003115E3">
          <w:rPr>
            <w:i/>
            <w:color w:val="231F20"/>
          </w:rPr>
          <w:t>suicide-murder</w:t>
        </w:r>
        <w:r w:rsidR="003115E3">
          <w:rPr>
            <w:i/>
            <w:color w:val="231F20"/>
            <w:spacing w:val="15"/>
          </w:rPr>
          <w:t xml:space="preserve"> </w:t>
        </w:r>
        <w:r w:rsidR="003115E3">
          <w:rPr>
            <w:i/>
            <w:color w:val="231F20"/>
          </w:rPr>
          <w:t>debate</w:t>
        </w:r>
        <w:r w:rsidR="003115E3">
          <w:rPr>
            <w:i/>
            <w:color w:val="231F20"/>
          </w:rPr>
          <w:tab/>
        </w:r>
        <w:r w:rsidR="003115E3">
          <w:rPr>
            <w:color w:val="231F20"/>
            <w:spacing w:val="-7"/>
          </w:rPr>
          <w:t>393</w:t>
        </w:r>
      </w:hyperlink>
    </w:p>
    <w:p w14:paraId="3C620D07" w14:textId="77777777" w:rsidR="002653E8" w:rsidRDefault="00000000">
      <w:pPr>
        <w:pStyle w:val="a3"/>
        <w:spacing w:before="241"/>
        <w:ind w:left="2067"/>
      </w:pPr>
      <w:hyperlink w:anchor="_bookmark60" w:history="1">
        <w:r w:rsidR="003115E3">
          <w:rPr>
            <w:color w:val="231F20"/>
            <w:w w:val="105"/>
          </w:rPr>
          <w:t>Jan-Carl Raspe: On the Murder of Ulrike Meinhof</w:t>
        </w:r>
      </w:hyperlink>
    </w:p>
    <w:p w14:paraId="189A968B" w14:textId="77777777" w:rsidR="002653E8" w:rsidRDefault="00000000">
      <w:pPr>
        <w:pStyle w:val="a3"/>
        <w:tabs>
          <w:tab w:val="right" w:pos="7491"/>
        </w:tabs>
        <w:spacing w:before="66"/>
        <w:ind w:left="2067"/>
        <w:rPr>
          <w:sz w:val="22"/>
        </w:rPr>
      </w:pPr>
      <w:hyperlink w:anchor="_bookmark60" w:history="1">
        <w:r w:rsidR="003115E3">
          <w:rPr>
            <w:color w:val="231F20"/>
            <w:w w:val="105"/>
          </w:rPr>
          <w:t>(May</w:t>
        </w:r>
        <w:r w:rsidR="003115E3">
          <w:rPr>
            <w:color w:val="231F20"/>
            <w:spacing w:val="10"/>
            <w:w w:val="105"/>
          </w:rPr>
          <w:t xml:space="preserve"> </w:t>
        </w:r>
        <w:r w:rsidR="003115E3">
          <w:rPr>
            <w:color w:val="231F20"/>
            <w:spacing w:val="-5"/>
            <w:w w:val="105"/>
          </w:rPr>
          <w:t>11,</w:t>
        </w:r>
        <w:r w:rsidR="003115E3">
          <w:rPr>
            <w:color w:val="231F20"/>
            <w:spacing w:val="10"/>
            <w:w w:val="105"/>
          </w:rPr>
          <w:t xml:space="preserve"> </w:t>
        </w:r>
        <w:r w:rsidR="003115E3">
          <w:rPr>
            <w:color w:val="231F20"/>
            <w:spacing w:val="-4"/>
            <w:w w:val="105"/>
          </w:rPr>
          <w:t>1976)</w:t>
        </w:r>
        <w:r w:rsidR="003115E3">
          <w:rPr>
            <w:color w:val="231F20"/>
            <w:spacing w:val="-4"/>
            <w:w w:val="105"/>
          </w:rPr>
          <w:tab/>
        </w:r>
        <w:r w:rsidR="003115E3">
          <w:rPr>
            <w:color w:val="231F20"/>
            <w:spacing w:val="-8"/>
            <w:w w:val="105"/>
            <w:sz w:val="22"/>
          </w:rPr>
          <w:t>395</w:t>
        </w:r>
      </w:hyperlink>
    </w:p>
    <w:p w14:paraId="7D8E1388" w14:textId="77777777" w:rsidR="002653E8" w:rsidRDefault="00000000">
      <w:pPr>
        <w:pStyle w:val="a3"/>
        <w:spacing w:before="401"/>
        <w:ind w:left="2067"/>
      </w:pPr>
      <w:hyperlink w:anchor="_bookmark61" w:history="1">
        <w:r w:rsidR="003115E3">
          <w:rPr>
            <w:color w:val="231F20"/>
          </w:rPr>
          <w:t>Fragment Regarding Structure</w:t>
        </w:r>
      </w:hyperlink>
    </w:p>
    <w:p w14:paraId="4E903BB8" w14:textId="77777777" w:rsidR="002653E8" w:rsidRDefault="00000000">
      <w:pPr>
        <w:pStyle w:val="a3"/>
        <w:tabs>
          <w:tab w:val="right" w:pos="7491"/>
        </w:tabs>
        <w:spacing w:before="67"/>
        <w:ind w:left="2067"/>
        <w:rPr>
          <w:sz w:val="22"/>
        </w:rPr>
      </w:pPr>
      <w:hyperlink w:anchor="_bookmark61" w:history="1">
        <w:r w:rsidR="003115E3">
          <w:rPr>
            <w:color w:val="231F20"/>
            <w:w w:val="105"/>
          </w:rPr>
          <w:t>(Ulrike</w:t>
        </w:r>
        <w:r w:rsidR="003115E3">
          <w:rPr>
            <w:color w:val="231F20"/>
            <w:spacing w:val="10"/>
            <w:w w:val="105"/>
          </w:rPr>
          <w:t xml:space="preserve"> </w:t>
        </w:r>
        <w:r w:rsidR="003115E3">
          <w:rPr>
            <w:color w:val="231F20"/>
            <w:w w:val="105"/>
          </w:rPr>
          <w:t>Meinhof,</w:t>
        </w:r>
        <w:r w:rsidR="003115E3">
          <w:rPr>
            <w:color w:val="231F20"/>
            <w:spacing w:val="10"/>
            <w:w w:val="105"/>
          </w:rPr>
          <w:t xml:space="preserve"> </w:t>
        </w:r>
        <w:r w:rsidR="003115E3">
          <w:rPr>
            <w:color w:val="231F20"/>
            <w:spacing w:val="-4"/>
            <w:w w:val="105"/>
          </w:rPr>
          <w:t>1976)</w:t>
        </w:r>
        <w:r w:rsidR="003115E3">
          <w:rPr>
            <w:color w:val="231F20"/>
            <w:spacing w:val="-4"/>
            <w:w w:val="105"/>
          </w:rPr>
          <w:tab/>
        </w:r>
        <w:r w:rsidR="003115E3">
          <w:rPr>
            <w:color w:val="231F20"/>
            <w:spacing w:val="-5"/>
            <w:w w:val="105"/>
            <w:sz w:val="22"/>
          </w:rPr>
          <w:t>397</w:t>
        </w:r>
      </w:hyperlink>
    </w:p>
    <w:p w14:paraId="0E4FF0AB" w14:textId="77777777" w:rsidR="002653E8" w:rsidRDefault="00000000">
      <w:pPr>
        <w:pStyle w:val="a3"/>
        <w:spacing w:before="401"/>
        <w:ind w:left="2067"/>
      </w:pPr>
      <w:hyperlink w:anchor="_bookmark62" w:history="1">
        <w:r w:rsidR="003115E3">
          <w:rPr>
            <w:color w:val="231F20"/>
            <w:w w:val="105"/>
          </w:rPr>
          <w:t>Two Letters to Hanna Krabbe</w:t>
        </w:r>
      </w:hyperlink>
    </w:p>
    <w:p w14:paraId="2BD07609" w14:textId="77777777" w:rsidR="002653E8" w:rsidRDefault="00000000">
      <w:pPr>
        <w:pStyle w:val="a3"/>
        <w:tabs>
          <w:tab w:val="right" w:pos="7492"/>
        </w:tabs>
        <w:spacing w:before="66"/>
        <w:ind w:left="2067"/>
        <w:rPr>
          <w:sz w:val="22"/>
        </w:rPr>
      </w:pPr>
      <w:hyperlink w:anchor="_bookmark62" w:history="1">
        <w:r w:rsidR="003115E3">
          <w:rPr>
            <w:color w:val="231F20"/>
            <w:w w:val="115"/>
          </w:rPr>
          <w:t xml:space="preserve">(Ulrike Meinhof, March </w:t>
        </w:r>
        <w:r w:rsidR="003115E3">
          <w:rPr>
            <w:color w:val="231F20"/>
            <w:spacing w:val="-5"/>
            <w:w w:val="115"/>
          </w:rPr>
          <w:t xml:space="preserve">19 </w:t>
        </w:r>
        <w:r w:rsidR="003115E3">
          <w:rPr>
            <w:color w:val="231F20"/>
            <w:w w:val="115"/>
          </w:rPr>
          <w:t>&amp;</w:t>
        </w:r>
        <w:r w:rsidR="003115E3">
          <w:rPr>
            <w:color w:val="231F20"/>
            <w:spacing w:val="-2"/>
            <w:w w:val="115"/>
          </w:rPr>
          <w:t xml:space="preserve"> </w:t>
        </w:r>
        <w:r w:rsidR="003115E3">
          <w:rPr>
            <w:color w:val="231F20"/>
            <w:spacing w:val="-4"/>
            <w:w w:val="115"/>
          </w:rPr>
          <w:t>23,</w:t>
        </w:r>
        <w:r w:rsidR="003115E3">
          <w:rPr>
            <w:color w:val="231F20"/>
            <w:spacing w:val="-2"/>
            <w:w w:val="115"/>
          </w:rPr>
          <w:t xml:space="preserve"> </w:t>
        </w:r>
        <w:r w:rsidR="003115E3">
          <w:rPr>
            <w:color w:val="231F20"/>
            <w:spacing w:val="-4"/>
            <w:w w:val="115"/>
          </w:rPr>
          <w:t>1976)</w:t>
        </w:r>
        <w:r w:rsidR="003115E3">
          <w:rPr>
            <w:color w:val="231F20"/>
            <w:spacing w:val="-4"/>
            <w:w w:val="115"/>
          </w:rPr>
          <w:tab/>
        </w:r>
        <w:r w:rsidR="003115E3">
          <w:rPr>
            <w:color w:val="231F20"/>
            <w:w w:val="115"/>
            <w:sz w:val="22"/>
          </w:rPr>
          <w:t>400</w:t>
        </w:r>
      </w:hyperlink>
    </w:p>
    <w:p w14:paraId="774D0DA9" w14:textId="77777777" w:rsidR="002653E8" w:rsidRDefault="00000000">
      <w:pPr>
        <w:pStyle w:val="a3"/>
        <w:spacing w:before="401"/>
        <w:ind w:left="2067"/>
      </w:pPr>
      <w:hyperlink w:anchor="_bookmark63" w:history="1">
        <w:r w:rsidR="003115E3">
          <w:rPr>
            <w:color w:val="231F20"/>
          </w:rPr>
          <w:t>Letter to the Hamburg Prisoners</w:t>
        </w:r>
      </w:hyperlink>
    </w:p>
    <w:p w14:paraId="6211F6CA" w14:textId="77777777" w:rsidR="002653E8" w:rsidRDefault="00000000">
      <w:pPr>
        <w:pStyle w:val="a3"/>
        <w:tabs>
          <w:tab w:val="right" w:pos="7492"/>
        </w:tabs>
        <w:spacing w:before="67"/>
        <w:ind w:left="2067"/>
        <w:rPr>
          <w:sz w:val="22"/>
        </w:rPr>
      </w:pPr>
      <w:hyperlink w:anchor="_bookmark63" w:history="1">
        <w:r w:rsidR="003115E3">
          <w:rPr>
            <w:color w:val="231F20"/>
            <w:w w:val="105"/>
          </w:rPr>
          <w:t>(Ulrike Meinhof, April</w:t>
        </w:r>
        <w:r w:rsidR="003115E3">
          <w:rPr>
            <w:color w:val="231F20"/>
            <w:spacing w:val="33"/>
            <w:w w:val="105"/>
          </w:rPr>
          <w:t xml:space="preserve"> </w:t>
        </w:r>
        <w:r w:rsidR="003115E3">
          <w:rPr>
            <w:color w:val="231F20"/>
            <w:spacing w:val="-6"/>
            <w:w w:val="105"/>
          </w:rPr>
          <w:t>13,</w:t>
        </w:r>
        <w:r w:rsidR="003115E3">
          <w:rPr>
            <w:color w:val="231F20"/>
            <w:spacing w:val="10"/>
            <w:w w:val="105"/>
          </w:rPr>
          <w:t xml:space="preserve"> </w:t>
        </w:r>
        <w:r w:rsidR="003115E3">
          <w:rPr>
            <w:color w:val="231F20"/>
            <w:spacing w:val="-4"/>
            <w:w w:val="105"/>
          </w:rPr>
          <w:t>1976)</w:t>
        </w:r>
        <w:r w:rsidR="003115E3">
          <w:rPr>
            <w:color w:val="231F20"/>
            <w:spacing w:val="-4"/>
            <w:w w:val="105"/>
          </w:rPr>
          <w:tab/>
        </w:r>
        <w:r w:rsidR="003115E3">
          <w:rPr>
            <w:color w:val="231F20"/>
            <w:spacing w:val="-4"/>
            <w:w w:val="105"/>
            <w:sz w:val="22"/>
          </w:rPr>
          <w:t>405</w:t>
        </w:r>
      </w:hyperlink>
    </w:p>
    <w:p w14:paraId="6635A0E3" w14:textId="77777777" w:rsidR="002653E8" w:rsidRDefault="00000000">
      <w:pPr>
        <w:spacing w:before="401"/>
        <w:ind w:left="2067"/>
        <w:rPr>
          <w:i/>
          <w:sz w:val="20"/>
        </w:rPr>
      </w:pPr>
      <w:hyperlink w:anchor="_bookmark64" w:history="1">
        <w:r w:rsidR="003115E3">
          <w:rPr>
            <w:color w:val="231F20"/>
            <w:w w:val="110"/>
            <w:sz w:val="20"/>
          </w:rPr>
          <w:t xml:space="preserve">Interview with </w:t>
        </w:r>
        <w:r w:rsidR="003115E3">
          <w:rPr>
            <w:i/>
            <w:color w:val="231F20"/>
            <w:w w:val="110"/>
            <w:sz w:val="20"/>
          </w:rPr>
          <w:t>Le Monde Diplomatique</w:t>
        </w:r>
      </w:hyperlink>
    </w:p>
    <w:p w14:paraId="326A07D2" w14:textId="77777777" w:rsidR="002653E8" w:rsidRDefault="00000000">
      <w:pPr>
        <w:pStyle w:val="a3"/>
        <w:tabs>
          <w:tab w:val="right" w:pos="7492"/>
        </w:tabs>
        <w:spacing w:before="66"/>
        <w:ind w:left="2067"/>
        <w:rPr>
          <w:sz w:val="22"/>
        </w:rPr>
      </w:pPr>
      <w:hyperlink w:anchor="_bookmark64" w:history="1">
        <w:r w:rsidR="003115E3">
          <w:rPr>
            <w:color w:val="231F20"/>
            <w:w w:val="105"/>
          </w:rPr>
          <w:t>(June</w:t>
        </w:r>
        <w:r w:rsidR="003115E3">
          <w:rPr>
            <w:color w:val="231F20"/>
            <w:spacing w:val="10"/>
            <w:w w:val="105"/>
          </w:rPr>
          <w:t xml:space="preserve"> </w:t>
        </w:r>
        <w:r w:rsidR="003115E3">
          <w:rPr>
            <w:color w:val="231F20"/>
            <w:spacing w:val="-4"/>
            <w:w w:val="105"/>
          </w:rPr>
          <w:t>10,</w:t>
        </w:r>
        <w:r w:rsidR="003115E3">
          <w:rPr>
            <w:color w:val="231F20"/>
            <w:spacing w:val="10"/>
            <w:w w:val="105"/>
          </w:rPr>
          <w:t xml:space="preserve"> </w:t>
        </w:r>
        <w:r w:rsidR="003115E3">
          <w:rPr>
            <w:color w:val="231F20"/>
            <w:spacing w:val="-4"/>
            <w:w w:val="105"/>
          </w:rPr>
          <w:t>1976)</w:t>
        </w:r>
        <w:r w:rsidR="003115E3">
          <w:rPr>
            <w:color w:val="231F20"/>
            <w:spacing w:val="-4"/>
            <w:w w:val="105"/>
          </w:rPr>
          <w:tab/>
        </w:r>
        <w:r w:rsidR="003115E3">
          <w:rPr>
            <w:color w:val="231F20"/>
            <w:spacing w:val="-2"/>
            <w:w w:val="105"/>
            <w:sz w:val="22"/>
          </w:rPr>
          <w:t>408</w:t>
        </w:r>
      </w:hyperlink>
    </w:p>
    <w:p w14:paraId="28BAD796" w14:textId="77777777" w:rsidR="002653E8" w:rsidRDefault="00000000">
      <w:pPr>
        <w:pStyle w:val="8"/>
        <w:spacing w:before="665"/>
        <w:ind w:left="1907"/>
      </w:pPr>
      <w:r>
        <w:rPr>
          <w:noProof w:val="0"/>
        </w:rPr>
        <w:pict w14:anchorId="76FA3502">
          <v:shape id="_x0000_s2729" type="#_x0000_t202" style="position:absolute;left:0;text-align:left;margin-left:66.4pt;margin-top:32.95pt;width:25.15pt;height:28.15pt;z-index:1288;mso-position-horizontal-relative:page" filled="f" stroked="f">
            <v:textbox inset="0,0,0,0">
              <w:txbxContent>
                <w:p w14:paraId="53E647C8" w14:textId="77777777" w:rsidR="001008C3" w:rsidRDefault="00000000">
                  <w:pPr>
                    <w:spacing w:line="560" w:lineRule="exact"/>
                    <w:rPr>
                      <w:sz w:val="48"/>
                    </w:rPr>
                  </w:pPr>
                  <w:hyperlink w:anchor="_bookmark65" w:history="1">
                    <w:r w:rsidR="001008C3">
                      <w:rPr>
                        <w:color w:val="757679"/>
                        <w:spacing w:val="-16"/>
                        <w:sz w:val="48"/>
                      </w:rPr>
                      <w:t>11</w:t>
                    </w:r>
                  </w:hyperlink>
                </w:p>
              </w:txbxContent>
            </v:textbox>
            <w10:wrap anchorx="page"/>
          </v:shape>
        </w:pict>
      </w:r>
      <w:hyperlink w:anchor="_bookmark65" w:history="1">
        <w:r w:rsidR="003115E3">
          <w:rPr>
            <w:color w:val="231F20"/>
            <w:w w:val="125"/>
          </w:rPr>
          <w:t>meanwhile, elsewhere on the left…</w:t>
        </w:r>
      </w:hyperlink>
    </w:p>
    <w:p w14:paraId="22ED563B" w14:textId="77777777" w:rsidR="002653E8" w:rsidRDefault="00000000">
      <w:pPr>
        <w:pStyle w:val="8"/>
        <w:tabs>
          <w:tab w:val="left" w:pos="7152"/>
        </w:tabs>
        <w:spacing w:before="15"/>
        <w:ind w:left="1907"/>
        <w:rPr>
          <w:sz w:val="22"/>
        </w:rPr>
      </w:pPr>
      <w:hyperlink w:anchor="_bookmark65" w:history="1">
        <w:r w:rsidR="003115E3">
          <w:rPr>
            <w:color w:val="231F20"/>
            <w:w w:val="115"/>
          </w:rPr>
          <w:t>(an intermission</w:t>
        </w:r>
        <w:r w:rsidR="003115E3">
          <w:rPr>
            <w:color w:val="231F20"/>
            <w:spacing w:val="20"/>
            <w:w w:val="115"/>
          </w:rPr>
          <w:t xml:space="preserve"> </w:t>
        </w:r>
        <w:r w:rsidR="003115E3">
          <w:rPr>
            <w:color w:val="231F20"/>
            <w:spacing w:val="-4"/>
            <w:w w:val="115"/>
          </w:rPr>
          <w:t>of</w:t>
        </w:r>
        <w:r w:rsidR="003115E3">
          <w:rPr>
            <w:color w:val="231F20"/>
            <w:spacing w:val="10"/>
            <w:w w:val="115"/>
          </w:rPr>
          <w:t xml:space="preserve"> </w:t>
        </w:r>
        <w:r w:rsidR="003115E3">
          <w:rPr>
            <w:color w:val="231F20"/>
            <w:spacing w:val="-5"/>
            <w:w w:val="115"/>
          </w:rPr>
          <w:t>sorts)</w:t>
        </w:r>
        <w:r w:rsidR="003115E3">
          <w:rPr>
            <w:color w:val="231F20"/>
            <w:spacing w:val="-5"/>
            <w:w w:val="115"/>
          </w:rPr>
          <w:tab/>
        </w:r>
        <w:r w:rsidR="003115E3">
          <w:rPr>
            <w:color w:val="231F20"/>
            <w:spacing w:val="-10"/>
            <w:w w:val="115"/>
            <w:sz w:val="22"/>
          </w:rPr>
          <w:t>433</w:t>
        </w:r>
      </w:hyperlink>
    </w:p>
    <w:p w14:paraId="0611ECE1" w14:textId="77777777" w:rsidR="002653E8" w:rsidRDefault="003115E3">
      <w:pPr>
        <w:tabs>
          <w:tab w:val="left" w:pos="7151"/>
        </w:tabs>
        <w:spacing w:before="486" w:line="554" w:lineRule="exact"/>
        <w:ind w:left="1327"/>
      </w:pPr>
      <w:r>
        <w:rPr>
          <w:color w:val="757679"/>
          <w:spacing w:val="-4"/>
          <w:w w:val="115"/>
          <w:position w:val="-19"/>
          <w:sz w:val="48"/>
        </w:rPr>
        <w:t>12</w:t>
      </w:r>
      <w:r>
        <w:rPr>
          <w:color w:val="757679"/>
          <w:spacing w:val="-81"/>
          <w:w w:val="115"/>
          <w:position w:val="-19"/>
          <w:sz w:val="48"/>
        </w:rPr>
        <w:t xml:space="preserve"> </w:t>
      </w:r>
      <w:hyperlink w:anchor="_bookmark66" w:history="1">
        <w:r>
          <w:rPr>
            <w:color w:val="231F20"/>
            <w:w w:val="120"/>
            <w:sz w:val="26"/>
          </w:rPr>
          <w:t xml:space="preserve">&amp; back to </w:t>
        </w:r>
        <w:r>
          <w:rPr>
            <w:color w:val="231F20"/>
            <w:spacing w:val="2"/>
            <w:w w:val="120"/>
            <w:sz w:val="26"/>
          </w:rPr>
          <w:t>the</w:t>
        </w:r>
        <w:r>
          <w:rPr>
            <w:color w:val="231F20"/>
            <w:spacing w:val="-3"/>
            <w:w w:val="120"/>
            <w:sz w:val="26"/>
          </w:rPr>
          <w:t xml:space="preserve"> </w:t>
        </w:r>
        <w:r>
          <w:rPr>
            <w:color w:val="231F20"/>
            <w:w w:val="120"/>
            <w:sz w:val="26"/>
          </w:rPr>
          <w:t>raf…</w:t>
        </w:r>
        <w:r>
          <w:rPr>
            <w:color w:val="231F20"/>
            <w:w w:val="120"/>
            <w:sz w:val="26"/>
          </w:rPr>
          <w:tab/>
        </w:r>
        <w:r>
          <w:rPr>
            <w:color w:val="231F20"/>
            <w:spacing w:val="-9"/>
            <w:w w:val="115"/>
          </w:rPr>
          <w:t>453</w:t>
        </w:r>
      </w:hyperlink>
    </w:p>
    <w:p w14:paraId="78B9263D" w14:textId="77777777" w:rsidR="002653E8" w:rsidRDefault="00000000">
      <w:pPr>
        <w:pStyle w:val="a3"/>
        <w:spacing w:line="226" w:lineRule="exact"/>
        <w:ind w:left="2067"/>
      </w:pPr>
      <w:hyperlink w:anchor="_bookmark67" w:history="1">
        <w:r w:rsidR="003115E3">
          <w:rPr>
            <w:color w:val="231F20"/>
            <w:w w:val="110"/>
          </w:rPr>
          <w:t xml:space="preserve">RZ Letter to the </w:t>
        </w:r>
        <w:r w:rsidR="00C507A5">
          <w:rPr>
            <w:color w:val="231F20"/>
            <w:w w:val="110"/>
          </w:rPr>
          <w:t>red army faction</w:t>
        </w:r>
        <w:r w:rsidR="003115E3">
          <w:rPr>
            <w:color w:val="231F20"/>
            <w:w w:val="110"/>
          </w:rPr>
          <w:t xml:space="preserve"> Comrades</w:t>
        </w:r>
      </w:hyperlink>
    </w:p>
    <w:p w14:paraId="71FCDC55" w14:textId="77777777" w:rsidR="002653E8" w:rsidRDefault="00000000">
      <w:pPr>
        <w:pStyle w:val="a3"/>
        <w:tabs>
          <w:tab w:val="left" w:pos="7147"/>
        </w:tabs>
        <w:spacing w:before="66"/>
        <w:ind w:left="2067"/>
        <w:rPr>
          <w:sz w:val="22"/>
        </w:rPr>
      </w:pPr>
      <w:hyperlink w:anchor="_bookmark67" w:history="1">
        <w:r w:rsidR="003115E3">
          <w:rPr>
            <w:color w:val="231F20"/>
          </w:rPr>
          <w:t>(December</w:t>
        </w:r>
        <w:r w:rsidR="003115E3">
          <w:rPr>
            <w:color w:val="231F20"/>
            <w:spacing w:val="20"/>
          </w:rPr>
          <w:t xml:space="preserve"> </w:t>
        </w:r>
        <w:r w:rsidR="003115E3">
          <w:rPr>
            <w:color w:val="231F20"/>
            <w:spacing w:val="-4"/>
          </w:rPr>
          <w:t>1976)</w:t>
        </w:r>
        <w:r w:rsidR="003115E3">
          <w:rPr>
            <w:color w:val="231F20"/>
            <w:spacing w:val="-4"/>
          </w:rPr>
          <w:tab/>
        </w:r>
        <w:r w:rsidR="003115E3">
          <w:rPr>
            <w:color w:val="231F20"/>
            <w:spacing w:val="-8"/>
            <w:sz w:val="22"/>
          </w:rPr>
          <w:t>457</w:t>
        </w:r>
      </w:hyperlink>
    </w:p>
    <w:p w14:paraId="0C9D918F" w14:textId="77777777" w:rsidR="002653E8" w:rsidRDefault="002653E8">
      <w:pPr>
        <w:sectPr w:rsidR="002653E8">
          <w:pgSz w:w="8640" w:h="12960"/>
          <w:pgMar w:top="1120" w:right="0" w:bottom="280" w:left="0" w:header="720" w:footer="720" w:gutter="0"/>
          <w:cols w:space="720"/>
        </w:sectPr>
      </w:pPr>
    </w:p>
    <w:sdt>
      <w:sdtPr>
        <w:rPr>
          <w:b/>
          <w:bCs/>
          <w:i/>
          <w:sz w:val="22"/>
          <w:szCs w:val="22"/>
        </w:rPr>
        <w:id w:val="-870294412"/>
        <w:docPartObj>
          <w:docPartGallery w:val="Table of Contents"/>
          <w:docPartUnique/>
        </w:docPartObj>
      </w:sdtPr>
      <w:sdtContent>
        <w:p w14:paraId="13E5C4FD" w14:textId="77777777" w:rsidR="002653E8" w:rsidRDefault="00000000">
          <w:pPr>
            <w:pStyle w:val="TOC6"/>
            <w:tabs>
              <w:tab w:val="left" w:pos="6952"/>
            </w:tabs>
            <w:spacing w:before="90" w:line="307" w:lineRule="auto"/>
            <w:ind w:right="1325"/>
            <w:rPr>
              <w:sz w:val="22"/>
            </w:rPr>
          </w:pPr>
          <w:hyperlink w:anchor="_bookmark68" w:history="1">
            <w:r w:rsidR="003115E3">
              <w:rPr>
                <w:color w:val="231F20"/>
                <w:w w:val="105"/>
              </w:rPr>
              <w:t xml:space="preserve">Monika Berberich Responds to the Alleged </w:t>
            </w:r>
            <w:r w:rsidR="003115E3">
              <w:rPr>
                <w:color w:val="231F20"/>
                <w:spacing w:val="3"/>
                <w:w w:val="105"/>
              </w:rPr>
              <w:t xml:space="preserve">RZ </w:t>
            </w:r>
            <w:r w:rsidR="003115E3">
              <w:rPr>
                <w:color w:val="231F20"/>
                <w:w w:val="105"/>
              </w:rPr>
              <w:t>Letter (January</w:t>
            </w:r>
            <w:r w:rsidR="003115E3">
              <w:rPr>
                <w:color w:val="231F20"/>
                <w:spacing w:val="10"/>
                <w:w w:val="105"/>
              </w:rPr>
              <w:t xml:space="preserve"> </w:t>
            </w:r>
            <w:r w:rsidR="003115E3">
              <w:rPr>
                <w:color w:val="231F20"/>
                <w:spacing w:val="-4"/>
                <w:w w:val="105"/>
              </w:rPr>
              <w:t>10,</w:t>
            </w:r>
            <w:r w:rsidR="003115E3">
              <w:rPr>
                <w:color w:val="231F20"/>
                <w:spacing w:val="10"/>
                <w:w w:val="105"/>
              </w:rPr>
              <w:t xml:space="preserve"> </w:t>
            </w:r>
            <w:r w:rsidR="003115E3">
              <w:rPr>
                <w:color w:val="231F20"/>
                <w:spacing w:val="-4"/>
                <w:w w:val="105"/>
              </w:rPr>
              <w:t>1977)</w:t>
            </w:r>
            <w:r w:rsidR="003115E3">
              <w:rPr>
                <w:color w:val="231F20"/>
                <w:spacing w:val="-4"/>
                <w:w w:val="105"/>
              </w:rPr>
              <w:tab/>
            </w:r>
            <w:r w:rsidR="003115E3">
              <w:rPr>
                <w:color w:val="231F20"/>
                <w:spacing w:val="-3"/>
                <w:sz w:val="22"/>
              </w:rPr>
              <w:t>464</w:t>
            </w:r>
          </w:hyperlink>
        </w:p>
        <w:p w14:paraId="70C2CD90" w14:textId="77777777" w:rsidR="002653E8" w:rsidRDefault="00000000">
          <w:pPr>
            <w:pStyle w:val="TOC6"/>
            <w:spacing w:before="329"/>
          </w:pPr>
          <w:hyperlink w:anchor="_bookmark69" w:history="1">
            <w:r w:rsidR="003115E3">
              <w:rPr>
                <w:color w:val="231F20"/>
                <w:w w:val="105"/>
              </w:rPr>
              <w:t>Andreas Baader: On the Geneva Convention</w:t>
            </w:r>
          </w:hyperlink>
        </w:p>
        <w:p w14:paraId="7C54FB3B" w14:textId="77777777" w:rsidR="002653E8" w:rsidRDefault="00000000">
          <w:pPr>
            <w:pStyle w:val="TOC6"/>
            <w:tabs>
              <w:tab w:val="left" w:pos="6954"/>
            </w:tabs>
            <w:spacing w:before="67"/>
            <w:rPr>
              <w:sz w:val="22"/>
            </w:rPr>
          </w:pPr>
          <w:hyperlink w:anchor="_bookmark69" w:history="1">
            <w:r w:rsidR="003115E3">
              <w:rPr>
                <w:color w:val="231F20"/>
                <w:w w:val="105"/>
              </w:rPr>
              <w:t>(June</w:t>
            </w:r>
            <w:r w:rsidR="003115E3">
              <w:rPr>
                <w:color w:val="231F20"/>
                <w:spacing w:val="8"/>
                <w:w w:val="105"/>
              </w:rPr>
              <w:t xml:space="preserve"> </w:t>
            </w:r>
            <w:r w:rsidR="003115E3">
              <w:rPr>
                <w:color w:val="231F20"/>
                <w:w w:val="105"/>
              </w:rPr>
              <w:t>2,</w:t>
            </w:r>
            <w:r w:rsidR="003115E3">
              <w:rPr>
                <w:color w:val="231F20"/>
                <w:spacing w:val="8"/>
                <w:w w:val="105"/>
              </w:rPr>
              <w:t xml:space="preserve"> </w:t>
            </w:r>
            <w:r w:rsidR="003115E3">
              <w:rPr>
                <w:color w:val="231F20"/>
                <w:spacing w:val="-4"/>
                <w:w w:val="105"/>
              </w:rPr>
              <w:t>1977)</w:t>
            </w:r>
            <w:r w:rsidR="003115E3">
              <w:rPr>
                <w:color w:val="231F20"/>
                <w:spacing w:val="-4"/>
                <w:w w:val="105"/>
              </w:rPr>
              <w:tab/>
            </w:r>
            <w:r w:rsidR="003115E3">
              <w:rPr>
                <w:color w:val="231F20"/>
                <w:spacing w:val="-4"/>
                <w:w w:val="105"/>
                <w:sz w:val="22"/>
              </w:rPr>
              <w:t>467</w:t>
            </w:r>
          </w:hyperlink>
        </w:p>
        <w:p w14:paraId="6336F241" w14:textId="77777777" w:rsidR="002653E8" w:rsidRDefault="003115E3">
          <w:pPr>
            <w:pStyle w:val="TOC1"/>
            <w:tabs>
              <w:tab w:val="left" w:pos="6951"/>
            </w:tabs>
            <w:rPr>
              <w:sz w:val="22"/>
            </w:rPr>
          </w:pPr>
          <w:r>
            <w:rPr>
              <w:color w:val="757679"/>
              <w:spacing w:val="-9"/>
              <w:w w:val="120"/>
              <w:position w:val="-19"/>
              <w:sz w:val="48"/>
            </w:rPr>
            <w:t xml:space="preserve">13 </w:t>
          </w:r>
          <w:hyperlink w:anchor="_bookmark70" w:history="1">
            <w:r>
              <w:rPr>
                <w:color w:val="231F20"/>
                <w:w w:val="120"/>
              </w:rPr>
              <w:t>daring to struggle, failing</w:t>
            </w:r>
            <w:r>
              <w:rPr>
                <w:color w:val="231F20"/>
                <w:spacing w:val="-33"/>
                <w:w w:val="120"/>
              </w:rPr>
              <w:t xml:space="preserve"> </w:t>
            </w:r>
            <w:r>
              <w:rPr>
                <w:color w:val="231F20"/>
                <w:w w:val="120"/>
              </w:rPr>
              <w:t>to</w:t>
            </w:r>
            <w:r>
              <w:rPr>
                <w:color w:val="231F20"/>
                <w:spacing w:val="5"/>
                <w:w w:val="120"/>
              </w:rPr>
              <w:t xml:space="preserve"> </w:t>
            </w:r>
            <w:r>
              <w:rPr>
                <w:color w:val="231F20"/>
                <w:spacing w:val="2"/>
                <w:w w:val="120"/>
              </w:rPr>
              <w:t>win</w:t>
            </w:r>
            <w:r>
              <w:rPr>
                <w:color w:val="231F20"/>
                <w:spacing w:val="2"/>
                <w:w w:val="120"/>
              </w:rPr>
              <w:tab/>
            </w:r>
            <w:r>
              <w:rPr>
                <w:color w:val="231F20"/>
                <w:spacing w:val="-3"/>
                <w:w w:val="120"/>
                <w:sz w:val="22"/>
              </w:rPr>
              <w:t>469</w:t>
            </w:r>
          </w:hyperlink>
        </w:p>
        <w:p w14:paraId="4DF89023" w14:textId="77777777" w:rsidR="002653E8" w:rsidRDefault="00000000">
          <w:pPr>
            <w:pStyle w:val="TOC6"/>
            <w:spacing w:before="0" w:line="226" w:lineRule="exact"/>
          </w:pPr>
          <w:hyperlink w:anchor="_bookmark71" w:history="1">
            <w:r w:rsidR="003115E3">
              <w:rPr>
                <w:color w:val="231F20"/>
                <w:w w:val="105"/>
              </w:rPr>
              <w:t>Fourth Hunger Strike</w:t>
            </w:r>
          </w:hyperlink>
        </w:p>
        <w:p w14:paraId="53BE7777" w14:textId="77777777" w:rsidR="002653E8" w:rsidRDefault="00000000">
          <w:pPr>
            <w:pStyle w:val="TOC6"/>
            <w:tabs>
              <w:tab w:val="left" w:pos="6957"/>
            </w:tabs>
            <w:rPr>
              <w:sz w:val="22"/>
            </w:rPr>
          </w:pPr>
          <w:hyperlink w:anchor="_bookmark71" w:history="1">
            <w:r w:rsidR="003115E3">
              <w:rPr>
                <w:color w:val="231F20"/>
                <w:w w:val="105"/>
              </w:rPr>
              <w:t>(March</w:t>
            </w:r>
            <w:r w:rsidR="003115E3">
              <w:rPr>
                <w:color w:val="231F20"/>
                <w:spacing w:val="12"/>
                <w:w w:val="105"/>
              </w:rPr>
              <w:t xml:space="preserve"> </w:t>
            </w:r>
            <w:r w:rsidR="003115E3">
              <w:rPr>
                <w:color w:val="231F20"/>
                <w:spacing w:val="-3"/>
                <w:w w:val="105"/>
              </w:rPr>
              <w:t>29,</w:t>
            </w:r>
            <w:r w:rsidR="003115E3">
              <w:rPr>
                <w:color w:val="231F20"/>
                <w:spacing w:val="12"/>
                <w:w w:val="105"/>
              </w:rPr>
              <w:t xml:space="preserve"> </w:t>
            </w:r>
            <w:r w:rsidR="003115E3">
              <w:rPr>
                <w:color w:val="231F20"/>
                <w:spacing w:val="-4"/>
                <w:w w:val="105"/>
              </w:rPr>
              <w:t>1977)</w:t>
            </w:r>
            <w:r w:rsidR="003115E3">
              <w:rPr>
                <w:color w:val="231F20"/>
                <w:spacing w:val="-4"/>
                <w:w w:val="105"/>
              </w:rPr>
              <w:tab/>
            </w:r>
            <w:r w:rsidR="003115E3">
              <w:rPr>
                <w:color w:val="231F20"/>
                <w:spacing w:val="-5"/>
                <w:w w:val="105"/>
                <w:sz w:val="22"/>
              </w:rPr>
              <w:t>487</w:t>
            </w:r>
          </w:hyperlink>
        </w:p>
        <w:p w14:paraId="4CF9E785" w14:textId="77777777" w:rsidR="002653E8" w:rsidRDefault="00000000">
          <w:pPr>
            <w:pStyle w:val="TOC6"/>
            <w:tabs>
              <w:tab w:val="left" w:pos="6951"/>
            </w:tabs>
            <w:spacing w:before="402" w:line="307" w:lineRule="auto"/>
            <w:ind w:right="1326"/>
            <w:rPr>
              <w:sz w:val="22"/>
            </w:rPr>
          </w:pPr>
          <w:hyperlink w:anchor="_bookmark72" w:history="1">
            <w:r w:rsidR="003115E3">
              <w:rPr>
                <w:color w:val="231F20"/>
                <w:w w:val="105"/>
              </w:rPr>
              <w:t>The Assassination of Attorney General Siegfried Buback (April</w:t>
            </w:r>
            <w:r w:rsidR="003115E3">
              <w:rPr>
                <w:color w:val="231F20"/>
                <w:spacing w:val="7"/>
                <w:w w:val="105"/>
              </w:rPr>
              <w:t xml:space="preserve"> </w:t>
            </w:r>
            <w:r w:rsidR="003115E3">
              <w:rPr>
                <w:color w:val="231F20"/>
                <w:spacing w:val="-8"/>
                <w:w w:val="105"/>
              </w:rPr>
              <w:t>7,</w:t>
            </w:r>
            <w:r w:rsidR="003115E3">
              <w:rPr>
                <w:color w:val="231F20"/>
                <w:spacing w:val="7"/>
                <w:w w:val="105"/>
              </w:rPr>
              <w:t xml:space="preserve"> </w:t>
            </w:r>
            <w:r w:rsidR="003115E3">
              <w:rPr>
                <w:color w:val="231F20"/>
                <w:spacing w:val="-4"/>
                <w:w w:val="105"/>
              </w:rPr>
              <w:t>1977)</w:t>
            </w:r>
            <w:r w:rsidR="003115E3">
              <w:rPr>
                <w:color w:val="231F20"/>
                <w:spacing w:val="-4"/>
                <w:w w:val="105"/>
              </w:rPr>
              <w:tab/>
            </w:r>
            <w:r w:rsidR="003115E3">
              <w:rPr>
                <w:color w:val="231F20"/>
                <w:spacing w:val="-3"/>
                <w:sz w:val="22"/>
              </w:rPr>
              <w:t>490</w:t>
            </w:r>
          </w:hyperlink>
        </w:p>
        <w:p w14:paraId="2A33CA9C" w14:textId="77777777" w:rsidR="002653E8" w:rsidRDefault="00000000">
          <w:pPr>
            <w:pStyle w:val="TOC6"/>
            <w:spacing w:before="329"/>
          </w:pPr>
          <w:hyperlink w:anchor="_bookmark73" w:history="1">
            <w:r w:rsidR="003115E3">
              <w:rPr>
                <w:color w:val="231F20"/>
                <w:w w:val="105"/>
              </w:rPr>
              <w:t>Statement Calling Off the Fourth Hunger Strike</w:t>
            </w:r>
          </w:hyperlink>
        </w:p>
        <w:p w14:paraId="1FF08EBA" w14:textId="77777777" w:rsidR="002653E8" w:rsidRDefault="00000000">
          <w:pPr>
            <w:pStyle w:val="TOC6"/>
            <w:tabs>
              <w:tab w:val="left" w:pos="6959"/>
            </w:tabs>
            <w:spacing w:before="67"/>
            <w:rPr>
              <w:sz w:val="22"/>
            </w:rPr>
          </w:pPr>
          <w:hyperlink w:anchor="_bookmark73" w:history="1">
            <w:r w:rsidR="003115E3">
              <w:rPr>
                <w:color w:val="231F20"/>
                <w:w w:val="105"/>
              </w:rPr>
              <w:t>(April</w:t>
            </w:r>
            <w:r w:rsidR="003115E3">
              <w:rPr>
                <w:color w:val="231F20"/>
                <w:spacing w:val="7"/>
                <w:w w:val="105"/>
              </w:rPr>
              <w:t xml:space="preserve"> </w:t>
            </w:r>
            <w:r w:rsidR="003115E3">
              <w:rPr>
                <w:color w:val="231F20"/>
                <w:spacing w:val="-3"/>
                <w:w w:val="105"/>
              </w:rPr>
              <w:t>30,</w:t>
            </w:r>
            <w:r w:rsidR="003115E3">
              <w:rPr>
                <w:color w:val="231F20"/>
                <w:spacing w:val="7"/>
                <w:w w:val="105"/>
              </w:rPr>
              <w:t xml:space="preserve"> </w:t>
            </w:r>
            <w:r w:rsidR="003115E3">
              <w:rPr>
                <w:color w:val="231F20"/>
                <w:spacing w:val="-4"/>
                <w:w w:val="105"/>
              </w:rPr>
              <w:t>1977)</w:t>
            </w:r>
            <w:r w:rsidR="003115E3">
              <w:rPr>
                <w:color w:val="231F20"/>
                <w:spacing w:val="-4"/>
                <w:w w:val="105"/>
              </w:rPr>
              <w:tab/>
            </w:r>
            <w:r w:rsidR="003115E3">
              <w:rPr>
                <w:color w:val="231F20"/>
                <w:spacing w:val="-6"/>
                <w:w w:val="105"/>
                <w:sz w:val="22"/>
              </w:rPr>
              <w:t>493</w:t>
            </w:r>
          </w:hyperlink>
        </w:p>
        <w:p w14:paraId="6AA0370E" w14:textId="77777777" w:rsidR="002653E8" w:rsidRDefault="00000000">
          <w:pPr>
            <w:pStyle w:val="TOC6"/>
            <w:spacing w:before="401"/>
          </w:pPr>
          <w:hyperlink w:anchor="_bookmark74" w:history="1">
            <w:r w:rsidR="003115E3">
              <w:rPr>
                <w:color w:val="231F20"/>
                <w:w w:val="105"/>
              </w:rPr>
              <w:t>The Assassination of Jürgen Ponto</w:t>
            </w:r>
          </w:hyperlink>
        </w:p>
        <w:p w14:paraId="1F6D0AD9" w14:textId="77777777" w:rsidR="002653E8" w:rsidRDefault="00000000">
          <w:pPr>
            <w:pStyle w:val="TOC6"/>
            <w:tabs>
              <w:tab w:val="left" w:pos="6957"/>
            </w:tabs>
            <w:rPr>
              <w:sz w:val="22"/>
            </w:rPr>
          </w:pPr>
          <w:hyperlink w:anchor="_bookmark74" w:history="1">
            <w:r w:rsidR="003115E3">
              <w:rPr>
                <w:color w:val="231F20"/>
                <w:w w:val="105"/>
              </w:rPr>
              <w:t>(August</w:t>
            </w:r>
            <w:r w:rsidR="003115E3">
              <w:rPr>
                <w:color w:val="231F20"/>
                <w:spacing w:val="5"/>
                <w:w w:val="105"/>
              </w:rPr>
              <w:t xml:space="preserve"> </w:t>
            </w:r>
            <w:r w:rsidR="003115E3">
              <w:rPr>
                <w:color w:val="231F20"/>
                <w:w w:val="105"/>
              </w:rPr>
              <w:t>14,</w:t>
            </w:r>
            <w:r w:rsidR="003115E3">
              <w:rPr>
                <w:color w:val="231F20"/>
                <w:spacing w:val="5"/>
                <w:w w:val="105"/>
              </w:rPr>
              <w:t xml:space="preserve"> </w:t>
            </w:r>
            <w:r w:rsidR="003115E3">
              <w:rPr>
                <w:color w:val="231F20"/>
                <w:spacing w:val="-4"/>
                <w:w w:val="105"/>
              </w:rPr>
              <w:t>1977)</w:t>
            </w:r>
            <w:r w:rsidR="003115E3">
              <w:rPr>
                <w:color w:val="231F20"/>
                <w:spacing w:val="-4"/>
                <w:w w:val="105"/>
              </w:rPr>
              <w:tab/>
            </w:r>
            <w:r w:rsidR="003115E3">
              <w:rPr>
                <w:color w:val="231F20"/>
                <w:spacing w:val="-5"/>
                <w:w w:val="105"/>
                <w:sz w:val="22"/>
              </w:rPr>
              <w:t>494</w:t>
            </w:r>
          </w:hyperlink>
        </w:p>
        <w:p w14:paraId="3545FCDA" w14:textId="77777777" w:rsidR="002653E8" w:rsidRDefault="00000000">
          <w:pPr>
            <w:pStyle w:val="TOC6"/>
            <w:spacing w:before="402"/>
          </w:pPr>
          <w:hyperlink w:anchor="_bookmark75" w:history="1">
            <w:r w:rsidR="003115E3">
              <w:rPr>
                <w:color w:val="231F20"/>
                <w:w w:val="105"/>
              </w:rPr>
              <w:t>Statement Breaking Off the Fifth Hunger Strike</w:t>
            </w:r>
          </w:hyperlink>
        </w:p>
        <w:p w14:paraId="5901FEC0" w14:textId="77777777" w:rsidR="002653E8" w:rsidRDefault="00000000">
          <w:pPr>
            <w:pStyle w:val="TOC6"/>
            <w:tabs>
              <w:tab w:val="left" w:pos="6963"/>
            </w:tabs>
            <w:rPr>
              <w:sz w:val="22"/>
            </w:rPr>
          </w:pPr>
          <w:hyperlink w:anchor="_bookmark75" w:history="1">
            <w:r w:rsidR="003115E3">
              <w:rPr>
                <w:color w:val="231F20"/>
                <w:w w:val="105"/>
              </w:rPr>
              <w:t>(September</w:t>
            </w:r>
            <w:r w:rsidR="003115E3">
              <w:rPr>
                <w:color w:val="231F20"/>
                <w:spacing w:val="-4"/>
                <w:w w:val="105"/>
              </w:rPr>
              <w:t xml:space="preserve"> </w:t>
            </w:r>
            <w:r w:rsidR="003115E3">
              <w:rPr>
                <w:color w:val="231F20"/>
                <w:w w:val="105"/>
              </w:rPr>
              <w:t>2,</w:t>
            </w:r>
            <w:r w:rsidR="003115E3">
              <w:rPr>
                <w:color w:val="231F20"/>
                <w:spacing w:val="-4"/>
                <w:w w:val="105"/>
              </w:rPr>
              <w:t xml:space="preserve"> 1977)</w:t>
            </w:r>
            <w:r w:rsidR="003115E3">
              <w:rPr>
                <w:color w:val="231F20"/>
                <w:spacing w:val="-4"/>
                <w:w w:val="105"/>
              </w:rPr>
              <w:tab/>
            </w:r>
            <w:r w:rsidR="003115E3">
              <w:rPr>
                <w:color w:val="231F20"/>
                <w:spacing w:val="-7"/>
                <w:w w:val="105"/>
                <w:sz w:val="22"/>
              </w:rPr>
              <w:t>495</w:t>
            </w:r>
          </w:hyperlink>
        </w:p>
        <w:p w14:paraId="3C96F77F" w14:textId="77777777" w:rsidR="002653E8" w:rsidRDefault="00000000">
          <w:pPr>
            <w:pStyle w:val="TOC6"/>
            <w:spacing w:before="401"/>
          </w:pPr>
          <w:hyperlink w:anchor="_bookmark76" w:history="1">
            <w:r w:rsidR="003115E3">
              <w:rPr>
                <w:color w:val="231F20"/>
                <w:w w:val="105"/>
              </w:rPr>
              <w:t xml:space="preserve">The Attack on the </w:t>
            </w:r>
            <w:r w:rsidR="003115E3">
              <w:rPr>
                <w:color w:val="231F20"/>
                <w:spacing w:val="-6"/>
                <w:w w:val="105"/>
              </w:rPr>
              <w:t>BAW</w:t>
            </w:r>
          </w:hyperlink>
        </w:p>
        <w:p w14:paraId="06A1A49F" w14:textId="77777777" w:rsidR="002653E8" w:rsidRDefault="00000000">
          <w:pPr>
            <w:pStyle w:val="TOC6"/>
            <w:tabs>
              <w:tab w:val="left" w:pos="6955"/>
            </w:tabs>
            <w:spacing w:before="67"/>
            <w:rPr>
              <w:sz w:val="22"/>
            </w:rPr>
          </w:pPr>
          <w:hyperlink w:anchor="_bookmark76" w:history="1">
            <w:r w:rsidR="003115E3">
              <w:rPr>
                <w:color w:val="231F20"/>
                <w:w w:val="105"/>
              </w:rPr>
              <w:t>(September</w:t>
            </w:r>
            <w:r w:rsidR="003115E3">
              <w:rPr>
                <w:color w:val="231F20"/>
                <w:spacing w:val="-5"/>
                <w:w w:val="105"/>
              </w:rPr>
              <w:t xml:space="preserve"> </w:t>
            </w:r>
            <w:r w:rsidR="003115E3">
              <w:rPr>
                <w:color w:val="231F20"/>
                <w:spacing w:val="-3"/>
                <w:w w:val="105"/>
              </w:rPr>
              <w:t>3,</w:t>
            </w:r>
            <w:r w:rsidR="003115E3">
              <w:rPr>
                <w:color w:val="231F20"/>
                <w:spacing w:val="-5"/>
                <w:w w:val="105"/>
              </w:rPr>
              <w:t xml:space="preserve"> </w:t>
            </w:r>
            <w:r w:rsidR="003115E3">
              <w:rPr>
                <w:color w:val="231F20"/>
                <w:spacing w:val="-4"/>
                <w:w w:val="105"/>
              </w:rPr>
              <w:t>1977)</w:t>
            </w:r>
            <w:r w:rsidR="003115E3">
              <w:rPr>
                <w:color w:val="231F20"/>
                <w:spacing w:val="-4"/>
                <w:w w:val="105"/>
              </w:rPr>
              <w:tab/>
            </w:r>
            <w:r w:rsidR="003115E3">
              <w:rPr>
                <w:color w:val="231F20"/>
                <w:spacing w:val="-4"/>
                <w:w w:val="105"/>
                <w:sz w:val="22"/>
              </w:rPr>
              <w:t>496</w:t>
            </w:r>
          </w:hyperlink>
        </w:p>
        <w:p w14:paraId="0235274E" w14:textId="77777777" w:rsidR="002653E8" w:rsidRDefault="00000000">
          <w:pPr>
            <w:pStyle w:val="TOC6"/>
            <w:spacing w:before="401"/>
          </w:pPr>
          <w:hyperlink w:anchor="_bookmark77" w:history="1">
            <w:r w:rsidR="003115E3">
              <w:rPr>
                <w:color w:val="231F20"/>
                <w:w w:val="105"/>
              </w:rPr>
              <w:t>The Schleyer Communiqués</w:t>
            </w:r>
          </w:hyperlink>
        </w:p>
        <w:p w14:paraId="4C319003" w14:textId="77777777" w:rsidR="002653E8" w:rsidRDefault="00000000">
          <w:pPr>
            <w:pStyle w:val="TOC6"/>
            <w:tabs>
              <w:tab w:val="left" w:pos="6957"/>
            </w:tabs>
            <w:rPr>
              <w:sz w:val="22"/>
            </w:rPr>
          </w:pPr>
          <w:hyperlink w:anchor="_bookmark77" w:history="1">
            <w:r w:rsidR="003115E3">
              <w:rPr>
                <w:color w:val="231F20"/>
              </w:rPr>
              <w:t>(September–October,</w:t>
            </w:r>
            <w:r w:rsidR="003115E3">
              <w:rPr>
                <w:color w:val="231F20"/>
                <w:spacing w:val="37"/>
              </w:rPr>
              <w:t xml:space="preserve"> </w:t>
            </w:r>
            <w:r w:rsidR="003115E3">
              <w:rPr>
                <w:color w:val="231F20"/>
                <w:spacing w:val="-4"/>
              </w:rPr>
              <w:t>1977)</w:t>
            </w:r>
            <w:r w:rsidR="003115E3">
              <w:rPr>
                <w:color w:val="231F20"/>
                <w:spacing w:val="-4"/>
              </w:rPr>
              <w:tab/>
            </w:r>
            <w:r w:rsidR="003115E3">
              <w:rPr>
                <w:color w:val="231F20"/>
                <w:spacing w:val="-5"/>
                <w:sz w:val="22"/>
              </w:rPr>
              <w:t>498</w:t>
            </w:r>
          </w:hyperlink>
        </w:p>
        <w:p w14:paraId="246E912B" w14:textId="77777777" w:rsidR="002653E8" w:rsidRDefault="00000000">
          <w:pPr>
            <w:pStyle w:val="TOC6"/>
            <w:spacing w:before="401"/>
          </w:pPr>
          <w:hyperlink w:anchor="_bookmark78" w:history="1">
            <w:r w:rsidR="003115E3">
              <w:rPr>
                <w:color w:val="231F20"/>
                <w:w w:val="105"/>
              </w:rPr>
              <w:t>Operation Kofr Kaddum</w:t>
            </w:r>
          </w:hyperlink>
        </w:p>
        <w:p w14:paraId="40C3F371" w14:textId="77777777" w:rsidR="002653E8" w:rsidRDefault="00000000">
          <w:pPr>
            <w:pStyle w:val="TOC6"/>
            <w:tabs>
              <w:tab w:val="left" w:pos="6957"/>
            </w:tabs>
            <w:spacing w:before="67" w:after="180"/>
            <w:rPr>
              <w:sz w:val="22"/>
            </w:rPr>
          </w:pPr>
          <w:hyperlink w:anchor="_bookmark78" w:history="1">
            <w:r w:rsidR="003115E3">
              <w:rPr>
                <w:color w:val="231F20"/>
                <w:spacing w:val="-3"/>
                <w:w w:val="110"/>
              </w:rPr>
              <w:t xml:space="preserve">(SAWIO, </w:t>
            </w:r>
            <w:r w:rsidR="003115E3">
              <w:rPr>
                <w:color w:val="231F20"/>
                <w:w w:val="110"/>
              </w:rPr>
              <w:t>October</w:t>
            </w:r>
            <w:r w:rsidR="003115E3">
              <w:rPr>
                <w:color w:val="231F20"/>
                <w:spacing w:val="10"/>
                <w:w w:val="110"/>
              </w:rPr>
              <w:t xml:space="preserve"> </w:t>
            </w:r>
            <w:r w:rsidR="003115E3">
              <w:rPr>
                <w:color w:val="231F20"/>
                <w:spacing w:val="-6"/>
                <w:w w:val="110"/>
              </w:rPr>
              <w:t>13,</w:t>
            </w:r>
            <w:r w:rsidR="003115E3">
              <w:rPr>
                <w:color w:val="231F20"/>
                <w:spacing w:val="2"/>
                <w:w w:val="110"/>
              </w:rPr>
              <w:t xml:space="preserve"> </w:t>
            </w:r>
            <w:r w:rsidR="003115E3">
              <w:rPr>
                <w:color w:val="231F20"/>
                <w:spacing w:val="-4"/>
                <w:w w:val="110"/>
              </w:rPr>
              <w:t>1977)</w:t>
            </w:r>
            <w:r w:rsidR="003115E3">
              <w:rPr>
                <w:color w:val="231F20"/>
                <w:spacing w:val="-4"/>
                <w:w w:val="110"/>
              </w:rPr>
              <w:tab/>
            </w:r>
            <w:r w:rsidR="003115E3">
              <w:rPr>
                <w:color w:val="231F20"/>
                <w:spacing w:val="-5"/>
                <w:w w:val="110"/>
                <w:sz w:val="22"/>
              </w:rPr>
              <w:t>503</w:t>
            </w:r>
          </w:hyperlink>
        </w:p>
        <w:p w14:paraId="385F0134" w14:textId="77777777" w:rsidR="002653E8" w:rsidRDefault="00000000">
          <w:pPr>
            <w:pStyle w:val="TOC7"/>
            <w:spacing w:before="90"/>
          </w:pPr>
          <w:hyperlink w:anchor="_bookmark79" w:history="1">
            <w:r w:rsidR="003115E3">
              <w:rPr>
                <w:color w:val="231F20"/>
                <w:w w:val="110"/>
              </w:rPr>
              <w:t>SAWIO Ultimatum</w:t>
            </w:r>
          </w:hyperlink>
        </w:p>
        <w:p w14:paraId="2FBE08D9" w14:textId="77777777" w:rsidR="002653E8" w:rsidRDefault="00000000">
          <w:pPr>
            <w:pStyle w:val="TOC7"/>
            <w:tabs>
              <w:tab w:val="left" w:pos="7139"/>
            </w:tabs>
            <w:rPr>
              <w:sz w:val="22"/>
            </w:rPr>
          </w:pPr>
          <w:hyperlink w:anchor="_bookmark79" w:history="1">
            <w:r w:rsidR="003115E3">
              <w:rPr>
                <w:color w:val="231F20"/>
                <w:w w:val="105"/>
              </w:rPr>
              <w:t>(October</w:t>
            </w:r>
            <w:r w:rsidR="003115E3">
              <w:rPr>
                <w:color w:val="231F20"/>
                <w:spacing w:val="8"/>
                <w:w w:val="105"/>
              </w:rPr>
              <w:t xml:space="preserve"> </w:t>
            </w:r>
            <w:r w:rsidR="003115E3">
              <w:rPr>
                <w:color w:val="231F20"/>
                <w:spacing w:val="-6"/>
                <w:w w:val="105"/>
              </w:rPr>
              <w:t>13,</w:t>
            </w:r>
            <w:r w:rsidR="003115E3">
              <w:rPr>
                <w:color w:val="231F20"/>
                <w:spacing w:val="8"/>
                <w:w w:val="105"/>
              </w:rPr>
              <w:t xml:space="preserve"> </w:t>
            </w:r>
            <w:r w:rsidR="003115E3">
              <w:rPr>
                <w:color w:val="231F20"/>
                <w:spacing w:val="-4"/>
                <w:w w:val="105"/>
              </w:rPr>
              <w:t>1977)</w:t>
            </w:r>
            <w:r w:rsidR="003115E3">
              <w:rPr>
                <w:color w:val="231F20"/>
                <w:spacing w:val="-4"/>
                <w:w w:val="105"/>
              </w:rPr>
              <w:tab/>
            </w:r>
            <w:r w:rsidR="003115E3">
              <w:rPr>
                <w:color w:val="231F20"/>
                <w:spacing w:val="-6"/>
                <w:w w:val="105"/>
                <w:sz w:val="22"/>
              </w:rPr>
              <w:t>505</w:t>
            </w:r>
          </w:hyperlink>
        </w:p>
        <w:p w14:paraId="28664852" w14:textId="77777777" w:rsidR="002653E8" w:rsidRDefault="00000000">
          <w:pPr>
            <w:pStyle w:val="TOC7"/>
            <w:spacing w:before="401"/>
          </w:pPr>
          <w:hyperlink w:anchor="_bookmark80" w:history="1">
            <w:r w:rsidR="003115E3">
              <w:rPr>
                <w:color w:val="231F20"/>
                <w:w w:val="105"/>
              </w:rPr>
              <w:t>Final Schleyer Communiqué</w:t>
            </w:r>
          </w:hyperlink>
        </w:p>
        <w:p w14:paraId="76F1434F" w14:textId="77777777" w:rsidR="002653E8" w:rsidRDefault="00000000">
          <w:pPr>
            <w:pStyle w:val="TOC7"/>
            <w:tabs>
              <w:tab w:val="left" w:pos="7131"/>
            </w:tabs>
            <w:spacing w:before="67"/>
            <w:rPr>
              <w:sz w:val="22"/>
            </w:rPr>
          </w:pPr>
          <w:hyperlink w:anchor="_bookmark80" w:history="1">
            <w:r w:rsidR="003115E3">
              <w:rPr>
                <w:color w:val="231F20"/>
                <w:w w:val="105"/>
              </w:rPr>
              <w:t>(October</w:t>
            </w:r>
            <w:r w:rsidR="003115E3">
              <w:rPr>
                <w:color w:val="231F20"/>
                <w:spacing w:val="8"/>
                <w:w w:val="105"/>
              </w:rPr>
              <w:t xml:space="preserve"> </w:t>
            </w:r>
            <w:r w:rsidR="003115E3">
              <w:rPr>
                <w:color w:val="231F20"/>
                <w:spacing w:val="-5"/>
                <w:w w:val="105"/>
              </w:rPr>
              <w:t>19,</w:t>
            </w:r>
            <w:r w:rsidR="003115E3">
              <w:rPr>
                <w:color w:val="231F20"/>
                <w:spacing w:val="8"/>
                <w:w w:val="105"/>
              </w:rPr>
              <w:t xml:space="preserve"> </w:t>
            </w:r>
            <w:r w:rsidR="003115E3">
              <w:rPr>
                <w:color w:val="231F20"/>
                <w:spacing w:val="-4"/>
                <w:w w:val="105"/>
              </w:rPr>
              <w:t>1977)</w:t>
            </w:r>
            <w:r w:rsidR="003115E3">
              <w:rPr>
                <w:color w:val="231F20"/>
                <w:spacing w:val="-4"/>
                <w:w w:val="105"/>
              </w:rPr>
              <w:tab/>
            </w:r>
            <w:r w:rsidR="003115E3">
              <w:rPr>
                <w:color w:val="231F20"/>
                <w:spacing w:val="-3"/>
                <w:w w:val="105"/>
                <w:sz w:val="22"/>
              </w:rPr>
              <w:t>507</w:t>
            </w:r>
          </w:hyperlink>
        </w:p>
        <w:p w14:paraId="20B01F84" w14:textId="77777777" w:rsidR="002653E8" w:rsidRDefault="00000000">
          <w:pPr>
            <w:pStyle w:val="TOC8"/>
            <w:tabs>
              <w:tab w:val="left" w:pos="7134"/>
            </w:tabs>
            <w:rPr>
              <w:i w:val="0"/>
            </w:rPr>
          </w:pPr>
          <w:hyperlink w:anchor="_bookmark81" w:history="1">
            <w:r w:rsidR="003115E3">
              <w:rPr>
                <w:color w:val="231F20"/>
                <w:spacing w:val="-3"/>
                <w:w w:val="105"/>
              </w:rPr>
              <w:t xml:space="preserve">77: </w:t>
            </w:r>
            <w:r w:rsidR="003115E3">
              <w:rPr>
                <w:color w:val="231F20"/>
                <w:w w:val="105"/>
              </w:rPr>
              <w:t>living with</w:t>
            </w:r>
            <w:r w:rsidR="003115E3">
              <w:rPr>
                <w:color w:val="231F20"/>
                <w:spacing w:val="16"/>
                <w:w w:val="105"/>
              </w:rPr>
              <w:t xml:space="preserve"> </w:t>
            </w:r>
            <w:r w:rsidR="003115E3">
              <w:rPr>
                <w:color w:val="231F20"/>
                <w:w w:val="105"/>
              </w:rPr>
              <w:t>the</w:t>
            </w:r>
            <w:r w:rsidR="003115E3">
              <w:rPr>
                <w:color w:val="231F20"/>
                <w:spacing w:val="3"/>
                <w:w w:val="105"/>
              </w:rPr>
              <w:t xml:space="preserve"> </w:t>
            </w:r>
            <w:r w:rsidR="003115E3">
              <w:rPr>
                <w:color w:val="231F20"/>
                <w:w w:val="105"/>
              </w:rPr>
              <w:t>fallout</w:t>
            </w:r>
            <w:r w:rsidR="003115E3">
              <w:rPr>
                <w:color w:val="231F20"/>
                <w:w w:val="105"/>
              </w:rPr>
              <w:tab/>
            </w:r>
            <w:r w:rsidR="003115E3">
              <w:rPr>
                <w:i w:val="0"/>
                <w:color w:val="231F20"/>
                <w:spacing w:val="-4"/>
                <w:w w:val="105"/>
              </w:rPr>
              <w:t>508</w:t>
            </w:r>
          </w:hyperlink>
        </w:p>
        <w:p w14:paraId="1FB5E17F" w14:textId="77777777" w:rsidR="002653E8" w:rsidRDefault="00000000">
          <w:pPr>
            <w:pStyle w:val="TOC4"/>
            <w:tabs>
              <w:tab w:val="left" w:pos="7144"/>
            </w:tabs>
            <w:spacing w:before="495"/>
            <w:rPr>
              <w:b w:val="0"/>
              <w:i w:val="0"/>
            </w:rPr>
          </w:pPr>
          <w:hyperlink w:anchor="_bookmark82" w:history="1">
            <w:r w:rsidR="003115E3">
              <w:rPr>
                <w:b w:val="0"/>
                <w:i w:val="0"/>
                <w:color w:val="757679"/>
                <w:spacing w:val="-17"/>
                <w:w w:val="110"/>
                <w:position w:val="-19"/>
                <w:sz w:val="48"/>
              </w:rPr>
              <w:t xml:space="preserve">14 </w:t>
            </w:r>
            <w:r w:rsidR="003115E3">
              <w:rPr>
                <w:b w:val="0"/>
                <w:i w:val="0"/>
                <w:color w:val="231F20"/>
                <w:spacing w:val="2"/>
                <w:w w:val="110"/>
                <w:sz w:val="26"/>
              </w:rPr>
              <w:t>the</w:t>
            </w:r>
            <w:r w:rsidR="003115E3">
              <w:rPr>
                <w:b w:val="0"/>
                <w:i w:val="0"/>
                <w:color w:val="231F20"/>
                <w:spacing w:val="-14"/>
                <w:w w:val="110"/>
                <w:sz w:val="26"/>
              </w:rPr>
              <w:t xml:space="preserve"> </w:t>
            </w:r>
            <w:r w:rsidR="003115E3">
              <w:rPr>
                <w:b w:val="0"/>
                <w:i w:val="0"/>
                <w:color w:val="231F20"/>
                <w:spacing w:val="1"/>
                <w:w w:val="110"/>
                <w:sz w:val="26"/>
              </w:rPr>
              <w:t>stammheim</w:t>
            </w:r>
            <w:r w:rsidR="003115E3">
              <w:rPr>
                <w:b w:val="0"/>
                <w:i w:val="0"/>
                <w:color w:val="231F20"/>
                <w:spacing w:val="6"/>
                <w:w w:val="110"/>
                <w:sz w:val="26"/>
              </w:rPr>
              <w:t xml:space="preserve"> </w:t>
            </w:r>
            <w:r w:rsidR="003115E3">
              <w:rPr>
                <w:b w:val="0"/>
                <w:i w:val="0"/>
                <w:color w:val="231F20"/>
                <w:w w:val="110"/>
                <w:sz w:val="26"/>
              </w:rPr>
              <w:t>deaths</w:t>
            </w:r>
            <w:r w:rsidR="003115E3">
              <w:rPr>
                <w:b w:val="0"/>
                <w:i w:val="0"/>
                <w:color w:val="231F20"/>
                <w:w w:val="110"/>
                <w:sz w:val="26"/>
              </w:rPr>
              <w:tab/>
            </w:r>
            <w:r w:rsidR="003115E3">
              <w:rPr>
                <w:b w:val="0"/>
                <w:i w:val="0"/>
                <w:color w:val="231F20"/>
                <w:spacing w:val="-7"/>
                <w:w w:val="110"/>
              </w:rPr>
              <w:t>511</w:t>
            </w:r>
          </w:hyperlink>
        </w:p>
        <w:p w14:paraId="1F98971C" w14:textId="77777777" w:rsidR="002653E8" w:rsidRDefault="00000000">
          <w:pPr>
            <w:pStyle w:val="TOC4"/>
            <w:tabs>
              <w:tab w:val="left" w:pos="7139"/>
            </w:tabs>
            <w:spacing w:before="397"/>
            <w:rPr>
              <w:b w:val="0"/>
              <w:i w:val="0"/>
            </w:rPr>
          </w:pPr>
          <w:hyperlink w:anchor="_bookmark83" w:history="1">
            <w:r w:rsidR="003115E3">
              <w:rPr>
                <w:b w:val="0"/>
                <w:i w:val="0"/>
                <w:color w:val="757679"/>
                <w:spacing w:val="-7"/>
                <w:w w:val="115"/>
                <w:position w:val="-19"/>
                <w:sz w:val="48"/>
              </w:rPr>
              <w:t>15</w:t>
            </w:r>
            <w:r w:rsidR="003115E3">
              <w:rPr>
                <w:b w:val="0"/>
                <w:i w:val="0"/>
                <w:color w:val="757679"/>
                <w:spacing w:val="-69"/>
                <w:w w:val="115"/>
                <w:position w:val="-19"/>
                <w:sz w:val="48"/>
              </w:rPr>
              <w:t xml:space="preserve"> </w:t>
            </w:r>
            <w:r w:rsidR="003115E3">
              <w:rPr>
                <w:b w:val="0"/>
                <w:i w:val="0"/>
                <w:color w:val="231F20"/>
                <w:spacing w:val="-3"/>
                <w:w w:val="115"/>
                <w:sz w:val="26"/>
              </w:rPr>
              <w:t xml:space="preserve">on </w:t>
            </w:r>
            <w:r w:rsidR="003115E3">
              <w:rPr>
                <w:b w:val="0"/>
                <w:i w:val="0"/>
                <w:color w:val="231F20"/>
                <w:spacing w:val="2"/>
                <w:w w:val="115"/>
                <w:sz w:val="26"/>
              </w:rPr>
              <w:t>the</w:t>
            </w:r>
            <w:r w:rsidR="003115E3">
              <w:rPr>
                <w:b w:val="0"/>
                <w:i w:val="0"/>
                <w:color w:val="231F20"/>
                <w:spacing w:val="-2"/>
                <w:w w:val="115"/>
                <w:sz w:val="26"/>
              </w:rPr>
              <w:t xml:space="preserve"> </w:t>
            </w:r>
            <w:r w:rsidR="003115E3">
              <w:rPr>
                <w:b w:val="0"/>
                <w:i w:val="0"/>
                <w:color w:val="231F20"/>
                <w:w w:val="115"/>
                <w:sz w:val="26"/>
              </w:rPr>
              <w:t>defensive</w:t>
            </w:r>
            <w:r w:rsidR="003115E3">
              <w:rPr>
                <w:b w:val="0"/>
                <w:i w:val="0"/>
                <w:color w:val="231F20"/>
                <w:w w:val="115"/>
                <w:sz w:val="26"/>
              </w:rPr>
              <w:tab/>
            </w:r>
            <w:r w:rsidR="003115E3">
              <w:rPr>
                <w:b w:val="0"/>
                <w:i w:val="0"/>
                <w:color w:val="231F20"/>
                <w:spacing w:val="-6"/>
                <w:w w:val="115"/>
              </w:rPr>
              <w:t>521</w:t>
            </w:r>
          </w:hyperlink>
        </w:p>
        <w:bookmarkEnd w:id="3"/>
        <w:p w14:paraId="3BE9DC12" w14:textId="77777777" w:rsidR="002653E8" w:rsidRDefault="00FE1A46">
          <w:pPr>
            <w:pStyle w:val="TOC2"/>
          </w:pPr>
          <w:r>
            <w:fldChar w:fldCharType="begin"/>
          </w:r>
          <w:r>
            <w:instrText xml:space="preserve"> HYPERLINK \l "_TOC_250000" </w:instrText>
          </w:r>
          <w:r>
            <w:fldChar w:fldCharType="separate"/>
          </w:r>
          <w:r w:rsidR="003115E3">
            <w:rPr>
              <w:color w:val="757679"/>
              <w:w w:val="120"/>
            </w:rPr>
            <w:t>appendices</w:t>
          </w:r>
          <w:r>
            <w:rPr>
              <w:color w:val="757679"/>
              <w:w w:val="120"/>
            </w:rPr>
            <w:fldChar w:fldCharType="end"/>
          </w:r>
        </w:p>
        <w:p w14:paraId="15AC82A5" w14:textId="77777777" w:rsidR="002653E8" w:rsidRDefault="00000000">
          <w:pPr>
            <w:pStyle w:val="TOC5"/>
            <w:spacing w:before="14"/>
          </w:pPr>
          <w:hyperlink w:anchor="_bookmark84" w:history="1">
            <w:r w:rsidR="003115E3">
              <w:rPr>
                <w:color w:val="231F20"/>
                <w:w w:val="120"/>
              </w:rPr>
              <w:t>appendix i: excerpts from the</w:t>
            </w:r>
          </w:hyperlink>
        </w:p>
        <w:p w14:paraId="161CC132" w14:textId="77777777" w:rsidR="002653E8" w:rsidRPr="00C507A5" w:rsidRDefault="00000000">
          <w:pPr>
            <w:pStyle w:val="TOC5"/>
            <w:tabs>
              <w:tab w:val="left" w:pos="7128"/>
            </w:tabs>
            <w:spacing w:before="22"/>
            <w:rPr>
              <w:lang w:val="de-DE"/>
            </w:rPr>
          </w:pPr>
          <w:hyperlink w:anchor="_bookmark84" w:history="1">
            <w:r w:rsidR="003115E3" w:rsidRPr="00C507A5">
              <w:rPr>
                <w:color w:val="231F20"/>
                <w:spacing w:val="3"/>
                <w:w w:val="120"/>
                <w:lang w:val="de-DE"/>
              </w:rPr>
              <w:t>frankfurter</w:t>
            </w:r>
            <w:r w:rsidR="003115E3" w:rsidRPr="00C507A5">
              <w:rPr>
                <w:color w:val="231F20"/>
                <w:spacing w:val="7"/>
                <w:w w:val="120"/>
                <w:lang w:val="de-DE"/>
              </w:rPr>
              <w:t xml:space="preserve"> </w:t>
            </w:r>
            <w:r w:rsidR="003115E3" w:rsidRPr="00C507A5">
              <w:rPr>
                <w:color w:val="231F20"/>
                <w:spacing w:val="1"/>
                <w:w w:val="120"/>
                <w:lang w:val="de-DE"/>
              </w:rPr>
              <w:t>allgemeine</w:t>
            </w:r>
            <w:r w:rsidR="003115E3" w:rsidRPr="00C507A5">
              <w:rPr>
                <w:color w:val="231F20"/>
                <w:spacing w:val="7"/>
                <w:w w:val="120"/>
                <w:lang w:val="de-DE"/>
              </w:rPr>
              <w:t xml:space="preserve"> </w:t>
            </w:r>
            <w:r w:rsidR="003115E3" w:rsidRPr="00C507A5">
              <w:rPr>
                <w:color w:val="231F20"/>
                <w:spacing w:val="1"/>
                <w:w w:val="120"/>
                <w:lang w:val="de-DE"/>
              </w:rPr>
              <w:t>zeitung</w:t>
            </w:r>
            <w:r w:rsidR="003115E3" w:rsidRPr="00C507A5">
              <w:rPr>
                <w:color w:val="231F20"/>
                <w:spacing w:val="1"/>
                <w:w w:val="120"/>
                <w:lang w:val="de-DE"/>
              </w:rPr>
              <w:tab/>
            </w:r>
            <w:r w:rsidR="003115E3" w:rsidRPr="00C507A5">
              <w:rPr>
                <w:color w:val="231F20"/>
                <w:w w:val="120"/>
                <w:lang w:val="de-DE"/>
              </w:rPr>
              <w:t>544</w:t>
            </w:r>
          </w:hyperlink>
        </w:p>
        <w:p w14:paraId="682C590D" w14:textId="77777777" w:rsidR="002653E8" w:rsidRPr="00C507A5" w:rsidRDefault="00000000">
          <w:pPr>
            <w:pStyle w:val="TOC5"/>
            <w:rPr>
              <w:lang w:val="de-DE"/>
            </w:rPr>
          </w:pPr>
          <w:hyperlink w:anchor="_bookmark85" w:history="1">
            <w:r w:rsidR="003115E3" w:rsidRPr="00C507A5">
              <w:rPr>
                <w:color w:val="231F20"/>
                <w:w w:val="115"/>
                <w:lang w:val="de-DE"/>
              </w:rPr>
              <w:t>appendix ii: the european commission</w:t>
            </w:r>
          </w:hyperlink>
        </w:p>
        <w:p w14:paraId="08614947" w14:textId="77777777" w:rsidR="002653E8" w:rsidRDefault="00000000">
          <w:pPr>
            <w:pStyle w:val="TOC5"/>
            <w:tabs>
              <w:tab w:val="left" w:pos="7135"/>
            </w:tabs>
            <w:spacing w:before="22"/>
          </w:pPr>
          <w:hyperlink w:anchor="_bookmark85" w:history="1">
            <w:r w:rsidR="003115E3">
              <w:rPr>
                <w:color w:val="231F20"/>
                <w:spacing w:val="-3"/>
                <w:w w:val="120"/>
              </w:rPr>
              <w:t xml:space="preserve">of </w:t>
            </w:r>
            <w:r w:rsidR="003115E3">
              <w:rPr>
                <w:color w:val="231F20"/>
                <w:spacing w:val="3"/>
                <w:w w:val="120"/>
              </w:rPr>
              <w:t xml:space="preserve">human </w:t>
            </w:r>
            <w:r w:rsidR="003115E3">
              <w:rPr>
                <w:color w:val="231F20"/>
                <w:w w:val="120"/>
              </w:rPr>
              <w:t xml:space="preserve">rights </w:t>
            </w:r>
            <w:r w:rsidR="003115E3">
              <w:rPr>
                <w:color w:val="231F20"/>
                <w:spacing w:val="3"/>
                <w:w w:val="120"/>
              </w:rPr>
              <w:t xml:space="preserve">and </w:t>
            </w:r>
            <w:r w:rsidR="003115E3">
              <w:rPr>
                <w:color w:val="231F20"/>
                <w:spacing w:val="2"/>
                <w:w w:val="120"/>
              </w:rPr>
              <w:t>the</w:t>
            </w:r>
            <w:r w:rsidR="003115E3">
              <w:rPr>
                <w:color w:val="231F20"/>
                <w:spacing w:val="-12"/>
                <w:w w:val="120"/>
              </w:rPr>
              <w:t xml:space="preserve"> </w:t>
            </w:r>
            <w:r w:rsidR="003115E3">
              <w:rPr>
                <w:color w:val="231F20"/>
                <w:spacing w:val="5"/>
                <w:w w:val="120"/>
              </w:rPr>
              <w:t>raf</w:t>
            </w:r>
            <w:r w:rsidR="003115E3">
              <w:rPr>
                <w:color w:val="231F20"/>
                <w:spacing w:val="-2"/>
                <w:w w:val="120"/>
              </w:rPr>
              <w:t xml:space="preserve"> </w:t>
            </w:r>
            <w:r w:rsidR="003115E3">
              <w:rPr>
                <w:color w:val="231F20"/>
                <w:w w:val="120"/>
              </w:rPr>
              <w:t>prisoners</w:t>
            </w:r>
            <w:r w:rsidR="003115E3">
              <w:rPr>
                <w:color w:val="231F20"/>
                <w:w w:val="120"/>
              </w:rPr>
              <w:tab/>
            </w:r>
            <w:r w:rsidR="003115E3">
              <w:rPr>
                <w:color w:val="231F20"/>
                <w:spacing w:val="-4"/>
                <w:w w:val="120"/>
              </w:rPr>
              <w:t>548</w:t>
            </w:r>
          </w:hyperlink>
        </w:p>
        <w:p w14:paraId="1744DE72" w14:textId="77777777" w:rsidR="002653E8" w:rsidRDefault="00000000">
          <w:pPr>
            <w:pStyle w:val="TOC5"/>
            <w:tabs>
              <w:tab w:val="left" w:pos="7152"/>
            </w:tabs>
            <w:ind w:left="1840"/>
          </w:pPr>
          <w:hyperlink w:anchor="_bookmark86" w:history="1">
            <w:r w:rsidR="003115E3">
              <w:rPr>
                <w:color w:val="231F20"/>
                <w:w w:val="120"/>
              </w:rPr>
              <w:t xml:space="preserve">appendix iii: </w:t>
            </w:r>
            <w:r w:rsidR="003115E3">
              <w:rPr>
                <w:color w:val="231F20"/>
                <w:spacing w:val="2"/>
                <w:w w:val="120"/>
              </w:rPr>
              <w:t xml:space="preserve">the </w:t>
            </w:r>
            <w:r w:rsidR="003115E3">
              <w:rPr>
                <w:color w:val="231F20"/>
                <w:w w:val="120"/>
              </w:rPr>
              <w:t xml:space="preserve">frg </w:t>
            </w:r>
            <w:r w:rsidR="003115E3">
              <w:rPr>
                <w:color w:val="231F20"/>
                <w:spacing w:val="3"/>
                <w:w w:val="120"/>
              </w:rPr>
              <w:t xml:space="preserve">and </w:t>
            </w:r>
            <w:r w:rsidR="003115E3">
              <w:rPr>
                <w:color w:val="231F20"/>
                <w:spacing w:val="2"/>
                <w:w w:val="120"/>
              </w:rPr>
              <w:t xml:space="preserve">the </w:t>
            </w:r>
            <w:r w:rsidR="003115E3">
              <w:rPr>
                <w:color w:val="231F20"/>
                <w:w w:val="120"/>
              </w:rPr>
              <w:t xml:space="preserve">state </w:t>
            </w:r>
            <w:r w:rsidR="003115E3">
              <w:rPr>
                <w:color w:val="231F20"/>
                <w:spacing w:val="-3"/>
                <w:w w:val="120"/>
              </w:rPr>
              <w:t>of</w:t>
            </w:r>
            <w:r w:rsidR="003115E3">
              <w:rPr>
                <w:color w:val="231F20"/>
                <w:w w:val="120"/>
              </w:rPr>
              <w:t xml:space="preserve"> </w:t>
            </w:r>
            <w:r w:rsidR="003115E3">
              <w:rPr>
                <w:color w:val="231F20"/>
                <w:spacing w:val="1"/>
                <w:w w:val="120"/>
              </w:rPr>
              <w:t>israel</w:t>
            </w:r>
            <w:r w:rsidR="003115E3">
              <w:rPr>
                <w:color w:val="231F20"/>
                <w:spacing w:val="1"/>
                <w:w w:val="120"/>
              </w:rPr>
              <w:tab/>
            </w:r>
            <w:r w:rsidR="003115E3">
              <w:rPr>
                <w:color w:val="231F20"/>
                <w:spacing w:val="-10"/>
                <w:w w:val="120"/>
              </w:rPr>
              <w:t>550</w:t>
            </w:r>
          </w:hyperlink>
        </w:p>
        <w:p w14:paraId="481670FD" w14:textId="77777777" w:rsidR="002653E8" w:rsidRDefault="00000000">
          <w:pPr>
            <w:pStyle w:val="TOC5"/>
            <w:tabs>
              <w:tab w:val="left" w:pos="7149"/>
            </w:tabs>
          </w:pPr>
          <w:hyperlink w:anchor="_bookmark87" w:history="1">
            <w:r w:rsidR="003115E3">
              <w:rPr>
                <w:color w:val="231F20"/>
                <w:w w:val="115"/>
              </w:rPr>
              <w:t xml:space="preserve">appendix iv: </w:t>
            </w:r>
            <w:r w:rsidR="003115E3">
              <w:rPr>
                <w:color w:val="231F20"/>
                <w:spacing w:val="2"/>
                <w:w w:val="115"/>
              </w:rPr>
              <w:t xml:space="preserve">the </w:t>
            </w:r>
            <w:r w:rsidR="003115E3">
              <w:rPr>
                <w:color w:val="231F20"/>
                <w:w w:val="115"/>
              </w:rPr>
              <w:t>geneva</w:t>
            </w:r>
            <w:r w:rsidR="003115E3">
              <w:rPr>
                <w:color w:val="231F20"/>
                <w:spacing w:val="-7"/>
                <w:w w:val="115"/>
              </w:rPr>
              <w:t xml:space="preserve"> </w:t>
            </w:r>
            <w:r w:rsidR="003115E3">
              <w:rPr>
                <w:color w:val="231F20"/>
                <w:w w:val="115"/>
              </w:rPr>
              <w:t>convention:</w:t>
            </w:r>
            <w:r w:rsidR="003115E3">
              <w:rPr>
                <w:color w:val="231F20"/>
                <w:spacing w:val="-1"/>
                <w:w w:val="115"/>
              </w:rPr>
              <w:t xml:space="preserve"> </w:t>
            </w:r>
            <w:r w:rsidR="003115E3">
              <w:rPr>
                <w:color w:val="231F20"/>
                <w:spacing w:val="1"/>
                <w:w w:val="115"/>
              </w:rPr>
              <w:t>excerpts</w:t>
            </w:r>
            <w:r w:rsidR="003115E3">
              <w:rPr>
                <w:color w:val="231F20"/>
                <w:spacing w:val="1"/>
                <w:w w:val="115"/>
              </w:rPr>
              <w:tab/>
            </w:r>
            <w:r w:rsidR="003115E3">
              <w:rPr>
                <w:color w:val="231F20"/>
                <w:spacing w:val="-9"/>
                <w:w w:val="115"/>
              </w:rPr>
              <w:t>554</w:t>
            </w:r>
          </w:hyperlink>
        </w:p>
        <w:p w14:paraId="1FF96EE2" w14:textId="77777777" w:rsidR="002653E8" w:rsidRDefault="00000000">
          <w:pPr>
            <w:pStyle w:val="TOC5"/>
          </w:pPr>
          <w:hyperlink w:anchor="_bookmark88" w:history="1">
            <w:r w:rsidR="003115E3">
              <w:rPr>
                <w:color w:val="231F20"/>
                <w:w w:val="115"/>
              </w:rPr>
              <w:t>appendix v: strange stories:</w:t>
            </w:r>
          </w:hyperlink>
        </w:p>
        <w:p w14:paraId="3F1F86D4" w14:textId="77777777" w:rsidR="002653E8" w:rsidRDefault="00000000">
          <w:pPr>
            <w:pStyle w:val="TOC5"/>
            <w:tabs>
              <w:tab w:val="left" w:pos="7150"/>
            </w:tabs>
            <w:spacing w:before="22"/>
          </w:pPr>
          <w:hyperlink w:anchor="_bookmark88" w:history="1">
            <w:r w:rsidR="003115E3">
              <w:rPr>
                <w:color w:val="231F20"/>
                <w:spacing w:val="1"/>
                <w:w w:val="115"/>
              </w:rPr>
              <w:t xml:space="preserve">peter homann </w:t>
            </w:r>
            <w:r w:rsidR="003115E3">
              <w:rPr>
                <w:color w:val="231F20"/>
                <w:spacing w:val="3"/>
                <w:w w:val="115"/>
              </w:rPr>
              <w:t>and</w:t>
            </w:r>
            <w:r w:rsidR="003115E3">
              <w:rPr>
                <w:color w:val="231F20"/>
                <w:spacing w:val="7"/>
                <w:w w:val="115"/>
              </w:rPr>
              <w:t xml:space="preserve"> </w:t>
            </w:r>
            <w:r w:rsidR="003115E3">
              <w:rPr>
                <w:color w:val="231F20"/>
                <w:w w:val="115"/>
              </w:rPr>
              <w:t>stefan</w:t>
            </w:r>
            <w:r w:rsidR="003115E3">
              <w:rPr>
                <w:color w:val="231F20"/>
                <w:spacing w:val="3"/>
                <w:w w:val="115"/>
              </w:rPr>
              <w:t xml:space="preserve"> </w:t>
            </w:r>
            <w:r w:rsidR="003115E3">
              <w:rPr>
                <w:color w:val="231F20"/>
                <w:w w:val="115"/>
              </w:rPr>
              <w:t>aust</w:t>
            </w:r>
            <w:r w:rsidR="003115E3">
              <w:rPr>
                <w:color w:val="231F20"/>
                <w:w w:val="115"/>
              </w:rPr>
              <w:tab/>
            </w:r>
            <w:r w:rsidR="003115E3">
              <w:rPr>
                <w:color w:val="231F20"/>
                <w:spacing w:val="-9"/>
                <w:w w:val="115"/>
              </w:rPr>
              <w:t>557</w:t>
            </w:r>
          </w:hyperlink>
        </w:p>
        <w:p w14:paraId="37844BBB" w14:textId="77777777" w:rsidR="002653E8" w:rsidRDefault="00000000">
          <w:pPr>
            <w:pStyle w:val="TOC5"/>
          </w:pPr>
          <w:hyperlink w:anchor="_bookmark89" w:history="1">
            <w:r w:rsidR="003115E3">
              <w:rPr>
                <w:color w:val="231F20"/>
                <w:w w:val="115"/>
              </w:rPr>
              <w:t>appendix vi: the german guerilla</w:t>
            </w:r>
            <w:r w:rsidR="003115E3">
              <w:rPr>
                <w:color w:val="231F20"/>
                <w:w w:val="115"/>
                <w:sz w:val="19"/>
              </w:rPr>
              <w:t>’</w:t>
            </w:r>
            <w:r w:rsidR="003115E3">
              <w:rPr>
                <w:color w:val="231F20"/>
                <w:w w:val="115"/>
              </w:rPr>
              <w:t>s</w:t>
            </w:r>
          </w:hyperlink>
        </w:p>
        <w:p w14:paraId="695A212B" w14:textId="77777777" w:rsidR="002653E8" w:rsidRDefault="00000000">
          <w:pPr>
            <w:pStyle w:val="TOC5"/>
            <w:tabs>
              <w:tab w:val="left" w:pos="7152"/>
            </w:tabs>
            <w:spacing w:before="22"/>
            <w:ind w:left="1840"/>
          </w:pPr>
          <w:hyperlink w:anchor="_bookmark89" w:history="1">
            <w:r w:rsidR="003115E3">
              <w:rPr>
                <w:color w:val="231F20"/>
                <w:spacing w:val="-10"/>
                <w:w w:val="89"/>
              </w:rPr>
              <w:t>p</w:t>
            </w:r>
            <w:r w:rsidR="003115E3">
              <w:rPr>
                <w:color w:val="231F20"/>
                <w:spacing w:val="5"/>
                <w:w w:val="113"/>
              </w:rPr>
              <w:t>a</w:t>
            </w:r>
            <w:r w:rsidR="003115E3">
              <w:rPr>
                <w:color w:val="231F20"/>
                <w:spacing w:val="5"/>
                <w:w w:val="184"/>
              </w:rPr>
              <w:t>l</w:t>
            </w:r>
            <w:r w:rsidR="003115E3">
              <w:rPr>
                <w:color w:val="231F20"/>
                <w:spacing w:val="2"/>
                <w:w w:val="102"/>
              </w:rPr>
              <w:t>e</w:t>
            </w:r>
            <w:r w:rsidR="003115E3">
              <w:rPr>
                <w:color w:val="231F20"/>
                <w:w w:val="103"/>
              </w:rPr>
              <w:t>s</w:t>
            </w:r>
            <w:r w:rsidR="003115E3">
              <w:rPr>
                <w:color w:val="231F20"/>
                <w:spacing w:val="5"/>
                <w:w w:val="147"/>
              </w:rPr>
              <w:t>t</w:t>
            </w:r>
            <w:r w:rsidR="003115E3">
              <w:rPr>
                <w:color w:val="231F20"/>
                <w:spacing w:val="3"/>
                <w:w w:val="119"/>
              </w:rPr>
              <w:t>i</w:t>
            </w:r>
            <w:r w:rsidR="003115E3">
              <w:rPr>
                <w:color w:val="231F20"/>
                <w:spacing w:val="5"/>
                <w:w w:val="109"/>
              </w:rPr>
              <w:t>n</w:t>
            </w:r>
            <w:r w:rsidR="003115E3">
              <w:rPr>
                <w:color w:val="231F20"/>
                <w:spacing w:val="5"/>
                <w:w w:val="119"/>
              </w:rPr>
              <w:t>i</w:t>
            </w:r>
            <w:r w:rsidR="003115E3">
              <w:rPr>
                <w:color w:val="231F20"/>
                <w:spacing w:val="8"/>
                <w:w w:val="113"/>
              </w:rPr>
              <w:t>a</w:t>
            </w:r>
            <w:r w:rsidR="003115E3">
              <w:rPr>
                <w:color w:val="231F20"/>
                <w:w w:val="109"/>
              </w:rPr>
              <w:t>n</w:t>
            </w:r>
            <w:r w:rsidR="003115E3">
              <w:rPr>
                <w:color w:val="231F20"/>
                <w:spacing w:val="11"/>
              </w:rPr>
              <w:t xml:space="preserve"> </w:t>
            </w:r>
            <w:r w:rsidR="003115E3">
              <w:rPr>
                <w:color w:val="231F20"/>
                <w:spacing w:val="5"/>
                <w:w w:val="113"/>
              </w:rPr>
              <w:t>a</w:t>
            </w:r>
            <w:r w:rsidR="003115E3">
              <w:rPr>
                <w:color w:val="231F20"/>
                <w:spacing w:val="1"/>
                <w:w w:val="184"/>
              </w:rPr>
              <w:t>l</w:t>
            </w:r>
            <w:r w:rsidR="003115E3">
              <w:rPr>
                <w:color w:val="231F20"/>
                <w:spacing w:val="3"/>
                <w:w w:val="184"/>
              </w:rPr>
              <w:t>l</w:t>
            </w:r>
            <w:r w:rsidR="003115E3">
              <w:rPr>
                <w:color w:val="231F20"/>
                <w:spacing w:val="2"/>
                <w:w w:val="119"/>
              </w:rPr>
              <w:t>i</w:t>
            </w:r>
            <w:r w:rsidR="003115E3">
              <w:rPr>
                <w:color w:val="231F20"/>
                <w:spacing w:val="2"/>
                <w:w w:val="102"/>
              </w:rPr>
              <w:t>e</w:t>
            </w:r>
            <w:r w:rsidR="003115E3">
              <w:rPr>
                <w:color w:val="231F20"/>
                <w:spacing w:val="-3"/>
                <w:w w:val="103"/>
              </w:rPr>
              <w:t>s</w:t>
            </w:r>
            <w:r w:rsidR="003115E3">
              <w:rPr>
                <w:color w:val="231F20"/>
                <w:w w:val="105"/>
              </w:rPr>
              <w:t>:</w:t>
            </w:r>
            <w:r w:rsidR="003115E3">
              <w:rPr>
                <w:color w:val="231F20"/>
                <w:spacing w:val="11"/>
              </w:rPr>
              <w:t xml:space="preserve"> </w:t>
            </w:r>
            <w:r w:rsidR="003115E3">
              <w:rPr>
                <w:color w:val="231F20"/>
                <w:spacing w:val="-13"/>
              </w:rPr>
              <w:t>w</w:t>
            </w:r>
            <w:r w:rsidR="003115E3">
              <w:rPr>
                <w:color w:val="231F20"/>
                <w:spacing w:val="6"/>
                <w:w w:val="113"/>
              </w:rPr>
              <w:t>a</w:t>
            </w:r>
            <w:r w:rsidR="003115E3">
              <w:rPr>
                <w:color w:val="231F20"/>
                <w:spacing w:val="-5"/>
                <w:w w:val="120"/>
              </w:rPr>
              <w:t>dd</w:t>
            </w:r>
            <w:r w:rsidR="003115E3">
              <w:rPr>
                <w:color w:val="231F20"/>
                <w:w w:val="119"/>
              </w:rPr>
              <w:t>i</w:t>
            </w:r>
            <w:r w:rsidR="003115E3">
              <w:rPr>
                <w:color w:val="231F20"/>
                <w:spacing w:val="11"/>
              </w:rPr>
              <w:t xml:space="preserve"> </w:t>
            </w:r>
            <w:r w:rsidR="003115E3">
              <w:rPr>
                <w:color w:val="231F20"/>
                <w:spacing w:val="7"/>
                <w:w w:val="120"/>
              </w:rPr>
              <w:t>h</w:t>
            </w:r>
            <w:r w:rsidR="003115E3">
              <w:rPr>
                <w:color w:val="231F20"/>
                <w:spacing w:val="6"/>
                <w:w w:val="113"/>
              </w:rPr>
              <w:t>a</w:t>
            </w:r>
            <w:r w:rsidR="003115E3">
              <w:rPr>
                <w:color w:val="231F20"/>
                <w:spacing w:val="-5"/>
                <w:w w:val="120"/>
              </w:rPr>
              <w:t>dd</w:t>
            </w:r>
            <w:r w:rsidR="003115E3">
              <w:rPr>
                <w:color w:val="231F20"/>
                <w:spacing w:val="6"/>
                <w:w w:val="113"/>
              </w:rPr>
              <w:t>a</w:t>
            </w:r>
            <w:r w:rsidR="003115E3">
              <w:rPr>
                <w:color w:val="231F20"/>
                <w:spacing w:val="-3"/>
                <w:w w:val="120"/>
              </w:rPr>
              <w:t>d</w:t>
            </w:r>
            <w:r w:rsidR="003115E3">
              <w:rPr>
                <w:color w:val="231F20"/>
                <w:spacing w:val="-2"/>
                <w:w w:val="125"/>
                <w:sz w:val="19"/>
              </w:rPr>
              <w:t>’</w:t>
            </w:r>
            <w:r w:rsidR="003115E3">
              <w:rPr>
                <w:color w:val="231F20"/>
                <w:w w:val="103"/>
              </w:rPr>
              <w:t>s</w:t>
            </w:r>
            <w:r w:rsidR="003115E3">
              <w:rPr>
                <w:color w:val="231F20"/>
                <w:spacing w:val="11"/>
              </w:rPr>
              <w:t xml:space="preserve"> </w:t>
            </w:r>
            <w:r w:rsidR="003115E3">
              <w:rPr>
                <w:color w:val="231F20"/>
                <w:w w:val="89"/>
              </w:rPr>
              <w:t>p</w:t>
            </w:r>
            <w:r w:rsidR="003115E3">
              <w:rPr>
                <w:color w:val="231F20"/>
                <w:w w:val="165"/>
              </w:rPr>
              <w:t>f</w:t>
            </w:r>
            <w:r w:rsidR="003115E3">
              <w:rPr>
                <w:color w:val="231F20"/>
                <w:spacing w:val="3"/>
                <w:w w:val="184"/>
              </w:rPr>
              <w:t>l</w:t>
            </w:r>
            <w:r w:rsidR="003115E3">
              <w:rPr>
                <w:color w:val="231F20"/>
                <w:w w:val="89"/>
              </w:rPr>
              <w:t>p</w:t>
            </w:r>
            <w:r w:rsidR="003115E3">
              <w:rPr>
                <w:color w:val="231F20"/>
                <w:spacing w:val="-12"/>
              </w:rPr>
              <w:t xml:space="preserve"> </w:t>
            </w:r>
            <w:r w:rsidR="003115E3">
              <w:rPr>
                <w:color w:val="231F20"/>
                <w:spacing w:val="-7"/>
                <w:w w:val="87"/>
              </w:rPr>
              <w:t>(</w:t>
            </w:r>
            <w:r w:rsidR="003115E3">
              <w:rPr>
                <w:color w:val="231F20"/>
                <w:w w:val="102"/>
              </w:rPr>
              <w:t>e</w:t>
            </w:r>
            <w:r w:rsidR="003115E3">
              <w:rPr>
                <w:color w:val="231F20"/>
                <w:spacing w:val="-12"/>
                <w:w w:val="125"/>
              </w:rPr>
              <w:t>o</w:t>
            </w:r>
            <w:r w:rsidR="003115E3">
              <w:rPr>
                <w:color w:val="231F20"/>
                <w:w w:val="87"/>
              </w:rPr>
              <w:t>)</w:t>
            </w:r>
            <w:r w:rsidR="003115E3">
              <w:rPr>
                <w:color w:val="231F20"/>
                <w:w w:val="126"/>
              </w:rPr>
              <w:t xml:space="preserve"> </w:t>
            </w:r>
            <w:r w:rsidR="003115E3">
              <w:rPr>
                <w:color w:val="231F20"/>
              </w:rPr>
              <w:tab/>
            </w:r>
            <w:r w:rsidR="003115E3">
              <w:rPr>
                <w:color w:val="231F20"/>
                <w:spacing w:val="-20"/>
              </w:rPr>
              <w:t>5</w:t>
            </w:r>
            <w:r w:rsidR="003115E3">
              <w:rPr>
                <w:color w:val="231F20"/>
                <w:spacing w:val="-9"/>
              </w:rPr>
              <w:t>5</w:t>
            </w:r>
            <w:r w:rsidR="003115E3">
              <w:rPr>
                <w:color w:val="231F20"/>
              </w:rPr>
              <w:t>9</w:t>
            </w:r>
          </w:hyperlink>
        </w:p>
        <w:p w14:paraId="41B75F77" w14:textId="77777777" w:rsidR="002653E8" w:rsidRDefault="00000000">
          <w:pPr>
            <w:pStyle w:val="TOC3"/>
            <w:tabs>
              <w:tab w:val="left" w:pos="7124"/>
            </w:tabs>
            <w:spacing w:before="156"/>
            <w:rPr>
              <w:sz w:val="22"/>
            </w:rPr>
          </w:pPr>
          <w:hyperlink w:anchor="_bookmark90" w:history="1">
            <w:r w:rsidR="003115E3">
              <w:rPr>
                <w:color w:val="231F20"/>
                <w:w w:val="110"/>
              </w:rPr>
              <w:t>dramatis</w:t>
            </w:r>
            <w:r w:rsidR="003115E3">
              <w:rPr>
                <w:color w:val="231F20"/>
                <w:spacing w:val="18"/>
                <w:w w:val="110"/>
              </w:rPr>
              <w:t xml:space="preserve"> </w:t>
            </w:r>
            <w:r w:rsidR="003115E3">
              <w:rPr>
                <w:color w:val="231F20"/>
                <w:w w:val="110"/>
              </w:rPr>
              <w:t>personae</w:t>
            </w:r>
            <w:r w:rsidR="003115E3">
              <w:rPr>
                <w:color w:val="231F20"/>
                <w:w w:val="110"/>
              </w:rPr>
              <w:tab/>
            </w:r>
            <w:r w:rsidR="003115E3">
              <w:rPr>
                <w:color w:val="231F20"/>
                <w:w w:val="110"/>
                <w:sz w:val="22"/>
              </w:rPr>
              <w:t>563</w:t>
            </w:r>
          </w:hyperlink>
        </w:p>
        <w:p w14:paraId="32D620D6" w14:textId="77777777" w:rsidR="002653E8" w:rsidRDefault="00000000">
          <w:pPr>
            <w:pStyle w:val="TOC3"/>
            <w:spacing w:before="16"/>
            <w:rPr>
              <w:sz w:val="22"/>
            </w:rPr>
          </w:pPr>
          <w:hyperlink w:anchor="_bookmark91" w:history="1">
            <w:r w:rsidR="003115E3">
              <w:rPr>
                <w:color w:val="231F20"/>
                <w:w w:val="115"/>
              </w:rPr>
              <w:t xml:space="preserve">armed struggle in w. germany: a chronology  </w:t>
            </w:r>
            <w:r w:rsidR="003115E3">
              <w:rPr>
                <w:color w:val="231F20"/>
                <w:w w:val="115"/>
                <w:sz w:val="22"/>
              </w:rPr>
              <w:t>579</w:t>
            </w:r>
          </w:hyperlink>
        </w:p>
        <w:p w14:paraId="5BB68BF4" w14:textId="77777777" w:rsidR="002653E8" w:rsidRDefault="00000000">
          <w:pPr>
            <w:pStyle w:val="TOC3"/>
            <w:tabs>
              <w:tab w:val="left" w:pos="7124"/>
            </w:tabs>
            <w:rPr>
              <w:sz w:val="22"/>
            </w:rPr>
          </w:pPr>
          <w:hyperlink w:anchor="_bookmark92" w:history="1">
            <w:r w:rsidR="003115E3">
              <w:rPr>
                <w:color w:val="231F20"/>
                <w:w w:val="120"/>
              </w:rPr>
              <w:t>note on sources</w:t>
            </w:r>
            <w:r w:rsidR="003115E3">
              <w:rPr>
                <w:color w:val="231F20"/>
                <w:spacing w:val="-28"/>
                <w:w w:val="120"/>
              </w:rPr>
              <w:t xml:space="preserve"> </w:t>
            </w:r>
            <w:r w:rsidR="003115E3">
              <w:rPr>
                <w:color w:val="231F20"/>
                <w:w w:val="120"/>
              </w:rPr>
              <w:t>and</w:t>
            </w:r>
            <w:r w:rsidR="003115E3">
              <w:rPr>
                <w:color w:val="231F20"/>
                <w:spacing w:val="-10"/>
                <w:w w:val="120"/>
              </w:rPr>
              <w:t xml:space="preserve"> </w:t>
            </w:r>
            <w:r w:rsidR="003115E3">
              <w:rPr>
                <w:color w:val="231F20"/>
                <w:w w:val="120"/>
              </w:rPr>
              <w:t>methodology</w:t>
            </w:r>
            <w:r w:rsidR="003115E3">
              <w:rPr>
                <w:color w:val="231F20"/>
                <w:w w:val="120"/>
              </w:rPr>
              <w:tab/>
            </w:r>
            <w:r w:rsidR="003115E3">
              <w:rPr>
                <w:color w:val="231F20"/>
                <w:w w:val="120"/>
                <w:sz w:val="22"/>
              </w:rPr>
              <w:t>629</w:t>
            </w:r>
          </w:hyperlink>
        </w:p>
        <w:p w14:paraId="05240428" w14:textId="77777777" w:rsidR="002653E8" w:rsidRDefault="00000000">
          <w:pPr>
            <w:pStyle w:val="TOC3"/>
            <w:tabs>
              <w:tab w:val="left" w:pos="7124"/>
            </w:tabs>
            <w:rPr>
              <w:sz w:val="22"/>
            </w:rPr>
          </w:pPr>
          <w:hyperlink w:anchor="_bookmark93" w:history="1">
            <w:r w:rsidR="003115E3">
              <w:rPr>
                <w:color w:val="231F20"/>
                <w:w w:val="115"/>
              </w:rPr>
              <w:t>bibliography</w:t>
            </w:r>
            <w:r w:rsidR="003115E3">
              <w:rPr>
                <w:color w:val="231F20"/>
                <w:w w:val="115"/>
              </w:rPr>
              <w:tab/>
            </w:r>
            <w:r w:rsidR="003115E3">
              <w:rPr>
                <w:color w:val="231F20"/>
                <w:w w:val="115"/>
                <w:sz w:val="22"/>
              </w:rPr>
              <w:t>632</w:t>
            </w:r>
          </w:hyperlink>
        </w:p>
        <w:p w14:paraId="51C03751" w14:textId="77777777" w:rsidR="002653E8" w:rsidRDefault="00000000">
          <w:pPr>
            <w:pStyle w:val="TOC4"/>
            <w:tabs>
              <w:tab w:val="left" w:pos="7124"/>
            </w:tabs>
            <w:rPr>
              <w:b w:val="0"/>
              <w:i w:val="0"/>
            </w:rPr>
          </w:pPr>
          <w:hyperlink w:anchor="_bookmark94" w:history="1">
            <w:r w:rsidR="003115E3">
              <w:rPr>
                <w:b w:val="0"/>
                <w:i w:val="0"/>
                <w:color w:val="231F20"/>
                <w:w w:val="110"/>
                <w:sz w:val="26"/>
              </w:rPr>
              <w:t>index</w:t>
            </w:r>
            <w:r w:rsidR="003115E3">
              <w:rPr>
                <w:b w:val="0"/>
                <w:i w:val="0"/>
                <w:color w:val="231F20"/>
                <w:w w:val="110"/>
                <w:sz w:val="26"/>
              </w:rPr>
              <w:tab/>
            </w:r>
            <w:r w:rsidR="003115E3">
              <w:rPr>
                <w:b w:val="0"/>
                <w:i w:val="0"/>
                <w:color w:val="231F20"/>
                <w:w w:val="110"/>
              </w:rPr>
              <w:t>663</w:t>
            </w:r>
          </w:hyperlink>
        </w:p>
      </w:sdtContent>
    </w:sdt>
    <w:p w14:paraId="5616EE86" w14:textId="77777777" w:rsidR="002653E8" w:rsidRDefault="002653E8">
      <w:pPr>
        <w:sectPr w:rsidR="002653E8">
          <w:pgSz w:w="8640" w:h="12960"/>
          <w:pgMar w:top="1119" w:right="0" w:bottom="1570" w:left="0" w:header="720" w:footer="720" w:gutter="0"/>
          <w:cols w:space="720"/>
        </w:sectPr>
      </w:pPr>
    </w:p>
    <w:p w14:paraId="48C96B30" w14:textId="77777777" w:rsidR="002653E8" w:rsidRDefault="003115E3">
      <w:pPr>
        <w:pStyle w:val="4"/>
        <w:spacing w:before="88"/>
        <w:ind w:left="2121"/>
        <w:rPr>
          <w:rFonts w:ascii="Cambria"/>
        </w:rPr>
      </w:pPr>
      <w:bookmarkStart w:id="4" w:name="Foreword_by_Bill_Dunne_"/>
      <w:bookmarkStart w:id="5" w:name="_bookmark0"/>
      <w:bookmarkEnd w:id="4"/>
      <w:bookmarkEnd w:id="5"/>
      <w:r>
        <w:rPr>
          <w:rFonts w:ascii="Cambria"/>
          <w:color w:val="231F20"/>
          <w:w w:val="125"/>
        </w:rPr>
        <w:lastRenderedPageBreak/>
        <w:t>foreword by bill dunne</w:t>
      </w:r>
    </w:p>
    <w:p w14:paraId="7221E87A" w14:textId="77777777" w:rsidR="002653E8" w:rsidRDefault="003115E3">
      <w:pPr>
        <w:pStyle w:val="a3"/>
        <w:spacing w:before="257" w:line="264" w:lineRule="auto"/>
        <w:ind w:left="1147" w:right="1325"/>
        <w:jc w:val="both"/>
      </w:pPr>
      <w:r>
        <w:rPr>
          <w:i/>
          <w:color w:val="231F20"/>
        </w:rPr>
        <w:t xml:space="preserve">Projectiles for the People, Volume One </w:t>
      </w:r>
      <w:r>
        <w:rPr>
          <w:color w:val="231F20"/>
        </w:rPr>
        <w:t xml:space="preserve">of </w:t>
      </w:r>
      <w:r>
        <w:rPr>
          <w:i/>
          <w:color w:val="231F20"/>
        </w:rPr>
        <w:t xml:space="preserve">The Red Army Faction: A Documentary History, </w:t>
      </w:r>
      <w:r>
        <w:rPr>
          <w:color w:val="231F20"/>
        </w:rPr>
        <w:t xml:space="preserve">is an important exposition of what it means to wage armed struggle as an urban guerilla in the post WWII western imperial-capitalist paradigm. Via the fast-turning pages of </w:t>
      </w:r>
      <w:r>
        <w:rPr>
          <w:i/>
          <w:color w:val="231F20"/>
        </w:rPr>
        <w:t xml:space="preserve">Projectiles, </w:t>
      </w:r>
      <w:r>
        <w:rPr>
          <w:color w:val="231F20"/>
        </w:rPr>
        <w:t xml:space="preserve">Smith and Moncourt usher us through the </w:t>
      </w:r>
      <w:r w:rsidR="00C507A5">
        <w:rPr>
          <w:color w:val="231F20"/>
        </w:rPr>
        <w:t>red army faction</w:t>
      </w:r>
      <w:r>
        <w:rPr>
          <w:color w:val="231F20"/>
        </w:rPr>
        <w:t xml:space="preserve">’s emergence in Germany from a moribund and constrained left opposition misdirected and suppressed by U.S. imperialism and a quisling bourgeoisie. The </w:t>
      </w:r>
      <w:r w:rsidR="00C507A5">
        <w:rPr>
          <w:color w:val="231F20"/>
        </w:rPr>
        <w:t>red army faction</w:t>
      </w:r>
      <w:r>
        <w:rPr>
          <w:color w:val="231F20"/>
        </w:rPr>
        <w:t xml:space="preserve">’s “projectiles for the people” documented their political, practical, intellectual, and emotional trajectory into taking up and using the gun in service of revolutionary communist class war. </w:t>
      </w:r>
      <w:r>
        <w:rPr>
          <w:i/>
          <w:color w:val="231F20"/>
        </w:rPr>
        <w:t xml:space="preserve">Projectiles </w:t>
      </w:r>
      <w:r>
        <w:rPr>
          <w:color w:val="231F20"/>
        </w:rPr>
        <w:t>brings us their voices and links their context to ours.</w:t>
      </w:r>
    </w:p>
    <w:p w14:paraId="19E07A92" w14:textId="77777777" w:rsidR="002653E8" w:rsidRDefault="003115E3">
      <w:pPr>
        <w:pStyle w:val="a3"/>
        <w:spacing w:line="264" w:lineRule="auto"/>
        <w:ind w:left="1147" w:right="1325" w:firstLine="209"/>
        <w:jc w:val="both"/>
      </w:pPr>
      <w:r>
        <w:rPr>
          <w:i/>
          <w:color w:val="231F20"/>
        </w:rPr>
        <w:t xml:space="preserve">Projectiles </w:t>
      </w:r>
      <w:r>
        <w:rPr>
          <w:color w:val="231F20"/>
        </w:rPr>
        <w:t xml:space="preserve">shows us how the </w:t>
      </w:r>
      <w:r w:rsidR="00C507A5">
        <w:rPr>
          <w:color w:val="231F20"/>
          <w:spacing w:val="5"/>
        </w:rPr>
        <w:t>red army faction</w:t>
      </w:r>
      <w:r>
        <w:rPr>
          <w:color w:val="231F20"/>
          <w:spacing w:val="5"/>
        </w:rPr>
        <w:t xml:space="preserve"> </w:t>
      </w:r>
      <w:r>
        <w:rPr>
          <w:color w:val="231F20"/>
        </w:rPr>
        <w:t xml:space="preserve">engaged in people’s warfare without descending into adventurism. It reveals how the guerilla was able  to work with apparently unlikely allies and eschew involvement with ostensibly likely ones based on sophisticated analysis of the demands of conditions, time, and place. It illustrates how  the comrades were able  to internalize the trauma of frequently fatal mistakes and defeats as  well as the euphoria of correct practice and victories. It explains how the organization recognized and responded to the enemy’s slanderous campaign of vilification aimed at creating a false opposition to the underground. </w:t>
      </w:r>
      <w:r>
        <w:rPr>
          <w:i/>
          <w:color w:val="231F20"/>
        </w:rPr>
        <w:t xml:space="preserve">Projectiles, </w:t>
      </w:r>
      <w:r>
        <w:rPr>
          <w:color w:val="231F20"/>
        </w:rPr>
        <w:t xml:space="preserve">in this exploration of these and many other elements of </w:t>
      </w:r>
      <w:r w:rsidR="00C507A5">
        <w:rPr>
          <w:color w:val="231F20"/>
          <w:spacing w:val="5"/>
        </w:rPr>
        <w:t>red army faction</w:t>
      </w:r>
      <w:r>
        <w:rPr>
          <w:color w:val="231F20"/>
          <w:spacing w:val="5"/>
        </w:rPr>
        <w:t xml:space="preserve"> </w:t>
      </w:r>
      <w:r>
        <w:rPr>
          <w:color w:val="231F20"/>
        </w:rPr>
        <w:t xml:space="preserve">praxis, thus illustrates that and how the </w:t>
      </w:r>
      <w:r w:rsidR="00C507A5">
        <w:rPr>
          <w:color w:val="231F20"/>
          <w:spacing w:val="5"/>
        </w:rPr>
        <w:t>red army faction</w:t>
      </w:r>
      <w:r>
        <w:rPr>
          <w:color w:val="231F20"/>
          <w:spacing w:val="5"/>
        </w:rPr>
        <w:t xml:space="preserve"> </w:t>
      </w:r>
      <w:r>
        <w:rPr>
          <w:color w:val="231F20"/>
        </w:rPr>
        <w:t>developed arguably the highest expression of armed struggle in the late capitalist first</w:t>
      </w:r>
      <w:r>
        <w:rPr>
          <w:color w:val="231F20"/>
          <w:spacing w:val="10"/>
        </w:rPr>
        <w:t xml:space="preserve"> </w:t>
      </w:r>
      <w:r>
        <w:rPr>
          <w:color w:val="231F20"/>
        </w:rPr>
        <w:t>world.</w:t>
      </w:r>
    </w:p>
    <w:p w14:paraId="53CAFC65" w14:textId="77777777" w:rsidR="002653E8" w:rsidRDefault="003115E3">
      <w:pPr>
        <w:spacing w:line="220" w:lineRule="exact"/>
        <w:ind w:left="1358"/>
        <w:rPr>
          <w:sz w:val="20"/>
        </w:rPr>
      </w:pPr>
      <w:r>
        <w:rPr>
          <w:i/>
          <w:color w:val="231F20"/>
          <w:sz w:val="20"/>
        </w:rPr>
        <w:t xml:space="preserve">Projectiles for the People </w:t>
      </w:r>
      <w:r>
        <w:rPr>
          <w:color w:val="231F20"/>
          <w:sz w:val="20"/>
        </w:rPr>
        <w:t>is more than a dry historical treatise, how-</w:t>
      </w:r>
    </w:p>
    <w:p w14:paraId="2D4181DD" w14:textId="77777777" w:rsidR="002653E8" w:rsidRDefault="003115E3">
      <w:pPr>
        <w:pStyle w:val="a3"/>
        <w:spacing w:before="11" w:line="264" w:lineRule="auto"/>
        <w:ind w:left="1147" w:right="1325"/>
        <w:jc w:val="both"/>
      </w:pPr>
      <w:r>
        <w:rPr>
          <w:color w:val="231F20"/>
        </w:rPr>
        <w:t xml:space="preserve">ever; it is a highly accessible rendition of a story of struggle that puts    us into both the thought and the action. That placement conveys more than a sense or understanding of the </w:t>
      </w:r>
      <w:r w:rsidR="00C507A5">
        <w:rPr>
          <w:color w:val="231F20"/>
          <w:spacing w:val="1"/>
        </w:rPr>
        <w:t>red army faction</w:t>
      </w:r>
      <w:r>
        <w:rPr>
          <w:color w:val="231F20"/>
          <w:spacing w:val="1"/>
        </w:rPr>
        <w:t xml:space="preserve">’s </w:t>
      </w:r>
      <w:r>
        <w:rPr>
          <w:color w:val="231F20"/>
        </w:rPr>
        <w:t xml:space="preserve">praxis. It transmits a connection in a visceral </w:t>
      </w:r>
      <w:r>
        <w:rPr>
          <w:color w:val="231F20"/>
          <w:spacing w:val="-5"/>
        </w:rPr>
        <w:t xml:space="preserve">way. </w:t>
      </w:r>
      <w:r>
        <w:rPr>
          <w:color w:val="231F20"/>
        </w:rPr>
        <w:t xml:space="preserve">Not since reading </w:t>
      </w:r>
      <w:r>
        <w:rPr>
          <w:i/>
          <w:color w:val="231F20"/>
          <w:spacing w:val="-3"/>
        </w:rPr>
        <w:t xml:space="preserve">Ten </w:t>
      </w:r>
      <w:r>
        <w:rPr>
          <w:i/>
          <w:color w:val="231F20"/>
        </w:rPr>
        <w:t xml:space="preserve">Days that Shook the World </w:t>
      </w:r>
      <w:r>
        <w:rPr>
          <w:color w:val="231F20"/>
        </w:rPr>
        <w:t xml:space="preserve">have I been so drawn into a political narrative. Reading like a historical thriller notwithstanding, </w:t>
      </w:r>
      <w:r>
        <w:rPr>
          <w:i/>
          <w:color w:val="231F20"/>
        </w:rPr>
        <w:t xml:space="preserve">Projectiles </w:t>
      </w:r>
      <w:r>
        <w:rPr>
          <w:color w:val="231F20"/>
        </w:rPr>
        <w:t xml:space="preserve">lets us see a rare confluence of theory and practice of which anyone who aspires to make revolution should be aware. The </w:t>
      </w:r>
      <w:r w:rsidR="00C507A5">
        <w:rPr>
          <w:color w:val="231F20"/>
          <w:spacing w:val="5"/>
        </w:rPr>
        <w:t>red army faction</w:t>
      </w:r>
      <w:r>
        <w:rPr>
          <w:color w:val="231F20"/>
          <w:spacing w:val="5"/>
        </w:rPr>
        <w:t xml:space="preserve"> </w:t>
      </w:r>
      <w:r>
        <w:rPr>
          <w:color w:val="231F20"/>
        </w:rPr>
        <w:t xml:space="preserve">may no longer be with us, but it has prepared the ground for and can yet aid the current movement for the most equitable social reality in which all people will have the greatest possible freedom to develop their </w:t>
      </w:r>
      <w:r>
        <w:rPr>
          <w:color w:val="231F20"/>
          <w:spacing w:val="1"/>
        </w:rPr>
        <w:t xml:space="preserve">full </w:t>
      </w:r>
      <w:r>
        <w:rPr>
          <w:color w:val="231F20"/>
        </w:rPr>
        <w:t>human potential. Nowhere else has</w:t>
      </w:r>
      <w:r>
        <w:rPr>
          <w:color w:val="231F20"/>
          <w:spacing w:val="12"/>
        </w:rPr>
        <w:t xml:space="preserve"> </w:t>
      </w:r>
      <w:r>
        <w:rPr>
          <w:color w:val="231F20"/>
        </w:rPr>
        <w:t>the</w:t>
      </w:r>
      <w:r>
        <w:rPr>
          <w:color w:val="231F20"/>
          <w:spacing w:val="12"/>
        </w:rPr>
        <w:t xml:space="preserve"> </w:t>
      </w:r>
      <w:r w:rsidR="00C507A5">
        <w:rPr>
          <w:color w:val="231F20"/>
          <w:spacing w:val="1"/>
        </w:rPr>
        <w:t>red army faction</w:t>
      </w:r>
      <w:r>
        <w:rPr>
          <w:color w:val="231F20"/>
          <w:spacing w:val="1"/>
        </w:rPr>
        <w:t>’s</w:t>
      </w:r>
      <w:r>
        <w:rPr>
          <w:color w:val="231F20"/>
          <w:spacing w:val="12"/>
        </w:rPr>
        <w:t xml:space="preserve"> </w:t>
      </w:r>
      <w:r>
        <w:rPr>
          <w:color w:val="231F20"/>
        </w:rPr>
        <w:t>life,</w:t>
      </w:r>
      <w:r>
        <w:rPr>
          <w:color w:val="231F20"/>
          <w:spacing w:val="12"/>
        </w:rPr>
        <w:t xml:space="preserve"> </w:t>
      </w:r>
      <w:r>
        <w:rPr>
          <w:color w:val="231F20"/>
        </w:rPr>
        <w:t>times,</w:t>
      </w:r>
      <w:r>
        <w:rPr>
          <w:color w:val="231F20"/>
          <w:spacing w:val="12"/>
        </w:rPr>
        <w:t xml:space="preserve"> </w:t>
      </w:r>
      <w:r>
        <w:rPr>
          <w:color w:val="231F20"/>
        </w:rPr>
        <w:t>and</w:t>
      </w:r>
      <w:r>
        <w:rPr>
          <w:color w:val="231F20"/>
          <w:spacing w:val="12"/>
        </w:rPr>
        <w:t xml:space="preserve"> </w:t>
      </w:r>
      <w:r>
        <w:rPr>
          <w:color w:val="231F20"/>
        </w:rPr>
        <w:t>legacy</w:t>
      </w:r>
      <w:r>
        <w:rPr>
          <w:color w:val="231F20"/>
          <w:spacing w:val="12"/>
        </w:rPr>
        <w:t xml:space="preserve"> </w:t>
      </w:r>
      <w:r>
        <w:rPr>
          <w:color w:val="231F20"/>
        </w:rPr>
        <w:t>been</w:t>
      </w:r>
      <w:r>
        <w:rPr>
          <w:color w:val="231F20"/>
          <w:spacing w:val="12"/>
        </w:rPr>
        <w:t xml:space="preserve"> </w:t>
      </w:r>
      <w:r>
        <w:rPr>
          <w:color w:val="231F20"/>
        </w:rPr>
        <w:t>so</w:t>
      </w:r>
      <w:r>
        <w:rPr>
          <w:color w:val="231F20"/>
          <w:spacing w:val="12"/>
        </w:rPr>
        <w:t xml:space="preserve"> </w:t>
      </w:r>
      <w:r>
        <w:rPr>
          <w:color w:val="231F20"/>
        </w:rPr>
        <w:lastRenderedPageBreak/>
        <w:t>clearly</w:t>
      </w:r>
      <w:r>
        <w:rPr>
          <w:color w:val="231F20"/>
          <w:spacing w:val="12"/>
        </w:rPr>
        <w:t xml:space="preserve"> </w:t>
      </w:r>
      <w:r>
        <w:rPr>
          <w:color w:val="231F20"/>
        </w:rPr>
        <w:t>laid</w:t>
      </w:r>
      <w:r>
        <w:rPr>
          <w:color w:val="231F20"/>
          <w:spacing w:val="12"/>
        </w:rPr>
        <w:t xml:space="preserve"> </w:t>
      </w:r>
      <w:r>
        <w:rPr>
          <w:color w:val="231F20"/>
        </w:rPr>
        <w:t>out.</w:t>
      </w:r>
    </w:p>
    <w:p w14:paraId="451FC697" w14:textId="77777777" w:rsidR="002653E8" w:rsidRDefault="002653E8">
      <w:pPr>
        <w:spacing w:line="264" w:lineRule="auto"/>
        <w:jc w:val="both"/>
        <w:sectPr w:rsidR="002653E8">
          <w:footerReference w:type="even" r:id="rId13"/>
          <w:footerReference w:type="default" r:id="rId14"/>
          <w:pgSz w:w="8640" w:h="12960"/>
          <w:pgMar w:top="1220" w:right="0" w:bottom="1040" w:left="0" w:header="0" w:footer="850" w:gutter="0"/>
          <w:cols w:space="720"/>
        </w:sectPr>
      </w:pPr>
    </w:p>
    <w:p w14:paraId="6F125762" w14:textId="77777777" w:rsidR="002653E8" w:rsidRDefault="003115E3">
      <w:pPr>
        <w:pStyle w:val="4"/>
        <w:spacing w:before="88"/>
        <w:ind w:left="179"/>
        <w:jc w:val="center"/>
        <w:rPr>
          <w:rFonts w:ascii="Cambria"/>
        </w:rPr>
      </w:pPr>
      <w:bookmarkStart w:id="6" w:name="A_Word_from_Russell_“Maroon”_Shoats_"/>
      <w:bookmarkStart w:id="7" w:name="_bookmark1"/>
      <w:bookmarkEnd w:id="6"/>
      <w:bookmarkEnd w:id="7"/>
      <w:r>
        <w:rPr>
          <w:rFonts w:ascii="Cambria"/>
          <w:color w:val="231F20"/>
          <w:w w:val="120"/>
        </w:rPr>
        <w:lastRenderedPageBreak/>
        <w:t xml:space="preserve">a  </w:t>
      </w:r>
      <w:r>
        <w:rPr>
          <w:rFonts w:ascii="Cambria"/>
          <w:color w:val="231F20"/>
          <w:spacing w:val="18"/>
          <w:w w:val="120"/>
        </w:rPr>
        <w:t>word</w:t>
      </w:r>
      <w:r>
        <w:rPr>
          <w:rFonts w:ascii="Cambria"/>
          <w:color w:val="231F20"/>
          <w:spacing w:val="97"/>
          <w:w w:val="120"/>
        </w:rPr>
        <w:t xml:space="preserve"> </w:t>
      </w:r>
      <w:r>
        <w:rPr>
          <w:rFonts w:ascii="Cambria"/>
          <w:color w:val="231F20"/>
          <w:spacing w:val="17"/>
          <w:w w:val="120"/>
        </w:rPr>
        <w:t>from</w:t>
      </w:r>
    </w:p>
    <w:p w14:paraId="2DAF4436" w14:textId="77777777" w:rsidR="002653E8" w:rsidRDefault="003115E3">
      <w:pPr>
        <w:spacing w:before="9"/>
        <w:ind w:left="2309"/>
        <w:rPr>
          <w:sz w:val="30"/>
        </w:rPr>
      </w:pPr>
      <w:r>
        <w:rPr>
          <w:color w:val="231F20"/>
          <w:w w:val="130"/>
          <w:sz w:val="30"/>
        </w:rPr>
        <w:t xml:space="preserve">russell </w:t>
      </w:r>
      <w:r>
        <w:rPr>
          <w:color w:val="231F20"/>
          <w:w w:val="130"/>
          <w:sz w:val="30"/>
          <w:vertAlign w:val="subscript"/>
        </w:rPr>
        <w:t>“</w:t>
      </w:r>
      <w:r>
        <w:rPr>
          <w:color w:val="231F20"/>
          <w:w w:val="130"/>
          <w:sz w:val="30"/>
        </w:rPr>
        <w:t>m aroon</w:t>
      </w:r>
      <w:r>
        <w:rPr>
          <w:color w:val="231F20"/>
          <w:w w:val="130"/>
          <w:sz w:val="30"/>
          <w:vertAlign w:val="subscript"/>
        </w:rPr>
        <w:t>”</w:t>
      </w:r>
      <w:r>
        <w:rPr>
          <w:color w:val="231F20"/>
          <w:w w:val="130"/>
          <w:sz w:val="30"/>
        </w:rPr>
        <w:t xml:space="preserve"> shoats</w:t>
      </w:r>
    </w:p>
    <w:p w14:paraId="37D89DF7" w14:textId="77777777" w:rsidR="002653E8" w:rsidRDefault="003115E3">
      <w:pPr>
        <w:pStyle w:val="a3"/>
        <w:spacing w:before="153" w:line="264" w:lineRule="auto"/>
        <w:ind w:left="1327" w:right="1145"/>
        <w:jc w:val="both"/>
      </w:pPr>
      <w:r>
        <w:rPr>
          <w:color w:val="231F20"/>
          <w:spacing w:val="1"/>
        </w:rPr>
        <w:t xml:space="preserve">In </w:t>
      </w:r>
      <w:r>
        <w:rPr>
          <w:color w:val="231F20"/>
        </w:rPr>
        <w:t xml:space="preserve">today’s world ANyONE who dares to raise their voice against </w:t>
      </w:r>
      <w:r>
        <w:rPr>
          <w:color w:val="231F20"/>
          <w:spacing w:val="5"/>
        </w:rPr>
        <w:t xml:space="preserve">ANyTHING </w:t>
      </w:r>
      <w:r>
        <w:rPr>
          <w:color w:val="231F20"/>
        </w:rPr>
        <w:t xml:space="preserve">being heaped on them by those in power  needs  to  read this book. The repressive methods that the </w:t>
      </w:r>
      <w:r>
        <w:rPr>
          <w:color w:val="231F20"/>
          <w:spacing w:val="-3"/>
        </w:rPr>
        <w:t xml:space="preserve">West </w:t>
      </w:r>
      <w:r>
        <w:rPr>
          <w:color w:val="231F20"/>
        </w:rPr>
        <w:t xml:space="preserve">German state brought to bear against the </w:t>
      </w:r>
      <w:r w:rsidR="00C507A5">
        <w:rPr>
          <w:color w:val="231F20"/>
          <w:spacing w:val="2"/>
        </w:rPr>
        <w:t>red army faction</w:t>
      </w:r>
      <w:r>
        <w:rPr>
          <w:color w:val="231F20"/>
          <w:spacing w:val="2"/>
        </w:rPr>
        <w:t xml:space="preserve">—detailed </w:t>
      </w:r>
      <w:r>
        <w:rPr>
          <w:color w:val="231F20"/>
        </w:rPr>
        <w:t>by the authors—have been adopted, universalized, and refined, and can be found in use in a prison, jail, detention</w:t>
      </w:r>
      <w:r>
        <w:rPr>
          <w:color w:val="231F20"/>
          <w:spacing w:val="13"/>
        </w:rPr>
        <w:t xml:space="preserve"> </w:t>
      </w:r>
      <w:r>
        <w:rPr>
          <w:color w:val="231F20"/>
        </w:rPr>
        <w:t>center</w:t>
      </w:r>
      <w:r>
        <w:rPr>
          <w:color w:val="231F20"/>
          <w:spacing w:val="13"/>
        </w:rPr>
        <w:t xml:space="preserve"> </w:t>
      </w:r>
      <w:r>
        <w:rPr>
          <w:color w:val="231F20"/>
        </w:rPr>
        <w:t>or</w:t>
      </w:r>
      <w:r>
        <w:rPr>
          <w:color w:val="231F20"/>
          <w:spacing w:val="13"/>
        </w:rPr>
        <w:t xml:space="preserve"> </w:t>
      </w:r>
      <w:r>
        <w:rPr>
          <w:color w:val="231F20"/>
        </w:rPr>
        <w:t>other</w:t>
      </w:r>
      <w:r>
        <w:rPr>
          <w:color w:val="231F20"/>
          <w:spacing w:val="13"/>
        </w:rPr>
        <w:t xml:space="preserve"> </w:t>
      </w:r>
      <w:r>
        <w:rPr>
          <w:color w:val="231F20"/>
        </w:rPr>
        <w:t>“holding</w:t>
      </w:r>
      <w:r>
        <w:rPr>
          <w:color w:val="231F20"/>
          <w:spacing w:val="13"/>
        </w:rPr>
        <w:t xml:space="preserve"> </w:t>
      </w:r>
      <w:r>
        <w:rPr>
          <w:color w:val="231F20"/>
        </w:rPr>
        <w:t>facility”</w:t>
      </w:r>
      <w:r>
        <w:rPr>
          <w:color w:val="231F20"/>
          <w:spacing w:val="13"/>
        </w:rPr>
        <w:t xml:space="preserve"> </w:t>
      </w:r>
      <w:r>
        <w:rPr>
          <w:color w:val="231F20"/>
        </w:rPr>
        <w:t>not</w:t>
      </w:r>
      <w:r>
        <w:rPr>
          <w:color w:val="231F20"/>
          <w:spacing w:val="13"/>
        </w:rPr>
        <w:t xml:space="preserve"> </w:t>
      </w:r>
      <w:r>
        <w:rPr>
          <w:color w:val="231F20"/>
        </w:rPr>
        <w:t>far</w:t>
      </w:r>
      <w:r>
        <w:rPr>
          <w:color w:val="231F20"/>
          <w:spacing w:val="13"/>
        </w:rPr>
        <w:t xml:space="preserve"> </w:t>
      </w:r>
      <w:r>
        <w:rPr>
          <w:color w:val="231F20"/>
        </w:rPr>
        <w:t>from</w:t>
      </w:r>
      <w:r>
        <w:rPr>
          <w:color w:val="231F20"/>
          <w:spacing w:val="13"/>
        </w:rPr>
        <w:t xml:space="preserve"> </w:t>
      </w:r>
      <w:r>
        <w:rPr>
          <w:color w:val="231F20"/>
        </w:rPr>
        <w:t>you.</w:t>
      </w:r>
    </w:p>
    <w:p w14:paraId="0C30D81D" w14:textId="77777777" w:rsidR="002653E8" w:rsidRDefault="003115E3">
      <w:pPr>
        <w:pStyle w:val="a3"/>
        <w:spacing w:line="264" w:lineRule="auto"/>
        <w:ind w:left="1327" w:right="1145" w:firstLine="210"/>
        <w:jc w:val="both"/>
      </w:pPr>
      <w:r>
        <w:rPr>
          <w:color w:val="231F20"/>
        </w:rPr>
        <w:t>In the throes of the worst economic crisis since the Great Depression, world-wide capital—led by U.S. imperialism—is possibly in the endgame struggle, not of Marx’s “Socialism or Barbarism,” but of what is beginning to be understood by a majority of our planet’s humans: 21st c</w:t>
      </w:r>
      <w:r>
        <w:rPr>
          <w:color w:val="231F20"/>
          <w:w w:val="91"/>
        </w:rPr>
        <w:t>e</w:t>
      </w:r>
      <w:r>
        <w:rPr>
          <w:color w:val="231F20"/>
          <w:w w:val="99"/>
        </w:rPr>
        <w:t>n</w:t>
      </w:r>
      <w:r>
        <w:rPr>
          <w:color w:val="231F20"/>
          <w:w w:val="98"/>
        </w:rPr>
        <w:t>t</w:t>
      </w:r>
      <w:r>
        <w:rPr>
          <w:color w:val="231F20"/>
        </w:rPr>
        <w:t>u</w:t>
      </w:r>
      <w:r>
        <w:rPr>
          <w:color w:val="231F20"/>
          <w:w w:val="94"/>
        </w:rPr>
        <w:t>r</w:t>
      </w:r>
      <w:r>
        <w:rPr>
          <w:color w:val="231F20"/>
          <w:w w:val="99"/>
        </w:rPr>
        <w:t>y</w:t>
      </w:r>
      <w:r>
        <w:rPr>
          <w:color w:val="231F20"/>
        </w:rPr>
        <w:t xml:space="preserve"> c</w:t>
      </w:r>
      <w:r>
        <w:rPr>
          <w:color w:val="231F20"/>
          <w:w w:val="102"/>
        </w:rPr>
        <w:t>a</w:t>
      </w:r>
      <w:r>
        <w:rPr>
          <w:color w:val="231F20"/>
          <w:w w:val="99"/>
        </w:rPr>
        <w:t>p</w:t>
      </w:r>
      <w:r>
        <w:rPr>
          <w:color w:val="231F20"/>
        </w:rPr>
        <w:t>i</w:t>
      </w:r>
      <w:r>
        <w:rPr>
          <w:color w:val="231F20"/>
          <w:w w:val="98"/>
        </w:rPr>
        <w:t>t</w:t>
      </w:r>
      <w:r>
        <w:rPr>
          <w:color w:val="231F20"/>
          <w:w w:val="102"/>
        </w:rPr>
        <w:t>al</w:t>
      </w:r>
      <w:r>
        <w:rPr>
          <w:color w:val="231F20"/>
        </w:rPr>
        <w:t>i</w:t>
      </w:r>
      <w:r>
        <w:rPr>
          <w:color w:val="231F20"/>
          <w:w w:val="90"/>
        </w:rPr>
        <w:t>s</w:t>
      </w:r>
      <w:r>
        <w:rPr>
          <w:color w:val="231F20"/>
          <w:w w:val="99"/>
        </w:rPr>
        <w:t>m</w:t>
      </w:r>
      <w:r>
        <w:rPr>
          <w:color w:val="231F20"/>
          <w:w w:val="56"/>
        </w:rPr>
        <w:t>/</w:t>
      </w:r>
      <w:r>
        <w:rPr>
          <w:color w:val="231F20"/>
        </w:rPr>
        <w:t>i</w:t>
      </w:r>
      <w:r>
        <w:rPr>
          <w:color w:val="231F20"/>
          <w:w w:val="99"/>
        </w:rPr>
        <w:t>mp</w:t>
      </w:r>
      <w:r>
        <w:rPr>
          <w:color w:val="231F20"/>
          <w:w w:val="92"/>
        </w:rPr>
        <w:t>er</w:t>
      </w:r>
      <w:r>
        <w:rPr>
          <w:color w:val="231F20"/>
        </w:rPr>
        <w:t>i</w:t>
      </w:r>
      <w:r>
        <w:rPr>
          <w:color w:val="231F20"/>
          <w:w w:val="102"/>
        </w:rPr>
        <w:t>al</w:t>
      </w:r>
      <w:r>
        <w:rPr>
          <w:color w:val="231F20"/>
        </w:rPr>
        <w:t>i</w:t>
      </w:r>
      <w:r>
        <w:rPr>
          <w:color w:val="231F20"/>
          <w:w w:val="90"/>
        </w:rPr>
        <w:t>s</w:t>
      </w:r>
      <w:r>
        <w:rPr>
          <w:color w:val="231F20"/>
          <w:w w:val="99"/>
        </w:rPr>
        <w:t>m</w:t>
      </w:r>
      <w:r>
        <w:rPr>
          <w:color w:val="231F20"/>
          <w:w w:val="132"/>
        </w:rPr>
        <w:t>…</w:t>
      </w:r>
      <w:r>
        <w:rPr>
          <w:color w:val="231F20"/>
        </w:rPr>
        <w:t xml:space="preserve"> </w:t>
      </w:r>
      <w:r>
        <w:rPr>
          <w:color w:val="231F20"/>
          <w:w w:val="91"/>
        </w:rPr>
        <w:t>e</w:t>
      </w:r>
      <w:r>
        <w:rPr>
          <w:color w:val="231F20"/>
          <w:w w:val="101"/>
        </w:rPr>
        <w:t>q</w:t>
      </w:r>
      <w:r>
        <w:rPr>
          <w:color w:val="231F20"/>
        </w:rPr>
        <w:t>u</w:t>
      </w:r>
      <w:r>
        <w:rPr>
          <w:color w:val="231F20"/>
          <w:w w:val="102"/>
        </w:rPr>
        <w:t>al</w:t>
      </w:r>
      <w:r>
        <w:rPr>
          <w:color w:val="231F20"/>
          <w:w w:val="90"/>
        </w:rPr>
        <w:t>s</w:t>
      </w:r>
      <w:r>
        <w:rPr>
          <w:color w:val="231F20"/>
        </w:rPr>
        <w:t xml:space="preserve"> </w:t>
      </w:r>
      <w:r>
        <w:rPr>
          <w:color w:val="231F20"/>
          <w:w w:val="106"/>
        </w:rPr>
        <w:t>E</w:t>
      </w:r>
      <w:r>
        <w:rPr>
          <w:color w:val="231F20"/>
          <w:w w:val="160"/>
        </w:rPr>
        <w:t>x</w:t>
      </w:r>
      <w:r>
        <w:rPr>
          <w:color w:val="231F20"/>
          <w:w w:val="112"/>
        </w:rPr>
        <w:t>T</w:t>
      </w:r>
      <w:r>
        <w:rPr>
          <w:color w:val="231F20"/>
          <w:w w:val="106"/>
        </w:rPr>
        <w:t>E</w:t>
      </w:r>
      <w:r>
        <w:rPr>
          <w:color w:val="231F20"/>
          <w:w w:val="119"/>
        </w:rPr>
        <w:t>RM</w:t>
      </w:r>
      <w:r>
        <w:rPr>
          <w:color w:val="231F20"/>
          <w:w w:val="102"/>
        </w:rPr>
        <w:t>I</w:t>
      </w:r>
      <w:r>
        <w:rPr>
          <w:color w:val="231F20"/>
          <w:w w:val="115"/>
        </w:rPr>
        <w:t>NI</w:t>
      </w:r>
      <w:r>
        <w:rPr>
          <w:color w:val="231F20"/>
        </w:rPr>
        <w:t>S</w:t>
      </w:r>
      <w:r>
        <w:rPr>
          <w:color w:val="231F20"/>
          <w:w w:val="122"/>
        </w:rPr>
        <w:t>M</w:t>
      </w:r>
      <w:r>
        <w:rPr>
          <w:color w:val="231F20"/>
          <w:w w:val="116"/>
        </w:rPr>
        <w:t>!</w:t>
      </w:r>
    </w:p>
    <w:p w14:paraId="48DF79AC" w14:textId="77777777" w:rsidR="002653E8" w:rsidRDefault="003115E3">
      <w:pPr>
        <w:pStyle w:val="a3"/>
        <w:spacing w:line="264" w:lineRule="auto"/>
        <w:ind w:left="1327" w:right="1146" w:firstLine="210"/>
        <w:jc w:val="both"/>
      </w:pPr>
      <w:r>
        <w:rPr>
          <w:color w:val="231F20"/>
        </w:rPr>
        <w:t>The prison isolation and torture methods detailed in this volume are one of the repressive forces’ last ditch efforts to arrest the global material forces that signal their demise.</w:t>
      </w:r>
    </w:p>
    <w:p w14:paraId="404B8A9C" w14:textId="77777777" w:rsidR="002653E8" w:rsidRDefault="003115E3">
      <w:pPr>
        <w:pStyle w:val="a3"/>
        <w:spacing w:line="264" w:lineRule="auto"/>
        <w:ind w:left="1327" w:right="1146" w:firstLine="210"/>
        <w:jc w:val="both"/>
      </w:pPr>
      <w:r>
        <w:rPr>
          <w:color w:val="231F20"/>
        </w:rPr>
        <w:t xml:space="preserve">After being subjected to similar methods of isolation and torture for decades, I can only offer one piece of advice: either stand up and struggle against this monster—and face the horrors detailed in this book— or lay down and accept the idea (and reality) that </w:t>
      </w:r>
      <w:r>
        <w:rPr>
          <w:color w:val="231F20"/>
          <w:spacing w:val="-3"/>
        </w:rPr>
        <w:t xml:space="preserve">21st </w:t>
      </w:r>
      <w:r>
        <w:rPr>
          <w:color w:val="231F20"/>
        </w:rPr>
        <w:t xml:space="preserve">century capital/ imperialism—unchecked—will destroy </w:t>
      </w:r>
      <w:r>
        <w:rPr>
          <w:color w:val="231F20"/>
          <w:spacing w:val="1"/>
        </w:rPr>
        <w:t xml:space="preserve">EVERyTHING </w:t>
      </w:r>
      <w:r>
        <w:rPr>
          <w:color w:val="231F20"/>
        </w:rPr>
        <w:t>it comes into contact</w:t>
      </w:r>
      <w:r>
        <w:rPr>
          <w:color w:val="231F20"/>
          <w:spacing w:val="10"/>
        </w:rPr>
        <w:t xml:space="preserve"> </w:t>
      </w:r>
      <w:r>
        <w:rPr>
          <w:color w:val="231F20"/>
        </w:rPr>
        <w:t>with.</w:t>
      </w:r>
    </w:p>
    <w:p w14:paraId="2D115552" w14:textId="77777777" w:rsidR="002653E8" w:rsidRDefault="002653E8">
      <w:pPr>
        <w:pStyle w:val="a3"/>
      </w:pPr>
    </w:p>
    <w:p w14:paraId="0D02EBAE" w14:textId="77777777" w:rsidR="002653E8" w:rsidRDefault="002653E8">
      <w:pPr>
        <w:pStyle w:val="a3"/>
      </w:pPr>
    </w:p>
    <w:p w14:paraId="4418313A" w14:textId="77777777" w:rsidR="002653E8" w:rsidRDefault="002653E8">
      <w:pPr>
        <w:pStyle w:val="a3"/>
        <w:spacing w:before="1"/>
        <w:rPr>
          <w:sz w:val="18"/>
        </w:rPr>
      </w:pPr>
    </w:p>
    <w:p w14:paraId="6F254EB1" w14:textId="77777777" w:rsidR="002653E8" w:rsidRDefault="002653E8">
      <w:pPr>
        <w:rPr>
          <w:sz w:val="18"/>
        </w:rPr>
        <w:sectPr w:rsidR="002653E8">
          <w:pgSz w:w="8640" w:h="12960"/>
          <w:pgMar w:top="1220" w:right="0" w:bottom="1040" w:left="0" w:header="0" w:footer="850" w:gutter="0"/>
          <w:cols w:space="720"/>
        </w:sectPr>
      </w:pPr>
    </w:p>
    <w:p w14:paraId="0548C73A" w14:textId="77777777" w:rsidR="002653E8" w:rsidRDefault="003115E3">
      <w:pPr>
        <w:spacing w:before="96" w:line="244" w:lineRule="auto"/>
        <w:ind w:left="1464" w:firstLine="705"/>
        <w:jc w:val="right"/>
        <w:rPr>
          <w:i/>
          <w:sz w:val="16"/>
        </w:rPr>
      </w:pPr>
      <w:r>
        <w:rPr>
          <w:i/>
          <w:color w:val="231F20"/>
          <w:sz w:val="16"/>
        </w:rPr>
        <w:t xml:space="preserve">Bill </w:t>
      </w:r>
      <w:r>
        <w:rPr>
          <w:i/>
          <w:color w:val="231F20"/>
          <w:spacing w:val="2"/>
          <w:sz w:val="16"/>
        </w:rPr>
        <w:t xml:space="preserve">Dunne </w:t>
      </w:r>
      <w:r>
        <w:rPr>
          <w:i/>
          <w:color w:val="231F20"/>
          <w:sz w:val="16"/>
        </w:rPr>
        <w:t>was</w:t>
      </w:r>
      <w:r>
        <w:rPr>
          <w:i/>
          <w:color w:val="231F20"/>
          <w:spacing w:val="31"/>
          <w:sz w:val="16"/>
        </w:rPr>
        <w:t xml:space="preserve"> </w:t>
      </w:r>
      <w:r>
        <w:rPr>
          <w:i/>
          <w:color w:val="231F20"/>
          <w:sz w:val="16"/>
        </w:rPr>
        <w:t>captured on</w:t>
      </w:r>
      <w:r>
        <w:rPr>
          <w:i/>
          <w:color w:val="231F20"/>
          <w:w w:val="103"/>
          <w:sz w:val="16"/>
        </w:rPr>
        <w:t xml:space="preserve"> </w:t>
      </w:r>
      <w:r>
        <w:rPr>
          <w:i/>
          <w:color w:val="231F20"/>
          <w:sz w:val="16"/>
        </w:rPr>
        <w:t>October 14, 1979. He had</w:t>
      </w:r>
      <w:r>
        <w:rPr>
          <w:i/>
          <w:color w:val="231F20"/>
          <w:spacing w:val="22"/>
          <w:sz w:val="16"/>
        </w:rPr>
        <w:t xml:space="preserve"> </w:t>
      </w:r>
      <w:r>
        <w:rPr>
          <w:i/>
          <w:color w:val="231F20"/>
          <w:sz w:val="16"/>
        </w:rPr>
        <w:t>been</w:t>
      </w:r>
      <w:r>
        <w:rPr>
          <w:i/>
          <w:color w:val="231F20"/>
          <w:spacing w:val="3"/>
          <w:sz w:val="16"/>
        </w:rPr>
        <w:t xml:space="preserve"> </w:t>
      </w:r>
      <w:r>
        <w:rPr>
          <w:i/>
          <w:color w:val="231F20"/>
          <w:sz w:val="16"/>
        </w:rPr>
        <w:t>shot</w:t>
      </w:r>
      <w:r>
        <w:rPr>
          <w:i/>
          <w:color w:val="231F20"/>
          <w:w w:val="96"/>
          <w:sz w:val="16"/>
        </w:rPr>
        <w:t xml:space="preserve"> </w:t>
      </w:r>
      <w:r>
        <w:rPr>
          <w:i/>
          <w:color w:val="231F20"/>
          <w:sz w:val="16"/>
        </w:rPr>
        <w:t>three times by police,</w:t>
      </w:r>
      <w:r>
        <w:rPr>
          <w:i/>
          <w:color w:val="231F20"/>
          <w:spacing w:val="20"/>
          <w:sz w:val="16"/>
        </w:rPr>
        <w:t xml:space="preserve"> </w:t>
      </w:r>
      <w:r>
        <w:rPr>
          <w:i/>
          <w:color w:val="231F20"/>
          <w:spacing w:val="1"/>
          <w:sz w:val="16"/>
        </w:rPr>
        <w:t>and</w:t>
      </w:r>
      <w:r>
        <w:rPr>
          <w:i/>
          <w:color w:val="231F20"/>
          <w:spacing w:val="30"/>
          <w:sz w:val="16"/>
        </w:rPr>
        <w:t xml:space="preserve"> </w:t>
      </w:r>
      <w:r>
        <w:rPr>
          <w:i/>
          <w:color w:val="231F20"/>
          <w:sz w:val="16"/>
        </w:rPr>
        <w:t>according</w:t>
      </w:r>
      <w:r>
        <w:rPr>
          <w:i/>
          <w:color w:val="231F20"/>
          <w:w w:val="95"/>
          <w:sz w:val="16"/>
        </w:rPr>
        <w:t xml:space="preserve"> </w:t>
      </w:r>
      <w:r>
        <w:rPr>
          <w:i/>
          <w:color w:val="231F20"/>
          <w:sz w:val="16"/>
        </w:rPr>
        <w:t xml:space="preserve">to the </w:t>
      </w:r>
      <w:r>
        <w:rPr>
          <w:i/>
          <w:color w:val="231F20"/>
          <w:spacing w:val="1"/>
          <w:sz w:val="16"/>
        </w:rPr>
        <w:t xml:space="preserve">state </w:t>
      </w:r>
      <w:r>
        <w:rPr>
          <w:i/>
          <w:color w:val="231F20"/>
          <w:sz w:val="16"/>
        </w:rPr>
        <w:t>had been involved</w:t>
      </w:r>
      <w:r>
        <w:rPr>
          <w:i/>
          <w:color w:val="231F20"/>
          <w:spacing w:val="-17"/>
          <w:sz w:val="16"/>
        </w:rPr>
        <w:t xml:space="preserve"> </w:t>
      </w:r>
      <w:r>
        <w:rPr>
          <w:i/>
          <w:color w:val="231F20"/>
          <w:sz w:val="16"/>
        </w:rPr>
        <w:t>in</w:t>
      </w:r>
      <w:r>
        <w:rPr>
          <w:i/>
          <w:color w:val="231F20"/>
          <w:spacing w:val="20"/>
          <w:sz w:val="16"/>
        </w:rPr>
        <w:t xml:space="preserve"> </w:t>
      </w:r>
      <w:r>
        <w:rPr>
          <w:i/>
          <w:color w:val="231F20"/>
          <w:sz w:val="16"/>
        </w:rPr>
        <w:t>an</w:t>
      </w:r>
      <w:r>
        <w:rPr>
          <w:i/>
          <w:color w:val="231F20"/>
          <w:w w:val="103"/>
          <w:sz w:val="16"/>
        </w:rPr>
        <w:t xml:space="preserve"> </w:t>
      </w:r>
      <w:r>
        <w:rPr>
          <w:i/>
          <w:color w:val="231F20"/>
          <w:spacing w:val="1"/>
          <w:sz w:val="16"/>
        </w:rPr>
        <w:t xml:space="preserve">attempt </w:t>
      </w:r>
      <w:r>
        <w:rPr>
          <w:i/>
          <w:color w:val="231F20"/>
          <w:sz w:val="16"/>
        </w:rPr>
        <w:t>to break a comrade out</w:t>
      </w:r>
      <w:r>
        <w:rPr>
          <w:i/>
          <w:color w:val="231F20"/>
          <w:spacing w:val="-14"/>
          <w:sz w:val="16"/>
        </w:rPr>
        <w:t xml:space="preserve"> </w:t>
      </w:r>
      <w:r>
        <w:rPr>
          <w:i/>
          <w:color w:val="231F20"/>
          <w:sz w:val="16"/>
        </w:rPr>
        <w:t>of</w:t>
      </w:r>
      <w:r>
        <w:rPr>
          <w:i/>
          <w:color w:val="231F20"/>
          <w:spacing w:val="15"/>
          <w:sz w:val="16"/>
        </w:rPr>
        <w:t xml:space="preserve"> </w:t>
      </w:r>
      <w:r>
        <w:rPr>
          <w:i/>
          <w:color w:val="231F20"/>
          <w:sz w:val="16"/>
        </w:rPr>
        <w:t>the</w:t>
      </w:r>
      <w:r>
        <w:rPr>
          <w:i/>
          <w:color w:val="231F20"/>
          <w:spacing w:val="8"/>
          <w:sz w:val="16"/>
        </w:rPr>
        <w:t xml:space="preserve"> </w:t>
      </w:r>
      <w:r>
        <w:rPr>
          <w:i/>
          <w:color w:val="231F20"/>
          <w:spacing w:val="1"/>
          <w:sz w:val="16"/>
        </w:rPr>
        <w:t xml:space="preserve">Seattle </w:t>
      </w:r>
      <w:r>
        <w:rPr>
          <w:i/>
          <w:color w:val="231F20"/>
          <w:sz w:val="16"/>
        </w:rPr>
        <w:t xml:space="preserve">jail, </w:t>
      </w:r>
      <w:r>
        <w:rPr>
          <w:i/>
          <w:color w:val="231F20"/>
          <w:spacing w:val="1"/>
          <w:sz w:val="16"/>
        </w:rPr>
        <w:t xml:space="preserve">as </w:t>
      </w:r>
      <w:r>
        <w:rPr>
          <w:i/>
          <w:color w:val="231F20"/>
          <w:sz w:val="16"/>
        </w:rPr>
        <w:t>part of</w:t>
      </w:r>
      <w:r>
        <w:rPr>
          <w:i/>
          <w:color w:val="231F20"/>
          <w:spacing w:val="25"/>
          <w:sz w:val="16"/>
        </w:rPr>
        <w:t xml:space="preserve"> </w:t>
      </w:r>
      <w:r>
        <w:rPr>
          <w:i/>
          <w:color w:val="231F20"/>
          <w:sz w:val="16"/>
        </w:rPr>
        <w:t>an</w:t>
      </w:r>
      <w:r>
        <w:rPr>
          <w:i/>
          <w:color w:val="231F20"/>
          <w:spacing w:val="20"/>
          <w:sz w:val="16"/>
        </w:rPr>
        <w:t xml:space="preserve"> </w:t>
      </w:r>
      <w:r>
        <w:rPr>
          <w:i/>
          <w:color w:val="231F20"/>
          <w:spacing w:val="1"/>
          <w:sz w:val="16"/>
        </w:rPr>
        <w:t>unnamed</w:t>
      </w:r>
      <w:r>
        <w:rPr>
          <w:i/>
          <w:color w:val="231F20"/>
          <w:w w:val="106"/>
          <w:sz w:val="16"/>
        </w:rPr>
        <w:t xml:space="preserve"> </w:t>
      </w:r>
      <w:r>
        <w:rPr>
          <w:i/>
          <w:color w:val="231F20"/>
          <w:sz w:val="16"/>
        </w:rPr>
        <w:t>anarchist collective. In</w:t>
      </w:r>
      <w:r>
        <w:rPr>
          <w:i/>
          <w:color w:val="231F20"/>
          <w:spacing w:val="16"/>
          <w:sz w:val="16"/>
        </w:rPr>
        <w:t xml:space="preserve"> </w:t>
      </w:r>
      <w:r>
        <w:rPr>
          <w:i/>
          <w:color w:val="231F20"/>
          <w:spacing w:val="1"/>
          <w:sz w:val="16"/>
        </w:rPr>
        <w:t>1980,</w:t>
      </w:r>
      <w:r>
        <w:rPr>
          <w:i/>
          <w:color w:val="231F20"/>
          <w:spacing w:val="2"/>
          <w:sz w:val="16"/>
        </w:rPr>
        <w:t xml:space="preserve"> </w:t>
      </w:r>
      <w:r>
        <w:rPr>
          <w:i/>
          <w:color w:val="231F20"/>
          <w:sz w:val="16"/>
        </w:rPr>
        <w:t>he</w:t>
      </w:r>
      <w:r>
        <w:rPr>
          <w:i/>
          <w:color w:val="231F20"/>
          <w:w w:val="97"/>
          <w:sz w:val="16"/>
        </w:rPr>
        <w:t xml:space="preserve"> </w:t>
      </w:r>
      <w:r>
        <w:rPr>
          <w:i/>
          <w:color w:val="231F20"/>
          <w:sz w:val="16"/>
        </w:rPr>
        <w:t xml:space="preserve">received a </w:t>
      </w:r>
      <w:r>
        <w:rPr>
          <w:i/>
          <w:color w:val="231F20"/>
          <w:spacing w:val="1"/>
          <w:sz w:val="16"/>
        </w:rPr>
        <w:t>ninety-five-year</w:t>
      </w:r>
      <w:r>
        <w:rPr>
          <w:i/>
          <w:color w:val="231F20"/>
          <w:spacing w:val="35"/>
          <w:sz w:val="16"/>
        </w:rPr>
        <w:t xml:space="preserve"> </w:t>
      </w:r>
      <w:r>
        <w:rPr>
          <w:i/>
          <w:color w:val="231F20"/>
          <w:spacing w:val="2"/>
          <w:sz w:val="16"/>
        </w:rPr>
        <w:t>sentence,</w:t>
      </w:r>
      <w:r>
        <w:rPr>
          <w:i/>
          <w:color w:val="231F20"/>
          <w:w w:val="139"/>
          <w:sz w:val="16"/>
        </w:rPr>
        <w:t xml:space="preserve"> </w:t>
      </w:r>
      <w:r>
        <w:rPr>
          <w:i/>
          <w:color w:val="231F20"/>
          <w:spacing w:val="1"/>
          <w:sz w:val="16"/>
        </w:rPr>
        <w:t xml:space="preserve">and </w:t>
      </w:r>
      <w:r>
        <w:rPr>
          <w:i/>
          <w:color w:val="231F20"/>
          <w:sz w:val="16"/>
        </w:rPr>
        <w:t>in  1983  had  a  consecutive</w:t>
      </w:r>
      <w:r>
        <w:rPr>
          <w:i/>
          <w:color w:val="231F20"/>
          <w:spacing w:val="10"/>
          <w:sz w:val="16"/>
        </w:rPr>
        <w:t xml:space="preserve"> </w:t>
      </w:r>
      <w:r>
        <w:rPr>
          <w:i/>
          <w:color w:val="231F20"/>
          <w:spacing w:val="1"/>
          <w:sz w:val="16"/>
        </w:rPr>
        <w:t>fifteen</w:t>
      </w:r>
    </w:p>
    <w:p w14:paraId="540FB756" w14:textId="77777777" w:rsidR="002653E8" w:rsidRDefault="003115E3">
      <w:pPr>
        <w:spacing w:before="6" w:line="244" w:lineRule="auto"/>
        <w:ind w:left="1431" w:hanging="86"/>
        <w:jc w:val="right"/>
        <w:rPr>
          <w:i/>
          <w:sz w:val="16"/>
        </w:rPr>
      </w:pPr>
      <w:r>
        <w:rPr>
          <w:i/>
          <w:color w:val="231F20"/>
          <w:sz w:val="16"/>
        </w:rPr>
        <w:t>years with five concurrent added due to</w:t>
      </w:r>
      <w:r>
        <w:rPr>
          <w:i/>
          <w:color w:val="231F20"/>
          <w:w w:val="109"/>
          <w:sz w:val="16"/>
        </w:rPr>
        <w:t xml:space="preserve"> </w:t>
      </w:r>
      <w:r>
        <w:rPr>
          <w:i/>
          <w:color w:val="231F20"/>
          <w:sz w:val="16"/>
        </w:rPr>
        <w:t>an attempted escape. As he has stated,</w:t>
      </w:r>
      <w:r>
        <w:rPr>
          <w:i/>
          <w:color w:val="231F20"/>
          <w:w w:val="139"/>
          <w:sz w:val="16"/>
        </w:rPr>
        <w:t xml:space="preserve"> </w:t>
      </w:r>
      <w:r>
        <w:rPr>
          <w:i/>
          <w:color w:val="231F20"/>
          <w:sz w:val="16"/>
        </w:rPr>
        <w:t>“The aggregate 105 years is a ‘parole</w:t>
      </w:r>
    </w:p>
    <w:p w14:paraId="79F95214" w14:textId="77777777" w:rsidR="002653E8" w:rsidRDefault="003115E3">
      <w:pPr>
        <w:spacing w:before="2"/>
        <w:jc w:val="right"/>
        <w:rPr>
          <w:i/>
          <w:sz w:val="16"/>
        </w:rPr>
      </w:pPr>
      <w:r>
        <w:rPr>
          <w:i/>
          <w:color w:val="231F20"/>
          <w:w w:val="105"/>
          <w:sz w:val="16"/>
        </w:rPr>
        <w:t>when they feel like it’  sort</w:t>
      </w:r>
    </w:p>
    <w:p w14:paraId="6CCEC26C" w14:textId="77777777" w:rsidR="002653E8" w:rsidRDefault="003115E3">
      <w:pPr>
        <w:spacing w:before="5"/>
        <w:jc w:val="right"/>
        <w:rPr>
          <w:i/>
          <w:sz w:val="16"/>
        </w:rPr>
      </w:pPr>
      <w:r>
        <w:rPr>
          <w:i/>
          <w:color w:val="231F20"/>
          <w:w w:val="110"/>
          <w:sz w:val="16"/>
        </w:rPr>
        <w:t>of sentence.”</w:t>
      </w:r>
    </w:p>
    <w:p w14:paraId="53059E7F" w14:textId="77777777" w:rsidR="002653E8" w:rsidRDefault="003115E3">
      <w:pPr>
        <w:spacing w:before="96" w:line="244" w:lineRule="auto"/>
        <w:ind w:left="445" w:right="1247"/>
        <w:rPr>
          <w:i/>
          <w:sz w:val="16"/>
        </w:rPr>
      </w:pPr>
      <w:r>
        <w:br w:type="column"/>
      </w:r>
      <w:r>
        <w:rPr>
          <w:i/>
          <w:color w:val="231F20"/>
          <w:w w:val="105"/>
          <w:sz w:val="16"/>
        </w:rPr>
        <w:t xml:space="preserve">In  1970,  </w:t>
      </w:r>
      <w:r>
        <w:rPr>
          <w:i/>
          <w:color w:val="231F20"/>
          <w:spacing w:val="1"/>
          <w:w w:val="105"/>
          <w:sz w:val="16"/>
        </w:rPr>
        <w:t xml:space="preserve">Russell  </w:t>
      </w:r>
      <w:r>
        <w:rPr>
          <w:i/>
          <w:color w:val="231F20"/>
          <w:w w:val="105"/>
          <w:sz w:val="16"/>
        </w:rPr>
        <w:t xml:space="preserve">“Maroon”  Shoats was accused of an </w:t>
      </w:r>
      <w:r>
        <w:rPr>
          <w:i/>
          <w:color w:val="231F20"/>
          <w:spacing w:val="1"/>
          <w:w w:val="105"/>
          <w:sz w:val="16"/>
        </w:rPr>
        <w:t xml:space="preserve">attack </w:t>
      </w:r>
      <w:r>
        <w:rPr>
          <w:i/>
          <w:color w:val="231F20"/>
          <w:w w:val="105"/>
          <w:sz w:val="16"/>
        </w:rPr>
        <w:t xml:space="preserve">on a Philadelphia police station  in  which an </w:t>
      </w:r>
      <w:r>
        <w:rPr>
          <w:i/>
          <w:color w:val="231F20"/>
          <w:spacing w:val="2"/>
          <w:w w:val="105"/>
          <w:sz w:val="16"/>
        </w:rPr>
        <w:t xml:space="preserve">officer </w:t>
      </w:r>
      <w:r>
        <w:rPr>
          <w:i/>
          <w:color w:val="231F20"/>
          <w:w w:val="105"/>
          <w:sz w:val="16"/>
        </w:rPr>
        <w:t xml:space="preserve">was killed. He went </w:t>
      </w:r>
      <w:r>
        <w:rPr>
          <w:i/>
          <w:color w:val="231F20"/>
          <w:spacing w:val="1"/>
          <w:w w:val="105"/>
          <w:sz w:val="16"/>
        </w:rPr>
        <w:t xml:space="preserve">underground, </w:t>
      </w:r>
      <w:r>
        <w:rPr>
          <w:i/>
          <w:color w:val="231F20"/>
          <w:w w:val="105"/>
          <w:sz w:val="16"/>
        </w:rPr>
        <w:t xml:space="preserve">functioning for eighteen months </w:t>
      </w:r>
      <w:r>
        <w:rPr>
          <w:i/>
          <w:color w:val="231F20"/>
          <w:spacing w:val="1"/>
          <w:w w:val="105"/>
          <w:sz w:val="16"/>
        </w:rPr>
        <w:t xml:space="preserve">as </w:t>
      </w:r>
      <w:r>
        <w:rPr>
          <w:i/>
          <w:color w:val="231F20"/>
          <w:w w:val="105"/>
          <w:sz w:val="16"/>
        </w:rPr>
        <w:t xml:space="preserve">a soldier in the Black Liberation Army. In </w:t>
      </w:r>
      <w:r>
        <w:rPr>
          <w:i/>
          <w:color w:val="231F20"/>
          <w:spacing w:val="1"/>
          <w:w w:val="105"/>
          <w:sz w:val="16"/>
        </w:rPr>
        <w:t xml:space="preserve">1972, </w:t>
      </w:r>
      <w:r>
        <w:rPr>
          <w:i/>
          <w:color w:val="231F20"/>
          <w:w w:val="105"/>
          <w:sz w:val="16"/>
        </w:rPr>
        <w:t xml:space="preserve">he was captured </w:t>
      </w:r>
      <w:r>
        <w:rPr>
          <w:i/>
          <w:color w:val="231F20"/>
          <w:spacing w:val="1"/>
          <w:w w:val="105"/>
          <w:sz w:val="16"/>
        </w:rPr>
        <w:t xml:space="preserve">and sentenced </w:t>
      </w:r>
      <w:r>
        <w:rPr>
          <w:i/>
          <w:color w:val="231F20"/>
          <w:w w:val="105"/>
          <w:sz w:val="16"/>
        </w:rPr>
        <w:t xml:space="preserve">to  multiple life </w:t>
      </w:r>
      <w:r>
        <w:rPr>
          <w:i/>
          <w:color w:val="231F20"/>
          <w:spacing w:val="1"/>
          <w:w w:val="105"/>
          <w:sz w:val="16"/>
        </w:rPr>
        <w:t xml:space="preserve">sentences. </w:t>
      </w:r>
      <w:r>
        <w:rPr>
          <w:i/>
          <w:color w:val="231F20"/>
          <w:w w:val="105"/>
          <w:sz w:val="16"/>
        </w:rPr>
        <w:t xml:space="preserve">He escaped </w:t>
      </w:r>
      <w:r>
        <w:rPr>
          <w:i/>
          <w:color w:val="231F20"/>
          <w:spacing w:val="3"/>
          <w:w w:val="105"/>
          <w:sz w:val="16"/>
        </w:rPr>
        <w:t xml:space="preserve">twice—in </w:t>
      </w:r>
      <w:r>
        <w:rPr>
          <w:i/>
          <w:color w:val="231F20"/>
          <w:spacing w:val="1"/>
          <w:w w:val="105"/>
          <w:sz w:val="16"/>
        </w:rPr>
        <w:t xml:space="preserve">1977 and </w:t>
      </w:r>
      <w:r>
        <w:rPr>
          <w:i/>
          <w:color w:val="231F20"/>
          <w:w w:val="105"/>
          <w:sz w:val="16"/>
        </w:rPr>
        <w:t>1980 — but both</w:t>
      </w:r>
      <w:r>
        <w:rPr>
          <w:i/>
          <w:color w:val="231F20"/>
          <w:spacing w:val="10"/>
          <w:w w:val="105"/>
          <w:sz w:val="16"/>
        </w:rPr>
        <w:t xml:space="preserve"> </w:t>
      </w:r>
      <w:r>
        <w:rPr>
          <w:i/>
          <w:color w:val="231F20"/>
          <w:w w:val="105"/>
          <w:sz w:val="16"/>
        </w:rPr>
        <w:t>times</w:t>
      </w:r>
    </w:p>
    <w:p w14:paraId="199E5252" w14:textId="77777777" w:rsidR="002653E8" w:rsidRDefault="00000000">
      <w:pPr>
        <w:spacing w:before="7" w:line="244" w:lineRule="auto"/>
        <w:ind w:left="445" w:right="1509"/>
        <w:rPr>
          <w:i/>
          <w:sz w:val="16"/>
        </w:rPr>
      </w:pPr>
      <w:r>
        <w:rPr>
          <w:noProof w:val="0"/>
        </w:rPr>
        <w:pict w14:anchorId="77D0725A">
          <v:rect id="_x0000_s2728" style="position:absolute;left:0;text-align:left;margin-left:3in;margin-top:-101.85pt;width:9pt;height:168.4pt;z-index:1312;mso-position-horizontal-relative:page" fillcolor="#231f20" stroked="f">
            <w10:wrap anchorx="page"/>
          </v:rect>
        </w:pict>
      </w:r>
      <w:r w:rsidR="003115E3">
        <w:rPr>
          <w:i/>
          <w:color w:val="231F20"/>
          <w:w w:val="105"/>
          <w:sz w:val="16"/>
        </w:rPr>
        <w:t xml:space="preserve">was recaptured. Most of  his  time in </w:t>
      </w:r>
      <w:r w:rsidR="003115E3">
        <w:rPr>
          <w:i/>
          <w:color w:val="231F20"/>
          <w:spacing w:val="1"/>
          <w:w w:val="105"/>
          <w:sz w:val="16"/>
        </w:rPr>
        <w:t xml:space="preserve">prison, </w:t>
      </w:r>
      <w:r w:rsidR="003115E3">
        <w:rPr>
          <w:i/>
          <w:color w:val="231F20"/>
          <w:w w:val="105"/>
          <w:sz w:val="16"/>
        </w:rPr>
        <w:t xml:space="preserve">including at present, has been spent in isolation </w:t>
      </w:r>
      <w:r w:rsidR="003115E3">
        <w:rPr>
          <w:i/>
          <w:color w:val="231F20"/>
          <w:spacing w:val="1"/>
          <w:w w:val="105"/>
          <w:sz w:val="16"/>
        </w:rPr>
        <w:t xml:space="preserve">conditions, </w:t>
      </w:r>
      <w:r w:rsidR="003115E3">
        <w:rPr>
          <w:i/>
          <w:color w:val="231F20"/>
          <w:w w:val="105"/>
          <w:sz w:val="16"/>
        </w:rPr>
        <w:t>locked</w:t>
      </w:r>
      <w:r w:rsidR="003115E3">
        <w:rPr>
          <w:i/>
          <w:color w:val="231F20"/>
          <w:spacing w:val="11"/>
          <w:w w:val="105"/>
          <w:sz w:val="16"/>
        </w:rPr>
        <w:t xml:space="preserve"> </w:t>
      </w:r>
      <w:r w:rsidR="003115E3">
        <w:rPr>
          <w:i/>
          <w:color w:val="231F20"/>
          <w:spacing w:val="1"/>
          <w:w w:val="105"/>
          <w:sz w:val="16"/>
        </w:rPr>
        <w:t>down</w:t>
      </w:r>
      <w:r w:rsidR="003115E3">
        <w:rPr>
          <w:i/>
          <w:color w:val="231F20"/>
          <w:spacing w:val="11"/>
          <w:w w:val="105"/>
          <w:sz w:val="16"/>
        </w:rPr>
        <w:t xml:space="preserve"> </w:t>
      </w:r>
      <w:r w:rsidR="003115E3">
        <w:rPr>
          <w:i/>
          <w:color w:val="231F20"/>
          <w:spacing w:val="1"/>
          <w:w w:val="105"/>
          <w:sz w:val="16"/>
        </w:rPr>
        <w:t>22</w:t>
      </w:r>
      <w:r w:rsidR="003115E3">
        <w:rPr>
          <w:i/>
          <w:color w:val="231F20"/>
          <w:spacing w:val="11"/>
          <w:w w:val="105"/>
          <w:sz w:val="16"/>
        </w:rPr>
        <w:t xml:space="preserve"> </w:t>
      </w:r>
      <w:r w:rsidR="003115E3">
        <w:rPr>
          <w:i/>
          <w:color w:val="231F20"/>
          <w:w w:val="105"/>
          <w:sz w:val="16"/>
        </w:rPr>
        <w:t>to</w:t>
      </w:r>
      <w:r w:rsidR="003115E3">
        <w:rPr>
          <w:i/>
          <w:color w:val="231F20"/>
          <w:spacing w:val="11"/>
          <w:w w:val="105"/>
          <w:sz w:val="16"/>
        </w:rPr>
        <w:t xml:space="preserve"> </w:t>
      </w:r>
      <w:r w:rsidR="003115E3">
        <w:rPr>
          <w:i/>
          <w:color w:val="231F20"/>
          <w:w w:val="105"/>
          <w:sz w:val="16"/>
        </w:rPr>
        <w:t>24</w:t>
      </w:r>
      <w:r w:rsidR="003115E3">
        <w:rPr>
          <w:i/>
          <w:color w:val="231F20"/>
          <w:spacing w:val="11"/>
          <w:w w:val="105"/>
          <w:sz w:val="16"/>
        </w:rPr>
        <w:t xml:space="preserve"> </w:t>
      </w:r>
      <w:r w:rsidR="003115E3">
        <w:rPr>
          <w:i/>
          <w:color w:val="231F20"/>
          <w:w w:val="105"/>
          <w:sz w:val="16"/>
        </w:rPr>
        <w:t>hours</w:t>
      </w:r>
      <w:r w:rsidR="003115E3">
        <w:rPr>
          <w:i/>
          <w:color w:val="231F20"/>
          <w:spacing w:val="11"/>
          <w:w w:val="105"/>
          <w:sz w:val="16"/>
        </w:rPr>
        <w:t xml:space="preserve"> </w:t>
      </w:r>
      <w:r w:rsidR="003115E3">
        <w:rPr>
          <w:i/>
          <w:color w:val="231F20"/>
          <w:w w:val="105"/>
          <w:sz w:val="16"/>
        </w:rPr>
        <w:t>a</w:t>
      </w:r>
      <w:r w:rsidR="003115E3">
        <w:rPr>
          <w:i/>
          <w:color w:val="231F20"/>
          <w:spacing w:val="11"/>
          <w:w w:val="105"/>
          <w:sz w:val="16"/>
        </w:rPr>
        <w:t xml:space="preserve"> </w:t>
      </w:r>
      <w:r w:rsidR="003115E3">
        <w:rPr>
          <w:i/>
          <w:color w:val="231F20"/>
          <w:w w:val="105"/>
          <w:sz w:val="16"/>
        </w:rPr>
        <w:t>day.</w:t>
      </w:r>
    </w:p>
    <w:p w14:paraId="69C8C1A5" w14:textId="77777777" w:rsidR="002653E8" w:rsidRDefault="002653E8">
      <w:pPr>
        <w:spacing w:line="244" w:lineRule="auto"/>
        <w:rPr>
          <w:sz w:val="16"/>
        </w:rPr>
        <w:sectPr w:rsidR="002653E8">
          <w:type w:val="continuous"/>
          <w:pgSz w:w="8640" w:h="12960"/>
          <w:pgMar w:top="0" w:right="0" w:bottom="0" w:left="0" w:header="720" w:footer="720" w:gutter="0"/>
          <w:cols w:num="2" w:space="720" w:equalWidth="0">
            <w:col w:w="4168" w:space="40"/>
            <w:col w:w="4432"/>
          </w:cols>
        </w:sectPr>
      </w:pPr>
    </w:p>
    <w:p w14:paraId="55B9B713" w14:textId="77777777" w:rsidR="002653E8" w:rsidRDefault="003115E3">
      <w:pPr>
        <w:pStyle w:val="4"/>
        <w:spacing w:before="88"/>
        <w:ind w:left="2591"/>
        <w:rPr>
          <w:rFonts w:ascii="Cambria"/>
        </w:rPr>
      </w:pPr>
      <w:bookmarkStart w:id="8" w:name="Acknowledgements__"/>
      <w:bookmarkStart w:id="9" w:name="_bookmark2"/>
      <w:bookmarkEnd w:id="8"/>
      <w:bookmarkEnd w:id="9"/>
      <w:r>
        <w:rPr>
          <w:rFonts w:ascii="Cambria"/>
          <w:color w:val="231F20"/>
          <w:spacing w:val="16"/>
          <w:w w:val="115"/>
        </w:rPr>
        <w:lastRenderedPageBreak/>
        <w:t>ack</w:t>
      </w:r>
      <w:r>
        <w:rPr>
          <w:rFonts w:ascii="Cambria"/>
          <w:color w:val="231F20"/>
          <w:spacing w:val="-37"/>
          <w:w w:val="115"/>
        </w:rPr>
        <w:t xml:space="preserve"> </w:t>
      </w:r>
      <w:r>
        <w:rPr>
          <w:rFonts w:ascii="Cambria"/>
          <w:color w:val="231F20"/>
          <w:spacing w:val="27"/>
          <w:w w:val="115"/>
        </w:rPr>
        <w:t>nowledgements</w:t>
      </w:r>
    </w:p>
    <w:p w14:paraId="50B12F77" w14:textId="77777777" w:rsidR="002653E8" w:rsidRDefault="003115E3">
      <w:pPr>
        <w:pStyle w:val="a3"/>
        <w:spacing w:before="257" w:line="264" w:lineRule="auto"/>
        <w:ind w:left="1147" w:right="1580"/>
      </w:pPr>
      <w:r>
        <w:rPr>
          <w:color w:val="231F20"/>
        </w:rPr>
        <w:t>Many, many people were very helpful to us as we  worked  on  this  book.</w:t>
      </w:r>
    </w:p>
    <w:p w14:paraId="3876C0B9" w14:textId="77777777" w:rsidR="002653E8" w:rsidRDefault="003115E3">
      <w:pPr>
        <w:pStyle w:val="a3"/>
        <w:spacing w:line="264" w:lineRule="auto"/>
        <w:ind w:left="1147" w:right="1325" w:firstLine="210"/>
        <w:jc w:val="both"/>
      </w:pPr>
      <w:r>
        <w:rPr>
          <w:color w:val="231F20"/>
        </w:rPr>
        <w:t xml:space="preserve">Many, many more had already laid the basis for our study through years of hard work providing a voice for the underground. In the days before the internet, a number of movement publications took responsibility for translating and distributing texts by illegal groups like the Red Army Faction. In this regard, we would like to thank those who worked on </w:t>
      </w:r>
      <w:r>
        <w:rPr>
          <w:i/>
          <w:color w:val="231F20"/>
        </w:rPr>
        <w:t xml:space="preserve">Resistance </w:t>
      </w:r>
      <w:r>
        <w:rPr>
          <w:color w:val="231F20"/>
        </w:rPr>
        <w:t xml:space="preserve">(based in Vancouver, Canada in the 1980s), </w:t>
      </w:r>
      <w:r>
        <w:rPr>
          <w:i/>
          <w:color w:val="231F20"/>
        </w:rPr>
        <w:t xml:space="preserve">Arm the Spirit </w:t>
      </w:r>
      <w:r>
        <w:rPr>
          <w:color w:val="231F20"/>
        </w:rPr>
        <w:t xml:space="preserve">(based in Toronto, Canada in the 1990s), and </w:t>
      </w:r>
      <w:r>
        <w:rPr>
          <w:i/>
          <w:color w:val="231F20"/>
        </w:rPr>
        <w:t xml:space="preserve">l’Internationale </w:t>
      </w:r>
      <w:r>
        <w:rPr>
          <w:color w:val="231F20"/>
        </w:rPr>
        <w:t xml:space="preserve">(based in France, 1983-1984). While it did not specifically focus on the guerilla, the Toronto-based newspaper </w:t>
      </w:r>
      <w:r>
        <w:rPr>
          <w:i/>
          <w:color w:val="231F20"/>
        </w:rPr>
        <w:t>Prison News Service</w:t>
      </w:r>
      <w:r>
        <w:rPr>
          <w:color w:val="231F20"/>
        </w:rPr>
        <w:t>, which appeared in the 1980s and early 1990s, is worth also mentioning in this regard.</w:t>
      </w:r>
    </w:p>
    <w:p w14:paraId="3ECC408A" w14:textId="77777777" w:rsidR="002653E8" w:rsidRDefault="003115E3">
      <w:pPr>
        <w:pStyle w:val="a3"/>
        <w:spacing w:line="264" w:lineRule="auto"/>
        <w:ind w:left="1148" w:right="1326" w:firstLine="210"/>
        <w:jc w:val="both"/>
      </w:pPr>
      <w:r>
        <w:rPr>
          <w:color w:val="231F20"/>
        </w:rPr>
        <w:t>We must certainly thank Maspero, the French publisher, several of whose books were of great use to us, as well as Nadir, Extremismus, Zeitgesichte, and the Marxist Internet Archive, all of which maintain excellent websites.</w:t>
      </w:r>
    </w:p>
    <w:p w14:paraId="3CD4C4FA" w14:textId="77777777" w:rsidR="002653E8" w:rsidRDefault="003115E3">
      <w:pPr>
        <w:pStyle w:val="a3"/>
        <w:spacing w:line="264" w:lineRule="auto"/>
        <w:ind w:left="1147" w:right="1325" w:firstLine="210"/>
        <w:jc w:val="both"/>
      </w:pPr>
      <w:r>
        <w:rPr>
          <w:color w:val="231F20"/>
        </w:rPr>
        <w:t xml:space="preserve">Anthony Murphy translated  the  </w:t>
      </w:r>
      <w:r w:rsidR="00C507A5">
        <w:rPr>
          <w:color w:val="231F20"/>
          <w:spacing w:val="1"/>
        </w:rPr>
        <w:t>red army faction</w:t>
      </w:r>
      <w:r>
        <w:rPr>
          <w:color w:val="231F20"/>
          <w:spacing w:val="1"/>
        </w:rPr>
        <w:t xml:space="preserve">’s </w:t>
      </w:r>
      <w:r>
        <w:rPr>
          <w:i/>
          <w:color w:val="231F20"/>
        </w:rPr>
        <w:t xml:space="preserve">The  Urban  </w:t>
      </w:r>
      <w:r>
        <w:rPr>
          <w:i/>
          <w:color w:val="231F20"/>
          <w:spacing w:val="1"/>
        </w:rPr>
        <w:t xml:space="preserve">Guerilla Concept </w:t>
      </w:r>
      <w:r>
        <w:rPr>
          <w:color w:val="231F20"/>
        </w:rPr>
        <w:t>in 2003; while we did not end up using his version, we are nevertheless grateful for his work and</w:t>
      </w:r>
      <w:r>
        <w:rPr>
          <w:color w:val="231F20"/>
          <w:spacing w:val="10"/>
        </w:rPr>
        <w:t xml:space="preserve"> </w:t>
      </w:r>
      <w:r>
        <w:rPr>
          <w:color w:val="231F20"/>
        </w:rPr>
        <w:t>assistance.</w:t>
      </w:r>
    </w:p>
    <w:p w14:paraId="4995724D" w14:textId="77777777" w:rsidR="002653E8" w:rsidRDefault="003115E3">
      <w:pPr>
        <w:pStyle w:val="a3"/>
        <w:spacing w:line="264" w:lineRule="auto"/>
        <w:ind w:left="1147" w:right="1325" w:firstLine="210"/>
        <w:jc w:val="both"/>
      </w:pPr>
      <w:r>
        <w:rPr>
          <w:color w:val="231F20"/>
        </w:rPr>
        <w:t xml:space="preserve">This project would have been impossible in its present form if not   for the excellent Rote Armee Fraktion Collection of the International Institute of Social History, Amsterdam, maintained online as an ar chive by former </w:t>
      </w:r>
      <w:r w:rsidR="00C507A5">
        <w:rPr>
          <w:color w:val="231F20"/>
          <w:spacing w:val="5"/>
        </w:rPr>
        <w:t>red army faction</w:t>
      </w:r>
      <w:r>
        <w:rPr>
          <w:color w:val="231F20"/>
          <w:spacing w:val="5"/>
        </w:rPr>
        <w:t xml:space="preserve"> </w:t>
      </w:r>
      <w:r>
        <w:rPr>
          <w:color w:val="231F20"/>
        </w:rPr>
        <w:t xml:space="preserve">member Ronald Augustin. </w:t>
      </w:r>
      <w:r>
        <w:rPr>
          <w:color w:val="231F20"/>
          <w:spacing w:val="-5"/>
        </w:rPr>
        <w:t xml:space="preserve">We </w:t>
      </w:r>
      <w:r>
        <w:rPr>
          <w:color w:val="231F20"/>
        </w:rPr>
        <w:t>are grateful to both the</w:t>
      </w:r>
      <w:r>
        <w:rPr>
          <w:color w:val="231F20"/>
          <w:spacing w:val="11"/>
        </w:rPr>
        <w:t xml:space="preserve"> </w:t>
      </w:r>
      <w:r>
        <w:rPr>
          <w:color w:val="231F20"/>
          <w:spacing w:val="1"/>
        </w:rPr>
        <w:t>IISH</w:t>
      </w:r>
      <w:r>
        <w:rPr>
          <w:color w:val="231F20"/>
          <w:spacing w:val="11"/>
        </w:rPr>
        <w:t xml:space="preserve"> </w:t>
      </w:r>
      <w:r>
        <w:rPr>
          <w:color w:val="231F20"/>
        </w:rPr>
        <w:t>and</w:t>
      </w:r>
      <w:r>
        <w:rPr>
          <w:color w:val="231F20"/>
          <w:spacing w:val="11"/>
        </w:rPr>
        <w:t xml:space="preserve"> </w:t>
      </w:r>
      <w:r>
        <w:rPr>
          <w:color w:val="231F20"/>
        </w:rPr>
        <w:t>to</w:t>
      </w:r>
      <w:r>
        <w:rPr>
          <w:color w:val="231F20"/>
          <w:spacing w:val="11"/>
        </w:rPr>
        <w:t xml:space="preserve"> </w:t>
      </w:r>
      <w:r>
        <w:rPr>
          <w:color w:val="231F20"/>
        </w:rPr>
        <w:t>Augustin</w:t>
      </w:r>
      <w:r>
        <w:rPr>
          <w:color w:val="231F20"/>
          <w:spacing w:val="11"/>
        </w:rPr>
        <w:t xml:space="preserve"> </w:t>
      </w:r>
      <w:r>
        <w:rPr>
          <w:color w:val="231F20"/>
        </w:rPr>
        <w:t>in</w:t>
      </w:r>
      <w:r>
        <w:rPr>
          <w:color w:val="231F20"/>
          <w:spacing w:val="11"/>
        </w:rPr>
        <w:t xml:space="preserve"> </w:t>
      </w:r>
      <w:r>
        <w:rPr>
          <w:color w:val="231F20"/>
        </w:rPr>
        <w:t>particular.</w:t>
      </w:r>
    </w:p>
    <w:p w14:paraId="054ED8C1" w14:textId="77777777" w:rsidR="002653E8" w:rsidRDefault="003115E3">
      <w:pPr>
        <w:pStyle w:val="a3"/>
        <w:spacing w:line="264" w:lineRule="auto"/>
        <w:ind w:left="1147" w:right="1326" w:firstLine="210"/>
        <w:jc w:val="both"/>
      </w:pPr>
      <w:r>
        <w:rPr>
          <w:color w:val="231F20"/>
        </w:rPr>
        <w:t xml:space="preserve">Many of the graphics in this book come from the book and </w:t>
      </w:r>
      <w:r>
        <w:rPr>
          <w:color w:val="231F20"/>
          <w:spacing w:val="1"/>
        </w:rPr>
        <w:t xml:space="preserve">CD </w:t>
      </w:r>
      <w:r>
        <w:rPr>
          <w:i/>
          <w:color w:val="231F20"/>
        </w:rPr>
        <w:t xml:space="preserve">Vorwärts bis zum nieder mit, </w:t>
      </w:r>
      <w:r>
        <w:rPr>
          <w:color w:val="231F20"/>
        </w:rPr>
        <w:t xml:space="preserve">compiled by Sebastian Haunss, Markus Mohr, and Klaus Viehmann from a variety of archives and published     by </w:t>
      </w:r>
      <w:r>
        <w:rPr>
          <w:color w:val="231F20"/>
          <w:spacing w:val="-3"/>
        </w:rPr>
        <w:t xml:space="preserve">Verlag </w:t>
      </w:r>
      <w:r>
        <w:rPr>
          <w:color w:val="231F20"/>
        </w:rPr>
        <w:t xml:space="preserve">Assoziation </w:t>
      </w:r>
      <w:r>
        <w:rPr>
          <w:color w:val="231F20"/>
          <w:spacing w:val="1"/>
        </w:rPr>
        <w:t xml:space="preserve">A. </w:t>
      </w:r>
      <w:r>
        <w:rPr>
          <w:color w:val="231F20"/>
        </w:rPr>
        <w:t>The interested reader can view the entire con</w:t>
      </w:r>
      <w:r>
        <w:rPr>
          <w:color w:val="231F20"/>
          <w:w w:val="98"/>
        </w:rPr>
        <w:t>t</w:t>
      </w:r>
      <w:r>
        <w:rPr>
          <w:color w:val="231F20"/>
          <w:w w:val="91"/>
        </w:rPr>
        <w:t>e</w:t>
      </w:r>
      <w:r>
        <w:rPr>
          <w:color w:val="231F20"/>
          <w:spacing w:val="-2"/>
          <w:w w:val="99"/>
        </w:rPr>
        <w:t>n</w:t>
      </w:r>
      <w:r>
        <w:rPr>
          <w:color w:val="231F20"/>
          <w:spacing w:val="2"/>
          <w:w w:val="98"/>
        </w:rPr>
        <w:t>t</w:t>
      </w:r>
      <w:r>
        <w:rPr>
          <w:color w:val="231F20"/>
          <w:w w:val="90"/>
        </w:rPr>
        <w:t>s</w:t>
      </w:r>
      <w:r>
        <w:rPr>
          <w:color w:val="231F20"/>
        </w:rPr>
        <w:t xml:space="preserve"> </w:t>
      </w:r>
      <w:r>
        <w:rPr>
          <w:color w:val="231F20"/>
          <w:spacing w:val="-7"/>
        </w:rPr>
        <w:t xml:space="preserve"> </w:t>
      </w:r>
      <w:r>
        <w:rPr>
          <w:color w:val="231F20"/>
          <w:spacing w:val="-2"/>
          <w:w w:val="104"/>
        </w:rPr>
        <w:t>o</w:t>
      </w:r>
      <w:r>
        <w:rPr>
          <w:color w:val="231F20"/>
          <w:w w:val="109"/>
        </w:rPr>
        <w:t>f</w:t>
      </w:r>
      <w:r>
        <w:rPr>
          <w:color w:val="231F20"/>
        </w:rPr>
        <w:t xml:space="preserve"> </w:t>
      </w:r>
      <w:r>
        <w:rPr>
          <w:color w:val="231F20"/>
          <w:spacing w:val="-7"/>
        </w:rPr>
        <w:t xml:space="preserve"> </w:t>
      </w:r>
      <w:r>
        <w:rPr>
          <w:color w:val="231F20"/>
          <w:spacing w:val="2"/>
          <w:w w:val="98"/>
        </w:rPr>
        <w:t>t</w:t>
      </w:r>
      <w:r>
        <w:rPr>
          <w:color w:val="231F20"/>
          <w:spacing w:val="3"/>
        </w:rPr>
        <w:t>h</w:t>
      </w:r>
      <w:r>
        <w:rPr>
          <w:color w:val="231F20"/>
        </w:rPr>
        <w:t>i</w:t>
      </w:r>
      <w:r>
        <w:rPr>
          <w:color w:val="231F20"/>
          <w:w w:val="90"/>
        </w:rPr>
        <w:t>s</w:t>
      </w:r>
      <w:r>
        <w:rPr>
          <w:color w:val="231F20"/>
        </w:rPr>
        <w:t xml:space="preserve"> </w:t>
      </w:r>
      <w:r>
        <w:rPr>
          <w:color w:val="231F20"/>
          <w:spacing w:val="-7"/>
        </w:rPr>
        <w:t xml:space="preserve"> </w:t>
      </w:r>
      <w:r>
        <w:rPr>
          <w:color w:val="231F20"/>
          <w:spacing w:val="5"/>
          <w:w w:val="128"/>
        </w:rPr>
        <w:t>C</w:t>
      </w:r>
      <w:r>
        <w:rPr>
          <w:color w:val="231F20"/>
          <w:w w:val="117"/>
        </w:rPr>
        <w:t>D</w:t>
      </w:r>
      <w:r>
        <w:rPr>
          <w:color w:val="231F20"/>
        </w:rPr>
        <w:t xml:space="preserve"> </w:t>
      </w:r>
      <w:r>
        <w:rPr>
          <w:color w:val="231F20"/>
          <w:spacing w:val="-7"/>
        </w:rPr>
        <w:t xml:space="preserve"> </w:t>
      </w:r>
      <w:r>
        <w:rPr>
          <w:color w:val="231F20"/>
          <w:spacing w:val="-1"/>
          <w:w w:val="104"/>
        </w:rPr>
        <w:t>o</w:t>
      </w:r>
      <w:r>
        <w:rPr>
          <w:color w:val="231F20"/>
          <w:spacing w:val="3"/>
          <w:w w:val="99"/>
        </w:rPr>
        <w:t>n</w:t>
      </w:r>
      <w:r>
        <w:rPr>
          <w:color w:val="231F20"/>
          <w:spacing w:val="2"/>
          <w:w w:val="102"/>
        </w:rPr>
        <w:t>l</w:t>
      </w:r>
      <w:r>
        <w:rPr>
          <w:color w:val="231F20"/>
          <w:spacing w:val="2"/>
        </w:rPr>
        <w:t>i</w:t>
      </w:r>
      <w:r>
        <w:rPr>
          <w:color w:val="231F20"/>
          <w:spacing w:val="-1"/>
          <w:w w:val="99"/>
        </w:rPr>
        <w:t>n</w:t>
      </w:r>
      <w:r>
        <w:rPr>
          <w:color w:val="231F20"/>
          <w:w w:val="91"/>
        </w:rPr>
        <w:t>e</w:t>
      </w:r>
      <w:r>
        <w:rPr>
          <w:color w:val="231F20"/>
        </w:rPr>
        <w:t xml:space="preserve"> </w:t>
      </w:r>
      <w:r>
        <w:rPr>
          <w:color w:val="231F20"/>
          <w:spacing w:val="-7"/>
        </w:rPr>
        <w:t xml:space="preserve"> </w:t>
      </w:r>
      <w:r>
        <w:rPr>
          <w:color w:val="231F20"/>
          <w:spacing w:val="-2"/>
          <w:w w:val="102"/>
        </w:rPr>
        <w:t>a</w:t>
      </w:r>
      <w:r>
        <w:rPr>
          <w:color w:val="231F20"/>
          <w:w w:val="98"/>
        </w:rPr>
        <w:t>t</w:t>
      </w:r>
      <w:r>
        <w:rPr>
          <w:color w:val="231F20"/>
        </w:rPr>
        <w:t xml:space="preserve"> </w:t>
      </w:r>
      <w:r>
        <w:rPr>
          <w:color w:val="231F20"/>
          <w:spacing w:val="-7"/>
        </w:rPr>
        <w:t xml:space="preserve"> </w:t>
      </w:r>
      <w:hyperlink r:id="rId15">
        <w:r>
          <w:rPr>
            <w:color w:val="231F20"/>
            <w:spacing w:val="-2"/>
          </w:rPr>
          <w:t>h</w:t>
        </w:r>
        <w:r>
          <w:rPr>
            <w:color w:val="231F20"/>
            <w:spacing w:val="5"/>
            <w:w w:val="98"/>
          </w:rPr>
          <w:t>t</w:t>
        </w:r>
        <w:r>
          <w:rPr>
            <w:color w:val="231F20"/>
            <w:spacing w:val="3"/>
            <w:w w:val="98"/>
          </w:rPr>
          <w:t>t</w:t>
        </w:r>
        <w:r>
          <w:rPr>
            <w:color w:val="231F20"/>
            <w:spacing w:val="-1"/>
            <w:w w:val="99"/>
          </w:rPr>
          <w:t>p</w:t>
        </w:r>
        <w:r>
          <w:rPr>
            <w:color w:val="231F20"/>
            <w:spacing w:val="5"/>
            <w:w w:val="105"/>
          </w:rPr>
          <w:t>:</w:t>
        </w:r>
        <w:r>
          <w:rPr>
            <w:color w:val="231F20"/>
            <w:spacing w:val="-3"/>
            <w:w w:val="56"/>
          </w:rPr>
          <w:t>/</w:t>
        </w:r>
        <w:r>
          <w:rPr>
            <w:color w:val="231F20"/>
            <w:spacing w:val="-1"/>
            <w:w w:val="56"/>
          </w:rPr>
          <w:t>/</w:t>
        </w:r>
        <w:r>
          <w:rPr>
            <w:color w:val="231F20"/>
            <w:spacing w:val="-2"/>
            <w:w w:val="99"/>
          </w:rPr>
          <w:t>p</w:t>
        </w:r>
        <w:r>
          <w:rPr>
            <w:color w:val="231F20"/>
            <w:w w:val="102"/>
          </w:rPr>
          <w:t>l</w:t>
        </w:r>
        <w:r>
          <w:rPr>
            <w:color w:val="231F20"/>
            <w:spacing w:val="2"/>
            <w:w w:val="102"/>
          </w:rPr>
          <w:t>a</w:t>
        </w:r>
        <w:r>
          <w:rPr>
            <w:color w:val="231F20"/>
            <w:spacing w:val="1"/>
            <w:w w:val="106"/>
          </w:rPr>
          <w:t>k</w:t>
        </w:r>
        <w:r>
          <w:rPr>
            <w:color w:val="231F20"/>
            <w:spacing w:val="-2"/>
            <w:w w:val="102"/>
          </w:rPr>
          <w:t>a</w:t>
        </w:r>
        <w:r>
          <w:rPr>
            <w:color w:val="231F20"/>
            <w:spacing w:val="1"/>
            <w:w w:val="98"/>
          </w:rPr>
          <w:t>t</w:t>
        </w:r>
        <w:r>
          <w:rPr>
            <w:color w:val="231F20"/>
            <w:w w:val="135"/>
          </w:rPr>
          <w:t>.</w:t>
        </w:r>
        <w:r>
          <w:rPr>
            <w:color w:val="231F20"/>
            <w:spacing w:val="1"/>
            <w:w w:val="99"/>
          </w:rPr>
          <w:t>n</w:t>
        </w:r>
        <w:r>
          <w:rPr>
            <w:color w:val="231F20"/>
            <w:spacing w:val="-2"/>
            <w:w w:val="102"/>
          </w:rPr>
          <w:t>a</w:t>
        </w:r>
        <w:r>
          <w:rPr>
            <w:color w:val="231F20"/>
            <w:spacing w:val="3"/>
          </w:rPr>
          <w:t>di</w:t>
        </w:r>
        <w:r>
          <w:rPr>
            <w:color w:val="231F20"/>
            <w:spacing w:val="-7"/>
            <w:w w:val="94"/>
          </w:rPr>
          <w:t>r</w:t>
        </w:r>
        <w:r>
          <w:rPr>
            <w:color w:val="231F20"/>
            <w:spacing w:val="-2"/>
            <w:w w:val="135"/>
          </w:rPr>
          <w:t>.</w:t>
        </w:r>
        <w:r>
          <w:rPr>
            <w:color w:val="231F20"/>
            <w:spacing w:val="-1"/>
            <w:w w:val="104"/>
          </w:rPr>
          <w:t>o</w:t>
        </w:r>
        <w:r>
          <w:rPr>
            <w:color w:val="231F20"/>
            <w:w w:val="94"/>
          </w:rPr>
          <w:t>r</w:t>
        </w:r>
        <w:r>
          <w:rPr>
            <w:color w:val="231F20"/>
            <w:spacing w:val="10"/>
            <w:w w:val="101"/>
          </w:rPr>
          <w:t>g</w:t>
        </w:r>
        <w:r>
          <w:rPr>
            <w:color w:val="231F20"/>
            <w:spacing w:val="-13"/>
            <w:w w:val="56"/>
          </w:rPr>
          <w:t>/</w:t>
        </w:r>
        <w:r>
          <w:rPr>
            <w:color w:val="231F20"/>
            <w:w w:val="135"/>
          </w:rPr>
          <w:t>.</w:t>
        </w:r>
      </w:hyperlink>
      <w:r>
        <w:rPr>
          <w:color w:val="231F20"/>
        </w:rPr>
        <w:t xml:space="preserve"> </w:t>
      </w:r>
      <w:r>
        <w:rPr>
          <w:color w:val="231F20"/>
          <w:spacing w:val="-7"/>
        </w:rPr>
        <w:t xml:space="preserve"> </w:t>
      </w:r>
      <w:r>
        <w:rPr>
          <w:color w:val="231F20"/>
          <w:spacing w:val="5"/>
          <w:w w:val="115"/>
        </w:rPr>
        <w:t>A</w:t>
      </w:r>
      <w:r>
        <w:rPr>
          <w:color w:val="231F20"/>
          <w:spacing w:val="2"/>
          <w:w w:val="102"/>
        </w:rPr>
        <w:t>l</w:t>
      </w:r>
      <w:r>
        <w:rPr>
          <w:color w:val="231F20"/>
          <w:w w:val="102"/>
        </w:rPr>
        <w:t>l</w:t>
      </w:r>
      <w:r>
        <w:rPr>
          <w:color w:val="231F20"/>
        </w:rPr>
        <w:t xml:space="preserve"> </w:t>
      </w:r>
      <w:r>
        <w:rPr>
          <w:color w:val="231F20"/>
          <w:spacing w:val="-7"/>
        </w:rPr>
        <w:t xml:space="preserve"> </w:t>
      </w:r>
      <w:r>
        <w:rPr>
          <w:color w:val="231F20"/>
          <w:spacing w:val="2"/>
          <w:w w:val="98"/>
        </w:rPr>
        <w:t>t</w:t>
      </w:r>
      <w:r>
        <w:rPr>
          <w:color w:val="231F20"/>
          <w:spacing w:val="-2"/>
        </w:rPr>
        <w:t>h</w:t>
      </w:r>
      <w:r>
        <w:rPr>
          <w:color w:val="231F20"/>
          <w:w w:val="104"/>
        </w:rPr>
        <w:t>o</w:t>
      </w:r>
      <w:r>
        <w:rPr>
          <w:color w:val="231F20"/>
          <w:spacing w:val="1"/>
          <w:w w:val="90"/>
        </w:rPr>
        <w:t>s</w:t>
      </w:r>
      <w:r>
        <w:rPr>
          <w:color w:val="231F20"/>
          <w:w w:val="91"/>
        </w:rPr>
        <w:t>e</w:t>
      </w:r>
      <w:r>
        <w:rPr>
          <w:color w:val="231F20"/>
        </w:rPr>
        <w:t xml:space="preserve"> </w:t>
      </w:r>
      <w:r>
        <w:rPr>
          <w:color w:val="231F20"/>
          <w:spacing w:val="-7"/>
        </w:rPr>
        <w:t xml:space="preserve"> </w:t>
      </w:r>
      <w:r>
        <w:rPr>
          <w:color w:val="231F20"/>
          <w:spacing w:val="2"/>
        </w:rPr>
        <w:t>i</w:t>
      </w:r>
      <w:r>
        <w:rPr>
          <w:color w:val="231F20"/>
          <w:spacing w:val="-3"/>
          <w:w w:val="99"/>
        </w:rPr>
        <w:t>n</w:t>
      </w:r>
      <w:r>
        <w:rPr>
          <w:color w:val="231F20"/>
          <w:spacing w:val="-4"/>
          <w:w w:val="99"/>
        </w:rPr>
        <w:t>v</w:t>
      </w:r>
      <w:r>
        <w:rPr>
          <w:color w:val="231F20"/>
          <w:spacing w:val="-2"/>
          <w:w w:val="104"/>
        </w:rPr>
        <w:t>o</w:t>
      </w:r>
      <w:r>
        <w:rPr>
          <w:color w:val="231F20"/>
          <w:spacing w:val="-2"/>
          <w:w w:val="102"/>
        </w:rPr>
        <w:t>l</w:t>
      </w:r>
      <w:r>
        <w:rPr>
          <w:color w:val="231F20"/>
          <w:spacing w:val="-2"/>
          <w:w w:val="99"/>
        </w:rPr>
        <w:t>v</w:t>
      </w:r>
      <w:r>
        <w:rPr>
          <w:color w:val="231F20"/>
          <w:w w:val="91"/>
        </w:rPr>
        <w:t>e</w:t>
      </w:r>
      <w:r>
        <w:rPr>
          <w:color w:val="231F20"/>
        </w:rPr>
        <w:t>d in producing this artwork, and the book and website in question, have our</w:t>
      </w:r>
      <w:r>
        <w:rPr>
          <w:color w:val="231F20"/>
          <w:spacing w:val="10"/>
        </w:rPr>
        <w:t xml:space="preserve"> </w:t>
      </w:r>
      <w:r>
        <w:rPr>
          <w:color w:val="231F20"/>
        </w:rPr>
        <w:t>thanks.</w:t>
      </w:r>
    </w:p>
    <w:p w14:paraId="3CDE235A" w14:textId="77777777" w:rsidR="002653E8" w:rsidRDefault="003115E3">
      <w:pPr>
        <w:pStyle w:val="a3"/>
        <w:spacing w:line="264" w:lineRule="auto"/>
        <w:ind w:left="1147" w:right="1326" w:firstLine="210"/>
        <w:jc w:val="both"/>
      </w:pPr>
      <w:r>
        <w:rPr>
          <w:color w:val="231F20"/>
        </w:rPr>
        <w:t xml:space="preserve">Dan Berger and Matthew Lyons provided very useful feedback to earlier drafts of our text. Henning Böke, Jutta Ditfurth, comrades from the Parti Communiste Marxiste-Léniniste-Maoïste, members of the Leftist Trainspotters and </w:t>
      </w:r>
      <w:r>
        <w:rPr>
          <w:color w:val="231F20"/>
          <w:spacing w:val="1"/>
        </w:rPr>
        <w:t xml:space="preserve">Marxmail </w:t>
      </w:r>
      <w:r>
        <w:rPr>
          <w:color w:val="231F20"/>
        </w:rPr>
        <w:t xml:space="preserve">email lists, all provided very use </w:t>
      </w:r>
      <w:r>
        <w:rPr>
          <w:color w:val="231F20"/>
          <w:spacing w:val="1"/>
        </w:rPr>
        <w:t xml:space="preserve">ful </w:t>
      </w:r>
      <w:r>
        <w:rPr>
          <w:color w:val="231F20"/>
        </w:rPr>
        <w:t xml:space="preserve">answers to questions regarding the </w:t>
      </w:r>
      <w:r>
        <w:rPr>
          <w:color w:val="231F20"/>
          <w:spacing w:val="-3"/>
        </w:rPr>
        <w:t xml:space="preserve">West </w:t>
      </w:r>
      <w:r>
        <w:rPr>
          <w:color w:val="231F20"/>
        </w:rPr>
        <w:t>German radical left</w:t>
      </w:r>
      <w:r>
        <w:rPr>
          <w:color w:val="231F20"/>
          <w:spacing w:val="-2"/>
        </w:rPr>
        <w:t xml:space="preserve"> </w:t>
      </w:r>
      <w:r>
        <w:rPr>
          <w:color w:val="231F20"/>
        </w:rPr>
        <w:t>and</w:t>
      </w:r>
    </w:p>
    <w:p w14:paraId="30FF1939" w14:textId="77777777" w:rsidR="002653E8" w:rsidRDefault="002653E8">
      <w:pPr>
        <w:spacing w:line="264" w:lineRule="auto"/>
        <w:jc w:val="both"/>
        <w:sectPr w:rsidR="002653E8">
          <w:footerReference w:type="even" r:id="rId16"/>
          <w:footerReference w:type="default" r:id="rId17"/>
          <w:pgSz w:w="8640" w:h="12960"/>
          <w:pgMar w:top="1220" w:right="0" w:bottom="1040" w:left="0" w:header="0" w:footer="850" w:gutter="0"/>
          <w:pgNumType w:start="15"/>
          <w:cols w:space="720"/>
        </w:sectPr>
      </w:pPr>
    </w:p>
    <w:p w14:paraId="45777E44" w14:textId="77777777" w:rsidR="002653E8" w:rsidRDefault="003115E3">
      <w:pPr>
        <w:pStyle w:val="a3"/>
        <w:spacing w:before="86" w:line="264" w:lineRule="auto"/>
        <w:ind w:left="1327" w:right="1146"/>
        <w:jc w:val="both"/>
      </w:pPr>
      <w:r>
        <w:rPr>
          <w:color w:val="231F20"/>
        </w:rPr>
        <w:lastRenderedPageBreak/>
        <w:t>the guerilla. Muhammad Abu Nasr provided helpful insight into the Palestinian resistance, specifically around the Black September action  in Munich. Romy Ruukel provided much needed help and advice, proof reading the text and teaching us how to compile a bibliography. Many others provided great assistance to us in this project, yet would rather not</w:t>
      </w:r>
      <w:r>
        <w:rPr>
          <w:color w:val="231F20"/>
          <w:spacing w:val="10"/>
        </w:rPr>
        <w:t xml:space="preserve"> </w:t>
      </w:r>
      <w:r>
        <w:rPr>
          <w:color w:val="231F20"/>
        </w:rPr>
        <w:t>be</w:t>
      </w:r>
      <w:r>
        <w:rPr>
          <w:color w:val="231F20"/>
          <w:spacing w:val="10"/>
        </w:rPr>
        <w:t xml:space="preserve"> </w:t>
      </w:r>
      <w:r>
        <w:rPr>
          <w:color w:val="231F20"/>
        </w:rPr>
        <w:t>named</w:t>
      </w:r>
      <w:r>
        <w:rPr>
          <w:color w:val="231F20"/>
          <w:spacing w:val="10"/>
        </w:rPr>
        <w:t xml:space="preserve"> </w:t>
      </w:r>
      <w:r>
        <w:rPr>
          <w:color w:val="231F20"/>
        </w:rPr>
        <w:t>here.</w:t>
      </w:r>
      <w:r>
        <w:rPr>
          <w:color w:val="231F20"/>
          <w:spacing w:val="10"/>
        </w:rPr>
        <w:t xml:space="preserve"> </w:t>
      </w:r>
      <w:r>
        <w:rPr>
          <w:color w:val="231F20"/>
        </w:rPr>
        <w:t>They</w:t>
      </w:r>
      <w:r>
        <w:rPr>
          <w:color w:val="231F20"/>
          <w:spacing w:val="10"/>
        </w:rPr>
        <w:t xml:space="preserve"> </w:t>
      </w:r>
      <w:r>
        <w:rPr>
          <w:color w:val="231F20"/>
        </w:rPr>
        <w:t>too</w:t>
      </w:r>
      <w:r>
        <w:rPr>
          <w:color w:val="231F20"/>
          <w:spacing w:val="10"/>
        </w:rPr>
        <w:t xml:space="preserve"> </w:t>
      </w:r>
      <w:r>
        <w:rPr>
          <w:color w:val="231F20"/>
        </w:rPr>
        <w:t>have</w:t>
      </w:r>
      <w:r>
        <w:rPr>
          <w:color w:val="231F20"/>
          <w:spacing w:val="10"/>
        </w:rPr>
        <w:t xml:space="preserve"> </w:t>
      </w:r>
      <w:r>
        <w:rPr>
          <w:color w:val="231F20"/>
        </w:rPr>
        <w:t>our</w:t>
      </w:r>
      <w:r>
        <w:rPr>
          <w:color w:val="231F20"/>
          <w:spacing w:val="10"/>
        </w:rPr>
        <w:t xml:space="preserve"> </w:t>
      </w:r>
      <w:r>
        <w:rPr>
          <w:color w:val="231F20"/>
        </w:rPr>
        <w:t>thanks.</w:t>
      </w:r>
    </w:p>
    <w:p w14:paraId="1433D963" w14:textId="77777777" w:rsidR="002653E8" w:rsidRDefault="003115E3">
      <w:pPr>
        <w:pStyle w:val="a3"/>
        <w:spacing w:line="264" w:lineRule="auto"/>
        <w:ind w:left="1327" w:right="1146" w:firstLine="210"/>
        <w:jc w:val="both"/>
      </w:pPr>
      <w:r>
        <w:rPr>
          <w:color w:val="231F20"/>
        </w:rPr>
        <w:t>It should go without saying that none of these individuals or groups are likely to agree with everything we have stated in this book, nor       do they necessarily approve of the conclusions we have drawn. It goes without saying that they have no responsibility for any errors contained herein.</w:t>
      </w:r>
    </w:p>
    <w:p w14:paraId="242766E9" w14:textId="77777777" w:rsidR="002653E8" w:rsidRDefault="003115E3">
      <w:pPr>
        <w:pStyle w:val="a3"/>
        <w:spacing w:line="264" w:lineRule="auto"/>
        <w:ind w:left="1327" w:right="1146" w:firstLine="210"/>
        <w:jc w:val="both"/>
      </w:pPr>
      <w:r>
        <w:rPr>
          <w:color w:val="231F20"/>
        </w:rPr>
        <w:t>Finally, and with our tongues planted firmly in our cheeks, we would like to thank the U.S. military for creating the internet, without which this project might not have been possible.</w:t>
      </w:r>
    </w:p>
    <w:p w14:paraId="16A3B81D" w14:textId="77777777" w:rsidR="002653E8" w:rsidRDefault="002653E8">
      <w:pPr>
        <w:spacing w:line="264" w:lineRule="auto"/>
        <w:jc w:val="both"/>
        <w:sectPr w:rsidR="002653E8">
          <w:pgSz w:w="8640" w:h="12960"/>
          <w:pgMar w:top="1060" w:right="0" w:bottom="1040" w:left="0" w:header="0" w:footer="850" w:gutter="0"/>
          <w:cols w:space="720"/>
        </w:sectPr>
      </w:pPr>
    </w:p>
    <w:p w14:paraId="21DADE3E" w14:textId="77777777" w:rsidR="002653E8" w:rsidRDefault="003115E3">
      <w:pPr>
        <w:pStyle w:val="4"/>
        <w:spacing w:before="88"/>
        <w:ind w:left="2662"/>
        <w:rPr>
          <w:rFonts w:ascii="Cambria" w:hAnsi="Cambria"/>
        </w:rPr>
      </w:pPr>
      <w:bookmarkStart w:id="10" w:name="Translators’_Note_"/>
      <w:bookmarkStart w:id="11" w:name="_bookmark3"/>
      <w:bookmarkEnd w:id="10"/>
      <w:bookmarkEnd w:id="11"/>
      <w:r>
        <w:rPr>
          <w:rFonts w:ascii="Cambria" w:hAnsi="Cambria"/>
          <w:color w:val="231F20"/>
          <w:spacing w:val="26"/>
          <w:w w:val="125"/>
        </w:rPr>
        <w:lastRenderedPageBreak/>
        <w:t>translators’</w:t>
      </w:r>
      <w:r>
        <w:rPr>
          <w:rFonts w:ascii="Cambria" w:hAnsi="Cambria"/>
          <w:color w:val="231F20"/>
          <w:spacing w:val="85"/>
          <w:w w:val="125"/>
        </w:rPr>
        <w:t xml:space="preserve"> </w:t>
      </w:r>
      <w:r>
        <w:rPr>
          <w:rFonts w:ascii="Cambria" w:hAnsi="Cambria"/>
          <w:color w:val="231F20"/>
          <w:spacing w:val="21"/>
          <w:w w:val="125"/>
        </w:rPr>
        <w:t>note</w:t>
      </w:r>
      <w:r>
        <w:rPr>
          <w:rFonts w:ascii="Cambria" w:hAnsi="Cambria"/>
          <w:color w:val="231F20"/>
          <w:spacing w:val="-28"/>
        </w:rPr>
        <w:t xml:space="preserve"> </w:t>
      </w:r>
    </w:p>
    <w:p w14:paraId="648CC2B8" w14:textId="77777777" w:rsidR="002653E8" w:rsidRDefault="003115E3">
      <w:pPr>
        <w:pStyle w:val="a3"/>
        <w:spacing w:before="257" w:line="264" w:lineRule="auto"/>
        <w:ind w:left="1147" w:right="1326"/>
        <w:jc w:val="both"/>
      </w:pPr>
      <w:r>
        <w:rPr>
          <w:color w:val="231F20"/>
          <w:spacing w:val="1"/>
        </w:rPr>
        <w:t xml:space="preserve">In </w:t>
      </w:r>
      <w:r>
        <w:rPr>
          <w:color w:val="231F20"/>
        </w:rPr>
        <w:t xml:space="preserve">preparing these texts, we consulted the many existent versions in both French and English. However, in each case these translations were found to have serious shortcomings. Not surprisingly, many of them,  the work of committed activists whose grasp of German was limited, were marred by erroneous translation—usually these errors were predictable given the complexity of the German language. </w:t>
      </w:r>
      <w:r>
        <w:rPr>
          <w:color w:val="231F20"/>
          <w:spacing w:val="1"/>
        </w:rPr>
        <w:t xml:space="preserve">In </w:t>
      </w:r>
      <w:r>
        <w:rPr>
          <w:color w:val="231F20"/>
        </w:rPr>
        <w:t>no few cases, segments of the original text were found to be missing from the available translations. It was also not uncommon to encounter what might best be called transliteration—the translator “adjusted” concepts  to  suit the milieu for which he or she was translating the document. The end result of this latter phenomenon was often, however unintentional, the ideological distortion of the original document—usually only slight in nature, but occasionally egregious. Perhaps the oddest thing we encountered on more than a few occasions was the existence of accretions in the translated documents we referred to; usually only a phrase or a sentence or two, but occasionally entire</w:t>
      </w:r>
      <w:r>
        <w:rPr>
          <w:color w:val="231F20"/>
          <w:spacing w:val="20"/>
        </w:rPr>
        <w:t xml:space="preserve"> </w:t>
      </w:r>
      <w:r>
        <w:rPr>
          <w:color w:val="231F20"/>
        </w:rPr>
        <w:t>paragraphs.</w:t>
      </w:r>
    </w:p>
    <w:p w14:paraId="0716F0A7" w14:textId="77777777" w:rsidR="002653E8" w:rsidRDefault="003115E3">
      <w:pPr>
        <w:pStyle w:val="a3"/>
        <w:spacing w:line="217" w:lineRule="exact"/>
        <w:ind w:left="1357"/>
      </w:pPr>
      <w:r>
        <w:rPr>
          <w:color w:val="231F20"/>
        </w:rPr>
        <w:t>After several months of poring over the existing translations, hoping</w:t>
      </w:r>
    </w:p>
    <w:p w14:paraId="161AE80C" w14:textId="77777777" w:rsidR="002653E8" w:rsidRDefault="003115E3">
      <w:pPr>
        <w:pStyle w:val="a3"/>
        <w:spacing w:before="23" w:line="264" w:lineRule="auto"/>
        <w:ind w:left="1147" w:right="1325"/>
        <w:jc w:val="both"/>
      </w:pPr>
      <w:r>
        <w:rPr>
          <w:color w:val="231F20"/>
        </w:rPr>
        <w:t xml:space="preserve">to tweak them into publishable shape </w:t>
      </w:r>
      <w:r>
        <w:rPr>
          <w:color w:val="231F20"/>
          <w:spacing w:val="-3"/>
        </w:rPr>
        <w:t xml:space="preserve">(about </w:t>
      </w:r>
      <w:r>
        <w:rPr>
          <w:color w:val="231F20"/>
        </w:rPr>
        <w:t xml:space="preserve">two thirds of the documents in this book existed in some form of translation in the two languages accessible to </w:t>
      </w:r>
      <w:r>
        <w:rPr>
          <w:color w:val="231F20"/>
          <w:spacing w:val="-3"/>
        </w:rPr>
        <w:t xml:space="preserve">us), </w:t>
      </w:r>
      <w:r>
        <w:rPr>
          <w:color w:val="231F20"/>
        </w:rPr>
        <w:t xml:space="preserve">we were obliged to accept the inevitable: all of the documents we hoped to use would have to be checked against the originals before going to publication. Then began the task of hunting down the originals, a process greatly facilitated by the existence of several online sources, including an indispensible website maintained by former </w:t>
      </w:r>
      <w:r w:rsidR="00C507A5">
        <w:rPr>
          <w:color w:val="231F20"/>
          <w:spacing w:val="5"/>
        </w:rPr>
        <w:t>red army faction</w:t>
      </w:r>
      <w:r>
        <w:rPr>
          <w:color w:val="231F20"/>
          <w:spacing w:val="5"/>
        </w:rPr>
        <w:t xml:space="preserve"> </w:t>
      </w:r>
      <w:r>
        <w:rPr>
          <w:color w:val="231F20"/>
        </w:rPr>
        <w:t>prisoner Ronald Augustin.</w:t>
      </w:r>
      <w:r>
        <w:rPr>
          <w:color w:val="231F20"/>
          <w:position w:val="7"/>
          <w:sz w:val="11"/>
        </w:rPr>
        <w:t xml:space="preserve">1 </w:t>
      </w:r>
      <w:r>
        <w:rPr>
          <w:color w:val="231F20"/>
        </w:rPr>
        <w:t xml:space="preserve">Of no less importance was the discovery, in pdf form, of the entire </w:t>
      </w:r>
      <w:r>
        <w:rPr>
          <w:color w:val="231F20"/>
          <w:spacing w:val="-3"/>
        </w:rPr>
        <w:t xml:space="preserve">1997 </w:t>
      </w:r>
      <w:r>
        <w:rPr>
          <w:color w:val="231F20"/>
        </w:rPr>
        <w:t xml:space="preserve">ID-Verlag book, </w:t>
      </w:r>
      <w:r>
        <w:rPr>
          <w:i/>
          <w:color w:val="231F20"/>
        </w:rPr>
        <w:t xml:space="preserve">Texte und </w:t>
      </w:r>
      <w:r>
        <w:rPr>
          <w:i/>
          <w:color w:val="231F20"/>
          <w:spacing w:val="1"/>
        </w:rPr>
        <w:t xml:space="preserve">Materialien </w:t>
      </w:r>
      <w:r>
        <w:rPr>
          <w:i/>
          <w:color w:val="231F20"/>
        </w:rPr>
        <w:t xml:space="preserve">zur Geschichte </w:t>
      </w:r>
      <w:r>
        <w:rPr>
          <w:i/>
          <w:color w:val="231F20"/>
          <w:spacing w:val="1"/>
        </w:rPr>
        <w:t xml:space="preserve">der </w:t>
      </w:r>
      <w:r w:rsidR="00C507A5">
        <w:rPr>
          <w:i/>
          <w:color w:val="231F20"/>
          <w:spacing w:val="5"/>
        </w:rPr>
        <w:t>red army faction</w:t>
      </w:r>
      <w:r>
        <w:rPr>
          <w:i/>
          <w:color w:val="231F20"/>
          <w:spacing w:val="5"/>
        </w:rPr>
        <w:t xml:space="preserve"> </w:t>
      </w:r>
      <w:r>
        <w:rPr>
          <w:color w:val="231F20"/>
        </w:rPr>
        <w:t>on the Nadir website.</w:t>
      </w:r>
      <w:r>
        <w:rPr>
          <w:color w:val="231F20"/>
          <w:position w:val="7"/>
          <w:sz w:val="11"/>
        </w:rPr>
        <w:t xml:space="preserve">2 </w:t>
      </w:r>
      <w:r>
        <w:rPr>
          <w:color w:val="231F20"/>
        </w:rPr>
        <w:t>With these two resources in hand, we had all the documents we needed to</w:t>
      </w:r>
      <w:r>
        <w:rPr>
          <w:color w:val="231F20"/>
          <w:spacing w:val="-32"/>
        </w:rPr>
        <w:t xml:space="preserve"> </w:t>
      </w:r>
      <w:r>
        <w:rPr>
          <w:color w:val="231F20"/>
        </w:rPr>
        <w:t>complete this</w:t>
      </w:r>
      <w:r>
        <w:rPr>
          <w:color w:val="231F20"/>
          <w:spacing w:val="10"/>
        </w:rPr>
        <w:t xml:space="preserve"> </w:t>
      </w:r>
      <w:r>
        <w:rPr>
          <w:color w:val="231F20"/>
        </w:rPr>
        <w:t>book</w:t>
      </w:r>
      <w:r>
        <w:rPr>
          <w:color w:val="231F20"/>
          <w:spacing w:val="10"/>
        </w:rPr>
        <w:t xml:space="preserve"> </w:t>
      </w:r>
      <w:r>
        <w:rPr>
          <w:color w:val="231F20"/>
        </w:rPr>
        <w:t>save</w:t>
      </w:r>
      <w:r>
        <w:rPr>
          <w:color w:val="231F20"/>
          <w:spacing w:val="10"/>
        </w:rPr>
        <w:t xml:space="preserve"> </w:t>
      </w:r>
      <w:r>
        <w:rPr>
          <w:color w:val="231F20"/>
        </w:rPr>
        <w:t>a</w:t>
      </w:r>
      <w:r>
        <w:rPr>
          <w:color w:val="231F20"/>
          <w:spacing w:val="10"/>
        </w:rPr>
        <w:t xml:space="preserve"> </w:t>
      </w:r>
      <w:r>
        <w:rPr>
          <w:color w:val="231F20"/>
        </w:rPr>
        <w:t>small</w:t>
      </w:r>
      <w:r>
        <w:rPr>
          <w:color w:val="231F20"/>
          <w:spacing w:val="10"/>
        </w:rPr>
        <w:t xml:space="preserve"> </w:t>
      </w:r>
      <w:r>
        <w:rPr>
          <w:color w:val="231F20"/>
        </w:rPr>
        <w:t>handful</w:t>
      </w:r>
      <w:r>
        <w:rPr>
          <w:color w:val="231F20"/>
          <w:spacing w:val="10"/>
        </w:rPr>
        <w:t xml:space="preserve"> </w:t>
      </w:r>
      <w:r>
        <w:rPr>
          <w:color w:val="231F20"/>
        </w:rPr>
        <w:t>that</w:t>
      </w:r>
      <w:r>
        <w:rPr>
          <w:color w:val="231F20"/>
          <w:spacing w:val="10"/>
        </w:rPr>
        <w:t xml:space="preserve"> </w:t>
      </w:r>
      <w:r>
        <w:rPr>
          <w:color w:val="231F20"/>
        </w:rPr>
        <w:t>we</w:t>
      </w:r>
      <w:r>
        <w:rPr>
          <w:color w:val="231F20"/>
          <w:spacing w:val="10"/>
        </w:rPr>
        <w:t xml:space="preserve"> </w:t>
      </w:r>
      <w:r>
        <w:rPr>
          <w:color w:val="231F20"/>
        </w:rPr>
        <w:t>tracked</w:t>
      </w:r>
      <w:r>
        <w:rPr>
          <w:color w:val="231F20"/>
          <w:spacing w:val="10"/>
        </w:rPr>
        <w:t xml:space="preserve"> </w:t>
      </w:r>
      <w:r>
        <w:rPr>
          <w:color w:val="231F20"/>
        </w:rPr>
        <w:t>down</w:t>
      </w:r>
      <w:r>
        <w:rPr>
          <w:color w:val="231F20"/>
          <w:spacing w:val="10"/>
        </w:rPr>
        <w:t xml:space="preserve"> </w:t>
      </w:r>
      <w:r>
        <w:rPr>
          <w:color w:val="231F20"/>
        </w:rPr>
        <w:t>elsewhere.</w:t>
      </w:r>
    </w:p>
    <w:p w14:paraId="2144E2BD" w14:textId="77777777" w:rsidR="002653E8" w:rsidRDefault="003115E3">
      <w:pPr>
        <w:pStyle w:val="a3"/>
        <w:spacing w:line="222" w:lineRule="exact"/>
        <w:ind w:left="1357"/>
      </w:pPr>
      <w:r>
        <w:rPr>
          <w:color w:val="231F20"/>
        </w:rPr>
        <w:t>The process of translation we used was to some degree unique. Only</w:t>
      </w:r>
    </w:p>
    <w:p w14:paraId="6ABB1FFC" w14:textId="77777777" w:rsidR="002653E8" w:rsidRDefault="003115E3">
      <w:pPr>
        <w:pStyle w:val="a3"/>
        <w:spacing w:before="22" w:line="264" w:lineRule="auto"/>
        <w:ind w:left="1147" w:right="1327"/>
        <w:jc w:val="both"/>
      </w:pPr>
      <w:r>
        <w:rPr>
          <w:color w:val="231F20"/>
        </w:rPr>
        <w:t>one of the two “translators” was actually conversant in German, and so it</w:t>
      </w:r>
      <w:r>
        <w:rPr>
          <w:color w:val="231F20"/>
          <w:spacing w:val="-11"/>
        </w:rPr>
        <w:t xml:space="preserve"> </w:t>
      </w:r>
      <w:r>
        <w:rPr>
          <w:color w:val="231F20"/>
        </w:rPr>
        <w:t>fell</w:t>
      </w:r>
      <w:r>
        <w:rPr>
          <w:color w:val="231F20"/>
          <w:spacing w:val="-11"/>
        </w:rPr>
        <w:t xml:space="preserve"> </w:t>
      </w:r>
      <w:r>
        <w:rPr>
          <w:color w:val="231F20"/>
        </w:rPr>
        <w:t>to</w:t>
      </w:r>
      <w:r>
        <w:rPr>
          <w:color w:val="231F20"/>
          <w:spacing w:val="-11"/>
        </w:rPr>
        <w:t xml:space="preserve"> </w:t>
      </w:r>
      <w:r>
        <w:rPr>
          <w:color w:val="231F20"/>
        </w:rPr>
        <w:t>him</w:t>
      </w:r>
      <w:r>
        <w:rPr>
          <w:color w:val="231F20"/>
          <w:spacing w:val="-11"/>
        </w:rPr>
        <w:t xml:space="preserve"> </w:t>
      </w:r>
      <w:r>
        <w:rPr>
          <w:color w:val="231F20"/>
        </w:rPr>
        <w:t>to</w:t>
      </w:r>
      <w:r>
        <w:rPr>
          <w:color w:val="231F20"/>
          <w:spacing w:val="-11"/>
        </w:rPr>
        <w:t xml:space="preserve"> </w:t>
      </w:r>
      <w:r>
        <w:rPr>
          <w:color w:val="231F20"/>
        </w:rPr>
        <w:t>prepare</w:t>
      </w:r>
      <w:r>
        <w:rPr>
          <w:color w:val="231F20"/>
          <w:spacing w:val="-11"/>
        </w:rPr>
        <w:t xml:space="preserve"> </w:t>
      </w:r>
      <w:r>
        <w:rPr>
          <w:color w:val="231F20"/>
        </w:rPr>
        <w:t>the</w:t>
      </w:r>
      <w:r>
        <w:rPr>
          <w:color w:val="231F20"/>
          <w:spacing w:val="-11"/>
        </w:rPr>
        <w:t xml:space="preserve"> </w:t>
      </w:r>
      <w:r>
        <w:rPr>
          <w:color w:val="231F20"/>
        </w:rPr>
        <w:t>translations.</w:t>
      </w:r>
      <w:r>
        <w:rPr>
          <w:color w:val="231F20"/>
          <w:spacing w:val="-11"/>
        </w:rPr>
        <w:t xml:space="preserve"> </w:t>
      </w:r>
      <w:r>
        <w:rPr>
          <w:color w:val="231F20"/>
        </w:rPr>
        <w:t>Once</w:t>
      </w:r>
      <w:r>
        <w:rPr>
          <w:color w:val="231F20"/>
          <w:spacing w:val="-11"/>
        </w:rPr>
        <w:t xml:space="preserve"> </w:t>
      </w:r>
      <w:r>
        <w:rPr>
          <w:color w:val="231F20"/>
        </w:rPr>
        <w:t>a</w:t>
      </w:r>
      <w:r>
        <w:rPr>
          <w:color w:val="231F20"/>
          <w:spacing w:val="-11"/>
        </w:rPr>
        <w:t xml:space="preserve"> </w:t>
      </w:r>
      <w:r>
        <w:rPr>
          <w:color w:val="231F20"/>
        </w:rPr>
        <w:t>document</w:t>
      </w:r>
      <w:r>
        <w:rPr>
          <w:color w:val="231F20"/>
          <w:spacing w:val="-11"/>
        </w:rPr>
        <w:t xml:space="preserve"> </w:t>
      </w:r>
      <w:r>
        <w:rPr>
          <w:color w:val="231F20"/>
        </w:rPr>
        <w:t>was</w:t>
      </w:r>
      <w:r>
        <w:rPr>
          <w:color w:val="231F20"/>
          <w:spacing w:val="-11"/>
        </w:rPr>
        <w:t xml:space="preserve"> </w:t>
      </w:r>
      <w:r>
        <w:rPr>
          <w:color w:val="231F20"/>
        </w:rPr>
        <w:t>translated, he</w:t>
      </w:r>
      <w:r>
        <w:rPr>
          <w:color w:val="231F20"/>
          <w:spacing w:val="20"/>
        </w:rPr>
        <w:t xml:space="preserve"> </w:t>
      </w:r>
      <w:r>
        <w:rPr>
          <w:color w:val="231F20"/>
        </w:rPr>
        <w:t>would</w:t>
      </w:r>
      <w:r>
        <w:rPr>
          <w:color w:val="231F20"/>
          <w:spacing w:val="20"/>
        </w:rPr>
        <w:t xml:space="preserve"> </w:t>
      </w:r>
      <w:r>
        <w:rPr>
          <w:color w:val="231F20"/>
        </w:rPr>
        <w:t>forward</w:t>
      </w:r>
      <w:r>
        <w:rPr>
          <w:color w:val="231F20"/>
          <w:spacing w:val="20"/>
        </w:rPr>
        <w:t xml:space="preserve"> </w:t>
      </w:r>
      <w:r>
        <w:rPr>
          <w:color w:val="231F20"/>
        </w:rPr>
        <w:t>it</w:t>
      </w:r>
      <w:r>
        <w:rPr>
          <w:color w:val="231F20"/>
          <w:spacing w:val="20"/>
        </w:rPr>
        <w:t xml:space="preserve"> </w:t>
      </w:r>
      <w:r>
        <w:rPr>
          <w:color w:val="231F20"/>
        </w:rPr>
        <w:t>to</w:t>
      </w:r>
      <w:r>
        <w:rPr>
          <w:color w:val="231F20"/>
          <w:spacing w:val="20"/>
        </w:rPr>
        <w:t xml:space="preserve"> </w:t>
      </w:r>
      <w:r>
        <w:rPr>
          <w:color w:val="231F20"/>
        </w:rPr>
        <w:t>the</w:t>
      </w:r>
      <w:r>
        <w:rPr>
          <w:color w:val="231F20"/>
          <w:spacing w:val="20"/>
        </w:rPr>
        <w:t xml:space="preserve"> </w:t>
      </w:r>
      <w:r>
        <w:rPr>
          <w:color w:val="231F20"/>
        </w:rPr>
        <w:t>other</w:t>
      </w:r>
      <w:r>
        <w:rPr>
          <w:color w:val="231F20"/>
          <w:spacing w:val="20"/>
        </w:rPr>
        <w:t xml:space="preserve"> </w:t>
      </w:r>
      <w:r>
        <w:rPr>
          <w:color w:val="231F20"/>
        </w:rPr>
        <w:t>“translator”</w:t>
      </w:r>
      <w:r>
        <w:rPr>
          <w:color w:val="231F20"/>
          <w:spacing w:val="20"/>
        </w:rPr>
        <w:t xml:space="preserve"> </w:t>
      </w:r>
      <w:r>
        <w:rPr>
          <w:color w:val="231F20"/>
        </w:rPr>
        <w:t>who</w:t>
      </w:r>
      <w:r>
        <w:rPr>
          <w:color w:val="231F20"/>
          <w:spacing w:val="20"/>
        </w:rPr>
        <w:t xml:space="preserve"> </w:t>
      </w:r>
      <w:r>
        <w:rPr>
          <w:color w:val="231F20"/>
        </w:rPr>
        <w:t>would</w:t>
      </w:r>
      <w:r>
        <w:rPr>
          <w:color w:val="231F20"/>
          <w:spacing w:val="20"/>
        </w:rPr>
        <w:t xml:space="preserve"> </w:t>
      </w:r>
      <w:r>
        <w:rPr>
          <w:color w:val="231F20"/>
        </w:rPr>
        <w:t>meticulously</w:t>
      </w:r>
    </w:p>
    <w:p w14:paraId="27C6F0A6" w14:textId="77777777" w:rsidR="002653E8" w:rsidRDefault="00000000">
      <w:pPr>
        <w:pStyle w:val="a3"/>
        <w:spacing w:before="8"/>
        <w:rPr>
          <w:sz w:val="21"/>
        </w:rPr>
      </w:pPr>
      <w:r>
        <w:rPr>
          <w:noProof w:val="0"/>
        </w:rPr>
        <w:pict w14:anchorId="12BFE4CD">
          <v:line id="_x0000_s2727" style="position:absolute;z-index:1336;mso-wrap-distance-left:0;mso-wrap-distance-right:0;mso-position-horizontal-relative:page" from="57.4pt,14.95pt" to="129.4pt,14.95pt" strokecolor="#231f20" strokeweight=".5pt">
            <w10:wrap type="topAndBottom" anchorx="page"/>
          </v:line>
        </w:pict>
      </w:r>
    </w:p>
    <w:p w14:paraId="160ACB93" w14:textId="77777777" w:rsidR="002653E8" w:rsidRDefault="00000000">
      <w:pPr>
        <w:pStyle w:val="a4"/>
        <w:numPr>
          <w:ilvl w:val="0"/>
          <w:numId w:val="194"/>
        </w:numPr>
        <w:tabs>
          <w:tab w:val="left" w:pos="1287"/>
        </w:tabs>
        <w:spacing w:before="53"/>
        <w:ind w:firstLine="0"/>
        <w:rPr>
          <w:sz w:val="16"/>
        </w:rPr>
      </w:pPr>
      <w:hyperlink r:id="rId18">
        <w:r w:rsidR="003115E3">
          <w:rPr>
            <w:color w:val="231F20"/>
            <w:w w:val="103"/>
            <w:sz w:val="16"/>
          </w:rPr>
          <w:t>h</w:t>
        </w:r>
        <w:r w:rsidR="003115E3">
          <w:rPr>
            <w:color w:val="231F20"/>
            <w:spacing w:val="5"/>
            <w:w w:val="103"/>
            <w:sz w:val="16"/>
          </w:rPr>
          <w:t>t</w:t>
        </w:r>
        <w:r w:rsidR="003115E3">
          <w:rPr>
            <w:color w:val="231F20"/>
            <w:spacing w:val="3"/>
            <w:w w:val="102"/>
            <w:sz w:val="16"/>
          </w:rPr>
          <w:t>t</w:t>
        </w:r>
        <w:r w:rsidR="003115E3">
          <w:rPr>
            <w:color w:val="231F20"/>
            <w:w w:val="103"/>
            <w:sz w:val="16"/>
          </w:rPr>
          <w:t>p</w:t>
        </w:r>
        <w:r w:rsidR="003115E3">
          <w:rPr>
            <w:color w:val="231F20"/>
            <w:spacing w:val="5"/>
            <w:w w:val="109"/>
            <w:sz w:val="16"/>
          </w:rPr>
          <w:t>:</w:t>
        </w:r>
        <w:r w:rsidR="003115E3">
          <w:rPr>
            <w:color w:val="231F20"/>
            <w:spacing w:val="-1"/>
            <w:w w:val="58"/>
            <w:sz w:val="16"/>
          </w:rPr>
          <w:t>/</w:t>
        </w:r>
        <w:r w:rsidR="003115E3">
          <w:rPr>
            <w:color w:val="231F20"/>
            <w:spacing w:val="6"/>
            <w:w w:val="58"/>
            <w:sz w:val="16"/>
          </w:rPr>
          <w:t>/</w:t>
        </w:r>
        <w:r w:rsidR="003115E3">
          <w:rPr>
            <w:color w:val="231F20"/>
            <w:spacing w:val="1"/>
            <w:w w:val="106"/>
            <w:sz w:val="16"/>
          </w:rPr>
          <w:t>l</w:t>
        </w:r>
        <w:r w:rsidR="003115E3">
          <w:rPr>
            <w:color w:val="231F20"/>
            <w:spacing w:val="-1"/>
            <w:w w:val="106"/>
            <w:sz w:val="16"/>
          </w:rPr>
          <w:t>a</w:t>
        </w:r>
        <w:r w:rsidR="003115E3">
          <w:rPr>
            <w:color w:val="231F20"/>
            <w:spacing w:val="1"/>
            <w:w w:val="105"/>
            <w:sz w:val="16"/>
          </w:rPr>
          <w:t>b</w:t>
        </w:r>
        <w:r w:rsidR="003115E3">
          <w:rPr>
            <w:color w:val="231F20"/>
            <w:w w:val="108"/>
            <w:sz w:val="16"/>
          </w:rPr>
          <w:t>o</w:t>
        </w:r>
        <w:r w:rsidR="003115E3">
          <w:rPr>
            <w:color w:val="231F20"/>
            <w:spacing w:val="5"/>
            <w:w w:val="104"/>
            <w:sz w:val="16"/>
          </w:rPr>
          <w:t>u</w:t>
        </w:r>
        <w:r w:rsidR="003115E3">
          <w:rPr>
            <w:color w:val="231F20"/>
            <w:w w:val="101"/>
            <w:sz w:val="16"/>
          </w:rPr>
          <w:t>r</w:t>
        </w:r>
        <w:r w:rsidR="003115E3">
          <w:rPr>
            <w:color w:val="231F20"/>
            <w:spacing w:val="3"/>
            <w:w w:val="101"/>
            <w:sz w:val="16"/>
          </w:rPr>
          <w:t>h</w:t>
        </w:r>
        <w:r w:rsidR="003115E3">
          <w:rPr>
            <w:color w:val="231F20"/>
            <w:spacing w:val="1"/>
            <w:w w:val="103"/>
            <w:sz w:val="16"/>
          </w:rPr>
          <w:t>i</w:t>
        </w:r>
        <w:r w:rsidR="003115E3">
          <w:rPr>
            <w:color w:val="231F20"/>
            <w:spacing w:val="1"/>
            <w:w w:val="93"/>
            <w:sz w:val="16"/>
          </w:rPr>
          <w:t>s</w:t>
        </w:r>
        <w:r w:rsidR="003115E3">
          <w:rPr>
            <w:color w:val="231F20"/>
            <w:w w:val="102"/>
            <w:sz w:val="16"/>
          </w:rPr>
          <w:t>t</w:t>
        </w:r>
        <w:r w:rsidR="003115E3">
          <w:rPr>
            <w:color w:val="231F20"/>
            <w:w w:val="108"/>
            <w:sz w:val="16"/>
          </w:rPr>
          <w:t>o</w:t>
        </w:r>
        <w:r w:rsidR="003115E3">
          <w:rPr>
            <w:color w:val="231F20"/>
            <w:spacing w:val="5"/>
            <w:w w:val="97"/>
            <w:sz w:val="16"/>
          </w:rPr>
          <w:t>r</w:t>
        </w:r>
        <w:r w:rsidR="003115E3">
          <w:rPr>
            <w:color w:val="231F20"/>
            <w:spacing w:val="-10"/>
            <w:w w:val="102"/>
            <w:sz w:val="16"/>
          </w:rPr>
          <w:t>y</w:t>
        </w:r>
        <w:r w:rsidR="003115E3">
          <w:rPr>
            <w:color w:val="231F20"/>
            <w:spacing w:val="1"/>
            <w:w w:val="140"/>
            <w:sz w:val="16"/>
          </w:rPr>
          <w:t>.</w:t>
        </w:r>
        <w:r w:rsidR="003115E3">
          <w:rPr>
            <w:color w:val="231F20"/>
            <w:w w:val="103"/>
            <w:sz w:val="16"/>
          </w:rPr>
          <w:t>n</w:t>
        </w:r>
        <w:r w:rsidR="003115E3">
          <w:rPr>
            <w:color w:val="231F20"/>
            <w:spacing w:val="2"/>
            <w:w w:val="94"/>
            <w:sz w:val="16"/>
          </w:rPr>
          <w:t>e</w:t>
        </w:r>
        <w:r w:rsidR="003115E3">
          <w:rPr>
            <w:color w:val="231F20"/>
            <w:spacing w:val="7"/>
            <w:w w:val="102"/>
            <w:sz w:val="16"/>
          </w:rPr>
          <w:t>t</w:t>
        </w:r>
        <w:r w:rsidR="003115E3">
          <w:rPr>
            <w:color w:val="231F20"/>
            <w:w w:val="58"/>
            <w:sz w:val="16"/>
          </w:rPr>
          <w:t>/</w:t>
        </w:r>
        <w:r w:rsidR="003115E3">
          <w:rPr>
            <w:color w:val="231F20"/>
            <w:w w:val="97"/>
            <w:sz w:val="16"/>
          </w:rPr>
          <w:t>r</w:t>
        </w:r>
        <w:r w:rsidR="003115E3">
          <w:rPr>
            <w:color w:val="231F20"/>
            <w:spacing w:val="2"/>
            <w:w w:val="106"/>
            <w:sz w:val="16"/>
          </w:rPr>
          <w:t>a</w:t>
        </w:r>
        <w:r w:rsidR="003115E3">
          <w:rPr>
            <w:color w:val="231F20"/>
            <w:spacing w:val="6"/>
            <w:w w:val="114"/>
            <w:sz w:val="16"/>
          </w:rPr>
          <w:t>f</w:t>
        </w:r>
        <w:r w:rsidR="003115E3">
          <w:rPr>
            <w:color w:val="231F20"/>
            <w:w w:val="58"/>
            <w:sz w:val="16"/>
          </w:rPr>
          <w:t>/</w:t>
        </w:r>
      </w:hyperlink>
    </w:p>
    <w:p w14:paraId="373093E1" w14:textId="77777777" w:rsidR="002653E8" w:rsidRDefault="00000000">
      <w:pPr>
        <w:pStyle w:val="a4"/>
        <w:numPr>
          <w:ilvl w:val="0"/>
          <w:numId w:val="194"/>
        </w:numPr>
        <w:tabs>
          <w:tab w:val="left" w:pos="1287"/>
        </w:tabs>
        <w:spacing w:before="51" w:line="254" w:lineRule="auto"/>
        <w:ind w:right="1626" w:firstLine="0"/>
        <w:rPr>
          <w:sz w:val="16"/>
        </w:rPr>
      </w:pPr>
      <w:hyperlink r:id="rId19">
        <w:r w:rsidR="003115E3">
          <w:rPr>
            <w:color w:val="231F20"/>
            <w:w w:val="104"/>
            <w:sz w:val="16"/>
          </w:rPr>
          <w:t>h</w:t>
        </w:r>
        <w:r w:rsidR="003115E3">
          <w:rPr>
            <w:color w:val="231F20"/>
            <w:spacing w:val="5"/>
            <w:w w:val="102"/>
            <w:sz w:val="16"/>
          </w:rPr>
          <w:t>t</w:t>
        </w:r>
        <w:r w:rsidR="003115E3">
          <w:rPr>
            <w:color w:val="231F20"/>
            <w:spacing w:val="3"/>
            <w:w w:val="102"/>
            <w:sz w:val="16"/>
          </w:rPr>
          <w:t>t</w:t>
        </w:r>
        <w:r w:rsidR="003115E3">
          <w:rPr>
            <w:color w:val="231F20"/>
            <w:w w:val="103"/>
            <w:sz w:val="16"/>
          </w:rPr>
          <w:t>p</w:t>
        </w:r>
        <w:r w:rsidR="003115E3">
          <w:rPr>
            <w:color w:val="231F20"/>
            <w:spacing w:val="5"/>
            <w:w w:val="109"/>
            <w:sz w:val="16"/>
          </w:rPr>
          <w:t>:</w:t>
        </w:r>
        <w:r w:rsidR="003115E3">
          <w:rPr>
            <w:color w:val="231F20"/>
            <w:spacing w:val="-1"/>
            <w:w w:val="58"/>
            <w:sz w:val="16"/>
          </w:rPr>
          <w:t>/</w:t>
        </w:r>
        <w:r w:rsidR="003115E3">
          <w:rPr>
            <w:color w:val="231F20"/>
            <w:spacing w:val="2"/>
            <w:w w:val="58"/>
            <w:sz w:val="16"/>
          </w:rPr>
          <w:t>/</w:t>
        </w:r>
        <w:r w:rsidR="003115E3">
          <w:rPr>
            <w:color w:val="231F20"/>
            <w:spacing w:val="6"/>
            <w:w w:val="104"/>
            <w:sz w:val="16"/>
          </w:rPr>
          <w:t>ww</w:t>
        </w:r>
        <w:r w:rsidR="003115E3">
          <w:rPr>
            <w:color w:val="231F20"/>
            <w:spacing w:val="-9"/>
            <w:w w:val="104"/>
            <w:sz w:val="16"/>
          </w:rPr>
          <w:t>w</w:t>
        </w:r>
        <w:r w:rsidR="003115E3">
          <w:rPr>
            <w:color w:val="231F20"/>
            <w:spacing w:val="1"/>
            <w:w w:val="140"/>
            <w:sz w:val="16"/>
          </w:rPr>
          <w:t>.</w:t>
        </w:r>
        <w:r w:rsidR="003115E3">
          <w:rPr>
            <w:color w:val="231F20"/>
            <w:spacing w:val="1"/>
            <w:w w:val="103"/>
            <w:sz w:val="16"/>
          </w:rPr>
          <w:t>n</w:t>
        </w:r>
        <w:r w:rsidR="003115E3">
          <w:rPr>
            <w:color w:val="231F20"/>
            <w:spacing w:val="-1"/>
            <w:w w:val="106"/>
            <w:sz w:val="16"/>
          </w:rPr>
          <w:t>a</w:t>
        </w:r>
        <w:r w:rsidR="003115E3">
          <w:rPr>
            <w:color w:val="231F20"/>
            <w:spacing w:val="3"/>
            <w:w w:val="101"/>
            <w:sz w:val="16"/>
          </w:rPr>
          <w:t>di</w:t>
        </w:r>
        <w:r w:rsidR="003115E3">
          <w:rPr>
            <w:color w:val="231F20"/>
            <w:spacing w:val="-4"/>
            <w:w w:val="101"/>
            <w:sz w:val="16"/>
          </w:rPr>
          <w:t>r</w:t>
        </w:r>
        <w:r w:rsidR="003115E3">
          <w:rPr>
            <w:color w:val="231F20"/>
            <w:w w:val="140"/>
            <w:sz w:val="16"/>
          </w:rPr>
          <w:t>.</w:t>
        </w:r>
        <w:r w:rsidR="003115E3">
          <w:rPr>
            <w:color w:val="231F20"/>
            <w:w w:val="108"/>
            <w:sz w:val="16"/>
          </w:rPr>
          <w:t>o</w:t>
        </w:r>
        <w:r w:rsidR="003115E3">
          <w:rPr>
            <w:color w:val="231F20"/>
            <w:spacing w:val="1"/>
            <w:w w:val="97"/>
            <w:sz w:val="16"/>
          </w:rPr>
          <w:t>r</w:t>
        </w:r>
        <w:r w:rsidR="003115E3">
          <w:rPr>
            <w:color w:val="231F20"/>
            <w:spacing w:val="8"/>
            <w:w w:val="104"/>
            <w:sz w:val="16"/>
          </w:rPr>
          <w:t>g</w:t>
        </w:r>
        <w:r w:rsidR="003115E3">
          <w:rPr>
            <w:color w:val="231F20"/>
            <w:w w:val="58"/>
            <w:sz w:val="16"/>
          </w:rPr>
          <w:t>/</w:t>
        </w:r>
        <w:r w:rsidR="003115E3">
          <w:rPr>
            <w:color w:val="231F20"/>
            <w:spacing w:val="1"/>
            <w:w w:val="103"/>
            <w:sz w:val="16"/>
          </w:rPr>
          <w:t>n</w:t>
        </w:r>
        <w:r w:rsidR="003115E3">
          <w:rPr>
            <w:color w:val="231F20"/>
            <w:spacing w:val="-1"/>
            <w:w w:val="106"/>
            <w:sz w:val="16"/>
          </w:rPr>
          <w:t>a</w:t>
        </w:r>
        <w:r w:rsidR="003115E3">
          <w:rPr>
            <w:color w:val="231F20"/>
            <w:spacing w:val="3"/>
            <w:w w:val="101"/>
            <w:sz w:val="16"/>
          </w:rPr>
          <w:t>di</w:t>
        </w:r>
        <w:r w:rsidR="003115E3">
          <w:rPr>
            <w:color w:val="231F20"/>
            <w:spacing w:val="1"/>
            <w:w w:val="101"/>
            <w:sz w:val="16"/>
          </w:rPr>
          <w:t>r</w:t>
        </w:r>
        <w:r w:rsidR="003115E3">
          <w:rPr>
            <w:color w:val="231F20"/>
            <w:spacing w:val="-3"/>
            <w:w w:val="58"/>
            <w:sz w:val="16"/>
          </w:rPr>
          <w:t>/</w:t>
        </w:r>
        <w:r w:rsidR="003115E3">
          <w:rPr>
            <w:color w:val="231F20"/>
            <w:spacing w:val="3"/>
            <w:w w:val="102"/>
            <w:sz w:val="16"/>
          </w:rPr>
          <w:t>a</w:t>
        </w:r>
        <w:r w:rsidR="003115E3">
          <w:rPr>
            <w:color w:val="231F20"/>
            <w:w w:val="102"/>
            <w:sz w:val="16"/>
          </w:rPr>
          <w:t>r</w:t>
        </w:r>
        <w:r w:rsidR="003115E3">
          <w:rPr>
            <w:color w:val="231F20"/>
            <w:w w:val="104"/>
            <w:sz w:val="16"/>
          </w:rPr>
          <w:t>c</w:t>
        </w:r>
        <w:r w:rsidR="003115E3">
          <w:rPr>
            <w:color w:val="231F20"/>
            <w:spacing w:val="3"/>
            <w:w w:val="104"/>
            <w:sz w:val="16"/>
          </w:rPr>
          <w:t>h</w:t>
        </w:r>
        <w:r w:rsidR="003115E3">
          <w:rPr>
            <w:color w:val="231F20"/>
            <w:spacing w:val="-1"/>
            <w:w w:val="104"/>
            <w:sz w:val="16"/>
          </w:rPr>
          <w:t>i</w:t>
        </w:r>
        <w:r w:rsidR="003115E3">
          <w:rPr>
            <w:color w:val="231F20"/>
            <w:spacing w:val="-1"/>
            <w:w w:val="102"/>
            <w:sz w:val="16"/>
          </w:rPr>
          <w:t>v</w:t>
        </w:r>
        <w:r w:rsidR="003115E3">
          <w:rPr>
            <w:color w:val="231F20"/>
            <w:spacing w:val="10"/>
            <w:w w:val="58"/>
            <w:sz w:val="16"/>
          </w:rPr>
          <w:t>/</w:t>
        </w:r>
        <w:r w:rsidR="003115E3">
          <w:rPr>
            <w:color w:val="231F20"/>
            <w:spacing w:val="-2"/>
            <w:w w:val="101"/>
            <w:sz w:val="16"/>
          </w:rPr>
          <w:t>P</w:t>
        </w:r>
        <w:r w:rsidR="003115E3">
          <w:rPr>
            <w:color w:val="231F20"/>
            <w:w w:val="108"/>
            <w:sz w:val="16"/>
          </w:rPr>
          <w:t>o</w:t>
        </w:r>
        <w:r w:rsidR="003115E3">
          <w:rPr>
            <w:color w:val="231F20"/>
            <w:spacing w:val="2"/>
            <w:w w:val="106"/>
            <w:sz w:val="16"/>
          </w:rPr>
          <w:t>l</w:t>
        </w:r>
        <w:r w:rsidR="003115E3">
          <w:rPr>
            <w:color w:val="231F20"/>
            <w:spacing w:val="-1"/>
            <w:w w:val="103"/>
            <w:sz w:val="16"/>
          </w:rPr>
          <w:t>i</w:t>
        </w:r>
        <w:r w:rsidR="003115E3">
          <w:rPr>
            <w:color w:val="231F20"/>
            <w:spacing w:val="2"/>
            <w:w w:val="102"/>
            <w:sz w:val="16"/>
          </w:rPr>
          <w:t>t</w:t>
        </w:r>
        <w:r w:rsidR="003115E3">
          <w:rPr>
            <w:color w:val="231F20"/>
            <w:spacing w:val="1"/>
            <w:w w:val="103"/>
            <w:sz w:val="16"/>
          </w:rPr>
          <w:t>i</w:t>
        </w:r>
        <w:r w:rsidR="003115E3">
          <w:rPr>
            <w:color w:val="231F20"/>
            <w:spacing w:val="2"/>
            <w:w w:val="93"/>
            <w:sz w:val="16"/>
          </w:rPr>
          <w:t>s</w:t>
        </w:r>
        <w:r w:rsidR="003115E3">
          <w:rPr>
            <w:color w:val="231F20"/>
            <w:w w:val="104"/>
            <w:sz w:val="16"/>
          </w:rPr>
          <w:t>ch</w:t>
        </w:r>
        <w:r w:rsidR="003115E3">
          <w:rPr>
            <w:color w:val="231F20"/>
            <w:spacing w:val="2"/>
            <w:w w:val="94"/>
            <w:sz w:val="16"/>
          </w:rPr>
          <w:t>e</w:t>
        </w:r>
        <w:r w:rsidR="003115E3">
          <w:rPr>
            <w:color w:val="231F20"/>
            <w:spacing w:val="1"/>
            <w:w w:val="104"/>
            <w:sz w:val="16"/>
          </w:rPr>
          <w:t>S</w:t>
        </w:r>
        <w:r w:rsidR="003115E3">
          <w:rPr>
            <w:color w:val="231F20"/>
            <w:spacing w:val="3"/>
            <w:w w:val="99"/>
            <w:sz w:val="16"/>
          </w:rPr>
          <w:t>t</w:t>
        </w:r>
        <w:r w:rsidR="003115E3">
          <w:rPr>
            <w:color w:val="231F20"/>
            <w:w w:val="99"/>
            <w:sz w:val="16"/>
          </w:rPr>
          <w:t>r</w:t>
        </w:r>
        <w:r w:rsidR="003115E3">
          <w:rPr>
            <w:color w:val="231F20"/>
            <w:spacing w:val="2"/>
            <w:w w:val="108"/>
            <w:sz w:val="16"/>
          </w:rPr>
          <w:t>o</w:t>
        </w:r>
        <w:r w:rsidR="003115E3">
          <w:rPr>
            <w:color w:val="231F20"/>
            <w:w w:val="94"/>
            <w:sz w:val="16"/>
          </w:rPr>
          <w:t>e</w:t>
        </w:r>
        <w:r w:rsidR="003115E3">
          <w:rPr>
            <w:color w:val="231F20"/>
            <w:spacing w:val="-1"/>
            <w:w w:val="103"/>
            <w:sz w:val="16"/>
          </w:rPr>
          <w:t>m</w:t>
        </w:r>
        <w:r w:rsidR="003115E3">
          <w:rPr>
            <w:color w:val="231F20"/>
            <w:spacing w:val="3"/>
            <w:w w:val="104"/>
            <w:sz w:val="16"/>
          </w:rPr>
          <w:t>u</w:t>
        </w:r>
        <w:r w:rsidR="003115E3">
          <w:rPr>
            <w:color w:val="231F20"/>
            <w:w w:val="103"/>
            <w:sz w:val="16"/>
          </w:rPr>
          <w:t>n</w:t>
        </w:r>
        <w:r w:rsidR="003115E3">
          <w:rPr>
            <w:color w:val="231F20"/>
            <w:w w:val="104"/>
            <w:sz w:val="16"/>
          </w:rPr>
          <w:t>g</w:t>
        </w:r>
        <w:r w:rsidR="003115E3">
          <w:rPr>
            <w:color w:val="231F20"/>
            <w:w w:val="94"/>
            <w:sz w:val="16"/>
          </w:rPr>
          <w:t>e</w:t>
        </w:r>
        <w:r w:rsidR="003115E3">
          <w:rPr>
            <w:color w:val="231F20"/>
            <w:spacing w:val="8"/>
            <w:w w:val="103"/>
            <w:sz w:val="16"/>
          </w:rPr>
          <w:t>n</w:t>
        </w:r>
        <w:r w:rsidR="003115E3">
          <w:rPr>
            <w:color w:val="231F20"/>
            <w:spacing w:val="3"/>
            <w:w w:val="58"/>
            <w:sz w:val="16"/>
          </w:rPr>
          <w:t>/</w:t>
        </w:r>
        <w:r w:rsidR="003115E3">
          <w:rPr>
            <w:color w:val="231F20"/>
            <w:spacing w:val="1"/>
            <w:w w:val="104"/>
            <w:sz w:val="16"/>
          </w:rPr>
          <w:t>S</w:t>
        </w:r>
        <w:r w:rsidR="003115E3">
          <w:rPr>
            <w:color w:val="231F20"/>
            <w:spacing w:val="3"/>
            <w:w w:val="102"/>
            <w:sz w:val="16"/>
          </w:rPr>
          <w:t>t</w:t>
        </w:r>
        <w:r w:rsidR="003115E3">
          <w:rPr>
            <w:color w:val="231F20"/>
            <w:spacing w:val="-1"/>
            <w:w w:val="106"/>
            <w:sz w:val="16"/>
          </w:rPr>
          <w:t>a</w:t>
        </w:r>
        <w:r w:rsidR="003115E3">
          <w:rPr>
            <w:color w:val="231F20"/>
            <w:w w:val="103"/>
            <w:sz w:val="16"/>
          </w:rPr>
          <w:t>d</w:t>
        </w:r>
        <w:r w:rsidR="003115E3">
          <w:rPr>
            <w:color w:val="231F20"/>
            <w:spacing w:val="2"/>
            <w:w w:val="102"/>
            <w:sz w:val="16"/>
          </w:rPr>
          <w:t>t</w:t>
        </w:r>
        <w:r w:rsidR="003115E3">
          <w:rPr>
            <w:color w:val="231F20"/>
            <w:spacing w:val="3"/>
            <w:w w:val="104"/>
            <w:sz w:val="16"/>
          </w:rPr>
          <w:t>g</w:t>
        </w:r>
        <w:r w:rsidR="003115E3">
          <w:rPr>
            <w:color w:val="231F20"/>
            <w:w w:val="104"/>
            <w:sz w:val="16"/>
          </w:rPr>
          <w:t>u</w:t>
        </w:r>
        <w:r w:rsidR="003115E3">
          <w:rPr>
            <w:color w:val="231F20"/>
            <w:w w:val="94"/>
            <w:sz w:val="16"/>
          </w:rPr>
          <w:t>e</w:t>
        </w:r>
        <w:r w:rsidR="003115E3">
          <w:rPr>
            <w:color w:val="231F20"/>
            <w:spacing w:val="2"/>
            <w:w w:val="97"/>
            <w:sz w:val="16"/>
          </w:rPr>
          <w:t>r</w:t>
        </w:r>
        <w:r w:rsidR="003115E3">
          <w:rPr>
            <w:color w:val="231F20"/>
            <w:spacing w:val="2"/>
            <w:w w:val="103"/>
            <w:sz w:val="16"/>
          </w:rPr>
          <w:t>i</w:t>
        </w:r>
        <w:r w:rsidR="003115E3">
          <w:rPr>
            <w:color w:val="231F20"/>
            <w:spacing w:val="2"/>
            <w:w w:val="106"/>
            <w:sz w:val="16"/>
          </w:rPr>
          <w:t>l</w:t>
        </w:r>
        <w:r w:rsidR="003115E3">
          <w:rPr>
            <w:color w:val="231F20"/>
            <w:spacing w:val="1"/>
            <w:w w:val="106"/>
            <w:sz w:val="16"/>
          </w:rPr>
          <w:t>l</w:t>
        </w:r>
        <w:r w:rsidR="003115E3">
          <w:rPr>
            <w:color w:val="231F20"/>
            <w:spacing w:val="-4"/>
            <w:w w:val="106"/>
            <w:sz w:val="16"/>
          </w:rPr>
          <w:t>a</w:t>
        </w:r>
        <w:r w:rsidR="003115E3">
          <w:rPr>
            <w:color w:val="231F20"/>
            <w:w w:val="104"/>
            <w:sz w:val="16"/>
          </w:rPr>
          <w:t>+</w:t>
        </w:r>
        <w:r w:rsidR="00C507A5">
          <w:rPr>
            <w:color w:val="231F20"/>
            <w:spacing w:val="8"/>
            <w:w w:val="120"/>
            <w:sz w:val="16"/>
          </w:rPr>
          <w:t>red army faction</w:t>
        </w:r>
        <w:r w:rsidR="003115E3">
          <w:rPr>
            <w:color w:val="231F20"/>
            <w:w w:val="58"/>
            <w:sz w:val="16"/>
          </w:rPr>
          <w:t>/</w:t>
        </w:r>
      </w:hyperlink>
      <w:r w:rsidR="003115E3">
        <w:rPr>
          <w:color w:val="231F20"/>
          <w:w w:val="58"/>
          <w:sz w:val="16"/>
        </w:rPr>
        <w:t xml:space="preserve"> </w:t>
      </w:r>
      <w:r w:rsidR="00C507A5">
        <w:rPr>
          <w:color w:val="231F20"/>
          <w:spacing w:val="8"/>
          <w:w w:val="120"/>
          <w:sz w:val="16"/>
        </w:rPr>
        <w:t>red army faction</w:t>
      </w:r>
      <w:r w:rsidR="003115E3">
        <w:rPr>
          <w:color w:val="231F20"/>
          <w:w w:val="58"/>
          <w:sz w:val="16"/>
        </w:rPr>
        <w:t>/</w:t>
      </w:r>
      <w:r w:rsidR="003115E3">
        <w:rPr>
          <w:color w:val="231F20"/>
          <w:w w:val="102"/>
          <w:sz w:val="16"/>
        </w:rPr>
        <w:t>r</w:t>
      </w:r>
      <w:r w:rsidR="003115E3">
        <w:rPr>
          <w:color w:val="231F20"/>
          <w:spacing w:val="2"/>
          <w:w w:val="102"/>
          <w:sz w:val="16"/>
        </w:rPr>
        <w:t>a</w:t>
      </w:r>
      <w:r w:rsidR="003115E3">
        <w:rPr>
          <w:color w:val="231F20"/>
          <w:w w:val="114"/>
          <w:sz w:val="16"/>
        </w:rPr>
        <w:t>f</w:t>
      </w:r>
      <w:r w:rsidR="003115E3">
        <w:rPr>
          <w:color w:val="231F20"/>
          <w:spacing w:val="1"/>
          <w:w w:val="104"/>
          <w:sz w:val="16"/>
        </w:rPr>
        <w:t>-</w:t>
      </w:r>
      <w:r w:rsidR="003115E3">
        <w:rPr>
          <w:color w:val="231F20"/>
          <w:w w:val="102"/>
          <w:sz w:val="16"/>
        </w:rPr>
        <w:t>t</w:t>
      </w:r>
      <w:r w:rsidR="003115E3">
        <w:rPr>
          <w:color w:val="231F20"/>
          <w:w w:val="94"/>
          <w:sz w:val="16"/>
        </w:rPr>
        <w:t>e</w:t>
      </w:r>
      <w:r w:rsidR="003115E3">
        <w:rPr>
          <w:color w:val="231F20"/>
          <w:spacing w:val="5"/>
          <w:w w:val="119"/>
          <w:sz w:val="16"/>
        </w:rPr>
        <w:t>x</w:t>
      </w:r>
      <w:r w:rsidR="003115E3">
        <w:rPr>
          <w:color w:val="231F20"/>
          <w:spacing w:val="1"/>
          <w:w w:val="102"/>
          <w:sz w:val="16"/>
        </w:rPr>
        <w:t>t</w:t>
      </w:r>
      <w:r w:rsidR="003115E3">
        <w:rPr>
          <w:color w:val="231F20"/>
          <w:w w:val="94"/>
          <w:sz w:val="16"/>
        </w:rPr>
        <w:t>e</w:t>
      </w:r>
      <w:r w:rsidR="003115E3">
        <w:rPr>
          <w:color w:val="231F20"/>
          <w:spacing w:val="-2"/>
          <w:w w:val="104"/>
          <w:sz w:val="16"/>
        </w:rPr>
        <w:t>+</w:t>
      </w:r>
      <w:r w:rsidR="003115E3">
        <w:rPr>
          <w:color w:val="231F20"/>
          <w:spacing w:val="2"/>
          <w:w w:val="103"/>
          <w:sz w:val="16"/>
        </w:rPr>
        <w:t>m</w:t>
      </w:r>
      <w:r w:rsidR="003115E3">
        <w:rPr>
          <w:color w:val="231F20"/>
          <w:spacing w:val="-1"/>
          <w:w w:val="106"/>
          <w:sz w:val="16"/>
        </w:rPr>
        <w:t>a</w:t>
      </w:r>
      <w:r w:rsidR="003115E3">
        <w:rPr>
          <w:color w:val="231F20"/>
          <w:w w:val="102"/>
          <w:sz w:val="16"/>
        </w:rPr>
        <w:t>t</w:t>
      </w:r>
      <w:r w:rsidR="003115E3">
        <w:rPr>
          <w:color w:val="231F20"/>
          <w:w w:val="94"/>
          <w:sz w:val="16"/>
        </w:rPr>
        <w:t>e</w:t>
      </w:r>
      <w:r w:rsidR="003115E3">
        <w:rPr>
          <w:color w:val="231F20"/>
          <w:spacing w:val="2"/>
          <w:w w:val="97"/>
          <w:sz w:val="16"/>
        </w:rPr>
        <w:t>r</w:t>
      </w:r>
      <w:r w:rsidR="003115E3">
        <w:rPr>
          <w:color w:val="231F20"/>
          <w:spacing w:val="1"/>
          <w:w w:val="103"/>
          <w:sz w:val="16"/>
        </w:rPr>
        <w:t>i</w:t>
      </w:r>
      <w:r w:rsidR="003115E3">
        <w:rPr>
          <w:color w:val="231F20"/>
          <w:spacing w:val="2"/>
          <w:w w:val="106"/>
          <w:sz w:val="16"/>
        </w:rPr>
        <w:t>al</w:t>
      </w:r>
      <w:r w:rsidR="003115E3">
        <w:rPr>
          <w:color w:val="231F20"/>
          <w:w w:val="97"/>
          <w:sz w:val="16"/>
        </w:rPr>
        <w:t>ie</w:t>
      </w:r>
      <w:r w:rsidR="003115E3">
        <w:rPr>
          <w:color w:val="231F20"/>
          <w:spacing w:val="1"/>
          <w:w w:val="103"/>
          <w:sz w:val="16"/>
        </w:rPr>
        <w:t>n</w:t>
      </w:r>
      <w:r w:rsidR="003115E3">
        <w:rPr>
          <w:color w:val="231F20"/>
          <w:spacing w:val="5"/>
          <w:w w:val="140"/>
          <w:sz w:val="16"/>
        </w:rPr>
        <w:t>.</w:t>
      </w:r>
      <w:r w:rsidR="003115E3">
        <w:rPr>
          <w:color w:val="231F20"/>
          <w:w w:val="101"/>
          <w:sz w:val="16"/>
        </w:rPr>
        <w:t>P</w:t>
      </w:r>
      <w:r w:rsidR="003115E3">
        <w:rPr>
          <w:color w:val="231F20"/>
          <w:w w:val="115"/>
          <w:sz w:val="16"/>
        </w:rPr>
        <w:t>DF</w:t>
      </w:r>
    </w:p>
    <w:p w14:paraId="5DA5F188" w14:textId="77777777" w:rsidR="002653E8" w:rsidRDefault="002653E8">
      <w:pPr>
        <w:spacing w:line="254" w:lineRule="auto"/>
        <w:rPr>
          <w:sz w:val="16"/>
        </w:rPr>
        <w:sectPr w:rsidR="002653E8">
          <w:footerReference w:type="even" r:id="rId20"/>
          <w:footerReference w:type="default" r:id="rId21"/>
          <w:pgSz w:w="8640" w:h="12960"/>
          <w:pgMar w:top="1220" w:right="0" w:bottom="1040" w:left="0" w:header="0" w:footer="850" w:gutter="0"/>
          <w:pgNumType w:start="17"/>
          <w:cols w:space="720"/>
        </w:sectPr>
      </w:pPr>
    </w:p>
    <w:p w14:paraId="422FE398" w14:textId="77777777" w:rsidR="002653E8" w:rsidRDefault="003115E3">
      <w:pPr>
        <w:pStyle w:val="a3"/>
        <w:spacing w:before="86" w:line="264" w:lineRule="auto"/>
        <w:ind w:left="1327" w:right="1146"/>
        <w:jc w:val="both"/>
      </w:pPr>
      <w:r>
        <w:rPr>
          <w:color w:val="231F20"/>
        </w:rPr>
        <w:lastRenderedPageBreak/>
        <w:t>examine it and make suggestions for improving (de-Germanizing) the English used. These suggested changes—always numerous—would then be checked against the original to assure that the intent was not being skewed. This process would usually involve two or three rounds of the document going back and forth between the translators, before a finalized version acceptable to both of us was arrived at. On three occasions, each involving a single sentence, neither of us was happy with the other’s proposal and so a compromise had to be arrived at—this would affect in total approximately a half a page of the book you are holding. The end result was that no document in this book was examined fewer than three times and most of the major ones were examined at least five or six</w:t>
      </w:r>
      <w:r>
        <w:rPr>
          <w:color w:val="231F20"/>
          <w:spacing w:val="21"/>
        </w:rPr>
        <w:t xml:space="preserve"> </w:t>
      </w:r>
      <w:r>
        <w:rPr>
          <w:color w:val="231F20"/>
        </w:rPr>
        <w:t>times.</w:t>
      </w:r>
    </w:p>
    <w:p w14:paraId="423B1B5B" w14:textId="77777777" w:rsidR="002653E8" w:rsidRDefault="003115E3">
      <w:pPr>
        <w:pStyle w:val="a3"/>
        <w:spacing w:line="221" w:lineRule="exact"/>
        <w:ind w:left="1537"/>
      </w:pPr>
      <w:r>
        <w:rPr>
          <w:color w:val="231F20"/>
        </w:rPr>
        <w:t>Are we saying that these translations are perfect? Undoubtedly not.</w:t>
      </w:r>
    </w:p>
    <w:p w14:paraId="7095436E" w14:textId="77777777" w:rsidR="002653E8" w:rsidRDefault="003115E3">
      <w:pPr>
        <w:pStyle w:val="a3"/>
        <w:spacing w:before="23" w:line="264" w:lineRule="auto"/>
        <w:ind w:left="1327" w:right="1146"/>
        <w:jc w:val="both"/>
      </w:pPr>
      <w:r>
        <w:rPr>
          <w:color w:val="231F20"/>
        </w:rPr>
        <w:t>In a project of this grandeur, involving the translation of between four and five hundred pages, disagreements about decisions we made and interpretations we arrived at are de facto inevitable, as are errors— hopefully none of them significant.</w:t>
      </w:r>
    </w:p>
    <w:p w14:paraId="2948B6D8" w14:textId="77777777" w:rsidR="002653E8" w:rsidRDefault="003115E3">
      <w:pPr>
        <w:pStyle w:val="a3"/>
        <w:spacing w:line="264" w:lineRule="auto"/>
        <w:ind w:left="1327" w:right="1146" w:firstLine="210"/>
        <w:jc w:val="both"/>
      </w:pPr>
      <w:r>
        <w:rPr>
          <w:color w:val="231F20"/>
        </w:rPr>
        <w:t>That</w:t>
      </w:r>
      <w:r>
        <w:rPr>
          <w:color w:val="231F20"/>
          <w:spacing w:val="-4"/>
        </w:rPr>
        <w:t xml:space="preserve"> </w:t>
      </w:r>
      <w:r>
        <w:rPr>
          <w:color w:val="231F20"/>
        </w:rPr>
        <w:t>said,</w:t>
      </w:r>
      <w:r>
        <w:rPr>
          <w:color w:val="231F20"/>
          <w:spacing w:val="-4"/>
        </w:rPr>
        <w:t xml:space="preserve"> </w:t>
      </w:r>
      <w:r>
        <w:rPr>
          <w:color w:val="231F20"/>
        </w:rPr>
        <w:t>we</w:t>
      </w:r>
      <w:r>
        <w:rPr>
          <w:color w:val="231F20"/>
          <w:spacing w:val="-4"/>
        </w:rPr>
        <w:t xml:space="preserve"> </w:t>
      </w:r>
      <w:r>
        <w:rPr>
          <w:color w:val="231F20"/>
        </w:rPr>
        <w:t>are</w:t>
      </w:r>
      <w:r>
        <w:rPr>
          <w:color w:val="231F20"/>
          <w:spacing w:val="-4"/>
        </w:rPr>
        <w:t xml:space="preserve"> </w:t>
      </w:r>
      <w:r>
        <w:rPr>
          <w:color w:val="231F20"/>
        </w:rPr>
        <w:t>confident</w:t>
      </w:r>
      <w:r>
        <w:rPr>
          <w:color w:val="231F20"/>
          <w:spacing w:val="-4"/>
        </w:rPr>
        <w:t xml:space="preserve"> </w:t>
      </w:r>
      <w:r>
        <w:rPr>
          <w:color w:val="231F20"/>
        </w:rPr>
        <w:t>that</w:t>
      </w:r>
      <w:r>
        <w:rPr>
          <w:color w:val="231F20"/>
          <w:spacing w:val="-4"/>
        </w:rPr>
        <w:t xml:space="preserve"> </w:t>
      </w:r>
      <w:r>
        <w:rPr>
          <w:color w:val="231F20"/>
        </w:rPr>
        <w:t>the</w:t>
      </w:r>
      <w:r>
        <w:rPr>
          <w:color w:val="231F20"/>
          <w:spacing w:val="-4"/>
        </w:rPr>
        <w:t xml:space="preserve"> </w:t>
      </w:r>
      <w:r>
        <w:rPr>
          <w:color w:val="231F20"/>
        </w:rPr>
        <w:t>documents</w:t>
      </w:r>
      <w:r>
        <w:rPr>
          <w:color w:val="231F20"/>
          <w:spacing w:val="-4"/>
        </w:rPr>
        <w:t xml:space="preserve"> </w:t>
      </w:r>
      <w:r>
        <w:rPr>
          <w:color w:val="231F20"/>
        </w:rPr>
        <w:t>in</w:t>
      </w:r>
      <w:r>
        <w:rPr>
          <w:color w:val="231F20"/>
          <w:spacing w:val="-4"/>
        </w:rPr>
        <w:t xml:space="preserve"> </w:t>
      </w:r>
      <w:r>
        <w:rPr>
          <w:color w:val="231F20"/>
        </w:rPr>
        <w:t>this</w:t>
      </w:r>
      <w:r>
        <w:rPr>
          <w:color w:val="231F20"/>
          <w:spacing w:val="-4"/>
        </w:rPr>
        <w:t xml:space="preserve"> </w:t>
      </w:r>
      <w:r>
        <w:rPr>
          <w:color w:val="231F20"/>
        </w:rPr>
        <w:t>book</w:t>
      </w:r>
      <w:r>
        <w:rPr>
          <w:color w:val="231F20"/>
          <w:spacing w:val="-4"/>
        </w:rPr>
        <w:t xml:space="preserve"> </w:t>
      </w:r>
      <w:r>
        <w:rPr>
          <w:color w:val="231F20"/>
        </w:rPr>
        <w:t>accurately represent the history and the ideology of the Red Army Faction and provide the reader with a resource unparalleled elsewhere in</w:t>
      </w:r>
      <w:r>
        <w:rPr>
          <w:color w:val="231F20"/>
          <w:spacing w:val="40"/>
        </w:rPr>
        <w:t xml:space="preserve"> </w:t>
      </w:r>
      <w:r>
        <w:rPr>
          <w:color w:val="231F20"/>
        </w:rPr>
        <w:t>English.</w:t>
      </w:r>
    </w:p>
    <w:p w14:paraId="659B34E3" w14:textId="77777777" w:rsidR="002653E8" w:rsidRDefault="003115E3">
      <w:pPr>
        <w:pStyle w:val="a3"/>
        <w:spacing w:line="264" w:lineRule="auto"/>
        <w:ind w:left="1327" w:right="1145" w:firstLine="210"/>
        <w:jc w:val="both"/>
      </w:pPr>
      <w:r>
        <w:rPr>
          <w:color w:val="231F20"/>
        </w:rPr>
        <w:t xml:space="preserve">Before closing one other issue cries out to be addressed. </w:t>
      </w:r>
      <w:r>
        <w:rPr>
          <w:color w:val="231F20"/>
          <w:spacing w:val="-5"/>
        </w:rPr>
        <w:t xml:space="preserve">We </w:t>
      </w:r>
      <w:r>
        <w:rPr>
          <w:color w:val="231F20"/>
        </w:rPr>
        <w:t xml:space="preserve">refer to this work as the complete texts of the Red Army Faction. The meaning  of that statement seems indisputable, but that is not the case, and so we must explain what we mean by </w:t>
      </w:r>
      <w:r>
        <w:rPr>
          <w:color w:val="231F20"/>
          <w:spacing w:val="-3"/>
        </w:rPr>
        <w:t xml:space="preserve">“complete.” </w:t>
      </w:r>
      <w:r>
        <w:rPr>
          <w:color w:val="231F20"/>
          <w:spacing w:val="-8"/>
        </w:rPr>
        <w:t xml:space="preserve">To </w:t>
      </w:r>
      <w:r>
        <w:rPr>
          <w:color w:val="231F20"/>
        </w:rPr>
        <w:t xml:space="preserve">the best of our knowledge, we have included every document issued by the </w:t>
      </w:r>
      <w:r w:rsidR="00C507A5">
        <w:rPr>
          <w:color w:val="231F20"/>
          <w:spacing w:val="5"/>
        </w:rPr>
        <w:t>red army faction</w:t>
      </w:r>
      <w:r>
        <w:rPr>
          <w:color w:val="231F20"/>
          <w:spacing w:val="5"/>
        </w:rPr>
        <w:t xml:space="preserve"> </w:t>
      </w:r>
      <w:r>
        <w:rPr>
          <w:color w:val="231F20"/>
        </w:rPr>
        <w:t xml:space="preserve">in its close to thirty-year history in either this volume </w:t>
      </w:r>
      <w:r>
        <w:rPr>
          <w:color w:val="231F20"/>
          <w:spacing w:val="-6"/>
        </w:rPr>
        <w:t xml:space="preserve">(1968-1977) </w:t>
      </w:r>
      <w:r>
        <w:rPr>
          <w:color w:val="231F20"/>
        </w:rPr>
        <w:t xml:space="preserve">or the forthcoming second volume </w:t>
      </w:r>
      <w:r>
        <w:rPr>
          <w:color w:val="231F20"/>
          <w:spacing w:val="-6"/>
        </w:rPr>
        <w:t xml:space="preserve">(1978-1998). </w:t>
      </w:r>
      <w:r>
        <w:rPr>
          <w:color w:val="231F20"/>
        </w:rPr>
        <w:t>By this, we mean every theoretical manifesto, every communiqué accompanying an action, and every letter sent by the organization to the</w:t>
      </w:r>
      <w:r>
        <w:rPr>
          <w:color w:val="231F20"/>
          <w:spacing w:val="11"/>
        </w:rPr>
        <w:t xml:space="preserve"> </w:t>
      </w:r>
      <w:r>
        <w:rPr>
          <w:color w:val="231F20"/>
        </w:rPr>
        <w:t>media.</w:t>
      </w:r>
    </w:p>
    <w:p w14:paraId="0E48E00E" w14:textId="77777777" w:rsidR="002653E8" w:rsidRDefault="003115E3">
      <w:pPr>
        <w:pStyle w:val="a3"/>
        <w:spacing w:line="264" w:lineRule="auto"/>
        <w:ind w:left="1328" w:right="1145" w:firstLine="210"/>
        <w:jc w:val="both"/>
      </w:pPr>
      <w:r>
        <w:rPr>
          <w:color w:val="231F20"/>
        </w:rPr>
        <w:t xml:space="preserve">After some discussion we decided not to include </w:t>
      </w:r>
      <w:r>
        <w:rPr>
          <w:i/>
          <w:color w:val="231F20"/>
        </w:rPr>
        <w:t xml:space="preserve">Über den bewaffneten Kampf in Westeuropa </w:t>
      </w:r>
      <w:r>
        <w:rPr>
          <w:color w:val="231F20"/>
        </w:rPr>
        <w:t xml:space="preserve">(Regarding the Armed Struggle in West Europe) penned by Horst Mahler. This 1971 document, a sprawling theoretical text, was rejected by the other members of the </w:t>
      </w:r>
      <w:r w:rsidR="00C507A5">
        <w:rPr>
          <w:color w:val="231F20"/>
        </w:rPr>
        <w:t>red army faction</w:t>
      </w:r>
      <w:r>
        <w:rPr>
          <w:color w:val="231F20"/>
        </w:rPr>
        <w:t xml:space="preserve"> and played no small role in the decision to expel Mahler from the group— making him the only member ever publicly expelled. (The interested reader proficient in German will have no difficulty finding this document online, including in the aforementioned ID-Verlag book.)</w:t>
      </w:r>
    </w:p>
    <w:p w14:paraId="1CC828AB" w14:textId="77777777" w:rsidR="002653E8" w:rsidRDefault="003115E3">
      <w:pPr>
        <w:pStyle w:val="a3"/>
        <w:spacing w:line="264" w:lineRule="auto"/>
        <w:ind w:left="1328" w:right="1145" w:firstLine="210"/>
        <w:jc w:val="both"/>
      </w:pPr>
      <w:r>
        <w:rPr>
          <w:color w:val="231F20"/>
        </w:rPr>
        <w:t xml:space="preserve">We also did not include, with several exceptions, letters written by imprisoned </w:t>
      </w:r>
      <w:r w:rsidR="00C507A5">
        <w:rPr>
          <w:color w:val="231F20"/>
        </w:rPr>
        <w:t>red army faction</w:t>
      </w:r>
      <w:r>
        <w:rPr>
          <w:color w:val="231F20"/>
        </w:rPr>
        <w:t xml:space="preserve"> members. There are literally thousands of them, a significant selection of which have been published in German in </w:t>
      </w:r>
      <w:r>
        <w:rPr>
          <w:color w:val="231F20"/>
        </w:rPr>
        <w:lastRenderedPageBreak/>
        <w:t>a book</w:t>
      </w:r>
    </w:p>
    <w:p w14:paraId="45CCE8B6" w14:textId="77777777" w:rsidR="002653E8" w:rsidRDefault="002653E8">
      <w:pPr>
        <w:spacing w:line="264" w:lineRule="auto"/>
        <w:jc w:val="both"/>
        <w:sectPr w:rsidR="002653E8">
          <w:pgSz w:w="8640" w:h="12960"/>
          <w:pgMar w:top="1060" w:right="0" w:bottom="1040" w:left="0" w:header="0" w:footer="850" w:gutter="0"/>
          <w:cols w:space="720"/>
        </w:sectPr>
      </w:pPr>
    </w:p>
    <w:p w14:paraId="6108579F" w14:textId="77777777" w:rsidR="002653E8" w:rsidRDefault="003115E3">
      <w:pPr>
        <w:pStyle w:val="a3"/>
        <w:spacing w:before="86" w:line="264" w:lineRule="auto"/>
        <w:ind w:left="1147" w:right="1316"/>
        <w:jc w:val="both"/>
      </w:pPr>
      <w:r>
        <w:rPr>
          <w:color w:val="231F20"/>
        </w:rPr>
        <w:lastRenderedPageBreak/>
        <w:t xml:space="preserve">entitled </w:t>
      </w:r>
      <w:r>
        <w:rPr>
          <w:i/>
          <w:color w:val="231F20"/>
        </w:rPr>
        <w:t>Das Info</w:t>
      </w:r>
      <w:r>
        <w:rPr>
          <w:color w:val="231F20"/>
        </w:rPr>
        <w:t xml:space="preserve">, edited by former lawyer to </w:t>
      </w:r>
      <w:r w:rsidR="00C507A5">
        <w:rPr>
          <w:color w:val="231F20"/>
          <w:spacing w:val="5"/>
        </w:rPr>
        <w:t>red army faction</w:t>
      </w:r>
      <w:r>
        <w:rPr>
          <w:color w:val="231F20"/>
          <w:spacing w:val="5"/>
        </w:rPr>
        <w:t xml:space="preserve"> </w:t>
      </w:r>
      <w:r>
        <w:rPr>
          <w:color w:val="231F20"/>
        </w:rPr>
        <w:t xml:space="preserve">prisoners Pieter Bakker Schut. This book can be found in its entirety on the site maintained by Augustin, as can Bakker Schut’s invaluable historical analysis of the Stammheim trial, simply entitled </w:t>
      </w:r>
      <w:r>
        <w:rPr>
          <w:i/>
          <w:color w:val="231F20"/>
        </w:rPr>
        <w:t>Stammheim</w:t>
      </w:r>
      <w:r>
        <w:rPr>
          <w:color w:val="231F20"/>
        </w:rPr>
        <w:t xml:space="preserve">. Nor did we publish, with the exception of a handful, any of the hundreds of court statements, often of epic length, made by </w:t>
      </w:r>
      <w:r w:rsidR="00C507A5">
        <w:rPr>
          <w:color w:val="231F20"/>
          <w:spacing w:val="5"/>
        </w:rPr>
        <w:t>red army faction</w:t>
      </w:r>
      <w:r>
        <w:rPr>
          <w:color w:val="231F20"/>
          <w:spacing w:val="5"/>
        </w:rPr>
        <w:t xml:space="preserve"> </w:t>
      </w:r>
      <w:r>
        <w:rPr>
          <w:color w:val="231F20"/>
        </w:rPr>
        <w:t xml:space="preserve">defendants over the years. </w:t>
      </w:r>
      <w:r>
        <w:rPr>
          <w:color w:val="231F20"/>
          <w:spacing w:val="1"/>
        </w:rPr>
        <w:t xml:space="preserve">In </w:t>
      </w:r>
      <w:r>
        <w:rPr>
          <w:color w:val="231F20"/>
        </w:rPr>
        <w:t xml:space="preserve">the cases where we did choose to publish a letter or a court statement,  it was because the document in question filled out some theoretical or historical aspect of the </w:t>
      </w:r>
      <w:r w:rsidR="00C507A5">
        <w:rPr>
          <w:color w:val="231F20"/>
          <w:spacing w:val="1"/>
        </w:rPr>
        <w:t>red army faction</w:t>
      </w:r>
      <w:r>
        <w:rPr>
          <w:color w:val="231F20"/>
          <w:spacing w:val="1"/>
        </w:rPr>
        <w:t xml:space="preserve">’s </w:t>
      </w:r>
      <w:r>
        <w:rPr>
          <w:color w:val="231F20"/>
        </w:rPr>
        <w:t xml:space="preserve">history that we felt was not adequately addressed elsewhere. This is also true of the open letter from the </w:t>
      </w:r>
      <w:r>
        <w:rPr>
          <w:color w:val="231F20"/>
          <w:spacing w:val="7"/>
        </w:rPr>
        <w:t xml:space="preserve">RZ    </w:t>
      </w:r>
      <w:r>
        <w:rPr>
          <w:color w:val="231F20"/>
        </w:rPr>
        <w:t xml:space="preserve">to the </w:t>
      </w:r>
      <w:r w:rsidR="00C507A5">
        <w:rPr>
          <w:color w:val="231F20"/>
          <w:spacing w:val="5"/>
        </w:rPr>
        <w:t>red army faction</w:t>
      </w:r>
      <w:r>
        <w:rPr>
          <w:color w:val="231F20"/>
          <w:spacing w:val="5"/>
        </w:rPr>
        <w:t xml:space="preserve"> </w:t>
      </w:r>
      <w:r>
        <w:rPr>
          <w:color w:val="231F20"/>
        </w:rPr>
        <w:t>that we publish in this volume—a number of similar documents from other German and European guerilla groups will appear in the second volume of this</w:t>
      </w:r>
      <w:r>
        <w:rPr>
          <w:color w:val="231F20"/>
          <w:spacing w:val="10"/>
        </w:rPr>
        <w:t xml:space="preserve"> </w:t>
      </w:r>
      <w:r>
        <w:rPr>
          <w:color w:val="231F20"/>
        </w:rPr>
        <w:t>work.</w:t>
      </w:r>
    </w:p>
    <w:p w14:paraId="18164FDF" w14:textId="77777777" w:rsidR="002653E8" w:rsidRDefault="002653E8">
      <w:pPr>
        <w:spacing w:line="264" w:lineRule="auto"/>
        <w:jc w:val="both"/>
        <w:sectPr w:rsidR="002653E8">
          <w:footerReference w:type="even" r:id="rId22"/>
          <w:footerReference w:type="default" r:id="rId23"/>
          <w:pgSz w:w="8640" w:h="12960"/>
          <w:pgMar w:top="1060" w:right="0" w:bottom="1040" w:left="0" w:header="0" w:footer="850" w:gutter="0"/>
          <w:cols w:space="720"/>
        </w:sectPr>
      </w:pPr>
    </w:p>
    <w:p w14:paraId="2B02E113" w14:textId="77777777" w:rsidR="002653E8" w:rsidRDefault="003115E3">
      <w:pPr>
        <w:pStyle w:val="4"/>
        <w:spacing w:before="88"/>
        <w:ind w:left="3774"/>
        <w:rPr>
          <w:rFonts w:ascii="Cambria"/>
        </w:rPr>
      </w:pPr>
      <w:bookmarkStart w:id="12" w:name="Preface"/>
      <w:bookmarkStart w:id="13" w:name="_bookmark4"/>
      <w:bookmarkEnd w:id="12"/>
      <w:bookmarkEnd w:id="13"/>
      <w:r>
        <w:rPr>
          <w:rFonts w:ascii="Cambria"/>
          <w:color w:val="231F20"/>
          <w:w w:val="115"/>
        </w:rPr>
        <w:lastRenderedPageBreak/>
        <w:t>preface</w:t>
      </w:r>
    </w:p>
    <w:p w14:paraId="28815F2F" w14:textId="77777777" w:rsidR="002653E8" w:rsidRDefault="003115E3">
      <w:pPr>
        <w:pStyle w:val="a3"/>
        <w:spacing w:before="257" w:line="264" w:lineRule="auto"/>
        <w:ind w:left="1327" w:right="1147"/>
        <w:jc w:val="both"/>
      </w:pPr>
      <w:r>
        <w:rPr>
          <w:color w:val="231F20"/>
        </w:rPr>
        <w:t>The book you hold in your hands, along with its companion volume, constitute</w:t>
      </w:r>
      <w:r>
        <w:rPr>
          <w:color w:val="231F20"/>
          <w:spacing w:val="-4"/>
        </w:rPr>
        <w:t xml:space="preserve"> </w:t>
      </w:r>
      <w:r>
        <w:rPr>
          <w:color w:val="231F20"/>
        </w:rPr>
        <w:t>the</w:t>
      </w:r>
      <w:r>
        <w:rPr>
          <w:color w:val="231F20"/>
          <w:spacing w:val="-4"/>
        </w:rPr>
        <w:t xml:space="preserve"> </w:t>
      </w:r>
      <w:r>
        <w:rPr>
          <w:color w:val="231F20"/>
        </w:rPr>
        <w:t>most</w:t>
      </w:r>
      <w:r>
        <w:rPr>
          <w:color w:val="231F20"/>
          <w:spacing w:val="-4"/>
        </w:rPr>
        <w:t xml:space="preserve"> </w:t>
      </w:r>
      <w:r>
        <w:rPr>
          <w:color w:val="231F20"/>
        </w:rPr>
        <w:t>complete</w:t>
      </w:r>
      <w:r>
        <w:rPr>
          <w:color w:val="231F20"/>
          <w:spacing w:val="-4"/>
        </w:rPr>
        <w:t xml:space="preserve"> </w:t>
      </w:r>
      <w:r>
        <w:rPr>
          <w:color w:val="231F20"/>
        </w:rPr>
        <w:t>works</w:t>
      </w:r>
      <w:r>
        <w:rPr>
          <w:color w:val="231F20"/>
          <w:spacing w:val="-4"/>
        </w:rPr>
        <w:t xml:space="preserve"> </w:t>
      </w:r>
      <w:r>
        <w:rPr>
          <w:color w:val="231F20"/>
        </w:rPr>
        <w:t>and</w:t>
      </w:r>
      <w:r>
        <w:rPr>
          <w:color w:val="231F20"/>
          <w:spacing w:val="-4"/>
        </w:rPr>
        <w:t xml:space="preserve"> </w:t>
      </w:r>
      <w:r>
        <w:rPr>
          <w:color w:val="231F20"/>
        </w:rPr>
        <w:t>history</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Red</w:t>
      </w:r>
      <w:r>
        <w:rPr>
          <w:color w:val="231F20"/>
          <w:spacing w:val="-4"/>
        </w:rPr>
        <w:t xml:space="preserve"> </w:t>
      </w:r>
      <w:r>
        <w:rPr>
          <w:color w:val="231F20"/>
        </w:rPr>
        <w:t>Army</w:t>
      </w:r>
      <w:r>
        <w:rPr>
          <w:color w:val="231F20"/>
          <w:spacing w:val="-4"/>
        </w:rPr>
        <w:t xml:space="preserve"> </w:t>
      </w:r>
      <w:r>
        <w:rPr>
          <w:color w:val="231F20"/>
        </w:rPr>
        <w:t>Faction ever published in the English</w:t>
      </w:r>
      <w:r>
        <w:rPr>
          <w:color w:val="231F20"/>
          <w:spacing w:val="10"/>
        </w:rPr>
        <w:t xml:space="preserve"> </w:t>
      </w:r>
      <w:r>
        <w:rPr>
          <w:color w:val="231F20"/>
        </w:rPr>
        <w:t>language.</w:t>
      </w:r>
    </w:p>
    <w:p w14:paraId="062D5A48" w14:textId="77777777" w:rsidR="002653E8" w:rsidRDefault="003115E3">
      <w:pPr>
        <w:pStyle w:val="a3"/>
        <w:spacing w:line="264" w:lineRule="auto"/>
        <w:ind w:left="1327" w:right="1145" w:firstLine="210"/>
        <w:jc w:val="both"/>
      </w:pPr>
      <w:r>
        <w:rPr>
          <w:color w:val="231F20"/>
        </w:rPr>
        <w:t xml:space="preserve">The Red Army Faction was formed in </w:t>
      </w:r>
      <w:r>
        <w:rPr>
          <w:color w:val="231F20"/>
          <w:spacing w:val="-4"/>
        </w:rPr>
        <w:t xml:space="preserve">1970 </w:t>
      </w:r>
      <w:r>
        <w:rPr>
          <w:color w:val="231F20"/>
        </w:rPr>
        <w:t xml:space="preserve">when a small group of </w:t>
      </w:r>
      <w:r>
        <w:rPr>
          <w:color w:val="231F20"/>
          <w:spacing w:val="-3"/>
        </w:rPr>
        <w:t xml:space="preserve">West </w:t>
      </w:r>
      <w:r>
        <w:rPr>
          <w:color w:val="231F20"/>
        </w:rPr>
        <w:t xml:space="preserve">German revolutionaries decided to go underground and </w:t>
      </w:r>
      <w:r>
        <w:rPr>
          <w:color w:val="231F20"/>
          <w:spacing w:val="1"/>
        </w:rPr>
        <w:t xml:space="preserve">carry </w:t>
      </w:r>
      <w:r>
        <w:rPr>
          <w:color w:val="231F20"/>
        </w:rPr>
        <w:t xml:space="preserve">out armed actions against </w:t>
      </w:r>
      <w:r>
        <w:rPr>
          <w:color w:val="231F20"/>
          <w:spacing w:val="1"/>
        </w:rPr>
        <w:t xml:space="preserve">U.S. </w:t>
      </w:r>
      <w:r>
        <w:rPr>
          <w:color w:val="231F20"/>
        </w:rPr>
        <w:t>imperialism. Within a few years, almost all   of the original members were either dead or captured, yet the harsh treatment the latter received as prisoners garnered them a degree of sympathy, and their own unflagging resistance earned them the respect of</w:t>
      </w:r>
      <w:r>
        <w:rPr>
          <w:color w:val="231F20"/>
          <w:spacing w:val="10"/>
        </w:rPr>
        <w:t xml:space="preserve"> </w:t>
      </w:r>
      <w:r>
        <w:rPr>
          <w:color w:val="231F20"/>
          <w:spacing w:val="-3"/>
        </w:rPr>
        <w:t>many.</w:t>
      </w:r>
    </w:p>
    <w:p w14:paraId="14ED2538" w14:textId="77777777" w:rsidR="002653E8" w:rsidRDefault="003115E3">
      <w:pPr>
        <w:pStyle w:val="a3"/>
        <w:spacing w:line="264" w:lineRule="auto"/>
        <w:ind w:left="1327" w:right="1146" w:firstLine="210"/>
        <w:jc w:val="both"/>
      </w:pPr>
      <w:r>
        <w:rPr>
          <w:color w:val="231F20"/>
        </w:rPr>
        <w:t xml:space="preserve">Indeed, it would not be an exaggeration to say that they captured the imagination of a generation of </w:t>
      </w:r>
      <w:r>
        <w:rPr>
          <w:color w:val="231F20"/>
          <w:spacing w:val="-3"/>
        </w:rPr>
        <w:t xml:space="preserve">West </w:t>
      </w:r>
      <w:r>
        <w:rPr>
          <w:color w:val="231F20"/>
        </w:rPr>
        <w:t>German youth. Certainly, before they fell, they had already succeeded in inspiring others to pick up their banner.</w:t>
      </w:r>
    </w:p>
    <w:p w14:paraId="68B99D7F" w14:textId="77777777" w:rsidR="002653E8" w:rsidRDefault="003115E3">
      <w:pPr>
        <w:pStyle w:val="a3"/>
        <w:spacing w:line="264" w:lineRule="auto"/>
        <w:ind w:left="1327" w:right="1145" w:firstLine="210"/>
        <w:jc w:val="both"/>
      </w:pPr>
      <w:r>
        <w:rPr>
          <w:color w:val="231F20"/>
          <w:spacing w:val="1"/>
          <w:w w:val="105"/>
        </w:rPr>
        <w:t>In</w:t>
      </w:r>
      <w:r>
        <w:rPr>
          <w:color w:val="231F20"/>
          <w:spacing w:val="-10"/>
          <w:w w:val="105"/>
        </w:rPr>
        <w:t xml:space="preserve"> </w:t>
      </w:r>
      <w:r>
        <w:rPr>
          <w:color w:val="231F20"/>
          <w:w w:val="105"/>
        </w:rPr>
        <w:t>fact,</w:t>
      </w:r>
      <w:r>
        <w:rPr>
          <w:color w:val="231F20"/>
          <w:spacing w:val="-10"/>
          <w:w w:val="105"/>
        </w:rPr>
        <w:t xml:space="preserve"> </w:t>
      </w:r>
      <w:r>
        <w:rPr>
          <w:color w:val="231F20"/>
          <w:w w:val="105"/>
        </w:rPr>
        <w:t>the</w:t>
      </w:r>
      <w:r>
        <w:rPr>
          <w:color w:val="231F20"/>
          <w:spacing w:val="-10"/>
          <w:w w:val="105"/>
        </w:rPr>
        <w:t xml:space="preserve"> </w:t>
      </w:r>
      <w:r w:rsidR="00C507A5">
        <w:rPr>
          <w:color w:val="231F20"/>
          <w:spacing w:val="5"/>
          <w:w w:val="105"/>
        </w:rPr>
        <w:t>red army faction</w:t>
      </w:r>
      <w:r>
        <w:rPr>
          <w:color w:val="231F20"/>
          <w:spacing w:val="-10"/>
          <w:w w:val="105"/>
        </w:rPr>
        <w:t xml:space="preserve"> </w:t>
      </w:r>
      <w:r>
        <w:rPr>
          <w:color w:val="231F20"/>
          <w:w w:val="105"/>
        </w:rPr>
        <w:t>was</w:t>
      </w:r>
      <w:r>
        <w:rPr>
          <w:color w:val="231F20"/>
          <w:spacing w:val="-10"/>
          <w:w w:val="105"/>
        </w:rPr>
        <w:t xml:space="preserve"> </w:t>
      </w:r>
      <w:r>
        <w:rPr>
          <w:color w:val="231F20"/>
          <w:w w:val="105"/>
        </w:rPr>
        <w:t>to</w:t>
      </w:r>
      <w:r>
        <w:rPr>
          <w:color w:val="231F20"/>
          <w:spacing w:val="-10"/>
          <w:w w:val="105"/>
        </w:rPr>
        <w:t xml:space="preserve"> </w:t>
      </w:r>
      <w:r>
        <w:rPr>
          <w:color w:val="231F20"/>
          <w:w w:val="105"/>
        </w:rPr>
        <w:t>remain</w:t>
      </w:r>
      <w:r>
        <w:rPr>
          <w:color w:val="231F20"/>
          <w:spacing w:val="-10"/>
          <w:w w:val="105"/>
        </w:rPr>
        <w:t xml:space="preserve"> </w:t>
      </w:r>
      <w:r>
        <w:rPr>
          <w:color w:val="231F20"/>
          <w:w w:val="105"/>
        </w:rPr>
        <w:t>a</w:t>
      </w:r>
      <w:r>
        <w:rPr>
          <w:color w:val="231F20"/>
          <w:spacing w:val="-10"/>
          <w:w w:val="105"/>
        </w:rPr>
        <w:t xml:space="preserve"> </w:t>
      </w:r>
      <w:r>
        <w:rPr>
          <w:color w:val="231F20"/>
          <w:w w:val="105"/>
        </w:rPr>
        <w:t>factor</w:t>
      </w:r>
      <w:r>
        <w:rPr>
          <w:color w:val="231F20"/>
          <w:spacing w:val="-10"/>
          <w:w w:val="105"/>
        </w:rPr>
        <w:t xml:space="preserve"> </w:t>
      </w:r>
      <w:r>
        <w:rPr>
          <w:color w:val="231F20"/>
          <w:w w:val="105"/>
        </w:rPr>
        <w:t>in</w:t>
      </w:r>
      <w:r>
        <w:rPr>
          <w:color w:val="231F20"/>
          <w:spacing w:val="-10"/>
          <w:w w:val="105"/>
        </w:rPr>
        <w:t xml:space="preserve"> </w:t>
      </w:r>
      <w:r>
        <w:rPr>
          <w:color w:val="231F20"/>
          <w:w w:val="105"/>
        </w:rPr>
        <w:t>German</w:t>
      </w:r>
      <w:r>
        <w:rPr>
          <w:color w:val="231F20"/>
          <w:spacing w:val="-10"/>
          <w:w w:val="105"/>
        </w:rPr>
        <w:t xml:space="preserve"> </w:t>
      </w:r>
      <w:r>
        <w:rPr>
          <w:color w:val="231F20"/>
          <w:w w:val="105"/>
        </w:rPr>
        <w:t>politics</w:t>
      </w:r>
      <w:r>
        <w:rPr>
          <w:color w:val="231F20"/>
          <w:spacing w:val="-10"/>
          <w:w w:val="105"/>
        </w:rPr>
        <w:t xml:space="preserve"> </w:t>
      </w:r>
      <w:r>
        <w:rPr>
          <w:color w:val="231F20"/>
          <w:w w:val="105"/>
        </w:rPr>
        <w:t>for</w:t>
      </w:r>
      <w:r>
        <w:rPr>
          <w:color w:val="231F20"/>
          <w:spacing w:val="-10"/>
          <w:w w:val="105"/>
        </w:rPr>
        <w:t xml:space="preserve"> </w:t>
      </w:r>
      <w:r>
        <w:rPr>
          <w:color w:val="231F20"/>
          <w:w w:val="105"/>
        </w:rPr>
        <w:t xml:space="preserve">almost </w:t>
      </w:r>
      <w:r>
        <w:rPr>
          <w:color w:val="231F20"/>
          <w:spacing w:val="2"/>
          <w:w w:val="105"/>
        </w:rPr>
        <w:t>thirty</w:t>
      </w:r>
      <w:r>
        <w:rPr>
          <w:color w:val="231F20"/>
          <w:spacing w:val="-15"/>
          <w:w w:val="105"/>
        </w:rPr>
        <w:t xml:space="preserve"> </w:t>
      </w:r>
      <w:r>
        <w:rPr>
          <w:color w:val="231F20"/>
          <w:w w:val="105"/>
        </w:rPr>
        <w:t>years</w:t>
      </w:r>
      <w:r>
        <w:rPr>
          <w:color w:val="231F20"/>
          <w:spacing w:val="-15"/>
          <w:w w:val="105"/>
        </w:rPr>
        <w:t xml:space="preserve"> </w:t>
      </w:r>
      <w:r>
        <w:rPr>
          <w:color w:val="231F20"/>
          <w:w w:val="105"/>
        </w:rPr>
        <w:t>as</w:t>
      </w:r>
      <w:r>
        <w:rPr>
          <w:color w:val="231F20"/>
          <w:spacing w:val="-15"/>
          <w:w w:val="105"/>
        </w:rPr>
        <w:t xml:space="preserve"> </w:t>
      </w:r>
      <w:r>
        <w:rPr>
          <w:color w:val="231F20"/>
          <w:w w:val="105"/>
        </w:rPr>
        <w:t>successive</w:t>
      </w:r>
      <w:r>
        <w:rPr>
          <w:color w:val="231F20"/>
          <w:spacing w:val="-15"/>
          <w:w w:val="105"/>
        </w:rPr>
        <w:t xml:space="preserve"> </w:t>
      </w:r>
      <w:r>
        <w:rPr>
          <w:color w:val="231F20"/>
          <w:w w:val="105"/>
        </w:rPr>
        <w:t>waves</w:t>
      </w:r>
      <w:r>
        <w:rPr>
          <w:color w:val="231F20"/>
          <w:spacing w:val="-15"/>
          <w:w w:val="105"/>
        </w:rPr>
        <w:t xml:space="preserve"> </w:t>
      </w:r>
      <w:r>
        <w:rPr>
          <w:color w:val="231F20"/>
          <w:w w:val="105"/>
        </w:rPr>
        <w:t>of</w:t>
      </w:r>
      <w:r>
        <w:rPr>
          <w:color w:val="231F20"/>
          <w:spacing w:val="-15"/>
          <w:w w:val="105"/>
        </w:rPr>
        <w:t xml:space="preserve"> </w:t>
      </w:r>
      <w:r>
        <w:rPr>
          <w:color w:val="231F20"/>
          <w:w w:val="105"/>
        </w:rPr>
        <w:t>radicals</w:t>
      </w:r>
      <w:r>
        <w:rPr>
          <w:color w:val="231F20"/>
          <w:spacing w:val="-15"/>
          <w:w w:val="105"/>
        </w:rPr>
        <w:t xml:space="preserve"> </w:t>
      </w:r>
      <w:r>
        <w:rPr>
          <w:color w:val="231F20"/>
          <w:w w:val="105"/>
        </w:rPr>
        <w:t>extended</w:t>
      </w:r>
      <w:r>
        <w:rPr>
          <w:color w:val="231F20"/>
          <w:spacing w:val="-15"/>
          <w:w w:val="105"/>
        </w:rPr>
        <w:t xml:space="preserve"> </w:t>
      </w:r>
      <w:r>
        <w:rPr>
          <w:color w:val="231F20"/>
          <w:w w:val="105"/>
        </w:rPr>
        <w:t>the</w:t>
      </w:r>
      <w:r>
        <w:rPr>
          <w:color w:val="231F20"/>
          <w:spacing w:val="-15"/>
          <w:w w:val="105"/>
        </w:rPr>
        <w:t xml:space="preserve"> </w:t>
      </w:r>
      <w:r>
        <w:rPr>
          <w:color w:val="231F20"/>
          <w:w w:val="105"/>
        </w:rPr>
        <w:t>struggle,</w:t>
      </w:r>
      <w:r>
        <w:rPr>
          <w:color w:val="231F20"/>
          <w:spacing w:val="-15"/>
          <w:w w:val="105"/>
        </w:rPr>
        <w:t xml:space="preserve"> </w:t>
      </w:r>
      <w:r>
        <w:rPr>
          <w:color w:val="231F20"/>
          <w:w w:val="105"/>
        </w:rPr>
        <w:t>car</w:t>
      </w:r>
      <w:r>
        <w:rPr>
          <w:color w:val="231F20"/>
        </w:rPr>
        <w:t>rying out increasingly sophisticated and daring campaigns of assassina</w:t>
      </w:r>
      <w:r>
        <w:rPr>
          <w:color w:val="231F20"/>
          <w:w w:val="105"/>
        </w:rPr>
        <w:t xml:space="preserve">tion and bombings against key members of the </w:t>
      </w:r>
      <w:r>
        <w:rPr>
          <w:color w:val="231F20"/>
          <w:spacing w:val="-3"/>
          <w:w w:val="105"/>
        </w:rPr>
        <w:t xml:space="preserve">West </w:t>
      </w:r>
      <w:r>
        <w:rPr>
          <w:color w:val="231F20"/>
          <w:w w:val="105"/>
        </w:rPr>
        <w:t>German ruling class</w:t>
      </w:r>
      <w:r>
        <w:rPr>
          <w:color w:val="231F20"/>
          <w:spacing w:val="-15"/>
          <w:w w:val="105"/>
        </w:rPr>
        <w:t xml:space="preserve"> </w:t>
      </w:r>
      <w:r>
        <w:rPr>
          <w:color w:val="231F20"/>
          <w:w w:val="105"/>
        </w:rPr>
        <w:t>and</w:t>
      </w:r>
      <w:r>
        <w:rPr>
          <w:color w:val="231F20"/>
          <w:spacing w:val="-15"/>
          <w:w w:val="105"/>
        </w:rPr>
        <w:t xml:space="preserve"> </w:t>
      </w:r>
      <w:r>
        <w:rPr>
          <w:color w:val="231F20"/>
          <w:w w:val="105"/>
        </w:rPr>
        <w:t>American</w:t>
      </w:r>
      <w:r>
        <w:rPr>
          <w:color w:val="231F20"/>
          <w:spacing w:val="-15"/>
          <w:w w:val="105"/>
        </w:rPr>
        <w:t xml:space="preserve"> </w:t>
      </w:r>
      <w:r>
        <w:rPr>
          <w:color w:val="231F20"/>
          <w:w w:val="105"/>
        </w:rPr>
        <w:t>armed</w:t>
      </w:r>
      <w:r>
        <w:rPr>
          <w:color w:val="231F20"/>
          <w:spacing w:val="-15"/>
          <w:w w:val="105"/>
        </w:rPr>
        <w:t xml:space="preserve"> </w:t>
      </w:r>
      <w:r>
        <w:rPr>
          <w:color w:val="231F20"/>
          <w:w w:val="105"/>
        </w:rPr>
        <w:t>forces</w:t>
      </w:r>
      <w:r>
        <w:rPr>
          <w:color w:val="231F20"/>
          <w:spacing w:val="-15"/>
          <w:w w:val="105"/>
        </w:rPr>
        <w:t xml:space="preserve"> </w:t>
      </w:r>
      <w:r>
        <w:rPr>
          <w:color w:val="231F20"/>
          <w:w w:val="105"/>
        </w:rPr>
        <w:t>stationed</w:t>
      </w:r>
      <w:r>
        <w:rPr>
          <w:color w:val="231F20"/>
          <w:spacing w:val="-15"/>
          <w:w w:val="105"/>
        </w:rPr>
        <w:t xml:space="preserve"> </w:t>
      </w:r>
      <w:r>
        <w:rPr>
          <w:color w:val="231F20"/>
          <w:w w:val="105"/>
        </w:rPr>
        <w:t>in</w:t>
      </w:r>
      <w:r>
        <w:rPr>
          <w:color w:val="231F20"/>
          <w:spacing w:val="-15"/>
          <w:w w:val="105"/>
        </w:rPr>
        <w:t xml:space="preserve"> </w:t>
      </w:r>
      <w:r>
        <w:rPr>
          <w:color w:val="231F20"/>
          <w:w w:val="105"/>
        </w:rPr>
        <w:t>the</w:t>
      </w:r>
      <w:r>
        <w:rPr>
          <w:color w:val="231F20"/>
          <w:spacing w:val="-15"/>
          <w:w w:val="105"/>
        </w:rPr>
        <w:t xml:space="preserve"> </w:t>
      </w:r>
      <w:r>
        <w:rPr>
          <w:color w:val="231F20"/>
          <w:w w:val="105"/>
        </w:rPr>
        <w:t>Federal</w:t>
      </w:r>
      <w:r>
        <w:rPr>
          <w:color w:val="231F20"/>
          <w:spacing w:val="-15"/>
          <w:w w:val="105"/>
        </w:rPr>
        <w:t xml:space="preserve"> </w:t>
      </w:r>
      <w:r>
        <w:rPr>
          <w:color w:val="231F20"/>
          <w:w w:val="105"/>
        </w:rPr>
        <w:t>Republic.</w:t>
      </w:r>
      <w:r>
        <w:rPr>
          <w:color w:val="231F20"/>
          <w:spacing w:val="-15"/>
          <w:w w:val="105"/>
        </w:rPr>
        <w:t xml:space="preserve"> </w:t>
      </w:r>
      <w:r>
        <w:rPr>
          <w:color w:val="231F20"/>
          <w:w w:val="105"/>
        </w:rPr>
        <w:t>On more</w:t>
      </w:r>
      <w:r>
        <w:rPr>
          <w:color w:val="231F20"/>
          <w:spacing w:val="-11"/>
          <w:w w:val="105"/>
        </w:rPr>
        <w:t xml:space="preserve"> </w:t>
      </w:r>
      <w:r>
        <w:rPr>
          <w:color w:val="231F20"/>
          <w:w w:val="105"/>
        </w:rPr>
        <w:t>than</w:t>
      </w:r>
      <w:r>
        <w:rPr>
          <w:color w:val="231F20"/>
          <w:spacing w:val="-11"/>
          <w:w w:val="105"/>
        </w:rPr>
        <w:t xml:space="preserve"> </w:t>
      </w:r>
      <w:r>
        <w:rPr>
          <w:color w:val="231F20"/>
          <w:w w:val="105"/>
        </w:rPr>
        <w:t>one</w:t>
      </w:r>
      <w:r>
        <w:rPr>
          <w:color w:val="231F20"/>
          <w:spacing w:val="-11"/>
          <w:w w:val="105"/>
        </w:rPr>
        <w:t xml:space="preserve"> </w:t>
      </w:r>
      <w:r>
        <w:rPr>
          <w:color w:val="231F20"/>
          <w:w w:val="105"/>
        </w:rPr>
        <w:t>occasion,</w:t>
      </w:r>
      <w:r>
        <w:rPr>
          <w:color w:val="231F20"/>
          <w:spacing w:val="-11"/>
          <w:w w:val="105"/>
        </w:rPr>
        <w:t xml:space="preserve"> </w:t>
      </w:r>
      <w:r>
        <w:rPr>
          <w:color w:val="231F20"/>
          <w:w w:val="105"/>
        </w:rPr>
        <w:t>they</w:t>
      </w:r>
      <w:r>
        <w:rPr>
          <w:color w:val="231F20"/>
          <w:spacing w:val="-11"/>
          <w:w w:val="105"/>
        </w:rPr>
        <w:t xml:space="preserve"> </w:t>
      </w:r>
      <w:r>
        <w:rPr>
          <w:color w:val="231F20"/>
          <w:w w:val="105"/>
        </w:rPr>
        <w:t>shook</w:t>
      </w:r>
      <w:r>
        <w:rPr>
          <w:color w:val="231F20"/>
          <w:spacing w:val="-11"/>
          <w:w w:val="105"/>
        </w:rPr>
        <w:t xml:space="preserve"> </w:t>
      </w:r>
      <w:r>
        <w:rPr>
          <w:color w:val="231F20"/>
          <w:w w:val="105"/>
        </w:rPr>
        <w:t>their</w:t>
      </w:r>
      <w:r>
        <w:rPr>
          <w:color w:val="231F20"/>
          <w:spacing w:val="-11"/>
          <w:w w:val="105"/>
        </w:rPr>
        <w:t xml:space="preserve"> </w:t>
      </w:r>
      <w:r>
        <w:rPr>
          <w:color w:val="231F20"/>
          <w:w w:val="105"/>
        </w:rPr>
        <w:t>society</w:t>
      </w:r>
      <w:r>
        <w:rPr>
          <w:color w:val="231F20"/>
          <w:spacing w:val="-11"/>
          <w:w w:val="105"/>
        </w:rPr>
        <w:t xml:space="preserve"> </w:t>
      </w:r>
      <w:r>
        <w:rPr>
          <w:color w:val="231F20"/>
          <w:w w:val="105"/>
        </w:rPr>
        <w:t>to</w:t>
      </w:r>
      <w:r>
        <w:rPr>
          <w:color w:val="231F20"/>
          <w:spacing w:val="-11"/>
          <w:w w:val="105"/>
        </w:rPr>
        <w:t xml:space="preserve"> </w:t>
      </w:r>
      <w:r>
        <w:rPr>
          <w:color w:val="231F20"/>
          <w:w w:val="105"/>
        </w:rPr>
        <w:t>its</w:t>
      </w:r>
      <w:r>
        <w:rPr>
          <w:color w:val="231F20"/>
          <w:spacing w:val="-11"/>
          <w:w w:val="105"/>
        </w:rPr>
        <w:t xml:space="preserve"> </w:t>
      </w:r>
      <w:r>
        <w:rPr>
          <w:color w:val="231F20"/>
          <w:w w:val="105"/>
        </w:rPr>
        <w:t>core,</w:t>
      </w:r>
      <w:r>
        <w:rPr>
          <w:color w:val="231F20"/>
          <w:spacing w:val="-11"/>
          <w:w w:val="105"/>
        </w:rPr>
        <w:t xml:space="preserve"> </w:t>
      </w:r>
      <w:r>
        <w:rPr>
          <w:color w:val="231F20"/>
          <w:w w:val="105"/>
        </w:rPr>
        <w:t>baiting</w:t>
      </w:r>
      <w:r>
        <w:rPr>
          <w:color w:val="231F20"/>
          <w:spacing w:val="-11"/>
          <w:w w:val="105"/>
        </w:rPr>
        <w:t xml:space="preserve"> </w:t>
      </w:r>
      <w:r>
        <w:rPr>
          <w:color w:val="231F20"/>
          <w:w w:val="105"/>
        </w:rPr>
        <w:t>its ruling class into dictatorial reactions that shocked the consciences of even</w:t>
      </w:r>
      <w:r>
        <w:rPr>
          <w:color w:val="231F20"/>
          <w:spacing w:val="-16"/>
          <w:w w:val="105"/>
        </w:rPr>
        <w:t xml:space="preserve"> </w:t>
      </w:r>
      <w:r>
        <w:rPr>
          <w:color w:val="231F20"/>
          <w:w w:val="105"/>
        </w:rPr>
        <w:t>their</w:t>
      </w:r>
      <w:r>
        <w:rPr>
          <w:color w:val="231F20"/>
          <w:spacing w:val="-16"/>
          <w:w w:val="105"/>
        </w:rPr>
        <w:t xml:space="preserve"> </w:t>
      </w:r>
      <w:r>
        <w:rPr>
          <w:color w:val="231F20"/>
          <w:w w:val="105"/>
        </w:rPr>
        <w:t>own</w:t>
      </w:r>
      <w:r>
        <w:rPr>
          <w:color w:val="231F20"/>
          <w:spacing w:val="-16"/>
          <w:w w:val="105"/>
        </w:rPr>
        <w:t xml:space="preserve"> </w:t>
      </w:r>
      <w:r>
        <w:rPr>
          <w:color w:val="231F20"/>
          <w:w w:val="105"/>
        </w:rPr>
        <w:t>supporters.</w:t>
      </w:r>
      <w:r>
        <w:rPr>
          <w:color w:val="231F20"/>
          <w:spacing w:val="-16"/>
          <w:w w:val="105"/>
        </w:rPr>
        <w:t xml:space="preserve"> </w:t>
      </w:r>
      <w:r>
        <w:rPr>
          <w:color w:val="231F20"/>
          <w:w w:val="105"/>
        </w:rPr>
        <w:t>Eventually,</w:t>
      </w:r>
      <w:r>
        <w:rPr>
          <w:color w:val="231F20"/>
          <w:spacing w:val="-16"/>
          <w:w w:val="105"/>
        </w:rPr>
        <w:t xml:space="preserve"> </w:t>
      </w:r>
      <w:r>
        <w:rPr>
          <w:color w:val="231F20"/>
          <w:w w:val="105"/>
        </w:rPr>
        <w:t>the</w:t>
      </w:r>
      <w:r>
        <w:rPr>
          <w:color w:val="231F20"/>
          <w:spacing w:val="-16"/>
          <w:w w:val="105"/>
        </w:rPr>
        <w:t xml:space="preserve"> </w:t>
      </w:r>
      <w:r w:rsidR="00C507A5">
        <w:rPr>
          <w:color w:val="231F20"/>
          <w:spacing w:val="5"/>
          <w:w w:val="105"/>
        </w:rPr>
        <w:t>red army faction</w:t>
      </w:r>
      <w:r>
        <w:rPr>
          <w:color w:val="231F20"/>
          <w:spacing w:val="-16"/>
          <w:w w:val="105"/>
        </w:rPr>
        <w:t xml:space="preserve"> </w:t>
      </w:r>
      <w:r>
        <w:rPr>
          <w:color w:val="231F20"/>
          <w:w w:val="105"/>
        </w:rPr>
        <w:t>became</w:t>
      </w:r>
      <w:r>
        <w:rPr>
          <w:color w:val="231F20"/>
          <w:spacing w:val="-16"/>
          <w:w w:val="105"/>
        </w:rPr>
        <w:t xml:space="preserve"> </w:t>
      </w:r>
      <w:r>
        <w:rPr>
          <w:color w:val="231F20"/>
          <w:w w:val="105"/>
        </w:rPr>
        <w:t>emblematic</w:t>
      </w:r>
      <w:r>
        <w:rPr>
          <w:color w:val="231F20"/>
          <w:spacing w:val="-16"/>
          <w:w w:val="105"/>
        </w:rPr>
        <w:t xml:space="preserve"> </w:t>
      </w:r>
      <w:r>
        <w:rPr>
          <w:color w:val="231F20"/>
          <w:w w:val="105"/>
        </w:rPr>
        <w:t>of the</w:t>
      </w:r>
      <w:r>
        <w:rPr>
          <w:color w:val="231F20"/>
          <w:spacing w:val="-13"/>
          <w:w w:val="105"/>
        </w:rPr>
        <w:t xml:space="preserve"> </w:t>
      </w:r>
      <w:r>
        <w:rPr>
          <w:color w:val="231F20"/>
          <w:w w:val="105"/>
        </w:rPr>
        <w:t>“euro-terrorism”</w:t>
      </w:r>
      <w:r>
        <w:rPr>
          <w:color w:val="231F20"/>
          <w:spacing w:val="-13"/>
          <w:w w:val="105"/>
        </w:rPr>
        <w:t xml:space="preserve"> </w:t>
      </w:r>
      <w:r>
        <w:rPr>
          <w:color w:val="231F20"/>
          <w:w w:val="105"/>
        </w:rPr>
        <w:t>of</w:t>
      </w:r>
      <w:r>
        <w:rPr>
          <w:color w:val="231F20"/>
          <w:spacing w:val="-13"/>
          <w:w w:val="105"/>
        </w:rPr>
        <w:t xml:space="preserve"> </w:t>
      </w:r>
      <w:r>
        <w:rPr>
          <w:color w:val="231F20"/>
          <w:w w:val="105"/>
        </w:rPr>
        <w:t>the</w:t>
      </w:r>
      <w:r>
        <w:rPr>
          <w:color w:val="231F20"/>
          <w:spacing w:val="-12"/>
          <w:w w:val="105"/>
        </w:rPr>
        <w:t xml:space="preserve"> </w:t>
      </w:r>
      <w:r>
        <w:rPr>
          <w:color w:val="231F20"/>
          <w:spacing w:val="-3"/>
          <w:w w:val="105"/>
        </w:rPr>
        <w:t>1970s</w:t>
      </w:r>
      <w:r>
        <w:rPr>
          <w:color w:val="231F20"/>
          <w:spacing w:val="-13"/>
          <w:w w:val="105"/>
        </w:rPr>
        <w:t xml:space="preserve"> </w:t>
      </w:r>
      <w:r>
        <w:rPr>
          <w:color w:val="231F20"/>
          <w:w w:val="105"/>
        </w:rPr>
        <w:t>and</w:t>
      </w:r>
      <w:r>
        <w:rPr>
          <w:color w:val="231F20"/>
          <w:spacing w:val="-12"/>
          <w:w w:val="105"/>
        </w:rPr>
        <w:t xml:space="preserve"> </w:t>
      </w:r>
      <w:r>
        <w:rPr>
          <w:color w:val="231F20"/>
          <w:w w:val="105"/>
        </w:rPr>
        <w:t>80s,</w:t>
      </w:r>
      <w:r>
        <w:rPr>
          <w:color w:val="231F20"/>
          <w:spacing w:val="-13"/>
          <w:w w:val="105"/>
        </w:rPr>
        <w:t xml:space="preserve"> </w:t>
      </w:r>
      <w:r>
        <w:rPr>
          <w:color w:val="231F20"/>
          <w:w w:val="105"/>
        </w:rPr>
        <w:t>yet</w:t>
      </w:r>
      <w:r>
        <w:rPr>
          <w:color w:val="231F20"/>
          <w:spacing w:val="-13"/>
          <w:w w:val="105"/>
        </w:rPr>
        <w:t xml:space="preserve"> </w:t>
      </w:r>
      <w:r>
        <w:rPr>
          <w:color w:val="231F20"/>
          <w:w w:val="105"/>
        </w:rPr>
        <w:t>like</w:t>
      </w:r>
      <w:r>
        <w:rPr>
          <w:color w:val="231F20"/>
          <w:spacing w:val="-13"/>
          <w:w w:val="105"/>
        </w:rPr>
        <w:t xml:space="preserve"> </w:t>
      </w:r>
      <w:r>
        <w:rPr>
          <w:color w:val="231F20"/>
          <w:w w:val="105"/>
        </w:rPr>
        <w:t>so</w:t>
      </w:r>
      <w:r>
        <w:rPr>
          <w:color w:val="231F20"/>
          <w:spacing w:val="-13"/>
          <w:w w:val="105"/>
        </w:rPr>
        <w:t xml:space="preserve"> </w:t>
      </w:r>
      <w:r>
        <w:rPr>
          <w:color w:val="231F20"/>
          <w:w w:val="105"/>
        </w:rPr>
        <w:t>many</w:t>
      </w:r>
      <w:r>
        <w:rPr>
          <w:color w:val="231F20"/>
          <w:spacing w:val="-13"/>
          <w:w w:val="105"/>
        </w:rPr>
        <w:t xml:space="preserve"> </w:t>
      </w:r>
      <w:r>
        <w:rPr>
          <w:color w:val="231F20"/>
          <w:w w:val="105"/>
        </w:rPr>
        <w:t>things</w:t>
      </w:r>
      <w:r>
        <w:rPr>
          <w:color w:val="231F20"/>
          <w:spacing w:val="-13"/>
          <w:w w:val="105"/>
        </w:rPr>
        <w:t xml:space="preserve"> </w:t>
      </w:r>
      <w:r>
        <w:rPr>
          <w:color w:val="231F20"/>
          <w:w w:val="105"/>
        </w:rPr>
        <w:t>that are</w:t>
      </w:r>
      <w:r>
        <w:rPr>
          <w:color w:val="231F20"/>
          <w:spacing w:val="-6"/>
          <w:w w:val="105"/>
        </w:rPr>
        <w:t xml:space="preserve"> </w:t>
      </w:r>
      <w:r>
        <w:rPr>
          <w:color w:val="231F20"/>
          <w:w w:val="105"/>
        </w:rPr>
        <w:t>emblematic,</w:t>
      </w:r>
      <w:r>
        <w:rPr>
          <w:color w:val="231F20"/>
          <w:spacing w:val="-6"/>
          <w:w w:val="105"/>
        </w:rPr>
        <w:t xml:space="preserve"> </w:t>
      </w:r>
      <w:r>
        <w:rPr>
          <w:color w:val="231F20"/>
          <w:w w:val="105"/>
        </w:rPr>
        <w:t>it</w:t>
      </w:r>
      <w:r>
        <w:rPr>
          <w:color w:val="231F20"/>
          <w:spacing w:val="-6"/>
          <w:w w:val="105"/>
        </w:rPr>
        <w:t xml:space="preserve"> </w:t>
      </w:r>
      <w:r>
        <w:rPr>
          <w:color w:val="231F20"/>
          <w:w w:val="105"/>
        </w:rPr>
        <w:t>was</w:t>
      </w:r>
      <w:r>
        <w:rPr>
          <w:color w:val="231F20"/>
          <w:spacing w:val="-6"/>
          <w:w w:val="105"/>
        </w:rPr>
        <w:t xml:space="preserve"> </w:t>
      </w:r>
      <w:r>
        <w:rPr>
          <w:color w:val="231F20"/>
          <w:w w:val="105"/>
        </w:rPr>
        <w:t>never</w:t>
      </w:r>
      <w:r>
        <w:rPr>
          <w:color w:val="231F20"/>
          <w:spacing w:val="-6"/>
          <w:w w:val="105"/>
        </w:rPr>
        <w:t xml:space="preserve"> </w:t>
      </w:r>
      <w:r>
        <w:rPr>
          <w:color w:val="231F20"/>
          <w:w w:val="105"/>
        </w:rPr>
        <w:t>typical</w:t>
      </w:r>
      <w:r>
        <w:rPr>
          <w:color w:val="231F20"/>
          <w:spacing w:val="-6"/>
          <w:w w:val="105"/>
        </w:rPr>
        <w:t xml:space="preserve"> </w:t>
      </w:r>
      <w:r>
        <w:rPr>
          <w:color w:val="231F20"/>
          <w:w w:val="105"/>
        </w:rPr>
        <w:t>of</w:t>
      </w:r>
      <w:r>
        <w:rPr>
          <w:color w:val="231F20"/>
          <w:spacing w:val="-6"/>
          <w:w w:val="105"/>
        </w:rPr>
        <w:t xml:space="preserve"> </w:t>
      </w:r>
      <w:r>
        <w:rPr>
          <w:color w:val="231F20"/>
          <w:w w:val="105"/>
        </w:rPr>
        <w:t>that</w:t>
      </w:r>
      <w:r>
        <w:rPr>
          <w:color w:val="231F20"/>
          <w:spacing w:val="-6"/>
          <w:w w:val="105"/>
        </w:rPr>
        <w:t xml:space="preserve"> </w:t>
      </w:r>
      <w:r>
        <w:rPr>
          <w:color w:val="231F20"/>
          <w:w w:val="105"/>
        </w:rPr>
        <w:t>which</w:t>
      </w:r>
      <w:r>
        <w:rPr>
          <w:color w:val="231F20"/>
          <w:spacing w:val="-6"/>
          <w:w w:val="105"/>
        </w:rPr>
        <w:t xml:space="preserve"> </w:t>
      </w:r>
      <w:r>
        <w:rPr>
          <w:color w:val="231F20"/>
          <w:w w:val="105"/>
        </w:rPr>
        <w:t>it</w:t>
      </w:r>
      <w:r>
        <w:rPr>
          <w:color w:val="231F20"/>
          <w:spacing w:val="-6"/>
          <w:w w:val="105"/>
        </w:rPr>
        <w:t xml:space="preserve"> </w:t>
      </w:r>
      <w:r>
        <w:rPr>
          <w:color w:val="231F20"/>
          <w:w w:val="105"/>
        </w:rPr>
        <w:t>represented.</w:t>
      </w:r>
    </w:p>
    <w:p w14:paraId="33DC0E45" w14:textId="77777777" w:rsidR="002653E8" w:rsidRDefault="003115E3">
      <w:pPr>
        <w:pStyle w:val="a3"/>
        <w:spacing w:line="264" w:lineRule="auto"/>
        <w:ind w:left="1327" w:right="1145" w:firstLine="210"/>
        <w:jc w:val="both"/>
      </w:pPr>
      <w:r>
        <w:rPr>
          <w:color w:val="231F20"/>
          <w:spacing w:val="1"/>
        </w:rPr>
        <w:t xml:space="preserve">In </w:t>
      </w:r>
      <w:r>
        <w:rPr>
          <w:color w:val="231F20"/>
        </w:rPr>
        <w:t xml:space="preserve">its halcyon days, many people considered the guerilla a legitimate political force, and one can read reports of soccer fans wearing </w:t>
      </w:r>
      <w:r w:rsidR="00C507A5">
        <w:rPr>
          <w:color w:val="231F20"/>
          <w:spacing w:val="5"/>
        </w:rPr>
        <w:t>red army faction</w:t>
      </w:r>
      <w:r>
        <w:rPr>
          <w:color w:val="231F20"/>
          <w:spacing w:val="5"/>
        </w:rPr>
        <w:t xml:space="preserve"> </w:t>
      </w:r>
      <w:r>
        <w:rPr>
          <w:color w:val="231F20"/>
        </w:rPr>
        <w:t xml:space="preserve">insignia and of young people secretly keeping photos clipped from wanted posters in their wallets. As this naïve and romantic honeymoon period faded, the group became the object of mass hatred and hysteria, the most egregious example of things going “too </w:t>
      </w:r>
      <w:r>
        <w:rPr>
          <w:color w:val="231F20"/>
          <w:spacing w:val="-3"/>
        </w:rPr>
        <w:t xml:space="preserve">far,”  </w:t>
      </w:r>
      <w:r>
        <w:rPr>
          <w:color w:val="231F20"/>
        </w:rPr>
        <w:t>of  people  “losing their moral</w:t>
      </w:r>
      <w:r>
        <w:rPr>
          <w:color w:val="231F20"/>
          <w:spacing w:val="21"/>
        </w:rPr>
        <w:t xml:space="preserve"> </w:t>
      </w:r>
      <w:r>
        <w:rPr>
          <w:color w:val="231F20"/>
        </w:rPr>
        <w:t>compass.”</w:t>
      </w:r>
    </w:p>
    <w:p w14:paraId="1C1C2D95" w14:textId="77777777" w:rsidR="002653E8" w:rsidRDefault="003115E3">
      <w:pPr>
        <w:pStyle w:val="a3"/>
        <w:spacing w:line="264" w:lineRule="auto"/>
        <w:ind w:left="1328" w:right="1145" w:firstLine="210"/>
        <w:jc w:val="both"/>
      </w:pPr>
      <w:r>
        <w:rPr>
          <w:color w:val="231F20"/>
        </w:rPr>
        <w:t xml:space="preserve">As with any powerful symbol, for much of its history what seemed most important about the </w:t>
      </w:r>
      <w:r w:rsidR="00C507A5">
        <w:rPr>
          <w:color w:val="231F20"/>
        </w:rPr>
        <w:t>red army faction</w:t>
      </w:r>
      <w:r>
        <w:rPr>
          <w:color w:val="231F20"/>
        </w:rPr>
        <w:t xml:space="preserve"> was what people thought about it. For many, fascination with the group grew out of a fascination with its founding members. In the 1960s, Ulrike Meinhof was already a well known journalist who seemed able to combine radical politics with an increasingly successful career. At the same time, Andreas Baader had </w:t>
      </w:r>
      <w:r>
        <w:rPr>
          <w:color w:val="231F20"/>
        </w:rPr>
        <w:lastRenderedPageBreak/>
        <w:t>a</w:t>
      </w:r>
    </w:p>
    <w:p w14:paraId="000D6FAB" w14:textId="77777777" w:rsidR="002653E8" w:rsidRDefault="002653E8">
      <w:pPr>
        <w:spacing w:line="264" w:lineRule="auto"/>
        <w:jc w:val="both"/>
        <w:sectPr w:rsidR="002653E8">
          <w:pgSz w:w="8640" w:h="12960"/>
          <w:pgMar w:top="1220" w:right="0" w:bottom="1040" w:left="0" w:header="0" w:footer="850" w:gutter="0"/>
          <w:cols w:space="720"/>
        </w:sectPr>
      </w:pPr>
    </w:p>
    <w:p w14:paraId="1E81B1FD" w14:textId="77777777" w:rsidR="002653E8" w:rsidRDefault="003115E3">
      <w:pPr>
        <w:pStyle w:val="a3"/>
        <w:spacing w:before="86" w:line="264" w:lineRule="auto"/>
        <w:ind w:left="1147" w:right="1327"/>
        <w:jc w:val="both"/>
      </w:pPr>
      <w:r>
        <w:rPr>
          <w:color w:val="231F20"/>
        </w:rPr>
        <w:lastRenderedPageBreak/>
        <w:t>reputation for being the charming rogue of the Berlin hipster scene, his panache enhanced as he and a group of his friends were brought to trial for firebombing a Frankfurt department store.</w:t>
      </w:r>
    </w:p>
    <w:p w14:paraId="7095F998" w14:textId="77777777" w:rsidR="002653E8" w:rsidRDefault="003115E3">
      <w:pPr>
        <w:pStyle w:val="a3"/>
        <w:spacing w:line="264" w:lineRule="auto"/>
        <w:ind w:left="1147" w:right="1326" w:firstLine="210"/>
        <w:jc w:val="both"/>
      </w:pPr>
      <w:r>
        <w:rPr>
          <w:color w:val="231F20"/>
          <w:w w:val="105"/>
        </w:rPr>
        <w:t>People may not have agreed with what they did next, or with why they did it, but if nothing else, the misnamed “Baader-Meinhof Gang” had</w:t>
      </w:r>
      <w:r>
        <w:rPr>
          <w:color w:val="231F20"/>
          <w:spacing w:val="-10"/>
          <w:w w:val="105"/>
        </w:rPr>
        <w:t xml:space="preserve"> </w:t>
      </w:r>
      <w:r>
        <w:rPr>
          <w:color w:val="231F20"/>
          <w:w w:val="105"/>
        </w:rPr>
        <w:t>style,</w:t>
      </w:r>
      <w:r>
        <w:rPr>
          <w:color w:val="231F20"/>
          <w:spacing w:val="-10"/>
          <w:w w:val="105"/>
        </w:rPr>
        <w:t xml:space="preserve"> </w:t>
      </w:r>
      <w:r>
        <w:rPr>
          <w:color w:val="231F20"/>
          <w:w w:val="105"/>
        </w:rPr>
        <w:t>and</w:t>
      </w:r>
      <w:r>
        <w:rPr>
          <w:color w:val="231F20"/>
          <w:spacing w:val="-10"/>
          <w:w w:val="105"/>
        </w:rPr>
        <w:t xml:space="preserve"> </w:t>
      </w:r>
      <w:r>
        <w:rPr>
          <w:color w:val="231F20"/>
          <w:w w:val="105"/>
        </w:rPr>
        <w:t>as</w:t>
      </w:r>
      <w:r>
        <w:rPr>
          <w:color w:val="231F20"/>
          <w:spacing w:val="-10"/>
          <w:w w:val="105"/>
        </w:rPr>
        <w:t xml:space="preserve"> </w:t>
      </w:r>
      <w:r>
        <w:rPr>
          <w:color w:val="231F20"/>
          <w:w w:val="105"/>
        </w:rPr>
        <w:t>the</w:t>
      </w:r>
      <w:r>
        <w:rPr>
          <w:color w:val="231F20"/>
          <w:spacing w:val="-10"/>
          <w:w w:val="105"/>
        </w:rPr>
        <w:t xml:space="preserve"> </w:t>
      </w:r>
      <w:r>
        <w:rPr>
          <w:color w:val="231F20"/>
          <w:w w:val="105"/>
        </w:rPr>
        <w:t>media</w:t>
      </w:r>
      <w:r>
        <w:rPr>
          <w:color w:val="231F20"/>
          <w:spacing w:val="-10"/>
          <w:w w:val="105"/>
        </w:rPr>
        <w:t xml:space="preserve"> </w:t>
      </w:r>
      <w:r>
        <w:rPr>
          <w:color w:val="231F20"/>
          <w:w w:val="105"/>
        </w:rPr>
        <w:t>played</w:t>
      </w:r>
      <w:r>
        <w:rPr>
          <w:color w:val="231F20"/>
          <w:spacing w:val="-10"/>
          <w:w w:val="105"/>
        </w:rPr>
        <w:t xml:space="preserve"> </w:t>
      </w:r>
      <w:r>
        <w:rPr>
          <w:color w:val="231F20"/>
          <w:w w:val="105"/>
        </w:rPr>
        <w:t>up</w:t>
      </w:r>
      <w:r>
        <w:rPr>
          <w:color w:val="231F20"/>
          <w:spacing w:val="-10"/>
          <w:w w:val="105"/>
        </w:rPr>
        <w:t xml:space="preserve"> </w:t>
      </w:r>
      <w:r>
        <w:rPr>
          <w:color w:val="231F20"/>
          <w:w w:val="105"/>
        </w:rPr>
        <w:t>every</w:t>
      </w:r>
      <w:r>
        <w:rPr>
          <w:color w:val="231F20"/>
          <w:spacing w:val="-10"/>
          <w:w w:val="105"/>
        </w:rPr>
        <w:t xml:space="preserve"> </w:t>
      </w:r>
      <w:r>
        <w:rPr>
          <w:color w:val="231F20"/>
          <w:w w:val="105"/>
        </w:rPr>
        <w:t>detail</w:t>
      </w:r>
      <w:r>
        <w:rPr>
          <w:color w:val="231F20"/>
          <w:spacing w:val="-10"/>
          <w:w w:val="105"/>
        </w:rPr>
        <w:t xml:space="preserve"> </w:t>
      </w:r>
      <w:r>
        <w:rPr>
          <w:color w:val="231F20"/>
          <w:w w:val="105"/>
        </w:rPr>
        <w:t>and</w:t>
      </w:r>
      <w:r>
        <w:rPr>
          <w:color w:val="231F20"/>
          <w:spacing w:val="-10"/>
          <w:w w:val="105"/>
        </w:rPr>
        <w:t xml:space="preserve"> </w:t>
      </w:r>
      <w:r>
        <w:rPr>
          <w:color w:val="231F20"/>
          <w:w w:val="105"/>
        </w:rPr>
        <w:t>the</w:t>
      </w:r>
      <w:r>
        <w:rPr>
          <w:color w:val="231F20"/>
          <w:spacing w:val="-10"/>
          <w:w w:val="105"/>
        </w:rPr>
        <w:t xml:space="preserve"> </w:t>
      </w:r>
      <w:r>
        <w:rPr>
          <w:color w:val="231F20"/>
          <w:w w:val="105"/>
        </w:rPr>
        <w:t>old</w:t>
      </w:r>
      <w:r>
        <w:rPr>
          <w:color w:val="231F20"/>
          <w:spacing w:val="-10"/>
          <w:w w:val="105"/>
        </w:rPr>
        <w:t xml:space="preserve"> </w:t>
      </w:r>
      <w:r>
        <w:rPr>
          <w:color w:val="231F20"/>
          <w:w w:val="105"/>
        </w:rPr>
        <w:t>fogies</w:t>
      </w:r>
      <w:r>
        <w:rPr>
          <w:color w:val="231F20"/>
          <w:spacing w:val="-10"/>
          <w:w w:val="105"/>
        </w:rPr>
        <w:t xml:space="preserve"> </w:t>
      </w:r>
      <w:r>
        <w:rPr>
          <w:color w:val="231F20"/>
          <w:w w:val="105"/>
        </w:rPr>
        <w:t>in power</w:t>
      </w:r>
      <w:r>
        <w:rPr>
          <w:color w:val="231F20"/>
          <w:spacing w:val="-15"/>
          <w:w w:val="105"/>
        </w:rPr>
        <w:t xml:space="preserve"> </w:t>
      </w:r>
      <w:r>
        <w:rPr>
          <w:color w:val="231F20"/>
          <w:w w:val="105"/>
        </w:rPr>
        <w:t>got</w:t>
      </w:r>
      <w:r>
        <w:rPr>
          <w:color w:val="231F20"/>
          <w:spacing w:val="-15"/>
          <w:w w:val="105"/>
        </w:rPr>
        <w:t xml:space="preserve"> </w:t>
      </w:r>
      <w:r>
        <w:rPr>
          <w:color w:val="231F20"/>
          <w:w w:val="105"/>
        </w:rPr>
        <w:t>more</w:t>
      </w:r>
      <w:r>
        <w:rPr>
          <w:color w:val="231F20"/>
          <w:spacing w:val="-15"/>
          <w:w w:val="105"/>
        </w:rPr>
        <w:t xml:space="preserve"> </w:t>
      </w:r>
      <w:r>
        <w:rPr>
          <w:color w:val="231F20"/>
          <w:w w:val="105"/>
        </w:rPr>
        <w:t>and</w:t>
      </w:r>
      <w:r>
        <w:rPr>
          <w:color w:val="231F20"/>
          <w:spacing w:val="-15"/>
          <w:w w:val="105"/>
        </w:rPr>
        <w:t xml:space="preserve"> </w:t>
      </w:r>
      <w:r>
        <w:rPr>
          <w:color w:val="231F20"/>
          <w:w w:val="105"/>
        </w:rPr>
        <w:t>more</w:t>
      </w:r>
      <w:r>
        <w:rPr>
          <w:color w:val="231F20"/>
          <w:spacing w:val="-15"/>
          <w:w w:val="105"/>
        </w:rPr>
        <w:t xml:space="preserve"> </w:t>
      </w:r>
      <w:r>
        <w:rPr>
          <w:color w:val="231F20"/>
          <w:w w:val="105"/>
        </w:rPr>
        <w:t>freaked</w:t>
      </w:r>
      <w:r>
        <w:rPr>
          <w:color w:val="231F20"/>
          <w:spacing w:val="-15"/>
          <w:w w:val="105"/>
        </w:rPr>
        <w:t xml:space="preserve"> </w:t>
      </w:r>
      <w:r>
        <w:rPr>
          <w:color w:val="231F20"/>
          <w:w w:val="105"/>
        </w:rPr>
        <w:t>out,</w:t>
      </w:r>
      <w:r>
        <w:rPr>
          <w:color w:val="231F20"/>
          <w:spacing w:val="-15"/>
          <w:w w:val="105"/>
        </w:rPr>
        <w:t xml:space="preserve"> </w:t>
      </w:r>
      <w:r>
        <w:rPr>
          <w:color w:val="231F20"/>
          <w:w w:val="105"/>
        </w:rPr>
        <w:t>they</w:t>
      </w:r>
      <w:r>
        <w:rPr>
          <w:color w:val="231F20"/>
          <w:spacing w:val="-15"/>
          <w:w w:val="105"/>
        </w:rPr>
        <w:t xml:space="preserve"> </w:t>
      </w:r>
      <w:r>
        <w:rPr>
          <w:color w:val="231F20"/>
          <w:w w:val="105"/>
        </w:rPr>
        <w:t>were</w:t>
      </w:r>
      <w:r>
        <w:rPr>
          <w:color w:val="231F20"/>
          <w:spacing w:val="-15"/>
          <w:w w:val="105"/>
        </w:rPr>
        <w:t xml:space="preserve"> </w:t>
      </w:r>
      <w:r>
        <w:rPr>
          <w:color w:val="231F20"/>
          <w:w w:val="105"/>
        </w:rPr>
        <w:t>briefly</w:t>
      </w:r>
      <w:r>
        <w:rPr>
          <w:color w:val="231F20"/>
          <w:spacing w:val="-15"/>
          <w:w w:val="105"/>
        </w:rPr>
        <w:t xml:space="preserve"> </w:t>
      </w:r>
      <w:r>
        <w:rPr>
          <w:color w:val="231F20"/>
          <w:w w:val="105"/>
        </w:rPr>
        <w:t>loved</w:t>
      </w:r>
      <w:r>
        <w:rPr>
          <w:color w:val="231F20"/>
          <w:spacing w:val="-15"/>
          <w:w w:val="105"/>
        </w:rPr>
        <w:t xml:space="preserve"> </w:t>
      </w:r>
      <w:r>
        <w:rPr>
          <w:color w:val="231F20"/>
          <w:w w:val="105"/>
        </w:rPr>
        <w:t>for</w:t>
      </w:r>
      <w:r>
        <w:rPr>
          <w:color w:val="231F20"/>
          <w:spacing w:val="-15"/>
          <w:w w:val="105"/>
        </w:rPr>
        <w:t xml:space="preserve"> </w:t>
      </w:r>
      <w:r>
        <w:rPr>
          <w:color w:val="231F20"/>
          <w:w w:val="105"/>
        </w:rPr>
        <w:t>simply being the most hardcore urban guerillas</w:t>
      </w:r>
      <w:r>
        <w:rPr>
          <w:color w:val="231F20"/>
          <w:spacing w:val="21"/>
          <w:w w:val="105"/>
        </w:rPr>
        <w:t xml:space="preserve"> </w:t>
      </w:r>
      <w:r>
        <w:rPr>
          <w:color w:val="231F20"/>
          <w:w w:val="105"/>
        </w:rPr>
        <w:t>around.</w:t>
      </w:r>
    </w:p>
    <w:p w14:paraId="44953D05" w14:textId="77777777" w:rsidR="002653E8" w:rsidRDefault="003115E3">
      <w:pPr>
        <w:pStyle w:val="a3"/>
        <w:spacing w:line="264" w:lineRule="auto"/>
        <w:ind w:left="1147" w:right="1326" w:firstLine="210"/>
        <w:jc w:val="both"/>
      </w:pPr>
      <w:r>
        <w:rPr>
          <w:color w:val="231F20"/>
        </w:rPr>
        <w:t xml:space="preserve">Much could be written about this bizarre fascination, this production of </w:t>
      </w:r>
      <w:r>
        <w:rPr>
          <w:i/>
          <w:color w:val="231F20"/>
          <w:spacing w:val="1"/>
        </w:rPr>
        <w:t xml:space="preserve">guerilla </w:t>
      </w:r>
      <w:r>
        <w:rPr>
          <w:i/>
          <w:color w:val="231F20"/>
        </w:rPr>
        <w:t>cachet</w:t>
      </w:r>
      <w:r>
        <w:rPr>
          <w:color w:val="231F20"/>
        </w:rPr>
        <w:t>, but to do so would be to write a cultural history, and we intend something else</w:t>
      </w:r>
      <w:r>
        <w:rPr>
          <w:color w:val="231F20"/>
          <w:spacing w:val="6"/>
        </w:rPr>
        <w:t xml:space="preserve"> </w:t>
      </w:r>
      <w:r>
        <w:rPr>
          <w:color w:val="231F20"/>
        </w:rPr>
        <w:t>altogether.</w:t>
      </w:r>
    </w:p>
    <w:p w14:paraId="2C52CBF3" w14:textId="77777777" w:rsidR="002653E8" w:rsidRDefault="003115E3">
      <w:pPr>
        <w:pStyle w:val="a3"/>
        <w:spacing w:line="264" w:lineRule="auto"/>
        <w:ind w:left="1147" w:right="1326" w:firstLine="210"/>
        <w:jc w:val="both"/>
      </w:pPr>
      <w:r>
        <w:rPr>
          <w:color w:val="231F20"/>
        </w:rPr>
        <w:t xml:space="preserve">Except in passing, these books will not deal with the private lives or personalities of the </w:t>
      </w:r>
      <w:r w:rsidR="00C507A5">
        <w:rPr>
          <w:color w:val="231F20"/>
          <w:spacing w:val="5"/>
        </w:rPr>
        <w:t>red army faction</w:t>
      </w:r>
      <w:r>
        <w:rPr>
          <w:color w:val="231F20"/>
          <w:spacing w:val="5"/>
        </w:rPr>
        <w:t xml:space="preserve"> </w:t>
      </w:r>
      <w:r>
        <w:rPr>
          <w:color w:val="231F20"/>
        </w:rPr>
        <w:t xml:space="preserve">combatants. How the guerillas got along with their parents, friends, or each other is not really our concern. </w:t>
      </w:r>
      <w:r>
        <w:rPr>
          <w:color w:val="231F20"/>
          <w:spacing w:val="-5"/>
        </w:rPr>
        <w:t xml:space="preserve">We </w:t>
      </w:r>
      <w:r>
        <w:rPr>
          <w:color w:val="231F20"/>
        </w:rPr>
        <w:t xml:space="preserve">will not concentrate on the kind of cars they liked or their taste in music or what kind of childhood they had. </w:t>
      </w:r>
      <w:r>
        <w:rPr>
          <w:color w:val="231F20"/>
          <w:spacing w:val="-5"/>
        </w:rPr>
        <w:t xml:space="preserve">We </w:t>
      </w:r>
      <w:r>
        <w:rPr>
          <w:color w:val="231F20"/>
        </w:rPr>
        <w:t xml:space="preserve">will not guess at who was “nice” and who was a </w:t>
      </w:r>
      <w:r>
        <w:rPr>
          <w:color w:val="231F20"/>
          <w:spacing w:val="-3"/>
        </w:rPr>
        <w:t xml:space="preserve">“prick,” </w:t>
      </w:r>
      <w:r>
        <w:rPr>
          <w:color w:val="231F20"/>
        </w:rPr>
        <w:t>or go over who slept with whom, or catalog the names</w:t>
      </w:r>
      <w:r>
        <w:rPr>
          <w:color w:val="231F20"/>
          <w:spacing w:val="8"/>
        </w:rPr>
        <w:t xml:space="preserve"> </w:t>
      </w:r>
      <w:r>
        <w:rPr>
          <w:color w:val="231F20"/>
        </w:rPr>
        <w:t>people</w:t>
      </w:r>
      <w:r>
        <w:rPr>
          <w:color w:val="231F20"/>
          <w:spacing w:val="8"/>
        </w:rPr>
        <w:t xml:space="preserve"> </w:t>
      </w:r>
      <w:r>
        <w:rPr>
          <w:color w:val="231F20"/>
        </w:rPr>
        <w:t>called</w:t>
      </w:r>
      <w:r>
        <w:rPr>
          <w:color w:val="231F20"/>
          <w:spacing w:val="8"/>
        </w:rPr>
        <w:t xml:space="preserve"> </w:t>
      </w:r>
      <w:r>
        <w:rPr>
          <w:color w:val="231F20"/>
        </w:rPr>
        <w:t>each</w:t>
      </w:r>
      <w:r>
        <w:rPr>
          <w:color w:val="231F20"/>
          <w:spacing w:val="8"/>
        </w:rPr>
        <w:t xml:space="preserve"> </w:t>
      </w:r>
      <w:r>
        <w:rPr>
          <w:color w:val="231F20"/>
        </w:rPr>
        <w:t>other</w:t>
      </w:r>
      <w:r>
        <w:rPr>
          <w:color w:val="231F20"/>
          <w:spacing w:val="8"/>
        </w:rPr>
        <w:t xml:space="preserve"> </w:t>
      </w:r>
      <w:r>
        <w:rPr>
          <w:color w:val="231F20"/>
        </w:rPr>
        <w:t>when</w:t>
      </w:r>
      <w:r>
        <w:rPr>
          <w:color w:val="231F20"/>
          <w:spacing w:val="8"/>
        </w:rPr>
        <w:t xml:space="preserve"> </w:t>
      </w:r>
      <w:r>
        <w:rPr>
          <w:color w:val="231F20"/>
        </w:rPr>
        <w:t>they</w:t>
      </w:r>
      <w:r>
        <w:rPr>
          <w:color w:val="231F20"/>
          <w:spacing w:val="8"/>
        </w:rPr>
        <w:t xml:space="preserve"> </w:t>
      </w:r>
      <w:r>
        <w:rPr>
          <w:color w:val="231F20"/>
        </w:rPr>
        <w:t>were</w:t>
      </w:r>
      <w:r>
        <w:rPr>
          <w:color w:val="231F20"/>
          <w:spacing w:val="8"/>
        </w:rPr>
        <w:t xml:space="preserve"> </w:t>
      </w:r>
      <w:r>
        <w:rPr>
          <w:color w:val="231F20"/>
        </w:rPr>
        <w:t>arguing.</w:t>
      </w:r>
    </w:p>
    <w:p w14:paraId="7F66E8AA" w14:textId="77777777" w:rsidR="002653E8" w:rsidRDefault="003115E3">
      <w:pPr>
        <w:pStyle w:val="a3"/>
        <w:spacing w:line="264" w:lineRule="auto"/>
        <w:ind w:left="1147" w:right="1326" w:firstLine="210"/>
        <w:jc w:val="both"/>
      </w:pPr>
      <w:r>
        <w:rPr>
          <w:color w:val="231F20"/>
          <w:spacing w:val="-8"/>
        </w:rPr>
        <w:t xml:space="preserve">To </w:t>
      </w:r>
      <w:r>
        <w:rPr>
          <w:color w:val="231F20"/>
        </w:rPr>
        <w:t xml:space="preserve">have to provide such a disclaimer may seem absurd, for most political histories pass over such details as a matter of course. </w:t>
      </w:r>
      <w:r>
        <w:rPr>
          <w:color w:val="231F20"/>
          <w:spacing w:val="-3"/>
        </w:rPr>
        <w:t xml:space="preserve">yet, </w:t>
      </w:r>
      <w:r>
        <w:rPr>
          <w:color w:val="231F20"/>
        </w:rPr>
        <w:t xml:space="preserve">a brief survey of the few books available about the </w:t>
      </w:r>
      <w:r w:rsidR="00C507A5">
        <w:rPr>
          <w:color w:val="231F20"/>
          <w:spacing w:val="5"/>
        </w:rPr>
        <w:t>red army faction</w:t>
      </w:r>
      <w:r>
        <w:rPr>
          <w:color w:val="231F20"/>
          <w:spacing w:val="5"/>
        </w:rPr>
        <w:t xml:space="preserve"> </w:t>
      </w:r>
      <w:r>
        <w:rPr>
          <w:color w:val="231F20"/>
        </w:rPr>
        <w:t xml:space="preserve">will show that these questions have been the major preoccupation of almost anyone who has approached this subject. Nor are we unaware of the point that the </w:t>
      </w:r>
      <w:r w:rsidR="00C507A5">
        <w:rPr>
          <w:color w:val="231F20"/>
          <w:spacing w:val="5"/>
        </w:rPr>
        <w:t>red army faction</w:t>
      </w:r>
      <w:r>
        <w:rPr>
          <w:color w:val="231F20"/>
          <w:spacing w:val="5"/>
        </w:rPr>
        <w:t xml:space="preserve"> </w:t>
      </w:r>
      <w:r>
        <w:rPr>
          <w:color w:val="231F20"/>
        </w:rPr>
        <w:t xml:space="preserve">prisoners themselves would make on more than one occasion: that efforts to explain their actions in psychological terms were part     of a conscious state strategy of pathologizing them and their politics,    or at least shifting people’s attention onto trivial and often fabricated personal details. While there are things we consider mistaken in the </w:t>
      </w:r>
      <w:r w:rsidR="00C507A5">
        <w:rPr>
          <w:color w:val="231F20"/>
          <w:spacing w:val="1"/>
        </w:rPr>
        <w:t>red army faction</w:t>
      </w:r>
      <w:r>
        <w:rPr>
          <w:color w:val="231F20"/>
          <w:spacing w:val="1"/>
        </w:rPr>
        <w:t xml:space="preserve">’s </w:t>
      </w:r>
      <w:r>
        <w:rPr>
          <w:color w:val="231F20"/>
        </w:rPr>
        <w:t>broader analysis, on this question they appear to have been  100</w:t>
      </w:r>
      <w:r>
        <w:rPr>
          <w:color w:val="231F20"/>
          <w:sz w:val="16"/>
        </w:rPr>
        <w:t>%</w:t>
      </w:r>
      <w:r>
        <w:rPr>
          <w:color w:val="231F20"/>
          <w:spacing w:val="8"/>
          <w:sz w:val="16"/>
        </w:rPr>
        <w:t xml:space="preserve"> </w:t>
      </w:r>
      <w:r>
        <w:rPr>
          <w:color w:val="231F20"/>
        </w:rPr>
        <w:t>correct.</w:t>
      </w:r>
    </w:p>
    <w:p w14:paraId="29F8B539" w14:textId="77777777" w:rsidR="002653E8" w:rsidRDefault="003115E3">
      <w:pPr>
        <w:pStyle w:val="a3"/>
        <w:spacing w:line="222" w:lineRule="exact"/>
        <w:ind w:left="1357"/>
      </w:pPr>
      <w:r>
        <w:rPr>
          <w:color w:val="231F20"/>
        </w:rPr>
        <w:t xml:space="preserve">While the personal may be political, we believe that the </w:t>
      </w:r>
      <w:r w:rsidR="00C507A5">
        <w:rPr>
          <w:color w:val="231F20"/>
        </w:rPr>
        <w:t>red army faction</w:t>
      </w:r>
      <w:r>
        <w:rPr>
          <w:color w:val="231F20"/>
        </w:rPr>
        <w:t>’s great-</w:t>
      </w:r>
    </w:p>
    <w:p w14:paraId="454D2219" w14:textId="77777777" w:rsidR="002653E8" w:rsidRDefault="003115E3">
      <w:pPr>
        <w:pStyle w:val="a3"/>
        <w:spacing w:before="3" w:line="264" w:lineRule="auto"/>
        <w:ind w:left="1148" w:right="1325"/>
        <w:jc w:val="both"/>
      </w:pPr>
      <w:r>
        <w:rPr>
          <w:color w:val="231F20"/>
        </w:rPr>
        <w:t xml:space="preserve">est significance is not to be found in the part it played in the individual lives of its members or supporters. Rather, to appreciate what it was and what it meant, and as a first step towards being able to evaluate its praxis, the </w:t>
      </w:r>
      <w:r w:rsidR="00C507A5">
        <w:rPr>
          <w:color w:val="231F20"/>
          <w:spacing w:val="5"/>
        </w:rPr>
        <w:t>red army faction</w:t>
      </w:r>
      <w:r>
        <w:rPr>
          <w:color w:val="231F20"/>
          <w:spacing w:val="5"/>
        </w:rPr>
        <w:t xml:space="preserve"> </w:t>
      </w:r>
      <w:r>
        <w:rPr>
          <w:color w:val="231F20"/>
        </w:rPr>
        <w:t xml:space="preserve">must be placed within the context of left-wing revolutionary struggle in the First </w:t>
      </w:r>
      <w:r>
        <w:rPr>
          <w:color w:val="231F20"/>
          <w:spacing w:val="-4"/>
        </w:rPr>
        <w:t xml:space="preserve">World </w:t>
      </w:r>
      <w:r>
        <w:rPr>
          <w:color w:val="231F20"/>
        </w:rPr>
        <w:t xml:space="preserve">at a very particular point in time. As such, we are most interested in the </w:t>
      </w:r>
      <w:r>
        <w:rPr>
          <w:color w:val="231F20"/>
          <w:spacing w:val="-3"/>
        </w:rPr>
        <w:t xml:space="preserve">group’s </w:t>
      </w:r>
      <w:r>
        <w:rPr>
          <w:color w:val="231F20"/>
        </w:rPr>
        <w:t>ideas, its line as established in its communiqués and other documents, how it put this line into practice through its actions and campaigns, and the relationship the group enjoyed with its supporters and other</w:t>
      </w:r>
      <w:r>
        <w:rPr>
          <w:color w:val="231F20"/>
          <w:spacing w:val="15"/>
        </w:rPr>
        <w:t xml:space="preserve"> </w:t>
      </w:r>
      <w:r>
        <w:rPr>
          <w:color w:val="231F20"/>
        </w:rPr>
        <w:t>leftists.</w:t>
      </w:r>
    </w:p>
    <w:p w14:paraId="3B22037B" w14:textId="77777777" w:rsidR="002653E8" w:rsidRDefault="002653E8">
      <w:pPr>
        <w:spacing w:line="264" w:lineRule="auto"/>
        <w:jc w:val="both"/>
        <w:sectPr w:rsidR="002653E8">
          <w:footerReference w:type="even" r:id="rId24"/>
          <w:footerReference w:type="default" r:id="rId25"/>
          <w:pgSz w:w="8640" w:h="12960"/>
          <w:pgMar w:top="1060" w:right="0" w:bottom="1040" w:left="0" w:header="0" w:footer="850" w:gutter="0"/>
          <w:cols w:space="720"/>
        </w:sectPr>
      </w:pPr>
    </w:p>
    <w:p w14:paraId="22EC5CD4" w14:textId="77777777" w:rsidR="002653E8" w:rsidRDefault="003115E3">
      <w:pPr>
        <w:pStyle w:val="a3"/>
        <w:spacing w:before="86" w:line="264" w:lineRule="auto"/>
        <w:ind w:left="1327" w:right="1146" w:firstLine="210"/>
        <w:jc w:val="both"/>
      </w:pPr>
      <w:r>
        <w:rPr>
          <w:color w:val="231F20"/>
        </w:rPr>
        <w:lastRenderedPageBreak/>
        <w:t xml:space="preserve">Some may accuse us of being uncritical, or of even supporting the </w:t>
      </w:r>
      <w:r w:rsidR="00C507A5">
        <w:rPr>
          <w:color w:val="231F20"/>
          <w:spacing w:val="1"/>
        </w:rPr>
        <w:t>red army faction</w:t>
      </w:r>
      <w:r>
        <w:rPr>
          <w:color w:val="231F20"/>
          <w:spacing w:val="1"/>
        </w:rPr>
        <w:t xml:space="preserve">’s </w:t>
      </w:r>
      <w:r>
        <w:rPr>
          <w:color w:val="231F20"/>
        </w:rPr>
        <w:t xml:space="preserve">politics and their practice. </w:t>
      </w:r>
      <w:r>
        <w:rPr>
          <w:color w:val="231F20"/>
          <w:spacing w:val="-5"/>
        </w:rPr>
        <w:t xml:space="preserve">We </w:t>
      </w:r>
      <w:r>
        <w:rPr>
          <w:color w:val="231F20"/>
        </w:rPr>
        <w:t>would answer that in order to be critical one must first be in possession of the facts. While we consider questions of morality and means and ends to be very important, given that this is the first time most of this material has been made available to English-readers, we prefer not to muddy the waters by condemning or</w:t>
      </w:r>
      <w:r>
        <w:rPr>
          <w:color w:val="231F20"/>
          <w:spacing w:val="10"/>
        </w:rPr>
        <w:t xml:space="preserve"> </w:t>
      </w:r>
      <w:r>
        <w:rPr>
          <w:color w:val="231F20"/>
        </w:rPr>
        <w:t>praising</w:t>
      </w:r>
      <w:r>
        <w:rPr>
          <w:color w:val="231F20"/>
          <w:spacing w:val="10"/>
        </w:rPr>
        <w:t xml:space="preserve"> </w:t>
      </w:r>
      <w:r>
        <w:rPr>
          <w:color w:val="231F20"/>
        </w:rPr>
        <w:t>the</w:t>
      </w:r>
      <w:r>
        <w:rPr>
          <w:color w:val="231F20"/>
          <w:spacing w:val="10"/>
        </w:rPr>
        <w:t xml:space="preserve"> </w:t>
      </w:r>
      <w:r>
        <w:rPr>
          <w:color w:val="231F20"/>
        </w:rPr>
        <w:t>guerilla</w:t>
      </w:r>
      <w:r>
        <w:rPr>
          <w:color w:val="231F20"/>
          <w:spacing w:val="10"/>
        </w:rPr>
        <w:t xml:space="preserve"> </w:t>
      </w:r>
      <w:r>
        <w:rPr>
          <w:color w:val="231F20"/>
        </w:rPr>
        <w:t>every</w:t>
      </w:r>
      <w:r>
        <w:rPr>
          <w:color w:val="231F20"/>
          <w:spacing w:val="10"/>
        </w:rPr>
        <w:t xml:space="preserve"> </w:t>
      </w:r>
      <w:r>
        <w:rPr>
          <w:color w:val="231F20"/>
        </w:rPr>
        <w:t>step</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spacing w:val="-5"/>
        </w:rPr>
        <w:t>way.</w:t>
      </w:r>
    </w:p>
    <w:p w14:paraId="60B1EE01" w14:textId="77777777" w:rsidR="002653E8" w:rsidRDefault="003115E3">
      <w:pPr>
        <w:pStyle w:val="a3"/>
        <w:spacing w:line="264" w:lineRule="auto"/>
        <w:ind w:left="1328" w:right="1145" w:firstLine="210"/>
        <w:jc w:val="both"/>
      </w:pPr>
      <w:r>
        <w:rPr>
          <w:color w:val="231F20"/>
        </w:rPr>
        <w:t xml:space="preserve">Certainly we will offer no blanket denunciation—nor will we indulge in cheap praise. What has been written so far is replete with judgment, and often contains very little factual content or political analy sis. </w:t>
      </w:r>
      <w:r>
        <w:rPr>
          <w:color w:val="231F20"/>
          <w:spacing w:val="-5"/>
        </w:rPr>
        <w:t xml:space="preserve">We </w:t>
      </w:r>
      <w:r>
        <w:rPr>
          <w:color w:val="231F20"/>
        </w:rPr>
        <w:t>hope with these books to do our small part in correcting this imbalance.</w:t>
      </w:r>
    </w:p>
    <w:p w14:paraId="25049706" w14:textId="77777777" w:rsidR="002653E8" w:rsidRDefault="003115E3">
      <w:pPr>
        <w:pStyle w:val="a3"/>
        <w:spacing w:line="264" w:lineRule="auto"/>
        <w:ind w:left="1328" w:right="1145" w:firstLine="210"/>
        <w:jc w:val="both"/>
      </w:pPr>
      <w:r>
        <w:rPr>
          <w:color w:val="231F20"/>
        </w:rPr>
        <w:t xml:space="preserve">In order for the guerilla’s actions and statements to be at all comprehensible, they need to be placed in the context of their times and of the wider left-wing movement in West Germany. Even as these events were unfolding, this context was not well understood by many of us in North America; now, decades later, it is even harder to grasp. For that reason, we have provided two background chapters providing an overview of postwar West Germany, as well as a series of introductory texts to the different documents from the guerilla. These are overviews and as will be clear, they have been written from a particular perspective. It is here that our analysis most obviously departs from that of the </w:t>
      </w:r>
      <w:r w:rsidR="00C507A5">
        <w:rPr>
          <w:color w:val="231F20"/>
        </w:rPr>
        <w:t>red army faction</w:t>
      </w:r>
      <w:r>
        <w:rPr>
          <w:color w:val="231F20"/>
        </w:rPr>
        <w:t>, our sympathy for many of its aims notwithstanding.</w:t>
      </w:r>
    </w:p>
    <w:p w14:paraId="3C2281EB" w14:textId="77777777" w:rsidR="002653E8" w:rsidRDefault="003115E3">
      <w:pPr>
        <w:pStyle w:val="a3"/>
        <w:spacing w:line="264" w:lineRule="auto"/>
        <w:ind w:left="1328" w:right="1145" w:firstLine="210"/>
        <w:jc w:val="both"/>
      </w:pPr>
      <w:r>
        <w:rPr>
          <w:color w:val="231F20"/>
          <w:spacing w:val="-5"/>
        </w:rPr>
        <w:t xml:space="preserve">We </w:t>
      </w:r>
      <w:r>
        <w:rPr>
          <w:color w:val="231F20"/>
        </w:rPr>
        <w:t>offer these documents to the comrades of today—and to the comrades of tomorrow—both as a testament to those who struggled before and as an explanation as to how they saw the world, why they made   the choices they made, and the price they were made to pay for having done</w:t>
      </w:r>
      <w:r>
        <w:rPr>
          <w:color w:val="231F20"/>
          <w:spacing w:val="10"/>
        </w:rPr>
        <w:t xml:space="preserve"> </w:t>
      </w:r>
      <w:r>
        <w:rPr>
          <w:color w:val="231F20"/>
        </w:rPr>
        <w:t>so.</w:t>
      </w:r>
    </w:p>
    <w:p w14:paraId="12DEEBD1" w14:textId="77777777" w:rsidR="002653E8" w:rsidRDefault="002653E8">
      <w:pPr>
        <w:spacing w:line="264" w:lineRule="auto"/>
        <w:jc w:val="both"/>
        <w:sectPr w:rsidR="002653E8">
          <w:pgSz w:w="8640" w:h="12960"/>
          <w:pgMar w:top="1060" w:right="0" w:bottom="1040" w:left="0" w:header="0" w:footer="850" w:gutter="0"/>
          <w:cols w:space="720"/>
        </w:sectPr>
      </w:pPr>
    </w:p>
    <w:p w14:paraId="0D09636E" w14:textId="77777777" w:rsidR="002653E8" w:rsidRDefault="002653E8">
      <w:pPr>
        <w:pStyle w:val="a3"/>
        <w:spacing w:before="4"/>
        <w:rPr>
          <w:rFonts w:ascii="Times New Roman"/>
          <w:sz w:val="17"/>
        </w:rPr>
      </w:pPr>
    </w:p>
    <w:p w14:paraId="3C3836C6" w14:textId="77777777" w:rsidR="002653E8" w:rsidRDefault="002653E8">
      <w:pPr>
        <w:rPr>
          <w:rFonts w:ascii="Times New Roman"/>
          <w:sz w:val="17"/>
        </w:rPr>
        <w:sectPr w:rsidR="002653E8">
          <w:footerReference w:type="default" r:id="rId26"/>
          <w:pgSz w:w="8640" w:h="12960"/>
          <w:pgMar w:top="1220" w:right="0" w:bottom="280" w:left="0" w:header="0" w:footer="0" w:gutter="0"/>
          <w:cols w:space="720"/>
        </w:sectPr>
      </w:pPr>
    </w:p>
    <w:p w14:paraId="539A0C2A" w14:textId="77777777" w:rsidR="002653E8" w:rsidRDefault="003115E3">
      <w:pPr>
        <w:pStyle w:val="4"/>
        <w:spacing w:before="88"/>
        <w:ind w:left="3318"/>
        <w:rPr>
          <w:rFonts w:ascii="Cambria"/>
        </w:rPr>
      </w:pPr>
      <w:bookmarkStart w:id="14" w:name="Acronym_Key_"/>
      <w:bookmarkStart w:id="15" w:name="_bookmark5"/>
      <w:bookmarkEnd w:id="14"/>
      <w:bookmarkEnd w:id="15"/>
      <w:r>
        <w:rPr>
          <w:rFonts w:ascii="Cambria"/>
          <w:color w:val="231F20"/>
          <w:spacing w:val="22"/>
          <w:w w:val="115"/>
        </w:rPr>
        <w:lastRenderedPageBreak/>
        <w:t>acronym</w:t>
      </w:r>
      <w:r>
        <w:rPr>
          <w:rFonts w:ascii="Cambria"/>
          <w:color w:val="231F20"/>
          <w:spacing w:val="90"/>
          <w:w w:val="115"/>
        </w:rPr>
        <w:t xml:space="preserve"> </w:t>
      </w:r>
      <w:r>
        <w:rPr>
          <w:rFonts w:ascii="Cambria"/>
          <w:color w:val="231F20"/>
          <w:spacing w:val="21"/>
          <w:w w:val="115"/>
        </w:rPr>
        <w:t>key</w:t>
      </w:r>
    </w:p>
    <w:p w14:paraId="57D196FA" w14:textId="77777777" w:rsidR="002653E8" w:rsidRDefault="003115E3">
      <w:pPr>
        <w:pStyle w:val="a3"/>
        <w:tabs>
          <w:tab w:val="left" w:pos="2927"/>
        </w:tabs>
        <w:spacing w:before="257" w:line="261" w:lineRule="auto"/>
        <w:ind w:left="2927" w:right="1186" w:hanging="1200"/>
      </w:pPr>
      <w:r>
        <w:rPr>
          <w:color w:val="231F20"/>
        </w:rPr>
        <w:t>2JM</w:t>
      </w:r>
      <w:r>
        <w:rPr>
          <w:color w:val="231F20"/>
        </w:rPr>
        <w:tab/>
      </w:r>
      <w:r>
        <w:rPr>
          <w:i/>
          <w:color w:val="231F20"/>
        </w:rPr>
        <w:t xml:space="preserve">Bewegung </w:t>
      </w:r>
      <w:r>
        <w:rPr>
          <w:rFonts w:ascii="Bookman Old Style"/>
          <w:i/>
          <w:color w:val="231F20"/>
        </w:rPr>
        <w:t>2</w:t>
      </w:r>
      <w:r>
        <w:rPr>
          <w:i/>
          <w:color w:val="231F20"/>
        </w:rPr>
        <w:t xml:space="preserve">. Juni </w:t>
      </w:r>
      <w:r>
        <w:rPr>
          <w:color w:val="231F20"/>
        </w:rPr>
        <w:t>(2nd of June Movement); Berlinbased anarchist guerilla group formed in early 1972, its name comes from the date of the police shooting of protester Benno Ohnesorg in</w:t>
      </w:r>
      <w:r>
        <w:rPr>
          <w:color w:val="231F20"/>
          <w:spacing w:val="11"/>
        </w:rPr>
        <w:t xml:space="preserve"> </w:t>
      </w:r>
      <w:r>
        <w:rPr>
          <w:color w:val="231F20"/>
        </w:rPr>
        <w:t>1967.</w:t>
      </w:r>
    </w:p>
    <w:p w14:paraId="1E99C7FE" w14:textId="77777777" w:rsidR="002653E8" w:rsidRDefault="003115E3">
      <w:pPr>
        <w:pStyle w:val="a3"/>
        <w:tabs>
          <w:tab w:val="left" w:pos="2927"/>
        </w:tabs>
        <w:spacing w:before="3" w:line="264" w:lineRule="auto"/>
        <w:ind w:left="2927" w:right="1186" w:hanging="1200"/>
      </w:pPr>
      <w:r>
        <w:rPr>
          <w:color w:val="231F20"/>
        </w:rPr>
        <w:t>APO</w:t>
      </w:r>
      <w:r>
        <w:rPr>
          <w:color w:val="231F20"/>
        </w:rPr>
        <w:tab/>
      </w:r>
      <w:r>
        <w:rPr>
          <w:i/>
          <w:color w:val="231F20"/>
        </w:rPr>
        <w:t xml:space="preserve">Außerparlemtarische Opposition </w:t>
      </w:r>
      <w:r>
        <w:rPr>
          <w:color w:val="231F20"/>
        </w:rPr>
        <w:t>(ExtraParliamentary Opposition); the name given to the broad-based militant opposition with its roots in the student movement that encompassed the left-wing anti-imperialist and social revolutionary movements of the late sixties and early</w:t>
      </w:r>
      <w:r>
        <w:rPr>
          <w:color w:val="231F20"/>
          <w:spacing w:val="10"/>
        </w:rPr>
        <w:t xml:space="preserve"> </w:t>
      </w:r>
      <w:r>
        <w:rPr>
          <w:color w:val="231F20"/>
        </w:rPr>
        <w:t>seventies.</w:t>
      </w:r>
    </w:p>
    <w:p w14:paraId="0C9A2694" w14:textId="77777777" w:rsidR="002653E8" w:rsidRPr="00C507A5" w:rsidRDefault="003115E3">
      <w:pPr>
        <w:tabs>
          <w:tab w:val="left" w:pos="2927"/>
        </w:tabs>
        <w:spacing w:line="264" w:lineRule="auto"/>
        <w:ind w:left="2927" w:right="1166" w:hanging="1200"/>
        <w:rPr>
          <w:sz w:val="20"/>
          <w:lang w:val="de-DE"/>
        </w:rPr>
      </w:pPr>
      <w:r w:rsidRPr="00C507A5">
        <w:rPr>
          <w:color w:val="231F20"/>
          <w:w w:val="105"/>
          <w:sz w:val="20"/>
          <w:lang w:val="de-DE"/>
        </w:rPr>
        <w:t>ARD</w:t>
      </w:r>
      <w:r w:rsidRPr="00C507A5">
        <w:rPr>
          <w:color w:val="231F20"/>
          <w:w w:val="105"/>
          <w:sz w:val="20"/>
          <w:lang w:val="de-DE"/>
        </w:rPr>
        <w:tab/>
      </w:r>
      <w:r w:rsidRPr="00C507A5">
        <w:rPr>
          <w:i/>
          <w:color w:val="231F20"/>
          <w:w w:val="105"/>
          <w:sz w:val="20"/>
          <w:lang w:val="de-DE"/>
        </w:rPr>
        <w:t>Arbeitsgemeinschaft der öffentlich-rechtlichen Rundfunkanstalten der Bundesrepublik</w:t>
      </w:r>
      <w:r w:rsidRPr="00C507A5">
        <w:rPr>
          <w:i/>
          <w:color w:val="231F20"/>
          <w:spacing w:val="-16"/>
          <w:w w:val="105"/>
          <w:sz w:val="20"/>
          <w:lang w:val="de-DE"/>
        </w:rPr>
        <w:t xml:space="preserve"> </w:t>
      </w:r>
      <w:r w:rsidRPr="00C507A5">
        <w:rPr>
          <w:i/>
          <w:color w:val="231F20"/>
          <w:w w:val="105"/>
          <w:sz w:val="20"/>
          <w:lang w:val="de-DE"/>
        </w:rPr>
        <w:t xml:space="preserve">Deutschland </w:t>
      </w:r>
      <w:r w:rsidRPr="00C507A5">
        <w:rPr>
          <w:color w:val="231F20"/>
          <w:w w:val="105"/>
          <w:sz w:val="20"/>
          <w:lang w:val="de-DE"/>
        </w:rPr>
        <w:t>(Syndicate for Publicly Regulated Radio</w:t>
      </w:r>
      <w:r w:rsidRPr="00C507A5">
        <w:rPr>
          <w:color w:val="231F20"/>
          <w:spacing w:val="-30"/>
          <w:w w:val="105"/>
          <w:sz w:val="20"/>
          <w:lang w:val="de-DE"/>
        </w:rPr>
        <w:t xml:space="preserve"> </w:t>
      </w:r>
      <w:r w:rsidRPr="00C507A5">
        <w:rPr>
          <w:color w:val="231F20"/>
          <w:w w:val="105"/>
          <w:sz w:val="20"/>
          <w:lang w:val="de-DE"/>
        </w:rPr>
        <w:t>Stations</w:t>
      </w:r>
    </w:p>
    <w:p w14:paraId="10C6C44D" w14:textId="77777777" w:rsidR="002653E8" w:rsidRDefault="003115E3">
      <w:pPr>
        <w:pStyle w:val="a3"/>
        <w:spacing w:line="264" w:lineRule="auto"/>
        <w:ind w:left="2927" w:right="1145"/>
      </w:pPr>
      <w:r>
        <w:rPr>
          <w:color w:val="231F20"/>
        </w:rPr>
        <w:t>in the Federal Republic of Germany); state-funded radio.</w:t>
      </w:r>
    </w:p>
    <w:p w14:paraId="34656ADB" w14:textId="77777777" w:rsidR="002653E8" w:rsidRDefault="003115E3">
      <w:pPr>
        <w:pStyle w:val="a3"/>
        <w:tabs>
          <w:tab w:val="left" w:pos="2927"/>
        </w:tabs>
        <w:spacing w:line="264" w:lineRule="auto"/>
        <w:ind w:left="2927" w:right="1276" w:hanging="1200"/>
      </w:pPr>
      <w:r>
        <w:rPr>
          <w:color w:val="231F20"/>
          <w:spacing w:val="-8"/>
        </w:rPr>
        <w:t>BAW</w:t>
      </w:r>
      <w:r>
        <w:rPr>
          <w:color w:val="231F20"/>
          <w:spacing w:val="-8"/>
        </w:rPr>
        <w:tab/>
      </w:r>
      <w:r>
        <w:rPr>
          <w:i/>
          <w:color w:val="231F20"/>
        </w:rPr>
        <w:t xml:space="preserve">Bundesanwaltschaft </w:t>
      </w:r>
      <w:r>
        <w:rPr>
          <w:color w:val="231F20"/>
        </w:rPr>
        <w:t>(Federal Prosecutors Office); noted for its aggressive prosecution of cases against the guerilla and the</w:t>
      </w:r>
      <w:r>
        <w:rPr>
          <w:color w:val="231F20"/>
          <w:spacing w:val="42"/>
        </w:rPr>
        <w:t xml:space="preserve"> </w:t>
      </w:r>
      <w:r>
        <w:rPr>
          <w:color w:val="231F20"/>
        </w:rPr>
        <w:t>left.</w:t>
      </w:r>
    </w:p>
    <w:p w14:paraId="31C125D5" w14:textId="77777777" w:rsidR="002653E8" w:rsidRDefault="003115E3">
      <w:pPr>
        <w:tabs>
          <w:tab w:val="left" w:pos="2927"/>
        </w:tabs>
        <w:spacing w:line="264" w:lineRule="auto"/>
        <w:ind w:left="2927" w:right="1333" w:hanging="1200"/>
        <w:rPr>
          <w:sz w:val="20"/>
        </w:rPr>
      </w:pPr>
      <w:r>
        <w:rPr>
          <w:color w:val="231F20"/>
          <w:sz w:val="20"/>
        </w:rPr>
        <w:t>BGS</w:t>
      </w:r>
      <w:r>
        <w:rPr>
          <w:color w:val="231F20"/>
          <w:sz w:val="20"/>
        </w:rPr>
        <w:tab/>
      </w:r>
      <w:r>
        <w:rPr>
          <w:i/>
          <w:color w:val="231F20"/>
          <w:sz w:val="20"/>
        </w:rPr>
        <w:t xml:space="preserve">Bundesgrenzschutz </w:t>
      </w:r>
      <w:r>
        <w:rPr>
          <w:color w:val="231F20"/>
          <w:sz w:val="20"/>
        </w:rPr>
        <w:t>(Federal Border Patrol); border security</w:t>
      </w:r>
      <w:r>
        <w:rPr>
          <w:color w:val="231F20"/>
          <w:spacing w:val="10"/>
          <w:sz w:val="20"/>
        </w:rPr>
        <w:t xml:space="preserve"> </w:t>
      </w:r>
      <w:r>
        <w:rPr>
          <w:color w:val="231F20"/>
          <w:sz w:val="20"/>
        </w:rPr>
        <w:t>police.</w:t>
      </w:r>
    </w:p>
    <w:p w14:paraId="59D520CA" w14:textId="77777777" w:rsidR="002653E8" w:rsidRDefault="003115E3">
      <w:pPr>
        <w:pStyle w:val="a3"/>
        <w:tabs>
          <w:tab w:val="left" w:pos="2927"/>
        </w:tabs>
        <w:spacing w:line="264" w:lineRule="auto"/>
        <w:ind w:left="2927" w:right="1272" w:hanging="1200"/>
        <w:jc w:val="both"/>
      </w:pPr>
      <w:r>
        <w:rPr>
          <w:color w:val="231F20"/>
        </w:rPr>
        <w:t>BKA</w:t>
      </w:r>
      <w:r>
        <w:rPr>
          <w:color w:val="231F20"/>
        </w:rPr>
        <w:tab/>
      </w:r>
      <w:r>
        <w:rPr>
          <w:i/>
          <w:color w:val="231F20"/>
        </w:rPr>
        <w:t xml:space="preserve">Bundeskriminalamt </w:t>
      </w:r>
      <w:r>
        <w:rPr>
          <w:color w:val="231F20"/>
        </w:rPr>
        <w:t>(Federal Criminal Bureau); the German equivalent of the FBI, particularly active in police activities against the guerilla and the</w:t>
      </w:r>
      <w:r>
        <w:rPr>
          <w:color w:val="231F20"/>
          <w:spacing w:val="15"/>
        </w:rPr>
        <w:t xml:space="preserve"> </w:t>
      </w:r>
      <w:r>
        <w:rPr>
          <w:color w:val="231F20"/>
        </w:rPr>
        <w:t>left.</w:t>
      </w:r>
    </w:p>
    <w:p w14:paraId="6057B900" w14:textId="77777777" w:rsidR="002653E8" w:rsidRDefault="003115E3">
      <w:pPr>
        <w:tabs>
          <w:tab w:val="left" w:pos="2927"/>
        </w:tabs>
        <w:spacing w:line="264" w:lineRule="auto"/>
        <w:ind w:left="2927" w:right="1702" w:hanging="1200"/>
        <w:rPr>
          <w:sz w:val="20"/>
        </w:rPr>
      </w:pPr>
      <w:r>
        <w:rPr>
          <w:color w:val="231F20"/>
          <w:sz w:val="20"/>
        </w:rPr>
        <w:t>BND</w:t>
      </w:r>
      <w:r>
        <w:rPr>
          <w:color w:val="231F20"/>
          <w:sz w:val="20"/>
        </w:rPr>
        <w:tab/>
      </w:r>
      <w:r>
        <w:rPr>
          <w:i/>
          <w:color w:val="231F20"/>
          <w:sz w:val="20"/>
        </w:rPr>
        <w:t xml:space="preserve">Bundesnachrichtendienst </w:t>
      </w:r>
      <w:r>
        <w:rPr>
          <w:color w:val="231F20"/>
          <w:sz w:val="20"/>
        </w:rPr>
        <w:t xml:space="preserve">(Federal Intelligence Service); the </w:t>
      </w:r>
      <w:r>
        <w:rPr>
          <w:color w:val="231F20"/>
          <w:spacing w:val="-4"/>
          <w:sz w:val="20"/>
        </w:rPr>
        <w:t xml:space="preserve">FRG’s </w:t>
      </w:r>
      <w:r>
        <w:rPr>
          <w:color w:val="231F20"/>
          <w:sz w:val="20"/>
        </w:rPr>
        <w:t>foreign intelligence</w:t>
      </w:r>
      <w:r>
        <w:rPr>
          <w:color w:val="231F20"/>
          <w:spacing w:val="3"/>
          <w:sz w:val="20"/>
        </w:rPr>
        <w:t xml:space="preserve"> </w:t>
      </w:r>
      <w:r>
        <w:rPr>
          <w:color w:val="231F20"/>
          <w:sz w:val="20"/>
        </w:rPr>
        <w:t>service.</w:t>
      </w:r>
    </w:p>
    <w:p w14:paraId="20612A1D" w14:textId="77777777" w:rsidR="002653E8" w:rsidRDefault="003115E3">
      <w:pPr>
        <w:tabs>
          <w:tab w:val="left" w:pos="2927"/>
        </w:tabs>
        <w:spacing w:line="264" w:lineRule="auto"/>
        <w:ind w:left="2927" w:right="1614" w:hanging="1200"/>
        <w:rPr>
          <w:sz w:val="20"/>
        </w:rPr>
      </w:pPr>
      <w:r>
        <w:rPr>
          <w:color w:val="231F20"/>
          <w:w w:val="105"/>
          <w:sz w:val="20"/>
        </w:rPr>
        <w:t>CDU</w:t>
      </w:r>
      <w:r>
        <w:rPr>
          <w:color w:val="231F20"/>
          <w:w w:val="105"/>
          <w:sz w:val="20"/>
        </w:rPr>
        <w:tab/>
      </w:r>
      <w:r>
        <w:rPr>
          <w:i/>
          <w:color w:val="231F20"/>
          <w:w w:val="105"/>
          <w:sz w:val="20"/>
        </w:rPr>
        <w:t xml:space="preserve">Christlich Demokratisches Union Deutschlands </w:t>
      </w:r>
      <w:r>
        <w:rPr>
          <w:color w:val="231F20"/>
          <w:w w:val="105"/>
          <w:sz w:val="20"/>
        </w:rPr>
        <w:t>(Christian Democratic Union of Germany); Germany’s mainstream conservative</w:t>
      </w:r>
      <w:r>
        <w:rPr>
          <w:color w:val="231F20"/>
          <w:spacing w:val="-27"/>
          <w:w w:val="105"/>
          <w:sz w:val="20"/>
        </w:rPr>
        <w:t xml:space="preserve"> </w:t>
      </w:r>
      <w:r>
        <w:rPr>
          <w:color w:val="231F20"/>
          <w:spacing w:val="-4"/>
          <w:w w:val="105"/>
          <w:sz w:val="20"/>
        </w:rPr>
        <w:t>party.</w:t>
      </w:r>
    </w:p>
    <w:p w14:paraId="4A9970B4" w14:textId="77777777" w:rsidR="002653E8" w:rsidRDefault="003115E3">
      <w:pPr>
        <w:tabs>
          <w:tab w:val="left" w:pos="2927"/>
        </w:tabs>
        <w:spacing w:line="264" w:lineRule="auto"/>
        <w:ind w:left="2927" w:right="1161" w:hanging="1200"/>
        <w:rPr>
          <w:sz w:val="20"/>
        </w:rPr>
      </w:pPr>
      <w:r>
        <w:rPr>
          <w:color w:val="231F20"/>
          <w:w w:val="105"/>
          <w:sz w:val="20"/>
        </w:rPr>
        <w:t>CSU</w:t>
      </w:r>
      <w:r>
        <w:rPr>
          <w:color w:val="231F20"/>
          <w:w w:val="105"/>
          <w:sz w:val="20"/>
        </w:rPr>
        <w:tab/>
      </w:r>
      <w:r>
        <w:rPr>
          <w:i/>
          <w:color w:val="231F20"/>
          <w:w w:val="105"/>
          <w:sz w:val="20"/>
        </w:rPr>
        <w:t xml:space="preserve">Christlich-Soziale Union in Bayern </w:t>
      </w:r>
      <w:r>
        <w:rPr>
          <w:color w:val="231F20"/>
          <w:w w:val="105"/>
          <w:sz w:val="20"/>
        </w:rPr>
        <w:t>(Bavarian Christian-Social Union); Bavaria’s mainstream conservative</w:t>
      </w:r>
      <w:r>
        <w:rPr>
          <w:color w:val="231F20"/>
          <w:spacing w:val="-16"/>
          <w:w w:val="105"/>
          <w:sz w:val="20"/>
        </w:rPr>
        <w:t xml:space="preserve"> </w:t>
      </w:r>
      <w:r>
        <w:rPr>
          <w:color w:val="231F20"/>
          <w:spacing w:val="-4"/>
          <w:w w:val="105"/>
          <w:sz w:val="20"/>
        </w:rPr>
        <w:t>party,</w:t>
      </w:r>
      <w:r>
        <w:rPr>
          <w:color w:val="231F20"/>
          <w:spacing w:val="-20"/>
          <w:w w:val="105"/>
          <w:sz w:val="20"/>
        </w:rPr>
        <w:t xml:space="preserve"> </w:t>
      </w:r>
      <w:r>
        <w:rPr>
          <w:color w:val="231F20"/>
          <w:w w:val="105"/>
          <w:sz w:val="20"/>
        </w:rPr>
        <w:t>the</w:t>
      </w:r>
      <w:r>
        <w:rPr>
          <w:color w:val="231F20"/>
          <w:spacing w:val="-16"/>
          <w:w w:val="105"/>
          <w:sz w:val="20"/>
        </w:rPr>
        <w:t xml:space="preserve"> </w:t>
      </w:r>
      <w:r>
        <w:rPr>
          <w:color w:val="231F20"/>
          <w:w w:val="105"/>
          <w:sz w:val="20"/>
        </w:rPr>
        <w:t>Bavarian</w:t>
      </w:r>
      <w:r>
        <w:rPr>
          <w:color w:val="231F20"/>
          <w:spacing w:val="-16"/>
          <w:w w:val="105"/>
          <w:sz w:val="20"/>
        </w:rPr>
        <w:t xml:space="preserve"> </w:t>
      </w:r>
      <w:r>
        <w:rPr>
          <w:color w:val="231F20"/>
          <w:w w:val="105"/>
          <w:sz w:val="20"/>
        </w:rPr>
        <w:t>partner</w:t>
      </w:r>
      <w:r>
        <w:rPr>
          <w:color w:val="231F20"/>
          <w:spacing w:val="-16"/>
          <w:w w:val="105"/>
          <w:sz w:val="20"/>
        </w:rPr>
        <w:t xml:space="preserve"> </w:t>
      </w:r>
      <w:r>
        <w:rPr>
          <w:color w:val="231F20"/>
          <w:w w:val="105"/>
          <w:sz w:val="20"/>
        </w:rPr>
        <w:t>to</w:t>
      </w:r>
      <w:r>
        <w:rPr>
          <w:color w:val="231F20"/>
          <w:spacing w:val="-16"/>
          <w:w w:val="105"/>
          <w:sz w:val="20"/>
        </w:rPr>
        <w:t xml:space="preserve"> </w:t>
      </w:r>
      <w:r>
        <w:rPr>
          <w:color w:val="231F20"/>
          <w:w w:val="105"/>
          <w:sz w:val="20"/>
        </w:rPr>
        <w:t>the</w:t>
      </w:r>
      <w:r>
        <w:rPr>
          <w:color w:val="231F20"/>
          <w:spacing w:val="-16"/>
          <w:w w:val="105"/>
          <w:sz w:val="20"/>
        </w:rPr>
        <w:t xml:space="preserve"> </w:t>
      </w:r>
      <w:r>
        <w:rPr>
          <w:color w:val="231F20"/>
          <w:w w:val="105"/>
          <w:sz w:val="20"/>
        </w:rPr>
        <w:t>CDU.</w:t>
      </w:r>
    </w:p>
    <w:p w14:paraId="7B857EE1" w14:textId="77777777" w:rsidR="002653E8" w:rsidRDefault="003115E3">
      <w:pPr>
        <w:tabs>
          <w:tab w:val="left" w:pos="2927"/>
        </w:tabs>
        <w:spacing w:line="264" w:lineRule="auto"/>
        <w:ind w:left="2927" w:right="1164" w:hanging="1200"/>
        <w:rPr>
          <w:sz w:val="20"/>
        </w:rPr>
      </w:pPr>
      <w:r>
        <w:rPr>
          <w:color w:val="231F20"/>
          <w:w w:val="105"/>
          <w:sz w:val="20"/>
        </w:rPr>
        <w:t>DGB</w:t>
      </w:r>
      <w:r>
        <w:rPr>
          <w:color w:val="231F20"/>
          <w:w w:val="105"/>
          <w:sz w:val="20"/>
        </w:rPr>
        <w:tab/>
      </w:r>
      <w:r>
        <w:rPr>
          <w:i/>
          <w:color w:val="231F20"/>
          <w:w w:val="105"/>
          <w:sz w:val="20"/>
        </w:rPr>
        <w:t xml:space="preserve">Deutscher Gewerkschaftsbund </w:t>
      </w:r>
      <w:r>
        <w:rPr>
          <w:color w:val="231F20"/>
          <w:w w:val="105"/>
          <w:sz w:val="20"/>
        </w:rPr>
        <w:t>(German Union Federation);</w:t>
      </w:r>
      <w:r>
        <w:rPr>
          <w:color w:val="231F20"/>
          <w:spacing w:val="-20"/>
          <w:w w:val="105"/>
          <w:sz w:val="20"/>
        </w:rPr>
        <w:t xml:space="preserve"> </w:t>
      </w:r>
      <w:r>
        <w:rPr>
          <w:color w:val="231F20"/>
          <w:w w:val="105"/>
          <w:sz w:val="20"/>
        </w:rPr>
        <w:t>the</w:t>
      </w:r>
      <w:r>
        <w:rPr>
          <w:color w:val="231F20"/>
          <w:spacing w:val="-20"/>
          <w:w w:val="105"/>
          <w:sz w:val="20"/>
        </w:rPr>
        <w:t xml:space="preserve"> </w:t>
      </w:r>
      <w:r>
        <w:rPr>
          <w:color w:val="231F20"/>
          <w:w w:val="105"/>
          <w:sz w:val="20"/>
        </w:rPr>
        <w:t>largest</w:t>
      </w:r>
      <w:r>
        <w:rPr>
          <w:color w:val="231F20"/>
          <w:spacing w:val="-20"/>
          <w:w w:val="105"/>
          <w:sz w:val="20"/>
        </w:rPr>
        <w:t xml:space="preserve"> </w:t>
      </w:r>
      <w:r>
        <w:rPr>
          <w:color w:val="231F20"/>
          <w:w w:val="105"/>
          <w:sz w:val="20"/>
        </w:rPr>
        <w:t>union</w:t>
      </w:r>
      <w:r>
        <w:rPr>
          <w:color w:val="231F20"/>
          <w:spacing w:val="-20"/>
          <w:w w:val="105"/>
          <w:sz w:val="20"/>
        </w:rPr>
        <w:t xml:space="preserve"> </w:t>
      </w:r>
      <w:r>
        <w:rPr>
          <w:color w:val="231F20"/>
          <w:w w:val="105"/>
          <w:sz w:val="20"/>
        </w:rPr>
        <w:t>federation</w:t>
      </w:r>
      <w:r>
        <w:rPr>
          <w:color w:val="231F20"/>
          <w:spacing w:val="-20"/>
          <w:w w:val="105"/>
          <w:sz w:val="20"/>
        </w:rPr>
        <w:t xml:space="preserve"> </w:t>
      </w:r>
      <w:r>
        <w:rPr>
          <w:color w:val="231F20"/>
          <w:w w:val="105"/>
          <w:sz w:val="20"/>
        </w:rPr>
        <w:t>in</w:t>
      </w:r>
      <w:r>
        <w:rPr>
          <w:color w:val="231F20"/>
          <w:spacing w:val="-20"/>
          <w:w w:val="105"/>
          <w:sz w:val="20"/>
        </w:rPr>
        <w:t xml:space="preserve"> </w:t>
      </w:r>
      <w:r>
        <w:rPr>
          <w:color w:val="231F20"/>
          <w:w w:val="105"/>
          <w:sz w:val="20"/>
        </w:rPr>
        <w:t>the</w:t>
      </w:r>
      <w:r>
        <w:rPr>
          <w:color w:val="231F20"/>
          <w:spacing w:val="-20"/>
          <w:w w:val="105"/>
          <w:sz w:val="20"/>
        </w:rPr>
        <w:t xml:space="preserve"> </w:t>
      </w:r>
      <w:r>
        <w:rPr>
          <w:color w:val="231F20"/>
          <w:w w:val="105"/>
          <w:sz w:val="20"/>
        </w:rPr>
        <w:t>FRG.</w:t>
      </w:r>
    </w:p>
    <w:p w14:paraId="4B61879B" w14:textId="77777777" w:rsidR="002653E8" w:rsidRDefault="002653E8">
      <w:pPr>
        <w:spacing w:line="264" w:lineRule="auto"/>
        <w:rPr>
          <w:sz w:val="20"/>
        </w:rPr>
        <w:sectPr w:rsidR="002653E8">
          <w:footerReference w:type="even" r:id="rId27"/>
          <w:footerReference w:type="default" r:id="rId28"/>
          <w:pgSz w:w="8640" w:h="12960"/>
          <w:pgMar w:top="1220" w:right="0" w:bottom="1040" w:left="0" w:header="0" w:footer="850" w:gutter="0"/>
          <w:cols w:space="720"/>
        </w:sectPr>
      </w:pPr>
    </w:p>
    <w:p w14:paraId="779C2789" w14:textId="77777777" w:rsidR="002653E8" w:rsidRDefault="003115E3">
      <w:pPr>
        <w:pStyle w:val="a3"/>
        <w:tabs>
          <w:tab w:val="left" w:pos="2747"/>
        </w:tabs>
        <w:spacing w:before="86" w:line="264" w:lineRule="auto"/>
        <w:ind w:left="2747" w:right="1457" w:hanging="1200"/>
      </w:pPr>
      <w:r>
        <w:rPr>
          <w:color w:val="231F20"/>
          <w:w w:val="105"/>
        </w:rPr>
        <w:lastRenderedPageBreak/>
        <w:t>DKP</w:t>
      </w:r>
      <w:r>
        <w:rPr>
          <w:color w:val="231F20"/>
          <w:w w:val="105"/>
        </w:rPr>
        <w:tab/>
      </w:r>
      <w:r>
        <w:rPr>
          <w:i/>
          <w:color w:val="231F20"/>
          <w:w w:val="105"/>
        </w:rPr>
        <w:t xml:space="preserve">Deutsche Kommunistische </w:t>
      </w:r>
      <w:r>
        <w:rPr>
          <w:i/>
          <w:color w:val="231F20"/>
          <w:spacing w:val="-4"/>
          <w:w w:val="105"/>
        </w:rPr>
        <w:t xml:space="preserve">Partei </w:t>
      </w:r>
      <w:r>
        <w:rPr>
          <w:color w:val="231F20"/>
          <w:w w:val="105"/>
        </w:rPr>
        <w:t xml:space="preserve">(German </w:t>
      </w:r>
      <w:r>
        <w:rPr>
          <w:color w:val="231F20"/>
        </w:rPr>
        <w:t xml:space="preserve">Communist Party); the pro-Soviet communist party </w:t>
      </w:r>
      <w:r>
        <w:rPr>
          <w:color w:val="231F20"/>
          <w:w w:val="105"/>
        </w:rPr>
        <w:t>founded in 1968, in effect the rebranding of the KPD (Communist Party of Germany), which was banned in</w:t>
      </w:r>
      <w:r>
        <w:rPr>
          <w:color w:val="231F20"/>
          <w:spacing w:val="15"/>
          <w:w w:val="105"/>
        </w:rPr>
        <w:t xml:space="preserve"> </w:t>
      </w:r>
      <w:r>
        <w:rPr>
          <w:color w:val="231F20"/>
          <w:w w:val="105"/>
        </w:rPr>
        <w:t>1956.</w:t>
      </w:r>
    </w:p>
    <w:p w14:paraId="3CA5B7FE" w14:textId="77777777" w:rsidR="002653E8" w:rsidRDefault="003115E3">
      <w:pPr>
        <w:tabs>
          <w:tab w:val="left" w:pos="2747"/>
        </w:tabs>
        <w:spacing w:line="264" w:lineRule="auto"/>
        <w:ind w:left="2747" w:right="1813" w:hanging="1200"/>
        <w:jc w:val="both"/>
        <w:rPr>
          <w:sz w:val="20"/>
        </w:rPr>
      </w:pPr>
      <w:r>
        <w:rPr>
          <w:color w:val="231F20"/>
          <w:spacing w:val="-4"/>
          <w:w w:val="105"/>
          <w:sz w:val="20"/>
        </w:rPr>
        <w:t>FAZ</w:t>
      </w:r>
      <w:r>
        <w:rPr>
          <w:color w:val="231F20"/>
          <w:spacing w:val="-4"/>
          <w:w w:val="105"/>
          <w:sz w:val="20"/>
        </w:rPr>
        <w:tab/>
      </w:r>
      <w:r>
        <w:rPr>
          <w:i/>
          <w:color w:val="231F20"/>
          <w:w w:val="105"/>
          <w:sz w:val="20"/>
        </w:rPr>
        <w:t>Frankfurter</w:t>
      </w:r>
      <w:r>
        <w:rPr>
          <w:i/>
          <w:color w:val="231F20"/>
          <w:spacing w:val="-21"/>
          <w:w w:val="105"/>
          <w:sz w:val="20"/>
        </w:rPr>
        <w:t xml:space="preserve"> </w:t>
      </w:r>
      <w:r>
        <w:rPr>
          <w:i/>
          <w:color w:val="231F20"/>
          <w:w w:val="105"/>
          <w:sz w:val="20"/>
        </w:rPr>
        <w:t>Allgemeine</w:t>
      </w:r>
      <w:r>
        <w:rPr>
          <w:i/>
          <w:color w:val="231F20"/>
          <w:spacing w:val="-17"/>
          <w:w w:val="105"/>
          <w:sz w:val="20"/>
        </w:rPr>
        <w:t xml:space="preserve"> </w:t>
      </w:r>
      <w:r>
        <w:rPr>
          <w:i/>
          <w:color w:val="231F20"/>
          <w:w w:val="105"/>
          <w:sz w:val="20"/>
        </w:rPr>
        <w:t>Zeitung;</w:t>
      </w:r>
      <w:r>
        <w:rPr>
          <w:i/>
          <w:color w:val="231F20"/>
          <w:spacing w:val="-17"/>
          <w:w w:val="105"/>
          <w:sz w:val="20"/>
        </w:rPr>
        <w:t xml:space="preserve"> </w:t>
      </w:r>
      <w:r>
        <w:rPr>
          <w:color w:val="231F20"/>
          <w:w w:val="105"/>
          <w:sz w:val="20"/>
        </w:rPr>
        <w:t>a</w:t>
      </w:r>
      <w:r>
        <w:rPr>
          <w:color w:val="231F20"/>
          <w:spacing w:val="-17"/>
          <w:w w:val="105"/>
          <w:sz w:val="20"/>
        </w:rPr>
        <w:t xml:space="preserve"> </w:t>
      </w:r>
      <w:r>
        <w:rPr>
          <w:color w:val="231F20"/>
          <w:w w:val="105"/>
          <w:sz w:val="20"/>
        </w:rPr>
        <w:t>high-quality, national,</w:t>
      </w:r>
      <w:r>
        <w:rPr>
          <w:color w:val="231F20"/>
          <w:spacing w:val="-30"/>
          <w:w w:val="105"/>
          <w:sz w:val="20"/>
        </w:rPr>
        <w:t xml:space="preserve"> </w:t>
      </w:r>
      <w:r>
        <w:rPr>
          <w:color w:val="231F20"/>
          <w:w w:val="105"/>
          <w:sz w:val="20"/>
        </w:rPr>
        <w:t>moderate</w:t>
      </w:r>
      <w:r>
        <w:rPr>
          <w:color w:val="231F20"/>
          <w:spacing w:val="-28"/>
          <w:w w:val="105"/>
          <w:sz w:val="20"/>
        </w:rPr>
        <w:t xml:space="preserve"> </w:t>
      </w:r>
      <w:r>
        <w:rPr>
          <w:color w:val="231F20"/>
          <w:w w:val="105"/>
          <w:sz w:val="20"/>
        </w:rPr>
        <w:t>conservative,</w:t>
      </w:r>
      <w:r>
        <w:rPr>
          <w:color w:val="231F20"/>
          <w:spacing w:val="-30"/>
          <w:w w:val="105"/>
          <w:sz w:val="20"/>
        </w:rPr>
        <w:t xml:space="preserve"> </w:t>
      </w:r>
      <w:r>
        <w:rPr>
          <w:color w:val="231F20"/>
          <w:w w:val="105"/>
          <w:sz w:val="20"/>
        </w:rPr>
        <w:t>German</w:t>
      </w:r>
      <w:r>
        <w:rPr>
          <w:color w:val="231F20"/>
          <w:spacing w:val="-28"/>
          <w:w w:val="105"/>
          <w:sz w:val="20"/>
        </w:rPr>
        <w:t xml:space="preserve"> </w:t>
      </w:r>
      <w:r>
        <w:rPr>
          <w:color w:val="231F20"/>
          <w:w w:val="105"/>
          <w:sz w:val="20"/>
        </w:rPr>
        <w:t xml:space="preserve">daily </w:t>
      </w:r>
      <w:r>
        <w:rPr>
          <w:color w:val="231F20"/>
          <w:spacing w:val="-3"/>
          <w:w w:val="105"/>
          <w:sz w:val="20"/>
        </w:rPr>
        <w:t>newspaper.</w:t>
      </w:r>
    </w:p>
    <w:p w14:paraId="3C90639D" w14:textId="77777777" w:rsidR="002653E8" w:rsidRDefault="003115E3">
      <w:pPr>
        <w:tabs>
          <w:tab w:val="left" w:pos="2747"/>
        </w:tabs>
        <w:spacing w:line="264" w:lineRule="auto"/>
        <w:ind w:left="2747" w:right="1427" w:hanging="1200"/>
        <w:rPr>
          <w:sz w:val="20"/>
        </w:rPr>
      </w:pPr>
      <w:r>
        <w:rPr>
          <w:color w:val="231F20"/>
          <w:sz w:val="20"/>
        </w:rPr>
        <w:t>FDP</w:t>
      </w:r>
      <w:r>
        <w:rPr>
          <w:color w:val="231F20"/>
          <w:sz w:val="20"/>
        </w:rPr>
        <w:tab/>
      </w:r>
      <w:r>
        <w:rPr>
          <w:i/>
          <w:color w:val="231F20"/>
          <w:sz w:val="20"/>
        </w:rPr>
        <w:t xml:space="preserve">Freie Demokratische </w:t>
      </w:r>
      <w:r>
        <w:rPr>
          <w:i/>
          <w:color w:val="231F20"/>
          <w:spacing w:val="-4"/>
          <w:sz w:val="20"/>
        </w:rPr>
        <w:t xml:space="preserve">Partei </w:t>
      </w:r>
      <w:r>
        <w:rPr>
          <w:color w:val="231F20"/>
          <w:sz w:val="20"/>
        </w:rPr>
        <w:t>(Free Democratic Party); Germany’s mainstream liberal</w:t>
      </w:r>
      <w:r>
        <w:rPr>
          <w:color w:val="231F20"/>
          <w:spacing w:val="31"/>
          <w:sz w:val="20"/>
        </w:rPr>
        <w:t xml:space="preserve"> </w:t>
      </w:r>
      <w:r>
        <w:rPr>
          <w:color w:val="231F20"/>
          <w:spacing w:val="-4"/>
          <w:sz w:val="20"/>
        </w:rPr>
        <w:t>party.</w:t>
      </w:r>
    </w:p>
    <w:p w14:paraId="0A4A5DCC" w14:textId="77777777" w:rsidR="002653E8" w:rsidRDefault="003115E3">
      <w:pPr>
        <w:pStyle w:val="a3"/>
        <w:tabs>
          <w:tab w:val="left" w:pos="2747"/>
        </w:tabs>
        <w:spacing w:line="264" w:lineRule="auto"/>
        <w:ind w:left="2747" w:right="1330" w:hanging="1200"/>
      </w:pPr>
      <w:r>
        <w:rPr>
          <w:color w:val="231F20"/>
        </w:rPr>
        <w:t>GIM</w:t>
      </w:r>
      <w:r>
        <w:rPr>
          <w:color w:val="231F20"/>
        </w:rPr>
        <w:tab/>
      </w:r>
      <w:r>
        <w:rPr>
          <w:i/>
          <w:color w:val="231F20"/>
        </w:rPr>
        <w:t xml:space="preserve">Groupe Internationale Marxisten </w:t>
      </w:r>
      <w:r>
        <w:rPr>
          <w:color w:val="231F20"/>
        </w:rPr>
        <w:t xml:space="preserve">(International Marxist Group); </w:t>
      </w:r>
      <w:r>
        <w:rPr>
          <w:color w:val="231F20"/>
          <w:spacing w:val="-4"/>
        </w:rPr>
        <w:t xml:space="preserve">West </w:t>
      </w:r>
      <w:r>
        <w:rPr>
          <w:color w:val="231F20"/>
        </w:rPr>
        <w:t xml:space="preserve">German section of the Trotskyist Fourth International active in the FRG in </w:t>
      </w:r>
      <w:r>
        <w:rPr>
          <w:color w:val="231F20"/>
          <w:w w:val="96"/>
        </w:rPr>
        <w:t>the</w:t>
      </w:r>
      <w:r>
        <w:rPr>
          <w:color w:val="231F20"/>
          <w:spacing w:val="10"/>
        </w:rPr>
        <w:t xml:space="preserve"> </w:t>
      </w:r>
      <w:r>
        <w:rPr>
          <w:color w:val="231F20"/>
          <w:w w:val="94"/>
        </w:rPr>
        <w:t>seventies</w:t>
      </w:r>
      <w:r>
        <w:rPr>
          <w:color w:val="231F20"/>
          <w:spacing w:val="10"/>
        </w:rPr>
        <w:t xml:space="preserve"> </w:t>
      </w:r>
      <w:r>
        <w:rPr>
          <w:color w:val="231F20"/>
        </w:rPr>
        <w:t>and</w:t>
      </w:r>
      <w:r>
        <w:rPr>
          <w:color w:val="231F20"/>
          <w:spacing w:val="10"/>
        </w:rPr>
        <w:t xml:space="preserve"> </w:t>
      </w:r>
      <w:r>
        <w:rPr>
          <w:color w:val="231F20"/>
          <w:w w:val="98"/>
        </w:rPr>
        <w:t>eighties,</w:t>
      </w:r>
      <w:r>
        <w:rPr>
          <w:color w:val="231F20"/>
          <w:spacing w:val="3"/>
        </w:rPr>
        <w:t xml:space="preserve"> </w:t>
      </w:r>
      <w:r>
        <w:rPr>
          <w:color w:val="231F20"/>
          <w:w w:val="97"/>
        </w:rPr>
        <w:t>fused</w:t>
      </w:r>
      <w:r>
        <w:rPr>
          <w:color w:val="231F20"/>
          <w:spacing w:val="10"/>
        </w:rPr>
        <w:t xml:space="preserve"> </w:t>
      </w:r>
      <w:r>
        <w:rPr>
          <w:color w:val="231F20"/>
        </w:rPr>
        <w:t>with</w:t>
      </w:r>
      <w:r>
        <w:rPr>
          <w:color w:val="231F20"/>
          <w:spacing w:val="10"/>
        </w:rPr>
        <w:t xml:space="preserve"> </w:t>
      </w:r>
      <w:r>
        <w:rPr>
          <w:color w:val="231F20"/>
          <w:w w:val="96"/>
        </w:rPr>
        <w:t>the</w:t>
      </w:r>
      <w:r>
        <w:rPr>
          <w:color w:val="231F20"/>
          <w:spacing w:val="10"/>
        </w:rPr>
        <w:t xml:space="preserve"> </w:t>
      </w:r>
      <w:r>
        <w:rPr>
          <w:color w:val="231F20"/>
          <w:w w:val="110"/>
        </w:rPr>
        <w:t>KP</w:t>
      </w:r>
      <w:r>
        <w:rPr>
          <w:color w:val="231F20"/>
          <w:spacing w:val="-1"/>
          <w:w w:val="110"/>
        </w:rPr>
        <w:t>D</w:t>
      </w:r>
      <w:r>
        <w:rPr>
          <w:color w:val="231F20"/>
          <w:w w:val="56"/>
        </w:rPr>
        <w:t>/</w:t>
      </w:r>
      <w:r>
        <w:rPr>
          <w:color w:val="231F20"/>
          <w:w w:val="119"/>
        </w:rPr>
        <w:t>ML</w:t>
      </w:r>
      <w:r>
        <w:rPr>
          <w:color w:val="231F20"/>
          <w:spacing w:val="10"/>
        </w:rPr>
        <w:t xml:space="preserve"> </w:t>
      </w:r>
      <w:r>
        <w:rPr>
          <w:color w:val="231F20"/>
          <w:w w:val="102"/>
        </w:rPr>
        <w:t xml:space="preserve">to </w:t>
      </w:r>
      <w:r>
        <w:rPr>
          <w:color w:val="231F20"/>
        </w:rPr>
        <w:t>form the VSP in</w:t>
      </w:r>
      <w:r>
        <w:rPr>
          <w:color w:val="231F20"/>
          <w:spacing w:val="38"/>
        </w:rPr>
        <w:t xml:space="preserve"> </w:t>
      </w:r>
      <w:r>
        <w:rPr>
          <w:color w:val="231F20"/>
        </w:rPr>
        <w:t>1986.</w:t>
      </w:r>
    </w:p>
    <w:p w14:paraId="61FD13D4" w14:textId="77777777" w:rsidR="002653E8" w:rsidRDefault="003115E3">
      <w:pPr>
        <w:pStyle w:val="a3"/>
        <w:tabs>
          <w:tab w:val="left" w:pos="2747"/>
        </w:tabs>
        <w:spacing w:line="261" w:lineRule="auto"/>
        <w:ind w:left="2747" w:right="1767" w:hanging="1200"/>
      </w:pPr>
      <w:r>
        <w:rPr>
          <w:color w:val="231F20"/>
          <w:w w:val="105"/>
        </w:rPr>
        <w:t>GSG-9</w:t>
      </w:r>
      <w:r>
        <w:rPr>
          <w:color w:val="231F20"/>
          <w:w w:val="105"/>
        </w:rPr>
        <w:tab/>
      </w:r>
      <w:r>
        <w:rPr>
          <w:i/>
          <w:color w:val="231F20"/>
          <w:w w:val="105"/>
        </w:rPr>
        <w:t>Grenzschutzgruppe</w:t>
      </w:r>
      <w:r>
        <w:rPr>
          <w:i/>
          <w:color w:val="231F20"/>
          <w:spacing w:val="-12"/>
          <w:w w:val="105"/>
        </w:rPr>
        <w:t xml:space="preserve"> </w:t>
      </w:r>
      <w:r>
        <w:rPr>
          <w:rFonts w:ascii="Bookman Old Style" w:hAnsi="Bookman Old Style"/>
          <w:i/>
          <w:color w:val="231F20"/>
          <w:w w:val="105"/>
        </w:rPr>
        <w:t>9</w:t>
      </w:r>
      <w:r>
        <w:rPr>
          <w:rFonts w:ascii="Bookman Old Style" w:hAnsi="Bookman Old Style"/>
          <w:i/>
          <w:color w:val="231F20"/>
          <w:spacing w:val="-29"/>
          <w:w w:val="105"/>
        </w:rPr>
        <w:t xml:space="preserve"> </w:t>
      </w:r>
      <w:r>
        <w:rPr>
          <w:color w:val="231F20"/>
          <w:w w:val="105"/>
        </w:rPr>
        <w:t>(Border</w:t>
      </w:r>
      <w:r>
        <w:rPr>
          <w:color w:val="231F20"/>
          <w:spacing w:val="-12"/>
          <w:w w:val="105"/>
        </w:rPr>
        <w:t xml:space="preserve"> </w:t>
      </w:r>
      <w:r>
        <w:rPr>
          <w:color w:val="231F20"/>
          <w:w w:val="105"/>
        </w:rPr>
        <w:t>Patrol</w:t>
      </w:r>
      <w:r>
        <w:rPr>
          <w:color w:val="231F20"/>
          <w:spacing w:val="-12"/>
          <w:w w:val="105"/>
        </w:rPr>
        <w:t xml:space="preserve"> </w:t>
      </w:r>
      <w:r>
        <w:rPr>
          <w:color w:val="231F20"/>
          <w:w w:val="105"/>
        </w:rPr>
        <w:t>Group</w:t>
      </w:r>
      <w:r>
        <w:rPr>
          <w:color w:val="231F20"/>
          <w:spacing w:val="-12"/>
          <w:w w:val="105"/>
        </w:rPr>
        <w:t xml:space="preserve"> </w:t>
      </w:r>
      <w:r>
        <w:rPr>
          <w:color w:val="231F20"/>
          <w:w w:val="105"/>
        </w:rPr>
        <w:t>9); officially</w:t>
      </w:r>
      <w:r>
        <w:rPr>
          <w:color w:val="231F20"/>
          <w:spacing w:val="-10"/>
          <w:w w:val="105"/>
        </w:rPr>
        <w:t xml:space="preserve"> </w:t>
      </w:r>
      <w:r>
        <w:rPr>
          <w:color w:val="231F20"/>
          <w:w w:val="105"/>
        </w:rPr>
        <w:t>part</w:t>
      </w:r>
      <w:r>
        <w:rPr>
          <w:color w:val="231F20"/>
          <w:spacing w:val="-10"/>
          <w:w w:val="105"/>
        </w:rPr>
        <w:t xml:space="preserve"> </w:t>
      </w:r>
      <w:r>
        <w:rPr>
          <w:color w:val="231F20"/>
          <w:w w:val="105"/>
        </w:rPr>
        <w:t>of</w:t>
      </w:r>
      <w:r>
        <w:rPr>
          <w:color w:val="231F20"/>
          <w:spacing w:val="-10"/>
          <w:w w:val="105"/>
        </w:rPr>
        <w:t xml:space="preserve"> </w:t>
      </w:r>
      <w:r>
        <w:rPr>
          <w:color w:val="231F20"/>
          <w:w w:val="105"/>
        </w:rPr>
        <w:t>the</w:t>
      </w:r>
      <w:r>
        <w:rPr>
          <w:color w:val="231F20"/>
          <w:spacing w:val="-10"/>
          <w:w w:val="105"/>
        </w:rPr>
        <w:t xml:space="preserve"> </w:t>
      </w:r>
      <w:r>
        <w:rPr>
          <w:color w:val="231F20"/>
          <w:w w:val="105"/>
        </w:rPr>
        <w:t>BGS,</w:t>
      </w:r>
      <w:r>
        <w:rPr>
          <w:color w:val="231F20"/>
          <w:spacing w:val="-15"/>
          <w:w w:val="105"/>
        </w:rPr>
        <w:t xml:space="preserve"> </w:t>
      </w:r>
      <w:r>
        <w:rPr>
          <w:color w:val="231F20"/>
          <w:w w:val="105"/>
        </w:rPr>
        <w:t>in</w:t>
      </w:r>
      <w:r>
        <w:rPr>
          <w:color w:val="231F20"/>
          <w:spacing w:val="-10"/>
          <w:w w:val="105"/>
        </w:rPr>
        <w:t xml:space="preserve"> </w:t>
      </w:r>
      <w:r>
        <w:rPr>
          <w:color w:val="231F20"/>
          <w:w w:val="105"/>
        </w:rPr>
        <w:t>practice</w:t>
      </w:r>
      <w:r>
        <w:rPr>
          <w:color w:val="231F20"/>
          <w:spacing w:val="-10"/>
          <w:w w:val="105"/>
        </w:rPr>
        <w:t xml:space="preserve"> </w:t>
      </w:r>
      <w:r>
        <w:rPr>
          <w:color w:val="231F20"/>
          <w:w w:val="105"/>
        </w:rPr>
        <w:t>Germany’s antiterrorist special operations unit.</w:t>
      </w:r>
    </w:p>
    <w:p w14:paraId="44EE991C" w14:textId="77777777" w:rsidR="002653E8" w:rsidRDefault="003115E3">
      <w:pPr>
        <w:tabs>
          <w:tab w:val="left" w:pos="2747"/>
        </w:tabs>
        <w:spacing w:line="264" w:lineRule="auto"/>
        <w:ind w:left="2747" w:right="1848" w:hanging="1200"/>
        <w:rPr>
          <w:sz w:val="20"/>
        </w:rPr>
      </w:pPr>
      <w:r>
        <w:rPr>
          <w:color w:val="231F20"/>
          <w:sz w:val="20"/>
        </w:rPr>
        <w:t>KB</w:t>
      </w:r>
      <w:r>
        <w:rPr>
          <w:color w:val="231F20"/>
          <w:sz w:val="20"/>
        </w:rPr>
        <w:tab/>
      </w:r>
      <w:r>
        <w:rPr>
          <w:i/>
          <w:color w:val="231F20"/>
          <w:sz w:val="20"/>
        </w:rPr>
        <w:t xml:space="preserve">Kommunistischer Bund </w:t>
      </w:r>
      <w:r>
        <w:rPr>
          <w:color w:val="231F20"/>
          <w:sz w:val="20"/>
        </w:rPr>
        <w:t>(Communist League); a small Maoist group active in the</w:t>
      </w:r>
      <w:r>
        <w:rPr>
          <w:color w:val="231F20"/>
          <w:spacing w:val="15"/>
          <w:sz w:val="20"/>
        </w:rPr>
        <w:t xml:space="preserve"> </w:t>
      </w:r>
      <w:r>
        <w:rPr>
          <w:color w:val="231F20"/>
          <w:sz w:val="20"/>
        </w:rPr>
        <w:t>seventies.</w:t>
      </w:r>
    </w:p>
    <w:p w14:paraId="1074B2FF" w14:textId="77777777" w:rsidR="002653E8" w:rsidRDefault="003115E3">
      <w:pPr>
        <w:pStyle w:val="a3"/>
        <w:tabs>
          <w:tab w:val="left" w:pos="2747"/>
        </w:tabs>
        <w:spacing w:line="264" w:lineRule="auto"/>
        <w:ind w:left="2747" w:right="1457" w:hanging="1200"/>
      </w:pPr>
      <w:r w:rsidRPr="00C507A5">
        <w:rPr>
          <w:color w:val="231F20"/>
          <w:lang w:val="de-DE"/>
        </w:rPr>
        <w:t>KBW</w:t>
      </w:r>
      <w:r w:rsidRPr="00C507A5">
        <w:rPr>
          <w:color w:val="231F20"/>
          <w:lang w:val="de-DE"/>
        </w:rPr>
        <w:tab/>
      </w:r>
      <w:r w:rsidRPr="00C507A5">
        <w:rPr>
          <w:i/>
          <w:color w:val="231F20"/>
          <w:lang w:val="de-DE"/>
        </w:rPr>
        <w:t xml:space="preserve">Kommunistischer Bund Westdeutschland </w:t>
      </w:r>
      <w:r w:rsidRPr="00C507A5">
        <w:rPr>
          <w:color w:val="231F20"/>
          <w:spacing w:val="-3"/>
          <w:lang w:val="de-DE"/>
        </w:rPr>
        <w:t xml:space="preserve">(West </w:t>
      </w:r>
      <w:r w:rsidRPr="00C507A5">
        <w:rPr>
          <w:color w:val="231F20"/>
          <w:lang w:val="de-DE"/>
        </w:rPr>
        <w:t xml:space="preserve">German Communist League); founded in Bremen in 1973. </w:t>
      </w:r>
      <w:r>
        <w:rPr>
          <w:color w:val="231F20"/>
        </w:rPr>
        <w:t xml:space="preserve">A Maoist organization originally associated with China, subsequently shifted their support to Albania and Pol </w:t>
      </w:r>
      <w:r>
        <w:rPr>
          <w:color w:val="231F20"/>
          <w:spacing w:val="-3"/>
        </w:rPr>
        <w:t xml:space="preserve">Pot’s </w:t>
      </w:r>
      <w:r>
        <w:rPr>
          <w:color w:val="231F20"/>
        </w:rPr>
        <w:t>Cambodian regime. Dissolved in</w:t>
      </w:r>
      <w:r>
        <w:rPr>
          <w:color w:val="231F20"/>
          <w:spacing w:val="10"/>
        </w:rPr>
        <w:t xml:space="preserve"> </w:t>
      </w:r>
      <w:r>
        <w:rPr>
          <w:color w:val="231F20"/>
        </w:rPr>
        <w:t>1985.</w:t>
      </w:r>
    </w:p>
    <w:p w14:paraId="6803A2B9" w14:textId="77777777" w:rsidR="002653E8" w:rsidRDefault="003115E3">
      <w:pPr>
        <w:pStyle w:val="a3"/>
        <w:tabs>
          <w:tab w:val="left" w:pos="2747"/>
        </w:tabs>
        <w:spacing w:line="264" w:lineRule="auto"/>
        <w:ind w:left="2747" w:right="1572" w:hanging="1200"/>
      </w:pPr>
      <w:r>
        <w:rPr>
          <w:color w:val="231F20"/>
          <w:w w:val="105"/>
        </w:rPr>
        <w:t>KPD</w:t>
      </w:r>
      <w:r>
        <w:rPr>
          <w:color w:val="231F20"/>
          <w:w w:val="105"/>
        </w:rPr>
        <w:tab/>
      </w:r>
      <w:r>
        <w:rPr>
          <w:i/>
          <w:color w:val="231F20"/>
          <w:w w:val="105"/>
        </w:rPr>
        <w:t>Kommunistische</w:t>
      </w:r>
      <w:r>
        <w:rPr>
          <w:i/>
          <w:color w:val="231F20"/>
          <w:spacing w:val="-18"/>
          <w:w w:val="105"/>
        </w:rPr>
        <w:t xml:space="preserve"> </w:t>
      </w:r>
      <w:r>
        <w:rPr>
          <w:i/>
          <w:color w:val="231F20"/>
          <w:spacing w:val="-4"/>
          <w:w w:val="105"/>
        </w:rPr>
        <w:t>Partei</w:t>
      </w:r>
      <w:r>
        <w:rPr>
          <w:i/>
          <w:color w:val="231F20"/>
          <w:spacing w:val="-18"/>
          <w:w w:val="105"/>
        </w:rPr>
        <w:t xml:space="preserve"> </w:t>
      </w:r>
      <w:r>
        <w:rPr>
          <w:i/>
          <w:color w:val="231F20"/>
          <w:w w:val="105"/>
        </w:rPr>
        <w:t>Deutschlands</w:t>
      </w:r>
      <w:r>
        <w:rPr>
          <w:i/>
          <w:color w:val="231F20"/>
          <w:spacing w:val="-18"/>
          <w:w w:val="105"/>
        </w:rPr>
        <w:t xml:space="preserve"> </w:t>
      </w:r>
      <w:r>
        <w:rPr>
          <w:color w:val="231F20"/>
          <w:w w:val="105"/>
        </w:rPr>
        <w:t>(Communist Party of Germany); pro-Soviet communist party founded in 1919, banned under Hitler in 1933 and under Adenauer in 1956, rebranded as DKP (German Communist Party) in</w:t>
      </w:r>
      <w:r>
        <w:rPr>
          <w:color w:val="231F20"/>
          <w:spacing w:val="16"/>
          <w:w w:val="105"/>
        </w:rPr>
        <w:t xml:space="preserve"> </w:t>
      </w:r>
      <w:r>
        <w:rPr>
          <w:color w:val="231F20"/>
          <w:w w:val="105"/>
        </w:rPr>
        <w:t>1968.</w:t>
      </w:r>
    </w:p>
    <w:p w14:paraId="6E8674FC" w14:textId="77777777" w:rsidR="002653E8" w:rsidRDefault="003115E3">
      <w:pPr>
        <w:pStyle w:val="a3"/>
        <w:spacing w:line="264" w:lineRule="auto"/>
        <w:ind w:left="2747" w:right="1580"/>
      </w:pPr>
      <w:r>
        <w:rPr>
          <w:color w:val="231F20"/>
          <w:w w:val="104"/>
        </w:rPr>
        <w:t>Also</w:t>
      </w:r>
      <w:r>
        <w:rPr>
          <w:color w:val="231F20"/>
        </w:rPr>
        <w:t xml:space="preserve"> </w:t>
      </w:r>
      <w:r>
        <w:rPr>
          <w:color w:val="231F20"/>
          <w:w w:val="102"/>
        </w:rPr>
        <w:t>a</w:t>
      </w:r>
      <w:r>
        <w:rPr>
          <w:color w:val="231F20"/>
        </w:rPr>
        <w:t xml:space="preserve"> </w:t>
      </w:r>
      <w:r>
        <w:rPr>
          <w:color w:val="231F20"/>
          <w:w w:val="106"/>
        </w:rPr>
        <w:t>Maoist</w:t>
      </w:r>
      <w:r>
        <w:rPr>
          <w:color w:val="231F20"/>
        </w:rPr>
        <w:t xml:space="preserve"> </w:t>
      </w:r>
      <w:r>
        <w:rPr>
          <w:color w:val="231F20"/>
          <w:w w:val="99"/>
        </w:rPr>
        <w:t>party</w:t>
      </w:r>
      <w:r>
        <w:rPr>
          <w:color w:val="231F20"/>
        </w:rPr>
        <w:t xml:space="preserve"> founded by </w:t>
      </w:r>
      <w:r>
        <w:rPr>
          <w:color w:val="231F20"/>
          <w:w w:val="96"/>
        </w:rPr>
        <w:t>the</w:t>
      </w:r>
      <w:r>
        <w:rPr>
          <w:color w:val="231F20"/>
        </w:rPr>
        <w:t xml:space="preserve"> </w:t>
      </w:r>
      <w:r>
        <w:rPr>
          <w:color w:val="231F20"/>
          <w:w w:val="110"/>
        </w:rPr>
        <w:t>KPD</w:t>
      </w:r>
      <w:r>
        <w:rPr>
          <w:color w:val="231F20"/>
          <w:w w:val="56"/>
        </w:rPr>
        <w:t>/</w:t>
      </w:r>
      <w:r>
        <w:rPr>
          <w:color w:val="231F20"/>
          <w:w w:val="121"/>
        </w:rPr>
        <w:t>AO</w:t>
      </w:r>
      <w:r>
        <w:rPr>
          <w:color w:val="231F20"/>
        </w:rPr>
        <w:t xml:space="preserve"> </w:t>
      </w:r>
      <w:r>
        <w:rPr>
          <w:color w:val="231F20"/>
          <w:w w:val="99"/>
        </w:rPr>
        <w:t xml:space="preserve">in </w:t>
      </w:r>
      <w:r>
        <w:rPr>
          <w:color w:val="231F20"/>
        </w:rPr>
        <w:t>1971 and dissolved in 1980.</w:t>
      </w:r>
    </w:p>
    <w:p w14:paraId="3742E953" w14:textId="77777777" w:rsidR="002653E8" w:rsidRDefault="003115E3">
      <w:pPr>
        <w:tabs>
          <w:tab w:val="left" w:pos="2747"/>
        </w:tabs>
        <w:spacing w:line="264" w:lineRule="auto"/>
        <w:ind w:left="2747" w:right="1381" w:hanging="1200"/>
        <w:rPr>
          <w:sz w:val="20"/>
        </w:rPr>
      </w:pPr>
      <w:r>
        <w:rPr>
          <w:color w:val="231F20"/>
          <w:w w:val="110"/>
          <w:sz w:val="20"/>
        </w:rPr>
        <w:t>KP</w:t>
      </w:r>
      <w:r>
        <w:rPr>
          <w:color w:val="231F20"/>
          <w:spacing w:val="-1"/>
          <w:w w:val="110"/>
          <w:sz w:val="20"/>
        </w:rPr>
        <w:t>D</w:t>
      </w:r>
      <w:r>
        <w:rPr>
          <w:color w:val="231F20"/>
          <w:w w:val="56"/>
          <w:sz w:val="20"/>
        </w:rPr>
        <w:t>/</w:t>
      </w:r>
      <w:r>
        <w:rPr>
          <w:color w:val="231F20"/>
          <w:spacing w:val="-8"/>
          <w:w w:val="121"/>
          <w:sz w:val="20"/>
        </w:rPr>
        <w:t>A</w:t>
      </w:r>
      <w:r>
        <w:rPr>
          <w:color w:val="231F20"/>
          <w:w w:val="121"/>
          <w:sz w:val="20"/>
        </w:rPr>
        <w:t>O</w:t>
      </w:r>
      <w:r>
        <w:rPr>
          <w:color w:val="231F20"/>
          <w:sz w:val="20"/>
        </w:rPr>
        <w:tab/>
      </w:r>
      <w:r>
        <w:rPr>
          <w:i/>
          <w:color w:val="231F20"/>
          <w:spacing w:val="-11"/>
          <w:w w:val="119"/>
          <w:sz w:val="20"/>
        </w:rPr>
        <w:t>K</w:t>
      </w:r>
      <w:r>
        <w:rPr>
          <w:i/>
          <w:color w:val="231F20"/>
          <w:w w:val="103"/>
          <w:sz w:val="20"/>
        </w:rPr>
        <w:t>ommunistis</w:t>
      </w:r>
      <w:r>
        <w:rPr>
          <w:i/>
          <w:color w:val="231F20"/>
          <w:spacing w:val="-3"/>
          <w:w w:val="103"/>
          <w:sz w:val="20"/>
        </w:rPr>
        <w:t>c</w:t>
      </w:r>
      <w:r>
        <w:rPr>
          <w:i/>
          <w:color w:val="231F20"/>
          <w:w w:val="101"/>
          <w:sz w:val="20"/>
        </w:rPr>
        <w:t>he</w:t>
      </w:r>
      <w:r>
        <w:rPr>
          <w:i/>
          <w:color w:val="231F20"/>
          <w:spacing w:val="10"/>
          <w:sz w:val="20"/>
        </w:rPr>
        <w:t xml:space="preserve"> </w:t>
      </w:r>
      <w:r>
        <w:rPr>
          <w:i/>
          <w:color w:val="231F20"/>
          <w:spacing w:val="-23"/>
          <w:w w:val="110"/>
          <w:sz w:val="20"/>
        </w:rPr>
        <w:t>P</w:t>
      </w:r>
      <w:r>
        <w:rPr>
          <w:i/>
          <w:color w:val="231F20"/>
          <w:w w:val="96"/>
          <w:sz w:val="20"/>
        </w:rPr>
        <w:t>artei</w:t>
      </w:r>
      <w:r>
        <w:rPr>
          <w:i/>
          <w:color w:val="231F20"/>
          <w:spacing w:val="10"/>
          <w:sz w:val="20"/>
        </w:rPr>
        <w:t xml:space="preserve"> </w:t>
      </w:r>
      <w:r>
        <w:rPr>
          <w:i/>
          <w:color w:val="231F20"/>
          <w:w w:val="107"/>
          <w:sz w:val="20"/>
        </w:rPr>
        <w:t>Deuts</w:t>
      </w:r>
      <w:r>
        <w:rPr>
          <w:i/>
          <w:color w:val="231F20"/>
          <w:spacing w:val="-3"/>
          <w:w w:val="107"/>
          <w:sz w:val="20"/>
        </w:rPr>
        <w:t>c</w:t>
      </w:r>
      <w:r>
        <w:rPr>
          <w:i/>
          <w:color w:val="231F20"/>
          <w:w w:val="96"/>
          <w:sz w:val="20"/>
        </w:rPr>
        <w:t xml:space="preserve">hlands/ </w:t>
      </w:r>
      <w:r>
        <w:rPr>
          <w:i/>
          <w:color w:val="231F20"/>
          <w:sz w:val="20"/>
        </w:rPr>
        <w:t xml:space="preserve">Aufbauorganisation </w:t>
      </w:r>
      <w:r>
        <w:rPr>
          <w:color w:val="231F20"/>
          <w:sz w:val="20"/>
        </w:rPr>
        <w:t xml:space="preserve">(Communist Party of Germany/ </w:t>
      </w:r>
      <w:r>
        <w:rPr>
          <w:color w:val="231F20"/>
          <w:w w:val="105"/>
          <w:sz w:val="20"/>
        </w:rPr>
        <w:t>Pre-Party Formation); a Maoist organization founded in 1970, became the KPD in</w:t>
      </w:r>
      <w:r>
        <w:rPr>
          <w:color w:val="231F20"/>
          <w:spacing w:val="16"/>
          <w:w w:val="105"/>
          <w:sz w:val="20"/>
        </w:rPr>
        <w:t xml:space="preserve"> </w:t>
      </w:r>
      <w:r>
        <w:rPr>
          <w:color w:val="231F20"/>
          <w:w w:val="105"/>
          <w:sz w:val="20"/>
        </w:rPr>
        <w:t>1971.</w:t>
      </w:r>
    </w:p>
    <w:p w14:paraId="1CFDDFB5" w14:textId="77777777" w:rsidR="002653E8" w:rsidRDefault="002653E8">
      <w:pPr>
        <w:spacing w:line="264" w:lineRule="auto"/>
        <w:rPr>
          <w:sz w:val="20"/>
        </w:rPr>
        <w:sectPr w:rsidR="002653E8">
          <w:pgSz w:w="8640" w:h="12960"/>
          <w:pgMar w:top="1060" w:right="0" w:bottom="1040" w:left="0" w:header="0" w:footer="850" w:gutter="0"/>
          <w:cols w:space="720"/>
        </w:sectPr>
      </w:pPr>
    </w:p>
    <w:p w14:paraId="527BF254" w14:textId="77777777" w:rsidR="002653E8" w:rsidRDefault="003115E3">
      <w:pPr>
        <w:tabs>
          <w:tab w:val="left" w:pos="2927"/>
        </w:tabs>
        <w:spacing w:before="86" w:line="264" w:lineRule="auto"/>
        <w:ind w:left="2927" w:right="1264" w:hanging="1200"/>
        <w:rPr>
          <w:sz w:val="20"/>
        </w:rPr>
      </w:pPr>
      <w:r>
        <w:rPr>
          <w:color w:val="231F20"/>
          <w:w w:val="110"/>
          <w:sz w:val="20"/>
        </w:rPr>
        <w:lastRenderedPageBreak/>
        <w:t>KP</w:t>
      </w:r>
      <w:r>
        <w:rPr>
          <w:color w:val="231F20"/>
          <w:spacing w:val="-1"/>
          <w:w w:val="110"/>
          <w:sz w:val="20"/>
        </w:rPr>
        <w:t>D</w:t>
      </w:r>
      <w:r>
        <w:rPr>
          <w:color w:val="231F20"/>
          <w:w w:val="56"/>
          <w:sz w:val="20"/>
        </w:rPr>
        <w:t>/</w:t>
      </w:r>
      <w:r>
        <w:rPr>
          <w:color w:val="231F20"/>
          <w:w w:val="119"/>
          <w:sz w:val="20"/>
        </w:rPr>
        <w:t>ML</w:t>
      </w:r>
      <w:r>
        <w:rPr>
          <w:color w:val="231F20"/>
          <w:sz w:val="20"/>
        </w:rPr>
        <w:tab/>
      </w:r>
      <w:r>
        <w:rPr>
          <w:i/>
          <w:color w:val="231F20"/>
          <w:spacing w:val="-11"/>
          <w:w w:val="119"/>
          <w:sz w:val="20"/>
        </w:rPr>
        <w:t>K</w:t>
      </w:r>
      <w:r>
        <w:rPr>
          <w:i/>
          <w:color w:val="231F20"/>
          <w:w w:val="103"/>
          <w:sz w:val="20"/>
        </w:rPr>
        <w:t>ommunistis</w:t>
      </w:r>
      <w:r>
        <w:rPr>
          <w:i/>
          <w:color w:val="231F20"/>
          <w:spacing w:val="-3"/>
          <w:w w:val="103"/>
          <w:sz w:val="20"/>
        </w:rPr>
        <w:t>c</w:t>
      </w:r>
      <w:r>
        <w:rPr>
          <w:i/>
          <w:color w:val="231F20"/>
          <w:w w:val="101"/>
          <w:sz w:val="20"/>
        </w:rPr>
        <w:t>he</w:t>
      </w:r>
      <w:r>
        <w:rPr>
          <w:i/>
          <w:color w:val="231F20"/>
          <w:spacing w:val="10"/>
          <w:sz w:val="20"/>
        </w:rPr>
        <w:t xml:space="preserve"> </w:t>
      </w:r>
      <w:r>
        <w:rPr>
          <w:i/>
          <w:color w:val="231F20"/>
          <w:spacing w:val="-23"/>
          <w:w w:val="110"/>
          <w:sz w:val="20"/>
        </w:rPr>
        <w:t>P</w:t>
      </w:r>
      <w:r>
        <w:rPr>
          <w:i/>
          <w:color w:val="231F20"/>
          <w:w w:val="96"/>
          <w:sz w:val="20"/>
        </w:rPr>
        <w:t>artei</w:t>
      </w:r>
      <w:r>
        <w:rPr>
          <w:i/>
          <w:color w:val="231F20"/>
          <w:spacing w:val="10"/>
          <w:sz w:val="20"/>
        </w:rPr>
        <w:t xml:space="preserve"> </w:t>
      </w:r>
      <w:r>
        <w:rPr>
          <w:i/>
          <w:color w:val="231F20"/>
          <w:w w:val="107"/>
          <w:sz w:val="20"/>
        </w:rPr>
        <w:t>Deuts</w:t>
      </w:r>
      <w:r>
        <w:rPr>
          <w:i/>
          <w:color w:val="231F20"/>
          <w:spacing w:val="-3"/>
          <w:w w:val="107"/>
          <w:sz w:val="20"/>
        </w:rPr>
        <w:t>c</w:t>
      </w:r>
      <w:r>
        <w:rPr>
          <w:i/>
          <w:color w:val="231F20"/>
          <w:w w:val="101"/>
          <w:sz w:val="20"/>
        </w:rPr>
        <w:t>hlands/Marxisten</w:t>
      </w:r>
      <w:r>
        <w:rPr>
          <w:i/>
          <w:color w:val="231F20"/>
          <w:w w:val="105"/>
          <w:sz w:val="20"/>
        </w:rPr>
        <w:t>Leninisten</w:t>
      </w:r>
      <w:r>
        <w:rPr>
          <w:i/>
          <w:color w:val="231F20"/>
          <w:spacing w:val="-23"/>
          <w:w w:val="105"/>
          <w:sz w:val="20"/>
        </w:rPr>
        <w:t xml:space="preserve"> </w:t>
      </w:r>
      <w:r>
        <w:rPr>
          <w:color w:val="231F20"/>
          <w:w w:val="105"/>
          <w:sz w:val="20"/>
        </w:rPr>
        <w:t>(Communist</w:t>
      </w:r>
      <w:r>
        <w:rPr>
          <w:color w:val="231F20"/>
          <w:spacing w:val="-23"/>
          <w:w w:val="105"/>
          <w:sz w:val="20"/>
        </w:rPr>
        <w:t xml:space="preserve"> </w:t>
      </w:r>
      <w:r>
        <w:rPr>
          <w:color w:val="231F20"/>
          <w:w w:val="105"/>
          <w:sz w:val="20"/>
        </w:rPr>
        <w:t>Party</w:t>
      </w:r>
      <w:r>
        <w:rPr>
          <w:color w:val="231F20"/>
          <w:spacing w:val="-23"/>
          <w:w w:val="105"/>
          <w:sz w:val="20"/>
        </w:rPr>
        <w:t xml:space="preserve"> </w:t>
      </w:r>
      <w:r>
        <w:rPr>
          <w:color w:val="231F20"/>
          <w:w w:val="105"/>
          <w:sz w:val="20"/>
        </w:rPr>
        <w:t>of</w:t>
      </w:r>
      <w:r>
        <w:rPr>
          <w:color w:val="231F20"/>
          <w:spacing w:val="-23"/>
          <w:w w:val="105"/>
          <w:sz w:val="20"/>
        </w:rPr>
        <w:t xml:space="preserve"> </w:t>
      </w:r>
      <w:r>
        <w:rPr>
          <w:color w:val="231F20"/>
          <w:w w:val="105"/>
          <w:sz w:val="20"/>
        </w:rPr>
        <w:t>Germany/MarxistLeninist);</w:t>
      </w:r>
      <w:r>
        <w:rPr>
          <w:color w:val="231F20"/>
          <w:spacing w:val="-14"/>
          <w:w w:val="105"/>
          <w:sz w:val="20"/>
        </w:rPr>
        <w:t xml:space="preserve"> </w:t>
      </w:r>
      <w:r>
        <w:rPr>
          <w:color w:val="231F20"/>
          <w:w w:val="105"/>
          <w:sz w:val="20"/>
        </w:rPr>
        <w:t>a</w:t>
      </w:r>
      <w:r>
        <w:rPr>
          <w:color w:val="231F20"/>
          <w:spacing w:val="-14"/>
          <w:w w:val="105"/>
          <w:sz w:val="20"/>
        </w:rPr>
        <w:t xml:space="preserve"> </w:t>
      </w:r>
      <w:r>
        <w:rPr>
          <w:color w:val="231F20"/>
          <w:w w:val="105"/>
          <w:sz w:val="20"/>
        </w:rPr>
        <w:t>Maoist</w:t>
      </w:r>
      <w:r>
        <w:rPr>
          <w:color w:val="231F20"/>
          <w:spacing w:val="-14"/>
          <w:w w:val="105"/>
          <w:sz w:val="20"/>
        </w:rPr>
        <w:t xml:space="preserve"> </w:t>
      </w:r>
      <w:r>
        <w:rPr>
          <w:color w:val="231F20"/>
          <w:w w:val="105"/>
          <w:sz w:val="20"/>
        </w:rPr>
        <w:t>party</w:t>
      </w:r>
      <w:r>
        <w:rPr>
          <w:color w:val="231F20"/>
          <w:spacing w:val="-14"/>
          <w:w w:val="105"/>
          <w:sz w:val="20"/>
        </w:rPr>
        <w:t xml:space="preserve"> </w:t>
      </w:r>
      <w:r>
        <w:rPr>
          <w:color w:val="231F20"/>
          <w:w w:val="105"/>
          <w:sz w:val="20"/>
        </w:rPr>
        <w:t>founded</w:t>
      </w:r>
      <w:r>
        <w:rPr>
          <w:color w:val="231F20"/>
          <w:spacing w:val="-14"/>
          <w:w w:val="105"/>
          <w:sz w:val="20"/>
        </w:rPr>
        <w:t xml:space="preserve"> </w:t>
      </w:r>
      <w:r>
        <w:rPr>
          <w:color w:val="231F20"/>
          <w:w w:val="105"/>
          <w:sz w:val="20"/>
        </w:rPr>
        <w:t>on</w:t>
      </w:r>
      <w:r>
        <w:rPr>
          <w:color w:val="231F20"/>
          <w:spacing w:val="-14"/>
          <w:w w:val="105"/>
          <w:sz w:val="20"/>
        </w:rPr>
        <w:t xml:space="preserve"> </w:t>
      </w:r>
      <w:r>
        <w:rPr>
          <w:color w:val="231F20"/>
          <w:w w:val="105"/>
          <w:sz w:val="20"/>
        </w:rPr>
        <w:t>December</w:t>
      </w:r>
      <w:r>
        <w:rPr>
          <w:color w:val="231F20"/>
          <w:spacing w:val="-14"/>
          <w:w w:val="105"/>
          <w:sz w:val="20"/>
        </w:rPr>
        <w:t xml:space="preserve"> </w:t>
      </w:r>
      <w:r>
        <w:rPr>
          <w:color w:val="231F20"/>
          <w:w w:val="105"/>
          <w:sz w:val="20"/>
        </w:rPr>
        <w:t>31, 1968. It fused with the Trotskyist GIM in 1986 to form the</w:t>
      </w:r>
      <w:r>
        <w:rPr>
          <w:color w:val="231F20"/>
          <w:spacing w:val="10"/>
          <w:w w:val="105"/>
          <w:sz w:val="20"/>
        </w:rPr>
        <w:t xml:space="preserve"> </w:t>
      </w:r>
      <w:r>
        <w:rPr>
          <w:color w:val="231F20"/>
          <w:spacing w:val="-7"/>
          <w:w w:val="105"/>
          <w:sz w:val="20"/>
        </w:rPr>
        <w:t>VSP.</w:t>
      </w:r>
    </w:p>
    <w:p w14:paraId="780C569B" w14:textId="77777777" w:rsidR="002653E8" w:rsidRDefault="003115E3">
      <w:pPr>
        <w:pStyle w:val="a3"/>
        <w:tabs>
          <w:tab w:val="left" w:pos="2927"/>
        </w:tabs>
        <w:spacing w:line="264" w:lineRule="auto"/>
        <w:ind w:left="2927" w:right="1186" w:hanging="1200"/>
      </w:pPr>
      <w:r>
        <w:rPr>
          <w:color w:val="231F20"/>
          <w:spacing w:val="-3"/>
        </w:rPr>
        <w:t>KSV</w:t>
      </w:r>
      <w:r>
        <w:rPr>
          <w:color w:val="231F20"/>
          <w:spacing w:val="-3"/>
        </w:rPr>
        <w:tab/>
      </w:r>
      <w:r>
        <w:rPr>
          <w:i/>
          <w:color w:val="231F20"/>
        </w:rPr>
        <w:t xml:space="preserve">Kommunistische Studentverband </w:t>
      </w:r>
      <w:r>
        <w:rPr>
          <w:color w:val="231F20"/>
        </w:rPr>
        <w:t xml:space="preserve">(Communist </w:t>
      </w:r>
      <w:r>
        <w:rPr>
          <w:color w:val="231F20"/>
          <w:w w:val="98"/>
        </w:rPr>
        <w:t>Student</w:t>
      </w:r>
      <w:r>
        <w:rPr>
          <w:color w:val="231F20"/>
          <w:spacing w:val="3"/>
        </w:rPr>
        <w:t xml:space="preserve"> </w:t>
      </w:r>
      <w:r>
        <w:rPr>
          <w:color w:val="231F20"/>
        </w:rPr>
        <w:t>Association);</w:t>
      </w:r>
      <w:r>
        <w:rPr>
          <w:color w:val="231F20"/>
          <w:spacing w:val="10"/>
        </w:rPr>
        <w:t xml:space="preserve"> </w:t>
      </w:r>
      <w:r>
        <w:rPr>
          <w:color w:val="231F20"/>
          <w:w w:val="97"/>
        </w:rPr>
        <w:t>student</w:t>
      </w:r>
      <w:r>
        <w:rPr>
          <w:color w:val="231F20"/>
          <w:spacing w:val="10"/>
        </w:rPr>
        <w:t xml:space="preserve"> </w:t>
      </w:r>
      <w:r>
        <w:rPr>
          <w:color w:val="231F20"/>
        </w:rPr>
        <w:t>wing</w:t>
      </w:r>
      <w:r>
        <w:rPr>
          <w:color w:val="231F20"/>
          <w:spacing w:val="10"/>
        </w:rPr>
        <w:t xml:space="preserve"> </w:t>
      </w:r>
      <w:r>
        <w:rPr>
          <w:color w:val="231F20"/>
          <w:w w:val="106"/>
        </w:rPr>
        <w:t>of</w:t>
      </w:r>
      <w:r>
        <w:rPr>
          <w:color w:val="231F20"/>
          <w:spacing w:val="10"/>
        </w:rPr>
        <w:t xml:space="preserve"> </w:t>
      </w:r>
      <w:r>
        <w:rPr>
          <w:color w:val="231F20"/>
          <w:w w:val="96"/>
        </w:rPr>
        <w:t>the</w:t>
      </w:r>
      <w:r>
        <w:rPr>
          <w:color w:val="231F20"/>
          <w:spacing w:val="10"/>
        </w:rPr>
        <w:t xml:space="preserve"> </w:t>
      </w:r>
      <w:r>
        <w:rPr>
          <w:color w:val="231F20"/>
          <w:w w:val="110"/>
        </w:rPr>
        <w:t>KP</w:t>
      </w:r>
      <w:r>
        <w:rPr>
          <w:color w:val="231F20"/>
          <w:spacing w:val="-1"/>
          <w:w w:val="110"/>
        </w:rPr>
        <w:t>D</w:t>
      </w:r>
      <w:r>
        <w:rPr>
          <w:color w:val="231F20"/>
          <w:w w:val="56"/>
        </w:rPr>
        <w:t>/</w:t>
      </w:r>
      <w:r>
        <w:rPr>
          <w:color w:val="231F20"/>
          <w:spacing w:val="-8"/>
          <w:w w:val="121"/>
        </w:rPr>
        <w:t xml:space="preserve">AO </w:t>
      </w:r>
      <w:r>
        <w:rPr>
          <w:color w:val="231F20"/>
        </w:rPr>
        <w:t xml:space="preserve">and later the </w:t>
      </w:r>
      <w:r>
        <w:rPr>
          <w:color w:val="231F20"/>
          <w:spacing w:val="-3"/>
        </w:rPr>
        <w:t xml:space="preserve">KPD, </w:t>
      </w:r>
      <w:r>
        <w:rPr>
          <w:color w:val="231F20"/>
        </w:rPr>
        <w:t>founded in 1971 and dissolved in 1980.</w:t>
      </w:r>
    </w:p>
    <w:p w14:paraId="0C636D33" w14:textId="77777777" w:rsidR="002653E8" w:rsidRDefault="003115E3">
      <w:pPr>
        <w:pStyle w:val="a3"/>
        <w:tabs>
          <w:tab w:val="left" w:pos="2927"/>
        </w:tabs>
        <w:spacing w:line="264" w:lineRule="auto"/>
        <w:ind w:left="2927" w:right="1198" w:hanging="1200"/>
      </w:pPr>
      <w:r>
        <w:rPr>
          <w:color w:val="231F20"/>
          <w:w w:val="105"/>
        </w:rPr>
        <w:t>ID</w:t>
      </w:r>
      <w:r>
        <w:rPr>
          <w:color w:val="231F20"/>
          <w:w w:val="105"/>
        </w:rPr>
        <w:tab/>
      </w:r>
      <w:r>
        <w:rPr>
          <w:i/>
          <w:color w:val="231F20"/>
          <w:w w:val="105"/>
        </w:rPr>
        <w:t xml:space="preserve">Informationsdienst; </w:t>
      </w:r>
      <w:r>
        <w:rPr>
          <w:color w:val="231F20"/>
          <w:w w:val="105"/>
        </w:rPr>
        <w:t>a left-wing news service published</w:t>
      </w:r>
      <w:r>
        <w:rPr>
          <w:color w:val="231F20"/>
          <w:spacing w:val="-16"/>
          <w:w w:val="105"/>
        </w:rPr>
        <w:t xml:space="preserve"> </w:t>
      </w:r>
      <w:r>
        <w:rPr>
          <w:color w:val="231F20"/>
          <w:w w:val="105"/>
        </w:rPr>
        <w:t>weekly</w:t>
      </w:r>
      <w:r>
        <w:rPr>
          <w:color w:val="231F20"/>
          <w:spacing w:val="-16"/>
          <w:w w:val="105"/>
        </w:rPr>
        <w:t xml:space="preserve"> </w:t>
      </w:r>
      <w:r>
        <w:rPr>
          <w:color w:val="231F20"/>
          <w:w w:val="105"/>
        </w:rPr>
        <w:t>from</w:t>
      </w:r>
      <w:r>
        <w:rPr>
          <w:color w:val="231F20"/>
          <w:spacing w:val="-16"/>
          <w:w w:val="105"/>
        </w:rPr>
        <w:t xml:space="preserve"> </w:t>
      </w:r>
      <w:r>
        <w:rPr>
          <w:color w:val="231F20"/>
          <w:w w:val="105"/>
        </w:rPr>
        <w:t>1973</w:t>
      </w:r>
      <w:r>
        <w:rPr>
          <w:color w:val="231F20"/>
          <w:spacing w:val="-16"/>
          <w:w w:val="105"/>
        </w:rPr>
        <w:t xml:space="preserve"> </w:t>
      </w:r>
      <w:r>
        <w:rPr>
          <w:color w:val="231F20"/>
          <w:w w:val="105"/>
        </w:rPr>
        <w:t>until</w:t>
      </w:r>
      <w:r>
        <w:rPr>
          <w:color w:val="231F20"/>
          <w:spacing w:val="-16"/>
          <w:w w:val="105"/>
        </w:rPr>
        <w:t xml:space="preserve"> </w:t>
      </w:r>
      <w:r>
        <w:rPr>
          <w:color w:val="231F20"/>
          <w:w w:val="105"/>
        </w:rPr>
        <w:t>1981.</w:t>
      </w:r>
      <w:r>
        <w:rPr>
          <w:color w:val="231F20"/>
          <w:spacing w:val="-20"/>
          <w:w w:val="105"/>
        </w:rPr>
        <w:t xml:space="preserve"> </w:t>
      </w:r>
      <w:r>
        <w:rPr>
          <w:color w:val="231F20"/>
          <w:w w:val="105"/>
        </w:rPr>
        <w:t>In</w:t>
      </w:r>
      <w:r>
        <w:rPr>
          <w:color w:val="231F20"/>
          <w:spacing w:val="-16"/>
          <w:w w:val="105"/>
        </w:rPr>
        <w:t xml:space="preserve"> </w:t>
      </w:r>
      <w:r>
        <w:rPr>
          <w:color w:val="231F20"/>
          <w:w w:val="105"/>
        </w:rPr>
        <w:t>1988,</w:t>
      </w:r>
      <w:r>
        <w:rPr>
          <w:color w:val="231F20"/>
          <w:spacing w:val="-20"/>
          <w:w w:val="105"/>
        </w:rPr>
        <w:t xml:space="preserve"> </w:t>
      </w:r>
      <w:r>
        <w:rPr>
          <w:color w:val="231F20"/>
          <w:w w:val="105"/>
        </w:rPr>
        <w:t xml:space="preserve">its </w:t>
      </w:r>
      <w:r>
        <w:rPr>
          <w:color w:val="231F20"/>
        </w:rPr>
        <w:t xml:space="preserve">archives were used to launch the left-wing </w:t>
      </w:r>
      <w:r>
        <w:rPr>
          <w:color w:val="231F20"/>
          <w:spacing w:val="-3"/>
        </w:rPr>
        <w:t xml:space="preserve">publisher, </w:t>
      </w:r>
      <w:r>
        <w:rPr>
          <w:color w:val="231F20"/>
          <w:spacing w:val="-3"/>
          <w:w w:val="105"/>
        </w:rPr>
        <w:t xml:space="preserve">Verlag </w:t>
      </w:r>
      <w:r>
        <w:rPr>
          <w:color w:val="231F20"/>
          <w:w w:val="105"/>
        </w:rPr>
        <w:t>Edition ID-Archiv, specializing in books about the German far</w:t>
      </w:r>
      <w:r>
        <w:rPr>
          <w:color w:val="231F20"/>
          <w:spacing w:val="28"/>
          <w:w w:val="105"/>
        </w:rPr>
        <w:t xml:space="preserve"> </w:t>
      </w:r>
      <w:r>
        <w:rPr>
          <w:color w:val="231F20"/>
          <w:w w:val="105"/>
        </w:rPr>
        <w:t>left.</w:t>
      </w:r>
    </w:p>
    <w:p w14:paraId="5D60FECA" w14:textId="77777777" w:rsidR="002653E8" w:rsidRDefault="003115E3">
      <w:pPr>
        <w:tabs>
          <w:tab w:val="left" w:pos="2927"/>
        </w:tabs>
        <w:spacing w:line="264" w:lineRule="auto"/>
        <w:ind w:left="2927" w:right="1178" w:hanging="1200"/>
        <w:rPr>
          <w:sz w:val="20"/>
        </w:rPr>
      </w:pPr>
      <w:r>
        <w:rPr>
          <w:color w:val="231F20"/>
          <w:w w:val="105"/>
          <w:sz w:val="20"/>
        </w:rPr>
        <w:t>LG</w:t>
      </w:r>
      <w:r>
        <w:rPr>
          <w:color w:val="231F20"/>
          <w:w w:val="105"/>
          <w:sz w:val="20"/>
        </w:rPr>
        <w:tab/>
      </w:r>
      <w:r>
        <w:rPr>
          <w:i/>
          <w:color w:val="231F20"/>
          <w:w w:val="105"/>
          <w:sz w:val="20"/>
        </w:rPr>
        <w:t>Landesgericht</w:t>
      </w:r>
      <w:r>
        <w:rPr>
          <w:i/>
          <w:color w:val="231F20"/>
          <w:spacing w:val="-6"/>
          <w:w w:val="105"/>
          <w:sz w:val="20"/>
        </w:rPr>
        <w:t xml:space="preserve"> </w:t>
      </w:r>
      <w:r>
        <w:rPr>
          <w:color w:val="231F20"/>
          <w:w w:val="105"/>
          <w:sz w:val="20"/>
        </w:rPr>
        <w:t>(</w:t>
      </w:r>
      <w:r>
        <w:rPr>
          <w:i/>
          <w:color w:val="231F20"/>
          <w:w w:val="105"/>
          <w:sz w:val="20"/>
        </w:rPr>
        <w:t>Land</w:t>
      </w:r>
      <w:r>
        <w:rPr>
          <w:i/>
          <w:color w:val="231F20"/>
          <w:spacing w:val="-6"/>
          <w:w w:val="105"/>
          <w:sz w:val="20"/>
        </w:rPr>
        <w:t xml:space="preserve"> </w:t>
      </w:r>
      <w:r>
        <w:rPr>
          <w:color w:val="231F20"/>
          <w:w w:val="105"/>
          <w:sz w:val="20"/>
        </w:rPr>
        <w:t>Court);</w:t>
      </w:r>
      <w:r>
        <w:rPr>
          <w:color w:val="231F20"/>
          <w:spacing w:val="-6"/>
          <w:w w:val="105"/>
          <w:sz w:val="20"/>
        </w:rPr>
        <w:t xml:space="preserve"> </w:t>
      </w:r>
      <w:r>
        <w:rPr>
          <w:color w:val="231F20"/>
          <w:w w:val="105"/>
          <w:sz w:val="20"/>
        </w:rPr>
        <w:t>each</w:t>
      </w:r>
      <w:r>
        <w:rPr>
          <w:color w:val="231F20"/>
          <w:spacing w:val="-6"/>
          <w:w w:val="105"/>
          <w:sz w:val="20"/>
        </w:rPr>
        <w:t xml:space="preserve"> </w:t>
      </w:r>
      <w:r>
        <w:rPr>
          <w:color w:val="231F20"/>
          <w:w w:val="105"/>
          <w:sz w:val="20"/>
        </w:rPr>
        <w:t>of</w:t>
      </w:r>
      <w:r>
        <w:rPr>
          <w:color w:val="231F20"/>
          <w:spacing w:val="-6"/>
          <w:w w:val="105"/>
          <w:sz w:val="20"/>
        </w:rPr>
        <w:t xml:space="preserve"> </w:t>
      </w:r>
      <w:r>
        <w:rPr>
          <w:color w:val="231F20"/>
          <w:w w:val="105"/>
          <w:sz w:val="20"/>
        </w:rPr>
        <w:t>the</w:t>
      </w:r>
      <w:r>
        <w:rPr>
          <w:color w:val="231F20"/>
          <w:spacing w:val="-6"/>
          <w:w w:val="105"/>
          <w:sz w:val="20"/>
        </w:rPr>
        <w:t xml:space="preserve"> </w:t>
      </w:r>
      <w:r>
        <w:rPr>
          <w:i/>
          <w:color w:val="231F20"/>
          <w:w w:val="105"/>
          <w:sz w:val="20"/>
        </w:rPr>
        <w:t>Länder</w:t>
      </w:r>
      <w:r>
        <w:rPr>
          <w:i/>
          <w:color w:val="231F20"/>
          <w:spacing w:val="-6"/>
          <w:w w:val="105"/>
          <w:sz w:val="20"/>
        </w:rPr>
        <w:t xml:space="preserve"> </w:t>
      </w:r>
      <w:r>
        <w:rPr>
          <w:color w:val="231F20"/>
          <w:w w:val="105"/>
          <w:sz w:val="20"/>
        </w:rPr>
        <w:t xml:space="preserve">had </w:t>
      </w:r>
      <w:r>
        <w:rPr>
          <w:color w:val="231F20"/>
          <w:spacing w:val="-4"/>
          <w:w w:val="105"/>
          <w:sz w:val="20"/>
        </w:rPr>
        <w:t xml:space="preserve">it’s </w:t>
      </w:r>
      <w:r>
        <w:rPr>
          <w:color w:val="231F20"/>
          <w:w w:val="105"/>
          <w:sz w:val="20"/>
        </w:rPr>
        <w:t>own court</w:t>
      </w:r>
      <w:r>
        <w:rPr>
          <w:color w:val="231F20"/>
          <w:spacing w:val="25"/>
          <w:w w:val="105"/>
          <w:sz w:val="20"/>
        </w:rPr>
        <w:t xml:space="preserve"> </w:t>
      </w:r>
      <w:r>
        <w:rPr>
          <w:color w:val="231F20"/>
          <w:w w:val="105"/>
          <w:sz w:val="20"/>
        </w:rPr>
        <w:t>system.</w:t>
      </w:r>
    </w:p>
    <w:p w14:paraId="6D1B6D3D" w14:textId="77777777" w:rsidR="002653E8" w:rsidRDefault="003115E3">
      <w:pPr>
        <w:pStyle w:val="a3"/>
        <w:tabs>
          <w:tab w:val="left" w:pos="2927"/>
        </w:tabs>
        <w:spacing w:line="264" w:lineRule="auto"/>
        <w:ind w:left="2927" w:right="1376" w:hanging="1200"/>
      </w:pPr>
      <w:r>
        <w:rPr>
          <w:color w:val="231F20"/>
          <w:w w:val="105"/>
        </w:rPr>
        <w:t>LKA</w:t>
      </w:r>
      <w:r>
        <w:rPr>
          <w:color w:val="231F20"/>
          <w:w w:val="105"/>
        </w:rPr>
        <w:tab/>
      </w:r>
      <w:r>
        <w:rPr>
          <w:i/>
          <w:color w:val="231F20"/>
          <w:w w:val="105"/>
        </w:rPr>
        <w:t xml:space="preserve">Landeskriminalamt </w:t>
      </w:r>
      <w:r>
        <w:rPr>
          <w:color w:val="231F20"/>
          <w:w w:val="105"/>
        </w:rPr>
        <w:t>(</w:t>
      </w:r>
      <w:r>
        <w:rPr>
          <w:i/>
          <w:color w:val="231F20"/>
          <w:w w:val="105"/>
        </w:rPr>
        <w:t xml:space="preserve">Land </w:t>
      </w:r>
      <w:r>
        <w:rPr>
          <w:color w:val="231F20"/>
          <w:w w:val="105"/>
        </w:rPr>
        <w:t>Criminal Bureau); the equivalent</w:t>
      </w:r>
      <w:r>
        <w:rPr>
          <w:color w:val="231F20"/>
          <w:spacing w:val="-9"/>
          <w:w w:val="105"/>
        </w:rPr>
        <w:t xml:space="preserve"> </w:t>
      </w:r>
      <w:r>
        <w:rPr>
          <w:color w:val="231F20"/>
          <w:w w:val="105"/>
        </w:rPr>
        <w:t>of</w:t>
      </w:r>
      <w:r>
        <w:rPr>
          <w:color w:val="231F20"/>
          <w:spacing w:val="-9"/>
          <w:w w:val="105"/>
        </w:rPr>
        <w:t xml:space="preserve"> </w:t>
      </w:r>
      <w:r>
        <w:rPr>
          <w:color w:val="231F20"/>
          <w:w w:val="105"/>
        </w:rPr>
        <w:t>the</w:t>
      </w:r>
      <w:r>
        <w:rPr>
          <w:color w:val="231F20"/>
          <w:spacing w:val="-9"/>
          <w:w w:val="105"/>
        </w:rPr>
        <w:t xml:space="preserve"> </w:t>
      </w:r>
      <w:r>
        <w:rPr>
          <w:color w:val="231F20"/>
          <w:w w:val="105"/>
        </w:rPr>
        <w:t>BKA</w:t>
      </w:r>
      <w:r>
        <w:rPr>
          <w:color w:val="231F20"/>
          <w:spacing w:val="-9"/>
          <w:w w:val="105"/>
        </w:rPr>
        <w:t xml:space="preserve"> </w:t>
      </w:r>
      <w:r>
        <w:rPr>
          <w:color w:val="231F20"/>
          <w:w w:val="105"/>
        </w:rPr>
        <w:t>functioning</w:t>
      </w:r>
      <w:r>
        <w:rPr>
          <w:color w:val="231F20"/>
          <w:spacing w:val="-9"/>
          <w:w w:val="105"/>
        </w:rPr>
        <w:t xml:space="preserve"> </w:t>
      </w:r>
      <w:r>
        <w:rPr>
          <w:color w:val="231F20"/>
          <w:w w:val="105"/>
        </w:rPr>
        <w:t>at</w:t>
      </w:r>
      <w:r>
        <w:rPr>
          <w:color w:val="231F20"/>
          <w:spacing w:val="-9"/>
          <w:w w:val="105"/>
        </w:rPr>
        <w:t xml:space="preserve"> </w:t>
      </w:r>
      <w:r>
        <w:rPr>
          <w:color w:val="231F20"/>
          <w:w w:val="105"/>
        </w:rPr>
        <w:t>the</w:t>
      </w:r>
      <w:r>
        <w:rPr>
          <w:color w:val="231F20"/>
          <w:spacing w:val="-9"/>
          <w:w w:val="105"/>
        </w:rPr>
        <w:t xml:space="preserve"> </w:t>
      </w:r>
      <w:r>
        <w:rPr>
          <w:color w:val="231F20"/>
          <w:w w:val="105"/>
        </w:rPr>
        <w:t>level</w:t>
      </w:r>
      <w:r>
        <w:rPr>
          <w:color w:val="231F20"/>
          <w:spacing w:val="-9"/>
          <w:w w:val="105"/>
        </w:rPr>
        <w:t xml:space="preserve"> </w:t>
      </w:r>
      <w:r>
        <w:rPr>
          <w:color w:val="231F20"/>
          <w:w w:val="105"/>
        </w:rPr>
        <w:t>of</w:t>
      </w:r>
      <w:r>
        <w:rPr>
          <w:color w:val="231F20"/>
          <w:spacing w:val="-9"/>
          <w:w w:val="105"/>
        </w:rPr>
        <w:t xml:space="preserve"> </w:t>
      </w:r>
      <w:r>
        <w:rPr>
          <w:color w:val="231F20"/>
          <w:w w:val="105"/>
        </w:rPr>
        <w:t>a state or</w:t>
      </w:r>
      <w:r>
        <w:rPr>
          <w:color w:val="231F20"/>
          <w:spacing w:val="13"/>
          <w:w w:val="105"/>
        </w:rPr>
        <w:t xml:space="preserve"> </w:t>
      </w:r>
      <w:r>
        <w:rPr>
          <w:color w:val="231F20"/>
          <w:w w:val="105"/>
        </w:rPr>
        <w:t>province.</w:t>
      </w:r>
    </w:p>
    <w:p w14:paraId="503A9F8A" w14:textId="77777777" w:rsidR="002653E8" w:rsidRDefault="003115E3">
      <w:pPr>
        <w:tabs>
          <w:tab w:val="left" w:pos="2927"/>
        </w:tabs>
        <w:spacing w:line="264" w:lineRule="auto"/>
        <w:ind w:left="2927" w:right="1186" w:hanging="1200"/>
        <w:rPr>
          <w:sz w:val="20"/>
        </w:rPr>
      </w:pPr>
      <w:r>
        <w:rPr>
          <w:color w:val="231F20"/>
          <w:spacing w:val="-15"/>
          <w:sz w:val="20"/>
        </w:rPr>
        <w:t>LWA</w:t>
      </w:r>
      <w:r>
        <w:rPr>
          <w:color w:val="231F20"/>
          <w:spacing w:val="-15"/>
          <w:sz w:val="20"/>
        </w:rPr>
        <w:tab/>
      </w:r>
      <w:r>
        <w:rPr>
          <w:i/>
          <w:color w:val="231F20"/>
          <w:sz w:val="20"/>
        </w:rPr>
        <w:t xml:space="preserve">Landesanwaltschaft </w:t>
      </w:r>
      <w:r>
        <w:rPr>
          <w:color w:val="231F20"/>
          <w:sz w:val="20"/>
        </w:rPr>
        <w:t>(</w:t>
      </w:r>
      <w:r>
        <w:rPr>
          <w:i/>
          <w:color w:val="231F20"/>
          <w:sz w:val="20"/>
        </w:rPr>
        <w:t xml:space="preserve">Land </w:t>
      </w:r>
      <w:r>
        <w:rPr>
          <w:color w:val="231F20"/>
          <w:sz w:val="20"/>
        </w:rPr>
        <w:t>Prosecutors Office); the equivalent of a state or provincial prosecutors</w:t>
      </w:r>
      <w:r>
        <w:rPr>
          <w:color w:val="231F20"/>
          <w:spacing w:val="7"/>
          <w:sz w:val="20"/>
        </w:rPr>
        <w:t xml:space="preserve"> </w:t>
      </w:r>
      <w:r>
        <w:rPr>
          <w:color w:val="231F20"/>
          <w:sz w:val="20"/>
        </w:rPr>
        <w:t>office.</w:t>
      </w:r>
    </w:p>
    <w:p w14:paraId="74075E00" w14:textId="77777777" w:rsidR="002653E8" w:rsidRDefault="003115E3">
      <w:pPr>
        <w:tabs>
          <w:tab w:val="left" w:pos="2927"/>
        </w:tabs>
        <w:spacing w:line="264" w:lineRule="auto"/>
        <w:ind w:left="2927" w:right="1681" w:hanging="1200"/>
        <w:rPr>
          <w:sz w:val="20"/>
        </w:rPr>
      </w:pPr>
      <w:r>
        <w:rPr>
          <w:color w:val="231F20"/>
          <w:w w:val="105"/>
          <w:sz w:val="20"/>
        </w:rPr>
        <w:t>NPD</w:t>
      </w:r>
      <w:r>
        <w:rPr>
          <w:color w:val="231F20"/>
          <w:w w:val="105"/>
          <w:sz w:val="20"/>
        </w:rPr>
        <w:tab/>
      </w:r>
      <w:r>
        <w:rPr>
          <w:i/>
          <w:color w:val="231F20"/>
          <w:w w:val="105"/>
          <w:sz w:val="20"/>
        </w:rPr>
        <w:t xml:space="preserve">Nationaldemokratische </w:t>
      </w:r>
      <w:r>
        <w:rPr>
          <w:i/>
          <w:color w:val="231F20"/>
          <w:spacing w:val="-4"/>
          <w:w w:val="105"/>
          <w:sz w:val="20"/>
        </w:rPr>
        <w:t xml:space="preserve">Partei </w:t>
      </w:r>
      <w:r>
        <w:rPr>
          <w:i/>
          <w:color w:val="231F20"/>
          <w:w w:val="105"/>
          <w:sz w:val="20"/>
        </w:rPr>
        <w:t xml:space="preserve">Deutschlands </w:t>
      </w:r>
      <w:r>
        <w:rPr>
          <w:color w:val="231F20"/>
          <w:sz w:val="20"/>
        </w:rPr>
        <w:t xml:space="preserve">(National Democratic Party); far-right political </w:t>
      </w:r>
      <w:r>
        <w:rPr>
          <w:color w:val="231F20"/>
          <w:spacing w:val="-4"/>
          <w:w w:val="105"/>
          <w:sz w:val="20"/>
        </w:rPr>
        <w:t xml:space="preserve">party, </w:t>
      </w:r>
      <w:r>
        <w:rPr>
          <w:color w:val="231F20"/>
          <w:w w:val="105"/>
          <w:sz w:val="20"/>
        </w:rPr>
        <w:t>supported by many</w:t>
      </w:r>
      <w:r>
        <w:rPr>
          <w:color w:val="231F20"/>
          <w:spacing w:val="5"/>
          <w:w w:val="105"/>
          <w:sz w:val="20"/>
        </w:rPr>
        <w:t xml:space="preserve"> </w:t>
      </w:r>
      <w:r>
        <w:rPr>
          <w:color w:val="231F20"/>
          <w:w w:val="105"/>
          <w:sz w:val="20"/>
        </w:rPr>
        <w:t>neo-nazis.</w:t>
      </w:r>
    </w:p>
    <w:p w14:paraId="59AE2347" w14:textId="77777777" w:rsidR="002653E8" w:rsidRDefault="003115E3">
      <w:pPr>
        <w:tabs>
          <w:tab w:val="left" w:pos="2927"/>
        </w:tabs>
        <w:spacing w:line="264" w:lineRule="auto"/>
        <w:ind w:left="2927" w:right="1286" w:hanging="1200"/>
        <w:rPr>
          <w:sz w:val="20"/>
        </w:rPr>
      </w:pPr>
      <w:r>
        <w:rPr>
          <w:color w:val="231F20"/>
          <w:w w:val="105"/>
          <w:sz w:val="20"/>
        </w:rPr>
        <w:t>OLG</w:t>
      </w:r>
      <w:r>
        <w:rPr>
          <w:color w:val="231F20"/>
          <w:w w:val="105"/>
          <w:sz w:val="20"/>
        </w:rPr>
        <w:tab/>
      </w:r>
      <w:r>
        <w:rPr>
          <w:i/>
          <w:color w:val="231F20"/>
          <w:w w:val="105"/>
          <w:sz w:val="20"/>
        </w:rPr>
        <w:t xml:space="preserve">Oberlandesgericht </w:t>
      </w:r>
      <w:r>
        <w:rPr>
          <w:color w:val="231F20"/>
          <w:w w:val="105"/>
          <w:sz w:val="20"/>
        </w:rPr>
        <w:t>(</w:t>
      </w:r>
      <w:r>
        <w:rPr>
          <w:i/>
          <w:color w:val="231F20"/>
          <w:w w:val="105"/>
          <w:sz w:val="20"/>
        </w:rPr>
        <w:t xml:space="preserve">Land </w:t>
      </w:r>
      <w:r>
        <w:rPr>
          <w:color w:val="231F20"/>
          <w:w w:val="105"/>
          <w:sz w:val="20"/>
        </w:rPr>
        <w:t>Court of Appeal); each</w:t>
      </w:r>
      <w:r>
        <w:rPr>
          <w:color w:val="231F20"/>
          <w:spacing w:val="-17"/>
          <w:w w:val="105"/>
          <w:sz w:val="20"/>
        </w:rPr>
        <w:t xml:space="preserve"> </w:t>
      </w:r>
      <w:r>
        <w:rPr>
          <w:color w:val="231F20"/>
          <w:w w:val="105"/>
          <w:sz w:val="20"/>
        </w:rPr>
        <w:t xml:space="preserve">of the </w:t>
      </w:r>
      <w:r>
        <w:rPr>
          <w:i/>
          <w:color w:val="231F20"/>
          <w:w w:val="105"/>
          <w:sz w:val="20"/>
        </w:rPr>
        <w:t xml:space="preserve">Länder </w:t>
      </w:r>
      <w:r>
        <w:rPr>
          <w:color w:val="231F20"/>
          <w:w w:val="105"/>
          <w:sz w:val="20"/>
        </w:rPr>
        <w:t xml:space="preserve">had </w:t>
      </w:r>
      <w:r>
        <w:rPr>
          <w:color w:val="231F20"/>
          <w:spacing w:val="-4"/>
          <w:w w:val="105"/>
          <w:sz w:val="20"/>
        </w:rPr>
        <w:t xml:space="preserve">it’s </w:t>
      </w:r>
      <w:r>
        <w:rPr>
          <w:color w:val="231F20"/>
          <w:w w:val="105"/>
          <w:sz w:val="20"/>
        </w:rPr>
        <w:t>own Court of</w:t>
      </w:r>
      <w:r>
        <w:rPr>
          <w:color w:val="231F20"/>
          <w:spacing w:val="41"/>
          <w:w w:val="105"/>
          <w:sz w:val="20"/>
        </w:rPr>
        <w:t xml:space="preserve"> </w:t>
      </w:r>
      <w:r>
        <w:rPr>
          <w:color w:val="231F20"/>
          <w:w w:val="105"/>
          <w:sz w:val="20"/>
        </w:rPr>
        <w:t>Appeal.</w:t>
      </w:r>
    </w:p>
    <w:p w14:paraId="088C4F9C" w14:textId="77777777" w:rsidR="002653E8" w:rsidRPr="00C507A5" w:rsidRDefault="003115E3">
      <w:pPr>
        <w:tabs>
          <w:tab w:val="left" w:pos="2927"/>
        </w:tabs>
        <w:spacing w:line="264" w:lineRule="auto"/>
        <w:ind w:left="2927" w:right="1571" w:hanging="1200"/>
        <w:rPr>
          <w:sz w:val="20"/>
          <w:lang w:val="de-DE"/>
        </w:rPr>
      </w:pPr>
      <w:r w:rsidRPr="00C507A5">
        <w:rPr>
          <w:color w:val="231F20"/>
          <w:spacing w:val="-3"/>
          <w:w w:val="105"/>
          <w:sz w:val="20"/>
          <w:lang w:val="de-DE"/>
        </w:rPr>
        <w:t>öTV</w:t>
      </w:r>
      <w:r w:rsidRPr="00C507A5">
        <w:rPr>
          <w:color w:val="231F20"/>
          <w:spacing w:val="-3"/>
          <w:w w:val="105"/>
          <w:sz w:val="20"/>
          <w:lang w:val="de-DE"/>
        </w:rPr>
        <w:tab/>
      </w:r>
      <w:r w:rsidRPr="00C507A5">
        <w:rPr>
          <w:i/>
          <w:color w:val="231F20"/>
          <w:w w:val="105"/>
          <w:sz w:val="20"/>
          <w:lang w:val="de-DE"/>
        </w:rPr>
        <w:t xml:space="preserve">Gewerkschaft öffentliche Dienste, </w:t>
      </w:r>
      <w:r w:rsidRPr="00C507A5">
        <w:rPr>
          <w:i/>
          <w:color w:val="231F20"/>
          <w:spacing w:val="-3"/>
          <w:w w:val="105"/>
          <w:sz w:val="20"/>
          <w:lang w:val="de-DE"/>
        </w:rPr>
        <w:t xml:space="preserve">Transport </w:t>
      </w:r>
      <w:r w:rsidRPr="00C507A5">
        <w:rPr>
          <w:i/>
          <w:color w:val="231F20"/>
          <w:w w:val="105"/>
          <w:sz w:val="20"/>
          <w:lang w:val="de-DE"/>
        </w:rPr>
        <w:t>und</w:t>
      </w:r>
      <w:r w:rsidRPr="00C507A5">
        <w:rPr>
          <w:i/>
          <w:color w:val="231F20"/>
          <w:spacing w:val="-21"/>
          <w:w w:val="105"/>
          <w:sz w:val="20"/>
          <w:lang w:val="de-DE"/>
        </w:rPr>
        <w:t xml:space="preserve"> </w:t>
      </w:r>
      <w:r w:rsidRPr="00C507A5">
        <w:rPr>
          <w:i/>
          <w:color w:val="231F20"/>
          <w:spacing w:val="-3"/>
          <w:w w:val="105"/>
          <w:sz w:val="20"/>
          <w:lang w:val="de-DE"/>
        </w:rPr>
        <w:t>Verkehr</w:t>
      </w:r>
      <w:r w:rsidRPr="00C507A5">
        <w:rPr>
          <w:i/>
          <w:color w:val="231F20"/>
          <w:spacing w:val="-17"/>
          <w:w w:val="105"/>
          <w:sz w:val="20"/>
          <w:lang w:val="de-DE"/>
        </w:rPr>
        <w:t xml:space="preserve"> </w:t>
      </w:r>
      <w:r w:rsidRPr="00C507A5">
        <w:rPr>
          <w:color w:val="231F20"/>
          <w:w w:val="105"/>
          <w:sz w:val="20"/>
          <w:lang w:val="de-DE"/>
        </w:rPr>
        <w:t>(The</w:t>
      </w:r>
      <w:r w:rsidRPr="00C507A5">
        <w:rPr>
          <w:color w:val="231F20"/>
          <w:spacing w:val="-17"/>
          <w:w w:val="105"/>
          <w:sz w:val="20"/>
          <w:lang w:val="de-DE"/>
        </w:rPr>
        <w:t xml:space="preserve"> </w:t>
      </w:r>
      <w:r w:rsidRPr="00C507A5">
        <w:rPr>
          <w:color w:val="231F20"/>
          <w:w w:val="105"/>
          <w:sz w:val="20"/>
          <w:lang w:val="de-DE"/>
        </w:rPr>
        <w:t>Public</w:t>
      </w:r>
      <w:r w:rsidRPr="00C507A5">
        <w:rPr>
          <w:color w:val="231F20"/>
          <w:spacing w:val="-17"/>
          <w:w w:val="105"/>
          <w:sz w:val="20"/>
          <w:lang w:val="de-DE"/>
        </w:rPr>
        <w:t xml:space="preserve"> </w:t>
      </w:r>
      <w:r w:rsidRPr="00C507A5">
        <w:rPr>
          <w:color w:val="231F20"/>
          <w:w w:val="105"/>
          <w:sz w:val="20"/>
          <w:lang w:val="de-DE"/>
        </w:rPr>
        <w:t>Service,</w:t>
      </w:r>
      <w:r w:rsidRPr="00C507A5">
        <w:rPr>
          <w:color w:val="231F20"/>
          <w:spacing w:val="-25"/>
          <w:w w:val="105"/>
          <w:sz w:val="20"/>
          <w:lang w:val="de-DE"/>
        </w:rPr>
        <w:t xml:space="preserve"> </w:t>
      </w:r>
      <w:r w:rsidRPr="00C507A5">
        <w:rPr>
          <w:color w:val="231F20"/>
          <w:w w:val="105"/>
          <w:sz w:val="20"/>
          <w:lang w:val="de-DE"/>
        </w:rPr>
        <w:t>Transport,</w:t>
      </w:r>
      <w:r w:rsidRPr="00C507A5">
        <w:rPr>
          <w:color w:val="231F20"/>
          <w:spacing w:val="-21"/>
          <w:w w:val="105"/>
          <w:sz w:val="20"/>
          <w:lang w:val="de-DE"/>
        </w:rPr>
        <w:t xml:space="preserve"> </w:t>
      </w:r>
      <w:r w:rsidRPr="00C507A5">
        <w:rPr>
          <w:color w:val="231F20"/>
          <w:w w:val="105"/>
          <w:sz w:val="20"/>
          <w:lang w:val="de-DE"/>
        </w:rPr>
        <w:t>and Communication</w:t>
      </w:r>
      <w:r w:rsidRPr="00C507A5">
        <w:rPr>
          <w:color w:val="231F20"/>
          <w:spacing w:val="6"/>
          <w:w w:val="105"/>
          <w:sz w:val="20"/>
          <w:lang w:val="de-DE"/>
        </w:rPr>
        <w:t xml:space="preserve"> </w:t>
      </w:r>
      <w:r w:rsidRPr="00C507A5">
        <w:rPr>
          <w:color w:val="231F20"/>
          <w:w w:val="105"/>
          <w:sz w:val="20"/>
          <w:lang w:val="de-DE"/>
        </w:rPr>
        <w:t>Union).</w:t>
      </w:r>
    </w:p>
    <w:p w14:paraId="09D6CDF8" w14:textId="77777777" w:rsidR="002653E8" w:rsidRDefault="003115E3">
      <w:pPr>
        <w:pStyle w:val="a3"/>
        <w:tabs>
          <w:tab w:val="left" w:pos="2927"/>
        </w:tabs>
        <w:spacing w:line="264" w:lineRule="auto"/>
        <w:ind w:left="2927" w:right="1479" w:hanging="1200"/>
      </w:pPr>
      <w:r>
        <w:rPr>
          <w:color w:val="231F20"/>
        </w:rPr>
        <w:t>PFLP</w:t>
      </w:r>
      <w:r>
        <w:rPr>
          <w:color w:val="231F20"/>
        </w:rPr>
        <w:tab/>
        <w:t>Popular Front for the Liberation of Palestine; founded in 1953, secular nationalist and Marxist, the second largest tendency within the PLO after Fatah.</w:t>
      </w:r>
    </w:p>
    <w:p w14:paraId="10A862B6" w14:textId="77777777" w:rsidR="002653E8" w:rsidRDefault="003115E3">
      <w:pPr>
        <w:pStyle w:val="a3"/>
        <w:tabs>
          <w:tab w:val="left" w:pos="2927"/>
        </w:tabs>
        <w:spacing w:line="264" w:lineRule="auto"/>
        <w:ind w:left="2927" w:right="1211" w:hanging="1200"/>
      </w:pPr>
      <w:r>
        <w:rPr>
          <w:color w:val="231F20"/>
        </w:rPr>
        <w:t>PFLP</w:t>
      </w:r>
      <w:r>
        <w:rPr>
          <w:color w:val="231F20"/>
          <w:spacing w:val="-4"/>
        </w:rPr>
        <w:t xml:space="preserve"> </w:t>
      </w:r>
      <w:r>
        <w:rPr>
          <w:color w:val="231F20"/>
        </w:rPr>
        <w:t>(EO)</w:t>
      </w:r>
      <w:r>
        <w:rPr>
          <w:color w:val="231F20"/>
        </w:rPr>
        <w:tab/>
        <w:t xml:space="preserve">Popular Front for the Liberation of Palestine (External Operations); originally a section of the </w:t>
      </w:r>
      <w:r>
        <w:rPr>
          <w:color w:val="231F20"/>
          <w:spacing w:val="-6"/>
        </w:rPr>
        <w:t xml:space="preserve">PFLP, </w:t>
      </w:r>
      <w:r>
        <w:rPr>
          <w:color w:val="231F20"/>
        </w:rPr>
        <w:t xml:space="preserve">expelled in the early seventies for conducting controversial actions outside of Israel, effectively dissolved in 1978 after the death of its leader </w:t>
      </w:r>
      <w:r>
        <w:rPr>
          <w:color w:val="231F20"/>
          <w:spacing w:val="-4"/>
        </w:rPr>
        <w:t xml:space="preserve">Waddi </w:t>
      </w:r>
      <w:r>
        <w:rPr>
          <w:color w:val="231F20"/>
        </w:rPr>
        <w:t>Haddad,</w:t>
      </w:r>
      <w:r>
        <w:rPr>
          <w:color w:val="231F20"/>
          <w:spacing w:val="8"/>
        </w:rPr>
        <w:t xml:space="preserve"> </w:t>
      </w:r>
      <w:r>
        <w:rPr>
          <w:color w:val="231F20"/>
        </w:rPr>
        <w:t>who</w:t>
      </w:r>
      <w:r>
        <w:rPr>
          <w:color w:val="231F20"/>
          <w:spacing w:val="15"/>
        </w:rPr>
        <w:t xml:space="preserve"> </w:t>
      </w:r>
      <w:r>
        <w:rPr>
          <w:color w:val="231F20"/>
        </w:rPr>
        <w:t>had</w:t>
      </w:r>
      <w:r>
        <w:rPr>
          <w:color w:val="231F20"/>
          <w:spacing w:val="15"/>
        </w:rPr>
        <w:t xml:space="preserve"> </w:t>
      </w:r>
      <w:r>
        <w:rPr>
          <w:color w:val="231F20"/>
        </w:rPr>
        <w:t>been</w:t>
      </w:r>
      <w:r>
        <w:rPr>
          <w:color w:val="231F20"/>
          <w:spacing w:val="15"/>
        </w:rPr>
        <w:t xml:space="preserve"> </w:t>
      </w:r>
      <w:r>
        <w:rPr>
          <w:color w:val="231F20"/>
        </w:rPr>
        <w:t>poisoned</w:t>
      </w:r>
      <w:r>
        <w:rPr>
          <w:color w:val="231F20"/>
          <w:spacing w:val="15"/>
        </w:rPr>
        <w:t xml:space="preserve"> </w:t>
      </w:r>
      <w:r>
        <w:rPr>
          <w:color w:val="231F20"/>
        </w:rPr>
        <w:t>by</w:t>
      </w:r>
      <w:r>
        <w:rPr>
          <w:color w:val="231F20"/>
          <w:spacing w:val="15"/>
        </w:rPr>
        <w:t xml:space="preserve"> </w:t>
      </w:r>
      <w:r>
        <w:rPr>
          <w:color w:val="231F20"/>
        </w:rPr>
        <w:t>the</w:t>
      </w:r>
      <w:r>
        <w:rPr>
          <w:color w:val="231F20"/>
          <w:spacing w:val="15"/>
        </w:rPr>
        <w:t xml:space="preserve"> </w:t>
      </w:r>
      <w:r>
        <w:rPr>
          <w:color w:val="231F20"/>
        </w:rPr>
        <w:t>Mossad.</w:t>
      </w:r>
    </w:p>
    <w:p w14:paraId="26DF9BC3" w14:textId="77777777" w:rsidR="002653E8" w:rsidRDefault="00C507A5">
      <w:pPr>
        <w:tabs>
          <w:tab w:val="left" w:pos="2927"/>
        </w:tabs>
        <w:spacing w:line="228" w:lineRule="exact"/>
        <w:ind w:left="1727"/>
        <w:rPr>
          <w:sz w:val="20"/>
        </w:rPr>
      </w:pPr>
      <w:r>
        <w:rPr>
          <w:color w:val="231F20"/>
          <w:w w:val="105"/>
          <w:sz w:val="20"/>
        </w:rPr>
        <w:t>red army faction</w:t>
      </w:r>
      <w:r w:rsidR="003115E3">
        <w:rPr>
          <w:color w:val="231F20"/>
          <w:w w:val="105"/>
          <w:sz w:val="20"/>
        </w:rPr>
        <w:tab/>
      </w:r>
      <w:r w:rsidR="003115E3">
        <w:rPr>
          <w:i/>
          <w:color w:val="231F20"/>
          <w:w w:val="105"/>
          <w:sz w:val="20"/>
        </w:rPr>
        <w:t xml:space="preserve">Rote Armee Fraktion </w:t>
      </w:r>
      <w:r w:rsidR="003115E3">
        <w:rPr>
          <w:color w:val="231F20"/>
          <w:w w:val="105"/>
          <w:sz w:val="20"/>
        </w:rPr>
        <w:t>(Red Army</w:t>
      </w:r>
      <w:r w:rsidR="003115E3">
        <w:rPr>
          <w:color w:val="231F20"/>
          <w:spacing w:val="21"/>
          <w:w w:val="105"/>
          <w:sz w:val="20"/>
        </w:rPr>
        <w:t xml:space="preserve"> </w:t>
      </w:r>
      <w:r w:rsidR="003115E3">
        <w:rPr>
          <w:color w:val="231F20"/>
          <w:w w:val="105"/>
          <w:sz w:val="20"/>
        </w:rPr>
        <w:t>Faction).</w:t>
      </w:r>
    </w:p>
    <w:p w14:paraId="6B6751CB" w14:textId="77777777" w:rsidR="002653E8" w:rsidRDefault="002653E8">
      <w:pPr>
        <w:spacing w:line="228" w:lineRule="exact"/>
        <w:rPr>
          <w:sz w:val="20"/>
        </w:rPr>
        <w:sectPr w:rsidR="002653E8">
          <w:footerReference w:type="even" r:id="rId29"/>
          <w:footerReference w:type="default" r:id="rId30"/>
          <w:pgSz w:w="8640" w:h="12960"/>
          <w:pgMar w:top="1060" w:right="0" w:bottom="1040" w:left="0" w:header="0" w:footer="850" w:gutter="0"/>
          <w:cols w:space="720"/>
        </w:sectPr>
      </w:pPr>
    </w:p>
    <w:p w14:paraId="75B9BD4C" w14:textId="77777777" w:rsidR="002653E8" w:rsidRDefault="003115E3">
      <w:pPr>
        <w:pStyle w:val="a3"/>
        <w:tabs>
          <w:tab w:val="left" w:pos="2747"/>
        </w:tabs>
        <w:spacing w:before="86" w:line="264" w:lineRule="auto"/>
        <w:ind w:left="2747" w:right="1363" w:hanging="1200"/>
      </w:pPr>
      <w:r>
        <w:rPr>
          <w:color w:val="231F20"/>
          <w:w w:val="105"/>
        </w:rPr>
        <w:lastRenderedPageBreak/>
        <w:t>RH</w:t>
      </w:r>
      <w:r>
        <w:rPr>
          <w:color w:val="231F20"/>
          <w:w w:val="105"/>
        </w:rPr>
        <w:tab/>
      </w:r>
      <w:r>
        <w:rPr>
          <w:i/>
          <w:color w:val="231F20"/>
          <w:w w:val="105"/>
        </w:rPr>
        <w:t>Rote</w:t>
      </w:r>
      <w:r>
        <w:rPr>
          <w:i/>
          <w:color w:val="231F20"/>
          <w:spacing w:val="-12"/>
          <w:w w:val="105"/>
        </w:rPr>
        <w:t xml:space="preserve"> </w:t>
      </w:r>
      <w:r>
        <w:rPr>
          <w:i/>
          <w:color w:val="231F20"/>
          <w:w w:val="105"/>
        </w:rPr>
        <w:t>Hilfe</w:t>
      </w:r>
      <w:r>
        <w:rPr>
          <w:i/>
          <w:color w:val="231F20"/>
          <w:spacing w:val="-12"/>
          <w:w w:val="105"/>
        </w:rPr>
        <w:t xml:space="preserve"> </w:t>
      </w:r>
      <w:r>
        <w:rPr>
          <w:color w:val="231F20"/>
          <w:w w:val="105"/>
        </w:rPr>
        <w:t>(Red</w:t>
      </w:r>
      <w:r>
        <w:rPr>
          <w:color w:val="231F20"/>
          <w:spacing w:val="-17"/>
          <w:w w:val="105"/>
        </w:rPr>
        <w:t xml:space="preserve"> </w:t>
      </w:r>
      <w:r>
        <w:rPr>
          <w:color w:val="231F20"/>
          <w:w w:val="105"/>
        </w:rPr>
        <w:t>Aid);</w:t>
      </w:r>
      <w:r>
        <w:rPr>
          <w:color w:val="231F20"/>
          <w:spacing w:val="-12"/>
          <w:w w:val="105"/>
        </w:rPr>
        <w:t xml:space="preserve"> </w:t>
      </w:r>
      <w:r>
        <w:rPr>
          <w:color w:val="231F20"/>
          <w:w w:val="105"/>
        </w:rPr>
        <w:t>an</w:t>
      </w:r>
      <w:r>
        <w:rPr>
          <w:color w:val="231F20"/>
          <w:spacing w:val="-12"/>
          <w:w w:val="105"/>
        </w:rPr>
        <w:t xml:space="preserve"> </w:t>
      </w:r>
      <w:r>
        <w:rPr>
          <w:color w:val="231F20"/>
          <w:w w:val="105"/>
        </w:rPr>
        <w:t>important</w:t>
      </w:r>
      <w:r>
        <w:rPr>
          <w:color w:val="231F20"/>
          <w:spacing w:val="-12"/>
          <w:w w:val="105"/>
        </w:rPr>
        <w:t xml:space="preserve"> </w:t>
      </w:r>
      <w:r>
        <w:rPr>
          <w:color w:val="231F20"/>
          <w:w w:val="105"/>
        </w:rPr>
        <w:t>prisoner</w:t>
      </w:r>
      <w:r>
        <w:rPr>
          <w:color w:val="231F20"/>
          <w:spacing w:val="-12"/>
          <w:w w:val="105"/>
        </w:rPr>
        <w:t xml:space="preserve"> </w:t>
      </w:r>
      <w:r>
        <w:rPr>
          <w:color w:val="231F20"/>
          <w:w w:val="105"/>
        </w:rPr>
        <w:t>support network which came out of the</w:t>
      </w:r>
      <w:r>
        <w:rPr>
          <w:color w:val="231F20"/>
          <w:spacing w:val="30"/>
          <w:w w:val="105"/>
        </w:rPr>
        <w:t xml:space="preserve"> </w:t>
      </w:r>
      <w:r>
        <w:rPr>
          <w:color w:val="231F20"/>
          <w:spacing w:val="-3"/>
          <w:w w:val="105"/>
        </w:rPr>
        <w:t>APO.</w:t>
      </w:r>
    </w:p>
    <w:p w14:paraId="71A003D1" w14:textId="77777777" w:rsidR="002653E8" w:rsidRDefault="003115E3">
      <w:pPr>
        <w:pStyle w:val="a3"/>
        <w:tabs>
          <w:tab w:val="left" w:pos="2747"/>
        </w:tabs>
        <w:spacing w:line="264" w:lineRule="auto"/>
        <w:ind w:left="2747" w:right="1648" w:hanging="1200"/>
      </w:pPr>
      <w:r>
        <w:rPr>
          <w:color w:val="231F20"/>
          <w:w w:val="105"/>
        </w:rPr>
        <w:t>RH</w:t>
      </w:r>
      <w:r>
        <w:rPr>
          <w:color w:val="231F20"/>
          <w:spacing w:val="25"/>
          <w:w w:val="105"/>
        </w:rPr>
        <w:t xml:space="preserve"> </w:t>
      </w:r>
      <w:r>
        <w:rPr>
          <w:color w:val="231F20"/>
          <w:spacing w:val="-5"/>
          <w:w w:val="105"/>
        </w:rPr>
        <w:t>e.v.</w:t>
      </w:r>
      <w:r>
        <w:rPr>
          <w:color w:val="231F20"/>
          <w:spacing w:val="-5"/>
          <w:w w:val="105"/>
        </w:rPr>
        <w:tab/>
      </w:r>
      <w:r>
        <w:rPr>
          <w:i/>
          <w:color w:val="231F20"/>
          <w:w w:val="105"/>
        </w:rPr>
        <w:t>Rote</w:t>
      </w:r>
      <w:r>
        <w:rPr>
          <w:i/>
          <w:color w:val="231F20"/>
          <w:spacing w:val="-7"/>
          <w:w w:val="105"/>
        </w:rPr>
        <w:t xml:space="preserve"> </w:t>
      </w:r>
      <w:r>
        <w:rPr>
          <w:i/>
          <w:color w:val="231F20"/>
          <w:w w:val="105"/>
        </w:rPr>
        <w:t>Hilfe</w:t>
      </w:r>
      <w:r>
        <w:rPr>
          <w:i/>
          <w:color w:val="231F20"/>
          <w:spacing w:val="-7"/>
          <w:w w:val="105"/>
        </w:rPr>
        <w:t xml:space="preserve"> </w:t>
      </w:r>
      <w:r>
        <w:rPr>
          <w:i/>
          <w:color w:val="231F20"/>
          <w:spacing w:val="-5"/>
          <w:w w:val="105"/>
        </w:rPr>
        <w:t>e.v.</w:t>
      </w:r>
      <w:r>
        <w:rPr>
          <w:i/>
          <w:color w:val="231F20"/>
          <w:spacing w:val="-12"/>
          <w:w w:val="105"/>
        </w:rPr>
        <w:t xml:space="preserve"> </w:t>
      </w:r>
      <w:r>
        <w:rPr>
          <w:color w:val="231F20"/>
          <w:w w:val="105"/>
        </w:rPr>
        <w:t>(Red</w:t>
      </w:r>
      <w:r>
        <w:rPr>
          <w:color w:val="231F20"/>
          <w:spacing w:val="-12"/>
          <w:w w:val="105"/>
        </w:rPr>
        <w:t xml:space="preserve"> </w:t>
      </w:r>
      <w:r>
        <w:rPr>
          <w:color w:val="231F20"/>
          <w:w w:val="105"/>
        </w:rPr>
        <w:t>Aid</w:t>
      </w:r>
      <w:r>
        <w:rPr>
          <w:color w:val="231F20"/>
          <w:spacing w:val="-7"/>
          <w:w w:val="105"/>
        </w:rPr>
        <w:t xml:space="preserve"> </w:t>
      </w:r>
      <w:r>
        <w:rPr>
          <w:color w:val="231F20"/>
          <w:w w:val="105"/>
        </w:rPr>
        <w:t>registered</w:t>
      </w:r>
      <w:r>
        <w:rPr>
          <w:color w:val="231F20"/>
          <w:spacing w:val="-7"/>
          <w:w w:val="105"/>
        </w:rPr>
        <w:t xml:space="preserve"> </w:t>
      </w:r>
      <w:r>
        <w:rPr>
          <w:color w:val="231F20"/>
          <w:w w:val="105"/>
        </w:rPr>
        <w:t>association);</w:t>
      </w:r>
      <w:r>
        <w:rPr>
          <w:color w:val="231F20"/>
          <w:spacing w:val="-7"/>
          <w:w w:val="105"/>
        </w:rPr>
        <w:t xml:space="preserve"> </w:t>
      </w:r>
      <w:r>
        <w:rPr>
          <w:color w:val="231F20"/>
          <w:w w:val="105"/>
        </w:rPr>
        <w:t xml:space="preserve">a </w:t>
      </w:r>
      <w:r>
        <w:rPr>
          <w:color w:val="231F20"/>
          <w:w w:val="103"/>
        </w:rPr>
        <w:t>Red</w:t>
      </w:r>
      <w:r>
        <w:rPr>
          <w:color w:val="231F20"/>
          <w:spacing w:val="3"/>
        </w:rPr>
        <w:t xml:space="preserve"> </w:t>
      </w:r>
      <w:r>
        <w:rPr>
          <w:color w:val="231F20"/>
          <w:w w:val="106"/>
        </w:rPr>
        <w:t>Aid</w:t>
      </w:r>
      <w:r>
        <w:rPr>
          <w:color w:val="231F20"/>
          <w:spacing w:val="10"/>
        </w:rPr>
        <w:t xml:space="preserve"> </w:t>
      </w:r>
      <w:r>
        <w:rPr>
          <w:color w:val="231F20"/>
          <w:w w:val="99"/>
        </w:rPr>
        <w:t>network</w:t>
      </w:r>
      <w:r>
        <w:rPr>
          <w:color w:val="231F20"/>
          <w:spacing w:val="10"/>
        </w:rPr>
        <w:t xml:space="preserve"> </w:t>
      </w:r>
      <w:r>
        <w:rPr>
          <w:color w:val="231F20"/>
          <w:w w:val="92"/>
        </w:rPr>
        <w:t>set</w:t>
      </w:r>
      <w:r>
        <w:rPr>
          <w:color w:val="231F20"/>
          <w:spacing w:val="10"/>
        </w:rPr>
        <w:t xml:space="preserve"> </w:t>
      </w:r>
      <w:r>
        <w:rPr>
          <w:color w:val="231F20"/>
        </w:rPr>
        <w:t>up</w:t>
      </w:r>
      <w:r>
        <w:rPr>
          <w:color w:val="231F20"/>
          <w:spacing w:val="10"/>
        </w:rPr>
        <w:t xml:space="preserve"> </w:t>
      </w:r>
      <w:r>
        <w:rPr>
          <w:color w:val="231F20"/>
        </w:rPr>
        <w:t>by</w:t>
      </w:r>
      <w:r>
        <w:rPr>
          <w:color w:val="231F20"/>
          <w:spacing w:val="10"/>
        </w:rPr>
        <w:t xml:space="preserve"> </w:t>
      </w:r>
      <w:r>
        <w:rPr>
          <w:color w:val="231F20"/>
          <w:w w:val="96"/>
        </w:rPr>
        <w:t>the</w:t>
      </w:r>
      <w:r>
        <w:rPr>
          <w:color w:val="231F20"/>
          <w:spacing w:val="10"/>
        </w:rPr>
        <w:t xml:space="preserve"> </w:t>
      </w:r>
      <w:r>
        <w:rPr>
          <w:color w:val="231F20"/>
          <w:w w:val="110"/>
        </w:rPr>
        <w:t>KP</w:t>
      </w:r>
      <w:r>
        <w:rPr>
          <w:color w:val="231F20"/>
          <w:spacing w:val="-1"/>
          <w:w w:val="110"/>
        </w:rPr>
        <w:t>D</w:t>
      </w:r>
      <w:r>
        <w:rPr>
          <w:color w:val="231F20"/>
          <w:w w:val="56"/>
        </w:rPr>
        <w:t>/</w:t>
      </w:r>
      <w:r>
        <w:rPr>
          <w:color w:val="231F20"/>
          <w:spacing w:val="-8"/>
          <w:w w:val="121"/>
        </w:rPr>
        <w:t>A</w:t>
      </w:r>
      <w:r>
        <w:rPr>
          <w:color w:val="231F20"/>
          <w:w w:val="121"/>
        </w:rPr>
        <w:t>O</w:t>
      </w:r>
      <w:r>
        <w:rPr>
          <w:color w:val="231F20"/>
          <w:spacing w:val="10"/>
        </w:rPr>
        <w:t xml:space="preserve"> </w:t>
      </w:r>
      <w:r>
        <w:rPr>
          <w:color w:val="231F20"/>
          <w:w w:val="99"/>
        </w:rPr>
        <w:t>in</w:t>
      </w:r>
      <w:r>
        <w:rPr>
          <w:color w:val="231F20"/>
          <w:spacing w:val="10"/>
        </w:rPr>
        <w:t xml:space="preserve"> </w:t>
      </w:r>
      <w:r>
        <w:rPr>
          <w:color w:val="231F20"/>
        </w:rPr>
        <w:t>1970</w:t>
      </w:r>
      <w:r>
        <w:rPr>
          <w:color w:val="231F20"/>
          <w:w w:val="135"/>
        </w:rPr>
        <w:t>.</w:t>
      </w:r>
    </w:p>
    <w:p w14:paraId="22BF68D5" w14:textId="77777777" w:rsidR="002653E8" w:rsidRDefault="003115E3">
      <w:pPr>
        <w:pStyle w:val="a3"/>
        <w:tabs>
          <w:tab w:val="left" w:pos="2747"/>
        </w:tabs>
        <w:spacing w:line="264" w:lineRule="auto"/>
        <w:ind w:left="2747" w:right="1457" w:hanging="1200"/>
      </w:pPr>
      <w:r>
        <w:rPr>
          <w:color w:val="231F20"/>
        </w:rPr>
        <w:t>RZ</w:t>
      </w:r>
      <w:r>
        <w:rPr>
          <w:color w:val="231F20"/>
        </w:rPr>
        <w:tab/>
      </w:r>
      <w:r>
        <w:rPr>
          <w:i/>
          <w:color w:val="231F20"/>
        </w:rPr>
        <w:t xml:space="preserve">Revolutionäre Zellen </w:t>
      </w:r>
      <w:r>
        <w:rPr>
          <w:color w:val="231F20"/>
        </w:rPr>
        <w:t>(Revolutionary Cells); founded in 1973, most groups within its structure ceased activity in 1991, with the final action occurring in 1994.</w:t>
      </w:r>
    </w:p>
    <w:p w14:paraId="24256941" w14:textId="77777777" w:rsidR="002653E8" w:rsidRDefault="003115E3">
      <w:pPr>
        <w:pStyle w:val="a3"/>
        <w:tabs>
          <w:tab w:val="left" w:pos="2747"/>
        </w:tabs>
        <w:spacing w:line="264" w:lineRule="auto"/>
        <w:ind w:left="2747" w:right="1389" w:hanging="1200"/>
      </w:pPr>
      <w:r>
        <w:rPr>
          <w:color w:val="231F20"/>
        </w:rPr>
        <w:t>SDS</w:t>
      </w:r>
      <w:r>
        <w:rPr>
          <w:color w:val="231F20"/>
        </w:rPr>
        <w:tab/>
      </w:r>
      <w:r>
        <w:rPr>
          <w:i/>
          <w:color w:val="231F20"/>
        </w:rPr>
        <w:t xml:space="preserve">Sozialistischer Deutscher Studentenbund </w:t>
      </w:r>
      <w:r>
        <w:rPr>
          <w:color w:val="231F20"/>
        </w:rPr>
        <w:t>(Socialist German Students Federation); founded by the SDS  in 1946. By the late sixties it was an independent left-wing student federation and the most significant organization</w:t>
      </w:r>
      <w:r>
        <w:rPr>
          <w:color w:val="231F20"/>
          <w:spacing w:val="13"/>
        </w:rPr>
        <w:t xml:space="preserve"> </w:t>
      </w:r>
      <w:r>
        <w:rPr>
          <w:color w:val="231F20"/>
        </w:rPr>
        <w:t>in</w:t>
      </w:r>
      <w:r>
        <w:rPr>
          <w:color w:val="231F20"/>
          <w:spacing w:val="13"/>
        </w:rPr>
        <w:t xml:space="preserve"> </w:t>
      </w:r>
      <w:r>
        <w:rPr>
          <w:color w:val="231F20"/>
        </w:rPr>
        <w:t>the</w:t>
      </w:r>
      <w:r>
        <w:rPr>
          <w:color w:val="231F20"/>
          <w:spacing w:val="6"/>
        </w:rPr>
        <w:t xml:space="preserve"> </w:t>
      </w:r>
      <w:r>
        <w:rPr>
          <w:color w:val="231F20"/>
          <w:spacing w:val="-3"/>
        </w:rPr>
        <w:t>APO.</w:t>
      </w:r>
      <w:r>
        <w:rPr>
          <w:color w:val="231F20"/>
          <w:spacing w:val="6"/>
        </w:rPr>
        <w:t xml:space="preserve"> </w:t>
      </w:r>
      <w:r>
        <w:rPr>
          <w:color w:val="231F20"/>
        </w:rPr>
        <w:t>It</w:t>
      </w:r>
      <w:r>
        <w:rPr>
          <w:color w:val="231F20"/>
          <w:spacing w:val="13"/>
        </w:rPr>
        <w:t xml:space="preserve"> </w:t>
      </w:r>
      <w:r>
        <w:rPr>
          <w:color w:val="231F20"/>
        </w:rPr>
        <w:t>dissolved</w:t>
      </w:r>
      <w:r>
        <w:rPr>
          <w:color w:val="231F20"/>
          <w:spacing w:val="13"/>
        </w:rPr>
        <w:t xml:space="preserve"> </w:t>
      </w:r>
      <w:r>
        <w:rPr>
          <w:color w:val="231F20"/>
        </w:rPr>
        <w:t>in</w:t>
      </w:r>
      <w:r>
        <w:rPr>
          <w:color w:val="231F20"/>
          <w:spacing w:val="13"/>
        </w:rPr>
        <w:t xml:space="preserve"> </w:t>
      </w:r>
      <w:r>
        <w:rPr>
          <w:color w:val="231F20"/>
        </w:rPr>
        <w:t>1970.</w:t>
      </w:r>
    </w:p>
    <w:p w14:paraId="4A43AD17" w14:textId="77777777" w:rsidR="002653E8" w:rsidRDefault="003115E3">
      <w:pPr>
        <w:tabs>
          <w:tab w:val="left" w:pos="2747"/>
        </w:tabs>
        <w:spacing w:line="264" w:lineRule="auto"/>
        <w:ind w:left="2747" w:right="1595" w:hanging="1200"/>
        <w:rPr>
          <w:sz w:val="20"/>
        </w:rPr>
      </w:pPr>
      <w:r>
        <w:rPr>
          <w:color w:val="231F20"/>
          <w:sz w:val="20"/>
        </w:rPr>
        <w:t>SHB</w:t>
      </w:r>
      <w:r>
        <w:rPr>
          <w:color w:val="231F20"/>
          <w:sz w:val="20"/>
        </w:rPr>
        <w:tab/>
      </w:r>
      <w:r>
        <w:rPr>
          <w:i/>
          <w:color w:val="231F20"/>
          <w:sz w:val="20"/>
        </w:rPr>
        <w:t xml:space="preserve">Sozialdemokratischer Hochschulbund </w:t>
      </w:r>
      <w:r>
        <w:rPr>
          <w:color w:val="231F20"/>
          <w:sz w:val="20"/>
        </w:rPr>
        <w:t xml:space="preserve">(Social Democratic Student Federation); founded in 1960 by the </w:t>
      </w:r>
      <w:r>
        <w:rPr>
          <w:color w:val="231F20"/>
          <w:spacing w:val="-3"/>
          <w:sz w:val="20"/>
        </w:rPr>
        <w:t xml:space="preserve">SPD, </w:t>
      </w:r>
      <w:r>
        <w:rPr>
          <w:color w:val="231F20"/>
          <w:sz w:val="20"/>
        </w:rPr>
        <w:t>dissolved in</w:t>
      </w:r>
      <w:r>
        <w:rPr>
          <w:color w:val="231F20"/>
          <w:spacing w:val="10"/>
          <w:sz w:val="20"/>
        </w:rPr>
        <w:t xml:space="preserve"> </w:t>
      </w:r>
      <w:r>
        <w:rPr>
          <w:color w:val="231F20"/>
          <w:sz w:val="20"/>
        </w:rPr>
        <w:t>1992.</w:t>
      </w:r>
    </w:p>
    <w:p w14:paraId="21543A54" w14:textId="77777777" w:rsidR="002653E8" w:rsidRDefault="003115E3">
      <w:pPr>
        <w:tabs>
          <w:tab w:val="left" w:pos="2747"/>
        </w:tabs>
        <w:spacing w:line="264" w:lineRule="auto"/>
        <w:ind w:left="2747" w:right="1770" w:hanging="1200"/>
        <w:rPr>
          <w:sz w:val="20"/>
        </w:rPr>
      </w:pPr>
      <w:r>
        <w:rPr>
          <w:color w:val="231F20"/>
          <w:sz w:val="20"/>
        </w:rPr>
        <w:t>SPD</w:t>
      </w:r>
      <w:r>
        <w:rPr>
          <w:color w:val="231F20"/>
          <w:sz w:val="20"/>
        </w:rPr>
        <w:tab/>
      </w:r>
      <w:r>
        <w:rPr>
          <w:i/>
          <w:color w:val="231F20"/>
          <w:sz w:val="20"/>
        </w:rPr>
        <w:t xml:space="preserve">Sozialdemokratische </w:t>
      </w:r>
      <w:r>
        <w:rPr>
          <w:i/>
          <w:color w:val="231F20"/>
          <w:spacing w:val="-4"/>
          <w:sz w:val="20"/>
        </w:rPr>
        <w:t xml:space="preserve">Partei </w:t>
      </w:r>
      <w:r>
        <w:rPr>
          <w:i/>
          <w:color w:val="231F20"/>
          <w:sz w:val="20"/>
        </w:rPr>
        <w:t xml:space="preserve">Deutschlands </w:t>
      </w:r>
      <w:r>
        <w:rPr>
          <w:color w:val="231F20"/>
          <w:sz w:val="20"/>
        </w:rPr>
        <w:t>(Social Democratic Party of Germany); Germany’s mainstream social democratic</w:t>
      </w:r>
      <w:r>
        <w:rPr>
          <w:color w:val="231F20"/>
          <w:spacing w:val="30"/>
          <w:sz w:val="20"/>
        </w:rPr>
        <w:t xml:space="preserve"> </w:t>
      </w:r>
      <w:r>
        <w:rPr>
          <w:color w:val="231F20"/>
          <w:spacing w:val="-4"/>
          <w:sz w:val="20"/>
        </w:rPr>
        <w:t>party.</w:t>
      </w:r>
    </w:p>
    <w:p w14:paraId="374E5C5E" w14:textId="77777777" w:rsidR="002653E8" w:rsidRDefault="003115E3">
      <w:pPr>
        <w:tabs>
          <w:tab w:val="left" w:pos="2747"/>
        </w:tabs>
        <w:spacing w:line="264" w:lineRule="auto"/>
        <w:ind w:left="2747" w:right="1618" w:hanging="1200"/>
        <w:rPr>
          <w:sz w:val="20"/>
        </w:rPr>
      </w:pPr>
      <w:r>
        <w:rPr>
          <w:color w:val="231F20"/>
          <w:sz w:val="20"/>
        </w:rPr>
        <w:t>SPK</w:t>
      </w:r>
      <w:r>
        <w:rPr>
          <w:color w:val="231F20"/>
          <w:sz w:val="20"/>
        </w:rPr>
        <w:tab/>
      </w:r>
      <w:r>
        <w:rPr>
          <w:i/>
          <w:color w:val="231F20"/>
          <w:sz w:val="20"/>
        </w:rPr>
        <w:t xml:space="preserve">Socialistiches Patientenkollektiv </w:t>
      </w:r>
      <w:r>
        <w:rPr>
          <w:color w:val="231F20"/>
          <w:sz w:val="20"/>
        </w:rPr>
        <w:t>(Socialist Patients’</w:t>
      </w:r>
      <w:r>
        <w:rPr>
          <w:color w:val="231F20"/>
          <w:spacing w:val="13"/>
          <w:sz w:val="20"/>
        </w:rPr>
        <w:t xml:space="preserve"> </w:t>
      </w:r>
      <w:r>
        <w:rPr>
          <w:color w:val="231F20"/>
          <w:sz w:val="20"/>
        </w:rPr>
        <w:t>Collective);</w:t>
      </w:r>
      <w:r>
        <w:rPr>
          <w:color w:val="231F20"/>
          <w:spacing w:val="13"/>
          <w:sz w:val="20"/>
        </w:rPr>
        <w:t xml:space="preserve"> </w:t>
      </w:r>
      <w:r>
        <w:rPr>
          <w:color w:val="231F20"/>
          <w:sz w:val="20"/>
        </w:rPr>
        <w:t>founded</w:t>
      </w:r>
      <w:r>
        <w:rPr>
          <w:color w:val="231F20"/>
          <w:spacing w:val="13"/>
          <w:sz w:val="20"/>
        </w:rPr>
        <w:t xml:space="preserve"> </w:t>
      </w:r>
      <w:r>
        <w:rPr>
          <w:color w:val="231F20"/>
          <w:sz w:val="20"/>
        </w:rPr>
        <w:t>in</w:t>
      </w:r>
      <w:r>
        <w:rPr>
          <w:color w:val="231F20"/>
          <w:spacing w:val="13"/>
          <w:sz w:val="20"/>
        </w:rPr>
        <w:t xml:space="preserve"> </w:t>
      </w:r>
      <w:r>
        <w:rPr>
          <w:color w:val="231F20"/>
          <w:sz w:val="20"/>
        </w:rPr>
        <w:t>1970,</w:t>
      </w:r>
      <w:r>
        <w:rPr>
          <w:color w:val="231F20"/>
          <w:spacing w:val="5"/>
          <w:sz w:val="20"/>
        </w:rPr>
        <w:t xml:space="preserve"> </w:t>
      </w:r>
      <w:r>
        <w:rPr>
          <w:color w:val="231F20"/>
          <w:sz w:val="20"/>
        </w:rPr>
        <w:t>part</w:t>
      </w:r>
      <w:r>
        <w:rPr>
          <w:color w:val="231F20"/>
          <w:spacing w:val="13"/>
          <w:sz w:val="20"/>
        </w:rPr>
        <w:t xml:space="preserve"> </w:t>
      </w:r>
      <w:r>
        <w:rPr>
          <w:color w:val="231F20"/>
          <w:sz w:val="20"/>
        </w:rPr>
        <w:t>of</w:t>
      </w:r>
      <w:r>
        <w:rPr>
          <w:color w:val="231F20"/>
          <w:spacing w:val="13"/>
          <w:sz w:val="20"/>
        </w:rPr>
        <w:t xml:space="preserve"> </w:t>
      </w:r>
      <w:r>
        <w:rPr>
          <w:color w:val="231F20"/>
          <w:sz w:val="20"/>
        </w:rPr>
        <w:t>the</w:t>
      </w:r>
    </w:p>
    <w:p w14:paraId="543A504C" w14:textId="77777777" w:rsidR="002653E8" w:rsidRDefault="003115E3">
      <w:pPr>
        <w:pStyle w:val="a3"/>
        <w:spacing w:line="264" w:lineRule="auto"/>
        <w:ind w:left="2747" w:right="1304"/>
      </w:pPr>
      <w:r>
        <w:rPr>
          <w:color w:val="231F20"/>
        </w:rPr>
        <w:t xml:space="preserve">antipsychiatry movement. It dissolved under extreme state pressure in 1971, many of its core members later joining the </w:t>
      </w:r>
      <w:r w:rsidR="00C507A5">
        <w:rPr>
          <w:color w:val="231F20"/>
        </w:rPr>
        <w:t>red army faction</w:t>
      </w:r>
      <w:r>
        <w:rPr>
          <w:color w:val="231F20"/>
        </w:rPr>
        <w:t>.</w:t>
      </w:r>
    </w:p>
    <w:p w14:paraId="5C275EC1" w14:textId="77777777" w:rsidR="002653E8" w:rsidRDefault="003115E3">
      <w:pPr>
        <w:pStyle w:val="a3"/>
        <w:tabs>
          <w:tab w:val="left" w:pos="2747"/>
        </w:tabs>
        <w:spacing w:line="264" w:lineRule="auto"/>
        <w:ind w:left="2747" w:right="1729" w:hanging="1200"/>
      </w:pPr>
      <w:r>
        <w:rPr>
          <w:color w:val="231F20"/>
        </w:rPr>
        <w:t>VSP</w:t>
      </w:r>
      <w:r>
        <w:rPr>
          <w:color w:val="231F20"/>
        </w:rPr>
        <w:tab/>
      </w:r>
      <w:r>
        <w:rPr>
          <w:i/>
          <w:color w:val="231F20"/>
        </w:rPr>
        <w:t xml:space="preserve">Vereingte Sozialistische </w:t>
      </w:r>
      <w:r>
        <w:rPr>
          <w:i/>
          <w:color w:val="231F20"/>
          <w:spacing w:val="-4"/>
        </w:rPr>
        <w:t xml:space="preserve">Partei </w:t>
      </w:r>
      <w:r>
        <w:rPr>
          <w:color w:val="231F20"/>
        </w:rPr>
        <w:t xml:space="preserve">(United Socialist Party); formed in 1986 through the fusion of the </w:t>
      </w:r>
      <w:r>
        <w:rPr>
          <w:color w:val="231F20"/>
          <w:w w:val="110"/>
        </w:rPr>
        <w:t>KP</w:t>
      </w:r>
      <w:r>
        <w:rPr>
          <w:color w:val="231F20"/>
          <w:spacing w:val="-1"/>
          <w:w w:val="110"/>
        </w:rPr>
        <w:t>D</w:t>
      </w:r>
      <w:r>
        <w:rPr>
          <w:color w:val="231F20"/>
          <w:w w:val="56"/>
        </w:rPr>
        <w:t>/</w:t>
      </w:r>
      <w:r>
        <w:rPr>
          <w:color w:val="231F20"/>
          <w:w w:val="119"/>
        </w:rPr>
        <w:t>ML</w:t>
      </w:r>
      <w:r>
        <w:rPr>
          <w:color w:val="231F20"/>
          <w:spacing w:val="10"/>
        </w:rPr>
        <w:t xml:space="preserve"> </w:t>
      </w:r>
      <w:r>
        <w:rPr>
          <w:color w:val="231F20"/>
        </w:rPr>
        <w:t>and</w:t>
      </w:r>
      <w:r>
        <w:rPr>
          <w:color w:val="231F20"/>
          <w:spacing w:val="10"/>
        </w:rPr>
        <w:t xml:space="preserve"> </w:t>
      </w:r>
      <w:r>
        <w:rPr>
          <w:color w:val="231F20"/>
          <w:w w:val="96"/>
        </w:rPr>
        <w:t>the</w:t>
      </w:r>
      <w:r>
        <w:rPr>
          <w:color w:val="231F20"/>
          <w:spacing w:val="10"/>
        </w:rPr>
        <w:t xml:space="preserve"> </w:t>
      </w:r>
      <w:r>
        <w:rPr>
          <w:color w:val="231F20"/>
          <w:w w:val="120"/>
        </w:rPr>
        <w:t>GI</w:t>
      </w:r>
      <w:r>
        <w:rPr>
          <w:color w:val="231F20"/>
          <w:spacing w:val="-1"/>
          <w:w w:val="120"/>
        </w:rPr>
        <w:t>M</w:t>
      </w:r>
      <w:r>
        <w:rPr>
          <w:color w:val="231F20"/>
          <w:w w:val="135"/>
        </w:rPr>
        <w:t>,</w:t>
      </w:r>
      <w:r>
        <w:rPr>
          <w:color w:val="231F20"/>
          <w:spacing w:val="3"/>
        </w:rPr>
        <w:t xml:space="preserve"> </w:t>
      </w:r>
      <w:r>
        <w:rPr>
          <w:color w:val="231F20"/>
          <w:w w:val="96"/>
        </w:rPr>
        <w:t>splintered</w:t>
      </w:r>
      <w:r>
        <w:rPr>
          <w:color w:val="231F20"/>
          <w:spacing w:val="10"/>
        </w:rPr>
        <w:t xml:space="preserve"> </w:t>
      </w:r>
      <w:r>
        <w:rPr>
          <w:color w:val="231F20"/>
          <w:w w:val="101"/>
        </w:rPr>
        <w:t>into</w:t>
      </w:r>
      <w:r>
        <w:rPr>
          <w:color w:val="231F20"/>
          <w:spacing w:val="10"/>
        </w:rPr>
        <w:t xml:space="preserve"> </w:t>
      </w:r>
      <w:r>
        <w:rPr>
          <w:color w:val="231F20"/>
          <w:w w:val="99"/>
        </w:rPr>
        <w:t xml:space="preserve">various </w:t>
      </w:r>
      <w:r>
        <w:rPr>
          <w:color w:val="231F20"/>
        </w:rPr>
        <w:t>groups in</w:t>
      </w:r>
      <w:r>
        <w:rPr>
          <w:color w:val="231F20"/>
          <w:spacing w:val="21"/>
        </w:rPr>
        <w:t xml:space="preserve"> </w:t>
      </w:r>
      <w:r>
        <w:rPr>
          <w:color w:val="231F20"/>
        </w:rPr>
        <w:t>1993.</w:t>
      </w:r>
    </w:p>
    <w:p w14:paraId="6D6B0893" w14:textId="77777777" w:rsidR="002653E8" w:rsidRDefault="003115E3">
      <w:pPr>
        <w:pStyle w:val="a3"/>
        <w:tabs>
          <w:tab w:val="left" w:pos="2747"/>
        </w:tabs>
        <w:spacing w:line="264" w:lineRule="auto"/>
        <w:ind w:left="2747" w:right="1629" w:hanging="1200"/>
      </w:pPr>
      <w:r>
        <w:rPr>
          <w:color w:val="231F20"/>
        </w:rPr>
        <w:t>ZDF</w:t>
      </w:r>
      <w:r>
        <w:rPr>
          <w:color w:val="231F20"/>
        </w:rPr>
        <w:tab/>
      </w:r>
      <w:r>
        <w:rPr>
          <w:i/>
          <w:color w:val="231F20"/>
        </w:rPr>
        <w:t xml:space="preserve">Zweites Deutsches Fernsehen </w:t>
      </w:r>
      <w:r>
        <w:rPr>
          <w:color w:val="231F20"/>
        </w:rPr>
        <w:t>(Second German Television); German publicly regulated television, Europe’s largest broadcasting</w:t>
      </w:r>
      <w:r>
        <w:rPr>
          <w:color w:val="231F20"/>
          <w:spacing w:val="30"/>
        </w:rPr>
        <w:t xml:space="preserve"> </w:t>
      </w:r>
      <w:r>
        <w:rPr>
          <w:color w:val="231F20"/>
        </w:rPr>
        <w:t>corporation.</w:t>
      </w:r>
    </w:p>
    <w:p w14:paraId="3E34CFE9" w14:textId="77777777" w:rsidR="002653E8" w:rsidRDefault="002653E8">
      <w:pPr>
        <w:spacing w:line="264" w:lineRule="auto"/>
        <w:sectPr w:rsidR="002653E8">
          <w:pgSz w:w="8640" w:h="12960"/>
          <w:pgMar w:top="1060" w:right="0" w:bottom="1040" w:left="0" w:header="0" w:footer="850" w:gutter="0"/>
          <w:cols w:space="720"/>
        </w:sectPr>
      </w:pPr>
    </w:p>
    <w:p w14:paraId="0B18F5B0" w14:textId="77777777" w:rsidR="002653E8" w:rsidRDefault="003115E3">
      <w:pPr>
        <w:pStyle w:val="4"/>
        <w:spacing w:before="88"/>
        <w:ind w:left="179"/>
        <w:jc w:val="center"/>
        <w:rPr>
          <w:rFonts w:ascii="Cambria"/>
        </w:rPr>
      </w:pPr>
      <w:bookmarkStart w:id="16" w:name="German_Terms_"/>
      <w:bookmarkStart w:id="17" w:name="_bookmark6"/>
      <w:bookmarkEnd w:id="16"/>
      <w:bookmarkEnd w:id="17"/>
      <w:r>
        <w:rPr>
          <w:rFonts w:ascii="Cambria"/>
          <w:color w:val="231F20"/>
          <w:w w:val="115"/>
        </w:rPr>
        <w:lastRenderedPageBreak/>
        <w:t>germ an terms</w:t>
      </w:r>
    </w:p>
    <w:p w14:paraId="579624D2" w14:textId="77777777" w:rsidR="002653E8" w:rsidRDefault="003115E3">
      <w:pPr>
        <w:spacing w:before="249" w:line="276" w:lineRule="auto"/>
        <w:ind w:left="1747" w:right="1565"/>
        <w:jc w:val="both"/>
        <w:rPr>
          <w:i/>
          <w:sz w:val="19"/>
        </w:rPr>
      </w:pPr>
      <w:r>
        <w:rPr>
          <w:i/>
          <w:color w:val="231F20"/>
          <w:w w:val="105"/>
          <w:sz w:val="19"/>
        </w:rPr>
        <w:t>This is by no means a complete list of German words and terms used in this volume, most of which are explained in the text or  by means of footnote. What follows are simply some of the more frequently recurring words the reader will</w:t>
      </w:r>
      <w:r>
        <w:rPr>
          <w:i/>
          <w:color w:val="231F20"/>
          <w:spacing w:val="16"/>
          <w:w w:val="105"/>
          <w:sz w:val="19"/>
        </w:rPr>
        <w:t xml:space="preserve"> </w:t>
      </w:r>
      <w:r>
        <w:rPr>
          <w:i/>
          <w:color w:val="231F20"/>
          <w:spacing w:val="-3"/>
          <w:w w:val="105"/>
          <w:sz w:val="19"/>
        </w:rPr>
        <w:t>encounter.</w:t>
      </w:r>
    </w:p>
    <w:p w14:paraId="360F7BDC" w14:textId="77777777" w:rsidR="002653E8" w:rsidRDefault="002653E8">
      <w:pPr>
        <w:pStyle w:val="a3"/>
        <w:spacing w:before="7"/>
        <w:rPr>
          <w:i/>
          <w:sz w:val="23"/>
        </w:rPr>
      </w:pPr>
    </w:p>
    <w:p w14:paraId="0B0F6C29" w14:textId="77777777" w:rsidR="002653E8" w:rsidRDefault="003115E3">
      <w:pPr>
        <w:spacing w:before="1"/>
        <w:ind w:left="1327"/>
        <w:rPr>
          <w:sz w:val="19"/>
        </w:rPr>
      </w:pPr>
      <w:r>
        <w:rPr>
          <w:i/>
          <w:color w:val="231F20"/>
          <w:w w:val="105"/>
          <w:sz w:val="19"/>
        </w:rPr>
        <w:t xml:space="preserve">Bundestag: </w:t>
      </w:r>
      <w:r>
        <w:rPr>
          <w:color w:val="231F20"/>
          <w:w w:val="105"/>
          <w:sz w:val="19"/>
        </w:rPr>
        <w:t>The fedaral parliament of West Germany.</w:t>
      </w:r>
    </w:p>
    <w:p w14:paraId="69B50E13" w14:textId="77777777" w:rsidR="002653E8" w:rsidRDefault="003115E3">
      <w:pPr>
        <w:spacing w:before="161"/>
        <w:ind w:left="1327"/>
        <w:rPr>
          <w:sz w:val="19"/>
        </w:rPr>
      </w:pPr>
      <w:r>
        <w:rPr>
          <w:i/>
          <w:color w:val="231F20"/>
          <w:w w:val="105"/>
          <w:sz w:val="19"/>
        </w:rPr>
        <w:t xml:space="preserve">Bundeswehr: </w:t>
      </w:r>
      <w:r>
        <w:rPr>
          <w:color w:val="231F20"/>
          <w:w w:val="105"/>
          <w:sz w:val="19"/>
        </w:rPr>
        <w:t>The armed forced of West Germany, re-established in 1954.</w:t>
      </w:r>
    </w:p>
    <w:p w14:paraId="61E9DD0C" w14:textId="77777777" w:rsidR="002653E8" w:rsidRPr="00C507A5" w:rsidRDefault="003115E3">
      <w:pPr>
        <w:spacing w:before="161" w:line="276" w:lineRule="auto"/>
        <w:ind w:left="1327" w:right="1190"/>
        <w:jc w:val="both"/>
        <w:rPr>
          <w:sz w:val="19"/>
          <w:lang w:val="de-DE"/>
        </w:rPr>
      </w:pPr>
      <w:r w:rsidRPr="00C507A5">
        <w:rPr>
          <w:i/>
          <w:color w:val="231F20"/>
          <w:w w:val="105"/>
          <w:sz w:val="19"/>
          <w:lang w:val="de-DE"/>
        </w:rPr>
        <w:t xml:space="preserve">Jusos: Arbeitsgemeinschaft der Jungsozialistinnen und Jungsozialisten in der SPD </w:t>
      </w:r>
      <w:r w:rsidRPr="00C507A5">
        <w:rPr>
          <w:color w:val="231F20"/>
          <w:w w:val="105"/>
          <w:sz w:val="19"/>
          <w:lang w:val="de-DE"/>
        </w:rPr>
        <w:t>(Workers Association of young Socialists in the SPD); the SPD’s youth wing.</w:t>
      </w:r>
    </w:p>
    <w:p w14:paraId="63D1EFA5" w14:textId="77777777" w:rsidR="002653E8" w:rsidRDefault="003115E3">
      <w:pPr>
        <w:spacing w:before="128" w:line="276" w:lineRule="auto"/>
        <w:ind w:left="1327" w:right="1145" w:hanging="1"/>
        <w:rPr>
          <w:sz w:val="19"/>
        </w:rPr>
      </w:pPr>
      <w:r>
        <w:rPr>
          <w:i/>
          <w:color w:val="231F20"/>
          <w:w w:val="105"/>
          <w:sz w:val="19"/>
        </w:rPr>
        <w:t xml:space="preserve">Kripo: </w:t>
      </w:r>
      <w:r>
        <w:rPr>
          <w:color w:val="231F20"/>
          <w:w w:val="105"/>
          <w:sz w:val="19"/>
        </w:rPr>
        <w:t xml:space="preserve">Short for </w:t>
      </w:r>
      <w:r>
        <w:rPr>
          <w:i/>
          <w:color w:val="231F20"/>
          <w:w w:val="105"/>
          <w:sz w:val="19"/>
        </w:rPr>
        <w:t xml:space="preserve">Kriminalpolizei </w:t>
      </w:r>
      <w:r>
        <w:rPr>
          <w:color w:val="231F20"/>
          <w:w w:val="105"/>
          <w:sz w:val="19"/>
        </w:rPr>
        <w:t>(Criminal Police); the principal German police force.</w:t>
      </w:r>
    </w:p>
    <w:p w14:paraId="07E3886D" w14:textId="77777777" w:rsidR="002653E8" w:rsidRDefault="003115E3">
      <w:pPr>
        <w:spacing w:before="127" w:line="276" w:lineRule="auto"/>
        <w:ind w:left="1327" w:right="1580" w:hanging="1"/>
        <w:rPr>
          <w:sz w:val="19"/>
        </w:rPr>
      </w:pPr>
      <w:r>
        <w:rPr>
          <w:i/>
          <w:color w:val="231F20"/>
          <w:w w:val="105"/>
          <w:sz w:val="19"/>
        </w:rPr>
        <w:t xml:space="preserve">Land/Länder: </w:t>
      </w:r>
      <w:r>
        <w:rPr>
          <w:color w:val="231F20"/>
          <w:w w:val="105"/>
          <w:sz w:val="19"/>
        </w:rPr>
        <w:t>The singular and plural for the German equivalent of states or provinces.</w:t>
      </w:r>
    </w:p>
    <w:p w14:paraId="3EF57E43" w14:textId="77777777" w:rsidR="002653E8" w:rsidRDefault="003115E3">
      <w:pPr>
        <w:spacing w:before="128"/>
        <w:ind w:left="1327"/>
        <w:rPr>
          <w:sz w:val="19"/>
        </w:rPr>
      </w:pPr>
      <w:r>
        <w:rPr>
          <w:i/>
          <w:color w:val="231F20"/>
          <w:w w:val="105"/>
          <w:sz w:val="19"/>
        </w:rPr>
        <w:t xml:space="preserve">Ostpolitik: </w:t>
      </w:r>
      <w:r>
        <w:rPr>
          <w:color w:val="231F20"/>
          <w:w w:val="105"/>
          <w:sz w:val="19"/>
        </w:rPr>
        <w:t>the FRG’s official policy towards the GDR and the east bloc.</w:t>
      </w:r>
    </w:p>
    <w:p w14:paraId="6AF9A0CF" w14:textId="77777777" w:rsidR="002653E8" w:rsidRDefault="003115E3">
      <w:pPr>
        <w:spacing w:before="161" w:line="276" w:lineRule="auto"/>
        <w:ind w:left="1327" w:right="1211"/>
        <w:rPr>
          <w:sz w:val="19"/>
        </w:rPr>
      </w:pPr>
      <w:r>
        <w:rPr>
          <w:i/>
          <w:color w:val="231F20"/>
          <w:w w:val="105"/>
          <w:sz w:val="19"/>
        </w:rPr>
        <w:t xml:space="preserve">Rote Zora: </w:t>
      </w:r>
      <w:r>
        <w:rPr>
          <w:color w:val="231F20"/>
          <w:w w:val="105"/>
          <w:sz w:val="19"/>
        </w:rPr>
        <w:t>the independent feminist affiliate of the RZ. Its members were originally active as the Women of the Revolutionary Cells in 1975. The last Rote Zora action occurred in 1995.</w:t>
      </w:r>
    </w:p>
    <w:p w14:paraId="059B288D" w14:textId="77777777" w:rsidR="002653E8" w:rsidRDefault="003115E3">
      <w:pPr>
        <w:spacing w:before="128" w:line="276" w:lineRule="auto"/>
        <w:ind w:left="1327" w:right="1207"/>
        <w:rPr>
          <w:sz w:val="19"/>
        </w:rPr>
      </w:pPr>
      <w:r>
        <w:rPr>
          <w:i/>
          <w:color w:val="231F20"/>
          <w:w w:val="105"/>
          <w:sz w:val="19"/>
        </w:rPr>
        <w:t xml:space="preserve">Stasi: </w:t>
      </w:r>
      <w:r>
        <w:rPr>
          <w:color w:val="231F20"/>
          <w:w w:val="105"/>
          <w:sz w:val="19"/>
        </w:rPr>
        <w:t xml:space="preserve">The </w:t>
      </w:r>
      <w:r>
        <w:rPr>
          <w:i/>
          <w:color w:val="231F20"/>
          <w:w w:val="105"/>
          <w:sz w:val="19"/>
        </w:rPr>
        <w:t xml:space="preserve">Ministerium für Staatssicherheit </w:t>
      </w:r>
      <w:r>
        <w:rPr>
          <w:color w:val="231F20"/>
          <w:w w:val="105"/>
          <w:sz w:val="19"/>
        </w:rPr>
        <w:t xml:space="preserve">(Ministry for State Security), better know as the </w:t>
      </w:r>
      <w:r>
        <w:rPr>
          <w:i/>
          <w:color w:val="231F20"/>
          <w:w w:val="105"/>
          <w:sz w:val="19"/>
        </w:rPr>
        <w:t xml:space="preserve">Stasi, </w:t>
      </w:r>
      <w:r>
        <w:rPr>
          <w:color w:val="231F20"/>
          <w:w w:val="105"/>
          <w:sz w:val="19"/>
        </w:rPr>
        <w:t>was the East German secret police force that tracked both internal dissent and foreign threats. It was similar in some ways to the FBI or the BKA, but played a more central role in policy decision-making.</w:t>
      </w:r>
    </w:p>
    <w:p w14:paraId="2C6F6CBC" w14:textId="77777777" w:rsidR="002653E8" w:rsidRDefault="003115E3">
      <w:pPr>
        <w:spacing w:before="127" w:line="276" w:lineRule="auto"/>
        <w:ind w:left="1327" w:right="1255" w:hanging="1"/>
        <w:rPr>
          <w:sz w:val="19"/>
        </w:rPr>
      </w:pPr>
      <w:r>
        <w:rPr>
          <w:i/>
          <w:color w:val="231F20"/>
          <w:w w:val="105"/>
          <w:sz w:val="19"/>
        </w:rPr>
        <w:t xml:space="preserve">Verfassungsschutz: </w:t>
      </w:r>
      <w:r>
        <w:rPr>
          <w:color w:val="231F20"/>
          <w:w w:val="105"/>
          <w:sz w:val="19"/>
        </w:rPr>
        <w:t>Literally “Protection of the Constitution” or Guardians of the Constitution; the German internal intelligence service, primary police force for intelligence actions against the guerilla and</w:t>
      </w:r>
    </w:p>
    <w:p w14:paraId="49AB3506" w14:textId="77777777" w:rsidR="002653E8" w:rsidRDefault="003115E3">
      <w:pPr>
        <w:spacing w:line="222" w:lineRule="exact"/>
        <w:ind w:left="1327"/>
        <w:rPr>
          <w:sz w:val="19"/>
        </w:rPr>
      </w:pPr>
      <w:r>
        <w:rPr>
          <w:color w:val="231F20"/>
          <w:w w:val="105"/>
          <w:sz w:val="19"/>
        </w:rPr>
        <w:t>the left.</w:t>
      </w:r>
    </w:p>
    <w:p w14:paraId="481E0105" w14:textId="77777777" w:rsidR="002653E8" w:rsidRDefault="002653E8">
      <w:pPr>
        <w:spacing w:line="222" w:lineRule="exact"/>
        <w:rPr>
          <w:sz w:val="19"/>
        </w:rPr>
        <w:sectPr w:rsidR="002653E8">
          <w:footerReference w:type="even" r:id="rId31"/>
          <w:pgSz w:w="8640" w:h="12960"/>
          <w:pgMar w:top="1220" w:right="0" w:bottom="1040" w:left="0" w:header="0" w:footer="850" w:gutter="0"/>
          <w:cols w:space="720"/>
        </w:sectPr>
      </w:pPr>
    </w:p>
    <w:p w14:paraId="4219EE7D" w14:textId="77777777" w:rsidR="002653E8" w:rsidRDefault="002653E8">
      <w:pPr>
        <w:pStyle w:val="a3"/>
        <w:spacing w:before="4"/>
        <w:rPr>
          <w:rFonts w:ascii="Times New Roman"/>
          <w:sz w:val="17"/>
        </w:rPr>
      </w:pPr>
    </w:p>
    <w:p w14:paraId="77DF0ACC" w14:textId="77777777" w:rsidR="002653E8" w:rsidRDefault="002653E8">
      <w:pPr>
        <w:rPr>
          <w:rFonts w:ascii="Times New Roman"/>
          <w:sz w:val="17"/>
        </w:rPr>
        <w:sectPr w:rsidR="002653E8">
          <w:footerReference w:type="default" r:id="rId32"/>
          <w:pgSz w:w="8640" w:h="12960"/>
          <w:pgMar w:top="1220" w:right="0" w:bottom="280" w:left="0" w:header="0" w:footer="0" w:gutter="0"/>
          <w:cols w:space="720"/>
        </w:sectPr>
      </w:pPr>
    </w:p>
    <w:p w14:paraId="42AE28B3" w14:textId="77777777" w:rsidR="002653E8" w:rsidRDefault="002653E8">
      <w:pPr>
        <w:pStyle w:val="a3"/>
        <w:rPr>
          <w:rFonts w:ascii="Times New Roman"/>
        </w:rPr>
      </w:pPr>
    </w:p>
    <w:p w14:paraId="2E5C26C8" w14:textId="77777777" w:rsidR="002653E8" w:rsidRDefault="002653E8">
      <w:pPr>
        <w:pStyle w:val="a3"/>
        <w:rPr>
          <w:rFonts w:ascii="Times New Roman"/>
        </w:rPr>
      </w:pPr>
    </w:p>
    <w:p w14:paraId="204892A3" w14:textId="77777777" w:rsidR="002653E8" w:rsidRDefault="002653E8">
      <w:pPr>
        <w:pStyle w:val="a3"/>
        <w:rPr>
          <w:rFonts w:ascii="Times New Roman"/>
        </w:rPr>
      </w:pPr>
    </w:p>
    <w:p w14:paraId="1B2E31BD" w14:textId="77777777" w:rsidR="002653E8" w:rsidRDefault="002653E8">
      <w:pPr>
        <w:pStyle w:val="a3"/>
        <w:rPr>
          <w:rFonts w:ascii="Times New Roman"/>
        </w:rPr>
      </w:pPr>
    </w:p>
    <w:p w14:paraId="5636CDD1" w14:textId="77777777" w:rsidR="002653E8" w:rsidRDefault="002653E8">
      <w:pPr>
        <w:pStyle w:val="a3"/>
        <w:rPr>
          <w:rFonts w:ascii="Times New Roman"/>
        </w:rPr>
      </w:pPr>
    </w:p>
    <w:p w14:paraId="0F82A092" w14:textId="77777777" w:rsidR="002653E8" w:rsidRDefault="002653E8">
      <w:pPr>
        <w:pStyle w:val="a3"/>
        <w:rPr>
          <w:rFonts w:ascii="Times New Roman"/>
        </w:rPr>
      </w:pPr>
    </w:p>
    <w:p w14:paraId="2156CC1F" w14:textId="77777777" w:rsidR="002653E8" w:rsidRDefault="002653E8">
      <w:pPr>
        <w:pStyle w:val="a3"/>
        <w:rPr>
          <w:rFonts w:ascii="Times New Roman"/>
        </w:rPr>
      </w:pPr>
    </w:p>
    <w:p w14:paraId="19E174E4" w14:textId="77777777" w:rsidR="002653E8" w:rsidRDefault="002653E8">
      <w:pPr>
        <w:pStyle w:val="a3"/>
        <w:rPr>
          <w:rFonts w:ascii="Times New Roman"/>
        </w:rPr>
      </w:pPr>
    </w:p>
    <w:p w14:paraId="794E0812" w14:textId="77777777" w:rsidR="002653E8" w:rsidRDefault="002653E8">
      <w:pPr>
        <w:pStyle w:val="a3"/>
        <w:rPr>
          <w:rFonts w:ascii="Times New Roman"/>
        </w:rPr>
      </w:pPr>
    </w:p>
    <w:p w14:paraId="4198920D" w14:textId="77777777" w:rsidR="002653E8" w:rsidRDefault="002653E8">
      <w:pPr>
        <w:pStyle w:val="a3"/>
        <w:rPr>
          <w:rFonts w:ascii="Times New Roman"/>
        </w:rPr>
      </w:pPr>
    </w:p>
    <w:p w14:paraId="1527CBC6" w14:textId="77777777" w:rsidR="002653E8" w:rsidRDefault="002653E8">
      <w:pPr>
        <w:pStyle w:val="a3"/>
        <w:rPr>
          <w:rFonts w:ascii="Times New Roman"/>
        </w:rPr>
      </w:pPr>
    </w:p>
    <w:p w14:paraId="32C1369C" w14:textId="77777777" w:rsidR="002653E8" w:rsidRDefault="002653E8">
      <w:pPr>
        <w:pStyle w:val="a3"/>
        <w:rPr>
          <w:rFonts w:ascii="Times New Roman"/>
        </w:rPr>
      </w:pPr>
    </w:p>
    <w:p w14:paraId="3958C3AE" w14:textId="77777777" w:rsidR="002653E8" w:rsidRDefault="002653E8">
      <w:pPr>
        <w:pStyle w:val="a3"/>
        <w:spacing w:before="7"/>
        <w:rPr>
          <w:rFonts w:ascii="Times New Roman"/>
          <w:sz w:val="19"/>
        </w:rPr>
      </w:pPr>
    </w:p>
    <w:p w14:paraId="1D57CF37" w14:textId="77777777" w:rsidR="002653E8" w:rsidRDefault="003115E3">
      <w:pPr>
        <w:spacing w:before="70" w:line="1100" w:lineRule="exact"/>
        <w:ind w:left="3452"/>
        <w:rPr>
          <w:rFonts w:ascii="Calibri"/>
          <w:sz w:val="50"/>
        </w:rPr>
      </w:pPr>
      <w:r>
        <w:rPr>
          <w:rFonts w:ascii="Calibri"/>
          <w:color w:val="231F20"/>
          <w:w w:val="120"/>
          <w:sz w:val="96"/>
        </w:rPr>
        <w:t>P</w:t>
      </w:r>
      <w:r>
        <w:rPr>
          <w:rFonts w:ascii="Calibri"/>
          <w:color w:val="231F20"/>
          <w:w w:val="120"/>
          <w:sz w:val="50"/>
        </w:rPr>
        <w:t>ROJECTILES</w:t>
      </w:r>
    </w:p>
    <w:p w14:paraId="4CB54520" w14:textId="77777777" w:rsidR="002653E8" w:rsidRDefault="003115E3">
      <w:pPr>
        <w:spacing w:line="1100" w:lineRule="exact"/>
        <w:ind w:left="3507"/>
        <w:rPr>
          <w:rFonts w:ascii="Calibri"/>
          <w:sz w:val="50"/>
        </w:rPr>
      </w:pPr>
      <w:r>
        <w:rPr>
          <w:rFonts w:ascii="Calibri"/>
          <w:color w:val="231F20"/>
          <w:w w:val="110"/>
          <w:sz w:val="36"/>
        </w:rPr>
        <w:t xml:space="preserve">for the </w:t>
      </w:r>
      <w:r>
        <w:rPr>
          <w:rFonts w:ascii="Calibri"/>
          <w:color w:val="231F20"/>
          <w:w w:val="110"/>
          <w:sz w:val="96"/>
        </w:rPr>
        <w:t>P</w:t>
      </w:r>
      <w:r>
        <w:rPr>
          <w:rFonts w:ascii="Calibri"/>
          <w:color w:val="231F20"/>
          <w:w w:val="110"/>
          <w:sz w:val="50"/>
        </w:rPr>
        <w:t>EOPLE</w:t>
      </w:r>
    </w:p>
    <w:p w14:paraId="6129B5CA" w14:textId="77777777" w:rsidR="002653E8" w:rsidRDefault="002653E8">
      <w:pPr>
        <w:spacing w:line="1100" w:lineRule="exact"/>
        <w:rPr>
          <w:rFonts w:ascii="Calibri"/>
          <w:sz w:val="50"/>
        </w:rPr>
        <w:sectPr w:rsidR="002653E8">
          <w:footerReference w:type="even" r:id="rId33"/>
          <w:pgSz w:w="8640" w:h="12960"/>
          <w:pgMar w:top="1220" w:right="0" w:bottom="280" w:left="0" w:header="0" w:footer="0" w:gutter="0"/>
          <w:cols w:space="720"/>
        </w:sectPr>
      </w:pPr>
    </w:p>
    <w:p w14:paraId="182FE612" w14:textId="77777777" w:rsidR="002653E8" w:rsidRDefault="002653E8">
      <w:pPr>
        <w:pStyle w:val="a3"/>
        <w:spacing w:before="5"/>
        <w:rPr>
          <w:rFonts w:ascii="Times New Roman"/>
          <w:sz w:val="5"/>
        </w:rPr>
      </w:pPr>
    </w:p>
    <w:p w14:paraId="0099F24C" w14:textId="77777777" w:rsidR="002653E8" w:rsidRDefault="003115E3">
      <w:pPr>
        <w:pStyle w:val="a3"/>
        <w:ind w:left="1147"/>
        <w:rPr>
          <w:rFonts w:ascii="Times New Roman"/>
        </w:rPr>
      </w:pPr>
      <w:r>
        <w:rPr>
          <w:rFonts w:ascii="Times New Roman"/>
        </w:rPr>
        <w:drawing>
          <wp:inline distT="0" distB="0" distL="0" distR="0" wp14:anchorId="66B95AEC" wp14:editId="6FE1F064">
            <wp:extent cx="3911056" cy="6270783"/>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4" cstate="print"/>
                    <a:stretch>
                      <a:fillRect/>
                    </a:stretch>
                  </pic:blipFill>
                  <pic:spPr>
                    <a:xfrm>
                      <a:off x="0" y="0"/>
                      <a:ext cx="3911056" cy="6270783"/>
                    </a:xfrm>
                    <a:prstGeom prst="rect">
                      <a:avLst/>
                    </a:prstGeom>
                  </pic:spPr>
                </pic:pic>
              </a:graphicData>
            </a:graphic>
          </wp:inline>
        </w:drawing>
      </w:r>
    </w:p>
    <w:p w14:paraId="2CF0F21A" w14:textId="77777777" w:rsidR="002653E8" w:rsidRDefault="002653E8">
      <w:pPr>
        <w:rPr>
          <w:rFonts w:ascii="Times New Roman"/>
        </w:rPr>
        <w:sectPr w:rsidR="002653E8">
          <w:footerReference w:type="even" r:id="rId35"/>
          <w:footerReference w:type="default" r:id="rId36"/>
          <w:pgSz w:w="8640" w:h="12960"/>
          <w:pgMar w:top="1220" w:right="0" w:bottom="960" w:left="0" w:header="0" w:footer="770" w:gutter="0"/>
          <w:pgNumType w:start="2"/>
          <w:cols w:space="720"/>
        </w:sectPr>
      </w:pPr>
    </w:p>
    <w:p w14:paraId="32849488" w14:textId="77777777" w:rsidR="002653E8" w:rsidRDefault="002653E8">
      <w:pPr>
        <w:pStyle w:val="a3"/>
        <w:rPr>
          <w:rFonts w:ascii="Times New Roman"/>
        </w:rPr>
      </w:pPr>
    </w:p>
    <w:p w14:paraId="2342F685" w14:textId="77777777" w:rsidR="002653E8" w:rsidRDefault="002653E8">
      <w:pPr>
        <w:pStyle w:val="a3"/>
        <w:rPr>
          <w:rFonts w:ascii="Times New Roman"/>
        </w:rPr>
      </w:pPr>
    </w:p>
    <w:p w14:paraId="5AF804A0" w14:textId="77777777" w:rsidR="002653E8" w:rsidRDefault="002653E8">
      <w:pPr>
        <w:pStyle w:val="a3"/>
        <w:rPr>
          <w:rFonts w:ascii="Times New Roman"/>
        </w:rPr>
      </w:pPr>
    </w:p>
    <w:p w14:paraId="77D64813" w14:textId="77777777" w:rsidR="002653E8" w:rsidRDefault="002653E8">
      <w:pPr>
        <w:pStyle w:val="a3"/>
        <w:rPr>
          <w:rFonts w:ascii="Times New Roman"/>
        </w:rPr>
      </w:pPr>
    </w:p>
    <w:p w14:paraId="7297F03E" w14:textId="77777777" w:rsidR="002653E8" w:rsidRDefault="002653E8">
      <w:pPr>
        <w:pStyle w:val="a3"/>
        <w:rPr>
          <w:rFonts w:ascii="Times New Roman"/>
        </w:rPr>
      </w:pPr>
    </w:p>
    <w:p w14:paraId="49E877BA" w14:textId="77777777" w:rsidR="002653E8" w:rsidRDefault="003115E3">
      <w:pPr>
        <w:pStyle w:val="4"/>
        <w:tabs>
          <w:tab w:val="left" w:pos="7039"/>
          <w:tab w:val="left" w:pos="7491"/>
        </w:tabs>
        <w:spacing w:before="216"/>
        <w:rPr>
          <w:rFonts w:ascii="Lucida Sans"/>
          <w:b/>
        </w:rPr>
      </w:pPr>
      <w:bookmarkStart w:id="18" w:name="1_“Democracy”_Comes_to_Deutschland:_Post"/>
      <w:bookmarkStart w:id="19" w:name="_bookmark7"/>
      <w:bookmarkEnd w:id="18"/>
      <w:bookmarkEnd w:id="19"/>
      <w:r>
        <w:rPr>
          <w:rFonts w:ascii="Lucida Sans"/>
          <w:b/>
          <w:color w:val="FFFFFF"/>
          <w:w w:val="87"/>
          <w:shd w:val="clear" w:color="auto" w:fill="231F20"/>
        </w:rPr>
        <w:t xml:space="preserve"> </w:t>
      </w:r>
      <w:r>
        <w:rPr>
          <w:rFonts w:ascii="Lucida Sans"/>
          <w:b/>
          <w:color w:val="FFFFFF"/>
          <w:shd w:val="clear" w:color="auto" w:fill="231F20"/>
        </w:rPr>
        <w:tab/>
      </w:r>
      <w:r>
        <w:rPr>
          <w:rFonts w:ascii="Lucida Sans"/>
          <w:b/>
          <w:color w:val="FFFFFF"/>
          <w:w w:val="95"/>
          <w:shd w:val="clear" w:color="auto" w:fill="231F20"/>
        </w:rPr>
        <w:t>1</w:t>
      </w:r>
      <w:r>
        <w:rPr>
          <w:rFonts w:ascii="Lucida Sans"/>
          <w:b/>
          <w:color w:val="FFFFFF"/>
          <w:shd w:val="clear" w:color="auto" w:fill="231F20"/>
        </w:rPr>
        <w:tab/>
      </w:r>
    </w:p>
    <w:p w14:paraId="7646087D" w14:textId="77777777" w:rsidR="002653E8" w:rsidRDefault="002653E8">
      <w:pPr>
        <w:pStyle w:val="a3"/>
        <w:rPr>
          <w:rFonts w:ascii="Lucida Sans"/>
          <w:b/>
          <w:sz w:val="36"/>
        </w:rPr>
      </w:pPr>
    </w:p>
    <w:p w14:paraId="77C08F27" w14:textId="77777777" w:rsidR="002653E8" w:rsidRDefault="002653E8">
      <w:pPr>
        <w:pStyle w:val="a3"/>
        <w:spacing w:before="1"/>
        <w:rPr>
          <w:rFonts w:ascii="Lucida Sans"/>
          <w:b/>
          <w:sz w:val="38"/>
        </w:rPr>
      </w:pPr>
    </w:p>
    <w:p w14:paraId="3140D32A" w14:textId="77777777" w:rsidR="002653E8" w:rsidRDefault="003115E3">
      <w:pPr>
        <w:spacing w:line="244" w:lineRule="auto"/>
        <w:ind w:left="2024" w:right="1145" w:hanging="650"/>
        <w:jc w:val="right"/>
        <w:rPr>
          <w:rFonts w:ascii="Lucida Sans" w:hAnsi="Lucida Sans"/>
          <w:b/>
          <w:sz w:val="36"/>
        </w:rPr>
      </w:pPr>
      <w:r>
        <w:rPr>
          <w:rFonts w:ascii="Lucida Sans" w:hAnsi="Lucida Sans"/>
          <w:b/>
          <w:color w:val="231F20"/>
          <w:w w:val="95"/>
          <w:sz w:val="36"/>
        </w:rPr>
        <w:t>“Democracy”</w:t>
      </w:r>
      <w:r>
        <w:rPr>
          <w:rFonts w:ascii="Lucida Sans" w:hAnsi="Lucida Sans"/>
          <w:b/>
          <w:color w:val="231F20"/>
          <w:spacing w:val="-76"/>
          <w:w w:val="95"/>
          <w:sz w:val="36"/>
        </w:rPr>
        <w:t xml:space="preserve"> </w:t>
      </w:r>
      <w:r>
        <w:rPr>
          <w:rFonts w:ascii="Lucida Sans" w:hAnsi="Lucida Sans"/>
          <w:b/>
          <w:color w:val="231F20"/>
          <w:w w:val="95"/>
          <w:sz w:val="36"/>
        </w:rPr>
        <w:t>comes</w:t>
      </w:r>
      <w:r>
        <w:rPr>
          <w:rFonts w:ascii="Lucida Sans" w:hAnsi="Lucida Sans"/>
          <w:b/>
          <w:color w:val="231F20"/>
          <w:spacing w:val="-76"/>
          <w:w w:val="95"/>
          <w:sz w:val="36"/>
        </w:rPr>
        <w:t xml:space="preserve"> </w:t>
      </w:r>
      <w:r>
        <w:rPr>
          <w:rFonts w:ascii="Lucida Sans" w:hAnsi="Lucida Sans"/>
          <w:b/>
          <w:color w:val="231F20"/>
          <w:w w:val="95"/>
          <w:sz w:val="36"/>
        </w:rPr>
        <w:t>to</w:t>
      </w:r>
      <w:r>
        <w:rPr>
          <w:rFonts w:ascii="Lucida Sans" w:hAnsi="Lucida Sans"/>
          <w:b/>
          <w:color w:val="231F20"/>
          <w:spacing w:val="-76"/>
          <w:w w:val="95"/>
          <w:sz w:val="36"/>
        </w:rPr>
        <w:t xml:space="preserve"> </w:t>
      </w:r>
      <w:r>
        <w:rPr>
          <w:rFonts w:ascii="Lucida Sans" w:hAnsi="Lucida Sans"/>
          <w:b/>
          <w:color w:val="231F20"/>
          <w:w w:val="95"/>
          <w:sz w:val="36"/>
        </w:rPr>
        <w:t>Deutschland:</w:t>
      </w:r>
      <w:r>
        <w:rPr>
          <w:rFonts w:ascii="Lucida Sans" w:hAnsi="Lucida Sans"/>
          <w:b/>
          <w:color w:val="231F20"/>
          <w:w w:val="88"/>
          <w:sz w:val="36"/>
        </w:rPr>
        <w:t xml:space="preserve"> </w:t>
      </w:r>
      <w:r>
        <w:rPr>
          <w:rFonts w:ascii="Lucida Sans" w:hAnsi="Lucida Sans"/>
          <w:b/>
          <w:color w:val="231F20"/>
          <w:w w:val="90"/>
          <w:sz w:val="36"/>
        </w:rPr>
        <w:t>Postfascist Germany</w:t>
      </w:r>
      <w:r>
        <w:rPr>
          <w:rFonts w:ascii="Lucida Sans" w:hAnsi="Lucida Sans"/>
          <w:b/>
          <w:color w:val="231F20"/>
          <w:spacing w:val="-67"/>
          <w:w w:val="90"/>
          <w:sz w:val="36"/>
        </w:rPr>
        <w:t xml:space="preserve"> </w:t>
      </w:r>
      <w:r>
        <w:rPr>
          <w:rFonts w:ascii="Lucida Sans" w:hAnsi="Lucida Sans"/>
          <w:b/>
          <w:color w:val="231F20"/>
          <w:w w:val="90"/>
          <w:sz w:val="36"/>
        </w:rPr>
        <w:t>and</w:t>
      </w:r>
      <w:r>
        <w:rPr>
          <w:rFonts w:ascii="Lucida Sans" w:hAnsi="Lucida Sans"/>
          <w:b/>
          <w:color w:val="231F20"/>
          <w:spacing w:val="-34"/>
          <w:w w:val="90"/>
          <w:sz w:val="36"/>
        </w:rPr>
        <w:t xml:space="preserve"> </w:t>
      </w:r>
      <w:r>
        <w:rPr>
          <w:rFonts w:ascii="Lucida Sans" w:hAnsi="Lucida Sans"/>
          <w:b/>
          <w:color w:val="231F20"/>
          <w:w w:val="90"/>
          <w:sz w:val="36"/>
        </w:rPr>
        <w:t>the</w:t>
      </w:r>
      <w:r>
        <w:rPr>
          <w:rFonts w:ascii="Lucida Sans" w:hAnsi="Lucida Sans"/>
          <w:b/>
          <w:color w:val="231F20"/>
          <w:w w:val="89"/>
          <w:sz w:val="36"/>
        </w:rPr>
        <w:t xml:space="preserve"> </w:t>
      </w:r>
      <w:r>
        <w:rPr>
          <w:rFonts w:ascii="Lucida Sans" w:hAnsi="Lucida Sans"/>
          <w:b/>
          <w:color w:val="231F20"/>
          <w:w w:val="90"/>
          <w:sz w:val="36"/>
        </w:rPr>
        <w:t>continuing</w:t>
      </w:r>
      <w:r>
        <w:rPr>
          <w:rFonts w:ascii="Lucida Sans" w:hAnsi="Lucida Sans"/>
          <w:b/>
          <w:color w:val="231F20"/>
          <w:spacing w:val="-34"/>
          <w:w w:val="90"/>
          <w:sz w:val="36"/>
        </w:rPr>
        <w:t xml:space="preserve"> </w:t>
      </w:r>
      <w:r>
        <w:rPr>
          <w:rFonts w:ascii="Lucida Sans" w:hAnsi="Lucida Sans"/>
          <w:b/>
          <w:color w:val="231F20"/>
          <w:w w:val="90"/>
          <w:sz w:val="36"/>
        </w:rPr>
        <w:t>Appeal</w:t>
      </w:r>
      <w:r>
        <w:rPr>
          <w:rFonts w:ascii="Lucida Sans" w:hAnsi="Lucida Sans"/>
          <w:b/>
          <w:color w:val="231F20"/>
          <w:spacing w:val="-34"/>
          <w:w w:val="90"/>
          <w:sz w:val="36"/>
        </w:rPr>
        <w:t xml:space="preserve"> </w:t>
      </w:r>
      <w:r>
        <w:rPr>
          <w:rFonts w:ascii="Lucida Sans" w:hAnsi="Lucida Sans"/>
          <w:b/>
          <w:color w:val="231F20"/>
          <w:w w:val="90"/>
          <w:sz w:val="36"/>
        </w:rPr>
        <w:t>of</w:t>
      </w:r>
      <w:r>
        <w:rPr>
          <w:rFonts w:ascii="Lucida Sans" w:hAnsi="Lucida Sans"/>
          <w:b/>
          <w:color w:val="231F20"/>
          <w:spacing w:val="-34"/>
          <w:w w:val="90"/>
          <w:sz w:val="36"/>
        </w:rPr>
        <w:t xml:space="preserve"> </w:t>
      </w:r>
      <w:r>
        <w:rPr>
          <w:rFonts w:ascii="Lucida Sans" w:hAnsi="Lucida Sans"/>
          <w:b/>
          <w:color w:val="231F20"/>
          <w:w w:val="90"/>
          <w:sz w:val="36"/>
        </w:rPr>
        <w:t>Imperialism</w:t>
      </w:r>
    </w:p>
    <w:p w14:paraId="1EF1BFD0" w14:textId="77777777" w:rsidR="002653E8" w:rsidRDefault="002653E8">
      <w:pPr>
        <w:pStyle w:val="a3"/>
        <w:spacing w:before="2"/>
        <w:rPr>
          <w:rFonts w:ascii="Lucida Sans"/>
          <w:b/>
          <w:sz w:val="36"/>
        </w:rPr>
      </w:pPr>
    </w:p>
    <w:p w14:paraId="3B5841F7" w14:textId="77777777" w:rsidR="002653E8" w:rsidRDefault="003115E3">
      <w:pPr>
        <w:pStyle w:val="a3"/>
        <w:spacing w:line="211" w:lineRule="auto"/>
        <w:ind w:left="1328" w:right="1146" w:hanging="1"/>
        <w:jc w:val="both"/>
      </w:pPr>
      <w:r>
        <w:rPr>
          <w:rFonts w:ascii="Verdana"/>
          <w:color w:val="231F20"/>
          <w:spacing w:val="-16"/>
          <w:sz w:val="48"/>
        </w:rPr>
        <w:t>I</w:t>
      </w:r>
      <w:r>
        <w:rPr>
          <w:color w:val="231F20"/>
          <w:w w:val="147"/>
        </w:rPr>
        <w:t>t</w:t>
      </w:r>
      <w:r>
        <w:rPr>
          <w:color w:val="231F20"/>
        </w:rPr>
        <w:t xml:space="preserve"> </w:t>
      </w:r>
      <w:r>
        <w:rPr>
          <w:color w:val="231F20"/>
          <w:spacing w:val="-18"/>
        </w:rPr>
        <w:t xml:space="preserve"> </w:t>
      </w:r>
      <w:r>
        <w:rPr>
          <w:color w:val="231F20"/>
          <w:w w:val="119"/>
        </w:rPr>
        <w:t>i</w:t>
      </w:r>
      <w:r>
        <w:rPr>
          <w:color w:val="231F20"/>
          <w:w w:val="103"/>
        </w:rPr>
        <w:t>s</w:t>
      </w:r>
      <w:r>
        <w:rPr>
          <w:color w:val="231F20"/>
        </w:rPr>
        <w:t xml:space="preserve"> </w:t>
      </w:r>
      <w:r>
        <w:rPr>
          <w:color w:val="231F20"/>
          <w:spacing w:val="-18"/>
        </w:rPr>
        <w:t xml:space="preserve"> </w:t>
      </w:r>
      <w:r>
        <w:rPr>
          <w:color w:val="231F20"/>
          <w:spacing w:val="3"/>
          <w:w w:val="119"/>
        </w:rPr>
        <w:t>i</w:t>
      </w:r>
      <w:r>
        <w:rPr>
          <w:color w:val="231F20"/>
          <w:spacing w:val="3"/>
          <w:w w:val="93"/>
        </w:rPr>
        <w:t>m</w:t>
      </w:r>
      <w:r>
        <w:rPr>
          <w:color w:val="231F20"/>
          <w:spacing w:val="1"/>
          <w:w w:val="89"/>
        </w:rPr>
        <w:t>p</w:t>
      </w:r>
      <w:r>
        <w:rPr>
          <w:color w:val="231F20"/>
          <w:spacing w:val="-2"/>
          <w:w w:val="125"/>
        </w:rPr>
        <w:t>o</w:t>
      </w:r>
      <w:r>
        <w:rPr>
          <w:color w:val="231F20"/>
          <w:w w:val="103"/>
        </w:rPr>
        <w:t>s</w:t>
      </w:r>
      <w:r>
        <w:rPr>
          <w:color w:val="231F20"/>
          <w:spacing w:val="-2"/>
          <w:w w:val="103"/>
        </w:rPr>
        <w:t>s</w:t>
      </w:r>
      <w:r>
        <w:rPr>
          <w:color w:val="231F20"/>
          <w:spacing w:val="2"/>
          <w:w w:val="119"/>
        </w:rPr>
        <w:t>i</w:t>
      </w:r>
      <w:r>
        <w:rPr>
          <w:color w:val="231F20"/>
          <w:spacing w:val="-4"/>
          <w:w w:val="101"/>
        </w:rPr>
        <w:t>b</w:t>
      </w:r>
      <w:r>
        <w:rPr>
          <w:color w:val="231F20"/>
          <w:spacing w:val="5"/>
          <w:w w:val="184"/>
        </w:rPr>
        <w:t>l</w:t>
      </w:r>
      <w:r>
        <w:rPr>
          <w:color w:val="231F20"/>
          <w:w w:val="102"/>
        </w:rPr>
        <w:t>e</w:t>
      </w:r>
      <w:r>
        <w:rPr>
          <w:color w:val="231F20"/>
        </w:rPr>
        <w:t xml:space="preserve"> </w:t>
      </w:r>
      <w:r>
        <w:rPr>
          <w:color w:val="231F20"/>
          <w:spacing w:val="-18"/>
        </w:rPr>
        <w:t xml:space="preserve"> </w:t>
      </w:r>
      <w:r>
        <w:rPr>
          <w:color w:val="231F20"/>
          <w:w w:val="147"/>
        </w:rPr>
        <w:t>t</w:t>
      </w:r>
      <w:r>
        <w:rPr>
          <w:color w:val="231F20"/>
          <w:w w:val="125"/>
        </w:rPr>
        <w:t>o</w:t>
      </w:r>
      <w:r>
        <w:rPr>
          <w:color w:val="231F20"/>
        </w:rPr>
        <w:t xml:space="preserve"> </w:t>
      </w:r>
      <w:r>
        <w:rPr>
          <w:color w:val="231F20"/>
          <w:spacing w:val="-18"/>
        </w:rPr>
        <w:t xml:space="preserve"> </w:t>
      </w:r>
      <w:r>
        <w:rPr>
          <w:color w:val="231F20"/>
          <w:spacing w:val="7"/>
          <w:w w:val="134"/>
        </w:rPr>
        <w:t>r</w:t>
      </w:r>
      <w:r>
        <w:rPr>
          <w:color w:val="231F20"/>
          <w:spacing w:val="6"/>
          <w:w w:val="102"/>
        </w:rPr>
        <w:t>e</w:t>
      </w:r>
      <w:r>
        <w:rPr>
          <w:color w:val="231F20"/>
          <w:spacing w:val="5"/>
          <w:w w:val="113"/>
        </w:rPr>
        <w:t>a</w:t>
      </w:r>
      <w:r>
        <w:rPr>
          <w:color w:val="231F20"/>
          <w:spacing w:val="2"/>
          <w:w w:val="184"/>
        </w:rPr>
        <w:t>l</w:t>
      </w:r>
      <w:r>
        <w:rPr>
          <w:color w:val="231F20"/>
          <w:spacing w:val="-6"/>
          <w:w w:val="184"/>
        </w:rPr>
        <w:t>l</w:t>
      </w:r>
      <w:r>
        <w:rPr>
          <w:color w:val="231F20"/>
          <w:w w:val="110"/>
        </w:rPr>
        <w:t>y</w:t>
      </w:r>
      <w:r>
        <w:rPr>
          <w:color w:val="231F20"/>
        </w:rPr>
        <w:t xml:space="preserve"> </w:t>
      </w:r>
      <w:r>
        <w:rPr>
          <w:color w:val="231F20"/>
          <w:spacing w:val="-18"/>
        </w:rPr>
        <w:t xml:space="preserve"> </w:t>
      </w:r>
      <w:r>
        <w:rPr>
          <w:color w:val="231F20"/>
          <w:spacing w:val="3"/>
        </w:rPr>
        <w:t>u</w:t>
      </w:r>
      <w:r>
        <w:rPr>
          <w:color w:val="231F20"/>
          <w:spacing w:val="-1"/>
          <w:w w:val="99"/>
        </w:rPr>
        <w:t>n</w:t>
      </w:r>
      <w:r>
        <w:rPr>
          <w:color w:val="231F20"/>
        </w:rPr>
        <w:t>d</w:t>
      </w:r>
      <w:r>
        <w:rPr>
          <w:color w:val="231F20"/>
          <w:w w:val="92"/>
        </w:rPr>
        <w:t>er</w:t>
      </w:r>
      <w:r>
        <w:rPr>
          <w:color w:val="231F20"/>
          <w:w w:val="90"/>
        </w:rPr>
        <w:t>s</w:t>
      </w:r>
      <w:r>
        <w:rPr>
          <w:color w:val="231F20"/>
          <w:spacing w:val="2"/>
          <w:w w:val="98"/>
        </w:rPr>
        <w:t>t</w:t>
      </w:r>
      <w:r>
        <w:rPr>
          <w:color w:val="231F20"/>
          <w:spacing w:val="2"/>
          <w:w w:val="102"/>
        </w:rPr>
        <w:t>a</w:t>
      </w:r>
      <w:r>
        <w:rPr>
          <w:color w:val="231F20"/>
          <w:spacing w:val="-1"/>
          <w:w w:val="99"/>
        </w:rPr>
        <w:t>n</w:t>
      </w:r>
      <w:r>
        <w:rPr>
          <w:color w:val="231F20"/>
        </w:rPr>
        <w:t xml:space="preserve">d </w:t>
      </w:r>
      <w:r>
        <w:rPr>
          <w:color w:val="231F20"/>
          <w:spacing w:val="-18"/>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18"/>
        </w:rPr>
        <w:t xml:space="preserve"> </w:t>
      </w:r>
      <w:r>
        <w:rPr>
          <w:color w:val="231F20"/>
          <w:spacing w:val="1"/>
          <w:w w:val="94"/>
        </w:rPr>
        <w:t>r</w:t>
      </w:r>
      <w:r>
        <w:rPr>
          <w:color w:val="231F20"/>
        </w:rPr>
        <w:t>i</w:t>
      </w:r>
      <w:r>
        <w:rPr>
          <w:color w:val="231F20"/>
          <w:spacing w:val="1"/>
          <w:w w:val="90"/>
        </w:rPr>
        <w:t>s</w:t>
      </w:r>
      <w:r>
        <w:rPr>
          <w:color w:val="231F20"/>
          <w:w w:val="91"/>
        </w:rPr>
        <w:t>e</w:t>
      </w:r>
      <w:r>
        <w:rPr>
          <w:color w:val="231F20"/>
        </w:rPr>
        <w:t xml:space="preserve"> </w:t>
      </w:r>
      <w:r>
        <w:rPr>
          <w:color w:val="231F20"/>
          <w:spacing w:val="-18"/>
        </w:rPr>
        <w:t xml:space="preserve"> </w:t>
      </w:r>
      <w:r>
        <w:rPr>
          <w:color w:val="231F20"/>
          <w:spacing w:val="-2"/>
          <w:w w:val="104"/>
        </w:rPr>
        <w:t>o</w:t>
      </w:r>
      <w:r>
        <w:rPr>
          <w:color w:val="231F20"/>
          <w:w w:val="109"/>
        </w:rPr>
        <w:t>f</w:t>
      </w:r>
      <w:r>
        <w:rPr>
          <w:color w:val="231F20"/>
        </w:rPr>
        <w:t xml:space="preserve"> </w:t>
      </w:r>
      <w:r>
        <w:rPr>
          <w:color w:val="231F20"/>
          <w:spacing w:val="-18"/>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18"/>
        </w:rPr>
        <w:t xml:space="preserve"> </w:t>
      </w:r>
      <w:r>
        <w:rPr>
          <w:color w:val="231F20"/>
          <w:spacing w:val="1"/>
          <w:w w:val="122"/>
        </w:rPr>
        <w:t>N</w:t>
      </w:r>
      <w:r>
        <w:rPr>
          <w:color w:val="231F20"/>
          <w:w w:val="91"/>
        </w:rPr>
        <w:t>e</w:t>
      </w:r>
      <w:r>
        <w:rPr>
          <w:color w:val="231F20"/>
        </w:rPr>
        <w:t xml:space="preserve">w </w:t>
      </w:r>
      <w:r>
        <w:rPr>
          <w:color w:val="231F20"/>
          <w:spacing w:val="-18"/>
        </w:rPr>
        <w:t xml:space="preserve"> </w:t>
      </w:r>
      <w:r>
        <w:rPr>
          <w:color w:val="231F20"/>
          <w:spacing w:val="5"/>
          <w:w w:val="113"/>
        </w:rPr>
        <w:t>L</w:t>
      </w:r>
      <w:r>
        <w:rPr>
          <w:color w:val="231F20"/>
          <w:w w:val="98"/>
        </w:rPr>
        <w:t>e</w:t>
      </w:r>
      <w:r>
        <w:rPr>
          <w:color w:val="231F20"/>
          <w:spacing w:val="5"/>
          <w:w w:val="98"/>
        </w:rPr>
        <w:t>f</w:t>
      </w:r>
      <w:r>
        <w:rPr>
          <w:color w:val="231F20"/>
          <w:w w:val="98"/>
        </w:rPr>
        <w:t>t</w:t>
      </w:r>
      <w:r>
        <w:rPr>
          <w:color w:val="231F20"/>
        </w:rPr>
        <w:t xml:space="preserve"> </w:t>
      </w:r>
      <w:r>
        <w:rPr>
          <w:color w:val="231F20"/>
          <w:spacing w:val="-18"/>
        </w:rPr>
        <w:t xml:space="preserve"> </w:t>
      </w:r>
      <w:r>
        <w:rPr>
          <w:color w:val="231F20"/>
          <w:spacing w:val="-1"/>
          <w:w w:val="104"/>
        </w:rPr>
        <w:t>o</w:t>
      </w:r>
      <w:r>
        <w:rPr>
          <w:color w:val="231F20"/>
          <w:w w:val="94"/>
        </w:rPr>
        <w:t xml:space="preserve">r </w:t>
      </w:r>
      <w:r>
        <w:rPr>
          <w:color w:val="231F20"/>
          <w:w w:val="105"/>
        </w:rPr>
        <w:t>the</w:t>
      </w:r>
      <w:r>
        <w:rPr>
          <w:color w:val="231F20"/>
          <w:spacing w:val="-12"/>
          <w:w w:val="105"/>
        </w:rPr>
        <w:t xml:space="preserve"> </w:t>
      </w:r>
      <w:r>
        <w:rPr>
          <w:color w:val="231F20"/>
          <w:w w:val="105"/>
        </w:rPr>
        <w:t>development</w:t>
      </w:r>
      <w:r>
        <w:rPr>
          <w:color w:val="231F20"/>
          <w:spacing w:val="-12"/>
          <w:w w:val="105"/>
        </w:rPr>
        <w:t xml:space="preserve"> </w:t>
      </w:r>
      <w:r>
        <w:rPr>
          <w:color w:val="231F20"/>
          <w:w w:val="105"/>
        </w:rPr>
        <w:t>of</w:t>
      </w:r>
      <w:r>
        <w:rPr>
          <w:color w:val="231F20"/>
          <w:spacing w:val="-12"/>
          <w:w w:val="105"/>
        </w:rPr>
        <w:t xml:space="preserve"> </w:t>
      </w:r>
      <w:r>
        <w:rPr>
          <w:color w:val="231F20"/>
          <w:w w:val="105"/>
        </w:rPr>
        <w:t>armed</w:t>
      </w:r>
      <w:r>
        <w:rPr>
          <w:color w:val="231F20"/>
          <w:spacing w:val="-12"/>
          <w:w w:val="105"/>
        </w:rPr>
        <w:t xml:space="preserve"> </w:t>
      </w:r>
      <w:r>
        <w:rPr>
          <w:color w:val="231F20"/>
          <w:w w:val="105"/>
        </w:rPr>
        <w:t>struggle</w:t>
      </w:r>
      <w:r>
        <w:rPr>
          <w:color w:val="231F20"/>
          <w:spacing w:val="-12"/>
          <w:w w:val="105"/>
        </w:rPr>
        <w:t xml:space="preserve"> </w:t>
      </w:r>
      <w:r>
        <w:rPr>
          <w:color w:val="231F20"/>
          <w:w w:val="105"/>
        </w:rPr>
        <w:t>in</w:t>
      </w:r>
      <w:r>
        <w:rPr>
          <w:color w:val="231F20"/>
          <w:spacing w:val="-12"/>
          <w:w w:val="105"/>
        </w:rPr>
        <w:t xml:space="preserve"> </w:t>
      </w:r>
      <w:r>
        <w:rPr>
          <w:color w:val="231F20"/>
          <w:spacing w:val="-3"/>
          <w:w w:val="105"/>
        </w:rPr>
        <w:t>West</w:t>
      </w:r>
      <w:r>
        <w:rPr>
          <w:color w:val="231F20"/>
          <w:spacing w:val="-12"/>
          <w:w w:val="105"/>
        </w:rPr>
        <w:t xml:space="preserve"> </w:t>
      </w:r>
      <w:r>
        <w:rPr>
          <w:color w:val="231F20"/>
          <w:w w:val="105"/>
        </w:rPr>
        <w:t>Germany</w:t>
      </w:r>
      <w:r>
        <w:rPr>
          <w:color w:val="231F20"/>
          <w:spacing w:val="-12"/>
          <w:w w:val="105"/>
        </w:rPr>
        <w:t xml:space="preserve"> </w:t>
      </w:r>
      <w:r>
        <w:rPr>
          <w:color w:val="231F20"/>
          <w:w w:val="105"/>
        </w:rPr>
        <w:t>in</w:t>
      </w:r>
      <w:r>
        <w:rPr>
          <w:color w:val="231F20"/>
          <w:spacing w:val="-12"/>
          <w:w w:val="105"/>
        </w:rPr>
        <w:t xml:space="preserve"> </w:t>
      </w:r>
      <w:r>
        <w:rPr>
          <w:color w:val="231F20"/>
          <w:w w:val="105"/>
        </w:rPr>
        <w:t>the</w:t>
      </w:r>
      <w:r>
        <w:rPr>
          <w:color w:val="231F20"/>
          <w:spacing w:val="-12"/>
          <w:w w:val="105"/>
        </w:rPr>
        <w:t xml:space="preserve"> </w:t>
      </w:r>
      <w:r>
        <w:rPr>
          <w:color w:val="231F20"/>
          <w:w w:val="105"/>
        </w:rPr>
        <w:t>late</w:t>
      </w:r>
      <w:r>
        <w:rPr>
          <w:color w:val="231F20"/>
          <w:spacing w:val="-12"/>
          <w:w w:val="105"/>
        </w:rPr>
        <w:t xml:space="preserve"> </w:t>
      </w:r>
      <w:r>
        <w:rPr>
          <w:color w:val="231F20"/>
          <w:w w:val="105"/>
        </w:rPr>
        <w:t>sixties</w:t>
      </w:r>
    </w:p>
    <w:p w14:paraId="43E76B6F" w14:textId="77777777" w:rsidR="002653E8" w:rsidRDefault="003115E3">
      <w:pPr>
        <w:pStyle w:val="a3"/>
        <w:spacing w:before="28" w:line="264" w:lineRule="auto"/>
        <w:ind w:left="1328" w:right="1146"/>
        <w:jc w:val="both"/>
      </w:pPr>
      <w:r>
        <w:rPr>
          <w:color w:val="231F20"/>
        </w:rPr>
        <w:t>and early seventies without understanding the nature of the country and the role it played within the hegemonic, anticommunist strategy developed</w:t>
      </w:r>
      <w:r>
        <w:rPr>
          <w:color w:val="231F20"/>
          <w:spacing w:val="12"/>
        </w:rPr>
        <w:t xml:space="preserve"> </w:t>
      </w:r>
      <w:r>
        <w:rPr>
          <w:color w:val="231F20"/>
        </w:rPr>
        <w:t>by</w:t>
      </w:r>
      <w:r>
        <w:rPr>
          <w:color w:val="231F20"/>
          <w:spacing w:val="12"/>
        </w:rPr>
        <w:t xml:space="preserve"> </w:t>
      </w:r>
      <w:r>
        <w:rPr>
          <w:color w:val="231F20"/>
        </w:rPr>
        <w:t>the</w:t>
      </w:r>
      <w:r>
        <w:rPr>
          <w:color w:val="231F20"/>
          <w:spacing w:val="12"/>
        </w:rPr>
        <w:t xml:space="preserve"> </w:t>
      </w:r>
      <w:r>
        <w:rPr>
          <w:color w:val="231F20"/>
        </w:rPr>
        <w:t>United</w:t>
      </w:r>
      <w:r>
        <w:rPr>
          <w:color w:val="231F20"/>
          <w:spacing w:val="12"/>
        </w:rPr>
        <w:t xml:space="preserve"> </w:t>
      </w:r>
      <w:r>
        <w:rPr>
          <w:color w:val="231F20"/>
        </w:rPr>
        <w:t>States</w:t>
      </w:r>
      <w:r>
        <w:rPr>
          <w:color w:val="231F20"/>
          <w:spacing w:val="12"/>
        </w:rPr>
        <w:t xml:space="preserve"> </w:t>
      </w:r>
      <w:r>
        <w:rPr>
          <w:color w:val="231F20"/>
        </w:rPr>
        <w:t>in</w:t>
      </w:r>
      <w:r>
        <w:rPr>
          <w:color w:val="231F20"/>
          <w:spacing w:val="12"/>
        </w:rPr>
        <w:t xml:space="preserve"> </w:t>
      </w:r>
      <w:r>
        <w:rPr>
          <w:color w:val="231F20"/>
        </w:rPr>
        <w:t>the</w:t>
      </w:r>
      <w:r>
        <w:rPr>
          <w:color w:val="231F20"/>
          <w:spacing w:val="12"/>
        </w:rPr>
        <w:t xml:space="preserve"> </w:t>
      </w:r>
      <w:r>
        <w:rPr>
          <w:color w:val="231F20"/>
        </w:rPr>
        <w:t>period</w:t>
      </w:r>
      <w:r>
        <w:rPr>
          <w:color w:val="231F20"/>
          <w:spacing w:val="12"/>
        </w:rPr>
        <w:t xml:space="preserve"> </w:t>
      </w:r>
      <w:r>
        <w:rPr>
          <w:color w:val="231F20"/>
        </w:rPr>
        <w:t>following</w:t>
      </w:r>
      <w:r>
        <w:rPr>
          <w:color w:val="231F20"/>
          <w:spacing w:val="12"/>
        </w:rPr>
        <w:t xml:space="preserve"> </w:t>
      </w:r>
      <w:r>
        <w:rPr>
          <w:color w:val="231F20"/>
          <w:spacing w:val="-4"/>
        </w:rPr>
        <w:t>World</w:t>
      </w:r>
      <w:r>
        <w:rPr>
          <w:color w:val="231F20"/>
          <w:spacing w:val="12"/>
        </w:rPr>
        <w:t xml:space="preserve"> </w:t>
      </w:r>
      <w:r>
        <w:rPr>
          <w:color w:val="231F20"/>
          <w:spacing w:val="-3"/>
        </w:rPr>
        <w:t>War</w:t>
      </w:r>
      <w:r>
        <w:rPr>
          <w:color w:val="231F20"/>
          <w:spacing w:val="13"/>
        </w:rPr>
        <w:t xml:space="preserve"> </w:t>
      </w:r>
      <w:r>
        <w:rPr>
          <w:color w:val="231F20"/>
          <w:spacing w:val="2"/>
        </w:rPr>
        <w:t>II.</w:t>
      </w:r>
    </w:p>
    <w:p w14:paraId="20115ED6" w14:textId="77777777" w:rsidR="002653E8" w:rsidRDefault="003115E3">
      <w:pPr>
        <w:pStyle w:val="a3"/>
        <w:spacing w:line="264" w:lineRule="auto"/>
        <w:ind w:left="1327" w:right="1146" w:firstLine="210"/>
        <w:jc w:val="both"/>
      </w:pPr>
      <w:r>
        <w:rPr>
          <w:color w:val="231F20"/>
        </w:rPr>
        <w:t>The</w:t>
      </w:r>
      <w:r>
        <w:rPr>
          <w:color w:val="231F20"/>
          <w:spacing w:val="-8"/>
        </w:rPr>
        <w:t xml:space="preserve"> </w:t>
      </w:r>
      <w:r>
        <w:rPr>
          <w:color w:val="231F20"/>
        </w:rPr>
        <w:t>Federal</w:t>
      </w:r>
      <w:r>
        <w:rPr>
          <w:color w:val="231F20"/>
          <w:spacing w:val="-8"/>
        </w:rPr>
        <w:t xml:space="preserve"> </w:t>
      </w:r>
      <w:r>
        <w:rPr>
          <w:color w:val="231F20"/>
        </w:rPr>
        <w:t>Republic</w:t>
      </w:r>
      <w:r>
        <w:rPr>
          <w:color w:val="231F20"/>
          <w:spacing w:val="-8"/>
        </w:rPr>
        <w:t xml:space="preserve"> </w:t>
      </w:r>
      <w:r>
        <w:rPr>
          <w:color w:val="231F20"/>
        </w:rPr>
        <w:t>of</w:t>
      </w:r>
      <w:r>
        <w:rPr>
          <w:color w:val="231F20"/>
          <w:spacing w:val="-8"/>
        </w:rPr>
        <w:t xml:space="preserve"> </w:t>
      </w:r>
      <w:r>
        <w:rPr>
          <w:color w:val="231F20"/>
        </w:rPr>
        <w:t>Germany</w:t>
      </w:r>
      <w:r>
        <w:rPr>
          <w:color w:val="231F20"/>
          <w:spacing w:val="-8"/>
        </w:rPr>
        <w:t xml:space="preserve"> </w:t>
      </w:r>
      <w:r>
        <w:rPr>
          <w:color w:val="231F20"/>
        </w:rPr>
        <w:t>was</w:t>
      </w:r>
      <w:r>
        <w:rPr>
          <w:color w:val="231F20"/>
          <w:spacing w:val="-8"/>
        </w:rPr>
        <w:t xml:space="preserve"> </w:t>
      </w:r>
      <w:r>
        <w:rPr>
          <w:color w:val="231F20"/>
        </w:rPr>
        <w:t>a</w:t>
      </w:r>
      <w:r>
        <w:rPr>
          <w:color w:val="231F20"/>
          <w:spacing w:val="-8"/>
        </w:rPr>
        <w:t xml:space="preserve"> </w:t>
      </w:r>
      <w:r>
        <w:rPr>
          <w:color w:val="231F20"/>
        </w:rPr>
        <w:t>hybrid</w:t>
      </w:r>
      <w:r>
        <w:rPr>
          <w:color w:val="231F20"/>
          <w:spacing w:val="-8"/>
        </w:rPr>
        <w:t xml:space="preserve"> </w:t>
      </w:r>
      <w:r>
        <w:rPr>
          <w:color w:val="231F20"/>
        </w:rPr>
        <w:t>state,</w:t>
      </w:r>
      <w:r>
        <w:rPr>
          <w:color w:val="231F20"/>
          <w:spacing w:val="-8"/>
        </w:rPr>
        <w:t xml:space="preserve"> </w:t>
      </w:r>
      <w:r>
        <w:rPr>
          <w:color w:val="231F20"/>
        </w:rPr>
        <w:t>some</w:t>
      </w:r>
      <w:r>
        <w:rPr>
          <w:color w:val="231F20"/>
          <w:spacing w:val="-8"/>
        </w:rPr>
        <w:t xml:space="preserve"> </w:t>
      </w:r>
      <w:r>
        <w:rPr>
          <w:color w:val="231F20"/>
        </w:rPr>
        <w:t xml:space="preserve">elements— its institutions, some legislation, many personnel—seamlessly persisting from the Nazi period, and others grafted on by the Americans. As a nation almost constitutionally defined as a junior partner of </w:t>
      </w:r>
      <w:r>
        <w:rPr>
          <w:color w:val="231F20"/>
          <w:spacing w:val="1"/>
        </w:rPr>
        <w:t xml:space="preserve">U.S. </w:t>
      </w:r>
      <w:r>
        <w:rPr>
          <w:color w:val="231F20"/>
        </w:rPr>
        <w:t xml:space="preserve">imperialism, </w:t>
      </w:r>
      <w:r>
        <w:rPr>
          <w:color w:val="231F20"/>
          <w:spacing w:val="-3"/>
        </w:rPr>
        <w:t xml:space="preserve">West </w:t>
      </w:r>
      <w:r>
        <w:rPr>
          <w:color w:val="231F20"/>
        </w:rPr>
        <w:t xml:space="preserve">Germany remained subordinate to it in the first postwar decades in a </w:t>
      </w:r>
      <w:r>
        <w:rPr>
          <w:color w:val="231F20"/>
          <w:spacing w:val="-2"/>
        </w:rPr>
        <w:t xml:space="preserve">way </w:t>
      </w:r>
      <w:r>
        <w:rPr>
          <w:color w:val="231F20"/>
        </w:rPr>
        <w:t xml:space="preserve">that even Britain or France were not. Making matters even worse, in return for their allegiance, the </w:t>
      </w:r>
      <w:r>
        <w:rPr>
          <w:color w:val="231F20"/>
          <w:spacing w:val="-3"/>
        </w:rPr>
        <w:t xml:space="preserve">West </w:t>
      </w:r>
      <w:r>
        <w:rPr>
          <w:color w:val="231F20"/>
        </w:rPr>
        <w:t>German ruling and professional classes were given free reign to negotiate their own stiflingly</w:t>
      </w:r>
      <w:r>
        <w:rPr>
          <w:color w:val="231F20"/>
          <w:spacing w:val="12"/>
        </w:rPr>
        <w:t xml:space="preserve"> </w:t>
      </w:r>
      <w:r>
        <w:rPr>
          <w:color w:val="231F20"/>
        </w:rPr>
        <w:t>conservative</w:t>
      </w:r>
      <w:r>
        <w:rPr>
          <w:color w:val="231F20"/>
          <w:spacing w:val="12"/>
        </w:rPr>
        <w:t xml:space="preserve"> </w:t>
      </w:r>
      <w:r>
        <w:rPr>
          <w:color w:val="231F20"/>
        </w:rPr>
        <w:t>and</w:t>
      </w:r>
      <w:r>
        <w:rPr>
          <w:color w:val="231F20"/>
          <w:spacing w:val="12"/>
        </w:rPr>
        <w:t xml:space="preserve"> </w:t>
      </w:r>
      <w:r>
        <w:rPr>
          <w:color w:val="231F20"/>
        </w:rPr>
        <w:t>authoritarian</w:t>
      </w:r>
      <w:r>
        <w:rPr>
          <w:color w:val="231F20"/>
          <w:spacing w:val="12"/>
        </w:rPr>
        <w:t xml:space="preserve"> </w:t>
      </w:r>
      <w:r>
        <w:rPr>
          <w:color w:val="231F20"/>
        </w:rPr>
        <w:t>post-Nazi</w:t>
      </w:r>
      <w:r>
        <w:rPr>
          <w:color w:val="231F20"/>
          <w:spacing w:val="12"/>
        </w:rPr>
        <w:t xml:space="preserve"> </w:t>
      </w:r>
      <w:r>
        <w:rPr>
          <w:color w:val="231F20"/>
        </w:rPr>
        <w:t>culture</w:t>
      </w:r>
      <w:r>
        <w:rPr>
          <w:color w:val="231F20"/>
          <w:spacing w:val="12"/>
        </w:rPr>
        <w:t xml:space="preserve"> </w:t>
      </w:r>
      <w:r>
        <w:rPr>
          <w:color w:val="231F20"/>
        </w:rPr>
        <w:t>and</w:t>
      </w:r>
      <w:r>
        <w:rPr>
          <w:color w:val="231F20"/>
          <w:spacing w:val="12"/>
        </w:rPr>
        <w:t xml:space="preserve"> </w:t>
      </w:r>
      <w:r>
        <w:rPr>
          <w:color w:val="231F20"/>
        </w:rPr>
        <w:t>identity.</w:t>
      </w:r>
    </w:p>
    <w:p w14:paraId="55700597" w14:textId="77777777" w:rsidR="002653E8" w:rsidRDefault="003115E3">
      <w:pPr>
        <w:pStyle w:val="a3"/>
        <w:spacing w:line="264" w:lineRule="auto"/>
        <w:ind w:left="1327" w:right="1145" w:firstLine="210"/>
        <w:jc w:val="both"/>
      </w:pPr>
      <w:r>
        <w:rPr>
          <w:color w:val="231F20"/>
          <w:spacing w:val="1"/>
        </w:rPr>
        <w:t xml:space="preserve">All </w:t>
      </w:r>
      <w:r>
        <w:rPr>
          <w:color w:val="231F20"/>
        </w:rPr>
        <w:t xml:space="preserve">of this was built on a post-genocidal  basis;  dead  Jews  remaining the elephant in the corner, alternately ignored or explained </w:t>
      </w:r>
      <w:r>
        <w:rPr>
          <w:color w:val="231F20"/>
          <w:spacing w:val="-3"/>
        </w:rPr>
        <w:t xml:space="preserve">away    </w:t>
      </w:r>
      <w:r>
        <w:rPr>
          <w:color w:val="231F20"/>
        </w:rPr>
        <w:t xml:space="preserve">as a tragic consequence of the “lack of morals” under Hitler. Many Germans growing up after the war would not know any Jews personally, and would be only vaguely aware of the horrors that had befallen them: bitter testimony to the </w:t>
      </w:r>
      <w:r>
        <w:rPr>
          <w:color w:val="231F20"/>
          <w:spacing w:val="-2"/>
        </w:rPr>
        <w:t xml:space="preserve">way </w:t>
      </w:r>
      <w:r>
        <w:rPr>
          <w:color w:val="231F20"/>
        </w:rPr>
        <w:t>in which the dead, precisely because they are dead, have no say over how their murderers explain or ignore their</w:t>
      </w:r>
      <w:r>
        <w:rPr>
          <w:color w:val="231F20"/>
          <w:spacing w:val="10"/>
        </w:rPr>
        <w:t xml:space="preserve"> </w:t>
      </w:r>
      <w:r>
        <w:rPr>
          <w:color w:val="231F20"/>
        </w:rPr>
        <w:t>absence.</w:t>
      </w:r>
    </w:p>
    <w:p w14:paraId="4593677E" w14:textId="77777777" w:rsidR="002653E8" w:rsidRDefault="002653E8">
      <w:pPr>
        <w:spacing w:line="264" w:lineRule="auto"/>
        <w:jc w:val="both"/>
        <w:sectPr w:rsidR="002653E8">
          <w:pgSz w:w="8640" w:h="12960"/>
          <w:pgMar w:top="1220" w:right="0" w:bottom="1040" w:left="0" w:header="0" w:footer="850" w:gutter="0"/>
          <w:cols w:space="720"/>
        </w:sectPr>
      </w:pPr>
    </w:p>
    <w:p w14:paraId="42F62D5B" w14:textId="77777777" w:rsidR="002653E8" w:rsidRDefault="003115E3">
      <w:pPr>
        <w:pStyle w:val="a3"/>
        <w:spacing w:before="86" w:line="264" w:lineRule="auto"/>
        <w:ind w:left="1147" w:right="1326" w:firstLine="210"/>
        <w:jc w:val="both"/>
      </w:pPr>
      <w:r>
        <w:rPr>
          <w:color w:val="231F20"/>
        </w:rPr>
        <w:lastRenderedPageBreak/>
        <w:t xml:space="preserve">At first, the defeat of Nazism in May </w:t>
      </w:r>
      <w:r>
        <w:rPr>
          <w:color w:val="231F20"/>
          <w:spacing w:val="-7"/>
        </w:rPr>
        <w:t xml:space="preserve">1945 </w:t>
      </w:r>
      <w:r>
        <w:rPr>
          <w:color w:val="231F20"/>
        </w:rPr>
        <w:t>seemed to spell the end of Germany’s</w:t>
      </w:r>
      <w:r>
        <w:rPr>
          <w:color w:val="231F20"/>
          <w:spacing w:val="-9"/>
        </w:rPr>
        <w:t xml:space="preserve"> </w:t>
      </w:r>
      <w:r>
        <w:rPr>
          <w:color w:val="231F20"/>
        </w:rPr>
        <w:t>national</w:t>
      </w:r>
      <w:r>
        <w:rPr>
          <w:color w:val="231F20"/>
          <w:spacing w:val="-9"/>
        </w:rPr>
        <w:t xml:space="preserve"> </w:t>
      </w:r>
      <w:r>
        <w:rPr>
          <w:color w:val="231F20"/>
        </w:rPr>
        <w:t>sovereignty,</w:t>
      </w:r>
      <w:r>
        <w:rPr>
          <w:color w:val="231F20"/>
          <w:spacing w:val="-9"/>
        </w:rPr>
        <w:t xml:space="preserve"> </w:t>
      </w:r>
      <w:r>
        <w:rPr>
          <w:color w:val="231F20"/>
        </w:rPr>
        <w:t>its</w:t>
      </w:r>
      <w:r>
        <w:rPr>
          <w:color w:val="231F20"/>
          <w:spacing w:val="-9"/>
        </w:rPr>
        <w:t xml:space="preserve"> </w:t>
      </w:r>
      <w:r>
        <w:rPr>
          <w:color w:val="231F20"/>
        </w:rPr>
        <w:t>territory</w:t>
      </w:r>
      <w:r>
        <w:rPr>
          <w:color w:val="231F20"/>
          <w:spacing w:val="-9"/>
        </w:rPr>
        <w:t xml:space="preserve"> </w:t>
      </w:r>
      <w:r>
        <w:rPr>
          <w:color w:val="231F20"/>
        </w:rPr>
        <w:t>occupied</w:t>
      </w:r>
      <w:r>
        <w:rPr>
          <w:color w:val="231F20"/>
          <w:spacing w:val="-9"/>
        </w:rPr>
        <w:t xml:space="preserve"> </w:t>
      </w:r>
      <w:r>
        <w:rPr>
          <w:color w:val="231F20"/>
        </w:rPr>
        <w:t>by</w:t>
      </w:r>
      <w:r>
        <w:rPr>
          <w:color w:val="231F20"/>
          <w:spacing w:val="-9"/>
        </w:rPr>
        <w:t xml:space="preserve"> </w:t>
      </w:r>
      <w:r>
        <w:rPr>
          <w:color w:val="231F20"/>
        </w:rPr>
        <w:t>France,</w:t>
      </w:r>
      <w:r>
        <w:rPr>
          <w:color w:val="231F20"/>
          <w:spacing w:val="-9"/>
        </w:rPr>
        <w:t xml:space="preserve"> </w:t>
      </w:r>
      <w:r>
        <w:rPr>
          <w:color w:val="231F20"/>
        </w:rPr>
        <w:t>Britain, and</w:t>
      </w:r>
      <w:r>
        <w:rPr>
          <w:color w:val="231F20"/>
          <w:spacing w:val="8"/>
        </w:rPr>
        <w:t xml:space="preserve"> </w:t>
      </w:r>
      <w:r>
        <w:rPr>
          <w:color w:val="231F20"/>
        </w:rPr>
        <w:t>the</w:t>
      </w:r>
      <w:r>
        <w:rPr>
          <w:color w:val="231F20"/>
          <w:spacing w:val="8"/>
        </w:rPr>
        <w:t xml:space="preserve"> </w:t>
      </w:r>
      <w:r>
        <w:rPr>
          <w:color w:val="231F20"/>
        </w:rPr>
        <w:t>United</w:t>
      </w:r>
      <w:r>
        <w:rPr>
          <w:color w:val="231F20"/>
          <w:spacing w:val="8"/>
        </w:rPr>
        <w:t xml:space="preserve"> </w:t>
      </w:r>
      <w:r>
        <w:rPr>
          <w:color w:val="231F20"/>
        </w:rPr>
        <w:t>States</w:t>
      </w:r>
      <w:r>
        <w:rPr>
          <w:color w:val="231F20"/>
          <w:spacing w:val="8"/>
        </w:rPr>
        <w:t xml:space="preserve"> </w:t>
      </w:r>
      <w:r>
        <w:rPr>
          <w:color w:val="231F20"/>
        </w:rPr>
        <w:t>in</w:t>
      </w:r>
      <w:r>
        <w:rPr>
          <w:color w:val="231F20"/>
          <w:spacing w:val="8"/>
        </w:rPr>
        <w:t xml:space="preserve"> </w:t>
      </w:r>
      <w:r>
        <w:rPr>
          <w:color w:val="231F20"/>
        </w:rPr>
        <w:t>the</w:t>
      </w:r>
      <w:r>
        <w:rPr>
          <w:color w:val="231F20"/>
          <w:spacing w:val="8"/>
        </w:rPr>
        <w:t xml:space="preserve"> </w:t>
      </w:r>
      <w:r>
        <w:rPr>
          <w:color w:val="231F20"/>
        </w:rPr>
        <w:t>West,</w:t>
      </w:r>
      <w:r>
        <w:rPr>
          <w:color w:val="231F20"/>
          <w:spacing w:val="8"/>
        </w:rPr>
        <w:t xml:space="preserve"> </w:t>
      </w:r>
      <w:r>
        <w:rPr>
          <w:color w:val="231F20"/>
        </w:rPr>
        <w:t>and</w:t>
      </w:r>
      <w:r>
        <w:rPr>
          <w:color w:val="231F20"/>
          <w:spacing w:val="8"/>
        </w:rPr>
        <w:t xml:space="preserve"> </w:t>
      </w:r>
      <w:r>
        <w:rPr>
          <w:color w:val="231F20"/>
        </w:rPr>
        <w:t>the</w:t>
      </w:r>
      <w:r>
        <w:rPr>
          <w:color w:val="231F20"/>
          <w:spacing w:val="10"/>
        </w:rPr>
        <w:t xml:space="preserve"> </w:t>
      </w:r>
      <w:r>
        <w:rPr>
          <w:color w:val="231F20"/>
        </w:rPr>
        <w:t>Soviet</w:t>
      </w:r>
      <w:r>
        <w:rPr>
          <w:color w:val="231F20"/>
          <w:spacing w:val="8"/>
        </w:rPr>
        <w:t xml:space="preserve"> </w:t>
      </w:r>
      <w:r>
        <w:rPr>
          <w:color w:val="231F20"/>
        </w:rPr>
        <w:t>Union</w:t>
      </w:r>
      <w:r>
        <w:rPr>
          <w:color w:val="231F20"/>
          <w:spacing w:val="8"/>
        </w:rPr>
        <w:t xml:space="preserve"> </w:t>
      </w:r>
      <w:r>
        <w:rPr>
          <w:color w:val="231F20"/>
        </w:rPr>
        <w:t>in</w:t>
      </w:r>
      <w:r>
        <w:rPr>
          <w:color w:val="231F20"/>
          <w:spacing w:val="8"/>
        </w:rPr>
        <w:t xml:space="preserve"> </w:t>
      </w:r>
      <w:r>
        <w:rPr>
          <w:color w:val="231F20"/>
        </w:rPr>
        <w:t>the</w:t>
      </w:r>
      <w:r>
        <w:rPr>
          <w:color w:val="231F20"/>
          <w:spacing w:val="8"/>
        </w:rPr>
        <w:t xml:space="preserve"> </w:t>
      </w:r>
      <w:r>
        <w:rPr>
          <w:color w:val="231F20"/>
        </w:rPr>
        <w:t>East.</w:t>
      </w:r>
    </w:p>
    <w:p w14:paraId="7936DB11" w14:textId="77777777" w:rsidR="002653E8" w:rsidRDefault="003115E3">
      <w:pPr>
        <w:pStyle w:val="a3"/>
        <w:spacing w:line="264" w:lineRule="auto"/>
        <w:ind w:left="1147" w:right="1326" w:firstLine="210"/>
        <w:jc w:val="both"/>
      </w:pPr>
      <w:r>
        <w:rPr>
          <w:color w:val="231F20"/>
          <w:spacing w:val="1"/>
        </w:rPr>
        <w:t xml:space="preserve">In </w:t>
      </w:r>
      <w:r>
        <w:rPr>
          <w:color w:val="231F20"/>
        </w:rPr>
        <w:t xml:space="preserve">this Soviet Zone, which would eventually become the German Democratic Republic (GDR), the Socialist Unity Party  (SED)  held power. The Soviet Union and other Eastern Bloc countries had borne  the brunt of Germany’s war, and so for many years rehabilitation took second place to reparations in the GDR. Throughout its existence, East Germany bore many of the hallmarks of “real existing socialism”: compared to the capitalist west, there was less abject poverty and less involvement in the pillage of the Third </w:t>
      </w:r>
      <w:r>
        <w:rPr>
          <w:color w:val="231F20"/>
          <w:spacing w:val="-3"/>
        </w:rPr>
        <w:t xml:space="preserve">World; </w:t>
      </w:r>
      <w:r>
        <w:rPr>
          <w:color w:val="231F20"/>
        </w:rPr>
        <w:t xml:space="preserve">at the same time, there was next to no room for political dissent or protest. Even communists suspected of differing from the dominant </w:t>
      </w:r>
      <w:r>
        <w:rPr>
          <w:color w:val="231F20"/>
          <w:spacing w:val="1"/>
        </w:rPr>
        <w:t xml:space="preserve">party </w:t>
      </w:r>
      <w:r>
        <w:rPr>
          <w:color w:val="231F20"/>
        </w:rPr>
        <w:t xml:space="preserve">line could find themselves arrested and tortured by the </w:t>
      </w:r>
      <w:r>
        <w:rPr>
          <w:i/>
          <w:color w:val="231F20"/>
        </w:rPr>
        <w:t>Stasi</w:t>
      </w:r>
      <w:r>
        <w:rPr>
          <w:color w:val="231F20"/>
        </w:rPr>
        <w:t>, the secret police. Society and culture were not frozen, yet they were certainly chilled, creating a distinctly “socialist” kind of</w:t>
      </w:r>
      <w:r>
        <w:rPr>
          <w:color w:val="231F20"/>
          <w:spacing w:val="36"/>
        </w:rPr>
        <w:t xml:space="preserve"> </w:t>
      </w:r>
      <w:r>
        <w:rPr>
          <w:color w:val="231F20"/>
        </w:rPr>
        <w:t>conservatism.</w:t>
      </w:r>
    </w:p>
    <w:p w14:paraId="487F014E" w14:textId="77777777" w:rsidR="002653E8" w:rsidRDefault="003115E3">
      <w:pPr>
        <w:pStyle w:val="a3"/>
        <w:spacing w:line="220" w:lineRule="exact"/>
        <w:ind w:left="1357"/>
      </w:pPr>
      <w:r>
        <w:rPr>
          <w:color w:val="231F20"/>
        </w:rPr>
        <w:t>yet more than a few lifelong Communists felt that this was an unfor-</w:t>
      </w:r>
    </w:p>
    <w:p w14:paraId="4B61D6FD" w14:textId="77777777" w:rsidR="002653E8" w:rsidRDefault="003115E3">
      <w:pPr>
        <w:pStyle w:val="a3"/>
        <w:spacing w:before="19" w:line="264" w:lineRule="auto"/>
        <w:ind w:left="1148" w:right="1325"/>
        <w:jc w:val="both"/>
      </w:pPr>
      <w:r>
        <w:rPr>
          <w:color w:val="231F20"/>
        </w:rPr>
        <w:t xml:space="preserve">tunate but acceptable price to pay to fetter the German aggression that had defined the first half of the century. As Markus Wolf, head of the dreaded </w:t>
      </w:r>
      <w:r>
        <w:rPr>
          <w:i/>
          <w:color w:val="231F20"/>
        </w:rPr>
        <w:t xml:space="preserve">Stasi </w:t>
      </w:r>
      <w:r>
        <w:rPr>
          <w:color w:val="231F20"/>
        </w:rPr>
        <w:t>during the period covered by this book, would explain in his post-wall apologia:</w:t>
      </w:r>
    </w:p>
    <w:p w14:paraId="038196F5" w14:textId="77777777" w:rsidR="002653E8" w:rsidRDefault="003115E3">
      <w:pPr>
        <w:spacing w:before="125" w:line="276" w:lineRule="auto"/>
        <w:ind w:left="1567" w:right="1745"/>
        <w:jc w:val="both"/>
        <w:rPr>
          <w:i/>
          <w:sz w:val="11"/>
        </w:rPr>
      </w:pPr>
      <w:r>
        <w:rPr>
          <w:i/>
          <w:color w:val="231F20"/>
          <w:spacing w:val="-6"/>
          <w:sz w:val="19"/>
        </w:rPr>
        <w:t xml:space="preserve">We </w:t>
      </w:r>
      <w:r>
        <w:rPr>
          <w:i/>
          <w:color w:val="231F20"/>
          <w:sz w:val="19"/>
        </w:rPr>
        <w:t>East German Socialists tried to create a new kind of society  that would never repeat the German crimes of the past. Most of    all, we were determined that war should never again originate on German</w:t>
      </w:r>
      <w:r>
        <w:rPr>
          <w:i/>
          <w:color w:val="231F20"/>
          <w:spacing w:val="10"/>
          <w:sz w:val="19"/>
        </w:rPr>
        <w:t xml:space="preserve"> </w:t>
      </w:r>
      <w:r>
        <w:rPr>
          <w:i/>
          <w:color w:val="231F20"/>
          <w:sz w:val="19"/>
        </w:rPr>
        <w:t>soil.</w:t>
      </w:r>
      <w:r>
        <w:rPr>
          <w:i/>
          <w:color w:val="231F20"/>
          <w:position w:val="6"/>
          <w:sz w:val="11"/>
        </w:rPr>
        <w:t>1</w:t>
      </w:r>
    </w:p>
    <w:p w14:paraId="1D88EFD3" w14:textId="77777777" w:rsidR="002653E8" w:rsidRDefault="003115E3">
      <w:pPr>
        <w:pStyle w:val="a3"/>
        <w:spacing w:before="131" w:line="264" w:lineRule="auto"/>
        <w:ind w:left="1147" w:right="1326"/>
        <w:jc w:val="both"/>
      </w:pPr>
      <w:r>
        <w:rPr>
          <w:color w:val="231F20"/>
          <w:spacing w:val="1"/>
        </w:rPr>
        <w:t xml:space="preserve">In </w:t>
      </w:r>
      <w:r>
        <w:rPr>
          <w:color w:val="231F20"/>
        </w:rPr>
        <w:t xml:space="preserve">the Western Zone too, initially the United States had toyed with the idea of deindustrializing the country, so as to cripple its development and preclude any future German wars. Very soon, however, this approach was rejected, the American Joint Chiefs of Staff  Directive  of  June </w:t>
      </w:r>
      <w:r>
        <w:rPr>
          <w:color w:val="231F20"/>
          <w:spacing w:val="-6"/>
        </w:rPr>
        <w:t xml:space="preserve">1947 </w:t>
      </w:r>
      <w:r>
        <w:rPr>
          <w:color w:val="231F20"/>
        </w:rPr>
        <w:t xml:space="preserve">finding that, </w:t>
      </w:r>
      <w:r>
        <w:rPr>
          <w:color w:val="231F20"/>
          <w:spacing w:val="-4"/>
        </w:rPr>
        <w:t xml:space="preserve">“An </w:t>
      </w:r>
      <w:r>
        <w:rPr>
          <w:color w:val="231F20"/>
          <w:spacing w:val="-3"/>
        </w:rPr>
        <w:t xml:space="preserve">orderly, </w:t>
      </w:r>
      <w:r>
        <w:rPr>
          <w:color w:val="231F20"/>
        </w:rPr>
        <w:t>prosperous Europe requires the economic</w:t>
      </w:r>
      <w:r>
        <w:rPr>
          <w:color w:val="231F20"/>
          <w:spacing w:val="13"/>
        </w:rPr>
        <w:t xml:space="preserve"> </w:t>
      </w:r>
      <w:r>
        <w:rPr>
          <w:color w:val="231F20"/>
        </w:rPr>
        <w:t>contributions</w:t>
      </w:r>
      <w:r>
        <w:rPr>
          <w:color w:val="231F20"/>
          <w:spacing w:val="13"/>
        </w:rPr>
        <w:t xml:space="preserve"> </w:t>
      </w:r>
      <w:r>
        <w:rPr>
          <w:color w:val="231F20"/>
        </w:rPr>
        <w:t>of</w:t>
      </w:r>
      <w:r>
        <w:rPr>
          <w:color w:val="231F20"/>
          <w:spacing w:val="13"/>
        </w:rPr>
        <w:t xml:space="preserve"> </w:t>
      </w:r>
      <w:r>
        <w:rPr>
          <w:color w:val="231F20"/>
        </w:rPr>
        <w:t>a</w:t>
      </w:r>
      <w:r>
        <w:rPr>
          <w:color w:val="231F20"/>
          <w:spacing w:val="13"/>
        </w:rPr>
        <w:t xml:space="preserve"> </w:t>
      </w:r>
      <w:r>
        <w:rPr>
          <w:color w:val="231F20"/>
        </w:rPr>
        <w:t>stable</w:t>
      </w:r>
      <w:r>
        <w:rPr>
          <w:color w:val="231F20"/>
          <w:spacing w:val="13"/>
        </w:rPr>
        <w:t xml:space="preserve"> </w:t>
      </w:r>
      <w:r>
        <w:rPr>
          <w:color w:val="231F20"/>
        </w:rPr>
        <w:t>and</w:t>
      </w:r>
      <w:r>
        <w:rPr>
          <w:color w:val="231F20"/>
          <w:spacing w:val="13"/>
        </w:rPr>
        <w:t xml:space="preserve"> </w:t>
      </w:r>
      <w:r>
        <w:rPr>
          <w:color w:val="231F20"/>
        </w:rPr>
        <w:t>productive</w:t>
      </w:r>
      <w:r>
        <w:rPr>
          <w:color w:val="231F20"/>
          <w:spacing w:val="13"/>
        </w:rPr>
        <w:t xml:space="preserve"> </w:t>
      </w:r>
      <w:r>
        <w:rPr>
          <w:color w:val="231F20"/>
          <w:spacing w:val="-3"/>
        </w:rPr>
        <w:t>Germany.”</w:t>
      </w:r>
    </w:p>
    <w:p w14:paraId="29653BAF" w14:textId="77777777" w:rsidR="002653E8" w:rsidRDefault="003115E3">
      <w:pPr>
        <w:pStyle w:val="a3"/>
        <w:spacing w:line="264" w:lineRule="auto"/>
        <w:ind w:left="1147" w:right="1325" w:firstLine="210"/>
        <w:jc w:val="both"/>
        <w:rPr>
          <w:sz w:val="11"/>
        </w:rPr>
      </w:pPr>
      <w:r>
        <w:rPr>
          <w:color w:val="231F20"/>
        </w:rPr>
        <w:t>It didn’t hurt that corporations such as Ford, General Motors, Chase Manhattan Bank, IBM, and Standard Oil had had huge prewar investments in Germany and were all lobbying for a rapid resumption of business-as-usual.</w:t>
      </w:r>
      <w:r>
        <w:rPr>
          <w:color w:val="231F20"/>
          <w:position w:val="7"/>
          <w:sz w:val="11"/>
        </w:rPr>
        <w:t>2</w:t>
      </w:r>
    </w:p>
    <w:p w14:paraId="2BAF6DBC" w14:textId="77777777" w:rsidR="002653E8" w:rsidRDefault="00000000">
      <w:pPr>
        <w:pStyle w:val="a3"/>
        <w:rPr>
          <w:sz w:val="21"/>
        </w:rPr>
      </w:pPr>
      <w:r>
        <w:rPr>
          <w:noProof w:val="0"/>
        </w:rPr>
        <w:pict w14:anchorId="49D0124E">
          <v:line id="_x0000_s2726" style="position:absolute;z-index:1360;mso-wrap-distance-left:0;mso-wrap-distance-right:0;mso-position-horizontal-relative:page" from="57.4pt,14.55pt" to="129.4pt,14.55pt" strokecolor="#231f20" strokeweight=".5pt">
            <w10:wrap type="topAndBottom" anchorx="page"/>
          </v:line>
        </w:pict>
      </w:r>
    </w:p>
    <w:p w14:paraId="041191E1" w14:textId="77777777" w:rsidR="002653E8" w:rsidRDefault="003115E3">
      <w:pPr>
        <w:pStyle w:val="a4"/>
        <w:numPr>
          <w:ilvl w:val="0"/>
          <w:numId w:val="193"/>
        </w:numPr>
        <w:tabs>
          <w:tab w:val="left" w:pos="1287"/>
        </w:tabs>
        <w:spacing w:before="53" w:line="254" w:lineRule="auto"/>
        <w:ind w:right="1617" w:hanging="1"/>
        <w:jc w:val="left"/>
        <w:rPr>
          <w:sz w:val="16"/>
        </w:rPr>
      </w:pPr>
      <w:r>
        <w:rPr>
          <w:color w:val="231F20"/>
          <w:w w:val="110"/>
          <w:sz w:val="16"/>
        </w:rPr>
        <w:t xml:space="preserve">Markus Wolf and Anne McElvoy, </w:t>
      </w:r>
      <w:r>
        <w:rPr>
          <w:i/>
          <w:color w:val="231F20"/>
          <w:spacing w:val="1"/>
          <w:w w:val="110"/>
          <w:sz w:val="16"/>
        </w:rPr>
        <w:t xml:space="preserve">Man </w:t>
      </w:r>
      <w:r>
        <w:rPr>
          <w:i/>
          <w:color w:val="231F20"/>
          <w:w w:val="110"/>
          <w:sz w:val="16"/>
        </w:rPr>
        <w:t xml:space="preserve">without a Face: The Autobiography of Communism’s Greatest </w:t>
      </w:r>
      <w:r>
        <w:rPr>
          <w:i/>
          <w:color w:val="231F20"/>
          <w:spacing w:val="2"/>
          <w:w w:val="110"/>
          <w:sz w:val="16"/>
        </w:rPr>
        <w:t xml:space="preserve">Spymaster </w:t>
      </w:r>
      <w:r>
        <w:rPr>
          <w:color w:val="231F20"/>
          <w:w w:val="110"/>
          <w:sz w:val="16"/>
        </w:rPr>
        <w:t xml:space="preserve">(New </w:t>
      </w:r>
      <w:r>
        <w:rPr>
          <w:color w:val="231F20"/>
          <w:spacing w:val="-3"/>
          <w:w w:val="110"/>
          <w:sz w:val="16"/>
        </w:rPr>
        <w:t xml:space="preserve">york: </w:t>
      </w:r>
      <w:r>
        <w:rPr>
          <w:color w:val="231F20"/>
          <w:w w:val="110"/>
          <w:sz w:val="16"/>
        </w:rPr>
        <w:t xml:space="preserve">Times Books, </w:t>
      </w:r>
      <w:r>
        <w:rPr>
          <w:color w:val="231F20"/>
          <w:spacing w:val="-3"/>
          <w:w w:val="110"/>
          <w:sz w:val="16"/>
        </w:rPr>
        <w:t>1999),</w:t>
      </w:r>
      <w:r>
        <w:rPr>
          <w:color w:val="231F20"/>
          <w:spacing w:val="30"/>
          <w:w w:val="110"/>
          <w:sz w:val="16"/>
        </w:rPr>
        <w:t xml:space="preserve"> </w:t>
      </w:r>
      <w:r>
        <w:rPr>
          <w:color w:val="231F20"/>
          <w:w w:val="110"/>
          <w:sz w:val="16"/>
        </w:rPr>
        <w:t>xi.</w:t>
      </w:r>
    </w:p>
    <w:p w14:paraId="31160A47" w14:textId="77777777" w:rsidR="002653E8" w:rsidRDefault="003115E3">
      <w:pPr>
        <w:pStyle w:val="a4"/>
        <w:numPr>
          <w:ilvl w:val="0"/>
          <w:numId w:val="193"/>
        </w:numPr>
        <w:tabs>
          <w:tab w:val="left" w:pos="1287"/>
        </w:tabs>
        <w:ind w:left="1286"/>
        <w:jc w:val="left"/>
        <w:rPr>
          <w:i/>
          <w:sz w:val="16"/>
        </w:rPr>
      </w:pPr>
      <w:r>
        <w:rPr>
          <w:color w:val="231F20"/>
          <w:w w:val="110"/>
          <w:sz w:val="16"/>
        </w:rPr>
        <w:t>Charles</w:t>
      </w:r>
      <w:r>
        <w:rPr>
          <w:color w:val="231F20"/>
          <w:spacing w:val="5"/>
          <w:w w:val="110"/>
          <w:sz w:val="16"/>
        </w:rPr>
        <w:t xml:space="preserve"> </w:t>
      </w:r>
      <w:r>
        <w:rPr>
          <w:color w:val="231F20"/>
          <w:spacing w:val="1"/>
          <w:w w:val="110"/>
          <w:sz w:val="16"/>
        </w:rPr>
        <w:t>Higham,</w:t>
      </w:r>
      <w:r>
        <w:rPr>
          <w:color w:val="231F20"/>
          <w:spacing w:val="5"/>
          <w:w w:val="110"/>
          <w:sz w:val="16"/>
        </w:rPr>
        <w:t xml:space="preserve"> </w:t>
      </w:r>
      <w:r>
        <w:rPr>
          <w:i/>
          <w:color w:val="231F20"/>
          <w:w w:val="110"/>
          <w:sz w:val="16"/>
        </w:rPr>
        <w:t>Trading</w:t>
      </w:r>
      <w:r>
        <w:rPr>
          <w:i/>
          <w:color w:val="231F20"/>
          <w:spacing w:val="5"/>
          <w:w w:val="110"/>
          <w:sz w:val="16"/>
        </w:rPr>
        <w:t xml:space="preserve"> </w:t>
      </w:r>
      <w:r>
        <w:rPr>
          <w:i/>
          <w:color w:val="231F20"/>
          <w:w w:val="110"/>
          <w:sz w:val="16"/>
        </w:rPr>
        <w:t>with</w:t>
      </w:r>
      <w:r>
        <w:rPr>
          <w:i/>
          <w:color w:val="231F20"/>
          <w:spacing w:val="5"/>
          <w:w w:val="110"/>
          <w:sz w:val="16"/>
        </w:rPr>
        <w:t xml:space="preserve"> </w:t>
      </w:r>
      <w:r>
        <w:rPr>
          <w:i/>
          <w:color w:val="231F20"/>
          <w:w w:val="110"/>
          <w:sz w:val="16"/>
        </w:rPr>
        <w:t>the</w:t>
      </w:r>
      <w:r>
        <w:rPr>
          <w:i/>
          <w:color w:val="231F20"/>
          <w:spacing w:val="5"/>
          <w:w w:val="110"/>
          <w:sz w:val="16"/>
        </w:rPr>
        <w:t xml:space="preserve"> </w:t>
      </w:r>
      <w:r>
        <w:rPr>
          <w:i/>
          <w:color w:val="231F20"/>
          <w:spacing w:val="1"/>
          <w:w w:val="110"/>
          <w:sz w:val="16"/>
        </w:rPr>
        <w:t>Enemy:</w:t>
      </w:r>
      <w:r>
        <w:rPr>
          <w:i/>
          <w:color w:val="231F20"/>
          <w:spacing w:val="5"/>
          <w:w w:val="110"/>
          <w:sz w:val="16"/>
        </w:rPr>
        <w:t xml:space="preserve"> </w:t>
      </w:r>
      <w:r>
        <w:rPr>
          <w:i/>
          <w:color w:val="231F20"/>
          <w:spacing w:val="1"/>
          <w:w w:val="110"/>
          <w:sz w:val="16"/>
        </w:rPr>
        <w:t>An</w:t>
      </w:r>
      <w:r>
        <w:rPr>
          <w:i/>
          <w:color w:val="231F20"/>
          <w:spacing w:val="5"/>
          <w:w w:val="110"/>
          <w:sz w:val="16"/>
        </w:rPr>
        <w:t xml:space="preserve"> </w:t>
      </w:r>
      <w:r>
        <w:rPr>
          <w:i/>
          <w:color w:val="231F20"/>
          <w:w w:val="110"/>
          <w:sz w:val="16"/>
        </w:rPr>
        <w:t>Exposé</w:t>
      </w:r>
      <w:r>
        <w:rPr>
          <w:i/>
          <w:color w:val="231F20"/>
          <w:spacing w:val="5"/>
          <w:w w:val="110"/>
          <w:sz w:val="16"/>
        </w:rPr>
        <w:t xml:space="preserve"> </w:t>
      </w:r>
      <w:r>
        <w:rPr>
          <w:i/>
          <w:color w:val="231F20"/>
          <w:w w:val="110"/>
          <w:sz w:val="16"/>
        </w:rPr>
        <w:t>of</w:t>
      </w:r>
      <w:r>
        <w:rPr>
          <w:i/>
          <w:color w:val="231F20"/>
          <w:spacing w:val="5"/>
          <w:w w:val="110"/>
          <w:sz w:val="16"/>
        </w:rPr>
        <w:t xml:space="preserve"> </w:t>
      </w:r>
      <w:r>
        <w:rPr>
          <w:i/>
          <w:color w:val="231F20"/>
          <w:w w:val="110"/>
          <w:sz w:val="16"/>
        </w:rPr>
        <w:t>the</w:t>
      </w:r>
      <w:r>
        <w:rPr>
          <w:i/>
          <w:color w:val="231F20"/>
          <w:spacing w:val="5"/>
          <w:w w:val="110"/>
          <w:sz w:val="16"/>
        </w:rPr>
        <w:t xml:space="preserve"> </w:t>
      </w:r>
      <w:r>
        <w:rPr>
          <w:i/>
          <w:color w:val="231F20"/>
          <w:spacing w:val="2"/>
          <w:w w:val="110"/>
          <w:sz w:val="16"/>
        </w:rPr>
        <w:t>Nazi-American</w:t>
      </w:r>
    </w:p>
    <w:p w14:paraId="35951FB5" w14:textId="77777777" w:rsidR="002653E8" w:rsidRDefault="002653E8">
      <w:pPr>
        <w:rPr>
          <w:sz w:val="16"/>
        </w:rPr>
        <w:sectPr w:rsidR="002653E8">
          <w:footerReference w:type="even" r:id="rId37"/>
          <w:footerReference w:type="default" r:id="rId38"/>
          <w:pgSz w:w="8640" w:h="12960"/>
          <w:pgMar w:top="1060" w:right="0" w:bottom="1040" w:left="0" w:header="0" w:footer="850" w:gutter="0"/>
          <w:pgNumType w:start="4"/>
          <w:cols w:space="720"/>
        </w:sectPr>
      </w:pPr>
    </w:p>
    <w:p w14:paraId="34EE3B65" w14:textId="77777777" w:rsidR="002653E8" w:rsidRDefault="003115E3">
      <w:pPr>
        <w:pStyle w:val="a3"/>
        <w:spacing w:before="86" w:line="264" w:lineRule="auto"/>
        <w:ind w:left="1327" w:right="1146" w:firstLine="210"/>
        <w:jc w:val="both"/>
      </w:pPr>
      <w:r>
        <w:rPr>
          <w:color w:val="231F20"/>
        </w:rPr>
        <w:lastRenderedPageBreak/>
        <w:t>The geopolitical goals of the United States, always foremost amongst the western occupiers, combined with the interests of the German middle and upper classes, effectively sabotaging any real efforts at denazification in the West. In no time at all, important sections of the establishment that had helped maintain the Third Reich were being welcomed into the new pro-American administration. As the late William D. Graf observed:</w:t>
      </w:r>
    </w:p>
    <w:p w14:paraId="326966F6" w14:textId="77777777" w:rsidR="002653E8" w:rsidRDefault="003115E3">
      <w:pPr>
        <w:spacing w:before="122" w:line="273" w:lineRule="auto"/>
        <w:ind w:left="1747" w:right="1565"/>
        <w:jc w:val="both"/>
        <w:rPr>
          <w:i/>
          <w:sz w:val="11"/>
        </w:rPr>
      </w:pPr>
      <w:r>
        <w:rPr>
          <w:i/>
          <w:color w:val="231F20"/>
          <w:sz w:val="19"/>
        </w:rPr>
        <w:t xml:space="preserve">Almost all the representatives of big business labeled as war criminals by the American Kilgore Commission in </w:t>
      </w:r>
      <w:r>
        <w:rPr>
          <w:rFonts w:ascii="Bookman Old Style"/>
          <w:i/>
          <w:color w:val="231F20"/>
          <w:sz w:val="19"/>
        </w:rPr>
        <w:t xml:space="preserve">1945 </w:t>
      </w:r>
      <w:r>
        <w:rPr>
          <w:i/>
          <w:color w:val="231F20"/>
          <w:sz w:val="19"/>
        </w:rPr>
        <w:t xml:space="preserve">were back in their former positions by </w:t>
      </w:r>
      <w:r>
        <w:rPr>
          <w:rFonts w:ascii="Bookman Old Style"/>
          <w:i/>
          <w:color w:val="231F20"/>
          <w:sz w:val="19"/>
        </w:rPr>
        <w:t>1948</w:t>
      </w:r>
      <w:r>
        <w:rPr>
          <w:i/>
          <w:color w:val="231F20"/>
          <w:sz w:val="19"/>
        </w:rPr>
        <w:t xml:space="preserve">; and of roughly </w:t>
      </w:r>
      <w:r>
        <w:rPr>
          <w:rFonts w:ascii="Bookman Old Style"/>
          <w:i/>
          <w:color w:val="231F20"/>
          <w:sz w:val="19"/>
        </w:rPr>
        <w:t>53</w:t>
      </w:r>
      <w:r>
        <w:rPr>
          <w:i/>
          <w:color w:val="231F20"/>
          <w:sz w:val="19"/>
        </w:rPr>
        <w:t>,</w:t>
      </w:r>
      <w:r>
        <w:rPr>
          <w:rFonts w:ascii="Bookman Old Style"/>
          <w:i/>
          <w:color w:val="231F20"/>
          <w:sz w:val="19"/>
        </w:rPr>
        <w:t xml:space="preserve">000 </w:t>
      </w:r>
      <w:r>
        <w:rPr>
          <w:i/>
          <w:color w:val="231F20"/>
          <w:sz w:val="19"/>
        </w:rPr>
        <w:t xml:space="preserve">civil servants dismissed on account of their Nazi pasts in </w:t>
      </w:r>
      <w:r>
        <w:rPr>
          <w:rFonts w:ascii="Bookman Old Style"/>
          <w:i/>
          <w:color w:val="231F20"/>
          <w:sz w:val="19"/>
        </w:rPr>
        <w:t>1945</w:t>
      </w:r>
      <w:r>
        <w:rPr>
          <w:i/>
          <w:color w:val="231F20"/>
          <w:sz w:val="19"/>
        </w:rPr>
        <w:t xml:space="preserve">, only about </w:t>
      </w:r>
      <w:r>
        <w:rPr>
          <w:rFonts w:ascii="Bookman Old Style"/>
          <w:i/>
          <w:color w:val="231F20"/>
          <w:sz w:val="19"/>
        </w:rPr>
        <w:t>1</w:t>
      </w:r>
      <w:r>
        <w:rPr>
          <w:i/>
          <w:color w:val="231F20"/>
          <w:sz w:val="19"/>
        </w:rPr>
        <w:t>,</w:t>
      </w:r>
      <w:r>
        <w:rPr>
          <w:rFonts w:ascii="Bookman Old Style"/>
          <w:i/>
          <w:color w:val="231F20"/>
          <w:sz w:val="19"/>
        </w:rPr>
        <w:t xml:space="preserve">000 </w:t>
      </w:r>
      <w:r>
        <w:rPr>
          <w:i/>
          <w:color w:val="231F20"/>
          <w:sz w:val="19"/>
        </w:rPr>
        <w:t xml:space="preserve">remained permanently excluded, while the judiciary was almost </w:t>
      </w:r>
      <w:r>
        <w:rPr>
          <w:rFonts w:ascii="Bookman Old Style"/>
          <w:i/>
          <w:color w:val="231F20"/>
          <w:sz w:val="19"/>
        </w:rPr>
        <w:t>100</w:t>
      </w:r>
      <w:r>
        <w:rPr>
          <w:i/>
          <w:color w:val="231F20"/>
          <w:sz w:val="19"/>
        </w:rPr>
        <w:t xml:space="preserve">% restored as early as </w:t>
      </w:r>
      <w:r>
        <w:rPr>
          <w:rFonts w:ascii="Bookman Old Style"/>
          <w:i/>
          <w:color w:val="231F20"/>
          <w:sz w:val="19"/>
        </w:rPr>
        <w:t>1946</w:t>
      </w:r>
      <w:r>
        <w:rPr>
          <w:i/>
          <w:color w:val="231F20"/>
          <w:sz w:val="19"/>
        </w:rPr>
        <w:t>.</w:t>
      </w:r>
      <w:r>
        <w:rPr>
          <w:i/>
          <w:color w:val="231F20"/>
          <w:position w:val="6"/>
          <w:sz w:val="11"/>
        </w:rPr>
        <w:t>3</w:t>
      </w:r>
    </w:p>
    <w:p w14:paraId="109FB9F8" w14:textId="77777777" w:rsidR="002653E8" w:rsidRDefault="003115E3">
      <w:pPr>
        <w:pStyle w:val="a3"/>
        <w:spacing w:before="136" w:line="264" w:lineRule="auto"/>
        <w:ind w:left="1327" w:right="1513"/>
      </w:pPr>
      <w:r>
        <w:rPr>
          <w:color w:val="231F20"/>
        </w:rPr>
        <w:t>The result, much as desired, was a political system which remained significantly tilted to the right.</w:t>
      </w:r>
    </w:p>
    <w:p w14:paraId="5AAE2753" w14:textId="77777777" w:rsidR="002653E8" w:rsidRDefault="003115E3">
      <w:pPr>
        <w:pStyle w:val="a3"/>
        <w:spacing w:line="264" w:lineRule="auto"/>
        <w:ind w:left="1327" w:right="1145" w:firstLine="210"/>
        <w:jc w:val="both"/>
        <w:rPr>
          <w:sz w:val="11"/>
        </w:rPr>
      </w:pPr>
      <w:r>
        <w:rPr>
          <w:color w:val="231F20"/>
          <w:w w:val="105"/>
        </w:rPr>
        <w:t xml:space="preserve">This period marked the beginning of the American “Cold </w:t>
      </w:r>
      <w:r>
        <w:rPr>
          <w:color w:val="231F20"/>
          <w:spacing w:val="-3"/>
          <w:w w:val="105"/>
        </w:rPr>
        <w:t xml:space="preserve">War” </w:t>
      </w:r>
      <w:r>
        <w:rPr>
          <w:color w:val="231F20"/>
          <w:w w:val="105"/>
        </w:rPr>
        <w:t>against</w:t>
      </w:r>
      <w:r>
        <w:rPr>
          <w:color w:val="231F20"/>
          <w:spacing w:val="-16"/>
          <w:w w:val="105"/>
        </w:rPr>
        <w:t xml:space="preserve"> </w:t>
      </w:r>
      <w:r>
        <w:rPr>
          <w:color w:val="231F20"/>
          <w:w w:val="105"/>
        </w:rPr>
        <w:t>the</w:t>
      </w:r>
      <w:r>
        <w:rPr>
          <w:color w:val="231F20"/>
          <w:spacing w:val="-16"/>
          <w:w w:val="105"/>
        </w:rPr>
        <w:t xml:space="preserve"> </w:t>
      </w:r>
      <w:r>
        <w:rPr>
          <w:color w:val="231F20"/>
          <w:w w:val="105"/>
        </w:rPr>
        <w:t>Soviet</w:t>
      </w:r>
      <w:r>
        <w:rPr>
          <w:color w:val="231F20"/>
          <w:spacing w:val="-16"/>
          <w:w w:val="105"/>
        </w:rPr>
        <w:t xml:space="preserve"> </w:t>
      </w:r>
      <w:r>
        <w:rPr>
          <w:color w:val="231F20"/>
          <w:w w:val="105"/>
        </w:rPr>
        <w:t>bloc,</w:t>
      </w:r>
      <w:r>
        <w:rPr>
          <w:color w:val="231F20"/>
          <w:spacing w:val="-16"/>
          <w:w w:val="105"/>
        </w:rPr>
        <w:t xml:space="preserve"> </w:t>
      </w:r>
      <w:r>
        <w:rPr>
          <w:color w:val="231F20"/>
          <w:w w:val="105"/>
        </w:rPr>
        <w:t>in</w:t>
      </w:r>
      <w:r>
        <w:rPr>
          <w:color w:val="231F20"/>
          <w:spacing w:val="-16"/>
          <w:w w:val="105"/>
        </w:rPr>
        <w:t xml:space="preserve"> </w:t>
      </w:r>
      <w:r>
        <w:rPr>
          <w:color w:val="231F20"/>
          <w:w w:val="105"/>
        </w:rPr>
        <w:t>which</w:t>
      </w:r>
      <w:r>
        <w:rPr>
          <w:color w:val="231F20"/>
          <w:spacing w:val="-16"/>
          <w:w w:val="105"/>
        </w:rPr>
        <w:t xml:space="preserve"> </w:t>
      </w:r>
      <w:r>
        <w:rPr>
          <w:color w:val="231F20"/>
          <w:w w:val="105"/>
        </w:rPr>
        <w:t>Germany</w:t>
      </w:r>
      <w:r>
        <w:rPr>
          <w:color w:val="231F20"/>
          <w:spacing w:val="-16"/>
          <w:w w:val="105"/>
        </w:rPr>
        <w:t xml:space="preserve"> </w:t>
      </w:r>
      <w:r>
        <w:rPr>
          <w:color w:val="231F20"/>
          <w:w w:val="105"/>
        </w:rPr>
        <w:t>was</w:t>
      </w:r>
      <w:r>
        <w:rPr>
          <w:color w:val="231F20"/>
          <w:spacing w:val="-16"/>
          <w:w w:val="105"/>
        </w:rPr>
        <w:t xml:space="preserve"> </w:t>
      </w:r>
      <w:r>
        <w:rPr>
          <w:color w:val="231F20"/>
          <w:w w:val="105"/>
        </w:rPr>
        <w:t>to</w:t>
      </w:r>
      <w:r>
        <w:rPr>
          <w:color w:val="231F20"/>
          <w:spacing w:val="-16"/>
          <w:w w:val="105"/>
        </w:rPr>
        <w:t xml:space="preserve"> </w:t>
      </w:r>
      <w:r>
        <w:rPr>
          <w:color w:val="231F20"/>
          <w:w w:val="105"/>
        </w:rPr>
        <w:t>become</w:t>
      </w:r>
      <w:r>
        <w:rPr>
          <w:color w:val="231F20"/>
          <w:spacing w:val="-16"/>
          <w:w w:val="105"/>
        </w:rPr>
        <w:t xml:space="preserve"> </w:t>
      </w:r>
      <w:r>
        <w:rPr>
          <w:color w:val="231F20"/>
          <w:w w:val="105"/>
        </w:rPr>
        <w:t>an</w:t>
      </w:r>
      <w:r>
        <w:rPr>
          <w:color w:val="231F20"/>
          <w:spacing w:val="-16"/>
          <w:w w:val="105"/>
        </w:rPr>
        <w:t xml:space="preserve"> </w:t>
      </w:r>
      <w:r>
        <w:rPr>
          <w:color w:val="231F20"/>
          <w:w w:val="105"/>
        </w:rPr>
        <w:t xml:space="preserve">important chip. </w:t>
      </w:r>
      <w:r>
        <w:rPr>
          <w:color w:val="231F20"/>
          <w:spacing w:val="1"/>
          <w:w w:val="105"/>
        </w:rPr>
        <w:t xml:space="preserve">In </w:t>
      </w:r>
      <w:r>
        <w:rPr>
          <w:color w:val="231F20"/>
          <w:w w:val="105"/>
        </w:rPr>
        <w:t>keeping with the Truman Doctrine, the zone occupied by the western</w:t>
      </w:r>
      <w:r>
        <w:rPr>
          <w:color w:val="231F20"/>
          <w:spacing w:val="-9"/>
          <w:w w:val="105"/>
        </w:rPr>
        <w:t xml:space="preserve"> </w:t>
      </w:r>
      <w:r>
        <w:rPr>
          <w:color w:val="231F20"/>
          <w:w w:val="105"/>
        </w:rPr>
        <w:t>Allies</w:t>
      </w:r>
      <w:r>
        <w:rPr>
          <w:color w:val="231F20"/>
          <w:spacing w:val="-9"/>
          <w:w w:val="105"/>
        </w:rPr>
        <w:t xml:space="preserve"> </w:t>
      </w:r>
      <w:r>
        <w:rPr>
          <w:color w:val="231F20"/>
          <w:w w:val="105"/>
        </w:rPr>
        <w:t>was</w:t>
      </w:r>
      <w:r>
        <w:rPr>
          <w:color w:val="231F20"/>
          <w:spacing w:val="-9"/>
          <w:w w:val="105"/>
        </w:rPr>
        <w:t xml:space="preserve"> </w:t>
      </w:r>
      <w:r>
        <w:rPr>
          <w:color w:val="231F20"/>
          <w:w w:val="105"/>
        </w:rPr>
        <w:t>built</w:t>
      </w:r>
      <w:r>
        <w:rPr>
          <w:color w:val="231F20"/>
          <w:spacing w:val="-9"/>
          <w:w w:val="105"/>
        </w:rPr>
        <w:t xml:space="preserve"> </w:t>
      </w:r>
      <w:r>
        <w:rPr>
          <w:color w:val="231F20"/>
          <w:w w:val="105"/>
        </w:rPr>
        <w:t>up</w:t>
      </w:r>
      <w:r>
        <w:rPr>
          <w:color w:val="231F20"/>
          <w:spacing w:val="-9"/>
          <w:w w:val="105"/>
        </w:rPr>
        <w:t xml:space="preserve"> </w:t>
      </w:r>
      <w:r>
        <w:rPr>
          <w:color w:val="231F20"/>
          <w:w w:val="105"/>
        </w:rPr>
        <w:t>as</w:t>
      </w:r>
      <w:r>
        <w:rPr>
          <w:color w:val="231F20"/>
          <w:spacing w:val="-9"/>
          <w:w w:val="105"/>
        </w:rPr>
        <w:t xml:space="preserve"> </w:t>
      </w:r>
      <w:r>
        <w:rPr>
          <w:color w:val="231F20"/>
          <w:w w:val="105"/>
        </w:rPr>
        <w:t>an</w:t>
      </w:r>
      <w:r>
        <w:rPr>
          <w:color w:val="231F20"/>
          <w:spacing w:val="-9"/>
          <w:w w:val="105"/>
        </w:rPr>
        <w:t xml:space="preserve"> </w:t>
      </w:r>
      <w:r>
        <w:rPr>
          <w:color w:val="231F20"/>
          <w:w w:val="105"/>
        </w:rPr>
        <w:t>anticommunist</w:t>
      </w:r>
      <w:r>
        <w:rPr>
          <w:color w:val="231F20"/>
          <w:spacing w:val="-9"/>
          <w:w w:val="105"/>
        </w:rPr>
        <w:t xml:space="preserve"> </w:t>
      </w:r>
      <w:r>
        <w:rPr>
          <w:color w:val="231F20"/>
          <w:w w:val="105"/>
        </w:rPr>
        <w:t>bulwark.</w:t>
      </w:r>
      <w:r>
        <w:rPr>
          <w:color w:val="231F20"/>
          <w:spacing w:val="-9"/>
          <w:w w:val="105"/>
        </w:rPr>
        <w:t xml:space="preserve"> </w:t>
      </w:r>
      <w:r>
        <w:rPr>
          <w:color w:val="231F20"/>
          <w:w w:val="105"/>
        </w:rPr>
        <w:t>The</w:t>
      </w:r>
      <w:r>
        <w:rPr>
          <w:color w:val="231F20"/>
          <w:spacing w:val="-9"/>
          <w:w w:val="105"/>
        </w:rPr>
        <w:t xml:space="preserve"> </w:t>
      </w:r>
      <w:r>
        <w:rPr>
          <w:color w:val="231F20"/>
          <w:w w:val="105"/>
        </w:rPr>
        <w:t xml:space="preserve">vehicle for this project was the European Relief Program, a blueprint for the economic and military reconstruction of Western Europe, which </w:t>
      </w:r>
      <w:r>
        <w:rPr>
          <w:color w:val="231F20"/>
          <w:spacing w:val="1"/>
          <w:w w:val="105"/>
        </w:rPr>
        <w:t xml:space="preserve">U.S. </w:t>
      </w:r>
      <w:r>
        <w:rPr>
          <w:color w:val="231F20"/>
          <w:w w:val="105"/>
        </w:rPr>
        <w:t xml:space="preserve">Secretary of State George </w:t>
      </w:r>
      <w:r>
        <w:rPr>
          <w:color w:val="231F20"/>
          <w:spacing w:val="2"/>
          <w:w w:val="105"/>
        </w:rPr>
        <w:t xml:space="preserve">C. </w:t>
      </w:r>
      <w:r>
        <w:rPr>
          <w:color w:val="231F20"/>
          <w:w w:val="105"/>
        </w:rPr>
        <w:t xml:space="preserve">Marshall convinced the </w:t>
      </w:r>
      <w:r>
        <w:rPr>
          <w:color w:val="231F20"/>
          <w:spacing w:val="1"/>
          <w:w w:val="105"/>
        </w:rPr>
        <w:t xml:space="preserve">U.S. </w:t>
      </w:r>
      <w:r>
        <w:rPr>
          <w:color w:val="231F20"/>
          <w:w w:val="105"/>
        </w:rPr>
        <w:t xml:space="preserve">Congress    to pass in </w:t>
      </w:r>
      <w:r>
        <w:rPr>
          <w:color w:val="231F20"/>
          <w:spacing w:val="-5"/>
          <w:w w:val="105"/>
        </w:rPr>
        <w:t xml:space="preserve">1948. </w:t>
      </w:r>
      <w:r>
        <w:rPr>
          <w:color w:val="231F20"/>
          <w:w w:val="105"/>
        </w:rPr>
        <w:t xml:space="preserve">Almost one-and-a-half billion dollars were pumped into </w:t>
      </w:r>
      <w:r>
        <w:rPr>
          <w:color w:val="231F20"/>
          <w:spacing w:val="-3"/>
          <w:w w:val="105"/>
        </w:rPr>
        <w:t xml:space="preserve">West </w:t>
      </w:r>
      <w:r>
        <w:rPr>
          <w:color w:val="231F20"/>
          <w:w w:val="105"/>
        </w:rPr>
        <w:t xml:space="preserve">Germany through the Marshall Plan, its economy rebuilt in such a </w:t>
      </w:r>
      <w:r>
        <w:rPr>
          <w:color w:val="231F20"/>
          <w:spacing w:val="-2"/>
          <w:w w:val="105"/>
        </w:rPr>
        <w:t xml:space="preserve">way </w:t>
      </w:r>
      <w:r>
        <w:rPr>
          <w:color w:val="231F20"/>
          <w:w w:val="105"/>
        </w:rPr>
        <w:t xml:space="preserve">as to guarantee the expansion of </w:t>
      </w:r>
      <w:r>
        <w:rPr>
          <w:color w:val="231F20"/>
          <w:spacing w:val="1"/>
          <w:w w:val="105"/>
        </w:rPr>
        <w:t xml:space="preserve">U.S. </w:t>
      </w:r>
      <w:r>
        <w:rPr>
          <w:color w:val="231F20"/>
          <w:w w:val="105"/>
        </w:rPr>
        <w:t>economic influence in Europe, to serve as the foundation for the military and political integration</w:t>
      </w:r>
      <w:r>
        <w:rPr>
          <w:color w:val="231F20"/>
          <w:spacing w:val="-14"/>
          <w:w w:val="105"/>
        </w:rPr>
        <w:t xml:space="preserve"> </w:t>
      </w:r>
      <w:r>
        <w:rPr>
          <w:color w:val="231F20"/>
          <w:w w:val="105"/>
        </w:rPr>
        <w:t>of</w:t>
      </w:r>
      <w:r>
        <w:rPr>
          <w:color w:val="231F20"/>
          <w:spacing w:val="-14"/>
          <w:w w:val="105"/>
        </w:rPr>
        <w:t xml:space="preserve"> </w:t>
      </w:r>
      <w:r>
        <w:rPr>
          <w:color w:val="231F20"/>
          <w:spacing w:val="-3"/>
          <w:w w:val="105"/>
        </w:rPr>
        <w:t>West</w:t>
      </w:r>
      <w:r>
        <w:rPr>
          <w:color w:val="231F20"/>
          <w:spacing w:val="-14"/>
          <w:w w:val="105"/>
        </w:rPr>
        <w:t xml:space="preserve"> </w:t>
      </w:r>
      <w:r>
        <w:rPr>
          <w:color w:val="231F20"/>
          <w:w w:val="105"/>
        </w:rPr>
        <w:t>Europe</w:t>
      </w:r>
      <w:r>
        <w:rPr>
          <w:color w:val="231F20"/>
          <w:spacing w:val="-14"/>
          <w:w w:val="105"/>
        </w:rPr>
        <w:t xml:space="preserve"> </w:t>
      </w:r>
      <w:r>
        <w:rPr>
          <w:color w:val="231F20"/>
          <w:w w:val="105"/>
        </w:rPr>
        <w:t>into</w:t>
      </w:r>
      <w:r>
        <w:rPr>
          <w:color w:val="231F20"/>
          <w:spacing w:val="-14"/>
          <w:w w:val="105"/>
        </w:rPr>
        <w:t xml:space="preserve"> </w:t>
      </w:r>
      <w:r>
        <w:rPr>
          <w:color w:val="231F20"/>
          <w:w w:val="105"/>
        </w:rPr>
        <w:t>the</w:t>
      </w:r>
      <w:r>
        <w:rPr>
          <w:color w:val="231F20"/>
          <w:spacing w:val="-14"/>
          <w:w w:val="105"/>
        </w:rPr>
        <w:t xml:space="preserve"> </w:t>
      </w:r>
      <w:r>
        <w:rPr>
          <w:color w:val="231F20"/>
          <w:w w:val="105"/>
        </w:rPr>
        <w:t>anticommunist</w:t>
      </w:r>
      <w:r>
        <w:rPr>
          <w:color w:val="231F20"/>
          <w:spacing w:val="-14"/>
          <w:w w:val="105"/>
        </w:rPr>
        <w:t xml:space="preserve"> </w:t>
      </w:r>
      <w:r>
        <w:rPr>
          <w:color w:val="231F20"/>
          <w:w w:val="105"/>
        </w:rPr>
        <w:t>bloc,</w:t>
      </w:r>
      <w:r>
        <w:rPr>
          <w:color w:val="231F20"/>
          <w:spacing w:val="-14"/>
          <w:w w:val="105"/>
        </w:rPr>
        <w:t xml:space="preserve"> </w:t>
      </w:r>
      <w:r>
        <w:rPr>
          <w:color w:val="231F20"/>
          <w:w w:val="105"/>
        </w:rPr>
        <w:t>and</w:t>
      </w:r>
      <w:r>
        <w:rPr>
          <w:color w:val="231F20"/>
          <w:spacing w:val="-14"/>
          <w:w w:val="105"/>
        </w:rPr>
        <w:t xml:space="preserve"> </w:t>
      </w:r>
      <w:r>
        <w:rPr>
          <w:color w:val="231F20"/>
          <w:w w:val="105"/>
        </w:rPr>
        <w:t>to</w:t>
      </w:r>
      <w:r>
        <w:rPr>
          <w:color w:val="231F20"/>
          <w:spacing w:val="-14"/>
          <w:w w:val="105"/>
        </w:rPr>
        <w:t xml:space="preserve"> </w:t>
      </w:r>
      <w:r>
        <w:rPr>
          <w:color w:val="231F20"/>
          <w:w w:val="105"/>
        </w:rPr>
        <w:t>facilitate the</w:t>
      </w:r>
      <w:r>
        <w:rPr>
          <w:color w:val="231F20"/>
          <w:spacing w:val="-7"/>
          <w:w w:val="105"/>
        </w:rPr>
        <w:t xml:space="preserve"> </w:t>
      </w:r>
      <w:r>
        <w:rPr>
          <w:color w:val="231F20"/>
          <w:w w:val="105"/>
        </w:rPr>
        <w:t>cultural</w:t>
      </w:r>
      <w:r>
        <w:rPr>
          <w:color w:val="231F20"/>
          <w:spacing w:val="-7"/>
          <w:w w:val="105"/>
        </w:rPr>
        <w:t xml:space="preserve"> </w:t>
      </w:r>
      <w:r>
        <w:rPr>
          <w:color w:val="231F20"/>
          <w:w w:val="105"/>
        </w:rPr>
        <w:t>and</w:t>
      </w:r>
      <w:r>
        <w:rPr>
          <w:color w:val="231F20"/>
          <w:spacing w:val="-7"/>
          <w:w w:val="105"/>
        </w:rPr>
        <w:t xml:space="preserve"> </w:t>
      </w:r>
      <w:r>
        <w:rPr>
          <w:color w:val="231F20"/>
          <w:w w:val="105"/>
        </w:rPr>
        <w:t>technological</w:t>
      </w:r>
      <w:r>
        <w:rPr>
          <w:color w:val="231F20"/>
          <w:spacing w:val="-7"/>
          <w:w w:val="105"/>
        </w:rPr>
        <w:t xml:space="preserve"> </w:t>
      </w:r>
      <w:r>
        <w:rPr>
          <w:color w:val="231F20"/>
          <w:w w:val="105"/>
        </w:rPr>
        <w:t>Americanization</w:t>
      </w:r>
      <w:r>
        <w:rPr>
          <w:color w:val="231F20"/>
          <w:spacing w:val="-7"/>
          <w:w w:val="105"/>
        </w:rPr>
        <w:t xml:space="preserve"> </w:t>
      </w:r>
      <w:r>
        <w:rPr>
          <w:color w:val="231F20"/>
          <w:w w:val="105"/>
        </w:rPr>
        <w:t>of</w:t>
      </w:r>
      <w:r>
        <w:rPr>
          <w:color w:val="231F20"/>
          <w:spacing w:val="-7"/>
          <w:w w:val="105"/>
        </w:rPr>
        <w:t xml:space="preserve"> </w:t>
      </w:r>
      <w:r>
        <w:rPr>
          <w:color w:val="231F20"/>
          <w:w w:val="105"/>
        </w:rPr>
        <w:t>European</w:t>
      </w:r>
      <w:r>
        <w:rPr>
          <w:color w:val="231F20"/>
          <w:spacing w:val="-7"/>
          <w:w w:val="105"/>
        </w:rPr>
        <w:t xml:space="preserve"> </w:t>
      </w:r>
      <w:r>
        <w:rPr>
          <w:color w:val="231F20"/>
          <w:w w:val="105"/>
        </w:rPr>
        <w:t xml:space="preserve">societies, especially </w:t>
      </w:r>
      <w:r>
        <w:rPr>
          <w:color w:val="231F20"/>
          <w:spacing w:val="-3"/>
          <w:w w:val="105"/>
        </w:rPr>
        <w:t xml:space="preserve">West </w:t>
      </w:r>
      <w:r>
        <w:rPr>
          <w:color w:val="231F20"/>
          <w:w w:val="105"/>
        </w:rPr>
        <w:t>Germany</w:t>
      </w:r>
      <w:r>
        <w:rPr>
          <w:color w:val="231F20"/>
          <w:spacing w:val="25"/>
          <w:w w:val="105"/>
        </w:rPr>
        <w:t xml:space="preserve"> </w:t>
      </w:r>
      <w:r>
        <w:rPr>
          <w:color w:val="231F20"/>
          <w:w w:val="105"/>
        </w:rPr>
        <w:t>itself.</w:t>
      </w:r>
      <w:r>
        <w:rPr>
          <w:color w:val="231F20"/>
          <w:w w:val="105"/>
          <w:position w:val="7"/>
          <w:sz w:val="11"/>
        </w:rPr>
        <w:t>4</w:t>
      </w:r>
    </w:p>
    <w:p w14:paraId="662778E3" w14:textId="77777777" w:rsidR="002653E8" w:rsidRDefault="003115E3">
      <w:pPr>
        <w:pStyle w:val="a3"/>
        <w:spacing w:line="219" w:lineRule="exact"/>
        <w:ind w:left="1537"/>
      </w:pPr>
      <w:r>
        <w:rPr>
          <w:color w:val="231F20"/>
        </w:rPr>
        <w:t>In short, demolished by war and in social and economic chaos, West</w:t>
      </w:r>
    </w:p>
    <w:p w14:paraId="13557F39" w14:textId="77777777" w:rsidR="002653E8" w:rsidRDefault="003115E3">
      <w:pPr>
        <w:pStyle w:val="a3"/>
        <w:spacing w:before="20" w:line="264" w:lineRule="auto"/>
        <w:ind w:left="1327" w:right="1145"/>
      </w:pPr>
      <w:r>
        <w:rPr>
          <w:color w:val="231F20"/>
        </w:rPr>
        <w:t>Germany was offered reconstruction, rapid economic growth, and integration into the Allied Bloc in exchange for offering its support to</w:t>
      </w:r>
    </w:p>
    <w:p w14:paraId="51FE709E" w14:textId="77777777" w:rsidR="002653E8" w:rsidRDefault="00000000">
      <w:pPr>
        <w:pStyle w:val="a3"/>
        <w:spacing w:before="1"/>
        <w:rPr>
          <w:sz w:val="19"/>
        </w:rPr>
      </w:pPr>
      <w:r>
        <w:rPr>
          <w:noProof w:val="0"/>
        </w:rPr>
        <w:pict w14:anchorId="4E5B1C6B">
          <v:line id="_x0000_s2725" style="position:absolute;z-index:1384;mso-wrap-distance-left:0;mso-wrap-distance-right:0;mso-position-horizontal-relative:page" from="66.4pt,13.65pt" to="354.4pt,13.65pt" strokecolor="#231f20" strokeweight="1pt">
            <w10:wrap type="topAndBottom" anchorx="page"/>
          </v:line>
        </w:pict>
      </w:r>
    </w:p>
    <w:p w14:paraId="29333F1B" w14:textId="77777777" w:rsidR="002653E8" w:rsidRDefault="003115E3">
      <w:pPr>
        <w:spacing w:before="8"/>
        <w:ind w:left="1327"/>
        <w:rPr>
          <w:sz w:val="16"/>
        </w:rPr>
      </w:pPr>
      <w:r>
        <w:rPr>
          <w:i/>
          <w:color w:val="231F20"/>
          <w:w w:val="105"/>
          <w:sz w:val="16"/>
        </w:rPr>
        <w:t xml:space="preserve">Money Plot, </w:t>
      </w:r>
      <w:r>
        <w:rPr>
          <w:rFonts w:ascii="Bookman Old Style"/>
          <w:i/>
          <w:color w:val="231F20"/>
          <w:w w:val="105"/>
          <w:sz w:val="16"/>
        </w:rPr>
        <w:t>1933</w:t>
      </w:r>
      <w:r>
        <w:rPr>
          <w:i/>
          <w:color w:val="231F20"/>
          <w:w w:val="105"/>
          <w:sz w:val="16"/>
        </w:rPr>
        <w:t>-</w:t>
      </w:r>
      <w:r>
        <w:rPr>
          <w:rFonts w:ascii="Bookman Old Style"/>
          <w:i/>
          <w:color w:val="231F20"/>
          <w:w w:val="105"/>
          <w:sz w:val="16"/>
        </w:rPr>
        <w:t xml:space="preserve">1949 </w:t>
      </w:r>
      <w:r>
        <w:rPr>
          <w:color w:val="231F20"/>
          <w:w w:val="105"/>
          <w:sz w:val="16"/>
        </w:rPr>
        <w:t>(New york: Delacorte Press, 1983).</w:t>
      </w:r>
    </w:p>
    <w:p w14:paraId="2E08C341" w14:textId="77777777" w:rsidR="002653E8" w:rsidRDefault="003115E3">
      <w:pPr>
        <w:pStyle w:val="a4"/>
        <w:numPr>
          <w:ilvl w:val="0"/>
          <w:numId w:val="193"/>
        </w:numPr>
        <w:tabs>
          <w:tab w:val="left" w:pos="1467"/>
        </w:tabs>
        <w:spacing w:before="50"/>
        <w:ind w:left="1466" w:hanging="138"/>
        <w:jc w:val="left"/>
        <w:rPr>
          <w:sz w:val="16"/>
        </w:rPr>
      </w:pPr>
      <w:r>
        <w:rPr>
          <w:color w:val="231F20"/>
          <w:w w:val="110"/>
          <w:sz w:val="16"/>
        </w:rPr>
        <w:t>William</w:t>
      </w:r>
      <w:r>
        <w:rPr>
          <w:color w:val="231F20"/>
          <w:spacing w:val="5"/>
          <w:w w:val="110"/>
          <w:sz w:val="16"/>
        </w:rPr>
        <w:t xml:space="preserve"> </w:t>
      </w:r>
      <w:r>
        <w:rPr>
          <w:color w:val="231F20"/>
          <w:w w:val="110"/>
          <w:sz w:val="16"/>
        </w:rPr>
        <w:t>D.</w:t>
      </w:r>
      <w:r>
        <w:rPr>
          <w:color w:val="231F20"/>
          <w:spacing w:val="5"/>
          <w:w w:val="110"/>
          <w:sz w:val="16"/>
        </w:rPr>
        <w:t xml:space="preserve"> </w:t>
      </w:r>
      <w:r>
        <w:rPr>
          <w:color w:val="231F20"/>
          <w:w w:val="110"/>
          <w:sz w:val="16"/>
        </w:rPr>
        <w:t>Graf,</w:t>
      </w:r>
      <w:r>
        <w:rPr>
          <w:color w:val="231F20"/>
          <w:spacing w:val="5"/>
          <w:w w:val="110"/>
          <w:sz w:val="16"/>
        </w:rPr>
        <w:t xml:space="preserve"> </w:t>
      </w:r>
      <w:r>
        <w:rPr>
          <w:color w:val="231F20"/>
          <w:w w:val="110"/>
          <w:sz w:val="16"/>
        </w:rPr>
        <w:t>“Anti-Communism</w:t>
      </w:r>
      <w:r>
        <w:rPr>
          <w:color w:val="231F20"/>
          <w:spacing w:val="5"/>
          <w:w w:val="110"/>
          <w:sz w:val="16"/>
        </w:rPr>
        <w:t xml:space="preserve"> </w:t>
      </w:r>
      <w:r>
        <w:rPr>
          <w:color w:val="231F20"/>
          <w:w w:val="110"/>
          <w:sz w:val="16"/>
        </w:rPr>
        <w:t>in</w:t>
      </w:r>
      <w:r>
        <w:rPr>
          <w:color w:val="231F20"/>
          <w:spacing w:val="5"/>
          <w:w w:val="110"/>
          <w:sz w:val="16"/>
        </w:rPr>
        <w:t xml:space="preserve"> </w:t>
      </w:r>
      <w:r>
        <w:rPr>
          <w:color w:val="231F20"/>
          <w:w w:val="110"/>
          <w:sz w:val="16"/>
        </w:rPr>
        <w:t>the</w:t>
      </w:r>
      <w:r>
        <w:rPr>
          <w:color w:val="231F20"/>
          <w:spacing w:val="5"/>
          <w:w w:val="110"/>
          <w:sz w:val="16"/>
        </w:rPr>
        <w:t xml:space="preserve"> </w:t>
      </w:r>
      <w:r>
        <w:rPr>
          <w:color w:val="231F20"/>
          <w:w w:val="110"/>
          <w:sz w:val="16"/>
        </w:rPr>
        <w:t>Federal</w:t>
      </w:r>
      <w:r>
        <w:rPr>
          <w:color w:val="231F20"/>
          <w:spacing w:val="5"/>
          <w:w w:val="110"/>
          <w:sz w:val="16"/>
        </w:rPr>
        <w:t xml:space="preserve"> </w:t>
      </w:r>
      <w:r>
        <w:rPr>
          <w:color w:val="231F20"/>
          <w:w w:val="110"/>
          <w:sz w:val="16"/>
        </w:rPr>
        <w:t>Republic</w:t>
      </w:r>
      <w:r>
        <w:rPr>
          <w:color w:val="231F20"/>
          <w:spacing w:val="5"/>
          <w:w w:val="110"/>
          <w:sz w:val="16"/>
        </w:rPr>
        <w:t xml:space="preserve"> </w:t>
      </w:r>
      <w:r>
        <w:rPr>
          <w:color w:val="231F20"/>
          <w:w w:val="110"/>
          <w:sz w:val="16"/>
        </w:rPr>
        <w:t>of</w:t>
      </w:r>
      <w:r>
        <w:rPr>
          <w:color w:val="231F20"/>
          <w:spacing w:val="5"/>
          <w:w w:val="110"/>
          <w:sz w:val="16"/>
        </w:rPr>
        <w:t xml:space="preserve"> </w:t>
      </w:r>
      <w:r>
        <w:rPr>
          <w:color w:val="231F20"/>
          <w:w w:val="110"/>
          <w:sz w:val="16"/>
        </w:rPr>
        <w:t>Germany,”</w:t>
      </w:r>
    </w:p>
    <w:p w14:paraId="2137634A" w14:textId="77777777" w:rsidR="002653E8" w:rsidRDefault="003115E3">
      <w:pPr>
        <w:spacing w:before="12"/>
        <w:ind w:left="1328"/>
        <w:rPr>
          <w:sz w:val="16"/>
        </w:rPr>
      </w:pPr>
      <w:r>
        <w:rPr>
          <w:i/>
          <w:color w:val="231F20"/>
          <w:w w:val="105"/>
          <w:sz w:val="16"/>
        </w:rPr>
        <w:t xml:space="preserve">Socialist Register </w:t>
      </w:r>
      <w:r>
        <w:rPr>
          <w:color w:val="231F20"/>
          <w:w w:val="105"/>
          <w:sz w:val="16"/>
        </w:rPr>
        <w:t>(1984): 167.</w:t>
      </w:r>
    </w:p>
    <w:p w14:paraId="64E8DD15" w14:textId="77777777" w:rsidR="002653E8" w:rsidRDefault="003115E3">
      <w:pPr>
        <w:pStyle w:val="a4"/>
        <w:numPr>
          <w:ilvl w:val="0"/>
          <w:numId w:val="193"/>
        </w:numPr>
        <w:tabs>
          <w:tab w:val="left" w:pos="1467"/>
        </w:tabs>
        <w:spacing w:before="51" w:line="254" w:lineRule="auto"/>
        <w:ind w:left="1328" w:right="1201" w:firstLine="0"/>
        <w:jc w:val="left"/>
        <w:rPr>
          <w:sz w:val="16"/>
        </w:rPr>
      </w:pPr>
      <w:r>
        <w:rPr>
          <w:color w:val="231F20"/>
          <w:w w:val="110"/>
          <w:sz w:val="16"/>
        </w:rPr>
        <w:t xml:space="preserve">Women Against Imperialist War (Hamburg), “War on Imperialist </w:t>
      </w:r>
      <w:r>
        <w:rPr>
          <w:color w:val="231F20"/>
          <w:spacing w:val="-3"/>
          <w:w w:val="110"/>
          <w:sz w:val="16"/>
        </w:rPr>
        <w:t xml:space="preserve">War,” </w:t>
      </w:r>
      <w:r>
        <w:rPr>
          <w:color w:val="231F20"/>
          <w:w w:val="110"/>
          <w:sz w:val="16"/>
        </w:rPr>
        <w:t xml:space="preserve">in Prairie Fire Organizing Committee, </w:t>
      </w:r>
      <w:r>
        <w:rPr>
          <w:i/>
          <w:color w:val="231F20"/>
          <w:w w:val="110"/>
          <w:sz w:val="16"/>
        </w:rPr>
        <w:t xml:space="preserve">War on the War Makers: </w:t>
      </w:r>
      <w:r>
        <w:rPr>
          <w:i/>
          <w:color w:val="231F20"/>
          <w:spacing w:val="1"/>
          <w:w w:val="110"/>
          <w:sz w:val="16"/>
        </w:rPr>
        <w:t xml:space="preserve">Documents and Communiqués </w:t>
      </w:r>
      <w:r>
        <w:rPr>
          <w:i/>
          <w:color w:val="231F20"/>
          <w:w w:val="110"/>
          <w:sz w:val="16"/>
        </w:rPr>
        <w:t xml:space="preserve">from the West </w:t>
      </w:r>
      <w:r>
        <w:rPr>
          <w:i/>
          <w:color w:val="231F20"/>
          <w:spacing w:val="2"/>
          <w:w w:val="110"/>
          <w:sz w:val="16"/>
        </w:rPr>
        <w:t xml:space="preserve">German Left </w:t>
      </w:r>
      <w:r>
        <w:rPr>
          <w:color w:val="231F20"/>
          <w:w w:val="110"/>
          <w:sz w:val="16"/>
        </w:rPr>
        <w:t>(San Francisco: John Brown Book Club n.d.),</w:t>
      </w:r>
      <w:r>
        <w:rPr>
          <w:color w:val="231F20"/>
          <w:spacing w:val="5"/>
          <w:w w:val="110"/>
          <w:sz w:val="16"/>
        </w:rPr>
        <w:t xml:space="preserve"> </w:t>
      </w:r>
      <w:r>
        <w:rPr>
          <w:color w:val="231F20"/>
          <w:w w:val="110"/>
          <w:sz w:val="16"/>
        </w:rPr>
        <w:t>21</w:t>
      </w:r>
    </w:p>
    <w:p w14:paraId="5476483E" w14:textId="77777777" w:rsidR="002653E8" w:rsidRDefault="002653E8">
      <w:pPr>
        <w:spacing w:line="254" w:lineRule="auto"/>
        <w:rPr>
          <w:sz w:val="16"/>
        </w:rPr>
        <w:sectPr w:rsidR="002653E8">
          <w:pgSz w:w="8640" w:h="12960"/>
          <w:pgMar w:top="1060" w:right="0" w:bottom="1040" w:left="0" w:header="0" w:footer="850" w:gutter="0"/>
          <w:cols w:space="720"/>
        </w:sectPr>
      </w:pPr>
    </w:p>
    <w:p w14:paraId="58BE55A7" w14:textId="77777777" w:rsidR="002653E8" w:rsidRDefault="003115E3">
      <w:pPr>
        <w:pStyle w:val="a3"/>
        <w:spacing w:before="86" w:line="264" w:lineRule="auto"/>
        <w:ind w:left="1147" w:right="1325" w:hanging="1"/>
        <w:jc w:val="both"/>
      </w:pPr>
      <w:r>
        <w:rPr>
          <w:color w:val="231F20"/>
          <w:w w:val="105"/>
        </w:rPr>
        <w:lastRenderedPageBreak/>
        <w:t xml:space="preserve">international capitalism and the use of its territory as a front line position in the Cold </w:t>
      </w:r>
      <w:r>
        <w:rPr>
          <w:color w:val="231F20"/>
          <w:spacing w:val="-3"/>
          <w:w w:val="105"/>
        </w:rPr>
        <w:t xml:space="preserve">War </w:t>
      </w:r>
      <w:r>
        <w:rPr>
          <w:color w:val="231F20"/>
          <w:w w:val="105"/>
        </w:rPr>
        <w:t xml:space="preserve">with the </w:t>
      </w:r>
      <w:r>
        <w:rPr>
          <w:color w:val="231F20"/>
          <w:spacing w:val="1"/>
          <w:w w:val="105"/>
        </w:rPr>
        <w:t xml:space="preserve">U.S.S.R.. </w:t>
      </w:r>
      <w:r>
        <w:rPr>
          <w:color w:val="231F20"/>
          <w:w w:val="105"/>
        </w:rPr>
        <w:t>This was an appeal aimed  not only at the ruling class, but also at “ordinary” Germans, who may have</w:t>
      </w:r>
      <w:r>
        <w:rPr>
          <w:color w:val="231F20"/>
          <w:spacing w:val="-20"/>
          <w:w w:val="105"/>
        </w:rPr>
        <w:t xml:space="preserve"> </w:t>
      </w:r>
      <w:r>
        <w:rPr>
          <w:color w:val="231F20"/>
          <w:w w:val="105"/>
        </w:rPr>
        <w:t>benefited</w:t>
      </w:r>
      <w:r>
        <w:rPr>
          <w:color w:val="231F20"/>
          <w:spacing w:val="-20"/>
          <w:w w:val="105"/>
        </w:rPr>
        <w:t xml:space="preserve"> </w:t>
      </w:r>
      <w:r>
        <w:rPr>
          <w:color w:val="231F20"/>
          <w:w w:val="105"/>
        </w:rPr>
        <w:t>from</w:t>
      </w:r>
      <w:r>
        <w:rPr>
          <w:color w:val="231F20"/>
          <w:spacing w:val="-20"/>
          <w:w w:val="105"/>
        </w:rPr>
        <w:t xml:space="preserve"> </w:t>
      </w:r>
      <w:r>
        <w:rPr>
          <w:color w:val="231F20"/>
          <w:w w:val="105"/>
        </w:rPr>
        <w:t>the</w:t>
      </w:r>
      <w:r>
        <w:rPr>
          <w:color w:val="231F20"/>
          <w:spacing w:val="-20"/>
          <w:w w:val="105"/>
        </w:rPr>
        <w:t xml:space="preserve"> </w:t>
      </w:r>
      <w:r>
        <w:rPr>
          <w:color w:val="231F20"/>
          <w:w w:val="105"/>
        </w:rPr>
        <w:t>Third</w:t>
      </w:r>
      <w:r>
        <w:rPr>
          <w:color w:val="231F20"/>
          <w:spacing w:val="-20"/>
          <w:w w:val="105"/>
        </w:rPr>
        <w:t xml:space="preserve"> </w:t>
      </w:r>
      <w:r>
        <w:rPr>
          <w:color w:val="231F20"/>
          <w:spacing w:val="-3"/>
          <w:w w:val="105"/>
        </w:rPr>
        <w:t>Reich’s</w:t>
      </w:r>
      <w:r>
        <w:rPr>
          <w:color w:val="231F20"/>
          <w:spacing w:val="-20"/>
          <w:w w:val="105"/>
        </w:rPr>
        <w:t xml:space="preserve"> </w:t>
      </w:r>
      <w:r>
        <w:rPr>
          <w:color w:val="231F20"/>
          <w:w w:val="105"/>
        </w:rPr>
        <w:t>policies</w:t>
      </w:r>
      <w:r>
        <w:rPr>
          <w:color w:val="231F20"/>
          <w:spacing w:val="-20"/>
          <w:w w:val="105"/>
        </w:rPr>
        <w:t xml:space="preserve"> </w:t>
      </w:r>
      <w:r>
        <w:rPr>
          <w:color w:val="231F20"/>
          <w:w w:val="105"/>
        </w:rPr>
        <w:t>of</w:t>
      </w:r>
      <w:r>
        <w:rPr>
          <w:color w:val="231F20"/>
          <w:spacing w:val="-20"/>
          <w:w w:val="105"/>
        </w:rPr>
        <w:t xml:space="preserve"> </w:t>
      </w:r>
      <w:r>
        <w:rPr>
          <w:color w:val="231F20"/>
          <w:w w:val="105"/>
        </w:rPr>
        <w:t>plunder</w:t>
      </w:r>
      <w:r>
        <w:rPr>
          <w:color w:val="231F20"/>
          <w:spacing w:val="-20"/>
          <w:w w:val="105"/>
        </w:rPr>
        <w:t xml:space="preserve"> </w:t>
      </w:r>
      <w:r>
        <w:rPr>
          <w:color w:val="231F20"/>
          <w:w w:val="105"/>
        </w:rPr>
        <w:t>and</w:t>
      </w:r>
      <w:r>
        <w:rPr>
          <w:color w:val="231F20"/>
          <w:spacing w:val="-20"/>
          <w:w w:val="105"/>
        </w:rPr>
        <w:t xml:space="preserve"> </w:t>
      </w:r>
      <w:r>
        <w:rPr>
          <w:color w:val="231F20"/>
          <w:w w:val="105"/>
        </w:rPr>
        <w:t>genocide, but</w:t>
      </w:r>
      <w:r>
        <w:rPr>
          <w:color w:val="231F20"/>
          <w:spacing w:val="-7"/>
          <w:w w:val="105"/>
        </w:rPr>
        <w:t xml:space="preserve"> </w:t>
      </w:r>
      <w:r>
        <w:rPr>
          <w:color w:val="231F20"/>
          <w:w w:val="105"/>
        </w:rPr>
        <w:t>who</w:t>
      </w:r>
      <w:r>
        <w:rPr>
          <w:color w:val="231F20"/>
          <w:spacing w:val="-7"/>
          <w:w w:val="105"/>
        </w:rPr>
        <w:t xml:space="preserve"> </w:t>
      </w:r>
      <w:r>
        <w:rPr>
          <w:color w:val="231F20"/>
          <w:spacing w:val="-4"/>
          <w:w w:val="105"/>
        </w:rPr>
        <w:t>now,</w:t>
      </w:r>
      <w:r>
        <w:rPr>
          <w:color w:val="231F20"/>
          <w:spacing w:val="-7"/>
          <w:w w:val="105"/>
        </w:rPr>
        <w:t xml:space="preserve"> </w:t>
      </w:r>
      <w:r>
        <w:rPr>
          <w:color w:val="231F20"/>
          <w:w w:val="105"/>
        </w:rPr>
        <w:t>in</w:t>
      </w:r>
      <w:r>
        <w:rPr>
          <w:color w:val="231F20"/>
          <w:spacing w:val="-7"/>
          <w:w w:val="105"/>
        </w:rPr>
        <w:t xml:space="preserve"> </w:t>
      </w:r>
      <w:r>
        <w:rPr>
          <w:color w:val="231F20"/>
          <w:w w:val="105"/>
        </w:rPr>
        <w:t>defeat,</w:t>
      </w:r>
      <w:r>
        <w:rPr>
          <w:color w:val="231F20"/>
          <w:spacing w:val="-7"/>
          <w:w w:val="105"/>
        </w:rPr>
        <w:t xml:space="preserve"> </w:t>
      </w:r>
      <w:r>
        <w:rPr>
          <w:color w:val="231F20"/>
          <w:w w:val="105"/>
        </w:rPr>
        <w:t>found</w:t>
      </w:r>
      <w:r>
        <w:rPr>
          <w:color w:val="231F20"/>
          <w:spacing w:val="-7"/>
          <w:w w:val="105"/>
        </w:rPr>
        <w:t xml:space="preserve"> </w:t>
      </w:r>
      <w:r>
        <w:rPr>
          <w:color w:val="231F20"/>
          <w:w w:val="105"/>
        </w:rPr>
        <w:t>themselves</w:t>
      </w:r>
      <w:r>
        <w:rPr>
          <w:color w:val="231F20"/>
          <w:spacing w:val="-7"/>
          <w:w w:val="105"/>
        </w:rPr>
        <w:t xml:space="preserve"> </w:t>
      </w:r>
      <w:r>
        <w:rPr>
          <w:color w:val="231F20"/>
          <w:w w:val="105"/>
        </w:rPr>
        <w:t>thrown</w:t>
      </w:r>
      <w:r>
        <w:rPr>
          <w:color w:val="231F20"/>
          <w:spacing w:val="-7"/>
          <w:w w:val="105"/>
        </w:rPr>
        <w:t xml:space="preserve"> </w:t>
      </w:r>
      <w:r>
        <w:rPr>
          <w:color w:val="231F20"/>
          <w:w w:val="105"/>
        </w:rPr>
        <w:t>into</w:t>
      </w:r>
      <w:r>
        <w:rPr>
          <w:color w:val="231F20"/>
          <w:spacing w:val="-7"/>
          <w:w w:val="105"/>
        </w:rPr>
        <w:t xml:space="preserve"> </w:t>
      </w:r>
      <w:r>
        <w:rPr>
          <w:color w:val="231F20"/>
          <w:w w:val="105"/>
        </w:rPr>
        <w:t>economic</w:t>
      </w:r>
      <w:r>
        <w:rPr>
          <w:color w:val="231F20"/>
          <w:spacing w:val="-7"/>
          <w:w w:val="105"/>
        </w:rPr>
        <w:t xml:space="preserve"> </w:t>
      </w:r>
      <w:r>
        <w:rPr>
          <w:color w:val="231F20"/>
          <w:w w:val="105"/>
        </w:rPr>
        <w:t>insecurity.</w:t>
      </w:r>
      <w:r>
        <w:rPr>
          <w:color w:val="231F20"/>
          <w:w w:val="105"/>
          <w:position w:val="7"/>
          <w:sz w:val="11"/>
        </w:rPr>
        <w:t xml:space="preserve">1 </w:t>
      </w:r>
      <w:r>
        <w:rPr>
          <w:color w:val="231F20"/>
          <w:spacing w:val="2"/>
          <w:w w:val="105"/>
        </w:rPr>
        <w:t xml:space="preserve">An </w:t>
      </w:r>
      <w:r>
        <w:rPr>
          <w:color w:val="231F20"/>
          <w:w w:val="105"/>
        </w:rPr>
        <w:t>early propaganda document from the western occupation government,</w:t>
      </w:r>
      <w:r>
        <w:rPr>
          <w:color w:val="231F20"/>
          <w:spacing w:val="-6"/>
          <w:w w:val="105"/>
        </w:rPr>
        <w:t xml:space="preserve"> </w:t>
      </w:r>
      <w:r>
        <w:rPr>
          <w:color w:val="231F20"/>
          <w:w w:val="105"/>
        </w:rPr>
        <w:t>issued</w:t>
      </w:r>
      <w:r>
        <w:rPr>
          <w:color w:val="231F20"/>
          <w:spacing w:val="-6"/>
          <w:w w:val="105"/>
        </w:rPr>
        <w:t xml:space="preserve"> </w:t>
      </w:r>
      <w:r>
        <w:rPr>
          <w:color w:val="231F20"/>
          <w:w w:val="105"/>
        </w:rPr>
        <w:t>just</w:t>
      </w:r>
      <w:r>
        <w:rPr>
          <w:color w:val="231F20"/>
          <w:spacing w:val="-6"/>
          <w:w w:val="105"/>
        </w:rPr>
        <w:t xml:space="preserve"> </w:t>
      </w:r>
      <w:r>
        <w:rPr>
          <w:color w:val="231F20"/>
          <w:w w:val="105"/>
        </w:rPr>
        <w:t>weeks</w:t>
      </w:r>
      <w:r>
        <w:rPr>
          <w:color w:val="231F20"/>
          <w:spacing w:val="-6"/>
          <w:w w:val="105"/>
        </w:rPr>
        <w:t xml:space="preserve"> </w:t>
      </w:r>
      <w:r>
        <w:rPr>
          <w:color w:val="231F20"/>
          <w:w w:val="105"/>
        </w:rPr>
        <w:t>after</w:t>
      </w:r>
      <w:r>
        <w:rPr>
          <w:color w:val="231F20"/>
          <w:spacing w:val="-6"/>
          <w:w w:val="105"/>
        </w:rPr>
        <w:t xml:space="preserve"> </w:t>
      </w:r>
      <w:r>
        <w:rPr>
          <w:color w:val="231F20"/>
          <w:w w:val="105"/>
        </w:rPr>
        <w:t>a</w:t>
      </w:r>
      <w:r>
        <w:rPr>
          <w:color w:val="231F20"/>
          <w:spacing w:val="-6"/>
          <w:w w:val="105"/>
        </w:rPr>
        <w:t xml:space="preserve"> </w:t>
      </w:r>
      <w:r>
        <w:rPr>
          <w:color w:val="231F20"/>
          <w:w w:val="105"/>
        </w:rPr>
        <w:t>pro-Soviet</w:t>
      </w:r>
      <w:r>
        <w:rPr>
          <w:color w:val="231F20"/>
          <w:spacing w:val="-6"/>
          <w:w w:val="105"/>
        </w:rPr>
        <w:t xml:space="preserve"> </w:t>
      </w:r>
      <w:r>
        <w:rPr>
          <w:color w:val="231F20"/>
          <w:w w:val="105"/>
        </w:rPr>
        <w:t>coup</w:t>
      </w:r>
      <w:r>
        <w:rPr>
          <w:color w:val="231F20"/>
          <w:spacing w:val="-6"/>
          <w:w w:val="105"/>
        </w:rPr>
        <w:t xml:space="preserve"> </w:t>
      </w:r>
      <w:r>
        <w:rPr>
          <w:color w:val="231F20"/>
          <w:w w:val="105"/>
        </w:rPr>
        <w:t>in</w:t>
      </w:r>
      <w:r>
        <w:rPr>
          <w:color w:val="231F20"/>
          <w:spacing w:val="-6"/>
          <w:w w:val="105"/>
        </w:rPr>
        <w:t xml:space="preserve"> </w:t>
      </w:r>
      <w:r>
        <w:rPr>
          <w:color w:val="231F20"/>
          <w:w w:val="105"/>
        </w:rPr>
        <w:t>neighboring Czechoslovakia, explained what was at</w:t>
      </w:r>
      <w:r>
        <w:rPr>
          <w:color w:val="231F20"/>
          <w:spacing w:val="30"/>
          <w:w w:val="105"/>
        </w:rPr>
        <w:t xml:space="preserve"> </w:t>
      </w:r>
      <w:r>
        <w:rPr>
          <w:color w:val="231F20"/>
          <w:w w:val="105"/>
        </w:rPr>
        <w:t>stake:</w:t>
      </w:r>
    </w:p>
    <w:p w14:paraId="18E8CD6C" w14:textId="77777777" w:rsidR="002653E8" w:rsidRDefault="003115E3">
      <w:pPr>
        <w:spacing w:before="120" w:line="276" w:lineRule="auto"/>
        <w:ind w:left="1567" w:right="1746"/>
        <w:jc w:val="both"/>
        <w:rPr>
          <w:i/>
          <w:sz w:val="11"/>
        </w:rPr>
      </w:pPr>
      <w:r>
        <w:rPr>
          <w:i/>
          <w:color w:val="231F20"/>
          <w:sz w:val="19"/>
        </w:rPr>
        <w:t>The fate of the Marshall Plan will determine who is to  be  the  victor in the great ideological conflict of democracy versus totalitarianism. Unless the Germans can get enough to eat and decent homes to live in, no amount of fine words about the benefit of democracy and no amount of repression will prevent them from going over to</w:t>
      </w:r>
      <w:r>
        <w:rPr>
          <w:i/>
          <w:color w:val="231F20"/>
          <w:spacing w:val="35"/>
          <w:sz w:val="19"/>
        </w:rPr>
        <w:t xml:space="preserve"> </w:t>
      </w:r>
      <w:r>
        <w:rPr>
          <w:i/>
          <w:color w:val="231F20"/>
          <w:sz w:val="19"/>
        </w:rPr>
        <w:t>Communism.</w:t>
      </w:r>
      <w:r>
        <w:rPr>
          <w:i/>
          <w:color w:val="231F20"/>
          <w:position w:val="6"/>
          <w:sz w:val="11"/>
        </w:rPr>
        <w:t>2</w:t>
      </w:r>
    </w:p>
    <w:p w14:paraId="361D7556" w14:textId="77777777" w:rsidR="002653E8" w:rsidRDefault="003115E3">
      <w:pPr>
        <w:pStyle w:val="a3"/>
        <w:spacing w:before="133" w:line="264" w:lineRule="auto"/>
        <w:ind w:left="1147" w:right="1326"/>
        <w:jc w:val="both"/>
        <w:rPr>
          <w:sz w:val="11"/>
        </w:rPr>
      </w:pPr>
      <w:r>
        <w:rPr>
          <w:color w:val="231F20"/>
        </w:rPr>
        <w:t>Former Nazis, provided they were not personally too notorious or unwilling to play by the new rules, appeared to the Americans as far preferable to communists or their presumed fellow travelers. Indeed, it has been noted that for much of the West German establishment, “anticommunism provided a point of common cause with the Western victors and hence… a means of avoiding being called to account for their complicity” with the Hitler regime.</w:t>
      </w:r>
      <w:r>
        <w:rPr>
          <w:color w:val="231F20"/>
          <w:position w:val="7"/>
          <w:sz w:val="11"/>
        </w:rPr>
        <w:t>3</w:t>
      </w:r>
    </w:p>
    <w:p w14:paraId="232B3A90" w14:textId="77777777" w:rsidR="002653E8" w:rsidRDefault="003115E3">
      <w:pPr>
        <w:pStyle w:val="a3"/>
        <w:spacing w:line="264" w:lineRule="auto"/>
        <w:ind w:left="1147" w:right="1326" w:firstLine="210"/>
        <w:jc w:val="both"/>
      </w:pPr>
      <w:r>
        <w:rPr>
          <w:color w:val="231F20"/>
        </w:rPr>
        <w:t xml:space="preserve">By the time the Federal Republic of Germany (FRG) was granted semi-sovereign statehood in </w:t>
      </w:r>
      <w:r>
        <w:rPr>
          <w:color w:val="231F20"/>
          <w:spacing w:val="-5"/>
        </w:rPr>
        <w:t xml:space="preserve">1949, </w:t>
      </w:r>
      <w:r>
        <w:rPr>
          <w:color w:val="231F20"/>
        </w:rPr>
        <w:t>this set of common interests had become embodied in the Christian  Democratic  Union  (CDU),  under  the iron fist of  Chancellor  Konrad  Adenauer.  Ruling  for  almost  twenty years, normally in coalition with the much smaller liberal Free Democratic Party (FDP) and the slightly more rabid Christian Social Union (CSU) in Bavaria, the CDU soon became almost  synonymous  with the state</w:t>
      </w:r>
      <w:r>
        <w:rPr>
          <w:color w:val="231F20"/>
          <w:spacing w:val="31"/>
        </w:rPr>
        <w:t xml:space="preserve"> </w:t>
      </w:r>
      <w:r>
        <w:rPr>
          <w:color w:val="231F20"/>
        </w:rPr>
        <w:t>itself.</w:t>
      </w:r>
    </w:p>
    <w:p w14:paraId="4C726361" w14:textId="77777777" w:rsidR="002653E8" w:rsidRDefault="00000000">
      <w:pPr>
        <w:pStyle w:val="a3"/>
        <w:spacing w:before="7"/>
        <w:rPr>
          <w:sz w:val="29"/>
        </w:rPr>
      </w:pPr>
      <w:r>
        <w:rPr>
          <w:noProof w:val="0"/>
        </w:rPr>
        <w:pict w14:anchorId="185E05CC">
          <v:line id="_x0000_s2724" style="position:absolute;z-index:1408;mso-wrap-distance-left:0;mso-wrap-distance-right:0;mso-position-horizontal-relative:page" from="57.4pt,19.6pt" to="129.4pt,19.6pt" strokecolor="#231f20" strokeweight=".5pt">
            <w10:wrap type="topAndBottom" anchorx="page"/>
          </v:line>
        </w:pict>
      </w:r>
    </w:p>
    <w:p w14:paraId="5B5B5B80" w14:textId="77777777" w:rsidR="002653E8" w:rsidRDefault="003115E3">
      <w:pPr>
        <w:pStyle w:val="a4"/>
        <w:numPr>
          <w:ilvl w:val="0"/>
          <w:numId w:val="192"/>
        </w:numPr>
        <w:tabs>
          <w:tab w:val="left" w:pos="1287"/>
        </w:tabs>
        <w:spacing w:before="53" w:line="254" w:lineRule="auto"/>
        <w:ind w:right="1361" w:firstLine="0"/>
        <w:jc w:val="left"/>
        <w:rPr>
          <w:sz w:val="16"/>
        </w:rPr>
      </w:pPr>
      <w:r>
        <w:rPr>
          <w:color w:val="231F20"/>
          <w:w w:val="105"/>
          <w:sz w:val="16"/>
        </w:rPr>
        <w:t xml:space="preserve">There has been much written over the past </w:t>
      </w:r>
      <w:r>
        <w:rPr>
          <w:color w:val="231F20"/>
          <w:spacing w:val="2"/>
          <w:w w:val="105"/>
          <w:sz w:val="16"/>
        </w:rPr>
        <w:t xml:space="preserve">thirty </w:t>
      </w:r>
      <w:r>
        <w:rPr>
          <w:color w:val="231F20"/>
          <w:w w:val="105"/>
          <w:sz w:val="16"/>
        </w:rPr>
        <w:t xml:space="preserve">years about the ways in which the non-Jewish German working class benefited from the Third Reich’s policies, enjoying the position of a labor aristocracy. The most noteworthy book on this subject is Götz Aly’s </w:t>
      </w:r>
      <w:r>
        <w:rPr>
          <w:i/>
          <w:color w:val="231F20"/>
          <w:w w:val="105"/>
          <w:sz w:val="16"/>
        </w:rPr>
        <w:t xml:space="preserve">Hitler’s </w:t>
      </w:r>
      <w:r>
        <w:rPr>
          <w:i/>
          <w:color w:val="231F20"/>
          <w:spacing w:val="1"/>
          <w:w w:val="105"/>
          <w:sz w:val="16"/>
        </w:rPr>
        <w:t xml:space="preserve">Beneficiaries: </w:t>
      </w:r>
      <w:r>
        <w:rPr>
          <w:i/>
          <w:color w:val="231F20"/>
          <w:w w:val="105"/>
          <w:sz w:val="16"/>
        </w:rPr>
        <w:t xml:space="preserve">Plunder,  </w:t>
      </w:r>
      <w:r>
        <w:rPr>
          <w:i/>
          <w:color w:val="231F20"/>
          <w:spacing w:val="1"/>
          <w:w w:val="105"/>
          <w:sz w:val="16"/>
        </w:rPr>
        <w:t xml:space="preserve">Racial  </w:t>
      </w:r>
      <w:r>
        <w:rPr>
          <w:i/>
          <w:color w:val="231F20"/>
          <w:w w:val="105"/>
          <w:sz w:val="16"/>
        </w:rPr>
        <w:t xml:space="preserve">war,  </w:t>
      </w:r>
      <w:r>
        <w:rPr>
          <w:i/>
          <w:color w:val="231F20"/>
          <w:spacing w:val="1"/>
          <w:w w:val="105"/>
          <w:sz w:val="16"/>
        </w:rPr>
        <w:t xml:space="preserve">and  </w:t>
      </w:r>
      <w:r>
        <w:rPr>
          <w:i/>
          <w:color w:val="231F20"/>
          <w:w w:val="105"/>
          <w:sz w:val="16"/>
        </w:rPr>
        <w:t xml:space="preserve">the  Nazi Welfare </w:t>
      </w:r>
      <w:r>
        <w:rPr>
          <w:i/>
          <w:color w:val="231F20"/>
          <w:spacing w:val="1"/>
          <w:w w:val="105"/>
          <w:sz w:val="16"/>
        </w:rPr>
        <w:t xml:space="preserve">State; </w:t>
      </w:r>
      <w:r>
        <w:rPr>
          <w:color w:val="231F20"/>
          <w:w w:val="105"/>
          <w:sz w:val="16"/>
        </w:rPr>
        <w:t xml:space="preserve">translated by Jefferson Chase, 1st </w:t>
      </w:r>
      <w:r>
        <w:rPr>
          <w:color w:val="231F20"/>
          <w:spacing w:val="1"/>
          <w:w w:val="105"/>
          <w:sz w:val="16"/>
        </w:rPr>
        <w:t xml:space="preserve">U.S. </w:t>
      </w:r>
      <w:r>
        <w:rPr>
          <w:color w:val="231F20"/>
          <w:w w:val="105"/>
          <w:sz w:val="16"/>
        </w:rPr>
        <w:t xml:space="preserve">ed. (New </w:t>
      </w:r>
      <w:r>
        <w:rPr>
          <w:color w:val="231F20"/>
          <w:spacing w:val="-3"/>
          <w:w w:val="105"/>
          <w:sz w:val="16"/>
        </w:rPr>
        <w:t xml:space="preserve">york: </w:t>
      </w:r>
      <w:r>
        <w:rPr>
          <w:color w:val="231F20"/>
          <w:w w:val="105"/>
          <w:sz w:val="16"/>
        </w:rPr>
        <w:t>Metropolitan, 2007).</w:t>
      </w:r>
    </w:p>
    <w:p w14:paraId="5AD2207B" w14:textId="77777777" w:rsidR="002653E8" w:rsidRDefault="003115E3">
      <w:pPr>
        <w:pStyle w:val="a4"/>
        <w:numPr>
          <w:ilvl w:val="0"/>
          <w:numId w:val="192"/>
        </w:numPr>
        <w:tabs>
          <w:tab w:val="left" w:pos="1287"/>
        </w:tabs>
        <w:spacing w:before="42" w:line="254" w:lineRule="auto"/>
        <w:ind w:right="1509" w:firstLine="0"/>
        <w:jc w:val="left"/>
        <w:rPr>
          <w:sz w:val="16"/>
        </w:rPr>
      </w:pPr>
      <w:r>
        <w:rPr>
          <w:color w:val="231F20"/>
          <w:w w:val="110"/>
          <w:sz w:val="16"/>
        </w:rPr>
        <w:t xml:space="preserve">“How to Fight Communism,” March </w:t>
      </w:r>
      <w:r>
        <w:rPr>
          <w:color w:val="231F20"/>
          <w:spacing w:val="-5"/>
          <w:w w:val="110"/>
          <w:sz w:val="16"/>
        </w:rPr>
        <w:t xml:space="preserve">25, </w:t>
      </w:r>
      <w:r>
        <w:rPr>
          <w:color w:val="231F20"/>
          <w:spacing w:val="-3"/>
          <w:w w:val="110"/>
          <w:sz w:val="16"/>
        </w:rPr>
        <w:t xml:space="preserve">1948, </w:t>
      </w:r>
      <w:r>
        <w:rPr>
          <w:color w:val="231F20"/>
          <w:w w:val="110"/>
          <w:sz w:val="16"/>
        </w:rPr>
        <w:t xml:space="preserve">OMGUS in Patrick Major, </w:t>
      </w:r>
      <w:r>
        <w:rPr>
          <w:i/>
          <w:color w:val="231F20"/>
          <w:w w:val="110"/>
          <w:sz w:val="16"/>
        </w:rPr>
        <w:t xml:space="preserve">The Death of the </w:t>
      </w:r>
      <w:r>
        <w:rPr>
          <w:i/>
          <w:color w:val="231F20"/>
          <w:spacing w:val="1"/>
          <w:w w:val="110"/>
          <w:sz w:val="16"/>
        </w:rPr>
        <w:t xml:space="preserve">KPD: Communism and </w:t>
      </w:r>
      <w:r>
        <w:rPr>
          <w:i/>
          <w:color w:val="231F20"/>
          <w:spacing w:val="2"/>
          <w:w w:val="110"/>
          <w:sz w:val="16"/>
        </w:rPr>
        <w:t xml:space="preserve">Anti-Communism </w:t>
      </w:r>
      <w:r>
        <w:rPr>
          <w:i/>
          <w:color w:val="231F20"/>
          <w:w w:val="110"/>
          <w:sz w:val="16"/>
        </w:rPr>
        <w:t xml:space="preserve">in West </w:t>
      </w:r>
      <w:r>
        <w:rPr>
          <w:i/>
          <w:color w:val="231F20"/>
          <w:spacing w:val="1"/>
          <w:w w:val="110"/>
          <w:sz w:val="16"/>
        </w:rPr>
        <w:t xml:space="preserve">Germany, </w:t>
      </w:r>
      <w:r>
        <w:rPr>
          <w:i/>
          <w:color w:val="231F20"/>
          <w:w w:val="110"/>
          <w:sz w:val="16"/>
        </w:rPr>
        <w:t xml:space="preserve">19451956 </w:t>
      </w:r>
      <w:r>
        <w:rPr>
          <w:color w:val="231F20"/>
          <w:w w:val="110"/>
          <w:sz w:val="16"/>
        </w:rPr>
        <w:t xml:space="preserve">(Oxford: Clarendon Press, </w:t>
      </w:r>
      <w:r>
        <w:rPr>
          <w:color w:val="231F20"/>
          <w:spacing w:val="-2"/>
          <w:w w:val="110"/>
          <w:sz w:val="16"/>
        </w:rPr>
        <w:t>1997),</w:t>
      </w:r>
      <w:r>
        <w:rPr>
          <w:color w:val="231F20"/>
          <w:spacing w:val="27"/>
          <w:w w:val="110"/>
          <w:sz w:val="16"/>
        </w:rPr>
        <w:t xml:space="preserve"> </w:t>
      </w:r>
      <w:r>
        <w:rPr>
          <w:color w:val="231F20"/>
          <w:spacing w:val="-4"/>
          <w:w w:val="110"/>
          <w:sz w:val="16"/>
        </w:rPr>
        <w:t>247.</w:t>
      </w:r>
    </w:p>
    <w:p w14:paraId="4A34E680" w14:textId="77777777" w:rsidR="002653E8" w:rsidRDefault="003115E3">
      <w:pPr>
        <w:pStyle w:val="a4"/>
        <w:numPr>
          <w:ilvl w:val="0"/>
          <w:numId w:val="192"/>
        </w:numPr>
        <w:tabs>
          <w:tab w:val="left" w:pos="1287"/>
        </w:tabs>
        <w:ind w:left="1286"/>
        <w:jc w:val="left"/>
        <w:rPr>
          <w:sz w:val="16"/>
        </w:rPr>
      </w:pPr>
      <w:r>
        <w:rPr>
          <w:color w:val="231F20"/>
          <w:w w:val="115"/>
          <w:sz w:val="16"/>
        </w:rPr>
        <w:t>Graf, “Anti-Communism,”</w:t>
      </w:r>
      <w:r>
        <w:rPr>
          <w:color w:val="231F20"/>
          <w:spacing w:val="7"/>
          <w:w w:val="115"/>
          <w:sz w:val="16"/>
        </w:rPr>
        <w:t xml:space="preserve"> </w:t>
      </w:r>
      <w:r>
        <w:rPr>
          <w:color w:val="231F20"/>
          <w:spacing w:val="-3"/>
          <w:w w:val="115"/>
          <w:sz w:val="16"/>
        </w:rPr>
        <w:t>169.</w:t>
      </w:r>
    </w:p>
    <w:p w14:paraId="6A7B91D7" w14:textId="77777777" w:rsidR="002653E8" w:rsidRDefault="002653E8">
      <w:pPr>
        <w:rPr>
          <w:sz w:val="16"/>
        </w:rPr>
        <w:sectPr w:rsidR="002653E8">
          <w:pgSz w:w="8640" w:h="12960"/>
          <w:pgMar w:top="1060" w:right="0" w:bottom="1040" w:left="0" w:header="0" w:footer="850" w:gutter="0"/>
          <w:cols w:space="720"/>
        </w:sectPr>
      </w:pPr>
    </w:p>
    <w:p w14:paraId="2196E10A" w14:textId="77777777" w:rsidR="002653E8" w:rsidRDefault="003115E3">
      <w:pPr>
        <w:spacing w:before="87"/>
        <w:ind w:left="1327"/>
      </w:pPr>
      <w:r>
        <w:rPr>
          <w:color w:val="231F20"/>
          <w:spacing w:val="20"/>
          <w:w w:val="113"/>
        </w:rPr>
        <w:lastRenderedPageBreak/>
        <w:t>s</w:t>
      </w:r>
      <w:r>
        <w:rPr>
          <w:color w:val="231F20"/>
          <w:spacing w:val="17"/>
          <w:w w:val="113"/>
        </w:rPr>
        <w:t>h</w:t>
      </w:r>
      <w:r>
        <w:rPr>
          <w:color w:val="231F20"/>
          <w:spacing w:val="16"/>
          <w:w w:val="125"/>
        </w:rPr>
        <w:t>o</w:t>
      </w:r>
      <w:r>
        <w:rPr>
          <w:color w:val="231F20"/>
        </w:rPr>
        <w:t>w</w:t>
      </w:r>
      <w:r>
        <w:rPr>
          <w:color w:val="231F20"/>
          <w:spacing w:val="-20"/>
        </w:rPr>
        <w:t xml:space="preserve"> </w:t>
      </w:r>
      <w:r>
        <w:rPr>
          <w:color w:val="231F20"/>
          <w:spacing w:val="21"/>
          <w:w w:val="89"/>
        </w:rPr>
        <w:t>p</w:t>
      </w:r>
      <w:r>
        <w:rPr>
          <w:color w:val="231F20"/>
          <w:spacing w:val="25"/>
          <w:w w:val="119"/>
        </w:rPr>
        <w:t>i</w:t>
      </w:r>
      <w:r>
        <w:rPr>
          <w:color w:val="231F20"/>
          <w:spacing w:val="23"/>
          <w:w w:val="102"/>
        </w:rPr>
        <w:t>e</w:t>
      </w:r>
      <w:r>
        <w:rPr>
          <w:color w:val="231F20"/>
          <w:spacing w:val="25"/>
          <w:w w:val="126"/>
        </w:rPr>
        <w:t>c</w:t>
      </w:r>
      <w:r>
        <w:rPr>
          <w:color w:val="231F20"/>
          <w:w w:val="102"/>
        </w:rPr>
        <w:t>e</w:t>
      </w:r>
      <w:r>
        <w:rPr>
          <w:color w:val="231F20"/>
        </w:rPr>
        <w:t xml:space="preserve">  </w:t>
      </w:r>
      <w:r>
        <w:rPr>
          <w:color w:val="231F20"/>
          <w:spacing w:val="-22"/>
        </w:rPr>
        <w:t xml:space="preserve"> </w:t>
      </w:r>
      <w:r>
        <w:rPr>
          <w:color w:val="231F20"/>
          <w:spacing w:val="26"/>
          <w:w w:val="126"/>
        </w:rPr>
        <w:t>c</w:t>
      </w:r>
      <w:r>
        <w:rPr>
          <w:color w:val="231F20"/>
          <w:spacing w:val="27"/>
          <w:w w:val="113"/>
        </w:rPr>
        <w:t>a</w:t>
      </w:r>
      <w:r>
        <w:rPr>
          <w:color w:val="231F20"/>
          <w:spacing w:val="21"/>
          <w:w w:val="89"/>
        </w:rPr>
        <w:t>p</w:t>
      </w:r>
      <w:r>
        <w:rPr>
          <w:color w:val="231F20"/>
          <w:spacing w:val="26"/>
          <w:w w:val="119"/>
        </w:rPr>
        <w:t>i</w:t>
      </w:r>
      <w:r>
        <w:rPr>
          <w:color w:val="231F20"/>
          <w:spacing w:val="18"/>
          <w:w w:val="147"/>
        </w:rPr>
        <w:t>t</w:t>
      </w:r>
      <w:r>
        <w:rPr>
          <w:color w:val="231F20"/>
          <w:spacing w:val="25"/>
          <w:w w:val="113"/>
        </w:rPr>
        <w:t>a</w:t>
      </w:r>
      <w:r>
        <w:rPr>
          <w:color w:val="231F20"/>
          <w:spacing w:val="25"/>
          <w:w w:val="184"/>
        </w:rPr>
        <w:t>l</w:t>
      </w:r>
      <w:r>
        <w:rPr>
          <w:color w:val="231F20"/>
          <w:spacing w:val="20"/>
          <w:w w:val="119"/>
        </w:rPr>
        <w:t>i</w:t>
      </w:r>
      <w:r>
        <w:rPr>
          <w:color w:val="231F20"/>
          <w:spacing w:val="20"/>
          <w:w w:val="96"/>
        </w:rPr>
        <w:t>s</w:t>
      </w:r>
      <w:r>
        <w:rPr>
          <w:color w:val="231F20"/>
          <w:w w:val="96"/>
        </w:rPr>
        <w:t>m</w:t>
      </w:r>
      <w:r>
        <w:rPr>
          <w:color w:val="231F20"/>
          <w:spacing w:val="-29"/>
        </w:rPr>
        <w:t xml:space="preserve"> </w:t>
      </w:r>
    </w:p>
    <w:p w14:paraId="344400BE" w14:textId="77777777" w:rsidR="002653E8" w:rsidRDefault="003115E3">
      <w:pPr>
        <w:pStyle w:val="a3"/>
        <w:spacing w:before="18" w:line="264" w:lineRule="auto"/>
        <w:ind w:left="1327" w:right="1146"/>
        <w:jc w:val="both"/>
      </w:pPr>
      <w:r>
        <w:rPr>
          <w:color w:val="231F20"/>
          <w:spacing w:val="-3"/>
        </w:rPr>
        <w:t xml:space="preserve">West </w:t>
      </w:r>
      <w:r>
        <w:rPr>
          <w:color w:val="231F20"/>
        </w:rPr>
        <w:t xml:space="preserve">Germany was to be more than just a shield against the “encroaching red </w:t>
      </w:r>
      <w:r>
        <w:rPr>
          <w:color w:val="231F20"/>
          <w:spacing w:val="-3"/>
        </w:rPr>
        <w:t xml:space="preserve">menace”; </w:t>
      </w:r>
      <w:r>
        <w:rPr>
          <w:color w:val="231F20"/>
        </w:rPr>
        <w:t xml:space="preserve">it was to be western imperialism’s visible model of economically and socially “progressive” capitalism. </w:t>
      </w:r>
      <w:r>
        <w:rPr>
          <w:i/>
          <w:color w:val="231F20"/>
        </w:rPr>
        <w:t xml:space="preserve">Modell Deutschland </w:t>
      </w:r>
      <w:r>
        <w:rPr>
          <w:color w:val="231F20"/>
          <w:spacing w:val="-2"/>
        </w:rPr>
        <w:t xml:space="preserve">(“Model  </w:t>
      </w:r>
      <w:r>
        <w:rPr>
          <w:color w:val="231F20"/>
        </w:rPr>
        <w:t xml:space="preserve">Germany”), as it became known, was to serve as an example    to other </w:t>
      </w:r>
      <w:r>
        <w:rPr>
          <w:color w:val="231F20"/>
          <w:spacing w:val="-3"/>
        </w:rPr>
        <w:t xml:space="preserve">West </w:t>
      </w:r>
      <w:r>
        <w:rPr>
          <w:color w:val="231F20"/>
        </w:rPr>
        <w:t>European states and as a taunt to the working class on  the other side of the</w:t>
      </w:r>
      <w:r>
        <w:rPr>
          <w:color w:val="231F20"/>
          <w:spacing w:val="13"/>
        </w:rPr>
        <w:t xml:space="preserve"> </w:t>
      </w:r>
      <w:r>
        <w:rPr>
          <w:color w:val="231F20"/>
        </w:rPr>
        <w:t>“wall.”</w:t>
      </w:r>
    </w:p>
    <w:p w14:paraId="2FDD5722" w14:textId="77777777" w:rsidR="002653E8" w:rsidRDefault="003115E3">
      <w:pPr>
        <w:pStyle w:val="a3"/>
        <w:spacing w:line="264" w:lineRule="auto"/>
        <w:ind w:left="1328" w:right="1145" w:firstLine="210"/>
        <w:jc w:val="both"/>
      </w:pPr>
      <w:r>
        <w:rPr>
          <w:color w:val="231F20"/>
        </w:rPr>
        <w:t>As an anticommunist showpiece, the FRG soon payed for itself in a time honored capitalist fashion—on the backs of the proletariat, especially the most desperate and oppressed layers.</w:t>
      </w:r>
    </w:p>
    <w:p w14:paraId="59649296" w14:textId="77777777" w:rsidR="002653E8" w:rsidRDefault="003115E3">
      <w:pPr>
        <w:pStyle w:val="a3"/>
        <w:spacing w:line="264" w:lineRule="auto"/>
        <w:ind w:left="1327" w:right="1145" w:firstLine="210"/>
        <w:jc w:val="both"/>
        <w:rPr>
          <w:sz w:val="11"/>
        </w:rPr>
      </w:pPr>
      <w:r>
        <w:rPr>
          <w:color w:val="231F20"/>
        </w:rPr>
        <w:t xml:space="preserve">Heightened levels of exploitation combined with the financial assistance offered by the Marshall Plan made the FRG the envy of other western capitalist states. By every measure of the ruling class, the </w:t>
      </w:r>
      <w:r>
        <w:rPr>
          <w:color w:val="231F20"/>
          <w:spacing w:val="-3"/>
        </w:rPr>
        <w:t xml:space="preserve">West </w:t>
      </w:r>
      <w:r>
        <w:rPr>
          <w:color w:val="231F20"/>
        </w:rPr>
        <w:t xml:space="preserve">German economy shone. Real wages in the period </w:t>
      </w:r>
      <w:r>
        <w:rPr>
          <w:color w:val="231F20"/>
          <w:spacing w:val="-7"/>
        </w:rPr>
        <w:t xml:space="preserve">1948-1958 </w:t>
      </w:r>
      <w:r>
        <w:rPr>
          <w:color w:val="231F20"/>
        </w:rPr>
        <w:t>were at the level already established by the fascist regime,</w:t>
      </w:r>
      <w:r>
        <w:rPr>
          <w:color w:val="231F20"/>
          <w:position w:val="7"/>
          <w:sz w:val="11"/>
        </w:rPr>
        <w:t xml:space="preserve">4 </w:t>
      </w:r>
      <w:r>
        <w:rPr>
          <w:color w:val="231F20"/>
        </w:rPr>
        <w:t xml:space="preserve">roughly </w:t>
      </w:r>
      <w:r>
        <w:rPr>
          <w:color w:val="231F20"/>
          <w:spacing w:val="-6"/>
        </w:rPr>
        <w:t>25</w:t>
      </w:r>
      <w:r>
        <w:rPr>
          <w:color w:val="231F20"/>
          <w:spacing w:val="-6"/>
          <w:sz w:val="16"/>
        </w:rPr>
        <w:t xml:space="preserve">% </w:t>
      </w:r>
      <w:r>
        <w:rPr>
          <w:color w:val="231F20"/>
        </w:rPr>
        <w:t>below that of workers in the United States,</w:t>
      </w:r>
      <w:r>
        <w:rPr>
          <w:color w:val="231F20"/>
          <w:position w:val="7"/>
          <w:sz w:val="11"/>
        </w:rPr>
        <w:t xml:space="preserve">5 </w:t>
      </w:r>
      <w:r>
        <w:rPr>
          <w:color w:val="231F20"/>
        </w:rPr>
        <w:t xml:space="preserve">while the working week in </w:t>
      </w:r>
      <w:r>
        <w:rPr>
          <w:color w:val="231F20"/>
          <w:spacing w:val="-9"/>
        </w:rPr>
        <w:t xml:space="preserve">1955 </w:t>
      </w:r>
      <w:r>
        <w:rPr>
          <w:color w:val="231F20"/>
        </w:rPr>
        <w:t xml:space="preserve">could go as high as </w:t>
      </w:r>
      <w:r>
        <w:rPr>
          <w:color w:val="231F20"/>
          <w:spacing w:val="2"/>
        </w:rPr>
        <w:t xml:space="preserve">fifty </w:t>
      </w:r>
      <w:r>
        <w:rPr>
          <w:color w:val="231F20"/>
        </w:rPr>
        <w:t xml:space="preserve">hours, longer in key sectors like the steel industry. </w:t>
      </w:r>
      <w:r>
        <w:rPr>
          <w:color w:val="231F20"/>
          <w:spacing w:val="1"/>
        </w:rPr>
        <w:t xml:space="preserve">In </w:t>
      </w:r>
      <w:r>
        <w:rPr>
          <w:color w:val="231F20"/>
        </w:rPr>
        <w:t xml:space="preserve">that year, </w:t>
      </w:r>
      <w:r>
        <w:rPr>
          <w:color w:val="231F20"/>
          <w:spacing w:val="-3"/>
        </w:rPr>
        <w:t xml:space="preserve">West  </w:t>
      </w:r>
      <w:r>
        <w:rPr>
          <w:color w:val="231F20"/>
        </w:rPr>
        <w:t xml:space="preserve">German industrial workers had a </w:t>
      </w:r>
      <w:r>
        <w:rPr>
          <w:color w:val="231F20"/>
          <w:spacing w:val="-3"/>
        </w:rPr>
        <w:t xml:space="preserve">work-week  </w:t>
      </w:r>
      <w:r>
        <w:rPr>
          <w:color w:val="231F20"/>
        </w:rPr>
        <w:t>two and    a half hours longer than their counterparts in Britain and eight hours longer</w:t>
      </w:r>
      <w:r>
        <w:rPr>
          <w:color w:val="231F20"/>
          <w:spacing w:val="12"/>
        </w:rPr>
        <w:t xml:space="preserve"> </w:t>
      </w:r>
      <w:r>
        <w:rPr>
          <w:color w:val="231F20"/>
        </w:rPr>
        <w:t>than</w:t>
      </w:r>
      <w:r>
        <w:rPr>
          <w:color w:val="231F20"/>
          <w:spacing w:val="12"/>
        </w:rPr>
        <w:t xml:space="preserve"> </w:t>
      </w:r>
      <w:r>
        <w:rPr>
          <w:color w:val="231F20"/>
        </w:rPr>
        <w:t>industrial</w:t>
      </w:r>
      <w:r>
        <w:rPr>
          <w:color w:val="231F20"/>
          <w:spacing w:val="12"/>
        </w:rPr>
        <w:t xml:space="preserve"> </w:t>
      </w:r>
      <w:r>
        <w:rPr>
          <w:color w:val="231F20"/>
        </w:rPr>
        <w:t>workers</w:t>
      </w:r>
      <w:r>
        <w:rPr>
          <w:color w:val="231F20"/>
          <w:spacing w:val="12"/>
        </w:rPr>
        <w:t xml:space="preserve"> </w:t>
      </w:r>
      <w:r>
        <w:rPr>
          <w:color w:val="231F20"/>
        </w:rPr>
        <w:t>in</w:t>
      </w:r>
      <w:r>
        <w:rPr>
          <w:color w:val="231F20"/>
          <w:spacing w:val="12"/>
        </w:rPr>
        <w:t xml:space="preserve"> </w:t>
      </w:r>
      <w:r>
        <w:rPr>
          <w:color w:val="231F20"/>
        </w:rPr>
        <w:t>the</w:t>
      </w:r>
      <w:r>
        <w:rPr>
          <w:color w:val="231F20"/>
          <w:spacing w:val="12"/>
        </w:rPr>
        <w:t xml:space="preserve"> </w:t>
      </w:r>
      <w:r>
        <w:rPr>
          <w:color w:val="231F20"/>
        </w:rPr>
        <w:t>United</w:t>
      </w:r>
      <w:r>
        <w:rPr>
          <w:color w:val="231F20"/>
          <w:spacing w:val="12"/>
        </w:rPr>
        <w:t xml:space="preserve"> </w:t>
      </w:r>
      <w:r>
        <w:rPr>
          <w:color w:val="231F20"/>
        </w:rPr>
        <w:t>States</w:t>
      </w:r>
      <w:r>
        <w:rPr>
          <w:color w:val="231F20"/>
          <w:spacing w:val="12"/>
        </w:rPr>
        <w:t xml:space="preserve"> </w:t>
      </w:r>
      <w:r>
        <w:rPr>
          <w:color w:val="231F20"/>
        </w:rPr>
        <w:t>and</w:t>
      </w:r>
      <w:r>
        <w:rPr>
          <w:color w:val="231F20"/>
          <w:spacing w:val="12"/>
        </w:rPr>
        <w:t xml:space="preserve"> </w:t>
      </w:r>
      <w:r>
        <w:rPr>
          <w:color w:val="231F20"/>
        </w:rPr>
        <w:t>Canada.</w:t>
      </w:r>
      <w:r>
        <w:rPr>
          <w:color w:val="231F20"/>
          <w:position w:val="7"/>
          <w:sz w:val="11"/>
        </w:rPr>
        <w:t>6</w:t>
      </w:r>
    </w:p>
    <w:p w14:paraId="0258592A" w14:textId="77777777" w:rsidR="002653E8" w:rsidRDefault="003115E3">
      <w:pPr>
        <w:pStyle w:val="a3"/>
        <w:spacing w:line="264" w:lineRule="auto"/>
        <w:ind w:left="1327" w:right="1145" w:firstLine="210"/>
        <w:jc w:val="both"/>
        <w:rPr>
          <w:sz w:val="11"/>
        </w:rPr>
      </w:pPr>
      <w:r>
        <w:rPr>
          <w:color w:val="231F20"/>
        </w:rPr>
        <w:t xml:space="preserve">The profits made possible by this arrangement encouraged an extremely high rate of investment, which grew from </w:t>
      </w:r>
      <w:r>
        <w:rPr>
          <w:color w:val="231F20"/>
          <w:spacing w:val="-6"/>
        </w:rPr>
        <w:t>19.1</w:t>
      </w:r>
      <w:r>
        <w:rPr>
          <w:color w:val="231F20"/>
          <w:spacing w:val="-6"/>
          <w:sz w:val="16"/>
        </w:rPr>
        <w:t xml:space="preserve">% </w:t>
      </w:r>
      <w:r>
        <w:rPr>
          <w:color w:val="231F20"/>
        </w:rPr>
        <w:t xml:space="preserve">in </w:t>
      </w:r>
      <w:r>
        <w:rPr>
          <w:color w:val="231F20"/>
          <w:spacing w:val="-7"/>
        </w:rPr>
        <w:t>1950</w:t>
      </w:r>
      <w:r>
        <w:rPr>
          <w:color w:val="231F20"/>
          <w:spacing w:val="30"/>
        </w:rPr>
        <w:t xml:space="preserve"> </w:t>
      </w:r>
      <w:r>
        <w:rPr>
          <w:color w:val="231F20"/>
        </w:rPr>
        <w:t xml:space="preserve">to </w:t>
      </w:r>
      <w:r>
        <w:rPr>
          <w:color w:val="231F20"/>
          <w:spacing w:val="-6"/>
        </w:rPr>
        <w:t>26.5</w:t>
      </w:r>
      <w:r>
        <w:rPr>
          <w:color w:val="231F20"/>
          <w:spacing w:val="-6"/>
          <w:sz w:val="16"/>
        </w:rPr>
        <w:t xml:space="preserve">% </w:t>
      </w:r>
      <w:r>
        <w:rPr>
          <w:color w:val="231F20"/>
        </w:rPr>
        <w:t xml:space="preserve">in </w:t>
      </w:r>
      <w:r>
        <w:rPr>
          <w:color w:val="231F20"/>
          <w:spacing w:val="-6"/>
        </w:rPr>
        <w:t xml:space="preserve">1965; </w:t>
      </w:r>
      <w:r>
        <w:rPr>
          <w:color w:val="231F20"/>
        </w:rPr>
        <w:t xml:space="preserve">even with the recessions of the seventies, it </w:t>
      </w:r>
      <w:r>
        <w:rPr>
          <w:color w:val="231F20"/>
          <w:spacing w:val="-3"/>
        </w:rPr>
        <w:t xml:space="preserve">wasn’t </w:t>
      </w:r>
      <w:r>
        <w:rPr>
          <w:color w:val="231F20"/>
        </w:rPr>
        <w:t xml:space="preserve">until </w:t>
      </w:r>
      <w:r>
        <w:rPr>
          <w:color w:val="231F20"/>
          <w:spacing w:val="-5"/>
        </w:rPr>
        <w:t xml:space="preserve">1976 </w:t>
      </w:r>
      <w:r>
        <w:rPr>
          <w:color w:val="231F20"/>
        </w:rPr>
        <w:t>that it had fallen back to 20</w:t>
      </w:r>
      <w:r>
        <w:rPr>
          <w:color w:val="231F20"/>
          <w:sz w:val="16"/>
        </w:rPr>
        <w:t>%</w:t>
      </w:r>
      <w:r>
        <w:rPr>
          <w:color w:val="231F20"/>
        </w:rPr>
        <w:t xml:space="preserve">. </w:t>
      </w:r>
      <w:r>
        <w:rPr>
          <w:color w:val="231F20"/>
          <w:spacing w:val="1"/>
        </w:rPr>
        <w:t xml:space="preserve">In </w:t>
      </w:r>
      <w:r>
        <w:rPr>
          <w:color w:val="231F20"/>
          <w:spacing w:val="-3"/>
        </w:rPr>
        <w:t xml:space="preserve">1960,  </w:t>
      </w:r>
      <w:r>
        <w:rPr>
          <w:color w:val="231F20"/>
        </w:rPr>
        <w:t xml:space="preserve">when France was show ing a rate of investment of </w:t>
      </w:r>
      <w:r>
        <w:rPr>
          <w:color w:val="231F20"/>
          <w:spacing w:val="-6"/>
        </w:rPr>
        <w:t>17.4</w:t>
      </w:r>
      <w:r>
        <w:rPr>
          <w:color w:val="231F20"/>
          <w:spacing w:val="-6"/>
          <w:sz w:val="16"/>
        </w:rPr>
        <w:t xml:space="preserve">% </w:t>
      </w:r>
      <w:r>
        <w:rPr>
          <w:color w:val="231F20"/>
        </w:rPr>
        <w:t xml:space="preserve">and both Britain and the </w:t>
      </w:r>
      <w:r>
        <w:rPr>
          <w:color w:val="231F20"/>
          <w:spacing w:val="1"/>
        </w:rPr>
        <w:t xml:space="preserve">U.S. </w:t>
      </w:r>
      <w:r>
        <w:rPr>
          <w:color w:val="231F20"/>
        </w:rPr>
        <w:t xml:space="preserve">only registered </w:t>
      </w:r>
      <w:r>
        <w:rPr>
          <w:color w:val="231F20"/>
          <w:spacing w:val="-4"/>
        </w:rPr>
        <w:t>16</w:t>
      </w:r>
      <w:r>
        <w:rPr>
          <w:color w:val="231F20"/>
          <w:spacing w:val="-4"/>
          <w:sz w:val="16"/>
        </w:rPr>
        <w:t>%</w:t>
      </w:r>
      <w:r>
        <w:rPr>
          <w:color w:val="231F20"/>
          <w:spacing w:val="-4"/>
        </w:rPr>
        <w:t xml:space="preserve">, </w:t>
      </w:r>
      <w:r>
        <w:rPr>
          <w:color w:val="231F20"/>
          <w:spacing w:val="-3"/>
        </w:rPr>
        <w:t xml:space="preserve">West </w:t>
      </w:r>
      <w:r>
        <w:rPr>
          <w:color w:val="231F20"/>
        </w:rPr>
        <w:t>Germany was already showing an investment rate of</w:t>
      </w:r>
      <w:r>
        <w:rPr>
          <w:color w:val="231F20"/>
          <w:spacing w:val="10"/>
        </w:rPr>
        <w:t xml:space="preserve"> </w:t>
      </w:r>
      <w:r>
        <w:rPr>
          <w:color w:val="231F20"/>
        </w:rPr>
        <w:t>24</w:t>
      </w:r>
      <w:r>
        <w:rPr>
          <w:color w:val="231F20"/>
          <w:sz w:val="16"/>
        </w:rPr>
        <w:t>%</w:t>
      </w:r>
      <w:r>
        <w:rPr>
          <w:color w:val="231F20"/>
        </w:rPr>
        <w:t>.</w:t>
      </w:r>
      <w:r>
        <w:rPr>
          <w:color w:val="231F20"/>
          <w:position w:val="7"/>
          <w:sz w:val="11"/>
        </w:rPr>
        <w:t>7</w:t>
      </w:r>
    </w:p>
    <w:p w14:paraId="12615D7A" w14:textId="77777777" w:rsidR="002653E8" w:rsidRDefault="003115E3">
      <w:pPr>
        <w:pStyle w:val="a3"/>
        <w:spacing w:line="227" w:lineRule="exact"/>
        <w:ind w:left="1537"/>
      </w:pPr>
      <w:r>
        <w:rPr>
          <w:color w:val="231F20"/>
        </w:rPr>
        <w:t>As Werner Hülsberg notes:</w:t>
      </w:r>
    </w:p>
    <w:p w14:paraId="3C4BD429" w14:textId="77777777" w:rsidR="002653E8" w:rsidRDefault="003115E3">
      <w:pPr>
        <w:spacing w:before="131" w:line="276" w:lineRule="auto"/>
        <w:ind w:left="1747" w:right="1565"/>
        <w:jc w:val="both"/>
        <w:rPr>
          <w:i/>
          <w:sz w:val="19"/>
        </w:rPr>
      </w:pPr>
      <w:r>
        <w:rPr>
          <w:i/>
          <w:color w:val="231F20"/>
          <w:w w:val="105"/>
          <w:sz w:val="19"/>
        </w:rPr>
        <w:t>The ‘economic miracle’ merely indicated the existence of ideal conditions for the exploitation of wage labor and, as such, is somewhat of a cynical myth. The long-term upswing in the economy, however, did lead to a continuous rise in the living standards of the West German population. While net wages and</w:t>
      </w:r>
    </w:p>
    <w:p w14:paraId="4416F446" w14:textId="77777777" w:rsidR="002653E8" w:rsidRDefault="00000000">
      <w:pPr>
        <w:pStyle w:val="a3"/>
        <w:spacing w:before="2"/>
        <w:rPr>
          <w:i/>
          <w:sz w:val="19"/>
        </w:rPr>
      </w:pPr>
      <w:r>
        <w:rPr>
          <w:noProof w:val="0"/>
        </w:rPr>
        <w:pict w14:anchorId="6A111D2D">
          <v:line id="_x0000_s2723" style="position:absolute;z-index:1432;mso-wrap-distance-left:0;mso-wrap-distance-right:0;mso-position-horizontal-relative:page" from="66.4pt,13.45pt" to="138.4pt,13.45pt" strokecolor="#231f20" strokeweight=".5pt">
            <w10:wrap type="topAndBottom" anchorx="page"/>
          </v:line>
        </w:pict>
      </w:r>
    </w:p>
    <w:p w14:paraId="3FA5F0EE" w14:textId="77777777" w:rsidR="002653E8" w:rsidRDefault="003115E3">
      <w:pPr>
        <w:pStyle w:val="a4"/>
        <w:numPr>
          <w:ilvl w:val="0"/>
          <w:numId w:val="192"/>
        </w:numPr>
        <w:tabs>
          <w:tab w:val="left" w:pos="1467"/>
        </w:tabs>
        <w:spacing w:before="53" w:line="254" w:lineRule="auto"/>
        <w:ind w:left="1327" w:right="1220" w:firstLine="0"/>
        <w:jc w:val="left"/>
        <w:rPr>
          <w:sz w:val="16"/>
        </w:rPr>
      </w:pPr>
      <w:r>
        <w:rPr>
          <w:color w:val="231F20"/>
          <w:w w:val="105"/>
          <w:sz w:val="16"/>
        </w:rPr>
        <w:t xml:space="preserve">Werner Hülsberg, </w:t>
      </w:r>
      <w:r>
        <w:rPr>
          <w:i/>
          <w:color w:val="231F20"/>
          <w:w w:val="105"/>
          <w:sz w:val="16"/>
        </w:rPr>
        <w:t xml:space="preserve">The </w:t>
      </w:r>
      <w:r>
        <w:rPr>
          <w:i/>
          <w:color w:val="231F20"/>
          <w:spacing w:val="2"/>
          <w:w w:val="105"/>
          <w:sz w:val="16"/>
        </w:rPr>
        <w:t xml:space="preserve">German </w:t>
      </w:r>
      <w:r>
        <w:rPr>
          <w:i/>
          <w:color w:val="231F20"/>
          <w:spacing w:val="1"/>
          <w:w w:val="105"/>
          <w:sz w:val="16"/>
        </w:rPr>
        <w:t xml:space="preserve">Greens: </w:t>
      </w:r>
      <w:r>
        <w:rPr>
          <w:i/>
          <w:color w:val="231F20"/>
          <w:w w:val="105"/>
          <w:sz w:val="16"/>
        </w:rPr>
        <w:t xml:space="preserve">A  Social  </w:t>
      </w:r>
      <w:r>
        <w:rPr>
          <w:i/>
          <w:color w:val="231F20"/>
          <w:spacing w:val="1"/>
          <w:w w:val="105"/>
          <w:sz w:val="16"/>
        </w:rPr>
        <w:t xml:space="preserve">and </w:t>
      </w:r>
      <w:r>
        <w:rPr>
          <w:i/>
          <w:color w:val="231F20"/>
          <w:w w:val="105"/>
          <w:sz w:val="16"/>
        </w:rPr>
        <w:t xml:space="preserve">Political  Profile.  </w:t>
      </w:r>
      <w:r>
        <w:rPr>
          <w:color w:val="231F20"/>
          <w:w w:val="105"/>
          <w:sz w:val="16"/>
        </w:rPr>
        <w:t>Translated by Gus Fagan. (London: Verso,</w:t>
      </w:r>
      <w:r>
        <w:rPr>
          <w:color w:val="231F20"/>
          <w:spacing w:val="25"/>
          <w:w w:val="105"/>
          <w:sz w:val="16"/>
        </w:rPr>
        <w:t xml:space="preserve"> </w:t>
      </w:r>
      <w:r>
        <w:rPr>
          <w:color w:val="231F20"/>
          <w:spacing w:val="-3"/>
          <w:w w:val="105"/>
          <w:sz w:val="16"/>
        </w:rPr>
        <w:t xml:space="preserve">1988), </w:t>
      </w:r>
      <w:r>
        <w:rPr>
          <w:color w:val="231F20"/>
          <w:w w:val="105"/>
          <w:sz w:val="16"/>
        </w:rPr>
        <w:t>22.</w:t>
      </w:r>
    </w:p>
    <w:p w14:paraId="5C18A995" w14:textId="77777777" w:rsidR="002653E8" w:rsidRDefault="003115E3">
      <w:pPr>
        <w:pStyle w:val="a4"/>
        <w:numPr>
          <w:ilvl w:val="0"/>
          <w:numId w:val="192"/>
        </w:numPr>
        <w:tabs>
          <w:tab w:val="left" w:pos="1467"/>
        </w:tabs>
        <w:spacing w:line="254" w:lineRule="auto"/>
        <w:ind w:left="1327" w:right="1339" w:firstLine="0"/>
        <w:jc w:val="left"/>
        <w:rPr>
          <w:sz w:val="16"/>
        </w:rPr>
      </w:pPr>
      <w:r>
        <w:rPr>
          <w:color w:val="231F20"/>
          <w:w w:val="105"/>
          <w:sz w:val="16"/>
        </w:rPr>
        <w:t xml:space="preserve">Karl Heinz Roth, </w:t>
      </w:r>
      <w:r>
        <w:rPr>
          <w:i/>
          <w:color w:val="231F20"/>
          <w:spacing w:val="-3"/>
          <w:w w:val="105"/>
          <w:sz w:val="16"/>
        </w:rPr>
        <w:t xml:space="preserve">L’autre  </w:t>
      </w:r>
      <w:r>
        <w:rPr>
          <w:i/>
          <w:color w:val="231F20"/>
          <w:spacing w:val="1"/>
          <w:w w:val="105"/>
          <w:sz w:val="16"/>
        </w:rPr>
        <w:t xml:space="preserve">movement ouvrier en Allemagne </w:t>
      </w:r>
      <w:r>
        <w:rPr>
          <w:i/>
          <w:color w:val="231F20"/>
          <w:w w:val="105"/>
          <w:sz w:val="16"/>
        </w:rPr>
        <w:t xml:space="preserve">1945-78.  </w:t>
      </w:r>
      <w:r>
        <w:rPr>
          <w:color w:val="231F20"/>
          <w:w w:val="105"/>
          <w:sz w:val="16"/>
        </w:rPr>
        <w:t>Translated  by Serge Cosseron. (Paris: Christian Bourgois Editeur,</w:t>
      </w:r>
      <w:r>
        <w:rPr>
          <w:color w:val="231F20"/>
          <w:spacing w:val="10"/>
          <w:w w:val="105"/>
          <w:sz w:val="16"/>
        </w:rPr>
        <w:t xml:space="preserve"> </w:t>
      </w:r>
      <w:r>
        <w:rPr>
          <w:color w:val="231F20"/>
          <w:spacing w:val="-3"/>
          <w:w w:val="105"/>
          <w:sz w:val="16"/>
        </w:rPr>
        <w:t xml:space="preserve">1979), </w:t>
      </w:r>
      <w:r>
        <w:rPr>
          <w:color w:val="231F20"/>
          <w:w w:val="105"/>
          <w:sz w:val="16"/>
        </w:rPr>
        <w:t>50.</w:t>
      </w:r>
    </w:p>
    <w:p w14:paraId="392EB224" w14:textId="77777777" w:rsidR="002653E8" w:rsidRDefault="003115E3">
      <w:pPr>
        <w:pStyle w:val="a4"/>
        <w:numPr>
          <w:ilvl w:val="0"/>
          <w:numId w:val="192"/>
        </w:numPr>
        <w:tabs>
          <w:tab w:val="left" w:pos="1467"/>
        </w:tabs>
        <w:spacing w:before="40"/>
        <w:ind w:left="1466"/>
        <w:jc w:val="left"/>
        <w:rPr>
          <w:sz w:val="16"/>
        </w:rPr>
      </w:pPr>
      <w:r>
        <w:rPr>
          <w:color w:val="231F20"/>
          <w:w w:val="110"/>
          <w:sz w:val="16"/>
        </w:rPr>
        <w:t>Hülsberg,</w:t>
      </w:r>
      <w:r>
        <w:rPr>
          <w:color w:val="231F20"/>
          <w:spacing w:val="6"/>
          <w:w w:val="110"/>
          <w:sz w:val="16"/>
        </w:rPr>
        <w:t xml:space="preserve"> </w:t>
      </w:r>
      <w:r>
        <w:rPr>
          <w:color w:val="231F20"/>
          <w:w w:val="110"/>
          <w:sz w:val="16"/>
        </w:rPr>
        <w:t>22-3.</w:t>
      </w:r>
    </w:p>
    <w:p w14:paraId="4F74CFF7" w14:textId="77777777" w:rsidR="002653E8" w:rsidRDefault="003115E3">
      <w:pPr>
        <w:spacing w:before="52"/>
        <w:ind w:left="1328"/>
        <w:rPr>
          <w:sz w:val="16"/>
        </w:rPr>
      </w:pPr>
      <w:r>
        <w:rPr>
          <w:color w:val="231F20"/>
          <w:w w:val="115"/>
          <w:sz w:val="16"/>
        </w:rPr>
        <w:t>7 Ibid., 23.</w:t>
      </w:r>
    </w:p>
    <w:p w14:paraId="4F5B1C1C" w14:textId="77777777" w:rsidR="002653E8" w:rsidRDefault="002653E8">
      <w:pPr>
        <w:rPr>
          <w:sz w:val="16"/>
        </w:rPr>
        <w:sectPr w:rsidR="002653E8">
          <w:pgSz w:w="8640" w:h="12960"/>
          <w:pgMar w:top="1040" w:right="0" w:bottom="1040" w:left="0" w:header="0" w:footer="850" w:gutter="0"/>
          <w:cols w:space="720"/>
        </w:sectPr>
      </w:pPr>
    </w:p>
    <w:p w14:paraId="75522ECB" w14:textId="77777777" w:rsidR="002653E8" w:rsidRDefault="003115E3">
      <w:pPr>
        <w:spacing w:before="75" w:line="273" w:lineRule="auto"/>
        <w:ind w:left="1567" w:right="1739"/>
        <w:jc w:val="both"/>
        <w:rPr>
          <w:i/>
          <w:sz w:val="11"/>
        </w:rPr>
      </w:pPr>
      <w:r>
        <w:rPr>
          <w:i/>
          <w:color w:val="231F20"/>
          <w:sz w:val="19"/>
        </w:rPr>
        <w:lastRenderedPageBreak/>
        <w:t xml:space="preserve">salaries during the period </w:t>
      </w:r>
      <w:r>
        <w:rPr>
          <w:rFonts w:ascii="Bookman Old Style"/>
          <w:i/>
          <w:color w:val="231F20"/>
          <w:sz w:val="19"/>
        </w:rPr>
        <w:t xml:space="preserve">1950 </w:t>
      </w:r>
      <w:r>
        <w:rPr>
          <w:i/>
          <w:color w:val="231F20"/>
          <w:sz w:val="19"/>
        </w:rPr>
        <w:t xml:space="preserve">to </w:t>
      </w:r>
      <w:r>
        <w:rPr>
          <w:rFonts w:ascii="Bookman Old Style"/>
          <w:i/>
          <w:color w:val="231F20"/>
          <w:sz w:val="19"/>
        </w:rPr>
        <w:t xml:space="preserve">1962 </w:t>
      </w:r>
      <w:r>
        <w:rPr>
          <w:i/>
          <w:color w:val="231F20"/>
          <w:sz w:val="19"/>
        </w:rPr>
        <w:t xml:space="preserve">grew by </w:t>
      </w:r>
      <w:r>
        <w:rPr>
          <w:rFonts w:ascii="Bookman Old Style"/>
          <w:i/>
          <w:color w:val="231F20"/>
          <w:sz w:val="19"/>
        </w:rPr>
        <w:t xml:space="preserve">143 </w:t>
      </w:r>
      <w:r>
        <w:rPr>
          <w:i/>
          <w:color w:val="231F20"/>
          <w:sz w:val="19"/>
        </w:rPr>
        <w:t xml:space="preserve">per cent, the income of independent entrepreneurs during the same period grew by </w:t>
      </w:r>
      <w:r>
        <w:rPr>
          <w:rFonts w:ascii="Bookman Old Style"/>
          <w:i/>
          <w:color w:val="231F20"/>
          <w:sz w:val="19"/>
        </w:rPr>
        <w:t xml:space="preserve">236 </w:t>
      </w:r>
      <w:r>
        <w:rPr>
          <w:i/>
          <w:color w:val="231F20"/>
          <w:sz w:val="19"/>
        </w:rPr>
        <w:t>per cent.</w:t>
      </w:r>
      <w:r>
        <w:rPr>
          <w:i/>
          <w:color w:val="231F20"/>
          <w:position w:val="6"/>
          <w:sz w:val="11"/>
        </w:rPr>
        <w:t>1</w:t>
      </w:r>
    </w:p>
    <w:p w14:paraId="6CDA0CAB" w14:textId="77777777" w:rsidR="002653E8" w:rsidRDefault="002653E8">
      <w:pPr>
        <w:pStyle w:val="a3"/>
        <w:spacing w:before="7"/>
        <w:rPr>
          <w:i/>
          <w:sz w:val="21"/>
        </w:rPr>
      </w:pPr>
    </w:p>
    <w:p w14:paraId="0424DDC2" w14:textId="77777777" w:rsidR="002653E8" w:rsidRDefault="003115E3">
      <w:pPr>
        <w:pStyle w:val="a3"/>
        <w:spacing w:line="264" w:lineRule="auto"/>
        <w:ind w:left="1147" w:right="1326"/>
        <w:jc w:val="both"/>
      </w:pPr>
      <w:r>
        <w:rPr>
          <w:color w:val="231F20"/>
        </w:rPr>
        <w:t>This boom was also based on real divisions in the working class, with German men in their prime being lifted into higher status and better paying jobs than the “pariah layers” which included young and older German men, but were fundamentally built around immigrant and female labor.</w:t>
      </w:r>
    </w:p>
    <w:p w14:paraId="155C02AB" w14:textId="77777777" w:rsidR="002653E8" w:rsidRDefault="003115E3">
      <w:pPr>
        <w:pStyle w:val="a3"/>
        <w:spacing w:line="264" w:lineRule="auto"/>
        <w:ind w:left="1147" w:right="1325" w:firstLine="210"/>
        <w:jc w:val="both"/>
        <w:rPr>
          <w:sz w:val="11"/>
        </w:rPr>
      </w:pPr>
      <w:r>
        <w:rPr>
          <w:color w:val="231F20"/>
          <w:spacing w:val="1"/>
        </w:rPr>
        <w:t xml:space="preserve">In </w:t>
      </w:r>
      <w:r>
        <w:rPr>
          <w:color w:val="231F20"/>
        </w:rPr>
        <w:t>the immediate aftermath of German defeat, working class women had borne the brunt of reconstruction unpaid and off the books, but absolutely</w:t>
      </w:r>
      <w:r>
        <w:rPr>
          <w:color w:val="231F20"/>
          <w:spacing w:val="-10"/>
        </w:rPr>
        <w:t xml:space="preserve"> </w:t>
      </w:r>
      <w:r>
        <w:rPr>
          <w:color w:val="231F20"/>
        </w:rPr>
        <w:t>necessary</w:t>
      </w:r>
      <w:r>
        <w:rPr>
          <w:color w:val="231F20"/>
          <w:spacing w:val="-10"/>
        </w:rPr>
        <w:t xml:space="preserve"> </w:t>
      </w:r>
      <w:r>
        <w:rPr>
          <w:color w:val="231F20"/>
        </w:rPr>
        <w:t>for</w:t>
      </w:r>
      <w:r>
        <w:rPr>
          <w:color w:val="231F20"/>
          <w:spacing w:val="-10"/>
        </w:rPr>
        <w:t xml:space="preserve"> </w:t>
      </w:r>
      <w:r>
        <w:rPr>
          <w:color w:val="231F20"/>
        </w:rPr>
        <w:t>survival,</w:t>
      </w:r>
      <w:r>
        <w:rPr>
          <w:color w:val="231F20"/>
          <w:spacing w:val="-10"/>
        </w:rPr>
        <w:t xml:space="preserve"> </w:t>
      </w:r>
      <w:r>
        <w:rPr>
          <w:color w:val="231F20"/>
        </w:rPr>
        <w:t>to</w:t>
      </w:r>
      <w:r>
        <w:rPr>
          <w:color w:val="231F20"/>
          <w:spacing w:val="-10"/>
        </w:rPr>
        <w:t xml:space="preserve"> </w:t>
      </w:r>
      <w:r>
        <w:rPr>
          <w:color w:val="231F20"/>
        </w:rPr>
        <w:t>the</w:t>
      </w:r>
      <w:r>
        <w:rPr>
          <w:color w:val="231F20"/>
          <w:spacing w:val="-10"/>
        </w:rPr>
        <w:t xml:space="preserve"> </w:t>
      </w:r>
      <w:r>
        <w:rPr>
          <w:color w:val="231F20"/>
        </w:rPr>
        <w:t>point</w:t>
      </w:r>
      <w:r>
        <w:rPr>
          <w:color w:val="231F20"/>
          <w:spacing w:val="-10"/>
        </w:rPr>
        <w:t xml:space="preserve"> </w:t>
      </w:r>
      <w:r>
        <w:rPr>
          <w:color w:val="231F20"/>
        </w:rPr>
        <w:t>that</w:t>
      </w:r>
      <w:r>
        <w:rPr>
          <w:color w:val="231F20"/>
          <w:spacing w:val="-10"/>
        </w:rPr>
        <w:t xml:space="preserve"> </w:t>
      </w:r>
      <w:r>
        <w:rPr>
          <w:color w:val="231F20"/>
        </w:rPr>
        <w:t>the</w:t>
      </w:r>
      <w:r>
        <w:rPr>
          <w:color w:val="231F20"/>
          <w:spacing w:val="-10"/>
        </w:rPr>
        <w:t xml:space="preserve"> </w:t>
      </w:r>
      <w:r>
        <w:rPr>
          <w:color w:val="231F20"/>
        </w:rPr>
        <w:t>term</w:t>
      </w:r>
      <w:r>
        <w:rPr>
          <w:color w:val="231F20"/>
          <w:spacing w:val="-9"/>
        </w:rPr>
        <w:t xml:space="preserve"> </w:t>
      </w:r>
      <w:r>
        <w:rPr>
          <w:i/>
          <w:color w:val="231F20"/>
        </w:rPr>
        <w:t xml:space="preserve">Trümmerfrauen </w:t>
      </w:r>
      <w:r>
        <w:rPr>
          <w:color w:val="231F20"/>
        </w:rPr>
        <w:t xml:space="preserve">(“women of the rubble”) was coined for those who hauled </w:t>
      </w:r>
      <w:r>
        <w:rPr>
          <w:color w:val="231F20"/>
          <w:spacing w:val="-3"/>
        </w:rPr>
        <w:t xml:space="preserve">away </w:t>
      </w:r>
      <w:r>
        <w:rPr>
          <w:color w:val="231F20"/>
        </w:rPr>
        <w:t xml:space="preserve">the debris of bombed out buildings with their bare hands. At the same time,   in October </w:t>
      </w:r>
      <w:r>
        <w:rPr>
          <w:color w:val="231F20"/>
          <w:spacing w:val="-7"/>
        </w:rPr>
        <w:t xml:space="preserve">1945,  </w:t>
      </w:r>
      <w:r>
        <w:rPr>
          <w:color w:val="231F20"/>
        </w:rPr>
        <w:t xml:space="preserve">the Allied Control Council had declared it a duty of     all women between the ages of fifteen and </w:t>
      </w:r>
      <w:r>
        <w:rPr>
          <w:color w:val="231F20"/>
          <w:spacing w:val="2"/>
        </w:rPr>
        <w:t xml:space="preserve">fifty </w:t>
      </w:r>
      <w:r>
        <w:rPr>
          <w:color w:val="231F20"/>
        </w:rPr>
        <w:t xml:space="preserve">to also work in the official economy: the female labor force, which had already earned only 86 cents to the male dollar under the Nazis, now saw its relative wages dropping, until in the </w:t>
      </w:r>
      <w:r>
        <w:rPr>
          <w:color w:val="231F20"/>
          <w:spacing w:val="-5"/>
        </w:rPr>
        <w:t xml:space="preserve">1950s </w:t>
      </w:r>
      <w:r>
        <w:rPr>
          <w:color w:val="231F20"/>
        </w:rPr>
        <w:t xml:space="preserve">and 60s </w:t>
      </w:r>
      <w:r>
        <w:rPr>
          <w:color w:val="231F20"/>
          <w:spacing w:val="-3"/>
        </w:rPr>
        <w:t xml:space="preserve">women’s </w:t>
      </w:r>
      <w:r>
        <w:rPr>
          <w:color w:val="231F20"/>
        </w:rPr>
        <w:t>wages were on average just</w:t>
      </w:r>
      <w:r>
        <w:rPr>
          <w:color w:val="231F20"/>
          <w:spacing w:val="10"/>
        </w:rPr>
        <w:t xml:space="preserve"> </w:t>
      </w:r>
      <w:r>
        <w:rPr>
          <w:color w:val="231F20"/>
        </w:rPr>
        <w:t>60</w:t>
      </w:r>
      <w:r>
        <w:rPr>
          <w:color w:val="231F20"/>
          <w:sz w:val="16"/>
        </w:rPr>
        <w:t>%</w:t>
      </w:r>
      <w:r>
        <w:rPr>
          <w:color w:val="231F20"/>
          <w:spacing w:val="8"/>
          <w:sz w:val="16"/>
        </w:rPr>
        <w:t xml:space="preserve"> </w:t>
      </w:r>
      <w:r>
        <w:rPr>
          <w:color w:val="231F20"/>
        </w:rPr>
        <w:t>of</w:t>
      </w:r>
      <w:r>
        <w:rPr>
          <w:color w:val="231F20"/>
          <w:spacing w:val="10"/>
        </w:rPr>
        <w:t xml:space="preserve"> </w:t>
      </w:r>
      <w:r>
        <w:rPr>
          <w:color w:val="231F20"/>
        </w:rPr>
        <w:t>those</w:t>
      </w:r>
      <w:r>
        <w:rPr>
          <w:color w:val="231F20"/>
          <w:spacing w:val="10"/>
        </w:rPr>
        <w:t xml:space="preserve"> </w:t>
      </w:r>
      <w:r>
        <w:rPr>
          <w:color w:val="231F20"/>
        </w:rPr>
        <w:t>of</w:t>
      </w:r>
      <w:r>
        <w:rPr>
          <w:color w:val="231F20"/>
          <w:spacing w:val="10"/>
        </w:rPr>
        <w:t xml:space="preserve"> </w:t>
      </w:r>
      <w:r>
        <w:rPr>
          <w:color w:val="231F20"/>
        </w:rPr>
        <w:t>their</w:t>
      </w:r>
      <w:r>
        <w:rPr>
          <w:color w:val="231F20"/>
          <w:spacing w:val="10"/>
        </w:rPr>
        <w:t xml:space="preserve"> </w:t>
      </w:r>
      <w:r>
        <w:rPr>
          <w:color w:val="231F20"/>
        </w:rPr>
        <w:t>menfolk.</w:t>
      </w:r>
      <w:r>
        <w:rPr>
          <w:color w:val="231F20"/>
          <w:position w:val="7"/>
          <w:sz w:val="11"/>
        </w:rPr>
        <w:t>2</w:t>
      </w:r>
    </w:p>
    <w:p w14:paraId="05DF0D87" w14:textId="77777777" w:rsidR="002653E8" w:rsidRDefault="003115E3">
      <w:pPr>
        <w:pStyle w:val="a3"/>
        <w:spacing w:line="264" w:lineRule="auto"/>
        <w:ind w:left="1147" w:right="1326" w:firstLine="210"/>
        <w:jc w:val="both"/>
      </w:pPr>
      <w:r>
        <w:rPr>
          <w:color w:val="231F20"/>
        </w:rPr>
        <w:t>Throughout the 1950s, seven million refugees and displaced persons, many of whom were highly skilled, streamed into the country from the East. The German industries which had been structured around the use of forced labor during the Nazi period soon found they could fill this same niche with immigrant labor.</w:t>
      </w:r>
    </w:p>
    <w:p w14:paraId="59169862" w14:textId="77777777" w:rsidR="002653E8" w:rsidRDefault="003115E3">
      <w:pPr>
        <w:pStyle w:val="a3"/>
        <w:spacing w:line="264" w:lineRule="auto"/>
        <w:ind w:left="1147" w:right="1326" w:firstLine="210"/>
        <w:jc w:val="both"/>
      </w:pPr>
      <w:r>
        <w:rPr>
          <w:color w:val="231F20"/>
        </w:rPr>
        <w:t xml:space="preserve">As New </w:t>
      </w:r>
      <w:r>
        <w:rPr>
          <w:color w:val="231F20"/>
          <w:spacing w:val="1"/>
        </w:rPr>
        <w:t xml:space="preserve">Left </w:t>
      </w:r>
      <w:r>
        <w:rPr>
          <w:color w:val="231F20"/>
        </w:rPr>
        <w:t xml:space="preserve">historian Karl Heinz Roth  has  remarked,  from  the  point of view of big business, “this exceptionally mobile subproletariat compensated completely for the loss of the slaves condemned to forced labor in the Nazi </w:t>
      </w:r>
      <w:r>
        <w:rPr>
          <w:color w:val="231F20"/>
          <w:spacing w:val="-4"/>
        </w:rPr>
        <w:t>era.”</w:t>
      </w:r>
      <w:r>
        <w:rPr>
          <w:color w:val="231F20"/>
          <w:spacing w:val="-4"/>
          <w:position w:val="7"/>
          <w:sz w:val="11"/>
        </w:rPr>
        <w:t xml:space="preserve">3 </w:t>
      </w:r>
      <w:r>
        <w:rPr>
          <w:color w:val="231F20"/>
          <w:spacing w:val="-3"/>
        </w:rPr>
        <w:t xml:space="preserve">yet, </w:t>
      </w:r>
      <w:r>
        <w:rPr>
          <w:color w:val="231F20"/>
        </w:rPr>
        <w:t>with a crucial difference: unlike the slave labourers, who were literally worked to death under Nazism,  these  new immigrants were to be highly favored. They were overwhelmingly loyal and politically reliable in the eyes of the ruling class, seeing as  they came from the “Communist East” where more than a few of them had lost real privileges as ethnic Germans when the Nazi occupation came to an end. Indeed, these expellees and refugees from the East, exploited as they were, were naturally drawn towards the most</w:t>
      </w:r>
      <w:r>
        <w:rPr>
          <w:color w:val="231F20"/>
          <w:spacing w:val="10"/>
        </w:rPr>
        <w:t xml:space="preserve"> </w:t>
      </w:r>
      <w:r>
        <w:rPr>
          <w:color w:val="231F20"/>
        </w:rPr>
        <w:t>virulent</w:t>
      </w:r>
    </w:p>
    <w:p w14:paraId="52E0C51C" w14:textId="77777777" w:rsidR="002653E8" w:rsidRDefault="00000000">
      <w:pPr>
        <w:pStyle w:val="a3"/>
        <w:spacing w:before="7"/>
        <w:rPr>
          <w:sz w:val="15"/>
        </w:rPr>
      </w:pPr>
      <w:r>
        <w:rPr>
          <w:noProof w:val="0"/>
        </w:rPr>
        <w:pict w14:anchorId="2D993EC9">
          <v:line id="_x0000_s2722" style="position:absolute;z-index:1456;mso-wrap-distance-left:0;mso-wrap-distance-right:0;mso-position-horizontal-relative:page" from="57.4pt,11.35pt" to="129.4pt,11.35pt" strokecolor="#231f20" strokeweight=".5pt">
            <w10:wrap type="topAndBottom" anchorx="page"/>
          </v:line>
        </w:pict>
      </w:r>
    </w:p>
    <w:p w14:paraId="13F6B763" w14:textId="77777777" w:rsidR="002653E8" w:rsidRDefault="003115E3">
      <w:pPr>
        <w:spacing w:before="53"/>
        <w:ind w:left="1147"/>
        <w:rPr>
          <w:sz w:val="16"/>
        </w:rPr>
      </w:pPr>
      <w:r>
        <w:rPr>
          <w:color w:val="231F20"/>
          <w:w w:val="115"/>
          <w:sz w:val="16"/>
        </w:rPr>
        <w:t>1 Ibid., 24.</w:t>
      </w:r>
    </w:p>
    <w:p w14:paraId="7AE6203C" w14:textId="77777777" w:rsidR="002653E8" w:rsidRDefault="003115E3">
      <w:pPr>
        <w:spacing w:before="51"/>
        <w:ind w:left="1148"/>
        <w:rPr>
          <w:sz w:val="16"/>
        </w:rPr>
      </w:pPr>
      <w:r>
        <w:rPr>
          <w:color w:val="231F20"/>
          <w:w w:val="115"/>
          <w:sz w:val="16"/>
        </w:rPr>
        <w:t>2 Ibid., 22.</w:t>
      </w:r>
    </w:p>
    <w:p w14:paraId="696FA4BE" w14:textId="77777777" w:rsidR="002653E8" w:rsidRDefault="003115E3">
      <w:pPr>
        <w:spacing w:before="52"/>
        <w:ind w:left="1148"/>
        <w:rPr>
          <w:sz w:val="16"/>
        </w:rPr>
      </w:pPr>
      <w:r>
        <w:rPr>
          <w:color w:val="231F20"/>
          <w:w w:val="115"/>
          <w:sz w:val="16"/>
        </w:rPr>
        <w:t>3 Roth, 47.</w:t>
      </w:r>
    </w:p>
    <w:p w14:paraId="7B0FEC1B" w14:textId="77777777" w:rsidR="002653E8" w:rsidRDefault="002653E8">
      <w:pPr>
        <w:rPr>
          <w:sz w:val="16"/>
        </w:rPr>
        <w:sectPr w:rsidR="002653E8">
          <w:pgSz w:w="8640" w:h="12960"/>
          <w:pgMar w:top="1080" w:right="0" w:bottom="1040" w:left="0" w:header="0" w:footer="850" w:gutter="0"/>
          <w:cols w:space="720"/>
        </w:sectPr>
      </w:pPr>
    </w:p>
    <w:p w14:paraId="2CE1B4E8" w14:textId="77777777" w:rsidR="002653E8" w:rsidRDefault="003115E3">
      <w:pPr>
        <w:pStyle w:val="a3"/>
        <w:spacing w:before="86" w:line="264" w:lineRule="auto"/>
        <w:ind w:left="1327" w:right="1145"/>
        <w:rPr>
          <w:sz w:val="11"/>
        </w:rPr>
      </w:pPr>
      <w:r>
        <w:rPr>
          <w:color w:val="231F20"/>
        </w:rPr>
        <w:lastRenderedPageBreak/>
        <w:t>anticommunism, and catalyzed shopfloor and grassroots resistance to the left within the working class.</w:t>
      </w:r>
      <w:r>
        <w:rPr>
          <w:color w:val="231F20"/>
          <w:position w:val="7"/>
          <w:sz w:val="11"/>
        </w:rPr>
        <w:t>4</w:t>
      </w:r>
    </w:p>
    <w:p w14:paraId="69E5EDBD" w14:textId="77777777" w:rsidR="002653E8" w:rsidRDefault="003115E3">
      <w:pPr>
        <w:pStyle w:val="a3"/>
        <w:spacing w:line="264" w:lineRule="auto"/>
        <w:ind w:left="1327" w:right="1145" w:firstLine="210"/>
        <w:jc w:val="both"/>
      </w:pPr>
      <w:r>
        <w:rPr>
          <w:color w:val="231F20"/>
        </w:rPr>
        <w:t>Following this initial wave of cheap labor, which was regimented by its own political sympathies, came guest workers, many of whom were politically active on the left, and who were thus subjected to greater external regimentation and control. As the source of this labor switched from the East to southern Europe, these workers would be politically screened before entry, and targeted with deportation if identified as “troublemakers.”</w:t>
      </w:r>
    </w:p>
    <w:p w14:paraId="34DE541C" w14:textId="77777777" w:rsidR="002653E8" w:rsidRDefault="003115E3">
      <w:pPr>
        <w:pStyle w:val="a3"/>
        <w:spacing w:line="264" w:lineRule="auto"/>
        <w:ind w:left="1327" w:right="1146" w:firstLine="210"/>
        <w:jc w:val="both"/>
      </w:pPr>
      <w:r>
        <w:rPr>
          <w:color w:val="231F20"/>
        </w:rPr>
        <w:t>So, at the same time as the German working class was highly exploited, it was also deeply divided. An inevitable consequence of this was that its more privileged layers would develop a different political orientation from the more oppressed.</w:t>
      </w:r>
    </w:p>
    <w:p w14:paraId="504D97F4" w14:textId="77777777" w:rsidR="002653E8" w:rsidRDefault="003115E3">
      <w:pPr>
        <w:pStyle w:val="a3"/>
        <w:spacing w:line="230" w:lineRule="exact"/>
        <w:ind w:left="1537"/>
      </w:pPr>
      <w:r>
        <w:rPr>
          <w:color w:val="231F20"/>
        </w:rPr>
        <w:t>To quote Hülsberg once again:</w:t>
      </w:r>
    </w:p>
    <w:p w14:paraId="4BCB470E" w14:textId="77777777" w:rsidR="002653E8" w:rsidRDefault="003115E3">
      <w:pPr>
        <w:spacing w:before="142" w:line="276" w:lineRule="auto"/>
        <w:ind w:left="1747" w:right="1565"/>
        <w:jc w:val="both"/>
        <w:rPr>
          <w:i/>
          <w:sz w:val="11"/>
        </w:rPr>
      </w:pPr>
      <w:r>
        <w:rPr>
          <w:i/>
          <w:color w:val="231F20"/>
          <w:sz w:val="19"/>
        </w:rPr>
        <w:t xml:space="preserve">It is against this background that  we  must  see  the  tragedy  of  the integration of the </w:t>
      </w:r>
      <w:r>
        <w:rPr>
          <w:i/>
          <w:color w:val="231F20"/>
          <w:spacing w:val="-3"/>
          <w:sz w:val="19"/>
        </w:rPr>
        <w:t xml:space="preserve">West </w:t>
      </w:r>
      <w:r>
        <w:rPr>
          <w:i/>
          <w:color w:val="231F20"/>
          <w:sz w:val="19"/>
        </w:rPr>
        <w:t xml:space="preserve">German working class into  the capitalist system and the loss of political strength. Class struggle was replaced by the </w:t>
      </w:r>
      <w:r>
        <w:rPr>
          <w:i/>
          <w:color w:val="231F20"/>
          <w:spacing w:val="-3"/>
          <w:sz w:val="19"/>
        </w:rPr>
        <w:t xml:space="preserve">“American way </w:t>
      </w:r>
      <w:r>
        <w:rPr>
          <w:i/>
          <w:color w:val="231F20"/>
          <w:sz w:val="19"/>
        </w:rPr>
        <w:t xml:space="preserve">of life”. Even the king of rock’n’roll, Elvis </w:t>
      </w:r>
      <w:r>
        <w:rPr>
          <w:i/>
          <w:color w:val="231F20"/>
          <w:spacing w:val="-3"/>
          <w:sz w:val="19"/>
        </w:rPr>
        <w:t xml:space="preserve">Presley, </w:t>
      </w:r>
      <w:r>
        <w:rPr>
          <w:i/>
          <w:color w:val="231F20"/>
          <w:sz w:val="19"/>
        </w:rPr>
        <w:t>paid tribute to it while on his tour of military duty in Germany… For the German petit-bourgeois soul this was the purest balm.</w:t>
      </w:r>
      <w:r>
        <w:rPr>
          <w:i/>
          <w:color w:val="231F20"/>
          <w:position w:val="6"/>
          <w:sz w:val="11"/>
        </w:rPr>
        <w:t>5</w:t>
      </w:r>
    </w:p>
    <w:p w14:paraId="5071AEA4" w14:textId="77777777" w:rsidR="002653E8" w:rsidRDefault="003115E3">
      <w:pPr>
        <w:pStyle w:val="a3"/>
        <w:rPr>
          <w:i/>
          <w:sz w:val="11"/>
        </w:rPr>
      </w:pPr>
      <w:r>
        <w:drawing>
          <wp:anchor distT="0" distB="0" distL="0" distR="0" simplePos="0" relativeHeight="1480" behindDoc="0" locked="0" layoutInCell="1" allowOverlap="1" wp14:anchorId="6B0A6D06" wp14:editId="0A056E60">
            <wp:simplePos x="0" y="0"/>
            <wp:positionH relativeFrom="page">
              <wp:posOffset>1372349</wp:posOffset>
            </wp:positionH>
            <wp:positionV relativeFrom="paragraph">
              <wp:posOffset>106873</wp:posOffset>
            </wp:positionV>
            <wp:extent cx="2845803" cy="204939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9" cstate="print"/>
                    <a:stretch>
                      <a:fillRect/>
                    </a:stretch>
                  </pic:blipFill>
                  <pic:spPr>
                    <a:xfrm>
                      <a:off x="0" y="0"/>
                      <a:ext cx="2845803" cy="2049399"/>
                    </a:xfrm>
                    <a:prstGeom prst="rect">
                      <a:avLst/>
                    </a:prstGeom>
                  </pic:spPr>
                </pic:pic>
              </a:graphicData>
            </a:graphic>
          </wp:anchor>
        </w:drawing>
      </w:r>
    </w:p>
    <w:p w14:paraId="34459927" w14:textId="77777777" w:rsidR="002653E8" w:rsidRDefault="003115E3">
      <w:pPr>
        <w:spacing w:before="27" w:after="127" w:line="244" w:lineRule="auto"/>
        <w:ind w:left="2386" w:right="2205"/>
        <w:jc w:val="center"/>
        <w:rPr>
          <w:i/>
          <w:sz w:val="18"/>
        </w:rPr>
      </w:pPr>
      <w:r>
        <w:rPr>
          <w:i/>
          <w:color w:val="231F20"/>
          <w:sz w:val="18"/>
        </w:rPr>
        <w:t xml:space="preserve">Greek  workers  in  a  West  </w:t>
      </w:r>
      <w:r>
        <w:rPr>
          <w:i/>
          <w:color w:val="231F20"/>
          <w:spacing w:val="2"/>
          <w:sz w:val="18"/>
        </w:rPr>
        <w:t xml:space="preserve">German  </w:t>
      </w:r>
      <w:r>
        <w:rPr>
          <w:i/>
          <w:color w:val="231F20"/>
          <w:sz w:val="18"/>
        </w:rPr>
        <w:t xml:space="preserve">bottling  factory: by the </w:t>
      </w:r>
      <w:r>
        <w:rPr>
          <w:i/>
          <w:color w:val="231F20"/>
          <w:spacing w:val="2"/>
          <w:sz w:val="18"/>
        </w:rPr>
        <w:t xml:space="preserve">end </w:t>
      </w:r>
      <w:r>
        <w:rPr>
          <w:i/>
          <w:color w:val="231F20"/>
          <w:sz w:val="18"/>
        </w:rPr>
        <w:t>of the 1960s, women constituted almost a third</w:t>
      </w:r>
      <w:r>
        <w:rPr>
          <w:i/>
          <w:color w:val="231F20"/>
          <w:spacing w:val="26"/>
          <w:sz w:val="18"/>
        </w:rPr>
        <w:t xml:space="preserve"> </w:t>
      </w:r>
      <w:r>
        <w:rPr>
          <w:i/>
          <w:color w:val="231F20"/>
          <w:sz w:val="18"/>
        </w:rPr>
        <w:t>of</w:t>
      </w:r>
      <w:r>
        <w:rPr>
          <w:i/>
          <w:color w:val="231F20"/>
          <w:spacing w:val="26"/>
          <w:sz w:val="18"/>
        </w:rPr>
        <w:t xml:space="preserve"> </w:t>
      </w:r>
      <w:r>
        <w:rPr>
          <w:i/>
          <w:color w:val="231F20"/>
          <w:sz w:val="18"/>
        </w:rPr>
        <w:t>all</w:t>
      </w:r>
      <w:r>
        <w:rPr>
          <w:i/>
          <w:color w:val="231F20"/>
          <w:spacing w:val="26"/>
          <w:sz w:val="18"/>
        </w:rPr>
        <w:t xml:space="preserve"> </w:t>
      </w:r>
      <w:r>
        <w:rPr>
          <w:i/>
          <w:color w:val="231F20"/>
          <w:sz w:val="18"/>
        </w:rPr>
        <w:t>“guest</w:t>
      </w:r>
      <w:r>
        <w:rPr>
          <w:i/>
          <w:color w:val="231F20"/>
          <w:spacing w:val="26"/>
          <w:sz w:val="18"/>
        </w:rPr>
        <w:t xml:space="preserve"> </w:t>
      </w:r>
      <w:r>
        <w:rPr>
          <w:i/>
          <w:color w:val="231F20"/>
          <w:sz w:val="18"/>
        </w:rPr>
        <w:t>workers”</w:t>
      </w:r>
      <w:r>
        <w:rPr>
          <w:i/>
          <w:color w:val="231F20"/>
          <w:spacing w:val="26"/>
          <w:sz w:val="18"/>
        </w:rPr>
        <w:t xml:space="preserve"> </w:t>
      </w:r>
      <w:r>
        <w:rPr>
          <w:i/>
          <w:color w:val="231F20"/>
          <w:sz w:val="18"/>
        </w:rPr>
        <w:t>in</w:t>
      </w:r>
      <w:r>
        <w:rPr>
          <w:i/>
          <w:color w:val="231F20"/>
          <w:spacing w:val="26"/>
          <w:sz w:val="18"/>
        </w:rPr>
        <w:t xml:space="preserve"> </w:t>
      </w:r>
      <w:r>
        <w:rPr>
          <w:i/>
          <w:color w:val="231F20"/>
          <w:sz w:val="18"/>
        </w:rPr>
        <w:t>West</w:t>
      </w:r>
      <w:r>
        <w:rPr>
          <w:i/>
          <w:color w:val="231F20"/>
          <w:spacing w:val="26"/>
          <w:sz w:val="18"/>
        </w:rPr>
        <w:t xml:space="preserve"> </w:t>
      </w:r>
      <w:r>
        <w:rPr>
          <w:i/>
          <w:color w:val="231F20"/>
          <w:spacing w:val="1"/>
          <w:sz w:val="18"/>
        </w:rPr>
        <w:t>Germany.</w:t>
      </w:r>
    </w:p>
    <w:p w14:paraId="6D114342" w14:textId="77777777" w:rsidR="002653E8" w:rsidRDefault="00000000">
      <w:pPr>
        <w:pStyle w:val="a3"/>
        <w:spacing w:line="20" w:lineRule="exact"/>
        <w:ind w:left="1322"/>
        <w:rPr>
          <w:sz w:val="2"/>
        </w:rPr>
      </w:pPr>
      <w:r>
        <w:rPr>
          <w:sz w:val="2"/>
        </w:rPr>
      </w:r>
      <w:r>
        <w:rPr>
          <w:sz w:val="2"/>
        </w:rPr>
        <w:pict w14:anchorId="6EDF05A3">
          <v:group id="_x0000_s2720" style="width:1in;height:.5pt;mso-position-horizontal-relative:char;mso-position-vertical-relative:line" coordsize="1440,10">
            <v:line id="_x0000_s2721" style="position:absolute" from="0,5" to="1440,5" strokecolor="#231f20" strokeweight=".5pt"/>
            <w10:anchorlock/>
          </v:group>
        </w:pict>
      </w:r>
    </w:p>
    <w:p w14:paraId="4A4E2FDD" w14:textId="77777777" w:rsidR="002653E8" w:rsidRDefault="003115E3">
      <w:pPr>
        <w:spacing w:before="72"/>
        <w:ind w:left="1327"/>
        <w:rPr>
          <w:sz w:val="16"/>
        </w:rPr>
      </w:pPr>
      <w:r>
        <w:rPr>
          <w:color w:val="231F20"/>
          <w:w w:val="115"/>
          <w:sz w:val="16"/>
        </w:rPr>
        <w:t>4 Major, 174, 192.</w:t>
      </w:r>
    </w:p>
    <w:p w14:paraId="348F18E9" w14:textId="77777777" w:rsidR="002653E8" w:rsidRDefault="003115E3">
      <w:pPr>
        <w:spacing w:before="51"/>
        <w:ind w:left="1328"/>
        <w:rPr>
          <w:sz w:val="16"/>
        </w:rPr>
      </w:pPr>
      <w:r>
        <w:rPr>
          <w:color w:val="231F20"/>
          <w:w w:val="110"/>
          <w:sz w:val="16"/>
        </w:rPr>
        <w:t>5 Hülsberg, 25.</w:t>
      </w:r>
    </w:p>
    <w:p w14:paraId="70BB8480" w14:textId="77777777" w:rsidR="002653E8" w:rsidRDefault="002653E8">
      <w:pPr>
        <w:rPr>
          <w:sz w:val="16"/>
        </w:rPr>
        <w:sectPr w:rsidR="002653E8">
          <w:pgSz w:w="8640" w:h="12960"/>
          <w:pgMar w:top="1060" w:right="0" w:bottom="1040" w:left="0" w:header="0" w:footer="850" w:gutter="0"/>
          <w:cols w:space="720"/>
        </w:sectPr>
      </w:pPr>
    </w:p>
    <w:p w14:paraId="64D704E1" w14:textId="77777777" w:rsidR="002653E8" w:rsidRDefault="003115E3">
      <w:pPr>
        <w:pStyle w:val="a3"/>
        <w:spacing w:before="86" w:line="264" w:lineRule="auto"/>
        <w:ind w:left="1148" w:right="1325" w:hanging="1"/>
        <w:jc w:val="both"/>
      </w:pPr>
      <w:r>
        <w:rPr>
          <w:color w:val="231F20"/>
        </w:rPr>
        <w:lastRenderedPageBreak/>
        <w:t>These hierarchies within the working class resonated within its supposed institutions, the trade union movement and the Social Democratic Party (SPD).</w:t>
      </w:r>
    </w:p>
    <w:p w14:paraId="27E3189C" w14:textId="77777777" w:rsidR="002653E8" w:rsidRDefault="003115E3">
      <w:pPr>
        <w:pStyle w:val="a3"/>
        <w:spacing w:line="264" w:lineRule="auto"/>
        <w:ind w:left="1147" w:right="1325" w:firstLine="210"/>
        <w:jc w:val="both"/>
        <w:rPr>
          <w:sz w:val="11"/>
        </w:rPr>
      </w:pPr>
      <w:r>
        <w:rPr>
          <w:color w:val="231F20"/>
          <w:spacing w:val="1"/>
        </w:rPr>
        <w:t xml:space="preserve">In </w:t>
      </w:r>
      <w:r>
        <w:rPr>
          <w:color w:val="231F20"/>
        </w:rPr>
        <w:t xml:space="preserve">the first years of the Federal Republic, the trade unions were reorganized by the Allied victors with the express goal of avoiding the “economic chaos” the bourgeoisie feared most. These unions focused   on </w:t>
      </w:r>
      <w:r>
        <w:rPr>
          <w:i/>
          <w:color w:val="231F20"/>
        </w:rPr>
        <w:t xml:space="preserve">Mitbestimmung </w:t>
      </w:r>
      <w:r>
        <w:rPr>
          <w:color w:val="231F20"/>
        </w:rPr>
        <w:t xml:space="preserve">(co-management, whereby workers would have some token representation in corporate boards of directors), thus </w:t>
      </w:r>
      <w:r>
        <w:rPr>
          <w:color w:val="231F20"/>
          <w:spacing w:val="1"/>
        </w:rPr>
        <w:t>fur</w:t>
      </w:r>
      <w:r>
        <w:rPr>
          <w:color w:val="231F20"/>
        </w:rPr>
        <w:t>ther guaranteeing that the official labor movement would remain hostile to revolutionary politics. This degeneracy reached such a point in the 1960s that union members formed the backbone of the “factory militias” whose job it was repress wildcat strikes and unruly workers,</w:t>
      </w:r>
      <w:r>
        <w:rPr>
          <w:color w:val="231F20"/>
          <w:position w:val="7"/>
          <w:sz w:val="11"/>
        </w:rPr>
        <w:t xml:space="preserve">1 </w:t>
      </w:r>
      <w:r>
        <w:rPr>
          <w:color w:val="231F20"/>
        </w:rPr>
        <w:t>and one foreign journalist began an article on the German labor market with the question, “What is a country to do when its trades unions decline to ask for more</w:t>
      </w:r>
      <w:r>
        <w:rPr>
          <w:color w:val="231F20"/>
          <w:spacing w:val="10"/>
        </w:rPr>
        <w:t xml:space="preserve"> </w:t>
      </w:r>
      <w:r>
        <w:rPr>
          <w:color w:val="231F20"/>
        </w:rPr>
        <w:t>money?”</w:t>
      </w:r>
      <w:r>
        <w:rPr>
          <w:color w:val="231F20"/>
          <w:position w:val="7"/>
          <w:sz w:val="11"/>
        </w:rPr>
        <w:t>2</w:t>
      </w:r>
    </w:p>
    <w:p w14:paraId="4E33EF97" w14:textId="77777777" w:rsidR="002653E8" w:rsidRDefault="003115E3">
      <w:pPr>
        <w:pStyle w:val="a3"/>
        <w:spacing w:line="221" w:lineRule="exact"/>
        <w:ind w:left="1357"/>
      </w:pPr>
      <w:r>
        <w:rPr>
          <w:color w:val="231F20"/>
        </w:rPr>
        <w:t>As a complement to this sad political trajectory, the SPD “led the less</w:t>
      </w:r>
    </w:p>
    <w:p w14:paraId="397B424E" w14:textId="77777777" w:rsidR="002653E8" w:rsidRDefault="003115E3">
      <w:pPr>
        <w:pStyle w:val="a3"/>
        <w:spacing w:before="20" w:line="264" w:lineRule="auto"/>
        <w:ind w:left="1147" w:right="1325"/>
        <w:jc w:val="both"/>
      </w:pPr>
      <w:r>
        <w:rPr>
          <w:color w:val="231F20"/>
        </w:rPr>
        <w:t>class-conscious workers and the petit bourgeoisie into the arms of the reactionaries,” with a program that “in the immediate postwar period consisted of a crude mixture of nationalism and anti-communism garnished with a meaningless proclamation of the actuality of socialism.”</w:t>
      </w:r>
      <w:r>
        <w:rPr>
          <w:color w:val="231F20"/>
          <w:position w:val="7"/>
          <w:sz w:val="11"/>
        </w:rPr>
        <w:t xml:space="preserve">3 </w:t>
      </w:r>
      <w:r>
        <w:rPr>
          <w:color w:val="231F20"/>
        </w:rPr>
        <w:t xml:space="preserve">Left-wing trade unionists were expelled from the party, as were the editors of the socialist newspaper </w:t>
      </w:r>
      <w:r>
        <w:rPr>
          <w:i/>
          <w:color w:val="231F20"/>
        </w:rPr>
        <w:t>Die Andere Zeitung</w:t>
      </w:r>
      <w:r>
        <w:rPr>
          <w:color w:val="231F20"/>
        </w:rPr>
        <w:t>,</w:t>
      </w:r>
      <w:r>
        <w:rPr>
          <w:color w:val="231F20"/>
          <w:position w:val="7"/>
          <w:sz w:val="11"/>
        </w:rPr>
        <w:t xml:space="preserve">4 </w:t>
      </w:r>
      <w:r>
        <w:rPr>
          <w:color w:val="231F20"/>
        </w:rPr>
        <w:t>while the SPD leadership used its position as the official opposition to repeatedly mislead and sabotage any grassroots revolt.</w:t>
      </w:r>
    </w:p>
    <w:p w14:paraId="48AB8AFE" w14:textId="77777777" w:rsidR="002653E8" w:rsidRDefault="003115E3">
      <w:pPr>
        <w:pStyle w:val="a3"/>
        <w:spacing w:line="264" w:lineRule="auto"/>
        <w:ind w:left="1147" w:right="1326" w:firstLine="210"/>
        <w:jc w:val="both"/>
      </w:pPr>
      <w:r>
        <w:rPr>
          <w:color w:val="231F20"/>
        </w:rPr>
        <w:t>Needless to say, neither the SPD nor the trade union leadership had any interest in bridging the divide between their (increasingly privileged) base and the growing “pariah layers” of the proletariat:</w:t>
      </w:r>
    </w:p>
    <w:p w14:paraId="7800183F" w14:textId="77777777" w:rsidR="002653E8" w:rsidRDefault="003115E3">
      <w:pPr>
        <w:spacing w:before="116" w:line="276" w:lineRule="auto"/>
        <w:ind w:left="1567" w:right="1739"/>
        <w:jc w:val="both"/>
        <w:rPr>
          <w:i/>
          <w:sz w:val="11"/>
        </w:rPr>
      </w:pPr>
      <w:r>
        <w:rPr>
          <w:i/>
          <w:color w:val="231F20"/>
          <w:w w:val="105"/>
          <w:sz w:val="19"/>
        </w:rPr>
        <w:t xml:space="preserve">As a consensus-producing mechanism that united the most </w:t>
      </w:r>
      <w:r>
        <w:rPr>
          <w:i/>
          <w:color w:val="231F20"/>
          <w:sz w:val="19"/>
        </w:rPr>
        <w:t xml:space="preserve">powerful interests in the </w:t>
      </w:r>
      <w:r>
        <w:rPr>
          <w:i/>
          <w:color w:val="231F20"/>
          <w:spacing w:val="-3"/>
          <w:sz w:val="19"/>
        </w:rPr>
        <w:t xml:space="preserve">corporate </w:t>
      </w:r>
      <w:r>
        <w:rPr>
          <w:i/>
          <w:color w:val="231F20"/>
          <w:sz w:val="19"/>
        </w:rPr>
        <w:t xml:space="preserve">and labour organizations, </w:t>
      </w:r>
      <w:r>
        <w:rPr>
          <w:i/>
          <w:color w:val="231F20"/>
          <w:spacing w:val="-2"/>
          <w:sz w:val="19"/>
        </w:rPr>
        <w:t xml:space="preserve">Social </w:t>
      </w:r>
      <w:r>
        <w:rPr>
          <w:i/>
          <w:color w:val="231F20"/>
          <w:spacing w:val="-3"/>
          <w:w w:val="105"/>
          <w:sz w:val="19"/>
        </w:rPr>
        <w:t>Democratic</w:t>
      </w:r>
      <w:r>
        <w:rPr>
          <w:i/>
          <w:color w:val="231F20"/>
          <w:spacing w:val="-25"/>
          <w:w w:val="105"/>
          <w:sz w:val="19"/>
        </w:rPr>
        <w:t xml:space="preserve"> </w:t>
      </w:r>
      <w:r>
        <w:rPr>
          <w:i/>
          <w:color w:val="231F20"/>
          <w:spacing w:val="-3"/>
          <w:w w:val="105"/>
          <w:sz w:val="19"/>
        </w:rPr>
        <w:t>corporatism</w:t>
      </w:r>
      <w:r>
        <w:rPr>
          <w:i/>
          <w:color w:val="231F20"/>
          <w:spacing w:val="-25"/>
          <w:w w:val="105"/>
          <w:sz w:val="19"/>
        </w:rPr>
        <w:t xml:space="preserve"> </w:t>
      </w:r>
      <w:r>
        <w:rPr>
          <w:i/>
          <w:color w:val="231F20"/>
          <w:spacing w:val="-3"/>
          <w:w w:val="105"/>
          <w:sz w:val="19"/>
        </w:rPr>
        <w:t>consciously</w:t>
      </w:r>
      <w:r>
        <w:rPr>
          <w:i/>
          <w:color w:val="231F20"/>
          <w:spacing w:val="-25"/>
          <w:w w:val="105"/>
          <w:sz w:val="19"/>
        </w:rPr>
        <w:t xml:space="preserve"> </w:t>
      </w:r>
      <w:r>
        <w:rPr>
          <w:i/>
          <w:color w:val="231F20"/>
          <w:w w:val="105"/>
          <w:sz w:val="19"/>
        </w:rPr>
        <w:t>excluded</w:t>
      </w:r>
      <w:r>
        <w:rPr>
          <w:i/>
          <w:color w:val="231F20"/>
          <w:spacing w:val="-25"/>
          <w:w w:val="105"/>
          <w:sz w:val="19"/>
        </w:rPr>
        <w:t xml:space="preserve"> </w:t>
      </w:r>
      <w:r>
        <w:rPr>
          <w:i/>
          <w:color w:val="231F20"/>
          <w:w w:val="105"/>
          <w:sz w:val="19"/>
        </w:rPr>
        <w:t>the</w:t>
      </w:r>
      <w:r>
        <w:rPr>
          <w:i/>
          <w:color w:val="231F20"/>
          <w:spacing w:val="-25"/>
          <w:w w:val="105"/>
          <w:sz w:val="19"/>
        </w:rPr>
        <w:t xml:space="preserve"> </w:t>
      </w:r>
      <w:r>
        <w:rPr>
          <w:i/>
          <w:color w:val="231F20"/>
          <w:spacing w:val="-3"/>
          <w:w w:val="105"/>
          <w:sz w:val="19"/>
        </w:rPr>
        <w:t>weaker</w:t>
      </w:r>
      <w:r>
        <w:rPr>
          <w:i/>
          <w:color w:val="231F20"/>
          <w:spacing w:val="-25"/>
          <w:w w:val="105"/>
          <w:sz w:val="19"/>
        </w:rPr>
        <w:t xml:space="preserve"> </w:t>
      </w:r>
      <w:r>
        <w:rPr>
          <w:i/>
          <w:color w:val="231F20"/>
          <w:w w:val="105"/>
          <w:sz w:val="19"/>
        </w:rPr>
        <w:t>elements: foreigners,</w:t>
      </w:r>
      <w:r>
        <w:rPr>
          <w:i/>
          <w:color w:val="231F20"/>
          <w:spacing w:val="-24"/>
          <w:w w:val="105"/>
          <w:sz w:val="19"/>
        </w:rPr>
        <w:t xml:space="preserve"> </w:t>
      </w:r>
      <w:r>
        <w:rPr>
          <w:i/>
          <w:color w:val="231F20"/>
          <w:w w:val="105"/>
          <w:sz w:val="19"/>
        </w:rPr>
        <w:t>women,</w:t>
      </w:r>
      <w:r>
        <w:rPr>
          <w:i/>
          <w:color w:val="231F20"/>
          <w:spacing w:val="-24"/>
          <w:w w:val="105"/>
          <w:sz w:val="19"/>
        </w:rPr>
        <w:t xml:space="preserve"> </w:t>
      </w:r>
      <w:r>
        <w:rPr>
          <w:i/>
          <w:color w:val="231F20"/>
          <w:w w:val="105"/>
          <w:sz w:val="19"/>
        </w:rPr>
        <w:t>youth</w:t>
      </w:r>
      <w:r>
        <w:rPr>
          <w:i/>
          <w:color w:val="231F20"/>
          <w:spacing w:val="-19"/>
          <w:w w:val="105"/>
          <w:sz w:val="19"/>
        </w:rPr>
        <w:t xml:space="preserve"> </w:t>
      </w:r>
      <w:r>
        <w:rPr>
          <w:i/>
          <w:color w:val="231F20"/>
          <w:w w:val="105"/>
          <w:sz w:val="19"/>
        </w:rPr>
        <w:t>and</w:t>
      </w:r>
      <w:r>
        <w:rPr>
          <w:i/>
          <w:color w:val="231F20"/>
          <w:spacing w:val="-19"/>
          <w:w w:val="105"/>
          <w:sz w:val="19"/>
        </w:rPr>
        <w:t xml:space="preserve"> </w:t>
      </w:r>
      <w:r>
        <w:rPr>
          <w:i/>
          <w:color w:val="231F20"/>
          <w:w w:val="105"/>
          <w:sz w:val="19"/>
        </w:rPr>
        <w:t>older</w:t>
      </w:r>
      <w:r>
        <w:rPr>
          <w:i/>
          <w:color w:val="231F20"/>
          <w:spacing w:val="-19"/>
          <w:w w:val="105"/>
          <w:sz w:val="19"/>
        </w:rPr>
        <w:t xml:space="preserve"> </w:t>
      </w:r>
      <w:r>
        <w:rPr>
          <w:i/>
          <w:color w:val="231F20"/>
          <w:w w:val="105"/>
          <w:sz w:val="19"/>
        </w:rPr>
        <w:t>workers,</w:t>
      </w:r>
      <w:r>
        <w:rPr>
          <w:i/>
          <w:color w:val="231F20"/>
          <w:spacing w:val="-24"/>
          <w:w w:val="105"/>
          <w:sz w:val="19"/>
        </w:rPr>
        <w:t xml:space="preserve"> </w:t>
      </w:r>
      <w:r>
        <w:rPr>
          <w:i/>
          <w:color w:val="231F20"/>
          <w:w w:val="105"/>
          <w:sz w:val="19"/>
        </w:rPr>
        <w:t>thus</w:t>
      </w:r>
      <w:r>
        <w:rPr>
          <w:i/>
          <w:color w:val="231F20"/>
          <w:spacing w:val="-19"/>
          <w:w w:val="105"/>
          <w:sz w:val="19"/>
        </w:rPr>
        <w:t xml:space="preserve"> </w:t>
      </w:r>
      <w:r>
        <w:rPr>
          <w:i/>
          <w:color w:val="231F20"/>
          <w:w w:val="105"/>
          <w:sz w:val="19"/>
        </w:rPr>
        <w:t>converting</w:t>
      </w:r>
      <w:r>
        <w:rPr>
          <w:i/>
          <w:color w:val="231F20"/>
          <w:spacing w:val="-19"/>
          <w:w w:val="105"/>
          <w:sz w:val="19"/>
        </w:rPr>
        <w:t xml:space="preserve"> </w:t>
      </w:r>
      <w:r>
        <w:rPr>
          <w:i/>
          <w:color w:val="231F20"/>
          <w:w w:val="105"/>
          <w:sz w:val="19"/>
        </w:rPr>
        <w:t>class struggles to group struggles and doing nothing to reduce</w:t>
      </w:r>
      <w:r>
        <w:rPr>
          <w:i/>
          <w:color w:val="231F20"/>
          <w:spacing w:val="-30"/>
          <w:w w:val="105"/>
          <w:sz w:val="19"/>
        </w:rPr>
        <w:t xml:space="preserve"> </w:t>
      </w:r>
      <w:r>
        <w:rPr>
          <w:i/>
          <w:color w:val="231F20"/>
          <w:w w:val="105"/>
          <w:sz w:val="19"/>
        </w:rPr>
        <w:t>racism, sexism and anti-welfarism within the subordinate</w:t>
      </w:r>
      <w:r>
        <w:rPr>
          <w:i/>
          <w:color w:val="231F20"/>
          <w:spacing w:val="6"/>
          <w:w w:val="105"/>
          <w:sz w:val="19"/>
        </w:rPr>
        <w:t xml:space="preserve"> </w:t>
      </w:r>
      <w:r>
        <w:rPr>
          <w:i/>
          <w:color w:val="231F20"/>
          <w:w w:val="105"/>
          <w:sz w:val="19"/>
        </w:rPr>
        <w:t>classes.</w:t>
      </w:r>
      <w:r>
        <w:rPr>
          <w:i/>
          <w:color w:val="231F20"/>
          <w:w w:val="105"/>
          <w:position w:val="6"/>
          <w:sz w:val="11"/>
        </w:rPr>
        <w:t>5</w:t>
      </w:r>
    </w:p>
    <w:p w14:paraId="36AF3142" w14:textId="77777777" w:rsidR="002653E8" w:rsidRDefault="00000000">
      <w:pPr>
        <w:pStyle w:val="a3"/>
        <w:spacing w:before="10"/>
        <w:rPr>
          <w:i/>
          <w:sz w:val="15"/>
        </w:rPr>
      </w:pPr>
      <w:r>
        <w:rPr>
          <w:noProof w:val="0"/>
        </w:rPr>
        <w:pict w14:anchorId="7CE82A7C">
          <v:line id="_x0000_s2719" style="position:absolute;z-index:1528;mso-wrap-distance-left:0;mso-wrap-distance-right:0;mso-position-horizontal-relative:page" from="57.4pt,11.5pt" to="129.4pt,11.5pt" strokecolor="#231f20" strokeweight=".5pt">
            <w10:wrap type="topAndBottom" anchorx="page"/>
          </v:line>
        </w:pict>
      </w:r>
    </w:p>
    <w:p w14:paraId="7A017AED" w14:textId="77777777" w:rsidR="002653E8" w:rsidRDefault="003115E3">
      <w:pPr>
        <w:spacing w:before="53"/>
        <w:ind w:left="1147"/>
        <w:rPr>
          <w:sz w:val="16"/>
        </w:rPr>
      </w:pPr>
      <w:r>
        <w:rPr>
          <w:color w:val="231F20"/>
          <w:w w:val="115"/>
          <w:sz w:val="16"/>
        </w:rPr>
        <w:t>1 Roth, 121.</w:t>
      </w:r>
    </w:p>
    <w:p w14:paraId="25D5E104" w14:textId="77777777" w:rsidR="002653E8" w:rsidRDefault="003115E3">
      <w:pPr>
        <w:pStyle w:val="a4"/>
        <w:numPr>
          <w:ilvl w:val="0"/>
          <w:numId w:val="191"/>
        </w:numPr>
        <w:tabs>
          <w:tab w:val="left" w:pos="1287"/>
        </w:tabs>
        <w:spacing w:before="51" w:line="254" w:lineRule="auto"/>
        <w:ind w:right="1499" w:firstLine="0"/>
        <w:jc w:val="left"/>
        <w:rPr>
          <w:sz w:val="16"/>
        </w:rPr>
      </w:pPr>
      <w:r>
        <w:rPr>
          <w:color w:val="231F20"/>
          <w:w w:val="110"/>
          <w:sz w:val="16"/>
        </w:rPr>
        <w:t xml:space="preserve">David Haworth, “Why German Workers Don’t Ask For Raises,” </w:t>
      </w:r>
      <w:r>
        <w:rPr>
          <w:i/>
          <w:color w:val="231F20"/>
          <w:w w:val="110"/>
          <w:sz w:val="16"/>
        </w:rPr>
        <w:t xml:space="preserve">Winnipeg Free Press, </w:t>
      </w:r>
      <w:r>
        <w:rPr>
          <w:color w:val="231F20"/>
          <w:w w:val="110"/>
          <w:sz w:val="16"/>
        </w:rPr>
        <w:t>December 11,</w:t>
      </w:r>
      <w:r>
        <w:rPr>
          <w:color w:val="231F20"/>
          <w:spacing w:val="18"/>
          <w:w w:val="110"/>
          <w:sz w:val="16"/>
        </w:rPr>
        <w:t xml:space="preserve"> </w:t>
      </w:r>
      <w:r>
        <w:rPr>
          <w:color w:val="231F20"/>
          <w:spacing w:val="-3"/>
          <w:w w:val="110"/>
          <w:sz w:val="16"/>
        </w:rPr>
        <w:t>1968.</w:t>
      </w:r>
    </w:p>
    <w:p w14:paraId="1926274E" w14:textId="77777777" w:rsidR="002653E8" w:rsidRDefault="003115E3">
      <w:pPr>
        <w:pStyle w:val="a4"/>
        <w:numPr>
          <w:ilvl w:val="0"/>
          <w:numId w:val="191"/>
        </w:numPr>
        <w:tabs>
          <w:tab w:val="left" w:pos="1287"/>
        </w:tabs>
        <w:ind w:firstLine="0"/>
        <w:jc w:val="left"/>
        <w:rPr>
          <w:sz w:val="16"/>
        </w:rPr>
      </w:pPr>
      <w:r>
        <w:rPr>
          <w:color w:val="231F20"/>
          <w:w w:val="110"/>
          <w:sz w:val="16"/>
        </w:rPr>
        <w:t>Hülsberg,</w:t>
      </w:r>
      <w:r>
        <w:rPr>
          <w:color w:val="231F20"/>
          <w:spacing w:val="6"/>
          <w:w w:val="110"/>
          <w:sz w:val="16"/>
        </w:rPr>
        <w:t xml:space="preserve"> </w:t>
      </w:r>
      <w:r>
        <w:rPr>
          <w:color w:val="231F20"/>
          <w:spacing w:val="-5"/>
          <w:w w:val="110"/>
          <w:sz w:val="16"/>
        </w:rPr>
        <w:t>25.</w:t>
      </w:r>
    </w:p>
    <w:p w14:paraId="67BE8E6F" w14:textId="77777777" w:rsidR="002653E8" w:rsidRDefault="003115E3">
      <w:pPr>
        <w:pStyle w:val="a4"/>
        <w:numPr>
          <w:ilvl w:val="0"/>
          <w:numId w:val="191"/>
        </w:numPr>
        <w:tabs>
          <w:tab w:val="left" w:pos="1287"/>
        </w:tabs>
        <w:spacing w:before="52"/>
        <w:ind w:firstLine="0"/>
        <w:jc w:val="left"/>
        <w:rPr>
          <w:sz w:val="16"/>
        </w:rPr>
      </w:pPr>
      <w:r>
        <w:rPr>
          <w:color w:val="231F20"/>
          <w:w w:val="115"/>
          <w:sz w:val="16"/>
        </w:rPr>
        <w:t>Graf, “Anti-communism,”</w:t>
      </w:r>
      <w:r>
        <w:rPr>
          <w:color w:val="231F20"/>
          <w:spacing w:val="7"/>
          <w:w w:val="115"/>
          <w:sz w:val="16"/>
        </w:rPr>
        <w:t xml:space="preserve"> </w:t>
      </w:r>
      <w:r>
        <w:rPr>
          <w:color w:val="231F20"/>
          <w:spacing w:val="-4"/>
          <w:w w:val="115"/>
          <w:sz w:val="16"/>
        </w:rPr>
        <w:t>183.</w:t>
      </w:r>
    </w:p>
    <w:p w14:paraId="146B33E2" w14:textId="77777777" w:rsidR="002653E8" w:rsidRDefault="003115E3">
      <w:pPr>
        <w:pStyle w:val="a4"/>
        <w:numPr>
          <w:ilvl w:val="0"/>
          <w:numId w:val="191"/>
        </w:numPr>
        <w:tabs>
          <w:tab w:val="left" w:pos="1287"/>
        </w:tabs>
        <w:spacing w:before="51"/>
        <w:ind w:firstLine="0"/>
        <w:jc w:val="left"/>
        <w:rPr>
          <w:i/>
          <w:sz w:val="16"/>
        </w:rPr>
      </w:pPr>
      <w:r>
        <w:rPr>
          <w:color w:val="231F20"/>
          <w:w w:val="105"/>
          <w:sz w:val="16"/>
        </w:rPr>
        <w:t>William</w:t>
      </w:r>
      <w:r>
        <w:rPr>
          <w:color w:val="231F20"/>
          <w:spacing w:val="12"/>
          <w:w w:val="105"/>
          <w:sz w:val="16"/>
        </w:rPr>
        <w:t xml:space="preserve"> </w:t>
      </w:r>
      <w:r>
        <w:rPr>
          <w:color w:val="231F20"/>
          <w:w w:val="105"/>
          <w:sz w:val="16"/>
        </w:rPr>
        <w:t>Graf,</w:t>
      </w:r>
      <w:r>
        <w:rPr>
          <w:color w:val="231F20"/>
          <w:spacing w:val="12"/>
          <w:w w:val="105"/>
          <w:sz w:val="16"/>
        </w:rPr>
        <w:t xml:space="preserve"> </w:t>
      </w:r>
      <w:r>
        <w:rPr>
          <w:color w:val="231F20"/>
          <w:w w:val="105"/>
          <w:sz w:val="16"/>
        </w:rPr>
        <w:t>“Beyond</w:t>
      </w:r>
      <w:r>
        <w:rPr>
          <w:color w:val="231F20"/>
          <w:spacing w:val="12"/>
          <w:w w:val="105"/>
          <w:sz w:val="16"/>
        </w:rPr>
        <w:t xml:space="preserve"> </w:t>
      </w:r>
      <w:r>
        <w:rPr>
          <w:color w:val="231F20"/>
          <w:w w:val="105"/>
          <w:sz w:val="16"/>
        </w:rPr>
        <w:t>Social</w:t>
      </w:r>
      <w:r>
        <w:rPr>
          <w:color w:val="231F20"/>
          <w:spacing w:val="12"/>
          <w:w w:val="105"/>
          <w:sz w:val="16"/>
        </w:rPr>
        <w:t xml:space="preserve"> </w:t>
      </w:r>
      <w:r>
        <w:rPr>
          <w:color w:val="231F20"/>
          <w:w w:val="105"/>
          <w:sz w:val="16"/>
        </w:rPr>
        <w:t>Democracy</w:t>
      </w:r>
      <w:r>
        <w:rPr>
          <w:color w:val="231F20"/>
          <w:spacing w:val="12"/>
          <w:w w:val="105"/>
          <w:sz w:val="16"/>
        </w:rPr>
        <w:t xml:space="preserve"> </w:t>
      </w:r>
      <w:r>
        <w:rPr>
          <w:color w:val="231F20"/>
          <w:w w:val="105"/>
          <w:sz w:val="16"/>
        </w:rPr>
        <w:t>in</w:t>
      </w:r>
      <w:r>
        <w:rPr>
          <w:color w:val="231F20"/>
          <w:spacing w:val="12"/>
          <w:w w:val="105"/>
          <w:sz w:val="16"/>
        </w:rPr>
        <w:t xml:space="preserve"> </w:t>
      </w:r>
      <w:r>
        <w:rPr>
          <w:color w:val="231F20"/>
          <w:w w:val="105"/>
          <w:sz w:val="16"/>
        </w:rPr>
        <w:t>West</w:t>
      </w:r>
      <w:r>
        <w:rPr>
          <w:color w:val="231F20"/>
          <w:spacing w:val="12"/>
          <w:w w:val="105"/>
          <w:sz w:val="16"/>
        </w:rPr>
        <w:t xml:space="preserve"> </w:t>
      </w:r>
      <w:r>
        <w:rPr>
          <w:color w:val="231F20"/>
          <w:w w:val="105"/>
          <w:sz w:val="16"/>
        </w:rPr>
        <w:t>Germany?”</w:t>
      </w:r>
      <w:r>
        <w:rPr>
          <w:color w:val="231F20"/>
          <w:spacing w:val="13"/>
          <w:w w:val="105"/>
          <w:sz w:val="16"/>
        </w:rPr>
        <w:t xml:space="preserve"> </w:t>
      </w:r>
      <w:r>
        <w:rPr>
          <w:i/>
          <w:color w:val="231F20"/>
          <w:w w:val="105"/>
          <w:sz w:val="16"/>
        </w:rPr>
        <w:t>Socialist</w:t>
      </w:r>
      <w:r>
        <w:rPr>
          <w:i/>
          <w:color w:val="231F20"/>
          <w:spacing w:val="12"/>
          <w:w w:val="105"/>
          <w:sz w:val="16"/>
        </w:rPr>
        <w:t xml:space="preserve"> </w:t>
      </w:r>
      <w:r>
        <w:rPr>
          <w:i/>
          <w:color w:val="231F20"/>
          <w:spacing w:val="1"/>
          <w:w w:val="105"/>
          <w:sz w:val="16"/>
        </w:rPr>
        <w:t>Register</w:t>
      </w:r>
    </w:p>
    <w:p w14:paraId="6FB22CBB" w14:textId="77777777" w:rsidR="002653E8" w:rsidRDefault="002653E8">
      <w:pPr>
        <w:rPr>
          <w:sz w:val="16"/>
        </w:rPr>
        <w:sectPr w:rsidR="002653E8">
          <w:pgSz w:w="8640" w:h="12960"/>
          <w:pgMar w:top="1060" w:right="0" w:bottom="1040" w:left="0" w:header="0" w:footer="850" w:gutter="0"/>
          <w:cols w:space="720"/>
        </w:sectPr>
      </w:pPr>
    </w:p>
    <w:p w14:paraId="216AF4A7" w14:textId="77777777" w:rsidR="002653E8" w:rsidRDefault="003115E3">
      <w:pPr>
        <w:spacing w:before="87"/>
        <w:ind w:left="1327"/>
      </w:pPr>
      <w:r>
        <w:rPr>
          <w:color w:val="231F20"/>
          <w:spacing w:val="30"/>
          <w:w w:val="113"/>
        </w:rPr>
        <w:lastRenderedPageBreak/>
        <w:t>a</w:t>
      </w:r>
      <w:r>
        <w:rPr>
          <w:color w:val="231F20"/>
          <w:w w:val="109"/>
        </w:rPr>
        <w:t>n</w:t>
      </w:r>
      <w:r>
        <w:rPr>
          <w:color w:val="231F20"/>
        </w:rPr>
        <w:t xml:space="preserve">  </w:t>
      </w:r>
      <w:r>
        <w:rPr>
          <w:color w:val="231F20"/>
          <w:spacing w:val="-22"/>
        </w:rPr>
        <w:t xml:space="preserve"> </w:t>
      </w:r>
      <w:r>
        <w:rPr>
          <w:color w:val="231F20"/>
          <w:spacing w:val="25"/>
          <w:w w:val="119"/>
        </w:rPr>
        <w:t>i</w:t>
      </w:r>
      <w:r>
        <w:rPr>
          <w:color w:val="231F20"/>
          <w:spacing w:val="25"/>
          <w:w w:val="93"/>
        </w:rPr>
        <w:t>m</w:t>
      </w:r>
      <w:r>
        <w:rPr>
          <w:color w:val="231F20"/>
          <w:spacing w:val="22"/>
          <w:w w:val="89"/>
        </w:rPr>
        <w:t>p</w:t>
      </w:r>
      <w:r>
        <w:rPr>
          <w:color w:val="231F20"/>
          <w:spacing w:val="25"/>
          <w:w w:val="102"/>
        </w:rPr>
        <w:t>e</w:t>
      </w:r>
      <w:r>
        <w:rPr>
          <w:color w:val="231F20"/>
          <w:spacing w:val="26"/>
          <w:w w:val="134"/>
        </w:rPr>
        <w:t>r</w:t>
      </w:r>
      <w:r>
        <w:rPr>
          <w:color w:val="231F20"/>
          <w:spacing w:val="27"/>
          <w:w w:val="119"/>
        </w:rPr>
        <w:t>i</w:t>
      </w:r>
      <w:r>
        <w:rPr>
          <w:color w:val="231F20"/>
          <w:spacing w:val="25"/>
          <w:w w:val="113"/>
        </w:rPr>
        <w:t>a</w:t>
      </w:r>
      <w:r>
        <w:rPr>
          <w:color w:val="231F20"/>
          <w:spacing w:val="25"/>
          <w:w w:val="184"/>
        </w:rPr>
        <w:t>l</w:t>
      </w:r>
      <w:r>
        <w:rPr>
          <w:color w:val="231F20"/>
          <w:spacing w:val="20"/>
          <w:w w:val="119"/>
        </w:rPr>
        <w:t>i</w:t>
      </w:r>
      <w:r>
        <w:rPr>
          <w:color w:val="231F20"/>
          <w:spacing w:val="21"/>
          <w:w w:val="103"/>
        </w:rPr>
        <w:t>s</w:t>
      </w:r>
      <w:r>
        <w:rPr>
          <w:color w:val="231F20"/>
          <w:w w:val="147"/>
        </w:rPr>
        <w:t>t</w:t>
      </w:r>
      <w:r>
        <w:rPr>
          <w:color w:val="231F20"/>
        </w:rPr>
        <w:t xml:space="preserve">  </w:t>
      </w:r>
      <w:r>
        <w:rPr>
          <w:color w:val="231F20"/>
          <w:spacing w:val="-22"/>
        </w:rPr>
        <w:t xml:space="preserve"> </w:t>
      </w:r>
      <w:r>
        <w:rPr>
          <w:color w:val="231F20"/>
          <w:spacing w:val="28"/>
          <w:w w:val="147"/>
        </w:rPr>
        <w:t>t</w:t>
      </w:r>
      <w:r>
        <w:rPr>
          <w:color w:val="231F20"/>
          <w:w w:val="102"/>
        </w:rPr>
        <w:t>e</w:t>
      </w:r>
      <w:r>
        <w:rPr>
          <w:color w:val="231F20"/>
          <w:spacing w:val="-20"/>
        </w:rPr>
        <w:t xml:space="preserve"> </w:t>
      </w:r>
      <w:r>
        <w:rPr>
          <w:color w:val="231F20"/>
          <w:spacing w:val="28"/>
          <w:w w:val="113"/>
        </w:rPr>
        <w:t>a</w:t>
      </w:r>
      <w:r>
        <w:rPr>
          <w:color w:val="231F20"/>
          <w:w w:val="93"/>
        </w:rPr>
        <w:t>m</w:t>
      </w:r>
      <w:r>
        <w:rPr>
          <w:color w:val="231F20"/>
        </w:rPr>
        <w:t xml:space="preserve">  </w:t>
      </w:r>
      <w:r>
        <w:rPr>
          <w:color w:val="231F20"/>
          <w:spacing w:val="-22"/>
        </w:rPr>
        <w:t xml:space="preserve"> </w:t>
      </w:r>
      <w:r>
        <w:rPr>
          <w:color w:val="231F20"/>
          <w:spacing w:val="20"/>
          <w:w w:val="89"/>
        </w:rPr>
        <w:t>p</w:t>
      </w:r>
      <w:r>
        <w:rPr>
          <w:color w:val="231F20"/>
          <w:spacing w:val="30"/>
          <w:w w:val="184"/>
        </w:rPr>
        <w:t>l</w:t>
      </w:r>
      <w:r>
        <w:rPr>
          <w:color w:val="231F20"/>
          <w:spacing w:val="15"/>
          <w:w w:val="113"/>
        </w:rPr>
        <w:t>a</w:t>
      </w:r>
      <w:r>
        <w:rPr>
          <w:color w:val="231F20"/>
          <w:spacing w:val="28"/>
          <w:w w:val="110"/>
        </w:rPr>
        <w:t>y</w:t>
      </w:r>
      <w:r>
        <w:rPr>
          <w:color w:val="231F20"/>
          <w:spacing w:val="25"/>
          <w:w w:val="102"/>
        </w:rPr>
        <w:t>e</w:t>
      </w:r>
      <w:r>
        <w:rPr>
          <w:color w:val="231F20"/>
          <w:w w:val="134"/>
        </w:rPr>
        <w:t>r</w:t>
      </w:r>
    </w:p>
    <w:p w14:paraId="1F3861BE" w14:textId="77777777" w:rsidR="002653E8" w:rsidRDefault="003115E3">
      <w:pPr>
        <w:pStyle w:val="a3"/>
        <w:spacing w:before="18" w:line="264" w:lineRule="auto"/>
        <w:ind w:left="1327" w:right="1146"/>
        <w:jc w:val="both"/>
      </w:pPr>
      <w:r>
        <w:rPr>
          <w:color w:val="231F20"/>
        </w:rPr>
        <w:t xml:space="preserve">Of course, the Marshall Plan was not simply a local economic project: from the very beginning it was intended that </w:t>
      </w:r>
      <w:r>
        <w:rPr>
          <w:color w:val="231F20"/>
          <w:spacing w:val="-3"/>
        </w:rPr>
        <w:t xml:space="preserve">West  </w:t>
      </w:r>
      <w:r>
        <w:rPr>
          <w:color w:val="231F20"/>
        </w:rPr>
        <w:t xml:space="preserve">Germany also be       a European outpost of </w:t>
      </w:r>
      <w:r>
        <w:rPr>
          <w:color w:val="231F20"/>
          <w:spacing w:val="1"/>
        </w:rPr>
        <w:t xml:space="preserve">U.S. </w:t>
      </w:r>
      <w:r>
        <w:rPr>
          <w:color w:val="231F20"/>
        </w:rPr>
        <w:t xml:space="preserve">imperialism. This is indicated not only in    the virtually simultaneous foundation of both </w:t>
      </w:r>
      <w:r>
        <w:rPr>
          <w:color w:val="231F20"/>
          <w:spacing w:val="-3"/>
        </w:rPr>
        <w:t xml:space="preserve">NATO </w:t>
      </w:r>
      <w:r>
        <w:rPr>
          <w:color w:val="231F20"/>
        </w:rPr>
        <w:t xml:space="preserve">and the FRG in </w:t>
      </w:r>
      <w:r>
        <w:rPr>
          <w:color w:val="231F20"/>
          <w:spacing w:val="-5"/>
        </w:rPr>
        <w:t xml:space="preserve">1949,  </w:t>
      </w:r>
      <w:r>
        <w:rPr>
          <w:color w:val="231F20"/>
        </w:rPr>
        <w:t xml:space="preserve">but in the very nature of the Federal Republic as a state: when      it was granted formal sovereignty in </w:t>
      </w:r>
      <w:r>
        <w:rPr>
          <w:color w:val="231F20"/>
          <w:spacing w:val="-9"/>
        </w:rPr>
        <w:t xml:space="preserve">1955, </w:t>
      </w:r>
      <w:r>
        <w:rPr>
          <w:color w:val="231F20"/>
        </w:rPr>
        <w:t>it was  only  on  condition that it allow the western powers to station their armed forces within   its borders, and within four days of achieving its new condition, it had joined the Atlantic Alliance.</w:t>
      </w:r>
      <w:r>
        <w:rPr>
          <w:color w:val="231F20"/>
          <w:position w:val="7"/>
          <w:sz w:val="11"/>
        </w:rPr>
        <w:t xml:space="preserve">6 </w:t>
      </w:r>
      <w:r>
        <w:rPr>
          <w:color w:val="231F20"/>
        </w:rPr>
        <w:t xml:space="preserve">Perhaps  most  significantly,  in  the  event of a military conflict, the commanding officer in NATO—always an American—would also become the Commander-in-Chief of the </w:t>
      </w:r>
      <w:r>
        <w:rPr>
          <w:color w:val="231F20"/>
          <w:spacing w:val="-3"/>
        </w:rPr>
        <w:t xml:space="preserve">West </w:t>
      </w:r>
      <w:r>
        <w:rPr>
          <w:color w:val="231F20"/>
        </w:rPr>
        <w:t>German armed</w:t>
      </w:r>
      <w:r>
        <w:rPr>
          <w:color w:val="231F20"/>
          <w:spacing w:val="21"/>
        </w:rPr>
        <w:t xml:space="preserve"> </w:t>
      </w:r>
      <w:r>
        <w:rPr>
          <w:color w:val="231F20"/>
        </w:rPr>
        <w:t>forces.</w:t>
      </w:r>
    </w:p>
    <w:p w14:paraId="510A7CE8" w14:textId="77777777" w:rsidR="002653E8" w:rsidRDefault="003115E3">
      <w:pPr>
        <w:pStyle w:val="a3"/>
        <w:spacing w:line="221" w:lineRule="exact"/>
        <w:ind w:left="1537"/>
      </w:pPr>
      <w:r>
        <w:rPr>
          <w:color w:val="231F20"/>
        </w:rPr>
        <w:t>As Rudolph Augstein, the editor of the influential liberal magazine</w:t>
      </w:r>
    </w:p>
    <w:p w14:paraId="1A66A3AE" w14:textId="77777777" w:rsidR="002653E8" w:rsidRDefault="003115E3">
      <w:pPr>
        <w:pStyle w:val="a3"/>
        <w:spacing w:before="23" w:line="264" w:lineRule="auto"/>
        <w:ind w:left="1327" w:right="1147"/>
        <w:jc w:val="both"/>
        <w:rPr>
          <w:sz w:val="11"/>
        </w:rPr>
      </w:pPr>
      <w:r>
        <w:rPr>
          <w:i/>
          <w:color w:val="231F20"/>
        </w:rPr>
        <w:t>Spiegel</w:t>
      </w:r>
      <w:r>
        <w:rPr>
          <w:color w:val="231F20"/>
        </w:rPr>
        <w:t xml:space="preserve">, stated in </w:t>
      </w:r>
      <w:r>
        <w:rPr>
          <w:color w:val="231F20"/>
          <w:spacing w:val="-9"/>
        </w:rPr>
        <w:t xml:space="preserve">1955:  </w:t>
      </w:r>
      <w:r>
        <w:rPr>
          <w:color w:val="231F20"/>
        </w:rPr>
        <w:t>“The new German army has not been founded   to guarantee the safety of Bonn; rather the new state has been founded to</w:t>
      </w:r>
      <w:r>
        <w:rPr>
          <w:color w:val="231F20"/>
          <w:spacing w:val="12"/>
        </w:rPr>
        <w:t xml:space="preserve"> </w:t>
      </w:r>
      <w:r>
        <w:rPr>
          <w:color w:val="231F20"/>
        </w:rPr>
        <w:t>be</w:t>
      </w:r>
      <w:r>
        <w:rPr>
          <w:color w:val="231F20"/>
          <w:spacing w:val="12"/>
        </w:rPr>
        <w:t xml:space="preserve"> </w:t>
      </w:r>
      <w:r>
        <w:rPr>
          <w:color w:val="231F20"/>
        </w:rPr>
        <w:t>able</w:t>
      </w:r>
      <w:r>
        <w:rPr>
          <w:color w:val="231F20"/>
          <w:spacing w:val="12"/>
        </w:rPr>
        <w:t xml:space="preserve"> </w:t>
      </w:r>
      <w:r>
        <w:rPr>
          <w:color w:val="231F20"/>
        </w:rPr>
        <w:t>to</w:t>
      </w:r>
      <w:r>
        <w:rPr>
          <w:color w:val="231F20"/>
          <w:spacing w:val="12"/>
        </w:rPr>
        <w:t xml:space="preserve"> </w:t>
      </w:r>
      <w:r>
        <w:rPr>
          <w:color w:val="231F20"/>
        </w:rPr>
        <w:t>build</w:t>
      </w:r>
      <w:r>
        <w:rPr>
          <w:color w:val="231F20"/>
          <w:spacing w:val="12"/>
        </w:rPr>
        <w:t xml:space="preserve"> </w:t>
      </w:r>
      <w:r>
        <w:rPr>
          <w:color w:val="231F20"/>
        </w:rPr>
        <w:t>up</w:t>
      </w:r>
      <w:r>
        <w:rPr>
          <w:color w:val="231F20"/>
          <w:spacing w:val="12"/>
        </w:rPr>
        <w:t xml:space="preserve"> </w:t>
      </w:r>
      <w:r>
        <w:rPr>
          <w:color w:val="231F20"/>
        </w:rPr>
        <w:t>an</w:t>
      </w:r>
      <w:r>
        <w:rPr>
          <w:color w:val="231F20"/>
          <w:spacing w:val="12"/>
        </w:rPr>
        <w:t xml:space="preserve"> </w:t>
      </w:r>
      <w:r>
        <w:rPr>
          <w:color w:val="231F20"/>
        </w:rPr>
        <w:t>army</w:t>
      </w:r>
      <w:r>
        <w:rPr>
          <w:color w:val="231F20"/>
          <w:spacing w:val="12"/>
        </w:rPr>
        <w:t xml:space="preserve"> </w:t>
      </w:r>
      <w:r>
        <w:rPr>
          <w:color w:val="231F20"/>
        </w:rPr>
        <w:t>against</w:t>
      </w:r>
      <w:r>
        <w:rPr>
          <w:color w:val="231F20"/>
          <w:spacing w:val="12"/>
        </w:rPr>
        <w:t xml:space="preserve"> </w:t>
      </w:r>
      <w:r>
        <w:rPr>
          <w:color w:val="231F20"/>
        </w:rPr>
        <w:t>the</w:t>
      </w:r>
      <w:r>
        <w:rPr>
          <w:color w:val="231F20"/>
          <w:spacing w:val="12"/>
        </w:rPr>
        <w:t xml:space="preserve"> </w:t>
      </w:r>
      <w:r>
        <w:rPr>
          <w:color w:val="231F20"/>
        </w:rPr>
        <w:t>Soviet</w:t>
      </w:r>
      <w:r>
        <w:rPr>
          <w:color w:val="231F20"/>
          <w:spacing w:val="12"/>
        </w:rPr>
        <w:t xml:space="preserve"> </w:t>
      </w:r>
      <w:r>
        <w:rPr>
          <w:color w:val="231F20"/>
        </w:rPr>
        <w:t>Union.”</w:t>
      </w:r>
      <w:r>
        <w:rPr>
          <w:color w:val="231F20"/>
          <w:position w:val="7"/>
          <w:sz w:val="11"/>
        </w:rPr>
        <w:t>7</w:t>
      </w:r>
    </w:p>
    <w:p w14:paraId="6EA2040E" w14:textId="77777777" w:rsidR="002653E8" w:rsidRDefault="003115E3">
      <w:pPr>
        <w:pStyle w:val="a3"/>
        <w:spacing w:line="264" w:lineRule="auto"/>
        <w:ind w:left="1327" w:right="1145" w:firstLine="210"/>
        <w:jc w:val="both"/>
      </w:pPr>
      <w:r>
        <w:rPr>
          <w:color w:val="231F20"/>
        </w:rPr>
        <w:t xml:space="preserve">The result was a </w:t>
      </w:r>
      <w:r>
        <w:rPr>
          <w:color w:val="231F20"/>
          <w:spacing w:val="-3"/>
        </w:rPr>
        <w:t xml:space="preserve">West </w:t>
      </w:r>
      <w:r>
        <w:rPr>
          <w:color w:val="231F20"/>
        </w:rPr>
        <w:t xml:space="preserve">Germany with more than one hundred </w:t>
      </w:r>
      <w:r>
        <w:rPr>
          <w:color w:val="231F20"/>
          <w:spacing w:val="1"/>
        </w:rPr>
        <w:t xml:space="preserve">U.S. </w:t>
      </w:r>
      <w:r>
        <w:rPr>
          <w:color w:val="231F20"/>
        </w:rPr>
        <w:t xml:space="preserve">bases on its territory and a ruling class eager to support American imperialism around the world. This was achieved by </w:t>
      </w:r>
      <w:r>
        <w:rPr>
          <w:color w:val="231F20"/>
          <w:spacing w:val="-8"/>
        </w:rPr>
        <w:t xml:space="preserve">(1) </w:t>
      </w:r>
      <w:r>
        <w:rPr>
          <w:color w:val="231F20"/>
        </w:rPr>
        <w:t xml:space="preserve">acting as a conduit for financial and military support to anticommunist regimes opposing the national liberation movements, </w:t>
      </w:r>
      <w:r>
        <w:rPr>
          <w:color w:val="231F20"/>
          <w:spacing w:val="-6"/>
        </w:rPr>
        <w:t xml:space="preserve">(2) </w:t>
      </w:r>
      <w:r>
        <w:rPr>
          <w:color w:val="231F20"/>
        </w:rPr>
        <w:t xml:space="preserve">establishing neocolonial penetration of former colonies on behalf of the West, and </w:t>
      </w:r>
      <w:r>
        <w:rPr>
          <w:color w:val="231F20"/>
          <w:spacing w:val="-6"/>
        </w:rPr>
        <w:t xml:space="preserve">(3) </w:t>
      </w:r>
      <w:r>
        <w:rPr>
          <w:color w:val="231F20"/>
        </w:rPr>
        <w:t>providing logistical support for American military interventions around the world.</w:t>
      </w:r>
    </w:p>
    <w:p w14:paraId="58826F9E" w14:textId="77777777" w:rsidR="002653E8" w:rsidRDefault="003115E3">
      <w:pPr>
        <w:pStyle w:val="a3"/>
        <w:spacing w:line="264" w:lineRule="auto"/>
        <w:ind w:left="1328" w:right="1145" w:firstLine="210"/>
        <w:jc w:val="both"/>
      </w:pPr>
      <w:r>
        <w:rPr>
          <w:color w:val="231F20"/>
        </w:rPr>
        <w:t xml:space="preserve">Some important examples of this first role—that of being a conduit   to repressive regimes—could include </w:t>
      </w:r>
      <w:r>
        <w:rPr>
          <w:color w:val="231F20"/>
          <w:spacing w:val="-3"/>
        </w:rPr>
        <w:t xml:space="preserve">West </w:t>
      </w:r>
      <w:r>
        <w:rPr>
          <w:color w:val="231F20"/>
        </w:rPr>
        <w:t>Germany’s support for the South African apartheid regime, for the fascist Salazar dictatorship in Portugal in its continuing war against freedom fighters in Mozambique and Angola, military and political support for the killers of Patrice Lumumba and for imperialist intervention in the Congo, massive financial aid (disguised as reparations) to the state of Israel, imperialism’s new colonial beachhead in the Middle East, and economic support for the South Vietnamese puppet</w:t>
      </w:r>
      <w:r>
        <w:rPr>
          <w:color w:val="231F20"/>
          <w:spacing w:val="43"/>
        </w:rPr>
        <w:t xml:space="preserve"> </w:t>
      </w:r>
      <w:r>
        <w:rPr>
          <w:color w:val="231F20"/>
        </w:rPr>
        <w:t>regime.</w:t>
      </w:r>
    </w:p>
    <w:p w14:paraId="1F00D4D8" w14:textId="77777777" w:rsidR="002653E8" w:rsidRDefault="003115E3">
      <w:pPr>
        <w:pStyle w:val="a3"/>
        <w:spacing w:line="264" w:lineRule="auto"/>
        <w:ind w:left="1328" w:right="1145" w:firstLine="210"/>
        <w:jc w:val="both"/>
      </w:pPr>
      <w:r>
        <w:rPr>
          <w:color w:val="231F20"/>
        </w:rPr>
        <w:t>Apart from loans, economic investment, military sales, and eventually the sharing of nuclear technology, these reactionary regimes would</w:t>
      </w:r>
    </w:p>
    <w:p w14:paraId="7DF23124" w14:textId="77777777" w:rsidR="002653E8" w:rsidRDefault="00000000">
      <w:pPr>
        <w:pStyle w:val="a3"/>
        <w:spacing w:before="6"/>
        <w:rPr>
          <w:sz w:val="24"/>
        </w:rPr>
      </w:pPr>
      <w:r>
        <w:rPr>
          <w:noProof w:val="0"/>
        </w:rPr>
        <w:pict w14:anchorId="71B2C304">
          <v:line id="_x0000_s2718" style="position:absolute;z-index:1552;mso-wrap-distance-left:0;mso-wrap-distance-right:0;mso-position-horizontal-relative:page" from="66.4pt,16.85pt" to="354.4pt,16.85pt" strokecolor="#231f20" strokeweight="1pt">
            <w10:wrap type="topAndBottom" anchorx="page"/>
          </v:line>
        </w:pict>
      </w:r>
    </w:p>
    <w:p w14:paraId="4F5427A4" w14:textId="77777777" w:rsidR="002653E8" w:rsidRDefault="003115E3">
      <w:pPr>
        <w:spacing w:before="8"/>
        <w:ind w:left="1327"/>
        <w:rPr>
          <w:sz w:val="16"/>
        </w:rPr>
      </w:pPr>
      <w:r>
        <w:rPr>
          <w:color w:val="231F20"/>
          <w:w w:val="105"/>
          <w:sz w:val="16"/>
        </w:rPr>
        <w:t>(1985/86): 118.</w:t>
      </w:r>
    </w:p>
    <w:p w14:paraId="6A819844" w14:textId="77777777" w:rsidR="002653E8" w:rsidRPr="00C507A5" w:rsidRDefault="003115E3">
      <w:pPr>
        <w:pStyle w:val="a4"/>
        <w:numPr>
          <w:ilvl w:val="0"/>
          <w:numId w:val="191"/>
        </w:numPr>
        <w:tabs>
          <w:tab w:val="left" w:pos="1467"/>
        </w:tabs>
        <w:spacing w:before="51" w:line="254" w:lineRule="auto"/>
        <w:ind w:left="1327" w:right="2214" w:firstLine="0"/>
        <w:jc w:val="left"/>
        <w:rPr>
          <w:sz w:val="16"/>
          <w:lang w:val="de-DE"/>
        </w:rPr>
      </w:pPr>
      <w:r w:rsidRPr="00C507A5">
        <w:rPr>
          <w:color w:val="231F20"/>
          <w:sz w:val="16"/>
          <w:lang w:val="de-DE"/>
        </w:rPr>
        <w:t xml:space="preserve">“Die Integration der Bundesrepublik ins westliche Bündnissystem,” </w:t>
      </w:r>
      <w:hyperlink r:id="rId40">
        <w:r w:rsidRPr="00C507A5">
          <w:rPr>
            <w:color w:val="231F20"/>
            <w:w w:val="103"/>
            <w:sz w:val="16"/>
            <w:lang w:val="de-DE"/>
          </w:rPr>
          <w:t>h</w:t>
        </w:r>
        <w:r w:rsidRPr="00C507A5">
          <w:rPr>
            <w:color w:val="231F20"/>
            <w:spacing w:val="5"/>
            <w:w w:val="103"/>
            <w:sz w:val="16"/>
            <w:lang w:val="de-DE"/>
          </w:rPr>
          <w:t>t</w:t>
        </w:r>
        <w:r w:rsidRPr="00C507A5">
          <w:rPr>
            <w:color w:val="231F20"/>
            <w:spacing w:val="3"/>
            <w:w w:val="102"/>
            <w:sz w:val="16"/>
            <w:lang w:val="de-DE"/>
          </w:rPr>
          <w:t>t</w:t>
        </w:r>
        <w:r w:rsidRPr="00C507A5">
          <w:rPr>
            <w:color w:val="231F20"/>
            <w:w w:val="103"/>
            <w:sz w:val="16"/>
            <w:lang w:val="de-DE"/>
          </w:rPr>
          <w:t>p</w:t>
        </w:r>
        <w:r w:rsidRPr="00C507A5">
          <w:rPr>
            <w:color w:val="231F20"/>
            <w:spacing w:val="5"/>
            <w:w w:val="109"/>
            <w:sz w:val="16"/>
            <w:lang w:val="de-DE"/>
          </w:rPr>
          <w:t>:</w:t>
        </w:r>
        <w:r w:rsidRPr="00C507A5">
          <w:rPr>
            <w:color w:val="231F20"/>
            <w:spacing w:val="-1"/>
            <w:w w:val="58"/>
            <w:sz w:val="16"/>
            <w:lang w:val="de-DE"/>
          </w:rPr>
          <w:t>/</w:t>
        </w:r>
        <w:r w:rsidRPr="00C507A5">
          <w:rPr>
            <w:color w:val="231F20"/>
            <w:spacing w:val="2"/>
            <w:w w:val="58"/>
            <w:sz w:val="16"/>
            <w:lang w:val="de-DE"/>
          </w:rPr>
          <w:t>/</w:t>
        </w:r>
        <w:r w:rsidRPr="00C507A5">
          <w:rPr>
            <w:color w:val="231F20"/>
            <w:spacing w:val="6"/>
            <w:w w:val="104"/>
            <w:sz w:val="16"/>
            <w:lang w:val="de-DE"/>
          </w:rPr>
          <w:t>ww</w:t>
        </w:r>
        <w:r w:rsidRPr="00C507A5">
          <w:rPr>
            <w:color w:val="231F20"/>
            <w:spacing w:val="-9"/>
            <w:w w:val="104"/>
            <w:sz w:val="16"/>
            <w:lang w:val="de-DE"/>
          </w:rPr>
          <w:t>w</w:t>
        </w:r>
        <w:r w:rsidRPr="00C507A5">
          <w:rPr>
            <w:color w:val="231F20"/>
            <w:spacing w:val="1"/>
            <w:w w:val="140"/>
            <w:sz w:val="16"/>
            <w:lang w:val="de-DE"/>
          </w:rPr>
          <w:t>.</w:t>
        </w:r>
        <w:r w:rsidRPr="00C507A5">
          <w:rPr>
            <w:color w:val="231F20"/>
            <w:spacing w:val="2"/>
            <w:w w:val="109"/>
            <w:sz w:val="16"/>
            <w:lang w:val="de-DE"/>
          </w:rPr>
          <w:t>k</w:t>
        </w:r>
        <w:r w:rsidRPr="00C507A5">
          <w:rPr>
            <w:color w:val="231F20"/>
            <w:spacing w:val="1"/>
            <w:w w:val="93"/>
            <w:sz w:val="16"/>
            <w:lang w:val="de-DE"/>
          </w:rPr>
          <w:t>s</w:t>
        </w:r>
        <w:r w:rsidRPr="00C507A5">
          <w:rPr>
            <w:color w:val="231F20"/>
            <w:w w:val="93"/>
            <w:sz w:val="16"/>
            <w:lang w:val="de-DE"/>
          </w:rPr>
          <w:t>s</w:t>
        </w:r>
        <w:r w:rsidRPr="00C507A5">
          <w:rPr>
            <w:color w:val="231F20"/>
            <w:spacing w:val="5"/>
            <w:w w:val="104"/>
            <w:sz w:val="16"/>
            <w:lang w:val="de-DE"/>
          </w:rPr>
          <w:t>u</w:t>
        </w:r>
        <w:r w:rsidRPr="00C507A5">
          <w:rPr>
            <w:color w:val="231F20"/>
            <w:spacing w:val="1"/>
            <w:w w:val="97"/>
            <w:sz w:val="16"/>
            <w:lang w:val="de-DE"/>
          </w:rPr>
          <w:t>r</w:t>
        </w:r>
        <w:r w:rsidRPr="00C507A5">
          <w:rPr>
            <w:color w:val="231F20"/>
            <w:spacing w:val="1"/>
            <w:w w:val="93"/>
            <w:sz w:val="16"/>
            <w:lang w:val="de-DE"/>
          </w:rPr>
          <w:t>s</w:t>
        </w:r>
        <w:r w:rsidRPr="00C507A5">
          <w:rPr>
            <w:color w:val="231F20"/>
            <w:spacing w:val="2"/>
            <w:w w:val="94"/>
            <w:sz w:val="16"/>
            <w:lang w:val="de-DE"/>
          </w:rPr>
          <w:t>e</w:t>
        </w:r>
        <w:r w:rsidRPr="00C507A5">
          <w:rPr>
            <w:color w:val="231F20"/>
            <w:spacing w:val="1"/>
            <w:w w:val="94"/>
            <w:sz w:val="16"/>
            <w:lang w:val="de-DE"/>
          </w:rPr>
          <w:t>e</w:t>
        </w:r>
        <w:r w:rsidRPr="00C507A5">
          <w:rPr>
            <w:color w:val="231F20"/>
            <w:w w:val="140"/>
            <w:sz w:val="16"/>
            <w:lang w:val="de-DE"/>
          </w:rPr>
          <w:t>.</w:t>
        </w:r>
        <w:r w:rsidRPr="00C507A5">
          <w:rPr>
            <w:color w:val="231F20"/>
            <w:w w:val="104"/>
            <w:sz w:val="16"/>
            <w:lang w:val="de-DE"/>
          </w:rPr>
          <w:t>c</w:t>
        </w:r>
        <w:r w:rsidRPr="00C507A5">
          <w:rPr>
            <w:color w:val="231F20"/>
            <w:spacing w:val="8"/>
            <w:w w:val="104"/>
            <w:sz w:val="16"/>
            <w:lang w:val="de-DE"/>
          </w:rPr>
          <w:t>h</w:t>
        </w:r>
        <w:r w:rsidRPr="00C507A5">
          <w:rPr>
            <w:color w:val="231F20"/>
            <w:spacing w:val="-2"/>
            <w:w w:val="58"/>
            <w:sz w:val="16"/>
            <w:lang w:val="de-DE"/>
          </w:rPr>
          <w:t>/</w:t>
        </w:r>
        <w:r w:rsidRPr="00C507A5">
          <w:rPr>
            <w:color w:val="231F20"/>
            <w:spacing w:val="2"/>
            <w:w w:val="93"/>
            <w:sz w:val="16"/>
            <w:lang w:val="de-DE"/>
          </w:rPr>
          <w:t>s</w:t>
        </w:r>
        <w:r w:rsidRPr="00C507A5">
          <w:rPr>
            <w:color w:val="231F20"/>
            <w:w w:val="104"/>
            <w:sz w:val="16"/>
            <w:lang w:val="de-DE"/>
          </w:rPr>
          <w:t>c</w:t>
        </w:r>
        <w:r w:rsidRPr="00C507A5">
          <w:rPr>
            <w:color w:val="231F20"/>
            <w:spacing w:val="-2"/>
            <w:w w:val="104"/>
            <w:sz w:val="16"/>
            <w:lang w:val="de-DE"/>
          </w:rPr>
          <w:t>h</w:t>
        </w:r>
        <w:r w:rsidRPr="00C507A5">
          <w:rPr>
            <w:color w:val="231F20"/>
            <w:w w:val="104"/>
            <w:sz w:val="16"/>
            <w:lang w:val="de-DE"/>
          </w:rPr>
          <w:t>u</w:t>
        </w:r>
        <w:r w:rsidRPr="00C507A5">
          <w:rPr>
            <w:color w:val="231F20"/>
            <w:w w:val="94"/>
            <w:sz w:val="16"/>
            <w:lang w:val="de-DE"/>
          </w:rPr>
          <w:t>e</w:t>
        </w:r>
        <w:r w:rsidRPr="00C507A5">
          <w:rPr>
            <w:color w:val="231F20"/>
            <w:w w:val="106"/>
            <w:sz w:val="16"/>
            <w:lang w:val="de-DE"/>
          </w:rPr>
          <w:t>l</w:t>
        </w:r>
        <w:r w:rsidRPr="00C507A5">
          <w:rPr>
            <w:color w:val="231F20"/>
            <w:w w:val="94"/>
            <w:sz w:val="16"/>
            <w:lang w:val="de-DE"/>
          </w:rPr>
          <w:t>e</w:t>
        </w:r>
        <w:r w:rsidRPr="00C507A5">
          <w:rPr>
            <w:color w:val="231F20"/>
            <w:spacing w:val="5"/>
            <w:w w:val="97"/>
            <w:sz w:val="16"/>
            <w:lang w:val="de-DE"/>
          </w:rPr>
          <w:t>r</w:t>
        </w:r>
        <w:r w:rsidRPr="00C507A5">
          <w:rPr>
            <w:color w:val="231F20"/>
            <w:w w:val="104"/>
            <w:sz w:val="16"/>
            <w:lang w:val="de-DE"/>
          </w:rPr>
          <w:t>w</w:t>
        </w:r>
        <w:r w:rsidRPr="00C507A5">
          <w:rPr>
            <w:color w:val="231F20"/>
            <w:w w:val="94"/>
            <w:sz w:val="16"/>
            <w:lang w:val="de-DE"/>
          </w:rPr>
          <w:t>e</w:t>
        </w:r>
        <w:r w:rsidRPr="00C507A5">
          <w:rPr>
            <w:color w:val="231F20"/>
            <w:spacing w:val="2"/>
            <w:w w:val="105"/>
            <w:sz w:val="16"/>
            <w:lang w:val="de-DE"/>
          </w:rPr>
          <w:t>b</w:t>
        </w:r>
        <w:r w:rsidRPr="00C507A5">
          <w:rPr>
            <w:color w:val="231F20"/>
            <w:spacing w:val="7"/>
            <w:w w:val="58"/>
            <w:sz w:val="16"/>
            <w:lang w:val="de-DE"/>
          </w:rPr>
          <w:t>/</w:t>
        </w:r>
        <w:r w:rsidRPr="00C507A5">
          <w:rPr>
            <w:color w:val="231F20"/>
            <w:spacing w:val="1"/>
            <w:w w:val="109"/>
            <w:sz w:val="16"/>
            <w:lang w:val="de-DE"/>
          </w:rPr>
          <w:t>k</w:t>
        </w:r>
        <w:r w:rsidRPr="00C507A5">
          <w:rPr>
            <w:color w:val="231F20"/>
            <w:spacing w:val="2"/>
            <w:w w:val="106"/>
            <w:sz w:val="16"/>
            <w:lang w:val="de-DE"/>
          </w:rPr>
          <w:t>a</w:t>
        </w:r>
        <w:r w:rsidRPr="00C507A5">
          <w:rPr>
            <w:color w:val="231F20"/>
            <w:spacing w:val="-1"/>
            <w:w w:val="106"/>
            <w:sz w:val="16"/>
            <w:lang w:val="de-DE"/>
          </w:rPr>
          <w:t>l</w:t>
        </w:r>
        <w:r w:rsidRPr="00C507A5">
          <w:rPr>
            <w:color w:val="231F20"/>
            <w:spacing w:val="1"/>
            <w:w w:val="102"/>
            <w:sz w:val="16"/>
            <w:lang w:val="de-DE"/>
          </w:rPr>
          <w:t>t</w:t>
        </w:r>
        <w:r w:rsidRPr="00C507A5">
          <w:rPr>
            <w:color w:val="231F20"/>
            <w:w w:val="94"/>
            <w:sz w:val="16"/>
            <w:lang w:val="de-DE"/>
          </w:rPr>
          <w:t>e</w:t>
        </w:r>
        <w:r w:rsidRPr="00C507A5">
          <w:rPr>
            <w:color w:val="231F20"/>
            <w:spacing w:val="1"/>
            <w:w w:val="97"/>
            <w:sz w:val="16"/>
            <w:lang w:val="de-DE"/>
          </w:rPr>
          <w:t>r</w:t>
        </w:r>
        <w:r w:rsidRPr="00C507A5">
          <w:rPr>
            <w:color w:val="231F20"/>
            <w:spacing w:val="1"/>
            <w:w w:val="104"/>
            <w:sz w:val="16"/>
            <w:lang w:val="de-DE"/>
          </w:rPr>
          <w:t>-</w:t>
        </w:r>
        <w:r w:rsidRPr="00C507A5">
          <w:rPr>
            <w:color w:val="231F20"/>
            <w:spacing w:val="5"/>
            <w:w w:val="109"/>
            <w:sz w:val="16"/>
            <w:lang w:val="de-DE"/>
          </w:rPr>
          <w:t>k</w:t>
        </w:r>
        <w:r w:rsidRPr="00C507A5">
          <w:rPr>
            <w:color w:val="231F20"/>
            <w:spacing w:val="2"/>
            <w:w w:val="97"/>
            <w:sz w:val="16"/>
            <w:lang w:val="de-DE"/>
          </w:rPr>
          <w:t>r</w:t>
        </w:r>
        <w:r w:rsidRPr="00C507A5">
          <w:rPr>
            <w:color w:val="231F20"/>
            <w:w w:val="103"/>
            <w:sz w:val="16"/>
            <w:lang w:val="de-DE"/>
          </w:rPr>
          <w:t>i</w:t>
        </w:r>
        <w:r w:rsidRPr="00C507A5">
          <w:rPr>
            <w:color w:val="231F20"/>
            <w:spacing w:val="1"/>
            <w:w w:val="94"/>
            <w:sz w:val="16"/>
            <w:lang w:val="de-DE"/>
          </w:rPr>
          <w:t>e</w:t>
        </w:r>
        <w:r w:rsidRPr="00C507A5">
          <w:rPr>
            <w:color w:val="231F20"/>
            <w:spacing w:val="8"/>
            <w:w w:val="104"/>
            <w:sz w:val="16"/>
            <w:lang w:val="de-DE"/>
          </w:rPr>
          <w:t>g</w:t>
        </w:r>
        <w:r w:rsidRPr="00C507A5">
          <w:rPr>
            <w:color w:val="231F20"/>
            <w:spacing w:val="7"/>
            <w:w w:val="58"/>
            <w:sz w:val="16"/>
            <w:lang w:val="de-DE"/>
          </w:rPr>
          <w:t>/</w:t>
        </w:r>
        <w:r w:rsidRPr="00C507A5">
          <w:rPr>
            <w:color w:val="231F20"/>
            <w:spacing w:val="3"/>
            <w:w w:val="109"/>
            <w:sz w:val="16"/>
            <w:lang w:val="de-DE"/>
          </w:rPr>
          <w:t>k</w:t>
        </w:r>
        <w:r w:rsidRPr="00C507A5">
          <w:rPr>
            <w:color w:val="231F20"/>
            <w:spacing w:val="8"/>
            <w:w w:val="109"/>
            <w:sz w:val="16"/>
            <w:lang w:val="de-DE"/>
          </w:rPr>
          <w:t>k</w:t>
        </w:r>
        <w:r w:rsidRPr="00C507A5">
          <w:rPr>
            <w:color w:val="231F20"/>
            <w:spacing w:val="2"/>
            <w:w w:val="58"/>
            <w:sz w:val="16"/>
            <w:lang w:val="de-DE"/>
          </w:rPr>
          <w:t>/</w:t>
        </w:r>
        <w:r w:rsidRPr="00C507A5">
          <w:rPr>
            <w:color w:val="231F20"/>
            <w:spacing w:val="3"/>
            <w:w w:val="103"/>
            <w:sz w:val="16"/>
            <w:lang w:val="de-DE"/>
          </w:rPr>
          <w:t>i</w:t>
        </w:r>
        <w:r w:rsidRPr="00C507A5">
          <w:rPr>
            <w:color w:val="231F20"/>
            <w:w w:val="102"/>
            <w:sz w:val="16"/>
            <w:lang w:val="de-DE"/>
          </w:rPr>
          <w:t>n</w:t>
        </w:r>
        <w:r w:rsidRPr="00C507A5">
          <w:rPr>
            <w:color w:val="231F20"/>
            <w:spacing w:val="1"/>
            <w:w w:val="102"/>
            <w:sz w:val="16"/>
            <w:lang w:val="de-DE"/>
          </w:rPr>
          <w:t>t</w:t>
        </w:r>
        <w:r w:rsidRPr="00C507A5">
          <w:rPr>
            <w:color w:val="231F20"/>
            <w:spacing w:val="1"/>
            <w:w w:val="94"/>
            <w:sz w:val="16"/>
            <w:lang w:val="de-DE"/>
          </w:rPr>
          <w:t>e</w:t>
        </w:r>
        <w:r w:rsidRPr="00C507A5">
          <w:rPr>
            <w:color w:val="231F20"/>
            <w:spacing w:val="5"/>
            <w:w w:val="104"/>
            <w:sz w:val="16"/>
            <w:lang w:val="de-DE"/>
          </w:rPr>
          <w:t>g</w:t>
        </w:r>
        <w:r w:rsidRPr="00C507A5">
          <w:rPr>
            <w:color w:val="231F20"/>
            <w:w w:val="97"/>
            <w:sz w:val="16"/>
            <w:lang w:val="de-DE"/>
          </w:rPr>
          <w:t>r</w:t>
        </w:r>
        <w:r w:rsidRPr="00C507A5">
          <w:rPr>
            <w:color w:val="231F20"/>
            <w:spacing w:val="-1"/>
            <w:w w:val="106"/>
            <w:sz w:val="16"/>
            <w:lang w:val="de-DE"/>
          </w:rPr>
          <w:t>a</w:t>
        </w:r>
        <w:r w:rsidRPr="00C507A5">
          <w:rPr>
            <w:color w:val="231F20"/>
            <w:spacing w:val="2"/>
            <w:w w:val="102"/>
            <w:sz w:val="16"/>
            <w:lang w:val="de-DE"/>
          </w:rPr>
          <w:t>t</w:t>
        </w:r>
        <w:r w:rsidRPr="00C507A5">
          <w:rPr>
            <w:color w:val="231F20"/>
            <w:w w:val="107"/>
            <w:sz w:val="16"/>
            <w:lang w:val="de-DE"/>
          </w:rPr>
          <w:t>io</w:t>
        </w:r>
        <w:r w:rsidRPr="00C507A5">
          <w:rPr>
            <w:color w:val="231F20"/>
            <w:spacing w:val="1"/>
            <w:w w:val="103"/>
            <w:sz w:val="16"/>
            <w:lang w:val="de-DE"/>
          </w:rPr>
          <w:t>n</w:t>
        </w:r>
        <w:r w:rsidRPr="00C507A5">
          <w:rPr>
            <w:color w:val="231F20"/>
            <w:spacing w:val="1"/>
            <w:w w:val="140"/>
            <w:sz w:val="16"/>
            <w:lang w:val="de-DE"/>
          </w:rPr>
          <w:t>.</w:t>
        </w:r>
        <w:r w:rsidRPr="00C507A5">
          <w:rPr>
            <w:color w:val="231F20"/>
            <w:w w:val="103"/>
            <w:sz w:val="16"/>
            <w:lang w:val="de-DE"/>
          </w:rPr>
          <w:t>h</w:t>
        </w:r>
        <w:r w:rsidRPr="00C507A5">
          <w:rPr>
            <w:color w:val="231F20"/>
            <w:spacing w:val="3"/>
            <w:w w:val="103"/>
            <w:sz w:val="16"/>
            <w:lang w:val="de-DE"/>
          </w:rPr>
          <w:t>t</w:t>
        </w:r>
        <w:r w:rsidRPr="00C507A5">
          <w:rPr>
            <w:color w:val="231F20"/>
            <w:spacing w:val="1"/>
            <w:w w:val="103"/>
            <w:sz w:val="16"/>
            <w:lang w:val="de-DE"/>
          </w:rPr>
          <w:t>m</w:t>
        </w:r>
        <w:r w:rsidRPr="00C507A5">
          <w:rPr>
            <w:color w:val="231F20"/>
            <w:w w:val="140"/>
            <w:sz w:val="16"/>
            <w:lang w:val="de-DE"/>
          </w:rPr>
          <w:t>.</w:t>
        </w:r>
      </w:hyperlink>
    </w:p>
    <w:p w14:paraId="08BB52CE" w14:textId="77777777" w:rsidR="002653E8" w:rsidRDefault="003115E3">
      <w:pPr>
        <w:pStyle w:val="a4"/>
        <w:numPr>
          <w:ilvl w:val="0"/>
          <w:numId w:val="191"/>
        </w:numPr>
        <w:tabs>
          <w:tab w:val="left" w:pos="1467"/>
        </w:tabs>
        <w:ind w:left="1466"/>
        <w:jc w:val="left"/>
        <w:rPr>
          <w:sz w:val="16"/>
        </w:rPr>
      </w:pPr>
      <w:r>
        <w:rPr>
          <w:color w:val="231F20"/>
          <w:w w:val="105"/>
          <w:sz w:val="16"/>
        </w:rPr>
        <w:t>Women Against Imperialist War,</w:t>
      </w:r>
      <w:r>
        <w:rPr>
          <w:color w:val="231F20"/>
          <w:spacing w:val="33"/>
          <w:w w:val="105"/>
          <w:sz w:val="16"/>
        </w:rPr>
        <w:t xml:space="preserve"> </w:t>
      </w:r>
      <w:r>
        <w:rPr>
          <w:color w:val="231F20"/>
          <w:w w:val="105"/>
          <w:sz w:val="16"/>
        </w:rPr>
        <w:t>22.</w:t>
      </w:r>
    </w:p>
    <w:p w14:paraId="1564641B" w14:textId="77777777" w:rsidR="002653E8" w:rsidRDefault="002653E8">
      <w:pPr>
        <w:rPr>
          <w:sz w:val="16"/>
        </w:rPr>
        <w:sectPr w:rsidR="002653E8">
          <w:pgSz w:w="8640" w:h="12960"/>
          <w:pgMar w:top="1040" w:right="0" w:bottom="1040" w:left="0" w:header="0" w:footer="850" w:gutter="0"/>
          <w:cols w:space="720"/>
        </w:sectPr>
      </w:pPr>
    </w:p>
    <w:p w14:paraId="47612D49" w14:textId="77777777" w:rsidR="002653E8" w:rsidRDefault="003115E3">
      <w:pPr>
        <w:pStyle w:val="a3"/>
        <w:spacing w:before="86" w:line="264" w:lineRule="auto"/>
        <w:ind w:left="1147" w:right="1326"/>
        <w:jc w:val="both"/>
        <w:rPr>
          <w:sz w:val="11"/>
        </w:rPr>
      </w:pPr>
      <w:r>
        <w:rPr>
          <w:color w:val="231F20"/>
        </w:rPr>
        <w:lastRenderedPageBreak/>
        <w:t>also benefit from the occasional intervention of German soldiers</w:t>
      </w:r>
      <w:r>
        <w:rPr>
          <w:color w:val="231F20"/>
          <w:position w:val="7"/>
          <w:sz w:val="11"/>
        </w:rPr>
        <w:t xml:space="preserve">1 </w:t>
      </w:r>
      <w:r>
        <w:rPr>
          <w:color w:val="231F20"/>
        </w:rPr>
        <w:t>and mercenaries, including veterans of the Nazi SS.</w:t>
      </w:r>
      <w:r>
        <w:rPr>
          <w:color w:val="231F20"/>
          <w:position w:val="7"/>
          <w:sz w:val="11"/>
        </w:rPr>
        <w:t>2</w:t>
      </w:r>
    </w:p>
    <w:p w14:paraId="76131C50" w14:textId="77777777" w:rsidR="002653E8" w:rsidRDefault="003115E3">
      <w:pPr>
        <w:pStyle w:val="a3"/>
        <w:spacing w:line="264" w:lineRule="auto"/>
        <w:ind w:left="1147" w:right="1325" w:firstLine="210"/>
        <w:jc w:val="both"/>
      </w:pPr>
      <w:r>
        <w:rPr>
          <w:color w:val="231F20"/>
        </w:rPr>
        <w:t xml:space="preserve">The task of entangling the former colonies in the western sphere was accomplished primarily through “development </w:t>
      </w:r>
      <w:r>
        <w:rPr>
          <w:color w:val="231F20"/>
          <w:spacing w:val="-3"/>
        </w:rPr>
        <w:t xml:space="preserve">aid,” </w:t>
      </w:r>
      <w:r>
        <w:rPr>
          <w:color w:val="231F20"/>
        </w:rPr>
        <w:t xml:space="preserve">much of  which  took the form of weapons shipments to the new so-called “national states.” While such aid was often used to pressure the new national states to join pro-American military alliances, or else to refuse recognition to the GDR, it was equally important simply as a method of maintaining and entrenching the ties between Western capitalism and Third </w:t>
      </w:r>
      <w:r>
        <w:rPr>
          <w:color w:val="231F20"/>
          <w:spacing w:val="-4"/>
        </w:rPr>
        <w:t>World</w:t>
      </w:r>
      <w:r>
        <w:rPr>
          <w:color w:val="231F20"/>
          <w:spacing w:val="21"/>
        </w:rPr>
        <w:t xml:space="preserve"> </w:t>
      </w:r>
      <w:r>
        <w:rPr>
          <w:color w:val="231F20"/>
        </w:rPr>
        <w:t>elites.</w:t>
      </w:r>
    </w:p>
    <w:p w14:paraId="56321E40" w14:textId="77777777" w:rsidR="002653E8" w:rsidRDefault="003115E3">
      <w:pPr>
        <w:pStyle w:val="a3"/>
        <w:spacing w:line="264" w:lineRule="auto"/>
        <w:ind w:left="1147" w:right="1325" w:firstLine="209"/>
        <w:jc w:val="both"/>
      </w:pPr>
      <w:r>
        <w:rPr>
          <w:color w:val="231F20"/>
        </w:rPr>
        <w:t xml:space="preserve">By the late </w:t>
      </w:r>
      <w:r>
        <w:rPr>
          <w:color w:val="231F20"/>
          <w:spacing w:val="-4"/>
        </w:rPr>
        <w:t xml:space="preserve">1950s, </w:t>
      </w:r>
      <w:r>
        <w:rPr>
          <w:color w:val="231F20"/>
        </w:rPr>
        <w:t xml:space="preserve">the FRG had established itself as an important </w:t>
      </w:r>
      <w:r>
        <w:rPr>
          <w:color w:val="231F20"/>
          <w:spacing w:val="-3"/>
        </w:rPr>
        <w:t xml:space="preserve">“donor” </w:t>
      </w:r>
      <w:r>
        <w:rPr>
          <w:color w:val="231F20"/>
        </w:rPr>
        <w:t xml:space="preserve">nation, for a while providing more </w:t>
      </w:r>
      <w:r>
        <w:rPr>
          <w:color w:val="231F20"/>
          <w:spacing w:val="-3"/>
        </w:rPr>
        <w:t xml:space="preserve">“aid” </w:t>
      </w:r>
      <w:r>
        <w:rPr>
          <w:color w:val="231F20"/>
        </w:rPr>
        <w:t>than any Western government other than the United States.</w:t>
      </w:r>
      <w:r>
        <w:rPr>
          <w:color w:val="231F20"/>
          <w:position w:val="7"/>
          <w:sz w:val="11"/>
        </w:rPr>
        <w:t xml:space="preserve">3 </w:t>
      </w:r>
      <w:r>
        <w:rPr>
          <w:color w:val="231F20"/>
        </w:rPr>
        <w:t>It was a logical candidate for this role given the fact that it had lost its own colonies decades earlier; as</w:t>
      </w:r>
      <w:r>
        <w:rPr>
          <w:color w:val="231F20"/>
          <w:spacing w:val="11"/>
        </w:rPr>
        <w:t xml:space="preserve"> </w:t>
      </w:r>
      <w:r>
        <w:rPr>
          <w:color w:val="231F20"/>
        </w:rPr>
        <w:t>the</w:t>
      </w:r>
      <w:r>
        <w:rPr>
          <w:color w:val="231F20"/>
          <w:spacing w:val="11"/>
        </w:rPr>
        <w:t xml:space="preserve"> </w:t>
      </w:r>
      <w:r>
        <w:rPr>
          <w:i/>
          <w:color w:val="231F20"/>
        </w:rPr>
        <w:t>Stuttgarter</w:t>
      </w:r>
      <w:r>
        <w:rPr>
          <w:i/>
          <w:color w:val="231F20"/>
          <w:spacing w:val="11"/>
        </w:rPr>
        <w:t xml:space="preserve"> </w:t>
      </w:r>
      <w:r>
        <w:rPr>
          <w:i/>
          <w:color w:val="231F20"/>
        </w:rPr>
        <w:t>Zeitung</w:t>
      </w:r>
      <w:r>
        <w:rPr>
          <w:i/>
          <w:color w:val="231F20"/>
          <w:spacing w:val="11"/>
        </w:rPr>
        <w:t xml:space="preserve"> </w:t>
      </w:r>
      <w:r>
        <w:rPr>
          <w:color w:val="231F20"/>
        </w:rPr>
        <w:t>noted</w:t>
      </w:r>
      <w:r>
        <w:rPr>
          <w:color w:val="231F20"/>
          <w:spacing w:val="11"/>
        </w:rPr>
        <w:t xml:space="preserve"> </w:t>
      </w:r>
      <w:r>
        <w:rPr>
          <w:color w:val="231F20"/>
        </w:rPr>
        <w:t>in</w:t>
      </w:r>
      <w:r>
        <w:rPr>
          <w:color w:val="231F20"/>
          <w:spacing w:val="11"/>
        </w:rPr>
        <w:t xml:space="preserve"> </w:t>
      </w:r>
      <w:r>
        <w:rPr>
          <w:color w:val="231F20"/>
          <w:spacing w:val="-6"/>
        </w:rPr>
        <w:t>1963:</w:t>
      </w:r>
    </w:p>
    <w:p w14:paraId="5BBF5A62" w14:textId="77777777" w:rsidR="002653E8" w:rsidRDefault="003115E3">
      <w:pPr>
        <w:spacing w:before="113" w:line="276" w:lineRule="auto"/>
        <w:ind w:left="1567" w:right="1745"/>
        <w:jc w:val="both"/>
        <w:rPr>
          <w:i/>
          <w:sz w:val="19"/>
        </w:rPr>
      </w:pPr>
      <w:r>
        <w:rPr>
          <w:i/>
          <w:color w:val="231F20"/>
          <w:w w:val="105"/>
          <w:sz w:val="19"/>
        </w:rPr>
        <w:t xml:space="preserve">It is clear why African  states  turn  to  Bonn  and  not  to  </w:t>
      </w:r>
      <w:r>
        <w:rPr>
          <w:i/>
          <w:color w:val="231F20"/>
          <w:spacing w:val="-5"/>
          <w:w w:val="105"/>
          <w:sz w:val="19"/>
        </w:rPr>
        <w:t xml:space="preserve">Paris </w:t>
      </w:r>
      <w:r>
        <w:rPr>
          <w:i/>
          <w:color w:val="231F20"/>
          <w:w w:val="105"/>
          <w:sz w:val="19"/>
        </w:rPr>
        <w:t>or London… They turn to a country which is not tainted by colonialism.</w:t>
      </w:r>
    </w:p>
    <w:p w14:paraId="56FB5956" w14:textId="77777777" w:rsidR="002653E8" w:rsidRDefault="003115E3">
      <w:pPr>
        <w:spacing w:before="130"/>
        <w:ind w:left="1147"/>
        <w:rPr>
          <w:sz w:val="20"/>
        </w:rPr>
      </w:pPr>
      <w:r>
        <w:rPr>
          <w:color w:val="231F20"/>
          <w:sz w:val="20"/>
        </w:rPr>
        <w:t xml:space="preserve">Or, as the American </w:t>
      </w:r>
      <w:r>
        <w:rPr>
          <w:i/>
          <w:color w:val="231F20"/>
          <w:sz w:val="20"/>
        </w:rPr>
        <w:t xml:space="preserve">Evening Star </w:t>
      </w:r>
      <w:r>
        <w:rPr>
          <w:color w:val="231F20"/>
          <w:sz w:val="20"/>
        </w:rPr>
        <w:t>wrote that same year:</w:t>
      </w:r>
    </w:p>
    <w:p w14:paraId="039F1C20" w14:textId="77777777" w:rsidR="002653E8" w:rsidRDefault="003115E3">
      <w:pPr>
        <w:spacing w:before="151" w:line="276" w:lineRule="auto"/>
        <w:ind w:left="1567" w:right="1745"/>
        <w:jc w:val="both"/>
        <w:rPr>
          <w:i/>
          <w:sz w:val="11"/>
        </w:rPr>
      </w:pPr>
      <w:r>
        <w:rPr>
          <w:i/>
          <w:color w:val="231F20"/>
          <w:spacing w:val="-3"/>
          <w:sz w:val="19"/>
        </w:rPr>
        <w:t xml:space="preserve">West </w:t>
      </w:r>
      <w:r>
        <w:rPr>
          <w:i/>
          <w:color w:val="231F20"/>
          <w:sz w:val="19"/>
        </w:rPr>
        <w:t xml:space="preserve">Germany has been specifically authorized by the Atlantic Alliance to grant military aid to Africa and other countries; the simple reason is that no other western country is as well suited     for these tasks. </w:t>
      </w:r>
      <w:r>
        <w:rPr>
          <w:i/>
          <w:color w:val="231F20"/>
          <w:spacing w:val="-3"/>
          <w:sz w:val="19"/>
        </w:rPr>
        <w:t xml:space="preserve">West </w:t>
      </w:r>
      <w:r>
        <w:rPr>
          <w:i/>
          <w:color w:val="231F20"/>
          <w:sz w:val="19"/>
        </w:rPr>
        <w:t>Germany is free from the blemish of colonial rule…</w:t>
      </w:r>
      <w:r>
        <w:rPr>
          <w:i/>
          <w:color w:val="231F20"/>
          <w:position w:val="6"/>
          <w:sz w:val="11"/>
        </w:rPr>
        <w:t>4</w:t>
      </w:r>
    </w:p>
    <w:p w14:paraId="0A06AFFA" w14:textId="77777777" w:rsidR="002653E8" w:rsidRDefault="003115E3">
      <w:pPr>
        <w:pStyle w:val="a3"/>
        <w:spacing w:before="132" w:line="264" w:lineRule="auto"/>
        <w:ind w:left="1147" w:right="1326" w:hanging="1"/>
        <w:jc w:val="both"/>
      </w:pPr>
      <w:r>
        <w:rPr>
          <w:color w:val="231F20"/>
        </w:rPr>
        <w:t>The prime examples of the FRG’s third role—providing direct support for American military forces—were the many U.S. military bases scattered throughout the country. These served both as a threat to the East Bloc countries, as well as staging areas for special operations. As mili-</w:t>
      </w:r>
    </w:p>
    <w:p w14:paraId="3D99ADB6" w14:textId="77777777" w:rsidR="002653E8" w:rsidRDefault="00000000">
      <w:pPr>
        <w:pStyle w:val="a3"/>
        <w:spacing w:before="3"/>
        <w:rPr>
          <w:sz w:val="27"/>
        </w:rPr>
      </w:pPr>
      <w:r>
        <w:rPr>
          <w:noProof w:val="0"/>
        </w:rPr>
        <w:pict w14:anchorId="71F066E9">
          <v:line id="_x0000_s2717" style="position:absolute;z-index:1576;mso-wrap-distance-left:0;mso-wrap-distance-right:0;mso-position-horizontal-relative:page" from="57.4pt,18.2pt" to="129.4pt,18.2pt" strokecolor="#231f20" strokeweight=".5pt">
            <w10:wrap type="topAndBottom" anchorx="page"/>
          </v:line>
        </w:pict>
      </w:r>
    </w:p>
    <w:p w14:paraId="4BA9F92E" w14:textId="77777777" w:rsidR="002653E8" w:rsidRDefault="003115E3">
      <w:pPr>
        <w:pStyle w:val="a4"/>
        <w:numPr>
          <w:ilvl w:val="0"/>
          <w:numId w:val="190"/>
        </w:numPr>
        <w:tabs>
          <w:tab w:val="left" w:pos="1287"/>
        </w:tabs>
        <w:spacing w:before="53" w:line="254" w:lineRule="auto"/>
        <w:ind w:right="1448" w:hanging="1"/>
        <w:jc w:val="left"/>
        <w:rPr>
          <w:sz w:val="16"/>
        </w:rPr>
      </w:pPr>
      <w:r>
        <w:rPr>
          <w:color w:val="231F20"/>
          <w:w w:val="110"/>
          <w:sz w:val="16"/>
        </w:rPr>
        <w:t xml:space="preserve">Regarding all these, see </w:t>
      </w:r>
      <w:r>
        <w:rPr>
          <w:i/>
          <w:color w:val="231F20"/>
          <w:w w:val="110"/>
          <w:sz w:val="16"/>
        </w:rPr>
        <w:t xml:space="preserve">The </w:t>
      </w:r>
      <w:r>
        <w:rPr>
          <w:i/>
          <w:color w:val="231F20"/>
          <w:spacing w:val="1"/>
          <w:w w:val="110"/>
          <w:sz w:val="16"/>
        </w:rPr>
        <w:t xml:space="preserve">Neo-colonialism </w:t>
      </w:r>
      <w:r>
        <w:rPr>
          <w:i/>
          <w:color w:val="231F20"/>
          <w:w w:val="110"/>
          <w:sz w:val="16"/>
        </w:rPr>
        <w:t xml:space="preserve">of the West </w:t>
      </w:r>
      <w:r>
        <w:rPr>
          <w:i/>
          <w:color w:val="231F20"/>
          <w:spacing w:val="2"/>
          <w:w w:val="110"/>
          <w:sz w:val="16"/>
        </w:rPr>
        <w:t xml:space="preserve">German </w:t>
      </w:r>
      <w:r>
        <w:rPr>
          <w:i/>
          <w:color w:val="231F20"/>
          <w:w w:val="110"/>
          <w:sz w:val="16"/>
        </w:rPr>
        <w:t xml:space="preserve">Federal Republic </w:t>
      </w:r>
      <w:r>
        <w:rPr>
          <w:color w:val="231F20"/>
          <w:w w:val="110"/>
          <w:sz w:val="16"/>
        </w:rPr>
        <w:t xml:space="preserve">(German Democratic Republic: </w:t>
      </w:r>
      <w:r>
        <w:rPr>
          <w:color w:val="231F20"/>
          <w:spacing w:val="1"/>
          <w:w w:val="110"/>
          <w:sz w:val="16"/>
        </w:rPr>
        <w:t xml:space="preserve">Afro-Asian </w:t>
      </w:r>
      <w:r>
        <w:rPr>
          <w:color w:val="231F20"/>
          <w:w w:val="110"/>
          <w:sz w:val="16"/>
        </w:rPr>
        <w:t xml:space="preserve">Solidarity Committee, </w:t>
      </w:r>
      <w:r>
        <w:rPr>
          <w:color w:val="231F20"/>
          <w:spacing w:val="-4"/>
          <w:w w:val="110"/>
          <w:sz w:val="16"/>
        </w:rPr>
        <w:t xml:space="preserve">1965), </w:t>
      </w:r>
      <w:r>
        <w:rPr>
          <w:color w:val="231F20"/>
          <w:w w:val="110"/>
          <w:sz w:val="16"/>
        </w:rPr>
        <w:t xml:space="preserve">20-35, </w:t>
      </w:r>
      <w:r>
        <w:rPr>
          <w:color w:val="231F20"/>
          <w:spacing w:val="-4"/>
          <w:w w:val="110"/>
          <w:sz w:val="16"/>
        </w:rPr>
        <w:t xml:space="preserve">39-45, </w:t>
      </w:r>
      <w:r>
        <w:rPr>
          <w:color w:val="231F20"/>
          <w:w w:val="110"/>
          <w:sz w:val="16"/>
        </w:rPr>
        <w:t>62-65,</w:t>
      </w:r>
      <w:r>
        <w:rPr>
          <w:color w:val="231F20"/>
          <w:spacing w:val="20"/>
          <w:w w:val="110"/>
          <w:sz w:val="16"/>
        </w:rPr>
        <w:t xml:space="preserve"> </w:t>
      </w:r>
      <w:r>
        <w:rPr>
          <w:color w:val="231F20"/>
          <w:spacing w:val="-3"/>
          <w:w w:val="110"/>
          <w:sz w:val="16"/>
        </w:rPr>
        <w:t>82-85.</w:t>
      </w:r>
    </w:p>
    <w:p w14:paraId="52C94049" w14:textId="77777777" w:rsidR="002653E8" w:rsidRDefault="003115E3">
      <w:pPr>
        <w:pStyle w:val="a4"/>
        <w:numPr>
          <w:ilvl w:val="0"/>
          <w:numId w:val="190"/>
        </w:numPr>
        <w:tabs>
          <w:tab w:val="left" w:pos="1287"/>
        </w:tabs>
        <w:spacing w:line="254" w:lineRule="auto"/>
        <w:ind w:left="1147" w:right="1345" w:firstLine="0"/>
        <w:jc w:val="left"/>
        <w:rPr>
          <w:sz w:val="16"/>
        </w:rPr>
      </w:pPr>
      <w:r>
        <w:rPr>
          <w:color w:val="231F20"/>
          <w:w w:val="110"/>
          <w:sz w:val="16"/>
        </w:rPr>
        <w:t xml:space="preserve">Madeleine </w:t>
      </w:r>
      <w:r>
        <w:rPr>
          <w:color w:val="231F20"/>
          <w:spacing w:val="1"/>
          <w:w w:val="110"/>
          <w:sz w:val="16"/>
        </w:rPr>
        <w:t xml:space="preserve">G. </w:t>
      </w:r>
      <w:r>
        <w:rPr>
          <w:color w:val="231F20"/>
          <w:w w:val="110"/>
          <w:sz w:val="16"/>
        </w:rPr>
        <w:t xml:space="preserve">Kalb,  </w:t>
      </w:r>
      <w:r>
        <w:rPr>
          <w:i/>
          <w:color w:val="231F20"/>
          <w:w w:val="110"/>
          <w:sz w:val="16"/>
        </w:rPr>
        <w:t xml:space="preserve">The Congo Cables: The Cold War in </w:t>
      </w:r>
      <w:r>
        <w:rPr>
          <w:i/>
          <w:color w:val="231F20"/>
          <w:spacing w:val="1"/>
          <w:w w:val="110"/>
          <w:sz w:val="16"/>
        </w:rPr>
        <w:t xml:space="preserve">Africa </w:t>
      </w:r>
      <w:r>
        <w:rPr>
          <w:i/>
          <w:color w:val="231F20"/>
          <w:w w:val="110"/>
          <w:sz w:val="16"/>
        </w:rPr>
        <w:t xml:space="preserve">from </w:t>
      </w:r>
      <w:r>
        <w:rPr>
          <w:i/>
          <w:color w:val="231F20"/>
          <w:spacing w:val="1"/>
          <w:w w:val="110"/>
          <w:sz w:val="16"/>
        </w:rPr>
        <w:t xml:space="preserve">Eisenhower  </w:t>
      </w:r>
      <w:r>
        <w:rPr>
          <w:i/>
          <w:color w:val="231F20"/>
          <w:w w:val="110"/>
          <w:sz w:val="16"/>
        </w:rPr>
        <w:t xml:space="preserve">to </w:t>
      </w:r>
      <w:r>
        <w:rPr>
          <w:i/>
          <w:color w:val="231F20"/>
          <w:spacing w:val="1"/>
          <w:w w:val="110"/>
          <w:sz w:val="16"/>
        </w:rPr>
        <w:t xml:space="preserve">Kennedy </w:t>
      </w:r>
      <w:r>
        <w:rPr>
          <w:color w:val="231F20"/>
          <w:w w:val="110"/>
          <w:sz w:val="16"/>
        </w:rPr>
        <w:t xml:space="preserve">(New </w:t>
      </w:r>
      <w:r>
        <w:rPr>
          <w:color w:val="231F20"/>
          <w:spacing w:val="-3"/>
          <w:w w:val="110"/>
          <w:sz w:val="16"/>
        </w:rPr>
        <w:t xml:space="preserve">york: </w:t>
      </w:r>
      <w:r>
        <w:rPr>
          <w:color w:val="231F20"/>
          <w:w w:val="110"/>
          <w:sz w:val="16"/>
        </w:rPr>
        <w:t xml:space="preserve">Macmillan, </w:t>
      </w:r>
      <w:r>
        <w:rPr>
          <w:color w:val="231F20"/>
          <w:spacing w:val="-4"/>
          <w:w w:val="110"/>
          <w:sz w:val="16"/>
        </w:rPr>
        <w:t>1982),</w:t>
      </w:r>
      <w:r>
        <w:rPr>
          <w:color w:val="231F20"/>
          <w:spacing w:val="10"/>
          <w:w w:val="110"/>
          <w:sz w:val="16"/>
        </w:rPr>
        <w:t xml:space="preserve"> </w:t>
      </w:r>
      <w:r>
        <w:rPr>
          <w:color w:val="231F20"/>
          <w:spacing w:val="-3"/>
          <w:w w:val="110"/>
          <w:sz w:val="16"/>
        </w:rPr>
        <w:t>193.</w:t>
      </w:r>
    </w:p>
    <w:p w14:paraId="0DB423EA" w14:textId="77777777" w:rsidR="002653E8" w:rsidRDefault="003115E3">
      <w:pPr>
        <w:pStyle w:val="a4"/>
        <w:numPr>
          <w:ilvl w:val="0"/>
          <w:numId w:val="190"/>
        </w:numPr>
        <w:tabs>
          <w:tab w:val="left" w:pos="1287"/>
        </w:tabs>
        <w:spacing w:line="254" w:lineRule="auto"/>
        <w:ind w:left="1147" w:right="1427" w:firstLine="0"/>
        <w:jc w:val="left"/>
        <w:rPr>
          <w:sz w:val="16"/>
        </w:rPr>
      </w:pPr>
      <w:r>
        <w:rPr>
          <w:color w:val="231F20"/>
          <w:w w:val="105"/>
          <w:sz w:val="16"/>
        </w:rPr>
        <w:t xml:space="preserve">Frieder Sclupp, “Modell Deutschland and the International Division  of  Labour: The Federal Republic of Germany in the World Political Economy,” in </w:t>
      </w:r>
      <w:r>
        <w:rPr>
          <w:i/>
          <w:color w:val="231F20"/>
          <w:w w:val="105"/>
          <w:sz w:val="16"/>
        </w:rPr>
        <w:t xml:space="preserve">The Foreign Policy of West </w:t>
      </w:r>
      <w:r>
        <w:rPr>
          <w:i/>
          <w:color w:val="231F20"/>
          <w:spacing w:val="1"/>
          <w:w w:val="105"/>
          <w:sz w:val="16"/>
        </w:rPr>
        <w:t xml:space="preserve">Germany: Formation and Contents, </w:t>
      </w:r>
      <w:r>
        <w:rPr>
          <w:color w:val="231F20"/>
          <w:w w:val="105"/>
          <w:sz w:val="16"/>
        </w:rPr>
        <w:t>ed. Ekkert Kruippendorf and Volker Rittberger (London: SAGE Publications,</w:t>
      </w:r>
      <w:r>
        <w:rPr>
          <w:color w:val="231F20"/>
          <w:spacing w:val="15"/>
          <w:w w:val="105"/>
          <w:sz w:val="16"/>
        </w:rPr>
        <w:t xml:space="preserve"> </w:t>
      </w:r>
      <w:r>
        <w:rPr>
          <w:color w:val="231F20"/>
          <w:spacing w:val="-3"/>
          <w:w w:val="105"/>
          <w:sz w:val="16"/>
        </w:rPr>
        <w:t>1980).</w:t>
      </w:r>
    </w:p>
    <w:p w14:paraId="52D270FE" w14:textId="77777777" w:rsidR="002653E8" w:rsidRDefault="003115E3">
      <w:pPr>
        <w:pStyle w:val="a4"/>
        <w:numPr>
          <w:ilvl w:val="0"/>
          <w:numId w:val="190"/>
        </w:numPr>
        <w:tabs>
          <w:tab w:val="left" w:pos="1287"/>
        </w:tabs>
        <w:ind w:left="1286" w:hanging="138"/>
        <w:jc w:val="left"/>
        <w:rPr>
          <w:sz w:val="16"/>
        </w:rPr>
      </w:pPr>
      <w:r>
        <w:rPr>
          <w:color w:val="231F20"/>
          <w:w w:val="110"/>
          <w:sz w:val="16"/>
        </w:rPr>
        <w:t>Quoted</w:t>
      </w:r>
      <w:r>
        <w:rPr>
          <w:color w:val="231F20"/>
          <w:spacing w:val="5"/>
          <w:w w:val="110"/>
          <w:sz w:val="16"/>
        </w:rPr>
        <w:t xml:space="preserve"> </w:t>
      </w:r>
      <w:r>
        <w:rPr>
          <w:color w:val="231F20"/>
          <w:w w:val="110"/>
          <w:sz w:val="16"/>
        </w:rPr>
        <w:t>in</w:t>
      </w:r>
      <w:r>
        <w:rPr>
          <w:color w:val="231F20"/>
          <w:spacing w:val="5"/>
          <w:w w:val="110"/>
          <w:sz w:val="16"/>
        </w:rPr>
        <w:t xml:space="preserve"> </w:t>
      </w:r>
      <w:r>
        <w:rPr>
          <w:i/>
          <w:color w:val="231F20"/>
          <w:w w:val="110"/>
          <w:sz w:val="16"/>
        </w:rPr>
        <w:t>The</w:t>
      </w:r>
      <w:r>
        <w:rPr>
          <w:i/>
          <w:color w:val="231F20"/>
          <w:spacing w:val="5"/>
          <w:w w:val="110"/>
          <w:sz w:val="16"/>
        </w:rPr>
        <w:t xml:space="preserve"> </w:t>
      </w:r>
      <w:r>
        <w:rPr>
          <w:i/>
          <w:color w:val="231F20"/>
          <w:spacing w:val="1"/>
          <w:w w:val="110"/>
          <w:sz w:val="16"/>
        </w:rPr>
        <w:t>Neo-colonialism</w:t>
      </w:r>
      <w:r>
        <w:rPr>
          <w:i/>
          <w:color w:val="231F20"/>
          <w:spacing w:val="5"/>
          <w:w w:val="110"/>
          <w:sz w:val="16"/>
        </w:rPr>
        <w:t xml:space="preserve"> </w:t>
      </w:r>
      <w:r>
        <w:rPr>
          <w:i/>
          <w:color w:val="231F20"/>
          <w:w w:val="110"/>
          <w:sz w:val="16"/>
        </w:rPr>
        <w:t>of</w:t>
      </w:r>
      <w:r>
        <w:rPr>
          <w:i/>
          <w:color w:val="231F20"/>
          <w:spacing w:val="5"/>
          <w:w w:val="110"/>
          <w:sz w:val="16"/>
        </w:rPr>
        <w:t xml:space="preserve"> </w:t>
      </w:r>
      <w:r>
        <w:rPr>
          <w:i/>
          <w:color w:val="231F20"/>
          <w:w w:val="110"/>
          <w:sz w:val="16"/>
        </w:rPr>
        <w:t>the</w:t>
      </w:r>
      <w:r>
        <w:rPr>
          <w:i/>
          <w:color w:val="231F20"/>
          <w:spacing w:val="5"/>
          <w:w w:val="110"/>
          <w:sz w:val="16"/>
        </w:rPr>
        <w:t xml:space="preserve"> </w:t>
      </w:r>
      <w:r>
        <w:rPr>
          <w:i/>
          <w:color w:val="231F20"/>
          <w:w w:val="110"/>
          <w:sz w:val="16"/>
        </w:rPr>
        <w:t>West</w:t>
      </w:r>
      <w:r>
        <w:rPr>
          <w:i/>
          <w:color w:val="231F20"/>
          <w:spacing w:val="5"/>
          <w:w w:val="110"/>
          <w:sz w:val="16"/>
        </w:rPr>
        <w:t xml:space="preserve"> </w:t>
      </w:r>
      <w:r>
        <w:rPr>
          <w:i/>
          <w:color w:val="231F20"/>
          <w:spacing w:val="2"/>
          <w:w w:val="110"/>
          <w:sz w:val="16"/>
        </w:rPr>
        <w:t>German</w:t>
      </w:r>
      <w:r>
        <w:rPr>
          <w:i/>
          <w:color w:val="231F20"/>
          <w:spacing w:val="5"/>
          <w:w w:val="110"/>
          <w:sz w:val="16"/>
        </w:rPr>
        <w:t xml:space="preserve"> </w:t>
      </w:r>
      <w:r>
        <w:rPr>
          <w:i/>
          <w:color w:val="231F20"/>
          <w:w w:val="110"/>
          <w:sz w:val="16"/>
        </w:rPr>
        <w:t>Federal</w:t>
      </w:r>
      <w:r>
        <w:rPr>
          <w:i/>
          <w:color w:val="231F20"/>
          <w:spacing w:val="5"/>
          <w:w w:val="110"/>
          <w:sz w:val="16"/>
        </w:rPr>
        <w:t xml:space="preserve"> </w:t>
      </w:r>
      <w:r>
        <w:rPr>
          <w:i/>
          <w:color w:val="231F20"/>
          <w:spacing w:val="1"/>
          <w:w w:val="110"/>
          <w:sz w:val="16"/>
        </w:rPr>
        <w:t>Republic,</w:t>
      </w:r>
      <w:r>
        <w:rPr>
          <w:i/>
          <w:color w:val="231F20"/>
          <w:spacing w:val="6"/>
          <w:w w:val="110"/>
          <w:sz w:val="16"/>
        </w:rPr>
        <w:t xml:space="preserve"> </w:t>
      </w:r>
      <w:r>
        <w:rPr>
          <w:color w:val="231F20"/>
          <w:w w:val="110"/>
          <w:sz w:val="16"/>
        </w:rPr>
        <w:t>96-7.</w:t>
      </w:r>
    </w:p>
    <w:p w14:paraId="6E45A7D2" w14:textId="77777777" w:rsidR="002653E8" w:rsidRDefault="002653E8">
      <w:pPr>
        <w:rPr>
          <w:sz w:val="16"/>
        </w:rPr>
        <w:sectPr w:rsidR="002653E8">
          <w:pgSz w:w="8640" w:h="12960"/>
          <w:pgMar w:top="1060" w:right="0" w:bottom="1040" w:left="0" w:header="0" w:footer="850" w:gutter="0"/>
          <w:cols w:space="720"/>
        </w:sectPr>
      </w:pPr>
    </w:p>
    <w:p w14:paraId="0144248B" w14:textId="77777777" w:rsidR="002653E8" w:rsidRDefault="003115E3">
      <w:pPr>
        <w:pStyle w:val="a3"/>
        <w:spacing w:before="86" w:line="264" w:lineRule="auto"/>
        <w:ind w:left="1328" w:right="1145" w:hanging="1"/>
        <w:jc w:val="both"/>
      </w:pPr>
      <w:r>
        <w:rPr>
          <w:color w:val="231F20"/>
          <w:spacing w:val="1"/>
        </w:rPr>
        <w:lastRenderedPageBreak/>
        <w:t xml:space="preserve">tary </w:t>
      </w:r>
      <w:r>
        <w:rPr>
          <w:color w:val="231F20"/>
        </w:rPr>
        <w:t xml:space="preserve">strikes against Third </w:t>
      </w:r>
      <w:r>
        <w:rPr>
          <w:color w:val="231F20"/>
          <w:spacing w:val="-4"/>
        </w:rPr>
        <w:t xml:space="preserve">World </w:t>
      </w:r>
      <w:r>
        <w:rPr>
          <w:color w:val="231F20"/>
        </w:rPr>
        <w:t>targets became increasingly important to western imperialism, the Federal Republic’s airbases were all the more</w:t>
      </w:r>
      <w:r>
        <w:rPr>
          <w:color w:val="231F20"/>
          <w:spacing w:val="10"/>
        </w:rPr>
        <w:t xml:space="preserve"> </w:t>
      </w:r>
      <w:r>
        <w:rPr>
          <w:color w:val="231F20"/>
        </w:rPr>
        <w:t>appreciated.</w:t>
      </w:r>
    </w:p>
    <w:p w14:paraId="2E3AA8B6" w14:textId="77777777" w:rsidR="002653E8" w:rsidRDefault="003115E3">
      <w:pPr>
        <w:pStyle w:val="a3"/>
        <w:spacing w:line="264" w:lineRule="auto"/>
        <w:ind w:left="1327" w:right="1146" w:firstLine="210"/>
        <w:jc w:val="both"/>
        <w:rPr>
          <w:sz w:val="11"/>
        </w:rPr>
      </w:pPr>
      <w:r>
        <w:rPr>
          <w:color w:val="231F20"/>
          <w:spacing w:val="1"/>
        </w:rPr>
        <w:t xml:space="preserve">All U.S. </w:t>
      </w:r>
      <w:r>
        <w:rPr>
          <w:color w:val="231F20"/>
        </w:rPr>
        <w:t xml:space="preserve">bases had extra-territorial status and functioned under American </w:t>
      </w:r>
      <w:r>
        <w:rPr>
          <w:color w:val="231F20"/>
          <w:spacing w:val="-4"/>
        </w:rPr>
        <w:t xml:space="preserve">law. </w:t>
      </w:r>
      <w:r>
        <w:rPr>
          <w:color w:val="231F20"/>
        </w:rPr>
        <w:t xml:space="preserve">They were,  of  course,  also  sites  for  </w:t>
      </w:r>
      <w:r>
        <w:rPr>
          <w:color w:val="231F20"/>
          <w:spacing w:val="3"/>
        </w:rPr>
        <w:t xml:space="preserve">CIA </w:t>
      </w:r>
      <w:r>
        <w:rPr>
          <w:color w:val="231F20"/>
        </w:rPr>
        <w:t xml:space="preserve">interventions in the FRG and in Western Europe in general, not only against Soviet influence, but also against independent left opposition. According to Operation Plan </w:t>
      </w:r>
      <w:r>
        <w:rPr>
          <w:color w:val="231F20"/>
          <w:spacing w:val="-8"/>
        </w:rPr>
        <w:t xml:space="preserve">101-1, </w:t>
      </w:r>
      <w:r>
        <w:rPr>
          <w:color w:val="231F20"/>
        </w:rPr>
        <w:t xml:space="preserve">the </w:t>
      </w:r>
      <w:r>
        <w:rPr>
          <w:color w:val="231F20"/>
          <w:spacing w:val="1"/>
        </w:rPr>
        <w:t xml:space="preserve">U.S. </w:t>
      </w:r>
      <w:r>
        <w:rPr>
          <w:color w:val="231F20"/>
        </w:rPr>
        <w:t xml:space="preserve">Commander-in-Chief in Europe was legally entitled to intervene in cases of internal unrest in </w:t>
      </w:r>
      <w:r>
        <w:rPr>
          <w:color w:val="231F20"/>
          <w:spacing w:val="-3"/>
        </w:rPr>
        <w:t xml:space="preserve">West </w:t>
      </w:r>
      <w:r>
        <w:rPr>
          <w:color w:val="231F20"/>
        </w:rPr>
        <w:t xml:space="preserve">Germany. Furthermore, in cooperation with both former Nazis and a new generation of neo-nazis, the </w:t>
      </w:r>
      <w:r>
        <w:rPr>
          <w:color w:val="231F20"/>
          <w:spacing w:val="3"/>
        </w:rPr>
        <w:t xml:space="preserve">CIA </w:t>
      </w:r>
      <w:r>
        <w:rPr>
          <w:color w:val="231F20"/>
        </w:rPr>
        <w:t xml:space="preserve">established “stay behind” networks which were to </w:t>
      </w:r>
      <w:r>
        <w:rPr>
          <w:color w:val="231F20"/>
          <w:spacing w:val="1"/>
        </w:rPr>
        <w:t xml:space="preserve">carry </w:t>
      </w:r>
      <w:r>
        <w:rPr>
          <w:color w:val="231F20"/>
        </w:rPr>
        <w:t>out terrorist attacks should communists ever come to power in</w:t>
      </w:r>
      <w:r>
        <w:rPr>
          <w:color w:val="231F20"/>
          <w:spacing w:val="21"/>
        </w:rPr>
        <w:t xml:space="preserve"> </w:t>
      </w:r>
      <w:r>
        <w:rPr>
          <w:color w:val="231F20"/>
        </w:rPr>
        <w:t>Germany.</w:t>
      </w:r>
      <w:r>
        <w:rPr>
          <w:color w:val="231F20"/>
          <w:position w:val="7"/>
          <w:sz w:val="11"/>
        </w:rPr>
        <w:t>5</w:t>
      </w:r>
    </w:p>
    <w:p w14:paraId="1B671B26" w14:textId="77777777" w:rsidR="002653E8" w:rsidRDefault="002653E8">
      <w:pPr>
        <w:pStyle w:val="a3"/>
        <w:spacing w:before="8"/>
        <w:rPr>
          <w:sz w:val="10"/>
        </w:rPr>
      </w:pPr>
    </w:p>
    <w:p w14:paraId="5D89354A" w14:textId="77777777" w:rsidR="002653E8" w:rsidRDefault="002653E8">
      <w:pPr>
        <w:rPr>
          <w:sz w:val="10"/>
        </w:rPr>
        <w:sectPr w:rsidR="002653E8">
          <w:pgSz w:w="8640" w:h="12960"/>
          <w:pgMar w:top="1060" w:right="0" w:bottom="1040" w:left="0" w:header="0" w:footer="850" w:gutter="0"/>
          <w:cols w:space="720"/>
        </w:sectPr>
      </w:pPr>
    </w:p>
    <w:p w14:paraId="73CE4E14" w14:textId="77777777" w:rsidR="002653E8" w:rsidRDefault="003115E3">
      <w:pPr>
        <w:pStyle w:val="a3"/>
        <w:tabs>
          <w:tab w:val="left" w:pos="2158"/>
          <w:tab w:val="left" w:pos="3241"/>
          <w:tab w:val="left" w:pos="4046"/>
        </w:tabs>
        <w:spacing w:before="99" w:line="261" w:lineRule="auto"/>
        <w:ind w:left="1327"/>
        <w:rPr>
          <w:sz w:val="11"/>
        </w:rPr>
      </w:pPr>
      <w:r>
        <w:rPr>
          <w:color w:val="231F20"/>
          <w:spacing w:val="20"/>
          <w:w w:val="105"/>
          <w:sz w:val="22"/>
        </w:rPr>
        <w:t xml:space="preserve">better </w:t>
      </w:r>
      <w:r>
        <w:rPr>
          <w:color w:val="231F20"/>
          <w:spacing w:val="7"/>
          <w:w w:val="105"/>
          <w:sz w:val="22"/>
        </w:rPr>
        <w:t xml:space="preserve">de </w:t>
      </w:r>
      <w:r>
        <w:rPr>
          <w:color w:val="231F20"/>
          <w:spacing w:val="12"/>
          <w:w w:val="105"/>
          <w:sz w:val="22"/>
        </w:rPr>
        <w:t xml:space="preserve">ad </w:t>
      </w:r>
      <w:r>
        <w:rPr>
          <w:color w:val="231F20"/>
          <w:spacing w:val="20"/>
          <w:w w:val="105"/>
          <w:sz w:val="22"/>
        </w:rPr>
        <w:t xml:space="preserve">than  </w:t>
      </w:r>
      <w:r>
        <w:rPr>
          <w:color w:val="231F20"/>
          <w:spacing w:val="16"/>
          <w:w w:val="105"/>
          <w:sz w:val="22"/>
        </w:rPr>
        <w:t xml:space="preserve">red </w:t>
      </w:r>
      <w:r>
        <w:rPr>
          <w:color w:val="231F20"/>
          <w:w w:val="105"/>
        </w:rPr>
        <w:t>While</w:t>
      </w:r>
      <w:r>
        <w:rPr>
          <w:color w:val="231F20"/>
          <w:spacing w:val="-12"/>
          <w:w w:val="105"/>
        </w:rPr>
        <w:t xml:space="preserve"> </w:t>
      </w:r>
      <w:r>
        <w:rPr>
          <w:color w:val="231F20"/>
          <w:w w:val="105"/>
        </w:rPr>
        <w:t>both</w:t>
      </w:r>
      <w:r>
        <w:rPr>
          <w:color w:val="231F20"/>
          <w:spacing w:val="-12"/>
          <w:w w:val="105"/>
        </w:rPr>
        <w:t xml:space="preserve"> </w:t>
      </w:r>
      <w:r>
        <w:rPr>
          <w:color w:val="231F20"/>
          <w:w w:val="105"/>
        </w:rPr>
        <w:t>the</w:t>
      </w:r>
      <w:r>
        <w:rPr>
          <w:color w:val="231F20"/>
          <w:spacing w:val="-12"/>
          <w:w w:val="105"/>
        </w:rPr>
        <w:t xml:space="preserve"> </w:t>
      </w:r>
      <w:r>
        <w:rPr>
          <w:color w:val="231F20"/>
          <w:w w:val="105"/>
        </w:rPr>
        <w:t>economic</w:t>
      </w:r>
      <w:r>
        <w:rPr>
          <w:color w:val="231F20"/>
          <w:spacing w:val="-12"/>
          <w:w w:val="105"/>
        </w:rPr>
        <w:t xml:space="preserve"> </w:t>
      </w:r>
      <w:r>
        <w:rPr>
          <w:color w:val="231F20"/>
          <w:w w:val="105"/>
        </w:rPr>
        <w:t>and</w:t>
      </w:r>
      <w:r>
        <w:rPr>
          <w:color w:val="231F20"/>
          <w:spacing w:val="-12"/>
          <w:w w:val="105"/>
        </w:rPr>
        <w:t xml:space="preserve"> </w:t>
      </w:r>
      <w:r>
        <w:rPr>
          <w:color w:val="231F20"/>
          <w:w w:val="105"/>
        </w:rPr>
        <w:t>mili</w:t>
      </w:r>
      <w:r>
        <w:rPr>
          <w:color w:val="231F20"/>
          <w:spacing w:val="1"/>
          <w:w w:val="105"/>
        </w:rPr>
        <w:t>tary</w:t>
      </w:r>
      <w:r>
        <w:rPr>
          <w:color w:val="231F20"/>
          <w:spacing w:val="-16"/>
          <w:w w:val="105"/>
        </w:rPr>
        <w:t xml:space="preserve"> </w:t>
      </w:r>
      <w:r>
        <w:rPr>
          <w:color w:val="231F20"/>
          <w:w w:val="105"/>
        </w:rPr>
        <w:t>aspects</w:t>
      </w:r>
      <w:r>
        <w:rPr>
          <w:color w:val="231F20"/>
          <w:spacing w:val="-16"/>
          <w:w w:val="105"/>
        </w:rPr>
        <w:t xml:space="preserve"> </w:t>
      </w:r>
      <w:r>
        <w:rPr>
          <w:color w:val="231F20"/>
          <w:w w:val="105"/>
        </w:rPr>
        <w:t>of</w:t>
      </w:r>
      <w:r>
        <w:rPr>
          <w:color w:val="231F20"/>
          <w:spacing w:val="-15"/>
          <w:w w:val="105"/>
        </w:rPr>
        <w:t xml:space="preserve"> </w:t>
      </w:r>
      <w:r>
        <w:rPr>
          <w:i/>
          <w:color w:val="231F20"/>
          <w:w w:val="105"/>
        </w:rPr>
        <w:t>Modell</w:t>
      </w:r>
      <w:r>
        <w:rPr>
          <w:i/>
          <w:color w:val="231F20"/>
          <w:spacing w:val="-16"/>
          <w:w w:val="105"/>
        </w:rPr>
        <w:t xml:space="preserve"> </w:t>
      </w:r>
      <w:r>
        <w:rPr>
          <w:i/>
          <w:color w:val="231F20"/>
          <w:w w:val="105"/>
        </w:rPr>
        <w:t xml:space="preserve">Deutschland </w:t>
      </w:r>
      <w:r>
        <w:rPr>
          <w:color w:val="231F20"/>
          <w:w w:val="105"/>
        </w:rPr>
        <w:t>were,</w:t>
      </w:r>
      <w:r>
        <w:rPr>
          <w:color w:val="231F20"/>
          <w:spacing w:val="-13"/>
          <w:w w:val="105"/>
        </w:rPr>
        <w:t xml:space="preserve"> </w:t>
      </w:r>
      <w:r>
        <w:rPr>
          <w:color w:val="231F20"/>
          <w:w w:val="105"/>
        </w:rPr>
        <w:t>to</w:t>
      </w:r>
      <w:r>
        <w:rPr>
          <w:color w:val="231F20"/>
          <w:spacing w:val="-13"/>
          <w:w w:val="105"/>
        </w:rPr>
        <w:t xml:space="preserve"> </w:t>
      </w:r>
      <w:r>
        <w:rPr>
          <w:color w:val="231F20"/>
          <w:w w:val="105"/>
        </w:rPr>
        <w:t>a</w:t>
      </w:r>
      <w:r>
        <w:rPr>
          <w:color w:val="231F20"/>
          <w:spacing w:val="-13"/>
          <w:w w:val="105"/>
        </w:rPr>
        <w:t xml:space="preserve"> </w:t>
      </w:r>
      <w:r>
        <w:rPr>
          <w:color w:val="231F20"/>
          <w:w w:val="105"/>
        </w:rPr>
        <w:t>greater</w:t>
      </w:r>
      <w:r>
        <w:rPr>
          <w:color w:val="231F20"/>
          <w:spacing w:val="-13"/>
          <w:w w:val="105"/>
        </w:rPr>
        <w:t xml:space="preserve"> </w:t>
      </w:r>
      <w:r>
        <w:rPr>
          <w:color w:val="231F20"/>
          <w:w w:val="105"/>
        </w:rPr>
        <w:t>or</w:t>
      </w:r>
      <w:r>
        <w:rPr>
          <w:color w:val="231F20"/>
          <w:spacing w:val="-13"/>
          <w:w w:val="105"/>
        </w:rPr>
        <w:t xml:space="preserve"> </w:t>
      </w:r>
      <w:r>
        <w:rPr>
          <w:color w:val="231F20"/>
          <w:w w:val="105"/>
        </w:rPr>
        <w:t>lesser</w:t>
      </w:r>
      <w:r>
        <w:rPr>
          <w:color w:val="231F20"/>
          <w:spacing w:val="-13"/>
          <w:w w:val="105"/>
        </w:rPr>
        <w:t xml:space="preserve"> </w:t>
      </w:r>
      <w:r>
        <w:rPr>
          <w:color w:val="231F20"/>
          <w:w w:val="105"/>
        </w:rPr>
        <w:t>degree, formulated in the public forum, and</w:t>
      </w:r>
      <w:r>
        <w:rPr>
          <w:color w:val="231F20"/>
          <w:spacing w:val="-9"/>
          <w:w w:val="105"/>
        </w:rPr>
        <w:t xml:space="preserve"> </w:t>
      </w:r>
      <w:r>
        <w:rPr>
          <w:color w:val="231F20"/>
          <w:w w:val="105"/>
        </w:rPr>
        <w:t>in</w:t>
      </w:r>
      <w:r>
        <w:rPr>
          <w:color w:val="231F20"/>
          <w:spacing w:val="-9"/>
          <w:w w:val="105"/>
        </w:rPr>
        <w:t xml:space="preserve"> </w:t>
      </w:r>
      <w:r>
        <w:rPr>
          <w:color w:val="231F20"/>
          <w:w w:val="105"/>
        </w:rPr>
        <w:t>some</w:t>
      </w:r>
      <w:r>
        <w:rPr>
          <w:color w:val="231F20"/>
          <w:spacing w:val="-9"/>
          <w:w w:val="105"/>
        </w:rPr>
        <w:t xml:space="preserve"> </w:t>
      </w:r>
      <w:r>
        <w:rPr>
          <w:color w:val="231F20"/>
          <w:w w:val="105"/>
        </w:rPr>
        <w:t>cases</w:t>
      </w:r>
      <w:r>
        <w:rPr>
          <w:color w:val="231F20"/>
          <w:spacing w:val="-9"/>
          <w:w w:val="105"/>
        </w:rPr>
        <w:t xml:space="preserve"> </w:t>
      </w:r>
      <w:r>
        <w:rPr>
          <w:color w:val="231F20"/>
          <w:w w:val="105"/>
        </w:rPr>
        <w:t>faced</w:t>
      </w:r>
      <w:r>
        <w:rPr>
          <w:color w:val="231F20"/>
          <w:spacing w:val="-9"/>
          <w:w w:val="105"/>
        </w:rPr>
        <w:t xml:space="preserve"> </w:t>
      </w:r>
      <w:r>
        <w:rPr>
          <w:color w:val="231F20"/>
          <w:w w:val="105"/>
        </w:rPr>
        <w:t>public</w:t>
      </w:r>
      <w:r>
        <w:rPr>
          <w:color w:val="231F20"/>
          <w:spacing w:val="-9"/>
          <w:w w:val="105"/>
        </w:rPr>
        <w:t xml:space="preserve"> </w:t>
      </w:r>
      <w:r>
        <w:rPr>
          <w:color w:val="231F20"/>
          <w:w w:val="105"/>
        </w:rPr>
        <w:t>opposition, the model had another equally</w:t>
      </w:r>
      <w:r>
        <w:rPr>
          <w:color w:val="231F20"/>
          <w:w w:val="105"/>
        </w:rPr>
        <w:tab/>
        <w:t>important</w:t>
      </w:r>
      <w:r>
        <w:rPr>
          <w:color w:val="231F20"/>
          <w:w w:val="105"/>
        </w:rPr>
        <w:tab/>
        <w:t>aspect,</w:t>
      </w:r>
      <w:r>
        <w:rPr>
          <w:color w:val="231F20"/>
          <w:w w:val="105"/>
        </w:rPr>
        <w:tab/>
      </w:r>
      <w:r>
        <w:rPr>
          <w:color w:val="231F20"/>
          <w:w w:val="95"/>
        </w:rPr>
        <w:t xml:space="preserve">one </w:t>
      </w:r>
      <w:r>
        <w:rPr>
          <w:color w:val="231F20"/>
          <w:w w:val="105"/>
        </w:rPr>
        <w:t>which</w:t>
      </w:r>
      <w:r>
        <w:rPr>
          <w:color w:val="231F20"/>
          <w:spacing w:val="-26"/>
          <w:w w:val="105"/>
        </w:rPr>
        <w:t xml:space="preserve"> </w:t>
      </w:r>
      <w:r>
        <w:rPr>
          <w:color w:val="231F20"/>
          <w:w w:val="105"/>
        </w:rPr>
        <w:t>was</w:t>
      </w:r>
      <w:r>
        <w:rPr>
          <w:color w:val="231F20"/>
          <w:spacing w:val="-26"/>
          <w:w w:val="105"/>
        </w:rPr>
        <w:t xml:space="preserve"> </w:t>
      </w:r>
      <w:r>
        <w:rPr>
          <w:color w:val="231F20"/>
          <w:w w:val="105"/>
        </w:rPr>
        <w:t>never</w:t>
      </w:r>
      <w:r>
        <w:rPr>
          <w:color w:val="231F20"/>
          <w:spacing w:val="-26"/>
          <w:w w:val="105"/>
        </w:rPr>
        <w:t xml:space="preserve"> </w:t>
      </w:r>
      <w:r>
        <w:rPr>
          <w:color w:val="231F20"/>
          <w:w w:val="105"/>
        </w:rPr>
        <w:t>up</w:t>
      </w:r>
      <w:r>
        <w:rPr>
          <w:color w:val="231F20"/>
          <w:spacing w:val="-26"/>
          <w:w w:val="105"/>
        </w:rPr>
        <w:t xml:space="preserve"> </w:t>
      </w:r>
      <w:r>
        <w:rPr>
          <w:color w:val="231F20"/>
          <w:w w:val="105"/>
        </w:rPr>
        <w:t>for</w:t>
      </w:r>
      <w:r>
        <w:rPr>
          <w:color w:val="231F20"/>
          <w:spacing w:val="-26"/>
          <w:w w:val="105"/>
        </w:rPr>
        <w:t xml:space="preserve"> </w:t>
      </w:r>
      <w:r>
        <w:rPr>
          <w:color w:val="231F20"/>
          <w:w w:val="105"/>
        </w:rPr>
        <w:t>debate,</w:t>
      </w:r>
      <w:r>
        <w:rPr>
          <w:color w:val="231F20"/>
          <w:spacing w:val="-26"/>
          <w:w w:val="105"/>
        </w:rPr>
        <w:t xml:space="preserve"> </w:t>
      </w:r>
      <w:r>
        <w:rPr>
          <w:color w:val="231F20"/>
          <w:w w:val="105"/>
        </w:rPr>
        <w:t xml:space="preserve">and yet it bears directly on the topic </w:t>
      </w:r>
      <w:r>
        <w:rPr>
          <w:color w:val="231F20"/>
        </w:rPr>
        <w:t>under discussion here: anticommu</w:t>
      </w:r>
      <w:r>
        <w:rPr>
          <w:color w:val="231F20"/>
          <w:w w:val="105"/>
        </w:rPr>
        <w:t xml:space="preserve">nism, described as the third pillar of </w:t>
      </w:r>
      <w:r>
        <w:rPr>
          <w:color w:val="231F20"/>
          <w:spacing w:val="-3"/>
          <w:w w:val="105"/>
        </w:rPr>
        <w:t xml:space="preserve">West </w:t>
      </w:r>
      <w:r>
        <w:rPr>
          <w:color w:val="231F20"/>
          <w:w w:val="105"/>
        </w:rPr>
        <w:t>German</w:t>
      </w:r>
      <w:r>
        <w:rPr>
          <w:color w:val="231F20"/>
          <w:spacing w:val="20"/>
          <w:w w:val="105"/>
        </w:rPr>
        <w:t xml:space="preserve"> </w:t>
      </w:r>
      <w:r>
        <w:rPr>
          <w:color w:val="231F20"/>
          <w:w w:val="105"/>
        </w:rPr>
        <w:t>society.</w:t>
      </w:r>
      <w:r>
        <w:rPr>
          <w:color w:val="231F20"/>
          <w:w w:val="105"/>
          <w:position w:val="7"/>
          <w:sz w:val="11"/>
        </w:rPr>
        <w:t>6</w:t>
      </w:r>
    </w:p>
    <w:p w14:paraId="4C9656E4" w14:textId="77777777" w:rsidR="002653E8" w:rsidRDefault="003115E3">
      <w:pPr>
        <w:pStyle w:val="a3"/>
        <w:spacing w:before="10" w:line="264" w:lineRule="auto"/>
        <w:ind w:left="1327" w:firstLine="210"/>
        <w:jc w:val="both"/>
      </w:pPr>
      <w:r>
        <w:rPr>
          <w:color w:val="231F20"/>
        </w:rPr>
        <w:t xml:space="preserve">As we shall see, this anticommunism was far more than a mere ideological construct; rather, the legal structure of </w:t>
      </w:r>
      <w:r>
        <w:rPr>
          <w:color w:val="231F20"/>
          <w:spacing w:val="-3"/>
        </w:rPr>
        <w:t xml:space="preserve">West </w:t>
      </w:r>
      <w:r>
        <w:rPr>
          <w:color w:val="231F20"/>
        </w:rPr>
        <w:t>German “constitutional democracy” was from its earliest days intended to prevent</w:t>
      </w:r>
      <w:r>
        <w:rPr>
          <w:color w:val="231F20"/>
          <w:spacing w:val="-16"/>
        </w:rPr>
        <w:t xml:space="preserve"> </w:t>
      </w:r>
      <w:r>
        <w:rPr>
          <w:color w:val="231F20"/>
        </w:rPr>
        <w:t>and/or</w:t>
      </w:r>
      <w:r>
        <w:rPr>
          <w:color w:val="231F20"/>
          <w:spacing w:val="-16"/>
        </w:rPr>
        <w:t xml:space="preserve"> </w:t>
      </w:r>
      <w:r>
        <w:rPr>
          <w:color w:val="231F20"/>
        </w:rPr>
        <w:t>eliminate</w:t>
      </w:r>
      <w:r>
        <w:rPr>
          <w:color w:val="231F20"/>
          <w:spacing w:val="-16"/>
        </w:rPr>
        <w:t xml:space="preserve"> </w:t>
      </w:r>
      <w:r>
        <w:rPr>
          <w:color w:val="231F20"/>
        </w:rPr>
        <w:t>all</w:t>
      </w:r>
      <w:r>
        <w:rPr>
          <w:color w:val="231F20"/>
          <w:spacing w:val="-16"/>
        </w:rPr>
        <w:t xml:space="preserve"> </w:t>
      </w:r>
      <w:r>
        <w:rPr>
          <w:color w:val="231F20"/>
        </w:rPr>
        <w:t xml:space="preserve">revolutionary left-wing opposition. This found its legal basis in the </w:t>
      </w:r>
      <w:r>
        <w:rPr>
          <w:color w:val="231F20"/>
          <w:spacing w:val="-2"/>
        </w:rPr>
        <w:t>way</w:t>
      </w:r>
      <w:r>
        <w:rPr>
          <w:color w:val="231F20"/>
          <w:spacing w:val="28"/>
        </w:rPr>
        <w:t xml:space="preserve"> </w:t>
      </w:r>
      <w:r>
        <w:rPr>
          <w:color w:val="231F20"/>
        </w:rPr>
        <w:t>that</w:t>
      </w:r>
    </w:p>
    <w:p w14:paraId="3E904BF5" w14:textId="77777777" w:rsidR="002653E8" w:rsidRDefault="003115E3">
      <w:pPr>
        <w:pStyle w:val="a3"/>
      </w:pPr>
      <w:r>
        <w:br w:type="column"/>
      </w:r>
    </w:p>
    <w:p w14:paraId="40BEDBC2" w14:textId="77777777" w:rsidR="002653E8" w:rsidRDefault="003115E3">
      <w:pPr>
        <w:pStyle w:val="a3"/>
        <w:spacing w:before="10"/>
        <w:rPr>
          <w:sz w:val="13"/>
        </w:rPr>
      </w:pPr>
      <w:r>
        <w:drawing>
          <wp:anchor distT="0" distB="0" distL="0" distR="0" simplePos="0" relativeHeight="1600" behindDoc="0" locked="0" layoutInCell="1" allowOverlap="1" wp14:anchorId="2EA8FF97" wp14:editId="246222F1">
            <wp:simplePos x="0" y="0"/>
            <wp:positionH relativeFrom="page">
              <wp:posOffset>2893720</wp:posOffset>
            </wp:positionH>
            <wp:positionV relativeFrom="paragraph">
              <wp:posOffset>128366</wp:posOffset>
            </wp:positionV>
            <wp:extent cx="1858626" cy="2609659"/>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1" cstate="print"/>
                    <a:stretch>
                      <a:fillRect/>
                    </a:stretch>
                  </pic:blipFill>
                  <pic:spPr>
                    <a:xfrm>
                      <a:off x="0" y="0"/>
                      <a:ext cx="1858626" cy="2609659"/>
                    </a:xfrm>
                    <a:prstGeom prst="rect">
                      <a:avLst/>
                    </a:prstGeom>
                  </pic:spPr>
                </pic:pic>
              </a:graphicData>
            </a:graphic>
          </wp:anchor>
        </w:drawing>
      </w:r>
    </w:p>
    <w:p w14:paraId="75016E93" w14:textId="77777777" w:rsidR="002653E8" w:rsidRDefault="003115E3">
      <w:pPr>
        <w:spacing w:before="57" w:line="244" w:lineRule="auto"/>
        <w:ind w:left="852" w:right="1838"/>
        <w:jc w:val="center"/>
        <w:rPr>
          <w:i/>
          <w:sz w:val="18"/>
        </w:rPr>
      </w:pPr>
      <w:r>
        <w:rPr>
          <w:i/>
          <w:color w:val="231F20"/>
          <w:w w:val="110"/>
          <w:sz w:val="18"/>
        </w:rPr>
        <w:t>“All Marxist Roads Lead to Moscow”: election poster for the CDU, 1953.</w:t>
      </w:r>
    </w:p>
    <w:p w14:paraId="52FBFA15" w14:textId="77777777" w:rsidR="002653E8" w:rsidRDefault="002653E8">
      <w:pPr>
        <w:spacing w:line="244" w:lineRule="auto"/>
        <w:jc w:val="center"/>
        <w:rPr>
          <w:sz w:val="18"/>
        </w:rPr>
        <w:sectPr w:rsidR="002653E8">
          <w:type w:val="continuous"/>
          <w:pgSz w:w="8640" w:h="12960"/>
          <w:pgMar w:top="0" w:right="0" w:bottom="0" w:left="0" w:header="720" w:footer="720" w:gutter="0"/>
          <w:cols w:num="2" w:space="720" w:equalWidth="0">
            <w:col w:w="4358" w:space="40"/>
            <w:col w:w="4242"/>
          </w:cols>
        </w:sectPr>
      </w:pPr>
    </w:p>
    <w:p w14:paraId="27B5DB10" w14:textId="77777777" w:rsidR="002653E8" w:rsidRDefault="002653E8">
      <w:pPr>
        <w:pStyle w:val="a3"/>
        <w:spacing w:before="5"/>
        <w:rPr>
          <w:i/>
          <w:sz w:val="24"/>
        </w:rPr>
      </w:pPr>
    </w:p>
    <w:p w14:paraId="06A1A9B7" w14:textId="77777777" w:rsidR="002653E8" w:rsidRDefault="00000000">
      <w:pPr>
        <w:pStyle w:val="a3"/>
        <w:spacing w:line="20" w:lineRule="exact"/>
        <w:ind w:left="1322"/>
        <w:rPr>
          <w:sz w:val="2"/>
        </w:rPr>
      </w:pPr>
      <w:r>
        <w:rPr>
          <w:sz w:val="2"/>
        </w:rPr>
      </w:r>
      <w:r>
        <w:rPr>
          <w:sz w:val="2"/>
        </w:rPr>
        <w:pict w14:anchorId="1FD93BFB">
          <v:group id="_x0000_s2715" style="width:1in;height:.5pt;mso-position-horizontal-relative:char;mso-position-vertical-relative:line" coordsize="1440,10">
            <v:line id="_x0000_s2716" style="position:absolute" from="0,5" to="1440,5" strokecolor="#231f20" strokeweight=".5pt"/>
            <w10:anchorlock/>
          </v:group>
        </w:pict>
      </w:r>
    </w:p>
    <w:p w14:paraId="02F88E1A" w14:textId="77777777" w:rsidR="002653E8" w:rsidRDefault="003115E3">
      <w:pPr>
        <w:pStyle w:val="a4"/>
        <w:numPr>
          <w:ilvl w:val="0"/>
          <w:numId w:val="190"/>
        </w:numPr>
        <w:tabs>
          <w:tab w:val="left" w:pos="1467"/>
        </w:tabs>
        <w:spacing w:before="72" w:line="254" w:lineRule="auto"/>
        <w:ind w:left="1327" w:right="1719" w:firstLine="0"/>
        <w:jc w:val="left"/>
        <w:rPr>
          <w:sz w:val="16"/>
        </w:rPr>
      </w:pPr>
      <w:r>
        <w:rPr>
          <w:color w:val="231F20"/>
          <w:w w:val="110"/>
          <w:sz w:val="16"/>
        </w:rPr>
        <w:t xml:space="preserve">Daniel Ganser, </w:t>
      </w:r>
      <w:r>
        <w:rPr>
          <w:i/>
          <w:color w:val="231F20"/>
          <w:w w:val="110"/>
          <w:sz w:val="16"/>
        </w:rPr>
        <w:t xml:space="preserve">NATO’s Secret </w:t>
      </w:r>
      <w:r>
        <w:rPr>
          <w:i/>
          <w:color w:val="231F20"/>
          <w:spacing w:val="1"/>
          <w:w w:val="110"/>
          <w:sz w:val="16"/>
        </w:rPr>
        <w:t xml:space="preserve">Army: </w:t>
      </w:r>
      <w:r>
        <w:rPr>
          <w:i/>
          <w:color w:val="231F20"/>
          <w:w w:val="110"/>
          <w:sz w:val="16"/>
        </w:rPr>
        <w:t xml:space="preserve">Operation Gladio </w:t>
      </w:r>
      <w:r>
        <w:rPr>
          <w:i/>
          <w:color w:val="231F20"/>
          <w:spacing w:val="1"/>
          <w:w w:val="110"/>
          <w:sz w:val="16"/>
        </w:rPr>
        <w:t xml:space="preserve">and </w:t>
      </w:r>
      <w:r>
        <w:rPr>
          <w:i/>
          <w:color w:val="231F20"/>
          <w:w w:val="110"/>
          <w:sz w:val="16"/>
        </w:rPr>
        <w:t xml:space="preserve">Terrorism in </w:t>
      </w:r>
      <w:r>
        <w:rPr>
          <w:i/>
          <w:color w:val="231F20"/>
          <w:w w:val="110"/>
          <w:sz w:val="16"/>
        </w:rPr>
        <w:lastRenderedPageBreak/>
        <w:t xml:space="preserve">Western Europe </w:t>
      </w:r>
      <w:r>
        <w:rPr>
          <w:color w:val="231F20"/>
          <w:w w:val="110"/>
          <w:sz w:val="16"/>
        </w:rPr>
        <w:t>(London: Frank Cass, 2005),</w:t>
      </w:r>
      <w:r>
        <w:rPr>
          <w:color w:val="231F20"/>
          <w:spacing w:val="30"/>
          <w:w w:val="110"/>
          <w:sz w:val="16"/>
        </w:rPr>
        <w:t xml:space="preserve"> </w:t>
      </w:r>
      <w:r>
        <w:rPr>
          <w:color w:val="231F20"/>
          <w:w w:val="110"/>
          <w:sz w:val="16"/>
        </w:rPr>
        <w:t>190-211.</w:t>
      </w:r>
    </w:p>
    <w:p w14:paraId="14702CE7" w14:textId="77777777" w:rsidR="002653E8" w:rsidRDefault="003115E3">
      <w:pPr>
        <w:pStyle w:val="a4"/>
        <w:numPr>
          <w:ilvl w:val="0"/>
          <w:numId w:val="190"/>
        </w:numPr>
        <w:tabs>
          <w:tab w:val="left" w:pos="1467"/>
        </w:tabs>
        <w:ind w:left="1466"/>
        <w:jc w:val="left"/>
        <w:rPr>
          <w:sz w:val="16"/>
        </w:rPr>
      </w:pPr>
      <w:r>
        <w:rPr>
          <w:color w:val="231F20"/>
          <w:w w:val="110"/>
          <w:sz w:val="16"/>
        </w:rPr>
        <w:t>Hülsberg,</w:t>
      </w:r>
      <w:r>
        <w:rPr>
          <w:color w:val="231F20"/>
          <w:spacing w:val="6"/>
          <w:w w:val="110"/>
          <w:sz w:val="16"/>
        </w:rPr>
        <w:t xml:space="preserve"> </w:t>
      </w:r>
      <w:r>
        <w:rPr>
          <w:color w:val="231F20"/>
          <w:spacing w:val="-6"/>
          <w:w w:val="110"/>
          <w:sz w:val="16"/>
        </w:rPr>
        <w:t>15.</w:t>
      </w:r>
    </w:p>
    <w:p w14:paraId="2E7748E7" w14:textId="77777777" w:rsidR="002653E8" w:rsidRDefault="002653E8">
      <w:pPr>
        <w:rPr>
          <w:sz w:val="16"/>
        </w:rPr>
        <w:sectPr w:rsidR="002653E8">
          <w:type w:val="continuous"/>
          <w:pgSz w:w="8640" w:h="12960"/>
          <w:pgMar w:top="0" w:right="0" w:bottom="0" w:left="0" w:header="720" w:footer="720" w:gutter="0"/>
          <w:cols w:space="720"/>
        </w:sectPr>
      </w:pPr>
    </w:p>
    <w:p w14:paraId="31348C21" w14:textId="77777777" w:rsidR="002653E8" w:rsidRDefault="003115E3">
      <w:pPr>
        <w:pStyle w:val="a3"/>
        <w:spacing w:before="86" w:line="264" w:lineRule="auto"/>
        <w:ind w:left="1147" w:right="1326"/>
        <w:jc w:val="both"/>
      </w:pPr>
      <w:r>
        <w:rPr>
          <w:color w:val="231F20"/>
        </w:rPr>
        <w:lastRenderedPageBreak/>
        <w:t xml:space="preserve">personal rights were framed in the Federal Republic’s Constitution, the </w:t>
      </w:r>
      <w:r>
        <w:rPr>
          <w:i/>
          <w:color w:val="231F20"/>
        </w:rPr>
        <w:t xml:space="preserve">Grundgesetz </w:t>
      </w:r>
      <w:r>
        <w:rPr>
          <w:color w:val="231F20"/>
        </w:rPr>
        <w:t xml:space="preserve">(Basic Law), which came into effect in </w:t>
      </w:r>
      <w:r>
        <w:rPr>
          <w:color w:val="231F20"/>
          <w:spacing w:val="-6"/>
        </w:rPr>
        <w:t xml:space="preserve">1949. </w:t>
      </w:r>
      <w:r>
        <w:rPr>
          <w:color w:val="231F20"/>
        </w:rPr>
        <w:t>While  the Basic Law established the same personal rights and freedoms normally found in bourgeois democracies, it did this with one recurrent caveat: these rights could be withdrawn from those designated as enemies of the</w:t>
      </w:r>
      <w:r>
        <w:rPr>
          <w:color w:val="231F20"/>
          <w:spacing w:val="10"/>
        </w:rPr>
        <w:t xml:space="preserve"> </w:t>
      </w:r>
      <w:r>
        <w:rPr>
          <w:color w:val="231F20"/>
        </w:rPr>
        <w:t>state.</w:t>
      </w:r>
    </w:p>
    <w:p w14:paraId="47F08908" w14:textId="77777777" w:rsidR="002653E8" w:rsidRDefault="003115E3">
      <w:pPr>
        <w:pStyle w:val="a3"/>
        <w:spacing w:line="228" w:lineRule="exact"/>
        <w:ind w:left="1358"/>
      </w:pPr>
      <w:r>
        <w:rPr>
          <w:color w:val="231F20"/>
        </w:rPr>
        <w:t>This qualification was stated unambiguously in Article 18:</w:t>
      </w:r>
    </w:p>
    <w:p w14:paraId="71C5D6D6" w14:textId="77777777" w:rsidR="002653E8" w:rsidRDefault="003115E3">
      <w:pPr>
        <w:spacing w:before="152" w:line="273" w:lineRule="auto"/>
        <w:ind w:left="1567" w:right="1745"/>
        <w:jc w:val="both"/>
        <w:rPr>
          <w:i/>
          <w:sz w:val="11"/>
        </w:rPr>
      </w:pPr>
      <w:r>
        <w:rPr>
          <w:i/>
          <w:color w:val="231F20"/>
          <w:sz w:val="19"/>
        </w:rPr>
        <w:t>Whoever abuses the freedom of expression, in particular the freedom of the press  (paragraph  (</w:t>
      </w:r>
      <w:r>
        <w:rPr>
          <w:rFonts w:ascii="Bookman Old Style"/>
          <w:i/>
          <w:color w:val="231F20"/>
          <w:sz w:val="19"/>
        </w:rPr>
        <w:t>1</w:t>
      </w:r>
      <w:r>
        <w:rPr>
          <w:i/>
          <w:color w:val="231F20"/>
          <w:sz w:val="19"/>
        </w:rPr>
        <w:t xml:space="preserve">)  of  Article  </w:t>
      </w:r>
      <w:r>
        <w:rPr>
          <w:rFonts w:ascii="Bookman Old Style"/>
          <w:i/>
          <w:color w:val="231F20"/>
          <w:sz w:val="19"/>
        </w:rPr>
        <w:t>5</w:t>
      </w:r>
      <w:r>
        <w:rPr>
          <w:i/>
          <w:color w:val="231F20"/>
          <w:sz w:val="19"/>
        </w:rPr>
        <w:t>),  the  freedom of teaching (paragraph (</w:t>
      </w:r>
      <w:r>
        <w:rPr>
          <w:rFonts w:ascii="Bookman Old Style"/>
          <w:i/>
          <w:color w:val="231F20"/>
          <w:sz w:val="19"/>
        </w:rPr>
        <w:t>3</w:t>
      </w:r>
      <w:r>
        <w:rPr>
          <w:i/>
          <w:color w:val="231F20"/>
          <w:sz w:val="19"/>
        </w:rPr>
        <w:t xml:space="preserve">) of Article </w:t>
      </w:r>
      <w:r>
        <w:rPr>
          <w:rFonts w:ascii="Bookman Old Style"/>
          <w:i/>
          <w:color w:val="231F20"/>
          <w:sz w:val="19"/>
        </w:rPr>
        <w:t>5</w:t>
      </w:r>
      <w:r>
        <w:rPr>
          <w:i/>
          <w:color w:val="231F20"/>
          <w:sz w:val="19"/>
        </w:rPr>
        <w:t xml:space="preserve">), the freedom of assembly (Article </w:t>
      </w:r>
      <w:r>
        <w:rPr>
          <w:rFonts w:ascii="Bookman Old Style"/>
          <w:i/>
          <w:color w:val="231F20"/>
          <w:sz w:val="19"/>
        </w:rPr>
        <w:t>8</w:t>
      </w:r>
      <w:r>
        <w:rPr>
          <w:i/>
          <w:color w:val="231F20"/>
          <w:sz w:val="19"/>
        </w:rPr>
        <w:t xml:space="preserve">), the freedom of association (Article </w:t>
      </w:r>
      <w:r>
        <w:rPr>
          <w:rFonts w:ascii="Bookman Old Style"/>
          <w:i/>
          <w:color w:val="231F20"/>
          <w:sz w:val="19"/>
        </w:rPr>
        <w:t>9</w:t>
      </w:r>
      <w:r>
        <w:rPr>
          <w:i/>
          <w:color w:val="231F20"/>
          <w:sz w:val="19"/>
        </w:rPr>
        <w:t xml:space="preserve">), the privacy of correspondence, posts and telecommunications (Article </w:t>
      </w:r>
      <w:r>
        <w:rPr>
          <w:rFonts w:ascii="Bookman Old Style"/>
          <w:i/>
          <w:color w:val="231F20"/>
          <w:sz w:val="19"/>
        </w:rPr>
        <w:t>10</w:t>
      </w:r>
      <w:r>
        <w:rPr>
          <w:i/>
          <w:color w:val="231F20"/>
          <w:sz w:val="19"/>
        </w:rPr>
        <w:t xml:space="preserve">), the rights of property (Article </w:t>
      </w:r>
      <w:r>
        <w:rPr>
          <w:rFonts w:ascii="Bookman Old Style"/>
          <w:i/>
          <w:color w:val="231F20"/>
          <w:sz w:val="19"/>
        </w:rPr>
        <w:t>14</w:t>
      </w:r>
      <w:r>
        <w:rPr>
          <w:i/>
          <w:color w:val="231F20"/>
          <w:sz w:val="19"/>
        </w:rPr>
        <w:t xml:space="preserve">), or the right of asylum (Article </w:t>
      </w:r>
      <w:r>
        <w:rPr>
          <w:rFonts w:ascii="Bookman Old Style"/>
          <w:i/>
          <w:color w:val="231F20"/>
          <w:sz w:val="19"/>
        </w:rPr>
        <w:t>16</w:t>
      </w:r>
      <w:r>
        <w:rPr>
          <w:i/>
          <w:color w:val="231F20"/>
          <w:sz w:val="19"/>
        </w:rPr>
        <w:t>a) in order to combat the free democratic basic order shall</w:t>
      </w:r>
      <w:r>
        <w:rPr>
          <w:i/>
          <w:color w:val="231F20"/>
          <w:spacing w:val="16"/>
          <w:sz w:val="19"/>
        </w:rPr>
        <w:t xml:space="preserve"> </w:t>
      </w:r>
      <w:r>
        <w:rPr>
          <w:i/>
          <w:color w:val="231F20"/>
          <w:sz w:val="19"/>
        </w:rPr>
        <w:t>forfeit these basic rights. This forfeiture and its extent shall be declared   by the Federal Constitutional</w:t>
      </w:r>
      <w:r>
        <w:rPr>
          <w:i/>
          <w:color w:val="231F20"/>
          <w:spacing w:val="7"/>
          <w:sz w:val="19"/>
        </w:rPr>
        <w:t xml:space="preserve"> </w:t>
      </w:r>
      <w:r>
        <w:rPr>
          <w:i/>
          <w:color w:val="231F20"/>
          <w:sz w:val="19"/>
        </w:rPr>
        <w:t>Court.</w:t>
      </w:r>
      <w:r>
        <w:rPr>
          <w:i/>
          <w:color w:val="231F20"/>
          <w:position w:val="6"/>
          <w:sz w:val="11"/>
        </w:rPr>
        <w:t>1</w:t>
      </w:r>
    </w:p>
    <w:p w14:paraId="4DCFD544" w14:textId="77777777" w:rsidR="002653E8" w:rsidRDefault="003115E3">
      <w:pPr>
        <w:pStyle w:val="a3"/>
        <w:spacing w:before="145" w:line="264" w:lineRule="auto"/>
        <w:ind w:left="1148" w:right="1325" w:hanging="1"/>
        <w:jc w:val="both"/>
      </w:pPr>
      <w:r>
        <w:rPr>
          <w:color w:val="231F20"/>
        </w:rPr>
        <w:t>The following restriction to Article 21, limiting the right to form political parties, was added to this already ominous provision:</w:t>
      </w:r>
    </w:p>
    <w:p w14:paraId="39355F8E" w14:textId="77777777" w:rsidR="002653E8" w:rsidRDefault="003115E3">
      <w:pPr>
        <w:spacing w:before="126" w:line="276" w:lineRule="auto"/>
        <w:ind w:left="1567" w:right="1745"/>
        <w:jc w:val="both"/>
        <w:rPr>
          <w:i/>
          <w:sz w:val="11"/>
        </w:rPr>
      </w:pPr>
      <w:r>
        <w:rPr>
          <w:i/>
          <w:color w:val="231F20"/>
          <w:spacing w:val="-4"/>
          <w:w w:val="105"/>
          <w:sz w:val="19"/>
        </w:rPr>
        <w:t xml:space="preserve">Parties </w:t>
      </w:r>
      <w:r>
        <w:rPr>
          <w:i/>
          <w:color w:val="231F20"/>
          <w:w w:val="105"/>
          <w:sz w:val="19"/>
        </w:rPr>
        <w:t>that, by reason of their aims or the behavior of their adherents,</w:t>
      </w:r>
      <w:r>
        <w:rPr>
          <w:i/>
          <w:color w:val="231F20"/>
          <w:spacing w:val="-16"/>
          <w:w w:val="105"/>
          <w:sz w:val="19"/>
        </w:rPr>
        <w:t xml:space="preserve"> </w:t>
      </w:r>
      <w:r>
        <w:rPr>
          <w:i/>
          <w:color w:val="231F20"/>
          <w:w w:val="105"/>
          <w:sz w:val="19"/>
        </w:rPr>
        <w:t>seek</w:t>
      </w:r>
      <w:r>
        <w:rPr>
          <w:i/>
          <w:color w:val="231F20"/>
          <w:spacing w:val="-12"/>
          <w:w w:val="105"/>
          <w:sz w:val="19"/>
        </w:rPr>
        <w:t xml:space="preserve"> </w:t>
      </w:r>
      <w:r>
        <w:rPr>
          <w:i/>
          <w:color w:val="231F20"/>
          <w:w w:val="105"/>
          <w:sz w:val="19"/>
        </w:rPr>
        <w:t>to</w:t>
      </w:r>
      <w:r>
        <w:rPr>
          <w:i/>
          <w:color w:val="231F20"/>
          <w:spacing w:val="-12"/>
          <w:w w:val="105"/>
          <w:sz w:val="19"/>
        </w:rPr>
        <w:t xml:space="preserve"> </w:t>
      </w:r>
      <w:r>
        <w:rPr>
          <w:i/>
          <w:color w:val="231F20"/>
          <w:w w:val="105"/>
          <w:sz w:val="19"/>
        </w:rPr>
        <w:t>undermine</w:t>
      </w:r>
      <w:r>
        <w:rPr>
          <w:i/>
          <w:color w:val="231F20"/>
          <w:spacing w:val="-12"/>
          <w:w w:val="105"/>
          <w:sz w:val="19"/>
        </w:rPr>
        <w:t xml:space="preserve"> </w:t>
      </w:r>
      <w:r>
        <w:rPr>
          <w:i/>
          <w:color w:val="231F20"/>
          <w:w w:val="105"/>
          <w:sz w:val="19"/>
        </w:rPr>
        <w:t>or</w:t>
      </w:r>
      <w:r>
        <w:rPr>
          <w:i/>
          <w:color w:val="231F20"/>
          <w:spacing w:val="-12"/>
          <w:w w:val="105"/>
          <w:sz w:val="19"/>
        </w:rPr>
        <w:t xml:space="preserve"> </w:t>
      </w:r>
      <w:r>
        <w:rPr>
          <w:i/>
          <w:color w:val="231F20"/>
          <w:w w:val="105"/>
          <w:sz w:val="19"/>
        </w:rPr>
        <w:t>abolish</w:t>
      </w:r>
      <w:r>
        <w:rPr>
          <w:i/>
          <w:color w:val="231F20"/>
          <w:spacing w:val="-12"/>
          <w:w w:val="105"/>
          <w:sz w:val="19"/>
        </w:rPr>
        <w:t xml:space="preserve"> </w:t>
      </w:r>
      <w:r>
        <w:rPr>
          <w:i/>
          <w:color w:val="231F20"/>
          <w:w w:val="105"/>
          <w:sz w:val="19"/>
        </w:rPr>
        <w:t>the</w:t>
      </w:r>
      <w:r>
        <w:rPr>
          <w:i/>
          <w:color w:val="231F20"/>
          <w:spacing w:val="-12"/>
          <w:w w:val="105"/>
          <w:sz w:val="19"/>
        </w:rPr>
        <w:t xml:space="preserve"> </w:t>
      </w:r>
      <w:r>
        <w:rPr>
          <w:i/>
          <w:color w:val="231F20"/>
          <w:w w:val="105"/>
          <w:sz w:val="19"/>
        </w:rPr>
        <w:t>free</w:t>
      </w:r>
      <w:r>
        <w:rPr>
          <w:i/>
          <w:color w:val="231F20"/>
          <w:spacing w:val="-12"/>
          <w:w w:val="105"/>
          <w:sz w:val="19"/>
        </w:rPr>
        <w:t xml:space="preserve"> </w:t>
      </w:r>
      <w:r>
        <w:rPr>
          <w:i/>
          <w:color w:val="231F20"/>
          <w:w w:val="105"/>
          <w:sz w:val="19"/>
        </w:rPr>
        <w:t>democratic</w:t>
      </w:r>
      <w:r>
        <w:rPr>
          <w:i/>
          <w:color w:val="231F20"/>
          <w:spacing w:val="-12"/>
          <w:w w:val="105"/>
          <w:sz w:val="19"/>
        </w:rPr>
        <w:t xml:space="preserve"> </w:t>
      </w:r>
      <w:r>
        <w:rPr>
          <w:i/>
          <w:color w:val="231F20"/>
          <w:w w:val="105"/>
          <w:sz w:val="19"/>
        </w:rPr>
        <w:t>basic order or to endanger the existence of the Federal Republic of Germany shall be unconstitutional. The Federal Constitutional Court shall rule on the question of</w:t>
      </w:r>
      <w:r>
        <w:rPr>
          <w:i/>
          <w:color w:val="231F20"/>
          <w:spacing w:val="35"/>
          <w:w w:val="105"/>
          <w:sz w:val="19"/>
        </w:rPr>
        <w:t xml:space="preserve"> </w:t>
      </w:r>
      <w:r>
        <w:rPr>
          <w:i/>
          <w:color w:val="231F20"/>
          <w:w w:val="105"/>
          <w:sz w:val="19"/>
        </w:rPr>
        <w:t>unconstitutionality.</w:t>
      </w:r>
      <w:r>
        <w:rPr>
          <w:i/>
          <w:color w:val="231F20"/>
          <w:w w:val="105"/>
          <w:position w:val="6"/>
          <w:sz w:val="11"/>
        </w:rPr>
        <w:t>2</w:t>
      </w:r>
    </w:p>
    <w:p w14:paraId="4F9F99DC" w14:textId="77777777" w:rsidR="002653E8" w:rsidRDefault="003115E3">
      <w:pPr>
        <w:pStyle w:val="a3"/>
        <w:spacing w:before="132" w:line="264" w:lineRule="auto"/>
        <w:ind w:left="1147" w:right="1326"/>
        <w:jc w:val="both"/>
      </w:pPr>
      <w:r>
        <w:rPr>
          <w:color w:val="231F20"/>
        </w:rPr>
        <w:t>These passages were marked by the experience of political instability that had traumatized the Weimar Republic. Their design owed very much to the desire to prevent any future such upheaval. Constraints on political freedoms were further rationalized by some observers as necessary to prevent a resurgence of Nazism, a credulous argument which would soon be disproved by the fact that the chief target of these exclusions would be the left.</w:t>
      </w:r>
    </w:p>
    <w:p w14:paraId="38DE6D81" w14:textId="77777777" w:rsidR="002653E8" w:rsidRDefault="003115E3">
      <w:pPr>
        <w:pStyle w:val="a3"/>
        <w:spacing w:line="264" w:lineRule="auto"/>
        <w:ind w:left="1147" w:right="1326" w:firstLine="210"/>
        <w:jc w:val="both"/>
      </w:pPr>
      <w:r>
        <w:rPr>
          <w:color w:val="231F20"/>
        </w:rPr>
        <w:t>In 1951, the CDU moved to further tighten the legal framework of repression with a volley of state security legislation, defined in the following five sections: High Treason, Dangers to the State, Offenses against Constitutional Organs, Resistance to the Authority of the State, and</w:t>
      </w:r>
    </w:p>
    <w:p w14:paraId="481BCCDF" w14:textId="77777777" w:rsidR="002653E8" w:rsidRDefault="00000000">
      <w:pPr>
        <w:pStyle w:val="a3"/>
        <w:spacing w:before="10"/>
      </w:pPr>
      <w:r>
        <w:rPr>
          <w:noProof w:val="0"/>
        </w:rPr>
        <w:pict w14:anchorId="6BDECE45">
          <v:line id="_x0000_s2714" style="position:absolute;z-index:1648;mso-wrap-distance-left:0;mso-wrap-distance-right:0;mso-position-horizontal-relative:page" from="57.4pt,14.45pt" to="129.4pt,14.45pt" strokecolor="#231f20" strokeweight=".5pt">
            <w10:wrap type="topAndBottom" anchorx="page"/>
          </v:line>
        </w:pict>
      </w:r>
    </w:p>
    <w:p w14:paraId="6D8F6D23" w14:textId="77777777" w:rsidR="002653E8" w:rsidRDefault="003115E3">
      <w:pPr>
        <w:spacing w:before="53" w:line="254" w:lineRule="auto"/>
        <w:ind w:left="1147" w:right="1513"/>
        <w:rPr>
          <w:sz w:val="16"/>
        </w:rPr>
      </w:pPr>
      <w:r>
        <w:rPr>
          <w:color w:val="231F20"/>
          <w:w w:val="105"/>
          <w:sz w:val="16"/>
        </w:rPr>
        <w:t xml:space="preserve">1 German Bundestag, Administration, Public Relations section, </w:t>
      </w:r>
      <w:r>
        <w:rPr>
          <w:i/>
          <w:color w:val="231F20"/>
          <w:w w:val="105"/>
          <w:sz w:val="16"/>
        </w:rPr>
        <w:t xml:space="preserve">Law for the Federal Republic of Germany </w:t>
      </w:r>
      <w:r>
        <w:rPr>
          <w:color w:val="231F20"/>
          <w:w w:val="105"/>
          <w:sz w:val="16"/>
        </w:rPr>
        <w:t>(Berlin, 2001), 22.</w:t>
      </w:r>
    </w:p>
    <w:p w14:paraId="325AC7A9" w14:textId="77777777" w:rsidR="002653E8" w:rsidRDefault="003115E3">
      <w:pPr>
        <w:spacing w:before="41"/>
        <w:ind w:left="1147"/>
        <w:rPr>
          <w:sz w:val="16"/>
        </w:rPr>
      </w:pPr>
      <w:r>
        <w:rPr>
          <w:color w:val="231F20"/>
          <w:w w:val="115"/>
          <w:sz w:val="16"/>
        </w:rPr>
        <w:t>2 Ibid., 23.</w:t>
      </w:r>
    </w:p>
    <w:p w14:paraId="5FAA6041" w14:textId="77777777" w:rsidR="002653E8" w:rsidRDefault="002653E8">
      <w:pPr>
        <w:rPr>
          <w:sz w:val="16"/>
        </w:rPr>
        <w:sectPr w:rsidR="002653E8">
          <w:pgSz w:w="8640" w:h="12960"/>
          <w:pgMar w:top="1060" w:right="0" w:bottom="1040" w:left="0" w:header="0" w:footer="850" w:gutter="0"/>
          <w:cols w:space="720"/>
        </w:sectPr>
      </w:pPr>
    </w:p>
    <w:p w14:paraId="263B90DB" w14:textId="77777777" w:rsidR="002653E8" w:rsidRDefault="003115E3">
      <w:pPr>
        <w:pStyle w:val="a3"/>
        <w:spacing w:before="86" w:line="264" w:lineRule="auto"/>
        <w:ind w:left="1328" w:right="1145" w:hanging="1"/>
        <w:jc w:val="both"/>
      </w:pPr>
      <w:r>
        <w:rPr>
          <w:color w:val="231F20"/>
          <w:w w:val="105"/>
        </w:rPr>
        <w:lastRenderedPageBreak/>
        <w:t>Offenses against Public Order.</w:t>
      </w:r>
      <w:r>
        <w:rPr>
          <w:color w:val="231F20"/>
          <w:w w:val="105"/>
          <w:position w:val="7"/>
          <w:sz w:val="11"/>
        </w:rPr>
        <w:t xml:space="preserve">3 </w:t>
      </w:r>
      <w:r>
        <w:rPr>
          <w:color w:val="231F20"/>
          <w:w w:val="105"/>
        </w:rPr>
        <w:t xml:space="preserve">Minister of Justice Thomas Dehler </w:t>
      </w:r>
      <w:r>
        <w:rPr>
          <w:color w:val="231F20"/>
          <w:spacing w:val="-3"/>
          <w:w w:val="105"/>
        </w:rPr>
        <w:t>ex</w:t>
      </w:r>
      <w:r>
        <w:rPr>
          <w:color w:val="231F20"/>
          <w:w w:val="105"/>
        </w:rPr>
        <w:t>plained</w:t>
      </w:r>
      <w:r>
        <w:rPr>
          <w:color w:val="231F20"/>
          <w:spacing w:val="-20"/>
          <w:w w:val="105"/>
        </w:rPr>
        <w:t xml:space="preserve"> </w:t>
      </w:r>
      <w:r>
        <w:rPr>
          <w:color w:val="231F20"/>
          <w:w w:val="105"/>
        </w:rPr>
        <w:t>that</w:t>
      </w:r>
      <w:r>
        <w:rPr>
          <w:color w:val="231F20"/>
          <w:spacing w:val="-20"/>
          <w:w w:val="105"/>
        </w:rPr>
        <w:t xml:space="preserve"> </w:t>
      </w:r>
      <w:r>
        <w:rPr>
          <w:color w:val="231F20"/>
          <w:w w:val="105"/>
        </w:rPr>
        <w:t>these</w:t>
      </w:r>
      <w:r>
        <w:rPr>
          <w:color w:val="231F20"/>
          <w:spacing w:val="-20"/>
          <w:w w:val="105"/>
        </w:rPr>
        <w:t xml:space="preserve"> </w:t>
      </w:r>
      <w:r>
        <w:rPr>
          <w:color w:val="231F20"/>
          <w:w w:val="105"/>
        </w:rPr>
        <w:t>laws</w:t>
      </w:r>
      <w:r>
        <w:rPr>
          <w:color w:val="231F20"/>
          <w:spacing w:val="-20"/>
          <w:w w:val="105"/>
        </w:rPr>
        <w:t xml:space="preserve"> </w:t>
      </w:r>
      <w:r>
        <w:rPr>
          <w:color w:val="231F20"/>
          <w:w w:val="105"/>
        </w:rPr>
        <w:t>would</w:t>
      </w:r>
      <w:r>
        <w:rPr>
          <w:color w:val="231F20"/>
          <w:spacing w:val="-20"/>
          <w:w w:val="105"/>
        </w:rPr>
        <w:t xml:space="preserve"> </w:t>
      </w:r>
      <w:r>
        <w:rPr>
          <w:color w:val="231F20"/>
          <w:w w:val="105"/>
        </w:rPr>
        <w:t>be</w:t>
      </w:r>
      <w:r>
        <w:rPr>
          <w:color w:val="231F20"/>
          <w:spacing w:val="-20"/>
          <w:w w:val="105"/>
        </w:rPr>
        <w:t xml:space="preserve"> </w:t>
      </w:r>
      <w:r>
        <w:rPr>
          <w:color w:val="231F20"/>
          <w:w w:val="105"/>
        </w:rPr>
        <w:t>used</w:t>
      </w:r>
      <w:r>
        <w:rPr>
          <w:color w:val="231F20"/>
          <w:spacing w:val="-20"/>
          <w:w w:val="105"/>
        </w:rPr>
        <w:t xml:space="preserve"> </w:t>
      </w:r>
      <w:r>
        <w:rPr>
          <w:color w:val="231F20"/>
          <w:w w:val="105"/>
        </w:rPr>
        <w:t>to</w:t>
      </w:r>
      <w:r>
        <w:rPr>
          <w:color w:val="231F20"/>
          <w:spacing w:val="-20"/>
          <w:w w:val="105"/>
        </w:rPr>
        <w:t xml:space="preserve"> </w:t>
      </w:r>
      <w:r>
        <w:rPr>
          <w:color w:val="231F20"/>
          <w:w w:val="105"/>
        </w:rPr>
        <w:t>combat</w:t>
      </w:r>
      <w:r>
        <w:rPr>
          <w:color w:val="231F20"/>
          <w:spacing w:val="-20"/>
          <w:w w:val="105"/>
        </w:rPr>
        <w:t xml:space="preserve"> </w:t>
      </w:r>
      <w:r>
        <w:rPr>
          <w:color w:val="231F20"/>
          <w:w w:val="105"/>
        </w:rPr>
        <w:t>“ideological</w:t>
      </w:r>
      <w:r>
        <w:rPr>
          <w:color w:val="231F20"/>
          <w:spacing w:val="-20"/>
          <w:w w:val="105"/>
        </w:rPr>
        <w:t xml:space="preserve"> </w:t>
      </w:r>
      <w:r>
        <w:rPr>
          <w:color w:val="231F20"/>
          <w:w w:val="105"/>
        </w:rPr>
        <w:t>high</w:t>
      </w:r>
      <w:r>
        <w:rPr>
          <w:color w:val="231F20"/>
          <w:spacing w:val="-20"/>
          <w:w w:val="105"/>
        </w:rPr>
        <w:t xml:space="preserve"> </w:t>
      </w:r>
      <w:r>
        <w:rPr>
          <w:color w:val="231F20"/>
          <w:w w:val="105"/>
        </w:rPr>
        <w:t>trea</w:t>
      </w:r>
      <w:r>
        <w:rPr>
          <w:color w:val="231F20"/>
          <w:spacing w:val="-3"/>
          <w:w w:val="105"/>
        </w:rPr>
        <w:t xml:space="preserve">son,” </w:t>
      </w:r>
      <w:r>
        <w:rPr>
          <w:color w:val="231F20"/>
          <w:w w:val="105"/>
        </w:rPr>
        <w:t xml:space="preserve">“ideological subversion,” and “ideological </w:t>
      </w:r>
      <w:r>
        <w:rPr>
          <w:color w:val="231F20"/>
          <w:spacing w:val="-3"/>
          <w:w w:val="105"/>
        </w:rPr>
        <w:t>sabotage.”</w:t>
      </w:r>
      <w:r>
        <w:rPr>
          <w:color w:val="231F20"/>
          <w:spacing w:val="-3"/>
          <w:w w:val="105"/>
          <w:position w:val="7"/>
          <w:sz w:val="11"/>
        </w:rPr>
        <w:t xml:space="preserve">4 </w:t>
      </w:r>
      <w:r>
        <w:rPr>
          <w:color w:val="231F20"/>
          <w:spacing w:val="1"/>
          <w:w w:val="105"/>
        </w:rPr>
        <w:t xml:space="preserve">In </w:t>
      </w:r>
      <w:r>
        <w:rPr>
          <w:color w:val="231F20"/>
          <w:w w:val="105"/>
        </w:rPr>
        <w:t>short, thought</w:t>
      </w:r>
      <w:r>
        <w:rPr>
          <w:color w:val="231F20"/>
          <w:spacing w:val="7"/>
          <w:w w:val="105"/>
        </w:rPr>
        <w:t xml:space="preserve"> </w:t>
      </w:r>
      <w:r>
        <w:rPr>
          <w:color w:val="231F20"/>
          <w:w w:val="105"/>
        </w:rPr>
        <w:t>crime.</w:t>
      </w:r>
    </w:p>
    <w:p w14:paraId="5630E2F8" w14:textId="77777777" w:rsidR="002653E8" w:rsidRDefault="003115E3">
      <w:pPr>
        <w:pStyle w:val="a3"/>
        <w:spacing w:line="264" w:lineRule="auto"/>
        <w:ind w:left="1327" w:right="1145" w:firstLine="210"/>
        <w:jc w:val="both"/>
      </w:pPr>
      <w:r>
        <w:rPr>
          <w:color w:val="231F20"/>
        </w:rPr>
        <w:t xml:space="preserve">The immediate target of all these statutes and constitutional restrictions became clear with due haste. On November 23, 1951, the federal government applied to the Constitutional Court to have the Communist Party of Germany (KPD) proscribed, on the basis of the aforementioned Article 21 of the Basic Law. This was at a time when the party held fifteen seats in the </w:t>
      </w:r>
      <w:r>
        <w:rPr>
          <w:i/>
          <w:color w:val="231F20"/>
        </w:rPr>
        <w:t>Bundestag</w:t>
      </w:r>
      <w:r>
        <w:rPr>
          <w:color w:val="231F20"/>
        </w:rPr>
        <w:t>.</w:t>
      </w:r>
    </w:p>
    <w:p w14:paraId="2C8033E3" w14:textId="77777777" w:rsidR="002653E8" w:rsidRDefault="003115E3">
      <w:pPr>
        <w:pStyle w:val="a3"/>
        <w:spacing w:line="264" w:lineRule="auto"/>
        <w:ind w:left="1327" w:right="1145" w:firstLine="210"/>
        <w:jc w:val="both"/>
      </w:pPr>
      <w:r>
        <w:rPr>
          <w:color w:val="231F20"/>
        </w:rPr>
        <w:t>The Communists had opposed integration into NATO and as late as 1952 paid lip service to the revolutionary overthrow of the Adenauer regime. While it clearly didn’t have mass political support—it had garnered only 2.2</w:t>
      </w:r>
      <w:r>
        <w:rPr>
          <w:color w:val="231F20"/>
          <w:sz w:val="16"/>
        </w:rPr>
        <w:t xml:space="preserve">% </w:t>
      </w:r>
      <w:r>
        <w:rPr>
          <w:color w:val="231F20"/>
        </w:rPr>
        <w:t>of the vote in the 1952 elections</w:t>
      </w:r>
      <w:r>
        <w:rPr>
          <w:color w:val="231F20"/>
          <w:position w:val="7"/>
          <w:sz w:val="11"/>
        </w:rPr>
        <w:t>5</w:t>
      </w:r>
      <w:r>
        <w:rPr>
          <w:color w:val="231F20"/>
        </w:rPr>
        <w:t>—the KPD nevertheless constituted a potential nuisance as the only political institution to speak up for a number of popular interests which were poorly represented by the major parties:</w:t>
      </w:r>
    </w:p>
    <w:p w14:paraId="4D53659A" w14:textId="77777777" w:rsidR="002653E8" w:rsidRDefault="003115E3">
      <w:pPr>
        <w:spacing w:before="111" w:line="276" w:lineRule="auto"/>
        <w:ind w:left="1747" w:right="1565"/>
        <w:jc w:val="both"/>
        <w:rPr>
          <w:i/>
          <w:sz w:val="11"/>
        </w:rPr>
      </w:pPr>
      <w:r>
        <w:rPr>
          <w:i/>
          <w:color w:val="231F20"/>
          <w:sz w:val="19"/>
        </w:rPr>
        <w:t>Its continued advocacy of an anti-fascist, socialist front, its opposition to  rearmament  and  atomic  weapons,  its  resistance  to authoritarian trends such as restrictions on free speech and emergency laws, and its demands for a greater measure of economic democracy were aims shared by members of a great range</w:t>
      </w:r>
      <w:r>
        <w:rPr>
          <w:i/>
          <w:color w:val="231F20"/>
          <w:spacing w:val="-4"/>
          <w:sz w:val="19"/>
        </w:rPr>
        <w:t xml:space="preserve"> </w:t>
      </w:r>
      <w:r>
        <w:rPr>
          <w:i/>
          <w:color w:val="231F20"/>
          <w:spacing w:val="2"/>
          <w:sz w:val="19"/>
        </w:rPr>
        <w:t>ofgroups,</w:t>
      </w:r>
      <w:r>
        <w:rPr>
          <w:i/>
          <w:color w:val="231F20"/>
          <w:spacing w:val="-14"/>
          <w:sz w:val="19"/>
        </w:rPr>
        <w:t xml:space="preserve"> </w:t>
      </w:r>
      <w:r>
        <w:rPr>
          <w:i/>
          <w:color w:val="231F20"/>
          <w:sz w:val="19"/>
        </w:rPr>
        <w:t>including</w:t>
      </w:r>
      <w:r>
        <w:rPr>
          <w:i/>
          <w:color w:val="231F20"/>
          <w:spacing w:val="-4"/>
          <w:sz w:val="19"/>
        </w:rPr>
        <w:t xml:space="preserve"> </w:t>
      </w:r>
      <w:r>
        <w:rPr>
          <w:i/>
          <w:color w:val="231F20"/>
          <w:sz w:val="19"/>
        </w:rPr>
        <w:t>neglected</w:t>
      </w:r>
      <w:r>
        <w:rPr>
          <w:i/>
          <w:color w:val="231F20"/>
          <w:spacing w:val="-4"/>
          <w:sz w:val="19"/>
        </w:rPr>
        <w:t xml:space="preserve"> </w:t>
      </w:r>
      <w:r>
        <w:rPr>
          <w:i/>
          <w:color w:val="231F20"/>
          <w:sz w:val="19"/>
        </w:rPr>
        <w:t>interests</w:t>
      </w:r>
      <w:r>
        <w:rPr>
          <w:i/>
          <w:color w:val="231F20"/>
          <w:spacing w:val="-4"/>
          <w:sz w:val="19"/>
        </w:rPr>
        <w:t xml:space="preserve"> </w:t>
      </w:r>
      <w:r>
        <w:rPr>
          <w:i/>
          <w:color w:val="231F20"/>
          <w:sz w:val="19"/>
        </w:rPr>
        <w:t>within</w:t>
      </w:r>
      <w:r>
        <w:rPr>
          <w:i/>
          <w:color w:val="231F20"/>
          <w:spacing w:val="-4"/>
          <w:sz w:val="19"/>
        </w:rPr>
        <w:t xml:space="preserve"> </w:t>
      </w:r>
      <w:r>
        <w:rPr>
          <w:i/>
          <w:color w:val="231F20"/>
          <w:sz w:val="19"/>
        </w:rPr>
        <w:t>the</w:t>
      </w:r>
      <w:r>
        <w:rPr>
          <w:i/>
          <w:color w:val="231F20"/>
          <w:spacing w:val="-4"/>
          <w:sz w:val="19"/>
        </w:rPr>
        <w:t xml:space="preserve"> </w:t>
      </w:r>
      <w:r>
        <w:rPr>
          <w:i/>
          <w:color w:val="231F20"/>
          <w:sz w:val="19"/>
        </w:rPr>
        <w:t>established parties. It was evident… that to discredit or even criminalize the KPD would also be to reduce the appeal of all groups that shared any of its</w:t>
      </w:r>
      <w:r>
        <w:rPr>
          <w:i/>
          <w:color w:val="231F20"/>
          <w:spacing w:val="30"/>
          <w:sz w:val="19"/>
        </w:rPr>
        <w:t xml:space="preserve"> </w:t>
      </w:r>
      <w:r>
        <w:rPr>
          <w:i/>
          <w:color w:val="231F20"/>
          <w:sz w:val="19"/>
        </w:rPr>
        <w:t>aims.</w:t>
      </w:r>
      <w:r>
        <w:rPr>
          <w:i/>
          <w:color w:val="231F20"/>
          <w:position w:val="6"/>
          <w:sz w:val="11"/>
        </w:rPr>
        <w:t>6</w:t>
      </w:r>
    </w:p>
    <w:p w14:paraId="136DB27E" w14:textId="77777777" w:rsidR="002653E8" w:rsidRDefault="00000000">
      <w:pPr>
        <w:pStyle w:val="a3"/>
        <w:spacing w:before="134" w:line="264" w:lineRule="auto"/>
        <w:ind w:left="1327" w:right="1145"/>
        <w:jc w:val="both"/>
      </w:pPr>
      <w:r>
        <w:rPr>
          <w:noProof w:val="0"/>
        </w:rPr>
        <w:pict w14:anchorId="5D9C0ED9">
          <v:line id="_x0000_s2713" style="position:absolute;left:0;text-align:left;z-index:1672;mso-wrap-distance-left:0;mso-wrap-distance-right:0;mso-position-horizontal-relative:page" from="66.4pt,103.45pt" to="138.4pt,103.45pt" strokecolor="#231f20" strokeweight=".5pt">
            <w10:wrap type="topAndBottom" anchorx="page"/>
          </v:line>
        </w:pict>
      </w:r>
      <w:r w:rsidR="003115E3">
        <w:rPr>
          <w:color w:val="231F20"/>
        </w:rPr>
        <w:t xml:space="preserve">The trial of the </w:t>
      </w:r>
      <w:r w:rsidR="003115E3">
        <w:rPr>
          <w:color w:val="231F20"/>
          <w:spacing w:val="1"/>
        </w:rPr>
        <w:t xml:space="preserve">KPD </w:t>
      </w:r>
      <w:r w:rsidR="003115E3">
        <w:rPr>
          <w:color w:val="231F20"/>
        </w:rPr>
        <w:t xml:space="preserve">began on November </w:t>
      </w:r>
      <w:r w:rsidR="003115E3">
        <w:rPr>
          <w:color w:val="231F20"/>
          <w:spacing w:val="-4"/>
        </w:rPr>
        <w:t xml:space="preserve">11, </w:t>
      </w:r>
      <w:r w:rsidR="003115E3">
        <w:rPr>
          <w:color w:val="231F20"/>
          <w:spacing w:val="-5"/>
        </w:rPr>
        <w:t xml:space="preserve">1954. </w:t>
      </w:r>
      <w:r w:rsidR="003115E3">
        <w:rPr>
          <w:color w:val="231F20"/>
        </w:rPr>
        <w:t xml:space="preserve">Sensing the direction things were going in, the </w:t>
      </w:r>
      <w:r w:rsidR="003115E3">
        <w:rPr>
          <w:color w:val="231F20"/>
          <w:spacing w:val="1"/>
        </w:rPr>
        <w:t xml:space="preserve">party </w:t>
      </w:r>
      <w:r w:rsidR="003115E3">
        <w:rPr>
          <w:color w:val="231F20"/>
        </w:rPr>
        <w:t xml:space="preserve">distanced itself from revolution  </w:t>
      </w:r>
      <w:r w:rsidR="003115E3">
        <w:rPr>
          <w:color w:val="231F20"/>
          <w:spacing w:val="1"/>
        </w:rPr>
        <w:t xml:space="preserve">ary </w:t>
      </w:r>
      <w:r w:rsidR="003115E3">
        <w:rPr>
          <w:color w:val="231F20"/>
        </w:rPr>
        <w:t xml:space="preserve">politics in public statements in early </w:t>
      </w:r>
      <w:r w:rsidR="003115E3">
        <w:rPr>
          <w:color w:val="231F20"/>
          <w:spacing w:val="-7"/>
        </w:rPr>
        <w:t xml:space="preserve">1956. </w:t>
      </w:r>
      <w:r w:rsidR="003115E3">
        <w:rPr>
          <w:color w:val="231F20"/>
        </w:rPr>
        <w:t xml:space="preserve">It was already too late:  on August </w:t>
      </w:r>
      <w:r w:rsidR="003115E3">
        <w:rPr>
          <w:color w:val="231F20"/>
          <w:spacing w:val="-3"/>
        </w:rPr>
        <w:t xml:space="preserve">17  </w:t>
      </w:r>
      <w:r w:rsidR="003115E3">
        <w:rPr>
          <w:color w:val="231F20"/>
        </w:rPr>
        <w:t xml:space="preserve">of  that  year,  the  </w:t>
      </w:r>
      <w:r w:rsidR="003115E3">
        <w:rPr>
          <w:color w:val="231F20"/>
          <w:spacing w:val="1"/>
        </w:rPr>
        <w:t xml:space="preserve">KPD  </w:t>
      </w:r>
      <w:r w:rsidR="003115E3">
        <w:rPr>
          <w:color w:val="231F20"/>
        </w:rPr>
        <w:t xml:space="preserve">was  declared  illegal.  Hundreds of arrests followed; not only </w:t>
      </w:r>
      <w:r w:rsidR="003115E3">
        <w:rPr>
          <w:color w:val="231F20"/>
          <w:spacing w:val="1"/>
        </w:rPr>
        <w:t xml:space="preserve">party </w:t>
      </w:r>
      <w:r w:rsidR="003115E3">
        <w:rPr>
          <w:color w:val="231F20"/>
        </w:rPr>
        <w:t>members, but also their families, members of alleged front groups, and anyone suspected of communist sympathies,</w:t>
      </w:r>
      <w:r w:rsidR="003115E3">
        <w:rPr>
          <w:color w:val="231F20"/>
          <w:spacing w:val="20"/>
        </w:rPr>
        <w:t xml:space="preserve"> </w:t>
      </w:r>
      <w:r w:rsidR="003115E3">
        <w:rPr>
          <w:color w:val="231F20"/>
        </w:rPr>
        <w:t>were</w:t>
      </w:r>
      <w:r w:rsidR="003115E3">
        <w:rPr>
          <w:color w:val="231F20"/>
          <w:spacing w:val="20"/>
        </w:rPr>
        <w:t xml:space="preserve"> </w:t>
      </w:r>
      <w:r w:rsidR="003115E3">
        <w:rPr>
          <w:color w:val="231F20"/>
        </w:rPr>
        <w:t>targeted,</w:t>
      </w:r>
      <w:r w:rsidR="003115E3">
        <w:rPr>
          <w:color w:val="231F20"/>
          <w:spacing w:val="20"/>
        </w:rPr>
        <w:t xml:space="preserve"> </w:t>
      </w:r>
      <w:r w:rsidR="003115E3">
        <w:rPr>
          <w:color w:val="231F20"/>
        </w:rPr>
        <w:t>and</w:t>
      </w:r>
      <w:r w:rsidR="003115E3">
        <w:rPr>
          <w:color w:val="231F20"/>
          <w:spacing w:val="20"/>
        </w:rPr>
        <w:t xml:space="preserve"> </w:t>
      </w:r>
      <w:r w:rsidR="003115E3">
        <w:rPr>
          <w:color w:val="231F20"/>
        </w:rPr>
        <w:t>a</w:t>
      </w:r>
      <w:r w:rsidR="003115E3">
        <w:rPr>
          <w:color w:val="231F20"/>
          <w:spacing w:val="20"/>
        </w:rPr>
        <w:t xml:space="preserve"> </w:t>
      </w:r>
      <w:r w:rsidR="003115E3">
        <w:rPr>
          <w:color w:val="231F20"/>
        </w:rPr>
        <w:t>comprehensive</w:t>
      </w:r>
      <w:r w:rsidR="003115E3">
        <w:rPr>
          <w:color w:val="231F20"/>
          <w:spacing w:val="20"/>
        </w:rPr>
        <w:t xml:space="preserve"> </w:t>
      </w:r>
      <w:r w:rsidR="003115E3">
        <w:rPr>
          <w:color w:val="231F20"/>
        </w:rPr>
        <w:t>apparatus</w:t>
      </w:r>
      <w:r w:rsidR="003115E3">
        <w:rPr>
          <w:color w:val="231F20"/>
          <w:spacing w:val="20"/>
        </w:rPr>
        <w:t xml:space="preserve"> </w:t>
      </w:r>
      <w:r w:rsidR="003115E3">
        <w:rPr>
          <w:color w:val="231F20"/>
        </w:rPr>
        <w:t>developed</w:t>
      </w:r>
    </w:p>
    <w:p w14:paraId="726554AD" w14:textId="77777777" w:rsidR="002653E8" w:rsidRDefault="003115E3">
      <w:pPr>
        <w:spacing w:before="53" w:line="254" w:lineRule="auto"/>
        <w:ind w:left="1327" w:right="1145"/>
        <w:rPr>
          <w:sz w:val="16"/>
        </w:rPr>
      </w:pPr>
      <w:r>
        <w:rPr>
          <w:color w:val="231F20"/>
          <w:w w:val="110"/>
          <w:sz w:val="16"/>
        </w:rPr>
        <w:t xml:space="preserve">3 Sebastien Cobler, </w:t>
      </w:r>
      <w:r>
        <w:rPr>
          <w:i/>
          <w:color w:val="231F20"/>
          <w:w w:val="110"/>
          <w:sz w:val="16"/>
        </w:rPr>
        <w:t xml:space="preserve">Law, Order and Politics in West Germany </w:t>
      </w:r>
      <w:r>
        <w:rPr>
          <w:color w:val="231F20"/>
          <w:w w:val="110"/>
          <w:sz w:val="16"/>
        </w:rPr>
        <w:t>(Harmondsworth, Eng.: Penguin Books, 1978), 76.</w:t>
      </w:r>
    </w:p>
    <w:p w14:paraId="346E66F0" w14:textId="77777777" w:rsidR="002653E8" w:rsidRDefault="003115E3">
      <w:pPr>
        <w:spacing w:before="41"/>
        <w:ind w:left="1327"/>
        <w:rPr>
          <w:sz w:val="16"/>
        </w:rPr>
      </w:pPr>
      <w:r>
        <w:rPr>
          <w:color w:val="231F20"/>
          <w:w w:val="115"/>
          <w:sz w:val="16"/>
        </w:rPr>
        <w:t>4 Ibid., 74.</w:t>
      </w:r>
    </w:p>
    <w:p w14:paraId="0A6FC2DB" w14:textId="77777777" w:rsidR="002653E8" w:rsidRPr="00C507A5" w:rsidRDefault="003115E3">
      <w:pPr>
        <w:pStyle w:val="a4"/>
        <w:numPr>
          <w:ilvl w:val="0"/>
          <w:numId w:val="189"/>
        </w:numPr>
        <w:tabs>
          <w:tab w:val="left" w:pos="1467"/>
        </w:tabs>
        <w:spacing w:before="51" w:line="254" w:lineRule="auto"/>
        <w:ind w:right="1388" w:firstLine="0"/>
        <w:rPr>
          <w:sz w:val="16"/>
          <w:lang w:val="de-DE"/>
        </w:rPr>
      </w:pPr>
      <w:r w:rsidRPr="00C507A5">
        <w:rPr>
          <w:color w:val="231F20"/>
          <w:w w:val="110"/>
          <w:sz w:val="16"/>
          <w:lang w:val="de-DE"/>
        </w:rPr>
        <w:t xml:space="preserve">Wolfgang Abendroth, Helmut Ridder and Otto Schonfeldt, eds., </w:t>
      </w:r>
      <w:r w:rsidRPr="00C507A5">
        <w:rPr>
          <w:i/>
          <w:color w:val="231F20"/>
          <w:w w:val="110"/>
          <w:sz w:val="16"/>
          <w:lang w:val="de-DE"/>
        </w:rPr>
        <w:t xml:space="preserve">KPD Verbot </w:t>
      </w:r>
      <w:r w:rsidRPr="00C507A5">
        <w:rPr>
          <w:i/>
          <w:color w:val="231F20"/>
          <w:spacing w:val="1"/>
          <w:w w:val="110"/>
          <w:sz w:val="16"/>
          <w:lang w:val="de-DE"/>
        </w:rPr>
        <w:t>oder</w:t>
      </w:r>
      <w:r w:rsidRPr="00C507A5">
        <w:rPr>
          <w:i/>
          <w:color w:val="231F20"/>
          <w:spacing w:val="-5"/>
          <w:w w:val="110"/>
          <w:sz w:val="16"/>
          <w:lang w:val="de-DE"/>
        </w:rPr>
        <w:t xml:space="preserve"> </w:t>
      </w:r>
      <w:r w:rsidRPr="00C507A5">
        <w:rPr>
          <w:i/>
          <w:color w:val="231F20"/>
          <w:w w:val="110"/>
          <w:sz w:val="16"/>
          <w:lang w:val="de-DE"/>
        </w:rPr>
        <w:t>mit</w:t>
      </w:r>
      <w:r w:rsidRPr="00C507A5">
        <w:rPr>
          <w:i/>
          <w:color w:val="231F20"/>
          <w:spacing w:val="-5"/>
          <w:w w:val="110"/>
          <w:sz w:val="16"/>
          <w:lang w:val="de-DE"/>
        </w:rPr>
        <w:t xml:space="preserve"> </w:t>
      </w:r>
      <w:r w:rsidRPr="00C507A5">
        <w:rPr>
          <w:i/>
          <w:color w:val="231F20"/>
          <w:spacing w:val="1"/>
          <w:w w:val="110"/>
          <w:sz w:val="16"/>
          <w:lang w:val="de-DE"/>
        </w:rPr>
        <w:t>Kommunisten</w:t>
      </w:r>
      <w:r w:rsidRPr="00C507A5">
        <w:rPr>
          <w:i/>
          <w:color w:val="231F20"/>
          <w:spacing w:val="-5"/>
          <w:w w:val="110"/>
          <w:sz w:val="16"/>
          <w:lang w:val="de-DE"/>
        </w:rPr>
        <w:t xml:space="preserve"> </w:t>
      </w:r>
      <w:r w:rsidRPr="00C507A5">
        <w:rPr>
          <w:i/>
          <w:color w:val="231F20"/>
          <w:w w:val="110"/>
          <w:sz w:val="16"/>
          <w:lang w:val="de-DE"/>
        </w:rPr>
        <w:t>leben</w:t>
      </w:r>
      <w:r w:rsidRPr="00C507A5">
        <w:rPr>
          <w:i/>
          <w:color w:val="231F20"/>
          <w:spacing w:val="-5"/>
          <w:w w:val="110"/>
          <w:sz w:val="16"/>
          <w:lang w:val="de-DE"/>
        </w:rPr>
        <w:t xml:space="preserve"> </w:t>
      </w:r>
      <w:r w:rsidRPr="00C507A5">
        <w:rPr>
          <w:color w:val="231F20"/>
          <w:w w:val="110"/>
          <w:sz w:val="16"/>
          <w:lang w:val="de-DE"/>
        </w:rPr>
        <w:t>(Hamburg:</w:t>
      </w:r>
      <w:r w:rsidRPr="00C507A5">
        <w:rPr>
          <w:color w:val="231F20"/>
          <w:spacing w:val="-5"/>
          <w:w w:val="110"/>
          <w:sz w:val="16"/>
          <w:lang w:val="de-DE"/>
        </w:rPr>
        <w:t xml:space="preserve"> </w:t>
      </w:r>
      <w:r w:rsidRPr="00C507A5">
        <w:rPr>
          <w:color w:val="231F20"/>
          <w:w w:val="110"/>
          <w:sz w:val="16"/>
          <w:lang w:val="de-DE"/>
        </w:rPr>
        <w:t>Rororo</w:t>
      </w:r>
      <w:r w:rsidRPr="00C507A5">
        <w:rPr>
          <w:color w:val="231F20"/>
          <w:spacing w:val="-5"/>
          <w:w w:val="110"/>
          <w:sz w:val="16"/>
          <w:lang w:val="de-DE"/>
        </w:rPr>
        <w:t xml:space="preserve"> </w:t>
      </w:r>
      <w:r w:rsidRPr="00C507A5">
        <w:rPr>
          <w:color w:val="231F20"/>
          <w:w w:val="110"/>
          <w:sz w:val="16"/>
          <w:lang w:val="de-DE"/>
        </w:rPr>
        <w:t>Taschenbuch</w:t>
      </w:r>
      <w:r w:rsidRPr="00C507A5">
        <w:rPr>
          <w:color w:val="231F20"/>
          <w:spacing w:val="-5"/>
          <w:w w:val="110"/>
          <w:sz w:val="16"/>
          <w:lang w:val="de-DE"/>
        </w:rPr>
        <w:t xml:space="preserve"> </w:t>
      </w:r>
      <w:r w:rsidRPr="00C507A5">
        <w:rPr>
          <w:color w:val="231F20"/>
          <w:w w:val="110"/>
          <w:sz w:val="16"/>
          <w:lang w:val="de-DE"/>
        </w:rPr>
        <w:t>Verlag,</w:t>
      </w:r>
      <w:r w:rsidRPr="00C507A5">
        <w:rPr>
          <w:color w:val="231F20"/>
          <w:spacing w:val="-4"/>
          <w:w w:val="110"/>
          <w:sz w:val="16"/>
          <w:lang w:val="de-DE"/>
        </w:rPr>
        <w:t xml:space="preserve"> </w:t>
      </w:r>
      <w:r w:rsidRPr="00C507A5">
        <w:rPr>
          <w:color w:val="231F20"/>
          <w:spacing w:val="-3"/>
          <w:w w:val="110"/>
          <w:sz w:val="16"/>
          <w:lang w:val="de-DE"/>
        </w:rPr>
        <w:t>1968),</w:t>
      </w:r>
      <w:r w:rsidRPr="00C507A5">
        <w:rPr>
          <w:color w:val="231F20"/>
          <w:spacing w:val="-5"/>
          <w:w w:val="110"/>
          <w:sz w:val="16"/>
          <w:lang w:val="de-DE"/>
        </w:rPr>
        <w:t xml:space="preserve"> </w:t>
      </w:r>
      <w:r w:rsidRPr="00C507A5">
        <w:rPr>
          <w:color w:val="231F20"/>
          <w:spacing w:val="-3"/>
          <w:w w:val="110"/>
          <w:sz w:val="16"/>
          <w:lang w:val="de-DE"/>
        </w:rPr>
        <w:t>38.</w:t>
      </w:r>
    </w:p>
    <w:p w14:paraId="7C9311D7" w14:textId="77777777" w:rsidR="002653E8" w:rsidRDefault="003115E3">
      <w:pPr>
        <w:pStyle w:val="a4"/>
        <w:numPr>
          <w:ilvl w:val="0"/>
          <w:numId w:val="189"/>
        </w:numPr>
        <w:tabs>
          <w:tab w:val="left" w:pos="1467"/>
        </w:tabs>
        <w:ind w:firstLine="0"/>
        <w:rPr>
          <w:sz w:val="16"/>
        </w:rPr>
      </w:pPr>
      <w:r>
        <w:rPr>
          <w:color w:val="231F20"/>
          <w:w w:val="115"/>
          <w:sz w:val="16"/>
        </w:rPr>
        <w:t>Graf, “Anti-communism,”</w:t>
      </w:r>
      <w:r>
        <w:rPr>
          <w:color w:val="231F20"/>
          <w:spacing w:val="7"/>
          <w:w w:val="115"/>
          <w:sz w:val="16"/>
        </w:rPr>
        <w:t xml:space="preserve"> </w:t>
      </w:r>
      <w:r>
        <w:rPr>
          <w:color w:val="231F20"/>
          <w:w w:val="115"/>
          <w:sz w:val="16"/>
        </w:rPr>
        <w:t>179.</w:t>
      </w:r>
    </w:p>
    <w:p w14:paraId="31204D7B" w14:textId="77777777" w:rsidR="002653E8" w:rsidRDefault="002653E8">
      <w:pPr>
        <w:rPr>
          <w:sz w:val="16"/>
        </w:rPr>
        <w:sectPr w:rsidR="002653E8">
          <w:pgSz w:w="8640" w:h="12960"/>
          <w:pgMar w:top="1060" w:right="0" w:bottom="1040" w:left="0" w:header="0" w:footer="850" w:gutter="0"/>
          <w:cols w:space="720"/>
        </w:sectPr>
      </w:pPr>
    </w:p>
    <w:p w14:paraId="3F494292" w14:textId="77777777" w:rsidR="002653E8" w:rsidRDefault="003115E3">
      <w:pPr>
        <w:pStyle w:val="a3"/>
        <w:spacing w:before="86" w:line="264" w:lineRule="auto"/>
        <w:ind w:left="1357" w:right="1331" w:hanging="210"/>
      </w:pPr>
      <w:r>
        <w:rPr>
          <w:color w:val="231F20"/>
        </w:rPr>
        <w:lastRenderedPageBreak/>
        <w:t>to undertake surveillance of all these individuals and organizations.</w:t>
      </w:r>
      <w:r>
        <w:rPr>
          <w:color w:val="231F20"/>
          <w:position w:val="7"/>
          <w:sz w:val="11"/>
        </w:rPr>
        <w:t xml:space="preserve">1  </w:t>
      </w:r>
      <w:r>
        <w:rPr>
          <w:color w:val="231F20"/>
        </w:rPr>
        <w:t>The</w:t>
      </w:r>
      <w:r>
        <w:rPr>
          <w:color w:val="231F20"/>
          <w:spacing w:val="32"/>
        </w:rPr>
        <w:t xml:space="preserve"> </w:t>
      </w:r>
      <w:r>
        <w:rPr>
          <w:color w:val="231F20"/>
        </w:rPr>
        <w:t>suppression</w:t>
      </w:r>
      <w:r>
        <w:rPr>
          <w:color w:val="231F20"/>
          <w:spacing w:val="32"/>
        </w:rPr>
        <w:t xml:space="preserve"> </w:t>
      </w:r>
      <w:r>
        <w:rPr>
          <w:color w:val="231F20"/>
        </w:rPr>
        <w:t>of</w:t>
      </w:r>
      <w:r>
        <w:rPr>
          <w:color w:val="231F20"/>
          <w:spacing w:val="32"/>
        </w:rPr>
        <w:t xml:space="preserve"> </w:t>
      </w:r>
      <w:r>
        <w:rPr>
          <w:color w:val="231F20"/>
        </w:rPr>
        <w:t>the</w:t>
      </w:r>
      <w:r>
        <w:rPr>
          <w:color w:val="231F20"/>
          <w:spacing w:val="32"/>
        </w:rPr>
        <w:t xml:space="preserve"> </w:t>
      </w:r>
      <w:r>
        <w:rPr>
          <w:color w:val="231F20"/>
          <w:spacing w:val="1"/>
        </w:rPr>
        <w:t>KPD</w:t>
      </w:r>
      <w:r>
        <w:rPr>
          <w:color w:val="231F20"/>
          <w:spacing w:val="32"/>
        </w:rPr>
        <w:t xml:space="preserve"> </w:t>
      </w:r>
      <w:r>
        <w:rPr>
          <w:color w:val="231F20"/>
        </w:rPr>
        <w:t>was</w:t>
      </w:r>
      <w:r>
        <w:rPr>
          <w:color w:val="231F20"/>
          <w:spacing w:val="32"/>
        </w:rPr>
        <w:t xml:space="preserve"> </w:t>
      </w:r>
      <w:r>
        <w:rPr>
          <w:color w:val="231F20"/>
        </w:rPr>
        <w:t>just</w:t>
      </w:r>
      <w:r>
        <w:rPr>
          <w:color w:val="231F20"/>
          <w:spacing w:val="32"/>
        </w:rPr>
        <w:t xml:space="preserve"> </w:t>
      </w:r>
      <w:r>
        <w:rPr>
          <w:color w:val="231F20"/>
        </w:rPr>
        <w:t>the</w:t>
      </w:r>
      <w:r>
        <w:rPr>
          <w:color w:val="231F20"/>
          <w:spacing w:val="32"/>
        </w:rPr>
        <w:t xml:space="preserve"> </w:t>
      </w:r>
      <w:r>
        <w:rPr>
          <w:color w:val="231F20"/>
        </w:rPr>
        <w:t>most</w:t>
      </w:r>
      <w:r>
        <w:rPr>
          <w:color w:val="231F20"/>
          <w:spacing w:val="32"/>
        </w:rPr>
        <w:t xml:space="preserve"> </w:t>
      </w:r>
      <w:r>
        <w:rPr>
          <w:color w:val="231F20"/>
        </w:rPr>
        <w:t>obvious</w:t>
      </w:r>
      <w:r>
        <w:rPr>
          <w:color w:val="231F20"/>
          <w:spacing w:val="32"/>
        </w:rPr>
        <w:t xml:space="preserve"> </w:t>
      </w:r>
      <w:r>
        <w:rPr>
          <w:color w:val="231F20"/>
        </w:rPr>
        <w:t>volley</w:t>
      </w:r>
      <w:r>
        <w:rPr>
          <w:color w:val="231F20"/>
          <w:spacing w:val="32"/>
        </w:rPr>
        <w:t xml:space="preserve"> </w:t>
      </w:r>
      <w:r>
        <w:rPr>
          <w:color w:val="231F20"/>
        </w:rPr>
        <w:t>in</w:t>
      </w:r>
      <w:r>
        <w:rPr>
          <w:color w:val="231F20"/>
          <w:spacing w:val="32"/>
        </w:rPr>
        <w:t xml:space="preserve"> </w:t>
      </w:r>
      <w:r>
        <w:rPr>
          <w:color w:val="231F20"/>
        </w:rPr>
        <w:t>a</w:t>
      </w:r>
    </w:p>
    <w:p w14:paraId="788BC18A" w14:textId="77777777" w:rsidR="002653E8" w:rsidRDefault="003115E3">
      <w:pPr>
        <w:pStyle w:val="a3"/>
        <w:spacing w:line="264" w:lineRule="auto"/>
        <w:ind w:left="1147" w:right="1325"/>
        <w:jc w:val="both"/>
        <w:rPr>
          <w:sz w:val="11"/>
        </w:rPr>
      </w:pPr>
      <w:r>
        <w:rPr>
          <w:color w:val="231F20"/>
        </w:rPr>
        <w:t xml:space="preserve">broader process of constitutional repression. On August 2, </w:t>
      </w:r>
      <w:r>
        <w:rPr>
          <w:color w:val="231F20"/>
          <w:spacing w:val="-5"/>
        </w:rPr>
        <w:t xml:space="preserve">1954, </w:t>
      </w:r>
      <w:r>
        <w:rPr>
          <w:color w:val="231F20"/>
        </w:rPr>
        <w:t xml:space="preserve">the Supreme Court ruled that the organization and promotion of demonstrations, meetings, and strikes could also constitute treason. A few months later, the Federal Supreme Court ruled that, “No action in a strike which goes beyond the cessation of work and violates interests protected by the law is justified by the so-called strike </w:t>
      </w:r>
      <w:r>
        <w:rPr>
          <w:color w:val="231F20"/>
          <w:spacing w:val="-5"/>
        </w:rPr>
        <w:t>law.”</w:t>
      </w:r>
      <w:r>
        <w:rPr>
          <w:color w:val="231F20"/>
          <w:spacing w:val="-5"/>
          <w:position w:val="7"/>
          <w:sz w:val="11"/>
        </w:rPr>
        <w:t xml:space="preserve">2  </w:t>
      </w:r>
      <w:r>
        <w:rPr>
          <w:color w:val="231F20"/>
          <w:spacing w:val="1"/>
        </w:rPr>
        <w:t xml:space="preserve">In </w:t>
      </w:r>
      <w:r>
        <w:rPr>
          <w:color w:val="231F20"/>
          <w:spacing w:val="-9"/>
        </w:rPr>
        <w:t xml:space="preserve">1955, </w:t>
      </w:r>
      <w:r>
        <w:rPr>
          <w:color w:val="231F20"/>
          <w:spacing w:val="25"/>
        </w:rPr>
        <w:t xml:space="preserve"> </w:t>
      </w:r>
      <w:r>
        <w:rPr>
          <w:color w:val="231F20"/>
        </w:rPr>
        <w:t>the essential nature of the Basic Law was further confirmed by a general ban on all political</w:t>
      </w:r>
      <w:r>
        <w:rPr>
          <w:color w:val="231F20"/>
          <w:spacing w:val="1"/>
        </w:rPr>
        <w:t xml:space="preserve"> </w:t>
      </w:r>
      <w:r>
        <w:rPr>
          <w:color w:val="231F20"/>
        </w:rPr>
        <w:t>strikes.</w:t>
      </w:r>
      <w:r>
        <w:rPr>
          <w:color w:val="231F20"/>
          <w:position w:val="7"/>
          <w:sz w:val="11"/>
        </w:rPr>
        <w:t>3</w:t>
      </w:r>
    </w:p>
    <w:p w14:paraId="248CB78E" w14:textId="77777777" w:rsidR="002653E8" w:rsidRDefault="003115E3">
      <w:pPr>
        <w:pStyle w:val="a3"/>
        <w:spacing w:line="264" w:lineRule="auto"/>
        <w:ind w:left="1147" w:right="1326" w:firstLine="210"/>
        <w:jc w:val="both"/>
      </w:pPr>
      <w:r>
        <w:rPr>
          <w:color w:val="231F20"/>
        </w:rPr>
        <w:t>At the same time, ample use was made of Dreher’s new security measures. By the 1960s, thousands of cases of treason were being brought before the courts:</w:t>
      </w:r>
    </w:p>
    <w:p w14:paraId="456A9622" w14:textId="77777777" w:rsidR="002653E8" w:rsidRDefault="003115E3">
      <w:pPr>
        <w:spacing w:before="115" w:line="273" w:lineRule="auto"/>
        <w:ind w:left="1567" w:right="1745"/>
        <w:jc w:val="both"/>
        <w:rPr>
          <w:i/>
          <w:sz w:val="11"/>
        </w:rPr>
      </w:pPr>
      <w:r>
        <w:rPr>
          <w:i/>
          <w:color w:val="231F20"/>
          <w:sz w:val="19"/>
        </w:rPr>
        <w:t xml:space="preserve">…in </w:t>
      </w:r>
      <w:r>
        <w:rPr>
          <w:rFonts w:ascii="Bookman Old Style" w:hAnsi="Bookman Old Style"/>
          <w:i/>
          <w:color w:val="231F20"/>
          <w:sz w:val="19"/>
        </w:rPr>
        <w:t>1963 10</w:t>
      </w:r>
      <w:r>
        <w:rPr>
          <w:i/>
          <w:color w:val="231F20"/>
          <w:sz w:val="19"/>
        </w:rPr>
        <w:t>,</w:t>
      </w:r>
      <w:r>
        <w:rPr>
          <w:rFonts w:ascii="Bookman Old Style" w:hAnsi="Bookman Old Style"/>
          <w:i/>
          <w:color w:val="231F20"/>
          <w:sz w:val="19"/>
        </w:rPr>
        <w:t xml:space="preserve">322 </w:t>
      </w:r>
      <w:r>
        <w:rPr>
          <w:i/>
          <w:color w:val="231F20"/>
          <w:sz w:val="19"/>
        </w:rPr>
        <w:t xml:space="preserve">actions were started against people alleged to have committed treasonable offenses of one kind or </w:t>
      </w:r>
      <w:r>
        <w:rPr>
          <w:i/>
          <w:color w:val="231F20"/>
          <w:spacing w:val="-3"/>
          <w:sz w:val="19"/>
        </w:rPr>
        <w:t xml:space="preserve">another. </w:t>
      </w:r>
      <w:r>
        <w:rPr>
          <w:i/>
          <w:color w:val="231F20"/>
          <w:sz w:val="19"/>
        </w:rPr>
        <w:t xml:space="preserve">In many cases these actions were against more than one person. In </w:t>
      </w:r>
      <w:r>
        <w:rPr>
          <w:rFonts w:ascii="Bookman Old Style" w:hAnsi="Bookman Old Style"/>
          <w:i/>
          <w:color w:val="231F20"/>
          <w:sz w:val="19"/>
        </w:rPr>
        <w:t xml:space="preserve">1961 </w:t>
      </w:r>
      <w:r>
        <w:rPr>
          <w:i/>
          <w:color w:val="231F20"/>
          <w:sz w:val="19"/>
        </w:rPr>
        <w:t xml:space="preserve">a total of </w:t>
      </w:r>
      <w:r>
        <w:rPr>
          <w:rFonts w:ascii="Bookman Old Style" w:hAnsi="Bookman Old Style"/>
          <w:i/>
          <w:color w:val="231F20"/>
          <w:sz w:val="19"/>
        </w:rPr>
        <w:t xml:space="preserve">442 </w:t>
      </w:r>
      <w:r>
        <w:rPr>
          <w:i/>
          <w:color w:val="231F20"/>
          <w:sz w:val="19"/>
        </w:rPr>
        <w:t xml:space="preserve">people were sentenced for various categories of “treason”. Admittedly, of these </w:t>
      </w:r>
      <w:r>
        <w:rPr>
          <w:rFonts w:ascii="Bookman Old Style" w:hAnsi="Bookman Old Style"/>
          <w:i/>
          <w:color w:val="231F20"/>
          <w:sz w:val="19"/>
        </w:rPr>
        <w:t xml:space="preserve">36 </w:t>
      </w:r>
      <w:r>
        <w:rPr>
          <w:i/>
          <w:color w:val="231F20"/>
          <w:sz w:val="19"/>
        </w:rPr>
        <w:t xml:space="preserve">were only  fined  and  </w:t>
      </w:r>
      <w:r>
        <w:rPr>
          <w:rFonts w:ascii="Bookman Old Style" w:hAnsi="Bookman Old Style"/>
          <w:i/>
          <w:color w:val="231F20"/>
          <w:sz w:val="19"/>
        </w:rPr>
        <w:t xml:space="preserve">212 </w:t>
      </w:r>
      <w:r>
        <w:rPr>
          <w:i/>
          <w:color w:val="231F20"/>
          <w:sz w:val="19"/>
        </w:rPr>
        <w:t xml:space="preserve">only got between </w:t>
      </w:r>
      <w:r>
        <w:rPr>
          <w:rFonts w:ascii="Bookman Old Style" w:hAnsi="Bookman Old Style"/>
          <w:i/>
          <w:color w:val="231F20"/>
          <w:sz w:val="19"/>
        </w:rPr>
        <w:t xml:space="preserve">9 </w:t>
      </w:r>
      <w:r>
        <w:rPr>
          <w:i/>
          <w:color w:val="231F20"/>
          <w:sz w:val="19"/>
        </w:rPr>
        <w:t xml:space="preserve">months and </w:t>
      </w:r>
      <w:r>
        <w:rPr>
          <w:rFonts w:ascii="Bookman Old Style" w:hAnsi="Bookman Old Style"/>
          <w:i/>
          <w:color w:val="231F20"/>
          <w:sz w:val="19"/>
        </w:rPr>
        <w:t xml:space="preserve">5 </w:t>
      </w:r>
      <w:r>
        <w:rPr>
          <w:i/>
          <w:color w:val="231F20"/>
          <w:sz w:val="19"/>
        </w:rPr>
        <w:t xml:space="preserve">years and </w:t>
      </w:r>
      <w:r>
        <w:rPr>
          <w:rFonts w:ascii="Bookman Old Style" w:hAnsi="Bookman Old Style"/>
          <w:i/>
          <w:color w:val="231F20"/>
          <w:sz w:val="19"/>
        </w:rPr>
        <w:t xml:space="preserve">5 </w:t>
      </w:r>
      <w:r>
        <w:rPr>
          <w:i/>
          <w:color w:val="231F20"/>
          <w:sz w:val="19"/>
        </w:rPr>
        <w:t xml:space="preserve">were sentenced to between </w:t>
      </w:r>
      <w:r>
        <w:rPr>
          <w:rFonts w:ascii="Bookman Old Style" w:hAnsi="Bookman Old Style"/>
          <w:i/>
          <w:color w:val="231F20"/>
          <w:sz w:val="19"/>
        </w:rPr>
        <w:t xml:space="preserve">5 </w:t>
      </w:r>
      <w:r>
        <w:rPr>
          <w:i/>
          <w:color w:val="231F20"/>
          <w:sz w:val="19"/>
        </w:rPr>
        <w:t xml:space="preserve">and </w:t>
      </w:r>
      <w:r>
        <w:rPr>
          <w:rFonts w:ascii="Bookman Old Style" w:hAnsi="Bookman Old Style"/>
          <w:i/>
          <w:color w:val="231F20"/>
          <w:sz w:val="19"/>
        </w:rPr>
        <w:t xml:space="preserve">15 </w:t>
      </w:r>
      <w:r>
        <w:rPr>
          <w:i/>
          <w:color w:val="231F20"/>
          <w:sz w:val="19"/>
        </w:rPr>
        <w:t>years. Many others had their careers ruined by court</w:t>
      </w:r>
      <w:r>
        <w:rPr>
          <w:i/>
          <w:color w:val="231F20"/>
          <w:spacing w:val="12"/>
          <w:sz w:val="19"/>
        </w:rPr>
        <w:t xml:space="preserve"> </w:t>
      </w:r>
      <w:r>
        <w:rPr>
          <w:i/>
          <w:color w:val="231F20"/>
          <w:sz w:val="19"/>
        </w:rPr>
        <w:t>actions</w:t>
      </w:r>
      <w:r>
        <w:rPr>
          <w:i/>
          <w:color w:val="231F20"/>
          <w:spacing w:val="12"/>
          <w:sz w:val="19"/>
        </w:rPr>
        <w:t xml:space="preserve"> </w:t>
      </w:r>
      <w:r>
        <w:rPr>
          <w:i/>
          <w:color w:val="231F20"/>
          <w:sz w:val="19"/>
        </w:rPr>
        <w:t>in</w:t>
      </w:r>
      <w:r>
        <w:rPr>
          <w:i/>
          <w:color w:val="231F20"/>
          <w:spacing w:val="12"/>
          <w:sz w:val="19"/>
        </w:rPr>
        <w:t xml:space="preserve"> </w:t>
      </w:r>
      <w:r>
        <w:rPr>
          <w:i/>
          <w:color w:val="231F20"/>
          <w:sz w:val="19"/>
        </w:rPr>
        <w:t>which</w:t>
      </w:r>
      <w:r>
        <w:rPr>
          <w:i/>
          <w:color w:val="231F20"/>
          <w:spacing w:val="12"/>
          <w:sz w:val="19"/>
        </w:rPr>
        <w:t xml:space="preserve"> </w:t>
      </w:r>
      <w:r>
        <w:rPr>
          <w:i/>
          <w:color w:val="231F20"/>
          <w:sz w:val="19"/>
        </w:rPr>
        <w:t>the</w:t>
      </w:r>
      <w:r>
        <w:rPr>
          <w:i/>
          <w:color w:val="231F20"/>
          <w:spacing w:val="12"/>
          <w:sz w:val="19"/>
        </w:rPr>
        <w:t xml:space="preserve"> </w:t>
      </w:r>
      <w:r>
        <w:rPr>
          <w:i/>
          <w:color w:val="231F20"/>
          <w:sz w:val="19"/>
        </w:rPr>
        <w:t>State</w:t>
      </w:r>
      <w:r>
        <w:rPr>
          <w:i/>
          <w:color w:val="231F20"/>
          <w:spacing w:val="12"/>
          <w:sz w:val="19"/>
        </w:rPr>
        <w:t xml:space="preserve"> </w:t>
      </w:r>
      <w:r>
        <w:rPr>
          <w:i/>
          <w:color w:val="231F20"/>
          <w:sz w:val="19"/>
        </w:rPr>
        <w:t>failed</w:t>
      </w:r>
      <w:r>
        <w:rPr>
          <w:i/>
          <w:color w:val="231F20"/>
          <w:spacing w:val="12"/>
          <w:sz w:val="19"/>
        </w:rPr>
        <w:t xml:space="preserve"> </w:t>
      </w:r>
      <w:r>
        <w:rPr>
          <w:i/>
          <w:color w:val="231F20"/>
          <w:sz w:val="19"/>
        </w:rPr>
        <w:t>to</w:t>
      </w:r>
      <w:r>
        <w:rPr>
          <w:i/>
          <w:color w:val="231F20"/>
          <w:spacing w:val="12"/>
          <w:sz w:val="19"/>
        </w:rPr>
        <w:t xml:space="preserve"> </w:t>
      </w:r>
      <w:r>
        <w:rPr>
          <w:i/>
          <w:color w:val="231F20"/>
          <w:sz w:val="19"/>
        </w:rPr>
        <w:t>prove</w:t>
      </w:r>
      <w:r>
        <w:rPr>
          <w:i/>
          <w:color w:val="231F20"/>
          <w:spacing w:val="12"/>
          <w:sz w:val="19"/>
        </w:rPr>
        <w:t xml:space="preserve"> </w:t>
      </w:r>
      <w:r>
        <w:rPr>
          <w:i/>
          <w:color w:val="231F20"/>
          <w:sz w:val="19"/>
        </w:rPr>
        <w:t>its</w:t>
      </w:r>
      <w:r>
        <w:rPr>
          <w:i/>
          <w:color w:val="231F20"/>
          <w:spacing w:val="12"/>
          <w:sz w:val="19"/>
        </w:rPr>
        <w:t xml:space="preserve"> </w:t>
      </w:r>
      <w:r>
        <w:rPr>
          <w:i/>
          <w:color w:val="231F20"/>
          <w:sz w:val="19"/>
        </w:rPr>
        <w:t>case.</w:t>
      </w:r>
      <w:r>
        <w:rPr>
          <w:i/>
          <w:color w:val="231F20"/>
          <w:position w:val="6"/>
          <w:sz w:val="11"/>
        </w:rPr>
        <w:t>4</w:t>
      </w:r>
    </w:p>
    <w:p w14:paraId="250E5E23" w14:textId="77777777" w:rsidR="002653E8" w:rsidRDefault="003115E3">
      <w:pPr>
        <w:pStyle w:val="a3"/>
        <w:spacing w:before="142" w:line="264" w:lineRule="auto"/>
        <w:ind w:left="1147" w:right="1327"/>
        <w:jc w:val="both"/>
      </w:pPr>
      <w:r>
        <w:rPr>
          <w:color w:val="231F20"/>
        </w:rPr>
        <w:t>With its culture sterilized and its traditions of worker militancy broken, the postfascist, post-genocidal society provided an ideal foundation for a</w:t>
      </w:r>
      <w:r>
        <w:rPr>
          <w:color w:val="231F20"/>
          <w:spacing w:val="10"/>
        </w:rPr>
        <w:t xml:space="preserve"> </w:t>
      </w:r>
      <w:r>
        <w:rPr>
          <w:color w:val="231F20"/>
        </w:rPr>
        <w:t>new</w:t>
      </w:r>
      <w:r>
        <w:rPr>
          <w:color w:val="231F20"/>
          <w:spacing w:val="10"/>
        </w:rPr>
        <w:t xml:space="preserve"> </w:t>
      </w:r>
      <w:r>
        <w:rPr>
          <w:color w:val="231F20"/>
        </w:rPr>
        <w:t>authoritarian</w:t>
      </w:r>
      <w:r>
        <w:rPr>
          <w:color w:val="231F20"/>
          <w:spacing w:val="10"/>
        </w:rPr>
        <w:t xml:space="preserve"> </w:t>
      </w:r>
      <w:r>
        <w:rPr>
          <w:color w:val="231F20"/>
        </w:rPr>
        <w:t>and</w:t>
      </w:r>
      <w:r>
        <w:rPr>
          <w:color w:val="231F20"/>
          <w:spacing w:val="10"/>
        </w:rPr>
        <w:t xml:space="preserve"> </w:t>
      </w:r>
      <w:r>
        <w:rPr>
          <w:color w:val="231F20"/>
        </w:rPr>
        <w:t>technocratic</w:t>
      </w:r>
      <w:r>
        <w:rPr>
          <w:color w:val="231F20"/>
          <w:spacing w:val="10"/>
        </w:rPr>
        <w:t xml:space="preserve"> </w:t>
      </w:r>
      <w:r>
        <w:rPr>
          <w:color w:val="231F20"/>
        </w:rPr>
        <w:t>capitalist</w:t>
      </w:r>
      <w:r>
        <w:rPr>
          <w:color w:val="231F20"/>
          <w:spacing w:val="10"/>
        </w:rPr>
        <w:t xml:space="preserve"> </w:t>
      </w:r>
      <w:r>
        <w:rPr>
          <w:color w:val="231F20"/>
        </w:rPr>
        <w:t>state.</w:t>
      </w:r>
    </w:p>
    <w:p w14:paraId="333E18A4" w14:textId="77777777" w:rsidR="002653E8" w:rsidRDefault="002653E8">
      <w:pPr>
        <w:pStyle w:val="a3"/>
      </w:pPr>
    </w:p>
    <w:p w14:paraId="704420B2" w14:textId="77777777" w:rsidR="002653E8" w:rsidRDefault="002653E8">
      <w:pPr>
        <w:pStyle w:val="a3"/>
      </w:pPr>
    </w:p>
    <w:p w14:paraId="00A733B2" w14:textId="77777777" w:rsidR="002653E8" w:rsidRDefault="002653E8">
      <w:pPr>
        <w:pStyle w:val="a3"/>
      </w:pPr>
    </w:p>
    <w:p w14:paraId="2976DDDA" w14:textId="77777777" w:rsidR="002653E8" w:rsidRDefault="002653E8">
      <w:pPr>
        <w:pStyle w:val="a3"/>
      </w:pPr>
    </w:p>
    <w:p w14:paraId="5029B1C9" w14:textId="77777777" w:rsidR="002653E8" w:rsidRDefault="002653E8">
      <w:pPr>
        <w:pStyle w:val="a3"/>
      </w:pPr>
    </w:p>
    <w:p w14:paraId="6A965D32" w14:textId="77777777" w:rsidR="002653E8" w:rsidRDefault="002653E8">
      <w:pPr>
        <w:pStyle w:val="a3"/>
      </w:pPr>
    </w:p>
    <w:p w14:paraId="25824259" w14:textId="77777777" w:rsidR="002653E8" w:rsidRDefault="002653E8">
      <w:pPr>
        <w:pStyle w:val="a3"/>
      </w:pPr>
    </w:p>
    <w:p w14:paraId="11381B7D" w14:textId="77777777" w:rsidR="002653E8" w:rsidRDefault="002653E8">
      <w:pPr>
        <w:pStyle w:val="a3"/>
      </w:pPr>
    </w:p>
    <w:p w14:paraId="30834501" w14:textId="77777777" w:rsidR="002653E8" w:rsidRDefault="002653E8">
      <w:pPr>
        <w:pStyle w:val="a3"/>
      </w:pPr>
    </w:p>
    <w:p w14:paraId="36FB12DA" w14:textId="77777777" w:rsidR="002653E8" w:rsidRDefault="002653E8">
      <w:pPr>
        <w:pStyle w:val="a3"/>
      </w:pPr>
    </w:p>
    <w:p w14:paraId="590F06B7" w14:textId="77777777" w:rsidR="002653E8" w:rsidRDefault="00000000">
      <w:pPr>
        <w:pStyle w:val="a3"/>
        <w:spacing w:before="10"/>
        <w:rPr>
          <w:sz w:val="21"/>
        </w:rPr>
      </w:pPr>
      <w:r>
        <w:rPr>
          <w:noProof w:val="0"/>
        </w:rPr>
        <w:pict w14:anchorId="46F27652">
          <v:line id="_x0000_s2712" style="position:absolute;z-index:1696;mso-wrap-distance-left:0;mso-wrap-distance-right:0;mso-position-horizontal-relative:page" from="57.4pt,15.05pt" to="129.4pt,15.05pt" strokecolor="#231f20" strokeweight=".5pt">
            <w10:wrap type="topAndBottom" anchorx="page"/>
          </v:line>
        </w:pict>
      </w:r>
    </w:p>
    <w:p w14:paraId="30818C4C" w14:textId="77777777" w:rsidR="002653E8" w:rsidRDefault="003115E3">
      <w:pPr>
        <w:spacing w:before="53"/>
        <w:ind w:left="1147"/>
        <w:rPr>
          <w:sz w:val="16"/>
        </w:rPr>
      </w:pPr>
      <w:r>
        <w:rPr>
          <w:color w:val="231F20"/>
          <w:w w:val="115"/>
          <w:sz w:val="16"/>
        </w:rPr>
        <w:t>1 Ibid., 180.</w:t>
      </w:r>
    </w:p>
    <w:p w14:paraId="74F01613" w14:textId="77777777" w:rsidR="002653E8" w:rsidRDefault="003115E3">
      <w:pPr>
        <w:spacing w:before="51"/>
        <w:ind w:left="1147"/>
        <w:rPr>
          <w:sz w:val="16"/>
        </w:rPr>
      </w:pPr>
      <w:r>
        <w:rPr>
          <w:color w:val="231F20"/>
          <w:w w:val="110"/>
          <w:sz w:val="16"/>
        </w:rPr>
        <w:t>2 Cobler, 183-184.</w:t>
      </w:r>
    </w:p>
    <w:p w14:paraId="398BC845" w14:textId="77777777" w:rsidR="002653E8" w:rsidRDefault="003115E3">
      <w:pPr>
        <w:spacing w:before="52"/>
        <w:ind w:left="1147"/>
        <w:rPr>
          <w:sz w:val="16"/>
        </w:rPr>
      </w:pPr>
      <w:r>
        <w:rPr>
          <w:color w:val="231F20"/>
          <w:w w:val="115"/>
          <w:sz w:val="16"/>
        </w:rPr>
        <w:t>3 Ibid., 80.</w:t>
      </w:r>
    </w:p>
    <w:p w14:paraId="428ED229" w14:textId="77777777" w:rsidR="002653E8" w:rsidRDefault="003115E3">
      <w:pPr>
        <w:spacing w:before="52" w:line="254" w:lineRule="auto"/>
        <w:ind w:left="1147" w:right="1770"/>
        <w:rPr>
          <w:sz w:val="16"/>
        </w:rPr>
      </w:pPr>
      <w:r>
        <w:rPr>
          <w:color w:val="231F20"/>
          <w:w w:val="110"/>
          <w:sz w:val="16"/>
        </w:rPr>
        <w:t xml:space="preserve">4 David Childs, </w:t>
      </w:r>
      <w:r>
        <w:rPr>
          <w:i/>
          <w:color w:val="231F20"/>
          <w:w w:val="110"/>
          <w:sz w:val="16"/>
        </w:rPr>
        <w:t xml:space="preserve">From Schumacher to Brandt: The Story of German Socialism 1945-1965 </w:t>
      </w:r>
      <w:r>
        <w:rPr>
          <w:color w:val="231F20"/>
          <w:w w:val="110"/>
          <w:sz w:val="16"/>
        </w:rPr>
        <w:t>(New york: Pergamon Press, 1966), 49.</w:t>
      </w:r>
    </w:p>
    <w:p w14:paraId="7C215997" w14:textId="77777777" w:rsidR="002653E8" w:rsidRDefault="002653E8">
      <w:pPr>
        <w:spacing w:line="254" w:lineRule="auto"/>
        <w:rPr>
          <w:sz w:val="16"/>
        </w:rPr>
        <w:sectPr w:rsidR="002653E8">
          <w:pgSz w:w="8640" w:h="12960"/>
          <w:pgMar w:top="1060" w:right="0" w:bottom="1040" w:left="0" w:header="0" w:footer="850" w:gutter="0"/>
          <w:cols w:space="720"/>
        </w:sectPr>
      </w:pPr>
    </w:p>
    <w:p w14:paraId="2676E8DF" w14:textId="77777777" w:rsidR="002653E8" w:rsidRDefault="00000000">
      <w:pPr>
        <w:pStyle w:val="a3"/>
        <w:spacing w:before="4"/>
        <w:rPr>
          <w:sz w:val="16"/>
        </w:rPr>
      </w:pPr>
      <w:r>
        <w:rPr>
          <w:noProof w:val="0"/>
        </w:rPr>
        <w:lastRenderedPageBreak/>
        <w:pict w14:anchorId="5EB1F94F">
          <v:group id="_x0000_s2704" style="position:absolute;margin-left:66.4pt;margin-top:54pt;width:308.25pt;height:514.6pt;z-index:-462928;mso-position-horizontal-relative:page;mso-position-vertical-relative:page" coordorigin="1328,1080" coordsize="6165,10292">
            <v:rect id="_x0000_s2711" style="position:absolute;left:1327;top:1080;width:6165;height:10292" fillcolor="#e6e7e8" stroked="f"/>
            <v:line id="_x0000_s2710" style="position:absolute" from="1523,10260" to="2963,10260" strokecolor="#231f20" strokeweight=".5pt"/>
            <v:line id="_x0000_s2709" style="position:absolute" from="1335,1140" to="1335,11327" strokecolor="#231f20">
              <v:stroke dashstyle="3 1"/>
            </v:line>
            <v:line id="_x0000_s2708" style="position:absolute" from="1388,11364" to="7447,11364" strokecolor="#231f20">
              <v:stroke dashstyle="3 1"/>
            </v:line>
            <v:line id="_x0000_s2707" style="position:absolute" from="7485,11312" to="7485,1125" strokecolor="#231f20">
              <v:stroke dashstyle="3 1"/>
            </v:line>
            <v:line id="_x0000_s2706" style="position:absolute" from="7432,1088" to="1373,1088" strokecolor="#231f20">
              <v:stroke dashstyle="3 1"/>
            </v:line>
            <v:shape id="_x0000_s2705" style="position:absolute;top:2705;width:6150;height:10277" coordorigin=",2706" coordsize="6150,10277" o:spt="100" adj="0,,0" path="m1335,11342r,22l1358,11364t6104,l7485,11364r,-22m7485,1110r,-22l7462,1088t-6104,l1335,1088r,22e" filled="f" strokecolor="#231f20">
              <v:stroke joinstyle="round"/>
              <v:formulas/>
              <v:path arrowok="t" o:connecttype="segments"/>
            </v:shape>
            <w10:wrap anchorx="page" anchory="page"/>
          </v:group>
        </w:pict>
      </w:r>
    </w:p>
    <w:p w14:paraId="3AD085F5" w14:textId="77777777" w:rsidR="002653E8" w:rsidRDefault="003115E3">
      <w:pPr>
        <w:spacing w:before="88"/>
        <w:ind w:left="2016"/>
        <w:rPr>
          <w:rFonts w:ascii="Lucida Sans"/>
          <w:b/>
          <w:sz w:val="24"/>
        </w:rPr>
      </w:pPr>
      <w:bookmarkStart w:id="20" w:name="not_wanted_in_the_model:_the_kpd_"/>
      <w:bookmarkStart w:id="21" w:name="_bookmark8"/>
      <w:bookmarkEnd w:id="20"/>
      <w:bookmarkEnd w:id="21"/>
      <w:r>
        <w:rPr>
          <w:rFonts w:ascii="Lucida Sans"/>
          <w:b/>
          <w:color w:val="231F20"/>
          <w:sz w:val="24"/>
        </w:rPr>
        <w:t xml:space="preserve">not Wanted In the Model: the KPD </w:t>
      </w:r>
    </w:p>
    <w:p w14:paraId="6CAFE4C3" w14:textId="77777777" w:rsidR="002653E8" w:rsidRDefault="002653E8">
      <w:pPr>
        <w:pStyle w:val="a3"/>
        <w:spacing w:before="1"/>
        <w:rPr>
          <w:rFonts w:ascii="Lucida Sans"/>
          <w:b/>
          <w:sz w:val="24"/>
        </w:rPr>
      </w:pPr>
    </w:p>
    <w:p w14:paraId="32E80819" w14:textId="77777777" w:rsidR="002653E8" w:rsidRDefault="003115E3">
      <w:pPr>
        <w:spacing w:line="264" w:lineRule="auto"/>
        <w:ind w:left="1523" w:right="1513" w:hanging="1"/>
        <w:rPr>
          <w:rFonts w:ascii="Calibri"/>
          <w:sz w:val="19"/>
        </w:rPr>
      </w:pPr>
      <w:r>
        <w:rPr>
          <w:rFonts w:ascii="Calibri"/>
          <w:color w:val="231F20"/>
          <w:w w:val="105"/>
          <w:sz w:val="19"/>
        </w:rPr>
        <w:t xml:space="preserve">Immediately after the </w:t>
      </w:r>
      <w:r>
        <w:rPr>
          <w:rFonts w:ascii="Calibri"/>
          <w:color w:val="231F20"/>
          <w:spacing w:val="-3"/>
          <w:w w:val="105"/>
          <w:sz w:val="19"/>
        </w:rPr>
        <w:t xml:space="preserve">war, </w:t>
      </w:r>
      <w:r>
        <w:rPr>
          <w:rFonts w:ascii="Calibri"/>
          <w:color w:val="231F20"/>
          <w:w w:val="105"/>
          <w:sz w:val="19"/>
        </w:rPr>
        <w:t>the kPd  benefited  from  an unambiguous anti-Nazi track record, but  this  strong  position quickly crumbled due to a variety of factors. Patrick Major of Warwick University has provided a valuable  overview  of  this decline</w:t>
      </w:r>
      <w:r>
        <w:rPr>
          <w:rFonts w:ascii="Calibri"/>
          <w:color w:val="231F20"/>
          <w:spacing w:val="-17"/>
          <w:w w:val="105"/>
          <w:sz w:val="19"/>
        </w:rPr>
        <w:t xml:space="preserve"> </w:t>
      </w:r>
      <w:r>
        <w:rPr>
          <w:rFonts w:ascii="Calibri"/>
          <w:color w:val="231F20"/>
          <w:w w:val="105"/>
          <w:sz w:val="19"/>
        </w:rPr>
        <w:t>in</w:t>
      </w:r>
      <w:r>
        <w:rPr>
          <w:rFonts w:ascii="Calibri"/>
          <w:color w:val="231F20"/>
          <w:spacing w:val="-17"/>
          <w:w w:val="105"/>
          <w:sz w:val="19"/>
        </w:rPr>
        <w:t xml:space="preserve"> </w:t>
      </w:r>
      <w:r>
        <w:rPr>
          <w:rFonts w:ascii="Calibri"/>
          <w:color w:val="231F20"/>
          <w:w w:val="105"/>
          <w:sz w:val="19"/>
        </w:rPr>
        <w:t>his</w:t>
      </w:r>
      <w:r>
        <w:rPr>
          <w:rFonts w:ascii="Calibri"/>
          <w:color w:val="231F20"/>
          <w:spacing w:val="-17"/>
          <w:w w:val="105"/>
          <w:sz w:val="19"/>
        </w:rPr>
        <w:t xml:space="preserve"> </w:t>
      </w:r>
      <w:r>
        <w:rPr>
          <w:rFonts w:ascii="Calibri"/>
          <w:color w:val="231F20"/>
          <w:w w:val="105"/>
          <w:sz w:val="19"/>
        </w:rPr>
        <w:t>book</w:t>
      </w:r>
      <w:r>
        <w:rPr>
          <w:rFonts w:ascii="Calibri"/>
          <w:color w:val="231F20"/>
          <w:spacing w:val="-17"/>
          <w:w w:val="105"/>
          <w:sz w:val="19"/>
        </w:rPr>
        <w:t xml:space="preserve"> </w:t>
      </w:r>
      <w:r>
        <w:rPr>
          <w:rFonts w:ascii="Lucida Sans"/>
          <w:i/>
          <w:color w:val="231F20"/>
          <w:w w:val="105"/>
          <w:sz w:val="19"/>
        </w:rPr>
        <w:t>The</w:t>
      </w:r>
      <w:r>
        <w:rPr>
          <w:rFonts w:ascii="Lucida Sans"/>
          <w:i/>
          <w:color w:val="231F20"/>
          <w:spacing w:val="-35"/>
          <w:w w:val="105"/>
          <w:sz w:val="19"/>
        </w:rPr>
        <w:t xml:space="preserve"> </w:t>
      </w:r>
      <w:r>
        <w:rPr>
          <w:rFonts w:ascii="Lucida Sans"/>
          <w:i/>
          <w:color w:val="231F20"/>
          <w:w w:val="105"/>
          <w:sz w:val="19"/>
        </w:rPr>
        <w:t>Death</w:t>
      </w:r>
      <w:r>
        <w:rPr>
          <w:rFonts w:ascii="Lucida Sans"/>
          <w:i/>
          <w:color w:val="231F20"/>
          <w:spacing w:val="-35"/>
          <w:w w:val="105"/>
          <w:sz w:val="19"/>
        </w:rPr>
        <w:t xml:space="preserve"> </w:t>
      </w:r>
      <w:r>
        <w:rPr>
          <w:rFonts w:ascii="Lucida Sans"/>
          <w:i/>
          <w:color w:val="231F20"/>
          <w:w w:val="105"/>
          <w:sz w:val="19"/>
        </w:rPr>
        <w:t>of</w:t>
      </w:r>
      <w:r>
        <w:rPr>
          <w:rFonts w:ascii="Lucida Sans"/>
          <w:i/>
          <w:color w:val="231F20"/>
          <w:spacing w:val="-35"/>
          <w:w w:val="105"/>
          <w:sz w:val="19"/>
        </w:rPr>
        <w:t xml:space="preserve"> </w:t>
      </w:r>
      <w:r>
        <w:rPr>
          <w:rFonts w:ascii="Lucida Sans"/>
          <w:i/>
          <w:color w:val="231F20"/>
          <w:w w:val="105"/>
          <w:sz w:val="19"/>
        </w:rPr>
        <w:t>the</w:t>
      </w:r>
      <w:r>
        <w:rPr>
          <w:rFonts w:ascii="Lucida Sans"/>
          <w:i/>
          <w:color w:val="231F20"/>
          <w:spacing w:val="-35"/>
          <w:w w:val="105"/>
          <w:sz w:val="19"/>
        </w:rPr>
        <w:t xml:space="preserve"> </w:t>
      </w:r>
      <w:r>
        <w:rPr>
          <w:rFonts w:ascii="Lucida Sans"/>
          <w:i/>
          <w:color w:val="231F20"/>
          <w:w w:val="105"/>
          <w:sz w:val="19"/>
        </w:rPr>
        <w:t>kpD:</w:t>
      </w:r>
      <w:r>
        <w:rPr>
          <w:rFonts w:ascii="Lucida Sans"/>
          <w:i/>
          <w:color w:val="231F20"/>
          <w:spacing w:val="-35"/>
          <w:w w:val="105"/>
          <w:sz w:val="19"/>
        </w:rPr>
        <w:t xml:space="preserve"> </w:t>
      </w:r>
      <w:r>
        <w:rPr>
          <w:rFonts w:ascii="Lucida Sans"/>
          <w:i/>
          <w:color w:val="231F20"/>
          <w:w w:val="105"/>
          <w:sz w:val="19"/>
        </w:rPr>
        <w:t>Communism</w:t>
      </w:r>
      <w:r>
        <w:rPr>
          <w:rFonts w:ascii="Lucida Sans"/>
          <w:i/>
          <w:color w:val="231F20"/>
          <w:spacing w:val="-35"/>
          <w:w w:val="105"/>
          <w:sz w:val="19"/>
        </w:rPr>
        <w:t xml:space="preserve"> </w:t>
      </w:r>
      <w:r>
        <w:rPr>
          <w:rFonts w:ascii="Lucida Sans"/>
          <w:i/>
          <w:color w:val="231F20"/>
          <w:w w:val="105"/>
          <w:sz w:val="19"/>
        </w:rPr>
        <w:t>and</w:t>
      </w:r>
      <w:r>
        <w:rPr>
          <w:rFonts w:ascii="Lucida Sans"/>
          <w:i/>
          <w:color w:val="231F20"/>
          <w:spacing w:val="-35"/>
          <w:w w:val="105"/>
          <w:sz w:val="19"/>
        </w:rPr>
        <w:t xml:space="preserve"> </w:t>
      </w:r>
      <w:r>
        <w:rPr>
          <w:rFonts w:ascii="Lucida Sans"/>
          <w:i/>
          <w:color w:val="231F20"/>
          <w:w w:val="105"/>
          <w:sz w:val="19"/>
        </w:rPr>
        <w:t>AntiCommunism</w:t>
      </w:r>
      <w:r>
        <w:rPr>
          <w:rFonts w:ascii="Lucida Sans"/>
          <w:i/>
          <w:color w:val="231F20"/>
          <w:spacing w:val="-17"/>
          <w:w w:val="105"/>
          <w:sz w:val="19"/>
        </w:rPr>
        <w:t xml:space="preserve"> </w:t>
      </w:r>
      <w:r>
        <w:rPr>
          <w:rFonts w:ascii="Lucida Sans"/>
          <w:i/>
          <w:color w:val="231F20"/>
          <w:w w:val="105"/>
          <w:sz w:val="19"/>
        </w:rPr>
        <w:t>in</w:t>
      </w:r>
      <w:r>
        <w:rPr>
          <w:rFonts w:ascii="Lucida Sans"/>
          <w:i/>
          <w:color w:val="231F20"/>
          <w:spacing w:val="-17"/>
          <w:w w:val="105"/>
          <w:sz w:val="19"/>
        </w:rPr>
        <w:t xml:space="preserve"> </w:t>
      </w:r>
      <w:r>
        <w:rPr>
          <w:rFonts w:ascii="Lucida Sans"/>
          <w:i/>
          <w:color w:val="231F20"/>
          <w:w w:val="105"/>
          <w:sz w:val="19"/>
        </w:rPr>
        <w:t>West</w:t>
      </w:r>
      <w:r>
        <w:rPr>
          <w:rFonts w:ascii="Lucida Sans"/>
          <w:i/>
          <w:color w:val="231F20"/>
          <w:spacing w:val="-17"/>
          <w:w w:val="105"/>
          <w:sz w:val="19"/>
        </w:rPr>
        <w:t xml:space="preserve"> </w:t>
      </w:r>
      <w:r>
        <w:rPr>
          <w:rFonts w:ascii="Lucida Sans"/>
          <w:i/>
          <w:color w:val="231F20"/>
          <w:w w:val="105"/>
          <w:sz w:val="19"/>
        </w:rPr>
        <w:t>Germany,</w:t>
      </w:r>
      <w:r>
        <w:rPr>
          <w:rFonts w:ascii="Lucida Sans"/>
          <w:i/>
          <w:color w:val="231F20"/>
          <w:spacing w:val="-17"/>
          <w:w w:val="105"/>
          <w:sz w:val="19"/>
        </w:rPr>
        <w:t xml:space="preserve"> </w:t>
      </w:r>
      <w:r>
        <w:rPr>
          <w:rFonts w:ascii="Arial"/>
          <w:i/>
          <w:color w:val="231F20"/>
          <w:spacing w:val="-4"/>
          <w:w w:val="105"/>
          <w:sz w:val="19"/>
        </w:rPr>
        <w:t>1945</w:t>
      </w:r>
      <w:r>
        <w:rPr>
          <w:rFonts w:ascii="Lucida Sans"/>
          <w:i/>
          <w:color w:val="231F20"/>
          <w:spacing w:val="-4"/>
          <w:w w:val="105"/>
          <w:sz w:val="19"/>
        </w:rPr>
        <w:t>-</w:t>
      </w:r>
      <w:r>
        <w:rPr>
          <w:rFonts w:ascii="Arial"/>
          <w:i/>
          <w:color w:val="231F20"/>
          <w:spacing w:val="-4"/>
          <w:w w:val="105"/>
          <w:sz w:val="19"/>
        </w:rPr>
        <w:t>1956</w:t>
      </w:r>
      <w:r>
        <w:rPr>
          <w:rFonts w:ascii="Calibri"/>
          <w:color w:val="231F20"/>
          <w:spacing w:val="-4"/>
          <w:w w:val="105"/>
          <w:sz w:val="19"/>
        </w:rPr>
        <w:t>.</w:t>
      </w:r>
    </w:p>
    <w:p w14:paraId="0A8B7948" w14:textId="77777777" w:rsidR="002653E8" w:rsidRDefault="003115E3">
      <w:pPr>
        <w:spacing w:before="5" w:line="266" w:lineRule="auto"/>
        <w:ind w:left="1522" w:right="1718" w:firstLine="209"/>
        <w:rPr>
          <w:rFonts w:ascii="Calibri" w:hAnsi="Calibri"/>
          <w:sz w:val="19"/>
        </w:rPr>
      </w:pPr>
      <w:r>
        <w:rPr>
          <w:rFonts w:ascii="Calibri" w:hAnsi="Calibri"/>
          <w:color w:val="231F20"/>
          <w:w w:val="105"/>
          <w:sz w:val="19"/>
        </w:rPr>
        <w:t xml:space="preserve">According to  </w:t>
      </w:r>
      <w:r>
        <w:rPr>
          <w:rFonts w:ascii="Calibri" w:hAnsi="Calibri"/>
          <w:color w:val="231F20"/>
          <w:spacing w:val="-3"/>
          <w:w w:val="105"/>
          <w:sz w:val="19"/>
        </w:rPr>
        <w:t xml:space="preserve">Major,  </w:t>
      </w:r>
      <w:r>
        <w:rPr>
          <w:rFonts w:ascii="Calibri" w:hAnsi="Calibri"/>
          <w:color w:val="231F20"/>
          <w:w w:val="105"/>
          <w:sz w:val="19"/>
        </w:rPr>
        <w:t xml:space="preserve">the  postwar  </w:t>
      </w:r>
      <w:r>
        <w:rPr>
          <w:rFonts w:ascii="Calibri" w:hAnsi="Calibri"/>
          <w:color w:val="231F20"/>
          <w:spacing w:val="2"/>
          <w:w w:val="105"/>
          <w:sz w:val="19"/>
        </w:rPr>
        <w:t xml:space="preserve">Party  </w:t>
      </w:r>
      <w:r>
        <w:rPr>
          <w:rFonts w:ascii="Calibri" w:hAnsi="Calibri"/>
          <w:color w:val="231F20"/>
          <w:w w:val="105"/>
          <w:sz w:val="19"/>
        </w:rPr>
        <w:t>leadership  found itself frequently at odds with its more radical rank and file. It    was ill placed to connect with its supposed constituency—the proletariat—as many working class grievances took aim at the occupying powers, one of which was the Soviet Union. Indeed,    as Major notes, “the  earliest  proponents  of  strikes  tended  to be</w:t>
      </w:r>
      <w:r>
        <w:rPr>
          <w:rFonts w:ascii="Calibri" w:hAnsi="Calibri"/>
          <w:color w:val="231F20"/>
          <w:spacing w:val="33"/>
          <w:w w:val="105"/>
          <w:sz w:val="19"/>
        </w:rPr>
        <w:t xml:space="preserve"> </w:t>
      </w:r>
      <w:r>
        <w:rPr>
          <w:rFonts w:ascii="Calibri" w:hAnsi="Calibri"/>
          <w:color w:val="231F20"/>
          <w:w w:val="105"/>
          <w:sz w:val="19"/>
        </w:rPr>
        <w:t>Social</w:t>
      </w:r>
      <w:r>
        <w:rPr>
          <w:rFonts w:ascii="Calibri" w:hAnsi="Calibri"/>
          <w:color w:val="231F20"/>
          <w:spacing w:val="33"/>
          <w:w w:val="105"/>
          <w:sz w:val="19"/>
        </w:rPr>
        <w:t xml:space="preserve"> </w:t>
      </w:r>
      <w:r>
        <w:rPr>
          <w:rFonts w:ascii="Calibri" w:hAnsi="Calibri"/>
          <w:color w:val="231F20"/>
          <w:w w:val="105"/>
          <w:sz w:val="19"/>
        </w:rPr>
        <w:t>democrats,</w:t>
      </w:r>
      <w:r>
        <w:rPr>
          <w:rFonts w:ascii="Calibri" w:hAnsi="Calibri"/>
          <w:color w:val="231F20"/>
          <w:spacing w:val="33"/>
          <w:w w:val="105"/>
          <w:sz w:val="19"/>
        </w:rPr>
        <w:t xml:space="preserve"> </w:t>
      </w:r>
      <w:r>
        <w:rPr>
          <w:rFonts w:ascii="Calibri" w:hAnsi="Calibri"/>
          <w:color w:val="231F20"/>
          <w:w w:val="105"/>
          <w:sz w:val="19"/>
        </w:rPr>
        <w:t>whereas,</w:t>
      </w:r>
      <w:r>
        <w:rPr>
          <w:rFonts w:ascii="Calibri" w:hAnsi="Calibri"/>
          <w:color w:val="231F20"/>
          <w:spacing w:val="33"/>
          <w:w w:val="105"/>
          <w:sz w:val="19"/>
        </w:rPr>
        <w:t xml:space="preserve"> </w:t>
      </w:r>
      <w:r>
        <w:rPr>
          <w:rFonts w:ascii="Calibri" w:hAnsi="Calibri"/>
          <w:color w:val="231F20"/>
          <w:w w:val="105"/>
          <w:sz w:val="19"/>
        </w:rPr>
        <w:t>like</w:t>
      </w:r>
      <w:r>
        <w:rPr>
          <w:rFonts w:ascii="Calibri" w:hAnsi="Calibri"/>
          <w:color w:val="231F20"/>
          <w:spacing w:val="33"/>
          <w:w w:val="105"/>
          <w:sz w:val="19"/>
        </w:rPr>
        <w:t xml:space="preserve"> </w:t>
      </w:r>
      <w:r>
        <w:rPr>
          <w:rFonts w:ascii="Calibri" w:hAnsi="Calibri"/>
          <w:color w:val="231F20"/>
          <w:w w:val="105"/>
          <w:sz w:val="19"/>
        </w:rPr>
        <w:t>their</w:t>
      </w:r>
      <w:r>
        <w:rPr>
          <w:rFonts w:ascii="Calibri" w:hAnsi="Calibri"/>
          <w:color w:val="231F20"/>
          <w:spacing w:val="33"/>
          <w:w w:val="105"/>
          <w:sz w:val="19"/>
        </w:rPr>
        <w:t xml:space="preserve"> </w:t>
      </w:r>
      <w:r>
        <w:rPr>
          <w:rFonts w:ascii="Calibri" w:hAnsi="Calibri"/>
          <w:color w:val="231F20"/>
          <w:w w:val="105"/>
          <w:sz w:val="19"/>
        </w:rPr>
        <w:t>French</w:t>
      </w:r>
      <w:r>
        <w:rPr>
          <w:rFonts w:ascii="Calibri" w:hAnsi="Calibri"/>
          <w:color w:val="231F20"/>
          <w:spacing w:val="33"/>
          <w:w w:val="105"/>
          <w:sz w:val="19"/>
        </w:rPr>
        <w:t xml:space="preserve"> </w:t>
      </w:r>
      <w:r>
        <w:rPr>
          <w:rFonts w:ascii="Calibri" w:hAnsi="Calibri"/>
          <w:color w:val="231F20"/>
          <w:w w:val="105"/>
          <w:sz w:val="19"/>
        </w:rPr>
        <w:t>comrades,</w:t>
      </w:r>
      <w:r>
        <w:rPr>
          <w:rFonts w:ascii="Calibri" w:hAnsi="Calibri"/>
          <w:color w:val="231F20"/>
          <w:spacing w:val="33"/>
          <w:w w:val="105"/>
          <w:sz w:val="19"/>
        </w:rPr>
        <w:t xml:space="preserve"> </w:t>
      </w:r>
      <w:r>
        <w:rPr>
          <w:rFonts w:ascii="Calibri" w:hAnsi="Calibri"/>
          <w:color w:val="231F20"/>
          <w:w w:val="105"/>
          <w:sz w:val="19"/>
        </w:rPr>
        <w:t>the</w:t>
      </w:r>
    </w:p>
    <w:p w14:paraId="23B87C99" w14:textId="77777777" w:rsidR="002653E8" w:rsidRDefault="003115E3">
      <w:pPr>
        <w:spacing w:line="266" w:lineRule="auto"/>
        <w:ind w:left="1522" w:right="1513"/>
        <w:rPr>
          <w:rFonts w:ascii="Calibri" w:hAnsi="Calibri"/>
          <w:sz w:val="11"/>
        </w:rPr>
      </w:pPr>
      <w:r>
        <w:rPr>
          <w:rFonts w:ascii="Calibri" w:hAnsi="Calibri"/>
          <w:color w:val="231F20"/>
          <w:w w:val="110"/>
          <w:sz w:val="19"/>
        </w:rPr>
        <w:t>German Communists placed national reconstruction before wage increases or even denazification of management.”</w:t>
      </w:r>
      <w:r>
        <w:rPr>
          <w:rFonts w:ascii="Calibri" w:hAnsi="Calibri"/>
          <w:color w:val="231F20"/>
          <w:w w:val="110"/>
          <w:position w:val="6"/>
          <w:sz w:val="11"/>
        </w:rPr>
        <w:t>5</w:t>
      </w:r>
    </w:p>
    <w:p w14:paraId="7790D152" w14:textId="77777777" w:rsidR="002653E8" w:rsidRDefault="003115E3">
      <w:pPr>
        <w:spacing w:line="266" w:lineRule="auto"/>
        <w:ind w:left="1523" w:right="1145" w:firstLine="209"/>
        <w:rPr>
          <w:rFonts w:ascii="Calibri" w:hAnsi="Calibri"/>
          <w:sz w:val="19"/>
        </w:rPr>
      </w:pPr>
      <w:r>
        <w:rPr>
          <w:rFonts w:ascii="Calibri" w:hAnsi="Calibri"/>
          <w:color w:val="231F20"/>
          <w:w w:val="110"/>
          <w:sz w:val="19"/>
        </w:rPr>
        <w:t>The Party was further handicapped by its ties to East Germany’s ruling Socialist Unity Party (SEd). The SEd encouraged the</w:t>
      </w:r>
    </w:p>
    <w:p w14:paraId="09BB2B88" w14:textId="77777777" w:rsidR="002653E8" w:rsidRDefault="003115E3">
      <w:pPr>
        <w:spacing w:line="266" w:lineRule="auto"/>
        <w:ind w:left="1522" w:right="1681"/>
        <w:rPr>
          <w:rFonts w:ascii="Calibri" w:hAnsi="Calibri"/>
          <w:sz w:val="19"/>
        </w:rPr>
      </w:pPr>
      <w:r>
        <w:rPr>
          <w:rFonts w:ascii="Calibri" w:hAnsi="Calibri"/>
          <w:color w:val="231F20"/>
          <w:w w:val="105"/>
          <w:sz w:val="19"/>
        </w:rPr>
        <w:t>kPd’s conservative tendencies,  insisting  that  it  prioritize  forging a progressive nationalist opposition to the Western occupiers, relegating</w:t>
      </w:r>
      <w:r>
        <w:rPr>
          <w:rFonts w:ascii="Calibri" w:hAnsi="Calibri"/>
          <w:color w:val="231F20"/>
          <w:spacing w:val="21"/>
          <w:w w:val="105"/>
          <w:sz w:val="19"/>
        </w:rPr>
        <w:t xml:space="preserve"> </w:t>
      </w:r>
      <w:r>
        <w:rPr>
          <w:rFonts w:ascii="Calibri" w:hAnsi="Calibri"/>
          <w:color w:val="231F20"/>
          <w:w w:val="105"/>
          <w:sz w:val="19"/>
        </w:rPr>
        <w:t>class</w:t>
      </w:r>
      <w:r>
        <w:rPr>
          <w:rFonts w:ascii="Calibri" w:hAnsi="Calibri"/>
          <w:color w:val="231F20"/>
          <w:spacing w:val="21"/>
          <w:w w:val="105"/>
          <w:sz w:val="19"/>
        </w:rPr>
        <w:t xml:space="preserve"> </w:t>
      </w:r>
      <w:r>
        <w:rPr>
          <w:rFonts w:ascii="Calibri" w:hAnsi="Calibri"/>
          <w:color w:val="231F20"/>
          <w:w w:val="105"/>
          <w:sz w:val="19"/>
        </w:rPr>
        <w:t>struggle</w:t>
      </w:r>
      <w:r>
        <w:rPr>
          <w:rFonts w:ascii="Calibri" w:hAnsi="Calibri"/>
          <w:color w:val="231F20"/>
          <w:spacing w:val="21"/>
          <w:w w:val="105"/>
          <w:sz w:val="19"/>
        </w:rPr>
        <w:t xml:space="preserve"> </w:t>
      </w:r>
      <w:r>
        <w:rPr>
          <w:rFonts w:ascii="Calibri" w:hAnsi="Calibri"/>
          <w:color w:val="231F20"/>
          <w:w w:val="105"/>
          <w:sz w:val="19"/>
        </w:rPr>
        <w:t>to</w:t>
      </w:r>
      <w:r>
        <w:rPr>
          <w:rFonts w:ascii="Calibri" w:hAnsi="Calibri"/>
          <w:color w:val="231F20"/>
          <w:spacing w:val="21"/>
          <w:w w:val="105"/>
          <w:sz w:val="19"/>
        </w:rPr>
        <w:t xml:space="preserve"> </w:t>
      </w:r>
      <w:r>
        <w:rPr>
          <w:rFonts w:ascii="Calibri" w:hAnsi="Calibri"/>
          <w:color w:val="231F20"/>
          <w:w w:val="105"/>
          <w:sz w:val="19"/>
        </w:rPr>
        <w:t>the</w:t>
      </w:r>
      <w:r>
        <w:rPr>
          <w:rFonts w:ascii="Calibri" w:hAnsi="Calibri"/>
          <w:color w:val="231F20"/>
          <w:spacing w:val="21"/>
          <w:w w:val="105"/>
          <w:sz w:val="19"/>
        </w:rPr>
        <w:t xml:space="preserve"> </w:t>
      </w:r>
      <w:r>
        <w:rPr>
          <w:rFonts w:ascii="Calibri" w:hAnsi="Calibri"/>
          <w:color w:val="231F20"/>
          <w:w w:val="105"/>
          <w:sz w:val="19"/>
        </w:rPr>
        <w:t>back</w:t>
      </w:r>
      <w:r>
        <w:rPr>
          <w:rFonts w:ascii="Calibri" w:hAnsi="Calibri"/>
          <w:color w:val="231F20"/>
          <w:spacing w:val="21"/>
          <w:w w:val="105"/>
          <w:sz w:val="19"/>
        </w:rPr>
        <w:t xml:space="preserve"> </w:t>
      </w:r>
      <w:r>
        <w:rPr>
          <w:rFonts w:ascii="Calibri" w:hAnsi="Calibri"/>
          <w:color w:val="231F20"/>
          <w:w w:val="105"/>
          <w:sz w:val="19"/>
        </w:rPr>
        <w:t>burner.</w:t>
      </w:r>
      <w:r>
        <w:rPr>
          <w:rFonts w:ascii="Calibri" w:hAnsi="Calibri"/>
          <w:color w:val="231F20"/>
          <w:spacing w:val="21"/>
          <w:w w:val="105"/>
          <w:sz w:val="19"/>
        </w:rPr>
        <w:t xml:space="preserve"> </w:t>
      </w:r>
      <w:r>
        <w:rPr>
          <w:rFonts w:ascii="Calibri" w:hAnsi="Calibri"/>
          <w:color w:val="231F20"/>
          <w:w w:val="105"/>
          <w:sz w:val="19"/>
        </w:rPr>
        <w:t>Not</w:t>
      </w:r>
      <w:r>
        <w:rPr>
          <w:rFonts w:ascii="Calibri" w:hAnsi="Calibri"/>
          <w:color w:val="231F20"/>
          <w:spacing w:val="21"/>
          <w:w w:val="105"/>
          <w:sz w:val="19"/>
        </w:rPr>
        <w:t xml:space="preserve"> </w:t>
      </w:r>
      <w:r>
        <w:rPr>
          <w:rFonts w:ascii="Calibri" w:hAnsi="Calibri"/>
          <w:color w:val="231F20"/>
          <w:w w:val="105"/>
          <w:sz w:val="19"/>
        </w:rPr>
        <w:t>only</w:t>
      </w:r>
      <w:r>
        <w:rPr>
          <w:rFonts w:ascii="Calibri" w:hAnsi="Calibri"/>
          <w:color w:val="231F20"/>
          <w:spacing w:val="21"/>
          <w:w w:val="105"/>
          <w:sz w:val="19"/>
        </w:rPr>
        <w:t xml:space="preserve"> </w:t>
      </w:r>
      <w:r>
        <w:rPr>
          <w:rFonts w:ascii="Calibri" w:hAnsi="Calibri"/>
          <w:color w:val="231F20"/>
          <w:w w:val="105"/>
          <w:sz w:val="19"/>
        </w:rPr>
        <w:t>was</w:t>
      </w:r>
      <w:r>
        <w:rPr>
          <w:rFonts w:ascii="Calibri" w:hAnsi="Calibri"/>
          <w:color w:val="231F20"/>
          <w:spacing w:val="21"/>
          <w:w w:val="105"/>
          <w:sz w:val="19"/>
        </w:rPr>
        <w:t xml:space="preserve"> </w:t>
      </w:r>
      <w:r>
        <w:rPr>
          <w:rFonts w:ascii="Calibri" w:hAnsi="Calibri"/>
          <w:color w:val="231F20"/>
          <w:w w:val="105"/>
          <w:sz w:val="19"/>
        </w:rPr>
        <w:t>it</w:t>
      </w:r>
    </w:p>
    <w:p w14:paraId="6C81B3E1" w14:textId="77777777" w:rsidR="002653E8" w:rsidRDefault="003115E3">
      <w:pPr>
        <w:spacing w:line="266" w:lineRule="auto"/>
        <w:ind w:left="1522" w:right="1580"/>
        <w:rPr>
          <w:rFonts w:ascii="Calibri" w:hAnsi="Calibri"/>
          <w:sz w:val="11"/>
        </w:rPr>
      </w:pPr>
      <w:r>
        <w:rPr>
          <w:rFonts w:ascii="Calibri" w:hAnsi="Calibri"/>
          <w:color w:val="231F20"/>
          <w:w w:val="110"/>
          <w:sz w:val="19"/>
        </w:rPr>
        <w:t>still hoped that the “Western Zone” could be pried out of the hands of imperialism, but it was also recognized that the kPd’s chief competition—the SPd—was winning support with its own “nationalistic rabble rousing.”</w:t>
      </w:r>
      <w:r>
        <w:rPr>
          <w:rFonts w:ascii="Calibri" w:hAnsi="Calibri"/>
          <w:color w:val="231F20"/>
          <w:w w:val="110"/>
          <w:position w:val="6"/>
          <w:sz w:val="11"/>
        </w:rPr>
        <w:t>6</w:t>
      </w:r>
    </w:p>
    <w:p w14:paraId="46DEB6C6" w14:textId="77777777" w:rsidR="002653E8" w:rsidRDefault="003115E3">
      <w:pPr>
        <w:spacing w:line="261" w:lineRule="auto"/>
        <w:ind w:left="1522" w:right="1848" w:firstLine="210"/>
        <w:rPr>
          <w:rFonts w:ascii="Calibri" w:hAnsi="Calibri"/>
          <w:sz w:val="19"/>
        </w:rPr>
      </w:pPr>
      <w:r>
        <w:rPr>
          <w:rFonts w:ascii="Calibri" w:hAnsi="Calibri"/>
          <w:color w:val="231F20"/>
          <w:w w:val="105"/>
          <w:sz w:val="19"/>
        </w:rPr>
        <w:t xml:space="preserve">during this patriotic phase, anticapitalist rhetoric was toned down; in some </w:t>
      </w:r>
      <w:r>
        <w:rPr>
          <w:rFonts w:ascii="Lucida Sans" w:hAnsi="Lucida Sans"/>
          <w:i/>
          <w:color w:val="231F20"/>
          <w:w w:val="105"/>
          <w:sz w:val="19"/>
        </w:rPr>
        <w:t xml:space="preserve">Länder, </w:t>
      </w:r>
      <w:r>
        <w:rPr>
          <w:rFonts w:ascii="Calibri" w:hAnsi="Calibri"/>
          <w:color w:val="231F20"/>
          <w:spacing w:val="2"/>
          <w:w w:val="105"/>
          <w:sz w:val="19"/>
        </w:rPr>
        <w:t xml:space="preserve">Party </w:t>
      </w:r>
      <w:r>
        <w:rPr>
          <w:rFonts w:ascii="Calibri" w:hAnsi="Calibri"/>
          <w:color w:val="231F20"/>
          <w:w w:val="105"/>
          <w:sz w:val="19"/>
        </w:rPr>
        <w:t xml:space="preserve">members  were  instructed  to stop singing the </w:t>
      </w:r>
      <w:r>
        <w:rPr>
          <w:rFonts w:ascii="Lucida Sans" w:hAnsi="Lucida Sans"/>
          <w:i/>
          <w:color w:val="231F20"/>
          <w:w w:val="105"/>
          <w:sz w:val="19"/>
        </w:rPr>
        <w:t xml:space="preserve">Internationale </w:t>
      </w:r>
      <w:r>
        <w:rPr>
          <w:rFonts w:ascii="Lucida Sans" w:hAnsi="Lucida Sans"/>
          <w:i/>
          <w:color w:val="231F20"/>
          <w:spacing w:val="2"/>
          <w:w w:val="105"/>
          <w:sz w:val="19"/>
        </w:rPr>
        <w:t>i</w:t>
      </w:r>
      <w:r>
        <w:rPr>
          <w:rFonts w:ascii="Calibri" w:hAnsi="Calibri"/>
          <w:color w:val="231F20"/>
          <w:spacing w:val="2"/>
          <w:w w:val="105"/>
          <w:sz w:val="19"/>
        </w:rPr>
        <w:t xml:space="preserve">n </w:t>
      </w:r>
      <w:r>
        <w:rPr>
          <w:rFonts w:ascii="Calibri" w:hAnsi="Calibri"/>
          <w:color w:val="231F20"/>
          <w:w w:val="105"/>
          <w:sz w:val="19"/>
        </w:rPr>
        <w:t>public, and the</w:t>
      </w:r>
      <w:r>
        <w:rPr>
          <w:rFonts w:ascii="Calibri" w:hAnsi="Calibri"/>
          <w:color w:val="231F20"/>
          <w:spacing w:val="38"/>
          <w:w w:val="105"/>
          <w:sz w:val="19"/>
        </w:rPr>
        <w:t xml:space="preserve"> </w:t>
      </w:r>
      <w:r>
        <w:rPr>
          <w:rFonts w:ascii="Calibri" w:hAnsi="Calibri"/>
          <w:color w:val="231F20"/>
          <w:w w:val="105"/>
          <w:sz w:val="19"/>
        </w:rPr>
        <w:t>hammer</w:t>
      </w:r>
    </w:p>
    <w:p w14:paraId="6916A378" w14:textId="77777777" w:rsidR="002653E8" w:rsidRDefault="003115E3">
      <w:pPr>
        <w:spacing w:line="266" w:lineRule="auto"/>
        <w:ind w:left="1522" w:right="1513"/>
        <w:rPr>
          <w:rFonts w:ascii="Calibri" w:hAnsi="Calibri"/>
          <w:sz w:val="19"/>
        </w:rPr>
      </w:pPr>
      <w:r>
        <w:rPr>
          <w:rFonts w:ascii="Calibri" w:hAnsi="Calibri"/>
          <w:color w:val="231F20"/>
          <w:w w:val="110"/>
          <w:sz w:val="19"/>
        </w:rPr>
        <w:t>and sickle and Soviet star emblems were removed from their paraphernalia.</w:t>
      </w:r>
      <w:r>
        <w:rPr>
          <w:rFonts w:ascii="Calibri" w:hAnsi="Calibri"/>
          <w:color w:val="231F20"/>
          <w:w w:val="110"/>
          <w:position w:val="6"/>
          <w:sz w:val="11"/>
        </w:rPr>
        <w:t xml:space="preserve">7 </w:t>
      </w:r>
      <w:r>
        <w:rPr>
          <w:rFonts w:ascii="Calibri" w:hAnsi="Calibri"/>
          <w:color w:val="231F20"/>
          <w:w w:val="110"/>
          <w:sz w:val="19"/>
        </w:rPr>
        <w:t>To the disgust of many comrades who had barely survived the Third Reich, the kPd even briefly attempted to establish a broad “anticolonialist” National Front, appealing to</w:t>
      </w:r>
    </w:p>
    <w:p w14:paraId="248A0EC2" w14:textId="77777777" w:rsidR="002653E8" w:rsidRDefault="002653E8">
      <w:pPr>
        <w:pStyle w:val="a3"/>
        <w:spacing w:before="5"/>
        <w:rPr>
          <w:rFonts w:ascii="Calibri"/>
          <w:sz w:val="28"/>
        </w:rPr>
      </w:pPr>
    </w:p>
    <w:p w14:paraId="5F64EBFC" w14:textId="77777777" w:rsidR="002653E8" w:rsidRDefault="003115E3">
      <w:pPr>
        <w:spacing w:before="105" w:line="254" w:lineRule="auto"/>
        <w:ind w:left="1522" w:right="1580" w:hanging="1"/>
        <w:rPr>
          <w:sz w:val="16"/>
        </w:rPr>
      </w:pPr>
      <w:r>
        <w:rPr>
          <w:color w:val="231F20"/>
          <w:w w:val="110"/>
          <w:sz w:val="16"/>
        </w:rPr>
        <w:t xml:space="preserve">5 Patrick Major, </w:t>
      </w:r>
      <w:r>
        <w:rPr>
          <w:i/>
          <w:color w:val="231F20"/>
          <w:w w:val="110"/>
          <w:sz w:val="16"/>
        </w:rPr>
        <w:t xml:space="preserve">The Death of the </w:t>
      </w:r>
      <w:r>
        <w:rPr>
          <w:i/>
          <w:color w:val="231F20"/>
          <w:spacing w:val="1"/>
          <w:w w:val="110"/>
          <w:sz w:val="16"/>
        </w:rPr>
        <w:t xml:space="preserve">KPD: Communism and </w:t>
      </w:r>
      <w:r>
        <w:rPr>
          <w:i/>
          <w:color w:val="231F20"/>
          <w:spacing w:val="2"/>
          <w:w w:val="110"/>
          <w:sz w:val="16"/>
        </w:rPr>
        <w:t xml:space="preserve">Anti-Communism  </w:t>
      </w:r>
      <w:r>
        <w:rPr>
          <w:i/>
          <w:color w:val="231F20"/>
          <w:w w:val="110"/>
          <w:sz w:val="16"/>
        </w:rPr>
        <w:t xml:space="preserve">in West </w:t>
      </w:r>
      <w:r>
        <w:rPr>
          <w:i/>
          <w:color w:val="231F20"/>
          <w:spacing w:val="1"/>
          <w:w w:val="110"/>
          <w:sz w:val="16"/>
        </w:rPr>
        <w:t xml:space="preserve">Germany, </w:t>
      </w:r>
      <w:r>
        <w:rPr>
          <w:i/>
          <w:color w:val="231F20"/>
          <w:w w:val="110"/>
          <w:sz w:val="16"/>
        </w:rPr>
        <w:t xml:space="preserve">1945-1956 </w:t>
      </w:r>
      <w:r>
        <w:rPr>
          <w:color w:val="231F20"/>
          <w:w w:val="110"/>
          <w:sz w:val="16"/>
        </w:rPr>
        <w:t xml:space="preserve">(Oxford: Clarendon Press, </w:t>
      </w:r>
      <w:r>
        <w:rPr>
          <w:color w:val="231F20"/>
          <w:spacing w:val="-2"/>
          <w:w w:val="110"/>
          <w:sz w:val="16"/>
        </w:rPr>
        <w:t>1997),</w:t>
      </w:r>
      <w:r>
        <w:rPr>
          <w:color w:val="231F20"/>
          <w:w w:val="110"/>
          <w:sz w:val="16"/>
        </w:rPr>
        <w:t xml:space="preserve"> 170.</w:t>
      </w:r>
    </w:p>
    <w:p w14:paraId="3DBE15A3" w14:textId="77777777" w:rsidR="002653E8" w:rsidRDefault="003115E3">
      <w:pPr>
        <w:spacing w:before="41"/>
        <w:ind w:left="1522"/>
        <w:rPr>
          <w:sz w:val="16"/>
        </w:rPr>
      </w:pPr>
      <w:r>
        <w:rPr>
          <w:color w:val="231F20"/>
          <w:w w:val="115"/>
          <w:sz w:val="16"/>
        </w:rPr>
        <w:t>6 Ibid., 115.</w:t>
      </w:r>
    </w:p>
    <w:p w14:paraId="4050E80E" w14:textId="77777777" w:rsidR="002653E8" w:rsidRDefault="003115E3">
      <w:pPr>
        <w:spacing w:before="52"/>
        <w:ind w:left="1522"/>
        <w:rPr>
          <w:sz w:val="16"/>
        </w:rPr>
      </w:pPr>
      <w:r>
        <w:rPr>
          <w:color w:val="231F20"/>
          <w:w w:val="115"/>
          <w:sz w:val="16"/>
        </w:rPr>
        <w:t>7 Ibid., 116.</w:t>
      </w:r>
    </w:p>
    <w:p w14:paraId="7AE332C1" w14:textId="77777777" w:rsidR="002653E8" w:rsidRDefault="002653E8">
      <w:pPr>
        <w:rPr>
          <w:sz w:val="16"/>
        </w:rPr>
        <w:sectPr w:rsidR="002653E8">
          <w:pgSz w:w="8640" w:h="12960"/>
          <w:pgMar w:top="1080" w:right="0" w:bottom="1040" w:left="0" w:header="0" w:footer="850" w:gutter="0"/>
          <w:cols w:space="720"/>
        </w:sectPr>
      </w:pPr>
    </w:p>
    <w:p w14:paraId="791F15DD" w14:textId="77777777" w:rsidR="002653E8" w:rsidRDefault="00000000">
      <w:pPr>
        <w:pStyle w:val="a3"/>
        <w:spacing w:before="4"/>
      </w:pPr>
      <w:r>
        <w:rPr>
          <w:noProof w:val="0"/>
        </w:rPr>
        <w:lastRenderedPageBreak/>
        <w:pict w14:anchorId="6CB63D83">
          <v:group id="_x0000_s2696" style="position:absolute;margin-left:57.4pt;margin-top:54pt;width:308.25pt;height:514.6pt;z-index:-462904;mso-position-horizontal-relative:page;mso-position-vertical-relative:page" coordorigin="1148,1080" coordsize="6165,10292">
            <v:rect id="_x0000_s2703" style="position:absolute;left:1147;top:1080;width:6165;height:10292" fillcolor="#e6e7e8" stroked="f"/>
            <v:line id="_x0000_s2702" style="position:absolute" from="1343,10699" to="2783,10699" strokecolor="#231f20" strokeweight=".5pt"/>
            <v:line id="_x0000_s2701" style="position:absolute" from="1155,1140" to="1155,11327" strokecolor="#231f20">
              <v:stroke dashstyle="3 1"/>
            </v:line>
            <v:line id="_x0000_s2700" style="position:absolute" from="1208,11364" to="7267,11364" strokecolor="#231f20">
              <v:stroke dashstyle="3 1"/>
            </v:line>
            <v:line id="_x0000_s2699" style="position:absolute" from="7305,11312" to="7305,1125" strokecolor="#231f20">
              <v:stroke dashstyle="3 1"/>
            </v:line>
            <v:line id="_x0000_s2698" style="position:absolute" from="7252,1088" to="1193,1088" strokecolor="#231f20">
              <v:stroke dashstyle="3 1"/>
            </v:line>
            <v:shape id="_x0000_s2697" style="position:absolute;top:2705;width:6150;height:10277" coordorigin=",2706" coordsize="6150,10277" o:spt="100" adj="0,,0" path="m1155,11342r,22l1178,11364t6104,l7305,11364r,-22m7305,1110r,-22l7282,1088t-6104,l1155,1088r,22e" filled="f" strokecolor="#231f20">
              <v:stroke joinstyle="round"/>
              <v:formulas/>
              <v:path arrowok="t" o:connecttype="segments"/>
            </v:shape>
            <w10:wrap anchorx="page" anchory="page"/>
          </v:group>
        </w:pict>
      </w:r>
    </w:p>
    <w:p w14:paraId="3896B3F3" w14:textId="77777777" w:rsidR="002653E8" w:rsidRDefault="003115E3">
      <w:pPr>
        <w:spacing w:before="94" w:line="266" w:lineRule="auto"/>
        <w:ind w:left="1342" w:right="1580" w:hanging="1"/>
        <w:rPr>
          <w:rFonts w:ascii="Calibri"/>
          <w:sz w:val="11"/>
        </w:rPr>
      </w:pPr>
      <w:r>
        <w:rPr>
          <w:rFonts w:ascii="Calibri"/>
          <w:color w:val="231F20"/>
          <w:w w:val="110"/>
          <w:sz w:val="19"/>
        </w:rPr>
        <w:t>middle class elements, patriotic capitalists, and even former Nazi supporters.</w:t>
      </w:r>
      <w:r>
        <w:rPr>
          <w:rFonts w:ascii="Calibri"/>
          <w:color w:val="231F20"/>
          <w:w w:val="110"/>
          <w:position w:val="6"/>
          <w:sz w:val="11"/>
        </w:rPr>
        <w:t>1</w:t>
      </w:r>
    </w:p>
    <w:p w14:paraId="08824414" w14:textId="77777777" w:rsidR="002653E8" w:rsidRDefault="003115E3">
      <w:pPr>
        <w:spacing w:line="266" w:lineRule="auto"/>
        <w:ind w:left="1343" w:right="1614" w:firstLine="209"/>
        <w:rPr>
          <w:rFonts w:ascii="Calibri" w:hAnsi="Calibri"/>
          <w:sz w:val="19"/>
        </w:rPr>
      </w:pPr>
      <w:r>
        <w:rPr>
          <w:rFonts w:ascii="Calibri" w:hAnsi="Calibri"/>
          <w:color w:val="231F20"/>
          <w:w w:val="110"/>
          <w:sz w:val="19"/>
        </w:rPr>
        <w:t xml:space="preserve">Although the kPd was banned in </w:t>
      </w:r>
      <w:r>
        <w:rPr>
          <w:rFonts w:ascii="Arial" w:hAnsi="Arial"/>
          <w:color w:val="231F20"/>
          <w:w w:val="110"/>
          <w:sz w:val="19"/>
        </w:rPr>
        <w:t>1956</w:t>
      </w:r>
      <w:r>
        <w:rPr>
          <w:rFonts w:ascii="Calibri" w:hAnsi="Calibri"/>
          <w:color w:val="231F20"/>
          <w:w w:val="110"/>
          <w:sz w:val="19"/>
        </w:rPr>
        <w:t>, this dubious “anticolonialism” represented real class forces, and a significant section of progressive opinion. While these gestures failed to win the Communists any significant nationalist support, the politics they represented remained visible in the future campaigns against rearmament and nuclear weapons. Though overwhelmingly</w:t>
      </w:r>
    </w:p>
    <w:p w14:paraId="087A5BBB" w14:textId="77777777" w:rsidR="002653E8" w:rsidRDefault="003115E3">
      <w:pPr>
        <w:spacing w:line="266" w:lineRule="auto"/>
        <w:ind w:left="1343" w:right="1848"/>
        <w:rPr>
          <w:rFonts w:ascii="Calibri" w:hAnsi="Calibri"/>
          <w:sz w:val="19"/>
        </w:rPr>
      </w:pPr>
      <w:r>
        <w:rPr>
          <w:rFonts w:ascii="Calibri" w:hAnsi="Calibri"/>
          <w:color w:val="231F20"/>
          <w:w w:val="105"/>
          <w:sz w:val="19"/>
        </w:rPr>
        <w:t>left-wing, these campaigns were still able to attract (and accept) support from conservatives and even fascists who opposed integration within the western bloc as “unpatriotic.”</w:t>
      </w:r>
    </w:p>
    <w:p w14:paraId="591DCBB4" w14:textId="77777777" w:rsidR="002653E8" w:rsidRDefault="003115E3">
      <w:pPr>
        <w:spacing w:line="266" w:lineRule="auto"/>
        <w:ind w:left="1342" w:right="1580" w:firstLine="210"/>
        <w:rPr>
          <w:rFonts w:ascii="Calibri" w:hAnsi="Calibri"/>
          <w:sz w:val="19"/>
        </w:rPr>
      </w:pPr>
      <w:r>
        <w:rPr>
          <w:rFonts w:ascii="Calibri" w:hAnsi="Calibri"/>
          <w:color w:val="231F20"/>
          <w:w w:val="105"/>
          <w:sz w:val="19"/>
        </w:rPr>
        <w:t>The connection to East Germany’s SEd became an ever-greater liability as the Cold War descended: while western communists opposed rearmament in the FRG, they had to make excuses for</w:t>
      </w:r>
    </w:p>
    <w:p w14:paraId="671CB020" w14:textId="77777777" w:rsidR="002653E8" w:rsidRDefault="003115E3">
      <w:pPr>
        <w:spacing w:line="266" w:lineRule="auto"/>
        <w:ind w:left="1342" w:right="1610"/>
        <w:rPr>
          <w:rFonts w:ascii="Calibri" w:hAnsi="Calibri"/>
          <w:sz w:val="19"/>
        </w:rPr>
      </w:pPr>
      <w:r>
        <w:rPr>
          <w:rFonts w:ascii="Calibri" w:hAnsi="Calibri"/>
          <w:color w:val="231F20"/>
          <w:w w:val="110"/>
          <w:sz w:val="19"/>
        </w:rPr>
        <w:t>it in the GdR; while they decried exploitative work conditions in   the west, they had to defend piece work policies in the east; while they complained of “colonization” of the FRG by the Americans, they had to remain pointedly silent about “integration” of the GdR into the Soviet</w:t>
      </w:r>
      <w:r>
        <w:rPr>
          <w:rFonts w:ascii="Calibri" w:hAnsi="Calibri"/>
          <w:color w:val="231F20"/>
          <w:spacing w:val="22"/>
          <w:w w:val="110"/>
          <w:sz w:val="19"/>
        </w:rPr>
        <w:t xml:space="preserve"> </w:t>
      </w:r>
      <w:r>
        <w:rPr>
          <w:rFonts w:ascii="Calibri" w:hAnsi="Calibri"/>
          <w:color w:val="231F20"/>
          <w:w w:val="110"/>
          <w:sz w:val="19"/>
        </w:rPr>
        <w:t>Bloc.</w:t>
      </w:r>
    </w:p>
    <w:p w14:paraId="529D9F81" w14:textId="77777777" w:rsidR="002653E8" w:rsidRDefault="003115E3">
      <w:pPr>
        <w:spacing w:line="266" w:lineRule="auto"/>
        <w:ind w:left="1342" w:right="1580" w:firstLine="209"/>
        <w:rPr>
          <w:rFonts w:ascii="Calibri"/>
          <w:sz w:val="19"/>
        </w:rPr>
      </w:pPr>
      <w:r>
        <w:rPr>
          <w:rFonts w:ascii="Calibri"/>
          <w:color w:val="231F20"/>
          <w:w w:val="105"/>
          <w:sz w:val="19"/>
        </w:rPr>
        <w:t>Thus, even as the Party played an important role in articulating opposition to the authoritarian Adenauer regime, it faced an uphill battle, not only because of right-wing repression, but also due</w:t>
      </w:r>
    </w:p>
    <w:p w14:paraId="03FCF694" w14:textId="77777777" w:rsidR="002653E8" w:rsidRDefault="003115E3">
      <w:pPr>
        <w:spacing w:line="266" w:lineRule="auto"/>
        <w:ind w:left="1342" w:right="1848"/>
        <w:rPr>
          <w:rFonts w:ascii="Calibri"/>
          <w:sz w:val="19"/>
        </w:rPr>
      </w:pPr>
      <w:r>
        <w:rPr>
          <w:rFonts w:ascii="Calibri"/>
          <w:color w:val="231F20"/>
          <w:w w:val="105"/>
          <w:sz w:val="19"/>
        </w:rPr>
        <w:t>to the contradictory demands of struggling in the Western Zone while its counterpart ruled in the East.</w:t>
      </w:r>
    </w:p>
    <w:p w14:paraId="1A8C2FA9" w14:textId="77777777" w:rsidR="002653E8" w:rsidRDefault="003115E3">
      <w:pPr>
        <w:spacing w:line="266" w:lineRule="auto"/>
        <w:ind w:left="1342" w:right="1580" w:firstLine="209"/>
        <w:rPr>
          <w:rFonts w:ascii="Calibri" w:hAnsi="Calibri"/>
          <w:sz w:val="11"/>
        </w:rPr>
      </w:pPr>
      <w:r>
        <w:rPr>
          <w:rFonts w:ascii="Calibri" w:hAnsi="Calibri"/>
          <w:color w:val="231F20"/>
          <w:w w:val="110"/>
          <w:sz w:val="19"/>
        </w:rPr>
        <w:t>These political weaknesses, combined with the deep changes to Germany’s class structure that occurred during the Hitler period, prevented the kPd from ever mounting a serious challenge to the new FRG. So much so that according to Major, “In some ways the kPd leadership was ‘saved by the bell’, banned before an internal party discussion could look for scapegoats for the disastrous policies of the past decade.”</w:t>
      </w:r>
      <w:r>
        <w:rPr>
          <w:rFonts w:ascii="Calibri" w:hAnsi="Calibri"/>
          <w:color w:val="231F20"/>
          <w:w w:val="110"/>
          <w:position w:val="6"/>
          <w:sz w:val="11"/>
        </w:rPr>
        <w:t>2</w:t>
      </w:r>
    </w:p>
    <w:p w14:paraId="0F0D1A19" w14:textId="77777777" w:rsidR="002653E8" w:rsidRDefault="002653E8">
      <w:pPr>
        <w:pStyle w:val="a3"/>
        <w:rPr>
          <w:rFonts w:ascii="Calibri"/>
        </w:rPr>
      </w:pPr>
    </w:p>
    <w:p w14:paraId="04AEF14D" w14:textId="77777777" w:rsidR="002653E8" w:rsidRDefault="002653E8">
      <w:pPr>
        <w:pStyle w:val="a3"/>
        <w:rPr>
          <w:rFonts w:ascii="Calibri"/>
        </w:rPr>
      </w:pPr>
    </w:p>
    <w:p w14:paraId="466BBDA3" w14:textId="77777777" w:rsidR="002653E8" w:rsidRDefault="002653E8">
      <w:pPr>
        <w:pStyle w:val="a3"/>
        <w:rPr>
          <w:rFonts w:ascii="Calibri"/>
        </w:rPr>
      </w:pPr>
    </w:p>
    <w:p w14:paraId="2E56E591" w14:textId="77777777" w:rsidR="002653E8" w:rsidRDefault="002653E8">
      <w:pPr>
        <w:pStyle w:val="a3"/>
        <w:rPr>
          <w:rFonts w:ascii="Calibri"/>
        </w:rPr>
      </w:pPr>
    </w:p>
    <w:p w14:paraId="56B1ACDD" w14:textId="77777777" w:rsidR="002653E8" w:rsidRDefault="002653E8">
      <w:pPr>
        <w:pStyle w:val="a3"/>
        <w:spacing w:before="6"/>
        <w:rPr>
          <w:rFonts w:ascii="Calibri"/>
          <w:sz w:val="25"/>
        </w:rPr>
      </w:pPr>
    </w:p>
    <w:p w14:paraId="7941752C" w14:textId="77777777" w:rsidR="002653E8" w:rsidRDefault="003115E3">
      <w:pPr>
        <w:spacing w:before="104"/>
        <w:ind w:left="1342"/>
        <w:rPr>
          <w:sz w:val="16"/>
        </w:rPr>
      </w:pPr>
      <w:r>
        <w:rPr>
          <w:color w:val="231F20"/>
          <w:w w:val="115"/>
          <w:sz w:val="16"/>
        </w:rPr>
        <w:t>1 Ibid., 133.</w:t>
      </w:r>
    </w:p>
    <w:p w14:paraId="5F38FF7C" w14:textId="77777777" w:rsidR="002653E8" w:rsidRDefault="003115E3">
      <w:pPr>
        <w:spacing w:before="52"/>
        <w:ind w:left="1342"/>
        <w:rPr>
          <w:sz w:val="16"/>
        </w:rPr>
      </w:pPr>
      <w:r>
        <w:rPr>
          <w:color w:val="231F20"/>
          <w:w w:val="115"/>
          <w:sz w:val="16"/>
        </w:rPr>
        <w:t>2 Ibid., 226.</w:t>
      </w:r>
    </w:p>
    <w:p w14:paraId="28AE2478" w14:textId="77777777" w:rsidR="002653E8" w:rsidRDefault="002653E8">
      <w:pPr>
        <w:rPr>
          <w:sz w:val="16"/>
        </w:rPr>
        <w:sectPr w:rsidR="002653E8">
          <w:footerReference w:type="even" r:id="rId42"/>
          <w:footerReference w:type="default" r:id="rId43"/>
          <w:pgSz w:w="8640" w:h="12960"/>
          <w:pgMar w:top="1080" w:right="0" w:bottom="1040" w:left="0" w:header="0" w:footer="850" w:gutter="0"/>
          <w:pgNumType w:start="18"/>
          <w:cols w:space="720"/>
        </w:sectPr>
      </w:pPr>
    </w:p>
    <w:p w14:paraId="3BB9E311" w14:textId="77777777" w:rsidR="002653E8" w:rsidRDefault="002653E8">
      <w:pPr>
        <w:pStyle w:val="a3"/>
      </w:pPr>
    </w:p>
    <w:p w14:paraId="6548C3FD" w14:textId="77777777" w:rsidR="002653E8" w:rsidRDefault="002653E8">
      <w:pPr>
        <w:pStyle w:val="a3"/>
      </w:pPr>
    </w:p>
    <w:p w14:paraId="33939F52" w14:textId="77777777" w:rsidR="002653E8" w:rsidRDefault="002653E8">
      <w:pPr>
        <w:pStyle w:val="a3"/>
      </w:pPr>
    </w:p>
    <w:p w14:paraId="4153E189" w14:textId="77777777" w:rsidR="002653E8" w:rsidRDefault="002653E8">
      <w:pPr>
        <w:pStyle w:val="a3"/>
      </w:pPr>
    </w:p>
    <w:p w14:paraId="4A0008F4" w14:textId="77777777" w:rsidR="002653E8" w:rsidRDefault="002653E8">
      <w:pPr>
        <w:pStyle w:val="a3"/>
        <w:spacing w:before="2"/>
        <w:rPr>
          <w:sz w:val="29"/>
        </w:rPr>
      </w:pPr>
    </w:p>
    <w:p w14:paraId="7E645DB7" w14:textId="77777777" w:rsidR="002653E8" w:rsidRDefault="003115E3">
      <w:pPr>
        <w:pStyle w:val="4"/>
        <w:tabs>
          <w:tab w:val="left" w:pos="7039"/>
          <w:tab w:val="left" w:pos="7491"/>
        </w:tabs>
        <w:spacing w:before="86"/>
        <w:rPr>
          <w:rFonts w:ascii="Lucida Sans"/>
          <w:b/>
        </w:rPr>
      </w:pPr>
      <w:bookmarkStart w:id="22" w:name="2_The_Re-emergence_of_Revolutionary_Poli"/>
      <w:bookmarkStart w:id="23" w:name="_bookmark9"/>
      <w:bookmarkEnd w:id="22"/>
      <w:bookmarkEnd w:id="23"/>
      <w:r>
        <w:rPr>
          <w:rFonts w:ascii="Lucida Sans"/>
          <w:b/>
          <w:color w:val="FFFFFF"/>
          <w:w w:val="87"/>
          <w:shd w:val="clear" w:color="auto" w:fill="231F20"/>
        </w:rPr>
        <w:t xml:space="preserve"> </w:t>
      </w:r>
      <w:r>
        <w:rPr>
          <w:rFonts w:ascii="Lucida Sans"/>
          <w:b/>
          <w:color w:val="FFFFFF"/>
          <w:shd w:val="clear" w:color="auto" w:fill="231F20"/>
        </w:rPr>
        <w:tab/>
      </w:r>
      <w:r>
        <w:rPr>
          <w:rFonts w:ascii="Lucida Sans"/>
          <w:b/>
          <w:color w:val="FFFFFF"/>
          <w:w w:val="95"/>
          <w:shd w:val="clear" w:color="auto" w:fill="231F20"/>
        </w:rPr>
        <w:t>2</w:t>
      </w:r>
      <w:r>
        <w:rPr>
          <w:rFonts w:ascii="Lucida Sans"/>
          <w:b/>
          <w:color w:val="FFFFFF"/>
          <w:shd w:val="clear" w:color="auto" w:fill="231F20"/>
        </w:rPr>
        <w:tab/>
      </w:r>
    </w:p>
    <w:p w14:paraId="6B6C36F4" w14:textId="77777777" w:rsidR="002653E8" w:rsidRDefault="002653E8">
      <w:pPr>
        <w:pStyle w:val="a3"/>
        <w:rPr>
          <w:rFonts w:ascii="Lucida Sans"/>
          <w:b/>
          <w:sz w:val="36"/>
        </w:rPr>
      </w:pPr>
    </w:p>
    <w:p w14:paraId="31852A0C" w14:textId="77777777" w:rsidR="002653E8" w:rsidRDefault="002653E8">
      <w:pPr>
        <w:pStyle w:val="a3"/>
        <w:spacing w:before="1"/>
        <w:rPr>
          <w:rFonts w:ascii="Lucida Sans"/>
          <w:b/>
          <w:sz w:val="38"/>
        </w:rPr>
      </w:pPr>
    </w:p>
    <w:p w14:paraId="5CAAEE7E" w14:textId="77777777" w:rsidR="002653E8" w:rsidRDefault="003115E3">
      <w:pPr>
        <w:spacing w:line="244" w:lineRule="auto"/>
        <w:ind w:left="3509" w:right="1145" w:firstLine="832"/>
        <w:jc w:val="right"/>
        <w:rPr>
          <w:rFonts w:ascii="Lucida Sans"/>
          <w:b/>
          <w:sz w:val="36"/>
        </w:rPr>
      </w:pPr>
      <w:r>
        <w:rPr>
          <w:rFonts w:ascii="Lucida Sans"/>
          <w:b/>
          <w:color w:val="231F20"/>
          <w:w w:val="95"/>
          <w:sz w:val="36"/>
        </w:rPr>
        <w:t>the Re-emergence</w:t>
      </w:r>
      <w:r>
        <w:rPr>
          <w:rFonts w:ascii="Lucida Sans"/>
          <w:b/>
          <w:color w:val="231F20"/>
          <w:w w:val="91"/>
          <w:sz w:val="36"/>
        </w:rPr>
        <w:t xml:space="preserve"> </w:t>
      </w:r>
      <w:r>
        <w:rPr>
          <w:rFonts w:ascii="Lucida Sans"/>
          <w:b/>
          <w:color w:val="231F20"/>
          <w:w w:val="85"/>
          <w:sz w:val="36"/>
        </w:rPr>
        <w:t xml:space="preserve">of Revolutionary Politics </w:t>
      </w:r>
      <w:r>
        <w:rPr>
          <w:rFonts w:ascii="Lucida Sans"/>
          <w:b/>
          <w:color w:val="231F20"/>
          <w:w w:val="95"/>
          <w:sz w:val="36"/>
        </w:rPr>
        <w:t>in</w:t>
      </w:r>
      <w:r>
        <w:rPr>
          <w:rFonts w:ascii="Lucida Sans"/>
          <w:b/>
          <w:color w:val="231F20"/>
          <w:spacing w:val="-74"/>
          <w:w w:val="95"/>
          <w:sz w:val="36"/>
        </w:rPr>
        <w:t xml:space="preserve"> </w:t>
      </w:r>
      <w:r>
        <w:rPr>
          <w:rFonts w:ascii="Lucida Sans"/>
          <w:b/>
          <w:color w:val="231F20"/>
          <w:spacing w:val="-5"/>
          <w:w w:val="95"/>
          <w:sz w:val="36"/>
        </w:rPr>
        <w:t>West</w:t>
      </w:r>
      <w:r>
        <w:rPr>
          <w:rFonts w:ascii="Lucida Sans"/>
          <w:b/>
          <w:color w:val="231F20"/>
          <w:spacing w:val="-74"/>
          <w:w w:val="95"/>
          <w:sz w:val="36"/>
        </w:rPr>
        <w:t xml:space="preserve"> </w:t>
      </w:r>
      <w:r>
        <w:rPr>
          <w:rFonts w:ascii="Lucida Sans"/>
          <w:b/>
          <w:color w:val="231F20"/>
          <w:w w:val="95"/>
          <w:sz w:val="36"/>
        </w:rPr>
        <w:t>Germany</w:t>
      </w:r>
    </w:p>
    <w:p w14:paraId="248C3356" w14:textId="77777777" w:rsidR="002653E8" w:rsidRDefault="002653E8">
      <w:pPr>
        <w:pStyle w:val="a3"/>
        <w:spacing w:before="2"/>
        <w:rPr>
          <w:rFonts w:ascii="Lucida Sans"/>
          <w:b/>
          <w:sz w:val="36"/>
        </w:rPr>
      </w:pPr>
    </w:p>
    <w:p w14:paraId="319A42BC" w14:textId="77777777" w:rsidR="002653E8" w:rsidRDefault="003115E3">
      <w:pPr>
        <w:pStyle w:val="a3"/>
        <w:spacing w:line="211" w:lineRule="auto"/>
        <w:ind w:left="1328" w:right="1145" w:hanging="1"/>
        <w:jc w:val="both"/>
      </w:pPr>
      <w:r>
        <w:rPr>
          <w:rFonts w:ascii="Verdana"/>
          <w:color w:val="231F20"/>
          <w:sz w:val="48"/>
        </w:rPr>
        <w:t>I</w:t>
      </w:r>
      <w:r>
        <w:rPr>
          <w:color w:val="231F20"/>
          <w:w w:val="109"/>
        </w:rPr>
        <w:t>n</w:t>
      </w:r>
      <w:r>
        <w:rPr>
          <w:color w:val="231F20"/>
        </w:rPr>
        <w:t xml:space="preserve"> </w:t>
      </w:r>
      <w:r>
        <w:rPr>
          <w:color w:val="231F20"/>
          <w:w w:val="147"/>
        </w:rPr>
        <w:t>t</w:t>
      </w:r>
      <w:r>
        <w:rPr>
          <w:color w:val="231F20"/>
          <w:w w:val="120"/>
        </w:rPr>
        <w:t>h</w:t>
      </w:r>
      <w:r>
        <w:rPr>
          <w:color w:val="231F20"/>
          <w:w w:val="102"/>
        </w:rPr>
        <w:t>e</w:t>
      </w:r>
      <w:r>
        <w:rPr>
          <w:color w:val="231F20"/>
        </w:rPr>
        <w:t xml:space="preserve"> </w:t>
      </w:r>
      <w:r>
        <w:rPr>
          <w:color w:val="231F20"/>
          <w:w w:val="110"/>
        </w:rPr>
        <w:t>y</w:t>
      </w:r>
      <w:r>
        <w:rPr>
          <w:color w:val="231F20"/>
          <w:w w:val="102"/>
        </w:rPr>
        <w:t>e</w:t>
      </w:r>
      <w:r>
        <w:rPr>
          <w:color w:val="231F20"/>
          <w:w w:val="113"/>
        </w:rPr>
        <w:t>a</w:t>
      </w:r>
      <w:r>
        <w:rPr>
          <w:color w:val="231F20"/>
          <w:w w:val="134"/>
        </w:rPr>
        <w:t>r</w:t>
      </w:r>
      <w:r>
        <w:rPr>
          <w:color w:val="231F20"/>
          <w:w w:val="103"/>
        </w:rPr>
        <w:t>s</w:t>
      </w:r>
      <w:r>
        <w:rPr>
          <w:color w:val="231F20"/>
        </w:rPr>
        <w:t xml:space="preserve"> </w:t>
      </w:r>
      <w:r>
        <w:rPr>
          <w:color w:val="231F20"/>
          <w:w w:val="101"/>
        </w:rPr>
        <w:t>b</w:t>
      </w:r>
      <w:r>
        <w:rPr>
          <w:color w:val="231F20"/>
          <w:w w:val="102"/>
        </w:rPr>
        <w:t>e</w:t>
      </w:r>
      <w:r>
        <w:rPr>
          <w:color w:val="231F20"/>
          <w:w w:val="165"/>
        </w:rPr>
        <w:t>f</w:t>
      </w:r>
      <w:r>
        <w:rPr>
          <w:color w:val="231F20"/>
          <w:w w:val="125"/>
        </w:rPr>
        <w:t>o</w:t>
      </w:r>
      <w:r>
        <w:rPr>
          <w:color w:val="231F20"/>
          <w:w w:val="134"/>
        </w:rPr>
        <w:t>r</w:t>
      </w:r>
      <w:r>
        <w:rPr>
          <w:color w:val="231F20"/>
          <w:w w:val="102"/>
        </w:rPr>
        <w:t>e</w:t>
      </w:r>
      <w:r>
        <w:rPr>
          <w:color w:val="231F20"/>
        </w:rPr>
        <w:t xml:space="preserve"> </w:t>
      </w:r>
      <w:r>
        <w:rPr>
          <w:color w:val="231F20"/>
          <w:w w:val="147"/>
        </w:rPr>
        <w:t>t</w:t>
      </w:r>
      <w:r>
        <w:rPr>
          <w:color w:val="231F20"/>
          <w:w w:val="120"/>
        </w:rPr>
        <w:t>h</w:t>
      </w:r>
      <w:r>
        <w:rPr>
          <w:color w:val="231F20"/>
          <w:w w:val="102"/>
        </w:rPr>
        <w:t>e</w:t>
      </w:r>
      <w:r>
        <w:rPr>
          <w:color w:val="231F20"/>
        </w:rPr>
        <w:t xml:space="preserve"> </w:t>
      </w:r>
      <w:r>
        <w:rPr>
          <w:color w:val="231F20"/>
          <w:w w:val="121"/>
        </w:rPr>
        <w:t>H</w:t>
      </w:r>
      <w:r>
        <w:rPr>
          <w:color w:val="231F20"/>
        </w:rPr>
        <w:t>i</w:t>
      </w:r>
      <w:r>
        <w:rPr>
          <w:color w:val="231F20"/>
          <w:w w:val="98"/>
        </w:rPr>
        <w:t>t</w:t>
      </w:r>
      <w:r>
        <w:rPr>
          <w:color w:val="231F20"/>
          <w:w w:val="102"/>
        </w:rPr>
        <w:t>l</w:t>
      </w:r>
      <w:r>
        <w:rPr>
          <w:color w:val="231F20"/>
          <w:w w:val="92"/>
        </w:rPr>
        <w:t>er</w:t>
      </w:r>
      <w:r>
        <w:rPr>
          <w:color w:val="231F20"/>
        </w:rPr>
        <w:t xml:space="preserve"> </w:t>
      </w:r>
      <w:r>
        <w:rPr>
          <w:color w:val="231F20"/>
          <w:w w:val="94"/>
        </w:rPr>
        <w:t>r</w:t>
      </w:r>
      <w:r>
        <w:rPr>
          <w:color w:val="231F20"/>
          <w:w w:val="91"/>
        </w:rPr>
        <w:t>e</w:t>
      </w:r>
      <w:r>
        <w:rPr>
          <w:color w:val="231F20"/>
          <w:w w:val="101"/>
        </w:rPr>
        <w:t>g</w:t>
      </w:r>
      <w:r>
        <w:rPr>
          <w:color w:val="231F20"/>
        </w:rPr>
        <w:t>i</w:t>
      </w:r>
      <w:r>
        <w:rPr>
          <w:color w:val="231F20"/>
          <w:w w:val="99"/>
        </w:rPr>
        <w:t>m</w:t>
      </w:r>
      <w:r>
        <w:rPr>
          <w:color w:val="231F20"/>
          <w:w w:val="91"/>
        </w:rPr>
        <w:t>e</w:t>
      </w:r>
      <w:r>
        <w:rPr>
          <w:color w:val="231F20"/>
          <w:w w:val="135"/>
        </w:rPr>
        <w:t>,</w:t>
      </w:r>
      <w:r>
        <w:rPr>
          <w:color w:val="231F20"/>
        </w:rPr>
        <w:t xml:space="preserve"> </w:t>
      </w:r>
      <w:r>
        <w:rPr>
          <w:color w:val="231F20"/>
          <w:w w:val="127"/>
        </w:rPr>
        <w:t>G</w:t>
      </w:r>
      <w:r>
        <w:rPr>
          <w:color w:val="231F20"/>
          <w:w w:val="92"/>
        </w:rPr>
        <w:t>er</w:t>
      </w:r>
      <w:r>
        <w:rPr>
          <w:color w:val="231F20"/>
          <w:w w:val="99"/>
        </w:rPr>
        <w:t>m</w:t>
      </w:r>
      <w:r>
        <w:rPr>
          <w:color w:val="231F20"/>
          <w:w w:val="102"/>
        </w:rPr>
        <w:t>a</w:t>
      </w:r>
      <w:r>
        <w:rPr>
          <w:color w:val="231F20"/>
          <w:w w:val="99"/>
        </w:rPr>
        <w:t>ny</w:t>
      </w:r>
      <w:r>
        <w:rPr>
          <w:color w:val="231F20"/>
        </w:rPr>
        <w:t xml:space="preserve"> w</w:t>
      </w:r>
      <w:r>
        <w:rPr>
          <w:color w:val="231F20"/>
          <w:w w:val="102"/>
        </w:rPr>
        <w:t>a</w:t>
      </w:r>
      <w:r>
        <w:rPr>
          <w:color w:val="231F20"/>
          <w:w w:val="90"/>
        </w:rPr>
        <w:t>s</w:t>
      </w:r>
      <w:r>
        <w:rPr>
          <w:color w:val="231F20"/>
        </w:rPr>
        <w:t xml:space="preserve"> h</w:t>
      </w:r>
      <w:r>
        <w:rPr>
          <w:color w:val="231F20"/>
          <w:w w:val="104"/>
        </w:rPr>
        <w:t>o</w:t>
      </w:r>
      <w:r>
        <w:rPr>
          <w:color w:val="231F20"/>
          <w:w w:val="99"/>
        </w:rPr>
        <w:t>m</w:t>
      </w:r>
      <w:r>
        <w:rPr>
          <w:color w:val="231F20"/>
          <w:w w:val="91"/>
        </w:rPr>
        <w:t>e</w:t>
      </w:r>
      <w:r>
        <w:rPr>
          <w:color w:val="231F20"/>
        </w:rPr>
        <w:t xml:space="preserve"> </w:t>
      </w:r>
      <w:r>
        <w:rPr>
          <w:color w:val="231F20"/>
          <w:w w:val="98"/>
        </w:rPr>
        <w:t>t</w:t>
      </w:r>
      <w:r>
        <w:rPr>
          <w:color w:val="231F20"/>
          <w:w w:val="104"/>
        </w:rPr>
        <w:t>o</w:t>
      </w:r>
      <w:r>
        <w:rPr>
          <w:color w:val="231F20"/>
        </w:rPr>
        <w:t xml:space="preserve"> </w:t>
      </w:r>
      <w:r>
        <w:rPr>
          <w:color w:val="231F20"/>
          <w:w w:val="104"/>
        </w:rPr>
        <w:t>o</w:t>
      </w:r>
      <w:r>
        <w:rPr>
          <w:color w:val="231F20"/>
          <w:w w:val="99"/>
        </w:rPr>
        <w:t>n</w:t>
      </w:r>
      <w:r>
        <w:rPr>
          <w:color w:val="231F20"/>
          <w:w w:val="91"/>
        </w:rPr>
        <w:t xml:space="preserve">e </w:t>
      </w:r>
      <w:r>
        <w:rPr>
          <w:color w:val="231F20"/>
          <w:w w:val="105"/>
        </w:rPr>
        <w:t>of the strongest and most militant left-wing movements in Europe,</w:t>
      </w:r>
    </w:p>
    <w:p w14:paraId="05FEEDA2" w14:textId="77777777" w:rsidR="002653E8" w:rsidRDefault="003115E3">
      <w:pPr>
        <w:pStyle w:val="a3"/>
        <w:spacing w:before="28" w:line="264" w:lineRule="auto"/>
        <w:ind w:left="1328" w:right="1145"/>
        <w:jc w:val="both"/>
      </w:pPr>
      <w:r>
        <w:rPr>
          <w:color w:val="231F20"/>
        </w:rPr>
        <w:t xml:space="preserve">firmly based in the country’s large and well organized working class. The years after </w:t>
      </w:r>
      <w:r>
        <w:rPr>
          <w:color w:val="231F20"/>
          <w:spacing w:val="-4"/>
        </w:rPr>
        <w:t xml:space="preserve">World </w:t>
      </w:r>
      <w:r>
        <w:rPr>
          <w:color w:val="231F20"/>
          <w:spacing w:val="-3"/>
        </w:rPr>
        <w:t xml:space="preserve">War </w:t>
      </w:r>
      <w:r>
        <w:rPr>
          <w:color w:val="231F20"/>
        </w:rPr>
        <w:t>I saw insurrections in Bavaria and the Ruhr region, and had it not been for errors and betrayals on the left, many still believe that communist revolution in Germany could have succeeded</w:t>
      </w:r>
      <w:r>
        <w:rPr>
          <w:color w:val="231F20"/>
          <w:spacing w:val="10"/>
        </w:rPr>
        <w:t xml:space="preserve"> </w:t>
      </w:r>
      <w:r>
        <w:rPr>
          <w:color w:val="231F20"/>
        </w:rPr>
        <w:t>in</w:t>
      </w:r>
      <w:r>
        <w:rPr>
          <w:color w:val="231F20"/>
          <w:spacing w:val="10"/>
        </w:rPr>
        <w:t xml:space="preserve"> </w:t>
      </w:r>
      <w:r>
        <w:rPr>
          <w:color w:val="231F20"/>
        </w:rPr>
        <w:t>giving</w:t>
      </w:r>
      <w:r>
        <w:rPr>
          <w:color w:val="231F20"/>
          <w:spacing w:val="10"/>
        </w:rPr>
        <w:t xml:space="preserve"> </w:t>
      </w:r>
      <w:r>
        <w:rPr>
          <w:color w:val="231F20"/>
        </w:rPr>
        <w:t>birth</w:t>
      </w:r>
      <w:r>
        <w:rPr>
          <w:color w:val="231F20"/>
          <w:spacing w:val="10"/>
        </w:rPr>
        <w:t xml:space="preserve"> </w:t>
      </w:r>
      <w:r>
        <w:rPr>
          <w:color w:val="231F20"/>
        </w:rPr>
        <w:t>to</w:t>
      </w:r>
      <w:r>
        <w:rPr>
          <w:color w:val="231F20"/>
          <w:spacing w:val="10"/>
        </w:rPr>
        <w:t xml:space="preserve"> </w:t>
      </w:r>
      <w:r>
        <w:rPr>
          <w:color w:val="231F20"/>
        </w:rPr>
        <w:t>a</w:t>
      </w:r>
      <w:r>
        <w:rPr>
          <w:color w:val="231F20"/>
          <w:spacing w:val="10"/>
        </w:rPr>
        <w:t xml:space="preserve"> </w:t>
      </w:r>
      <w:r>
        <w:rPr>
          <w:color w:val="231F20"/>
        </w:rPr>
        <w:t>radically</w:t>
      </w:r>
      <w:r>
        <w:rPr>
          <w:color w:val="231F20"/>
          <w:spacing w:val="10"/>
        </w:rPr>
        <w:t xml:space="preserve"> </w:t>
      </w:r>
      <w:r>
        <w:rPr>
          <w:color w:val="231F20"/>
        </w:rPr>
        <w:t>different</w:t>
      </w:r>
      <w:r>
        <w:rPr>
          <w:color w:val="231F20"/>
          <w:spacing w:val="10"/>
        </w:rPr>
        <w:t xml:space="preserve"> </w:t>
      </w:r>
      <w:r>
        <w:rPr>
          <w:color w:val="231F20"/>
        </w:rPr>
        <w:t>twentieth</w:t>
      </w:r>
      <w:r>
        <w:rPr>
          <w:color w:val="231F20"/>
          <w:spacing w:val="10"/>
        </w:rPr>
        <w:t xml:space="preserve"> </w:t>
      </w:r>
      <w:r>
        <w:rPr>
          <w:color w:val="231F20"/>
        </w:rPr>
        <w:t>century.</w:t>
      </w:r>
    </w:p>
    <w:p w14:paraId="1FEF1055" w14:textId="77777777" w:rsidR="002653E8" w:rsidRDefault="003115E3">
      <w:pPr>
        <w:pStyle w:val="a3"/>
        <w:spacing w:line="264" w:lineRule="auto"/>
        <w:ind w:left="1328" w:right="1145" w:firstLine="210"/>
        <w:jc w:val="both"/>
      </w:pPr>
      <w:r>
        <w:rPr>
          <w:color w:val="231F20"/>
        </w:rPr>
        <w:t>That, of course, is not what happened, and as events unfolded the left that had impressed generations of European socialists was decimated by the rise of German fascism, forced into exile, reduced to inactivity,   or sent off to the</w:t>
      </w:r>
      <w:r>
        <w:rPr>
          <w:color w:val="231F20"/>
          <w:spacing w:val="10"/>
        </w:rPr>
        <w:t xml:space="preserve"> </w:t>
      </w:r>
      <w:r>
        <w:rPr>
          <w:color w:val="231F20"/>
        </w:rPr>
        <w:t>camps.</w:t>
      </w:r>
    </w:p>
    <w:p w14:paraId="3152545D" w14:textId="77777777" w:rsidR="002653E8" w:rsidRDefault="003115E3">
      <w:pPr>
        <w:pStyle w:val="a3"/>
        <w:spacing w:line="264" w:lineRule="auto"/>
        <w:ind w:left="1328" w:right="1145" w:firstLine="210"/>
        <w:jc w:val="both"/>
      </w:pPr>
      <w:r>
        <w:rPr>
          <w:color w:val="231F20"/>
        </w:rPr>
        <w:t>When the organized institutions of the left reappeared in the postwar period, they were incapable of overcoming their own historical weaknesses, weaknesses that were actively reinforced by the Allies’ corrupt and repressive policies. Those few independent antifascist groups which had formed in the last days of the war quickly found themselves banned, unwelcome intruders on the victors’ plans, this Allied suppression of any autonomous workers’ or antifascist revolt constituting the flipside to the charade of denazification.</w:t>
      </w:r>
    </w:p>
    <w:p w14:paraId="3E7B3233" w14:textId="77777777" w:rsidR="002653E8" w:rsidRDefault="003115E3">
      <w:pPr>
        <w:pStyle w:val="a3"/>
        <w:spacing w:line="264" w:lineRule="auto"/>
        <w:ind w:left="1328" w:right="1146" w:firstLine="210"/>
        <w:jc w:val="both"/>
      </w:pPr>
      <w:r>
        <w:rPr>
          <w:color w:val="231F20"/>
        </w:rPr>
        <w:t>The</w:t>
      </w:r>
      <w:r>
        <w:rPr>
          <w:color w:val="231F20"/>
          <w:spacing w:val="-18"/>
        </w:rPr>
        <w:t xml:space="preserve"> </w:t>
      </w:r>
      <w:r>
        <w:rPr>
          <w:color w:val="231F20"/>
        </w:rPr>
        <w:t>eclipse</w:t>
      </w:r>
      <w:r>
        <w:rPr>
          <w:color w:val="231F20"/>
          <w:spacing w:val="-18"/>
        </w:rPr>
        <w:t xml:space="preserve"> </w:t>
      </w:r>
      <w:r>
        <w:rPr>
          <w:color w:val="231F20"/>
        </w:rPr>
        <w:t>of</w:t>
      </w:r>
      <w:r>
        <w:rPr>
          <w:color w:val="231F20"/>
          <w:spacing w:val="-18"/>
        </w:rPr>
        <w:t xml:space="preserve"> </w:t>
      </w:r>
      <w:r>
        <w:rPr>
          <w:color w:val="231F20"/>
        </w:rPr>
        <w:t>any</w:t>
      </w:r>
      <w:r>
        <w:rPr>
          <w:color w:val="231F20"/>
          <w:spacing w:val="-18"/>
        </w:rPr>
        <w:t xml:space="preserve"> </w:t>
      </w:r>
      <w:r>
        <w:rPr>
          <w:color w:val="231F20"/>
        </w:rPr>
        <w:t>authentic</w:t>
      </w:r>
      <w:r>
        <w:rPr>
          <w:color w:val="231F20"/>
          <w:spacing w:val="-18"/>
        </w:rPr>
        <w:t xml:space="preserve"> </w:t>
      </w:r>
      <w:r>
        <w:rPr>
          <w:color w:val="231F20"/>
        </w:rPr>
        <w:t>left-wing</w:t>
      </w:r>
      <w:r>
        <w:rPr>
          <w:color w:val="231F20"/>
          <w:spacing w:val="-18"/>
        </w:rPr>
        <w:t xml:space="preserve"> </w:t>
      </w:r>
      <w:r>
        <w:rPr>
          <w:color w:val="231F20"/>
        </w:rPr>
        <w:t>opposition</w:t>
      </w:r>
      <w:r>
        <w:rPr>
          <w:color w:val="231F20"/>
          <w:spacing w:val="-18"/>
        </w:rPr>
        <w:t xml:space="preserve"> </w:t>
      </w:r>
      <w:r>
        <w:rPr>
          <w:color w:val="231F20"/>
        </w:rPr>
        <w:t>continued</w:t>
      </w:r>
      <w:r>
        <w:rPr>
          <w:color w:val="231F20"/>
          <w:spacing w:val="-18"/>
        </w:rPr>
        <w:t xml:space="preserve"> </w:t>
      </w:r>
      <w:r>
        <w:rPr>
          <w:color w:val="231F20"/>
        </w:rPr>
        <w:t>in</w:t>
      </w:r>
      <w:r>
        <w:rPr>
          <w:color w:val="231F20"/>
          <w:spacing w:val="-18"/>
        </w:rPr>
        <w:t xml:space="preserve"> </w:t>
      </w:r>
      <w:r>
        <w:rPr>
          <w:color w:val="231F20"/>
        </w:rPr>
        <w:t>the</w:t>
      </w:r>
      <w:r>
        <w:rPr>
          <w:color w:val="231F20"/>
          <w:spacing w:val="-18"/>
        </w:rPr>
        <w:t xml:space="preserve"> </w:t>
      </w:r>
      <w:r>
        <w:rPr>
          <w:color w:val="231F20"/>
        </w:rPr>
        <w:t>years following the division of Germany. The  Christian  Democratic  Union, the concrete expression of the alliance between the German ruling</w:t>
      </w:r>
      <w:r>
        <w:rPr>
          <w:color w:val="231F20"/>
          <w:spacing w:val="32"/>
        </w:rPr>
        <w:t xml:space="preserve"> </w:t>
      </w:r>
      <w:r>
        <w:rPr>
          <w:color w:val="231F20"/>
        </w:rPr>
        <w:t>class</w:t>
      </w:r>
    </w:p>
    <w:p w14:paraId="1741B422" w14:textId="77777777" w:rsidR="002653E8" w:rsidRDefault="002653E8">
      <w:pPr>
        <w:spacing w:line="264" w:lineRule="auto"/>
        <w:jc w:val="both"/>
        <w:sectPr w:rsidR="002653E8">
          <w:pgSz w:w="8640" w:h="12960"/>
          <w:pgMar w:top="1220" w:right="0" w:bottom="1040" w:left="0" w:header="0" w:footer="850" w:gutter="0"/>
          <w:cols w:space="720"/>
        </w:sectPr>
      </w:pPr>
    </w:p>
    <w:p w14:paraId="4EA83B84" w14:textId="77777777" w:rsidR="002653E8" w:rsidRDefault="003115E3">
      <w:pPr>
        <w:pStyle w:val="a3"/>
        <w:spacing w:before="86" w:line="264" w:lineRule="auto"/>
        <w:ind w:left="1147" w:right="1326"/>
        <w:jc w:val="both"/>
      </w:pPr>
      <w:r>
        <w:rPr>
          <w:color w:val="231F20"/>
        </w:rPr>
        <w:lastRenderedPageBreak/>
        <w:t>and American imperialism, experienced little in the way of opposition as it helped implement the Marshall Plan and establish the legal machinery with which to fight any resurgence of left-wing militancy.</w:t>
      </w:r>
    </w:p>
    <w:p w14:paraId="27001584" w14:textId="77777777" w:rsidR="002653E8" w:rsidRDefault="003115E3">
      <w:pPr>
        <w:pStyle w:val="a3"/>
        <w:spacing w:line="264" w:lineRule="auto"/>
        <w:ind w:left="1147" w:right="1326" w:firstLine="210"/>
        <w:jc w:val="both"/>
      </w:pPr>
      <w:r>
        <w:rPr>
          <w:color w:val="231F20"/>
        </w:rPr>
        <w:t>yet, while the political aspects of the Marshall Plan were carried out with little difficulty, the rearming of West Germany, not surprisingly when one considers the outcome of both World Wars, met with intense opposition.</w:t>
      </w:r>
    </w:p>
    <w:p w14:paraId="49462545" w14:textId="77777777" w:rsidR="002653E8" w:rsidRDefault="003115E3">
      <w:pPr>
        <w:pStyle w:val="a3"/>
        <w:spacing w:line="264" w:lineRule="auto"/>
        <w:ind w:left="1147" w:right="1325" w:firstLine="210"/>
        <w:jc w:val="both"/>
      </w:pPr>
      <w:r>
        <w:rPr>
          <w:color w:val="231F20"/>
          <w:spacing w:val="1"/>
        </w:rPr>
        <w:t xml:space="preserve">In </w:t>
      </w:r>
      <w:r>
        <w:rPr>
          <w:color w:val="231F20"/>
        </w:rPr>
        <w:t xml:space="preserve">the immediate postwar period, </w:t>
      </w:r>
      <w:r>
        <w:rPr>
          <w:color w:val="231F20"/>
          <w:spacing w:val="-3"/>
        </w:rPr>
        <w:t xml:space="preserve">West </w:t>
      </w:r>
      <w:r>
        <w:rPr>
          <w:color w:val="231F20"/>
        </w:rPr>
        <w:t xml:space="preserve">Germans were overwhelmingly opposed to rearmament. By </w:t>
      </w:r>
      <w:r>
        <w:rPr>
          <w:color w:val="231F20"/>
          <w:spacing w:val="-5"/>
        </w:rPr>
        <w:t xml:space="preserve">1952, </w:t>
      </w:r>
      <w:r>
        <w:rPr>
          <w:color w:val="231F20"/>
        </w:rPr>
        <w:t>this sentiment had coalesced into a broad movement, including the not-yet-banned KPD, trade unions, socialist youth groups, Protestant church  groups,</w:t>
      </w:r>
      <w:r>
        <w:rPr>
          <w:color w:val="231F20"/>
          <w:position w:val="7"/>
          <w:sz w:val="11"/>
        </w:rPr>
        <w:t xml:space="preserve">1  </w:t>
      </w:r>
      <w:r>
        <w:rPr>
          <w:color w:val="231F20"/>
        </w:rPr>
        <w:t xml:space="preserve">pacifists,  and, at times, sections of the SPD. This progressive alliance was flanked on its right by small numbers of nationalists and even fascists who objected to the </w:t>
      </w:r>
      <w:r>
        <w:rPr>
          <w:color w:val="231F20"/>
          <w:spacing w:val="-2"/>
        </w:rPr>
        <w:t xml:space="preserve">way  </w:t>
      </w:r>
      <w:r>
        <w:rPr>
          <w:color w:val="231F20"/>
        </w:rPr>
        <w:t>in which rearmament would anchor the country in  the western bloc.</w:t>
      </w:r>
      <w:r>
        <w:rPr>
          <w:color w:val="231F20"/>
          <w:position w:val="7"/>
          <w:sz w:val="11"/>
        </w:rPr>
        <w:t xml:space="preserve">2 </w:t>
      </w:r>
      <w:r>
        <w:rPr>
          <w:color w:val="231F20"/>
        </w:rPr>
        <w:t xml:space="preserve">Despite this, the “Without Us Movement” </w:t>
      </w:r>
      <w:r>
        <w:rPr>
          <w:color w:val="231F20"/>
          <w:spacing w:val="-3"/>
        </w:rPr>
        <w:t xml:space="preserve">(as </w:t>
      </w:r>
      <w:r>
        <w:rPr>
          <w:color w:val="231F20"/>
        </w:rPr>
        <w:t>it was known) was a predominantly left-wing amalgam. It was the first large protest movement in the new Federal Republic,</w:t>
      </w:r>
      <w:r>
        <w:rPr>
          <w:color w:val="231F20"/>
          <w:position w:val="7"/>
          <w:sz w:val="11"/>
        </w:rPr>
        <w:t xml:space="preserve">3 </w:t>
      </w:r>
      <w:r>
        <w:rPr>
          <w:color w:val="231F20"/>
        </w:rPr>
        <w:t>and while it may appear timid and ineffectual in retrospect, it represented a real break in the postwar consensus at the</w:t>
      </w:r>
      <w:r>
        <w:rPr>
          <w:color w:val="231F20"/>
          <w:spacing w:val="8"/>
        </w:rPr>
        <w:t xml:space="preserve"> </w:t>
      </w:r>
      <w:r>
        <w:rPr>
          <w:color w:val="231F20"/>
        </w:rPr>
        <w:t>time.</w:t>
      </w:r>
    </w:p>
    <w:p w14:paraId="2310AA60" w14:textId="77777777" w:rsidR="002653E8" w:rsidRDefault="003115E3">
      <w:pPr>
        <w:pStyle w:val="a3"/>
        <w:spacing w:line="221" w:lineRule="exact"/>
        <w:ind w:left="1358"/>
      </w:pPr>
      <w:r>
        <w:rPr>
          <w:color w:val="231F20"/>
        </w:rPr>
        <w:t>The response from the Adenauer regime revealed the limits of CDU</w:t>
      </w:r>
    </w:p>
    <w:p w14:paraId="5164E457" w14:textId="77777777" w:rsidR="002653E8" w:rsidRDefault="003115E3">
      <w:pPr>
        <w:pStyle w:val="a3"/>
        <w:spacing w:before="15"/>
        <w:ind w:left="1148"/>
        <w:jc w:val="both"/>
      </w:pPr>
      <w:r>
        <w:rPr>
          <w:color w:val="231F20"/>
        </w:rPr>
        <w:t>democracy: in 1951, a KPD referendum initiative on the question was</w:t>
      </w:r>
    </w:p>
    <w:p w14:paraId="2698B1AD" w14:textId="77777777" w:rsidR="002653E8" w:rsidRDefault="00000000">
      <w:pPr>
        <w:pStyle w:val="a3"/>
        <w:spacing w:before="3"/>
        <w:rPr>
          <w:sz w:val="26"/>
        </w:rPr>
      </w:pPr>
      <w:r>
        <w:rPr>
          <w:noProof w:val="0"/>
        </w:rPr>
        <w:pict w14:anchorId="2662C76C">
          <v:line id="_x0000_s2695" style="position:absolute;z-index:1768;mso-wrap-distance-left:0;mso-wrap-distance-right:0;mso-position-horizontal-relative:page" from="57.4pt,17.6pt" to="129.4pt,17.6pt" strokecolor="#231f20" strokeweight=".5pt">
            <w10:wrap type="topAndBottom" anchorx="page"/>
          </v:line>
        </w:pict>
      </w:r>
    </w:p>
    <w:p w14:paraId="4AE50C0B" w14:textId="77777777" w:rsidR="002653E8" w:rsidRDefault="003115E3">
      <w:pPr>
        <w:pStyle w:val="a4"/>
        <w:numPr>
          <w:ilvl w:val="0"/>
          <w:numId w:val="188"/>
        </w:numPr>
        <w:tabs>
          <w:tab w:val="left" w:pos="1287"/>
        </w:tabs>
        <w:spacing w:before="53" w:line="254" w:lineRule="auto"/>
        <w:ind w:right="1475" w:firstLine="0"/>
        <w:jc w:val="left"/>
        <w:rPr>
          <w:sz w:val="16"/>
        </w:rPr>
      </w:pPr>
      <w:r>
        <w:rPr>
          <w:color w:val="231F20"/>
          <w:w w:val="105"/>
          <w:sz w:val="16"/>
        </w:rPr>
        <w:t xml:space="preserve">Paul Hockenos has noted that for some Protestants, their religion may have   made them particularly receptive to the first postwar protest movements, due to feelings of marginalization within the new truncated state: whereas Protestants  had outnumbered Catholics by nearly two to one in prewar Germany, there was rough parity between the two religions in the FRG. </w:t>
      </w:r>
      <w:r>
        <w:rPr>
          <w:color w:val="231F20"/>
          <w:spacing w:val="1"/>
          <w:w w:val="105"/>
          <w:sz w:val="16"/>
        </w:rPr>
        <w:t xml:space="preserve">See </w:t>
      </w:r>
      <w:r>
        <w:rPr>
          <w:color w:val="231F20"/>
          <w:w w:val="105"/>
          <w:sz w:val="16"/>
        </w:rPr>
        <w:t xml:space="preserve">Paul Hockenos, </w:t>
      </w:r>
      <w:r>
        <w:rPr>
          <w:i/>
          <w:color w:val="231F20"/>
          <w:w w:val="105"/>
          <w:sz w:val="16"/>
        </w:rPr>
        <w:t xml:space="preserve">Joschka Fischer </w:t>
      </w:r>
      <w:r>
        <w:rPr>
          <w:i/>
          <w:color w:val="231F20"/>
          <w:spacing w:val="1"/>
          <w:w w:val="105"/>
          <w:sz w:val="16"/>
        </w:rPr>
        <w:t xml:space="preserve">and </w:t>
      </w:r>
      <w:r>
        <w:rPr>
          <w:i/>
          <w:color w:val="231F20"/>
          <w:w w:val="105"/>
          <w:sz w:val="16"/>
        </w:rPr>
        <w:t xml:space="preserve">the Making of the Berlin Republic: an </w:t>
      </w:r>
      <w:r>
        <w:rPr>
          <w:i/>
          <w:color w:val="231F20"/>
          <w:spacing w:val="1"/>
          <w:w w:val="105"/>
          <w:sz w:val="16"/>
        </w:rPr>
        <w:t xml:space="preserve">Alternative </w:t>
      </w:r>
      <w:r>
        <w:rPr>
          <w:i/>
          <w:color w:val="231F20"/>
          <w:w w:val="105"/>
          <w:sz w:val="16"/>
        </w:rPr>
        <w:t xml:space="preserve">History of Postwar </w:t>
      </w:r>
      <w:r>
        <w:rPr>
          <w:i/>
          <w:color w:val="231F20"/>
          <w:spacing w:val="2"/>
          <w:w w:val="105"/>
          <w:sz w:val="16"/>
        </w:rPr>
        <w:t>Germany</w:t>
      </w:r>
      <w:r>
        <w:rPr>
          <w:i/>
          <w:color w:val="231F20"/>
          <w:spacing w:val="15"/>
          <w:w w:val="105"/>
          <w:sz w:val="16"/>
        </w:rPr>
        <w:t xml:space="preserve"> </w:t>
      </w:r>
      <w:r>
        <w:rPr>
          <w:color w:val="231F20"/>
          <w:w w:val="105"/>
          <w:sz w:val="16"/>
        </w:rPr>
        <w:t>(Oxford:</w:t>
      </w:r>
      <w:r>
        <w:rPr>
          <w:color w:val="231F20"/>
          <w:spacing w:val="15"/>
          <w:w w:val="105"/>
          <w:sz w:val="16"/>
        </w:rPr>
        <w:t xml:space="preserve"> </w:t>
      </w:r>
      <w:r>
        <w:rPr>
          <w:color w:val="231F20"/>
          <w:w w:val="105"/>
          <w:sz w:val="16"/>
        </w:rPr>
        <w:t>Oxford</w:t>
      </w:r>
      <w:r>
        <w:rPr>
          <w:color w:val="231F20"/>
          <w:spacing w:val="15"/>
          <w:w w:val="105"/>
          <w:sz w:val="16"/>
        </w:rPr>
        <w:t xml:space="preserve"> </w:t>
      </w:r>
      <w:r>
        <w:rPr>
          <w:color w:val="231F20"/>
          <w:w w:val="105"/>
          <w:sz w:val="16"/>
        </w:rPr>
        <w:t>University</w:t>
      </w:r>
      <w:r>
        <w:rPr>
          <w:color w:val="231F20"/>
          <w:spacing w:val="15"/>
          <w:w w:val="105"/>
          <w:sz w:val="16"/>
        </w:rPr>
        <w:t xml:space="preserve"> </w:t>
      </w:r>
      <w:r>
        <w:rPr>
          <w:color w:val="231F20"/>
          <w:w w:val="105"/>
          <w:sz w:val="16"/>
        </w:rPr>
        <w:t>Press,</w:t>
      </w:r>
      <w:r>
        <w:rPr>
          <w:color w:val="231F20"/>
          <w:spacing w:val="15"/>
          <w:w w:val="105"/>
          <w:sz w:val="16"/>
        </w:rPr>
        <w:t xml:space="preserve"> </w:t>
      </w:r>
      <w:r>
        <w:rPr>
          <w:color w:val="231F20"/>
          <w:w w:val="105"/>
          <w:sz w:val="16"/>
        </w:rPr>
        <w:t>2008),</w:t>
      </w:r>
      <w:r>
        <w:rPr>
          <w:color w:val="231F20"/>
          <w:spacing w:val="15"/>
          <w:w w:val="105"/>
          <w:sz w:val="16"/>
        </w:rPr>
        <w:t xml:space="preserve"> </w:t>
      </w:r>
      <w:r>
        <w:rPr>
          <w:color w:val="231F20"/>
          <w:w w:val="105"/>
          <w:sz w:val="16"/>
        </w:rPr>
        <w:t>22.</w:t>
      </w:r>
      <w:r>
        <w:rPr>
          <w:color w:val="231F20"/>
          <w:spacing w:val="15"/>
          <w:w w:val="105"/>
          <w:sz w:val="16"/>
        </w:rPr>
        <w:t xml:space="preserve"> </w:t>
      </w:r>
      <w:r>
        <w:rPr>
          <w:color w:val="231F20"/>
          <w:w w:val="105"/>
          <w:sz w:val="16"/>
        </w:rPr>
        <w:t>Despite</w:t>
      </w:r>
      <w:r>
        <w:rPr>
          <w:color w:val="231F20"/>
          <w:spacing w:val="15"/>
          <w:w w:val="105"/>
          <w:sz w:val="16"/>
        </w:rPr>
        <w:t xml:space="preserve"> </w:t>
      </w:r>
      <w:r>
        <w:rPr>
          <w:color w:val="231F20"/>
          <w:w w:val="105"/>
          <w:sz w:val="16"/>
        </w:rPr>
        <w:t>this</w:t>
      </w:r>
      <w:r>
        <w:rPr>
          <w:color w:val="231F20"/>
          <w:spacing w:val="15"/>
          <w:w w:val="105"/>
          <w:sz w:val="16"/>
        </w:rPr>
        <w:t xml:space="preserve"> </w:t>
      </w:r>
      <w:r>
        <w:rPr>
          <w:color w:val="231F20"/>
          <w:w w:val="105"/>
          <w:sz w:val="16"/>
        </w:rPr>
        <w:t>fact,</w:t>
      </w:r>
      <w:r>
        <w:rPr>
          <w:color w:val="231F20"/>
          <w:spacing w:val="15"/>
          <w:w w:val="105"/>
          <w:sz w:val="16"/>
        </w:rPr>
        <w:t xml:space="preserve"> </w:t>
      </w:r>
      <w:r>
        <w:rPr>
          <w:color w:val="231F20"/>
          <w:w w:val="105"/>
          <w:sz w:val="16"/>
        </w:rPr>
        <w:t>the</w:t>
      </w:r>
    </w:p>
    <w:p w14:paraId="500BE5CD" w14:textId="77777777" w:rsidR="002653E8" w:rsidRDefault="003115E3">
      <w:pPr>
        <w:spacing w:before="2"/>
        <w:ind w:left="1147"/>
        <w:rPr>
          <w:sz w:val="16"/>
        </w:rPr>
      </w:pPr>
      <w:r>
        <w:rPr>
          <w:color w:val="231F20"/>
          <w:w w:val="105"/>
          <w:sz w:val="16"/>
        </w:rPr>
        <w:t>churches remained overwhelmingly anticommunist and hostile to left-wing politics.</w:t>
      </w:r>
    </w:p>
    <w:p w14:paraId="737BC136" w14:textId="77777777" w:rsidR="002653E8" w:rsidRDefault="003115E3">
      <w:pPr>
        <w:pStyle w:val="a4"/>
        <w:numPr>
          <w:ilvl w:val="0"/>
          <w:numId w:val="188"/>
        </w:numPr>
        <w:tabs>
          <w:tab w:val="left" w:pos="1287"/>
        </w:tabs>
        <w:spacing w:before="52" w:line="254" w:lineRule="auto"/>
        <w:ind w:right="1660" w:firstLine="0"/>
        <w:jc w:val="left"/>
        <w:rPr>
          <w:sz w:val="16"/>
        </w:rPr>
      </w:pPr>
      <w:r>
        <w:rPr>
          <w:color w:val="231F20"/>
          <w:spacing w:val="1"/>
          <w:w w:val="105"/>
          <w:sz w:val="16"/>
        </w:rPr>
        <w:t xml:space="preserve">As </w:t>
      </w:r>
      <w:r>
        <w:rPr>
          <w:color w:val="231F20"/>
          <w:w w:val="105"/>
          <w:sz w:val="16"/>
        </w:rPr>
        <w:t xml:space="preserve">one deputy from the neo-nazi Socialist Reich </w:t>
      </w:r>
      <w:r>
        <w:rPr>
          <w:color w:val="231F20"/>
          <w:spacing w:val="1"/>
          <w:w w:val="105"/>
          <w:sz w:val="16"/>
        </w:rPr>
        <w:t xml:space="preserve">Party </w:t>
      </w:r>
      <w:r>
        <w:rPr>
          <w:color w:val="231F20"/>
          <w:w w:val="105"/>
          <w:sz w:val="16"/>
        </w:rPr>
        <w:t xml:space="preserve">put it, “First we were told that guns and ammunition were poison and now this poison has </w:t>
      </w:r>
      <w:r>
        <w:rPr>
          <w:color w:val="231F20"/>
          <w:spacing w:val="1"/>
          <w:w w:val="105"/>
          <w:sz w:val="16"/>
        </w:rPr>
        <w:t xml:space="preserve">turned </w:t>
      </w:r>
      <w:r>
        <w:rPr>
          <w:color w:val="231F20"/>
          <w:w w:val="105"/>
          <w:sz w:val="16"/>
        </w:rPr>
        <w:t>to sweets</w:t>
      </w:r>
      <w:r>
        <w:rPr>
          <w:color w:val="231F20"/>
          <w:spacing w:val="5"/>
          <w:w w:val="105"/>
          <w:sz w:val="16"/>
        </w:rPr>
        <w:t xml:space="preserve"> </w:t>
      </w:r>
      <w:r>
        <w:rPr>
          <w:color w:val="231F20"/>
          <w:w w:val="105"/>
          <w:sz w:val="16"/>
        </w:rPr>
        <w:t>which</w:t>
      </w:r>
      <w:r>
        <w:rPr>
          <w:color w:val="231F20"/>
          <w:spacing w:val="5"/>
          <w:w w:val="105"/>
          <w:sz w:val="16"/>
        </w:rPr>
        <w:t xml:space="preserve"> </w:t>
      </w:r>
      <w:r>
        <w:rPr>
          <w:color w:val="231F20"/>
          <w:w w:val="105"/>
          <w:sz w:val="16"/>
        </w:rPr>
        <w:t>we</w:t>
      </w:r>
      <w:r>
        <w:rPr>
          <w:color w:val="231F20"/>
          <w:spacing w:val="5"/>
          <w:w w:val="105"/>
          <w:sz w:val="16"/>
        </w:rPr>
        <w:t xml:space="preserve"> </w:t>
      </w:r>
      <w:r>
        <w:rPr>
          <w:color w:val="231F20"/>
          <w:w w:val="105"/>
          <w:sz w:val="16"/>
        </w:rPr>
        <w:t>should</w:t>
      </w:r>
      <w:r>
        <w:rPr>
          <w:color w:val="231F20"/>
          <w:spacing w:val="5"/>
          <w:w w:val="105"/>
          <w:sz w:val="16"/>
        </w:rPr>
        <w:t xml:space="preserve"> </w:t>
      </w:r>
      <w:r>
        <w:rPr>
          <w:color w:val="231F20"/>
          <w:w w:val="105"/>
          <w:sz w:val="16"/>
        </w:rPr>
        <w:t>eat.</w:t>
      </w:r>
      <w:r>
        <w:rPr>
          <w:color w:val="231F20"/>
          <w:spacing w:val="5"/>
          <w:w w:val="105"/>
          <w:sz w:val="16"/>
        </w:rPr>
        <w:t xml:space="preserve"> </w:t>
      </w:r>
      <w:r>
        <w:rPr>
          <w:color w:val="231F20"/>
          <w:w w:val="105"/>
          <w:sz w:val="16"/>
        </w:rPr>
        <w:t>But</w:t>
      </w:r>
      <w:r>
        <w:rPr>
          <w:color w:val="231F20"/>
          <w:spacing w:val="5"/>
          <w:w w:val="105"/>
          <w:sz w:val="16"/>
        </w:rPr>
        <w:t xml:space="preserve"> </w:t>
      </w:r>
      <w:r>
        <w:rPr>
          <w:color w:val="231F20"/>
          <w:w w:val="105"/>
          <w:sz w:val="16"/>
        </w:rPr>
        <w:t>we</w:t>
      </w:r>
      <w:r>
        <w:rPr>
          <w:color w:val="231F20"/>
          <w:spacing w:val="5"/>
          <w:w w:val="105"/>
          <w:sz w:val="16"/>
        </w:rPr>
        <w:t xml:space="preserve"> </w:t>
      </w:r>
      <w:r>
        <w:rPr>
          <w:color w:val="231F20"/>
          <w:w w:val="105"/>
          <w:sz w:val="16"/>
        </w:rPr>
        <w:t>are</w:t>
      </w:r>
      <w:r>
        <w:rPr>
          <w:color w:val="231F20"/>
          <w:spacing w:val="5"/>
          <w:w w:val="105"/>
          <w:sz w:val="16"/>
        </w:rPr>
        <w:t xml:space="preserve"> </w:t>
      </w:r>
      <w:r>
        <w:rPr>
          <w:color w:val="231F20"/>
          <w:w w:val="105"/>
          <w:sz w:val="16"/>
        </w:rPr>
        <w:t>not</w:t>
      </w:r>
      <w:r>
        <w:rPr>
          <w:color w:val="231F20"/>
          <w:spacing w:val="5"/>
          <w:w w:val="105"/>
          <w:sz w:val="16"/>
        </w:rPr>
        <w:t xml:space="preserve"> </w:t>
      </w:r>
      <w:r>
        <w:rPr>
          <w:color w:val="231F20"/>
          <w:w w:val="105"/>
          <w:sz w:val="16"/>
        </w:rPr>
        <w:t>Negroes</w:t>
      </w:r>
      <w:r>
        <w:rPr>
          <w:color w:val="231F20"/>
          <w:spacing w:val="5"/>
          <w:w w:val="105"/>
          <w:sz w:val="16"/>
        </w:rPr>
        <w:t xml:space="preserve"> </w:t>
      </w:r>
      <w:r>
        <w:rPr>
          <w:color w:val="231F20"/>
          <w:w w:val="105"/>
          <w:sz w:val="16"/>
        </w:rPr>
        <w:t>or</w:t>
      </w:r>
      <w:r>
        <w:rPr>
          <w:color w:val="231F20"/>
          <w:spacing w:val="5"/>
          <w:w w:val="105"/>
          <w:sz w:val="16"/>
        </w:rPr>
        <w:t xml:space="preserve"> </w:t>
      </w:r>
      <w:r>
        <w:rPr>
          <w:color w:val="231F20"/>
          <w:w w:val="105"/>
          <w:sz w:val="16"/>
        </w:rPr>
        <w:t>idiots</w:t>
      </w:r>
      <w:r>
        <w:rPr>
          <w:color w:val="231F20"/>
          <w:spacing w:val="5"/>
          <w:w w:val="105"/>
          <w:sz w:val="16"/>
        </w:rPr>
        <w:t xml:space="preserve"> </w:t>
      </w:r>
      <w:r>
        <w:rPr>
          <w:color w:val="231F20"/>
          <w:w w:val="105"/>
          <w:sz w:val="16"/>
        </w:rPr>
        <w:t>to</w:t>
      </w:r>
      <w:r>
        <w:rPr>
          <w:color w:val="231F20"/>
          <w:spacing w:val="5"/>
          <w:w w:val="105"/>
          <w:sz w:val="16"/>
        </w:rPr>
        <w:t xml:space="preserve"> </w:t>
      </w:r>
      <w:r>
        <w:rPr>
          <w:color w:val="231F20"/>
          <w:w w:val="105"/>
          <w:sz w:val="16"/>
        </w:rPr>
        <w:t>whom</w:t>
      </w:r>
      <w:r>
        <w:rPr>
          <w:color w:val="231F20"/>
          <w:spacing w:val="5"/>
          <w:w w:val="105"/>
          <w:sz w:val="16"/>
        </w:rPr>
        <w:t xml:space="preserve"> </w:t>
      </w:r>
      <w:r>
        <w:rPr>
          <w:color w:val="231F20"/>
          <w:w w:val="105"/>
          <w:sz w:val="16"/>
        </w:rPr>
        <w:t>they</w:t>
      </w:r>
      <w:r>
        <w:rPr>
          <w:color w:val="231F20"/>
          <w:spacing w:val="5"/>
          <w:w w:val="105"/>
          <w:sz w:val="16"/>
        </w:rPr>
        <w:t xml:space="preserve"> </w:t>
      </w:r>
      <w:r>
        <w:rPr>
          <w:color w:val="231F20"/>
          <w:w w:val="105"/>
          <w:sz w:val="16"/>
        </w:rPr>
        <w:t>can</w:t>
      </w:r>
    </w:p>
    <w:p w14:paraId="6DB0295A" w14:textId="77777777" w:rsidR="002653E8" w:rsidRDefault="003115E3">
      <w:pPr>
        <w:spacing w:before="1" w:line="254" w:lineRule="auto"/>
        <w:ind w:left="1147" w:right="1513"/>
        <w:rPr>
          <w:sz w:val="16"/>
        </w:rPr>
      </w:pPr>
      <w:r>
        <w:rPr>
          <w:color w:val="231F20"/>
          <w:w w:val="105"/>
          <w:sz w:val="16"/>
        </w:rPr>
        <w:t xml:space="preserve">do whatever they want. It is either they or us who should be admitted to the insane asylum.” [Martin Lee, </w:t>
      </w:r>
      <w:r>
        <w:rPr>
          <w:i/>
          <w:color w:val="231F20"/>
          <w:w w:val="105"/>
          <w:sz w:val="16"/>
        </w:rPr>
        <w:t xml:space="preserve">The Beast Reawakens </w:t>
      </w:r>
      <w:r>
        <w:rPr>
          <w:color w:val="231F20"/>
          <w:w w:val="105"/>
          <w:sz w:val="16"/>
        </w:rPr>
        <w:t>(Boston: Little, Brown and Company, 1997), 65.]</w:t>
      </w:r>
    </w:p>
    <w:p w14:paraId="1A2F61E6" w14:textId="77777777" w:rsidR="002653E8" w:rsidRDefault="003115E3">
      <w:pPr>
        <w:pStyle w:val="a4"/>
        <w:numPr>
          <w:ilvl w:val="0"/>
          <w:numId w:val="188"/>
        </w:numPr>
        <w:tabs>
          <w:tab w:val="left" w:pos="1287"/>
        </w:tabs>
        <w:spacing w:line="254" w:lineRule="auto"/>
        <w:ind w:right="1381" w:firstLine="0"/>
        <w:jc w:val="left"/>
        <w:rPr>
          <w:sz w:val="16"/>
        </w:rPr>
      </w:pPr>
      <w:r>
        <w:rPr>
          <w:color w:val="231F20"/>
          <w:w w:val="105"/>
          <w:sz w:val="16"/>
        </w:rPr>
        <w:t xml:space="preserve">For the sake of clarity, it should be remembered that in the years between the   Nazi defeat and the establishment of the FRG, there was a large strike movement in favour of nationalization of the country’s largest industries. </w:t>
      </w:r>
      <w:r>
        <w:rPr>
          <w:color w:val="231F20"/>
          <w:spacing w:val="1"/>
          <w:w w:val="105"/>
          <w:sz w:val="16"/>
        </w:rPr>
        <w:t xml:space="preserve">This </w:t>
      </w:r>
      <w:r>
        <w:rPr>
          <w:color w:val="231F20"/>
          <w:w w:val="105"/>
          <w:sz w:val="16"/>
        </w:rPr>
        <w:t xml:space="preserve">movement, which initially seemed to have the wind in its sails, was opposed by the Allied occupiers.    Its fate was sealed when the new trade unions obediently redirected it towards  token co-management and de-cartelization. </w:t>
      </w:r>
      <w:r>
        <w:rPr>
          <w:color w:val="231F20"/>
          <w:spacing w:val="1"/>
          <w:w w:val="105"/>
          <w:sz w:val="16"/>
        </w:rPr>
        <w:t xml:space="preserve">As </w:t>
      </w:r>
      <w:r>
        <w:rPr>
          <w:color w:val="231F20"/>
          <w:w w:val="105"/>
          <w:sz w:val="16"/>
        </w:rPr>
        <w:t>such, it provides a stark example of workers’ political activity sabotaged by their putative left-wing representatives even before the occupation had ended. (Roth, 50-51; Hülsberg, 29-32; Childs,</w:t>
      </w:r>
      <w:r>
        <w:rPr>
          <w:color w:val="231F20"/>
          <w:spacing w:val="21"/>
          <w:w w:val="105"/>
          <w:sz w:val="16"/>
        </w:rPr>
        <w:t xml:space="preserve"> </w:t>
      </w:r>
      <w:r>
        <w:rPr>
          <w:color w:val="231F20"/>
          <w:w w:val="105"/>
          <w:sz w:val="16"/>
        </w:rPr>
        <w:t>67-84.)</w:t>
      </w:r>
    </w:p>
    <w:p w14:paraId="26CB864E" w14:textId="77777777" w:rsidR="002653E8" w:rsidRDefault="002653E8">
      <w:pPr>
        <w:spacing w:line="254" w:lineRule="auto"/>
        <w:rPr>
          <w:sz w:val="16"/>
        </w:rPr>
        <w:sectPr w:rsidR="002653E8">
          <w:footerReference w:type="even" r:id="rId44"/>
          <w:footerReference w:type="default" r:id="rId45"/>
          <w:pgSz w:w="8640" w:h="12960"/>
          <w:pgMar w:top="1060" w:right="0" w:bottom="1040" w:left="0" w:header="0" w:footer="850" w:gutter="0"/>
          <w:pgNumType w:start="20"/>
          <w:cols w:space="720"/>
        </w:sectPr>
      </w:pPr>
    </w:p>
    <w:p w14:paraId="68EC1854" w14:textId="77777777" w:rsidR="002653E8" w:rsidRDefault="003115E3">
      <w:pPr>
        <w:pStyle w:val="a3"/>
        <w:spacing w:before="86" w:line="264" w:lineRule="auto"/>
        <w:ind w:left="1327" w:right="1146"/>
        <w:jc w:val="both"/>
        <w:rPr>
          <w:sz w:val="11"/>
        </w:rPr>
      </w:pPr>
      <w:r>
        <w:rPr>
          <w:color w:val="231F20"/>
        </w:rPr>
        <w:lastRenderedPageBreak/>
        <w:t>banned, as according to the Basic Law only the federal government was empowered to call a plebiscite. The Communists decided to go ahead anyway, polling people on street corners, through newspaper questionnaires, and at popular meeting places. The “referendum” was more agit prop than a scientific study; at one movie cinema in the town of Celle, for instance, there is a report that just as the feature film ended an eager pollster asked everyone opposed to rearmament to stand up—100</w:t>
      </w:r>
      <w:r>
        <w:rPr>
          <w:color w:val="231F20"/>
          <w:sz w:val="16"/>
        </w:rPr>
        <w:t xml:space="preserve">% </w:t>
      </w:r>
      <w:r>
        <w:rPr>
          <w:color w:val="231F20"/>
        </w:rPr>
        <w:t xml:space="preserve">opposition was recorded. Little surprise that the </w:t>
      </w:r>
      <w:r>
        <w:rPr>
          <w:color w:val="231F20"/>
          <w:spacing w:val="1"/>
        </w:rPr>
        <w:t xml:space="preserve">KPD </w:t>
      </w:r>
      <w:r>
        <w:rPr>
          <w:color w:val="231F20"/>
        </w:rPr>
        <w:t xml:space="preserve">eventually found that almost six million </w:t>
      </w:r>
      <w:r>
        <w:rPr>
          <w:color w:val="231F20"/>
          <w:spacing w:val="-3"/>
        </w:rPr>
        <w:t xml:space="preserve">West </w:t>
      </w:r>
      <w:r>
        <w:rPr>
          <w:color w:val="231F20"/>
        </w:rPr>
        <w:t>Germans had “registered” their opposition to the government’s</w:t>
      </w:r>
      <w:r>
        <w:rPr>
          <w:color w:val="231F20"/>
          <w:spacing w:val="31"/>
        </w:rPr>
        <w:t xml:space="preserve"> </w:t>
      </w:r>
      <w:r>
        <w:rPr>
          <w:color w:val="231F20"/>
        </w:rPr>
        <w:t>plans.</w:t>
      </w:r>
      <w:r>
        <w:rPr>
          <w:color w:val="231F20"/>
          <w:position w:val="7"/>
          <w:sz w:val="11"/>
        </w:rPr>
        <w:t>4</w:t>
      </w:r>
    </w:p>
    <w:p w14:paraId="446E3EFC" w14:textId="77777777" w:rsidR="002653E8" w:rsidRDefault="003115E3">
      <w:pPr>
        <w:pStyle w:val="a3"/>
        <w:spacing w:line="264" w:lineRule="auto"/>
        <w:ind w:left="1327" w:right="1145" w:firstLine="210"/>
        <w:jc w:val="both"/>
        <w:rPr>
          <w:sz w:val="11"/>
        </w:rPr>
      </w:pPr>
      <w:r>
        <w:rPr>
          <w:color w:val="231F20"/>
        </w:rPr>
        <w:t>Suffice it to say that Adenauer was not amused, and polling people soon became a risky endeavor: there were a total of 7,331 arrests, and the KPD Free German youth front group was banned simply for engaging in what amounted to a glorified petition campaign.</w:t>
      </w:r>
      <w:r>
        <w:rPr>
          <w:color w:val="231F20"/>
          <w:position w:val="7"/>
          <w:sz w:val="11"/>
        </w:rPr>
        <w:t>5</w:t>
      </w:r>
    </w:p>
    <w:p w14:paraId="547315AC" w14:textId="77777777" w:rsidR="002653E8" w:rsidRDefault="003115E3">
      <w:pPr>
        <w:pStyle w:val="a3"/>
        <w:spacing w:line="264" w:lineRule="auto"/>
        <w:ind w:left="1327" w:right="2900" w:firstLine="274"/>
        <w:jc w:val="both"/>
      </w:pPr>
      <w:r>
        <w:drawing>
          <wp:anchor distT="0" distB="0" distL="0" distR="0" simplePos="0" relativeHeight="1816" behindDoc="0" locked="0" layoutInCell="1" allowOverlap="1" wp14:anchorId="36894563" wp14:editId="4B37C7EC">
            <wp:simplePos x="0" y="0"/>
            <wp:positionH relativeFrom="page">
              <wp:posOffset>3820901</wp:posOffset>
            </wp:positionH>
            <wp:positionV relativeFrom="paragraph">
              <wp:posOffset>23437</wp:posOffset>
            </wp:positionV>
            <wp:extent cx="936492" cy="1420725"/>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6" cstate="print"/>
                    <a:stretch>
                      <a:fillRect/>
                    </a:stretch>
                  </pic:blipFill>
                  <pic:spPr>
                    <a:xfrm>
                      <a:off x="0" y="0"/>
                      <a:ext cx="936492" cy="1420725"/>
                    </a:xfrm>
                    <a:prstGeom prst="rect">
                      <a:avLst/>
                    </a:prstGeom>
                  </pic:spPr>
                </pic:pic>
              </a:graphicData>
            </a:graphic>
          </wp:anchor>
        </w:drawing>
      </w:r>
      <w:r>
        <w:rPr>
          <w:color w:val="231F20"/>
        </w:rPr>
        <w:t xml:space="preserve">At the same time, as if to make matters crystal clear, on May </w:t>
      </w:r>
      <w:r>
        <w:rPr>
          <w:color w:val="231F20"/>
          <w:spacing w:val="-4"/>
        </w:rPr>
        <w:t xml:space="preserve">11, </w:t>
      </w:r>
      <w:r>
        <w:rPr>
          <w:color w:val="231F20"/>
          <w:spacing w:val="-5"/>
        </w:rPr>
        <w:t xml:space="preserve">1952, </w:t>
      </w:r>
      <w:r>
        <w:rPr>
          <w:color w:val="231F20"/>
        </w:rPr>
        <w:t xml:space="preserve">a peace rally in the city of Essen was attacked by police, at first with  dogs  and clubs, and then with live ammunition. Philipp Müller, a member of Free German </w:t>
      </w:r>
      <w:r>
        <w:rPr>
          <w:color w:val="231F20"/>
          <w:spacing w:val="-3"/>
        </w:rPr>
        <w:t xml:space="preserve">youth, </w:t>
      </w:r>
      <w:r>
        <w:rPr>
          <w:color w:val="231F20"/>
        </w:rPr>
        <w:t>became the first person to be killed in a demonstration in the new Federal Republic. As a sign of things to come, no police officer would ever  face  charges  for</w:t>
      </w:r>
      <w:r>
        <w:rPr>
          <w:color w:val="231F20"/>
          <w:spacing w:val="17"/>
        </w:rPr>
        <w:t xml:space="preserve"> </w:t>
      </w:r>
      <w:r>
        <w:rPr>
          <w:color w:val="231F20"/>
        </w:rPr>
        <w:t>Müller’s</w:t>
      </w:r>
      <w:r>
        <w:rPr>
          <w:color w:val="231F20"/>
          <w:spacing w:val="17"/>
        </w:rPr>
        <w:t xml:space="preserve"> </w:t>
      </w:r>
      <w:r>
        <w:rPr>
          <w:color w:val="231F20"/>
        </w:rPr>
        <w:t>death,</w:t>
      </w:r>
      <w:r>
        <w:rPr>
          <w:color w:val="231F20"/>
          <w:spacing w:val="17"/>
        </w:rPr>
        <w:t xml:space="preserve"> </w:t>
      </w:r>
      <w:r>
        <w:rPr>
          <w:color w:val="231F20"/>
        </w:rPr>
        <w:t>but</w:t>
      </w:r>
      <w:r>
        <w:rPr>
          <w:color w:val="231F20"/>
          <w:spacing w:val="17"/>
        </w:rPr>
        <w:t xml:space="preserve"> </w:t>
      </w:r>
      <w:r>
        <w:rPr>
          <w:color w:val="231F20"/>
        </w:rPr>
        <w:t>eleven</w:t>
      </w:r>
      <w:r>
        <w:rPr>
          <w:color w:val="231F20"/>
          <w:spacing w:val="17"/>
        </w:rPr>
        <w:t xml:space="preserve"> </w:t>
      </w:r>
      <w:r>
        <w:rPr>
          <w:color w:val="231F20"/>
        </w:rPr>
        <w:t>demonstrators</w:t>
      </w:r>
      <w:r>
        <w:rPr>
          <w:color w:val="231F20"/>
          <w:spacing w:val="17"/>
        </w:rPr>
        <w:t xml:space="preserve"> </w:t>
      </w:r>
      <w:r>
        <w:rPr>
          <w:color w:val="231F20"/>
        </w:rPr>
        <w:t>were</w:t>
      </w:r>
    </w:p>
    <w:p w14:paraId="5E13564D" w14:textId="77777777" w:rsidR="002653E8" w:rsidRDefault="002653E8">
      <w:pPr>
        <w:spacing w:line="264" w:lineRule="auto"/>
        <w:jc w:val="both"/>
        <w:sectPr w:rsidR="002653E8">
          <w:pgSz w:w="8640" w:h="12960"/>
          <w:pgMar w:top="1060" w:right="0" w:bottom="1040" w:left="0" w:header="0" w:footer="850" w:gutter="0"/>
          <w:cols w:space="720"/>
        </w:sectPr>
      </w:pPr>
    </w:p>
    <w:p w14:paraId="26E2BA9D" w14:textId="77777777" w:rsidR="002653E8" w:rsidRDefault="003115E3">
      <w:pPr>
        <w:pStyle w:val="a3"/>
        <w:spacing w:line="210" w:lineRule="exact"/>
        <w:ind w:left="1327"/>
      </w:pPr>
      <w:r>
        <w:rPr>
          <w:color w:val="231F20"/>
        </w:rPr>
        <w:t>subsequently jailed for a total of six years and four</w:t>
      </w:r>
    </w:p>
    <w:p w14:paraId="631DEF6D" w14:textId="77777777" w:rsidR="002653E8" w:rsidRDefault="003115E3">
      <w:pPr>
        <w:pStyle w:val="a3"/>
        <w:spacing w:before="22" w:line="264" w:lineRule="auto"/>
        <w:ind w:left="1327" w:right="-6"/>
        <w:rPr>
          <w:sz w:val="11"/>
        </w:rPr>
      </w:pPr>
      <w:r>
        <w:rPr>
          <w:color w:val="231F20"/>
          <w:w w:val="105"/>
        </w:rPr>
        <w:t>months</w:t>
      </w:r>
      <w:r>
        <w:rPr>
          <w:color w:val="231F20"/>
          <w:spacing w:val="-21"/>
          <w:w w:val="105"/>
        </w:rPr>
        <w:t xml:space="preserve"> </w:t>
      </w:r>
      <w:r>
        <w:rPr>
          <w:color w:val="231F20"/>
          <w:w w:val="105"/>
        </w:rPr>
        <w:t>for</w:t>
      </w:r>
      <w:r>
        <w:rPr>
          <w:color w:val="231F20"/>
          <w:spacing w:val="-21"/>
          <w:w w:val="105"/>
        </w:rPr>
        <w:t xml:space="preserve"> </w:t>
      </w:r>
      <w:r>
        <w:rPr>
          <w:color w:val="231F20"/>
          <w:w w:val="105"/>
        </w:rPr>
        <w:t>disorderly</w:t>
      </w:r>
      <w:r>
        <w:rPr>
          <w:color w:val="231F20"/>
          <w:spacing w:val="-21"/>
          <w:w w:val="105"/>
        </w:rPr>
        <w:t xml:space="preserve"> </w:t>
      </w:r>
      <w:r>
        <w:rPr>
          <w:color w:val="231F20"/>
          <w:w w:val="105"/>
        </w:rPr>
        <w:t>conduct</w:t>
      </w:r>
      <w:r>
        <w:rPr>
          <w:color w:val="231F20"/>
          <w:spacing w:val="-21"/>
          <w:w w:val="105"/>
        </w:rPr>
        <w:t xml:space="preserve"> </w:t>
      </w:r>
      <w:r>
        <w:rPr>
          <w:color w:val="231F20"/>
          <w:w w:val="105"/>
        </w:rPr>
        <w:t>and</w:t>
      </w:r>
      <w:r>
        <w:rPr>
          <w:color w:val="231F20"/>
          <w:spacing w:val="-21"/>
          <w:w w:val="105"/>
        </w:rPr>
        <w:t xml:space="preserve"> </w:t>
      </w:r>
      <w:r>
        <w:rPr>
          <w:color w:val="231F20"/>
          <w:w w:val="105"/>
        </w:rPr>
        <w:t>“crimes</w:t>
      </w:r>
      <w:r>
        <w:rPr>
          <w:color w:val="231F20"/>
          <w:spacing w:val="-21"/>
          <w:w w:val="105"/>
        </w:rPr>
        <w:t xml:space="preserve"> </w:t>
      </w:r>
      <w:r>
        <w:rPr>
          <w:color w:val="231F20"/>
          <w:w w:val="105"/>
        </w:rPr>
        <w:t>of</w:t>
      </w:r>
      <w:r>
        <w:rPr>
          <w:color w:val="231F20"/>
          <w:spacing w:val="-21"/>
          <w:w w:val="105"/>
        </w:rPr>
        <w:t xml:space="preserve"> </w:t>
      </w:r>
      <w:r>
        <w:rPr>
          <w:color w:val="231F20"/>
          <w:w w:val="105"/>
        </w:rPr>
        <w:t>treason against the</w:t>
      </w:r>
      <w:r>
        <w:rPr>
          <w:color w:val="231F20"/>
          <w:spacing w:val="20"/>
          <w:w w:val="105"/>
        </w:rPr>
        <w:t xml:space="preserve"> </w:t>
      </w:r>
      <w:r>
        <w:rPr>
          <w:color w:val="231F20"/>
          <w:w w:val="105"/>
        </w:rPr>
        <w:t>Constitution.”</w:t>
      </w:r>
      <w:r>
        <w:rPr>
          <w:color w:val="231F20"/>
          <w:w w:val="105"/>
          <w:position w:val="7"/>
          <w:sz w:val="11"/>
        </w:rPr>
        <w:t>6</w:t>
      </w:r>
    </w:p>
    <w:p w14:paraId="0E771300" w14:textId="77777777" w:rsidR="002653E8" w:rsidRPr="00C507A5" w:rsidRDefault="003115E3">
      <w:pPr>
        <w:spacing w:line="244" w:lineRule="auto"/>
        <w:ind w:left="400" w:right="893" w:hanging="26"/>
        <w:rPr>
          <w:i/>
          <w:sz w:val="18"/>
          <w:lang w:val="de-DE"/>
        </w:rPr>
      </w:pPr>
      <w:r w:rsidRPr="0003020B">
        <w:rPr>
          <w:lang w:val="de-DE"/>
        </w:rPr>
        <w:br w:type="column"/>
      </w:r>
      <w:r w:rsidRPr="00C507A5">
        <w:rPr>
          <w:i/>
          <w:color w:val="231F20"/>
          <w:w w:val="110"/>
          <w:sz w:val="18"/>
          <w:lang w:val="de-DE"/>
        </w:rPr>
        <w:t>Philipp Müller, April 5, 1931–</w:t>
      </w:r>
    </w:p>
    <w:p w14:paraId="092097C8" w14:textId="77777777" w:rsidR="002653E8" w:rsidRDefault="003115E3">
      <w:pPr>
        <w:ind w:left="425"/>
        <w:rPr>
          <w:i/>
          <w:sz w:val="18"/>
        </w:rPr>
      </w:pPr>
      <w:r>
        <w:rPr>
          <w:i/>
          <w:color w:val="231F20"/>
          <w:w w:val="105"/>
          <w:sz w:val="18"/>
        </w:rPr>
        <w:t>May  11, 1952</w:t>
      </w:r>
    </w:p>
    <w:p w14:paraId="426B90A6" w14:textId="77777777" w:rsidR="002653E8" w:rsidRDefault="002653E8">
      <w:pPr>
        <w:rPr>
          <w:sz w:val="18"/>
        </w:rPr>
        <w:sectPr w:rsidR="002653E8">
          <w:type w:val="continuous"/>
          <w:pgSz w:w="8640" w:h="12960"/>
          <w:pgMar w:top="0" w:right="0" w:bottom="0" w:left="0" w:header="720" w:footer="720" w:gutter="0"/>
          <w:cols w:num="2" w:space="720" w:equalWidth="0">
            <w:col w:w="5738" w:space="40"/>
            <w:col w:w="2862"/>
          </w:cols>
        </w:sectPr>
      </w:pPr>
    </w:p>
    <w:p w14:paraId="3399049A" w14:textId="77777777" w:rsidR="002653E8" w:rsidRDefault="003115E3">
      <w:pPr>
        <w:pStyle w:val="a3"/>
        <w:spacing w:line="264" w:lineRule="auto"/>
        <w:ind w:left="1327" w:right="1146" w:firstLine="210"/>
        <w:jc w:val="both"/>
      </w:pPr>
      <w:r>
        <w:rPr>
          <w:color w:val="231F20"/>
        </w:rPr>
        <w:t>Not that repression was the only tool against incipient revolt: misdirection also remained an important weapon in the ruling class arsenal. Throughout 1953, there were almost one hundred strikes at different factories to protest against the CDU’s rearmament policies. As the politicized sections of the working class were moving aggressively against Adenauer’s plans, the SPD and trade union leadership lined up to rein things in. All energy was now funneled into one big rally in Frankfurt. However, the initiative was removed from the rank and file, and in the</w:t>
      </w:r>
    </w:p>
    <w:p w14:paraId="105248B0" w14:textId="77777777" w:rsidR="002653E8" w:rsidRDefault="002653E8">
      <w:pPr>
        <w:pStyle w:val="a3"/>
      </w:pPr>
    </w:p>
    <w:p w14:paraId="3FBB3904" w14:textId="77777777" w:rsidR="002653E8" w:rsidRDefault="00000000">
      <w:pPr>
        <w:pStyle w:val="a3"/>
        <w:spacing w:before="5"/>
        <w:rPr>
          <w:sz w:val="24"/>
        </w:rPr>
      </w:pPr>
      <w:r>
        <w:rPr>
          <w:noProof w:val="0"/>
        </w:rPr>
        <w:pict w14:anchorId="35FD8439">
          <v:line id="_x0000_s2694" style="position:absolute;z-index:1792;mso-wrap-distance-left:0;mso-wrap-distance-right:0;mso-position-horizontal-relative:page" from="66.4pt,16.55pt" to="138.4pt,16.55pt" strokecolor="#231f20" strokeweight=".5pt">
            <w10:wrap type="topAndBottom" anchorx="page"/>
          </v:line>
        </w:pict>
      </w:r>
    </w:p>
    <w:p w14:paraId="0C872752" w14:textId="77777777" w:rsidR="002653E8" w:rsidRDefault="003115E3">
      <w:pPr>
        <w:pStyle w:val="a4"/>
        <w:numPr>
          <w:ilvl w:val="0"/>
          <w:numId w:val="188"/>
        </w:numPr>
        <w:tabs>
          <w:tab w:val="left" w:pos="1467"/>
        </w:tabs>
        <w:spacing w:before="53"/>
        <w:ind w:left="1466"/>
        <w:jc w:val="left"/>
        <w:rPr>
          <w:sz w:val="16"/>
        </w:rPr>
      </w:pPr>
      <w:r>
        <w:rPr>
          <w:color w:val="231F20"/>
          <w:w w:val="115"/>
          <w:sz w:val="16"/>
        </w:rPr>
        <w:t>Major,</w:t>
      </w:r>
      <w:r>
        <w:rPr>
          <w:color w:val="231F20"/>
          <w:spacing w:val="5"/>
          <w:w w:val="115"/>
          <w:sz w:val="16"/>
        </w:rPr>
        <w:t xml:space="preserve"> </w:t>
      </w:r>
      <w:r>
        <w:rPr>
          <w:color w:val="231F20"/>
          <w:spacing w:val="-4"/>
          <w:w w:val="115"/>
          <w:sz w:val="16"/>
        </w:rPr>
        <w:t>145.</w:t>
      </w:r>
    </w:p>
    <w:p w14:paraId="37FC389A" w14:textId="77777777" w:rsidR="002653E8" w:rsidRDefault="003115E3">
      <w:pPr>
        <w:pStyle w:val="a4"/>
        <w:numPr>
          <w:ilvl w:val="0"/>
          <w:numId w:val="188"/>
        </w:numPr>
        <w:tabs>
          <w:tab w:val="left" w:pos="1467"/>
        </w:tabs>
        <w:spacing w:before="51"/>
        <w:ind w:left="1466" w:hanging="138"/>
        <w:jc w:val="left"/>
        <w:rPr>
          <w:sz w:val="16"/>
        </w:rPr>
      </w:pPr>
      <w:r>
        <w:rPr>
          <w:color w:val="231F20"/>
          <w:w w:val="110"/>
          <w:sz w:val="16"/>
        </w:rPr>
        <w:t>Ibid., Hülsberg,</w:t>
      </w:r>
      <w:r>
        <w:rPr>
          <w:color w:val="231F20"/>
          <w:spacing w:val="12"/>
          <w:w w:val="110"/>
          <w:sz w:val="16"/>
        </w:rPr>
        <w:t xml:space="preserve"> </w:t>
      </w:r>
      <w:r>
        <w:rPr>
          <w:color w:val="231F20"/>
          <w:spacing w:val="-4"/>
          <w:w w:val="110"/>
          <w:sz w:val="16"/>
        </w:rPr>
        <w:t>33.</w:t>
      </w:r>
    </w:p>
    <w:p w14:paraId="62142E2E" w14:textId="77777777" w:rsidR="002653E8" w:rsidRDefault="003115E3">
      <w:pPr>
        <w:pStyle w:val="a4"/>
        <w:numPr>
          <w:ilvl w:val="0"/>
          <w:numId w:val="188"/>
        </w:numPr>
        <w:tabs>
          <w:tab w:val="left" w:pos="1467"/>
        </w:tabs>
        <w:spacing w:before="52" w:line="254" w:lineRule="auto"/>
        <w:ind w:left="1328" w:right="1310" w:firstLine="0"/>
        <w:jc w:val="left"/>
        <w:rPr>
          <w:sz w:val="16"/>
        </w:rPr>
      </w:pPr>
      <w:r>
        <w:rPr>
          <w:color w:val="231F20"/>
          <w:w w:val="110"/>
          <w:sz w:val="16"/>
        </w:rPr>
        <w:t>Bernd</w:t>
      </w:r>
      <w:r>
        <w:rPr>
          <w:color w:val="231F20"/>
          <w:spacing w:val="-6"/>
          <w:w w:val="110"/>
          <w:sz w:val="16"/>
        </w:rPr>
        <w:t xml:space="preserve"> </w:t>
      </w:r>
      <w:r>
        <w:rPr>
          <w:color w:val="231F20"/>
          <w:w w:val="110"/>
          <w:sz w:val="16"/>
        </w:rPr>
        <w:t>Langer,</w:t>
      </w:r>
      <w:r>
        <w:rPr>
          <w:color w:val="231F20"/>
          <w:spacing w:val="-6"/>
          <w:w w:val="110"/>
          <w:sz w:val="16"/>
        </w:rPr>
        <w:t xml:space="preserve"> </w:t>
      </w:r>
      <w:r>
        <w:rPr>
          <w:i/>
          <w:color w:val="231F20"/>
          <w:spacing w:val="1"/>
          <w:w w:val="110"/>
          <w:sz w:val="16"/>
        </w:rPr>
        <w:t>Art</w:t>
      </w:r>
      <w:r>
        <w:rPr>
          <w:i/>
          <w:color w:val="231F20"/>
          <w:spacing w:val="-6"/>
          <w:w w:val="110"/>
          <w:sz w:val="16"/>
        </w:rPr>
        <w:t xml:space="preserve"> </w:t>
      </w:r>
      <w:r>
        <w:rPr>
          <w:i/>
          <w:color w:val="231F20"/>
          <w:spacing w:val="1"/>
          <w:w w:val="110"/>
          <w:sz w:val="16"/>
        </w:rPr>
        <w:t>as</w:t>
      </w:r>
      <w:r>
        <w:rPr>
          <w:i/>
          <w:color w:val="231F20"/>
          <w:spacing w:val="-6"/>
          <w:w w:val="110"/>
          <w:sz w:val="16"/>
        </w:rPr>
        <w:t xml:space="preserve"> </w:t>
      </w:r>
      <w:r>
        <w:rPr>
          <w:i/>
          <w:color w:val="231F20"/>
          <w:spacing w:val="1"/>
          <w:w w:val="110"/>
          <w:sz w:val="16"/>
        </w:rPr>
        <w:t>Resistance.</w:t>
      </w:r>
      <w:r>
        <w:rPr>
          <w:i/>
          <w:color w:val="231F20"/>
          <w:spacing w:val="-6"/>
          <w:w w:val="110"/>
          <w:sz w:val="16"/>
        </w:rPr>
        <w:t xml:space="preserve"> </w:t>
      </w:r>
      <w:r>
        <w:rPr>
          <w:color w:val="231F20"/>
          <w:w w:val="110"/>
          <w:sz w:val="16"/>
        </w:rPr>
        <w:t>Translated</w:t>
      </w:r>
      <w:r>
        <w:rPr>
          <w:color w:val="231F20"/>
          <w:spacing w:val="-6"/>
          <w:w w:val="110"/>
          <w:sz w:val="16"/>
        </w:rPr>
        <w:t xml:space="preserve"> </w:t>
      </w:r>
      <w:r>
        <w:rPr>
          <w:color w:val="231F20"/>
          <w:w w:val="110"/>
          <w:sz w:val="16"/>
        </w:rPr>
        <w:t>by</w:t>
      </w:r>
      <w:r>
        <w:rPr>
          <w:color w:val="231F20"/>
          <w:spacing w:val="-6"/>
          <w:w w:val="110"/>
          <w:sz w:val="16"/>
        </w:rPr>
        <w:t xml:space="preserve"> </w:t>
      </w:r>
      <w:r>
        <w:rPr>
          <w:color w:val="231F20"/>
          <w:w w:val="110"/>
          <w:sz w:val="16"/>
        </w:rPr>
        <w:t>Anti-Fascist</w:t>
      </w:r>
      <w:r>
        <w:rPr>
          <w:color w:val="231F20"/>
          <w:spacing w:val="-6"/>
          <w:w w:val="110"/>
          <w:sz w:val="16"/>
        </w:rPr>
        <w:t xml:space="preserve"> </w:t>
      </w:r>
      <w:r>
        <w:rPr>
          <w:color w:val="231F20"/>
          <w:w w:val="110"/>
          <w:sz w:val="16"/>
        </w:rPr>
        <w:t>Forum.</w:t>
      </w:r>
      <w:r>
        <w:rPr>
          <w:color w:val="231F20"/>
          <w:spacing w:val="-6"/>
          <w:w w:val="110"/>
          <w:sz w:val="16"/>
        </w:rPr>
        <w:t xml:space="preserve"> </w:t>
      </w:r>
      <w:r>
        <w:rPr>
          <w:color w:val="231F20"/>
          <w:w w:val="110"/>
          <w:sz w:val="16"/>
        </w:rPr>
        <w:t xml:space="preserve">(Göttingen: Aktiv-Dr. und Verl., </w:t>
      </w:r>
      <w:r>
        <w:rPr>
          <w:color w:val="231F20"/>
          <w:spacing w:val="-3"/>
          <w:w w:val="110"/>
          <w:sz w:val="16"/>
        </w:rPr>
        <w:t>1998),</w:t>
      </w:r>
      <w:r>
        <w:rPr>
          <w:color w:val="231F20"/>
          <w:spacing w:val="25"/>
          <w:w w:val="110"/>
          <w:sz w:val="16"/>
        </w:rPr>
        <w:t xml:space="preserve"> </w:t>
      </w:r>
      <w:r>
        <w:rPr>
          <w:color w:val="231F20"/>
          <w:w w:val="110"/>
          <w:sz w:val="16"/>
        </w:rPr>
        <w:t>8.</w:t>
      </w:r>
    </w:p>
    <w:p w14:paraId="3B3C8A6E" w14:textId="77777777" w:rsidR="002653E8" w:rsidRDefault="002653E8">
      <w:pPr>
        <w:spacing w:line="254" w:lineRule="auto"/>
        <w:rPr>
          <w:sz w:val="16"/>
        </w:rPr>
        <w:sectPr w:rsidR="002653E8">
          <w:type w:val="continuous"/>
          <w:pgSz w:w="8640" w:h="12960"/>
          <w:pgMar w:top="0" w:right="0" w:bottom="0" w:left="0" w:header="720" w:footer="720" w:gutter="0"/>
          <w:cols w:space="720"/>
        </w:sectPr>
      </w:pPr>
    </w:p>
    <w:p w14:paraId="1C977122" w14:textId="77777777" w:rsidR="002653E8" w:rsidRDefault="003115E3">
      <w:pPr>
        <w:pStyle w:val="a3"/>
        <w:spacing w:before="86" w:line="264" w:lineRule="auto"/>
        <w:ind w:left="1147" w:right="1325"/>
        <w:jc w:val="both"/>
        <w:rPr>
          <w:sz w:val="11"/>
        </w:rPr>
      </w:pPr>
      <w:r>
        <w:rPr>
          <w:color w:val="231F20"/>
        </w:rPr>
        <w:lastRenderedPageBreak/>
        <w:t>end the rally was simply used to drum up support for the SPD.</w:t>
      </w:r>
      <w:r>
        <w:rPr>
          <w:color w:val="231F20"/>
          <w:position w:val="7"/>
          <w:sz w:val="11"/>
        </w:rPr>
        <w:t xml:space="preserve">1 </w:t>
      </w:r>
      <w:r>
        <w:rPr>
          <w:color w:val="231F20"/>
        </w:rPr>
        <w:t>As the CDU moved ahead regardless, the Social Democrats withdrew organizational support, and the movement (now robbed of any autonomous basis) dissipated almost immediately.</w:t>
      </w:r>
      <w:r>
        <w:rPr>
          <w:color w:val="231F20"/>
          <w:position w:val="7"/>
          <w:sz w:val="11"/>
        </w:rPr>
        <w:t>2</w:t>
      </w:r>
    </w:p>
    <w:p w14:paraId="78DBF0A7" w14:textId="77777777" w:rsidR="002653E8" w:rsidRDefault="003115E3">
      <w:pPr>
        <w:pStyle w:val="a3"/>
        <w:spacing w:line="264" w:lineRule="auto"/>
        <w:ind w:left="1147" w:right="1325" w:firstLine="210"/>
        <w:jc w:val="both"/>
        <w:rPr>
          <w:sz w:val="11"/>
        </w:rPr>
      </w:pPr>
      <w:r>
        <w:rPr>
          <w:color w:val="231F20"/>
        </w:rPr>
        <w:t xml:space="preserve">With its most steadfast opponents kept in disarray by their “leaders,” the Adenauer regime easily ratified rearmament through the Treaty of Paris in </w:t>
      </w:r>
      <w:r>
        <w:rPr>
          <w:color w:val="231F20"/>
          <w:spacing w:val="-5"/>
        </w:rPr>
        <w:t xml:space="preserve">1954. </w:t>
      </w:r>
      <w:r>
        <w:rPr>
          <w:color w:val="231F20"/>
        </w:rPr>
        <w:t xml:space="preserve">The next few years saw the establishment of voluntary military service, universal male conscription, and the production  of  war materials, further sealing the ties between big business and the state. Demoralized by their failure to prevent any of this, the opposition began to melt, a </w:t>
      </w:r>
      <w:r>
        <w:rPr>
          <w:color w:val="231F20"/>
          <w:spacing w:val="-9"/>
        </w:rPr>
        <w:t xml:space="preserve">1955 </w:t>
      </w:r>
      <w:r>
        <w:rPr>
          <w:color w:val="231F20"/>
        </w:rPr>
        <w:t>poll finding that almost two thirds of the population</w:t>
      </w:r>
      <w:r>
        <w:rPr>
          <w:color w:val="231F20"/>
          <w:spacing w:val="13"/>
        </w:rPr>
        <w:t xml:space="preserve"> </w:t>
      </w:r>
      <w:r>
        <w:rPr>
          <w:color w:val="231F20"/>
        </w:rPr>
        <w:t>now</w:t>
      </w:r>
      <w:r>
        <w:rPr>
          <w:color w:val="231F20"/>
          <w:spacing w:val="13"/>
        </w:rPr>
        <w:t xml:space="preserve"> </w:t>
      </w:r>
      <w:r>
        <w:rPr>
          <w:color w:val="231F20"/>
        </w:rPr>
        <w:t>considered</w:t>
      </w:r>
      <w:r>
        <w:rPr>
          <w:color w:val="231F20"/>
          <w:spacing w:val="13"/>
        </w:rPr>
        <w:t xml:space="preserve"> </w:t>
      </w:r>
      <w:r>
        <w:rPr>
          <w:color w:val="231F20"/>
        </w:rPr>
        <w:t>remilitarization</w:t>
      </w:r>
      <w:r>
        <w:rPr>
          <w:color w:val="231F20"/>
          <w:spacing w:val="13"/>
        </w:rPr>
        <w:t xml:space="preserve"> </w:t>
      </w:r>
      <w:r>
        <w:rPr>
          <w:color w:val="231F20"/>
        </w:rPr>
        <w:t>to</w:t>
      </w:r>
      <w:r>
        <w:rPr>
          <w:color w:val="231F20"/>
          <w:spacing w:val="13"/>
        </w:rPr>
        <w:t xml:space="preserve"> </w:t>
      </w:r>
      <w:r>
        <w:rPr>
          <w:color w:val="231F20"/>
        </w:rPr>
        <w:t>be</w:t>
      </w:r>
      <w:r>
        <w:rPr>
          <w:color w:val="231F20"/>
          <w:spacing w:val="13"/>
        </w:rPr>
        <w:t xml:space="preserve"> </w:t>
      </w:r>
      <w:r>
        <w:rPr>
          <w:color w:val="231F20"/>
        </w:rPr>
        <w:t>a</w:t>
      </w:r>
      <w:r>
        <w:rPr>
          <w:color w:val="231F20"/>
          <w:spacing w:val="13"/>
        </w:rPr>
        <w:t xml:space="preserve"> </w:t>
      </w:r>
      <w:r>
        <w:rPr>
          <w:color w:val="231F20"/>
        </w:rPr>
        <w:t>“political</w:t>
      </w:r>
      <w:r>
        <w:rPr>
          <w:color w:val="231F20"/>
          <w:spacing w:val="13"/>
        </w:rPr>
        <w:t xml:space="preserve"> </w:t>
      </w:r>
      <w:r>
        <w:rPr>
          <w:color w:val="231F20"/>
          <w:spacing w:val="-3"/>
        </w:rPr>
        <w:t>necessity.”</w:t>
      </w:r>
      <w:r>
        <w:rPr>
          <w:color w:val="231F20"/>
          <w:spacing w:val="-3"/>
          <w:position w:val="7"/>
          <w:sz w:val="11"/>
        </w:rPr>
        <w:t>3</w:t>
      </w:r>
    </w:p>
    <w:p w14:paraId="28AC2590" w14:textId="77777777" w:rsidR="002653E8" w:rsidRDefault="003115E3">
      <w:pPr>
        <w:pStyle w:val="a3"/>
        <w:spacing w:line="264" w:lineRule="auto"/>
        <w:ind w:left="1147" w:right="1325" w:firstLine="210"/>
        <w:jc w:val="both"/>
        <w:rPr>
          <w:sz w:val="11"/>
        </w:rPr>
      </w:pPr>
      <w:r>
        <w:rPr>
          <w:color w:val="231F20"/>
          <w:w w:val="105"/>
        </w:rPr>
        <w:t xml:space="preserve">For the CDU, rearmament, like the Basic </w:t>
      </w:r>
      <w:r>
        <w:rPr>
          <w:color w:val="231F20"/>
          <w:spacing w:val="-3"/>
          <w:w w:val="105"/>
        </w:rPr>
        <w:t xml:space="preserve">Law, </w:t>
      </w:r>
      <w:r>
        <w:rPr>
          <w:color w:val="231F20"/>
          <w:w w:val="105"/>
        </w:rPr>
        <w:t>was simply part of the</w:t>
      </w:r>
      <w:r>
        <w:rPr>
          <w:color w:val="231F20"/>
          <w:spacing w:val="-5"/>
          <w:w w:val="105"/>
        </w:rPr>
        <w:t xml:space="preserve"> </w:t>
      </w:r>
      <w:r>
        <w:rPr>
          <w:color w:val="231F20"/>
          <w:w w:val="105"/>
        </w:rPr>
        <w:t>Federal</w:t>
      </w:r>
      <w:r>
        <w:rPr>
          <w:color w:val="231F20"/>
          <w:spacing w:val="-5"/>
          <w:w w:val="105"/>
        </w:rPr>
        <w:t xml:space="preserve"> </w:t>
      </w:r>
      <w:r>
        <w:rPr>
          <w:color w:val="231F20"/>
          <w:w w:val="105"/>
        </w:rPr>
        <w:t>Republic</w:t>
      </w:r>
      <w:r>
        <w:rPr>
          <w:color w:val="231F20"/>
          <w:spacing w:val="-5"/>
          <w:w w:val="105"/>
        </w:rPr>
        <w:t xml:space="preserve"> </w:t>
      </w:r>
      <w:r>
        <w:rPr>
          <w:color w:val="231F20"/>
          <w:w w:val="105"/>
        </w:rPr>
        <w:t>acquiring</w:t>
      </w:r>
      <w:r>
        <w:rPr>
          <w:color w:val="231F20"/>
          <w:spacing w:val="-5"/>
          <w:w w:val="105"/>
        </w:rPr>
        <w:t xml:space="preserve"> </w:t>
      </w:r>
      <w:r>
        <w:rPr>
          <w:color w:val="231F20"/>
          <w:w w:val="105"/>
        </w:rPr>
        <w:t>the</w:t>
      </w:r>
      <w:r>
        <w:rPr>
          <w:color w:val="231F20"/>
          <w:spacing w:val="-5"/>
          <w:w w:val="105"/>
        </w:rPr>
        <w:t xml:space="preserve"> </w:t>
      </w:r>
      <w:r>
        <w:rPr>
          <w:color w:val="231F20"/>
          <w:w w:val="105"/>
        </w:rPr>
        <w:t>powers</w:t>
      </w:r>
      <w:r>
        <w:rPr>
          <w:color w:val="231F20"/>
          <w:spacing w:val="-5"/>
          <w:w w:val="105"/>
        </w:rPr>
        <w:t xml:space="preserve"> </w:t>
      </w:r>
      <w:r>
        <w:rPr>
          <w:color w:val="231F20"/>
          <w:w w:val="105"/>
        </w:rPr>
        <w:t>of</w:t>
      </w:r>
      <w:r>
        <w:rPr>
          <w:color w:val="231F20"/>
          <w:spacing w:val="-5"/>
          <w:w w:val="105"/>
        </w:rPr>
        <w:t xml:space="preserve"> </w:t>
      </w:r>
      <w:r>
        <w:rPr>
          <w:color w:val="231F20"/>
          <w:w w:val="105"/>
        </w:rPr>
        <w:t>a</w:t>
      </w:r>
      <w:r>
        <w:rPr>
          <w:color w:val="231F20"/>
          <w:spacing w:val="-5"/>
          <w:w w:val="105"/>
        </w:rPr>
        <w:t xml:space="preserve"> </w:t>
      </w:r>
      <w:r>
        <w:rPr>
          <w:color w:val="231F20"/>
          <w:w w:val="105"/>
        </w:rPr>
        <w:t>“normal”</w:t>
      </w:r>
      <w:r>
        <w:rPr>
          <w:color w:val="231F20"/>
          <w:spacing w:val="-5"/>
          <w:w w:val="105"/>
        </w:rPr>
        <w:t xml:space="preserve"> </w:t>
      </w:r>
      <w:r>
        <w:rPr>
          <w:color w:val="231F20"/>
          <w:w w:val="105"/>
        </w:rPr>
        <w:t>state,</w:t>
      </w:r>
      <w:r>
        <w:rPr>
          <w:color w:val="231F20"/>
          <w:spacing w:val="-5"/>
          <w:w w:val="105"/>
        </w:rPr>
        <w:t xml:space="preserve"> </w:t>
      </w:r>
      <w:r>
        <w:rPr>
          <w:color w:val="231F20"/>
          <w:w w:val="105"/>
        </w:rPr>
        <w:t>part</w:t>
      </w:r>
      <w:r>
        <w:rPr>
          <w:color w:val="231F20"/>
          <w:spacing w:val="-5"/>
          <w:w w:val="105"/>
        </w:rPr>
        <w:t xml:space="preserve"> </w:t>
      </w:r>
      <w:r>
        <w:rPr>
          <w:color w:val="231F20"/>
          <w:w w:val="105"/>
        </w:rPr>
        <w:t xml:space="preserve">of </w:t>
      </w:r>
      <w:r>
        <w:rPr>
          <w:color w:val="231F20"/>
          <w:spacing w:val="-3"/>
          <w:w w:val="105"/>
        </w:rPr>
        <w:t>West</w:t>
      </w:r>
      <w:r>
        <w:rPr>
          <w:color w:val="231F20"/>
          <w:spacing w:val="-19"/>
          <w:w w:val="105"/>
        </w:rPr>
        <w:t xml:space="preserve"> </w:t>
      </w:r>
      <w:r>
        <w:rPr>
          <w:color w:val="231F20"/>
          <w:w w:val="105"/>
        </w:rPr>
        <w:t>Germany’s</w:t>
      </w:r>
      <w:r>
        <w:rPr>
          <w:color w:val="231F20"/>
          <w:spacing w:val="-19"/>
          <w:w w:val="105"/>
        </w:rPr>
        <w:t xml:space="preserve"> </w:t>
      </w:r>
      <w:r>
        <w:rPr>
          <w:color w:val="231F20"/>
          <w:w w:val="105"/>
        </w:rPr>
        <w:t>integration</w:t>
      </w:r>
      <w:r>
        <w:rPr>
          <w:color w:val="231F20"/>
          <w:spacing w:val="-19"/>
          <w:w w:val="105"/>
        </w:rPr>
        <w:t xml:space="preserve"> </w:t>
      </w:r>
      <w:r>
        <w:rPr>
          <w:color w:val="231F20"/>
          <w:w w:val="105"/>
        </w:rPr>
        <w:t>into</w:t>
      </w:r>
      <w:r>
        <w:rPr>
          <w:color w:val="231F20"/>
          <w:spacing w:val="-19"/>
          <w:w w:val="105"/>
        </w:rPr>
        <w:t xml:space="preserve"> </w:t>
      </w:r>
      <w:r>
        <w:rPr>
          <w:color w:val="231F20"/>
          <w:w w:val="105"/>
        </w:rPr>
        <w:t>the</w:t>
      </w:r>
      <w:r>
        <w:rPr>
          <w:color w:val="231F20"/>
          <w:spacing w:val="-19"/>
          <w:w w:val="105"/>
        </w:rPr>
        <w:t xml:space="preserve"> </w:t>
      </w:r>
      <w:r>
        <w:rPr>
          <w:color w:val="231F20"/>
          <w:w w:val="105"/>
        </w:rPr>
        <w:t>imperialist</w:t>
      </w:r>
      <w:r>
        <w:rPr>
          <w:color w:val="231F20"/>
          <w:spacing w:val="-19"/>
          <w:w w:val="105"/>
        </w:rPr>
        <w:t xml:space="preserve"> </w:t>
      </w:r>
      <w:r>
        <w:rPr>
          <w:color w:val="231F20"/>
          <w:w w:val="105"/>
        </w:rPr>
        <w:t>bloc.</w:t>
      </w:r>
      <w:r>
        <w:rPr>
          <w:color w:val="231F20"/>
          <w:spacing w:val="-19"/>
          <w:w w:val="105"/>
        </w:rPr>
        <w:t xml:space="preserve"> </w:t>
      </w:r>
      <w:r>
        <w:rPr>
          <w:color w:val="231F20"/>
          <w:w w:val="105"/>
        </w:rPr>
        <w:t>While</w:t>
      </w:r>
      <w:r>
        <w:rPr>
          <w:color w:val="231F20"/>
          <w:spacing w:val="-19"/>
          <w:w w:val="105"/>
        </w:rPr>
        <w:t xml:space="preserve"> </w:t>
      </w:r>
      <w:r>
        <w:rPr>
          <w:color w:val="231F20"/>
          <w:w w:val="105"/>
        </w:rPr>
        <w:t>there</w:t>
      </w:r>
      <w:r>
        <w:rPr>
          <w:color w:val="231F20"/>
          <w:spacing w:val="-19"/>
          <w:w w:val="105"/>
        </w:rPr>
        <w:t xml:space="preserve"> </w:t>
      </w:r>
      <w:r>
        <w:rPr>
          <w:color w:val="231F20"/>
          <w:w w:val="105"/>
        </w:rPr>
        <w:t>were numerous such state powers bestowed during this period, one</w:t>
      </w:r>
      <w:r>
        <w:rPr>
          <w:color w:val="231F20"/>
          <w:spacing w:val="-24"/>
          <w:w w:val="105"/>
        </w:rPr>
        <w:t xml:space="preserve"> </w:t>
      </w:r>
      <w:r>
        <w:rPr>
          <w:color w:val="231F20"/>
          <w:w w:val="105"/>
        </w:rPr>
        <w:t>which will</w:t>
      </w:r>
      <w:r>
        <w:rPr>
          <w:color w:val="231F20"/>
          <w:spacing w:val="-9"/>
          <w:w w:val="105"/>
        </w:rPr>
        <w:t xml:space="preserve"> </w:t>
      </w:r>
      <w:r>
        <w:rPr>
          <w:color w:val="231F20"/>
          <w:w w:val="105"/>
        </w:rPr>
        <w:t>bear</w:t>
      </w:r>
      <w:r>
        <w:rPr>
          <w:color w:val="231F20"/>
          <w:spacing w:val="-9"/>
          <w:w w:val="105"/>
        </w:rPr>
        <w:t xml:space="preserve"> </w:t>
      </w:r>
      <w:r>
        <w:rPr>
          <w:color w:val="231F20"/>
          <w:w w:val="105"/>
        </w:rPr>
        <w:t>some</w:t>
      </w:r>
      <w:r>
        <w:rPr>
          <w:color w:val="231F20"/>
          <w:spacing w:val="-9"/>
          <w:w w:val="105"/>
        </w:rPr>
        <w:t xml:space="preserve"> </w:t>
      </w:r>
      <w:r>
        <w:rPr>
          <w:color w:val="231F20"/>
          <w:w w:val="105"/>
        </w:rPr>
        <w:t>relevance</w:t>
      </w:r>
      <w:r>
        <w:rPr>
          <w:color w:val="231F20"/>
          <w:spacing w:val="-9"/>
          <w:w w:val="105"/>
        </w:rPr>
        <w:t xml:space="preserve"> </w:t>
      </w:r>
      <w:r>
        <w:rPr>
          <w:color w:val="231F20"/>
          <w:w w:val="105"/>
        </w:rPr>
        <w:t>to</w:t>
      </w:r>
      <w:r>
        <w:rPr>
          <w:color w:val="231F20"/>
          <w:spacing w:val="-9"/>
          <w:w w:val="105"/>
        </w:rPr>
        <w:t xml:space="preserve"> </w:t>
      </w:r>
      <w:r>
        <w:rPr>
          <w:color w:val="231F20"/>
          <w:w w:val="105"/>
        </w:rPr>
        <w:t>our</w:t>
      </w:r>
      <w:r>
        <w:rPr>
          <w:color w:val="231F20"/>
          <w:spacing w:val="-9"/>
          <w:w w:val="105"/>
        </w:rPr>
        <w:t xml:space="preserve"> </w:t>
      </w:r>
      <w:r>
        <w:rPr>
          <w:color w:val="231F20"/>
          <w:w w:val="105"/>
        </w:rPr>
        <w:t>study</w:t>
      </w:r>
      <w:r>
        <w:rPr>
          <w:color w:val="231F20"/>
          <w:spacing w:val="-9"/>
          <w:w w:val="105"/>
        </w:rPr>
        <w:t xml:space="preserve"> </w:t>
      </w:r>
      <w:r>
        <w:rPr>
          <w:color w:val="231F20"/>
          <w:w w:val="105"/>
        </w:rPr>
        <w:t>is</w:t>
      </w:r>
      <w:r>
        <w:rPr>
          <w:color w:val="231F20"/>
          <w:spacing w:val="-9"/>
          <w:w w:val="105"/>
        </w:rPr>
        <w:t xml:space="preserve"> </w:t>
      </w:r>
      <w:r>
        <w:rPr>
          <w:color w:val="231F20"/>
          <w:w w:val="105"/>
        </w:rPr>
        <w:t>the</w:t>
      </w:r>
      <w:r>
        <w:rPr>
          <w:color w:val="231F20"/>
          <w:spacing w:val="-8"/>
          <w:w w:val="105"/>
        </w:rPr>
        <w:t xml:space="preserve"> </w:t>
      </w:r>
      <w:r>
        <w:rPr>
          <w:color w:val="231F20"/>
          <w:spacing w:val="-7"/>
          <w:w w:val="105"/>
        </w:rPr>
        <w:t>1951</w:t>
      </w:r>
      <w:r>
        <w:rPr>
          <w:color w:val="231F20"/>
          <w:spacing w:val="-9"/>
          <w:w w:val="105"/>
        </w:rPr>
        <w:t xml:space="preserve"> </w:t>
      </w:r>
      <w:r>
        <w:rPr>
          <w:color w:val="231F20"/>
          <w:w w:val="105"/>
        </w:rPr>
        <w:t>establishment</w:t>
      </w:r>
      <w:r>
        <w:rPr>
          <w:color w:val="231F20"/>
          <w:spacing w:val="-9"/>
          <w:w w:val="105"/>
        </w:rPr>
        <w:t xml:space="preserve"> </w:t>
      </w:r>
      <w:r>
        <w:rPr>
          <w:color w:val="231F20"/>
          <w:w w:val="105"/>
        </w:rPr>
        <w:t>of</w:t>
      </w:r>
      <w:r>
        <w:rPr>
          <w:color w:val="231F20"/>
          <w:spacing w:val="-9"/>
          <w:w w:val="105"/>
        </w:rPr>
        <w:t xml:space="preserve"> </w:t>
      </w:r>
      <w:r>
        <w:rPr>
          <w:color w:val="231F20"/>
          <w:w w:val="105"/>
        </w:rPr>
        <w:t xml:space="preserve">the </w:t>
      </w:r>
      <w:r>
        <w:rPr>
          <w:i/>
          <w:color w:val="231F20"/>
          <w:w w:val="105"/>
        </w:rPr>
        <w:t>Bundesgrenzschutz</w:t>
      </w:r>
      <w:r>
        <w:rPr>
          <w:color w:val="231F20"/>
          <w:w w:val="105"/>
        </w:rPr>
        <w:t>,</w:t>
      </w:r>
      <w:r>
        <w:rPr>
          <w:color w:val="231F20"/>
          <w:spacing w:val="-9"/>
          <w:w w:val="105"/>
        </w:rPr>
        <w:t xml:space="preserve"> </w:t>
      </w:r>
      <w:r>
        <w:rPr>
          <w:color w:val="231F20"/>
          <w:w w:val="105"/>
        </w:rPr>
        <w:t>the</w:t>
      </w:r>
      <w:r>
        <w:rPr>
          <w:color w:val="231F20"/>
          <w:spacing w:val="-9"/>
          <w:w w:val="105"/>
        </w:rPr>
        <w:t xml:space="preserve"> </w:t>
      </w:r>
      <w:r>
        <w:rPr>
          <w:color w:val="231F20"/>
          <w:w w:val="105"/>
        </w:rPr>
        <w:t>Federal</w:t>
      </w:r>
      <w:r>
        <w:rPr>
          <w:color w:val="231F20"/>
          <w:spacing w:val="-9"/>
          <w:w w:val="105"/>
        </w:rPr>
        <w:t xml:space="preserve"> </w:t>
      </w:r>
      <w:r>
        <w:rPr>
          <w:color w:val="231F20"/>
          <w:w w:val="105"/>
        </w:rPr>
        <w:t>Border</w:t>
      </w:r>
      <w:r>
        <w:rPr>
          <w:color w:val="231F20"/>
          <w:spacing w:val="-9"/>
          <w:w w:val="105"/>
        </w:rPr>
        <w:t xml:space="preserve"> </w:t>
      </w:r>
      <w:r>
        <w:rPr>
          <w:color w:val="231F20"/>
          <w:w w:val="105"/>
        </w:rPr>
        <w:t>Guard,</w:t>
      </w:r>
      <w:r>
        <w:rPr>
          <w:color w:val="231F20"/>
          <w:spacing w:val="-9"/>
          <w:w w:val="105"/>
        </w:rPr>
        <w:t xml:space="preserve"> </w:t>
      </w:r>
      <w:r>
        <w:rPr>
          <w:color w:val="231F20"/>
          <w:w w:val="105"/>
        </w:rPr>
        <w:t>also</w:t>
      </w:r>
      <w:r>
        <w:rPr>
          <w:color w:val="231F20"/>
          <w:spacing w:val="-9"/>
          <w:w w:val="105"/>
        </w:rPr>
        <w:t xml:space="preserve"> </w:t>
      </w:r>
      <w:r>
        <w:rPr>
          <w:color w:val="231F20"/>
          <w:w w:val="105"/>
        </w:rPr>
        <w:t>known</w:t>
      </w:r>
      <w:r>
        <w:rPr>
          <w:color w:val="231F20"/>
          <w:spacing w:val="-9"/>
          <w:w w:val="105"/>
        </w:rPr>
        <w:t xml:space="preserve"> </w:t>
      </w:r>
      <w:r>
        <w:rPr>
          <w:color w:val="231F20"/>
          <w:w w:val="105"/>
        </w:rPr>
        <w:t>as</w:t>
      </w:r>
      <w:r>
        <w:rPr>
          <w:color w:val="231F20"/>
          <w:spacing w:val="-9"/>
          <w:w w:val="105"/>
        </w:rPr>
        <w:t xml:space="preserve"> </w:t>
      </w:r>
      <w:r>
        <w:rPr>
          <w:color w:val="231F20"/>
          <w:w w:val="105"/>
        </w:rPr>
        <w:t>the</w:t>
      </w:r>
      <w:r>
        <w:rPr>
          <w:color w:val="231F20"/>
          <w:spacing w:val="-9"/>
          <w:w w:val="105"/>
        </w:rPr>
        <w:t xml:space="preserve"> </w:t>
      </w:r>
      <w:r>
        <w:rPr>
          <w:color w:val="231F20"/>
          <w:spacing w:val="1"/>
          <w:w w:val="105"/>
        </w:rPr>
        <w:t xml:space="preserve">BGS. </w:t>
      </w:r>
      <w:r>
        <w:rPr>
          <w:color w:val="231F20"/>
          <w:w w:val="105"/>
        </w:rPr>
        <w:t xml:space="preserve">Under the jurisdiction of the Federal </w:t>
      </w:r>
      <w:r>
        <w:rPr>
          <w:color w:val="231F20"/>
          <w:spacing w:val="1"/>
          <w:w w:val="105"/>
        </w:rPr>
        <w:t xml:space="preserve">Ministry </w:t>
      </w:r>
      <w:r>
        <w:rPr>
          <w:color w:val="231F20"/>
          <w:w w:val="105"/>
        </w:rPr>
        <w:t>of the Interior, the</w:t>
      </w:r>
      <w:r>
        <w:rPr>
          <w:color w:val="231F20"/>
          <w:spacing w:val="-29"/>
          <w:w w:val="105"/>
        </w:rPr>
        <w:t xml:space="preserve"> </w:t>
      </w:r>
      <w:r>
        <w:rPr>
          <w:color w:val="231F20"/>
          <w:w w:val="105"/>
        </w:rPr>
        <w:t xml:space="preserve">BGS was initially a paramilitary force of 10,000, its activity restricted “to the border area ‘to a depth of </w:t>
      </w:r>
      <w:r>
        <w:rPr>
          <w:color w:val="231F20"/>
          <w:spacing w:val="2"/>
          <w:w w:val="105"/>
        </w:rPr>
        <w:t>thirty</w:t>
      </w:r>
      <w:r>
        <w:rPr>
          <w:color w:val="231F20"/>
          <w:spacing w:val="35"/>
          <w:w w:val="105"/>
        </w:rPr>
        <w:t xml:space="preserve"> </w:t>
      </w:r>
      <w:r>
        <w:rPr>
          <w:color w:val="231F20"/>
          <w:w w:val="105"/>
        </w:rPr>
        <w:t>kilometres.”</w:t>
      </w:r>
      <w:r>
        <w:rPr>
          <w:color w:val="231F20"/>
          <w:w w:val="105"/>
          <w:position w:val="7"/>
          <w:sz w:val="11"/>
        </w:rPr>
        <w:t>4</w:t>
      </w:r>
    </w:p>
    <w:p w14:paraId="6F29D88E" w14:textId="77777777" w:rsidR="002653E8" w:rsidRDefault="003115E3">
      <w:pPr>
        <w:pStyle w:val="a3"/>
        <w:spacing w:line="264" w:lineRule="auto"/>
        <w:ind w:left="1147" w:right="1326" w:firstLine="210"/>
        <w:jc w:val="both"/>
      </w:pPr>
      <w:r>
        <w:rPr>
          <w:color w:val="231F20"/>
        </w:rPr>
        <w:t>In 1951, most leftists had feared that the BGS was a roundabout way to establish a standing army. As we have seen, such a ploy did not prove necessary (although many border guards would be integrated into the new armed forces). Rather, the Border Guard would eventually serve as the basis for a national semi-militarized police force.</w:t>
      </w:r>
    </w:p>
    <w:p w14:paraId="3365B839" w14:textId="77777777" w:rsidR="002653E8" w:rsidRDefault="003115E3">
      <w:pPr>
        <w:pStyle w:val="a3"/>
        <w:spacing w:line="264" w:lineRule="auto"/>
        <w:ind w:left="1147" w:right="1325" w:firstLine="210"/>
        <w:jc w:val="both"/>
      </w:pPr>
      <w:r>
        <w:rPr>
          <w:color w:val="231F20"/>
          <w:w w:val="105"/>
        </w:rPr>
        <w:t>Despite these discouraging beginnings, antimilitary sentiment remained</w:t>
      </w:r>
      <w:r>
        <w:rPr>
          <w:color w:val="231F20"/>
          <w:spacing w:val="-14"/>
          <w:w w:val="105"/>
        </w:rPr>
        <w:t xml:space="preserve"> </w:t>
      </w:r>
      <w:r>
        <w:rPr>
          <w:color w:val="231F20"/>
          <w:w w:val="105"/>
        </w:rPr>
        <w:t>high,</w:t>
      </w:r>
      <w:r>
        <w:rPr>
          <w:color w:val="231F20"/>
          <w:spacing w:val="-14"/>
          <w:w w:val="105"/>
        </w:rPr>
        <w:t xml:space="preserve"> </w:t>
      </w:r>
      <w:r>
        <w:rPr>
          <w:color w:val="231F20"/>
          <w:w w:val="105"/>
        </w:rPr>
        <w:t>and</w:t>
      </w:r>
      <w:r>
        <w:rPr>
          <w:color w:val="231F20"/>
          <w:spacing w:val="-14"/>
          <w:w w:val="105"/>
        </w:rPr>
        <w:t xml:space="preserve"> </w:t>
      </w:r>
      <w:r>
        <w:rPr>
          <w:color w:val="231F20"/>
          <w:w w:val="105"/>
        </w:rPr>
        <w:t>when,</w:t>
      </w:r>
      <w:r>
        <w:rPr>
          <w:color w:val="231F20"/>
          <w:spacing w:val="-14"/>
          <w:w w:val="105"/>
        </w:rPr>
        <w:t xml:space="preserve"> </w:t>
      </w:r>
      <w:r>
        <w:rPr>
          <w:color w:val="231F20"/>
          <w:w w:val="105"/>
        </w:rPr>
        <w:t>in</w:t>
      </w:r>
      <w:r>
        <w:rPr>
          <w:color w:val="231F20"/>
          <w:spacing w:val="-14"/>
          <w:w w:val="105"/>
        </w:rPr>
        <w:t xml:space="preserve"> </w:t>
      </w:r>
      <w:r>
        <w:rPr>
          <w:color w:val="231F20"/>
          <w:spacing w:val="-6"/>
          <w:w w:val="105"/>
        </w:rPr>
        <w:t>1956,</w:t>
      </w:r>
      <w:r>
        <w:rPr>
          <w:color w:val="231F20"/>
          <w:spacing w:val="-14"/>
          <w:w w:val="105"/>
        </w:rPr>
        <w:t xml:space="preserve"> </w:t>
      </w:r>
      <w:r>
        <w:rPr>
          <w:color w:val="231F20"/>
          <w:w w:val="105"/>
        </w:rPr>
        <w:t>the</w:t>
      </w:r>
      <w:r>
        <w:rPr>
          <w:color w:val="231F20"/>
          <w:spacing w:val="-14"/>
          <w:w w:val="105"/>
        </w:rPr>
        <w:t xml:space="preserve"> </w:t>
      </w:r>
      <w:r>
        <w:rPr>
          <w:color w:val="231F20"/>
          <w:w w:val="105"/>
        </w:rPr>
        <w:t>Adenauer</w:t>
      </w:r>
      <w:r>
        <w:rPr>
          <w:color w:val="231F20"/>
          <w:spacing w:val="-14"/>
          <w:w w:val="105"/>
        </w:rPr>
        <w:t xml:space="preserve"> </w:t>
      </w:r>
      <w:r>
        <w:rPr>
          <w:color w:val="231F20"/>
          <w:w w:val="105"/>
        </w:rPr>
        <w:t>government</w:t>
      </w:r>
      <w:r>
        <w:rPr>
          <w:color w:val="231F20"/>
          <w:spacing w:val="-14"/>
          <w:w w:val="105"/>
        </w:rPr>
        <w:t xml:space="preserve"> </w:t>
      </w:r>
      <w:r>
        <w:rPr>
          <w:color w:val="231F20"/>
          <w:w w:val="105"/>
        </w:rPr>
        <w:t>responded favorably</w:t>
      </w:r>
      <w:r>
        <w:rPr>
          <w:color w:val="231F20"/>
          <w:spacing w:val="-5"/>
          <w:w w:val="105"/>
        </w:rPr>
        <w:t xml:space="preserve"> </w:t>
      </w:r>
      <w:r>
        <w:rPr>
          <w:color w:val="231F20"/>
          <w:w w:val="105"/>
        </w:rPr>
        <w:t>to</w:t>
      </w:r>
      <w:r>
        <w:rPr>
          <w:color w:val="231F20"/>
          <w:spacing w:val="-5"/>
          <w:w w:val="105"/>
        </w:rPr>
        <w:t xml:space="preserve"> </w:t>
      </w:r>
      <w:r>
        <w:rPr>
          <w:color w:val="231F20"/>
          <w:w w:val="105"/>
        </w:rPr>
        <w:t>a</w:t>
      </w:r>
      <w:r>
        <w:rPr>
          <w:color w:val="231F20"/>
          <w:spacing w:val="-5"/>
          <w:w w:val="105"/>
        </w:rPr>
        <w:t xml:space="preserve"> </w:t>
      </w:r>
      <w:r>
        <w:rPr>
          <w:color w:val="231F20"/>
          <w:spacing w:val="1"/>
          <w:w w:val="105"/>
        </w:rPr>
        <w:t>U.S.</w:t>
      </w:r>
      <w:r>
        <w:rPr>
          <w:color w:val="231F20"/>
          <w:spacing w:val="-5"/>
          <w:w w:val="105"/>
        </w:rPr>
        <w:t xml:space="preserve"> </w:t>
      </w:r>
      <w:r>
        <w:rPr>
          <w:color w:val="231F20"/>
          <w:w w:val="105"/>
        </w:rPr>
        <w:t>“offer”</w:t>
      </w:r>
      <w:r>
        <w:rPr>
          <w:color w:val="231F20"/>
          <w:spacing w:val="-5"/>
          <w:w w:val="105"/>
        </w:rPr>
        <w:t xml:space="preserve"> </w:t>
      </w:r>
      <w:r>
        <w:rPr>
          <w:color w:val="231F20"/>
          <w:w w:val="105"/>
        </w:rPr>
        <w:t>of</w:t>
      </w:r>
      <w:r>
        <w:rPr>
          <w:color w:val="231F20"/>
          <w:spacing w:val="-5"/>
          <w:w w:val="105"/>
        </w:rPr>
        <w:t xml:space="preserve"> </w:t>
      </w:r>
      <w:r>
        <w:rPr>
          <w:color w:val="231F20"/>
          <w:w w:val="105"/>
        </w:rPr>
        <w:t>tactical</w:t>
      </w:r>
      <w:r>
        <w:rPr>
          <w:color w:val="231F20"/>
          <w:spacing w:val="-5"/>
          <w:w w:val="105"/>
        </w:rPr>
        <w:t xml:space="preserve"> </w:t>
      </w:r>
      <w:r>
        <w:rPr>
          <w:color w:val="231F20"/>
          <w:w w:val="105"/>
        </w:rPr>
        <w:t>nuclear</w:t>
      </w:r>
      <w:r>
        <w:rPr>
          <w:color w:val="231F20"/>
          <w:spacing w:val="-5"/>
          <w:w w:val="105"/>
        </w:rPr>
        <w:t xml:space="preserve"> </w:t>
      </w:r>
      <w:r>
        <w:rPr>
          <w:color w:val="231F20"/>
          <w:w w:val="105"/>
        </w:rPr>
        <w:t>weapons,</w:t>
      </w:r>
      <w:r>
        <w:rPr>
          <w:color w:val="231F20"/>
          <w:spacing w:val="-5"/>
          <w:w w:val="105"/>
        </w:rPr>
        <w:t xml:space="preserve"> </w:t>
      </w:r>
      <w:r>
        <w:rPr>
          <w:color w:val="231F20"/>
          <w:w w:val="105"/>
        </w:rPr>
        <w:t>this</w:t>
      </w:r>
      <w:r>
        <w:rPr>
          <w:color w:val="231F20"/>
          <w:spacing w:val="-5"/>
          <w:w w:val="105"/>
        </w:rPr>
        <w:t xml:space="preserve"> </w:t>
      </w:r>
      <w:r>
        <w:rPr>
          <w:color w:val="231F20"/>
          <w:w w:val="105"/>
        </w:rPr>
        <w:t>set</w:t>
      </w:r>
      <w:r>
        <w:rPr>
          <w:color w:val="231F20"/>
          <w:spacing w:val="-5"/>
          <w:w w:val="105"/>
        </w:rPr>
        <w:t xml:space="preserve"> </w:t>
      </w:r>
      <w:r>
        <w:rPr>
          <w:color w:val="231F20"/>
          <w:w w:val="105"/>
        </w:rPr>
        <w:t>off</w:t>
      </w:r>
      <w:r>
        <w:rPr>
          <w:color w:val="231F20"/>
          <w:spacing w:val="-5"/>
          <w:w w:val="105"/>
        </w:rPr>
        <w:t xml:space="preserve"> </w:t>
      </w:r>
      <w:r>
        <w:rPr>
          <w:color w:val="231F20"/>
          <w:w w:val="105"/>
        </w:rPr>
        <w:t>a</w:t>
      </w:r>
      <w:r>
        <w:rPr>
          <w:color w:val="231F20"/>
          <w:spacing w:val="-5"/>
          <w:w w:val="105"/>
        </w:rPr>
        <w:t xml:space="preserve"> </w:t>
      </w:r>
      <w:r>
        <w:rPr>
          <w:color w:val="231F20"/>
          <w:w w:val="105"/>
        </w:rPr>
        <w:t>series</w:t>
      </w:r>
      <w:r>
        <w:rPr>
          <w:color w:val="231F20"/>
          <w:spacing w:val="-29"/>
          <w:w w:val="105"/>
        </w:rPr>
        <w:t xml:space="preserve"> </w:t>
      </w:r>
      <w:r>
        <w:rPr>
          <w:color w:val="231F20"/>
          <w:w w:val="105"/>
        </w:rPr>
        <w:t>of</w:t>
      </w:r>
      <w:r>
        <w:rPr>
          <w:color w:val="231F20"/>
          <w:spacing w:val="-29"/>
          <w:w w:val="105"/>
        </w:rPr>
        <w:t xml:space="preserve"> </w:t>
      </w:r>
      <w:r>
        <w:rPr>
          <w:color w:val="231F20"/>
          <w:w w:val="105"/>
        </w:rPr>
        <w:t>spontaneous</w:t>
      </w:r>
      <w:r>
        <w:rPr>
          <w:color w:val="231F20"/>
          <w:spacing w:val="-29"/>
          <w:w w:val="105"/>
        </w:rPr>
        <w:t xml:space="preserve"> </w:t>
      </w:r>
      <w:r>
        <w:rPr>
          <w:color w:val="231F20"/>
          <w:w w:val="105"/>
        </w:rPr>
        <w:t>mobilizations</w:t>
      </w:r>
      <w:r>
        <w:rPr>
          <w:color w:val="231F20"/>
          <w:spacing w:val="-29"/>
          <w:w w:val="105"/>
        </w:rPr>
        <w:t xml:space="preserve"> </w:t>
      </w:r>
      <w:r>
        <w:rPr>
          <w:color w:val="231F20"/>
          <w:w w:val="105"/>
        </w:rPr>
        <w:t>across</w:t>
      </w:r>
      <w:r>
        <w:rPr>
          <w:color w:val="231F20"/>
          <w:spacing w:val="-29"/>
          <w:w w:val="105"/>
        </w:rPr>
        <w:t xml:space="preserve"> </w:t>
      </w:r>
      <w:r>
        <w:rPr>
          <w:color w:val="231F20"/>
          <w:w w:val="105"/>
        </w:rPr>
        <w:t>the</w:t>
      </w:r>
      <w:r>
        <w:rPr>
          <w:color w:val="231F20"/>
          <w:spacing w:val="-29"/>
          <w:w w:val="105"/>
        </w:rPr>
        <w:t xml:space="preserve"> </w:t>
      </w:r>
      <w:r>
        <w:rPr>
          <w:color w:val="231F20"/>
          <w:w w:val="105"/>
        </w:rPr>
        <w:t>country.</w:t>
      </w:r>
      <w:r>
        <w:rPr>
          <w:color w:val="231F20"/>
          <w:spacing w:val="-29"/>
          <w:w w:val="105"/>
        </w:rPr>
        <w:t xml:space="preserve"> </w:t>
      </w:r>
      <w:r>
        <w:rPr>
          <w:color w:val="231F20"/>
          <w:spacing w:val="1"/>
          <w:w w:val="105"/>
        </w:rPr>
        <w:t>In</w:t>
      </w:r>
      <w:r>
        <w:rPr>
          <w:color w:val="231F20"/>
          <w:spacing w:val="-29"/>
          <w:w w:val="105"/>
        </w:rPr>
        <w:t xml:space="preserve"> </w:t>
      </w:r>
      <w:r>
        <w:rPr>
          <w:color w:val="231F20"/>
          <w:spacing w:val="-8"/>
          <w:w w:val="105"/>
        </w:rPr>
        <w:t>1957,</w:t>
      </w:r>
      <w:r>
        <w:rPr>
          <w:color w:val="231F20"/>
          <w:spacing w:val="-29"/>
          <w:w w:val="105"/>
        </w:rPr>
        <w:t xml:space="preserve"> </w:t>
      </w:r>
      <w:r>
        <w:rPr>
          <w:color w:val="231F20"/>
          <w:w w:val="105"/>
        </w:rPr>
        <w:t>members of</w:t>
      </w:r>
      <w:r>
        <w:rPr>
          <w:color w:val="231F20"/>
          <w:spacing w:val="-16"/>
          <w:w w:val="105"/>
        </w:rPr>
        <w:t xml:space="preserve"> </w:t>
      </w:r>
      <w:r>
        <w:rPr>
          <w:color w:val="231F20"/>
          <w:spacing w:val="-3"/>
          <w:w w:val="105"/>
        </w:rPr>
        <w:t>West</w:t>
      </w:r>
      <w:r>
        <w:rPr>
          <w:color w:val="231F20"/>
          <w:spacing w:val="-16"/>
          <w:w w:val="105"/>
        </w:rPr>
        <w:t xml:space="preserve"> </w:t>
      </w:r>
      <w:r>
        <w:rPr>
          <w:color w:val="231F20"/>
          <w:w w:val="105"/>
        </w:rPr>
        <w:t>Germany’s</w:t>
      </w:r>
      <w:r>
        <w:rPr>
          <w:color w:val="231F20"/>
          <w:spacing w:val="-16"/>
          <w:w w:val="105"/>
        </w:rPr>
        <w:t xml:space="preserve"> </w:t>
      </w:r>
      <w:r>
        <w:rPr>
          <w:color w:val="231F20"/>
          <w:w w:val="105"/>
        </w:rPr>
        <w:t>second</w:t>
      </w:r>
      <w:r>
        <w:rPr>
          <w:color w:val="231F20"/>
          <w:spacing w:val="-16"/>
          <w:w w:val="105"/>
        </w:rPr>
        <w:t xml:space="preserve"> </w:t>
      </w:r>
      <w:r>
        <w:rPr>
          <w:color w:val="231F20"/>
          <w:w w:val="105"/>
        </w:rPr>
        <w:t>largest</w:t>
      </w:r>
      <w:r>
        <w:rPr>
          <w:color w:val="231F20"/>
          <w:spacing w:val="-16"/>
          <w:w w:val="105"/>
        </w:rPr>
        <w:t xml:space="preserve"> </w:t>
      </w:r>
      <w:r>
        <w:rPr>
          <w:color w:val="231F20"/>
          <w:w w:val="105"/>
        </w:rPr>
        <w:t>union,</w:t>
      </w:r>
      <w:r>
        <w:rPr>
          <w:color w:val="231F20"/>
          <w:spacing w:val="-16"/>
          <w:w w:val="105"/>
        </w:rPr>
        <w:t xml:space="preserve"> </w:t>
      </w:r>
      <w:r>
        <w:rPr>
          <w:color w:val="231F20"/>
          <w:w w:val="105"/>
        </w:rPr>
        <w:t>the</w:t>
      </w:r>
      <w:r>
        <w:rPr>
          <w:color w:val="231F20"/>
          <w:spacing w:val="-16"/>
          <w:w w:val="105"/>
        </w:rPr>
        <w:t xml:space="preserve"> </w:t>
      </w:r>
      <w:r>
        <w:rPr>
          <w:color w:val="231F20"/>
          <w:w w:val="105"/>
        </w:rPr>
        <w:t>Public</w:t>
      </w:r>
      <w:r>
        <w:rPr>
          <w:color w:val="231F20"/>
          <w:spacing w:val="-16"/>
          <w:w w:val="105"/>
        </w:rPr>
        <w:t xml:space="preserve"> </w:t>
      </w:r>
      <w:r>
        <w:rPr>
          <w:color w:val="231F20"/>
          <w:w w:val="105"/>
        </w:rPr>
        <w:t>Service,</w:t>
      </w:r>
      <w:r>
        <w:rPr>
          <w:color w:val="231F20"/>
          <w:spacing w:val="-16"/>
          <w:w w:val="105"/>
        </w:rPr>
        <w:t xml:space="preserve"> </w:t>
      </w:r>
      <w:r>
        <w:rPr>
          <w:color w:val="231F20"/>
          <w:w w:val="105"/>
        </w:rPr>
        <w:t xml:space="preserve">Transport, and Communication Union (öTV) voted </w:t>
      </w:r>
      <w:r>
        <w:rPr>
          <w:color w:val="231F20"/>
          <w:spacing w:val="-4"/>
          <w:w w:val="105"/>
        </w:rPr>
        <w:t>94.9</w:t>
      </w:r>
      <w:r>
        <w:rPr>
          <w:color w:val="231F20"/>
          <w:spacing w:val="-4"/>
          <w:w w:val="105"/>
          <w:sz w:val="16"/>
        </w:rPr>
        <w:t xml:space="preserve">% </w:t>
      </w:r>
      <w:r>
        <w:rPr>
          <w:color w:val="231F20"/>
          <w:w w:val="105"/>
        </w:rPr>
        <w:t>in favor of a strike against nuclear armament, a call which was echoed by the president of</w:t>
      </w:r>
      <w:r>
        <w:rPr>
          <w:color w:val="231F20"/>
          <w:spacing w:val="23"/>
          <w:w w:val="105"/>
        </w:rPr>
        <w:t xml:space="preserve"> </w:t>
      </w:r>
      <w:r>
        <w:rPr>
          <w:color w:val="231F20"/>
          <w:w w:val="105"/>
        </w:rPr>
        <w:t>the</w:t>
      </w:r>
      <w:r>
        <w:rPr>
          <w:color w:val="231F20"/>
          <w:spacing w:val="23"/>
          <w:w w:val="105"/>
        </w:rPr>
        <w:t xml:space="preserve"> </w:t>
      </w:r>
      <w:r>
        <w:rPr>
          <w:color w:val="231F20"/>
          <w:w w:val="105"/>
        </w:rPr>
        <w:t>powerful</w:t>
      </w:r>
      <w:r>
        <w:rPr>
          <w:color w:val="231F20"/>
          <w:spacing w:val="25"/>
          <w:w w:val="105"/>
        </w:rPr>
        <w:t xml:space="preserve"> </w:t>
      </w:r>
      <w:r>
        <w:rPr>
          <w:color w:val="231F20"/>
          <w:w w:val="105"/>
        </w:rPr>
        <w:t>IG</w:t>
      </w:r>
      <w:r>
        <w:rPr>
          <w:color w:val="231F20"/>
          <w:spacing w:val="23"/>
          <w:w w:val="105"/>
        </w:rPr>
        <w:t xml:space="preserve"> </w:t>
      </w:r>
      <w:r>
        <w:rPr>
          <w:color w:val="231F20"/>
          <w:w w:val="105"/>
        </w:rPr>
        <w:t>Metall</w:t>
      </w:r>
      <w:r>
        <w:rPr>
          <w:color w:val="231F20"/>
          <w:spacing w:val="23"/>
          <w:w w:val="105"/>
        </w:rPr>
        <w:t xml:space="preserve"> </w:t>
      </w:r>
      <w:r>
        <w:rPr>
          <w:color w:val="231F20"/>
          <w:w w:val="105"/>
        </w:rPr>
        <w:t>trade</w:t>
      </w:r>
      <w:r>
        <w:rPr>
          <w:color w:val="231F20"/>
          <w:spacing w:val="23"/>
          <w:w w:val="105"/>
        </w:rPr>
        <w:t xml:space="preserve"> </w:t>
      </w:r>
      <w:r>
        <w:rPr>
          <w:color w:val="231F20"/>
          <w:w w:val="105"/>
        </w:rPr>
        <w:t>union.</w:t>
      </w:r>
      <w:r>
        <w:rPr>
          <w:color w:val="231F20"/>
          <w:spacing w:val="23"/>
          <w:w w:val="105"/>
        </w:rPr>
        <w:t xml:space="preserve"> </w:t>
      </w:r>
      <w:r>
        <w:rPr>
          <w:color w:val="231F20"/>
          <w:spacing w:val="1"/>
          <w:w w:val="105"/>
        </w:rPr>
        <w:t>In</w:t>
      </w:r>
      <w:r>
        <w:rPr>
          <w:color w:val="231F20"/>
          <w:spacing w:val="23"/>
          <w:w w:val="105"/>
        </w:rPr>
        <w:t xml:space="preserve"> </w:t>
      </w:r>
      <w:r>
        <w:rPr>
          <w:color w:val="231F20"/>
          <w:w w:val="105"/>
        </w:rPr>
        <w:t>Hannover,</w:t>
      </w:r>
      <w:r>
        <w:rPr>
          <w:color w:val="231F20"/>
          <w:spacing w:val="25"/>
          <w:w w:val="105"/>
        </w:rPr>
        <w:t xml:space="preserve"> </w:t>
      </w:r>
      <w:r>
        <w:rPr>
          <w:color w:val="231F20"/>
          <w:w w:val="105"/>
        </w:rPr>
        <w:t>40,000</w:t>
      </w:r>
      <w:r>
        <w:rPr>
          <w:color w:val="231F20"/>
          <w:spacing w:val="23"/>
          <w:w w:val="105"/>
        </w:rPr>
        <w:t xml:space="preserve"> </w:t>
      </w:r>
      <w:r>
        <w:rPr>
          <w:color w:val="231F20"/>
          <w:w w:val="105"/>
        </w:rPr>
        <w:t>people</w:t>
      </w:r>
    </w:p>
    <w:p w14:paraId="60592744" w14:textId="77777777" w:rsidR="002653E8" w:rsidRDefault="00000000">
      <w:pPr>
        <w:pStyle w:val="a3"/>
        <w:spacing w:before="10"/>
        <w:rPr>
          <w:sz w:val="21"/>
        </w:rPr>
      </w:pPr>
      <w:r>
        <w:rPr>
          <w:noProof w:val="0"/>
        </w:rPr>
        <w:pict w14:anchorId="59C6503A">
          <v:line id="_x0000_s2693" style="position:absolute;z-index:1840;mso-wrap-distance-left:0;mso-wrap-distance-right:0;mso-position-horizontal-relative:page" from="57.4pt,15.05pt" to="129.4pt,15.05pt" strokecolor="#231f20" strokeweight=".5pt">
            <w10:wrap type="topAndBottom" anchorx="page"/>
          </v:line>
        </w:pict>
      </w:r>
    </w:p>
    <w:p w14:paraId="57443D42" w14:textId="77777777" w:rsidR="002653E8" w:rsidRDefault="003115E3">
      <w:pPr>
        <w:pStyle w:val="a4"/>
        <w:numPr>
          <w:ilvl w:val="0"/>
          <w:numId w:val="187"/>
        </w:numPr>
        <w:tabs>
          <w:tab w:val="left" w:pos="1287"/>
        </w:tabs>
        <w:spacing w:before="53"/>
        <w:ind w:hanging="1"/>
        <w:jc w:val="left"/>
        <w:rPr>
          <w:sz w:val="16"/>
        </w:rPr>
      </w:pPr>
      <w:r>
        <w:rPr>
          <w:color w:val="231F20"/>
          <w:w w:val="110"/>
          <w:sz w:val="16"/>
        </w:rPr>
        <w:t>Hülsberg,</w:t>
      </w:r>
      <w:r>
        <w:rPr>
          <w:color w:val="231F20"/>
          <w:spacing w:val="6"/>
          <w:w w:val="110"/>
          <w:sz w:val="16"/>
        </w:rPr>
        <w:t xml:space="preserve"> </w:t>
      </w:r>
      <w:r>
        <w:rPr>
          <w:color w:val="231F20"/>
          <w:w w:val="110"/>
          <w:sz w:val="16"/>
        </w:rPr>
        <w:t>34.</w:t>
      </w:r>
    </w:p>
    <w:p w14:paraId="6FEEF9D8" w14:textId="77777777" w:rsidR="002653E8" w:rsidRDefault="003115E3">
      <w:pPr>
        <w:pStyle w:val="a4"/>
        <w:numPr>
          <w:ilvl w:val="0"/>
          <w:numId w:val="187"/>
        </w:numPr>
        <w:tabs>
          <w:tab w:val="left" w:pos="1287"/>
        </w:tabs>
        <w:spacing w:before="51"/>
        <w:ind w:left="1286" w:hanging="138"/>
        <w:jc w:val="left"/>
        <w:rPr>
          <w:sz w:val="16"/>
        </w:rPr>
      </w:pPr>
      <w:r>
        <w:rPr>
          <w:color w:val="231F20"/>
          <w:w w:val="110"/>
          <w:sz w:val="16"/>
        </w:rPr>
        <w:t>Hockenos,</w:t>
      </w:r>
      <w:r>
        <w:rPr>
          <w:color w:val="231F20"/>
          <w:spacing w:val="5"/>
          <w:w w:val="110"/>
          <w:sz w:val="16"/>
        </w:rPr>
        <w:t xml:space="preserve"> </w:t>
      </w:r>
      <w:r>
        <w:rPr>
          <w:color w:val="231F20"/>
          <w:w w:val="110"/>
          <w:sz w:val="16"/>
        </w:rPr>
        <w:t>42-3.</w:t>
      </w:r>
    </w:p>
    <w:p w14:paraId="3DF3D0C0" w14:textId="77777777" w:rsidR="002653E8" w:rsidRDefault="003115E3">
      <w:pPr>
        <w:pStyle w:val="a4"/>
        <w:numPr>
          <w:ilvl w:val="0"/>
          <w:numId w:val="187"/>
        </w:numPr>
        <w:tabs>
          <w:tab w:val="left" w:pos="1287"/>
        </w:tabs>
        <w:spacing w:before="52" w:line="254" w:lineRule="auto"/>
        <w:ind w:right="1480" w:firstLine="0"/>
        <w:jc w:val="left"/>
        <w:rPr>
          <w:sz w:val="16"/>
        </w:rPr>
      </w:pPr>
      <w:r>
        <w:rPr>
          <w:color w:val="231F20"/>
          <w:w w:val="110"/>
          <w:sz w:val="16"/>
        </w:rPr>
        <w:t xml:space="preserve">Nick Thomas, </w:t>
      </w:r>
      <w:r>
        <w:rPr>
          <w:i/>
          <w:color w:val="231F20"/>
          <w:w w:val="110"/>
          <w:sz w:val="16"/>
        </w:rPr>
        <w:t xml:space="preserve">Protest </w:t>
      </w:r>
      <w:r>
        <w:rPr>
          <w:i/>
          <w:color w:val="231F20"/>
          <w:spacing w:val="1"/>
          <w:w w:val="110"/>
          <w:sz w:val="16"/>
        </w:rPr>
        <w:t xml:space="preserve">Movements </w:t>
      </w:r>
      <w:r>
        <w:rPr>
          <w:i/>
          <w:color w:val="231F20"/>
          <w:w w:val="110"/>
          <w:sz w:val="16"/>
        </w:rPr>
        <w:t xml:space="preserve">in </w:t>
      </w:r>
      <w:r>
        <w:rPr>
          <w:i/>
          <w:color w:val="231F20"/>
          <w:spacing w:val="1"/>
          <w:w w:val="110"/>
          <w:sz w:val="16"/>
        </w:rPr>
        <w:t xml:space="preserve">1960s </w:t>
      </w:r>
      <w:r>
        <w:rPr>
          <w:i/>
          <w:color w:val="231F20"/>
          <w:w w:val="110"/>
          <w:sz w:val="16"/>
        </w:rPr>
        <w:t xml:space="preserve">West </w:t>
      </w:r>
      <w:r>
        <w:rPr>
          <w:i/>
          <w:color w:val="231F20"/>
          <w:spacing w:val="1"/>
          <w:w w:val="110"/>
          <w:sz w:val="16"/>
        </w:rPr>
        <w:t xml:space="preserve">Germany: </w:t>
      </w:r>
      <w:r>
        <w:rPr>
          <w:i/>
          <w:color w:val="231F20"/>
          <w:w w:val="110"/>
          <w:sz w:val="16"/>
        </w:rPr>
        <w:t xml:space="preserve">A Social History of Dissent </w:t>
      </w:r>
      <w:r>
        <w:rPr>
          <w:i/>
          <w:color w:val="231F20"/>
          <w:spacing w:val="1"/>
          <w:w w:val="110"/>
          <w:sz w:val="16"/>
        </w:rPr>
        <w:t xml:space="preserve">and </w:t>
      </w:r>
      <w:r>
        <w:rPr>
          <w:i/>
          <w:color w:val="231F20"/>
          <w:w w:val="110"/>
          <w:sz w:val="16"/>
        </w:rPr>
        <w:t xml:space="preserve">Democracy </w:t>
      </w:r>
      <w:r>
        <w:rPr>
          <w:color w:val="231F20"/>
          <w:w w:val="110"/>
          <w:sz w:val="16"/>
        </w:rPr>
        <w:t xml:space="preserve">(New </w:t>
      </w:r>
      <w:r>
        <w:rPr>
          <w:color w:val="231F20"/>
          <w:spacing w:val="-3"/>
          <w:w w:val="110"/>
          <w:sz w:val="16"/>
        </w:rPr>
        <w:t xml:space="preserve">york: </w:t>
      </w:r>
      <w:r>
        <w:rPr>
          <w:color w:val="231F20"/>
          <w:w w:val="110"/>
          <w:sz w:val="16"/>
        </w:rPr>
        <w:t>Berg, 2003),</w:t>
      </w:r>
      <w:r>
        <w:rPr>
          <w:color w:val="231F20"/>
          <w:spacing w:val="10"/>
          <w:w w:val="110"/>
          <w:sz w:val="16"/>
        </w:rPr>
        <w:t xml:space="preserve"> </w:t>
      </w:r>
      <w:r>
        <w:rPr>
          <w:color w:val="231F20"/>
          <w:spacing w:val="-4"/>
          <w:w w:val="110"/>
          <w:sz w:val="16"/>
        </w:rPr>
        <w:t>33.</w:t>
      </w:r>
    </w:p>
    <w:p w14:paraId="4D9C2433" w14:textId="77777777" w:rsidR="002653E8" w:rsidRDefault="003115E3">
      <w:pPr>
        <w:pStyle w:val="a4"/>
        <w:numPr>
          <w:ilvl w:val="0"/>
          <w:numId w:val="187"/>
        </w:numPr>
        <w:tabs>
          <w:tab w:val="left" w:pos="1287"/>
        </w:tabs>
        <w:ind w:left="1286"/>
        <w:jc w:val="left"/>
        <w:rPr>
          <w:sz w:val="16"/>
        </w:rPr>
      </w:pPr>
      <w:r>
        <w:rPr>
          <w:color w:val="231F20"/>
          <w:w w:val="115"/>
          <w:sz w:val="16"/>
        </w:rPr>
        <w:t>Cobler,</w:t>
      </w:r>
      <w:r>
        <w:rPr>
          <w:color w:val="231F20"/>
          <w:spacing w:val="3"/>
          <w:w w:val="115"/>
          <w:sz w:val="16"/>
        </w:rPr>
        <w:t xml:space="preserve"> </w:t>
      </w:r>
      <w:r>
        <w:rPr>
          <w:color w:val="231F20"/>
          <w:spacing w:val="-3"/>
          <w:w w:val="115"/>
          <w:sz w:val="16"/>
        </w:rPr>
        <w:t>134.</w:t>
      </w:r>
    </w:p>
    <w:p w14:paraId="7A25992E" w14:textId="77777777" w:rsidR="002653E8" w:rsidRDefault="002653E8">
      <w:pPr>
        <w:rPr>
          <w:sz w:val="16"/>
        </w:rPr>
        <w:sectPr w:rsidR="002653E8">
          <w:pgSz w:w="8640" w:h="12960"/>
          <w:pgMar w:top="1060" w:right="0" w:bottom="1040" w:left="0" w:header="0" w:footer="850" w:gutter="0"/>
          <w:cols w:space="720"/>
        </w:sectPr>
      </w:pPr>
    </w:p>
    <w:p w14:paraId="0F72860E" w14:textId="77777777" w:rsidR="002653E8" w:rsidRDefault="003115E3">
      <w:pPr>
        <w:pStyle w:val="a3"/>
        <w:spacing w:before="86" w:line="264" w:lineRule="auto"/>
        <w:ind w:left="1328" w:right="1145" w:hanging="1"/>
        <w:jc w:val="both"/>
      </w:pPr>
      <w:r>
        <w:rPr>
          <w:color w:val="231F20"/>
        </w:rPr>
        <w:lastRenderedPageBreak/>
        <w:t>demonstrated against nuclear arms, while in Munich there was a turnout of 80,000, and in Hamburg 120,000 people took to the streets.</w:t>
      </w:r>
      <w:r>
        <w:rPr>
          <w:color w:val="231F20"/>
          <w:position w:val="7"/>
          <w:sz w:val="11"/>
        </w:rPr>
        <w:t xml:space="preserve">5 </w:t>
      </w:r>
      <w:r>
        <w:rPr>
          <w:color w:val="231F20"/>
        </w:rPr>
        <w:t>Opinion polls showed 52</w:t>
      </w:r>
      <w:r>
        <w:rPr>
          <w:color w:val="231F20"/>
          <w:sz w:val="16"/>
        </w:rPr>
        <w:t xml:space="preserve">% </w:t>
      </w:r>
      <w:r>
        <w:rPr>
          <w:color w:val="231F20"/>
        </w:rPr>
        <w:t>of the population supporting an antinuclear general strike.</w:t>
      </w:r>
    </w:p>
    <w:p w14:paraId="378D82CE" w14:textId="77777777" w:rsidR="002653E8" w:rsidRDefault="003115E3">
      <w:pPr>
        <w:pStyle w:val="a3"/>
        <w:spacing w:line="264" w:lineRule="auto"/>
        <w:ind w:left="1327" w:right="1146" w:firstLine="210"/>
        <w:jc w:val="both"/>
      </w:pPr>
      <w:r>
        <w:rPr>
          <w:color w:val="231F20"/>
        </w:rPr>
        <w:t xml:space="preserve">The SPD and trade union brass moved to quash this mass movement, which was spinning out of control, by redirecting the campaign </w:t>
      </w:r>
      <w:r>
        <w:rPr>
          <w:color w:val="231F20"/>
          <w:spacing w:val="-3"/>
        </w:rPr>
        <w:t xml:space="preserve">away </w:t>
      </w:r>
      <w:r>
        <w:rPr>
          <w:color w:val="231F20"/>
        </w:rPr>
        <w:t>from the streets and factories and into the ballot boxes, proposing a referendum instead of a general strike. Predictably, the government challenged this referendum proposal before the Constitutional Court, where it was ruled unconstitutional in</w:t>
      </w:r>
      <w:r>
        <w:rPr>
          <w:color w:val="231F20"/>
          <w:spacing w:val="22"/>
        </w:rPr>
        <w:t xml:space="preserve"> </w:t>
      </w:r>
      <w:r>
        <w:rPr>
          <w:color w:val="231F20"/>
          <w:spacing w:val="-7"/>
        </w:rPr>
        <w:t>1958.</w:t>
      </w:r>
    </w:p>
    <w:p w14:paraId="4ADFE9C2" w14:textId="77777777" w:rsidR="002653E8" w:rsidRDefault="003115E3">
      <w:pPr>
        <w:pStyle w:val="a3"/>
        <w:spacing w:line="264" w:lineRule="auto"/>
        <w:ind w:left="1328" w:right="1145" w:firstLine="210"/>
        <w:jc w:val="both"/>
      </w:pPr>
      <w:r>
        <w:rPr>
          <w:color w:val="231F20"/>
        </w:rPr>
        <w:t>The ploy worked, the momentum was broken, and the antinuclear weapons movement entered a period of sharp decline. For years to come, its only visible legacy would be the annual peace demonstrations held every Easter Weekend, the so-called Easter Marches.</w:t>
      </w:r>
    </w:p>
    <w:p w14:paraId="0B1797EA" w14:textId="77777777" w:rsidR="002653E8" w:rsidRDefault="003115E3">
      <w:pPr>
        <w:pStyle w:val="a3"/>
        <w:spacing w:line="264" w:lineRule="auto"/>
        <w:ind w:left="1327" w:right="1145" w:firstLine="210"/>
        <w:jc w:val="both"/>
      </w:pPr>
      <w:r>
        <w:rPr>
          <w:color w:val="231F20"/>
        </w:rPr>
        <w:t xml:space="preserve">Of great relevance to the future history of  the  </w:t>
      </w:r>
      <w:r>
        <w:rPr>
          <w:color w:val="231F20"/>
          <w:spacing w:val="-3"/>
        </w:rPr>
        <w:t xml:space="preserve">West  </w:t>
      </w:r>
      <w:r>
        <w:rPr>
          <w:color w:val="231F20"/>
        </w:rPr>
        <w:t>German  left,  and our story in particular, an important counterpoint to the disreputable machinations of the SPD emerged from its own youth wing: the Socialist German Student Union</w:t>
      </w:r>
      <w:r>
        <w:rPr>
          <w:color w:val="231F20"/>
          <w:spacing w:val="5"/>
        </w:rPr>
        <w:t xml:space="preserve"> </w:t>
      </w:r>
      <w:r>
        <w:rPr>
          <w:color w:val="231F20"/>
          <w:spacing w:val="-3"/>
        </w:rPr>
        <w:t>(SDS).</w:t>
      </w:r>
    </w:p>
    <w:p w14:paraId="232B96B8" w14:textId="77777777" w:rsidR="002653E8" w:rsidRDefault="003115E3">
      <w:pPr>
        <w:pStyle w:val="a3"/>
        <w:spacing w:line="264" w:lineRule="auto"/>
        <w:ind w:left="1328" w:right="1145" w:firstLine="210"/>
        <w:jc w:val="both"/>
      </w:pPr>
      <w:r>
        <w:rPr>
          <w:color w:val="231F20"/>
        </w:rPr>
        <w:t xml:space="preserve">The SDS had been founded in </w:t>
      </w:r>
      <w:r>
        <w:rPr>
          <w:color w:val="231F20"/>
          <w:spacing w:val="-5"/>
        </w:rPr>
        <w:t xml:space="preserve">1946 </w:t>
      </w:r>
      <w:r>
        <w:rPr>
          <w:color w:val="231F20"/>
        </w:rPr>
        <w:t xml:space="preserve">as a training ground from which  to groom the future </w:t>
      </w:r>
      <w:r>
        <w:rPr>
          <w:color w:val="231F20"/>
          <w:spacing w:val="1"/>
        </w:rPr>
        <w:t xml:space="preserve">party </w:t>
      </w:r>
      <w:r>
        <w:rPr>
          <w:color w:val="231F20"/>
        </w:rPr>
        <w:t xml:space="preserve">elite (Helmut Schmidt, </w:t>
      </w:r>
      <w:r>
        <w:rPr>
          <w:color w:val="231F20"/>
          <w:spacing w:val="-3"/>
        </w:rPr>
        <w:t xml:space="preserve">West </w:t>
      </w:r>
      <w:r>
        <w:rPr>
          <w:color w:val="231F20"/>
        </w:rPr>
        <w:t xml:space="preserve">Germany’s future Chancellor, was the </w:t>
      </w:r>
      <w:r>
        <w:rPr>
          <w:color w:val="231F20"/>
          <w:spacing w:val="-3"/>
        </w:rPr>
        <w:t xml:space="preserve">group’s </w:t>
      </w:r>
      <w:r>
        <w:rPr>
          <w:color w:val="231F20"/>
        </w:rPr>
        <w:t xml:space="preserve">first president). </w:t>
      </w:r>
      <w:r>
        <w:rPr>
          <w:color w:val="231F20"/>
          <w:spacing w:val="1"/>
        </w:rPr>
        <w:t xml:space="preserve">In </w:t>
      </w:r>
      <w:r>
        <w:rPr>
          <w:color w:val="231F20"/>
        </w:rPr>
        <w:t xml:space="preserve">the context of the anti-rearmament movement, though, a shift began to occur, and at its </w:t>
      </w:r>
      <w:r>
        <w:rPr>
          <w:color w:val="231F20"/>
          <w:spacing w:val="-7"/>
        </w:rPr>
        <w:t xml:space="preserve">1958 </w:t>
      </w:r>
      <w:r>
        <w:rPr>
          <w:color w:val="231F20"/>
        </w:rPr>
        <w:t>conference, the leadership of the SDS was won by elements significantly</w:t>
      </w:r>
      <w:r>
        <w:rPr>
          <w:color w:val="231F20"/>
          <w:spacing w:val="10"/>
        </w:rPr>
        <w:t xml:space="preserve"> </w:t>
      </w:r>
      <w:r>
        <w:rPr>
          <w:color w:val="231F20"/>
        </w:rPr>
        <w:t>to</w:t>
      </w:r>
      <w:r>
        <w:rPr>
          <w:color w:val="231F20"/>
          <w:spacing w:val="10"/>
        </w:rPr>
        <w:t xml:space="preserve"> </w:t>
      </w:r>
      <w:r>
        <w:rPr>
          <w:color w:val="231F20"/>
        </w:rPr>
        <w:t>the</w:t>
      </w:r>
      <w:r>
        <w:rPr>
          <w:color w:val="231F20"/>
          <w:spacing w:val="10"/>
        </w:rPr>
        <w:t xml:space="preserve"> </w:t>
      </w:r>
      <w:r>
        <w:rPr>
          <w:color w:val="231F20"/>
        </w:rPr>
        <w:t>left</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SPD:</w:t>
      </w:r>
    </w:p>
    <w:p w14:paraId="5A41D8D9" w14:textId="77777777" w:rsidR="002653E8" w:rsidRDefault="003115E3">
      <w:pPr>
        <w:spacing w:before="103" w:line="276" w:lineRule="auto"/>
        <w:ind w:left="1747" w:right="1558"/>
        <w:jc w:val="both"/>
        <w:rPr>
          <w:i/>
          <w:sz w:val="11"/>
        </w:rPr>
      </w:pPr>
      <w:r>
        <w:rPr>
          <w:i/>
          <w:color w:val="231F20"/>
          <w:sz w:val="19"/>
        </w:rPr>
        <w:t>Their main interest was in the development of socialist  policies and, in particular, they wanted to build the campaign against nuclear weapons, a campaign which the SPD had already deserted. The resolutions of the SDS conference  were  a  “declaration  of  war” on the SPD leadership. The SDS first of all developed an anti-imperialist position and demanded the right of national selfdetermination for the Algerians and the withdrawal of French colonial troops. After this there were congresses against nuclear weapons, for democracy and in opposition to militarism. The SPD strongly condemned this</w:t>
      </w:r>
      <w:r>
        <w:rPr>
          <w:i/>
          <w:color w:val="231F20"/>
          <w:spacing w:val="35"/>
          <w:sz w:val="19"/>
        </w:rPr>
        <w:t xml:space="preserve"> </w:t>
      </w:r>
      <w:r>
        <w:rPr>
          <w:i/>
          <w:color w:val="231F20"/>
          <w:sz w:val="19"/>
        </w:rPr>
        <w:t>development.</w:t>
      </w:r>
      <w:r>
        <w:rPr>
          <w:i/>
          <w:color w:val="231F20"/>
          <w:position w:val="6"/>
          <w:sz w:val="11"/>
        </w:rPr>
        <w:t>6</w:t>
      </w:r>
    </w:p>
    <w:p w14:paraId="2B28EC07" w14:textId="77777777" w:rsidR="002653E8" w:rsidRDefault="003115E3">
      <w:pPr>
        <w:pStyle w:val="a3"/>
        <w:spacing w:before="135" w:line="264" w:lineRule="auto"/>
        <w:ind w:left="1327" w:right="1146"/>
        <w:jc w:val="both"/>
      </w:pPr>
      <w:r>
        <w:rPr>
          <w:color w:val="231F20"/>
          <w:spacing w:val="1"/>
        </w:rPr>
        <w:t xml:space="preserve">In </w:t>
      </w:r>
      <w:r>
        <w:rPr>
          <w:color w:val="231F20"/>
        </w:rPr>
        <w:t xml:space="preserve">May of </w:t>
      </w:r>
      <w:r>
        <w:rPr>
          <w:color w:val="231F20"/>
          <w:spacing w:val="-3"/>
        </w:rPr>
        <w:t xml:space="preserve">1960, </w:t>
      </w:r>
      <w:r>
        <w:rPr>
          <w:color w:val="231F20"/>
        </w:rPr>
        <w:t xml:space="preserve">to counter this leftwards </w:t>
      </w:r>
      <w:r>
        <w:rPr>
          <w:color w:val="231F20"/>
          <w:spacing w:val="1"/>
        </w:rPr>
        <w:t xml:space="preserve">drift, </w:t>
      </w:r>
      <w:r>
        <w:rPr>
          <w:color w:val="231F20"/>
        </w:rPr>
        <w:t>students loyal  to  the SPD</w:t>
      </w:r>
      <w:r>
        <w:rPr>
          <w:color w:val="231F20"/>
          <w:spacing w:val="8"/>
        </w:rPr>
        <w:t xml:space="preserve"> </w:t>
      </w:r>
      <w:r>
        <w:rPr>
          <w:color w:val="231F20"/>
        </w:rPr>
        <w:t>leadership</w:t>
      </w:r>
      <w:r>
        <w:rPr>
          <w:color w:val="231F20"/>
          <w:spacing w:val="8"/>
        </w:rPr>
        <w:t xml:space="preserve"> </w:t>
      </w:r>
      <w:r>
        <w:rPr>
          <w:color w:val="231F20"/>
        </w:rPr>
        <w:t>formed</w:t>
      </w:r>
      <w:r>
        <w:rPr>
          <w:color w:val="231F20"/>
          <w:spacing w:val="8"/>
        </w:rPr>
        <w:t xml:space="preserve"> </w:t>
      </w:r>
      <w:r>
        <w:rPr>
          <w:color w:val="231F20"/>
        </w:rPr>
        <w:t>the</w:t>
      </w:r>
      <w:r>
        <w:rPr>
          <w:color w:val="231F20"/>
          <w:spacing w:val="8"/>
        </w:rPr>
        <w:t xml:space="preserve"> </w:t>
      </w:r>
      <w:r>
        <w:rPr>
          <w:color w:val="231F20"/>
        </w:rPr>
        <w:t>Social</w:t>
      </w:r>
      <w:r>
        <w:rPr>
          <w:color w:val="231F20"/>
          <w:spacing w:val="8"/>
        </w:rPr>
        <w:t xml:space="preserve"> </w:t>
      </w:r>
      <w:r>
        <w:rPr>
          <w:color w:val="231F20"/>
        </w:rPr>
        <w:t>Democratic</w:t>
      </w:r>
      <w:r>
        <w:rPr>
          <w:color w:val="231F20"/>
          <w:spacing w:val="8"/>
        </w:rPr>
        <w:t xml:space="preserve"> </w:t>
      </w:r>
      <w:r>
        <w:rPr>
          <w:color w:val="231F20"/>
        </w:rPr>
        <w:t>Student</w:t>
      </w:r>
      <w:r>
        <w:rPr>
          <w:color w:val="231F20"/>
          <w:spacing w:val="8"/>
        </w:rPr>
        <w:t xml:space="preserve"> </w:t>
      </w:r>
      <w:r>
        <w:rPr>
          <w:color w:val="231F20"/>
        </w:rPr>
        <w:t>Union</w:t>
      </w:r>
      <w:r>
        <w:rPr>
          <w:color w:val="231F20"/>
          <w:spacing w:val="8"/>
        </w:rPr>
        <w:t xml:space="preserve"> </w:t>
      </w:r>
      <w:r>
        <w:rPr>
          <w:color w:val="231F20"/>
        </w:rPr>
        <w:t>(SHB).</w:t>
      </w:r>
    </w:p>
    <w:p w14:paraId="5BF3914C" w14:textId="77777777" w:rsidR="002653E8" w:rsidRDefault="00000000">
      <w:pPr>
        <w:pStyle w:val="a3"/>
        <w:spacing w:before="10"/>
        <w:rPr>
          <w:sz w:val="16"/>
        </w:rPr>
      </w:pPr>
      <w:r>
        <w:rPr>
          <w:noProof w:val="0"/>
        </w:rPr>
        <w:pict w14:anchorId="2800B2E3">
          <v:line id="_x0000_s2692" style="position:absolute;z-index:1864;mso-wrap-distance-left:0;mso-wrap-distance-right:0;mso-position-horizontal-relative:page" from="66.4pt,12.1pt" to="138.4pt,12.1pt" strokecolor="#231f20" strokeweight=".5pt">
            <w10:wrap type="topAndBottom" anchorx="page"/>
          </v:line>
        </w:pict>
      </w:r>
    </w:p>
    <w:p w14:paraId="2A19F8C3" w14:textId="77777777" w:rsidR="002653E8" w:rsidRDefault="003115E3">
      <w:pPr>
        <w:pStyle w:val="a4"/>
        <w:numPr>
          <w:ilvl w:val="0"/>
          <w:numId w:val="187"/>
        </w:numPr>
        <w:tabs>
          <w:tab w:val="left" w:pos="1467"/>
        </w:tabs>
        <w:spacing w:before="53"/>
        <w:ind w:left="1466"/>
        <w:jc w:val="left"/>
        <w:rPr>
          <w:sz w:val="16"/>
        </w:rPr>
      </w:pPr>
      <w:r>
        <w:rPr>
          <w:color w:val="231F20"/>
          <w:w w:val="115"/>
          <w:sz w:val="16"/>
        </w:rPr>
        <w:t>Thomas,</w:t>
      </w:r>
      <w:r>
        <w:rPr>
          <w:color w:val="231F20"/>
          <w:spacing w:val="3"/>
          <w:w w:val="115"/>
          <w:sz w:val="16"/>
        </w:rPr>
        <w:t xml:space="preserve"> </w:t>
      </w:r>
      <w:r>
        <w:rPr>
          <w:color w:val="231F20"/>
          <w:spacing w:val="-7"/>
          <w:w w:val="115"/>
          <w:sz w:val="16"/>
        </w:rPr>
        <w:t>35.</w:t>
      </w:r>
    </w:p>
    <w:p w14:paraId="416916C0" w14:textId="77777777" w:rsidR="002653E8" w:rsidRDefault="003115E3">
      <w:pPr>
        <w:pStyle w:val="a4"/>
        <w:numPr>
          <w:ilvl w:val="0"/>
          <w:numId w:val="187"/>
        </w:numPr>
        <w:tabs>
          <w:tab w:val="left" w:pos="1467"/>
        </w:tabs>
        <w:spacing w:before="51"/>
        <w:ind w:left="1466"/>
        <w:jc w:val="left"/>
        <w:rPr>
          <w:sz w:val="16"/>
        </w:rPr>
      </w:pPr>
      <w:r>
        <w:rPr>
          <w:color w:val="231F20"/>
          <w:w w:val="110"/>
          <w:sz w:val="16"/>
        </w:rPr>
        <w:t>Hülsberg,</w:t>
      </w:r>
      <w:r>
        <w:rPr>
          <w:color w:val="231F20"/>
          <w:spacing w:val="6"/>
          <w:w w:val="110"/>
          <w:sz w:val="16"/>
        </w:rPr>
        <w:t xml:space="preserve"> </w:t>
      </w:r>
      <w:r>
        <w:rPr>
          <w:color w:val="231F20"/>
          <w:spacing w:val="-3"/>
          <w:w w:val="110"/>
          <w:sz w:val="16"/>
        </w:rPr>
        <w:t>38.</w:t>
      </w:r>
    </w:p>
    <w:p w14:paraId="779A8948" w14:textId="77777777" w:rsidR="002653E8" w:rsidRDefault="002653E8">
      <w:pPr>
        <w:rPr>
          <w:sz w:val="16"/>
        </w:rPr>
        <w:sectPr w:rsidR="002653E8">
          <w:pgSz w:w="8640" w:h="12960"/>
          <w:pgMar w:top="1060" w:right="0" w:bottom="1040" w:left="0" w:header="0" w:footer="850" w:gutter="0"/>
          <w:cols w:space="720"/>
        </w:sectPr>
      </w:pPr>
    </w:p>
    <w:p w14:paraId="7E917E92" w14:textId="77777777" w:rsidR="002653E8" w:rsidRDefault="003115E3">
      <w:pPr>
        <w:pStyle w:val="a3"/>
        <w:spacing w:before="86" w:line="264" w:lineRule="auto"/>
        <w:ind w:left="1147" w:right="1325"/>
        <w:jc w:val="both"/>
        <w:rPr>
          <w:sz w:val="11"/>
        </w:rPr>
      </w:pPr>
      <w:bookmarkStart w:id="24" w:name="The_Old_Left_and_the_New_Reality_"/>
      <w:bookmarkStart w:id="25" w:name="_bookmark10"/>
      <w:bookmarkEnd w:id="24"/>
      <w:bookmarkEnd w:id="25"/>
      <w:r>
        <w:rPr>
          <w:color w:val="231F20"/>
        </w:rPr>
        <w:lastRenderedPageBreak/>
        <w:t xml:space="preserve">This move by the right was answered in October </w:t>
      </w:r>
      <w:r>
        <w:rPr>
          <w:color w:val="231F20"/>
          <w:spacing w:val="-6"/>
        </w:rPr>
        <w:t xml:space="preserve">1961 </w:t>
      </w:r>
      <w:r>
        <w:rPr>
          <w:color w:val="231F20"/>
        </w:rPr>
        <w:t xml:space="preserve">by SPD left wingers forming the Society for the Promotion of Socialism  (SF).  Unable to neutralize this growing left-wing revolt, the SPD leadership decided to do what it could to isolate it, purging the SF and SDS in a move which completed the alienation of the critical intelligentsia and youth from the </w:t>
      </w:r>
      <w:r>
        <w:rPr>
          <w:color w:val="231F20"/>
          <w:spacing w:val="1"/>
        </w:rPr>
        <w:t xml:space="preserve">party </w:t>
      </w:r>
      <w:r>
        <w:rPr>
          <w:color w:val="231F20"/>
        </w:rPr>
        <w:t xml:space="preserve">for years to come. (Ironically, the </w:t>
      </w:r>
      <w:r>
        <w:rPr>
          <w:color w:val="231F20"/>
          <w:spacing w:val="1"/>
        </w:rPr>
        <w:t xml:space="preserve">SHB </w:t>
      </w:r>
      <w:r>
        <w:rPr>
          <w:color w:val="231F20"/>
        </w:rPr>
        <w:t>itself continued to be pulled to the left, forced to tail positions staked out by the SDS,</w:t>
      </w:r>
      <w:r>
        <w:rPr>
          <w:color w:val="231F20"/>
          <w:spacing w:val="11"/>
        </w:rPr>
        <w:t xml:space="preserve"> </w:t>
      </w:r>
      <w:r>
        <w:rPr>
          <w:color w:val="231F20"/>
        </w:rPr>
        <w:t>until</w:t>
      </w:r>
      <w:r>
        <w:rPr>
          <w:color w:val="231F20"/>
          <w:spacing w:val="11"/>
        </w:rPr>
        <w:t xml:space="preserve"> </w:t>
      </w:r>
      <w:r>
        <w:rPr>
          <w:color w:val="231F20"/>
        </w:rPr>
        <w:t>it</w:t>
      </w:r>
      <w:r>
        <w:rPr>
          <w:color w:val="231F20"/>
          <w:spacing w:val="11"/>
        </w:rPr>
        <w:t xml:space="preserve"> </w:t>
      </w:r>
      <w:r>
        <w:rPr>
          <w:color w:val="231F20"/>
        </w:rPr>
        <w:t>too</w:t>
      </w:r>
      <w:r>
        <w:rPr>
          <w:color w:val="231F20"/>
          <w:spacing w:val="11"/>
        </w:rPr>
        <w:t xml:space="preserve"> </w:t>
      </w:r>
      <w:r>
        <w:rPr>
          <w:color w:val="231F20"/>
        </w:rPr>
        <w:t>would</w:t>
      </w:r>
      <w:r>
        <w:rPr>
          <w:color w:val="231F20"/>
          <w:spacing w:val="11"/>
        </w:rPr>
        <w:t xml:space="preserve"> </w:t>
      </w:r>
      <w:r>
        <w:rPr>
          <w:color w:val="231F20"/>
        </w:rPr>
        <w:t>find</w:t>
      </w:r>
      <w:r>
        <w:rPr>
          <w:color w:val="231F20"/>
          <w:spacing w:val="11"/>
        </w:rPr>
        <w:t xml:space="preserve"> </w:t>
      </w:r>
      <w:r>
        <w:rPr>
          <w:color w:val="231F20"/>
        </w:rPr>
        <w:t>itself</w:t>
      </w:r>
      <w:r>
        <w:rPr>
          <w:color w:val="231F20"/>
          <w:spacing w:val="11"/>
        </w:rPr>
        <w:t xml:space="preserve"> </w:t>
      </w:r>
      <w:r>
        <w:rPr>
          <w:color w:val="231F20"/>
        </w:rPr>
        <w:t>expelled</w:t>
      </w:r>
      <w:r>
        <w:rPr>
          <w:color w:val="231F20"/>
          <w:spacing w:val="11"/>
        </w:rPr>
        <w:t xml:space="preserve"> </w:t>
      </w:r>
      <w:r>
        <w:rPr>
          <w:color w:val="231F20"/>
        </w:rPr>
        <w:t>in</w:t>
      </w:r>
      <w:r>
        <w:rPr>
          <w:color w:val="231F20"/>
          <w:spacing w:val="11"/>
        </w:rPr>
        <w:t xml:space="preserve"> </w:t>
      </w:r>
      <w:r>
        <w:rPr>
          <w:color w:val="231F20"/>
        </w:rPr>
        <w:t>the</w:t>
      </w:r>
      <w:r>
        <w:rPr>
          <w:color w:val="231F20"/>
          <w:spacing w:val="12"/>
        </w:rPr>
        <w:t xml:space="preserve"> </w:t>
      </w:r>
      <w:r>
        <w:rPr>
          <w:color w:val="231F20"/>
          <w:spacing w:val="-4"/>
        </w:rPr>
        <w:t>1970s.)</w:t>
      </w:r>
      <w:r>
        <w:rPr>
          <w:color w:val="231F20"/>
          <w:spacing w:val="-4"/>
          <w:position w:val="7"/>
          <w:sz w:val="11"/>
        </w:rPr>
        <w:t>1</w:t>
      </w:r>
    </w:p>
    <w:p w14:paraId="2EB1AB24" w14:textId="77777777" w:rsidR="002653E8" w:rsidRDefault="003115E3">
      <w:pPr>
        <w:pStyle w:val="a3"/>
        <w:spacing w:line="264" w:lineRule="auto"/>
        <w:ind w:left="1147" w:right="1326" w:firstLine="210"/>
        <w:jc w:val="both"/>
      </w:pPr>
      <w:r>
        <w:rPr>
          <w:color w:val="231F20"/>
        </w:rPr>
        <w:t>Things were brewing beneath the surface, and a new generation was finding</w:t>
      </w:r>
      <w:r>
        <w:rPr>
          <w:color w:val="231F20"/>
          <w:spacing w:val="-8"/>
        </w:rPr>
        <w:t xml:space="preserve"> </w:t>
      </w:r>
      <w:r>
        <w:rPr>
          <w:color w:val="231F20"/>
        </w:rPr>
        <w:t>itself</w:t>
      </w:r>
      <w:r>
        <w:rPr>
          <w:color w:val="231F20"/>
          <w:spacing w:val="-8"/>
        </w:rPr>
        <w:t xml:space="preserve"> </w:t>
      </w:r>
      <w:r>
        <w:rPr>
          <w:color w:val="231F20"/>
        </w:rPr>
        <w:t>increasingly</w:t>
      </w:r>
      <w:r>
        <w:rPr>
          <w:color w:val="231F20"/>
          <w:spacing w:val="-8"/>
        </w:rPr>
        <w:t xml:space="preserve"> </w:t>
      </w:r>
      <w:r>
        <w:rPr>
          <w:color w:val="231F20"/>
        </w:rPr>
        <w:t>miserable</w:t>
      </w:r>
      <w:r>
        <w:rPr>
          <w:color w:val="231F20"/>
          <w:spacing w:val="-8"/>
        </w:rPr>
        <w:t xml:space="preserve"> </w:t>
      </w:r>
      <w:r>
        <w:rPr>
          <w:color w:val="231F20"/>
        </w:rPr>
        <w:t>within</w:t>
      </w:r>
      <w:r>
        <w:rPr>
          <w:color w:val="231F20"/>
          <w:spacing w:val="-8"/>
        </w:rPr>
        <w:t xml:space="preserve"> </w:t>
      </w:r>
      <w:r>
        <w:rPr>
          <w:color w:val="231F20"/>
        </w:rPr>
        <w:t>the</w:t>
      </w:r>
      <w:r>
        <w:rPr>
          <w:color w:val="231F20"/>
          <w:spacing w:val="-8"/>
        </w:rPr>
        <w:t xml:space="preserve"> </w:t>
      </w:r>
      <w:r>
        <w:rPr>
          <w:color w:val="231F20"/>
        </w:rPr>
        <w:t>suffocating</w:t>
      </w:r>
      <w:r>
        <w:rPr>
          <w:color w:val="231F20"/>
          <w:spacing w:val="-8"/>
        </w:rPr>
        <w:t xml:space="preserve"> </w:t>
      </w:r>
      <w:r>
        <w:rPr>
          <w:color w:val="231F20"/>
        </w:rPr>
        <w:t>and</w:t>
      </w:r>
      <w:r>
        <w:rPr>
          <w:color w:val="231F20"/>
          <w:spacing w:val="-8"/>
        </w:rPr>
        <w:t xml:space="preserve"> </w:t>
      </w:r>
      <w:r>
        <w:rPr>
          <w:color w:val="231F20"/>
        </w:rPr>
        <w:t>conservative</w:t>
      </w:r>
      <w:r>
        <w:rPr>
          <w:color w:val="231F20"/>
          <w:spacing w:val="17"/>
        </w:rPr>
        <w:t xml:space="preserve"> </w:t>
      </w:r>
      <w:r>
        <w:rPr>
          <w:i/>
          <w:color w:val="231F20"/>
        </w:rPr>
        <w:t>Modell</w:t>
      </w:r>
      <w:r>
        <w:rPr>
          <w:i/>
          <w:color w:val="231F20"/>
          <w:spacing w:val="17"/>
        </w:rPr>
        <w:t xml:space="preserve"> </w:t>
      </w:r>
      <w:r>
        <w:rPr>
          <w:i/>
          <w:color w:val="231F20"/>
        </w:rPr>
        <w:t>Deutschland</w:t>
      </w:r>
      <w:r>
        <w:rPr>
          <w:color w:val="231F20"/>
        </w:rPr>
        <w:t>.</w:t>
      </w:r>
      <w:r>
        <w:rPr>
          <w:color w:val="231F20"/>
          <w:spacing w:val="17"/>
        </w:rPr>
        <w:t xml:space="preserve"> </w:t>
      </w:r>
      <w:r>
        <w:rPr>
          <w:color w:val="231F20"/>
        </w:rPr>
        <w:t>American</w:t>
      </w:r>
      <w:r>
        <w:rPr>
          <w:color w:val="231F20"/>
          <w:spacing w:val="17"/>
        </w:rPr>
        <w:t xml:space="preserve"> </w:t>
      </w:r>
      <w:r>
        <w:rPr>
          <w:color w:val="231F20"/>
        </w:rPr>
        <w:t>expatriate</w:t>
      </w:r>
      <w:r>
        <w:rPr>
          <w:color w:val="231F20"/>
          <w:spacing w:val="17"/>
        </w:rPr>
        <w:t xml:space="preserve"> </w:t>
      </w:r>
      <w:r>
        <w:rPr>
          <w:color w:val="231F20"/>
        </w:rPr>
        <w:t>Paul</w:t>
      </w:r>
      <w:r>
        <w:rPr>
          <w:color w:val="231F20"/>
          <w:spacing w:val="17"/>
        </w:rPr>
        <w:t xml:space="preserve"> </w:t>
      </w:r>
      <w:r>
        <w:rPr>
          <w:color w:val="231F20"/>
        </w:rPr>
        <w:t>Hockenos</w:t>
      </w:r>
      <w:r>
        <w:rPr>
          <w:color w:val="231F20"/>
          <w:spacing w:val="17"/>
        </w:rPr>
        <w:t xml:space="preserve"> </w:t>
      </w:r>
      <w:r>
        <w:rPr>
          <w:color w:val="231F20"/>
        </w:rPr>
        <w:t>describes</w:t>
      </w:r>
    </w:p>
    <w:p w14:paraId="70FF408B" w14:textId="77777777" w:rsidR="002653E8" w:rsidRDefault="00000000">
      <w:pPr>
        <w:pStyle w:val="a3"/>
        <w:spacing w:before="11"/>
        <w:rPr>
          <w:sz w:val="23"/>
        </w:rPr>
      </w:pPr>
      <w:r>
        <w:rPr>
          <w:noProof w:val="0"/>
        </w:rPr>
        <w:pict w14:anchorId="3DDB84EF">
          <v:line id="_x0000_s2691" style="position:absolute;z-index:1888;mso-wrap-distance-left:0;mso-wrap-distance-right:0;mso-position-horizontal-relative:page" from="57.4pt,16.25pt" to="129.4pt,16.25pt" strokecolor="#231f20" strokeweight=".5pt">
            <w10:wrap type="topAndBottom" anchorx="page"/>
          </v:line>
        </w:pict>
      </w:r>
    </w:p>
    <w:p w14:paraId="0B5C04BE" w14:textId="77777777" w:rsidR="002653E8" w:rsidRDefault="003115E3">
      <w:pPr>
        <w:pStyle w:val="a4"/>
        <w:numPr>
          <w:ilvl w:val="0"/>
          <w:numId w:val="186"/>
        </w:numPr>
        <w:tabs>
          <w:tab w:val="left" w:pos="1287"/>
        </w:tabs>
        <w:spacing w:before="53"/>
        <w:ind w:firstLine="0"/>
        <w:rPr>
          <w:sz w:val="16"/>
        </w:rPr>
      </w:pPr>
      <w:r>
        <w:rPr>
          <w:color w:val="231F20"/>
          <w:w w:val="110"/>
          <w:sz w:val="16"/>
        </w:rPr>
        <w:t>Graf, “Beyond Social Democracy,”</w:t>
      </w:r>
      <w:r>
        <w:rPr>
          <w:color w:val="231F20"/>
          <w:spacing w:val="26"/>
          <w:w w:val="110"/>
          <w:sz w:val="16"/>
        </w:rPr>
        <w:t xml:space="preserve"> </w:t>
      </w:r>
      <w:r>
        <w:rPr>
          <w:color w:val="231F20"/>
          <w:spacing w:val="-3"/>
          <w:w w:val="110"/>
          <w:sz w:val="16"/>
        </w:rPr>
        <w:t>104-5.</w:t>
      </w:r>
    </w:p>
    <w:p w14:paraId="642EA465" w14:textId="77777777" w:rsidR="002653E8" w:rsidRDefault="002653E8">
      <w:pPr>
        <w:pStyle w:val="a3"/>
      </w:pPr>
    </w:p>
    <w:p w14:paraId="6C659972" w14:textId="77777777" w:rsidR="002653E8" w:rsidRDefault="002653E8">
      <w:pPr>
        <w:pStyle w:val="a3"/>
        <w:spacing w:before="4"/>
        <w:rPr>
          <w:sz w:val="28"/>
        </w:rPr>
      </w:pPr>
    </w:p>
    <w:p w14:paraId="10BC93B1" w14:textId="77777777" w:rsidR="002653E8" w:rsidRDefault="00000000">
      <w:pPr>
        <w:spacing w:before="89"/>
        <w:ind w:left="1976"/>
        <w:rPr>
          <w:rFonts w:ascii="Lucida Sans"/>
          <w:b/>
          <w:sz w:val="24"/>
        </w:rPr>
      </w:pPr>
      <w:r>
        <w:rPr>
          <w:noProof w:val="0"/>
        </w:rPr>
        <w:pict w14:anchorId="29878FD4">
          <v:group id="_x0000_s2685" style="position:absolute;left:0;text-align:left;margin-left:57.4pt;margin-top:-15.9pt;width:308.25pt;height:322.95pt;z-index:-462736;mso-position-horizontal-relative:page" coordorigin="1148,-318" coordsize="6165,6459">
            <v:rect id="_x0000_s2690" style="position:absolute;left:1147;top:-318;width:6164;height:6441" fillcolor="#e6e7e8" stroked="f"/>
            <v:rect id="_x0000_s2689" style="position:absolute;left:1147;top:-317;width:6164;height:40" stroked="f"/>
            <v:rect id="_x0000_s2688" style="position:absolute;left:1147;top:-317;width:6164;height:40" fillcolor="#231f20" stroked="f"/>
            <v:rect id="_x0000_s2687" style="position:absolute;left:1147;top:6100;width:6164;height:40" stroked="f"/>
            <v:rect id="_x0000_s2686" style="position:absolute;left:1147;top:6100;width:6164;height:40" fillcolor="#231f20" stroked="f"/>
            <w10:wrap anchorx="page"/>
          </v:group>
        </w:pict>
      </w:r>
      <w:r w:rsidR="003115E3">
        <w:rPr>
          <w:rFonts w:ascii="Lucida Sans"/>
          <w:b/>
          <w:color w:val="231F20"/>
          <w:spacing w:val="15"/>
          <w:sz w:val="24"/>
        </w:rPr>
        <w:t xml:space="preserve">the old Lef </w:t>
      </w:r>
      <w:r w:rsidR="003115E3">
        <w:rPr>
          <w:rFonts w:ascii="Lucida Sans"/>
          <w:b/>
          <w:color w:val="231F20"/>
          <w:sz w:val="24"/>
        </w:rPr>
        <w:t xml:space="preserve">t </w:t>
      </w:r>
      <w:r w:rsidR="003115E3">
        <w:rPr>
          <w:rFonts w:ascii="Lucida Sans"/>
          <w:b/>
          <w:color w:val="231F20"/>
          <w:spacing w:val="15"/>
          <w:sz w:val="24"/>
        </w:rPr>
        <w:t xml:space="preserve">and </w:t>
      </w:r>
      <w:r w:rsidR="003115E3">
        <w:rPr>
          <w:rFonts w:ascii="Lucida Sans"/>
          <w:b/>
          <w:color w:val="231F20"/>
          <w:spacing w:val="13"/>
          <w:sz w:val="24"/>
        </w:rPr>
        <w:t>the new</w:t>
      </w:r>
      <w:r w:rsidR="003115E3">
        <w:rPr>
          <w:rFonts w:ascii="Lucida Sans"/>
          <w:b/>
          <w:color w:val="231F20"/>
          <w:spacing w:val="93"/>
          <w:sz w:val="24"/>
        </w:rPr>
        <w:t xml:space="preserve"> </w:t>
      </w:r>
      <w:r w:rsidR="003115E3">
        <w:rPr>
          <w:rFonts w:ascii="Lucida Sans"/>
          <w:b/>
          <w:color w:val="231F20"/>
          <w:spacing w:val="18"/>
          <w:sz w:val="24"/>
        </w:rPr>
        <w:t>Reality</w:t>
      </w:r>
    </w:p>
    <w:p w14:paraId="2D7AA8B8" w14:textId="77777777" w:rsidR="002653E8" w:rsidRDefault="002653E8">
      <w:pPr>
        <w:pStyle w:val="a3"/>
        <w:spacing w:before="10"/>
        <w:rPr>
          <w:rFonts w:ascii="Lucida Sans"/>
          <w:b/>
          <w:sz w:val="21"/>
        </w:rPr>
      </w:pPr>
    </w:p>
    <w:p w14:paraId="55A77641" w14:textId="77777777" w:rsidR="002653E8" w:rsidRDefault="003115E3">
      <w:pPr>
        <w:spacing w:line="266" w:lineRule="auto"/>
        <w:ind w:left="1347" w:right="1781"/>
        <w:jc w:val="both"/>
        <w:rPr>
          <w:rFonts w:ascii="Calibri"/>
          <w:sz w:val="19"/>
        </w:rPr>
      </w:pPr>
      <w:r>
        <w:rPr>
          <w:rFonts w:ascii="Calibri"/>
          <w:color w:val="231F20"/>
          <w:w w:val="105"/>
          <w:sz w:val="19"/>
        </w:rPr>
        <w:t>Under the postwar occupation regime, various intellectuals who had been exiled under Nazism returned home, while others who had remained silent found their</w:t>
      </w:r>
      <w:r>
        <w:rPr>
          <w:rFonts w:ascii="Calibri"/>
          <w:color w:val="231F20"/>
          <w:spacing w:val="45"/>
          <w:w w:val="105"/>
          <w:sz w:val="19"/>
        </w:rPr>
        <w:t xml:space="preserve"> </w:t>
      </w:r>
      <w:r>
        <w:rPr>
          <w:rFonts w:ascii="Calibri"/>
          <w:color w:val="231F20"/>
          <w:w w:val="105"/>
          <w:sz w:val="19"/>
        </w:rPr>
        <w:t>voices.</w:t>
      </w:r>
    </w:p>
    <w:p w14:paraId="14708C88" w14:textId="77777777" w:rsidR="002653E8" w:rsidRDefault="003115E3">
      <w:pPr>
        <w:spacing w:line="264" w:lineRule="auto"/>
        <w:ind w:left="1347" w:right="1580" w:firstLine="209"/>
        <w:rPr>
          <w:rFonts w:ascii="Lucida Sans"/>
          <w:i/>
          <w:sz w:val="19"/>
        </w:rPr>
      </w:pPr>
      <w:r>
        <w:rPr>
          <w:rFonts w:ascii="Calibri"/>
          <w:color w:val="231F20"/>
          <w:w w:val="110"/>
          <w:sz w:val="19"/>
        </w:rPr>
        <w:t xml:space="preserve">While this was a broader phenomenon, two groups in particular stand out: the Frankfurt School and the </w:t>
      </w:r>
      <w:r>
        <w:rPr>
          <w:rFonts w:ascii="Lucida Sans"/>
          <w:i/>
          <w:color w:val="231F20"/>
          <w:w w:val="110"/>
          <w:sz w:val="19"/>
        </w:rPr>
        <w:t>Gruppe 47.</w:t>
      </w:r>
    </w:p>
    <w:p w14:paraId="3CCC0CFB" w14:textId="77777777" w:rsidR="002653E8" w:rsidRDefault="003115E3">
      <w:pPr>
        <w:spacing w:line="266" w:lineRule="auto"/>
        <w:ind w:left="1347" w:right="1729" w:firstLine="209"/>
        <w:rPr>
          <w:rFonts w:ascii="Calibri" w:hAnsi="Calibri"/>
          <w:sz w:val="19"/>
        </w:rPr>
      </w:pPr>
      <w:r>
        <w:rPr>
          <w:rFonts w:ascii="Calibri" w:hAnsi="Calibri"/>
          <w:color w:val="231F20"/>
          <w:w w:val="105"/>
          <w:sz w:val="19"/>
        </w:rPr>
        <w:t xml:space="preserve">The </w:t>
      </w:r>
      <w:r>
        <w:rPr>
          <w:rFonts w:ascii="Calibri" w:hAnsi="Calibri"/>
          <w:color w:val="231F20"/>
          <w:spacing w:val="1"/>
          <w:w w:val="105"/>
          <w:sz w:val="19"/>
        </w:rPr>
        <w:t xml:space="preserve">Frankfurt </w:t>
      </w:r>
      <w:r>
        <w:rPr>
          <w:rFonts w:ascii="Calibri" w:hAnsi="Calibri"/>
          <w:color w:val="231F20"/>
          <w:w w:val="105"/>
          <w:sz w:val="19"/>
        </w:rPr>
        <w:t xml:space="preserve">School had emerged from the Institute for Social Research, founded at the University of  </w:t>
      </w:r>
      <w:r>
        <w:rPr>
          <w:rFonts w:ascii="Calibri" w:hAnsi="Calibri"/>
          <w:color w:val="231F20"/>
          <w:spacing w:val="1"/>
          <w:w w:val="105"/>
          <w:sz w:val="19"/>
        </w:rPr>
        <w:t xml:space="preserve">Frankfurt  </w:t>
      </w:r>
      <w:r>
        <w:rPr>
          <w:rFonts w:ascii="Calibri" w:hAnsi="Calibri"/>
          <w:color w:val="231F20"/>
          <w:w w:val="105"/>
          <w:sz w:val="19"/>
        </w:rPr>
        <w:t xml:space="preserve">in  </w:t>
      </w:r>
      <w:r>
        <w:rPr>
          <w:rFonts w:ascii="Arial" w:hAnsi="Arial"/>
          <w:color w:val="231F20"/>
          <w:spacing w:val="-5"/>
          <w:w w:val="105"/>
          <w:sz w:val="19"/>
        </w:rPr>
        <w:t xml:space="preserve">1924  </w:t>
      </w:r>
      <w:r>
        <w:rPr>
          <w:rFonts w:ascii="Calibri" w:hAnsi="Calibri"/>
          <w:color w:val="231F20"/>
          <w:w w:val="105"/>
          <w:sz w:val="19"/>
        </w:rPr>
        <w:t>under the tutelage of one of its prominent members, Max Horkheimer. Critical of the narrow intellectual nature of traditional Marxism, members integrated new ideas from the fields of sociology, philosophy, and psychiatry to produce a highly influential and intellectually rigorous theoretical platform, eventually known as “Critical</w:t>
      </w:r>
      <w:r>
        <w:rPr>
          <w:rFonts w:ascii="Calibri" w:hAnsi="Calibri"/>
          <w:color w:val="231F20"/>
          <w:spacing w:val="23"/>
          <w:w w:val="105"/>
          <w:sz w:val="19"/>
        </w:rPr>
        <w:t xml:space="preserve"> </w:t>
      </w:r>
      <w:r>
        <w:rPr>
          <w:rFonts w:ascii="Calibri" w:hAnsi="Calibri"/>
          <w:color w:val="231F20"/>
          <w:w w:val="105"/>
          <w:sz w:val="19"/>
        </w:rPr>
        <w:t>Theory.”</w:t>
      </w:r>
      <w:r>
        <w:rPr>
          <w:rFonts w:ascii="Calibri" w:hAnsi="Calibri"/>
          <w:color w:val="231F20"/>
          <w:spacing w:val="23"/>
          <w:w w:val="105"/>
          <w:sz w:val="19"/>
        </w:rPr>
        <w:t xml:space="preserve"> </w:t>
      </w:r>
      <w:r>
        <w:rPr>
          <w:rFonts w:ascii="Calibri" w:hAnsi="Calibri"/>
          <w:color w:val="231F20"/>
          <w:w w:val="105"/>
          <w:sz w:val="19"/>
        </w:rPr>
        <w:t>key</w:t>
      </w:r>
      <w:r>
        <w:rPr>
          <w:rFonts w:ascii="Calibri" w:hAnsi="Calibri"/>
          <w:color w:val="231F20"/>
          <w:spacing w:val="23"/>
          <w:w w:val="105"/>
          <w:sz w:val="19"/>
        </w:rPr>
        <w:t xml:space="preserve"> </w:t>
      </w:r>
      <w:r>
        <w:rPr>
          <w:rFonts w:ascii="Calibri" w:hAnsi="Calibri"/>
          <w:color w:val="231F20"/>
          <w:w w:val="105"/>
          <w:sz w:val="19"/>
        </w:rPr>
        <w:t>members,</w:t>
      </w:r>
      <w:r>
        <w:rPr>
          <w:rFonts w:ascii="Calibri" w:hAnsi="Calibri"/>
          <w:color w:val="231F20"/>
          <w:spacing w:val="23"/>
          <w:w w:val="105"/>
          <w:sz w:val="19"/>
        </w:rPr>
        <w:t xml:space="preserve"> </w:t>
      </w:r>
      <w:r>
        <w:rPr>
          <w:rFonts w:ascii="Calibri" w:hAnsi="Calibri"/>
          <w:color w:val="231F20"/>
          <w:w w:val="105"/>
          <w:sz w:val="19"/>
        </w:rPr>
        <w:t>almost</w:t>
      </w:r>
      <w:r>
        <w:rPr>
          <w:rFonts w:ascii="Calibri" w:hAnsi="Calibri"/>
          <w:color w:val="231F20"/>
          <w:spacing w:val="23"/>
          <w:w w:val="105"/>
          <w:sz w:val="19"/>
        </w:rPr>
        <w:t xml:space="preserve"> </w:t>
      </w:r>
      <w:r>
        <w:rPr>
          <w:rFonts w:ascii="Calibri" w:hAnsi="Calibri"/>
          <w:color w:val="231F20"/>
          <w:w w:val="105"/>
          <w:sz w:val="19"/>
        </w:rPr>
        <w:t>all</w:t>
      </w:r>
      <w:r>
        <w:rPr>
          <w:rFonts w:ascii="Calibri" w:hAnsi="Calibri"/>
          <w:color w:val="231F20"/>
          <w:spacing w:val="23"/>
          <w:w w:val="105"/>
          <w:sz w:val="19"/>
        </w:rPr>
        <w:t xml:space="preserve"> </w:t>
      </w:r>
      <w:r>
        <w:rPr>
          <w:rFonts w:ascii="Calibri" w:hAnsi="Calibri"/>
          <w:color w:val="231F20"/>
          <w:w w:val="105"/>
          <w:sz w:val="19"/>
        </w:rPr>
        <w:t>of</w:t>
      </w:r>
      <w:r>
        <w:rPr>
          <w:rFonts w:ascii="Calibri" w:hAnsi="Calibri"/>
          <w:color w:val="231F20"/>
          <w:spacing w:val="23"/>
          <w:w w:val="105"/>
          <w:sz w:val="19"/>
        </w:rPr>
        <w:t xml:space="preserve"> </w:t>
      </w:r>
      <w:r>
        <w:rPr>
          <w:rFonts w:ascii="Calibri" w:hAnsi="Calibri"/>
          <w:color w:val="231F20"/>
          <w:w w:val="105"/>
          <w:sz w:val="19"/>
        </w:rPr>
        <w:t>them</w:t>
      </w:r>
      <w:r>
        <w:rPr>
          <w:rFonts w:ascii="Calibri" w:hAnsi="Calibri"/>
          <w:color w:val="231F20"/>
          <w:spacing w:val="23"/>
          <w:w w:val="105"/>
          <w:sz w:val="19"/>
        </w:rPr>
        <w:t xml:space="preserve"> </w:t>
      </w:r>
      <w:r>
        <w:rPr>
          <w:rFonts w:ascii="Calibri" w:hAnsi="Calibri"/>
          <w:color w:val="231F20"/>
          <w:w w:val="105"/>
          <w:sz w:val="19"/>
        </w:rPr>
        <w:t>men,</w:t>
      </w:r>
      <w:r>
        <w:rPr>
          <w:rFonts w:ascii="Calibri" w:hAnsi="Calibri"/>
          <w:color w:val="231F20"/>
          <w:spacing w:val="23"/>
          <w:w w:val="105"/>
          <w:sz w:val="19"/>
        </w:rPr>
        <w:t xml:space="preserve"> </w:t>
      </w:r>
      <w:r>
        <w:rPr>
          <w:rFonts w:ascii="Calibri" w:hAnsi="Calibri"/>
          <w:color w:val="231F20"/>
          <w:w w:val="105"/>
          <w:sz w:val="19"/>
        </w:rPr>
        <w:t>many</w:t>
      </w:r>
      <w:r>
        <w:rPr>
          <w:rFonts w:ascii="Calibri" w:hAnsi="Calibri"/>
          <w:color w:val="231F20"/>
          <w:spacing w:val="23"/>
          <w:w w:val="105"/>
          <w:sz w:val="19"/>
        </w:rPr>
        <w:t xml:space="preserve"> </w:t>
      </w:r>
      <w:r>
        <w:rPr>
          <w:rFonts w:ascii="Calibri" w:hAnsi="Calibri"/>
          <w:color w:val="231F20"/>
          <w:w w:val="105"/>
          <w:sz w:val="19"/>
        </w:rPr>
        <w:t>of</w:t>
      </w:r>
    </w:p>
    <w:p w14:paraId="7B1ACF46" w14:textId="77777777" w:rsidR="002653E8" w:rsidRDefault="003115E3">
      <w:pPr>
        <w:spacing w:line="266" w:lineRule="auto"/>
        <w:ind w:left="1347" w:right="1681"/>
        <w:rPr>
          <w:rFonts w:ascii="Calibri" w:hAnsi="Calibri"/>
          <w:sz w:val="19"/>
        </w:rPr>
      </w:pPr>
      <w:r>
        <w:rPr>
          <w:rFonts w:ascii="Calibri" w:hAnsi="Calibri"/>
          <w:color w:val="231F20"/>
          <w:w w:val="105"/>
          <w:sz w:val="19"/>
        </w:rPr>
        <w:t xml:space="preserve">them Jewish, included Horkheimer, Herbert Marcuse, Erich Fromm, Theodor Adorno, and Jürgen Habermas.  Going  into  exile  in  </w:t>
      </w:r>
      <w:r>
        <w:rPr>
          <w:rFonts w:ascii="Arial" w:hAnsi="Arial"/>
          <w:color w:val="231F20"/>
          <w:spacing w:val="-4"/>
          <w:w w:val="105"/>
          <w:sz w:val="19"/>
        </w:rPr>
        <w:t>1933</w:t>
      </w:r>
      <w:r>
        <w:rPr>
          <w:rFonts w:ascii="Calibri" w:hAnsi="Calibri"/>
          <w:color w:val="231F20"/>
          <w:spacing w:val="-4"/>
          <w:w w:val="105"/>
          <w:sz w:val="19"/>
        </w:rPr>
        <w:t xml:space="preserve">, </w:t>
      </w:r>
      <w:r>
        <w:rPr>
          <w:rFonts w:ascii="Calibri" w:hAnsi="Calibri"/>
          <w:color w:val="231F20"/>
          <w:w w:val="105"/>
          <w:sz w:val="19"/>
        </w:rPr>
        <w:t xml:space="preserve">the </w:t>
      </w:r>
      <w:r>
        <w:rPr>
          <w:rFonts w:ascii="Calibri" w:hAnsi="Calibri"/>
          <w:color w:val="231F20"/>
          <w:spacing w:val="1"/>
          <w:w w:val="105"/>
          <w:sz w:val="19"/>
        </w:rPr>
        <w:t xml:space="preserve">Frankfurt </w:t>
      </w:r>
      <w:r>
        <w:rPr>
          <w:rFonts w:ascii="Calibri" w:hAnsi="Calibri"/>
          <w:color w:val="231F20"/>
          <w:w w:val="105"/>
          <w:sz w:val="19"/>
        </w:rPr>
        <w:t xml:space="preserve">School was based out of Columbia University in New </w:t>
      </w:r>
      <w:r>
        <w:rPr>
          <w:rFonts w:ascii="Calibri" w:hAnsi="Calibri"/>
          <w:color w:val="231F20"/>
          <w:spacing w:val="-3"/>
          <w:w w:val="105"/>
          <w:sz w:val="19"/>
        </w:rPr>
        <w:t xml:space="preserve">York </w:t>
      </w:r>
      <w:r>
        <w:rPr>
          <w:rFonts w:ascii="Calibri" w:hAnsi="Calibri"/>
          <w:color w:val="231F20"/>
          <w:w w:val="105"/>
          <w:sz w:val="19"/>
        </w:rPr>
        <w:t xml:space="preserve">City until  </w:t>
      </w:r>
      <w:r>
        <w:rPr>
          <w:rFonts w:ascii="Arial" w:hAnsi="Arial"/>
          <w:color w:val="231F20"/>
          <w:spacing w:val="-4"/>
          <w:w w:val="105"/>
          <w:sz w:val="19"/>
        </w:rPr>
        <w:t>1943</w:t>
      </w:r>
      <w:r>
        <w:rPr>
          <w:rFonts w:ascii="Calibri" w:hAnsi="Calibri"/>
          <w:color w:val="231F20"/>
          <w:spacing w:val="-4"/>
          <w:w w:val="105"/>
          <w:sz w:val="19"/>
        </w:rPr>
        <w:t xml:space="preserve">.  </w:t>
      </w:r>
      <w:r>
        <w:rPr>
          <w:rFonts w:ascii="Calibri" w:hAnsi="Calibri"/>
          <w:color w:val="231F20"/>
          <w:w w:val="105"/>
          <w:sz w:val="19"/>
        </w:rPr>
        <w:t xml:space="preserve">While Horkheimer and Adorno chose to return  to Germany after the </w:t>
      </w:r>
      <w:r>
        <w:rPr>
          <w:rFonts w:ascii="Calibri" w:hAnsi="Calibri"/>
          <w:color w:val="231F20"/>
          <w:spacing w:val="-3"/>
          <w:w w:val="105"/>
          <w:sz w:val="19"/>
        </w:rPr>
        <w:t xml:space="preserve">war,  </w:t>
      </w:r>
      <w:r>
        <w:rPr>
          <w:rFonts w:ascii="Calibri" w:hAnsi="Calibri"/>
          <w:color w:val="231F20"/>
          <w:w w:val="105"/>
          <w:sz w:val="19"/>
        </w:rPr>
        <w:t>many others remained in the United  States.</w:t>
      </w:r>
    </w:p>
    <w:p w14:paraId="4E8EA551" w14:textId="77777777" w:rsidR="002653E8" w:rsidRDefault="003115E3">
      <w:pPr>
        <w:spacing w:line="266" w:lineRule="auto"/>
        <w:ind w:left="1347" w:right="1580" w:firstLine="210"/>
        <w:rPr>
          <w:rFonts w:ascii="Calibri"/>
          <w:sz w:val="19"/>
        </w:rPr>
      </w:pPr>
      <w:r>
        <w:rPr>
          <w:rFonts w:ascii="Calibri"/>
          <w:color w:val="231F20"/>
          <w:w w:val="110"/>
          <w:sz w:val="19"/>
        </w:rPr>
        <w:t>The</w:t>
      </w:r>
      <w:r>
        <w:rPr>
          <w:rFonts w:ascii="Calibri"/>
          <w:color w:val="231F20"/>
          <w:spacing w:val="-10"/>
          <w:w w:val="110"/>
          <w:sz w:val="19"/>
        </w:rPr>
        <w:t xml:space="preserve"> </w:t>
      </w:r>
      <w:r>
        <w:rPr>
          <w:rFonts w:ascii="Lucida Sans"/>
          <w:i/>
          <w:color w:val="231F20"/>
          <w:w w:val="110"/>
          <w:sz w:val="19"/>
        </w:rPr>
        <w:t>Gruppe</w:t>
      </w:r>
      <w:r>
        <w:rPr>
          <w:rFonts w:ascii="Lucida Sans"/>
          <w:i/>
          <w:color w:val="231F20"/>
          <w:spacing w:val="-29"/>
          <w:w w:val="110"/>
          <w:sz w:val="19"/>
        </w:rPr>
        <w:t xml:space="preserve"> </w:t>
      </w:r>
      <w:r>
        <w:rPr>
          <w:rFonts w:ascii="Lucida Sans"/>
          <w:i/>
          <w:color w:val="231F20"/>
          <w:spacing w:val="-5"/>
          <w:w w:val="110"/>
          <w:sz w:val="19"/>
        </w:rPr>
        <w:t>47</w:t>
      </w:r>
      <w:r>
        <w:rPr>
          <w:rFonts w:ascii="Lucida Sans"/>
          <w:i/>
          <w:color w:val="231F20"/>
          <w:spacing w:val="-29"/>
          <w:w w:val="110"/>
          <w:sz w:val="19"/>
        </w:rPr>
        <w:t xml:space="preserve"> </w:t>
      </w:r>
      <w:r>
        <w:rPr>
          <w:rFonts w:ascii="Calibri"/>
          <w:color w:val="231F20"/>
          <w:w w:val="110"/>
          <w:sz w:val="19"/>
        </w:rPr>
        <w:t>was</w:t>
      </w:r>
      <w:r>
        <w:rPr>
          <w:rFonts w:ascii="Calibri"/>
          <w:color w:val="231F20"/>
          <w:spacing w:val="-10"/>
          <w:w w:val="110"/>
          <w:sz w:val="19"/>
        </w:rPr>
        <w:t xml:space="preserve"> </w:t>
      </w:r>
      <w:r>
        <w:rPr>
          <w:rFonts w:ascii="Calibri"/>
          <w:color w:val="231F20"/>
          <w:w w:val="110"/>
          <w:sz w:val="19"/>
        </w:rPr>
        <w:t>a</w:t>
      </w:r>
      <w:r>
        <w:rPr>
          <w:rFonts w:ascii="Calibri"/>
          <w:color w:val="231F20"/>
          <w:spacing w:val="-10"/>
          <w:w w:val="110"/>
          <w:sz w:val="19"/>
        </w:rPr>
        <w:t xml:space="preserve"> </w:t>
      </w:r>
      <w:r>
        <w:rPr>
          <w:rFonts w:ascii="Calibri"/>
          <w:color w:val="231F20"/>
          <w:w w:val="110"/>
          <w:sz w:val="19"/>
        </w:rPr>
        <w:t>literary</w:t>
      </w:r>
      <w:r>
        <w:rPr>
          <w:rFonts w:ascii="Calibri"/>
          <w:color w:val="231F20"/>
          <w:spacing w:val="-10"/>
          <w:w w:val="110"/>
          <w:sz w:val="19"/>
        </w:rPr>
        <w:t xml:space="preserve"> </w:t>
      </w:r>
      <w:r>
        <w:rPr>
          <w:rFonts w:ascii="Calibri"/>
          <w:color w:val="231F20"/>
          <w:w w:val="110"/>
          <w:sz w:val="19"/>
        </w:rPr>
        <w:t>circle</w:t>
      </w:r>
      <w:r>
        <w:rPr>
          <w:rFonts w:ascii="Calibri"/>
          <w:color w:val="231F20"/>
          <w:spacing w:val="-10"/>
          <w:w w:val="110"/>
          <w:sz w:val="19"/>
        </w:rPr>
        <w:t xml:space="preserve"> </w:t>
      </w:r>
      <w:r>
        <w:rPr>
          <w:rFonts w:ascii="Calibri"/>
          <w:color w:val="231F20"/>
          <w:w w:val="110"/>
          <w:sz w:val="19"/>
        </w:rPr>
        <w:t>founded</w:t>
      </w:r>
      <w:r>
        <w:rPr>
          <w:rFonts w:ascii="Calibri"/>
          <w:color w:val="231F20"/>
          <w:spacing w:val="-10"/>
          <w:w w:val="110"/>
          <w:sz w:val="19"/>
        </w:rPr>
        <w:t xml:space="preserve"> </w:t>
      </w:r>
      <w:r>
        <w:rPr>
          <w:rFonts w:ascii="Calibri"/>
          <w:color w:val="231F20"/>
          <w:w w:val="110"/>
          <w:sz w:val="19"/>
        </w:rPr>
        <w:t>in</w:t>
      </w:r>
      <w:r>
        <w:rPr>
          <w:rFonts w:ascii="Calibri"/>
          <w:color w:val="231F20"/>
          <w:spacing w:val="-10"/>
          <w:w w:val="110"/>
          <w:sz w:val="19"/>
        </w:rPr>
        <w:t xml:space="preserve"> </w:t>
      </w:r>
      <w:r>
        <w:rPr>
          <w:rFonts w:ascii="Arial"/>
          <w:color w:val="231F20"/>
          <w:spacing w:val="-7"/>
          <w:w w:val="110"/>
          <w:sz w:val="19"/>
        </w:rPr>
        <w:t>1947</w:t>
      </w:r>
      <w:r>
        <w:rPr>
          <w:rFonts w:ascii="Arial"/>
          <w:color w:val="231F20"/>
          <w:spacing w:val="-20"/>
          <w:w w:val="110"/>
          <w:sz w:val="19"/>
        </w:rPr>
        <w:t xml:space="preserve"> </w:t>
      </w:r>
      <w:r>
        <w:rPr>
          <w:rFonts w:ascii="Calibri"/>
          <w:color w:val="231F20"/>
          <w:w w:val="110"/>
          <w:sz w:val="19"/>
        </w:rPr>
        <w:t>to</w:t>
      </w:r>
      <w:r>
        <w:rPr>
          <w:rFonts w:ascii="Calibri"/>
          <w:color w:val="231F20"/>
          <w:spacing w:val="-10"/>
          <w:w w:val="110"/>
          <w:sz w:val="19"/>
        </w:rPr>
        <w:t xml:space="preserve"> </w:t>
      </w:r>
      <w:r>
        <w:rPr>
          <w:rFonts w:ascii="Calibri"/>
          <w:color w:val="231F20"/>
          <w:w w:val="110"/>
          <w:sz w:val="19"/>
        </w:rPr>
        <w:t>help</w:t>
      </w:r>
      <w:r>
        <w:rPr>
          <w:rFonts w:ascii="Calibri"/>
          <w:color w:val="231F20"/>
          <w:spacing w:val="-10"/>
          <w:w w:val="110"/>
          <w:sz w:val="19"/>
        </w:rPr>
        <w:t xml:space="preserve"> </w:t>
      </w:r>
      <w:r>
        <w:rPr>
          <w:rFonts w:ascii="Calibri"/>
          <w:color w:val="231F20"/>
          <w:w w:val="110"/>
          <w:sz w:val="19"/>
        </w:rPr>
        <w:t>give expression to a new generation of German writers who had</w:t>
      </w:r>
      <w:r>
        <w:rPr>
          <w:rFonts w:ascii="Calibri"/>
          <w:color w:val="231F20"/>
          <w:spacing w:val="16"/>
          <w:w w:val="110"/>
          <w:sz w:val="19"/>
        </w:rPr>
        <w:t xml:space="preserve"> </w:t>
      </w:r>
      <w:r>
        <w:rPr>
          <w:rFonts w:ascii="Calibri"/>
          <w:color w:val="231F20"/>
          <w:w w:val="110"/>
          <w:sz w:val="19"/>
        </w:rPr>
        <w:t>lived</w:t>
      </w:r>
    </w:p>
    <w:p w14:paraId="5168FC0D" w14:textId="77777777" w:rsidR="002653E8" w:rsidRDefault="002653E8">
      <w:pPr>
        <w:spacing w:line="266" w:lineRule="auto"/>
        <w:rPr>
          <w:rFonts w:ascii="Calibri"/>
          <w:sz w:val="19"/>
        </w:rPr>
        <w:sectPr w:rsidR="002653E8">
          <w:pgSz w:w="8640" w:h="12960"/>
          <w:pgMar w:top="1060" w:right="0" w:bottom="1040" w:left="0" w:header="0" w:footer="850" w:gutter="0"/>
          <w:cols w:space="720"/>
        </w:sectPr>
      </w:pPr>
    </w:p>
    <w:p w14:paraId="439A6094" w14:textId="77777777" w:rsidR="002653E8" w:rsidRDefault="003115E3">
      <w:pPr>
        <w:pStyle w:val="a3"/>
        <w:spacing w:before="86"/>
        <w:ind w:left="1327"/>
      </w:pPr>
      <w:r>
        <w:rPr>
          <w:color w:val="231F20"/>
        </w:rPr>
        <w:lastRenderedPageBreak/>
        <w:t>the fifties cultural climate that surrounded these young people:</w:t>
      </w:r>
    </w:p>
    <w:p w14:paraId="1477F026" w14:textId="77777777" w:rsidR="002653E8" w:rsidRDefault="003115E3">
      <w:pPr>
        <w:spacing w:before="152" w:line="276" w:lineRule="auto"/>
        <w:ind w:left="1747" w:right="1558"/>
        <w:jc w:val="both"/>
        <w:rPr>
          <w:i/>
          <w:sz w:val="11"/>
        </w:rPr>
      </w:pPr>
      <w:r>
        <w:rPr>
          <w:i/>
          <w:color w:val="231F20"/>
          <w:w w:val="105"/>
          <w:sz w:val="19"/>
        </w:rPr>
        <w:t xml:space="preserve">Corporal punishment in schools… was still routine, and at universities students could be expelled for interrupting a lecture. The Federal Republic still had “coupling laws” on the books that forbade single men and women under twenty-one to spend the night together—or even to spend time together unchaperoned. Parents who allowed their children to stray could face legal penalties. In contrast to the GDR’s school curricula, in which the churches had no say, in the West German schools there weren’t sexual-education programs until the </w:t>
      </w:r>
      <w:r>
        <w:rPr>
          <w:rFonts w:ascii="Bookman Old Style" w:hAnsi="Bookman Old Style"/>
          <w:i/>
          <w:color w:val="231F20"/>
          <w:w w:val="105"/>
          <w:sz w:val="19"/>
        </w:rPr>
        <w:t>1960</w:t>
      </w:r>
      <w:r>
        <w:rPr>
          <w:i/>
          <w:color w:val="231F20"/>
          <w:w w:val="105"/>
          <w:sz w:val="19"/>
        </w:rPr>
        <w:t>s.</w:t>
      </w:r>
      <w:r>
        <w:rPr>
          <w:i/>
          <w:color w:val="231F20"/>
          <w:w w:val="105"/>
          <w:position w:val="6"/>
          <w:sz w:val="11"/>
        </w:rPr>
        <w:t>2</w:t>
      </w:r>
    </w:p>
    <w:p w14:paraId="5844A83C" w14:textId="77777777" w:rsidR="002653E8" w:rsidRDefault="002653E8">
      <w:pPr>
        <w:pStyle w:val="a3"/>
        <w:rPr>
          <w:i/>
        </w:rPr>
      </w:pPr>
    </w:p>
    <w:p w14:paraId="5CF6FC1B" w14:textId="77777777" w:rsidR="002653E8" w:rsidRDefault="00000000">
      <w:pPr>
        <w:pStyle w:val="a3"/>
        <w:spacing w:before="2"/>
        <w:rPr>
          <w:i/>
          <w:sz w:val="16"/>
        </w:rPr>
      </w:pPr>
      <w:r>
        <w:rPr>
          <w:noProof w:val="0"/>
        </w:rPr>
        <w:pict w14:anchorId="50A58B09">
          <v:line id="_x0000_s2684" style="position:absolute;z-index:1936;mso-wrap-distance-left:0;mso-wrap-distance-right:0;mso-position-horizontal-relative:page" from="66.4pt,11.7pt" to="138.4pt,11.7pt" strokecolor="#231f20" strokeweight=".5pt">
            <w10:wrap type="topAndBottom" anchorx="page"/>
          </v:line>
        </w:pict>
      </w:r>
    </w:p>
    <w:p w14:paraId="0A3290BF" w14:textId="77777777" w:rsidR="002653E8" w:rsidRDefault="003115E3">
      <w:pPr>
        <w:spacing w:before="53"/>
        <w:ind w:left="1327"/>
        <w:rPr>
          <w:sz w:val="16"/>
        </w:rPr>
      </w:pPr>
      <w:r>
        <w:rPr>
          <w:color w:val="231F20"/>
          <w:w w:val="110"/>
          <w:sz w:val="16"/>
        </w:rPr>
        <w:t>2 Hockenos, 31.</w:t>
      </w:r>
    </w:p>
    <w:p w14:paraId="50E7A94E" w14:textId="77777777" w:rsidR="002653E8" w:rsidRDefault="002653E8">
      <w:pPr>
        <w:pStyle w:val="a3"/>
      </w:pPr>
    </w:p>
    <w:p w14:paraId="6256FED5" w14:textId="77777777" w:rsidR="002653E8" w:rsidRDefault="002653E8">
      <w:pPr>
        <w:pStyle w:val="a3"/>
      </w:pPr>
    </w:p>
    <w:p w14:paraId="3E7B27FE" w14:textId="77777777" w:rsidR="002653E8" w:rsidRDefault="002653E8">
      <w:pPr>
        <w:pStyle w:val="a3"/>
        <w:spacing w:before="2"/>
        <w:rPr>
          <w:sz w:val="18"/>
        </w:rPr>
      </w:pPr>
    </w:p>
    <w:p w14:paraId="15BA035B" w14:textId="77777777" w:rsidR="002653E8" w:rsidRDefault="00000000">
      <w:pPr>
        <w:spacing w:line="266" w:lineRule="auto"/>
        <w:ind w:left="1528" w:right="1325"/>
        <w:rPr>
          <w:rFonts w:ascii="Calibri" w:hAnsi="Calibri"/>
          <w:sz w:val="19"/>
        </w:rPr>
      </w:pPr>
      <w:r>
        <w:rPr>
          <w:noProof w:val="0"/>
        </w:rPr>
        <w:pict w14:anchorId="79D3BBFF">
          <v:group id="_x0000_s2680" style="position:absolute;left:0;text-align:left;margin-left:66.4pt;margin-top:-21.7pt;width:308.25pt;height:323.95pt;z-index:-462688;mso-position-horizontal-relative:page" coordorigin="1328,-434" coordsize="6165,6479">
            <v:rect id="_x0000_s2683" style="position:absolute;left:1328;top:-434;width:6164;height:6441" fillcolor="#e6e7e8" stroked="f"/>
            <v:rect id="_x0000_s2682" style="position:absolute;left:1328;top:-433;width:6164;height:40" stroked="f"/>
            <v:shape id="_x0000_s2681" style="position:absolute;left:1327;top:-433;width:6165;height:6478" coordorigin="1328,-433" coordsize="6165,6478" o:spt="100" adj="0,,0" path="m7492,-433r-6164,l1328,-393r6164,l7492,-433t,6437l1328,6004r,40l7492,6044r,-40e" fillcolor="#231f20" stroked="f">
              <v:stroke joinstyle="round"/>
              <v:formulas/>
              <v:path arrowok="t" o:connecttype="segments"/>
            </v:shape>
            <w10:wrap anchorx="page"/>
          </v:group>
        </w:pict>
      </w:r>
      <w:r w:rsidR="003115E3">
        <w:rPr>
          <w:rFonts w:ascii="Calibri" w:hAnsi="Calibri"/>
          <w:color w:val="231F20"/>
          <w:w w:val="110"/>
          <w:sz w:val="19"/>
        </w:rPr>
        <w:t xml:space="preserve">through the war, and who hoped to use their craft as a way to reckon with the with the Nazi experience. key members included Heinrich Böll, Günter Grass, Alexander kluge, Ilse Aichinger, and Erich Fried. There were few Jews or women involved, and amongst the Germans, some were later revealed to have previously been active Nazis. Yet, despite these shortcomings, the </w:t>
      </w:r>
      <w:r w:rsidR="003115E3">
        <w:rPr>
          <w:rFonts w:ascii="Lucida Sans" w:hAnsi="Lucida Sans"/>
          <w:i/>
          <w:color w:val="231F20"/>
          <w:w w:val="110"/>
          <w:sz w:val="19"/>
        </w:rPr>
        <w:t xml:space="preserve">Gruppe </w:t>
      </w:r>
      <w:r w:rsidR="003115E3">
        <w:rPr>
          <w:rFonts w:ascii="Arial" w:hAnsi="Arial"/>
          <w:i/>
          <w:color w:val="231F20"/>
          <w:w w:val="110"/>
          <w:sz w:val="19"/>
        </w:rPr>
        <w:t xml:space="preserve">47 </w:t>
      </w:r>
      <w:r w:rsidR="003115E3">
        <w:rPr>
          <w:rFonts w:ascii="Calibri" w:hAnsi="Calibri"/>
          <w:color w:val="231F20"/>
          <w:w w:val="110"/>
          <w:sz w:val="19"/>
        </w:rPr>
        <w:t>established itself as an important progressive influence on postwar German culture.</w:t>
      </w:r>
    </w:p>
    <w:p w14:paraId="1C1F89DC" w14:textId="77777777" w:rsidR="002653E8" w:rsidRDefault="003115E3">
      <w:pPr>
        <w:spacing w:line="266" w:lineRule="auto"/>
        <w:ind w:left="1528" w:right="1848" w:firstLine="209"/>
        <w:rPr>
          <w:rFonts w:ascii="Calibri" w:hAnsi="Calibri"/>
          <w:sz w:val="19"/>
        </w:rPr>
      </w:pPr>
      <w:r>
        <w:rPr>
          <w:rFonts w:ascii="Calibri" w:hAnsi="Calibri"/>
          <w:color w:val="231F20"/>
          <w:w w:val="105"/>
          <w:sz w:val="19"/>
        </w:rPr>
        <w:t>While they may have all initially sympathized with the sixties revolt, many of these intellectuals soon felt alienated by the younger generation’s goals and methods of direct action and violent protest.</w:t>
      </w:r>
    </w:p>
    <w:p w14:paraId="00F8818F" w14:textId="77777777" w:rsidR="002653E8" w:rsidRDefault="003115E3">
      <w:pPr>
        <w:spacing w:line="266" w:lineRule="auto"/>
        <w:ind w:left="1528" w:right="1681" w:firstLine="262"/>
        <w:rPr>
          <w:rFonts w:ascii="Calibri" w:hAnsi="Calibri"/>
          <w:sz w:val="19"/>
        </w:rPr>
      </w:pPr>
      <w:r>
        <w:rPr>
          <w:rFonts w:ascii="Calibri" w:hAnsi="Calibri"/>
          <w:color w:val="231F20"/>
          <w:w w:val="105"/>
          <w:sz w:val="19"/>
        </w:rPr>
        <w:t xml:space="preserve">Ironically, while the </w:t>
      </w:r>
      <w:r>
        <w:rPr>
          <w:rFonts w:ascii="Calibri" w:hAnsi="Calibri"/>
          <w:color w:val="231F20"/>
          <w:spacing w:val="1"/>
          <w:w w:val="105"/>
          <w:sz w:val="19"/>
        </w:rPr>
        <w:t xml:space="preserve">Frankfurt </w:t>
      </w:r>
      <w:r>
        <w:rPr>
          <w:rFonts w:ascii="Calibri" w:hAnsi="Calibri"/>
          <w:color w:val="231F20"/>
          <w:w w:val="105"/>
          <w:sz w:val="19"/>
        </w:rPr>
        <w:t xml:space="preserve">School influenced many of the sixties revolutionaries, it also provided the strongest negative reaction, with  Jürgen  Habermas  going  so  far  as  to  accuse student radicals of flirting with “left-wing fascism.” Though an inability to agree about the meaning of the student revolt led to    the precipitous decline of the </w:t>
      </w:r>
      <w:r>
        <w:rPr>
          <w:rFonts w:ascii="Lucida Sans" w:hAnsi="Lucida Sans"/>
          <w:i/>
          <w:color w:val="231F20"/>
          <w:w w:val="105"/>
          <w:sz w:val="19"/>
        </w:rPr>
        <w:t xml:space="preserve">Gruppe </w:t>
      </w:r>
      <w:r>
        <w:rPr>
          <w:rFonts w:ascii="Lucida Sans" w:hAnsi="Lucida Sans"/>
          <w:i/>
          <w:color w:val="231F20"/>
          <w:spacing w:val="-10"/>
          <w:w w:val="105"/>
          <w:sz w:val="19"/>
        </w:rPr>
        <w:t xml:space="preserve">47, </w:t>
      </w:r>
      <w:r>
        <w:rPr>
          <w:rFonts w:ascii="Calibri" w:hAnsi="Calibri"/>
          <w:color w:val="231F20"/>
          <w:w w:val="105"/>
          <w:sz w:val="19"/>
        </w:rPr>
        <w:t>some of its members remained vocal critics of the political establishment. Heinrich Böll and Erich Fried in particular continued to denounce the state’s penchant for authoritarian solutions, even in regards to its war against the</w:t>
      </w:r>
      <w:r>
        <w:rPr>
          <w:rFonts w:ascii="Calibri" w:hAnsi="Calibri"/>
          <w:color w:val="231F20"/>
          <w:spacing w:val="15"/>
          <w:w w:val="105"/>
          <w:sz w:val="19"/>
        </w:rPr>
        <w:t xml:space="preserve"> </w:t>
      </w:r>
      <w:r>
        <w:rPr>
          <w:rFonts w:ascii="Calibri" w:hAnsi="Calibri"/>
          <w:color w:val="231F20"/>
          <w:w w:val="105"/>
          <w:sz w:val="19"/>
        </w:rPr>
        <w:t>guerilla.</w:t>
      </w:r>
    </w:p>
    <w:p w14:paraId="588F0D1C" w14:textId="77777777" w:rsidR="002653E8" w:rsidRDefault="002653E8">
      <w:pPr>
        <w:spacing w:line="266" w:lineRule="auto"/>
        <w:rPr>
          <w:rFonts w:ascii="Calibri" w:hAnsi="Calibri"/>
          <w:sz w:val="19"/>
        </w:rPr>
        <w:sectPr w:rsidR="002653E8">
          <w:pgSz w:w="8640" w:h="12960"/>
          <w:pgMar w:top="1060" w:right="0" w:bottom="1040" w:left="0" w:header="0" w:footer="850" w:gutter="0"/>
          <w:cols w:space="720"/>
        </w:sectPr>
      </w:pPr>
    </w:p>
    <w:p w14:paraId="02F6D3ED" w14:textId="77777777" w:rsidR="002653E8" w:rsidRDefault="003115E3">
      <w:pPr>
        <w:pStyle w:val="a3"/>
        <w:spacing w:before="86" w:line="264" w:lineRule="auto"/>
        <w:ind w:left="1147" w:right="1326" w:hanging="1"/>
        <w:jc w:val="both"/>
        <w:rPr>
          <w:sz w:val="11"/>
        </w:rPr>
      </w:pPr>
      <w:r>
        <w:rPr>
          <w:color w:val="231F20"/>
        </w:rPr>
        <w:lastRenderedPageBreak/>
        <w:t>In the words of Detlev Claussen, who would later participate in his generation’s revolt, “They try to make it look better than it was but it really was that bad! It was a terrible, terrible time to grow up.”</w:t>
      </w:r>
      <w:r>
        <w:rPr>
          <w:color w:val="231F20"/>
          <w:position w:val="7"/>
          <w:sz w:val="11"/>
        </w:rPr>
        <w:t>1</w:t>
      </w:r>
    </w:p>
    <w:p w14:paraId="522CE77D" w14:textId="77777777" w:rsidR="002653E8" w:rsidRDefault="003115E3">
      <w:pPr>
        <w:pStyle w:val="a3"/>
        <w:spacing w:line="264" w:lineRule="auto"/>
        <w:ind w:left="1147" w:right="1325" w:firstLine="210"/>
        <w:jc w:val="both"/>
        <w:rPr>
          <w:sz w:val="11"/>
        </w:rPr>
      </w:pPr>
      <w:r>
        <w:rPr>
          <w:color w:val="231F20"/>
        </w:rPr>
        <w:t xml:space="preserve">Another indication of what life was like in the post-genocidal society came in the winter of </w:t>
      </w:r>
      <w:r>
        <w:rPr>
          <w:color w:val="231F20"/>
          <w:spacing w:val="-3"/>
        </w:rPr>
        <w:t xml:space="preserve">1959-60, </w:t>
      </w:r>
      <w:r>
        <w:rPr>
          <w:color w:val="231F20"/>
        </w:rPr>
        <w:t>as a wave of antisemitic graffiti and attacks on Jewish cemeteries swept over the country. This prompted</w:t>
      </w:r>
      <w:r>
        <w:rPr>
          <w:color w:val="231F20"/>
          <w:spacing w:val="-30"/>
        </w:rPr>
        <w:t xml:space="preserve"> </w:t>
      </w:r>
      <w:r>
        <w:rPr>
          <w:color w:val="231F20"/>
        </w:rPr>
        <w:t xml:space="preserve">some Frankfurt School sociologists to </w:t>
      </w:r>
      <w:r>
        <w:rPr>
          <w:color w:val="231F20"/>
          <w:spacing w:val="1"/>
        </w:rPr>
        <w:t xml:space="preserve">carry </w:t>
      </w:r>
      <w:r>
        <w:rPr>
          <w:color w:val="231F20"/>
        </w:rPr>
        <w:t xml:space="preserve">out a study which revealed that behind an apathetic </w:t>
      </w:r>
      <w:r>
        <w:rPr>
          <w:color w:val="231F20"/>
          <w:spacing w:val="-4"/>
        </w:rPr>
        <w:t>41</w:t>
      </w:r>
      <w:r>
        <w:rPr>
          <w:color w:val="231F20"/>
          <w:spacing w:val="-4"/>
          <w:sz w:val="16"/>
        </w:rPr>
        <w:t xml:space="preserve">% </w:t>
      </w:r>
      <w:r>
        <w:rPr>
          <w:color w:val="231F20"/>
        </w:rPr>
        <w:t xml:space="preserve">who remained indifferent, a hardcore </w:t>
      </w:r>
      <w:r>
        <w:rPr>
          <w:color w:val="231F20"/>
          <w:spacing w:val="-7"/>
        </w:rPr>
        <w:t>16</w:t>
      </w:r>
      <w:r>
        <w:rPr>
          <w:color w:val="231F20"/>
          <w:spacing w:val="-7"/>
          <w:sz w:val="16"/>
        </w:rPr>
        <w:t xml:space="preserve">% </w:t>
      </w:r>
      <w:r>
        <w:rPr>
          <w:color w:val="231F20"/>
        </w:rPr>
        <w:t>of the population was openly antisemitic, supportive of the death penalty (banned under the Basic Law) and expressing “an excessive inclination for</w:t>
      </w:r>
      <w:r>
        <w:rPr>
          <w:color w:val="231F20"/>
          <w:spacing w:val="10"/>
        </w:rPr>
        <w:t xml:space="preserve"> </w:t>
      </w:r>
      <w:r>
        <w:rPr>
          <w:color w:val="231F20"/>
          <w:spacing w:val="-3"/>
        </w:rPr>
        <w:t>authority.”</w:t>
      </w:r>
      <w:r>
        <w:rPr>
          <w:color w:val="231F20"/>
          <w:spacing w:val="-3"/>
          <w:position w:val="7"/>
          <w:sz w:val="11"/>
        </w:rPr>
        <w:t>2</w:t>
      </w:r>
    </w:p>
    <w:p w14:paraId="1FB98FB0" w14:textId="77777777" w:rsidR="002653E8" w:rsidRDefault="003115E3">
      <w:pPr>
        <w:pStyle w:val="a3"/>
        <w:spacing w:line="264" w:lineRule="auto"/>
        <w:ind w:left="1147" w:right="1325" w:firstLine="210"/>
        <w:jc w:val="both"/>
        <w:rPr>
          <w:sz w:val="11"/>
        </w:rPr>
      </w:pPr>
      <w:r>
        <w:rPr>
          <w:color w:val="231F20"/>
        </w:rPr>
        <w:t xml:space="preserve">One of the projects most responsible for challenging this reactionary and stultifying culture was the magazine </w:t>
      </w:r>
      <w:r>
        <w:rPr>
          <w:i/>
          <w:color w:val="231F20"/>
        </w:rPr>
        <w:t>konkret</w:t>
      </w:r>
      <w:r>
        <w:rPr>
          <w:color w:val="231F20"/>
        </w:rPr>
        <w:t>, published in Hamburg by Klaus Rainer Röhl. An increasingly important forum for progressive youth who rejected the CDU consensus and the country’s conservative cultural mores, the magazine was widely read within the SDS. As Karin Bauer notes, “the magazine thrived from the happy union of intellectual, aesthetic, and popular appeal…”</w:t>
      </w:r>
      <w:r>
        <w:rPr>
          <w:color w:val="231F20"/>
          <w:position w:val="7"/>
          <w:sz w:val="11"/>
        </w:rPr>
        <w:t xml:space="preserve">3 </w:t>
      </w:r>
      <w:r>
        <w:rPr>
          <w:color w:val="231F20"/>
        </w:rPr>
        <w:t>Decidedly political, “Recurrent themes were Cuba, anticolonialism, German fascism, the antinuclear struggle, human rights, and social justice.”</w:t>
      </w:r>
      <w:r>
        <w:rPr>
          <w:color w:val="231F20"/>
          <w:position w:val="7"/>
          <w:sz w:val="11"/>
        </w:rPr>
        <w:t>4</w:t>
      </w:r>
    </w:p>
    <w:p w14:paraId="2CCA2549" w14:textId="77777777" w:rsidR="002653E8" w:rsidRDefault="003115E3">
      <w:pPr>
        <w:pStyle w:val="a3"/>
        <w:spacing w:line="264" w:lineRule="auto"/>
        <w:ind w:left="1147" w:right="1325" w:firstLine="210"/>
        <w:jc w:val="both"/>
      </w:pPr>
      <w:r>
        <w:rPr>
          <w:color w:val="231F20"/>
        </w:rPr>
        <w:t xml:space="preserve">Unbeknownst to its public, </w:t>
      </w:r>
      <w:r>
        <w:rPr>
          <w:i/>
          <w:color w:val="231F20"/>
        </w:rPr>
        <w:t xml:space="preserve">konkret </w:t>
      </w:r>
      <w:r>
        <w:rPr>
          <w:color w:val="231F20"/>
        </w:rPr>
        <w:t xml:space="preserve">was actually funded and in part controlled by one of the remaining clandestine </w:t>
      </w:r>
      <w:r>
        <w:rPr>
          <w:color w:val="231F20"/>
          <w:spacing w:val="1"/>
        </w:rPr>
        <w:t xml:space="preserve">KPD </w:t>
      </w:r>
      <w:r>
        <w:rPr>
          <w:color w:val="231F20"/>
        </w:rPr>
        <w:t>cells which had gone into exile in East Germany.</w:t>
      </w:r>
      <w:r>
        <w:rPr>
          <w:color w:val="231F20"/>
          <w:position w:val="7"/>
          <w:sz w:val="11"/>
        </w:rPr>
        <w:t xml:space="preserve">5 </w:t>
      </w:r>
      <w:r>
        <w:rPr>
          <w:color w:val="231F20"/>
        </w:rPr>
        <w:t xml:space="preserve">The magazine’s chief editor was </w:t>
      </w:r>
      <w:r>
        <w:rPr>
          <w:color w:val="231F20"/>
          <w:spacing w:val="-3"/>
        </w:rPr>
        <w:t xml:space="preserve">Röhl’s </w:t>
      </w:r>
      <w:r>
        <w:rPr>
          <w:color w:val="231F20"/>
        </w:rPr>
        <w:t xml:space="preserve">wife, a woman who had been active in the SDS since </w:t>
      </w:r>
      <w:r>
        <w:rPr>
          <w:color w:val="231F20"/>
          <w:spacing w:val="-8"/>
        </w:rPr>
        <w:t xml:space="preserve">1957, </w:t>
      </w:r>
      <w:r>
        <w:rPr>
          <w:color w:val="231F20"/>
        </w:rPr>
        <w:t>and had secretly</w:t>
      </w:r>
      <w:r>
        <w:rPr>
          <w:color w:val="231F20"/>
          <w:spacing w:val="20"/>
        </w:rPr>
        <w:t xml:space="preserve"> </w:t>
      </w:r>
      <w:r>
        <w:rPr>
          <w:color w:val="231F20"/>
        </w:rPr>
        <w:t>joined</w:t>
      </w:r>
      <w:r>
        <w:rPr>
          <w:color w:val="231F20"/>
          <w:spacing w:val="20"/>
        </w:rPr>
        <w:t xml:space="preserve"> </w:t>
      </w:r>
      <w:r>
        <w:rPr>
          <w:color w:val="231F20"/>
        </w:rPr>
        <w:t>the</w:t>
      </w:r>
      <w:r>
        <w:rPr>
          <w:color w:val="231F20"/>
          <w:spacing w:val="20"/>
        </w:rPr>
        <w:t xml:space="preserve"> </w:t>
      </w:r>
      <w:r>
        <w:rPr>
          <w:color w:val="231F20"/>
        </w:rPr>
        <w:t>illegal</w:t>
      </w:r>
      <w:r>
        <w:rPr>
          <w:color w:val="231F20"/>
          <w:spacing w:val="20"/>
        </w:rPr>
        <w:t xml:space="preserve"> </w:t>
      </w:r>
      <w:r>
        <w:rPr>
          <w:color w:val="231F20"/>
          <w:spacing w:val="1"/>
        </w:rPr>
        <w:t>KPD</w:t>
      </w:r>
      <w:r>
        <w:rPr>
          <w:color w:val="231F20"/>
          <w:spacing w:val="20"/>
        </w:rPr>
        <w:t xml:space="preserve"> </w:t>
      </w:r>
      <w:r>
        <w:rPr>
          <w:color w:val="231F20"/>
        </w:rPr>
        <w:t>in</w:t>
      </w:r>
      <w:r>
        <w:rPr>
          <w:color w:val="231F20"/>
          <w:spacing w:val="20"/>
        </w:rPr>
        <w:t xml:space="preserve"> </w:t>
      </w:r>
      <w:r>
        <w:rPr>
          <w:color w:val="231F20"/>
          <w:spacing w:val="-7"/>
        </w:rPr>
        <w:t>1959.</w:t>
      </w:r>
      <w:r>
        <w:rPr>
          <w:color w:val="231F20"/>
          <w:spacing w:val="20"/>
        </w:rPr>
        <w:t xml:space="preserve"> </w:t>
      </w:r>
      <w:r>
        <w:rPr>
          <w:color w:val="231F20"/>
        </w:rPr>
        <w:t>Her</w:t>
      </w:r>
      <w:r>
        <w:rPr>
          <w:color w:val="231F20"/>
          <w:spacing w:val="20"/>
        </w:rPr>
        <w:t xml:space="preserve"> </w:t>
      </w:r>
      <w:r>
        <w:rPr>
          <w:color w:val="231F20"/>
        </w:rPr>
        <w:t>name</w:t>
      </w:r>
      <w:r>
        <w:rPr>
          <w:color w:val="231F20"/>
          <w:spacing w:val="20"/>
        </w:rPr>
        <w:t xml:space="preserve"> </w:t>
      </w:r>
      <w:r>
        <w:rPr>
          <w:color w:val="231F20"/>
        </w:rPr>
        <w:t>was</w:t>
      </w:r>
      <w:r>
        <w:rPr>
          <w:color w:val="231F20"/>
          <w:spacing w:val="20"/>
        </w:rPr>
        <w:t xml:space="preserve"> </w:t>
      </w:r>
      <w:r>
        <w:rPr>
          <w:color w:val="231F20"/>
        </w:rPr>
        <w:t>Ulrike</w:t>
      </w:r>
      <w:r>
        <w:rPr>
          <w:color w:val="231F20"/>
          <w:spacing w:val="20"/>
        </w:rPr>
        <w:t xml:space="preserve"> </w:t>
      </w:r>
      <w:r>
        <w:rPr>
          <w:color w:val="231F20"/>
        </w:rPr>
        <w:t>Meinhof.</w:t>
      </w:r>
    </w:p>
    <w:p w14:paraId="62052CE5" w14:textId="77777777" w:rsidR="002653E8" w:rsidRDefault="003115E3">
      <w:pPr>
        <w:pStyle w:val="a3"/>
        <w:spacing w:line="264" w:lineRule="auto"/>
        <w:ind w:left="1147" w:right="1325" w:firstLine="210"/>
        <w:jc w:val="both"/>
      </w:pPr>
      <w:r>
        <w:rPr>
          <w:color w:val="231F20"/>
        </w:rPr>
        <w:t xml:space="preserve">Another radicalizing event for many young people at the time was the Auschwitz trials, held in Frankfurt between </w:t>
      </w:r>
      <w:r>
        <w:rPr>
          <w:color w:val="231F20"/>
          <w:spacing w:val="-5"/>
        </w:rPr>
        <w:t xml:space="preserve">1963 </w:t>
      </w:r>
      <w:r>
        <w:rPr>
          <w:color w:val="231F20"/>
        </w:rPr>
        <w:t xml:space="preserve">and </w:t>
      </w:r>
      <w:r>
        <w:rPr>
          <w:color w:val="231F20"/>
          <w:spacing w:val="-6"/>
        </w:rPr>
        <w:t xml:space="preserve">1965. </w:t>
      </w:r>
      <w:r>
        <w:rPr>
          <w:color w:val="231F20"/>
        </w:rPr>
        <w:t xml:space="preserve">Largely a propaganda exercise to cover up the far greater number of Nazis who had found their </w:t>
      </w:r>
      <w:r>
        <w:rPr>
          <w:color w:val="231F20"/>
          <w:spacing w:val="-2"/>
        </w:rPr>
        <w:t xml:space="preserve">way </w:t>
      </w:r>
      <w:r>
        <w:rPr>
          <w:color w:val="231F20"/>
        </w:rPr>
        <w:t xml:space="preserve">into the new </w:t>
      </w:r>
      <w:r>
        <w:rPr>
          <w:color w:val="231F20"/>
          <w:spacing w:val="-3"/>
        </w:rPr>
        <w:t xml:space="preserve">West </w:t>
      </w:r>
      <w:r>
        <w:rPr>
          <w:color w:val="231F20"/>
        </w:rPr>
        <w:t xml:space="preserve">German establishment, twentytwo former SS-men and one </w:t>
      </w:r>
      <w:r>
        <w:rPr>
          <w:i/>
          <w:color w:val="231F20"/>
        </w:rPr>
        <w:t xml:space="preserve">Kapo </w:t>
      </w:r>
      <w:r>
        <w:rPr>
          <w:color w:val="231F20"/>
        </w:rPr>
        <w:t>were tried for murder or complicity  in murder. Regardless of the hypocritical aspect of the trial, the fact   that</w:t>
      </w:r>
      <w:r>
        <w:rPr>
          <w:color w:val="231F20"/>
          <w:spacing w:val="7"/>
        </w:rPr>
        <w:t xml:space="preserve"> </w:t>
      </w:r>
      <w:r>
        <w:rPr>
          <w:color w:val="231F20"/>
        </w:rPr>
        <w:t>for</w:t>
      </w:r>
      <w:r>
        <w:rPr>
          <w:color w:val="231F20"/>
          <w:spacing w:val="7"/>
        </w:rPr>
        <w:t xml:space="preserve"> </w:t>
      </w:r>
      <w:r>
        <w:rPr>
          <w:color w:val="231F20"/>
        </w:rPr>
        <w:t>two</w:t>
      </w:r>
      <w:r>
        <w:rPr>
          <w:color w:val="231F20"/>
          <w:spacing w:val="7"/>
        </w:rPr>
        <w:t xml:space="preserve"> </w:t>
      </w:r>
      <w:r>
        <w:rPr>
          <w:color w:val="231F20"/>
        </w:rPr>
        <w:t>and</w:t>
      </w:r>
      <w:r>
        <w:rPr>
          <w:color w:val="231F20"/>
          <w:spacing w:val="7"/>
        </w:rPr>
        <w:t xml:space="preserve"> </w:t>
      </w:r>
      <w:r>
        <w:rPr>
          <w:color w:val="231F20"/>
        </w:rPr>
        <w:t>a</w:t>
      </w:r>
      <w:r>
        <w:rPr>
          <w:color w:val="231F20"/>
          <w:spacing w:val="7"/>
        </w:rPr>
        <w:t xml:space="preserve"> </w:t>
      </w:r>
      <w:r>
        <w:rPr>
          <w:color w:val="231F20"/>
        </w:rPr>
        <w:t>half</w:t>
      </w:r>
      <w:r>
        <w:rPr>
          <w:color w:val="231F20"/>
          <w:spacing w:val="7"/>
        </w:rPr>
        <w:t xml:space="preserve"> </w:t>
      </w:r>
      <w:r>
        <w:rPr>
          <w:color w:val="231F20"/>
        </w:rPr>
        <w:t>years</w:t>
      </w:r>
      <w:r>
        <w:rPr>
          <w:color w:val="231F20"/>
          <w:spacing w:val="7"/>
        </w:rPr>
        <w:t xml:space="preserve"> </w:t>
      </w:r>
      <w:r>
        <w:rPr>
          <w:color w:val="231F20"/>
        </w:rPr>
        <w:t>almost</w:t>
      </w:r>
      <w:r>
        <w:rPr>
          <w:color w:val="231F20"/>
          <w:spacing w:val="7"/>
        </w:rPr>
        <w:t xml:space="preserve"> </w:t>
      </w:r>
      <w:r>
        <w:rPr>
          <w:color w:val="231F20"/>
        </w:rPr>
        <w:t>three</w:t>
      </w:r>
      <w:r>
        <w:rPr>
          <w:color w:val="231F20"/>
          <w:spacing w:val="7"/>
        </w:rPr>
        <w:t xml:space="preserve"> </w:t>
      </w:r>
      <w:r>
        <w:rPr>
          <w:color w:val="231F20"/>
        </w:rPr>
        <w:t>hundred</w:t>
      </w:r>
      <w:r>
        <w:rPr>
          <w:color w:val="231F20"/>
          <w:spacing w:val="7"/>
        </w:rPr>
        <w:t xml:space="preserve"> </w:t>
      </w:r>
      <w:r>
        <w:rPr>
          <w:color w:val="231F20"/>
        </w:rPr>
        <w:t>witnesses</w:t>
      </w:r>
      <w:r>
        <w:rPr>
          <w:color w:val="231F20"/>
          <w:spacing w:val="7"/>
        </w:rPr>
        <w:t xml:space="preserve"> </w:t>
      </w:r>
      <w:r>
        <w:rPr>
          <w:color w:val="231F20"/>
        </w:rPr>
        <w:t>came</w:t>
      </w:r>
      <w:r>
        <w:rPr>
          <w:color w:val="231F20"/>
          <w:spacing w:val="7"/>
        </w:rPr>
        <w:t xml:space="preserve"> </w:t>
      </w:r>
      <w:r>
        <w:rPr>
          <w:color w:val="231F20"/>
        </w:rPr>
        <w:t>and</w:t>
      </w:r>
    </w:p>
    <w:p w14:paraId="7B98430D" w14:textId="77777777" w:rsidR="002653E8" w:rsidRDefault="00000000">
      <w:pPr>
        <w:pStyle w:val="a3"/>
        <w:spacing w:before="5"/>
        <w:rPr>
          <w:sz w:val="11"/>
        </w:rPr>
      </w:pPr>
      <w:r>
        <w:rPr>
          <w:noProof w:val="0"/>
        </w:rPr>
        <w:pict w14:anchorId="4AE01CC6">
          <v:line id="_x0000_s2679" style="position:absolute;z-index:1984;mso-wrap-distance-left:0;mso-wrap-distance-right:0;mso-position-horizontal-relative:page" from="57.4pt,8.95pt" to="129.4pt,8.95pt" strokecolor="#231f20" strokeweight=".5pt">
            <w10:wrap type="topAndBottom" anchorx="page"/>
          </v:line>
        </w:pict>
      </w:r>
    </w:p>
    <w:p w14:paraId="1B513F36" w14:textId="77777777" w:rsidR="002653E8" w:rsidRDefault="003115E3">
      <w:pPr>
        <w:spacing w:before="53"/>
        <w:ind w:left="1147"/>
        <w:rPr>
          <w:sz w:val="16"/>
        </w:rPr>
      </w:pPr>
      <w:r>
        <w:rPr>
          <w:color w:val="231F20"/>
          <w:w w:val="115"/>
          <w:sz w:val="16"/>
        </w:rPr>
        <w:t>1 Ibid., 29.</w:t>
      </w:r>
    </w:p>
    <w:p w14:paraId="16F2CD44" w14:textId="77777777" w:rsidR="002653E8" w:rsidRDefault="003115E3">
      <w:pPr>
        <w:pStyle w:val="a4"/>
        <w:numPr>
          <w:ilvl w:val="0"/>
          <w:numId w:val="186"/>
        </w:numPr>
        <w:tabs>
          <w:tab w:val="left" w:pos="1287"/>
        </w:tabs>
        <w:spacing w:before="51" w:line="254" w:lineRule="auto"/>
        <w:ind w:right="1908" w:firstLine="0"/>
        <w:rPr>
          <w:sz w:val="16"/>
        </w:rPr>
      </w:pPr>
      <w:r>
        <w:rPr>
          <w:color w:val="231F20"/>
          <w:w w:val="110"/>
          <w:sz w:val="16"/>
        </w:rPr>
        <w:t>Jean-Paul</w:t>
      </w:r>
      <w:r>
        <w:rPr>
          <w:color w:val="231F20"/>
          <w:spacing w:val="-4"/>
          <w:w w:val="110"/>
          <w:sz w:val="16"/>
        </w:rPr>
        <w:t xml:space="preserve"> </w:t>
      </w:r>
      <w:r>
        <w:rPr>
          <w:color w:val="231F20"/>
          <w:w w:val="110"/>
          <w:sz w:val="16"/>
        </w:rPr>
        <w:t>Bier,</w:t>
      </w:r>
      <w:r>
        <w:rPr>
          <w:color w:val="231F20"/>
          <w:spacing w:val="-4"/>
          <w:w w:val="110"/>
          <w:sz w:val="16"/>
        </w:rPr>
        <w:t xml:space="preserve"> </w:t>
      </w:r>
      <w:r>
        <w:rPr>
          <w:color w:val="231F20"/>
          <w:w w:val="110"/>
          <w:sz w:val="16"/>
        </w:rPr>
        <w:t>“The</w:t>
      </w:r>
      <w:r>
        <w:rPr>
          <w:color w:val="231F20"/>
          <w:spacing w:val="-4"/>
          <w:w w:val="110"/>
          <w:sz w:val="16"/>
        </w:rPr>
        <w:t xml:space="preserve"> </w:t>
      </w:r>
      <w:r>
        <w:rPr>
          <w:color w:val="231F20"/>
          <w:w w:val="110"/>
          <w:sz w:val="16"/>
        </w:rPr>
        <w:t>Holocaust</w:t>
      </w:r>
      <w:r>
        <w:rPr>
          <w:color w:val="231F20"/>
          <w:spacing w:val="-4"/>
          <w:w w:val="110"/>
          <w:sz w:val="16"/>
        </w:rPr>
        <w:t xml:space="preserve"> </w:t>
      </w:r>
      <w:r>
        <w:rPr>
          <w:color w:val="231F20"/>
          <w:w w:val="110"/>
          <w:sz w:val="16"/>
        </w:rPr>
        <w:t>and</w:t>
      </w:r>
      <w:r>
        <w:rPr>
          <w:color w:val="231F20"/>
          <w:spacing w:val="-4"/>
          <w:w w:val="110"/>
          <w:sz w:val="16"/>
        </w:rPr>
        <w:t xml:space="preserve"> </w:t>
      </w:r>
      <w:r>
        <w:rPr>
          <w:color w:val="231F20"/>
          <w:w w:val="110"/>
          <w:sz w:val="16"/>
        </w:rPr>
        <w:t>West</w:t>
      </w:r>
      <w:r>
        <w:rPr>
          <w:color w:val="231F20"/>
          <w:spacing w:val="-4"/>
          <w:w w:val="110"/>
          <w:sz w:val="16"/>
        </w:rPr>
        <w:t xml:space="preserve"> </w:t>
      </w:r>
      <w:r>
        <w:rPr>
          <w:color w:val="231F20"/>
          <w:w w:val="110"/>
          <w:sz w:val="16"/>
        </w:rPr>
        <w:t>Germany:</w:t>
      </w:r>
      <w:r>
        <w:rPr>
          <w:color w:val="231F20"/>
          <w:spacing w:val="-4"/>
          <w:w w:val="110"/>
          <w:sz w:val="16"/>
        </w:rPr>
        <w:t xml:space="preserve"> </w:t>
      </w:r>
      <w:r>
        <w:rPr>
          <w:color w:val="231F20"/>
          <w:w w:val="110"/>
          <w:sz w:val="16"/>
        </w:rPr>
        <w:t>Strategies</w:t>
      </w:r>
      <w:r>
        <w:rPr>
          <w:color w:val="231F20"/>
          <w:spacing w:val="-4"/>
          <w:w w:val="110"/>
          <w:sz w:val="16"/>
        </w:rPr>
        <w:t xml:space="preserve"> </w:t>
      </w:r>
      <w:r>
        <w:rPr>
          <w:color w:val="231F20"/>
          <w:w w:val="110"/>
          <w:sz w:val="16"/>
        </w:rPr>
        <w:t>of</w:t>
      </w:r>
      <w:r>
        <w:rPr>
          <w:color w:val="231F20"/>
          <w:spacing w:val="-4"/>
          <w:w w:val="110"/>
          <w:sz w:val="16"/>
        </w:rPr>
        <w:t xml:space="preserve"> </w:t>
      </w:r>
      <w:r>
        <w:rPr>
          <w:color w:val="231F20"/>
          <w:w w:val="110"/>
          <w:sz w:val="16"/>
        </w:rPr>
        <w:t xml:space="preserve">Oblivion </w:t>
      </w:r>
      <w:r>
        <w:rPr>
          <w:color w:val="231F20"/>
          <w:spacing w:val="-4"/>
          <w:w w:val="110"/>
          <w:sz w:val="16"/>
        </w:rPr>
        <w:t xml:space="preserve">1947-1979” </w:t>
      </w:r>
      <w:r>
        <w:rPr>
          <w:i/>
          <w:color w:val="231F20"/>
          <w:w w:val="110"/>
          <w:sz w:val="16"/>
        </w:rPr>
        <w:t xml:space="preserve">New </w:t>
      </w:r>
      <w:r>
        <w:rPr>
          <w:i/>
          <w:color w:val="231F20"/>
          <w:spacing w:val="2"/>
          <w:w w:val="110"/>
          <w:sz w:val="16"/>
        </w:rPr>
        <w:t xml:space="preserve">German </w:t>
      </w:r>
      <w:r>
        <w:rPr>
          <w:i/>
          <w:color w:val="231F20"/>
          <w:w w:val="110"/>
          <w:sz w:val="16"/>
        </w:rPr>
        <w:t xml:space="preserve">Critique </w:t>
      </w:r>
      <w:r>
        <w:rPr>
          <w:color w:val="231F20"/>
          <w:spacing w:val="-3"/>
          <w:w w:val="110"/>
          <w:sz w:val="16"/>
        </w:rPr>
        <w:t xml:space="preserve">19, </w:t>
      </w:r>
      <w:r>
        <w:rPr>
          <w:color w:val="231F20"/>
          <w:w w:val="110"/>
          <w:sz w:val="16"/>
        </w:rPr>
        <w:t xml:space="preserve">Special Issue 1: Germans and Jews Winter </w:t>
      </w:r>
      <w:r>
        <w:rPr>
          <w:color w:val="231F20"/>
          <w:spacing w:val="-4"/>
          <w:w w:val="110"/>
          <w:sz w:val="16"/>
        </w:rPr>
        <w:t>(1980):</w:t>
      </w:r>
      <w:r>
        <w:rPr>
          <w:color w:val="231F20"/>
          <w:spacing w:val="10"/>
          <w:w w:val="110"/>
          <w:sz w:val="16"/>
        </w:rPr>
        <w:t xml:space="preserve"> </w:t>
      </w:r>
      <w:r>
        <w:rPr>
          <w:color w:val="231F20"/>
          <w:spacing w:val="-4"/>
          <w:w w:val="110"/>
          <w:sz w:val="16"/>
        </w:rPr>
        <w:t>13.</w:t>
      </w:r>
    </w:p>
    <w:p w14:paraId="7BB96A96" w14:textId="77777777" w:rsidR="002653E8" w:rsidRDefault="003115E3">
      <w:pPr>
        <w:pStyle w:val="a4"/>
        <w:numPr>
          <w:ilvl w:val="0"/>
          <w:numId w:val="186"/>
        </w:numPr>
        <w:tabs>
          <w:tab w:val="left" w:pos="1287"/>
        </w:tabs>
        <w:spacing w:before="42" w:line="254" w:lineRule="auto"/>
        <w:ind w:left="1148" w:right="1513" w:firstLine="0"/>
        <w:rPr>
          <w:sz w:val="16"/>
        </w:rPr>
      </w:pPr>
      <w:r>
        <w:rPr>
          <w:color w:val="231F20"/>
          <w:spacing w:val="1"/>
          <w:w w:val="110"/>
          <w:sz w:val="16"/>
        </w:rPr>
        <w:t xml:space="preserve">Karin </w:t>
      </w:r>
      <w:r>
        <w:rPr>
          <w:color w:val="231F20"/>
          <w:w w:val="110"/>
          <w:sz w:val="16"/>
        </w:rPr>
        <w:t xml:space="preserve">Bauer, </w:t>
      </w:r>
      <w:r>
        <w:rPr>
          <w:i/>
          <w:color w:val="231F20"/>
          <w:w w:val="110"/>
          <w:sz w:val="16"/>
        </w:rPr>
        <w:t xml:space="preserve">Everybody Talks About the Weather… </w:t>
      </w:r>
      <w:r>
        <w:rPr>
          <w:i/>
          <w:color w:val="231F20"/>
          <w:spacing w:val="-3"/>
          <w:w w:val="110"/>
          <w:sz w:val="16"/>
        </w:rPr>
        <w:t xml:space="preserve">We </w:t>
      </w:r>
      <w:r>
        <w:rPr>
          <w:i/>
          <w:color w:val="231F20"/>
          <w:w w:val="110"/>
          <w:sz w:val="16"/>
        </w:rPr>
        <w:t xml:space="preserve">Don’t: The Writings of Ulrike Meinhof </w:t>
      </w:r>
      <w:r>
        <w:rPr>
          <w:color w:val="231F20"/>
          <w:w w:val="110"/>
          <w:sz w:val="16"/>
        </w:rPr>
        <w:t xml:space="preserve">(New </w:t>
      </w:r>
      <w:r>
        <w:rPr>
          <w:color w:val="231F20"/>
          <w:spacing w:val="-3"/>
          <w:w w:val="110"/>
          <w:sz w:val="16"/>
        </w:rPr>
        <w:t xml:space="preserve">york: </w:t>
      </w:r>
      <w:r>
        <w:rPr>
          <w:color w:val="231F20"/>
          <w:w w:val="110"/>
          <w:sz w:val="16"/>
        </w:rPr>
        <w:t>Seven Stories Press, 2008),</w:t>
      </w:r>
      <w:r>
        <w:rPr>
          <w:color w:val="231F20"/>
          <w:spacing w:val="6"/>
          <w:w w:val="110"/>
          <w:sz w:val="16"/>
        </w:rPr>
        <w:t xml:space="preserve"> </w:t>
      </w:r>
      <w:r>
        <w:rPr>
          <w:color w:val="231F20"/>
          <w:spacing w:val="-7"/>
          <w:w w:val="110"/>
          <w:sz w:val="16"/>
        </w:rPr>
        <w:t>27.</w:t>
      </w:r>
    </w:p>
    <w:p w14:paraId="133B083D" w14:textId="77777777" w:rsidR="002653E8" w:rsidRDefault="003115E3">
      <w:pPr>
        <w:spacing w:before="40"/>
        <w:ind w:left="1148"/>
        <w:rPr>
          <w:sz w:val="16"/>
        </w:rPr>
      </w:pPr>
      <w:r>
        <w:rPr>
          <w:color w:val="231F20"/>
          <w:w w:val="115"/>
          <w:sz w:val="16"/>
        </w:rPr>
        <w:t>4 Ibid., 30.</w:t>
      </w:r>
    </w:p>
    <w:p w14:paraId="5AB7B67E" w14:textId="77777777" w:rsidR="002653E8" w:rsidRDefault="003115E3">
      <w:pPr>
        <w:spacing w:before="52"/>
        <w:ind w:left="1148"/>
        <w:rPr>
          <w:sz w:val="16"/>
        </w:rPr>
      </w:pPr>
      <w:r>
        <w:rPr>
          <w:color w:val="231F20"/>
          <w:w w:val="110"/>
          <w:sz w:val="16"/>
        </w:rPr>
        <w:t xml:space="preserve">5 “My Mother, The Terrorist”, </w:t>
      </w:r>
      <w:r>
        <w:rPr>
          <w:i/>
          <w:color w:val="231F20"/>
          <w:w w:val="110"/>
          <w:sz w:val="16"/>
        </w:rPr>
        <w:t xml:space="preserve">Deutsche Welle </w:t>
      </w:r>
      <w:r>
        <w:rPr>
          <w:color w:val="231F20"/>
          <w:w w:val="110"/>
          <w:sz w:val="16"/>
        </w:rPr>
        <w:t>[online], March 14, 2006.</w:t>
      </w:r>
    </w:p>
    <w:p w14:paraId="54E0F1AA" w14:textId="77777777" w:rsidR="002653E8" w:rsidRDefault="002653E8">
      <w:pPr>
        <w:rPr>
          <w:sz w:val="16"/>
        </w:rPr>
        <w:sectPr w:rsidR="002653E8">
          <w:pgSz w:w="8640" w:h="12960"/>
          <w:pgMar w:top="1060" w:right="0" w:bottom="1040" w:left="0" w:header="0" w:footer="850" w:gutter="0"/>
          <w:cols w:space="720"/>
        </w:sectPr>
      </w:pPr>
    </w:p>
    <w:p w14:paraId="54A3E431" w14:textId="77777777" w:rsidR="002653E8" w:rsidRDefault="003115E3">
      <w:pPr>
        <w:pStyle w:val="a3"/>
        <w:spacing w:before="86" w:line="264" w:lineRule="auto"/>
        <w:ind w:left="1327" w:right="1146"/>
        <w:jc w:val="both"/>
      </w:pPr>
      <w:r>
        <w:rPr>
          <w:color w:val="231F20"/>
        </w:rPr>
        <w:lastRenderedPageBreak/>
        <w:t>testified, and had their testimony reported in the media, gave an inkling of what Auschwitz meant to a generation of German youth,  who—  quite understandably—now saw their teachers, civic leaders, and even their parents in a horrible new</w:t>
      </w:r>
      <w:r>
        <w:rPr>
          <w:color w:val="231F20"/>
          <w:spacing w:val="18"/>
        </w:rPr>
        <w:t xml:space="preserve"> </w:t>
      </w:r>
      <w:r>
        <w:rPr>
          <w:color w:val="231F20"/>
        </w:rPr>
        <w:t>light.</w:t>
      </w:r>
    </w:p>
    <w:p w14:paraId="2E76190C" w14:textId="77777777" w:rsidR="002653E8" w:rsidRDefault="003115E3">
      <w:pPr>
        <w:pStyle w:val="a3"/>
        <w:spacing w:line="264" w:lineRule="auto"/>
        <w:ind w:left="1327" w:right="1146" w:firstLine="210"/>
        <w:jc w:val="both"/>
      </w:pPr>
      <w:r>
        <w:rPr>
          <w:color w:val="231F20"/>
        </w:rPr>
        <w:t>These trials, and the general “discovery” of the Holocaust, were a radicalizing event for many young people at that time;</w:t>
      </w:r>
      <w:r>
        <w:rPr>
          <w:color w:val="231F20"/>
          <w:position w:val="7"/>
          <w:sz w:val="11"/>
        </w:rPr>
        <w:t xml:space="preserve">6 </w:t>
      </w:r>
      <w:r>
        <w:rPr>
          <w:color w:val="231F20"/>
        </w:rPr>
        <w:t>as one veteran  of</w:t>
      </w:r>
      <w:r>
        <w:rPr>
          <w:color w:val="231F20"/>
          <w:spacing w:val="10"/>
        </w:rPr>
        <w:t xml:space="preserve"> </w:t>
      </w:r>
      <w:r>
        <w:rPr>
          <w:color w:val="231F20"/>
        </w:rPr>
        <w:t>the</w:t>
      </w:r>
      <w:r>
        <w:rPr>
          <w:color w:val="231F20"/>
          <w:spacing w:val="10"/>
        </w:rPr>
        <w:t xml:space="preserve"> </w:t>
      </w:r>
      <w:r>
        <w:rPr>
          <w:color w:val="231F20"/>
        </w:rPr>
        <w:t>New</w:t>
      </w:r>
      <w:r>
        <w:rPr>
          <w:color w:val="231F20"/>
          <w:spacing w:val="10"/>
        </w:rPr>
        <w:t xml:space="preserve"> </w:t>
      </w:r>
      <w:r>
        <w:rPr>
          <w:color w:val="231F20"/>
          <w:spacing w:val="1"/>
        </w:rPr>
        <w:t>Left</w:t>
      </w:r>
      <w:r>
        <w:rPr>
          <w:color w:val="231F20"/>
          <w:spacing w:val="10"/>
        </w:rPr>
        <w:t xml:space="preserve"> </w:t>
      </w:r>
      <w:r>
        <w:rPr>
          <w:color w:val="231F20"/>
        </w:rPr>
        <w:t>would</w:t>
      </w:r>
      <w:r>
        <w:rPr>
          <w:color w:val="231F20"/>
          <w:spacing w:val="10"/>
        </w:rPr>
        <w:t xml:space="preserve"> </w:t>
      </w:r>
      <w:r>
        <w:rPr>
          <w:color w:val="231F20"/>
        </w:rPr>
        <w:t>later</w:t>
      </w:r>
      <w:r>
        <w:rPr>
          <w:color w:val="231F20"/>
          <w:spacing w:val="10"/>
        </w:rPr>
        <w:t xml:space="preserve"> </w:t>
      </w:r>
      <w:r>
        <w:rPr>
          <w:color w:val="231F20"/>
        </w:rPr>
        <w:t>recall:</w:t>
      </w:r>
    </w:p>
    <w:p w14:paraId="03ABB4C2" w14:textId="77777777" w:rsidR="002653E8" w:rsidRDefault="003115E3">
      <w:pPr>
        <w:spacing w:before="122" w:line="276" w:lineRule="auto"/>
        <w:ind w:left="1747" w:right="1565"/>
        <w:jc w:val="both"/>
        <w:rPr>
          <w:i/>
          <w:sz w:val="11"/>
        </w:rPr>
      </w:pPr>
      <w:r>
        <w:rPr>
          <w:i/>
          <w:color w:val="231F20"/>
          <w:w w:val="110"/>
          <w:sz w:val="19"/>
        </w:rPr>
        <w:t>That the Germans could kill millions of human beings just because they had a different faith was utterly inexplicable to me.</w:t>
      </w:r>
      <w:r>
        <w:rPr>
          <w:i/>
          <w:color w:val="231F20"/>
          <w:spacing w:val="-16"/>
          <w:w w:val="110"/>
          <w:sz w:val="19"/>
        </w:rPr>
        <w:t xml:space="preserve"> </w:t>
      </w:r>
      <w:r>
        <w:rPr>
          <w:i/>
          <w:color w:val="231F20"/>
          <w:w w:val="110"/>
          <w:sz w:val="19"/>
        </w:rPr>
        <w:t>My</w:t>
      </w:r>
      <w:r>
        <w:rPr>
          <w:i/>
          <w:color w:val="231F20"/>
          <w:spacing w:val="-12"/>
          <w:w w:val="110"/>
          <w:sz w:val="19"/>
        </w:rPr>
        <w:t xml:space="preserve"> </w:t>
      </w:r>
      <w:r>
        <w:rPr>
          <w:i/>
          <w:color w:val="231F20"/>
          <w:w w:val="110"/>
          <w:sz w:val="19"/>
        </w:rPr>
        <w:t>whole</w:t>
      </w:r>
      <w:r>
        <w:rPr>
          <w:i/>
          <w:color w:val="231F20"/>
          <w:spacing w:val="-12"/>
          <w:w w:val="110"/>
          <w:sz w:val="19"/>
        </w:rPr>
        <w:t xml:space="preserve"> </w:t>
      </w:r>
      <w:r>
        <w:rPr>
          <w:i/>
          <w:color w:val="231F20"/>
          <w:w w:val="110"/>
          <w:sz w:val="19"/>
        </w:rPr>
        <w:t>moral</w:t>
      </w:r>
      <w:r>
        <w:rPr>
          <w:i/>
          <w:color w:val="231F20"/>
          <w:spacing w:val="-12"/>
          <w:w w:val="110"/>
          <w:sz w:val="19"/>
        </w:rPr>
        <w:t xml:space="preserve"> </w:t>
      </w:r>
      <w:r>
        <w:rPr>
          <w:i/>
          <w:color w:val="231F20"/>
          <w:w w:val="110"/>
          <w:sz w:val="19"/>
        </w:rPr>
        <w:t>world</w:t>
      </w:r>
      <w:r>
        <w:rPr>
          <w:i/>
          <w:color w:val="231F20"/>
          <w:spacing w:val="-12"/>
          <w:w w:val="110"/>
          <w:sz w:val="19"/>
        </w:rPr>
        <w:t xml:space="preserve"> </w:t>
      </w:r>
      <w:r>
        <w:rPr>
          <w:i/>
          <w:color w:val="231F20"/>
          <w:w w:val="110"/>
          <w:sz w:val="19"/>
        </w:rPr>
        <w:t>view</w:t>
      </w:r>
      <w:r>
        <w:rPr>
          <w:i/>
          <w:color w:val="231F20"/>
          <w:spacing w:val="-12"/>
          <w:w w:val="110"/>
          <w:sz w:val="19"/>
        </w:rPr>
        <w:t xml:space="preserve"> </w:t>
      </w:r>
      <w:r>
        <w:rPr>
          <w:i/>
          <w:color w:val="231F20"/>
          <w:w w:val="110"/>
          <w:sz w:val="19"/>
        </w:rPr>
        <w:t>shattered,</w:t>
      </w:r>
      <w:r>
        <w:rPr>
          <w:i/>
          <w:color w:val="231F20"/>
          <w:spacing w:val="-16"/>
          <w:w w:val="110"/>
          <w:sz w:val="19"/>
        </w:rPr>
        <w:t xml:space="preserve"> </w:t>
      </w:r>
      <w:r>
        <w:rPr>
          <w:i/>
          <w:color w:val="231F20"/>
          <w:w w:val="110"/>
          <w:sz w:val="19"/>
        </w:rPr>
        <w:t>got</w:t>
      </w:r>
      <w:r>
        <w:rPr>
          <w:i/>
          <w:color w:val="231F20"/>
          <w:spacing w:val="-12"/>
          <w:w w:val="110"/>
          <w:sz w:val="19"/>
        </w:rPr>
        <w:t xml:space="preserve"> </w:t>
      </w:r>
      <w:r>
        <w:rPr>
          <w:i/>
          <w:color w:val="231F20"/>
          <w:w w:val="110"/>
          <w:sz w:val="19"/>
        </w:rPr>
        <w:t>entwined</w:t>
      </w:r>
      <w:r>
        <w:rPr>
          <w:i/>
          <w:color w:val="231F20"/>
          <w:spacing w:val="-12"/>
          <w:w w:val="110"/>
          <w:sz w:val="19"/>
        </w:rPr>
        <w:t xml:space="preserve"> </w:t>
      </w:r>
      <w:r>
        <w:rPr>
          <w:i/>
          <w:color w:val="231F20"/>
          <w:w w:val="110"/>
          <w:sz w:val="19"/>
        </w:rPr>
        <w:t>with</w:t>
      </w:r>
      <w:r>
        <w:rPr>
          <w:i/>
          <w:color w:val="231F20"/>
          <w:spacing w:val="-12"/>
          <w:w w:val="110"/>
          <w:sz w:val="19"/>
        </w:rPr>
        <w:t xml:space="preserve"> </w:t>
      </w:r>
      <w:r>
        <w:rPr>
          <w:i/>
          <w:color w:val="231F20"/>
          <w:w w:val="110"/>
          <w:sz w:val="19"/>
        </w:rPr>
        <w:t>a rigorous</w:t>
      </w:r>
      <w:r>
        <w:rPr>
          <w:i/>
          <w:color w:val="231F20"/>
          <w:spacing w:val="-9"/>
          <w:w w:val="110"/>
          <w:sz w:val="19"/>
        </w:rPr>
        <w:t xml:space="preserve"> </w:t>
      </w:r>
      <w:r>
        <w:rPr>
          <w:i/>
          <w:color w:val="231F20"/>
          <w:w w:val="110"/>
          <w:sz w:val="19"/>
        </w:rPr>
        <w:t>rejection</w:t>
      </w:r>
      <w:r>
        <w:rPr>
          <w:i/>
          <w:color w:val="231F20"/>
          <w:spacing w:val="-9"/>
          <w:w w:val="110"/>
          <w:sz w:val="19"/>
        </w:rPr>
        <w:t xml:space="preserve"> </w:t>
      </w:r>
      <w:r>
        <w:rPr>
          <w:i/>
          <w:color w:val="231F20"/>
          <w:w w:val="110"/>
          <w:sz w:val="19"/>
        </w:rPr>
        <w:t>of</w:t>
      </w:r>
      <w:r>
        <w:rPr>
          <w:i/>
          <w:color w:val="231F20"/>
          <w:spacing w:val="-9"/>
          <w:w w:val="110"/>
          <w:sz w:val="19"/>
        </w:rPr>
        <w:t xml:space="preserve"> </w:t>
      </w:r>
      <w:r>
        <w:rPr>
          <w:i/>
          <w:color w:val="231F20"/>
          <w:w w:val="110"/>
          <w:sz w:val="19"/>
        </w:rPr>
        <w:t>my</w:t>
      </w:r>
      <w:r>
        <w:rPr>
          <w:i/>
          <w:color w:val="231F20"/>
          <w:spacing w:val="-9"/>
          <w:w w:val="110"/>
          <w:sz w:val="19"/>
        </w:rPr>
        <w:t xml:space="preserve"> </w:t>
      </w:r>
      <w:r>
        <w:rPr>
          <w:i/>
          <w:color w:val="231F20"/>
          <w:w w:val="110"/>
          <w:sz w:val="19"/>
        </w:rPr>
        <w:t>parents</w:t>
      </w:r>
      <w:r>
        <w:rPr>
          <w:i/>
          <w:color w:val="231F20"/>
          <w:spacing w:val="-9"/>
          <w:w w:val="110"/>
          <w:sz w:val="19"/>
        </w:rPr>
        <w:t xml:space="preserve"> </w:t>
      </w:r>
      <w:r>
        <w:rPr>
          <w:i/>
          <w:color w:val="231F20"/>
          <w:w w:val="110"/>
          <w:sz w:val="19"/>
        </w:rPr>
        <w:t>and</w:t>
      </w:r>
      <w:r>
        <w:rPr>
          <w:i/>
          <w:color w:val="231F20"/>
          <w:spacing w:val="-9"/>
          <w:w w:val="110"/>
          <w:sz w:val="19"/>
        </w:rPr>
        <w:t xml:space="preserve"> </w:t>
      </w:r>
      <w:r>
        <w:rPr>
          <w:i/>
          <w:color w:val="231F20"/>
          <w:w w:val="110"/>
          <w:sz w:val="19"/>
        </w:rPr>
        <w:t>school.</w:t>
      </w:r>
      <w:r>
        <w:rPr>
          <w:i/>
          <w:color w:val="231F20"/>
          <w:spacing w:val="-13"/>
          <w:w w:val="110"/>
          <w:sz w:val="19"/>
        </w:rPr>
        <w:t xml:space="preserve"> </w:t>
      </w:r>
      <w:r>
        <w:rPr>
          <w:i/>
          <w:color w:val="231F20"/>
          <w:w w:val="110"/>
          <w:sz w:val="19"/>
        </w:rPr>
        <w:t>If</w:t>
      </w:r>
      <w:r>
        <w:rPr>
          <w:i/>
          <w:color w:val="231F20"/>
          <w:spacing w:val="-9"/>
          <w:w w:val="110"/>
          <w:sz w:val="19"/>
        </w:rPr>
        <w:t xml:space="preserve"> </w:t>
      </w:r>
      <w:r>
        <w:rPr>
          <w:i/>
          <w:color w:val="231F20"/>
          <w:w w:val="110"/>
          <w:sz w:val="19"/>
        </w:rPr>
        <w:t>religion</w:t>
      </w:r>
      <w:r>
        <w:rPr>
          <w:i/>
          <w:color w:val="231F20"/>
          <w:spacing w:val="-9"/>
          <w:w w:val="110"/>
          <w:sz w:val="19"/>
        </w:rPr>
        <w:t xml:space="preserve"> </w:t>
      </w:r>
      <w:r>
        <w:rPr>
          <w:i/>
          <w:color w:val="231F20"/>
          <w:w w:val="110"/>
          <w:sz w:val="19"/>
        </w:rPr>
        <w:t>had</w:t>
      </w:r>
      <w:r>
        <w:rPr>
          <w:i/>
          <w:color w:val="231F20"/>
          <w:spacing w:val="-9"/>
          <w:w w:val="110"/>
          <w:sz w:val="19"/>
        </w:rPr>
        <w:t xml:space="preserve"> </w:t>
      </w:r>
      <w:r>
        <w:rPr>
          <w:i/>
          <w:color w:val="231F20"/>
          <w:w w:val="110"/>
          <w:sz w:val="19"/>
        </w:rPr>
        <w:t>not prevented this mass destruction of human beings, then it is</w:t>
      </w:r>
      <w:r>
        <w:rPr>
          <w:i/>
          <w:color w:val="231F20"/>
          <w:spacing w:val="-13"/>
          <w:w w:val="110"/>
          <w:sz w:val="19"/>
        </w:rPr>
        <w:t xml:space="preserve"> </w:t>
      </w:r>
      <w:r>
        <w:rPr>
          <w:i/>
          <w:color w:val="231F20"/>
          <w:w w:val="110"/>
          <w:sz w:val="19"/>
        </w:rPr>
        <w:t>no good</w:t>
      </w:r>
      <w:r>
        <w:rPr>
          <w:i/>
          <w:color w:val="231F20"/>
          <w:spacing w:val="-8"/>
          <w:w w:val="110"/>
          <w:sz w:val="19"/>
        </w:rPr>
        <w:t xml:space="preserve"> </w:t>
      </w:r>
      <w:r>
        <w:rPr>
          <w:i/>
          <w:color w:val="231F20"/>
          <w:w w:val="110"/>
          <w:sz w:val="19"/>
        </w:rPr>
        <w:t>for</w:t>
      </w:r>
      <w:r>
        <w:rPr>
          <w:i/>
          <w:color w:val="231F20"/>
          <w:spacing w:val="-8"/>
          <w:w w:val="110"/>
          <w:sz w:val="19"/>
        </w:rPr>
        <w:t xml:space="preserve"> </w:t>
      </w:r>
      <w:r>
        <w:rPr>
          <w:i/>
          <w:color w:val="231F20"/>
          <w:w w:val="110"/>
          <w:sz w:val="19"/>
        </w:rPr>
        <w:t>anything,</w:t>
      </w:r>
      <w:r>
        <w:rPr>
          <w:i/>
          <w:color w:val="231F20"/>
          <w:spacing w:val="-12"/>
          <w:w w:val="110"/>
          <w:sz w:val="19"/>
        </w:rPr>
        <w:t xml:space="preserve"> </w:t>
      </w:r>
      <w:r>
        <w:rPr>
          <w:i/>
          <w:color w:val="231F20"/>
          <w:w w:val="110"/>
          <w:sz w:val="19"/>
        </w:rPr>
        <w:t>then</w:t>
      </w:r>
      <w:r>
        <w:rPr>
          <w:i/>
          <w:color w:val="231F20"/>
          <w:spacing w:val="-8"/>
          <w:w w:val="110"/>
          <w:sz w:val="19"/>
        </w:rPr>
        <w:t xml:space="preserve"> </w:t>
      </w:r>
      <w:r>
        <w:rPr>
          <w:i/>
          <w:color w:val="231F20"/>
          <w:w w:val="110"/>
          <w:sz w:val="19"/>
        </w:rPr>
        <w:t>the</w:t>
      </w:r>
      <w:r>
        <w:rPr>
          <w:i/>
          <w:color w:val="231F20"/>
          <w:spacing w:val="-8"/>
          <w:w w:val="110"/>
          <w:sz w:val="19"/>
        </w:rPr>
        <w:t xml:space="preserve"> </w:t>
      </w:r>
      <w:r>
        <w:rPr>
          <w:i/>
          <w:color w:val="231F20"/>
          <w:w w:val="110"/>
          <w:sz w:val="19"/>
        </w:rPr>
        <w:t>whole</w:t>
      </w:r>
      <w:r>
        <w:rPr>
          <w:i/>
          <w:color w:val="231F20"/>
          <w:spacing w:val="-8"/>
          <w:w w:val="110"/>
          <w:sz w:val="19"/>
        </w:rPr>
        <w:t xml:space="preserve"> </w:t>
      </w:r>
      <w:r>
        <w:rPr>
          <w:i/>
          <w:color w:val="231F20"/>
          <w:w w:val="110"/>
          <w:sz w:val="19"/>
        </w:rPr>
        <w:t>talk</w:t>
      </w:r>
      <w:r>
        <w:rPr>
          <w:i/>
          <w:color w:val="231F20"/>
          <w:spacing w:val="-8"/>
          <w:w w:val="110"/>
          <w:sz w:val="19"/>
        </w:rPr>
        <w:t xml:space="preserve"> </w:t>
      </w:r>
      <w:r>
        <w:rPr>
          <w:i/>
          <w:color w:val="231F20"/>
          <w:w w:val="110"/>
          <w:sz w:val="19"/>
        </w:rPr>
        <w:t>of</w:t>
      </w:r>
      <w:r>
        <w:rPr>
          <w:i/>
          <w:color w:val="231F20"/>
          <w:spacing w:val="-8"/>
          <w:w w:val="110"/>
          <w:sz w:val="19"/>
        </w:rPr>
        <w:t xml:space="preserve"> </w:t>
      </w:r>
      <w:r>
        <w:rPr>
          <w:i/>
          <w:color w:val="231F20"/>
          <w:w w:val="110"/>
          <w:sz w:val="19"/>
        </w:rPr>
        <w:t>love</w:t>
      </w:r>
      <w:r>
        <w:rPr>
          <w:i/>
          <w:color w:val="231F20"/>
          <w:spacing w:val="-8"/>
          <w:w w:val="110"/>
          <w:sz w:val="19"/>
        </w:rPr>
        <w:t xml:space="preserve"> </w:t>
      </w:r>
      <w:r>
        <w:rPr>
          <w:i/>
          <w:color w:val="231F20"/>
          <w:w w:val="110"/>
          <w:sz w:val="19"/>
        </w:rPr>
        <w:t>of</w:t>
      </w:r>
      <w:r>
        <w:rPr>
          <w:i/>
          <w:color w:val="231F20"/>
          <w:spacing w:val="-8"/>
          <w:w w:val="110"/>
          <w:sz w:val="19"/>
        </w:rPr>
        <w:t xml:space="preserve"> </w:t>
      </w:r>
      <w:r>
        <w:rPr>
          <w:i/>
          <w:color w:val="231F20"/>
          <w:w w:val="110"/>
          <w:sz w:val="19"/>
        </w:rPr>
        <w:t>your</w:t>
      </w:r>
      <w:r>
        <w:rPr>
          <w:i/>
          <w:color w:val="231F20"/>
          <w:spacing w:val="-8"/>
          <w:w w:val="110"/>
          <w:sz w:val="19"/>
        </w:rPr>
        <w:t xml:space="preserve"> </w:t>
      </w:r>
      <w:r>
        <w:rPr>
          <w:i/>
          <w:color w:val="231F20"/>
          <w:w w:val="110"/>
          <w:sz w:val="19"/>
        </w:rPr>
        <w:t>neighbor and of meekness. . . was just a</w:t>
      </w:r>
      <w:r>
        <w:rPr>
          <w:i/>
          <w:color w:val="231F20"/>
          <w:spacing w:val="7"/>
          <w:w w:val="110"/>
          <w:sz w:val="19"/>
        </w:rPr>
        <w:t xml:space="preserve"> </w:t>
      </w:r>
      <w:r>
        <w:rPr>
          <w:i/>
          <w:color w:val="231F20"/>
          <w:w w:val="110"/>
          <w:sz w:val="19"/>
        </w:rPr>
        <w:t>lie.</w:t>
      </w:r>
      <w:r>
        <w:rPr>
          <w:i/>
          <w:color w:val="231F20"/>
          <w:w w:val="110"/>
          <w:position w:val="6"/>
          <w:sz w:val="11"/>
        </w:rPr>
        <w:t>7</w:t>
      </w:r>
    </w:p>
    <w:p w14:paraId="6D423052" w14:textId="77777777" w:rsidR="002653E8" w:rsidRDefault="003115E3">
      <w:pPr>
        <w:pStyle w:val="a3"/>
        <w:spacing w:before="132" w:line="264" w:lineRule="auto"/>
        <w:ind w:left="1327" w:right="1145"/>
        <w:jc w:val="both"/>
      </w:pPr>
      <w:r>
        <w:rPr>
          <w:color w:val="231F20"/>
        </w:rPr>
        <w:t xml:space="preserve">Despite what in retrospect may seem to have been a growing potential for revolt, during these early years, the SDS was silent, turned inward, engaging in “seminar Marxism” as it found its bearings outside of the SPD and struggled to elaborate a consistent analysis and strategy. When it did return to the public arena, it was as a small, consciously antiimperialist organization influenced by the experiences of China, Cuba, Algeria, and Vietnam, advancing the analysis that “liberation movements in the Third </w:t>
      </w:r>
      <w:r>
        <w:rPr>
          <w:color w:val="231F20"/>
          <w:spacing w:val="-3"/>
        </w:rPr>
        <w:t xml:space="preserve">World, </w:t>
      </w:r>
      <w:r>
        <w:rPr>
          <w:color w:val="231F20"/>
        </w:rPr>
        <w:t>marginal groups in society, and socialist intellectuals now constituted the revolutionary subject in society and the appropriate strategy was direct action.”</w:t>
      </w:r>
      <w:r>
        <w:rPr>
          <w:color w:val="231F20"/>
          <w:position w:val="7"/>
          <w:sz w:val="11"/>
        </w:rPr>
        <w:t xml:space="preserve">8 </w:t>
      </w:r>
      <w:r>
        <w:rPr>
          <w:color w:val="231F20"/>
        </w:rPr>
        <w:t xml:space="preserve">(It is worth noting that the German Democratic Republic was pointedly </w:t>
      </w:r>
      <w:r>
        <w:rPr>
          <w:i/>
          <w:color w:val="231F20"/>
        </w:rPr>
        <w:t xml:space="preserve">not </w:t>
      </w:r>
      <w:r>
        <w:rPr>
          <w:color w:val="231F20"/>
        </w:rPr>
        <w:t>one of the ideological reference points for the new</w:t>
      </w:r>
      <w:r>
        <w:rPr>
          <w:color w:val="231F20"/>
          <w:spacing w:val="8"/>
        </w:rPr>
        <w:t xml:space="preserve"> </w:t>
      </w:r>
      <w:r>
        <w:rPr>
          <w:color w:val="231F20"/>
          <w:spacing w:val="-3"/>
        </w:rPr>
        <w:t>SDS.)</w:t>
      </w:r>
    </w:p>
    <w:p w14:paraId="1F449C52" w14:textId="77777777" w:rsidR="002653E8" w:rsidRDefault="003115E3">
      <w:pPr>
        <w:pStyle w:val="a3"/>
        <w:spacing w:line="221" w:lineRule="exact"/>
        <w:ind w:left="1537"/>
      </w:pPr>
      <w:r>
        <w:rPr>
          <w:color w:val="231F20"/>
        </w:rPr>
        <w:t>A line was crossed when Moise Tschombe visited Berlin in December</w:t>
      </w:r>
    </w:p>
    <w:p w14:paraId="262DCA3C" w14:textId="77777777" w:rsidR="002653E8" w:rsidRDefault="003115E3">
      <w:pPr>
        <w:pStyle w:val="a3"/>
        <w:spacing w:before="23" w:line="264" w:lineRule="auto"/>
        <w:ind w:left="1327" w:right="1145"/>
        <w:jc w:val="both"/>
      </w:pPr>
      <w:r>
        <w:rPr>
          <w:color w:val="231F20"/>
          <w:spacing w:val="-4"/>
        </w:rPr>
        <w:t xml:space="preserve">1964. </w:t>
      </w:r>
      <w:r>
        <w:rPr>
          <w:color w:val="231F20"/>
          <w:spacing w:val="-8"/>
        </w:rPr>
        <w:t xml:space="preserve">To </w:t>
      </w:r>
      <w:r>
        <w:rPr>
          <w:color w:val="231F20"/>
        </w:rPr>
        <w:t xml:space="preserve">the applause of the </w:t>
      </w:r>
      <w:r>
        <w:rPr>
          <w:color w:val="231F20"/>
          <w:spacing w:val="-3"/>
        </w:rPr>
        <w:t xml:space="preserve">West </w:t>
      </w:r>
      <w:r>
        <w:rPr>
          <w:color w:val="231F20"/>
        </w:rPr>
        <w:t xml:space="preserve">German ruling class, and with the  help of German mercenaries, Tschombe had led a </w:t>
      </w:r>
      <w:r>
        <w:rPr>
          <w:color w:val="231F20"/>
          <w:spacing w:val="-3"/>
        </w:rPr>
        <w:t xml:space="preserve">bloody, </w:t>
      </w:r>
      <w:r>
        <w:rPr>
          <w:color w:val="231F20"/>
        </w:rPr>
        <w:t xml:space="preserve">anticommunist secession in the Congolese province of Katanga. He was considered responsible for the </w:t>
      </w:r>
      <w:r>
        <w:rPr>
          <w:color w:val="231F20"/>
          <w:spacing w:val="-6"/>
        </w:rPr>
        <w:t xml:space="preserve">1961 </w:t>
      </w:r>
      <w:r>
        <w:rPr>
          <w:color w:val="231F20"/>
        </w:rPr>
        <w:t>murder of Patrice Lumumba, the first president of the Congo and a beloved symbol of the anticolonial struggle       in</w:t>
      </w:r>
      <w:r>
        <w:rPr>
          <w:color w:val="231F20"/>
          <w:spacing w:val="10"/>
        </w:rPr>
        <w:t xml:space="preserve"> </w:t>
      </w:r>
      <w:r>
        <w:rPr>
          <w:color w:val="231F20"/>
        </w:rPr>
        <w:t>Africa.</w:t>
      </w:r>
    </w:p>
    <w:p w14:paraId="45B42E79" w14:textId="77777777" w:rsidR="002653E8" w:rsidRDefault="00000000">
      <w:pPr>
        <w:pStyle w:val="a3"/>
        <w:spacing w:before="9"/>
        <w:rPr>
          <w:sz w:val="27"/>
        </w:rPr>
      </w:pPr>
      <w:r>
        <w:rPr>
          <w:noProof w:val="0"/>
        </w:rPr>
        <w:pict w14:anchorId="12BCAA94">
          <v:line id="_x0000_s2678" style="position:absolute;z-index:2008;mso-wrap-distance-left:0;mso-wrap-distance-right:0;mso-position-horizontal-relative:page" from="66.4pt,18.5pt" to="138.4pt,18.5pt" strokecolor="#231f20" strokeweight=".5pt">
            <w10:wrap type="topAndBottom" anchorx="page"/>
          </v:line>
        </w:pict>
      </w:r>
    </w:p>
    <w:p w14:paraId="2C67A728" w14:textId="77777777" w:rsidR="002653E8" w:rsidRDefault="003115E3">
      <w:pPr>
        <w:pStyle w:val="a4"/>
        <w:numPr>
          <w:ilvl w:val="0"/>
          <w:numId w:val="33"/>
        </w:numPr>
        <w:tabs>
          <w:tab w:val="left" w:pos="1467"/>
        </w:tabs>
        <w:spacing w:before="53" w:line="254" w:lineRule="auto"/>
        <w:ind w:right="1315" w:hanging="1"/>
        <w:jc w:val="both"/>
        <w:rPr>
          <w:sz w:val="16"/>
        </w:rPr>
      </w:pPr>
      <w:r>
        <w:rPr>
          <w:color w:val="231F20"/>
          <w:w w:val="105"/>
          <w:sz w:val="16"/>
        </w:rPr>
        <w:t xml:space="preserve">Hockenos, </w:t>
      </w:r>
      <w:r>
        <w:rPr>
          <w:color w:val="231F20"/>
          <w:spacing w:val="-4"/>
          <w:w w:val="105"/>
          <w:sz w:val="16"/>
        </w:rPr>
        <w:t xml:space="preserve">34-35. </w:t>
      </w:r>
      <w:r>
        <w:rPr>
          <w:color w:val="231F20"/>
          <w:spacing w:val="1"/>
          <w:w w:val="105"/>
          <w:sz w:val="16"/>
        </w:rPr>
        <w:t xml:space="preserve">See </w:t>
      </w:r>
      <w:r>
        <w:rPr>
          <w:color w:val="231F20"/>
          <w:w w:val="105"/>
          <w:sz w:val="16"/>
        </w:rPr>
        <w:t xml:space="preserve">also Dagmar Herzog, “‘Pleasure, Sex, and Politics Belong Together’: Post-Holocaust Memory and the </w:t>
      </w:r>
      <w:r>
        <w:rPr>
          <w:color w:val="231F20"/>
          <w:spacing w:val="1"/>
          <w:w w:val="105"/>
          <w:sz w:val="16"/>
        </w:rPr>
        <w:t xml:space="preserve">Sexual </w:t>
      </w:r>
      <w:r>
        <w:rPr>
          <w:color w:val="231F20"/>
          <w:w w:val="105"/>
          <w:sz w:val="16"/>
        </w:rPr>
        <w:t xml:space="preserve">Revolution in West Germany,” </w:t>
      </w:r>
      <w:r>
        <w:rPr>
          <w:i/>
          <w:color w:val="231F20"/>
          <w:spacing w:val="1"/>
          <w:w w:val="105"/>
          <w:sz w:val="16"/>
        </w:rPr>
        <w:t xml:space="preserve">Critical </w:t>
      </w:r>
      <w:r>
        <w:rPr>
          <w:i/>
          <w:color w:val="231F20"/>
          <w:w w:val="105"/>
          <w:sz w:val="16"/>
        </w:rPr>
        <w:t xml:space="preserve">Inquiry </w:t>
      </w:r>
      <w:r>
        <w:rPr>
          <w:color w:val="231F20"/>
          <w:w w:val="105"/>
          <w:sz w:val="16"/>
        </w:rPr>
        <w:t xml:space="preserve">24, 2: Intimacy, (Winter </w:t>
      </w:r>
      <w:r>
        <w:rPr>
          <w:color w:val="231F20"/>
          <w:spacing w:val="-3"/>
          <w:w w:val="105"/>
          <w:sz w:val="16"/>
        </w:rPr>
        <w:t>1988):</w:t>
      </w:r>
      <w:r>
        <w:rPr>
          <w:color w:val="231F20"/>
          <w:spacing w:val="-2"/>
          <w:w w:val="105"/>
          <w:sz w:val="16"/>
        </w:rPr>
        <w:t xml:space="preserve"> </w:t>
      </w:r>
      <w:r>
        <w:rPr>
          <w:color w:val="231F20"/>
          <w:w w:val="105"/>
          <w:sz w:val="16"/>
        </w:rPr>
        <w:t>402-403.</w:t>
      </w:r>
    </w:p>
    <w:p w14:paraId="1F848326" w14:textId="77777777" w:rsidR="002653E8" w:rsidRPr="00C507A5" w:rsidRDefault="003115E3">
      <w:pPr>
        <w:pStyle w:val="a4"/>
        <w:numPr>
          <w:ilvl w:val="0"/>
          <w:numId w:val="33"/>
        </w:numPr>
        <w:tabs>
          <w:tab w:val="left" w:pos="1467"/>
        </w:tabs>
        <w:ind w:left="1466" w:hanging="138"/>
        <w:jc w:val="both"/>
        <w:rPr>
          <w:sz w:val="16"/>
          <w:lang w:val="de-DE"/>
        </w:rPr>
      </w:pPr>
      <w:r w:rsidRPr="00C507A5">
        <w:rPr>
          <w:color w:val="231F20"/>
          <w:w w:val="105"/>
          <w:sz w:val="16"/>
          <w:lang w:val="de-DE"/>
        </w:rPr>
        <w:t>Eberhard Knodler-Bunte, in Herzog,</w:t>
      </w:r>
      <w:r w:rsidRPr="00C507A5">
        <w:rPr>
          <w:color w:val="231F20"/>
          <w:spacing w:val="35"/>
          <w:w w:val="105"/>
          <w:sz w:val="16"/>
          <w:lang w:val="de-DE"/>
        </w:rPr>
        <w:t xml:space="preserve"> </w:t>
      </w:r>
      <w:r w:rsidRPr="00C507A5">
        <w:rPr>
          <w:color w:val="231F20"/>
          <w:spacing w:val="-3"/>
          <w:w w:val="105"/>
          <w:sz w:val="16"/>
          <w:lang w:val="de-DE"/>
        </w:rPr>
        <w:t>416.</w:t>
      </w:r>
    </w:p>
    <w:p w14:paraId="39A80592" w14:textId="77777777" w:rsidR="002653E8" w:rsidRDefault="003115E3">
      <w:pPr>
        <w:pStyle w:val="a4"/>
        <w:numPr>
          <w:ilvl w:val="0"/>
          <w:numId w:val="33"/>
        </w:numPr>
        <w:tabs>
          <w:tab w:val="left" w:pos="1467"/>
        </w:tabs>
        <w:spacing w:before="52"/>
        <w:ind w:left="1466" w:hanging="138"/>
        <w:jc w:val="both"/>
        <w:rPr>
          <w:sz w:val="16"/>
        </w:rPr>
      </w:pPr>
      <w:r>
        <w:rPr>
          <w:color w:val="231F20"/>
          <w:w w:val="110"/>
          <w:sz w:val="16"/>
        </w:rPr>
        <w:t>Hülsberg,</w:t>
      </w:r>
      <w:r>
        <w:rPr>
          <w:color w:val="231F20"/>
          <w:spacing w:val="6"/>
          <w:w w:val="110"/>
          <w:sz w:val="16"/>
        </w:rPr>
        <w:t xml:space="preserve"> </w:t>
      </w:r>
      <w:r>
        <w:rPr>
          <w:color w:val="231F20"/>
          <w:spacing w:val="-4"/>
          <w:w w:val="110"/>
          <w:sz w:val="16"/>
        </w:rPr>
        <w:t>39.</w:t>
      </w:r>
    </w:p>
    <w:p w14:paraId="7DEA97CA" w14:textId="77777777" w:rsidR="002653E8" w:rsidRDefault="002653E8">
      <w:pPr>
        <w:jc w:val="both"/>
        <w:rPr>
          <w:sz w:val="16"/>
        </w:rPr>
        <w:sectPr w:rsidR="002653E8">
          <w:pgSz w:w="8640" w:h="12960"/>
          <w:pgMar w:top="1060" w:right="0" w:bottom="1040" w:left="0" w:header="0" w:footer="850" w:gutter="0"/>
          <w:cols w:space="720"/>
        </w:sectPr>
      </w:pPr>
    </w:p>
    <w:p w14:paraId="2BCE13D9" w14:textId="77777777" w:rsidR="002653E8" w:rsidRDefault="003115E3">
      <w:pPr>
        <w:pStyle w:val="a3"/>
        <w:spacing w:before="86" w:line="264" w:lineRule="auto"/>
        <w:ind w:left="1147" w:right="1326" w:firstLine="210"/>
        <w:jc w:val="both"/>
        <w:rPr>
          <w:sz w:val="11"/>
        </w:rPr>
      </w:pPr>
      <w:r>
        <w:rPr>
          <w:color w:val="231F20"/>
        </w:rPr>
        <w:lastRenderedPageBreak/>
        <w:t xml:space="preserve">Hundreds of protesters turned out against Tschombe, and when the police tried to clear them </w:t>
      </w:r>
      <w:r>
        <w:rPr>
          <w:color w:val="231F20"/>
          <w:spacing w:val="-5"/>
        </w:rPr>
        <w:t xml:space="preserve">away,  </w:t>
      </w:r>
      <w:r>
        <w:rPr>
          <w:color w:val="231F20"/>
        </w:rPr>
        <w:t xml:space="preserve">they fought back in what would later   be described as the starting point of the antiauthoritarian  revolt  in </w:t>
      </w:r>
      <w:r>
        <w:rPr>
          <w:color w:val="231F20"/>
          <w:spacing w:val="-3"/>
        </w:rPr>
        <w:t>West</w:t>
      </w:r>
      <w:r>
        <w:rPr>
          <w:color w:val="231F20"/>
          <w:spacing w:val="10"/>
        </w:rPr>
        <w:t xml:space="preserve"> </w:t>
      </w:r>
      <w:r>
        <w:rPr>
          <w:color w:val="231F20"/>
        </w:rPr>
        <w:t>Germany.</w:t>
      </w:r>
      <w:r>
        <w:rPr>
          <w:color w:val="231F20"/>
          <w:position w:val="7"/>
          <w:sz w:val="11"/>
        </w:rPr>
        <w:t>1</w:t>
      </w:r>
    </w:p>
    <w:p w14:paraId="1BDC423A" w14:textId="77777777" w:rsidR="002653E8" w:rsidRDefault="003115E3">
      <w:pPr>
        <w:pStyle w:val="a3"/>
        <w:spacing w:line="264" w:lineRule="auto"/>
        <w:ind w:left="1148" w:right="1325" w:firstLine="209"/>
        <w:jc w:val="both"/>
      </w:pPr>
      <w:r>
        <w:rPr>
          <w:color w:val="231F20"/>
        </w:rPr>
        <w:t>The SDS played a prominent part in this protest. Based on univer sity campuses, it was becoming the  most  important  organization  in the growing and increasingly militant protest movement against imperialist domination of the global South, most especially against  the war in Indochina. Demonstrations ceased to be the timid rituals they had been; for the first time in decades, student protests escalated into street</w:t>
      </w:r>
      <w:r>
        <w:rPr>
          <w:color w:val="231F20"/>
          <w:spacing w:val="10"/>
        </w:rPr>
        <w:t xml:space="preserve"> </w:t>
      </w:r>
      <w:r>
        <w:rPr>
          <w:color w:val="231F20"/>
        </w:rPr>
        <w:t>fighting.</w:t>
      </w:r>
    </w:p>
    <w:p w14:paraId="6BE56F1A" w14:textId="77777777" w:rsidR="002653E8" w:rsidRDefault="003115E3">
      <w:pPr>
        <w:pStyle w:val="a3"/>
        <w:spacing w:line="264" w:lineRule="auto"/>
        <w:ind w:left="1147" w:right="1325" w:firstLine="210"/>
        <w:jc w:val="both"/>
        <w:rPr>
          <w:sz w:val="11"/>
        </w:rPr>
      </w:pPr>
      <w:r>
        <w:rPr>
          <w:color w:val="231F20"/>
          <w:spacing w:val="-4"/>
        </w:rPr>
        <w:t xml:space="preserve">1964 </w:t>
      </w:r>
      <w:r>
        <w:rPr>
          <w:color w:val="231F20"/>
        </w:rPr>
        <w:t xml:space="preserve">was also a year of change for </w:t>
      </w:r>
      <w:r>
        <w:rPr>
          <w:i/>
          <w:color w:val="231F20"/>
        </w:rPr>
        <w:t>konkret</w:t>
      </w:r>
      <w:r>
        <w:rPr>
          <w:color w:val="231F20"/>
        </w:rPr>
        <w:t xml:space="preserve">. The communist world  was at the time deeply divided by the falling out between the Soviet Union and the </w:t>
      </w:r>
      <w:r>
        <w:rPr>
          <w:color w:val="231F20"/>
          <w:spacing w:val="-3"/>
        </w:rPr>
        <w:t xml:space="preserve">People’s </w:t>
      </w:r>
      <w:r>
        <w:rPr>
          <w:color w:val="231F20"/>
        </w:rPr>
        <w:t xml:space="preserve">Republic of China. Over the years, this split would only become more bitter until each side came to see the other    as being objectively as bad </w:t>
      </w:r>
      <w:r>
        <w:rPr>
          <w:color w:val="231F20"/>
          <w:spacing w:val="2"/>
        </w:rPr>
        <w:t xml:space="preserve">as—or </w:t>
      </w:r>
      <w:r>
        <w:rPr>
          <w:color w:val="231F20"/>
        </w:rPr>
        <w:t xml:space="preserve">even worse than!—the imperialism represented by the United States. Despite its ties to the KPD, </w:t>
      </w:r>
      <w:r>
        <w:rPr>
          <w:i/>
          <w:color w:val="231F20"/>
        </w:rPr>
        <w:t xml:space="preserve">konkret </w:t>
      </w:r>
      <w:r>
        <w:rPr>
          <w:color w:val="231F20"/>
        </w:rPr>
        <w:t>was taking an increasingly pro-Chinese line, going so far as to support China’s acquiring nuclear weapons. At this, its East  German  patrons lost patience, and after failing to browbeat Meinhof into submission at   a secret meeting in East Berlin, they cut off all funding.</w:t>
      </w:r>
      <w:r>
        <w:rPr>
          <w:color w:val="231F20"/>
          <w:position w:val="7"/>
          <w:sz w:val="11"/>
        </w:rPr>
        <w:t xml:space="preserve">2 </w:t>
      </w:r>
      <w:r>
        <w:rPr>
          <w:color w:val="231F20"/>
          <w:spacing w:val="1"/>
        </w:rPr>
        <w:t xml:space="preserve">In </w:t>
      </w:r>
      <w:r>
        <w:rPr>
          <w:color w:val="231F20"/>
        </w:rPr>
        <w:t xml:space="preserve">their </w:t>
      </w:r>
      <w:r>
        <w:rPr>
          <w:color w:val="231F20"/>
          <w:spacing w:val="1"/>
        </w:rPr>
        <w:t xml:space="preserve">turn, </w:t>
      </w:r>
      <w:r>
        <w:rPr>
          <w:color w:val="231F20"/>
        </w:rPr>
        <w:t xml:space="preserve">Meinhof and Röhl resigned from the KPD. As a solution to this new    lack of </w:t>
      </w:r>
      <w:r>
        <w:rPr>
          <w:color w:val="231F20"/>
          <w:spacing w:val="-3"/>
        </w:rPr>
        <w:t xml:space="preserve">money, </w:t>
      </w:r>
      <w:r>
        <w:rPr>
          <w:color w:val="231F20"/>
        </w:rPr>
        <w:t>Röhl made drastic changes to the magazine’s presentation, turning it into a glossy publication which now featured scantilyclad</w:t>
      </w:r>
      <w:r>
        <w:rPr>
          <w:color w:val="231F20"/>
          <w:spacing w:val="10"/>
        </w:rPr>
        <w:t xml:space="preserve"> </w:t>
      </w:r>
      <w:r>
        <w:rPr>
          <w:color w:val="231F20"/>
        </w:rPr>
        <w:t>women</w:t>
      </w:r>
      <w:r>
        <w:rPr>
          <w:color w:val="231F20"/>
          <w:spacing w:val="10"/>
        </w:rPr>
        <w:t xml:space="preserve"> </w:t>
      </w:r>
      <w:r>
        <w:rPr>
          <w:color w:val="231F20"/>
        </w:rPr>
        <w:t>in</w:t>
      </w:r>
      <w:r>
        <w:rPr>
          <w:color w:val="231F20"/>
          <w:spacing w:val="10"/>
        </w:rPr>
        <w:t xml:space="preserve"> </w:t>
      </w:r>
      <w:r>
        <w:rPr>
          <w:color w:val="231F20"/>
        </w:rPr>
        <w:t>every</w:t>
      </w:r>
      <w:r>
        <w:rPr>
          <w:color w:val="231F20"/>
          <w:spacing w:val="10"/>
        </w:rPr>
        <w:t xml:space="preserve"> </w:t>
      </w:r>
      <w:r>
        <w:rPr>
          <w:color w:val="231F20"/>
        </w:rPr>
        <w:t>issue—its</w:t>
      </w:r>
      <w:r>
        <w:rPr>
          <w:color w:val="231F20"/>
          <w:spacing w:val="10"/>
        </w:rPr>
        <w:t xml:space="preserve"> </w:t>
      </w:r>
      <w:r>
        <w:rPr>
          <w:color w:val="231F20"/>
        </w:rPr>
        <w:t>circulation</w:t>
      </w:r>
      <w:r>
        <w:rPr>
          <w:color w:val="231F20"/>
          <w:spacing w:val="10"/>
        </w:rPr>
        <w:t xml:space="preserve"> </w:t>
      </w:r>
      <w:r>
        <w:rPr>
          <w:color w:val="231F20"/>
        </w:rPr>
        <w:t>almost</w:t>
      </w:r>
      <w:r>
        <w:rPr>
          <w:color w:val="231F20"/>
          <w:spacing w:val="10"/>
        </w:rPr>
        <w:t xml:space="preserve"> </w:t>
      </w:r>
      <w:r>
        <w:rPr>
          <w:color w:val="231F20"/>
        </w:rPr>
        <w:t>tripled.</w:t>
      </w:r>
      <w:r>
        <w:rPr>
          <w:color w:val="231F20"/>
          <w:position w:val="7"/>
          <w:sz w:val="11"/>
        </w:rPr>
        <w:t>3</w:t>
      </w:r>
    </w:p>
    <w:p w14:paraId="5BE435F3" w14:textId="77777777" w:rsidR="002653E8" w:rsidRDefault="003115E3">
      <w:pPr>
        <w:pStyle w:val="a3"/>
        <w:spacing w:line="220" w:lineRule="exact"/>
        <w:ind w:left="1357"/>
      </w:pPr>
      <w:r>
        <w:rPr>
          <w:color w:val="231F20"/>
        </w:rPr>
        <w:t>Far from suffering as a result of their separation from the SPD,</w:t>
      </w:r>
    </w:p>
    <w:p w14:paraId="5CF68EB5" w14:textId="77777777" w:rsidR="002653E8" w:rsidRDefault="003115E3">
      <w:pPr>
        <w:pStyle w:val="a3"/>
        <w:spacing w:before="11" w:line="264" w:lineRule="auto"/>
        <w:ind w:left="1147" w:right="1327"/>
        <w:jc w:val="both"/>
      </w:pPr>
      <w:r>
        <w:rPr>
          <w:color w:val="231F20"/>
        </w:rPr>
        <w:t xml:space="preserve">the SDS, </w:t>
      </w:r>
      <w:r>
        <w:rPr>
          <w:i/>
          <w:color w:val="231F20"/>
        </w:rPr>
        <w:t>konkret</w:t>
      </w:r>
      <w:r>
        <w:rPr>
          <w:color w:val="231F20"/>
        </w:rPr>
        <w:t>, and others on the left were now particularly well placed to benefit from a series of economic and political developments, even though these were not of their doing and lay well beyond their control.</w:t>
      </w:r>
    </w:p>
    <w:p w14:paraId="79CD9103" w14:textId="77777777" w:rsidR="002653E8" w:rsidRDefault="003115E3">
      <w:pPr>
        <w:pStyle w:val="a3"/>
        <w:spacing w:line="264" w:lineRule="auto"/>
        <w:ind w:left="1147" w:right="1325" w:firstLine="210"/>
        <w:jc w:val="both"/>
      </w:pPr>
      <w:r>
        <w:rPr>
          <w:color w:val="231F20"/>
          <w:spacing w:val="1"/>
        </w:rPr>
        <w:t xml:space="preserve">In </w:t>
      </w:r>
      <w:r>
        <w:rPr>
          <w:color w:val="231F20"/>
          <w:spacing w:val="-4"/>
        </w:rPr>
        <w:t xml:space="preserve">1966-67, </w:t>
      </w:r>
      <w:r>
        <w:rPr>
          <w:color w:val="231F20"/>
        </w:rPr>
        <w:t>a recession throughout the capitalist world pushed unemployment in the FRG to over a million for the first time in the postwar era, a situation the ruling class attempted to exploit to tip the balance of</w:t>
      </w:r>
    </w:p>
    <w:p w14:paraId="5E41296F" w14:textId="77777777" w:rsidR="002653E8" w:rsidRDefault="00000000">
      <w:pPr>
        <w:pStyle w:val="a3"/>
        <w:spacing w:before="7"/>
        <w:rPr>
          <w:sz w:val="15"/>
        </w:rPr>
      </w:pPr>
      <w:r>
        <w:rPr>
          <w:noProof w:val="0"/>
        </w:rPr>
        <w:pict w14:anchorId="6AE8B0A7">
          <v:line id="_x0000_s2677" style="position:absolute;z-index:2032;mso-wrap-distance-left:0;mso-wrap-distance-right:0;mso-position-horizontal-relative:page" from="57.4pt,11.4pt" to="129.4pt,11.4pt" strokecolor="#231f20" strokeweight=".5pt">
            <w10:wrap type="topAndBottom" anchorx="page"/>
          </v:line>
        </w:pict>
      </w:r>
    </w:p>
    <w:p w14:paraId="04DF5F38" w14:textId="77777777" w:rsidR="002653E8" w:rsidRPr="00C507A5" w:rsidRDefault="003115E3">
      <w:pPr>
        <w:pStyle w:val="a4"/>
        <w:numPr>
          <w:ilvl w:val="0"/>
          <w:numId w:val="185"/>
        </w:numPr>
        <w:tabs>
          <w:tab w:val="left" w:pos="1287"/>
        </w:tabs>
        <w:spacing w:before="53" w:line="254" w:lineRule="auto"/>
        <w:ind w:right="1552" w:firstLine="0"/>
        <w:rPr>
          <w:sz w:val="16"/>
          <w:lang w:val="de-DE"/>
        </w:rPr>
      </w:pPr>
      <w:r w:rsidRPr="00C507A5">
        <w:rPr>
          <w:color w:val="231F20"/>
          <w:w w:val="110"/>
          <w:sz w:val="16"/>
          <w:lang w:val="de-DE"/>
        </w:rPr>
        <w:t xml:space="preserve">Thomas, 94. </w:t>
      </w:r>
      <w:r w:rsidRPr="00C507A5">
        <w:rPr>
          <w:color w:val="231F20"/>
          <w:spacing w:val="1"/>
          <w:w w:val="110"/>
          <w:sz w:val="16"/>
          <w:lang w:val="de-DE"/>
        </w:rPr>
        <w:t xml:space="preserve">See </w:t>
      </w:r>
      <w:r w:rsidRPr="00C507A5">
        <w:rPr>
          <w:color w:val="231F20"/>
          <w:w w:val="110"/>
          <w:sz w:val="16"/>
          <w:lang w:val="de-DE"/>
        </w:rPr>
        <w:t xml:space="preserve">also Gretchen Dutschke, </w:t>
      </w:r>
      <w:r w:rsidRPr="00C507A5">
        <w:rPr>
          <w:i/>
          <w:color w:val="231F20"/>
          <w:w w:val="110"/>
          <w:sz w:val="16"/>
          <w:lang w:val="de-DE"/>
        </w:rPr>
        <w:t xml:space="preserve">Wir </w:t>
      </w:r>
      <w:r w:rsidRPr="00C507A5">
        <w:rPr>
          <w:i/>
          <w:color w:val="231F20"/>
          <w:spacing w:val="1"/>
          <w:w w:val="110"/>
          <w:sz w:val="16"/>
          <w:lang w:val="de-DE"/>
        </w:rPr>
        <w:t xml:space="preserve">hatten </w:t>
      </w:r>
      <w:r w:rsidRPr="00C507A5">
        <w:rPr>
          <w:i/>
          <w:color w:val="231F20"/>
          <w:w w:val="110"/>
          <w:sz w:val="16"/>
          <w:lang w:val="de-DE"/>
        </w:rPr>
        <w:t xml:space="preserve">ein barbarisches, schönes </w:t>
      </w:r>
      <w:r w:rsidRPr="00C507A5">
        <w:rPr>
          <w:i/>
          <w:color w:val="231F20"/>
          <w:spacing w:val="1"/>
          <w:w w:val="110"/>
          <w:sz w:val="16"/>
          <w:lang w:val="de-DE"/>
        </w:rPr>
        <w:t xml:space="preserve">Leben </w:t>
      </w:r>
      <w:r w:rsidRPr="00C507A5">
        <w:rPr>
          <w:color w:val="231F20"/>
          <w:w w:val="110"/>
          <w:sz w:val="16"/>
          <w:lang w:val="de-DE"/>
        </w:rPr>
        <w:t xml:space="preserve">(Köln: </w:t>
      </w:r>
      <w:r w:rsidRPr="00C507A5">
        <w:rPr>
          <w:color w:val="231F20"/>
          <w:spacing w:val="-3"/>
          <w:w w:val="110"/>
          <w:sz w:val="16"/>
          <w:lang w:val="de-DE"/>
        </w:rPr>
        <w:t xml:space="preserve">K&amp;W, </w:t>
      </w:r>
      <w:r w:rsidRPr="00C507A5">
        <w:rPr>
          <w:color w:val="231F20"/>
          <w:w w:val="110"/>
          <w:sz w:val="16"/>
          <w:lang w:val="de-DE"/>
        </w:rPr>
        <w:t>1996),</w:t>
      </w:r>
      <w:r w:rsidRPr="00C507A5">
        <w:rPr>
          <w:color w:val="231F20"/>
          <w:spacing w:val="27"/>
          <w:w w:val="110"/>
          <w:sz w:val="16"/>
          <w:lang w:val="de-DE"/>
        </w:rPr>
        <w:t xml:space="preserve"> </w:t>
      </w:r>
      <w:r w:rsidRPr="00C507A5">
        <w:rPr>
          <w:color w:val="231F20"/>
          <w:w w:val="110"/>
          <w:sz w:val="16"/>
          <w:lang w:val="de-DE"/>
        </w:rPr>
        <w:t>60-61.</w:t>
      </w:r>
    </w:p>
    <w:p w14:paraId="08549D4C" w14:textId="77777777" w:rsidR="002653E8" w:rsidRPr="00C507A5" w:rsidRDefault="003115E3">
      <w:pPr>
        <w:pStyle w:val="a4"/>
        <w:numPr>
          <w:ilvl w:val="0"/>
          <w:numId w:val="185"/>
        </w:numPr>
        <w:tabs>
          <w:tab w:val="left" w:pos="1287"/>
        </w:tabs>
        <w:ind w:left="1286"/>
        <w:rPr>
          <w:sz w:val="16"/>
          <w:lang w:val="de-DE"/>
        </w:rPr>
      </w:pPr>
      <w:r w:rsidRPr="00C507A5">
        <w:rPr>
          <w:color w:val="231F20"/>
          <w:w w:val="105"/>
          <w:sz w:val="16"/>
          <w:lang w:val="de-DE"/>
        </w:rPr>
        <w:t>Jutta</w:t>
      </w:r>
      <w:r w:rsidRPr="00C507A5">
        <w:rPr>
          <w:color w:val="231F20"/>
          <w:spacing w:val="13"/>
          <w:w w:val="105"/>
          <w:sz w:val="16"/>
          <w:lang w:val="de-DE"/>
        </w:rPr>
        <w:t xml:space="preserve"> </w:t>
      </w:r>
      <w:r w:rsidRPr="00C507A5">
        <w:rPr>
          <w:color w:val="231F20"/>
          <w:spacing w:val="1"/>
          <w:w w:val="105"/>
          <w:sz w:val="16"/>
          <w:lang w:val="de-DE"/>
        </w:rPr>
        <w:t>Ditfurth,</w:t>
      </w:r>
      <w:r w:rsidRPr="00C507A5">
        <w:rPr>
          <w:color w:val="231F20"/>
          <w:spacing w:val="13"/>
          <w:w w:val="105"/>
          <w:sz w:val="16"/>
          <w:lang w:val="de-DE"/>
        </w:rPr>
        <w:t xml:space="preserve"> </w:t>
      </w:r>
      <w:r w:rsidRPr="00C507A5">
        <w:rPr>
          <w:i/>
          <w:color w:val="231F20"/>
          <w:w w:val="105"/>
          <w:sz w:val="16"/>
          <w:lang w:val="de-DE"/>
        </w:rPr>
        <w:t>Ulrike</w:t>
      </w:r>
      <w:r w:rsidRPr="00C507A5">
        <w:rPr>
          <w:i/>
          <w:color w:val="231F20"/>
          <w:spacing w:val="13"/>
          <w:w w:val="105"/>
          <w:sz w:val="16"/>
          <w:lang w:val="de-DE"/>
        </w:rPr>
        <w:t xml:space="preserve"> </w:t>
      </w:r>
      <w:r w:rsidRPr="00C507A5">
        <w:rPr>
          <w:i/>
          <w:color w:val="231F20"/>
          <w:w w:val="105"/>
          <w:sz w:val="16"/>
          <w:lang w:val="de-DE"/>
        </w:rPr>
        <w:t>Meinhof:</w:t>
      </w:r>
      <w:r w:rsidRPr="00C507A5">
        <w:rPr>
          <w:i/>
          <w:color w:val="231F20"/>
          <w:spacing w:val="13"/>
          <w:w w:val="105"/>
          <w:sz w:val="16"/>
          <w:lang w:val="de-DE"/>
        </w:rPr>
        <w:t xml:space="preserve"> </w:t>
      </w:r>
      <w:r w:rsidRPr="00C507A5">
        <w:rPr>
          <w:i/>
          <w:color w:val="231F20"/>
          <w:w w:val="105"/>
          <w:sz w:val="16"/>
          <w:lang w:val="de-DE"/>
        </w:rPr>
        <w:t>Die</w:t>
      </w:r>
      <w:r w:rsidRPr="00C507A5">
        <w:rPr>
          <w:i/>
          <w:color w:val="231F20"/>
          <w:spacing w:val="13"/>
          <w:w w:val="105"/>
          <w:sz w:val="16"/>
          <w:lang w:val="de-DE"/>
        </w:rPr>
        <w:t xml:space="preserve"> </w:t>
      </w:r>
      <w:r w:rsidRPr="00C507A5">
        <w:rPr>
          <w:i/>
          <w:color w:val="231F20"/>
          <w:w w:val="105"/>
          <w:sz w:val="16"/>
          <w:lang w:val="de-DE"/>
        </w:rPr>
        <w:t>Biographie</w:t>
      </w:r>
      <w:r w:rsidRPr="00C507A5">
        <w:rPr>
          <w:i/>
          <w:color w:val="231F20"/>
          <w:spacing w:val="15"/>
          <w:w w:val="105"/>
          <w:sz w:val="16"/>
          <w:lang w:val="de-DE"/>
        </w:rPr>
        <w:t xml:space="preserve"> </w:t>
      </w:r>
      <w:r w:rsidRPr="00C507A5">
        <w:rPr>
          <w:color w:val="231F20"/>
          <w:w w:val="105"/>
          <w:sz w:val="16"/>
          <w:lang w:val="de-DE"/>
        </w:rPr>
        <w:t>(Berlin:</w:t>
      </w:r>
      <w:r w:rsidRPr="00C507A5">
        <w:rPr>
          <w:color w:val="231F20"/>
          <w:spacing w:val="13"/>
          <w:w w:val="105"/>
          <w:sz w:val="16"/>
          <w:lang w:val="de-DE"/>
        </w:rPr>
        <w:t xml:space="preserve"> </w:t>
      </w:r>
      <w:r w:rsidRPr="00C507A5">
        <w:rPr>
          <w:color w:val="231F20"/>
          <w:w w:val="105"/>
          <w:sz w:val="16"/>
          <w:lang w:val="de-DE"/>
        </w:rPr>
        <w:t>Ullstein,</w:t>
      </w:r>
      <w:r w:rsidRPr="00C507A5">
        <w:rPr>
          <w:color w:val="231F20"/>
          <w:spacing w:val="15"/>
          <w:w w:val="105"/>
          <w:sz w:val="16"/>
          <w:lang w:val="de-DE"/>
        </w:rPr>
        <w:t xml:space="preserve"> </w:t>
      </w:r>
      <w:r w:rsidRPr="00C507A5">
        <w:rPr>
          <w:color w:val="231F20"/>
          <w:w w:val="105"/>
          <w:sz w:val="16"/>
          <w:lang w:val="de-DE"/>
        </w:rPr>
        <w:t>2007),</w:t>
      </w:r>
      <w:r w:rsidRPr="00C507A5">
        <w:rPr>
          <w:color w:val="231F20"/>
          <w:spacing w:val="13"/>
          <w:w w:val="105"/>
          <w:sz w:val="16"/>
          <w:lang w:val="de-DE"/>
        </w:rPr>
        <w:t xml:space="preserve"> </w:t>
      </w:r>
      <w:r w:rsidRPr="00C507A5">
        <w:rPr>
          <w:color w:val="231F20"/>
          <w:spacing w:val="-3"/>
          <w:w w:val="105"/>
          <w:sz w:val="16"/>
          <w:lang w:val="de-DE"/>
        </w:rPr>
        <w:t>180-181.</w:t>
      </w:r>
    </w:p>
    <w:p w14:paraId="312317B2" w14:textId="77777777" w:rsidR="002653E8" w:rsidRDefault="003115E3">
      <w:pPr>
        <w:pStyle w:val="a4"/>
        <w:numPr>
          <w:ilvl w:val="0"/>
          <w:numId w:val="185"/>
        </w:numPr>
        <w:tabs>
          <w:tab w:val="left" w:pos="1287"/>
        </w:tabs>
        <w:spacing w:before="51" w:line="254" w:lineRule="auto"/>
        <w:ind w:right="1506" w:firstLine="0"/>
        <w:rPr>
          <w:sz w:val="16"/>
        </w:rPr>
      </w:pPr>
      <w:r>
        <w:rPr>
          <w:color w:val="231F20"/>
          <w:w w:val="105"/>
          <w:sz w:val="16"/>
        </w:rPr>
        <w:t xml:space="preserve">David Kramer, “Ulrike Meinhof: </w:t>
      </w:r>
      <w:r>
        <w:rPr>
          <w:color w:val="231F20"/>
          <w:spacing w:val="2"/>
          <w:w w:val="105"/>
          <w:sz w:val="16"/>
        </w:rPr>
        <w:t xml:space="preserve">An </w:t>
      </w:r>
      <w:r>
        <w:rPr>
          <w:color w:val="231F20"/>
          <w:w w:val="105"/>
          <w:sz w:val="16"/>
        </w:rPr>
        <w:t xml:space="preserve">Emancipated  Terrorist?”  in  </w:t>
      </w:r>
      <w:r>
        <w:rPr>
          <w:i/>
          <w:color w:val="231F20"/>
          <w:w w:val="105"/>
          <w:sz w:val="16"/>
        </w:rPr>
        <w:t xml:space="preserve">European Women on the </w:t>
      </w:r>
      <w:r>
        <w:rPr>
          <w:i/>
          <w:color w:val="231F20"/>
          <w:spacing w:val="1"/>
          <w:w w:val="105"/>
          <w:sz w:val="16"/>
        </w:rPr>
        <w:t xml:space="preserve">Left: Socialism, Feminism, and </w:t>
      </w:r>
      <w:r>
        <w:rPr>
          <w:i/>
          <w:color w:val="231F20"/>
          <w:w w:val="105"/>
          <w:sz w:val="16"/>
        </w:rPr>
        <w:t xml:space="preserve">the Problems Faced by Political Women, 1880 to the Present.  </w:t>
      </w:r>
      <w:r>
        <w:rPr>
          <w:color w:val="231F20"/>
          <w:w w:val="105"/>
          <w:sz w:val="16"/>
        </w:rPr>
        <w:t xml:space="preserve">Jane Slaughter and Robert Kern, eds. Contributions    in </w:t>
      </w:r>
      <w:r>
        <w:rPr>
          <w:color w:val="231F20"/>
          <w:spacing w:val="-3"/>
          <w:w w:val="105"/>
          <w:sz w:val="16"/>
        </w:rPr>
        <w:t xml:space="preserve">Women’s </w:t>
      </w:r>
      <w:r>
        <w:rPr>
          <w:color w:val="231F20"/>
          <w:w w:val="105"/>
          <w:sz w:val="16"/>
        </w:rPr>
        <w:t xml:space="preserve">Studies. (Westport, Conn.: Greenwood Press </w:t>
      </w:r>
      <w:r>
        <w:rPr>
          <w:color w:val="231F20"/>
          <w:spacing w:val="-4"/>
          <w:w w:val="105"/>
          <w:sz w:val="16"/>
        </w:rPr>
        <w:t>1981),</w:t>
      </w:r>
      <w:r>
        <w:rPr>
          <w:color w:val="231F20"/>
          <w:spacing w:val="21"/>
          <w:w w:val="105"/>
          <w:sz w:val="16"/>
        </w:rPr>
        <w:t xml:space="preserve"> </w:t>
      </w:r>
      <w:r>
        <w:rPr>
          <w:color w:val="231F20"/>
          <w:w w:val="105"/>
          <w:sz w:val="16"/>
        </w:rPr>
        <w:t>201.</w:t>
      </w:r>
    </w:p>
    <w:p w14:paraId="2A50CC26" w14:textId="77777777" w:rsidR="002653E8" w:rsidRDefault="002653E8">
      <w:pPr>
        <w:spacing w:line="254" w:lineRule="auto"/>
        <w:rPr>
          <w:sz w:val="16"/>
        </w:rPr>
        <w:sectPr w:rsidR="002653E8">
          <w:pgSz w:w="8640" w:h="12960"/>
          <w:pgMar w:top="1060" w:right="0" w:bottom="1040" w:left="0" w:header="0" w:footer="850" w:gutter="0"/>
          <w:cols w:space="720"/>
        </w:sectPr>
      </w:pPr>
    </w:p>
    <w:p w14:paraId="78B4A864" w14:textId="77777777" w:rsidR="002653E8" w:rsidRDefault="003115E3">
      <w:pPr>
        <w:pStyle w:val="a3"/>
        <w:spacing w:before="86"/>
        <w:ind w:left="1327"/>
      </w:pPr>
      <w:r>
        <w:rPr>
          <w:color w:val="231F20"/>
        </w:rPr>
        <w:lastRenderedPageBreak/>
        <w:t>power even further in its favor. As Karl Heinz Roth explains:</w:t>
      </w:r>
    </w:p>
    <w:p w14:paraId="45ACF552" w14:textId="77777777" w:rsidR="002653E8" w:rsidRDefault="003115E3">
      <w:pPr>
        <w:spacing w:before="152" w:line="276" w:lineRule="auto"/>
        <w:ind w:left="1747" w:right="1566"/>
        <w:jc w:val="both"/>
        <w:rPr>
          <w:i/>
          <w:sz w:val="11"/>
        </w:rPr>
      </w:pPr>
      <w:r>
        <w:rPr>
          <w:i/>
          <w:color w:val="231F20"/>
          <w:w w:val="105"/>
          <w:sz w:val="19"/>
        </w:rPr>
        <w:t>Threats of job losses and elimination of all the groups of</w:t>
      </w:r>
      <w:r>
        <w:rPr>
          <w:i/>
          <w:color w:val="231F20"/>
          <w:spacing w:val="-14"/>
          <w:w w:val="105"/>
          <w:sz w:val="19"/>
        </w:rPr>
        <w:t xml:space="preserve"> </w:t>
      </w:r>
      <w:r>
        <w:rPr>
          <w:i/>
          <w:color w:val="231F20"/>
          <w:w w:val="105"/>
          <w:sz w:val="19"/>
        </w:rPr>
        <w:t>workers who would have been able to initiate advanced forms of</w:t>
      </w:r>
      <w:r>
        <w:rPr>
          <w:i/>
          <w:color w:val="231F20"/>
          <w:spacing w:val="-11"/>
          <w:w w:val="105"/>
          <w:sz w:val="19"/>
        </w:rPr>
        <w:t xml:space="preserve"> </w:t>
      </w:r>
      <w:r>
        <w:rPr>
          <w:i/>
          <w:color w:val="231F20"/>
          <w:w w:val="105"/>
          <w:sz w:val="19"/>
        </w:rPr>
        <w:t>struggle laid the basis for a general anti-worker</w:t>
      </w:r>
      <w:r>
        <w:rPr>
          <w:i/>
          <w:color w:val="231F20"/>
          <w:spacing w:val="27"/>
          <w:w w:val="105"/>
          <w:sz w:val="19"/>
        </w:rPr>
        <w:t xml:space="preserve"> </w:t>
      </w:r>
      <w:r>
        <w:rPr>
          <w:i/>
          <w:color w:val="231F20"/>
          <w:w w:val="105"/>
          <w:sz w:val="19"/>
        </w:rPr>
        <w:t>offensive.</w:t>
      </w:r>
      <w:r>
        <w:rPr>
          <w:i/>
          <w:color w:val="231F20"/>
          <w:w w:val="105"/>
          <w:position w:val="6"/>
          <w:sz w:val="11"/>
        </w:rPr>
        <w:t>4</w:t>
      </w:r>
    </w:p>
    <w:p w14:paraId="174C2156" w14:textId="77777777" w:rsidR="002653E8" w:rsidRDefault="003115E3">
      <w:pPr>
        <w:pStyle w:val="a3"/>
        <w:spacing w:before="130"/>
        <w:ind w:left="1327"/>
      </w:pPr>
      <w:r>
        <w:rPr>
          <w:color w:val="231F20"/>
        </w:rPr>
        <w:t>Furthermore:</w:t>
      </w:r>
    </w:p>
    <w:p w14:paraId="5EA78BD9" w14:textId="77777777" w:rsidR="002653E8" w:rsidRDefault="003115E3">
      <w:pPr>
        <w:spacing w:before="151" w:line="276" w:lineRule="auto"/>
        <w:ind w:left="1747" w:right="1558"/>
        <w:jc w:val="both"/>
        <w:rPr>
          <w:i/>
          <w:sz w:val="11"/>
        </w:rPr>
      </w:pPr>
      <w:r>
        <w:rPr>
          <w:i/>
          <w:color w:val="231F20"/>
          <w:sz w:val="19"/>
        </w:rPr>
        <w:t>Thebossesfreelyadmittedthattheywereusingthecrisistointensify work conditions amongst all layers of the global working class. From their point of view, the temporary investment strike was necessary to create the basis for a recovery through a “cleansing of the personnel.” Three hundred thousand immigrant workers and almost as many German workers were thrown out into the street.</w:t>
      </w:r>
      <w:r>
        <w:rPr>
          <w:i/>
          <w:color w:val="231F20"/>
          <w:position w:val="6"/>
          <w:sz w:val="11"/>
        </w:rPr>
        <w:t>5</w:t>
      </w:r>
    </w:p>
    <w:p w14:paraId="5CACF918" w14:textId="77777777" w:rsidR="002653E8" w:rsidRDefault="003115E3">
      <w:pPr>
        <w:pStyle w:val="a3"/>
        <w:spacing w:before="132" w:line="264" w:lineRule="auto"/>
        <w:ind w:left="1327" w:right="1145"/>
        <w:jc w:val="both"/>
      </w:pPr>
      <w:r>
        <w:rPr>
          <w:color w:val="231F20"/>
          <w:spacing w:val="1"/>
        </w:rPr>
        <w:t xml:space="preserve">In </w:t>
      </w:r>
      <w:r>
        <w:rPr>
          <w:color w:val="231F20"/>
        </w:rPr>
        <w:t xml:space="preserve">a move to consolidate support amongst more privileged German workers and thus exploit the divisions within the proletariat, the SPD was brought into a so-called “Grand Coalition” government alongside the Christian Democratic Union and Christian Social Union. This created a situation in which former resistance fighter and SPD chief Willy Brandt was now vice-chancellor alongside former Nazi Georg Kiesinger of the CDU, and the  CSU’s  far-right  Franz  Josef  Strauß  was  Minister of Finance alongside the </w:t>
      </w:r>
      <w:r>
        <w:rPr>
          <w:color w:val="231F20"/>
          <w:spacing w:val="-3"/>
        </w:rPr>
        <w:t xml:space="preserve">SPD’s </w:t>
      </w:r>
      <w:r>
        <w:rPr>
          <w:color w:val="231F20"/>
        </w:rPr>
        <w:t xml:space="preserve">young luminary, </w:t>
      </w:r>
      <w:bookmarkStart w:id="26" w:name="_Hlk71158665"/>
      <w:r>
        <w:rPr>
          <w:color w:val="231F20"/>
        </w:rPr>
        <w:t>Karl Schiller</w:t>
      </w:r>
      <w:bookmarkEnd w:id="26"/>
      <w:r>
        <w:rPr>
          <w:color w:val="231F20"/>
        </w:rPr>
        <w:t>, who held the Economics</w:t>
      </w:r>
      <w:r>
        <w:rPr>
          <w:color w:val="231F20"/>
          <w:spacing w:val="22"/>
        </w:rPr>
        <w:t xml:space="preserve"> </w:t>
      </w:r>
      <w:r>
        <w:rPr>
          <w:color w:val="231F20"/>
        </w:rPr>
        <w:t>portfolio.</w:t>
      </w:r>
    </w:p>
    <w:p w14:paraId="72DCF1D2" w14:textId="77777777" w:rsidR="002653E8" w:rsidRDefault="003115E3">
      <w:pPr>
        <w:pStyle w:val="a3"/>
        <w:spacing w:line="264" w:lineRule="auto"/>
        <w:ind w:left="1327" w:right="1145" w:firstLine="210"/>
        <w:jc w:val="both"/>
      </w:pPr>
      <w:r>
        <w:rPr>
          <w:color w:val="231F20"/>
        </w:rPr>
        <w:t xml:space="preserve">The SPD was completely discredited by its open embrace of these reactionaries, and it now appeared that any real change could  only come about outside of government  channels.  Disenchantment  struck at </w:t>
      </w:r>
      <w:r>
        <w:rPr>
          <w:color w:val="231F20"/>
          <w:spacing w:val="-3"/>
        </w:rPr>
        <w:t xml:space="preserve">West </w:t>
      </w:r>
      <w:r>
        <w:rPr>
          <w:color w:val="231F20"/>
        </w:rPr>
        <w:t xml:space="preserve">Germany’s youth in the universities, in the factories and on the street, as younger workers were increasingly marginalized by the new corporatist  compact.  The  </w:t>
      </w:r>
      <w:r>
        <w:rPr>
          <w:i/>
          <w:color w:val="231F20"/>
        </w:rPr>
        <w:t xml:space="preserve">Außerparlamentarische  Opposition   </w:t>
      </w:r>
      <w:r>
        <w:rPr>
          <w:color w:val="231F20"/>
        </w:rPr>
        <w:t>(APO), or Extra-Parliamentary Opposition, was</w:t>
      </w:r>
      <w:r>
        <w:rPr>
          <w:color w:val="231F20"/>
          <w:spacing w:val="8"/>
        </w:rPr>
        <w:t xml:space="preserve"> </w:t>
      </w:r>
      <w:r>
        <w:rPr>
          <w:color w:val="231F20"/>
        </w:rPr>
        <w:t>born.</w:t>
      </w:r>
    </w:p>
    <w:p w14:paraId="2135F8E8" w14:textId="77777777" w:rsidR="002653E8" w:rsidRDefault="003115E3">
      <w:pPr>
        <w:pStyle w:val="a3"/>
        <w:spacing w:line="264" w:lineRule="auto"/>
        <w:ind w:left="1328" w:right="1145" w:firstLine="210"/>
        <w:jc w:val="both"/>
      </w:pPr>
      <w:r>
        <w:rPr>
          <w:color w:val="231F20"/>
        </w:rPr>
        <w:t xml:space="preserve">The revolt was focused in </w:t>
      </w:r>
      <w:r>
        <w:rPr>
          <w:color w:val="231F20"/>
          <w:spacing w:val="-3"/>
        </w:rPr>
        <w:t xml:space="preserve">West </w:t>
      </w:r>
      <w:r>
        <w:rPr>
          <w:color w:val="231F20"/>
        </w:rPr>
        <w:t>Berlin, an enclave that was a threehour drive into East Germany, and which remained officially under western Allied occupation, and so enjoyed the bizarre status of being     a de facto part of the Federal Republic even though  it  remained  legally</w:t>
      </w:r>
      <w:r>
        <w:rPr>
          <w:color w:val="231F20"/>
          <w:spacing w:val="23"/>
        </w:rPr>
        <w:t xml:space="preserve"> </w:t>
      </w:r>
      <w:r>
        <w:rPr>
          <w:color w:val="231F20"/>
        </w:rPr>
        <w:t>distinct.</w:t>
      </w:r>
      <w:r>
        <w:rPr>
          <w:color w:val="231F20"/>
          <w:position w:val="7"/>
          <w:sz w:val="11"/>
        </w:rPr>
        <w:t>6</w:t>
      </w:r>
      <w:r>
        <w:rPr>
          <w:color w:val="231F20"/>
          <w:spacing w:val="13"/>
          <w:position w:val="7"/>
          <w:sz w:val="11"/>
        </w:rPr>
        <w:t xml:space="preserve"> </w:t>
      </w:r>
      <w:r>
        <w:rPr>
          <w:color w:val="231F20"/>
          <w:spacing w:val="1"/>
        </w:rPr>
        <w:t>In</w:t>
      </w:r>
      <w:r>
        <w:rPr>
          <w:color w:val="231F20"/>
          <w:spacing w:val="23"/>
        </w:rPr>
        <w:t xml:space="preserve"> </w:t>
      </w:r>
      <w:r>
        <w:rPr>
          <w:color w:val="231F20"/>
        </w:rPr>
        <w:t>a</w:t>
      </w:r>
      <w:r>
        <w:rPr>
          <w:color w:val="231F20"/>
          <w:spacing w:val="23"/>
        </w:rPr>
        <w:t xml:space="preserve"> </w:t>
      </w:r>
      <w:r>
        <w:rPr>
          <w:color w:val="231F20"/>
        </w:rPr>
        <w:t>sense,</w:t>
      </w:r>
      <w:r>
        <w:rPr>
          <w:color w:val="231F20"/>
          <w:spacing w:val="23"/>
        </w:rPr>
        <w:t xml:space="preserve"> </w:t>
      </w:r>
      <w:r>
        <w:rPr>
          <w:color w:val="231F20"/>
          <w:spacing w:val="-3"/>
        </w:rPr>
        <w:t>West</w:t>
      </w:r>
      <w:r>
        <w:rPr>
          <w:color w:val="231F20"/>
          <w:spacing w:val="23"/>
        </w:rPr>
        <w:t xml:space="preserve"> </w:t>
      </w:r>
      <w:r>
        <w:rPr>
          <w:color w:val="231F20"/>
        </w:rPr>
        <w:t>Berlin</w:t>
      </w:r>
      <w:r>
        <w:rPr>
          <w:color w:val="231F20"/>
          <w:spacing w:val="23"/>
        </w:rPr>
        <w:t xml:space="preserve"> </w:t>
      </w:r>
      <w:r>
        <w:rPr>
          <w:color w:val="231F20"/>
        </w:rPr>
        <w:t>afforded</w:t>
      </w:r>
      <w:r>
        <w:rPr>
          <w:color w:val="231F20"/>
          <w:spacing w:val="23"/>
        </w:rPr>
        <w:t xml:space="preserve"> </w:t>
      </w:r>
      <w:r>
        <w:rPr>
          <w:color w:val="231F20"/>
        </w:rPr>
        <w:t>the</w:t>
      </w:r>
      <w:r>
        <w:rPr>
          <w:color w:val="231F20"/>
          <w:spacing w:val="23"/>
        </w:rPr>
        <w:t xml:space="preserve"> </w:t>
      </w:r>
      <w:r>
        <w:rPr>
          <w:color w:val="231F20"/>
        </w:rPr>
        <w:t>personal</w:t>
      </w:r>
      <w:r>
        <w:rPr>
          <w:color w:val="231F20"/>
          <w:spacing w:val="23"/>
        </w:rPr>
        <w:t xml:space="preserve"> </w:t>
      </w:r>
      <w:r>
        <w:rPr>
          <w:color w:val="231F20"/>
        </w:rPr>
        <w:t>freedoms</w:t>
      </w:r>
    </w:p>
    <w:p w14:paraId="2E9A9A40" w14:textId="77777777" w:rsidR="002653E8" w:rsidRDefault="00000000">
      <w:pPr>
        <w:pStyle w:val="a3"/>
        <w:spacing w:before="5"/>
        <w:rPr>
          <w:sz w:val="9"/>
        </w:rPr>
      </w:pPr>
      <w:r>
        <w:rPr>
          <w:noProof w:val="0"/>
        </w:rPr>
        <w:pict w14:anchorId="7BCDDC0B">
          <v:line id="_x0000_s2676" style="position:absolute;z-index:2056;mso-wrap-distance-left:0;mso-wrap-distance-right:0;mso-position-horizontal-relative:page" from="66.4pt,7.75pt" to="138.4pt,7.75pt" strokecolor="#231f20" strokeweight=".5pt">
            <w10:wrap type="topAndBottom" anchorx="page"/>
          </v:line>
        </w:pict>
      </w:r>
    </w:p>
    <w:p w14:paraId="7C1C450A" w14:textId="77777777" w:rsidR="002653E8" w:rsidRDefault="003115E3">
      <w:pPr>
        <w:spacing w:before="53"/>
        <w:ind w:left="1327"/>
        <w:rPr>
          <w:sz w:val="16"/>
        </w:rPr>
      </w:pPr>
      <w:r>
        <w:rPr>
          <w:color w:val="231F20"/>
          <w:w w:val="115"/>
          <w:sz w:val="16"/>
        </w:rPr>
        <w:t>4 Roth, 101.</w:t>
      </w:r>
    </w:p>
    <w:p w14:paraId="63918EE3" w14:textId="77777777" w:rsidR="002653E8" w:rsidRDefault="003115E3">
      <w:pPr>
        <w:spacing w:before="51"/>
        <w:ind w:left="1327"/>
        <w:rPr>
          <w:sz w:val="16"/>
        </w:rPr>
      </w:pPr>
      <w:r>
        <w:rPr>
          <w:color w:val="231F20"/>
          <w:w w:val="115"/>
          <w:sz w:val="16"/>
        </w:rPr>
        <w:t>5 Ibid., 100.</w:t>
      </w:r>
    </w:p>
    <w:p w14:paraId="622376DA" w14:textId="77777777" w:rsidR="002653E8" w:rsidRDefault="003115E3">
      <w:pPr>
        <w:spacing w:before="52" w:line="254" w:lineRule="auto"/>
        <w:ind w:left="1328" w:right="1264" w:hanging="1"/>
        <w:rPr>
          <w:sz w:val="16"/>
        </w:rPr>
      </w:pPr>
      <w:r>
        <w:rPr>
          <w:color w:val="231F20"/>
          <w:w w:val="105"/>
          <w:sz w:val="16"/>
        </w:rPr>
        <w:t>6 There was one autobahn through the GDR connecting the city to the Federal Republic, which the East Germans were obligated by international agreements to keep open. The highway ran through desolate countryside, and was flanked by East German armed forces at all times.</w:t>
      </w:r>
    </w:p>
    <w:p w14:paraId="0593619D" w14:textId="77777777" w:rsidR="002653E8" w:rsidRDefault="002653E8">
      <w:pPr>
        <w:spacing w:line="254" w:lineRule="auto"/>
        <w:rPr>
          <w:sz w:val="16"/>
        </w:rPr>
        <w:sectPr w:rsidR="002653E8">
          <w:pgSz w:w="8640" w:h="12960"/>
          <w:pgMar w:top="1060" w:right="0" w:bottom="1040" w:left="0" w:header="0" w:footer="850" w:gutter="0"/>
          <w:cols w:space="720"/>
        </w:sectPr>
      </w:pPr>
    </w:p>
    <w:p w14:paraId="02148467" w14:textId="77777777" w:rsidR="002653E8" w:rsidRDefault="003115E3">
      <w:pPr>
        <w:pStyle w:val="a3"/>
        <w:spacing w:before="86" w:line="264" w:lineRule="auto"/>
        <w:ind w:left="1148" w:right="1325" w:hanging="1"/>
        <w:jc w:val="both"/>
      </w:pPr>
      <w:r>
        <w:rPr>
          <w:color w:val="231F20"/>
        </w:rPr>
        <w:lastRenderedPageBreak/>
        <w:t>of the capitalist west while its odd diplomatic status provided its residents with extra room to maneuver outside of the west’s constraints.</w:t>
      </w:r>
      <w:r>
        <w:rPr>
          <w:color w:val="231F20"/>
          <w:position w:val="7"/>
          <w:sz w:val="11"/>
        </w:rPr>
        <w:t xml:space="preserve">1 </w:t>
      </w:r>
      <w:r>
        <w:rPr>
          <w:color w:val="231F20"/>
        </w:rPr>
        <w:t xml:space="preserve">This had many important consequences, not the least of which was that young men who moved to </w:t>
      </w:r>
      <w:r>
        <w:rPr>
          <w:color w:val="231F20"/>
          <w:spacing w:val="-3"/>
        </w:rPr>
        <w:t xml:space="preserve">West </w:t>
      </w:r>
      <w:r>
        <w:rPr>
          <w:color w:val="231F20"/>
        </w:rPr>
        <w:t xml:space="preserve">Berlin could </w:t>
      </w:r>
      <w:r>
        <w:rPr>
          <w:color w:val="231F20"/>
          <w:spacing w:val="-3"/>
        </w:rPr>
        <w:t xml:space="preserve">avoid </w:t>
      </w:r>
      <w:r>
        <w:rPr>
          <w:color w:val="231F20"/>
        </w:rPr>
        <w:t>the draft, as they were</w:t>
      </w:r>
      <w:r>
        <w:rPr>
          <w:color w:val="231F20"/>
          <w:spacing w:val="11"/>
        </w:rPr>
        <w:t xml:space="preserve"> </w:t>
      </w:r>
      <w:r>
        <w:rPr>
          <w:color w:val="231F20"/>
        </w:rPr>
        <w:t>technically</w:t>
      </w:r>
      <w:r>
        <w:rPr>
          <w:color w:val="231F20"/>
          <w:spacing w:val="11"/>
        </w:rPr>
        <w:t xml:space="preserve"> </w:t>
      </w:r>
      <w:r>
        <w:rPr>
          <w:color w:val="231F20"/>
        </w:rPr>
        <w:t>living</w:t>
      </w:r>
      <w:r>
        <w:rPr>
          <w:color w:val="231F20"/>
          <w:spacing w:val="11"/>
        </w:rPr>
        <w:t xml:space="preserve"> </w:t>
      </w:r>
      <w:r>
        <w:rPr>
          <w:color w:val="231F20"/>
        </w:rPr>
        <w:t>outside</w:t>
      </w:r>
      <w:r>
        <w:rPr>
          <w:color w:val="231F20"/>
          <w:spacing w:val="11"/>
        </w:rPr>
        <w:t xml:space="preserve"> </w:t>
      </w:r>
      <w:r>
        <w:rPr>
          <w:color w:val="231F20"/>
        </w:rPr>
        <w:t>of</w:t>
      </w:r>
      <w:r>
        <w:rPr>
          <w:color w:val="231F20"/>
          <w:spacing w:val="11"/>
        </w:rPr>
        <w:t xml:space="preserve"> </w:t>
      </w:r>
      <w:r>
        <w:rPr>
          <w:color w:val="231F20"/>
        </w:rPr>
        <w:t>the</w:t>
      </w:r>
      <w:r>
        <w:rPr>
          <w:color w:val="231F20"/>
          <w:spacing w:val="12"/>
        </w:rPr>
        <w:t xml:space="preserve"> </w:t>
      </w:r>
      <w:r>
        <w:rPr>
          <w:color w:val="231F20"/>
        </w:rPr>
        <w:t>FRG.</w:t>
      </w:r>
    </w:p>
    <w:p w14:paraId="68281804" w14:textId="77777777" w:rsidR="002653E8" w:rsidRDefault="003115E3">
      <w:pPr>
        <w:pStyle w:val="a3"/>
        <w:spacing w:line="264" w:lineRule="auto"/>
        <w:ind w:left="1148" w:right="1325" w:firstLine="210"/>
        <w:jc w:val="both"/>
        <w:rPr>
          <w:sz w:val="11"/>
        </w:rPr>
      </w:pPr>
      <w:r>
        <w:rPr>
          <w:color w:val="231F20"/>
        </w:rPr>
        <w:t>Not surprisingly, the city became a magnet for the radicals and counterculture</w:t>
      </w:r>
      <w:r>
        <w:rPr>
          <w:color w:val="231F20"/>
          <w:spacing w:val="-4"/>
        </w:rPr>
        <w:t xml:space="preserve"> </w:t>
      </w:r>
      <w:r>
        <w:rPr>
          <w:color w:val="231F20"/>
        </w:rPr>
        <w:t>rebels</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new</w:t>
      </w:r>
      <w:r>
        <w:rPr>
          <w:color w:val="231F20"/>
          <w:spacing w:val="-4"/>
        </w:rPr>
        <w:t xml:space="preserve"> </w:t>
      </w:r>
      <w:r>
        <w:rPr>
          <w:color w:val="231F20"/>
        </w:rPr>
        <w:t>generation.</w:t>
      </w:r>
      <w:r>
        <w:rPr>
          <w:color w:val="231F20"/>
          <w:spacing w:val="-4"/>
        </w:rPr>
        <w:t xml:space="preserve"> </w:t>
      </w:r>
      <w:r>
        <w:rPr>
          <w:color w:val="231F20"/>
          <w:spacing w:val="1"/>
        </w:rPr>
        <w:t>In</w:t>
      </w:r>
      <w:r>
        <w:rPr>
          <w:color w:val="231F20"/>
          <w:spacing w:val="-4"/>
        </w:rPr>
        <w:t xml:space="preserve"> </w:t>
      </w:r>
      <w:r>
        <w:rPr>
          <w:color w:val="231F20"/>
        </w:rPr>
        <w:t>the</w:t>
      </w:r>
      <w:r>
        <w:rPr>
          <w:color w:val="231F20"/>
          <w:spacing w:val="-4"/>
        </w:rPr>
        <w:t xml:space="preserve"> </w:t>
      </w:r>
      <w:r>
        <w:rPr>
          <w:color w:val="231F20"/>
        </w:rPr>
        <w:t>words</w:t>
      </w:r>
      <w:r>
        <w:rPr>
          <w:color w:val="231F20"/>
          <w:spacing w:val="-4"/>
        </w:rPr>
        <w:t xml:space="preserve"> </w:t>
      </w:r>
      <w:r>
        <w:rPr>
          <w:color w:val="231F20"/>
        </w:rPr>
        <w:t>of</w:t>
      </w:r>
      <w:r>
        <w:rPr>
          <w:color w:val="231F20"/>
          <w:spacing w:val="-4"/>
        </w:rPr>
        <w:t xml:space="preserve"> </w:t>
      </w:r>
      <w:r>
        <w:rPr>
          <w:color w:val="231F20"/>
        </w:rPr>
        <w:t>one</w:t>
      </w:r>
      <w:r>
        <w:rPr>
          <w:color w:val="231F20"/>
          <w:spacing w:val="-4"/>
        </w:rPr>
        <w:t xml:space="preserve"> </w:t>
      </w:r>
      <w:r>
        <w:rPr>
          <w:color w:val="231F20"/>
        </w:rPr>
        <w:t>woman</w:t>
      </w:r>
      <w:r>
        <w:rPr>
          <w:color w:val="231F20"/>
          <w:spacing w:val="-4"/>
        </w:rPr>
        <w:t xml:space="preserve"> </w:t>
      </w:r>
      <w:r>
        <w:rPr>
          <w:color w:val="231F20"/>
        </w:rPr>
        <w:t xml:space="preserve">who lived there, it was </w:t>
      </w:r>
      <w:r>
        <w:rPr>
          <w:color w:val="231F20"/>
          <w:spacing w:val="-4"/>
        </w:rPr>
        <w:t xml:space="preserve">“a </w:t>
      </w:r>
      <w:r>
        <w:rPr>
          <w:color w:val="231F20"/>
        </w:rPr>
        <w:t>self-contained area where political developments of all kinds… become evident much earlier than elsewhere and much more</w:t>
      </w:r>
      <w:r>
        <w:rPr>
          <w:color w:val="231F20"/>
          <w:spacing w:val="10"/>
        </w:rPr>
        <w:t xml:space="preserve"> </w:t>
      </w:r>
      <w:r>
        <w:rPr>
          <w:color w:val="231F20"/>
        </w:rPr>
        <w:t>sharply,</w:t>
      </w:r>
      <w:r>
        <w:rPr>
          <w:color w:val="231F20"/>
          <w:spacing w:val="10"/>
        </w:rPr>
        <w:t xml:space="preserve"> </w:t>
      </w:r>
      <w:r>
        <w:rPr>
          <w:color w:val="231F20"/>
        </w:rPr>
        <w:t>as</w:t>
      </w:r>
      <w:r>
        <w:rPr>
          <w:color w:val="231F20"/>
          <w:spacing w:val="10"/>
        </w:rPr>
        <w:t xml:space="preserve"> </w:t>
      </w:r>
      <w:r>
        <w:rPr>
          <w:color w:val="231F20"/>
        </w:rPr>
        <w:t>if</w:t>
      </w:r>
      <w:r>
        <w:rPr>
          <w:color w:val="231F20"/>
          <w:spacing w:val="10"/>
        </w:rPr>
        <w:t xml:space="preserve"> </w:t>
      </w:r>
      <w:r>
        <w:rPr>
          <w:color w:val="231F20"/>
        </w:rPr>
        <w:t>they</w:t>
      </w:r>
      <w:r>
        <w:rPr>
          <w:color w:val="231F20"/>
          <w:spacing w:val="10"/>
        </w:rPr>
        <w:t xml:space="preserve"> </w:t>
      </w:r>
      <w:r>
        <w:rPr>
          <w:color w:val="231F20"/>
        </w:rPr>
        <w:t>were</w:t>
      </w:r>
      <w:r>
        <w:rPr>
          <w:color w:val="231F20"/>
          <w:spacing w:val="10"/>
        </w:rPr>
        <w:t xml:space="preserve"> </w:t>
      </w:r>
      <w:r>
        <w:rPr>
          <w:color w:val="231F20"/>
        </w:rPr>
        <w:t>under</w:t>
      </w:r>
      <w:r>
        <w:rPr>
          <w:color w:val="231F20"/>
          <w:spacing w:val="10"/>
        </w:rPr>
        <w:t xml:space="preserve"> </w:t>
      </w:r>
      <w:r>
        <w:rPr>
          <w:color w:val="231F20"/>
        </w:rPr>
        <w:t>a</w:t>
      </w:r>
      <w:r>
        <w:rPr>
          <w:color w:val="231F20"/>
          <w:spacing w:val="10"/>
        </w:rPr>
        <w:t xml:space="preserve"> </w:t>
      </w:r>
      <w:r>
        <w:rPr>
          <w:color w:val="231F20"/>
        </w:rPr>
        <w:t>magnifying</w:t>
      </w:r>
      <w:r>
        <w:rPr>
          <w:color w:val="231F20"/>
          <w:spacing w:val="10"/>
        </w:rPr>
        <w:t xml:space="preserve"> </w:t>
      </w:r>
      <w:r>
        <w:rPr>
          <w:color w:val="231F20"/>
        </w:rPr>
        <w:t>glass.”</w:t>
      </w:r>
      <w:r>
        <w:rPr>
          <w:color w:val="231F20"/>
          <w:position w:val="7"/>
          <w:sz w:val="11"/>
        </w:rPr>
        <w:t>2</w:t>
      </w:r>
    </w:p>
    <w:p w14:paraId="652E3EEC" w14:textId="77777777" w:rsidR="002653E8" w:rsidRDefault="003115E3">
      <w:pPr>
        <w:pStyle w:val="a3"/>
        <w:spacing w:line="264" w:lineRule="auto"/>
        <w:ind w:left="1147" w:right="1326" w:firstLine="210"/>
        <w:jc w:val="both"/>
      </w:pPr>
      <w:r>
        <w:rPr>
          <w:color w:val="231F20"/>
        </w:rPr>
        <w:t>Thus, it was in West Berlin that a group of students, gathered around Hans-Jürgen Krahl and the East German refugees Rudi Dutschke and Bernd Rabehl, began questioning not only the economic system, but the very nature of society itself. The structure of the family, the factory, and the school system were all challenged as these young rebels mixed the style of the hippy counterculture with ideas drawn from the Frankfurt School’s brand of Marxism.</w:t>
      </w:r>
    </w:p>
    <w:p w14:paraId="3A30E30A" w14:textId="77777777" w:rsidR="002653E8" w:rsidRDefault="003115E3">
      <w:pPr>
        <w:pStyle w:val="a3"/>
        <w:spacing w:before="3"/>
        <w:rPr>
          <w:sz w:val="22"/>
        </w:rPr>
      </w:pPr>
      <w:r>
        <w:drawing>
          <wp:anchor distT="0" distB="0" distL="0" distR="0" simplePos="0" relativeHeight="2080" behindDoc="0" locked="0" layoutInCell="1" allowOverlap="1" wp14:anchorId="237F890F" wp14:editId="6EB9D00D">
            <wp:simplePos x="0" y="0"/>
            <wp:positionH relativeFrom="page">
              <wp:posOffset>1212621</wp:posOffset>
            </wp:positionH>
            <wp:positionV relativeFrom="paragraph">
              <wp:posOffset>191072</wp:posOffset>
            </wp:positionV>
            <wp:extent cx="2937754" cy="2115597"/>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7" cstate="print"/>
                    <a:stretch>
                      <a:fillRect/>
                    </a:stretch>
                  </pic:blipFill>
                  <pic:spPr>
                    <a:xfrm>
                      <a:off x="0" y="0"/>
                      <a:ext cx="2937754" cy="2115597"/>
                    </a:xfrm>
                    <a:prstGeom prst="rect">
                      <a:avLst/>
                    </a:prstGeom>
                  </pic:spPr>
                </pic:pic>
              </a:graphicData>
            </a:graphic>
          </wp:anchor>
        </w:drawing>
      </w:r>
    </w:p>
    <w:p w14:paraId="0082C16A" w14:textId="77777777" w:rsidR="002653E8" w:rsidRDefault="003115E3">
      <w:pPr>
        <w:spacing w:line="244" w:lineRule="auto"/>
        <w:ind w:left="1916" w:right="1848"/>
        <w:rPr>
          <w:i/>
          <w:sz w:val="18"/>
        </w:rPr>
      </w:pPr>
      <w:r>
        <w:rPr>
          <w:i/>
          <w:color w:val="231F20"/>
          <w:w w:val="105"/>
          <w:sz w:val="18"/>
        </w:rPr>
        <w:t>Andreas Baader, Dorothea Ridder and Rainer Langhans, dancing in the streets of West Berlin (August, 1967)</w:t>
      </w:r>
    </w:p>
    <w:p w14:paraId="3342BDA0" w14:textId="77777777" w:rsidR="002653E8" w:rsidRDefault="002653E8">
      <w:pPr>
        <w:pStyle w:val="a3"/>
        <w:rPr>
          <w:i/>
        </w:rPr>
      </w:pPr>
    </w:p>
    <w:p w14:paraId="22716CDC" w14:textId="77777777" w:rsidR="002653E8" w:rsidRDefault="00000000">
      <w:pPr>
        <w:pStyle w:val="a3"/>
        <w:spacing w:before="11"/>
        <w:rPr>
          <w:i/>
          <w:sz w:val="17"/>
        </w:rPr>
      </w:pPr>
      <w:r>
        <w:rPr>
          <w:noProof w:val="0"/>
        </w:rPr>
        <w:pict w14:anchorId="696F6720">
          <v:line id="_x0000_s2675" style="position:absolute;z-index:2104;mso-wrap-distance-left:0;mso-wrap-distance-right:0;mso-position-horizontal-relative:page" from="57.4pt,12.75pt" to="129.4pt,12.75pt" strokecolor="#231f20" strokeweight=".5pt">
            <w10:wrap type="topAndBottom" anchorx="page"/>
          </v:line>
        </w:pict>
      </w:r>
    </w:p>
    <w:p w14:paraId="7469E8B5" w14:textId="77777777" w:rsidR="002653E8" w:rsidRDefault="003115E3">
      <w:pPr>
        <w:pStyle w:val="a4"/>
        <w:numPr>
          <w:ilvl w:val="0"/>
          <w:numId w:val="184"/>
        </w:numPr>
        <w:tabs>
          <w:tab w:val="left" w:pos="1287"/>
        </w:tabs>
        <w:spacing w:before="53" w:line="254" w:lineRule="auto"/>
        <w:ind w:right="1328" w:firstLine="0"/>
        <w:jc w:val="left"/>
        <w:rPr>
          <w:sz w:val="16"/>
        </w:rPr>
      </w:pPr>
      <w:r>
        <w:rPr>
          <w:color w:val="231F20"/>
          <w:w w:val="110"/>
          <w:sz w:val="16"/>
        </w:rPr>
        <w:t>For</w:t>
      </w:r>
      <w:r>
        <w:rPr>
          <w:color w:val="231F20"/>
          <w:spacing w:val="-10"/>
          <w:w w:val="110"/>
          <w:sz w:val="16"/>
        </w:rPr>
        <w:t xml:space="preserve"> </w:t>
      </w:r>
      <w:r>
        <w:rPr>
          <w:color w:val="231F20"/>
          <w:w w:val="110"/>
          <w:sz w:val="16"/>
        </w:rPr>
        <w:t>many</w:t>
      </w:r>
      <w:r>
        <w:rPr>
          <w:color w:val="231F20"/>
          <w:spacing w:val="-10"/>
          <w:w w:val="110"/>
          <w:sz w:val="16"/>
        </w:rPr>
        <w:t xml:space="preserve"> </w:t>
      </w:r>
      <w:r>
        <w:rPr>
          <w:color w:val="231F20"/>
          <w:w w:val="110"/>
          <w:sz w:val="16"/>
        </w:rPr>
        <w:t>examples</w:t>
      </w:r>
      <w:r>
        <w:rPr>
          <w:color w:val="231F20"/>
          <w:spacing w:val="-10"/>
          <w:w w:val="110"/>
          <w:sz w:val="16"/>
        </w:rPr>
        <w:t xml:space="preserve"> </w:t>
      </w:r>
      <w:r>
        <w:rPr>
          <w:color w:val="231F20"/>
          <w:w w:val="110"/>
          <w:sz w:val="16"/>
        </w:rPr>
        <w:t>of</w:t>
      </w:r>
      <w:r>
        <w:rPr>
          <w:color w:val="231F20"/>
          <w:spacing w:val="-10"/>
          <w:w w:val="110"/>
          <w:sz w:val="16"/>
        </w:rPr>
        <w:t xml:space="preserve"> </w:t>
      </w:r>
      <w:r>
        <w:rPr>
          <w:color w:val="231F20"/>
          <w:w w:val="110"/>
          <w:sz w:val="16"/>
        </w:rPr>
        <w:t>just</w:t>
      </w:r>
      <w:r>
        <w:rPr>
          <w:color w:val="231F20"/>
          <w:spacing w:val="-10"/>
          <w:w w:val="110"/>
          <w:sz w:val="16"/>
        </w:rPr>
        <w:t xml:space="preserve"> </w:t>
      </w:r>
      <w:r>
        <w:rPr>
          <w:color w:val="231F20"/>
          <w:w w:val="110"/>
          <w:sz w:val="16"/>
        </w:rPr>
        <w:t>how</w:t>
      </w:r>
      <w:r>
        <w:rPr>
          <w:color w:val="231F20"/>
          <w:spacing w:val="-10"/>
          <w:w w:val="110"/>
          <w:sz w:val="16"/>
        </w:rPr>
        <w:t xml:space="preserve"> </w:t>
      </w:r>
      <w:r>
        <w:rPr>
          <w:color w:val="231F20"/>
          <w:w w:val="110"/>
          <w:sz w:val="16"/>
        </w:rPr>
        <w:t>careful</w:t>
      </w:r>
      <w:r>
        <w:rPr>
          <w:color w:val="231F20"/>
          <w:spacing w:val="-10"/>
          <w:w w:val="110"/>
          <w:sz w:val="16"/>
        </w:rPr>
        <w:t xml:space="preserve"> </w:t>
      </w:r>
      <w:r>
        <w:rPr>
          <w:color w:val="231F20"/>
          <w:w w:val="110"/>
          <w:sz w:val="16"/>
        </w:rPr>
        <w:t>the</w:t>
      </w:r>
      <w:r>
        <w:rPr>
          <w:color w:val="231F20"/>
          <w:spacing w:val="-10"/>
          <w:w w:val="110"/>
          <w:sz w:val="16"/>
        </w:rPr>
        <w:t xml:space="preserve"> </w:t>
      </w:r>
      <w:r>
        <w:rPr>
          <w:color w:val="231F20"/>
          <w:w w:val="110"/>
          <w:sz w:val="16"/>
        </w:rPr>
        <w:t>Federal</w:t>
      </w:r>
      <w:r>
        <w:rPr>
          <w:color w:val="231F20"/>
          <w:spacing w:val="-10"/>
          <w:w w:val="110"/>
          <w:sz w:val="16"/>
        </w:rPr>
        <w:t xml:space="preserve"> </w:t>
      </w:r>
      <w:r>
        <w:rPr>
          <w:color w:val="231F20"/>
          <w:w w:val="110"/>
          <w:sz w:val="16"/>
        </w:rPr>
        <w:t>Republic</w:t>
      </w:r>
      <w:r>
        <w:rPr>
          <w:color w:val="231F20"/>
          <w:spacing w:val="-10"/>
          <w:w w:val="110"/>
          <w:sz w:val="16"/>
        </w:rPr>
        <w:t xml:space="preserve"> </w:t>
      </w:r>
      <w:r>
        <w:rPr>
          <w:color w:val="231F20"/>
          <w:w w:val="110"/>
          <w:sz w:val="16"/>
        </w:rPr>
        <w:t>had</w:t>
      </w:r>
      <w:r>
        <w:rPr>
          <w:color w:val="231F20"/>
          <w:spacing w:val="-10"/>
          <w:w w:val="110"/>
          <w:sz w:val="16"/>
        </w:rPr>
        <w:t xml:space="preserve"> </w:t>
      </w:r>
      <w:r>
        <w:rPr>
          <w:color w:val="231F20"/>
          <w:w w:val="110"/>
          <w:sz w:val="16"/>
        </w:rPr>
        <w:t>to</w:t>
      </w:r>
      <w:r>
        <w:rPr>
          <w:color w:val="231F20"/>
          <w:spacing w:val="-10"/>
          <w:w w:val="110"/>
          <w:sz w:val="16"/>
        </w:rPr>
        <w:t xml:space="preserve"> </w:t>
      </w:r>
      <w:r>
        <w:rPr>
          <w:color w:val="231F20"/>
          <w:w w:val="110"/>
          <w:sz w:val="16"/>
        </w:rPr>
        <w:t>be</w:t>
      </w:r>
      <w:r>
        <w:rPr>
          <w:color w:val="231F20"/>
          <w:spacing w:val="-10"/>
          <w:w w:val="110"/>
          <w:sz w:val="16"/>
        </w:rPr>
        <w:t xml:space="preserve"> </w:t>
      </w:r>
      <w:r>
        <w:rPr>
          <w:color w:val="231F20"/>
          <w:w w:val="110"/>
          <w:sz w:val="16"/>
        </w:rPr>
        <w:t>in</w:t>
      </w:r>
      <w:r>
        <w:rPr>
          <w:color w:val="231F20"/>
          <w:spacing w:val="-10"/>
          <w:w w:val="110"/>
          <w:sz w:val="16"/>
        </w:rPr>
        <w:t xml:space="preserve"> </w:t>
      </w:r>
      <w:r>
        <w:rPr>
          <w:color w:val="231F20"/>
          <w:w w:val="110"/>
          <w:sz w:val="16"/>
        </w:rPr>
        <w:t xml:space="preserve">imposing itself in West Berlin, see Avril </w:t>
      </w:r>
      <w:r>
        <w:rPr>
          <w:color w:val="231F20"/>
          <w:spacing w:val="1"/>
          <w:w w:val="110"/>
          <w:sz w:val="16"/>
        </w:rPr>
        <w:t xml:space="preserve">Pittman, </w:t>
      </w:r>
      <w:r>
        <w:rPr>
          <w:i/>
          <w:color w:val="231F20"/>
          <w:w w:val="110"/>
          <w:sz w:val="16"/>
        </w:rPr>
        <w:t xml:space="preserve">From Ostpolitik to </w:t>
      </w:r>
      <w:r>
        <w:rPr>
          <w:i/>
          <w:color w:val="231F20"/>
          <w:spacing w:val="1"/>
          <w:w w:val="110"/>
          <w:sz w:val="16"/>
        </w:rPr>
        <w:t xml:space="preserve">reunification: </w:t>
      </w:r>
      <w:r>
        <w:rPr>
          <w:i/>
          <w:color w:val="231F20"/>
          <w:w w:val="110"/>
          <w:sz w:val="16"/>
        </w:rPr>
        <w:t xml:space="preserve">West </w:t>
      </w:r>
      <w:r>
        <w:rPr>
          <w:i/>
          <w:color w:val="231F20"/>
          <w:spacing w:val="2"/>
          <w:w w:val="110"/>
          <w:sz w:val="16"/>
        </w:rPr>
        <w:t xml:space="preserve">German-Soviet </w:t>
      </w:r>
      <w:r>
        <w:rPr>
          <w:i/>
          <w:color w:val="231F20"/>
          <w:w w:val="110"/>
          <w:sz w:val="16"/>
        </w:rPr>
        <w:t xml:space="preserve">political relations since 1974 </w:t>
      </w:r>
      <w:r>
        <w:rPr>
          <w:color w:val="231F20"/>
          <w:w w:val="110"/>
          <w:sz w:val="16"/>
        </w:rPr>
        <w:t xml:space="preserve">(Cambridge, England </w:t>
      </w:r>
      <w:r>
        <w:rPr>
          <w:color w:val="231F20"/>
          <w:w w:val="115"/>
          <w:sz w:val="16"/>
        </w:rPr>
        <w:t xml:space="preserve">&amp; </w:t>
      </w:r>
      <w:r>
        <w:rPr>
          <w:color w:val="231F20"/>
          <w:w w:val="110"/>
          <w:sz w:val="16"/>
        </w:rPr>
        <w:t xml:space="preserve">New </w:t>
      </w:r>
      <w:r>
        <w:rPr>
          <w:color w:val="231F20"/>
          <w:spacing w:val="-3"/>
          <w:w w:val="110"/>
          <w:sz w:val="16"/>
        </w:rPr>
        <w:t xml:space="preserve">york: </w:t>
      </w:r>
      <w:r>
        <w:rPr>
          <w:color w:val="231F20"/>
          <w:w w:val="110"/>
          <w:sz w:val="16"/>
        </w:rPr>
        <w:t xml:space="preserve">Cambridge University Press, </w:t>
      </w:r>
      <w:r>
        <w:rPr>
          <w:color w:val="231F20"/>
          <w:spacing w:val="-3"/>
          <w:w w:val="110"/>
          <w:sz w:val="16"/>
        </w:rPr>
        <w:t>1992),</w:t>
      </w:r>
      <w:r>
        <w:rPr>
          <w:color w:val="231F20"/>
          <w:spacing w:val="18"/>
          <w:w w:val="110"/>
          <w:sz w:val="16"/>
        </w:rPr>
        <w:t xml:space="preserve"> </w:t>
      </w:r>
      <w:r>
        <w:rPr>
          <w:color w:val="231F20"/>
          <w:w w:val="110"/>
          <w:sz w:val="16"/>
        </w:rPr>
        <w:t>32-62.</w:t>
      </w:r>
    </w:p>
    <w:p w14:paraId="1E115377" w14:textId="77777777" w:rsidR="002653E8" w:rsidRDefault="003115E3">
      <w:pPr>
        <w:pStyle w:val="a4"/>
        <w:numPr>
          <w:ilvl w:val="0"/>
          <w:numId w:val="184"/>
        </w:numPr>
        <w:tabs>
          <w:tab w:val="left" w:pos="1287"/>
        </w:tabs>
        <w:ind w:left="1286" w:hanging="138"/>
        <w:jc w:val="left"/>
        <w:rPr>
          <w:sz w:val="16"/>
        </w:rPr>
      </w:pPr>
      <w:r>
        <w:rPr>
          <w:color w:val="231F20"/>
          <w:w w:val="105"/>
          <w:sz w:val="16"/>
        </w:rPr>
        <w:t>Hilke</w:t>
      </w:r>
      <w:r>
        <w:rPr>
          <w:color w:val="231F20"/>
          <w:spacing w:val="11"/>
          <w:w w:val="105"/>
          <w:sz w:val="16"/>
        </w:rPr>
        <w:t xml:space="preserve"> </w:t>
      </w:r>
      <w:r>
        <w:rPr>
          <w:color w:val="231F20"/>
          <w:w w:val="105"/>
          <w:sz w:val="16"/>
        </w:rPr>
        <w:t>Schlaeger</w:t>
      </w:r>
      <w:r>
        <w:rPr>
          <w:color w:val="231F20"/>
          <w:spacing w:val="11"/>
          <w:w w:val="105"/>
          <w:sz w:val="16"/>
        </w:rPr>
        <w:t xml:space="preserve"> </w:t>
      </w:r>
      <w:r>
        <w:rPr>
          <w:color w:val="231F20"/>
          <w:w w:val="105"/>
          <w:sz w:val="16"/>
        </w:rPr>
        <w:t>and</w:t>
      </w:r>
      <w:r>
        <w:rPr>
          <w:color w:val="231F20"/>
          <w:spacing w:val="11"/>
          <w:w w:val="105"/>
          <w:sz w:val="16"/>
        </w:rPr>
        <w:t xml:space="preserve"> </w:t>
      </w:r>
      <w:r>
        <w:rPr>
          <w:color w:val="231F20"/>
          <w:w w:val="105"/>
          <w:sz w:val="16"/>
        </w:rPr>
        <w:t>Nancy</w:t>
      </w:r>
      <w:r>
        <w:rPr>
          <w:color w:val="231F20"/>
          <w:spacing w:val="11"/>
          <w:w w:val="105"/>
          <w:sz w:val="16"/>
        </w:rPr>
        <w:t xml:space="preserve"> </w:t>
      </w:r>
      <w:r>
        <w:rPr>
          <w:color w:val="231F20"/>
          <w:w w:val="105"/>
          <w:sz w:val="16"/>
        </w:rPr>
        <w:t>Vedder-Shults,</w:t>
      </w:r>
      <w:r>
        <w:rPr>
          <w:color w:val="231F20"/>
          <w:spacing w:val="11"/>
          <w:w w:val="105"/>
          <w:sz w:val="16"/>
        </w:rPr>
        <w:t xml:space="preserve"> </w:t>
      </w:r>
      <w:r>
        <w:rPr>
          <w:color w:val="231F20"/>
          <w:w w:val="105"/>
          <w:sz w:val="16"/>
        </w:rPr>
        <w:t>“West</w:t>
      </w:r>
      <w:r>
        <w:rPr>
          <w:color w:val="231F20"/>
          <w:spacing w:val="11"/>
          <w:w w:val="105"/>
          <w:sz w:val="16"/>
        </w:rPr>
        <w:t xml:space="preserve"> </w:t>
      </w:r>
      <w:r>
        <w:rPr>
          <w:color w:val="231F20"/>
          <w:w w:val="105"/>
          <w:sz w:val="16"/>
        </w:rPr>
        <w:t>German</w:t>
      </w:r>
      <w:r>
        <w:rPr>
          <w:color w:val="231F20"/>
          <w:spacing w:val="11"/>
          <w:w w:val="105"/>
          <w:sz w:val="16"/>
        </w:rPr>
        <w:t xml:space="preserve"> </w:t>
      </w:r>
      <w:r>
        <w:rPr>
          <w:color w:val="231F20"/>
          <w:spacing w:val="-3"/>
          <w:w w:val="105"/>
          <w:sz w:val="16"/>
        </w:rPr>
        <w:t>Women’s</w:t>
      </w:r>
      <w:r>
        <w:rPr>
          <w:color w:val="231F20"/>
          <w:spacing w:val="11"/>
          <w:w w:val="105"/>
          <w:sz w:val="16"/>
        </w:rPr>
        <w:t xml:space="preserve"> </w:t>
      </w:r>
      <w:r>
        <w:rPr>
          <w:color w:val="231F20"/>
          <w:w w:val="105"/>
          <w:sz w:val="16"/>
        </w:rPr>
        <w:t>Movement,”</w:t>
      </w:r>
    </w:p>
    <w:p w14:paraId="19BBC716" w14:textId="77777777" w:rsidR="002653E8" w:rsidRDefault="003115E3">
      <w:pPr>
        <w:spacing w:before="12"/>
        <w:ind w:left="1148"/>
        <w:rPr>
          <w:sz w:val="16"/>
        </w:rPr>
      </w:pPr>
      <w:r>
        <w:rPr>
          <w:i/>
          <w:color w:val="231F20"/>
          <w:w w:val="110"/>
          <w:sz w:val="16"/>
        </w:rPr>
        <w:t xml:space="preserve">New German Critique </w:t>
      </w:r>
      <w:r>
        <w:rPr>
          <w:color w:val="231F20"/>
          <w:w w:val="110"/>
          <w:sz w:val="16"/>
        </w:rPr>
        <w:t>13 (Winter 1978): 61.</w:t>
      </w:r>
    </w:p>
    <w:p w14:paraId="53D15C13" w14:textId="77777777" w:rsidR="002653E8" w:rsidRDefault="002653E8">
      <w:pPr>
        <w:rPr>
          <w:sz w:val="16"/>
        </w:rPr>
        <w:sectPr w:rsidR="002653E8">
          <w:pgSz w:w="8640" w:h="12960"/>
          <w:pgMar w:top="1060" w:right="0" w:bottom="1040" w:left="0" w:header="0" w:footer="850" w:gutter="0"/>
          <w:cols w:space="720"/>
        </w:sectPr>
      </w:pPr>
    </w:p>
    <w:p w14:paraId="21C630E0" w14:textId="77777777" w:rsidR="002653E8" w:rsidRDefault="003115E3">
      <w:pPr>
        <w:pStyle w:val="a3"/>
        <w:spacing w:before="86" w:line="264" w:lineRule="auto"/>
        <w:ind w:left="1327" w:right="1145" w:firstLine="210"/>
        <w:jc w:val="both"/>
      </w:pPr>
      <w:r>
        <w:rPr>
          <w:color w:val="231F20"/>
        </w:rPr>
        <w:lastRenderedPageBreak/>
        <w:t xml:space="preserve">Communes and housing associations sprung up. </w:t>
      </w:r>
      <w:r>
        <w:rPr>
          <w:color w:val="231F20"/>
          <w:spacing w:val="-3"/>
        </w:rPr>
        <w:t xml:space="preserve">Women </w:t>
      </w:r>
      <w:r>
        <w:rPr>
          <w:color w:val="231F20"/>
        </w:rPr>
        <w:t xml:space="preserve">challenged the male leadership and orientation within the SDS and the APO, setting up daycares, </w:t>
      </w:r>
      <w:r>
        <w:rPr>
          <w:color w:val="231F20"/>
          <w:spacing w:val="-3"/>
        </w:rPr>
        <w:t xml:space="preserve">women’s </w:t>
      </w:r>
      <w:r>
        <w:rPr>
          <w:color w:val="231F20"/>
        </w:rPr>
        <w:t xml:space="preserve">caucuses, </w:t>
      </w:r>
      <w:r>
        <w:rPr>
          <w:color w:val="231F20"/>
          <w:spacing w:val="-3"/>
        </w:rPr>
        <w:t xml:space="preserve">women’s </w:t>
      </w:r>
      <w:r>
        <w:rPr>
          <w:color w:val="231F20"/>
        </w:rPr>
        <w:t>centers, and women-only communes. The broader counterculture, rockers, artists, and members of the drug scene rallied to the emerging political insurgency. Protests encompassed traditional demonstrations as well as sit-ins, teach-ins, and happenings. So called “Republican Clubs” spread out to virtually every town and city as centers for discussion and organizing, bridg   ing the divide between the younger radicals and veterans of the earlier peace</w:t>
      </w:r>
      <w:r>
        <w:rPr>
          <w:color w:val="231F20"/>
          <w:spacing w:val="10"/>
        </w:rPr>
        <w:t xml:space="preserve"> </w:t>
      </w:r>
      <w:r>
        <w:rPr>
          <w:color w:val="231F20"/>
        </w:rPr>
        <w:t>movements.</w:t>
      </w:r>
    </w:p>
    <w:p w14:paraId="4B4DD166" w14:textId="77777777" w:rsidR="002653E8" w:rsidRDefault="003115E3">
      <w:pPr>
        <w:pStyle w:val="a3"/>
        <w:spacing w:line="223" w:lineRule="exact"/>
        <w:ind w:left="1538"/>
      </w:pPr>
      <w:r>
        <w:rPr>
          <w:color w:val="231F20"/>
        </w:rPr>
        <w:t>As one historian has put it:</w:t>
      </w:r>
    </w:p>
    <w:p w14:paraId="03670F99" w14:textId="77777777" w:rsidR="002653E8" w:rsidRDefault="003115E3">
      <w:pPr>
        <w:spacing w:before="152" w:line="276" w:lineRule="auto"/>
        <w:ind w:left="1747" w:right="1565"/>
        <w:jc w:val="both"/>
        <w:rPr>
          <w:i/>
          <w:sz w:val="11"/>
        </w:rPr>
      </w:pPr>
      <w:r>
        <w:rPr>
          <w:i/>
          <w:color w:val="231F20"/>
          <w:sz w:val="19"/>
        </w:rPr>
        <w:t xml:space="preserve">Everywhere it could, the </w:t>
      </w:r>
      <w:r>
        <w:rPr>
          <w:rFonts w:ascii="Bookman Old Style"/>
          <w:i/>
          <w:color w:val="231F20"/>
          <w:sz w:val="19"/>
        </w:rPr>
        <w:t>1960</w:t>
      </w:r>
      <w:r>
        <w:rPr>
          <w:i/>
          <w:color w:val="231F20"/>
          <w:sz w:val="19"/>
        </w:rPr>
        <w:t>s generation countered the German petit bourgeois ethic with its antithesis, as they interpreted it: prudery with free love, nationalism with internationalism, the nuclear family with communes, provincialism with Third World solidarity, obedience to the law with civil disobedience, tradition with wide-open experimentation, servility with in-your-face activism.</w:t>
      </w:r>
      <w:r>
        <w:rPr>
          <w:i/>
          <w:color w:val="231F20"/>
          <w:position w:val="6"/>
          <w:sz w:val="11"/>
        </w:rPr>
        <w:t>3</w:t>
      </w:r>
    </w:p>
    <w:p w14:paraId="23CE1662" w14:textId="77777777" w:rsidR="002653E8" w:rsidRDefault="003115E3">
      <w:pPr>
        <w:pStyle w:val="a3"/>
        <w:spacing w:before="131" w:line="264" w:lineRule="auto"/>
        <w:ind w:left="1327" w:right="1145"/>
        <w:jc w:val="both"/>
        <w:rPr>
          <w:sz w:val="11"/>
        </w:rPr>
      </w:pPr>
      <w:r>
        <w:rPr>
          <w:color w:val="231F20"/>
          <w:w w:val="105"/>
        </w:rPr>
        <w:t>Or, as one former SDS member would recall, it was a time when “everything”—hash, politics, sex, and Vietnam—“all seemed to hang together with everything else.”</w:t>
      </w:r>
      <w:r>
        <w:rPr>
          <w:color w:val="231F20"/>
          <w:w w:val="105"/>
          <w:position w:val="7"/>
          <w:sz w:val="11"/>
        </w:rPr>
        <w:t>4</w:t>
      </w:r>
    </w:p>
    <w:p w14:paraId="343D711D" w14:textId="77777777" w:rsidR="002653E8" w:rsidRDefault="003115E3">
      <w:pPr>
        <w:pStyle w:val="a3"/>
        <w:spacing w:line="264" w:lineRule="auto"/>
        <w:ind w:left="1327" w:right="1146" w:firstLine="210"/>
        <w:jc w:val="both"/>
      </w:pPr>
      <w:r>
        <w:rPr>
          <w:color w:val="231F20"/>
        </w:rPr>
        <w:t>Despite its growing popularity on campus and amongst hipsters, this new radical youth movement was not embraced by the population at large, and demonstrations would often be heckled or even attacked by onlookers. This widespread hostility was a green light for state repression, with results which would soon become clear for all to see.</w:t>
      </w:r>
    </w:p>
    <w:p w14:paraId="34293243" w14:textId="77777777" w:rsidR="002653E8" w:rsidRDefault="003115E3">
      <w:pPr>
        <w:pStyle w:val="a3"/>
        <w:spacing w:line="264" w:lineRule="auto"/>
        <w:ind w:left="1327" w:right="1145" w:firstLine="209"/>
        <w:jc w:val="both"/>
      </w:pPr>
      <w:r>
        <w:rPr>
          <w:color w:val="231F20"/>
          <w:w w:val="105"/>
        </w:rPr>
        <w:t>On</w:t>
      </w:r>
      <w:r>
        <w:rPr>
          <w:color w:val="231F20"/>
          <w:spacing w:val="-16"/>
          <w:w w:val="105"/>
        </w:rPr>
        <w:t xml:space="preserve"> </w:t>
      </w:r>
      <w:r>
        <w:rPr>
          <w:color w:val="231F20"/>
          <w:w w:val="105"/>
        </w:rPr>
        <w:t>June</w:t>
      </w:r>
      <w:r>
        <w:rPr>
          <w:color w:val="231F20"/>
          <w:spacing w:val="-16"/>
          <w:w w:val="105"/>
        </w:rPr>
        <w:t xml:space="preserve"> </w:t>
      </w:r>
      <w:r>
        <w:rPr>
          <w:color w:val="231F20"/>
          <w:w w:val="105"/>
        </w:rPr>
        <w:t>2,</w:t>
      </w:r>
      <w:r>
        <w:rPr>
          <w:color w:val="231F20"/>
          <w:spacing w:val="-17"/>
          <w:w w:val="105"/>
        </w:rPr>
        <w:t xml:space="preserve"> </w:t>
      </w:r>
      <w:r>
        <w:rPr>
          <w:color w:val="231F20"/>
          <w:spacing w:val="-7"/>
          <w:w w:val="105"/>
        </w:rPr>
        <w:t>1967,</w:t>
      </w:r>
      <w:r>
        <w:rPr>
          <w:color w:val="231F20"/>
          <w:spacing w:val="-17"/>
          <w:w w:val="105"/>
        </w:rPr>
        <w:t xml:space="preserve"> </w:t>
      </w:r>
      <w:r>
        <w:rPr>
          <w:color w:val="231F20"/>
          <w:w w:val="105"/>
        </w:rPr>
        <w:t>thousands</w:t>
      </w:r>
      <w:r>
        <w:rPr>
          <w:color w:val="231F20"/>
          <w:spacing w:val="-17"/>
          <w:w w:val="105"/>
        </w:rPr>
        <w:t xml:space="preserve"> </w:t>
      </w:r>
      <w:r>
        <w:rPr>
          <w:color w:val="231F20"/>
          <w:w w:val="105"/>
        </w:rPr>
        <w:t>of</w:t>
      </w:r>
      <w:r>
        <w:rPr>
          <w:color w:val="231F20"/>
          <w:spacing w:val="-17"/>
          <w:w w:val="105"/>
        </w:rPr>
        <w:t xml:space="preserve"> </w:t>
      </w:r>
      <w:r>
        <w:rPr>
          <w:color w:val="231F20"/>
          <w:w w:val="105"/>
        </w:rPr>
        <w:t>people</w:t>
      </w:r>
      <w:r>
        <w:rPr>
          <w:color w:val="231F20"/>
          <w:spacing w:val="-17"/>
          <w:w w:val="105"/>
        </w:rPr>
        <w:t xml:space="preserve"> </w:t>
      </w:r>
      <w:r>
        <w:rPr>
          <w:color w:val="231F20"/>
          <w:w w:val="105"/>
        </w:rPr>
        <w:t>turned</w:t>
      </w:r>
      <w:r>
        <w:rPr>
          <w:color w:val="231F20"/>
          <w:spacing w:val="-17"/>
          <w:w w:val="105"/>
        </w:rPr>
        <w:t xml:space="preserve"> </w:t>
      </w:r>
      <w:r>
        <w:rPr>
          <w:color w:val="231F20"/>
          <w:w w:val="105"/>
        </w:rPr>
        <w:t>out</w:t>
      </w:r>
      <w:r>
        <w:rPr>
          <w:color w:val="231F20"/>
          <w:spacing w:val="-17"/>
          <w:w w:val="105"/>
        </w:rPr>
        <w:t xml:space="preserve"> </w:t>
      </w:r>
      <w:r>
        <w:rPr>
          <w:color w:val="231F20"/>
          <w:w w:val="105"/>
        </w:rPr>
        <w:t>to</w:t>
      </w:r>
      <w:r>
        <w:rPr>
          <w:color w:val="231F20"/>
          <w:spacing w:val="-17"/>
          <w:w w:val="105"/>
        </w:rPr>
        <w:t xml:space="preserve"> </w:t>
      </w:r>
      <w:r>
        <w:rPr>
          <w:color w:val="231F20"/>
          <w:w w:val="105"/>
        </w:rPr>
        <w:t>demonstrate</w:t>
      </w:r>
      <w:r>
        <w:rPr>
          <w:color w:val="231F20"/>
          <w:spacing w:val="-17"/>
          <w:w w:val="105"/>
        </w:rPr>
        <w:t xml:space="preserve"> </w:t>
      </w:r>
      <w:r>
        <w:rPr>
          <w:color w:val="231F20"/>
          <w:w w:val="105"/>
        </w:rPr>
        <w:t>outside</w:t>
      </w:r>
      <w:r>
        <w:rPr>
          <w:color w:val="231F20"/>
          <w:spacing w:val="-14"/>
          <w:w w:val="105"/>
        </w:rPr>
        <w:t xml:space="preserve"> </w:t>
      </w:r>
      <w:r>
        <w:rPr>
          <w:color w:val="231F20"/>
          <w:w w:val="105"/>
        </w:rPr>
        <w:t>the</w:t>
      </w:r>
      <w:r>
        <w:rPr>
          <w:color w:val="231F20"/>
          <w:spacing w:val="-14"/>
          <w:w w:val="105"/>
        </w:rPr>
        <w:t xml:space="preserve"> </w:t>
      </w:r>
      <w:r>
        <w:rPr>
          <w:color w:val="231F20"/>
          <w:w w:val="105"/>
        </w:rPr>
        <w:t>German</w:t>
      </w:r>
      <w:r>
        <w:rPr>
          <w:color w:val="231F20"/>
          <w:spacing w:val="-14"/>
          <w:w w:val="105"/>
        </w:rPr>
        <w:t xml:space="preserve"> </w:t>
      </w:r>
      <w:r>
        <w:rPr>
          <w:color w:val="231F20"/>
          <w:w w:val="105"/>
        </w:rPr>
        <w:t>Opera</w:t>
      </w:r>
      <w:r>
        <w:rPr>
          <w:color w:val="231F20"/>
          <w:spacing w:val="-14"/>
          <w:w w:val="105"/>
        </w:rPr>
        <w:t xml:space="preserve"> </w:t>
      </w:r>
      <w:r>
        <w:rPr>
          <w:color w:val="231F20"/>
          <w:w w:val="105"/>
        </w:rPr>
        <w:t>against</w:t>
      </w:r>
      <w:r>
        <w:rPr>
          <w:color w:val="231F20"/>
          <w:spacing w:val="-14"/>
          <w:w w:val="105"/>
        </w:rPr>
        <w:t xml:space="preserve"> </w:t>
      </w:r>
      <w:r>
        <w:rPr>
          <w:color w:val="231F20"/>
          <w:w w:val="105"/>
        </w:rPr>
        <w:t>a</w:t>
      </w:r>
      <w:r>
        <w:rPr>
          <w:color w:val="231F20"/>
          <w:spacing w:val="-14"/>
          <w:w w:val="105"/>
        </w:rPr>
        <w:t xml:space="preserve"> </w:t>
      </w:r>
      <w:r>
        <w:rPr>
          <w:color w:val="231F20"/>
          <w:w w:val="105"/>
        </w:rPr>
        <w:t>visit</w:t>
      </w:r>
      <w:r>
        <w:rPr>
          <w:color w:val="231F20"/>
          <w:spacing w:val="-14"/>
          <w:w w:val="105"/>
        </w:rPr>
        <w:t xml:space="preserve"> </w:t>
      </w:r>
      <w:r>
        <w:rPr>
          <w:color w:val="231F20"/>
          <w:w w:val="105"/>
        </w:rPr>
        <w:t>by</w:t>
      </w:r>
      <w:r>
        <w:rPr>
          <w:color w:val="231F20"/>
          <w:spacing w:val="-14"/>
          <w:w w:val="105"/>
        </w:rPr>
        <w:t xml:space="preserve"> </w:t>
      </w:r>
      <w:r>
        <w:rPr>
          <w:color w:val="231F20"/>
          <w:w w:val="105"/>
        </w:rPr>
        <w:t>the</w:t>
      </w:r>
      <w:r>
        <w:rPr>
          <w:color w:val="231F20"/>
          <w:spacing w:val="-14"/>
          <w:w w:val="105"/>
        </w:rPr>
        <w:t xml:space="preserve"> </w:t>
      </w:r>
      <w:r>
        <w:rPr>
          <w:color w:val="231F20"/>
          <w:w w:val="105"/>
        </w:rPr>
        <w:t>Shah</w:t>
      </w:r>
      <w:r>
        <w:rPr>
          <w:color w:val="231F20"/>
          <w:spacing w:val="-14"/>
          <w:w w:val="105"/>
        </w:rPr>
        <w:t xml:space="preserve"> </w:t>
      </w:r>
      <w:r>
        <w:rPr>
          <w:color w:val="231F20"/>
          <w:w w:val="105"/>
        </w:rPr>
        <w:t>of</w:t>
      </w:r>
      <w:r>
        <w:rPr>
          <w:color w:val="231F20"/>
          <w:spacing w:val="-14"/>
          <w:w w:val="105"/>
        </w:rPr>
        <w:t xml:space="preserve"> </w:t>
      </w:r>
      <w:r>
        <w:rPr>
          <w:color w:val="231F20"/>
          <w:w w:val="105"/>
        </w:rPr>
        <w:t>Iran,</w:t>
      </w:r>
      <w:r>
        <w:rPr>
          <w:color w:val="231F20"/>
          <w:spacing w:val="-14"/>
          <w:w w:val="105"/>
        </w:rPr>
        <w:t xml:space="preserve"> </w:t>
      </w:r>
      <w:r>
        <w:rPr>
          <w:color w:val="231F20"/>
          <w:w w:val="105"/>
        </w:rPr>
        <w:t>whose</w:t>
      </w:r>
      <w:r>
        <w:rPr>
          <w:color w:val="231F20"/>
          <w:spacing w:val="-14"/>
          <w:w w:val="105"/>
        </w:rPr>
        <w:t xml:space="preserve"> </w:t>
      </w:r>
      <w:r>
        <w:rPr>
          <w:color w:val="231F20"/>
          <w:w w:val="105"/>
        </w:rPr>
        <w:t>brutal regime was a key American ally in the Middle East. Many wore paper masks</w:t>
      </w:r>
      <w:r>
        <w:rPr>
          <w:color w:val="231F20"/>
          <w:spacing w:val="-7"/>
          <w:w w:val="105"/>
        </w:rPr>
        <w:t xml:space="preserve"> </w:t>
      </w:r>
      <w:r>
        <w:rPr>
          <w:color w:val="231F20"/>
          <w:w w:val="105"/>
        </w:rPr>
        <w:t>in</w:t>
      </w:r>
      <w:r>
        <w:rPr>
          <w:color w:val="231F20"/>
          <w:spacing w:val="-7"/>
          <w:w w:val="105"/>
        </w:rPr>
        <w:t xml:space="preserve"> </w:t>
      </w:r>
      <w:r>
        <w:rPr>
          <w:color w:val="231F20"/>
          <w:w w:val="105"/>
        </w:rPr>
        <w:t>the</w:t>
      </w:r>
      <w:r>
        <w:rPr>
          <w:color w:val="231F20"/>
          <w:spacing w:val="-7"/>
          <w:w w:val="105"/>
        </w:rPr>
        <w:t xml:space="preserve"> </w:t>
      </w:r>
      <w:r>
        <w:rPr>
          <w:color w:val="231F20"/>
          <w:w w:val="105"/>
        </w:rPr>
        <w:t>likeness</w:t>
      </w:r>
      <w:r>
        <w:rPr>
          <w:color w:val="231F20"/>
          <w:spacing w:val="-7"/>
          <w:w w:val="105"/>
        </w:rPr>
        <w:t xml:space="preserve"> </w:t>
      </w:r>
      <w:r>
        <w:rPr>
          <w:color w:val="231F20"/>
          <w:w w:val="105"/>
        </w:rPr>
        <w:t>of</w:t>
      </w:r>
      <w:r>
        <w:rPr>
          <w:color w:val="231F20"/>
          <w:spacing w:val="-7"/>
          <w:w w:val="105"/>
        </w:rPr>
        <w:t xml:space="preserve"> </w:t>
      </w:r>
      <w:r>
        <w:rPr>
          <w:color w:val="231F20"/>
          <w:w w:val="105"/>
        </w:rPr>
        <w:t>the</w:t>
      </w:r>
      <w:r>
        <w:rPr>
          <w:color w:val="231F20"/>
          <w:spacing w:val="-7"/>
          <w:w w:val="105"/>
        </w:rPr>
        <w:t xml:space="preserve"> </w:t>
      </w:r>
      <w:r>
        <w:rPr>
          <w:color w:val="231F20"/>
          <w:w w:val="105"/>
        </w:rPr>
        <w:t>Shah</w:t>
      </w:r>
      <w:r>
        <w:rPr>
          <w:color w:val="231F20"/>
          <w:spacing w:val="-7"/>
          <w:w w:val="105"/>
        </w:rPr>
        <w:t xml:space="preserve"> </w:t>
      </w:r>
      <w:r>
        <w:rPr>
          <w:color w:val="231F20"/>
          <w:w w:val="105"/>
        </w:rPr>
        <w:t>and</w:t>
      </w:r>
      <w:r>
        <w:rPr>
          <w:color w:val="231F20"/>
          <w:spacing w:val="-7"/>
          <w:w w:val="105"/>
        </w:rPr>
        <w:t xml:space="preserve"> </w:t>
      </w:r>
      <w:r>
        <w:rPr>
          <w:color w:val="231F20"/>
          <w:w w:val="105"/>
        </w:rPr>
        <w:t>his</w:t>
      </w:r>
      <w:r>
        <w:rPr>
          <w:color w:val="231F20"/>
          <w:spacing w:val="-7"/>
          <w:w w:val="105"/>
        </w:rPr>
        <w:t xml:space="preserve"> </w:t>
      </w:r>
      <w:r>
        <w:rPr>
          <w:color w:val="231F20"/>
          <w:w w:val="105"/>
        </w:rPr>
        <w:t>wife;</w:t>
      </w:r>
      <w:r>
        <w:rPr>
          <w:color w:val="231F20"/>
          <w:spacing w:val="-7"/>
          <w:w w:val="105"/>
        </w:rPr>
        <w:t xml:space="preserve"> </w:t>
      </w:r>
      <w:r>
        <w:rPr>
          <w:color w:val="231F20"/>
          <w:w w:val="105"/>
        </w:rPr>
        <w:t>these</w:t>
      </w:r>
      <w:r>
        <w:rPr>
          <w:color w:val="231F20"/>
          <w:spacing w:val="-7"/>
          <w:w w:val="105"/>
        </w:rPr>
        <w:t xml:space="preserve"> </w:t>
      </w:r>
      <w:r>
        <w:rPr>
          <w:color w:val="231F20"/>
          <w:w w:val="105"/>
        </w:rPr>
        <w:t>had</w:t>
      </w:r>
      <w:r>
        <w:rPr>
          <w:color w:val="231F20"/>
          <w:spacing w:val="-7"/>
          <w:w w:val="105"/>
        </w:rPr>
        <w:t xml:space="preserve"> </w:t>
      </w:r>
      <w:r>
        <w:rPr>
          <w:color w:val="231F20"/>
          <w:w w:val="105"/>
        </w:rPr>
        <w:t>been</w:t>
      </w:r>
      <w:r>
        <w:rPr>
          <w:color w:val="231F20"/>
          <w:spacing w:val="-7"/>
          <w:w w:val="105"/>
        </w:rPr>
        <w:t xml:space="preserve"> </w:t>
      </w:r>
      <w:r>
        <w:rPr>
          <w:color w:val="231F20"/>
          <w:w w:val="105"/>
        </w:rPr>
        <w:t>printed up by Rainer Langhans and Holger Meins of the K.1 commune,</w:t>
      </w:r>
      <w:r>
        <w:rPr>
          <w:color w:val="231F20"/>
          <w:w w:val="105"/>
          <w:position w:val="7"/>
          <w:sz w:val="11"/>
        </w:rPr>
        <w:t xml:space="preserve">5 </w:t>
      </w:r>
      <w:r>
        <w:rPr>
          <w:color w:val="231F20"/>
          <w:w w:val="105"/>
        </w:rPr>
        <w:t xml:space="preserve">“So the police couldn’t recognize us [and </w:t>
      </w:r>
      <w:r>
        <w:rPr>
          <w:color w:val="231F20"/>
          <w:spacing w:val="-3"/>
          <w:w w:val="105"/>
        </w:rPr>
        <w:t xml:space="preserve">so] </w:t>
      </w:r>
      <w:r>
        <w:rPr>
          <w:color w:val="231F20"/>
          <w:w w:val="105"/>
        </w:rPr>
        <w:t>they only saw the face of the one they were protecting.”</w:t>
      </w:r>
      <w:r>
        <w:rPr>
          <w:color w:val="231F20"/>
          <w:w w:val="105"/>
          <w:position w:val="7"/>
          <w:sz w:val="11"/>
        </w:rPr>
        <w:t xml:space="preserve">6 </w:t>
      </w:r>
      <w:r>
        <w:rPr>
          <w:color w:val="231F20"/>
          <w:w w:val="105"/>
        </w:rPr>
        <w:t>Thus adorned, the protesters greeted</w:t>
      </w:r>
      <w:r>
        <w:rPr>
          <w:color w:val="231F20"/>
          <w:spacing w:val="-1"/>
          <w:w w:val="105"/>
        </w:rPr>
        <w:t xml:space="preserve"> </w:t>
      </w:r>
      <w:r>
        <w:rPr>
          <w:color w:val="231F20"/>
          <w:w w:val="105"/>
        </w:rPr>
        <w:t>the</w:t>
      </w:r>
    </w:p>
    <w:p w14:paraId="2B7A0E2E" w14:textId="77777777" w:rsidR="002653E8" w:rsidRDefault="00000000">
      <w:pPr>
        <w:pStyle w:val="a3"/>
        <w:spacing w:before="6"/>
        <w:rPr>
          <w:sz w:val="23"/>
        </w:rPr>
      </w:pPr>
      <w:r>
        <w:rPr>
          <w:noProof w:val="0"/>
        </w:rPr>
        <w:pict w14:anchorId="71D41FBF">
          <v:line id="_x0000_s2674" style="position:absolute;z-index:2128;mso-wrap-distance-left:0;mso-wrap-distance-right:0;mso-position-horizontal-relative:page" from="66.4pt,16.05pt" to="138.4pt,16.05pt" strokecolor="#231f20" strokeweight=".5pt">
            <w10:wrap type="topAndBottom" anchorx="page"/>
          </v:line>
        </w:pict>
      </w:r>
    </w:p>
    <w:p w14:paraId="047ECC63" w14:textId="77777777" w:rsidR="002653E8" w:rsidRDefault="003115E3">
      <w:pPr>
        <w:pStyle w:val="a4"/>
        <w:numPr>
          <w:ilvl w:val="0"/>
          <w:numId w:val="184"/>
        </w:numPr>
        <w:tabs>
          <w:tab w:val="left" w:pos="1467"/>
        </w:tabs>
        <w:spacing w:before="53"/>
        <w:ind w:left="1466"/>
        <w:jc w:val="left"/>
        <w:rPr>
          <w:sz w:val="16"/>
        </w:rPr>
      </w:pPr>
      <w:r>
        <w:rPr>
          <w:color w:val="231F20"/>
          <w:w w:val="115"/>
          <w:sz w:val="16"/>
        </w:rPr>
        <w:t>Hockenos,</w:t>
      </w:r>
      <w:r>
        <w:rPr>
          <w:color w:val="231F20"/>
          <w:spacing w:val="3"/>
          <w:w w:val="115"/>
          <w:sz w:val="16"/>
        </w:rPr>
        <w:t xml:space="preserve"> </w:t>
      </w:r>
      <w:r>
        <w:rPr>
          <w:color w:val="231F20"/>
          <w:w w:val="115"/>
          <w:sz w:val="16"/>
        </w:rPr>
        <w:t>80.</w:t>
      </w:r>
    </w:p>
    <w:p w14:paraId="0F73A4FF" w14:textId="77777777" w:rsidR="002653E8" w:rsidRDefault="003115E3">
      <w:pPr>
        <w:pStyle w:val="a4"/>
        <w:numPr>
          <w:ilvl w:val="0"/>
          <w:numId w:val="184"/>
        </w:numPr>
        <w:tabs>
          <w:tab w:val="left" w:pos="1467"/>
        </w:tabs>
        <w:spacing w:before="51"/>
        <w:ind w:left="1466"/>
        <w:jc w:val="left"/>
        <w:rPr>
          <w:sz w:val="16"/>
        </w:rPr>
      </w:pPr>
      <w:r>
        <w:rPr>
          <w:color w:val="231F20"/>
          <w:w w:val="105"/>
          <w:sz w:val="16"/>
        </w:rPr>
        <w:t>Eckhard Siepmann in Herzog,</w:t>
      </w:r>
      <w:r>
        <w:rPr>
          <w:color w:val="231F20"/>
          <w:spacing w:val="35"/>
          <w:w w:val="105"/>
          <w:sz w:val="16"/>
        </w:rPr>
        <w:t xml:space="preserve"> </w:t>
      </w:r>
      <w:r>
        <w:rPr>
          <w:color w:val="231F20"/>
          <w:spacing w:val="-5"/>
          <w:w w:val="105"/>
          <w:sz w:val="16"/>
        </w:rPr>
        <w:t>427.</w:t>
      </w:r>
    </w:p>
    <w:p w14:paraId="628D727F" w14:textId="77777777" w:rsidR="002653E8" w:rsidRDefault="003115E3">
      <w:pPr>
        <w:pStyle w:val="a4"/>
        <w:numPr>
          <w:ilvl w:val="0"/>
          <w:numId w:val="184"/>
        </w:numPr>
        <w:tabs>
          <w:tab w:val="left" w:pos="1467"/>
        </w:tabs>
        <w:spacing w:before="52"/>
        <w:ind w:left="1466"/>
        <w:jc w:val="left"/>
        <w:rPr>
          <w:sz w:val="16"/>
        </w:rPr>
      </w:pPr>
      <w:r>
        <w:rPr>
          <w:color w:val="231F20"/>
          <w:w w:val="105"/>
          <w:sz w:val="16"/>
        </w:rPr>
        <w:t>Kommune 1 in</w:t>
      </w:r>
      <w:r>
        <w:rPr>
          <w:color w:val="231F20"/>
          <w:spacing w:val="25"/>
          <w:w w:val="105"/>
          <w:sz w:val="16"/>
        </w:rPr>
        <w:t xml:space="preserve"> </w:t>
      </w:r>
      <w:r>
        <w:rPr>
          <w:color w:val="231F20"/>
          <w:w w:val="105"/>
          <w:sz w:val="16"/>
        </w:rPr>
        <w:t>German.</w:t>
      </w:r>
    </w:p>
    <w:p w14:paraId="676E6440" w14:textId="77777777" w:rsidR="002653E8" w:rsidRDefault="003115E3">
      <w:pPr>
        <w:pStyle w:val="a4"/>
        <w:numPr>
          <w:ilvl w:val="0"/>
          <w:numId w:val="184"/>
        </w:numPr>
        <w:tabs>
          <w:tab w:val="left" w:pos="1467"/>
        </w:tabs>
        <w:spacing w:before="52" w:line="254" w:lineRule="auto"/>
        <w:ind w:left="1327" w:right="1733" w:firstLine="0"/>
        <w:jc w:val="left"/>
        <w:rPr>
          <w:sz w:val="16"/>
        </w:rPr>
      </w:pPr>
      <w:r>
        <w:rPr>
          <w:color w:val="231F20"/>
          <w:spacing w:val="1"/>
          <w:w w:val="115"/>
          <w:sz w:val="16"/>
        </w:rPr>
        <w:t>G.</w:t>
      </w:r>
      <w:r>
        <w:rPr>
          <w:color w:val="231F20"/>
          <w:spacing w:val="-5"/>
          <w:w w:val="115"/>
          <w:sz w:val="16"/>
        </w:rPr>
        <w:t xml:space="preserve"> </w:t>
      </w:r>
      <w:r>
        <w:rPr>
          <w:color w:val="231F20"/>
          <w:w w:val="115"/>
          <w:sz w:val="16"/>
        </w:rPr>
        <w:t>Conradt</w:t>
      </w:r>
      <w:r>
        <w:rPr>
          <w:color w:val="231F20"/>
          <w:spacing w:val="-5"/>
          <w:w w:val="115"/>
          <w:sz w:val="16"/>
        </w:rPr>
        <w:t xml:space="preserve"> </w:t>
      </w:r>
      <w:r>
        <w:rPr>
          <w:color w:val="231F20"/>
          <w:w w:val="115"/>
          <w:sz w:val="16"/>
        </w:rPr>
        <w:t>and</w:t>
      </w:r>
      <w:r>
        <w:rPr>
          <w:color w:val="231F20"/>
          <w:spacing w:val="-5"/>
          <w:w w:val="115"/>
          <w:sz w:val="16"/>
        </w:rPr>
        <w:t xml:space="preserve"> </w:t>
      </w:r>
      <w:r>
        <w:rPr>
          <w:color w:val="231F20"/>
          <w:spacing w:val="1"/>
          <w:w w:val="115"/>
          <w:sz w:val="16"/>
        </w:rPr>
        <w:t>H.</w:t>
      </w:r>
      <w:r>
        <w:rPr>
          <w:color w:val="231F20"/>
          <w:spacing w:val="-5"/>
          <w:w w:val="115"/>
          <w:sz w:val="16"/>
        </w:rPr>
        <w:t xml:space="preserve"> </w:t>
      </w:r>
      <w:r>
        <w:rPr>
          <w:color w:val="231F20"/>
          <w:w w:val="115"/>
          <w:sz w:val="16"/>
        </w:rPr>
        <w:t>Jahn,</w:t>
      </w:r>
      <w:r>
        <w:rPr>
          <w:color w:val="231F20"/>
          <w:spacing w:val="-5"/>
          <w:w w:val="115"/>
          <w:sz w:val="16"/>
        </w:rPr>
        <w:t xml:space="preserve"> </w:t>
      </w:r>
      <w:r>
        <w:rPr>
          <w:i/>
          <w:color w:val="231F20"/>
          <w:w w:val="115"/>
          <w:sz w:val="16"/>
        </w:rPr>
        <w:t>Starbuck</w:t>
      </w:r>
      <w:r>
        <w:rPr>
          <w:i/>
          <w:color w:val="231F20"/>
          <w:spacing w:val="-5"/>
          <w:w w:val="115"/>
          <w:sz w:val="16"/>
        </w:rPr>
        <w:t xml:space="preserve"> </w:t>
      </w:r>
      <w:r>
        <w:rPr>
          <w:i/>
          <w:color w:val="231F20"/>
          <w:w w:val="115"/>
          <w:sz w:val="16"/>
        </w:rPr>
        <w:t>Holger</w:t>
      </w:r>
      <w:r>
        <w:rPr>
          <w:i/>
          <w:color w:val="231F20"/>
          <w:spacing w:val="-5"/>
          <w:w w:val="115"/>
          <w:sz w:val="16"/>
        </w:rPr>
        <w:t xml:space="preserve"> </w:t>
      </w:r>
      <w:r>
        <w:rPr>
          <w:i/>
          <w:color w:val="231F20"/>
          <w:spacing w:val="1"/>
          <w:w w:val="115"/>
          <w:sz w:val="16"/>
        </w:rPr>
        <w:t>Meins,</w:t>
      </w:r>
      <w:r>
        <w:rPr>
          <w:i/>
          <w:color w:val="231F20"/>
          <w:spacing w:val="-5"/>
          <w:w w:val="115"/>
          <w:sz w:val="16"/>
        </w:rPr>
        <w:t xml:space="preserve"> </w:t>
      </w:r>
      <w:r>
        <w:rPr>
          <w:color w:val="231F20"/>
          <w:w w:val="115"/>
          <w:sz w:val="16"/>
        </w:rPr>
        <w:t>directed</w:t>
      </w:r>
      <w:r>
        <w:rPr>
          <w:color w:val="231F20"/>
          <w:spacing w:val="-5"/>
          <w:w w:val="115"/>
          <w:sz w:val="16"/>
        </w:rPr>
        <w:t xml:space="preserve"> </w:t>
      </w:r>
      <w:r>
        <w:rPr>
          <w:color w:val="231F20"/>
          <w:w w:val="115"/>
          <w:sz w:val="16"/>
        </w:rPr>
        <w:t>by</w:t>
      </w:r>
      <w:r>
        <w:rPr>
          <w:color w:val="231F20"/>
          <w:spacing w:val="-5"/>
          <w:w w:val="115"/>
          <w:sz w:val="16"/>
        </w:rPr>
        <w:t xml:space="preserve"> </w:t>
      </w:r>
      <w:r>
        <w:rPr>
          <w:color w:val="231F20"/>
          <w:spacing w:val="1"/>
          <w:w w:val="115"/>
          <w:sz w:val="16"/>
        </w:rPr>
        <w:t>G.</w:t>
      </w:r>
      <w:r>
        <w:rPr>
          <w:color w:val="231F20"/>
          <w:spacing w:val="-5"/>
          <w:w w:val="115"/>
          <w:sz w:val="16"/>
        </w:rPr>
        <w:t xml:space="preserve"> </w:t>
      </w:r>
      <w:r>
        <w:rPr>
          <w:color w:val="231F20"/>
          <w:w w:val="115"/>
          <w:sz w:val="16"/>
        </w:rPr>
        <w:t>Conradt. (Germany: Hartmut Jahn Filmproduktion, 2002).</w:t>
      </w:r>
    </w:p>
    <w:p w14:paraId="1108DD98" w14:textId="77777777" w:rsidR="002653E8" w:rsidRDefault="002653E8">
      <w:pPr>
        <w:spacing w:line="254" w:lineRule="auto"/>
        <w:rPr>
          <w:sz w:val="16"/>
        </w:rPr>
        <w:sectPr w:rsidR="002653E8">
          <w:pgSz w:w="8640" w:h="12960"/>
          <w:pgMar w:top="1060" w:right="0" w:bottom="1040" w:left="0" w:header="0" w:footer="850" w:gutter="0"/>
          <w:cols w:space="720"/>
        </w:sectPr>
      </w:pPr>
    </w:p>
    <w:p w14:paraId="1C29CABE" w14:textId="77777777" w:rsidR="002653E8" w:rsidRDefault="003115E3">
      <w:pPr>
        <w:pStyle w:val="a3"/>
        <w:spacing w:before="86" w:line="264" w:lineRule="auto"/>
        <w:ind w:left="1147" w:right="1580"/>
      </w:pPr>
      <w:r>
        <w:rPr>
          <w:color w:val="231F20"/>
        </w:rPr>
        <w:lastRenderedPageBreak/>
        <w:t>Iranian monarch and his wife with volleys of rotten tomatoes and shouts of</w:t>
      </w:r>
      <w:r>
        <w:rPr>
          <w:color w:val="231F20"/>
          <w:spacing w:val="22"/>
        </w:rPr>
        <w:t xml:space="preserve"> </w:t>
      </w:r>
      <w:r>
        <w:rPr>
          <w:color w:val="231F20"/>
        </w:rPr>
        <w:t>“Murderer!”</w:t>
      </w:r>
    </w:p>
    <w:p w14:paraId="0A53892F" w14:textId="77777777" w:rsidR="002653E8" w:rsidRDefault="003115E3">
      <w:pPr>
        <w:pStyle w:val="a3"/>
        <w:spacing w:line="264" w:lineRule="auto"/>
        <w:ind w:left="1147" w:right="1326" w:firstLine="210"/>
        <w:jc w:val="both"/>
        <w:rPr>
          <w:sz w:val="11"/>
        </w:rPr>
      </w:pPr>
      <w:r>
        <w:rPr>
          <w:color w:val="231F20"/>
        </w:rPr>
        <w:t xml:space="preserve">(As Ulrike Meinhof would later write in </w:t>
      </w:r>
      <w:r>
        <w:rPr>
          <w:i/>
          <w:color w:val="231F20"/>
        </w:rPr>
        <w:t>konkret</w:t>
      </w:r>
      <w:r>
        <w:rPr>
          <w:color w:val="231F20"/>
        </w:rPr>
        <w:t xml:space="preserve">: “the students who befouled the Shah did not act on their own behalf, but rather on behalf of the Persian peasants who are in no position to resist under pres    ent circumstances, and the tomatoes could only be symbols for better </w:t>
      </w:r>
      <w:r>
        <w:rPr>
          <w:color w:val="231F20"/>
          <w:spacing w:val="-3"/>
        </w:rPr>
        <w:t>projectiles…”)</w:t>
      </w:r>
      <w:r>
        <w:rPr>
          <w:color w:val="231F20"/>
          <w:spacing w:val="-3"/>
          <w:position w:val="7"/>
          <w:sz w:val="11"/>
        </w:rPr>
        <w:t>1</w:t>
      </w:r>
    </w:p>
    <w:p w14:paraId="41C27F5B" w14:textId="77777777" w:rsidR="002653E8" w:rsidRDefault="003115E3">
      <w:pPr>
        <w:pStyle w:val="a3"/>
        <w:spacing w:line="264" w:lineRule="auto"/>
        <w:ind w:left="1147" w:right="1326" w:firstLine="210"/>
        <w:jc w:val="both"/>
        <w:rPr>
          <w:sz w:val="11"/>
        </w:rPr>
      </w:pPr>
      <w:r>
        <w:rPr>
          <w:color w:val="231F20"/>
        </w:rPr>
        <w:t>The June 2 rally would be a turning point, as the protesters were brutally set upon by the police and SAVAK, the Iranian secret service. Many fought back, and the demonstration is reported to have “descended into the most violent battle between protesters and police so far in the postwar period… It was only around 12:30 am that the fighting came to an end, by which time 44 demonstrators had been arrested, and the same number of people had been injured, including 20 police officers.”</w:t>
      </w:r>
      <w:r>
        <w:rPr>
          <w:color w:val="231F20"/>
          <w:position w:val="7"/>
          <w:sz w:val="11"/>
        </w:rPr>
        <w:t>2</w:t>
      </w:r>
    </w:p>
    <w:p w14:paraId="5D9C9123" w14:textId="77777777" w:rsidR="002653E8" w:rsidRDefault="003115E3">
      <w:pPr>
        <w:pStyle w:val="a3"/>
        <w:spacing w:line="264" w:lineRule="auto"/>
        <w:ind w:left="1147" w:right="1326" w:firstLine="210"/>
        <w:jc w:val="both"/>
      </w:pPr>
      <w:r>
        <w:rPr>
          <w:color w:val="231F20"/>
        </w:rPr>
        <w:t>Most tragically, a young member of the Evangelical Student Association, Benno Ohnesorg, attending his first demonstration, was shot in the back of the head by Karl-Heinz Kurras, a plainclothes police officer with the Red Squad. Even after Ohnesorg was finally picked up by an ambulance, it was another forty minutes before he was brought  to</w:t>
      </w:r>
      <w:r>
        <w:rPr>
          <w:color w:val="231F20"/>
          <w:spacing w:val="11"/>
        </w:rPr>
        <w:t xml:space="preserve"> </w:t>
      </w:r>
      <w:r>
        <w:rPr>
          <w:color w:val="231F20"/>
        </w:rPr>
        <w:t>a</w:t>
      </w:r>
      <w:r>
        <w:rPr>
          <w:color w:val="231F20"/>
          <w:spacing w:val="11"/>
        </w:rPr>
        <w:t xml:space="preserve"> </w:t>
      </w:r>
      <w:r>
        <w:rPr>
          <w:color w:val="231F20"/>
        </w:rPr>
        <w:t>hospital.</w:t>
      </w:r>
      <w:r>
        <w:rPr>
          <w:color w:val="231F20"/>
          <w:spacing w:val="11"/>
        </w:rPr>
        <w:t xml:space="preserve"> </w:t>
      </w:r>
      <w:r>
        <w:rPr>
          <w:color w:val="231F20"/>
        </w:rPr>
        <w:t>He</w:t>
      </w:r>
      <w:r>
        <w:rPr>
          <w:color w:val="231F20"/>
          <w:spacing w:val="11"/>
        </w:rPr>
        <w:t xml:space="preserve"> </w:t>
      </w:r>
      <w:r>
        <w:rPr>
          <w:color w:val="231F20"/>
        </w:rPr>
        <w:t>died</w:t>
      </w:r>
      <w:r>
        <w:rPr>
          <w:color w:val="231F20"/>
          <w:spacing w:val="11"/>
        </w:rPr>
        <w:t xml:space="preserve"> </w:t>
      </w:r>
      <w:r>
        <w:rPr>
          <w:color w:val="231F20"/>
        </w:rPr>
        <w:t>of</w:t>
      </w:r>
      <w:r>
        <w:rPr>
          <w:color w:val="231F20"/>
          <w:spacing w:val="11"/>
        </w:rPr>
        <w:t xml:space="preserve"> </w:t>
      </w:r>
      <w:r>
        <w:rPr>
          <w:color w:val="231F20"/>
        </w:rPr>
        <w:t>his</w:t>
      </w:r>
      <w:r>
        <w:rPr>
          <w:color w:val="231F20"/>
          <w:spacing w:val="11"/>
        </w:rPr>
        <w:t xml:space="preserve"> </w:t>
      </w:r>
      <w:r>
        <w:rPr>
          <w:color w:val="231F20"/>
        </w:rPr>
        <w:t>wounds</w:t>
      </w:r>
      <w:r>
        <w:rPr>
          <w:color w:val="231F20"/>
          <w:spacing w:val="11"/>
        </w:rPr>
        <w:t xml:space="preserve"> </w:t>
      </w:r>
      <w:r>
        <w:rPr>
          <w:color w:val="231F20"/>
        </w:rPr>
        <w:t>that</w:t>
      </w:r>
      <w:r>
        <w:rPr>
          <w:color w:val="231F20"/>
          <w:spacing w:val="11"/>
        </w:rPr>
        <w:t xml:space="preserve"> </w:t>
      </w:r>
      <w:r>
        <w:rPr>
          <w:color w:val="231F20"/>
        </w:rPr>
        <w:t>night.</w:t>
      </w:r>
    </w:p>
    <w:p w14:paraId="5A78C5B4" w14:textId="77777777" w:rsidR="002653E8" w:rsidRDefault="003115E3">
      <w:pPr>
        <w:pStyle w:val="a3"/>
        <w:spacing w:before="1"/>
        <w:rPr>
          <w:sz w:val="11"/>
        </w:rPr>
      </w:pPr>
      <w:r>
        <w:drawing>
          <wp:anchor distT="0" distB="0" distL="0" distR="0" simplePos="0" relativeHeight="2152" behindDoc="0" locked="0" layoutInCell="1" allowOverlap="1" wp14:anchorId="71D2DC84" wp14:editId="4162B727">
            <wp:simplePos x="0" y="0"/>
            <wp:positionH relativeFrom="page">
              <wp:posOffset>1037666</wp:posOffset>
            </wp:positionH>
            <wp:positionV relativeFrom="paragraph">
              <wp:posOffset>107404</wp:posOffset>
            </wp:positionV>
            <wp:extent cx="3293720" cy="203682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8" cstate="print"/>
                    <a:stretch>
                      <a:fillRect/>
                    </a:stretch>
                  </pic:blipFill>
                  <pic:spPr>
                    <a:xfrm>
                      <a:off x="0" y="0"/>
                      <a:ext cx="3293720" cy="2036826"/>
                    </a:xfrm>
                    <a:prstGeom prst="rect">
                      <a:avLst/>
                    </a:prstGeom>
                  </pic:spPr>
                </pic:pic>
              </a:graphicData>
            </a:graphic>
          </wp:anchor>
        </w:drawing>
      </w:r>
    </w:p>
    <w:p w14:paraId="664569FF" w14:textId="77777777" w:rsidR="002653E8" w:rsidRDefault="003115E3">
      <w:pPr>
        <w:spacing w:before="20" w:line="244" w:lineRule="auto"/>
        <w:ind w:left="1634" w:right="1580"/>
        <w:rPr>
          <w:i/>
          <w:sz w:val="18"/>
        </w:rPr>
      </w:pPr>
      <w:r>
        <w:rPr>
          <w:i/>
          <w:color w:val="231F20"/>
          <w:w w:val="105"/>
          <w:sz w:val="18"/>
        </w:rPr>
        <w:t>Benno Ohnesorg, shot by police, lies dying in the arms of fellow student Fredericke Dollinger.</w:t>
      </w:r>
    </w:p>
    <w:p w14:paraId="10005327" w14:textId="77777777" w:rsidR="002653E8" w:rsidRDefault="00000000">
      <w:pPr>
        <w:pStyle w:val="a3"/>
        <w:spacing w:before="9"/>
        <w:rPr>
          <w:i/>
          <w:sz w:val="24"/>
        </w:rPr>
      </w:pPr>
      <w:r>
        <w:rPr>
          <w:noProof w:val="0"/>
        </w:rPr>
        <w:pict w14:anchorId="03192F1C">
          <v:line id="_x0000_s2673" style="position:absolute;z-index:2176;mso-wrap-distance-left:0;mso-wrap-distance-right:0;mso-position-horizontal-relative:page" from="57.4pt,16.75pt" to="129.4pt,16.75pt" strokecolor="#231f20" strokeweight=".5pt">
            <w10:wrap type="topAndBottom" anchorx="page"/>
          </v:line>
        </w:pict>
      </w:r>
    </w:p>
    <w:p w14:paraId="7782A7C7" w14:textId="77777777" w:rsidR="002653E8" w:rsidRDefault="003115E3">
      <w:pPr>
        <w:spacing w:before="53" w:line="254" w:lineRule="auto"/>
        <w:ind w:left="1147" w:right="1580"/>
        <w:rPr>
          <w:sz w:val="16"/>
        </w:rPr>
      </w:pPr>
      <w:r>
        <w:rPr>
          <w:color w:val="231F20"/>
          <w:w w:val="110"/>
          <w:sz w:val="16"/>
        </w:rPr>
        <w:t xml:space="preserve">1 “Women in the SDS; or, Or Our Own Behalf, (1968)” in </w:t>
      </w:r>
      <w:r>
        <w:rPr>
          <w:i/>
          <w:color w:val="231F20"/>
          <w:w w:val="110"/>
          <w:sz w:val="16"/>
        </w:rPr>
        <w:t xml:space="preserve">German Feminist Writing, </w:t>
      </w:r>
      <w:r>
        <w:rPr>
          <w:color w:val="231F20"/>
          <w:w w:val="110"/>
          <w:sz w:val="16"/>
        </w:rPr>
        <w:t>eds. Patricia A. Herminghouse and Magda Mueller (New york: Continuum, 2001), p. 160.</w:t>
      </w:r>
    </w:p>
    <w:p w14:paraId="6A6B685D" w14:textId="77777777" w:rsidR="002653E8" w:rsidRDefault="003115E3">
      <w:pPr>
        <w:spacing w:before="41"/>
        <w:ind w:left="1147"/>
        <w:rPr>
          <w:sz w:val="16"/>
        </w:rPr>
      </w:pPr>
      <w:r>
        <w:rPr>
          <w:color w:val="231F20"/>
          <w:w w:val="110"/>
          <w:sz w:val="16"/>
        </w:rPr>
        <w:t>2 Thomas, 111-112.</w:t>
      </w:r>
    </w:p>
    <w:p w14:paraId="358FA75B" w14:textId="77777777" w:rsidR="002653E8" w:rsidRDefault="002653E8">
      <w:pPr>
        <w:rPr>
          <w:sz w:val="16"/>
        </w:rPr>
        <w:sectPr w:rsidR="002653E8">
          <w:pgSz w:w="8640" w:h="12960"/>
          <w:pgMar w:top="1060" w:right="0" w:bottom="1040" w:left="0" w:header="0" w:footer="850" w:gutter="0"/>
          <w:cols w:space="720"/>
        </w:sectPr>
      </w:pPr>
    </w:p>
    <w:p w14:paraId="6314134A" w14:textId="77777777" w:rsidR="002653E8" w:rsidRDefault="003115E3">
      <w:pPr>
        <w:pStyle w:val="a3"/>
        <w:spacing w:before="86" w:line="264" w:lineRule="auto"/>
        <w:ind w:left="1327" w:right="1145" w:firstLine="210"/>
        <w:jc w:val="both"/>
        <w:rPr>
          <w:sz w:val="11"/>
        </w:rPr>
      </w:pPr>
      <w:r>
        <w:rPr>
          <w:color w:val="231F20"/>
        </w:rPr>
        <w:lastRenderedPageBreak/>
        <w:t xml:space="preserve">This police murder was a defining event, electrifying the student movement and pushing it in a far more militant direction. It has been estimated that between 100,000 and </w:t>
      </w:r>
      <w:r>
        <w:rPr>
          <w:color w:val="231F20"/>
          <w:spacing w:val="1"/>
        </w:rPr>
        <w:t xml:space="preserve">200,000 </w:t>
      </w:r>
      <w:r>
        <w:rPr>
          <w:color w:val="231F20"/>
        </w:rPr>
        <w:t xml:space="preserve">students took part in demonstrations across the country in the days immediately following Ohnesorg’s death. For </w:t>
      </w:r>
      <w:r>
        <w:rPr>
          <w:color w:val="231F20"/>
          <w:spacing w:val="-3"/>
        </w:rPr>
        <w:t xml:space="preserve">many, </w:t>
      </w:r>
      <w:r>
        <w:rPr>
          <w:color w:val="231F20"/>
        </w:rPr>
        <w:t xml:space="preserve">especially those outside of </w:t>
      </w:r>
      <w:r>
        <w:rPr>
          <w:color w:val="231F20"/>
          <w:spacing w:val="-3"/>
        </w:rPr>
        <w:t xml:space="preserve">West </w:t>
      </w:r>
      <w:r>
        <w:rPr>
          <w:color w:val="231F20"/>
        </w:rPr>
        <w:t xml:space="preserve">Berlin, it was their first political protest. As has been noted elsewhere, “Although two-thirds of students in the period before the shooting declared themselves  to  be  apolitical,  in  the  immediate  aftermath  of  the  shooting  a survey found that </w:t>
      </w:r>
      <w:r>
        <w:rPr>
          <w:color w:val="231F20"/>
          <w:spacing w:val="-4"/>
        </w:rPr>
        <w:t xml:space="preserve">65 </w:t>
      </w:r>
      <w:r>
        <w:rPr>
          <w:color w:val="231F20"/>
        </w:rPr>
        <w:t>per cent of students had been politicized by Ohnesorg’s</w:t>
      </w:r>
      <w:r>
        <w:rPr>
          <w:color w:val="231F20"/>
          <w:spacing w:val="10"/>
        </w:rPr>
        <w:t xml:space="preserve"> </w:t>
      </w:r>
      <w:r>
        <w:rPr>
          <w:color w:val="231F20"/>
          <w:spacing w:val="-3"/>
        </w:rPr>
        <w:t>death.”</w:t>
      </w:r>
      <w:r>
        <w:rPr>
          <w:color w:val="231F20"/>
          <w:spacing w:val="-3"/>
          <w:position w:val="7"/>
          <w:sz w:val="11"/>
        </w:rPr>
        <w:t>3</w:t>
      </w:r>
    </w:p>
    <w:p w14:paraId="1434F7CB" w14:textId="77777777" w:rsidR="002653E8" w:rsidRDefault="003115E3">
      <w:pPr>
        <w:pStyle w:val="a3"/>
        <w:spacing w:line="264" w:lineRule="auto"/>
        <w:ind w:left="1327" w:right="1146" w:firstLine="210"/>
        <w:jc w:val="both"/>
      </w:pPr>
      <w:r>
        <w:rPr>
          <w:color w:val="231F20"/>
        </w:rPr>
        <w:t>The murder catapulted the SDS into the center of student politics across the Federal Republic. As one student activist later recalled years later:</w:t>
      </w:r>
    </w:p>
    <w:p w14:paraId="4F12EE87" w14:textId="77777777" w:rsidR="002653E8" w:rsidRDefault="003115E3">
      <w:pPr>
        <w:spacing w:before="115" w:line="276" w:lineRule="auto"/>
        <w:ind w:left="1748" w:right="1565" w:hanging="1"/>
        <w:jc w:val="both"/>
        <w:rPr>
          <w:i/>
          <w:sz w:val="11"/>
        </w:rPr>
      </w:pPr>
      <w:r>
        <w:rPr>
          <w:i/>
          <w:color w:val="231F20"/>
          <w:sz w:val="19"/>
        </w:rPr>
        <w:t xml:space="preserve">The SDS didn’t have more than a few hundred members nationwide… and then all at once there was such a huge deluge that we couldn’t cope. Our offices were overrun.  So  we  just  opened SDS up and decentralized everything. </w:t>
      </w:r>
      <w:r>
        <w:rPr>
          <w:i/>
          <w:color w:val="231F20"/>
          <w:spacing w:val="-6"/>
          <w:sz w:val="19"/>
        </w:rPr>
        <w:t xml:space="preserve">We </w:t>
      </w:r>
      <w:r>
        <w:rPr>
          <w:i/>
          <w:color w:val="231F20"/>
          <w:sz w:val="19"/>
        </w:rPr>
        <w:t xml:space="preserve">let people in different cities and towns organize themselves into autonomous project groups and then </w:t>
      </w:r>
      <w:r>
        <w:rPr>
          <w:i/>
          <w:color w:val="231F20"/>
          <w:spacing w:val="-5"/>
          <w:sz w:val="19"/>
        </w:rPr>
        <w:t xml:space="preserve">we’d </w:t>
      </w:r>
      <w:r>
        <w:rPr>
          <w:i/>
          <w:color w:val="231F20"/>
          <w:sz w:val="19"/>
        </w:rPr>
        <w:t>all meet at regular congresses to thrash things out. More or less by chance it turned out to be an incredible experiment in participatory</w:t>
      </w:r>
      <w:r>
        <w:rPr>
          <w:i/>
          <w:color w:val="231F20"/>
          <w:spacing w:val="11"/>
          <w:sz w:val="19"/>
        </w:rPr>
        <w:t xml:space="preserve"> </w:t>
      </w:r>
      <w:r>
        <w:rPr>
          <w:i/>
          <w:color w:val="231F20"/>
          <w:spacing w:val="-3"/>
          <w:sz w:val="19"/>
        </w:rPr>
        <w:t>democracy.</w:t>
      </w:r>
      <w:r>
        <w:rPr>
          <w:i/>
          <w:color w:val="231F20"/>
          <w:spacing w:val="-3"/>
          <w:position w:val="6"/>
          <w:sz w:val="11"/>
        </w:rPr>
        <w:t>4</w:t>
      </w:r>
    </w:p>
    <w:p w14:paraId="24558B55" w14:textId="77777777" w:rsidR="002653E8" w:rsidRDefault="003115E3">
      <w:pPr>
        <w:pStyle w:val="a3"/>
        <w:spacing w:before="134" w:line="264" w:lineRule="auto"/>
        <w:ind w:left="1327" w:right="1146"/>
        <w:jc w:val="both"/>
      </w:pPr>
      <w:r>
        <w:rPr>
          <w:color w:val="231F20"/>
          <w:w w:val="105"/>
        </w:rPr>
        <w:t>Initially, the state and the newspapers owned by reactionary press magnate</w:t>
      </w:r>
      <w:r>
        <w:rPr>
          <w:color w:val="231F20"/>
          <w:spacing w:val="-10"/>
          <w:w w:val="105"/>
        </w:rPr>
        <w:t xml:space="preserve"> </w:t>
      </w:r>
      <w:r>
        <w:rPr>
          <w:color w:val="231F20"/>
          <w:w w:val="105"/>
        </w:rPr>
        <w:t>Axel</w:t>
      </w:r>
      <w:r>
        <w:rPr>
          <w:color w:val="231F20"/>
          <w:spacing w:val="-10"/>
          <w:w w:val="105"/>
        </w:rPr>
        <w:t xml:space="preserve"> </w:t>
      </w:r>
      <w:r>
        <w:rPr>
          <w:color w:val="231F20"/>
          <w:w w:val="105"/>
        </w:rPr>
        <w:t>Springer</w:t>
      </w:r>
      <w:r>
        <w:rPr>
          <w:color w:val="231F20"/>
          <w:w w:val="105"/>
          <w:position w:val="7"/>
          <w:sz w:val="11"/>
        </w:rPr>
        <w:t>5</w:t>
      </w:r>
      <w:r>
        <w:rPr>
          <w:color w:val="231F20"/>
          <w:spacing w:val="-4"/>
          <w:w w:val="105"/>
          <w:position w:val="7"/>
          <w:sz w:val="11"/>
        </w:rPr>
        <w:t xml:space="preserve"> </w:t>
      </w:r>
      <w:r>
        <w:rPr>
          <w:color w:val="231F20"/>
          <w:w w:val="105"/>
        </w:rPr>
        <w:t>tried</w:t>
      </w:r>
      <w:r>
        <w:rPr>
          <w:color w:val="231F20"/>
          <w:spacing w:val="-10"/>
          <w:w w:val="105"/>
        </w:rPr>
        <w:t xml:space="preserve"> </w:t>
      </w:r>
      <w:r>
        <w:rPr>
          <w:color w:val="231F20"/>
          <w:w w:val="105"/>
        </w:rPr>
        <w:t>to</w:t>
      </w:r>
      <w:r>
        <w:rPr>
          <w:color w:val="231F20"/>
          <w:spacing w:val="-10"/>
          <w:w w:val="105"/>
        </w:rPr>
        <w:t xml:space="preserve"> </w:t>
      </w:r>
      <w:r>
        <w:rPr>
          <w:color w:val="231F20"/>
          <w:w w:val="105"/>
        </w:rPr>
        <w:t>justify</w:t>
      </w:r>
      <w:r>
        <w:rPr>
          <w:color w:val="231F20"/>
          <w:spacing w:val="-10"/>
          <w:w w:val="105"/>
        </w:rPr>
        <w:t xml:space="preserve"> </w:t>
      </w:r>
      <w:r>
        <w:rPr>
          <w:color w:val="231F20"/>
          <w:w w:val="105"/>
        </w:rPr>
        <w:t>this</w:t>
      </w:r>
      <w:r>
        <w:rPr>
          <w:color w:val="231F20"/>
          <w:spacing w:val="-10"/>
          <w:w w:val="105"/>
        </w:rPr>
        <w:t xml:space="preserve"> </w:t>
      </w:r>
      <w:r>
        <w:rPr>
          <w:color w:val="231F20"/>
          <w:w w:val="105"/>
        </w:rPr>
        <w:t>murder,</w:t>
      </w:r>
      <w:r>
        <w:rPr>
          <w:color w:val="231F20"/>
          <w:spacing w:val="-10"/>
          <w:w w:val="105"/>
        </w:rPr>
        <w:t xml:space="preserve"> </w:t>
      </w:r>
      <w:r>
        <w:rPr>
          <w:color w:val="231F20"/>
          <w:w w:val="105"/>
        </w:rPr>
        <w:t>repeating</w:t>
      </w:r>
      <w:r>
        <w:rPr>
          <w:color w:val="231F20"/>
          <w:spacing w:val="-10"/>
          <w:w w:val="105"/>
        </w:rPr>
        <w:t xml:space="preserve"> </w:t>
      </w:r>
      <w:r>
        <w:rPr>
          <w:color w:val="231F20"/>
          <w:w w:val="105"/>
        </w:rPr>
        <w:t>lies</w:t>
      </w:r>
      <w:r>
        <w:rPr>
          <w:color w:val="231F20"/>
          <w:spacing w:val="-10"/>
          <w:w w:val="105"/>
        </w:rPr>
        <w:t xml:space="preserve"> </w:t>
      </w:r>
      <w:r>
        <w:rPr>
          <w:color w:val="231F20"/>
          <w:w w:val="105"/>
        </w:rPr>
        <w:t>that the</w:t>
      </w:r>
      <w:r>
        <w:rPr>
          <w:color w:val="231F20"/>
          <w:spacing w:val="-4"/>
          <w:w w:val="105"/>
        </w:rPr>
        <w:t xml:space="preserve"> </w:t>
      </w:r>
      <w:r>
        <w:rPr>
          <w:color w:val="231F20"/>
          <w:w w:val="105"/>
        </w:rPr>
        <w:t>protesters</w:t>
      </w:r>
      <w:r>
        <w:rPr>
          <w:color w:val="231F20"/>
          <w:spacing w:val="-4"/>
          <w:w w:val="105"/>
        </w:rPr>
        <w:t xml:space="preserve"> </w:t>
      </w:r>
      <w:r>
        <w:rPr>
          <w:color w:val="231F20"/>
          <w:w w:val="105"/>
        </w:rPr>
        <w:t>had</w:t>
      </w:r>
      <w:r>
        <w:rPr>
          <w:color w:val="231F20"/>
          <w:spacing w:val="-4"/>
          <w:w w:val="105"/>
        </w:rPr>
        <w:t xml:space="preserve"> </w:t>
      </w:r>
      <w:r>
        <w:rPr>
          <w:color w:val="231F20"/>
          <w:w w:val="105"/>
        </w:rPr>
        <w:t>had</w:t>
      </w:r>
      <w:r>
        <w:rPr>
          <w:color w:val="231F20"/>
          <w:spacing w:val="-4"/>
          <w:w w:val="105"/>
        </w:rPr>
        <w:t xml:space="preserve"> </w:t>
      </w:r>
      <w:r>
        <w:rPr>
          <w:color w:val="231F20"/>
          <w:w w:val="105"/>
        </w:rPr>
        <w:t>plans</w:t>
      </w:r>
      <w:r>
        <w:rPr>
          <w:color w:val="231F20"/>
          <w:spacing w:val="-4"/>
          <w:w w:val="105"/>
        </w:rPr>
        <w:t xml:space="preserve"> </w:t>
      </w:r>
      <w:r>
        <w:rPr>
          <w:color w:val="231F20"/>
          <w:w w:val="105"/>
        </w:rPr>
        <w:t>to</w:t>
      </w:r>
      <w:r>
        <w:rPr>
          <w:color w:val="231F20"/>
          <w:spacing w:val="-4"/>
          <w:w w:val="105"/>
        </w:rPr>
        <w:t xml:space="preserve"> </w:t>
      </w:r>
      <w:r>
        <w:rPr>
          <w:color w:val="231F20"/>
          <w:w w:val="105"/>
        </w:rPr>
        <w:t>kill</w:t>
      </w:r>
      <w:r>
        <w:rPr>
          <w:color w:val="231F20"/>
          <w:spacing w:val="-4"/>
          <w:w w:val="105"/>
        </w:rPr>
        <w:t xml:space="preserve"> </w:t>
      </w:r>
      <w:r>
        <w:rPr>
          <w:color w:val="231F20"/>
          <w:w w:val="105"/>
        </w:rPr>
        <w:t>police</w:t>
      </w:r>
      <w:r>
        <w:rPr>
          <w:color w:val="231F20"/>
          <w:spacing w:val="-4"/>
          <w:w w:val="105"/>
        </w:rPr>
        <w:t xml:space="preserve"> </w:t>
      </w:r>
      <w:r>
        <w:rPr>
          <w:color w:val="231F20"/>
          <w:w w:val="105"/>
        </w:rPr>
        <w:t>and</w:t>
      </w:r>
      <w:r>
        <w:rPr>
          <w:color w:val="231F20"/>
          <w:spacing w:val="-4"/>
          <w:w w:val="105"/>
        </w:rPr>
        <w:t xml:space="preserve"> </w:t>
      </w:r>
      <w:r>
        <w:rPr>
          <w:color w:val="231F20"/>
          <w:w w:val="105"/>
        </w:rPr>
        <w:t>that</w:t>
      </w:r>
      <w:r>
        <w:rPr>
          <w:color w:val="231F20"/>
          <w:spacing w:val="-4"/>
          <w:w w:val="105"/>
        </w:rPr>
        <w:t xml:space="preserve"> </w:t>
      </w:r>
      <w:r>
        <w:rPr>
          <w:color w:val="231F20"/>
          <w:w w:val="105"/>
        </w:rPr>
        <w:t>Kurras</w:t>
      </w:r>
      <w:r>
        <w:rPr>
          <w:color w:val="231F20"/>
          <w:spacing w:val="-4"/>
          <w:w w:val="105"/>
        </w:rPr>
        <w:t xml:space="preserve"> </w:t>
      </w:r>
      <w:r>
        <w:rPr>
          <w:color w:val="231F20"/>
          <w:w w:val="105"/>
        </w:rPr>
        <w:t>had</w:t>
      </w:r>
      <w:r>
        <w:rPr>
          <w:color w:val="231F20"/>
          <w:spacing w:val="-4"/>
          <w:w w:val="105"/>
        </w:rPr>
        <w:t xml:space="preserve"> </w:t>
      </w:r>
      <w:r>
        <w:rPr>
          <w:color w:val="231F20"/>
          <w:w w:val="105"/>
        </w:rPr>
        <w:t>shot</w:t>
      </w:r>
      <w:r>
        <w:rPr>
          <w:color w:val="231F20"/>
          <w:spacing w:val="-4"/>
          <w:w w:val="105"/>
        </w:rPr>
        <w:t xml:space="preserve"> </w:t>
      </w:r>
      <w:r>
        <w:rPr>
          <w:color w:val="231F20"/>
          <w:w w:val="105"/>
        </w:rPr>
        <w:t xml:space="preserve">in self-defense. Springer’s </w:t>
      </w:r>
      <w:r>
        <w:rPr>
          <w:i/>
          <w:color w:val="231F20"/>
          <w:w w:val="105"/>
        </w:rPr>
        <w:t xml:space="preserve">Bild Zeitung </w:t>
      </w:r>
      <w:r>
        <w:rPr>
          <w:color w:val="231F20"/>
          <w:w w:val="105"/>
        </w:rPr>
        <w:t xml:space="preserve">ominously warned that </w:t>
      </w:r>
      <w:r>
        <w:rPr>
          <w:color w:val="231F20"/>
          <w:spacing w:val="-9"/>
          <w:w w:val="105"/>
        </w:rPr>
        <w:t xml:space="preserve">“A </w:t>
      </w:r>
      <w:r>
        <w:rPr>
          <w:color w:val="231F20"/>
          <w:w w:val="105"/>
        </w:rPr>
        <w:t>young man</w:t>
      </w:r>
      <w:r>
        <w:rPr>
          <w:color w:val="231F20"/>
          <w:spacing w:val="-7"/>
          <w:w w:val="105"/>
        </w:rPr>
        <w:t xml:space="preserve"> </w:t>
      </w:r>
      <w:r>
        <w:rPr>
          <w:color w:val="231F20"/>
          <w:w w:val="105"/>
        </w:rPr>
        <w:t>died</w:t>
      </w:r>
      <w:r>
        <w:rPr>
          <w:color w:val="231F20"/>
          <w:spacing w:val="-7"/>
          <w:w w:val="105"/>
        </w:rPr>
        <w:t xml:space="preserve"> </w:t>
      </w:r>
      <w:r>
        <w:rPr>
          <w:color w:val="231F20"/>
          <w:w w:val="105"/>
        </w:rPr>
        <w:t>in</w:t>
      </w:r>
      <w:r>
        <w:rPr>
          <w:color w:val="231F20"/>
          <w:spacing w:val="-7"/>
          <w:w w:val="105"/>
        </w:rPr>
        <w:t xml:space="preserve"> </w:t>
      </w:r>
      <w:r>
        <w:rPr>
          <w:color w:val="231F20"/>
          <w:w w:val="105"/>
        </w:rPr>
        <w:t>Berlin,</w:t>
      </w:r>
      <w:r>
        <w:rPr>
          <w:color w:val="231F20"/>
          <w:spacing w:val="-7"/>
          <w:w w:val="105"/>
        </w:rPr>
        <w:t xml:space="preserve"> </w:t>
      </w:r>
      <w:r>
        <w:rPr>
          <w:color w:val="231F20"/>
          <w:w w:val="105"/>
        </w:rPr>
        <w:t>victim</w:t>
      </w:r>
      <w:r>
        <w:rPr>
          <w:color w:val="231F20"/>
          <w:spacing w:val="-7"/>
          <w:w w:val="105"/>
        </w:rPr>
        <w:t xml:space="preserve"> </w:t>
      </w:r>
      <w:r>
        <w:rPr>
          <w:color w:val="231F20"/>
          <w:w w:val="105"/>
        </w:rPr>
        <w:t>of</w:t>
      </w:r>
      <w:r>
        <w:rPr>
          <w:color w:val="231F20"/>
          <w:spacing w:val="-7"/>
          <w:w w:val="105"/>
        </w:rPr>
        <w:t xml:space="preserve"> </w:t>
      </w:r>
      <w:r>
        <w:rPr>
          <w:color w:val="231F20"/>
          <w:w w:val="105"/>
        </w:rPr>
        <w:t>the</w:t>
      </w:r>
      <w:r>
        <w:rPr>
          <w:color w:val="231F20"/>
          <w:spacing w:val="-7"/>
          <w:w w:val="105"/>
        </w:rPr>
        <w:t xml:space="preserve"> </w:t>
      </w:r>
      <w:r>
        <w:rPr>
          <w:color w:val="231F20"/>
          <w:w w:val="105"/>
        </w:rPr>
        <w:t>riots</w:t>
      </w:r>
      <w:r>
        <w:rPr>
          <w:color w:val="231F20"/>
          <w:spacing w:val="-7"/>
          <w:w w:val="105"/>
        </w:rPr>
        <w:t xml:space="preserve"> </w:t>
      </w:r>
      <w:r>
        <w:rPr>
          <w:color w:val="231F20"/>
          <w:w w:val="105"/>
        </w:rPr>
        <w:t>instigated</w:t>
      </w:r>
      <w:r>
        <w:rPr>
          <w:color w:val="231F20"/>
          <w:spacing w:val="-7"/>
          <w:w w:val="105"/>
        </w:rPr>
        <w:t xml:space="preserve"> </w:t>
      </w:r>
      <w:r>
        <w:rPr>
          <w:color w:val="231F20"/>
          <w:w w:val="105"/>
        </w:rPr>
        <w:t>by</w:t>
      </w:r>
      <w:r>
        <w:rPr>
          <w:color w:val="231F20"/>
          <w:spacing w:val="-7"/>
          <w:w w:val="105"/>
        </w:rPr>
        <w:t xml:space="preserve"> </w:t>
      </w:r>
      <w:r>
        <w:rPr>
          <w:color w:val="231F20"/>
          <w:w w:val="105"/>
        </w:rPr>
        <w:t>political</w:t>
      </w:r>
      <w:r>
        <w:rPr>
          <w:color w:val="231F20"/>
          <w:spacing w:val="-7"/>
          <w:w w:val="105"/>
        </w:rPr>
        <w:t xml:space="preserve"> </w:t>
      </w:r>
      <w:r>
        <w:rPr>
          <w:color w:val="231F20"/>
          <w:w w:val="105"/>
        </w:rPr>
        <w:t xml:space="preserve">hooligans </w:t>
      </w:r>
      <w:r>
        <w:rPr>
          <w:color w:val="231F20"/>
        </w:rPr>
        <w:t>who call themselves demonstrators. Riots aren’t enough anymore.</w:t>
      </w:r>
      <w:r>
        <w:rPr>
          <w:color w:val="231F20"/>
          <w:spacing w:val="31"/>
        </w:rPr>
        <w:t xml:space="preserve"> </w:t>
      </w:r>
      <w:r>
        <w:rPr>
          <w:color w:val="231F20"/>
        </w:rPr>
        <w:t>They</w:t>
      </w:r>
    </w:p>
    <w:p w14:paraId="00CF1100" w14:textId="77777777" w:rsidR="002653E8" w:rsidRDefault="00000000">
      <w:pPr>
        <w:pStyle w:val="a3"/>
        <w:spacing w:before="3"/>
        <w:rPr>
          <w:sz w:val="23"/>
        </w:rPr>
      </w:pPr>
      <w:r>
        <w:rPr>
          <w:noProof w:val="0"/>
        </w:rPr>
        <w:pict w14:anchorId="7830F3C6">
          <v:line id="_x0000_s2672" style="position:absolute;z-index:2200;mso-wrap-distance-left:0;mso-wrap-distance-right:0;mso-position-horizontal-relative:page" from="66.4pt,15.9pt" to="138.4pt,15.9pt" strokecolor="#231f20" strokeweight=".5pt">
            <w10:wrap type="topAndBottom" anchorx="page"/>
          </v:line>
        </w:pict>
      </w:r>
    </w:p>
    <w:p w14:paraId="22CBEDAA" w14:textId="77777777" w:rsidR="002653E8" w:rsidRDefault="003115E3">
      <w:pPr>
        <w:spacing w:before="53"/>
        <w:ind w:left="1327"/>
        <w:rPr>
          <w:sz w:val="16"/>
        </w:rPr>
      </w:pPr>
      <w:r>
        <w:rPr>
          <w:color w:val="231F20"/>
          <w:w w:val="115"/>
          <w:sz w:val="16"/>
        </w:rPr>
        <w:t>3 Ibid., 114.</w:t>
      </w:r>
    </w:p>
    <w:p w14:paraId="0469633C" w14:textId="77777777" w:rsidR="002653E8" w:rsidRDefault="003115E3">
      <w:pPr>
        <w:pStyle w:val="a4"/>
        <w:numPr>
          <w:ilvl w:val="0"/>
          <w:numId w:val="32"/>
        </w:numPr>
        <w:tabs>
          <w:tab w:val="left" w:pos="1467"/>
        </w:tabs>
        <w:spacing w:before="51"/>
        <w:rPr>
          <w:sz w:val="16"/>
        </w:rPr>
      </w:pPr>
      <w:r>
        <w:rPr>
          <w:color w:val="231F20"/>
          <w:w w:val="110"/>
          <w:sz w:val="16"/>
        </w:rPr>
        <w:t>Christian Semler in Hockenos,</w:t>
      </w:r>
      <w:r>
        <w:rPr>
          <w:color w:val="231F20"/>
          <w:spacing w:val="25"/>
          <w:w w:val="110"/>
          <w:sz w:val="16"/>
        </w:rPr>
        <w:t xml:space="preserve"> </w:t>
      </w:r>
      <w:r>
        <w:rPr>
          <w:color w:val="231F20"/>
          <w:w w:val="110"/>
          <w:sz w:val="16"/>
        </w:rPr>
        <w:t>69.</w:t>
      </w:r>
    </w:p>
    <w:p w14:paraId="5A10B6EB" w14:textId="77777777" w:rsidR="002653E8" w:rsidRDefault="003115E3">
      <w:pPr>
        <w:pStyle w:val="a4"/>
        <w:numPr>
          <w:ilvl w:val="0"/>
          <w:numId w:val="32"/>
        </w:numPr>
        <w:tabs>
          <w:tab w:val="left" w:pos="1467"/>
        </w:tabs>
        <w:spacing w:before="52"/>
        <w:rPr>
          <w:i/>
          <w:sz w:val="16"/>
        </w:rPr>
      </w:pPr>
      <w:r>
        <w:rPr>
          <w:color w:val="231F20"/>
          <w:w w:val="105"/>
          <w:sz w:val="16"/>
        </w:rPr>
        <w:t>The</w:t>
      </w:r>
      <w:r>
        <w:rPr>
          <w:color w:val="231F20"/>
          <w:spacing w:val="7"/>
          <w:w w:val="105"/>
          <w:sz w:val="16"/>
        </w:rPr>
        <w:t xml:space="preserve"> </w:t>
      </w:r>
      <w:r>
        <w:rPr>
          <w:color w:val="231F20"/>
          <w:w w:val="105"/>
          <w:sz w:val="16"/>
        </w:rPr>
        <w:t>Springer</w:t>
      </w:r>
      <w:r>
        <w:rPr>
          <w:color w:val="231F20"/>
          <w:spacing w:val="7"/>
          <w:w w:val="105"/>
          <w:sz w:val="16"/>
        </w:rPr>
        <w:t xml:space="preserve"> </w:t>
      </w:r>
      <w:r>
        <w:rPr>
          <w:color w:val="231F20"/>
          <w:w w:val="105"/>
          <w:sz w:val="16"/>
        </w:rPr>
        <w:t>chain</w:t>
      </w:r>
      <w:r>
        <w:rPr>
          <w:color w:val="231F20"/>
          <w:spacing w:val="7"/>
          <w:w w:val="105"/>
          <w:sz w:val="16"/>
        </w:rPr>
        <w:t xml:space="preserve"> </w:t>
      </w:r>
      <w:r>
        <w:rPr>
          <w:color w:val="231F20"/>
          <w:w w:val="105"/>
          <w:sz w:val="16"/>
        </w:rPr>
        <w:t>consisted</w:t>
      </w:r>
      <w:r>
        <w:rPr>
          <w:color w:val="231F20"/>
          <w:spacing w:val="7"/>
          <w:w w:val="105"/>
          <w:sz w:val="16"/>
        </w:rPr>
        <w:t xml:space="preserve"> </w:t>
      </w:r>
      <w:r>
        <w:rPr>
          <w:color w:val="231F20"/>
          <w:w w:val="105"/>
          <w:sz w:val="16"/>
        </w:rPr>
        <w:t>of</w:t>
      </w:r>
      <w:r>
        <w:rPr>
          <w:color w:val="231F20"/>
          <w:spacing w:val="7"/>
          <w:w w:val="105"/>
          <w:sz w:val="16"/>
        </w:rPr>
        <w:t xml:space="preserve"> </w:t>
      </w:r>
      <w:r>
        <w:rPr>
          <w:color w:val="231F20"/>
          <w:w w:val="105"/>
          <w:sz w:val="16"/>
        </w:rPr>
        <w:t>conservative</w:t>
      </w:r>
      <w:r>
        <w:rPr>
          <w:color w:val="231F20"/>
          <w:spacing w:val="7"/>
          <w:w w:val="105"/>
          <w:sz w:val="16"/>
        </w:rPr>
        <w:t xml:space="preserve"> </w:t>
      </w:r>
      <w:r>
        <w:rPr>
          <w:color w:val="231F20"/>
          <w:w w:val="105"/>
          <w:sz w:val="16"/>
        </w:rPr>
        <w:t>tabloids,</w:t>
      </w:r>
      <w:r>
        <w:rPr>
          <w:color w:val="231F20"/>
          <w:spacing w:val="7"/>
          <w:w w:val="105"/>
          <w:sz w:val="16"/>
        </w:rPr>
        <w:t xml:space="preserve"> </w:t>
      </w:r>
      <w:r>
        <w:rPr>
          <w:color w:val="231F20"/>
          <w:w w:val="105"/>
          <w:sz w:val="16"/>
        </w:rPr>
        <w:t>among</w:t>
      </w:r>
      <w:r>
        <w:rPr>
          <w:color w:val="231F20"/>
          <w:spacing w:val="7"/>
          <w:w w:val="105"/>
          <w:sz w:val="16"/>
        </w:rPr>
        <w:t xml:space="preserve"> </w:t>
      </w:r>
      <w:r>
        <w:rPr>
          <w:color w:val="231F20"/>
          <w:w w:val="105"/>
          <w:sz w:val="16"/>
        </w:rPr>
        <w:t>them</w:t>
      </w:r>
      <w:r>
        <w:rPr>
          <w:color w:val="231F20"/>
          <w:spacing w:val="7"/>
          <w:w w:val="105"/>
          <w:sz w:val="16"/>
        </w:rPr>
        <w:t xml:space="preserve"> </w:t>
      </w:r>
      <w:r>
        <w:rPr>
          <w:i/>
          <w:color w:val="231F20"/>
          <w:w w:val="105"/>
          <w:sz w:val="16"/>
        </w:rPr>
        <w:t>Bild,</w:t>
      </w:r>
    </w:p>
    <w:p w14:paraId="4E464DD1" w14:textId="77777777" w:rsidR="002653E8" w:rsidRDefault="003115E3">
      <w:pPr>
        <w:spacing w:before="12" w:line="254" w:lineRule="auto"/>
        <w:ind w:left="1327" w:right="1272"/>
        <w:rPr>
          <w:sz w:val="16"/>
        </w:rPr>
      </w:pPr>
      <w:r w:rsidRPr="00C507A5">
        <w:rPr>
          <w:i/>
          <w:color w:val="231F20"/>
          <w:spacing w:val="1"/>
          <w:w w:val="105"/>
          <w:sz w:val="16"/>
          <w:lang w:val="de-DE"/>
        </w:rPr>
        <w:t xml:space="preserve">Berliner Zeitung, </w:t>
      </w:r>
      <w:r w:rsidRPr="00C507A5">
        <w:rPr>
          <w:color w:val="231F20"/>
          <w:w w:val="105"/>
          <w:sz w:val="16"/>
          <w:lang w:val="de-DE"/>
        </w:rPr>
        <w:t xml:space="preserve">and </w:t>
      </w:r>
      <w:r w:rsidRPr="00C507A5">
        <w:rPr>
          <w:i/>
          <w:color w:val="231F20"/>
          <w:spacing w:val="1"/>
          <w:w w:val="105"/>
          <w:sz w:val="16"/>
          <w:lang w:val="de-DE"/>
        </w:rPr>
        <w:t xml:space="preserve">Berliner </w:t>
      </w:r>
      <w:r w:rsidRPr="00C507A5">
        <w:rPr>
          <w:i/>
          <w:color w:val="231F20"/>
          <w:w w:val="105"/>
          <w:sz w:val="16"/>
          <w:lang w:val="de-DE"/>
        </w:rPr>
        <w:t xml:space="preserve">Morgenpost. </w:t>
      </w:r>
      <w:r>
        <w:rPr>
          <w:color w:val="231F20"/>
          <w:w w:val="105"/>
          <w:sz w:val="16"/>
        </w:rPr>
        <w:t xml:space="preserve">They led a  campaign  to  smear progressive students as “muddle heads,” East German spies, and storm troopers—at times even crossing the line and advocating vigilante violence. </w:t>
      </w:r>
      <w:r>
        <w:rPr>
          <w:color w:val="231F20"/>
          <w:spacing w:val="1"/>
          <w:w w:val="105"/>
          <w:sz w:val="16"/>
        </w:rPr>
        <w:t xml:space="preserve">As </w:t>
      </w:r>
      <w:r>
        <w:rPr>
          <w:color w:val="231F20"/>
          <w:w w:val="105"/>
          <w:sz w:val="16"/>
        </w:rPr>
        <w:t xml:space="preserve">Jeremy Varon  notes, “Springer publications accounted for more than 70 percent of the West Berlin press and more than 30 percent of the national daily newspaper market. </w:t>
      </w:r>
      <w:r>
        <w:rPr>
          <w:color w:val="231F20"/>
          <w:spacing w:val="1"/>
          <w:w w:val="105"/>
          <w:sz w:val="16"/>
        </w:rPr>
        <w:t xml:space="preserve">As </w:t>
      </w:r>
      <w:r>
        <w:rPr>
          <w:color w:val="231F20"/>
          <w:w w:val="105"/>
          <w:sz w:val="16"/>
        </w:rPr>
        <w:t xml:space="preserve">the    press fed a climate of anti-student hysteria, the reaction of the media to the New    </w:t>
      </w:r>
      <w:r>
        <w:rPr>
          <w:color w:val="231F20"/>
          <w:spacing w:val="1"/>
          <w:w w:val="105"/>
          <w:sz w:val="16"/>
        </w:rPr>
        <w:t xml:space="preserve">Left </w:t>
      </w:r>
      <w:r>
        <w:rPr>
          <w:color w:val="231F20"/>
          <w:w w:val="105"/>
          <w:sz w:val="16"/>
        </w:rPr>
        <w:t xml:space="preserve">itself became a major object of protest.” [Jeremy  Varon,  </w:t>
      </w:r>
      <w:r>
        <w:rPr>
          <w:i/>
          <w:color w:val="231F20"/>
          <w:w w:val="105"/>
          <w:sz w:val="16"/>
        </w:rPr>
        <w:t xml:space="preserve">Bringing  the  War Home: The Weather </w:t>
      </w:r>
      <w:r>
        <w:rPr>
          <w:i/>
          <w:color w:val="231F20"/>
          <w:spacing w:val="1"/>
          <w:w w:val="105"/>
          <w:sz w:val="16"/>
        </w:rPr>
        <w:t xml:space="preserve">Underground, </w:t>
      </w:r>
      <w:r>
        <w:rPr>
          <w:i/>
          <w:color w:val="231F20"/>
          <w:w w:val="105"/>
          <w:sz w:val="16"/>
        </w:rPr>
        <w:t xml:space="preserve">the Red  </w:t>
      </w:r>
      <w:r>
        <w:rPr>
          <w:i/>
          <w:color w:val="231F20"/>
          <w:spacing w:val="1"/>
          <w:w w:val="105"/>
          <w:sz w:val="16"/>
        </w:rPr>
        <w:t xml:space="preserve">Army  </w:t>
      </w:r>
      <w:r>
        <w:rPr>
          <w:i/>
          <w:color w:val="231F20"/>
          <w:w w:val="105"/>
          <w:sz w:val="16"/>
        </w:rPr>
        <w:t xml:space="preserve">Faction,  </w:t>
      </w:r>
      <w:r>
        <w:rPr>
          <w:i/>
          <w:color w:val="231F20"/>
          <w:spacing w:val="1"/>
          <w:w w:val="105"/>
          <w:sz w:val="16"/>
        </w:rPr>
        <w:t xml:space="preserve">and  Revolutionary Violence </w:t>
      </w:r>
      <w:r>
        <w:rPr>
          <w:i/>
          <w:color w:val="231F20"/>
          <w:w w:val="105"/>
          <w:sz w:val="16"/>
        </w:rPr>
        <w:t xml:space="preserve">in the Sixties </w:t>
      </w:r>
      <w:r>
        <w:rPr>
          <w:i/>
          <w:color w:val="231F20"/>
          <w:spacing w:val="1"/>
          <w:w w:val="105"/>
          <w:sz w:val="16"/>
        </w:rPr>
        <w:t xml:space="preserve">and Seventies  </w:t>
      </w:r>
      <w:r>
        <w:rPr>
          <w:color w:val="231F20"/>
          <w:w w:val="105"/>
          <w:sz w:val="16"/>
        </w:rPr>
        <w:t>(Berkeley:  University  of  California  Press, 2004),</w:t>
      </w:r>
      <w:r>
        <w:rPr>
          <w:color w:val="231F20"/>
          <w:spacing w:val="7"/>
          <w:w w:val="105"/>
          <w:sz w:val="16"/>
        </w:rPr>
        <w:t xml:space="preserve"> </w:t>
      </w:r>
      <w:r>
        <w:rPr>
          <w:color w:val="231F20"/>
          <w:spacing w:val="-5"/>
          <w:w w:val="105"/>
          <w:sz w:val="16"/>
        </w:rPr>
        <w:t>38-39.]</w:t>
      </w:r>
    </w:p>
    <w:p w14:paraId="7A24376B" w14:textId="77777777" w:rsidR="002653E8" w:rsidRDefault="002653E8">
      <w:pPr>
        <w:spacing w:line="254" w:lineRule="auto"/>
        <w:rPr>
          <w:sz w:val="16"/>
        </w:rPr>
        <w:sectPr w:rsidR="002653E8">
          <w:pgSz w:w="8640" w:h="12960"/>
          <w:pgMar w:top="1060" w:right="0" w:bottom="1040" w:left="0" w:header="0" w:footer="850" w:gutter="0"/>
          <w:cols w:space="720"/>
        </w:sectPr>
      </w:pPr>
    </w:p>
    <w:p w14:paraId="5A6F04AC" w14:textId="77777777" w:rsidR="002653E8" w:rsidRDefault="003115E3">
      <w:pPr>
        <w:pStyle w:val="a3"/>
        <w:spacing w:before="86" w:line="264" w:lineRule="auto"/>
        <w:ind w:left="1147" w:right="1580"/>
        <w:rPr>
          <w:sz w:val="11"/>
        </w:rPr>
      </w:pPr>
      <w:r>
        <w:rPr>
          <w:color w:val="231F20"/>
        </w:rPr>
        <w:lastRenderedPageBreak/>
        <w:t>want to see blood. They wave the red flag and they mean it. This is where democratic tolerance stops.”</w:t>
      </w:r>
      <w:r>
        <w:rPr>
          <w:color w:val="231F20"/>
          <w:position w:val="7"/>
          <w:sz w:val="11"/>
        </w:rPr>
        <w:t>1</w:t>
      </w:r>
    </w:p>
    <w:p w14:paraId="70131D9D" w14:textId="77777777" w:rsidR="002653E8" w:rsidRDefault="003115E3">
      <w:pPr>
        <w:pStyle w:val="a3"/>
        <w:spacing w:line="264" w:lineRule="auto"/>
        <w:ind w:left="1147" w:right="1326" w:firstLine="210"/>
        <w:jc w:val="both"/>
        <w:rPr>
          <w:sz w:val="11"/>
        </w:rPr>
      </w:pPr>
      <w:r>
        <w:rPr>
          <w:color w:val="231F20"/>
        </w:rPr>
        <w:t xml:space="preserve">On June </w:t>
      </w:r>
      <w:r>
        <w:rPr>
          <w:color w:val="231F20"/>
          <w:spacing w:val="-3"/>
        </w:rPr>
        <w:t xml:space="preserve">3, </w:t>
      </w:r>
      <w:r>
        <w:rPr>
          <w:color w:val="231F20"/>
        </w:rPr>
        <w:t>the Berlin Senate banned demonstrations in the city— twenty-five</w:t>
      </w:r>
      <w:r>
        <w:rPr>
          <w:color w:val="231F20"/>
          <w:spacing w:val="-6"/>
        </w:rPr>
        <w:t xml:space="preserve"> </w:t>
      </w:r>
      <w:r>
        <w:rPr>
          <w:color w:val="231F20"/>
        </w:rPr>
        <w:t>year</w:t>
      </w:r>
      <w:r>
        <w:rPr>
          <w:color w:val="231F20"/>
          <w:spacing w:val="-6"/>
        </w:rPr>
        <w:t xml:space="preserve"> </w:t>
      </w:r>
      <w:r>
        <w:rPr>
          <w:color w:val="231F20"/>
        </w:rPr>
        <w:t>old</w:t>
      </w:r>
      <w:r>
        <w:rPr>
          <w:color w:val="231F20"/>
          <w:spacing w:val="-6"/>
        </w:rPr>
        <w:t xml:space="preserve"> </w:t>
      </w:r>
      <w:r>
        <w:rPr>
          <w:color w:val="231F20"/>
        </w:rPr>
        <w:t>Gudrun</w:t>
      </w:r>
      <w:r>
        <w:rPr>
          <w:color w:val="231F20"/>
          <w:spacing w:val="-6"/>
        </w:rPr>
        <w:t xml:space="preserve"> </w:t>
      </w:r>
      <w:r>
        <w:rPr>
          <w:color w:val="231F20"/>
        </w:rPr>
        <w:t>Ensslin</w:t>
      </w:r>
      <w:r>
        <w:rPr>
          <w:color w:val="231F20"/>
          <w:spacing w:val="-6"/>
        </w:rPr>
        <w:t xml:space="preserve"> </w:t>
      </w:r>
      <w:r>
        <w:rPr>
          <w:color w:val="231F20"/>
        </w:rPr>
        <w:t>was</w:t>
      </w:r>
      <w:r>
        <w:rPr>
          <w:color w:val="231F20"/>
          <w:spacing w:val="-6"/>
        </w:rPr>
        <w:t xml:space="preserve"> </w:t>
      </w:r>
      <w:r>
        <w:rPr>
          <w:color w:val="231F20"/>
        </w:rPr>
        <w:t>one</w:t>
      </w:r>
      <w:r>
        <w:rPr>
          <w:color w:val="231F20"/>
          <w:spacing w:val="-6"/>
        </w:rPr>
        <w:t xml:space="preserve"> </w:t>
      </w:r>
      <w:r>
        <w:rPr>
          <w:color w:val="231F20"/>
        </w:rPr>
        <w:t>of</w:t>
      </w:r>
      <w:r>
        <w:rPr>
          <w:color w:val="231F20"/>
          <w:spacing w:val="-6"/>
        </w:rPr>
        <w:t xml:space="preserve"> </w:t>
      </w:r>
      <w:r>
        <w:rPr>
          <w:color w:val="231F20"/>
        </w:rPr>
        <w:t>eight</w:t>
      </w:r>
      <w:r>
        <w:rPr>
          <w:color w:val="231F20"/>
          <w:spacing w:val="-6"/>
        </w:rPr>
        <w:t xml:space="preserve"> </w:t>
      </w:r>
      <w:r>
        <w:rPr>
          <w:color w:val="231F20"/>
        </w:rPr>
        <w:t>protesters</w:t>
      </w:r>
      <w:r>
        <w:rPr>
          <w:color w:val="231F20"/>
          <w:spacing w:val="-6"/>
        </w:rPr>
        <w:t xml:space="preserve"> </w:t>
      </w:r>
      <w:r>
        <w:rPr>
          <w:color w:val="231F20"/>
        </w:rPr>
        <w:t>arrested for defying this ban the next day</w:t>
      </w:r>
      <w:r>
        <w:rPr>
          <w:color w:val="231F20"/>
          <w:position w:val="7"/>
          <w:sz w:val="11"/>
        </w:rPr>
        <w:t>2</w:t>
      </w:r>
      <w:r>
        <w:rPr>
          <w:color w:val="231F20"/>
        </w:rPr>
        <w:t xml:space="preserve">—and the chief of police Duensing proudly explained his tactics as those he would use when confronted with a smelly sausage: “The left end stinks </w:t>
      </w:r>
      <w:r>
        <w:rPr>
          <w:color w:val="231F20"/>
          <w:spacing w:val="-3"/>
        </w:rPr>
        <w:t xml:space="preserve">[so] </w:t>
      </w:r>
      <w:r>
        <w:rPr>
          <w:color w:val="231F20"/>
        </w:rPr>
        <w:t xml:space="preserve">we had to cut into the middle to take off the </w:t>
      </w:r>
      <w:r>
        <w:rPr>
          <w:color w:val="231F20"/>
          <w:spacing w:val="-4"/>
        </w:rPr>
        <w:t>end.”</w:t>
      </w:r>
      <w:r>
        <w:rPr>
          <w:color w:val="231F20"/>
          <w:spacing w:val="-4"/>
          <w:position w:val="7"/>
          <w:sz w:val="11"/>
        </w:rPr>
        <w:t xml:space="preserve">3 </w:t>
      </w:r>
      <w:r>
        <w:rPr>
          <w:color w:val="231F20"/>
        </w:rPr>
        <w:t>As for the Shah, he tried to reassure the Mayor of Berlin Heinrich Albertz, telling him not to think too much of   it,</w:t>
      </w:r>
      <w:r>
        <w:rPr>
          <w:color w:val="231F20"/>
          <w:spacing w:val="12"/>
        </w:rPr>
        <w:t xml:space="preserve"> </w:t>
      </w:r>
      <w:r>
        <w:rPr>
          <w:color w:val="231F20"/>
        </w:rPr>
        <w:t>“these</w:t>
      </w:r>
      <w:r>
        <w:rPr>
          <w:color w:val="231F20"/>
          <w:spacing w:val="12"/>
        </w:rPr>
        <w:t xml:space="preserve"> </w:t>
      </w:r>
      <w:r>
        <w:rPr>
          <w:color w:val="231F20"/>
        </w:rPr>
        <w:t>things</w:t>
      </w:r>
      <w:r>
        <w:rPr>
          <w:color w:val="231F20"/>
          <w:spacing w:val="12"/>
        </w:rPr>
        <w:t xml:space="preserve"> </w:t>
      </w:r>
      <w:r>
        <w:rPr>
          <w:color w:val="231F20"/>
        </w:rPr>
        <w:t>happen</w:t>
      </w:r>
      <w:r>
        <w:rPr>
          <w:color w:val="231F20"/>
          <w:spacing w:val="12"/>
        </w:rPr>
        <w:t xml:space="preserve"> </w:t>
      </w:r>
      <w:r>
        <w:rPr>
          <w:color w:val="231F20"/>
        </w:rPr>
        <w:t>every</w:t>
      </w:r>
      <w:r>
        <w:rPr>
          <w:color w:val="231F20"/>
          <w:spacing w:val="12"/>
        </w:rPr>
        <w:t xml:space="preserve"> </w:t>
      </w:r>
      <w:r>
        <w:rPr>
          <w:color w:val="231F20"/>
        </w:rPr>
        <w:t>day</w:t>
      </w:r>
      <w:r>
        <w:rPr>
          <w:color w:val="231F20"/>
          <w:spacing w:val="12"/>
        </w:rPr>
        <w:t xml:space="preserve"> </w:t>
      </w:r>
      <w:r>
        <w:rPr>
          <w:color w:val="231F20"/>
        </w:rPr>
        <w:t>in</w:t>
      </w:r>
      <w:r>
        <w:rPr>
          <w:color w:val="231F20"/>
          <w:spacing w:val="12"/>
        </w:rPr>
        <w:t xml:space="preserve"> </w:t>
      </w:r>
      <w:r>
        <w:rPr>
          <w:color w:val="231F20"/>
          <w:spacing w:val="-4"/>
        </w:rPr>
        <w:t>Iran…”</w:t>
      </w:r>
      <w:r>
        <w:rPr>
          <w:color w:val="231F20"/>
          <w:spacing w:val="-4"/>
          <w:position w:val="7"/>
          <w:sz w:val="11"/>
        </w:rPr>
        <w:t>4</w:t>
      </w:r>
    </w:p>
    <w:p w14:paraId="2863F5CA" w14:textId="77777777" w:rsidR="002653E8" w:rsidRDefault="003115E3">
      <w:pPr>
        <w:pStyle w:val="a3"/>
        <w:spacing w:line="264" w:lineRule="auto"/>
        <w:ind w:left="1148" w:right="1325" w:firstLine="210"/>
        <w:jc w:val="both"/>
      </w:pPr>
      <w:r>
        <w:rPr>
          <w:color w:val="231F20"/>
        </w:rPr>
        <w:t>Nevertheless,</w:t>
      </w:r>
      <w:r>
        <w:rPr>
          <w:color w:val="231F20"/>
          <w:spacing w:val="-17"/>
        </w:rPr>
        <w:t xml:space="preserve"> </w:t>
      </w:r>
      <w:r>
        <w:rPr>
          <w:color w:val="231F20"/>
        </w:rPr>
        <w:t>given</w:t>
      </w:r>
      <w:r>
        <w:rPr>
          <w:color w:val="231F20"/>
          <w:spacing w:val="-17"/>
        </w:rPr>
        <w:t xml:space="preserve"> </w:t>
      </w:r>
      <w:r>
        <w:rPr>
          <w:color w:val="231F20"/>
        </w:rPr>
        <w:t>the</w:t>
      </w:r>
      <w:r>
        <w:rPr>
          <w:color w:val="231F20"/>
          <w:spacing w:val="-17"/>
        </w:rPr>
        <w:t xml:space="preserve"> </w:t>
      </w:r>
      <w:r>
        <w:rPr>
          <w:color w:val="231F20"/>
        </w:rPr>
        <w:t>widespread</w:t>
      </w:r>
      <w:r>
        <w:rPr>
          <w:color w:val="231F20"/>
          <w:spacing w:val="-17"/>
        </w:rPr>
        <w:t xml:space="preserve"> </w:t>
      </w:r>
      <w:r>
        <w:rPr>
          <w:color w:val="231F20"/>
        </w:rPr>
        <w:t>sense</w:t>
      </w:r>
      <w:r>
        <w:rPr>
          <w:color w:val="231F20"/>
          <w:spacing w:val="-17"/>
        </w:rPr>
        <w:t xml:space="preserve"> </w:t>
      </w:r>
      <w:r>
        <w:rPr>
          <w:color w:val="231F20"/>
        </w:rPr>
        <w:t>of</w:t>
      </w:r>
      <w:r>
        <w:rPr>
          <w:color w:val="231F20"/>
          <w:spacing w:val="-17"/>
        </w:rPr>
        <w:t xml:space="preserve"> </w:t>
      </w:r>
      <w:r>
        <w:rPr>
          <w:color w:val="231F20"/>
        </w:rPr>
        <w:t>outrage</w:t>
      </w:r>
      <w:r>
        <w:rPr>
          <w:color w:val="231F20"/>
          <w:spacing w:val="-17"/>
        </w:rPr>
        <w:t xml:space="preserve"> </w:t>
      </w:r>
      <w:r>
        <w:rPr>
          <w:color w:val="231F20"/>
        </w:rPr>
        <w:t>and</w:t>
      </w:r>
      <w:r>
        <w:rPr>
          <w:color w:val="231F20"/>
          <w:spacing w:val="-17"/>
        </w:rPr>
        <w:t xml:space="preserve"> </w:t>
      </w:r>
      <w:r>
        <w:rPr>
          <w:color w:val="231F20"/>
        </w:rPr>
        <w:t>the</w:t>
      </w:r>
      <w:r>
        <w:rPr>
          <w:color w:val="231F20"/>
          <w:spacing w:val="-17"/>
        </w:rPr>
        <w:t xml:space="preserve"> </w:t>
      </w:r>
      <w:r>
        <w:rPr>
          <w:color w:val="231F20"/>
        </w:rPr>
        <w:t>increasing evidence that Ohnesorg had been killed without provocation, Duensing was forced out of his job, and Senator for Internal Affairs Büsch and Mayor</w:t>
      </w:r>
      <w:r>
        <w:rPr>
          <w:color w:val="231F20"/>
          <w:spacing w:val="11"/>
        </w:rPr>
        <w:t xml:space="preserve"> </w:t>
      </w:r>
      <w:r>
        <w:rPr>
          <w:color w:val="231F20"/>
        </w:rPr>
        <w:t>Albertz</w:t>
      </w:r>
      <w:r>
        <w:rPr>
          <w:color w:val="231F20"/>
          <w:spacing w:val="11"/>
        </w:rPr>
        <w:t xml:space="preserve"> </w:t>
      </w:r>
      <w:r>
        <w:rPr>
          <w:color w:val="231F20"/>
        </w:rPr>
        <w:t>were</w:t>
      </w:r>
      <w:r>
        <w:rPr>
          <w:color w:val="231F20"/>
          <w:spacing w:val="11"/>
        </w:rPr>
        <w:t xml:space="preserve"> </w:t>
      </w:r>
      <w:r>
        <w:rPr>
          <w:color w:val="231F20"/>
        </w:rPr>
        <w:t>eventually</w:t>
      </w:r>
      <w:r>
        <w:rPr>
          <w:color w:val="231F20"/>
          <w:spacing w:val="11"/>
        </w:rPr>
        <w:t xml:space="preserve"> </w:t>
      </w:r>
      <w:r>
        <w:rPr>
          <w:color w:val="231F20"/>
        </w:rPr>
        <w:t>made</w:t>
      </w:r>
      <w:r>
        <w:rPr>
          <w:color w:val="231F20"/>
          <w:spacing w:val="11"/>
        </w:rPr>
        <w:t xml:space="preserve"> </w:t>
      </w:r>
      <w:r>
        <w:rPr>
          <w:color w:val="231F20"/>
        </w:rPr>
        <w:t>to</w:t>
      </w:r>
      <w:r>
        <w:rPr>
          <w:color w:val="231F20"/>
          <w:spacing w:val="11"/>
        </w:rPr>
        <w:t xml:space="preserve"> </w:t>
      </w:r>
      <w:r>
        <w:rPr>
          <w:color w:val="231F20"/>
        </w:rPr>
        <w:t>follow</w:t>
      </w:r>
      <w:r>
        <w:rPr>
          <w:color w:val="231F20"/>
          <w:spacing w:val="11"/>
        </w:rPr>
        <w:t xml:space="preserve"> </w:t>
      </w:r>
      <w:r>
        <w:rPr>
          <w:color w:val="231F20"/>
        </w:rPr>
        <w:t>suit.</w:t>
      </w:r>
    </w:p>
    <w:p w14:paraId="1DD913A3" w14:textId="77777777" w:rsidR="002653E8" w:rsidRDefault="003115E3">
      <w:pPr>
        <w:pStyle w:val="a3"/>
        <w:spacing w:line="264" w:lineRule="auto"/>
        <w:ind w:left="1148" w:right="1325" w:firstLine="210"/>
        <w:jc w:val="both"/>
      </w:pPr>
      <w:r>
        <w:rPr>
          <w:color w:val="231F20"/>
        </w:rPr>
        <w:t>If June 2 has been pointed to as the “coming out” of the West German New Left mass student phenomenon, the international circumstances in which this occurred were not without significance. Just three days after Ohnesorg’s murder, West Germany’s ally Israel attacked Egypt, and quickly destroyed its army—as well as Jordanian and Syrian forces—in what became known as the Six Day War.</w:t>
      </w:r>
    </w:p>
    <w:p w14:paraId="2BD3121B" w14:textId="77777777" w:rsidR="002653E8" w:rsidRDefault="00000000">
      <w:pPr>
        <w:pStyle w:val="a3"/>
        <w:spacing w:line="264" w:lineRule="auto"/>
        <w:ind w:left="1147" w:right="1326" w:firstLine="210"/>
        <w:jc w:val="both"/>
      </w:pPr>
      <w:r>
        <w:rPr>
          <w:noProof w:val="0"/>
        </w:rPr>
        <w:pict w14:anchorId="0904F264">
          <v:line id="_x0000_s2671" style="position:absolute;left:0;text-align:left;z-index:2224;mso-wrap-distance-left:0;mso-wrap-distance-right:0;mso-position-horizontal-relative:page" from="57.4pt,174.7pt" to="129.4pt,174.7pt" strokecolor="#231f20" strokeweight=".5pt">
            <w10:wrap type="topAndBottom" anchorx="page"/>
          </v:line>
        </w:pict>
      </w:r>
      <w:r w:rsidR="003115E3">
        <w:rPr>
          <w:color w:val="231F20"/>
          <w:spacing w:val="1"/>
        </w:rPr>
        <w:t xml:space="preserve">In </w:t>
      </w:r>
      <w:r w:rsidR="003115E3">
        <w:rPr>
          <w:color w:val="231F20"/>
        </w:rPr>
        <w:t xml:space="preserve">the FRG, the Six Day </w:t>
      </w:r>
      <w:r w:rsidR="003115E3">
        <w:rPr>
          <w:color w:val="231F20"/>
          <w:spacing w:val="-3"/>
        </w:rPr>
        <w:t xml:space="preserve">War </w:t>
      </w:r>
      <w:r w:rsidR="003115E3">
        <w:rPr>
          <w:color w:val="231F20"/>
        </w:rPr>
        <w:t xml:space="preserve">provided the odd occasion for a broadbased, mass celebration of militarism. </w:t>
      </w:r>
      <w:r w:rsidR="003115E3">
        <w:rPr>
          <w:color w:val="231F20"/>
          <w:spacing w:val="-8"/>
        </w:rPr>
        <w:t xml:space="preserve">To </w:t>
      </w:r>
      <w:r w:rsidR="003115E3">
        <w:rPr>
          <w:color w:val="231F20"/>
        </w:rPr>
        <w:t xml:space="preserve">some observers, it suddenly seemed as if the same emotions and social forces that had supported German fascism were now expressing themselves through support for the Israeli aggressors, described (approvingly) as the “Prussians of the Middle </w:t>
      </w:r>
      <w:r w:rsidR="003115E3">
        <w:rPr>
          <w:color w:val="231F20"/>
          <w:spacing w:val="-3"/>
        </w:rPr>
        <w:t>East.”</w:t>
      </w:r>
      <w:r w:rsidR="003115E3">
        <w:rPr>
          <w:color w:val="231F20"/>
          <w:spacing w:val="-3"/>
          <w:position w:val="7"/>
          <w:sz w:val="11"/>
        </w:rPr>
        <w:t xml:space="preserve">5 </w:t>
      </w:r>
      <w:r w:rsidR="003115E3">
        <w:rPr>
          <w:color w:val="231F20"/>
        </w:rPr>
        <w:t xml:space="preserve">Although the SDS was already pro-Palestinian, most leftists had previously harbored sympathies for the Jewish state. The </w:t>
      </w:r>
      <w:r w:rsidR="003115E3">
        <w:rPr>
          <w:color w:val="231F20"/>
          <w:spacing w:val="-4"/>
        </w:rPr>
        <w:t xml:space="preserve">1967 </w:t>
      </w:r>
      <w:r w:rsidR="003115E3">
        <w:rPr>
          <w:color w:val="231F20"/>
        </w:rPr>
        <w:t xml:space="preserve">war put a definite end to this, establishing the New Left’s antiZionist orientation; as an unfortunate side effect of this </w:t>
      </w:r>
      <w:r w:rsidR="003115E3">
        <w:rPr>
          <w:color w:val="231F20"/>
          <w:spacing w:val="1"/>
        </w:rPr>
        <w:t xml:space="preserve">turn, </w:t>
      </w:r>
      <w:r w:rsidR="003115E3">
        <w:rPr>
          <w:color w:val="231F20"/>
        </w:rPr>
        <w:t xml:space="preserve">it also discouraged attempts to grapple with the gravity of Germany’s antisemitic past from a radical,  anticapitalist  point  of  </w:t>
      </w:r>
      <w:r w:rsidR="003115E3">
        <w:rPr>
          <w:color w:val="231F20"/>
          <w:spacing w:val="-3"/>
        </w:rPr>
        <w:t xml:space="preserve">view.  </w:t>
      </w:r>
      <w:r w:rsidR="003115E3">
        <w:rPr>
          <w:color w:val="231F20"/>
        </w:rPr>
        <w:t xml:space="preserve">(For  more on  Germany’s  relationship  to  Israel,  see  Appendix  </w:t>
      </w:r>
      <w:r w:rsidR="003115E3">
        <w:rPr>
          <w:color w:val="231F20"/>
          <w:spacing w:val="1"/>
        </w:rPr>
        <w:t xml:space="preserve">III—The   </w:t>
      </w:r>
      <w:r w:rsidR="003115E3">
        <w:rPr>
          <w:color w:val="231F20"/>
        </w:rPr>
        <w:t>FRG and</w:t>
      </w:r>
      <w:r w:rsidR="003115E3">
        <w:rPr>
          <w:color w:val="231F20"/>
          <w:spacing w:val="10"/>
        </w:rPr>
        <w:t xml:space="preserve"> </w:t>
      </w:r>
      <w:r w:rsidR="003115E3">
        <w:rPr>
          <w:color w:val="231F20"/>
        </w:rPr>
        <w:t>the</w:t>
      </w:r>
      <w:r w:rsidR="003115E3">
        <w:rPr>
          <w:color w:val="231F20"/>
          <w:spacing w:val="10"/>
        </w:rPr>
        <w:t xml:space="preserve"> </w:t>
      </w:r>
      <w:r w:rsidR="003115E3">
        <w:rPr>
          <w:color w:val="231F20"/>
        </w:rPr>
        <w:t>State</w:t>
      </w:r>
      <w:r w:rsidR="003115E3">
        <w:rPr>
          <w:color w:val="231F20"/>
          <w:spacing w:val="10"/>
        </w:rPr>
        <w:t xml:space="preserve"> </w:t>
      </w:r>
      <w:r w:rsidR="003115E3">
        <w:rPr>
          <w:color w:val="231F20"/>
        </w:rPr>
        <w:t>of</w:t>
      </w:r>
      <w:r w:rsidR="003115E3">
        <w:rPr>
          <w:color w:val="231F20"/>
          <w:spacing w:val="10"/>
        </w:rPr>
        <w:t xml:space="preserve"> </w:t>
      </w:r>
      <w:r w:rsidR="003115E3">
        <w:rPr>
          <w:color w:val="231F20"/>
        </w:rPr>
        <w:t>Israel,</w:t>
      </w:r>
      <w:r w:rsidR="003115E3">
        <w:rPr>
          <w:color w:val="231F20"/>
          <w:spacing w:val="10"/>
        </w:rPr>
        <w:t xml:space="preserve"> </w:t>
      </w:r>
      <w:r w:rsidR="003115E3">
        <w:rPr>
          <w:color w:val="231F20"/>
        </w:rPr>
        <w:t>pages</w:t>
      </w:r>
      <w:r w:rsidR="003115E3">
        <w:rPr>
          <w:color w:val="231F20"/>
          <w:spacing w:val="10"/>
        </w:rPr>
        <w:t xml:space="preserve"> </w:t>
      </w:r>
      <w:r w:rsidR="003115E3">
        <w:rPr>
          <w:color w:val="231F20"/>
          <w:spacing w:val="-9"/>
        </w:rPr>
        <w:t>550-553.)</w:t>
      </w:r>
    </w:p>
    <w:p w14:paraId="5B6A70FF" w14:textId="77777777" w:rsidR="002653E8" w:rsidRDefault="003115E3">
      <w:pPr>
        <w:pStyle w:val="a4"/>
        <w:numPr>
          <w:ilvl w:val="0"/>
          <w:numId w:val="183"/>
        </w:numPr>
        <w:tabs>
          <w:tab w:val="left" w:pos="1287"/>
        </w:tabs>
        <w:spacing w:before="53"/>
        <w:rPr>
          <w:sz w:val="16"/>
        </w:rPr>
      </w:pPr>
      <w:r>
        <w:rPr>
          <w:color w:val="231F20"/>
          <w:w w:val="115"/>
          <w:sz w:val="16"/>
        </w:rPr>
        <w:t>Hockenos,</w:t>
      </w:r>
      <w:r>
        <w:rPr>
          <w:color w:val="231F20"/>
          <w:spacing w:val="3"/>
          <w:w w:val="115"/>
          <w:sz w:val="16"/>
        </w:rPr>
        <w:t xml:space="preserve"> </w:t>
      </w:r>
      <w:r>
        <w:rPr>
          <w:color w:val="231F20"/>
          <w:w w:val="115"/>
          <w:sz w:val="16"/>
        </w:rPr>
        <w:t>68.</w:t>
      </w:r>
    </w:p>
    <w:p w14:paraId="1D7DC2A7" w14:textId="77777777" w:rsidR="002653E8" w:rsidRDefault="003115E3">
      <w:pPr>
        <w:pStyle w:val="a4"/>
        <w:numPr>
          <w:ilvl w:val="0"/>
          <w:numId w:val="183"/>
        </w:numPr>
        <w:tabs>
          <w:tab w:val="left" w:pos="1287"/>
        </w:tabs>
        <w:spacing w:before="51"/>
        <w:rPr>
          <w:i/>
          <w:sz w:val="16"/>
        </w:rPr>
      </w:pPr>
      <w:r>
        <w:rPr>
          <w:color w:val="231F20"/>
          <w:w w:val="110"/>
          <w:sz w:val="16"/>
        </w:rPr>
        <w:t>Stefan</w:t>
      </w:r>
      <w:r>
        <w:rPr>
          <w:color w:val="231F20"/>
          <w:spacing w:val="6"/>
          <w:w w:val="110"/>
          <w:sz w:val="16"/>
        </w:rPr>
        <w:t xml:space="preserve"> </w:t>
      </w:r>
      <w:r>
        <w:rPr>
          <w:color w:val="231F20"/>
          <w:w w:val="110"/>
          <w:sz w:val="16"/>
        </w:rPr>
        <w:t>Aust,</w:t>
      </w:r>
      <w:r>
        <w:rPr>
          <w:color w:val="231F20"/>
          <w:spacing w:val="6"/>
          <w:w w:val="110"/>
          <w:sz w:val="16"/>
        </w:rPr>
        <w:t xml:space="preserve"> </w:t>
      </w:r>
      <w:r>
        <w:rPr>
          <w:i/>
          <w:color w:val="231F20"/>
          <w:w w:val="110"/>
          <w:sz w:val="16"/>
        </w:rPr>
        <w:t>The</w:t>
      </w:r>
      <w:r>
        <w:rPr>
          <w:i/>
          <w:color w:val="231F20"/>
          <w:spacing w:val="6"/>
          <w:w w:val="110"/>
          <w:sz w:val="16"/>
        </w:rPr>
        <w:t xml:space="preserve"> </w:t>
      </w:r>
      <w:r>
        <w:rPr>
          <w:i/>
          <w:color w:val="231F20"/>
          <w:spacing w:val="1"/>
          <w:w w:val="110"/>
          <w:sz w:val="16"/>
        </w:rPr>
        <w:t>Baader-Meinhof</w:t>
      </w:r>
      <w:r>
        <w:rPr>
          <w:i/>
          <w:color w:val="231F20"/>
          <w:spacing w:val="6"/>
          <w:w w:val="110"/>
          <w:sz w:val="16"/>
        </w:rPr>
        <w:t xml:space="preserve"> </w:t>
      </w:r>
      <w:r>
        <w:rPr>
          <w:i/>
          <w:color w:val="231F20"/>
          <w:w w:val="110"/>
          <w:sz w:val="16"/>
        </w:rPr>
        <w:t>Group:</w:t>
      </w:r>
      <w:r>
        <w:rPr>
          <w:i/>
          <w:color w:val="231F20"/>
          <w:spacing w:val="6"/>
          <w:w w:val="110"/>
          <w:sz w:val="16"/>
        </w:rPr>
        <w:t xml:space="preserve"> </w:t>
      </w:r>
      <w:r>
        <w:rPr>
          <w:i/>
          <w:color w:val="231F20"/>
          <w:w w:val="110"/>
          <w:sz w:val="16"/>
        </w:rPr>
        <w:t>The</w:t>
      </w:r>
      <w:r>
        <w:rPr>
          <w:i/>
          <w:color w:val="231F20"/>
          <w:spacing w:val="6"/>
          <w:w w:val="110"/>
          <w:sz w:val="16"/>
        </w:rPr>
        <w:t xml:space="preserve"> </w:t>
      </w:r>
      <w:r>
        <w:rPr>
          <w:i/>
          <w:color w:val="231F20"/>
          <w:w w:val="110"/>
          <w:sz w:val="16"/>
        </w:rPr>
        <w:t>Inside</w:t>
      </w:r>
      <w:r>
        <w:rPr>
          <w:i/>
          <w:color w:val="231F20"/>
          <w:spacing w:val="6"/>
          <w:w w:val="110"/>
          <w:sz w:val="16"/>
        </w:rPr>
        <w:t xml:space="preserve"> </w:t>
      </w:r>
      <w:r>
        <w:rPr>
          <w:i/>
          <w:color w:val="231F20"/>
          <w:spacing w:val="1"/>
          <w:w w:val="110"/>
          <w:sz w:val="16"/>
        </w:rPr>
        <w:t>Story</w:t>
      </w:r>
      <w:r>
        <w:rPr>
          <w:i/>
          <w:color w:val="231F20"/>
          <w:spacing w:val="6"/>
          <w:w w:val="110"/>
          <w:sz w:val="16"/>
        </w:rPr>
        <w:t xml:space="preserve"> </w:t>
      </w:r>
      <w:r>
        <w:rPr>
          <w:i/>
          <w:color w:val="231F20"/>
          <w:w w:val="110"/>
          <w:sz w:val="16"/>
        </w:rPr>
        <w:t>of</w:t>
      </w:r>
      <w:r>
        <w:rPr>
          <w:i/>
          <w:color w:val="231F20"/>
          <w:spacing w:val="6"/>
          <w:w w:val="110"/>
          <w:sz w:val="16"/>
        </w:rPr>
        <w:t xml:space="preserve"> </w:t>
      </w:r>
      <w:r>
        <w:rPr>
          <w:i/>
          <w:color w:val="231F20"/>
          <w:w w:val="110"/>
          <w:sz w:val="16"/>
        </w:rPr>
        <w:t>a</w:t>
      </w:r>
      <w:r>
        <w:rPr>
          <w:i/>
          <w:color w:val="231F20"/>
          <w:spacing w:val="6"/>
          <w:w w:val="110"/>
          <w:sz w:val="16"/>
        </w:rPr>
        <w:t xml:space="preserve"> </w:t>
      </w:r>
      <w:r>
        <w:rPr>
          <w:i/>
          <w:color w:val="231F20"/>
          <w:spacing w:val="1"/>
          <w:w w:val="110"/>
          <w:sz w:val="16"/>
        </w:rPr>
        <w:t>Phenomenon.</w:t>
      </w:r>
    </w:p>
    <w:p w14:paraId="7CA1363D" w14:textId="77777777" w:rsidR="002653E8" w:rsidRDefault="003115E3">
      <w:pPr>
        <w:spacing w:before="12" w:line="307" w:lineRule="auto"/>
        <w:ind w:left="1147" w:right="2448"/>
        <w:rPr>
          <w:sz w:val="16"/>
        </w:rPr>
      </w:pPr>
      <w:r>
        <w:rPr>
          <w:color w:val="231F20"/>
          <w:w w:val="105"/>
          <w:sz w:val="16"/>
        </w:rPr>
        <w:t xml:space="preserve">Translated by Anthea Bell. (London: The Bodley Head Ltd., </w:t>
      </w:r>
      <w:r>
        <w:rPr>
          <w:color w:val="231F20"/>
          <w:spacing w:val="-3"/>
          <w:w w:val="105"/>
          <w:sz w:val="16"/>
        </w:rPr>
        <w:t xml:space="preserve">1987),  </w:t>
      </w:r>
      <w:r>
        <w:rPr>
          <w:color w:val="231F20"/>
          <w:w w:val="105"/>
          <w:sz w:val="16"/>
        </w:rPr>
        <w:t>44.    3 Thomas,</w:t>
      </w:r>
      <w:r>
        <w:rPr>
          <w:color w:val="231F20"/>
          <w:spacing w:val="16"/>
          <w:w w:val="105"/>
          <w:sz w:val="16"/>
        </w:rPr>
        <w:t xml:space="preserve"> </w:t>
      </w:r>
      <w:r>
        <w:rPr>
          <w:color w:val="231F20"/>
          <w:spacing w:val="-6"/>
          <w:w w:val="105"/>
          <w:sz w:val="16"/>
        </w:rPr>
        <w:t>115.</w:t>
      </w:r>
    </w:p>
    <w:p w14:paraId="4FAABD7E" w14:textId="77777777" w:rsidR="002653E8" w:rsidRDefault="003115E3">
      <w:pPr>
        <w:pStyle w:val="a4"/>
        <w:numPr>
          <w:ilvl w:val="0"/>
          <w:numId w:val="182"/>
        </w:numPr>
        <w:tabs>
          <w:tab w:val="left" w:pos="1287"/>
        </w:tabs>
        <w:spacing w:before="0" w:line="186" w:lineRule="exact"/>
        <w:ind w:firstLine="0"/>
        <w:jc w:val="left"/>
        <w:rPr>
          <w:sz w:val="16"/>
        </w:rPr>
      </w:pPr>
      <w:r>
        <w:rPr>
          <w:color w:val="231F20"/>
          <w:w w:val="115"/>
          <w:sz w:val="16"/>
        </w:rPr>
        <w:t>Aust,</w:t>
      </w:r>
      <w:r>
        <w:rPr>
          <w:color w:val="231F20"/>
          <w:spacing w:val="3"/>
          <w:w w:val="115"/>
          <w:sz w:val="16"/>
        </w:rPr>
        <w:t xml:space="preserve"> </w:t>
      </w:r>
      <w:r>
        <w:rPr>
          <w:color w:val="231F20"/>
          <w:w w:val="115"/>
          <w:sz w:val="16"/>
        </w:rPr>
        <w:t>44.</w:t>
      </w:r>
    </w:p>
    <w:p w14:paraId="64346403" w14:textId="77777777" w:rsidR="002653E8" w:rsidRDefault="003115E3">
      <w:pPr>
        <w:pStyle w:val="a4"/>
        <w:numPr>
          <w:ilvl w:val="0"/>
          <w:numId w:val="182"/>
        </w:numPr>
        <w:tabs>
          <w:tab w:val="left" w:pos="1287"/>
        </w:tabs>
        <w:spacing w:before="52" w:line="254" w:lineRule="auto"/>
        <w:ind w:right="1528" w:firstLine="0"/>
        <w:jc w:val="left"/>
        <w:rPr>
          <w:sz w:val="16"/>
        </w:rPr>
      </w:pPr>
      <w:r>
        <w:rPr>
          <w:color w:val="231F20"/>
          <w:w w:val="105"/>
          <w:sz w:val="16"/>
        </w:rPr>
        <w:t xml:space="preserve">George Lavy, </w:t>
      </w:r>
      <w:r>
        <w:rPr>
          <w:i/>
          <w:color w:val="231F20"/>
          <w:spacing w:val="2"/>
          <w:w w:val="105"/>
          <w:sz w:val="16"/>
        </w:rPr>
        <w:t xml:space="preserve">Germany </w:t>
      </w:r>
      <w:r>
        <w:rPr>
          <w:i/>
          <w:color w:val="231F20"/>
          <w:spacing w:val="1"/>
          <w:w w:val="105"/>
          <w:sz w:val="16"/>
        </w:rPr>
        <w:t xml:space="preserve">and </w:t>
      </w:r>
      <w:r>
        <w:rPr>
          <w:i/>
          <w:color w:val="231F20"/>
          <w:w w:val="105"/>
          <w:sz w:val="16"/>
        </w:rPr>
        <w:t xml:space="preserve">Israel: Moral Debt </w:t>
      </w:r>
      <w:r>
        <w:rPr>
          <w:i/>
          <w:color w:val="231F20"/>
          <w:spacing w:val="1"/>
          <w:w w:val="105"/>
          <w:sz w:val="16"/>
        </w:rPr>
        <w:t xml:space="preserve">and </w:t>
      </w:r>
      <w:r>
        <w:rPr>
          <w:i/>
          <w:color w:val="231F20"/>
          <w:w w:val="105"/>
          <w:sz w:val="16"/>
        </w:rPr>
        <w:t xml:space="preserve">National Interest </w:t>
      </w:r>
      <w:r>
        <w:rPr>
          <w:color w:val="231F20"/>
          <w:w w:val="105"/>
          <w:sz w:val="16"/>
        </w:rPr>
        <w:t>(London: Frank Cass, 1996),</w:t>
      </w:r>
      <w:r>
        <w:rPr>
          <w:color w:val="231F20"/>
          <w:spacing w:val="26"/>
          <w:w w:val="105"/>
          <w:sz w:val="16"/>
        </w:rPr>
        <w:t xml:space="preserve"> </w:t>
      </w:r>
      <w:r>
        <w:rPr>
          <w:color w:val="231F20"/>
          <w:spacing w:val="-4"/>
          <w:w w:val="105"/>
          <w:sz w:val="16"/>
        </w:rPr>
        <w:t>154.</w:t>
      </w:r>
    </w:p>
    <w:p w14:paraId="48EDADBE" w14:textId="77777777" w:rsidR="002653E8" w:rsidRDefault="002653E8">
      <w:pPr>
        <w:spacing w:line="254" w:lineRule="auto"/>
        <w:rPr>
          <w:sz w:val="16"/>
        </w:rPr>
        <w:sectPr w:rsidR="002653E8">
          <w:pgSz w:w="8640" w:h="12960"/>
          <w:pgMar w:top="1060" w:right="0" w:bottom="1040" w:left="0" w:header="0" w:footer="850" w:gutter="0"/>
          <w:cols w:space="720"/>
        </w:sectPr>
      </w:pPr>
    </w:p>
    <w:p w14:paraId="612F2604" w14:textId="77777777" w:rsidR="002653E8" w:rsidRDefault="003115E3">
      <w:pPr>
        <w:pStyle w:val="a3"/>
        <w:spacing w:before="86" w:line="264" w:lineRule="auto"/>
        <w:ind w:left="1327" w:right="1146" w:firstLine="209"/>
        <w:jc w:val="both"/>
      </w:pPr>
      <w:r>
        <w:rPr>
          <w:color w:val="231F20"/>
          <w:spacing w:val="2"/>
        </w:rPr>
        <w:lastRenderedPageBreak/>
        <w:t xml:space="preserve">An </w:t>
      </w:r>
      <w:r>
        <w:rPr>
          <w:color w:val="231F20"/>
        </w:rPr>
        <w:t xml:space="preserve">uneasy calm reigned in the wake of the June  2 tragedy, and yet  the movement continued to </w:t>
      </w:r>
      <w:r>
        <w:rPr>
          <w:color w:val="231F20"/>
          <w:spacing w:val="-3"/>
        </w:rPr>
        <w:t xml:space="preserve">grow. </w:t>
      </w:r>
      <w:r>
        <w:rPr>
          <w:color w:val="231F20"/>
        </w:rPr>
        <w:t>More radical ideas were gaining currency, and at an SDS conference in September Rudi Dutschke and Hans-Jürgen Krahl went so far as to broach the possibility of the left fielding an urban guerilla. This was the first time such an idea had been mentioned in the SDS or the APO, and for the time being, such talk remained a matter of abstract</w:t>
      </w:r>
      <w:r>
        <w:rPr>
          <w:color w:val="231F20"/>
          <w:spacing w:val="10"/>
        </w:rPr>
        <w:t xml:space="preserve"> </w:t>
      </w:r>
      <w:r>
        <w:rPr>
          <w:color w:val="231F20"/>
        </w:rPr>
        <w:t>conjecture.</w:t>
      </w:r>
    </w:p>
    <w:p w14:paraId="68D2590B" w14:textId="77777777" w:rsidR="002653E8" w:rsidRDefault="003115E3">
      <w:pPr>
        <w:pStyle w:val="a3"/>
        <w:spacing w:line="264" w:lineRule="auto"/>
        <w:ind w:left="1327" w:right="1145" w:firstLine="210"/>
        <w:jc w:val="both"/>
      </w:pPr>
      <w:r>
        <w:rPr>
          <w:color w:val="231F20"/>
        </w:rPr>
        <w:t xml:space="preserve">On February </w:t>
      </w:r>
      <w:r>
        <w:rPr>
          <w:color w:val="231F20"/>
          <w:spacing w:val="-3"/>
        </w:rPr>
        <w:t xml:space="preserve">17 </w:t>
      </w:r>
      <w:r>
        <w:rPr>
          <w:color w:val="231F20"/>
        </w:rPr>
        <w:t xml:space="preserve">and </w:t>
      </w:r>
      <w:r>
        <w:rPr>
          <w:color w:val="231F20"/>
          <w:spacing w:val="-4"/>
        </w:rPr>
        <w:t xml:space="preserve">18, 1968, </w:t>
      </w:r>
      <w:r>
        <w:rPr>
          <w:color w:val="231F20"/>
        </w:rPr>
        <w:t xml:space="preserve">the movement reached what was perhaps its peak when 5,000 people attended the International Congress  on Vietnam in </w:t>
      </w:r>
      <w:r>
        <w:rPr>
          <w:color w:val="231F20"/>
          <w:spacing w:val="-3"/>
        </w:rPr>
        <w:t xml:space="preserve">West </w:t>
      </w:r>
      <w:r>
        <w:rPr>
          <w:color w:val="231F20"/>
        </w:rPr>
        <w:t>Berlin, including representatives of anti-imperialist movements from around the world. Addressing those present, Dutschke called for a “long march through the institutions,” a phrase with which his name is today firmly associated.</w:t>
      </w:r>
      <w:r>
        <w:rPr>
          <w:color w:val="231F20"/>
          <w:position w:val="7"/>
          <w:sz w:val="11"/>
        </w:rPr>
        <w:t xml:space="preserve">6  </w:t>
      </w:r>
      <w:r>
        <w:rPr>
          <w:color w:val="231F20"/>
        </w:rPr>
        <w:t>(By this, the student leader did   not mean joining the system, but rather setting  up  counterinstitu tions while identifying dissatisfied elements within the establishment that might be won over or subverted.)</w:t>
      </w:r>
      <w:r>
        <w:rPr>
          <w:color w:val="231F20"/>
          <w:position w:val="7"/>
          <w:sz w:val="11"/>
        </w:rPr>
        <w:t xml:space="preserve">7 </w:t>
      </w:r>
      <w:r>
        <w:rPr>
          <w:color w:val="231F20"/>
        </w:rPr>
        <w:t>The congress closed with</w:t>
      </w:r>
      <w:r>
        <w:rPr>
          <w:color w:val="231F20"/>
          <w:spacing w:val="22"/>
        </w:rPr>
        <w:t xml:space="preserve"> </w:t>
      </w:r>
      <w:r>
        <w:rPr>
          <w:color w:val="231F20"/>
        </w:rPr>
        <w:t>a</w:t>
      </w:r>
    </w:p>
    <w:p w14:paraId="68AEE2EB" w14:textId="77777777" w:rsidR="002653E8" w:rsidRDefault="00000000">
      <w:pPr>
        <w:pStyle w:val="a3"/>
        <w:spacing w:before="10"/>
        <w:rPr>
          <w:sz w:val="10"/>
        </w:rPr>
      </w:pPr>
      <w:r>
        <w:rPr>
          <w:noProof w:val="0"/>
        </w:rPr>
        <w:pict w14:anchorId="1DD38952">
          <v:group id="_x0000_s2667" style="position:absolute;margin-left:85.65pt;margin-top:8.3pt;width:270.1pt;height:196.3pt;z-index:2248;mso-wrap-distance-left:0;mso-wrap-distance-right:0;mso-position-horizontal-relative:page" coordorigin="1713,166" coordsize="5402,3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670" type="#_x0000_t75" style="position:absolute;left:1824;top:320;width:5171;height:3662">
              <v:imagedata r:id="rId49" o:title=""/>
            </v:shape>
            <v:rect id="_x0000_s2669" style="position:absolute;left:1723;top:176;width:5382;height:3906" filled="f" strokecolor="#231f20" strokeweight="1pt"/>
            <v:shape id="_x0000_s2668" type="#_x0000_t75" style="position:absolute;left:1807;top:938;width:2858;height:3088">
              <v:imagedata r:id="rId50" o:title=""/>
            </v:shape>
            <w10:wrap type="topAndBottom" anchorx="page"/>
          </v:group>
        </w:pict>
      </w:r>
      <w:r>
        <w:rPr>
          <w:noProof w:val="0"/>
        </w:rPr>
        <w:pict w14:anchorId="5747E1F5">
          <v:line id="_x0000_s2666" style="position:absolute;z-index:2272;mso-wrap-distance-left:0;mso-wrap-distance-right:0;mso-position-horizontal-relative:page" from="66.4pt,221.3pt" to="138.4pt,221.3pt" strokecolor="#231f20" strokeweight=".5pt">
            <w10:wrap type="topAndBottom" anchorx="page"/>
          </v:line>
        </w:pict>
      </w:r>
    </w:p>
    <w:p w14:paraId="18444F1A" w14:textId="77777777" w:rsidR="002653E8" w:rsidRDefault="002653E8">
      <w:pPr>
        <w:pStyle w:val="a3"/>
        <w:spacing w:before="2"/>
        <w:rPr>
          <w:sz w:val="22"/>
        </w:rPr>
      </w:pPr>
    </w:p>
    <w:p w14:paraId="0F9B6A58" w14:textId="77777777" w:rsidR="002653E8" w:rsidRDefault="003115E3">
      <w:pPr>
        <w:pStyle w:val="a4"/>
        <w:numPr>
          <w:ilvl w:val="0"/>
          <w:numId w:val="182"/>
        </w:numPr>
        <w:tabs>
          <w:tab w:val="left" w:pos="1467"/>
        </w:tabs>
        <w:spacing w:before="53" w:line="254" w:lineRule="auto"/>
        <w:ind w:left="1327" w:right="1561" w:firstLine="0"/>
        <w:jc w:val="left"/>
        <w:rPr>
          <w:sz w:val="16"/>
        </w:rPr>
      </w:pPr>
      <w:r>
        <w:rPr>
          <w:color w:val="231F20"/>
          <w:w w:val="110"/>
          <w:sz w:val="16"/>
        </w:rPr>
        <w:t xml:space="preserve">Tariq </w:t>
      </w:r>
      <w:r>
        <w:rPr>
          <w:color w:val="231F20"/>
          <w:spacing w:val="1"/>
          <w:w w:val="110"/>
          <w:sz w:val="16"/>
        </w:rPr>
        <w:t xml:space="preserve">Ali, </w:t>
      </w:r>
      <w:r>
        <w:rPr>
          <w:i/>
          <w:color w:val="231F20"/>
          <w:w w:val="110"/>
          <w:sz w:val="16"/>
        </w:rPr>
        <w:t xml:space="preserve">Street fighting Years: </w:t>
      </w:r>
      <w:r>
        <w:rPr>
          <w:i/>
          <w:color w:val="231F20"/>
          <w:spacing w:val="1"/>
          <w:w w:val="110"/>
          <w:sz w:val="16"/>
        </w:rPr>
        <w:t xml:space="preserve">An </w:t>
      </w:r>
      <w:r>
        <w:rPr>
          <w:i/>
          <w:color w:val="231F20"/>
          <w:w w:val="110"/>
          <w:sz w:val="16"/>
        </w:rPr>
        <w:t xml:space="preserve">Autobiography of the Sixties </w:t>
      </w:r>
      <w:r>
        <w:rPr>
          <w:color w:val="231F20"/>
          <w:w w:val="110"/>
          <w:sz w:val="16"/>
        </w:rPr>
        <w:t xml:space="preserve">(New </w:t>
      </w:r>
      <w:r>
        <w:rPr>
          <w:color w:val="231F20"/>
          <w:spacing w:val="-3"/>
          <w:w w:val="110"/>
          <w:sz w:val="16"/>
        </w:rPr>
        <w:t xml:space="preserve">york: </w:t>
      </w:r>
      <w:r>
        <w:rPr>
          <w:color w:val="231F20"/>
          <w:w w:val="110"/>
          <w:sz w:val="16"/>
        </w:rPr>
        <w:t>Verso, 2005),</w:t>
      </w:r>
      <w:r>
        <w:rPr>
          <w:color w:val="231F20"/>
          <w:spacing w:val="10"/>
          <w:w w:val="110"/>
          <w:sz w:val="16"/>
        </w:rPr>
        <w:t xml:space="preserve"> </w:t>
      </w:r>
      <w:r>
        <w:rPr>
          <w:color w:val="231F20"/>
          <w:w w:val="110"/>
          <w:sz w:val="16"/>
        </w:rPr>
        <w:t>243.</w:t>
      </w:r>
    </w:p>
    <w:p w14:paraId="584B79E6" w14:textId="77777777" w:rsidR="002653E8" w:rsidRDefault="003115E3">
      <w:pPr>
        <w:pStyle w:val="a4"/>
        <w:numPr>
          <w:ilvl w:val="0"/>
          <w:numId w:val="182"/>
        </w:numPr>
        <w:tabs>
          <w:tab w:val="left" w:pos="1467"/>
        </w:tabs>
        <w:spacing w:line="254" w:lineRule="auto"/>
        <w:ind w:left="1327" w:right="1171" w:firstLine="0"/>
        <w:jc w:val="left"/>
        <w:rPr>
          <w:sz w:val="16"/>
        </w:rPr>
      </w:pPr>
      <w:r>
        <w:rPr>
          <w:color w:val="231F20"/>
          <w:spacing w:val="1"/>
          <w:w w:val="105"/>
          <w:sz w:val="16"/>
        </w:rPr>
        <w:t xml:space="preserve">While </w:t>
      </w:r>
      <w:r>
        <w:rPr>
          <w:color w:val="231F20"/>
          <w:w w:val="105"/>
          <w:sz w:val="16"/>
        </w:rPr>
        <w:t xml:space="preserve">one cannot mention Dutschke today without referring to the “long march,” the phrase is interpreted wildly differently by different writers. The description offered here is Herbert Marcuse’s, as it appeared in his 1972 essay “The </w:t>
      </w:r>
      <w:r>
        <w:rPr>
          <w:color w:val="231F20"/>
          <w:spacing w:val="1"/>
          <w:w w:val="105"/>
          <w:sz w:val="16"/>
        </w:rPr>
        <w:t xml:space="preserve">Left </w:t>
      </w:r>
      <w:r>
        <w:rPr>
          <w:color w:val="231F20"/>
          <w:w w:val="105"/>
          <w:sz w:val="16"/>
        </w:rPr>
        <w:t>Under the</w:t>
      </w:r>
      <w:r>
        <w:rPr>
          <w:color w:val="231F20"/>
          <w:spacing w:val="6"/>
          <w:w w:val="105"/>
          <w:sz w:val="16"/>
        </w:rPr>
        <w:t xml:space="preserve"> </w:t>
      </w:r>
      <w:r>
        <w:rPr>
          <w:color w:val="231F20"/>
          <w:w w:val="105"/>
          <w:sz w:val="16"/>
        </w:rPr>
        <w:t>Counterrevolution”</w:t>
      </w:r>
      <w:r>
        <w:rPr>
          <w:color w:val="231F20"/>
          <w:spacing w:val="6"/>
          <w:w w:val="105"/>
          <w:sz w:val="16"/>
        </w:rPr>
        <w:t xml:space="preserve"> </w:t>
      </w:r>
      <w:r>
        <w:rPr>
          <w:color w:val="231F20"/>
          <w:w w:val="105"/>
          <w:sz w:val="16"/>
        </w:rPr>
        <w:t>in</w:t>
      </w:r>
      <w:r>
        <w:rPr>
          <w:color w:val="231F20"/>
          <w:spacing w:val="6"/>
          <w:w w:val="105"/>
          <w:sz w:val="16"/>
        </w:rPr>
        <w:t xml:space="preserve"> </w:t>
      </w:r>
      <w:r>
        <w:rPr>
          <w:color w:val="231F20"/>
          <w:w w:val="105"/>
          <w:sz w:val="16"/>
        </w:rPr>
        <w:t>which</w:t>
      </w:r>
      <w:r>
        <w:rPr>
          <w:color w:val="231F20"/>
          <w:spacing w:val="6"/>
          <w:w w:val="105"/>
          <w:sz w:val="16"/>
        </w:rPr>
        <w:t xml:space="preserve"> </w:t>
      </w:r>
      <w:r>
        <w:rPr>
          <w:color w:val="231F20"/>
          <w:w w:val="105"/>
          <w:sz w:val="16"/>
        </w:rPr>
        <w:t>he</w:t>
      </w:r>
      <w:r>
        <w:rPr>
          <w:color w:val="231F20"/>
          <w:spacing w:val="6"/>
          <w:w w:val="105"/>
          <w:sz w:val="16"/>
        </w:rPr>
        <w:t xml:space="preserve"> </w:t>
      </w:r>
      <w:r>
        <w:rPr>
          <w:color w:val="231F20"/>
          <w:w w:val="105"/>
          <w:sz w:val="16"/>
        </w:rPr>
        <w:t>endorsed</w:t>
      </w:r>
      <w:r>
        <w:rPr>
          <w:color w:val="231F20"/>
          <w:spacing w:val="6"/>
          <w:w w:val="105"/>
          <w:sz w:val="16"/>
        </w:rPr>
        <w:t xml:space="preserve"> </w:t>
      </w:r>
      <w:r>
        <w:rPr>
          <w:color w:val="231F20"/>
          <w:w w:val="105"/>
          <w:sz w:val="16"/>
        </w:rPr>
        <w:t>the</w:t>
      </w:r>
      <w:r>
        <w:rPr>
          <w:color w:val="231F20"/>
          <w:spacing w:val="6"/>
          <w:w w:val="105"/>
          <w:sz w:val="16"/>
        </w:rPr>
        <w:t xml:space="preserve"> </w:t>
      </w:r>
      <w:r>
        <w:rPr>
          <w:color w:val="231F20"/>
          <w:w w:val="105"/>
          <w:sz w:val="16"/>
        </w:rPr>
        <w:t>concept</w:t>
      </w:r>
      <w:r>
        <w:rPr>
          <w:color w:val="231F20"/>
          <w:spacing w:val="6"/>
          <w:w w:val="105"/>
          <w:sz w:val="16"/>
        </w:rPr>
        <w:t xml:space="preserve"> </w:t>
      </w:r>
      <w:r>
        <w:rPr>
          <w:color w:val="231F20"/>
          <w:w w:val="105"/>
          <w:sz w:val="16"/>
        </w:rPr>
        <w:t>while</w:t>
      </w:r>
      <w:r>
        <w:rPr>
          <w:color w:val="231F20"/>
          <w:spacing w:val="6"/>
          <w:w w:val="105"/>
          <w:sz w:val="16"/>
        </w:rPr>
        <w:t xml:space="preserve"> </w:t>
      </w:r>
      <w:r>
        <w:rPr>
          <w:color w:val="231F20"/>
          <w:w w:val="105"/>
          <w:sz w:val="16"/>
        </w:rPr>
        <w:t>crediting</w:t>
      </w:r>
      <w:r>
        <w:rPr>
          <w:color w:val="231F20"/>
          <w:spacing w:val="6"/>
          <w:w w:val="105"/>
          <w:sz w:val="16"/>
        </w:rPr>
        <w:t xml:space="preserve"> </w:t>
      </w:r>
      <w:r>
        <w:rPr>
          <w:color w:val="231F20"/>
          <w:w w:val="105"/>
          <w:sz w:val="16"/>
        </w:rPr>
        <w:t>it</w:t>
      </w:r>
      <w:r>
        <w:rPr>
          <w:color w:val="231F20"/>
          <w:spacing w:val="6"/>
          <w:w w:val="105"/>
          <w:sz w:val="16"/>
        </w:rPr>
        <w:t xml:space="preserve"> </w:t>
      </w:r>
      <w:r>
        <w:rPr>
          <w:color w:val="231F20"/>
          <w:w w:val="105"/>
          <w:sz w:val="16"/>
        </w:rPr>
        <w:t>to</w:t>
      </w:r>
    </w:p>
    <w:p w14:paraId="629054C7" w14:textId="77777777" w:rsidR="002653E8" w:rsidRDefault="003115E3">
      <w:pPr>
        <w:spacing w:before="1"/>
        <w:ind w:left="1327"/>
        <w:rPr>
          <w:i/>
          <w:sz w:val="16"/>
        </w:rPr>
      </w:pPr>
      <w:r>
        <w:rPr>
          <w:color w:val="231F20"/>
          <w:w w:val="105"/>
          <w:sz w:val="16"/>
        </w:rPr>
        <w:t xml:space="preserve">his former student Dutschke. [Herbert Marcuse, </w:t>
      </w:r>
      <w:r>
        <w:rPr>
          <w:i/>
          <w:color w:val="231F20"/>
          <w:w w:val="105"/>
          <w:sz w:val="16"/>
        </w:rPr>
        <w:t>Counterrevolution and Revolt</w:t>
      </w:r>
    </w:p>
    <w:p w14:paraId="56114988" w14:textId="77777777" w:rsidR="002653E8" w:rsidRDefault="003115E3">
      <w:pPr>
        <w:spacing w:before="12"/>
        <w:ind w:left="1327"/>
        <w:rPr>
          <w:sz w:val="16"/>
        </w:rPr>
      </w:pPr>
      <w:r>
        <w:rPr>
          <w:color w:val="231F20"/>
          <w:w w:val="105"/>
          <w:sz w:val="16"/>
        </w:rPr>
        <w:t>(Boston: Beacon Press, 1989), 55-57]</w:t>
      </w:r>
    </w:p>
    <w:p w14:paraId="703ECE2E" w14:textId="77777777" w:rsidR="002653E8" w:rsidRDefault="002653E8">
      <w:pPr>
        <w:rPr>
          <w:sz w:val="16"/>
        </w:rPr>
        <w:sectPr w:rsidR="002653E8">
          <w:pgSz w:w="8640" w:h="12960"/>
          <w:pgMar w:top="1060" w:right="0" w:bottom="1040" w:left="0" w:header="0" w:footer="850" w:gutter="0"/>
          <w:cols w:space="720"/>
        </w:sectPr>
      </w:pPr>
    </w:p>
    <w:p w14:paraId="3478AA81" w14:textId="77777777" w:rsidR="002653E8" w:rsidRDefault="003115E3">
      <w:pPr>
        <w:pStyle w:val="a3"/>
        <w:spacing w:before="86" w:line="264" w:lineRule="auto"/>
        <w:ind w:left="1212" w:right="1325"/>
        <w:jc w:val="right"/>
      </w:pPr>
      <w:r>
        <w:rPr>
          <w:color w:val="231F20"/>
        </w:rPr>
        <w:lastRenderedPageBreak/>
        <w:t>demonstration of more than 12,000 people, and would be remembered years later as an important breakthrough for the entire European left.</w:t>
      </w:r>
      <w:r>
        <w:rPr>
          <w:color w:val="231F20"/>
          <w:position w:val="7"/>
          <w:sz w:val="11"/>
        </w:rPr>
        <w:t>1</w:t>
      </w:r>
      <w:r>
        <w:rPr>
          <w:color w:val="231F20"/>
          <w:w w:val="106"/>
          <w:position w:val="7"/>
          <w:sz w:val="11"/>
        </w:rPr>
        <w:t xml:space="preserve"> </w:t>
      </w:r>
      <w:r>
        <w:rPr>
          <w:color w:val="231F20"/>
        </w:rPr>
        <w:t>The establishment mounted its response on February 21, as the West</w:t>
      </w:r>
      <w:r>
        <w:rPr>
          <w:color w:val="231F20"/>
          <w:w w:val="98"/>
        </w:rPr>
        <w:t xml:space="preserve"> </w:t>
      </w:r>
      <w:r>
        <w:rPr>
          <w:color w:val="231F20"/>
        </w:rPr>
        <w:t>Berlin Senate, the Federation of Trade Unions, and the Springer Press</w:t>
      </w:r>
      <w:r>
        <w:rPr>
          <w:color w:val="231F20"/>
          <w:w w:val="90"/>
        </w:rPr>
        <w:t xml:space="preserve"> </w:t>
      </w:r>
      <w:r>
        <w:rPr>
          <w:color w:val="231F20"/>
        </w:rPr>
        <w:t>called for a mass demonstration against the student movement and in</w:t>
      </w:r>
      <w:r>
        <w:rPr>
          <w:color w:val="231F20"/>
          <w:w w:val="99"/>
        </w:rPr>
        <w:t xml:space="preserve"> </w:t>
      </w:r>
      <w:r>
        <w:rPr>
          <w:color w:val="231F20"/>
        </w:rPr>
        <w:t>support of the U.S. war against Vietnam. Eighty thousand people attended, many carrying signs reading “Rudi Dutschke: Public Enemy</w:t>
      </w:r>
    </w:p>
    <w:p w14:paraId="1431F101" w14:textId="77777777" w:rsidR="002653E8" w:rsidRDefault="003115E3">
      <w:pPr>
        <w:pStyle w:val="a3"/>
        <w:spacing w:line="227" w:lineRule="exact"/>
        <w:ind w:left="1147"/>
      </w:pPr>
      <w:r>
        <w:rPr>
          <w:color w:val="231F20"/>
          <w:w w:val="105"/>
        </w:rPr>
        <w:t>Number One” and “Berlin Must Not Become Saigon.”</w:t>
      </w:r>
    </w:p>
    <w:p w14:paraId="5AF77A8B" w14:textId="77777777" w:rsidR="002653E8" w:rsidRDefault="003115E3">
      <w:pPr>
        <w:pStyle w:val="a3"/>
        <w:spacing w:before="23" w:line="264" w:lineRule="auto"/>
        <w:ind w:left="1147" w:right="1327" w:firstLine="210"/>
        <w:jc w:val="both"/>
      </w:pPr>
      <w:r>
        <w:rPr>
          <w:color w:val="231F20"/>
        </w:rPr>
        <w:t>Increasing polarization was leading to a definitive explosion: less than one year after Ohnesorg’s murder, another violent attack on the left served as the</w:t>
      </w:r>
      <w:r>
        <w:rPr>
          <w:color w:val="231F20"/>
          <w:spacing w:val="41"/>
        </w:rPr>
        <w:t xml:space="preserve"> </w:t>
      </w:r>
      <w:r>
        <w:rPr>
          <w:color w:val="231F20"/>
        </w:rPr>
        <w:t>spark.</w:t>
      </w:r>
    </w:p>
    <w:p w14:paraId="632515C3" w14:textId="77777777" w:rsidR="002653E8" w:rsidRDefault="003115E3">
      <w:pPr>
        <w:pStyle w:val="a3"/>
        <w:spacing w:line="264" w:lineRule="auto"/>
        <w:ind w:left="1147" w:right="1325" w:firstLine="210"/>
        <w:jc w:val="both"/>
        <w:rPr>
          <w:sz w:val="11"/>
        </w:rPr>
      </w:pPr>
      <w:r>
        <w:rPr>
          <w:color w:val="231F20"/>
        </w:rPr>
        <w:t xml:space="preserve">On April </w:t>
      </w:r>
      <w:r>
        <w:rPr>
          <w:color w:val="231F20"/>
          <w:spacing w:val="-4"/>
        </w:rPr>
        <w:t xml:space="preserve">11, 1968, </w:t>
      </w:r>
      <w:r>
        <w:rPr>
          <w:color w:val="231F20"/>
        </w:rPr>
        <w:t xml:space="preserve">Josef Bachmann, a young right-wing worker, shot Rudi Dutschke three times, once in the head, once in the </w:t>
      </w:r>
      <w:r>
        <w:rPr>
          <w:color w:val="231F20"/>
          <w:spacing w:val="-4"/>
        </w:rPr>
        <w:t xml:space="preserve">jaw, </w:t>
      </w:r>
      <w:r>
        <w:rPr>
          <w:color w:val="231F20"/>
        </w:rPr>
        <w:t xml:space="preserve">and once  in the chest. Dutschke, who was recognized as the leading intellectual in the SDS and the APO, had been the target of a massive anticommunist smear campaign in the media, particularly the Springer Press, which would be widely blamed for setting the stage for the attack. Indeed, Bachmann would later testify in this regard, saying, “I have taken my daily information from the </w:t>
      </w:r>
      <w:r>
        <w:rPr>
          <w:i/>
          <w:color w:val="231F20"/>
        </w:rPr>
        <w:t>Bild</w:t>
      </w:r>
      <w:r>
        <w:rPr>
          <w:i/>
          <w:color w:val="231F20"/>
          <w:spacing w:val="25"/>
        </w:rPr>
        <w:t xml:space="preserve"> </w:t>
      </w:r>
      <w:r>
        <w:rPr>
          <w:i/>
          <w:color w:val="231F20"/>
        </w:rPr>
        <w:t>Zeitung</w:t>
      </w:r>
      <w:r>
        <w:rPr>
          <w:color w:val="231F20"/>
        </w:rPr>
        <w:t>.”</w:t>
      </w:r>
      <w:r>
        <w:rPr>
          <w:color w:val="231F20"/>
          <w:position w:val="7"/>
          <w:sz w:val="11"/>
        </w:rPr>
        <w:t>2</w:t>
      </w:r>
    </w:p>
    <w:p w14:paraId="20C0CFEE" w14:textId="77777777" w:rsidR="002653E8" w:rsidRDefault="003115E3">
      <w:pPr>
        <w:pStyle w:val="a3"/>
        <w:spacing w:line="264" w:lineRule="auto"/>
        <w:ind w:left="1147" w:right="1326" w:firstLine="210"/>
        <w:jc w:val="both"/>
      </w:pPr>
      <w:r>
        <w:rPr>
          <w:color w:val="231F20"/>
        </w:rPr>
        <w:t xml:space="preserve">The shooting occurred one week after </w:t>
      </w:r>
      <w:r>
        <w:rPr>
          <w:color w:val="231F20"/>
          <w:spacing w:val="1"/>
        </w:rPr>
        <w:t xml:space="preserve">Martin </w:t>
      </w:r>
      <w:r>
        <w:rPr>
          <w:color w:val="231F20"/>
        </w:rPr>
        <w:t>Luther King had been assassinated in the United States, and to many young German leftists,    it appeared that their entire international movement was under attack. One young working-class rebel, like Dutschke a refugee from the East, summed up how he felt as</w:t>
      </w:r>
      <w:r>
        <w:rPr>
          <w:color w:val="231F20"/>
          <w:spacing w:val="20"/>
        </w:rPr>
        <w:t xml:space="preserve"> </w:t>
      </w:r>
      <w:r>
        <w:rPr>
          <w:color w:val="231F20"/>
        </w:rPr>
        <w:t>follows:</w:t>
      </w:r>
    </w:p>
    <w:p w14:paraId="1FF59B21" w14:textId="77777777" w:rsidR="002653E8" w:rsidRDefault="003115E3">
      <w:pPr>
        <w:spacing w:before="111" w:line="276" w:lineRule="auto"/>
        <w:ind w:left="1567" w:right="1745"/>
        <w:jc w:val="both"/>
        <w:rPr>
          <w:i/>
          <w:sz w:val="11"/>
        </w:rPr>
      </w:pPr>
      <w:r>
        <w:rPr>
          <w:i/>
          <w:color w:val="231F20"/>
          <w:w w:val="105"/>
          <w:sz w:val="19"/>
        </w:rPr>
        <w:t xml:space="preserve">Up to this point they had come with the little police clubs or     Mr </w:t>
      </w:r>
      <w:r>
        <w:rPr>
          <w:i/>
          <w:color w:val="231F20"/>
          <w:spacing w:val="-3"/>
          <w:w w:val="105"/>
          <w:sz w:val="19"/>
        </w:rPr>
        <w:t xml:space="preserve">Kuras </w:t>
      </w:r>
      <w:r>
        <w:rPr>
          <w:i/>
          <w:color w:val="231F20"/>
          <w:w w:val="105"/>
          <w:sz w:val="19"/>
        </w:rPr>
        <w:t xml:space="preserve">(sic) shot; but now it had started, with people being offed specifically. The general baiting had created a climate in which little pranks wouldn’t work anymore. Not when they’re going to liquidate you, regardless of what you do. Before I get transported to Auschwitz again, </w:t>
      </w:r>
      <w:r>
        <w:rPr>
          <w:i/>
          <w:color w:val="231F20"/>
          <w:spacing w:val="-5"/>
          <w:w w:val="105"/>
          <w:sz w:val="19"/>
        </w:rPr>
        <w:t xml:space="preserve">I’d </w:t>
      </w:r>
      <w:r>
        <w:rPr>
          <w:i/>
          <w:color w:val="231F20"/>
          <w:w w:val="105"/>
          <w:sz w:val="19"/>
        </w:rPr>
        <w:t xml:space="preserve">rather shoot first, </w:t>
      </w:r>
      <w:r>
        <w:rPr>
          <w:i/>
          <w:color w:val="231F20"/>
          <w:spacing w:val="-3"/>
          <w:w w:val="105"/>
          <w:sz w:val="19"/>
        </w:rPr>
        <w:t>that’s</w:t>
      </w:r>
      <w:r>
        <w:rPr>
          <w:i/>
          <w:color w:val="231F20"/>
          <w:spacing w:val="-22"/>
          <w:w w:val="105"/>
          <w:sz w:val="19"/>
        </w:rPr>
        <w:t xml:space="preserve"> </w:t>
      </w:r>
      <w:r>
        <w:rPr>
          <w:i/>
          <w:color w:val="231F20"/>
          <w:w w:val="105"/>
          <w:sz w:val="19"/>
        </w:rPr>
        <w:t xml:space="preserve">clear </w:t>
      </w:r>
      <w:r>
        <w:rPr>
          <w:i/>
          <w:color w:val="231F20"/>
          <w:spacing w:val="-5"/>
          <w:w w:val="105"/>
          <w:sz w:val="19"/>
        </w:rPr>
        <w:t xml:space="preserve">now. </w:t>
      </w:r>
      <w:r>
        <w:rPr>
          <w:i/>
          <w:color w:val="231F20"/>
          <w:w w:val="105"/>
          <w:sz w:val="19"/>
        </w:rPr>
        <w:t xml:space="preserve">If the gallows is smiling at you at the end </w:t>
      </w:r>
      <w:r>
        <w:rPr>
          <w:i/>
          <w:color w:val="231F20"/>
          <w:spacing w:val="-5"/>
          <w:w w:val="105"/>
          <w:sz w:val="19"/>
        </w:rPr>
        <w:t xml:space="preserve">anyway, </w:t>
      </w:r>
      <w:r>
        <w:rPr>
          <w:i/>
          <w:color w:val="231F20"/>
          <w:w w:val="105"/>
          <w:sz w:val="19"/>
        </w:rPr>
        <w:t>then you can fight back</w:t>
      </w:r>
      <w:r>
        <w:rPr>
          <w:i/>
          <w:color w:val="231F20"/>
          <w:spacing w:val="20"/>
          <w:w w:val="105"/>
          <w:sz w:val="19"/>
        </w:rPr>
        <w:t xml:space="preserve"> </w:t>
      </w:r>
      <w:r>
        <w:rPr>
          <w:i/>
          <w:color w:val="231F20"/>
          <w:w w:val="105"/>
          <w:sz w:val="19"/>
        </w:rPr>
        <w:t>beforehand.</w:t>
      </w:r>
      <w:r>
        <w:rPr>
          <w:i/>
          <w:color w:val="231F20"/>
          <w:w w:val="105"/>
          <w:position w:val="6"/>
          <w:sz w:val="11"/>
        </w:rPr>
        <w:t>3</w:t>
      </w:r>
    </w:p>
    <w:p w14:paraId="2C4D0746" w14:textId="77777777" w:rsidR="002653E8" w:rsidRDefault="003115E3">
      <w:pPr>
        <w:pStyle w:val="a3"/>
        <w:spacing w:before="134" w:line="264" w:lineRule="auto"/>
        <w:ind w:left="1212" w:right="1326"/>
        <w:jc w:val="right"/>
      </w:pPr>
      <w:r>
        <w:rPr>
          <w:color w:val="231F20"/>
        </w:rPr>
        <w:t>Bachmann had carried out his attack on the Thursday before Easter,</w:t>
      </w:r>
      <w:r>
        <w:rPr>
          <w:color w:val="231F20"/>
          <w:w w:val="135"/>
        </w:rPr>
        <w:t xml:space="preserve"> </w:t>
      </w:r>
      <w:r>
        <w:rPr>
          <w:color w:val="231F20"/>
        </w:rPr>
        <w:t>and the annual peace demonstrations were quickly transformed into</w:t>
      </w:r>
    </w:p>
    <w:p w14:paraId="221CCA72" w14:textId="77777777" w:rsidR="002653E8" w:rsidRDefault="00000000">
      <w:pPr>
        <w:pStyle w:val="a3"/>
        <w:spacing w:before="3"/>
        <w:rPr>
          <w:sz w:val="23"/>
        </w:rPr>
      </w:pPr>
      <w:r>
        <w:rPr>
          <w:noProof w:val="0"/>
        </w:rPr>
        <w:pict w14:anchorId="7BB465AB">
          <v:line id="_x0000_s2665" style="position:absolute;z-index:2296;mso-wrap-distance-left:0;mso-wrap-distance-right:0;mso-position-horizontal-relative:page" from="57.4pt,15.85pt" to="129.4pt,15.85pt" strokecolor="#231f20" strokeweight=".5pt">
            <w10:wrap type="topAndBottom" anchorx="page"/>
          </v:line>
        </w:pict>
      </w:r>
    </w:p>
    <w:p w14:paraId="458F2BDD" w14:textId="77777777" w:rsidR="002653E8" w:rsidRDefault="003115E3">
      <w:pPr>
        <w:spacing w:before="53"/>
        <w:ind w:left="1147"/>
        <w:rPr>
          <w:sz w:val="16"/>
        </w:rPr>
      </w:pPr>
      <w:r>
        <w:rPr>
          <w:color w:val="231F20"/>
          <w:w w:val="115"/>
          <w:sz w:val="16"/>
        </w:rPr>
        <w:t>1 Ali, 246.</w:t>
      </w:r>
    </w:p>
    <w:p w14:paraId="20929CD2" w14:textId="77777777" w:rsidR="002653E8" w:rsidRDefault="003115E3">
      <w:pPr>
        <w:pStyle w:val="a4"/>
        <w:numPr>
          <w:ilvl w:val="0"/>
          <w:numId w:val="181"/>
        </w:numPr>
        <w:tabs>
          <w:tab w:val="left" w:pos="1287"/>
        </w:tabs>
        <w:spacing w:before="51"/>
        <w:ind w:firstLine="0"/>
        <w:jc w:val="left"/>
        <w:rPr>
          <w:sz w:val="16"/>
        </w:rPr>
      </w:pPr>
      <w:r>
        <w:rPr>
          <w:color w:val="231F20"/>
          <w:w w:val="110"/>
          <w:sz w:val="16"/>
        </w:rPr>
        <w:t>Thomas,</w:t>
      </w:r>
      <w:r>
        <w:rPr>
          <w:color w:val="231F20"/>
          <w:spacing w:val="5"/>
          <w:w w:val="110"/>
          <w:sz w:val="16"/>
        </w:rPr>
        <w:t xml:space="preserve"> </w:t>
      </w:r>
      <w:r>
        <w:rPr>
          <w:color w:val="231F20"/>
          <w:w w:val="110"/>
          <w:sz w:val="16"/>
        </w:rPr>
        <w:t>170.</w:t>
      </w:r>
    </w:p>
    <w:p w14:paraId="3396EE78" w14:textId="77777777" w:rsidR="002653E8" w:rsidRDefault="003115E3">
      <w:pPr>
        <w:pStyle w:val="a4"/>
        <w:numPr>
          <w:ilvl w:val="0"/>
          <w:numId w:val="181"/>
        </w:numPr>
        <w:tabs>
          <w:tab w:val="left" w:pos="1287"/>
        </w:tabs>
        <w:spacing w:before="52" w:line="254" w:lineRule="auto"/>
        <w:ind w:right="1725" w:firstLine="0"/>
        <w:jc w:val="left"/>
        <w:rPr>
          <w:sz w:val="16"/>
        </w:rPr>
      </w:pPr>
      <w:r>
        <w:rPr>
          <w:color w:val="231F20"/>
          <w:spacing w:val="1"/>
          <w:w w:val="105"/>
          <w:sz w:val="16"/>
        </w:rPr>
        <w:t xml:space="preserve">Bommi Baumann, </w:t>
      </w:r>
      <w:r>
        <w:rPr>
          <w:i/>
          <w:color w:val="231F20"/>
          <w:w w:val="105"/>
          <w:sz w:val="16"/>
        </w:rPr>
        <w:t xml:space="preserve">Terror or Love? The Personal Account of a West </w:t>
      </w:r>
      <w:r>
        <w:rPr>
          <w:i/>
          <w:color w:val="231F20"/>
          <w:spacing w:val="2"/>
          <w:w w:val="105"/>
          <w:sz w:val="16"/>
        </w:rPr>
        <w:t xml:space="preserve">German </w:t>
      </w:r>
      <w:r>
        <w:rPr>
          <w:i/>
          <w:color w:val="231F20"/>
          <w:w w:val="105"/>
          <w:sz w:val="16"/>
        </w:rPr>
        <w:t xml:space="preserve">Urban </w:t>
      </w:r>
      <w:r>
        <w:rPr>
          <w:i/>
          <w:color w:val="231F20"/>
          <w:spacing w:val="1"/>
          <w:w w:val="105"/>
          <w:sz w:val="16"/>
        </w:rPr>
        <w:t xml:space="preserve">Guerilla </w:t>
      </w:r>
      <w:r>
        <w:rPr>
          <w:color w:val="231F20"/>
          <w:w w:val="105"/>
          <w:sz w:val="16"/>
        </w:rPr>
        <w:t xml:space="preserve">(London: John Calder Publications, </w:t>
      </w:r>
      <w:r>
        <w:rPr>
          <w:color w:val="231F20"/>
          <w:spacing w:val="-3"/>
          <w:w w:val="105"/>
          <w:sz w:val="16"/>
        </w:rPr>
        <w:t>1979),</w:t>
      </w:r>
      <w:r>
        <w:rPr>
          <w:color w:val="231F20"/>
          <w:spacing w:val="15"/>
          <w:w w:val="105"/>
          <w:sz w:val="16"/>
        </w:rPr>
        <w:t xml:space="preserve"> </w:t>
      </w:r>
      <w:r>
        <w:rPr>
          <w:color w:val="231F20"/>
          <w:w w:val="105"/>
          <w:sz w:val="16"/>
        </w:rPr>
        <w:t>41.</w:t>
      </w:r>
    </w:p>
    <w:p w14:paraId="404744B1" w14:textId="77777777" w:rsidR="002653E8" w:rsidRDefault="002653E8">
      <w:pPr>
        <w:spacing w:line="254" w:lineRule="auto"/>
        <w:rPr>
          <w:sz w:val="16"/>
        </w:rPr>
        <w:sectPr w:rsidR="002653E8">
          <w:pgSz w:w="8640" w:h="12960"/>
          <w:pgMar w:top="1060" w:right="0" w:bottom="1040" w:left="0" w:header="0" w:footer="850" w:gutter="0"/>
          <w:cols w:space="720"/>
        </w:sectPr>
      </w:pPr>
    </w:p>
    <w:p w14:paraId="0922FEA4" w14:textId="77777777" w:rsidR="002653E8" w:rsidRDefault="003115E3">
      <w:pPr>
        <w:pStyle w:val="a3"/>
        <w:spacing w:before="86" w:line="264" w:lineRule="auto"/>
        <w:ind w:left="1327"/>
        <w:jc w:val="both"/>
      </w:pPr>
      <w:r>
        <w:rPr>
          <w:color w:val="231F20"/>
        </w:rPr>
        <w:lastRenderedPageBreak/>
        <w:t xml:space="preserve">protests against the assassination attempt; it has been estimated that 300,000 people participated in the marches over the weekend, the largest figure achieved in </w:t>
      </w:r>
      <w:r>
        <w:rPr>
          <w:color w:val="231F20"/>
          <w:spacing w:val="-3"/>
        </w:rPr>
        <w:t xml:space="preserve">West </w:t>
      </w:r>
      <w:r>
        <w:rPr>
          <w:color w:val="231F20"/>
        </w:rPr>
        <w:t>Germany  in  the 1960s.</w:t>
      </w:r>
      <w:r>
        <w:rPr>
          <w:color w:val="231F20"/>
          <w:position w:val="7"/>
          <w:sz w:val="11"/>
        </w:rPr>
        <w:t xml:space="preserve">4 </w:t>
      </w:r>
      <w:r>
        <w:rPr>
          <w:color w:val="231F20"/>
        </w:rPr>
        <w:t xml:space="preserve">Universities were occupied across the country, and running battles with the police lasted for four days. “Springer Shot </w:t>
      </w:r>
      <w:r>
        <w:rPr>
          <w:color w:val="231F20"/>
          <w:spacing w:val="-5"/>
        </w:rPr>
        <w:t xml:space="preserve">Too!” </w:t>
      </w:r>
      <w:r>
        <w:rPr>
          <w:color w:val="231F20"/>
        </w:rPr>
        <w:t xml:space="preserve">became a common slogan amongst radicals, and in many cities, the corporation was targeted with violent attacks. Thousands were arrested, hundreds were hospitalized, and two people </w:t>
      </w:r>
      <w:r>
        <w:rPr>
          <w:color w:val="231F20"/>
          <w:spacing w:val="-4"/>
        </w:rPr>
        <w:t xml:space="preserve">(a  </w:t>
      </w:r>
      <w:r>
        <w:rPr>
          <w:color w:val="231F20"/>
        </w:rPr>
        <w:t xml:space="preserve">journalist and  a protester) were killed,  most  likely  by police. On May 1, 50,000 people marched through </w:t>
      </w:r>
      <w:r>
        <w:rPr>
          <w:color w:val="231F20"/>
          <w:spacing w:val="-3"/>
        </w:rPr>
        <w:t>West</w:t>
      </w:r>
      <w:r>
        <w:rPr>
          <w:color w:val="231F20"/>
          <w:spacing w:val="35"/>
        </w:rPr>
        <w:t xml:space="preserve"> </w:t>
      </w:r>
      <w:r>
        <w:rPr>
          <w:color w:val="231F20"/>
        </w:rPr>
        <w:t>Berlin.</w:t>
      </w:r>
    </w:p>
    <w:p w14:paraId="1E8F7FDE" w14:textId="77777777" w:rsidR="002653E8" w:rsidRDefault="003115E3">
      <w:pPr>
        <w:pStyle w:val="a3"/>
        <w:spacing w:before="3" w:after="40"/>
        <w:rPr>
          <w:sz w:val="9"/>
        </w:rPr>
      </w:pPr>
      <w:r>
        <w:br w:type="column"/>
      </w:r>
    </w:p>
    <w:p w14:paraId="02293A86" w14:textId="77777777" w:rsidR="002653E8" w:rsidRDefault="00000000">
      <w:pPr>
        <w:pStyle w:val="a3"/>
        <w:ind w:left="159"/>
      </w:pPr>
      <w:r>
        <w:pict w14:anchorId="5B7DACB2">
          <v:group id="_x0000_s2661" style="width:127.7pt;height:179.8pt;mso-position-horizontal-relative:char;mso-position-vertical-relative:line" coordsize="2554,3596">
            <v:shape id="_x0000_s2664" type="#_x0000_t75" style="position:absolute;width:2554;height:3596">
              <v:imagedata r:id="rId51" o:title=""/>
            </v:shape>
            <v:rect id="_x0000_s2663" style="position:absolute;left:10;top:10;width:2534;height:3576" filled="f" strokecolor="#e6e7e8" strokeweight="1pt"/>
            <v:shape id="_x0000_s2662" type="#_x0000_t75" style="position:absolute;left:67;top:128;width:2388;height:2410">
              <v:imagedata r:id="rId52" o:title=""/>
            </v:shape>
            <w10:anchorlock/>
          </v:group>
        </w:pict>
      </w:r>
    </w:p>
    <w:p w14:paraId="02B6D61D" w14:textId="77777777" w:rsidR="002653E8" w:rsidRDefault="003115E3">
      <w:pPr>
        <w:spacing w:before="27" w:line="244" w:lineRule="auto"/>
        <w:ind w:left="494" w:right="1237" w:firstLine="28"/>
        <w:rPr>
          <w:i/>
          <w:sz w:val="18"/>
        </w:rPr>
      </w:pPr>
      <w:r>
        <w:rPr>
          <w:i/>
          <w:color w:val="231F20"/>
          <w:w w:val="110"/>
          <w:sz w:val="18"/>
        </w:rPr>
        <w:t>“The Revolution Won’t Die of Lead Poisoning”</w:t>
      </w:r>
    </w:p>
    <w:p w14:paraId="3B40C931" w14:textId="77777777" w:rsidR="002653E8" w:rsidRDefault="002653E8">
      <w:pPr>
        <w:spacing w:line="244" w:lineRule="auto"/>
        <w:rPr>
          <w:sz w:val="18"/>
        </w:rPr>
        <w:sectPr w:rsidR="002653E8">
          <w:pgSz w:w="8640" w:h="12960"/>
          <w:pgMar w:top="1060" w:right="0" w:bottom="1040" w:left="0" w:header="0" w:footer="850" w:gutter="0"/>
          <w:cols w:num="2" w:space="720" w:equalWidth="0">
            <w:col w:w="4739" w:space="40"/>
            <w:col w:w="3861"/>
          </w:cols>
        </w:sectPr>
      </w:pPr>
    </w:p>
    <w:p w14:paraId="3F731F2F" w14:textId="77777777" w:rsidR="002653E8" w:rsidRDefault="003115E3">
      <w:pPr>
        <w:pStyle w:val="a3"/>
        <w:spacing w:line="216" w:lineRule="exact"/>
        <w:ind w:left="1538"/>
      </w:pPr>
      <w:r>
        <w:rPr>
          <w:color w:val="231F20"/>
        </w:rPr>
        <w:t>Unprecedented numbers of working-class youth took part in these</w:t>
      </w:r>
    </w:p>
    <w:p w14:paraId="3E801DB9" w14:textId="77777777" w:rsidR="002653E8" w:rsidRDefault="003115E3">
      <w:pPr>
        <w:pStyle w:val="a3"/>
        <w:spacing w:before="22" w:line="264" w:lineRule="auto"/>
        <w:ind w:left="1328" w:right="1145"/>
        <w:rPr>
          <w:sz w:val="11"/>
        </w:rPr>
      </w:pPr>
      <w:r>
        <w:rPr>
          <w:color w:val="231F20"/>
        </w:rPr>
        <w:t xml:space="preserve">battles, with university students constituting only a minority of those arrested by police, a development that worried the ruling class. </w:t>
      </w:r>
      <w:r>
        <w:rPr>
          <w:color w:val="231F20"/>
          <w:position w:val="7"/>
          <w:sz w:val="11"/>
        </w:rPr>
        <w:t>5</w:t>
      </w:r>
    </w:p>
    <w:p w14:paraId="54011F44" w14:textId="77777777" w:rsidR="002653E8" w:rsidRDefault="003115E3">
      <w:pPr>
        <w:pStyle w:val="a3"/>
        <w:spacing w:line="264" w:lineRule="auto"/>
        <w:ind w:left="1327" w:right="1146" w:firstLine="210"/>
        <w:jc w:val="both"/>
        <w:rPr>
          <w:sz w:val="11"/>
        </w:rPr>
      </w:pPr>
      <w:r>
        <w:rPr>
          <w:color w:val="231F20"/>
        </w:rPr>
        <w:t>By the time it was over, there had been violent clashes in at least twenty cities. Springer property worth 250,000 dm (roughly $80,000) was damaged or destroyed, including over 100,000 dm worth of window panes.</w:t>
      </w:r>
      <w:r>
        <w:rPr>
          <w:color w:val="231F20"/>
          <w:position w:val="7"/>
          <w:sz w:val="11"/>
        </w:rPr>
        <w:t>6</w:t>
      </w:r>
    </w:p>
    <w:p w14:paraId="4A196478" w14:textId="77777777" w:rsidR="002653E8" w:rsidRDefault="003115E3">
      <w:pPr>
        <w:pStyle w:val="a3"/>
        <w:spacing w:line="264" w:lineRule="auto"/>
        <w:ind w:left="1327" w:right="1146" w:firstLine="210"/>
        <w:jc w:val="both"/>
      </w:pPr>
      <w:r>
        <w:rPr>
          <w:color w:val="231F20"/>
        </w:rPr>
        <w:t>This rebellion and the police repression pushed many radicals’ thinking to an entirely new level. Bommi Baumann, for instance, credited the riots with opening his eyes to the possibility of armed struggle:</w:t>
      </w:r>
    </w:p>
    <w:p w14:paraId="4B303798" w14:textId="77777777" w:rsidR="002653E8" w:rsidRDefault="003115E3">
      <w:pPr>
        <w:spacing w:before="119" w:line="276" w:lineRule="auto"/>
        <w:ind w:left="1747" w:right="1559"/>
        <w:jc w:val="both"/>
        <w:rPr>
          <w:i/>
          <w:sz w:val="11"/>
        </w:rPr>
      </w:pPr>
      <w:r>
        <w:rPr>
          <w:i/>
          <w:color w:val="231F20"/>
          <w:sz w:val="19"/>
        </w:rPr>
        <w:t>On the spot, I really got it, this concept of mass struggle-terrorism; this problem I had been thinking about for so long became clear    to me then. The chance for a revolutionary movement lies in this: when a determined group is there simultaneously with the masses, supporting them through</w:t>
      </w:r>
      <w:r>
        <w:rPr>
          <w:i/>
          <w:color w:val="231F20"/>
          <w:spacing w:val="31"/>
          <w:sz w:val="19"/>
        </w:rPr>
        <w:t xml:space="preserve"> </w:t>
      </w:r>
      <w:r>
        <w:rPr>
          <w:i/>
          <w:color w:val="231F20"/>
          <w:spacing w:val="-3"/>
          <w:sz w:val="19"/>
        </w:rPr>
        <w:t>terror.</w:t>
      </w:r>
      <w:r>
        <w:rPr>
          <w:i/>
          <w:color w:val="231F20"/>
          <w:spacing w:val="-3"/>
          <w:position w:val="6"/>
          <w:sz w:val="11"/>
        </w:rPr>
        <w:t>7</w:t>
      </w:r>
    </w:p>
    <w:p w14:paraId="13D1A08E" w14:textId="77777777" w:rsidR="002653E8" w:rsidRDefault="003115E3">
      <w:pPr>
        <w:pStyle w:val="a3"/>
        <w:spacing w:before="132" w:line="264" w:lineRule="auto"/>
        <w:ind w:left="1327" w:right="1146"/>
      </w:pPr>
      <w:r>
        <w:rPr>
          <w:color w:val="231F20"/>
        </w:rPr>
        <w:t>Ulrike Meinhof was clearly thinking along similar lines, only she put   her thoughts in print, sharing them with the public in a</w:t>
      </w:r>
      <w:r>
        <w:rPr>
          <w:color w:val="231F20"/>
          <w:spacing w:val="40"/>
        </w:rPr>
        <w:t xml:space="preserve"> </w:t>
      </w:r>
      <w:r>
        <w:rPr>
          <w:color w:val="231F20"/>
        </w:rPr>
        <w:t>groundbreaking</w:t>
      </w:r>
    </w:p>
    <w:p w14:paraId="6C09355C" w14:textId="77777777" w:rsidR="002653E8" w:rsidRDefault="00000000">
      <w:pPr>
        <w:pStyle w:val="a3"/>
        <w:spacing w:before="3"/>
        <w:rPr>
          <w:sz w:val="18"/>
        </w:rPr>
      </w:pPr>
      <w:r>
        <w:rPr>
          <w:noProof w:val="0"/>
        </w:rPr>
        <w:pict w14:anchorId="7F57214C">
          <v:line id="_x0000_s2660" style="position:absolute;z-index:2344;mso-wrap-distance-left:0;mso-wrap-distance-right:0;mso-position-horizontal-relative:page" from="66.4pt,12.95pt" to="138.4pt,12.95pt" strokecolor="#231f20" strokeweight=".5pt">
            <w10:wrap type="topAndBottom" anchorx="page"/>
          </v:line>
        </w:pict>
      </w:r>
    </w:p>
    <w:p w14:paraId="3850F917" w14:textId="77777777" w:rsidR="002653E8" w:rsidRDefault="003115E3">
      <w:pPr>
        <w:pStyle w:val="a4"/>
        <w:numPr>
          <w:ilvl w:val="0"/>
          <w:numId w:val="181"/>
        </w:numPr>
        <w:tabs>
          <w:tab w:val="left" w:pos="1467"/>
        </w:tabs>
        <w:spacing w:before="53"/>
        <w:ind w:left="1466"/>
        <w:jc w:val="left"/>
        <w:rPr>
          <w:sz w:val="16"/>
        </w:rPr>
      </w:pPr>
      <w:r>
        <w:rPr>
          <w:color w:val="231F20"/>
          <w:w w:val="110"/>
          <w:sz w:val="16"/>
        </w:rPr>
        <w:t>Thomas,</w:t>
      </w:r>
      <w:r>
        <w:rPr>
          <w:color w:val="231F20"/>
          <w:spacing w:val="5"/>
          <w:w w:val="110"/>
          <w:sz w:val="16"/>
        </w:rPr>
        <w:t xml:space="preserve"> </w:t>
      </w:r>
      <w:r>
        <w:rPr>
          <w:color w:val="231F20"/>
          <w:w w:val="110"/>
          <w:sz w:val="16"/>
        </w:rPr>
        <w:t>171.</w:t>
      </w:r>
    </w:p>
    <w:p w14:paraId="1570CC23" w14:textId="77777777" w:rsidR="002653E8" w:rsidRDefault="003115E3">
      <w:pPr>
        <w:spacing w:before="51"/>
        <w:ind w:left="1327"/>
        <w:rPr>
          <w:sz w:val="16"/>
        </w:rPr>
      </w:pPr>
      <w:r>
        <w:rPr>
          <w:color w:val="231F20"/>
          <w:w w:val="115"/>
          <w:sz w:val="16"/>
        </w:rPr>
        <w:t>5 Ibid., 176.</w:t>
      </w:r>
    </w:p>
    <w:p w14:paraId="235419F5" w14:textId="77777777" w:rsidR="002653E8" w:rsidRDefault="003115E3">
      <w:pPr>
        <w:pStyle w:val="a4"/>
        <w:numPr>
          <w:ilvl w:val="0"/>
          <w:numId w:val="180"/>
        </w:numPr>
        <w:tabs>
          <w:tab w:val="left" w:pos="1467"/>
        </w:tabs>
        <w:spacing w:before="52"/>
        <w:rPr>
          <w:sz w:val="16"/>
        </w:rPr>
      </w:pPr>
      <w:r>
        <w:rPr>
          <w:color w:val="231F20"/>
          <w:w w:val="110"/>
          <w:sz w:val="16"/>
        </w:rPr>
        <w:t>Ibid.</w:t>
      </w:r>
    </w:p>
    <w:p w14:paraId="6C748B2B" w14:textId="77777777" w:rsidR="002653E8" w:rsidRDefault="003115E3">
      <w:pPr>
        <w:pStyle w:val="a4"/>
        <w:numPr>
          <w:ilvl w:val="0"/>
          <w:numId w:val="180"/>
        </w:numPr>
        <w:tabs>
          <w:tab w:val="left" w:pos="1467"/>
        </w:tabs>
        <w:spacing w:before="52"/>
        <w:rPr>
          <w:sz w:val="16"/>
        </w:rPr>
      </w:pPr>
      <w:r>
        <w:rPr>
          <w:color w:val="231F20"/>
          <w:spacing w:val="1"/>
          <w:w w:val="110"/>
          <w:sz w:val="16"/>
        </w:rPr>
        <w:t>Baumann,</w:t>
      </w:r>
      <w:r>
        <w:rPr>
          <w:color w:val="231F20"/>
          <w:spacing w:val="6"/>
          <w:w w:val="110"/>
          <w:sz w:val="16"/>
        </w:rPr>
        <w:t xml:space="preserve"> </w:t>
      </w:r>
      <w:r>
        <w:rPr>
          <w:color w:val="231F20"/>
          <w:w w:val="110"/>
          <w:sz w:val="16"/>
        </w:rPr>
        <w:t>41.</w:t>
      </w:r>
    </w:p>
    <w:p w14:paraId="4E0BCF2E" w14:textId="77777777" w:rsidR="002653E8" w:rsidRDefault="002653E8">
      <w:pPr>
        <w:rPr>
          <w:sz w:val="16"/>
        </w:rPr>
        <w:sectPr w:rsidR="002653E8">
          <w:type w:val="continuous"/>
          <w:pgSz w:w="8640" w:h="12960"/>
          <w:pgMar w:top="0" w:right="0" w:bottom="0" w:left="0" w:header="720" w:footer="720" w:gutter="0"/>
          <w:cols w:space="720"/>
        </w:sectPr>
      </w:pPr>
    </w:p>
    <w:p w14:paraId="3617FA8B" w14:textId="77777777" w:rsidR="002653E8" w:rsidRDefault="003115E3">
      <w:pPr>
        <w:pStyle w:val="a3"/>
        <w:spacing w:before="86" w:line="264" w:lineRule="auto"/>
        <w:ind w:left="1148" w:right="1325" w:hanging="1"/>
        <w:jc w:val="both"/>
        <w:rPr>
          <w:sz w:val="11"/>
        </w:rPr>
      </w:pPr>
      <w:r>
        <w:rPr>
          <w:i/>
          <w:color w:val="231F20"/>
        </w:rPr>
        <w:lastRenderedPageBreak/>
        <w:t xml:space="preserve">konkret </w:t>
      </w:r>
      <w:r>
        <w:rPr>
          <w:color w:val="231F20"/>
        </w:rPr>
        <w:t>article entitled “From Protest to Resistance.” Arguing that in   the Easter riots “the boundaries between protest and resistance were exceeded,” she promised that “the paramilitary deployment of the police</w:t>
      </w:r>
      <w:r>
        <w:rPr>
          <w:color w:val="231F20"/>
          <w:spacing w:val="11"/>
        </w:rPr>
        <w:t xml:space="preserve"> </w:t>
      </w:r>
      <w:r>
        <w:rPr>
          <w:color w:val="231F20"/>
        </w:rPr>
        <w:t>will</w:t>
      </w:r>
      <w:r>
        <w:rPr>
          <w:color w:val="231F20"/>
          <w:spacing w:val="11"/>
        </w:rPr>
        <w:t xml:space="preserve"> </w:t>
      </w:r>
      <w:r>
        <w:rPr>
          <w:color w:val="231F20"/>
        </w:rPr>
        <w:t>be</w:t>
      </w:r>
      <w:r>
        <w:rPr>
          <w:color w:val="231F20"/>
          <w:spacing w:val="11"/>
        </w:rPr>
        <w:t xml:space="preserve"> </w:t>
      </w:r>
      <w:r>
        <w:rPr>
          <w:color w:val="231F20"/>
        </w:rPr>
        <w:t>answered</w:t>
      </w:r>
      <w:r>
        <w:rPr>
          <w:color w:val="231F20"/>
          <w:spacing w:val="11"/>
        </w:rPr>
        <w:t xml:space="preserve"> </w:t>
      </w:r>
      <w:r>
        <w:rPr>
          <w:color w:val="231F20"/>
        </w:rPr>
        <w:t>with</w:t>
      </w:r>
      <w:r>
        <w:rPr>
          <w:color w:val="231F20"/>
          <w:spacing w:val="11"/>
        </w:rPr>
        <w:t xml:space="preserve"> </w:t>
      </w:r>
      <w:r>
        <w:rPr>
          <w:color w:val="231F20"/>
        </w:rPr>
        <w:t>paramilitary</w:t>
      </w:r>
      <w:r>
        <w:rPr>
          <w:color w:val="231F20"/>
          <w:spacing w:val="11"/>
        </w:rPr>
        <w:t xml:space="preserve"> </w:t>
      </w:r>
      <w:r>
        <w:rPr>
          <w:color w:val="231F20"/>
        </w:rPr>
        <w:t>methods.”</w:t>
      </w:r>
      <w:r>
        <w:rPr>
          <w:color w:val="231F20"/>
          <w:position w:val="7"/>
          <w:sz w:val="11"/>
        </w:rPr>
        <w:t>1</w:t>
      </w:r>
    </w:p>
    <w:p w14:paraId="50F37060" w14:textId="77777777" w:rsidR="002653E8" w:rsidRDefault="003115E3">
      <w:pPr>
        <w:pStyle w:val="a3"/>
        <w:spacing w:line="264" w:lineRule="auto"/>
        <w:ind w:left="1147" w:right="1326" w:firstLine="210"/>
        <w:jc w:val="both"/>
      </w:pPr>
      <w:r>
        <w:rPr>
          <w:color w:val="231F20"/>
          <w:w w:val="105"/>
        </w:rPr>
        <w:t>On</w:t>
      </w:r>
      <w:r>
        <w:rPr>
          <w:color w:val="231F20"/>
          <w:spacing w:val="-22"/>
          <w:w w:val="105"/>
        </w:rPr>
        <w:t xml:space="preserve"> </w:t>
      </w:r>
      <w:r>
        <w:rPr>
          <w:color w:val="231F20"/>
          <w:w w:val="105"/>
        </w:rPr>
        <w:t>May</w:t>
      </w:r>
      <w:r>
        <w:rPr>
          <w:color w:val="231F20"/>
          <w:spacing w:val="-22"/>
          <w:w w:val="105"/>
        </w:rPr>
        <w:t xml:space="preserve"> </w:t>
      </w:r>
      <w:r>
        <w:rPr>
          <w:color w:val="231F20"/>
          <w:spacing w:val="-5"/>
          <w:w w:val="105"/>
        </w:rPr>
        <w:t>31,</w:t>
      </w:r>
      <w:r>
        <w:rPr>
          <w:color w:val="231F20"/>
          <w:spacing w:val="-22"/>
          <w:w w:val="105"/>
        </w:rPr>
        <w:t xml:space="preserve"> </w:t>
      </w:r>
      <w:r>
        <w:rPr>
          <w:color w:val="231F20"/>
          <w:w w:val="105"/>
        </w:rPr>
        <w:t>the</w:t>
      </w:r>
      <w:r>
        <w:rPr>
          <w:color w:val="231F20"/>
          <w:spacing w:val="-22"/>
          <w:w w:val="105"/>
        </w:rPr>
        <w:t xml:space="preserve"> </w:t>
      </w:r>
      <w:r>
        <w:rPr>
          <w:i/>
          <w:color w:val="231F20"/>
          <w:w w:val="105"/>
        </w:rPr>
        <w:t>Bundestag</w:t>
      </w:r>
      <w:r>
        <w:rPr>
          <w:i/>
          <w:color w:val="231F20"/>
          <w:spacing w:val="-22"/>
          <w:w w:val="105"/>
        </w:rPr>
        <w:t xml:space="preserve"> </w:t>
      </w:r>
      <w:r>
        <w:rPr>
          <w:color w:val="231F20"/>
          <w:w w:val="105"/>
        </w:rPr>
        <w:t>passed</w:t>
      </w:r>
      <w:r>
        <w:rPr>
          <w:color w:val="231F20"/>
          <w:spacing w:val="-22"/>
          <w:w w:val="105"/>
        </w:rPr>
        <w:t xml:space="preserve"> </w:t>
      </w:r>
      <w:r>
        <w:rPr>
          <w:color w:val="231F20"/>
          <w:w w:val="105"/>
        </w:rPr>
        <w:t>the</w:t>
      </w:r>
      <w:r>
        <w:rPr>
          <w:color w:val="231F20"/>
          <w:spacing w:val="-22"/>
          <w:w w:val="105"/>
        </w:rPr>
        <w:t xml:space="preserve"> </w:t>
      </w:r>
      <w:r>
        <w:rPr>
          <w:i/>
          <w:color w:val="231F20"/>
          <w:w w:val="105"/>
        </w:rPr>
        <w:t>Notstandgesetze</w:t>
      </w:r>
      <w:r>
        <w:rPr>
          <w:color w:val="231F20"/>
          <w:w w:val="105"/>
        </w:rPr>
        <w:t>,</w:t>
      </w:r>
      <w:r>
        <w:rPr>
          <w:color w:val="231F20"/>
          <w:spacing w:val="-22"/>
          <w:w w:val="105"/>
        </w:rPr>
        <w:t xml:space="preserve"> </w:t>
      </w:r>
      <w:r>
        <w:rPr>
          <w:color w:val="231F20"/>
          <w:w w:val="105"/>
        </w:rPr>
        <w:t>or</w:t>
      </w:r>
      <w:r>
        <w:rPr>
          <w:color w:val="231F20"/>
          <w:spacing w:val="-22"/>
          <w:w w:val="105"/>
        </w:rPr>
        <w:t xml:space="preserve"> </w:t>
      </w:r>
      <w:r>
        <w:rPr>
          <w:color w:val="231F20"/>
          <w:w w:val="105"/>
        </w:rPr>
        <w:t>Emergency Powers Act, which besides providing the state with tools to deal with crises such as natural disasters or war, was also intended to open</w:t>
      </w:r>
      <w:r>
        <w:rPr>
          <w:color w:val="231F20"/>
          <w:spacing w:val="-27"/>
          <w:w w:val="105"/>
        </w:rPr>
        <w:t xml:space="preserve"> </w:t>
      </w:r>
      <w:r>
        <w:rPr>
          <w:color w:val="231F20"/>
          <w:w w:val="105"/>
        </w:rPr>
        <w:t>the movement</w:t>
      </w:r>
      <w:r>
        <w:rPr>
          <w:color w:val="231F20"/>
          <w:spacing w:val="-17"/>
          <w:w w:val="105"/>
        </w:rPr>
        <w:t xml:space="preserve"> </w:t>
      </w:r>
      <w:r>
        <w:rPr>
          <w:color w:val="231F20"/>
          <w:w w:val="105"/>
        </w:rPr>
        <w:t>up</w:t>
      </w:r>
      <w:r>
        <w:rPr>
          <w:color w:val="231F20"/>
          <w:spacing w:val="-17"/>
          <w:w w:val="105"/>
        </w:rPr>
        <w:t xml:space="preserve"> </w:t>
      </w:r>
      <w:r>
        <w:rPr>
          <w:color w:val="231F20"/>
          <w:w w:val="105"/>
        </w:rPr>
        <w:t>to</w:t>
      </w:r>
      <w:r>
        <w:rPr>
          <w:color w:val="231F20"/>
          <w:spacing w:val="-17"/>
          <w:w w:val="105"/>
        </w:rPr>
        <w:t xml:space="preserve"> </w:t>
      </w:r>
      <w:r>
        <w:rPr>
          <w:color w:val="231F20"/>
          <w:w w:val="105"/>
        </w:rPr>
        <w:t>greater</w:t>
      </w:r>
      <w:r>
        <w:rPr>
          <w:color w:val="231F20"/>
          <w:spacing w:val="-17"/>
          <w:w w:val="105"/>
        </w:rPr>
        <w:t xml:space="preserve"> </w:t>
      </w:r>
      <w:r>
        <w:rPr>
          <w:color w:val="231F20"/>
          <w:w w:val="105"/>
        </w:rPr>
        <w:t>intervention.</w:t>
      </w:r>
      <w:r>
        <w:rPr>
          <w:color w:val="231F20"/>
          <w:spacing w:val="-17"/>
          <w:w w:val="105"/>
        </w:rPr>
        <w:t xml:space="preserve"> </w:t>
      </w:r>
      <w:r>
        <w:rPr>
          <w:color w:val="231F20"/>
          <w:w w:val="105"/>
        </w:rPr>
        <w:t>The</w:t>
      </w:r>
      <w:r>
        <w:rPr>
          <w:color w:val="231F20"/>
          <w:spacing w:val="-17"/>
          <w:w w:val="105"/>
        </w:rPr>
        <w:t xml:space="preserve"> </w:t>
      </w:r>
      <w:r>
        <w:rPr>
          <w:color w:val="231F20"/>
          <w:w w:val="105"/>
        </w:rPr>
        <w:t>CDU</w:t>
      </w:r>
      <w:r>
        <w:rPr>
          <w:color w:val="231F20"/>
          <w:spacing w:val="-17"/>
          <w:w w:val="105"/>
        </w:rPr>
        <w:t xml:space="preserve"> </w:t>
      </w:r>
      <w:r>
        <w:rPr>
          <w:color w:val="231F20"/>
          <w:w w:val="105"/>
        </w:rPr>
        <w:t>had</w:t>
      </w:r>
      <w:r>
        <w:rPr>
          <w:color w:val="231F20"/>
          <w:spacing w:val="-17"/>
          <w:w w:val="105"/>
        </w:rPr>
        <w:t xml:space="preserve"> </w:t>
      </w:r>
      <w:r>
        <w:rPr>
          <w:color w:val="231F20"/>
          <w:w w:val="105"/>
        </w:rPr>
        <w:t>been</w:t>
      </w:r>
      <w:r>
        <w:rPr>
          <w:color w:val="231F20"/>
          <w:spacing w:val="-17"/>
          <w:w w:val="105"/>
        </w:rPr>
        <w:t xml:space="preserve"> </w:t>
      </w:r>
      <w:r>
        <w:rPr>
          <w:color w:val="231F20"/>
          <w:w w:val="105"/>
        </w:rPr>
        <w:t>trying</w:t>
      </w:r>
      <w:r>
        <w:rPr>
          <w:color w:val="231F20"/>
          <w:spacing w:val="-17"/>
          <w:w w:val="105"/>
        </w:rPr>
        <w:t xml:space="preserve"> </w:t>
      </w:r>
      <w:r>
        <w:rPr>
          <w:color w:val="231F20"/>
          <w:w w:val="105"/>
        </w:rPr>
        <w:t>to</w:t>
      </w:r>
      <w:r>
        <w:rPr>
          <w:color w:val="231F20"/>
          <w:spacing w:val="-17"/>
          <w:w w:val="105"/>
        </w:rPr>
        <w:t xml:space="preserve"> </w:t>
      </w:r>
      <w:r>
        <w:rPr>
          <w:color w:val="231F20"/>
          <w:w w:val="105"/>
        </w:rPr>
        <w:t>pass such</w:t>
      </w:r>
      <w:r>
        <w:rPr>
          <w:color w:val="231F20"/>
          <w:spacing w:val="-23"/>
          <w:w w:val="105"/>
        </w:rPr>
        <w:t xml:space="preserve"> </w:t>
      </w:r>
      <w:r>
        <w:rPr>
          <w:color w:val="231F20"/>
          <w:w w:val="105"/>
        </w:rPr>
        <w:t>repressive</w:t>
      </w:r>
      <w:r>
        <w:rPr>
          <w:color w:val="231F20"/>
          <w:spacing w:val="-23"/>
          <w:w w:val="105"/>
        </w:rPr>
        <w:t xml:space="preserve"> </w:t>
      </w:r>
      <w:r>
        <w:rPr>
          <w:color w:val="231F20"/>
          <w:w w:val="105"/>
        </w:rPr>
        <w:t>legislation</w:t>
      </w:r>
      <w:r>
        <w:rPr>
          <w:color w:val="231F20"/>
          <w:spacing w:val="-23"/>
          <w:w w:val="105"/>
        </w:rPr>
        <w:t xml:space="preserve"> </w:t>
      </w:r>
      <w:r>
        <w:rPr>
          <w:color w:val="231F20"/>
          <w:w w:val="105"/>
        </w:rPr>
        <w:t>for</w:t>
      </w:r>
      <w:r>
        <w:rPr>
          <w:color w:val="231F20"/>
          <w:spacing w:val="-23"/>
          <w:w w:val="105"/>
        </w:rPr>
        <w:t xml:space="preserve"> </w:t>
      </w:r>
      <w:r>
        <w:rPr>
          <w:color w:val="231F20"/>
          <w:w w:val="105"/>
        </w:rPr>
        <w:t>years,</w:t>
      </w:r>
      <w:r>
        <w:rPr>
          <w:color w:val="231F20"/>
          <w:spacing w:val="-23"/>
          <w:w w:val="105"/>
        </w:rPr>
        <w:t xml:space="preserve"> </w:t>
      </w:r>
      <w:r>
        <w:rPr>
          <w:color w:val="231F20"/>
          <w:w w:val="105"/>
        </w:rPr>
        <w:t>and</w:t>
      </w:r>
      <w:r>
        <w:rPr>
          <w:color w:val="231F20"/>
          <w:spacing w:val="-23"/>
          <w:w w:val="105"/>
        </w:rPr>
        <w:t xml:space="preserve"> </w:t>
      </w:r>
      <w:r>
        <w:rPr>
          <w:color w:val="231F20"/>
          <w:w w:val="105"/>
        </w:rPr>
        <w:t>short-circuiting</w:t>
      </w:r>
      <w:r>
        <w:rPr>
          <w:color w:val="231F20"/>
          <w:spacing w:val="-23"/>
          <w:w w:val="105"/>
        </w:rPr>
        <w:t xml:space="preserve"> </w:t>
      </w:r>
      <w:r>
        <w:rPr>
          <w:color w:val="231F20"/>
          <w:w w:val="105"/>
        </w:rPr>
        <w:t>opposition</w:t>
      </w:r>
      <w:r>
        <w:rPr>
          <w:color w:val="231F20"/>
          <w:spacing w:val="-23"/>
          <w:w w:val="105"/>
        </w:rPr>
        <w:t xml:space="preserve"> </w:t>
      </w:r>
      <w:r>
        <w:rPr>
          <w:color w:val="231F20"/>
          <w:w w:val="105"/>
        </w:rPr>
        <w:t>to it had been one of the advantages of forming a Grand Coalition along with the SPD. Coming as it did on the heels of the April violence, the legislation passed easily. (The fact that, just across the Rhine, France seemed</w:t>
      </w:r>
      <w:r>
        <w:rPr>
          <w:color w:val="231F20"/>
          <w:spacing w:val="-7"/>
          <w:w w:val="105"/>
        </w:rPr>
        <w:t xml:space="preserve"> </w:t>
      </w:r>
      <w:r>
        <w:rPr>
          <w:color w:val="231F20"/>
          <w:w w:val="105"/>
        </w:rPr>
        <w:t>also</w:t>
      </w:r>
      <w:r>
        <w:rPr>
          <w:color w:val="231F20"/>
          <w:spacing w:val="-7"/>
          <w:w w:val="105"/>
        </w:rPr>
        <w:t xml:space="preserve"> </w:t>
      </w:r>
      <w:r>
        <w:rPr>
          <w:color w:val="231F20"/>
          <w:w w:val="105"/>
        </w:rPr>
        <w:t>on</w:t>
      </w:r>
      <w:r>
        <w:rPr>
          <w:color w:val="231F20"/>
          <w:spacing w:val="-7"/>
          <w:w w:val="105"/>
        </w:rPr>
        <w:t xml:space="preserve"> </w:t>
      </w:r>
      <w:r>
        <w:rPr>
          <w:color w:val="231F20"/>
          <w:w w:val="105"/>
        </w:rPr>
        <w:t>the</w:t>
      </w:r>
      <w:r>
        <w:rPr>
          <w:color w:val="231F20"/>
          <w:spacing w:val="-7"/>
          <w:w w:val="105"/>
        </w:rPr>
        <w:t xml:space="preserve"> </w:t>
      </w:r>
      <w:r>
        <w:rPr>
          <w:color w:val="231F20"/>
          <w:w w:val="105"/>
        </w:rPr>
        <w:t>brink</w:t>
      </w:r>
      <w:r>
        <w:rPr>
          <w:color w:val="231F20"/>
          <w:spacing w:val="-7"/>
          <w:w w:val="105"/>
        </w:rPr>
        <w:t xml:space="preserve"> </w:t>
      </w:r>
      <w:r>
        <w:rPr>
          <w:color w:val="231F20"/>
          <w:w w:val="105"/>
        </w:rPr>
        <w:t>of</w:t>
      </w:r>
      <w:r>
        <w:rPr>
          <w:color w:val="231F20"/>
          <w:spacing w:val="-7"/>
          <w:w w:val="105"/>
        </w:rPr>
        <w:t xml:space="preserve"> </w:t>
      </w:r>
      <w:r>
        <w:rPr>
          <w:color w:val="231F20"/>
          <w:w w:val="105"/>
        </w:rPr>
        <w:t>revolution,</w:t>
      </w:r>
      <w:r>
        <w:rPr>
          <w:color w:val="231F20"/>
          <w:spacing w:val="-7"/>
          <w:w w:val="105"/>
        </w:rPr>
        <w:t xml:space="preserve"> </w:t>
      </w:r>
      <w:r>
        <w:rPr>
          <w:color w:val="231F20"/>
          <w:w w:val="105"/>
        </w:rPr>
        <w:t>enjoying</w:t>
      </w:r>
      <w:r>
        <w:rPr>
          <w:color w:val="231F20"/>
          <w:spacing w:val="-7"/>
          <w:w w:val="105"/>
        </w:rPr>
        <w:t xml:space="preserve"> </w:t>
      </w:r>
      <w:r>
        <w:rPr>
          <w:color w:val="231F20"/>
          <w:w w:val="105"/>
        </w:rPr>
        <w:t>its</w:t>
      </w:r>
      <w:r>
        <w:rPr>
          <w:color w:val="231F20"/>
          <w:spacing w:val="-7"/>
          <w:w w:val="105"/>
        </w:rPr>
        <w:t xml:space="preserve"> </w:t>
      </w:r>
      <w:r>
        <w:rPr>
          <w:color w:val="231F20"/>
          <w:w w:val="105"/>
        </w:rPr>
        <w:t>defining</w:t>
      </w:r>
      <w:r>
        <w:rPr>
          <w:color w:val="231F20"/>
          <w:spacing w:val="-7"/>
          <w:w w:val="105"/>
        </w:rPr>
        <w:t xml:space="preserve"> </w:t>
      </w:r>
      <w:r>
        <w:rPr>
          <w:color w:val="231F20"/>
          <w:w w:val="105"/>
        </w:rPr>
        <w:t>rebellion of the sixties, certainly didn’t hurt</w:t>
      </w:r>
      <w:r>
        <w:rPr>
          <w:color w:val="231F20"/>
          <w:spacing w:val="32"/>
          <w:w w:val="105"/>
        </w:rPr>
        <w:t xml:space="preserve"> </w:t>
      </w:r>
      <w:r>
        <w:rPr>
          <w:color w:val="231F20"/>
          <w:w w:val="105"/>
        </w:rPr>
        <w:t>matters.)</w:t>
      </w:r>
    </w:p>
    <w:p w14:paraId="262AF076" w14:textId="77777777" w:rsidR="002653E8" w:rsidRDefault="003115E3">
      <w:pPr>
        <w:pStyle w:val="a3"/>
        <w:spacing w:line="264" w:lineRule="auto"/>
        <w:ind w:left="1147" w:right="1325" w:firstLine="210"/>
        <w:jc w:val="both"/>
      </w:pPr>
      <w:r>
        <w:rPr>
          <w:color w:val="231F20"/>
        </w:rPr>
        <w:t xml:space="preserve">Under the new Act, the Basic Law was amended to allow the state to tap phones and observe mail unhindered by previous stipulations requiring that the targeted individual be informed. Provisions were introduced in particular for the telephone surveillance of people suspected of preparing or committing “political crimes,” especially those governed  by the catch-all </w:t>
      </w:r>
      <w:r>
        <w:rPr>
          <w:color w:val="231F20"/>
          <w:spacing w:val="-4"/>
          <w:sz w:val="18"/>
        </w:rPr>
        <w:t>§</w:t>
      </w:r>
      <w:r>
        <w:rPr>
          <w:color w:val="231F20"/>
          <w:spacing w:val="-4"/>
        </w:rPr>
        <w:t xml:space="preserve">129 </w:t>
      </w:r>
      <w:r>
        <w:rPr>
          <w:color w:val="231F20"/>
        </w:rPr>
        <w:t xml:space="preserve">of the penal code, criminalizing the “formation or support of a criminal association.” The Emergency Powers Act also officially sanctioned the use of clandestine photography, “trackers” and </w:t>
      </w:r>
      <w:r>
        <w:rPr>
          <w:i/>
          <w:color w:val="231F20"/>
        </w:rPr>
        <w:t xml:space="preserve">Verfassungsschutz </w:t>
      </w:r>
      <w:r>
        <w:rPr>
          <w:color w:val="231F20"/>
        </w:rPr>
        <w:t>informants and</w:t>
      </w:r>
      <w:r>
        <w:rPr>
          <w:color w:val="231F20"/>
          <w:spacing w:val="38"/>
        </w:rPr>
        <w:t xml:space="preserve"> </w:t>
      </w:r>
      <w:r>
        <w:rPr>
          <w:color w:val="231F20"/>
        </w:rPr>
        <w:t>provocateurs.</w:t>
      </w:r>
    </w:p>
    <w:p w14:paraId="5857B3AF" w14:textId="77777777" w:rsidR="002653E8" w:rsidRDefault="003115E3">
      <w:pPr>
        <w:pStyle w:val="a3"/>
        <w:spacing w:line="264" w:lineRule="auto"/>
        <w:ind w:left="1148" w:right="1326" w:firstLine="210"/>
        <w:jc w:val="both"/>
      </w:pPr>
      <w:r>
        <w:drawing>
          <wp:anchor distT="0" distB="0" distL="0" distR="0" simplePos="0" relativeHeight="2392" behindDoc="0" locked="0" layoutInCell="1" allowOverlap="1" wp14:anchorId="4CA54B62" wp14:editId="7C49C24B">
            <wp:simplePos x="0" y="0"/>
            <wp:positionH relativeFrom="page">
              <wp:posOffset>727201</wp:posOffset>
            </wp:positionH>
            <wp:positionV relativeFrom="paragraph">
              <wp:posOffset>443141</wp:posOffset>
            </wp:positionV>
            <wp:extent cx="1394709" cy="2038932"/>
            <wp:effectExtent l="0" t="0" r="0" b="0"/>
            <wp:wrapNone/>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53" cstate="print"/>
                    <a:stretch>
                      <a:fillRect/>
                    </a:stretch>
                  </pic:blipFill>
                  <pic:spPr>
                    <a:xfrm>
                      <a:off x="0" y="0"/>
                      <a:ext cx="1394709" cy="2038932"/>
                    </a:xfrm>
                    <a:prstGeom prst="rect">
                      <a:avLst/>
                    </a:prstGeom>
                  </pic:spPr>
                </pic:pic>
              </a:graphicData>
            </a:graphic>
          </wp:anchor>
        </w:drawing>
      </w:r>
      <w:r>
        <w:rPr>
          <w:color w:val="231F20"/>
        </w:rPr>
        <w:t xml:space="preserve">Throughout the month of </w:t>
      </w:r>
      <w:r>
        <w:rPr>
          <w:color w:val="231F20"/>
          <w:spacing w:val="-4"/>
        </w:rPr>
        <w:t xml:space="preserve">May, </w:t>
      </w:r>
      <w:r>
        <w:rPr>
          <w:color w:val="231F20"/>
        </w:rPr>
        <w:t xml:space="preserve">as the  Act  was  being  passed  into </w:t>
      </w:r>
      <w:r>
        <w:rPr>
          <w:color w:val="231F20"/>
          <w:spacing w:val="-4"/>
        </w:rPr>
        <w:t xml:space="preserve">law, </w:t>
      </w:r>
      <w:r>
        <w:rPr>
          <w:color w:val="231F20"/>
        </w:rPr>
        <w:t>universities were occupied, students boycotted classes, and tens</w:t>
      </w:r>
      <w:r>
        <w:rPr>
          <w:color w:val="231F20"/>
          <w:spacing w:val="6"/>
        </w:rPr>
        <w:t xml:space="preserve"> </w:t>
      </w:r>
      <w:r>
        <w:rPr>
          <w:color w:val="231F20"/>
        </w:rPr>
        <w:t>of</w:t>
      </w:r>
    </w:p>
    <w:p w14:paraId="37953217" w14:textId="77777777" w:rsidR="002653E8" w:rsidRDefault="002653E8">
      <w:pPr>
        <w:pStyle w:val="a3"/>
        <w:rPr>
          <w:sz w:val="22"/>
        </w:rPr>
      </w:pPr>
    </w:p>
    <w:p w14:paraId="71AF7D4F" w14:textId="77777777" w:rsidR="002653E8" w:rsidRDefault="002653E8">
      <w:pPr>
        <w:pStyle w:val="a3"/>
        <w:spacing w:before="9"/>
        <w:rPr>
          <w:sz w:val="17"/>
        </w:rPr>
      </w:pPr>
    </w:p>
    <w:p w14:paraId="7467418C" w14:textId="77777777" w:rsidR="002653E8" w:rsidRDefault="003115E3">
      <w:pPr>
        <w:spacing w:before="1" w:line="244" w:lineRule="auto"/>
        <w:ind w:left="3471" w:right="1848"/>
        <w:rPr>
          <w:i/>
          <w:sz w:val="18"/>
        </w:rPr>
      </w:pPr>
      <w:r>
        <w:rPr>
          <w:i/>
          <w:color w:val="231F20"/>
          <w:sz w:val="18"/>
        </w:rPr>
        <w:t>Poster for a demonstration against the Emergency Powers Act, organized by the Munich Board for the Emergency Facing Democracy: “The Emergency Powers Act Plans for War, Not Peace!”</w:t>
      </w:r>
    </w:p>
    <w:p w14:paraId="384A8FD2" w14:textId="77777777" w:rsidR="002653E8" w:rsidRDefault="003115E3">
      <w:pPr>
        <w:spacing w:before="3" w:line="244" w:lineRule="auto"/>
        <w:ind w:left="3471" w:right="1848"/>
        <w:rPr>
          <w:i/>
          <w:sz w:val="18"/>
        </w:rPr>
      </w:pPr>
      <w:r>
        <w:rPr>
          <w:i/>
          <w:color w:val="231F20"/>
          <w:w w:val="105"/>
          <w:sz w:val="18"/>
        </w:rPr>
        <w:t>Amongst those who gave closing speeches was one Rolf Pohle, at the time a law student prominent in the Munich APO.</w:t>
      </w:r>
    </w:p>
    <w:p w14:paraId="1F7C3DCA" w14:textId="77777777" w:rsidR="002653E8" w:rsidRDefault="002653E8">
      <w:pPr>
        <w:pStyle w:val="a3"/>
        <w:rPr>
          <w:i/>
        </w:rPr>
      </w:pPr>
    </w:p>
    <w:p w14:paraId="7C5B2155" w14:textId="77777777" w:rsidR="002653E8" w:rsidRDefault="002653E8">
      <w:pPr>
        <w:pStyle w:val="a3"/>
        <w:rPr>
          <w:i/>
        </w:rPr>
      </w:pPr>
    </w:p>
    <w:p w14:paraId="4F1AA780" w14:textId="77777777" w:rsidR="002653E8" w:rsidRDefault="002653E8">
      <w:pPr>
        <w:pStyle w:val="a3"/>
        <w:rPr>
          <w:i/>
        </w:rPr>
      </w:pPr>
    </w:p>
    <w:p w14:paraId="4C98A973" w14:textId="77777777" w:rsidR="002653E8" w:rsidRDefault="002653E8">
      <w:pPr>
        <w:pStyle w:val="a3"/>
        <w:rPr>
          <w:i/>
        </w:rPr>
      </w:pPr>
    </w:p>
    <w:p w14:paraId="17A9735A" w14:textId="77777777" w:rsidR="002653E8" w:rsidRDefault="002653E8">
      <w:pPr>
        <w:pStyle w:val="a3"/>
        <w:rPr>
          <w:i/>
        </w:rPr>
      </w:pPr>
    </w:p>
    <w:p w14:paraId="5ABAFD9D" w14:textId="77777777" w:rsidR="002653E8" w:rsidRDefault="00000000">
      <w:pPr>
        <w:pStyle w:val="a3"/>
        <w:spacing w:before="1"/>
        <w:rPr>
          <w:i/>
          <w:sz w:val="11"/>
        </w:rPr>
      </w:pPr>
      <w:r>
        <w:rPr>
          <w:noProof w:val="0"/>
        </w:rPr>
        <w:pict w14:anchorId="34AFB354">
          <v:line id="_x0000_s2659" style="position:absolute;z-index:2368;mso-wrap-distance-left:0;mso-wrap-distance-right:0;mso-position-horizontal-relative:page" from="57.4pt,8.7pt" to="129.4pt,8.7pt" strokecolor="#231f20" strokeweight=".5pt">
            <w10:wrap type="topAndBottom" anchorx="page"/>
          </v:line>
        </w:pict>
      </w:r>
    </w:p>
    <w:p w14:paraId="52A05989" w14:textId="77777777" w:rsidR="002653E8" w:rsidRDefault="003115E3">
      <w:pPr>
        <w:spacing w:before="53"/>
        <w:ind w:left="1147"/>
        <w:jc w:val="both"/>
        <w:rPr>
          <w:sz w:val="16"/>
        </w:rPr>
      </w:pPr>
      <w:r>
        <w:rPr>
          <w:color w:val="231F20"/>
          <w:w w:val="110"/>
          <w:sz w:val="16"/>
        </w:rPr>
        <w:t>1 Thomas, 180.</w:t>
      </w:r>
    </w:p>
    <w:p w14:paraId="6C97AD04" w14:textId="77777777" w:rsidR="002653E8" w:rsidRDefault="002653E8">
      <w:pPr>
        <w:jc w:val="both"/>
        <w:rPr>
          <w:sz w:val="16"/>
        </w:rPr>
        <w:sectPr w:rsidR="002653E8">
          <w:pgSz w:w="8640" w:h="12960"/>
          <w:pgMar w:top="1060" w:right="0" w:bottom="1040" w:left="0" w:header="0" w:footer="850" w:gutter="0"/>
          <w:cols w:space="720"/>
        </w:sectPr>
      </w:pPr>
    </w:p>
    <w:p w14:paraId="11D560E7" w14:textId="77777777" w:rsidR="002653E8" w:rsidRDefault="003115E3">
      <w:pPr>
        <w:pStyle w:val="a3"/>
        <w:spacing w:before="86" w:line="264" w:lineRule="auto"/>
        <w:ind w:left="1327" w:right="1145"/>
        <w:jc w:val="both"/>
      </w:pPr>
      <w:r>
        <w:rPr>
          <w:color w:val="231F20"/>
        </w:rPr>
        <w:lastRenderedPageBreak/>
        <w:t>thousands of people protested in demonstrations across the country, while a similar number of workers staged a one-day strike. To its critics, the Act represented a dangerous step along the road to re-establishing fascism in the Federal Republic, and this fear was simply reinforced by the way in which the Grand Coalition could pass the legislation regardless of the widespread protests against it.</w:t>
      </w:r>
    </w:p>
    <w:p w14:paraId="41F32781" w14:textId="77777777" w:rsidR="002653E8" w:rsidRDefault="003115E3">
      <w:pPr>
        <w:pStyle w:val="a3"/>
        <w:spacing w:line="264" w:lineRule="auto"/>
        <w:ind w:left="1328" w:right="1145" w:firstLine="210"/>
        <w:jc w:val="both"/>
      </w:pPr>
      <w:r>
        <w:rPr>
          <w:color w:val="231F20"/>
        </w:rPr>
        <w:t>Anti-</w:t>
      </w:r>
      <w:r>
        <w:rPr>
          <w:i/>
          <w:color w:val="231F20"/>
        </w:rPr>
        <w:t xml:space="preserve">Notstandgesetze </w:t>
      </w:r>
      <w:r>
        <w:rPr>
          <w:color w:val="231F20"/>
        </w:rPr>
        <w:t xml:space="preserve">activities were particularly impressive in Frankfurt, the financial capital of </w:t>
      </w:r>
      <w:r>
        <w:rPr>
          <w:color w:val="231F20"/>
          <w:spacing w:val="-3"/>
        </w:rPr>
        <w:t xml:space="preserve">West </w:t>
      </w:r>
      <w:r>
        <w:rPr>
          <w:color w:val="231F20"/>
        </w:rPr>
        <w:t xml:space="preserve">Germany, which had also become something of an intellectual center for the student movement. On May </w:t>
      </w:r>
      <w:r>
        <w:rPr>
          <w:color w:val="231F20"/>
          <w:spacing w:val="-8"/>
        </w:rPr>
        <w:t xml:space="preserve">27, </w:t>
      </w:r>
      <w:r>
        <w:rPr>
          <w:color w:val="231F20"/>
        </w:rPr>
        <w:t>students occupied the Frankfurt University, and for several days held</w:t>
      </w:r>
      <w:r>
        <w:rPr>
          <w:color w:val="231F20"/>
          <w:spacing w:val="-6"/>
        </w:rPr>
        <w:t xml:space="preserve"> </w:t>
      </w:r>
      <w:r>
        <w:rPr>
          <w:color w:val="231F20"/>
        </w:rPr>
        <w:t>seminars</w:t>
      </w:r>
      <w:r>
        <w:rPr>
          <w:color w:val="231F20"/>
          <w:spacing w:val="-6"/>
        </w:rPr>
        <w:t xml:space="preserve"> </w:t>
      </w:r>
      <w:r>
        <w:rPr>
          <w:color w:val="231F20"/>
        </w:rPr>
        <w:t>and</w:t>
      </w:r>
      <w:r>
        <w:rPr>
          <w:color w:val="231F20"/>
          <w:spacing w:val="-6"/>
        </w:rPr>
        <w:t xml:space="preserve"> </w:t>
      </w:r>
      <w:r>
        <w:rPr>
          <w:color w:val="231F20"/>
        </w:rPr>
        <w:t>workshops</w:t>
      </w:r>
      <w:r>
        <w:rPr>
          <w:color w:val="231F20"/>
          <w:spacing w:val="-6"/>
        </w:rPr>
        <w:t xml:space="preserve"> </w:t>
      </w:r>
      <w:r>
        <w:rPr>
          <w:color w:val="231F20"/>
        </w:rPr>
        <w:t>addressing</w:t>
      </w:r>
      <w:r>
        <w:rPr>
          <w:color w:val="231F20"/>
          <w:spacing w:val="-6"/>
        </w:rPr>
        <w:t xml:space="preserve"> </w:t>
      </w:r>
      <w:r>
        <w:rPr>
          <w:color w:val="231F20"/>
        </w:rPr>
        <w:t>a</w:t>
      </w:r>
      <w:r>
        <w:rPr>
          <w:color w:val="231F20"/>
          <w:spacing w:val="-6"/>
        </w:rPr>
        <w:t xml:space="preserve"> </w:t>
      </w:r>
      <w:r>
        <w:rPr>
          <w:color w:val="231F20"/>
        </w:rPr>
        <w:t>variety</w:t>
      </w:r>
      <w:r>
        <w:rPr>
          <w:color w:val="231F20"/>
          <w:spacing w:val="-6"/>
        </w:rPr>
        <w:t xml:space="preserve"> </w:t>
      </w:r>
      <w:r>
        <w:rPr>
          <w:color w:val="231F20"/>
        </w:rPr>
        <w:t>of</w:t>
      </w:r>
      <w:r>
        <w:rPr>
          <w:color w:val="231F20"/>
          <w:spacing w:val="-6"/>
        </w:rPr>
        <w:t xml:space="preserve"> </w:t>
      </w:r>
      <w:r>
        <w:rPr>
          <w:color w:val="231F20"/>
        </w:rPr>
        <w:t>political</w:t>
      </w:r>
      <w:r>
        <w:rPr>
          <w:color w:val="231F20"/>
          <w:spacing w:val="-6"/>
        </w:rPr>
        <w:t xml:space="preserve"> </w:t>
      </w:r>
      <w:r>
        <w:rPr>
          <w:color w:val="231F20"/>
        </w:rPr>
        <w:t>questions. It</w:t>
      </w:r>
      <w:r>
        <w:rPr>
          <w:color w:val="231F20"/>
          <w:spacing w:val="11"/>
        </w:rPr>
        <w:t xml:space="preserve"> </w:t>
      </w:r>
      <w:r>
        <w:rPr>
          <w:color w:val="231F20"/>
        </w:rPr>
        <w:t>took</w:t>
      </w:r>
      <w:r>
        <w:rPr>
          <w:color w:val="231F20"/>
          <w:spacing w:val="11"/>
        </w:rPr>
        <w:t xml:space="preserve"> </w:t>
      </w:r>
      <w:r>
        <w:rPr>
          <w:color w:val="231F20"/>
        </w:rPr>
        <w:t>large</w:t>
      </w:r>
      <w:r>
        <w:rPr>
          <w:color w:val="231F20"/>
          <w:spacing w:val="11"/>
        </w:rPr>
        <w:t xml:space="preserve"> </w:t>
      </w:r>
      <w:r>
        <w:rPr>
          <w:color w:val="231F20"/>
        </w:rPr>
        <w:t>scale</w:t>
      </w:r>
      <w:r>
        <w:rPr>
          <w:color w:val="231F20"/>
          <w:spacing w:val="11"/>
        </w:rPr>
        <w:t xml:space="preserve"> </w:t>
      </w:r>
      <w:r>
        <w:rPr>
          <w:color w:val="231F20"/>
        </w:rPr>
        <w:t>police</w:t>
      </w:r>
      <w:r>
        <w:rPr>
          <w:color w:val="231F20"/>
          <w:spacing w:val="11"/>
        </w:rPr>
        <w:t xml:space="preserve"> </w:t>
      </w:r>
      <w:r>
        <w:rPr>
          <w:color w:val="231F20"/>
        </w:rPr>
        <w:t>raids</w:t>
      </w:r>
      <w:r>
        <w:rPr>
          <w:color w:val="231F20"/>
          <w:spacing w:val="11"/>
        </w:rPr>
        <w:t xml:space="preserve"> </w:t>
      </w:r>
      <w:r>
        <w:rPr>
          <w:color w:val="231F20"/>
        </w:rPr>
        <w:t>on</w:t>
      </w:r>
      <w:r>
        <w:rPr>
          <w:color w:val="231F20"/>
          <w:spacing w:val="11"/>
        </w:rPr>
        <w:t xml:space="preserve"> </w:t>
      </w:r>
      <w:r>
        <w:rPr>
          <w:color w:val="231F20"/>
        </w:rPr>
        <w:t>May</w:t>
      </w:r>
      <w:r>
        <w:rPr>
          <w:color w:val="231F20"/>
          <w:spacing w:val="12"/>
        </w:rPr>
        <w:t xml:space="preserve"> </w:t>
      </w:r>
      <w:r>
        <w:rPr>
          <w:color w:val="231F20"/>
          <w:spacing w:val="-3"/>
        </w:rPr>
        <w:t>30</w:t>
      </w:r>
      <w:r>
        <w:rPr>
          <w:color w:val="231F20"/>
          <w:spacing w:val="11"/>
        </w:rPr>
        <w:t xml:space="preserve"> </w:t>
      </w:r>
      <w:r>
        <w:rPr>
          <w:color w:val="231F20"/>
        </w:rPr>
        <w:t>to</w:t>
      </w:r>
      <w:r>
        <w:rPr>
          <w:color w:val="231F20"/>
          <w:spacing w:val="11"/>
        </w:rPr>
        <w:t xml:space="preserve"> </w:t>
      </w:r>
      <w:r>
        <w:rPr>
          <w:color w:val="231F20"/>
        </w:rPr>
        <w:t>clear</w:t>
      </w:r>
      <w:r>
        <w:rPr>
          <w:color w:val="231F20"/>
          <w:spacing w:val="11"/>
        </w:rPr>
        <w:t xml:space="preserve"> </w:t>
      </w:r>
      <w:r>
        <w:rPr>
          <w:color w:val="231F20"/>
        </w:rPr>
        <w:t>the</w:t>
      </w:r>
      <w:r>
        <w:rPr>
          <w:color w:val="231F20"/>
          <w:spacing w:val="11"/>
        </w:rPr>
        <w:t xml:space="preserve"> </w:t>
      </w:r>
      <w:r>
        <w:rPr>
          <w:color w:val="231F20"/>
        </w:rPr>
        <w:t>campus.</w:t>
      </w:r>
    </w:p>
    <w:p w14:paraId="283F5270" w14:textId="77777777" w:rsidR="002653E8" w:rsidRDefault="003115E3">
      <w:pPr>
        <w:pStyle w:val="a3"/>
        <w:spacing w:line="228" w:lineRule="exact"/>
        <w:ind w:left="1538"/>
      </w:pPr>
      <w:r>
        <w:rPr>
          <w:color w:val="231F20"/>
        </w:rPr>
        <w:t>All this notwithstanding, the Act was passed into law.</w:t>
      </w:r>
    </w:p>
    <w:p w14:paraId="204A4C9C" w14:textId="77777777" w:rsidR="002653E8" w:rsidRDefault="003115E3">
      <w:pPr>
        <w:pStyle w:val="a3"/>
        <w:spacing w:before="16" w:line="264" w:lineRule="auto"/>
        <w:ind w:left="1328" w:right="1145" w:firstLine="210"/>
        <w:jc w:val="both"/>
      </w:pPr>
      <w:r>
        <w:rPr>
          <w:color w:val="231F20"/>
        </w:rPr>
        <w:t>The failure of the anti-</w:t>
      </w:r>
      <w:r>
        <w:rPr>
          <w:i/>
          <w:color w:val="231F20"/>
        </w:rPr>
        <w:t xml:space="preserve">Notstandgesetze </w:t>
      </w:r>
      <w:r>
        <w:rPr>
          <w:color w:val="231F20"/>
        </w:rPr>
        <w:t xml:space="preserve">movement was experienced  as a bitter defeat by the New </w:t>
      </w:r>
      <w:r>
        <w:rPr>
          <w:color w:val="231F20"/>
          <w:spacing w:val="1"/>
        </w:rPr>
        <w:t xml:space="preserve">Left. </w:t>
      </w:r>
      <w:r>
        <w:rPr>
          <w:color w:val="231F20"/>
        </w:rPr>
        <w:t xml:space="preserve">Many entertained alarmist fears that the laws would be used to institute a dictatorship, in much the same </w:t>
      </w:r>
      <w:r>
        <w:rPr>
          <w:color w:val="231F20"/>
          <w:spacing w:val="-2"/>
        </w:rPr>
        <w:t xml:space="preserve">way </w:t>
      </w:r>
      <w:r>
        <w:rPr>
          <w:color w:val="231F20"/>
        </w:rPr>
        <w:t xml:space="preserve">as Hindenburg had used similar powers in </w:t>
      </w:r>
      <w:r>
        <w:rPr>
          <w:color w:val="231F20"/>
          <w:spacing w:val="-6"/>
        </w:rPr>
        <w:t xml:space="preserve">1930 </w:t>
      </w:r>
      <w:r>
        <w:rPr>
          <w:color w:val="231F20"/>
        </w:rPr>
        <w:t xml:space="preserve">and </w:t>
      </w:r>
      <w:r>
        <w:rPr>
          <w:color w:val="231F20"/>
          <w:spacing w:val="-8"/>
        </w:rPr>
        <w:t xml:space="preserve">1933 </w:t>
      </w:r>
      <w:r>
        <w:rPr>
          <w:color w:val="231F20"/>
        </w:rPr>
        <w:t>to create a government independent from parliament, which had facilitated the Nazi</w:t>
      </w:r>
      <w:r>
        <w:rPr>
          <w:color w:val="231F20"/>
          <w:spacing w:val="13"/>
        </w:rPr>
        <w:t xml:space="preserve"> </w:t>
      </w:r>
      <w:r>
        <w:rPr>
          <w:color w:val="231F20"/>
        </w:rPr>
        <w:t>dictatorship.</w:t>
      </w:r>
      <w:r>
        <w:rPr>
          <w:color w:val="231F20"/>
          <w:spacing w:val="13"/>
        </w:rPr>
        <w:t xml:space="preserve"> </w:t>
      </w:r>
      <w:r>
        <w:rPr>
          <w:color w:val="231F20"/>
          <w:spacing w:val="1"/>
        </w:rPr>
        <w:t>In</w:t>
      </w:r>
      <w:r>
        <w:rPr>
          <w:color w:val="231F20"/>
          <w:spacing w:val="13"/>
        </w:rPr>
        <w:t xml:space="preserve"> </w:t>
      </w:r>
      <w:r>
        <w:rPr>
          <w:color w:val="231F20"/>
        </w:rPr>
        <w:t>the</w:t>
      </w:r>
      <w:r>
        <w:rPr>
          <w:color w:val="231F20"/>
          <w:spacing w:val="13"/>
        </w:rPr>
        <w:t xml:space="preserve"> </w:t>
      </w:r>
      <w:r>
        <w:rPr>
          <w:color w:val="231F20"/>
        </w:rPr>
        <w:t>words</w:t>
      </w:r>
      <w:r>
        <w:rPr>
          <w:color w:val="231F20"/>
          <w:spacing w:val="13"/>
        </w:rPr>
        <w:t xml:space="preserve"> </w:t>
      </w:r>
      <w:r>
        <w:rPr>
          <w:color w:val="231F20"/>
        </w:rPr>
        <w:t>of</w:t>
      </w:r>
      <w:r>
        <w:rPr>
          <w:color w:val="231F20"/>
          <w:spacing w:val="13"/>
        </w:rPr>
        <w:t xml:space="preserve"> </w:t>
      </w:r>
      <w:r>
        <w:rPr>
          <w:color w:val="231F20"/>
        </w:rPr>
        <w:t>Hans-Jürgen</w:t>
      </w:r>
      <w:r>
        <w:rPr>
          <w:color w:val="231F20"/>
          <w:spacing w:val="13"/>
        </w:rPr>
        <w:t xml:space="preserve"> </w:t>
      </w:r>
      <w:r>
        <w:rPr>
          <w:color w:val="231F20"/>
        </w:rPr>
        <w:t>Krahl:</w:t>
      </w:r>
    </w:p>
    <w:p w14:paraId="5D69BFCE" w14:textId="77777777" w:rsidR="002653E8" w:rsidRDefault="003115E3">
      <w:pPr>
        <w:spacing w:before="123" w:line="276" w:lineRule="auto"/>
        <w:ind w:left="1747" w:right="1565"/>
        <w:jc w:val="both"/>
        <w:rPr>
          <w:i/>
          <w:sz w:val="11"/>
        </w:rPr>
      </w:pPr>
      <w:r>
        <w:rPr>
          <w:i/>
          <w:color w:val="231F20"/>
          <w:w w:val="105"/>
          <w:sz w:val="19"/>
        </w:rPr>
        <w:t>Democracy in Germany is finished. Through concerted political activism we have to form a broad, militant base of resistance against these developments, which could well lead to war and concentration</w:t>
      </w:r>
      <w:r>
        <w:rPr>
          <w:i/>
          <w:color w:val="231F20"/>
          <w:spacing w:val="-23"/>
          <w:w w:val="105"/>
          <w:sz w:val="19"/>
        </w:rPr>
        <w:t xml:space="preserve"> </w:t>
      </w:r>
      <w:r>
        <w:rPr>
          <w:i/>
          <w:color w:val="231F20"/>
          <w:w w:val="105"/>
          <w:sz w:val="19"/>
        </w:rPr>
        <w:t>camps.</w:t>
      </w:r>
      <w:r>
        <w:rPr>
          <w:i/>
          <w:color w:val="231F20"/>
          <w:spacing w:val="-26"/>
          <w:w w:val="105"/>
          <w:sz w:val="19"/>
        </w:rPr>
        <w:t xml:space="preserve"> </w:t>
      </w:r>
      <w:r>
        <w:rPr>
          <w:i/>
          <w:color w:val="231F20"/>
          <w:w w:val="105"/>
          <w:sz w:val="19"/>
        </w:rPr>
        <w:t>Our</w:t>
      </w:r>
      <w:r>
        <w:rPr>
          <w:i/>
          <w:color w:val="231F20"/>
          <w:spacing w:val="-23"/>
          <w:w w:val="105"/>
          <w:sz w:val="19"/>
        </w:rPr>
        <w:t xml:space="preserve"> </w:t>
      </w:r>
      <w:r>
        <w:rPr>
          <w:i/>
          <w:color w:val="231F20"/>
          <w:w w:val="105"/>
          <w:sz w:val="19"/>
        </w:rPr>
        <w:t>struggle</w:t>
      </w:r>
      <w:r>
        <w:rPr>
          <w:i/>
          <w:color w:val="231F20"/>
          <w:spacing w:val="-23"/>
          <w:w w:val="105"/>
          <w:sz w:val="19"/>
        </w:rPr>
        <w:t xml:space="preserve"> </w:t>
      </w:r>
      <w:r>
        <w:rPr>
          <w:i/>
          <w:color w:val="231F20"/>
          <w:w w:val="105"/>
          <w:sz w:val="19"/>
        </w:rPr>
        <w:t>against</w:t>
      </w:r>
      <w:r>
        <w:rPr>
          <w:i/>
          <w:color w:val="231F20"/>
          <w:spacing w:val="-23"/>
          <w:w w:val="105"/>
          <w:sz w:val="19"/>
        </w:rPr>
        <w:t xml:space="preserve"> </w:t>
      </w:r>
      <w:r>
        <w:rPr>
          <w:i/>
          <w:color w:val="231F20"/>
          <w:w w:val="105"/>
          <w:sz w:val="19"/>
        </w:rPr>
        <w:t>the</w:t>
      </w:r>
      <w:r>
        <w:rPr>
          <w:i/>
          <w:color w:val="231F20"/>
          <w:spacing w:val="-23"/>
          <w:w w:val="105"/>
          <w:sz w:val="19"/>
        </w:rPr>
        <w:t xml:space="preserve"> </w:t>
      </w:r>
      <w:r>
        <w:rPr>
          <w:i/>
          <w:color w:val="231F20"/>
          <w:w w:val="105"/>
          <w:sz w:val="19"/>
        </w:rPr>
        <w:t>authoritarian</w:t>
      </w:r>
      <w:r>
        <w:rPr>
          <w:i/>
          <w:color w:val="231F20"/>
          <w:spacing w:val="-23"/>
          <w:w w:val="105"/>
          <w:sz w:val="19"/>
        </w:rPr>
        <w:t xml:space="preserve"> </w:t>
      </w:r>
      <w:r>
        <w:rPr>
          <w:i/>
          <w:color w:val="231F20"/>
          <w:w w:val="105"/>
          <w:sz w:val="19"/>
        </w:rPr>
        <w:t>state of today can prevent the fascism of</w:t>
      </w:r>
      <w:r>
        <w:rPr>
          <w:i/>
          <w:color w:val="231F20"/>
          <w:spacing w:val="40"/>
          <w:w w:val="105"/>
          <w:sz w:val="19"/>
        </w:rPr>
        <w:t xml:space="preserve"> </w:t>
      </w:r>
      <w:r>
        <w:rPr>
          <w:i/>
          <w:color w:val="231F20"/>
          <w:w w:val="105"/>
          <w:sz w:val="19"/>
        </w:rPr>
        <w:t>tomorrow.</w:t>
      </w:r>
      <w:r>
        <w:rPr>
          <w:i/>
          <w:color w:val="231F20"/>
          <w:w w:val="105"/>
          <w:position w:val="6"/>
          <w:sz w:val="11"/>
        </w:rPr>
        <w:t>2</w:t>
      </w:r>
    </w:p>
    <w:p w14:paraId="3CF03873" w14:textId="77777777" w:rsidR="002653E8" w:rsidRDefault="003115E3">
      <w:pPr>
        <w:pStyle w:val="a3"/>
        <w:spacing w:before="131" w:line="264" w:lineRule="auto"/>
        <w:ind w:left="1327" w:right="1146"/>
        <w:jc w:val="both"/>
      </w:pPr>
      <w:r>
        <w:rPr>
          <w:color w:val="231F20"/>
          <w:spacing w:val="1"/>
        </w:rPr>
        <w:t xml:space="preserve">In </w:t>
      </w:r>
      <w:r>
        <w:rPr>
          <w:color w:val="231F20"/>
        </w:rPr>
        <w:t xml:space="preserve">this heady climate, matters continued to escalate throughout </w:t>
      </w:r>
      <w:r>
        <w:rPr>
          <w:color w:val="231F20"/>
          <w:spacing w:val="-4"/>
        </w:rPr>
        <w:t xml:space="preserve">1968, </w:t>
      </w:r>
      <w:r>
        <w:rPr>
          <w:color w:val="231F20"/>
        </w:rPr>
        <w:t>sections of the movement graduating to more organized and militantly ambitious</w:t>
      </w:r>
      <w:r>
        <w:rPr>
          <w:color w:val="231F20"/>
          <w:spacing w:val="-5"/>
        </w:rPr>
        <w:t xml:space="preserve"> </w:t>
      </w:r>
      <w:r>
        <w:rPr>
          <w:color w:val="231F20"/>
        </w:rPr>
        <w:t>protests.</w:t>
      </w:r>
      <w:r>
        <w:rPr>
          <w:color w:val="231F20"/>
          <w:spacing w:val="-5"/>
        </w:rPr>
        <w:t xml:space="preserve"> </w:t>
      </w:r>
      <w:r>
        <w:rPr>
          <w:color w:val="231F20"/>
        </w:rPr>
        <w:t>The</w:t>
      </w:r>
      <w:r>
        <w:rPr>
          <w:color w:val="231F20"/>
          <w:spacing w:val="-5"/>
        </w:rPr>
        <w:t xml:space="preserve"> </w:t>
      </w:r>
      <w:r>
        <w:rPr>
          <w:color w:val="231F20"/>
        </w:rPr>
        <w:t>most</w:t>
      </w:r>
      <w:r>
        <w:rPr>
          <w:color w:val="231F20"/>
          <w:spacing w:val="-5"/>
        </w:rPr>
        <w:t xml:space="preserve"> </w:t>
      </w:r>
      <w:r>
        <w:rPr>
          <w:color w:val="231F20"/>
        </w:rPr>
        <w:t>impressive</w:t>
      </w:r>
      <w:r>
        <w:rPr>
          <w:color w:val="231F20"/>
          <w:spacing w:val="-5"/>
        </w:rPr>
        <w:t xml:space="preserve"> </w:t>
      </w:r>
      <w:r>
        <w:rPr>
          <w:color w:val="231F20"/>
        </w:rPr>
        <w:t>examples</w:t>
      </w:r>
      <w:r>
        <w:rPr>
          <w:color w:val="231F20"/>
          <w:spacing w:val="-5"/>
        </w:rPr>
        <w:t xml:space="preserve"> </w:t>
      </w:r>
      <w:r>
        <w:rPr>
          <w:color w:val="231F20"/>
        </w:rPr>
        <w:t>of</w:t>
      </w:r>
      <w:r>
        <w:rPr>
          <w:color w:val="231F20"/>
          <w:spacing w:val="-5"/>
        </w:rPr>
        <w:t xml:space="preserve"> </w:t>
      </w:r>
      <w:r>
        <w:rPr>
          <w:color w:val="231F20"/>
        </w:rPr>
        <w:t>this</w:t>
      </w:r>
      <w:r>
        <w:rPr>
          <w:color w:val="231F20"/>
          <w:spacing w:val="-5"/>
        </w:rPr>
        <w:t xml:space="preserve"> </w:t>
      </w:r>
      <w:r>
        <w:rPr>
          <w:color w:val="231F20"/>
        </w:rPr>
        <w:t>were</w:t>
      </w:r>
      <w:r>
        <w:rPr>
          <w:color w:val="231F20"/>
          <w:spacing w:val="-5"/>
        </w:rPr>
        <w:t xml:space="preserve"> </w:t>
      </w:r>
      <w:r>
        <w:rPr>
          <w:color w:val="231F20"/>
        </w:rPr>
        <w:t>probably those that accompanied attempts to disbar Horst</w:t>
      </w:r>
      <w:r>
        <w:rPr>
          <w:color w:val="231F20"/>
          <w:spacing w:val="3"/>
        </w:rPr>
        <w:t xml:space="preserve"> </w:t>
      </w:r>
      <w:r>
        <w:rPr>
          <w:color w:val="231F20"/>
        </w:rPr>
        <w:t>Mahler.</w:t>
      </w:r>
    </w:p>
    <w:p w14:paraId="66B25BDB" w14:textId="77777777" w:rsidR="002653E8" w:rsidRDefault="003115E3">
      <w:pPr>
        <w:pStyle w:val="a3"/>
        <w:spacing w:line="264" w:lineRule="auto"/>
        <w:ind w:left="1327" w:right="1145" w:firstLine="210"/>
        <w:jc w:val="both"/>
        <w:rPr>
          <w:sz w:val="11"/>
        </w:rPr>
      </w:pPr>
      <w:r>
        <w:rPr>
          <w:color w:val="231F20"/>
        </w:rPr>
        <w:t xml:space="preserve">Mahler was a superstar of the </w:t>
      </w:r>
      <w:r>
        <w:rPr>
          <w:color w:val="231F20"/>
          <w:spacing w:val="-3"/>
        </w:rPr>
        <w:t xml:space="preserve">West </w:t>
      </w:r>
      <w:r>
        <w:rPr>
          <w:color w:val="231F20"/>
        </w:rPr>
        <w:t xml:space="preserve">Berlin left, known as the “hippy lawyer” who defended radicals in many of the most important cases of this period. He had been involved with the SDS, and was a co-founder of the </w:t>
      </w:r>
      <w:r>
        <w:rPr>
          <w:color w:val="231F20"/>
          <w:spacing w:val="-3"/>
        </w:rPr>
        <w:t xml:space="preserve">West </w:t>
      </w:r>
      <w:r>
        <w:rPr>
          <w:color w:val="231F20"/>
        </w:rPr>
        <w:t>Berlin Republican Club and the Socialist Lawyers Collective.</w:t>
      </w:r>
      <w:r>
        <w:rPr>
          <w:color w:val="231F20"/>
          <w:position w:val="7"/>
          <w:sz w:val="11"/>
        </w:rPr>
        <w:t xml:space="preserve">3 </w:t>
      </w:r>
      <w:r>
        <w:rPr>
          <w:color w:val="231F20"/>
        </w:rPr>
        <w:t>He had been arrested during the anti-Springer protests that April, and  in what would prove to be a foolish move, the state had initiated proceedings to see him</w:t>
      </w:r>
      <w:r>
        <w:rPr>
          <w:color w:val="231F20"/>
          <w:spacing w:val="42"/>
        </w:rPr>
        <w:t xml:space="preserve"> </w:t>
      </w:r>
      <w:r>
        <w:rPr>
          <w:color w:val="231F20"/>
        </w:rPr>
        <w:t>disbarred.</w:t>
      </w:r>
      <w:r>
        <w:rPr>
          <w:color w:val="231F20"/>
          <w:position w:val="7"/>
          <w:sz w:val="11"/>
        </w:rPr>
        <w:t>4</w:t>
      </w:r>
    </w:p>
    <w:p w14:paraId="637AD6B8" w14:textId="77777777" w:rsidR="002653E8" w:rsidRDefault="00000000">
      <w:pPr>
        <w:pStyle w:val="a3"/>
        <w:spacing w:before="6"/>
        <w:rPr>
          <w:sz w:val="17"/>
        </w:rPr>
      </w:pPr>
      <w:r>
        <w:rPr>
          <w:noProof w:val="0"/>
        </w:rPr>
        <w:pict w14:anchorId="537F6F90">
          <v:line id="_x0000_s2658" style="position:absolute;z-index:2416;mso-wrap-distance-left:0;mso-wrap-distance-right:0;mso-position-horizontal-relative:page" from="66.4pt,12.5pt" to="138.4pt,12.5pt" strokecolor="#231f20" strokeweight=".5pt">
            <w10:wrap type="topAndBottom" anchorx="page"/>
          </v:line>
        </w:pict>
      </w:r>
    </w:p>
    <w:p w14:paraId="7A8C3BD7" w14:textId="77777777" w:rsidR="002653E8" w:rsidRDefault="003115E3">
      <w:pPr>
        <w:spacing w:before="53"/>
        <w:ind w:left="1327"/>
        <w:rPr>
          <w:sz w:val="16"/>
        </w:rPr>
      </w:pPr>
      <w:r>
        <w:rPr>
          <w:color w:val="231F20"/>
          <w:w w:val="110"/>
          <w:sz w:val="16"/>
        </w:rPr>
        <w:t>2 Hockenos, 88.</w:t>
      </w:r>
    </w:p>
    <w:p w14:paraId="70E08FA1" w14:textId="77777777" w:rsidR="002653E8" w:rsidRDefault="003115E3">
      <w:pPr>
        <w:spacing w:before="51"/>
        <w:ind w:left="1327"/>
        <w:rPr>
          <w:sz w:val="16"/>
        </w:rPr>
      </w:pPr>
      <w:r>
        <w:rPr>
          <w:color w:val="231F20"/>
          <w:w w:val="110"/>
          <w:sz w:val="16"/>
        </w:rPr>
        <w:t>3 Aust, 65-6.</w:t>
      </w:r>
    </w:p>
    <w:p w14:paraId="71F2FC4F" w14:textId="77777777" w:rsidR="002653E8" w:rsidRDefault="003115E3">
      <w:pPr>
        <w:spacing w:before="52"/>
        <w:ind w:left="1327"/>
        <w:rPr>
          <w:sz w:val="16"/>
        </w:rPr>
      </w:pPr>
      <w:r>
        <w:rPr>
          <w:color w:val="231F20"/>
          <w:w w:val="115"/>
          <w:sz w:val="16"/>
        </w:rPr>
        <w:t>4 Ibid., 64.</w:t>
      </w:r>
    </w:p>
    <w:p w14:paraId="11C66766" w14:textId="77777777" w:rsidR="002653E8" w:rsidRDefault="002653E8">
      <w:pPr>
        <w:rPr>
          <w:sz w:val="16"/>
        </w:rPr>
        <w:sectPr w:rsidR="002653E8">
          <w:pgSz w:w="8640" w:h="12960"/>
          <w:pgMar w:top="1060" w:right="0" w:bottom="1040" w:left="0" w:header="0" w:footer="850" w:gutter="0"/>
          <w:cols w:space="720"/>
        </w:sectPr>
      </w:pPr>
    </w:p>
    <w:p w14:paraId="037981E9" w14:textId="77777777" w:rsidR="002653E8" w:rsidRDefault="003115E3">
      <w:pPr>
        <w:pStyle w:val="a3"/>
        <w:spacing w:before="86" w:line="264" w:lineRule="auto"/>
        <w:ind w:left="1147" w:right="1326" w:firstLine="210"/>
        <w:jc w:val="both"/>
        <w:rPr>
          <w:sz w:val="11"/>
        </w:rPr>
      </w:pPr>
      <w:r>
        <w:rPr>
          <w:color w:val="231F20"/>
        </w:rPr>
        <w:lastRenderedPageBreak/>
        <w:t xml:space="preserve">Mahler’s case became a new lightning rod for the </w:t>
      </w:r>
      <w:r>
        <w:rPr>
          <w:color w:val="231F20"/>
          <w:spacing w:val="-3"/>
        </w:rPr>
        <w:t xml:space="preserve">West </w:t>
      </w:r>
      <w:r>
        <w:rPr>
          <w:color w:val="231F20"/>
        </w:rPr>
        <w:t>Berlin left, which</w:t>
      </w:r>
      <w:r>
        <w:rPr>
          <w:color w:val="231F20"/>
          <w:spacing w:val="-4"/>
        </w:rPr>
        <w:t xml:space="preserve"> </w:t>
      </w:r>
      <w:r>
        <w:rPr>
          <w:color w:val="231F20"/>
        </w:rPr>
        <w:t>felt</w:t>
      </w:r>
      <w:r>
        <w:rPr>
          <w:color w:val="231F20"/>
          <w:spacing w:val="-4"/>
        </w:rPr>
        <w:t xml:space="preserve"> </w:t>
      </w:r>
      <w:r>
        <w:rPr>
          <w:color w:val="231F20"/>
        </w:rPr>
        <w:t>that</w:t>
      </w:r>
      <w:r>
        <w:rPr>
          <w:color w:val="231F20"/>
          <w:spacing w:val="-4"/>
        </w:rPr>
        <w:t xml:space="preserve"> </w:t>
      </w:r>
      <w:r>
        <w:rPr>
          <w:color w:val="231F20"/>
        </w:rPr>
        <w:t>the</w:t>
      </w:r>
      <w:r>
        <w:rPr>
          <w:color w:val="231F20"/>
          <w:spacing w:val="-4"/>
        </w:rPr>
        <w:t xml:space="preserve"> </w:t>
      </w:r>
      <w:r>
        <w:rPr>
          <w:color w:val="231F20"/>
        </w:rPr>
        <w:t>state</w:t>
      </w:r>
      <w:r>
        <w:rPr>
          <w:color w:val="231F20"/>
          <w:spacing w:val="-4"/>
        </w:rPr>
        <w:t xml:space="preserve"> </w:t>
      </w:r>
      <w:r>
        <w:rPr>
          <w:color w:val="231F20"/>
        </w:rPr>
        <w:t>was</w:t>
      </w:r>
      <w:r>
        <w:rPr>
          <w:color w:val="231F20"/>
          <w:spacing w:val="-4"/>
        </w:rPr>
        <w:t xml:space="preserve"> </w:t>
      </w:r>
      <w:r>
        <w:rPr>
          <w:color w:val="231F20"/>
        </w:rPr>
        <w:t>trying</w:t>
      </w:r>
      <w:r>
        <w:rPr>
          <w:color w:val="231F20"/>
          <w:spacing w:val="-4"/>
        </w:rPr>
        <w:t xml:space="preserve"> </w:t>
      </w:r>
      <w:r>
        <w:rPr>
          <w:color w:val="231F20"/>
        </w:rPr>
        <w:t>to</w:t>
      </w:r>
      <w:r>
        <w:rPr>
          <w:color w:val="231F20"/>
          <w:spacing w:val="-4"/>
        </w:rPr>
        <w:t xml:space="preserve"> </w:t>
      </w:r>
      <w:r>
        <w:rPr>
          <w:color w:val="231F20"/>
        </w:rPr>
        <w:t>muzzle</w:t>
      </w:r>
      <w:r>
        <w:rPr>
          <w:color w:val="231F20"/>
          <w:spacing w:val="-4"/>
        </w:rPr>
        <w:t xml:space="preserve"> </w:t>
      </w:r>
      <w:r>
        <w:rPr>
          <w:color w:val="231F20"/>
        </w:rPr>
        <w:t>their</w:t>
      </w:r>
      <w:r>
        <w:rPr>
          <w:color w:val="231F20"/>
          <w:spacing w:val="-4"/>
        </w:rPr>
        <w:t xml:space="preserve"> </w:t>
      </w:r>
      <w:r>
        <w:rPr>
          <w:color w:val="231F20"/>
        </w:rPr>
        <w:t>most</w:t>
      </w:r>
      <w:r>
        <w:rPr>
          <w:color w:val="231F20"/>
          <w:spacing w:val="-4"/>
        </w:rPr>
        <w:t xml:space="preserve"> </w:t>
      </w:r>
      <w:r>
        <w:rPr>
          <w:color w:val="231F20"/>
        </w:rPr>
        <w:t>committed</w:t>
      </w:r>
      <w:r>
        <w:rPr>
          <w:color w:val="231F20"/>
          <w:spacing w:val="-4"/>
        </w:rPr>
        <w:t xml:space="preserve"> </w:t>
      </w:r>
      <w:r>
        <w:rPr>
          <w:color w:val="231F20"/>
        </w:rPr>
        <w:t>legal defender. The student councils of the Free University and the Technical University called for protests the day of his hearing, one organizer describing the goal as “the destruction of the justice apparatus through massive</w:t>
      </w:r>
      <w:r>
        <w:rPr>
          <w:color w:val="231F20"/>
          <w:spacing w:val="10"/>
        </w:rPr>
        <w:t xml:space="preserve"> </w:t>
      </w:r>
      <w:r>
        <w:rPr>
          <w:color w:val="231F20"/>
        </w:rPr>
        <w:t>demonstrations.”</w:t>
      </w:r>
      <w:r>
        <w:rPr>
          <w:color w:val="231F20"/>
          <w:position w:val="7"/>
          <w:sz w:val="11"/>
        </w:rPr>
        <w:t>1</w:t>
      </w:r>
    </w:p>
    <w:p w14:paraId="6779708E" w14:textId="77777777" w:rsidR="002653E8" w:rsidRDefault="003115E3">
      <w:pPr>
        <w:pStyle w:val="a3"/>
        <w:spacing w:line="264" w:lineRule="auto"/>
        <w:ind w:left="1147" w:right="1326" w:firstLine="210"/>
        <w:jc w:val="both"/>
      </w:pPr>
      <w:r>
        <w:rPr>
          <w:color w:val="231F20"/>
        </w:rPr>
        <w:t xml:space="preserve">The street fighting which broke out on November 3 would go down  in history as the “Battle of </w:t>
      </w:r>
      <w:r>
        <w:rPr>
          <w:color w:val="231F20"/>
          <w:spacing w:val="-3"/>
        </w:rPr>
        <w:t xml:space="preserve">Tegeler </w:t>
      </w:r>
      <w:r>
        <w:rPr>
          <w:color w:val="231F20"/>
          <w:spacing w:val="-4"/>
        </w:rPr>
        <w:t>Weg.”</w:t>
      </w:r>
      <w:r>
        <w:rPr>
          <w:color w:val="231F20"/>
          <w:spacing w:val="-4"/>
          <w:position w:val="7"/>
          <w:sz w:val="11"/>
        </w:rPr>
        <w:t xml:space="preserve">2 </w:t>
      </w:r>
      <w:r>
        <w:rPr>
          <w:color w:val="231F20"/>
        </w:rPr>
        <w:t xml:space="preserve">On the one side, the helmetwearing protesters (roughly </w:t>
      </w:r>
      <w:r>
        <w:rPr>
          <w:color w:val="231F20"/>
          <w:spacing w:val="-4"/>
        </w:rPr>
        <w:t xml:space="preserve">1,500) </w:t>
      </w:r>
      <w:r>
        <w:rPr>
          <w:color w:val="231F20"/>
        </w:rPr>
        <w:t>attacked with cobblestones and twoby-fours, on the other the police (numbering 1,000) used water cannons, tear gas, and billy</w:t>
      </w:r>
      <w:r>
        <w:rPr>
          <w:color w:val="231F20"/>
          <w:spacing w:val="11"/>
        </w:rPr>
        <w:t xml:space="preserve"> </w:t>
      </w:r>
      <w:r>
        <w:rPr>
          <w:color w:val="231F20"/>
        </w:rPr>
        <w:t>clubs:</w:t>
      </w:r>
    </w:p>
    <w:p w14:paraId="38DFD82B" w14:textId="77777777" w:rsidR="002653E8" w:rsidRDefault="002653E8">
      <w:pPr>
        <w:pStyle w:val="a3"/>
        <w:rPr>
          <w:sz w:val="19"/>
        </w:rPr>
      </w:pPr>
    </w:p>
    <w:p w14:paraId="7E74C8A0" w14:textId="77777777" w:rsidR="002653E8" w:rsidRDefault="003115E3">
      <w:pPr>
        <w:spacing w:line="276" w:lineRule="auto"/>
        <w:ind w:left="1567" w:right="1745"/>
        <w:jc w:val="both"/>
        <w:rPr>
          <w:i/>
          <w:sz w:val="19"/>
        </w:rPr>
      </w:pPr>
      <w:r>
        <w:rPr>
          <w:i/>
          <w:color w:val="231F20"/>
          <w:w w:val="105"/>
          <w:sz w:val="19"/>
        </w:rPr>
        <w:t>Several lawyers and bystanders were hit by cobblestones ripped from the sidewalks and hurled by the youths, most of them wearing crash helmets, as they moved forward in waves</w:t>
      </w:r>
      <w:r>
        <w:rPr>
          <w:i/>
          <w:color w:val="231F20"/>
          <w:spacing w:val="-22"/>
          <w:w w:val="105"/>
          <w:sz w:val="19"/>
        </w:rPr>
        <w:t xml:space="preserve"> </w:t>
      </w:r>
      <w:r>
        <w:rPr>
          <w:i/>
          <w:color w:val="231F20"/>
          <w:w w:val="105"/>
          <w:sz w:val="19"/>
        </w:rPr>
        <w:t>directed by leaders with</w:t>
      </w:r>
      <w:r>
        <w:rPr>
          <w:i/>
          <w:color w:val="231F20"/>
          <w:spacing w:val="20"/>
          <w:w w:val="105"/>
          <w:sz w:val="19"/>
        </w:rPr>
        <w:t xml:space="preserve"> </w:t>
      </w:r>
      <w:r>
        <w:rPr>
          <w:i/>
          <w:color w:val="231F20"/>
          <w:w w:val="105"/>
          <w:sz w:val="19"/>
        </w:rPr>
        <w:t>megaphones.</w:t>
      </w:r>
    </w:p>
    <w:p w14:paraId="6141AE9D" w14:textId="77777777" w:rsidR="002653E8" w:rsidRDefault="003115E3">
      <w:pPr>
        <w:spacing w:before="40" w:line="276" w:lineRule="auto"/>
        <w:ind w:left="1567" w:right="1746"/>
        <w:jc w:val="both"/>
        <w:rPr>
          <w:i/>
          <w:sz w:val="11"/>
        </w:rPr>
      </w:pPr>
      <w:r>
        <w:rPr>
          <w:i/>
          <w:color w:val="231F20"/>
          <w:sz w:val="19"/>
        </w:rPr>
        <w:t>Injured demonstrators were carried to waiting ambulances  marked with blue crosses and staffed by girls wearing improvised nurses’</w:t>
      </w:r>
      <w:r>
        <w:rPr>
          <w:i/>
          <w:color w:val="231F20"/>
          <w:spacing w:val="10"/>
          <w:sz w:val="19"/>
        </w:rPr>
        <w:t xml:space="preserve"> </w:t>
      </w:r>
      <w:r>
        <w:rPr>
          <w:i/>
          <w:color w:val="231F20"/>
          <w:sz w:val="19"/>
        </w:rPr>
        <w:t>uniforms.</w:t>
      </w:r>
      <w:r>
        <w:rPr>
          <w:i/>
          <w:color w:val="231F20"/>
          <w:position w:val="6"/>
          <w:sz w:val="11"/>
        </w:rPr>
        <w:t>3</w:t>
      </w:r>
    </w:p>
    <w:p w14:paraId="2FD4AD0E" w14:textId="77777777" w:rsidR="002653E8" w:rsidRDefault="002653E8">
      <w:pPr>
        <w:pStyle w:val="a3"/>
        <w:spacing w:before="10"/>
        <w:rPr>
          <w:i/>
        </w:rPr>
      </w:pPr>
    </w:p>
    <w:p w14:paraId="0CFFBAC5" w14:textId="77777777" w:rsidR="002653E8" w:rsidRDefault="003115E3">
      <w:pPr>
        <w:pStyle w:val="a3"/>
        <w:ind w:left="1147"/>
      </w:pPr>
      <w:r>
        <w:rPr>
          <w:color w:val="231F20"/>
        </w:rPr>
        <w:t>Nor were the police spared. As another newspaper  reported:</w:t>
      </w:r>
    </w:p>
    <w:p w14:paraId="49ACD263" w14:textId="77777777" w:rsidR="002653E8" w:rsidRDefault="002653E8">
      <w:pPr>
        <w:pStyle w:val="a3"/>
        <w:spacing w:before="10"/>
        <w:rPr>
          <w:sz w:val="21"/>
        </w:rPr>
      </w:pPr>
    </w:p>
    <w:p w14:paraId="060FE9FF" w14:textId="77777777" w:rsidR="002653E8" w:rsidRDefault="003115E3">
      <w:pPr>
        <w:spacing w:before="1" w:line="276" w:lineRule="auto"/>
        <w:ind w:left="1567" w:right="1739"/>
        <w:jc w:val="both"/>
        <w:rPr>
          <w:i/>
          <w:sz w:val="19"/>
        </w:rPr>
      </w:pPr>
      <w:r>
        <w:rPr>
          <w:i/>
          <w:color w:val="231F20"/>
          <w:sz w:val="19"/>
        </w:rPr>
        <w:t>The demonstrators caused a heavy toll of police casualties with their guerrilla style of battle: thrusting at police, withdrawing, consolidating and then thrusting again from another angle.</w:t>
      </w:r>
    </w:p>
    <w:p w14:paraId="2B90A0CC" w14:textId="77777777" w:rsidR="002653E8" w:rsidRDefault="003115E3">
      <w:pPr>
        <w:spacing w:before="39" w:line="273" w:lineRule="auto"/>
        <w:ind w:left="1567" w:right="1745"/>
        <w:jc w:val="both"/>
        <w:rPr>
          <w:i/>
          <w:sz w:val="11"/>
        </w:rPr>
      </w:pPr>
      <w:r>
        <w:rPr>
          <w:i/>
          <w:color w:val="231F20"/>
          <w:sz w:val="19"/>
        </w:rPr>
        <w:t xml:space="preserve">At one stage they managed to beat back a </w:t>
      </w:r>
      <w:r>
        <w:rPr>
          <w:rFonts w:ascii="Bookman Old Style" w:hAnsi="Bookman Old Style"/>
          <w:i/>
          <w:color w:val="231F20"/>
          <w:sz w:val="19"/>
        </w:rPr>
        <w:t>300</w:t>
      </w:r>
      <w:r>
        <w:rPr>
          <w:i/>
          <w:color w:val="231F20"/>
          <w:sz w:val="19"/>
        </w:rPr>
        <w:t xml:space="preserve">-man police force     a distance of </w:t>
      </w:r>
      <w:r>
        <w:rPr>
          <w:rFonts w:ascii="Bookman Old Style" w:hAnsi="Bookman Old Style"/>
          <w:i/>
          <w:color w:val="231F20"/>
          <w:sz w:val="19"/>
        </w:rPr>
        <w:t xml:space="preserve">150 </w:t>
      </w:r>
      <w:r>
        <w:rPr>
          <w:i/>
          <w:color w:val="231F20"/>
          <w:sz w:val="19"/>
        </w:rPr>
        <w:t xml:space="preserve">yards… </w:t>
      </w:r>
      <w:r>
        <w:rPr>
          <w:i/>
          <w:color w:val="231F20"/>
          <w:spacing w:val="-3"/>
          <w:sz w:val="19"/>
        </w:rPr>
        <w:t xml:space="preserve">Police </w:t>
      </w:r>
      <w:r>
        <w:rPr>
          <w:i/>
          <w:color w:val="231F20"/>
          <w:sz w:val="19"/>
        </w:rPr>
        <w:t xml:space="preserve">counted </w:t>
      </w:r>
      <w:r>
        <w:rPr>
          <w:rFonts w:ascii="Bookman Old Style" w:hAnsi="Bookman Old Style"/>
          <w:i/>
          <w:color w:val="231F20"/>
          <w:sz w:val="19"/>
        </w:rPr>
        <w:t xml:space="preserve">120  </w:t>
      </w:r>
      <w:r>
        <w:rPr>
          <w:i/>
          <w:color w:val="231F20"/>
          <w:sz w:val="19"/>
        </w:rPr>
        <w:t xml:space="preserve">injured  in  their own ranks. </w:t>
      </w:r>
      <w:r>
        <w:rPr>
          <w:i/>
          <w:color w:val="231F20"/>
          <w:spacing w:val="-5"/>
          <w:sz w:val="19"/>
        </w:rPr>
        <w:t xml:space="preserve">Ten </w:t>
      </w:r>
      <w:r>
        <w:rPr>
          <w:i/>
          <w:color w:val="231F20"/>
          <w:sz w:val="19"/>
        </w:rPr>
        <w:t xml:space="preserve">of them had to be treated at a hospital. A police spokesman said seven of </w:t>
      </w:r>
      <w:r>
        <w:rPr>
          <w:rFonts w:ascii="Bookman Old Style" w:hAnsi="Bookman Old Style"/>
          <w:i/>
          <w:color w:val="231F20"/>
          <w:sz w:val="19"/>
        </w:rPr>
        <w:t xml:space="preserve">21 </w:t>
      </w:r>
      <w:r>
        <w:rPr>
          <w:i/>
          <w:color w:val="231F20"/>
          <w:sz w:val="19"/>
        </w:rPr>
        <w:t>injured demonstrators were taken to   a</w:t>
      </w:r>
      <w:r>
        <w:rPr>
          <w:i/>
          <w:color w:val="231F20"/>
          <w:spacing w:val="11"/>
          <w:sz w:val="19"/>
        </w:rPr>
        <w:t xml:space="preserve"> </w:t>
      </w:r>
      <w:r>
        <w:rPr>
          <w:i/>
          <w:color w:val="231F20"/>
          <w:sz w:val="19"/>
        </w:rPr>
        <w:t>hospital.</w:t>
      </w:r>
      <w:r>
        <w:rPr>
          <w:i/>
          <w:color w:val="231F20"/>
          <w:spacing w:val="-3"/>
          <w:sz w:val="19"/>
        </w:rPr>
        <w:t xml:space="preserve"> </w:t>
      </w:r>
      <w:r>
        <w:rPr>
          <w:i/>
          <w:color w:val="231F20"/>
          <w:sz w:val="19"/>
        </w:rPr>
        <w:t>The</w:t>
      </w:r>
      <w:r>
        <w:rPr>
          <w:i/>
          <w:color w:val="231F20"/>
          <w:spacing w:val="11"/>
          <w:sz w:val="19"/>
        </w:rPr>
        <w:t xml:space="preserve"> </w:t>
      </w:r>
      <w:r>
        <w:rPr>
          <w:i/>
          <w:color w:val="231F20"/>
          <w:sz w:val="19"/>
        </w:rPr>
        <w:t>number</w:t>
      </w:r>
      <w:r>
        <w:rPr>
          <w:i/>
          <w:color w:val="231F20"/>
          <w:spacing w:val="11"/>
          <w:sz w:val="19"/>
        </w:rPr>
        <w:t xml:space="preserve"> </w:t>
      </w:r>
      <w:r>
        <w:rPr>
          <w:i/>
          <w:color w:val="231F20"/>
          <w:sz w:val="19"/>
        </w:rPr>
        <w:t>of</w:t>
      </w:r>
      <w:r>
        <w:rPr>
          <w:i/>
          <w:color w:val="231F20"/>
          <w:spacing w:val="11"/>
          <w:sz w:val="19"/>
        </w:rPr>
        <w:t xml:space="preserve"> </w:t>
      </w:r>
      <w:r>
        <w:rPr>
          <w:i/>
          <w:color w:val="231F20"/>
          <w:sz w:val="19"/>
        </w:rPr>
        <w:t>arrests</w:t>
      </w:r>
      <w:r>
        <w:rPr>
          <w:i/>
          <w:color w:val="231F20"/>
          <w:spacing w:val="11"/>
          <w:sz w:val="19"/>
        </w:rPr>
        <w:t xml:space="preserve"> </w:t>
      </w:r>
      <w:r>
        <w:rPr>
          <w:i/>
          <w:color w:val="231F20"/>
          <w:sz w:val="19"/>
        </w:rPr>
        <w:t>was</w:t>
      </w:r>
      <w:r>
        <w:rPr>
          <w:i/>
          <w:color w:val="231F20"/>
          <w:spacing w:val="11"/>
          <w:sz w:val="19"/>
        </w:rPr>
        <w:t xml:space="preserve"> </w:t>
      </w:r>
      <w:r>
        <w:rPr>
          <w:i/>
          <w:color w:val="231F20"/>
          <w:sz w:val="19"/>
        </w:rPr>
        <w:t>placed</w:t>
      </w:r>
      <w:r>
        <w:rPr>
          <w:i/>
          <w:color w:val="231F20"/>
          <w:spacing w:val="11"/>
          <w:sz w:val="19"/>
        </w:rPr>
        <w:t xml:space="preserve"> </w:t>
      </w:r>
      <w:r>
        <w:rPr>
          <w:i/>
          <w:color w:val="231F20"/>
          <w:sz w:val="19"/>
        </w:rPr>
        <w:t>at</w:t>
      </w:r>
      <w:r>
        <w:rPr>
          <w:i/>
          <w:color w:val="231F20"/>
          <w:spacing w:val="11"/>
          <w:sz w:val="19"/>
        </w:rPr>
        <w:t xml:space="preserve"> </w:t>
      </w:r>
      <w:r>
        <w:rPr>
          <w:rFonts w:ascii="Bookman Old Style" w:hAnsi="Bookman Old Style"/>
          <w:i/>
          <w:color w:val="231F20"/>
          <w:sz w:val="19"/>
        </w:rPr>
        <w:t>46</w:t>
      </w:r>
      <w:r>
        <w:rPr>
          <w:i/>
          <w:color w:val="231F20"/>
          <w:sz w:val="19"/>
        </w:rPr>
        <w:t>.</w:t>
      </w:r>
      <w:r>
        <w:rPr>
          <w:i/>
          <w:color w:val="231F20"/>
          <w:position w:val="6"/>
          <w:sz w:val="11"/>
        </w:rPr>
        <w:t>4</w:t>
      </w:r>
    </w:p>
    <w:p w14:paraId="66757EAF" w14:textId="77777777" w:rsidR="002653E8" w:rsidRDefault="002653E8">
      <w:pPr>
        <w:pStyle w:val="a3"/>
        <w:spacing w:before="2"/>
        <w:rPr>
          <w:i/>
          <w:sz w:val="21"/>
        </w:rPr>
      </w:pPr>
    </w:p>
    <w:p w14:paraId="4489F1D7" w14:textId="77777777" w:rsidR="002653E8" w:rsidRDefault="003115E3">
      <w:pPr>
        <w:pStyle w:val="a3"/>
        <w:spacing w:line="264" w:lineRule="auto"/>
        <w:ind w:left="1147" w:right="1580"/>
      </w:pPr>
      <w:r>
        <w:rPr>
          <w:color w:val="231F20"/>
        </w:rPr>
        <w:t>That same night a horse was injured when several molotov cocktails were thrown into the police stable.</w:t>
      </w:r>
      <w:r>
        <w:rPr>
          <w:color w:val="231F20"/>
          <w:position w:val="7"/>
          <w:sz w:val="11"/>
        </w:rPr>
        <w:t xml:space="preserve">5 </w:t>
      </w:r>
      <w:r>
        <w:rPr>
          <w:color w:val="231F20"/>
        </w:rPr>
        <w:t>It would later be suggested that</w:t>
      </w:r>
    </w:p>
    <w:p w14:paraId="7B0F9F04" w14:textId="77777777" w:rsidR="002653E8" w:rsidRDefault="00000000">
      <w:pPr>
        <w:pStyle w:val="a3"/>
        <w:spacing w:before="4"/>
        <w:rPr>
          <w:sz w:val="9"/>
        </w:rPr>
      </w:pPr>
      <w:r>
        <w:rPr>
          <w:noProof w:val="0"/>
        </w:rPr>
        <w:pict w14:anchorId="5AE7BD2E">
          <v:line id="_x0000_s2657" style="position:absolute;z-index:2440;mso-wrap-distance-left:0;mso-wrap-distance-right:0;mso-position-horizontal-relative:page" from="57.4pt,7.7pt" to="129.4pt,7.7pt" strokecolor="#231f20" strokeweight=".5pt">
            <w10:wrap type="topAndBottom" anchorx="page"/>
          </v:line>
        </w:pict>
      </w:r>
    </w:p>
    <w:p w14:paraId="21545B75" w14:textId="77777777" w:rsidR="002653E8" w:rsidRDefault="003115E3">
      <w:pPr>
        <w:pStyle w:val="a4"/>
        <w:numPr>
          <w:ilvl w:val="0"/>
          <w:numId w:val="179"/>
        </w:numPr>
        <w:tabs>
          <w:tab w:val="left" w:pos="1287"/>
        </w:tabs>
        <w:spacing w:before="53"/>
        <w:ind w:hanging="1"/>
        <w:rPr>
          <w:i/>
          <w:sz w:val="16"/>
        </w:rPr>
      </w:pPr>
      <w:r>
        <w:rPr>
          <w:color w:val="231F20"/>
          <w:w w:val="105"/>
          <w:sz w:val="16"/>
        </w:rPr>
        <w:t>Associated</w:t>
      </w:r>
      <w:r>
        <w:rPr>
          <w:color w:val="231F20"/>
          <w:spacing w:val="10"/>
          <w:w w:val="105"/>
          <w:sz w:val="16"/>
        </w:rPr>
        <w:t xml:space="preserve"> </w:t>
      </w:r>
      <w:r>
        <w:rPr>
          <w:color w:val="231F20"/>
          <w:w w:val="105"/>
          <w:sz w:val="16"/>
        </w:rPr>
        <w:t>Press,</w:t>
      </w:r>
      <w:r>
        <w:rPr>
          <w:color w:val="231F20"/>
          <w:spacing w:val="10"/>
          <w:w w:val="105"/>
          <w:sz w:val="16"/>
        </w:rPr>
        <w:t xml:space="preserve"> </w:t>
      </w:r>
      <w:r>
        <w:rPr>
          <w:color w:val="231F20"/>
          <w:w w:val="105"/>
          <w:sz w:val="16"/>
        </w:rPr>
        <w:t>“Student</w:t>
      </w:r>
      <w:r>
        <w:rPr>
          <w:color w:val="231F20"/>
          <w:spacing w:val="10"/>
          <w:w w:val="105"/>
          <w:sz w:val="16"/>
        </w:rPr>
        <w:t xml:space="preserve"> </w:t>
      </w:r>
      <w:r>
        <w:rPr>
          <w:color w:val="231F20"/>
          <w:w w:val="105"/>
          <w:sz w:val="16"/>
        </w:rPr>
        <w:t>‘Army’</w:t>
      </w:r>
      <w:r>
        <w:rPr>
          <w:color w:val="231F20"/>
          <w:spacing w:val="10"/>
          <w:w w:val="105"/>
          <w:sz w:val="16"/>
        </w:rPr>
        <w:t xml:space="preserve"> </w:t>
      </w:r>
      <w:r>
        <w:rPr>
          <w:color w:val="231F20"/>
          <w:w w:val="105"/>
          <w:sz w:val="16"/>
        </w:rPr>
        <w:t>Battles</w:t>
      </w:r>
      <w:r>
        <w:rPr>
          <w:color w:val="231F20"/>
          <w:spacing w:val="10"/>
          <w:w w:val="105"/>
          <w:sz w:val="16"/>
        </w:rPr>
        <w:t xml:space="preserve"> </w:t>
      </w:r>
      <w:r>
        <w:rPr>
          <w:color w:val="231F20"/>
          <w:w w:val="105"/>
          <w:sz w:val="16"/>
        </w:rPr>
        <w:t>With</w:t>
      </w:r>
      <w:r>
        <w:rPr>
          <w:color w:val="231F20"/>
          <w:spacing w:val="10"/>
          <w:w w:val="105"/>
          <w:sz w:val="16"/>
        </w:rPr>
        <w:t xml:space="preserve"> </w:t>
      </w:r>
      <w:r>
        <w:rPr>
          <w:color w:val="231F20"/>
          <w:w w:val="105"/>
          <w:sz w:val="16"/>
        </w:rPr>
        <w:t>Berlin</w:t>
      </w:r>
      <w:r>
        <w:rPr>
          <w:color w:val="231F20"/>
          <w:spacing w:val="10"/>
          <w:w w:val="105"/>
          <w:sz w:val="16"/>
        </w:rPr>
        <w:t xml:space="preserve"> </w:t>
      </w:r>
      <w:r>
        <w:rPr>
          <w:color w:val="231F20"/>
          <w:w w:val="105"/>
          <w:sz w:val="16"/>
        </w:rPr>
        <w:t>Police,”</w:t>
      </w:r>
      <w:r>
        <w:rPr>
          <w:color w:val="231F20"/>
          <w:spacing w:val="10"/>
          <w:w w:val="105"/>
          <w:sz w:val="16"/>
        </w:rPr>
        <w:t xml:space="preserve"> </w:t>
      </w:r>
      <w:r>
        <w:rPr>
          <w:i/>
          <w:color w:val="231F20"/>
          <w:w w:val="105"/>
          <w:sz w:val="16"/>
        </w:rPr>
        <w:t>Fresno</w:t>
      </w:r>
      <w:r>
        <w:rPr>
          <w:i/>
          <w:color w:val="231F20"/>
          <w:spacing w:val="10"/>
          <w:w w:val="105"/>
          <w:sz w:val="16"/>
        </w:rPr>
        <w:t xml:space="preserve"> </w:t>
      </w:r>
      <w:r>
        <w:rPr>
          <w:i/>
          <w:color w:val="231F20"/>
          <w:w w:val="105"/>
          <w:sz w:val="16"/>
        </w:rPr>
        <w:t>Bee,</w:t>
      </w:r>
    </w:p>
    <w:p w14:paraId="3C456CD9" w14:textId="77777777" w:rsidR="002653E8" w:rsidRDefault="003115E3">
      <w:pPr>
        <w:spacing w:before="11"/>
        <w:ind w:left="1147"/>
        <w:rPr>
          <w:sz w:val="16"/>
        </w:rPr>
      </w:pPr>
      <w:r>
        <w:rPr>
          <w:color w:val="231F20"/>
          <w:w w:val="110"/>
          <w:sz w:val="16"/>
        </w:rPr>
        <w:t>November 4, 1968.</w:t>
      </w:r>
    </w:p>
    <w:p w14:paraId="4E6D9666" w14:textId="77777777" w:rsidR="002653E8" w:rsidRDefault="003115E3">
      <w:pPr>
        <w:pStyle w:val="a4"/>
        <w:numPr>
          <w:ilvl w:val="0"/>
          <w:numId w:val="179"/>
        </w:numPr>
        <w:tabs>
          <w:tab w:val="left" w:pos="1287"/>
        </w:tabs>
        <w:spacing w:before="52" w:line="254" w:lineRule="auto"/>
        <w:ind w:right="1477" w:firstLine="0"/>
        <w:rPr>
          <w:sz w:val="16"/>
        </w:rPr>
      </w:pPr>
      <w:r>
        <w:rPr>
          <w:color w:val="231F20"/>
          <w:w w:val="105"/>
          <w:sz w:val="16"/>
        </w:rPr>
        <w:t>Tegeler Weg is a fashionable street in West Berlin where the Bar Association was located.</w:t>
      </w:r>
    </w:p>
    <w:p w14:paraId="5D2FB187" w14:textId="77777777" w:rsidR="002653E8" w:rsidRDefault="003115E3">
      <w:pPr>
        <w:pStyle w:val="a4"/>
        <w:numPr>
          <w:ilvl w:val="0"/>
          <w:numId w:val="179"/>
        </w:numPr>
        <w:tabs>
          <w:tab w:val="left" w:pos="1287"/>
        </w:tabs>
        <w:ind w:left="1286" w:hanging="138"/>
        <w:rPr>
          <w:sz w:val="16"/>
        </w:rPr>
      </w:pPr>
      <w:r>
        <w:rPr>
          <w:color w:val="231F20"/>
          <w:w w:val="110"/>
          <w:sz w:val="16"/>
        </w:rPr>
        <w:t>Associated Press, “Student</w:t>
      </w:r>
      <w:r>
        <w:rPr>
          <w:color w:val="231F20"/>
          <w:spacing w:val="17"/>
          <w:w w:val="110"/>
          <w:sz w:val="16"/>
        </w:rPr>
        <w:t xml:space="preserve"> </w:t>
      </w:r>
      <w:r>
        <w:rPr>
          <w:color w:val="231F20"/>
          <w:spacing w:val="-3"/>
          <w:w w:val="110"/>
          <w:sz w:val="16"/>
        </w:rPr>
        <w:t>‘Army’.”</w:t>
      </w:r>
    </w:p>
    <w:p w14:paraId="09BA6628" w14:textId="77777777" w:rsidR="002653E8" w:rsidRDefault="003115E3">
      <w:pPr>
        <w:pStyle w:val="a4"/>
        <w:numPr>
          <w:ilvl w:val="0"/>
          <w:numId w:val="179"/>
        </w:numPr>
        <w:tabs>
          <w:tab w:val="left" w:pos="1287"/>
        </w:tabs>
        <w:spacing w:before="51" w:line="307" w:lineRule="auto"/>
        <w:ind w:right="1405" w:firstLine="0"/>
        <w:rPr>
          <w:sz w:val="16"/>
        </w:rPr>
      </w:pPr>
      <w:r>
        <w:rPr>
          <w:color w:val="231F20"/>
          <w:w w:val="110"/>
          <w:sz w:val="16"/>
        </w:rPr>
        <w:t xml:space="preserve">George Thomson, “Berlin police, leftists battle,” </w:t>
      </w:r>
      <w:r>
        <w:rPr>
          <w:i/>
          <w:color w:val="231F20"/>
          <w:w w:val="110"/>
          <w:sz w:val="16"/>
        </w:rPr>
        <w:t xml:space="preserve">Lowell </w:t>
      </w:r>
      <w:r>
        <w:rPr>
          <w:i/>
          <w:color w:val="231F20"/>
          <w:spacing w:val="2"/>
          <w:w w:val="110"/>
          <w:sz w:val="16"/>
        </w:rPr>
        <w:t xml:space="preserve">Sun, </w:t>
      </w:r>
      <w:r>
        <w:rPr>
          <w:color w:val="231F20"/>
          <w:w w:val="110"/>
          <w:sz w:val="16"/>
        </w:rPr>
        <w:t xml:space="preserve">November 4, </w:t>
      </w:r>
      <w:r>
        <w:rPr>
          <w:color w:val="231F20"/>
          <w:spacing w:val="-3"/>
          <w:w w:val="110"/>
          <w:sz w:val="16"/>
        </w:rPr>
        <w:t xml:space="preserve">1968. </w:t>
      </w:r>
      <w:r>
        <w:rPr>
          <w:color w:val="231F20"/>
          <w:w w:val="110"/>
          <w:sz w:val="16"/>
        </w:rPr>
        <w:t>5</w:t>
      </w:r>
      <w:r>
        <w:rPr>
          <w:color w:val="231F20"/>
          <w:spacing w:val="5"/>
          <w:w w:val="110"/>
          <w:sz w:val="16"/>
        </w:rPr>
        <w:t xml:space="preserve"> </w:t>
      </w:r>
      <w:r>
        <w:rPr>
          <w:color w:val="231F20"/>
          <w:w w:val="110"/>
          <w:sz w:val="16"/>
        </w:rPr>
        <w:t>Ibid.</w:t>
      </w:r>
    </w:p>
    <w:p w14:paraId="4EEDC567" w14:textId="77777777" w:rsidR="002653E8" w:rsidRDefault="002653E8">
      <w:pPr>
        <w:spacing w:line="307" w:lineRule="auto"/>
        <w:rPr>
          <w:sz w:val="16"/>
        </w:rPr>
        <w:sectPr w:rsidR="002653E8">
          <w:pgSz w:w="8640" w:h="12960"/>
          <w:pgMar w:top="1060" w:right="0" w:bottom="1040" w:left="0" w:header="0" w:footer="850" w:gutter="0"/>
          <w:cols w:space="720"/>
        </w:sectPr>
      </w:pPr>
    </w:p>
    <w:p w14:paraId="12BAD517" w14:textId="77777777" w:rsidR="002653E8" w:rsidRDefault="003115E3">
      <w:pPr>
        <w:pStyle w:val="a3"/>
        <w:spacing w:before="86" w:line="264" w:lineRule="auto"/>
        <w:ind w:left="1327" w:right="1145"/>
        <w:rPr>
          <w:sz w:val="11"/>
        </w:rPr>
      </w:pPr>
      <w:r>
        <w:rPr>
          <w:color w:val="231F20"/>
        </w:rPr>
        <w:lastRenderedPageBreak/>
        <w:t>this attack was the work of an agent provocateur by the name of Peter Urbach.</w:t>
      </w:r>
      <w:r>
        <w:rPr>
          <w:color w:val="231F20"/>
          <w:position w:val="7"/>
          <w:sz w:val="11"/>
        </w:rPr>
        <w:t>6</w:t>
      </w:r>
    </w:p>
    <w:p w14:paraId="248D9093" w14:textId="77777777" w:rsidR="002653E8" w:rsidRDefault="003115E3">
      <w:pPr>
        <w:pStyle w:val="a3"/>
        <w:spacing w:line="264" w:lineRule="auto"/>
        <w:ind w:left="1327" w:right="1146" w:firstLine="210"/>
        <w:jc w:val="both"/>
        <w:rPr>
          <w:sz w:val="11"/>
        </w:rPr>
      </w:pPr>
      <w:r>
        <w:rPr>
          <w:color w:val="231F20"/>
        </w:rPr>
        <w:t xml:space="preserve">The court declined to disbar Mahler. Within a few days, the firebrand lawyer was once again making headlines with his latest case:    the defense of the young antifascist Beate Klarsfeld, who had smacked CDU Chancellor—and  former  </w:t>
      </w:r>
      <w:r>
        <w:rPr>
          <w:color w:val="231F20"/>
          <w:spacing w:val="1"/>
        </w:rPr>
        <w:t xml:space="preserve">Nazi—Kurt  </w:t>
      </w:r>
      <w:r>
        <w:rPr>
          <w:color w:val="231F20"/>
        </w:rPr>
        <w:t>Georg  Kiesinger,  hitting him in the face.</w:t>
      </w:r>
      <w:r>
        <w:rPr>
          <w:color w:val="231F20"/>
          <w:position w:val="7"/>
          <w:sz w:val="11"/>
        </w:rPr>
        <w:t xml:space="preserve">7 </w:t>
      </w:r>
      <w:r>
        <w:rPr>
          <w:color w:val="231F20"/>
        </w:rPr>
        <w:t>Mahler would eventually win Klarsfeld a suspended sentence, at which point he counter-sued Kiesinger on her behalf, arguing that the very fact that a former Nazi was Chancellor constituted an insult to his</w:t>
      </w:r>
      <w:r>
        <w:rPr>
          <w:color w:val="231F20"/>
          <w:spacing w:val="32"/>
        </w:rPr>
        <w:t xml:space="preserve"> </w:t>
      </w:r>
      <w:r>
        <w:rPr>
          <w:color w:val="231F20"/>
        </w:rPr>
        <w:t>client.</w:t>
      </w:r>
      <w:r>
        <w:rPr>
          <w:color w:val="231F20"/>
          <w:position w:val="7"/>
          <w:sz w:val="11"/>
        </w:rPr>
        <w:t>8</w:t>
      </w:r>
    </w:p>
    <w:p w14:paraId="65F01A3D" w14:textId="77777777" w:rsidR="002653E8" w:rsidRDefault="003115E3">
      <w:pPr>
        <w:pStyle w:val="a3"/>
        <w:spacing w:line="264" w:lineRule="auto"/>
        <w:ind w:left="1327" w:right="1146" w:firstLine="210"/>
        <w:jc w:val="both"/>
      </w:pPr>
      <w:r>
        <w:rPr>
          <w:color w:val="231F20"/>
        </w:rPr>
        <w:t>The Battle of Tegeler Weg was another milestone, representing a willingness to engage in organized violence the likes of which had not been seen for decades. This period also saw the first experiments with clandestine armed activities, a subject to which we will soon return.</w:t>
      </w:r>
    </w:p>
    <w:p w14:paraId="472B70E6" w14:textId="77777777" w:rsidR="002653E8" w:rsidRDefault="003115E3">
      <w:pPr>
        <w:pStyle w:val="a3"/>
        <w:spacing w:line="264" w:lineRule="auto"/>
        <w:ind w:left="1327" w:right="1146" w:firstLine="210"/>
        <w:jc w:val="both"/>
      </w:pPr>
      <w:r>
        <w:rPr>
          <w:color w:val="231F20"/>
        </w:rPr>
        <w:t>Thus, we can see that even as the spectre of increased repression haunted sections of the militant left, there existed both the desire and the capacity to rise to the next level.</w:t>
      </w:r>
    </w:p>
    <w:p w14:paraId="6897001E" w14:textId="77777777" w:rsidR="002653E8" w:rsidRDefault="003115E3">
      <w:pPr>
        <w:pStyle w:val="a3"/>
        <w:spacing w:line="264" w:lineRule="auto"/>
        <w:ind w:left="1327" w:right="1145" w:firstLine="210"/>
        <w:jc w:val="both"/>
      </w:pPr>
      <w:r>
        <w:rPr>
          <w:color w:val="231F20"/>
        </w:rPr>
        <w:t>At the same time, however, other developments offered the tempting promise that change might come about in a more comfortable manner by backing down and working within the system.</w:t>
      </w:r>
    </w:p>
    <w:p w14:paraId="03EC7391" w14:textId="77777777" w:rsidR="002653E8" w:rsidRDefault="003115E3">
      <w:pPr>
        <w:pStyle w:val="a3"/>
        <w:spacing w:line="264" w:lineRule="auto"/>
        <w:ind w:left="1327" w:right="1145" w:firstLine="210"/>
        <w:jc w:val="both"/>
        <w:rPr>
          <w:sz w:val="11"/>
        </w:rPr>
      </w:pPr>
      <w:r>
        <w:rPr>
          <w:color w:val="231F20"/>
          <w:spacing w:val="1"/>
          <w:w w:val="105"/>
        </w:rPr>
        <w:t xml:space="preserve">In </w:t>
      </w:r>
      <w:r>
        <w:rPr>
          <w:color w:val="231F20"/>
          <w:w w:val="105"/>
        </w:rPr>
        <w:t xml:space="preserve">October, </w:t>
      </w:r>
      <w:r>
        <w:rPr>
          <w:color w:val="231F20"/>
          <w:spacing w:val="-4"/>
          <w:w w:val="105"/>
        </w:rPr>
        <w:t xml:space="preserve">1969, </w:t>
      </w:r>
      <w:r>
        <w:rPr>
          <w:color w:val="231F20"/>
          <w:w w:val="105"/>
        </w:rPr>
        <w:t>the Grand Coalition came to an end, and under the slogan “Let’s Dare More Democracy!” an SPD government (in coalition with the FDP) was elected. SPD leader Willy Brandt was now Chancellor, and FDP leader Walter Scheel became Foreign Minister. The</w:t>
      </w:r>
      <w:r>
        <w:rPr>
          <w:color w:val="231F20"/>
          <w:spacing w:val="-32"/>
          <w:w w:val="105"/>
        </w:rPr>
        <w:t xml:space="preserve"> </w:t>
      </w:r>
      <w:r>
        <w:rPr>
          <w:color w:val="231F20"/>
          <w:w w:val="105"/>
        </w:rPr>
        <w:t>largely</w:t>
      </w:r>
      <w:r>
        <w:rPr>
          <w:color w:val="231F20"/>
          <w:spacing w:val="-32"/>
          <w:w w:val="105"/>
        </w:rPr>
        <w:t xml:space="preserve"> </w:t>
      </w:r>
      <w:r>
        <w:rPr>
          <w:color w:val="231F20"/>
          <w:w w:val="105"/>
        </w:rPr>
        <w:t>symbolic</w:t>
      </w:r>
      <w:r>
        <w:rPr>
          <w:color w:val="231F20"/>
          <w:spacing w:val="-32"/>
          <w:w w:val="105"/>
        </w:rPr>
        <w:t xml:space="preserve"> </w:t>
      </w:r>
      <w:r>
        <w:rPr>
          <w:color w:val="231F20"/>
          <w:w w:val="105"/>
        </w:rPr>
        <w:t>post</w:t>
      </w:r>
      <w:r>
        <w:rPr>
          <w:color w:val="231F20"/>
          <w:spacing w:val="-32"/>
          <w:w w:val="105"/>
        </w:rPr>
        <w:t xml:space="preserve"> </w:t>
      </w:r>
      <w:r>
        <w:rPr>
          <w:color w:val="231F20"/>
          <w:w w:val="105"/>
        </w:rPr>
        <w:t>of</w:t>
      </w:r>
      <w:r>
        <w:rPr>
          <w:color w:val="231F20"/>
          <w:spacing w:val="-32"/>
          <w:w w:val="105"/>
        </w:rPr>
        <w:t xml:space="preserve"> </w:t>
      </w:r>
      <w:r>
        <w:rPr>
          <w:color w:val="231F20"/>
          <w:w w:val="105"/>
        </w:rPr>
        <w:t>president</w:t>
      </w:r>
      <w:r>
        <w:rPr>
          <w:color w:val="231F20"/>
          <w:spacing w:val="-32"/>
          <w:w w:val="105"/>
        </w:rPr>
        <w:t xml:space="preserve"> </w:t>
      </w:r>
      <w:r>
        <w:rPr>
          <w:color w:val="231F20"/>
          <w:w w:val="105"/>
        </w:rPr>
        <w:t>went</w:t>
      </w:r>
      <w:r>
        <w:rPr>
          <w:color w:val="231F20"/>
          <w:spacing w:val="-32"/>
          <w:w w:val="105"/>
        </w:rPr>
        <w:t xml:space="preserve"> </w:t>
      </w:r>
      <w:r>
        <w:rPr>
          <w:color w:val="231F20"/>
          <w:w w:val="105"/>
        </w:rPr>
        <w:t>to</w:t>
      </w:r>
      <w:r>
        <w:rPr>
          <w:color w:val="231F20"/>
          <w:spacing w:val="-32"/>
          <w:w w:val="105"/>
        </w:rPr>
        <w:t xml:space="preserve"> </w:t>
      </w:r>
      <w:r>
        <w:rPr>
          <w:color w:val="231F20"/>
          <w:w w:val="105"/>
        </w:rPr>
        <w:t>political</w:t>
      </w:r>
      <w:r>
        <w:rPr>
          <w:color w:val="231F20"/>
          <w:spacing w:val="-32"/>
          <w:w w:val="105"/>
        </w:rPr>
        <w:t xml:space="preserve"> </w:t>
      </w:r>
      <w:r>
        <w:rPr>
          <w:color w:val="231F20"/>
          <w:w w:val="105"/>
        </w:rPr>
        <w:t>old-timer</w:t>
      </w:r>
      <w:r>
        <w:rPr>
          <w:color w:val="231F20"/>
          <w:spacing w:val="-32"/>
          <w:w w:val="105"/>
        </w:rPr>
        <w:t xml:space="preserve"> </w:t>
      </w:r>
      <w:r>
        <w:rPr>
          <w:color w:val="231F20"/>
          <w:w w:val="105"/>
        </w:rPr>
        <w:t>Gustav Heinemann,</w:t>
      </w:r>
      <w:r>
        <w:rPr>
          <w:color w:val="231F20"/>
          <w:spacing w:val="-11"/>
          <w:w w:val="105"/>
        </w:rPr>
        <w:t xml:space="preserve"> </w:t>
      </w:r>
      <w:r>
        <w:rPr>
          <w:color w:val="231F20"/>
          <w:w w:val="105"/>
        </w:rPr>
        <w:t>widely</w:t>
      </w:r>
      <w:r>
        <w:rPr>
          <w:color w:val="231F20"/>
          <w:spacing w:val="-11"/>
          <w:w w:val="105"/>
        </w:rPr>
        <w:t xml:space="preserve"> </w:t>
      </w:r>
      <w:r>
        <w:rPr>
          <w:color w:val="231F20"/>
          <w:w w:val="105"/>
        </w:rPr>
        <w:t>considered</w:t>
      </w:r>
      <w:r>
        <w:rPr>
          <w:color w:val="231F20"/>
          <w:spacing w:val="-11"/>
          <w:w w:val="105"/>
        </w:rPr>
        <w:t xml:space="preserve"> </w:t>
      </w:r>
      <w:r>
        <w:rPr>
          <w:color w:val="231F20"/>
          <w:w w:val="105"/>
        </w:rPr>
        <w:t>one</w:t>
      </w:r>
      <w:r>
        <w:rPr>
          <w:color w:val="231F20"/>
          <w:spacing w:val="-11"/>
          <w:w w:val="105"/>
        </w:rPr>
        <w:t xml:space="preserve"> </w:t>
      </w:r>
      <w:r>
        <w:rPr>
          <w:color w:val="231F20"/>
          <w:w w:val="105"/>
        </w:rPr>
        <w:t>of</w:t>
      </w:r>
      <w:r>
        <w:rPr>
          <w:color w:val="231F20"/>
          <w:spacing w:val="-11"/>
          <w:w w:val="105"/>
        </w:rPr>
        <w:t xml:space="preserve"> </w:t>
      </w:r>
      <w:r>
        <w:rPr>
          <w:color w:val="231F20"/>
          <w:w w:val="105"/>
        </w:rPr>
        <w:t>the</w:t>
      </w:r>
      <w:r>
        <w:rPr>
          <w:color w:val="231F20"/>
          <w:spacing w:val="-11"/>
          <w:w w:val="105"/>
        </w:rPr>
        <w:t xml:space="preserve"> </w:t>
      </w:r>
      <w:r>
        <w:rPr>
          <w:color w:val="231F20"/>
          <w:w w:val="105"/>
        </w:rPr>
        <w:t>Federal</w:t>
      </w:r>
      <w:r>
        <w:rPr>
          <w:color w:val="231F20"/>
          <w:spacing w:val="-11"/>
          <w:w w:val="105"/>
        </w:rPr>
        <w:t xml:space="preserve"> </w:t>
      </w:r>
      <w:r>
        <w:rPr>
          <w:color w:val="231F20"/>
          <w:w w:val="105"/>
        </w:rPr>
        <w:t>Republic’s</w:t>
      </w:r>
      <w:r>
        <w:rPr>
          <w:color w:val="231F20"/>
          <w:spacing w:val="-11"/>
          <w:w w:val="105"/>
        </w:rPr>
        <w:t xml:space="preserve"> </w:t>
      </w:r>
      <w:r>
        <w:rPr>
          <w:color w:val="231F20"/>
          <w:w w:val="105"/>
        </w:rPr>
        <w:t>most</w:t>
      </w:r>
      <w:r>
        <w:rPr>
          <w:color w:val="231F20"/>
          <w:spacing w:val="-11"/>
          <w:w w:val="105"/>
        </w:rPr>
        <w:t xml:space="preserve"> </w:t>
      </w:r>
      <w:r>
        <w:rPr>
          <w:color w:val="231F20"/>
          <w:w w:val="105"/>
        </w:rPr>
        <w:t>liberal</w:t>
      </w:r>
      <w:r>
        <w:rPr>
          <w:color w:val="231F20"/>
          <w:spacing w:val="-9"/>
          <w:w w:val="105"/>
        </w:rPr>
        <w:t xml:space="preserve"> </w:t>
      </w:r>
      <w:r>
        <w:rPr>
          <w:color w:val="231F20"/>
          <w:w w:val="105"/>
        </w:rPr>
        <w:t>politicians,</w:t>
      </w:r>
      <w:r>
        <w:rPr>
          <w:color w:val="231F20"/>
          <w:spacing w:val="-9"/>
          <w:w w:val="105"/>
        </w:rPr>
        <w:t xml:space="preserve"> </w:t>
      </w:r>
      <w:r>
        <w:rPr>
          <w:color w:val="231F20"/>
          <w:w w:val="105"/>
        </w:rPr>
        <w:t>despite</w:t>
      </w:r>
      <w:r>
        <w:rPr>
          <w:color w:val="231F20"/>
          <w:spacing w:val="-9"/>
          <w:w w:val="105"/>
        </w:rPr>
        <w:t xml:space="preserve"> </w:t>
      </w:r>
      <w:r>
        <w:rPr>
          <w:color w:val="231F20"/>
          <w:w w:val="105"/>
        </w:rPr>
        <w:t>the</w:t>
      </w:r>
      <w:r>
        <w:rPr>
          <w:color w:val="231F20"/>
          <w:spacing w:val="-9"/>
          <w:w w:val="105"/>
        </w:rPr>
        <w:t xml:space="preserve"> </w:t>
      </w:r>
      <w:r>
        <w:rPr>
          <w:color w:val="231F20"/>
          <w:w w:val="105"/>
        </w:rPr>
        <w:t>fact</w:t>
      </w:r>
      <w:r>
        <w:rPr>
          <w:color w:val="231F20"/>
          <w:spacing w:val="-9"/>
          <w:w w:val="105"/>
        </w:rPr>
        <w:t xml:space="preserve"> </w:t>
      </w:r>
      <w:r>
        <w:rPr>
          <w:color w:val="231F20"/>
          <w:w w:val="105"/>
        </w:rPr>
        <w:t>that</w:t>
      </w:r>
      <w:r>
        <w:rPr>
          <w:color w:val="231F20"/>
          <w:spacing w:val="-9"/>
          <w:w w:val="105"/>
        </w:rPr>
        <w:t xml:space="preserve"> </w:t>
      </w:r>
      <w:r>
        <w:rPr>
          <w:color w:val="231F20"/>
          <w:w w:val="105"/>
        </w:rPr>
        <w:t>he</w:t>
      </w:r>
      <w:r>
        <w:rPr>
          <w:color w:val="231F20"/>
          <w:spacing w:val="-9"/>
          <w:w w:val="105"/>
        </w:rPr>
        <w:t xml:space="preserve"> </w:t>
      </w:r>
      <w:r>
        <w:rPr>
          <w:color w:val="231F20"/>
          <w:w w:val="105"/>
        </w:rPr>
        <w:t>had</w:t>
      </w:r>
      <w:r>
        <w:rPr>
          <w:color w:val="231F20"/>
          <w:spacing w:val="-9"/>
          <w:w w:val="105"/>
        </w:rPr>
        <w:t xml:space="preserve"> </w:t>
      </w:r>
      <w:r>
        <w:rPr>
          <w:color w:val="231F20"/>
          <w:w w:val="105"/>
        </w:rPr>
        <w:t>been</w:t>
      </w:r>
      <w:r>
        <w:rPr>
          <w:color w:val="231F20"/>
          <w:spacing w:val="-9"/>
          <w:w w:val="105"/>
        </w:rPr>
        <w:t xml:space="preserve"> </w:t>
      </w:r>
      <w:r>
        <w:rPr>
          <w:color w:val="231F20"/>
          <w:w w:val="105"/>
        </w:rPr>
        <w:t>the</w:t>
      </w:r>
      <w:r>
        <w:rPr>
          <w:color w:val="231F20"/>
          <w:spacing w:val="-9"/>
          <w:w w:val="105"/>
        </w:rPr>
        <w:t xml:space="preserve"> </w:t>
      </w:r>
      <w:r>
        <w:rPr>
          <w:color w:val="231F20"/>
          <w:w w:val="105"/>
        </w:rPr>
        <w:t>Grand</w:t>
      </w:r>
      <w:r>
        <w:rPr>
          <w:color w:val="231F20"/>
          <w:spacing w:val="-9"/>
          <w:w w:val="105"/>
        </w:rPr>
        <w:t xml:space="preserve"> </w:t>
      </w:r>
      <w:r>
        <w:rPr>
          <w:color w:val="231F20"/>
          <w:w w:val="105"/>
        </w:rPr>
        <w:t>Coalition’s SPD Minister of</w:t>
      </w:r>
      <w:r>
        <w:rPr>
          <w:color w:val="231F20"/>
          <w:spacing w:val="25"/>
          <w:w w:val="105"/>
        </w:rPr>
        <w:t xml:space="preserve"> </w:t>
      </w:r>
      <w:r>
        <w:rPr>
          <w:color w:val="231F20"/>
          <w:w w:val="105"/>
        </w:rPr>
        <w:t>Justice.</w:t>
      </w:r>
      <w:r>
        <w:rPr>
          <w:color w:val="231F20"/>
          <w:w w:val="105"/>
          <w:position w:val="7"/>
          <w:sz w:val="11"/>
        </w:rPr>
        <w:t>9</w:t>
      </w:r>
    </w:p>
    <w:p w14:paraId="211A2E09" w14:textId="77777777" w:rsidR="002653E8" w:rsidRDefault="00000000">
      <w:pPr>
        <w:pStyle w:val="a3"/>
        <w:spacing w:line="264" w:lineRule="auto"/>
        <w:ind w:left="1327" w:right="1146" w:firstLine="210"/>
        <w:jc w:val="both"/>
      </w:pPr>
      <w:r>
        <w:rPr>
          <w:noProof w:val="0"/>
        </w:rPr>
        <w:pict w14:anchorId="07516DB3">
          <v:line id="_x0000_s2656" style="position:absolute;left:0;text-align:left;z-index:2464;mso-wrap-distance-left:0;mso-wrap-distance-right:0;mso-position-horizontal-relative:page" from="66.4pt,34.15pt" to="138.4pt,34.15pt" strokecolor="#231f20" strokeweight=".5pt">
            <w10:wrap type="topAndBottom" anchorx="page"/>
          </v:line>
        </w:pict>
      </w:r>
      <w:r w:rsidR="003115E3">
        <w:rPr>
          <w:color w:val="231F20"/>
        </w:rPr>
        <w:t>For the first time in its history, the Christian Democrats had lost control of the West German parliament.</w:t>
      </w:r>
    </w:p>
    <w:p w14:paraId="0464D721" w14:textId="77777777" w:rsidR="002653E8" w:rsidRDefault="003115E3">
      <w:pPr>
        <w:spacing w:before="53"/>
        <w:ind w:left="1327"/>
        <w:rPr>
          <w:sz w:val="16"/>
        </w:rPr>
      </w:pPr>
      <w:r>
        <w:rPr>
          <w:color w:val="231F20"/>
          <w:w w:val="110"/>
          <w:sz w:val="16"/>
        </w:rPr>
        <w:t>6 Aust, 145.</w:t>
      </w:r>
    </w:p>
    <w:p w14:paraId="2B9DC7E2" w14:textId="77777777" w:rsidR="002653E8" w:rsidRDefault="003115E3">
      <w:pPr>
        <w:pStyle w:val="a4"/>
        <w:numPr>
          <w:ilvl w:val="1"/>
          <w:numId w:val="179"/>
        </w:numPr>
        <w:tabs>
          <w:tab w:val="left" w:pos="1467"/>
        </w:tabs>
        <w:spacing w:before="51"/>
        <w:ind w:firstLine="0"/>
        <w:rPr>
          <w:i/>
          <w:sz w:val="16"/>
        </w:rPr>
      </w:pPr>
      <w:r>
        <w:rPr>
          <w:color w:val="231F20"/>
          <w:w w:val="110"/>
          <w:sz w:val="16"/>
        </w:rPr>
        <w:t>Associated</w:t>
      </w:r>
      <w:r>
        <w:rPr>
          <w:color w:val="231F20"/>
          <w:spacing w:val="5"/>
          <w:w w:val="110"/>
          <w:sz w:val="16"/>
        </w:rPr>
        <w:t xml:space="preserve"> </w:t>
      </w:r>
      <w:r>
        <w:rPr>
          <w:color w:val="231F20"/>
          <w:w w:val="110"/>
          <w:sz w:val="16"/>
        </w:rPr>
        <w:t>Press,</w:t>
      </w:r>
      <w:r>
        <w:rPr>
          <w:color w:val="231F20"/>
          <w:spacing w:val="5"/>
          <w:w w:val="110"/>
          <w:sz w:val="16"/>
        </w:rPr>
        <w:t xml:space="preserve"> </w:t>
      </w:r>
      <w:r>
        <w:rPr>
          <w:color w:val="231F20"/>
          <w:w w:val="110"/>
          <w:sz w:val="16"/>
        </w:rPr>
        <w:t>“Woman</w:t>
      </w:r>
      <w:r>
        <w:rPr>
          <w:color w:val="231F20"/>
          <w:spacing w:val="5"/>
          <w:w w:val="110"/>
          <w:sz w:val="16"/>
        </w:rPr>
        <w:t xml:space="preserve"> </w:t>
      </w:r>
      <w:r>
        <w:rPr>
          <w:color w:val="231F20"/>
          <w:w w:val="110"/>
          <w:sz w:val="16"/>
        </w:rPr>
        <w:t>gets</w:t>
      </w:r>
      <w:r>
        <w:rPr>
          <w:color w:val="231F20"/>
          <w:spacing w:val="5"/>
          <w:w w:val="110"/>
          <w:sz w:val="16"/>
        </w:rPr>
        <w:t xml:space="preserve"> </w:t>
      </w:r>
      <w:r>
        <w:rPr>
          <w:color w:val="231F20"/>
          <w:w w:val="110"/>
          <w:sz w:val="16"/>
        </w:rPr>
        <w:t>Jail</w:t>
      </w:r>
      <w:r>
        <w:rPr>
          <w:color w:val="231F20"/>
          <w:spacing w:val="5"/>
          <w:w w:val="110"/>
          <w:sz w:val="16"/>
        </w:rPr>
        <w:t xml:space="preserve"> </w:t>
      </w:r>
      <w:r>
        <w:rPr>
          <w:color w:val="231F20"/>
          <w:w w:val="110"/>
          <w:sz w:val="16"/>
        </w:rPr>
        <w:t>for</w:t>
      </w:r>
      <w:r>
        <w:rPr>
          <w:color w:val="231F20"/>
          <w:spacing w:val="5"/>
          <w:w w:val="110"/>
          <w:sz w:val="16"/>
        </w:rPr>
        <w:t xml:space="preserve"> </w:t>
      </w:r>
      <w:r>
        <w:rPr>
          <w:color w:val="231F20"/>
          <w:w w:val="110"/>
          <w:sz w:val="16"/>
        </w:rPr>
        <w:t>Slapping</w:t>
      </w:r>
      <w:r>
        <w:rPr>
          <w:color w:val="231F20"/>
          <w:spacing w:val="5"/>
          <w:w w:val="110"/>
          <w:sz w:val="16"/>
        </w:rPr>
        <w:t xml:space="preserve"> </w:t>
      </w:r>
      <w:r>
        <w:rPr>
          <w:color w:val="231F20"/>
          <w:w w:val="110"/>
          <w:sz w:val="16"/>
        </w:rPr>
        <w:t>Bonn</w:t>
      </w:r>
      <w:r>
        <w:rPr>
          <w:color w:val="231F20"/>
          <w:spacing w:val="5"/>
          <w:w w:val="110"/>
          <w:sz w:val="16"/>
        </w:rPr>
        <w:t xml:space="preserve"> </w:t>
      </w:r>
      <w:r>
        <w:rPr>
          <w:color w:val="231F20"/>
          <w:w w:val="110"/>
          <w:sz w:val="16"/>
        </w:rPr>
        <w:t>Chief,”</w:t>
      </w:r>
      <w:r>
        <w:rPr>
          <w:color w:val="231F20"/>
          <w:spacing w:val="5"/>
          <w:w w:val="110"/>
          <w:sz w:val="16"/>
        </w:rPr>
        <w:t xml:space="preserve"> </w:t>
      </w:r>
      <w:r>
        <w:rPr>
          <w:i/>
          <w:color w:val="231F20"/>
          <w:w w:val="110"/>
          <w:sz w:val="16"/>
        </w:rPr>
        <w:t>Fresno</w:t>
      </w:r>
      <w:r>
        <w:rPr>
          <w:i/>
          <w:color w:val="231F20"/>
          <w:spacing w:val="5"/>
          <w:w w:val="110"/>
          <w:sz w:val="16"/>
        </w:rPr>
        <w:t xml:space="preserve"> </w:t>
      </w:r>
      <w:r>
        <w:rPr>
          <w:i/>
          <w:color w:val="231F20"/>
          <w:w w:val="110"/>
          <w:sz w:val="16"/>
        </w:rPr>
        <w:t>Bee,</w:t>
      </w:r>
    </w:p>
    <w:p w14:paraId="5F09FA19" w14:textId="77777777" w:rsidR="002653E8" w:rsidRDefault="003115E3">
      <w:pPr>
        <w:spacing w:before="12"/>
        <w:ind w:left="1327"/>
        <w:rPr>
          <w:sz w:val="16"/>
        </w:rPr>
      </w:pPr>
      <w:r>
        <w:rPr>
          <w:color w:val="231F20"/>
          <w:w w:val="110"/>
          <w:sz w:val="16"/>
        </w:rPr>
        <w:t>November 8, 1968.</w:t>
      </w:r>
    </w:p>
    <w:p w14:paraId="1CCC787C" w14:textId="77777777" w:rsidR="002653E8" w:rsidRDefault="003115E3">
      <w:pPr>
        <w:pStyle w:val="a4"/>
        <w:numPr>
          <w:ilvl w:val="1"/>
          <w:numId w:val="179"/>
        </w:numPr>
        <w:tabs>
          <w:tab w:val="left" w:pos="1467"/>
        </w:tabs>
        <w:spacing w:before="52"/>
        <w:ind w:left="1466" w:hanging="138"/>
        <w:rPr>
          <w:i/>
          <w:sz w:val="16"/>
        </w:rPr>
      </w:pPr>
      <w:r>
        <w:rPr>
          <w:color w:val="231F20"/>
          <w:w w:val="110"/>
          <w:sz w:val="16"/>
        </w:rPr>
        <w:t xml:space="preserve">Associated Press, “Hit Kiesinger; Term Suspended,” </w:t>
      </w:r>
      <w:r>
        <w:rPr>
          <w:i/>
          <w:color w:val="231F20"/>
          <w:w w:val="110"/>
          <w:sz w:val="16"/>
        </w:rPr>
        <w:t xml:space="preserve">European Stars </w:t>
      </w:r>
      <w:r>
        <w:rPr>
          <w:i/>
          <w:color w:val="231F20"/>
          <w:spacing w:val="1"/>
          <w:w w:val="110"/>
          <w:sz w:val="16"/>
        </w:rPr>
        <w:t>and</w:t>
      </w:r>
      <w:r>
        <w:rPr>
          <w:i/>
          <w:color w:val="231F20"/>
          <w:spacing w:val="32"/>
          <w:w w:val="110"/>
          <w:sz w:val="16"/>
        </w:rPr>
        <w:t xml:space="preserve"> </w:t>
      </w:r>
      <w:r>
        <w:rPr>
          <w:i/>
          <w:color w:val="231F20"/>
          <w:w w:val="110"/>
          <w:sz w:val="16"/>
        </w:rPr>
        <w:t>Stripes,</w:t>
      </w:r>
    </w:p>
    <w:p w14:paraId="6B36F9FF" w14:textId="77777777" w:rsidR="002653E8" w:rsidRDefault="003115E3">
      <w:pPr>
        <w:spacing w:before="11"/>
        <w:ind w:left="1328"/>
        <w:rPr>
          <w:sz w:val="16"/>
        </w:rPr>
      </w:pPr>
      <w:r>
        <w:rPr>
          <w:color w:val="231F20"/>
          <w:w w:val="110"/>
          <w:sz w:val="16"/>
        </w:rPr>
        <w:t>August 26, 1969.</w:t>
      </w:r>
    </w:p>
    <w:p w14:paraId="37219A62" w14:textId="77777777" w:rsidR="002653E8" w:rsidRDefault="003115E3">
      <w:pPr>
        <w:pStyle w:val="a4"/>
        <w:numPr>
          <w:ilvl w:val="1"/>
          <w:numId w:val="179"/>
        </w:numPr>
        <w:tabs>
          <w:tab w:val="left" w:pos="1467"/>
        </w:tabs>
        <w:spacing w:before="52" w:line="254" w:lineRule="auto"/>
        <w:ind w:right="1387" w:firstLine="1"/>
        <w:rPr>
          <w:sz w:val="16"/>
        </w:rPr>
      </w:pPr>
      <w:r>
        <w:rPr>
          <w:color w:val="231F20"/>
          <w:w w:val="105"/>
          <w:sz w:val="16"/>
        </w:rPr>
        <w:t xml:space="preserve">Heinemann had in fact held a cabinet position for the CDU as early as </w:t>
      </w:r>
      <w:r>
        <w:rPr>
          <w:color w:val="231F20"/>
          <w:spacing w:val="-3"/>
          <w:w w:val="105"/>
          <w:sz w:val="16"/>
        </w:rPr>
        <w:t xml:space="preserve">1949, </w:t>
      </w:r>
      <w:r>
        <w:rPr>
          <w:color w:val="231F20"/>
          <w:w w:val="105"/>
          <w:sz w:val="16"/>
        </w:rPr>
        <w:t xml:space="preserve">a post he left, along with the CDU, in the early fifties in protest against Adenauer’s rearmament policies. When Ulrike Meinhof was sued for slander by </w:t>
      </w:r>
      <w:r>
        <w:rPr>
          <w:color w:val="231F20"/>
          <w:spacing w:val="1"/>
          <w:w w:val="105"/>
          <w:sz w:val="16"/>
        </w:rPr>
        <w:t xml:space="preserve">CSU </w:t>
      </w:r>
      <w:r>
        <w:rPr>
          <w:color w:val="231F20"/>
          <w:w w:val="105"/>
          <w:sz w:val="16"/>
        </w:rPr>
        <w:t xml:space="preserve">leader Franz Josef Strauß in </w:t>
      </w:r>
      <w:r>
        <w:rPr>
          <w:color w:val="231F20"/>
          <w:spacing w:val="-4"/>
          <w:w w:val="105"/>
          <w:sz w:val="16"/>
        </w:rPr>
        <w:t xml:space="preserve">1961 </w:t>
      </w:r>
      <w:r>
        <w:rPr>
          <w:color w:val="231F20"/>
          <w:w w:val="105"/>
          <w:sz w:val="16"/>
        </w:rPr>
        <w:t xml:space="preserve">as a result of a </w:t>
      </w:r>
      <w:r>
        <w:rPr>
          <w:i/>
          <w:color w:val="231F20"/>
          <w:w w:val="105"/>
          <w:sz w:val="16"/>
        </w:rPr>
        <w:t xml:space="preserve">konkret </w:t>
      </w:r>
      <w:r>
        <w:rPr>
          <w:color w:val="231F20"/>
          <w:w w:val="105"/>
          <w:sz w:val="16"/>
        </w:rPr>
        <w:t>article, Heinemann agreed to take on her case, successfully defending her—the two had become allies if not friends</w:t>
      </w:r>
      <w:r>
        <w:rPr>
          <w:color w:val="231F20"/>
          <w:spacing w:val="6"/>
          <w:w w:val="105"/>
          <w:sz w:val="16"/>
        </w:rPr>
        <w:t xml:space="preserve"> </w:t>
      </w:r>
      <w:r>
        <w:rPr>
          <w:color w:val="231F20"/>
          <w:w w:val="105"/>
          <w:sz w:val="16"/>
        </w:rPr>
        <w:t>during</w:t>
      </w:r>
      <w:r>
        <w:rPr>
          <w:color w:val="231F20"/>
          <w:spacing w:val="6"/>
          <w:w w:val="105"/>
          <w:sz w:val="16"/>
        </w:rPr>
        <w:t xml:space="preserve"> </w:t>
      </w:r>
      <w:r>
        <w:rPr>
          <w:color w:val="231F20"/>
          <w:w w:val="105"/>
          <w:sz w:val="16"/>
        </w:rPr>
        <w:t>the</w:t>
      </w:r>
      <w:r>
        <w:rPr>
          <w:color w:val="231F20"/>
          <w:spacing w:val="6"/>
          <w:w w:val="105"/>
          <w:sz w:val="16"/>
        </w:rPr>
        <w:t xml:space="preserve"> </w:t>
      </w:r>
      <w:r>
        <w:rPr>
          <w:color w:val="231F20"/>
          <w:w w:val="105"/>
          <w:sz w:val="16"/>
        </w:rPr>
        <w:t>peace</w:t>
      </w:r>
      <w:r>
        <w:rPr>
          <w:color w:val="231F20"/>
          <w:spacing w:val="6"/>
          <w:w w:val="105"/>
          <w:sz w:val="16"/>
        </w:rPr>
        <w:t xml:space="preserve"> </w:t>
      </w:r>
      <w:r>
        <w:rPr>
          <w:color w:val="231F20"/>
          <w:w w:val="105"/>
          <w:sz w:val="16"/>
        </w:rPr>
        <w:t>movements</w:t>
      </w:r>
      <w:r>
        <w:rPr>
          <w:color w:val="231F20"/>
          <w:spacing w:val="6"/>
          <w:w w:val="105"/>
          <w:sz w:val="16"/>
        </w:rPr>
        <w:t xml:space="preserve"> </w:t>
      </w:r>
      <w:r>
        <w:rPr>
          <w:color w:val="231F20"/>
          <w:w w:val="105"/>
          <w:sz w:val="16"/>
        </w:rPr>
        <w:t>of</w:t>
      </w:r>
      <w:r>
        <w:rPr>
          <w:color w:val="231F20"/>
          <w:spacing w:val="6"/>
          <w:w w:val="105"/>
          <w:sz w:val="16"/>
        </w:rPr>
        <w:t xml:space="preserve"> </w:t>
      </w:r>
      <w:r>
        <w:rPr>
          <w:color w:val="231F20"/>
          <w:w w:val="105"/>
          <w:sz w:val="16"/>
        </w:rPr>
        <w:t>the</w:t>
      </w:r>
      <w:r>
        <w:rPr>
          <w:color w:val="231F20"/>
          <w:spacing w:val="6"/>
          <w:w w:val="105"/>
          <w:sz w:val="16"/>
        </w:rPr>
        <w:t xml:space="preserve"> </w:t>
      </w:r>
      <w:r>
        <w:rPr>
          <w:color w:val="231F20"/>
          <w:w w:val="105"/>
          <w:sz w:val="16"/>
        </w:rPr>
        <w:t>1950s.</w:t>
      </w:r>
    </w:p>
    <w:p w14:paraId="1F2C6710" w14:textId="77777777" w:rsidR="002653E8" w:rsidRDefault="002653E8">
      <w:pPr>
        <w:spacing w:line="254" w:lineRule="auto"/>
        <w:rPr>
          <w:sz w:val="16"/>
        </w:rPr>
        <w:sectPr w:rsidR="002653E8">
          <w:pgSz w:w="8640" w:h="12960"/>
          <w:pgMar w:top="1060" w:right="0" w:bottom="1040" w:left="0" w:header="0" w:footer="850" w:gutter="0"/>
          <w:cols w:space="720"/>
        </w:sectPr>
      </w:pPr>
    </w:p>
    <w:p w14:paraId="057A92E7" w14:textId="77777777" w:rsidR="002653E8" w:rsidRDefault="003115E3">
      <w:pPr>
        <w:pStyle w:val="a3"/>
        <w:spacing w:before="86" w:line="264" w:lineRule="auto"/>
        <w:ind w:left="1148" w:right="1325" w:firstLine="209"/>
        <w:jc w:val="both"/>
      </w:pPr>
      <w:r>
        <w:rPr>
          <w:color w:val="231F20"/>
        </w:rPr>
        <w:lastRenderedPageBreak/>
        <w:t>The new SPD government announced a series of measures which partially fulfilled the students’ more “reasonable” demands: there were new diplomatic overtures to East Germany, it was made easier to be declared a conscientious objector, the age of consent and the legal voting age were lowered from twenty-one to eighteen, no fault divorce legislation was passed, and a series of reforms aimed to modernize and open up the stuffy, hierarchical German school system.</w:t>
      </w:r>
    </w:p>
    <w:p w14:paraId="4A626356" w14:textId="77777777" w:rsidR="002653E8" w:rsidRDefault="003115E3">
      <w:pPr>
        <w:pStyle w:val="a3"/>
        <w:spacing w:line="227" w:lineRule="exact"/>
        <w:ind w:left="1358"/>
      </w:pPr>
      <w:r>
        <w:rPr>
          <w:color w:val="231F20"/>
        </w:rPr>
        <w:t>For many, it seemed like a brand new day.</w:t>
      </w:r>
    </w:p>
    <w:p w14:paraId="3B89B5A8" w14:textId="77777777" w:rsidR="002653E8" w:rsidRDefault="003115E3">
      <w:pPr>
        <w:pStyle w:val="a3"/>
        <w:spacing w:before="23" w:line="264" w:lineRule="auto"/>
        <w:ind w:left="1148" w:right="1326" w:firstLine="210"/>
        <w:jc w:val="both"/>
      </w:pPr>
      <w:r>
        <w:rPr>
          <w:color w:val="231F20"/>
        </w:rPr>
        <w:t>At the same time, Brandt announced an “immediate program to modernize and intensify crime prevention,” which included:</w:t>
      </w:r>
    </w:p>
    <w:p w14:paraId="2D0AB896" w14:textId="77777777" w:rsidR="002653E8" w:rsidRDefault="003115E3">
      <w:pPr>
        <w:spacing w:before="127" w:line="276" w:lineRule="auto"/>
        <w:ind w:left="1567" w:right="1738"/>
        <w:jc w:val="both"/>
        <w:rPr>
          <w:i/>
          <w:sz w:val="11"/>
        </w:rPr>
      </w:pPr>
      <w:r>
        <w:rPr>
          <w:i/>
          <w:color w:val="231F20"/>
          <w:w w:val="105"/>
          <w:sz w:val="19"/>
        </w:rPr>
        <w:t>strengthening of the Criminal Investigation Bureau, the modernization of its equipment and the extension of its powers, the</w:t>
      </w:r>
      <w:r>
        <w:rPr>
          <w:i/>
          <w:color w:val="231F20"/>
          <w:spacing w:val="-10"/>
          <w:w w:val="105"/>
          <w:sz w:val="19"/>
        </w:rPr>
        <w:t xml:space="preserve"> </w:t>
      </w:r>
      <w:r>
        <w:rPr>
          <w:i/>
          <w:color w:val="231F20"/>
          <w:w w:val="105"/>
          <w:sz w:val="19"/>
        </w:rPr>
        <w:t>re-equipping</w:t>
      </w:r>
      <w:r>
        <w:rPr>
          <w:i/>
          <w:color w:val="231F20"/>
          <w:spacing w:val="-10"/>
          <w:w w:val="105"/>
          <w:sz w:val="19"/>
        </w:rPr>
        <w:t xml:space="preserve"> </w:t>
      </w:r>
      <w:r>
        <w:rPr>
          <w:i/>
          <w:color w:val="231F20"/>
          <w:w w:val="105"/>
          <w:sz w:val="19"/>
        </w:rPr>
        <w:t>and</w:t>
      </w:r>
      <w:r>
        <w:rPr>
          <w:i/>
          <w:color w:val="231F20"/>
          <w:spacing w:val="-10"/>
          <w:w w:val="105"/>
          <w:sz w:val="19"/>
        </w:rPr>
        <w:t xml:space="preserve"> </w:t>
      </w:r>
      <w:r>
        <w:rPr>
          <w:i/>
          <w:color w:val="231F20"/>
          <w:w w:val="105"/>
          <w:sz w:val="19"/>
        </w:rPr>
        <w:t>reorganization</w:t>
      </w:r>
      <w:r>
        <w:rPr>
          <w:i/>
          <w:color w:val="231F20"/>
          <w:spacing w:val="-10"/>
          <w:w w:val="105"/>
          <w:sz w:val="19"/>
        </w:rPr>
        <w:t xml:space="preserve"> </w:t>
      </w:r>
      <w:r>
        <w:rPr>
          <w:i/>
          <w:color w:val="231F20"/>
          <w:w w:val="105"/>
          <w:sz w:val="19"/>
        </w:rPr>
        <w:t>of</w:t>
      </w:r>
      <w:r>
        <w:rPr>
          <w:i/>
          <w:color w:val="231F20"/>
          <w:spacing w:val="-10"/>
          <w:w w:val="105"/>
          <w:sz w:val="19"/>
        </w:rPr>
        <w:t xml:space="preserve"> </w:t>
      </w:r>
      <w:r>
        <w:rPr>
          <w:i/>
          <w:color w:val="231F20"/>
          <w:w w:val="105"/>
          <w:sz w:val="19"/>
        </w:rPr>
        <w:t>the</w:t>
      </w:r>
      <w:r>
        <w:rPr>
          <w:i/>
          <w:color w:val="231F20"/>
          <w:spacing w:val="-11"/>
          <w:w w:val="105"/>
          <w:sz w:val="19"/>
        </w:rPr>
        <w:t xml:space="preserve"> </w:t>
      </w:r>
      <w:r>
        <w:rPr>
          <w:i/>
          <w:color w:val="231F20"/>
          <w:w w:val="105"/>
          <w:sz w:val="19"/>
        </w:rPr>
        <w:t>Federal</w:t>
      </w:r>
      <w:r>
        <w:rPr>
          <w:i/>
          <w:color w:val="231F20"/>
          <w:spacing w:val="-10"/>
          <w:w w:val="105"/>
          <w:sz w:val="19"/>
        </w:rPr>
        <w:t xml:space="preserve"> </w:t>
      </w:r>
      <w:r>
        <w:rPr>
          <w:i/>
          <w:color w:val="231F20"/>
          <w:w w:val="105"/>
          <w:sz w:val="19"/>
        </w:rPr>
        <w:t>Border</w:t>
      </w:r>
      <w:r>
        <w:rPr>
          <w:i/>
          <w:color w:val="231F20"/>
          <w:spacing w:val="-10"/>
          <w:w w:val="105"/>
          <w:sz w:val="19"/>
        </w:rPr>
        <w:t xml:space="preserve"> </w:t>
      </w:r>
      <w:r>
        <w:rPr>
          <w:i/>
          <w:color w:val="231F20"/>
          <w:w w:val="105"/>
          <w:sz w:val="19"/>
        </w:rPr>
        <w:t>Guard as a Federal police force, together with the setting up of a “study group on the surveillance of foreigners” within the security services.</w:t>
      </w:r>
      <w:r>
        <w:rPr>
          <w:i/>
          <w:color w:val="231F20"/>
          <w:w w:val="105"/>
          <w:position w:val="6"/>
          <w:sz w:val="11"/>
        </w:rPr>
        <w:t>1</w:t>
      </w:r>
    </w:p>
    <w:p w14:paraId="0F582212" w14:textId="77777777" w:rsidR="002653E8" w:rsidRDefault="003115E3">
      <w:pPr>
        <w:pStyle w:val="a3"/>
        <w:spacing w:before="132" w:line="264" w:lineRule="auto"/>
        <w:ind w:left="1147" w:right="1325"/>
        <w:jc w:val="both"/>
      </w:pPr>
      <w:r>
        <w:rPr>
          <w:color w:val="231F20"/>
        </w:rPr>
        <w:t>Nevertheless, these measures would not affect most activists, and the government shift away from the anachronistic conservatism of the CDU helped confuse and siphon off less committed students, draining potential sources of support for the radical left. At the same time, the movement itself was beginning to fragment.</w:t>
      </w:r>
    </w:p>
    <w:p w14:paraId="431FBC45" w14:textId="77777777" w:rsidR="002653E8" w:rsidRDefault="003115E3">
      <w:pPr>
        <w:pStyle w:val="a3"/>
        <w:spacing w:line="264" w:lineRule="auto"/>
        <w:ind w:left="1147" w:right="1325" w:firstLine="210"/>
        <w:jc w:val="both"/>
      </w:pPr>
      <w:r>
        <w:rPr>
          <w:color w:val="231F20"/>
        </w:rPr>
        <w:t xml:space="preserve">Problems of male supremacy in the </w:t>
      </w:r>
      <w:r>
        <w:rPr>
          <w:color w:val="231F20"/>
          <w:spacing w:val="1"/>
        </w:rPr>
        <w:t xml:space="preserve">APO </w:t>
      </w:r>
      <w:r>
        <w:rPr>
          <w:color w:val="231F20"/>
        </w:rPr>
        <w:t xml:space="preserve">had become increasingly difficult to bear for radical women inspired by the feminist movements in the United States, France, and England. </w:t>
      </w:r>
      <w:r>
        <w:rPr>
          <w:color w:val="231F20"/>
          <w:spacing w:val="1"/>
        </w:rPr>
        <w:t xml:space="preserve">In </w:t>
      </w:r>
      <w:r>
        <w:rPr>
          <w:color w:val="231F20"/>
        </w:rPr>
        <w:t xml:space="preserve">September </w:t>
      </w:r>
      <w:r>
        <w:rPr>
          <w:color w:val="231F20"/>
          <w:spacing w:val="-4"/>
        </w:rPr>
        <w:t xml:space="preserve">1968, </w:t>
      </w:r>
      <w:r>
        <w:rPr>
          <w:color w:val="231F20"/>
        </w:rPr>
        <w:t xml:space="preserve">things  had come to a head at an SDS conference in Frankfurt, where HansJürgen Krahl found himself being pelted by tomatoes after he refused   to address the question of chauvinism in the SDS. While many (but not all) of the women from the </w:t>
      </w:r>
      <w:r>
        <w:rPr>
          <w:color w:val="231F20"/>
          <w:spacing w:val="1"/>
        </w:rPr>
        <w:t xml:space="preserve">APO </w:t>
      </w:r>
      <w:r>
        <w:rPr>
          <w:color w:val="231F20"/>
        </w:rPr>
        <w:t xml:space="preserve">would continue to identify as being     on the left, their political trajectory became increasingly separate, both as a result of dynamics internal to the </w:t>
      </w:r>
      <w:r>
        <w:rPr>
          <w:color w:val="231F20"/>
          <w:spacing w:val="-3"/>
        </w:rPr>
        <w:t xml:space="preserve">women’s </w:t>
      </w:r>
      <w:r>
        <w:rPr>
          <w:color w:val="231F20"/>
        </w:rPr>
        <w:t>movement and of the continuing sexism outside of it.</w:t>
      </w:r>
    </w:p>
    <w:p w14:paraId="33867198" w14:textId="77777777" w:rsidR="002653E8" w:rsidRDefault="003115E3">
      <w:pPr>
        <w:pStyle w:val="a3"/>
        <w:spacing w:line="264" w:lineRule="auto"/>
        <w:ind w:left="1147" w:right="1326" w:firstLine="209"/>
        <w:jc w:val="both"/>
      </w:pPr>
      <w:r>
        <w:rPr>
          <w:color w:val="231F20"/>
        </w:rPr>
        <w:t xml:space="preserve">The decline of the </w:t>
      </w:r>
      <w:r>
        <w:rPr>
          <w:color w:val="231F20"/>
          <w:spacing w:val="1"/>
        </w:rPr>
        <w:t xml:space="preserve">APO </w:t>
      </w:r>
      <w:r>
        <w:rPr>
          <w:color w:val="231F20"/>
        </w:rPr>
        <w:t xml:space="preserve">also  occurred  alongside  renewed  attempts to build various workers’ parties in line with the “correct” Marxist analysis. </w:t>
      </w:r>
      <w:r>
        <w:rPr>
          <w:color w:val="231F20"/>
          <w:spacing w:val="1"/>
        </w:rPr>
        <w:t xml:space="preserve">In </w:t>
      </w:r>
      <w:r>
        <w:rPr>
          <w:color w:val="231F20"/>
          <w:spacing w:val="-4"/>
        </w:rPr>
        <w:t xml:space="preserve">1968, </w:t>
      </w:r>
      <w:r>
        <w:rPr>
          <w:color w:val="231F20"/>
        </w:rPr>
        <w:t xml:space="preserve">the banned </w:t>
      </w:r>
      <w:r>
        <w:rPr>
          <w:color w:val="231F20"/>
          <w:spacing w:val="1"/>
        </w:rPr>
        <w:t xml:space="preserve">KPD </w:t>
      </w:r>
      <w:r>
        <w:rPr>
          <w:color w:val="231F20"/>
        </w:rPr>
        <w:t xml:space="preserve">(“Communist Party  of  Germany”) had been re-established under a new name as the </w:t>
      </w:r>
      <w:r>
        <w:rPr>
          <w:color w:val="231F20"/>
          <w:spacing w:val="1"/>
        </w:rPr>
        <w:t xml:space="preserve">DKP </w:t>
      </w:r>
      <w:r>
        <w:rPr>
          <w:color w:val="231F20"/>
        </w:rPr>
        <w:t xml:space="preserve">(“German Communist Party”), but boasting the same program and leadership. </w:t>
      </w:r>
      <w:r>
        <w:rPr>
          <w:color w:val="231F20"/>
          <w:spacing w:val="-8"/>
        </w:rPr>
        <w:t xml:space="preserve">To </w:t>
      </w:r>
      <w:r>
        <w:rPr>
          <w:color w:val="231F20"/>
        </w:rPr>
        <w:t>most</w:t>
      </w:r>
      <w:r>
        <w:rPr>
          <w:color w:val="231F20"/>
          <w:spacing w:val="18"/>
        </w:rPr>
        <w:t xml:space="preserve"> </w:t>
      </w:r>
      <w:r>
        <w:rPr>
          <w:color w:val="231F20"/>
        </w:rPr>
        <w:t>young</w:t>
      </w:r>
      <w:r>
        <w:rPr>
          <w:color w:val="231F20"/>
          <w:spacing w:val="18"/>
        </w:rPr>
        <w:t xml:space="preserve"> </w:t>
      </w:r>
      <w:r>
        <w:rPr>
          <w:color w:val="231F20"/>
        </w:rPr>
        <w:t>radicals,</w:t>
      </w:r>
      <w:r>
        <w:rPr>
          <w:color w:val="231F20"/>
          <w:spacing w:val="18"/>
        </w:rPr>
        <w:t xml:space="preserve"> </w:t>
      </w:r>
      <w:r>
        <w:rPr>
          <w:color w:val="231F20"/>
        </w:rPr>
        <w:t>though,</w:t>
      </w:r>
      <w:r>
        <w:rPr>
          <w:color w:val="231F20"/>
          <w:spacing w:val="18"/>
        </w:rPr>
        <w:t xml:space="preserve"> </w:t>
      </w:r>
      <w:r>
        <w:rPr>
          <w:color w:val="231F20"/>
        </w:rPr>
        <w:t>this</w:t>
      </w:r>
      <w:r>
        <w:rPr>
          <w:color w:val="231F20"/>
          <w:spacing w:val="18"/>
        </w:rPr>
        <w:t xml:space="preserve"> </w:t>
      </w:r>
      <w:r>
        <w:rPr>
          <w:color w:val="231F20"/>
        </w:rPr>
        <w:t>“new”</w:t>
      </w:r>
      <w:r>
        <w:rPr>
          <w:color w:val="231F20"/>
          <w:spacing w:val="18"/>
        </w:rPr>
        <w:t xml:space="preserve"> </w:t>
      </w:r>
      <w:r>
        <w:rPr>
          <w:color w:val="231F20"/>
        </w:rPr>
        <w:t>Communist</w:t>
      </w:r>
      <w:r>
        <w:rPr>
          <w:color w:val="231F20"/>
          <w:spacing w:val="18"/>
        </w:rPr>
        <w:t xml:space="preserve"> </w:t>
      </w:r>
      <w:r>
        <w:rPr>
          <w:color w:val="231F20"/>
        </w:rPr>
        <w:t>Party</w:t>
      </w:r>
      <w:r>
        <w:rPr>
          <w:color w:val="231F20"/>
          <w:spacing w:val="18"/>
        </w:rPr>
        <w:t xml:space="preserve"> </w:t>
      </w:r>
      <w:r>
        <w:rPr>
          <w:color w:val="231F20"/>
        </w:rPr>
        <w:t>was</w:t>
      </w:r>
      <w:r>
        <w:rPr>
          <w:color w:val="231F20"/>
          <w:spacing w:val="18"/>
        </w:rPr>
        <w:t xml:space="preserve"> </w:t>
      </w:r>
      <w:r>
        <w:rPr>
          <w:color w:val="231F20"/>
        </w:rPr>
        <w:t>of</w:t>
      </w:r>
      <w:r>
        <w:rPr>
          <w:color w:val="231F20"/>
          <w:spacing w:val="18"/>
        </w:rPr>
        <w:t xml:space="preserve"> </w:t>
      </w:r>
      <w:r>
        <w:rPr>
          <w:color w:val="231F20"/>
        </w:rPr>
        <w:t>little</w:t>
      </w:r>
    </w:p>
    <w:p w14:paraId="47C0957B" w14:textId="77777777" w:rsidR="002653E8" w:rsidRDefault="00000000">
      <w:pPr>
        <w:pStyle w:val="a3"/>
        <w:spacing w:before="7"/>
        <w:rPr>
          <w:sz w:val="13"/>
        </w:rPr>
      </w:pPr>
      <w:r>
        <w:rPr>
          <w:noProof w:val="0"/>
        </w:rPr>
        <w:pict w14:anchorId="59EA134A">
          <v:line id="_x0000_s2655" style="position:absolute;z-index:2488;mso-wrap-distance-left:0;mso-wrap-distance-right:0;mso-position-horizontal-relative:page" from="57.4pt,10.2pt" to="129.4pt,10.2pt" strokecolor="#231f20" strokeweight=".5pt">
            <w10:wrap type="topAndBottom" anchorx="page"/>
          </v:line>
        </w:pict>
      </w:r>
    </w:p>
    <w:p w14:paraId="4233718A" w14:textId="77777777" w:rsidR="002653E8" w:rsidRDefault="003115E3">
      <w:pPr>
        <w:spacing w:before="53"/>
        <w:ind w:left="1147"/>
        <w:rPr>
          <w:sz w:val="16"/>
        </w:rPr>
      </w:pPr>
      <w:r>
        <w:rPr>
          <w:color w:val="231F20"/>
          <w:w w:val="110"/>
          <w:sz w:val="16"/>
        </w:rPr>
        <w:t>1 Cobler, 154-155.</w:t>
      </w:r>
    </w:p>
    <w:p w14:paraId="4A979D83" w14:textId="77777777" w:rsidR="002653E8" w:rsidRDefault="002653E8">
      <w:pPr>
        <w:rPr>
          <w:sz w:val="16"/>
        </w:rPr>
        <w:sectPr w:rsidR="002653E8">
          <w:pgSz w:w="8640" w:h="12960"/>
          <w:pgMar w:top="1060" w:right="0" w:bottom="1040" w:left="0" w:header="0" w:footer="850" w:gutter="0"/>
          <w:cols w:space="720"/>
        </w:sectPr>
      </w:pPr>
    </w:p>
    <w:p w14:paraId="35829763" w14:textId="77777777" w:rsidR="002653E8" w:rsidRDefault="003115E3">
      <w:pPr>
        <w:pStyle w:val="a3"/>
        <w:spacing w:before="86" w:line="264" w:lineRule="auto"/>
        <w:ind w:left="1327"/>
        <w:jc w:val="both"/>
      </w:pPr>
      <w:r>
        <w:rPr>
          <w:color w:val="231F20"/>
        </w:rPr>
        <w:lastRenderedPageBreak/>
        <w:t>interest, not only because of its association with the clearly unattractive East German regime, but also because of what was seen as its unimpressive and timid track record in the years before Adenauer had had it banned.</w:t>
      </w:r>
    </w:p>
    <w:p w14:paraId="6DF680E9" w14:textId="77777777" w:rsidR="002653E8" w:rsidRDefault="003115E3">
      <w:pPr>
        <w:pStyle w:val="a3"/>
        <w:spacing w:line="264" w:lineRule="auto"/>
        <w:ind w:left="1327" w:firstLine="210"/>
        <w:jc w:val="both"/>
      </w:pPr>
      <w:r>
        <w:rPr>
          <w:color w:val="231F20"/>
        </w:rPr>
        <w:t>Rather, there followed a veritable alphabet soup of Maoist parties, most of which were as virulently anti-Soviet as they were anti-American. These were joined by a much smaller number of Trotskyist organizations, and together all these would eventually become known as the “K-groups,” in a development roughly analogous to the New Communist Movement which developed at the same time in North America.</w:t>
      </w:r>
    </w:p>
    <w:p w14:paraId="24BC6395" w14:textId="77777777" w:rsidR="002653E8" w:rsidRDefault="003115E3">
      <w:pPr>
        <w:pStyle w:val="a3"/>
        <w:spacing w:line="219" w:lineRule="exact"/>
        <w:ind w:left="1537"/>
      </w:pPr>
      <w:r>
        <w:rPr>
          <w:color w:val="231F20"/>
        </w:rPr>
        <w:t>Those</w:t>
      </w:r>
      <w:r>
        <w:rPr>
          <w:color w:val="231F20"/>
          <w:spacing w:val="-18"/>
        </w:rPr>
        <w:t xml:space="preserve"> </w:t>
      </w:r>
      <w:r>
        <w:rPr>
          <w:color w:val="231F20"/>
        </w:rPr>
        <w:t>who</w:t>
      </w:r>
      <w:r>
        <w:rPr>
          <w:color w:val="231F20"/>
          <w:spacing w:val="-18"/>
        </w:rPr>
        <w:t xml:space="preserve"> </w:t>
      </w:r>
      <w:r>
        <w:rPr>
          <w:color w:val="231F20"/>
        </w:rPr>
        <w:t>remained</w:t>
      </w:r>
      <w:r>
        <w:rPr>
          <w:color w:val="231F20"/>
          <w:spacing w:val="-18"/>
        </w:rPr>
        <w:t xml:space="preserve"> </w:t>
      </w:r>
      <w:r>
        <w:rPr>
          <w:color w:val="231F20"/>
        </w:rPr>
        <w:t>to</w:t>
      </w:r>
      <w:r>
        <w:rPr>
          <w:color w:val="231F20"/>
          <w:spacing w:val="-18"/>
        </w:rPr>
        <w:t xml:space="preserve"> </w:t>
      </w:r>
      <w:r>
        <w:rPr>
          <w:color w:val="231F20"/>
        </w:rPr>
        <w:t>the</w:t>
      </w:r>
      <w:r>
        <w:rPr>
          <w:color w:val="231F20"/>
          <w:spacing w:val="-18"/>
        </w:rPr>
        <w:t xml:space="preserve"> </w:t>
      </w:r>
      <w:r>
        <w:rPr>
          <w:color w:val="231F20"/>
        </w:rPr>
        <w:t>left</w:t>
      </w:r>
    </w:p>
    <w:p w14:paraId="6A450532" w14:textId="77777777" w:rsidR="002653E8" w:rsidRDefault="003115E3">
      <w:pPr>
        <w:pStyle w:val="a3"/>
        <w:spacing w:before="15" w:line="264" w:lineRule="auto"/>
        <w:ind w:left="1327"/>
        <w:jc w:val="both"/>
      </w:pPr>
      <w:r>
        <w:rPr>
          <w:color w:val="231F20"/>
          <w:w w:val="105"/>
        </w:rPr>
        <w:t>of</w:t>
      </w:r>
      <w:r>
        <w:rPr>
          <w:color w:val="231F20"/>
          <w:spacing w:val="-11"/>
          <w:w w:val="105"/>
        </w:rPr>
        <w:t xml:space="preserve"> </w:t>
      </w:r>
      <w:r>
        <w:rPr>
          <w:color w:val="231F20"/>
          <w:w w:val="105"/>
        </w:rPr>
        <w:t>the</w:t>
      </w:r>
      <w:r>
        <w:rPr>
          <w:color w:val="231F20"/>
          <w:spacing w:val="-11"/>
          <w:w w:val="105"/>
        </w:rPr>
        <w:t xml:space="preserve"> </w:t>
      </w:r>
      <w:r>
        <w:rPr>
          <w:color w:val="231F20"/>
          <w:w w:val="105"/>
        </w:rPr>
        <w:t>SPD</w:t>
      </w:r>
      <w:r>
        <w:rPr>
          <w:color w:val="231F20"/>
          <w:spacing w:val="-11"/>
          <w:w w:val="105"/>
        </w:rPr>
        <w:t xml:space="preserve"> </w:t>
      </w:r>
      <w:r>
        <w:rPr>
          <w:color w:val="231F20"/>
          <w:w w:val="105"/>
        </w:rPr>
        <w:t>while</w:t>
      </w:r>
      <w:r>
        <w:rPr>
          <w:color w:val="231F20"/>
          <w:spacing w:val="-11"/>
          <w:w w:val="105"/>
        </w:rPr>
        <w:t xml:space="preserve"> </w:t>
      </w:r>
      <w:r>
        <w:rPr>
          <w:color w:val="231F20"/>
          <w:w w:val="105"/>
        </w:rPr>
        <w:t>not</w:t>
      </w:r>
      <w:r>
        <w:rPr>
          <w:color w:val="231F20"/>
          <w:spacing w:val="-11"/>
          <w:w w:val="105"/>
        </w:rPr>
        <w:t xml:space="preserve"> </w:t>
      </w:r>
      <w:r>
        <w:rPr>
          <w:color w:val="231F20"/>
          <w:w w:val="105"/>
        </w:rPr>
        <w:t>joining</w:t>
      </w:r>
      <w:r>
        <w:rPr>
          <w:color w:val="231F20"/>
          <w:spacing w:val="-11"/>
          <w:w w:val="105"/>
        </w:rPr>
        <w:t xml:space="preserve"> </w:t>
      </w:r>
      <w:r>
        <w:rPr>
          <w:color w:val="231F20"/>
          <w:w w:val="105"/>
        </w:rPr>
        <w:t>any of these new party-oriented</w:t>
      </w:r>
      <w:r>
        <w:rPr>
          <w:color w:val="231F20"/>
          <w:spacing w:val="-21"/>
          <w:w w:val="105"/>
        </w:rPr>
        <w:t xml:space="preserve"> </w:t>
      </w:r>
      <w:r>
        <w:rPr>
          <w:color w:val="231F20"/>
          <w:w w:val="105"/>
        </w:rPr>
        <w:t xml:space="preserve">organizations included the </w:t>
      </w:r>
      <w:r>
        <w:rPr>
          <w:i/>
          <w:color w:val="231F20"/>
          <w:w w:val="105"/>
        </w:rPr>
        <w:t xml:space="preserve">sponti </w:t>
      </w:r>
      <w:r>
        <w:rPr>
          <w:color w:val="231F20"/>
          <w:w w:val="105"/>
        </w:rPr>
        <w:t xml:space="preserve">(“spontaneous”) left which had grown out of the APO’s antiauthoritarian camp, anarchists, and assorted independent socialists. </w:t>
      </w:r>
      <w:r>
        <w:rPr>
          <w:color w:val="231F20"/>
          <w:spacing w:val="-3"/>
          <w:w w:val="105"/>
        </w:rPr>
        <w:t xml:space="preserve">Together, </w:t>
      </w:r>
      <w:r>
        <w:rPr>
          <w:color w:val="231F20"/>
          <w:w w:val="105"/>
        </w:rPr>
        <w:t xml:space="preserve">these were referred to as the “undogmatic left,” their bastions being the cities of Frankfurt, Munich, </w:t>
      </w:r>
      <w:r>
        <w:rPr>
          <w:color w:val="231F20"/>
          <w:spacing w:val="1"/>
          <w:w w:val="105"/>
        </w:rPr>
        <w:t xml:space="preserve">and—of </w:t>
      </w:r>
      <w:r>
        <w:rPr>
          <w:color w:val="231F20"/>
          <w:w w:val="105"/>
        </w:rPr>
        <w:t>course—West</w:t>
      </w:r>
      <w:r>
        <w:rPr>
          <w:color w:val="231F20"/>
          <w:spacing w:val="-24"/>
          <w:w w:val="105"/>
        </w:rPr>
        <w:t xml:space="preserve"> </w:t>
      </w:r>
      <w:r>
        <w:rPr>
          <w:color w:val="231F20"/>
          <w:w w:val="105"/>
        </w:rPr>
        <w:t>Berlin.</w:t>
      </w:r>
    </w:p>
    <w:p w14:paraId="74E54699" w14:textId="77777777" w:rsidR="002653E8" w:rsidRDefault="003115E3">
      <w:pPr>
        <w:pStyle w:val="a3"/>
        <w:spacing w:line="221" w:lineRule="exact"/>
        <w:ind w:left="1537"/>
      </w:pPr>
      <w:r>
        <w:rPr>
          <w:color w:val="231F20"/>
        </w:rPr>
        <w:t>The movement continued to</w:t>
      </w:r>
    </w:p>
    <w:p w14:paraId="1AD249F4" w14:textId="77777777" w:rsidR="002653E8" w:rsidRDefault="003115E3">
      <w:pPr>
        <w:pStyle w:val="a3"/>
        <w:spacing w:before="22" w:line="264" w:lineRule="auto"/>
        <w:ind w:left="1327"/>
        <w:jc w:val="both"/>
      </w:pPr>
      <w:r>
        <w:rPr>
          <w:color w:val="231F20"/>
        </w:rPr>
        <w:t>struggle, but with increasing difficulty, fragmenting in all directions, as the APO seemed to be coming apart at the seams.</w:t>
      </w:r>
    </w:p>
    <w:p w14:paraId="106BDE8D" w14:textId="77777777" w:rsidR="002653E8" w:rsidRDefault="003115E3">
      <w:pPr>
        <w:pStyle w:val="a3"/>
        <w:spacing w:before="3" w:after="40"/>
        <w:rPr>
          <w:sz w:val="9"/>
        </w:rPr>
      </w:pPr>
      <w:r>
        <w:br w:type="column"/>
      </w:r>
    </w:p>
    <w:p w14:paraId="15457096" w14:textId="77777777" w:rsidR="002653E8" w:rsidRDefault="00000000">
      <w:pPr>
        <w:pStyle w:val="a3"/>
        <w:ind w:left="159"/>
      </w:pPr>
      <w:r>
        <w:pict w14:anchorId="175319FC">
          <v:group id="_x0000_s2652" style="width:158.5pt;height:161.9pt;mso-position-horizontal-relative:char;mso-position-vertical-relative:line" coordsize="3170,3238">
            <v:shape id="_x0000_s2654" type="#_x0000_t75" style="position:absolute;left:10;top:10;width:3150;height:3218">
              <v:imagedata r:id="rId54" o:title=""/>
            </v:shape>
            <v:rect id="_x0000_s2653" style="position:absolute;left:10;top:10;width:3150;height:3218" filled="f" strokecolor="#231f20" strokeweight="1pt"/>
            <w10:anchorlock/>
          </v:group>
        </w:pict>
      </w:r>
    </w:p>
    <w:p w14:paraId="23FCE829" w14:textId="77777777" w:rsidR="002653E8" w:rsidRDefault="003115E3">
      <w:pPr>
        <w:spacing w:before="121" w:line="252" w:lineRule="auto"/>
        <w:ind w:left="360" w:right="1349" w:hanging="1"/>
        <w:jc w:val="center"/>
        <w:rPr>
          <w:i/>
          <w:sz w:val="17"/>
        </w:rPr>
      </w:pPr>
      <w:r>
        <w:rPr>
          <w:i/>
          <w:color w:val="231F20"/>
          <w:w w:val="105"/>
          <w:sz w:val="17"/>
        </w:rPr>
        <w:t>The different tendencies to emerge from the APO tapped into different aesthetic traditions—above: a</w:t>
      </w:r>
    </w:p>
    <w:p w14:paraId="3863332E" w14:textId="77777777" w:rsidR="002653E8" w:rsidRDefault="003115E3">
      <w:pPr>
        <w:spacing w:before="3" w:line="252" w:lineRule="auto"/>
        <w:ind w:left="349" w:right="1338"/>
        <w:jc w:val="center"/>
        <w:rPr>
          <w:i/>
          <w:sz w:val="17"/>
        </w:rPr>
      </w:pPr>
      <w:r>
        <w:rPr>
          <w:i/>
          <w:color w:val="231F20"/>
          <w:w w:val="105"/>
          <w:sz w:val="17"/>
        </w:rPr>
        <w:t>call-out from the radical magazine Agit 883 for a demonstration against the Vietnam War.</w:t>
      </w:r>
    </w:p>
    <w:p w14:paraId="50AF2DB9" w14:textId="77777777" w:rsidR="002653E8" w:rsidRDefault="003115E3">
      <w:pPr>
        <w:spacing w:before="80" w:line="252" w:lineRule="auto"/>
        <w:ind w:left="340" w:right="1333" w:firstLine="217"/>
        <w:rPr>
          <w:i/>
          <w:sz w:val="17"/>
        </w:rPr>
      </w:pPr>
      <w:r>
        <w:rPr>
          <w:i/>
          <w:color w:val="231F20"/>
          <w:w w:val="110"/>
          <w:sz w:val="17"/>
        </w:rPr>
        <w:t xml:space="preserve">below: “Everybody Out to  the Red </w:t>
      </w:r>
      <w:r>
        <w:rPr>
          <w:i/>
          <w:color w:val="231F20"/>
          <w:spacing w:val="1"/>
          <w:w w:val="110"/>
          <w:sz w:val="17"/>
        </w:rPr>
        <w:t xml:space="preserve">May </w:t>
      </w:r>
      <w:r>
        <w:rPr>
          <w:i/>
          <w:color w:val="231F20"/>
          <w:w w:val="110"/>
          <w:sz w:val="17"/>
        </w:rPr>
        <w:t>1st; Resist Wage</w:t>
      </w:r>
      <w:r>
        <w:rPr>
          <w:i/>
          <w:color w:val="231F20"/>
          <w:spacing w:val="20"/>
          <w:w w:val="110"/>
          <w:sz w:val="17"/>
        </w:rPr>
        <w:t xml:space="preserve"> </w:t>
      </w:r>
      <w:r>
        <w:rPr>
          <w:i/>
          <w:color w:val="231F20"/>
          <w:w w:val="110"/>
          <w:sz w:val="17"/>
        </w:rPr>
        <w:t>Controls;</w:t>
      </w:r>
    </w:p>
    <w:p w14:paraId="6B79ED05" w14:textId="77777777" w:rsidR="002653E8" w:rsidRDefault="003115E3">
      <w:pPr>
        <w:spacing w:before="2" w:line="252" w:lineRule="auto"/>
        <w:ind w:left="349" w:right="1337"/>
        <w:jc w:val="center"/>
        <w:rPr>
          <w:i/>
          <w:sz w:val="17"/>
        </w:rPr>
      </w:pPr>
      <w:r>
        <w:rPr>
          <w:i/>
          <w:color w:val="231F20"/>
          <w:w w:val="110"/>
          <w:sz w:val="17"/>
        </w:rPr>
        <w:t>Resist Wage Slavery; A United Working Class Front Against the Betrayal of the SPD Government”</w:t>
      </w:r>
    </w:p>
    <w:p w14:paraId="3F86B85A" w14:textId="77777777" w:rsidR="002653E8" w:rsidRDefault="00000000">
      <w:pPr>
        <w:pStyle w:val="a3"/>
        <w:spacing w:before="11"/>
        <w:rPr>
          <w:i/>
          <w:sz w:val="8"/>
        </w:rPr>
      </w:pPr>
      <w:r>
        <w:rPr>
          <w:noProof w:val="0"/>
        </w:rPr>
        <w:pict w14:anchorId="6A189011">
          <v:group id="_x0000_s2649" style="position:absolute;margin-left:216.15pt;margin-top:7.2pt;width:158.5pt;height:211.9pt;z-index:2536;mso-wrap-distance-left:0;mso-wrap-distance-right:0;mso-position-horizontal-relative:page" coordorigin="4323,144" coordsize="3170,4238">
            <v:shape id="_x0000_s2651" type="#_x0000_t75" style="position:absolute;left:4332;top:154;width:3150;height:4218">
              <v:imagedata r:id="rId55" o:title=""/>
            </v:shape>
            <v:rect id="_x0000_s2650" style="position:absolute;left:4332;top:154;width:3150;height:4218" filled="f" strokecolor="#231f20" strokeweight="1pt"/>
            <w10:wrap type="topAndBottom" anchorx="page"/>
          </v:group>
        </w:pict>
      </w:r>
    </w:p>
    <w:p w14:paraId="2E5B1EF3" w14:textId="77777777" w:rsidR="002653E8" w:rsidRDefault="002653E8">
      <w:pPr>
        <w:rPr>
          <w:sz w:val="8"/>
        </w:rPr>
        <w:sectPr w:rsidR="002653E8">
          <w:pgSz w:w="8640" w:h="12960"/>
          <w:pgMar w:top="1060" w:right="0" w:bottom="1040" w:left="0" w:header="0" w:footer="850" w:gutter="0"/>
          <w:cols w:num="2" w:space="720" w:equalWidth="0">
            <w:col w:w="4124" w:space="40"/>
            <w:col w:w="4476"/>
          </w:cols>
        </w:sectPr>
      </w:pPr>
    </w:p>
    <w:p w14:paraId="78BF2A57" w14:textId="77777777" w:rsidR="002653E8" w:rsidRDefault="003115E3">
      <w:pPr>
        <w:pStyle w:val="a3"/>
        <w:spacing w:before="86" w:line="264" w:lineRule="auto"/>
        <w:ind w:left="1147" w:right="1325" w:firstLine="209"/>
        <w:jc w:val="both"/>
        <w:rPr>
          <w:sz w:val="11"/>
        </w:rPr>
      </w:pPr>
      <w:r>
        <w:rPr>
          <w:color w:val="231F20"/>
        </w:rPr>
        <w:lastRenderedPageBreak/>
        <w:t>In March 1970, following a chaotic congress at the Frankfurt Student Association Building, the SDS was dissolved by acclamation. In a brilliant ploy, two months later the government decreed an amnesty for protesters serving short sentences, thereby winning many of these middle class students back to the establishment. The student movement in West Germany was particularly vulnerable to this kind of recuperation, being overwhelmingly comprised of young people for whom there was a place in the more comfortable classes; in 1967, for instance, only 7</w:t>
      </w:r>
      <w:r>
        <w:rPr>
          <w:color w:val="231F20"/>
          <w:sz w:val="16"/>
        </w:rPr>
        <w:t xml:space="preserve">% </w:t>
      </w:r>
      <w:r>
        <w:rPr>
          <w:color w:val="231F20"/>
        </w:rPr>
        <w:t>of West German students were from working class families (by comparison, in England the figure was almost one in three).</w:t>
      </w:r>
      <w:r>
        <w:rPr>
          <w:color w:val="231F20"/>
          <w:position w:val="7"/>
          <w:sz w:val="11"/>
        </w:rPr>
        <w:t>1</w:t>
      </w:r>
    </w:p>
    <w:p w14:paraId="58C8322E" w14:textId="77777777" w:rsidR="002653E8" w:rsidRDefault="003115E3">
      <w:pPr>
        <w:pStyle w:val="a3"/>
        <w:spacing w:line="264" w:lineRule="auto"/>
        <w:ind w:left="1148" w:right="1325" w:firstLine="209"/>
        <w:jc w:val="both"/>
      </w:pPr>
      <w:r>
        <w:rPr>
          <w:color w:val="231F20"/>
        </w:rPr>
        <w:t>Despite the APO’s inability to meet the challenges before it, one cannot deny that in just a few years it had thoroughly transformed West German society:</w:t>
      </w:r>
    </w:p>
    <w:p w14:paraId="133A022E" w14:textId="77777777" w:rsidR="002653E8" w:rsidRDefault="003115E3">
      <w:pPr>
        <w:spacing w:before="115" w:line="276" w:lineRule="auto"/>
        <w:ind w:left="1567" w:right="1745"/>
        <w:jc w:val="both"/>
        <w:rPr>
          <w:i/>
          <w:sz w:val="11"/>
        </w:rPr>
      </w:pPr>
      <w:r>
        <w:rPr>
          <w:i/>
          <w:color w:val="231F20"/>
          <w:w w:val="105"/>
          <w:sz w:val="19"/>
        </w:rPr>
        <w:t>Among the consequences were the reform of education; a new Ostpolitik;</w:t>
      </w:r>
      <w:r>
        <w:rPr>
          <w:color w:val="231F20"/>
          <w:w w:val="105"/>
          <w:position w:val="6"/>
          <w:sz w:val="11"/>
        </w:rPr>
        <w:t xml:space="preserve">2 </w:t>
      </w:r>
      <w:r>
        <w:rPr>
          <w:i/>
          <w:color w:val="231F20"/>
          <w:w w:val="105"/>
          <w:sz w:val="19"/>
        </w:rPr>
        <w:t xml:space="preserve">the deconstruction of the authoritarian patriarchal relations  in  the  </w:t>
      </w:r>
      <w:r>
        <w:rPr>
          <w:i/>
          <w:color w:val="231F20"/>
          <w:spacing w:val="-4"/>
          <w:w w:val="105"/>
          <w:sz w:val="19"/>
        </w:rPr>
        <w:t xml:space="preserve">family,  </w:t>
      </w:r>
      <w:r>
        <w:rPr>
          <w:i/>
          <w:color w:val="231F20"/>
          <w:w w:val="105"/>
          <w:sz w:val="19"/>
        </w:rPr>
        <w:t>school,  factory  and  public   service; the development of state planning in the economy; a greater integration of women into professional life and a reform in sexual legislation… the APO also provided the impetus to a socio-cultural</w:t>
      </w:r>
      <w:r>
        <w:rPr>
          <w:i/>
          <w:color w:val="231F20"/>
          <w:spacing w:val="-9"/>
          <w:w w:val="105"/>
          <w:sz w:val="19"/>
        </w:rPr>
        <w:t xml:space="preserve"> </w:t>
      </w:r>
      <w:r>
        <w:rPr>
          <w:i/>
          <w:color w:val="231F20"/>
          <w:w w:val="105"/>
          <w:sz w:val="19"/>
        </w:rPr>
        <w:t>break</w:t>
      </w:r>
      <w:r>
        <w:rPr>
          <w:i/>
          <w:color w:val="231F20"/>
          <w:spacing w:val="-10"/>
          <w:w w:val="105"/>
          <w:sz w:val="19"/>
        </w:rPr>
        <w:t xml:space="preserve"> </w:t>
      </w:r>
      <w:r>
        <w:rPr>
          <w:i/>
          <w:color w:val="231F20"/>
          <w:w w:val="105"/>
          <w:sz w:val="19"/>
        </w:rPr>
        <w:t>with</w:t>
      </w:r>
      <w:r>
        <w:rPr>
          <w:i/>
          <w:color w:val="231F20"/>
          <w:spacing w:val="-9"/>
          <w:w w:val="105"/>
          <w:sz w:val="19"/>
        </w:rPr>
        <w:t xml:space="preserve"> </w:t>
      </w:r>
      <w:r>
        <w:rPr>
          <w:i/>
          <w:color w:val="231F20"/>
          <w:w w:val="105"/>
          <w:sz w:val="19"/>
        </w:rPr>
        <w:t>the</w:t>
      </w:r>
      <w:r>
        <w:rPr>
          <w:i/>
          <w:color w:val="231F20"/>
          <w:spacing w:val="-9"/>
          <w:w w:val="105"/>
          <w:sz w:val="19"/>
        </w:rPr>
        <w:t xml:space="preserve"> </w:t>
      </w:r>
      <w:r>
        <w:rPr>
          <w:i/>
          <w:color w:val="231F20"/>
          <w:w w:val="105"/>
          <w:sz w:val="19"/>
        </w:rPr>
        <w:t>past.</w:t>
      </w:r>
      <w:r>
        <w:rPr>
          <w:i/>
          <w:color w:val="231F20"/>
          <w:spacing w:val="-18"/>
          <w:w w:val="105"/>
          <w:sz w:val="19"/>
        </w:rPr>
        <w:t xml:space="preserve"> </w:t>
      </w:r>
      <w:r>
        <w:rPr>
          <w:i/>
          <w:color w:val="231F20"/>
          <w:w w:val="105"/>
          <w:sz w:val="19"/>
        </w:rPr>
        <w:t>There</w:t>
      </w:r>
      <w:r>
        <w:rPr>
          <w:i/>
          <w:color w:val="231F20"/>
          <w:spacing w:val="-9"/>
          <w:w w:val="105"/>
          <w:sz w:val="19"/>
        </w:rPr>
        <w:t xml:space="preserve"> </w:t>
      </w:r>
      <w:r>
        <w:rPr>
          <w:i/>
          <w:color w:val="231F20"/>
          <w:w w:val="105"/>
          <w:sz w:val="19"/>
        </w:rPr>
        <w:t>was</w:t>
      </w:r>
      <w:r>
        <w:rPr>
          <w:i/>
          <w:color w:val="231F20"/>
          <w:spacing w:val="-9"/>
          <w:w w:val="105"/>
          <w:sz w:val="19"/>
        </w:rPr>
        <w:t xml:space="preserve"> </w:t>
      </w:r>
      <w:r>
        <w:rPr>
          <w:i/>
          <w:color w:val="231F20"/>
          <w:w w:val="105"/>
          <w:sz w:val="19"/>
        </w:rPr>
        <w:t>a</w:t>
      </w:r>
      <w:r>
        <w:rPr>
          <w:i/>
          <w:color w:val="231F20"/>
          <w:spacing w:val="-10"/>
          <w:w w:val="105"/>
          <w:sz w:val="19"/>
        </w:rPr>
        <w:t xml:space="preserve"> </w:t>
      </w:r>
      <w:r>
        <w:rPr>
          <w:i/>
          <w:color w:val="231F20"/>
          <w:w w:val="105"/>
          <w:sz w:val="19"/>
        </w:rPr>
        <w:t>very</w:t>
      </w:r>
      <w:r>
        <w:rPr>
          <w:i/>
          <w:color w:val="231F20"/>
          <w:spacing w:val="-10"/>
          <w:w w:val="105"/>
          <w:sz w:val="19"/>
        </w:rPr>
        <w:t xml:space="preserve"> </w:t>
      </w:r>
      <w:r>
        <w:rPr>
          <w:i/>
          <w:color w:val="231F20"/>
          <w:w w:val="105"/>
          <w:sz w:val="19"/>
        </w:rPr>
        <w:t>rapid</w:t>
      </w:r>
      <w:r>
        <w:rPr>
          <w:i/>
          <w:color w:val="231F20"/>
          <w:spacing w:val="-10"/>
          <w:w w:val="105"/>
          <w:sz w:val="19"/>
        </w:rPr>
        <w:t xml:space="preserve"> </w:t>
      </w:r>
      <w:r>
        <w:rPr>
          <w:i/>
          <w:color w:val="231F20"/>
          <w:w w:val="105"/>
          <w:sz w:val="19"/>
        </w:rPr>
        <w:t>change in social outlook and behavior patterns. The old ascetic</w:t>
      </w:r>
      <w:r>
        <w:rPr>
          <w:i/>
          <w:color w:val="231F20"/>
          <w:spacing w:val="-10"/>
          <w:w w:val="105"/>
          <w:sz w:val="19"/>
        </w:rPr>
        <w:t xml:space="preserve"> </w:t>
      </w:r>
      <w:r>
        <w:rPr>
          <w:i/>
          <w:color w:val="231F20"/>
          <w:w w:val="105"/>
          <w:sz w:val="19"/>
        </w:rPr>
        <w:t>behavior based</w:t>
      </w:r>
      <w:r>
        <w:rPr>
          <w:i/>
          <w:color w:val="231F20"/>
          <w:spacing w:val="-8"/>
          <w:w w:val="105"/>
          <w:sz w:val="19"/>
        </w:rPr>
        <w:t xml:space="preserve"> </w:t>
      </w:r>
      <w:r>
        <w:rPr>
          <w:i/>
          <w:color w:val="231F20"/>
          <w:w w:val="105"/>
          <w:sz w:val="19"/>
        </w:rPr>
        <w:t>on</w:t>
      </w:r>
      <w:r>
        <w:rPr>
          <w:i/>
          <w:color w:val="231F20"/>
          <w:spacing w:val="-8"/>
          <w:w w:val="105"/>
          <w:sz w:val="19"/>
        </w:rPr>
        <w:t xml:space="preserve"> </w:t>
      </w:r>
      <w:r>
        <w:rPr>
          <w:i/>
          <w:color w:val="231F20"/>
          <w:w w:val="105"/>
          <w:sz w:val="19"/>
        </w:rPr>
        <w:t>the</w:t>
      </w:r>
      <w:r>
        <w:rPr>
          <w:i/>
          <w:color w:val="231F20"/>
          <w:spacing w:val="-8"/>
          <w:w w:val="105"/>
          <w:sz w:val="19"/>
        </w:rPr>
        <w:t xml:space="preserve"> </w:t>
      </w:r>
      <w:r>
        <w:rPr>
          <w:i/>
          <w:color w:val="231F20"/>
          <w:w w:val="105"/>
          <w:sz w:val="19"/>
        </w:rPr>
        <w:t>notion</w:t>
      </w:r>
      <w:r>
        <w:rPr>
          <w:i/>
          <w:color w:val="231F20"/>
          <w:spacing w:val="-8"/>
          <w:w w:val="105"/>
          <w:sz w:val="19"/>
        </w:rPr>
        <w:t xml:space="preserve"> </w:t>
      </w:r>
      <w:r>
        <w:rPr>
          <w:i/>
          <w:color w:val="231F20"/>
          <w:w w:val="105"/>
          <w:sz w:val="19"/>
        </w:rPr>
        <w:t>of</w:t>
      </w:r>
      <w:r>
        <w:rPr>
          <w:i/>
          <w:color w:val="231F20"/>
          <w:spacing w:val="-8"/>
          <w:w w:val="105"/>
          <w:sz w:val="19"/>
        </w:rPr>
        <w:t xml:space="preserve"> </w:t>
      </w:r>
      <w:r>
        <w:rPr>
          <w:i/>
          <w:color w:val="231F20"/>
          <w:w w:val="105"/>
          <w:sz w:val="19"/>
        </w:rPr>
        <w:t>duty</w:t>
      </w:r>
      <w:r>
        <w:rPr>
          <w:i/>
          <w:color w:val="231F20"/>
          <w:spacing w:val="-8"/>
          <w:w w:val="105"/>
          <w:sz w:val="19"/>
        </w:rPr>
        <w:t xml:space="preserve"> </w:t>
      </w:r>
      <w:r>
        <w:rPr>
          <w:i/>
          <w:color w:val="231F20"/>
          <w:w w:val="105"/>
          <w:sz w:val="19"/>
        </w:rPr>
        <w:t>came</w:t>
      </w:r>
      <w:r>
        <w:rPr>
          <w:i/>
          <w:color w:val="231F20"/>
          <w:spacing w:val="-8"/>
          <w:w w:val="105"/>
          <w:sz w:val="19"/>
        </w:rPr>
        <w:t xml:space="preserve"> </w:t>
      </w:r>
      <w:r>
        <w:rPr>
          <w:i/>
          <w:color w:val="231F20"/>
          <w:w w:val="105"/>
          <w:sz w:val="19"/>
        </w:rPr>
        <w:t>to</w:t>
      </w:r>
      <w:r>
        <w:rPr>
          <w:i/>
          <w:color w:val="231F20"/>
          <w:spacing w:val="-8"/>
          <w:w w:val="105"/>
          <w:sz w:val="19"/>
        </w:rPr>
        <w:t xml:space="preserve"> </w:t>
      </w:r>
      <w:r>
        <w:rPr>
          <w:i/>
          <w:color w:val="231F20"/>
          <w:w w:val="105"/>
          <w:sz w:val="19"/>
        </w:rPr>
        <w:t>an</w:t>
      </w:r>
      <w:r>
        <w:rPr>
          <w:i/>
          <w:color w:val="231F20"/>
          <w:spacing w:val="-8"/>
          <w:w w:val="105"/>
          <w:sz w:val="19"/>
        </w:rPr>
        <w:t xml:space="preserve"> </w:t>
      </w:r>
      <w:r>
        <w:rPr>
          <w:i/>
          <w:color w:val="231F20"/>
          <w:w w:val="105"/>
          <w:sz w:val="19"/>
        </w:rPr>
        <w:t>end.</w:t>
      </w:r>
      <w:r>
        <w:rPr>
          <w:i/>
          <w:color w:val="231F20"/>
          <w:spacing w:val="-21"/>
          <w:w w:val="105"/>
          <w:sz w:val="19"/>
        </w:rPr>
        <w:t xml:space="preserve"> </w:t>
      </w:r>
      <w:r>
        <w:rPr>
          <w:i/>
          <w:color w:val="231F20"/>
          <w:w w:val="105"/>
          <w:sz w:val="19"/>
        </w:rPr>
        <w:t>Along</w:t>
      </w:r>
      <w:r>
        <w:rPr>
          <w:i/>
          <w:color w:val="231F20"/>
          <w:spacing w:val="-8"/>
          <w:w w:val="105"/>
          <w:sz w:val="19"/>
        </w:rPr>
        <w:t xml:space="preserve"> </w:t>
      </w:r>
      <w:r>
        <w:rPr>
          <w:i/>
          <w:color w:val="231F20"/>
          <w:w w:val="105"/>
          <w:sz w:val="19"/>
        </w:rPr>
        <w:t>with</w:t>
      </w:r>
      <w:r>
        <w:rPr>
          <w:i/>
          <w:color w:val="231F20"/>
          <w:spacing w:val="-8"/>
          <w:w w:val="105"/>
          <w:sz w:val="19"/>
        </w:rPr>
        <w:t xml:space="preserve"> </w:t>
      </w:r>
      <w:r>
        <w:rPr>
          <w:i/>
          <w:color w:val="231F20"/>
          <w:w w:val="105"/>
          <w:sz w:val="19"/>
        </w:rPr>
        <w:t>a</w:t>
      </w:r>
      <w:r>
        <w:rPr>
          <w:i/>
          <w:color w:val="231F20"/>
          <w:spacing w:val="-8"/>
          <w:w w:val="105"/>
          <w:sz w:val="19"/>
        </w:rPr>
        <w:t xml:space="preserve"> </w:t>
      </w:r>
      <w:r>
        <w:rPr>
          <w:i/>
          <w:color w:val="231F20"/>
          <w:w w:val="105"/>
          <w:sz w:val="19"/>
        </w:rPr>
        <w:t>different conception of social roles came a new set of sexual mores and a dissolution</w:t>
      </w:r>
      <w:r>
        <w:rPr>
          <w:i/>
          <w:color w:val="231F20"/>
          <w:spacing w:val="-7"/>
          <w:w w:val="105"/>
          <w:sz w:val="19"/>
        </w:rPr>
        <w:t xml:space="preserve"> </w:t>
      </w:r>
      <w:r>
        <w:rPr>
          <w:i/>
          <w:color w:val="231F20"/>
          <w:w w:val="105"/>
          <w:sz w:val="19"/>
        </w:rPr>
        <w:t>of</w:t>
      </w:r>
      <w:r>
        <w:rPr>
          <w:i/>
          <w:color w:val="231F20"/>
          <w:spacing w:val="-7"/>
          <w:w w:val="105"/>
          <w:sz w:val="19"/>
        </w:rPr>
        <w:t xml:space="preserve"> </w:t>
      </w:r>
      <w:r>
        <w:rPr>
          <w:i/>
          <w:color w:val="231F20"/>
          <w:w w:val="105"/>
          <w:sz w:val="19"/>
        </w:rPr>
        <w:t>the</w:t>
      </w:r>
      <w:r>
        <w:rPr>
          <w:i/>
          <w:color w:val="231F20"/>
          <w:spacing w:val="-7"/>
          <w:w w:val="105"/>
          <w:sz w:val="19"/>
        </w:rPr>
        <w:t xml:space="preserve"> </w:t>
      </w:r>
      <w:r>
        <w:rPr>
          <w:i/>
          <w:color w:val="231F20"/>
          <w:w w:val="105"/>
          <w:sz w:val="19"/>
        </w:rPr>
        <w:t>old</w:t>
      </w:r>
      <w:r>
        <w:rPr>
          <w:i/>
          <w:color w:val="231F20"/>
          <w:spacing w:val="-7"/>
          <w:w w:val="105"/>
          <w:sz w:val="19"/>
        </w:rPr>
        <w:t xml:space="preserve"> </w:t>
      </w:r>
      <w:r>
        <w:rPr>
          <w:i/>
          <w:color w:val="231F20"/>
          <w:w w:val="105"/>
          <w:sz w:val="19"/>
        </w:rPr>
        <w:t>respectful</w:t>
      </w:r>
      <w:r>
        <w:rPr>
          <w:i/>
          <w:color w:val="231F20"/>
          <w:spacing w:val="-7"/>
          <w:w w:val="105"/>
          <w:sz w:val="19"/>
        </w:rPr>
        <w:t xml:space="preserve"> </w:t>
      </w:r>
      <w:r>
        <w:rPr>
          <w:i/>
          <w:color w:val="231F20"/>
          <w:w w:val="105"/>
          <w:sz w:val="19"/>
        </w:rPr>
        <w:t>and</w:t>
      </w:r>
      <w:r>
        <w:rPr>
          <w:i/>
          <w:color w:val="231F20"/>
          <w:spacing w:val="-7"/>
          <w:w w:val="105"/>
          <w:sz w:val="19"/>
        </w:rPr>
        <w:t xml:space="preserve"> </w:t>
      </w:r>
      <w:r>
        <w:rPr>
          <w:i/>
          <w:color w:val="231F20"/>
          <w:w w:val="105"/>
          <w:sz w:val="19"/>
        </w:rPr>
        <w:t>subservient</w:t>
      </w:r>
      <w:r>
        <w:rPr>
          <w:i/>
          <w:color w:val="231F20"/>
          <w:spacing w:val="-7"/>
          <w:w w:val="105"/>
          <w:sz w:val="19"/>
        </w:rPr>
        <w:t xml:space="preserve"> </w:t>
      </w:r>
      <w:r>
        <w:rPr>
          <w:i/>
          <w:color w:val="231F20"/>
          <w:w w:val="105"/>
          <w:sz w:val="19"/>
        </w:rPr>
        <w:t>attitude</w:t>
      </w:r>
      <w:r>
        <w:rPr>
          <w:i/>
          <w:color w:val="231F20"/>
          <w:spacing w:val="-7"/>
          <w:w w:val="105"/>
          <w:sz w:val="19"/>
        </w:rPr>
        <w:t xml:space="preserve"> </w:t>
      </w:r>
      <w:r>
        <w:rPr>
          <w:i/>
          <w:color w:val="231F20"/>
          <w:w w:val="105"/>
          <w:sz w:val="19"/>
        </w:rPr>
        <w:t xml:space="preserve">towards the state and all forms of authority. There developed, in other words, a new culture which was to pave the </w:t>
      </w:r>
      <w:r>
        <w:rPr>
          <w:i/>
          <w:color w:val="231F20"/>
          <w:spacing w:val="-3"/>
          <w:w w:val="105"/>
          <w:sz w:val="19"/>
        </w:rPr>
        <w:t xml:space="preserve">way </w:t>
      </w:r>
      <w:r>
        <w:rPr>
          <w:i/>
          <w:color w:val="231F20"/>
          <w:w w:val="105"/>
          <w:sz w:val="19"/>
        </w:rPr>
        <w:t xml:space="preserve">for the new social movements of the </w:t>
      </w:r>
      <w:r>
        <w:rPr>
          <w:rFonts w:ascii="Bookman Old Style" w:hAnsi="Bookman Old Style"/>
          <w:i/>
          <w:color w:val="231F20"/>
          <w:w w:val="105"/>
          <w:sz w:val="19"/>
        </w:rPr>
        <w:t>1970</w:t>
      </w:r>
      <w:r>
        <w:rPr>
          <w:i/>
          <w:color w:val="231F20"/>
          <w:w w:val="105"/>
          <w:sz w:val="19"/>
        </w:rPr>
        <w:t>s and</w:t>
      </w:r>
      <w:r>
        <w:rPr>
          <w:i/>
          <w:color w:val="231F20"/>
          <w:spacing w:val="20"/>
          <w:w w:val="105"/>
          <w:sz w:val="19"/>
        </w:rPr>
        <w:t xml:space="preserve"> </w:t>
      </w:r>
      <w:r>
        <w:rPr>
          <w:rFonts w:ascii="Bookman Old Style" w:hAnsi="Bookman Old Style"/>
          <w:i/>
          <w:color w:val="231F20"/>
          <w:w w:val="105"/>
          <w:sz w:val="19"/>
        </w:rPr>
        <w:t>1980</w:t>
      </w:r>
      <w:r>
        <w:rPr>
          <w:i/>
          <w:color w:val="231F20"/>
          <w:w w:val="105"/>
          <w:sz w:val="19"/>
        </w:rPr>
        <w:t>s.</w:t>
      </w:r>
      <w:r>
        <w:rPr>
          <w:i/>
          <w:color w:val="231F20"/>
          <w:w w:val="105"/>
          <w:position w:val="6"/>
          <w:sz w:val="11"/>
        </w:rPr>
        <w:t>3</w:t>
      </w:r>
    </w:p>
    <w:p w14:paraId="33724EAB" w14:textId="77777777" w:rsidR="002653E8" w:rsidRDefault="002653E8">
      <w:pPr>
        <w:pStyle w:val="a3"/>
        <w:rPr>
          <w:i/>
        </w:rPr>
      </w:pPr>
    </w:p>
    <w:p w14:paraId="4340B330" w14:textId="77777777" w:rsidR="002653E8" w:rsidRDefault="002653E8">
      <w:pPr>
        <w:pStyle w:val="a3"/>
        <w:rPr>
          <w:i/>
        </w:rPr>
      </w:pPr>
    </w:p>
    <w:p w14:paraId="242713B4" w14:textId="77777777" w:rsidR="002653E8" w:rsidRDefault="002653E8">
      <w:pPr>
        <w:pStyle w:val="a3"/>
        <w:rPr>
          <w:i/>
        </w:rPr>
      </w:pPr>
    </w:p>
    <w:p w14:paraId="0A2B9D03" w14:textId="77777777" w:rsidR="002653E8" w:rsidRDefault="002653E8">
      <w:pPr>
        <w:pStyle w:val="a3"/>
        <w:rPr>
          <w:i/>
        </w:rPr>
      </w:pPr>
    </w:p>
    <w:p w14:paraId="46332D8B" w14:textId="77777777" w:rsidR="002653E8" w:rsidRDefault="002653E8">
      <w:pPr>
        <w:pStyle w:val="a3"/>
        <w:rPr>
          <w:i/>
        </w:rPr>
      </w:pPr>
    </w:p>
    <w:p w14:paraId="346702D7" w14:textId="77777777" w:rsidR="002653E8" w:rsidRDefault="002653E8">
      <w:pPr>
        <w:pStyle w:val="a3"/>
        <w:rPr>
          <w:i/>
        </w:rPr>
      </w:pPr>
    </w:p>
    <w:p w14:paraId="6EE4C7AC" w14:textId="77777777" w:rsidR="002653E8" w:rsidRDefault="002653E8">
      <w:pPr>
        <w:pStyle w:val="a3"/>
        <w:rPr>
          <w:i/>
        </w:rPr>
      </w:pPr>
    </w:p>
    <w:p w14:paraId="59CCFBF5" w14:textId="77777777" w:rsidR="002653E8" w:rsidRDefault="002653E8">
      <w:pPr>
        <w:pStyle w:val="a3"/>
        <w:rPr>
          <w:i/>
        </w:rPr>
      </w:pPr>
    </w:p>
    <w:p w14:paraId="27EAC431" w14:textId="77777777" w:rsidR="002653E8" w:rsidRDefault="002653E8">
      <w:pPr>
        <w:pStyle w:val="a3"/>
        <w:rPr>
          <w:i/>
        </w:rPr>
      </w:pPr>
    </w:p>
    <w:p w14:paraId="74754BA3" w14:textId="77777777" w:rsidR="002653E8" w:rsidRDefault="00000000">
      <w:pPr>
        <w:pStyle w:val="a3"/>
        <w:spacing w:before="4"/>
        <w:rPr>
          <w:i/>
          <w:sz w:val="25"/>
        </w:rPr>
      </w:pPr>
      <w:r>
        <w:rPr>
          <w:noProof w:val="0"/>
        </w:rPr>
        <w:pict w14:anchorId="4B5BCCDE">
          <v:line id="_x0000_s2648" style="position:absolute;z-index:2560;mso-wrap-distance-left:0;mso-wrap-distance-right:0;mso-position-horizontal-relative:page" from="57.4pt,17.1pt" to="129.4pt,17.1pt" strokecolor="#231f20" strokeweight=".5pt">
            <w10:wrap type="topAndBottom" anchorx="page"/>
          </v:line>
        </w:pict>
      </w:r>
    </w:p>
    <w:p w14:paraId="52E3A320" w14:textId="77777777" w:rsidR="002653E8" w:rsidRDefault="003115E3">
      <w:pPr>
        <w:pStyle w:val="a4"/>
        <w:numPr>
          <w:ilvl w:val="0"/>
          <w:numId w:val="178"/>
        </w:numPr>
        <w:tabs>
          <w:tab w:val="left" w:pos="1287"/>
        </w:tabs>
        <w:spacing w:before="53"/>
        <w:ind w:firstLine="0"/>
        <w:rPr>
          <w:sz w:val="16"/>
        </w:rPr>
      </w:pPr>
      <w:r>
        <w:rPr>
          <w:color w:val="231F20"/>
          <w:w w:val="110"/>
          <w:sz w:val="16"/>
        </w:rPr>
        <w:t>Thomas,</w:t>
      </w:r>
      <w:r>
        <w:rPr>
          <w:color w:val="231F20"/>
          <w:spacing w:val="5"/>
          <w:w w:val="110"/>
          <w:sz w:val="16"/>
        </w:rPr>
        <w:t xml:space="preserve"> </w:t>
      </w:r>
      <w:r>
        <w:rPr>
          <w:color w:val="231F20"/>
          <w:w w:val="110"/>
          <w:sz w:val="16"/>
        </w:rPr>
        <w:t>144.</w:t>
      </w:r>
    </w:p>
    <w:p w14:paraId="01F5E6A9" w14:textId="77777777" w:rsidR="002653E8" w:rsidRDefault="003115E3">
      <w:pPr>
        <w:pStyle w:val="a4"/>
        <w:numPr>
          <w:ilvl w:val="0"/>
          <w:numId w:val="178"/>
        </w:numPr>
        <w:tabs>
          <w:tab w:val="left" w:pos="1287"/>
        </w:tabs>
        <w:spacing w:before="51" w:line="307" w:lineRule="auto"/>
        <w:ind w:right="2057" w:firstLine="0"/>
        <w:rPr>
          <w:sz w:val="16"/>
        </w:rPr>
      </w:pPr>
      <w:r>
        <w:rPr>
          <w:i/>
          <w:color w:val="231F20"/>
          <w:w w:val="105"/>
          <w:sz w:val="16"/>
        </w:rPr>
        <w:t xml:space="preserve">Ostpolitik: </w:t>
      </w:r>
      <w:r>
        <w:rPr>
          <w:color w:val="231F20"/>
          <w:w w:val="105"/>
          <w:sz w:val="16"/>
        </w:rPr>
        <w:t>the FRG’s official policy towards the GDR and the east bloc.       3 Hülsberg,</w:t>
      </w:r>
      <w:r>
        <w:rPr>
          <w:color w:val="231F20"/>
          <w:spacing w:val="17"/>
          <w:w w:val="105"/>
          <w:sz w:val="16"/>
        </w:rPr>
        <w:t xml:space="preserve"> </w:t>
      </w:r>
      <w:r>
        <w:rPr>
          <w:color w:val="231F20"/>
          <w:w w:val="105"/>
          <w:sz w:val="16"/>
        </w:rPr>
        <w:t>42-43.</w:t>
      </w:r>
    </w:p>
    <w:p w14:paraId="519E8150" w14:textId="77777777" w:rsidR="002653E8" w:rsidRDefault="002653E8">
      <w:pPr>
        <w:spacing w:line="307" w:lineRule="auto"/>
        <w:rPr>
          <w:sz w:val="16"/>
        </w:rPr>
        <w:sectPr w:rsidR="002653E8">
          <w:pgSz w:w="8640" w:h="12960"/>
          <w:pgMar w:top="1060" w:right="0" w:bottom="1040" w:left="0" w:header="0" w:footer="850" w:gutter="0"/>
          <w:cols w:space="720"/>
        </w:sectPr>
      </w:pPr>
    </w:p>
    <w:p w14:paraId="48D3C271" w14:textId="77777777" w:rsidR="002653E8" w:rsidRDefault="002653E8">
      <w:pPr>
        <w:pStyle w:val="a3"/>
      </w:pPr>
    </w:p>
    <w:p w14:paraId="7ED73480" w14:textId="77777777" w:rsidR="002653E8" w:rsidRDefault="002653E8">
      <w:pPr>
        <w:pStyle w:val="a3"/>
      </w:pPr>
    </w:p>
    <w:p w14:paraId="21060F55" w14:textId="77777777" w:rsidR="002653E8" w:rsidRDefault="002653E8">
      <w:pPr>
        <w:pStyle w:val="a3"/>
      </w:pPr>
    </w:p>
    <w:p w14:paraId="0086FB09" w14:textId="77777777" w:rsidR="002653E8" w:rsidRDefault="002653E8">
      <w:pPr>
        <w:pStyle w:val="a3"/>
      </w:pPr>
    </w:p>
    <w:p w14:paraId="555942DD" w14:textId="77777777" w:rsidR="002653E8" w:rsidRDefault="002653E8">
      <w:pPr>
        <w:pStyle w:val="a3"/>
        <w:spacing w:before="2"/>
        <w:rPr>
          <w:sz w:val="29"/>
        </w:rPr>
      </w:pPr>
    </w:p>
    <w:p w14:paraId="5C66F3C6" w14:textId="77777777" w:rsidR="002653E8" w:rsidRDefault="003115E3">
      <w:pPr>
        <w:pStyle w:val="4"/>
        <w:tabs>
          <w:tab w:val="left" w:pos="7039"/>
          <w:tab w:val="left" w:pos="7491"/>
        </w:tabs>
        <w:spacing w:before="86"/>
        <w:rPr>
          <w:rFonts w:ascii="Lucida Sans"/>
          <w:b/>
        </w:rPr>
      </w:pPr>
      <w:bookmarkStart w:id="27" w:name="3_Taking_up_the_gun_"/>
      <w:bookmarkStart w:id="28" w:name="_bookmark11"/>
      <w:bookmarkEnd w:id="27"/>
      <w:bookmarkEnd w:id="28"/>
      <w:r>
        <w:rPr>
          <w:rFonts w:ascii="Lucida Sans"/>
          <w:b/>
          <w:color w:val="FFFFFF"/>
          <w:w w:val="87"/>
          <w:shd w:val="clear" w:color="auto" w:fill="231F20"/>
        </w:rPr>
        <w:t xml:space="preserve"> </w:t>
      </w:r>
      <w:r>
        <w:rPr>
          <w:rFonts w:ascii="Lucida Sans"/>
          <w:b/>
          <w:color w:val="FFFFFF"/>
          <w:shd w:val="clear" w:color="auto" w:fill="231F20"/>
        </w:rPr>
        <w:tab/>
      </w:r>
      <w:r>
        <w:rPr>
          <w:rFonts w:ascii="Lucida Sans"/>
          <w:b/>
          <w:color w:val="FFFFFF"/>
          <w:w w:val="95"/>
          <w:shd w:val="clear" w:color="auto" w:fill="231F20"/>
        </w:rPr>
        <w:t>3</w:t>
      </w:r>
      <w:r>
        <w:rPr>
          <w:rFonts w:ascii="Lucida Sans"/>
          <w:b/>
          <w:color w:val="FFFFFF"/>
          <w:shd w:val="clear" w:color="auto" w:fill="231F20"/>
        </w:rPr>
        <w:tab/>
      </w:r>
    </w:p>
    <w:p w14:paraId="74A2CFEA" w14:textId="77777777" w:rsidR="002653E8" w:rsidRDefault="002653E8">
      <w:pPr>
        <w:pStyle w:val="a3"/>
        <w:rPr>
          <w:rFonts w:ascii="Lucida Sans"/>
          <w:b/>
          <w:sz w:val="36"/>
        </w:rPr>
      </w:pPr>
    </w:p>
    <w:p w14:paraId="250F2DCF" w14:textId="77777777" w:rsidR="002653E8" w:rsidRDefault="002653E8">
      <w:pPr>
        <w:pStyle w:val="a3"/>
        <w:spacing w:before="1"/>
        <w:rPr>
          <w:rFonts w:ascii="Lucida Sans"/>
          <w:b/>
          <w:sz w:val="38"/>
        </w:rPr>
      </w:pPr>
    </w:p>
    <w:p w14:paraId="525D23F5" w14:textId="77777777" w:rsidR="002653E8" w:rsidRDefault="003115E3">
      <w:pPr>
        <w:ind w:left="4510"/>
        <w:rPr>
          <w:rFonts w:ascii="Lucida Sans"/>
          <w:b/>
          <w:sz w:val="36"/>
        </w:rPr>
      </w:pPr>
      <w:r>
        <w:rPr>
          <w:rFonts w:ascii="Lucida Sans"/>
          <w:b/>
          <w:color w:val="231F20"/>
          <w:w w:val="95"/>
          <w:sz w:val="36"/>
        </w:rPr>
        <w:t>taking up the Gun</w:t>
      </w:r>
    </w:p>
    <w:p w14:paraId="5A394BF6" w14:textId="77777777" w:rsidR="002653E8" w:rsidRDefault="002653E8">
      <w:pPr>
        <w:pStyle w:val="a3"/>
        <w:rPr>
          <w:rFonts w:ascii="Lucida Sans"/>
          <w:b/>
          <w:sz w:val="42"/>
        </w:rPr>
      </w:pPr>
    </w:p>
    <w:p w14:paraId="63241407" w14:textId="77777777" w:rsidR="002653E8" w:rsidRDefault="002653E8">
      <w:pPr>
        <w:pStyle w:val="a3"/>
        <w:rPr>
          <w:rFonts w:ascii="Lucida Sans"/>
          <w:b/>
          <w:sz w:val="42"/>
        </w:rPr>
      </w:pPr>
    </w:p>
    <w:p w14:paraId="7A212D73" w14:textId="77777777" w:rsidR="002653E8" w:rsidRDefault="003115E3">
      <w:pPr>
        <w:pStyle w:val="a3"/>
        <w:spacing w:before="310" w:line="211" w:lineRule="auto"/>
        <w:ind w:left="1327" w:right="1147"/>
        <w:jc w:val="both"/>
      </w:pPr>
      <w:r>
        <w:rPr>
          <w:rFonts w:ascii="Verdana"/>
          <w:color w:val="231F20"/>
          <w:spacing w:val="1"/>
          <w:sz w:val="48"/>
        </w:rPr>
        <w:t>A</w:t>
      </w:r>
      <w:r>
        <w:rPr>
          <w:color w:val="231F20"/>
          <w:w w:val="103"/>
        </w:rPr>
        <w:t>s</w:t>
      </w:r>
      <w:r>
        <w:rPr>
          <w:color w:val="231F20"/>
        </w:rPr>
        <w:t xml:space="preserve"> </w:t>
      </w:r>
      <w:r>
        <w:rPr>
          <w:color w:val="231F20"/>
          <w:spacing w:val="-11"/>
        </w:rPr>
        <w:t xml:space="preserve"> </w:t>
      </w:r>
      <w:r>
        <w:rPr>
          <w:color w:val="231F20"/>
          <w:spacing w:val="6"/>
          <w:w w:val="147"/>
        </w:rPr>
        <w:t>t</w:t>
      </w:r>
      <w:r>
        <w:rPr>
          <w:color w:val="231F20"/>
          <w:spacing w:val="5"/>
          <w:w w:val="120"/>
        </w:rPr>
        <w:t>h</w:t>
      </w:r>
      <w:r>
        <w:rPr>
          <w:color w:val="231F20"/>
          <w:w w:val="102"/>
        </w:rPr>
        <w:t>e</w:t>
      </w:r>
      <w:r>
        <w:rPr>
          <w:color w:val="231F20"/>
        </w:rPr>
        <w:t xml:space="preserve"> </w:t>
      </w:r>
      <w:r>
        <w:rPr>
          <w:color w:val="231F20"/>
          <w:spacing w:val="-11"/>
        </w:rPr>
        <w:t xml:space="preserve"> </w:t>
      </w:r>
      <w:r>
        <w:rPr>
          <w:color w:val="231F20"/>
          <w:spacing w:val="7"/>
          <w:w w:val="115"/>
        </w:rPr>
        <w:t>A</w:t>
      </w:r>
      <w:r>
        <w:rPr>
          <w:color w:val="231F20"/>
          <w:spacing w:val="1"/>
          <w:w w:val="113"/>
        </w:rPr>
        <w:t>P</w:t>
      </w:r>
      <w:r>
        <w:rPr>
          <w:color w:val="231F20"/>
          <w:w w:val="113"/>
        </w:rPr>
        <w:t>O</w:t>
      </w:r>
      <w:r>
        <w:rPr>
          <w:color w:val="231F20"/>
        </w:rPr>
        <w:t xml:space="preserve"> </w:t>
      </w:r>
      <w:r>
        <w:rPr>
          <w:color w:val="231F20"/>
          <w:spacing w:val="-11"/>
        </w:rPr>
        <w:t xml:space="preserve"> </w:t>
      </w:r>
      <w:r>
        <w:rPr>
          <w:color w:val="231F20"/>
          <w:w w:val="165"/>
        </w:rPr>
        <w:t>f</w:t>
      </w:r>
      <w:r>
        <w:rPr>
          <w:color w:val="231F20"/>
          <w:spacing w:val="-3"/>
          <w:w w:val="125"/>
        </w:rPr>
        <w:t>o</w:t>
      </w:r>
      <w:r>
        <w:rPr>
          <w:color w:val="231F20"/>
          <w:spacing w:val="5"/>
          <w:w w:val="110"/>
        </w:rPr>
        <w:t>u</w:t>
      </w:r>
      <w:r>
        <w:rPr>
          <w:color w:val="231F20"/>
          <w:spacing w:val="5"/>
          <w:w w:val="109"/>
        </w:rPr>
        <w:t>n</w:t>
      </w:r>
      <w:r>
        <w:rPr>
          <w:color w:val="231F20"/>
          <w:spacing w:val="-2"/>
          <w:w w:val="120"/>
        </w:rPr>
        <w:t>d</w:t>
      </w:r>
      <w:r>
        <w:rPr>
          <w:color w:val="231F20"/>
          <w:spacing w:val="5"/>
          <w:w w:val="102"/>
        </w:rPr>
        <w:t>e</w:t>
      </w:r>
      <w:r>
        <w:rPr>
          <w:color w:val="231F20"/>
          <w:spacing w:val="7"/>
          <w:w w:val="134"/>
        </w:rPr>
        <w:t>r</w:t>
      </w:r>
      <w:r>
        <w:rPr>
          <w:color w:val="231F20"/>
          <w:spacing w:val="2"/>
          <w:w w:val="102"/>
        </w:rPr>
        <w:t>e</w:t>
      </w:r>
      <w:r>
        <w:rPr>
          <w:color w:val="231F20"/>
          <w:spacing w:val="-3"/>
          <w:w w:val="120"/>
        </w:rPr>
        <w:t>d</w:t>
      </w:r>
      <w:r>
        <w:rPr>
          <w:color w:val="231F20"/>
          <w:w w:val="135"/>
        </w:rPr>
        <w:t>,</w:t>
      </w:r>
      <w:r>
        <w:rPr>
          <w:color w:val="231F20"/>
        </w:rPr>
        <w:t xml:space="preserve"> </w:t>
      </w:r>
      <w:r>
        <w:rPr>
          <w:color w:val="231F20"/>
          <w:spacing w:val="-11"/>
        </w:rPr>
        <w:t xml:space="preserve"> </w:t>
      </w:r>
      <w:r>
        <w:rPr>
          <w:color w:val="231F20"/>
          <w:spacing w:val="6"/>
          <w:w w:val="147"/>
        </w:rPr>
        <w:t>t</w:t>
      </w:r>
      <w:r>
        <w:rPr>
          <w:color w:val="231F20"/>
          <w:spacing w:val="5"/>
          <w:w w:val="120"/>
        </w:rPr>
        <w:t>h</w:t>
      </w:r>
      <w:r>
        <w:rPr>
          <w:color w:val="231F20"/>
          <w:w w:val="102"/>
        </w:rPr>
        <w:t>e</w:t>
      </w:r>
      <w:r>
        <w:rPr>
          <w:color w:val="231F20"/>
        </w:rPr>
        <w:t xml:space="preserve"> </w:t>
      </w:r>
      <w:r>
        <w:rPr>
          <w:color w:val="231F20"/>
          <w:spacing w:val="-10"/>
        </w:rPr>
        <w:t xml:space="preserve"> </w:t>
      </w:r>
      <w:r>
        <w:rPr>
          <w:color w:val="231F20"/>
          <w:spacing w:val="1"/>
        </w:rPr>
        <w:t>m</w:t>
      </w:r>
      <w:r>
        <w:rPr>
          <w:color w:val="231F20"/>
          <w:spacing w:val="-4"/>
          <w:w w:val="102"/>
        </w:rPr>
        <w:t>a</w:t>
      </w:r>
      <w:r>
        <w:rPr>
          <w:color w:val="231F20"/>
          <w:spacing w:val="-2"/>
          <w:w w:val="104"/>
        </w:rPr>
        <w:t>j</w:t>
      </w:r>
      <w:r>
        <w:rPr>
          <w:color w:val="231F20"/>
          <w:spacing w:val="-1"/>
          <w:w w:val="104"/>
        </w:rPr>
        <w:t>o</w:t>
      </w:r>
      <w:r>
        <w:rPr>
          <w:color w:val="231F20"/>
          <w:spacing w:val="1"/>
          <w:w w:val="94"/>
        </w:rPr>
        <w:t>r</w:t>
      </w:r>
      <w:r>
        <w:rPr>
          <w:color w:val="231F20"/>
          <w:spacing w:val="-2"/>
        </w:rPr>
        <w:t>i</w:t>
      </w:r>
      <w:r>
        <w:rPr>
          <w:color w:val="231F20"/>
          <w:spacing w:val="5"/>
          <w:w w:val="98"/>
        </w:rPr>
        <w:t>t</w:t>
      </w:r>
      <w:r>
        <w:rPr>
          <w:color w:val="231F20"/>
          <w:w w:val="99"/>
        </w:rPr>
        <w:t>y</w:t>
      </w:r>
      <w:r>
        <w:rPr>
          <w:color w:val="231F20"/>
        </w:rPr>
        <w:t xml:space="preserve"> </w:t>
      </w:r>
      <w:r>
        <w:rPr>
          <w:color w:val="231F20"/>
          <w:spacing w:val="-11"/>
        </w:rPr>
        <w:t xml:space="preserve"> </w:t>
      </w:r>
      <w:r>
        <w:rPr>
          <w:color w:val="231F20"/>
          <w:spacing w:val="-2"/>
          <w:w w:val="104"/>
        </w:rPr>
        <w:t>o</w:t>
      </w:r>
      <w:r>
        <w:rPr>
          <w:color w:val="231F20"/>
          <w:w w:val="109"/>
        </w:rPr>
        <w:t>f</w:t>
      </w:r>
      <w:r>
        <w:rPr>
          <w:color w:val="231F20"/>
        </w:rPr>
        <w:t xml:space="preserve"> </w:t>
      </w:r>
      <w:r>
        <w:rPr>
          <w:color w:val="231F20"/>
          <w:spacing w:val="-11"/>
        </w:rPr>
        <w:t xml:space="preserve"> </w:t>
      </w:r>
      <w:r>
        <w:rPr>
          <w:color w:val="231F20"/>
          <w:spacing w:val="2"/>
          <w:w w:val="98"/>
        </w:rPr>
        <w:t>t</w:t>
      </w:r>
      <w:r>
        <w:rPr>
          <w:color w:val="231F20"/>
          <w:spacing w:val="-2"/>
        </w:rPr>
        <w:t>h</w:t>
      </w:r>
      <w:r>
        <w:rPr>
          <w:color w:val="231F20"/>
          <w:w w:val="104"/>
        </w:rPr>
        <w:t>o</w:t>
      </w:r>
      <w:r>
        <w:rPr>
          <w:color w:val="231F20"/>
          <w:spacing w:val="1"/>
          <w:w w:val="90"/>
        </w:rPr>
        <w:t>s</w:t>
      </w:r>
      <w:r>
        <w:rPr>
          <w:color w:val="231F20"/>
          <w:w w:val="91"/>
        </w:rPr>
        <w:t>e</w:t>
      </w:r>
      <w:r>
        <w:rPr>
          <w:color w:val="231F20"/>
        </w:rPr>
        <w:t xml:space="preserve"> </w:t>
      </w:r>
      <w:r>
        <w:rPr>
          <w:color w:val="231F20"/>
          <w:spacing w:val="-11"/>
        </w:rPr>
        <w:t xml:space="preserve"> </w:t>
      </w:r>
      <w:r>
        <w:rPr>
          <w:color w:val="231F20"/>
          <w:spacing w:val="-2"/>
          <w:w w:val="98"/>
        </w:rPr>
        <w:t>t</w:t>
      </w:r>
      <w:r>
        <w:rPr>
          <w:color w:val="231F20"/>
          <w:w w:val="104"/>
        </w:rPr>
        <w:t>o</w:t>
      </w:r>
      <w:r>
        <w:rPr>
          <w:color w:val="231F20"/>
        </w:rPr>
        <w:t xml:space="preserve"> </w:t>
      </w:r>
      <w:r>
        <w:rPr>
          <w:color w:val="231F20"/>
          <w:spacing w:val="-11"/>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11"/>
        </w:rPr>
        <w:t xml:space="preserve"> </w:t>
      </w:r>
      <w:r>
        <w:rPr>
          <w:color w:val="231F20"/>
          <w:spacing w:val="-1"/>
          <w:w w:val="102"/>
        </w:rPr>
        <w:t>l</w:t>
      </w:r>
      <w:r>
        <w:rPr>
          <w:color w:val="231F20"/>
          <w:w w:val="98"/>
        </w:rPr>
        <w:t>e</w:t>
      </w:r>
      <w:r>
        <w:rPr>
          <w:color w:val="231F20"/>
          <w:spacing w:val="5"/>
          <w:w w:val="98"/>
        </w:rPr>
        <w:t>f</w:t>
      </w:r>
      <w:r>
        <w:rPr>
          <w:color w:val="231F20"/>
          <w:w w:val="98"/>
        </w:rPr>
        <w:t>t</w:t>
      </w:r>
      <w:r>
        <w:rPr>
          <w:color w:val="231F20"/>
        </w:rPr>
        <w:t xml:space="preserve"> </w:t>
      </w:r>
      <w:r>
        <w:rPr>
          <w:color w:val="231F20"/>
          <w:spacing w:val="-11"/>
        </w:rPr>
        <w:t xml:space="preserve"> </w:t>
      </w:r>
      <w:r>
        <w:rPr>
          <w:color w:val="231F20"/>
          <w:spacing w:val="-2"/>
          <w:w w:val="104"/>
        </w:rPr>
        <w:t>o</w:t>
      </w:r>
      <w:r>
        <w:rPr>
          <w:color w:val="231F20"/>
          <w:w w:val="109"/>
        </w:rPr>
        <w:t>f</w:t>
      </w:r>
      <w:r>
        <w:rPr>
          <w:color w:val="231F20"/>
        </w:rPr>
        <w:t xml:space="preserve"> </w:t>
      </w:r>
      <w:r>
        <w:rPr>
          <w:color w:val="231F20"/>
          <w:spacing w:val="-11"/>
        </w:rPr>
        <w:t xml:space="preserve"> </w:t>
      </w:r>
      <w:r>
        <w:rPr>
          <w:color w:val="231F20"/>
          <w:spacing w:val="2"/>
          <w:w w:val="98"/>
        </w:rPr>
        <w:t>t</w:t>
      </w:r>
      <w:r>
        <w:rPr>
          <w:color w:val="231F20"/>
          <w:spacing w:val="-1"/>
        </w:rPr>
        <w:t>h</w:t>
      </w:r>
      <w:r>
        <w:rPr>
          <w:color w:val="231F20"/>
          <w:w w:val="91"/>
        </w:rPr>
        <w:t xml:space="preserve">e </w:t>
      </w:r>
      <w:r>
        <w:rPr>
          <w:color w:val="231F20"/>
          <w:w w:val="105"/>
        </w:rPr>
        <w:t>SPD</w:t>
      </w:r>
      <w:r>
        <w:rPr>
          <w:color w:val="231F20"/>
          <w:spacing w:val="-31"/>
          <w:w w:val="105"/>
        </w:rPr>
        <w:t xml:space="preserve"> </w:t>
      </w:r>
      <w:r>
        <w:rPr>
          <w:color w:val="231F20"/>
          <w:w w:val="105"/>
        </w:rPr>
        <w:t>remained</w:t>
      </w:r>
      <w:r>
        <w:rPr>
          <w:color w:val="231F20"/>
          <w:spacing w:val="-31"/>
          <w:w w:val="105"/>
        </w:rPr>
        <w:t xml:space="preserve"> </w:t>
      </w:r>
      <w:r>
        <w:rPr>
          <w:color w:val="231F20"/>
          <w:w w:val="105"/>
        </w:rPr>
        <w:t>committed</w:t>
      </w:r>
      <w:r>
        <w:rPr>
          <w:color w:val="231F20"/>
          <w:spacing w:val="-31"/>
          <w:w w:val="105"/>
        </w:rPr>
        <w:t xml:space="preserve"> </w:t>
      </w:r>
      <w:r>
        <w:rPr>
          <w:color w:val="231F20"/>
          <w:w w:val="105"/>
        </w:rPr>
        <w:t>to</w:t>
      </w:r>
      <w:r>
        <w:rPr>
          <w:color w:val="231F20"/>
          <w:spacing w:val="-31"/>
          <w:w w:val="105"/>
        </w:rPr>
        <w:t xml:space="preserve"> </w:t>
      </w:r>
      <w:r>
        <w:rPr>
          <w:color w:val="231F20"/>
          <w:w w:val="105"/>
        </w:rPr>
        <w:t>legal,</w:t>
      </w:r>
      <w:r>
        <w:rPr>
          <w:color w:val="231F20"/>
          <w:spacing w:val="-31"/>
          <w:w w:val="105"/>
        </w:rPr>
        <w:t xml:space="preserve"> </w:t>
      </w:r>
      <w:r>
        <w:rPr>
          <w:color w:val="231F20"/>
          <w:w w:val="105"/>
        </w:rPr>
        <w:t>aboveground</w:t>
      </w:r>
      <w:r>
        <w:rPr>
          <w:color w:val="231F20"/>
          <w:spacing w:val="-31"/>
          <w:w w:val="105"/>
        </w:rPr>
        <w:t xml:space="preserve"> </w:t>
      </w:r>
      <w:r>
        <w:rPr>
          <w:color w:val="231F20"/>
          <w:w w:val="105"/>
        </w:rPr>
        <w:t>activism.</w:t>
      </w:r>
      <w:r>
        <w:rPr>
          <w:color w:val="231F20"/>
          <w:spacing w:val="-31"/>
          <w:w w:val="105"/>
        </w:rPr>
        <w:t xml:space="preserve"> </w:t>
      </w:r>
      <w:r>
        <w:rPr>
          <w:color w:val="231F20"/>
          <w:w w:val="105"/>
        </w:rPr>
        <w:t>Nevertheless,</w:t>
      </w:r>
    </w:p>
    <w:p w14:paraId="65D99DF8" w14:textId="77777777" w:rsidR="002653E8" w:rsidRDefault="003115E3">
      <w:pPr>
        <w:pStyle w:val="a3"/>
        <w:spacing w:before="28" w:line="264" w:lineRule="auto"/>
        <w:ind w:left="1328" w:right="1147"/>
        <w:jc w:val="both"/>
      </w:pPr>
      <w:r>
        <w:rPr>
          <w:color w:val="231F20"/>
        </w:rPr>
        <w:t>a section of the movement had begun testing the waters with another kind of praxis, and for the purposes of our study, it is to this that we   will now</w:t>
      </w:r>
      <w:r>
        <w:rPr>
          <w:color w:val="231F20"/>
          <w:spacing w:val="21"/>
        </w:rPr>
        <w:t xml:space="preserve"> </w:t>
      </w:r>
      <w:r>
        <w:rPr>
          <w:color w:val="231F20"/>
        </w:rPr>
        <w:t>turn.</w:t>
      </w:r>
    </w:p>
    <w:p w14:paraId="688E2369" w14:textId="77777777" w:rsidR="002653E8" w:rsidRDefault="003115E3">
      <w:pPr>
        <w:pStyle w:val="a3"/>
        <w:spacing w:line="264" w:lineRule="auto"/>
        <w:ind w:left="1328" w:right="1145" w:firstLine="210"/>
        <w:jc w:val="both"/>
      </w:pPr>
      <w:r>
        <w:rPr>
          <w:color w:val="231F20"/>
        </w:rPr>
        <w:t xml:space="preserve">The first experiments with armed struggle developed out of the counterculture, as individuals around the K.1 commune in </w:t>
      </w:r>
      <w:r>
        <w:rPr>
          <w:color w:val="231F20"/>
          <w:spacing w:val="-3"/>
        </w:rPr>
        <w:t xml:space="preserve">West </w:t>
      </w:r>
      <w:r>
        <w:rPr>
          <w:color w:val="231F20"/>
        </w:rPr>
        <w:t>Berlin began carrying out firebombings and bank robberies. Coming from a milieu where drugs and anarchism mingled freely, these young radicals hung out in a scene known as “the Blues,” and would take on the purposefully ironic name of the “Central Committee of the Roaming Hash Rebels.” As Bommi Baumann later explained, with perhaps a tongue      in his</w:t>
      </w:r>
      <w:r>
        <w:rPr>
          <w:color w:val="231F20"/>
          <w:spacing w:val="20"/>
        </w:rPr>
        <w:t xml:space="preserve"> </w:t>
      </w:r>
      <w:r>
        <w:rPr>
          <w:color w:val="231F20"/>
        </w:rPr>
        <w:t>cheek:</w:t>
      </w:r>
    </w:p>
    <w:p w14:paraId="2FF157B3" w14:textId="77777777" w:rsidR="002653E8" w:rsidRDefault="003115E3">
      <w:pPr>
        <w:spacing w:before="117" w:line="276" w:lineRule="auto"/>
        <w:ind w:left="1747" w:right="1565"/>
        <w:jc w:val="both"/>
        <w:rPr>
          <w:i/>
          <w:sz w:val="11"/>
        </w:rPr>
      </w:pPr>
      <w:r>
        <w:rPr>
          <w:i/>
          <w:color w:val="231F20"/>
          <w:w w:val="105"/>
          <w:sz w:val="19"/>
        </w:rPr>
        <w:t xml:space="preserve">Mao provided our theoretical basis: “On the Mentality of Roaming Bands of </w:t>
      </w:r>
      <w:r>
        <w:rPr>
          <w:i/>
          <w:color w:val="231F20"/>
          <w:spacing w:val="-4"/>
          <w:w w:val="105"/>
          <w:sz w:val="19"/>
        </w:rPr>
        <w:t xml:space="preserve">Rebels.” </w:t>
      </w:r>
      <w:r>
        <w:rPr>
          <w:i/>
          <w:color w:val="231F20"/>
          <w:w w:val="105"/>
          <w:sz w:val="19"/>
        </w:rPr>
        <w:t xml:space="preserve">From the so-called robber-bands, he and </w:t>
      </w:r>
      <w:r>
        <w:rPr>
          <w:i/>
          <w:color w:val="231F20"/>
          <w:spacing w:val="-3"/>
          <w:w w:val="105"/>
          <w:sz w:val="19"/>
        </w:rPr>
        <w:t xml:space="preserve">Chu-Teh </w:t>
      </w:r>
      <w:r>
        <w:rPr>
          <w:i/>
          <w:color w:val="231F20"/>
          <w:w w:val="105"/>
          <w:sz w:val="19"/>
        </w:rPr>
        <w:t xml:space="preserve">had created the first cadre of the Red </w:t>
      </w:r>
      <w:r>
        <w:rPr>
          <w:i/>
          <w:color w:val="231F20"/>
          <w:spacing w:val="-5"/>
          <w:w w:val="105"/>
          <w:sz w:val="19"/>
        </w:rPr>
        <w:t xml:space="preserve">Army. </w:t>
      </w:r>
      <w:r>
        <w:rPr>
          <w:i/>
          <w:color w:val="231F20"/>
          <w:spacing w:val="-6"/>
          <w:w w:val="105"/>
          <w:sz w:val="19"/>
        </w:rPr>
        <w:t xml:space="preserve">We </w:t>
      </w:r>
      <w:r>
        <w:rPr>
          <w:i/>
          <w:color w:val="231F20"/>
          <w:w w:val="105"/>
          <w:sz w:val="19"/>
        </w:rPr>
        <w:t xml:space="preserve">took our direction from that. </w:t>
      </w:r>
      <w:r>
        <w:rPr>
          <w:i/>
          <w:color w:val="231F20"/>
          <w:spacing w:val="-6"/>
          <w:w w:val="105"/>
          <w:sz w:val="19"/>
        </w:rPr>
        <w:t xml:space="preserve">We </w:t>
      </w:r>
      <w:r>
        <w:rPr>
          <w:i/>
          <w:color w:val="231F20"/>
          <w:w w:val="105"/>
          <w:sz w:val="19"/>
        </w:rPr>
        <w:t>directed our agitation to make the dopers, who were still partly unpolitical, conscious of their situation. What we did was mass</w:t>
      </w:r>
      <w:r>
        <w:rPr>
          <w:i/>
          <w:color w:val="231F20"/>
          <w:spacing w:val="27"/>
          <w:w w:val="105"/>
          <w:sz w:val="19"/>
        </w:rPr>
        <w:t xml:space="preserve"> </w:t>
      </w:r>
      <w:r>
        <w:rPr>
          <w:i/>
          <w:color w:val="231F20"/>
          <w:w w:val="105"/>
          <w:sz w:val="19"/>
        </w:rPr>
        <w:t>work.</w:t>
      </w:r>
      <w:r>
        <w:rPr>
          <w:i/>
          <w:color w:val="231F20"/>
          <w:w w:val="105"/>
          <w:position w:val="6"/>
          <w:sz w:val="11"/>
        </w:rPr>
        <w:t>4</w:t>
      </w:r>
    </w:p>
    <w:p w14:paraId="58BE3EB9" w14:textId="77777777" w:rsidR="002653E8" w:rsidRDefault="00000000">
      <w:pPr>
        <w:pStyle w:val="a3"/>
        <w:spacing w:before="10"/>
        <w:rPr>
          <w:i/>
          <w:sz w:val="26"/>
        </w:rPr>
      </w:pPr>
      <w:r>
        <w:rPr>
          <w:noProof w:val="0"/>
        </w:rPr>
        <w:pict w14:anchorId="1BCF41AF">
          <v:line id="_x0000_s2647" style="position:absolute;z-index:2584;mso-wrap-distance-left:0;mso-wrap-distance-right:0;mso-position-horizontal-relative:page" from="66.4pt,17.95pt" to="138.4pt,17.95pt" strokecolor="#231f20" strokeweight=".5pt">
            <w10:wrap type="topAndBottom" anchorx="page"/>
          </v:line>
        </w:pict>
      </w:r>
    </w:p>
    <w:p w14:paraId="1579311A" w14:textId="77777777" w:rsidR="002653E8" w:rsidRDefault="003115E3">
      <w:pPr>
        <w:spacing w:before="53"/>
        <w:ind w:left="1327"/>
        <w:rPr>
          <w:sz w:val="16"/>
        </w:rPr>
      </w:pPr>
      <w:r>
        <w:rPr>
          <w:color w:val="231F20"/>
          <w:w w:val="110"/>
          <w:sz w:val="16"/>
        </w:rPr>
        <w:t>4 Baumann, 50.</w:t>
      </w:r>
    </w:p>
    <w:p w14:paraId="655D6984" w14:textId="77777777" w:rsidR="002653E8" w:rsidRDefault="002653E8">
      <w:pPr>
        <w:rPr>
          <w:sz w:val="16"/>
        </w:rPr>
        <w:sectPr w:rsidR="002653E8">
          <w:footerReference w:type="even" r:id="rId56"/>
          <w:footerReference w:type="default" r:id="rId57"/>
          <w:pgSz w:w="8640" w:h="12960"/>
          <w:pgMar w:top="1220" w:right="0" w:bottom="1040" w:left="0" w:header="0" w:footer="850" w:gutter="0"/>
          <w:pgNumType w:start="45"/>
          <w:cols w:space="720"/>
        </w:sectPr>
      </w:pPr>
    </w:p>
    <w:p w14:paraId="4BA5DA33" w14:textId="77777777" w:rsidR="002653E8" w:rsidRDefault="003115E3">
      <w:pPr>
        <w:pStyle w:val="a3"/>
        <w:spacing w:before="86" w:line="264" w:lineRule="auto"/>
        <w:ind w:left="1147" w:right="1325"/>
        <w:jc w:val="both"/>
        <w:rPr>
          <w:sz w:val="11"/>
        </w:rPr>
      </w:pPr>
      <w:r>
        <w:rPr>
          <w:color w:val="231F20"/>
        </w:rPr>
        <w:lastRenderedPageBreak/>
        <w:t>The Hash Rebels carried out actions under a number of different names, but became best known as the</w:t>
      </w:r>
      <w:bookmarkStart w:id="29" w:name="_Hlk59560434"/>
      <w:r>
        <w:rPr>
          <w:color w:val="231F20"/>
        </w:rPr>
        <w:t xml:space="preserve"> </w:t>
      </w:r>
      <w:bookmarkStart w:id="30" w:name="_Hlk59560472"/>
      <w:r>
        <w:rPr>
          <w:color w:val="231F20"/>
          <w:spacing w:val="-3"/>
        </w:rPr>
        <w:t xml:space="preserve">Tupamaros-West </w:t>
      </w:r>
      <w:r>
        <w:rPr>
          <w:color w:val="231F20"/>
        </w:rPr>
        <w:t>Berlin</w:t>
      </w:r>
      <w:bookmarkEnd w:id="30"/>
      <w:r>
        <w:rPr>
          <w:color w:val="231F20"/>
        </w:rPr>
        <w:t>,</w:t>
      </w:r>
      <w:bookmarkEnd w:id="29"/>
      <w:r>
        <w:rPr>
          <w:color w:val="231F20"/>
        </w:rPr>
        <w:t xml:space="preserve"> after the urban guerillas in Uruguay.</w:t>
      </w:r>
      <w:r>
        <w:rPr>
          <w:color w:val="231F20"/>
          <w:position w:val="7"/>
          <w:sz w:val="11"/>
        </w:rPr>
        <w:t xml:space="preserve">1 </w:t>
      </w:r>
      <w:r>
        <w:rPr>
          <w:color w:val="231F20"/>
        </w:rPr>
        <w:t>Initially, this antiauthoritarian, pre-guerilla tendency suffered from anti-intellectualism, unquestioned male chauvinism, and a lack of any coherent strategy. It has also been criticized for tolerating and engaging in antisemitism under cover of anti-Zionism, one of its first actions being to firebomb a cultural centre housed in a synagogue</w:t>
      </w:r>
      <w:r>
        <w:rPr>
          <w:color w:val="231F20"/>
          <w:spacing w:val="11"/>
        </w:rPr>
        <w:t xml:space="preserve"> </w:t>
      </w:r>
      <w:r>
        <w:rPr>
          <w:color w:val="231F20"/>
        </w:rPr>
        <w:t>on</w:t>
      </w:r>
      <w:r>
        <w:rPr>
          <w:color w:val="231F20"/>
          <w:spacing w:val="11"/>
        </w:rPr>
        <w:t xml:space="preserve"> </w:t>
      </w:r>
      <w:r>
        <w:rPr>
          <w:color w:val="231F20"/>
        </w:rPr>
        <w:t>the</w:t>
      </w:r>
      <w:r>
        <w:rPr>
          <w:color w:val="231F20"/>
          <w:spacing w:val="11"/>
        </w:rPr>
        <w:t xml:space="preserve"> </w:t>
      </w:r>
      <w:r>
        <w:rPr>
          <w:color w:val="231F20"/>
        </w:rPr>
        <w:t>anniversary</w:t>
      </w:r>
      <w:r>
        <w:rPr>
          <w:color w:val="231F20"/>
          <w:spacing w:val="11"/>
        </w:rPr>
        <w:t xml:space="preserve"> </w:t>
      </w:r>
      <w:r>
        <w:rPr>
          <w:color w:val="231F20"/>
        </w:rPr>
        <w:t>of</w:t>
      </w:r>
      <w:r>
        <w:rPr>
          <w:color w:val="231F20"/>
          <w:spacing w:val="11"/>
        </w:rPr>
        <w:t xml:space="preserve"> </w:t>
      </w:r>
      <w:r>
        <w:rPr>
          <w:color w:val="231F20"/>
        </w:rPr>
        <w:t>a</w:t>
      </w:r>
      <w:r>
        <w:rPr>
          <w:color w:val="231F20"/>
          <w:spacing w:val="11"/>
        </w:rPr>
        <w:t xml:space="preserve"> </w:t>
      </w:r>
      <w:r>
        <w:rPr>
          <w:color w:val="231F20"/>
        </w:rPr>
        <w:t>Nazi</w:t>
      </w:r>
      <w:r>
        <w:rPr>
          <w:color w:val="231F20"/>
          <w:spacing w:val="11"/>
        </w:rPr>
        <w:t xml:space="preserve"> </w:t>
      </w:r>
      <w:r>
        <w:rPr>
          <w:color w:val="231F20"/>
        </w:rPr>
        <w:t>pogrom.</w:t>
      </w:r>
      <w:r>
        <w:rPr>
          <w:color w:val="231F20"/>
          <w:position w:val="7"/>
          <w:sz w:val="11"/>
        </w:rPr>
        <w:t>2</w:t>
      </w:r>
    </w:p>
    <w:p w14:paraId="34B0A9EC" w14:textId="77777777" w:rsidR="002653E8" w:rsidRDefault="003115E3">
      <w:pPr>
        <w:pStyle w:val="a3"/>
        <w:spacing w:line="264" w:lineRule="auto"/>
        <w:ind w:left="1147" w:right="1326" w:firstLine="210"/>
        <w:jc w:val="both"/>
      </w:pPr>
      <w:r>
        <w:rPr>
          <w:color w:val="231F20"/>
        </w:rPr>
        <w:t>On the other hand, it did seem to enjoy an organic relationship with its base, such as that was.</w:t>
      </w:r>
    </w:p>
    <w:p w14:paraId="7873A2F0" w14:textId="77777777" w:rsidR="002653E8" w:rsidRDefault="003115E3">
      <w:pPr>
        <w:pStyle w:val="a3"/>
        <w:spacing w:line="264" w:lineRule="auto"/>
        <w:ind w:left="1147" w:right="1326" w:firstLine="210"/>
        <w:jc w:val="both"/>
      </w:pPr>
      <w:r>
        <w:rPr>
          <w:color w:val="231F20"/>
        </w:rPr>
        <w:t xml:space="preserve">As the APO fell apart and many of the Hash Rebels’ leading members were arrested or simply had a change of heart, what remained of this tendency would crystallize into a guerilla group known as the 2nd of June Movement (2JM—a reference to the date when Benno Ohnesorg had been killed in 1967). Rooted in West Berlin, this group eventually overcame many of its initial weaknesses while retaining an accessible and often humorous rhetorical style that resonated with many in the anarchist and </w:t>
      </w:r>
      <w:r>
        <w:rPr>
          <w:i/>
          <w:color w:val="231F20"/>
        </w:rPr>
        <w:t xml:space="preserve">sponti </w:t>
      </w:r>
      <w:r>
        <w:rPr>
          <w:color w:val="231F20"/>
        </w:rPr>
        <w:t>scenes throughout the country.</w:t>
      </w:r>
    </w:p>
    <w:p w14:paraId="073EDA16" w14:textId="77777777" w:rsidR="002653E8" w:rsidRDefault="003115E3">
      <w:pPr>
        <w:pStyle w:val="a3"/>
        <w:spacing w:line="264" w:lineRule="auto"/>
        <w:ind w:left="1147" w:right="1325" w:firstLine="210"/>
        <w:jc w:val="both"/>
      </w:pPr>
      <w:r>
        <w:rPr>
          <w:color w:val="231F20"/>
        </w:rPr>
        <w:t xml:space="preserve">The second guerilla tendency, with which we are more directly concerned, brought together individuals who were peripheral to the countercultural milieu of the Hash Rebels, and of a somewhat more serious bent. As Bommi Baumann would later explain, they “formed at about  the same time as we did, because they considered us totally </w:t>
      </w:r>
      <w:r>
        <w:rPr>
          <w:color w:val="231F20"/>
          <w:spacing w:val="-4"/>
        </w:rPr>
        <w:t>crazy.”</w:t>
      </w:r>
      <w:r>
        <w:rPr>
          <w:color w:val="231F20"/>
          <w:spacing w:val="-4"/>
          <w:position w:val="7"/>
          <w:sz w:val="11"/>
        </w:rPr>
        <w:t xml:space="preserve">3 </w:t>
      </w:r>
      <w:r>
        <w:rPr>
          <w:color w:val="231F20"/>
        </w:rPr>
        <w:t xml:space="preserve">This second tendency was much more theoretically rigorous </w:t>
      </w:r>
      <w:r>
        <w:rPr>
          <w:color w:val="231F20"/>
          <w:spacing w:val="-3"/>
        </w:rPr>
        <w:t xml:space="preserve">(or </w:t>
      </w:r>
      <w:r>
        <w:rPr>
          <w:color w:val="231F20"/>
        </w:rPr>
        <w:t xml:space="preserve">pretentious, to its critics), and heavily influenced not only by </w:t>
      </w:r>
      <w:r>
        <w:rPr>
          <w:color w:val="231F20"/>
          <w:spacing w:val="1"/>
        </w:rPr>
        <w:t xml:space="preserve">Marx, </w:t>
      </w:r>
      <w:r>
        <w:rPr>
          <w:color w:val="231F20"/>
        </w:rPr>
        <w:t xml:space="preserve">Lenin, and Mao, but also by New </w:t>
      </w:r>
      <w:r>
        <w:rPr>
          <w:color w:val="231F20"/>
          <w:spacing w:val="1"/>
        </w:rPr>
        <w:t xml:space="preserve">Left </w:t>
      </w:r>
      <w:r>
        <w:rPr>
          <w:color w:val="231F20"/>
        </w:rPr>
        <w:t>philosophers ranging from Nicos Poulantzas to   the Frankfurt</w:t>
      </w:r>
      <w:r>
        <w:rPr>
          <w:color w:val="231F20"/>
          <w:spacing w:val="22"/>
        </w:rPr>
        <w:t xml:space="preserve"> </w:t>
      </w:r>
      <w:r>
        <w:rPr>
          <w:color w:val="231F20"/>
        </w:rPr>
        <w:t>School.</w:t>
      </w:r>
    </w:p>
    <w:p w14:paraId="11412C14" w14:textId="77777777" w:rsidR="002653E8" w:rsidRDefault="00000000">
      <w:pPr>
        <w:pStyle w:val="a3"/>
        <w:spacing w:line="264" w:lineRule="auto"/>
        <w:ind w:left="1147" w:right="1326" w:firstLine="210"/>
        <w:jc w:val="both"/>
      </w:pPr>
      <w:r>
        <w:rPr>
          <w:noProof w:val="0"/>
        </w:rPr>
        <w:pict w14:anchorId="791792AA">
          <v:line id="_x0000_s2646" style="position:absolute;left:0;text-align:left;z-index:2608;mso-wrap-distance-left:0;mso-wrap-distance-right:0;mso-position-horizontal-relative:page" from="57.4pt,98.8pt" to="129.4pt,98.8pt" strokecolor="#231f20" strokeweight=".5pt">
            <w10:wrap type="topAndBottom" anchorx="page"/>
          </v:line>
        </w:pict>
      </w:r>
      <w:r w:rsidR="003115E3">
        <w:rPr>
          <w:color w:val="231F20"/>
        </w:rPr>
        <w:t>This nascent Marxist-Leninist guerilla scene had its earliest manifestation in the firebombing of two Frankfurt department stores on April 3, 1968, one week before Rudi Dutschke was shot. Petrol bombs with rudimentary timing devices were left in both the Kaufhaus Schneider and Kaufhof buildings, bursting into flames just before midnight. The fires caused almost 700,000 dm ($224,000 U.S.) in damage, though nobody was hurt.</w:t>
      </w:r>
    </w:p>
    <w:p w14:paraId="0C44A395" w14:textId="77777777" w:rsidR="002653E8" w:rsidRDefault="003115E3">
      <w:pPr>
        <w:spacing w:before="53"/>
        <w:ind w:left="1147"/>
        <w:rPr>
          <w:sz w:val="16"/>
        </w:rPr>
      </w:pPr>
      <w:r>
        <w:rPr>
          <w:color w:val="231F20"/>
          <w:w w:val="115"/>
          <w:sz w:val="16"/>
        </w:rPr>
        <w:t>1 Ibid., 59.</w:t>
      </w:r>
    </w:p>
    <w:p w14:paraId="404433F7" w14:textId="77777777" w:rsidR="002653E8" w:rsidRDefault="003115E3">
      <w:pPr>
        <w:pStyle w:val="a4"/>
        <w:numPr>
          <w:ilvl w:val="0"/>
          <w:numId w:val="177"/>
        </w:numPr>
        <w:tabs>
          <w:tab w:val="left" w:pos="1287"/>
        </w:tabs>
        <w:spacing w:before="51" w:line="254" w:lineRule="auto"/>
        <w:ind w:right="1429" w:firstLine="0"/>
        <w:rPr>
          <w:sz w:val="16"/>
        </w:rPr>
      </w:pPr>
      <w:r>
        <w:rPr>
          <w:color w:val="231F20"/>
          <w:w w:val="105"/>
          <w:sz w:val="16"/>
        </w:rPr>
        <w:t xml:space="preserve">Tilman Fichter, interview by Philipp Gessler and Stefan Reinecke, “The antiSemitism of the 68ers,” </w:t>
      </w:r>
      <w:r>
        <w:rPr>
          <w:i/>
          <w:color w:val="231F20"/>
          <w:w w:val="105"/>
          <w:sz w:val="16"/>
        </w:rPr>
        <w:t xml:space="preserve">die tageszeitung, </w:t>
      </w:r>
      <w:r>
        <w:rPr>
          <w:color w:val="231F20"/>
          <w:w w:val="105"/>
          <w:sz w:val="16"/>
        </w:rPr>
        <w:t xml:space="preserve">October </w:t>
      </w:r>
      <w:r>
        <w:rPr>
          <w:color w:val="231F20"/>
          <w:spacing w:val="-5"/>
          <w:w w:val="105"/>
          <w:sz w:val="16"/>
        </w:rPr>
        <w:t xml:space="preserve">25,  </w:t>
      </w:r>
      <w:r>
        <w:rPr>
          <w:color w:val="231F20"/>
          <w:w w:val="105"/>
          <w:sz w:val="16"/>
        </w:rPr>
        <w:t xml:space="preserve">2005.  The  action  was intended to show solidarity with the Palestinian struggle. </w:t>
      </w:r>
      <w:r>
        <w:rPr>
          <w:color w:val="231F20"/>
          <w:spacing w:val="1"/>
          <w:w w:val="105"/>
          <w:sz w:val="16"/>
        </w:rPr>
        <w:t xml:space="preserve">See Baumann, </w:t>
      </w:r>
      <w:r>
        <w:rPr>
          <w:color w:val="231F20"/>
          <w:w w:val="105"/>
          <w:sz w:val="16"/>
        </w:rPr>
        <w:t>60-61 and 67-68.</w:t>
      </w:r>
    </w:p>
    <w:p w14:paraId="138A6459" w14:textId="77777777" w:rsidR="002653E8" w:rsidRDefault="003115E3">
      <w:pPr>
        <w:pStyle w:val="a4"/>
        <w:numPr>
          <w:ilvl w:val="0"/>
          <w:numId w:val="177"/>
        </w:numPr>
        <w:tabs>
          <w:tab w:val="left" w:pos="1287"/>
        </w:tabs>
        <w:spacing w:before="42"/>
        <w:ind w:firstLine="0"/>
        <w:rPr>
          <w:sz w:val="16"/>
        </w:rPr>
      </w:pPr>
      <w:r>
        <w:rPr>
          <w:color w:val="231F20"/>
          <w:spacing w:val="1"/>
          <w:w w:val="110"/>
          <w:sz w:val="16"/>
        </w:rPr>
        <w:t>Baumann,</w:t>
      </w:r>
      <w:r>
        <w:rPr>
          <w:color w:val="231F20"/>
          <w:spacing w:val="6"/>
          <w:w w:val="110"/>
          <w:sz w:val="16"/>
        </w:rPr>
        <w:t xml:space="preserve"> </w:t>
      </w:r>
      <w:r>
        <w:rPr>
          <w:color w:val="231F20"/>
          <w:w w:val="110"/>
          <w:sz w:val="16"/>
        </w:rPr>
        <w:t>76.</w:t>
      </w:r>
    </w:p>
    <w:p w14:paraId="3F386719" w14:textId="77777777" w:rsidR="002653E8" w:rsidRDefault="002653E8">
      <w:pPr>
        <w:rPr>
          <w:sz w:val="16"/>
        </w:rPr>
        <w:sectPr w:rsidR="002653E8">
          <w:pgSz w:w="8640" w:h="12960"/>
          <w:pgMar w:top="1060" w:right="0" w:bottom="1040" w:left="0" w:header="0" w:footer="850" w:gutter="0"/>
          <w:cols w:space="720"/>
        </w:sectPr>
      </w:pPr>
    </w:p>
    <w:p w14:paraId="71D80FD5" w14:textId="77777777" w:rsidR="002653E8" w:rsidRDefault="002653E8">
      <w:pPr>
        <w:pStyle w:val="a3"/>
        <w:spacing w:before="1"/>
        <w:rPr>
          <w:sz w:val="3"/>
        </w:rPr>
      </w:pPr>
    </w:p>
    <w:p w14:paraId="08E451D9" w14:textId="77777777" w:rsidR="002653E8" w:rsidRDefault="003115E3">
      <w:pPr>
        <w:pStyle w:val="a3"/>
        <w:ind w:left="1388"/>
      </w:pPr>
      <w:r>
        <w:drawing>
          <wp:inline distT="0" distB="0" distL="0" distR="0" wp14:anchorId="18627786" wp14:editId="14901B96">
            <wp:extent cx="3841908" cy="5541264"/>
            <wp:effectExtent l="0" t="0" r="0" b="0"/>
            <wp:docPr id="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png"/>
                    <pic:cNvPicPr/>
                  </pic:nvPicPr>
                  <pic:blipFill>
                    <a:blip r:embed="rId58" cstate="print"/>
                    <a:stretch>
                      <a:fillRect/>
                    </a:stretch>
                  </pic:blipFill>
                  <pic:spPr>
                    <a:xfrm>
                      <a:off x="0" y="0"/>
                      <a:ext cx="3841908" cy="5541264"/>
                    </a:xfrm>
                    <a:prstGeom prst="rect">
                      <a:avLst/>
                    </a:prstGeom>
                  </pic:spPr>
                </pic:pic>
              </a:graphicData>
            </a:graphic>
          </wp:inline>
        </w:drawing>
      </w:r>
    </w:p>
    <w:p w14:paraId="3A24A1DD" w14:textId="77777777" w:rsidR="002653E8" w:rsidRDefault="003115E3">
      <w:pPr>
        <w:spacing w:before="61" w:line="244" w:lineRule="auto"/>
        <w:ind w:left="1335" w:right="1325"/>
        <w:rPr>
          <w:i/>
          <w:sz w:val="18"/>
        </w:rPr>
      </w:pPr>
      <w:r>
        <w:rPr>
          <w:i/>
          <w:color w:val="231F20"/>
          <w:sz w:val="18"/>
        </w:rPr>
        <w:t xml:space="preserve">A </w:t>
      </w:r>
      <w:r>
        <w:rPr>
          <w:i/>
          <w:color w:val="231F20"/>
          <w:spacing w:val="1"/>
          <w:sz w:val="18"/>
        </w:rPr>
        <w:t xml:space="preserve">cartoon </w:t>
      </w:r>
      <w:r>
        <w:rPr>
          <w:i/>
          <w:color w:val="231F20"/>
          <w:sz w:val="18"/>
        </w:rPr>
        <w:t xml:space="preserve">from the radical counterculture magazine Agit 883 shows a young </w:t>
      </w:r>
      <w:r>
        <w:rPr>
          <w:i/>
          <w:color w:val="231F20"/>
          <w:spacing w:val="1"/>
          <w:sz w:val="18"/>
        </w:rPr>
        <w:t xml:space="preserve">man </w:t>
      </w:r>
      <w:r>
        <w:rPr>
          <w:i/>
          <w:color w:val="231F20"/>
          <w:sz w:val="18"/>
        </w:rPr>
        <w:t xml:space="preserve">bearing a striking resemblence to Holger  </w:t>
      </w:r>
      <w:r>
        <w:rPr>
          <w:i/>
          <w:color w:val="231F20"/>
          <w:spacing w:val="1"/>
          <w:sz w:val="18"/>
        </w:rPr>
        <w:t xml:space="preserve">Meins </w:t>
      </w:r>
      <w:r>
        <w:rPr>
          <w:i/>
          <w:color w:val="231F20"/>
          <w:sz w:val="18"/>
        </w:rPr>
        <w:t xml:space="preserve">(who  was  a  </w:t>
      </w:r>
      <w:r>
        <w:rPr>
          <w:i/>
          <w:color w:val="231F20"/>
          <w:spacing w:val="1"/>
          <w:sz w:val="18"/>
        </w:rPr>
        <w:t xml:space="preserve">member </w:t>
      </w:r>
      <w:r>
        <w:rPr>
          <w:i/>
          <w:color w:val="231F20"/>
          <w:sz w:val="18"/>
        </w:rPr>
        <w:t xml:space="preserve">of the newspaper’s editorial collective) throwing an </w:t>
      </w:r>
      <w:r>
        <w:rPr>
          <w:i/>
          <w:color w:val="231F20"/>
          <w:spacing w:val="2"/>
          <w:sz w:val="18"/>
        </w:rPr>
        <w:t xml:space="preserve">incendiary  </w:t>
      </w:r>
      <w:r>
        <w:rPr>
          <w:i/>
          <w:color w:val="231F20"/>
          <w:spacing w:val="1"/>
          <w:sz w:val="18"/>
        </w:rPr>
        <w:t xml:space="preserve">device  </w:t>
      </w:r>
      <w:r>
        <w:rPr>
          <w:i/>
          <w:color w:val="231F20"/>
          <w:sz w:val="18"/>
        </w:rPr>
        <w:t xml:space="preserve">of  some sort out of a car. He gets </w:t>
      </w:r>
      <w:r>
        <w:rPr>
          <w:i/>
          <w:color w:val="231F20"/>
          <w:spacing w:val="1"/>
          <w:sz w:val="18"/>
        </w:rPr>
        <w:t xml:space="preserve">busted </w:t>
      </w:r>
      <w:r>
        <w:rPr>
          <w:i/>
          <w:color w:val="231F20"/>
          <w:sz w:val="18"/>
        </w:rPr>
        <w:t xml:space="preserve">because he forgot to change the car’s </w:t>
      </w:r>
      <w:r>
        <w:rPr>
          <w:i/>
          <w:color w:val="231F20"/>
          <w:spacing w:val="1"/>
          <w:sz w:val="18"/>
        </w:rPr>
        <w:t xml:space="preserve">license </w:t>
      </w:r>
      <w:r>
        <w:rPr>
          <w:i/>
          <w:color w:val="231F20"/>
          <w:sz w:val="18"/>
        </w:rPr>
        <w:t xml:space="preserve">plates, but luckily some of his </w:t>
      </w:r>
      <w:r>
        <w:rPr>
          <w:i/>
          <w:color w:val="231F20"/>
          <w:spacing w:val="2"/>
          <w:sz w:val="18"/>
        </w:rPr>
        <w:t xml:space="preserve">friends </w:t>
      </w:r>
      <w:r>
        <w:rPr>
          <w:i/>
          <w:color w:val="231F20"/>
          <w:sz w:val="18"/>
        </w:rPr>
        <w:t xml:space="preserve">are willing to vouch  for  him  </w:t>
      </w:r>
      <w:r>
        <w:rPr>
          <w:i/>
          <w:color w:val="231F20"/>
          <w:spacing w:val="1"/>
          <w:sz w:val="18"/>
        </w:rPr>
        <w:t xml:space="preserve">and  </w:t>
      </w:r>
      <w:r>
        <w:rPr>
          <w:i/>
          <w:color w:val="231F20"/>
          <w:sz w:val="18"/>
        </w:rPr>
        <w:t>the police</w:t>
      </w:r>
      <w:r>
        <w:rPr>
          <w:i/>
          <w:color w:val="231F20"/>
          <w:spacing w:val="15"/>
          <w:sz w:val="18"/>
        </w:rPr>
        <w:t xml:space="preserve"> </w:t>
      </w:r>
      <w:r>
        <w:rPr>
          <w:i/>
          <w:color w:val="231F20"/>
          <w:sz w:val="18"/>
        </w:rPr>
        <w:t>are</w:t>
      </w:r>
      <w:r>
        <w:rPr>
          <w:i/>
          <w:color w:val="231F20"/>
          <w:spacing w:val="15"/>
          <w:sz w:val="18"/>
        </w:rPr>
        <w:t xml:space="preserve"> </w:t>
      </w:r>
      <w:r>
        <w:rPr>
          <w:i/>
          <w:color w:val="231F20"/>
          <w:sz w:val="18"/>
        </w:rPr>
        <w:t>forced</w:t>
      </w:r>
      <w:r>
        <w:rPr>
          <w:i/>
          <w:color w:val="231F20"/>
          <w:spacing w:val="15"/>
          <w:sz w:val="18"/>
        </w:rPr>
        <w:t xml:space="preserve"> </w:t>
      </w:r>
      <w:r>
        <w:rPr>
          <w:i/>
          <w:color w:val="231F20"/>
          <w:sz w:val="18"/>
        </w:rPr>
        <w:t>to</w:t>
      </w:r>
      <w:r>
        <w:rPr>
          <w:i/>
          <w:color w:val="231F20"/>
          <w:spacing w:val="15"/>
          <w:sz w:val="18"/>
        </w:rPr>
        <w:t xml:space="preserve"> </w:t>
      </w:r>
      <w:r>
        <w:rPr>
          <w:i/>
          <w:color w:val="231F20"/>
          <w:sz w:val="18"/>
        </w:rPr>
        <w:t>release</w:t>
      </w:r>
      <w:r>
        <w:rPr>
          <w:i/>
          <w:color w:val="231F20"/>
          <w:spacing w:val="15"/>
          <w:sz w:val="18"/>
        </w:rPr>
        <w:t xml:space="preserve"> </w:t>
      </w:r>
      <w:r>
        <w:rPr>
          <w:i/>
          <w:color w:val="231F20"/>
          <w:sz w:val="18"/>
        </w:rPr>
        <w:t>him,</w:t>
      </w:r>
      <w:r>
        <w:rPr>
          <w:i/>
          <w:color w:val="231F20"/>
          <w:spacing w:val="15"/>
          <w:sz w:val="18"/>
        </w:rPr>
        <w:t xml:space="preserve"> </w:t>
      </w:r>
      <w:r>
        <w:rPr>
          <w:i/>
          <w:color w:val="231F20"/>
          <w:spacing w:val="1"/>
          <w:sz w:val="18"/>
        </w:rPr>
        <w:t>even</w:t>
      </w:r>
      <w:r>
        <w:rPr>
          <w:i/>
          <w:color w:val="231F20"/>
          <w:spacing w:val="15"/>
          <w:sz w:val="18"/>
        </w:rPr>
        <w:t xml:space="preserve"> </w:t>
      </w:r>
      <w:r>
        <w:rPr>
          <w:i/>
          <w:color w:val="231F20"/>
          <w:sz w:val="18"/>
        </w:rPr>
        <w:t>though</w:t>
      </w:r>
      <w:r>
        <w:rPr>
          <w:i/>
          <w:color w:val="231F20"/>
          <w:spacing w:val="15"/>
          <w:sz w:val="18"/>
        </w:rPr>
        <w:t xml:space="preserve"> </w:t>
      </w:r>
      <w:r>
        <w:rPr>
          <w:i/>
          <w:color w:val="231F20"/>
          <w:sz w:val="18"/>
        </w:rPr>
        <w:t>they</w:t>
      </w:r>
      <w:r>
        <w:rPr>
          <w:i/>
          <w:color w:val="231F20"/>
          <w:spacing w:val="15"/>
          <w:sz w:val="18"/>
        </w:rPr>
        <w:t xml:space="preserve"> </w:t>
      </w:r>
      <w:r>
        <w:rPr>
          <w:i/>
          <w:color w:val="231F20"/>
          <w:sz w:val="18"/>
        </w:rPr>
        <w:t>know</w:t>
      </w:r>
      <w:r>
        <w:rPr>
          <w:i/>
          <w:color w:val="231F20"/>
          <w:spacing w:val="15"/>
          <w:sz w:val="18"/>
        </w:rPr>
        <w:t xml:space="preserve"> </w:t>
      </w:r>
      <w:r>
        <w:rPr>
          <w:i/>
          <w:color w:val="231F20"/>
          <w:sz w:val="18"/>
        </w:rPr>
        <w:t>he</w:t>
      </w:r>
      <w:r>
        <w:rPr>
          <w:i/>
          <w:color w:val="231F20"/>
          <w:spacing w:val="15"/>
          <w:sz w:val="18"/>
        </w:rPr>
        <w:t xml:space="preserve"> </w:t>
      </w:r>
      <w:r>
        <w:rPr>
          <w:i/>
          <w:color w:val="231F20"/>
          <w:sz w:val="18"/>
        </w:rPr>
        <w:t>did</w:t>
      </w:r>
      <w:r>
        <w:rPr>
          <w:i/>
          <w:color w:val="231F20"/>
          <w:spacing w:val="15"/>
          <w:sz w:val="18"/>
        </w:rPr>
        <w:t xml:space="preserve"> </w:t>
      </w:r>
      <w:r>
        <w:rPr>
          <w:i/>
          <w:color w:val="231F20"/>
          <w:sz w:val="18"/>
        </w:rPr>
        <w:t>it.</w:t>
      </w:r>
    </w:p>
    <w:p w14:paraId="2A625F52" w14:textId="77777777" w:rsidR="002653E8" w:rsidRDefault="002653E8">
      <w:pPr>
        <w:spacing w:line="244" w:lineRule="auto"/>
        <w:rPr>
          <w:sz w:val="18"/>
        </w:rPr>
        <w:sectPr w:rsidR="002653E8">
          <w:footerReference w:type="even" r:id="rId59"/>
          <w:footerReference w:type="default" r:id="rId60"/>
          <w:pgSz w:w="8640" w:h="12960"/>
          <w:pgMar w:top="1220" w:right="0" w:bottom="1040" w:left="0" w:header="0" w:footer="850" w:gutter="0"/>
          <w:pgNumType w:start="47"/>
          <w:cols w:space="720"/>
        </w:sectPr>
      </w:pPr>
    </w:p>
    <w:p w14:paraId="1AEFA3EF" w14:textId="77777777" w:rsidR="002653E8" w:rsidRDefault="003115E3">
      <w:pPr>
        <w:pStyle w:val="a3"/>
        <w:spacing w:before="86" w:line="264" w:lineRule="auto"/>
        <w:ind w:left="1147" w:right="1326" w:firstLine="210"/>
        <w:jc w:val="both"/>
      </w:pPr>
      <w:r>
        <w:rPr>
          <w:color w:val="231F20"/>
        </w:rPr>
        <w:lastRenderedPageBreak/>
        <w:t>On April 5, Horst Söhnlein, Thorwald Proll, Gudrun Ensslin, and Andreas Baader, who had all traveled from West Berlin to carry out the action while attending an SDS conference, were arrested and charged with arson.</w:t>
      </w:r>
    </w:p>
    <w:p w14:paraId="7670C4D0" w14:textId="77777777" w:rsidR="002653E8" w:rsidRDefault="003115E3">
      <w:pPr>
        <w:pStyle w:val="a3"/>
        <w:spacing w:line="264" w:lineRule="auto"/>
        <w:ind w:left="1147" w:right="1326" w:firstLine="210"/>
        <w:jc w:val="both"/>
        <w:rPr>
          <w:sz w:val="11"/>
        </w:rPr>
      </w:pPr>
      <w:r>
        <w:rPr>
          <w:color w:val="231F20"/>
        </w:rPr>
        <w:t xml:space="preserve">The four had taken few precautions to protect their identities and </w:t>
      </w:r>
      <w:r>
        <w:rPr>
          <w:color w:val="231F20"/>
          <w:spacing w:val="-3"/>
        </w:rPr>
        <w:t xml:space="preserve">avoid </w:t>
      </w:r>
      <w:r>
        <w:rPr>
          <w:color w:val="231F20"/>
        </w:rPr>
        <w:t xml:space="preserve">arrest. They had issued no communiqué, and in retrospect, the action appears almost flippant in its execution. Indeed, some of those arrested initially denied their participation, and later tried to </w:t>
      </w:r>
      <w:r>
        <w:rPr>
          <w:color w:val="231F20"/>
          <w:spacing w:val="1"/>
        </w:rPr>
        <w:t xml:space="preserve">minimize </w:t>
      </w:r>
      <w:r>
        <w:rPr>
          <w:color w:val="231F20"/>
        </w:rPr>
        <w:t xml:space="preserve">it all, Baader claiming, </w:t>
      </w:r>
      <w:r>
        <w:rPr>
          <w:color w:val="231F20"/>
          <w:spacing w:val="-3"/>
        </w:rPr>
        <w:t xml:space="preserve">“We </w:t>
      </w:r>
      <w:r>
        <w:rPr>
          <w:color w:val="231F20"/>
        </w:rPr>
        <w:t>had no intention of endangering human life or even starting a real</w:t>
      </w:r>
      <w:r>
        <w:rPr>
          <w:color w:val="231F20"/>
          <w:spacing w:val="10"/>
        </w:rPr>
        <w:t xml:space="preserve"> </w:t>
      </w:r>
      <w:r>
        <w:rPr>
          <w:color w:val="231F20"/>
        </w:rPr>
        <w:t>fire.”</w:t>
      </w:r>
      <w:r>
        <w:rPr>
          <w:color w:val="231F20"/>
          <w:position w:val="7"/>
          <w:sz w:val="11"/>
        </w:rPr>
        <w:t>1</w:t>
      </w:r>
    </w:p>
    <w:p w14:paraId="5F3B5A38" w14:textId="77777777" w:rsidR="002653E8" w:rsidRDefault="003115E3">
      <w:pPr>
        <w:pStyle w:val="a3"/>
        <w:spacing w:line="264" w:lineRule="auto"/>
        <w:ind w:left="1147" w:right="1326" w:firstLine="210"/>
        <w:jc w:val="both"/>
      </w:pPr>
      <w:r>
        <w:rPr>
          <w:color w:val="231F20"/>
        </w:rPr>
        <w:t>In court, the four had no united strategy; apparently without bitterness or recrimination, Baader and Ensslin at first tried to present a legal defense, and then switched to accepting full responsibility while insisting that Proll and Söhnlein were both completely innocent.</w:t>
      </w:r>
      <w:r>
        <w:rPr>
          <w:color w:val="231F20"/>
          <w:position w:val="7"/>
          <w:sz w:val="11"/>
        </w:rPr>
        <w:t xml:space="preserve">2 </w:t>
      </w:r>
      <w:r>
        <w:rPr>
          <w:color w:val="231F20"/>
        </w:rPr>
        <w:t>For their part, these two did not deny their involvement, yet chose not to defend themselves, though Proll did offer an eloquent denunciation of the court and judicial system (see pages 66-78).</w:t>
      </w:r>
    </w:p>
    <w:p w14:paraId="0300FD86" w14:textId="77777777" w:rsidR="002653E8" w:rsidRDefault="003115E3">
      <w:pPr>
        <w:pStyle w:val="a3"/>
        <w:spacing w:line="264" w:lineRule="auto"/>
        <w:ind w:left="1148" w:right="1326" w:firstLine="210"/>
        <w:jc w:val="both"/>
        <w:rPr>
          <w:sz w:val="11"/>
        </w:rPr>
      </w:pPr>
      <w:r>
        <w:rPr>
          <w:color w:val="231F20"/>
          <w:spacing w:val="1"/>
        </w:rPr>
        <w:t xml:space="preserve">In </w:t>
      </w:r>
      <w:r>
        <w:rPr>
          <w:color w:val="231F20"/>
        </w:rPr>
        <w:t xml:space="preserve">the end, there was no denying that this was a political  action, albeit an ill-defined one. </w:t>
      </w:r>
      <w:r>
        <w:rPr>
          <w:color w:val="231F20"/>
          <w:spacing w:val="1"/>
        </w:rPr>
        <w:t xml:space="preserve">In </w:t>
      </w:r>
      <w:r>
        <w:rPr>
          <w:color w:val="231F20"/>
        </w:rPr>
        <w:t xml:space="preserve">court, Ensslin  explained  that  that  the  arson was “in protest against people’s indifference to the murder of    the Vietnamese,” adding that </w:t>
      </w:r>
      <w:r>
        <w:rPr>
          <w:color w:val="231F20"/>
          <w:spacing w:val="-3"/>
        </w:rPr>
        <w:t xml:space="preserve">“We </w:t>
      </w:r>
      <w:r>
        <w:rPr>
          <w:color w:val="231F20"/>
        </w:rPr>
        <w:t>have found that words are useless without</w:t>
      </w:r>
      <w:r>
        <w:rPr>
          <w:color w:val="231F20"/>
          <w:spacing w:val="10"/>
        </w:rPr>
        <w:t xml:space="preserve"> </w:t>
      </w:r>
      <w:r>
        <w:rPr>
          <w:color w:val="231F20"/>
          <w:spacing w:val="-3"/>
        </w:rPr>
        <w:t>action.”</w:t>
      </w:r>
      <w:r>
        <w:rPr>
          <w:color w:val="231F20"/>
          <w:spacing w:val="-3"/>
          <w:position w:val="7"/>
          <w:sz w:val="11"/>
        </w:rPr>
        <w:t>3</w:t>
      </w:r>
    </w:p>
    <w:p w14:paraId="580AB5BA" w14:textId="77777777" w:rsidR="002653E8" w:rsidRDefault="003115E3">
      <w:pPr>
        <w:pStyle w:val="a3"/>
        <w:spacing w:line="264" w:lineRule="auto"/>
        <w:ind w:left="1147" w:right="1327" w:firstLine="210"/>
        <w:jc w:val="both"/>
        <w:rPr>
          <w:sz w:val="11"/>
        </w:rPr>
      </w:pPr>
      <w:r>
        <w:rPr>
          <w:color w:val="231F20"/>
        </w:rPr>
        <w:t xml:space="preserve">Then, in a statement that could only be appreciated in retrospect,   she told a television reporter, </w:t>
      </w:r>
      <w:r>
        <w:rPr>
          <w:color w:val="231F20"/>
          <w:spacing w:val="-3"/>
        </w:rPr>
        <w:t xml:space="preserve">“We </w:t>
      </w:r>
      <w:r>
        <w:rPr>
          <w:color w:val="231F20"/>
        </w:rPr>
        <w:t>have said clearly enough that we did thewrong thing. But there’s no reason for us to discuss it with the law or the</w:t>
      </w:r>
      <w:r>
        <w:rPr>
          <w:color w:val="231F20"/>
          <w:spacing w:val="11"/>
        </w:rPr>
        <w:t xml:space="preserve"> </w:t>
      </w:r>
      <w:r>
        <w:rPr>
          <w:color w:val="231F20"/>
        </w:rPr>
        <w:t>state.</w:t>
      </w:r>
      <w:r>
        <w:rPr>
          <w:color w:val="231F20"/>
          <w:spacing w:val="11"/>
        </w:rPr>
        <w:t xml:space="preserve"> </w:t>
      </w:r>
      <w:r>
        <w:rPr>
          <w:color w:val="231F20"/>
          <w:spacing w:val="-5"/>
        </w:rPr>
        <w:t>We</w:t>
      </w:r>
      <w:r>
        <w:rPr>
          <w:color w:val="231F20"/>
          <w:spacing w:val="11"/>
        </w:rPr>
        <w:t xml:space="preserve"> </w:t>
      </w:r>
      <w:r>
        <w:rPr>
          <w:color w:val="231F20"/>
        </w:rPr>
        <w:t>must</w:t>
      </w:r>
      <w:r>
        <w:rPr>
          <w:color w:val="231F20"/>
          <w:spacing w:val="11"/>
        </w:rPr>
        <w:t xml:space="preserve"> </w:t>
      </w:r>
      <w:r>
        <w:rPr>
          <w:color w:val="231F20"/>
        </w:rPr>
        <w:t>discuss</w:t>
      </w:r>
      <w:r>
        <w:rPr>
          <w:color w:val="231F20"/>
          <w:spacing w:val="11"/>
        </w:rPr>
        <w:t xml:space="preserve"> </w:t>
      </w:r>
      <w:r>
        <w:rPr>
          <w:color w:val="231F20"/>
        </w:rPr>
        <w:t>it</w:t>
      </w:r>
      <w:r>
        <w:rPr>
          <w:color w:val="231F20"/>
          <w:spacing w:val="11"/>
        </w:rPr>
        <w:t xml:space="preserve"> </w:t>
      </w:r>
      <w:r>
        <w:rPr>
          <w:color w:val="231F20"/>
        </w:rPr>
        <w:t>with</w:t>
      </w:r>
      <w:r>
        <w:rPr>
          <w:color w:val="231F20"/>
          <w:spacing w:val="11"/>
        </w:rPr>
        <w:t xml:space="preserve"> </w:t>
      </w:r>
      <w:r>
        <w:rPr>
          <w:color w:val="231F20"/>
        </w:rPr>
        <w:t>people</w:t>
      </w:r>
      <w:r>
        <w:rPr>
          <w:color w:val="231F20"/>
          <w:spacing w:val="11"/>
        </w:rPr>
        <w:t xml:space="preserve"> </w:t>
      </w:r>
      <w:r>
        <w:rPr>
          <w:color w:val="231F20"/>
        </w:rPr>
        <w:t>who</w:t>
      </w:r>
      <w:r>
        <w:rPr>
          <w:color w:val="231F20"/>
          <w:spacing w:val="11"/>
        </w:rPr>
        <w:t xml:space="preserve"> </w:t>
      </w:r>
      <w:r>
        <w:rPr>
          <w:color w:val="231F20"/>
        </w:rPr>
        <w:t>think</w:t>
      </w:r>
      <w:r>
        <w:rPr>
          <w:color w:val="231F20"/>
          <w:spacing w:val="11"/>
        </w:rPr>
        <w:t xml:space="preserve"> </w:t>
      </w:r>
      <w:r>
        <w:rPr>
          <w:color w:val="231F20"/>
        </w:rPr>
        <w:t>as</w:t>
      </w:r>
      <w:r>
        <w:rPr>
          <w:color w:val="231F20"/>
          <w:spacing w:val="11"/>
        </w:rPr>
        <w:t xml:space="preserve"> </w:t>
      </w:r>
      <w:r>
        <w:rPr>
          <w:color w:val="231F20"/>
        </w:rPr>
        <w:t>we</w:t>
      </w:r>
      <w:r>
        <w:rPr>
          <w:color w:val="231F20"/>
          <w:spacing w:val="11"/>
        </w:rPr>
        <w:t xml:space="preserve"> </w:t>
      </w:r>
      <w:r>
        <w:rPr>
          <w:color w:val="231F20"/>
          <w:spacing w:val="-7"/>
        </w:rPr>
        <w:t>do.”</w:t>
      </w:r>
      <w:r>
        <w:rPr>
          <w:color w:val="231F20"/>
          <w:spacing w:val="-7"/>
          <w:position w:val="7"/>
          <w:sz w:val="11"/>
        </w:rPr>
        <w:t>4</w:t>
      </w:r>
    </w:p>
    <w:p w14:paraId="2DEA7551" w14:textId="77777777" w:rsidR="002653E8" w:rsidRDefault="003115E3">
      <w:pPr>
        <w:pStyle w:val="a3"/>
        <w:spacing w:line="264" w:lineRule="auto"/>
        <w:ind w:left="1147" w:right="1326" w:firstLine="210"/>
        <w:jc w:val="both"/>
        <w:rPr>
          <w:sz w:val="11"/>
        </w:rPr>
      </w:pPr>
      <w:r>
        <w:rPr>
          <w:color w:val="231F20"/>
        </w:rPr>
        <w:t>While the four were repudiated by the SDS, they were embraced by others for whom the step into illegality seemed both appropriate and timely. “They were like little media stars for the radical left,” Thorwald’s younger sister Astrid Proll would recall years later.</w:t>
      </w:r>
      <w:r>
        <w:rPr>
          <w:color w:val="231F20"/>
          <w:position w:val="7"/>
          <w:sz w:val="11"/>
        </w:rPr>
        <w:t>5</w:t>
      </w:r>
    </w:p>
    <w:p w14:paraId="16A37F9E" w14:textId="77777777" w:rsidR="002653E8" w:rsidRDefault="003115E3">
      <w:pPr>
        <w:pStyle w:val="a3"/>
        <w:spacing w:line="264" w:lineRule="auto"/>
        <w:ind w:left="1148" w:right="1325" w:firstLine="209"/>
        <w:jc w:val="both"/>
      </w:pPr>
      <w:r>
        <w:rPr>
          <w:color w:val="231F20"/>
        </w:rPr>
        <w:t xml:space="preserve">One of these admirers was Ulrike Meinhof, who had divorced </w:t>
      </w:r>
      <w:r>
        <w:rPr>
          <w:i/>
          <w:color w:val="231F20"/>
        </w:rPr>
        <w:t xml:space="preserve">konkret </w:t>
      </w:r>
      <w:r>
        <w:rPr>
          <w:color w:val="231F20"/>
        </w:rPr>
        <w:t xml:space="preserve">publisher Klaus Rainer Röhl and moved to </w:t>
      </w:r>
      <w:r>
        <w:rPr>
          <w:color w:val="231F20"/>
          <w:spacing w:val="-3"/>
        </w:rPr>
        <w:t xml:space="preserve">West </w:t>
      </w:r>
      <w:r>
        <w:rPr>
          <w:color w:val="231F20"/>
        </w:rPr>
        <w:t xml:space="preserve">Berlin with their </w:t>
      </w:r>
      <w:r>
        <w:rPr>
          <w:color w:val="231F20"/>
          <w:spacing w:val="1"/>
        </w:rPr>
        <w:t xml:space="preserve">twin </w:t>
      </w:r>
      <w:r>
        <w:rPr>
          <w:color w:val="231F20"/>
        </w:rPr>
        <w:t xml:space="preserve">daughters in </w:t>
      </w:r>
      <w:r>
        <w:rPr>
          <w:color w:val="231F20"/>
          <w:spacing w:val="-7"/>
        </w:rPr>
        <w:t xml:space="preserve">1967. </w:t>
      </w:r>
      <w:r>
        <w:rPr>
          <w:color w:val="231F20"/>
        </w:rPr>
        <w:t>Meinhof visited Ensslin in prison, and would approvingly</w:t>
      </w:r>
      <w:r>
        <w:rPr>
          <w:color w:val="231F20"/>
          <w:spacing w:val="20"/>
        </w:rPr>
        <w:t xml:space="preserve"> </w:t>
      </w:r>
      <w:r>
        <w:rPr>
          <w:color w:val="231F20"/>
        </w:rPr>
        <w:t>write</w:t>
      </w:r>
      <w:r>
        <w:rPr>
          <w:color w:val="231F20"/>
          <w:spacing w:val="20"/>
        </w:rPr>
        <w:t xml:space="preserve"> </w:t>
      </w:r>
      <w:r>
        <w:rPr>
          <w:color w:val="231F20"/>
        </w:rPr>
        <w:t>about</w:t>
      </w:r>
      <w:r>
        <w:rPr>
          <w:color w:val="231F20"/>
          <w:spacing w:val="20"/>
        </w:rPr>
        <w:t xml:space="preserve"> </w:t>
      </w:r>
      <w:r>
        <w:rPr>
          <w:color w:val="231F20"/>
        </w:rPr>
        <w:t>the</w:t>
      </w:r>
      <w:r>
        <w:rPr>
          <w:color w:val="231F20"/>
          <w:spacing w:val="20"/>
        </w:rPr>
        <w:t xml:space="preserve"> </w:t>
      </w:r>
      <w:r>
        <w:rPr>
          <w:color w:val="231F20"/>
        </w:rPr>
        <w:t>case</w:t>
      </w:r>
      <w:r>
        <w:rPr>
          <w:color w:val="231F20"/>
          <w:spacing w:val="20"/>
        </w:rPr>
        <w:t xml:space="preserve"> </w:t>
      </w:r>
      <w:r>
        <w:rPr>
          <w:color w:val="231F20"/>
        </w:rPr>
        <w:t>in</w:t>
      </w:r>
      <w:r>
        <w:rPr>
          <w:color w:val="231F20"/>
          <w:spacing w:val="20"/>
        </w:rPr>
        <w:t xml:space="preserve"> </w:t>
      </w:r>
      <w:r>
        <w:rPr>
          <w:color w:val="231F20"/>
        </w:rPr>
        <w:t>her</w:t>
      </w:r>
      <w:r>
        <w:rPr>
          <w:color w:val="231F20"/>
          <w:spacing w:val="20"/>
        </w:rPr>
        <w:t xml:space="preserve"> </w:t>
      </w:r>
      <w:r>
        <w:rPr>
          <w:color w:val="231F20"/>
        </w:rPr>
        <w:t>magazine</w:t>
      </w:r>
      <w:r>
        <w:rPr>
          <w:color w:val="231F20"/>
          <w:spacing w:val="20"/>
        </w:rPr>
        <w:t xml:space="preserve"> </w:t>
      </w:r>
      <w:r>
        <w:rPr>
          <w:color w:val="231F20"/>
        </w:rPr>
        <w:t>column.</w:t>
      </w:r>
      <w:r>
        <w:rPr>
          <w:color w:val="231F20"/>
          <w:spacing w:val="20"/>
        </w:rPr>
        <w:t xml:space="preserve"> </w:t>
      </w:r>
      <w:r>
        <w:rPr>
          <w:color w:val="231F20"/>
        </w:rPr>
        <w:t>“[T]he</w:t>
      </w:r>
      <w:r>
        <w:rPr>
          <w:color w:val="231F20"/>
          <w:spacing w:val="20"/>
        </w:rPr>
        <w:t xml:space="preserve"> </w:t>
      </w:r>
      <w:r>
        <w:rPr>
          <w:color w:val="231F20"/>
        </w:rPr>
        <w:t>pro-</w:t>
      </w:r>
    </w:p>
    <w:p w14:paraId="1963860D" w14:textId="77777777" w:rsidR="002653E8" w:rsidRDefault="00000000">
      <w:pPr>
        <w:pStyle w:val="a3"/>
        <w:spacing w:before="5"/>
        <w:rPr>
          <w:sz w:val="18"/>
        </w:rPr>
      </w:pPr>
      <w:r>
        <w:rPr>
          <w:noProof w:val="0"/>
        </w:rPr>
        <w:pict w14:anchorId="777EFD0A">
          <v:line id="_x0000_s2645" style="position:absolute;z-index:2632;mso-wrap-distance-left:0;mso-wrap-distance-right:0;mso-position-horizontal-relative:page" from="57.4pt,13.05pt" to="129.4pt,13.05pt" strokecolor="#231f20" strokeweight=".5pt">
            <w10:wrap type="topAndBottom" anchorx="page"/>
          </v:line>
        </w:pict>
      </w:r>
    </w:p>
    <w:p w14:paraId="1A1A564D" w14:textId="77777777" w:rsidR="002653E8" w:rsidRDefault="003115E3">
      <w:pPr>
        <w:spacing w:before="53"/>
        <w:ind w:left="1147"/>
        <w:rPr>
          <w:sz w:val="16"/>
        </w:rPr>
      </w:pPr>
      <w:r>
        <w:rPr>
          <w:color w:val="231F20"/>
          <w:w w:val="110"/>
          <w:sz w:val="16"/>
        </w:rPr>
        <w:t>1 Aust, 51, 58.</w:t>
      </w:r>
    </w:p>
    <w:p w14:paraId="7F6D7693" w14:textId="77777777" w:rsidR="002653E8" w:rsidRDefault="003115E3">
      <w:pPr>
        <w:spacing w:before="51"/>
        <w:ind w:left="1147"/>
        <w:rPr>
          <w:sz w:val="16"/>
        </w:rPr>
      </w:pPr>
      <w:r>
        <w:rPr>
          <w:color w:val="231F20"/>
          <w:w w:val="115"/>
          <w:sz w:val="16"/>
        </w:rPr>
        <w:t>2 Ibid., 58.</w:t>
      </w:r>
    </w:p>
    <w:p w14:paraId="256AE4DB" w14:textId="77777777" w:rsidR="002653E8" w:rsidRDefault="003115E3">
      <w:pPr>
        <w:spacing w:before="52"/>
        <w:ind w:left="1147"/>
        <w:rPr>
          <w:sz w:val="16"/>
        </w:rPr>
      </w:pPr>
      <w:r>
        <w:rPr>
          <w:color w:val="231F20"/>
          <w:w w:val="115"/>
          <w:sz w:val="16"/>
        </w:rPr>
        <w:t>3 Ibid., 58.</w:t>
      </w:r>
    </w:p>
    <w:p w14:paraId="10DA7E5A" w14:textId="77777777" w:rsidR="002653E8" w:rsidRDefault="003115E3">
      <w:pPr>
        <w:spacing w:before="52"/>
        <w:ind w:left="1147"/>
        <w:rPr>
          <w:sz w:val="16"/>
        </w:rPr>
      </w:pPr>
      <w:r>
        <w:rPr>
          <w:color w:val="231F20"/>
          <w:w w:val="115"/>
          <w:sz w:val="16"/>
        </w:rPr>
        <w:t>4 Ibid., 62.</w:t>
      </w:r>
    </w:p>
    <w:p w14:paraId="292DFF8A" w14:textId="77777777" w:rsidR="002653E8" w:rsidRDefault="003115E3">
      <w:pPr>
        <w:spacing w:before="51"/>
        <w:ind w:left="1147"/>
        <w:rPr>
          <w:sz w:val="16"/>
        </w:rPr>
      </w:pPr>
      <w:r>
        <w:rPr>
          <w:color w:val="231F20"/>
          <w:w w:val="110"/>
          <w:sz w:val="16"/>
        </w:rPr>
        <w:t xml:space="preserve">5 Astrid Proll, </w:t>
      </w:r>
      <w:r>
        <w:rPr>
          <w:i/>
          <w:color w:val="231F20"/>
          <w:w w:val="110"/>
          <w:sz w:val="16"/>
        </w:rPr>
        <w:t xml:space="preserve">Baader Meinhof: Pictures on the Run 67-77 </w:t>
      </w:r>
      <w:r>
        <w:rPr>
          <w:color w:val="231F20"/>
          <w:w w:val="110"/>
          <w:sz w:val="16"/>
        </w:rPr>
        <w:t>(Zurich: Scalo, 1998), 8.</w:t>
      </w:r>
    </w:p>
    <w:p w14:paraId="64B1177D" w14:textId="77777777" w:rsidR="002653E8" w:rsidRDefault="002653E8">
      <w:pPr>
        <w:rPr>
          <w:sz w:val="16"/>
        </w:rPr>
        <w:sectPr w:rsidR="002653E8">
          <w:pgSz w:w="8640" w:h="12960"/>
          <w:pgMar w:top="1060" w:right="0" w:bottom="1040" w:left="0" w:header="0" w:footer="850" w:gutter="0"/>
          <w:cols w:space="720"/>
        </w:sectPr>
      </w:pPr>
    </w:p>
    <w:p w14:paraId="78DF05C0" w14:textId="77777777" w:rsidR="002653E8" w:rsidRDefault="003115E3">
      <w:pPr>
        <w:pStyle w:val="a3"/>
        <w:spacing w:before="86" w:line="264" w:lineRule="auto"/>
        <w:ind w:left="1328" w:right="1145" w:hanging="1"/>
        <w:jc w:val="both"/>
        <w:rPr>
          <w:sz w:val="11"/>
        </w:rPr>
      </w:pPr>
      <w:r>
        <w:rPr>
          <w:color w:val="231F20"/>
        </w:rPr>
        <w:lastRenderedPageBreak/>
        <w:t>gressive moment of arson in a department store does not lie in the destruction of goods,” she opined, “but in the criminality of the act, the breaking of the law…”</w:t>
      </w:r>
      <w:r>
        <w:rPr>
          <w:color w:val="231F20"/>
          <w:position w:val="7"/>
          <w:sz w:val="11"/>
        </w:rPr>
        <w:t>6</w:t>
      </w:r>
    </w:p>
    <w:p w14:paraId="1EEC93CF" w14:textId="77777777" w:rsidR="002653E8" w:rsidRDefault="003115E3">
      <w:pPr>
        <w:pStyle w:val="a3"/>
        <w:spacing w:line="264" w:lineRule="auto"/>
        <w:ind w:left="1327" w:right="1145" w:firstLine="210"/>
        <w:jc w:val="both"/>
        <w:rPr>
          <w:sz w:val="11"/>
        </w:rPr>
      </w:pPr>
      <w:r>
        <w:rPr>
          <w:color w:val="231F20"/>
        </w:rPr>
        <w:t>Publicly, the arsonists’ friends from the K.1 commune declared their solidarity, Fritz Teufel paraphrasing Bertolt Brecht to the effect that “It’s always better to torch a department store than to run one.”</w:t>
      </w:r>
      <w:r>
        <w:rPr>
          <w:color w:val="231F20"/>
          <w:position w:val="7"/>
          <w:sz w:val="11"/>
        </w:rPr>
        <w:t xml:space="preserve">7 </w:t>
      </w:r>
      <w:r>
        <w:rPr>
          <w:color w:val="231F20"/>
        </w:rPr>
        <w:t>Privately, however, they wondered at how clumsily the whole thing had been carried out, some even supposing that the four might suffer from some “psychic failure,” a subconscious desire to go to jail.</w:t>
      </w:r>
      <w:r>
        <w:rPr>
          <w:color w:val="231F20"/>
          <w:position w:val="7"/>
          <w:sz w:val="11"/>
        </w:rPr>
        <w:t>8</w:t>
      </w:r>
    </w:p>
    <w:p w14:paraId="74EF25D1" w14:textId="77777777" w:rsidR="002653E8" w:rsidRDefault="003115E3">
      <w:pPr>
        <w:pStyle w:val="a3"/>
        <w:spacing w:line="264" w:lineRule="auto"/>
        <w:ind w:left="1327" w:right="1146" w:firstLine="210"/>
        <w:jc w:val="both"/>
      </w:pPr>
      <w:r>
        <w:rPr>
          <w:color w:val="231F20"/>
        </w:rPr>
        <w:t>In October 1968, the four were each sentenced to three years in prison.</w:t>
      </w:r>
    </w:p>
    <w:p w14:paraId="158AB6EB" w14:textId="77777777" w:rsidR="002653E8" w:rsidRDefault="003115E3">
      <w:pPr>
        <w:pStyle w:val="a3"/>
        <w:spacing w:line="264" w:lineRule="auto"/>
        <w:ind w:left="1327" w:right="1145" w:firstLine="210"/>
        <w:jc w:val="both"/>
        <w:rPr>
          <w:sz w:val="11"/>
        </w:rPr>
      </w:pPr>
      <w:r>
        <w:rPr>
          <w:color w:val="231F20"/>
          <w:w w:val="105"/>
        </w:rPr>
        <w:t>As the judge read out the verdict a familiar figure stood up: “This trial belongs before a student court,” Daniel Cohn-Bendit</w:t>
      </w:r>
      <w:r>
        <w:rPr>
          <w:color w:val="231F20"/>
          <w:w w:val="105"/>
          <w:position w:val="7"/>
          <w:sz w:val="11"/>
        </w:rPr>
        <w:t xml:space="preserve">9 </w:t>
      </w:r>
      <w:r>
        <w:rPr>
          <w:color w:val="231F20"/>
          <w:w w:val="105"/>
        </w:rPr>
        <w:t>shouted, at which</w:t>
      </w:r>
      <w:r>
        <w:rPr>
          <w:color w:val="231F20"/>
          <w:spacing w:val="-23"/>
          <w:w w:val="105"/>
        </w:rPr>
        <w:t xml:space="preserve"> </w:t>
      </w:r>
      <w:r>
        <w:rPr>
          <w:color w:val="231F20"/>
          <w:w w:val="105"/>
        </w:rPr>
        <w:t>point</w:t>
      </w:r>
      <w:r>
        <w:rPr>
          <w:color w:val="231F20"/>
          <w:spacing w:val="-23"/>
          <w:w w:val="105"/>
        </w:rPr>
        <w:t xml:space="preserve"> </w:t>
      </w:r>
      <w:r>
        <w:rPr>
          <w:color w:val="231F20"/>
          <w:w w:val="105"/>
        </w:rPr>
        <w:t>the</w:t>
      </w:r>
      <w:r>
        <w:rPr>
          <w:color w:val="231F20"/>
          <w:spacing w:val="-23"/>
          <w:w w:val="105"/>
        </w:rPr>
        <w:t xml:space="preserve"> </w:t>
      </w:r>
      <w:r>
        <w:rPr>
          <w:color w:val="231F20"/>
          <w:w w:val="105"/>
        </w:rPr>
        <w:t>gallery</w:t>
      </w:r>
      <w:r>
        <w:rPr>
          <w:color w:val="231F20"/>
          <w:spacing w:val="-23"/>
          <w:w w:val="105"/>
        </w:rPr>
        <w:t xml:space="preserve"> </w:t>
      </w:r>
      <w:r>
        <w:rPr>
          <w:color w:val="231F20"/>
          <w:w w:val="105"/>
        </w:rPr>
        <w:t>erupted</w:t>
      </w:r>
      <w:r>
        <w:rPr>
          <w:color w:val="231F20"/>
          <w:spacing w:val="-23"/>
          <w:w w:val="105"/>
        </w:rPr>
        <w:t xml:space="preserve"> </w:t>
      </w:r>
      <w:r>
        <w:rPr>
          <w:color w:val="231F20"/>
          <w:w w:val="105"/>
        </w:rPr>
        <w:t>into</w:t>
      </w:r>
      <w:r>
        <w:rPr>
          <w:color w:val="231F20"/>
          <w:spacing w:val="-23"/>
          <w:w w:val="105"/>
        </w:rPr>
        <w:t xml:space="preserve"> </w:t>
      </w:r>
      <w:r>
        <w:rPr>
          <w:color w:val="231F20"/>
          <w:w w:val="105"/>
        </w:rPr>
        <w:t>pandemonium,</w:t>
      </w:r>
      <w:r>
        <w:rPr>
          <w:color w:val="231F20"/>
          <w:spacing w:val="-23"/>
          <w:w w:val="105"/>
        </w:rPr>
        <w:t xml:space="preserve"> </w:t>
      </w:r>
      <w:r>
        <w:rPr>
          <w:color w:val="231F20"/>
          <w:w w:val="105"/>
        </w:rPr>
        <w:t>spectators</w:t>
      </w:r>
      <w:r>
        <w:rPr>
          <w:color w:val="231F20"/>
          <w:spacing w:val="-23"/>
          <w:w w:val="105"/>
        </w:rPr>
        <w:t xml:space="preserve"> </w:t>
      </w:r>
      <w:r>
        <w:rPr>
          <w:color w:val="231F20"/>
          <w:w w:val="105"/>
        </w:rPr>
        <w:t>swarming</w:t>
      </w:r>
      <w:r>
        <w:rPr>
          <w:color w:val="231F20"/>
          <w:spacing w:val="-4"/>
          <w:w w:val="105"/>
        </w:rPr>
        <w:t xml:space="preserve"> </w:t>
      </w:r>
      <w:r>
        <w:rPr>
          <w:color w:val="231F20"/>
          <w:w w:val="105"/>
        </w:rPr>
        <w:t>the</w:t>
      </w:r>
      <w:r>
        <w:rPr>
          <w:color w:val="231F20"/>
          <w:spacing w:val="-4"/>
          <w:w w:val="105"/>
        </w:rPr>
        <w:t xml:space="preserve"> </w:t>
      </w:r>
      <w:r>
        <w:rPr>
          <w:color w:val="231F20"/>
          <w:w w:val="105"/>
        </w:rPr>
        <w:t>guards</w:t>
      </w:r>
      <w:r>
        <w:rPr>
          <w:color w:val="231F20"/>
          <w:spacing w:val="-4"/>
          <w:w w:val="105"/>
        </w:rPr>
        <w:t xml:space="preserve"> </w:t>
      </w:r>
      <w:r>
        <w:rPr>
          <w:color w:val="231F20"/>
          <w:w w:val="105"/>
        </w:rPr>
        <w:t>as</w:t>
      </w:r>
      <w:r>
        <w:rPr>
          <w:color w:val="231F20"/>
          <w:spacing w:val="-4"/>
          <w:w w:val="105"/>
        </w:rPr>
        <w:t xml:space="preserve"> </w:t>
      </w:r>
      <w:r>
        <w:rPr>
          <w:color w:val="231F20"/>
          <w:w w:val="105"/>
        </w:rPr>
        <w:t>two</w:t>
      </w:r>
      <w:r>
        <w:rPr>
          <w:color w:val="231F20"/>
          <w:spacing w:val="-4"/>
          <w:w w:val="105"/>
        </w:rPr>
        <w:t xml:space="preserve"> </w:t>
      </w:r>
      <w:r>
        <w:rPr>
          <w:color w:val="231F20"/>
          <w:w w:val="105"/>
        </w:rPr>
        <w:t>of</w:t>
      </w:r>
      <w:r>
        <w:rPr>
          <w:color w:val="231F20"/>
          <w:spacing w:val="-4"/>
          <w:w w:val="105"/>
        </w:rPr>
        <w:t xml:space="preserve"> </w:t>
      </w:r>
      <w:r>
        <w:rPr>
          <w:color w:val="231F20"/>
          <w:w w:val="105"/>
        </w:rPr>
        <w:t>the</w:t>
      </w:r>
      <w:r>
        <w:rPr>
          <w:color w:val="231F20"/>
          <w:spacing w:val="-4"/>
          <w:w w:val="105"/>
        </w:rPr>
        <w:t xml:space="preserve"> </w:t>
      </w:r>
      <w:r>
        <w:rPr>
          <w:color w:val="231F20"/>
          <w:w w:val="105"/>
        </w:rPr>
        <w:t>accused</w:t>
      </w:r>
      <w:r>
        <w:rPr>
          <w:color w:val="231F20"/>
          <w:spacing w:val="-4"/>
          <w:w w:val="105"/>
        </w:rPr>
        <w:t xml:space="preserve"> </w:t>
      </w:r>
      <w:r>
        <w:rPr>
          <w:color w:val="231F20"/>
          <w:w w:val="105"/>
        </w:rPr>
        <w:t>attempted</w:t>
      </w:r>
      <w:r>
        <w:rPr>
          <w:color w:val="231F20"/>
          <w:spacing w:val="-4"/>
          <w:w w:val="105"/>
        </w:rPr>
        <w:t xml:space="preserve"> </w:t>
      </w:r>
      <w:r>
        <w:rPr>
          <w:color w:val="231F20"/>
          <w:w w:val="105"/>
        </w:rPr>
        <w:t>to</w:t>
      </w:r>
      <w:r>
        <w:rPr>
          <w:color w:val="231F20"/>
          <w:spacing w:val="-4"/>
          <w:w w:val="105"/>
        </w:rPr>
        <w:t xml:space="preserve"> </w:t>
      </w:r>
      <w:r>
        <w:rPr>
          <w:color w:val="231F20"/>
          <w:w w:val="105"/>
        </w:rPr>
        <w:t>make</w:t>
      </w:r>
      <w:r>
        <w:rPr>
          <w:color w:val="231F20"/>
          <w:spacing w:val="-4"/>
          <w:w w:val="105"/>
        </w:rPr>
        <w:t xml:space="preserve"> </w:t>
      </w:r>
      <w:r>
        <w:rPr>
          <w:color w:val="231F20"/>
          <w:w w:val="105"/>
        </w:rPr>
        <w:t>a</w:t>
      </w:r>
      <w:r>
        <w:rPr>
          <w:color w:val="231F20"/>
          <w:spacing w:val="-4"/>
          <w:w w:val="105"/>
        </w:rPr>
        <w:t xml:space="preserve"> </w:t>
      </w:r>
      <w:r>
        <w:rPr>
          <w:color w:val="231F20"/>
          <w:w w:val="105"/>
        </w:rPr>
        <w:t>break</w:t>
      </w:r>
      <w:r>
        <w:rPr>
          <w:color w:val="231F20"/>
          <w:spacing w:val="-4"/>
          <w:w w:val="105"/>
        </w:rPr>
        <w:t xml:space="preserve"> </w:t>
      </w:r>
      <w:r>
        <w:rPr>
          <w:color w:val="231F20"/>
          <w:w w:val="105"/>
        </w:rPr>
        <w:t>for</w:t>
      </w:r>
      <w:r>
        <w:rPr>
          <w:color w:val="231F20"/>
          <w:spacing w:val="-4"/>
          <w:w w:val="105"/>
        </w:rPr>
        <w:t xml:space="preserve"> </w:t>
      </w:r>
      <w:r>
        <w:rPr>
          <w:color w:val="231F20"/>
          <w:w w:val="105"/>
        </w:rPr>
        <w:t>it. Three</w:t>
      </w:r>
      <w:r>
        <w:rPr>
          <w:color w:val="231F20"/>
          <w:spacing w:val="-5"/>
          <w:w w:val="105"/>
        </w:rPr>
        <w:t xml:space="preserve"> </w:t>
      </w:r>
      <w:r>
        <w:rPr>
          <w:color w:val="231F20"/>
          <w:w w:val="105"/>
        </w:rPr>
        <w:t>people,</w:t>
      </w:r>
      <w:r>
        <w:rPr>
          <w:color w:val="231F20"/>
          <w:spacing w:val="-5"/>
          <w:w w:val="105"/>
        </w:rPr>
        <w:t xml:space="preserve"> </w:t>
      </w:r>
      <w:r>
        <w:rPr>
          <w:color w:val="231F20"/>
          <w:w w:val="105"/>
        </w:rPr>
        <w:t>including</w:t>
      </w:r>
      <w:r>
        <w:rPr>
          <w:color w:val="231F20"/>
          <w:spacing w:val="-5"/>
          <w:w w:val="105"/>
        </w:rPr>
        <w:t xml:space="preserve"> </w:t>
      </w:r>
      <w:r>
        <w:rPr>
          <w:color w:val="231F20"/>
          <w:w w:val="105"/>
        </w:rPr>
        <w:t>Cohn-Bendit,</w:t>
      </w:r>
      <w:r>
        <w:rPr>
          <w:color w:val="231F20"/>
          <w:spacing w:val="-5"/>
          <w:w w:val="105"/>
        </w:rPr>
        <w:t xml:space="preserve"> </w:t>
      </w:r>
      <w:r>
        <w:rPr>
          <w:color w:val="231F20"/>
          <w:w w:val="105"/>
        </w:rPr>
        <w:t>were</w:t>
      </w:r>
      <w:r>
        <w:rPr>
          <w:color w:val="231F20"/>
          <w:spacing w:val="-5"/>
          <w:w w:val="105"/>
        </w:rPr>
        <w:t xml:space="preserve"> </w:t>
      </w:r>
      <w:r>
        <w:rPr>
          <w:color w:val="231F20"/>
          <w:w w:val="105"/>
        </w:rPr>
        <w:t>arrested</w:t>
      </w:r>
      <w:r>
        <w:rPr>
          <w:color w:val="231F20"/>
          <w:spacing w:val="-5"/>
          <w:w w:val="105"/>
        </w:rPr>
        <w:t xml:space="preserve"> </w:t>
      </w:r>
      <w:r>
        <w:rPr>
          <w:color w:val="231F20"/>
          <w:w w:val="105"/>
        </w:rPr>
        <w:t>as</w:t>
      </w:r>
      <w:r>
        <w:rPr>
          <w:color w:val="231F20"/>
          <w:spacing w:val="-5"/>
          <w:w w:val="105"/>
        </w:rPr>
        <w:t xml:space="preserve"> </w:t>
      </w:r>
      <w:r>
        <w:rPr>
          <w:color w:val="231F20"/>
          <w:w w:val="105"/>
        </w:rPr>
        <w:t>a</w:t>
      </w:r>
      <w:r>
        <w:rPr>
          <w:color w:val="231F20"/>
          <w:spacing w:val="-5"/>
          <w:w w:val="105"/>
        </w:rPr>
        <w:t xml:space="preserve"> </w:t>
      </w:r>
      <w:r>
        <w:rPr>
          <w:color w:val="231F20"/>
          <w:w w:val="105"/>
        </w:rPr>
        <w:t>result</w:t>
      </w:r>
      <w:r>
        <w:rPr>
          <w:color w:val="231F20"/>
          <w:spacing w:val="-5"/>
          <w:w w:val="105"/>
        </w:rPr>
        <w:t xml:space="preserve"> </w:t>
      </w:r>
      <w:r>
        <w:rPr>
          <w:color w:val="231F20"/>
          <w:w w:val="105"/>
        </w:rPr>
        <w:t>of</w:t>
      </w:r>
      <w:r>
        <w:rPr>
          <w:color w:val="231F20"/>
          <w:spacing w:val="-5"/>
          <w:w w:val="105"/>
        </w:rPr>
        <w:t xml:space="preserve"> </w:t>
      </w:r>
      <w:r>
        <w:rPr>
          <w:color w:val="231F20"/>
          <w:w w:val="105"/>
        </w:rPr>
        <w:t>this melee, and all four young arsonists remained in</w:t>
      </w:r>
      <w:r>
        <w:rPr>
          <w:color w:val="231F20"/>
          <w:spacing w:val="15"/>
          <w:w w:val="105"/>
        </w:rPr>
        <w:t xml:space="preserve"> </w:t>
      </w:r>
      <w:r>
        <w:rPr>
          <w:color w:val="231F20"/>
          <w:spacing w:val="-3"/>
          <w:w w:val="105"/>
        </w:rPr>
        <w:t>custody.</w:t>
      </w:r>
      <w:r>
        <w:rPr>
          <w:color w:val="231F20"/>
          <w:spacing w:val="-3"/>
          <w:w w:val="105"/>
          <w:position w:val="7"/>
          <w:sz w:val="11"/>
        </w:rPr>
        <w:t>10</w:t>
      </w:r>
    </w:p>
    <w:p w14:paraId="05980FBE" w14:textId="77777777" w:rsidR="002653E8" w:rsidRDefault="003115E3">
      <w:pPr>
        <w:pStyle w:val="a3"/>
        <w:spacing w:line="264" w:lineRule="auto"/>
        <w:ind w:left="1327" w:right="1146" w:firstLine="210"/>
        <w:jc w:val="both"/>
      </w:pPr>
      <w:r>
        <w:rPr>
          <w:color w:val="231F20"/>
        </w:rPr>
        <w:t>The next day, persons unknown lobbed three molotov cocktails into the Frankfurt courthouse.</w:t>
      </w:r>
      <w:r>
        <w:rPr>
          <w:color w:val="231F20"/>
          <w:position w:val="7"/>
          <w:sz w:val="11"/>
        </w:rPr>
        <w:t xml:space="preserve">11 </w:t>
      </w:r>
      <w:r>
        <w:rPr>
          <w:color w:val="231F20"/>
        </w:rPr>
        <w:t>Again, no one was hurt.</w:t>
      </w:r>
    </w:p>
    <w:p w14:paraId="35A0B29B" w14:textId="77777777" w:rsidR="002653E8" w:rsidRDefault="003115E3">
      <w:pPr>
        <w:pStyle w:val="a3"/>
        <w:spacing w:line="264" w:lineRule="auto"/>
        <w:ind w:left="1328" w:right="1145" w:firstLine="210"/>
        <w:jc w:val="both"/>
      </w:pPr>
      <w:r>
        <w:rPr>
          <w:color w:val="231F20"/>
        </w:rPr>
        <w:t xml:space="preserve">The arsonists had been represented by Horst Mahler, whom  the  state failed to have disbarred just days after this defeat, in the hear ings which would provoke the aforementioned Battle of </w:t>
      </w:r>
      <w:r>
        <w:rPr>
          <w:color w:val="231F20"/>
          <w:spacing w:val="-3"/>
        </w:rPr>
        <w:t xml:space="preserve">Tegeler Weg. </w:t>
      </w:r>
      <w:r>
        <w:rPr>
          <w:color w:val="231F20"/>
        </w:rPr>
        <w:t xml:space="preserve">The four would not be able to participate in that historic rout of the </w:t>
      </w:r>
      <w:r>
        <w:rPr>
          <w:color w:val="231F20"/>
          <w:spacing w:val="-3"/>
        </w:rPr>
        <w:t xml:space="preserve">West </w:t>
      </w:r>
      <w:r>
        <w:rPr>
          <w:color w:val="231F20"/>
        </w:rPr>
        <w:t>Berlin police: despite appealing their sentence, they remained imprisoned</w:t>
      </w:r>
      <w:r>
        <w:rPr>
          <w:color w:val="231F20"/>
          <w:spacing w:val="36"/>
        </w:rPr>
        <w:t xml:space="preserve"> </w:t>
      </w:r>
      <w:r>
        <w:rPr>
          <w:color w:val="231F20"/>
        </w:rPr>
        <w:t>until</w:t>
      </w:r>
      <w:r>
        <w:rPr>
          <w:color w:val="231F20"/>
          <w:spacing w:val="36"/>
        </w:rPr>
        <w:t xml:space="preserve"> </w:t>
      </w:r>
      <w:r>
        <w:rPr>
          <w:color w:val="231F20"/>
        </w:rPr>
        <w:t>June</w:t>
      </w:r>
      <w:r>
        <w:rPr>
          <w:color w:val="231F20"/>
          <w:spacing w:val="36"/>
        </w:rPr>
        <w:t xml:space="preserve"> </w:t>
      </w:r>
      <w:r>
        <w:rPr>
          <w:color w:val="231F20"/>
        </w:rPr>
        <w:t>of</w:t>
      </w:r>
      <w:r>
        <w:rPr>
          <w:color w:val="231F20"/>
          <w:spacing w:val="36"/>
        </w:rPr>
        <w:t xml:space="preserve"> </w:t>
      </w:r>
      <w:r>
        <w:rPr>
          <w:color w:val="231F20"/>
          <w:spacing w:val="-4"/>
        </w:rPr>
        <w:t>1969.</w:t>
      </w:r>
      <w:r>
        <w:rPr>
          <w:color w:val="231F20"/>
          <w:spacing w:val="-3"/>
        </w:rPr>
        <w:t xml:space="preserve"> </w:t>
      </w:r>
      <w:r>
        <w:rPr>
          <w:color w:val="231F20"/>
        </w:rPr>
        <w:t>Only</w:t>
      </w:r>
      <w:r>
        <w:rPr>
          <w:color w:val="231F20"/>
          <w:spacing w:val="36"/>
        </w:rPr>
        <w:t xml:space="preserve"> </w:t>
      </w:r>
      <w:r>
        <w:rPr>
          <w:color w:val="231F20"/>
        </w:rPr>
        <w:t>then</w:t>
      </w:r>
      <w:r>
        <w:rPr>
          <w:color w:val="231F20"/>
          <w:spacing w:val="36"/>
        </w:rPr>
        <w:t xml:space="preserve"> </w:t>
      </w:r>
      <w:r>
        <w:rPr>
          <w:color w:val="231F20"/>
        </w:rPr>
        <w:t>were</w:t>
      </w:r>
      <w:r>
        <w:rPr>
          <w:color w:val="231F20"/>
          <w:spacing w:val="36"/>
        </w:rPr>
        <w:t xml:space="preserve"> </w:t>
      </w:r>
      <w:r>
        <w:rPr>
          <w:color w:val="231F20"/>
        </w:rPr>
        <w:t>they</w:t>
      </w:r>
      <w:r>
        <w:rPr>
          <w:color w:val="231F20"/>
          <w:spacing w:val="36"/>
        </w:rPr>
        <w:t xml:space="preserve"> </w:t>
      </w:r>
      <w:r>
        <w:rPr>
          <w:color w:val="231F20"/>
        </w:rPr>
        <w:t>finally</w:t>
      </w:r>
      <w:r>
        <w:rPr>
          <w:color w:val="231F20"/>
          <w:spacing w:val="36"/>
        </w:rPr>
        <w:t xml:space="preserve"> </w:t>
      </w:r>
      <w:r>
        <w:rPr>
          <w:color w:val="231F20"/>
        </w:rPr>
        <w:t>released</w:t>
      </w:r>
      <w:r>
        <w:rPr>
          <w:color w:val="231F20"/>
          <w:spacing w:val="36"/>
        </w:rPr>
        <w:t xml:space="preserve"> </w:t>
      </w:r>
      <w:r>
        <w:rPr>
          <w:color w:val="231F20"/>
        </w:rPr>
        <w:t>on</w:t>
      </w:r>
    </w:p>
    <w:p w14:paraId="70F0C231" w14:textId="77777777" w:rsidR="002653E8" w:rsidRDefault="00000000">
      <w:pPr>
        <w:pStyle w:val="a3"/>
        <w:spacing w:before="1"/>
        <w:rPr>
          <w:sz w:val="26"/>
        </w:rPr>
      </w:pPr>
      <w:r>
        <w:rPr>
          <w:noProof w:val="0"/>
        </w:rPr>
        <w:pict w14:anchorId="5DBE67A3">
          <v:line id="_x0000_s2644" style="position:absolute;z-index:2656;mso-wrap-distance-left:0;mso-wrap-distance-right:0;mso-position-horizontal-relative:page" from="66.4pt,17.55pt" to="138.4pt,17.55pt" strokecolor="#231f20" strokeweight=".5pt">
            <w10:wrap type="topAndBottom" anchorx="page"/>
          </v:line>
        </w:pict>
      </w:r>
    </w:p>
    <w:p w14:paraId="5F56C27E" w14:textId="77777777" w:rsidR="002653E8" w:rsidRDefault="003115E3">
      <w:pPr>
        <w:pStyle w:val="a4"/>
        <w:numPr>
          <w:ilvl w:val="0"/>
          <w:numId w:val="31"/>
        </w:numPr>
        <w:tabs>
          <w:tab w:val="left" w:pos="1467"/>
        </w:tabs>
        <w:spacing w:before="53"/>
        <w:ind w:firstLine="0"/>
        <w:rPr>
          <w:sz w:val="16"/>
        </w:rPr>
      </w:pPr>
      <w:r>
        <w:rPr>
          <w:color w:val="231F20"/>
          <w:w w:val="115"/>
          <w:sz w:val="16"/>
        </w:rPr>
        <w:t>Aust,</w:t>
      </w:r>
      <w:r>
        <w:rPr>
          <w:color w:val="231F20"/>
          <w:spacing w:val="3"/>
          <w:w w:val="115"/>
          <w:sz w:val="16"/>
        </w:rPr>
        <w:t xml:space="preserve"> </w:t>
      </w:r>
      <w:r>
        <w:rPr>
          <w:color w:val="231F20"/>
          <w:w w:val="115"/>
          <w:sz w:val="16"/>
        </w:rPr>
        <w:t>60.</w:t>
      </w:r>
    </w:p>
    <w:p w14:paraId="1E703CCF" w14:textId="77777777" w:rsidR="002653E8" w:rsidRDefault="003115E3">
      <w:pPr>
        <w:pStyle w:val="a4"/>
        <w:numPr>
          <w:ilvl w:val="0"/>
          <w:numId w:val="31"/>
        </w:numPr>
        <w:tabs>
          <w:tab w:val="left" w:pos="1467"/>
        </w:tabs>
        <w:spacing w:before="51" w:line="254" w:lineRule="auto"/>
        <w:ind w:right="1155" w:firstLine="0"/>
        <w:rPr>
          <w:sz w:val="16"/>
        </w:rPr>
      </w:pPr>
      <w:r w:rsidRPr="00C507A5">
        <w:rPr>
          <w:color w:val="231F20"/>
          <w:w w:val="105"/>
          <w:sz w:val="16"/>
          <w:lang w:val="de-DE"/>
        </w:rPr>
        <w:t xml:space="preserve">Andreas Elter “Die </w:t>
      </w:r>
      <w:r w:rsidR="00C507A5" w:rsidRPr="00C507A5">
        <w:rPr>
          <w:color w:val="231F20"/>
          <w:spacing w:val="3"/>
          <w:w w:val="105"/>
          <w:sz w:val="16"/>
          <w:lang w:val="de-DE"/>
        </w:rPr>
        <w:t>red army faction</w:t>
      </w:r>
      <w:r w:rsidRPr="00C507A5">
        <w:rPr>
          <w:color w:val="231F20"/>
          <w:spacing w:val="3"/>
          <w:w w:val="105"/>
          <w:sz w:val="16"/>
          <w:lang w:val="de-DE"/>
        </w:rPr>
        <w:t xml:space="preserve"> </w:t>
      </w:r>
      <w:r w:rsidRPr="00C507A5">
        <w:rPr>
          <w:color w:val="231F20"/>
          <w:w w:val="105"/>
          <w:sz w:val="16"/>
          <w:lang w:val="de-DE"/>
        </w:rPr>
        <w:t xml:space="preserve">und die Medien: Ein Fallbeispiel </w:t>
      </w:r>
      <w:r w:rsidRPr="00C507A5">
        <w:rPr>
          <w:color w:val="231F20"/>
          <w:spacing w:val="2"/>
          <w:w w:val="105"/>
          <w:sz w:val="16"/>
          <w:lang w:val="de-DE"/>
        </w:rPr>
        <w:t xml:space="preserve">für </w:t>
      </w:r>
      <w:r w:rsidRPr="00C507A5">
        <w:rPr>
          <w:color w:val="231F20"/>
          <w:w w:val="105"/>
          <w:sz w:val="16"/>
          <w:lang w:val="de-DE"/>
        </w:rPr>
        <w:t xml:space="preserve">terroristische Kommunikation,” </w:t>
      </w:r>
      <w:r w:rsidRPr="00C507A5">
        <w:rPr>
          <w:i/>
          <w:color w:val="231F20"/>
          <w:w w:val="105"/>
          <w:sz w:val="16"/>
          <w:lang w:val="de-DE"/>
        </w:rPr>
        <w:t xml:space="preserve">Bundeszentrale für politische Bildung </w:t>
      </w:r>
      <w:r w:rsidRPr="00C507A5">
        <w:rPr>
          <w:color w:val="231F20"/>
          <w:w w:val="105"/>
          <w:sz w:val="16"/>
          <w:lang w:val="de-DE"/>
        </w:rPr>
        <w:t xml:space="preserve">[online], August 20, 2007. </w:t>
      </w:r>
      <w:r>
        <w:rPr>
          <w:color w:val="231F20"/>
          <w:w w:val="105"/>
          <w:sz w:val="16"/>
        </w:rPr>
        <w:t>Brecht, the famous communist playwright, had stated that “Small timers rob banks, professionals own</w:t>
      </w:r>
      <w:r>
        <w:rPr>
          <w:color w:val="231F20"/>
          <w:spacing w:val="15"/>
          <w:w w:val="105"/>
          <w:sz w:val="16"/>
        </w:rPr>
        <w:t xml:space="preserve"> </w:t>
      </w:r>
      <w:r>
        <w:rPr>
          <w:color w:val="231F20"/>
          <w:w w:val="105"/>
          <w:sz w:val="16"/>
        </w:rPr>
        <w:t>them.”</w:t>
      </w:r>
    </w:p>
    <w:p w14:paraId="52D98D4A" w14:textId="77777777" w:rsidR="002653E8" w:rsidRDefault="003115E3">
      <w:pPr>
        <w:spacing w:before="42"/>
        <w:ind w:left="1327"/>
        <w:rPr>
          <w:sz w:val="16"/>
        </w:rPr>
      </w:pPr>
      <w:r>
        <w:rPr>
          <w:color w:val="231F20"/>
          <w:w w:val="110"/>
          <w:sz w:val="16"/>
        </w:rPr>
        <w:t>8 Aust, 51-2.</w:t>
      </w:r>
    </w:p>
    <w:p w14:paraId="7F0E43A5" w14:textId="77777777" w:rsidR="002653E8" w:rsidRDefault="003115E3">
      <w:pPr>
        <w:pStyle w:val="a4"/>
        <w:numPr>
          <w:ilvl w:val="0"/>
          <w:numId w:val="176"/>
        </w:numPr>
        <w:tabs>
          <w:tab w:val="left" w:pos="1467"/>
        </w:tabs>
        <w:spacing w:before="52" w:line="254" w:lineRule="auto"/>
        <w:ind w:right="1248" w:firstLine="0"/>
        <w:rPr>
          <w:sz w:val="16"/>
        </w:rPr>
      </w:pPr>
      <w:r>
        <w:rPr>
          <w:color w:val="231F20"/>
          <w:w w:val="105"/>
          <w:sz w:val="16"/>
        </w:rPr>
        <w:t xml:space="preserve">A law student at the University of </w:t>
      </w:r>
      <w:r>
        <w:rPr>
          <w:color w:val="231F20"/>
          <w:spacing w:val="1"/>
          <w:w w:val="105"/>
          <w:sz w:val="16"/>
        </w:rPr>
        <w:t xml:space="preserve">Frankfurt, </w:t>
      </w:r>
      <w:r>
        <w:rPr>
          <w:color w:val="231F20"/>
          <w:w w:val="105"/>
          <w:sz w:val="16"/>
        </w:rPr>
        <w:t xml:space="preserve">“Danny the Red” had been barred from France in 1968 for his symbolic leadership role in the May events of that year (it was his expulsion which had provoked students to occupy Nanterre University). </w:t>
      </w:r>
      <w:r>
        <w:rPr>
          <w:color w:val="231F20"/>
          <w:spacing w:val="-4"/>
          <w:w w:val="105"/>
          <w:sz w:val="16"/>
        </w:rPr>
        <w:t xml:space="preserve">Today, </w:t>
      </w:r>
      <w:r>
        <w:rPr>
          <w:color w:val="231F20"/>
          <w:w w:val="105"/>
          <w:sz w:val="16"/>
        </w:rPr>
        <w:t xml:space="preserve">a respectable politician in the German Green Party, in 1969, he was (in) famous around the world, the very personification of anarchist student revolt. </w:t>
      </w:r>
      <w:r>
        <w:rPr>
          <w:color w:val="231F20"/>
          <w:spacing w:val="1"/>
          <w:w w:val="105"/>
          <w:sz w:val="16"/>
        </w:rPr>
        <w:t>As</w:t>
      </w:r>
      <w:r>
        <w:rPr>
          <w:color w:val="231F20"/>
          <w:spacing w:val="40"/>
          <w:w w:val="105"/>
          <w:sz w:val="16"/>
        </w:rPr>
        <w:t xml:space="preserve"> </w:t>
      </w:r>
      <w:r>
        <w:rPr>
          <w:color w:val="231F20"/>
          <w:w w:val="105"/>
          <w:sz w:val="16"/>
        </w:rPr>
        <w:t>we shall see in Section 11, (Meanwhile, Elsewhere on the Left…), he would play an important</w:t>
      </w:r>
      <w:r>
        <w:rPr>
          <w:color w:val="231F20"/>
          <w:spacing w:val="5"/>
          <w:w w:val="105"/>
          <w:sz w:val="16"/>
        </w:rPr>
        <w:t xml:space="preserve"> </w:t>
      </w:r>
      <w:r>
        <w:rPr>
          <w:color w:val="231F20"/>
          <w:w w:val="105"/>
          <w:sz w:val="16"/>
        </w:rPr>
        <w:t>role</w:t>
      </w:r>
      <w:r>
        <w:rPr>
          <w:color w:val="231F20"/>
          <w:spacing w:val="5"/>
          <w:w w:val="105"/>
          <w:sz w:val="16"/>
        </w:rPr>
        <w:t xml:space="preserve"> </w:t>
      </w:r>
      <w:r>
        <w:rPr>
          <w:color w:val="231F20"/>
          <w:w w:val="105"/>
          <w:sz w:val="16"/>
        </w:rPr>
        <w:t>in</w:t>
      </w:r>
      <w:r>
        <w:rPr>
          <w:color w:val="231F20"/>
          <w:spacing w:val="5"/>
          <w:w w:val="105"/>
          <w:sz w:val="16"/>
        </w:rPr>
        <w:t xml:space="preserve"> </w:t>
      </w:r>
      <w:r>
        <w:rPr>
          <w:color w:val="231F20"/>
          <w:w w:val="105"/>
          <w:sz w:val="16"/>
        </w:rPr>
        <w:t>deradicalizing</w:t>
      </w:r>
      <w:r>
        <w:rPr>
          <w:color w:val="231F20"/>
          <w:spacing w:val="5"/>
          <w:w w:val="105"/>
          <w:sz w:val="16"/>
        </w:rPr>
        <w:t xml:space="preserve"> </w:t>
      </w:r>
      <w:r>
        <w:rPr>
          <w:color w:val="231F20"/>
          <w:w w:val="105"/>
          <w:sz w:val="16"/>
        </w:rPr>
        <w:t>a</w:t>
      </w:r>
      <w:r>
        <w:rPr>
          <w:color w:val="231F20"/>
          <w:spacing w:val="5"/>
          <w:w w:val="105"/>
          <w:sz w:val="16"/>
        </w:rPr>
        <w:t xml:space="preserve"> </w:t>
      </w:r>
      <w:r>
        <w:rPr>
          <w:color w:val="231F20"/>
          <w:w w:val="105"/>
          <w:sz w:val="16"/>
        </w:rPr>
        <w:t>section</w:t>
      </w:r>
      <w:r>
        <w:rPr>
          <w:color w:val="231F20"/>
          <w:spacing w:val="5"/>
          <w:w w:val="105"/>
          <w:sz w:val="16"/>
        </w:rPr>
        <w:t xml:space="preserve"> </w:t>
      </w:r>
      <w:r>
        <w:rPr>
          <w:color w:val="231F20"/>
          <w:w w:val="105"/>
          <w:sz w:val="16"/>
        </w:rPr>
        <w:t>of</w:t>
      </w:r>
      <w:r>
        <w:rPr>
          <w:color w:val="231F20"/>
          <w:spacing w:val="5"/>
          <w:w w:val="105"/>
          <w:sz w:val="16"/>
        </w:rPr>
        <w:t xml:space="preserve"> </w:t>
      </w:r>
      <w:r>
        <w:rPr>
          <w:color w:val="231F20"/>
          <w:w w:val="105"/>
          <w:sz w:val="16"/>
        </w:rPr>
        <w:t>the</w:t>
      </w:r>
      <w:r>
        <w:rPr>
          <w:color w:val="231F20"/>
          <w:spacing w:val="5"/>
          <w:w w:val="105"/>
          <w:sz w:val="16"/>
        </w:rPr>
        <w:t xml:space="preserve"> </w:t>
      </w:r>
      <w:r>
        <w:rPr>
          <w:color w:val="231F20"/>
          <w:w w:val="105"/>
          <w:sz w:val="16"/>
        </w:rPr>
        <w:t>movement</w:t>
      </w:r>
      <w:r>
        <w:rPr>
          <w:color w:val="231F20"/>
          <w:spacing w:val="5"/>
          <w:w w:val="105"/>
          <w:sz w:val="16"/>
        </w:rPr>
        <w:t xml:space="preserve"> </w:t>
      </w:r>
      <w:r>
        <w:rPr>
          <w:color w:val="231F20"/>
          <w:w w:val="105"/>
          <w:sz w:val="16"/>
        </w:rPr>
        <w:t>in</w:t>
      </w:r>
      <w:r>
        <w:rPr>
          <w:color w:val="231F20"/>
          <w:spacing w:val="5"/>
          <w:w w:val="105"/>
          <w:sz w:val="16"/>
        </w:rPr>
        <w:t xml:space="preserve"> </w:t>
      </w:r>
      <w:r>
        <w:rPr>
          <w:color w:val="231F20"/>
          <w:w w:val="105"/>
          <w:sz w:val="16"/>
        </w:rPr>
        <w:t>the</w:t>
      </w:r>
      <w:r>
        <w:rPr>
          <w:color w:val="231F20"/>
          <w:spacing w:val="5"/>
          <w:w w:val="105"/>
          <w:sz w:val="16"/>
        </w:rPr>
        <w:t xml:space="preserve"> </w:t>
      </w:r>
      <w:r>
        <w:rPr>
          <w:color w:val="231F20"/>
          <w:w w:val="105"/>
          <w:sz w:val="16"/>
        </w:rPr>
        <w:t>mid-seventies.</w:t>
      </w:r>
    </w:p>
    <w:p w14:paraId="61460321" w14:textId="77777777" w:rsidR="002653E8" w:rsidRDefault="003115E3">
      <w:pPr>
        <w:pStyle w:val="a4"/>
        <w:numPr>
          <w:ilvl w:val="0"/>
          <w:numId w:val="176"/>
        </w:numPr>
        <w:tabs>
          <w:tab w:val="left" w:pos="1555"/>
        </w:tabs>
        <w:spacing w:before="42" w:line="254" w:lineRule="auto"/>
        <w:ind w:right="1343" w:firstLine="0"/>
        <w:rPr>
          <w:sz w:val="16"/>
        </w:rPr>
      </w:pPr>
      <w:r>
        <w:rPr>
          <w:color w:val="231F20"/>
          <w:w w:val="110"/>
          <w:sz w:val="16"/>
        </w:rPr>
        <w:t xml:space="preserve">Associated Press, “Cohn-Bendit Jailed; </w:t>
      </w:r>
      <w:r>
        <w:rPr>
          <w:color w:val="231F20"/>
          <w:spacing w:val="1"/>
          <w:w w:val="110"/>
          <w:sz w:val="16"/>
        </w:rPr>
        <w:t xml:space="preserve">Court </w:t>
      </w:r>
      <w:r>
        <w:rPr>
          <w:color w:val="231F20"/>
          <w:w w:val="110"/>
          <w:sz w:val="16"/>
        </w:rPr>
        <w:t xml:space="preserve">Brawl Follows,” </w:t>
      </w:r>
      <w:r>
        <w:rPr>
          <w:i/>
          <w:color w:val="231F20"/>
          <w:w w:val="110"/>
          <w:sz w:val="16"/>
        </w:rPr>
        <w:t xml:space="preserve">European Stars </w:t>
      </w:r>
      <w:r>
        <w:rPr>
          <w:i/>
          <w:color w:val="231F20"/>
          <w:spacing w:val="1"/>
          <w:w w:val="110"/>
          <w:sz w:val="16"/>
        </w:rPr>
        <w:t xml:space="preserve">and </w:t>
      </w:r>
      <w:r>
        <w:rPr>
          <w:i/>
          <w:color w:val="231F20"/>
          <w:w w:val="110"/>
          <w:sz w:val="16"/>
        </w:rPr>
        <w:t xml:space="preserve">Stripes, </w:t>
      </w:r>
      <w:r>
        <w:rPr>
          <w:color w:val="231F20"/>
          <w:w w:val="110"/>
          <w:sz w:val="16"/>
        </w:rPr>
        <w:t>November 1,</w:t>
      </w:r>
      <w:r>
        <w:rPr>
          <w:color w:val="231F20"/>
          <w:spacing w:val="21"/>
          <w:w w:val="110"/>
          <w:sz w:val="16"/>
        </w:rPr>
        <w:t xml:space="preserve"> </w:t>
      </w:r>
      <w:r>
        <w:rPr>
          <w:color w:val="231F20"/>
          <w:spacing w:val="-3"/>
          <w:w w:val="110"/>
          <w:sz w:val="16"/>
        </w:rPr>
        <w:t>1968.</w:t>
      </w:r>
    </w:p>
    <w:p w14:paraId="55F3024C" w14:textId="77777777" w:rsidR="002653E8" w:rsidRDefault="003115E3">
      <w:pPr>
        <w:pStyle w:val="a4"/>
        <w:numPr>
          <w:ilvl w:val="0"/>
          <w:numId w:val="176"/>
        </w:numPr>
        <w:tabs>
          <w:tab w:val="left" w:pos="1553"/>
        </w:tabs>
        <w:ind w:left="1552" w:hanging="225"/>
        <w:rPr>
          <w:sz w:val="16"/>
        </w:rPr>
      </w:pPr>
      <w:r>
        <w:rPr>
          <w:i/>
          <w:color w:val="231F20"/>
          <w:w w:val="110"/>
          <w:sz w:val="16"/>
        </w:rPr>
        <w:t>European</w:t>
      </w:r>
      <w:r>
        <w:rPr>
          <w:i/>
          <w:color w:val="231F20"/>
          <w:spacing w:val="5"/>
          <w:w w:val="110"/>
          <w:sz w:val="16"/>
        </w:rPr>
        <w:t xml:space="preserve"> </w:t>
      </w:r>
      <w:r>
        <w:rPr>
          <w:i/>
          <w:color w:val="231F20"/>
          <w:w w:val="110"/>
          <w:sz w:val="16"/>
        </w:rPr>
        <w:t>Stars</w:t>
      </w:r>
      <w:r>
        <w:rPr>
          <w:i/>
          <w:color w:val="231F20"/>
          <w:spacing w:val="5"/>
          <w:w w:val="110"/>
          <w:sz w:val="16"/>
        </w:rPr>
        <w:t xml:space="preserve"> </w:t>
      </w:r>
      <w:r>
        <w:rPr>
          <w:i/>
          <w:color w:val="231F20"/>
          <w:spacing w:val="1"/>
          <w:w w:val="110"/>
          <w:sz w:val="16"/>
        </w:rPr>
        <w:t>and</w:t>
      </w:r>
      <w:r>
        <w:rPr>
          <w:i/>
          <w:color w:val="231F20"/>
          <w:spacing w:val="5"/>
          <w:w w:val="110"/>
          <w:sz w:val="16"/>
        </w:rPr>
        <w:t xml:space="preserve"> </w:t>
      </w:r>
      <w:r>
        <w:rPr>
          <w:i/>
          <w:color w:val="231F20"/>
          <w:w w:val="110"/>
          <w:sz w:val="16"/>
        </w:rPr>
        <w:t>Stripes,</w:t>
      </w:r>
      <w:r>
        <w:rPr>
          <w:i/>
          <w:color w:val="231F20"/>
          <w:spacing w:val="6"/>
          <w:w w:val="110"/>
          <w:sz w:val="16"/>
        </w:rPr>
        <w:t xml:space="preserve"> </w:t>
      </w:r>
      <w:r>
        <w:rPr>
          <w:color w:val="231F20"/>
          <w:w w:val="110"/>
          <w:sz w:val="16"/>
        </w:rPr>
        <w:t>“New</w:t>
      </w:r>
      <w:r>
        <w:rPr>
          <w:color w:val="231F20"/>
          <w:spacing w:val="5"/>
          <w:w w:val="110"/>
          <w:sz w:val="16"/>
        </w:rPr>
        <w:t xml:space="preserve"> </w:t>
      </w:r>
      <w:r>
        <w:rPr>
          <w:color w:val="231F20"/>
          <w:w w:val="110"/>
          <w:sz w:val="16"/>
        </w:rPr>
        <w:t>Violence</w:t>
      </w:r>
      <w:r>
        <w:rPr>
          <w:color w:val="231F20"/>
          <w:spacing w:val="5"/>
          <w:w w:val="110"/>
          <w:sz w:val="16"/>
        </w:rPr>
        <w:t xml:space="preserve"> </w:t>
      </w:r>
      <w:r>
        <w:rPr>
          <w:color w:val="231F20"/>
          <w:w w:val="110"/>
          <w:sz w:val="16"/>
        </w:rPr>
        <w:t>Hits</w:t>
      </w:r>
      <w:r>
        <w:rPr>
          <w:color w:val="231F20"/>
          <w:spacing w:val="5"/>
          <w:w w:val="110"/>
          <w:sz w:val="16"/>
        </w:rPr>
        <w:t xml:space="preserve"> </w:t>
      </w:r>
      <w:r>
        <w:rPr>
          <w:color w:val="231F20"/>
          <w:w w:val="110"/>
          <w:sz w:val="16"/>
        </w:rPr>
        <w:t>Frankfurt,”</w:t>
      </w:r>
      <w:r>
        <w:rPr>
          <w:color w:val="231F20"/>
          <w:spacing w:val="5"/>
          <w:w w:val="110"/>
          <w:sz w:val="16"/>
        </w:rPr>
        <w:t xml:space="preserve"> </w:t>
      </w:r>
      <w:r>
        <w:rPr>
          <w:color w:val="231F20"/>
          <w:w w:val="110"/>
          <w:sz w:val="16"/>
        </w:rPr>
        <w:t>November</w:t>
      </w:r>
      <w:r>
        <w:rPr>
          <w:color w:val="231F20"/>
          <w:spacing w:val="6"/>
          <w:w w:val="110"/>
          <w:sz w:val="16"/>
        </w:rPr>
        <w:t xml:space="preserve"> </w:t>
      </w:r>
      <w:r>
        <w:rPr>
          <w:color w:val="231F20"/>
          <w:w w:val="110"/>
          <w:sz w:val="16"/>
        </w:rPr>
        <w:t>2,</w:t>
      </w:r>
      <w:r>
        <w:rPr>
          <w:color w:val="231F20"/>
          <w:spacing w:val="5"/>
          <w:w w:val="110"/>
          <w:sz w:val="16"/>
        </w:rPr>
        <w:t xml:space="preserve"> </w:t>
      </w:r>
      <w:r>
        <w:rPr>
          <w:color w:val="231F20"/>
          <w:spacing w:val="-3"/>
          <w:w w:val="110"/>
          <w:sz w:val="16"/>
        </w:rPr>
        <w:t>1968.</w:t>
      </w:r>
    </w:p>
    <w:p w14:paraId="66ABFA5E" w14:textId="77777777" w:rsidR="002653E8" w:rsidRDefault="002653E8">
      <w:pPr>
        <w:rPr>
          <w:sz w:val="16"/>
        </w:rPr>
        <w:sectPr w:rsidR="002653E8">
          <w:pgSz w:w="8640" w:h="12960"/>
          <w:pgMar w:top="1060" w:right="0" w:bottom="1040" w:left="0" w:header="0" w:footer="850" w:gutter="0"/>
          <w:cols w:space="720"/>
        </w:sectPr>
      </w:pPr>
    </w:p>
    <w:p w14:paraId="6EB0E367" w14:textId="77777777" w:rsidR="002653E8" w:rsidRDefault="003115E3">
      <w:pPr>
        <w:pStyle w:val="a3"/>
        <w:spacing w:before="86" w:line="264" w:lineRule="auto"/>
        <w:ind w:left="1147" w:right="1327"/>
        <w:jc w:val="both"/>
      </w:pPr>
      <w:r>
        <w:rPr>
          <w:color w:val="231F20"/>
        </w:rPr>
        <w:lastRenderedPageBreak/>
        <w:t>their own recognizance until such a time as the court finally reached    its</w:t>
      </w:r>
      <w:r>
        <w:rPr>
          <w:color w:val="231F20"/>
          <w:spacing w:val="10"/>
        </w:rPr>
        <w:t xml:space="preserve"> </w:t>
      </w:r>
      <w:r>
        <w:rPr>
          <w:color w:val="231F20"/>
        </w:rPr>
        <w:t>decision.</w:t>
      </w:r>
    </w:p>
    <w:p w14:paraId="1310DEE8" w14:textId="77777777" w:rsidR="002653E8" w:rsidRDefault="003115E3">
      <w:pPr>
        <w:pStyle w:val="a3"/>
        <w:spacing w:line="264" w:lineRule="auto"/>
        <w:ind w:left="1147" w:right="1326" w:firstLine="210"/>
        <w:jc w:val="both"/>
      </w:pPr>
      <w:r>
        <w:rPr>
          <w:color w:val="231F20"/>
        </w:rPr>
        <w:t>As the summer of 69 turned to fall and the court continued to deliberate, the newly released Ensslin, Baader, and Proll would busy themselves working in the “apprentices’ collectives” scene. These collectives consisted</w:t>
      </w:r>
      <w:r>
        <w:rPr>
          <w:color w:val="231F20"/>
          <w:spacing w:val="-3"/>
        </w:rPr>
        <w:t xml:space="preserve"> </w:t>
      </w:r>
      <w:r>
        <w:rPr>
          <w:color w:val="231F20"/>
        </w:rPr>
        <w:t>of</w:t>
      </w:r>
      <w:r>
        <w:rPr>
          <w:color w:val="231F20"/>
          <w:spacing w:val="-3"/>
        </w:rPr>
        <w:t xml:space="preserve"> </w:t>
      </w:r>
      <w:r>
        <w:rPr>
          <w:color w:val="231F20"/>
        </w:rPr>
        <w:t>young</w:t>
      </w:r>
      <w:r>
        <w:rPr>
          <w:color w:val="231F20"/>
          <w:spacing w:val="-3"/>
        </w:rPr>
        <w:t xml:space="preserve"> </w:t>
      </w:r>
      <w:r>
        <w:rPr>
          <w:color w:val="231F20"/>
        </w:rPr>
        <w:t>runaways</w:t>
      </w:r>
      <w:r>
        <w:rPr>
          <w:color w:val="231F20"/>
          <w:spacing w:val="-3"/>
        </w:rPr>
        <w:t xml:space="preserve"> </w:t>
      </w:r>
      <w:r>
        <w:rPr>
          <w:color w:val="231F20"/>
        </w:rPr>
        <w:t>from</w:t>
      </w:r>
      <w:r>
        <w:rPr>
          <w:color w:val="231F20"/>
          <w:spacing w:val="-3"/>
        </w:rPr>
        <w:t xml:space="preserve"> </w:t>
      </w:r>
      <w:r>
        <w:rPr>
          <w:color w:val="231F20"/>
        </w:rPr>
        <w:t>state</w:t>
      </w:r>
      <w:r>
        <w:rPr>
          <w:color w:val="231F20"/>
          <w:spacing w:val="-3"/>
        </w:rPr>
        <w:t xml:space="preserve"> </w:t>
      </w:r>
      <w:r>
        <w:rPr>
          <w:color w:val="231F20"/>
        </w:rPr>
        <w:t>homes,</w:t>
      </w:r>
      <w:r>
        <w:rPr>
          <w:color w:val="231F20"/>
          <w:spacing w:val="-3"/>
        </w:rPr>
        <w:t xml:space="preserve"> </w:t>
      </w:r>
      <w:r>
        <w:rPr>
          <w:color w:val="231F20"/>
        </w:rPr>
        <w:t>and</w:t>
      </w:r>
      <w:r>
        <w:rPr>
          <w:color w:val="231F20"/>
          <w:spacing w:val="-3"/>
        </w:rPr>
        <w:t xml:space="preserve"> </w:t>
      </w:r>
      <w:r>
        <w:rPr>
          <w:color w:val="231F20"/>
        </w:rPr>
        <w:t>were</w:t>
      </w:r>
      <w:r>
        <w:rPr>
          <w:color w:val="231F20"/>
          <w:spacing w:val="-3"/>
        </w:rPr>
        <w:t xml:space="preserve"> </w:t>
      </w:r>
      <w:r>
        <w:rPr>
          <w:color w:val="231F20"/>
        </w:rPr>
        <w:t>at</w:t>
      </w:r>
      <w:r>
        <w:rPr>
          <w:color w:val="231F20"/>
          <w:spacing w:val="-3"/>
        </w:rPr>
        <w:t xml:space="preserve"> </w:t>
      </w:r>
      <w:r>
        <w:rPr>
          <w:color w:val="231F20"/>
        </w:rPr>
        <w:t>the</w:t>
      </w:r>
      <w:r>
        <w:rPr>
          <w:color w:val="231F20"/>
          <w:spacing w:val="-3"/>
        </w:rPr>
        <w:t xml:space="preserve"> </w:t>
      </w:r>
      <w:r>
        <w:rPr>
          <w:color w:val="231F20"/>
        </w:rPr>
        <w:t>time</w:t>
      </w:r>
      <w:r>
        <w:rPr>
          <w:color w:val="231F20"/>
          <w:spacing w:val="-3"/>
        </w:rPr>
        <w:t xml:space="preserve"> </w:t>
      </w:r>
      <w:r>
        <w:rPr>
          <w:color w:val="231F20"/>
        </w:rPr>
        <w:t>the object of political campaigning from the disintegrating APO. As Astrid Proll would</w:t>
      </w:r>
      <w:r>
        <w:rPr>
          <w:color w:val="231F20"/>
          <w:spacing w:val="21"/>
        </w:rPr>
        <w:t xml:space="preserve"> </w:t>
      </w:r>
      <w:r>
        <w:rPr>
          <w:color w:val="231F20"/>
        </w:rPr>
        <w:t>recall:</w:t>
      </w:r>
    </w:p>
    <w:p w14:paraId="094420C2" w14:textId="77777777" w:rsidR="002653E8" w:rsidRDefault="003115E3">
      <w:pPr>
        <w:spacing w:before="120" w:line="276" w:lineRule="auto"/>
        <w:ind w:left="1567" w:right="1739"/>
        <w:jc w:val="both"/>
        <w:rPr>
          <w:i/>
          <w:sz w:val="11"/>
        </w:rPr>
      </w:pPr>
      <w:r>
        <w:rPr>
          <w:i/>
          <w:color w:val="231F20"/>
          <w:w w:val="105"/>
          <w:sz w:val="19"/>
        </w:rPr>
        <w:t>When Andreas Baader and Gudrun Ensslin were released from custody</w:t>
      </w:r>
      <w:r>
        <w:rPr>
          <w:i/>
          <w:color w:val="231F20"/>
          <w:spacing w:val="-4"/>
          <w:w w:val="105"/>
          <w:sz w:val="19"/>
        </w:rPr>
        <w:t xml:space="preserve"> </w:t>
      </w:r>
      <w:r>
        <w:rPr>
          <w:i/>
          <w:color w:val="231F20"/>
          <w:w w:val="105"/>
          <w:sz w:val="19"/>
        </w:rPr>
        <w:t>they</w:t>
      </w:r>
      <w:r>
        <w:rPr>
          <w:i/>
          <w:color w:val="231F20"/>
          <w:spacing w:val="-4"/>
          <w:w w:val="105"/>
          <w:sz w:val="19"/>
        </w:rPr>
        <w:t xml:space="preserve"> </w:t>
      </w:r>
      <w:r>
        <w:rPr>
          <w:i/>
          <w:color w:val="231F20"/>
          <w:w w:val="105"/>
          <w:sz w:val="19"/>
        </w:rPr>
        <w:t>knew</w:t>
      </w:r>
      <w:r>
        <w:rPr>
          <w:i/>
          <w:color w:val="231F20"/>
          <w:spacing w:val="-4"/>
          <w:w w:val="105"/>
          <w:sz w:val="19"/>
        </w:rPr>
        <w:t xml:space="preserve"> </w:t>
      </w:r>
      <w:r>
        <w:rPr>
          <w:i/>
          <w:color w:val="231F20"/>
          <w:w w:val="105"/>
          <w:sz w:val="19"/>
        </w:rPr>
        <w:t>exactly</w:t>
      </w:r>
      <w:r>
        <w:rPr>
          <w:i/>
          <w:color w:val="231F20"/>
          <w:spacing w:val="-4"/>
          <w:w w:val="105"/>
          <w:sz w:val="19"/>
        </w:rPr>
        <w:t xml:space="preserve"> </w:t>
      </w:r>
      <w:r>
        <w:rPr>
          <w:i/>
          <w:color w:val="231F20"/>
          <w:w w:val="105"/>
          <w:sz w:val="19"/>
        </w:rPr>
        <w:t>what</w:t>
      </w:r>
      <w:r>
        <w:rPr>
          <w:i/>
          <w:color w:val="231F20"/>
          <w:spacing w:val="-4"/>
          <w:w w:val="105"/>
          <w:sz w:val="19"/>
        </w:rPr>
        <w:t xml:space="preserve"> </w:t>
      </w:r>
      <w:r>
        <w:rPr>
          <w:i/>
          <w:color w:val="231F20"/>
          <w:w w:val="105"/>
          <w:sz w:val="19"/>
        </w:rPr>
        <w:t>they</w:t>
      </w:r>
      <w:r>
        <w:rPr>
          <w:i/>
          <w:color w:val="231F20"/>
          <w:spacing w:val="-4"/>
          <w:w w:val="105"/>
          <w:sz w:val="19"/>
        </w:rPr>
        <w:t xml:space="preserve"> </w:t>
      </w:r>
      <w:r>
        <w:rPr>
          <w:i/>
          <w:color w:val="231F20"/>
          <w:w w:val="105"/>
          <w:sz w:val="19"/>
        </w:rPr>
        <w:t>wanted.</w:t>
      </w:r>
      <w:r>
        <w:rPr>
          <w:i/>
          <w:color w:val="231F20"/>
          <w:spacing w:val="-9"/>
          <w:w w:val="105"/>
          <w:sz w:val="19"/>
        </w:rPr>
        <w:t xml:space="preserve"> </w:t>
      </w:r>
      <w:r>
        <w:rPr>
          <w:i/>
          <w:color w:val="231F20"/>
          <w:w w:val="105"/>
          <w:sz w:val="19"/>
        </w:rPr>
        <w:t>Unlike</w:t>
      </w:r>
      <w:r>
        <w:rPr>
          <w:i/>
          <w:color w:val="231F20"/>
          <w:spacing w:val="-4"/>
          <w:w w:val="105"/>
          <w:sz w:val="19"/>
        </w:rPr>
        <w:t xml:space="preserve"> </w:t>
      </w:r>
      <w:r>
        <w:rPr>
          <w:i/>
          <w:color w:val="231F20"/>
          <w:w w:val="105"/>
          <w:sz w:val="19"/>
        </w:rPr>
        <w:t>the</w:t>
      </w:r>
      <w:r>
        <w:rPr>
          <w:i/>
          <w:color w:val="231F20"/>
          <w:spacing w:val="-4"/>
          <w:w w:val="105"/>
          <w:sz w:val="19"/>
        </w:rPr>
        <w:t xml:space="preserve"> </w:t>
      </w:r>
      <w:r>
        <w:rPr>
          <w:i/>
          <w:color w:val="231F20"/>
          <w:w w:val="105"/>
          <w:sz w:val="19"/>
        </w:rPr>
        <w:t xml:space="preserve">drugged “communards” they radiated great clarity and resolve… Gudrun and Andreas launched a big campaign in Frankfurt against the authoritarian regimes in young offender institutions. </w:t>
      </w:r>
      <w:r>
        <w:rPr>
          <w:i/>
          <w:color w:val="231F20"/>
          <w:spacing w:val="-6"/>
          <w:w w:val="105"/>
          <w:sz w:val="19"/>
        </w:rPr>
        <w:t xml:space="preserve">We </w:t>
      </w:r>
      <w:r>
        <w:rPr>
          <w:i/>
          <w:color w:val="231F20"/>
          <w:w w:val="105"/>
          <w:sz w:val="19"/>
        </w:rPr>
        <w:t>lived with youths who had escaped from closed institutions, joined them in fighting for their rights, and managed to achieve some successes. Ulrike Meinhof, as a commited (sic), critical journalist, joined us and became friends with Gudrun and Andreas.</w:t>
      </w:r>
      <w:r>
        <w:rPr>
          <w:i/>
          <w:color w:val="231F20"/>
          <w:w w:val="105"/>
          <w:position w:val="6"/>
          <w:sz w:val="11"/>
        </w:rPr>
        <w:t>1</w:t>
      </w:r>
    </w:p>
    <w:p w14:paraId="15A967FA" w14:textId="77777777" w:rsidR="002653E8" w:rsidRDefault="003115E3">
      <w:pPr>
        <w:pStyle w:val="a3"/>
        <w:spacing w:before="135" w:line="264" w:lineRule="auto"/>
        <w:ind w:left="1147" w:right="1325"/>
        <w:jc w:val="both"/>
      </w:pPr>
      <w:r>
        <w:rPr>
          <w:color w:val="231F20"/>
          <w:spacing w:val="1"/>
        </w:rPr>
        <w:t xml:space="preserve">In </w:t>
      </w:r>
      <w:r>
        <w:rPr>
          <w:color w:val="231F20"/>
        </w:rPr>
        <w:t xml:space="preserve">November </w:t>
      </w:r>
      <w:r>
        <w:rPr>
          <w:color w:val="231F20"/>
          <w:spacing w:val="-4"/>
        </w:rPr>
        <w:t xml:space="preserve">1969, </w:t>
      </w:r>
      <w:r>
        <w:rPr>
          <w:color w:val="231F20"/>
        </w:rPr>
        <w:t>the court denied their appeal and ordered the four back to prison: only Söhnlein turned himself in. Ensslin and Baader went underground and set about establishing the contacts that would  be necessary for a prolonged campaign of armed struggle. Thorwald Proll was soon abandoned—he was not considered serious enough— but his sister Astrid joined</w:t>
      </w:r>
      <w:r>
        <w:rPr>
          <w:color w:val="231F20"/>
          <w:spacing w:val="10"/>
        </w:rPr>
        <w:t xml:space="preserve"> </w:t>
      </w:r>
      <w:r>
        <w:rPr>
          <w:color w:val="231F20"/>
        </w:rPr>
        <w:t>them.</w:t>
      </w:r>
    </w:p>
    <w:p w14:paraId="1F06AFD3" w14:textId="77777777" w:rsidR="002653E8" w:rsidRDefault="003115E3">
      <w:pPr>
        <w:pStyle w:val="a3"/>
        <w:spacing w:line="264" w:lineRule="auto"/>
        <w:ind w:left="1147" w:right="1325" w:firstLine="210"/>
        <w:jc w:val="both"/>
      </w:pPr>
      <w:r>
        <w:rPr>
          <w:color w:val="231F20"/>
        </w:rPr>
        <w:t xml:space="preserve">Over the next months, the fugitives would cross into France and Italy and back to </w:t>
      </w:r>
      <w:r>
        <w:rPr>
          <w:color w:val="231F20"/>
          <w:spacing w:val="-3"/>
        </w:rPr>
        <w:t xml:space="preserve">West </w:t>
      </w:r>
      <w:r>
        <w:rPr>
          <w:color w:val="231F20"/>
        </w:rPr>
        <w:t>Berlin again, laying the groundwork for the future organization. At this point, they resumed contact with their lawyer Horst Mahler,</w:t>
      </w:r>
      <w:r>
        <w:rPr>
          <w:color w:val="231F20"/>
          <w:position w:val="7"/>
          <w:sz w:val="11"/>
        </w:rPr>
        <w:t xml:space="preserve">2 </w:t>
      </w:r>
      <w:r>
        <w:rPr>
          <w:color w:val="231F20"/>
        </w:rPr>
        <w:t xml:space="preserve">who was still facing criminal charges stemming from the April </w:t>
      </w:r>
      <w:r>
        <w:rPr>
          <w:color w:val="231F20"/>
          <w:spacing w:val="-4"/>
        </w:rPr>
        <w:t xml:space="preserve">1968 </w:t>
      </w:r>
      <w:r>
        <w:rPr>
          <w:color w:val="231F20"/>
        </w:rPr>
        <w:t>revolt.</w:t>
      </w:r>
      <w:r>
        <w:rPr>
          <w:color w:val="231F20"/>
          <w:position w:val="7"/>
          <w:sz w:val="11"/>
        </w:rPr>
        <w:t xml:space="preserve">3 </w:t>
      </w:r>
      <w:r>
        <w:rPr>
          <w:color w:val="231F20"/>
        </w:rPr>
        <w:t>While enduring these legal battles, Mahler had himself been trying to set up a “militant group” in Berlin,</w:t>
      </w:r>
      <w:r>
        <w:rPr>
          <w:color w:val="231F20"/>
          <w:position w:val="7"/>
          <w:sz w:val="11"/>
        </w:rPr>
        <w:t xml:space="preserve">4 </w:t>
      </w:r>
      <w:r>
        <w:rPr>
          <w:color w:val="231F20"/>
        </w:rPr>
        <w:t>and so joining forces with</w:t>
      </w:r>
      <w:r>
        <w:rPr>
          <w:color w:val="231F20"/>
          <w:spacing w:val="5"/>
        </w:rPr>
        <w:t xml:space="preserve"> </w:t>
      </w:r>
      <w:r>
        <w:rPr>
          <w:color w:val="231F20"/>
        </w:rPr>
        <w:t>his</w:t>
      </w:r>
      <w:r>
        <w:rPr>
          <w:color w:val="231F20"/>
          <w:spacing w:val="5"/>
        </w:rPr>
        <w:t xml:space="preserve"> </w:t>
      </w:r>
      <w:r>
        <w:rPr>
          <w:color w:val="231F20"/>
        </w:rPr>
        <w:t>former</w:t>
      </w:r>
      <w:r>
        <w:rPr>
          <w:color w:val="231F20"/>
          <w:spacing w:val="5"/>
        </w:rPr>
        <w:t xml:space="preserve"> </w:t>
      </w:r>
      <w:r>
        <w:rPr>
          <w:color w:val="231F20"/>
        </w:rPr>
        <w:t>clients</w:t>
      </w:r>
      <w:r>
        <w:rPr>
          <w:color w:val="231F20"/>
          <w:spacing w:val="5"/>
        </w:rPr>
        <w:t xml:space="preserve"> </w:t>
      </w:r>
      <w:r>
        <w:rPr>
          <w:color w:val="231F20"/>
        </w:rPr>
        <w:t>simply</w:t>
      </w:r>
      <w:r>
        <w:rPr>
          <w:color w:val="231F20"/>
          <w:spacing w:val="5"/>
        </w:rPr>
        <w:t xml:space="preserve"> </w:t>
      </w:r>
      <w:r>
        <w:rPr>
          <w:color w:val="231F20"/>
        </w:rPr>
        <w:t>seemed</w:t>
      </w:r>
      <w:r>
        <w:rPr>
          <w:color w:val="231F20"/>
          <w:spacing w:val="5"/>
        </w:rPr>
        <w:t xml:space="preserve"> </w:t>
      </w:r>
      <w:r>
        <w:rPr>
          <w:color w:val="231F20"/>
        </w:rPr>
        <w:t>like</w:t>
      </w:r>
      <w:r>
        <w:rPr>
          <w:color w:val="231F20"/>
          <w:spacing w:val="5"/>
        </w:rPr>
        <w:t xml:space="preserve"> </w:t>
      </w:r>
      <w:r>
        <w:rPr>
          <w:color w:val="231F20"/>
        </w:rPr>
        <w:t>a</w:t>
      </w:r>
      <w:r>
        <w:rPr>
          <w:color w:val="231F20"/>
          <w:spacing w:val="5"/>
        </w:rPr>
        <w:t xml:space="preserve"> </w:t>
      </w:r>
      <w:r>
        <w:rPr>
          <w:color w:val="231F20"/>
        </w:rPr>
        <w:t>wise</w:t>
      </w:r>
      <w:r>
        <w:rPr>
          <w:color w:val="231F20"/>
          <w:spacing w:val="5"/>
        </w:rPr>
        <w:t xml:space="preserve"> </w:t>
      </w:r>
      <w:r>
        <w:rPr>
          <w:color w:val="231F20"/>
        </w:rPr>
        <w:t>strategic</w:t>
      </w:r>
      <w:r>
        <w:rPr>
          <w:color w:val="231F20"/>
          <w:spacing w:val="5"/>
        </w:rPr>
        <w:t xml:space="preserve"> </w:t>
      </w:r>
      <w:r>
        <w:rPr>
          <w:color w:val="231F20"/>
        </w:rPr>
        <w:t>decision.</w:t>
      </w:r>
    </w:p>
    <w:p w14:paraId="5E93E880" w14:textId="77777777" w:rsidR="002653E8" w:rsidRDefault="003115E3">
      <w:pPr>
        <w:pStyle w:val="a3"/>
        <w:spacing w:line="264" w:lineRule="auto"/>
        <w:ind w:left="1147" w:right="1326" w:firstLine="210"/>
        <w:jc w:val="both"/>
      </w:pPr>
      <w:r>
        <w:rPr>
          <w:color w:val="231F20"/>
        </w:rPr>
        <w:t>At the same time, the serious Marxist-Leninists considered—and rejected—the idea of joining forces with the anarchist guerilla groups that were coalescing within the Roaming Hash Rebels scene. The reasons</w:t>
      </w:r>
    </w:p>
    <w:p w14:paraId="6B4B4ED7" w14:textId="77777777" w:rsidR="002653E8" w:rsidRDefault="002653E8">
      <w:pPr>
        <w:pStyle w:val="a3"/>
        <w:spacing w:before="8"/>
        <w:rPr>
          <w:sz w:val="25"/>
        </w:rPr>
      </w:pPr>
    </w:p>
    <w:p w14:paraId="431C6DDD" w14:textId="77777777" w:rsidR="002653E8" w:rsidRDefault="003115E3">
      <w:pPr>
        <w:pStyle w:val="a4"/>
        <w:numPr>
          <w:ilvl w:val="0"/>
          <w:numId w:val="175"/>
        </w:numPr>
        <w:tabs>
          <w:tab w:val="left" w:pos="1287"/>
        </w:tabs>
        <w:spacing w:before="105"/>
        <w:ind w:hanging="181"/>
        <w:jc w:val="left"/>
        <w:rPr>
          <w:sz w:val="16"/>
        </w:rPr>
      </w:pPr>
      <w:r>
        <w:rPr>
          <w:color w:val="231F20"/>
          <w:w w:val="115"/>
          <w:sz w:val="16"/>
        </w:rPr>
        <w:t>Proll,</w:t>
      </w:r>
      <w:r>
        <w:rPr>
          <w:color w:val="231F20"/>
          <w:spacing w:val="5"/>
          <w:w w:val="115"/>
          <w:sz w:val="16"/>
        </w:rPr>
        <w:t xml:space="preserve"> </w:t>
      </w:r>
      <w:r>
        <w:rPr>
          <w:color w:val="231F20"/>
          <w:w w:val="115"/>
          <w:sz w:val="16"/>
        </w:rPr>
        <w:t>8.</w:t>
      </w:r>
    </w:p>
    <w:p w14:paraId="34AF9685" w14:textId="77777777" w:rsidR="002653E8" w:rsidRDefault="003115E3">
      <w:pPr>
        <w:pStyle w:val="a4"/>
        <w:numPr>
          <w:ilvl w:val="0"/>
          <w:numId w:val="175"/>
        </w:numPr>
        <w:tabs>
          <w:tab w:val="left" w:pos="1287"/>
        </w:tabs>
        <w:spacing w:before="52"/>
        <w:ind w:hanging="181"/>
        <w:jc w:val="left"/>
        <w:rPr>
          <w:sz w:val="16"/>
        </w:rPr>
      </w:pPr>
      <w:r>
        <w:rPr>
          <w:color w:val="231F20"/>
          <w:w w:val="115"/>
          <w:sz w:val="16"/>
        </w:rPr>
        <w:t>Aust,</w:t>
      </w:r>
      <w:r>
        <w:rPr>
          <w:color w:val="231F20"/>
          <w:spacing w:val="3"/>
          <w:w w:val="115"/>
          <w:sz w:val="16"/>
        </w:rPr>
        <w:t xml:space="preserve"> </w:t>
      </w:r>
      <w:r>
        <w:rPr>
          <w:color w:val="231F20"/>
          <w:w w:val="115"/>
          <w:sz w:val="16"/>
        </w:rPr>
        <w:t>73.</w:t>
      </w:r>
    </w:p>
    <w:p w14:paraId="4F2E40FC" w14:textId="77777777" w:rsidR="002653E8" w:rsidRDefault="003115E3">
      <w:pPr>
        <w:pStyle w:val="a4"/>
        <w:numPr>
          <w:ilvl w:val="0"/>
          <w:numId w:val="175"/>
        </w:numPr>
        <w:tabs>
          <w:tab w:val="left" w:pos="1287"/>
        </w:tabs>
        <w:spacing w:before="51"/>
        <w:ind w:hanging="181"/>
        <w:jc w:val="left"/>
        <w:rPr>
          <w:i/>
          <w:sz w:val="16"/>
        </w:rPr>
      </w:pPr>
      <w:r>
        <w:rPr>
          <w:color w:val="231F20"/>
          <w:w w:val="105"/>
          <w:sz w:val="16"/>
        </w:rPr>
        <w:t>Associated</w:t>
      </w:r>
      <w:r>
        <w:rPr>
          <w:color w:val="231F20"/>
          <w:spacing w:val="8"/>
          <w:w w:val="105"/>
          <w:sz w:val="16"/>
        </w:rPr>
        <w:t xml:space="preserve"> </w:t>
      </w:r>
      <w:r>
        <w:rPr>
          <w:color w:val="231F20"/>
          <w:w w:val="105"/>
          <w:sz w:val="16"/>
        </w:rPr>
        <w:t>Press,</w:t>
      </w:r>
      <w:r>
        <w:rPr>
          <w:color w:val="231F20"/>
          <w:spacing w:val="8"/>
          <w:w w:val="105"/>
          <w:sz w:val="16"/>
        </w:rPr>
        <w:t xml:space="preserve"> </w:t>
      </w:r>
      <w:r>
        <w:rPr>
          <w:color w:val="231F20"/>
          <w:w w:val="105"/>
          <w:sz w:val="16"/>
        </w:rPr>
        <w:t>“West</w:t>
      </w:r>
      <w:r>
        <w:rPr>
          <w:color w:val="231F20"/>
          <w:spacing w:val="8"/>
          <w:w w:val="105"/>
          <w:sz w:val="16"/>
        </w:rPr>
        <w:t xml:space="preserve"> </w:t>
      </w:r>
      <w:r>
        <w:rPr>
          <w:color w:val="231F20"/>
          <w:w w:val="105"/>
          <w:sz w:val="16"/>
        </w:rPr>
        <w:t>Berlin</w:t>
      </w:r>
      <w:r>
        <w:rPr>
          <w:color w:val="231F20"/>
          <w:spacing w:val="8"/>
          <w:w w:val="105"/>
          <w:sz w:val="16"/>
        </w:rPr>
        <w:t xml:space="preserve"> </w:t>
      </w:r>
      <w:r>
        <w:rPr>
          <w:color w:val="231F20"/>
          <w:w w:val="105"/>
          <w:sz w:val="16"/>
        </w:rPr>
        <w:t>Publisher</w:t>
      </w:r>
      <w:r>
        <w:rPr>
          <w:color w:val="231F20"/>
          <w:spacing w:val="8"/>
          <w:w w:val="105"/>
          <w:sz w:val="16"/>
        </w:rPr>
        <w:t xml:space="preserve"> </w:t>
      </w:r>
      <w:r>
        <w:rPr>
          <w:color w:val="231F20"/>
          <w:w w:val="105"/>
          <w:sz w:val="16"/>
        </w:rPr>
        <w:t>is</w:t>
      </w:r>
      <w:r>
        <w:rPr>
          <w:color w:val="231F20"/>
          <w:spacing w:val="8"/>
          <w:w w:val="105"/>
          <w:sz w:val="16"/>
        </w:rPr>
        <w:t xml:space="preserve"> </w:t>
      </w:r>
      <w:r>
        <w:rPr>
          <w:color w:val="231F20"/>
          <w:w w:val="105"/>
          <w:sz w:val="16"/>
        </w:rPr>
        <w:t>Sentenced,”</w:t>
      </w:r>
      <w:r>
        <w:rPr>
          <w:color w:val="231F20"/>
          <w:spacing w:val="10"/>
          <w:w w:val="105"/>
          <w:sz w:val="16"/>
        </w:rPr>
        <w:t xml:space="preserve"> </w:t>
      </w:r>
      <w:r>
        <w:rPr>
          <w:i/>
          <w:color w:val="231F20"/>
          <w:w w:val="105"/>
          <w:sz w:val="16"/>
        </w:rPr>
        <w:t>Danville</w:t>
      </w:r>
      <w:r>
        <w:rPr>
          <w:i/>
          <w:color w:val="231F20"/>
          <w:spacing w:val="8"/>
          <w:w w:val="105"/>
          <w:sz w:val="16"/>
        </w:rPr>
        <w:t xml:space="preserve"> </w:t>
      </w:r>
      <w:r>
        <w:rPr>
          <w:i/>
          <w:color w:val="231F20"/>
          <w:w w:val="105"/>
          <w:sz w:val="16"/>
        </w:rPr>
        <w:t>Bee,</w:t>
      </w:r>
    </w:p>
    <w:p w14:paraId="3C7FE721" w14:textId="77777777" w:rsidR="002653E8" w:rsidRDefault="003115E3">
      <w:pPr>
        <w:spacing w:before="12"/>
        <w:ind w:left="1147"/>
        <w:rPr>
          <w:sz w:val="16"/>
        </w:rPr>
      </w:pPr>
      <w:r>
        <w:rPr>
          <w:color w:val="231F20"/>
          <w:w w:val="110"/>
          <w:sz w:val="16"/>
        </w:rPr>
        <w:lastRenderedPageBreak/>
        <w:t>February 16, 1970.</w:t>
      </w:r>
    </w:p>
    <w:p w14:paraId="11D29FD4" w14:textId="77777777" w:rsidR="002653E8" w:rsidRDefault="003115E3">
      <w:pPr>
        <w:pStyle w:val="a4"/>
        <w:numPr>
          <w:ilvl w:val="0"/>
          <w:numId w:val="175"/>
        </w:numPr>
        <w:tabs>
          <w:tab w:val="left" w:pos="1287"/>
        </w:tabs>
        <w:spacing w:before="52"/>
        <w:ind w:hanging="181"/>
        <w:jc w:val="left"/>
        <w:rPr>
          <w:sz w:val="16"/>
        </w:rPr>
      </w:pPr>
      <w:r>
        <w:rPr>
          <w:color w:val="231F20"/>
          <w:w w:val="115"/>
          <w:sz w:val="16"/>
        </w:rPr>
        <w:t>Aust,</w:t>
      </w:r>
      <w:r>
        <w:rPr>
          <w:color w:val="231F20"/>
          <w:spacing w:val="3"/>
          <w:w w:val="115"/>
          <w:sz w:val="16"/>
        </w:rPr>
        <w:t xml:space="preserve"> </w:t>
      </w:r>
      <w:r>
        <w:rPr>
          <w:color w:val="231F20"/>
          <w:spacing w:val="-5"/>
          <w:w w:val="115"/>
          <w:sz w:val="16"/>
        </w:rPr>
        <w:t>77.</w:t>
      </w:r>
    </w:p>
    <w:p w14:paraId="584A3C64" w14:textId="77777777" w:rsidR="002653E8" w:rsidRDefault="002653E8">
      <w:pPr>
        <w:rPr>
          <w:sz w:val="16"/>
        </w:rPr>
        <w:sectPr w:rsidR="002653E8">
          <w:footerReference w:type="even" r:id="rId61"/>
          <w:footerReference w:type="default" r:id="rId62"/>
          <w:pgSz w:w="8640" w:h="12960"/>
          <w:pgMar w:top="1060" w:right="0" w:bottom="1460" w:left="0" w:header="0" w:footer="1270" w:gutter="0"/>
          <w:pgNumType w:start="50"/>
          <w:cols w:space="720"/>
        </w:sectPr>
      </w:pPr>
    </w:p>
    <w:p w14:paraId="32FBA0E5" w14:textId="77777777" w:rsidR="002653E8" w:rsidRDefault="003115E3">
      <w:pPr>
        <w:pStyle w:val="a3"/>
        <w:spacing w:before="86" w:line="264" w:lineRule="auto"/>
        <w:ind w:left="1327" w:right="1145"/>
        <w:jc w:val="both"/>
        <w:rPr>
          <w:sz w:val="11"/>
        </w:rPr>
      </w:pPr>
      <w:r>
        <w:rPr>
          <w:color w:val="231F20"/>
        </w:rPr>
        <w:lastRenderedPageBreak/>
        <w:t>for this decision to continue following separate paths are not clear-cut, and the consequences were more nuanced than might be expected. It    is important to remember that many of the figures involved knew each other from the APO, in some cases were friends, and certainly would have had opinions about each other’s politics and personalities. It has been said that Dieter Kunzelmann, a prominent figure in the Hash Rebels scene, was wary of Baader claiming leadership.</w:t>
      </w:r>
      <w:r>
        <w:rPr>
          <w:color w:val="231F20"/>
          <w:position w:val="7"/>
          <w:sz w:val="11"/>
        </w:rPr>
        <w:t xml:space="preserve">5 </w:t>
      </w:r>
      <w:r>
        <w:rPr>
          <w:color w:val="231F20"/>
        </w:rPr>
        <w:t xml:space="preserve">It has also been suggested that the </w:t>
      </w:r>
      <w:r w:rsidR="00C507A5">
        <w:rPr>
          <w:color w:val="231F20"/>
          <w:spacing w:val="5"/>
        </w:rPr>
        <w:t>red army faction</w:t>
      </w:r>
      <w:r>
        <w:rPr>
          <w:color w:val="231F20"/>
          <w:spacing w:val="5"/>
        </w:rPr>
        <w:t xml:space="preserve"> </w:t>
      </w:r>
      <w:r>
        <w:rPr>
          <w:color w:val="231F20"/>
        </w:rPr>
        <w:t>as a whole had a haughty manner, and was made up of middle-class students who didn’t fit in with the supposedly more proletarian</w:t>
      </w:r>
      <w:r>
        <w:rPr>
          <w:color w:val="231F20"/>
          <w:spacing w:val="22"/>
        </w:rPr>
        <w:t xml:space="preserve"> </w:t>
      </w:r>
      <w:r>
        <w:rPr>
          <w:color w:val="231F20"/>
        </w:rPr>
        <w:t>2JM.</w:t>
      </w:r>
      <w:r>
        <w:rPr>
          <w:color w:val="231F20"/>
          <w:position w:val="7"/>
          <w:sz w:val="11"/>
        </w:rPr>
        <w:t>6</w:t>
      </w:r>
    </w:p>
    <w:p w14:paraId="7A583F7D" w14:textId="77777777" w:rsidR="002653E8" w:rsidRDefault="003115E3">
      <w:pPr>
        <w:pStyle w:val="a3"/>
        <w:spacing w:line="264" w:lineRule="auto"/>
        <w:ind w:left="1327" w:right="1145" w:firstLine="210"/>
        <w:jc w:val="both"/>
        <w:rPr>
          <w:sz w:val="11"/>
        </w:rPr>
      </w:pPr>
      <w:r>
        <w:rPr>
          <w:color w:val="231F20"/>
          <w:w w:val="105"/>
        </w:rPr>
        <w:t>While</w:t>
      </w:r>
      <w:r>
        <w:rPr>
          <w:color w:val="231F20"/>
          <w:spacing w:val="-8"/>
          <w:w w:val="105"/>
        </w:rPr>
        <w:t xml:space="preserve"> </w:t>
      </w:r>
      <w:r>
        <w:rPr>
          <w:color w:val="231F20"/>
          <w:w w:val="105"/>
        </w:rPr>
        <w:t>none</w:t>
      </w:r>
      <w:r>
        <w:rPr>
          <w:color w:val="231F20"/>
          <w:spacing w:val="-8"/>
          <w:w w:val="105"/>
        </w:rPr>
        <w:t xml:space="preserve"> </w:t>
      </w:r>
      <w:r>
        <w:rPr>
          <w:color w:val="231F20"/>
          <w:w w:val="105"/>
        </w:rPr>
        <w:t>of</w:t>
      </w:r>
      <w:r>
        <w:rPr>
          <w:color w:val="231F20"/>
          <w:spacing w:val="-8"/>
          <w:w w:val="105"/>
        </w:rPr>
        <w:t xml:space="preserve"> </w:t>
      </w:r>
      <w:r>
        <w:rPr>
          <w:color w:val="231F20"/>
          <w:w w:val="105"/>
        </w:rPr>
        <w:t>the</w:t>
      </w:r>
      <w:r>
        <w:rPr>
          <w:color w:val="231F20"/>
          <w:spacing w:val="-8"/>
          <w:w w:val="105"/>
        </w:rPr>
        <w:t xml:space="preserve"> </w:t>
      </w:r>
      <w:r>
        <w:rPr>
          <w:color w:val="231F20"/>
          <w:w w:val="105"/>
        </w:rPr>
        <w:t>guerillas</w:t>
      </w:r>
      <w:r>
        <w:rPr>
          <w:color w:val="231F20"/>
          <w:spacing w:val="-8"/>
          <w:w w:val="105"/>
        </w:rPr>
        <w:t xml:space="preserve"> </w:t>
      </w:r>
      <w:r>
        <w:rPr>
          <w:color w:val="231F20"/>
          <w:w w:val="105"/>
        </w:rPr>
        <w:t>have</w:t>
      </w:r>
      <w:r>
        <w:rPr>
          <w:color w:val="231F20"/>
          <w:spacing w:val="-8"/>
          <w:w w:val="105"/>
        </w:rPr>
        <w:t xml:space="preserve"> </w:t>
      </w:r>
      <w:r>
        <w:rPr>
          <w:color w:val="231F20"/>
          <w:w w:val="105"/>
        </w:rPr>
        <w:t>ever</w:t>
      </w:r>
      <w:r>
        <w:rPr>
          <w:color w:val="231F20"/>
          <w:spacing w:val="-8"/>
          <w:w w:val="105"/>
        </w:rPr>
        <w:t xml:space="preserve"> </w:t>
      </w:r>
      <w:r>
        <w:rPr>
          <w:color w:val="231F20"/>
          <w:w w:val="105"/>
        </w:rPr>
        <w:t>said</w:t>
      </w:r>
      <w:r>
        <w:rPr>
          <w:color w:val="231F20"/>
          <w:spacing w:val="-8"/>
          <w:w w:val="105"/>
        </w:rPr>
        <w:t xml:space="preserve"> </w:t>
      </w:r>
      <w:r>
        <w:rPr>
          <w:color w:val="231F20"/>
          <w:w w:val="105"/>
        </w:rPr>
        <w:t>as</w:t>
      </w:r>
      <w:r>
        <w:rPr>
          <w:color w:val="231F20"/>
          <w:spacing w:val="-8"/>
          <w:w w:val="105"/>
        </w:rPr>
        <w:t xml:space="preserve"> </w:t>
      </w:r>
      <w:r>
        <w:rPr>
          <w:color w:val="231F20"/>
          <w:w w:val="105"/>
        </w:rPr>
        <w:t>much,</w:t>
      </w:r>
      <w:r>
        <w:rPr>
          <w:color w:val="231F20"/>
          <w:spacing w:val="-8"/>
          <w:w w:val="105"/>
        </w:rPr>
        <w:t xml:space="preserve"> </w:t>
      </w:r>
      <w:r>
        <w:rPr>
          <w:color w:val="231F20"/>
          <w:w w:val="105"/>
        </w:rPr>
        <w:t>one</w:t>
      </w:r>
      <w:r>
        <w:rPr>
          <w:color w:val="231F20"/>
          <w:spacing w:val="-8"/>
          <w:w w:val="105"/>
        </w:rPr>
        <w:t xml:space="preserve"> </w:t>
      </w:r>
      <w:r>
        <w:rPr>
          <w:color w:val="231F20"/>
          <w:w w:val="105"/>
        </w:rPr>
        <w:t>cannot</w:t>
      </w:r>
      <w:r>
        <w:rPr>
          <w:color w:val="231F20"/>
          <w:spacing w:val="-8"/>
          <w:w w:val="105"/>
        </w:rPr>
        <w:t xml:space="preserve"> </w:t>
      </w:r>
      <w:r>
        <w:rPr>
          <w:color w:val="231F20"/>
          <w:w w:val="105"/>
        </w:rPr>
        <w:t xml:space="preserve">help but wonder what </w:t>
      </w:r>
      <w:r w:rsidR="00C507A5">
        <w:rPr>
          <w:color w:val="231F20"/>
          <w:spacing w:val="5"/>
          <w:w w:val="105"/>
        </w:rPr>
        <w:t>red army faction</w:t>
      </w:r>
      <w:r>
        <w:rPr>
          <w:color w:val="231F20"/>
          <w:spacing w:val="5"/>
          <w:w w:val="105"/>
        </w:rPr>
        <w:t xml:space="preserve"> </w:t>
      </w:r>
      <w:r>
        <w:rPr>
          <w:color w:val="231F20"/>
          <w:w w:val="105"/>
        </w:rPr>
        <w:t>members might have thought of the countercultural scene out of which the Hash Rebels had developed, specifically</w:t>
      </w:r>
      <w:r>
        <w:rPr>
          <w:color w:val="231F20"/>
          <w:spacing w:val="-12"/>
          <w:w w:val="105"/>
        </w:rPr>
        <w:t xml:space="preserve"> </w:t>
      </w:r>
      <w:r>
        <w:rPr>
          <w:color w:val="231F20"/>
          <w:w w:val="105"/>
        </w:rPr>
        <w:t>the</w:t>
      </w:r>
      <w:r>
        <w:rPr>
          <w:color w:val="231F20"/>
          <w:spacing w:val="-12"/>
          <w:w w:val="105"/>
        </w:rPr>
        <w:t xml:space="preserve"> </w:t>
      </w:r>
      <w:r>
        <w:rPr>
          <w:color w:val="231F20"/>
          <w:w w:val="105"/>
        </w:rPr>
        <w:t>sexual</w:t>
      </w:r>
      <w:r>
        <w:rPr>
          <w:color w:val="231F20"/>
          <w:spacing w:val="-12"/>
          <w:w w:val="105"/>
        </w:rPr>
        <w:t xml:space="preserve"> </w:t>
      </w:r>
      <w:r>
        <w:rPr>
          <w:color w:val="231F20"/>
          <w:w w:val="105"/>
        </w:rPr>
        <w:t>arrangements.</w:t>
      </w:r>
      <w:r>
        <w:rPr>
          <w:color w:val="231F20"/>
          <w:spacing w:val="-12"/>
          <w:w w:val="105"/>
        </w:rPr>
        <w:t xml:space="preserve"> </w:t>
      </w:r>
      <w:r>
        <w:rPr>
          <w:color w:val="231F20"/>
          <w:w w:val="105"/>
        </w:rPr>
        <w:t>The</w:t>
      </w:r>
      <w:r>
        <w:rPr>
          <w:color w:val="231F20"/>
          <w:spacing w:val="-12"/>
          <w:w w:val="105"/>
        </w:rPr>
        <w:t xml:space="preserve"> </w:t>
      </w:r>
      <w:r>
        <w:rPr>
          <w:color w:val="231F20"/>
          <w:w w:val="105"/>
        </w:rPr>
        <w:t>K.1</w:t>
      </w:r>
      <w:r>
        <w:rPr>
          <w:color w:val="231F20"/>
          <w:spacing w:val="-12"/>
          <w:w w:val="105"/>
        </w:rPr>
        <w:t xml:space="preserve"> </w:t>
      </w:r>
      <w:r>
        <w:rPr>
          <w:color w:val="231F20"/>
          <w:w w:val="105"/>
        </w:rPr>
        <w:t>commune</w:t>
      </w:r>
      <w:r>
        <w:rPr>
          <w:color w:val="231F20"/>
          <w:spacing w:val="-12"/>
          <w:w w:val="105"/>
        </w:rPr>
        <w:t xml:space="preserve"> </w:t>
      </w:r>
      <w:r>
        <w:rPr>
          <w:color w:val="231F20"/>
          <w:w w:val="105"/>
        </w:rPr>
        <w:t>was</w:t>
      </w:r>
      <w:r>
        <w:rPr>
          <w:color w:val="231F20"/>
          <w:spacing w:val="-12"/>
          <w:w w:val="105"/>
        </w:rPr>
        <w:t xml:space="preserve"> </w:t>
      </w:r>
      <w:r>
        <w:rPr>
          <w:color w:val="231F20"/>
          <w:w w:val="105"/>
        </w:rPr>
        <w:t>not</w:t>
      </w:r>
      <w:r>
        <w:rPr>
          <w:color w:val="231F20"/>
          <w:spacing w:val="-12"/>
          <w:w w:val="105"/>
        </w:rPr>
        <w:t xml:space="preserve"> </w:t>
      </w:r>
      <w:r>
        <w:rPr>
          <w:color w:val="231F20"/>
          <w:w w:val="105"/>
        </w:rPr>
        <w:t>only</w:t>
      </w:r>
      <w:r>
        <w:rPr>
          <w:color w:val="231F20"/>
          <w:spacing w:val="-12"/>
          <w:w w:val="105"/>
        </w:rPr>
        <w:t xml:space="preserve"> </w:t>
      </w:r>
      <w:r>
        <w:rPr>
          <w:color w:val="231F20"/>
          <w:w w:val="105"/>
        </w:rPr>
        <w:t>famous for</w:t>
      </w:r>
      <w:r>
        <w:rPr>
          <w:color w:val="231F20"/>
          <w:spacing w:val="-4"/>
          <w:w w:val="105"/>
        </w:rPr>
        <w:t xml:space="preserve"> </w:t>
      </w:r>
      <w:r>
        <w:rPr>
          <w:color w:val="231F20"/>
          <w:w w:val="105"/>
        </w:rPr>
        <w:t>its</w:t>
      </w:r>
      <w:r>
        <w:rPr>
          <w:color w:val="231F20"/>
          <w:spacing w:val="-4"/>
          <w:w w:val="105"/>
        </w:rPr>
        <w:t xml:space="preserve"> </w:t>
      </w:r>
      <w:r>
        <w:rPr>
          <w:color w:val="231F20"/>
          <w:w w:val="105"/>
        </w:rPr>
        <w:t>brilliant</w:t>
      </w:r>
      <w:r>
        <w:rPr>
          <w:color w:val="231F20"/>
          <w:spacing w:val="-4"/>
          <w:w w:val="105"/>
        </w:rPr>
        <w:t xml:space="preserve"> </w:t>
      </w:r>
      <w:r>
        <w:rPr>
          <w:color w:val="231F20"/>
          <w:w w:val="105"/>
        </w:rPr>
        <w:t>agit</w:t>
      </w:r>
      <w:r>
        <w:rPr>
          <w:color w:val="231F20"/>
          <w:spacing w:val="-4"/>
          <w:w w:val="105"/>
        </w:rPr>
        <w:t xml:space="preserve"> </w:t>
      </w:r>
      <w:r>
        <w:rPr>
          <w:color w:val="231F20"/>
          <w:w w:val="105"/>
        </w:rPr>
        <w:t>prop,</w:t>
      </w:r>
      <w:r>
        <w:rPr>
          <w:color w:val="231F20"/>
          <w:spacing w:val="-4"/>
          <w:w w:val="105"/>
        </w:rPr>
        <w:t xml:space="preserve"> </w:t>
      </w:r>
      <w:r>
        <w:rPr>
          <w:color w:val="231F20"/>
          <w:w w:val="105"/>
        </w:rPr>
        <w:t>its</w:t>
      </w:r>
      <w:r>
        <w:rPr>
          <w:color w:val="231F20"/>
          <w:spacing w:val="-4"/>
          <w:w w:val="105"/>
        </w:rPr>
        <w:t xml:space="preserve"> </w:t>
      </w:r>
      <w:r>
        <w:rPr>
          <w:color w:val="231F20"/>
          <w:w w:val="105"/>
        </w:rPr>
        <w:t>radical</w:t>
      </w:r>
      <w:r>
        <w:rPr>
          <w:color w:val="231F20"/>
          <w:spacing w:val="-4"/>
          <w:w w:val="105"/>
        </w:rPr>
        <w:t xml:space="preserve"> </w:t>
      </w:r>
      <w:r>
        <w:rPr>
          <w:color w:val="231F20"/>
          <w:w w:val="105"/>
        </w:rPr>
        <w:t>cultural</w:t>
      </w:r>
      <w:r>
        <w:rPr>
          <w:color w:val="231F20"/>
          <w:spacing w:val="-4"/>
          <w:w w:val="105"/>
        </w:rPr>
        <w:t xml:space="preserve"> </w:t>
      </w:r>
      <w:r>
        <w:rPr>
          <w:color w:val="231F20"/>
          <w:w w:val="105"/>
        </w:rPr>
        <w:t>experiments,</w:t>
      </w:r>
      <w:r>
        <w:rPr>
          <w:color w:val="231F20"/>
          <w:spacing w:val="-4"/>
          <w:w w:val="105"/>
        </w:rPr>
        <w:t xml:space="preserve"> </w:t>
      </w:r>
      <w:r>
        <w:rPr>
          <w:color w:val="231F20"/>
          <w:w w:val="105"/>
        </w:rPr>
        <w:t>and</w:t>
      </w:r>
      <w:r>
        <w:rPr>
          <w:color w:val="231F20"/>
          <w:spacing w:val="-4"/>
          <w:w w:val="105"/>
        </w:rPr>
        <w:t xml:space="preserve"> </w:t>
      </w:r>
      <w:r>
        <w:rPr>
          <w:color w:val="231F20"/>
          <w:w w:val="105"/>
        </w:rPr>
        <w:t>its</w:t>
      </w:r>
      <w:r>
        <w:rPr>
          <w:color w:val="231F20"/>
          <w:spacing w:val="-4"/>
          <w:w w:val="105"/>
        </w:rPr>
        <w:t xml:space="preserve"> </w:t>
      </w:r>
      <w:r>
        <w:rPr>
          <w:color w:val="231F20"/>
          <w:w w:val="105"/>
        </w:rPr>
        <w:t xml:space="preserve">phenomenal drug consumption, but also for its iconic role in the sexual revolution which swept the Federal Republic in the years of the APO. At the same time as </w:t>
      </w:r>
      <w:r>
        <w:rPr>
          <w:color w:val="231F20"/>
          <w:spacing w:val="-5"/>
          <w:w w:val="105"/>
        </w:rPr>
        <w:t xml:space="preserve">K.1’s </w:t>
      </w:r>
      <w:r>
        <w:rPr>
          <w:color w:val="231F20"/>
          <w:w w:val="105"/>
        </w:rPr>
        <w:t>sexual politics constituted a reaction to the oppressive</w:t>
      </w:r>
      <w:r>
        <w:rPr>
          <w:color w:val="231F20"/>
          <w:spacing w:val="-6"/>
          <w:w w:val="105"/>
        </w:rPr>
        <w:t xml:space="preserve"> </w:t>
      </w:r>
      <w:r>
        <w:rPr>
          <w:color w:val="231F20"/>
          <w:w w:val="105"/>
        </w:rPr>
        <w:t>conservatism</w:t>
      </w:r>
      <w:r>
        <w:rPr>
          <w:color w:val="231F20"/>
          <w:spacing w:val="-6"/>
          <w:w w:val="105"/>
        </w:rPr>
        <w:t xml:space="preserve"> </w:t>
      </w:r>
      <w:r>
        <w:rPr>
          <w:color w:val="231F20"/>
          <w:w w:val="105"/>
        </w:rPr>
        <w:t>of</w:t>
      </w:r>
      <w:r>
        <w:rPr>
          <w:color w:val="231F20"/>
          <w:spacing w:val="-6"/>
          <w:w w:val="105"/>
        </w:rPr>
        <w:t xml:space="preserve"> </w:t>
      </w:r>
      <w:r>
        <w:rPr>
          <w:color w:val="231F20"/>
          <w:w w:val="105"/>
        </w:rPr>
        <w:t>Christian</w:t>
      </w:r>
      <w:r>
        <w:rPr>
          <w:color w:val="231F20"/>
          <w:spacing w:val="-6"/>
          <w:w w:val="105"/>
        </w:rPr>
        <w:t xml:space="preserve"> </w:t>
      </w:r>
      <w:r>
        <w:rPr>
          <w:color w:val="231F20"/>
          <w:w w:val="105"/>
        </w:rPr>
        <w:t>Germany,</w:t>
      </w:r>
      <w:r>
        <w:rPr>
          <w:color w:val="231F20"/>
          <w:spacing w:val="-6"/>
          <w:w w:val="105"/>
        </w:rPr>
        <w:t xml:space="preserve"> </w:t>
      </w:r>
      <w:r>
        <w:rPr>
          <w:color w:val="231F20"/>
          <w:w w:val="105"/>
        </w:rPr>
        <w:t>it</w:t>
      </w:r>
      <w:r>
        <w:rPr>
          <w:color w:val="231F20"/>
          <w:spacing w:val="-6"/>
          <w:w w:val="105"/>
        </w:rPr>
        <w:t xml:space="preserve"> </w:t>
      </w:r>
      <w:r>
        <w:rPr>
          <w:color w:val="231F20"/>
          <w:w w:val="105"/>
        </w:rPr>
        <w:t>was</w:t>
      </w:r>
      <w:r>
        <w:rPr>
          <w:color w:val="231F20"/>
          <w:spacing w:val="-6"/>
          <w:w w:val="105"/>
        </w:rPr>
        <w:t xml:space="preserve"> </w:t>
      </w:r>
      <w:r>
        <w:rPr>
          <w:color w:val="231F20"/>
          <w:w w:val="105"/>
        </w:rPr>
        <w:t>also</w:t>
      </w:r>
      <w:r>
        <w:rPr>
          <w:color w:val="231F20"/>
          <w:spacing w:val="-6"/>
          <w:w w:val="105"/>
        </w:rPr>
        <w:t xml:space="preserve"> </w:t>
      </w:r>
      <w:r>
        <w:rPr>
          <w:color w:val="231F20"/>
          <w:w w:val="105"/>
        </w:rPr>
        <w:t>very</w:t>
      </w:r>
      <w:r>
        <w:rPr>
          <w:color w:val="231F20"/>
          <w:spacing w:val="-6"/>
          <w:w w:val="105"/>
        </w:rPr>
        <w:t xml:space="preserve"> </w:t>
      </w:r>
      <w:r>
        <w:rPr>
          <w:color w:val="231F20"/>
          <w:w w:val="105"/>
        </w:rPr>
        <w:t>much a</w:t>
      </w:r>
      <w:r>
        <w:rPr>
          <w:color w:val="231F20"/>
          <w:spacing w:val="-14"/>
          <w:w w:val="105"/>
        </w:rPr>
        <w:t xml:space="preserve"> </w:t>
      </w:r>
      <w:r>
        <w:rPr>
          <w:color w:val="231F20"/>
          <w:w w:val="105"/>
        </w:rPr>
        <w:t>macho</w:t>
      </w:r>
      <w:r>
        <w:rPr>
          <w:color w:val="231F20"/>
          <w:spacing w:val="-14"/>
          <w:w w:val="105"/>
        </w:rPr>
        <w:t xml:space="preserve"> </w:t>
      </w:r>
      <w:r>
        <w:rPr>
          <w:color w:val="231F20"/>
          <w:w w:val="105"/>
        </w:rPr>
        <w:t>scene</w:t>
      </w:r>
      <w:r>
        <w:rPr>
          <w:color w:val="231F20"/>
          <w:spacing w:val="-14"/>
          <w:w w:val="105"/>
        </w:rPr>
        <w:t xml:space="preserve"> </w:t>
      </w:r>
      <w:r>
        <w:rPr>
          <w:color w:val="231F20"/>
          <w:w w:val="105"/>
        </w:rPr>
        <w:t>built</w:t>
      </w:r>
      <w:r>
        <w:rPr>
          <w:color w:val="231F20"/>
          <w:spacing w:val="-14"/>
          <w:w w:val="105"/>
        </w:rPr>
        <w:t xml:space="preserve"> </w:t>
      </w:r>
      <w:r>
        <w:rPr>
          <w:color w:val="231F20"/>
          <w:w w:val="105"/>
        </w:rPr>
        <w:t>around</w:t>
      </w:r>
      <w:r>
        <w:rPr>
          <w:color w:val="231F20"/>
          <w:spacing w:val="-14"/>
          <w:w w:val="105"/>
        </w:rPr>
        <w:t xml:space="preserve"> </w:t>
      </w:r>
      <w:r>
        <w:rPr>
          <w:color w:val="231F20"/>
          <w:w w:val="105"/>
        </w:rPr>
        <w:t>the</w:t>
      </w:r>
      <w:r>
        <w:rPr>
          <w:color w:val="231F20"/>
          <w:spacing w:val="-14"/>
          <w:w w:val="105"/>
        </w:rPr>
        <w:t xml:space="preserve"> </w:t>
      </w:r>
      <w:r>
        <w:rPr>
          <w:color w:val="231F20"/>
          <w:w w:val="105"/>
        </w:rPr>
        <w:t>desires</w:t>
      </w:r>
      <w:r>
        <w:rPr>
          <w:color w:val="231F20"/>
          <w:spacing w:val="-14"/>
          <w:w w:val="105"/>
        </w:rPr>
        <w:t xml:space="preserve"> </w:t>
      </w:r>
      <w:r>
        <w:rPr>
          <w:color w:val="231F20"/>
          <w:w w:val="105"/>
        </w:rPr>
        <w:t>of</w:t>
      </w:r>
      <w:r>
        <w:rPr>
          <w:color w:val="231F20"/>
          <w:spacing w:val="-14"/>
          <w:w w:val="105"/>
        </w:rPr>
        <w:t xml:space="preserve"> </w:t>
      </w:r>
      <w:r>
        <w:rPr>
          <w:color w:val="231F20"/>
          <w:w w:val="105"/>
        </w:rPr>
        <w:t>key</w:t>
      </w:r>
      <w:r>
        <w:rPr>
          <w:color w:val="231F20"/>
          <w:spacing w:val="-14"/>
          <w:w w:val="105"/>
        </w:rPr>
        <w:t xml:space="preserve"> </w:t>
      </w:r>
      <w:r>
        <w:rPr>
          <w:color w:val="231F20"/>
          <w:w w:val="105"/>
        </w:rPr>
        <w:t>men</w:t>
      </w:r>
      <w:r>
        <w:rPr>
          <w:color w:val="231F20"/>
          <w:spacing w:val="-14"/>
          <w:w w:val="105"/>
        </w:rPr>
        <w:t xml:space="preserve"> </w:t>
      </w:r>
      <w:r>
        <w:rPr>
          <w:color w:val="231F20"/>
          <w:w w:val="105"/>
        </w:rPr>
        <w:t>involved.</w:t>
      </w:r>
      <w:r>
        <w:rPr>
          <w:color w:val="231F20"/>
          <w:spacing w:val="-14"/>
          <w:w w:val="105"/>
        </w:rPr>
        <w:t xml:space="preserve"> </w:t>
      </w:r>
      <w:r>
        <w:rPr>
          <w:color w:val="231F20"/>
          <w:w w:val="105"/>
        </w:rPr>
        <w:t>Polygamy was</w:t>
      </w:r>
      <w:r>
        <w:rPr>
          <w:color w:val="231F20"/>
          <w:spacing w:val="-6"/>
          <w:w w:val="105"/>
        </w:rPr>
        <w:t xml:space="preserve"> </w:t>
      </w:r>
      <w:r>
        <w:rPr>
          <w:color w:val="231F20"/>
          <w:w w:val="105"/>
        </w:rPr>
        <w:t>almost</w:t>
      </w:r>
      <w:r>
        <w:rPr>
          <w:color w:val="231F20"/>
          <w:spacing w:val="-6"/>
          <w:w w:val="105"/>
        </w:rPr>
        <w:t xml:space="preserve"> </w:t>
      </w:r>
      <w:r>
        <w:rPr>
          <w:color w:val="231F20"/>
          <w:w w:val="105"/>
        </w:rPr>
        <w:t>mandatory,</w:t>
      </w:r>
      <w:r>
        <w:rPr>
          <w:color w:val="231F20"/>
          <w:spacing w:val="-6"/>
          <w:w w:val="105"/>
        </w:rPr>
        <w:t xml:space="preserve"> </w:t>
      </w:r>
      <w:r>
        <w:rPr>
          <w:color w:val="231F20"/>
          <w:w w:val="105"/>
        </w:rPr>
        <w:t>and</w:t>
      </w:r>
      <w:r>
        <w:rPr>
          <w:color w:val="231F20"/>
          <w:spacing w:val="-6"/>
          <w:w w:val="105"/>
        </w:rPr>
        <w:t xml:space="preserve"> </w:t>
      </w:r>
      <w:r>
        <w:rPr>
          <w:color w:val="231F20"/>
          <w:w w:val="105"/>
        </w:rPr>
        <w:t>women</w:t>
      </w:r>
      <w:r>
        <w:rPr>
          <w:color w:val="231F20"/>
          <w:spacing w:val="-6"/>
          <w:w w:val="105"/>
        </w:rPr>
        <w:t xml:space="preserve"> </w:t>
      </w:r>
      <w:r>
        <w:rPr>
          <w:color w:val="231F20"/>
          <w:w w:val="105"/>
        </w:rPr>
        <w:t>were</w:t>
      </w:r>
      <w:r>
        <w:rPr>
          <w:color w:val="231F20"/>
          <w:spacing w:val="-6"/>
          <w:w w:val="105"/>
        </w:rPr>
        <w:t xml:space="preserve"> </w:t>
      </w:r>
      <w:r>
        <w:rPr>
          <w:color w:val="231F20"/>
          <w:w w:val="105"/>
        </w:rPr>
        <w:t>passed</w:t>
      </w:r>
      <w:r>
        <w:rPr>
          <w:color w:val="231F20"/>
          <w:spacing w:val="-6"/>
          <w:w w:val="105"/>
        </w:rPr>
        <w:t xml:space="preserve"> </w:t>
      </w:r>
      <w:r>
        <w:rPr>
          <w:color w:val="231F20"/>
          <w:w w:val="105"/>
        </w:rPr>
        <w:t>around</w:t>
      </w:r>
      <w:r>
        <w:rPr>
          <w:color w:val="231F20"/>
          <w:spacing w:val="-6"/>
          <w:w w:val="105"/>
        </w:rPr>
        <w:t xml:space="preserve"> </w:t>
      </w:r>
      <w:r>
        <w:rPr>
          <w:color w:val="231F20"/>
          <w:w w:val="105"/>
        </w:rPr>
        <w:t>between</w:t>
      </w:r>
      <w:r>
        <w:rPr>
          <w:color w:val="231F20"/>
          <w:spacing w:val="-6"/>
          <w:w w:val="105"/>
        </w:rPr>
        <w:t xml:space="preserve"> </w:t>
      </w:r>
      <w:r>
        <w:rPr>
          <w:color w:val="231F20"/>
          <w:w w:val="105"/>
        </w:rPr>
        <w:t>the “revolutionaries”—as</w:t>
      </w:r>
      <w:r>
        <w:rPr>
          <w:color w:val="231F20"/>
          <w:spacing w:val="-6"/>
          <w:w w:val="105"/>
        </w:rPr>
        <w:t xml:space="preserve"> </w:t>
      </w:r>
      <w:r>
        <w:rPr>
          <w:color w:val="231F20"/>
          <w:w w:val="105"/>
        </w:rPr>
        <w:t>one</w:t>
      </w:r>
      <w:r>
        <w:rPr>
          <w:color w:val="231F20"/>
          <w:spacing w:val="-6"/>
          <w:w w:val="105"/>
        </w:rPr>
        <w:t xml:space="preserve"> </w:t>
      </w:r>
      <w:r>
        <w:rPr>
          <w:color w:val="231F20"/>
          <w:w w:val="105"/>
        </w:rPr>
        <w:t>male</w:t>
      </w:r>
      <w:r>
        <w:rPr>
          <w:color w:val="231F20"/>
          <w:spacing w:val="-6"/>
          <w:w w:val="105"/>
        </w:rPr>
        <w:t xml:space="preserve"> </w:t>
      </w:r>
      <w:r>
        <w:rPr>
          <w:color w:val="231F20"/>
          <w:w w:val="105"/>
        </w:rPr>
        <w:t>communard</w:t>
      </w:r>
      <w:r>
        <w:rPr>
          <w:color w:val="231F20"/>
          <w:spacing w:val="-6"/>
          <w:w w:val="105"/>
        </w:rPr>
        <w:t xml:space="preserve"> </w:t>
      </w:r>
      <w:r>
        <w:rPr>
          <w:color w:val="231F20"/>
          <w:w w:val="105"/>
        </w:rPr>
        <w:t>put</w:t>
      </w:r>
      <w:r>
        <w:rPr>
          <w:color w:val="231F20"/>
          <w:spacing w:val="-6"/>
          <w:w w:val="105"/>
        </w:rPr>
        <w:t xml:space="preserve"> </w:t>
      </w:r>
      <w:r>
        <w:rPr>
          <w:color w:val="231F20"/>
          <w:w w:val="105"/>
        </w:rPr>
        <w:t>it,</w:t>
      </w:r>
      <w:r>
        <w:rPr>
          <w:color w:val="231F20"/>
          <w:spacing w:val="-6"/>
          <w:w w:val="105"/>
        </w:rPr>
        <w:t xml:space="preserve"> </w:t>
      </w:r>
      <w:r>
        <w:rPr>
          <w:color w:val="231F20"/>
          <w:w w:val="105"/>
        </w:rPr>
        <w:t>“It’s</w:t>
      </w:r>
      <w:r>
        <w:rPr>
          <w:color w:val="231F20"/>
          <w:spacing w:val="-6"/>
          <w:w w:val="105"/>
        </w:rPr>
        <w:t xml:space="preserve"> </w:t>
      </w:r>
      <w:r>
        <w:rPr>
          <w:color w:val="231F20"/>
          <w:w w:val="105"/>
        </w:rPr>
        <w:t>like</w:t>
      </w:r>
      <w:r>
        <w:rPr>
          <w:color w:val="231F20"/>
          <w:spacing w:val="-6"/>
          <w:w w:val="105"/>
        </w:rPr>
        <w:t xml:space="preserve"> </w:t>
      </w:r>
      <w:r>
        <w:rPr>
          <w:color w:val="231F20"/>
          <w:w w:val="105"/>
        </w:rPr>
        <w:t>training</w:t>
      </w:r>
      <w:r>
        <w:rPr>
          <w:color w:val="231F20"/>
          <w:spacing w:val="-6"/>
          <w:w w:val="105"/>
        </w:rPr>
        <w:t xml:space="preserve"> </w:t>
      </w:r>
      <w:r>
        <w:rPr>
          <w:color w:val="231F20"/>
          <w:w w:val="105"/>
        </w:rPr>
        <w:t>a horse;</w:t>
      </w:r>
      <w:r>
        <w:rPr>
          <w:color w:val="231F20"/>
          <w:spacing w:val="-27"/>
          <w:w w:val="105"/>
        </w:rPr>
        <w:t xml:space="preserve"> </w:t>
      </w:r>
      <w:r>
        <w:rPr>
          <w:color w:val="231F20"/>
          <w:w w:val="105"/>
        </w:rPr>
        <w:t>one</w:t>
      </w:r>
      <w:r>
        <w:rPr>
          <w:color w:val="231F20"/>
          <w:spacing w:val="-27"/>
          <w:w w:val="105"/>
        </w:rPr>
        <w:t xml:space="preserve"> </w:t>
      </w:r>
      <w:r>
        <w:rPr>
          <w:color w:val="231F20"/>
          <w:w w:val="105"/>
        </w:rPr>
        <w:t>guy</w:t>
      </w:r>
      <w:r>
        <w:rPr>
          <w:color w:val="231F20"/>
          <w:spacing w:val="-27"/>
          <w:w w:val="105"/>
        </w:rPr>
        <w:t xml:space="preserve"> </w:t>
      </w:r>
      <w:r>
        <w:rPr>
          <w:color w:val="231F20"/>
          <w:w w:val="105"/>
        </w:rPr>
        <w:t>has</w:t>
      </w:r>
      <w:r>
        <w:rPr>
          <w:color w:val="231F20"/>
          <w:spacing w:val="-27"/>
          <w:w w:val="105"/>
        </w:rPr>
        <w:t xml:space="preserve"> </w:t>
      </w:r>
      <w:r>
        <w:rPr>
          <w:color w:val="231F20"/>
          <w:w w:val="105"/>
        </w:rPr>
        <w:t>to</w:t>
      </w:r>
      <w:r>
        <w:rPr>
          <w:color w:val="231F20"/>
          <w:spacing w:val="-27"/>
          <w:w w:val="105"/>
        </w:rPr>
        <w:t xml:space="preserve"> </w:t>
      </w:r>
      <w:r>
        <w:rPr>
          <w:color w:val="231F20"/>
          <w:w w:val="105"/>
        </w:rPr>
        <w:t>break</w:t>
      </w:r>
      <w:r>
        <w:rPr>
          <w:color w:val="231F20"/>
          <w:spacing w:val="-27"/>
          <w:w w:val="105"/>
        </w:rPr>
        <w:t xml:space="preserve"> </w:t>
      </w:r>
      <w:r>
        <w:rPr>
          <w:color w:val="231F20"/>
          <w:w w:val="105"/>
        </w:rPr>
        <w:t>her</w:t>
      </w:r>
      <w:r>
        <w:rPr>
          <w:color w:val="231F20"/>
          <w:spacing w:val="-27"/>
          <w:w w:val="105"/>
        </w:rPr>
        <w:t xml:space="preserve"> </w:t>
      </w:r>
      <w:r>
        <w:rPr>
          <w:color w:val="231F20"/>
          <w:w w:val="105"/>
        </w:rPr>
        <w:t>in,</w:t>
      </w:r>
      <w:r>
        <w:rPr>
          <w:color w:val="231F20"/>
          <w:spacing w:val="-27"/>
          <w:w w:val="105"/>
        </w:rPr>
        <w:t xml:space="preserve"> </w:t>
      </w:r>
      <w:r>
        <w:rPr>
          <w:color w:val="231F20"/>
          <w:w w:val="105"/>
        </w:rPr>
        <w:t>then</w:t>
      </w:r>
      <w:r>
        <w:rPr>
          <w:color w:val="231F20"/>
          <w:spacing w:val="-27"/>
          <w:w w:val="105"/>
        </w:rPr>
        <w:t xml:space="preserve"> </w:t>
      </w:r>
      <w:r>
        <w:rPr>
          <w:color w:val="231F20"/>
          <w:spacing w:val="-3"/>
          <w:w w:val="105"/>
        </w:rPr>
        <w:t>she’s</w:t>
      </w:r>
      <w:r>
        <w:rPr>
          <w:color w:val="231F20"/>
          <w:spacing w:val="-27"/>
          <w:w w:val="105"/>
        </w:rPr>
        <w:t xml:space="preserve"> </w:t>
      </w:r>
      <w:r>
        <w:rPr>
          <w:color w:val="231F20"/>
          <w:w w:val="105"/>
        </w:rPr>
        <w:t>available</w:t>
      </w:r>
      <w:r>
        <w:rPr>
          <w:color w:val="231F20"/>
          <w:spacing w:val="-27"/>
          <w:w w:val="105"/>
        </w:rPr>
        <w:t xml:space="preserve"> </w:t>
      </w:r>
      <w:r>
        <w:rPr>
          <w:color w:val="231F20"/>
          <w:w w:val="105"/>
        </w:rPr>
        <w:t>for</w:t>
      </w:r>
      <w:r>
        <w:rPr>
          <w:color w:val="231F20"/>
          <w:spacing w:val="-27"/>
          <w:w w:val="105"/>
        </w:rPr>
        <w:t xml:space="preserve"> </w:t>
      </w:r>
      <w:r>
        <w:rPr>
          <w:color w:val="231F20"/>
          <w:w w:val="105"/>
        </w:rPr>
        <w:t>everyone.”</w:t>
      </w:r>
      <w:r>
        <w:rPr>
          <w:color w:val="231F20"/>
          <w:w w:val="105"/>
          <w:position w:val="7"/>
          <w:sz w:val="11"/>
        </w:rPr>
        <w:t>7</w:t>
      </w:r>
      <w:r>
        <w:rPr>
          <w:color w:val="231F20"/>
          <w:spacing w:val="-14"/>
          <w:w w:val="105"/>
          <w:position w:val="7"/>
          <w:sz w:val="11"/>
        </w:rPr>
        <w:t xml:space="preserve"> </w:t>
      </w:r>
      <w:r>
        <w:rPr>
          <w:color w:val="231F20"/>
          <w:w w:val="105"/>
        </w:rPr>
        <w:t>As Bommi</w:t>
      </w:r>
      <w:r>
        <w:rPr>
          <w:color w:val="231F20"/>
          <w:spacing w:val="-8"/>
          <w:w w:val="105"/>
        </w:rPr>
        <w:t xml:space="preserve"> </w:t>
      </w:r>
      <w:r>
        <w:rPr>
          <w:color w:val="231F20"/>
          <w:w w:val="105"/>
        </w:rPr>
        <w:t>Baumann</w:t>
      </w:r>
      <w:r>
        <w:rPr>
          <w:color w:val="231F20"/>
          <w:spacing w:val="-8"/>
          <w:w w:val="105"/>
        </w:rPr>
        <w:t xml:space="preserve"> </w:t>
      </w:r>
      <w:r>
        <w:rPr>
          <w:color w:val="231F20"/>
          <w:w w:val="105"/>
        </w:rPr>
        <w:t>would</w:t>
      </w:r>
      <w:r>
        <w:rPr>
          <w:color w:val="231F20"/>
          <w:spacing w:val="-8"/>
          <w:w w:val="105"/>
        </w:rPr>
        <w:t xml:space="preserve"> </w:t>
      </w:r>
      <w:r>
        <w:rPr>
          <w:color w:val="231F20"/>
          <w:w w:val="105"/>
        </w:rPr>
        <w:t>later</w:t>
      </w:r>
      <w:r>
        <w:rPr>
          <w:color w:val="231F20"/>
          <w:spacing w:val="-8"/>
          <w:w w:val="105"/>
        </w:rPr>
        <w:t xml:space="preserve"> </w:t>
      </w:r>
      <w:r>
        <w:rPr>
          <w:color w:val="231F20"/>
          <w:w w:val="105"/>
        </w:rPr>
        <w:t>admit</w:t>
      </w:r>
      <w:r>
        <w:rPr>
          <w:color w:val="231F20"/>
          <w:spacing w:val="-8"/>
          <w:w w:val="105"/>
        </w:rPr>
        <w:t xml:space="preserve"> </w:t>
      </w:r>
      <w:r>
        <w:rPr>
          <w:color w:val="231F20"/>
          <w:w w:val="105"/>
        </w:rPr>
        <w:t>regarding</w:t>
      </w:r>
      <w:r>
        <w:rPr>
          <w:color w:val="231F20"/>
          <w:spacing w:val="-8"/>
          <w:w w:val="105"/>
        </w:rPr>
        <w:t xml:space="preserve"> </w:t>
      </w:r>
      <w:r>
        <w:rPr>
          <w:color w:val="231F20"/>
          <w:w w:val="105"/>
        </w:rPr>
        <w:t>the</w:t>
      </w:r>
      <w:r>
        <w:rPr>
          <w:color w:val="231F20"/>
          <w:spacing w:val="-8"/>
          <w:w w:val="105"/>
        </w:rPr>
        <w:t xml:space="preserve"> </w:t>
      </w:r>
      <w:r>
        <w:rPr>
          <w:color w:val="231F20"/>
          <w:w w:val="105"/>
        </w:rPr>
        <w:t>Hash</w:t>
      </w:r>
      <w:r>
        <w:rPr>
          <w:color w:val="231F20"/>
          <w:spacing w:val="-8"/>
          <w:w w:val="105"/>
        </w:rPr>
        <w:t xml:space="preserve"> </w:t>
      </w:r>
      <w:r>
        <w:rPr>
          <w:color w:val="231F20"/>
          <w:w w:val="105"/>
        </w:rPr>
        <w:t>Rebels,</w:t>
      </w:r>
      <w:r>
        <w:rPr>
          <w:color w:val="231F20"/>
          <w:spacing w:val="-8"/>
          <w:w w:val="105"/>
        </w:rPr>
        <w:t xml:space="preserve"> </w:t>
      </w:r>
      <w:r>
        <w:rPr>
          <w:color w:val="231F20"/>
          <w:w w:val="105"/>
        </w:rPr>
        <w:t>“They were</w:t>
      </w:r>
      <w:r>
        <w:rPr>
          <w:color w:val="231F20"/>
          <w:spacing w:val="-9"/>
          <w:w w:val="105"/>
        </w:rPr>
        <w:t xml:space="preserve"> </w:t>
      </w:r>
      <w:r>
        <w:rPr>
          <w:color w:val="231F20"/>
          <w:w w:val="105"/>
        </w:rPr>
        <w:t>just</w:t>
      </w:r>
      <w:r>
        <w:rPr>
          <w:color w:val="231F20"/>
          <w:spacing w:val="-9"/>
          <w:w w:val="105"/>
        </w:rPr>
        <w:t xml:space="preserve"> </w:t>
      </w:r>
      <w:r>
        <w:rPr>
          <w:color w:val="231F20"/>
          <w:w w:val="105"/>
        </w:rPr>
        <w:t>pure</w:t>
      </w:r>
      <w:r>
        <w:rPr>
          <w:color w:val="231F20"/>
          <w:spacing w:val="-9"/>
          <w:w w:val="105"/>
        </w:rPr>
        <w:t xml:space="preserve"> </w:t>
      </w:r>
      <w:r>
        <w:rPr>
          <w:color w:val="231F20"/>
          <w:w w:val="105"/>
        </w:rPr>
        <w:t>oppressors</w:t>
      </w:r>
      <w:r>
        <w:rPr>
          <w:color w:val="231F20"/>
          <w:spacing w:val="-9"/>
          <w:w w:val="105"/>
        </w:rPr>
        <w:t xml:space="preserve"> </w:t>
      </w:r>
      <w:r>
        <w:rPr>
          <w:color w:val="231F20"/>
          <w:w w:val="105"/>
        </w:rPr>
        <w:t>of</w:t>
      </w:r>
      <w:r>
        <w:rPr>
          <w:color w:val="231F20"/>
          <w:spacing w:val="-9"/>
          <w:w w:val="105"/>
        </w:rPr>
        <w:t xml:space="preserve"> </w:t>
      </w:r>
      <w:r>
        <w:rPr>
          <w:color w:val="231F20"/>
          <w:w w:val="105"/>
        </w:rPr>
        <w:t>women;</w:t>
      </w:r>
      <w:r>
        <w:rPr>
          <w:color w:val="231F20"/>
          <w:spacing w:val="-9"/>
          <w:w w:val="105"/>
        </w:rPr>
        <w:t xml:space="preserve"> </w:t>
      </w:r>
      <w:r>
        <w:rPr>
          <w:color w:val="231F20"/>
          <w:w w:val="105"/>
        </w:rPr>
        <w:t>it</w:t>
      </w:r>
      <w:r>
        <w:rPr>
          <w:color w:val="231F20"/>
          <w:spacing w:val="-9"/>
          <w:w w:val="105"/>
        </w:rPr>
        <w:t xml:space="preserve"> </w:t>
      </w:r>
      <w:r>
        <w:rPr>
          <w:color w:val="231F20"/>
          <w:w w:val="105"/>
        </w:rPr>
        <w:t>can’t</w:t>
      </w:r>
      <w:r>
        <w:rPr>
          <w:color w:val="231F20"/>
          <w:spacing w:val="-9"/>
          <w:w w:val="105"/>
        </w:rPr>
        <w:t xml:space="preserve"> </w:t>
      </w:r>
      <w:r>
        <w:rPr>
          <w:color w:val="231F20"/>
          <w:w w:val="105"/>
        </w:rPr>
        <w:t>be</w:t>
      </w:r>
      <w:r>
        <w:rPr>
          <w:color w:val="231F20"/>
          <w:spacing w:val="-9"/>
          <w:w w:val="105"/>
        </w:rPr>
        <w:t xml:space="preserve"> </w:t>
      </w:r>
      <w:r>
        <w:rPr>
          <w:color w:val="231F20"/>
          <w:w w:val="105"/>
        </w:rPr>
        <w:t>put</w:t>
      </w:r>
      <w:r>
        <w:rPr>
          <w:color w:val="231F20"/>
          <w:spacing w:val="-9"/>
          <w:w w:val="105"/>
        </w:rPr>
        <w:t xml:space="preserve"> </w:t>
      </w:r>
      <w:r>
        <w:rPr>
          <w:color w:val="231F20"/>
          <w:w w:val="105"/>
        </w:rPr>
        <w:t>any</w:t>
      </w:r>
      <w:r>
        <w:rPr>
          <w:color w:val="231F20"/>
          <w:spacing w:val="-9"/>
          <w:w w:val="105"/>
        </w:rPr>
        <w:t xml:space="preserve"> </w:t>
      </w:r>
      <w:r>
        <w:rPr>
          <w:color w:val="231F20"/>
          <w:w w:val="105"/>
        </w:rPr>
        <w:t>other</w:t>
      </w:r>
      <w:r>
        <w:rPr>
          <w:color w:val="231F20"/>
          <w:spacing w:val="-9"/>
          <w:w w:val="105"/>
        </w:rPr>
        <w:t xml:space="preserve"> </w:t>
      </w:r>
      <w:r>
        <w:rPr>
          <w:color w:val="231F20"/>
          <w:spacing w:val="-6"/>
          <w:w w:val="105"/>
        </w:rPr>
        <w:t>way.”</w:t>
      </w:r>
      <w:r>
        <w:rPr>
          <w:color w:val="231F20"/>
          <w:spacing w:val="-6"/>
          <w:w w:val="105"/>
          <w:position w:val="7"/>
          <w:sz w:val="11"/>
        </w:rPr>
        <w:t>8</w:t>
      </w:r>
    </w:p>
    <w:p w14:paraId="2688977F" w14:textId="77777777" w:rsidR="002653E8" w:rsidRDefault="003115E3">
      <w:pPr>
        <w:pStyle w:val="a3"/>
        <w:spacing w:line="218" w:lineRule="exact"/>
        <w:ind w:left="1537"/>
      </w:pPr>
      <w:r>
        <w:rPr>
          <w:color w:val="231F20"/>
        </w:rPr>
        <w:t xml:space="preserve">There were always many women playing central roles in the </w:t>
      </w:r>
      <w:r w:rsidR="00C507A5">
        <w:rPr>
          <w:color w:val="231F20"/>
        </w:rPr>
        <w:t>red army faction</w:t>
      </w:r>
      <w:r>
        <w:rPr>
          <w:color w:val="231F20"/>
        </w:rPr>
        <w:t>. It</w:t>
      </w:r>
    </w:p>
    <w:p w14:paraId="6128AAFE" w14:textId="77777777" w:rsidR="002653E8" w:rsidRDefault="003115E3">
      <w:pPr>
        <w:pStyle w:val="a3"/>
        <w:spacing w:before="12" w:line="264" w:lineRule="auto"/>
        <w:ind w:left="1327" w:right="1146"/>
        <w:jc w:val="both"/>
        <w:rPr>
          <w:sz w:val="11"/>
        </w:rPr>
      </w:pPr>
      <w:r>
        <w:rPr>
          <w:color w:val="231F20"/>
        </w:rPr>
        <w:t xml:space="preserve">is difficult to imagine Ulrike Meinhof, Gudrun Ensslin, or Astrid Proll putting up with the kind of sexist libertinage which has been documented in the </w:t>
      </w:r>
      <w:r>
        <w:rPr>
          <w:color w:val="231F20"/>
          <w:spacing w:val="-3"/>
        </w:rPr>
        <w:t xml:space="preserve">West </w:t>
      </w:r>
      <w:r>
        <w:rPr>
          <w:color w:val="231F20"/>
        </w:rPr>
        <w:t xml:space="preserve">Berlin anarchist scene. Indeed, during her own period in the wild depths of the counterculture, Proll had not gone to </w:t>
      </w:r>
      <w:r>
        <w:rPr>
          <w:color w:val="231F20"/>
          <w:spacing w:val="-4"/>
        </w:rPr>
        <w:t xml:space="preserve">K.1 </w:t>
      </w:r>
      <w:r>
        <w:rPr>
          <w:color w:val="231F20"/>
        </w:rPr>
        <w:t xml:space="preserve">but had chosen to live in a </w:t>
      </w:r>
      <w:r>
        <w:rPr>
          <w:color w:val="231F20"/>
          <w:spacing w:val="-3"/>
        </w:rPr>
        <w:t xml:space="preserve">women’s  </w:t>
      </w:r>
      <w:r>
        <w:rPr>
          <w:color w:val="231F20"/>
        </w:rPr>
        <w:t>only commune, helping to form        a short-lived female version of the Hash Rebels, the Militant Black Panther</w:t>
      </w:r>
      <w:r>
        <w:rPr>
          <w:color w:val="231F20"/>
          <w:spacing w:val="6"/>
        </w:rPr>
        <w:t xml:space="preserve"> </w:t>
      </w:r>
      <w:r>
        <w:rPr>
          <w:color w:val="231F20"/>
        </w:rPr>
        <w:t>Aunties.</w:t>
      </w:r>
      <w:r>
        <w:rPr>
          <w:color w:val="231F20"/>
          <w:position w:val="7"/>
          <w:sz w:val="11"/>
        </w:rPr>
        <w:t>9</w:t>
      </w:r>
    </w:p>
    <w:p w14:paraId="7034B387" w14:textId="77777777" w:rsidR="002653E8" w:rsidRDefault="00000000">
      <w:pPr>
        <w:pStyle w:val="a3"/>
        <w:spacing w:before="10"/>
        <w:rPr>
          <w:sz w:val="25"/>
        </w:rPr>
      </w:pPr>
      <w:r>
        <w:rPr>
          <w:noProof w:val="0"/>
        </w:rPr>
        <w:pict w14:anchorId="6C9AAD8E">
          <v:line id="_x0000_s2643" style="position:absolute;z-index:2680;mso-wrap-distance-left:0;mso-wrap-distance-right:0;mso-position-horizontal-relative:page" from="66.4pt,17.35pt" to="138.4pt,17.35pt" strokecolor="#231f20" strokeweight=".5pt">
            <w10:wrap type="topAndBottom" anchorx="page"/>
          </v:line>
        </w:pict>
      </w:r>
    </w:p>
    <w:p w14:paraId="30D83968" w14:textId="77777777" w:rsidR="002653E8" w:rsidRDefault="003115E3">
      <w:pPr>
        <w:pStyle w:val="a4"/>
        <w:numPr>
          <w:ilvl w:val="0"/>
          <w:numId w:val="175"/>
        </w:numPr>
        <w:tabs>
          <w:tab w:val="left" w:pos="1467"/>
        </w:tabs>
        <w:spacing w:before="53"/>
        <w:ind w:left="1466"/>
        <w:jc w:val="left"/>
        <w:rPr>
          <w:sz w:val="16"/>
        </w:rPr>
      </w:pPr>
      <w:r>
        <w:rPr>
          <w:color w:val="231F20"/>
          <w:w w:val="110"/>
          <w:sz w:val="16"/>
        </w:rPr>
        <w:t>Ibid.</w:t>
      </w:r>
    </w:p>
    <w:p w14:paraId="721F0BE4" w14:textId="77777777" w:rsidR="002653E8" w:rsidRDefault="003115E3">
      <w:pPr>
        <w:pStyle w:val="a4"/>
        <w:numPr>
          <w:ilvl w:val="0"/>
          <w:numId w:val="175"/>
        </w:numPr>
        <w:tabs>
          <w:tab w:val="left" w:pos="1467"/>
        </w:tabs>
        <w:spacing w:before="51"/>
        <w:ind w:left="1466"/>
        <w:jc w:val="left"/>
        <w:rPr>
          <w:sz w:val="16"/>
        </w:rPr>
      </w:pPr>
      <w:r>
        <w:rPr>
          <w:color w:val="231F20"/>
          <w:spacing w:val="1"/>
          <w:w w:val="110"/>
          <w:sz w:val="16"/>
        </w:rPr>
        <w:t>Baumann,</w:t>
      </w:r>
      <w:r>
        <w:rPr>
          <w:color w:val="231F20"/>
          <w:spacing w:val="6"/>
          <w:w w:val="110"/>
          <w:sz w:val="16"/>
        </w:rPr>
        <w:t xml:space="preserve"> </w:t>
      </w:r>
      <w:r>
        <w:rPr>
          <w:color w:val="231F20"/>
          <w:w w:val="110"/>
          <w:sz w:val="16"/>
        </w:rPr>
        <w:t>77-78.</w:t>
      </w:r>
    </w:p>
    <w:p w14:paraId="2C18241D" w14:textId="77777777" w:rsidR="002653E8" w:rsidRDefault="003115E3">
      <w:pPr>
        <w:pStyle w:val="a4"/>
        <w:numPr>
          <w:ilvl w:val="0"/>
          <w:numId w:val="175"/>
        </w:numPr>
        <w:tabs>
          <w:tab w:val="left" w:pos="1467"/>
        </w:tabs>
        <w:spacing w:before="52"/>
        <w:ind w:left="1466" w:hanging="138"/>
        <w:jc w:val="left"/>
        <w:rPr>
          <w:sz w:val="16"/>
        </w:rPr>
      </w:pPr>
      <w:r>
        <w:rPr>
          <w:color w:val="231F20"/>
          <w:w w:val="110"/>
          <w:sz w:val="16"/>
        </w:rPr>
        <w:t>Herzog,</w:t>
      </w:r>
      <w:r>
        <w:rPr>
          <w:color w:val="231F20"/>
          <w:spacing w:val="6"/>
          <w:w w:val="110"/>
          <w:sz w:val="16"/>
        </w:rPr>
        <w:t xml:space="preserve"> </w:t>
      </w:r>
      <w:r>
        <w:rPr>
          <w:color w:val="231F20"/>
          <w:spacing w:val="-4"/>
          <w:w w:val="110"/>
          <w:sz w:val="16"/>
        </w:rPr>
        <w:t>425.</w:t>
      </w:r>
    </w:p>
    <w:p w14:paraId="352E30CC" w14:textId="77777777" w:rsidR="002653E8" w:rsidRDefault="003115E3">
      <w:pPr>
        <w:pStyle w:val="a4"/>
        <w:numPr>
          <w:ilvl w:val="0"/>
          <w:numId w:val="175"/>
        </w:numPr>
        <w:tabs>
          <w:tab w:val="left" w:pos="1467"/>
        </w:tabs>
        <w:spacing w:before="52"/>
        <w:ind w:left="1466" w:hanging="138"/>
        <w:jc w:val="left"/>
        <w:rPr>
          <w:sz w:val="16"/>
        </w:rPr>
      </w:pPr>
      <w:r>
        <w:rPr>
          <w:color w:val="231F20"/>
          <w:spacing w:val="1"/>
          <w:w w:val="110"/>
          <w:sz w:val="16"/>
        </w:rPr>
        <w:t>Baumann,</w:t>
      </w:r>
      <w:r>
        <w:rPr>
          <w:color w:val="231F20"/>
          <w:spacing w:val="6"/>
          <w:w w:val="110"/>
          <w:sz w:val="16"/>
        </w:rPr>
        <w:t xml:space="preserve"> </w:t>
      </w:r>
      <w:r>
        <w:rPr>
          <w:color w:val="231F20"/>
          <w:spacing w:val="-5"/>
          <w:w w:val="110"/>
          <w:sz w:val="16"/>
        </w:rPr>
        <w:t>75.</w:t>
      </w:r>
    </w:p>
    <w:p w14:paraId="4812C7CB" w14:textId="77777777" w:rsidR="002653E8" w:rsidRDefault="003115E3">
      <w:pPr>
        <w:pStyle w:val="a4"/>
        <w:numPr>
          <w:ilvl w:val="0"/>
          <w:numId w:val="175"/>
        </w:numPr>
        <w:tabs>
          <w:tab w:val="left" w:pos="1467"/>
        </w:tabs>
        <w:spacing w:before="51" w:line="254" w:lineRule="auto"/>
        <w:ind w:right="1364" w:firstLine="0"/>
        <w:jc w:val="left"/>
        <w:rPr>
          <w:sz w:val="16"/>
        </w:rPr>
      </w:pPr>
      <w:r>
        <w:rPr>
          <w:color w:val="231F20"/>
          <w:w w:val="110"/>
          <w:sz w:val="16"/>
        </w:rPr>
        <w:t xml:space="preserve">Eileen MacDonald, </w:t>
      </w:r>
      <w:r>
        <w:rPr>
          <w:i/>
          <w:color w:val="231F20"/>
          <w:w w:val="110"/>
          <w:sz w:val="16"/>
        </w:rPr>
        <w:t xml:space="preserve">Shoot the Women First </w:t>
      </w:r>
      <w:r>
        <w:rPr>
          <w:color w:val="231F20"/>
          <w:w w:val="110"/>
          <w:sz w:val="16"/>
        </w:rPr>
        <w:t xml:space="preserve">(London: Arrow Books Ltd., </w:t>
      </w:r>
      <w:r>
        <w:rPr>
          <w:color w:val="231F20"/>
          <w:spacing w:val="-4"/>
          <w:w w:val="110"/>
          <w:sz w:val="16"/>
        </w:rPr>
        <w:t xml:space="preserve">1991), </w:t>
      </w:r>
      <w:r>
        <w:rPr>
          <w:color w:val="231F20"/>
          <w:w w:val="110"/>
          <w:sz w:val="16"/>
        </w:rPr>
        <w:t>209-210.</w:t>
      </w:r>
    </w:p>
    <w:p w14:paraId="13878DBE" w14:textId="77777777" w:rsidR="002653E8" w:rsidRDefault="002653E8">
      <w:pPr>
        <w:spacing w:line="254" w:lineRule="auto"/>
        <w:rPr>
          <w:sz w:val="16"/>
        </w:rPr>
        <w:sectPr w:rsidR="002653E8">
          <w:pgSz w:w="8640" w:h="12960"/>
          <w:pgMar w:top="1060" w:right="0" w:bottom="1040" w:left="0" w:header="0" w:footer="850" w:gutter="0"/>
          <w:cols w:space="720"/>
        </w:sectPr>
      </w:pPr>
    </w:p>
    <w:p w14:paraId="52556114" w14:textId="77777777" w:rsidR="002653E8" w:rsidRDefault="003115E3">
      <w:pPr>
        <w:pStyle w:val="a3"/>
        <w:spacing w:before="86" w:line="264" w:lineRule="auto"/>
        <w:ind w:left="1147" w:right="1325" w:firstLine="210"/>
        <w:jc w:val="both"/>
      </w:pPr>
      <w:r>
        <w:rPr>
          <w:color w:val="231F20"/>
        </w:rPr>
        <w:lastRenderedPageBreak/>
        <w:t xml:space="preserve">These various explanations, however, are not only difficult to evaluate, they also risk obscuring the fact that cooperation between the anarchist guerilla scene and the Marxist-Leninists would continue throughout the seventies, many members of the former eventually joining the </w:t>
      </w:r>
      <w:r w:rsidR="00C507A5">
        <w:rPr>
          <w:color w:val="231F20"/>
        </w:rPr>
        <w:t>red army faction</w:t>
      </w:r>
      <w:r>
        <w:rPr>
          <w:color w:val="231F20"/>
        </w:rPr>
        <w:t xml:space="preserve">, while a few individuals continued to </w:t>
      </w:r>
      <w:r>
        <w:rPr>
          <w:color w:val="231F20"/>
          <w:spacing w:val="1"/>
        </w:rPr>
        <w:t xml:space="preserve">carry </w:t>
      </w:r>
      <w:r>
        <w:rPr>
          <w:color w:val="231F20"/>
        </w:rPr>
        <w:t>out operations with both organizations. Certainly, from what can be seen, a high level of coordination and solidarity existed between the groups at all times. While their supporters might occasionally engage in unpleasant disputes, the actual fighters seem to have maintained good relations even as they traveled their different</w:t>
      </w:r>
      <w:r>
        <w:rPr>
          <w:color w:val="231F20"/>
          <w:spacing w:val="6"/>
        </w:rPr>
        <w:t xml:space="preserve"> </w:t>
      </w:r>
      <w:r>
        <w:rPr>
          <w:color w:val="231F20"/>
        </w:rPr>
        <w:t>roads.</w:t>
      </w:r>
    </w:p>
    <w:p w14:paraId="307A18CE" w14:textId="77777777" w:rsidR="002653E8" w:rsidRDefault="003115E3">
      <w:pPr>
        <w:pStyle w:val="a3"/>
        <w:spacing w:line="264" w:lineRule="auto"/>
        <w:ind w:left="1147" w:right="1326" w:firstLine="210"/>
        <w:jc w:val="both"/>
      </w:pPr>
      <w:r>
        <w:rPr>
          <w:color w:val="231F20"/>
        </w:rPr>
        <w:t xml:space="preserve">Ultimately, in the early 80s, the 2nd of June Movement would publicly announce that it was joining the </w:t>
      </w:r>
      <w:r w:rsidR="00C507A5">
        <w:rPr>
          <w:color w:val="231F20"/>
          <w:spacing w:val="5"/>
        </w:rPr>
        <w:t>red army faction</w:t>
      </w:r>
      <w:r>
        <w:rPr>
          <w:color w:val="231F20"/>
          <w:spacing w:val="5"/>
        </w:rPr>
        <w:t xml:space="preserve"> </w:t>
      </w:r>
      <w:r>
        <w:rPr>
          <w:color w:val="231F20"/>
        </w:rPr>
        <w:t>en masse. This provided the opportunity for some 2JM political prisoners who opposed the merger to give their own explanation as to why they had always chosen to fight separately. Although these observations were made over ten years later, they</w:t>
      </w:r>
      <w:r>
        <w:rPr>
          <w:color w:val="231F20"/>
          <w:spacing w:val="8"/>
        </w:rPr>
        <w:t xml:space="preserve"> </w:t>
      </w:r>
      <w:r>
        <w:rPr>
          <w:color w:val="231F20"/>
        </w:rPr>
        <w:t>help</w:t>
      </w:r>
      <w:r>
        <w:rPr>
          <w:color w:val="231F20"/>
          <w:spacing w:val="8"/>
        </w:rPr>
        <w:t xml:space="preserve"> </w:t>
      </w:r>
      <w:r>
        <w:rPr>
          <w:color w:val="231F20"/>
        </w:rPr>
        <w:t>shed</w:t>
      </w:r>
      <w:r>
        <w:rPr>
          <w:color w:val="231F20"/>
          <w:spacing w:val="8"/>
        </w:rPr>
        <w:t xml:space="preserve"> </w:t>
      </w:r>
      <w:r>
        <w:rPr>
          <w:color w:val="231F20"/>
        </w:rPr>
        <w:t>light</w:t>
      </w:r>
      <w:r>
        <w:rPr>
          <w:color w:val="231F20"/>
          <w:spacing w:val="8"/>
        </w:rPr>
        <w:t xml:space="preserve"> </w:t>
      </w:r>
      <w:r>
        <w:rPr>
          <w:color w:val="231F20"/>
        </w:rPr>
        <w:t>on</w:t>
      </w:r>
      <w:r>
        <w:rPr>
          <w:color w:val="231F20"/>
          <w:spacing w:val="8"/>
        </w:rPr>
        <w:t xml:space="preserve"> </w:t>
      </w:r>
      <w:r>
        <w:rPr>
          <w:color w:val="231F20"/>
        </w:rPr>
        <w:t>relations</w:t>
      </w:r>
      <w:r>
        <w:rPr>
          <w:color w:val="231F20"/>
          <w:spacing w:val="8"/>
        </w:rPr>
        <w:t xml:space="preserve"> </w:t>
      </w:r>
      <w:r>
        <w:rPr>
          <w:color w:val="231F20"/>
        </w:rPr>
        <w:t>in</w:t>
      </w:r>
      <w:r>
        <w:rPr>
          <w:color w:val="231F20"/>
          <w:spacing w:val="8"/>
        </w:rPr>
        <w:t xml:space="preserve"> </w:t>
      </w:r>
      <w:r>
        <w:rPr>
          <w:color w:val="231F20"/>
        </w:rPr>
        <w:t>these</w:t>
      </w:r>
      <w:r>
        <w:rPr>
          <w:color w:val="231F20"/>
          <w:spacing w:val="8"/>
        </w:rPr>
        <w:t xml:space="preserve"> </w:t>
      </w:r>
      <w:r>
        <w:rPr>
          <w:color w:val="231F20"/>
        </w:rPr>
        <w:t>early</w:t>
      </w:r>
      <w:r>
        <w:rPr>
          <w:color w:val="231F20"/>
          <w:spacing w:val="8"/>
        </w:rPr>
        <w:t xml:space="preserve"> </w:t>
      </w:r>
      <w:r>
        <w:rPr>
          <w:color w:val="231F20"/>
        </w:rPr>
        <w:t>days:</w:t>
      </w:r>
    </w:p>
    <w:p w14:paraId="571656D3" w14:textId="77777777" w:rsidR="002653E8" w:rsidRDefault="003115E3">
      <w:pPr>
        <w:spacing w:before="112" w:line="276" w:lineRule="auto"/>
        <w:ind w:left="1567" w:right="1738"/>
        <w:jc w:val="both"/>
        <w:rPr>
          <w:i/>
          <w:sz w:val="19"/>
        </w:rPr>
      </w:pPr>
      <w:r>
        <w:rPr>
          <w:i/>
          <w:color w:val="231F20"/>
          <w:w w:val="105"/>
          <w:sz w:val="19"/>
        </w:rPr>
        <w:t xml:space="preserve">The contradiction between the </w:t>
      </w:r>
      <w:r w:rsidR="00C507A5">
        <w:rPr>
          <w:i/>
          <w:color w:val="231F20"/>
          <w:w w:val="105"/>
          <w:sz w:val="19"/>
        </w:rPr>
        <w:t>red army faction</w:t>
      </w:r>
      <w:r>
        <w:rPr>
          <w:i/>
          <w:color w:val="231F20"/>
          <w:w w:val="105"/>
          <w:sz w:val="19"/>
        </w:rPr>
        <w:t xml:space="preserve"> and the </w:t>
      </w:r>
      <w:r>
        <w:rPr>
          <w:rFonts w:ascii="Bookman Old Style" w:hAnsi="Bookman Old Style"/>
          <w:i/>
          <w:color w:val="231F20"/>
          <w:w w:val="105"/>
          <w:sz w:val="19"/>
        </w:rPr>
        <w:t>2</w:t>
      </w:r>
      <w:r>
        <w:rPr>
          <w:i/>
          <w:color w:val="231F20"/>
          <w:w w:val="105"/>
          <w:sz w:val="19"/>
        </w:rPr>
        <w:t xml:space="preserve">nd of June at that time was the result of the different </w:t>
      </w:r>
      <w:r>
        <w:rPr>
          <w:i/>
          <w:color w:val="231F20"/>
          <w:spacing w:val="-3"/>
          <w:w w:val="105"/>
          <w:sz w:val="19"/>
        </w:rPr>
        <w:t xml:space="preserve">ways </w:t>
      </w:r>
      <w:r>
        <w:rPr>
          <w:i/>
          <w:color w:val="231F20"/>
          <w:w w:val="105"/>
          <w:sz w:val="19"/>
        </w:rPr>
        <w:t>the groups had evolved: the</w:t>
      </w:r>
      <w:r>
        <w:rPr>
          <w:i/>
          <w:color w:val="231F20"/>
          <w:spacing w:val="-4"/>
          <w:w w:val="105"/>
          <w:sz w:val="19"/>
        </w:rPr>
        <w:t xml:space="preserve"> </w:t>
      </w:r>
      <w:r>
        <w:rPr>
          <w:rFonts w:ascii="Bookman Old Style" w:hAnsi="Bookman Old Style"/>
          <w:i/>
          <w:color w:val="231F20"/>
          <w:w w:val="105"/>
          <w:sz w:val="19"/>
        </w:rPr>
        <w:t>2</w:t>
      </w:r>
      <w:r>
        <w:rPr>
          <w:i/>
          <w:color w:val="231F20"/>
          <w:w w:val="105"/>
          <w:sz w:val="19"/>
        </w:rPr>
        <w:t>nd</w:t>
      </w:r>
      <w:r>
        <w:rPr>
          <w:i/>
          <w:color w:val="231F20"/>
          <w:spacing w:val="-4"/>
          <w:w w:val="105"/>
          <w:sz w:val="19"/>
        </w:rPr>
        <w:t xml:space="preserve"> </w:t>
      </w:r>
      <w:r>
        <w:rPr>
          <w:i/>
          <w:color w:val="231F20"/>
          <w:w w:val="105"/>
          <w:sz w:val="19"/>
        </w:rPr>
        <w:t>of</w:t>
      </w:r>
      <w:r>
        <w:rPr>
          <w:i/>
          <w:color w:val="231F20"/>
          <w:spacing w:val="-4"/>
          <w:w w:val="105"/>
          <w:sz w:val="19"/>
        </w:rPr>
        <w:t xml:space="preserve"> </w:t>
      </w:r>
      <w:r>
        <w:rPr>
          <w:i/>
          <w:color w:val="231F20"/>
          <w:w w:val="105"/>
          <w:sz w:val="19"/>
        </w:rPr>
        <w:t>June</w:t>
      </w:r>
      <w:r>
        <w:rPr>
          <w:i/>
          <w:color w:val="231F20"/>
          <w:spacing w:val="-4"/>
          <w:w w:val="105"/>
          <w:sz w:val="19"/>
        </w:rPr>
        <w:t xml:space="preserve"> </w:t>
      </w:r>
      <w:r>
        <w:rPr>
          <w:i/>
          <w:color w:val="231F20"/>
          <w:w w:val="105"/>
          <w:sz w:val="19"/>
        </w:rPr>
        <w:t>Movement</w:t>
      </w:r>
      <w:r>
        <w:rPr>
          <w:i/>
          <w:color w:val="231F20"/>
          <w:spacing w:val="-4"/>
          <w:w w:val="105"/>
          <w:sz w:val="19"/>
        </w:rPr>
        <w:t xml:space="preserve"> </w:t>
      </w:r>
      <w:r>
        <w:rPr>
          <w:i/>
          <w:color w:val="231F20"/>
          <w:w w:val="105"/>
          <w:sz w:val="19"/>
        </w:rPr>
        <w:t>out</w:t>
      </w:r>
      <w:r>
        <w:rPr>
          <w:i/>
          <w:color w:val="231F20"/>
          <w:spacing w:val="-4"/>
          <w:w w:val="105"/>
          <w:sz w:val="19"/>
        </w:rPr>
        <w:t xml:space="preserve"> </w:t>
      </w:r>
      <w:r>
        <w:rPr>
          <w:i/>
          <w:color w:val="231F20"/>
          <w:w w:val="105"/>
          <w:sz w:val="19"/>
        </w:rPr>
        <w:t>of</w:t>
      </w:r>
      <w:r>
        <w:rPr>
          <w:i/>
          <w:color w:val="231F20"/>
          <w:spacing w:val="-4"/>
          <w:w w:val="105"/>
          <w:sz w:val="19"/>
        </w:rPr>
        <w:t xml:space="preserve"> </w:t>
      </w:r>
      <w:r>
        <w:rPr>
          <w:i/>
          <w:color w:val="231F20"/>
          <w:w w:val="105"/>
          <w:sz w:val="19"/>
        </w:rPr>
        <w:t>their</w:t>
      </w:r>
      <w:r>
        <w:rPr>
          <w:i/>
          <w:color w:val="231F20"/>
          <w:spacing w:val="-4"/>
          <w:w w:val="105"/>
          <w:sz w:val="19"/>
        </w:rPr>
        <w:t xml:space="preserve"> </w:t>
      </w:r>
      <w:r>
        <w:rPr>
          <w:i/>
          <w:color w:val="231F20"/>
          <w:w w:val="105"/>
          <w:sz w:val="19"/>
        </w:rPr>
        <w:t>members’</w:t>
      </w:r>
      <w:r>
        <w:rPr>
          <w:i/>
          <w:color w:val="231F20"/>
          <w:spacing w:val="-4"/>
          <w:w w:val="105"/>
          <w:sz w:val="19"/>
        </w:rPr>
        <w:t xml:space="preserve"> </w:t>
      </w:r>
      <w:r>
        <w:rPr>
          <w:i/>
          <w:color w:val="231F20"/>
          <w:w w:val="105"/>
          <w:sz w:val="19"/>
        </w:rPr>
        <w:t>social</w:t>
      </w:r>
      <w:r>
        <w:rPr>
          <w:i/>
          <w:color w:val="231F20"/>
          <w:spacing w:val="-4"/>
          <w:w w:val="105"/>
          <w:sz w:val="19"/>
        </w:rPr>
        <w:t xml:space="preserve"> </w:t>
      </w:r>
      <w:r>
        <w:rPr>
          <w:i/>
          <w:color w:val="231F20"/>
          <w:w w:val="105"/>
          <w:sz w:val="19"/>
        </w:rPr>
        <w:t>scene</w:t>
      </w:r>
      <w:r>
        <w:rPr>
          <w:i/>
          <w:color w:val="231F20"/>
          <w:spacing w:val="-4"/>
          <w:w w:val="105"/>
          <w:sz w:val="19"/>
        </w:rPr>
        <w:t xml:space="preserve"> </w:t>
      </w:r>
      <w:r>
        <w:rPr>
          <w:i/>
          <w:color w:val="231F20"/>
          <w:w w:val="105"/>
          <w:sz w:val="19"/>
        </w:rPr>
        <w:t xml:space="preserve">and the </w:t>
      </w:r>
      <w:r w:rsidR="00C507A5">
        <w:rPr>
          <w:i/>
          <w:color w:val="231F20"/>
          <w:w w:val="105"/>
          <w:sz w:val="19"/>
        </w:rPr>
        <w:t>red army faction</w:t>
      </w:r>
      <w:r>
        <w:rPr>
          <w:i/>
          <w:color w:val="231F20"/>
          <w:w w:val="105"/>
          <w:sz w:val="19"/>
        </w:rPr>
        <w:t xml:space="preserve"> on the basis of their theoretical revolutionary model. And, </w:t>
      </w:r>
      <w:r>
        <w:rPr>
          <w:i/>
          <w:color w:val="231F20"/>
          <w:spacing w:val="-3"/>
          <w:w w:val="105"/>
          <w:sz w:val="19"/>
        </w:rPr>
        <w:t xml:space="preserve">equally, </w:t>
      </w:r>
      <w:r>
        <w:rPr>
          <w:i/>
          <w:color w:val="231F20"/>
          <w:w w:val="105"/>
          <w:sz w:val="19"/>
        </w:rPr>
        <w:t xml:space="preserve">as a result of the </w:t>
      </w:r>
      <w:r w:rsidR="00C507A5">
        <w:rPr>
          <w:i/>
          <w:color w:val="231F20"/>
          <w:spacing w:val="-4"/>
          <w:w w:val="105"/>
          <w:sz w:val="19"/>
        </w:rPr>
        <w:t>red army faction</w:t>
      </w:r>
      <w:r>
        <w:rPr>
          <w:i/>
          <w:color w:val="231F20"/>
          <w:spacing w:val="-4"/>
          <w:w w:val="105"/>
          <w:sz w:val="19"/>
        </w:rPr>
        <w:t xml:space="preserve">’s </w:t>
      </w:r>
      <w:r>
        <w:rPr>
          <w:i/>
          <w:color w:val="231F20"/>
          <w:w w:val="105"/>
          <w:sz w:val="19"/>
        </w:rPr>
        <w:t xml:space="preserve">centralized organizational model on the one hand, and our autonomous, decentralized structures on the </w:t>
      </w:r>
      <w:r>
        <w:rPr>
          <w:i/>
          <w:color w:val="231F20"/>
          <w:spacing w:val="-4"/>
          <w:w w:val="105"/>
          <w:sz w:val="19"/>
        </w:rPr>
        <w:t xml:space="preserve">other. </w:t>
      </w:r>
      <w:r>
        <w:rPr>
          <w:i/>
          <w:color w:val="231F20"/>
          <w:w w:val="105"/>
          <w:sz w:val="19"/>
        </w:rPr>
        <w:t xml:space="preserve">Another point of conflict was to be found in the question of the cadre going underground, which the </w:t>
      </w:r>
      <w:r w:rsidR="00C507A5">
        <w:rPr>
          <w:i/>
          <w:color w:val="231F20"/>
          <w:w w:val="105"/>
          <w:sz w:val="19"/>
        </w:rPr>
        <w:t>red army faction</w:t>
      </w:r>
      <w:r>
        <w:rPr>
          <w:i/>
          <w:color w:val="231F20"/>
          <w:w w:val="105"/>
          <w:sz w:val="19"/>
        </w:rPr>
        <w:t xml:space="preserve"> insisted on as a point of</w:t>
      </w:r>
      <w:r>
        <w:rPr>
          <w:i/>
          <w:color w:val="231F20"/>
          <w:spacing w:val="42"/>
          <w:w w:val="105"/>
          <w:sz w:val="19"/>
        </w:rPr>
        <w:t xml:space="preserve"> </w:t>
      </w:r>
      <w:r>
        <w:rPr>
          <w:i/>
          <w:color w:val="231F20"/>
          <w:w w:val="105"/>
          <w:sz w:val="19"/>
        </w:rPr>
        <w:t>principle.</w:t>
      </w:r>
    </w:p>
    <w:p w14:paraId="0F0DBB24" w14:textId="77777777" w:rsidR="002653E8" w:rsidRDefault="003115E3">
      <w:pPr>
        <w:spacing w:before="35" w:line="276" w:lineRule="auto"/>
        <w:ind w:left="1568" w:right="1746"/>
        <w:jc w:val="both"/>
        <w:rPr>
          <w:i/>
          <w:sz w:val="19"/>
        </w:rPr>
      </w:pPr>
      <w:r>
        <w:rPr>
          <w:i/>
          <w:color w:val="231F20"/>
          <w:sz w:val="19"/>
        </w:rPr>
        <w:t xml:space="preserve">As such, the immediate forerunners to the </w:t>
      </w:r>
      <w:r>
        <w:rPr>
          <w:rFonts w:ascii="Bookman Old Style" w:hAnsi="Bookman Old Style"/>
          <w:i/>
          <w:color w:val="231F20"/>
          <w:sz w:val="19"/>
        </w:rPr>
        <w:t>2</w:t>
      </w:r>
      <w:r>
        <w:rPr>
          <w:i/>
          <w:color w:val="231F20"/>
          <w:sz w:val="19"/>
        </w:rPr>
        <w:t>nd of June Movement were always open to a practical—proletarian—alternative; an alternative that had nothing to do with competition, but more to  do</w:t>
      </w:r>
      <w:r>
        <w:rPr>
          <w:i/>
          <w:color w:val="231F20"/>
          <w:spacing w:val="13"/>
          <w:sz w:val="19"/>
        </w:rPr>
        <w:t xml:space="preserve"> </w:t>
      </w:r>
      <w:r>
        <w:rPr>
          <w:i/>
          <w:color w:val="231F20"/>
          <w:sz w:val="19"/>
        </w:rPr>
        <w:t>with</w:t>
      </w:r>
      <w:r>
        <w:rPr>
          <w:i/>
          <w:color w:val="231F20"/>
          <w:spacing w:val="13"/>
          <w:sz w:val="19"/>
        </w:rPr>
        <w:t xml:space="preserve"> </w:t>
      </w:r>
      <w:r>
        <w:rPr>
          <w:i/>
          <w:color w:val="231F20"/>
          <w:sz w:val="19"/>
        </w:rPr>
        <w:t>different</w:t>
      </w:r>
      <w:r>
        <w:rPr>
          <w:i/>
          <w:color w:val="231F20"/>
          <w:spacing w:val="13"/>
          <w:sz w:val="19"/>
        </w:rPr>
        <w:t xml:space="preserve"> </w:t>
      </w:r>
      <w:r>
        <w:rPr>
          <w:i/>
          <w:color w:val="231F20"/>
          <w:sz w:val="19"/>
        </w:rPr>
        <w:t>visions</w:t>
      </w:r>
      <w:r>
        <w:rPr>
          <w:i/>
          <w:color w:val="231F20"/>
          <w:spacing w:val="13"/>
          <w:sz w:val="19"/>
        </w:rPr>
        <w:t xml:space="preserve"> </w:t>
      </w:r>
      <w:r>
        <w:rPr>
          <w:i/>
          <w:color w:val="231F20"/>
          <w:sz w:val="19"/>
        </w:rPr>
        <w:t>of</w:t>
      </w:r>
      <w:r>
        <w:rPr>
          <w:i/>
          <w:color w:val="231F20"/>
          <w:spacing w:val="13"/>
          <w:sz w:val="19"/>
        </w:rPr>
        <w:t xml:space="preserve"> </w:t>
      </w:r>
      <w:r>
        <w:rPr>
          <w:i/>
          <w:color w:val="231F20"/>
          <w:sz w:val="19"/>
        </w:rPr>
        <w:t>the</w:t>
      </w:r>
      <w:r>
        <w:rPr>
          <w:i/>
          <w:color w:val="231F20"/>
          <w:spacing w:val="13"/>
          <w:sz w:val="19"/>
        </w:rPr>
        <w:t xml:space="preserve"> </w:t>
      </w:r>
      <w:r>
        <w:rPr>
          <w:i/>
          <w:color w:val="231F20"/>
          <w:sz w:val="19"/>
        </w:rPr>
        <w:t>revolutionary</w:t>
      </w:r>
      <w:r>
        <w:rPr>
          <w:i/>
          <w:color w:val="231F20"/>
          <w:spacing w:val="13"/>
          <w:sz w:val="19"/>
        </w:rPr>
        <w:t xml:space="preserve"> </w:t>
      </w:r>
      <w:r>
        <w:rPr>
          <w:i/>
          <w:color w:val="231F20"/>
          <w:sz w:val="19"/>
        </w:rPr>
        <w:t>struggle.</w:t>
      </w:r>
    </w:p>
    <w:p w14:paraId="1CD1096E" w14:textId="77777777" w:rsidR="002653E8" w:rsidRDefault="003115E3">
      <w:pPr>
        <w:spacing w:before="37" w:line="276" w:lineRule="auto"/>
        <w:ind w:left="1568" w:right="1745"/>
        <w:jc w:val="both"/>
        <w:rPr>
          <w:i/>
          <w:sz w:val="11"/>
        </w:rPr>
      </w:pPr>
      <w:r>
        <w:rPr>
          <w:i/>
          <w:color w:val="231F20"/>
          <w:w w:val="105"/>
          <w:sz w:val="19"/>
        </w:rPr>
        <w:t>There</w:t>
      </w:r>
      <w:r>
        <w:rPr>
          <w:i/>
          <w:color w:val="231F20"/>
          <w:spacing w:val="-19"/>
          <w:w w:val="105"/>
          <w:sz w:val="19"/>
        </w:rPr>
        <w:t xml:space="preserve"> </w:t>
      </w:r>
      <w:r>
        <w:rPr>
          <w:i/>
          <w:color w:val="231F20"/>
          <w:w w:val="105"/>
          <w:sz w:val="19"/>
        </w:rPr>
        <w:t>was</w:t>
      </w:r>
      <w:r>
        <w:rPr>
          <w:i/>
          <w:color w:val="231F20"/>
          <w:spacing w:val="-19"/>
          <w:w w:val="105"/>
          <w:sz w:val="19"/>
        </w:rPr>
        <w:t xml:space="preserve"> </w:t>
      </w:r>
      <w:r>
        <w:rPr>
          <w:i/>
          <w:color w:val="231F20"/>
          <w:w w:val="105"/>
          <w:sz w:val="19"/>
        </w:rPr>
        <w:t>strong</w:t>
      </w:r>
      <w:r>
        <w:rPr>
          <w:i/>
          <w:color w:val="231F20"/>
          <w:spacing w:val="-19"/>
          <w:w w:val="105"/>
          <w:sz w:val="19"/>
        </w:rPr>
        <w:t xml:space="preserve"> </w:t>
      </w:r>
      <w:r>
        <w:rPr>
          <w:i/>
          <w:color w:val="231F20"/>
          <w:w w:val="105"/>
          <w:sz w:val="19"/>
        </w:rPr>
        <w:t>mutual</w:t>
      </w:r>
      <w:r>
        <w:rPr>
          <w:i/>
          <w:color w:val="231F20"/>
          <w:spacing w:val="-19"/>
          <w:w w:val="105"/>
          <w:sz w:val="19"/>
        </w:rPr>
        <w:t xml:space="preserve"> </w:t>
      </w:r>
      <w:r>
        <w:rPr>
          <w:i/>
          <w:color w:val="231F20"/>
          <w:w w:val="105"/>
          <w:sz w:val="19"/>
        </w:rPr>
        <w:t>support</w:t>
      </w:r>
      <w:r>
        <w:rPr>
          <w:i/>
          <w:color w:val="231F20"/>
          <w:spacing w:val="-19"/>
          <w:w w:val="105"/>
          <w:sz w:val="19"/>
        </w:rPr>
        <w:t xml:space="preserve"> </w:t>
      </w:r>
      <w:r>
        <w:rPr>
          <w:i/>
          <w:color w:val="231F20"/>
          <w:w w:val="105"/>
          <w:sz w:val="19"/>
        </w:rPr>
        <w:t>and</w:t>
      </w:r>
      <w:r>
        <w:rPr>
          <w:i/>
          <w:color w:val="231F20"/>
          <w:spacing w:val="-19"/>
          <w:w w:val="105"/>
          <w:sz w:val="19"/>
        </w:rPr>
        <w:t xml:space="preserve"> </w:t>
      </w:r>
      <w:r>
        <w:rPr>
          <w:i/>
          <w:color w:val="231F20"/>
          <w:w w:val="105"/>
          <w:sz w:val="19"/>
        </w:rPr>
        <w:t>common</w:t>
      </w:r>
      <w:r>
        <w:rPr>
          <w:i/>
          <w:color w:val="231F20"/>
          <w:spacing w:val="-19"/>
          <w:w w:val="105"/>
          <w:sz w:val="19"/>
        </w:rPr>
        <w:t xml:space="preserve"> </w:t>
      </w:r>
      <w:r>
        <w:rPr>
          <w:i/>
          <w:color w:val="231F20"/>
          <w:w w:val="105"/>
          <w:sz w:val="19"/>
        </w:rPr>
        <w:t>actions</w:t>
      </w:r>
      <w:r>
        <w:rPr>
          <w:i/>
          <w:color w:val="231F20"/>
          <w:spacing w:val="-19"/>
          <w:w w:val="105"/>
          <w:sz w:val="19"/>
        </w:rPr>
        <w:t xml:space="preserve"> </w:t>
      </w:r>
      <w:r>
        <w:rPr>
          <w:i/>
          <w:color w:val="231F20"/>
          <w:w w:val="105"/>
          <w:sz w:val="19"/>
        </w:rPr>
        <w:t>in</w:t>
      </w:r>
      <w:r>
        <w:rPr>
          <w:i/>
          <w:color w:val="231F20"/>
          <w:spacing w:val="-19"/>
          <w:w w:val="105"/>
          <w:sz w:val="19"/>
        </w:rPr>
        <w:t xml:space="preserve"> </w:t>
      </w:r>
      <w:r>
        <w:rPr>
          <w:i/>
          <w:color w:val="231F20"/>
          <w:w w:val="105"/>
          <w:sz w:val="19"/>
        </w:rPr>
        <w:t>the</w:t>
      </w:r>
      <w:r>
        <w:rPr>
          <w:i/>
          <w:color w:val="231F20"/>
          <w:spacing w:val="-19"/>
          <w:w w:val="105"/>
          <w:sz w:val="19"/>
        </w:rPr>
        <w:t xml:space="preserve"> </w:t>
      </w:r>
      <w:r>
        <w:rPr>
          <w:i/>
          <w:color w:val="231F20"/>
          <w:w w:val="105"/>
          <w:sz w:val="19"/>
        </w:rPr>
        <w:t>early period of both groups… At the time both groups proceeded with the idea that the future would determine which political vision would prove effective in the long</w:t>
      </w:r>
      <w:r>
        <w:rPr>
          <w:i/>
          <w:color w:val="231F20"/>
          <w:spacing w:val="41"/>
          <w:w w:val="105"/>
          <w:sz w:val="19"/>
        </w:rPr>
        <w:t xml:space="preserve"> </w:t>
      </w:r>
      <w:r>
        <w:rPr>
          <w:i/>
          <w:color w:val="231F20"/>
          <w:w w:val="105"/>
          <w:sz w:val="19"/>
        </w:rPr>
        <w:t>run.</w:t>
      </w:r>
      <w:r>
        <w:rPr>
          <w:i/>
          <w:color w:val="231F20"/>
          <w:w w:val="105"/>
          <w:position w:val="6"/>
          <w:sz w:val="11"/>
        </w:rPr>
        <w:t>1</w:t>
      </w:r>
    </w:p>
    <w:p w14:paraId="1A638107" w14:textId="77777777" w:rsidR="002653E8" w:rsidRDefault="002653E8">
      <w:pPr>
        <w:pStyle w:val="a3"/>
        <w:spacing w:before="9"/>
        <w:rPr>
          <w:i/>
          <w:sz w:val="25"/>
        </w:rPr>
      </w:pPr>
    </w:p>
    <w:p w14:paraId="7659A8A1" w14:textId="77777777" w:rsidR="002653E8" w:rsidRDefault="003115E3">
      <w:pPr>
        <w:spacing w:before="104" w:line="254" w:lineRule="auto"/>
        <w:ind w:left="1147" w:right="1427"/>
        <w:rPr>
          <w:i/>
          <w:sz w:val="16"/>
        </w:rPr>
      </w:pPr>
      <w:r w:rsidRPr="00C507A5">
        <w:rPr>
          <w:color w:val="231F20"/>
          <w:w w:val="110"/>
          <w:sz w:val="16"/>
          <w:lang w:val="de-DE"/>
        </w:rPr>
        <w:t xml:space="preserve">1 </w:t>
      </w:r>
      <w:r w:rsidRPr="00C507A5">
        <w:rPr>
          <w:color w:val="231F20"/>
          <w:spacing w:val="1"/>
          <w:w w:val="110"/>
          <w:sz w:val="16"/>
          <w:lang w:val="de-DE"/>
        </w:rPr>
        <w:t xml:space="preserve">Ralf </w:t>
      </w:r>
      <w:r w:rsidRPr="00C507A5">
        <w:rPr>
          <w:color w:val="231F20"/>
          <w:w w:val="110"/>
          <w:sz w:val="16"/>
          <w:lang w:val="de-DE"/>
        </w:rPr>
        <w:t xml:space="preserve">Reinders, Klaus Viehmann, and Ronald Fritzsch, “Zu der angeblichen Auflösung der Bewegung 2. Juni im Juni </w:t>
      </w:r>
      <w:r w:rsidRPr="00C507A5">
        <w:rPr>
          <w:color w:val="231F20"/>
          <w:spacing w:val="-5"/>
          <w:w w:val="110"/>
          <w:sz w:val="16"/>
          <w:lang w:val="de-DE"/>
        </w:rPr>
        <w:t xml:space="preserve">1980,” </w:t>
      </w:r>
      <w:hyperlink r:id="rId63">
        <w:r w:rsidRPr="00C507A5">
          <w:rPr>
            <w:color w:val="231F20"/>
            <w:w w:val="103"/>
            <w:sz w:val="16"/>
            <w:lang w:val="de-DE"/>
          </w:rPr>
          <w:t>h</w:t>
        </w:r>
        <w:r w:rsidRPr="00C507A5">
          <w:rPr>
            <w:color w:val="231F20"/>
            <w:spacing w:val="5"/>
            <w:w w:val="103"/>
            <w:sz w:val="16"/>
            <w:lang w:val="de-DE"/>
          </w:rPr>
          <w:t>t</w:t>
        </w:r>
        <w:r w:rsidRPr="00C507A5">
          <w:rPr>
            <w:color w:val="231F20"/>
            <w:spacing w:val="3"/>
            <w:w w:val="102"/>
            <w:sz w:val="16"/>
            <w:lang w:val="de-DE"/>
          </w:rPr>
          <w:t>t</w:t>
        </w:r>
        <w:r w:rsidRPr="00C507A5">
          <w:rPr>
            <w:color w:val="231F20"/>
            <w:w w:val="103"/>
            <w:sz w:val="16"/>
            <w:lang w:val="de-DE"/>
          </w:rPr>
          <w:t>p</w:t>
        </w:r>
        <w:r w:rsidRPr="00C507A5">
          <w:rPr>
            <w:color w:val="231F20"/>
            <w:spacing w:val="5"/>
            <w:w w:val="109"/>
            <w:sz w:val="16"/>
            <w:lang w:val="de-DE"/>
          </w:rPr>
          <w:t>:</w:t>
        </w:r>
        <w:r w:rsidRPr="00C507A5">
          <w:rPr>
            <w:color w:val="231F20"/>
            <w:spacing w:val="-1"/>
            <w:w w:val="58"/>
            <w:sz w:val="16"/>
            <w:lang w:val="de-DE"/>
          </w:rPr>
          <w:t>/</w:t>
        </w:r>
        <w:r w:rsidRPr="00C507A5">
          <w:rPr>
            <w:color w:val="231F20"/>
            <w:spacing w:val="2"/>
            <w:w w:val="58"/>
            <w:sz w:val="16"/>
            <w:lang w:val="de-DE"/>
          </w:rPr>
          <w:t>/</w:t>
        </w:r>
        <w:r w:rsidRPr="00C507A5">
          <w:rPr>
            <w:color w:val="231F20"/>
            <w:spacing w:val="6"/>
            <w:w w:val="104"/>
            <w:sz w:val="16"/>
            <w:lang w:val="de-DE"/>
          </w:rPr>
          <w:t>ww</w:t>
        </w:r>
        <w:r w:rsidRPr="00C507A5">
          <w:rPr>
            <w:color w:val="231F20"/>
            <w:spacing w:val="-9"/>
            <w:w w:val="104"/>
            <w:sz w:val="16"/>
            <w:lang w:val="de-DE"/>
          </w:rPr>
          <w:t>w</w:t>
        </w:r>
        <w:r w:rsidRPr="00C507A5">
          <w:rPr>
            <w:color w:val="231F20"/>
            <w:w w:val="114"/>
            <w:sz w:val="16"/>
            <w:lang w:val="de-DE"/>
          </w:rPr>
          <w:t>.</w:t>
        </w:r>
        <w:r w:rsidRPr="00C507A5">
          <w:rPr>
            <w:color w:val="231F20"/>
            <w:spacing w:val="2"/>
            <w:w w:val="114"/>
            <w:sz w:val="16"/>
            <w:lang w:val="de-DE"/>
          </w:rPr>
          <w:t>b</w:t>
        </w:r>
        <w:r w:rsidRPr="00C507A5">
          <w:rPr>
            <w:color w:val="231F20"/>
            <w:spacing w:val="1"/>
            <w:w w:val="94"/>
            <w:sz w:val="16"/>
            <w:lang w:val="de-DE"/>
          </w:rPr>
          <w:t>e</w:t>
        </w:r>
        <w:r w:rsidRPr="00C507A5">
          <w:rPr>
            <w:color w:val="231F20"/>
            <w:w w:val="104"/>
            <w:sz w:val="16"/>
            <w:lang w:val="de-DE"/>
          </w:rPr>
          <w:t>w</w:t>
        </w:r>
        <w:r w:rsidRPr="00C507A5">
          <w:rPr>
            <w:color w:val="231F20"/>
            <w:spacing w:val="1"/>
            <w:w w:val="94"/>
            <w:sz w:val="16"/>
            <w:lang w:val="de-DE"/>
          </w:rPr>
          <w:t>e</w:t>
        </w:r>
        <w:r w:rsidRPr="00C507A5">
          <w:rPr>
            <w:color w:val="231F20"/>
            <w:spacing w:val="3"/>
            <w:w w:val="104"/>
            <w:sz w:val="16"/>
            <w:lang w:val="de-DE"/>
          </w:rPr>
          <w:t>gu</w:t>
        </w:r>
        <w:r w:rsidRPr="00C507A5">
          <w:rPr>
            <w:color w:val="231F20"/>
            <w:w w:val="103"/>
            <w:sz w:val="16"/>
            <w:lang w:val="de-DE"/>
          </w:rPr>
          <w:t>n</w:t>
        </w:r>
        <w:r w:rsidRPr="00C507A5">
          <w:rPr>
            <w:color w:val="231F20"/>
            <w:spacing w:val="1"/>
            <w:w w:val="104"/>
            <w:sz w:val="16"/>
            <w:lang w:val="de-DE"/>
          </w:rPr>
          <w:t>g</w:t>
        </w:r>
        <w:r w:rsidRPr="00C507A5">
          <w:rPr>
            <w:color w:val="231F20"/>
            <w:w w:val="140"/>
            <w:sz w:val="16"/>
            <w:lang w:val="de-DE"/>
          </w:rPr>
          <w:t>.</w:t>
        </w:r>
        <w:r w:rsidRPr="00C507A5">
          <w:rPr>
            <w:color w:val="231F20"/>
            <w:spacing w:val="3"/>
            <w:w w:val="103"/>
            <w:sz w:val="16"/>
            <w:lang w:val="de-DE"/>
          </w:rPr>
          <w:t>i</w:t>
        </w:r>
        <w:r w:rsidRPr="00C507A5">
          <w:rPr>
            <w:color w:val="231F20"/>
            <w:spacing w:val="8"/>
            <w:w w:val="103"/>
            <w:sz w:val="16"/>
            <w:lang w:val="de-DE"/>
          </w:rPr>
          <w:t>n</w:t>
        </w:r>
        <w:r w:rsidRPr="00C507A5">
          <w:rPr>
            <w:color w:val="231F20"/>
            <w:w w:val="58"/>
            <w:sz w:val="16"/>
            <w:lang w:val="de-DE"/>
          </w:rPr>
          <w:t>/</w:t>
        </w:r>
        <w:r w:rsidRPr="00C507A5">
          <w:rPr>
            <w:color w:val="231F20"/>
            <w:spacing w:val="2"/>
            <w:w w:val="103"/>
            <w:sz w:val="16"/>
            <w:lang w:val="de-DE"/>
          </w:rPr>
          <w:t>m</w:t>
        </w:r>
        <w:r w:rsidRPr="00C507A5">
          <w:rPr>
            <w:color w:val="231F20"/>
            <w:spacing w:val="-1"/>
            <w:w w:val="106"/>
            <w:sz w:val="16"/>
            <w:lang w:val="de-DE"/>
          </w:rPr>
          <w:t>a</w:t>
        </w:r>
        <w:r w:rsidRPr="00C507A5">
          <w:rPr>
            <w:color w:val="231F20"/>
            <w:spacing w:val="1"/>
            <w:w w:val="102"/>
            <w:sz w:val="16"/>
            <w:lang w:val="de-DE"/>
          </w:rPr>
          <w:t>t</w:t>
        </w:r>
        <w:r w:rsidRPr="00C507A5">
          <w:rPr>
            <w:color w:val="231F20"/>
            <w:spacing w:val="5"/>
            <w:w w:val="94"/>
            <w:sz w:val="16"/>
            <w:lang w:val="de-DE"/>
          </w:rPr>
          <w:t>e</w:t>
        </w:r>
        <w:r w:rsidRPr="00C507A5">
          <w:rPr>
            <w:color w:val="231F20"/>
            <w:spacing w:val="6"/>
            <w:w w:val="139"/>
            <w:sz w:val="16"/>
            <w:lang w:val="de-DE"/>
          </w:rPr>
          <w:t>_</w:t>
        </w:r>
        <w:r w:rsidRPr="00C507A5">
          <w:rPr>
            <w:color w:val="231F20"/>
            <w:spacing w:val="3"/>
            <w:w w:val="103"/>
            <w:sz w:val="16"/>
            <w:lang w:val="de-DE"/>
          </w:rPr>
          <w:t>n</w:t>
        </w:r>
        <w:r w:rsidRPr="00C507A5">
          <w:rPr>
            <w:color w:val="231F20"/>
            <w:w w:val="103"/>
            <w:sz w:val="16"/>
            <w:lang w:val="de-DE"/>
          </w:rPr>
          <w:t>i</w:t>
        </w:r>
        <w:r w:rsidRPr="00C507A5">
          <w:rPr>
            <w:color w:val="231F20"/>
            <w:w w:val="104"/>
            <w:sz w:val="16"/>
            <w:lang w:val="de-DE"/>
          </w:rPr>
          <w:t>c</w:t>
        </w:r>
        <w:r w:rsidRPr="00C507A5">
          <w:rPr>
            <w:color w:val="231F20"/>
            <w:w w:val="103"/>
            <w:sz w:val="16"/>
            <w:lang w:val="de-DE"/>
          </w:rPr>
          <w:t>h</w:t>
        </w:r>
        <w:r w:rsidRPr="00C507A5">
          <w:rPr>
            <w:color w:val="231F20"/>
            <w:spacing w:val="3"/>
            <w:w w:val="103"/>
            <w:sz w:val="16"/>
            <w:lang w:val="de-DE"/>
          </w:rPr>
          <w:t>t</w:t>
        </w:r>
        <w:r w:rsidRPr="00C507A5">
          <w:rPr>
            <w:color w:val="231F20"/>
            <w:spacing w:val="-2"/>
            <w:w w:val="106"/>
            <w:sz w:val="16"/>
            <w:lang w:val="de-DE"/>
          </w:rPr>
          <w:t>a</w:t>
        </w:r>
        <w:r w:rsidRPr="00C507A5">
          <w:rPr>
            <w:color w:val="231F20"/>
            <w:spacing w:val="5"/>
            <w:w w:val="104"/>
            <w:sz w:val="16"/>
            <w:lang w:val="de-DE"/>
          </w:rPr>
          <w:t>u</w:t>
        </w:r>
        <w:r w:rsidRPr="00C507A5">
          <w:rPr>
            <w:color w:val="231F20"/>
            <w:sz w:val="16"/>
            <w:lang w:val="de-DE"/>
          </w:rPr>
          <w:t>f</w:t>
        </w:r>
        <w:r w:rsidRPr="00C507A5">
          <w:rPr>
            <w:color w:val="231F20"/>
            <w:spacing w:val="1"/>
            <w:sz w:val="16"/>
            <w:lang w:val="de-DE"/>
          </w:rPr>
          <w:t>l</w:t>
        </w:r>
        <w:r w:rsidRPr="00C507A5">
          <w:rPr>
            <w:color w:val="231F20"/>
            <w:spacing w:val="2"/>
            <w:w w:val="108"/>
            <w:sz w:val="16"/>
            <w:lang w:val="de-DE"/>
          </w:rPr>
          <w:t>o</w:t>
        </w:r>
        <w:r w:rsidRPr="00C507A5">
          <w:rPr>
            <w:color w:val="231F20"/>
            <w:spacing w:val="2"/>
            <w:w w:val="94"/>
            <w:sz w:val="16"/>
            <w:lang w:val="de-DE"/>
          </w:rPr>
          <w:t>e</w:t>
        </w:r>
        <w:r w:rsidRPr="00C507A5">
          <w:rPr>
            <w:color w:val="231F20"/>
            <w:w w:val="93"/>
            <w:sz w:val="16"/>
            <w:lang w:val="de-DE"/>
          </w:rPr>
          <w:t>s</w:t>
        </w:r>
        <w:r w:rsidRPr="00C507A5">
          <w:rPr>
            <w:color w:val="231F20"/>
            <w:spacing w:val="3"/>
            <w:w w:val="104"/>
            <w:sz w:val="16"/>
            <w:lang w:val="de-DE"/>
          </w:rPr>
          <w:t>u</w:t>
        </w:r>
        <w:r w:rsidRPr="00C507A5">
          <w:rPr>
            <w:color w:val="231F20"/>
            <w:w w:val="103"/>
            <w:sz w:val="16"/>
            <w:lang w:val="de-DE"/>
          </w:rPr>
          <w:t>n</w:t>
        </w:r>
        <w:r w:rsidRPr="00C507A5">
          <w:rPr>
            <w:color w:val="231F20"/>
            <w:spacing w:val="1"/>
            <w:w w:val="104"/>
            <w:sz w:val="16"/>
            <w:lang w:val="de-DE"/>
          </w:rPr>
          <w:t>g</w:t>
        </w:r>
        <w:r w:rsidRPr="00C507A5">
          <w:rPr>
            <w:color w:val="231F20"/>
            <w:spacing w:val="1"/>
            <w:w w:val="140"/>
            <w:sz w:val="16"/>
            <w:lang w:val="de-DE"/>
          </w:rPr>
          <w:t>.</w:t>
        </w:r>
        <w:r w:rsidRPr="00C507A5">
          <w:rPr>
            <w:color w:val="231F20"/>
            <w:w w:val="103"/>
            <w:sz w:val="16"/>
            <w:lang w:val="de-DE"/>
          </w:rPr>
          <w:t>h</w:t>
        </w:r>
        <w:r w:rsidRPr="00C507A5">
          <w:rPr>
            <w:color w:val="231F20"/>
            <w:spacing w:val="3"/>
            <w:w w:val="103"/>
            <w:sz w:val="16"/>
            <w:lang w:val="de-DE"/>
          </w:rPr>
          <w:t>tm</w:t>
        </w:r>
        <w:r w:rsidRPr="00C507A5">
          <w:rPr>
            <w:color w:val="231F20"/>
            <w:w w:val="106"/>
            <w:sz w:val="16"/>
            <w:lang w:val="de-DE"/>
          </w:rPr>
          <w:t>l</w:t>
        </w:r>
        <w:r w:rsidRPr="00C507A5">
          <w:rPr>
            <w:color w:val="231F20"/>
            <w:w w:val="140"/>
            <w:sz w:val="16"/>
            <w:lang w:val="de-DE"/>
          </w:rPr>
          <w:t>.</w:t>
        </w:r>
        <w:r w:rsidRPr="00C507A5">
          <w:rPr>
            <w:color w:val="231F20"/>
            <w:spacing w:val="10"/>
            <w:sz w:val="16"/>
            <w:lang w:val="de-DE"/>
          </w:rPr>
          <w:t xml:space="preserve"> </w:t>
        </w:r>
      </w:hyperlink>
      <w:r>
        <w:rPr>
          <w:color w:val="231F20"/>
          <w:spacing w:val="5"/>
          <w:w w:val="116"/>
          <w:sz w:val="16"/>
        </w:rPr>
        <w:t>T</w:t>
      </w:r>
      <w:r>
        <w:rPr>
          <w:color w:val="231F20"/>
          <w:spacing w:val="3"/>
          <w:w w:val="104"/>
          <w:sz w:val="16"/>
        </w:rPr>
        <w:t>h</w:t>
      </w:r>
      <w:r>
        <w:rPr>
          <w:color w:val="231F20"/>
          <w:spacing w:val="1"/>
          <w:w w:val="103"/>
          <w:sz w:val="16"/>
        </w:rPr>
        <w:t>i</w:t>
      </w:r>
      <w:r>
        <w:rPr>
          <w:color w:val="231F20"/>
          <w:w w:val="93"/>
          <w:sz w:val="16"/>
        </w:rPr>
        <w:t>s</w:t>
      </w:r>
      <w:r>
        <w:rPr>
          <w:color w:val="231F20"/>
          <w:spacing w:val="10"/>
          <w:sz w:val="16"/>
        </w:rPr>
        <w:t xml:space="preserve"> </w:t>
      </w:r>
      <w:r>
        <w:rPr>
          <w:color w:val="231F20"/>
          <w:spacing w:val="1"/>
          <w:w w:val="103"/>
          <w:sz w:val="16"/>
        </w:rPr>
        <w:t>i</w:t>
      </w:r>
      <w:r>
        <w:rPr>
          <w:color w:val="231F20"/>
          <w:w w:val="93"/>
          <w:sz w:val="16"/>
        </w:rPr>
        <w:t>s</w:t>
      </w:r>
      <w:r>
        <w:rPr>
          <w:color w:val="231F20"/>
          <w:spacing w:val="10"/>
          <w:sz w:val="16"/>
        </w:rPr>
        <w:t xml:space="preserve"> </w:t>
      </w:r>
      <w:r>
        <w:rPr>
          <w:color w:val="231F20"/>
          <w:spacing w:val="3"/>
          <w:w w:val="106"/>
          <w:sz w:val="16"/>
        </w:rPr>
        <w:t>a</w:t>
      </w:r>
      <w:r>
        <w:rPr>
          <w:color w:val="231F20"/>
          <w:w w:val="103"/>
          <w:sz w:val="16"/>
        </w:rPr>
        <w:t>n</w:t>
      </w:r>
      <w:r>
        <w:rPr>
          <w:color w:val="231F20"/>
          <w:spacing w:val="10"/>
          <w:sz w:val="16"/>
        </w:rPr>
        <w:t xml:space="preserve"> </w:t>
      </w:r>
      <w:r>
        <w:rPr>
          <w:color w:val="231F20"/>
          <w:w w:val="94"/>
          <w:sz w:val="16"/>
        </w:rPr>
        <w:t>e</w:t>
      </w:r>
      <w:r>
        <w:rPr>
          <w:color w:val="231F20"/>
          <w:w w:val="119"/>
          <w:sz w:val="16"/>
        </w:rPr>
        <w:t>x</w:t>
      </w:r>
      <w:r>
        <w:rPr>
          <w:color w:val="231F20"/>
          <w:spacing w:val="2"/>
          <w:w w:val="104"/>
          <w:sz w:val="16"/>
        </w:rPr>
        <w:t>c</w:t>
      </w:r>
      <w:r>
        <w:rPr>
          <w:color w:val="231F20"/>
          <w:w w:val="94"/>
          <w:sz w:val="16"/>
        </w:rPr>
        <w:t>e</w:t>
      </w:r>
      <w:r>
        <w:rPr>
          <w:color w:val="231F20"/>
          <w:spacing w:val="3"/>
          <w:w w:val="97"/>
          <w:sz w:val="16"/>
        </w:rPr>
        <w:t>r</w:t>
      </w:r>
      <w:r>
        <w:rPr>
          <w:color w:val="231F20"/>
          <w:w w:val="103"/>
          <w:sz w:val="16"/>
        </w:rPr>
        <w:t>p</w:t>
      </w:r>
      <w:r>
        <w:rPr>
          <w:color w:val="231F20"/>
          <w:w w:val="102"/>
          <w:sz w:val="16"/>
        </w:rPr>
        <w:t>t</w:t>
      </w:r>
      <w:r>
        <w:rPr>
          <w:color w:val="231F20"/>
          <w:spacing w:val="10"/>
          <w:sz w:val="16"/>
        </w:rPr>
        <w:t xml:space="preserve"> </w:t>
      </w:r>
      <w:r>
        <w:rPr>
          <w:color w:val="231F20"/>
          <w:spacing w:val="3"/>
          <w:w w:val="114"/>
          <w:sz w:val="16"/>
        </w:rPr>
        <w:t>f</w:t>
      </w:r>
      <w:r>
        <w:rPr>
          <w:color w:val="231F20"/>
          <w:w w:val="97"/>
          <w:sz w:val="16"/>
        </w:rPr>
        <w:t>r</w:t>
      </w:r>
      <w:r>
        <w:rPr>
          <w:color w:val="231F20"/>
          <w:w w:val="108"/>
          <w:sz w:val="16"/>
        </w:rPr>
        <w:t>o</w:t>
      </w:r>
      <w:r>
        <w:rPr>
          <w:color w:val="231F20"/>
          <w:w w:val="103"/>
          <w:sz w:val="16"/>
        </w:rPr>
        <w:t>m</w:t>
      </w:r>
      <w:r>
        <w:rPr>
          <w:color w:val="231F20"/>
          <w:spacing w:val="10"/>
          <w:sz w:val="16"/>
        </w:rPr>
        <w:t xml:space="preserve"> </w:t>
      </w:r>
      <w:r>
        <w:rPr>
          <w:color w:val="231F20"/>
          <w:w w:val="106"/>
          <w:sz w:val="16"/>
        </w:rPr>
        <w:t xml:space="preserve">a </w:t>
      </w:r>
      <w:r>
        <w:rPr>
          <w:color w:val="231F20"/>
          <w:w w:val="110"/>
          <w:sz w:val="16"/>
        </w:rPr>
        <w:t>much</w:t>
      </w:r>
      <w:r>
        <w:rPr>
          <w:color w:val="231F20"/>
          <w:spacing w:val="-10"/>
          <w:w w:val="110"/>
          <w:sz w:val="16"/>
        </w:rPr>
        <w:t xml:space="preserve"> </w:t>
      </w:r>
      <w:r>
        <w:rPr>
          <w:color w:val="231F20"/>
          <w:w w:val="110"/>
          <w:sz w:val="16"/>
        </w:rPr>
        <w:t>longer</w:t>
      </w:r>
      <w:r>
        <w:rPr>
          <w:color w:val="231F20"/>
          <w:spacing w:val="-10"/>
          <w:w w:val="110"/>
          <w:sz w:val="16"/>
        </w:rPr>
        <w:t xml:space="preserve"> </w:t>
      </w:r>
      <w:r>
        <w:rPr>
          <w:color w:val="231F20"/>
          <w:w w:val="110"/>
          <w:sz w:val="16"/>
        </w:rPr>
        <w:t>document</w:t>
      </w:r>
      <w:r>
        <w:rPr>
          <w:color w:val="231F20"/>
          <w:spacing w:val="-10"/>
          <w:w w:val="110"/>
          <w:sz w:val="16"/>
        </w:rPr>
        <w:t xml:space="preserve"> </w:t>
      </w:r>
      <w:r>
        <w:rPr>
          <w:color w:val="231F20"/>
          <w:w w:val="110"/>
          <w:sz w:val="16"/>
        </w:rPr>
        <w:t>which,</w:t>
      </w:r>
      <w:r>
        <w:rPr>
          <w:color w:val="231F20"/>
          <w:spacing w:val="-10"/>
          <w:w w:val="110"/>
          <w:sz w:val="16"/>
        </w:rPr>
        <w:t xml:space="preserve"> </w:t>
      </w:r>
      <w:r>
        <w:rPr>
          <w:color w:val="231F20"/>
          <w:w w:val="110"/>
          <w:sz w:val="16"/>
        </w:rPr>
        <w:t>along</w:t>
      </w:r>
      <w:r>
        <w:rPr>
          <w:color w:val="231F20"/>
          <w:spacing w:val="-10"/>
          <w:w w:val="110"/>
          <w:sz w:val="16"/>
        </w:rPr>
        <w:t xml:space="preserve"> </w:t>
      </w:r>
      <w:r>
        <w:rPr>
          <w:color w:val="231F20"/>
          <w:w w:val="110"/>
          <w:sz w:val="16"/>
        </w:rPr>
        <w:t>with</w:t>
      </w:r>
      <w:r>
        <w:rPr>
          <w:color w:val="231F20"/>
          <w:spacing w:val="-10"/>
          <w:w w:val="110"/>
          <w:sz w:val="16"/>
        </w:rPr>
        <w:t xml:space="preserve"> </w:t>
      </w:r>
      <w:r>
        <w:rPr>
          <w:color w:val="231F20"/>
          <w:w w:val="110"/>
          <w:sz w:val="16"/>
        </w:rPr>
        <w:t>the</w:t>
      </w:r>
      <w:r>
        <w:rPr>
          <w:color w:val="231F20"/>
          <w:spacing w:val="-9"/>
          <w:w w:val="110"/>
          <w:sz w:val="16"/>
        </w:rPr>
        <w:t xml:space="preserve"> </w:t>
      </w:r>
      <w:r>
        <w:rPr>
          <w:color w:val="231F20"/>
          <w:w w:val="110"/>
          <w:sz w:val="16"/>
        </w:rPr>
        <w:t>2JM’s</w:t>
      </w:r>
      <w:r>
        <w:rPr>
          <w:color w:val="231F20"/>
          <w:spacing w:val="-10"/>
          <w:w w:val="110"/>
          <w:sz w:val="16"/>
        </w:rPr>
        <w:t xml:space="preserve"> </w:t>
      </w:r>
      <w:r>
        <w:rPr>
          <w:color w:val="231F20"/>
          <w:w w:val="110"/>
          <w:sz w:val="16"/>
        </w:rPr>
        <w:t>declaration</w:t>
      </w:r>
      <w:r>
        <w:rPr>
          <w:color w:val="231F20"/>
          <w:spacing w:val="-10"/>
          <w:w w:val="110"/>
          <w:sz w:val="16"/>
        </w:rPr>
        <w:t xml:space="preserve"> </w:t>
      </w:r>
      <w:r>
        <w:rPr>
          <w:color w:val="231F20"/>
          <w:w w:val="110"/>
          <w:sz w:val="16"/>
        </w:rPr>
        <w:t>of</w:t>
      </w:r>
      <w:r>
        <w:rPr>
          <w:color w:val="231F20"/>
          <w:spacing w:val="-10"/>
          <w:w w:val="110"/>
          <w:sz w:val="16"/>
        </w:rPr>
        <w:t xml:space="preserve"> </w:t>
      </w:r>
      <w:r>
        <w:rPr>
          <w:color w:val="231F20"/>
          <w:w w:val="110"/>
          <w:sz w:val="16"/>
        </w:rPr>
        <w:t>the</w:t>
      </w:r>
      <w:r>
        <w:rPr>
          <w:color w:val="231F20"/>
          <w:spacing w:val="-10"/>
          <w:w w:val="110"/>
          <w:sz w:val="16"/>
        </w:rPr>
        <w:t xml:space="preserve"> </w:t>
      </w:r>
      <w:r>
        <w:rPr>
          <w:color w:val="231F20"/>
          <w:w w:val="110"/>
          <w:sz w:val="16"/>
        </w:rPr>
        <w:t>merger,</w:t>
      </w:r>
      <w:r>
        <w:rPr>
          <w:color w:val="231F20"/>
          <w:spacing w:val="-10"/>
          <w:w w:val="110"/>
          <w:sz w:val="16"/>
        </w:rPr>
        <w:t xml:space="preserve"> </w:t>
      </w:r>
      <w:r>
        <w:rPr>
          <w:color w:val="231F20"/>
          <w:w w:val="110"/>
          <w:sz w:val="16"/>
        </w:rPr>
        <w:t xml:space="preserve">will appear (translated) in our second volume, </w:t>
      </w:r>
      <w:r>
        <w:rPr>
          <w:i/>
          <w:color w:val="231F20"/>
          <w:w w:val="110"/>
          <w:sz w:val="16"/>
        </w:rPr>
        <w:t xml:space="preserve">The Red </w:t>
      </w:r>
      <w:r>
        <w:rPr>
          <w:i/>
          <w:color w:val="231F20"/>
          <w:spacing w:val="1"/>
          <w:w w:val="110"/>
          <w:sz w:val="16"/>
        </w:rPr>
        <w:t xml:space="preserve">Army </w:t>
      </w:r>
      <w:r>
        <w:rPr>
          <w:i/>
          <w:color w:val="231F20"/>
          <w:w w:val="110"/>
          <w:sz w:val="16"/>
        </w:rPr>
        <w:t xml:space="preserve">Faction, a </w:t>
      </w:r>
      <w:r>
        <w:rPr>
          <w:i/>
          <w:color w:val="231F20"/>
          <w:spacing w:val="1"/>
          <w:w w:val="110"/>
          <w:sz w:val="16"/>
        </w:rPr>
        <w:t xml:space="preserve">Documentary </w:t>
      </w:r>
      <w:r>
        <w:rPr>
          <w:i/>
          <w:color w:val="231F20"/>
          <w:w w:val="110"/>
          <w:sz w:val="16"/>
        </w:rPr>
        <w:lastRenderedPageBreak/>
        <w:t xml:space="preserve">History, Vol. </w:t>
      </w:r>
      <w:r>
        <w:rPr>
          <w:i/>
          <w:color w:val="231F20"/>
          <w:spacing w:val="1"/>
          <w:w w:val="110"/>
          <w:sz w:val="16"/>
        </w:rPr>
        <w:t xml:space="preserve">II: </w:t>
      </w:r>
      <w:r>
        <w:rPr>
          <w:i/>
          <w:color w:val="231F20"/>
          <w:w w:val="110"/>
          <w:sz w:val="16"/>
        </w:rPr>
        <w:t xml:space="preserve">Dancing with </w:t>
      </w:r>
      <w:r>
        <w:rPr>
          <w:i/>
          <w:color w:val="231F20"/>
          <w:spacing w:val="1"/>
          <w:w w:val="110"/>
          <w:sz w:val="16"/>
        </w:rPr>
        <w:t xml:space="preserve">Imperialism: </w:t>
      </w:r>
      <w:r>
        <w:rPr>
          <w:i/>
          <w:color w:val="231F20"/>
          <w:spacing w:val="2"/>
          <w:w w:val="110"/>
          <w:sz w:val="16"/>
        </w:rPr>
        <w:t xml:space="preserve">One </w:t>
      </w:r>
      <w:r>
        <w:rPr>
          <w:i/>
          <w:color w:val="231F20"/>
          <w:spacing w:val="1"/>
          <w:w w:val="110"/>
          <w:sz w:val="16"/>
        </w:rPr>
        <w:t xml:space="preserve">Step </w:t>
      </w:r>
      <w:r>
        <w:rPr>
          <w:i/>
          <w:color w:val="231F20"/>
          <w:w w:val="110"/>
          <w:sz w:val="16"/>
        </w:rPr>
        <w:t xml:space="preserve">Forward, </w:t>
      </w:r>
      <w:r>
        <w:rPr>
          <w:i/>
          <w:color w:val="231F20"/>
          <w:spacing w:val="-3"/>
          <w:w w:val="110"/>
          <w:sz w:val="16"/>
        </w:rPr>
        <w:t>Two</w:t>
      </w:r>
      <w:r>
        <w:rPr>
          <w:i/>
          <w:color w:val="231F20"/>
          <w:spacing w:val="-21"/>
          <w:w w:val="110"/>
          <w:sz w:val="16"/>
        </w:rPr>
        <w:t xml:space="preserve"> </w:t>
      </w:r>
      <w:r>
        <w:rPr>
          <w:i/>
          <w:color w:val="231F20"/>
          <w:spacing w:val="1"/>
          <w:w w:val="110"/>
          <w:sz w:val="16"/>
        </w:rPr>
        <w:t xml:space="preserve">Steps </w:t>
      </w:r>
      <w:r>
        <w:rPr>
          <w:i/>
          <w:color w:val="231F20"/>
          <w:w w:val="110"/>
          <w:sz w:val="16"/>
        </w:rPr>
        <w:t>Back.</w:t>
      </w:r>
    </w:p>
    <w:p w14:paraId="68A72671" w14:textId="77777777" w:rsidR="002653E8" w:rsidRDefault="002653E8">
      <w:pPr>
        <w:spacing w:line="254" w:lineRule="auto"/>
        <w:rPr>
          <w:sz w:val="16"/>
        </w:rPr>
        <w:sectPr w:rsidR="002653E8">
          <w:pgSz w:w="8640" w:h="12960"/>
          <w:pgMar w:top="1060" w:right="0" w:bottom="1460" w:left="0" w:header="0" w:footer="1270" w:gutter="0"/>
          <w:cols w:space="720"/>
        </w:sectPr>
      </w:pPr>
    </w:p>
    <w:p w14:paraId="6F7AA3ED" w14:textId="77777777" w:rsidR="002653E8" w:rsidRDefault="003115E3">
      <w:pPr>
        <w:pStyle w:val="a3"/>
        <w:spacing w:before="86" w:line="264" w:lineRule="auto"/>
        <w:ind w:left="1327" w:right="1147"/>
        <w:jc w:val="both"/>
      </w:pPr>
      <w:r>
        <w:rPr>
          <w:color w:val="231F20"/>
        </w:rPr>
        <w:lastRenderedPageBreak/>
        <w:t>So, during this germinal period, friendly contacts were maintained even as differences were clarified between the various activists who were choosing to take the next step in the struggle.</w:t>
      </w:r>
    </w:p>
    <w:p w14:paraId="4EEFA3FF" w14:textId="77777777" w:rsidR="002653E8" w:rsidRDefault="003115E3">
      <w:pPr>
        <w:pStyle w:val="a3"/>
        <w:spacing w:line="264" w:lineRule="auto"/>
        <w:ind w:left="1327" w:right="1145" w:firstLine="210"/>
        <w:jc w:val="both"/>
      </w:pPr>
      <w:r>
        <w:rPr>
          <w:color w:val="231F20"/>
        </w:rPr>
        <w:t>For</w:t>
      </w:r>
      <w:r>
        <w:rPr>
          <w:color w:val="231F20"/>
          <w:spacing w:val="-6"/>
        </w:rPr>
        <w:t xml:space="preserve"> </w:t>
      </w:r>
      <w:r>
        <w:rPr>
          <w:color w:val="231F20"/>
        </w:rPr>
        <w:t>shelter</w:t>
      </w:r>
      <w:r>
        <w:rPr>
          <w:color w:val="231F20"/>
          <w:spacing w:val="-6"/>
        </w:rPr>
        <w:t xml:space="preserve"> </w:t>
      </w:r>
      <w:r>
        <w:rPr>
          <w:color w:val="231F20"/>
        </w:rPr>
        <w:t>and</w:t>
      </w:r>
      <w:r>
        <w:rPr>
          <w:color w:val="231F20"/>
          <w:spacing w:val="-6"/>
        </w:rPr>
        <w:t xml:space="preserve"> </w:t>
      </w:r>
      <w:r>
        <w:rPr>
          <w:color w:val="231F20"/>
        </w:rPr>
        <w:t>support,</w:t>
      </w:r>
      <w:r>
        <w:rPr>
          <w:color w:val="231F20"/>
          <w:spacing w:val="-6"/>
        </w:rPr>
        <w:t xml:space="preserve"> </w:t>
      </w:r>
      <w:r>
        <w:rPr>
          <w:color w:val="231F20"/>
        </w:rPr>
        <w:t>those</w:t>
      </w:r>
      <w:r>
        <w:rPr>
          <w:color w:val="231F20"/>
          <w:spacing w:val="-6"/>
        </w:rPr>
        <w:t xml:space="preserve"> </w:t>
      </w:r>
      <w:r>
        <w:rPr>
          <w:color w:val="231F20"/>
        </w:rPr>
        <w:t>who</w:t>
      </w:r>
      <w:r>
        <w:rPr>
          <w:color w:val="231F20"/>
          <w:spacing w:val="-6"/>
        </w:rPr>
        <w:t xml:space="preserve"> </w:t>
      </w:r>
      <w:r>
        <w:rPr>
          <w:color w:val="231F20"/>
        </w:rPr>
        <w:t>were</w:t>
      </w:r>
      <w:r>
        <w:rPr>
          <w:color w:val="231F20"/>
          <w:spacing w:val="-6"/>
        </w:rPr>
        <w:t xml:space="preserve"> </w:t>
      </w:r>
      <w:r>
        <w:rPr>
          <w:color w:val="231F20"/>
        </w:rPr>
        <w:t>underground</w:t>
      </w:r>
      <w:r>
        <w:rPr>
          <w:color w:val="231F20"/>
          <w:spacing w:val="-6"/>
        </w:rPr>
        <w:t xml:space="preserve"> </w:t>
      </w:r>
      <w:r>
        <w:rPr>
          <w:color w:val="231F20"/>
        </w:rPr>
        <w:t>became</w:t>
      </w:r>
      <w:r>
        <w:rPr>
          <w:color w:val="231F20"/>
          <w:spacing w:val="-6"/>
        </w:rPr>
        <w:t xml:space="preserve"> </w:t>
      </w:r>
      <w:r>
        <w:rPr>
          <w:color w:val="231F20"/>
        </w:rPr>
        <w:t>dependent on the goodwill and loyalty of friends and allies who maintained     a legal existence. One of those who occasionally sheltered Baader and Ensslin was Ulrike Meinhof, who was already feeling that their commitment and sense of purpose contrasted sharply with what she experienced as her own increasingly hollow existence as a middle class media star, albeit one with “notorious” left-wing politics. At the same time, Meinhof continued to work with young people in closed institutions, specifically girls in reform school, with whom she began producing a television</w:t>
      </w:r>
      <w:r>
        <w:rPr>
          <w:color w:val="231F20"/>
          <w:spacing w:val="10"/>
        </w:rPr>
        <w:t xml:space="preserve"> </w:t>
      </w:r>
      <w:r>
        <w:rPr>
          <w:color w:val="231F20"/>
        </w:rPr>
        <w:t>docudrama.</w:t>
      </w:r>
    </w:p>
    <w:p w14:paraId="5A7352DD" w14:textId="77777777" w:rsidR="002653E8" w:rsidRDefault="003115E3">
      <w:pPr>
        <w:pStyle w:val="a3"/>
        <w:spacing w:line="264" w:lineRule="auto"/>
        <w:ind w:left="1328" w:right="1146" w:firstLine="210"/>
        <w:jc w:val="both"/>
      </w:pPr>
      <w:r>
        <w:rPr>
          <w:color w:val="231F20"/>
        </w:rPr>
        <w:t>While Meinhof eventually became world famous for what she did next in life, it is worth emphasizing that her time as a journalist was far from</w:t>
      </w:r>
      <w:r>
        <w:rPr>
          <w:color w:val="231F20"/>
          <w:spacing w:val="15"/>
        </w:rPr>
        <w:t xml:space="preserve"> </w:t>
      </w:r>
      <w:r>
        <w:rPr>
          <w:color w:val="231F20"/>
        </w:rPr>
        <w:t>insignificant.</w:t>
      </w:r>
      <w:r>
        <w:rPr>
          <w:color w:val="231F20"/>
          <w:spacing w:val="15"/>
        </w:rPr>
        <w:t xml:space="preserve"> </w:t>
      </w:r>
      <w:r>
        <w:rPr>
          <w:color w:val="231F20"/>
        </w:rPr>
        <w:t>As</w:t>
      </w:r>
      <w:r>
        <w:rPr>
          <w:color w:val="231F20"/>
          <w:spacing w:val="15"/>
        </w:rPr>
        <w:t xml:space="preserve"> </w:t>
      </w:r>
      <w:r>
        <w:rPr>
          <w:color w:val="231F20"/>
        </w:rPr>
        <w:t>her</w:t>
      </w:r>
      <w:r>
        <w:rPr>
          <w:color w:val="231F20"/>
          <w:spacing w:val="15"/>
        </w:rPr>
        <w:t xml:space="preserve"> </w:t>
      </w:r>
      <w:r>
        <w:rPr>
          <w:color w:val="231F20"/>
        </w:rPr>
        <w:t>biographer</w:t>
      </w:r>
      <w:r>
        <w:rPr>
          <w:color w:val="231F20"/>
          <w:spacing w:val="15"/>
        </w:rPr>
        <w:t xml:space="preserve"> </w:t>
      </w:r>
      <w:r>
        <w:rPr>
          <w:color w:val="231F20"/>
        </w:rPr>
        <w:t>Jutta</w:t>
      </w:r>
      <w:r>
        <w:rPr>
          <w:color w:val="231F20"/>
          <w:spacing w:val="15"/>
        </w:rPr>
        <w:t xml:space="preserve"> </w:t>
      </w:r>
      <w:r>
        <w:rPr>
          <w:color w:val="231F20"/>
        </w:rPr>
        <w:t>Ditfurth</w:t>
      </w:r>
      <w:r>
        <w:rPr>
          <w:color w:val="231F20"/>
          <w:spacing w:val="15"/>
        </w:rPr>
        <w:t xml:space="preserve"> </w:t>
      </w:r>
      <w:r>
        <w:rPr>
          <w:color w:val="231F20"/>
        </w:rPr>
        <w:t>has</w:t>
      </w:r>
      <w:r>
        <w:rPr>
          <w:color w:val="231F20"/>
          <w:spacing w:val="15"/>
        </w:rPr>
        <w:t xml:space="preserve"> </w:t>
      </w:r>
      <w:r>
        <w:rPr>
          <w:color w:val="231F20"/>
        </w:rPr>
        <w:t>argued:</w:t>
      </w:r>
    </w:p>
    <w:p w14:paraId="153ED156" w14:textId="77777777" w:rsidR="002653E8" w:rsidRDefault="003115E3">
      <w:pPr>
        <w:spacing w:before="112" w:line="276" w:lineRule="auto"/>
        <w:ind w:left="1747" w:right="1565"/>
        <w:jc w:val="both"/>
        <w:rPr>
          <w:i/>
          <w:sz w:val="11"/>
        </w:rPr>
      </w:pPr>
      <w:r>
        <w:rPr>
          <w:i/>
          <w:color w:val="231F20"/>
          <w:w w:val="105"/>
          <w:sz w:val="19"/>
        </w:rPr>
        <w:t>With her columns, and above all with the radio features about things like industrial labor and reform school children, Meinhof had</w:t>
      </w:r>
      <w:r>
        <w:rPr>
          <w:i/>
          <w:color w:val="231F20"/>
          <w:spacing w:val="-6"/>
          <w:w w:val="105"/>
          <w:sz w:val="19"/>
        </w:rPr>
        <w:t xml:space="preserve"> </w:t>
      </w:r>
      <w:r>
        <w:rPr>
          <w:i/>
          <w:color w:val="231F20"/>
          <w:w w:val="105"/>
          <w:sz w:val="19"/>
        </w:rPr>
        <w:t>an</w:t>
      </w:r>
      <w:r>
        <w:rPr>
          <w:i/>
          <w:color w:val="231F20"/>
          <w:spacing w:val="-6"/>
          <w:w w:val="105"/>
          <w:sz w:val="19"/>
        </w:rPr>
        <w:t xml:space="preserve"> </w:t>
      </w:r>
      <w:r>
        <w:rPr>
          <w:i/>
          <w:color w:val="231F20"/>
          <w:w w:val="105"/>
          <w:sz w:val="19"/>
        </w:rPr>
        <w:t>enormous</w:t>
      </w:r>
      <w:r>
        <w:rPr>
          <w:i/>
          <w:color w:val="231F20"/>
          <w:spacing w:val="-6"/>
          <w:w w:val="105"/>
          <w:sz w:val="19"/>
        </w:rPr>
        <w:t xml:space="preserve"> </w:t>
      </w:r>
      <w:r>
        <w:rPr>
          <w:i/>
          <w:color w:val="231F20"/>
          <w:w w:val="105"/>
          <w:sz w:val="19"/>
        </w:rPr>
        <w:t>influence</w:t>
      </w:r>
      <w:r>
        <w:rPr>
          <w:i/>
          <w:color w:val="231F20"/>
          <w:spacing w:val="-6"/>
          <w:w w:val="105"/>
          <w:sz w:val="19"/>
        </w:rPr>
        <w:t xml:space="preserve"> </w:t>
      </w:r>
      <w:r>
        <w:rPr>
          <w:i/>
          <w:color w:val="231F20"/>
          <w:w w:val="105"/>
          <w:sz w:val="19"/>
        </w:rPr>
        <w:t>on</w:t>
      </w:r>
      <w:r>
        <w:rPr>
          <w:i/>
          <w:color w:val="231F20"/>
          <w:spacing w:val="-6"/>
          <w:w w:val="105"/>
          <w:sz w:val="19"/>
        </w:rPr>
        <w:t xml:space="preserve"> </w:t>
      </w:r>
      <w:r>
        <w:rPr>
          <w:i/>
          <w:color w:val="231F20"/>
          <w:w w:val="105"/>
          <w:sz w:val="19"/>
        </w:rPr>
        <w:t>the</w:t>
      </w:r>
      <w:r>
        <w:rPr>
          <w:i/>
          <w:color w:val="231F20"/>
          <w:spacing w:val="-6"/>
          <w:w w:val="105"/>
          <w:sz w:val="19"/>
        </w:rPr>
        <w:t xml:space="preserve"> </w:t>
      </w:r>
      <w:r>
        <w:rPr>
          <w:i/>
          <w:color w:val="231F20"/>
          <w:w w:val="105"/>
          <w:sz w:val="19"/>
        </w:rPr>
        <w:t>thinking</w:t>
      </w:r>
      <w:r>
        <w:rPr>
          <w:i/>
          <w:color w:val="231F20"/>
          <w:spacing w:val="-6"/>
          <w:w w:val="105"/>
          <w:sz w:val="19"/>
        </w:rPr>
        <w:t xml:space="preserve"> </w:t>
      </w:r>
      <w:r>
        <w:rPr>
          <w:i/>
          <w:color w:val="231F20"/>
          <w:w w:val="105"/>
          <w:sz w:val="19"/>
        </w:rPr>
        <w:t>of</w:t>
      </w:r>
      <w:r>
        <w:rPr>
          <w:i/>
          <w:color w:val="231F20"/>
          <w:spacing w:val="-6"/>
          <w:w w:val="105"/>
          <w:sz w:val="19"/>
        </w:rPr>
        <w:t xml:space="preserve"> </w:t>
      </w:r>
      <w:r>
        <w:rPr>
          <w:i/>
          <w:color w:val="231F20"/>
          <w:w w:val="105"/>
          <w:sz w:val="19"/>
        </w:rPr>
        <w:t>many</w:t>
      </w:r>
      <w:r>
        <w:rPr>
          <w:i/>
          <w:color w:val="231F20"/>
          <w:spacing w:val="-6"/>
          <w:w w:val="105"/>
          <w:sz w:val="19"/>
        </w:rPr>
        <w:t xml:space="preserve"> </w:t>
      </w:r>
      <w:r>
        <w:rPr>
          <w:i/>
          <w:color w:val="231F20"/>
          <w:w w:val="105"/>
          <w:sz w:val="19"/>
        </w:rPr>
        <w:t>people.</w:t>
      </w:r>
      <w:r>
        <w:rPr>
          <w:i/>
          <w:color w:val="231F20"/>
          <w:spacing w:val="-13"/>
          <w:w w:val="105"/>
          <w:sz w:val="19"/>
        </w:rPr>
        <w:t xml:space="preserve"> </w:t>
      </w:r>
      <w:r>
        <w:rPr>
          <w:i/>
          <w:color w:val="231F20"/>
          <w:w w:val="105"/>
          <w:sz w:val="19"/>
        </w:rPr>
        <w:t xml:space="preserve">Much more than she realized. She took on themes that only exploded into view years </w:t>
      </w:r>
      <w:r>
        <w:rPr>
          <w:i/>
          <w:color w:val="231F20"/>
          <w:spacing w:val="-4"/>
          <w:w w:val="105"/>
          <w:sz w:val="19"/>
        </w:rPr>
        <w:t xml:space="preserve">later. </w:t>
      </w:r>
      <w:r>
        <w:rPr>
          <w:i/>
          <w:color w:val="231F20"/>
          <w:w w:val="105"/>
          <w:sz w:val="19"/>
        </w:rPr>
        <w:t xml:space="preserve">For instance, the </w:t>
      </w:r>
      <w:r>
        <w:rPr>
          <w:i/>
          <w:color w:val="231F20"/>
          <w:spacing w:val="-3"/>
          <w:w w:val="105"/>
          <w:sz w:val="19"/>
        </w:rPr>
        <w:t xml:space="preserve">women’s </w:t>
      </w:r>
      <w:r>
        <w:rPr>
          <w:i/>
          <w:color w:val="231F20"/>
          <w:w w:val="105"/>
          <w:sz w:val="19"/>
        </w:rPr>
        <w:t>question. When women in the SDS defended themselves from macho guys, they did</w:t>
      </w:r>
      <w:r>
        <w:rPr>
          <w:i/>
          <w:color w:val="231F20"/>
          <w:spacing w:val="-9"/>
          <w:w w:val="105"/>
          <w:sz w:val="19"/>
        </w:rPr>
        <w:t xml:space="preserve"> </w:t>
      </w:r>
      <w:r>
        <w:rPr>
          <w:i/>
          <w:color w:val="231F20"/>
          <w:w w:val="105"/>
          <w:sz w:val="19"/>
        </w:rPr>
        <w:t>it</w:t>
      </w:r>
      <w:r>
        <w:rPr>
          <w:i/>
          <w:color w:val="231F20"/>
          <w:spacing w:val="-9"/>
          <w:w w:val="105"/>
          <w:sz w:val="19"/>
        </w:rPr>
        <w:t xml:space="preserve"> </w:t>
      </w:r>
      <w:r>
        <w:rPr>
          <w:i/>
          <w:color w:val="231F20"/>
          <w:w w:val="105"/>
          <w:sz w:val="19"/>
        </w:rPr>
        <w:t>with</w:t>
      </w:r>
      <w:r>
        <w:rPr>
          <w:i/>
          <w:color w:val="231F20"/>
          <w:spacing w:val="-9"/>
          <w:w w:val="105"/>
          <w:sz w:val="19"/>
        </w:rPr>
        <w:t xml:space="preserve"> </w:t>
      </w:r>
      <w:r>
        <w:rPr>
          <w:i/>
          <w:color w:val="231F20"/>
          <w:w w:val="105"/>
          <w:sz w:val="19"/>
        </w:rPr>
        <w:t>words</w:t>
      </w:r>
      <w:r>
        <w:rPr>
          <w:i/>
          <w:color w:val="231F20"/>
          <w:spacing w:val="-9"/>
          <w:w w:val="105"/>
          <w:sz w:val="19"/>
        </w:rPr>
        <w:t xml:space="preserve"> </w:t>
      </w:r>
      <w:r>
        <w:rPr>
          <w:i/>
          <w:color w:val="231F20"/>
          <w:w w:val="105"/>
          <w:sz w:val="19"/>
        </w:rPr>
        <w:t>and</w:t>
      </w:r>
      <w:r>
        <w:rPr>
          <w:i/>
          <w:color w:val="231F20"/>
          <w:spacing w:val="-9"/>
          <w:w w:val="105"/>
          <w:sz w:val="19"/>
        </w:rPr>
        <w:t xml:space="preserve"> </w:t>
      </w:r>
      <w:r>
        <w:rPr>
          <w:i/>
          <w:color w:val="231F20"/>
          <w:w w:val="105"/>
          <w:sz w:val="19"/>
        </w:rPr>
        <w:t>sentences</w:t>
      </w:r>
      <w:r>
        <w:rPr>
          <w:i/>
          <w:color w:val="231F20"/>
          <w:spacing w:val="-9"/>
          <w:w w:val="105"/>
          <w:sz w:val="19"/>
        </w:rPr>
        <w:t xml:space="preserve"> </w:t>
      </w:r>
      <w:r>
        <w:rPr>
          <w:i/>
          <w:color w:val="231F20"/>
          <w:w w:val="105"/>
          <w:sz w:val="19"/>
        </w:rPr>
        <w:t>from</w:t>
      </w:r>
      <w:r>
        <w:rPr>
          <w:i/>
          <w:color w:val="231F20"/>
          <w:spacing w:val="-9"/>
          <w:w w:val="105"/>
          <w:sz w:val="19"/>
        </w:rPr>
        <w:t xml:space="preserve"> </w:t>
      </w:r>
      <w:r>
        <w:rPr>
          <w:i/>
          <w:color w:val="231F20"/>
          <w:w w:val="105"/>
          <w:sz w:val="19"/>
        </w:rPr>
        <w:t>Meinhof’s</w:t>
      </w:r>
      <w:r>
        <w:rPr>
          <w:i/>
          <w:color w:val="231F20"/>
          <w:spacing w:val="-9"/>
          <w:w w:val="105"/>
          <w:sz w:val="19"/>
        </w:rPr>
        <w:t xml:space="preserve"> </w:t>
      </w:r>
      <w:r>
        <w:rPr>
          <w:i/>
          <w:color w:val="231F20"/>
          <w:w w:val="105"/>
          <w:sz w:val="19"/>
        </w:rPr>
        <w:t>articles.</w:t>
      </w:r>
      <w:r>
        <w:rPr>
          <w:i/>
          <w:color w:val="231F20"/>
          <w:spacing w:val="-15"/>
          <w:w w:val="105"/>
          <w:sz w:val="19"/>
        </w:rPr>
        <w:t xml:space="preserve"> </w:t>
      </w:r>
      <w:r>
        <w:rPr>
          <w:i/>
          <w:color w:val="231F20"/>
          <w:w w:val="105"/>
          <w:sz w:val="19"/>
        </w:rPr>
        <w:t>She</w:t>
      </w:r>
      <w:r>
        <w:rPr>
          <w:i/>
          <w:color w:val="231F20"/>
          <w:spacing w:val="-9"/>
          <w:w w:val="105"/>
          <w:sz w:val="19"/>
        </w:rPr>
        <w:t xml:space="preserve"> </w:t>
      </w:r>
      <w:r>
        <w:rPr>
          <w:i/>
          <w:color w:val="231F20"/>
          <w:w w:val="105"/>
          <w:sz w:val="19"/>
        </w:rPr>
        <w:t>could formulate things</w:t>
      </w:r>
      <w:r>
        <w:rPr>
          <w:i/>
          <w:color w:val="231F20"/>
          <w:spacing w:val="12"/>
          <w:w w:val="105"/>
          <w:sz w:val="19"/>
        </w:rPr>
        <w:t xml:space="preserve"> </w:t>
      </w:r>
      <w:r>
        <w:rPr>
          <w:i/>
          <w:color w:val="231F20"/>
          <w:w w:val="105"/>
          <w:sz w:val="19"/>
        </w:rPr>
        <w:t>succinctly.</w:t>
      </w:r>
      <w:r>
        <w:rPr>
          <w:i/>
          <w:color w:val="231F20"/>
          <w:w w:val="105"/>
          <w:position w:val="6"/>
          <w:sz w:val="11"/>
        </w:rPr>
        <w:t>2</w:t>
      </w:r>
    </w:p>
    <w:p w14:paraId="25F19D0C" w14:textId="77777777" w:rsidR="002653E8" w:rsidRDefault="003115E3">
      <w:pPr>
        <w:pStyle w:val="a3"/>
        <w:spacing w:before="133" w:line="264" w:lineRule="auto"/>
        <w:ind w:left="1327" w:right="1145"/>
        <w:jc w:val="both"/>
        <w:rPr>
          <w:sz w:val="11"/>
        </w:rPr>
      </w:pPr>
      <w:r>
        <w:rPr>
          <w:color w:val="231F20"/>
        </w:rPr>
        <w:t xml:space="preserve">Baader was captured in </w:t>
      </w:r>
      <w:r>
        <w:rPr>
          <w:color w:val="231F20"/>
          <w:spacing w:val="-3"/>
        </w:rPr>
        <w:t xml:space="preserve">West </w:t>
      </w:r>
      <w:r>
        <w:rPr>
          <w:color w:val="231F20"/>
        </w:rPr>
        <w:t xml:space="preserve">Berlin on April </w:t>
      </w:r>
      <w:r>
        <w:rPr>
          <w:color w:val="231F20"/>
          <w:spacing w:val="-3"/>
        </w:rPr>
        <w:t xml:space="preserve">3, 1970, </w:t>
      </w:r>
      <w:r>
        <w:rPr>
          <w:color w:val="231F20"/>
        </w:rPr>
        <w:t>set up by a police informant.</w:t>
      </w:r>
      <w:r>
        <w:rPr>
          <w:color w:val="231F20"/>
          <w:position w:val="7"/>
          <w:sz w:val="11"/>
        </w:rPr>
        <w:t xml:space="preserve">3 </w:t>
      </w:r>
      <w:r>
        <w:rPr>
          <w:color w:val="231F20"/>
        </w:rPr>
        <w:t xml:space="preserve">Peter Urbach had been active around the commune scene for years, all the while secretly acting on behalf of the state. He was particularly “close” to the K.1 commune, and had known Baader since  at least </w:t>
      </w:r>
      <w:r>
        <w:rPr>
          <w:color w:val="231F20"/>
          <w:spacing w:val="-7"/>
        </w:rPr>
        <w:t>1967.</w:t>
      </w:r>
      <w:r>
        <w:rPr>
          <w:color w:val="231F20"/>
          <w:spacing w:val="30"/>
        </w:rPr>
        <w:t xml:space="preserve"> </w:t>
      </w:r>
      <w:r>
        <w:rPr>
          <w:color w:val="231F20"/>
        </w:rPr>
        <w:t>While the bombs and guns Urbach supplied to young rebels never seemed to work, the hard drugs he provided did their job nicely, showing that even as theories of the “liberating” effects of narcotics were being touted in the scene, the state knew on which side its bread was</w:t>
      </w:r>
      <w:r>
        <w:rPr>
          <w:color w:val="231F20"/>
          <w:spacing w:val="20"/>
        </w:rPr>
        <w:t xml:space="preserve"> </w:t>
      </w:r>
      <w:r>
        <w:rPr>
          <w:color w:val="231F20"/>
        </w:rPr>
        <w:t>buttered.</w:t>
      </w:r>
      <w:r>
        <w:rPr>
          <w:color w:val="231F20"/>
          <w:position w:val="7"/>
          <w:sz w:val="11"/>
        </w:rPr>
        <w:t>4</w:t>
      </w:r>
    </w:p>
    <w:p w14:paraId="41228FCE" w14:textId="77777777" w:rsidR="002653E8" w:rsidRDefault="003115E3">
      <w:pPr>
        <w:pStyle w:val="a3"/>
        <w:spacing w:line="225" w:lineRule="exact"/>
        <w:ind w:left="1537"/>
      </w:pPr>
      <w:r>
        <w:rPr>
          <w:color w:val="231F20"/>
        </w:rPr>
        <w:t>While it has always been stressed that there were neither hierarchies</w:t>
      </w:r>
    </w:p>
    <w:p w14:paraId="65F39F62" w14:textId="77777777" w:rsidR="002653E8" w:rsidRDefault="00000000">
      <w:pPr>
        <w:pStyle w:val="a3"/>
        <w:spacing w:before="5"/>
        <w:rPr>
          <w:sz w:val="25"/>
        </w:rPr>
      </w:pPr>
      <w:r>
        <w:rPr>
          <w:noProof w:val="0"/>
        </w:rPr>
        <w:pict w14:anchorId="05011C85">
          <v:line id="_x0000_s2642" style="position:absolute;z-index:2704;mso-wrap-distance-left:0;mso-wrap-distance-right:0;mso-position-horizontal-relative:page" from="66.4pt,17.1pt" to="138.4pt,17.1pt" strokecolor="#231f20" strokeweight=".5pt">
            <w10:wrap type="topAndBottom" anchorx="page"/>
          </v:line>
        </w:pict>
      </w:r>
    </w:p>
    <w:p w14:paraId="4E3672BA" w14:textId="77777777" w:rsidR="002653E8" w:rsidRPr="00C507A5" w:rsidRDefault="003115E3">
      <w:pPr>
        <w:pStyle w:val="a4"/>
        <w:numPr>
          <w:ilvl w:val="0"/>
          <w:numId w:val="30"/>
        </w:numPr>
        <w:tabs>
          <w:tab w:val="left" w:pos="1467"/>
        </w:tabs>
        <w:spacing w:before="53"/>
        <w:rPr>
          <w:sz w:val="16"/>
          <w:lang w:val="de-DE"/>
        </w:rPr>
      </w:pPr>
      <w:r w:rsidRPr="00C507A5">
        <w:rPr>
          <w:color w:val="231F20"/>
          <w:w w:val="105"/>
          <w:sz w:val="16"/>
          <w:lang w:val="de-DE"/>
        </w:rPr>
        <w:t>Jutta</w:t>
      </w:r>
      <w:r w:rsidRPr="00C507A5">
        <w:rPr>
          <w:color w:val="231F20"/>
          <w:spacing w:val="10"/>
          <w:w w:val="105"/>
          <w:sz w:val="16"/>
          <w:lang w:val="de-DE"/>
        </w:rPr>
        <w:t xml:space="preserve"> </w:t>
      </w:r>
      <w:r w:rsidRPr="00C507A5">
        <w:rPr>
          <w:color w:val="231F20"/>
          <w:spacing w:val="1"/>
          <w:w w:val="105"/>
          <w:sz w:val="16"/>
          <w:lang w:val="de-DE"/>
        </w:rPr>
        <w:t>Ditfurth,</w:t>
      </w:r>
      <w:r w:rsidRPr="00C507A5">
        <w:rPr>
          <w:color w:val="231F20"/>
          <w:spacing w:val="10"/>
          <w:w w:val="105"/>
          <w:sz w:val="16"/>
          <w:lang w:val="de-DE"/>
        </w:rPr>
        <w:t xml:space="preserve"> </w:t>
      </w:r>
      <w:r w:rsidRPr="00C507A5">
        <w:rPr>
          <w:color w:val="231F20"/>
          <w:w w:val="105"/>
          <w:sz w:val="16"/>
          <w:lang w:val="de-DE"/>
        </w:rPr>
        <w:t>interview</w:t>
      </w:r>
      <w:r w:rsidRPr="00C507A5">
        <w:rPr>
          <w:color w:val="231F20"/>
          <w:spacing w:val="10"/>
          <w:w w:val="105"/>
          <w:sz w:val="16"/>
          <w:lang w:val="de-DE"/>
        </w:rPr>
        <w:t xml:space="preserve"> </w:t>
      </w:r>
      <w:r w:rsidRPr="00C507A5">
        <w:rPr>
          <w:color w:val="231F20"/>
          <w:w w:val="105"/>
          <w:sz w:val="16"/>
          <w:lang w:val="de-DE"/>
        </w:rPr>
        <w:t>by</w:t>
      </w:r>
      <w:r w:rsidRPr="00C507A5">
        <w:rPr>
          <w:color w:val="231F20"/>
          <w:spacing w:val="10"/>
          <w:w w:val="105"/>
          <w:sz w:val="16"/>
          <w:lang w:val="de-DE"/>
        </w:rPr>
        <w:t xml:space="preserve"> </w:t>
      </w:r>
      <w:r w:rsidRPr="00C507A5">
        <w:rPr>
          <w:color w:val="231F20"/>
          <w:spacing w:val="1"/>
          <w:w w:val="105"/>
          <w:sz w:val="16"/>
          <w:lang w:val="de-DE"/>
        </w:rPr>
        <w:t>Arno</w:t>
      </w:r>
      <w:r w:rsidRPr="00C507A5">
        <w:rPr>
          <w:color w:val="231F20"/>
          <w:spacing w:val="10"/>
          <w:w w:val="105"/>
          <w:sz w:val="16"/>
          <w:lang w:val="de-DE"/>
        </w:rPr>
        <w:t xml:space="preserve"> </w:t>
      </w:r>
      <w:r w:rsidRPr="00C507A5">
        <w:rPr>
          <w:color w:val="231F20"/>
          <w:w w:val="105"/>
          <w:sz w:val="16"/>
          <w:lang w:val="de-DE"/>
        </w:rPr>
        <w:t>Luik,</w:t>
      </w:r>
      <w:r w:rsidRPr="00C507A5">
        <w:rPr>
          <w:color w:val="231F20"/>
          <w:spacing w:val="10"/>
          <w:w w:val="105"/>
          <w:sz w:val="16"/>
          <w:lang w:val="de-DE"/>
        </w:rPr>
        <w:t xml:space="preserve"> </w:t>
      </w:r>
      <w:r w:rsidRPr="00C507A5">
        <w:rPr>
          <w:color w:val="231F20"/>
          <w:w w:val="105"/>
          <w:sz w:val="16"/>
          <w:lang w:val="de-DE"/>
        </w:rPr>
        <w:t>“Sie</w:t>
      </w:r>
      <w:r w:rsidRPr="00C507A5">
        <w:rPr>
          <w:color w:val="231F20"/>
          <w:spacing w:val="10"/>
          <w:w w:val="105"/>
          <w:sz w:val="16"/>
          <w:lang w:val="de-DE"/>
        </w:rPr>
        <w:t xml:space="preserve"> </w:t>
      </w:r>
      <w:r w:rsidRPr="00C507A5">
        <w:rPr>
          <w:color w:val="231F20"/>
          <w:w w:val="105"/>
          <w:sz w:val="16"/>
          <w:lang w:val="de-DE"/>
        </w:rPr>
        <w:t>war</w:t>
      </w:r>
      <w:r w:rsidRPr="00C507A5">
        <w:rPr>
          <w:color w:val="231F20"/>
          <w:spacing w:val="10"/>
          <w:w w:val="105"/>
          <w:sz w:val="16"/>
          <w:lang w:val="de-DE"/>
        </w:rPr>
        <w:t xml:space="preserve"> </w:t>
      </w:r>
      <w:r w:rsidRPr="00C507A5">
        <w:rPr>
          <w:color w:val="231F20"/>
          <w:w w:val="105"/>
          <w:sz w:val="16"/>
          <w:lang w:val="de-DE"/>
        </w:rPr>
        <w:t>die</w:t>
      </w:r>
      <w:r w:rsidRPr="00C507A5">
        <w:rPr>
          <w:color w:val="231F20"/>
          <w:spacing w:val="10"/>
          <w:w w:val="105"/>
          <w:sz w:val="16"/>
          <w:lang w:val="de-DE"/>
        </w:rPr>
        <w:t xml:space="preserve"> </w:t>
      </w:r>
      <w:r w:rsidRPr="00C507A5">
        <w:rPr>
          <w:color w:val="231F20"/>
          <w:w w:val="105"/>
          <w:sz w:val="16"/>
          <w:lang w:val="de-DE"/>
        </w:rPr>
        <w:t>große</w:t>
      </w:r>
      <w:r w:rsidRPr="00C507A5">
        <w:rPr>
          <w:color w:val="231F20"/>
          <w:spacing w:val="10"/>
          <w:w w:val="105"/>
          <w:sz w:val="16"/>
          <w:lang w:val="de-DE"/>
        </w:rPr>
        <w:t xml:space="preserve"> </w:t>
      </w:r>
      <w:r w:rsidRPr="00C507A5">
        <w:rPr>
          <w:color w:val="231F20"/>
          <w:w w:val="105"/>
          <w:sz w:val="16"/>
          <w:lang w:val="de-DE"/>
        </w:rPr>
        <w:t>Schwester</w:t>
      </w:r>
      <w:r w:rsidRPr="00C507A5">
        <w:rPr>
          <w:color w:val="231F20"/>
          <w:spacing w:val="10"/>
          <w:w w:val="105"/>
          <w:sz w:val="16"/>
          <w:lang w:val="de-DE"/>
        </w:rPr>
        <w:t xml:space="preserve"> </w:t>
      </w:r>
      <w:r w:rsidRPr="00C507A5">
        <w:rPr>
          <w:color w:val="231F20"/>
          <w:w w:val="105"/>
          <w:sz w:val="16"/>
          <w:lang w:val="de-DE"/>
        </w:rPr>
        <w:t>der</w:t>
      </w:r>
      <w:r w:rsidRPr="00C507A5">
        <w:rPr>
          <w:color w:val="231F20"/>
          <w:spacing w:val="10"/>
          <w:w w:val="105"/>
          <w:sz w:val="16"/>
          <w:lang w:val="de-DE"/>
        </w:rPr>
        <w:t xml:space="preserve"> </w:t>
      </w:r>
      <w:r w:rsidRPr="00C507A5">
        <w:rPr>
          <w:color w:val="231F20"/>
          <w:spacing w:val="-4"/>
          <w:w w:val="105"/>
          <w:sz w:val="16"/>
          <w:lang w:val="de-DE"/>
        </w:rPr>
        <w:t>68er,”</w:t>
      </w:r>
    </w:p>
    <w:p w14:paraId="19DC3AA4" w14:textId="77777777" w:rsidR="002653E8" w:rsidRDefault="003115E3">
      <w:pPr>
        <w:spacing w:before="11"/>
        <w:ind w:left="1328"/>
        <w:rPr>
          <w:sz w:val="16"/>
        </w:rPr>
      </w:pPr>
      <w:r>
        <w:rPr>
          <w:i/>
          <w:color w:val="231F20"/>
          <w:w w:val="105"/>
          <w:sz w:val="16"/>
        </w:rPr>
        <w:t xml:space="preserve">Stern </w:t>
      </w:r>
      <w:r>
        <w:rPr>
          <w:color w:val="231F20"/>
          <w:w w:val="105"/>
          <w:sz w:val="16"/>
        </w:rPr>
        <w:t>46 (2007).</w:t>
      </w:r>
    </w:p>
    <w:p w14:paraId="30C25CBA" w14:textId="77777777" w:rsidR="002653E8" w:rsidRDefault="003115E3">
      <w:pPr>
        <w:pStyle w:val="a4"/>
        <w:numPr>
          <w:ilvl w:val="0"/>
          <w:numId w:val="30"/>
        </w:numPr>
        <w:tabs>
          <w:tab w:val="left" w:pos="1467"/>
        </w:tabs>
        <w:spacing w:before="52"/>
        <w:rPr>
          <w:sz w:val="16"/>
        </w:rPr>
      </w:pPr>
      <w:r>
        <w:rPr>
          <w:color w:val="231F20"/>
          <w:w w:val="115"/>
          <w:sz w:val="16"/>
        </w:rPr>
        <w:t>Aust,</w:t>
      </w:r>
      <w:r>
        <w:rPr>
          <w:color w:val="231F20"/>
          <w:spacing w:val="3"/>
          <w:w w:val="115"/>
          <w:sz w:val="16"/>
        </w:rPr>
        <w:t xml:space="preserve"> </w:t>
      </w:r>
      <w:r>
        <w:rPr>
          <w:color w:val="231F20"/>
          <w:spacing w:val="-3"/>
          <w:w w:val="115"/>
          <w:sz w:val="16"/>
        </w:rPr>
        <w:t>81.</w:t>
      </w:r>
    </w:p>
    <w:p w14:paraId="2B6C196C" w14:textId="77777777" w:rsidR="002653E8" w:rsidRDefault="003115E3">
      <w:pPr>
        <w:spacing w:before="52"/>
        <w:ind w:left="1327"/>
        <w:rPr>
          <w:sz w:val="16"/>
        </w:rPr>
      </w:pPr>
      <w:r>
        <w:rPr>
          <w:color w:val="231F20"/>
          <w:w w:val="115"/>
          <w:sz w:val="16"/>
        </w:rPr>
        <w:t>4 Ibid., 47.</w:t>
      </w:r>
    </w:p>
    <w:p w14:paraId="6D181382" w14:textId="77777777" w:rsidR="002653E8" w:rsidRDefault="002653E8">
      <w:pPr>
        <w:rPr>
          <w:sz w:val="16"/>
        </w:rPr>
        <w:sectPr w:rsidR="002653E8">
          <w:pgSz w:w="8640" w:h="12960"/>
          <w:pgMar w:top="1060" w:right="0" w:bottom="1040" w:left="0" w:header="0" w:footer="850" w:gutter="0"/>
          <w:cols w:space="720"/>
        </w:sectPr>
      </w:pPr>
    </w:p>
    <w:p w14:paraId="4FB142CF" w14:textId="77777777" w:rsidR="002653E8" w:rsidRDefault="003115E3">
      <w:pPr>
        <w:pStyle w:val="a3"/>
        <w:spacing w:before="86" w:line="264" w:lineRule="auto"/>
        <w:ind w:left="1147" w:right="1326" w:hanging="1"/>
        <w:jc w:val="both"/>
      </w:pPr>
      <w:r>
        <w:rPr>
          <w:color w:val="231F20"/>
        </w:rPr>
        <w:lastRenderedPageBreak/>
        <w:t>nor favorites amongst the various combatants, Baader seemed to bring with him a sense of daring and possibility which would always make him first amongst equals, for better or for worse. As such, following his capture, all attention was focused on how he could be freed from the state’s clutches.von</w:t>
      </w:r>
      <w:r>
        <w:rPr>
          <w:color w:val="231F20"/>
          <w:spacing w:val="20"/>
        </w:rPr>
        <w:t xml:space="preserve"> </w:t>
      </w:r>
      <w:r>
        <w:rPr>
          <w:color w:val="231F20"/>
        </w:rPr>
        <w:t>Seckendorff</w:t>
      </w:r>
    </w:p>
    <w:p w14:paraId="5E5CDE48" w14:textId="77777777" w:rsidR="002653E8" w:rsidRDefault="003115E3">
      <w:pPr>
        <w:pStyle w:val="a3"/>
        <w:spacing w:line="264" w:lineRule="auto"/>
        <w:ind w:left="1148" w:right="1325" w:firstLine="209"/>
        <w:jc w:val="both"/>
      </w:pPr>
      <w:r>
        <w:rPr>
          <w:color w:val="231F20"/>
        </w:rPr>
        <w:t xml:space="preserve">A plan was hatched, whereby Meinhof would use her press credentials to apply for permission to work with Baader on a book  about youth centers, an area in which by now they both had some experience. The prison authorities reluctantly agreed, and on May 14 Baader was escorted under guard to meet her at the Institute for Social Issues Library in the </w:t>
      </w:r>
      <w:r>
        <w:rPr>
          <w:color w:val="231F20"/>
          <w:spacing w:val="-3"/>
        </w:rPr>
        <w:t xml:space="preserve">West </w:t>
      </w:r>
      <w:r>
        <w:rPr>
          <w:color w:val="231F20"/>
        </w:rPr>
        <w:t>Berlin</w:t>
      </w:r>
      <w:r>
        <w:rPr>
          <w:color w:val="231F20"/>
          <w:spacing w:val="16"/>
        </w:rPr>
        <w:t xml:space="preserve"> </w:t>
      </w:r>
      <w:r>
        <w:rPr>
          <w:color w:val="231F20"/>
        </w:rPr>
        <w:t>suburbs.</w:t>
      </w:r>
    </w:p>
    <w:p w14:paraId="2BC85D41" w14:textId="77777777" w:rsidR="002653E8" w:rsidRDefault="003115E3">
      <w:pPr>
        <w:pStyle w:val="a3"/>
        <w:spacing w:line="264" w:lineRule="auto"/>
        <w:ind w:left="1147" w:right="1325" w:firstLine="210"/>
        <w:jc w:val="both"/>
        <w:rPr>
          <w:sz w:val="11"/>
        </w:rPr>
      </w:pPr>
      <w:r>
        <w:rPr>
          <w:color w:val="231F20"/>
        </w:rPr>
        <w:t xml:space="preserve">This provided the necessary opportunity. Once Baader and Meinhof were in the library, two young women entered the building: Irene Goergens, a teenager who Meinhof had recruited from her work with reform school kids, and Ingrid Schubert, a radical  doctor  from  the  </w:t>
      </w:r>
      <w:r>
        <w:rPr>
          <w:color w:val="231F20"/>
          <w:spacing w:val="-3"/>
        </w:rPr>
        <w:t xml:space="preserve">West </w:t>
      </w:r>
      <w:r>
        <w:rPr>
          <w:color w:val="231F20"/>
        </w:rPr>
        <w:t>Berlin scene. They were followed by a masked and armed Gudrun Ensslin, and an armed man. Drawing their weapons, these rescuers moved</w:t>
      </w:r>
      <w:r>
        <w:rPr>
          <w:color w:val="231F20"/>
          <w:spacing w:val="-7"/>
        </w:rPr>
        <w:t xml:space="preserve"> </w:t>
      </w:r>
      <w:r>
        <w:rPr>
          <w:color w:val="231F20"/>
        </w:rPr>
        <w:t>to</w:t>
      </w:r>
      <w:r>
        <w:rPr>
          <w:color w:val="231F20"/>
          <w:spacing w:val="-7"/>
        </w:rPr>
        <w:t xml:space="preserve"> </w:t>
      </w:r>
      <w:r>
        <w:rPr>
          <w:color w:val="231F20"/>
        </w:rPr>
        <w:t>free</w:t>
      </w:r>
      <w:r>
        <w:rPr>
          <w:color w:val="231F20"/>
          <w:spacing w:val="-7"/>
        </w:rPr>
        <w:t xml:space="preserve"> </w:t>
      </w:r>
      <w:r>
        <w:rPr>
          <w:color w:val="231F20"/>
        </w:rPr>
        <w:t>Baader.</w:t>
      </w:r>
      <w:r>
        <w:rPr>
          <w:color w:val="231F20"/>
          <w:spacing w:val="-7"/>
        </w:rPr>
        <w:t xml:space="preserve"> </w:t>
      </w:r>
      <w:r>
        <w:rPr>
          <w:color w:val="231F20"/>
        </w:rPr>
        <w:t>When</w:t>
      </w:r>
      <w:r>
        <w:rPr>
          <w:color w:val="231F20"/>
          <w:spacing w:val="-7"/>
        </w:rPr>
        <w:t xml:space="preserve"> </w:t>
      </w:r>
      <w:r>
        <w:rPr>
          <w:color w:val="231F20"/>
        </w:rPr>
        <w:t>an</w:t>
      </w:r>
      <w:r>
        <w:rPr>
          <w:color w:val="231F20"/>
          <w:spacing w:val="-7"/>
        </w:rPr>
        <w:t xml:space="preserve"> </w:t>
      </w:r>
      <w:r>
        <w:rPr>
          <w:color w:val="231F20"/>
        </w:rPr>
        <w:t>elderly</w:t>
      </w:r>
      <w:r>
        <w:rPr>
          <w:color w:val="231F20"/>
          <w:spacing w:val="-7"/>
        </w:rPr>
        <w:t xml:space="preserve"> </w:t>
      </w:r>
      <w:r>
        <w:rPr>
          <w:color w:val="231F20"/>
        </w:rPr>
        <w:t>librarian,</w:t>
      </w:r>
      <w:r>
        <w:rPr>
          <w:color w:val="231F20"/>
          <w:spacing w:val="-5"/>
        </w:rPr>
        <w:t xml:space="preserve"> </w:t>
      </w:r>
      <w:r>
        <w:rPr>
          <w:color w:val="231F20"/>
        </w:rPr>
        <w:t>Georg</w:t>
      </w:r>
      <w:r>
        <w:rPr>
          <w:color w:val="231F20"/>
          <w:spacing w:val="-7"/>
        </w:rPr>
        <w:t xml:space="preserve"> </w:t>
      </w:r>
      <w:r>
        <w:rPr>
          <w:color w:val="231F20"/>
        </w:rPr>
        <w:t>Linke,</w:t>
      </w:r>
      <w:r>
        <w:rPr>
          <w:color w:val="231F20"/>
          <w:spacing w:val="-7"/>
        </w:rPr>
        <w:t xml:space="preserve"> </w:t>
      </w:r>
      <w:r>
        <w:rPr>
          <w:color w:val="231F20"/>
        </w:rPr>
        <w:t xml:space="preserve">attempted to intervene, he was shot in his </w:t>
      </w:r>
      <w:r>
        <w:rPr>
          <w:color w:val="231F20"/>
          <w:spacing w:val="-3"/>
        </w:rPr>
        <w:t>liver.</w:t>
      </w:r>
      <w:r>
        <w:rPr>
          <w:color w:val="231F20"/>
          <w:spacing w:val="-3"/>
          <w:position w:val="7"/>
          <w:sz w:val="11"/>
        </w:rPr>
        <w:t xml:space="preserve">1 </w:t>
      </w:r>
      <w:r>
        <w:rPr>
          <w:color w:val="231F20"/>
        </w:rPr>
        <w:t>The guards drew their weapons and opened fire, missing everyone, and all six jumped out of the library window</w:t>
      </w:r>
      <w:r>
        <w:rPr>
          <w:color w:val="231F20"/>
          <w:spacing w:val="10"/>
        </w:rPr>
        <w:t xml:space="preserve"> </w:t>
      </w:r>
      <w:r>
        <w:rPr>
          <w:color w:val="231F20"/>
        </w:rPr>
        <w:t>and</w:t>
      </w:r>
      <w:r>
        <w:rPr>
          <w:color w:val="231F20"/>
          <w:spacing w:val="10"/>
        </w:rPr>
        <w:t xml:space="preserve"> </w:t>
      </w:r>
      <w:r>
        <w:rPr>
          <w:color w:val="231F20"/>
        </w:rPr>
        <w:t>into</w:t>
      </w:r>
      <w:r>
        <w:rPr>
          <w:color w:val="231F20"/>
          <w:spacing w:val="10"/>
        </w:rPr>
        <w:t xml:space="preserve"> </w:t>
      </w:r>
      <w:r>
        <w:rPr>
          <w:color w:val="231F20"/>
        </w:rPr>
        <w:t>the</w:t>
      </w:r>
      <w:r>
        <w:rPr>
          <w:color w:val="231F20"/>
          <w:spacing w:val="10"/>
        </w:rPr>
        <w:t xml:space="preserve"> </w:t>
      </w:r>
      <w:r>
        <w:rPr>
          <w:color w:val="231F20"/>
        </w:rPr>
        <w:t>getaway</w:t>
      </w:r>
      <w:r>
        <w:rPr>
          <w:color w:val="231F20"/>
          <w:spacing w:val="10"/>
        </w:rPr>
        <w:t xml:space="preserve"> </w:t>
      </w:r>
      <w:r>
        <w:rPr>
          <w:color w:val="231F20"/>
        </w:rPr>
        <w:t>car</w:t>
      </w:r>
      <w:r>
        <w:rPr>
          <w:color w:val="231F20"/>
          <w:spacing w:val="10"/>
        </w:rPr>
        <w:t xml:space="preserve"> </w:t>
      </w:r>
      <w:r>
        <w:rPr>
          <w:color w:val="231F20"/>
        </w:rPr>
        <w:t>waiting</w:t>
      </w:r>
      <w:r>
        <w:rPr>
          <w:color w:val="231F20"/>
          <w:spacing w:val="10"/>
        </w:rPr>
        <w:t xml:space="preserve"> </w:t>
      </w:r>
      <w:r>
        <w:rPr>
          <w:color w:val="231F20"/>
        </w:rPr>
        <w:t>on</w:t>
      </w:r>
      <w:r>
        <w:rPr>
          <w:color w:val="231F20"/>
          <w:spacing w:val="10"/>
        </w:rPr>
        <w:t xml:space="preserve"> </w:t>
      </w:r>
      <w:r>
        <w:rPr>
          <w:color w:val="231F20"/>
        </w:rPr>
        <w:t>the</w:t>
      </w:r>
      <w:r>
        <w:rPr>
          <w:color w:val="231F20"/>
          <w:spacing w:val="10"/>
        </w:rPr>
        <w:t xml:space="preserve"> </w:t>
      </w:r>
      <w:r>
        <w:rPr>
          <w:color w:val="231F20"/>
        </w:rPr>
        <w:t>street</w:t>
      </w:r>
      <w:r>
        <w:rPr>
          <w:color w:val="231F20"/>
          <w:spacing w:val="10"/>
        </w:rPr>
        <w:t xml:space="preserve"> </w:t>
      </w:r>
      <w:r>
        <w:rPr>
          <w:color w:val="231F20"/>
        </w:rPr>
        <w:t>below.</w:t>
      </w:r>
      <w:r>
        <w:rPr>
          <w:color w:val="231F20"/>
          <w:position w:val="7"/>
          <w:sz w:val="11"/>
        </w:rPr>
        <w:t>2</w:t>
      </w:r>
    </w:p>
    <w:p w14:paraId="40AE4C12" w14:textId="77777777" w:rsidR="002653E8" w:rsidRDefault="003115E3">
      <w:pPr>
        <w:pStyle w:val="a3"/>
        <w:spacing w:line="224" w:lineRule="exact"/>
        <w:ind w:left="1357"/>
      </w:pPr>
      <w:r>
        <w:rPr>
          <w:color w:val="231F20"/>
        </w:rPr>
        <w:t>Barely a month after his arrest, Baader was once again free.</w:t>
      </w:r>
    </w:p>
    <w:p w14:paraId="79A936FC" w14:textId="77777777" w:rsidR="002653E8" w:rsidRDefault="003115E3">
      <w:pPr>
        <w:pStyle w:val="a3"/>
        <w:spacing w:before="11" w:line="264" w:lineRule="auto"/>
        <w:ind w:left="1147" w:right="1326" w:firstLine="210"/>
        <w:jc w:val="both"/>
        <w:rPr>
          <w:sz w:val="11"/>
        </w:rPr>
      </w:pPr>
      <w:r>
        <w:rPr>
          <w:color w:val="231F20"/>
        </w:rPr>
        <w:t>The library breakout made headlines around the world, both Meinhof and Ensslin being identified as likely participants. Journalists tried to outdo each other in their sensationalist tripe, describing the one as a middle class poseur and the other as a former porn actress.</w:t>
      </w:r>
      <w:r>
        <w:rPr>
          <w:color w:val="231F20"/>
          <w:position w:val="7"/>
          <w:sz w:val="11"/>
        </w:rPr>
        <w:t xml:space="preserve">3 </w:t>
      </w:r>
      <w:r>
        <w:rPr>
          <w:color w:val="231F20"/>
        </w:rPr>
        <w:t>Headlines continued to be made when a neofascist arms dealer, Günther Voigt,  was arrested and charged with selling the guerilla their guns.</w:t>
      </w:r>
      <w:r>
        <w:rPr>
          <w:color w:val="231F20"/>
          <w:position w:val="7"/>
          <w:sz w:val="11"/>
        </w:rPr>
        <w:t xml:space="preserve">4 </w:t>
      </w:r>
      <w:r>
        <w:rPr>
          <w:color w:val="231F20"/>
        </w:rPr>
        <w:t xml:space="preserve">Then, French journalist Michele Ray declared that she had met with Mahler, Meinhof, Ensslin, and Baader in </w:t>
      </w:r>
      <w:r>
        <w:rPr>
          <w:color w:val="231F20"/>
          <w:spacing w:val="-3"/>
        </w:rPr>
        <w:t xml:space="preserve">West </w:t>
      </w:r>
      <w:r>
        <w:rPr>
          <w:color w:val="231F20"/>
        </w:rPr>
        <w:t>Berlin—she promptly sold the extensive interviews she had taped to</w:t>
      </w:r>
      <w:r>
        <w:rPr>
          <w:color w:val="231F20"/>
          <w:spacing w:val="18"/>
        </w:rPr>
        <w:t xml:space="preserve"> </w:t>
      </w:r>
      <w:r>
        <w:rPr>
          <w:i/>
          <w:color w:val="231F20"/>
        </w:rPr>
        <w:t>Spiegel</w:t>
      </w:r>
      <w:r>
        <w:rPr>
          <w:color w:val="231F20"/>
        </w:rPr>
        <w:t>.</w:t>
      </w:r>
      <w:r>
        <w:rPr>
          <w:color w:val="231F20"/>
          <w:position w:val="7"/>
          <w:sz w:val="11"/>
        </w:rPr>
        <w:t>5</w:t>
      </w:r>
    </w:p>
    <w:p w14:paraId="6BAF69B0" w14:textId="77777777" w:rsidR="002653E8" w:rsidRDefault="00000000">
      <w:pPr>
        <w:pStyle w:val="a3"/>
        <w:spacing w:before="5"/>
        <w:rPr>
          <w:sz w:val="18"/>
        </w:rPr>
      </w:pPr>
      <w:r>
        <w:rPr>
          <w:noProof w:val="0"/>
        </w:rPr>
        <w:pict w14:anchorId="16AFDE94">
          <v:line id="_x0000_s2641" style="position:absolute;z-index:2728;mso-wrap-distance-left:0;mso-wrap-distance-right:0;mso-position-horizontal-relative:page" from="57.4pt,13.05pt" to="129.4pt,13.05pt" strokecolor="#231f20" strokeweight=".5pt">
            <w10:wrap type="topAndBottom" anchorx="page"/>
          </v:line>
        </w:pict>
      </w:r>
    </w:p>
    <w:p w14:paraId="437686CA" w14:textId="77777777" w:rsidR="002653E8" w:rsidRDefault="003115E3">
      <w:pPr>
        <w:spacing w:before="53" w:line="254" w:lineRule="auto"/>
        <w:ind w:left="1147" w:right="1814"/>
        <w:rPr>
          <w:sz w:val="16"/>
        </w:rPr>
      </w:pPr>
      <w:r>
        <w:rPr>
          <w:color w:val="231F20"/>
          <w:w w:val="105"/>
          <w:sz w:val="16"/>
        </w:rPr>
        <w:t>1 According to several accounts, Linke was accidentally shot by the man at    the</w:t>
      </w:r>
      <w:r>
        <w:rPr>
          <w:color w:val="231F20"/>
          <w:spacing w:val="8"/>
          <w:w w:val="105"/>
          <w:sz w:val="16"/>
        </w:rPr>
        <w:t xml:space="preserve"> </w:t>
      </w:r>
      <w:r>
        <w:rPr>
          <w:color w:val="231F20"/>
          <w:w w:val="105"/>
          <w:sz w:val="16"/>
        </w:rPr>
        <w:t>scene.</w:t>
      </w:r>
      <w:r>
        <w:rPr>
          <w:color w:val="231F20"/>
          <w:spacing w:val="8"/>
          <w:w w:val="105"/>
          <w:sz w:val="16"/>
        </w:rPr>
        <w:t xml:space="preserve"> </w:t>
      </w:r>
      <w:r>
        <w:rPr>
          <w:color w:val="231F20"/>
          <w:w w:val="105"/>
          <w:sz w:val="16"/>
        </w:rPr>
        <w:t>Apparently,</w:t>
      </w:r>
      <w:r>
        <w:rPr>
          <w:color w:val="231F20"/>
          <w:spacing w:val="8"/>
          <w:w w:val="105"/>
          <w:sz w:val="16"/>
        </w:rPr>
        <w:t xml:space="preserve"> </w:t>
      </w:r>
      <w:r>
        <w:rPr>
          <w:color w:val="231F20"/>
          <w:w w:val="105"/>
          <w:sz w:val="16"/>
        </w:rPr>
        <w:t>he</w:t>
      </w:r>
      <w:r>
        <w:rPr>
          <w:color w:val="231F20"/>
          <w:spacing w:val="8"/>
          <w:w w:val="105"/>
          <w:sz w:val="16"/>
        </w:rPr>
        <w:t xml:space="preserve"> </w:t>
      </w:r>
      <w:r>
        <w:rPr>
          <w:color w:val="231F20"/>
          <w:w w:val="105"/>
          <w:sz w:val="16"/>
        </w:rPr>
        <w:t>had</w:t>
      </w:r>
      <w:r>
        <w:rPr>
          <w:color w:val="231F20"/>
          <w:spacing w:val="8"/>
          <w:w w:val="105"/>
          <w:sz w:val="16"/>
        </w:rPr>
        <w:t xml:space="preserve"> </w:t>
      </w:r>
      <w:r>
        <w:rPr>
          <w:color w:val="231F20"/>
          <w:w w:val="105"/>
          <w:sz w:val="16"/>
        </w:rPr>
        <w:t>two</w:t>
      </w:r>
      <w:r>
        <w:rPr>
          <w:color w:val="231F20"/>
          <w:spacing w:val="8"/>
          <w:w w:val="105"/>
          <w:sz w:val="16"/>
        </w:rPr>
        <w:t xml:space="preserve"> </w:t>
      </w:r>
      <w:r>
        <w:rPr>
          <w:color w:val="231F20"/>
          <w:w w:val="105"/>
          <w:sz w:val="16"/>
        </w:rPr>
        <w:t>weapons,</w:t>
      </w:r>
      <w:r>
        <w:rPr>
          <w:color w:val="231F20"/>
          <w:spacing w:val="8"/>
          <w:w w:val="105"/>
          <w:sz w:val="16"/>
        </w:rPr>
        <w:t xml:space="preserve"> </w:t>
      </w:r>
      <w:r>
        <w:rPr>
          <w:color w:val="231F20"/>
          <w:w w:val="105"/>
          <w:sz w:val="16"/>
        </w:rPr>
        <w:t>an</w:t>
      </w:r>
      <w:r>
        <w:rPr>
          <w:color w:val="231F20"/>
          <w:spacing w:val="8"/>
          <w:w w:val="105"/>
          <w:sz w:val="16"/>
        </w:rPr>
        <w:t xml:space="preserve"> </w:t>
      </w:r>
      <w:r>
        <w:rPr>
          <w:color w:val="231F20"/>
          <w:w w:val="105"/>
          <w:sz w:val="16"/>
        </w:rPr>
        <w:t>air</w:t>
      </w:r>
      <w:r>
        <w:rPr>
          <w:color w:val="231F20"/>
          <w:spacing w:val="8"/>
          <w:w w:val="105"/>
          <w:sz w:val="16"/>
        </w:rPr>
        <w:t xml:space="preserve"> </w:t>
      </w:r>
      <w:r>
        <w:rPr>
          <w:color w:val="231F20"/>
          <w:w w:val="105"/>
          <w:sz w:val="16"/>
        </w:rPr>
        <w:t>gun</w:t>
      </w:r>
      <w:r>
        <w:rPr>
          <w:color w:val="231F20"/>
          <w:spacing w:val="8"/>
          <w:w w:val="105"/>
          <w:sz w:val="16"/>
        </w:rPr>
        <w:t xml:space="preserve"> </w:t>
      </w:r>
      <w:r>
        <w:rPr>
          <w:color w:val="231F20"/>
          <w:w w:val="105"/>
          <w:sz w:val="16"/>
        </w:rPr>
        <w:t>and</w:t>
      </w:r>
      <w:r>
        <w:rPr>
          <w:color w:val="231F20"/>
          <w:spacing w:val="8"/>
          <w:w w:val="105"/>
          <w:sz w:val="16"/>
        </w:rPr>
        <w:t xml:space="preserve"> </w:t>
      </w:r>
      <w:r>
        <w:rPr>
          <w:color w:val="231F20"/>
          <w:w w:val="105"/>
          <w:sz w:val="16"/>
        </w:rPr>
        <w:t>a</w:t>
      </w:r>
      <w:r>
        <w:rPr>
          <w:color w:val="231F20"/>
          <w:spacing w:val="8"/>
          <w:w w:val="105"/>
          <w:sz w:val="16"/>
        </w:rPr>
        <w:t xml:space="preserve"> </w:t>
      </w:r>
      <w:r>
        <w:rPr>
          <w:color w:val="231F20"/>
          <w:w w:val="105"/>
          <w:sz w:val="16"/>
        </w:rPr>
        <w:t>real</w:t>
      </w:r>
      <w:r>
        <w:rPr>
          <w:color w:val="231F20"/>
          <w:spacing w:val="8"/>
          <w:w w:val="105"/>
          <w:sz w:val="16"/>
        </w:rPr>
        <w:t xml:space="preserve"> </w:t>
      </w:r>
      <w:r>
        <w:rPr>
          <w:color w:val="231F20"/>
          <w:spacing w:val="1"/>
          <w:w w:val="105"/>
          <w:sz w:val="16"/>
        </w:rPr>
        <w:t>gun,</w:t>
      </w:r>
      <w:r>
        <w:rPr>
          <w:color w:val="231F20"/>
          <w:spacing w:val="8"/>
          <w:w w:val="105"/>
          <w:sz w:val="16"/>
        </w:rPr>
        <w:t xml:space="preserve"> </w:t>
      </w:r>
      <w:r>
        <w:rPr>
          <w:color w:val="231F20"/>
          <w:w w:val="105"/>
          <w:sz w:val="16"/>
        </w:rPr>
        <w:t>and</w:t>
      </w:r>
      <w:r>
        <w:rPr>
          <w:color w:val="231F20"/>
          <w:spacing w:val="8"/>
          <w:w w:val="105"/>
          <w:sz w:val="16"/>
        </w:rPr>
        <w:t xml:space="preserve"> </w:t>
      </w:r>
      <w:r>
        <w:rPr>
          <w:color w:val="231F20"/>
          <w:w w:val="105"/>
          <w:sz w:val="16"/>
        </w:rPr>
        <w:t>he</w:t>
      </w:r>
    </w:p>
    <w:p w14:paraId="351DC4FB" w14:textId="77777777" w:rsidR="002653E8" w:rsidRDefault="003115E3">
      <w:pPr>
        <w:spacing w:before="1" w:line="254" w:lineRule="auto"/>
        <w:ind w:left="1147" w:right="1580"/>
        <w:rPr>
          <w:sz w:val="16"/>
        </w:rPr>
      </w:pPr>
      <w:r>
        <w:rPr>
          <w:color w:val="231F20"/>
          <w:w w:val="105"/>
          <w:sz w:val="16"/>
        </w:rPr>
        <w:t>intended to scare him with the former, but got confused as to which was which. (MacDonald, 213.)</w:t>
      </w:r>
    </w:p>
    <w:p w14:paraId="521AA39B" w14:textId="77777777" w:rsidR="002653E8" w:rsidRDefault="003115E3">
      <w:pPr>
        <w:spacing w:before="40"/>
        <w:ind w:left="1147"/>
        <w:rPr>
          <w:sz w:val="16"/>
        </w:rPr>
      </w:pPr>
      <w:r>
        <w:rPr>
          <w:color w:val="231F20"/>
          <w:w w:val="110"/>
          <w:sz w:val="16"/>
        </w:rPr>
        <w:t>2 Aust, 6-9.</w:t>
      </w:r>
    </w:p>
    <w:p w14:paraId="630343A7" w14:textId="77777777" w:rsidR="002653E8" w:rsidRDefault="003115E3">
      <w:pPr>
        <w:pStyle w:val="a4"/>
        <w:numPr>
          <w:ilvl w:val="0"/>
          <w:numId w:val="174"/>
        </w:numPr>
        <w:tabs>
          <w:tab w:val="left" w:pos="1287"/>
        </w:tabs>
        <w:spacing w:before="52" w:line="254" w:lineRule="auto"/>
        <w:ind w:right="1574" w:firstLine="0"/>
        <w:rPr>
          <w:sz w:val="16"/>
        </w:rPr>
      </w:pPr>
      <w:r>
        <w:rPr>
          <w:color w:val="231F20"/>
          <w:w w:val="105"/>
          <w:sz w:val="16"/>
        </w:rPr>
        <w:t xml:space="preserve">Neil Ascherson, “Leftists Disturbed by Violence of Berlin Gunmen,” </w:t>
      </w:r>
      <w:r>
        <w:rPr>
          <w:i/>
          <w:color w:val="231F20"/>
          <w:w w:val="105"/>
          <w:sz w:val="16"/>
        </w:rPr>
        <w:t xml:space="preserve">Winnipeg Free Press, </w:t>
      </w:r>
      <w:r>
        <w:rPr>
          <w:color w:val="231F20"/>
          <w:w w:val="105"/>
          <w:sz w:val="16"/>
        </w:rPr>
        <w:t>July 4,</w:t>
      </w:r>
      <w:r>
        <w:rPr>
          <w:color w:val="231F20"/>
          <w:spacing w:val="35"/>
          <w:w w:val="105"/>
          <w:sz w:val="16"/>
        </w:rPr>
        <w:t xml:space="preserve"> </w:t>
      </w:r>
      <w:r>
        <w:rPr>
          <w:color w:val="231F20"/>
          <w:w w:val="105"/>
          <w:sz w:val="16"/>
        </w:rPr>
        <w:t>1970.</w:t>
      </w:r>
    </w:p>
    <w:p w14:paraId="0F474F6A" w14:textId="77777777" w:rsidR="002653E8" w:rsidRDefault="003115E3">
      <w:pPr>
        <w:pStyle w:val="a4"/>
        <w:numPr>
          <w:ilvl w:val="0"/>
          <w:numId w:val="174"/>
        </w:numPr>
        <w:tabs>
          <w:tab w:val="left" w:pos="1287"/>
        </w:tabs>
        <w:ind w:firstLine="0"/>
        <w:rPr>
          <w:sz w:val="16"/>
        </w:rPr>
      </w:pPr>
      <w:r>
        <w:rPr>
          <w:color w:val="231F20"/>
          <w:w w:val="115"/>
          <w:sz w:val="16"/>
        </w:rPr>
        <w:t>Ibid., Becker,</w:t>
      </w:r>
      <w:r>
        <w:rPr>
          <w:color w:val="231F20"/>
          <w:spacing w:val="8"/>
          <w:w w:val="115"/>
          <w:sz w:val="16"/>
        </w:rPr>
        <w:t xml:space="preserve"> </w:t>
      </w:r>
      <w:r>
        <w:rPr>
          <w:color w:val="231F20"/>
          <w:spacing w:val="-5"/>
          <w:w w:val="115"/>
          <w:sz w:val="16"/>
        </w:rPr>
        <w:t>125.</w:t>
      </w:r>
    </w:p>
    <w:p w14:paraId="3DBE3EA5" w14:textId="77777777" w:rsidR="002653E8" w:rsidRDefault="003115E3">
      <w:pPr>
        <w:spacing w:before="51"/>
        <w:ind w:left="1148"/>
        <w:rPr>
          <w:sz w:val="16"/>
        </w:rPr>
      </w:pPr>
      <w:r>
        <w:rPr>
          <w:color w:val="231F20"/>
          <w:w w:val="110"/>
          <w:sz w:val="16"/>
        </w:rPr>
        <w:t>5 Aust, 15-16.</w:t>
      </w:r>
    </w:p>
    <w:p w14:paraId="46760F11" w14:textId="77777777" w:rsidR="002653E8" w:rsidRDefault="002653E8">
      <w:pPr>
        <w:rPr>
          <w:sz w:val="16"/>
        </w:rPr>
        <w:sectPr w:rsidR="002653E8">
          <w:footerReference w:type="even" r:id="rId64"/>
          <w:footerReference w:type="default" r:id="rId65"/>
          <w:pgSz w:w="8640" w:h="12960"/>
          <w:pgMar w:top="1060" w:right="0" w:bottom="1040" w:left="0" w:header="0" w:footer="850" w:gutter="0"/>
          <w:pgNumType w:start="54"/>
          <w:cols w:space="720"/>
        </w:sectPr>
      </w:pPr>
    </w:p>
    <w:p w14:paraId="3A2CD1D3" w14:textId="77777777" w:rsidR="002653E8" w:rsidRDefault="003115E3">
      <w:pPr>
        <w:pStyle w:val="a3"/>
        <w:spacing w:before="86" w:line="264" w:lineRule="auto"/>
        <w:ind w:left="1327" w:right="1146" w:firstLine="210"/>
        <w:jc w:val="both"/>
      </w:pPr>
      <w:r>
        <w:rPr>
          <w:color w:val="231F20"/>
        </w:rPr>
        <w:lastRenderedPageBreak/>
        <w:t xml:space="preserve">The group had made an impression. Its first action had struck a chord. </w:t>
      </w:r>
      <w:r>
        <w:rPr>
          <w:color w:val="231F20"/>
          <w:spacing w:val="-5"/>
        </w:rPr>
        <w:t xml:space="preserve">yet  </w:t>
      </w:r>
      <w:r>
        <w:rPr>
          <w:color w:val="231F20"/>
        </w:rPr>
        <w:t>this was very much a mixed blessing, as Astrid Proll, who  had</w:t>
      </w:r>
      <w:r>
        <w:rPr>
          <w:color w:val="231F20"/>
          <w:spacing w:val="11"/>
        </w:rPr>
        <w:t xml:space="preserve"> </w:t>
      </w:r>
      <w:r>
        <w:rPr>
          <w:color w:val="231F20"/>
        </w:rPr>
        <w:t>driven</w:t>
      </w:r>
      <w:r>
        <w:rPr>
          <w:color w:val="231F20"/>
          <w:spacing w:val="11"/>
        </w:rPr>
        <w:t xml:space="preserve"> </w:t>
      </w:r>
      <w:r>
        <w:rPr>
          <w:color w:val="231F20"/>
        </w:rPr>
        <w:t>the</w:t>
      </w:r>
      <w:r>
        <w:rPr>
          <w:color w:val="231F20"/>
          <w:spacing w:val="11"/>
        </w:rPr>
        <w:t xml:space="preserve"> </w:t>
      </w:r>
      <w:r>
        <w:rPr>
          <w:color w:val="231F20"/>
        </w:rPr>
        <w:t>getaway</w:t>
      </w:r>
      <w:r>
        <w:rPr>
          <w:color w:val="231F20"/>
          <w:spacing w:val="11"/>
        </w:rPr>
        <w:t xml:space="preserve"> </w:t>
      </w:r>
      <w:r>
        <w:rPr>
          <w:color w:val="231F20"/>
        </w:rPr>
        <w:t>car</w:t>
      </w:r>
      <w:r>
        <w:rPr>
          <w:color w:val="231F20"/>
          <w:spacing w:val="11"/>
        </w:rPr>
        <w:t xml:space="preserve"> </w:t>
      </w:r>
      <w:r>
        <w:rPr>
          <w:color w:val="231F20"/>
        </w:rPr>
        <w:t>during</w:t>
      </w:r>
      <w:r>
        <w:rPr>
          <w:color w:val="231F20"/>
          <w:spacing w:val="11"/>
        </w:rPr>
        <w:t xml:space="preserve"> </w:t>
      </w:r>
      <w:r>
        <w:rPr>
          <w:color w:val="231F20"/>
        </w:rPr>
        <w:t>the</w:t>
      </w:r>
      <w:r>
        <w:rPr>
          <w:color w:val="231F20"/>
          <w:spacing w:val="11"/>
        </w:rPr>
        <w:t xml:space="preserve"> </w:t>
      </w:r>
      <w:r>
        <w:rPr>
          <w:color w:val="231F20"/>
        </w:rPr>
        <w:t>jailbreak,</w:t>
      </w:r>
      <w:r>
        <w:rPr>
          <w:color w:val="231F20"/>
          <w:position w:val="7"/>
          <w:sz w:val="11"/>
        </w:rPr>
        <w:t>6</w:t>
      </w:r>
      <w:r>
        <w:rPr>
          <w:color w:val="231F20"/>
          <w:spacing w:val="8"/>
          <w:position w:val="7"/>
          <w:sz w:val="11"/>
        </w:rPr>
        <w:t xml:space="preserve"> </w:t>
      </w:r>
      <w:r>
        <w:rPr>
          <w:color w:val="231F20"/>
        </w:rPr>
        <w:t>would</w:t>
      </w:r>
      <w:r>
        <w:rPr>
          <w:color w:val="231F20"/>
          <w:spacing w:val="11"/>
        </w:rPr>
        <w:t xml:space="preserve"> </w:t>
      </w:r>
      <w:r>
        <w:rPr>
          <w:color w:val="231F20"/>
        </w:rPr>
        <w:t>later</w:t>
      </w:r>
      <w:r>
        <w:rPr>
          <w:color w:val="231F20"/>
          <w:spacing w:val="11"/>
        </w:rPr>
        <w:t xml:space="preserve"> </w:t>
      </w:r>
      <w:r>
        <w:rPr>
          <w:color w:val="231F20"/>
        </w:rPr>
        <w:t>explain:</w:t>
      </w:r>
    </w:p>
    <w:p w14:paraId="647A4C8A" w14:textId="77777777" w:rsidR="002653E8" w:rsidRDefault="003115E3">
      <w:pPr>
        <w:spacing w:before="126" w:line="276" w:lineRule="auto"/>
        <w:ind w:left="1747" w:right="1565"/>
        <w:jc w:val="both"/>
        <w:rPr>
          <w:i/>
          <w:sz w:val="11"/>
        </w:rPr>
      </w:pPr>
      <w:r>
        <w:rPr>
          <w:i/>
          <w:color w:val="231F20"/>
          <w:w w:val="105"/>
          <w:sz w:val="19"/>
        </w:rPr>
        <w:t>I think we were all very nervous; I remember some people throwing up. Because we weren’t so wonderful criminals, we weren’t so wonderful with the guns, we sort of involved a socalled criminal who could do it so much better than we, and… he was so nervous that he shot somebody. He didn’t kill him, but he shot him very very badly, and that was really really very bad for the whole start of it.</w:t>
      </w:r>
      <w:r>
        <w:rPr>
          <w:i/>
          <w:color w:val="231F20"/>
          <w:w w:val="105"/>
          <w:position w:val="6"/>
          <w:sz w:val="11"/>
        </w:rPr>
        <w:t>7</w:t>
      </w:r>
    </w:p>
    <w:p w14:paraId="42D72F83" w14:textId="77777777" w:rsidR="002653E8" w:rsidRDefault="003115E3">
      <w:pPr>
        <w:pStyle w:val="a3"/>
        <w:spacing w:before="133"/>
        <w:ind w:left="1327"/>
      </w:pPr>
      <w:r>
        <w:rPr>
          <w:color w:val="231F20"/>
        </w:rPr>
        <w:t>As she elaborated elsewhere:</w:t>
      </w:r>
    </w:p>
    <w:p w14:paraId="54468536" w14:textId="77777777" w:rsidR="002653E8" w:rsidRDefault="003115E3">
      <w:pPr>
        <w:spacing w:before="151" w:line="276" w:lineRule="auto"/>
        <w:ind w:left="1747" w:right="1565"/>
        <w:jc w:val="both"/>
        <w:rPr>
          <w:i/>
          <w:sz w:val="11"/>
        </w:rPr>
      </w:pPr>
      <w:r>
        <w:rPr>
          <w:i/>
          <w:color w:val="231F20"/>
          <w:w w:val="105"/>
          <w:sz w:val="19"/>
        </w:rPr>
        <w:t>After a man had been severely hurt… we found ourselves</w:t>
      </w:r>
      <w:r>
        <w:rPr>
          <w:i/>
          <w:color w:val="231F20"/>
          <w:spacing w:val="13"/>
          <w:w w:val="105"/>
          <w:sz w:val="19"/>
        </w:rPr>
        <w:t xml:space="preserve"> </w:t>
      </w:r>
      <w:r>
        <w:rPr>
          <w:i/>
          <w:color w:val="231F20"/>
          <w:w w:val="105"/>
          <w:sz w:val="19"/>
        </w:rPr>
        <w:t>on wanted</w:t>
      </w:r>
      <w:r>
        <w:rPr>
          <w:i/>
          <w:color w:val="231F20"/>
          <w:spacing w:val="-9"/>
          <w:w w:val="105"/>
          <w:sz w:val="19"/>
        </w:rPr>
        <w:t xml:space="preserve"> </w:t>
      </w:r>
      <w:r>
        <w:rPr>
          <w:i/>
          <w:color w:val="231F20"/>
          <w:w w:val="105"/>
          <w:sz w:val="19"/>
        </w:rPr>
        <w:t>lists.</w:t>
      </w:r>
      <w:r>
        <w:rPr>
          <w:i/>
          <w:color w:val="231F20"/>
          <w:spacing w:val="-13"/>
          <w:w w:val="105"/>
          <w:sz w:val="19"/>
        </w:rPr>
        <w:t xml:space="preserve"> </w:t>
      </w:r>
      <w:r>
        <w:rPr>
          <w:i/>
          <w:color w:val="231F20"/>
          <w:w w:val="105"/>
          <w:sz w:val="19"/>
        </w:rPr>
        <w:t>It</w:t>
      </w:r>
      <w:r>
        <w:rPr>
          <w:i/>
          <w:color w:val="231F20"/>
          <w:spacing w:val="-9"/>
          <w:w w:val="105"/>
          <w:sz w:val="19"/>
        </w:rPr>
        <w:t xml:space="preserve"> </w:t>
      </w:r>
      <w:r>
        <w:rPr>
          <w:i/>
          <w:color w:val="231F20"/>
          <w:w w:val="105"/>
          <w:sz w:val="19"/>
        </w:rPr>
        <w:t>was</w:t>
      </w:r>
      <w:r>
        <w:rPr>
          <w:i/>
          <w:color w:val="231F20"/>
          <w:spacing w:val="-9"/>
          <w:w w:val="105"/>
          <w:sz w:val="19"/>
        </w:rPr>
        <w:t xml:space="preserve"> </w:t>
      </w:r>
      <w:r>
        <w:rPr>
          <w:i/>
          <w:color w:val="231F20"/>
          <w:w w:val="105"/>
          <w:sz w:val="19"/>
        </w:rPr>
        <w:t>an</w:t>
      </w:r>
      <w:r>
        <w:rPr>
          <w:i/>
          <w:color w:val="231F20"/>
          <w:spacing w:val="-9"/>
          <w:w w:val="105"/>
          <w:sz w:val="19"/>
        </w:rPr>
        <w:t xml:space="preserve"> </w:t>
      </w:r>
      <w:r>
        <w:rPr>
          <w:i/>
          <w:color w:val="231F20"/>
          <w:w w:val="105"/>
          <w:sz w:val="19"/>
        </w:rPr>
        <w:t>accident</w:t>
      </w:r>
      <w:r>
        <w:rPr>
          <w:i/>
          <w:color w:val="231F20"/>
          <w:spacing w:val="-9"/>
          <w:w w:val="105"/>
          <w:sz w:val="19"/>
        </w:rPr>
        <w:t xml:space="preserve"> </w:t>
      </w:r>
      <w:r>
        <w:rPr>
          <w:i/>
          <w:color w:val="231F20"/>
          <w:w w:val="105"/>
          <w:sz w:val="19"/>
        </w:rPr>
        <w:t>that</w:t>
      </w:r>
      <w:r>
        <w:rPr>
          <w:i/>
          <w:color w:val="231F20"/>
          <w:spacing w:val="-9"/>
          <w:w w:val="105"/>
          <w:sz w:val="19"/>
        </w:rPr>
        <w:t xml:space="preserve"> </w:t>
      </w:r>
      <w:r>
        <w:rPr>
          <w:i/>
          <w:color w:val="231F20"/>
          <w:w w:val="105"/>
          <w:sz w:val="19"/>
        </w:rPr>
        <w:t>accelerated</w:t>
      </w:r>
      <w:r>
        <w:rPr>
          <w:i/>
          <w:color w:val="231F20"/>
          <w:spacing w:val="-9"/>
          <w:w w:val="105"/>
          <w:sz w:val="19"/>
        </w:rPr>
        <w:t xml:space="preserve"> </w:t>
      </w:r>
      <w:r>
        <w:rPr>
          <w:i/>
          <w:color w:val="231F20"/>
          <w:w w:val="105"/>
          <w:sz w:val="19"/>
        </w:rPr>
        <w:t>the</w:t>
      </w:r>
      <w:r>
        <w:rPr>
          <w:i/>
          <w:color w:val="231F20"/>
          <w:spacing w:val="-9"/>
          <w:w w:val="105"/>
          <w:sz w:val="19"/>
        </w:rPr>
        <w:t xml:space="preserve"> </w:t>
      </w:r>
      <w:r>
        <w:rPr>
          <w:i/>
          <w:color w:val="231F20"/>
          <w:w w:val="105"/>
          <w:sz w:val="19"/>
        </w:rPr>
        <w:t>development of the underground life of the group. Ulrike Meinhof, who had so far been at the fringes of the group, was all of a sudden wanted on</w:t>
      </w:r>
      <w:r>
        <w:rPr>
          <w:i/>
          <w:color w:val="231F20"/>
          <w:spacing w:val="-10"/>
          <w:w w:val="105"/>
          <w:sz w:val="19"/>
        </w:rPr>
        <w:t xml:space="preserve"> </w:t>
      </w:r>
      <w:r>
        <w:rPr>
          <w:i/>
          <w:color w:val="231F20"/>
          <w:w w:val="105"/>
          <w:sz w:val="19"/>
        </w:rPr>
        <w:t>every</w:t>
      </w:r>
      <w:r>
        <w:rPr>
          <w:i/>
          <w:color w:val="231F20"/>
          <w:spacing w:val="-10"/>
          <w:w w:val="105"/>
          <w:sz w:val="19"/>
        </w:rPr>
        <w:t xml:space="preserve"> </w:t>
      </w:r>
      <w:r>
        <w:rPr>
          <w:i/>
          <w:color w:val="231F20"/>
          <w:w w:val="105"/>
          <w:sz w:val="19"/>
        </w:rPr>
        <w:t>single</w:t>
      </w:r>
      <w:r>
        <w:rPr>
          <w:i/>
          <w:color w:val="231F20"/>
          <w:spacing w:val="-10"/>
          <w:w w:val="105"/>
          <w:sz w:val="19"/>
        </w:rPr>
        <w:t xml:space="preserve"> </w:t>
      </w:r>
      <w:r>
        <w:rPr>
          <w:i/>
          <w:color w:val="231F20"/>
          <w:w w:val="105"/>
          <w:sz w:val="19"/>
        </w:rPr>
        <w:t>billpost</w:t>
      </w:r>
      <w:r>
        <w:rPr>
          <w:i/>
          <w:color w:val="231F20"/>
          <w:spacing w:val="-10"/>
          <w:w w:val="105"/>
          <w:sz w:val="19"/>
        </w:rPr>
        <w:t xml:space="preserve"> </w:t>
      </w:r>
      <w:r>
        <w:rPr>
          <w:i/>
          <w:color w:val="231F20"/>
          <w:w w:val="105"/>
          <w:sz w:val="19"/>
        </w:rPr>
        <w:t>for</w:t>
      </w:r>
      <w:r>
        <w:rPr>
          <w:i/>
          <w:color w:val="231F20"/>
          <w:spacing w:val="-10"/>
          <w:w w:val="105"/>
          <w:sz w:val="19"/>
        </w:rPr>
        <w:t xml:space="preserve"> </w:t>
      </w:r>
      <w:r>
        <w:rPr>
          <w:i/>
          <w:color w:val="231F20"/>
          <w:w w:val="105"/>
          <w:sz w:val="19"/>
        </w:rPr>
        <w:t>attempted</w:t>
      </w:r>
      <w:r>
        <w:rPr>
          <w:i/>
          <w:color w:val="231F20"/>
          <w:spacing w:val="-10"/>
          <w:w w:val="105"/>
          <w:sz w:val="19"/>
        </w:rPr>
        <w:t xml:space="preserve"> </w:t>
      </w:r>
      <w:r>
        <w:rPr>
          <w:i/>
          <w:color w:val="231F20"/>
          <w:w w:val="105"/>
          <w:sz w:val="19"/>
        </w:rPr>
        <w:t>murder</w:t>
      </w:r>
      <w:r>
        <w:rPr>
          <w:i/>
          <w:color w:val="231F20"/>
          <w:spacing w:val="-10"/>
          <w:w w:val="105"/>
          <w:sz w:val="19"/>
        </w:rPr>
        <w:t xml:space="preserve"> </w:t>
      </w:r>
      <w:r>
        <w:rPr>
          <w:i/>
          <w:color w:val="231F20"/>
          <w:w w:val="105"/>
          <w:sz w:val="19"/>
        </w:rPr>
        <w:t>against</w:t>
      </w:r>
      <w:r>
        <w:rPr>
          <w:i/>
          <w:color w:val="231F20"/>
          <w:spacing w:val="-10"/>
          <w:w w:val="105"/>
          <w:sz w:val="19"/>
        </w:rPr>
        <w:t xml:space="preserve"> </w:t>
      </w:r>
      <w:r>
        <w:rPr>
          <w:i/>
          <w:color w:val="231F20"/>
          <w:w w:val="105"/>
          <w:sz w:val="19"/>
        </w:rPr>
        <w:t>a</w:t>
      </w:r>
      <w:r>
        <w:rPr>
          <w:i/>
          <w:color w:val="231F20"/>
          <w:spacing w:val="-10"/>
          <w:w w:val="105"/>
          <w:sz w:val="19"/>
        </w:rPr>
        <w:t xml:space="preserve"> </w:t>
      </w:r>
      <w:r>
        <w:rPr>
          <w:i/>
          <w:color w:val="231F20"/>
          <w:w w:val="105"/>
          <w:sz w:val="19"/>
        </w:rPr>
        <w:t>reward</w:t>
      </w:r>
      <w:r>
        <w:rPr>
          <w:i/>
          <w:color w:val="231F20"/>
          <w:spacing w:val="-10"/>
          <w:w w:val="105"/>
          <w:sz w:val="19"/>
        </w:rPr>
        <w:t xml:space="preserve"> </w:t>
      </w:r>
      <w:r>
        <w:rPr>
          <w:i/>
          <w:color w:val="231F20"/>
          <w:w w:val="105"/>
          <w:sz w:val="19"/>
        </w:rPr>
        <w:t xml:space="preserve">of DM </w:t>
      </w:r>
      <w:r>
        <w:rPr>
          <w:rFonts w:ascii="Bookman Old Style" w:hAnsi="Bookman Old Style"/>
          <w:i/>
          <w:color w:val="231F20"/>
          <w:w w:val="105"/>
          <w:sz w:val="19"/>
        </w:rPr>
        <w:t>10</w:t>
      </w:r>
      <w:r>
        <w:rPr>
          <w:i/>
          <w:color w:val="231F20"/>
          <w:w w:val="105"/>
          <w:sz w:val="19"/>
        </w:rPr>
        <w:t>,</w:t>
      </w:r>
      <w:r>
        <w:rPr>
          <w:rFonts w:ascii="Bookman Old Style" w:hAnsi="Bookman Old Style"/>
          <w:i/>
          <w:color w:val="231F20"/>
          <w:w w:val="105"/>
          <w:sz w:val="19"/>
        </w:rPr>
        <w:t>000</w:t>
      </w:r>
      <w:r>
        <w:rPr>
          <w:i/>
          <w:color w:val="231F20"/>
          <w:w w:val="105"/>
          <w:sz w:val="19"/>
        </w:rPr>
        <w:t>… When we were underground there were no more discussions, there was only</w:t>
      </w:r>
      <w:r>
        <w:rPr>
          <w:i/>
          <w:color w:val="231F20"/>
          <w:spacing w:val="20"/>
          <w:w w:val="105"/>
          <w:sz w:val="19"/>
        </w:rPr>
        <w:t xml:space="preserve"> </w:t>
      </w:r>
      <w:r>
        <w:rPr>
          <w:i/>
          <w:color w:val="231F20"/>
          <w:w w:val="105"/>
          <w:sz w:val="19"/>
        </w:rPr>
        <w:t>action.</w:t>
      </w:r>
      <w:r>
        <w:rPr>
          <w:i/>
          <w:color w:val="231F20"/>
          <w:w w:val="105"/>
          <w:position w:val="6"/>
          <w:sz w:val="11"/>
        </w:rPr>
        <w:t>8</w:t>
      </w:r>
    </w:p>
    <w:p w14:paraId="3071538B" w14:textId="77777777" w:rsidR="002653E8" w:rsidRDefault="003115E3">
      <w:pPr>
        <w:pStyle w:val="a3"/>
        <w:spacing w:before="131" w:line="264" w:lineRule="auto"/>
        <w:ind w:left="1327" w:right="1145"/>
        <w:jc w:val="both"/>
        <w:rPr>
          <w:sz w:val="11"/>
        </w:rPr>
      </w:pPr>
      <w:r>
        <w:rPr>
          <w:color w:val="231F20"/>
          <w:spacing w:val="1"/>
        </w:rPr>
        <w:t xml:space="preserve">In </w:t>
      </w:r>
      <w:r>
        <w:rPr>
          <w:color w:val="231F20"/>
        </w:rPr>
        <w:t xml:space="preserve">what would be a recurrent phenomenon, the state made use of the media frenzy around the prison-break to help push through new repressive legislation—in this case the  so-called  “Hand  Grenade  </w:t>
      </w:r>
      <w:r>
        <w:rPr>
          <w:color w:val="231F20"/>
          <w:spacing w:val="-5"/>
        </w:rPr>
        <w:t xml:space="preserve">Law,” </w:t>
      </w:r>
      <w:r>
        <w:rPr>
          <w:color w:val="231F20"/>
        </w:rPr>
        <w:t xml:space="preserve">by which </w:t>
      </w:r>
      <w:r>
        <w:rPr>
          <w:color w:val="231F20"/>
          <w:spacing w:val="-3"/>
        </w:rPr>
        <w:t xml:space="preserve">West </w:t>
      </w:r>
      <w:r>
        <w:rPr>
          <w:color w:val="231F20"/>
        </w:rPr>
        <w:t>Berlin police were equipped with hand grenades, semiautomatic revolvers, and submachine guns.</w:t>
      </w:r>
      <w:r>
        <w:rPr>
          <w:color w:val="231F20"/>
          <w:position w:val="7"/>
          <w:sz w:val="11"/>
        </w:rPr>
        <w:t>9</w:t>
      </w:r>
    </w:p>
    <w:p w14:paraId="069EB6B1" w14:textId="77777777" w:rsidR="002653E8" w:rsidRDefault="003115E3">
      <w:pPr>
        <w:pStyle w:val="a3"/>
        <w:spacing w:line="261" w:lineRule="auto"/>
        <w:ind w:left="1327" w:right="1145" w:firstLine="210"/>
        <w:jc w:val="both"/>
      </w:pPr>
      <w:r>
        <w:rPr>
          <w:color w:val="231F20"/>
        </w:rPr>
        <w:t xml:space="preserve">This was all hotly debated on the left, prompting  the  fugitives  to send a letter to the radical newspaper </w:t>
      </w:r>
      <w:r>
        <w:rPr>
          <w:rFonts w:ascii="Bookman Old Style" w:hAnsi="Bookman Old Style"/>
          <w:i/>
          <w:color w:val="231F20"/>
        </w:rPr>
        <w:t>883</w:t>
      </w:r>
      <w:r>
        <w:rPr>
          <w:color w:val="231F20"/>
        </w:rPr>
        <w:t xml:space="preserve">, in which they explained (somewhat defensively) the action and their future plans. At the insistence of the radical former film student Holger Meins who was </w:t>
      </w:r>
      <w:r>
        <w:rPr>
          <w:color w:val="231F20"/>
          <w:spacing w:val="-4"/>
        </w:rPr>
        <w:t>work</w:t>
      </w:r>
      <w:r>
        <w:rPr>
          <w:color w:val="231F20"/>
        </w:rPr>
        <w:t xml:space="preserve">ing at </w:t>
      </w:r>
      <w:r>
        <w:rPr>
          <w:rFonts w:ascii="Bookman Old Style" w:hAnsi="Bookman Old Style"/>
          <w:i/>
          <w:color w:val="231F20"/>
        </w:rPr>
        <w:t xml:space="preserve">883 </w:t>
      </w:r>
      <w:r>
        <w:rPr>
          <w:color w:val="231F20"/>
        </w:rPr>
        <w:t xml:space="preserve">at the time and who would later himself become a leading figure in the  </w:t>
      </w:r>
      <w:r w:rsidR="00C507A5">
        <w:rPr>
          <w:color w:val="231F20"/>
        </w:rPr>
        <w:t>red army faction</w:t>
      </w:r>
      <w:r>
        <w:rPr>
          <w:color w:val="231F20"/>
        </w:rPr>
        <w:t xml:space="preserve">, the newspaper published the statement, making it  the first public document from the guerilla. (Even without Meins’ support, it would have been odd for </w:t>
      </w:r>
      <w:r>
        <w:rPr>
          <w:rFonts w:ascii="Bookman Old Style" w:hAnsi="Bookman Old Style"/>
          <w:i/>
          <w:color w:val="231F20"/>
        </w:rPr>
        <w:t xml:space="preserve">883 </w:t>
      </w:r>
      <w:r>
        <w:rPr>
          <w:color w:val="231F20"/>
        </w:rPr>
        <w:t>to not publish the text: Baader, Meinhof,</w:t>
      </w:r>
      <w:r>
        <w:rPr>
          <w:color w:val="231F20"/>
          <w:spacing w:val="32"/>
        </w:rPr>
        <w:t xml:space="preserve"> </w:t>
      </w:r>
      <w:r>
        <w:rPr>
          <w:color w:val="231F20"/>
        </w:rPr>
        <w:t>Mahler,</w:t>
      </w:r>
      <w:r>
        <w:rPr>
          <w:color w:val="231F20"/>
          <w:spacing w:val="32"/>
        </w:rPr>
        <w:t xml:space="preserve"> </w:t>
      </w:r>
      <w:r>
        <w:rPr>
          <w:color w:val="231F20"/>
        </w:rPr>
        <w:t>and</w:t>
      </w:r>
      <w:r>
        <w:rPr>
          <w:color w:val="231F20"/>
          <w:spacing w:val="32"/>
        </w:rPr>
        <w:t xml:space="preserve"> </w:t>
      </w:r>
      <w:r>
        <w:rPr>
          <w:color w:val="231F20"/>
        </w:rPr>
        <w:t>Ensslin</w:t>
      </w:r>
      <w:r>
        <w:rPr>
          <w:color w:val="231F20"/>
          <w:spacing w:val="32"/>
        </w:rPr>
        <w:t xml:space="preserve"> </w:t>
      </w:r>
      <w:r>
        <w:rPr>
          <w:color w:val="231F20"/>
        </w:rPr>
        <w:t>had</w:t>
      </w:r>
      <w:r>
        <w:rPr>
          <w:color w:val="231F20"/>
          <w:spacing w:val="32"/>
        </w:rPr>
        <w:t xml:space="preserve"> </w:t>
      </w:r>
      <w:r>
        <w:rPr>
          <w:color w:val="231F20"/>
        </w:rPr>
        <w:t>all</w:t>
      </w:r>
      <w:r>
        <w:rPr>
          <w:color w:val="231F20"/>
          <w:spacing w:val="32"/>
        </w:rPr>
        <w:t xml:space="preserve"> </w:t>
      </w:r>
      <w:r>
        <w:rPr>
          <w:color w:val="231F20"/>
        </w:rPr>
        <w:t>formerly</w:t>
      </w:r>
      <w:r>
        <w:rPr>
          <w:color w:val="231F20"/>
          <w:spacing w:val="32"/>
        </w:rPr>
        <w:t xml:space="preserve"> </w:t>
      </w:r>
      <w:r>
        <w:rPr>
          <w:color w:val="231F20"/>
        </w:rPr>
        <w:t>served</w:t>
      </w:r>
      <w:r>
        <w:rPr>
          <w:color w:val="231F20"/>
          <w:spacing w:val="32"/>
        </w:rPr>
        <w:t xml:space="preserve"> </w:t>
      </w:r>
      <w:r>
        <w:rPr>
          <w:color w:val="231F20"/>
        </w:rPr>
        <w:t>in</w:t>
      </w:r>
      <w:r>
        <w:rPr>
          <w:color w:val="231F20"/>
          <w:spacing w:val="32"/>
        </w:rPr>
        <w:t xml:space="preserve"> </w:t>
      </w:r>
      <w:r>
        <w:rPr>
          <w:color w:val="231F20"/>
        </w:rPr>
        <w:t>the</w:t>
      </w:r>
      <w:r>
        <w:rPr>
          <w:color w:val="231F20"/>
          <w:spacing w:val="32"/>
        </w:rPr>
        <w:t xml:space="preserve"> </w:t>
      </w:r>
      <w:r>
        <w:rPr>
          <w:color w:val="231F20"/>
        </w:rPr>
        <w:t>editorial</w:t>
      </w:r>
    </w:p>
    <w:p w14:paraId="11D36AD0" w14:textId="77777777" w:rsidR="002653E8" w:rsidRDefault="00000000">
      <w:pPr>
        <w:pStyle w:val="a3"/>
        <w:spacing w:before="11"/>
        <w:rPr>
          <w:sz w:val="24"/>
        </w:rPr>
      </w:pPr>
      <w:r>
        <w:rPr>
          <w:noProof w:val="0"/>
        </w:rPr>
        <w:pict w14:anchorId="73FA9972">
          <v:line id="_x0000_s2640" style="position:absolute;z-index:2752;mso-wrap-distance-left:0;mso-wrap-distance-right:0;mso-position-horizontal-relative:page" from="66.4pt,16.85pt" to="138.4pt,16.85pt" strokecolor="#231f20" strokeweight=".5pt">
            <w10:wrap type="topAndBottom" anchorx="page"/>
          </v:line>
        </w:pict>
      </w:r>
    </w:p>
    <w:p w14:paraId="76B55E1D" w14:textId="77777777" w:rsidR="002653E8" w:rsidRDefault="003115E3">
      <w:pPr>
        <w:pStyle w:val="a4"/>
        <w:numPr>
          <w:ilvl w:val="1"/>
          <w:numId w:val="174"/>
        </w:numPr>
        <w:tabs>
          <w:tab w:val="left" w:pos="1467"/>
        </w:tabs>
        <w:spacing w:before="53" w:line="254" w:lineRule="auto"/>
        <w:ind w:right="1521" w:hanging="1"/>
        <w:rPr>
          <w:sz w:val="16"/>
        </w:rPr>
      </w:pPr>
      <w:r>
        <w:rPr>
          <w:color w:val="231F20"/>
          <w:w w:val="105"/>
          <w:sz w:val="16"/>
        </w:rPr>
        <w:t xml:space="preserve">Ben Lewis and Richard Klein, </w:t>
      </w:r>
      <w:r>
        <w:rPr>
          <w:i/>
          <w:color w:val="231F20"/>
          <w:spacing w:val="2"/>
          <w:w w:val="105"/>
          <w:sz w:val="16"/>
        </w:rPr>
        <w:t xml:space="preserve">Baader </w:t>
      </w:r>
      <w:r>
        <w:rPr>
          <w:i/>
          <w:color w:val="231F20"/>
          <w:w w:val="105"/>
          <w:sz w:val="16"/>
        </w:rPr>
        <w:t xml:space="preserve">Meinhof: In Love With Terror </w:t>
      </w:r>
      <w:r>
        <w:rPr>
          <w:color w:val="231F20"/>
          <w:w w:val="105"/>
          <w:sz w:val="16"/>
        </w:rPr>
        <w:t>(United Kingdom:</w:t>
      </w:r>
      <w:r>
        <w:rPr>
          <w:color w:val="231F20"/>
          <w:spacing w:val="10"/>
          <w:w w:val="105"/>
          <w:sz w:val="16"/>
        </w:rPr>
        <w:t xml:space="preserve"> </w:t>
      </w:r>
      <w:r>
        <w:rPr>
          <w:color w:val="231F20"/>
          <w:w w:val="105"/>
          <w:sz w:val="16"/>
        </w:rPr>
        <w:t>a</w:t>
      </w:r>
      <w:r>
        <w:rPr>
          <w:color w:val="231F20"/>
          <w:spacing w:val="10"/>
          <w:w w:val="105"/>
          <w:sz w:val="16"/>
        </w:rPr>
        <w:t xml:space="preserve"> </w:t>
      </w:r>
      <w:r>
        <w:rPr>
          <w:color w:val="231F20"/>
          <w:w w:val="105"/>
          <w:sz w:val="16"/>
        </w:rPr>
        <w:t>Mentorn</w:t>
      </w:r>
      <w:r>
        <w:rPr>
          <w:color w:val="231F20"/>
          <w:spacing w:val="10"/>
          <w:w w:val="105"/>
          <w:sz w:val="16"/>
        </w:rPr>
        <w:t xml:space="preserve"> </w:t>
      </w:r>
      <w:r>
        <w:rPr>
          <w:color w:val="231F20"/>
          <w:w w:val="105"/>
          <w:sz w:val="16"/>
        </w:rPr>
        <w:t>production</w:t>
      </w:r>
      <w:r>
        <w:rPr>
          <w:color w:val="231F20"/>
          <w:spacing w:val="10"/>
          <w:w w:val="105"/>
          <w:sz w:val="16"/>
        </w:rPr>
        <w:t xml:space="preserve"> </w:t>
      </w:r>
      <w:r>
        <w:rPr>
          <w:color w:val="231F20"/>
          <w:w w:val="105"/>
          <w:sz w:val="16"/>
        </w:rPr>
        <w:t>for</w:t>
      </w:r>
      <w:r>
        <w:rPr>
          <w:color w:val="231F20"/>
          <w:spacing w:val="11"/>
          <w:w w:val="105"/>
          <w:sz w:val="16"/>
        </w:rPr>
        <w:t xml:space="preserve"> </w:t>
      </w:r>
      <w:r>
        <w:rPr>
          <w:color w:val="231F20"/>
          <w:w w:val="105"/>
          <w:sz w:val="16"/>
        </w:rPr>
        <w:t>BBC</w:t>
      </w:r>
      <w:r>
        <w:rPr>
          <w:color w:val="231F20"/>
          <w:spacing w:val="10"/>
          <w:w w:val="105"/>
          <w:sz w:val="16"/>
        </w:rPr>
        <w:t xml:space="preserve"> </w:t>
      </w:r>
      <w:r>
        <w:rPr>
          <w:color w:val="231F20"/>
          <w:spacing w:val="1"/>
          <w:w w:val="105"/>
          <w:sz w:val="16"/>
        </w:rPr>
        <w:t>FOUR,</w:t>
      </w:r>
      <w:r>
        <w:rPr>
          <w:color w:val="231F20"/>
          <w:spacing w:val="10"/>
          <w:w w:val="105"/>
          <w:sz w:val="16"/>
        </w:rPr>
        <w:t xml:space="preserve"> </w:t>
      </w:r>
      <w:r>
        <w:rPr>
          <w:color w:val="231F20"/>
          <w:w w:val="105"/>
          <w:sz w:val="16"/>
        </w:rPr>
        <w:t>2002).</w:t>
      </w:r>
    </w:p>
    <w:p w14:paraId="26E8735A" w14:textId="77777777" w:rsidR="002653E8" w:rsidRDefault="003115E3">
      <w:pPr>
        <w:pStyle w:val="a4"/>
        <w:numPr>
          <w:ilvl w:val="1"/>
          <w:numId w:val="174"/>
        </w:numPr>
        <w:tabs>
          <w:tab w:val="left" w:pos="1467"/>
        </w:tabs>
        <w:ind w:hanging="1"/>
        <w:rPr>
          <w:sz w:val="16"/>
        </w:rPr>
      </w:pPr>
      <w:r>
        <w:rPr>
          <w:color w:val="231F20"/>
          <w:w w:val="110"/>
          <w:sz w:val="16"/>
        </w:rPr>
        <w:t>Ibid.</w:t>
      </w:r>
    </w:p>
    <w:p w14:paraId="3E9DFE11" w14:textId="77777777" w:rsidR="002653E8" w:rsidRDefault="003115E3">
      <w:pPr>
        <w:pStyle w:val="a4"/>
        <w:numPr>
          <w:ilvl w:val="1"/>
          <w:numId w:val="174"/>
        </w:numPr>
        <w:tabs>
          <w:tab w:val="left" w:pos="1467"/>
        </w:tabs>
        <w:spacing w:before="51"/>
        <w:ind w:hanging="1"/>
        <w:rPr>
          <w:sz w:val="16"/>
        </w:rPr>
      </w:pPr>
      <w:r>
        <w:rPr>
          <w:color w:val="231F20"/>
          <w:w w:val="115"/>
          <w:sz w:val="16"/>
        </w:rPr>
        <w:t>Proll,</w:t>
      </w:r>
      <w:r>
        <w:rPr>
          <w:color w:val="231F20"/>
          <w:spacing w:val="5"/>
          <w:w w:val="115"/>
          <w:sz w:val="16"/>
        </w:rPr>
        <w:t xml:space="preserve"> </w:t>
      </w:r>
      <w:r>
        <w:rPr>
          <w:color w:val="231F20"/>
          <w:spacing w:val="-3"/>
          <w:w w:val="115"/>
          <w:sz w:val="16"/>
        </w:rPr>
        <w:t>10.</w:t>
      </w:r>
    </w:p>
    <w:p w14:paraId="4E2898C2" w14:textId="77777777" w:rsidR="002653E8" w:rsidRDefault="003115E3">
      <w:pPr>
        <w:pStyle w:val="a4"/>
        <w:numPr>
          <w:ilvl w:val="1"/>
          <w:numId w:val="174"/>
        </w:numPr>
        <w:tabs>
          <w:tab w:val="left" w:pos="1467"/>
        </w:tabs>
        <w:spacing w:before="52"/>
        <w:ind w:hanging="1"/>
        <w:rPr>
          <w:sz w:val="16"/>
        </w:rPr>
      </w:pPr>
      <w:r>
        <w:rPr>
          <w:color w:val="231F20"/>
          <w:w w:val="110"/>
          <w:sz w:val="16"/>
        </w:rPr>
        <w:t>Ascherson, “Leftists</w:t>
      </w:r>
      <w:r>
        <w:rPr>
          <w:color w:val="231F20"/>
          <w:spacing w:val="11"/>
          <w:w w:val="110"/>
          <w:sz w:val="16"/>
        </w:rPr>
        <w:t xml:space="preserve"> </w:t>
      </w:r>
      <w:r>
        <w:rPr>
          <w:color w:val="231F20"/>
          <w:w w:val="110"/>
          <w:sz w:val="16"/>
        </w:rPr>
        <w:t>Disturbed.”</w:t>
      </w:r>
    </w:p>
    <w:p w14:paraId="0679285E" w14:textId="77777777" w:rsidR="002653E8" w:rsidRDefault="002653E8">
      <w:pPr>
        <w:rPr>
          <w:sz w:val="16"/>
        </w:rPr>
        <w:sectPr w:rsidR="002653E8">
          <w:pgSz w:w="8640" w:h="12960"/>
          <w:pgMar w:top="1060" w:right="0" w:bottom="1040" w:left="0" w:header="0" w:footer="850" w:gutter="0"/>
          <w:cols w:space="720"/>
        </w:sectPr>
      </w:pPr>
    </w:p>
    <w:p w14:paraId="710E421D" w14:textId="77777777" w:rsidR="002653E8" w:rsidRDefault="003115E3">
      <w:pPr>
        <w:pStyle w:val="a3"/>
        <w:spacing w:before="86" w:line="264" w:lineRule="auto"/>
        <w:ind w:left="1147" w:right="1580"/>
        <w:rPr>
          <w:sz w:val="11"/>
        </w:rPr>
      </w:pPr>
      <w:r>
        <w:rPr>
          <w:color w:val="231F20"/>
        </w:rPr>
        <w:lastRenderedPageBreak/>
        <w:t>collective, as had several other individuals who would go on to join     the</w:t>
      </w:r>
      <w:r>
        <w:rPr>
          <w:color w:val="231F20"/>
          <w:spacing w:val="10"/>
        </w:rPr>
        <w:t xml:space="preserve"> </w:t>
      </w:r>
      <w:r>
        <w:rPr>
          <w:color w:val="231F20"/>
        </w:rPr>
        <w:t>guerilla.)</w:t>
      </w:r>
      <w:r>
        <w:rPr>
          <w:color w:val="231F20"/>
          <w:position w:val="7"/>
          <w:sz w:val="11"/>
        </w:rPr>
        <w:t>1</w:t>
      </w:r>
    </w:p>
    <w:p w14:paraId="4B0B3391" w14:textId="77777777" w:rsidR="002653E8" w:rsidRDefault="003115E3">
      <w:pPr>
        <w:pStyle w:val="a3"/>
        <w:spacing w:line="232" w:lineRule="exact"/>
        <w:ind w:left="1357"/>
      </w:pPr>
      <w:r>
        <w:rPr>
          <w:color w:val="231F20"/>
        </w:rPr>
        <w:t>The Red Army Faction had been born.</w:t>
      </w:r>
    </w:p>
    <w:p w14:paraId="07C62436" w14:textId="77777777" w:rsidR="002653E8" w:rsidRDefault="003115E3">
      <w:pPr>
        <w:pStyle w:val="a3"/>
        <w:spacing w:before="23" w:line="264" w:lineRule="auto"/>
        <w:ind w:left="1147" w:right="1326" w:firstLine="210"/>
        <w:jc w:val="both"/>
      </w:pPr>
      <w:r>
        <w:rPr>
          <w:color w:val="231F20"/>
        </w:rPr>
        <w:t>The next year was spent acquiring technical skills, including a trip     to Jordan where more than a dozen of the aspiring German guerillas received training from the PLO. While this first trip may not have had great significance for the group, given the subsequent importance of its connection with certain Palestinian organizations, it may be useful to examine</w:t>
      </w:r>
      <w:r>
        <w:rPr>
          <w:color w:val="231F20"/>
          <w:spacing w:val="10"/>
        </w:rPr>
        <w:t xml:space="preserve"> </w:t>
      </w:r>
      <w:r>
        <w:rPr>
          <w:color w:val="231F20"/>
        </w:rPr>
        <w:t>the</w:t>
      </w:r>
      <w:r>
        <w:rPr>
          <w:color w:val="231F20"/>
          <w:spacing w:val="10"/>
        </w:rPr>
        <w:t xml:space="preserve"> </w:t>
      </w:r>
      <w:r>
        <w:rPr>
          <w:color w:val="231F20"/>
        </w:rPr>
        <w:t>context</w:t>
      </w:r>
      <w:r>
        <w:rPr>
          <w:color w:val="231F20"/>
          <w:spacing w:val="10"/>
        </w:rPr>
        <w:t xml:space="preserve"> </w:t>
      </w:r>
      <w:r>
        <w:rPr>
          <w:color w:val="231F20"/>
        </w:rPr>
        <w:t>in</w:t>
      </w:r>
      <w:r>
        <w:rPr>
          <w:color w:val="231F20"/>
          <w:spacing w:val="10"/>
        </w:rPr>
        <w:t xml:space="preserve"> </w:t>
      </w:r>
      <w:r>
        <w:rPr>
          <w:color w:val="231F20"/>
        </w:rPr>
        <w:t>which</w:t>
      </w:r>
      <w:r>
        <w:rPr>
          <w:color w:val="231F20"/>
          <w:spacing w:val="10"/>
        </w:rPr>
        <w:t xml:space="preserve"> </w:t>
      </w:r>
      <w:r>
        <w:rPr>
          <w:color w:val="231F20"/>
        </w:rPr>
        <w:t>it</w:t>
      </w:r>
      <w:r>
        <w:rPr>
          <w:color w:val="231F20"/>
          <w:spacing w:val="10"/>
        </w:rPr>
        <w:t xml:space="preserve"> </w:t>
      </w:r>
      <w:r>
        <w:rPr>
          <w:color w:val="231F20"/>
        </w:rPr>
        <w:t>occurred.</w:t>
      </w:r>
    </w:p>
    <w:p w14:paraId="5767D99F" w14:textId="77777777" w:rsidR="002653E8" w:rsidRDefault="003115E3">
      <w:pPr>
        <w:pStyle w:val="a3"/>
        <w:spacing w:line="264" w:lineRule="auto"/>
        <w:ind w:left="1147" w:right="1326" w:firstLine="210"/>
        <w:jc w:val="both"/>
      </w:pPr>
      <w:r>
        <w:rPr>
          <w:color w:val="231F20"/>
        </w:rPr>
        <w:t>At the time, Jordan contained a very large Palestinian refugee population, one which had swollen since the 1967 Israeli Occupation of the West Bank and the Gaza Strip; by 1970, the Palestinians constituted roughly 1,000,000 of the country’s total population of 2,299,000.</w:t>
      </w:r>
    </w:p>
    <w:p w14:paraId="461496D5" w14:textId="77777777" w:rsidR="002653E8" w:rsidRDefault="003115E3">
      <w:pPr>
        <w:pStyle w:val="a3"/>
        <w:spacing w:line="264" w:lineRule="auto"/>
        <w:ind w:left="1148" w:right="1325" w:firstLine="209"/>
        <w:jc w:val="both"/>
        <w:rPr>
          <w:sz w:val="11"/>
        </w:rPr>
      </w:pPr>
      <w:r>
        <w:rPr>
          <w:color w:val="231F20"/>
        </w:rPr>
        <w:t xml:space="preserve">Based in the refugee camps, the  PLO managed to constitute itself as   a </w:t>
      </w:r>
      <w:r>
        <w:rPr>
          <w:color w:val="231F20"/>
          <w:spacing w:val="1"/>
        </w:rPr>
        <w:t xml:space="preserve">virtual </w:t>
      </w:r>
      <w:r>
        <w:rPr>
          <w:color w:val="231F20"/>
        </w:rPr>
        <w:t xml:space="preserve">parallel state within the country. Indeed, many  considered that revolution in Jordan could be one step towards the defeat of Israel, an idea expressed by the slogan, “The road to </w:t>
      </w:r>
      <w:r>
        <w:rPr>
          <w:color w:val="231F20"/>
          <w:spacing w:val="-5"/>
        </w:rPr>
        <w:t xml:space="preserve">Tel </w:t>
      </w:r>
      <w:r>
        <w:rPr>
          <w:color w:val="231F20"/>
          <w:spacing w:val="-3"/>
        </w:rPr>
        <w:t xml:space="preserve">Aviv </w:t>
      </w:r>
      <w:r>
        <w:rPr>
          <w:color w:val="231F20"/>
        </w:rPr>
        <w:t>lies through Amman”—a sentiment which worried King Hussein, to say the least— as did the increasing use of Jordanian territory as a rear base area for  all manner of Palestinian radical</w:t>
      </w:r>
      <w:r>
        <w:rPr>
          <w:color w:val="231F20"/>
          <w:spacing w:val="17"/>
        </w:rPr>
        <w:t xml:space="preserve"> </w:t>
      </w:r>
      <w:r>
        <w:rPr>
          <w:color w:val="231F20"/>
        </w:rPr>
        <w:t>organizations.</w:t>
      </w:r>
      <w:r>
        <w:rPr>
          <w:color w:val="231F20"/>
          <w:position w:val="7"/>
          <w:sz w:val="11"/>
        </w:rPr>
        <w:t>2</w:t>
      </w:r>
    </w:p>
    <w:p w14:paraId="1EEB3CB4" w14:textId="77777777" w:rsidR="002653E8" w:rsidRDefault="003115E3">
      <w:pPr>
        <w:pStyle w:val="a3"/>
        <w:spacing w:line="264" w:lineRule="auto"/>
        <w:ind w:left="1147" w:right="1326" w:firstLine="210"/>
        <w:jc w:val="both"/>
      </w:pPr>
      <w:r>
        <w:rPr>
          <w:color w:val="231F20"/>
          <w:spacing w:val="1"/>
        </w:rPr>
        <w:t xml:space="preserve">In </w:t>
      </w:r>
      <w:r>
        <w:rPr>
          <w:color w:val="231F20"/>
        </w:rPr>
        <w:t xml:space="preserve">September </w:t>
      </w:r>
      <w:r>
        <w:rPr>
          <w:color w:val="231F20"/>
          <w:spacing w:val="-3"/>
        </w:rPr>
        <w:t xml:space="preserve">1970, </w:t>
      </w:r>
      <w:r>
        <w:rPr>
          <w:color w:val="231F20"/>
        </w:rPr>
        <w:t xml:space="preserve">the left-wing Popular Front for the Liberation of Palestine skyjacked three western aircraft, landing them in </w:t>
      </w:r>
      <w:r>
        <w:rPr>
          <w:color w:val="231F20"/>
          <w:spacing w:val="-3"/>
        </w:rPr>
        <w:t xml:space="preserve">Dawson’s </w:t>
      </w:r>
      <w:r>
        <w:rPr>
          <w:color w:val="231F20"/>
        </w:rPr>
        <w:t xml:space="preserve">Field, a remote desert airstrip in Jordan. This provided Hussein with   the excuse he needed, and the PLO soon came under attack from the monarch’s armed forces, supported by Israel. By the time a truce was brokered, between 4,000 and 10,000—yassir Arafat would claim as many as </w:t>
      </w:r>
      <w:r>
        <w:rPr>
          <w:color w:val="231F20"/>
          <w:spacing w:val="1"/>
        </w:rPr>
        <w:t xml:space="preserve">20,000—Palestinians </w:t>
      </w:r>
      <w:r>
        <w:rPr>
          <w:color w:val="231F20"/>
        </w:rPr>
        <w:t xml:space="preserve">had been killed, including many noncombatants. (This would be remembered as “Black September,” and it was in memory of this massacre that the </w:t>
      </w:r>
      <w:r>
        <w:rPr>
          <w:color w:val="231F20"/>
          <w:spacing w:val="-3"/>
        </w:rPr>
        <w:t xml:space="preserve">PLO’s </w:t>
      </w:r>
      <w:r>
        <w:rPr>
          <w:color w:val="231F20"/>
        </w:rPr>
        <w:t>unofficial guerilla wing would adopt that</w:t>
      </w:r>
      <w:r>
        <w:rPr>
          <w:color w:val="231F20"/>
          <w:spacing w:val="32"/>
        </w:rPr>
        <w:t xml:space="preserve"> </w:t>
      </w:r>
      <w:r>
        <w:rPr>
          <w:color w:val="231F20"/>
        </w:rPr>
        <w:t>name.)</w:t>
      </w:r>
    </w:p>
    <w:p w14:paraId="41847844" w14:textId="77777777" w:rsidR="002653E8" w:rsidRDefault="003115E3">
      <w:pPr>
        <w:pStyle w:val="a3"/>
        <w:spacing w:line="264" w:lineRule="auto"/>
        <w:ind w:left="1148" w:right="1325" w:firstLine="210"/>
        <w:jc w:val="both"/>
      </w:pPr>
      <w:r>
        <w:rPr>
          <w:color w:val="231F20"/>
        </w:rPr>
        <w:t>Prior</w:t>
      </w:r>
      <w:r>
        <w:rPr>
          <w:color w:val="231F20"/>
          <w:spacing w:val="-9"/>
        </w:rPr>
        <w:t xml:space="preserve"> </w:t>
      </w:r>
      <w:r>
        <w:rPr>
          <w:color w:val="231F20"/>
        </w:rPr>
        <w:t>to</w:t>
      </w:r>
      <w:r>
        <w:rPr>
          <w:color w:val="231F20"/>
          <w:spacing w:val="-9"/>
        </w:rPr>
        <w:t xml:space="preserve"> </w:t>
      </w:r>
      <w:r>
        <w:rPr>
          <w:color w:val="231F20"/>
        </w:rPr>
        <w:t>this,</w:t>
      </w:r>
      <w:r>
        <w:rPr>
          <w:color w:val="231F20"/>
          <w:spacing w:val="-9"/>
        </w:rPr>
        <w:t xml:space="preserve"> </w:t>
      </w:r>
      <w:r>
        <w:rPr>
          <w:color w:val="231F20"/>
        </w:rPr>
        <w:t>the</w:t>
      </w:r>
      <w:r>
        <w:rPr>
          <w:color w:val="231F20"/>
          <w:spacing w:val="-9"/>
        </w:rPr>
        <w:t xml:space="preserve"> </w:t>
      </w:r>
      <w:r>
        <w:rPr>
          <w:color w:val="231F20"/>
        </w:rPr>
        <w:t>Palestinians’</w:t>
      </w:r>
      <w:r>
        <w:rPr>
          <w:color w:val="231F20"/>
          <w:spacing w:val="-9"/>
        </w:rPr>
        <w:t xml:space="preserve"> </w:t>
      </w:r>
      <w:r>
        <w:rPr>
          <w:color w:val="231F20"/>
        </w:rPr>
        <w:t>Jordanian</w:t>
      </w:r>
      <w:r>
        <w:rPr>
          <w:color w:val="231F20"/>
          <w:spacing w:val="-9"/>
        </w:rPr>
        <w:t xml:space="preserve"> </w:t>
      </w:r>
      <w:r>
        <w:rPr>
          <w:color w:val="231F20"/>
        </w:rPr>
        <w:t>bases</w:t>
      </w:r>
      <w:r>
        <w:rPr>
          <w:color w:val="231F20"/>
          <w:spacing w:val="-9"/>
        </w:rPr>
        <w:t xml:space="preserve"> </w:t>
      </w:r>
      <w:r>
        <w:rPr>
          <w:color w:val="231F20"/>
        </w:rPr>
        <w:t>were</w:t>
      </w:r>
      <w:r>
        <w:rPr>
          <w:color w:val="231F20"/>
          <w:spacing w:val="-9"/>
        </w:rPr>
        <w:t xml:space="preserve"> </w:t>
      </w:r>
      <w:r>
        <w:rPr>
          <w:color w:val="231F20"/>
        </w:rPr>
        <w:t>important</w:t>
      </w:r>
      <w:r>
        <w:rPr>
          <w:color w:val="231F20"/>
          <w:spacing w:val="-9"/>
        </w:rPr>
        <w:t xml:space="preserve"> </w:t>
      </w:r>
      <w:r>
        <w:rPr>
          <w:color w:val="231F20"/>
        </w:rPr>
        <w:t>sources of inspiration and education for revolutionaries, not only in the Arab world, but also in many European countries. While the largest number of</w:t>
      </w:r>
      <w:r>
        <w:rPr>
          <w:color w:val="231F20"/>
          <w:spacing w:val="35"/>
        </w:rPr>
        <w:t xml:space="preserve"> </w:t>
      </w:r>
      <w:r>
        <w:rPr>
          <w:color w:val="231F20"/>
        </w:rPr>
        <w:t>visitors</w:t>
      </w:r>
      <w:r>
        <w:rPr>
          <w:color w:val="231F20"/>
          <w:spacing w:val="35"/>
        </w:rPr>
        <w:t xml:space="preserve"> </w:t>
      </w:r>
      <w:r>
        <w:rPr>
          <w:color w:val="231F20"/>
        </w:rPr>
        <w:t>came</w:t>
      </w:r>
      <w:r>
        <w:rPr>
          <w:color w:val="231F20"/>
          <w:spacing w:val="35"/>
        </w:rPr>
        <w:t xml:space="preserve"> </w:t>
      </w:r>
      <w:r>
        <w:rPr>
          <w:color w:val="231F20"/>
        </w:rPr>
        <w:t>from</w:t>
      </w:r>
      <w:r>
        <w:rPr>
          <w:color w:val="231F20"/>
          <w:spacing w:val="35"/>
        </w:rPr>
        <w:t xml:space="preserve"> </w:t>
      </w:r>
      <w:r>
        <w:rPr>
          <w:color w:val="231F20"/>
        </w:rPr>
        <w:t>Turkey</w:t>
      </w:r>
      <w:r>
        <w:rPr>
          <w:color w:val="231F20"/>
          <w:position w:val="7"/>
          <w:sz w:val="11"/>
        </w:rPr>
        <w:t>3</w:t>
      </w:r>
      <w:r>
        <w:rPr>
          <w:color w:val="231F20"/>
        </w:rPr>
        <w:t>—many</w:t>
      </w:r>
      <w:r>
        <w:rPr>
          <w:color w:val="231F20"/>
          <w:spacing w:val="35"/>
        </w:rPr>
        <w:t xml:space="preserve"> </w:t>
      </w:r>
      <w:r>
        <w:rPr>
          <w:color w:val="231F20"/>
        </w:rPr>
        <w:t>of</w:t>
      </w:r>
      <w:r>
        <w:rPr>
          <w:color w:val="231F20"/>
          <w:spacing w:val="35"/>
        </w:rPr>
        <w:t xml:space="preserve"> </w:t>
      </w:r>
      <w:r>
        <w:rPr>
          <w:color w:val="231F20"/>
        </w:rPr>
        <w:t>whom</w:t>
      </w:r>
      <w:r>
        <w:rPr>
          <w:color w:val="231F20"/>
          <w:spacing w:val="35"/>
        </w:rPr>
        <w:t xml:space="preserve"> </w:t>
      </w:r>
      <w:r>
        <w:rPr>
          <w:color w:val="231F20"/>
        </w:rPr>
        <w:t>would</w:t>
      </w:r>
      <w:r>
        <w:rPr>
          <w:color w:val="231F20"/>
          <w:spacing w:val="35"/>
        </w:rPr>
        <w:t xml:space="preserve"> </w:t>
      </w:r>
      <w:r>
        <w:rPr>
          <w:color w:val="231F20"/>
        </w:rPr>
        <w:t>stay</w:t>
      </w:r>
      <w:r>
        <w:rPr>
          <w:color w:val="231F20"/>
          <w:spacing w:val="35"/>
        </w:rPr>
        <w:t xml:space="preserve"> </w:t>
      </w:r>
      <w:r>
        <w:rPr>
          <w:color w:val="231F20"/>
        </w:rPr>
        <w:t>and</w:t>
      </w:r>
      <w:r>
        <w:rPr>
          <w:color w:val="231F20"/>
          <w:spacing w:val="35"/>
        </w:rPr>
        <w:t xml:space="preserve"> </w:t>
      </w:r>
      <w:r>
        <w:rPr>
          <w:color w:val="231F20"/>
        </w:rPr>
        <w:t>fight</w:t>
      </w:r>
    </w:p>
    <w:p w14:paraId="1206AF5C" w14:textId="77777777" w:rsidR="002653E8" w:rsidRDefault="00000000">
      <w:pPr>
        <w:pStyle w:val="a3"/>
        <w:spacing w:before="6"/>
        <w:rPr>
          <w:sz w:val="8"/>
        </w:rPr>
      </w:pPr>
      <w:r>
        <w:rPr>
          <w:noProof w:val="0"/>
        </w:rPr>
        <w:pict w14:anchorId="6FDDA7C4">
          <v:line id="_x0000_s2639" style="position:absolute;z-index:2776;mso-wrap-distance-left:0;mso-wrap-distance-right:0;mso-position-horizontal-relative:page" from="57.4pt,7.2pt" to="129.4pt,7.2pt" strokecolor="#231f20" strokeweight=".5pt">
            <w10:wrap type="topAndBottom" anchorx="page"/>
          </v:line>
        </w:pict>
      </w:r>
    </w:p>
    <w:p w14:paraId="25820A0E" w14:textId="77777777" w:rsidR="002653E8" w:rsidRPr="00C507A5" w:rsidRDefault="003115E3">
      <w:pPr>
        <w:pStyle w:val="a4"/>
        <w:numPr>
          <w:ilvl w:val="0"/>
          <w:numId w:val="173"/>
        </w:numPr>
        <w:tabs>
          <w:tab w:val="left" w:pos="1287"/>
        </w:tabs>
        <w:spacing w:before="53" w:line="254" w:lineRule="auto"/>
        <w:ind w:right="2152" w:firstLine="0"/>
        <w:jc w:val="left"/>
        <w:rPr>
          <w:sz w:val="16"/>
          <w:lang w:val="de-DE"/>
        </w:rPr>
      </w:pPr>
      <w:r w:rsidRPr="00C507A5">
        <w:rPr>
          <w:color w:val="231F20"/>
          <w:w w:val="110"/>
          <w:sz w:val="16"/>
          <w:lang w:val="de-DE"/>
        </w:rPr>
        <w:t>Datenbank</w:t>
      </w:r>
      <w:r w:rsidRPr="00C507A5">
        <w:rPr>
          <w:color w:val="231F20"/>
          <w:spacing w:val="-13"/>
          <w:w w:val="110"/>
          <w:sz w:val="16"/>
          <w:lang w:val="de-DE"/>
        </w:rPr>
        <w:t xml:space="preserve"> </w:t>
      </w:r>
      <w:r w:rsidRPr="00C507A5">
        <w:rPr>
          <w:color w:val="231F20"/>
          <w:w w:val="110"/>
          <w:sz w:val="16"/>
          <w:lang w:val="de-DE"/>
        </w:rPr>
        <w:t>des</w:t>
      </w:r>
      <w:r w:rsidRPr="00C507A5">
        <w:rPr>
          <w:color w:val="231F20"/>
          <w:spacing w:val="-13"/>
          <w:w w:val="110"/>
          <w:sz w:val="16"/>
          <w:lang w:val="de-DE"/>
        </w:rPr>
        <w:t xml:space="preserve"> </w:t>
      </w:r>
      <w:r w:rsidRPr="00C507A5">
        <w:rPr>
          <w:color w:val="231F20"/>
          <w:w w:val="110"/>
          <w:sz w:val="16"/>
          <w:lang w:val="de-DE"/>
        </w:rPr>
        <w:t>deutschsprachigen</w:t>
      </w:r>
      <w:r w:rsidRPr="00C507A5">
        <w:rPr>
          <w:color w:val="231F20"/>
          <w:spacing w:val="-13"/>
          <w:w w:val="110"/>
          <w:sz w:val="16"/>
          <w:lang w:val="de-DE"/>
        </w:rPr>
        <w:t xml:space="preserve"> </w:t>
      </w:r>
      <w:r w:rsidRPr="00C507A5">
        <w:rPr>
          <w:color w:val="231F20"/>
          <w:w w:val="110"/>
          <w:sz w:val="16"/>
          <w:lang w:val="de-DE"/>
        </w:rPr>
        <w:t>Anarchismus:</w:t>
      </w:r>
      <w:r w:rsidRPr="00C507A5">
        <w:rPr>
          <w:color w:val="231F20"/>
          <w:spacing w:val="-13"/>
          <w:w w:val="110"/>
          <w:sz w:val="16"/>
          <w:lang w:val="de-DE"/>
        </w:rPr>
        <w:t xml:space="preserve"> </w:t>
      </w:r>
      <w:r w:rsidRPr="00C507A5">
        <w:rPr>
          <w:color w:val="231F20"/>
          <w:w w:val="110"/>
          <w:sz w:val="16"/>
          <w:lang w:val="de-DE"/>
        </w:rPr>
        <w:t>Periodika,</w:t>
      </w:r>
      <w:r w:rsidRPr="00C507A5">
        <w:rPr>
          <w:color w:val="231F20"/>
          <w:spacing w:val="-13"/>
          <w:w w:val="110"/>
          <w:sz w:val="16"/>
          <w:lang w:val="de-DE"/>
        </w:rPr>
        <w:t xml:space="preserve"> </w:t>
      </w:r>
      <w:r w:rsidRPr="00C507A5">
        <w:rPr>
          <w:color w:val="231F20"/>
          <w:w w:val="110"/>
          <w:sz w:val="16"/>
          <w:lang w:val="de-DE"/>
        </w:rPr>
        <w:t>“Agit</w:t>
      </w:r>
      <w:r w:rsidRPr="00C507A5">
        <w:rPr>
          <w:color w:val="231F20"/>
          <w:spacing w:val="-13"/>
          <w:w w:val="110"/>
          <w:sz w:val="16"/>
          <w:lang w:val="de-DE"/>
        </w:rPr>
        <w:t xml:space="preserve"> </w:t>
      </w:r>
      <w:r w:rsidRPr="00C507A5">
        <w:rPr>
          <w:color w:val="231F20"/>
          <w:spacing w:val="-6"/>
          <w:w w:val="110"/>
          <w:sz w:val="16"/>
          <w:lang w:val="de-DE"/>
        </w:rPr>
        <w:t>883,”</w:t>
      </w:r>
      <w:hyperlink r:id="rId66">
        <w:r w:rsidRPr="00C507A5">
          <w:rPr>
            <w:color w:val="231F20"/>
            <w:spacing w:val="-6"/>
            <w:w w:val="110"/>
            <w:sz w:val="16"/>
            <w:lang w:val="de-DE"/>
          </w:rPr>
          <w:t xml:space="preserve"> </w:t>
        </w:r>
        <w:r w:rsidRPr="00C507A5">
          <w:rPr>
            <w:color w:val="231F20"/>
            <w:w w:val="104"/>
            <w:sz w:val="16"/>
            <w:lang w:val="de-DE"/>
          </w:rPr>
          <w:t>h</w:t>
        </w:r>
        <w:r w:rsidRPr="00C507A5">
          <w:rPr>
            <w:color w:val="231F20"/>
            <w:spacing w:val="5"/>
            <w:w w:val="102"/>
            <w:sz w:val="16"/>
            <w:lang w:val="de-DE"/>
          </w:rPr>
          <w:t>t</w:t>
        </w:r>
        <w:r w:rsidRPr="00C507A5">
          <w:rPr>
            <w:color w:val="231F20"/>
            <w:spacing w:val="3"/>
            <w:w w:val="102"/>
            <w:sz w:val="16"/>
            <w:lang w:val="de-DE"/>
          </w:rPr>
          <w:t>t</w:t>
        </w:r>
        <w:r w:rsidRPr="00C507A5">
          <w:rPr>
            <w:color w:val="231F20"/>
            <w:w w:val="103"/>
            <w:sz w:val="16"/>
            <w:lang w:val="de-DE"/>
          </w:rPr>
          <w:t>p</w:t>
        </w:r>
        <w:r w:rsidRPr="00C507A5">
          <w:rPr>
            <w:color w:val="231F20"/>
            <w:spacing w:val="5"/>
            <w:w w:val="109"/>
            <w:sz w:val="16"/>
            <w:lang w:val="de-DE"/>
          </w:rPr>
          <w:t>:</w:t>
        </w:r>
        <w:r w:rsidRPr="00C507A5">
          <w:rPr>
            <w:color w:val="231F20"/>
            <w:spacing w:val="-1"/>
            <w:w w:val="58"/>
            <w:sz w:val="16"/>
            <w:lang w:val="de-DE"/>
          </w:rPr>
          <w:t>/</w:t>
        </w:r>
        <w:r w:rsidRPr="00C507A5">
          <w:rPr>
            <w:color w:val="231F20"/>
            <w:w w:val="58"/>
            <w:sz w:val="16"/>
            <w:lang w:val="de-DE"/>
          </w:rPr>
          <w:t>/</w:t>
        </w:r>
        <w:r w:rsidRPr="00C507A5">
          <w:rPr>
            <w:color w:val="231F20"/>
            <w:w w:val="103"/>
            <w:sz w:val="16"/>
            <w:lang w:val="de-DE"/>
          </w:rPr>
          <w:t>p</w:t>
        </w:r>
        <w:r w:rsidRPr="00C507A5">
          <w:rPr>
            <w:color w:val="231F20"/>
            <w:w w:val="97"/>
            <w:sz w:val="16"/>
            <w:lang w:val="de-DE"/>
          </w:rPr>
          <w:t>r</w:t>
        </w:r>
        <w:r w:rsidRPr="00C507A5">
          <w:rPr>
            <w:color w:val="231F20"/>
            <w:w w:val="108"/>
            <w:sz w:val="16"/>
            <w:lang w:val="de-DE"/>
          </w:rPr>
          <w:t>oj</w:t>
        </w:r>
        <w:r w:rsidRPr="00C507A5">
          <w:rPr>
            <w:color w:val="231F20"/>
            <w:w w:val="94"/>
            <w:sz w:val="16"/>
            <w:lang w:val="de-DE"/>
          </w:rPr>
          <w:t>e</w:t>
        </w:r>
        <w:r w:rsidRPr="00C507A5">
          <w:rPr>
            <w:color w:val="231F20"/>
            <w:spacing w:val="2"/>
            <w:w w:val="109"/>
            <w:sz w:val="16"/>
            <w:lang w:val="de-DE"/>
          </w:rPr>
          <w:t>k</w:t>
        </w:r>
        <w:r w:rsidRPr="00C507A5">
          <w:rPr>
            <w:color w:val="231F20"/>
            <w:spacing w:val="1"/>
            <w:w w:val="106"/>
            <w:sz w:val="16"/>
            <w:lang w:val="de-DE"/>
          </w:rPr>
          <w:t>te</w:t>
        </w:r>
        <w:r w:rsidRPr="00C507A5">
          <w:rPr>
            <w:color w:val="231F20"/>
            <w:w w:val="106"/>
            <w:sz w:val="16"/>
            <w:lang w:val="de-DE"/>
          </w:rPr>
          <w:t>.</w:t>
        </w:r>
        <w:r w:rsidRPr="00C507A5">
          <w:rPr>
            <w:color w:val="231F20"/>
            <w:spacing w:val="3"/>
            <w:w w:val="114"/>
            <w:sz w:val="16"/>
            <w:lang w:val="de-DE"/>
          </w:rPr>
          <w:t>f</w:t>
        </w:r>
        <w:r w:rsidRPr="00C507A5">
          <w:rPr>
            <w:color w:val="231F20"/>
            <w:w w:val="97"/>
            <w:sz w:val="16"/>
            <w:lang w:val="de-DE"/>
          </w:rPr>
          <w:t>r</w:t>
        </w:r>
        <w:r w:rsidRPr="00C507A5">
          <w:rPr>
            <w:color w:val="231F20"/>
            <w:spacing w:val="2"/>
            <w:w w:val="94"/>
            <w:sz w:val="16"/>
            <w:lang w:val="de-DE"/>
          </w:rPr>
          <w:t>e</w:t>
        </w:r>
        <w:r w:rsidRPr="00C507A5">
          <w:rPr>
            <w:color w:val="231F20"/>
            <w:spacing w:val="1"/>
            <w:w w:val="108"/>
            <w:sz w:val="16"/>
            <w:lang w:val="de-DE"/>
          </w:rPr>
          <w:t>e</w:t>
        </w:r>
        <w:r w:rsidRPr="00C507A5">
          <w:rPr>
            <w:color w:val="231F20"/>
            <w:w w:val="108"/>
            <w:sz w:val="16"/>
            <w:lang w:val="de-DE"/>
          </w:rPr>
          <w:t>.</w:t>
        </w:r>
        <w:r w:rsidRPr="00C507A5">
          <w:rPr>
            <w:color w:val="231F20"/>
            <w:w w:val="103"/>
            <w:sz w:val="16"/>
            <w:lang w:val="de-DE"/>
          </w:rPr>
          <w:t>d</w:t>
        </w:r>
        <w:r w:rsidRPr="00C507A5">
          <w:rPr>
            <w:color w:val="231F20"/>
            <w:spacing w:val="5"/>
            <w:w w:val="94"/>
            <w:sz w:val="16"/>
            <w:lang w:val="de-DE"/>
          </w:rPr>
          <w:t>e</w:t>
        </w:r>
        <w:r w:rsidRPr="00C507A5">
          <w:rPr>
            <w:color w:val="231F20"/>
            <w:spacing w:val="-3"/>
            <w:w w:val="58"/>
            <w:sz w:val="16"/>
            <w:lang w:val="de-DE"/>
          </w:rPr>
          <w:t>/</w:t>
        </w:r>
        <w:r w:rsidRPr="00C507A5">
          <w:rPr>
            <w:color w:val="231F20"/>
            <w:spacing w:val="2"/>
            <w:w w:val="103"/>
            <w:sz w:val="16"/>
            <w:lang w:val="de-DE"/>
          </w:rPr>
          <w:t>d</w:t>
        </w:r>
        <w:r w:rsidRPr="00C507A5">
          <w:rPr>
            <w:color w:val="231F20"/>
            <w:spacing w:val="-1"/>
            <w:w w:val="106"/>
            <w:sz w:val="16"/>
            <w:lang w:val="de-DE"/>
          </w:rPr>
          <w:t>a</w:t>
        </w:r>
        <w:r w:rsidRPr="00C507A5">
          <w:rPr>
            <w:color w:val="231F20"/>
            <w:spacing w:val="2"/>
            <w:w w:val="103"/>
            <w:sz w:val="16"/>
            <w:lang w:val="de-DE"/>
          </w:rPr>
          <w:t>d</w:t>
        </w:r>
        <w:r w:rsidRPr="00C507A5">
          <w:rPr>
            <w:color w:val="231F20"/>
            <w:spacing w:val="6"/>
            <w:w w:val="106"/>
            <w:sz w:val="16"/>
            <w:lang w:val="de-DE"/>
          </w:rPr>
          <w:t>a</w:t>
        </w:r>
        <w:r w:rsidRPr="00C507A5">
          <w:rPr>
            <w:color w:val="231F20"/>
            <w:spacing w:val="-3"/>
            <w:w w:val="58"/>
            <w:sz w:val="16"/>
            <w:lang w:val="de-DE"/>
          </w:rPr>
          <w:t>/</w:t>
        </w:r>
        <w:r w:rsidRPr="00C507A5">
          <w:rPr>
            <w:color w:val="231F20"/>
            <w:spacing w:val="2"/>
            <w:w w:val="103"/>
            <w:sz w:val="16"/>
            <w:lang w:val="de-DE"/>
          </w:rPr>
          <w:t>d</w:t>
        </w:r>
        <w:r w:rsidRPr="00C507A5">
          <w:rPr>
            <w:color w:val="231F20"/>
            <w:spacing w:val="-1"/>
            <w:w w:val="106"/>
            <w:sz w:val="16"/>
            <w:lang w:val="de-DE"/>
          </w:rPr>
          <w:t>a</w:t>
        </w:r>
        <w:r w:rsidRPr="00C507A5">
          <w:rPr>
            <w:color w:val="231F20"/>
            <w:spacing w:val="2"/>
            <w:w w:val="103"/>
            <w:sz w:val="16"/>
            <w:lang w:val="de-DE"/>
          </w:rPr>
          <w:t>d</w:t>
        </w:r>
        <w:r w:rsidRPr="00C507A5">
          <w:rPr>
            <w:color w:val="231F20"/>
            <w:w w:val="106"/>
            <w:sz w:val="16"/>
            <w:lang w:val="de-DE"/>
          </w:rPr>
          <w:t>a</w:t>
        </w:r>
        <w:r w:rsidRPr="00C507A5">
          <w:rPr>
            <w:color w:val="231F20"/>
            <w:w w:val="104"/>
            <w:sz w:val="16"/>
            <w:lang w:val="de-DE"/>
          </w:rPr>
          <w:t>-</w:t>
        </w:r>
        <w:r w:rsidRPr="00C507A5">
          <w:rPr>
            <w:color w:val="231F20"/>
            <w:spacing w:val="2"/>
            <w:w w:val="103"/>
            <w:sz w:val="16"/>
            <w:lang w:val="de-DE"/>
          </w:rPr>
          <w:t>p</w:t>
        </w:r>
        <w:r w:rsidRPr="00C507A5">
          <w:rPr>
            <w:color w:val="231F20"/>
            <w:spacing w:val="10"/>
            <w:w w:val="58"/>
            <w:sz w:val="16"/>
            <w:lang w:val="de-DE"/>
          </w:rPr>
          <w:t>/</w:t>
        </w:r>
        <w:r w:rsidRPr="00C507A5">
          <w:rPr>
            <w:color w:val="231F20"/>
            <w:spacing w:val="-1"/>
            <w:w w:val="101"/>
            <w:sz w:val="16"/>
            <w:lang w:val="de-DE"/>
          </w:rPr>
          <w:t>P</w:t>
        </w:r>
        <w:r w:rsidRPr="00C507A5">
          <w:rPr>
            <w:color w:val="231F20"/>
            <w:spacing w:val="5"/>
            <w:w w:val="104"/>
            <w:sz w:val="16"/>
            <w:lang w:val="de-DE"/>
          </w:rPr>
          <w:t>000</w:t>
        </w:r>
        <w:r w:rsidRPr="00C507A5">
          <w:rPr>
            <w:color w:val="231F20"/>
            <w:spacing w:val="2"/>
            <w:w w:val="104"/>
            <w:sz w:val="16"/>
            <w:lang w:val="de-DE"/>
          </w:rPr>
          <w:t>0</w:t>
        </w:r>
        <w:r w:rsidRPr="00C507A5">
          <w:rPr>
            <w:color w:val="231F20"/>
            <w:spacing w:val="-2"/>
            <w:w w:val="104"/>
            <w:sz w:val="16"/>
            <w:lang w:val="de-DE"/>
          </w:rPr>
          <w:t>92</w:t>
        </w:r>
        <w:r w:rsidRPr="00C507A5">
          <w:rPr>
            <w:color w:val="231F20"/>
            <w:spacing w:val="-3"/>
            <w:w w:val="104"/>
            <w:sz w:val="16"/>
            <w:lang w:val="de-DE"/>
          </w:rPr>
          <w:t>1</w:t>
        </w:r>
        <w:r w:rsidRPr="00C507A5">
          <w:rPr>
            <w:color w:val="231F20"/>
            <w:spacing w:val="5"/>
            <w:w w:val="140"/>
            <w:sz w:val="16"/>
            <w:lang w:val="de-DE"/>
          </w:rPr>
          <w:t>.</w:t>
        </w:r>
        <w:r w:rsidRPr="00C507A5">
          <w:rPr>
            <w:color w:val="231F20"/>
            <w:spacing w:val="7"/>
            <w:w w:val="126"/>
            <w:sz w:val="16"/>
            <w:lang w:val="de-DE"/>
          </w:rPr>
          <w:t>H</w:t>
        </w:r>
        <w:r w:rsidRPr="00C507A5">
          <w:rPr>
            <w:color w:val="231F20"/>
            <w:spacing w:val="5"/>
            <w:w w:val="122"/>
            <w:sz w:val="16"/>
            <w:lang w:val="de-DE"/>
          </w:rPr>
          <w:t>T</w:t>
        </w:r>
        <w:r w:rsidRPr="00C507A5">
          <w:rPr>
            <w:color w:val="231F20"/>
            <w:spacing w:val="3"/>
            <w:w w:val="122"/>
            <w:sz w:val="16"/>
            <w:lang w:val="de-DE"/>
          </w:rPr>
          <w:t>M</w:t>
        </w:r>
        <w:r w:rsidRPr="00C507A5">
          <w:rPr>
            <w:color w:val="231F20"/>
            <w:w w:val="140"/>
            <w:sz w:val="16"/>
            <w:lang w:val="de-DE"/>
          </w:rPr>
          <w:t>.</w:t>
        </w:r>
      </w:hyperlink>
    </w:p>
    <w:p w14:paraId="08C88651" w14:textId="77777777" w:rsidR="002653E8" w:rsidRDefault="003115E3">
      <w:pPr>
        <w:pStyle w:val="a4"/>
        <w:numPr>
          <w:ilvl w:val="0"/>
          <w:numId w:val="173"/>
        </w:numPr>
        <w:tabs>
          <w:tab w:val="left" w:pos="1287"/>
        </w:tabs>
        <w:spacing w:line="254" w:lineRule="auto"/>
        <w:ind w:right="1713" w:firstLine="0"/>
        <w:jc w:val="left"/>
        <w:rPr>
          <w:sz w:val="16"/>
        </w:rPr>
      </w:pPr>
      <w:r>
        <w:rPr>
          <w:color w:val="231F20"/>
          <w:w w:val="105"/>
          <w:sz w:val="16"/>
        </w:rPr>
        <w:t xml:space="preserve">Helen Chapin </w:t>
      </w:r>
      <w:r>
        <w:rPr>
          <w:color w:val="231F20"/>
          <w:spacing w:val="1"/>
          <w:w w:val="105"/>
          <w:sz w:val="16"/>
        </w:rPr>
        <w:t xml:space="preserve">Metz, </w:t>
      </w:r>
      <w:r>
        <w:rPr>
          <w:color w:val="231F20"/>
          <w:w w:val="105"/>
          <w:sz w:val="16"/>
        </w:rPr>
        <w:t xml:space="preserve">Library of Congress Federal Research Division, </w:t>
      </w:r>
      <w:r>
        <w:rPr>
          <w:i/>
          <w:color w:val="231F20"/>
          <w:w w:val="105"/>
          <w:sz w:val="16"/>
        </w:rPr>
        <w:t xml:space="preserve">Israel, a </w:t>
      </w:r>
      <w:r>
        <w:rPr>
          <w:i/>
          <w:color w:val="231F20"/>
          <w:spacing w:val="1"/>
          <w:w w:val="105"/>
          <w:sz w:val="16"/>
        </w:rPr>
        <w:t>Country</w:t>
      </w:r>
      <w:r>
        <w:rPr>
          <w:i/>
          <w:color w:val="231F20"/>
          <w:spacing w:val="13"/>
          <w:w w:val="105"/>
          <w:sz w:val="16"/>
        </w:rPr>
        <w:t xml:space="preserve"> </w:t>
      </w:r>
      <w:r>
        <w:rPr>
          <w:i/>
          <w:color w:val="231F20"/>
          <w:w w:val="105"/>
          <w:sz w:val="16"/>
        </w:rPr>
        <w:t>Study</w:t>
      </w:r>
      <w:r>
        <w:rPr>
          <w:i/>
          <w:color w:val="231F20"/>
          <w:spacing w:val="13"/>
          <w:w w:val="105"/>
          <w:sz w:val="16"/>
        </w:rPr>
        <w:t xml:space="preserve"> </w:t>
      </w:r>
      <w:r>
        <w:rPr>
          <w:color w:val="231F20"/>
          <w:w w:val="105"/>
          <w:sz w:val="16"/>
        </w:rPr>
        <w:t>(Whitefish,</w:t>
      </w:r>
      <w:r>
        <w:rPr>
          <w:color w:val="231F20"/>
          <w:spacing w:val="13"/>
          <w:w w:val="105"/>
          <w:sz w:val="16"/>
        </w:rPr>
        <w:t xml:space="preserve"> </w:t>
      </w:r>
      <w:r>
        <w:rPr>
          <w:color w:val="231F20"/>
          <w:w w:val="105"/>
          <w:sz w:val="16"/>
        </w:rPr>
        <w:t>Montana:</w:t>
      </w:r>
      <w:r>
        <w:rPr>
          <w:color w:val="231F20"/>
          <w:spacing w:val="13"/>
          <w:w w:val="105"/>
          <w:sz w:val="16"/>
        </w:rPr>
        <w:t xml:space="preserve"> </w:t>
      </w:r>
      <w:r>
        <w:rPr>
          <w:color w:val="231F20"/>
          <w:w w:val="105"/>
          <w:sz w:val="16"/>
        </w:rPr>
        <w:t>Keesinger</w:t>
      </w:r>
      <w:r>
        <w:rPr>
          <w:color w:val="231F20"/>
          <w:spacing w:val="13"/>
          <w:w w:val="105"/>
          <w:sz w:val="16"/>
        </w:rPr>
        <w:t xml:space="preserve"> </w:t>
      </w:r>
      <w:r>
        <w:rPr>
          <w:color w:val="231F20"/>
          <w:w w:val="105"/>
          <w:sz w:val="16"/>
        </w:rPr>
        <w:t>publishing</w:t>
      </w:r>
      <w:r>
        <w:rPr>
          <w:color w:val="231F20"/>
          <w:spacing w:val="13"/>
          <w:w w:val="105"/>
          <w:sz w:val="16"/>
        </w:rPr>
        <w:t xml:space="preserve"> </w:t>
      </w:r>
      <w:r>
        <w:rPr>
          <w:color w:val="231F20"/>
          <w:w w:val="105"/>
          <w:sz w:val="16"/>
        </w:rPr>
        <w:t>2004),</w:t>
      </w:r>
      <w:r>
        <w:rPr>
          <w:color w:val="231F20"/>
          <w:spacing w:val="13"/>
          <w:w w:val="105"/>
          <w:sz w:val="16"/>
        </w:rPr>
        <w:t xml:space="preserve"> </w:t>
      </w:r>
      <w:r>
        <w:rPr>
          <w:color w:val="231F20"/>
          <w:spacing w:val="-3"/>
          <w:w w:val="105"/>
          <w:sz w:val="16"/>
        </w:rPr>
        <w:t>110.</w:t>
      </w:r>
    </w:p>
    <w:p w14:paraId="0FD592FE" w14:textId="77777777" w:rsidR="002653E8" w:rsidRDefault="003115E3">
      <w:pPr>
        <w:pStyle w:val="a4"/>
        <w:numPr>
          <w:ilvl w:val="0"/>
          <w:numId w:val="173"/>
        </w:numPr>
        <w:tabs>
          <w:tab w:val="left" w:pos="1287"/>
        </w:tabs>
        <w:spacing w:before="40" w:line="254" w:lineRule="auto"/>
        <w:ind w:right="1791" w:firstLine="0"/>
        <w:jc w:val="left"/>
        <w:rPr>
          <w:sz w:val="16"/>
        </w:rPr>
      </w:pPr>
      <w:r>
        <w:rPr>
          <w:color w:val="231F20"/>
          <w:w w:val="110"/>
          <w:sz w:val="16"/>
        </w:rPr>
        <w:t xml:space="preserve">Cengiz Candar, </w:t>
      </w:r>
      <w:r>
        <w:rPr>
          <w:color w:val="231F20"/>
          <w:spacing w:val="-7"/>
          <w:w w:val="110"/>
          <w:sz w:val="16"/>
        </w:rPr>
        <w:t xml:space="preserve">“A </w:t>
      </w:r>
      <w:r>
        <w:rPr>
          <w:color w:val="231F20"/>
          <w:w w:val="110"/>
          <w:sz w:val="16"/>
        </w:rPr>
        <w:t xml:space="preserve">Turk in the Palestinian Resistance,” </w:t>
      </w:r>
      <w:r>
        <w:rPr>
          <w:i/>
          <w:color w:val="231F20"/>
          <w:w w:val="110"/>
          <w:sz w:val="16"/>
        </w:rPr>
        <w:t xml:space="preserve">Journal of Palestine Studies </w:t>
      </w:r>
      <w:r>
        <w:rPr>
          <w:color w:val="231F20"/>
          <w:w w:val="110"/>
          <w:sz w:val="16"/>
        </w:rPr>
        <w:t>30, no. 1. (Autumn, 2000):</w:t>
      </w:r>
      <w:r>
        <w:rPr>
          <w:color w:val="231F20"/>
          <w:spacing w:val="35"/>
          <w:w w:val="110"/>
          <w:sz w:val="16"/>
        </w:rPr>
        <w:t xml:space="preserve"> </w:t>
      </w:r>
      <w:r>
        <w:rPr>
          <w:color w:val="231F20"/>
          <w:w w:val="110"/>
          <w:sz w:val="16"/>
        </w:rPr>
        <w:t>68-82.</w:t>
      </w:r>
    </w:p>
    <w:p w14:paraId="0F74CB48" w14:textId="77777777" w:rsidR="002653E8" w:rsidRDefault="002653E8">
      <w:pPr>
        <w:spacing w:line="254" w:lineRule="auto"/>
        <w:rPr>
          <w:sz w:val="16"/>
        </w:rPr>
        <w:sectPr w:rsidR="002653E8">
          <w:pgSz w:w="8640" w:h="12960"/>
          <w:pgMar w:top="1060" w:right="0" w:bottom="1040" w:left="0" w:header="0" w:footer="850" w:gutter="0"/>
          <w:cols w:space="720"/>
        </w:sectPr>
      </w:pPr>
    </w:p>
    <w:p w14:paraId="0EA734B1" w14:textId="77777777" w:rsidR="002653E8" w:rsidRDefault="003115E3">
      <w:pPr>
        <w:pStyle w:val="a3"/>
        <w:spacing w:before="86" w:line="264" w:lineRule="auto"/>
        <w:ind w:left="1327" w:right="1145"/>
        <w:jc w:val="both"/>
        <w:rPr>
          <w:sz w:val="11"/>
        </w:rPr>
      </w:pPr>
      <w:r>
        <w:rPr>
          <w:color w:val="231F20"/>
        </w:rPr>
        <w:lastRenderedPageBreak/>
        <w:t xml:space="preserve">alongside the Palestinians—there were also Maoists, socialists, and aspiring guerillas from France, Denmark, Sweden, and, of course, </w:t>
      </w:r>
      <w:r>
        <w:rPr>
          <w:color w:val="231F20"/>
          <w:spacing w:val="-3"/>
        </w:rPr>
        <w:t xml:space="preserve">West </w:t>
      </w:r>
      <w:r>
        <w:rPr>
          <w:color w:val="231F20"/>
        </w:rPr>
        <w:t xml:space="preserve">Germany. (It would be claimed that members of the Roaming Hash Rebels scene had already received training from the Palestinians, and Baumann has pointed to this as a turning point in its transformation into a guerilla underground.) </w:t>
      </w:r>
      <w:r>
        <w:rPr>
          <w:color w:val="231F20"/>
          <w:position w:val="7"/>
          <w:sz w:val="11"/>
        </w:rPr>
        <w:t>4</w:t>
      </w:r>
    </w:p>
    <w:p w14:paraId="3F9D323B" w14:textId="77777777" w:rsidR="002653E8" w:rsidRDefault="003115E3">
      <w:pPr>
        <w:pStyle w:val="a3"/>
        <w:spacing w:line="264" w:lineRule="auto"/>
        <w:ind w:left="1327" w:right="1146" w:firstLine="210"/>
        <w:jc w:val="both"/>
        <w:rPr>
          <w:sz w:val="11"/>
        </w:rPr>
      </w:pPr>
      <w:r>
        <w:rPr>
          <w:color w:val="231F20"/>
        </w:rPr>
        <w:t xml:space="preserve">Even during their Middle Eastern sojourn, the </w:t>
      </w:r>
      <w:r w:rsidR="00C507A5">
        <w:rPr>
          <w:color w:val="231F20"/>
          <w:spacing w:val="5"/>
        </w:rPr>
        <w:t>red army faction</w:t>
      </w:r>
      <w:r>
        <w:rPr>
          <w:color w:val="231F20"/>
          <w:spacing w:val="5"/>
        </w:rPr>
        <w:t xml:space="preserve"> </w:t>
      </w:r>
      <w:r>
        <w:rPr>
          <w:color w:val="231F20"/>
        </w:rPr>
        <w:t>continued to  make headlines in Germany, Horst Mahler sending a photo of himself waving a gun and dressed like a fedayeen to a radical newspaper with the message, “Best wishes to your readers from the land of A Thousand and One</w:t>
      </w:r>
      <w:r>
        <w:rPr>
          <w:color w:val="231F20"/>
          <w:spacing w:val="23"/>
        </w:rPr>
        <w:t xml:space="preserve"> </w:t>
      </w:r>
      <w:r>
        <w:rPr>
          <w:color w:val="231F20"/>
        </w:rPr>
        <w:t>Nights!”</w:t>
      </w:r>
      <w:r>
        <w:rPr>
          <w:color w:val="231F20"/>
          <w:position w:val="7"/>
          <w:sz w:val="11"/>
        </w:rPr>
        <w:t>5</w:t>
      </w:r>
    </w:p>
    <w:p w14:paraId="0C9CE9AA" w14:textId="77777777" w:rsidR="002653E8" w:rsidRDefault="003115E3">
      <w:pPr>
        <w:pStyle w:val="a3"/>
        <w:spacing w:line="264" w:lineRule="auto"/>
        <w:ind w:left="1327" w:right="1145" w:firstLine="210"/>
        <w:jc w:val="both"/>
      </w:pPr>
      <w:r>
        <w:rPr>
          <w:color w:val="231F20"/>
        </w:rPr>
        <w:t xml:space="preserve">Juvenile theatrics aside, this trip signaled the very public beginning  of an aspect of the </w:t>
      </w:r>
      <w:r w:rsidR="00C507A5">
        <w:rPr>
          <w:color w:val="231F20"/>
          <w:spacing w:val="5"/>
        </w:rPr>
        <w:t>red army faction</w:t>
      </w:r>
      <w:r>
        <w:rPr>
          <w:color w:val="231F20"/>
          <w:spacing w:val="5"/>
        </w:rPr>
        <w:t xml:space="preserve"> </w:t>
      </w:r>
      <w:r>
        <w:rPr>
          <w:color w:val="231F20"/>
        </w:rPr>
        <w:t>which would bedevil the police, namely, their proficient use of foreign countries as rear base areas. As has been discussed</w:t>
      </w:r>
      <w:r>
        <w:rPr>
          <w:color w:val="231F20"/>
          <w:spacing w:val="10"/>
        </w:rPr>
        <w:t xml:space="preserve"> </w:t>
      </w:r>
      <w:r>
        <w:rPr>
          <w:color w:val="231F20"/>
        </w:rPr>
        <w:t>elsewhere:</w:t>
      </w:r>
    </w:p>
    <w:p w14:paraId="7ABCC545" w14:textId="77777777" w:rsidR="002653E8" w:rsidRDefault="003115E3">
      <w:pPr>
        <w:spacing w:before="113" w:line="276" w:lineRule="auto"/>
        <w:ind w:left="1747" w:right="1558"/>
        <w:jc w:val="both"/>
        <w:rPr>
          <w:i/>
          <w:sz w:val="11"/>
        </w:rPr>
      </w:pPr>
      <w:r>
        <w:rPr>
          <w:i/>
          <w:color w:val="231F20"/>
          <w:sz w:val="19"/>
        </w:rPr>
        <w:t>Rear base areas are little discussed, but  essential  to  guerillas.  This is something precise: a large area or territory, bordering on the main battle zone, where the other side cannot freely operate. Either for reasons of remoteness or impenetrable mountain ranges, or because it crosses political</w:t>
      </w:r>
      <w:r>
        <w:rPr>
          <w:i/>
          <w:color w:val="231F20"/>
          <w:spacing w:val="16"/>
          <w:sz w:val="19"/>
        </w:rPr>
        <w:t xml:space="preserve"> </w:t>
      </w:r>
      <w:r>
        <w:rPr>
          <w:i/>
          <w:color w:val="231F20"/>
          <w:sz w:val="19"/>
        </w:rPr>
        <w:t>boundaries.</w:t>
      </w:r>
      <w:r>
        <w:rPr>
          <w:i/>
          <w:color w:val="231F20"/>
          <w:position w:val="6"/>
          <w:sz w:val="11"/>
        </w:rPr>
        <w:t>6</w:t>
      </w:r>
    </w:p>
    <w:p w14:paraId="36E8CFD8" w14:textId="77777777" w:rsidR="002653E8" w:rsidRDefault="003115E3">
      <w:pPr>
        <w:pStyle w:val="a3"/>
        <w:spacing w:before="131" w:line="264" w:lineRule="auto"/>
        <w:ind w:left="1327" w:right="1146"/>
        <w:jc w:val="both"/>
      </w:pPr>
      <w:r>
        <w:rPr>
          <w:color w:val="231F20"/>
        </w:rPr>
        <w:t xml:space="preserve">The </w:t>
      </w:r>
      <w:r w:rsidR="00C507A5">
        <w:rPr>
          <w:color w:val="231F20"/>
          <w:spacing w:val="5"/>
        </w:rPr>
        <w:t>red army faction</w:t>
      </w:r>
      <w:r>
        <w:rPr>
          <w:color w:val="231F20"/>
          <w:spacing w:val="5"/>
        </w:rPr>
        <w:t xml:space="preserve"> </w:t>
      </w:r>
      <w:r>
        <w:rPr>
          <w:color w:val="231F20"/>
        </w:rPr>
        <w:t xml:space="preserve">would make extensive use of various Arab countries as rear base areas throughout their existence, places where one could go not only to train, but also to hide when Europe got too </w:t>
      </w:r>
      <w:r>
        <w:rPr>
          <w:color w:val="231F20"/>
          <w:spacing w:val="-4"/>
        </w:rPr>
        <w:t xml:space="preserve">“hot.” </w:t>
      </w:r>
      <w:r>
        <w:rPr>
          <w:color w:val="231F20"/>
        </w:rPr>
        <w:t xml:space="preserve">During the </w:t>
      </w:r>
      <w:r>
        <w:rPr>
          <w:color w:val="231F20"/>
          <w:spacing w:val="-3"/>
        </w:rPr>
        <w:t xml:space="preserve">1970s </w:t>
      </w:r>
      <w:r>
        <w:rPr>
          <w:color w:val="231F20"/>
        </w:rPr>
        <w:t xml:space="preserve">at least, it does not seem to have been the governments of these countries which provided the group with aid and succor, but rather various revolutionary Palestinian organizations which were deeply rooted in the refugee populations throughout the region. </w:t>
      </w:r>
      <w:r>
        <w:rPr>
          <w:color w:val="231F20"/>
          <w:spacing w:val="1"/>
        </w:rPr>
        <w:t xml:space="preserve">In </w:t>
      </w:r>
      <w:r>
        <w:rPr>
          <w:color w:val="231F20"/>
        </w:rPr>
        <w:t xml:space="preserve">this </w:t>
      </w:r>
      <w:r>
        <w:rPr>
          <w:color w:val="231F20"/>
          <w:spacing w:val="-5"/>
        </w:rPr>
        <w:t xml:space="preserve">way,     </w:t>
      </w:r>
      <w:r>
        <w:rPr>
          <w:color w:val="231F20"/>
        </w:rPr>
        <w:t xml:space="preserve">in the years following the Palestinians’ defeat at the hands of </w:t>
      </w:r>
      <w:r>
        <w:rPr>
          <w:color w:val="231F20"/>
          <w:spacing w:val="-3"/>
        </w:rPr>
        <w:t xml:space="preserve">Jordan’s </w:t>
      </w:r>
      <w:r>
        <w:rPr>
          <w:color w:val="231F20"/>
        </w:rPr>
        <w:t xml:space="preserve">armed forces in </w:t>
      </w:r>
      <w:r>
        <w:rPr>
          <w:color w:val="231F20"/>
          <w:spacing w:val="-3"/>
        </w:rPr>
        <w:t xml:space="preserve">1970,  </w:t>
      </w:r>
      <w:r>
        <w:rPr>
          <w:color w:val="231F20"/>
        </w:rPr>
        <w:t xml:space="preserve">Lebanon and the </w:t>
      </w:r>
      <w:r>
        <w:rPr>
          <w:color w:val="231F20"/>
          <w:spacing w:val="-3"/>
        </w:rPr>
        <w:t xml:space="preserve">People’s  </w:t>
      </w:r>
      <w:r>
        <w:rPr>
          <w:color w:val="231F20"/>
        </w:rPr>
        <w:t xml:space="preserve">Democratic Republic  of </w:t>
      </w:r>
      <w:r>
        <w:rPr>
          <w:color w:val="231F20"/>
          <w:spacing w:val="-3"/>
        </w:rPr>
        <w:t xml:space="preserve">yemen </w:t>
      </w:r>
      <w:r>
        <w:rPr>
          <w:color w:val="231F20"/>
        </w:rPr>
        <w:t xml:space="preserve">emerged as homes </w:t>
      </w:r>
      <w:r>
        <w:rPr>
          <w:color w:val="231F20"/>
          <w:spacing w:val="-3"/>
        </w:rPr>
        <w:t xml:space="preserve">away </w:t>
      </w:r>
      <w:r>
        <w:rPr>
          <w:color w:val="231F20"/>
        </w:rPr>
        <w:t xml:space="preserve">from home for more than one </w:t>
      </w:r>
      <w:r>
        <w:rPr>
          <w:color w:val="231F20"/>
          <w:spacing w:val="-3"/>
        </w:rPr>
        <w:t xml:space="preserve">West </w:t>
      </w:r>
      <w:r>
        <w:rPr>
          <w:color w:val="231F20"/>
        </w:rPr>
        <w:t>German</w:t>
      </w:r>
      <w:r>
        <w:rPr>
          <w:color w:val="231F20"/>
          <w:spacing w:val="10"/>
        </w:rPr>
        <w:t xml:space="preserve"> </w:t>
      </w:r>
      <w:r>
        <w:rPr>
          <w:color w:val="231F20"/>
        </w:rPr>
        <w:t>revolutionary.</w:t>
      </w:r>
    </w:p>
    <w:p w14:paraId="1C7A5AFA" w14:textId="77777777" w:rsidR="002653E8" w:rsidRDefault="002653E8">
      <w:pPr>
        <w:pStyle w:val="a3"/>
      </w:pPr>
    </w:p>
    <w:p w14:paraId="1D00E391" w14:textId="77777777" w:rsidR="002653E8" w:rsidRDefault="00000000">
      <w:pPr>
        <w:pStyle w:val="a3"/>
        <w:spacing w:before="3"/>
        <w:rPr>
          <w:sz w:val="17"/>
        </w:rPr>
      </w:pPr>
      <w:r>
        <w:rPr>
          <w:noProof w:val="0"/>
        </w:rPr>
        <w:pict w14:anchorId="257A0610">
          <v:line id="_x0000_s2638" style="position:absolute;z-index:2800;mso-wrap-distance-left:0;mso-wrap-distance-right:0;mso-position-horizontal-relative:page" from="66.4pt,12.3pt" to="138.4pt,12.3pt" strokecolor="#231f20" strokeweight=".5pt">
            <w10:wrap type="topAndBottom" anchorx="page"/>
          </v:line>
        </w:pict>
      </w:r>
    </w:p>
    <w:p w14:paraId="4626F4BD" w14:textId="77777777" w:rsidR="002653E8" w:rsidRDefault="003115E3">
      <w:pPr>
        <w:pStyle w:val="a4"/>
        <w:numPr>
          <w:ilvl w:val="0"/>
          <w:numId w:val="173"/>
        </w:numPr>
        <w:tabs>
          <w:tab w:val="left" w:pos="1467"/>
        </w:tabs>
        <w:spacing w:before="53" w:line="254" w:lineRule="auto"/>
        <w:ind w:left="1327" w:right="1412" w:firstLine="0"/>
        <w:jc w:val="left"/>
        <w:rPr>
          <w:sz w:val="16"/>
        </w:rPr>
      </w:pPr>
      <w:r>
        <w:rPr>
          <w:color w:val="231F20"/>
          <w:spacing w:val="1"/>
          <w:w w:val="105"/>
          <w:sz w:val="16"/>
        </w:rPr>
        <w:t xml:space="preserve">Baumann, </w:t>
      </w:r>
      <w:r>
        <w:rPr>
          <w:color w:val="231F20"/>
          <w:w w:val="105"/>
          <w:sz w:val="16"/>
        </w:rPr>
        <w:t xml:space="preserve">59: “There was a split when people got back from Palestine. The Palestinian faction said, ‘things don’t make sense the way they’re going </w:t>
      </w:r>
      <w:r>
        <w:rPr>
          <w:color w:val="231F20"/>
          <w:spacing w:val="-3"/>
          <w:w w:val="105"/>
          <w:sz w:val="16"/>
        </w:rPr>
        <w:t xml:space="preserve">now. </w:t>
      </w:r>
      <w:r>
        <w:rPr>
          <w:color w:val="231F20"/>
          <w:spacing w:val="-4"/>
          <w:w w:val="105"/>
          <w:sz w:val="16"/>
        </w:rPr>
        <w:t xml:space="preserve">We </w:t>
      </w:r>
      <w:r>
        <w:rPr>
          <w:color w:val="231F20"/>
          <w:w w:val="105"/>
          <w:sz w:val="16"/>
        </w:rPr>
        <w:t xml:space="preserve">have to really </w:t>
      </w:r>
      <w:r>
        <w:rPr>
          <w:color w:val="231F20"/>
          <w:spacing w:val="1"/>
          <w:w w:val="105"/>
          <w:sz w:val="16"/>
        </w:rPr>
        <w:t xml:space="preserve">start </w:t>
      </w:r>
      <w:r>
        <w:rPr>
          <w:color w:val="231F20"/>
          <w:w w:val="105"/>
          <w:sz w:val="16"/>
        </w:rPr>
        <w:t>with the armed struggle.’ That meant giving up the Blues, the whole broad open</w:t>
      </w:r>
      <w:r>
        <w:rPr>
          <w:color w:val="231F20"/>
          <w:spacing w:val="23"/>
          <w:w w:val="105"/>
          <w:sz w:val="16"/>
        </w:rPr>
        <w:t xml:space="preserve"> </w:t>
      </w:r>
      <w:r>
        <w:rPr>
          <w:color w:val="231F20"/>
          <w:w w:val="105"/>
          <w:sz w:val="16"/>
        </w:rPr>
        <w:t>scene.”</w:t>
      </w:r>
    </w:p>
    <w:p w14:paraId="5F87BFF0" w14:textId="77777777" w:rsidR="002653E8" w:rsidRDefault="003115E3">
      <w:pPr>
        <w:pStyle w:val="a4"/>
        <w:numPr>
          <w:ilvl w:val="0"/>
          <w:numId w:val="173"/>
        </w:numPr>
        <w:tabs>
          <w:tab w:val="left" w:pos="1467"/>
        </w:tabs>
        <w:ind w:left="1466"/>
        <w:jc w:val="left"/>
        <w:rPr>
          <w:sz w:val="16"/>
        </w:rPr>
      </w:pPr>
      <w:r>
        <w:rPr>
          <w:color w:val="231F20"/>
          <w:w w:val="110"/>
          <w:sz w:val="16"/>
        </w:rPr>
        <w:t>Ascherson, “Leftists</w:t>
      </w:r>
      <w:r>
        <w:rPr>
          <w:color w:val="231F20"/>
          <w:spacing w:val="11"/>
          <w:w w:val="110"/>
          <w:sz w:val="16"/>
        </w:rPr>
        <w:t xml:space="preserve"> </w:t>
      </w:r>
      <w:r>
        <w:rPr>
          <w:color w:val="231F20"/>
          <w:w w:val="110"/>
          <w:sz w:val="16"/>
        </w:rPr>
        <w:t>Disturbed.”</w:t>
      </w:r>
    </w:p>
    <w:p w14:paraId="75DB4CC0" w14:textId="77777777" w:rsidR="002653E8" w:rsidRDefault="003115E3">
      <w:pPr>
        <w:pStyle w:val="a4"/>
        <w:numPr>
          <w:ilvl w:val="0"/>
          <w:numId w:val="173"/>
        </w:numPr>
        <w:tabs>
          <w:tab w:val="left" w:pos="1467"/>
        </w:tabs>
        <w:spacing w:before="52"/>
        <w:ind w:left="1466"/>
        <w:jc w:val="left"/>
        <w:rPr>
          <w:i/>
          <w:sz w:val="16"/>
        </w:rPr>
      </w:pPr>
      <w:r>
        <w:rPr>
          <w:color w:val="231F20"/>
          <w:w w:val="110"/>
          <w:sz w:val="16"/>
        </w:rPr>
        <w:t>Butch</w:t>
      </w:r>
      <w:r>
        <w:rPr>
          <w:color w:val="231F20"/>
          <w:spacing w:val="7"/>
          <w:w w:val="110"/>
          <w:sz w:val="16"/>
        </w:rPr>
        <w:t xml:space="preserve"> </w:t>
      </w:r>
      <w:r>
        <w:rPr>
          <w:color w:val="231F20"/>
          <w:spacing w:val="1"/>
          <w:w w:val="110"/>
          <w:sz w:val="16"/>
        </w:rPr>
        <w:t>Lee,</w:t>
      </w:r>
      <w:r>
        <w:rPr>
          <w:color w:val="231F20"/>
          <w:spacing w:val="7"/>
          <w:w w:val="110"/>
          <w:sz w:val="16"/>
        </w:rPr>
        <w:t xml:space="preserve"> </w:t>
      </w:r>
      <w:r>
        <w:rPr>
          <w:i/>
          <w:color w:val="231F20"/>
          <w:w w:val="110"/>
          <w:sz w:val="16"/>
        </w:rPr>
        <w:t>Jailbreak</w:t>
      </w:r>
      <w:r>
        <w:rPr>
          <w:i/>
          <w:color w:val="231F20"/>
          <w:spacing w:val="7"/>
          <w:w w:val="110"/>
          <w:sz w:val="16"/>
        </w:rPr>
        <w:t xml:space="preserve"> </w:t>
      </w:r>
      <w:r>
        <w:rPr>
          <w:i/>
          <w:color w:val="231F20"/>
          <w:w w:val="110"/>
          <w:sz w:val="16"/>
        </w:rPr>
        <w:t>Out</w:t>
      </w:r>
      <w:r>
        <w:rPr>
          <w:i/>
          <w:color w:val="231F20"/>
          <w:spacing w:val="7"/>
          <w:w w:val="110"/>
          <w:sz w:val="16"/>
        </w:rPr>
        <w:t xml:space="preserve"> </w:t>
      </w:r>
      <w:r>
        <w:rPr>
          <w:i/>
          <w:color w:val="231F20"/>
          <w:w w:val="110"/>
          <w:sz w:val="16"/>
        </w:rPr>
        <w:t>Of</w:t>
      </w:r>
      <w:r>
        <w:rPr>
          <w:i/>
          <w:color w:val="231F20"/>
          <w:spacing w:val="7"/>
          <w:w w:val="110"/>
          <w:sz w:val="16"/>
        </w:rPr>
        <w:t xml:space="preserve"> </w:t>
      </w:r>
      <w:r>
        <w:rPr>
          <w:i/>
          <w:color w:val="231F20"/>
          <w:w w:val="110"/>
          <w:sz w:val="16"/>
        </w:rPr>
        <w:t>History:</w:t>
      </w:r>
      <w:r>
        <w:rPr>
          <w:i/>
          <w:color w:val="231F20"/>
          <w:spacing w:val="7"/>
          <w:w w:val="110"/>
          <w:sz w:val="16"/>
        </w:rPr>
        <w:t xml:space="preserve"> </w:t>
      </w:r>
      <w:r>
        <w:rPr>
          <w:i/>
          <w:color w:val="231F20"/>
          <w:w w:val="110"/>
          <w:sz w:val="16"/>
        </w:rPr>
        <w:t>The</w:t>
      </w:r>
      <w:r>
        <w:rPr>
          <w:i/>
          <w:color w:val="231F20"/>
          <w:spacing w:val="7"/>
          <w:w w:val="110"/>
          <w:sz w:val="16"/>
        </w:rPr>
        <w:t xml:space="preserve"> </w:t>
      </w:r>
      <w:r>
        <w:rPr>
          <w:i/>
          <w:color w:val="231F20"/>
          <w:w w:val="110"/>
          <w:sz w:val="16"/>
        </w:rPr>
        <w:t>Re-Biography</w:t>
      </w:r>
      <w:r>
        <w:rPr>
          <w:i/>
          <w:color w:val="231F20"/>
          <w:spacing w:val="7"/>
          <w:w w:val="110"/>
          <w:sz w:val="16"/>
        </w:rPr>
        <w:t xml:space="preserve"> </w:t>
      </w:r>
      <w:r>
        <w:rPr>
          <w:i/>
          <w:color w:val="231F20"/>
          <w:w w:val="110"/>
          <w:sz w:val="16"/>
        </w:rPr>
        <w:t>of</w:t>
      </w:r>
      <w:r>
        <w:rPr>
          <w:i/>
          <w:color w:val="231F20"/>
          <w:spacing w:val="7"/>
          <w:w w:val="110"/>
          <w:sz w:val="16"/>
        </w:rPr>
        <w:t xml:space="preserve"> </w:t>
      </w:r>
      <w:r>
        <w:rPr>
          <w:i/>
          <w:color w:val="231F20"/>
          <w:spacing w:val="1"/>
          <w:w w:val="110"/>
          <w:sz w:val="16"/>
        </w:rPr>
        <w:t>Harriet</w:t>
      </w:r>
      <w:r>
        <w:rPr>
          <w:i/>
          <w:color w:val="231F20"/>
          <w:spacing w:val="7"/>
          <w:w w:val="110"/>
          <w:sz w:val="16"/>
        </w:rPr>
        <w:t xml:space="preserve"> </w:t>
      </w:r>
      <w:r>
        <w:rPr>
          <w:i/>
          <w:color w:val="231F20"/>
          <w:w w:val="110"/>
          <w:sz w:val="16"/>
        </w:rPr>
        <w:t>Tubman</w:t>
      </w:r>
    </w:p>
    <w:p w14:paraId="791C5789" w14:textId="77777777" w:rsidR="002653E8" w:rsidRDefault="003115E3">
      <w:pPr>
        <w:spacing w:before="12"/>
        <w:ind w:left="1327"/>
        <w:rPr>
          <w:sz w:val="16"/>
        </w:rPr>
      </w:pPr>
      <w:r>
        <w:rPr>
          <w:color w:val="231F20"/>
          <w:w w:val="105"/>
          <w:sz w:val="16"/>
        </w:rPr>
        <w:t>(Montreal: Kersplebedeb Publishing, 2000), 25.</w:t>
      </w:r>
    </w:p>
    <w:p w14:paraId="4F57114A" w14:textId="77777777" w:rsidR="002653E8" w:rsidRDefault="002653E8">
      <w:pPr>
        <w:rPr>
          <w:sz w:val="16"/>
        </w:rPr>
        <w:sectPr w:rsidR="002653E8">
          <w:pgSz w:w="8640" w:h="12960"/>
          <w:pgMar w:top="1060" w:right="0" w:bottom="1040" w:left="0" w:header="0" w:footer="850" w:gutter="0"/>
          <w:cols w:space="720"/>
        </w:sectPr>
      </w:pPr>
    </w:p>
    <w:p w14:paraId="5A3F1AB9" w14:textId="77777777" w:rsidR="002653E8" w:rsidRDefault="003115E3">
      <w:pPr>
        <w:pStyle w:val="a3"/>
        <w:spacing w:before="86" w:line="264" w:lineRule="auto"/>
        <w:ind w:left="1147" w:right="1317" w:firstLine="210"/>
        <w:jc w:val="both"/>
      </w:pPr>
      <w:r>
        <w:rPr>
          <w:color w:val="231F20"/>
        </w:rPr>
        <w:lastRenderedPageBreak/>
        <w:t xml:space="preserve">Another source of foreign support, of course, was the “communist” German Democratic Republic—East Germany—from which the </w:t>
      </w:r>
      <w:r w:rsidR="00C507A5">
        <w:rPr>
          <w:color w:val="231F20"/>
          <w:spacing w:val="6"/>
        </w:rPr>
        <w:t>red army faction</w:t>
      </w:r>
      <w:r>
        <w:rPr>
          <w:color w:val="231F20"/>
          <w:spacing w:val="6"/>
        </w:rPr>
        <w:t xml:space="preserve"> </w:t>
      </w:r>
      <w:r>
        <w:rPr>
          <w:color w:val="231F20"/>
        </w:rPr>
        <w:t>and</w:t>
      </w:r>
      <w:r>
        <w:rPr>
          <w:color w:val="231F20"/>
          <w:spacing w:val="-6"/>
        </w:rPr>
        <w:t xml:space="preserve"> </w:t>
      </w:r>
      <w:r>
        <w:rPr>
          <w:color w:val="231F20"/>
        </w:rPr>
        <w:t>other</w:t>
      </w:r>
      <w:r>
        <w:rPr>
          <w:color w:val="231F20"/>
          <w:spacing w:val="-6"/>
        </w:rPr>
        <w:t xml:space="preserve"> </w:t>
      </w:r>
      <w:r>
        <w:rPr>
          <w:color w:val="231F20"/>
        </w:rPr>
        <w:t>guerilla</w:t>
      </w:r>
      <w:r>
        <w:rPr>
          <w:color w:val="231F20"/>
          <w:spacing w:val="-6"/>
        </w:rPr>
        <w:t xml:space="preserve"> </w:t>
      </w:r>
      <w:r>
        <w:rPr>
          <w:color w:val="231F20"/>
        </w:rPr>
        <w:t>groups</w:t>
      </w:r>
      <w:r>
        <w:rPr>
          <w:color w:val="231F20"/>
          <w:spacing w:val="-6"/>
        </w:rPr>
        <w:t xml:space="preserve"> </w:t>
      </w:r>
      <w:r>
        <w:rPr>
          <w:color w:val="231F20"/>
        </w:rPr>
        <w:t>would</w:t>
      </w:r>
      <w:r>
        <w:rPr>
          <w:color w:val="231F20"/>
          <w:spacing w:val="-6"/>
        </w:rPr>
        <w:t xml:space="preserve"> </w:t>
      </w:r>
      <w:r>
        <w:rPr>
          <w:color w:val="231F20"/>
        </w:rPr>
        <w:t>receive</w:t>
      </w:r>
      <w:r>
        <w:rPr>
          <w:color w:val="231F20"/>
          <w:spacing w:val="-6"/>
        </w:rPr>
        <w:t xml:space="preserve"> </w:t>
      </w:r>
      <w:r>
        <w:rPr>
          <w:color w:val="231F20"/>
        </w:rPr>
        <w:t>various</w:t>
      </w:r>
      <w:r>
        <w:rPr>
          <w:color w:val="231F20"/>
          <w:spacing w:val="-6"/>
        </w:rPr>
        <w:t xml:space="preserve"> </w:t>
      </w:r>
      <w:r>
        <w:rPr>
          <w:color w:val="231F20"/>
        </w:rPr>
        <w:t>forms</w:t>
      </w:r>
      <w:r>
        <w:rPr>
          <w:color w:val="231F20"/>
          <w:spacing w:val="-6"/>
        </w:rPr>
        <w:t xml:space="preserve"> </w:t>
      </w:r>
      <w:r>
        <w:rPr>
          <w:color w:val="231F20"/>
        </w:rPr>
        <w:t>of</w:t>
      </w:r>
      <w:r>
        <w:rPr>
          <w:color w:val="231F20"/>
          <w:spacing w:val="-6"/>
        </w:rPr>
        <w:t xml:space="preserve"> </w:t>
      </w:r>
      <w:r>
        <w:rPr>
          <w:color w:val="231F20"/>
        </w:rPr>
        <w:t>assistance</w:t>
      </w:r>
      <w:r>
        <w:rPr>
          <w:color w:val="231F20"/>
          <w:spacing w:val="-6"/>
        </w:rPr>
        <w:t xml:space="preserve"> </w:t>
      </w:r>
      <w:r>
        <w:rPr>
          <w:color w:val="231F20"/>
        </w:rPr>
        <w:t xml:space="preserve">over the years. As far as the </w:t>
      </w:r>
      <w:r w:rsidR="00C507A5">
        <w:rPr>
          <w:color w:val="231F20"/>
          <w:spacing w:val="5"/>
        </w:rPr>
        <w:t>red army faction</w:t>
      </w:r>
      <w:r>
        <w:rPr>
          <w:color w:val="231F20"/>
          <w:spacing w:val="5"/>
        </w:rPr>
        <w:t xml:space="preserve"> </w:t>
      </w:r>
      <w:r>
        <w:rPr>
          <w:color w:val="231F20"/>
        </w:rPr>
        <w:t>is concerned, it is unclear exactly how or when this relationship began. Certainly if it existed in the early seventies, this was very secret, and indeed unimagined on the radical left, for which the “other” German state remained a corrupt and authoritarian regime, alternately “Stalinist” or “revisionist,” but in any case one from which little good could</w:t>
      </w:r>
      <w:r>
        <w:rPr>
          <w:color w:val="231F20"/>
          <w:spacing w:val="1"/>
        </w:rPr>
        <w:t xml:space="preserve"> </w:t>
      </w:r>
      <w:r>
        <w:rPr>
          <w:color w:val="231F20"/>
        </w:rPr>
        <w:t>come.</w:t>
      </w:r>
    </w:p>
    <w:p w14:paraId="41F1190D" w14:textId="77777777" w:rsidR="002653E8" w:rsidRDefault="003115E3">
      <w:pPr>
        <w:pStyle w:val="a3"/>
        <w:spacing w:line="264" w:lineRule="auto"/>
        <w:ind w:left="1148" w:right="1325" w:firstLine="209"/>
        <w:jc w:val="both"/>
        <w:rPr>
          <w:sz w:val="11"/>
        </w:rPr>
      </w:pPr>
      <w:r>
        <w:rPr>
          <w:color w:val="231F20"/>
        </w:rPr>
        <w:t xml:space="preserve">And yet it is known that, as early as </w:t>
      </w:r>
      <w:r>
        <w:rPr>
          <w:color w:val="231F20"/>
          <w:spacing w:val="-3"/>
        </w:rPr>
        <w:t xml:space="preserve">1970, </w:t>
      </w:r>
      <w:r>
        <w:rPr>
          <w:color w:val="231F20"/>
        </w:rPr>
        <w:t>the GDR did choose to knowingly allow the guerilla to pass through its territory, for instance on flights to and from the Middle East. After the first trip to Jordan,         it even detained one member—Hans-Jürgen Bäcker—and questioned him about the underground for twenty-four hours, but then released him.</w:t>
      </w:r>
      <w:r>
        <w:rPr>
          <w:color w:val="231F20"/>
          <w:position w:val="7"/>
          <w:sz w:val="11"/>
        </w:rPr>
        <w:t xml:space="preserve">1  </w:t>
      </w:r>
      <w:r>
        <w:rPr>
          <w:color w:val="231F20"/>
        </w:rPr>
        <w:t xml:space="preserve">Clearly, by the end of the decade, this policy had been extended   to provide other sorts of assistance. It has also been claimed that even  at the time of the </w:t>
      </w:r>
      <w:r>
        <w:rPr>
          <w:color w:val="231F20"/>
          <w:spacing w:val="-4"/>
        </w:rPr>
        <w:t xml:space="preserve">1970 </w:t>
      </w:r>
      <w:r>
        <w:rPr>
          <w:color w:val="231F20"/>
        </w:rPr>
        <w:t xml:space="preserve">training expedition, there were plans to relocate Meinhof’s </w:t>
      </w:r>
      <w:r>
        <w:rPr>
          <w:color w:val="231F20"/>
          <w:spacing w:val="1"/>
        </w:rPr>
        <w:t xml:space="preserve">twin </w:t>
      </w:r>
      <w:r>
        <w:rPr>
          <w:color w:val="231F20"/>
        </w:rPr>
        <w:t xml:space="preserve">daughters to East Germany if their father won custody </w:t>
      </w:r>
      <w:r>
        <w:rPr>
          <w:color w:val="231F20"/>
          <w:spacing w:val="-3"/>
        </w:rPr>
        <w:t xml:space="preserve">away </w:t>
      </w:r>
      <w:r>
        <w:rPr>
          <w:color w:val="231F20"/>
        </w:rPr>
        <w:t>from her</w:t>
      </w:r>
      <w:r>
        <w:rPr>
          <w:color w:val="231F20"/>
          <w:spacing w:val="-6"/>
        </w:rPr>
        <w:t xml:space="preserve"> </w:t>
      </w:r>
      <w:r>
        <w:rPr>
          <w:color w:val="231F20"/>
        </w:rPr>
        <w:t>sister.</w:t>
      </w:r>
      <w:r>
        <w:rPr>
          <w:color w:val="231F20"/>
          <w:position w:val="7"/>
          <w:sz w:val="11"/>
        </w:rPr>
        <w:t>2</w:t>
      </w:r>
    </w:p>
    <w:p w14:paraId="595AEC80" w14:textId="77777777" w:rsidR="002653E8" w:rsidRDefault="003115E3">
      <w:pPr>
        <w:pStyle w:val="a3"/>
        <w:spacing w:line="264" w:lineRule="auto"/>
        <w:ind w:left="1147" w:right="1326" w:firstLine="210"/>
        <w:jc w:val="both"/>
      </w:pPr>
      <w:r>
        <w:rPr>
          <w:color w:val="231F20"/>
        </w:rPr>
        <w:t xml:space="preserve">Given the unpopularity of the GDR, why was this aid accepted, and what effects did it have on the </w:t>
      </w:r>
      <w:r w:rsidR="00C507A5">
        <w:rPr>
          <w:color w:val="231F20"/>
        </w:rPr>
        <w:t>red army faction</w:t>
      </w:r>
      <w:r>
        <w:rPr>
          <w:color w:val="231F20"/>
        </w:rPr>
        <w:t>?</w:t>
      </w:r>
    </w:p>
    <w:p w14:paraId="102FD01B" w14:textId="77777777" w:rsidR="002653E8" w:rsidRDefault="003115E3">
      <w:pPr>
        <w:pStyle w:val="a3"/>
        <w:spacing w:line="264" w:lineRule="auto"/>
        <w:ind w:left="1148" w:right="1325" w:firstLine="210"/>
        <w:jc w:val="both"/>
      </w:pPr>
      <w:r>
        <w:rPr>
          <w:color w:val="231F20"/>
        </w:rPr>
        <w:t xml:space="preserve">The answer to the first of these questions is easy enough to guess:     at first, East German </w:t>
      </w:r>
      <w:r>
        <w:rPr>
          <w:color w:val="231F20"/>
          <w:spacing w:val="-3"/>
        </w:rPr>
        <w:t xml:space="preserve">“aid” </w:t>
      </w:r>
      <w:r>
        <w:rPr>
          <w:color w:val="231F20"/>
        </w:rPr>
        <w:t>seems to have been very limited in scope, really little more than turning a blind eye to what was going on.</w:t>
      </w:r>
      <w:r>
        <w:rPr>
          <w:color w:val="231F20"/>
          <w:position w:val="7"/>
          <w:sz w:val="11"/>
        </w:rPr>
        <w:t xml:space="preserve">3 </w:t>
      </w:r>
      <w:r>
        <w:rPr>
          <w:color w:val="231F20"/>
        </w:rPr>
        <w:t>Who could complain about</w:t>
      </w:r>
      <w:r>
        <w:rPr>
          <w:color w:val="231F20"/>
          <w:spacing w:val="33"/>
        </w:rPr>
        <w:t xml:space="preserve"> </w:t>
      </w:r>
      <w:r>
        <w:rPr>
          <w:color w:val="231F20"/>
        </w:rPr>
        <w:t>that?</w:t>
      </w:r>
    </w:p>
    <w:p w14:paraId="154F5AFA" w14:textId="77777777" w:rsidR="002653E8" w:rsidRDefault="003115E3">
      <w:pPr>
        <w:pStyle w:val="a3"/>
        <w:spacing w:line="264" w:lineRule="auto"/>
        <w:ind w:left="1147" w:right="1325" w:firstLine="210"/>
        <w:jc w:val="both"/>
      </w:pPr>
      <w:r>
        <w:rPr>
          <w:color w:val="231F20"/>
        </w:rPr>
        <w:t xml:space="preserve">Eventually, as we will see, more substantial favors would be forthcoming: shelter, training, even new identities—and yet, for most of its history, there is absolutely no indication that the </w:t>
      </w:r>
      <w:r w:rsidR="00C507A5">
        <w:rPr>
          <w:color w:val="231F20"/>
        </w:rPr>
        <w:t>red army faction</w:t>
      </w:r>
      <w:r>
        <w:rPr>
          <w:color w:val="231F20"/>
        </w:rPr>
        <w:t xml:space="preserve"> was choosing its targets or formulating its ideology to please foreign patrons. This would become more debatable near the end, but certainly in the 1970s, the</w:t>
      </w:r>
    </w:p>
    <w:p w14:paraId="2061E105" w14:textId="77777777" w:rsidR="002653E8" w:rsidRDefault="00000000">
      <w:pPr>
        <w:pStyle w:val="a3"/>
        <w:spacing w:before="4"/>
        <w:rPr>
          <w:sz w:val="11"/>
        </w:rPr>
      </w:pPr>
      <w:r>
        <w:rPr>
          <w:noProof w:val="0"/>
        </w:rPr>
        <w:pict w14:anchorId="55475107">
          <v:line id="_x0000_s2637" style="position:absolute;z-index:2824;mso-wrap-distance-left:0;mso-wrap-distance-right:0;mso-position-horizontal-relative:page" from="57.4pt,8.85pt" to="129.4pt,8.85pt" strokecolor="#231f20" strokeweight=".5pt">
            <w10:wrap type="topAndBottom" anchorx="page"/>
          </v:line>
        </w:pict>
      </w:r>
    </w:p>
    <w:p w14:paraId="66023922" w14:textId="77777777" w:rsidR="002653E8" w:rsidRPr="00C507A5" w:rsidRDefault="003115E3">
      <w:pPr>
        <w:pStyle w:val="a4"/>
        <w:numPr>
          <w:ilvl w:val="0"/>
          <w:numId w:val="172"/>
        </w:numPr>
        <w:tabs>
          <w:tab w:val="left" w:pos="1287"/>
        </w:tabs>
        <w:spacing w:before="53" w:line="254" w:lineRule="auto"/>
        <w:ind w:right="1328" w:hanging="1"/>
        <w:rPr>
          <w:sz w:val="16"/>
          <w:lang w:val="de-DE"/>
        </w:rPr>
      </w:pPr>
      <w:r>
        <w:rPr>
          <w:color w:val="231F20"/>
          <w:w w:val="105"/>
          <w:sz w:val="16"/>
        </w:rPr>
        <w:t xml:space="preserve">Aust, 99-100. Bäcker would claim that based on their questions, it was clear the  East Germans were already well informed about the group’s activities. </w:t>
      </w:r>
      <w:r>
        <w:rPr>
          <w:color w:val="231F20"/>
          <w:spacing w:val="1"/>
          <w:w w:val="105"/>
          <w:sz w:val="16"/>
        </w:rPr>
        <w:t xml:space="preserve">In </w:t>
      </w:r>
      <w:r>
        <w:rPr>
          <w:color w:val="231F20"/>
          <w:w w:val="105"/>
          <w:sz w:val="16"/>
        </w:rPr>
        <w:t xml:space="preserve">November 1972, </w:t>
      </w:r>
      <w:r>
        <w:rPr>
          <w:color w:val="231F20"/>
          <w:spacing w:val="1"/>
          <w:w w:val="105"/>
          <w:sz w:val="16"/>
        </w:rPr>
        <w:t xml:space="preserve">Bommi </w:t>
      </w:r>
      <w:r>
        <w:rPr>
          <w:color w:val="231F20"/>
          <w:w w:val="105"/>
          <w:sz w:val="16"/>
        </w:rPr>
        <w:t xml:space="preserve">Baumann was similarly detained at the East German border while in possession of false identification papers; he was similarly questioned, and provided information on almost one hundred people in the West German underground before being released. </w:t>
      </w:r>
      <w:r w:rsidRPr="00C507A5">
        <w:rPr>
          <w:color w:val="231F20"/>
          <w:w w:val="105"/>
          <w:sz w:val="16"/>
          <w:lang w:val="de-DE"/>
        </w:rPr>
        <w:t xml:space="preserve">Jan-Hendrik Schulz “Zur Geschichte  der  Roten  Armee  Fraktion </w:t>
      </w:r>
      <w:r w:rsidRPr="00C507A5">
        <w:rPr>
          <w:color w:val="231F20"/>
          <w:spacing w:val="2"/>
          <w:w w:val="105"/>
          <w:sz w:val="16"/>
          <w:lang w:val="de-DE"/>
        </w:rPr>
        <w:t>(</w:t>
      </w:r>
      <w:r w:rsidR="00C507A5" w:rsidRPr="00C507A5">
        <w:rPr>
          <w:color w:val="231F20"/>
          <w:spacing w:val="2"/>
          <w:w w:val="105"/>
          <w:sz w:val="16"/>
          <w:lang w:val="de-DE"/>
        </w:rPr>
        <w:t>red army faction</w:t>
      </w:r>
      <w:r w:rsidRPr="00C507A5">
        <w:rPr>
          <w:color w:val="231F20"/>
          <w:spacing w:val="2"/>
          <w:w w:val="105"/>
          <w:sz w:val="16"/>
          <w:lang w:val="de-DE"/>
        </w:rPr>
        <w:t>)</w:t>
      </w:r>
      <w:r w:rsidRPr="00C507A5">
        <w:rPr>
          <w:color w:val="231F20"/>
          <w:spacing w:val="20"/>
          <w:w w:val="105"/>
          <w:sz w:val="16"/>
          <w:lang w:val="de-DE"/>
        </w:rPr>
        <w:t xml:space="preserve"> </w:t>
      </w:r>
      <w:r w:rsidRPr="00C507A5">
        <w:rPr>
          <w:color w:val="231F20"/>
          <w:w w:val="105"/>
          <w:sz w:val="16"/>
          <w:lang w:val="de-DE"/>
        </w:rPr>
        <w:t>und</w:t>
      </w:r>
      <w:r w:rsidRPr="00C507A5">
        <w:rPr>
          <w:color w:val="231F20"/>
          <w:spacing w:val="20"/>
          <w:w w:val="105"/>
          <w:sz w:val="16"/>
          <w:lang w:val="de-DE"/>
        </w:rPr>
        <w:t xml:space="preserve"> </w:t>
      </w:r>
      <w:r w:rsidRPr="00C507A5">
        <w:rPr>
          <w:color w:val="231F20"/>
          <w:w w:val="105"/>
          <w:sz w:val="16"/>
          <w:lang w:val="de-DE"/>
        </w:rPr>
        <w:t>ihrer</w:t>
      </w:r>
      <w:r w:rsidRPr="00C507A5">
        <w:rPr>
          <w:color w:val="231F20"/>
          <w:spacing w:val="20"/>
          <w:w w:val="105"/>
          <w:sz w:val="16"/>
          <w:lang w:val="de-DE"/>
        </w:rPr>
        <w:t xml:space="preserve"> </w:t>
      </w:r>
      <w:r w:rsidRPr="00C507A5">
        <w:rPr>
          <w:color w:val="231F20"/>
          <w:w w:val="105"/>
          <w:sz w:val="16"/>
          <w:lang w:val="de-DE"/>
        </w:rPr>
        <w:t>Kontexte:</w:t>
      </w:r>
      <w:r w:rsidRPr="00C507A5">
        <w:rPr>
          <w:color w:val="231F20"/>
          <w:spacing w:val="20"/>
          <w:w w:val="105"/>
          <w:sz w:val="16"/>
          <w:lang w:val="de-DE"/>
        </w:rPr>
        <w:t xml:space="preserve"> </w:t>
      </w:r>
      <w:r w:rsidRPr="00C507A5">
        <w:rPr>
          <w:color w:val="231F20"/>
          <w:w w:val="105"/>
          <w:sz w:val="16"/>
          <w:lang w:val="de-DE"/>
        </w:rPr>
        <w:t>Eine</w:t>
      </w:r>
      <w:r w:rsidRPr="00C507A5">
        <w:rPr>
          <w:color w:val="231F20"/>
          <w:spacing w:val="20"/>
          <w:w w:val="105"/>
          <w:sz w:val="16"/>
          <w:lang w:val="de-DE"/>
        </w:rPr>
        <w:t xml:space="preserve"> </w:t>
      </w:r>
      <w:r w:rsidRPr="00C507A5">
        <w:rPr>
          <w:color w:val="231F20"/>
          <w:w w:val="105"/>
          <w:sz w:val="16"/>
          <w:lang w:val="de-DE"/>
        </w:rPr>
        <w:t>Chronik,”</w:t>
      </w:r>
      <w:r w:rsidRPr="00C507A5">
        <w:rPr>
          <w:color w:val="231F20"/>
          <w:spacing w:val="22"/>
          <w:w w:val="105"/>
          <w:sz w:val="16"/>
          <w:lang w:val="de-DE"/>
        </w:rPr>
        <w:t xml:space="preserve"> </w:t>
      </w:r>
      <w:r w:rsidRPr="00C507A5">
        <w:rPr>
          <w:i/>
          <w:color w:val="231F20"/>
          <w:w w:val="105"/>
          <w:sz w:val="16"/>
          <w:lang w:val="de-DE"/>
        </w:rPr>
        <w:t>Zeitgeschichte</w:t>
      </w:r>
      <w:r w:rsidRPr="00C507A5">
        <w:rPr>
          <w:i/>
          <w:color w:val="231F20"/>
          <w:spacing w:val="20"/>
          <w:w w:val="105"/>
          <w:sz w:val="16"/>
          <w:lang w:val="de-DE"/>
        </w:rPr>
        <w:t xml:space="preserve"> </w:t>
      </w:r>
      <w:r w:rsidRPr="00C507A5">
        <w:rPr>
          <w:i/>
          <w:color w:val="231F20"/>
          <w:spacing w:val="1"/>
          <w:w w:val="105"/>
          <w:sz w:val="16"/>
          <w:lang w:val="de-DE"/>
        </w:rPr>
        <w:t>Online,</w:t>
      </w:r>
      <w:r w:rsidRPr="00C507A5">
        <w:rPr>
          <w:i/>
          <w:color w:val="231F20"/>
          <w:spacing w:val="22"/>
          <w:w w:val="105"/>
          <w:sz w:val="16"/>
          <w:lang w:val="de-DE"/>
        </w:rPr>
        <w:t xml:space="preserve"> </w:t>
      </w:r>
      <w:r w:rsidRPr="00C507A5">
        <w:rPr>
          <w:color w:val="231F20"/>
          <w:w w:val="105"/>
          <w:sz w:val="16"/>
          <w:lang w:val="de-DE"/>
        </w:rPr>
        <w:t>May</w:t>
      </w:r>
      <w:r w:rsidRPr="00C507A5">
        <w:rPr>
          <w:color w:val="231F20"/>
          <w:spacing w:val="20"/>
          <w:w w:val="105"/>
          <w:sz w:val="16"/>
          <w:lang w:val="de-DE"/>
        </w:rPr>
        <w:t xml:space="preserve"> </w:t>
      </w:r>
      <w:r w:rsidRPr="00C507A5">
        <w:rPr>
          <w:color w:val="231F20"/>
          <w:w w:val="105"/>
          <w:sz w:val="16"/>
          <w:lang w:val="de-DE"/>
        </w:rPr>
        <w:t>2007.</w:t>
      </w:r>
    </w:p>
    <w:p w14:paraId="7E56AFA7" w14:textId="77777777" w:rsidR="002653E8" w:rsidRDefault="003115E3">
      <w:pPr>
        <w:pStyle w:val="a4"/>
        <w:numPr>
          <w:ilvl w:val="0"/>
          <w:numId w:val="172"/>
        </w:numPr>
        <w:tabs>
          <w:tab w:val="left" w:pos="1287"/>
        </w:tabs>
        <w:spacing w:before="42" w:line="254" w:lineRule="auto"/>
        <w:ind w:left="1147" w:right="1420" w:firstLine="0"/>
        <w:rPr>
          <w:sz w:val="16"/>
        </w:rPr>
      </w:pPr>
      <w:r>
        <w:rPr>
          <w:color w:val="231F20"/>
          <w:spacing w:val="1"/>
          <w:w w:val="105"/>
          <w:sz w:val="16"/>
        </w:rPr>
        <w:t xml:space="preserve">Ditfurth, </w:t>
      </w:r>
      <w:r>
        <w:rPr>
          <w:color w:val="231F20"/>
          <w:w w:val="105"/>
          <w:sz w:val="16"/>
        </w:rPr>
        <w:t xml:space="preserve">290. </w:t>
      </w:r>
      <w:r>
        <w:rPr>
          <w:color w:val="231F20"/>
          <w:spacing w:val="1"/>
          <w:w w:val="105"/>
          <w:sz w:val="16"/>
        </w:rPr>
        <w:t xml:space="preserve">See </w:t>
      </w:r>
      <w:r>
        <w:rPr>
          <w:color w:val="231F20"/>
          <w:w w:val="105"/>
          <w:sz w:val="16"/>
        </w:rPr>
        <w:t>Appendix V—Strange Stories: Peter Homann and Stefan Aust, pages</w:t>
      </w:r>
      <w:r>
        <w:rPr>
          <w:color w:val="231F20"/>
          <w:spacing w:val="8"/>
          <w:w w:val="105"/>
          <w:sz w:val="16"/>
        </w:rPr>
        <w:t xml:space="preserve"> </w:t>
      </w:r>
      <w:r>
        <w:rPr>
          <w:color w:val="231F20"/>
          <w:spacing w:val="-5"/>
          <w:w w:val="105"/>
          <w:sz w:val="16"/>
        </w:rPr>
        <w:t>557-558.</w:t>
      </w:r>
    </w:p>
    <w:p w14:paraId="5E9DA5DB" w14:textId="77777777" w:rsidR="002653E8" w:rsidRPr="00C507A5" w:rsidRDefault="003115E3">
      <w:pPr>
        <w:pStyle w:val="a4"/>
        <w:numPr>
          <w:ilvl w:val="0"/>
          <w:numId w:val="172"/>
        </w:numPr>
        <w:tabs>
          <w:tab w:val="left" w:pos="1287"/>
        </w:tabs>
        <w:spacing w:line="254" w:lineRule="auto"/>
        <w:ind w:left="1147" w:right="1854" w:firstLine="0"/>
        <w:rPr>
          <w:sz w:val="16"/>
          <w:lang w:val="de-DE"/>
        </w:rPr>
      </w:pPr>
      <w:r w:rsidRPr="00C507A5">
        <w:rPr>
          <w:i/>
          <w:color w:val="231F20"/>
          <w:w w:val="110"/>
          <w:sz w:val="16"/>
          <w:lang w:val="de-DE"/>
        </w:rPr>
        <w:t xml:space="preserve">Deutsche Presse-Agentur, </w:t>
      </w:r>
      <w:r w:rsidRPr="00C507A5">
        <w:rPr>
          <w:color w:val="231F20"/>
          <w:w w:val="110"/>
          <w:sz w:val="16"/>
          <w:lang w:val="de-DE"/>
        </w:rPr>
        <w:t xml:space="preserve">“Stasi soll </w:t>
      </w:r>
      <w:r w:rsidR="00C507A5" w:rsidRPr="00C507A5">
        <w:rPr>
          <w:color w:val="231F20"/>
          <w:spacing w:val="3"/>
          <w:w w:val="110"/>
          <w:sz w:val="16"/>
          <w:lang w:val="de-DE"/>
        </w:rPr>
        <w:t>red army faction</w:t>
      </w:r>
      <w:r w:rsidRPr="00C507A5">
        <w:rPr>
          <w:color w:val="231F20"/>
          <w:spacing w:val="3"/>
          <w:w w:val="110"/>
          <w:sz w:val="16"/>
          <w:lang w:val="de-DE"/>
        </w:rPr>
        <w:t xml:space="preserve"> </w:t>
      </w:r>
      <w:r w:rsidRPr="00C507A5">
        <w:rPr>
          <w:color w:val="231F20"/>
          <w:w w:val="110"/>
          <w:sz w:val="16"/>
          <w:lang w:val="de-DE"/>
        </w:rPr>
        <w:t>über Razzien informiert haben,” September 29,</w:t>
      </w:r>
      <w:r w:rsidRPr="00C507A5">
        <w:rPr>
          <w:color w:val="231F20"/>
          <w:spacing w:val="10"/>
          <w:w w:val="110"/>
          <w:sz w:val="16"/>
          <w:lang w:val="de-DE"/>
        </w:rPr>
        <w:t xml:space="preserve"> </w:t>
      </w:r>
      <w:r w:rsidRPr="00C507A5">
        <w:rPr>
          <w:color w:val="231F20"/>
          <w:w w:val="110"/>
          <w:sz w:val="16"/>
          <w:lang w:val="de-DE"/>
        </w:rPr>
        <w:t>2007.</w:t>
      </w:r>
    </w:p>
    <w:p w14:paraId="60F0BD11" w14:textId="77777777" w:rsidR="002653E8" w:rsidRPr="00C507A5" w:rsidRDefault="002653E8">
      <w:pPr>
        <w:spacing w:line="254" w:lineRule="auto"/>
        <w:rPr>
          <w:sz w:val="16"/>
          <w:lang w:val="de-DE"/>
        </w:rPr>
        <w:sectPr w:rsidR="002653E8" w:rsidRPr="00C507A5">
          <w:pgSz w:w="8640" w:h="12960"/>
          <w:pgMar w:top="1060" w:right="0" w:bottom="1040" w:left="0" w:header="0" w:footer="850" w:gutter="0"/>
          <w:cols w:space="720"/>
        </w:sectPr>
      </w:pPr>
    </w:p>
    <w:p w14:paraId="0E920E58" w14:textId="77777777" w:rsidR="002653E8" w:rsidRDefault="00C507A5">
      <w:pPr>
        <w:pStyle w:val="a3"/>
        <w:spacing w:before="86"/>
        <w:ind w:left="1327"/>
      </w:pPr>
      <w:r>
        <w:rPr>
          <w:color w:val="231F20"/>
        </w:rPr>
        <w:lastRenderedPageBreak/>
        <w:t>red army faction</w:t>
      </w:r>
      <w:r w:rsidR="003115E3">
        <w:rPr>
          <w:color w:val="231F20"/>
        </w:rPr>
        <w:t>-</w:t>
      </w:r>
      <w:r w:rsidR="003115E3">
        <w:rPr>
          <w:i/>
          <w:color w:val="231F20"/>
        </w:rPr>
        <w:t xml:space="preserve">Stasi </w:t>
      </w:r>
      <w:r w:rsidR="003115E3">
        <w:rPr>
          <w:color w:val="231F20"/>
        </w:rPr>
        <w:t>connection seems to have been casual if not ephemeral.</w:t>
      </w:r>
    </w:p>
    <w:p w14:paraId="143CFF4B" w14:textId="77777777" w:rsidR="002653E8" w:rsidRDefault="003115E3">
      <w:pPr>
        <w:pStyle w:val="a3"/>
        <w:spacing w:before="23" w:line="264" w:lineRule="auto"/>
        <w:ind w:left="1328" w:right="1145" w:firstLine="209"/>
        <w:jc w:val="both"/>
      </w:pPr>
      <w:r>
        <w:rPr>
          <w:color w:val="231F20"/>
        </w:rPr>
        <w:t>At most, one might perhaps argue a case of the GDR egging the guerilla on as a way to get at the Americans, in the context of the ongoing conflagration in Vietnam.</w:t>
      </w:r>
    </w:p>
    <w:p w14:paraId="031A9201" w14:textId="77777777" w:rsidR="002653E8" w:rsidRDefault="003115E3">
      <w:pPr>
        <w:pStyle w:val="a3"/>
        <w:spacing w:line="264" w:lineRule="auto"/>
        <w:ind w:left="1328" w:right="1145" w:firstLine="209"/>
        <w:jc w:val="both"/>
      </w:pPr>
      <w:r>
        <w:rPr>
          <w:color w:val="231F20"/>
        </w:rPr>
        <w:t xml:space="preserve">Certainly, throughout the 1970s, the Palestinian connection was of  far greater importance, and yet the guerilla’s first visit to the Middle East ended on an unpromising note: according to several reports, the </w:t>
      </w:r>
      <w:r>
        <w:rPr>
          <w:color w:val="231F20"/>
          <w:spacing w:val="-3"/>
        </w:rPr>
        <w:t xml:space="preserve">West </w:t>
      </w:r>
      <w:r>
        <w:rPr>
          <w:color w:val="231F20"/>
        </w:rPr>
        <w:t>Germans were far from ideal guests, and the Palestinians eventually sent them on their</w:t>
      </w:r>
      <w:r>
        <w:rPr>
          <w:color w:val="231F20"/>
          <w:spacing w:val="10"/>
        </w:rPr>
        <w:t xml:space="preserve"> </w:t>
      </w:r>
      <w:r>
        <w:rPr>
          <w:color w:val="231F20"/>
          <w:spacing w:val="-5"/>
        </w:rPr>
        <w:t>way.</w:t>
      </w:r>
    </w:p>
    <w:p w14:paraId="2D5FD4DB" w14:textId="77777777" w:rsidR="002653E8" w:rsidRDefault="003115E3">
      <w:pPr>
        <w:pStyle w:val="a3"/>
        <w:spacing w:line="264" w:lineRule="auto"/>
        <w:ind w:left="1328" w:right="1145" w:firstLine="210"/>
        <w:jc w:val="both"/>
        <w:rPr>
          <w:sz w:val="11"/>
        </w:rPr>
      </w:pPr>
      <w:r>
        <w:rPr>
          <w:color w:val="231F20"/>
        </w:rPr>
        <w:t>They returned to West Berlin—via the GDR—as the summer of 1970 came to an end.</w:t>
      </w:r>
      <w:r>
        <w:rPr>
          <w:color w:val="231F20"/>
          <w:position w:val="7"/>
          <w:sz w:val="11"/>
        </w:rPr>
        <w:t>4</w:t>
      </w:r>
    </w:p>
    <w:p w14:paraId="50759AA5" w14:textId="77777777" w:rsidR="002653E8" w:rsidRDefault="003115E3">
      <w:pPr>
        <w:pStyle w:val="a3"/>
        <w:spacing w:line="264" w:lineRule="auto"/>
        <w:ind w:left="1327" w:right="1145" w:firstLine="210"/>
        <w:jc w:val="both"/>
      </w:pPr>
      <w:r>
        <w:rPr>
          <w:color w:val="231F20"/>
          <w:w w:val="105"/>
        </w:rPr>
        <w:t>The</w:t>
      </w:r>
      <w:r>
        <w:rPr>
          <w:color w:val="231F20"/>
          <w:spacing w:val="-28"/>
          <w:w w:val="105"/>
        </w:rPr>
        <w:t xml:space="preserve"> </w:t>
      </w:r>
      <w:r>
        <w:rPr>
          <w:color w:val="231F20"/>
          <w:w w:val="105"/>
        </w:rPr>
        <w:t>group</w:t>
      </w:r>
      <w:r>
        <w:rPr>
          <w:color w:val="231F20"/>
          <w:spacing w:val="-28"/>
          <w:w w:val="105"/>
        </w:rPr>
        <w:t xml:space="preserve"> </w:t>
      </w:r>
      <w:r>
        <w:rPr>
          <w:color w:val="231F20"/>
          <w:w w:val="105"/>
        </w:rPr>
        <w:t>now</w:t>
      </w:r>
      <w:r>
        <w:rPr>
          <w:color w:val="231F20"/>
          <w:spacing w:val="-28"/>
          <w:w w:val="105"/>
        </w:rPr>
        <w:t xml:space="preserve"> </w:t>
      </w:r>
      <w:r>
        <w:rPr>
          <w:color w:val="231F20"/>
          <w:w w:val="105"/>
        </w:rPr>
        <w:t>set</w:t>
      </w:r>
      <w:r>
        <w:rPr>
          <w:color w:val="231F20"/>
          <w:spacing w:val="-28"/>
          <w:w w:val="105"/>
        </w:rPr>
        <w:t xml:space="preserve"> </w:t>
      </w:r>
      <w:r>
        <w:rPr>
          <w:color w:val="231F20"/>
          <w:w w:val="105"/>
        </w:rPr>
        <w:t>about</w:t>
      </w:r>
      <w:r>
        <w:rPr>
          <w:color w:val="231F20"/>
          <w:spacing w:val="-28"/>
          <w:w w:val="105"/>
        </w:rPr>
        <w:t xml:space="preserve"> </w:t>
      </w:r>
      <w:r>
        <w:rPr>
          <w:color w:val="231F20"/>
          <w:w w:val="105"/>
        </w:rPr>
        <w:t>obtaining</w:t>
      </w:r>
      <w:r>
        <w:rPr>
          <w:color w:val="231F20"/>
          <w:spacing w:val="-28"/>
          <w:w w:val="105"/>
        </w:rPr>
        <w:t xml:space="preserve"> </w:t>
      </w:r>
      <w:r>
        <w:rPr>
          <w:color w:val="231F20"/>
          <w:w w:val="105"/>
        </w:rPr>
        <w:t>cars</w:t>
      </w:r>
      <w:r>
        <w:rPr>
          <w:color w:val="231F20"/>
          <w:spacing w:val="-28"/>
          <w:w w:val="105"/>
        </w:rPr>
        <w:t xml:space="preserve"> </w:t>
      </w:r>
      <w:r>
        <w:rPr>
          <w:color w:val="231F20"/>
          <w:w w:val="105"/>
        </w:rPr>
        <w:t>and</w:t>
      </w:r>
      <w:r>
        <w:rPr>
          <w:color w:val="231F20"/>
          <w:spacing w:val="-28"/>
          <w:w w:val="105"/>
        </w:rPr>
        <w:t xml:space="preserve"> </w:t>
      </w:r>
      <w:r>
        <w:rPr>
          <w:color w:val="231F20"/>
          <w:w w:val="105"/>
        </w:rPr>
        <w:t>locating</w:t>
      </w:r>
      <w:r>
        <w:rPr>
          <w:color w:val="231F20"/>
          <w:spacing w:val="-28"/>
          <w:w w:val="105"/>
        </w:rPr>
        <w:t xml:space="preserve"> </w:t>
      </w:r>
      <w:r>
        <w:rPr>
          <w:color w:val="231F20"/>
          <w:w w:val="105"/>
        </w:rPr>
        <w:t>safehouses.</w:t>
      </w:r>
      <w:r>
        <w:rPr>
          <w:color w:val="231F20"/>
          <w:spacing w:val="-28"/>
          <w:w w:val="105"/>
        </w:rPr>
        <w:t xml:space="preserve"> </w:t>
      </w:r>
      <w:r>
        <w:rPr>
          <w:color w:val="231F20"/>
          <w:w w:val="105"/>
        </w:rPr>
        <w:t xml:space="preserve">New </w:t>
      </w:r>
      <w:r>
        <w:rPr>
          <w:color w:val="231F20"/>
        </w:rPr>
        <w:t>contacts</w:t>
      </w:r>
      <w:r>
        <w:rPr>
          <w:color w:val="231F20"/>
          <w:spacing w:val="-5"/>
        </w:rPr>
        <w:t xml:space="preserve"> </w:t>
      </w:r>
      <w:r>
        <w:rPr>
          <w:color w:val="231F20"/>
        </w:rPr>
        <w:t>were</w:t>
      </w:r>
      <w:r>
        <w:rPr>
          <w:color w:val="231F20"/>
          <w:spacing w:val="-5"/>
        </w:rPr>
        <w:t xml:space="preserve"> </w:t>
      </w:r>
      <w:r>
        <w:rPr>
          <w:color w:val="231F20"/>
        </w:rPr>
        <w:t>made,</w:t>
      </w:r>
      <w:r>
        <w:rPr>
          <w:color w:val="231F20"/>
          <w:spacing w:val="-5"/>
        </w:rPr>
        <w:t xml:space="preserve"> </w:t>
      </w:r>
      <w:r>
        <w:rPr>
          <w:color w:val="231F20"/>
        </w:rPr>
        <w:t>and</w:t>
      </w:r>
      <w:r>
        <w:rPr>
          <w:color w:val="231F20"/>
          <w:spacing w:val="-5"/>
        </w:rPr>
        <w:t xml:space="preserve"> </w:t>
      </w:r>
      <w:r>
        <w:rPr>
          <w:color w:val="231F20"/>
        </w:rPr>
        <w:t>new</w:t>
      </w:r>
      <w:r>
        <w:rPr>
          <w:color w:val="231F20"/>
          <w:spacing w:val="-5"/>
        </w:rPr>
        <w:t xml:space="preserve"> </w:t>
      </w:r>
      <w:r>
        <w:rPr>
          <w:color w:val="231F20"/>
        </w:rPr>
        <w:t>members</w:t>
      </w:r>
      <w:r>
        <w:rPr>
          <w:color w:val="231F20"/>
          <w:spacing w:val="-5"/>
        </w:rPr>
        <w:t xml:space="preserve"> </w:t>
      </w:r>
      <w:r>
        <w:rPr>
          <w:color w:val="231F20"/>
        </w:rPr>
        <w:t>were</w:t>
      </w:r>
      <w:r>
        <w:rPr>
          <w:color w:val="231F20"/>
          <w:spacing w:val="-5"/>
        </w:rPr>
        <w:t xml:space="preserve"> </w:t>
      </w:r>
      <w:r>
        <w:rPr>
          <w:color w:val="231F20"/>
        </w:rPr>
        <w:t>recruited,</w:t>
      </w:r>
      <w:r>
        <w:rPr>
          <w:color w:val="231F20"/>
          <w:spacing w:val="-5"/>
        </w:rPr>
        <w:t xml:space="preserve"> </w:t>
      </w:r>
      <w:r>
        <w:rPr>
          <w:color w:val="231F20"/>
        </w:rPr>
        <w:t>among</w:t>
      </w:r>
      <w:r>
        <w:rPr>
          <w:color w:val="231F20"/>
          <w:spacing w:val="-5"/>
        </w:rPr>
        <w:t xml:space="preserve"> </w:t>
      </w:r>
      <w:r>
        <w:rPr>
          <w:color w:val="231F20"/>
        </w:rPr>
        <w:t>them</w:t>
      </w:r>
      <w:r>
        <w:rPr>
          <w:color w:val="231F20"/>
          <w:spacing w:val="-3"/>
        </w:rPr>
        <w:t xml:space="preserve"> </w:t>
      </w:r>
      <w:r>
        <w:rPr>
          <w:color w:val="231F20"/>
        </w:rPr>
        <w:t xml:space="preserve">Ilse </w:t>
      </w:r>
      <w:r>
        <w:rPr>
          <w:color w:val="231F20"/>
          <w:w w:val="105"/>
        </w:rPr>
        <w:t xml:space="preserve">Stachowiak, </w:t>
      </w:r>
      <w:r>
        <w:rPr>
          <w:color w:val="231F20"/>
          <w:spacing w:val="1"/>
          <w:w w:val="105"/>
        </w:rPr>
        <w:t xml:space="preserve">Ali </w:t>
      </w:r>
      <w:r>
        <w:rPr>
          <w:color w:val="231F20"/>
          <w:w w:val="105"/>
        </w:rPr>
        <w:t xml:space="preserve">Jansen, </w:t>
      </w:r>
      <w:r>
        <w:rPr>
          <w:color w:val="231F20"/>
          <w:spacing w:val="1"/>
          <w:w w:val="105"/>
        </w:rPr>
        <w:t xml:space="preserve">Uli </w:t>
      </w:r>
      <w:r>
        <w:rPr>
          <w:color w:val="231F20"/>
          <w:w w:val="105"/>
        </w:rPr>
        <w:t xml:space="preserve">Scholze, Beate Sturm, Holger Meins, and Jan-Carl Raspe, this last being an old friend of Meinhof’s, and himself a founding member of Kommune </w:t>
      </w:r>
      <w:r>
        <w:rPr>
          <w:color w:val="231F20"/>
          <w:spacing w:val="2"/>
          <w:w w:val="105"/>
        </w:rPr>
        <w:t>2.</w:t>
      </w:r>
      <w:r>
        <w:rPr>
          <w:color w:val="231F20"/>
          <w:spacing w:val="2"/>
          <w:w w:val="105"/>
          <w:position w:val="7"/>
          <w:sz w:val="11"/>
        </w:rPr>
        <w:t xml:space="preserve">5 </w:t>
      </w:r>
      <w:r>
        <w:rPr>
          <w:color w:val="231F20"/>
          <w:w w:val="105"/>
        </w:rPr>
        <w:t>Some of these individuals would soon</w:t>
      </w:r>
      <w:r>
        <w:rPr>
          <w:color w:val="231F20"/>
          <w:spacing w:val="-21"/>
          <w:w w:val="105"/>
        </w:rPr>
        <w:t xml:space="preserve"> </w:t>
      </w:r>
      <w:r>
        <w:rPr>
          <w:color w:val="231F20"/>
          <w:w w:val="105"/>
        </w:rPr>
        <w:t>think</w:t>
      </w:r>
      <w:r>
        <w:rPr>
          <w:color w:val="231F20"/>
          <w:spacing w:val="-21"/>
          <w:w w:val="105"/>
        </w:rPr>
        <w:t xml:space="preserve"> </w:t>
      </w:r>
      <w:r>
        <w:rPr>
          <w:color w:val="231F20"/>
          <w:w w:val="105"/>
        </w:rPr>
        <w:t>better</w:t>
      </w:r>
      <w:r>
        <w:rPr>
          <w:color w:val="231F20"/>
          <w:spacing w:val="-21"/>
          <w:w w:val="105"/>
        </w:rPr>
        <w:t xml:space="preserve"> </w:t>
      </w:r>
      <w:r>
        <w:rPr>
          <w:color w:val="231F20"/>
          <w:w w:val="105"/>
        </w:rPr>
        <w:t>of</w:t>
      </w:r>
      <w:r>
        <w:rPr>
          <w:color w:val="231F20"/>
          <w:spacing w:val="-21"/>
          <w:w w:val="105"/>
        </w:rPr>
        <w:t xml:space="preserve"> </w:t>
      </w:r>
      <w:r>
        <w:rPr>
          <w:color w:val="231F20"/>
          <w:w w:val="105"/>
        </w:rPr>
        <w:t>their</w:t>
      </w:r>
      <w:r>
        <w:rPr>
          <w:color w:val="231F20"/>
          <w:spacing w:val="-21"/>
          <w:w w:val="105"/>
        </w:rPr>
        <w:t xml:space="preserve"> </w:t>
      </w:r>
      <w:r>
        <w:rPr>
          <w:color w:val="231F20"/>
          <w:w w:val="105"/>
        </w:rPr>
        <w:t>decision</w:t>
      </w:r>
      <w:r>
        <w:rPr>
          <w:color w:val="231F20"/>
          <w:spacing w:val="-21"/>
          <w:w w:val="105"/>
        </w:rPr>
        <w:t xml:space="preserve"> </w:t>
      </w:r>
      <w:r>
        <w:rPr>
          <w:color w:val="231F20"/>
          <w:w w:val="105"/>
        </w:rPr>
        <w:t>and</w:t>
      </w:r>
      <w:r>
        <w:rPr>
          <w:color w:val="231F20"/>
          <w:spacing w:val="-21"/>
          <w:w w:val="105"/>
        </w:rPr>
        <w:t xml:space="preserve"> </w:t>
      </w:r>
      <w:r>
        <w:rPr>
          <w:color w:val="231F20"/>
          <w:w w:val="105"/>
        </w:rPr>
        <w:t>drop</w:t>
      </w:r>
      <w:r>
        <w:rPr>
          <w:color w:val="231F20"/>
          <w:spacing w:val="-21"/>
          <w:w w:val="105"/>
        </w:rPr>
        <w:t xml:space="preserve"> </w:t>
      </w:r>
      <w:r>
        <w:rPr>
          <w:color w:val="231F20"/>
          <w:w w:val="105"/>
        </w:rPr>
        <w:t>out</w:t>
      </w:r>
      <w:r>
        <w:rPr>
          <w:color w:val="231F20"/>
          <w:spacing w:val="-21"/>
          <w:w w:val="105"/>
        </w:rPr>
        <w:t xml:space="preserve"> </w:t>
      </w:r>
      <w:r>
        <w:rPr>
          <w:color w:val="231F20"/>
          <w:w w:val="105"/>
        </w:rPr>
        <w:t>at</w:t>
      </w:r>
      <w:r>
        <w:rPr>
          <w:color w:val="231F20"/>
          <w:spacing w:val="-21"/>
          <w:w w:val="105"/>
        </w:rPr>
        <w:t xml:space="preserve"> </w:t>
      </w:r>
      <w:r>
        <w:rPr>
          <w:color w:val="231F20"/>
          <w:w w:val="105"/>
        </w:rPr>
        <w:t>the</w:t>
      </w:r>
      <w:r>
        <w:rPr>
          <w:color w:val="231F20"/>
          <w:spacing w:val="-21"/>
          <w:w w:val="105"/>
        </w:rPr>
        <w:t xml:space="preserve"> </w:t>
      </w:r>
      <w:r>
        <w:rPr>
          <w:color w:val="231F20"/>
          <w:w w:val="105"/>
        </w:rPr>
        <w:t>first</w:t>
      </w:r>
      <w:r>
        <w:rPr>
          <w:color w:val="231F20"/>
          <w:spacing w:val="-21"/>
          <w:w w:val="105"/>
        </w:rPr>
        <w:t xml:space="preserve"> </w:t>
      </w:r>
      <w:r>
        <w:rPr>
          <w:color w:val="231F20"/>
          <w:w w:val="105"/>
        </w:rPr>
        <w:t>opportunity, others</w:t>
      </w:r>
      <w:r>
        <w:rPr>
          <w:color w:val="231F20"/>
          <w:spacing w:val="-10"/>
          <w:w w:val="105"/>
        </w:rPr>
        <w:t xml:space="preserve"> </w:t>
      </w:r>
      <w:r>
        <w:rPr>
          <w:color w:val="231F20"/>
          <w:w w:val="105"/>
        </w:rPr>
        <w:t>would</w:t>
      </w:r>
      <w:r>
        <w:rPr>
          <w:color w:val="231F20"/>
          <w:spacing w:val="-10"/>
          <w:w w:val="105"/>
        </w:rPr>
        <w:t xml:space="preserve"> </w:t>
      </w:r>
      <w:r>
        <w:rPr>
          <w:color w:val="231F20"/>
          <w:w w:val="105"/>
        </w:rPr>
        <w:t>determine</w:t>
      </w:r>
      <w:r>
        <w:rPr>
          <w:color w:val="231F20"/>
          <w:spacing w:val="-10"/>
          <w:w w:val="105"/>
        </w:rPr>
        <w:t xml:space="preserve"> </w:t>
      </w:r>
      <w:r>
        <w:rPr>
          <w:color w:val="231F20"/>
          <w:w w:val="105"/>
        </w:rPr>
        <w:t>the</w:t>
      </w:r>
      <w:r>
        <w:rPr>
          <w:color w:val="231F20"/>
          <w:spacing w:val="-10"/>
          <w:w w:val="105"/>
        </w:rPr>
        <w:t xml:space="preserve"> </w:t>
      </w:r>
      <w:r>
        <w:rPr>
          <w:color w:val="231F20"/>
          <w:w w:val="105"/>
        </w:rPr>
        <w:t>very</w:t>
      </w:r>
      <w:r>
        <w:rPr>
          <w:color w:val="231F20"/>
          <w:spacing w:val="-10"/>
          <w:w w:val="105"/>
        </w:rPr>
        <w:t xml:space="preserve"> </w:t>
      </w:r>
      <w:r>
        <w:rPr>
          <w:color w:val="231F20"/>
          <w:w w:val="105"/>
        </w:rPr>
        <w:t>course</w:t>
      </w:r>
      <w:r>
        <w:rPr>
          <w:color w:val="231F20"/>
          <w:spacing w:val="-10"/>
          <w:w w:val="105"/>
        </w:rPr>
        <w:t xml:space="preserve"> </w:t>
      </w:r>
      <w:r>
        <w:rPr>
          <w:color w:val="231F20"/>
          <w:w w:val="105"/>
        </w:rPr>
        <w:t>of</w:t>
      </w:r>
      <w:r>
        <w:rPr>
          <w:color w:val="231F20"/>
          <w:spacing w:val="-10"/>
          <w:w w:val="105"/>
        </w:rPr>
        <w:t xml:space="preserve"> </w:t>
      </w:r>
      <w:r>
        <w:rPr>
          <w:color w:val="231F20"/>
          <w:w w:val="105"/>
        </w:rPr>
        <w:t>the</w:t>
      </w:r>
      <w:r>
        <w:rPr>
          <w:color w:val="231F20"/>
          <w:spacing w:val="-10"/>
          <w:w w:val="105"/>
        </w:rPr>
        <w:t xml:space="preserve"> </w:t>
      </w:r>
      <w:r w:rsidR="00C507A5">
        <w:rPr>
          <w:color w:val="231F20"/>
          <w:w w:val="105"/>
        </w:rPr>
        <w:t>red army faction</w:t>
      </w:r>
      <w:r>
        <w:rPr>
          <w:color w:val="231F20"/>
          <w:w w:val="105"/>
        </w:rPr>
        <w:t>,</w:t>
      </w:r>
      <w:r>
        <w:rPr>
          <w:color w:val="231F20"/>
          <w:spacing w:val="-10"/>
          <w:w w:val="105"/>
        </w:rPr>
        <w:t xml:space="preserve"> </w:t>
      </w:r>
      <w:r>
        <w:rPr>
          <w:color w:val="231F20"/>
          <w:w w:val="105"/>
        </w:rPr>
        <w:t>and</w:t>
      </w:r>
      <w:r>
        <w:rPr>
          <w:color w:val="231F20"/>
          <w:spacing w:val="-10"/>
          <w:w w:val="105"/>
        </w:rPr>
        <w:t xml:space="preserve"> </w:t>
      </w:r>
      <w:r>
        <w:rPr>
          <w:color w:val="231F20"/>
          <w:w w:val="105"/>
        </w:rPr>
        <w:t>in</w:t>
      </w:r>
      <w:r>
        <w:rPr>
          <w:color w:val="231F20"/>
          <w:spacing w:val="-10"/>
          <w:w w:val="105"/>
        </w:rPr>
        <w:t xml:space="preserve"> </w:t>
      </w:r>
      <w:r>
        <w:rPr>
          <w:color w:val="231F20"/>
          <w:w w:val="105"/>
        </w:rPr>
        <w:t>some</w:t>
      </w:r>
      <w:r>
        <w:rPr>
          <w:color w:val="231F20"/>
          <w:spacing w:val="-10"/>
          <w:w w:val="105"/>
        </w:rPr>
        <w:t xml:space="preserve"> </w:t>
      </w:r>
      <w:r>
        <w:rPr>
          <w:color w:val="231F20"/>
          <w:w w:val="105"/>
        </w:rPr>
        <w:t>cases give their lives in the</w:t>
      </w:r>
      <w:r>
        <w:rPr>
          <w:color w:val="231F20"/>
          <w:spacing w:val="32"/>
          <w:w w:val="105"/>
        </w:rPr>
        <w:t xml:space="preserve"> </w:t>
      </w:r>
      <w:r>
        <w:rPr>
          <w:color w:val="231F20"/>
          <w:w w:val="105"/>
        </w:rPr>
        <w:t>struggle.</w:t>
      </w:r>
    </w:p>
    <w:p w14:paraId="4ABA888D" w14:textId="77777777" w:rsidR="002653E8" w:rsidRDefault="003115E3">
      <w:pPr>
        <w:pStyle w:val="a3"/>
        <w:spacing w:line="264" w:lineRule="auto"/>
        <w:ind w:left="1327" w:right="1146" w:firstLine="210"/>
        <w:jc w:val="both"/>
      </w:pPr>
      <w:r>
        <w:rPr>
          <w:color w:val="231F20"/>
        </w:rPr>
        <w:t>But first, the young guerilla needed to acquire funds, and to this end  a daring combination of bank raids was planned in cooperation with members of  the  Roaming  Hash  Rebels  scene.</w:t>
      </w:r>
      <w:r>
        <w:rPr>
          <w:color w:val="231F20"/>
          <w:position w:val="7"/>
          <w:sz w:val="11"/>
        </w:rPr>
        <w:t xml:space="preserve">6  </w:t>
      </w:r>
      <w:r>
        <w:rPr>
          <w:color w:val="231F20"/>
        </w:rPr>
        <w:t xml:space="preserve">Within  ten  minutes,  on September 29, three different </w:t>
      </w:r>
      <w:r>
        <w:rPr>
          <w:color w:val="231F20"/>
          <w:spacing w:val="-3"/>
        </w:rPr>
        <w:t xml:space="preserve">West </w:t>
      </w:r>
      <w:r>
        <w:rPr>
          <w:color w:val="231F20"/>
        </w:rPr>
        <w:t>Berlin banks were hit: the revolutionaries</w:t>
      </w:r>
      <w:r>
        <w:rPr>
          <w:color w:val="231F20"/>
          <w:spacing w:val="21"/>
        </w:rPr>
        <w:t xml:space="preserve"> </w:t>
      </w:r>
      <w:r>
        <w:rPr>
          <w:color w:val="231F20"/>
        </w:rPr>
        <w:t>managed</w:t>
      </w:r>
      <w:r>
        <w:rPr>
          <w:color w:val="231F20"/>
          <w:spacing w:val="21"/>
        </w:rPr>
        <w:t xml:space="preserve"> </w:t>
      </w:r>
      <w:r>
        <w:rPr>
          <w:color w:val="231F20"/>
        </w:rPr>
        <w:t>to</w:t>
      </w:r>
      <w:r>
        <w:rPr>
          <w:color w:val="231F20"/>
          <w:spacing w:val="21"/>
        </w:rPr>
        <w:t xml:space="preserve"> </w:t>
      </w:r>
      <w:r>
        <w:rPr>
          <w:color w:val="231F20"/>
        </w:rPr>
        <w:t>make</w:t>
      </w:r>
      <w:r>
        <w:rPr>
          <w:color w:val="231F20"/>
          <w:spacing w:val="21"/>
        </w:rPr>
        <w:t xml:space="preserve"> </w:t>
      </w:r>
      <w:r>
        <w:rPr>
          <w:color w:val="231F20"/>
        </w:rPr>
        <w:t>off</w:t>
      </w:r>
      <w:r>
        <w:rPr>
          <w:color w:val="231F20"/>
          <w:spacing w:val="21"/>
        </w:rPr>
        <w:t xml:space="preserve"> </w:t>
      </w:r>
      <w:r>
        <w:rPr>
          <w:color w:val="231F20"/>
        </w:rPr>
        <w:t>with</w:t>
      </w:r>
      <w:r>
        <w:rPr>
          <w:color w:val="231F20"/>
          <w:spacing w:val="21"/>
        </w:rPr>
        <w:t xml:space="preserve"> </w:t>
      </w:r>
      <w:r>
        <w:rPr>
          <w:color w:val="231F20"/>
        </w:rPr>
        <w:t>over</w:t>
      </w:r>
      <w:r>
        <w:rPr>
          <w:color w:val="231F20"/>
          <w:spacing w:val="23"/>
        </w:rPr>
        <w:t xml:space="preserve"> </w:t>
      </w:r>
      <w:r>
        <w:rPr>
          <w:color w:val="231F20"/>
        </w:rPr>
        <w:t>220,000</w:t>
      </w:r>
      <w:r>
        <w:rPr>
          <w:color w:val="231F20"/>
          <w:spacing w:val="-12"/>
        </w:rPr>
        <w:t xml:space="preserve"> </w:t>
      </w:r>
      <w:r>
        <w:rPr>
          <w:color w:val="231F20"/>
        </w:rPr>
        <w:t>dm</w:t>
      </w:r>
      <w:r>
        <w:rPr>
          <w:color w:val="231F20"/>
          <w:spacing w:val="21"/>
        </w:rPr>
        <w:t xml:space="preserve"> </w:t>
      </w:r>
      <w:r>
        <w:rPr>
          <w:color w:val="231F20"/>
        </w:rPr>
        <w:t>(just</w:t>
      </w:r>
      <w:r>
        <w:rPr>
          <w:color w:val="231F20"/>
          <w:spacing w:val="21"/>
        </w:rPr>
        <w:t xml:space="preserve"> </w:t>
      </w:r>
      <w:r>
        <w:rPr>
          <w:color w:val="231F20"/>
        </w:rPr>
        <w:t>over</w:t>
      </w:r>
    </w:p>
    <w:p w14:paraId="7115768A" w14:textId="77777777" w:rsidR="002653E8" w:rsidRDefault="003115E3">
      <w:pPr>
        <w:pStyle w:val="a3"/>
        <w:spacing w:line="264" w:lineRule="auto"/>
        <w:ind w:left="1327" w:right="1145" w:hanging="1"/>
        <w:jc w:val="both"/>
        <w:rPr>
          <w:sz w:val="11"/>
        </w:rPr>
      </w:pPr>
      <w:r>
        <w:rPr>
          <w:color w:val="231F20"/>
        </w:rPr>
        <w:t>$60,000) without firing a shot or suffering a single arrest.</w:t>
      </w:r>
      <w:r>
        <w:rPr>
          <w:color w:val="231F20"/>
          <w:position w:val="7"/>
          <w:sz w:val="11"/>
        </w:rPr>
        <w:t xml:space="preserve">7 </w:t>
      </w:r>
      <w:r>
        <w:rPr>
          <w:color w:val="231F20"/>
        </w:rPr>
        <w:t xml:space="preserve">As Horst Mahler’s former legal assistant Monika Berberich, who had herself joined the </w:t>
      </w:r>
      <w:r w:rsidR="00C507A5">
        <w:rPr>
          <w:color w:val="231F20"/>
        </w:rPr>
        <w:t>red army faction</w:t>
      </w:r>
      <w:r>
        <w:rPr>
          <w:color w:val="231F20"/>
        </w:rPr>
        <w:t>, would later explain, “It was not about redistributing wealth, it was about getting money, and we weren’t going to mug grannies in the streets.”</w:t>
      </w:r>
      <w:r>
        <w:rPr>
          <w:color w:val="231F20"/>
          <w:position w:val="7"/>
          <w:sz w:val="11"/>
        </w:rPr>
        <w:t>8</w:t>
      </w:r>
    </w:p>
    <w:p w14:paraId="5F718CDC" w14:textId="77777777" w:rsidR="002653E8" w:rsidRDefault="003115E3">
      <w:pPr>
        <w:pStyle w:val="a3"/>
        <w:spacing w:line="264" w:lineRule="auto"/>
        <w:ind w:left="1327" w:right="1147" w:firstLine="210"/>
        <w:jc w:val="both"/>
      </w:pPr>
      <w:r>
        <w:rPr>
          <w:color w:val="231F20"/>
        </w:rPr>
        <w:t xml:space="preserve">The “triple </w:t>
      </w:r>
      <w:r>
        <w:rPr>
          <w:color w:val="231F20"/>
          <w:spacing w:val="-3"/>
        </w:rPr>
        <w:t xml:space="preserve">coup” </w:t>
      </w:r>
      <w:r>
        <w:rPr>
          <w:color w:val="231F20"/>
        </w:rPr>
        <w:t>was a smashing success. Things  were  looking  good.</w:t>
      </w:r>
    </w:p>
    <w:p w14:paraId="2235B029" w14:textId="77777777" w:rsidR="002653E8" w:rsidRDefault="003115E3">
      <w:pPr>
        <w:pStyle w:val="a3"/>
        <w:spacing w:line="264" w:lineRule="auto"/>
        <w:ind w:left="1327" w:right="1145" w:firstLine="210"/>
        <w:jc w:val="both"/>
      </w:pPr>
      <w:r>
        <w:rPr>
          <w:color w:val="231F20"/>
        </w:rPr>
        <w:t>Then, on October 8, police received an anonymous tip about two safehouses in West Berlin: Mahler and Berberich, as well as Ingrid</w:t>
      </w:r>
    </w:p>
    <w:p w14:paraId="00B3DF61" w14:textId="77777777" w:rsidR="002653E8" w:rsidRDefault="00000000">
      <w:pPr>
        <w:pStyle w:val="a3"/>
        <w:spacing w:before="6"/>
        <w:rPr>
          <w:sz w:val="23"/>
        </w:rPr>
      </w:pPr>
      <w:r>
        <w:rPr>
          <w:noProof w:val="0"/>
        </w:rPr>
        <w:pict w14:anchorId="2BFC62BE">
          <v:line id="_x0000_s2636" style="position:absolute;z-index:2848;mso-wrap-distance-left:0;mso-wrap-distance-right:0;mso-position-horizontal-relative:page" from="66.4pt,16pt" to="138.4pt,16pt" strokecolor="#231f20" strokeweight=".5pt">
            <w10:wrap type="topAndBottom" anchorx="page"/>
          </v:line>
        </w:pict>
      </w:r>
    </w:p>
    <w:p w14:paraId="0F8D2E7C" w14:textId="77777777" w:rsidR="002653E8" w:rsidRDefault="003115E3">
      <w:pPr>
        <w:spacing w:before="53"/>
        <w:ind w:left="1327"/>
        <w:rPr>
          <w:sz w:val="16"/>
        </w:rPr>
      </w:pPr>
      <w:r>
        <w:rPr>
          <w:color w:val="231F20"/>
          <w:w w:val="110"/>
          <w:sz w:val="16"/>
        </w:rPr>
        <w:t>4 Aust, 99, 101.</w:t>
      </w:r>
    </w:p>
    <w:p w14:paraId="363CFEE6" w14:textId="77777777" w:rsidR="002653E8" w:rsidRDefault="003115E3">
      <w:pPr>
        <w:pStyle w:val="a4"/>
        <w:numPr>
          <w:ilvl w:val="1"/>
          <w:numId w:val="172"/>
        </w:numPr>
        <w:tabs>
          <w:tab w:val="left" w:pos="1467"/>
        </w:tabs>
        <w:spacing w:before="51" w:line="254" w:lineRule="auto"/>
        <w:ind w:right="1350" w:firstLine="0"/>
        <w:rPr>
          <w:sz w:val="16"/>
        </w:rPr>
      </w:pPr>
      <w:r>
        <w:rPr>
          <w:color w:val="231F20"/>
          <w:w w:val="105"/>
          <w:sz w:val="16"/>
        </w:rPr>
        <w:t>Kommune 2 was another West Berlin commune, one with a more “serious” and “intellectual” reputation than the yippiesque</w:t>
      </w:r>
      <w:r>
        <w:rPr>
          <w:color w:val="231F20"/>
          <w:spacing w:val="10"/>
          <w:w w:val="105"/>
          <w:sz w:val="16"/>
        </w:rPr>
        <w:t xml:space="preserve"> </w:t>
      </w:r>
      <w:r>
        <w:rPr>
          <w:color w:val="231F20"/>
          <w:w w:val="105"/>
          <w:sz w:val="16"/>
        </w:rPr>
        <w:t>K.1.</w:t>
      </w:r>
    </w:p>
    <w:p w14:paraId="5D0B9734" w14:textId="77777777" w:rsidR="002653E8" w:rsidRPr="00C507A5" w:rsidRDefault="003115E3">
      <w:pPr>
        <w:pStyle w:val="a4"/>
        <w:numPr>
          <w:ilvl w:val="1"/>
          <w:numId w:val="172"/>
        </w:numPr>
        <w:tabs>
          <w:tab w:val="left" w:pos="1467"/>
        </w:tabs>
        <w:spacing w:line="307" w:lineRule="auto"/>
        <w:ind w:right="4629" w:firstLine="0"/>
        <w:rPr>
          <w:sz w:val="16"/>
          <w:lang w:val="de-DE"/>
        </w:rPr>
      </w:pPr>
      <w:r w:rsidRPr="00C507A5">
        <w:rPr>
          <w:color w:val="231F20"/>
          <w:w w:val="110"/>
          <w:sz w:val="16"/>
          <w:lang w:val="de-DE"/>
        </w:rPr>
        <w:t>Reinders, Viehmann, and</w:t>
      </w:r>
      <w:r w:rsidRPr="00C507A5">
        <w:rPr>
          <w:color w:val="231F20"/>
          <w:spacing w:val="-21"/>
          <w:w w:val="110"/>
          <w:sz w:val="16"/>
          <w:lang w:val="de-DE"/>
        </w:rPr>
        <w:t xml:space="preserve"> </w:t>
      </w:r>
      <w:r w:rsidRPr="00C507A5">
        <w:rPr>
          <w:color w:val="231F20"/>
          <w:w w:val="110"/>
          <w:sz w:val="16"/>
          <w:lang w:val="de-DE"/>
        </w:rPr>
        <w:t>Fritzsch. 7 Aust,</w:t>
      </w:r>
      <w:r w:rsidRPr="00C507A5">
        <w:rPr>
          <w:color w:val="231F20"/>
          <w:spacing w:val="12"/>
          <w:w w:val="110"/>
          <w:sz w:val="16"/>
          <w:lang w:val="de-DE"/>
        </w:rPr>
        <w:t xml:space="preserve"> </w:t>
      </w:r>
      <w:r w:rsidRPr="00C507A5">
        <w:rPr>
          <w:color w:val="231F20"/>
          <w:spacing w:val="-3"/>
          <w:w w:val="110"/>
          <w:sz w:val="16"/>
          <w:lang w:val="de-DE"/>
        </w:rPr>
        <w:t>108.</w:t>
      </w:r>
    </w:p>
    <w:p w14:paraId="20B49FBA" w14:textId="77777777" w:rsidR="002653E8" w:rsidRDefault="003115E3">
      <w:pPr>
        <w:spacing w:line="186" w:lineRule="exact"/>
        <w:ind w:left="1328"/>
        <w:rPr>
          <w:i/>
          <w:sz w:val="16"/>
        </w:rPr>
      </w:pPr>
      <w:r>
        <w:rPr>
          <w:color w:val="231F20"/>
          <w:w w:val="110"/>
          <w:sz w:val="16"/>
        </w:rPr>
        <w:t xml:space="preserve">8 </w:t>
      </w:r>
      <w:r>
        <w:rPr>
          <w:i/>
          <w:color w:val="231F20"/>
          <w:w w:val="110"/>
          <w:sz w:val="16"/>
        </w:rPr>
        <w:t>Baader Meinhof: In Love With Terror.</w:t>
      </w:r>
    </w:p>
    <w:p w14:paraId="4C606362" w14:textId="77777777" w:rsidR="002653E8" w:rsidRDefault="002653E8">
      <w:pPr>
        <w:spacing w:line="186" w:lineRule="exact"/>
        <w:rPr>
          <w:sz w:val="16"/>
        </w:rPr>
        <w:sectPr w:rsidR="002653E8">
          <w:pgSz w:w="8640" w:h="12960"/>
          <w:pgMar w:top="1060" w:right="0" w:bottom="1040" w:left="0" w:header="0" w:footer="850" w:gutter="0"/>
          <w:cols w:space="720"/>
        </w:sectPr>
      </w:pPr>
    </w:p>
    <w:p w14:paraId="28D18503" w14:textId="77777777" w:rsidR="002653E8" w:rsidRDefault="003115E3">
      <w:pPr>
        <w:pStyle w:val="a3"/>
        <w:spacing w:before="86" w:line="264" w:lineRule="auto"/>
        <w:ind w:left="1147" w:right="1326"/>
        <w:jc w:val="both"/>
        <w:rPr>
          <w:sz w:val="11"/>
        </w:rPr>
      </w:pPr>
      <w:r>
        <w:rPr>
          <w:color w:val="231F20"/>
        </w:rPr>
        <w:lastRenderedPageBreak/>
        <w:t xml:space="preserve">Schubert, Irene Goergens, and Brigitte Asdonk, were all arrested.  (It was suspected that Hans-Jürgen Bäcker had snitched to the police. He was confronted and denied the charge, but quickly parted ways with  the guerilla. The fact that he was left unmolested should be taken into account when evaluating later claims that the </w:t>
      </w:r>
      <w:r w:rsidR="00C507A5">
        <w:rPr>
          <w:color w:val="231F20"/>
          <w:spacing w:val="5"/>
        </w:rPr>
        <w:t>red army faction</w:t>
      </w:r>
      <w:r>
        <w:rPr>
          <w:color w:val="231F20"/>
          <w:spacing w:val="5"/>
        </w:rPr>
        <w:t xml:space="preserve"> </w:t>
      </w:r>
      <w:r>
        <w:rPr>
          <w:color w:val="231F20"/>
        </w:rPr>
        <w:t>executed suspected traitors</w:t>
      </w:r>
      <w:r>
        <w:rPr>
          <w:color w:val="231F20"/>
          <w:spacing w:val="8"/>
        </w:rPr>
        <w:t xml:space="preserve"> </w:t>
      </w:r>
      <w:r>
        <w:rPr>
          <w:color w:val="231F20"/>
        </w:rPr>
        <w:t>or</w:t>
      </w:r>
      <w:r>
        <w:rPr>
          <w:color w:val="231F20"/>
          <w:spacing w:val="8"/>
        </w:rPr>
        <w:t xml:space="preserve"> </w:t>
      </w:r>
      <w:r>
        <w:rPr>
          <w:color w:val="231F20"/>
        </w:rPr>
        <w:t>those</w:t>
      </w:r>
      <w:r>
        <w:rPr>
          <w:color w:val="231F20"/>
          <w:spacing w:val="8"/>
        </w:rPr>
        <w:t xml:space="preserve"> </w:t>
      </w:r>
      <w:r>
        <w:rPr>
          <w:color w:val="231F20"/>
        </w:rPr>
        <w:t>who</w:t>
      </w:r>
      <w:r>
        <w:rPr>
          <w:color w:val="231F20"/>
          <w:spacing w:val="8"/>
        </w:rPr>
        <w:t xml:space="preserve"> </w:t>
      </w:r>
      <w:r>
        <w:rPr>
          <w:color w:val="231F20"/>
        </w:rPr>
        <w:t>wished</w:t>
      </w:r>
      <w:r>
        <w:rPr>
          <w:color w:val="231F20"/>
          <w:spacing w:val="8"/>
        </w:rPr>
        <w:t xml:space="preserve"> </w:t>
      </w:r>
      <w:r>
        <w:rPr>
          <w:color w:val="231F20"/>
        </w:rPr>
        <w:t>to</w:t>
      </w:r>
      <w:r>
        <w:rPr>
          <w:color w:val="231F20"/>
          <w:spacing w:val="8"/>
        </w:rPr>
        <w:t xml:space="preserve"> </w:t>
      </w:r>
      <w:r>
        <w:rPr>
          <w:color w:val="231F20"/>
        </w:rPr>
        <w:t>leave</w:t>
      </w:r>
      <w:r>
        <w:rPr>
          <w:color w:val="231F20"/>
          <w:spacing w:val="8"/>
        </w:rPr>
        <w:t xml:space="preserve"> </w:t>
      </w:r>
      <w:r>
        <w:rPr>
          <w:color w:val="231F20"/>
        </w:rPr>
        <w:t>its</w:t>
      </w:r>
      <w:r>
        <w:rPr>
          <w:color w:val="231F20"/>
          <w:spacing w:val="8"/>
        </w:rPr>
        <w:t xml:space="preserve"> </w:t>
      </w:r>
      <w:r>
        <w:rPr>
          <w:color w:val="231F20"/>
        </w:rPr>
        <w:t>ranks.)</w:t>
      </w:r>
      <w:r>
        <w:rPr>
          <w:color w:val="231F20"/>
          <w:position w:val="7"/>
          <w:sz w:val="11"/>
        </w:rPr>
        <w:t>1</w:t>
      </w:r>
    </w:p>
    <w:p w14:paraId="08E898D6" w14:textId="77777777" w:rsidR="002653E8" w:rsidRDefault="003115E3">
      <w:pPr>
        <w:pStyle w:val="a3"/>
        <w:spacing w:line="264" w:lineRule="auto"/>
        <w:ind w:left="1148" w:right="1325" w:firstLine="209"/>
        <w:jc w:val="both"/>
      </w:pPr>
      <w:r>
        <w:rPr>
          <w:color w:val="231F20"/>
        </w:rPr>
        <w:t xml:space="preserve">Following these arrests, the </w:t>
      </w:r>
      <w:r w:rsidR="00C507A5">
        <w:rPr>
          <w:color w:val="231F20"/>
        </w:rPr>
        <w:t>red army faction</w:t>
      </w:r>
      <w:r>
        <w:rPr>
          <w:color w:val="231F20"/>
        </w:rPr>
        <w:t xml:space="preserve"> moved to transfer operations outside of West Berlin, and members of the group began crossing over into West Germany proper. During this period, the fledgling guerilla burglarized the town halls of two small towns, taking blank ID cards, passports, and official stamps for use in future operations.</w:t>
      </w:r>
    </w:p>
    <w:p w14:paraId="5E3C0DED" w14:textId="77777777" w:rsidR="002653E8" w:rsidRDefault="003115E3">
      <w:pPr>
        <w:pStyle w:val="a3"/>
        <w:spacing w:line="264" w:lineRule="auto"/>
        <w:ind w:left="1147" w:right="1317" w:firstLine="210"/>
        <w:jc w:val="both"/>
      </w:pPr>
      <w:r>
        <w:rPr>
          <w:color w:val="231F20"/>
        </w:rPr>
        <w:t xml:space="preserve">On December 20, Karl-Heinz Ruhland and </w:t>
      </w:r>
      <w:r w:rsidR="00C507A5">
        <w:rPr>
          <w:color w:val="231F20"/>
        </w:rPr>
        <w:t>red army faction</w:t>
      </w:r>
      <w:r>
        <w:rPr>
          <w:color w:val="231F20"/>
        </w:rPr>
        <w:t xml:space="preserve"> members Ali Jansen and Beate Sturm were stopped by police in Oberhausen. Ruhland, who was only peripheral to the group, surrendered while Jansen and Sturm made their getaway. The next day Jansen was arrested along with </w:t>
      </w:r>
      <w:r w:rsidR="00C507A5">
        <w:rPr>
          <w:color w:val="231F20"/>
        </w:rPr>
        <w:t>red army faction</w:t>
      </w:r>
      <w:r>
        <w:rPr>
          <w:color w:val="231F20"/>
        </w:rPr>
        <w:t xml:space="preserve"> member Uli Scholze while trying to steal a Mercedes-Benz. (Sturm soon left the guerilla, as did Scholze when he was released one day after his capture. Ruhland cooperated with police, helping to reveal the location of safehouses and testifying in court against </w:t>
      </w:r>
      <w:r w:rsidR="00C507A5">
        <w:rPr>
          <w:color w:val="231F20"/>
        </w:rPr>
        <w:t>red army faction</w:t>
      </w:r>
      <w:r>
        <w:rPr>
          <w:color w:val="231F20"/>
        </w:rPr>
        <w:t xml:space="preserve"> members. Jansen received a ten year sentence for shooting at police.)</w:t>
      </w:r>
    </w:p>
    <w:p w14:paraId="40EF222D" w14:textId="77777777" w:rsidR="002653E8" w:rsidRDefault="003115E3">
      <w:pPr>
        <w:pStyle w:val="a3"/>
        <w:spacing w:line="264" w:lineRule="auto"/>
        <w:ind w:left="1148" w:right="1325" w:firstLine="210"/>
        <w:jc w:val="both"/>
        <w:rPr>
          <w:sz w:val="11"/>
        </w:rPr>
      </w:pPr>
      <w:r>
        <w:rPr>
          <w:color w:val="231F20"/>
          <w:w w:val="105"/>
        </w:rPr>
        <w:t xml:space="preserve">On February </w:t>
      </w:r>
      <w:r>
        <w:rPr>
          <w:color w:val="231F20"/>
          <w:spacing w:val="-3"/>
          <w:w w:val="105"/>
        </w:rPr>
        <w:t xml:space="preserve">10, </w:t>
      </w:r>
      <w:r>
        <w:rPr>
          <w:color w:val="231F20"/>
          <w:spacing w:val="-4"/>
          <w:w w:val="105"/>
        </w:rPr>
        <w:t xml:space="preserve">1971, </w:t>
      </w:r>
      <w:r>
        <w:rPr>
          <w:color w:val="231F20"/>
          <w:w w:val="105"/>
        </w:rPr>
        <w:t xml:space="preserve">Astrid Proll was spotted by Frankfurt police along with fellow </w:t>
      </w:r>
      <w:r w:rsidR="00C507A5">
        <w:rPr>
          <w:color w:val="231F20"/>
          <w:spacing w:val="5"/>
          <w:w w:val="105"/>
        </w:rPr>
        <w:t>red army faction</w:t>
      </w:r>
      <w:r>
        <w:rPr>
          <w:color w:val="231F20"/>
          <w:spacing w:val="5"/>
          <w:w w:val="105"/>
        </w:rPr>
        <w:t xml:space="preserve"> </w:t>
      </w:r>
      <w:r>
        <w:rPr>
          <w:color w:val="231F20"/>
          <w:w w:val="105"/>
        </w:rPr>
        <w:t>member Manfred Grashof. The police opened fire</w:t>
      </w:r>
      <w:r>
        <w:rPr>
          <w:color w:val="231F20"/>
          <w:spacing w:val="-3"/>
          <w:w w:val="105"/>
        </w:rPr>
        <w:t xml:space="preserve"> </w:t>
      </w:r>
      <w:r>
        <w:rPr>
          <w:color w:val="231F20"/>
          <w:w w:val="105"/>
        </w:rPr>
        <w:t>in</w:t>
      </w:r>
      <w:r>
        <w:rPr>
          <w:color w:val="231F20"/>
          <w:spacing w:val="-3"/>
          <w:w w:val="105"/>
        </w:rPr>
        <w:t xml:space="preserve"> </w:t>
      </w:r>
      <w:r>
        <w:rPr>
          <w:color w:val="231F20"/>
          <w:w w:val="105"/>
        </w:rPr>
        <w:t>a</w:t>
      </w:r>
      <w:r>
        <w:rPr>
          <w:color w:val="231F20"/>
          <w:spacing w:val="-3"/>
          <w:w w:val="105"/>
        </w:rPr>
        <w:t xml:space="preserve"> </w:t>
      </w:r>
      <w:r>
        <w:rPr>
          <w:color w:val="231F20"/>
          <w:w w:val="105"/>
        </w:rPr>
        <w:t>clear</w:t>
      </w:r>
      <w:r>
        <w:rPr>
          <w:color w:val="231F20"/>
          <w:spacing w:val="-3"/>
          <w:w w:val="105"/>
        </w:rPr>
        <w:t xml:space="preserve"> </w:t>
      </w:r>
      <w:r>
        <w:rPr>
          <w:color w:val="231F20"/>
          <w:w w:val="105"/>
        </w:rPr>
        <w:t>attempt</w:t>
      </w:r>
      <w:r>
        <w:rPr>
          <w:color w:val="231F20"/>
          <w:spacing w:val="-3"/>
          <w:w w:val="105"/>
        </w:rPr>
        <w:t xml:space="preserve"> </w:t>
      </w:r>
      <w:r>
        <w:rPr>
          <w:color w:val="231F20"/>
          <w:w w:val="105"/>
        </w:rPr>
        <w:t>to</w:t>
      </w:r>
      <w:r>
        <w:rPr>
          <w:color w:val="231F20"/>
          <w:spacing w:val="-3"/>
          <w:w w:val="105"/>
        </w:rPr>
        <w:t xml:space="preserve"> </w:t>
      </w:r>
      <w:r>
        <w:rPr>
          <w:color w:val="231F20"/>
          <w:w w:val="105"/>
        </w:rPr>
        <w:t>kill</w:t>
      </w:r>
      <w:r>
        <w:rPr>
          <w:color w:val="231F20"/>
          <w:spacing w:val="-3"/>
          <w:w w:val="105"/>
        </w:rPr>
        <w:t xml:space="preserve"> </w:t>
      </w:r>
      <w:r>
        <w:rPr>
          <w:color w:val="231F20"/>
          <w:w w:val="105"/>
        </w:rPr>
        <w:t>the</w:t>
      </w:r>
      <w:r>
        <w:rPr>
          <w:color w:val="231F20"/>
          <w:spacing w:val="-3"/>
          <w:w w:val="105"/>
        </w:rPr>
        <w:t xml:space="preserve"> </w:t>
      </w:r>
      <w:r>
        <w:rPr>
          <w:color w:val="231F20"/>
          <w:w w:val="105"/>
        </w:rPr>
        <w:t>two</w:t>
      </w:r>
      <w:r>
        <w:rPr>
          <w:color w:val="231F20"/>
          <w:spacing w:val="-3"/>
          <w:w w:val="105"/>
        </w:rPr>
        <w:t xml:space="preserve"> </w:t>
      </w:r>
      <w:r>
        <w:rPr>
          <w:color w:val="231F20"/>
          <w:w w:val="105"/>
        </w:rPr>
        <w:t>as</w:t>
      </w:r>
      <w:r>
        <w:rPr>
          <w:color w:val="231F20"/>
          <w:spacing w:val="-3"/>
          <w:w w:val="105"/>
        </w:rPr>
        <w:t xml:space="preserve"> </w:t>
      </w:r>
      <w:r>
        <w:rPr>
          <w:color w:val="231F20"/>
          <w:w w:val="105"/>
        </w:rPr>
        <w:t>they</w:t>
      </w:r>
      <w:r>
        <w:rPr>
          <w:color w:val="231F20"/>
          <w:spacing w:val="-3"/>
          <w:w w:val="105"/>
        </w:rPr>
        <w:t xml:space="preserve"> </w:t>
      </w:r>
      <w:r>
        <w:rPr>
          <w:color w:val="231F20"/>
          <w:w w:val="105"/>
        </w:rPr>
        <w:t>fled;</w:t>
      </w:r>
      <w:r>
        <w:rPr>
          <w:color w:val="231F20"/>
          <w:spacing w:val="-3"/>
          <w:w w:val="105"/>
        </w:rPr>
        <w:t xml:space="preserve"> </w:t>
      </w:r>
      <w:r>
        <w:rPr>
          <w:color w:val="231F20"/>
          <w:w w:val="105"/>
        </w:rPr>
        <w:t>luckily,</w:t>
      </w:r>
      <w:r>
        <w:rPr>
          <w:color w:val="231F20"/>
          <w:spacing w:val="-3"/>
          <w:w w:val="105"/>
        </w:rPr>
        <w:t xml:space="preserve"> </w:t>
      </w:r>
      <w:r>
        <w:rPr>
          <w:color w:val="231F20"/>
          <w:w w:val="105"/>
        </w:rPr>
        <w:t>they</w:t>
      </w:r>
      <w:r>
        <w:rPr>
          <w:color w:val="231F20"/>
          <w:spacing w:val="-3"/>
          <w:w w:val="105"/>
        </w:rPr>
        <w:t xml:space="preserve"> </w:t>
      </w:r>
      <w:r>
        <w:rPr>
          <w:color w:val="231F20"/>
          <w:w w:val="105"/>
        </w:rPr>
        <w:t>missed. Subsequently,</w:t>
      </w:r>
      <w:r>
        <w:rPr>
          <w:color w:val="231F20"/>
          <w:spacing w:val="-17"/>
          <w:w w:val="105"/>
        </w:rPr>
        <w:t xml:space="preserve"> </w:t>
      </w:r>
      <w:r>
        <w:rPr>
          <w:color w:val="231F20"/>
          <w:w w:val="105"/>
        </w:rPr>
        <w:t>the</w:t>
      </w:r>
      <w:r>
        <w:rPr>
          <w:color w:val="231F20"/>
          <w:spacing w:val="-17"/>
          <w:w w:val="105"/>
        </w:rPr>
        <w:t xml:space="preserve"> </w:t>
      </w:r>
      <w:r>
        <w:rPr>
          <w:color w:val="231F20"/>
          <w:w w:val="105"/>
        </w:rPr>
        <w:t>cops</w:t>
      </w:r>
      <w:r>
        <w:rPr>
          <w:color w:val="231F20"/>
          <w:spacing w:val="-17"/>
          <w:w w:val="105"/>
        </w:rPr>
        <w:t xml:space="preserve"> </w:t>
      </w:r>
      <w:r>
        <w:rPr>
          <w:color w:val="231F20"/>
          <w:w w:val="105"/>
        </w:rPr>
        <w:t>involved</w:t>
      </w:r>
      <w:r>
        <w:rPr>
          <w:color w:val="231F20"/>
          <w:spacing w:val="-17"/>
          <w:w w:val="105"/>
        </w:rPr>
        <w:t xml:space="preserve"> </w:t>
      </w:r>
      <w:r>
        <w:rPr>
          <w:color w:val="231F20"/>
          <w:w w:val="105"/>
        </w:rPr>
        <w:t>would</w:t>
      </w:r>
      <w:r>
        <w:rPr>
          <w:color w:val="231F20"/>
          <w:spacing w:val="-17"/>
          <w:w w:val="105"/>
        </w:rPr>
        <w:t xml:space="preserve"> </w:t>
      </w:r>
      <w:r>
        <w:rPr>
          <w:color w:val="231F20"/>
          <w:w w:val="105"/>
        </w:rPr>
        <w:t>claim</w:t>
      </w:r>
      <w:r>
        <w:rPr>
          <w:color w:val="231F20"/>
          <w:spacing w:val="-17"/>
          <w:w w:val="105"/>
        </w:rPr>
        <w:t xml:space="preserve"> </w:t>
      </w:r>
      <w:r>
        <w:rPr>
          <w:color w:val="231F20"/>
          <w:w w:val="105"/>
        </w:rPr>
        <w:t>that</w:t>
      </w:r>
      <w:r>
        <w:rPr>
          <w:color w:val="231F20"/>
          <w:spacing w:val="-17"/>
          <w:w w:val="105"/>
        </w:rPr>
        <w:t xml:space="preserve"> </w:t>
      </w:r>
      <w:r>
        <w:rPr>
          <w:color w:val="231F20"/>
          <w:w w:val="105"/>
        </w:rPr>
        <w:t>they</w:t>
      </w:r>
      <w:r>
        <w:rPr>
          <w:color w:val="231F20"/>
          <w:spacing w:val="-17"/>
          <w:w w:val="105"/>
        </w:rPr>
        <w:t xml:space="preserve"> </w:t>
      </w:r>
      <w:r>
        <w:rPr>
          <w:color w:val="231F20"/>
          <w:w w:val="105"/>
        </w:rPr>
        <w:t>had</w:t>
      </w:r>
      <w:r>
        <w:rPr>
          <w:color w:val="231F20"/>
          <w:spacing w:val="-17"/>
          <w:w w:val="105"/>
        </w:rPr>
        <w:t xml:space="preserve"> </w:t>
      </w:r>
      <w:r>
        <w:rPr>
          <w:color w:val="231F20"/>
          <w:w w:val="105"/>
        </w:rPr>
        <w:t>shot</w:t>
      </w:r>
      <w:r>
        <w:rPr>
          <w:color w:val="231F20"/>
          <w:spacing w:val="-17"/>
          <w:w w:val="105"/>
        </w:rPr>
        <w:t xml:space="preserve"> </w:t>
      </w:r>
      <w:r>
        <w:rPr>
          <w:color w:val="231F20"/>
          <w:w w:val="105"/>
        </w:rPr>
        <w:t>in</w:t>
      </w:r>
      <w:r>
        <w:rPr>
          <w:color w:val="231F20"/>
          <w:spacing w:val="-17"/>
          <w:w w:val="105"/>
        </w:rPr>
        <w:t xml:space="preserve"> </w:t>
      </w:r>
      <w:r>
        <w:rPr>
          <w:color w:val="231F20"/>
          <w:w w:val="105"/>
        </w:rPr>
        <w:t>selfdefense,</w:t>
      </w:r>
      <w:r>
        <w:rPr>
          <w:color w:val="231F20"/>
          <w:spacing w:val="-14"/>
          <w:w w:val="105"/>
        </w:rPr>
        <w:t xml:space="preserve"> </w:t>
      </w:r>
      <w:r>
        <w:rPr>
          <w:color w:val="231F20"/>
          <w:w w:val="105"/>
        </w:rPr>
        <w:t>yet</w:t>
      </w:r>
      <w:r>
        <w:rPr>
          <w:color w:val="231F20"/>
          <w:spacing w:val="-14"/>
          <w:w w:val="105"/>
        </w:rPr>
        <w:t xml:space="preserve"> </w:t>
      </w:r>
      <w:r>
        <w:rPr>
          <w:color w:val="231F20"/>
          <w:w w:val="105"/>
        </w:rPr>
        <w:t>unbeknownst</w:t>
      </w:r>
      <w:r>
        <w:rPr>
          <w:color w:val="231F20"/>
          <w:spacing w:val="-14"/>
          <w:w w:val="105"/>
        </w:rPr>
        <w:t xml:space="preserve"> </w:t>
      </w:r>
      <w:r>
        <w:rPr>
          <w:color w:val="231F20"/>
          <w:w w:val="105"/>
        </w:rPr>
        <w:t>to</w:t>
      </w:r>
      <w:r>
        <w:rPr>
          <w:color w:val="231F20"/>
          <w:spacing w:val="-14"/>
          <w:w w:val="105"/>
        </w:rPr>
        <w:t xml:space="preserve"> </w:t>
      </w:r>
      <w:r>
        <w:rPr>
          <w:color w:val="231F20"/>
          <w:w w:val="105"/>
        </w:rPr>
        <w:t>them</w:t>
      </w:r>
      <w:r>
        <w:rPr>
          <w:color w:val="231F20"/>
          <w:spacing w:val="-14"/>
          <w:w w:val="105"/>
        </w:rPr>
        <w:t xml:space="preserve"> </w:t>
      </w:r>
      <w:r>
        <w:rPr>
          <w:color w:val="231F20"/>
          <w:w w:val="105"/>
        </w:rPr>
        <w:t>the</w:t>
      </w:r>
      <w:r>
        <w:rPr>
          <w:color w:val="231F20"/>
          <w:spacing w:val="-14"/>
          <w:w w:val="105"/>
        </w:rPr>
        <w:t xml:space="preserve"> </w:t>
      </w:r>
      <w:r>
        <w:rPr>
          <w:color w:val="231F20"/>
          <w:w w:val="105"/>
        </w:rPr>
        <w:t>entire</w:t>
      </w:r>
      <w:r>
        <w:rPr>
          <w:color w:val="231F20"/>
          <w:spacing w:val="-14"/>
          <w:w w:val="105"/>
        </w:rPr>
        <w:t xml:space="preserve"> </w:t>
      </w:r>
      <w:r>
        <w:rPr>
          <w:color w:val="231F20"/>
          <w:w w:val="105"/>
        </w:rPr>
        <w:t>scene</w:t>
      </w:r>
      <w:r>
        <w:rPr>
          <w:color w:val="231F20"/>
          <w:spacing w:val="-14"/>
          <w:w w:val="105"/>
        </w:rPr>
        <w:t xml:space="preserve"> </w:t>
      </w:r>
      <w:r>
        <w:rPr>
          <w:color w:val="231F20"/>
          <w:w w:val="105"/>
        </w:rPr>
        <w:t>had</w:t>
      </w:r>
      <w:r>
        <w:rPr>
          <w:color w:val="231F20"/>
          <w:spacing w:val="-14"/>
          <w:w w:val="105"/>
        </w:rPr>
        <w:t xml:space="preserve"> </w:t>
      </w:r>
      <w:r>
        <w:rPr>
          <w:color w:val="231F20"/>
          <w:w w:val="105"/>
        </w:rPr>
        <w:t>been</w:t>
      </w:r>
      <w:r>
        <w:rPr>
          <w:color w:val="231F20"/>
          <w:spacing w:val="-14"/>
          <w:w w:val="105"/>
        </w:rPr>
        <w:t xml:space="preserve"> </w:t>
      </w:r>
      <w:r>
        <w:rPr>
          <w:color w:val="231F20"/>
          <w:w w:val="105"/>
        </w:rPr>
        <w:t xml:space="preserve">observed by the </w:t>
      </w:r>
      <w:r>
        <w:rPr>
          <w:i/>
          <w:color w:val="231F20"/>
          <w:w w:val="105"/>
        </w:rPr>
        <w:t>Verfassungsschutz</w:t>
      </w:r>
      <w:r>
        <w:rPr>
          <w:color w:val="231F20"/>
          <w:w w:val="105"/>
        </w:rPr>
        <w:t>, who filed a report detailing how neither of the guerillas had even drawn their weapons. This fact would remain suppressed by the state for</w:t>
      </w:r>
      <w:r>
        <w:rPr>
          <w:color w:val="231F20"/>
          <w:spacing w:val="28"/>
          <w:w w:val="105"/>
        </w:rPr>
        <w:t xml:space="preserve"> </w:t>
      </w:r>
      <w:r>
        <w:rPr>
          <w:color w:val="231F20"/>
          <w:w w:val="105"/>
        </w:rPr>
        <w:t>years.</w:t>
      </w:r>
      <w:r>
        <w:rPr>
          <w:color w:val="231F20"/>
          <w:w w:val="105"/>
          <w:position w:val="7"/>
          <w:sz w:val="11"/>
        </w:rPr>
        <w:t>2</w:t>
      </w:r>
    </w:p>
    <w:p w14:paraId="30FEF376" w14:textId="77777777" w:rsidR="002653E8" w:rsidRDefault="003115E3">
      <w:pPr>
        <w:pStyle w:val="a3"/>
        <w:spacing w:line="264" w:lineRule="auto"/>
        <w:ind w:left="1147" w:right="1326" w:firstLine="210"/>
        <w:jc w:val="both"/>
      </w:pPr>
      <w:r>
        <w:rPr>
          <w:color w:val="231F20"/>
        </w:rPr>
        <w:t xml:space="preserve">The alleged “firefight” with Proll and Grashof was added to a growing list of propaganda stories used by the police to justify a massive nationwide search, with Federal Minister of the Interior Hans-Dietrich Genscher publicly declaring the </w:t>
      </w:r>
      <w:r w:rsidR="00C507A5">
        <w:rPr>
          <w:color w:val="231F20"/>
          <w:spacing w:val="5"/>
        </w:rPr>
        <w:t>red army faction</w:t>
      </w:r>
      <w:r>
        <w:rPr>
          <w:color w:val="231F20"/>
          <w:spacing w:val="5"/>
        </w:rPr>
        <w:t xml:space="preserve"> </w:t>
      </w:r>
      <w:r>
        <w:rPr>
          <w:color w:val="231F20"/>
        </w:rPr>
        <w:t xml:space="preserve">to be “Public Enemy  Number  </w:t>
      </w:r>
      <w:r>
        <w:rPr>
          <w:color w:val="231F20"/>
          <w:spacing w:val="-3"/>
        </w:rPr>
        <w:t xml:space="preserve">One.” </w:t>
      </w:r>
      <w:r>
        <w:rPr>
          <w:color w:val="231F20"/>
        </w:rPr>
        <w:t>Apartments were raided in Gelsenkirchen, Frankfurt, Hamburg, and</w:t>
      </w:r>
      <w:r>
        <w:rPr>
          <w:color w:val="231F20"/>
          <w:spacing w:val="10"/>
        </w:rPr>
        <w:t xml:space="preserve"> </w:t>
      </w:r>
      <w:r>
        <w:rPr>
          <w:color w:val="231F20"/>
        </w:rPr>
        <w:t>Bremen,</w:t>
      </w:r>
      <w:r>
        <w:rPr>
          <w:color w:val="231F20"/>
          <w:spacing w:val="10"/>
        </w:rPr>
        <w:t xml:space="preserve"> </w:t>
      </w:r>
      <w:r>
        <w:rPr>
          <w:color w:val="231F20"/>
        </w:rPr>
        <w:t>yet</w:t>
      </w:r>
      <w:r>
        <w:rPr>
          <w:color w:val="231F20"/>
          <w:spacing w:val="10"/>
        </w:rPr>
        <w:t xml:space="preserve"> </w:t>
      </w:r>
      <w:r>
        <w:rPr>
          <w:color w:val="231F20"/>
        </w:rPr>
        <w:t>the</w:t>
      </w:r>
      <w:r>
        <w:rPr>
          <w:color w:val="231F20"/>
          <w:spacing w:val="10"/>
        </w:rPr>
        <w:t xml:space="preserve"> </w:t>
      </w:r>
      <w:r>
        <w:rPr>
          <w:color w:val="231F20"/>
        </w:rPr>
        <w:t>guerilla</w:t>
      </w:r>
      <w:r>
        <w:rPr>
          <w:color w:val="231F20"/>
          <w:spacing w:val="10"/>
        </w:rPr>
        <w:t xml:space="preserve"> </w:t>
      </w:r>
      <w:r>
        <w:rPr>
          <w:color w:val="231F20"/>
        </w:rPr>
        <w:t>managed</w:t>
      </w:r>
      <w:r>
        <w:rPr>
          <w:color w:val="231F20"/>
          <w:spacing w:val="10"/>
        </w:rPr>
        <w:t xml:space="preserve"> </w:t>
      </w:r>
      <w:r>
        <w:rPr>
          <w:color w:val="231F20"/>
        </w:rPr>
        <w:t>to</w:t>
      </w:r>
      <w:r>
        <w:rPr>
          <w:color w:val="231F20"/>
          <w:spacing w:val="10"/>
        </w:rPr>
        <w:t xml:space="preserve"> </w:t>
      </w:r>
      <w:r>
        <w:rPr>
          <w:color w:val="231F20"/>
        </w:rPr>
        <w:t>elude</w:t>
      </w:r>
      <w:r>
        <w:rPr>
          <w:color w:val="231F20"/>
          <w:spacing w:val="10"/>
        </w:rPr>
        <w:t xml:space="preserve"> </w:t>
      </w:r>
      <w:r>
        <w:rPr>
          <w:color w:val="231F20"/>
        </w:rPr>
        <w:t>capture.</w:t>
      </w:r>
    </w:p>
    <w:p w14:paraId="3FCECAE9" w14:textId="77777777" w:rsidR="002653E8" w:rsidRDefault="003115E3">
      <w:pPr>
        <w:pStyle w:val="a3"/>
        <w:spacing w:line="264" w:lineRule="auto"/>
        <w:ind w:left="1147" w:right="1326" w:firstLine="210"/>
        <w:jc w:val="both"/>
      </w:pPr>
      <w:r>
        <w:rPr>
          <w:color w:val="231F20"/>
        </w:rPr>
        <w:t>Meanwhile, the trial of Horst Mahler, Ingrid Schubert, and Irene Goergens opened in West Berlin on March 1. Schubert and Goergens were charged with attempted murder and using force in the Baader</w:t>
      </w:r>
    </w:p>
    <w:p w14:paraId="7B4B2CB3" w14:textId="77777777" w:rsidR="002653E8" w:rsidRDefault="00000000">
      <w:pPr>
        <w:pStyle w:val="a3"/>
        <w:spacing w:before="8"/>
        <w:rPr>
          <w:sz w:val="13"/>
        </w:rPr>
      </w:pPr>
      <w:r>
        <w:rPr>
          <w:noProof w:val="0"/>
        </w:rPr>
        <w:pict w14:anchorId="0C64EDC4">
          <v:line id="_x0000_s2635" style="position:absolute;z-index:2872;mso-wrap-distance-left:0;mso-wrap-distance-right:0;mso-position-horizontal-relative:page" from="57.4pt,10.25pt" to="129.4pt,10.25pt" strokecolor="#231f20" strokeweight=".5pt">
            <w10:wrap type="topAndBottom" anchorx="page"/>
          </v:line>
        </w:pict>
      </w:r>
    </w:p>
    <w:p w14:paraId="0DFEC9FD" w14:textId="77777777" w:rsidR="002653E8" w:rsidRDefault="003115E3">
      <w:pPr>
        <w:spacing w:before="53"/>
        <w:ind w:left="1147"/>
        <w:rPr>
          <w:sz w:val="16"/>
        </w:rPr>
      </w:pPr>
      <w:r>
        <w:rPr>
          <w:color w:val="231F20"/>
          <w:w w:val="110"/>
          <w:sz w:val="16"/>
        </w:rPr>
        <w:t>1 Aust, 111-112.</w:t>
      </w:r>
    </w:p>
    <w:p w14:paraId="0297A53D" w14:textId="77777777" w:rsidR="002653E8" w:rsidRDefault="003115E3">
      <w:pPr>
        <w:spacing w:before="51"/>
        <w:ind w:left="1148"/>
        <w:rPr>
          <w:sz w:val="16"/>
        </w:rPr>
      </w:pPr>
      <w:r>
        <w:rPr>
          <w:color w:val="231F20"/>
          <w:w w:val="110"/>
          <w:sz w:val="16"/>
        </w:rPr>
        <w:t>2 Ibid., 140.</w:t>
      </w:r>
    </w:p>
    <w:p w14:paraId="0EAABCBA" w14:textId="77777777" w:rsidR="002653E8" w:rsidRDefault="002653E8">
      <w:pPr>
        <w:rPr>
          <w:sz w:val="16"/>
        </w:rPr>
        <w:sectPr w:rsidR="002653E8">
          <w:pgSz w:w="8640" w:h="12960"/>
          <w:pgMar w:top="1060" w:right="0" w:bottom="1040" w:left="0" w:header="0" w:footer="850" w:gutter="0"/>
          <w:cols w:space="720"/>
        </w:sectPr>
      </w:pPr>
    </w:p>
    <w:p w14:paraId="4716DB74" w14:textId="77777777" w:rsidR="002653E8" w:rsidRDefault="003115E3">
      <w:pPr>
        <w:pStyle w:val="a3"/>
        <w:spacing w:before="86" w:line="264" w:lineRule="auto"/>
        <w:ind w:left="1327" w:right="1146"/>
        <w:jc w:val="both"/>
      </w:pPr>
      <w:r>
        <w:rPr>
          <w:color w:val="231F20"/>
        </w:rPr>
        <w:lastRenderedPageBreak/>
        <w:t>jailbreak, while Mahler (who had arranged to be in court during the action, and so had an alibi) was charged as an accessory, and with illegal possession of a firearm.</w:t>
      </w:r>
    </w:p>
    <w:p w14:paraId="52EDBE3E" w14:textId="77777777" w:rsidR="002653E8" w:rsidRDefault="003115E3">
      <w:pPr>
        <w:pStyle w:val="a3"/>
        <w:spacing w:line="264" w:lineRule="auto"/>
        <w:ind w:left="1327" w:right="1146" w:firstLine="209"/>
        <w:jc w:val="both"/>
      </w:pPr>
      <w:r>
        <w:rPr>
          <w:color w:val="231F20"/>
          <w:w w:val="105"/>
        </w:rPr>
        <w:t xml:space="preserve">This first </w:t>
      </w:r>
      <w:r w:rsidR="00C507A5">
        <w:rPr>
          <w:color w:val="231F20"/>
          <w:spacing w:val="5"/>
          <w:w w:val="105"/>
        </w:rPr>
        <w:t>red army faction</w:t>
      </w:r>
      <w:r>
        <w:rPr>
          <w:color w:val="231F20"/>
          <w:spacing w:val="-29"/>
          <w:w w:val="105"/>
        </w:rPr>
        <w:t xml:space="preserve"> </w:t>
      </w:r>
      <w:r>
        <w:rPr>
          <w:color w:val="231F20"/>
          <w:w w:val="105"/>
        </w:rPr>
        <w:t xml:space="preserve">trial would set the tone for twenty years of collusion </w:t>
      </w:r>
      <w:r>
        <w:rPr>
          <w:color w:val="231F20"/>
        </w:rPr>
        <w:t>between the media, the police, and shadowy elements intent on</w:t>
      </w:r>
      <w:r>
        <w:rPr>
          <w:color w:val="231F20"/>
          <w:spacing w:val="-26"/>
        </w:rPr>
        <w:t xml:space="preserve"> </w:t>
      </w:r>
      <w:r>
        <w:rPr>
          <w:color w:val="231F20"/>
        </w:rPr>
        <w:t>present</w:t>
      </w:r>
      <w:r>
        <w:rPr>
          <w:color w:val="231F20"/>
          <w:w w:val="105"/>
        </w:rPr>
        <w:t>ing</w:t>
      </w:r>
      <w:r>
        <w:rPr>
          <w:color w:val="231F20"/>
          <w:spacing w:val="-14"/>
          <w:w w:val="105"/>
        </w:rPr>
        <w:t xml:space="preserve"> </w:t>
      </w:r>
      <w:r>
        <w:rPr>
          <w:color w:val="231F20"/>
          <w:w w:val="105"/>
        </w:rPr>
        <w:t>the</w:t>
      </w:r>
      <w:r>
        <w:rPr>
          <w:color w:val="231F20"/>
          <w:spacing w:val="-14"/>
          <w:w w:val="105"/>
        </w:rPr>
        <w:t xml:space="preserve"> </w:t>
      </w:r>
      <w:r>
        <w:rPr>
          <w:color w:val="231F20"/>
          <w:w w:val="105"/>
        </w:rPr>
        <w:t>guerilla</w:t>
      </w:r>
      <w:r>
        <w:rPr>
          <w:color w:val="231F20"/>
          <w:spacing w:val="-14"/>
          <w:w w:val="105"/>
        </w:rPr>
        <w:t xml:space="preserve"> </w:t>
      </w:r>
      <w:r>
        <w:rPr>
          <w:color w:val="231F20"/>
          <w:w w:val="105"/>
        </w:rPr>
        <w:t>in</w:t>
      </w:r>
      <w:r>
        <w:rPr>
          <w:color w:val="231F20"/>
          <w:spacing w:val="-14"/>
          <w:w w:val="105"/>
        </w:rPr>
        <w:t xml:space="preserve"> </w:t>
      </w:r>
      <w:r>
        <w:rPr>
          <w:color w:val="231F20"/>
          <w:w w:val="105"/>
        </w:rPr>
        <w:t>the</w:t>
      </w:r>
      <w:r>
        <w:rPr>
          <w:color w:val="231F20"/>
          <w:spacing w:val="-14"/>
          <w:w w:val="105"/>
        </w:rPr>
        <w:t xml:space="preserve"> </w:t>
      </w:r>
      <w:r>
        <w:rPr>
          <w:color w:val="231F20"/>
          <w:w w:val="105"/>
        </w:rPr>
        <w:t>most</w:t>
      </w:r>
      <w:r>
        <w:rPr>
          <w:color w:val="231F20"/>
          <w:spacing w:val="-14"/>
          <w:w w:val="105"/>
        </w:rPr>
        <w:t xml:space="preserve"> </w:t>
      </w:r>
      <w:r>
        <w:rPr>
          <w:color w:val="231F20"/>
          <w:w w:val="105"/>
        </w:rPr>
        <w:t>horrific</w:t>
      </w:r>
      <w:r>
        <w:rPr>
          <w:color w:val="231F20"/>
          <w:spacing w:val="-14"/>
          <w:w w:val="105"/>
        </w:rPr>
        <w:t xml:space="preserve"> </w:t>
      </w:r>
      <w:r>
        <w:rPr>
          <w:color w:val="231F20"/>
          <w:w w:val="105"/>
        </w:rPr>
        <w:t>light.</w:t>
      </w:r>
      <w:r>
        <w:rPr>
          <w:color w:val="231F20"/>
          <w:spacing w:val="-14"/>
          <w:w w:val="105"/>
        </w:rPr>
        <w:t xml:space="preserve"> </w:t>
      </w:r>
      <w:r>
        <w:rPr>
          <w:color w:val="231F20"/>
          <w:w w:val="105"/>
        </w:rPr>
        <w:t>The</w:t>
      </w:r>
      <w:r>
        <w:rPr>
          <w:color w:val="231F20"/>
          <w:spacing w:val="-14"/>
          <w:w w:val="105"/>
        </w:rPr>
        <w:t xml:space="preserve"> </w:t>
      </w:r>
      <w:r>
        <w:rPr>
          <w:color w:val="231F20"/>
          <w:w w:val="105"/>
        </w:rPr>
        <w:t>term</w:t>
      </w:r>
      <w:r>
        <w:rPr>
          <w:color w:val="231F20"/>
          <w:spacing w:val="-14"/>
          <w:w w:val="105"/>
        </w:rPr>
        <w:t xml:space="preserve"> </w:t>
      </w:r>
      <w:r>
        <w:rPr>
          <w:color w:val="231F20"/>
          <w:w w:val="105"/>
        </w:rPr>
        <w:t>“psychological</w:t>
      </w:r>
      <w:r>
        <w:rPr>
          <w:color w:val="231F20"/>
          <w:spacing w:val="-14"/>
          <w:w w:val="105"/>
        </w:rPr>
        <w:t xml:space="preserve"> </w:t>
      </w:r>
      <w:r>
        <w:rPr>
          <w:color w:val="231F20"/>
          <w:w w:val="105"/>
        </w:rPr>
        <w:t>warfare”</w:t>
      </w:r>
      <w:r>
        <w:rPr>
          <w:color w:val="231F20"/>
          <w:spacing w:val="-14"/>
          <w:w w:val="105"/>
        </w:rPr>
        <w:t xml:space="preserve"> </w:t>
      </w:r>
      <w:r>
        <w:rPr>
          <w:color w:val="231F20"/>
          <w:w w:val="105"/>
        </w:rPr>
        <w:t>was</w:t>
      </w:r>
      <w:r>
        <w:rPr>
          <w:color w:val="231F20"/>
          <w:spacing w:val="-14"/>
          <w:w w:val="105"/>
        </w:rPr>
        <w:t xml:space="preserve"> </w:t>
      </w:r>
      <w:r>
        <w:rPr>
          <w:color w:val="231F20"/>
          <w:w w:val="105"/>
        </w:rPr>
        <w:t>eventually</w:t>
      </w:r>
      <w:r>
        <w:rPr>
          <w:color w:val="231F20"/>
          <w:spacing w:val="-14"/>
          <w:w w:val="105"/>
        </w:rPr>
        <w:t xml:space="preserve"> </w:t>
      </w:r>
      <w:r>
        <w:rPr>
          <w:color w:val="231F20"/>
          <w:w w:val="105"/>
        </w:rPr>
        <w:t>adopted</w:t>
      </w:r>
      <w:r>
        <w:rPr>
          <w:color w:val="231F20"/>
          <w:spacing w:val="-14"/>
          <w:w w:val="105"/>
        </w:rPr>
        <w:t xml:space="preserve"> </w:t>
      </w:r>
      <w:r>
        <w:rPr>
          <w:color w:val="231F20"/>
          <w:w w:val="105"/>
        </w:rPr>
        <w:t>by</w:t>
      </w:r>
      <w:r>
        <w:rPr>
          <w:color w:val="231F20"/>
          <w:spacing w:val="-14"/>
          <w:w w:val="105"/>
        </w:rPr>
        <w:t xml:space="preserve"> </w:t>
      </w:r>
      <w:r>
        <w:rPr>
          <w:color w:val="231F20"/>
          <w:w w:val="105"/>
        </w:rPr>
        <w:t>the</w:t>
      </w:r>
      <w:r>
        <w:rPr>
          <w:color w:val="231F20"/>
          <w:spacing w:val="-14"/>
          <w:w w:val="105"/>
        </w:rPr>
        <w:t xml:space="preserve"> </w:t>
      </w:r>
      <w:r>
        <w:rPr>
          <w:color w:val="231F20"/>
          <w:w w:val="105"/>
        </w:rPr>
        <w:t>left</w:t>
      </w:r>
      <w:r>
        <w:rPr>
          <w:color w:val="231F20"/>
          <w:spacing w:val="-14"/>
          <w:w w:val="105"/>
        </w:rPr>
        <w:t xml:space="preserve"> </w:t>
      </w:r>
      <w:r>
        <w:rPr>
          <w:color w:val="231F20"/>
          <w:w w:val="105"/>
        </w:rPr>
        <w:t>to</w:t>
      </w:r>
      <w:r>
        <w:rPr>
          <w:color w:val="231F20"/>
          <w:spacing w:val="-14"/>
          <w:w w:val="105"/>
        </w:rPr>
        <w:t xml:space="preserve"> </w:t>
      </w:r>
      <w:r>
        <w:rPr>
          <w:color w:val="231F20"/>
          <w:w w:val="105"/>
        </w:rPr>
        <w:t>describe</w:t>
      </w:r>
      <w:r>
        <w:rPr>
          <w:color w:val="231F20"/>
          <w:spacing w:val="-14"/>
          <w:w w:val="105"/>
        </w:rPr>
        <w:t xml:space="preserve"> </w:t>
      </w:r>
      <w:r>
        <w:rPr>
          <w:color w:val="231F20"/>
          <w:w w:val="105"/>
        </w:rPr>
        <w:t>the</w:t>
      </w:r>
      <w:r>
        <w:rPr>
          <w:color w:val="231F20"/>
          <w:spacing w:val="-14"/>
          <w:w w:val="105"/>
        </w:rPr>
        <w:t xml:space="preserve"> </w:t>
      </w:r>
      <w:r>
        <w:rPr>
          <w:color w:val="231F20"/>
          <w:w w:val="105"/>
        </w:rPr>
        <w:t>phenomenon.</w:t>
      </w:r>
    </w:p>
    <w:p w14:paraId="05A826D8" w14:textId="77777777" w:rsidR="002653E8" w:rsidRDefault="003115E3">
      <w:pPr>
        <w:pStyle w:val="a3"/>
        <w:spacing w:line="264" w:lineRule="auto"/>
        <w:ind w:left="1327" w:right="1146" w:firstLine="210"/>
        <w:jc w:val="both"/>
        <w:rPr>
          <w:sz w:val="11"/>
        </w:rPr>
      </w:pPr>
      <w:r>
        <w:rPr>
          <w:color w:val="231F20"/>
        </w:rPr>
        <w:t xml:space="preserve">Already in February, police had announced that the </w:t>
      </w:r>
      <w:r w:rsidR="00C507A5">
        <w:rPr>
          <w:color w:val="231F20"/>
          <w:spacing w:val="5"/>
        </w:rPr>
        <w:t>red army faction</w:t>
      </w:r>
      <w:r>
        <w:rPr>
          <w:color w:val="231F20"/>
          <w:spacing w:val="5"/>
        </w:rPr>
        <w:t xml:space="preserve"> </w:t>
      </w:r>
      <w:r>
        <w:rPr>
          <w:color w:val="231F20"/>
        </w:rPr>
        <w:t>had plans   to kidnap Chancellor Willy Brandt in order to force the state to release Mahler.</w:t>
      </w:r>
      <w:r>
        <w:rPr>
          <w:color w:val="231F20"/>
          <w:position w:val="7"/>
          <w:sz w:val="11"/>
        </w:rPr>
        <w:t xml:space="preserve">3 </w:t>
      </w:r>
      <w:r>
        <w:rPr>
          <w:color w:val="231F20"/>
        </w:rPr>
        <w:t>The guerilla would subsequently deny this charge, claiming it was</w:t>
      </w:r>
      <w:r>
        <w:rPr>
          <w:color w:val="231F20"/>
          <w:spacing w:val="13"/>
        </w:rPr>
        <w:t xml:space="preserve"> </w:t>
      </w:r>
      <w:r>
        <w:rPr>
          <w:color w:val="231F20"/>
        </w:rPr>
        <w:t>intended</w:t>
      </w:r>
      <w:r>
        <w:rPr>
          <w:color w:val="231F20"/>
          <w:spacing w:val="13"/>
        </w:rPr>
        <w:t xml:space="preserve"> </w:t>
      </w:r>
      <w:r>
        <w:rPr>
          <w:color w:val="231F20"/>
        </w:rPr>
        <w:t>to</w:t>
      </w:r>
      <w:r>
        <w:rPr>
          <w:color w:val="231F20"/>
          <w:spacing w:val="13"/>
        </w:rPr>
        <w:t xml:space="preserve"> </w:t>
      </w:r>
      <w:r>
        <w:rPr>
          <w:color w:val="231F20"/>
        </w:rPr>
        <w:t>make</w:t>
      </w:r>
      <w:r>
        <w:rPr>
          <w:color w:val="231F20"/>
          <w:spacing w:val="13"/>
        </w:rPr>
        <w:t xml:space="preserve"> </w:t>
      </w:r>
      <w:r>
        <w:rPr>
          <w:color w:val="231F20"/>
        </w:rPr>
        <w:t>them</w:t>
      </w:r>
      <w:r>
        <w:rPr>
          <w:color w:val="231F20"/>
          <w:spacing w:val="13"/>
        </w:rPr>
        <w:t xml:space="preserve"> </w:t>
      </w:r>
      <w:r>
        <w:rPr>
          <w:color w:val="231F20"/>
        </w:rPr>
        <w:t>look</w:t>
      </w:r>
      <w:r>
        <w:rPr>
          <w:color w:val="231F20"/>
          <w:spacing w:val="13"/>
        </w:rPr>
        <w:t xml:space="preserve"> </w:t>
      </w:r>
      <w:r>
        <w:rPr>
          <w:color w:val="231F20"/>
        </w:rPr>
        <w:t>like</w:t>
      </w:r>
      <w:r>
        <w:rPr>
          <w:color w:val="231F20"/>
          <w:spacing w:val="13"/>
        </w:rPr>
        <w:t xml:space="preserve"> </w:t>
      </w:r>
      <w:r>
        <w:rPr>
          <w:color w:val="231F20"/>
        </w:rPr>
        <w:t>“political</w:t>
      </w:r>
      <w:r>
        <w:rPr>
          <w:color w:val="231F20"/>
          <w:spacing w:val="13"/>
        </w:rPr>
        <w:t xml:space="preserve"> </w:t>
      </w:r>
      <w:r>
        <w:rPr>
          <w:color w:val="231F20"/>
          <w:spacing w:val="-4"/>
        </w:rPr>
        <w:t>idiots.”</w:t>
      </w:r>
      <w:r>
        <w:rPr>
          <w:color w:val="231F20"/>
          <w:spacing w:val="-4"/>
          <w:position w:val="7"/>
          <w:sz w:val="11"/>
        </w:rPr>
        <w:t>4</w:t>
      </w:r>
    </w:p>
    <w:p w14:paraId="1EE6E98A" w14:textId="77777777" w:rsidR="002653E8" w:rsidRDefault="003115E3">
      <w:pPr>
        <w:pStyle w:val="a3"/>
        <w:spacing w:line="264" w:lineRule="auto"/>
        <w:ind w:left="1327" w:right="1147" w:firstLine="210"/>
        <w:jc w:val="both"/>
      </w:pPr>
      <w:r>
        <w:rPr>
          <w:color w:val="231F20"/>
        </w:rPr>
        <w:t>Then, on February 25, a seven-year-old boy was kidnapped. Newspapers announced that his captors were demanding close to</w:t>
      </w:r>
    </w:p>
    <w:p w14:paraId="1B9A0809" w14:textId="77777777" w:rsidR="002653E8" w:rsidRDefault="003115E3">
      <w:pPr>
        <w:pStyle w:val="a3"/>
        <w:spacing w:line="264" w:lineRule="auto"/>
        <w:ind w:left="1327" w:right="1147"/>
        <w:jc w:val="both"/>
        <w:rPr>
          <w:sz w:val="11"/>
        </w:rPr>
      </w:pPr>
      <w:r>
        <w:rPr>
          <w:color w:val="231F20"/>
        </w:rPr>
        <w:t>$50,000</w:t>
      </w:r>
      <w:r>
        <w:rPr>
          <w:color w:val="231F20"/>
          <w:spacing w:val="-4"/>
        </w:rPr>
        <w:t xml:space="preserve"> </w:t>
      </w:r>
      <w:r>
        <w:rPr>
          <w:color w:val="231F20"/>
        </w:rPr>
        <w:t>ransom</w:t>
      </w:r>
      <w:r>
        <w:rPr>
          <w:color w:val="231F20"/>
          <w:spacing w:val="-4"/>
        </w:rPr>
        <w:t xml:space="preserve"> </w:t>
      </w:r>
      <w:r>
        <w:rPr>
          <w:color w:val="231F20"/>
        </w:rPr>
        <w:t>as</w:t>
      </w:r>
      <w:r>
        <w:rPr>
          <w:color w:val="231F20"/>
          <w:spacing w:val="-4"/>
        </w:rPr>
        <w:t xml:space="preserve"> </w:t>
      </w:r>
      <w:r>
        <w:rPr>
          <w:color w:val="231F20"/>
        </w:rPr>
        <w:t>well</w:t>
      </w:r>
      <w:r>
        <w:rPr>
          <w:color w:val="231F20"/>
          <w:spacing w:val="-4"/>
        </w:rPr>
        <w:t xml:space="preserve"> </w:t>
      </w:r>
      <w:r>
        <w:rPr>
          <w:color w:val="231F20"/>
        </w:rPr>
        <w:t>as</w:t>
      </w:r>
      <w:r>
        <w:rPr>
          <w:color w:val="231F20"/>
          <w:spacing w:val="-4"/>
        </w:rPr>
        <w:t xml:space="preserve"> </w:t>
      </w:r>
      <w:r>
        <w:rPr>
          <w:color w:val="231F20"/>
        </w:rPr>
        <w:t>the</w:t>
      </w:r>
      <w:r>
        <w:rPr>
          <w:color w:val="231F20"/>
          <w:spacing w:val="-4"/>
        </w:rPr>
        <w:t xml:space="preserve"> </w:t>
      </w:r>
      <w:r>
        <w:rPr>
          <w:color w:val="231F20"/>
        </w:rPr>
        <w:t>release</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left-wing</w:t>
      </w:r>
      <w:r>
        <w:rPr>
          <w:color w:val="231F20"/>
          <w:spacing w:val="-4"/>
        </w:rPr>
        <w:t xml:space="preserve"> </w:t>
      </w:r>
      <w:r>
        <w:rPr>
          <w:color w:val="231F20"/>
        </w:rPr>
        <w:t>lawyer</w:t>
      </w:r>
      <w:r>
        <w:rPr>
          <w:color w:val="231F20"/>
          <w:spacing w:val="-4"/>
        </w:rPr>
        <w:t xml:space="preserve"> </w:t>
      </w:r>
      <w:r>
        <w:rPr>
          <w:color w:val="231F20"/>
        </w:rPr>
        <w:t>in</w:t>
      </w:r>
      <w:r>
        <w:rPr>
          <w:color w:val="231F20"/>
          <w:spacing w:val="-4"/>
        </w:rPr>
        <w:t xml:space="preserve"> </w:t>
      </w:r>
      <w:r>
        <w:rPr>
          <w:color w:val="231F20"/>
        </w:rPr>
        <w:t>Berlin,” which</w:t>
      </w:r>
      <w:r>
        <w:rPr>
          <w:color w:val="231F20"/>
          <w:spacing w:val="12"/>
        </w:rPr>
        <w:t xml:space="preserve"> </w:t>
      </w:r>
      <w:r>
        <w:rPr>
          <w:color w:val="231F20"/>
        </w:rPr>
        <w:t>journalists</w:t>
      </w:r>
      <w:r>
        <w:rPr>
          <w:color w:val="231F20"/>
          <w:spacing w:val="12"/>
        </w:rPr>
        <w:t xml:space="preserve"> </w:t>
      </w:r>
      <w:r>
        <w:rPr>
          <w:color w:val="231F20"/>
        </w:rPr>
        <w:t>quickly</w:t>
      </w:r>
      <w:r>
        <w:rPr>
          <w:color w:val="231F20"/>
          <w:spacing w:val="12"/>
        </w:rPr>
        <w:t xml:space="preserve"> </w:t>
      </w:r>
      <w:r>
        <w:rPr>
          <w:color w:val="231F20"/>
        </w:rPr>
        <w:t>explained</w:t>
      </w:r>
      <w:r>
        <w:rPr>
          <w:color w:val="231F20"/>
          <w:spacing w:val="12"/>
        </w:rPr>
        <w:t xml:space="preserve"> </w:t>
      </w:r>
      <w:r>
        <w:rPr>
          <w:color w:val="231F20"/>
        </w:rPr>
        <w:t>must</w:t>
      </w:r>
      <w:r>
        <w:rPr>
          <w:color w:val="231F20"/>
          <w:spacing w:val="12"/>
        </w:rPr>
        <w:t xml:space="preserve"> </w:t>
      </w:r>
      <w:r>
        <w:rPr>
          <w:color w:val="231F20"/>
        </w:rPr>
        <w:t>be</w:t>
      </w:r>
      <w:r>
        <w:rPr>
          <w:color w:val="231F20"/>
          <w:spacing w:val="12"/>
        </w:rPr>
        <w:t xml:space="preserve"> </w:t>
      </w:r>
      <w:r>
        <w:rPr>
          <w:color w:val="231F20"/>
        </w:rPr>
        <w:t>a</w:t>
      </w:r>
      <w:r>
        <w:rPr>
          <w:color w:val="231F20"/>
          <w:spacing w:val="12"/>
        </w:rPr>
        <w:t xml:space="preserve"> </w:t>
      </w:r>
      <w:r>
        <w:rPr>
          <w:color w:val="231F20"/>
        </w:rPr>
        <w:t>reference</w:t>
      </w:r>
      <w:r>
        <w:rPr>
          <w:color w:val="231F20"/>
          <w:spacing w:val="12"/>
        </w:rPr>
        <w:t xml:space="preserve"> </w:t>
      </w:r>
      <w:r>
        <w:rPr>
          <w:color w:val="231F20"/>
        </w:rPr>
        <w:t>to</w:t>
      </w:r>
      <w:r>
        <w:rPr>
          <w:color w:val="231F20"/>
          <w:spacing w:val="12"/>
        </w:rPr>
        <w:t xml:space="preserve"> </w:t>
      </w:r>
      <w:r>
        <w:rPr>
          <w:color w:val="231F20"/>
        </w:rPr>
        <w:t>Mahler.</w:t>
      </w:r>
      <w:r>
        <w:rPr>
          <w:color w:val="231F20"/>
          <w:position w:val="7"/>
          <w:sz w:val="11"/>
        </w:rPr>
        <w:t>5</w:t>
      </w:r>
    </w:p>
    <w:p w14:paraId="7F32FDE2" w14:textId="77777777" w:rsidR="002653E8" w:rsidRDefault="003115E3">
      <w:pPr>
        <w:pStyle w:val="a3"/>
        <w:spacing w:line="264" w:lineRule="auto"/>
        <w:ind w:left="1327" w:right="1147" w:firstLine="210"/>
        <w:jc w:val="both"/>
        <w:rPr>
          <w:sz w:val="11"/>
        </w:rPr>
      </w:pPr>
      <w:r>
        <w:rPr>
          <w:color w:val="231F20"/>
        </w:rPr>
        <w:t>Clearly horrified, Mahler made  a  public  appeal  to  the  kidnappers to release the child.</w:t>
      </w:r>
      <w:r>
        <w:rPr>
          <w:color w:val="231F20"/>
          <w:position w:val="7"/>
          <w:sz w:val="11"/>
        </w:rPr>
        <w:t xml:space="preserve">6 </w:t>
      </w:r>
      <w:r>
        <w:rPr>
          <w:color w:val="231F20"/>
        </w:rPr>
        <w:t>At the same time the provincial government of North Rhine-Westphalia agreed to pay the ransom—the boy was from   a</w:t>
      </w:r>
      <w:r>
        <w:rPr>
          <w:color w:val="231F20"/>
          <w:spacing w:val="11"/>
        </w:rPr>
        <w:t xml:space="preserve"> </w:t>
      </w:r>
      <w:r>
        <w:rPr>
          <w:color w:val="231F20"/>
        </w:rPr>
        <w:t>working</w:t>
      </w:r>
      <w:r>
        <w:rPr>
          <w:color w:val="231F20"/>
          <w:spacing w:val="11"/>
        </w:rPr>
        <w:t xml:space="preserve"> </w:t>
      </w:r>
      <w:r>
        <w:rPr>
          <w:color w:val="231F20"/>
        </w:rPr>
        <w:t>class</w:t>
      </w:r>
      <w:r>
        <w:rPr>
          <w:color w:val="231F20"/>
          <w:spacing w:val="11"/>
        </w:rPr>
        <w:t xml:space="preserve"> </w:t>
      </w:r>
      <w:r>
        <w:rPr>
          <w:color w:val="231F20"/>
        </w:rPr>
        <w:t>family</w:t>
      </w:r>
      <w:r>
        <w:rPr>
          <w:color w:val="231F20"/>
          <w:spacing w:val="11"/>
        </w:rPr>
        <w:t xml:space="preserve"> </w:t>
      </w:r>
      <w:r>
        <w:rPr>
          <w:color w:val="231F20"/>
        </w:rPr>
        <w:t>that</w:t>
      </w:r>
      <w:r>
        <w:rPr>
          <w:color w:val="231F20"/>
          <w:spacing w:val="11"/>
        </w:rPr>
        <w:t xml:space="preserve"> </w:t>
      </w:r>
      <w:r>
        <w:rPr>
          <w:color w:val="231F20"/>
        </w:rPr>
        <w:t>could</w:t>
      </w:r>
      <w:r>
        <w:rPr>
          <w:color w:val="231F20"/>
          <w:spacing w:val="11"/>
        </w:rPr>
        <w:t xml:space="preserve"> </w:t>
      </w:r>
      <w:r>
        <w:rPr>
          <w:color w:val="231F20"/>
        </w:rPr>
        <w:t>not</w:t>
      </w:r>
      <w:r>
        <w:rPr>
          <w:color w:val="231F20"/>
          <w:spacing w:val="11"/>
        </w:rPr>
        <w:t xml:space="preserve"> </w:t>
      </w:r>
      <w:r>
        <w:rPr>
          <w:color w:val="231F20"/>
        </w:rPr>
        <w:t>afford</w:t>
      </w:r>
      <w:r>
        <w:rPr>
          <w:color w:val="231F20"/>
          <w:spacing w:val="11"/>
        </w:rPr>
        <w:t xml:space="preserve"> </w:t>
      </w:r>
      <w:r>
        <w:rPr>
          <w:color w:val="231F20"/>
        </w:rPr>
        <w:t>such</w:t>
      </w:r>
      <w:r>
        <w:rPr>
          <w:color w:val="231F20"/>
          <w:spacing w:val="11"/>
        </w:rPr>
        <w:t xml:space="preserve"> </w:t>
      </w:r>
      <w:r>
        <w:rPr>
          <w:color w:val="231F20"/>
        </w:rPr>
        <w:t>a</w:t>
      </w:r>
      <w:r>
        <w:rPr>
          <w:color w:val="231F20"/>
          <w:spacing w:val="11"/>
        </w:rPr>
        <w:t xml:space="preserve"> </w:t>
      </w:r>
      <w:r>
        <w:rPr>
          <w:color w:val="231F20"/>
        </w:rPr>
        <w:t>sum.</w:t>
      </w:r>
      <w:r>
        <w:rPr>
          <w:color w:val="231F20"/>
          <w:position w:val="7"/>
          <w:sz w:val="11"/>
        </w:rPr>
        <w:t>7</w:t>
      </w:r>
    </w:p>
    <w:p w14:paraId="6242C547" w14:textId="77777777" w:rsidR="002653E8" w:rsidRDefault="003115E3">
      <w:pPr>
        <w:pStyle w:val="a3"/>
        <w:spacing w:line="264" w:lineRule="auto"/>
        <w:ind w:left="1327" w:right="1145" w:firstLine="210"/>
        <w:jc w:val="both"/>
        <w:rPr>
          <w:sz w:val="11"/>
        </w:rPr>
      </w:pPr>
      <w:r>
        <w:rPr>
          <w:color w:val="231F20"/>
        </w:rPr>
        <w:t xml:space="preserve">Arrangements were made, a well-known lawyer agreeing to act as the go between. The money was delivered on Saturday February </w:t>
      </w:r>
      <w:r>
        <w:rPr>
          <w:color w:val="231F20"/>
          <w:spacing w:val="-4"/>
        </w:rPr>
        <w:t xml:space="preserve">27 </w:t>
      </w:r>
      <w:r>
        <w:rPr>
          <w:color w:val="231F20"/>
        </w:rPr>
        <w:t xml:space="preserve">and a young Michael Luhmer was released in the woods outside Munich, suffering from influenza but otherwise unharmed. According to the lawyer who personally delivered the money to the kidnappers, they denied being in the least bit interested in Mahler or anyone else from the </w:t>
      </w:r>
      <w:r w:rsidR="00C507A5">
        <w:rPr>
          <w:color w:val="231F20"/>
        </w:rPr>
        <w:t>red army faction</w:t>
      </w:r>
      <w:r>
        <w:rPr>
          <w:color w:val="231F20"/>
        </w:rPr>
        <w:t xml:space="preserve">. Indeed, he came </w:t>
      </w:r>
      <w:r>
        <w:rPr>
          <w:color w:val="231F20"/>
          <w:spacing w:val="-3"/>
        </w:rPr>
        <w:t xml:space="preserve">away </w:t>
      </w:r>
      <w:r>
        <w:rPr>
          <w:color w:val="231F20"/>
        </w:rPr>
        <w:t xml:space="preserve">with the impression that they were in fact </w:t>
      </w:r>
      <w:r>
        <w:rPr>
          <w:color w:val="231F20"/>
          <w:spacing w:val="-4"/>
        </w:rPr>
        <w:t xml:space="preserve">“a </w:t>
      </w:r>
      <w:r>
        <w:rPr>
          <w:color w:val="231F20"/>
        </w:rPr>
        <w:t xml:space="preserve">rightist group like the Nazi </w:t>
      </w:r>
      <w:r>
        <w:rPr>
          <w:color w:val="231F20"/>
          <w:spacing w:val="-3"/>
        </w:rPr>
        <w:t>party.”</w:t>
      </w:r>
      <w:r>
        <w:rPr>
          <w:color w:val="231F20"/>
          <w:spacing w:val="-3"/>
          <w:position w:val="7"/>
          <w:sz w:val="11"/>
        </w:rPr>
        <w:t xml:space="preserve">8 </w:t>
      </w:r>
      <w:r>
        <w:rPr>
          <w:color w:val="231F20"/>
        </w:rPr>
        <w:t>Police later announced that they suspected</w:t>
      </w:r>
      <w:r>
        <w:rPr>
          <w:color w:val="231F20"/>
          <w:spacing w:val="10"/>
        </w:rPr>
        <w:t xml:space="preserve"> </w:t>
      </w:r>
      <w:r>
        <w:rPr>
          <w:color w:val="231F20"/>
        </w:rPr>
        <w:t>the</w:t>
      </w:r>
      <w:r>
        <w:rPr>
          <w:color w:val="231F20"/>
          <w:spacing w:val="10"/>
        </w:rPr>
        <w:t xml:space="preserve"> </w:t>
      </w:r>
      <w:r>
        <w:rPr>
          <w:color w:val="231F20"/>
        </w:rPr>
        <w:t>son</w:t>
      </w:r>
      <w:r>
        <w:rPr>
          <w:color w:val="231F20"/>
          <w:spacing w:val="10"/>
        </w:rPr>
        <w:t xml:space="preserve"> </w:t>
      </w:r>
      <w:r>
        <w:rPr>
          <w:color w:val="231F20"/>
        </w:rPr>
        <w:t>of</w:t>
      </w:r>
      <w:r>
        <w:rPr>
          <w:color w:val="231F20"/>
          <w:spacing w:val="10"/>
        </w:rPr>
        <w:t xml:space="preserve"> </w:t>
      </w:r>
      <w:r>
        <w:rPr>
          <w:color w:val="231F20"/>
        </w:rPr>
        <w:t>a</w:t>
      </w:r>
      <w:r>
        <w:rPr>
          <w:color w:val="231F20"/>
          <w:spacing w:val="10"/>
        </w:rPr>
        <w:t xml:space="preserve"> </w:t>
      </w:r>
      <w:r>
        <w:rPr>
          <w:color w:val="231F20"/>
        </w:rPr>
        <w:t>former</w:t>
      </w:r>
      <w:r>
        <w:rPr>
          <w:color w:val="231F20"/>
          <w:spacing w:val="10"/>
        </w:rPr>
        <w:t xml:space="preserve"> </w:t>
      </w:r>
      <w:r>
        <w:rPr>
          <w:color w:val="231F20"/>
        </w:rPr>
        <w:t>SS</w:t>
      </w:r>
      <w:r>
        <w:rPr>
          <w:color w:val="231F20"/>
          <w:spacing w:val="10"/>
        </w:rPr>
        <w:t xml:space="preserve"> </w:t>
      </w:r>
      <w:r>
        <w:rPr>
          <w:color w:val="231F20"/>
        </w:rPr>
        <w:t>officer</w:t>
      </w:r>
      <w:r>
        <w:rPr>
          <w:color w:val="231F20"/>
          <w:spacing w:val="10"/>
        </w:rPr>
        <w:t xml:space="preserve"> </w:t>
      </w:r>
      <w:r>
        <w:rPr>
          <w:color w:val="231F20"/>
        </w:rPr>
        <w:t>of</w:t>
      </w:r>
      <w:r>
        <w:rPr>
          <w:color w:val="231F20"/>
          <w:spacing w:val="10"/>
        </w:rPr>
        <w:t xml:space="preserve"> </w:t>
      </w:r>
      <w:r>
        <w:rPr>
          <w:color w:val="231F20"/>
        </w:rPr>
        <w:t>being</w:t>
      </w:r>
      <w:r>
        <w:rPr>
          <w:color w:val="231F20"/>
          <w:spacing w:val="10"/>
        </w:rPr>
        <w:t xml:space="preserve"> </w:t>
      </w:r>
      <w:r>
        <w:rPr>
          <w:color w:val="231F20"/>
        </w:rPr>
        <w:t>involved</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plot.</w:t>
      </w:r>
      <w:r>
        <w:rPr>
          <w:color w:val="231F20"/>
          <w:position w:val="7"/>
          <w:sz w:val="11"/>
        </w:rPr>
        <w:t>9</w:t>
      </w:r>
    </w:p>
    <w:p w14:paraId="36973080" w14:textId="77777777" w:rsidR="002653E8" w:rsidRDefault="00000000">
      <w:pPr>
        <w:pStyle w:val="a3"/>
        <w:spacing w:before="8"/>
        <w:rPr>
          <w:sz w:val="24"/>
        </w:rPr>
      </w:pPr>
      <w:r>
        <w:rPr>
          <w:noProof w:val="0"/>
        </w:rPr>
        <w:pict w14:anchorId="17022A68">
          <v:line id="_x0000_s2634" style="position:absolute;z-index:2896;mso-wrap-distance-left:0;mso-wrap-distance-right:0;mso-position-horizontal-relative:page" from="66.4pt,16.7pt" to="138.4pt,16.7pt" strokecolor="#231f20" strokeweight=".5pt">
            <w10:wrap type="topAndBottom" anchorx="page"/>
          </v:line>
        </w:pict>
      </w:r>
    </w:p>
    <w:p w14:paraId="612C7411" w14:textId="77777777" w:rsidR="002653E8" w:rsidRDefault="003115E3">
      <w:pPr>
        <w:pStyle w:val="a4"/>
        <w:numPr>
          <w:ilvl w:val="0"/>
          <w:numId w:val="171"/>
        </w:numPr>
        <w:tabs>
          <w:tab w:val="left" w:pos="1467"/>
        </w:tabs>
        <w:spacing w:before="53" w:line="254" w:lineRule="auto"/>
        <w:ind w:right="1409" w:hanging="1"/>
        <w:rPr>
          <w:sz w:val="16"/>
        </w:rPr>
      </w:pPr>
      <w:bookmarkStart w:id="31" w:name="_Hlk52840867"/>
      <w:r>
        <w:rPr>
          <w:color w:val="231F20"/>
          <w:w w:val="105"/>
          <w:sz w:val="16"/>
        </w:rPr>
        <w:t xml:space="preserve">Associated Press, “Paper reports plot to kidnap Willy Brandt,” </w:t>
      </w:r>
      <w:r>
        <w:rPr>
          <w:i/>
          <w:color w:val="231F20"/>
          <w:w w:val="105"/>
          <w:sz w:val="16"/>
        </w:rPr>
        <w:t xml:space="preserve">European Stars </w:t>
      </w:r>
      <w:r>
        <w:rPr>
          <w:i/>
          <w:color w:val="231F20"/>
          <w:spacing w:val="1"/>
          <w:w w:val="105"/>
          <w:sz w:val="16"/>
        </w:rPr>
        <w:t xml:space="preserve">and </w:t>
      </w:r>
      <w:r>
        <w:rPr>
          <w:i/>
          <w:color w:val="231F20"/>
          <w:w w:val="105"/>
          <w:sz w:val="16"/>
        </w:rPr>
        <w:t xml:space="preserve">Stripes, </w:t>
      </w:r>
      <w:r>
        <w:rPr>
          <w:color w:val="231F20"/>
          <w:w w:val="105"/>
          <w:sz w:val="16"/>
        </w:rPr>
        <w:t xml:space="preserve">February </w:t>
      </w:r>
      <w:r>
        <w:rPr>
          <w:color w:val="231F20"/>
          <w:spacing w:val="-4"/>
          <w:w w:val="105"/>
          <w:sz w:val="16"/>
        </w:rPr>
        <w:t>13,</w:t>
      </w:r>
      <w:r>
        <w:rPr>
          <w:color w:val="231F20"/>
          <w:w w:val="105"/>
          <w:sz w:val="16"/>
        </w:rPr>
        <w:t xml:space="preserve"> 1971.</w:t>
      </w:r>
    </w:p>
    <w:p w14:paraId="016D9AA7" w14:textId="77777777" w:rsidR="002653E8" w:rsidRDefault="003115E3">
      <w:pPr>
        <w:pStyle w:val="a4"/>
        <w:numPr>
          <w:ilvl w:val="0"/>
          <w:numId w:val="171"/>
        </w:numPr>
        <w:tabs>
          <w:tab w:val="left" w:pos="1467"/>
        </w:tabs>
        <w:ind w:left="1466" w:hanging="138"/>
        <w:rPr>
          <w:sz w:val="16"/>
        </w:rPr>
      </w:pPr>
      <w:r>
        <w:rPr>
          <w:color w:val="231F20"/>
          <w:spacing w:val="1"/>
          <w:w w:val="105"/>
          <w:sz w:val="16"/>
        </w:rPr>
        <w:t xml:space="preserve">See </w:t>
      </w:r>
      <w:r>
        <w:rPr>
          <w:color w:val="231F20"/>
          <w:w w:val="105"/>
          <w:sz w:val="16"/>
        </w:rPr>
        <w:t>page</w:t>
      </w:r>
      <w:r>
        <w:rPr>
          <w:color w:val="231F20"/>
          <w:spacing w:val="13"/>
          <w:w w:val="105"/>
          <w:sz w:val="16"/>
        </w:rPr>
        <w:t xml:space="preserve"> </w:t>
      </w:r>
      <w:r>
        <w:rPr>
          <w:color w:val="231F20"/>
          <w:w w:val="105"/>
          <w:sz w:val="16"/>
        </w:rPr>
        <w:t>84.</w:t>
      </w:r>
    </w:p>
    <w:p w14:paraId="64D2B06A" w14:textId="77777777" w:rsidR="002653E8" w:rsidRDefault="003115E3">
      <w:pPr>
        <w:pStyle w:val="a4"/>
        <w:numPr>
          <w:ilvl w:val="0"/>
          <w:numId w:val="171"/>
        </w:numPr>
        <w:tabs>
          <w:tab w:val="left" w:pos="1467"/>
        </w:tabs>
        <w:spacing w:before="51" w:line="254" w:lineRule="auto"/>
        <w:ind w:right="1230" w:firstLine="0"/>
        <w:rPr>
          <w:sz w:val="16"/>
        </w:rPr>
      </w:pPr>
      <w:r>
        <w:rPr>
          <w:color w:val="231F20"/>
          <w:w w:val="110"/>
          <w:sz w:val="16"/>
        </w:rPr>
        <w:t xml:space="preserve">Associated Press, “Terrorists Take Child as Hostage,” </w:t>
      </w:r>
      <w:r>
        <w:rPr>
          <w:i/>
          <w:color w:val="231F20"/>
          <w:w w:val="110"/>
          <w:sz w:val="16"/>
        </w:rPr>
        <w:t xml:space="preserve">Troy Record, </w:t>
      </w:r>
      <w:r>
        <w:rPr>
          <w:color w:val="231F20"/>
          <w:w w:val="110"/>
          <w:sz w:val="16"/>
        </w:rPr>
        <w:t xml:space="preserve">February </w:t>
      </w:r>
      <w:r>
        <w:rPr>
          <w:color w:val="231F20"/>
          <w:spacing w:val="-5"/>
          <w:w w:val="110"/>
          <w:sz w:val="16"/>
        </w:rPr>
        <w:t xml:space="preserve">25, </w:t>
      </w:r>
      <w:r>
        <w:rPr>
          <w:color w:val="231F20"/>
          <w:w w:val="110"/>
          <w:sz w:val="16"/>
        </w:rPr>
        <w:t>1971.</w:t>
      </w:r>
    </w:p>
    <w:p w14:paraId="01C6B1BF" w14:textId="77777777" w:rsidR="002653E8" w:rsidRDefault="003115E3">
      <w:pPr>
        <w:pStyle w:val="a4"/>
        <w:numPr>
          <w:ilvl w:val="0"/>
          <w:numId w:val="171"/>
        </w:numPr>
        <w:tabs>
          <w:tab w:val="left" w:pos="1467"/>
        </w:tabs>
        <w:spacing w:line="254" w:lineRule="auto"/>
        <w:ind w:right="1301" w:firstLine="0"/>
        <w:rPr>
          <w:sz w:val="16"/>
        </w:rPr>
      </w:pPr>
      <w:r>
        <w:rPr>
          <w:color w:val="231F20"/>
          <w:w w:val="110"/>
          <w:sz w:val="16"/>
        </w:rPr>
        <w:t xml:space="preserve">Associated Press,“Wrong Boy Kidnaped, Released; Ransom Paid,” </w:t>
      </w:r>
      <w:r>
        <w:rPr>
          <w:i/>
          <w:color w:val="231F20"/>
          <w:w w:val="110"/>
          <w:sz w:val="16"/>
        </w:rPr>
        <w:t xml:space="preserve">Panama </w:t>
      </w:r>
      <w:r>
        <w:rPr>
          <w:i/>
          <w:color w:val="231F20"/>
          <w:spacing w:val="2"/>
          <w:w w:val="110"/>
          <w:sz w:val="16"/>
        </w:rPr>
        <w:t xml:space="preserve">City </w:t>
      </w:r>
      <w:r>
        <w:rPr>
          <w:i/>
          <w:color w:val="231F20"/>
          <w:w w:val="110"/>
          <w:sz w:val="16"/>
        </w:rPr>
        <w:t xml:space="preserve">News Herald, </w:t>
      </w:r>
      <w:r>
        <w:rPr>
          <w:color w:val="231F20"/>
          <w:w w:val="110"/>
          <w:sz w:val="16"/>
        </w:rPr>
        <w:t xml:space="preserve">February </w:t>
      </w:r>
      <w:r>
        <w:rPr>
          <w:color w:val="231F20"/>
          <w:spacing w:val="-6"/>
          <w:w w:val="110"/>
          <w:sz w:val="16"/>
        </w:rPr>
        <w:t>27,</w:t>
      </w:r>
      <w:r>
        <w:rPr>
          <w:color w:val="231F20"/>
          <w:spacing w:val="25"/>
          <w:w w:val="110"/>
          <w:sz w:val="16"/>
        </w:rPr>
        <w:t xml:space="preserve"> </w:t>
      </w:r>
      <w:r>
        <w:rPr>
          <w:color w:val="231F20"/>
          <w:w w:val="110"/>
          <w:sz w:val="16"/>
        </w:rPr>
        <w:t>1971.</w:t>
      </w:r>
    </w:p>
    <w:p w14:paraId="3E9DA628" w14:textId="77777777" w:rsidR="002653E8" w:rsidRDefault="003115E3">
      <w:pPr>
        <w:pStyle w:val="a4"/>
        <w:numPr>
          <w:ilvl w:val="0"/>
          <w:numId w:val="171"/>
        </w:numPr>
        <w:tabs>
          <w:tab w:val="left" w:pos="1467"/>
        </w:tabs>
        <w:ind w:left="1466" w:hanging="138"/>
        <w:rPr>
          <w:sz w:val="16"/>
        </w:rPr>
      </w:pPr>
      <w:r>
        <w:rPr>
          <w:color w:val="231F20"/>
          <w:w w:val="110"/>
          <w:sz w:val="16"/>
        </w:rPr>
        <w:t>Ibid.</w:t>
      </w:r>
    </w:p>
    <w:p w14:paraId="40FC2819" w14:textId="77777777" w:rsidR="002653E8" w:rsidRDefault="003115E3">
      <w:pPr>
        <w:pStyle w:val="a4"/>
        <w:numPr>
          <w:ilvl w:val="0"/>
          <w:numId w:val="171"/>
        </w:numPr>
        <w:tabs>
          <w:tab w:val="left" w:pos="1467"/>
        </w:tabs>
        <w:spacing w:before="51" w:line="254" w:lineRule="auto"/>
        <w:ind w:right="1443" w:firstLine="0"/>
        <w:rPr>
          <w:sz w:val="16"/>
        </w:rPr>
      </w:pPr>
      <w:r>
        <w:rPr>
          <w:color w:val="231F20"/>
          <w:w w:val="110"/>
          <w:sz w:val="16"/>
        </w:rPr>
        <w:t xml:space="preserve">Associated Press, “Kidnaped German Boy, </w:t>
      </w:r>
      <w:r>
        <w:rPr>
          <w:color w:val="231F20"/>
          <w:spacing w:val="-6"/>
          <w:w w:val="110"/>
          <w:sz w:val="16"/>
        </w:rPr>
        <w:t xml:space="preserve">7, </w:t>
      </w:r>
      <w:r>
        <w:rPr>
          <w:color w:val="231F20"/>
          <w:w w:val="110"/>
          <w:sz w:val="16"/>
        </w:rPr>
        <w:t xml:space="preserve">Freed </w:t>
      </w:r>
      <w:r>
        <w:rPr>
          <w:color w:val="231F20"/>
          <w:spacing w:val="1"/>
          <w:w w:val="110"/>
          <w:sz w:val="16"/>
        </w:rPr>
        <w:t xml:space="preserve">After </w:t>
      </w:r>
      <w:r>
        <w:rPr>
          <w:color w:val="231F20"/>
          <w:w w:val="110"/>
          <w:sz w:val="16"/>
        </w:rPr>
        <w:t xml:space="preserve">Ransom,” </w:t>
      </w:r>
      <w:r>
        <w:rPr>
          <w:i/>
          <w:color w:val="231F20"/>
          <w:w w:val="110"/>
          <w:sz w:val="16"/>
        </w:rPr>
        <w:t xml:space="preserve">European Stars </w:t>
      </w:r>
      <w:r>
        <w:rPr>
          <w:i/>
          <w:color w:val="231F20"/>
          <w:spacing w:val="1"/>
          <w:w w:val="110"/>
          <w:sz w:val="16"/>
        </w:rPr>
        <w:t xml:space="preserve">and </w:t>
      </w:r>
      <w:r>
        <w:rPr>
          <w:i/>
          <w:color w:val="231F20"/>
          <w:w w:val="110"/>
          <w:sz w:val="16"/>
        </w:rPr>
        <w:t xml:space="preserve">Stripes, </w:t>
      </w:r>
      <w:r>
        <w:rPr>
          <w:color w:val="231F20"/>
          <w:w w:val="110"/>
          <w:sz w:val="16"/>
        </w:rPr>
        <w:t>February 29,</w:t>
      </w:r>
      <w:r>
        <w:rPr>
          <w:color w:val="231F20"/>
          <w:spacing w:val="26"/>
          <w:w w:val="110"/>
          <w:sz w:val="16"/>
        </w:rPr>
        <w:t xml:space="preserve"> </w:t>
      </w:r>
      <w:r>
        <w:rPr>
          <w:color w:val="231F20"/>
          <w:w w:val="110"/>
          <w:sz w:val="16"/>
        </w:rPr>
        <w:t>1971.</w:t>
      </w:r>
    </w:p>
    <w:p w14:paraId="249B1037" w14:textId="77777777" w:rsidR="002653E8" w:rsidRDefault="003115E3">
      <w:pPr>
        <w:pStyle w:val="a4"/>
        <w:numPr>
          <w:ilvl w:val="0"/>
          <w:numId w:val="171"/>
        </w:numPr>
        <w:tabs>
          <w:tab w:val="left" w:pos="1467"/>
        </w:tabs>
        <w:spacing w:line="254" w:lineRule="auto"/>
        <w:ind w:left="1327" w:right="1403" w:firstLine="1"/>
        <w:rPr>
          <w:sz w:val="16"/>
        </w:rPr>
      </w:pPr>
      <w:r>
        <w:rPr>
          <w:color w:val="231F20"/>
          <w:w w:val="110"/>
          <w:sz w:val="16"/>
        </w:rPr>
        <w:t xml:space="preserve">Associated Press, “Police Hunting </w:t>
      </w:r>
      <w:r>
        <w:rPr>
          <w:color w:val="231F20"/>
          <w:spacing w:val="1"/>
          <w:w w:val="110"/>
          <w:sz w:val="16"/>
        </w:rPr>
        <w:t xml:space="preserve">SS </w:t>
      </w:r>
      <w:r>
        <w:rPr>
          <w:color w:val="231F20"/>
          <w:w w:val="110"/>
          <w:sz w:val="16"/>
        </w:rPr>
        <w:t xml:space="preserve">Member’s Son in Kidnapings,” </w:t>
      </w:r>
      <w:r>
        <w:rPr>
          <w:i/>
          <w:color w:val="231F20"/>
          <w:w w:val="110"/>
          <w:sz w:val="16"/>
        </w:rPr>
        <w:t xml:space="preserve">European Stars </w:t>
      </w:r>
      <w:r>
        <w:rPr>
          <w:i/>
          <w:color w:val="231F20"/>
          <w:spacing w:val="1"/>
          <w:w w:val="110"/>
          <w:sz w:val="16"/>
        </w:rPr>
        <w:t xml:space="preserve">and </w:t>
      </w:r>
      <w:r>
        <w:rPr>
          <w:i/>
          <w:color w:val="231F20"/>
          <w:w w:val="110"/>
          <w:sz w:val="16"/>
        </w:rPr>
        <w:t xml:space="preserve">Stripes, </w:t>
      </w:r>
      <w:r>
        <w:rPr>
          <w:color w:val="231F20"/>
          <w:w w:val="110"/>
          <w:sz w:val="16"/>
        </w:rPr>
        <w:t>March 2,</w:t>
      </w:r>
      <w:r>
        <w:rPr>
          <w:color w:val="231F20"/>
          <w:spacing w:val="30"/>
          <w:w w:val="110"/>
          <w:sz w:val="16"/>
        </w:rPr>
        <w:t xml:space="preserve"> </w:t>
      </w:r>
      <w:r>
        <w:rPr>
          <w:color w:val="231F20"/>
          <w:w w:val="110"/>
          <w:sz w:val="16"/>
        </w:rPr>
        <w:t>1971.</w:t>
      </w:r>
    </w:p>
    <w:p w14:paraId="6BC9CC3E" w14:textId="77777777" w:rsidR="002653E8" w:rsidRDefault="002653E8">
      <w:pPr>
        <w:spacing w:line="254" w:lineRule="auto"/>
        <w:rPr>
          <w:sz w:val="16"/>
        </w:rPr>
        <w:sectPr w:rsidR="002653E8">
          <w:pgSz w:w="8640" w:h="12960"/>
          <w:pgMar w:top="1060" w:right="0" w:bottom="1040" w:left="0" w:header="0" w:footer="850" w:gutter="0"/>
          <w:cols w:space="720"/>
        </w:sectPr>
      </w:pPr>
    </w:p>
    <w:bookmarkEnd w:id="31"/>
    <w:p w14:paraId="37AD648E" w14:textId="77777777" w:rsidR="002653E8" w:rsidRDefault="003115E3">
      <w:pPr>
        <w:pStyle w:val="a3"/>
        <w:spacing w:before="86" w:line="264" w:lineRule="auto"/>
        <w:ind w:left="1147" w:right="1326" w:firstLine="210"/>
        <w:jc w:val="both"/>
      </w:pPr>
      <w:r>
        <w:rPr>
          <w:color w:val="231F20"/>
        </w:rPr>
        <w:lastRenderedPageBreak/>
        <w:t xml:space="preserve">This first kidnapping occurred just as Mahler, Schubert, and  Goergens were about to go on trial. This is what could  be  called  a  “false flag” action, a term referring to an  attack  carried  out  by  certain parties under the banner of another group to which they are hostile in order to discredit them. As we shall see, false flag attacks were    to plague the </w:t>
      </w:r>
      <w:r w:rsidR="00C507A5">
        <w:rPr>
          <w:color w:val="231F20"/>
          <w:spacing w:val="5"/>
        </w:rPr>
        <w:t>red army faction</w:t>
      </w:r>
      <w:r>
        <w:rPr>
          <w:color w:val="231F20"/>
          <w:spacing w:val="5"/>
        </w:rPr>
        <w:t xml:space="preserve"> </w:t>
      </w:r>
      <w:r>
        <w:rPr>
          <w:color w:val="231F20"/>
        </w:rPr>
        <w:t>throughout the 1970s, as all manner of antisocial crimes would be carried out or threatened by persons pretending to be from the</w:t>
      </w:r>
      <w:r>
        <w:rPr>
          <w:color w:val="231F20"/>
          <w:spacing w:val="21"/>
        </w:rPr>
        <w:t xml:space="preserve"> </w:t>
      </w:r>
      <w:r>
        <w:rPr>
          <w:color w:val="231F20"/>
        </w:rPr>
        <w:t>guerilla.</w:t>
      </w:r>
    </w:p>
    <w:p w14:paraId="11F76325" w14:textId="77777777" w:rsidR="002653E8" w:rsidRDefault="003115E3">
      <w:pPr>
        <w:pStyle w:val="a3"/>
        <w:spacing w:line="264" w:lineRule="auto"/>
        <w:ind w:left="1147" w:right="1327" w:firstLine="209"/>
        <w:jc w:val="both"/>
      </w:pPr>
      <w:r>
        <w:rPr>
          <w:color w:val="231F20"/>
        </w:rPr>
        <w:t xml:space="preserve">The </w:t>
      </w:r>
      <w:r w:rsidR="00C507A5">
        <w:rPr>
          <w:color w:val="231F20"/>
        </w:rPr>
        <w:t>red army faction</w:t>
      </w:r>
      <w:r>
        <w:rPr>
          <w:color w:val="231F20"/>
        </w:rPr>
        <w:t xml:space="preserve"> repeatedly denied its involvement in these actions, and yet the slander often stuck.</w:t>
      </w:r>
    </w:p>
    <w:p w14:paraId="5AA347D3" w14:textId="77777777" w:rsidR="002653E8" w:rsidRDefault="003115E3">
      <w:pPr>
        <w:pStyle w:val="a3"/>
        <w:spacing w:line="264" w:lineRule="auto"/>
        <w:ind w:left="1147" w:right="1326" w:firstLine="210"/>
        <w:jc w:val="both"/>
      </w:pPr>
      <w:r>
        <w:rPr>
          <w:color w:val="231F20"/>
        </w:rPr>
        <w:t xml:space="preserve">Doubly vexing is the fact that in most of these false flag actions, no firm evidence has ever come to light proving who in fact was responsible. Suspicions have ranged from some secret service working for the state, or for NATO, or else perhaps neofascists, or some combination thereof. Or perhaps these were “normal” criminal acts, and it was the media or police who were fabricating details to tie them to the </w:t>
      </w:r>
      <w:r w:rsidR="00C507A5">
        <w:rPr>
          <w:color w:val="231F20"/>
        </w:rPr>
        <w:t>red army faction</w:t>
      </w:r>
      <w:r>
        <w:rPr>
          <w:color w:val="231F20"/>
        </w:rPr>
        <w:t>.</w:t>
      </w:r>
    </w:p>
    <w:p w14:paraId="45074B22" w14:textId="77777777" w:rsidR="002653E8" w:rsidRDefault="003115E3">
      <w:pPr>
        <w:pStyle w:val="a3"/>
        <w:spacing w:line="264" w:lineRule="auto"/>
        <w:ind w:left="1148" w:right="1326" w:firstLine="210"/>
        <w:jc w:val="both"/>
      </w:pPr>
      <w:r>
        <w:rPr>
          <w:color w:val="231F20"/>
        </w:rPr>
        <w:t xml:space="preserve">Judging from experiences elsewhere in Europe, it is entirely possible that elements within the state, within </w:t>
      </w:r>
      <w:r>
        <w:rPr>
          <w:color w:val="231F20"/>
          <w:spacing w:val="-3"/>
        </w:rPr>
        <w:t xml:space="preserve">NATO, </w:t>
      </w:r>
      <w:r>
        <w:rPr>
          <w:color w:val="231F20"/>
        </w:rPr>
        <w:t xml:space="preserve">and within the far right collaborated in some of these attacks. Such scenarios are known, for instance, to have played themselves out in France,  Italy, and </w:t>
      </w:r>
      <w:r>
        <w:rPr>
          <w:color w:val="231F20"/>
          <w:spacing w:val="-5"/>
        </w:rPr>
        <w:t xml:space="preserve">Turkey.  </w:t>
      </w:r>
      <w:r>
        <w:rPr>
          <w:color w:val="231F20"/>
        </w:rPr>
        <w:t>The goal for such operations was generally not simply to discredit the left-wing guerilla, but rather to create a general climate of fear in which people</w:t>
      </w:r>
      <w:r>
        <w:rPr>
          <w:color w:val="231F20"/>
          <w:spacing w:val="10"/>
        </w:rPr>
        <w:t xml:space="preserve"> </w:t>
      </w:r>
      <w:r>
        <w:rPr>
          <w:color w:val="231F20"/>
        </w:rPr>
        <w:t>would</w:t>
      </w:r>
      <w:r>
        <w:rPr>
          <w:color w:val="231F20"/>
          <w:spacing w:val="10"/>
        </w:rPr>
        <w:t xml:space="preserve"> </w:t>
      </w:r>
      <w:r>
        <w:rPr>
          <w:color w:val="231F20"/>
        </w:rPr>
        <w:t>rally</w:t>
      </w:r>
      <w:r>
        <w:rPr>
          <w:color w:val="231F20"/>
          <w:spacing w:val="10"/>
        </w:rPr>
        <w:t xml:space="preserve"> </w:t>
      </w:r>
      <w:r>
        <w:rPr>
          <w:color w:val="231F20"/>
        </w:rPr>
        <w:t>to</w:t>
      </w:r>
      <w:r>
        <w:rPr>
          <w:color w:val="231F20"/>
          <w:spacing w:val="10"/>
        </w:rPr>
        <w:t xml:space="preserve"> </w:t>
      </w:r>
      <w:r>
        <w:rPr>
          <w:color w:val="231F20"/>
        </w:rPr>
        <w:t>the</w:t>
      </w:r>
      <w:r>
        <w:rPr>
          <w:color w:val="231F20"/>
          <w:spacing w:val="10"/>
        </w:rPr>
        <w:t xml:space="preserve"> </w:t>
      </w:r>
      <w:r>
        <w:rPr>
          <w:color w:val="231F20"/>
        </w:rPr>
        <w:t>hard</w:t>
      </w:r>
      <w:r>
        <w:rPr>
          <w:color w:val="231F20"/>
          <w:spacing w:val="10"/>
        </w:rPr>
        <w:t xml:space="preserve"> </w:t>
      </w:r>
      <w:r>
        <w:rPr>
          <w:color w:val="231F20"/>
        </w:rPr>
        <w:t>right.</w:t>
      </w:r>
    </w:p>
    <w:p w14:paraId="43DA3D41" w14:textId="77777777" w:rsidR="002653E8" w:rsidRDefault="003115E3">
      <w:pPr>
        <w:pStyle w:val="a3"/>
        <w:spacing w:line="264" w:lineRule="auto"/>
        <w:ind w:left="1148" w:right="1325" w:firstLine="210"/>
        <w:jc w:val="both"/>
      </w:pPr>
      <w:r>
        <w:rPr>
          <w:color w:val="231F20"/>
          <w:spacing w:val="1"/>
        </w:rPr>
        <w:t xml:space="preserve">In </w:t>
      </w:r>
      <w:r>
        <w:rPr>
          <w:color w:val="231F20"/>
        </w:rPr>
        <w:t xml:space="preserve">most cases, we may never </w:t>
      </w:r>
      <w:r>
        <w:rPr>
          <w:color w:val="231F20"/>
          <w:spacing w:val="-3"/>
        </w:rPr>
        <w:t xml:space="preserve">know, </w:t>
      </w:r>
      <w:r>
        <w:rPr>
          <w:color w:val="231F20"/>
        </w:rPr>
        <w:t xml:space="preserve">but amazingly enough, there was a second false flag kidnapping during the first </w:t>
      </w:r>
      <w:r w:rsidR="00C507A5">
        <w:rPr>
          <w:color w:val="231F20"/>
          <w:spacing w:val="5"/>
        </w:rPr>
        <w:t>red army faction</w:t>
      </w:r>
      <w:r>
        <w:rPr>
          <w:color w:val="231F20"/>
          <w:spacing w:val="5"/>
        </w:rPr>
        <w:t xml:space="preserve"> </w:t>
      </w:r>
      <w:r>
        <w:rPr>
          <w:color w:val="231F20"/>
        </w:rPr>
        <w:t>trial, and the authors</w:t>
      </w:r>
      <w:r>
        <w:rPr>
          <w:color w:val="231F20"/>
          <w:spacing w:val="10"/>
        </w:rPr>
        <w:t xml:space="preserve"> </w:t>
      </w:r>
      <w:r>
        <w:rPr>
          <w:color w:val="231F20"/>
        </w:rPr>
        <w:t>of</w:t>
      </w:r>
      <w:r>
        <w:rPr>
          <w:color w:val="231F20"/>
          <w:spacing w:val="10"/>
        </w:rPr>
        <w:t xml:space="preserve"> </w:t>
      </w:r>
      <w:r>
        <w:rPr>
          <w:color w:val="231F20"/>
        </w:rPr>
        <w:t>this</w:t>
      </w:r>
      <w:r>
        <w:rPr>
          <w:color w:val="231F20"/>
          <w:spacing w:val="10"/>
        </w:rPr>
        <w:t xml:space="preserve"> </w:t>
      </w:r>
      <w:r>
        <w:rPr>
          <w:color w:val="231F20"/>
        </w:rPr>
        <w:t>second</w:t>
      </w:r>
      <w:r>
        <w:rPr>
          <w:color w:val="231F20"/>
          <w:spacing w:val="10"/>
        </w:rPr>
        <w:t xml:space="preserve"> </w:t>
      </w:r>
      <w:r>
        <w:rPr>
          <w:color w:val="231F20"/>
        </w:rPr>
        <w:t>crime</w:t>
      </w:r>
      <w:r>
        <w:rPr>
          <w:color w:val="231F20"/>
          <w:spacing w:val="10"/>
        </w:rPr>
        <w:t xml:space="preserve"> </w:t>
      </w:r>
      <w:r>
        <w:rPr>
          <w:color w:val="231F20"/>
        </w:rPr>
        <w:t>actually</w:t>
      </w:r>
      <w:r>
        <w:rPr>
          <w:color w:val="231F20"/>
          <w:spacing w:val="10"/>
        </w:rPr>
        <w:t xml:space="preserve"> </w:t>
      </w:r>
      <w:r>
        <w:rPr>
          <w:color w:val="231F20"/>
        </w:rPr>
        <w:t>ended</w:t>
      </w:r>
      <w:r>
        <w:rPr>
          <w:color w:val="231F20"/>
          <w:spacing w:val="10"/>
        </w:rPr>
        <w:t xml:space="preserve"> </w:t>
      </w:r>
      <w:r>
        <w:rPr>
          <w:color w:val="231F20"/>
        </w:rPr>
        <w:t>up</w:t>
      </w:r>
      <w:r>
        <w:rPr>
          <w:color w:val="231F20"/>
          <w:spacing w:val="10"/>
        </w:rPr>
        <w:t xml:space="preserve"> </w:t>
      </w:r>
      <w:r>
        <w:rPr>
          <w:color w:val="231F20"/>
        </w:rPr>
        <w:t>admitting</w:t>
      </w:r>
      <w:r>
        <w:rPr>
          <w:color w:val="231F20"/>
          <w:spacing w:val="10"/>
        </w:rPr>
        <w:t xml:space="preserve"> </w:t>
      </w:r>
      <w:r>
        <w:rPr>
          <w:color w:val="231F20"/>
        </w:rPr>
        <w:t>the</w:t>
      </w:r>
      <w:r>
        <w:rPr>
          <w:color w:val="231F20"/>
          <w:spacing w:val="10"/>
        </w:rPr>
        <w:t xml:space="preserve"> </w:t>
      </w:r>
      <w:r>
        <w:rPr>
          <w:color w:val="231F20"/>
        </w:rPr>
        <w:t>ruse.</w:t>
      </w:r>
    </w:p>
    <w:p w14:paraId="266CC1A7" w14:textId="77777777" w:rsidR="002653E8" w:rsidRDefault="003115E3">
      <w:pPr>
        <w:pStyle w:val="a3"/>
        <w:spacing w:line="264" w:lineRule="auto"/>
        <w:ind w:left="1148" w:right="1325" w:firstLine="210"/>
        <w:jc w:val="both"/>
        <w:rPr>
          <w:sz w:val="11"/>
        </w:rPr>
      </w:pPr>
      <w:r>
        <w:rPr>
          <w:color w:val="231F20"/>
        </w:rPr>
        <w:t>On Sunday April 25, newspapers reported that a university professor and his friend had been kidnapped by the guerilla, which was threatening to execute them if Mahler, Schubert, and Goergens were not released. The kidnappers were allegedly demanding that the three be allowed to travel to a country of their choosing, and insisted that this be announced on television.</w:t>
      </w:r>
      <w:r>
        <w:rPr>
          <w:color w:val="231F20"/>
          <w:position w:val="7"/>
          <w:sz w:val="11"/>
        </w:rPr>
        <w:t>1</w:t>
      </w:r>
    </w:p>
    <w:p w14:paraId="354DF1BF" w14:textId="77777777" w:rsidR="002653E8" w:rsidRDefault="003115E3">
      <w:pPr>
        <w:pStyle w:val="a3"/>
        <w:spacing w:line="264" w:lineRule="auto"/>
        <w:ind w:left="1147" w:right="1326" w:firstLine="210"/>
        <w:jc w:val="both"/>
      </w:pPr>
      <w:r>
        <w:rPr>
          <w:color w:val="231F20"/>
        </w:rPr>
        <w:t>Two days later, the men were found, one of them tied to a tree. The kidnappers, however, were nowhere in sight. After some questioning, the “captives” broke down and admitted that they had staged the entire thing in the hopes of scaring people into voting against the “left-wing”</w:t>
      </w:r>
    </w:p>
    <w:p w14:paraId="0A3FEA35" w14:textId="77777777" w:rsidR="002653E8" w:rsidRDefault="002653E8">
      <w:pPr>
        <w:pStyle w:val="a3"/>
      </w:pPr>
    </w:p>
    <w:p w14:paraId="5108A11C" w14:textId="77777777" w:rsidR="002653E8" w:rsidRDefault="002653E8">
      <w:pPr>
        <w:pStyle w:val="a3"/>
        <w:spacing w:before="4"/>
        <w:rPr>
          <w:sz w:val="21"/>
        </w:rPr>
      </w:pPr>
    </w:p>
    <w:p w14:paraId="53198F4E" w14:textId="77777777" w:rsidR="002653E8" w:rsidRDefault="003115E3">
      <w:pPr>
        <w:spacing w:before="105"/>
        <w:ind w:left="1147"/>
        <w:rPr>
          <w:sz w:val="16"/>
        </w:rPr>
      </w:pPr>
      <w:r>
        <w:rPr>
          <w:color w:val="231F20"/>
          <w:w w:val="105"/>
          <w:sz w:val="16"/>
        </w:rPr>
        <w:lastRenderedPageBreak/>
        <w:t>1 United Press International, “Professor Endangered by Kidnapper’s Threat,”</w:t>
      </w:r>
    </w:p>
    <w:p w14:paraId="169B7EE7" w14:textId="77777777" w:rsidR="002653E8" w:rsidRDefault="003115E3">
      <w:pPr>
        <w:spacing w:before="11"/>
        <w:ind w:left="1147"/>
        <w:rPr>
          <w:sz w:val="16"/>
        </w:rPr>
      </w:pPr>
      <w:r>
        <w:rPr>
          <w:i/>
          <w:color w:val="231F20"/>
          <w:w w:val="110"/>
          <w:sz w:val="16"/>
        </w:rPr>
        <w:t xml:space="preserve">Dominion Post, </w:t>
      </w:r>
      <w:r>
        <w:rPr>
          <w:color w:val="231F20"/>
          <w:w w:val="110"/>
          <w:sz w:val="16"/>
        </w:rPr>
        <w:t>April 25, 1971.</w:t>
      </w:r>
    </w:p>
    <w:p w14:paraId="6660160B" w14:textId="77777777" w:rsidR="002653E8" w:rsidRDefault="002653E8">
      <w:pPr>
        <w:rPr>
          <w:sz w:val="16"/>
        </w:rPr>
        <w:sectPr w:rsidR="002653E8">
          <w:footerReference w:type="even" r:id="rId67"/>
          <w:footerReference w:type="default" r:id="rId68"/>
          <w:pgSz w:w="8640" w:h="12960"/>
          <w:pgMar w:top="1060" w:right="0" w:bottom="1460" w:left="0" w:header="0" w:footer="1270" w:gutter="0"/>
          <w:cols w:space="720"/>
        </w:sectPr>
      </w:pPr>
    </w:p>
    <w:p w14:paraId="0F3A91B2" w14:textId="77777777" w:rsidR="002653E8" w:rsidRDefault="003115E3">
      <w:pPr>
        <w:pStyle w:val="a3"/>
        <w:spacing w:before="86" w:line="264" w:lineRule="auto"/>
        <w:ind w:left="1327" w:right="1146"/>
        <w:jc w:val="both"/>
      </w:pPr>
      <w:r>
        <w:rPr>
          <w:color w:val="231F20"/>
        </w:rPr>
        <w:lastRenderedPageBreak/>
        <w:t>SPD in the provincial elections in Schleswig-Holstein.</w:t>
      </w:r>
      <w:r>
        <w:rPr>
          <w:color w:val="231F20"/>
          <w:position w:val="7"/>
          <w:sz w:val="11"/>
        </w:rPr>
        <w:t xml:space="preserve">2 </w:t>
      </w:r>
      <w:r>
        <w:rPr>
          <w:color w:val="231F20"/>
        </w:rPr>
        <w:t>The mastermind behind this plan, Jürgen Rieger,</w:t>
      </w:r>
      <w:r>
        <w:rPr>
          <w:color w:val="231F20"/>
          <w:position w:val="7"/>
          <w:sz w:val="11"/>
        </w:rPr>
        <w:t xml:space="preserve">3 </w:t>
      </w:r>
      <w:r>
        <w:rPr>
          <w:color w:val="231F20"/>
        </w:rPr>
        <w:t>was active in neofascist circles; he would eventually be sentenced to six months in prison as a result.</w:t>
      </w:r>
    </w:p>
    <w:p w14:paraId="54F40A24" w14:textId="77777777" w:rsidR="002653E8" w:rsidRDefault="003115E3">
      <w:pPr>
        <w:pStyle w:val="a3"/>
        <w:spacing w:line="264" w:lineRule="auto"/>
        <w:ind w:left="1327" w:right="1146" w:firstLine="210"/>
        <w:jc w:val="both"/>
      </w:pPr>
      <w:r>
        <w:rPr>
          <w:color w:val="231F20"/>
        </w:rPr>
        <w:t>As a corollary to these staged actions, the police were happy to oblige by setting the scene at the trial itself:</w:t>
      </w:r>
    </w:p>
    <w:p w14:paraId="3135F4ED" w14:textId="77777777" w:rsidR="002653E8" w:rsidRDefault="003115E3">
      <w:pPr>
        <w:spacing w:before="124" w:line="276" w:lineRule="auto"/>
        <w:ind w:left="1747" w:right="1565"/>
        <w:jc w:val="both"/>
        <w:rPr>
          <w:i/>
          <w:sz w:val="11"/>
        </w:rPr>
      </w:pPr>
      <w:r>
        <w:rPr>
          <w:i/>
          <w:color w:val="231F20"/>
          <w:sz w:val="19"/>
        </w:rPr>
        <w:t>The criminal court in the Moabit prison had been  transformed  into a fortress for the trial. There were policemen armed with submachine guns patrolling the corridors, the entrances and exits; outside the building stood vehicles with  their  engines  running  and carrying teams of men, there were officers carrying radio equipment, and more units waited in the inner courtyard  to  go into action if</w:t>
      </w:r>
      <w:r>
        <w:rPr>
          <w:i/>
          <w:color w:val="231F20"/>
          <w:spacing w:val="31"/>
          <w:sz w:val="19"/>
        </w:rPr>
        <w:t xml:space="preserve"> </w:t>
      </w:r>
      <w:r>
        <w:rPr>
          <w:i/>
          <w:color w:val="231F20"/>
          <w:sz w:val="19"/>
        </w:rPr>
        <w:t>needed.</w:t>
      </w:r>
      <w:r>
        <w:rPr>
          <w:i/>
          <w:color w:val="231F20"/>
          <w:position w:val="6"/>
          <w:sz w:val="11"/>
        </w:rPr>
        <w:t>4</w:t>
      </w:r>
    </w:p>
    <w:p w14:paraId="7E01E682" w14:textId="77777777" w:rsidR="002653E8" w:rsidRDefault="003115E3">
      <w:pPr>
        <w:pStyle w:val="a3"/>
        <w:spacing w:before="133" w:line="264" w:lineRule="auto"/>
        <w:ind w:left="1327" w:right="1146"/>
        <w:jc w:val="both"/>
      </w:pPr>
      <w:r>
        <w:rPr>
          <w:color w:val="231F20"/>
        </w:rPr>
        <w:t>Far-right hoaxes were helping to justify shocking levels of police militarization and repression. One did not need to be a paranoid conspiracy theorist to think that the state was more than willing to play dirty in order to get rid of its new armed opponents and that the talk of a “fascist drift” was more than mere rhetoric.</w:t>
      </w:r>
    </w:p>
    <w:p w14:paraId="29F51532" w14:textId="77777777" w:rsidR="002653E8" w:rsidRDefault="003115E3">
      <w:pPr>
        <w:pStyle w:val="a3"/>
        <w:spacing w:line="264" w:lineRule="auto"/>
        <w:ind w:left="1327" w:right="1146" w:firstLine="210"/>
        <w:jc w:val="both"/>
      </w:pPr>
      <w:r>
        <w:rPr>
          <w:color w:val="231F20"/>
        </w:rPr>
        <w:t>Not that the radical left was unwilling to fight for the captured combatants, though kidnapping innocent children or academics would  never feature amongst its strategies. When kidnappings would eventually be carried out, the targets would always be important members of the establishment, men with personal ties to the system against which the guerilla</w:t>
      </w:r>
      <w:r>
        <w:rPr>
          <w:color w:val="231F20"/>
          <w:spacing w:val="21"/>
        </w:rPr>
        <w:t xml:space="preserve"> </w:t>
      </w:r>
      <w:r>
        <w:rPr>
          <w:color w:val="231F20"/>
        </w:rPr>
        <w:t>fought.</w:t>
      </w:r>
    </w:p>
    <w:p w14:paraId="3A3ADE54" w14:textId="77777777" w:rsidR="002653E8" w:rsidRDefault="003115E3">
      <w:pPr>
        <w:pStyle w:val="a3"/>
        <w:spacing w:line="264" w:lineRule="auto"/>
        <w:ind w:left="1327" w:right="1146" w:firstLine="210"/>
        <w:jc w:val="both"/>
        <w:rPr>
          <w:sz w:val="11"/>
        </w:rPr>
      </w:pPr>
      <w:r>
        <w:rPr>
          <w:color w:val="231F20"/>
          <w:spacing w:val="1"/>
        </w:rPr>
        <w:t xml:space="preserve">In </w:t>
      </w:r>
      <w:r>
        <w:rPr>
          <w:color w:val="231F20"/>
          <w:spacing w:val="-4"/>
        </w:rPr>
        <w:t xml:space="preserve">1971, </w:t>
      </w:r>
      <w:r>
        <w:rPr>
          <w:color w:val="231F20"/>
        </w:rPr>
        <w:t xml:space="preserve">however, nobody was in a position to </w:t>
      </w:r>
      <w:r>
        <w:rPr>
          <w:color w:val="231F20"/>
          <w:spacing w:val="1"/>
        </w:rPr>
        <w:t xml:space="preserve">carry </w:t>
      </w:r>
      <w:r>
        <w:rPr>
          <w:color w:val="231F20"/>
        </w:rPr>
        <w:t xml:space="preserve">out such operations, and so the struggle for the prisoners’ freedom took place largely in the streets. As the trial wrapped up, rioting broke out for two days    in </w:t>
      </w:r>
      <w:r>
        <w:rPr>
          <w:color w:val="231F20"/>
          <w:spacing w:val="-3"/>
        </w:rPr>
        <w:t xml:space="preserve">West </w:t>
      </w:r>
      <w:r>
        <w:rPr>
          <w:color w:val="231F20"/>
        </w:rPr>
        <w:t>Berlin: “youths blocked traffic, and smashed store and car win</w:t>
      </w:r>
      <w:r>
        <w:rPr>
          <w:color w:val="231F20"/>
          <w:spacing w:val="-3"/>
        </w:rPr>
        <w:t xml:space="preserve">dows,”  </w:t>
      </w:r>
      <w:r>
        <w:rPr>
          <w:color w:val="231F20"/>
        </w:rPr>
        <w:t>all the while shouting slogans like “Free Mahler!” and “Hands   off</w:t>
      </w:r>
      <w:r>
        <w:rPr>
          <w:color w:val="231F20"/>
          <w:spacing w:val="10"/>
        </w:rPr>
        <w:t xml:space="preserve"> </w:t>
      </w:r>
      <w:r>
        <w:rPr>
          <w:color w:val="231F20"/>
        </w:rPr>
        <w:t>Mahler!”</w:t>
      </w:r>
      <w:r>
        <w:rPr>
          <w:color w:val="231F20"/>
          <w:position w:val="7"/>
          <w:sz w:val="11"/>
        </w:rPr>
        <w:t>5</w:t>
      </w:r>
    </w:p>
    <w:p w14:paraId="7F701B12" w14:textId="77777777" w:rsidR="002653E8" w:rsidRDefault="00000000">
      <w:pPr>
        <w:pStyle w:val="a3"/>
        <w:rPr>
          <w:sz w:val="26"/>
        </w:rPr>
      </w:pPr>
      <w:r>
        <w:rPr>
          <w:noProof w:val="0"/>
        </w:rPr>
        <w:pict w14:anchorId="4921A615">
          <v:line id="_x0000_s2633" style="position:absolute;z-index:2920;mso-wrap-distance-left:0;mso-wrap-distance-right:0;mso-position-horizontal-relative:page" from="66.4pt,17.5pt" to="138.4pt,17.5pt" strokecolor="#231f20" strokeweight=".5pt">
            <w10:wrap type="topAndBottom" anchorx="page"/>
          </v:line>
        </w:pict>
      </w:r>
    </w:p>
    <w:p w14:paraId="0ACB8A96" w14:textId="77777777" w:rsidR="002653E8" w:rsidRDefault="003115E3">
      <w:pPr>
        <w:pStyle w:val="a4"/>
        <w:numPr>
          <w:ilvl w:val="0"/>
          <w:numId w:val="29"/>
        </w:numPr>
        <w:tabs>
          <w:tab w:val="left" w:pos="1467"/>
        </w:tabs>
        <w:spacing w:before="53"/>
        <w:ind w:hanging="1"/>
        <w:rPr>
          <w:sz w:val="16"/>
        </w:rPr>
      </w:pPr>
      <w:bookmarkStart w:id="32" w:name="_Hlk52842947"/>
      <w:r>
        <w:rPr>
          <w:color w:val="231F20"/>
          <w:w w:val="105"/>
          <w:sz w:val="16"/>
        </w:rPr>
        <w:t>United</w:t>
      </w:r>
      <w:r>
        <w:rPr>
          <w:color w:val="231F20"/>
          <w:spacing w:val="11"/>
          <w:w w:val="105"/>
          <w:sz w:val="16"/>
        </w:rPr>
        <w:t xml:space="preserve"> </w:t>
      </w:r>
      <w:r>
        <w:rPr>
          <w:color w:val="231F20"/>
          <w:w w:val="105"/>
          <w:sz w:val="16"/>
        </w:rPr>
        <w:t>Press</w:t>
      </w:r>
      <w:r>
        <w:rPr>
          <w:color w:val="231F20"/>
          <w:spacing w:val="11"/>
          <w:w w:val="105"/>
          <w:sz w:val="16"/>
        </w:rPr>
        <w:t xml:space="preserve"> </w:t>
      </w:r>
      <w:r>
        <w:rPr>
          <w:color w:val="231F20"/>
          <w:w w:val="105"/>
          <w:sz w:val="16"/>
        </w:rPr>
        <w:t>International,</w:t>
      </w:r>
      <w:r>
        <w:rPr>
          <w:color w:val="231F20"/>
          <w:spacing w:val="11"/>
          <w:w w:val="105"/>
          <w:sz w:val="16"/>
        </w:rPr>
        <w:t xml:space="preserve"> </w:t>
      </w:r>
      <w:r>
        <w:rPr>
          <w:color w:val="231F20"/>
          <w:w w:val="105"/>
          <w:sz w:val="16"/>
        </w:rPr>
        <w:t>“West</w:t>
      </w:r>
      <w:r>
        <w:rPr>
          <w:color w:val="231F20"/>
          <w:spacing w:val="11"/>
          <w:w w:val="105"/>
          <w:sz w:val="16"/>
        </w:rPr>
        <w:t xml:space="preserve"> </w:t>
      </w:r>
      <w:r>
        <w:rPr>
          <w:color w:val="231F20"/>
          <w:w w:val="105"/>
          <w:sz w:val="16"/>
        </w:rPr>
        <w:t>German</w:t>
      </w:r>
      <w:r>
        <w:rPr>
          <w:color w:val="231F20"/>
          <w:spacing w:val="11"/>
          <w:w w:val="105"/>
          <w:sz w:val="16"/>
        </w:rPr>
        <w:t xml:space="preserve"> </w:t>
      </w:r>
      <w:r>
        <w:rPr>
          <w:color w:val="231F20"/>
          <w:w w:val="105"/>
          <w:sz w:val="16"/>
        </w:rPr>
        <w:t>Professor</w:t>
      </w:r>
      <w:r>
        <w:rPr>
          <w:color w:val="231F20"/>
          <w:spacing w:val="11"/>
          <w:w w:val="105"/>
          <w:sz w:val="16"/>
        </w:rPr>
        <w:t xml:space="preserve"> </w:t>
      </w:r>
      <w:r>
        <w:rPr>
          <w:color w:val="231F20"/>
          <w:w w:val="105"/>
          <w:sz w:val="16"/>
        </w:rPr>
        <w:t>Admits</w:t>
      </w:r>
      <w:r>
        <w:rPr>
          <w:color w:val="231F20"/>
          <w:spacing w:val="11"/>
          <w:w w:val="105"/>
          <w:sz w:val="16"/>
        </w:rPr>
        <w:t xml:space="preserve"> </w:t>
      </w:r>
      <w:r>
        <w:rPr>
          <w:color w:val="231F20"/>
          <w:w w:val="105"/>
          <w:sz w:val="16"/>
        </w:rPr>
        <w:t>Kidnaping</w:t>
      </w:r>
      <w:r>
        <w:rPr>
          <w:color w:val="231F20"/>
          <w:spacing w:val="11"/>
          <w:w w:val="105"/>
          <w:sz w:val="16"/>
        </w:rPr>
        <w:t xml:space="preserve"> </w:t>
      </w:r>
      <w:r>
        <w:rPr>
          <w:color w:val="231F20"/>
          <w:w w:val="105"/>
          <w:sz w:val="16"/>
        </w:rPr>
        <w:t>Hoax,”</w:t>
      </w:r>
    </w:p>
    <w:p w14:paraId="3D905883" w14:textId="77777777" w:rsidR="002653E8" w:rsidRDefault="003115E3">
      <w:pPr>
        <w:spacing w:before="11"/>
        <w:ind w:left="1327"/>
        <w:rPr>
          <w:sz w:val="16"/>
        </w:rPr>
      </w:pPr>
      <w:r>
        <w:rPr>
          <w:i/>
          <w:color w:val="231F20"/>
          <w:w w:val="110"/>
          <w:sz w:val="16"/>
        </w:rPr>
        <w:t xml:space="preserve">European Stars and Stripes, </w:t>
      </w:r>
      <w:r>
        <w:rPr>
          <w:color w:val="231F20"/>
          <w:w w:val="110"/>
          <w:sz w:val="16"/>
        </w:rPr>
        <w:t>April 27, 1971.</w:t>
      </w:r>
    </w:p>
    <w:p w14:paraId="65A06005" w14:textId="77777777" w:rsidR="002653E8" w:rsidRDefault="003115E3">
      <w:pPr>
        <w:pStyle w:val="a4"/>
        <w:numPr>
          <w:ilvl w:val="0"/>
          <w:numId w:val="29"/>
        </w:numPr>
        <w:tabs>
          <w:tab w:val="left" w:pos="1467"/>
        </w:tabs>
        <w:spacing w:before="52" w:line="254" w:lineRule="auto"/>
        <w:ind w:right="1320" w:firstLine="0"/>
        <w:rPr>
          <w:sz w:val="16"/>
        </w:rPr>
      </w:pPr>
      <w:r>
        <w:rPr>
          <w:color w:val="231F20"/>
          <w:w w:val="105"/>
          <w:sz w:val="16"/>
        </w:rPr>
        <w:t>Jürgen Rieger is a lawyer whose career has been devoted to defending those charged under Germany’s anti-Nazi laws. Ironically, in 2006, both Rieger and Mahler, the latter by this time a Holocaust denier himself, would end up working  on the legal defense team of neo-nazi publisher Ernst Zundel, who was charged in connection</w:t>
      </w:r>
      <w:r>
        <w:rPr>
          <w:color w:val="231F20"/>
          <w:spacing w:val="8"/>
          <w:w w:val="105"/>
          <w:sz w:val="16"/>
        </w:rPr>
        <w:t xml:space="preserve"> </w:t>
      </w:r>
      <w:r>
        <w:rPr>
          <w:color w:val="231F20"/>
          <w:w w:val="105"/>
          <w:sz w:val="16"/>
        </w:rPr>
        <w:t>with</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publication</w:t>
      </w:r>
      <w:r>
        <w:rPr>
          <w:color w:val="231F20"/>
          <w:spacing w:val="8"/>
          <w:w w:val="105"/>
          <w:sz w:val="16"/>
        </w:rPr>
        <w:t xml:space="preserve"> </w:t>
      </w:r>
      <w:r>
        <w:rPr>
          <w:color w:val="231F20"/>
          <w:w w:val="105"/>
          <w:sz w:val="16"/>
        </w:rPr>
        <w:t>of</w:t>
      </w:r>
      <w:r>
        <w:rPr>
          <w:color w:val="231F20"/>
          <w:spacing w:val="8"/>
          <w:w w:val="105"/>
          <w:sz w:val="16"/>
        </w:rPr>
        <w:t xml:space="preserve"> </w:t>
      </w:r>
      <w:r>
        <w:rPr>
          <w:color w:val="231F20"/>
          <w:w w:val="105"/>
          <w:sz w:val="16"/>
        </w:rPr>
        <w:t>Holocaust</w:t>
      </w:r>
      <w:r>
        <w:rPr>
          <w:color w:val="231F20"/>
          <w:spacing w:val="8"/>
          <w:w w:val="105"/>
          <w:sz w:val="16"/>
        </w:rPr>
        <w:t xml:space="preserve"> </w:t>
      </w:r>
      <w:r>
        <w:rPr>
          <w:color w:val="231F20"/>
          <w:w w:val="105"/>
          <w:sz w:val="16"/>
        </w:rPr>
        <w:t>denial</w:t>
      </w:r>
      <w:r>
        <w:rPr>
          <w:color w:val="231F20"/>
          <w:spacing w:val="8"/>
          <w:w w:val="105"/>
          <w:sz w:val="16"/>
        </w:rPr>
        <w:t xml:space="preserve"> </w:t>
      </w:r>
      <w:r>
        <w:rPr>
          <w:color w:val="231F20"/>
          <w:w w:val="105"/>
          <w:sz w:val="16"/>
        </w:rPr>
        <w:t>literature.</w:t>
      </w:r>
    </w:p>
    <w:p w14:paraId="54909621" w14:textId="77777777" w:rsidR="002653E8" w:rsidRDefault="003115E3">
      <w:pPr>
        <w:spacing w:before="42"/>
        <w:ind w:left="1328"/>
        <w:rPr>
          <w:sz w:val="16"/>
        </w:rPr>
      </w:pPr>
      <w:r>
        <w:rPr>
          <w:color w:val="231F20"/>
          <w:w w:val="110"/>
          <w:sz w:val="16"/>
        </w:rPr>
        <w:t>4 Aust, 144.</w:t>
      </w:r>
    </w:p>
    <w:p w14:paraId="49DC428F" w14:textId="77777777" w:rsidR="002653E8" w:rsidRDefault="003115E3">
      <w:pPr>
        <w:spacing w:before="52" w:line="254" w:lineRule="auto"/>
        <w:ind w:left="1328" w:right="1580"/>
        <w:rPr>
          <w:sz w:val="16"/>
        </w:rPr>
      </w:pPr>
      <w:r>
        <w:rPr>
          <w:color w:val="231F20"/>
          <w:w w:val="105"/>
          <w:sz w:val="16"/>
        </w:rPr>
        <w:t xml:space="preserve">5 Associated Press, “Berlin Cops, Leftists Clash for  2nd Night,” </w:t>
      </w:r>
      <w:r>
        <w:rPr>
          <w:i/>
          <w:color w:val="231F20"/>
          <w:w w:val="105"/>
          <w:sz w:val="16"/>
        </w:rPr>
        <w:t>European Stars</w:t>
      </w:r>
      <w:r>
        <w:rPr>
          <w:i/>
          <w:color w:val="231F20"/>
          <w:spacing w:val="35"/>
          <w:w w:val="105"/>
          <w:sz w:val="16"/>
        </w:rPr>
        <w:t xml:space="preserve"> </w:t>
      </w:r>
      <w:r>
        <w:rPr>
          <w:i/>
          <w:color w:val="231F20"/>
          <w:spacing w:val="1"/>
          <w:w w:val="105"/>
          <w:sz w:val="16"/>
        </w:rPr>
        <w:t xml:space="preserve">and </w:t>
      </w:r>
      <w:r>
        <w:rPr>
          <w:i/>
          <w:color w:val="231F20"/>
          <w:w w:val="105"/>
          <w:sz w:val="16"/>
        </w:rPr>
        <w:t xml:space="preserve">Stripes, </w:t>
      </w:r>
      <w:r>
        <w:rPr>
          <w:color w:val="231F20"/>
          <w:w w:val="105"/>
          <w:sz w:val="16"/>
        </w:rPr>
        <w:t xml:space="preserve">May </w:t>
      </w:r>
      <w:r>
        <w:rPr>
          <w:color w:val="231F20"/>
          <w:spacing w:val="-5"/>
          <w:w w:val="105"/>
          <w:sz w:val="16"/>
        </w:rPr>
        <w:t>17,</w:t>
      </w:r>
      <w:r>
        <w:rPr>
          <w:color w:val="231F20"/>
          <w:spacing w:val="2"/>
          <w:w w:val="105"/>
          <w:sz w:val="16"/>
        </w:rPr>
        <w:t xml:space="preserve"> </w:t>
      </w:r>
      <w:r>
        <w:rPr>
          <w:color w:val="231F20"/>
          <w:w w:val="105"/>
          <w:sz w:val="16"/>
        </w:rPr>
        <w:t>1971.</w:t>
      </w:r>
    </w:p>
    <w:bookmarkEnd w:id="32"/>
    <w:p w14:paraId="21F2483C" w14:textId="77777777" w:rsidR="002653E8" w:rsidRDefault="002653E8">
      <w:pPr>
        <w:spacing w:line="254" w:lineRule="auto"/>
        <w:rPr>
          <w:sz w:val="16"/>
        </w:rPr>
        <w:sectPr w:rsidR="002653E8">
          <w:pgSz w:w="8640" w:h="12960"/>
          <w:pgMar w:top="1060" w:right="0" w:bottom="1040" w:left="0" w:header="0" w:footer="850" w:gutter="0"/>
          <w:cols w:space="720"/>
        </w:sectPr>
      </w:pPr>
    </w:p>
    <w:p w14:paraId="66C9E8EE" w14:textId="77777777" w:rsidR="002653E8" w:rsidRDefault="003115E3">
      <w:pPr>
        <w:pStyle w:val="a3"/>
        <w:spacing w:before="86" w:line="264" w:lineRule="auto"/>
        <w:ind w:left="1147" w:right="1326" w:firstLine="210"/>
        <w:jc w:val="both"/>
      </w:pPr>
      <w:r>
        <w:rPr>
          <w:color w:val="231F20"/>
        </w:rPr>
        <w:lastRenderedPageBreak/>
        <w:t xml:space="preserve">Clearly, although its capacities were not yet developed, a section of the left was willing to </w:t>
      </w:r>
      <w:r>
        <w:rPr>
          <w:color w:val="231F20"/>
          <w:spacing w:val="1"/>
        </w:rPr>
        <w:t xml:space="preserve">carry </w:t>
      </w:r>
      <w:r>
        <w:rPr>
          <w:color w:val="231F20"/>
        </w:rPr>
        <w:t>out militant actions in support of the guerilla,</w:t>
      </w:r>
      <w:r>
        <w:rPr>
          <w:color w:val="231F20"/>
          <w:spacing w:val="10"/>
        </w:rPr>
        <w:t xml:space="preserve"> </w:t>
      </w:r>
      <w:r>
        <w:rPr>
          <w:color w:val="231F20"/>
        </w:rPr>
        <w:t>while</w:t>
      </w:r>
      <w:r>
        <w:rPr>
          <w:color w:val="231F20"/>
          <w:spacing w:val="10"/>
        </w:rPr>
        <w:t xml:space="preserve"> </w:t>
      </w:r>
      <w:r>
        <w:rPr>
          <w:color w:val="231F20"/>
        </w:rPr>
        <w:t>itself</w:t>
      </w:r>
      <w:r>
        <w:rPr>
          <w:color w:val="231F20"/>
          <w:spacing w:val="10"/>
        </w:rPr>
        <w:t xml:space="preserve"> </w:t>
      </w:r>
      <w:r>
        <w:rPr>
          <w:color w:val="231F20"/>
        </w:rPr>
        <w:t>preferring</w:t>
      </w:r>
      <w:r>
        <w:rPr>
          <w:color w:val="231F20"/>
          <w:spacing w:val="10"/>
        </w:rPr>
        <w:t xml:space="preserve"> </w:t>
      </w:r>
      <w:r>
        <w:rPr>
          <w:color w:val="231F20"/>
        </w:rPr>
        <w:t>to</w:t>
      </w:r>
      <w:r>
        <w:rPr>
          <w:color w:val="231F20"/>
          <w:spacing w:val="10"/>
        </w:rPr>
        <w:t xml:space="preserve"> </w:t>
      </w:r>
      <w:r>
        <w:rPr>
          <w:color w:val="231F20"/>
        </w:rPr>
        <w:t>remain</w:t>
      </w:r>
      <w:r>
        <w:rPr>
          <w:color w:val="231F20"/>
          <w:spacing w:val="10"/>
        </w:rPr>
        <w:t xml:space="preserve"> </w:t>
      </w:r>
      <w:r>
        <w:rPr>
          <w:color w:val="231F20"/>
        </w:rPr>
        <w:t>aboveground.</w:t>
      </w:r>
    </w:p>
    <w:p w14:paraId="6AF9E912" w14:textId="77777777" w:rsidR="002653E8" w:rsidRDefault="003115E3">
      <w:pPr>
        <w:pStyle w:val="a3"/>
        <w:spacing w:line="264" w:lineRule="auto"/>
        <w:ind w:left="1147" w:right="1326" w:firstLine="210"/>
        <w:jc w:val="both"/>
        <w:rPr>
          <w:sz w:val="11"/>
        </w:rPr>
      </w:pPr>
      <w:r>
        <w:rPr>
          <w:color w:val="231F20"/>
        </w:rPr>
        <w:t>In late May, after twenty-two days in court, the verdicts came down. Goergens was sentenced to four years youth custody, and Schubert received a six-year sentence.</w:t>
      </w:r>
      <w:r>
        <w:rPr>
          <w:color w:val="231F20"/>
          <w:position w:val="7"/>
          <w:sz w:val="11"/>
        </w:rPr>
        <w:t>1</w:t>
      </w:r>
    </w:p>
    <w:p w14:paraId="106F45FD" w14:textId="77777777" w:rsidR="002653E8" w:rsidRDefault="003115E3">
      <w:pPr>
        <w:pStyle w:val="a3"/>
        <w:spacing w:line="264" w:lineRule="auto"/>
        <w:ind w:left="1147" w:right="1326" w:firstLine="210"/>
        <w:jc w:val="both"/>
        <w:rPr>
          <w:sz w:val="11"/>
        </w:rPr>
      </w:pPr>
      <w:r>
        <w:rPr>
          <w:color w:val="231F20"/>
        </w:rPr>
        <w:t>It should be noted that both women would soon have additional  years tacked on, as they also faced charges relating to various bank robberies.</w:t>
      </w:r>
      <w:r>
        <w:rPr>
          <w:color w:val="231F20"/>
          <w:position w:val="7"/>
          <w:sz w:val="11"/>
        </w:rPr>
        <w:t>2</w:t>
      </w:r>
    </w:p>
    <w:p w14:paraId="17DCA480" w14:textId="77777777" w:rsidR="002653E8" w:rsidRDefault="003115E3">
      <w:pPr>
        <w:pStyle w:val="a3"/>
        <w:spacing w:line="264" w:lineRule="auto"/>
        <w:ind w:left="1147" w:right="1326" w:firstLine="210"/>
        <w:jc w:val="both"/>
        <w:rPr>
          <w:sz w:val="11"/>
        </w:rPr>
      </w:pPr>
      <w:r>
        <w:rPr>
          <w:color w:val="231F20"/>
        </w:rPr>
        <w:t>As for Horst Mahler, he was found not guilty, but was kept in custody as the state appealed the verdict. He was also facing additional charges stemming from the bank</w:t>
      </w:r>
      <w:r>
        <w:rPr>
          <w:color w:val="231F20"/>
          <w:spacing w:val="10"/>
        </w:rPr>
        <w:t xml:space="preserve"> </w:t>
      </w:r>
      <w:r>
        <w:rPr>
          <w:color w:val="231F20"/>
        </w:rPr>
        <w:t>robberies.</w:t>
      </w:r>
      <w:r>
        <w:rPr>
          <w:color w:val="231F20"/>
          <w:position w:val="7"/>
          <w:sz w:val="11"/>
        </w:rPr>
        <w:t>3</w:t>
      </w:r>
    </w:p>
    <w:p w14:paraId="069F6EB6" w14:textId="77777777" w:rsidR="002653E8" w:rsidRDefault="003115E3">
      <w:pPr>
        <w:pStyle w:val="a3"/>
        <w:spacing w:line="264" w:lineRule="auto"/>
        <w:ind w:left="1147" w:right="1326" w:firstLine="210"/>
        <w:jc w:val="both"/>
      </w:pPr>
      <w:r>
        <w:rPr>
          <w:color w:val="231F20"/>
        </w:rPr>
        <w:t>Throughout the trial, other combatants had been picked up by the state.</w:t>
      </w:r>
    </w:p>
    <w:p w14:paraId="2D66F60A" w14:textId="77777777" w:rsidR="002653E8" w:rsidRDefault="003115E3">
      <w:pPr>
        <w:pStyle w:val="a3"/>
        <w:spacing w:line="264" w:lineRule="auto"/>
        <w:ind w:left="1147" w:right="1326" w:firstLine="210"/>
        <w:jc w:val="both"/>
      </w:pPr>
      <w:r>
        <w:rPr>
          <w:color w:val="231F20"/>
        </w:rPr>
        <w:t xml:space="preserve">On April 12, </w:t>
      </w:r>
      <w:r>
        <w:rPr>
          <w:color w:val="231F20"/>
          <w:spacing w:val="-4"/>
        </w:rPr>
        <w:t xml:space="preserve">1971, </w:t>
      </w:r>
      <w:r>
        <w:rPr>
          <w:color w:val="231F20"/>
        </w:rPr>
        <w:t xml:space="preserve">Ilse Stachowiak  was  recognized  by  a  police man and arrested in Frankfurt. Known by her nickname </w:t>
      </w:r>
      <w:r>
        <w:rPr>
          <w:color w:val="231F20"/>
          <w:spacing w:val="-3"/>
        </w:rPr>
        <w:t xml:space="preserve">“Tinny,” </w:t>
      </w:r>
      <w:r>
        <w:rPr>
          <w:color w:val="231F20"/>
        </w:rPr>
        <w:t xml:space="preserve">Stachowiak was probably the youngest member of the guerilla, having joined in </w:t>
      </w:r>
      <w:r>
        <w:rPr>
          <w:color w:val="231F20"/>
          <w:spacing w:val="-4"/>
        </w:rPr>
        <w:t xml:space="preserve">1970 </w:t>
      </w:r>
      <w:r>
        <w:rPr>
          <w:color w:val="231F20"/>
        </w:rPr>
        <w:t>at the age of</w:t>
      </w:r>
      <w:r>
        <w:rPr>
          <w:color w:val="231F20"/>
          <w:spacing w:val="41"/>
        </w:rPr>
        <w:t xml:space="preserve"> </w:t>
      </w:r>
      <w:r>
        <w:rPr>
          <w:color w:val="231F20"/>
        </w:rPr>
        <w:t>sixteen.</w:t>
      </w:r>
    </w:p>
    <w:p w14:paraId="61F9A0C4" w14:textId="77777777" w:rsidR="002653E8" w:rsidRDefault="003115E3">
      <w:pPr>
        <w:pStyle w:val="a3"/>
        <w:spacing w:line="264" w:lineRule="auto"/>
        <w:ind w:left="1147" w:right="1325" w:firstLine="210"/>
        <w:jc w:val="both"/>
      </w:pPr>
      <w:r>
        <w:rPr>
          <w:color w:val="231F20"/>
          <w:w w:val="105"/>
        </w:rPr>
        <w:t xml:space="preserve">The next </w:t>
      </w:r>
      <w:r>
        <w:rPr>
          <w:color w:val="231F20"/>
          <w:spacing w:val="-4"/>
          <w:w w:val="105"/>
        </w:rPr>
        <w:t xml:space="preserve">day, </w:t>
      </w:r>
      <w:r>
        <w:rPr>
          <w:color w:val="231F20"/>
          <w:w w:val="105"/>
        </w:rPr>
        <w:t>Rolf Heissler was arrested trying to rob a bank in Munich.</w:t>
      </w:r>
      <w:r>
        <w:rPr>
          <w:color w:val="231F20"/>
          <w:spacing w:val="-15"/>
          <w:w w:val="105"/>
        </w:rPr>
        <w:t xml:space="preserve"> </w:t>
      </w:r>
      <w:r>
        <w:rPr>
          <w:color w:val="231F20"/>
          <w:w w:val="105"/>
        </w:rPr>
        <w:t>Heissler</w:t>
      </w:r>
      <w:r>
        <w:rPr>
          <w:color w:val="231F20"/>
          <w:spacing w:val="-15"/>
          <w:w w:val="105"/>
        </w:rPr>
        <w:t xml:space="preserve"> </w:t>
      </w:r>
      <w:r>
        <w:rPr>
          <w:color w:val="231F20"/>
          <w:w w:val="105"/>
        </w:rPr>
        <w:t>had</w:t>
      </w:r>
      <w:r>
        <w:rPr>
          <w:color w:val="231F20"/>
          <w:spacing w:val="-15"/>
          <w:w w:val="105"/>
        </w:rPr>
        <w:t xml:space="preserve"> </w:t>
      </w:r>
      <w:r>
        <w:rPr>
          <w:color w:val="231F20"/>
          <w:w w:val="105"/>
        </w:rPr>
        <w:t>previously</w:t>
      </w:r>
      <w:r>
        <w:rPr>
          <w:color w:val="231F20"/>
          <w:spacing w:val="-15"/>
          <w:w w:val="105"/>
        </w:rPr>
        <w:t xml:space="preserve"> </w:t>
      </w:r>
      <w:r>
        <w:rPr>
          <w:color w:val="231F20"/>
          <w:w w:val="105"/>
        </w:rPr>
        <w:t>been</w:t>
      </w:r>
      <w:r>
        <w:rPr>
          <w:color w:val="231F20"/>
          <w:spacing w:val="-15"/>
          <w:w w:val="105"/>
        </w:rPr>
        <w:t xml:space="preserve"> </w:t>
      </w:r>
      <w:r>
        <w:rPr>
          <w:color w:val="231F20"/>
          <w:w w:val="105"/>
        </w:rPr>
        <w:t>active</w:t>
      </w:r>
      <w:r>
        <w:rPr>
          <w:color w:val="231F20"/>
          <w:spacing w:val="-15"/>
          <w:w w:val="105"/>
        </w:rPr>
        <w:t xml:space="preserve"> </w:t>
      </w:r>
      <w:r>
        <w:rPr>
          <w:color w:val="231F20"/>
          <w:w w:val="105"/>
        </w:rPr>
        <w:t>in</w:t>
      </w:r>
      <w:r>
        <w:rPr>
          <w:color w:val="231F20"/>
          <w:spacing w:val="-15"/>
          <w:w w:val="105"/>
        </w:rPr>
        <w:t xml:space="preserve"> </w:t>
      </w:r>
      <w:r>
        <w:rPr>
          <w:color w:val="231F20"/>
          <w:w w:val="105"/>
        </w:rPr>
        <w:t>the</w:t>
      </w:r>
      <w:r>
        <w:rPr>
          <w:color w:val="231F20"/>
          <w:spacing w:val="-15"/>
          <w:w w:val="105"/>
        </w:rPr>
        <w:t xml:space="preserve"> </w:t>
      </w:r>
      <w:r>
        <w:rPr>
          <w:color w:val="231F20"/>
          <w:w w:val="105"/>
        </w:rPr>
        <w:t>Munich</w:t>
      </w:r>
      <w:r>
        <w:rPr>
          <w:color w:val="231F20"/>
          <w:spacing w:val="-15"/>
          <w:w w:val="105"/>
        </w:rPr>
        <w:t xml:space="preserve"> </w:t>
      </w:r>
      <w:r>
        <w:rPr>
          <w:color w:val="231F20"/>
          <w:w w:val="105"/>
        </w:rPr>
        <w:t xml:space="preserve">Tupamaros </w:t>
      </w:r>
      <w:r>
        <w:rPr>
          <w:color w:val="231F20"/>
          <w:spacing w:val="-4"/>
          <w:w w:val="105"/>
        </w:rPr>
        <w:t>(a</w:t>
      </w:r>
      <w:r>
        <w:rPr>
          <w:color w:val="231F20"/>
          <w:spacing w:val="-22"/>
          <w:w w:val="105"/>
        </w:rPr>
        <w:t xml:space="preserve"> </w:t>
      </w:r>
      <w:r>
        <w:rPr>
          <w:color w:val="231F20"/>
          <w:w w:val="105"/>
        </w:rPr>
        <w:t>Bavarian</w:t>
      </w:r>
      <w:r>
        <w:rPr>
          <w:color w:val="231F20"/>
          <w:spacing w:val="-22"/>
          <w:w w:val="105"/>
        </w:rPr>
        <w:t xml:space="preserve"> </w:t>
      </w:r>
      <w:r>
        <w:rPr>
          <w:color w:val="231F20"/>
          <w:w w:val="105"/>
        </w:rPr>
        <w:t>group</w:t>
      </w:r>
      <w:r>
        <w:rPr>
          <w:color w:val="231F20"/>
          <w:spacing w:val="-22"/>
          <w:w w:val="105"/>
        </w:rPr>
        <w:t xml:space="preserve"> </w:t>
      </w:r>
      <w:r>
        <w:rPr>
          <w:color w:val="231F20"/>
          <w:w w:val="105"/>
        </w:rPr>
        <w:t>inspired</w:t>
      </w:r>
      <w:r>
        <w:rPr>
          <w:color w:val="231F20"/>
          <w:spacing w:val="-22"/>
          <w:w w:val="105"/>
        </w:rPr>
        <w:t xml:space="preserve"> </w:t>
      </w:r>
      <w:r>
        <w:rPr>
          <w:color w:val="231F20"/>
          <w:w w:val="105"/>
        </w:rPr>
        <w:t>by</w:t>
      </w:r>
      <w:r>
        <w:rPr>
          <w:color w:val="231F20"/>
          <w:spacing w:val="-22"/>
          <w:w w:val="105"/>
        </w:rPr>
        <w:t xml:space="preserve"> </w:t>
      </w:r>
      <w:r>
        <w:rPr>
          <w:color w:val="231F20"/>
          <w:w w:val="105"/>
        </w:rPr>
        <w:t>the</w:t>
      </w:r>
      <w:r>
        <w:rPr>
          <w:color w:val="231F20"/>
          <w:spacing w:val="-22"/>
          <w:w w:val="105"/>
        </w:rPr>
        <w:t xml:space="preserve"> </w:t>
      </w:r>
      <w:r>
        <w:rPr>
          <w:color w:val="231F20"/>
          <w:spacing w:val="-3"/>
          <w:w w:val="105"/>
        </w:rPr>
        <w:t>West</w:t>
      </w:r>
      <w:r>
        <w:rPr>
          <w:color w:val="231F20"/>
          <w:spacing w:val="-22"/>
          <w:w w:val="105"/>
        </w:rPr>
        <w:t xml:space="preserve"> </w:t>
      </w:r>
      <w:r>
        <w:rPr>
          <w:color w:val="231F20"/>
          <w:w w:val="105"/>
        </w:rPr>
        <w:t>Berlin</w:t>
      </w:r>
      <w:r>
        <w:rPr>
          <w:color w:val="231F20"/>
          <w:spacing w:val="-22"/>
          <w:w w:val="105"/>
        </w:rPr>
        <w:t xml:space="preserve"> </w:t>
      </w:r>
      <w:r>
        <w:rPr>
          <w:color w:val="231F20"/>
          <w:spacing w:val="-3"/>
          <w:w w:val="105"/>
        </w:rPr>
        <w:t>Tupamaros),</w:t>
      </w:r>
      <w:r>
        <w:rPr>
          <w:color w:val="231F20"/>
          <w:spacing w:val="-3"/>
          <w:w w:val="105"/>
          <w:position w:val="7"/>
          <w:sz w:val="11"/>
        </w:rPr>
        <w:t>4</w:t>
      </w:r>
      <w:r>
        <w:rPr>
          <w:color w:val="231F20"/>
          <w:spacing w:val="-12"/>
          <w:w w:val="105"/>
          <w:position w:val="7"/>
          <w:sz w:val="11"/>
        </w:rPr>
        <w:t xml:space="preserve"> </w:t>
      </w:r>
      <w:r>
        <w:rPr>
          <w:color w:val="231F20"/>
          <w:w w:val="105"/>
        </w:rPr>
        <w:t>but</w:t>
      </w:r>
      <w:r>
        <w:rPr>
          <w:color w:val="231F20"/>
          <w:spacing w:val="-22"/>
          <w:w w:val="105"/>
        </w:rPr>
        <w:t xml:space="preserve"> </w:t>
      </w:r>
      <w:r>
        <w:rPr>
          <w:color w:val="231F20"/>
          <w:w w:val="105"/>
        </w:rPr>
        <w:t>had</w:t>
      </w:r>
      <w:r>
        <w:rPr>
          <w:color w:val="231F20"/>
          <w:spacing w:val="-22"/>
          <w:w w:val="105"/>
        </w:rPr>
        <w:t xml:space="preserve"> </w:t>
      </w:r>
      <w:r>
        <w:rPr>
          <w:color w:val="231F20"/>
          <w:w w:val="105"/>
        </w:rPr>
        <w:t>followed his ex-wife Brigitte Mohnhaupt into the</w:t>
      </w:r>
      <w:r>
        <w:rPr>
          <w:color w:val="231F20"/>
          <w:spacing w:val="40"/>
          <w:w w:val="105"/>
        </w:rPr>
        <w:t xml:space="preserve"> </w:t>
      </w:r>
      <w:r w:rsidR="00C507A5">
        <w:rPr>
          <w:color w:val="231F20"/>
          <w:w w:val="105"/>
        </w:rPr>
        <w:t>red army faction</w:t>
      </w:r>
      <w:r>
        <w:rPr>
          <w:color w:val="231F20"/>
          <w:w w:val="105"/>
        </w:rPr>
        <w:t>.</w:t>
      </w:r>
    </w:p>
    <w:p w14:paraId="409975D1" w14:textId="77777777" w:rsidR="002653E8" w:rsidRDefault="003115E3">
      <w:pPr>
        <w:pStyle w:val="a3"/>
        <w:spacing w:line="264" w:lineRule="auto"/>
        <w:ind w:left="1148" w:right="1325" w:firstLine="210"/>
        <w:jc w:val="both"/>
        <w:rPr>
          <w:sz w:val="11"/>
        </w:rPr>
      </w:pPr>
      <w:r>
        <w:rPr>
          <w:color w:val="231F20"/>
        </w:rPr>
        <w:t>Then, on May 6, not three months after her narrow escape in Frankfurt, Astrid Proll was recognized in Hamburg by a gas station attendant who called the police—she tried to escape by car, but was surrounded by armed cops and arrested.</w:t>
      </w:r>
      <w:r>
        <w:rPr>
          <w:color w:val="231F20"/>
          <w:position w:val="7"/>
          <w:sz w:val="11"/>
        </w:rPr>
        <w:t>5</w:t>
      </w:r>
    </w:p>
    <w:p w14:paraId="5A499B01" w14:textId="77777777" w:rsidR="002653E8" w:rsidRDefault="003115E3">
      <w:pPr>
        <w:pStyle w:val="a3"/>
        <w:spacing w:line="264" w:lineRule="auto"/>
        <w:ind w:left="1147" w:right="1325" w:firstLine="210"/>
        <w:jc w:val="both"/>
      </w:pPr>
      <w:r>
        <w:rPr>
          <w:color w:val="231F20"/>
          <w:spacing w:val="-7"/>
          <w:w w:val="105"/>
        </w:rPr>
        <w:t>Two</w:t>
      </w:r>
      <w:r>
        <w:rPr>
          <w:color w:val="231F20"/>
          <w:spacing w:val="31"/>
          <w:w w:val="105"/>
        </w:rPr>
        <w:t xml:space="preserve"> </w:t>
      </w:r>
      <w:r>
        <w:rPr>
          <w:color w:val="231F20"/>
          <w:w w:val="105"/>
        </w:rPr>
        <w:t xml:space="preserve">documents appeared about this time, each allegedly produced by the </w:t>
      </w:r>
      <w:r w:rsidR="00C507A5">
        <w:rPr>
          <w:color w:val="231F20"/>
          <w:w w:val="105"/>
        </w:rPr>
        <w:t>red army faction</w:t>
      </w:r>
      <w:r>
        <w:rPr>
          <w:color w:val="231F20"/>
          <w:w w:val="105"/>
        </w:rPr>
        <w:t xml:space="preserve">. The first of these, </w:t>
      </w:r>
      <w:r>
        <w:rPr>
          <w:i/>
          <w:color w:val="231F20"/>
          <w:w w:val="105"/>
        </w:rPr>
        <w:t xml:space="preserve">Regarding the Armed Struggle  in West Europe, </w:t>
      </w:r>
      <w:r>
        <w:rPr>
          <w:color w:val="231F20"/>
          <w:w w:val="105"/>
        </w:rPr>
        <w:t xml:space="preserve">was published under the innocent title “New Traffic Regulations” by the radical </w:t>
      </w:r>
      <w:r>
        <w:rPr>
          <w:color w:val="231F20"/>
          <w:spacing w:val="-3"/>
          <w:w w:val="105"/>
        </w:rPr>
        <w:t xml:space="preserve">West </w:t>
      </w:r>
      <w:r>
        <w:rPr>
          <w:color w:val="231F20"/>
          <w:w w:val="105"/>
        </w:rPr>
        <w:t>Berlin publishing house of Klaus Wagenbach.</w:t>
      </w:r>
      <w:r>
        <w:rPr>
          <w:color w:val="231F20"/>
          <w:w w:val="105"/>
          <w:position w:val="7"/>
          <w:sz w:val="11"/>
        </w:rPr>
        <w:t>6</w:t>
      </w:r>
      <w:r>
        <w:rPr>
          <w:color w:val="231F20"/>
          <w:spacing w:val="-17"/>
          <w:w w:val="105"/>
          <w:position w:val="7"/>
          <w:sz w:val="11"/>
        </w:rPr>
        <w:t xml:space="preserve"> </w:t>
      </w:r>
      <w:r>
        <w:rPr>
          <w:color w:val="231F20"/>
          <w:w w:val="105"/>
        </w:rPr>
        <w:t>Not</w:t>
      </w:r>
      <w:r>
        <w:rPr>
          <w:color w:val="231F20"/>
          <w:spacing w:val="-31"/>
          <w:w w:val="105"/>
        </w:rPr>
        <w:t xml:space="preserve"> </w:t>
      </w:r>
      <w:r>
        <w:rPr>
          <w:color w:val="231F20"/>
          <w:w w:val="105"/>
        </w:rPr>
        <w:t>only</w:t>
      </w:r>
      <w:r>
        <w:rPr>
          <w:color w:val="231F20"/>
          <w:spacing w:val="-31"/>
          <w:w w:val="105"/>
        </w:rPr>
        <w:t xml:space="preserve"> </w:t>
      </w:r>
      <w:r>
        <w:rPr>
          <w:color w:val="231F20"/>
          <w:w w:val="105"/>
        </w:rPr>
        <w:t>did</w:t>
      </w:r>
      <w:r>
        <w:rPr>
          <w:color w:val="231F20"/>
          <w:spacing w:val="-31"/>
          <w:w w:val="105"/>
        </w:rPr>
        <w:t xml:space="preserve"> </w:t>
      </w:r>
      <w:r>
        <w:rPr>
          <w:color w:val="231F20"/>
          <w:w w:val="105"/>
        </w:rPr>
        <w:t>this</w:t>
      </w:r>
      <w:r>
        <w:rPr>
          <w:color w:val="231F20"/>
          <w:spacing w:val="-31"/>
          <w:w w:val="105"/>
        </w:rPr>
        <w:t xml:space="preserve"> </w:t>
      </w:r>
      <w:r>
        <w:rPr>
          <w:color w:val="231F20"/>
          <w:w w:val="105"/>
        </w:rPr>
        <w:t>lead</w:t>
      </w:r>
      <w:r>
        <w:rPr>
          <w:color w:val="231F20"/>
          <w:spacing w:val="-31"/>
          <w:w w:val="105"/>
        </w:rPr>
        <w:t xml:space="preserve"> </w:t>
      </w:r>
      <w:r>
        <w:rPr>
          <w:color w:val="231F20"/>
          <w:w w:val="105"/>
        </w:rPr>
        <w:t>to</w:t>
      </w:r>
      <w:r>
        <w:rPr>
          <w:color w:val="231F20"/>
          <w:spacing w:val="-31"/>
          <w:w w:val="105"/>
        </w:rPr>
        <w:t xml:space="preserve"> </w:t>
      </w:r>
      <w:r>
        <w:rPr>
          <w:color w:val="231F20"/>
          <w:w w:val="105"/>
        </w:rPr>
        <w:t>Wagenbach</w:t>
      </w:r>
      <w:r>
        <w:rPr>
          <w:color w:val="231F20"/>
          <w:spacing w:val="-31"/>
          <w:w w:val="105"/>
        </w:rPr>
        <w:t xml:space="preserve"> </w:t>
      </w:r>
      <w:r>
        <w:rPr>
          <w:color w:val="231F20"/>
          <w:w w:val="105"/>
        </w:rPr>
        <w:t>receiving</w:t>
      </w:r>
      <w:r>
        <w:rPr>
          <w:color w:val="231F20"/>
          <w:spacing w:val="-31"/>
          <w:w w:val="105"/>
        </w:rPr>
        <w:t xml:space="preserve"> </w:t>
      </w:r>
      <w:r w:rsidR="009B09AB">
        <w:rPr>
          <w:color w:val="231F20"/>
          <w:spacing w:val="-31"/>
          <w:w w:val="105"/>
        </w:rPr>
        <w:t xml:space="preserve"> </w:t>
      </w:r>
      <w:r>
        <w:rPr>
          <w:color w:val="231F20"/>
          <w:w w:val="105"/>
        </w:rPr>
        <w:t>a</w:t>
      </w:r>
      <w:r w:rsidR="009B09AB">
        <w:rPr>
          <w:color w:val="231F20"/>
          <w:w w:val="105"/>
        </w:rPr>
        <w:t xml:space="preserve"> </w:t>
      </w:r>
      <w:r>
        <w:rPr>
          <w:color w:val="231F20"/>
          <w:spacing w:val="-31"/>
          <w:w w:val="105"/>
        </w:rPr>
        <w:t xml:space="preserve"> </w:t>
      </w:r>
      <w:r>
        <w:rPr>
          <w:color w:val="231F20"/>
          <w:w w:val="105"/>
        </w:rPr>
        <w:t>suspended</w:t>
      </w:r>
    </w:p>
    <w:p w14:paraId="54CC6B86" w14:textId="77777777" w:rsidR="002653E8" w:rsidRDefault="002653E8">
      <w:pPr>
        <w:pStyle w:val="a3"/>
      </w:pPr>
    </w:p>
    <w:p w14:paraId="4145DEAD" w14:textId="77777777" w:rsidR="002653E8" w:rsidRDefault="00000000">
      <w:pPr>
        <w:pStyle w:val="a3"/>
        <w:spacing w:before="1"/>
        <w:rPr>
          <w:sz w:val="10"/>
        </w:rPr>
      </w:pPr>
      <w:r>
        <w:rPr>
          <w:noProof w:val="0"/>
        </w:rPr>
        <w:pict w14:anchorId="2AED465A">
          <v:line id="_x0000_s2632" style="position:absolute;z-index:2944;mso-wrap-distance-left:0;mso-wrap-distance-right:0;mso-position-horizontal-relative:page" from="57.4pt,8.1pt" to="129.4pt,8.1pt" strokecolor="#231f20" strokeweight=".5pt">
            <w10:wrap type="topAndBottom" anchorx="page"/>
          </v:line>
        </w:pict>
      </w:r>
    </w:p>
    <w:p w14:paraId="307C7B60" w14:textId="77777777" w:rsidR="002653E8" w:rsidRDefault="003115E3">
      <w:pPr>
        <w:pStyle w:val="a4"/>
        <w:numPr>
          <w:ilvl w:val="0"/>
          <w:numId w:val="170"/>
        </w:numPr>
        <w:tabs>
          <w:tab w:val="left" w:pos="1286"/>
        </w:tabs>
        <w:spacing w:before="53" w:line="254" w:lineRule="auto"/>
        <w:ind w:right="1326" w:firstLine="0"/>
        <w:rPr>
          <w:sz w:val="16"/>
        </w:rPr>
      </w:pPr>
      <w:r>
        <w:rPr>
          <w:color w:val="231F20"/>
          <w:w w:val="105"/>
          <w:sz w:val="16"/>
        </w:rPr>
        <w:t xml:space="preserve">Jillian Becker, </w:t>
      </w:r>
      <w:r>
        <w:rPr>
          <w:i/>
          <w:color w:val="231F20"/>
          <w:w w:val="105"/>
          <w:sz w:val="16"/>
        </w:rPr>
        <w:t xml:space="preserve">Hitler’s Children: The </w:t>
      </w:r>
      <w:r>
        <w:rPr>
          <w:i/>
          <w:color w:val="231F20"/>
          <w:spacing w:val="1"/>
          <w:w w:val="105"/>
          <w:sz w:val="16"/>
        </w:rPr>
        <w:t xml:space="preserve">Story </w:t>
      </w:r>
      <w:r>
        <w:rPr>
          <w:i/>
          <w:color w:val="231F20"/>
          <w:w w:val="105"/>
          <w:sz w:val="16"/>
        </w:rPr>
        <w:t xml:space="preserve">of the </w:t>
      </w:r>
      <w:r>
        <w:rPr>
          <w:i/>
          <w:color w:val="231F20"/>
          <w:spacing w:val="2"/>
          <w:w w:val="105"/>
          <w:sz w:val="16"/>
        </w:rPr>
        <w:t xml:space="preserve">Baader </w:t>
      </w:r>
      <w:r>
        <w:rPr>
          <w:i/>
          <w:color w:val="231F20"/>
          <w:w w:val="105"/>
          <w:sz w:val="16"/>
        </w:rPr>
        <w:t xml:space="preserve">Meinhof Gang </w:t>
      </w:r>
      <w:r>
        <w:rPr>
          <w:color w:val="231F20"/>
          <w:w w:val="105"/>
          <w:sz w:val="16"/>
        </w:rPr>
        <w:t xml:space="preserve">(London: Panther Granada Publishing, </w:t>
      </w:r>
      <w:r>
        <w:rPr>
          <w:color w:val="231F20"/>
          <w:spacing w:val="-3"/>
          <w:w w:val="105"/>
          <w:sz w:val="16"/>
        </w:rPr>
        <w:t>1978),</w:t>
      </w:r>
      <w:r>
        <w:rPr>
          <w:color w:val="231F20"/>
          <w:spacing w:val="1"/>
          <w:w w:val="105"/>
          <w:sz w:val="16"/>
        </w:rPr>
        <w:t xml:space="preserve"> </w:t>
      </w:r>
      <w:r>
        <w:rPr>
          <w:color w:val="231F20"/>
          <w:spacing w:val="-4"/>
          <w:w w:val="105"/>
          <w:sz w:val="16"/>
        </w:rPr>
        <w:t>307.</w:t>
      </w:r>
    </w:p>
    <w:p w14:paraId="3295D443" w14:textId="77777777" w:rsidR="002653E8" w:rsidRDefault="003115E3">
      <w:pPr>
        <w:pStyle w:val="a4"/>
        <w:numPr>
          <w:ilvl w:val="0"/>
          <w:numId w:val="170"/>
        </w:numPr>
        <w:tabs>
          <w:tab w:val="left" w:pos="1287"/>
        </w:tabs>
        <w:spacing w:line="254" w:lineRule="auto"/>
        <w:ind w:right="1873" w:firstLine="0"/>
        <w:rPr>
          <w:sz w:val="16"/>
        </w:rPr>
      </w:pPr>
      <w:r>
        <w:rPr>
          <w:color w:val="231F20"/>
          <w:w w:val="105"/>
          <w:sz w:val="16"/>
        </w:rPr>
        <w:t xml:space="preserve">When Goergens was finally released in May </w:t>
      </w:r>
      <w:r>
        <w:rPr>
          <w:color w:val="231F20"/>
          <w:spacing w:val="-4"/>
          <w:w w:val="105"/>
          <w:sz w:val="16"/>
        </w:rPr>
        <w:t xml:space="preserve">1977, </w:t>
      </w:r>
      <w:r>
        <w:rPr>
          <w:color w:val="231F20"/>
          <w:w w:val="105"/>
          <w:sz w:val="16"/>
        </w:rPr>
        <w:t xml:space="preserve">she did not </w:t>
      </w:r>
      <w:r>
        <w:rPr>
          <w:color w:val="231F20"/>
          <w:spacing w:val="1"/>
          <w:w w:val="105"/>
          <w:sz w:val="16"/>
        </w:rPr>
        <w:t xml:space="preserve">return </w:t>
      </w:r>
      <w:r>
        <w:rPr>
          <w:color w:val="231F20"/>
          <w:w w:val="105"/>
          <w:sz w:val="16"/>
        </w:rPr>
        <w:t>to the guerilla.</w:t>
      </w:r>
      <w:r>
        <w:rPr>
          <w:color w:val="231F20"/>
          <w:spacing w:val="6"/>
          <w:w w:val="105"/>
          <w:sz w:val="16"/>
        </w:rPr>
        <w:t xml:space="preserve"> </w:t>
      </w:r>
      <w:r>
        <w:rPr>
          <w:color w:val="231F20"/>
          <w:w w:val="105"/>
          <w:sz w:val="16"/>
        </w:rPr>
        <w:t>Schubert,</w:t>
      </w:r>
      <w:r>
        <w:rPr>
          <w:color w:val="231F20"/>
          <w:spacing w:val="6"/>
          <w:w w:val="105"/>
          <w:sz w:val="16"/>
        </w:rPr>
        <w:t xml:space="preserve"> </w:t>
      </w:r>
      <w:r>
        <w:rPr>
          <w:color w:val="231F20"/>
          <w:w w:val="105"/>
          <w:sz w:val="16"/>
        </w:rPr>
        <w:t>as</w:t>
      </w:r>
      <w:r>
        <w:rPr>
          <w:color w:val="231F20"/>
          <w:spacing w:val="6"/>
          <w:w w:val="105"/>
          <w:sz w:val="16"/>
        </w:rPr>
        <w:t xml:space="preserve"> </w:t>
      </w:r>
      <w:r>
        <w:rPr>
          <w:color w:val="231F20"/>
          <w:w w:val="105"/>
          <w:sz w:val="16"/>
        </w:rPr>
        <w:t>we</w:t>
      </w:r>
      <w:r>
        <w:rPr>
          <w:color w:val="231F20"/>
          <w:spacing w:val="6"/>
          <w:w w:val="105"/>
          <w:sz w:val="16"/>
        </w:rPr>
        <w:t xml:space="preserve"> </w:t>
      </w:r>
      <w:r>
        <w:rPr>
          <w:color w:val="231F20"/>
          <w:w w:val="105"/>
          <w:sz w:val="16"/>
        </w:rPr>
        <w:t>shall</w:t>
      </w:r>
      <w:r>
        <w:rPr>
          <w:color w:val="231F20"/>
          <w:spacing w:val="6"/>
          <w:w w:val="105"/>
          <w:sz w:val="16"/>
        </w:rPr>
        <w:t xml:space="preserve"> </w:t>
      </w:r>
      <w:r>
        <w:rPr>
          <w:color w:val="231F20"/>
          <w:w w:val="105"/>
          <w:sz w:val="16"/>
        </w:rPr>
        <w:t>see,</w:t>
      </w:r>
      <w:r>
        <w:rPr>
          <w:color w:val="231F20"/>
          <w:spacing w:val="6"/>
          <w:w w:val="105"/>
          <w:sz w:val="16"/>
        </w:rPr>
        <w:t xml:space="preserve"> </w:t>
      </w:r>
      <w:r>
        <w:rPr>
          <w:color w:val="231F20"/>
          <w:w w:val="105"/>
          <w:sz w:val="16"/>
        </w:rPr>
        <w:t>never</w:t>
      </w:r>
      <w:r>
        <w:rPr>
          <w:color w:val="231F20"/>
          <w:spacing w:val="6"/>
          <w:w w:val="105"/>
          <w:sz w:val="16"/>
        </w:rPr>
        <w:t xml:space="preserve"> </w:t>
      </w:r>
      <w:r>
        <w:rPr>
          <w:color w:val="231F20"/>
          <w:w w:val="105"/>
          <w:sz w:val="16"/>
        </w:rPr>
        <w:t>made</w:t>
      </w:r>
      <w:r>
        <w:rPr>
          <w:color w:val="231F20"/>
          <w:spacing w:val="6"/>
          <w:w w:val="105"/>
          <w:sz w:val="16"/>
        </w:rPr>
        <w:t xml:space="preserve"> </w:t>
      </w:r>
      <w:r>
        <w:rPr>
          <w:color w:val="231F20"/>
          <w:w w:val="105"/>
          <w:sz w:val="16"/>
        </w:rPr>
        <w:t>it</w:t>
      </w:r>
      <w:r>
        <w:rPr>
          <w:color w:val="231F20"/>
          <w:spacing w:val="6"/>
          <w:w w:val="105"/>
          <w:sz w:val="16"/>
        </w:rPr>
        <w:t xml:space="preserve"> </w:t>
      </w:r>
      <w:r>
        <w:rPr>
          <w:color w:val="231F20"/>
          <w:w w:val="105"/>
          <w:sz w:val="16"/>
        </w:rPr>
        <w:t>out</w:t>
      </w:r>
      <w:r>
        <w:rPr>
          <w:color w:val="231F20"/>
          <w:spacing w:val="6"/>
          <w:w w:val="105"/>
          <w:sz w:val="16"/>
        </w:rPr>
        <w:t xml:space="preserve"> </w:t>
      </w:r>
      <w:r>
        <w:rPr>
          <w:color w:val="231F20"/>
          <w:w w:val="105"/>
          <w:sz w:val="16"/>
        </w:rPr>
        <w:t>of</w:t>
      </w:r>
      <w:r>
        <w:rPr>
          <w:color w:val="231F20"/>
          <w:spacing w:val="6"/>
          <w:w w:val="105"/>
          <w:sz w:val="16"/>
        </w:rPr>
        <w:t xml:space="preserve"> </w:t>
      </w:r>
      <w:r>
        <w:rPr>
          <w:color w:val="231F20"/>
          <w:w w:val="105"/>
          <w:sz w:val="16"/>
        </w:rPr>
        <w:t>prison</w:t>
      </w:r>
      <w:r>
        <w:rPr>
          <w:color w:val="231F20"/>
          <w:spacing w:val="6"/>
          <w:w w:val="105"/>
          <w:sz w:val="16"/>
        </w:rPr>
        <w:t xml:space="preserve"> </w:t>
      </w:r>
      <w:r>
        <w:rPr>
          <w:color w:val="231F20"/>
          <w:w w:val="105"/>
          <w:sz w:val="16"/>
        </w:rPr>
        <w:t>alive.</w:t>
      </w:r>
    </w:p>
    <w:p w14:paraId="38FCE5A2" w14:textId="77777777" w:rsidR="002653E8" w:rsidRDefault="003115E3">
      <w:pPr>
        <w:pStyle w:val="a4"/>
        <w:numPr>
          <w:ilvl w:val="0"/>
          <w:numId w:val="170"/>
        </w:numPr>
        <w:tabs>
          <w:tab w:val="left" w:pos="1287"/>
        </w:tabs>
        <w:spacing w:before="40"/>
        <w:ind w:left="1286" w:hanging="139"/>
        <w:rPr>
          <w:sz w:val="16"/>
        </w:rPr>
      </w:pPr>
      <w:r>
        <w:rPr>
          <w:color w:val="231F20"/>
          <w:w w:val="105"/>
          <w:sz w:val="16"/>
        </w:rPr>
        <w:t>Becker,</w:t>
      </w:r>
      <w:r>
        <w:rPr>
          <w:color w:val="231F20"/>
          <w:spacing w:val="8"/>
          <w:w w:val="105"/>
          <w:sz w:val="16"/>
        </w:rPr>
        <w:t xml:space="preserve"> </w:t>
      </w:r>
      <w:r>
        <w:rPr>
          <w:color w:val="231F20"/>
          <w:w w:val="105"/>
          <w:sz w:val="16"/>
        </w:rPr>
        <w:t>307</w:t>
      </w:r>
    </w:p>
    <w:p w14:paraId="590242C7" w14:textId="77777777" w:rsidR="002653E8" w:rsidRDefault="003115E3">
      <w:pPr>
        <w:pStyle w:val="a4"/>
        <w:numPr>
          <w:ilvl w:val="0"/>
          <w:numId w:val="170"/>
        </w:numPr>
        <w:tabs>
          <w:tab w:val="left" w:pos="1287"/>
        </w:tabs>
        <w:spacing w:before="52"/>
        <w:ind w:left="1286" w:hanging="139"/>
        <w:rPr>
          <w:sz w:val="16"/>
        </w:rPr>
      </w:pPr>
      <w:r>
        <w:rPr>
          <w:color w:val="231F20"/>
          <w:spacing w:val="1"/>
          <w:w w:val="110"/>
          <w:sz w:val="16"/>
        </w:rPr>
        <w:t>Baumann,</w:t>
      </w:r>
      <w:r>
        <w:rPr>
          <w:color w:val="231F20"/>
          <w:spacing w:val="6"/>
          <w:w w:val="110"/>
          <w:sz w:val="16"/>
        </w:rPr>
        <w:t xml:space="preserve"> </w:t>
      </w:r>
      <w:r>
        <w:rPr>
          <w:color w:val="231F20"/>
          <w:spacing w:val="-3"/>
          <w:w w:val="110"/>
          <w:sz w:val="16"/>
        </w:rPr>
        <w:t>63.</w:t>
      </w:r>
    </w:p>
    <w:p w14:paraId="46C8BEB5" w14:textId="77777777" w:rsidR="002653E8" w:rsidRDefault="003115E3">
      <w:pPr>
        <w:pStyle w:val="a4"/>
        <w:numPr>
          <w:ilvl w:val="0"/>
          <w:numId w:val="170"/>
        </w:numPr>
        <w:tabs>
          <w:tab w:val="left" w:pos="1287"/>
        </w:tabs>
        <w:spacing w:before="52"/>
        <w:ind w:left="1286" w:hanging="139"/>
        <w:rPr>
          <w:sz w:val="16"/>
        </w:rPr>
      </w:pPr>
      <w:r>
        <w:rPr>
          <w:color w:val="231F20"/>
          <w:w w:val="110"/>
          <w:sz w:val="16"/>
        </w:rPr>
        <w:t>Macdonald,</w:t>
      </w:r>
      <w:r>
        <w:rPr>
          <w:color w:val="231F20"/>
          <w:spacing w:val="6"/>
          <w:w w:val="110"/>
          <w:sz w:val="16"/>
        </w:rPr>
        <w:t xml:space="preserve"> </w:t>
      </w:r>
      <w:r>
        <w:rPr>
          <w:color w:val="231F20"/>
          <w:spacing w:val="-3"/>
          <w:w w:val="110"/>
          <w:sz w:val="16"/>
        </w:rPr>
        <w:t>214-215.</w:t>
      </w:r>
    </w:p>
    <w:p w14:paraId="1E490D9B" w14:textId="77777777" w:rsidR="002653E8" w:rsidRDefault="003115E3">
      <w:pPr>
        <w:spacing w:before="51"/>
        <w:ind w:left="1147"/>
        <w:rPr>
          <w:sz w:val="16"/>
        </w:rPr>
      </w:pPr>
      <w:r>
        <w:rPr>
          <w:color w:val="231F20"/>
          <w:w w:val="110"/>
          <w:sz w:val="16"/>
        </w:rPr>
        <w:t>6 Aust, 142.</w:t>
      </w:r>
    </w:p>
    <w:p w14:paraId="739BC3B4" w14:textId="77777777" w:rsidR="002653E8" w:rsidRDefault="002653E8">
      <w:pPr>
        <w:rPr>
          <w:sz w:val="16"/>
        </w:rPr>
        <w:sectPr w:rsidR="002653E8">
          <w:footerReference w:type="even" r:id="rId69"/>
          <w:footerReference w:type="default" r:id="rId70"/>
          <w:pgSz w:w="8640" w:h="12960"/>
          <w:pgMar w:top="1060" w:right="0" w:bottom="1040" w:left="0" w:header="0" w:footer="850" w:gutter="0"/>
          <w:pgNumType w:start="64"/>
          <w:cols w:space="720"/>
        </w:sectPr>
      </w:pPr>
    </w:p>
    <w:p w14:paraId="39AFCCC6" w14:textId="77777777" w:rsidR="002653E8" w:rsidRDefault="003115E3">
      <w:pPr>
        <w:pStyle w:val="a3"/>
        <w:spacing w:before="86" w:line="264" w:lineRule="auto"/>
        <w:ind w:left="1327" w:right="1145"/>
        <w:jc w:val="both"/>
      </w:pPr>
      <w:r>
        <w:rPr>
          <w:color w:val="231F20"/>
        </w:rPr>
        <w:lastRenderedPageBreak/>
        <w:t xml:space="preserve">nine-month sentence under </w:t>
      </w:r>
      <w:r>
        <w:rPr>
          <w:color w:val="231F20"/>
          <w:sz w:val="18"/>
        </w:rPr>
        <w:t>§</w:t>
      </w:r>
      <w:r>
        <w:rPr>
          <w:color w:val="231F20"/>
        </w:rPr>
        <w:t>129</w:t>
      </w:r>
      <w:r>
        <w:rPr>
          <w:color w:val="231F20"/>
          <w:position w:val="7"/>
          <w:sz w:val="11"/>
        </w:rPr>
        <w:t>7</w:t>
      </w:r>
      <w:r>
        <w:rPr>
          <w:color w:val="231F20"/>
        </w:rPr>
        <w:t xml:space="preserve">—the catch-all “supporting a criminal organization” paragraph of the Orwellian </w:t>
      </w:r>
      <w:r>
        <w:rPr>
          <w:color w:val="231F20"/>
          <w:spacing w:val="-7"/>
        </w:rPr>
        <w:t>1951</w:t>
      </w:r>
      <w:r>
        <w:rPr>
          <w:color w:val="231F20"/>
          <w:spacing w:val="30"/>
        </w:rPr>
        <w:t xml:space="preserve"> </w:t>
      </w:r>
      <w:r>
        <w:rPr>
          <w:color w:val="231F20"/>
        </w:rPr>
        <w:t xml:space="preserve">security legislation— but the document was quickly disavowed by the </w:t>
      </w:r>
      <w:r w:rsidR="00C507A5">
        <w:rPr>
          <w:color w:val="231F20"/>
          <w:spacing w:val="5"/>
        </w:rPr>
        <w:t>red army faction</w:t>
      </w:r>
      <w:r>
        <w:rPr>
          <w:color w:val="231F20"/>
          <w:spacing w:val="5"/>
        </w:rPr>
        <w:t xml:space="preserve"> </w:t>
      </w:r>
      <w:r>
        <w:rPr>
          <w:color w:val="231F20"/>
        </w:rPr>
        <w:t>itself: it had been written by Mahler in prison, without consultation with any of the others,</w:t>
      </w:r>
      <w:r>
        <w:rPr>
          <w:color w:val="231F20"/>
          <w:spacing w:val="10"/>
        </w:rPr>
        <w:t xml:space="preserve"> </w:t>
      </w:r>
      <w:r>
        <w:rPr>
          <w:color w:val="231F20"/>
        </w:rPr>
        <w:t>and</w:t>
      </w:r>
      <w:r>
        <w:rPr>
          <w:color w:val="231F20"/>
          <w:spacing w:val="10"/>
        </w:rPr>
        <w:t xml:space="preserve"> </w:t>
      </w:r>
      <w:r>
        <w:rPr>
          <w:color w:val="231F20"/>
        </w:rPr>
        <w:t>did</w:t>
      </w:r>
      <w:r>
        <w:rPr>
          <w:color w:val="231F20"/>
          <w:spacing w:val="10"/>
        </w:rPr>
        <w:t xml:space="preserve"> </w:t>
      </w:r>
      <w:r>
        <w:rPr>
          <w:color w:val="231F20"/>
        </w:rPr>
        <w:t>not</w:t>
      </w:r>
      <w:r>
        <w:rPr>
          <w:color w:val="231F20"/>
          <w:spacing w:val="10"/>
        </w:rPr>
        <w:t xml:space="preserve"> </w:t>
      </w:r>
      <w:r>
        <w:rPr>
          <w:color w:val="231F20"/>
        </w:rPr>
        <w:t>sit</w:t>
      </w:r>
      <w:r>
        <w:rPr>
          <w:color w:val="231F20"/>
          <w:spacing w:val="10"/>
        </w:rPr>
        <w:t xml:space="preserve"> </w:t>
      </w:r>
      <w:r>
        <w:rPr>
          <w:color w:val="231F20"/>
        </w:rPr>
        <w:t>well</w:t>
      </w:r>
      <w:r>
        <w:rPr>
          <w:color w:val="231F20"/>
          <w:spacing w:val="10"/>
        </w:rPr>
        <w:t xml:space="preserve"> </w:t>
      </w:r>
      <w:r>
        <w:rPr>
          <w:color w:val="231F20"/>
        </w:rPr>
        <w:t>with</w:t>
      </w:r>
      <w:r>
        <w:rPr>
          <w:color w:val="231F20"/>
          <w:spacing w:val="10"/>
        </w:rPr>
        <w:t xml:space="preserve"> </w:t>
      </w:r>
      <w:r>
        <w:rPr>
          <w:color w:val="231F20"/>
        </w:rPr>
        <w:t>the</w:t>
      </w:r>
      <w:r>
        <w:rPr>
          <w:color w:val="231F20"/>
          <w:spacing w:val="10"/>
        </w:rPr>
        <w:t xml:space="preserve"> </w:t>
      </w:r>
      <w:r>
        <w:rPr>
          <w:color w:val="231F20"/>
        </w:rPr>
        <w:t>rest</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group.</w:t>
      </w:r>
    </w:p>
    <w:p w14:paraId="284F8F7D" w14:textId="77777777" w:rsidR="002653E8" w:rsidRDefault="003115E3">
      <w:pPr>
        <w:pStyle w:val="a3"/>
        <w:spacing w:line="264" w:lineRule="auto"/>
        <w:ind w:left="1328" w:right="1146" w:firstLine="209"/>
        <w:jc w:val="both"/>
      </w:pPr>
      <w:r>
        <w:rPr>
          <w:color w:val="231F20"/>
        </w:rPr>
        <w:t xml:space="preserve">While Mahler would remain in the </w:t>
      </w:r>
      <w:r w:rsidR="00C507A5">
        <w:rPr>
          <w:color w:val="231F20"/>
        </w:rPr>
        <w:t>red army faction</w:t>
      </w:r>
      <w:r>
        <w:rPr>
          <w:color w:val="231F20"/>
        </w:rPr>
        <w:t xml:space="preserve"> for the time being, this was the first visible sign of an ongoing process of estrangement between the former attorney and the rest of the guerilla.</w:t>
      </w:r>
    </w:p>
    <w:p w14:paraId="0F4073CC" w14:textId="77777777" w:rsidR="002653E8" w:rsidRDefault="003115E3">
      <w:pPr>
        <w:pStyle w:val="a3"/>
        <w:spacing w:line="261" w:lineRule="auto"/>
        <w:ind w:left="1327" w:right="1145" w:firstLine="210"/>
        <w:jc w:val="both"/>
        <w:rPr>
          <w:sz w:val="11"/>
        </w:rPr>
      </w:pPr>
      <w:r>
        <w:rPr>
          <w:color w:val="231F20"/>
        </w:rPr>
        <w:t xml:space="preserve">Almost at the same time as Mahler’s document began to circulate,       a second text, one which enjoyed the approval of the entire </w:t>
      </w:r>
      <w:r w:rsidR="00C507A5">
        <w:rPr>
          <w:color w:val="231F20"/>
        </w:rPr>
        <w:t>red army faction</w:t>
      </w:r>
      <w:r>
        <w:rPr>
          <w:color w:val="231F20"/>
        </w:rPr>
        <w:t xml:space="preserve">, was released. On May 1, at the annual May Day demonstrations, supporters distributed what became known as the </w:t>
      </w:r>
      <w:r w:rsidR="00C507A5">
        <w:rPr>
          <w:color w:val="231F20"/>
          <w:spacing w:val="1"/>
        </w:rPr>
        <w:t>red army faction</w:t>
      </w:r>
      <w:r>
        <w:rPr>
          <w:color w:val="231F20"/>
          <w:spacing w:val="1"/>
        </w:rPr>
        <w:t xml:space="preserve">’s </w:t>
      </w:r>
      <w:r>
        <w:rPr>
          <w:color w:val="231F20"/>
        </w:rPr>
        <w:t xml:space="preserve">foundational manifesto, emblazoned with a red star and a Kalashnikov submachine gun: </w:t>
      </w:r>
      <w:r>
        <w:rPr>
          <w:i/>
          <w:color w:val="231F20"/>
        </w:rPr>
        <w:t xml:space="preserve">The Urban </w:t>
      </w:r>
      <w:r>
        <w:rPr>
          <w:i/>
          <w:color w:val="231F20"/>
          <w:spacing w:val="1"/>
        </w:rPr>
        <w:t xml:space="preserve">Guerilla </w:t>
      </w:r>
      <w:r>
        <w:rPr>
          <w:i/>
          <w:color w:val="231F20"/>
        </w:rPr>
        <w:t>Concept</w:t>
      </w:r>
      <w:r>
        <w:rPr>
          <w:color w:val="231F20"/>
        </w:rPr>
        <w:t xml:space="preserve">. This text was widely reprinted, not only in radical publications like </w:t>
      </w:r>
      <w:r>
        <w:rPr>
          <w:rFonts w:ascii="Bookman Old Style" w:hAnsi="Bookman Old Style"/>
          <w:i/>
          <w:color w:val="231F20"/>
        </w:rPr>
        <w:t>883</w:t>
      </w:r>
      <w:r>
        <w:rPr>
          <w:color w:val="231F20"/>
        </w:rPr>
        <w:t xml:space="preserve">, but in the mainstream </w:t>
      </w:r>
      <w:r>
        <w:rPr>
          <w:i/>
          <w:color w:val="231F20"/>
        </w:rPr>
        <w:t>Spiegel</w:t>
      </w:r>
      <w:r>
        <w:rPr>
          <w:color w:val="231F20"/>
        </w:rPr>
        <w:t xml:space="preserve">, the result of a deal whereby the liberal weekly agreed to </w:t>
      </w:r>
      <w:r>
        <w:rPr>
          <w:color w:val="231F20"/>
          <w:spacing w:val="-3"/>
        </w:rPr>
        <w:t xml:space="preserve">“donate” </w:t>
      </w:r>
      <w:r>
        <w:rPr>
          <w:color w:val="231F20"/>
        </w:rPr>
        <w:t>20,000 dm to youth</w:t>
      </w:r>
      <w:r>
        <w:rPr>
          <w:color w:val="231F20"/>
          <w:spacing w:val="10"/>
        </w:rPr>
        <w:t xml:space="preserve"> </w:t>
      </w:r>
      <w:r>
        <w:rPr>
          <w:color w:val="231F20"/>
        </w:rPr>
        <w:t>shelters.</w:t>
      </w:r>
      <w:r>
        <w:rPr>
          <w:color w:val="231F20"/>
          <w:position w:val="7"/>
          <w:sz w:val="11"/>
        </w:rPr>
        <w:t>8</w:t>
      </w:r>
    </w:p>
    <w:p w14:paraId="36A7143B" w14:textId="77777777" w:rsidR="002653E8" w:rsidRDefault="003115E3">
      <w:pPr>
        <w:pStyle w:val="a3"/>
        <w:spacing w:before="1" w:line="264" w:lineRule="auto"/>
        <w:ind w:left="1327" w:right="1145" w:firstLine="210"/>
        <w:jc w:val="both"/>
      </w:pPr>
      <w:r>
        <w:rPr>
          <w:color w:val="231F20"/>
          <w:w w:val="105"/>
        </w:rPr>
        <w:t>Drawing</w:t>
      </w:r>
      <w:r>
        <w:rPr>
          <w:color w:val="231F20"/>
          <w:spacing w:val="-5"/>
          <w:w w:val="105"/>
        </w:rPr>
        <w:t xml:space="preserve"> </w:t>
      </w:r>
      <w:r>
        <w:rPr>
          <w:color w:val="231F20"/>
          <w:w w:val="105"/>
        </w:rPr>
        <w:t>heavily</w:t>
      </w:r>
      <w:r>
        <w:rPr>
          <w:color w:val="231F20"/>
          <w:spacing w:val="-5"/>
          <w:w w:val="105"/>
        </w:rPr>
        <w:t xml:space="preserve"> </w:t>
      </w:r>
      <w:r>
        <w:rPr>
          <w:color w:val="231F20"/>
          <w:w w:val="105"/>
        </w:rPr>
        <w:t>on</w:t>
      </w:r>
      <w:r>
        <w:rPr>
          <w:color w:val="231F20"/>
          <w:spacing w:val="-5"/>
          <w:w w:val="105"/>
        </w:rPr>
        <w:t xml:space="preserve"> </w:t>
      </w:r>
      <w:r>
        <w:rPr>
          <w:color w:val="231F20"/>
          <w:w w:val="105"/>
        </w:rPr>
        <w:t>the</w:t>
      </w:r>
      <w:r>
        <w:rPr>
          <w:color w:val="231F20"/>
          <w:spacing w:val="-5"/>
          <w:w w:val="105"/>
        </w:rPr>
        <w:t xml:space="preserve"> </w:t>
      </w:r>
      <w:r>
        <w:rPr>
          <w:color w:val="231F20"/>
          <w:w w:val="105"/>
        </w:rPr>
        <w:t>guerillas’</w:t>
      </w:r>
      <w:r>
        <w:rPr>
          <w:color w:val="231F20"/>
          <w:spacing w:val="-5"/>
          <w:w w:val="105"/>
        </w:rPr>
        <w:t xml:space="preserve"> </w:t>
      </w:r>
      <w:r>
        <w:rPr>
          <w:color w:val="231F20"/>
          <w:w w:val="105"/>
        </w:rPr>
        <w:t>experiences</w:t>
      </w:r>
      <w:r>
        <w:rPr>
          <w:color w:val="231F20"/>
          <w:spacing w:val="-5"/>
          <w:w w:val="105"/>
        </w:rPr>
        <w:t xml:space="preserve"> </w:t>
      </w:r>
      <w:r>
        <w:rPr>
          <w:color w:val="231F20"/>
          <w:w w:val="105"/>
        </w:rPr>
        <w:t>in</w:t>
      </w:r>
      <w:r>
        <w:rPr>
          <w:color w:val="231F20"/>
          <w:spacing w:val="-5"/>
          <w:w w:val="105"/>
        </w:rPr>
        <w:t xml:space="preserve"> </w:t>
      </w:r>
      <w:r>
        <w:rPr>
          <w:color w:val="231F20"/>
          <w:w w:val="105"/>
        </w:rPr>
        <w:t>the</w:t>
      </w:r>
      <w:r>
        <w:rPr>
          <w:color w:val="231F20"/>
          <w:spacing w:val="-4"/>
          <w:w w:val="105"/>
        </w:rPr>
        <w:t xml:space="preserve"> </w:t>
      </w:r>
      <w:r>
        <w:rPr>
          <w:color w:val="231F20"/>
          <w:w w:val="105"/>
        </w:rPr>
        <w:t>APO,</w:t>
      </w:r>
      <w:r>
        <w:rPr>
          <w:color w:val="231F20"/>
          <w:spacing w:val="-5"/>
          <w:w w:val="105"/>
        </w:rPr>
        <w:t xml:space="preserve"> </w:t>
      </w:r>
      <w:r>
        <w:rPr>
          <w:color w:val="231F20"/>
          <w:w w:val="105"/>
        </w:rPr>
        <w:t>and</w:t>
      </w:r>
      <w:r>
        <w:rPr>
          <w:color w:val="231F20"/>
          <w:spacing w:val="-5"/>
          <w:w w:val="105"/>
        </w:rPr>
        <w:t xml:space="preserve"> </w:t>
      </w:r>
      <w:r>
        <w:rPr>
          <w:color w:val="231F20"/>
          <w:w w:val="105"/>
        </w:rPr>
        <w:t xml:space="preserve">what they saw as the weaknesses of the New </w:t>
      </w:r>
      <w:r>
        <w:rPr>
          <w:color w:val="231F20"/>
          <w:spacing w:val="1"/>
          <w:w w:val="105"/>
        </w:rPr>
        <w:t xml:space="preserve">Left, </w:t>
      </w:r>
      <w:r>
        <w:rPr>
          <w:i/>
          <w:color w:val="231F20"/>
          <w:w w:val="105"/>
        </w:rPr>
        <w:t xml:space="preserve">The Urban </w:t>
      </w:r>
      <w:r>
        <w:rPr>
          <w:i/>
          <w:color w:val="231F20"/>
          <w:spacing w:val="1"/>
          <w:w w:val="105"/>
        </w:rPr>
        <w:t>Guerilla Concept</w:t>
      </w:r>
      <w:r>
        <w:rPr>
          <w:i/>
          <w:color w:val="231F20"/>
          <w:spacing w:val="-30"/>
          <w:w w:val="105"/>
        </w:rPr>
        <w:t xml:space="preserve"> </w:t>
      </w:r>
      <w:r>
        <w:rPr>
          <w:color w:val="231F20"/>
          <w:w w:val="105"/>
        </w:rPr>
        <w:t>tried</w:t>
      </w:r>
      <w:r>
        <w:rPr>
          <w:color w:val="231F20"/>
          <w:spacing w:val="-30"/>
          <w:w w:val="105"/>
        </w:rPr>
        <w:t xml:space="preserve"> </w:t>
      </w:r>
      <w:r>
        <w:rPr>
          <w:color w:val="231F20"/>
          <w:w w:val="105"/>
        </w:rPr>
        <w:t>to</w:t>
      </w:r>
      <w:r>
        <w:rPr>
          <w:color w:val="231F20"/>
          <w:spacing w:val="-30"/>
          <w:w w:val="105"/>
        </w:rPr>
        <w:t xml:space="preserve"> </w:t>
      </w:r>
      <w:r>
        <w:rPr>
          <w:color w:val="231F20"/>
          <w:w w:val="105"/>
        </w:rPr>
        <w:t>answer</w:t>
      </w:r>
      <w:r>
        <w:rPr>
          <w:color w:val="231F20"/>
          <w:spacing w:val="-30"/>
          <w:w w:val="105"/>
        </w:rPr>
        <w:t xml:space="preserve"> </w:t>
      </w:r>
      <w:r>
        <w:rPr>
          <w:color w:val="231F20"/>
          <w:w w:val="105"/>
        </w:rPr>
        <w:t>some</w:t>
      </w:r>
      <w:r>
        <w:rPr>
          <w:color w:val="231F20"/>
          <w:spacing w:val="-30"/>
          <w:w w:val="105"/>
        </w:rPr>
        <w:t xml:space="preserve"> </w:t>
      </w:r>
      <w:r>
        <w:rPr>
          <w:color w:val="231F20"/>
          <w:w w:val="105"/>
        </w:rPr>
        <w:t>of</w:t>
      </w:r>
      <w:r>
        <w:rPr>
          <w:color w:val="231F20"/>
          <w:spacing w:val="-30"/>
          <w:w w:val="105"/>
        </w:rPr>
        <w:t xml:space="preserve"> </w:t>
      </w:r>
      <w:r>
        <w:rPr>
          <w:color w:val="231F20"/>
          <w:w w:val="105"/>
        </w:rPr>
        <w:t>the</w:t>
      </w:r>
      <w:r>
        <w:rPr>
          <w:color w:val="231F20"/>
          <w:spacing w:val="-30"/>
          <w:w w:val="105"/>
        </w:rPr>
        <w:t xml:space="preserve"> </w:t>
      </w:r>
      <w:r>
        <w:rPr>
          <w:color w:val="231F20"/>
          <w:w w:val="105"/>
        </w:rPr>
        <w:t>questions</w:t>
      </w:r>
      <w:r>
        <w:rPr>
          <w:color w:val="231F20"/>
          <w:spacing w:val="-30"/>
          <w:w w:val="105"/>
        </w:rPr>
        <w:t xml:space="preserve"> </w:t>
      </w:r>
      <w:r>
        <w:rPr>
          <w:color w:val="231F20"/>
          <w:w w:val="105"/>
        </w:rPr>
        <w:t>people</w:t>
      </w:r>
      <w:r>
        <w:rPr>
          <w:color w:val="231F20"/>
          <w:spacing w:val="-30"/>
          <w:w w:val="105"/>
        </w:rPr>
        <w:t xml:space="preserve"> </w:t>
      </w:r>
      <w:r>
        <w:rPr>
          <w:color w:val="231F20"/>
          <w:w w:val="105"/>
        </w:rPr>
        <w:t>were</w:t>
      </w:r>
      <w:r>
        <w:rPr>
          <w:color w:val="231F20"/>
          <w:spacing w:val="-30"/>
          <w:w w:val="105"/>
        </w:rPr>
        <w:t xml:space="preserve"> </w:t>
      </w:r>
      <w:r>
        <w:rPr>
          <w:color w:val="231F20"/>
          <w:w w:val="105"/>
        </w:rPr>
        <w:t>asking</w:t>
      </w:r>
      <w:r>
        <w:rPr>
          <w:color w:val="231F20"/>
          <w:spacing w:val="-30"/>
          <w:w w:val="105"/>
        </w:rPr>
        <w:t xml:space="preserve"> </w:t>
      </w:r>
      <w:r>
        <w:rPr>
          <w:color w:val="231F20"/>
          <w:w w:val="105"/>
        </w:rPr>
        <w:t>about the</w:t>
      </w:r>
      <w:r>
        <w:rPr>
          <w:color w:val="231F20"/>
          <w:spacing w:val="-25"/>
          <w:w w:val="105"/>
        </w:rPr>
        <w:t xml:space="preserve"> </w:t>
      </w:r>
      <w:r w:rsidR="00C507A5">
        <w:rPr>
          <w:color w:val="231F20"/>
          <w:w w:val="105"/>
        </w:rPr>
        <w:t>red army faction</w:t>
      </w:r>
      <w:r>
        <w:rPr>
          <w:color w:val="231F20"/>
          <w:w w:val="105"/>
        </w:rPr>
        <w:t>,</w:t>
      </w:r>
      <w:r>
        <w:rPr>
          <w:color w:val="231F20"/>
          <w:spacing w:val="-25"/>
          <w:w w:val="105"/>
        </w:rPr>
        <w:t xml:space="preserve"> </w:t>
      </w:r>
      <w:r>
        <w:rPr>
          <w:color w:val="231F20"/>
          <w:w w:val="105"/>
        </w:rPr>
        <w:t>while</w:t>
      </w:r>
      <w:r>
        <w:rPr>
          <w:color w:val="231F20"/>
          <w:spacing w:val="-25"/>
          <w:w w:val="105"/>
        </w:rPr>
        <w:t xml:space="preserve"> </w:t>
      </w:r>
      <w:r>
        <w:rPr>
          <w:color w:val="231F20"/>
          <w:w w:val="105"/>
        </w:rPr>
        <w:t>critiquing</w:t>
      </w:r>
      <w:r>
        <w:rPr>
          <w:color w:val="231F20"/>
          <w:spacing w:val="-25"/>
          <w:w w:val="105"/>
        </w:rPr>
        <w:t xml:space="preserve"> </w:t>
      </w:r>
      <w:r>
        <w:rPr>
          <w:color w:val="231F20"/>
          <w:w w:val="105"/>
        </w:rPr>
        <w:t>both</w:t>
      </w:r>
      <w:r>
        <w:rPr>
          <w:color w:val="231F20"/>
          <w:spacing w:val="-25"/>
          <w:w w:val="105"/>
        </w:rPr>
        <w:t xml:space="preserve"> </w:t>
      </w:r>
      <w:r>
        <w:rPr>
          <w:color w:val="231F20"/>
          <w:w w:val="105"/>
        </w:rPr>
        <w:t>the</w:t>
      </w:r>
      <w:r>
        <w:rPr>
          <w:color w:val="231F20"/>
          <w:spacing w:val="-25"/>
          <w:w w:val="105"/>
        </w:rPr>
        <w:t xml:space="preserve"> </w:t>
      </w:r>
      <w:r>
        <w:rPr>
          <w:color w:val="231F20"/>
          <w:w w:val="105"/>
        </w:rPr>
        <w:t>anarchist</w:t>
      </w:r>
      <w:r>
        <w:rPr>
          <w:color w:val="231F20"/>
          <w:spacing w:val="-25"/>
          <w:w w:val="105"/>
        </w:rPr>
        <w:t xml:space="preserve"> </w:t>
      </w:r>
      <w:r>
        <w:rPr>
          <w:color w:val="231F20"/>
          <w:w w:val="105"/>
        </w:rPr>
        <w:t>scene</w:t>
      </w:r>
      <w:r>
        <w:rPr>
          <w:color w:val="231F20"/>
          <w:spacing w:val="-25"/>
          <w:w w:val="105"/>
        </w:rPr>
        <w:t xml:space="preserve"> </w:t>
      </w:r>
      <w:r>
        <w:rPr>
          <w:color w:val="231F20"/>
          <w:w w:val="105"/>
        </w:rPr>
        <w:t>and</w:t>
      </w:r>
      <w:r>
        <w:rPr>
          <w:color w:val="231F20"/>
          <w:spacing w:val="-25"/>
          <w:w w:val="105"/>
        </w:rPr>
        <w:t xml:space="preserve"> </w:t>
      </w:r>
      <w:r>
        <w:rPr>
          <w:color w:val="231F20"/>
          <w:w w:val="105"/>
        </w:rPr>
        <w:t>the</w:t>
      </w:r>
      <w:r>
        <w:rPr>
          <w:color w:val="231F20"/>
          <w:spacing w:val="-25"/>
          <w:w w:val="105"/>
        </w:rPr>
        <w:t xml:space="preserve"> </w:t>
      </w:r>
      <w:r>
        <w:rPr>
          <w:color w:val="231F20"/>
          <w:w w:val="105"/>
        </w:rPr>
        <w:t>K-groups</w:t>
      </w:r>
      <w:r>
        <w:rPr>
          <w:color w:val="231F20"/>
          <w:spacing w:val="-25"/>
          <w:w w:val="105"/>
        </w:rPr>
        <w:t xml:space="preserve"> </w:t>
      </w:r>
      <w:r>
        <w:rPr>
          <w:color w:val="231F20"/>
          <w:w w:val="105"/>
        </w:rPr>
        <w:t>(referred</w:t>
      </w:r>
      <w:r>
        <w:rPr>
          <w:color w:val="231F20"/>
          <w:spacing w:val="-21"/>
          <w:w w:val="105"/>
        </w:rPr>
        <w:t xml:space="preserve"> </w:t>
      </w:r>
      <w:r>
        <w:rPr>
          <w:color w:val="231F20"/>
          <w:w w:val="105"/>
        </w:rPr>
        <w:t>to</w:t>
      </w:r>
      <w:r>
        <w:rPr>
          <w:color w:val="231F20"/>
          <w:spacing w:val="-21"/>
          <w:w w:val="105"/>
        </w:rPr>
        <w:t xml:space="preserve"> </w:t>
      </w:r>
      <w:r>
        <w:rPr>
          <w:color w:val="231F20"/>
          <w:w w:val="105"/>
        </w:rPr>
        <w:t>respectfully</w:t>
      </w:r>
      <w:r>
        <w:rPr>
          <w:color w:val="231F20"/>
          <w:spacing w:val="-21"/>
          <w:w w:val="105"/>
        </w:rPr>
        <w:t xml:space="preserve"> </w:t>
      </w:r>
      <w:r>
        <w:rPr>
          <w:color w:val="231F20"/>
          <w:w w:val="105"/>
        </w:rPr>
        <w:t>as</w:t>
      </w:r>
      <w:r>
        <w:rPr>
          <w:color w:val="231F20"/>
          <w:spacing w:val="-21"/>
          <w:w w:val="105"/>
        </w:rPr>
        <w:t xml:space="preserve"> </w:t>
      </w:r>
      <w:r>
        <w:rPr>
          <w:color w:val="231F20"/>
          <w:w w:val="105"/>
        </w:rPr>
        <w:t>“the</w:t>
      </w:r>
      <w:r>
        <w:rPr>
          <w:color w:val="231F20"/>
          <w:spacing w:val="-21"/>
          <w:w w:val="105"/>
        </w:rPr>
        <w:t xml:space="preserve"> </w:t>
      </w:r>
      <w:r>
        <w:rPr>
          <w:color w:val="231F20"/>
          <w:w w:val="105"/>
        </w:rPr>
        <w:t>proletarian</w:t>
      </w:r>
      <w:r>
        <w:rPr>
          <w:color w:val="231F20"/>
          <w:spacing w:val="-21"/>
          <w:w w:val="105"/>
        </w:rPr>
        <w:t xml:space="preserve"> </w:t>
      </w:r>
      <w:r>
        <w:rPr>
          <w:color w:val="231F20"/>
          <w:w w:val="105"/>
        </w:rPr>
        <w:t>organizations”).</w:t>
      </w:r>
      <w:r>
        <w:rPr>
          <w:color w:val="231F20"/>
          <w:spacing w:val="-21"/>
          <w:w w:val="105"/>
        </w:rPr>
        <w:t xml:space="preserve"> </w:t>
      </w:r>
      <w:r>
        <w:rPr>
          <w:color w:val="231F20"/>
          <w:w w:val="105"/>
        </w:rPr>
        <w:t>It</w:t>
      </w:r>
      <w:r>
        <w:rPr>
          <w:color w:val="231F20"/>
          <w:spacing w:val="-21"/>
          <w:w w:val="105"/>
        </w:rPr>
        <w:t xml:space="preserve"> </w:t>
      </w:r>
      <w:r>
        <w:rPr>
          <w:color w:val="231F20"/>
          <w:w w:val="105"/>
        </w:rPr>
        <w:t>also</w:t>
      </w:r>
      <w:r>
        <w:rPr>
          <w:color w:val="231F20"/>
          <w:spacing w:val="-21"/>
          <w:w w:val="105"/>
        </w:rPr>
        <w:t xml:space="preserve"> </w:t>
      </w:r>
      <w:r>
        <w:rPr>
          <w:color w:val="231F20"/>
          <w:w w:val="105"/>
        </w:rPr>
        <w:t>constituted</w:t>
      </w:r>
      <w:r>
        <w:rPr>
          <w:color w:val="231F20"/>
          <w:spacing w:val="-9"/>
          <w:w w:val="105"/>
        </w:rPr>
        <w:t xml:space="preserve"> </w:t>
      </w:r>
      <w:r>
        <w:rPr>
          <w:color w:val="231F20"/>
          <w:w w:val="105"/>
        </w:rPr>
        <w:t>an</w:t>
      </w:r>
      <w:r>
        <w:rPr>
          <w:color w:val="231F20"/>
          <w:spacing w:val="-9"/>
          <w:w w:val="105"/>
        </w:rPr>
        <w:t xml:space="preserve"> </w:t>
      </w:r>
      <w:r>
        <w:rPr>
          <w:color w:val="231F20"/>
          <w:w w:val="105"/>
        </w:rPr>
        <w:t>open</w:t>
      </w:r>
      <w:r>
        <w:rPr>
          <w:color w:val="231F20"/>
          <w:spacing w:val="-9"/>
          <w:w w:val="105"/>
        </w:rPr>
        <w:t xml:space="preserve"> </w:t>
      </w:r>
      <w:r>
        <w:rPr>
          <w:color w:val="231F20"/>
          <w:w w:val="105"/>
        </w:rPr>
        <w:t>invitation</w:t>
      </w:r>
      <w:r>
        <w:rPr>
          <w:color w:val="231F20"/>
          <w:spacing w:val="-9"/>
          <w:w w:val="105"/>
        </w:rPr>
        <w:t xml:space="preserve"> </w:t>
      </w:r>
      <w:r>
        <w:rPr>
          <w:color w:val="231F20"/>
          <w:w w:val="105"/>
        </w:rPr>
        <w:t>to</w:t>
      </w:r>
      <w:r>
        <w:rPr>
          <w:color w:val="231F20"/>
          <w:spacing w:val="-9"/>
          <w:w w:val="105"/>
        </w:rPr>
        <w:t xml:space="preserve"> </w:t>
      </w:r>
      <w:r>
        <w:rPr>
          <w:color w:val="231F20"/>
          <w:w w:val="105"/>
        </w:rPr>
        <w:t>join</w:t>
      </w:r>
      <w:r>
        <w:rPr>
          <w:color w:val="231F20"/>
          <w:spacing w:val="-9"/>
          <w:w w:val="105"/>
        </w:rPr>
        <w:t xml:space="preserve"> </w:t>
      </w:r>
      <w:r>
        <w:rPr>
          <w:color w:val="231F20"/>
          <w:w w:val="105"/>
        </w:rPr>
        <w:t>with</w:t>
      </w:r>
      <w:r>
        <w:rPr>
          <w:color w:val="231F20"/>
          <w:spacing w:val="-9"/>
          <w:w w:val="105"/>
        </w:rPr>
        <w:t xml:space="preserve"> </w:t>
      </w:r>
      <w:r>
        <w:rPr>
          <w:color w:val="231F20"/>
          <w:w w:val="105"/>
        </w:rPr>
        <w:t>the</w:t>
      </w:r>
      <w:r>
        <w:rPr>
          <w:color w:val="231F20"/>
          <w:spacing w:val="-9"/>
          <w:w w:val="105"/>
        </w:rPr>
        <w:t xml:space="preserve"> </w:t>
      </w:r>
      <w:r>
        <w:rPr>
          <w:color w:val="231F20"/>
          <w:w w:val="105"/>
        </w:rPr>
        <w:t>guerilla</w:t>
      </w:r>
      <w:r>
        <w:rPr>
          <w:color w:val="231F20"/>
          <w:spacing w:val="-9"/>
          <w:w w:val="105"/>
        </w:rPr>
        <w:t xml:space="preserve"> </w:t>
      </w:r>
      <w:r>
        <w:rPr>
          <w:color w:val="231F20"/>
          <w:w w:val="105"/>
        </w:rPr>
        <w:t>in</w:t>
      </w:r>
      <w:r>
        <w:rPr>
          <w:color w:val="231F20"/>
          <w:spacing w:val="-9"/>
          <w:w w:val="105"/>
        </w:rPr>
        <w:t xml:space="preserve"> </w:t>
      </w:r>
      <w:r>
        <w:rPr>
          <w:color w:val="231F20"/>
          <w:w w:val="105"/>
        </w:rPr>
        <w:t>the</w:t>
      </w:r>
      <w:r>
        <w:rPr>
          <w:color w:val="231F20"/>
          <w:spacing w:val="-9"/>
          <w:w w:val="105"/>
        </w:rPr>
        <w:t xml:space="preserve"> </w:t>
      </w:r>
      <w:r>
        <w:rPr>
          <w:color w:val="231F20"/>
          <w:w w:val="105"/>
        </w:rPr>
        <w:t>underground.</w:t>
      </w:r>
    </w:p>
    <w:p w14:paraId="42BFDAF9" w14:textId="77777777" w:rsidR="002653E8" w:rsidRDefault="003115E3">
      <w:pPr>
        <w:pStyle w:val="a3"/>
        <w:spacing w:line="264" w:lineRule="auto"/>
        <w:ind w:left="1328" w:right="1145" w:firstLine="210"/>
        <w:jc w:val="both"/>
      </w:pPr>
      <w:r>
        <w:rPr>
          <w:color w:val="231F20"/>
        </w:rPr>
        <w:t>It was a document aimed at the seasoned activists of the left, speaking to their sense of frustration with the legal struggle in the hope that they might be won over to clandestinity.</w:t>
      </w:r>
    </w:p>
    <w:p w14:paraId="55405D7E" w14:textId="77777777" w:rsidR="002653E8" w:rsidRDefault="002653E8">
      <w:pPr>
        <w:pStyle w:val="a3"/>
      </w:pPr>
    </w:p>
    <w:p w14:paraId="214F9F37" w14:textId="77777777" w:rsidR="002653E8" w:rsidRDefault="002653E8">
      <w:pPr>
        <w:pStyle w:val="a3"/>
      </w:pPr>
    </w:p>
    <w:p w14:paraId="069BBECD" w14:textId="77777777" w:rsidR="002653E8" w:rsidRDefault="002653E8">
      <w:pPr>
        <w:pStyle w:val="a3"/>
      </w:pPr>
    </w:p>
    <w:p w14:paraId="1FF36C55" w14:textId="77777777" w:rsidR="002653E8" w:rsidRDefault="002653E8">
      <w:pPr>
        <w:pStyle w:val="a3"/>
      </w:pPr>
    </w:p>
    <w:p w14:paraId="588FB2A6" w14:textId="77777777" w:rsidR="002653E8" w:rsidRDefault="002653E8">
      <w:pPr>
        <w:pStyle w:val="a3"/>
      </w:pPr>
    </w:p>
    <w:p w14:paraId="1BC565DF" w14:textId="77777777" w:rsidR="002653E8" w:rsidRDefault="002653E8">
      <w:pPr>
        <w:pStyle w:val="a3"/>
      </w:pPr>
    </w:p>
    <w:p w14:paraId="7EE1CE23" w14:textId="77777777" w:rsidR="002653E8" w:rsidRDefault="002653E8">
      <w:pPr>
        <w:pStyle w:val="a3"/>
      </w:pPr>
    </w:p>
    <w:p w14:paraId="37AE0269" w14:textId="77777777" w:rsidR="002653E8" w:rsidRDefault="002653E8">
      <w:pPr>
        <w:pStyle w:val="a3"/>
      </w:pPr>
    </w:p>
    <w:p w14:paraId="299F4CFD" w14:textId="77777777" w:rsidR="002653E8" w:rsidRDefault="002653E8">
      <w:pPr>
        <w:pStyle w:val="a3"/>
      </w:pPr>
    </w:p>
    <w:p w14:paraId="5F594D64" w14:textId="77777777" w:rsidR="002653E8" w:rsidRDefault="002653E8">
      <w:pPr>
        <w:pStyle w:val="a3"/>
      </w:pPr>
    </w:p>
    <w:p w14:paraId="7FFADA1A" w14:textId="77777777" w:rsidR="002653E8" w:rsidRDefault="002653E8">
      <w:pPr>
        <w:pStyle w:val="a3"/>
      </w:pPr>
    </w:p>
    <w:p w14:paraId="558E2369" w14:textId="77777777" w:rsidR="002653E8" w:rsidRDefault="00000000">
      <w:pPr>
        <w:pStyle w:val="a3"/>
        <w:spacing w:before="2"/>
      </w:pPr>
      <w:r>
        <w:rPr>
          <w:noProof w:val="0"/>
        </w:rPr>
        <w:pict w14:anchorId="6BB0B28D">
          <v:line id="_x0000_s2631" style="position:absolute;z-index:2968;mso-wrap-distance-left:0;mso-wrap-distance-right:0;mso-position-horizontal-relative:page" from="66.4pt,14.05pt" to="138.4pt,14.05pt" strokecolor="#231f20" strokeweight=".5pt">
            <w10:wrap type="topAndBottom" anchorx="page"/>
          </v:line>
        </w:pict>
      </w:r>
    </w:p>
    <w:p w14:paraId="48F158AC" w14:textId="77777777" w:rsidR="002653E8" w:rsidRDefault="003115E3">
      <w:pPr>
        <w:pStyle w:val="a4"/>
        <w:numPr>
          <w:ilvl w:val="1"/>
          <w:numId w:val="170"/>
        </w:numPr>
        <w:tabs>
          <w:tab w:val="left" w:pos="1467"/>
        </w:tabs>
        <w:spacing w:before="53"/>
        <w:rPr>
          <w:sz w:val="16"/>
        </w:rPr>
      </w:pPr>
      <w:r>
        <w:rPr>
          <w:color w:val="231F20"/>
          <w:w w:val="115"/>
          <w:sz w:val="16"/>
        </w:rPr>
        <w:t>Cobler,</w:t>
      </w:r>
      <w:r>
        <w:rPr>
          <w:color w:val="231F20"/>
          <w:spacing w:val="3"/>
          <w:w w:val="115"/>
          <w:sz w:val="16"/>
        </w:rPr>
        <w:t xml:space="preserve"> </w:t>
      </w:r>
      <w:r>
        <w:rPr>
          <w:color w:val="231F20"/>
          <w:spacing w:val="-5"/>
          <w:w w:val="115"/>
          <w:sz w:val="16"/>
        </w:rPr>
        <w:t>113.</w:t>
      </w:r>
    </w:p>
    <w:p w14:paraId="6DE39D0B" w14:textId="77777777" w:rsidR="002653E8" w:rsidRPr="00C507A5" w:rsidRDefault="003115E3">
      <w:pPr>
        <w:pStyle w:val="a4"/>
        <w:numPr>
          <w:ilvl w:val="1"/>
          <w:numId w:val="170"/>
        </w:numPr>
        <w:tabs>
          <w:tab w:val="left" w:pos="1467"/>
        </w:tabs>
        <w:spacing w:before="51"/>
        <w:rPr>
          <w:sz w:val="16"/>
          <w:lang w:val="de-DE"/>
        </w:rPr>
      </w:pPr>
      <w:r w:rsidRPr="00C507A5">
        <w:rPr>
          <w:i/>
          <w:color w:val="231F20"/>
          <w:w w:val="110"/>
          <w:sz w:val="16"/>
          <w:lang w:val="de-DE"/>
        </w:rPr>
        <w:t xml:space="preserve">tageszeitung </w:t>
      </w:r>
      <w:r w:rsidRPr="00C507A5">
        <w:rPr>
          <w:color w:val="231F20"/>
          <w:spacing w:val="-5"/>
          <w:w w:val="110"/>
          <w:sz w:val="16"/>
          <w:lang w:val="de-DE"/>
        </w:rPr>
        <w:t xml:space="preserve">“30 </w:t>
      </w:r>
      <w:r w:rsidRPr="00C507A5">
        <w:rPr>
          <w:color w:val="231F20"/>
          <w:w w:val="110"/>
          <w:sz w:val="16"/>
          <w:lang w:val="de-DE"/>
        </w:rPr>
        <w:t>Jahre Deutscher Herbst ‘Die</w:t>
      </w:r>
      <w:r w:rsidRPr="00C507A5">
        <w:rPr>
          <w:color w:val="231F20"/>
          <w:spacing w:val="8"/>
          <w:w w:val="110"/>
          <w:sz w:val="16"/>
          <w:lang w:val="de-DE"/>
        </w:rPr>
        <w:t xml:space="preserve"> </w:t>
      </w:r>
      <w:r w:rsidR="00C507A5" w:rsidRPr="00C507A5">
        <w:rPr>
          <w:color w:val="231F20"/>
          <w:spacing w:val="3"/>
          <w:w w:val="110"/>
          <w:sz w:val="16"/>
          <w:lang w:val="de-DE"/>
        </w:rPr>
        <w:t>red army faction</w:t>
      </w:r>
      <w:r w:rsidRPr="00C507A5">
        <w:rPr>
          <w:color w:val="231F20"/>
          <w:spacing w:val="3"/>
          <w:w w:val="110"/>
          <w:sz w:val="16"/>
          <w:lang w:val="de-DE"/>
        </w:rPr>
        <w:t xml:space="preserve"> </w:t>
      </w:r>
      <w:r w:rsidRPr="00C507A5">
        <w:rPr>
          <w:color w:val="231F20"/>
          <w:w w:val="110"/>
          <w:sz w:val="16"/>
          <w:lang w:val="de-DE"/>
        </w:rPr>
        <w:t xml:space="preserve">war nicht </w:t>
      </w:r>
      <w:r w:rsidRPr="00C507A5">
        <w:rPr>
          <w:color w:val="231F20"/>
          <w:spacing w:val="1"/>
          <w:w w:val="110"/>
          <w:sz w:val="16"/>
          <w:lang w:val="de-DE"/>
        </w:rPr>
        <w:t xml:space="preserve">ganz </w:t>
      </w:r>
      <w:r w:rsidRPr="00C507A5">
        <w:rPr>
          <w:color w:val="231F20"/>
          <w:w w:val="110"/>
          <w:sz w:val="16"/>
          <w:lang w:val="de-DE"/>
        </w:rPr>
        <w:t>so schlicht,’”</w:t>
      </w:r>
    </w:p>
    <w:p w14:paraId="500C91AD" w14:textId="77777777" w:rsidR="002653E8" w:rsidRDefault="003115E3">
      <w:pPr>
        <w:spacing w:before="12"/>
        <w:ind w:left="1327"/>
        <w:rPr>
          <w:sz w:val="16"/>
        </w:rPr>
      </w:pPr>
      <w:r>
        <w:rPr>
          <w:i/>
          <w:color w:val="231F20"/>
          <w:w w:val="110"/>
          <w:sz w:val="16"/>
        </w:rPr>
        <w:t xml:space="preserve">Deutschlandradio, </w:t>
      </w:r>
      <w:r>
        <w:rPr>
          <w:color w:val="231F20"/>
          <w:w w:val="110"/>
          <w:sz w:val="16"/>
        </w:rPr>
        <w:t>October 17, 2007.</w:t>
      </w:r>
    </w:p>
    <w:p w14:paraId="0D3D7C3B" w14:textId="77777777" w:rsidR="002653E8" w:rsidRDefault="002653E8">
      <w:pPr>
        <w:rPr>
          <w:sz w:val="16"/>
        </w:rPr>
        <w:sectPr w:rsidR="002653E8">
          <w:pgSz w:w="8640" w:h="12960"/>
          <w:pgMar w:top="1060" w:right="0" w:bottom="1040" w:left="0" w:header="0" w:footer="850" w:gutter="0"/>
          <w:cols w:space="720"/>
        </w:sectPr>
      </w:pPr>
    </w:p>
    <w:p w14:paraId="0AD3A9DF" w14:textId="77777777" w:rsidR="002653E8" w:rsidRDefault="003115E3">
      <w:pPr>
        <w:pStyle w:val="4"/>
        <w:spacing w:line="273" w:lineRule="auto"/>
        <w:ind w:left="1844" w:right="2003"/>
        <w:jc w:val="center"/>
      </w:pPr>
      <w:bookmarkStart w:id="33" w:name="Faced_With_This_Justice_System,_We_Can’t"/>
      <w:bookmarkStart w:id="34" w:name="_bookmark12"/>
      <w:bookmarkEnd w:id="33"/>
      <w:bookmarkEnd w:id="34"/>
      <w:r>
        <w:rPr>
          <w:color w:val="231F20"/>
        </w:rPr>
        <w:lastRenderedPageBreak/>
        <w:t xml:space="preserve">Faced </w:t>
      </w:r>
      <w:r>
        <w:rPr>
          <w:color w:val="231F20"/>
          <w:spacing w:val="-3"/>
        </w:rPr>
        <w:t xml:space="preserve">With </w:t>
      </w:r>
      <w:r>
        <w:rPr>
          <w:color w:val="231F20"/>
        </w:rPr>
        <w:t>This</w:t>
      </w:r>
      <w:r>
        <w:rPr>
          <w:color w:val="231F20"/>
          <w:spacing w:val="-10"/>
        </w:rPr>
        <w:t xml:space="preserve"> </w:t>
      </w:r>
      <w:r>
        <w:rPr>
          <w:color w:val="231F20"/>
        </w:rPr>
        <w:t>Justice</w:t>
      </w:r>
      <w:r>
        <w:rPr>
          <w:color w:val="231F20"/>
          <w:spacing w:val="30"/>
        </w:rPr>
        <w:t xml:space="preserve"> </w:t>
      </w:r>
      <w:r>
        <w:rPr>
          <w:color w:val="231F20"/>
        </w:rPr>
        <w:t>System,</w:t>
      </w:r>
      <w:r>
        <w:rPr>
          <w:color w:val="231F20"/>
          <w:w w:val="103"/>
        </w:rPr>
        <w:t xml:space="preserve"> </w:t>
      </w:r>
      <w:r>
        <w:rPr>
          <w:color w:val="231F20"/>
          <w:spacing w:val="-12"/>
        </w:rPr>
        <w:t xml:space="preserve">We  </w:t>
      </w:r>
      <w:r>
        <w:rPr>
          <w:color w:val="231F20"/>
        </w:rPr>
        <w:t>Can’t Be Bothered  Defending</w:t>
      </w:r>
      <w:r>
        <w:rPr>
          <w:color w:val="231F20"/>
          <w:spacing w:val="21"/>
        </w:rPr>
        <w:t xml:space="preserve"> </w:t>
      </w:r>
      <w:r>
        <w:rPr>
          <w:color w:val="231F20"/>
        </w:rPr>
        <w:t>Ourselves</w:t>
      </w:r>
    </w:p>
    <w:p w14:paraId="75287998" w14:textId="77777777" w:rsidR="002653E8" w:rsidRDefault="003115E3">
      <w:pPr>
        <w:spacing w:before="304" w:line="261" w:lineRule="auto"/>
        <w:ind w:left="1547" w:right="1580"/>
        <w:rPr>
          <w:i/>
          <w:sz w:val="20"/>
        </w:rPr>
      </w:pPr>
      <w:r>
        <w:rPr>
          <w:i/>
          <w:color w:val="231F20"/>
          <w:w w:val="105"/>
          <w:sz w:val="20"/>
        </w:rPr>
        <w:t>This was Thorwald Proll’s closing statement in the Frankfurt Department Store Firebombing Trial. (M.&amp; S.)</w:t>
      </w:r>
    </w:p>
    <w:p w14:paraId="2CCDB528" w14:textId="77777777" w:rsidR="002653E8" w:rsidRDefault="002653E8">
      <w:pPr>
        <w:pStyle w:val="a3"/>
        <w:spacing w:before="11"/>
        <w:rPr>
          <w:i/>
          <w:sz w:val="32"/>
        </w:rPr>
      </w:pPr>
    </w:p>
    <w:p w14:paraId="6AAB7999" w14:textId="77777777" w:rsidR="002653E8" w:rsidRDefault="003115E3">
      <w:pPr>
        <w:pStyle w:val="a3"/>
        <w:spacing w:line="264" w:lineRule="auto"/>
        <w:ind w:left="1147" w:right="1326"/>
        <w:jc w:val="both"/>
      </w:pPr>
      <w:r>
        <w:rPr>
          <w:color w:val="231F20"/>
        </w:rPr>
        <w:t xml:space="preserve">The trial for conspiracy to commit arson followed the trial for committing arson. But that’s obviously another question. Justice is the justice   of the ruling class. Faced with a justice system that speaks in the name of the ruling class—and speaks dishonestly—we can’t be bothered defending ourselves. Faced with a justice system that forced a student couple underground by using laws regarding breach of the public peace and causing a disturbance from the year </w:t>
      </w:r>
      <w:r>
        <w:rPr>
          <w:color w:val="231F20"/>
          <w:spacing w:val="-3"/>
        </w:rPr>
        <w:t xml:space="preserve">1870/71 </w:t>
      </w:r>
      <w:r>
        <w:rPr>
          <w:color w:val="231F20"/>
        </w:rPr>
        <w:t xml:space="preserve">to sentence them to </w:t>
      </w:r>
      <w:r>
        <w:rPr>
          <w:color w:val="231F20"/>
          <w:spacing w:val="-3"/>
        </w:rPr>
        <w:t xml:space="preserve">12 </w:t>
      </w:r>
      <w:r>
        <w:rPr>
          <w:color w:val="231F20"/>
        </w:rPr>
        <w:t>months without parole, we can’t be bothered defending ourselves (breachers</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public</w:t>
      </w:r>
      <w:r>
        <w:rPr>
          <w:color w:val="231F20"/>
          <w:spacing w:val="7"/>
        </w:rPr>
        <w:t xml:space="preserve"> </w:t>
      </w:r>
      <w:r>
        <w:rPr>
          <w:color w:val="231F20"/>
        </w:rPr>
        <w:t>peace,</w:t>
      </w:r>
      <w:r>
        <w:rPr>
          <w:color w:val="231F20"/>
          <w:spacing w:val="7"/>
        </w:rPr>
        <w:t xml:space="preserve"> </w:t>
      </w:r>
      <w:r>
        <w:rPr>
          <w:color w:val="231F20"/>
        </w:rPr>
        <w:t>torch</w:t>
      </w:r>
      <w:r>
        <w:rPr>
          <w:color w:val="231F20"/>
          <w:spacing w:val="7"/>
        </w:rPr>
        <w:t xml:space="preserve"> </w:t>
      </w:r>
      <w:r>
        <w:rPr>
          <w:color w:val="231F20"/>
        </w:rPr>
        <w:t>their</w:t>
      </w:r>
      <w:r>
        <w:rPr>
          <w:color w:val="231F20"/>
          <w:spacing w:val="7"/>
        </w:rPr>
        <w:t xml:space="preserve"> </w:t>
      </w:r>
      <w:r>
        <w:rPr>
          <w:color w:val="231F20"/>
        </w:rPr>
        <w:t>ramshackle</w:t>
      </w:r>
      <w:r>
        <w:rPr>
          <w:color w:val="231F20"/>
          <w:spacing w:val="7"/>
        </w:rPr>
        <w:t xml:space="preserve"> </w:t>
      </w:r>
      <w:r>
        <w:rPr>
          <w:color w:val="231F20"/>
        </w:rPr>
        <w:t>peace).</w:t>
      </w:r>
    </w:p>
    <w:p w14:paraId="4F64DA04" w14:textId="77777777" w:rsidR="002653E8" w:rsidRDefault="003115E3">
      <w:pPr>
        <w:pStyle w:val="a3"/>
        <w:spacing w:line="264" w:lineRule="auto"/>
        <w:ind w:left="1147" w:right="1325" w:firstLine="210"/>
        <w:jc w:val="both"/>
      </w:pPr>
      <w:r>
        <w:rPr>
          <w:color w:val="231F20"/>
        </w:rPr>
        <w:t xml:space="preserve">Faced with a justice system that uses laws from </w:t>
      </w:r>
      <w:r>
        <w:rPr>
          <w:color w:val="231F20"/>
          <w:spacing w:val="-3"/>
        </w:rPr>
        <w:t xml:space="preserve">1870/71 </w:t>
      </w:r>
      <w:r>
        <w:rPr>
          <w:color w:val="231F20"/>
        </w:rPr>
        <w:t>and then talks about what’s right—and speaks dishonestly—we can’t be bothered defending ourselves. Faced with a justice system that gave Daniel Cohn-Bendit</w:t>
      </w:r>
      <w:r>
        <w:rPr>
          <w:color w:val="231F20"/>
          <w:position w:val="7"/>
          <w:sz w:val="11"/>
        </w:rPr>
        <w:t xml:space="preserve">1 </w:t>
      </w:r>
      <w:r>
        <w:rPr>
          <w:color w:val="231F20"/>
        </w:rPr>
        <w:t>(</w:t>
      </w:r>
      <w:r>
        <w:rPr>
          <w:i/>
          <w:color w:val="231F20"/>
        </w:rPr>
        <w:t xml:space="preserve">lex </w:t>
      </w:r>
      <w:r>
        <w:rPr>
          <w:i/>
          <w:color w:val="231F20"/>
          <w:spacing w:val="1"/>
        </w:rPr>
        <w:t>Benda</w:t>
      </w:r>
      <w:r>
        <w:rPr>
          <w:color w:val="231F20"/>
          <w:spacing w:val="1"/>
        </w:rPr>
        <w:t xml:space="preserve">, </w:t>
      </w:r>
      <w:r>
        <w:rPr>
          <w:i/>
          <w:color w:val="231F20"/>
        </w:rPr>
        <w:t>lex Bendit</w:t>
      </w:r>
      <w:r>
        <w:rPr>
          <w:color w:val="231F20"/>
        </w:rPr>
        <w:t>) an 8-month suspended  sentence for jumping over a security fence, we can’t be bothered defending ourselves. Faced with a justice system that, on the other hand, only pursued most Nazi trials in order to ease their own guilty right-wing conscience, trials in which they charge anyone that swore the Führer Oath</w:t>
      </w:r>
      <w:r>
        <w:rPr>
          <w:color w:val="231F20"/>
          <w:position w:val="7"/>
          <w:sz w:val="11"/>
        </w:rPr>
        <w:t xml:space="preserve">2 </w:t>
      </w:r>
      <w:r>
        <w:rPr>
          <w:color w:val="231F20"/>
        </w:rPr>
        <w:t xml:space="preserve">as a criminal, an act which the entire justice system quite willingly engaged in itself in </w:t>
      </w:r>
      <w:r>
        <w:rPr>
          <w:color w:val="231F20"/>
          <w:spacing w:val="-7"/>
        </w:rPr>
        <w:t xml:space="preserve">1933; </w:t>
      </w:r>
      <w:r>
        <w:rPr>
          <w:color w:val="231F20"/>
        </w:rPr>
        <w:t>faced with a justice system like that, we can’t be bothered defending</w:t>
      </w:r>
      <w:r>
        <w:rPr>
          <w:color w:val="231F20"/>
          <w:spacing w:val="20"/>
        </w:rPr>
        <w:t xml:space="preserve"> </w:t>
      </w:r>
      <w:r>
        <w:rPr>
          <w:color w:val="231F20"/>
        </w:rPr>
        <w:t>ourselves.</w:t>
      </w:r>
    </w:p>
    <w:p w14:paraId="6B0CB9D2" w14:textId="77777777" w:rsidR="002653E8" w:rsidRDefault="003115E3">
      <w:pPr>
        <w:pStyle w:val="a3"/>
        <w:spacing w:line="264" w:lineRule="auto"/>
        <w:ind w:left="1148" w:right="1326" w:firstLine="210"/>
        <w:jc w:val="both"/>
      </w:pPr>
      <w:r>
        <w:rPr>
          <w:color w:val="231F20"/>
        </w:rPr>
        <w:t xml:space="preserve">Faced with a justice system that prosecutes the minor murderers of Jews and lets the major murderers of Jews run around free, we can’t be bothered defending ourselves. Faced with a justice system that in </w:t>
      </w:r>
      <w:r>
        <w:rPr>
          <w:color w:val="231F20"/>
          <w:spacing w:val="-11"/>
        </w:rPr>
        <w:t xml:space="preserve">1933 </w:t>
      </w:r>
      <w:r>
        <w:rPr>
          <w:color w:val="231F20"/>
        </w:rPr>
        <w:t>shamelessly</w:t>
      </w:r>
      <w:r>
        <w:rPr>
          <w:color w:val="231F20"/>
          <w:spacing w:val="-21"/>
        </w:rPr>
        <w:t xml:space="preserve"> </w:t>
      </w:r>
      <w:r>
        <w:rPr>
          <w:color w:val="231F20"/>
        </w:rPr>
        <w:t>plunged</w:t>
      </w:r>
      <w:r>
        <w:rPr>
          <w:color w:val="231F20"/>
          <w:spacing w:val="-21"/>
        </w:rPr>
        <w:t xml:space="preserve"> </w:t>
      </w:r>
      <w:r>
        <w:rPr>
          <w:color w:val="231F20"/>
        </w:rPr>
        <w:t>into</w:t>
      </w:r>
      <w:r>
        <w:rPr>
          <w:color w:val="231F20"/>
          <w:spacing w:val="-21"/>
        </w:rPr>
        <w:t xml:space="preserve"> </w:t>
      </w:r>
      <w:r>
        <w:rPr>
          <w:color w:val="231F20"/>
        </w:rPr>
        <w:t>fascism</w:t>
      </w:r>
      <w:r>
        <w:rPr>
          <w:color w:val="231F20"/>
          <w:spacing w:val="-21"/>
        </w:rPr>
        <w:t xml:space="preserve"> </w:t>
      </w:r>
      <w:r>
        <w:rPr>
          <w:color w:val="231F20"/>
        </w:rPr>
        <w:t>and</w:t>
      </w:r>
      <w:r>
        <w:rPr>
          <w:color w:val="231F20"/>
          <w:spacing w:val="-21"/>
        </w:rPr>
        <w:t xml:space="preserve"> </w:t>
      </w:r>
      <w:r>
        <w:rPr>
          <w:color w:val="231F20"/>
        </w:rPr>
        <w:t>in</w:t>
      </w:r>
      <w:r>
        <w:rPr>
          <w:color w:val="231F20"/>
          <w:spacing w:val="-20"/>
        </w:rPr>
        <w:t xml:space="preserve"> </w:t>
      </w:r>
      <w:r>
        <w:rPr>
          <w:color w:val="231F20"/>
          <w:spacing w:val="-7"/>
        </w:rPr>
        <w:t>1945</w:t>
      </w:r>
      <w:r>
        <w:rPr>
          <w:color w:val="231F20"/>
          <w:spacing w:val="-21"/>
        </w:rPr>
        <w:t xml:space="preserve"> </w:t>
      </w:r>
      <w:r>
        <w:rPr>
          <w:color w:val="231F20"/>
        </w:rPr>
        <w:t>just</w:t>
      </w:r>
      <w:r>
        <w:rPr>
          <w:color w:val="231F20"/>
          <w:spacing w:val="-21"/>
        </w:rPr>
        <w:t xml:space="preserve"> </w:t>
      </w:r>
      <w:r>
        <w:rPr>
          <w:color w:val="231F20"/>
        </w:rPr>
        <w:t>as</w:t>
      </w:r>
      <w:r>
        <w:rPr>
          <w:color w:val="231F20"/>
          <w:spacing w:val="-21"/>
        </w:rPr>
        <w:t xml:space="preserve"> </w:t>
      </w:r>
      <w:r>
        <w:rPr>
          <w:color w:val="231F20"/>
        </w:rPr>
        <w:t>shamelessly</w:t>
      </w:r>
      <w:r>
        <w:rPr>
          <w:color w:val="231F20"/>
          <w:spacing w:val="-21"/>
        </w:rPr>
        <w:t xml:space="preserve"> </w:t>
      </w:r>
      <w:r>
        <w:rPr>
          <w:color w:val="231F20"/>
        </w:rPr>
        <w:t>deserted</w:t>
      </w:r>
    </w:p>
    <w:p w14:paraId="62419C7B" w14:textId="77777777" w:rsidR="002653E8" w:rsidRDefault="00000000">
      <w:pPr>
        <w:pStyle w:val="a3"/>
        <w:spacing w:before="7"/>
        <w:rPr>
          <w:sz w:val="12"/>
        </w:rPr>
      </w:pPr>
      <w:r>
        <w:rPr>
          <w:noProof w:val="0"/>
        </w:rPr>
        <w:pict w14:anchorId="74BEAC7A">
          <v:line id="_x0000_s2630" style="position:absolute;z-index:2992;mso-wrap-distance-left:0;mso-wrap-distance-right:0;mso-position-horizontal-relative:page" from="57.4pt,9.6pt" to="129.4pt,9.6pt" strokecolor="#231f20" strokeweight=".5pt">
            <w10:wrap type="topAndBottom" anchorx="page"/>
          </v:line>
        </w:pict>
      </w:r>
    </w:p>
    <w:p w14:paraId="0A1D09CE" w14:textId="77777777" w:rsidR="002653E8" w:rsidRDefault="003115E3">
      <w:pPr>
        <w:pStyle w:val="a4"/>
        <w:numPr>
          <w:ilvl w:val="0"/>
          <w:numId w:val="169"/>
        </w:numPr>
        <w:tabs>
          <w:tab w:val="left" w:pos="1287"/>
        </w:tabs>
        <w:spacing w:before="53" w:line="254" w:lineRule="auto"/>
        <w:ind w:right="1404" w:firstLine="0"/>
        <w:jc w:val="both"/>
        <w:rPr>
          <w:sz w:val="16"/>
        </w:rPr>
      </w:pPr>
      <w:r>
        <w:rPr>
          <w:color w:val="231F20"/>
          <w:w w:val="105"/>
          <w:sz w:val="16"/>
        </w:rPr>
        <w:t xml:space="preserve">Earlier that summer, Daniel Cohn-Bendit had received an eight-month suspended sentence for getting through security at a protest against the German Book </w:t>
      </w:r>
      <w:r>
        <w:rPr>
          <w:color w:val="231F20"/>
          <w:spacing w:val="-3"/>
          <w:w w:val="105"/>
          <w:sz w:val="16"/>
        </w:rPr>
        <w:t xml:space="preserve">Trade’s </w:t>
      </w:r>
      <w:r>
        <w:rPr>
          <w:color w:val="231F20"/>
          <w:w w:val="105"/>
          <w:sz w:val="16"/>
        </w:rPr>
        <w:t>“Peace</w:t>
      </w:r>
      <w:r>
        <w:rPr>
          <w:color w:val="231F20"/>
          <w:spacing w:val="8"/>
          <w:w w:val="105"/>
          <w:sz w:val="16"/>
        </w:rPr>
        <w:t xml:space="preserve"> </w:t>
      </w:r>
      <w:r>
        <w:rPr>
          <w:color w:val="231F20"/>
          <w:w w:val="105"/>
          <w:sz w:val="16"/>
        </w:rPr>
        <w:t>Prize”</w:t>
      </w:r>
      <w:r>
        <w:rPr>
          <w:color w:val="231F20"/>
          <w:spacing w:val="8"/>
          <w:w w:val="105"/>
          <w:sz w:val="16"/>
        </w:rPr>
        <w:t xml:space="preserve"> </w:t>
      </w:r>
      <w:r>
        <w:rPr>
          <w:color w:val="231F20"/>
          <w:w w:val="105"/>
          <w:sz w:val="16"/>
        </w:rPr>
        <w:t>being</w:t>
      </w:r>
      <w:r>
        <w:rPr>
          <w:color w:val="231F20"/>
          <w:spacing w:val="8"/>
          <w:w w:val="105"/>
          <w:sz w:val="16"/>
        </w:rPr>
        <w:t xml:space="preserve"> </w:t>
      </w:r>
      <w:r>
        <w:rPr>
          <w:color w:val="231F20"/>
          <w:w w:val="105"/>
          <w:sz w:val="16"/>
        </w:rPr>
        <w:t>bestowed</w:t>
      </w:r>
      <w:r>
        <w:rPr>
          <w:color w:val="231F20"/>
          <w:spacing w:val="8"/>
          <w:w w:val="105"/>
          <w:sz w:val="16"/>
        </w:rPr>
        <w:t xml:space="preserve"> </w:t>
      </w:r>
      <w:r>
        <w:rPr>
          <w:color w:val="231F20"/>
          <w:w w:val="105"/>
          <w:sz w:val="16"/>
        </w:rPr>
        <w:t>upon</w:t>
      </w:r>
      <w:r>
        <w:rPr>
          <w:color w:val="231F20"/>
          <w:spacing w:val="8"/>
          <w:w w:val="105"/>
          <w:sz w:val="16"/>
        </w:rPr>
        <w:t xml:space="preserve"> </w:t>
      </w:r>
      <w:r>
        <w:rPr>
          <w:color w:val="231F20"/>
          <w:w w:val="105"/>
          <w:sz w:val="16"/>
        </w:rPr>
        <w:t>President</w:t>
      </w:r>
      <w:r>
        <w:rPr>
          <w:color w:val="231F20"/>
          <w:spacing w:val="10"/>
          <w:w w:val="105"/>
          <w:sz w:val="16"/>
        </w:rPr>
        <w:t xml:space="preserve"> </w:t>
      </w:r>
      <w:r>
        <w:rPr>
          <w:color w:val="231F20"/>
          <w:w w:val="105"/>
          <w:sz w:val="16"/>
        </w:rPr>
        <w:t>Léopold</w:t>
      </w:r>
      <w:r>
        <w:rPr>
          <w:color w:val="231F20"/>
          <w:spacing w:val="8"/>
          <w:w w:val="105"/>
          <w:sz w:val="16"/>
        </w:rPr>
        <w:t xml:space="preserve"> </w:t>
      </w:r>
      <w:r>
        <w:rPr>
          <w:color w:val="231F20"/>
          <w:spacing w:val="1"/>
          <w:w w:val="105"/>
          <w:sz w:val="16"/>
        </w:rPr>
        <w:t>Sédar</w:t>
      </w:r>
      <w:r>
        <w:rPr>
          <w:color w:val="231F20"/>
          <w:spacing w:val="8"/>
          <w:w w:val="105"/>
          <w:sz w:val="16"/>
        </w:rPr>
        <w:t xml:space="preserve"> </w:t>
      </w:r>
      <w:r>
        <w:rPr>
          <w:color w:val="231F20"/>
          <w:w w:val="105"/>
          <w:sz w:val="16"/>
        </w:rPr>
        <w:t>Senghor</w:t>
      </w:r>
      <w:r>
        <w:rPr>
          <w:color w:val="231F20"/>
          <w:spacing w:val="8"/>
          <w:w w:val="105"/>
          <w:sz w:val="16"/>
        </w:rPr>
        <w:t xml:space="preserve"> </w:t>
      </w:r>
      <w:r>
        <w:rPr>
          <w:color w:val="231F20"/>
          <w:w w:val="105"/>
          <w:sz w:val="16"/>
        </w:rPr>
        <w:t>of</w:t>
      </w:r>
      <w:r>
        <w:rPr>
          <w:color w:val="231F20"/>
          <w:spacing w:val="10"/>
          <w:w w:val="105"/>
          <w:sz w:val="16"/>
        </w:rPr>
        <w:t xml:space="preserve"> </w:t>
      </w:r>
      <w:r>
        <w:rPr>
          <w:color w:val="231F20"/>
          <w:w w:val="105"/>
          <w:sz w:val="16"/>
        </w:rPr>
        <w:t>Senegal.</w:t>
      </w:r>
    </w:p>
    <w:p w14:paraId="170DE5A0" w14:textId="77777777" w:rsidR="002653E8" w:rsidRDefault="003115E3">
      <w:pPr>
        <w:pStyle w:val="a4"/>
        <w:numPr>
          <w:ilvl w:val="0"/>
          <w:numId w:val="169"/>
        </w:numPr>
        <w:tabs>
          <w:tab w:val="left" w:pos="1287"/>
        </w:tabs>
        <w:spacing w:line="254" w:lineRule="auto"/>
        <w:ind w:right="1374" w:firstLine="0"/>
        <w:jc w:val="left"/>
        <w:rPr>
          <w:sz w:val="16"/>
        </w:rPr>
      </w:pPr>
      <w:r>
        <w:rPr>
          <w:color w:val="231F20"/>
          <w:spacing w:val="2"/>
          <w:w w:val="105"/>
          <w:sz w:val="16"/>
        </w:rPr>
        <w:t xml:space="preserve">An </w:t>
      </w:r>
      <w:r>
        <w:rPr>
          <w:color w:val="231F20"/>
          <w:w w:val="105"/>
          <w:sz w:val="16"/>
        </w:rPr>
        <w:t>oath of fealty to Hitler and the NSDAP that all people working in the public sector were obliged to swear. Millions of people swore this oath for no other reason than to retain their</w:t>
      </w:r>
      <w:r>
        <w:rPr>
          <w:color w:val="231F20"/>
          <w:spacing w:val="31"/>
          <w:w w:val="105"/>
          <w:sz w:val="16"/>
        </w:rPr>
        <w:t xml:space="preserve"> </w:t>
      </w:r>
      <w:r>
        <w:rPr>
          <w:color w:val="231F20"/>
          <w:w w:val="105"/>
          <w:sz w:val="16"/>
        </w:rPr>
        <w:t>employment.</w:t>
      </w:r>
    </w:p>
    <w:p w14:paraId="0B2EF109" w14:textId="77777777" w:rsidR="002653E8" w:rsidRDefault="002653E8">
      <w:pPr>
        <w:spacing w:line="254" w:lineRule="auto"/>
        <w:rPr>
          <w:sz w:val="16"/>
        </w:rPr>
        <w:sectPr w:rsidR="002653E8">
          <w:pgSz w:w="8640" w:h="12960"/>
          <w:pgMar w:top="1220" w:right="0" w:bottom="1040" w:left="0" w:header="0" w:footer="850" w:gutter="0"/>
          <w:cols w:space="720"/>
        </w:sectPr>
      </w:pPr>
    </w:p>
    <w:p w14:paraId="22E1ABCE" w14:textId="77777777" w:rsidR="002653E8" w:rsidRDefault="003115E3">
      <w:pPr>
        <w:pStyle w:val="a3"/>
        <w:spacing w:before="86" w:line="264" w:lineRule="auto"/>
        <w:ind w:left="1327" w:right="1146"/>
        <w:jc w:val="both"/>
      </w:pPr>
      <w:r>
        <w:rPr>
          <w:color w:val="231F20"/>
        </w:rPr>
        <w:lastRenderedPageBreak/>
        <w:t>it, we can’t be bothered defending ourselves. Furthermore, faced with    a justice system that already in the Weimar Republic always sentenced leftists more heavily (Ernst Niekisch,</w:t>
      </w:r>
      <w:r>
        <w:rPr>
          <w:color w:val="231F20"/>
          <w:position w:val="7"/>
          <w:sz w:val="11"/>
        </w:rPr>
        <w:t xml:space="preserve">3 </w:t>
      </w:r>
      <w:r>
        <w:rPr>
          <w:color w:val="231F20"/>
        </w:rPr>
        <w:t xml:space="preserve">Ernst </w:t>
      </w:r>
      <w:r>
        <w:rPr>
          <w:color w:val="231F20"/>
          <w:spacing w:val="-3"/>
        </w:rPr>
        <w:t>Toller</w:t>
      </w:r>
      <w:r>
        <w:rPr>
          <w:color w:val="231F20"/>
          <w:spacing w:val="-3"/>
          <w:position w:val="7"/>
          <w:sz w:val="11"/>
        </w:rPr>
        <w:t>4</w:t>
      </w:r>
      <w:r>
        <w:rPr>
          <w:color w:val="231F20"/>
          <w:spacing w:val="-3"/>
        </w:rPr>
        <w:t xml:space="preserve">) </w:t>
      </w:r>
      <w:r>
        <w:rPr>
          <w:color w:val="231F20"/>
        </w:rPr>
        <w:t>than right wingers (Adolf Hitler</w:t>
      </w:r>
      <w:r>
        <w:rPr>
          <w:color w:val="231F20"/>
          <w:position w:val="7"/>
          <w:sz w:val="11"/>
        </w:rPr>
        <w:t>5</w:t>
      </w:r>
      <w:r>
        <w:rPr>
          <w:color w:val="231F20"/>
        </w:rPr>
        <w:t>), that rewarded the murderers of Rosa Luxemburg and Karl Liebknecht</w:t>
      </w:r>
      <w:r>
        <w:rPr>
          <w:color w:val="231F20"/>
          <w:position w:val="7"/>
          <w:sz w:val="11"/>
        </w:rPr>
        <w:t xml:space="preserve">6  </w:t>
      </w:r>
      <w:r>
        <w:rPr>
          <w:color w:val="231F20"/>
        </w:rPr>
        <w:t>(and in so doing became complicit in their deaths),    we can’t be bothered defending ourselves. Comrades, we want to take    a moment to remember Rosa Luxemburg and Karl Liebknecht—stand up!—the</w:t>
      </w:r>
      <w:r>
        <w:rPr>
          <w:color w:val="231F20"/>
          <w:spacing w:val="10"/>
        </w:rPr>
        <w:t xml:space="preserve"> </w:t>
      </w:r>
      <w:r>
        <w:rPr>
          <w:color w:val="231F20"/>
        </w:rPr>
        <w:t>eye</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law</w:t>
      </w:r>
      <w:r>
        <w:rPr>
          <w:color w:val="231F20"/>
          <w:spacing w:val="10"/>
        </w:rPr>
        <w:t xml:space="preserve"> </w:t>
      </w:r>
      <w:r>
        <w:rPr>
          <w:color w:val="231F20"/>
        </w:rPr>
        <w:t>sits</w:t>
      </w:r>
      <w:r>
        <w:rPr>
          <w:color w:val="231F20"/>
          <w:spacing w:val="10"/>
        </w:rPr>
        <w:t xml:space="preserve"> </w:t>
      </w:r>
      <w:r>
        <w:rPr>
          <w:color w:val="231F20"/>
        </w:rPr>
        <w:t>in</w:t>
      </w:r>
      <w:r>
        <w:rPr>
          <w:color w:val="231F20"/>
          <w:spacing w:val="10"/>
        </w:rPr>
        <w:t xml:space="preserve"> </w:t>
      </w:r>
      <w:r>
        <w:rPr>
          <w:color w:val="231F20"/>
        </w:rPr>
        <w:t>this</w:t>
      </w:r>
      <w:r>
        <w:rPr>
          <w:color w:val="231F20"/>
          <w:spacing w:val="10"/>
        </w:rPr>
        <w:t xml:space="preserve"> </w:t>
      </w:r>
      <w:r>
        <w:rPr>
          <w:color w:val="231F20"/>
        </w:rPr>
        <w:t>court.</w:t>
      </w:r>
    </w:p>
    <w:p w14:paraId="4688C6E4" w14:textId="77777777" w:rsidR="002653E8" w:rsidRDefault="003115E3">
      <w:pPr>
        <w:pStyle w:val="a3"/>
        <w:spacing w:line="264" w:lineRule="auto"/>
        <w:ind w:left="1327" w:right="1146" w:firstLine="210"/>
        <w:jc w:val="both"/>
      </w:pPr>
      <w:r>
        <w:rPr>
          <w:color w:val="231F20"/>
        </w:rPr>
        <w:t>Faced with a justice system that never dismantled its authoritarian structure, but constantly renews it, we can’t be bothered defending ourselves. Faced with a justice system that says might makes right and might comes before right (might is always right), we can’t be bothered defending ourselves. All power to freedom! Faced with a justice system that defends property and possessions better than it does human beings, we can’t be bothered defending ourselves. Faced with a justice system that is an instrument of social order, we can’t be bothered defending ourselves.</w:t>
      </w:r>
    </w:p>
    <w:p w14:paraId="0842F67E" w14:textId="77777777" w:rsidR="002653E8" w:rsidRDefault="003115E3">
      <w:pPr>
        <w:pStyle w:val="a3"/>
        <w:spacing w:line="264" w:lineRule="auto"/>
        <w:ind w:left="1327" w:right="1146" w:firstLine="210"/>
        <w:jc w:val="both"/>
      </w:pPr>
      <w:r>
        <w:rPr>
          <w:color w:val="231F20"/>
        </w:rPr>
        <w:t xml:space="preserve">Faced with a justice system that makes laws against the people  rather than for them, we can’t be bothered defending  ourselves.  Human rights only for the right humans (the state that leans to the right). Right is what the state does, and </w:t>
      </w:r>
      <w:r>
        <w:rPr>
          <w:color w:val="231F20"/>
          <w:spacing w:val="-3"/>
        </w:rPr>
        <w:t xml:space="preserve">it’s  </w:t>
      </w:r>
      <w:r>
        <w:rPr>
          <w:color w:val="231F20"/>
        </w:rPr>
        <w:t xml:space="preserve">always right. The state is   the only criminal activity allowed. </w:t>
      </w:r>
      <w:r>
        <w:rPr>
          <w:color w:val="231F20"/>
          <w:spacing w:val="1"/>
        </w:rPr>
        <w:t xml:space="preserve">In </w:t>
      </w:r>
      <w:r>
        <w:rPr>
          <w:color w:val="231F20"/>
        </w:rPr>
        <w:t xml:space="preserve">a capitalist democracy such  as this, in an indirect democracy such as this, it is possible for anyone        to end up ruling over anyone, and that’s how it should </w:t>
      </w:r>
      <w:r>
        <w:rPr>
          <w:color w:val="231F20"/>
          <w:spacing w:val="-3"/>
        </w:rPr>
        <w:t xml:space="preserve">stay, </w:t>
      </w:r>
      <w:r>
        <w:rPr>
          <w:color w:val="231F20"/>
        </w:rPr>
        <w:t xml:space="preserve">and </w:t>
      </w:r>
      <w:r>
        <w:rPr>
          <w:color w:val="231F20"/>
          <w:spacing w:val="-3"/>
        </w:rPr>
        <w:t xml:space="preserve">don’t </w:t>
      </w:r>
      <w:r>
        <w:rPr>
          <w:color w:val="231F20"/>
        </w:rPr>
        <w:t xml:space="preserve">ask for how much longer. The ruling morality is bourgeois morality,   and bourgeois morality is immoral. Bourgeois morality is and will remain immoral. </w:t>
      </w:r>
      <w:r>
        <w:rPr>
          <w:color w:val="231F20"/>
          <w:spacing w:val="1"/>
        </w:rPr>
        <w:t xml:space="preserve">If </w:t>
      </w:r>
      <w:r>
        <w:rPr>
          <w:color w:val="231F20"/>
        </w:rPr>
        <w:t>it is reformed, it will only result in a new form</w:t>
      </w:r>
      <w:r>
        <w:rPr>
          <w:color w:val="231F20"/>
          <w:spacing w:val="20"/>
        </w:rPr>
        <w:t xml:space="preserve"> </w:t>
      </w:r>
      <w:r>
        <w:rPr>
          <w:color w:val="231F20"/>
        </w:rPr>
        <w:t>of</w:t>
      </w:r>
    </w:p>
    <w:p w14:paraId="0BF6F533" w14:textId="77777777" w:rsidR="002653E8" w:rsidRDefault="00000000">
      <w:pPr>
        <w:pStyle w:val="a3"/>
        <w:spacing w:before="11"/>
        <w:rPr>
          <w:sz w:val="22"/>
        </w:rPr>
      </w:pPr>
      <w:r>
        <w:rPr>
          <w:noProof w:val="0"/>
        </w:rPr>
        <w:pict w14:anchorId="51EBBBD5">
          <v:line id="_x0000_s2629" style="position:absolute;z-index:3016;mso-wrap-distance-left:0;mso-wrap-distance-right:0;mso-position-horizontal-relative:page" from="66.4pt,15.65pt" to="138.4pt,15.65pt" strokecolor="#231f20" strokeweight=".5pt">
            <w10:wrap type="topAndBottom" anchorx="page"/>
          </v:line>
        </w:pict>
      </w:r>
    </w:p>
    <w:p w14:paraId="1C296C90" w14:textId="77777777" w:rsidR="002653E8" w:rsidRDefault="003115E3">
      <w:pPr>
        <w:pStyle w:val="a4"/>
        <w:numPr>
          <w:ilvl w:val="0"/>
          <w:numId w:val="169"/>
        </w:numPr>
        <w:tabs>
          <w:tab w:val="left" w:pos="1467"/>
        </w:tabs>
        <w:spacing w:before="53" w:line="254" w:lineRule="auto"/>
        <w:ind w:left="1327" w:right="1284" w:firstLine="0"/>
        <w:jc w:val="left"/>
        <w:rPr>
          <w:sz w:val="16"/>
        </w:rPr>
      </w:pPr>
      <w:r>
        <w:rPr>
          <w:color w:val="231F20"/>
          <w:w w:val="105"/>
          <w:sz w:val="16"/>
        </w:rPr>
        <w:t xml:space="preserve">Ernst Niekisch, briefly involved in the Bavarian Soviet Republic of </w:t>
      </w:r>
      <w:r>
        <w:rPr>
          <w:color w:val="231F20"/>
          <w:spacing w:val="-5"/>
          <w:w w:val="105"/>
          <w:sz w:val="16"/>
        </w:rPr>
        <w:t xml:space="preserve">1919,  </w:t>
      </w:r>
      <w:r>
        <w:rPr>
          <w:color w:val="231F20"/>
          <w:w w:val="105"/>
          <w:sz w:val="16"/>
        </w:rPr>
        <w:t>went     on to become a leader of German chauvinist “National Bolshevism”—it is unclear why Proll singles him out as an example of the Weimar regime persecuting leftists, although under the Nazis he would be sentenced to life imprisonment for “literary high treason” in</w:t>
      </w:r>
      <w:r>
        <w:rPr>
          <w:color w:val="231F20"/>
          <w:spacing w:val="25"/>
          <w:w w:val="105"/>
          <w:sz w:val="16"/>
        </w:rPr>
        <w:t xml:space="preserve"> </w:t>
      </w:r>
      <w:r>
        <w:rPr>
          <w:color w:val="231F20"/>
          <w:spacing w:val="-6"/>
          <w:w w:val="105"/>
          <w:sz w:val="16"/>
        </w:rPr>
        <w:t>1937.</w:t>
      </w:r>
    </w:p>
    <w:p w14:paraId="7C368B47" w14:textId="77777777" w:rsidR="002653E8" w:rsidRDefault="003115E3">
      <w:pPr>
        <w:pStyle w:val="a4"/>
        <w:numPr>
          <w:ilvl w:val="0"/>
          <w:numId w:val="169"/>
        </w:numPr>
        <w:tabs>
          <w:tab w:val="left" w:pos="1467"/>
        </w:tabs>
        <w:spacing w:before="42" w:line="254" w:lineRule="auto"/>
        <w:ind w:left="1327" w:right="1169" w:firstLine="0"/>
        <w:jc w:val="left"/>
        <w:rPr>
          <w:sz w:val="16"/>
        </w:rPr>
      </w:pPr>
      <w:r>
        <w:rPr>
          <w:color w:val="231F20"/>
          <w:sz w:val="16"/>
        </w:rPr>
        <w:t xml:space="preserve">Ernst Toller was a Bavarian Jew and an anarchist who was imprisoned for his role        on the  short-lived  Bavarian  Soviet  Republic  of  </w:t>
      </w:r>
      <w:r>
        <w:rPr>
          <w:color w:val="231F20"/>
          <w:spacing w:val="-5"/>
          <w:sz w:val="16"/>
        </w:rPr>
        <w:t xml:space="preserve">1919.  </w:t>
      </w:r>
      <w:r>
        <w:rPr>
          <w:color w:val="231F20"/>
          <w:sz w:val="16"/>
        </w:rPr>
        <w:t>(He  subsequently  went  into exile,</w:t>
      </w:r>
      <w:r>
        <w:rPr>
          <w:color w:val="231F20"/>
          <w:spacing w:val="28"/>
          <w:sz w:val="16"/>
        </w:rPr>
        <w:t xml:space="preserve"> </w:t>
      </w:r>
      <w:r>
        <w:rPr>
          <w:color w:val="231F20"/>
          <w:sz w:val="16"/>
        </w:rPr>
        <w:t>eventually</w:t>
      </w:r>
      <w:r>
        <w:rPr>
          <w:color w:val="231F20"/>
          <w:spacing w:val="28"/>
          <w:sz w:val="16"/>
        </w:rPr>
        <w:t xml:space="preserve"> </w:t>
      </w:r>
      <w:r>
        <w:rPr>
          <w:color w:val="231F20"/>
          <w:sz w:val="16"/>
        </w:rPr>
        <w:t>committing</w:t>
      </w:r>
      <w:r>
        <w:rPr>
          <w:color w:val="231F20"/>
          <w:spacing w:val="28"/>
          <w:sz w:val="16"/>
        </w:rPr>
        <w:t xml:space="preserve"> </w:t>
      </w:r>
      <w:r>
        <w:rPr>
          <w:color w:val="231F20"/>
          <w:sz w:val="16"/>
        </w:rPr>
        <w:t>suicide</w:t>
      </w:r>
      <w:r>
        <w:rPr>
          <w:color w:val="231F20"/>
          <w:spacing w:val="28"/>
          <w:sz w:val="16"/>
        </w:rPr>
        <w:t xml:space="preserve"> </w:t>
      </w:r>
      <w:r>
        <w:rPr>
          <w:color w:val="231F20"/>
          <w:sz w:val="16"/>
        </w:rPr>
        <w:t>in</w:t>
      </w:r>
      <w:r>
        <w:rPr>
          <w:color w:val="231F20"/>
          <w:spacing w:val="28"/>
          <w:sz w:val="16"/>
        </w:rPr>
        <w:t xml:space="preserve"> </w:t>
      </w:r>
      <w:r>
        <w:rPr>
          <w:color w:val="231F20"/>
          <w:sz w:val="16"/>
        </w:rPr>
        <w:t>his</w:t>
      </w:r>
      <w:r>
        <w:rPr>
          <w:color w:val="231F20"/>
          <w:spacing w:val="28"/>
          <w:sz w:val="16"/>
        </w:rPr>
        <w:t xml:space="preserve"> </w:t>
      </w:r>
      <w:r>
        <w:rPr>
          <w:color w:val="231F20"/>
          <w:sz w:val="16"/>
        </w:rPr>
        <w:t>hotel</w:t>
      </w:r>
      <w:r>
        <w:rPr>
          <w:color w:val="231F20"/>
          <w:spacing w:val="28"/>
          <w:sz w:val="16"/>
        </w:rPr>
        <w:t xml:space="preserve"> </w:t>
      </w:r>
      <w:r>
        <w:rPr>
          <w:color w:val="231F20"/>
          <w:sz w:val="16"/>
        </w:rPr>
        <w:t>room</w:t>
      </w:r>
      <w:r>
        <w:rPr>
          <w:color w:val="231F20"/>
          <w:spacing w:val="28"/>
          <w:sz w:val="16"/>
        </w:rPr>
        <w:t xml:space="preserve"> </w:t>
      </w:r>
      <w:r>
        <w:rPr>
          <w:color w:val="231F20"/>
          <w:sz w:val="16"/>
        </w:rPr>
        <w:t>in</w:t>
      </w:r>
      <w:r>
        <w:rPr>
          <w:color w:val="231F20"/>
          <w:spacing w:val="28"/>
          <w:sz w:val="16"/>
        </w:rPr>
        <w:t xml:space="preserve"> </w:t>
      </w:r>
      <w:r>
        <w:rPr>
          <w:color w:val="231F20"/>
          <w:sz w:val="16"/>
        </w:rPr>
        <w:t>New</w:t>
      </w:r>
      <w:r>
        <w:rPr>
          <w:color w:val="231F20"/>
          <w:spacing w:val="28"/>
          <w:sz w:val="16"/>
        </w:rPr>
        <w:t xml:space="preserve"> </w:t>
      </w:r>
      <w:r>
        <w:rPr>
          <w:color w:val="231F20"/>
          <w:spacing w:val="-3"/>
          <w:sz w:val="16"/>
        </w:rPr>
        <w:t xml:space="preserve">york </w:t>
      </w:r>
      <w:r>
        <w:rPr>
          <w:color w:val="231F20"/>
          <w:sz w:val="16"/>
        </w:rPr>
        <w:t>City</w:t>
      </w:r>
      <w:r>
        <w:rPr>
          <w:color w:val="231F20"/>
          <w:spacing w:val="28"/>
          <w:sz w:val="16"/>
        </w:rPr>
        <w:t xml:space="preserve"> </w:t>
      </w:r>
      <w:r>
        <w:rPr>
          <w:color w:val="231F20"/>
          <w:sz w:val="16"/>
        </w:rPr>
        <w:t>in</w:t>
      </w:r>
      <w:r>
        <w:rPr>
          <w:color w:val="231F20"/>
          <w:spacing w:val="28"/>
          <w:sz w:val="16"/>
        </w:rPr>
        <w:t xml:space="preserve"> </w:t>
      </w:r>
      <w:r>
        <w:rPr>
          <w:color w:val="231F20"/>
          <w:spacing w:val="-4"/>
          <w:sz w:val="16"/>
        </w:rPr>
        <w:t>1939.)</w:t>
      </w:r>
    </w:p>
    <w:p w14:paraId="538A211F" w14:textId="77777777" w:rsidR="002653E8" w:rsidRDefault="003115E3">
      <w:pPr>
        <w:pStyle w:val="a4"/>
        <w:numPr>
          <w:ilvl w:val="0"/>
          <w:numId w:val="169"/>
        </w:numPr>
        <w:tabs>
          <w:tab w:val="left" w:pos="1467"/>
        </w:tabs>
        <w:spacing w:line="254" w:lineRule="auto"/>
        <w:ind w:left="1328" w:right="1430" w:firstLine="0"/>
        <w:jc w:val="left"/>
        <w:rPr>
          <w:sz w:val="16"/>
        </w:rPr>
      </w:pPr>
      <w:r>
        <w:rPr>
          <w:color w:val="231F20"/>
          <w:w w:val="105"/>
          <w:sz w:val="16"/>
        </w:rPr>
        <w:t xml:space="preserve">On April 1, 1924, Hitler was sentenced to five years for his November 8, </w:t>
      </w:r>
      <w:r>
        <w:rPr>
          <w:color w:val="231F20"/>
          <w:spacing w:val="-3"/>
          <w:w w:val="105"/>
          <w:sz w:val="16"/>
        </w:rPr>
        <w:t xml:space="preserve">1923, </w:t>
      </w:r>
      <w:r>
        <w:rPr>
          <w:color w:val="231F20"/>
          <w:w w:val="105"/>
          <w:sz w:val="16"/>
        </w:rPr>
        <w:t>attempted fascist coup, known as the Beer Hall Putsch. He was pardoned and released</w:t>
      </w:r>
      <w:r>
        <w:rPr>
          <w:color w:val="231F20"/>
          <w:spacing w:val="5"/>
          <w:w w:val="105"/>
          <w:sz w:val="16"/>
        </w:rPr>
        <w:t xml:space="preserve"> </w:t>
      </w:r>
      <w:r>
        <w:rPr>
          <w:color w:val="231F20"/>
          <w:w w:val="105"/>
          <w:sz w:val="16"/>
        </w:rPr>
        <w:t>in</w:t>
      </w:r>
      <w:r>
        <w:rPr>
          <w:color w:val="231F20"/>
          <w:spacing w:val="5"/>
          <w:w w:val="105"/>
          <w:sz w:val="16"/>
        </w:rPr>
        <w:t xml:space="preserve"> </w:t>
      </w:r>
      <w:r>
        <w:rPr>
          <w:color w:val="231F20"/>
          <w:w w:val="105"/>
          <w:sz w:val="16"/>
        </w:rPr>
        <w:t>December</w:t>
      </w:r>
      <w:r>
        <w:rPr>
          <w:color w:val="231F20"/>
          <w:spacing w:val="5"/>
          <w:w w:val="105"/>
          <w:sz w:val="16"/>
        </w:rPr>
        <w:t xml:space="preserve"> </w:t>
      </w:r>
      <w:r>
        <w:rPr>
          <w:color w:val="231F20"/>
          <w:w w:val="105"/>
          <w:sz w:val="16"/>
        </w:rPr>
        <w:t>of</w:t>
      </w:r>
      <w:r>
        <w:rPr>
          <w:color w:val="231F20"/>
          <w:spacing w:val="5"/>
          <w:w w:val="105"/>
          <w:sz w:val="16"/>
        </w:rPr>
        <w:t xml:space="preserve"> </w:t>
      </w:r>
      <w:r>
        <w:rPr>
          <w:color w:val="231F20"/>
          <w:w w:val="105"/>
          <w:sz w:val="16"/>
        </w:rPr>
        <w:t>1924,</w:t>
      </w:r>
      <w:r>
        <w:rPr>
          <w:color w:val="231F20"/>
          <w:spacing w:val="5"/>
          <w:w w:val="105"/>
          <w:sz w:val="16"/>
        </w:rPr>
        <w:t xml:space="preserve"> </w:t>
      </w:r>
      <w:r>
        <w:rPr>
          <w:color w:val="231F20"/>
          <w:w w:val="105"/>
          <w:sz w:val="16"/>
        </w:rPr>
        <w:t>having</w:t>
      </w:r>
      <w:r>
        <w:rPr>
          <w:color w:val="231F20"/>
          <w:spacing w:val="5"/>
          <w:w w:val="105"/>
          <w:sz w:val="16"/>
        </w:rPr>
        <w:t xml:space="preserve"> </w:t>
      </w:r>
      <w:r>
        <w:rPr>
          <w:color w:val="231F20"/>
          <w:w w:val="105"/>
          <w:sz w:val="16"/>
        </w:rPr>
        <w:t>served</w:t>
      </w:r>
      <w:r>
        <w:rPr>
          <w:color w:val="231F20"/>
          <w:spacing w:val="5"/>
          <w:w w:val="105"/>
          <w:sz w:val="16"/>
        </w:rPr>
        <w:t xml:space="preserve"> </w:t>
      </w:r>
      <w:r>
        <w:rPr>
          <w:color w:val="231F20"/>
          <w:w w:val="105"/>
          <w:sz w:val="16"/>
        </w:rPr>
        <w:t>less</w:t>
      </w:r>
      <w:r>
        <w:rPr>
          <w:color w:val="231F20"/>
          <w:spacing w:val="5"/>
          <w:w w:val="105"/>
          <w:sz w:val="16"/>
        </w:rPr>
        <w:t xml:space="preserve"> </w:t>
      </w:r>
      <w:r>
        <w:rPr>
          <w:color w:val="231F20"/>
          <w:w w:val="105"/>
          <w:sz w:val="16"/>
        </w:rPr>
        <w:t>than</w:t>
      </w:r>
      <w:r>
        <w:rPr>
          <w:color w:val="231F20"/>
          <w:spacing w:val="5"/>
          <w:w w:val="105"/>
          <w:sz w:val="16"/>
        </w:rPr>
        <w:t xml:space="preserve"> </w:t>
      </w:r>
      <w:r>
        <w:rPr>
          <w:color w:val="231F20"/>
          <w:w w:val="105"/>
          <w:sz w:val="16"/>
        </w:rPr>
        <w:t>a</w:t>
      </w:r>
      <w:r>
        <w:rPr>
          <w:color w:val="231F20"/>
          <w:spacing w:val="5"/>
          <w:w w:val="105"/>
          <w:sz w:val="16"/>
        </w:rPr>
        <w:t xml:space="preserve"> </w:t>
      </w:r>
      <w:r>
        <w:rPr>
          <w:color w:val="231F20"/>
          <w:w w:val="105"/>
          <w:sz w:val="16"/>
        </w:rPr>
        <w:t>year</w:t>
      </w:r>
      <w:r>
        <w:rPr>
          <w:color w:val="231F20"/>
          <w:spacing w:val="5"/>
          <w:w w:val="105"/>
          <w:sz w:val="16"/>
        </w:rPr>
        <w:t xml:space="preserve"> </w:t>
      </w:r>
      <w:r>
        <w:rPr>
          <w:color w:val="231F20"/>
          <w:w w:val="105"/>
          <w:sz w:val="16"/>
        </w:rPr>
        <w:t>of</w:t>
      </w:r>
      <w:r>
        <w:rPr>
          <w:color w:val="231F20"/>
          <w:spacing w:val="5"/>
          <w:w w:val="105"/>
          <w:sz w:val="16"/>
        </w:rPr>
        <w:t xml:space="preserve"> </w:t>
      </w:r>
      <w:r>
        <w:rPr>
          <w:color w:val="231F20"/>
          <w:w w:val="105"/>
          <w:sz w:val="16"/>
        </w:rPr>
        <w:t>his</w:t>
      </w:r>
      <w:r>
        <w:rPr>
          <w:color w:val="231F20"/>
          <w:spacing w:val="5"/>
          <w:w w:val="105"/>
          <w:sz w:val="16"/>
        </w:rPr>
        <w:t xml:space="preserve"> </w:t>
      </w:r>
      <w:r>
        <w:rPr>
          <w:color w:val="231F20"/>
          <w:w w:val="105"/>
          <w:sz w:val="16"/>
        </w:rPr>
        <w:t>sentence.</w:t>
      </w:r>
    </w:p>
    <w:p w14:paraId="752585B0" w14:textId="77777777" w:rsidR="002653E8" w:rsidRDefault="003115E3">
      <w:pPr>
        <w:pStyle w:val="a4"/>
        <w:numPr>
          <w:ilvl w:val="0"/>
          <w:numId w:val="169"/>
        </w:numPr>
        <w:tabs>
          <w:tab w:val="left" w:pos="1467"/>
        </w:tabs>
        <w:spacing w:line="254" w:lineRule="auto"/>
        <w:ind w:left="1328" w:right="1423" w:firstLine="0"/>
        <w:jc w:val="left"/>
        <w:rPr>
          <w:i/>
          <w:sz w:val="16"/>
        </w:rPr>
      </w:pPr>
      <w:r>
        <w:rPr>
          <w:color w:val="231F20"/>
          <w:w w:val="105"/>
          <w:sz w:val="16"/>
        </w:rPr>
        <w:t xml:space="preserve">Luxemburg and Liebknecht were leading figures in the failed </w:t>
      </w:r>
      <w:r>
        <w:rPr>
          <w:color w:val="231F20"/>
          <w:spacing w:val="-5"/>
          <w:w w:val="105"/>
          <w:sz w:val="16"/>
        </w:rPr>
        <w:t xml:space="preserve">1918 </w:t>
      </w:r>
      <w:r>
        <w:rPr>
          <w:color w:val="231F20"/>
          <w:w w:val="105"/>
          <w:sz w:val="16"/>
        </w:rPr>
        <w:t>German communist uprising. They were both captured, tortured, and murdered by rightwing militias, the</w:t>
      </w:r>
      <w:r>
        <w:rPr>
          <w:color w:val="231F20"/>
          <w:spacing w:val="27"/>
          <w:w w:val="105"/>
          <w:sz w:val="16"/>
        </w:rPr>
        <w:t xml:space="preserve"> </w:t>
      </w:r>
      <w:r>
        <w:rPr>
          <w:i/>
          <w:color w:val="231F20"/>
          <w:w w:val="105"/>
          <w:sz w:val="16"/>
        </w:rPr>
        <w:t>Freikorps.</w:t>
      </w:r>
    </w:p>
    <w:p w14:paraId="3B86B290" w14:textId="77777777" w:rsidR="002653E8" w:rsidRDefault="002653E8">
      <w:pPr>
        <w:spacing w:line="254" w:lineRule="auto"/>
        <w:rPr>
          <w:sz w:val="16"/>
        </w:rPr>
        <w:sectPr w:rsidR="002653E8">
          <w:footerReference w:type="even" r:id="rId71"/>
          <w:footerReference w:type="default" r:id="rId72"/>
          <w:pgSz w:w="8640" w:h="12960"/>
          <w:pgMar w:top="1060" w:right="0" w:bottom="1040" w:left="0" w:header="0" w:footer="850" w:gutter="0"/>
          <w:pgNumType w:start="67"/>
          <w:cols w:space="720"/>
        </w:sectPr>
      </w:pPr>
    </w:p>
    <w:p w14:paraId="397D2171" w14:textId="77777777" w:rsidR="002653E8" w:rsidRDefault="003115E3">
      <w:pPr>
        <w:pStyle w:val="a3"/>
        <w:spacing w:before="86" w:line="264" w:lineRule="auto"/>
        <w:ind w:left="1148" w:right="1325" w:hanging="1"/>
        <w:jc w:val="both"/>
      </w:pPr>
      <w:r>
        <w:rPr>
          <w:color w:val="231F20"/>
        </w:rPr>
        <w:lastRenderedPageBreak/>
        <w:t xml:space="preserve">immorality (and nothing </w:t>
      </w:r>
      <w:r>
        <w:rPr>
          <w:color w:val="231F20"/>
          <w:spacing w:val="-3"/>
        </w:rPr>
        <w:t xml:space="preserve">more). </w:t>
      </w:r>
      <w:r>
        <w:rPr>
          <w:color w:val="231F20"/>
        </w:rPr>
        <w:t xml:space="preserve">Faced with a justice system that undermines the ethical underpinnings of the people (whatever they may </w:t>
      </w:r>
      <w:r>
        <w:rPr>
          <w:color w:val="231F20"/>
          <w:spacing w:val="-3"/>
        </w:rPr>
        <w:t xml:space="preserve">be), </w:t>
      </w:r>
      <w:r>
        <w:rPr>
          <w:color w:val="231F20"/>
        </w:rPr>
        <w:t>we can’t be bothered defending ourselves. This state prosecutor is nothing more than a piece of the criminal justice system. He requested  6 years of prison</w:t>
      </w:r>
      <w:r>
        <w:rPr>
          <w:color w:val="231F20"/>
          <w:spacing w:val="42"/>
        </w:rPr>
        <w:t xml:space="preserve"> </w:t>
      </w:r>
      <w:r>
        <w:rPr>
          <w:color w:val="231F20"/>
        </w:rPr>
        <w:t>time.</w:t>
      </w:r>
    </w:p>
    <w:p w14:paraId="1078D1CE" w14:textId="77777777" w:rsidR="002653E8" w:rsidRDefault="003115E3">
      <w:pPr>
        <w:pStyle w:val="a3"/>
        <w:spacing w:line="264" w:lineRule="auto"/>
        <w:ind w:left="1148" w:right="1325" w:firstLine="210"/>
        <w:jc w:val="both"/>
      </w:pPr>
      <w:r>
        <w:rPr>
          <w:color w:val="231F20"/>
        </w:rPr>
        <w:t>Furthermore, faced with a justice system that says it represents the people, but means that it represents the ruling class, we can’t be bothered defending ourselves. Faced with a justice system that works to assure the ongoing reproduction of existing relationships, we can’t be bothered defending ourselves. Faced with a justice system for which the (so-called) criminal class is and will remain the criminal class, we can’t be bothered defending ourselves. What does return to society mean? Back to which society? Back to the capitalist society where you will  have the opportunity to re-offend? Back to the bourgeois, capitalist society that is itself a prison, which amounts to going from one hole to another.</w:t>
      </w:r>
    </w:p>
    <w:p w14:paraId="061598F1" w14:textId="77777777" w:rsidR="002653E8" w:rsidRDefault="003115E3">
      <w:pPr>
        <w:pStyle w:val="a3"/>
        <w:spacing w:line="264" w:lineRule="auto"/>
        <w:ind w:left="1148" w:right="1325" w:firstLine="210"/>
        <w:jc w:val="both"/>
      </w:pPr>
      <w:r>
        <w:rPr>
          <w:color w:val="231F20"/>
        </w:rPr>
        <w:t>Every reform to criminal law only reforms the existing criminal injustice; criminal law is criminal injustice; the sentence is the injustice.     I wouldn’t again offend against society, if they didn’t give me another reason to do so. How am I supposed to return changed to an unchanged society,</w:t>
      </w:r>
      <w:r>
        <w:rPr>
          <w:color w:val="231F20"/>
          <w:spacing w:val="-7"/>
        </w:rPr>
        <w:t xml:space="preserve"> </w:t>
      </w:r>
      <w:r>
        <w:rPr>
          <w:color w:val="231F20"/>
        </w:rPr>
        <w:t>and</w:t>
      </w:r>
      <w:r>
        <w:rPr>
          <w:color w:val="231F20"/>
          <w:spacing w:val="-7"/>
        </w:rPr>
        <w:t xml:space="preserve"> </w:t>
      </w:r>
      <w:r>
        <w:rPr>
          <w:color w:val="231F20"/>
        </w:rPr>
        <w:t>so</w:t>
      </w:r>
      <w:r>
        <w:rPr>
          <w:color w:val="231F20"/>
          <w:spacing w:val="-7"/>
        </w:rPr>
        <w:t xml:space="preserve"> </w:t>
      </w:r>
      <w:r>
        <w:rPr>
          <w:color w:val="231F20"/>
        </w:rPr>
        <w:t>on,</w:t>
      </w:r>
      <w:r>
        <w:rPr>
          <w:color w:val="231F20"/>
          <w:spacing w:val="-7"/>
        </w:rPr>
        <w:t xml:space="preserve"> </w:t>
      </w:r>
      <w:r>
        <w:rPr>
          <w:color w:val="231F20"/>
        </w:rPr>
        <w:t>and</w:t>
      </w:r>
      <w:r>
        <w:rPr>
          <w:color w:val="231F20"/>
          <w:spacing w:val="-7"/>
        </w:rPr>
        <w:t xml:space="preserve"> </w:t>
      </w:r>
      <w:r>
        <w:rPr>
          <w:color w:val="231F20"/>
        </w:rPr>
        <w:t>so</w:t>
      </w:r>
      <w:r>
        <w:rPr>
          <w:color w:val="231F20"/>
          <w:spacing w:val="-7"/>
        </w:rPr>
        <w:t xml:space="preserve"> </w:t>
      </w:r>
      <w:r>
        <w:rPr>
          <w:color w:val="231F20"/>
        </w:rPr>
        <w:t>forth.</w:t>
      </w:r>
      <w:r>
        <w:rPr>
          <w:color w:val="231F20"/>
          <w:spacing w:val="-7"/>
        </w:rPr>
        <w:t xml:space="preserve"> </w:t>
      </w:r>
      <w:r>
        <w:rPr>
          <w:color w:val="231F20"/>
        </w:rPr>
        <w:t>It</w:t>
      </w:r>
      <w:r>
        <w:rPr>
          <w:color w:val="231F20"/>
          <w:spacing w:val="-7"/>
        </w:rPr>
        <w:t xml:space="preserve"> </w:t>
      </w:r>
      <w:r>
        <w:rPr>
          <w:color w:val="231F20"/>
        </w:rPr>
        <w:t>is</w:t>
      </w:r>
      <w:r>
        <w:rPr>
          <w:color w:val="231F20"/>
          <w:spacing w:val="-7"/>
        </w:rPr>
        <w:t xml:space="preserve"> </w:t>
      </w:r>
      <w:r>
        <w:rPr>
          <w:color w:val="231F20"/>
        </w:rPr>
        <w:t>not</w:t>
      </w:r>
      <w:r>
        <w:rPr>
          <w:color w:val="231F20"/>
          <w:spacing w:val="-7"/>
        </w:rPr>
        <w:t xml:space="preserve"> </w:t>
      </w:r>
      <w:r>
        <w:rPr>
          <w:color w:val="231F20"/>
        </w:rPr>
        <w:t>the</w:t>
      </w:r>
      <w:r>
        <w:rPr>
          <w:color w:val="231F20"/>
          <w:spacing w:val="-7"/>
        </w:rPr>
        <w:t xml:space="preserve"> </w:t>
      </w:r>
      <w:r>
        <w:rPr>
          <w:color w:val="231F20"/>
        </w:rPr>
        <w:t>laws</w:t>
      </w:r>
      <w:r>
        <w:rPr>
          <w:color w:val="231F20"/>
          <w:spacing w:val="-7"/>
        </w:rPr>
        <w:t xml:space="preserve"> </w:t>
      </w:r>
      <w:r>
        <w:rPr>
          <w:color w:val="231F20"/>
        </w:rPr>
        <w:t>that</w:t>
      </w:r>
      <w:r>
        <w:rPr>
          <w:color w:val="231F20"/>
          <w:spacing w:val="-7"/>
        </w:rPr>
        <w:t xml:space="preserve"> </w:t>
      </w:r>
      <w:r>
        <w:rPr>
          <w:color w:val="231F20"/>
        </w:rPr>
        <w:t>need</w:t>
      </w:r>
      <w:r>
        <w:rPr>
          <w:color w:val="231F20"/>
          <w:spacing w:val="-7"/>
        </w:rPr>
        <w:t xml:space="preserve"> </w:t>
      </w:r>
      <w:r>
        <w:rPr>
          <w:color w:val="231F20"/>
        </w:rPr>
        <w:t>to</w:t>
      </w:r>
      <w:r>
        <w:rPr>
          <w:color w:val="231F20"/>
          <w:spacing w:val="-7"/>
        </w:rPr>
        <w:t xml:space="preserve"> </w:t>
      </w:r>
      <w:r>
        <w:rPr>
          <w:color w:val="231F20"/>
        </w:rPr>
        <w:t>be</w:t>
      </w:r>
      <w:r>
        <w:rPr>
          <w:color w:val="231F20"/>
          <w:spacing w:val="-7"/>
        </w:rPr>
        <w:t xml:space="preserve"> </w:t>
      </w:r>
      <w:r>
        <w:rPr>
          <w:color w:val="231F20"/>
        </w:rPr>
        <w:t xml:space="preserve">changed; </w:t>
      </w:r>
      <w:r>
        <w:rPr>
          <w:color w:val="231F20"/>
          <w:spacing w:val="-3"/>
        </w:rPr>
        <w:t xml:space="preserve">it’s </w:t>
      </w:r>
      <w:r>
        <w:rPr>
          <w:color w:val="231F20"/>
        </w:rPr>
        <w:t xml:space="preserve">the society that must be changed. </w:t>
      </w:r>
      <w:r>
        <w:rPr>
          <w:color w:val="231F20"/>
          <w:spacing w:val="-5"/>
        </w:rPr>
        <w:t xml:space="preserve">We </w:t>
      </w:r>
      <w:r>
        <w:rPr>
          <w:color w:val="231F20"/>
        </w:rPr>
        <w:t xml:space="preserve">want a socialist society. Faced with a justice system that plays homage to an abstract concept of law (Roman law is Bohemian </w:t>
      </w:r>
      <w:r>
        <w:rPr>
          <w:color w:val="231F20"/>
          <w:spacing w:val="-3"/>
        </w:rPr>
        <w:t xml:space="preserve">law) </w:t>
      </w:r>
      <w:r>
        <w:rPr>
          <w:color w:val="231F20"/>
        </w:rPr>
        <w:t>and does not see individuals as the result of their society, we can’t be bothered defending ourselves. Faced with a justice system that treats defendants as second-class citizens, we can’t be bothered defending</w:t>
      </w:r>
      <w:r>
        <w:rPr>
          <w:color w:val="231F20"/>
          <w:spacing w:val="30"/>
        </w:rPr>
        <w:t xml:space="preserve"> </w:t>
      </w:r>
      <w:r>
        <w:rPr>
          <w:color w:val="231F20"/>
        </w:rPr>
        <w:t>ourselves.</w:t>
      </w:r>
    </w:p>
    <w:p w14:paraId="05990582" w14:textId="77777777" w:rsidR="002653E8" w:rsidRDefault="003115E3">
      <w:pPr>
        <w:pStyle w:val="a3"/>
        <w:spacing w:line="264" w:lineRule="auto"/>
        <w:ind w:left="1147" w:right="1325" w:firstLine="210"/>
        <w:jc w:val="both"/>
      </w:pPr>
      <w:r>
        <w:rPr>
          <w:color w:val="231F20"/>
        </w:rPr>
        <w:t xml:space="preserve">Furthermore, faced with a justice system that is a system of the ruling class, we can’t be bothered defending ourselves. (And furthermore) faced with a justice system that doesn’t reduce delinquency, but creates ever more of it (guilty verdicts and acquittals), we can’t be bothered defending ourselves (the outcome can only serve their interests). </w:t>
      </w:r>
      <w:r>
        <w:rPr>
          <w:color w:val="231F20"/>
          <w:spacing w:val="1"/>
        </w:rPr>
        <w:t xml:space="preserve">In </w:t>
      </w:r>
      <w:r>
        <w:rPr>
          <w:color w:val="231F20"/>
        </w:rPr>
        <w:t xml:space="preserve">an authoritarian democracy like this one, it can never amount to more than an assessment of guilt or innocence. The judge sentences the individual, not the society and not himself. What’s the magic word? The  magic word is power, and it means the death of freedom! What do we have here that does not come from Nietzsche, that sociopath? For example, the will to power. </w:t>
      </w:r>
      <w:r>
        <w:rPr>
          <w:color w:val="231F20"/>
          <w:spacing w:val="-7"/>
        </w:rPr>
        <w:t xml:space="preserve">you </w:t>
      </w:r>
      <w:r>
        <w:rPr>
          <w:color w:val="231F20"/>
        </w:rPr>
        <w:t>should think about power, but do not think that power thinks about disempowering itself at some point; ergo: destroy power</w:t>
      </w:r>
      <w:r>
        <w:rPr>
          <w:color w:val="231F20"/>
          <w:spacing w:val="5"/>
        </w:rPr>
        <w:t xml:space="preserve"> </w:t>
      </w:r>
      <w:r>
        <w:rPr>
          <w:color w:val="231F20"/>
        </w:rPr>
        <w:t>(the</w:t>
      </w:r>
      <w:r>
        <w:rPr>
          <w:color w:val="231F20"/>
          <w:spacing w:val="5"/>
        </w:rPr>
        <w:t xml:space="preserve"> </w:t>
      </w:r>
      <w:r>
        <w:rPr>
          <w:color w:val="231F20"/>
        </w:rPr>
        <w:t>question</w:t>
      </w:r>
      <w:r>
        <w:rPr>
          <w:color w:val="231F20"/>
          <w:spacing w:val="5"/>
        </w:rPr>
        <w:t xml:space="preserve"> </w:t>
      </w:r>
      <w:r>
        <w:rPr>
          <w:color w:val="231F20"/>
        </w:rPr>
        <w:t>of</w:t>
      </w:r>
      <w:r>
        <w:rPr>
          <w:color w:val="231F20"/>
          <w:spacing w:val="5"/>
        </w:rPr>
        <w:t xml:space="preserve"> </w:t>
      </w:r>
      <w:r>
        <w:rPr>
          <w:color w:val="231F20"/>
        </w:rPr>
        <w:t>power,</w:t>
      </w:r>
      <w:r>
        <w:rPr>
          <w:color w:val="231F20"/>
          <w:spacing w:val="5"/>
        </w:rPr>
        <w:t xml:space="preserve"> </w:t>
      </w:r>
      <w:r>
        <w:rPr>
          <w:color w:val="231F20"/>
        </w:rPr>
        <w:t>the</w:t>
      </w:r>
      <w:r>
        <w:rPr>
          <w:color w:val="231F20"/>
          <w:spacing w:val="5"/>
        </w:rPr>
        <w:t xml:space="preserve"> </w:t>
      </w:r>
      <w:r>
        <w:rPr>
          <w:color w:val="231F20"/>
        </w:rPr>
        <w:t>power</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question).</w:t>
      </w:r>
      <w:r>
        <w:rPr>
          <w:color w:val="231F20"/>
          <w:spacing w:val="5"/>
        </w:rPr>
        <w:t xml:space="preserve"> </w:t>
      </w:r>
      <w:r>
        <w:rPr>
          <w:color w:val="231F20"/>
        </w:rPr>
        <w:t>Faced</w:t>
      </w:r>
      <w:r>
        <w:rPr>
          <w:color w:val="231F20"/>
          <w:spacing w:val="5"/>
        </w:rPr>
        <w:t xml:space="preserve"> </w:t>
      </w:r>
      <w:r>
        <w:rPr>
          <w:color w:val="231F20"/>
        </w:rPr>
        <w:t>with</w:t>
      </w:r>
      <w:r>
        <w:rPr>
          <w:color w:val="231F20"/>
          <w:spacing w:val="5"/>
        </w:rPr>
        <w:t xml:space="preserve"> </w:t>
      </w:r>
      <w:r>
        <w:rPr>
          <w:color w:val="231F20"/>
        </w:rPr>
        <w:t>a</w:t>
      </w:r>
    </w:p>
    <w:p w14:paraId="5A75094B" w14:textId="77777777" w:rsidR="002653E8" w:rsidRDefault="002653E8">
      <w:pPr>
        <w:spacing w:line="264" w:lineRule="auto"/>
        <w:jc w:val="both"/>
        <w:sectPr w:rsidR="002653E8">
          <w:pgSz w:w="8640" w:h="12960"/>
          <w:pgMar w:top="1060" w:right="0" w:bottom="1040" w:left="0" w:header="0" w:footer="850" w:gutter="0"/>
          <w:cols w:space="720"/>
        </w:sectPr>
      </w:pPr>
    </w:p>
    <w:p w14:paraId="56F25D82" w14:textId="77777777" w:rsidR="002653E8" w:rsidRDefault="003115E3">
      <w:pPr>
        <w:pStyle w:val="a3"/>
        <w:spacing w:before="86" w:line="264" w:lineRule="auto"/>
        <w:ind w:left="1327" w:right="1145"/>
        <w:jc w:val="both"/>
      </w:pPr>
      <w:r>
        <w:rPr>
          <w:color w:val="231F20"/>
        </w:rPr>
        <w:lastRenderedPageBreak/>
        <w:t>justice system that wants power and not freedom, we can’t be bothered defending</w:t>
      </w:r>
      <w:r>
        <w:rPr>
          <w:color w:val="231F20"/>
          <w:spacing w:val="-5"/>
        </w:rPr>
        <w:t xml:space="preserve"> </w:t>
      </w:r>
      <w:r>
        <w:rPr>
          <w:color w:val="231F20"/>
        </w:rPr>
        <w:t>ourselves</w:t>
      </w:r>
      <w:r>
        <w:rPr>
          <w:color w:val="231F20"/>
          <w:spacing w:val="-5"/>
        </w:rPr>
        <w:t xml:space="preserve"> </w:t>
      </w:r>
      <w:r>
        <w:rPr>
          <w:color w:val="231F20"/>
        </w:rPr>
        <w:t>(what</w:t>
      </w:r>
      <w:r>
        <w:rPr>
          <w:color w:val="231F20"/>
          <w:spacing w:val="-5"/>
        </w:rPr>
        <w:t xml:space="preserve"> </w:t>
      </w:r>
      <w:r>
        <w:rPr>
          <w:color w:val="231F20"/>
        </w:rPr>
        <w:t>freedom</w:t>
      </w:r>
      <w:r>
        <w:rPr>
          <w:color w:val="231F20"/>
          <w:spacing w:val="-5"/>
        </w:rPr>
        <w:t xml:space="preserve"> </w:t>
      </w:r>
      <w:r>
        <w:rPr>
          <w:color w:val="231F20"/>
        </w:rPr>
        <w:t>do</w:t>
      </w:r>
      <w:r>
        <w:rPr>
          <w:color w:val="231F20"/>
          <w:spacing w:val="-5"/>
        </w:rPr>
        <w:t xml:space="preserve"> </w:t>
      </w:r>
      <w:r>
        <w:rPr>
          <w:color w:val="231F20"/>
        </w:rPr>
        <w:t>you</w:t>
      </w:r>
      <w:r>
        <w:rPr>
          <w:color w:val="231F20"/>
          <w:spacing w:val="-5"/>
        </w:rPr>
        <w:t xml:space="preserve"> </w:t>
      </w:r>
      <w:r>
        <w:rPr>
          <w:color w:val="231F20"/>
        </w:rPr>
        <w:t>mean—bourgeois</w:t>
      </w:r>
      <w:r>
        <w:rPr>
          <w:color w:val="231F20"/>
          <w:spacing w:val="-5"/>
        </w:rPr>
        <w:t xml:space="preserve"> </w:t>
      </w:r>
      <w:r>
        <w:rPr>
          <w:color w:val="231F20"/>
        </w:rPr>
        <w:t>freedom</w:t>
      </w:r>
      <w:r>
        <w:rPr>
          <w:color w:val="231F20"/>
          <w:spacing w:val="-5"/>
        </w:rPr>
        <w:t xml:space="preserve"> </w:t>
      </w:r>
      <w:r>
        <w:rPr>
          <w:color w:val="231F20"/>
        </w:rPr>
        <w:t>is servitude, and socialist freedom is a long</w:t>
      </w:r>
      <w:r>
        <w:rPr>
          <w:color w:val="231F20"/>
          <w:spacing w:val="7"/>
        </w:rPr>
        <w:t xml:space="preserve"> </w:t>
      </w:r>
      <w:r>
        <w:rPr>
          <w:color w:val="231F20"/>
          <w:spacing w:val="-2"/>
        </w:rPr>
        <w:t xml:space="preserve">way </w:t>
      </w:r>
      <w:r>
        <w:rPr>
          <w:color w:val="231F20"/>
        </w:rPr>
        <w:t>off).</w:t>
      </w:r>
    </w:p>
    <w:p w14:paraId="2AFA2735" w14:textId="77777777" w:rsidR="002653E8" w:rsidRDefault="003115E3">
      <w:pPr>
        <w:pStyle w:val="a3"/>
        <w:spacing w:line="264" w:lineRule="auto"/>
        <w:ind w:left="1327" w:right="1145" w:firstLine="210"/>
        <w:jc w:val="both"/>
      </w:pPr>
      <w:r>
        <w:rPr>
          <w:color w:val="231F20"/>
        </w:rPr>
        <w:t xml:space="preserve">Furthermore, faced with a justice system that seeks to criminalize Kommune 1 and has persecuted them with an endless series of trials, we can’t be bothered defending ourselves. Such a justice system should itself be put on trial. Faced with a justice system that seeks to criminalize a section of the SDS, we can’t be bothered defending ourselves. How can the public peace of </w:t>
      </w:r>
      <w:r>
        <w:rPr>
          <w:color w:val="231F20"/>
          <w:spacing w:val="-3"/>
        </w:rPr>
        <w:t xml:space="preserve">1870/71 </w:t>
      </w:r>
      <w:r>
        <w:rPr>
          <w:color w:val="231F20"/>
        </w:rPr>
        <w:t xml:space="preserve">be broken in </w:t>
      </w:r>
      <w:r>
        <w:rPr>
          <w:color w:val="231F20"/>
          <w:spacing w:val="-5"/>
        </w:rPr>
        <w:t xml:space="preserve">1967/68? yet </w:t>
      </w:r>
      <w:r>
        <w:rPr>
          <w:color w:val="231F20"/>
        </w:rPr>
        <w:t>again: torch this ramshackle</w:t>
      </w:r>
      <w:r>
        <w:rPr>
          <w:color w:val="231F20"/>
          <w:spacing w:val="20"/>
        </w:rPr>
        <w:t xml:space="preserve"> </w:t>
      </w:r>
      <w:r>
        <w:rPr>
          <w:color w:val="231F20"/>
        </w:rPr>
        <w:t>peace!</w:t>
      </w:r>
    </w:p>
    <w:p w14:paraId="59BEF412" w14:textId="77777777" w:rsidR="002653E8" w:rsidRDefault="003115E3">
      <w:pPr>
        <w:pStyle w:val="a3"/>
        <w:spacing w:line="264" w:lineRule="auto"/>
        <w:ind w:left="1327" w:right="1145" w:firstLine="210"/>
        <w:jc w:val="both"/>
      </w:pPr>
      <w:r>
        <w:rPr>
          <w:color w:val="231F20"/>
        </w:rPr>
        <w:t>Furthermore, faced with a justice system with a concept of law—a deceitful concept—that is shaped by the opinions of the ruling class (already the case with Franz von Liszt</w:t>
      </w:r>
      <w:r>
        <w:rPr>
          <w:color w:val="231F20"/>
          <w:position w:val="7"/>
          <w:sz w:val="11"/>
        </w:rPr>
        <w:t xml:space="preserve">1 </w:t>
      </w:r>
      <w:r>
        <w:rPr>
          <w:color w:val="231F20"/>
        </w:rPr>
        <w:t xml:space="preserve">in </w:t>
      </w:r>
      <w:r>
        <w:rPr>
          <w:color w:val="231F20"/>
          <w:spacing w:val="-7"/>
        </w:rPr>
        <w:t xml:space="preserve">1882) </w:t>
      </w:r>
      <w:r>
        <w:rPr>
          <w:color w:val="231F20"/>
        </w:rPr>
        <w:t>we can’t be bothered defending ourselves. Furthermore, faced with a justice system that doesn’t see</w:t>
      </w:r>
      <w:r>
        <w:rPr>
          <w:color w:val="231F20"/>
          <w:spacing w:val="-7"/>
        </w:rPr>
        <w:t xml:space="preserve"> </w:t>
      </w:r>
      <w:r>
        <w:rPr>
          <w:color w:val="231F20"/>
        </w:rPr>
        <w:t>crime</w:t>
      </w:r>
      <w:r>
        <w:rPr>
          <w:color w:val="231F20"/>
          <w:spacing w:val="-7"/>
        </w:rPr>
        <w:t xml:space="preserve"> </w:t>
      </w:r>
      <w:r>
        <w:rPr>
          <w:color w:val="231F20"/>
        </w:rPr>
        <w:t>as</w:t>
      </w:r>
      <w:r>
        <w:rPr>
          <w:color w:val="231F20"/>
          <w:spacing w:val="-7"/>
        </w:rPr>
        <w:t xml:space="preserve"> </w:t>
      </w:r>
      <w:r>
        <w:rPr>
          <w:color w:val="231F20"/>
        </w:rPr>
        <w:t>a</w:t>
      </w:r>
      <w:r>
        <w:rPr>
          <w:color w:val="231F20"/>
          <w:spacing w:val="-7"/>
        </w:rPr>
        <w:t xml:space="preserve"> </w:t>
      </w:r>
      <w:r>
        <w:rPr>
          <w:color w:val="231F20"/>
        </w:rPr>
        <w:t>social</w:t>
      </w:r>
      <w:r>
        <w:rPr>
          <w:color w:val="231F20"/>
          <w:spacing w:val="-6"/>
        </w:rPr>
        <w:t xml:space="preserve"> </w:t>
      </w:r>
      <w:r>
        <w:rPr>
          <w:color w:val="231F20"/>
        </w:rPr>
        <w:t>phenomenon</w:t>
      </w:r>
      <w:r>
        <w:rPr>
          <w:color w:val="231F20"/>
          <w:spacing w:val="-7"/>
        </w:rPr>
        <w:t xml:space="preserve"> </w:t>
      </w:r>
      <w:r>
        <w:rPr>
          <w:color w:val="231F20"/>
        </w:rPr>
        <w:t>and</w:t>
      </w:r>
      <w:r>
        <w:rPr>
          <w:color w:val="231F20"/>
          <w:spacing w:val="-6"/>
        </w:rPr>
        <w:t xml:space="preserve"> </w:t>
      </w:r>
      <w:r>
        <w:rPr>
          <w:color w:val="231F20"/>
        </w:rPr>
        <w:t>which</w:t>
      </w:r>
      <w:r>
        <w:rPr>
          <w:color w:val="231F20"/>
          <w:spacing w:val="-7"/>
        </w:rPr>
        <w:t xml:space="preserve"> </w:t>
      </w:r>
      <w:r>
        <w:rPr>
          <w:color w:val="231F20"/>
        </w:rPr>
        <w:t>passes</w:t>
      </w:r>
      <w:r>
        <w:rPr>
          <w:color w:val="231F20"/>
          <w:spacing w:val="-7"/>
        </w:rPr>
        <w:t xml:space="preserve"> </w:t>
      </w:r>
      <w:r>
        <w:rPr>
          <w:color w:val="231F20"/>
        </w:rPr>
        <w:t>sentences</w:t>
      </w:r>
      <w:r>
        <w:rPr>
          <w:color w:val="231F20"/>
          <w:spacing w:val="-6"/>
        </w:rPr>
        <w:t xml:space="preserve"> </w:t>
      </w:r>
      <w:r>
        <w:rPr>
          <w:color w:val="231F20"/>
        </w:rPr>
        <w:t>that</w:t>
      </w:r>
      <w:r>
        <w:rPr>
          <w:color w:val="231F20"/>
          <w:spacing w:val="-6"/>
        </w:rPr>
        <w:t xml:space="preserve"> </w:t>
      </w:r>
      <w:r>
        <w:rPr>
          <w:color w:val="231F20"/>
        </w:rPr>
        <w:t>serve no social function (Franz von Liszt), we can’t be bothered defending ourselves. Faced with a justice system that speaks of punishment— meaning oppression, meaning repression—helping the offender, while in fact defending bourgeois society, always defending it, defending it to the end; faced with such a justice system, we can’t be bothered defending</w:t>
      </w:r>
      <w:r>
        <w:rPr>
          <w:color w:val="231F20"/>
          <w:spacing w:val="10"/>
        </w:rPr>
        <w:t xml:space="preserve"> </w:t>
      </w:r>
      <w:r>
        <w:rPr>
          <w:color w:val="231F20"/>
        </w:rPr>
        <w:t>ourselves.</w:t>
      </w:r>
    </w:p>
    <w:p w14:paraId="0DA62BE3" w14:textId="77777777" w:rsidR="002653E8" w:rsidRDefault="003115E3">
      <w:pPr>
        <w:pStyle w:val="a3"/>
        <w:spacing w:line="264" w:lineRule="auto"/>
        <w:ind w:left="1328" w:right="1145" w:firstLine="210"/>
        <w:jc w:val="both"/>
      </w:pPr>
      <w:r>
        <w:rPr>
          <w:color w:val="231F20"/>
        </w:rPr>
        <w:t xml:space="preserve">Quotes from the first draft of the reforms to the criminal code: “The bitter necessity of punishment.” “Responsibility lies with the law breakers” (and not the representatives of the </w:t>
      </w:r>
      <w:r>
        <w:rPr>
          <w:color w:val="231F20"/>
          <w:spacing w:val="-3"/>
        </w:rPr>
        <w:t xml:space="preserve">law), </w:t>
      </w:r>
      <w:r>
        <w:rPr>
          <w:color w:val="231F20"/>
        </w:rPr>
        <w:t xml:space="preserve">“given the flawed nature  of people” (and so it will remain in a capitalist society such as this, in which antiauthoritarian structures that promote perfection </w:t>
      </w:r>
      <w:r>
        <w:rPr>
          <w:color w:val="231F20"/>
          <w:spacing w:val="-3"/>
        </w:rPr>
        <w:t xml:space="preserve">don’t </w:t>
      </w:r>
      <w:r>
        <w:rPr>
          <w:color w:val="231F20"/>
        </w:rPr>
        <w:t xml:space="preserve">exist and there are no examples of moral perfection—the principle of guilt, which guarantees the continuation of the principle of punishment, lives on, spelling the death of freedom and assuring the integrity of </w:t>
      </w:r>
      <w:r>
        <w:rPr>
          <w:color w:val="231F20"/>
          <w:spacing w:val="-3"/>
        </w:rPr>
        <w:t xml:space="preserve">power). </w:t>
      </w:r>
      <w:r>
        <w:rPr>
          <w:color w:val="231F20"/>
        </w:rPr>
        <w:t xml:space="preserve">Another quote from the first draft of the criminal law reforms (this will be the last </w:t>
      </w:r>
      <w:r>
        <w:rPr>
          <w:color w:val="231F20"/>
          <w:spacing w:val="-3"/>
        </w:rPr>
        <w:t xml:space="preserve">one): </w:t>
      </w:r>
      <w:r>
        <w:rPr>
          <w:color w:val="231F20"/>
        </w:rPr>
        <w:t xml:space="preserve">“(W)hat the principle of punishment presupposes is a virtually unchallenged standard of criminal </w:t>
      </w:r>
      <w:r>
        <w:rPr>
          <w:color w:val="231F20"/>
          <w:spacing w:val="-4"/>
        </w:rPr>
        <w:t xml:space="preserve">law, </w:t>
      </w:r>
      <w:r>
        <w:rPr>
          <w:color w:val="231F20"/>
        </w:rPr>
        <w:t xml:space="preserve">etc., </w:t>
      </w:r>
      <w:r>
        <w:rPr>
          <w:color w:val="231F20"/>
          <w:spacing w:val="-3"/>
        </w:rPr>
        <w:t xml:space="preserve">etc.”  </w:t>
      </w:r>
      <w:r>
        <w:rPr>
          <w:color w:val="231F20"/>
        </w:rPr>
        <w:t>When will this</w:t>
      </w:r>
      <w:r>
        <w:rPr>
          <w:color w:val="231F20"/>
          <w:spacing w:val="10"/>
        </w:rPr>
        <w:t xml:space="preserve"> </w:t>
      </w:r>
      <w:r>
        <w:rPr>
          <w:color w:val="231F20"/>
        </w:rPr>
        <w:t>stop?</w:t>
      </w:r>
    </w:p>
    <w:p w14:paraId="3AEE52AC" w14:textId="77777777" w:rsidR="002653E8" w:rsidRDefault="003115E3">
      <w:pPr>
        <w:pStyle w:val="a3"/>
        <w:spacing w:line="221" w:lineRule="exact"/>
        <w:ind w:left="1538"/>
      </w:pPr>
      <w:r>
        <w:rPr>
          <w:color w:val="231F20"/>
        </w:rPr>
        <w:t>Faced with a justice system that holds that the irrational standards</w:t>
      </w:r>
    </w:p>
    <w:p w14:paraId="63E65498" w14:textId="77777777" w:rsidR="002653E8" w:rsidRDefault="00000000">
      <w:pPr>
        <w:pStyle w:val="a3"/>
        <w:spacing w:line="264" w:lineRule="auto"/>
        <w:ind w:left="1328" w:right="1146"/>
        <w:jc w:val="both"/>
      </w:pPr>
      <w:r>
        <w:rPr>
          <w:noProof w:val="0"/>
        </w:rPr>
        <w:pict w14:anchorId="5B91A96D">
          <v:line id="_x0000_s2628" style="position:absolute;left:0;text-align:left;z-index:3040;mso-wrap-distance-left:0;mso-wrap-distance-right:0;mso-position-horizontal-relative:page" from="66.4pt,32.85pt" to="138.4pt,32.85pt" strokecolor="#231f20" strokeweight=".5pt">
            <w10:wrap type="topAndBottom" anchorx="page"/>
          </v:line>
        </w:pict>
      </w:r>
      <w:r w:rsidR="003115E3">
        <w:rPr>
          <w:color w:val="231F20"/>
        </w:rPr>
        <w:t>of criminal law and criminology are appropriate, that denies the reality of the capitalist social order, that denies and suppresses psychology and</w:t>
      </w:r>
    </w:p>
    <w:p w14:paraId="16482955" w14:textId="77777777" w:rsidR="002653E8" w:rsidRDefault="003115E3">
      <w:pPr>
        <w:spacing w:before="53" w:line="254" w:lineRule="auto"/>
        <w:ind w:left="1327" w:right="1681"/>
        <w:rPr>
          <w:sz w:val="16"/>
        </w:rPr>
      </w:pPr>
      <w:r>
        <w:rPr>
          <w:color w:val="231F20"/>
          <w:sz w:val="16"/>
        </w:rPr>
        <w:t xml:space="preserve">1 Franz von Liszt (not to be confused with his cousin, the composer Franz Liszt)       was a Prussian law professor whose work heavily influenced the </w:t>
      </w:r>
      <w:r>
        <w:rPr>
          <w:color w:val="231F20"/>
          <w:spacing w:val="-4"/>
          <w:sz w:val="16"/>
        </w:rPr>
        <w:t xml:space="preserve">1882 </w:t>
      </w:r>
      <w:r>
        <w:rPr>
          <w:color w:val="231F20"/>
          <w:sz w:val="16"/>
        </w:rPr>
        <w:t xml:space="preserve">Marburger Program, a conservative document that  influenced  the  </w:t>
      </w:r>
      <w:r>
        <w:rPr>
          <w:color w:val="231F20"/>
          <w:spacing w:val="-5"/>
          <w:sz w:val="16"/>
        </w:rPr>
        <w:t xml:space="preserve">1933  </w:t>
      </w:r>
      <w:r>
        <w:rPr>
          <w:color w:val="231F20"/>
          <w:sz w:val="16"/>
        </w:rPr>
        <w:t>Nazi  German Prevention of Crime</w:t>
      </w:r>
      <w:r>
        <w:rPr>
          <w:color w:val="231F20"/>
          <w:spacing w:val="32"/>
          <w:sz w:val="16"/>
        </w:rPr>
        <w:t xml:space="preserve"> </w:t>
      </w:r>
      <w:r>
        <w:rPr>
          <w:color w:val="231F20"/>
          <w:sz w:val="16"/>
        </w:rPr>
        <w:t>Act.</w:t>
      </w:r>
    </w:p>
    <w:p w14:paraId="69665ABF" w14:textId="77777777" w:rsidR="002653E8" w:rsidRDefault="002653E8">
      <w:pPr>
        <w:spacing w:line="254" w:lineRule="auto"/>
        <w:rPr>
          <w:sz w:val="16"/>
        </w:rPr>
        <w:sectPr w:rsidR="002653E8">
          <w:pgSz w:w="8640" w:h="12960"/>
          <w:pgMar w:top="1060" w:right="0" w:bottom="1040" w:left="0" w:header="0" w:footer="850" w:gutter="0"/>
          <w:cols w:space="720"/>
        </w:sectPr>
      </w:pPr>
    </w:p>
    <w:p w14:paraId="16B44C6C" w14:textId="77777777" w:rsidR="002653E8" w:rsidRDefault="003115E3">
      <w:pPr>
        <w:pStyle w:val="a3"/>
        <w:spacing w:before="86" w:line="264" w:lineRule="auto"/>
        <w:ind w:left="1148" w:right="1325" w:hanging="1"/>
        <w:jc w:val="both"/>
      </w:pPr>
      <w:r>
        <w:rPr>
          <w:color w:val="231F20"/>
        </w:rPr>
        <w:lastRenderedPageBreak/>
        <w:t>the study of crime in a particularly nauseating way, constantly impeding them, that treats criminology as a science of social relationships; faced with such a justice system, we can’t be bothered defending ourselves. Furthermore, faced with a justice system that represents the law of the ruling class—represents duplicity—we can’t be bothered defending ourselves.</w:t>
      </w:r>
    </w:p>
    <w:p w14:paraId="1DE48874" w14:textId="77777777" w:rsidR="002653E8" w:rsidRDefault="003115E3">
      <w:pPr>
        <w:pStyle w:val="a3"/>
        <w:spacing w:line="264" w:lineRule="auto"/>
        <w:ind w:left="1147" w:right="1325" w:firstLine="210"/>
        <w:jc w:val="both"/>
      </w:pPr>
      <w:r>
        <w:rPr>
          <w:color w:val="231F20"/>
        </w:rPr>
        <w:t xml:space="preserve">Furthermore, bourgeois morality is and remains immoral, and if reformed, it is only as a new immorality. </w:t>
      </w:r>
      <w:r>
        <w:rPr>
          <w:color w:val="231F20"/>
          <w:spacing w:val="1"/>
        </w:rPr>
        <w:t xml:space="preserve">All </w:t>
      </w:r>
      <w:r>
        <w:rPr>
          <w:color w:val="231F20"/>
        </w:rPr>
        <w:t xml:space="preserve">attempts at reform are pointless, because they are inherent to the system. </w:t>
      </w:r>
      <w:r>
        <w:rPr>
          <w:color w:val="231F20"/>
          <w:spacing w:val="-5"/>
        </w:rPr>
        <w:t xml:space="preserve">We </w:t>
      </w:r>
      <w:r>
        <w:rPr>
          <w:color w:val="231F20"/>
        </w:rPr>
        <w:t xml:space="preserve">demand the resignation of Minister of Justice Heinemann (also a pointless demand). Where is the judge who will </w:t>
      </w:r>
      <w:r>
        <w:rPr>
          <w:color w:val="231F20"/>
          <w:spacing w:val="1"/>
        </w:rPr>
        <w:t xml:space="preserve">turn </w:t>
      </w:r>
      <w:r>
        <w:rPr>
          <w:color w:val="231F20"/>
        </w:rPr>
        <w:t>his back on this crap and join the general strike, instead of remaining eternally stuck up to his armpits     in this shit? Where are the antiauthoritarian judges? I can’t see them. This is your chance, Herr Zoebe,</w:t>
      </w:r>
      <w:r>
        <w:rPr>
          <w:color w:val="231F20"/>
          <w:position w:val="7"/>
          <w:sz w:val="11"/>
        </w:rPr>
        <w:t xml:space="preserve">1 </w:t>
      </w:r>
      <w:r>
        <w:rPr>
          <w:color w:val="231F20"/>
        </w:rPr>
        <w:t>to be the first. I wrote that before I knew you. Later, you responded to the word democracy like it was lep</w:t>
      </w:r>
      <w:r>
        <w:rPr>
          <w:color w:val="231F20"/>
          <w:spacing w:val="-3"/>
        </w:rPr>
        <w:t xml:space="preserve">rosy, </w:t>
      </w:r>
      <w:r>
        <w:rPr>
          <w:color w:val="231F20"/>
        </w:rPr>
        <w:t xml:space="preserve">which is to </w:t>
      </w:r>
      <w:r>
        <w:rPr>
          <w:color w:val="231F20"/>
          <w:spacing w:val="-4"/>
        </w:rPr>
        <w:t xml:space="preserve">say, </w:t>
      </w:r>
      <w:r>
        <w:rPr>
          <w:color w:val="231F20"/>
        </w:rPr>
        <w:t xml:space="preserve">you shrunk </w:t>
      </w:r>
      <w:r>
        <w:rPr>
          <w:color w:val="231F20"/>
          <w:spacing w:val="-3"/>
        </w:rPr>
        <w:t xml:space="preserve">away </w:t>
      </w:r>
      <w:r>
        <w:rPr>
          <w:color w:val="231F20"/>
        </w:rPr>
        <w:t xml:space="preserve">from the concept. And for you, resocialization sends you into a rage; </w:t>
      </w:r>
      <w:r>
        <w:rPr>
          <w:color w:val="231F20"/>
          <w:spacing w:val="-3"/>
        </w:rPr>
        <w:t xml:space="preserve">it’s </w:t>
      </w:r>
      <w:r>
        <w:rPr>
          <w:color w:val="231F20"/>
        </w:rPr>
        <w:t xml:space="preserve">the final </w:t>
      </w:r>
      <w:r>
        <w:rPr>
          <w:color w:val="231F20"/>
          <w:spacing w:val="-4"/>
        </w:rPr>
        <w:t xml:space="preserve">blow. </w:t>
      </w:r>
      <w:r>
        <w:rPr>
          <w:color w:val="231F20"/>
        </w:rPr>
        <w:t xml:space="preserve">And for you it should be the final </w:t>
      </w:r>
      <w:r>
        <w:rPr>
          <w:color w:val="231F20"/>
          <w:spacing w:val="-4"/>
        </w:rPr>
        <w:t xml:space="preserve">blow. </w:t>
      </w:r>
      <w:r>
        <w:rPr>
          <w:color w:val="231F20"/>
        </w:rPr>
        <w:t>Always: the final</w:t>
      </w:r>
      <w:r>
        <w:rPr>
          <w:color w:val="231F20"/>
          <w:spacing w:val="18"/>
        </w:rPr>
        <w:t xml:space="preserve"> </w:t>
      </w:r>
      <w:r>
        <w:rPr>
          <w:color w:val="231F20"/>
          <w:spacing w:val="-4"/>
        </w:rPr>
        <w:t>blow.</w:t>
      </w:r>
    </w:p>
    <w:p w14:paraId="63538CFA" w14:textId="77777777" w:rsidR="002653E8" w:rsidRDefault="003115E3">
      <w:pPr>
        <w:pStyle w:val="a3"/>
        <w:spacing w:line="221" w:lineRule="exact"/>
        <w:ind w:left="1357"/>
      </w:pPr>
      <w:r>
        <w:rPr>
          <w:color w:val="231F20"/>
        </w:rPr>
        <w:t>Faced with a justice system that has completely authoritarian judges,</w:t>
      </w:r>
    </w:p>
    <w:p w14:paraId="17542D90" w14:textId="77777777" w:rsidR="002653E8" w:rsidRDefault="003115E3">
      <w:pPr>
        <w:pStyle w:val="a3"/>
        <w:spacing w:before="16" w:line="264" w:lineRule="auto"/>
        <w:ind w:left="1147" w:right="1325" w:hanging="1"/>
        <w:jc w:val="both"/>
      </w:pPr>
      <w:r>
        <w:rPr>
          <w:color w:val="231F20"/>
        </w:rPr>
        <w:t>like the judge Schwalbe,</w:t>
      </w:r>
      <w:r>
        <w:rPr>
          <w:color w:val="231F20"/>
          <w:position w:val="7"/>
          <w:sz w:val="11"/>
        </w:rPr>
        <w:t xml:space="preserve">2 </w:t>
      </w:r>
      <w:r>
        <w:rPr>
          <w:color w:val="231F20"/>
        </w:rPr>
        <w:t xml:space="preserve">we can’t be bothered defending ourselves (but one Schwalbe doesn’t make for an authoritarian summer). Faced with    a justice system that has judges like the judge in Hamburg, who on August </w:t>
      </w:r>
      <w:r>
        <w:rPr>
          <w:color w:val="231F20"/>
          <w:spacing w:val="-9"/>
        </w:rPr>
        <w:t xml:space="preserve">15 </w:t>
      </w:r>
      <w:r>
        <w:rPr>
          <w:color w:val="231F20"/>
        </w:rPr>
        <w:t xml:space="preserve">of this year, following a </w:t>
      </w:r>
      <w:r>
        <w:rPr>
          <w:color w:val="231F20"/>
          <w:spacing w:val="-5"/>
        </w:rPr>
        <w:t xml:space="preserve">2½ </w:t>
      </w:r>
      <w:r>
        <w:rPr>
          <w:color w:val="231F20"/>
        </w:rPr>
        <w:t xml:space="preserve">minute hearing, sentenced a young worker to 4 months with the possibility of parole, beginning at Easter, with the comment that the young worker should be happy </w:t>
      </w:r>
      <w:r>
        <w:rPr>
          <w:color w:val="231F20"/>
          <w:spacing w:val="1"/>
        </w:rPr>
        <w:t xml:space="preserve">—in </w:t>
      </w:r>
      <w:r>
        <w:rPr>
          <w:color w:val="231F20"/>
        </w:rPr>
        <w:t xml:space="preserve">spite of the brevity of the hearing—that he was given a chance to clarify his political motivations, and then went on to tell this young worker  that he should stop worrying about things that </w:t>
      </w:r>
      <w:r>
        <w:rPr>
          <w:color w:val="231F20"/>
          <w:spacing w:val="-3"/>
        </w:rPr>
        <w:t xml:space="preserve">don’t </w:t>
      </w:r>
      <w:r>
        <w:rPr>
          <w:color w:val="231F20"/>
        </w:rPr>
        <w:t xml:space="preserve">concern </w:t>
      </w:r>
      <w:r>
        <w:rPr>
          <w:color w:val="231F20"/>
          <w:spacing w:val="1"/>
        </w:rPr>
        <w:t xml:space="preserve">him; </w:t>
      </w:r>
      <w:r>
        <w:rPr>
          <w:color w:val="231F20"/>
        </w:rPr>
        <w:t xml:space="preserve">faced with a justice system that is made up of such judges, we can’t be bothered defending ourselves. </w:t>
      </w:r>
      <w:r>
        <w:rPr>
          <w:color w:val="231F20"/>
          <w:spacing w:val="-5"/>
        </w:rPr>
        <w:t xml:space="preserve">yet </w:t>
      </w:r>
      <w:r>
        <w:rPr>
          <w:color w:val="231F20"/>
        </w:rPr>
        <w:t>again: torch this ramshackle</w:t>
      </w:r>
      <w:r>
        <w:rPr>
          <w:color w:val="231F20"/>
          <w:spacing w:val="15"/>
        </w:rPr>
        <w:t xml:space="preserve"> </w:t>
      </w:r>
      <w:r>
        <w:rPr>
          <w:color w:val="231F20"/>
        </w:rPr>
        <w:t>peace.</w:t>
      </w:r>
    </w:p>
    <w:p w14:paraId="13649F84" w14:textId="77777777" w:rsidR="002653E8" w:rsidRDefault="003115E3">
      <w:pPr>
        <w:pStyle w:val="a3"/>
        <w:spacing w:line="264" w:lineRule="auto"/>
        <w:ind w:left="1147" w:right="1326" w:firstLine="210"/>
        <w:jc w:val="both"/>
      </w:pPr>
      <w:r>
        <w:rPr>
          <w:color w:val="231F20"/>
        </w:rPr>
        <w:t>Faced with a justice system that has judges like those that presided over the Timo Rinnelt trial,</w:t>
      </w:r>
      <w:r>
        <w:rPr>
          <w:color w:val="231F20"/>
          <w:position w:val="7"/>
          <w:sz w:val="11"/>
        </w:rPr>
        <w:t xml:space="preserve">3 </w:t>
      </w:r>
      <w:r>
        <w:rPr>
          <w:color w:val="231F20"/>
        </w:rPr>
        <w:t>once more extending the reach of the German billy club, we can’t be bothered defending ourselves.</w:t>
      </w:r>
    </w:p>
    <w:p w14:paraId="16485942" w14:textId="77777777" w:rsidR="002653E8" w:rsidRDefault="003115E3">
      <w:pPr>
        <w:pStyle w:val="a3"/>
        <w:spacing w:line="231" w:lineRule="exact"/>
        <w:ind w:left="1358"/>
      </w:pPr>
      <w:r>
        <w:rPr>
          <w:color w:val="231F20"/>
        </w:rPr>
        <w:t>And finally, faced with a justice system that has judges like the judge</w:t>
      </w:r>
    </w:p>
    <w:p w14:paraId="7094E555" w14:textId="77777777" w:rsidR="002653E8" w:rsidRDefault="00000000">
      <w:pPr>
        <w:pStyle w:val="a3"/>
        <w:spacing w:before="3"/>
        <w:rPr>
          <w:sz w:val="29"/>
        </w:rPr>
      </w:pPr>
      <w:r>
        <w:rPr>
          <w:noProof w:val="0"/>
        </w:rPr>
        <w:pict w14:anchorId="7E1DACA3">
          <v:line id="_x0000_s2627" style="position:absolute;z-index:3064;mso-wrap-distance-left:0;mso-wrap-distance-right:0;mso-position-horizontal-relative:page" from="57.4pt,19.4pt" to="129.4pt,19.4pt" strokecolor="#231f20" strokeweight=".5pt">
            <w10:wrap type="topAndBottom" anchorx="page"/>
          </v:line>
        </w:pict>
      </w:r>
    </w:p>
    <w:p w14:paraId="1B2EDC1A" w14:textId="77777777" w:rsidR="002653E8" w:rsidRDefault="003115E3">
      <w:pPr>
        <w:pStyle w:val="a4"/>
        <w:numPr>
          <w:ilvl w:val="0"/>
          <w:numId w:val="168"/>
        </w:numPr>
        <w:tabs>
          <w:tab w:val="left" w:pos="1287"/>
        </w:tabs>
        <w:spacing w:before="53"/>
        <w:ind w:firstLine="0"/>
        <w:jc w:val="left"/>
        <w:rPr>
          <w:sz w:val="16"/>
        </w:rPr>
      </w:pPr>
      <w:bookmarkStart w:id="35" w:name="_Hlk53877455"/>
      <w:r>
        <w:rPr>
          <w:color w:val="231F20"/>
          <w:w w:val="105"/>
          <w:sz w:val="16"/>
        </w:rPr>
        <w:t>Gerhard</w:t>
      </w:r>
      <w:r>
        <w:rPr>
          <w:color w:val="231F20"/>
          <w:spacing w:val="7"/>
          <w:w w:val="105"/>
          <w:sz w:val="16"/>
        </w:rPr>
        <w:t xml:space="preserve"> </w:t>
      </w:r>
      <w:r>
        <w:rPr>
          <w:color w:val="231F20"/>
          <w:w w:val="105"/>
          <w:sz w:val="16"/>
        </w:rPr>
        <w:t>Zoebe</w:t>
      </w:r>
      <w:r>
        <w:rPr>
          <w:color w:val="231F20"/>
          <w:spacing w:val="7"/>
          <w:w w:val="105"/>
          <w:sz w:val="16"/>
        </w:rPr>
        <w:t xml:space="preserve"> </w:t>
      </w:r>
      <w:r>
        <w:rPr>
          <w:color w:val="231F20"/>
          <w:w w:val="105"/>
          <w:sz w:val="16"/>
        </w:rPr>
        <w:t>was</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judge</w:t>
      </w:r>
      <w:r>
        <w:rPr>
          <w:color w:val="231F20"/>
          <w:spacing w:val="7"/>
          <w:w w:val="105"/>
          <w:sz w:val="16"/>
        </w:rPr>
        <w:t xml:space="preserve"> </w:t>
      </w:r>
      <w:r>
        <w:rPr>
          <w:color w:val="231F20"/>
          <w:w w:val="105"/>
          <w:sz w:val="16"/>
        </w:rPr>
        <w:t>in</w:t>
      </w:r>
      <w:r>
        <w:rPr>
          <w:color w:val="231F20"/>
          <w:spacing w:val="7"/>
          <w:w w:val="105"/>
          <w:sz w:val="16"/>
        </w:rPr>
        <w:t xml:space="preserve"> </w:t>
      </w:r>
      <w:r>
        <w:rPr>
          <w:color w:val="231F20"/>
          <w:w w:val="105"/>
          <w:sz w:val="16"/>
        </w:rPr>
        <w:t>this</w:t>
      </w:r>
      <w:r>
        <w:rPr>
          <w:color w:val="231F20"/>
          <w:spacing w:val="7"/>
          <w:w w:val="105"/>
          <w:sz w:val="16"/>
        </w:rPr>
        <w:t xml:space="preserve"> </w:t>
      </w:r>
      <w:r>
        <w:rPr>
          <w:color w:val="231F20"/>
          <w:w w:val="105"/>
          <w:sz w:val="16"/>
        </w:rPr>
        <w:t>case.</w:t>
      </w:r>
    </w:p>
    <w:bookmarkEnd w:id="35"/>
    <w:p w14:paraId="6FBE8C69" w14:textId="77777777" w:rsidR="002653E8" w:rsidRDefault="003115E3">
      <w:pPr>
        <w:pStyle w:val="a4"/>
        <w:numPr>
          <w:ilvl w:val="0"/>
          <w:numId w:val="168"/>
        </w:numPr>
        <w:tabs>
          <w:tab w:val="left" w:pos="1287"/>
        </w:tabs>
        <w:spacing w:before="51"/>
        <w:ind w:firstLine="0"/>
        <w:jc w:val="left"/>
        <w:rPr>
          <w:sz w:val="16"/>
        </w:rPr>
      </w:pPr>
      <w:r>
        <w:rPr>
          <w:color w:val="231F20"/>
          <w:w w:val="105"/>
          <w:sz w:val="16"/>
        </w:rPr>
        <w:t>A</w:t>
      </w:r>
      <w:r>
        <w:rPr>
          <w:color w:val="231F20"/>
          <w:spacing w:val="7"/>
          <w:w w:val="105"/>
          <w:sz w:val="16"/>
        </w:rPr>
        <w:t xml:space="preserve"> </w:t>
      </w:r>
      <w:r>
        <w:rPr>
          <w:color w:val="231F20"/>
          <w:w w:val="105"/>
          <w:sz w:val="16"/>
        </w:rPr>
        <w:t>judge</w:t>
      </w:r>
      <w:r>
        <w:rPr>
          <w:color w:val="231F20"/>
          <w:spacing w:val="7"/>
          <w:w w:val="105"/>
          <w:sz w:val="16"/>
        </w:rPr>
        <w:t xml:space="preserve"> </w:t>
      </w:r>
      <w:r>
        <w:rPr>
          <w:color w:val="231F20"/>
          <w:w w:val="105"/>
          <w:sz w:val="16"/>
        </w:rPr>
        <w:t>in</w:t>
      </w:r>
      <w:r>
        <w:rPr>
          <w:color w:val="231F20"/>
          <w:spacing w:val="7"/>
          <w:w w:val="105"/>
          <w:sz w:val="16"/>
        </w:rPr>
        <w:t xml:space="preserve"> </w:t>
      </w:r>
      <w:r>
        <w:rPr>
          <w:color w:val="231F20"/>
          <w:spacing w:val="1"/>
          <w:w w:val="105"/>
          <w:sz w:val="16"/>
        </w:rPr>
        <w:t>Frankfurt</w:t>
      </w:r>
      <w:r>
        <w:rPr>
          <w:color w:val="231F20"/>
          <w:spacing w:val="7"/>
          <w:w w:val="105"/>
          <w:sz w:val="16"/>
        </w:rPr>
        <w:t xml:space="preserve"> </w:t>
      </w:r>
      <w:r>
        <w:rPr>
          <w:color w:val="231F20"/>
          <w:w w:val="105"/>
          <w:sz w:val="16"/>
        </w:rPr>
        <w:t>who</w:t>
      </w:r>
      <w:r>
        <w:rPr>
          <w:color w:val="231F20"/>
          <w:spacing w:val="7"/>
          <w:w w:val="105"/>
          <w:sz w:val="16"/>
        </w:rPr>
        <w:t xml:space="preserve"> </w:t>
      </w:r>
      <w:r>
        <w:rPr>
          <w:color w:val="231F20"/>
          <w:w w:val="105"/>
          <w:sz w:val="16"/>
        </w:rPr>
        <w:t>often</w:t>
      </w:r>
      <w:r>
        <w:rPr>
          <w:color w:val="231F20"/>
          <w:spacing w:val="7"/>
          <w:w w:val="105"/>
          <w:sz w:val="16"/>
        </w:rPr>
        <w:t xml:space="preserve"> </w:t>
      </w:r>
      <w:r>
        <w:rPr>
          <w:color w:val="231F20"/>
          <w:w w:val="105"/>
          <w:sz w:val="16"/>
        </w:rPr>
        <w:t>presided</w:t>
      </w:r>
      <w:r>
        <w:rPr>
          <w:color w:val="231F20"/>
          <w:spacing w:val="7"/>
          <w:w w:val="105"/>
          <w:sz w:val="16"/>
        </w:rPr>
        <w:t xml:space="preserve"> </w:t>
      </w:r>
      <w:r>
        <w:rPr>
          <w:color w:val="231F20"/>
          <w:w w:val="105"/>
          <w:sz w:val="16"/>
        </w:rPr>
        <w:t>over</w:t>
      </w:r>
      <w:r>
        <w:rPr>
          <w:color w:val="231F20"/>
          <w:spacing w:val="7"/>
          <w:w w:val="105"/>
          <w:sz w:val="16"/>
        </w:rPr>
        <w:t xml:space="preserve"> </w:t>
      </w:r>
      <w:r>
        <w:rPr>
          <w:color w:val="231F20"/>
          <w:w w:val="105"/>
          <w:sz w:val="16"/>
        </w:rPr>
        <w:t>trials</w:t>
      </w:r>
      <w:r>
        <w:rPr>
          <w:color w:val="231F20"/>
          <w:spacing w:val="7"/>
          <w:w w:val="105"/>
          <w:sz w:val="16"/>
        </w:rPr>
        <w:t xml:space="preserve"> </w:t>
      </w:r>
      <w:r>
        <w:rPr>
          <w:color w:val="231F20"/>
          <w:w w:val="105"/>
          <w:sz w:val="16"/>
        </w:rPr>
        <w:t>against</w:t>
      </w:r>
      <w:r>
        <w:rPr>
          <w:color w:val="231F20"/>
          <w:spacing w:val="7"/>
          <w:w w:val="105"/>
          <w:sz w:val="16"/>
        </w:rPr>
        <w:t xml:space="preserve"> </w:t>
      </w:r>
      <w:r>
        <w:rPr>
          <w:color w:val="231F20"/>
          <w:w w:val="105"/>
          <w:sz w:val="16"/>
        </w:rPr>
        <w:t>left-wing</w:t>
      </w:r>
      <w:r>
        <w:rPr>
          <w:color w:val="231F20"/>
          <w:spacing w:val="7"/>
          <w:w w:val="105"/>
          <w:sz w:val="16"/>
        </w:rPr>
        <w:t xml:space="preserve"> </w:t>
      </w:r>
      <w:r>
        <w:rPr>
          <w:color w:val="231F20"/>
          <w:w w:val="105"/>
          <w:sz w:val="16"/>
        </w:rPr>
        <w:t>defendants.</w:t>
      </w:r>
    </w:p>
    <w:p w14:paraId="7C1D9678" w14:textId="77777777" w:rsidR="002653E8" w:rsidRDefault="003115E3">
      <w:pPr>
        <w:pStyle w:val="a4"/>
        <w:numPr>
          <w:ilvl w:val="0"/>
          <w:numId w:val="168"/>
        </w:numPr>
        <w:tabs>
          <w:tab w:val="left" w:pos="1286"/>
        </w:tabs>
        <w:spacing w:before="52" w:line="254" w:lineRule="auto"/>
        <w:ind w:right="1326" w:firstLine="0"/>
        <w:jc w:val="left"/>
        <w:rPr>
          <w:sz w:val="16"/>
        </w:rPr>
      </w:pPr>
      <w:r>
        <w:rPr>
          <w:color w:val="231F20"/>
          <w:spacing w:val="1"/>
          <w:sz w:val="16"/>
        </w:rPr>
        <w:t xml:space="preserve">In </w:t>
      </w:r>
      <w:r>
        <w:rPr>
          <w:color w:val="231F20"/>
          <w:sz w:val="16"/>
        </w:rPr>
        <w:t>1964, seven year-old Timo Rinnelt of Wiesbaden was kidnapped and  murdered. Some years later, his neighbour, a twenty-seven year-old man, was arrested  for  the crime.</w:t>
      </w:r>
      <w:r>
        <w:rPr>
          <w:color w:val="231F20"/>
          <w:spacing w:val="10"/>
          <w:sz w:val="16"/>
        </w:rPr>
        <w:t xml:space="preserve"> </w:t>
      </w:r>
      <w:r>
        <w:rPr>
          <w:color w:val="231F20"/>
          <w:spacing w:val="1"/>
          <w:sz w:val="16"/>
        </w:rPr>
        <w:t>In</w:t>
      </w:r>
      <w:r>
        <w:rPr>
          <w:color w:val="231F20"/>
          <w:spacing w:val="10"/>
          <w:sz w:val="16"/>
        </w:rPr>
        <w:t xml:space="preserve"> </w:t>
      </w:r>
      <w:r>
        <w:rPr>
          <w:color w:val="231F20"/>
          <w:sz w:val="16"/>
        </w:rPr>
        <w:t>1968,</w:t>
      </w:r>
      <w:r>
        <w:rPr>
          <w:color w:val="231F20"/>
          <w:spacing w:val="10"/>
          <w:sz w:val="16"/>
        </w:rPr>
        <w:t xml:space="preserve"> </w:t>
      </w:r>
      <w:r>
        <w:rPr>
          <w:color w:val="231F20"/>
          <w:sz w:val="16"/>
        </w:rPr>
        <w:t>he</w:t>
      </w:r>
      <w:r>
        <w:rPr>
          <w:color w:val="231F20"/>
          <w:spacing w:val="10"/>
          <w:sz w:val="16"/>
        </w:rPr>
        <w:t xml:space="preserve"> </w:t>
      </w:r>
      <w:r>
        <w:rPr>
          <w:color w:val="231F20"/>
          <w:sz w:val="16"/>
        </w:rPr>
        <w:t>received</w:t>
      </w:r>
      <w:r>
        <w:rPr>
          <w:color w:val="231F20"/>
          <w:spacing w:val="10"/>
          <w:sz w:val="16"/>
        </w:rPr>
        <w:t xml:space="preserve"> </w:t>
      </w:r>
      <w:r>
        <w:rPr>
          <w:color w:val="231F20"/>
          <w:sz w:val="16"/>
        </w:rPr>
        <w:t>a</w:t>
      </w:r>
      <w:r>
        <w:rPr>
          <w:color w:val="231F20"/>
          <w:spacing w:val="10"/>
          <w:sz w:val="16"/>
        </w:rPr>
        <w:t xml:space="preserve"> </w:t>
      </w:r>
      <w:r>
        <w:rPr>
          <w:color w:val="231F20"/>
          <w:sz w:val="16"/>
        </w:rPr>
        <w:t>life</w:t>
      </w:r>
      <w:r>
        <w:rPr>
          <w:color w:val="231F20"/>
          <w:spacing w:val="10"/>
          <w:sz w:val="16"/>
        </w:rPr>
        <w:t xml:space="preserve"> </w:t>
      </w:r>
      <w:r>
        <w:rPr>
          <w:color w:val="231F20"/>
          <w:sz w:val="16"/>
        </w:rPr>
        <w:t>sentence.</w:t>
      </w:r>
    </w:p>
    <w:p w14:paraId="16228364" w14:textId="77777777" w:rsidR="002653E8" w:rsidRDefault="002653E8">
      <w:pPr>
        <w:spacing w:line="254" w:lineRule="auto"/>
        <w:rPr>
          <w:sz w:val="16"/>
        </w:rPr>
        <w:sectPr w:rsidR="002653E8">
          <w:pgSz w:w="8640" w:h="12960"/>
          <w:pgMar w:top="1060" w:right="0" w:bottom="1040" w:left="0" w:header="0" w:footer="850" w:gutter="0"/>
          <w:cols w:space="720"/>
        </w:sectPr>
      </w:pPr>
    </w:p>
    <w:p w14:paraId="4517484D" w14:textId="77777777" w:rsidR="002653E8" w:rsidRDefault="003115E3">
      <w:pPr>
        <w:pStyle w:val="a3"/>
        <w:spacing w:before="86" w:line="264" w:lineRule="auto"/>
        <w:ind w:left="1328" w:right="1145" w:hanging="1"/>
        <w:jc w:val="both"/>
      </w:pPr>
      <w:r>
        <w:rPr>
          <w:color w:val="231F20"/>
        </w:rPr>
        <w:lastRenderedPageBreak/>
        <w:t>presiding in the case against Jürgen Bartsch,</w:t>
      </w:r>
      <w:r>
        <w:rPr>
          <w:color w:val="231F20"/>
          <w:position w:val="7"/>
          <w:sz w:val="11"/>
        </w:rPr>
        <w:t xml:space="preserve">4 </w:t>
      </w:r>
      <w:r>
        <w:rPr>
          <w:color w:val="231F20"/>
        </w:rPr>
        <w:t xml:space="preserve">who was sentenced to life imprisonment on the grounds that if he had wanted to he could have struggled to control his abnormal appetites (whatever that means), with the judge saying in conclusion, </w:t>
      </w:r>
      <w:r>
        <w:rPr>
          <w:color w:val="231F20"/>
          <w:spacing w:val="-4"/>
        </w:rPr>
        <w:t xml:space="preserve">“And </w:t>
      </w:r>
      <w:r>
        <w:rPr>
          <w:color w:val="231F20"/>
        </w:rPr>
        <w:t>may God help you to learn to control you appetites”—so God and not society—and for such a judge it would</w:t>
      </w:r>
      <w:r>
        <w:rPr>
          <w:color w:val="231F20"/>
          <w:spacing w:val="-10"/>
        </w:rPr>
        <w:t xml:space="preserve"> </w:t>
      </w:r>
      <w:r>
        <w:rPr>
          <w:color w:val="231F20"/>
        </w:rPr>
        <w:t>be</w:t>
      </w:r>
      <w:r>
        <w:rPr>
          <w:color w:val="231F20"/>
          <w:spacing w:val="-10"/>
        </w:rPr>
        <w:t xml:space="preserve"> </w:t>
      </w:r>
      <w:r>
        <w:rPr>
          <w:color w:val="231F20"/>
        </w:rPr>
        <w:t>preferable</w:t>
      </w:r>
      <w:r>
        <w:rPr>
          <w:color w:val="231F20"/>
          <w:spacing w:val="-10"/>
        </w:rPr>
        <w:t xml:space="preserve"> </w:t>
      </w:r>
      <w:r>
        <w:rPr>
          <w:color w:val="231F20"/>
        </w:rPr>
        <w:t>if</w:t>
      </w:r>
      <w:r>
        <w:rPr>
          <w:color w:val="231F20"/>
          <w:spacing w:val="-10"/>
        </w:rPr>
        <w:t xml:space="preserve"> </w:t>
      </w:r>
      <w:r>
        <w:rPr>
          <w:color w:val="231F20"/>
        </w:rPr>
        <w:t>he</w:t>
      </w:r>
      <w:r>
        <w:rPr>
          <w:color w:val="231F20"/>
          <w:spacing w:val="-10"/>
        </w:rPr>
        <w:t xml:space="preserve"> </w:t>
      </w:r>
      <w:r>
        <w:rPr>
          <w:color w:val="231F20"/>
        </w:rPr>
        <w:t>had</w:t>
      </w:r>
      <w:r>
        <w:rPr>
          <w:color w:val="231F20"/>
          <w:spacing w:val="-10"/>
        </w:rPr>
        <w:t xml:space="preserve"> </w:t>
      </w:r>
      <w:r>
        <w:rPr>
          <w:color w:val="231F20"/>
        </w:rPr>
        <w:t>never</w:t>
      </w:r>
      <w:r>
        <w:rPr>
          <w:color w:val="231F20"/>
          <w:spacing w:val="-10"/>
        </w:rPr>
        <w:t xml:space="preserve"> </w:t>
      </w:r>
      <w:r>
        <w:rPr>
          <w:color w:val="231F20"/>
        </w:rPr>
        <w:t>been</w:t>
      </w:r>
      <w:r>
        <w:rPr>
          <w:color w:val="231F20"/>
          <w:spacing w:val="-10"/>
        </w:rPr>
        <w:t xml:space="preserve"> </w:t>
      </w:r>
      <w:r>
        <w:rPr>
          <w:color w:val="231F20"/>
        </w:rPr>
        <w:t>born</w:t>
      </w:r>
      <w:r>
        <w:rPr>
          <w:color w:val="231F20"/>
          <w:spacing w:val="-10"/>
        </w:rPr>
        <w:t xml:space="preserve"> </w:t>
      </w:r>
      <w:r>
        <w:rPr>
          <w:color w:val="231F20"/>
        </w:rPr>
        <w:t>or</w:t>
      </w:r>
      <w:r>
        <w:rPr>
          <w:color w:val="231F20"/>
          <w:spacing w:val="-10"/>
        </w:rPr>
        <w:t xml:space="preserve"> </w:t>
      </w:r>
      <w:r>
        <w:rPr>
          <w:color w:val="231F20"/>
        </w:rPr>
        <w:t>had</w:t>
      </w:r>
      <w:r>
        <w:rPr>
          <w:color w:val="231F20"/>
          <w:spacing w:val="-10"/>
        </w:rPr>
        <w:t xml:space="preserve"> </w:t>
      </w:r>
      <w:r>
        <w:rPr>
          <w:color w:val="231F20"/>
        </w:rPr>
        <w:t>died</w:t>
      </w:r>
      <w:r>
        <w:rPr>
          <w:color w:val="231F20"/>
          <w:spacing w:val="-10"/>
        </w:rPr>
        <w:t xml:space="preserve"> </w:t>
      </w:r>
      <w:r>
        <w:rPr>
          <w:color w:val="231F20"/>
        </w:rPr>
        <w:t>long</w:t>
      </w:r>
      <w:r>
        <w:rPr>
          <w:color w:val="231F20"/>
          <w:spacing w:val="-10"/>
        </w:rPr>
        <w:t xml:space="preserve"> </w:t>
      </w:r>
      <w:r>
        <w:rPr>
          <w:color w:val="231F20"/>
        </w:rPr>
        <w:t>ago;</w:t>
      </w:r>
      <w:r>
        <w:rPr>
          <w:color w:val="231F20"/>
          <w:spacing w:val="-10"/>
        </w:rPr>
        <w:t xml:space="preserve"> </w:t>
      </w:r>
      <w:r>
        <w:rPr>
          <w:color w:val="231F20"/>
        </w:rPr>
        <w:t>faced with</w:t>
      </w:r>
      <w:r>
        <w:rPr>
          <w:color w:val="231F20"/>
          <w:spacing w:val="6"/>
        </w:rPr>
        <w:t xml:space="preserve"> </w:t>
      </w:r>
      <w:r>
        <w:rPr>
          <w:color w:val="231F20"/>
        </w:rPr>
        <w:t>such</w:t>
      </w:r>
      <w:r>
        <w:rPr>
          <w:color w:val="231F20"/>
          <w:spacing w:val="6"/>
        </w:rPr>
        <w:t xml:space="preserve"> </w:t>
      </w:r>
      <w:r>
        <w:rPr>
          <w:color w:val="231F20"/>
        </w:rPr>
        <w:t>a</w:t>
      </w:r>
      <w:r>
        <w:rPr>
          <w:color w:val="231F20"/>
          <w:spacing w:val="6"/>
        </w:rPr>
        <w:t xml:space="preserve"> </w:t>
      </w:r>
      <w:r>
        <w:rPr>
          <w:color w:val="231F20"/>
        </w:rPr>
        <w:t>justice</w:t>
      </w:r>
      <w:r>
        <w:rPr>
          <w:color w:val="231F20"/>
          <w:spacing w:val="6"/>
        </w:rPr>
        <w:t xml:space="preserve"> </w:t>
      </w:r>
      <w:r>
        <w:rPr>
          <w:color w:val="231F20"/>
        </w:rPr>
        <w:t>system,</w:t>
      </w:r>
      <w:r>
        <w:rPr>
          <w:color w:val="231F20"/>
          <w:spacing w:val="6"/>
        </w:rPr>
        <w:t xml:space="preserve"> </w:t>
      </w:r>
      <w:r>
        <w:rPr>
          <w:color w:val="231F20"/>
        </w:rPr>
        <w:t>we</w:t>
      </w:r>
      <w:r>
        <w:rPr>
          <w:color w:val="231F20"/>
          <w:spacing w:val="6"/>
        </w:rPr>
        <w:t xml:space="preserve"> </w:t>
      </w:r>
      <w:r>
        <w:rPr>
          <w:color w:val="231F20"/>
        </w:rPr>
        <w:t>can’t</w:t>
      </w:r>
      <w:r>
        <w:rPr>
          <w:color w:val="231F20"/>
          <w:spacing w:val="6"/>
        </w:rPr>
        <w:t xml:space="preserve"> </w:t>
      </w:r>
      <w:r>
        <w:rPr>
          <w:color w:val="231F20"/>
        </w:rPr>
        <w:t>be</w:t>
      </w:r>
      <w:r>
        <w:rPr>
          <w:color w:val="231F20"/>
          <w:spacing w:val="6"/>
        </w:rPr>
        <w:t xml:space="preserve"> </w:t>
      </w:r>
      <w:r>
        <w:rPr>
          <w:color w:val="231F20"/>
        </w:rPr>
        <w:t>bothered</w:t>
      </w:r>
      <w:r>
        <w:rPr>
          <w:color w:val="231F20"/>
          <w:spacing w:val="6"/>
        </w:rPr>
        <w:t xml:space="preserve"> </w:t>
      </w:r>
      <w:r>
        <w:rPr>
          <w:color w:val="231F20"/>
        </w:rPr>
        <w:t>defending</w:t>
      </w:r>
      <w:r>
        <w:rPr>
          <w:color w:val="231F20"/>
          <w:spacing w:val="6"/>
        </w:rPr>
        <w:t xml:space="preserve"> </w:t>
      </w:r>
      <w:r>
        <w:rPr>
          <w:color w:val="231F20"/>
        </w:rPr>
        <w:t>ourselves.</w:t>
      </w:r>
    </w:p>
    <w:p w14:paraId="293D9BEC" w14:textId="77777777" w:rsidR="002653E8" w:rsidRDefault="003115E3">
      <w:pPr>
        <w:pStyle w:val="a3"/>
        <w:spacing w:line="264" w:lineRule="auto"/>
        <w:ind w:left="1328" w:right="1145" w:firstLine="210"/>
        <w:jc w:val="both"/>
      </w:pPr>
      <w:r>
        <w:rPr>
          <w:color w:val="231F20"/>
        </w:rPr>
        <w:t xml:space="preserve">It has been said that the trial of Jürgen Bartsch was the trial of the century. It was actually a trial against this century, and the sentence spoke for this century, which is to </w:t>
      </w:r>
      <w:r>
        <w:rPr>
          <w:color w:val="231F20"/>
          <w:spacing w:val="-4"/>
        </w:rPr>
        <w:t xml:space="preserve">say, </w:t>
      </w:r>
      <w:r>
        <w:rPr>
          <w:color w:val="231F20"/>
        </w:rPr>
        <w:t xml:space="preserve">it spoke for the morality of the preceding century </w:t>
      </w:r>
      <w:r>
        <w:rPr>
          <w:color w:val="231F20"/>
          <w:spacing w:val="-3"/>
        </w:rPr>
        <w:t xml:space="preserve">(it </w:t>
      </w:r>
      <w:r>
        <w:rPr>
          <w:color w:val="231F20"/>
        </w:rPr>
        <w:t xml:space="preserve">will only get worse), which in this trial was celebrated as a barbaric triumph. When the judgment was read, the spectators, a petit bourgeois gathering, clapped and cheered. Nobody forbid that. The teeth of justice were chattering, but nobody heard that. Child murderers are useful. They eliminate all consciousness that criminals were once themselves children (the authoritarian upbringing). A hundred children of </w:t>
      </w:r>
      <w:r>
        <w:rPr>
          <w:color w:val="231F20"/>
          <w:spacing w:val="-3"/>
        </w:rPr>
        <w:t xml:space="preserve">West </w:t>
      </w:r>
      <w:r>
        <w:rPr>
          <w:color w:val="231F20"/>
        </w:rPr>
        <w:t xml:space="preserve">German families are beaten to death every year. Beaten to death. Child murderers work to ease our conscience about this slaughter. And what of the daily murder of children in Vietnam (with its breathtaking body-count)? What do respectable people pray </w:t>
      </w:r>
      <w:r>
        <w:rPr>
          <w:color w:val="231F20"/>
          <w:spacing w:val="-3"/>
        </w:rPr>
        <w:t xml:space="preserve">for? </w:t>
      </w:r>
      <w:r>
        <w:rPr>
          <w:color w:val="231F20"/>
          <w:spacing w:val="-4"/>
        </w:rPr>
        <w:t xml:space="preserve">Today </w:t>
      </w:r>
      <w:r>
        <w:rPr>
          <w:color w:val="231F20"/>
        </w:rPr>
        <w:t>we get our daily ration of murder (The Springer papers are the centerpiece of every</w:t>
      </w:r>
      <w:r>
        <w:rPr>
          <w:color w:val="231F20"/>
          <w:spacing w:val="40"/>
        </w:rPr>
        <w:t xml:space="preserve"> </w:t>
      </w:r>
      <w:r>
        <w:rPr>
          <w:color w:val="231F20"/>
        </w:rPr>
        <w:t>breakfast).</w:t>
      </w:r>
    </w:p>
    <w:p w14:paraId="3B93806E" w14:textId="77777777" w:rsidR="002653E8" w:rsidRDefault="003115E3">
      <w:pPr>
        <w:pStyle w:val="a3"/>
        <w:spacing w:line="218" w:lineRule="exact"/>
        <w:ind w:left="1538"/>
      </w:pPr>
      <w:r>
        <w:rPr>
          <w:color w:val="231F20"/>
        </w:rPr>
        <w:t>Furthermore,  bourgeois  morality  is  the  ruling  morality,  and bour-</w:t>
      </w:r>
    </w:p>
    <w:p w14:paraId="24B2D1AE" w14:textId="77777777" w:rsidR="002653E8" w:rsidRDefault="003115E3">
      <w:pPr>
        <w:pStyle w:val="a3"/>
        <w:spacing w:before="15" w:line="264" w:lineRule="auto"/>
        <w:ind w:left="1327" w:right="1145"/>
        <w:jc w:val="both"/>
      </w:pPr>
      <w:r>
        <w:rPr>
          <w:color w:val="231F20"/>
        </w:rPr>
        <w:t>geois morality is immoral. Faced with a justice system that has state prosecutors like state prosecutor Griebel,</w:t>
      </w:r>
      <w:r>
        <w:rPr>
          <w:color w:val="231F20"/>
          <w:position w:val="7"/>
          <w:sz w:val="11"/>
        </w:rPr>
        <w:t xml:space="preserve">5 </w:t>
      </w:r>
      <w:r>
        <w:rPr>
          <w:color w:val="231F20"/>
        </w:rPr>
        <w:t xml:space="preserve">who told me “under four </w:t>
      </w:r>
      <w:r>
        <w:rPr>
          <w:color w:val="231F20"/>
          <w:spacing w:val="-3"/>
        </w:rPr>
        <w:t>eyes”</w:t>
      </w:r>
      <w:r>
        <w:rPr>
          <w:color w:val="231F20"/>
          <w:spacing w:val="-3"/>
          <w:position w:val="7"/>
          <w:sz w:val="11"/>
        </w:rPr>
        <w:t xml:space="preserve">6 </w:t>
      </w:r>
      <w:r>
        <w:rPr>
          <w:color w:val="231F20"/>
        </w:rPr>
        <w:t xml:space="preserve">that he holds Marx’s teachings in the highest regard (but what does he do about </w:t>
      </w:r>
      <w:r>
        <w:rPr>
          <w:color w:val="231F20"/>
          <w:spacing w:val="-3"/>
        </w:rPr>
        <w:t xml:space="preserve">it?), </w:t>
      </w:r>
      <w:r>
        <w:rPr>
          <w:color w:val="231F20"/>
        </w:rPr>
        <w:t xml:space="preserve">that he is as much a prisoner of a labyrinthine bureaucracy as I (but what does he do against </w:t>
      </w:r>
      <w:r>
        <w:rPr>
          <w:color w:val="231F20"/>
          <w:spacing w:val="-4"/>
        </w:rPr>
        <w:t xml:space="preserve">it?). </w:t>
      </w:r>
      <w:r>
        <w:rPr>
          <w:color w:val="231F20"/>
        </w:rPr>
        <w:t xml:space="preserve">He accuses the left here of only wanting to change superficial things, but nothing beyond that (but he bears the mark of Cain of repression on his forehead), and he had the effrontery to bare his broken bourgeois heart to me, saying that on the one hand he is troubled by the rigidity of the ruling conditions, while on the other—how  grotesque—he  continued  to  speak of the legitimacy of the laws of  1870/71—speaking </w:t>
      </w:r>
      <w:r>
        <w:rPr>
          <w:color w:val="231F20"/>
          <w:spacing w:val="10"/>
        </w:rPr>
        <w:t xml:space="preserve"> </w:t>
      </w:r>
      <w:r>
        <w:rPr>
          <w:color w:val="231F20"/>
        </w:rPr>
        <w:t>deceptively—faced</w:t>
      </w:r>
    </w:p>
    <w:p w14:paraId="7B22D241" w14:textId="77777777" w:rsidR="002653E8" w:rsidRDefault="00000000">
      <w:pPr>
        <w:pStyle w:val="a3"/>
        <w:spacing w:before="5"/>
        <w:rPr>
          <w:sz w:val="10"/>
        </w:rPr>
      </w:pPr>
      <w:r>
        <w:rPr>
          <w:noProof w:val="0"/>
        </w:rPr>
        <w:pict w14:anchorId="5374D496">
          <v:line id="_x0000_s2626" style="position:absolute;z-index:3088;mso-wrap-distance-left:0;mso-wrap-distance-right:0;mso-position-horizontal-relative:page" from="66.4pt,8.35pt" to="138.4pt,8.35pt" strokecolor="#231f20" strokeweight=".5pt">
            <w10:wrap type="topAndBottom" anchorx="page"/>
          </v:line>
        </w:pict>
      </w:r>
    </w:p>
    <w:p w14:paraId="01E903D9" w14:textId="77777777" w:rsidR="002653E8" w:rsidRDefault="003115E3">
      <w:pPr>
        <w:pStyle w:val="a4"/>
        <w:numPr>
          <w:ilvl w:val="0"/>
          <w:numId w:val="168"/>
        </w:numPr>
        <w:tabs>
          <w:tab w:val="left" w:pos="1467"/>
        </w:tabs>
        <w:spacing w:before="53" w:line="254" w:lineRule="auto"/>
        <w:ind w:left="1327" w:right="1450" w:firstLine="0"/>
        <w:jc w:val="left"/>
        <w:rPr>
          <w:sz w:val="16"/>
        </w:rPr>
      </w:pPr>
      <w:r>
        <w:rPr>
          <w:color w:val="231F20"/>
          <w:w w:val="105"/>
          <w:sz w:val="16"/>
        </w:rPr>
        <w:t xml:space="preserve">Jürgen </w:t>
      </w:r>
      <w:r>
        <w:rPr>
          <w:color w:val="231F20"/>
          <w:spacing w:val="1"/>
          <w:w w:val="105"/>
          <w:sz w:val="16"/>
        </w:rPr>
        <w:t xml:space="preserve">Bartsch, </w:t>
      </w:r>
      <w:r>
        <w:rPr>
          <w:color w:val="231F20"/>
          <w:w w:val="105"/>
          <w:sz w:val="16"/>
        </w:rPr>
        <w:t>a German serial killer, who as a child suffered both emotional and</w:t>
      </w:r>
      <w:r>
        <w:rPr>
          <w:color w:val="231F20"/>
          <w:spacing w:val="6"/>
          <w:w w:val="105"/>
          <w:sz w:val="16"/>
        </w:rPr>
        <w:t xml:space="preserve"> </w:t>
      </w:r>
      <w:r>
        <w:rPr>
          <w:color w:val="231F20"/>
          <w:w w:val="105"/>
          <w:sz w:val="16"/>
        </w:rPr>
        <w:t>sexual</w:t>
      </w:r>
      <w:r>
        <w:rPr>
          <w:color w:val="231F20"/>
          <w:spacing w:val="6"/>
          <w:w w:val="105"/>
          <w:sz w:val="16"/>
        </w:rPr>
        <w:t xml:space="preserve"> </w:t>
      </w:r>
      <w:r>
        <w:rPr>
          <w:color w:val="231F20"/>
          <w:w w:val="105"/>
          <w:sz w:val="16"/>
        </w:rPr>
        <w:t>abuse,</w:t>
      </w:r>
      <w:r>
        <w:rPr>
          <w:color w:val="231F20"/>
          <w:spacing w:val="6"/>
          <w:w w:val="105"/>
          <w:sz w:val="16"/>
        </w:rPr>
        <w:t xml:space="preserve"> </w:t>
      </w:r>
      <w:r>
        <w:rPr>
          <w:color w:val="231F20"/>
          <w:w w:val="105"/>
          <w:sz w:val="16"/>
        </w:rPr>
        <w:t>was</w:t>
      </w:r>
      <w:r>
        <w:rPr>
          <w:color w:val="231F20"/>
          <w:spacing w:val="6"/>
          <w:w w:val="105"/>
          <w:sz w:val="16"/>
        </w:rPr>
        <w:t xml:space="preserve"> </w:t>
      </w:r>
      <w:r>
        <w:rPr>
          <w:color w:val="231F20"/>
          <w:w w:val="105"/>
          <w:sz w:val="16"/>
        </w:rPr>
        <w:t>responsible</w:t>
      </w:r>
      <w:r>
        <w:rPr>
          <w:color w:val="231F20"/>
          <w:spacing w:val="6"/>
          <w:w w:val="105"/>
          <w:sz w:val="16"/>
        </w:rPr>
        <w:t xml:space="preserve"> </w:t>
      </w:r>
      <w:r>
        <w:rPr>
          <w:color w:val="231F20"/>
          <w:w w:val="105"/>
          <w:sz w:val="16"/>
        </w:rPr>
        <w:t>for</w:t>
      </w:r>
      <w:r>
        <w:rPr>
          <w:color w:val="231F20"/>
          <w:spacing w:val="6"/>
          <w:w w:val="105"/>
          <w:sz w:val="16"/>
        </w:rPr>
        <w:t xml:space="preserve"> </w:t>
      </w:r>
      <w:r>
        <w:rPr>
          <w:color w:val="231F20"/>
          <w:w w:val="105"/>
          <w:sz w:val="16"/>
        </w:rPr>
        <w:t>four</w:t>
      </w:r>
      <w:r>
        <w:rPr>
          <w:color w:val="231F20"/>
          <w:spacing w:val="6"/>
          <w:w w:val="105"/>
          <w:sz w:val="16"/>
        </w:rPr>
        <w:t xml:space="preserve"> </w:t>
      </w:r>
      <w:r>
        <w:rPr>
          <w:color w:val="231F20"/>
          <w:w w:val="105"/>
          <w:sz w:val="16"/>
        </w:rPr>
        <w:t>brutal</w:t>
      </w:r>
      <w:r>
        <w:rPr>
          <w:color w:val="231F20"/>
          <w:spacing w:val="6"/>
          <w:w w:val="105"/>
          <w:sz w:val="16"/>
        </w:rPr>
        <w:t xml:space="preserve"> </w:t>
      </w:r>
      <w:r>
        <w:rPr>
          <w:color w:val="231F20"/>
          <w:w w:val="105"/>
          <w:sz w:val="16"/>
        </w:rPr>
        <w:t>child</w:t>
      </w:r>
      <w:r>
        <w:rPr>
          <w:color w:val="231F20"/>
          <w:spacing w:val="6"/>
          <w:w w:val="105"/>
          <w:sz w:val="16"/>
        </w:rPr>
        <w:t xml:space="preserve"> </w:t>
      </w:r>
      <w:r>
        <w:rPr>
          <w:color w:val="231F20"/>
          <w:w w:val="105"/>
          <w:sz w:val="16"/>
        </w:rPr>
        <w:t>murders</w:t>
      </w:r>
      <w:r>
        <w:rPr>
          <w:color w:val="231F20"/>
          <w:spacing w:val="6"/>
          <w:w w:val="105"/>
          <w:sz w:val="16"/>
        </w:rPr>
        <w:t xml:space="preserve"> </w:t>
      </w:r>
      <w:r>
        <w:rPr>
          <w:color w:val="231F20"/>
          <w:w w:val="105"/>
          <w:sz w:val="16"/>
        </w:rPr>
        <w:t>in</w:t>
      </w:r>
      <w:r>
        <w:rPr>
          <w:color w:val="231F20"/>
          <w:spacing w:val="6"/>
          <w:w w:val="105"/>
          <w:sz w:val="16"/>
        </w:rPr>
        <w:t xml:space="preserve"> </w:t>
      </w:r>
      <w:r>
        <w:rPr>
          <w:color w:val="231F20"/>
          <w:w w:val="105"/>
          <w:sz w:val="16"/>
        </w:rPr>
        <w:t>the</w:t>
      </w:r>
      <w:r>
        <w:rPr>
          <w:color w:val="231F20"/>
          <w:spacing w:val="7"/>
          <w:w w:val="105"/>
          <w:sz w:val="16"/>
        </w:rPr>
        <w:t xml:space="preserve"> </w:t>
      </w:r>
      <w:r>
        <w:rPr>
          <w:color w:val="231F20"/>
          <w:w w:val="105"/>
          <w:sz w:val="16"/>
        </w:rPr>
        <w:t>60s.</w:t>
      </w:r>
    </w:p>
    <w:p w14:paraId="6345559A" w14:textId="77777777" w:rsidR="002653E8" w:rsidRDefault="003115E3">
      <w:pPr>
        <w:pStyle w:val="a4"/>
        <w:numPr>
          <w:ilvl w:val="0"/>
          <w:numId w:val="168"/>
        </w:numPr>
        <w:tabs>
          <w:tab w:val="left" w:pos="1467"/>
        </w:tabs>
        <w:ind w:left="1466"/>
        <w:jc w:val="left"/>
        <w:rPr>
          <w:sz w:val="16"/>
        </w:rPr>
      </w:pPr>
      <w:r>
        <w:rPr>
          <w:color w:val="231F20"/>
          <w:sz w:val="16"/>
        </w:rPr>
        <w:t>Walter</w:t>
      </w:r>
      <w:r>
        <w:rPr>
          <w:color w:val="231F20"/>
          <w:spacing w:val="10"/>
          <w:sz w:val="16"/>
        </w:rPr>
        <w:t xml:space="preserve"> </w:t>
      </w:r>
      <w:r>
        <w:rPr>
          <w:color w:val="231F20"/>
          <w:sz w:val="16"/>
        </w:rPr>
        <w:t>Griebel</w:t>
      </w:r>
      <w:r>
        <w:rPr>
          <w:color w:val="231F20"/>
          <w:spacing w:val="10"/>
          <w:sz w:val="16"/>
        </w:rPr>
        <w:t xml:space="preserve"> </w:t>
      </w:r>
      <w:r>
        <w:rPr>
          <w:color w:val="231F20"/>
          <w:sz w:val="16"/>
        </w:rPr>
        <w:t>was</w:t>
      </w:r>
      <w:r>
        <w:rPr>
          <w:color w:val="231F20"/>
          <w:spacing w:val="10"/>
          <w:sz w:val="16"/>
        </w:rPr>
        <w:t xml:space="preserve"> </w:t>
      </w:r>
      <w:r>
        <w:rPr>
          <w:color w:val="231F20"/>
          <w:sz w:val="16"/>
        </w:rPr>
        <w:t>the</w:t>
      </w:r>
      <w:r>
        <w:rPr>
          <w:color w:val="231F20"/>
          <w:spacing w:val="10"/>
          <w:sz w:val="16"/>
        </w:rPr>
        <w:t xml:space="preserve"> </w:t>
      </w:r>
      <w:r>
        <w:rPr>
          <w:color w:val="231F20"/>
          <w:sz w:val="16"/>
        </w:rPr>
        <w:t>prosecutor</w:t>
      </w:r>
      <w:r>
        <w:rPr>
          <w:color w:val="231F20"/>
          <w:spacing w:val="10"/>
          <w:sz w:val="16"/>
        </w:rPr>
        <w:t xml:space="preserve"> </w:t>
      </w:r>
      <w:r>
        <w:rPr>
          <w:color w:val="231F20"/>
          <w:sz w:val="16"/>
        </w:rPr>
        <w:t>in</w:t>
      </w:r>
      <w:r>
        <w:rPr>
          <w:color w:val="231F20"/>
          <w:spacing w:val="10"/>
          <w:sz w:val="16"/>
        </w:rPr>
        <w:t xml:space="preserve"> </w:t>
      </w:r>
      <w:r>
        <w:rPr>
          <w:color w:val="231F20"/>
          <w:sz w:val="16"/>
        </w:rPr>
        <w:t>the</w:t>
      </w:r>
      <w:r>
        <w:rPr>
          <w:color w:val="231F20"/>
          <w:spacing w:val="10"/>
          <w:sz w:val="16"/>
        </w:rPr>
        <w:t xml:space="preserve"> </w:t>
      </w:r>
      <w:r>
        <w:rPr>
          <w:color w:val="231F20"/>
          <w:sz w:val="16"/>
        </w:rPr>
        <w:t>case</w:t>
      </w:r>
      <w:r>
        <w:rPr>
          <w:color w:val="231F20"/>
          <w:spacing w:val="10"/>
          <w:sz w:val="16"/>
        </w:rPr>
        <w:t xml:space="preserve"> </w:t>
      </w:r>
      <w:r>
        <w:rPr>
          <w:color w:val="231F20"/>
          <w:sz w:val="16"/>
        </w:rPr>
        <w:t>at</w:t>
      </w:r>
      <w:r>
        <w:rPr>
          <w:color w:val="231F20"/>
          <w:spacing w:val="10"/>
          <w:sz w:val="16"/>
        </w:rPr>
        <w:t xml:space="preserve"> </w:t>
      </w:r>
      <w:r>
        <w:rPr>
          <w:color w:val="231F20"/>
          <w:sz w:val="16"/>
        </w:rPr>
        <w:t>hand.</w:t>
      </w:r>
    </w:p>
    <w:p w14:paraId="75F1D082" w14:textId="77777777" w:rsidR="002653E8" w:rsidRDefault="003115E3">
      <w:pPr>
        <w:pStyle w:val="a4"/>
        <w:numPr>
          <w:ilvl w:val="0"/>
          <w:numId w:val="168"/>
        </w:numPr>
        <w:tabs>
          <w:tab w:val="left" w:pos="1467"/>
        </w:tabs>
        <w:spacing w:before="51" w:line="254" w:lineRule="auto"/>
        <w:ind w:left="1327" w:right="1202" w:firstLine="0"/>
        <w:jc w:val="left"/>
        <w:rPr>
          <w:sz w:val="16"/>
        </w:rPr>
      </w:pPr>
      <w:r>
        <w:rPr>
          <w:color w:val="231F20"/>
          <w:spacing w:val="1"/>
          <w:w w:val="105"/>
          <w:sz w:val="16"/>
        </w:rPr>
        <w:t xml:space="preserve">In </w:t>
      </w:r>
      <w:r>
        <w:rPr>
          <w:color w:val="231F20"/>
          <w:w w:val="105"/>
          <w:sz w:val="16"/>
        </w:rPr>
        <w:t xml:space="preserve">German </w:t>
      </w:r>
      <w:r>
        <w:rPr>
          <w:i/>
          <w:color w:val="231F20"/>
          <w:w w:val="105"/>
          <w:sz w:val="16"/>
        </w:rPr>
        <w:t xml:space="preserve">“unter </w:t>
      </w:r>
      <w:r>
        <w:rPr>
          <w:i/>
          <w:color w:val="231F20"/>
          <w:spacing w:val="1"/>
          <w:w w:val="105"/>
          <w:sz w:val="16"/>
        </w:rPr>
        <w:t xml:space="preserve">vier </w:t>
      </w:r>
      <w:r>
        <w:rPr>
          <w:i/>
          <w:color w:val="231F20"/>
          <w:w w:val="105"/>
          <w:sz w:val="16"/>
        </w:rPr>
        <w:t>Augen”</w:t>
      </w:r>
      <w:r>
        <w:rPr>
          <w:color w:val="231F20"/>
          <w:w w:val="105"/>
          <w:sz w:val="16"/>
        </w:rPr>
        <w:t>; this is an obvious reference to the Nazi term for a meetings involving only Hitler and one of his close associates. The content of these discussions</w:t>
      </w:r>
      <w:r>
        <w:rPr>
          <w:color w:val="231F20"/>
          <w:spacing w:val="6"/>
          <w:w w:val="105"/>
          <w:sz w:val="16"/>
        </w:rPr>
        <w:t xml:space="preserve"> </w:t>
      </w:r>
      <w:r>
        <w:rPr>
          <w:color w:val="231F20"/>
          <w:w w:val="105"/>
          <w:sz w:val="16"/>
        </w:rPr>
        <w:t>was</w:t>
      </w:r>
      <w:r>
        <w:rPr>
          <w:color w:val="231F20"/>
          <w:spacing w:val="6"/>
          <w:w w:val="105"/>
          <w:sz w:val="16"/>
        </w:rPr>
        <w:t xml:space="preserve"> </w:t>
      </w:r>
      <w:r>
        <w:rPr>
          <w:color w:val="231F20"/>
          <w:w w:val="105"/>
          <w:sz w:val="16"/>
        </w:rPr>
        <w:t>meant</w:t>
      </w:r>
      <w:r>
        <w:rPr>
          <w:color w:val="231F20"/>
          <w:spacing w:val="6"/>
          <w:w w:val="105"/>
          <w:sz w:val="16"/>
        </w:rPr>
        <w:t xml:space="preserve"> </w:t>
      </w:r>
      <w:r>
        <w:rPr>
          <w:color w:val="231F20"/>
          <w:w w:val="105"/>
          <w:sz w:val="16"/>
        </w:rPr>
        <w:t>to</w:t>
      </w:r>
      <w:r>
        <w:rPr>
          <w:color w:val="231F20"/>
          <w:spacing w:val="6"/>
          <w:w w:val="105"/>
          <w:sz w:val="16"/>
        </w:rPr>
        <w:t xml:space="preserve"> </w:t>
      </w:r>
      <w:r>
        <w:rPr>
          <w:color w:val="231F20"/>
          <w:w w:val="105"/>
          <w:sz w:val="16"/>
        </w:rPr>
        <w:t>stay</w:t>
      </w:r>
      <w:r>
        <w:rPr>
          <w:color w:val="231F20"/>
          <w:spacing w:val="6"/>
          <w:w w:val="105"/>
          <w:sz w:val="16"/>
        </w:rPr>
        <w:t xml:space="preserve"> </w:t>
      </w:r>
      <w:r>
        <w:rPr>
          <w:color w:val="231F20"/>
          <w:w w:val="105"/>
          <w:sz w:val="16"/>
        </w:rPr>
        <w:t>between</w:t>
      </w:r>
      <w:r>
        <w:rPr>
          <w:color w:val="231F20"/>
          <w:spacing w:val="6"/>
          <w:w w:val="105"/>
          <w:sz w:val="16"/>
        </w:rPr>
        <w:t xml:space="preserve"> </w:t>
      </w:r>
      <w:r>
        <w:rPr>
          <w:color w:val="231F20"/>
          <w:w w:val="105"/>
          <w:sz w:val="16"/>
        </w:rPr>
        <w:t>the</w:t>
      </w:r>
      <w:r>
        <w:rPr>
          <w:color w:val="231F20"/>
          <w:spacing w:val="6"/>
          <w:w w:val="105"/>
          <w:sz w:val="16"/>
        </w:rPr>
        <w:t xml:space="preserve"> </w:t>
      </w:r>
      <w:r>
        <w:rPr>
          <w:color w:val="231F20"/>
          <w:w w:val="105"/>
          <w:sz w:val="16"/>
        </w:rPr>
        <w:t>two</w:t>
      </w:r>
      <w:r>
        <w:rPr>
          <w:color w:val="231F20"/>
          <w:spacing w:val="6"/>
          <w:w w:val="105"/>
          <w:sz w:val="16"/>
        </w:rPr>
        <w:t xml:space="preserve"> </w:t>
      </w:r>
      <w:r>
        <w:rPr>
          <w:color w:val="231F20"/>
          <w:w w:val="105"/>
          <w:sz w:val="16"/>
        </w:rPr>
        <w:t>men.</w:t>
      </w:r>
    </w:p>
    <w:p w14:paraId="58D8FAB8" w14:textId="77777777" w:rsidR="002653E8" w:rsidRDefault="002653E8">
      <w:pPr>
        <w:spacing w:line="254" w:lineRule="auto"/>
        <w:rPr>
          <w:sz w:val="16"/>
        </w:rPr>
        <w:sectPr w:rsidR="002653E8">
          <w:pgSz w:w="8640" w:h="12960"/>
          <w:pgMar w:top="1060" w:right="0" w:bottom="1040" w:left="0" w:header="0" w:footer="850" w:gutter="0"/>
          <w:cols w:space="720"/>
        </w:sectPr>
      </w:pPr>
    </w:p>
    <w:p w14:paraId="1717497A" w14:textId="77777777" w:rsidR="002653E8" w:rsidRDefault="003115E3">
      <w:pPr>
        <w:pStyle w:val="a3"/>
        <w:spacing w:before="86" w:line="264" w:lineRule="auto"/>
        <w:ind w:left="1147" w:right="1327"/>
        <w:jc w:val="both"/>
      </w:pPr>
      <w:r>
        <w:rPr>
          <w:color w:val="231F20"/>
        </w:rPr>
        <w:lastRenderedPageBreak/>
        <w:t>with such a justice system, I can’t be bothered defending myself, and we can’t be bothered defending ourselves. Imprison the state prosecutors. Where is the state prosecutor who will indict the state?</w:t>
      </w:r>
    </w:p>
    <w:p w14:paraId="736A7E9F" w14:textId="77777777" w:rsidR="002653E8" w:rsidRDefault="003115E3">
      <w:pPr>
        <w:pStyle w:val="a3"/>
        <w:spacing w:line="264" w:lineRule="auto"/>
        <w:ind w:left="1147" w:right="1325" w:firstLine="210"/>
        <w:jc w:val="both"/>
      </w:pPr>
      <w:r>
        <w:rPr>
          <w:color w:val="231F20"/>
        </w:rPr>
        <w:t>Faced with a justice system that is charging us with life-threatening arson, we can’t be bothered defending ourselves. Faced with a justice system, in the eyes of which, we have every reason to believe, we are politically tainted from the outset, we cannot defend ourselves (all the charged are arsonists and all judges are honest men). yet again: torch this ramshackle peace.</w:t>
      </w:r>
    </w:p>
    <w:p w14:paraId="57888788" w14:textId="77777777" w:rsidR="002653E8" w:rsidRDefault="003115E3">
      <w:pPr>
        <w:pStyle w:val="a3"/>
        <w:spacing w:line="264" w:lineRule="auto"/>
        <w:ind w:left="1147" w:right="1326" w:firstLine="210"/>
        <w:jc w:val="both"/>
      </w:pPr>
      <w:r>
        <w:rPr>
          <w:color w:val="231F20"/>
        </w:rPr>
        <w:t>And furthermore, faced with a justice system that speaks for the ruling class—and speaks deceptively—we can’t be bothered defending ourselves.</w:t>
      </w:r>
    </w:p>
    <w:p w14:paraId="2BC44A4B" w14:textId="77777777" w:rsidR="002653E8" w:rsidRDefault="003115E3">
      <w:pPr>
        <w:pStyle w:val="a3"/>
        <w:spacing w:line="264" w:lineRule="auto"/>
        <w:ind w:left="1147" w:right="1326" w:firstLine="210"/>
        <w:jc w:val="both"/>
      </w:pPr>
      <w:r>
        <w:rPr>
          <w:color w:val="231F20"/>
        </w:rPr>
        <w:t xml:space="preserve">Faced with a justice system with custodial judges as authoritarian     as judge Kappel, who gave every impression of being convinced of the guilt (whatever that </w:t>
      </w:r>
      <w:r>
        <w:rPr>
          <w:color w:val="231F20"/>
          <w:spacing w:val="-3"/>
        </w:rPr>
        <w:t xml:space="preserve">is) </w:t>
      </w:r>
      <w:r>
        <w:rPr>
          <w:color w:val="231F20"/>
        </w:rPr>
        <w:t xml:space="preserve">of all of the accused before the trial even started. Amongst other things, his macho aggressiveness is such that he said to me, </w:t>
      </w:r>
      <w:r>
        <w:rPr>
          <w:color w:val="231F20"/>
          <w:spacing w:val="-3"/>
        </w:rPr>
        <w:t xml:space="preserve">“Take  </w:t>
      </w:r>
      <w:r>
        <w:rPr>
          <w:color w:val="231F20"/>
        </w:rPr>
        <w:t xml:space="preserve">your hand out of your pocket.” When I put my other hand     in my pocket (obviously not the same </w:t>
      </w:r>
      <w:r>
        <w:rPr>
          <w:color w:val="231F20"/>
          <w:spacing w:val="-3"/>
        </w:rPr>
        <w:t xml:space="preserve">one), </w:t>
      </w:r>
      <w:r>
        <w:rPr>
          <w:color w:val="231F20"/>
        </w:rPr>
        <w:t>he didn’t say anything, he just laughed, and my laughter caught in my throat at the thought that he and I could ever laugh at the same thing for the same reason—a question of consciousness. Faced with such a justice system, I can’t be bothered</w:t>
      </w:r>
      <w:r>
        <w:rPr>
          <w:color w:val="231F20"/>
          <w:spacing w:val="5"/>
        </w:rPr>
        <w:t xml:space="preserve"> </w:t>
      </w:r>
      <w:r>
        <w:rPr>
          <w:color w:val="231F20"/>
        </w:rPr>
        <w:t>defending</w:t>
      </w:r>
      <w:r>
        <w:rPr>
          <w:color w:val="231F20"/>
          <w:spacing w:val="5"/>
        </w:rPr>
        <w:t xml:space="preserve"> </w:t>
      </w:r>
      <w:r>
        <w:rPr>
          <w:color w:val="231F20"/>
        </w:rPr>
        <w:t>myself,</w:t>
      </w:r>
      <w:r>
        <w:rPr>
          <w:color w:val="231F20"/>
          <w:spacing w:val="5"/>
        </w:rPr>
        <w:t xml:space="preserve"> </w:t>
      </w:r>
      <w:r>
        <w:rPr>
          <w:color w:val="231F20"/>
        </w:rPr>
        <w:t>and</w:t>
      </w:r>
      <w:r>
        <w:rPr>
          <w:color w:val="231F20"/>
          <w:spacing w:val="5"/>
        </w:rPr>
        <w:t xml:space="preserve"> </w:t>
      </w:r>
      <w:r>
        <w:rPr>
          <w:color w:val="231F20"/>
        </w:rPr>
        <w:t>we</w:t>
      </w:r>
      <w:r>
        <w:rPr>
          <w:color w:val="231F20"/>
          <w:spacing w:val="5"/>
        </w:rPr>
        <w:t xml:space="preserve"> </w:t>
      </w:r>
      <w:r>
        <w:rPr>
          <w:color w:val="231F20"/>
        </w:rPr>
        <w:t>can’t</w:t>
      </w:r>
      <w:r>
        <w:rPr>
          <w:color w:val="231F20"/>
          <w:spacing w:val="5"/>
        </w:rPr>
        <w:t xml:space="preserve"> </w:t>
      </w:r>
      <w:r>
        <w:rPr>
          <w:color w:val="231F20"/>
        </w:rPr>
        <w:t>be</w:t>
      </w:r>
      <w:r>
        <w:rPr>
          <w:color w:val="231F20"/>
          <w:spacing w:val="5"/>
        </w:rPr>
        <w:t xml:space="preserve"> </w:t>
      </w:r>
      <w:r>
        <w:rPr>
          <w:color w:val="231F20"/>
        </w:rPr>
        <w:t>bothered</w:t>
      </w:r>
      <w:r>
        <w:rPr>
          <w:color w:val="231F20"/>
          <w:spacing w:val="5"/>
        </w:rPr>
        <w:t xml:space="preserve"> </w:t>
      </w:r>
      <w:r>
        <w:rPr>
          <w:color w:val="231F20"/>
        </w:rPr>
        <w:t>defending</w:t>
      </w:r>
      <w:r>
        <w:rPr>
          <w:color w:val="231F20"/>
          <w:spacing w:val="5"/>
        </w:rPr>
        <w:t xml:space="preserve"> </w:t>
      </w:r>
      <w:r>
        <w:rPr>
          <w:color w:val="231F20"/>
        </w:rPr>
        <w:t>ourselves.</w:t>
      </w:r>
    </w:p>
    <w:p w14:paraId="2462E994" w14:textId="77777777" w:rsidR="002653E8" w:rsidRDefault="003115E3">
      <w:pPr>
        <w:pStyle w:val="a3"/>
        <w:spacing w:line="264" w:lineRule="auto"/>
        <w:ind w:left="1147" w:right="1325" w:firstLine="210"/>
        <w:jc w:val="both"/>
      </w:pPr>
      <w:r>
        <w:rPr>
          <w:color w:val="231F20"/>
          <w:w w:val="105"/>
        </w:rPr>
        <w:t>Faced</w:t>
      </w:r>
      <w:r>
        <w:rPr>
          <w:color w:val="231F20"/>
          <w:spacing w:val="-12"/>
          <w:w w:val="105"/>
        </w:rPr>
        <w:t xml:space="preserve"> </w:t>
      </w:r>
      <w:r>
        <w:rPr>
          <w:color w:val="231F20"/>
          <w:w w:val="105"/>
        </w:rPr>
        <w:t>with</w:t>
      </w:r>
      <w:r>
        <w:rPr>
          <w:color w:val="231F20"/>
          <w:spacing w:val="-12"/>
          <w:w w:val="105"/>
        </w:rPr>
        <w:t xml:space="preserve"> </w:t>
      </w:r>
      <w:r>
        <w:rPr>
          <w:color w:val="231F20"/>
          <w:w w:val="105"/>
        </w:rPr>
        <w:t>such</w:t>
      </w:r>
      <w:r>
        <w:rPr>
          <w:color w:val="231F20"/>
          <w:spacing w:val="-12"/>
          <w:w w:val="105"/>
        </w:rPr>
        <w:t xml:space="preserve"> </w:t>
      </w:r>
      <w:r>
        <w:rPr>
          <w:color w:val="231F20"/>
          <w:w w:val="105"/>
        </w:rPr>
        <w:t>a</w:t>
      </w:r>
      <w:r>
        <w:rPr>
          <w:color w:val="231F20"/>
          <w:spacing w:val="-12"/>
          <w:w w:val="105"/>
        </w:rPr>
        <w:t xml:space="preserve"> </w:t>
      </w:r>
      <w:r>
        <w:rPr>
          <w:color w:val="231F20"/>
          <w:w w:val="105"/>
        </w:rPr>
        <w:t>decadent</w:t>
      </w:r>
      <w:r>
        <w:rPr>
          <w:color w:val="231F20"/>
          <w:spacing w:val="-12"/>
          <w:w w:val="105"/>
        </w:rPr>
        <w:t xml:space="preserve"> </w:t>
      </w:r>
      <w:r>
        <w:rPr>
          <w:color w:val="231F20"/>
          <w:w w:val="105"/>
        </w:rPr>
        <w:t>justice</w:t>
      </w:r>
      <w:r>
        <w:rPr>
          <w:color w:val="231F20"/>
          <w:spacing w:val="-12"/>
          <w:w w:val="105"/>
        </w:rPr>
        <w:t xml:space="preserve"> </w:t>
      </w:r>
      <w:r>
        <w:rPr>
          <w:color w:val="231F20"/>
          <w:w w:val="105"/>
        </w:rPr>
        <w:t>system,</w:t>
      </w:r>
      <w:r>
        <w:rPr>
          <w:color w:val="231F20"/>
          <w:spacing w:val="-12"/>
          <w:w w:val="105"/>
        </w:rPr>
        <w:t xml:space="preserve"> </w:t>
      </w:r>
      <w:r>
        <w:rPr>
          <w:color w:val="231F20"/>
          <w:w w:val="105"/>
        </w:rPr>
        <w:t>we</w:t>
      </w:r>
      <w:r>
        <w:rPr>
          <w:color w:val="231F20"/>
          <w:spacing w:val="-12"/>
          <w:w w:val="105"/>
        </w:rPr>
        <w:t xml:space="preserve"> </w:t>
      </w:r>
      <w:r>
        <w:rPr>
          <w:color w:val="231F20"/>
          <w:w w:val="105"/>
        </w:rPr>
        <w:t>can’t</w:t>
      </w:r>
      <w:r>
        <w:rPr>
          <w:color w:val="231F20"/>
          <w:spacing w:val="-12"/>
          <w:w w:val="105"/>
        </w:rPr>
        <w:t xml:space="preserve"> </w:t>
      </w:r>
      <w:r>
        <w:rPr>
          <w:color w:val="231F20"/>
          <w:w w:val="105"/>
        </w:rPr>
        <w:t>be</w:t>
      </w:r>
      <w:r>
        <w:rPr>
          <w:color w:val="231F20"/>
          <w:spacing w:val="-12"/>
          <w:w w:val="105"/>
        </w:rPr>
        <w:t xml:space="preserve"> </w:t>
      </w:r>
      <w:r>
        <w:rPr>
          <w:color w:val="231F20"/>
          <w:w w:val="105"/>
        </w:rPr>
        <w:t>bothered</w:t>
      </w:r>
      <w:r>
        <w:rPr>
          <w:color w:val="231F20"/>
          <w:spacing w:val="-12"/>
          <w:w w:val="105"/>
        </w:rPr>
        <w:t xml:space="preserve"> </w:t>
      </w:r>
      <w:r>
        <w:rPr>
          <w:color w:val="231F20"/>
          <w:w w:val="105"/>
        </w:rPr>
        <w:t>defending</w:t>
      </w:r>
      <w:r>
        <w:rPr>
          <w:color w:val="231F20"/>
          <w:spacing w:val="-17"/>
          <w:w w:val="105"/>
        </w:rPr>
        <w:t xml:space="preserve"> </w:t>
      </w:r>
      <w:r>
        <w:rPr>
          <w:color w:val="231F20"/>
          <w:w w:val="105"/>
        </w:rPr>
        <w:t>ourselves</w:t>
      </w:r>
      <w:r>
        <w:rPr>
          <w:color w:val="231F20"/>
          <w:spacing w:val="-17"/>
          <w:w w:val="105"/>
        </w:rPr>
        <w:t xml:space="preserve"> </w:t>
      </w:r>
      <w:r>
        <w:rPr>
          <w:color w:val="231F20"/>
          <w:spacing w:val="-4"/>
          <w:w w:val="105"/>
        </w:rPr>
        <w:t>(a</w:t>
      </w:r>
      <w:r>
        <w:rPr>
          <w:color w:val="231F20"/>
          <w:spacing w:val="-17"/>
          <w:w w:val="105"/>
        </w:rPr>
        <w:t xml:space="preserve"> </w:t>
      </w:r>
      <w:r>
        <w:rPr>
          <w:color w:val="231F20"/>
          <w:w w:val="105"/>
        </w:rPr>
        <w:t>legal</w:t>
      </w:r>
      <w:r>
        <w:rPr>
          <w:color w:val="231F20"/>
          <w:spacing w:val="-17"/>
          <w:w w:val="105"/>
        </w:rPr>
        <w:t xml:space="preserve"> </w:t>
      </w:r>
      <w:r>
        <w:rPr>
          <w:color w:val="231F20"/>
          <w:w w:val="105"/>
        </w:rPr>
        <w:t>right</w:t>
      </w:r>
      <w:r>
        <w:rPr>
          <w:color w:val="231F20"/>
          <w:spacing w:val="-17"/>
          <w:w w:val="105"/>
        </w:rPr>
        <w:t xml:space="preserve"> </w:t>
      </w:r>
      <w:r>
        <w:rPr>
          <w:color w:val="231F20"/>
          <w:w w:val="105"/>
        </w:rPr>
        <w:t>is</w:t>
      </w:r>
      <w:r>
        <w:rPr>
          <w:color w:val="231F20"/>
          <w:spacing w:val="-17"/>
          <w:w w:val="105"/>
        </w:rPr>
        <w:t xml:space="preserve"> </w:t>
      </w:r>
      <w:r>
        <w:rPr>
          <w:color w:val="231F20"/>
          <w:w w:val="105"/>
        </w:rPr>
        <w:t>only</w:t>
      </w:r>
      <w:r>
        <w:rPr>
          <w:color w:val="231F20"/>
          <w:spacing w:val="-17"/>
          <w:w w:val="105"/>
        </w:rPr>
        <w:t xml:space="preserve"> </w:t>
      </w:r>
      <w:r>
        <w:rPr>
          <w:color w:val="231F20"/>
          <w:w w:val="105"/>
        </w:rPr>
        <w:t>what</w:t>
      </w:r>
      <w:r>
        <w:rPr>
          <w:color w:val="231F20"/>
          <w:spacing w:val="-17"/>
          <w:w w:val="105"/>
        </w:rPr>
        <w:t xml:space="preserve"> </w:t>
      </w:r>
      <w:r>
        <w:rPr>
          <w:color w:val="231F20"/>
          <w:w w:val="105"/>
        </w:rPr>
        <w:t>is</w:t>
      </w:r>
      <w:r>
        <w:rPr>
          <w:color w:val="231F20"/>
          <w:spacing w:val="-17"/>
          <w:w w:val="105"/>
        </w:rPr>
        <w:t xml:space="preserve"> </w:t>
      </w:r>
      <w:r>
        <w:rPr>
          <w:color w:val="231F20"/>
          <w:w w:val="105"/>
        </w:rPr>
        <w:t>right</w:t>
      </w:r>
      <w:r>
        <w:rPr>
          <w:color w:val="231F20"/>
          <w:spacing w:val="-17"/>
          <w:w w:val="105"/>
        </w:rPr>
        <w:t xml:space="preserve"> </w:t>
      </w:r>
      <w:r>
        <w:rPr>
          <w:color w:val="231F20"/>
          <w:w w:val="105"/>
        </w:rPr>
        <w:t>legally).</w:t>
      </w:r>
      <w:r>
        <w:rPr>
          <w:color w:val="231F20"/>
          <w:spacing w:val="-17"/>
          <w:w w:val="105"/>
        </w:rPr>
        <w:t xml:space="preserve"> </w:t>
      </w:r>
      <w:r>
        <w:rPr>
          <w:color w:val="231F20"/>
          <w:w w:val="105"/>
        </w:rPr>
        <w:t>Faced</w:t>
      </w:r>
      <w:r>
        <w:rPr>
          <w:color w:val="231F20"/>
          <w:spacing w:val="-17"/>
          <w:w w:val="105"/>
        </w:rPr>
        <w:t xml:space="preserve"> </w:t>
      </w:r>
      <w:r>
        <w:rPr>
          <w:color w:val="231F20"/>
          <w:w w:val="105"/>
        </w:rPr>
        <w:t>with a</w:t>
      </w:r>
      <w:r>
        <w:rPr>
          <w:color w:val="231F20"/>
          <w:spacing w:val="-23"/>
          <w:w w:val="105"/>
        </w:rPr>
        <w:t xml:space="preserve"> </w:t>
      </w:r>
      <w:r>
        <w:rPr>
          <w:color w:val="231F20"/>
          <w:w w:val="105"/>
        </w:rPr>
        <w:t>justice</w:t>
      </w:r>
      <w:r>
        <w:rPr>
          <w:color w:val="231F20"/>
          <w:spacing w:val="-23"/>
          <w:w w:val="105"/>
        </w:rPr>
        <w:t xml:space="preserve"> </w:t>
      </w:r>
      <w:r>
        <w:rPr>
          <w:color w:val="231F20"/>
          <w:w w:val="105"/>
        </w:rPr>
        <w:t>system</w:t>
      </w:r>
      <w:r>
        <w:rPr>
          <w:color w:val="231F20"/>
          <w:spacing w:val="-23"/>
          <w:w w:val="105"/>
        </w:rPr>
        <w:t xml:space="preserve"> </w:t>
      </w:r>
      <w:r>
        <w:rPr>
          <w:color w:val="231F20"/>
          <w:w w:val="105"/>
        </w:rPr>
        <w:t>that</w:t>
      </w:r>
      <w:r>
        <w:rPr>
          <w:color w:val="231F20"/>
          <w:spacing w:val="-23"/>
          <w:w w:val="105"/>
        </w:rPr>
        <w:t xml:space="preserve"> </w:t>
      </w:r>
      <w:r>
        <w:rPr>
          <w:color w:val="231F20"/>
          <w:w w:val="105"/>
        </w:rPr>
        <w:t>grotesquely</w:t>
      </w:r>
      <w:r>
        <w:rPr>
          <w:color w:val="231F20"/>
          <w:spacing w:val="-23"/>
          <w:w w:val="105"/>
        </w:rPr>
        <w:t xml:space="preserve"> </w:t>
      </w:r>
      <w:r>
        <w:rPr>
          <w:color w:val="231F20"/>
          <w:w w:val="105"/>
        </w:rPr>
        <w:t>misuses</w:t>
      </w:r>
      <w:r>
        <w:rPr>
          <w:color w:val="231F20"/>
          <w:spacing w:val="-23"/>
          <w:w w:val="105"/>
        </w:rPr>
        <w:t xml:space="preserve"> </w:t>
      </w:r>
      <w:r>
        <w:rPr>
          <w:color w:val="231F20"/>
          <w:w w:val="105"/>
        </w:rPr>
        <w:t>detention,</w:t>
      </w:r>
      <w:r>
        <w:rPr>
          <w:color w:val="231F20"/>
          <w:spacing w:val="-23"/>
          <w:w w:val="105"/>
        </w:rPr>
        <w:t xml:space="preserve"> </w:t>
      </w:r>
      <w:r>
        <w:rPr>
          <w:color w:val="231F20"/>
          <w:w w:val="105"/>
        </w:rPr>
        <w:t>I</w:t>
      </w:r>
      <w:r>
        <w:rPr>
          <w:color w:val="231F20"/>
          <w:spacing w:val="-23"/>
          <w:w w:val="105"/>
        </w:rPr>
        <w:t xml:space="preserve"> </w:t>
      </w:r>
      <w:r>
        <w:rPr>
          <w:color w:val="231F20"/>
          <w:w w:val="105"/>
        </w:rPr>
        <w:t>can’t</w:t>
      </w:r>
      <w:r>
        <w:rPr>
          <w:color w:val="231F20"/>
          <w:spacing w:val="-23"/>
          <w:w w:val="105"/>
        </w:rPr>
        <w:t xml:space="preserve"> </w:t>
      </w:r>
      <w:r>
        <w:rPr>
          <w:color w:val="231F20"/>
          <w:w w:val="105"/>
        </w:rPr>
        <w:t>be</w:t>
      </w:r>
      <w:r>
        <w:rPr>
          <w:color w:val="231F20"/>
          <w:spacing w:val="-23"/>
          <w:w w:val="105"/>
        </w:rPr>
        <w:t xml:space="preserve"> </w:t>
      </w:r>
      <w:r>
        <w:rPr>
          <w:color w:val="231F20"/>
          <w:w w:val="105"/>
        </w:rPr>
        <w:t>bothered defending</w:t>
      </w:r>
      <w:r>
        <w:rPr>
          <w:color w:val="231F20"/>
          <w:spacing w:val="-8"/>
          <w:w w:val="105"/>
        </w:rPr>
        <w:t xml:space="preserve"> </w:t>
      </w:r>
      <w:r>
        <w:rPr>
          <w:color w:val="231F20"/>
          <w:w w:val="105"/>
        </w:rPr>
        <w:t>myself.</w:t>
      </w:r>
      <w:r>
        <w:rPr>
          <w:color w:val="231F20"/>
          <w:spacing w:val="-8"/>
          <w:w w:val="105"/>
        </w:rPr>
        <w:t xml:space="preserve"> </w:t>
      </w:r>
      <w:r>
        <w:rPr>
          <w:color w:val="231F20"/>
          <w:spacing w:val="1"/>
          <w:w w:val="105"/>
        </w:rPr>
        <w:t>If</w:t>
      </w:r>
      <w:r>
        <w:rPr>
          <w:color w:val="231F20"/>
          <w:spacing w:val="-8"/>
          <w:w w:val="105"/>
        </w:rPr>
        <w:t xml:space="preserve"> </w:t>
      </w:r>
      <w:r>
        <w:rPr>
          <w:color w:val="231F20"/>
          <w:w w:val="105"/>
        </w:rPr>
        <w:t>you</w:t>
      </w:r>
      <w:r>
        <w:rPr>
          <w:color w:val="231F20"/>
          <w:spacing w:val="-8"/>
          <w:w w:val="105"/>
        </w:rPr>
        <w:t xml:space="preserve"> </w:t>
      </w:r>
      <w:r>
        <w:rPr>
          <w:color w:val="231F20"/>
          <w:w w:val="105"/>
        </w:rPr>
        <w:t>have</w:t>
      </w:r>
      <w:r>
        <w:rPr>
          <w:color w:val="231F20"/>
          <w:spacing w:val="-8"/>
          <w:w w:val="105"/>
        </w:rPr>
        <w:t xml:space="preserve"> </w:t>
      </w:r>
      <w:r>
        <w:rPr>
          <w:color w:val="231F20"/>
          <w:w w:val="105"/>
        </w:rPr>
        <w:t>a</w:t>
      </w:r>
      <w:r>
        <w:rPr>
          <w:color w:val="231F20"/>
          <w:spacing w:val="-8"/>
          <w:w w:val="105"/>
        </w:rPr>
        <w:t xml:space="preserve"> </w:t>
      </w:r>
      <w:r>
        <w:rPr>
          <w:color w:val="231F20"/>
          <w:w w:val="105"/>
        </w:rPr>
        <w:t>fixed</w:t>
      </w:r>
      <w:r>
        <w:rPr>
          <w:color w:val="231F20"/>
          <w:spacing w:val="-8"/>
          <w:w w:val="105"/>
        </w:rPr>
        <w:t xml:space="preserve"> </w:t>
      </w:r>
      <w:r>
        <w:rPr>
          <w:color w:val="231F20"/>
          <w:w w:val="105"/>
        </w:rPr>
        <w:t>address,</w:t>
      </w:r>
      <w:r>
        <w:rPr>
          <w:color w:val="231F20"/>
          <w:spacing w:val="-8"/>
          <w:w w:val="105"/>
        </w:rPr>
        <w:t xml:space="preserve"> </w:t>
      </w:r>
      <w:r>
        <w:rPr>
          <w:color w:val="231F20"/>
          <w:w w:val="105"/>
        </w:rPr>
        <w:t>the</w:t>
      </w:r>
      <w:r>
        <w:rPr>
          <w:color w:val="231F20"/>
          <w:spacing w:val="-8"/>
          <w:w w:val="105"/>
        </w:rPr>
        <w:t xml:space="preserve"> </w:t>
      </w:r>
      <w:r>
        <w:rPr>
          <w:color w:val="231F20"/>
          <w:w w:val="105"/>
        </w:rPr>
        <w:t>justice</w:t>
      </w:r>
      <w:r>
        <w:rPr>
          <w:color w:val="231F20"/>
          <w:spacing w:val="-8"/>
          <w:w w:val="105"/>
        </w:rPr>
        <w:t xml:space="preserve"> </w:t>
      </w:r>
      <w:r>
        <w:rPr>
          <w:color w:val="231F20"/>
          <w:w w:val="105"/>
        </w:rPr>
        <w:t>system</w:t>
      </w:r>
      <w:r>
        <w:rPr>
          <w:color w:val="231F20"/>
          <w:spacing w:val="-8"/>
          <w:w w:val="105"/>
        </w:rPr>
        <w:t xml:space="preserve"> </w:t>
      </w:r>
      <w:r>
        <w:rPr>
          <w:color w:val="231F20"/>
          <w:w w:val="105"/>
        </w:rPr>
        <w:t>holds on</w:t>
      </w:r>
      <w:r>
        <w:rPr>
          <w:color w:val="231F20"/>
          <w:spacing w:val="-9"/>
          <w:w w:val="105"/>
        </w:rPr>
        <w:t xml:space="preserve"> </w:t>
      </w:r>
      <w:r>
        <w:rPr>
          <w:color w:val="231F20"/>
          <w:w w:val="105"/>
        </w:rPr>
        <w:t>to</w:t>
      </w:r>
      <w:r>
        <w:rPr>
          <w:color w:val="231F20"/>
          <w:spacing w:val="-9"/>
          <w:w w:val="105"/>
        </w:rPr>
        <w:t xml:space="preserve"> </w:t>
      </w:r>
      <w:r>
        <w:rPr>
          <w:color w:val="231F20"/>
          <w:w w:val="105"/>
        </w:rPr>
        <w:t>you</w:t>
      </w:r>
      <w:r>
        <w:rPr>
          <w:color w:val="231F20"/>
          <w:spacing w:val="-9"/>
          <w:w w:val="105"/>
        </w:rPr>
        <w:t xml:space="preserve"> </w:t>
      </w:r>
      <w:r>
        <w:rPr>
          <w:color w:val="231F20"/>
          <w:w w:val="105"/>
        </w:rPr>
        <w:t>until</w:t>
      </w:r>
      <w:r>
        <w:rPr>
          <w:color w:val="231F20"/>
          <w:spacing w:val="-9"/>
          <w:w w:val="105"/>
        </w:rPr>
        <w:t xml:space="preserve"> </w:t>
      </w:r>
      <w:r>
        <w:rPr>
          <w:color w:val="231F20"/>
          <w:w w:val="105"/>
        </w:rPr>
        <w:t>you</w:t>
      </w:r>
      <w:r>
        <w:rPr>
          <w:color w:val="231F20"/>
          <w:spacing w:val="-9"/>
          <w:w w:val="105"/>
        </w:rPr>
        <w:t xml:space="preserve"> </w:t>
      </w:r>
      <w:r>
        <w:rPr>
          <w:color w:val="231F20"/>
          <w:w w:val="105"/>
        </w:rPr>
        <w:t>lose</w:t>
      </w:r>
      <w:r>
        <w:rPr>
          <w:color w:val="231F20"/>
          <w:spacing w:val="-9"/>
          <w:w w:val="105"/>
        </w:rPr>
        <w:t xml:space="preserve"> </w:t>
      </w:r>
      <w:r>
        <w:rPr>
          <w:color w:val="231F20"/>
          <w:w w:val="105"/>
        </w:rPr>
        <w:t>it,</w:t>
      </w:r>
      <w:r>
        <w:rPr>
          <w:color w:val="231F20"/>
          <w:spacing w:val="-9"/>
          <w:w w:val="105"/>
        </w:rPr>
        <w:t xml:space="preserve"> </w:t>
      </w:r>
      <w:r>
        <w:rPr>
          <w:color w:val="231F20"/>
          <w:w w:val="105"/>
        </w:rPr>
        <w:t>which</w:t>
      </w:r>
      <w:r>
        <w:rPr>
          <w:color w:val="231F20"/>
          <w:spacing w:val="-9"/>
          <w:w w:val="105"/>
        </w:rPr>
        <w:t xml:space="preserve"> </w:t>
      </w:r>
      <w:r>
        <w:rPr>
          <w:color w:val="231F20"/>
          <w:w w:val="105"/>
        </w:rPr>
        <w:t>is</w:t>
      </w:r>
      <w:r>
        <w:rPr>
          <w:color w:val="231F20"/>
          <w:spacing w:val="-9"/>
          <w:w w:val="105"/>
        </w:rPr>
        <w:t xml:space="preserve"> </w:t>
      </w:r>
      <w:r>
        <w:rPr>
          <w:color w:val="231F20"/>
          <w:w w:val="105"/>
        </w:rPr>
        <w:t>to</w:t>
      </w:r>
      <w:r>
        <w:rPr>
          <w:color w:val="231F20"/>
          <w:spacing w:val="-9"/>
          <w:w w:val="105"/>
        </w:rPr>
        <w:t xml:space="preserve"> </w:t>
      </w:r>
      <w:r>
        <w:rPr>
          <w:color w:val="231F20"/>
          <w:spacing w:val="-4"/>
          <w:w w:val="105"/>
        </w:rPr>
        <w:t>say,</w:t>
      </w:r>
      <w:r>
        <w:rPr>
          <w:color w:val="231F20"/>
          <w:spacing w:val="-9"/>
          <w:w w:val="105"/>
        </w:rPr>
        <w:t xml:space="preserve"> </w:t>
      </w:r>
      <w:r>
        <w:rPr>
          <w:color w:val="231F20"/>
          <w:w w:val="105"/>
        </w:rPr>
        <w:t>until</w:t>
      </w:r>
      <w:r>
        <w:rPr>
          <w:color w:val="231F20"/>
          <w:spacing w:val="-9"/>
          <w:w w:val="105"/>
        </w:rPr>
        <w:t xml:space="preserve"> </w:t>
      </w:r>
      <w:r>
        <w:rPr>
          <w:color w:val="231F20"/>
          <w:spacing w:val="-4"/>
          <w:w w:val="105"/>
        </w:rPr>
        <w:t>you’re</w:t>
      </w:r>
      <w:r>
        <w:rPr>
          <w:color w:val="231F20"/>
          <w:spacing w:val="-9"/>
          <w:w w:val="105"/>
        </w:rPr>
        <w:t xml:space="preserve"> </w:t>
      </w:r>
      <w:r>
        <w:rPr>
          <w:color w:val="231F20"/>
          <w:w w:val="105"/>
        </w:rPr>
        <w:t>tossed</w:t>
      </w:r>
      <w:r>
        <w:rPr>
          <w:color w:val="231F20"/>
          <w:spacing w:val="-9"/>
          <w:w w:val="105"/>
        </w:rPr>
        <w:t xml:space="preserve"> </w:t>
      </w:r>
      <w:r>
        <w:rPr>
          <w:color w:val="231F20"/>
          <w:w w:val="105"/>
        </w:rPr>
        <w:t>out.</w:t>
      </w:r>
      <w:r>
        <w:rPr>
          <w:color w:val="231F20"/>
          <w:spacing w:val="-9"/>
          <w:w w:val="105"/>
        </w:rPr>
        <w:t xml:space="preserve"> </w:t>
      </w:r>
      <w:r>
        <w:rPr>
          <w:color w:val="231F20"/>
          <w:w w:val="105"/>
        </w:rPr>
        <w:t>Then the</w:t>
      </w:r>
      <w:r>
        <w:rPr>
          <w:color w:val="231F20"/>
          <w:spacing w:val="-5"/>
          <w:w w:val="105"/>
        </w:rPr>
        <w:t xml:space="preserve"> </w:t>
      </w:r>
      <w:r>
        <w:rPr>
          <w:color w:val="231F20"/>
          <w:w w:val="105"/>
        </w:rPr>
        <w:t>justice</w:t>
      </w:r>
      <w:r>
        <w:rPr>
          <w:color w:val="231F20"/>
          <w:spacing w:val="-5"/>
          <w:w w:val="105"/>
        </w:rPr>
        <w:t xml:space="preserve"> </w:t>
      </w:r>
      <w:r>
        <w:rPr>
          <w:color w:val="231F20"/>
          <w:w w:val="105"/>
        </w:rPr>
        <w:t>system</w:t>
      </w:r>
      <w:r>
        <w:rPr>
          <w:color w:val="231F20"/>
          <w:spacing w:val="-5"/>
          <w:w w:val="105"/>
        </w:rPr>
        <w:t xml:space="preserve"> </w:t>
      </w:r>
      <w:r>
        <w:rPr>
          <w:color w:val="231F20"/>
          <w:w w:val="105"/>
        </w:rPr>
        <w:t>says,</w:t>
      </w:r>
      <w:r>
        <w:rPr>
          <w:color w:val="231F20"/>
          <w:spacing w:val="-5"/>
          <w:w w:val="105"/>
        </w:rPr>
        <w:t xml:space="preserve"> </w:t>
      </w:r>
      <w:r>
        <w:rPr>
          <w:color w:val="231F20"/>
          <w:spacing w:val="-3"/>
          <w:w w:val="105"/>
        </w:rPr>
        <w:t>“Ah,</w:t>
      </w:r>
      <w:r>
        <w:rPr>
          <w:color w:val="231F20"/>
          <w:spacing w:val="-5"/>
          <w:w w:val="105"/>
        </w:rPr>
        <w:t xml:space="preserve"> </w:t>
      </w:r>
      <w:r>
        <w:rPr>
          <w:color w:val="231F20"/>
          <w:w w:val="105"/>
        </w:rPr>
        <w:t>you</w:t>
      </w:r>
      <w:r>
        <w:rPr>
          <w:color w:val="231F20"/>
          <w:spacing w:val="-5"/>
          <w:w w:val="105"/>
        </w:rPr>
        <w:t xml:space="preserve"> </w:t>
      </w:r>
      <w:r>
        <w:rPr>
          <w:color w:val="231F20"/>
          <w:spacing w:val="-3"/>
          <w:w w:val="105"/>
        </w:rPr>
        <w:t>don’t</w:t>
      </w:r>
      <w:r>
        <w:rPr>
          <w:color w:val="231F20"/>
          <w:spacing w:val="-5"/>
          <w:w w:val="105"/>
        </w:rPr>
        <w:t xml:space="preserve"> </w:t>
      </w:r>
      <w:r>
        <w:rPr>
          <w:color w:val="231F20"/>
          <w:w w:val="105"/>
        </w:rPr>
        <w:t>have</w:t>
      </w:r>
      <w:r>
        <w:rPr>
          <w:color w:val="231F20"/>
          <w:spacing w:val="-5"/>
          <w:w w:val="105"/>
        </w:rPr>
        <w:t xml:space="preserve"> </w:t>
      </w:r>
      <w:r>
        <w:rPr>
          <w:color w:val="231F20"/>
          <w:w w:val="105"/>
        </w:rPr>
        <w:t>one.</w:t>
      </w:r>
      <w:r>
        <w:rPr>
          <w:color w:val="231F20"/>
          <w:spacing w:val="-5"/>
          <w:w w:val="105"/>
        </w:rPr>
        <w:t xml:space="preserve"> </w:t>
      </w:r>
      <w:r>
        <w:rPr>
          <w:color w:val="231F20"/>
          <w:spacing w:val="1"/>
          <w:w w:val="105"/>
        </w:rPr>
        <w:t>In</w:t>
      </w:r>
      <w:r>
        <w:rPr>
          <w:color w:val="231F20"/>
          <w:spacing w:val="-5"/>
          <w:w w:val="105"/>
        </w:rPr>
        <w:t xml:space="preserve"> </w:t>
      </w:r>
      <w:r>
        <w:rPr>
          <w:color w:val="231F20"/>
          <w:w w:val="105"/>
        </w:rPr>
        <w:t>any</w:t>
      </w:r>
      <w:r>
        <w:rPr>
          <w:color w:val="231F20"/>
          <w:spacing w:val="-5"/>
          <w:w w:val="105"/>
        </w:rPr>
        <w:t xml:space="preserve"> </w:t>
      </w:r>
      <w:r>
        <w:rPr>
          <w:color w:val="231F20"/>
          <w:w w:val="105"/>
        </w:rPr>
        <w:t>event,</w:t>
      </w:r>
      <w:r>
        <w:rPr>
          <w:color w:val="231F20"/>
          <w:spacing w:val="-5"/>
          <w:w w:val="105"/>
        </w:rPr>
        <w:t xml:space="preserve"> </w:t>
      </w:r>
      <w:r>
        <w:rPr>
          <w:color w:val="231F20"/>
          <w:w w:val="105"/>
        </w:rPr>
        <w:t>if</w:t>
      </w:r>
      <w:r>
        <w:rPr>
          <w:color w:val="231F20"/>
          <w:spacing w:val="-5"/>
          <w:w w:val="105"/>
        </w:rPr>
        <w:t xml:space="preserve"> </w:t>
      </w:r>
      <w:r>
        <w:rPr>
          <w:color w:val="231F20"/>
          <w:spacing w:val="-4"/>
          <w:w w:val="105"/>
        </w:rPr>
        <w:t xml:space="preserve">you’re </w:t>
      </w:r>
      <w:r>
        <w:rPr>
          <w:color w:val="231F20"/>
          <w:w w:val="105"/>
        </w:rPr>
        <w:t>released</w:t>
      </w:r>
      <w:r>
        <w:rPr>
          <w:color w:val="231F20"/>
          <w:spacing w:val="-25"/>
          <w:w w:val="105"/>
        </w:rPr>
        <w:t xml:space="preserve"> </w:t>
      </w:r>
      <w:r>
        <w:rPr>
          <w:color w:val="231F20"/>
          <w:w w:val="105"/>
        </w:rPr>
        <w:t>you</w:t>
      </w:r>
      <w:r>
        <w:rPr>
          <w:color w:val="231F20"/>
          <w:spacing w:val="-25"/>
          <w:w w:val="105"/>
        </w:rPr>
        <w:t xml:space="preserve"> </w:t>
      </w:r>
      <w:r>
        <w:rPr>
          <w:color w:val="231F20"/>
          <w:w w:val="105"/>
        </w:rPr>
        <w:t>will</w:t>
      </w:r>
      <w:r>
        <w:rPr>
          <w:color w:val="231F20"/>
          <w:spacing w:val="-25"/>
          <w:w w:val="105"/>
        </w:rPr>
        <w:t xml:space="preserve"> </w:t>
      </w:r>
      <w:r>
        <w:rPr>
          <w:color w:val="231F20"/>
          <w:w w:val="105"/>
        </w:rPr>
        <w:t>no</w:t>
      </w:r>
      <w:r>
        <w:rPr>
          <w:color w:val="231F20"/>
          <w:spacing w:val="-25"/>
          <w:w w:val="105"/>
        </w:rPr>
        <w:t xml:space="preserve"> </w:t>
      </w:r>
      <w:r>
        <w:rPr>
          <w:color w:val="231F20"/>
          <w:w w:val="105"/>
        </w:rPr>
        <w:t>longer</w:t>
      </w:r>
      <w:r>
        <w:rPr>
          <w:color w:val="231F20"/>
          <w:spacing w:val="-25"/>
          <w:w w:val="105"/>
        </w:rPr>
        <w:t xml:space="preserve"> </w:t>
      </w:r>
      <w:r>
        <w:rPr>
          <w:color w:val="231F20"/>
          <w:w w:val="105"/>
        </w:rPr>
        <w:t>have</w:t>
      </w:r>
      <w:r>
        <w:rPr>
          <w:color w:val="231F20"/>
          <w:spacing w:val="-25"/>
          <w:w w:val="105"/>
        </w:rPr>
        <w:t xml:space="preserve"> </w:t>
      </w:r>
      <w:r>
        <w:rPr>
          <w:color w:val="231F20"/>
          <w:w w:val="105"/>
        </w:rPr>
        <w:t>one.</w:t>
      </w:r>
      <w:r>
        <w:rPr>
          <w:color w:val="231F20"/>
          <w:spacing w:val="-25"/>
          <w:w w:val="105"/>
        </w:rPr>
        <w:t xml:space="preserve"> </w:t>
      </w:r>
      <w:r>
        <w:rPr>
          <w:color w:val="231F20"/>
          <w:w w:val="105"/>
        </w:rPr>
        <w:t>That</w:t>
      </w:r>
      <w:r>
        <w:rPr>
          <w:color w:val="231F20"/>
          <w:spacing w:val="-25"/>
          <w:w w:val="105"/>
        </w:rPr>
        <w:t xml:space="preserve"> </w:t>
      </w:r>
      <w:r>
        <w:rPr>
          <w:color w:val="231F20"/>
          <w:w w:val="105"/>
        </w:rPr>
        <w:t>essentially</w:t>
      </w:r>
      <w:r>
        <w:rPr>
          <w:color w:val="231F20"/>
          <w:spacing w:val="-25"/>
          <w:w w:val="105"/>
        </w:rPr>
        <w:t xml:space="preserve"> </w:t>
      </w:r>
      <w:r>
        <w:rPr>
          <w:color w:val="231F20"/>
          <w:w w:val="105"/>
        </w:rPr>
        <w:t>makes</w:t>
      </w:r>
      <w:r>
        <w:rPr>
          <w:color w:val="231F20"/>
          <w:spacing w:val="-25"/>
          <w:w w:val="105"/>
        </w:rPr>
        <w:t xml:space="preserve"> </w:t>
      </w:r>
      <w:r>
        <w:rPr>
          <w:color w:val="231F20"/>
          <w:w w:val="105"/>
        </w:rPr>
        <w:t>you</w:t>
      </w:r>
      <w:r>
        <w:rPr>
          <w:color w:val="231F20"/>
          <w:spacing w:val="-25"/>
          <w:w w:val="105"/>
        </w:rPr>
        <w:t xml:space="preserve"> </w:t>
      </w:r>
      <w:r>
        <w:rPr>
          <w:color w:val="231F20"/>
          <w:w w:val="105"/>
        </w:rPr>
        <w:t>a</w:t>
      </w:r>
      <w:r>
        <w:rPr>
          <w:color w:val="231F20"/>
          <w:spacing w:val="-25"/>
          <w:w w:val="105"/>
        </w:rPr>
        <w:t xml:space="preserve"> </w:t>
      </w:r>
      <w:r>
        <w:rPr>
          <w:color w:val="231F20"/>
          <w:w w:val="105"/>
        </w:rPr>
        <w:t xml:space="preserve">flight </w:t>
      </w:r>
      <w:r>
        <w:rPr>
          <w:color w:val="231F20"/>
          <w:spacing w:val="-3"/>
          <w:w w:val="105"/>
        </w:rPr>
        <w:t xml:space="preserve">risk.” </w:t>
      </w:r>
      <w:r>
        <w:rPr>
          <w:color w:val="231F20"/>
          <w:w w:val="105"/>
        </w:rPr>
        <w:t>Faced with a justice system that grotesquely abuses preventive detention,</w:t>
      </w:r>
      <w:r>
        <w:rPr>
          <w:color w:val="231F20"/>
          <w:spacing w:val="-5"/>
          <w:w w:val="105"/>
        </w:rPr>
        <w:t xml:space="preserve"> </w:t>
      </w:r>
      <w:r>
        <w:rPr>
          <w:color w:val="231F20"/>
          <w:w w:val="105"/>
        </w:rPr>
        <w:t>we</w:t>
      </w:r>
      <w:r>
        <w:rPr>
          <w:color w:val="231F20"/>
          <w:spacing w:val="-5"/>
          <w:w w:val="105"/>
        </w:rPr>
        <w:t xml:space="preserve"> </w:t>
      </w:r>
      <w:r>
        <w:rPr>
          <w:color w:val="231F20"/>
          <w:w w:val="105"/>
        </w:rPr>
        <w:t>can’t</w:t>
      </w:r>
      <w:r>
        <w:rPr>
          <w:color w:val="231F20"/>
          <w:spacing w:val="-5"/>
          <w:w w:val="105"/>
        </w:rPr>
        <w:t xml:space="preserve"> </w:t>
      </w:r>
      <w:r>
        <w:rPr>
          <w:color w:val="231F20"/>
          <w:w w:val="105"/>
        </w:rPr>
        <w:t>be</w:t>
      </w:r>
      <w:r>
        <w:rPr>
          <w:color w:val="231F20"/>
          <w:spacing w:val="-5"/>
          <w:w w:val="105"/>
        </w:rPr>
        <w:t xml:space="preserve"> </w:t>
      </w:r>
      <w:r>
        <w:rPr>
          <w:color w:val="231F20"/>
          <w:w w:val="105"/>
        </w:rPr>
        <w:t>bothered</w:t>
      </w:r>
      <w:r>
        <w:rPr>
          <w:color w:val="231F20"/>
          <w:spacing w:val="-5"/>
          <w:w w:val="105"/>
        </w:rPr>
        <w:t xml:space="preserve"> </w:t>
      </w:r>
      <w:r>
        <w:rPr>
          <w:color w:val="231F20"/>
          <w:w w:val="105"/>
        </w:rPr>
        <w:t>defending</w:t>
      </w:r>
      <w:r>
        <w:rPr>
          <w:color w:val="231F20"/>
          <w:spacing w:val="-5"/>
          <w:w w:val="105"/>
        </w:rPr>
        <w:t xml:space="preserve"> </w:t>
      </w:r>
      <w:r>
        <w:rPr>
          <w:color w:val="231F20"/>
          <w:w w:val="105"/>
        </w:rPr>
        <w:t>ourselves.</w:t>
      </w:r>
      <w:r>
        <w:rPr>
          <w:color w:val="231F20"/>
          <w:spacing w:val="-5"/>
          <w:w w:val="105"/>
        </w:rPr>
        <w:t xml:space="preserve"> </w:t>
      </w:r>
      <w:r>
        <w:rPr>
          <w:color w:val="231F20"/>
          <w:spacing w:val="1"/>
          <w:w w:val="105"/>
        </w:rPr>
        <w:t>In</w:t>
      </w:r>
      <w:r>
        <w:rPr>
          <w:color w:val="231F20"/>
          <w:spacing w:val="-5"/>
          <w:w w:val="105"/>
        </w:rPr>
        <w:t xml:space="preserve"> </w:t>
      </w:r>
      <w:r>
        <w:rPr>
          <w:color w:val="231F20"/>
          <w:w w:val="105"/>
        </w:rPr>
        <w:t>this</w:t>
      </w:r>
      <w:r>
        <w:rPr>
          <w:color w:val="231F20"/>
          <w:spacing w:val="-5"/>
          <w:w w:val="105"/>
        </w:rPr>
        <w:t xml:space="preserve"> </w:t>
      </w:r>
      <w:r>
        <w:rPr>
          <w:color w:val="231F20"/>
          <w:spacing w:val="-2"/>
          <w:w w:val="105"/>
        </w:rPr>
        <w:t>way</w:t>
      </w:r>
      <w:r>
        <w:rPr>
          <w:color w:val="231F20"/>
          <w:spacing w:val="-5"/>
          <w:w w:val="105"/>
        </w:rPr>
        <w:t xml:space="preserve"> </w:t>
      </w:r>
      <w:r>
        <w:rPr>
          <w:color w:val="231F20"/>
          <w:w w:val="105"/>
        </w:rPr>
        <w:t>they reveal</w:t>
      </w:r>
      <w:r>
        <w:rPr>
          <w:color w:val="231F20"/>
          <w:spacing w:val="-5"/>
          <w:w w:val="105"/>
        </w:rPr>
        <w:t xml:space="preserve"> </w:t>
      </w:r>
      <w:r>
        <w:rPr>
          <w:color w:val="231F20"/>
          <w:w w:val="105"/>
        </w:rPr>
        <w:t>the</w:t>
      </w:r>
      <w:r>
        <w:rPr>
          <w:color w:val="231F20"/>
          <w:spacing w:val="-5"/>
          <w:w w:val="105"/>
        </w:rPr>
        <w:t xml:space="preserve"> </w:t>
      </w:r>
      <w:r>
        <w:rPr>
          <w:color w:val="231F20"/>
          <w:w w:val="105"/>
        </w:rPr>
        <w:t>abyss</w:t>
      </w:r>
      <w:r>
        <w:rPr>
          <w:color w:val="231F20"/>
          <w:spacing w:val="-5"/>
          <w:w w:val="105"/>
        </w:rPr>
        <w:t xml:space="preserve"> </w:t>
      </w:r>
      <w:r>
        <w:rPr>
          <w:color w:val="231F20"/>
          <w:w w:val="105"/>
        </w:rPr>
        <w:t>that</w:t>
      </w:r>
      <w:r>
        <w:rPr>
          <w:color w:val="231F20"/>
          <w:spacing w:val="-5"/>
          <w:w w:val="105"/>
        </w:rPr>
        <w:t xml:space="preserve"> </w:t>
      </w:r>
      <w:r>
        <w:rPr>
          <w:color w:val="231F20"/>
          <w:w w:val="105"/>
        </w:rPr>
        <w:t>is</w:t>
      </w:r>
      <w:r>
        <w:rPr>
          <w:color w:val="231F20"/>
          <w:spacing w:val="-5"/>
          <w:w w:val="105"/>
        </w:rPr>
        <w:t xml:space="preserve"> </w:t>
      </w:r>
      <w:r>
        <w:rPr>
          <w:color w:val="231F20"/>
          <w:w w:val="105"/>
        </w:rPr>
        <w:t>the</w:t>
      </w:r>
      <w:r>
        <w:rPr>
          <w:color w:val="231F20"/>
          <w:spacing w:val="-5"/>
          <w:w w:val="105"/>
        </w:rPr>
        <w:t xml:space="preserve"> </w:t>
      </w:r>
      <w:r>
        <w:rPr>
          <w:color w:val="231F20"/>
          <w:w w:val="105"/>
        </w:rPr>
        <w:t>justice</w:t>
      </w:r>
      <w:r>
        <w:rPr>
          <w:color w:val="231F20"/>
          <w:spacing w:val="-5"/>
          <w:w w:val="105"/>
        </w:rPr>
        <w:t xml:space="preserve"> </w:t>
      </w:r>
      <w:r>
        <w:rPr>
          <w:color w:val="231F20"/>
          <w:w w:val="105"/>
        </w:rPr>
        <w:t>system.</w:t>
      </w:r>
      <w:r>
        <w:rPr>
          <w:color w:val="231F20"/>
          <w:spacing w:val="-5"/>
          <w:w w:val="105"/>
        </w:rPr>
        <w:t xml:space="preserve"> </w:t>
      </w:r>
      <w:r>
        <w:rPr>
          <w:color w:val="231F20"/>
          <w:spacing w:val="1"/>
          <w:w w:val="105"/>
        </w:rPr>
        <w:t>If</w:t>
      </w:r>
      <w:r>
        <w:rPr>
          <w:color w:val="231F20"/>
          <w:spacing w:val="-5"/>
          <w:w w:val="105"/>
        </w:rPr>
        <w:t xml:space="preserve"> </w:t>
      </w:r>
      <w:r>
        <w:rPr>
          <w:color w:val="231F20"/>
          <w:w w:val="105"/>
        </w:rPr>
        <w:t>you</w:t>
      </w:r>
      <w:r>
        <w:rPr>
          <w:color w:val="231F20"/>
          <w:spacing w:val="-5"/>
          <w:w w:val="105"/>
        </w:rPr>
        <w:t xml:space="preserve"> </w:t>
      </w:r>
      <w:r>
        <w:rPr>
          <w:color w:val="231F20"/>
          <w:w w:val="105"/>
        </w:rPr>
        <w:t>have</w:t>
      </w:r>
      <w:r>
        <w:rPr>
          <w:color w:val="231F20"/>
          <w:spacing w:val="-5"/>
          <w:w w:val="105"/>
        </w:rPr>
        <w:t xml:space="preserve"> </w:t>
      </w:r>
      <w:r>
        <w:rPr>
          <w:color w:val="231F20"/>
          <w:w w:val="105"/>
        </w:rPr>
        <w:t>a</w:t>
      </w:r>
      <w:r>
        <w:rPr>
          <w:color w:val="231F20"/>
          <w:spacing w:val="-5"/>
          <w:w w:val="105"/>
        </w:rPr>
        <w:t xml:space="preserve"> </w:t>
      </w:r>
      <w:r>
        <w:rPr>
          <w:color w:val="231F20"/>
          <w:w w:val="105"/>
        </w:rPr>
        <w:t>fixed</w:t>
      </w:r>
      <w:r>
        <w:rPr>
          <w:color w:val="231F20"/>
          <w:spacing w:val="-5"/>
          <w:w w:val="105"/>
        </w:rPr>
        <w:t xml:space="preserve"> </w:t>
      </w:r>
      <w:r>
        <w:rPr>
          <w:color w:val="231F20"/>
          <w:w w:val="105"/>
        </w:rPr>
        <w:t>address, the police make sure you lose it, so they can take you into custody. It happened to August Klee, who like me has been held in detention for some</w:t>
      </w:r>
      <w:r>
        <w:rPr>
          <w:color w:val="231F20"/>
          <w:spacing w:val="-20"/>
          <w:w w:val="105"/>
        </w:rPr>
        <w:t xml:space="preserve"> </w:t>
      </w:r>
      <w:r>
        <w:rPr>
          <w:color w:val="231F20"/>
          <w:w w:val="105"/>
        </w:rPr>
        <w:t>months</w:t>
      </w:r>
      <w:r>
        <w:rPr>
          <w:color w:val="231F20"/>
          <w:spacing w:val="-20"/>
          <w:w w:val="105"/>
        </w:rPr>
        <w:t xml:space="preserve"> </w:t>
      </w:r>
      <w:r>
        <w:rPr>
          <w:color w:val="231F20"/>
          <w:spacing w:val="-5"/>
          <w:w w:val="105"/>
        </w:rPr>
        <w:t>now.</w:t>
      </w:r>
      <w:r>
        <w:rPr>
          <w:color w:val="231F20"/>
          <w:spacing w:val="-20"/>
          <w:w w:val="105"/>
        </w:rPr>
        <w:t xml:space="preserve"> </w:t>
      </w:r>
      <w:r>
        <w:rPr>
          <w:color w:val="231F20"/>
          <w:w w:val="105"/>
        </w:rPr>
        <w:t>While</w:t>
      </w:r>
      <w:r>
        <w:rPr>
          <w:color w:val="231F20"/>
          <w:spacing w:val="-20"/>
          <w:w w:val="105"/>
        </w:rPr>
        <w:t xml:space="preserve"> </w:t>
      </w:r>
      <w:r>
        <w:rPr>
          <w:color w:val="231F20"/>
          <w:w w:val="105"/>
        </w:rPr>
        <w:t>all</w:t>
      </w:r>
      <w:r>
        <w:rPr>
          <w:color w:val="231F20"/>
          <w:spacing w:val="-20"/>
          <w:w w:val="105"/>
        </w:rPr>
        <w:t xml:space="preserve"> </w:t>
      </w:r>
      <w:r>
        <w:rPr>
          <w:color w:val="231F20"/>
          <w:w w:val="105"/>
        </w:rPr>
        <w:t>of</w:t>
      </w:r>
      <w:r>
        <w:rPr>
          <w:color w:val="231F20"/>
          <w:spacing w:val="-20"/>
          <w:w w:val="105"/>
        </w:rPr>
        <w:t xml:space="preserve"> </w:t>
      </w:r>
      <w:r>
        <w:rPr>
          <w:color w:val="231F20"/>
          <w:w w:val="105"/>
        </w:rPr>
        <w:t>this</w:t>
      </w:r>
      <w:r>
        <w:rPr>
          <w:color w:val="231F20"/>
          <w:spacing w:val="-20"/>
          <w:w w:val="105"/>
        </w:rPr>
        <w:t xml:space="preserve"> </w:t>
      </w:r>
      <w:r>
        <w:rPr>
          <w:color w:val="231F20"/>
          <w:w w:val="105"/>
        </w:rPr>
        <w:t>has</w:t>
      </w:r>
      <w:r>
        <w:rPr>
          <w:color w:val="231F20"/>
          <w:spacing w:val="-20"/>
          <w:w w:val="105"/>
        </w:rPr>
        <w:t xml:space="preserve"> </w:t>
      </w:r>
      <w:r>
        <w:rPr>
          <w:color w:val="231F20"/>
          <w:w w:val="105"/>
        </w:rPr>
        <w:t>not</w:t>
      </w:r>
      <w:r>
        <w:rPr>
          <w:color w:val="231F20"/>
          <w:spacing w:val="-20"/>
          <w:w w:val="105"/>
        </w:rPr>
        <w:t xml:space="preserve"> </w:t>
      </w:r>
      <w:r>
        <w:rPr>
          <w:color w:val="231F20"/>
          <w:w w:val="105"/>
        </w:rPr>
        <w:t>been</w:t>
      </w:r>
      <w:r>
        <w:rPr>
          <w:color w:val="231F20"/>
          <w:spacing w:val="-20"/>
          <w:w w:val="105"/>
        </w:rPr>
        <w:t xml:space="preserve"> </w:t>
      </w:r>
      <w:r>
        <w:rPr>
          <w:color w:val="231F20"/>
          <w:w w:val="105"/>
        </w:rPr>
        <w:t>enough</w:t>
      </w:r>
      <w:r>
        <w:rPr>
          <w:color w:val="231F20"/>
          <w:spacing w:val="-20"/>
          <w:w w:val="105"/>
        </w:rPr>
        <w:t xml:space="preserve"> </w:t>
      </w:r>
      <w:r>
        <w:rPr>
          <w:color w:val="231F20"/>
          <w:w w:val="105"/>
        </w:rPr>
        <w:t>to</w:t>
      </w:r>
      <w:r>
        <w:rPr>
          <w:color w:val="231F20"/>
          <w:spacing w:val="-20"/>
          <w:w w:val="105"/>
        </w:rPr>
        <w:t xml:space="preserve"> </w:t>
      </w:r>
      <w:r>
        <w:rPr>
          <w:color w:val="231F20"/>
          <w:w w:val="105"/>
        </w:rPr>
        <w:t>convince</w:t>
      </w:r>
      <w:r>
        <w:rPr>
          <w:color w:val="231F20"/>
          <w:spacing w:val="-20"/>
          <w:w w:val="105"/>
        </w:rPr>
        <w:t xml:space="preserve"> </w:t>
      </w:r>
      <w:r>
        <w:rPr>
          <w:color w:val="231F20"/>
          <w:w w:val="105"/>
        </w:rPr>
        <w:t>me that life is a theatrical drama, I do believe that the remand centre can be.</w:t>
      </w:r>
      <w:r>
        <w:rPr>
          <w:color w:val="231F20"/>
          <w:spacing w:val="-5"/>
          <w:w w:val="105"/>
        </w:rPr>
        <w:t xml:space="preserve"> </w:t>
      </w:r>
      <w:r>
        <w:rPr>
          <w:color w:val="231F20"/>
          <w:w w:val="105"/>
        </w:rPr>
        <w:t>When</w:t>
      </w:r>
      <w:r>
        <w:rPr>
          <w:color w:val="231F20"/>
          <w:spacing w:val="-5"/>
          <w:w w:val="105"/>
        </w:rPr>
        <w:t xml:space="preserve"> </w:t>
      </w:r>
      <w:r>
        <w:rPr>
          <w:color w:val="231F20"/>
          <w:w w:val="105"/>
        </w:rPr>
        <w:t>Klee</w:t>
      </w:r>
      <w:r>
        <w:rPr>
          <w:color w:val="231F20"/>
          <w:spacing w:val="-5"/>
          <w:w w:val="105"/>
        </w:rPr>
        <w:t xml:space="preserve"> </w:t>
      </w:r>
      <w:r>
        <w:rPr>
          <w:color w:val="231F20"/>
          <w:w w:val="105"/>
        </w:rPr>
        <w:t>was</w:t>
      </w:r>
      <w:r>
        <w:rPr>
          <w:color w:val="231F20"/>
          <w:spacing w:val="-5"/>
          <w:w w:val="105"/>
        </w:rPr>
        <w:t xml:space="preserve"> </w:t>
      </w:r>
      <w:r>
        <w:rPr>
          <w:color w:val="231F20"/>
          <w:w w:val="105"/>
        </w:rPr>
        <w:t>detained</w:t>
      </w:r>
      <w:r>
        <w:rPr>
          <w:color w:val="231F20"/>
          <w:spacing w:val="-5"/>
          <w:w w:val="105"/>
        </w:rPr>
        <w:t xml:space="preserve"> </w:t>
      </w:r>
      <w:r>
        <w:rPr>
          <w:color w:val="231F20"/>
          <w:w w:val="105"/>
        </w:rPr>
        <w:t>in</w:t>
      </w:r>
      <w:r>
        <w:rPr>
          <w:color w:val="231F20"/>
          <w:spacing w:val="-5"/>
          <w:w w:val="105"/>
        </w:rPr>
        <w:t xml:space="preserve"> </w:t>
      </w:r>
      <w:r>
        <w:rPr>
          <w:color w:val="231F20"/>
          <w:w w:val="105"/>
        </w:rPr>
        <w:t>this</w:t>
      </w:r>
      <w:r>
        <w:rPr>
          <w:color w:val="231F20"/>
          <w:spacing w:val="-5"/>
          <w:w w:val="105"/>
        </w:rPr>
        <w:t xml:space="preserve"> way, </w:t>
      </w:r>
      <w:r>
        <w:rPr>
          <w:color w:val="231F20"/>
          <w:w w:val="105"/>
        </w:rPr>
        <w:t>the</w:t>
      </w:r>
      <w:r>
        <w:rPr>
          <w:color w:val="231F20"/>
          <w:spacing w:val="-5"/>
          <w:w w:val="105"/>
        </w:rPr>
        <w:t xml:space="preserve"> </w:t>
      </w:r>
      <w:r>
        <w:rPr>
          <w:color w:val="231F20"/>
          <w:w w:val="105"/>
        </w:rPr>
        <w:t>police</w:t>
      </w:r>
      <w:r>
        <w:rPr>
          <w:color w:val="231F20"/>
          <w:spacing w:val="-5"/>
          <w:w w:val="105"/>
        </w:rPr>
        <w:t xml:space="preserve"> </w:t>
      </w:r>
      <w:r>
        <w:rPr>
          <w:color w:val="231F20"/>
          <w:w w:val="105"/>
        </w:rPr>
        <w:t>assured</w:t>
      </w:r>
      <w:r>
        <w:rPr>
          <w:color w:val="231F20"/>
          <w:spacing w:val="-5"/>
          <w:w w:val="105"/>
        </w:rPr>
        <w:t xml:space="preserve"> </w:t>
      </w:r>
      <w:r>
        <w:rPr>
          <w:color w:val="231F20"/>
          <w:w w:val="105"/>
        </w:rPr>
        <w:t>him</w:t>
      </w:r>
      <w:r>
        <w:rPr>
          <w:color w:val="231F20"/>
          <w:spacing w:val="-5"/>
          <w:w w:val="105"/>
        </w:rPr>
        <w:t xml:space="preserve"> </w:t>
      </w:r>
      <w:r>
        <w:rPr>
          <w:color w:val="231F20"/>
          <w:w w:val="105"/>
        </w:rPr>
        <w:t>that</w:t>
      </w:r>
      <w:r>
        <w:rPr>
          <w:color w:val="231F20"/>
          <w:spacing w:val="-5"/>
          <w:w w:val="105"/>
        </w:rPr>
        <w:t xml:space="preserve"> </w:t>
      </w:r>
      <w:r>
        <w:rPr>
          <w:color w:val="231F20"/>
          <w:w w:val="105"/>
        </w:rPr>
        <w:t>it was not the first time they had done this; making the criminal police potential</w:t>
      </w:r>
      <w:r>
        <w:rPr>
          <w:color w:val="231F20"/>
          <w:spacing w:val="7"/>
          <w:w w:val="105"/>
        </w:rPr>
        <w:t xml:space="preserve"> </w:t>
      </w:r>
      <w:r>
        <w:rPr>
          <w:color w:val="231F20"/>
          <w:w w:val="105"/>
        </w:rPr>
        <w:t>criminals.</w:t>
      </w:r>
    </w:p>
    <w:p w14:paraId="01A78D70" w14:textId="77777777" w:rsidR="002653E8" w:rsidRDefault="002653E8">
      <w:pPr>
        <w:spacing w:line="264" w:lineRule="auto"/>
        <w:jc w:val="both"/>
        <w:sectPr w:rsidR="002653E8">
          <w:pgSz w:w="8640" w:h="12960"/>
          <w:pgMar w:top="1060" w:right="0" w:bottom="1040" w:left="0" w:header="0" w:footer="850" w:gutter="0"/>
          <w:cols w:space="720"/>
        </w:sectPr>
      </w:pPr>
    </w:p>
    <w:p w14:paraId="13E9BDC8" w14:textId="77777777" w:rsidR="002653E8" w:rsidRDefault="003115E3">
      <w:pPr>
        <w:pStyle w:val="a3"/>
        <w:spacing w:before="86" w:line="264" w:lineRule="auto"/>
        <w:ind w:left="1327" w:right="1146" w:firstLine="210"/>
        <w:jc w:val="both"/>
      </w:pPr>
      <w:r>
        <w:rPr>
          <w:color w:val="231F20"/>
          <w:w w:val="105"/>
        </w:rPr>
        <w:lastRenderedPageBreak/>
        <w:t>Risk</w:t>
      </w:r>
      <w:r>
        <w:rPr>
          <w:color w:val="231F20"/>
          <w:spacing w:val="-26"/>
          <w:w w:val="105"/>
        </w:rPr>
        <w:t xml:space="preserve"> </w:t>
      </w:r>
      <w:r>
        <w:rPr>
          <w:color w:val="231F20"/>
          <w:w w:val="105"/>
        </w:rPr>
        <w:t>of</w:t>
      </w:r>
      <w:r>
        <w:rPr>
          <w:color w:val="231F20"/>
          <w:spacing w:val="-26"/>
          <w:w w:val="105"/>
        </w:rPr>
        <w:t xml:space="preserve"> </w:t>
      </w:r>
      <w:r>
        <w:rPr>
          <w:color w:val="231F20"/>
          <w:w w:val="105"/>
        </w:rPr>
        <w:t>flight</w:t>
      </w:r>
      <w:r>
        <w:rPr>
          <w:color w:val="231F20"/>
          <w:spacing w:val="-26"/>
          <w:w w:val="105"/>
        </w:rPr>
        <w:t xml:space="preserve"> </w:t>
      </w:r>
      <w:r>
        <w:rPr>
          <w:color w:val="231F20"/>
          <w:w w:val="105"/>
        </w:rPr>
        <w:t>always</w:t>
      </w:r>
      <w:r>
        <w:rPr>
          <w:color w:val="231F20"/>
          <w:spacing w:val="-26"/>
          <w:w w:val="105"/>
        </w:rPr>
        <w:t xml:space="preserve"> </w:t>
      </w:r>
      <w:r>
        <w:rPr>
          <w:color w:val="231F20"/>
          <w:w w:val="105"/>
        </w:rPr>
        <w:t>offers</w:t>
      </w:r>
      <w:r>
        <w:rPr>
          <w:color w:val="231F20"/>
          <w:spacing w:val="-26"/>
          <w:w w:val="105"/>
        </w:rPr>
        <w:t xml:space="preserve"> </w:t>
      </w:r>
      <w:r>
        <w:rPr>
          <w:color w:val="231F20"/>
          <w:w w:val="105"/>
        </w:rPr>
        <w:t>the</w:t>
      </w:r>
      <w:r>
        <w:rPr>
          <w:color w:val="231F20"/>
          <w:spacing w:val="-26"/>
          <w:w w:val="105"/>
        </w:rPr>
        <w:t xml:space="preserve"> </w:t>
      </w:r>
      <w:r>
        <w:rPr>
          <w:color w:val="231F20"/>
          <w:w w:val="105"/>
        </w:rPr>
        <w:t>necessary</w:t>
      </w:r>
      <w:r>
        <w:rPr>
          <w:color w:val="231F20"/>
          <w:spacing w:val="-26"/>
          <w:w w:val="105"/>
        </w:rPr>
        <w:t xml:space="preserve"> </w:t>
      </w:r>
      <w:r>
        <w:rPr>
          <w:color w:val="231F20"/>
          <w:w w:val="105"/>
        </w:rPr>
        <w:t>excuse.</w:t>
      </w:r>
      <w:r>
        <w:rPr>
          <w:color w:val="231F20"/>
          <w:spacing w:val="-26"/>
          <w:w w:val="105"/>
        </w:rPr>
        <w:t xml:space="preserve"> </w:t>
      </w:r>
      <w:r>
        <w:rPr>
          <w:color w:val="231F20"/>
          <w:w w:val="105"/>
        </w:rPr>
        <w:t>For</w:t>
      </w:r>
      <w:r>
        <w:rPr>
          <w:color w:val="231F20"/>
          <w:spacing w:val="-26"/>
          <w:w w:val="105"/>
        </w:rPr>
        <w:t xml:space="preserve"> </w:t>
      </w:r>
      <w:r>
        <w:rPr>
          <w:color w:val="231F20"/>
          <w:w w:val="105"/>
        </w:rPr>
        <w:t>instance,</w:t>
      </w:r>
      <w:r>
        <w:rPr>
          <w:color w:val="231F20"/>
          <w:spacing w:val="-26"/>
          <w:w w:val="105"/>
        </w:rPr>
        <w:t xml:space="preserve"> </w:t>
      </w:r>
      <w:r>
        <w:rPr>
          <w:color w:val="231F20"/>
          <w:w w:val="105"/>
        </w:rPr>
        <w:t>August Klee</w:t>
      </w:r>
      <w:r>
        <w:rPr>
          <w:color w:val="231F20"/>
          <w:spacing w:val="-16"/>
          <w:w w:val="105"/>
        </w:rPr>
        <w:t xml:space="preserve"> </w:t>
      </w:r>
      <w:r>
        <w:rPr>
          <w:color w:val="231F20"/>
          <w:w w:val="105"/>
        </w:rPr>
        <w:t>is</w:t>
      </w:r>
      <w:r>
        <w:rPr>
          <w:color w:val="231F20"/>
          <w:spacing w:val="-16"/>
          <w:w w:val="105"/>
        </w:rPr>
        <w:t xml:space="preserve"> </w:t>
      </w:r>
      <w:r>
        <w:rPr>
          <w:color w:val="231F20"/>
          <w:w w:val="105"/>
        </w:rPr>
        <w:t>also</w:t>
      </w:r>
      <w:r>
        <w:rPr>
          <w:color w:val="231F20"/>
          <w:spacing w:val="-16"/>
          <w:w w:val="105"/>
        </w:rPr>
        <w:t xml:space="preserve"> </w:t>
      </w:r>
      <w:r>
        <w:rPr>
          <w:color w:val="231F20"/>
          <w:w w:val="105"/>
        </w:rPr>
        <w:t>classified</w:t>
      </w:r>
      <w:r>
        <w:rPr>
          <w:color w:val="231F20"/>
          <w:spacing w:val="-16"/>
          <w:w w:val="105"/>
        </w:rPr>
        <w:t xml:space="preserve"> </w:t>
      </w:r>
      <w:r>
        <w:rPr>
          <w:color w:val="231F20"/>
          <w:w w:val="105"/>
        </w:rPr>
        <w:t>a</w:t>
      </w:r>
      <w:r>
        <w:rPr>
          <w:color w:val="231F20"/>
          <w:spacing w:val="-16"/>
          <w:w w:val="105"/>
        </w:rPr>
        <w:t xml:space="preserve"> </w:t>
      </w:r>
      <w:r>
        <w:rPr>
          <w:color w:val="231F20"/>
          <w:w w:val="105"/>
        </w:rPr>
        <w:t>flight</w:t>
      </w:r>
      <w:r>
        <w:rPr>
          <w:color w:val="231F20"/>
          <w:spacing w:val="-16"/>
          <w:w w:val="105"/>
        </w:rPr>
        <w:t xml:space="preserve"> </w:t>
      </w:r>
      <w:r>
        <w:rPr>
          <w:color w:val="231F20"/>
          <w:w w:val="105"/>
        </w:rPr>
        <w:t>risk</w:t>
      </w:r>
      <w:r>
        <w:rPr>
          <w:color w:val="231F20"/>
          <w:spacing w:val="-16"/>
          <w:w w:val="105"/>
        </w:rPr>
        <w:t xml:space="preserve"> </w:t>
      </w:r>
      <w:r>
        <w:rPr>
          <w:color w:val="231F20"/>
          <w:w w:val="105"/>
        </w:rPr>
        <w:t>because</w:t>
      </w:r>
      <w:r>
        <w:rPr>
          <w:color w:val="231F20"/>
          <w:spacing w:val="-16"/>
          <w:w w:val="105"/>
        </w:rPr>
        <w:t xml:space="preserve"> </w:t>
      </w:r>
      <w:r>
        <w:rPr>
          <w:color w:val="231F20"/>
          <w:w w:val="105"/>
        </w:rPr>
        <w:t>his</w:t>
      </w:r>
      <w:r>
        <w:rPr>
          <w:color w:val="231F20"/>
          <w:spacing w:val="-16"/>
          <w:w w:val="105"/>
        </w:rPr>
        <w:t xml:space="preserve"> </w:t>
      </w:r>
      <w:r>
        <w:rPr>
          <w:color w:val="231F20"/>
          <w:w w:val="105"/>
        </w:rPr>
        <w:t>closest</w:t>
      </w:r>
      <w:r>
        <w:rPr>
          <w:color w:val="231F20"/>
          <w:spacing w:val="-16"/>
          <w:w w:val="105"/>
        </w:rPr>
        <w:t xml:space="preserve"> </w:t>
      </w:r>
      <w:r>
        <w:rPr>
          <w:color w:val="231F20"/>
          <w:w w:val="105"/>
        </w:rPr>
        <w:t>relatives,</w:t>
      </w:r>
      <w:r>
        <w:rPr>
          <w:color w:val="231F20"/>
          <w:spacing w:val="-16"/>
          <w:w w:val="105"/>
        </w:rPr>
        <w:t xml:space="preserve"> </w:t>
      </w:r>
      <w:r>
        <w:rPr>
          <w:color w:val="231F20"/>
          <w:w w:val="105"/>
        </w:rPr>
        <w:t>first</w:t>
      </w:r>
      <w:r>
        <w:rPr>
          <w:color w:val="231F20"/>
          <w:spacing w:val="-16"/>
          <w:w w:val="105"/>
        </w:rPr>
        <w:t xml:space="preserve"> </w:t>
      </w:r>
      <w:r>
        <w:rPr>
          <w:color w:val="231F20"/>
          <w:w w:val="105"/>
        </w:rPr>
        <w:t>and foremost</w:t>
      </w:r>
      <w:r>
        <w:rPr>
          <w:color w:val="231F20"/>
          <w:spacing w:val="-31"/>
          <w:w w:val="105"/>
        </w:rPr>
        <w:t xml:space="preserve"> </w:t>
      </w:r>
      <w:r>
        <w:rPr>
          <w:color w:val="231F20"/>
          <w:w w:val="105"/>
        </w:rPr>
        <w:t>among</w:t>
      </w:r>
      <w:r>
        <w:rPr>
          <w:color w:val="231F20"/>
          <w:spacing w:val="-31"/>
          <w:w w:val="105"/>
        </w:rPr>
        <w:t xml:space="preserve"> </w:t>
      </w:r>
      <w:r>
        <w:rPr>
          <w:color w:val="231F20"/>
          <w:w w:val="105"/>
        </w:rPr>
        <w:t>them</w:t>
      </w:r>
      <w:r>
        <w:rPr>
          <w:color w:val="231F20"/>
          <w:spacing w:val="-31"/>
          <w:w w:val="105"/>
        </w:rPr>
        <w:t xml:space="preserve"> </w:t>
      </w:r>
      <w:r>
        <w:rPr>
          <w:color w:val="231F20"/>
          <w:w w:val="105"/>
        </w:rPr>
        <w:t>his</w:t>
      </w:r>
      <w:r>
        <w:rPr>
          <w:color w:val="231F20"/>
          <w:spacing w:val="-31"/>
          <w:w w:val="105"/>
        </w:rPr>
        <w:t xml:space="preserve"> </w:t>
      </w:r>
      <w:r>
        <w:rPr>
          <w:color w:val="231F20"/>
          <w:w w:val="105"/>
        </w:rPr>
        <w:t>wife,</w:t>
      </w:r>
      <w:r>
        <w:rPr>
          <w:color w:val="231F20"/>
          <w:spacing w:val="-31"/>
          <w:w w:val="105"/>
        </w:rPr>
        <w:t xml:space="preserve"> </w:t>
      </w:r>
      <w:r>
        <w:rPr>
          <w:color w:val="231F20"/>
          <w:w w:val="105"/>
        </w:rPr>
        <w:t>live</w:t>
      </w:r>
      <w:r>
        <w:rPr>
          <w:color w:val="231F20"/>
          <w:spacing w:val="-31"/>
          <w:w w:val="105"/>
        </w:rPr>
        <w:t xml:space="preserve"> </w:t>
      </w:r>
      <w:r>
        <w:rPr>
          <w:color w:val="231F20"/>
          <w:w w:val="105"/>
        </w:rPr>
        <w:t>outside</w:t>
      </w:r>
      <w:r>
        <w:rPr>
          <w:color w:val="231F20"/>
          <w:spacing w:val="-31"/>
          <w:w w:val="105"/>
        </w:rPr>
        <w:t xml:space="preserve"> </w:t>
      </w:r>
      <w:r>
        <w:rPr>
          <w:color w:val="231F20"/>
          <w:w w:val="105"/>
        </w:rPr>
        <w:t>of</w:t>
      </w:r>
      <w:r>
        <w:rPr>
          <w:color w:val="231F20"/>
          <w:spacing w:val="-31"/>
          <w:w w:val="105"/>
        </w:rPr>
        <w:t xml:space="preserve"> </w:t>
      </w:r>
      <w:r>
        <w:rPr>
          <w:color w:val="231F20"/>
          <w:w w:val="105"/>
        </w:rPr>
        <w:t>Germany.</w:t>
      </w:r>
      <w:r>
        <w:rPr>
          <w:color w:val="231F20"/>
          <w:spacing w:val="-31"/>
          <w:w w:val="105"/>
        </w:rPr>
        <w:t xml:space="preserve"> </w:t>
      </w:r>
      <w:r>
        <w:rPr>
          <w:color w:val="231F20"/>
          <w:w w:val="105"/>
        </w:rPr>
        <w:t>He</w:t>
      </w:r>
      <w:r>
        <w:rPr>
          <w:color w:val="231F20"/>
          <w:spacing w:val="-31"/>
          <w:w w:val="105"/>
        </w:rPr>
        <w:t xml:space="preserve"> </w:t>
      </w:r>
      <w:r>
        <w:rPr>
          <w:color w:val="231F20"/>
          <w:w w:val="105"/>
        </w:rPr>
        <w:t>must</w:t>
      </w:r>
      <w:r>
        <w:rPr>
          <w:color w:val="231F20"/>
          <w:spacing w:val="-31"/>
          <w:w w:val="105"/>
        </w:rPr>
        <w:t xml:space="preserve"> </w:t>
      </w:r>
      <w:r>
        <w:rPr>
          <w:color w:val="231F20"/>
          <w:w w:val="105"/>
        </w:rPr>
        <w:t>divorce her</w:t>
      </w:r>
      <w:r>
        <w:rPr>
          <w:color w:val="231F20"/>
          <w:spacing w:val="-14"/>
          <w:w w:val="105"/>
        </w:rPr>
        <w:t xml:space="preserve"> </w:t>
      </w:r>
      <w:r>
        <w:rPr>
          <w:color w:val="231F20"/>
          <w:spacing w:val="-3"/>
          <w:w w:val="105"/>
        </w:rPr>
        <w:t>(what’s</w:t>
      </w:r>
      <w:r>
        <w:rPr>
          <w:color w:val="231F20"/>
          <w:spacing w:val="-14"/>
          <w:w w:val="105"/>
        </w:rPr>
        <w:t xml:space="preserve"> </w:t>
      </w:r>
      <w:r>
        <w:rPr>
          <w:color w:val="231F20"/>
          <w:w w:val="105"/>
        </w:rPr>
        <w:t>that</w:t>
      </w:r>
      <w:r>
        <w:rPr>
          <w:color w:val="231F20"/>
          <w:spacing w:val="-14"/>
          <w:w w:val="105"/>
        </w:rPr>
        <w:t xml:space="preserve"> </w:t>
      </w:r>
      <w:r>
        <w:rPr>
          <w:color w:val="231F20"/>
          <w:spacing w:val="-3"/>
          <w:w w:val="105"/>
        </w:rPr>
        <w:t>about?)</w:t>
      </w:r>
      <w:r>
        <w:rPr>
          <w:color w:val="231F20"/>
          <w:spacing w:val="-14"/>
          <w:w w:val="105"/>
        </w:rPr>
        <w:t xml:space="preserve"> </w:t>
      </w:r>
      <w:r>
        <w:rPr>
          <w:color w:val="231F20"/>
          <w:w w:val="105"/>
        </w:rPr>
        <w:t>if</w:t>
      </w:r>
      <w:r>
        <w:rPr>
          <w:color w:val="231F20"/>
          <w:spacing w:val="-14"/>
          <w:w w:val="105"/>
        </w:rPr>
        <w:t xml:space="preserve"> </w:t>
      </w:r>
      <w:r>
        <w:rPr>
          <w:color w:val="231F20"/>
          <w:w w:val="105"/>
        </w:rPr>
        <w:t>he</w:t>
      </w:r>
      <w:r>
        <w:rPr>
          <w:color w:val="231F20"/>
          <w:spacing w:val="-14"/>
          <w:w w:val="105"/>
        </w:rPr>
        <w:t xml:space="preserve"> </w:t>
      </w:r>
      <w:r>
        <w:rPr>
          <w:color w:val="231F20"/>
          <w:w w:val="105"/>
        </w:rPr>
        <w:t>wants</w:t>
      </w:r>
      <w:r>
        <w:rPr>
          <w:color w:val="231F20"/>
          <w:spacing w:val="-14"/>
          <w:w w:val="105"/>
        </w:rPr>
        <w:t xml:space="preserve"> </w:t>
      </w:r>
      <w:r>
        <w:rPr>
          <w:color w:val="231F20"/>
          <w:w w:val="105"/>
        </w:rPr>
        <w:t>to</w:t>
      </w:r>
      <w:r>
        <w:rPr>
          <w:color w:val="231F20"/>
          <w:spacing w:val="-14"/>
          <w:w w:val="105"/>
        </w:rPr>
        <w:t xml:space="preserve"> </w:t>
      </w:r>
      <w:r>
        <w:rPr>
          <w:color w:val="231F20"/>
          <w:w w:val="105"/>
        </w:rPr>
        <w:t>get</w:t>
      </w:r>
      <w:r>
        <w:rPr>
          <w:color w:val="231F20"/>
          <w:spacing w:val="-14"/>
          <w:w w:val="105"/>
        </w:rPr>
        <w:t xml:space="preserve"> </w:t>
      </w:r>
      <w:r>
        <w:rPr>
          <w:color w:val="231F20"/>
          <w:w w:val="105"/>
        </w:rPr>
        <w:t>out.</w:t>
      </w:r>
      <w:r>
        <w:rPr>
          <w:color w:val="231F20"/>
          <w:spacing w:val="-14"/>
          <w:w w:val="105"/>
        </w:rPr>
        <w:t xml:space="preserve"> </w:t>
      </w:r>
      <w:r>
        <w:rPr>
          <w:color w:val="231F20"/>
          <w:w w:val="105"/>
        </w:rPr>
        <w:t>On</w:t>
      </w:r>
      <w:r>
        <w:rPr>
          <w:color w:val="231F20"/>
          <w:spacing w:val="-14"/>
          <w:w w:val="105"/>
        </w:rPr>
        <w:t xml:space="preserve"> </w:t>
      </w:r>
      <w:r>
        <w:rPr>
          <w:color w:val="231F20"/>
          <w:w w:val="105"/>
        </w:rPr>
        <w:t>the</w:t>
      </w:r>
      <w:r>
        <w:rPr>
          <w:color w:val="231F20"/>
          <w:spacing w:val="-14"/>
          <w:w w:val="105"/>
        </w:rPr>
        <w:t xml:space="preserve"> </w:t>
      </w:r>
      <w:r>
        <w:rPr>
          <w:color w:val="231F20"/>
          <w:w w:val="105"/>
        </w:rPr>
        <w:t>other</w:t>
      </w:r>
      <w:r>
        <w:rPr>
          <w:color w:val="231F20"/>
          <w:spacing w:val="-14"/>
          <w:w w:val="105"/>
        </w:rPr>
        <w:t xml:space="preserve"> </w:t>
      </w:r>
      <w:r>
        <w:rPr>
          <w:color w:val="231F20"/>
          <w:w w:val="105"/>
        </w:rPr>
        <w:t>hand,</w:t>
      </w:r>
      <w:r>
        <w:rPr>
          <w:color w:val="231F20"/>
          <w:spacing w:val="-14"/>
          <w:w w:val="105"/>
        </w:rPr>
        <w:t xml:space="preserve"> </w:t>
      </w:r>
      <w:r>
        <w:rPr>
          <w:color w:val="231F20"/>
          <w:w w:val="105"/>
        </w:rPr>
        <w:t>if</w:t>
      </w:r>
      <w:r>
        <w:rPr>
          <w:color w:val="231F20"/>
          <w:spacing w:val="-14"/>
          <w:w w:val="105"/>
        </w:rPr>
        <w:t xml:space="preserve"> </w:t>
      </w:r>
      <w:r>
        <w:rPr>
          <w:color w:val="231F20"/>
          <w:w w:val="105"/>
        </w:rPr>
        <w:t xml:space="preserve">you live in Germany, but do not live with your wife </w:t>
      </w:r>
      <w:r>
        <w:rPr>
          <w:color w:val="231F20"/>
          <w:spacing w:val="-3"/>
          <w:w w:val="105"/>
        </w:rPr>
        <w:t xml:space="preserve">(what’s </w:t>
      </w:r>
      <w:r>
        <w:rPr>
          <w:color w:val="231F20"/>
          <w:w w:val="105"/>
        </w:rPr>
        <w:t xml:space="preserve">that </w:t>
      </w:r>
      <w:r>
        <w:rPr>
          <w:color w:val="231F20"/>
          <w:spacing w:val="-3"/>
          <w:w w:val="105"/>
        </w:rPr>
        <w:t xml:space="preserve">about?), </w:t>
      </w:r>
      <w:r>
        <w:rPr>
          <w:color w:val="231F20"/>
          <w:w w:val="105"/>
        </w:rPr>
        <w:t>if you</w:t>
      </w:r>
      <w:r>
        <w:rPr>
          <w:color w:val="231F20"/>
          <w:spacing w:val="-8"/>
          <w:w w:val="105"/>
        </w:rPr>
        <w:t xml:space="preserve"> </w:t>
      </w:r>
      <w:r>
        <w:rPr>
          <w:color w:val="231F20"/>
          <w:w w:val="105"/>
        </w:rPr>
        <w:t>have</w:t>
      </w:r>
      <w:r>
        <w:rPr>
          <w:color w:val="231F20"/>
          <w:spacing w:val="-8"/>
          <w:w w:val="105"/>
        </w:rPr>
        <w:t xml:space="preserve"> </w:t>
      </w:r>
      <w:r>
        <w:rPr>
          <w:color w:val="231F20"/>
          <w:w w:val="105"/>
        </w:rPr>
        <w:t>no</w:t>
      </w:r>
      <w:r>
        <w:rPr>
          <w:color w:val="231F20"/>
          <w:spacing w:val="-8"/>
          <w:w w:val="105"/>
        </w:rPr>
        <w:t xml:space="preserve"> </w:t>
      </w:r>
      <w:r>
        <w:rPr>
          <w:color w:val="231F20"/>
          <w:w w:val="105"/>
        </w:rPr>
        <w:t>family</w:t>
      </w:r>
      <w:r>
        <w:rPr>
          <w:color w:val="231F20"/>
          <w:spacing w:val="-8"/>
          <w:w w:val="105"/>
        </w:rPr>
        <w:t xml:space="preserve"> </w:t>
      </w:r>
      <w:r>
        <w:rPr>
          <w:color w:val="231F20"/>
          <w:w w:val="105"/>
        </w:rPr>
        <w:t>ties</w:t>
      </w:r>
      <w:r>
        <w:rPr>
          <w:color w:val="231F20"/>
          <w:spacing w:val="-8"/>
          <w:w w:val="105"/>
        </w:rPr>
        <w:t xml:space="preserve"> </w:t>
      </w:r>
      <w:r>
        <w:rPr>
          <w:color w:val="231F20"/>
          <w:w w:val="105"/>
        </w:rPr>
        <w:t>(because</w:t>
      </w:r>
      <w:r>
        <w:rPr>
          <w:color w:val="231F20"/>
          <w:spacing w:val="-8"/>
          <w:w w:val="105"/>
        </w:rPr>
        <w:t xml:space="preserve"> </w:t>
      </w:r>
      <w:r>
        <w:rPr>
          <w:color w:val="231F20"/>
          <w:spacing w:val="-4"/>
          <w:w w:val="105"/>
        </w:rPr>
        <w:t>you’re</w:t>
      </w:r>
      <w:r>
        <w:rPr>
          <w:color w:val="231F20"/>
          <w:spacing w:val="-8"/>
          <w:w w:val="105"/>
        </w:rPr>
        <w:t xml:space="preserve"> </w:t>
      </w:r>
      <w:r>
        <w:rPr>
          <w:color w:val="231F20"/>
          <w:w w:val="105"/>
        </w:rPr>
        <w:t>not</w:t>
      </w:r>
      <w:r>
        <w:rPr>
          <w:color w:val="231F20"/>
          <w:spacing w:val="-8"/>
          <w:w w:val="105"/>
        </w:rPr>
        <w:t xml:space="preserve"> </w:t>
      </w:r>
      <w:r>
        <w:rPr>
          <w:color w:val="231F20"/>
          <w:w w:val="105"/>
        </w:rPr>
        <w:t>chained</w:t>
      </w:r>
      <w:r>
        <w:rPr>
          <w:color w:val="231F20"/>
          <w:spacing w:val="-8"/>
          <w:w w:val="105"/>
        </w:rPr>
        <w:t xml:space="preserve"> </w:t>
      </w:r>
      <w:r>
        <w:rPr>
          <w:color w:val="231F20"/>
          <w:w w:val="105"/>
        </w:rPr>
        <w:t>to</w:t>
      </w:r>
      <w:r>
        <w:rPr>
          <w:color w:val="231F20"/>
          <w:spacing w:val="-8"/>
          <w:w w:val="105"/>
        </w:rPr>
        <w:t xml:space="preserve"> </w:t>
      </w:r>
      <w:r>
        <w:rPr>
          <w:color w:val="231F20"/>
          <w:w w:val="105"/>
        </w:rPr>
        <w:t>that</w:t>
      </w:r>
      <w:r>
        <w:rPr>
          <w:color w:val="231F20"/>
          <w:spacing w:val="-8"/>
          <w:w w:val="105"/>
        </w:rPr>
        <w:t xml:space="preserve"> </w:t>
      </w:r>
      <w:r>
        <w:rPr>
          <w:color w:val="231F20"/>
          <w:w w:val="105"/>
        </w:rPr>
        <w:t xml:space="preserve">structure), then </w:t>
      </w:r>
      <w:r>
        <w:rPr>
          <w:color w:val="231F20"/>
          <w:spacing w:val="-4"/>
          <w:w w:val="105"/>
        </w:rPr>
        <w:t xml:space="preserve">you’re </w:t>
      </w:r>
      <w:r>
        <w:rPr>
          <w:color w:val="231F20"/>
          <w:w w:val="105"/>
        </w:rPr>
        <w:t xml:space="preserve">a flight risk. </w:t>
      </w:r>
      <w:r>
        <w:rPr>
          <w:color w:val="231F20"/>
          <w:spacing w:val="1"/>
          <w:w w:val="105"/>
        </w:rPr>
        <w:t xml:space="preserve">If </w:t>
      </w:r>
      <w:r>
        <w:rPr>
          <w:color w:val="231F20"/>
          <w:w w:val="105"/>
        </w:rPr>
        <w:t xml:space="preserve">you lived outside the country 40 years ago, </w:t>
      </w:r>
      <w:r>
        <w:rPr>
          <w:color w:val="231F20"/>
          <w:spacing w:val="-4"/>
          <w:w w:val="105"/>
        </w:rPr>
        <w:t xml:space="preserve">you’re </w:t>
      </w:r>
      <w:r>
        <w:rPr>
          <w:color w:val="231F20"/>
          <w:w w:val="105"/>
        </w:rPr>
        <w:t xml:space="preserve">a flight risk. </w:t>
      </w:r>
      <w:r>
        <w:rPr>
          <w:color w:val="231F20"/>
          <w:spacing w:val="1"/>
          <w:w w:val="105"/>
        </w:rPr>
        <w:t xml:space="preserve">If </w:t>
      </w:r>
      <w:r>
        <w:rPr>
          <w:color w:val="231F20"/>
          <w:spacing w:val="-3"/>
          <w:w w:val="105"/>
        </w:rPr>
        <w:t xml:space="preserve">you’ve </w:t>
      </w:r>
      <w:r>
        <w:rPr>
          <w:color w:val="231F20"/>
          <w:w w:val="105"/>
        </w:rPr>
        <w:t>recently come back from a trip (and not from</w:t>
      </w:r>
      <w:r>
        <w:rPr>
          <w:color w:val="231F20"/>
          <w:spacing w:val="-13"/>
          <w:w w:val="105"/>
        </w:rPr>
        <w:t xml:space="preserve"> </w:t>
      </w:r>
      <w:r>
        <w:rPr>
          <w:color w:val="231F20"/>
          <w:w w:val="105"/>
        </w:rPr>
        <w:t>some</w:t>
      </w:r>
      <w:r>
        <w:rPr>
          <w:color w:val="231F20"/>
          <w:spacing w:val="-13"/>
          <w:w w:val="105"/>
        </w:rPr>
        <w:t xml:space="preserve"> </w:t>
      </w:r>
      <w:r>
        <w:rPr>
          <w:color w:val="231F20"/>
          <w:w w:val="105"/>
        </w:rPr>
        <w:t>crappy</w:t>
      </w:r>
      <w:r>
        <w:rPr>
          <w:color w:val="231F20"/>
          <w:spacing w:val="-13"/>
          <w:w w:val="105"/>
        </w:rPr>
        <w:t xml:space="preserve"> </w:t>
      </w:r>
      <w:r>
        <w:rPr>
          <w:color w:val="231F20"/>
          <w:w w:val="105"/>
        </w:rPr>
        <w:t>tourist</w:t>
      </w:r>
      <w:r>
        <w:rPr>
          <w:color w:val="231F20"/>
          <w:spacing w:val="-13"/>
          <w:w w:val="105"/>
        </w:rPr>
        <w:t xml:space="preserve"> </w:t>
      </w:r>
      <w:r>
        <w:rPr>
          <w:color w:val="231F20"/>
          <w:w w:val="105"/>
        </w:rPr>
        <w:t>trip),</w:t>
      </w:r>
      <w:r>
        <w:rPr>
          <w:color w:val="231F20"/>
          <w:spacing w:val="-13"/>
          <w:w w:val="105"/>
        </w:rPr>
        <w:t xml:space="preserve"> </w:t>
      </w:r>
      <w:r>
        <w:rPr>
          <w:color w:val="231F20"/>
          <w:w w:val="105"/>
        </w:rPr>
        <w:t>in</w:t>
      </w:r>
      <w:r>
        <w:rPr>
          <w:color w:val="231F20"/>
          <w:spacing w:val="-13"/>
          <w:w w:val="105"/>
        </w:rPr>
        <w:t xml:space="preserve"> </w:t>
      </w:r>
      <w:r>
        <w:rPr>
          <w:color w:val="231F20"/>
          <w:w w:val="105"/>
        </w:rPr>
        <w:t>that</w:t>
      </w:r>
      <w:r>
        <w:rPr>
          <w:color w:val="231F20"/>
          <w:spacing w:val="-13"/>
          <w:w w:val="105"/>
        </w:rPr>
        <w:t xml:space="preserve"> </w:t>
      </w:r>
      <w:r>
        <w:rPr>
          <w:color w:val="231F20"/>
          <w:w w:val="105"/>
        </w:rPr>
        <w:t>case</w:t>
      </w:r>
      <w:r>
        <w:rPr>
          <w:color w:val="231F20"/>
          <w:spacing w:val="-13"/>
          <w:w w:val="105"/>
        </w:rPr>
        <w:t xml:space="preserve"> </w:t>
      </w:r>
      <w:r>
        <w:rPr>
          <w:color w:val="231F20"/>
          <w:spacing w:val="-4"/>
          <w:w w:val="105"/>
        </w:rPr>
        <w:t>you’re</w:t>
      </w:r>
      <w:r>
        <w:rPr>
          <w:color w:val="231F20"/>
          <w:spacing w:val="-13"/>
          <w:w w:val="105"/>
        </w:rPr>
        <w:t xml:space="preserve"> </w:t>
      </w:r>
      <w:r>
        <w:rPr>
          <w:color w:val="231F20"/>
          <w:w w:val="105"/>
        </w:rPr>
        <w:t>a</w:t>
      </w:r>
      <w:r>
        <w:rPr>
          <w:color w:val="231F20"/>
          <w:spacing w:val="-13"/>
          <w:w w:val="105"/>
        </w:rPr>
        <w:t xml:space="preserve"> </w:t>
      </w:r>
      <w:r>
        <w:rPr>
          <w:color w:val="231F20"/>
          <w:w w:val="105"/>
        </w:rPr>
        <w:t>flight</w:t>
      </w:r>
      <w:r>
        <w:rPr>
          <w:color w:val="231F20"/>
          <w:spacing w:val="-13"/>
          <w:w w:val="105"/>
        </w:rPr>
        <w:t xml:space="preserve"> </w:t>
      </w:r>
      <w:r>
        <w:rPr>
          <w:color w:val="231F20"/>
          <w:w w:val="105"/>
        </w:rPr>
        <w:t>risk.</w:t>
      </w:r>
      <w:r>
        <w:rPr>
          <w:color w:val="231F20"/>
          <w:spacing w:val="-13"/>
          <w:w w:val="105"/>
        </w:rPr>
        <w:t xml:space="preserve"> </w:t>
      </w:r>
      <w:r>
        <w:rPr>
          <w:color w:val="231F20"/>
          <w:spacing w:val="1"/>
          <w:w w:val="105"/>
        </w:rPr>
        <w:t>If</w:t>
      </w:r>
      <w:r>
        <w:rPr>
          <w:color w:val="231F20"/>
          <w:spacing w:val="-13"/>
          <w:w w:val="105"/>
        </w:rPr>
        <w:t xml:space="preserve"> </w:t>
      </w:r>
      <w:r>
        <w:rPr>
          <w:color w:val="231F20"/>
          <w:spacing w:val="-4"/>
          <w:w w:val="105"/>
        </w:rPr>
        <w:t xml:space="preserve">you’re </w:t>
      </w:r>
      <w:r>
        <w:rPr>
          <w:color w:val="231F20"/>
          <w:w w:val="105"/>
        </w:rPr>
        <w:t xml:space="preserve">a foreigner, then </w:t>
      </w:r>
      <w:r>
        <w:rPr>
          <w:color w:val="231F20"/>
          <w:spacing w:val="-4"/>
          <w:w w:val="105"/>
        </w:rPr>
        <w:t xml:space="preserve">you’re </w:t>
      </w:r>
      <w:r>
        <w:rPr>
          <w:color w:val="231F20"/>
          <w:w w:val="105"/>
        </w:rPr>
        <w:t xml:space="preserve">a flight risk. (I can recite all of this by heart). </w:t>
      </w:r>
      <w:r>
        <w:rPr>
          <w:color w:val="231F20"/>
          <w:spacing w:val="1"/>
          <w:w w:val="105"/>
        </w:rPr>
        <w:t xml:space="preserve">If </w:t>
      </w:r>
      <w:r>
        <w:rPr>
          <w:color w:val="231F20"/>
          <w:w w:val="105"/>
        </w:rPr>
        <w:t>there is a mix-up of some sort in your arrest, as occurred recently on</w:t>
      </w:r>
      <w:r>
        <w:rPr>
          <w:color w:val="231F20"/>
          <w:spacing w:val="-7"/>
          <w:w w:val="105"/>
        </w:rPr>
        <w:t xml:space="preserve"> </w:t>
      </w:r>
      <w:r>
        <w:rPr>
          <w:i/>
          <w:color w:val="231F20"/>
          <w:w w:val="105"/>
        </w:rPr>
        <w:t>Hammelsgasse</w:t>
      </w:r>
      <w:r>
        <w:rPr>
          <w:i/>
          <w:color w:val="231F20"/>
          <w:spacing w:val="-7"/>
          <w:w w:val="105"/>
        </w:rPr>
        <w:t xml:space="preserve"> </w:t>
      </w:r>
      <w:r>
        <w:rPr>
          <w:color w:val="231F20"/>
          <w:w w:val="105"/>
        </w:rPr>
        <w:t>(bourgeois</w:t>
      </w:r>
      <w:r>
        <w:rPr>
          <w:color w:val="231F20"/>
          <w:spacing w:val="-7"/>
          <w:w w:val="105"/>
        </w:rPr>
        <w:t xml:space="preserve"> </w:t>
      </w:r>
      <w:r>
        <w:rPr>
          <w:color w:val="231F20"/>
          <w:w w:val="105"/>
        </w:rPr>
        <w:t>freedom</w:t>
      </w:r>
      <w:r>
        <w:rPr>
          <w:color w:val="231F20"/>
          <w:spacing w:val="-7"/>
          <w:w w:val="105"/>
        </w:rPr>
        <w:t xml:space="preserve"> </w:t>
      </w:r>
      <w:r>
        <w:rPr>
          <w:color w:val="231F20"/>
          <w:w w:val="105"/>
        </w:rPr>
        <w:t>is</w:t>
      </w:r>
      <w:r>
        <w:rPr>
          <w:color w:val="231F20"/>
          <w:spacing w:val="-7"/>
          <w:w w:val="105"/>
        </w:rPr>
        <w:t xml:space="preserve"> </w:t>
      </w:r>
      <w:r>
        <w:rPr>
          <w:color w:val="231F20"/>
          <w:w w:val="105"/>
        </w:rPr>
        <w:t>a</w:t>
      </w:r>
      <w:r>
        <w:rPr>
          <w:color w:val="231F20"/>
          <w:spacing w:val="-7"/>
          <w:w w:val="105"/>
        </w:rPr>
        <w:t xml:space="preserve"> </w:t>
      </w:r>
      <w:r>
        <w:rPr>
          <w:i/>
          <w:color w:val="231F20"/>
          <w:w w:val="105"/>
        </w:rPr>
        <w:t>Hammelsgasse</w:t>
      </w:r>
      <w:r>
        <w:rPr>
          <w:i/>
          <w:color w:val="231F20"/>
          <w:w w:val="105"/>
          <w:position w:val="7"/>
          <w:sz w:val="11"/>
        </w:rPr>
        <w:t>1</w:t>
      </w:r>
      <w:r>
        <w:rPr>
          <w:color w:val="231F20"/>
          <w:w w:val="105"/>
        </w:rPr>
        <w:t>),</w:t>
      </w:r>
      <w:r>
        <w:rPr>
          <w:color w:val="231F20"/>
          <w:spacing w:val="-7"/>
          <w:w w:val="105"/>
        </w:rPr>
        <w:t xml:space="preserve"> </w:t>
      </w:r>
      <w:r>
        <w:rPr>
          <w:color w:val="231F20"/>
          <w:w w:val="105"/>
        </w:rPr>
        <w:t>there’s</w:t>
      </w:r>
      <w:r>
        <w:rPr>
          <w:color w:val="231F20"/>
          <w:spacing w:val="-7"/>
          <w:w w:val="105"/>
        </w:rPr>
        <w:t xml:space="preserve"> </w:t>
      </w:r>
      <w:r>
        <w:rPr>
          <w:color w:val="231F20"/>
          <w:w w:val="105"/>
        </w:rPr>
        <w:t>no need</w:t>
      </w:r>
      <w:r>
        <w:rPr>
          <w:color w:val="231F20"/>
          <w:spacing w:val="-13"/>
          <w:w w:val="105"/>
        </w:rPr>
        <w:t xml:space="preserve"> </w:t>
      </w:r>
      <w:r>
        <w:rPr>
          <w:color w:val="231F20"/>
          <w:w w:val="105"/>
        </w:rPr>
        <w:t>for</w:t>
      </w:r>
      <w:r>
        <w:rPr>
          <w:color w:val="231F20"/>
          <w:spacing w:val="-13"/>
          <w:w w:val="105"/>
        </w:rPr>
        <w:t xml:space="preserve"> </w:t>
      </w:r>
      <w:r>
        <w:rPr>
          <w:color w:val="231F20"/>
          <w:w w:val="105"/>
        </w:rPr>
        <w:t>concern,</w:t>
      </w:r>
      <w:r>
        <w:rPr>
          <w:color w:val="231F20"/>
          <w:spacing w:val="-13"/>
          <w:w w:val="105"/>
        </w:rPr>
        <w:t xml:space="preserve"> </w:t>
      </w:r>
      <w:r>
        <w:rPr>
          <w:color w:val="231F20"/>
          <w:w w:val="105"/>
        </w:rPr>
        <w:t>phony</w:t>
      </w:r>
      <w:r>
        <w:rPr>
          <w:color w:val="231F20"/>
          <w:spacing w:val="-13"/>
          <w:w w:val="105"/>
        </w:rPr>
        <w:t xml:space="preserve"> </w:t>
      </w:r>
      <w:r>
        <w:rPr>
          <w:color w:val="231F20"/>
          <w:w w:val="105"/>
        </w:rPr>
        <w:t>paperwork</w:t>
      </w:r>
      <w:r>
        <w:rPr>
          <w:color w:val="231F20"/>
          <w:spacing w:val="-13"/>
          <w:w w:val="105"/>
        </w:rPr>
        <w:t xml:space="preserve"> </w:t>
      </w:r>
      <w:r>
        <w:rPr>
          <w:color w:val="231F20"/>
          <w:w w:val="105"/>
        </w:rPr>
        <w:t>will</w:t>
      </w:r>
      <w:r>
        <w:rPr>
          <w:color w:val="231F20"/>
          <w:spacing w:val="-13"/>
          <w:w w:val="105"/>
        </w:rPr>
        <w:t xml:space="preserve"> </w:t>
      </w:r>
      <w:r>
        <w:rPr>
          <w:color w:val="231F20"/>
          <w:w w:val="105"/>
        </w:rPr>
        <w:t>be</w:t>
      </w:r>
      <w:r>
        <w:rPr>
          <w:color w:val="231F20"/>
          <w:spacing w:val="-13"/>
          <w:w w:val="105"/>
        </w:rPr>
        <w:t xml:space="preserve"> </w:t>
      </w:r>
      <w:r>
        <w:rPr>
          <w:color w:val="231F20"/>
          <w:w w:val="105"/>
        </w:rPr>
        <w:t>prepared.</w:t>
      </w:r>
      <w:r>
        <w:rPr>
          <w:color w:val="231F20"/>
          <w:spacing w:val="-13"/>
          <w:w w:val="105"/>
        </w:rPr>
        <w:t xml:space="preserve"> </w:t>
      </w:r>
      <w:r>
        <w:rPr>
          <w:color w:val="231F20"/>
          <w:w w:val="105"/>
        </w:rPr>
        <w:t>Here</w:t>
      </w:r>
      <w:r>
        <w:rPr>
          <w:color w:val="231F20"/>
          <w:spacing w:val="-13"/>
          <w:w w:val="105"/>
        </w:rPr>
        <w:t xml:space="preserve"> </w:t>
      </w:r>
      <w:r>
        <w:rPr>
          <w:color w:val="231F20"/>
          <w:w w:val="105"/>
        </w:rPr>
        <w:t>the</w:t>
      </w:r>
      <w:r>
        <w:rPr>
          <w:color w:val="231F20"/>
          <w:spacing w:val="-13"/>
          <w:w w:val="105"/>
        </w:rPr>
        <w:t xml:space="preserve"> </w:t>
      </w:r>
      <w:r>
        <w:rPr>
          <w:color w:val="231F20"/>
          <w:w w:val="105"/>
        </w:rPr>
        <w:t>danger is that one will be</w:t>
      </w:r>
      <w:r>
        <w:rPr>
          <w:color w:val="231F20"/>
          <w:spacing w:val="35"/>
          <w:w w:val="105"/>
        </w:rPr>
        <w:t xml:space="preserve"> </w:t>
      </w:r>
      <w:r>
        <w:rPr>
          <w:color w:val="231F20"/>
          <w:w w:val="105"/>
        </w:rPr>
        <w:t>silenced.</w:t>
      </w:r>
    </w:p>
    <w:p w14:paraId="09226F10" w14:textId="77777777" w:rsidR="002653E8" w:rsidRDefault="003115E3">
      <w:pPr>
        <w:pStyle w:val="a3"/>
        <w:spacing w:line="219" w:lineRule="exact"/>
        <w:ind w:left="1537"/>
      </w:pPr>
      <w:r>
        <w:rPr>
          <w:color w:val="231F20"/>
        </w:rPr>
        <w:t>Following conviction, it may be the case that you will be released</w:t>
      </w:r>
    </w:p>
    <w:p w14:paraId="090B69C8" w14:textId="77777777" w:rsidR="002653E8" w:rsidRDefault="003115E3">
      <w:pPr>
        <w:pStyle w:val="a3"/>
        <w:spacing w:before="23" w:line="264" w:lineRule="auto"/>
        <w:ind w:left="1327" w:right="1146"/>
        <w:jc w:val="both"/>
      </w:pPr>
      <w:r>
        <w:rPr>
          <w:color w:val="231F20"/>
        </w:rPr>
        <w:t xml:space="preserve">for good behavior. He, however, has been refused this, because he has behaved so well that he has become institutionalized, and will surely be unable to find his bearings on the outside. He must remain inside until the end. This is an example of the risk of unadorned reconstruction.       </w:t>
      </w:r>
      <w:r>
        <w:rPr>
          <w:color w:val="231F20"/>
          <w:spacing w:val="1"/>
        </w:rPr>
        <w:t xml:space="preserve">If </w:t>
      </w:r>
      <w:r>
        <w:rPr>
          <w:color w:val="231F20"/>
        </w:rPr>
        <w:t>you happen to be an arsonist, there is the danger of evidence being suppressed, etc.; faced with such a justice system, we can’t be bothered defending</w:t>
      </w:r>
      <w:r>
        <w:rPr>
          <w:color w:val="231F20"/>
          <w:spacing w:val="10"/>
        </w:rPr>
        <w:t xml:space="preserve"> </w:t>
      </w:r>
      <w:r>
        <w:rPr>
          <w:color w:val="231F20"/>
        </w:rPr>
        <w:t>ourselves.</w:t>
      </w:r>
    </w:p>
    <w:p w14:paraId="15E5D8E4" w14:textId="77777777" w:rsidR="002653E8" w:rsidRDefault="003115E3">
      <w:pPr>
        <w:pStyle w:val="a3"/>
        <w:spacing w:line="264" w:lineRule="auto"/>
        <w:ind w:left="1327" w:right="1146" w:firstLine="210"/>
        <w:jc w:val="both"/>
      </w:pPr>
      <w:r>
        <w:rPr>
          <w:color w:val="231F20"/>
        </w:rPr>
        <w:t>Faced with a justice system that supports a prison system that attacks and violates the personal freedom and dignity of 365 people every second—first the attack, then the violation—we can’t be bothered defending ourselves.</w:t>
      </w:r>
    </w:p>
    <w:p w14:paraId="2DBE59A4" w14:textId="77777777" w:rsidR="002653E8" w:rsidRDefault="003115E3">
      <w:pPr>
        <w:pStyle w:val="a3"/>
        <w:spacing w:line="264" w:lineRule="auto"/>
        <w:ind w:left="1327" w:right="1145" w:firstLine="210"/>
        <w:jc w:val="both"/>
      </w:pPr>
      <w:r>
        <w:rPr>
          <w:color w:val="231F20"/>
        </w:rPr>
        <w:t xml:space="preserve">What is permissible and what is not permissible in remand: prisoners in remand are permitted to do what the justice system—acting as administrators—permits them to do. </w:t>
      </w:r>
      <w:r>
        <w:rPr>
          <w:color w:val="231F20"/>
          <w:spacing w:val="-7"/>
        </w:rPr>
        <w:t xml:space="preserve">you </w:t>
      </w:r>
      <w:r>
        <w:rPr>
          <w:color w:val="231F20"/>
        </w:rPr>
        <w:t xml:space="preserve">are not permitted to be afraid. </w:t>
      </w:r>
      <w:r>
        <w:rPr>
          <w:color w:val="231F20"/>
          <w:spacing w:val="-7"/>
        </w:rPr>
        <w:t xml:space="preserve">you </w:t>
      </w:r>
      <w:r>
        <w:rPr>
          <w:color w:val="231F20"/>
        </w:rPr>
        <w:t xml:space="preserve">are not permitted to lie around in bed, but you can lie under the  bed. </w:t>
      </w:r>
      <w:r>
        <w:rPr>
          <w:color w:val="231F20"/>
          <w:spacing w:val="-7"/>
        </w:rPr>
        <w:t xml:space="preserve">you </w:t>
      </w:r>
      <w:r>
        <w:rPr>
          <w:color w:val="231F20"/>
        </w:rPr>
        <w:t xml:space="preserve">are not permitted to play ping-pong with multiple balls; you  are only permitted one ball. </w:t>
      </w:r>
      <w:r>
        <w:rPr>
          <w:color w:val="231F20"/>
          <w:spacing w:val="-7"/>
        </w:rPr>
        <w:t xml:space="preserve">you  </w:t>
      </w:r>
      <w:r>
        <w:rPr>
          <w:color w:val="231F20"/>
        </w:rPr>
        <w:t>are not permitted to refuse dinner;   you are not permitted to show any kind of defiance. As a revolutionary socialist, you can never show</w:t>
      </w:r>
      <w:r>
        <w:rPr>
          <w:color w:val="231F20"/>
          <w:spacing w:val="10"/>
        </w:rPr>
        <w:t xml:space="preserve"> </w:t>
      </w:r>
      <w:r>
        <w:rPr>
          <w:color w:val="231F20"/>
        </w:rPr>
        <w:t>defiance.</w:t>
      </w:r>
    </w:p>
    <w:p w14:paraId="7A81AA40" w14:textId="77777777" w:rsidR="002653E8" w:rsidRDefault="002653E8">
      <w:pPr>
        <w:pStyle w:val="a3"/>
      </w:pPr>
    </w:p>
    <w:p w14:paraId="5B6D4E40" w14:textId="77777777" w:rsidR="002653E8" w:rsidRDefault="002653E8">
      <w:pPr>
        <w:pStyle w:val="a3"/>
      </w:pPr>
    </w:p>
    <w:p w14:paraId="0B5FCC30" w14:textId="77777777" w:rsidR="002653E8" w:rsidRDefault="00000000">
      <w:pPr>
        <w:pStyle w:val="a3"/>
        <w:spacing w:before="5"/>
        <w:rPr>
          <w:sz w:val="27"/>
        </w:rPr>
      </w:pPr>
      <w:r>
        <w:rPr>
          <w:noProof w:val="0"/>
        </w:rPr>
        <w:pict w14:anchorId="440C6392">
          <v:line id="_x0000_s2625" style="position:absolute;z-index:3112;mso-wrap-distance-left:0;mso-wrap-distance-right:0;mso-position-horizontal-relative:page" from="66.4pt,18.3pt" to="138.4pt,18.3pt" strokecolor="#231f20" strokeweight=".5pt">
            <w10:wrap type="topAndBottom" anchorx="page"/>
          </v:line>
        </w:pict>
      </w:r>
    </w:p>
    <w:p w14:paraId="7529063B" w14:textId="77777777" w:rsidR="002653E8" w:rsidRDefault="003115E3">
      <w:pPr>
        <w:spacing w:before="53" w:line="254" w:lineRule="auto"/>
        <w:ind w:left="1327" w:right="1145"/>
        <w:rPr>
          <w:sz w:val="16"/>
        </w:rPr>
      </w:pPr>
      <w:r>
        <w:rPr>
          <w:color w:val="231F20"/>
          <w:w w:val="105"/>
          <w:sz w:val="16"/>
        </w:rPr>
        <w:t xml:space="preserve">1 </w:t>
      </w:r>
      <w:r>
        <w:rPr>
          <w:i/>
          <w:color w:val="231F20"/>
          <w:w w:val="105"/>
          <w:sz w:val="16"/>
        </w:rPr>
        <w:t xml:space="preserve">Hammelsgasse, </w:t>
      </w:r>
      <w:r>
        <w:rPr>
          <w:color w:val="231F20"/>
          <w:w w:val="105"/>
          <w:sz w:val="16"/>
        </w:rPr>
        <w:t>a street in an upper class neighbourhood in Frankfurt, could be translated literally as Mutton Alley; a play on words referencing sheeps being led to the slaughter is intended.</w:t>
      </w:r>
    </w:p>
    <w:p w14:paraId="41E0F97F" w14:textId="77777777" w:rsidR="002653E8" w:rsidRDefault="002653E8">
      <w:pPr>
        <w:spacing w:line="254" w:lineRule="auto"/>
        <w:rPr>
          <w:sz w:val="16"/>
        </w:rPr>
        <w:sectPr w:rsidR="002653E8">
          <w:pgSz w:w="8640" w:h="12960"/>
          <w:pgMar w:top="1060" w:right="0" w:bottom="1040" w:left="0" w:header="0" w:footer="850" w:gutter="0"/>
          <w:cols w:space="720"/>
        </w:sectPr>
      </w:pPr>
    </w:p>
    <w:p w14:paraId="6ED064E9" w14:textId="77777777" w:rsidR="002653E8" w:rsidRDefault="003115E3">
      <w:pPr>
        <w:pStyle w:val="a3"/>
        <w:spacing w:before="86" w:line="264" w:lineRule="auto"/>
        <w:ind w:left="1147" w:right="1326" w:firstLine="210"/>
        <w:jc w:val="both"/>
      </w:pPr>
      <w:r>
        <w:rPr>
          <w:color w:val="231F20"/>
        </w:rPr>
        <w:lastRenderedPageBreak/>
        <w:t xml:space="preserve">A rate of </w:t>
      </w:r>
      <w:r>
        <w:rPr>
          <w:color w:val="231F20"/>
          <w:spacing w:val="-3"/>
        </w:rPr>
        <w:t xml:space="preserve">1.23 </w:t>
      </w:r>
      <w:r>
        <w:rPr>
          <w:color w:val="231F20"/>
        </w:rPr>
        <w:t>dm</w:t>
      </w:r>
      <w:r>
        <w:rPr>
          <w:color w:val="231F20"/>
          <w:position w:val="7"/>
          <w:sz w:val="11"/>
        </w:rPr>
        <w:t xml:space="preserve">1 </w:t>
      </w:r>
      <w:r>
        <w:rPr>
          <w:color w:val="231F20"/>
        </w:rPr>
        <w:t xml:space="preserve">per day is designated for meals (what a fantastic amount). </w:t>
      </w:r>
      <w:r>
        <w:rPr>
          <w:color w:val="231F20"/>
          <w:spacing w:val="-7"/>
        </w:rPr>
        <w:t xml:space="preserve">you </w:t>
      </w:r>
      <w:r>
        <w:rPr>
          <w:color w:val="231F20"/>
        </w:rPr>
        <w:t xml:space="preserve">are not permitted to throw your dinner in the guard’s  face, or </w:t>
      </w:r>
      <w:r>
        <w:rPr>
          <w:color w:val="231F20"/>
          <w:spacing w:val="-3"/>
        </w:rPr>
        <w:t xml:space="preserve">he’s </w:t>
      </w:r>
      <w:r>
        <w:rPr>
          <w:color w:val="231F20"/>
        </w:rPr>
        <w:t>not responsible for what happens next. The guards are prisoners just like you, and most of them know it. The guards are only the little</w:t>
      </w:r>
      <w:r>
        <w:rPr>
          <w:color w:val="231F20"/>
          <w:spacing w:val="20"/>
        </w:rPr>
        <w:t xml:space="preserve"> </w:t>
      </w:r>
      <w:r>
        <w:rPr>
          <w:color w:val="231F20"/>
        </w:rPr>
        <w:t>warlords.</w:t>
      </w:r>
    </w:p>
    <w:p w14:paraId="4BBC2E70" w14:textId="77777777" w:rsidR="002653E8" w:rsidRDefault="003115E3">
      <w:pPr>
        <w:pStyle w:val="a3"/>
        <w:spacing w:line="264" w:lineRule="auto"/>
        <w:ind w:left="1147" w:right="1325" w:firstLine="210"/>
        <w:jc w:val="both"/>
      </w:pPr>
      <w:r>
        <w:rPr>
          <w:color w:val="231F20"/>
          <w:spacing w:val="-7"/>
          <w:w w:val="105"/>
        </w:rPr>
        <w:t xml:space="preserve">you </w:t>
      </w:r>
      <w:r>
        <w:rPr>
          <w:color w:val="231F20"/>
          <w:w w:val="105"/>
        </w:rPr>
        <w:t xml:space="preserve">are not permitted to smoke outside of your cell, only in it. </w:t>
      </w:r>
      <w:r>
        <w:rPr>
          <w:color w:val="231F20"/>
          <w:spacing w:val="-7"/>
          <w:w w:val="105"/>
        </w:rPr>
        <w:t xml:space="preserve">you </w:t>
      </w:r>
      <w:r>
        <w:rPr>
          <w:color w:val="231F20"/>
          <w:w w:val="105"/>
        </w:rPr>
        <w:t>are</w:t>
      </w:r>
      <w:r>
        <w:rPr>
          <w:color w:val="231F20"/>
          <w:spacing w:val="-16"/>
          <w:w w:val="105"/>
        </w:rPr>
        <w:t xml:space="preserve"> </w:t>
      </w:r>
      <w:r>
        <w:rPr>
          <w:color w:val="231F20"/>
          <w:w w:val="105"/>
        </w:rPr>
        <w:t>permitted</w:t>
      </w:r>
      <w:r>
        <w:rPr>
          <w:color w:val="231F20"/>
          <w:spacing w:val="-16"/>
          <w:w w:val="105"/>
        </w:rPr>
        <w:t xml:space="preserve"> </w:t>
      </w:r>
      <w:r>
        <w:rPr>
          <w:color w:val="231F20"/>
          <w:w w:val="105"/>
        </w:rPr>
        <w:t>to</w:t>
      </w:r>
      <w:r>
        <w:rPr>
          <w:color w:val="231F20"/>
          <w:spacing w:val="-16"/>
          <w:w w:val="105"/>
        </w:rPr>
        <w:t xml:space="preserve"> </w:t>
      </w:r>
      <w:r>
        <w:rPr>
          <w:color w:val="231F20"/>
          <w:w w:val="105"/>
        </w:rPr>
        <w:t>experience</w:t>
      </w:r>
      <w:r>
        <w:rPr>
          <w:color w:val="231F20"/>
          <w:spacing w:val="-16"/>
          <w:w w:val="105"/>
        </w:rPr>
        <w:t xml:space="preserve"> </w:t>
      </w:r>
      <w:r>
        <w:rPr>
          <w:color w:val="231F20"/>
          <w:w w:val="105"/>
        </w:rPr>
        <w:t>the</w:t>
      </w:r>
      <w:r>
        <w:rPr>
          <w:color w:val="231F20"/>
          <w:spacing w:val="-16"/>
          <w:w w:val="105"/>
        </w:rPr>
        <w:t xml:space="preserve"> </w:t>
      </w:r>
      <w:r>
        <w:rPr>
          <w:color w:val="231F20"/>
          <w:w w:val="105"/>
        </w:rPr>
        <w:t>hell</w:t>
      </w:r>
      <w:r>
        <w:rPr>
          <w:color w:val="231F20"/>
          <w:spacing w:val="-16"/>
          <w:w w:val="105"/>
        </w:rPr>
        <w:t xml:space="preserve"> </w:t>
      </w:r>
      <w:r>
        <w:rPr>
          <w:color w:val="231F20"/>
          <w:w w:val="105"/>
        </w:rPr>
        <w:t>of</w:t>
      </w:r>
      <w:r>
        <w:rPr>
          <w:color w:val="231F20"/>
          <w:spacing w:val="-16"/>
          <w:w w:val="105"/>
        </w:rPr>
        <w:t xml:space="preserve"> </w:t>
      </w:r>
      <w:r>
        <w:rPr>
          <w:color w:val="231F20"/>
          <w:w w:val="105"/>
        </w:rPr>
        <w:t>it</w:t>
      </w:r>
      <w:r>
        <w:rPr>
          <w:color w:val="231F20"/>
          <w:spacing w:val="-16"/>
          <w:w w:val="105"/>
        </w:rPr>
        <w:t xml:space="preserve"> </w:t>
      </w:r>
      <w:r>
        <w:rPr>
          <w:color w:val="231F20"/>
          <w:w w:val="105"/>
        </w:rPr>
        <w:t>all</w:t>
      </w:r>
      <w:r>
        <w:rPr>
          <w:color w:val="231F20"/>
          <w:spacing w:val="-16"/>
          <w:w w:val="105"/>
        </w:rPr>
        <w:t xml:space="preserve"> </w:t>
      </w:r>
      <w:r>
        <w:rPr>
          <w:color w:val="231F20"/>
          <w:w w:val="105"/>
        </w:rPr>
        <w:t>inside</w:t>
      </w:r>
      <w:r>
        <w:rPr>
          <w:color w:val="231F20"/>
          <w:spacing w:val="-16"/>
          <w:w w:val="105"/>
        </w:rPr>
        <w:t xml:space="preserve"> </w:t>
      </w:r>
      <w:r>
        <w:rPr>
          <w:color w:val="231F20"/>
          <w:w w:val="105"/>
        </w:rPr>
        <w:t>your</w:t>
      </w:r>
      <w:r>
        <w:rPr>
          <w:color w:val="231F20"/>
          <w:spacing w:val="-16"/>
          <w:w w:val="105"/>
        </w:rPr>
        <w:t xml:space="preserve"> </w:t>
      </w:r>
      <w:r>
        <w:rPr>
          <w:color w:val="231F20"/>
          <w:w w:val="105"/>
        </w:rPr>
        <w:t>cell.</w:t>
      </w:r>
      <w:r>
        <w:rPr>
          <w:color w:val="231F20"/>
          <w:spacing w:val="-16"/>
          <w:w w:val="105"/>
        </w:rPr>
        <w:t xml:space="preserve"> </w:t>
      </w:r>
      <w:r>
        <w:rPr>
          <w:color w:val="231F20"/>
          <w:spacing w:val="-7"/>
          <w:w w:val="105"/>
        </w:rPr>
        <w:t>you</w:t>
      </w:r>
      <w:r>
        <w:rPr>
          <w:color w:val="231F20"/>
          <w:spacing w:val="-16"/>
          <w:w w:val="105"/>
        </w:rPr>
        <w:t xml:space="preserve"> </w:t>
      </w:r>
      <w:r>
        <w:rPr>
          <w:color w:val="231F20"/>
          <w:w w:val="105"/>
        </w:rPr>
        <w:t>are</w:t>
      </w:r>
      <w:r>
        <w:rPr>
          <w:color w:val="231F20"/>
          <w:spacing w:val="-16"/>
          <w:w w:val="105"/>
        </w:rPr>
        <w:t xml:space="preserve"> </w:t>
      </w:r>
      <w:r>
        <w:rPr>
          <w:color w:val="231F20"/>
          <w:w w:val="105"/>
        </w:rPr>
        <w:t>not permitted to light fires, because you can’t use the fire alarm, because you can’t reach it, because you can’t leave your cell, because the door is</w:t>
      </w:r>
      <w:r>
        <w:rPr>
          <w:color w:val="231F20"/>
          <w:spacing w:val="7"/>
          <w:w w:val="105"/>
        </w:rPr>
        <w:t xml:space="preserve"> </w:t>
      </w:r>
      <w:r>
        <w:rPr>
          <w:color w:val="231F20"/>
          <w:w w:val="105"/>
        </w:rPr>
        <w:t>locked.</w:t>
      </w:r>
    </w:p>
    <w:p w14:paraId="0D4E58D4" w14:textId="77777777" w:rsidR="002653E8" w:rsidRDefault="003115E3">
      <w:pPr>
        <w:pStyle w:val="a3"/>
        <w:spacing w:line="264" w:lineRule="auto"/>
        <w:ind w:left="1147" w:right="1326" w:firstLine="210"/>
        <w:jc w:val="both"/>
      </w:pPr>
      <w:r>
        <w:rPr>
          <w:color w:val="231F20"/>
        </w:rPr>
        <w:t>you are not permitted to take the opportunity to engage in discussion with the other prisoners, the so-called criminals, whatever might come out of it. Let’s be perfectly clear, they are staple products of the capitalist social order. you need to be clear about this.</w:t>
      </w:r>
    </w:p>
    <w:p w14:paraId="11B28433" w14:textId="77777777" w:rsidR="002653E8" w:rsidRDefault="003115E3">
      <w:pPr>
        <w:pStyle w:val="a3"/>
        <w:spacing w:line="264" w:lineRule="auto"/>
        <w:ind w:left="1147" w:right="1325" w:firstLine="210"/>
        <w:jc w:val="both"/>
      </w:pPr>
      <w:r>
        <w:rPr>
          <w:color w:val="231F20"/>
        </w:rPr>
        <w:t xml:space="preserve">Furthermore, you are not permitted to hang anything on the walls, but you are permitted to hang up the memo that tells you that you are not permitted to hang anything on the walls. </w:t>
      </w:r>
      <w:r>
        <w:rPr>
          <w:color w:val="231F20"/>
          <w:spacing w:val="-7"/>
        </w:rPr>
        <w:t xml:space="preserve">you </w:t>
      </w:r>
      <w:r>
        <w:rPr>
          <w:color w:val="231F20"/>
        </w:rPr>
        <w:t xml:space="preserve">are not permitted to loiter. </w:t>
      </w:r>
      <w:r>
        <w:rPr>
          <w:color w:val="231F20"/>
          <w:spacing w:val="-7"/>
        </w:rPr>
        <w:t xml:space="preserve">you </w:t>
      </w:r>
      <w:r>
        <w:rPr>
          <w:color w:val="231F20"/>
        </w:rPr>
        <w:t xml:space="preserve">are not permitted to lean against the wall. </w:t>
      </w:r>
      <w:r>
        <w:rPr>
          <w:color w:val="231F20"/>
          <w:spacing w:val="-7"/>
        </w:rPr>
        <w:t xml:space="preserve">you </w:t>
      </w:r>
      <w:r>
        <w:rPr>
          <w:color w:val="231F20"/>
        </w:rPr>
        <w:t xml:space="preserve">are not permitted to just hang around. </w:t>
      </w:r>
      <w:r>
        <w:rPr>
          <w:color w:val="231F20"/>
          <w:spacing w:val="-7"/>
        </w:rPr>
        <w:t xml:space="preserve">you </w:t>
      </w:r>
      <w:r>
        <w:rPr>
          <w:color w:val="231F20"/>
        </w:rPr>
        <w:t>should spend every day formulating a more thorough understanding of the justice</w:t>
      </w:r>
      <w:r>
        <w:rPr>
          <w:color w:val="231F20"/>
          <w:spacing w:val="17"/>
        </w:rPr>
        <w:t xml:space="preserve"> </w:t>
      </w:r>
      <w:r>
        <w:rPr>
          <w:color w:val="231F20"/>
        </w:rPr>
        <w:t>system.</w:t>
      </w:r>
    </w:p>
    <w:p w14:paraId="08866170" w14:textId="77777777" w:rsidR="002653E8" w:rsidRDefault="003115E3">
      <w:pPr>
        <w:pStyle w:val="a3"/>
        <w:spacing w:line="264" w:lineRule="auto"/>
        <w:ind w:left="1147" w:right="1326" w:firstLine="210"/>
        <w:jc w:val="both"/>
      </w:pPr>
      <w:r>
        <w:rPr>
          <w:color w:val="231F20"/>
          <w:spacing w:val="1"/>
        </w:rPr>
        <w:t xml:space="preserve">If </w:t>
      </w:r>
      <w:r>
        <w:rPr>
          <w:color w:val="231F20"/>
        </w:rPr>
        <w:t xml:space="preserve">you go to see the minister, </w:t>
      </w:r>
      <w:r>
        <w:rPr>
          <w:color w:val="231F20"/>
          <w:spacing w:val="-3"/>
        </w:rPr>
        <w:t xml:space="preserve">don’t  </w:t>
      </w:r>
      <w:r>
        <w:rPr>
          <w:color w:val="231F20"/>
        </w:rPr>
        <w:t xml:space="preserve">forget </w:t>
      </w:r>
      <w:r>
        <w:rPr>
          <w:color w:val="231F20"/>
          <w:spacing w:val="-3"/>
        </w:rPr>
        <w:t xml:space="preserve">it’s  </w:t>
      </w:r>
      <w:r>
        <w:rPr>
          <w:color w:val="231F20"/>
        </w:rPr>
        <w:t xml:space="preserve">just a crutch. </w:t>
      </w:r>
      <w:r>
        <w:rPr>
          <w:color w:val="231F20"/>
          <w:spacing w:val="-3"/>
        </w:rPr>
        <w:t xml:space="preserve">Don’t  </w:t>
      </w:r>
      <w:r>
        <w:rPr>
          <w:color w:val="231F20"/>
        </w:rPr>
        <w:t>go  to church; God is dead, but Che lives. Study the rudiments of socialism, and</w:t>
      </w:r>
      <w:r>
        <w:rPr>
          <w:color w:val="231F20"/>
          <w:spacing w:val="10"/>
        </w:rPr>
        <w:t xml:space="preserve"> </w:t>
      </w:r>
      <w:r>
        <w:rPr>
          <w:color w:val="231F20"/>
        </w:rPr>
        <w:t>you</w:t>
      </w:r>
      <w:r>
        <w:rPr>
          <w:color w:val="231F20"/>
          <w:spacing w:val="10"/>
        </w:rPr>
        <w:t xml:space="preserve"> </w:t>
      </w:r>
      <w:r>
        <w:rPr>
          <w:color w:val="231F20"/>
        </w:rPr>
        <w:t>will</w:t>
      </w:r>
      <w:r>
        <w:rPr>
          <w:color w:val="231F20"/>
          <w:spacing w:val="10"/>
        </w:rPr>
        <w:t xml:space="preserve"> </w:t>
      </w:r>
      <w:r>
        <w:rPr>
          <w:color w:val="231F20"/>
        </w:rPr>
        <w:t>have</w:t>
      </w:r>
      <w:r>
        <w:rPr>
          <w:color w:val="231F20"/>
          <w:spacing w:val="10"/>
        </w:rPr>
        <w:t xml:space="preserve"> </w:t>
      </w:r>
      <w:r>
        <w:rPr>
          <w:color w:val="231F20"/>
        </w:rPr>
        <w:t>everything</w:t>
      </w:r>
      <w:r>
        <w:rPr>
          <w:color w:val="231F20"/>
          <w:spacing w:val="10"/>
        </w:rPr>
        <w:t xml:space="preserve"> </w:t>
      </w:r>
      <w:r>
        <w:rPr>
          <w:color w:val="231F20"/>
        </w:rPr>
        <w:t>you</w:t>
      </w:r>
      <w:r>
        <w:rPr>
          <w:color w:val="231F20"/>
          <w:spacing w:val="10"/>
        </w:rPr>
        <w:t xml:space="preserve"> </w:t>
      </w:r>
      <w:r>
        <w:rPr>
          <w:color w:val="231F20"/>
        </w:rPr>
        <w:t>need.</w:t>
      </w:r>
    </w:p>
    <w:p w14:paraId="2654AF0D" w14:textId="77777777" w:rsidR="002653E8" w:rsidRDefault="003115E3">
      <w:pPr>
        <w:pStyle w:val="a3"/>
        <w:spacing w:line="264" w:lineRule="auto"/>
        <w:ind w:left="1147" w:right="1325" w:firstLine="210"/>
        <w:jc w:val="both"/>
      </w:pPr>
      <w:r>
        <w:rPr>
          <w:color w:val="231F20"/>
          <w:spacing w:val="-7"/>
          <w:w w:val="105"/>
        </w:rPr>
        <w:t xml:space="preserve">you </w:t>
      </w:r>
      <w:r>
        <w:rPr>
          <w:color w:val="231F20"/>
          <w:w w:val="105"/>
        </w:rPr>
        <w:t xml:space="preserve">are only permitted a half-hour a day to walk. </w:t>
      </w:r>
      <w:r>
        <w:rPr>
          <w:color w:val="231F20"/>
          <w:spacing w:val="-7"/>
          <w:w w:val="105"/>
        </w:rPr>
        <w:t xml:space="preserve">you </w:t>
      </w:r>
      <w:r>
        <w:rPr>
          <w:color w:val="231F20"/>
          <w:w w:val="105"/>
        </w:rPr>
        <w:t xml:space="preserve">are not permitted to yell out the window. </w:t>
      </w:r>
      <w:r>
        <w:rPr>
          <w:color w:val="231F20"/>
          <w:spacing w:val="-7"/>
          <w:w w:val="105"/>
        </w:rPr>
        <w:t xml:space="preserve">you </w:t>
      </w:r>
      <w:r>
        <w:rPr>
          <w:color w:val="231F20"/>
          <w:w w:val="105"/>
        </w:rPr>
        <w:t xml:space="preserve">are not permitted to have as many comrades as you like. </w:t>
      </w:r>
      <w:r>
        <w:rPr>
          <w:color w:val="231F20"/>
          <w:spacing w:val="-7"/>
          <w:w w:val="105"/>
        </w:rPr>
        <w:t xml:space="preserve">you </w:t>
      </w:r>
      <w:r>
        <w:rPr>
          <w:color w:val="231F20"/>
          <w:w w:val="105"/>
        </w:rPr>
        <w:t xml:space="preserve">are permitted to spend </w:t>
      </w:r>
      <w:r>
        <w:rPr>
          <w:color w:val="231F20"/>
          <w:spacing w:val="-10"/>
          <w:w w:val="105"/>
        </w:rPr>
        <w:t xml:space="preserve">35 </w:t>
      </w:r>
      <w:r>
        <w:rPr>
          <w:color w:val="231F20"/>
          <w:w w:val="105"/>
        </w:rPr>
        <w:t>dm</w:t>
      </w:r>
      <w:r>
        <w:rPr>
          <w:color w:val="231F20"/>
          <w:w w:val="105"/>
          <w:position w:val="7"/>
          <w:sz w:val="11"/>
        </w:rPr>
        <w:t xml:space="preserve">2 </w:t>
      </w:r>
      <w:r>
        <w:rPr>
          <w:color w:val="231F20"/>
          <w:w w:val="105"/>
        </w:rPr>
        <w:t xml:space="preserve">per week. That’s how it goes in Hessen. And </w:t>
      </w:r>
      <w:r>
        <w:rPr>
          <w:color w:val="231F20"/>
          <w:spacing w:val="-3"/>
          <w:w w:val="105"/>
        </w:rPr>
        <w:t xml:space="preserve">don’t </w:t>
      </w:r>
      <w:r>
        <w:rPr>
          <w:color w:val="231F20"/>
          <w:w w:val="105"/>
        </w:rPr>
        <w:t>forget, Hessen has the most liberal</w:t>
      </w:r>
      <w:r>
        <w:rPr>
          <w:color w:val="231F20"/>
          <w:spacing w:val="-5"/>
          <w:w w:val="105"/>
        </w:rPr>
        <w:t xml:space="preserve"> </w:t>
      </w:r>
      <w:r>
        <w:rPr>
          <w:color w:val="231F20"/>
          <w:w w:val="105"/>
        </w:rPr>
        <w:t>penal</w:t>
      </w:r>
      <w:r>
        <w:rPr>
          <w:color w:val="231F20"/>
          <w:spacing w:val="-5"/>
          <w:w w:val="105"/>
        </w:rPr>
        <w:t xml:space="preserve"> </w:t>
      </w:r>
      <w:r>
        <w:rPr>
          <w:color w:val="231F20"/>
          <w:w w:val="105"/>
        </w:rPr>
        <w:t>system.</w:t>
      </w:r>
      <w:r>
        <w:rPr>
          <w:color w:val="231F20"/>
          <w:spacing w:val="-5"/>
          <w:w w:val="105"/>
        </w:rPr>
        <w:t xml:space="preserve"> </w:t>
      </w:r>
      <w:r>
        <w:rPr>
          <w:color w:val="231F20"/>
          <w:spacing w:val="-7"/>
          <w:w w:val="105"/>
        </w:rPr>
        <w:t>you</w:t>
      </w:r>
      <w:r>
        <w:rPr>
          <w:color w:val="231F20"/>
          <w:spacing w:val="-5"/>
          <w:w w:val="105"/>
        </w:rPr>
        <w:t xml:space="preserve"> </w:t>
      </w:r>
      <w:r>
        <w:rPr>
          <w:color w:val="231F20"/>
          <w:w w:val="105"/>
        </w:rPr>
        <w:t>are</w:t>
      </w:r>
      <w:r>
        <w:rPr>
          <w:color w:val="231F20"/>
          <w:spacing w:val="-5"/>
          <w:w w:val="105"/>
        </w:rPr>
        <w:t xml:space="preserve"> </w:t>
      </w:r>
      <w:r>
        <w:rPr>
          <w:color w:val="231F20"/>
          <w:w w:val="105"/>
        </w:rPr>
        <w:t>not</w:t>
      </w:r>
      <w:r>
        <w:rPr>
          <w:color w:val="231F20"/>
          <w:spacing w:val="-5"/>
          <w:w w:val="105"/>
        </w:rPr>
        <w:t xml:space="preserve"> </w:t>
      </w:r>
      <w:r>
        <w:rPr>
          <w:color w:val="231F20"/>
          <w:w w:val="105"/>
        </w:rPr>
        <w:t>permitted</w:t>
      </w:r>
      <w:r>
        <w:rPr>
          <w:color w:val="231F20"/>
          <w:spacing w:val="-5"/>
          <w:w w:val="105"/>
        </w:rPr>
        <w:t xml:space="preserve"> </w:t>
      </w:r>
      <w:r>
        <w:rPr>
          <w:color w:val="231F20"/>
          <w:w w:val="105"/>
        </w:rPr>
        <w:t>to</w:t>
      </w:r>
      <w:r>
        <w:rPr>
          <w:color w:val="231F20"/>
          <w:spacing w:val="-5"/>
          <w:w w:val="105"/>
        </w:rPr>
        <w:t xml:space="preserve"> </w:t>
      </w:r>
      <w:r>
        <w:rPr>
          <w:color w:val="231F20"/>
          <w:w w:val="105"/>
        </w:rPr>
        <w:t>drink</w:t>
      </w:r>
      <w:r>
        <w:rPr>
          <w:color w:val="231F20"/>
          <w:spacing w:val="-5"/>
          <w:w w:val="105"/>
        </w:rPr>
        <w:t xml:space="preserve"> </w:t>
      </w:r>
      <w:r>
        <w:rPr>
          <w:color w:val="231F20"/>
          <w:w w:val="105"/>
        </w:rPr>
        <w:t>as</w:t>
      </w:r>
      <w:r>
        <w:rPr>
          <w:color w:val="231F20"/>
          <w:spacing w:val="-5"/>
          <w:w w:val="105"/>
        </w:rPr>
        <w:t xml:space="preserve"> </w:t>
      </w:r>
      <w:r>
        <w:rPr>
          <w:color w:val="231F20"/>
          <w:w w:val="105"/>
        </w:rPr>
        <w:t>much</w:t>
      </w:r>
      <w:r>
        <w:rPr>
          <w:color w:val="231F20"/>
          <w:spacing w:val="-5"/>
          <w:w w:val="105"/>
        </w:rPr>
        <w:t xml:space="preserve"> </w:t>
      </w:r>
      <w:r>
        <w:rPr>
          <w:color w:val="231F20"/>
          <w:w w:val="105"/>
        </w:rPr>
        <w:t>coffee</w:t>
      </w:r>
      <w:r>
        <w:rPr>
          <w:color w:val="231F20"/>
          <w:spacing w:val="-5"/>
          <w:w w:val="105"/>
        </w:rPr>
        <w:t xml:space="preserve"> </w:t>
      </w:r>
      <w:r>
        <w:rPr>
          <w:color w:val="231F20"/>
          <w:w w:val="105"/>
        </w:rPr>
        <w:t xml:space="preserve">as you wish. </w:t>
      </w:r>
      <w:r>
        <w:rPr>
          <w:color w:val="231F20"/>
          <w:spacing w:val="-7"/>
          <w:w w:val="105"/>
        </w:rPr>
        <w:t xml:space="preserve">you </w:t>
      </w:r>
      <w:r>
        <w:rPr>
          <w:color w:val="231F20"/>
          <w:w w:val="105"/>
        </w:rPr>
        <w:t xml:space="preserve">are not permitted to drink any alcohol. </w:t>
      </w:r>
      <w:r>
        <w:rPr>
          <w:color w:val="231F20"/>
          <w:spacing w:val="-7"/>
          <w:w w:val="105"/>
        </w:rPr>
        <w:t xml:space="preserve">you </w:t>
      </w:r>
      <w:r>
        <w:rPr>
          <w:color w:val="231F20"/>
          <w:w w:val="105"/>
        </w:rPr>
        <w:t>are not permitted</w:t>
      </w:r>
      <w:r>
        <w:rPr>
          <w:color w:val="231F20"/>
          <w:spacing w:val="-19"/>
          <w:w w:val="105"/>
        </w:rPr>
        <w:t xml:space="preserve"> </w:t>
      </w:r>
      <w:r>
        <w:rPr>
          <w:color w:val="231F20"/>
          <w:w w:val="105"/>
        </w:rPr>
        <w:t>to</w:t>
      </w:r>
      <w:r>
        <w:rPr>
          <w:color w:val="231F20"/>
          <w:spacing w:val="-19"/>
          <w:w w:val="105"/>
        </w:rPr>
        <w:t xml:space="preserve"> </w:t>
      </w:r>
      <w:r>
        <w:rPr>
          <w:color w:val="231F20"/>
          <w:w w:val="105"/>
        </w:rPr>
        <w:t>smoke</w:t>
      </w:r>
      <w:r>
        <w:rPr>
          <w:color w:val="231F20"/>
          <w:spacing w:val="-19"/>
          <w:w w:val="105"/>
        </w:rPr>
        <w:t xml:space="preserve"> </w:t>
      </w:r>
      <w:r>
        <w:rPr>
          <w:color w:val="231F20"/>
          <w:w w:val="105"/>
        </w:rPr>
        <w:t>hash.</w:t>
      </w:r>
      <w:r>
        <w:rPr>
          <w:color w:val="231F20"/>
          <w:spacing w:val="-19"/>
          <w:w w:val="105"/>
        </w:rPr>
        <w:t xml:space="preserve"> </w:t>
      </w:r>
      <w:r>
        <w:rPr>
          <w:color w:val="231F20"/>
          <w:spacing w:val="-7"/>
          <w:w w:val="105"/>
        </w:rPr>
        <w:t>you</w:t>
      </w:r>
      <w:r>
        <w:rPr>
          <w:color w:val="231F20"/>
          <w:spacing w:val="-19"/>
          <w:w w:val="105"/>
        </w:rPr>
        <w:t xml:space="preserve"> </w:t>
      </w:r>
      <w:r>
        <w:rPr>
          <w:color w:val="231F20"/>
          <w:w w:val="105"/>
        </w:rPr>
        <w:t>are</w:t>
      </w:r>
      <w:r>
        <w:rPr>
          <w:color w:val="231F20"/>
          <w:spacing w:val="-19"/>
          <w:w w:val="105"/>
        </w:rPr>
        <w:t xml:space="preserve"> </w:t>
      </w:r>
      <w:r>
        <w:rPr>
          <w:color w:val="231F20"/>
          <w:w w:val="105"/>
        </w:rPr>
        <w:t>not</w:t>
      </w:r>
      <w:r>
        <w:rPr>
          <w:color w:val="231F20"/>
          <w:spacing w:val="-19"/>
          <w:w w:val="105"/>
        </w:rPr>
        <w:t xml:space="preserve"> </w:t>
      </w:r>
      <w:r>
        <w:rPr>
          <w:color w:val="231F20"/>
          <w:w w:val="105"/>
        </w:rPr>
        <w:t>permitted</w:t>
      </w:r>
      <w:r>
        <w:rPr>
          <w:color w:val="231F20"/>
          <w:spacing w:val="-19"/>
          <w:w w:val="105"/>
        </w:rPr>
        <w:t xml:space="preserve"> </w:t>
      </w:r>
      <w:r>
        <w:rPr>
          <w:color w:val="231F20"/>
          <w:w w:val="105"/>
        </w:rPr>
        <w:t>to</w:t>
      </w:r>
      <w:r>
        <w:rPr>
          <w:color w:val="231F20"/>
          <w:spacing w:val="-19"/>
          <w:w w:val="105"/>
        </w:rPr>
        <w:t xml:space="preserve"> </w:t>
      </w:r>
      <w:r>
        <w:rPr>
          <w:color w:val="231F20"/>
          <w:w w:val="105"/>
        </w:rPr>
        <w:t>consume</w:t>
      </w:r>
      <w:r>
        <w:rPr>
          <w:color w:val="231F20"/>
          <w:spacing w:val="-19"/>
          <w:w w:val="105"/>
        </w:rPr>
        <w:t xml:space="preserve"> </w:t>
      </w:r>
      <w:r>
        <w:rPr>
          <w:color w:val="231F20"/>
          <w:w w:val="105"/>
        </w:rPr>
        <w:t>in</w:t>
      </w:r>
      <w:r>
        <w:rPr>
          <w:color w:val="231F20"/>
          <w:spacing w:val="-19"/>
          <w:w w:val="105"/>
        </w:rPr>
        <w:t xml:space="preserve"> </w:t>
      </w:r>
      <w:r>
        <w:rPr>
          <w:color w:val="231F20"/>
          <w:w w:val="105"/>
        </w:rPr>
        <w:t>the</w:t>
      </w:r>
      <w:r>
        <w:rPr>
          <w:color w:val="231F20"/>
          <w:spacing w:val="-19"/>
          <w:w w:val="105"/>
        </w:rPr>
        <w:t xml:space="preserve"> </w:t>
      </w:r>
      <w:r>
        <w:rPr>
          <w:color w:val="231F20"/>
          <w:spacing w:val="-2"/>
          <w:w w:val="105"/>
        </w:rPr>
        <w:t>way</w:t>
      </w:r>
      <w:r>
        <w:rPr>
          <w:color w:val="231F20"/>
          <w:spacing w:val="-19"/>
          <w:w w:val="105"/>
        </w:rPr>
        <w:t xml:space="preserve"> </w:t>
      </w:r>
      <w:r>
        <w:rPr>
          <w:color w:val="231F20"/>
          <w:w w:val="105"/>
        </w:rPr>
        <w:t>you wish,</w:t>
      </w:r>
      <w:r>
        <w:rPr>
          <w:color w:val="231F20"/>
          <w:spacing w:val="-5"/>
          <w:w w:val="105"/>
        </w:rPr>
        <w:t xml:space="preserve"> </w:t>
      </w:r>
      <w:r>
        <w:rPr>
          <w:color w:val="231F20"/>
          <w:w w:val="105"/>
        </w:rPr>
        <w:t>and</w:t>
      </w:r>
      <w:r>
        <w:rPr>
          <w:color w:val="231F20"/>
          <w:spacing w:val="-5"/>
          <w:w w:val="105"/>
        </w:rPr>
        <w:t xml:space="preserve"> </w:t>
      </w:r>
      <w:r>
        <w:rPr>
          <w:color w:val="231F20"/>
          <w:w w:val="105"/>
        </w:rPr>
        <w:t>you</w:t>
      </w:r>
      <w:r>
        <w:rPr>
          <w:color w:val="231F20"/>
          <w:spacing w:val="-5"/>
          <w:w w:val="105"/>
        </w:rPr>
        <w:t xml:space="preserve"> </w:t>
      </w:r>
      <w:r>
        <w:rPr>
          <w:color w:val="231F20"/>
          <w:w w:val="105"/>
        </w:rPr>
        <w:t>are</w:t>
      </w:r>
      <w:r>
        <w:rPr>
          <w:color w:val="231F20"/>
          <w:spacing w:val="-5"/>
          <w:w w:val="105"/>
        </w:rPr>
        <w:t xml:space="preserve"> </w:t>
      </w:r>
      <w:r>
        <w:rPr>
          <w:color w:val="231F20"/>
          <w:w w:val="105"/>
        </w:rPr>
        <w:t>not</w:t>
      </w:r>
      <w:r>
        <w:rPr>
          <w:color w:val="231F20"/>
          <w:spacing w:val="-5"/>
          <w:w w:val="105"/>
        </w:rPr>
        <w:t xml:space="preserve"> </w:t>
      </w:r>
      <w:r>
        <w:rPr>
          <w:color w:val="231F20"/>
          <w:w w:val="105"/>
        </w:rPr>
        <w:t>permitted</w:t>
      </w:r>
      <w:r>
        <w:rPr>
          <w:color w:val="231F20"/>
          <w:spacing w:val="-5"/>
          <w:w w:val="105"/>
        </w:rPr>
        <w:t xml:space="preserve"> </w:t>
      </w:r>
      <w:r>
        <w:rPr>
          <w:color w:val="231F20"/>
          <w:w w:val="105"/>
        </w:rPr>
        <w:t>to</w:t>
      </w:r>
      <w:r>
        <w:rPr>
          <w:color w:val="231F20"/>
          <w:spacing w:val="-5"/>
          <w:w w:val="105"/>
        </w:rPr>
        <w:t xml:space="preserve"> </w:t>
      </w:r>
      <w:r>
        <w:rPr>
          <w:color w:val="231F20"/>
          <w:w w:val="105"/>
        </w:rPr>
        <w:t>consume</w:t>
      </w:r>
      <w:r>
        <w:rPr>
          <w:color w:val="231F20"/>
          <w:spacing w:val="-5"/>
          <w:w w:val="105"/>
        </w:rPr>
        <w:t xml:space="preserve"> </w:t>
      </w:r>
      <w:r>
        <w:rPr>
          <w:color w:val="231F20"/>
          <w:w w:val="105"/>
        </w:rPr>
        <w:t>what</w:t>
      </w:r>
      <w:r>
        <w:rPr>
          <w:color w:val="231F20"/>
          <w:spacing w:val="-5"/>
          <w:w w:val="105"/>
        </w:rPr>
        <w:t xml:space="preserve"> </w:t>
      </w:r>
      <w:r>
        <w:rPr>
          <w:color w:val="231F20"/>
          <w:w w:val="105"/>
        </w:rPr>
        <w:t>you</w:t>
      </w:r>
      <w:r>
        <w:rPr>
          <w:color w:val="231F20"/>
          <w:spacing w:val="-5"/>
          <w:w w:val="105"/>
        </w:rPr>
        <w:t xml:space="preserve"> </w:t>
      </w:r>
      <w:r>
        <w:rPr>
          <w:color w:val="231F20"/>
          <w:w w:val="105"/>
        </w:rPr>
        <w:t>wish,</w:t>
      </w:r>
      <w:r>
        <w:rPr>
          <w:color w:val="231F20"/>
          <w:spacing w:val="-5"/>
          <w:w w:val="105"/>
        </w:rPr>
        <w:t xml:space="preserve"> </w:t>
      </w:r>
      <w:r>
        <w:rPr>
          <w:color w:val="231F20"/>
          <w:w w:val="105"/>
        </w:rPr>
        <w:t>and</w:t>
      </w:r>
      <w:r>
        <w:rPr>
          <w:color w:val="231F20"/>
          <w:spacing w:val="-5"/>
          <w:w w:val="105"/>
        </w:rPr>
        <w:t xml:space="preserve"> </w:t>
      </w:r>
      <w:r>
        <w:rPr>
          <w:color w:val="231F20"/>
          <w:w w:val="105"/>
        </w:rPr>
        <w:t>all</w:t>
      </w:r>
      <w:r>
        <w:rPr>
          <w:color w:val="231F20"/>
          <w:spacing w:val="-5"/>
          <w:w w:val="105"/>
        </w:rPr>
        <w:t xml:space="preserve"> </w:t>
      </w:r>
      <w:r>
        <w:rPr>
          <w:color w:val="231F20"/>
          <w:w w:val="105"/>
        </w:rPr>
        <w:t>of that</w:t>
      </w:r>
      <w:r>
        <w:rPr>
          <w:color w:val="231F20"/>
          <w:spacing w:val="-5"/>
          <w:w w:val="105"/>
        </w:rPr>
        <w:t xml:space="preserve"> </w:t>
      </w:r>
      <w:r>
        <w:rPr>
          <w:color w:val="231F20"/>
          <w:w w:val="105"/>
        </w:rPr>
        <w:t>in</w:t>
      </w:r>
      <w:r>
        <w:rPr>
          <w:color w:val="231F20"/>
          <w:spacing w:val="-5"/>
          <w:w w:val="105"/>
        </w:rPr>
        <w:t xml:space="preserve"> </w:t>
      </w:r>
      <w:r>
        <w:rPr>
          <w:color w:val="231F20"/>
          <w:w w:val="105"/>
        </w:rPr>
        <w:t>a</w:t>
      </w:r>
      <w:r>
        <w:rPr>
          <w:color w:val="231F20"/>
          <w:spacing w:val="-5"/>
          <w:w w:val="105"/>
        </w:rPr>
        <w:t xml:space="preserve"> </w:t>
      </w:r>
      <w:r>
        <w:rPr>
          <w:color w:val="231F20"/>
          <w:w w:val="105"/>
        </w:rPr>
        <w:t>society</w:t>
      </w:r>
      <w:r>
        <w:rPr>
          <w:color w:val="231F20"/>
          <w:spacing w:val="-5"/>
          <w:w w:val="105"/>
        </w:rPr>
        <w:t xml:space="preserve"> </w:t>
      </w:r>
      <w:r>
        <w:rPr>
          <w:color w:val="231F20"/>
          <w:w w:val="105"/>
        </w:rPr>
        <w:t>based</w:t>
      </w:r>
      <w:r>
        <w:rPr>
          <w:color w:val="231F20"/>
          <w:spacing w:val="-5"/>
          <w:w w:val="105"/>
        </w:rPr>
        <w:t xml:space="preserve"> </w:t>
      </w:r>
      <w:r>
        <w:rPr>
          <w:color w:val="231F20"/>
          <w:w w:val="105"/>
        </w:rPr>
        <w:t>on</w:t>
      </w:r>
      <w:r>
        <w:rPr>
          <w:color w:val="231F20"/>
          <w:spacing w:val="-5"/>
          <w:w w:val="105"/>
        </w:rPr>
        <w:t xml:space="preserve"> </w:t>
      </w:r>
      <w:r>
        <w:rPr>
          <w:color w:val="231F20"/>
          <w:w w:val="105"/>
        </w:rPr>
        <w:t>consumption.</w:t>
      </w:r>
      <w:r>
        <w:rPr>
          <w:color w:val="231F20"/>
          <w:spacing w:val="-5"/>
          <w:w w:val="105"/>
        </w:rPr>
        <w:t xml:space="preserve"> </w:t>
      </w:r>
      <w:r>
        <w:rPr>
          <w:color w:val="231F20"/>
          <w:w w:val="105"/>
        </w:rPr>
        <w:t>Note</w:t>
      </w:r>
      <w:r>
        <w:rPr>
          <w:color w:val="231F20"/>
          <w:spacing w:val="-5"/>
          <w:w w:val="105"/>
        </w:rPr>
        <w:t xml:space="preserve"> </w:t>
      </w:r>
      <w:r>
        <w:rPr>
          <w:color w:val="231F20"/>
          <w:w w:val="105"/>
        </w:rPr>
        <w:t>that</w:t>
      </w:r>
      <w:r>
        <w:rPr>
          <w:color w:val="231F20"/>
          <w:spacing w:val="-5"/>
          <w:w w:val="105"/>
        </w:rPr>
        <w:t xml:space="preserve"> </w:t>
      </w:r>
      <w:r>
        <w:rPr>
          <w:color w:val="231F20"/>
          <w:w w:val="105"/>
        </w:rPr>
        <w:t>in</w:t>
      </w:r>
      <w:r>
        <w:rPr>
          <w:color w:val="231F20"/>
          <w:spacing w:val="-5"/>
          <w:w w:val="105"/>
        </w:rPr>
        <w:t xml:space="preserve"> </w:t>
      </w:r>
      <w:r>
        <w:rPr>
          <w:color w:val="231F20"/>
          <w:w w:val="105"/>
        </w:rPr>
        <w:t>prison</w:t>
      </w:r>
      <w:r>
        <w:rPr>
          <w:color w:val="231F20"/>
          <w:spacing w:val="-5"/>
          <w:w w:val="105"/>
        </w:rPr>
        <w:t xml:space="preserve"> </w:t>
      </w:r>
      <w:r>
        <w:rPr>
          <w:color w:val="231F20"/>
          <w:w w:val="105"/>
        </w:rPr>
        <w:t>consumption becomes a</w:t>
      </w:r>
      <w:r>
        <w:rPr>
          <w:color w:val="231F20"/>
          <w:spacing w:val="22"/>
          <w:w w:val="105"/>
        </w:rPr>
        <w:t xml:space="preserve"> </w:t>
      </w:r>
      <w:r>
        <w:rPr>
          <w:color w:val="231F20"/>
          <w:w w:val="105"/>
        </w:rPr>
        <w:t>treat.</w:t>
      </w:r>
    </w:p>
    <w:p w14:paraId="19CC4364" w14:textId="77777777" w:rsidR="002653E8" w:rsidRDefault="003115E3">
      <w:pPr>
        <w:pStyle w:val="a3"/>
        <w:spacing w:line="264" w:lineRule="auto"/>
        <w:ind w:left="1147" w:right="1325" w:firstLine="210"/>
        <w:jc w:val="both"/>
      </w:pPr>
      <w:r>
        <w:rPr>
          <w:color w:val="231F20"/>
        </w:rPr>
        <w:t>Correspondence is monitored. Sexual intercourse is not monitored, but then there’s not much of it. Adultery is not permitted (what’s that about?), but it is not permitted to consummate a marriage (what’s that about?). All of those in the hole who still cling onto bourgeois existence</w:t>
      </w:r>
    </w:p>
    <w:p w14:paraId="4C42199C" w14:textId="77777777" w:rsidR="002653E8" w:rsidRDefault="00000000">
      <w:pPr>
        <w:pStyle w:val="a3"/>
        <w:spacing w:before="8"/>
        <w:rPr>
          <w:sz w:val="13"/>
        </w:rPr>
      </w:pPr>
      <w:r>
        <w:rPr>
          <w:noProof w:val="0"/>
        </w:rPr>
        <w:pict w14:anchorId="2A54B327">
          <v:line id="_x0000_s2624" style="position:absolute;z-index:3136;mso-wrap-distance-left:0;mso-wrap-distance-right:0;mso-position-horizontal-relative:page" from="57.4pt,10.25pt" to="129.4pt,10.25pt" strokecolor="#231f20" strokeweight=".5pt">
            <w10:wrap type="topAndBottom" anchorx="page"/>
          </v:line>
        </w:pict>
      </w:r>
    </w:p>
    <w:p w14:paraId="1EDD5E0D" w14:textId="77777777" w:rsidR="002653E8" w:rsidRDefault="003115E3">
      <w:pPr>
        <w:spacing w:before="53" w:line="307" w:lineRule="auto"/>
        <w:ind w:left="1147" w:right="5857"/>
        <w:rPr>
          <w:sz w:val="16"/>
        </w:rPr>
      </w:pPr>
      <w:bookmarkStart w:id="36" w:name="_Hlk53878446"/>
      <w:r>
        <w:rPr>
          <w:color w:val="231F20"/>
          <w:w w:val="105"/>
          <w:sz w:val="16"/>
        </w:rPr>
        <w:t>1 Roughly forty cents. 2 Roughly $11.20.</w:t>
      </w:r>
    </w:p>
    <w:bookmarkEnd w:id="36"/>
    <w:p w14:paraId="2D6DCD2D" w14:textId="77777777" w:rsidR="002653E8" w:rsidRDefault="002653E8">
      <w:pPr>
        <w:spacing w:line="307" w:lineRule="auto"/>
        <w:rPr>
          <w:sz w:val="16"/>
        </w:rPr>
        <w:sectPr w:rsidR="002653E8">
          <w:pgSz w:w="8640" w:h="12960"/>
          <w:pgMar w:top="1060" w:right="0" w:bottom="1040" w:left="0" w:header="0" w:footer="850" w:gutter="0"/>
          <w:cols w:space="720"/>
        </w:sectPr>
      </w:pPr>
    </w:p>
    <w:p w14:paraId="6864F084" w14:textId="77777777" w:rsidR="002653E8" w:rsidRDefault="003115E3">
      <w:pPr>
        <w:pStyle w:val="a3"/>
        <w:spacing w:before="86" w:line="264" w:lineRule="auto"/>
        <w:ind w:left="1327" w:right="1145"/>
        <w:jc w:val="both"/>
      </w:pPr>
      <w:r>
        <w:rPr>
          <w:color w:val="231F20"/>
        </w:rPr>
        <w:lastRenderedPageBreak/>
        <w:t>(woe be it to those who see no alternative), and that’s most of them, will be driven crazy by the bourgeois social order. That’s how it is. How, for instance, are they to maintain their marriages? They will all fail, and that’s good.</w:t>
      </w:r>
    </w:p>
    <w:p w14:paraId="036BE880" w14:textId="77777777" w:rsidR="002653E8" w:rsidRDefault="003115E3">
      <w:pPr>
        <w:pStyle w:val="a3"/>
        <w:spacing w:line="264" w:lineRule="auto"/>
        <w:ind w:left="1327" w:right="1146" w:firstLine="210"/>
        <w:jc w:val="both"/>
      </w:pPr>
      <w:r>
        <w:rPr>
          <w:color w:val="231F20"/>
        </w:rPr>
        <w:t>Every citizen should go to prison to gain a real understanding of the situation.</w:t>
      </w:r>
    </w:p>
    <w:p w14:paraId="5DC3233B" w14:textId="77777777" w:rsidR="002653E8" w:rsidRDefault="003115E3">
      <w:pPr>
        <w:pStyle w:val="a3"/>
        <w:spacing w:line="264" w:lineRule="auto"/>
        <w:ind w:left="1327" w:right="1147" w:firstLine="210"/>
        <w:jc w:val="both"/>
      </w:pPr>
      <w:r>
        <w:rPr>
          <w:color w:val="231F20"/>
        </w:rPr>
        <w:t>Every socialist should go to prison to gain a real understanding of   the</w:t>
      </w:r>
      <w:r>
        <w:rPr>
          <w:color w:val="231F20"/>
          <w:spacing w:val="10"/>
        </w:rPr>
        <w:t xml:space="preserve"> </w:t>
      </w:r>
      <w:r>
        <w:rPr>
          <w:color w:val="231F20"/>
        </w:rPr>
        <w:t>situation.</w:t>
      </w:r>
    </w:p>
    <w:p w14:paraId="222B7922" w14:textId="77777777" w:rsidR="002653E8" w:rsidRDefault="003115E3">
      <w:pPr>
        <w:pStyle w:val="a3"/>
        <w:spacing w:line="264" w:lineRule="auto"/>
        <w:ind w:left="1327" w:right="1146" w:firstLine="210"/>
        <w:jc w:val="both"/>
      </w:pPr>
      <w:r>
        <w:rPr>
          <w:color w:val="231F20"/>
        </w:rPr>
        <w:t>Every citizen should go to prison so that he develops a correct relationship to socialism.</w:t>
      </w:r>
    </w:p>
    <w:p w14:paraId="78D2DA00" w14:textId="77777777" w:rsidR="002653E8" w:rsidRDefault="003115E3">
      <w:pPr>
        <w:pStyle w:val="a3"/>
        <w:spacing w:line="264" w:lineRule="auto"/>
        <w:ind w:left="1327" w:right="1146" w:firstLine="210"/>
        <w:jc w:val="both"/>
      </w:pPr>
      <w:r>
        <w:rPr>
          <w:color w:val="231F20"/>
          <w:spacing w:val="-5"/>
        </w:rPr>
        <w:t xml:space="preserve">yet </w:t>
      </w:r>
      <w:r>
        <w:rPr>
          <w:color w:val="231F20"/>
        </w:rPr>
        <w:t xml:space="preserve">every individual capitalist or socialist has the opportunity to be the first to blow up a prison. </w:t>
      </w:r>
      <w:r>
        <w:rPr>
          <w:color w:val="231F20"/>
          <w:spacing w:val="-3"/>
        </w:rPr>
        <w:t xml:space="preserve">Don’t </w:t>
      </w:r>
      <w:r>
        <w:rPr>
          <w:color w:val="231F20"/>
        </w:rPr>
        <w:t>read any of the Springer papers;  burn them. Then blow Springer</w:t>
      </w:r>
      <w:r>
        <w:rPr>
          <w:color w:val="231F20"/>
          <w:spacing w:val="11"/>
        </w:rPr>
        <w:t xml:space="preserve"> </w:t>
      </w:r>
      <w:r>
        <w:rPr>
          <w:color w:val="231F20"/>
        </w:rPr>
        <w:t>up.</w:t>
      </w:r>
    </w:p>
    <w:p w14:paraId="4C022B3C" w14:textId="77777777" w:rsidR="002653E8" w:rsidRDefault="003115E3">
      <w:pPr>
        <w:pStyle w:val="a3"/>
        <w:spacing w:line="264" w:lineRule="auto"/>
        <w:ind w:left="1327" w:right="1145" w:firstLine="210"/>
        <w:jc w:val="both"/>
      </w:pPr>
      <w:r>
        <w:rPr>
          <w:color w:val="231F20"/>
          <w:spacing w:val="-7"/>
        </w:rPr>
        <w:t xml:space="preserve">you </w:t>
      </w:r>
      <w:r>
        <w:rPr>
          <w:color w:val="231F20"/>
        </w:rPr>
        <w:t xml:space="preserve">are not permitted to beat off or masturbate if that’s what you want to do. </w:t>
      </w:r>
      <w:r>
        <w:rPr>
          <w:color w:val="231F20"/>
          <w:spacing w:val="-7"/>
        </w:rPr>
        <w:t xml:space="preserve">you </w:t>
      </w:r>
      <w:r>
        <w:rPr>
          <w:color w:val="231F20"/>
        </w:rPr>
        <w:t xml:space="preserve">can do what you want with your </w:t>
      </w:r>
      <w:r>
        <w:rPr>
          <w:color w:val="231F20"/>
          <w:spacing w:val="-3"/>
        </w:rPr>
        <w:t xml:space="preserve">body. </w:t>
      </w:r>
      <w:r>
        <w:rPr>
          <w:color w:val="231F20"/>
        </w:rPr>
        <w:t xml:space="preserve">The duality of homosexuality exists. </w:t>
      </w:r>
      <w:r>
        <w:rPr>
          <w:color w:val="231F20"/>
          <w:spacing w:val="1"/>
        </w:rPr>
        <w:t xml:space="preserve">If </w:t>
      </w:r>
      <w:r>
        <w:rPr>
          <w:color w:val="231F20"/>
        </w:rPr>
        <w:t xml:space="preserve">new sexual laws are passed, will you still be permitted to fuck chicks; not to speak of other prisoners. </w:t>
      </w:r>
      <w:r>
        <w:rPr>
          <w:color w:val="231F20"/>
          <w:spacing w:val="1"/>
        </w:rPr>
        <w:t xml:space="preserve">In </w:t>
      </w:r>
      <w:r>
        <w:rPr>
          <w:color w:val="231F20"/>
        </w:rPr>
        <w:t xml:space="preserve">Butzbach penitentiary there was a flourishing trade in bras. Forced sodomy </w:t>
      </w:r>
      <w:r>
        <w:rPr>
          <w:color w:val="231F20"/>
          <w:spacing w:val="-3"/>
        </w:rPr>
        <w:t xml:space="preserve">(what’s </w:t>
      </w:r>
      <w:r>
        <w:rPr>
          <w:color w:val="231F20"/>
        </w:rPr>
        <w:t xml:space="preserve">that all </w:t>
      </w:r>
      <w:r>
        <w:rPr>
          <w:color w:val="231F20"/>
          <w:spacing w:val="-3"/>
        </w:rPr>
        <w:t xml:space="preserve">about?). </w:t>
      </w:r>
      <w:r>
        <w:rPr>
          <w:color w:val="231F20"/>
        </w:rPr>
        <w:t>Rape the guards that torment</w:t>
      </w:r>
      <w:r>
        <w:rPr>
          <w:color w:val="231F20"/>
          <w:spacing w:val="40"/>
        </w:rPr>
        <w:t xml:space="preserve"> </w:t>
      </w:r>
      <w:r>
        <w:rPr>
          <w:color w:val="231F20"/>
        </w:rPr>
        <w:t>you.</w:t>
      </w:r>
    </w:p>
    <w:p w14:paraId="0A4172BE" w14:textId="77777777" w:rsidR="002653E8" w:rsidRDefault="003115E3">
      <w:pPr>
        <w:pStyle w:val="a3"/>
        <w:spacing w:line="264" w:lineRule="auto"/>
        <w:ind w:left="1327" w:right="1145" w:firstLine="210"/>
        <w:jc w:val="both"/>
      </w:pPr>
      <w:r>
        <w:rPr>
          <w:color w:val="231F20"/>
          <w:spacing w:val="-7"/>
        </w:rPr>
        <w:t xml:space="preserve">you </w:t>
      </w:r>
      <w:r>
        <w:rPr>
          <w:color w:val="231F20"/>
        </w:rPr>
        <w:t xml:space="preserve">aren’t permitted to commit  a  break-in,  but  you  are  permitted to break out. Out of prison I mean. Attempted escape is not an indictable offense. </w:t>
      </w:r>
      <w:r>
        <w:rPr>
          <w:color w:val="231F20"/>
          <w:spacing w:val="-7"/>
        </w:rPr>
        <w:t xml:space="preserve">you </w:t>
      </w:r>
      <w:r>
        <w:rPr>
          <w:color w:val="231F20"/>
        </w:rPr>
        <w:t xml:space="preserve">are not permitted to receive photos </w:t>
      </w:r>
      <w:r>
        <w:rPr>
          <w:color w:val="231F20"/>
          <w:spacing w:val="-5"/>
        </w:rPr>
        <w:t xml:space="preserve">1-3 </w:t>
      </w:r>
      <w:r>
        <w:rPr>
          <w:color w:val="231F20"/>
        </w:rPr>
        <w:t xml:space="preserve">from the Kommune 1 book, </w:t>
      </w:r>
      <w:r>
        <w:rPr>
          <w:i/>
          <w:color w:val="231F20"/>
          <w:spacing w:val="1"/>
        </w:rPr>
        <w:t xml:space="preserve">Klau </w:t>
      </w:r>
      <w:r>
        <w:rPr>
          <w:i/>
          <w:color w:val="231F20"/>
        </w:rPr>
        <w:t>Mich</w:t>
      </w:r>
      <w:r>
        <w:rPr>
          <w:color w:val="231F20"/>
        </w:rPr>
        <w:t>,</w:t>
      </w:r>
      <w:r>
        <w:rPr>
          <w:color w:val="231F20"/>
          <w:position w:val="7"/>
          <w:sz w:val="11"/>
        </w:rPr>
        <w:t xml:space="preserve">3 </w:t>
      </w:r>
      <w:r>
        <w:rPr>
          <w:color w:val="231F20"/>
        </w:rPr>
        <w:t>because their obscene content is a threat to</w:t>
      </w:r>
      <w:r>
        <w:rPr>
          <w:color w:val="231F20"/>
          <w:spacing w:val="10"/>
        </w:rPr>
        <w:t xml:space="preserve"> </w:t>
      </w:r>
      <w:r>
        <w:rPr>
          <w:color w:val="231F20"/>
        </w:rPr>
        <w:t>the</w:t>
      </w:r>
      <w:r>
        <w:rPr>
          <w:color w:val="231F20"/>
          <w:spacing w:val="10"/>
        </w:rPr>
        <w:t xml:space="preserve"> </w:t>
      </w:r>
      <w:r>
        <w:rPr>
          <w:color w:val="231F20"/>
        </w:rPr>
        <w:t>moral</w:t>
      </w:r>
      <w:r>
        <w:rPr>
          <w:color w:val="231F20"/>
          <w:spacing w:val="10"/>
        </w:rPr>
        <w:t xml:space="preserve"> </w:t>
      </w:r>
      <w:r>
        <w:rPr>
          <w:color w:val="231F20"/>
        </w:rPr>
        <w:t>order</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remand</w:t>
      </w:r>
      <w:r>
        <w:rPr>
          <w:color w:val="231F20"/>
          <w:spacing w:val="10"/>
        </w:rPr>
        <w:t xml:space="preserve"> </w:t>
      </w:r>
      <w:r>
        <w:rPr>
          <w:color w:val="231F20"/>
        </w:rPr>
        <w:t>centre.</w:t>
      </w:r>
    </w:p>
    <w:p w14:paraId="0BDBA39D" w14:textId="77777777" w:rsidR="002653E8" w:rsidRDefault="003115E3">
      <w:pPr>
        <w:pStyle w:val="a3"/>
        <w:spacing w:line="264" w:lineRule="auto"/>
        <w:ind w:left="1327" w:right="1145" w:firstLine="209"/>
        <w:jc w:val="both"/>
      </w:pPr>
      <w:r>
        <w:rPr>
          <w:color w:val="231F20"/>
        </w:rPr>
        <w:t xml:space="preserve">The </w:t>
      </w:r>
      <w:r>
        <w:rPr>
          <w:color w:val="231F20"/>
          <w:spacing w:val="-2"/>
        </w:rPr>
        <w:t xml:space="preserve">way  </w:t>
      </w:r>
      <w:r>
        <w:rPr>
          <w:color w:val="231F20"/>
        </w:rPr>
        <w:t xml:space="preserve">Glojne, alias Globne, the Regional Court Judge explained it  to me in a letter—who asked?—you are not permitted to hang anything in your cell or hang yourself in the cell.  </w:t>
      </w:r>
      <w:r>
        <w:rPr>
          <w:color w:val="231F20"/>
          <w:spacing w:val="-7"/>
        </w:rPr>
        <w:t xml:space="preserve">you  </w:t>
      </w:r>
      <w:r>
        <w:rPr>
          <w:color w:val="231F20"/>
        </w:rPr>
        <w:t xml:space="preserve">are not permitted to hide   in your cell. Try it some time. </w:t>
      </w:r>
      <w:r>
        <w:rPr>
          <w:color w:val="231F20"/>
          <w:spacing w:val="-7"/>
        </w:rPr>
        <w:t xml:space="preserve">you </w:t>
      </w:r>
      <w:r>
        <w:rPr>
          <w:color w:val="231F20"/>
        </w:rPr>
        <w:t xml:space="preserve">are not permitted to take anything from the library. </w:t>
      </w:r>
      <w:r>
        <w:rPr>
          <w:color w:val="231F20"/>
          <w:spacing w:val="-7"/>
        </w:rPr>
        <w:t>you</w:t>
      </w:r>
      <w:r>
        <w:rPr>
          <w:color w:val="231F20"/>
          <w:spacing w:val="30"/>
        </w:rPr>
        <w:t xml:space="preserve"> </w:t>
      </w:r>
      <w:r>
        <w:rPr>
          <w:color w:val="231F20"/>
        </w:rPr>
        <w:t xml:space="preserve">are not permitted to lose your mind. </w:t>
      </w:r>
      <w:r>
        <w:rPr>
          <w:color w:val="231F20"/>
          <w:spacing w:val="-7"/>
        </w:rPr>
        <w:t>you</w:t>
      </w:r>
      <w:r>
        <w:rPr>
          <w:color w:val="231F20"/>
          <w:spacing w:val="30"/>
        </w:rPr>
        <w:t xml:space="preserve"> </w:t>
      </w:r>
      <w:r>
        <w:rPr>
          <w:color w:val="231F20"/>
        </w:rPr>
        <w:t xml:space="preserve">are permitted to buy food and specialty items, as well as other items you require in keeping with a reasonable lifestyle. </w:t>
      </w:r>
      <w:r>
        <w:rPr>
          <w:color w:val="231F20"/>
          <w:spacing w:val="-7"/>
        </w:rPr>
        <w:t xml:space="preserve">you  </w:t>
      </w:r>
      <w:r>
        <w:rPr>
          <w:color w:val="231F20"/>
        </w:rPr>
        <w:t>are not permitted     to violate these conditions. The administrators decide what reasonable means</w:t>
      </w:r>
      <w:r>
        <w:rPr>
          <w:color w:val="231F20"/>
          <w:spacing w:val="8"/>
        </w:rPr>
        <w:t xml:space="preserve"> </w:t>
      </w:r>
      <w:r>
        <w:rPr>
          <w:color w:val="231F20"/>
        </w:rPr>
        <w:t>(each</w:t>
      </w:r>
      <w:r>
        <w:rPr>
          <w:color w:val="231F20"/>
          <w:spacing w:val="8"/>
        </w:rPr>
        <w:t xml:space="preserve"> </w:t>
      </w:r>
      <w:r>
        <w:rPr>
          <w:color w:val="231F20"/>
        </w:rPr>
        <w:t>individual</w:t>
      </w:r>
      <w:r>
        <w:rPr>
          <w:color w:val="231F20"/>
          <w:spacing w:val="8"/>
        </w:rPr>
        <w:t xml:space="preserve"> </w:t>
      </w:r>
      <w:r>
        <w:rPr>
          <w:color w:val="231F20"/>
        </w:rPr>
        <w:t>administrator</w:t>
      </w:r>
      <w:r>
        <w:rPr>
          <w:color w:val="231F20"/>
          <w:spacing w:val="8"/>
        </w:rPr>
        <w:t xml:space="preserve"> </w:t>
      </w:r>
      <w:r>
        <w:rPr>
          <w:color w:val="231F20"/>
        </w:rPr>
        <w:t>in</w:t>
      </w:r>
      <w:r>
        <w:rPr>
          <w:color w:val="231F20"/>
          <w:spacing w:val="8"/>
        </w:rPr>
        <w:t xml:space="preserve"> </w:t>
      </w:r>
      <w:r>
        <w:rPr>
          <w:color w:val="231F20"/>
        </w:rPr>
        <w:t>this</w:t>
      </w:r>
      <w:r>
        <w:rPr>
          <w:color w:val="231F20"/>
          <w:spacing w:val="8"/>
        </w:rPr>
        <w:t xml:space="preserve"> </w:t>
      </w:r>
      <w:r>
        <w:rPr>
          <w:color w:val="231F20"/>
        </w:rPr>
        <w:t>mental</w:t>
      </w:r>
      <w:r>
        <w:rPr>
          <w:color w:val="231F20"/>
          <w:spacing w:val="8"/>
        </w:rPr>
        <w:t xml:space="preserve"> </w:t>
      </w:r>
      <w:r>
        <w:rPr>
          <w:color w:val="231F20"/>
        </w:rPr>
        <w:t>asylum).</w:t>
      </w:r>
    </w:p>
    <w:p w14:paraId="0420878B" w14:textId="77777777" w:rsidR="002653E8" w:rsidRDefault="003115E3">
      <w:pPr>
        <w:pStyle w:val="a3"/>
        <w:spacing w:line="264" w:lineRule="auto"/>
        <w:ind w:left="1327" w:right="1145" w:firstLine="210"/>
        <w:jc w:val="both"/>
      </w:pPr>
      <w:r>
        <w:rPr>
          <w:color w:val="231F20"/>
        </w:rPr>
        <w:t>If for reasons of order they want to reduce the number of newspapers and magazines you receive, you must attempt to have them delivered to you by means of disorder—in the sense of antiauthoritarian order. you must pull them out of the guard’s hands, just as he pulled them out of yours. you have to try. you can’t give up without trying. If the warden</w:t>
      </w:r>
    </w:p>
    <w:p w14:paraId="6EFC9A3D" w14:textId="77777777" w:rsidR="002653E8" w:rsidRDefault="00000000">
      <w:pPr>
        <w:pStyle w:val="a3"/>
        <w:spacing w:before="1"/>
        <w:rPr>
          <w:sz w:val="12"/>
        </w:rPr>
      </w:pPr>
      <w:r>
        <w:rPr>
          <w:noProof w:val="0"/>
        </w:rPr>
        <w:pict w14:anchorId="0E69B437">
          <v:line id="_x0000_s2623" style="position:absolute;z-index:3160;mso-wrap-distance-left:0;mso-wrap-distance-right:0;mso-position-horizontal-relative:page" from="66.4pt,9.3pt" to="138.4pt,9.3pt" strokecolor="#231f20" strokeweight=".5pt">
            <w10:wrap type="topAndBottom" anchorx="page"/>
          </v:line>
        </w:pict>
      </w:r>
    </w:p>
    <w:p w14:paraId="6BB5FF95" w14:textId="77777777" w:rsidR="002653E8" w:rsidRDefault="003115E3" w:rsidP="00860C67">
      <w:pPr>
        <w:spacing w:before="53"/>
        <w:ind w:left="1327"/>
        <w:rPr>
          <w:sz w:val="16"/>
        </w:rPr>
        <w:sectPr w:rsidR="002653E8">
          <w:pgSz w:w="8640" w:h="12960"/>
          <w:pgMar w:top="1060" w:right="0" w:bottom="1040" w:left="0" w:header="0" w:footer="850" w:gutter="0"/>
          <w:cols w:space="720"/>
        </w:sectPr>
      </w:pPr>
      <w:r>
        <w:rPr>
          <w:color w:val="231F20"/>
          <w:w w:val="110"/>
          <w:sz w:val="16"/>
        </w:rPr>
        <w:t>3 Steal Me.</w:t>
      </w:r>
    </w:p>
    <w:p w14:paraId="401AE6D9" w14:textId="77777777" w:rsidR="002653E8" w:rsidRDefault="003115E3">
      <w:pPr>
        <w:pStyle w:val="a3"/>
        <w:spacing w:before="86" w:line="264" w:lineRule="auto"/>
        <w:ind w:left="1147" w:right="1325"/>
        <w:jc w:val="both"/>
      </w:pPr>
      <w:r>
        <w:rPr>
          <w:color w:val="231F20"/>
        </w:rPr>
        <w:lastRenderedPageBreak/>
        <w:t xml:space="preserve">addresses you with </w:t>
      </w:r>
      <w:r>
        <w:rPr>
          <w:i/>
          <w:color w:val="231F20"/>
        </w:rPr>
        <w:t>du</w:t>
      </w:r>
      <w:r>
        <w:rPr>
          <w:color w:val="231F20"/>
        </w:rPr>
        <w:t xml:space="preserve">, you must also address him with </w:t>
      </w:r>
      <w:r>
        <w:rPr>
          <w:i/>
          <w:color w:val="231F20"/>
        </w:rPr>
        <w:t>du</w:t>
      </w:r>
      <w:r>
        <w:rPr>
          <w:color w:val="231F20"/>
        </w:rPr>
        <w:t>.</w:t>
      </w:r>
      <w:r>
        <w:rPr>
          <w:color w:val="231F20"/>
          <w:position w:val="7"/>
          <w:sz w:val="11"/>
        </w:rPr>
        <w:t xml:space="preserve">1 </w:t>
      </w:r>
      <w:r>
        <w:rPr>
          <w:color w:val="231F20"/>
          <w:spacing w:val="-7"/>
        </w:rPr>
        <w:t xml:space="preserve">you </w:t>
      </w:r>
      <w:r>
        <w:rPr>
          <w:color w:val="231F20"/>
        </w:rPr>
        <w:t>mustn’t work—for 80 pfennig</w:t>
      </w:r>
      <w:r>
        <w:rPr>
          <w:color w:val="231F20"/>
          <w:position w:val="7"/>
          <w:sz w:val="11"/>
        </w:rPr>
        <w:t xml:space="preserve">2 </w:t>
      </w:r>
      <w:r>
        <w:rPr>
          <w:color w:val="231F20"/>
        </w:rPr>
        <w:t xml:space="preserve">a </w:t>
      </w:r>
      <w:r>
        <w:rPr>
          <w:color w:val="231F20"/>
          <w:spacing w:val="-5"/>
        </w:rPr>
        <w:t xml:space="preserve">day. </w:t>
      </w:r>
      <w:r>
        <w:rPr>
          <w:color w:val="231F20"/>
          <w:spacing w:val="-7"/>
        </w:rPr>
        <w:t xml:space="preserve">you </w:t>
      </w:r>
      <w:r>
        <w:rPr>
          <w:color w:val="231F20"/>
        </w:rPr>
        <w:t xml:space="preserve">can’t let yourself be exploited. The justice system practices the most secretive, most efficient and most disgraceful exploitation possible. It fattens itself by using primitive capitalist techniques in a modern capitalist system. Grievances are pointless, particularly as you are not permitted to file common grievances. Grievances are suppressed at will. Grievances are pointless,  because you must submit them to the ruling structure. Common dispositions   are common dispositions, and solitary dispositions are solitary dispositions. </w:t>
      </w:r>
      <w:r>
        <w:rPr>
          <w:color w:val="231F20"/>
          <w:spacing w:val="-7"/>
        </w:rPr>
        <w:t xml:space="preserve">you </w:t>
      </w:r>
      <w:r>
        <w:rPr>
          <w:color w:val="231F20"/>
        </w:rPr>
        <w:t xml:space="preserve">can’t give in to loneliness. </w:t>
      </w:r>
      <w:r>
        <w:rPr>
          <w:color w:val="231F20"/>
          <w:spacing w:val="-7"/>
        </w:rPr>
        <w:t xml:space="preserve">you  </w:t>
      </w:r>
      <w:r>
        <w:rPr>
          <w:color w:val="231F20"/>
        </w:rPr>
        <w:t xml:space="preserve">can’t lose the dialogue. </w:t>
      </w:r>
      <w:r>
        <w:rPr>
          <w:color w:val="231F20"/>
          <w:spacing w:val="-7"/>
        </w:rPr>
        <w:t>you</w:t>
      </w:r>
      <w:r>
        <w:rPr>
          <w:color w:val="231F20"/>
          <w:spacing w:val="30"/>
        </w:rPr>
        <w:t xml:space="preserve"> </w:t>
      </w:r>
      <w:r>
        <w:rPr>
          <w:color w:val="231F20"/>
        </w:rPr>
        <w:t xml:space="preserve">can’t lose the socialist dialogue. </w:t>
      </w:r>
      <w:r>
        <w:rPr>
          <w:color w:val="231F20"/>
          <w:spacing w:val="1"/>
        </w:rPr>
        <w:t xml:space="preserve">In </w:t>
      </w:r>
      <w:r>
        <w:rPr>
          <w:color w:val="231F20"/>
        </w:rPr>
        <w:t xml:space="preserve">prison you have nothing to lose and lose nothing. </w:t>
      </w:r>
      <w:r>
        <w:rPr>
          <w:color w:val="231F20"/>
          <w:spacing w:val="-6"/>
        </w:rPr>
        <w:t xml:space="preserve">you </w:t>
      </w:r>
      <w:r>
        <w:rPr>
          <w:color w:val="231F20"/>
        </w:rPr>
        <w:t>have everything to</w:t>
      </w:r>
      <w:r>
        <w:rPr>
          <w:color w:val="231F20"/>
          <w:spacing w:val="41"/>
        </w:rPr>
        <w:t xml:space="preserve"> </w:t>
      </w:r>
      <w:r>
        <w:rPr>
          <w:color w:val="231F20"/>
        </w:rPr>
        <w:t>win.</w:t>
      </w:r>
    </w:p>
    <w:p w14:paraId="6316E613" w14:textId="77777777" w:rsidR="002653E8" w:rsidRDefault="00860C67" w:rsidP="00860C67">
      <w:pPr>
        <w:pStyle w:val="a3"/>
        <w:spacing w:line="264" w:lineRule="auto"/>
        <w:ind w:left="1134" w:rightChars="640" w:right="1408"/>
        <w:jc w:val="both"/>
      </w:pPr>
      <w:r>
        <w:rPr>
          <w:color w:val="231F20"/>
        </w:rPr>
        <w:t xml:space="preserve">      </w:t>
      </w:r>
      <w:r w:rsidR="003115E3">
        <w:rPr>
          <w:color w:val="231F20"/>
        </w:rPr>
        <w:t>Note that the rights and responsibilities of remand prisoners mentioned here are an introduction to inequality and bondage; you’re a first class citizen, you’re a second class citizen, you’re a fourth class citizen, you’re a fifth class citizen, etc., and that’s what you’ll remain. you’re a criminal and that’s what you will remain. Conduct regarding the attendants: the prisoner must immediately disengage himself from the attendants; he must immediately disengage.</w:t>
      </w:r>
    </w:p>
    <w:p w14:paraId="00855F8B" w14:textId="77777777" w:rsidR="002653E8" w:rsidRDefault="00000000" w:rsidP="00860C67">
      <w:pPr>
        <w:pStyle w:val="a3"/>
        <w:spacing w:line="264" w:lineRule="auto"/>
        <w:ind w:left="1147" w:right="1324" w:firstLine="210"/>
        <w:jc w:val="both"/>
      </w:pPr>
      <w:r>
        <w:rPr>
          <w:noProof w:val="0"/>
        </w:rPr>
        <w:pict w14:anchorId="08335BAE">
          <v:line id="_x0000_s2622" style="position:absolute;left:0;text-align:left;z-index:3184;mso-wrap-distance-left:0;mso-wrap-distance-right:0;mso-position-horizontal-relative:page" from="57.4pt,213.45pt" to="129.4pt,213.45pt" strokecolor="#231f20" strokeweight=".5pt">
            <w10:wrap type="topAndBottom" anchorx="page"/>
          </v:line>
        </w:pict>
      </w:r>
      <w:r w:rsidR="003115E3">
        <w:rPr>
          <w:color w:val="231F20"/>
        </w:rPr>
        <w:t xml:space="preserve">Life in the penal institution is one in which work time, free time, and quiet time are carefully divided, and the prisoner is bound to this division. Life in the penal institution is life in barracks. It consists of sitting around. Life in the penal institution is divided into time for oppression, time for bondage, and time of dead silence. The time of unconsciousness is </w:t>
      </w:r>
      <w:r w:rsidR="003115E3">
        <w:rPr>
          <w:color w:val="231F20"/>
          <w:spacing w:val="-3"/>
        </w:rPr>
        <w:t xml:space="preserve">over. </w:t>
      </w:r>
      <w:r w:rsidR="003115E3">
        <w:rPr>
          <w:color w:val="231F20"/>
        </w:rPr>
        <w:t xml:space="preserve">The time for realism has begun. Bourgeois life is its own kind of remand. </w:t>
      </w:r>
      <w:r w:rsidR="003115E3">
        <w:rPr>
          <w:color w:val="231F20"/>
          <w:spacing w:val="1"/>
        </w:rPr>
        <w:t xml:space="preserve">If </w:t>
      </w:r>
      <w:r w:rsidR="003115E3">
        <w:rPr>
          <w:color w:val="231F20"/>
        </w:rPr>
        <w:t xml:space="preserve">you  didn’t  already  know  that,  now  you  do.  </w:t>
      </w:r>
      <w:r w:rsidR="003115E3">
        <w:rPr>
          <w:color w:val="231F20"/>
          <w:spacing w:val="-7"/>
        </w:rPr>
        <w:t>you</w:t>
      </w:r>
      <w:r w:rsidR="003115E3">
        <w:rPr>
          <w:color w:val="231F20"/>
          <w:spacing w:val="30"/>
        </w:rPr>
        <w:t xml:space="preserve"> </w:t>
      </w:r>
      <w:r w:rsidR="003115E3">
        <w:rPr>
          <w:color w:val="231F20"/>
        </w:rPr>
        <w:t xml:space="preserve">are not permitted to live and you are not permitted to die; you are not permitted to die and you are not permitted to live. Exactly. </w:t>
      </w:r>
      <w:r w:rsidR="003115E3">
        <w:rPr>
          <w:color w:val="231F20"/>
          <w:spacing w:val="-7"/>
        </w:rPr>
        <w:t xml:space="preserve">you </w:t>
      </w:r>
      <w:r w:rsidR="003115E3">
        <w:rPr>
          <w:color w:val="231F20"/>
        </w:rPr>
        <w:t xml:space="preserve">are not permitted to run amok in the house. </w:t>
      </w:r>
      <w:r w:rsidR="003115E3">
        <w:rPr>
          <w:color w:val="231F20"/>
          <w:spacing w:val="-7"/>
        </w:rPr>
        <w:t xml:space="preserve">you </w:t>
      </w:r>
      <w:r w:rsidR="003115E3">
        <w:rPr>
          <w:color w:val="231F20"/>
        </w:rPr>
        <w:t xml:space="preserve">are not permitted, of your own free will, to leave your assigned place. </w:t>
      </w:r>
      <w:r w:rsidR="003115E3">
        <w:rPr>
          <w:color w:val="231F20"/>
          <w:spacing w:val="-7"/>
        </w:rPr>
        <w:t xml:space="preserve">you </w:t>
      </w:r>
      <w:r w:rsidR="003115E3">
        <w:rPr>
          <w:color w:val="231F20"/>
        </w:rPr>
        <w:t xml:space="preserve">are not permitted to break out. </w:t>
      </w:r>
      <w:r w:rsidR="003115E3">
        <w:rPr>
          <w:color w:val="231F20"/>
          <w:spacing w:val="-7"/>
        </w:rPr>
        <w:t xml:space="preserve">you  </w:t>
      </w:r>
      <w:r w:rsidR="003115E3">
        <w:rPr>
          <w:color w:val="231F20"/>
        </w:rPr>
        <w:t xml:space="preserve">are not permitted to scream, yell, or speak out the window.   </w:t>
      </w:r>
      <w:r w:rsidR="003115E3">
        <w:rPr>
          <w:color w:val="231F20"/>
          <w:spacing w:val="-7"/>
        </w:rPr>
        <w:t xml:space="preserve">you </w:t>
      </w:r>
      <w:r w:rsidR="003115E3">
        <w:rPr>
          <w:color w:val="231F20"/>
        </w:rPr>
        <w:t xml:space="preserve">aren’t allowed to speak to your cellmates </w:t>
      </w:r>
      <w:r w:rsidR="003115E3">
        <w:rPr>
          <w:color w:val="231F20"/>
          <w:spacing w:val="-3"/>
        </w:rPr>
        <w:t xml:space="preserve">(what’s </w:t>
      </w:r>
      <w:r w:rsidR="003115E3">
        <w:rPr>
          <w:color w:val="231F20"/>
        </w:rPr>
        <w:t xml:space="preserve">that </w:t>
      </w:r>
      <w:r w:rsidR="003115E3">
        <w:rPr>
          <w:color w:val="231F20"/>
          <w:spacing w:val="-3"/>
        </w:rPr>
        <w:t xml:space="preserve">about?). </w:t>
      </w:r>
      <w:r w:rsidR="003115E3">
        <w:rPr>
          <w:color w:val="231F20"/>
          <w:spacing w:val="-7"/>
        </w:rPr>
        <w:t>you</w:t>
      </w:r>
      <w:r w:rsidR="003115E3">
        <w:rPr>
          <w:color w:val="231F20"/>
          <w:spacing w:val="30"/>
        </w:rPr>
        <w:t xml:space="preserve"> </w:t>
      </w:r>
      <w:r w:rsidR="003115E3">
        <w:rPr>
          <w:color w:val="231F20"/>
        </w:rPr>
        <w:t xml:space="preserve">are not permitted to threaten the security of the institution. </w:t>
      </w:r>
      <w:r w:rsidR="003115E3">
        <w:rPr>
          <w:color w:val="231F20"/>
          <w:spacing w:val="-7"/>
        </w:rPr>
        <w:t xml:space="preserve">you </w:t>
      </w:r>
      <w:r w:rsidR="003115E3">
        <w:rPr>
          <w:color w:val="231F20"/>
        </w:rPr>
        <w:t xml:space="preserve">are not permitted to withhold, store, or use anything. </w:t>
      </w:r>
      <w:r w:rsidR="003115E3">
        <w:rPr>
          <w:color w:val="231F20"/>
          <w:spacing w:val="-7"/>
        </w:rPr>
        <w:t xml:space="preserve">you </w:t>
      </w:r>
      <w:r w:rsidR="003115E3">
        <w:rPr>
          <w:color w:val="231F20"/>
        </w:rPr>
        <w:t>are not permitted to retain anything,</w:t>
      </w:r>
      <w:r w:rsidR="003115E3">
        <w:rPr>
          <w:color w:val="231F20"/>
          <w:spacing w:val="21"/>
        </w:rPr>
        <w:t xml:space="preserve"> </w:t>
      </w:r>
      <w:r w:rsidR="003115E3">
        <w:rPr>
          <w:color w:val="231F20"/>
        </w:rPr>
        <w:t>etc.</w:t>
      </w:r>
    </w:p>
    <w:p w14:paraId="17AEF58C" w14:textId="77777777" w:rsidR="002653E8" w:rsidRDefault="003115E3">
      <w:pPr>
        <w:pStyle w:val="a4"/>
        <w:numPr>
          <w:ilvl w:val="0"/>
          <w:numId w:val="167"/>
        </w:numPr>
        <w:tabs>
          <w:tab w:val="left" w:pos="1287"/>
        </w:tabs>
        <w:spacing w:before="53" w:line="254" w:lineRule="auto"/>
        <w:ind w:right="1327" w:firstLine="0"/>
        <w:jc w:val="left"/>
        <w:rPr>
          <w:sz w:val="16"/>
        </w:rPr>
      </w:pPr>
      <w:r>
        <w:rPr>
          <w:color w:val="231F20"/>
          <w:w w:val="105"/>
          <w:sz w:val="16"/>
        </w:rPr>
        <w:t xml:space="preserve">German has two forms of the singular you;  </w:t>
      </w:r>
      <w:r>
        <w:rPr>
          <w:i/>
          <w:color w:val="231F20"/>
          <w:spacing w:val="1"/>
          <w:w w:val="105"/>
          <w:sz w:val="16"/>
        </w:rPr>
        <w:t xml:space="preserve">du,  </w:t>
      </w:r>
      <w:r>
        <w:rPr>
          <w:color w:val="231F20"/>
          <w:w w:val="105"/>
          <w:sz w:val="16"/>
        </w:rPr>
        <w:t xml:space="preserve">which  is  used  with  social inferiors, younger people, and very close friends, and </w:t>
      </w:r>
      <w:r>
        <w:rPr>
          <w:i/>
          <w:color w:val="231F20"/>
          <w:w w:val="105"/>
          <w:sz w:val="16"/>
        </w:rPr>
        <w:t xml:space="preserve">Sie, </w:t>
      </w:r>
      <w:r>
        <w:rPr>
          <w:color w:val="231F20"/>
          <w:w w:val="105"/>
          <w:sz w:val="16"/>
        </w:rPr>
        <w:t>which is the polite form of address. What the writer is saying is that patronizing behaviour should be answered with patronizing</w:t>
      </w:r>
      <w:r>
        <w:rPr>
          <w:color w:val="231F20"/>
          <w:spacing w:val="15"/>
          <w:w w:val="105"/>
          <w:sz w:val="16"/>
        </w:rPr>
        <w:t xml:space="preserve"> </w:t>
      </w:r>
      <w:r>
        <w:rPr>
          <w:color w:val="231F20"/>
          <w:w w:val="105"/>
          <w:sz w:val="16"/>
        </w:rPr>
        <w:t>behaviour.</w:t>
      </w:r>
    </w:p>
    <w:p w14:paraId="2E0EA91E" w14:textId="77777777" w:rsidR="002653E8" w:rsidRDefault="003115E3">
      <w:pPr>
        <w:pStyle w:val="a4"/>
        <w:numPr>
          <w:ilvl w:val="0"/>
          <w:numId w:val="167"/>
        </w:numPr>
        <w:tabs>
          <w:tab w:val="left" w:pos="1287"/>
        </w:tabs>
        <w:ind w:left="1286"/>
        <w:jc w:val="left"/>
        <w:rPr>
          <w:sz w:val="16"/>
        </w:rPr>
      </w:pPr>
      <w:r>
        <w:rPr>
          <w:color w:val="231F20"/>
          <w:w w:val="105"/>
          <w:sz w:val="16"/>
        </w:rPr>
        <w:t xml:space="preserve">Roughly </w:t>
      </w:r>
      <w:r>
        <w:rPr>
          <w:color w:val="231F20"/>
          <w:spacing w:val="2"/>
          <w:w w:val="105"/>
          <w:sz w:val="16"/>
        </w:rPr>
        <w:t>thirty</w:t>
      </w:r>
      <w:r>
        <w:rPr>
          <w:color w:val="231F20"/>
          <w:spacing w:val="15"/>
          <w:w w:val="105"/>
          <w:sz w:val="16"/>
        </w:rPr>
        <w:t xml:space="preserve"> </w:t>
      </w:r>
      <w:r>
        <w:rPr>
          <w:color w:val="231F20"/>
          <w:w w:val="105"/>
          <w:sz w:val="16"/>
        </w:rPr>
        <w:t>cents.</w:t>
      </w:r>
    </w:p>
    <w:p w14:paraId="037ABE27" w14:textId="77777777" w:rsidR="002653E8" w:rsidRDefault="002653E8">
      <w:pPr>
        <w:rPr>
          <w:sz w:val="16"/>
        </w:rPr>
        <w:sectPr w:rsidR="002653E8">
          <w:pgSz w:w="8640" w:h="12960"/>
          <w:pgMar w:top="1060" w:right="0" w:bottom="1040" w:left="0" w:header="0" w:footer="850" w:gutter="0"/>
          <w:cols w:space="720"/>
        </w:sectPr>
      </w:pPr>
    </w:p>
    <w:p w14:paraId="16DD9CA0" w14:textId="77777777" w:rsidR="002653E8" w:rsidRDefault="003115E3">
      <w:pPr>
        <w:pStyle w:val="a3"/>
        <w:spacing w:before="86" w:line="264" w:lineRule="auto"/>
        <w:ind w:left="1327" w:right="1145" w:firstLine="210"/>
        <w:jc w:val="both"/>
      </w:pPr>
      <w:r>
        <w:rPr>
          <w:color w:val="231F20"/>
        </w:rPr>
        <w:lastRenderedPageBreak/>
        <w:t>you must do everything that you are not permitted to do, and you must not let your guard down. Always think about it. Send every state prosecutor to prison. you are not permitted to defend yourself. Never. Those who defend themselves incriminate themselves. Do forget that. you are not permitted to have unauthorized telephone contact. your correspondence is monitored. Letters you send from prison cannot be sealed. you are not permitted to seal them yourself. you are not permitted to… you are not permitted to…</w:t>
      </w:r>
    </w:p>
    <w:p w14:paraId="4ECE55AB" w14:textId="77777777" w:rsidR="002653E8" w:rsidRDefault="003115E3">
      <w:pPr>
        <w:pStyle w:val="a3"/>
        <w:spacing w:line="264" w:lineRule="auto"/>
        <w:ind w:left="1327" w:right="1145" w:firstLine="210"/>
        <w:jc w:val="both"/>
      </w:pPr>
      <w:r>
        <w:rPr>
          <w:color w:val="231F20"/>
        </w:rPr>
        <w:t>you cannot give in to fatigue. you cannot, at risk of retribution, pass parliamentary representative Güde</w:t>
      </w:r>
      <w:r>
        <w:rPr>
          <w:color w:val="231F20"/>
          <w:position w:val="7"/>
          <w:sz w:val="11"/>
        </w:rPr>
        <w:t xml:space="preserve">3 </w:t>
      </w:r>
      <w:r>
        <w:rPr>
          <w:color w:val="231F20"/>
        </w:rPr>
        <w:t>in the street without pushing him around. He brings out the best in you. But beforehand you must paint your hand red. The left one, obviously.</w:t>
      </w:r>
    </w:p>
    <w:p w14:paraId="5CB95168" w14:textId="77777777" w:rsidR="002653E8" w:rsidRDefault="003115E3">
      <w:pPr>
        <w:pStyle w:val="a3"/>
        <w:spacing w:line="264" w:lineRule="auto"/>
        <w:ind w:left="1327" w:right="1145" w:firstLine="210"/>
        <w:jc w:val="both"/>
      </w:pPr>
      <w:r>
        <w:rPr>
          <w:color w:val="231F20"/>
          <w:spacing w:val="-5"/>
        </w:rPr>
        <w:t xml:space="preserve">yet </w:t>
      </w:r>
      <w:r>
        <w:rPr>
          <w:color w:val="231F20"/>
        </w:rPr>
        <w:t xml:space="preserve">again (in the </w:t>
      </w:r>
      <w:r>
        <w:rPr>
          <w:color w:val="231F20"/>
          <w:spacing w:val="-3"/>
        </w:rPr>
        <w:t xml:space="preserve">hole), </w:t>
      </w:r>
      <w:r>
        <w:rPr>
          <w:color w:val="231F20"/>
        </w:rPr>
        <w:t xml:space="preserve">you cannot give in to fatigue. Concentrate. </w:t>
      </w:r>
      <w:r>
        <w:rPr>
          <w:color w:val="231F20"/>
          <w:spacing w:val="-6"/>
        </w:rPr>
        <w:t xml:space="preserve">you’re </w:t>
      </w:r>
      <w:r>
        <w:rPr>
          <w:color w:val="231F20"/>
        </w:rPr>
        <w:t xml:space="preserve">sitting in bourgeois capitalism’s concentration camp. Beyond  that, the prisoner has a cell to keep clean. The most oppressive power in prison is the power of cleanliness. Cleaning is the major form of torture. </w:t>
      </w:r>
      <w:r>
        <w:rPr>
          <w:color w:val="231F20"/>
          <w:spacing w:val="-7"/>
        </w:rPr>
        <w:t xml:space="preserve">you </w:t>
      </w:r>
      <w:r>
        <w:rPr>
          <w:color w:val="231F20"/>
        </w:rPr>
        <w:t xml:space="preserve">are not permitted to get </w:t>
      </w:r>
      <w:r>
        <w:rPr>
          <w:color w:val="231F20"/>
          <w:spacing w:val="2"/>
        </w:rPr>
        <w:t xml:space="preserve">dirty </w:t>
      </w:r>
      <w:r>
        <w:rPr>
          <w:color w:val="231F20"/>
        </w:rPr>
        <w:t>while cleaning things. Only clean up when it suits you. Otherwise you aren’t in prison; prison is in you. Keep in mind: the cleaner the cell, the more complete the hell. Furthermore, the prisoner and his seven suitcases</w:t>
      </w:r>
      <w:r>
        <w:rPr>
          <w:color w:val="231F20"/>
          <w:position w:val="7"/>
          <w:sz w:val="11"/>
        </w:rPr>
        <w:t xml:space="preserve">4  </w:t>
      </w:r>
      <w:r>
        <w:rPr>
          <w:color w:val="231F20"/>
        </w:rPr>
        <w:t>and his cell can be searched at   any time. When you are searched, ask them if they’re looking for new people, etc.,</w:t>
      </w:r>
      <w:r>
        <w:rPr>
          <w:color w:val="231F20"/>
          <w:spacing w:val="21"/>
        </w:rPr>
        <w:t xml:space="preserve"> </w:t>
      </w:r>
      <w:r>
        <w:rPr>
          <w:color w:val="231F20"/>
        </w:rPr>
        <w:t>etc.</w:t>
      </w:r>
    </w:p>
    <w:p w14:paraId="4C74E17D" w14:textId="77777777" w:rsidR="002653E8" w:rsidRDefault="003115E3">
      <w:pPr>
        <w:pStyle w:val="a3"/>
        <w:spacing w:line="264" w:lineRule="auto"/>
        <w:ind w:left="1327" w:right="1146" w:firstLine="210"/>
        <w:jc w:val="both"/>
      </w:pPr>
      <w:r>
        <w:rPr>
          <w:color w:val="231F20"/>
        </w:rPr>
        <w:t xml:space="preserve">I can’t continue talking about this. Faced with a justice system that has such an indescribable prison system, we can’t be bothered defending ourselves. Such a justice system must itself be indicted. Such a justice system must be exposed by the revolutionary process. It is the responsibility of every antiauthoritarian judge to take legal action against this justice system. </w:t>
      </w:r>
      <w:r>
        <w:rPr>
          <w:color w:val="231F20"/>
          <w:spacing w:val="-5"/>
        </w:rPr>
        <w:t xml:space="preserve">We </w:t>
      </w:r>
      <w:r>
        <w:rPr>
          <w:color w:val="231F20"/>
        </w:rPr>
        <w:t xml:space="preserve">encourage the antiauthoritarian segment of the justice system to use its strength to call a general strike. </w:t>
      </w:r>
      <w:r>
        <w:rPr>
          <w:color w:val="231F20"/>
          <w:spacing w:val="-5"/>
        </w:rPr>
        <w:t xml:space="preserve">We </w:t>
      </w:r>
      <w:r>
        <w:rPr>
          <w:color w:val="231F20"/>
        </w:rPr>
        <w:t>particularly encourage</w:t>
      </w:r>
      <w:r>
        <w:rPr>
          <w:color w:val="231F20"/>
          <w:spacing w:val="10"/>
        </w:rPr>
        <w:t xml:space="preserve"> </w:t>
      </w:r>
      <w:r>
        <w:rPr>
          <w:color w:val="231F20"/>
        </w:rPr>
        <w:t>antiauthoritarian</w:t>
      </w:r>
      <w:r>
        <w:rPr>
          <w:color w:val="231F20"/>
          <w:spacing w:val="10"/>
        </w:rPr>
        <w:t xml:space="preserve"> </w:t>
      </w:r>
      <w:r>
        <w:rPr>
          <w:color w:val="231F20"/>
        </w:rPr>
        <w:t>interns</w:t>
      </w:r>
      <w:r>
        <w:rPr>
          <w:color w:val="231F20"/>
          <w:spacing w:val="10"/>
        </w:rPr>
        <w:t xml:space="preserve"> </w:t>
      </w:r>
      <w:r>
        <w:rPr>
          <w:color w:val="231F20"/>
        </w:rPr>
        <w:t>to</w:t>
      </w:r>
      <w:r>
        <w:rPr>
          <w:color w:val="231F20"/>
          <w:spacing w:val="10"/>
        </w:rPr>
        <w:t xml:space="preserve"> </w:t>
      </w:r>
      <w:r>
        <w:rPr>
          <w:color w:val="231F20"/>
        </w:rPr>
        <w:t>call</w:t>
      </w:r>
      <w:r>
        <w:rPr>
          <w:color w:val="231F20"/>
          <w:spacing w:val="10"/>
        </w:rPr>
        <w:t xml:space="preserve"> </w:t>
      </w:r>
      <w:r>
        <w:rPr>
          <w:color w:val="231F20"/>
        </w:rPr>
        <w:t>a</w:t>
      </w:r>
      <w:r>
        <w:rPr>
          <w:color w:val="231F20"/>
          <w:spacing w:val="10"/>
        </w:rPr>
        <w:t xml:space="preserve"> </w:t>
      </w:r>
      <w:r>
        <w:rPr>
          <w:color w:val="231F20"/>
        </w:rPr>
        <w:t>general</w:t>
      </w:r>
      <w:r>
        <w:rPr>
          <w:color w:val="231F20"/>
          <w:spacing w:val="10"/>
        </w:rPr>
        <w:t xml:space="preserve"> </w:t>
      </w:r>
      <w:r>
        <w:rPr>
          <w:color w:val="231F20"/>
        </w:rPr>
        <w:t>strike.</w:t>
      </w:r>
    </w:p>
    <w:p w14:paraId="3AFB6907" w14:textId="77777777" w:rsidR="002653E8" w:rsidRDefault="003115E3">
      <w:pPr>
        <w:pStyle w:val="a3"/>
        <w:spacing w:line="264" w:lineRule="auto"/>
        <w:ind w:left="1327" w:right="1146" w:firstLine="210"/>
        <w:jc w:val="both"/>
      </w:pPr>
      <w:r>
        <w:rPr>
          <w:color w:val="231F20"/>
        </w:rPr>
        <w:t>I declare my solidarity with Gudrun Ensslin and Andreas Baader, although they have chosen to defend themselves here, which was obviously a decision that no one really understood. This solidarity will continue through the next period while they are in prison and the penitentiary. I have, in any event, every reason to do so. I declare my solidarity</w:t>
      </w:r>
    </w:p>
    <w:p w14:paraId="59F90B9B" w14:textId="77777777" w:rsidR="002653E8" w:rsidRDefault="00000000">
      <w:pPr>
        <w:pStyle w:val="a3"/>
        <w:spacing w:before="8"/>
        <w:rPr>
          <w:sz w:val="23"/>
        </w:rPr>
      </w:pPr>
      <w:r>
        <w:rPr>
          <w:noProof w:val="0"/>
        </w:rPr>
        <w:pict w14:anchorId="3550D071">
          <v:line id="_x0000_s2621" style="position:absolute;z-index:3208;mso-wrap-distance-left:0;mso-wrap-distance-right:0;mso-position-horizontal-relative:page" from="66.4pt,16.1pt" to="138.4pt,16.1pt" strokecolor="#231f20" strokeweight=".5pt">
            <w10:wrap type="topAndBottom" anchorx="page"/>
          </v:line>
        </w:pict>
      </w:r>
    </w:p>
    <w:p w14:paraId="423F1FE3" w14:textId="77777777" w:rsidR="002653E8" w:rsidRDefault="003115E3">
      <w:pPr>
        <w:pStyle w:val="a4"/>
        <w:numPr>
          <w:ilvl w:val="0"/>
          <w:numId w:val="167"/>
        </w:numPr>
        <w:tabs>
          <w:tab w:val="left" w:pos="1467"/>
        </w:tabs>
        <w:spacing w:before="53"/>
        <w:ind w:left="1466"/>
        <w:jc w:val="left"/>
        <w:rPr>
          <w:sz w:val="16"/>
        </w:rPr>
      </w:pPr>
      <w:r>
        <w:rPr>
          <w:color w:val="231F20"/>
          <w:w w:val="105"/>
          <w:sz w:val="16"/>
        </w:rPr>
        <w:t>Max</w:t>
      </w:r>
      <w:r>
        <w:rPr>
          <w:color w:val="231F20"/>
          <w:spacing w:val="11"/>
          <w:w w:val="105"/>
          <w:sz w:val="16"/>
        </w:rPr>
        <w:t xml:space="preserve"> </w:t>
      </w:r>
      <w:r>
        <w:rPr>
          <w:color w:val="231F20"/>
          <w:w w:val="105"/>
          <w:sz w:val="16"/>
        </w:rPr>
        <w:t>Güde,</w:t>
      </w:r>
      <w:r>
        <w:rPr>
          <w:color w:val="231F20"/>
          <w:spacing w:val="11"/>
          <w:w w:val="105"/>
          <w:sz w:val="16"/>
        </w:rPr>
        <w:t xml:space="preserve"> </w:t>
      </w:r>
      <w:r>
        <w:rPr>
          <w:color w:val="231F20"/>
          <w:w w:val="105"/>
          <w:sz w:val="16"/>
        </w:rPr>
        <w:t>a</w:t>
      </w:r>
      <w:r>
        <w:rPr>
          <w:color w:val="231F20"/>
          <w:spacing w:val="12"/>
          <w:w w:val="105"/>
          <w:sz w:val="16"/>
        </w:rPr>
        <w:t xml:space="preserve"> </w:t>
      </w:r>
      <w:r>
        <w:rPr>
          <w:color w:val="231F20"/>
          <w:w w:val="105"/>
          <w:sz w:val="16"/>
        </w:rPr>
        <w:t>former</w:t>
      </w:r>
      <w:r>
        <w:rPr>
          <w:color w:val="231F20"/>
          <w:spacing w:val="11"/>
          <w:w w:val="105"/>
          <w:sz w:val="16"/>
        </w:rPr>
        <w:t xml:space="preserve"> </w:t>
      </w:r>
      <w:r>
        <w:rPr>
          <w:color w:val="231F20"/>
          <w:w w:val="105"/>
          <w:sz w:val="16"/>
        </w:rPr>
        <w:t>Nazi,</w:t>
      </w:r>
      <w:r>
        <w:rPr>
          <w:color w:val="231F20"/>
          <w:spacing w:val="11"/>
          <w:w w:val="105"/>
          <w:sz w:val="16"/>
        </w:rPr>
        <w:t xml:space="preserve"> </w:t>
      </w:r>
      <w:r>
        <w:rPr>
          <w:color w:val="231F20"/>
          <w:w w:val="105"/>
          <w:sz w:val="16"/>
        </w:rPr>
        <w:t>and</w:t>
      </w:r>
      <w:r>
        <w:rPr>
          <w:color w:val="231F20"/>
          <w:spacing w:val="11"/>
          <w:w w:val="105"/>
          <w:sz w:val="16"/>
        </w:rPr>
        <w:t xml:space="preserve"> </w:t>
      </w:r>
      <w:r>
        <w:rPr>
          <w:color w:val="231F20"/>
          <w:w w:val="105"/>
          <w:sz w:val="16"/>
        </w:rPr>
        <w:t>at</w:t>
      </w:r>
      <w:r>
        <w:rPr>
          <w:color w:val="231F20"/>
          <w:spacing w:val="11"/>
          <w:w w:val="105"/>
          <w:sz w:val="16"/>
        </w:rPr>
        <w:t xml:space="preserve"> </w:t>
      </w:r>
      <w:r>
        <w:rPr>
          <w:color w:val="231F20"/>
          <w:w w:val="105"/>
          <w:sz w:val="16"/>
        </w:rPr>
        <w:t>the</w:t>
      </w:r>
      <w:r>
        <w:rPr>
          <w:color w:val="231F20"/>
          <w:spacing w:val="11"/>
          <w:w w:val="105"/>
          <w:sz w:val="16"/>
        </w:rPr>
        <w:t xml:space="preserve"> </w:t>
      </w:r>
      <w:r>
        <w:rPr>
          <w:color w:val="231F20"/>
          <w:w w:val="105"/>
          <w:sz w:val="16"/>
        </w:rPr>
        <w:t>time</w:t>
      </w:r>
      <w:r>
        <w:rPr>
          <w:color w:val="231F20"/>
          <w:spacing w:val="11"/>
          <w:w w:val="105"/>
          <w:sz w:val="16"/>
        </w:rPr>
        <w:t xml:space="preserve"> </w:t>
      </w:r>
      <w:r>
        <w:rPr>
          <w:color w:val="231F20"/>
          <w:w w:val="105"/>
          <w:sz w:val="16"/>
        </w:rPr>
        <w:t>a</w:t>
      </w:r>
      <w:r>
        <w:rPr>
          <w:color w:val="231F20"/>
          <w:spacing w:val="11"/>
          <w:w w:val="105"/>
          <w:sz w:val="16"/>
        </w:rPr>
        <w:t xml:space="preserve"> </w:t>
      </w:r>
      <w:r>
        <w:rPr>
          <w:color w:val="231F20"/>
          <w:w w:val="105"/>
          <w:sz w:val="16"/>
        </w:rPr>
        <w:t>member</w:t>
      </w:r>
      <w:r>
        <w:rPr>
          <w:color w:val="231F20"/>
          <w:spacing w:val="11"/>
          <w:w w:val="105"/>
          <w:sz w:val="16"/>
        </w:rPr>
        <w:t xml:space="preserve"> </w:t>
      </w:r>
      <w:r>
        <w:rPr>
          <w:color w:val="231F20"/>
          <w:w w:val="105"/>
          <w:sz w:val="16"/>
        </w:rPr>
        <w:t>of</w:t>
      </w:r>
      <w:r>
        <w:rPr>
          <w:color w:val="231F20"/>
          <w:spacing w:val="11"/>
          <w:w w:val="105"/>
          <w:sz w:val="16"/>
        </w:rPr>
        <w:t xml:space="preserve"> </w:t>
      </w:r>
      <w:r>
        <w:rPr>
          <w:color w:val="231F20"/>
          <w:w w:val="105"/>
          <w:sz w:val="16"/>
        </w:rPr>
        <w:t>parliament</w:t>
      </w:r>
      <w:r>
        <w:rPr>
          <w:color w:val="231F20"/>
          <w:spacing w:val="11"/>
          <w:w w:val="105"/>
          <w:sz w:val="16"/>
        </w:rPr>
        <w:t xml:space="preserve"> </w:t>
      </w:r>
      <w:r>
        <w:rPr>
          <w:color w:val="231F20"/>
          <w:w w:val="105"/>
          <w:sz w:val="16"/>
        </w:rPr>
        <w:t>for</w:t>
      </w:r>
      <w:r>
        <w:rPr>
          <w:color w:val="231F20"/>
          <w:spacing w:val="11"/>
          <w:w w:val="105"/>
          <w:sz w:val="16"/>
        </w:rPr>
        <w:t xml:space="preserve"> </w:t>
      </w:r>
      <w:r>
        <w:rPr>
          <w:color w:val="231F20"/>
          <w:w w:val="105"/>
          <w:sz w:val="16"/>
        </w:rPr>
        <w:t>the</w:t>
      </w:r>
      <w:r>
        <w:rPr>
          <w:color w:val="231F20"/>
          <w:spacing w:val="12"/>
          <w:w w:val="105"/>
          <w:sz w:val="16"/>
        </w:rPr>
        <w:t xml:space="preserve"> </w:t>
      </w:r>
      <w:r>
        <w:rPr>
          <w:color w:val="231F20"/>
          <w:w w:val="105"/>
          <w:sz w:val="16"/>
        </w:rPr>
        <w:t>CDU.</w:t>
      </w:r>
    </w:p>
    <w:p w14:paraId="0AB7147F" w14:textId="77777777" w:rsidR="002653E8" w:rsidRDefault="003115E3">
      <w:pPr>
        <w:pStyle w:val="a4"/>
        <w:numPr>
          <w:ilvl w:val="0"/>
          <w:numId w:val="167"/>
        </w:numPr>
        <w:tabs>
          <w:tab w:val="left" w:pos="1467"/>
        </w:tabs>
        <w:spacing w:before="51" w:line="254" w:lineRule="auto"/>
        <w:ind w:left="1327" w:right="1270" w:firstLine="0"/>
        <w:jc w:val="both"/>
        <w:rPr>
          <w:sz w:val="16"/>
        </w:rPr>
      </w:pPr>
      <w:r>
        <w:rPr>
          <w:color w:val="231F20"/>
          <w:w w:val="105"/>
          <w:sz w:val="16"/>
        </w:rPr>
        <w:t xml:space="preserve">A reference to a poem by Soviet poet Samuel Marschak about a woman bringing her valued possessions with her to the train station, the title of which in German is </w:t>
      </w:r>
      <w:r>
        <w:rPr>
          <w:i/>
          <w:color w:val="231F20"/>
          <w:w w:val="105"/>
          <w:sz w:val="16"/>
        </w:rPr>
        <w:t>Die</w:t>
      </w:r>
      <w:r>
        <w:rPr>
          <w:i/>
          <w:color w:val="231F20"/>
          <w:spacing w:val="10"/>
          <w:w w:val="105"/>
          <w:sz w:val="16"/>
        </w:rPr>
        <w:t xml:space="preserve"> </w:t>
      </w:r>
      <w:r>
        <w:rPr>
          <w:i/>
          <w:color w:val="231F20"/>
          <w:w w:val="105"/>
          <w:sz w:val="16"/>
        </w:rPr>
        <w:t>Sieben</w:t>
      </w:r>
      <w:r>
        <w:rPr>
          <w:i/>
          <w:color w:val="231F20"/>
          <w:spacing w:val="10"/>
          <w:w w:val="105"/>
          <w:sz w:val="16"/>
        </w:rPr>
        <w:t xml:space="preserve"> </w:t>
      </w:r>
      <w:r>
        <w:rPr>
          <w:i/>
          <w:color w:val="231F20"/>
          <w:spacing w:val="1"/>
          <w:w w:val="105"/>
          <w:sz w:val="16"/>
        </w:rPr>
        <w:t>Sachen</w:t>
      </w:r>
      <w:r>
        <w:rPr>
          <w:i/>
          <w:color w:val="231F20"/>
          <w:spacing w:val="11"/>
          <w:w w:val="105"/>
          <w:sz w:val="16"/>
        </w:rPr>
        <w:t xml:space="preserve"> </w:t>
      </w:r>
      <w:r>
        <w:rPr>
          <w:color w:val="231F20"/>
          <w:w w:val="105"/>
          <w:sz w:val="16"/>
        </w:rPr>
        <w:t>(which</w:t>
      </w:r>
      <w:r>
        <w:rPr>
          <w:color w:val="231F20"/>
          <w:spacing w:val="10"/>
          <w:w w:val="105"/>
          <w:sz w:val="16"/>
        </w:rPr>
        <w:t xml:space="preserve"> </w:t>
      </w:r>
      <w:r>
        <w:rPr>
          <w:color w:val="231F20"/>
          <w:w w:val="105"/>
          <w:sz w:val="16"/>
        </w:rPr>
        <w:t>would</w:t>
      </w:r>
      <w:r>
        <w:rPr>
          <w:color w:val="231F20"/>
          <w:spacing w:val="10"/>
          <w:w w:val="105"/>
          <w:sz w:val="16"/>
        </w:rPr>
        <w:t xml:space="preserve"> </w:t>
      </w:r>
      <w:r>
        <w:rPr>
          <w:color w:val="231F20"/>
          <w:w w:val="105"/>
          <w:sz w:val="16"/>
        </w:rPr>
        <w:t>translate</w:t>
      </w:r>
      <w:r>
        <w:rPr>
          <w:color w:val="231F20"/>
          <w:spacing w:val="10"/>
          <w:w w:val="105"/>
          <w:sz w:val="16"/>
        </w:rPr>
        <w:t xml:space="preserve"> </w:t>
      </w:r>
      <w:r>
        <w:rPr>
          <w:color w:val="231F20"/>
          <w:w w:val="105"/>
          <w:sz w:val="16"/>
        </w:rPr>
        <w:t>as</w:t>
      </w:r>
      <w:r>
        <w:rPr>
          <w:color w:val="231F20"/>
          <w:spacing w:val="10"/>
          <w:w w:val="105"/>
          <w:sz w:val="16"/>
        </w:rPr>
        <w:t xml:space="preserve"> </w:t>
      </w:r>
      <w:r>
        <w:rPr>
          <w:color w:val="231F20"/>
          <w:w w:val="105"/>
          <w:sz w:val="16"/>
        </w:rPr>
        <w:t>“Seven</w:t>
      </w:r>
      <w:r>
        <w:rPr>
          <w:color w:val="231F20"/>
          <w:spacing w:val="10"/>
          <w:w w:val="105"/>
          <w:sz w:val="16"/>
        </w:rPr>
        <w:t xml:space="preserve"> </w:t>
      </w:r>
      <w:r>
        <w:rPr>
          <w:color w:val="231F20"/>
          <w:w w:val="105"/>
          <w:sz w:val="16"/>
        </w:rPr>
        <w:t>Suitcases”</w:t>
      </w:r>
      <w:r>
        <w:rPr>
          <w:color w:val="231F20"/>
          <w:spacing w:val="10"/>
          <w:w w:val="105"/>
          <w:sz w:val="16"/>
        </w:rPr>
        <w:t xml:space="preserve"> </w:t>
      </w:r>
      <w:r>
        <w:rPr>
          <w:color w:val="231F20"/>
          <w:w w:val="105"/>
          <w:sz w:val="16"/>
        </w:rPr>
        <w:t>in</w:t>
      </w:r>
      <w:r>
        <w:rPr>
          <w:color w:val="231F20"/>
          <w:spacing w:val="10"/>
          <w:w w:val="105"/>
          <w:sz w:val="16"/>
        </w:rPr>
        <w:t xml:space="preserve"> </w:t>
      </w:r>
      <w:r>
        <w:rPr>
          <w:color w:val="231F20"/>
          <w:w w:val="105"/>
          <w:sz w:val="16"/>
        </w:rPr>
        <w:t>English).</w:t>
      </w:r>
    </w:p>
    <w:p w14:paraId="2C99F520" w14:textId="77777777" w:rsidR="002653E8" w:rsidRDefault="002653E8">
      <w:pPr>
        <w:spacing w:line="254" w:lineRule="auto"/>
        <w:jc w:val="both"/>
        <w:rPr>
          <w:sz w:val="16"/>
        </w:rPr>
        <w:sectPr w:rsidR="002653E8">
          <w:pgSz w:w="8640" w:h="12960"/>
          <w:pgMar w:top="1060" w:right="0" w:bottom="1040" w:left="0" w:header="0" w:footer="850" w:gutter="0"/>
          <w:cols w:space="720"/>
        </w:sectPr>
      </w:pPr>
    </w:p>
    <w:p w14:paraId="295D8DD0" w14:textId="77777777" w:rsidR="002653E8" w:rsidRDefault="003115E3">
      <w:pPr>
        <w:pStyle w:val="a3"/>
        <w:spacing w:before="86" w:line="264" w:lineRule="auto"/>
        <w:ind w:left="1147" w:right="1326"/>
        <w:jc w:val="both"/>
      </w:pPr>
      <w:r>
        <w:rPr>
          <w:color w:val="231F20"/>
        </w:rPr>
        <w:lastRenderedPageBreak/>
        <w:t xml:space="preserve">with Horst Söhnlein. And if I do so, although he chose not to defend himself, it is as much </w:t>
      </w:r>
      <w:bookmarkStart w:id="37" w:name="_Hlk53879902"/>
      <w:r>
        <w:rPr>
          <w:i/>
          <w:color w:val="231F20"/>
        </w:rPr>
        <w:t>prollidarisch</w:t>
      </w:r>
      <w:bookmarkEnd w:id="37"/>
      <w:r>
        <w:rPr>
          <w:color w:val="231F20"/>
          <w:position w:val="7"/>
          <w:sz w:val="11"/>
        </w:rPr>
        <w:t xml:space="preserve">1  </w:t>
      </w:r>
      <w:r>
        <w:rPr>
          <w:color w:val="231F20"/>
        </w:rPr>
        <w:t>as it is in solidarity. And with that,     I</w:t>
      </w:r>
      <w:r>
        <w:rPr>
          <w:color w:val="231F20"/>
          <w:spacing w:val="10"/>
        </w:rPr>
        <w:t xml:space="preserve"> </w:t>
      </w:r>
      <w:r>
        <w:rPr>
          <w:color w:val="231F20"/>
        </w:rPr>
        <w:t>stop.</w:t>
      </w:r>
    </w:p>
    <w:p w14:paraId="05163F74" w14:textId="77777777" w:rsidR="002653E8" w:rsidRDefault="003115E3">
      <w:pPr>
        <w:pStyle w:val="a3"/>
        <w:spacing w:line="264" w:lineRule="auto"/>
        <w:ind w:left="1147" w:right="1325" w:firstLine="210"/>
        <w:jc w:val="both"/>
      </w:pPr>
      <w:r>
        <w:rPr>
          <w:color w:val="231F20"/>
        </w:rPr>
        <w:t>We declare our solidarity with all of the actions that the SDS has undertaken in response to the recent attempts to undermine their public support. We demand the abolition of judicial unaccountability, because they use their power to assure the rule of some people over other people.</w:t>
      </w:r>
    </w:p>
    <w:p w14:paraId="418D0548" w14:textId="77777777" w:rsidR="002653E8" w:rsidRDefault="003115E3">
      <w:pPr>
        <w:pStyle w:val="a3"/>
        <w:spacing w:line="264" w:lineRule="auto"/>
        <w:ind w:left="1147" w:right="1326" w:firstLine="210"/>
        <w:jc w:val="both"/>
      </w:pPr>
      <w:r>
        <w:rPr>
          <w:color w:val="231F20"/>
        </w:rPr>
        <w:t>We demand the abolition of the power of some people over other people.</w:t>
      </w:r>
    </w:p>
    <w:p w14:paraId="5A106137" w14:textId="77777777" w:rsidR="002653E8" w:rsidRDefault="003115E3">
      <w:pPr>
        <w:pStyle w:val="a3"/>
        <w:spacing w:line="232" w:lineRule="exact"/>
        <w:ind w:left="1357"/>
      </w:pPr>
      <w:r>
        <w:rPr>
          <w:color w:val="231F20"/>
        </w:rPr>
        <w:t>Workers of the world unite!</w:t>
      </w:r>
    </w:p>
    <w:p w14:paraId="416E4E73" w14:textId="77777777" w:rsidR="002653E8" w:rsidRDefault="003115E3">
      <w:pPr>
        <w:spacing w:before="14"/>
        <w:ind w:left="1357"/>
        <w:rPr>
          <w:i/>
          <w:sz w:val="20"/>
        </w:rPr>
      </w:pPr>
      <w:r>
        <w:rPr>
          <w:i/>
          <w:color w:val="231F20"/>
          <w:w w:val="105"/>
          <w:sz w:val="20"/>
        </w:rPr>
        <w:t>Venceremos!</w:t>
      </w:r>
    </w:p>
    <w:p w14:paraId="3FC478F4" w14:textId="77777777" w:rsidR="002653E8" w:rsidRDefault="003115E3">
      <w:pPr>
        <w:pStyle w:val="a3"/>
        <w:spacing w:before="149" w:line="261" w:lineRule="auto"/>
        <w:ind w:left="6049" w:right="1325" w:hanging="74"/>
        <w:jc w:val="right"/>
        <w:rPr>
          <w:sz w:val="11"/>
        </w:rPr>
      </w:pPr>
      <w:r>
        <w:rPr>
          <w:color w:val="231F20"/>
        </w:rPr>
        <w:t>Thorwald Proll</w:t>
      </w:r>
      <w:r>
        <w:rPr>
          <w:color w:val="231F20"/>
          <w:w w:val="102"/>
        </w:rPr>
        <w:t xml:space="preserve"> </w:t>
      </w:r>
      <w:r>
        <w:rPr>
          <w:color w:val="231F20"/>
        </w:rPr>
        <w:t>October 1968</w:t>
      </w:r>
      <w:r>
        <w:rPr>
          <w:color w:val="231F20"/>
          <w:position w:val="7"/>
          <w:sz w:val="11"/>
        </w:rPr>
        <w:t>2</w:t>
      </w:r>
    </w:p>
    <w:p w14:paraId="6F61070C" w14:textId="77777777" w:rsidR="002653E8" w:rsidRDefault="002653E8">
      <w:pPr>
        <w:pStyle w:val="a3"/>
      </w:pPr>
    </w:p>
    <w:p w14:paraId="78585277" w14:textId="77777777" w:rsidR="002653E8" w:rsidRDefault="002653E8">
      <w:pPr>
        <w:pStyle w:val="a3"/>
      </w:pPr>
    </w:p>
    <w:p w14:paraId="6F6089DA" w14:textId="77777777" w:rsidR="002653E8" w:rsidRDefault="002653E8">
      <w:pPr>
        <w:pStyle w:val="a3"/>
      </w:pPr>
    </w:p>
    <w:p w14:paraId="65955C51" w14:textId="77777777" w:rsidR="002653E8" w:rsidRDefault="002653E8">
      <w:pPr>
        <w:pStyle w:val="a3"/>
      </w:pPr>
    </w:p>
    <w:p w14:paraId="2E036D76" w14:textId="77777777" w:rsidR="002653E8" w:rsidRDefault="002653E8">
      <w:pPr>
        <w:pStyle w:val="a3"/>
      </w:pPr>
    </w:p>
    <w:p w14:paraId="548B2022" w14:textId="77777777" w:rsidR="002653E8" w:rsidRDefault="002653E8">
      <w:pPr>
        <w:pStyle w:val="a3"/>
      </w:pPr>
    </w:p>
    <w:p w14:paraId="785C9123" w14:textId="77777777" w:rsidR="002653E8" w:rsidRDefault="002653E8">
      <w:pPr>
        <w:pStyle w:val="a3"/>
      </w:pPr>
    </w:p>
    <w:p w14:paraId="1238F549" w14:textId="77777777" w:rsidR="002653E8" w:rsidRDefault="002653E8">
      <w:pPr>
        <w:pStyle w:val="a3"/>
      </w:pPr>
    </w:p>
    <w:p w14:paraId="2E26B7E1" w14:textId="77777777" w:rsidR="002653E8" w:rsidRDefault="002653E8">
      <w:pPr>
        <w:pStyle w:val="a3"/>
      </w:pPr>
    </w:p>
    <w:p w14:paraId="1E68FBB9" w14:textId="77777777" w:rsidR="002653E8" w:rsidRDefault="002653E8">
      <w:pPr>
        <w:pStyle w:val="a3"/>
      </w:pPr>
    </w:p>
    <w:p w14:paraId="3C8D9889" w14:textId="77777777" w:rsidR="002653E8" w:rsidRDefault="002653E8">
      <w:pPr>
        <w:pStyle w:val="a3"/>
      </w:pPr>
    </w:p>
    <w:p w14:paraId="1F219FAE" w14:textId="77777777" w:rsidR="002653E8" w:rsidRDefault="002653E8">
      <w:pPr>
        <w:pStyle w:val="a3"/>
      </w:pPr>
    </w:p>
    <w:p w14:paraId="67F79CDE" w14:textId="77777777" w:rsidR="002653E8" w:rsidRDefault="002653E8">
      <w:pPr>
        <w:pStyle w:val="a3"/>
      </w:pPr>
    </w:p>
    <w:p w14:paraId="2149D581" w14:textId="77777777" w:rsidR="002653E8" w:rsidRDefault="002653E8">
      <w:pPr>
        <w:pStyle w:val="a3"/>
      </w:pPr>
    </w:p>
    <w:p w14:paraId="28907C13" w14:textId="77777777" w:rsidR="002653E8" w:rsidRDefault="002653E8">
      <w:pPr>
        <w:pStyle w:val="a3"/>
      </w:pPr>
    </w:p>
    <w:p w14:paraId="49F49FF2" w14:textId="77777777" w:rsidR="002653E8" w:rsidRDefault="002653E8">
      <w:pPr>
        <w:pStyle w:val="a3"/>
      </w:pPr>
    </w:p>
    <w:p w14:paraId="48A8E5D9" w14:textId="77777777" w:rsidR="002653E8" w:rsidRDefault="002653E8">
      <w:pPr>
        <w:pStyle w:val="a3"/>
      </w:pPr>
    </w:p>
    <w:p w14:paraId="128694FE" w14:textId="77777777" w:rsidR="002653E8" w:rsidRDefault="002653E8">
      <w:pPr>
        <w:pStyle w:val="a3"/>
      </w:pPr>
    </w:p>
    <w:p w14:paraId="500EA1F9" w14:textId="77777777" w:rsidR="002653E8" w:rsidRDefault="002653E8">
      <w:pPr>
        <w:pStyle w:val="a3"/>
      </w:pPr>
    </w:p>
    <w:p w14:paraId="5C68B528" w14:textId="77777777" w:rsidR="002653E8" w:rsidRDefault="002653E8">
      <w:pPr>
        <w:pStyle w:val="a3"/>
      </w:pPr>
    </w:p>
    <w:p w14:paraId="37FAA85B" w14:textId="77777777" w:rsidR="002653E8" w:rsidRDefault="002653E8">
      <w:pPr>
        <w:pStyle w:val="a3"/>
      </w:pPr>
    </w:p>
    <w:p w14:paraId="26198952" w14:textId="77777777" w:rsidR="002653E8" w:rsidRDefault="002653E8">
      <w:pPr>
        <w:pStyle w:val="a3"/>
      </w:pPr>
    </w:p>
    <w:p w14:paraId="3CB5D599" w14:textId="77777777" w:rsidR="002653E8" w:rsidRDefault="002653E8">
      <w:pPr>
        <w:pStyle w:val="a3"/>
        <w:spacing w:before="7"/>
        <w:rPr>
          <w:sz w:val="21"/>
        </w:rPr>
      </w:pPr>
    </w:p>
    <w:p w14:paraId="26D01B03" w14:textId="77777777" w:rsidR="002653E8" w:rsidRDefault="003115E3">
      <w:pPr>
        <w:pStyle w:val="a4"/>
        <w:numPr>
          <w:ilvl w:val="0"/>
          <w:numId w:val="166"/>
        </w:numPr>
        <w:tabs>
          <w:tab w:val="left" w:pos="1287"/>
        </w:tabs>
        <w:spacing w:before="105"/>
        <w:ind w:firstLine="0"/>
        <w:jc w:val="left"/>
        <w:rPr>
          <w:i/>
          <w:sz w:val="16"/>
        </w:rPr>
      </w:pPr>
      <w:r>
        <w:rPr>
          <w:color w:val="231F20"/>
          <w:w w:val="105"/>
          <w:sz w:val="16"/>
        </w:rPr>
        <w:t>A</w:t>
      </w:r>
      <w:r>
        <w:rPr>
          <w:color w:val="231F20"/>
          <w:spacing w:val="10"/>
          <w:w w:val="105"/>
          <w:sz w:val="16"/>
        </w:rPr>
        <w:t xml:space="preserve"> </w:t>
      </w:r>
      <w:r>
        <w:rPr>
          <w:color w:val="231F20"/>
          <w:w w:val="105"/>
          <w:sz w:val="16"/>
        </w:rPr>
        <w:t>neologism</w:t>
      </w:r>
      <w:r>
        <w:rPr>
          <w:color w:val="231F20"/>
          <w:spacing w:val="10"/>
          <w:w w:val="105"/>
          <w:sz w:val="16"/>
        </w:rPr>
        <w:t xml:space="preserve"> </w:t>
      </w:r>
      <w:r>
        <w:rPr>
          <w:color w:val="231F20"/>
          <w:w w:val="105"/>
          <w:sz w:val="16"/>
        </w:rPr>
        <w:t>combining</w:t>
      </w:r>
      <w:r>
        <w:rPr>
          <w:color w:val="231F20"/>
          <w:spacing w:val="10"/>
          <w:w w:val="105"/>
          <w:sz w:val="16"/>
        </w:rPr>
        <w:t xml:space="preserve"> </w:t>
      </w:r>
      <w:r>
        <w:rPr>
          <w:color w:val="231F20"/>
          <w:w w:val="105"/>
          <w:sz w:val="16"/>
        </w:rPr>
        <w:t>the</w:t>
      </w:r>
      <w:r>
        <w:rPr>
          <w:color w:val="231F20"/>
          <w:spacing w:val="10"/>
          <w:w w:val="105"/>
          <w:sz w:val="16"/>
        </w:rPr>
        <w:t xml:space="preserve"> </w:t>
      </w:r>
      <w:r>
        <w:rPr>
          <w:color w:val="231F20"/>
          <w:w w:val="105"/>
          <w:sz w:val="16"/>
        </w:rPr>
        <w:t>author</w:t>
      </w:r>
      <w:r>
        <w:rPr>
          <w:color w:val="231F20"/>
          <w:spacing w:val="10"/>
          <w:w w:val="105"/>
          <w:sz w:val="16"/>
        </w:rPr>
        <w:t xml:space="preserve"> </w:t>
      </w:r>
      <w:r>
        <w:rPr>
          <w:color w:val="231F20"/>
          <w:w w:val="105"/>
          <w:sz w:val="16"/>
        </w:rPr>
        <w:t>Thorwald</w:t>
      </w:r>
      <w:r>
        <w:rPr>
          <w:color w:val="231F20"/>
          <w:spacing w:val="10"/>
          <w:w w:val="105"/>
          <w:sz w:val="16"/>
        </w:rPr>
        <w:t xml:space="preserve"> </w:t>
      </w:r>
      <w:r>
        <w:rPr>
          <w:color w:val="231F20"/>
          <w:w w:val="105"/>
          <w:sz w:val="16"/>
        </w:rPr>
        <w:t>Proll’s</w:t>
      </w:r>
      <w:r>
        <w:rPr>
          <w:color w:val="231F20"/>
          <w:spacing w:val="10"/>
          <w:w w:val="105"/>
          <w:sz w:val="16"/>
        </w:rPr>
        <w:t xml:space="preserve"> </w:t>
      </w:r>
      <w:r>
        <w:rPr>
          <w:color w:val="231F20"/>
          <w:w w:val="105"/>
          <w:sz w:val="16"/>
        </w:rPr>
        <w:t>last</w:t>
      </w:r>
      <w:r>
        <w:rPr>
          <w:color w:val="231F20"/>
          <w:spacing w:val="10"/>
          <w:w w:val="105"/>
          <w:sz w:val="16"/>
        </w:rPr>
        <w:t xml:space="preserve"> </w:t>
      </w:r>
      <w:r>
        <w:rPr>
          <w:color w:val="231F20"/>
          <w:w w:val="105"/>
          <w:sz w:val="16"/>
        </w:rPr>
        <w:t>name</w:t>
      </w:r>
      <w:r>
        <w:rPr>
          <w:color w:val="231F20"/>
          <w:spacing w:val="10"/>
          <w:w w:val="105"/>
          <w:sz w:val="16"/>
        </w:rPr>
        <w:t xml:space="preserve"> </w:t>
      </w:r>
      <w:r>
        <w:rPr>
          <w:color w:val="231F20"/>
          <w:w w:val="105"/>
          <w:sz w:val="16"/>
        </w:rPr>
        <w:t>and</w:t>
      </w:r>
      <w:r>
        <w:rPr>
          <w:color w:val="231F20"/>
          <w:spacing w:val="10"/>
          <w:w w:val="105"/>
          <w:sz w:val="16"/>
        </w:rPr>
        <w:t xml:space="preserve"> </w:t>
      </w:r>
      <w:r>
        <w:rPr>
          <w:i/>
          <w:color w:val="231F20"/>
          <w:w w:val="105"/>
          <w:sz w:val="16"/>
        </w:rPr>
        <w:t>solidarisch,</w:t>
      </w:r>
    </w:p>
    <w:p w14:paraId="18A9000F" w14:textId="77777777" w:rsidR="002653E8" w:rsidRDefault="003115E3">
      <w:pPr>
        <w:spacing w:before="12"/>
        <w:ind w:left="1147"/>
        <w:rPr>
          <w:sz w:val="16"/>
        </w:rPr>
      </w:pPr>
      <w:r>
        <w:rPr>
          <w:color w:val="231F20"/>
          <w:w w:val="105"/>
          <w:sz w:val="16"/>
        </w:rPr>
        <w:t>the German word for solidarity.</w:t>
      </w:r>
    </w:p>
    <w:p w14:paraId="2673FB3E" w14:textId="77777777" w:rsidR="002653E8" w:rsidRDefault="003115E3">
      <w:pPr>
        <w:pStyle w:val="a4"/>
        <w:numPr>
          <w:ilvl w:val="0"/>
          <w:numId w:val="166"/>
        </w:numPr>
        <w:tabs>
          <w:tab w:val="left" w:pos="1287"/>
        </w:tabs>
        <w:spacing w:before="51" w:line="254" w:lineRule="auto"/>
        <w:ind w:right="1431" w:firstLine="0"/>
        <w:jc w:val="left"/>
        <w:rPr>
          <w:sz w:val="16"/>
        </w:rPr>
      </w:pPr>
      <w:r>
        <w:rPr>
          <w:color w:val="231F20"/>
          <w:w w:val="105"/>
          <w:sz w:val="16"/>
        </w:rPr>
        <w:t xml:space="preserve">The version of this text on </w:t>
      </w:r>
      <w:bookmarkStart w:id="38" w:name="_Hlk53879709"/>
      <w:r>
        <w:rPr>
          <w:color w:val="231F20"/>
          <w:w w:val="105"/>
          <w:sz w:val="16"/>
        </w:rPr>
        <w:t>Ronald Augustin</w:t>
      </w:r>
      <w:bookmarkEnd w:id="38"/>
      <w:r>
        <w:rPr>
          <w:color w:val="231F20"/>
          <w:w w:val="105"/>
          <w:sz w:val="16"/>
        </w:rPr>
        <w:t>’s website is dated March 1968, however we believe this is an error, as the arson in question was only committed in April</w:t>
      </w:r>
      <w:r>
        <w:rPr>
          <w:color w:val="231F20"/>
          <w:spacing w:val="7"/>
          <w:w w:val="105"/>
          <w:sz w:val="16"/>
        </w:rPr>
        <w:t xml:space="preserve"> </w:t>
      </w:r>
      <w:r>
        <w:rPr>
          <w:color w:val="231F20"/>
          <w:w w:val="105"/>
          <w:sz w:val="16"/>
        </w:rPr>
        <w:t>1968.</w:t>
      </w:r>
    </w:p>
    <w:p w14:paraId="4A7A516A" w14:textId="77777777" w:rsidR="002653E8" w:rsidRDefault="002653E8">
      <w:pPr>
        <w:spacing w:line="254" w:lineRule="auto"/>
        <w:rPr>
          <w:sz w:val="16"/>
        </w:rPr>
        <w:sectPr w:rsidR="002653E8">
          <w:footerReference w:type="even" r:id="rId73"/>
          <w:footerReference w:type="default" r:id="rId74"/>
          <w:pgSz w:w="8640" w:h="12960"/>
          <w:pgMar w:top="1060" w:right="0" w:bottom="1460" w:left="0" w:header="0" w:footer="1270" w:gutter="0"/>
          <w:cols w:space="720"/>
        </w:sectPr>
      </w:pPr>
    </w:p>
    <w:p w14:paraId="51922BD2" w14:textId="77777777" w:rsidR="002653E8" w:rsidRDefault="003115E3">
      <w:pPr>
        <w:pStyle w:val="4"/>
        <w:ind w:left="2851"/>
      </w:pPr>
      <w:bookmarkStart w:id="39" w:name="Build_the_Red_Army!_(June_5,_1970)"/>
      <w:bookmarkStart w:id="40" w:name="_bookmark13"/>
      <w:bookmarkEnd w:id="39"/>
      <w:bookmarkEnd w:id="40"/>
      <w:r>
        <w:rPr>
          <w:color w:val="231F20"/>
          <w:w w:val="105"/>
        </w:rPr>
        <w:lastRenderedPageBreak/>
        <w:t>Build the Red Army!</w:t>
      </w:r>
    </w:p>
    <w:p w14:paraId="6FA7E8BC" w14:textId="77777777" w:rsidR="002653E8" w:rsidRDefault="003115E3">
      <w:pPr>
        <w:pStyle w:val="a3"/>
        <w:spacing w:before="256"/>
        <w:ind w:left="1327"/>
      </w:pPr>
      <w:r>
        <w:rPr>
          <w:color w:val="231F20"/>
          <w:w w:val="105"/>
        </w:rPr>
        <w:t xml:space="preserve">Comrades of </w:t>
      </w:r>
      <w:r>
        <w:rPr>
          <w:rFonts w:ascii="Bookman Old Style"/>
          <w:i/>
          <w:color w:val="231F20"/>
          <w:w w:val="105"/>
        </w:rPr>
        <w:t>883</w:t>
      </w:r>
      <w:r>
        <w:rPr>
          <w:color w:val="231F20"/>
          <w:w w:val="105"/>
        </w:rPr>
        <w:t>,</w:t>
      </w:r>
    </w:p>
    <w:p w14:paraId="17985F26" w14:textId="77777777" w:rsidR="002653E8" w:rsidRDefault="003115E3">
      <w:pPr>
        <w:pStyle w:val="a3"/>
        <w:spacing w:before="20" w:line="264" w:lineRule="auto"/>
        <w:ind w:left="1327" w:right="1145" w:firstLine="210"/>
        <w:jc w:val="both"/>
      </w:pPr>
      <w:r>
        <w:rPr>
          <w:color w:val="231F20"/>
        </w:rPr>
        <w:t xml:space="preserve">It is pointless to explain the right thing to the wrong people. </w:t>
      </w:r>
      <w:r>
        <w:rPr>
          <w:color w:val="231F20"/>
          <w:spacing w:val="-4"/>
        </w:rPr>
        <w:t xml:space="preserve">We’ve </w:t>
      </w:r>
      <w:r>
        <w:rPr>
          <w:color w:val="231F20"/>
        </w:rPr>
        <w:t xml:space="preserve">done enough of that. </w:t>
      </w:r>
      <w:r>
        <w:rPr>
          <w:color w:val="231F20"/>
          <w:spacing w:val="-5"/>
        </w:rPr>
        <w:t xml:space="preserve">We </w:t>
      </w:r>
      <w:r>
        <w:rPr>
          <w:color w:val="231F20"/>
          <w:spacing w:val="-3"/>
        </w:rPr>
        <w:t xml:space="preserve">don’t </w:t>
      </w:r>
      <w:r>
        <w:rPr>
          <w:color w:val="231F20"/>
        </w:rPr>
        <w:t xml:space="preserve">want to explain the action to free Baader to babbling intellectuals, to those who are freaked out, to know-it-alls, but rather to the potentially revolutionary section of the people. That    is to </w:t>
      </w:r>
      <w:r>
        <w:rPr>
          <w:color w:val="231F20"/>
          <w:spacing w:val="-4"/>
        </w:rPr>
        <w:t xml:space="preserve">say, </w:t>
      </w:r>
      <w:r>
        <w:rPr>
          <w:color w:val="231F20"/>
        </w:rPr>
        <w:t>to those who can immediately understand this action,  because they are themselves prisoners. Those who want nothing to do with the blather</w:t>
      </w:r>
      <w:r w:rsidR="00860C67">
        <w:rPr>
          <w:color w:val="231F20"/>
        </w:rPr>
        <w:t xml:space="preserve"> </w:t>
      </w:r>
      <w:r>
        <w:rPr>
          <w:color w:val="231F20"/>
        </w:rPr>
        <w:t>of the “left,” because it remains without meaning or consequence. Those who are fed</w:t>
      </w:r>
      <w:r>
        <w:rPr>
          <w:color w:val="231F20"/>
          <w:spacing w:val="10"/>
        </w:rPr>
        <w:t xml:space="preserve"> </w:t>
      </w:r>
      <w:r>
        <w:rPr>
          <w:color w:val="231F20"/>
        </w:rPr>
        <w:t>up!</w:t>
      </w:r>
    </w:p>
    <w:p w14:paraId="4B86E92E" w14:textId="77777777" w:rsidR="002653E8" w:rsidRDefault="003115E3">
      <w:pPr>
        <w:pStyle w:val="a3"/>
        <w:spacing w:line="264" w:lineRule="auto"/>
        <w:ind w:left="1327" w:right="1146" w:firstLine="210"/>
        <w:jc w:val="both"/>
        <w:rPr>
          <w:sz w:val="11"/>
        </w:rPr>
      </w:pPr>
      <w:r>
        <w:rPr>
          <w:color w:val="231F20"/>
          <w:w w:val="105"/>
        </w:rPr>
        <w:t>The action to free Baader must be explained to youth from the Märkisch neighbourhood, to the girls from Eichenhof, Ollenhauer, and</w:t>
      </w:r>
      <w:r>
        <w:rPr>
          <w:color w:val="231F20"/>
          <w:spacing w:val="-5"/>
          <w:w w:val="105"/>
        </w:rPr>
        <w:t xml:space="preserve"> </w:t>
      </w:r>
      <w:r>
        <w:rPr>
          <w:color w:val="231F20"/>
          <w:w w:val="105"/>
        </w:rPr>
        <w:t>Heiligensee,</w:t>
      </w:r>
      <w:r>
        <w:rPr>
          <w:color w:val="231F20"/>
          <w:spacing w:val="-5"/>
          <w:w w:val="105"/>
        </w:rPr>
        <w:t xml:space="preserve"> </w:t>
      </w:r>
      <w:r>
        <w:rPr>
          <w:color w:val="231F20"/>
          <w:w w:val="105"/>
        </w:rPr>
        <w:t>to</w:t>
      </w:r>
      <w:r>
        <w:rPr>
          <w:color w:val="231F20"/>
          <w:spacing w:val="-5"/>
          <w:w w:val="105"/>
        </w:rPr>
        <w:t xml:space="preserve"> </w:t>
      </w:r>
      <w:r>
        <w:rPr>
          <w:color w:val="231F20"/>
          <w:w w:val="105"/>
        </w:rPr>
        <w:t>young</w:t>
      </w:r>
      <w:r>
        <w:rPr>
          <w:color w:val="231F20"/>
          <w:spacing w:val="-5"/>
          <w:w w:val="105"/>
        </w:rPr>
        <w:t xml:space="preserve"> </w:t>
      </w:r>
      <w:r>
        <w:rPr>
          <w:color w:val="231F20"/>
          <w:w w:val="105"/>
        </w:rPr>
        <w:t>people</w:t>
      </w:r>
      <w:r>
        <w:rPr>
          <w:color w:val="231F20"/>
          <w:spacing w:val="-5"/>
          <w:w w:val="105"/>
        </w:rPr>
        <w:t xml:space="preserve"> </w:t>
      </w:r>
      <w:r>
        <w:rPr>
          <w:color w:val="231F20"/>
          <w:w w:val="105"/>
        </w:rPr>
        <w:t>in</w:t>
      </w:r>
      <w:r>
        <w:rPr>
          <w:color w:val="231F20"/>
          <w:spacing w:val="-5"/>
          <w:w w:val="105"/>
        </w:rPr>
        <w:t xml:space="preserve"> </w:t>
      </w:r>
      <w:r>
        <w:rPr>
          <w:color w:val="231F20"/>
          <w:w w:val="105"/>
        </w:rPr>
        <w:t>group</w:t>
      </w:r>
      <w:r>
        <w:rPr>
          <w:color w:val="231F20"/>
          <w:spacing w:val="-5"/>
          <w:w w:val="105"/>
        </w:rPr>
        <w:t xml:space="preserve"> </w:t>
      </w:r>
      <w:r>
        <w:rPr>
          <w:color w:val="231F20"/>
          <w:w w:val="105"/>
        </w:rPr>
        <w:t>homes,</w:t>
      </w:r>
      <w:r>
        <w:rPr>
          <w:color w:val="231F20"/>
          <w:spacing w:val="-5"/>
          <w:w w:val="105"/>
        </w:rPr>
        <w:t xml:space="preserve"> </w:t>
      </w:r>
      <w:r>
        <w:rPr>
          <w:color w:val="231F20"/>
          <w:w w:val="105"/>
        </w:rPr>
        <w:t>in</w:t>
      </w:r>
      <w:r>
        <w:rPr>
          <w:color w:val="231F20"/>
          <w:spacing w:val="-5"/>
          <w:w w:val="105"/>
        </w:rPr>
        <w:t xml:space="preserve"> </w:t>
      </w:r>
      <w:r>
        <w:rPr>
          <w:color w:val="231F20"/>
          <w:w w:val="105"/>
        </w:rPr>
        <w:t>youth</w:t>
      </w:r>
      <w:r>
        <w:rPr>
          <w:color w:val="231F20"/>
          <w:spacing w:val="-5"/>
          <w:w w:val="105"/>
        </w:rPr>
        <w:t xml:space="preserve"> </w:t>
      </w:r>
      <w:r>
        <w:rPr>
          <w:color w:val="231F20"/>
          <w:w w:val="105"/>
        </w:rPr>
        <w:t>centers,</w:t>
      </w:r>
      <w:r>
        <w:rPr>
          <w:color w:val="231F20"/>
          <w:spacing w:val="-5"/>
          <w:w w:val="105"/>
        </w:rPr>
        <w:t xml:space="preserve"> </w:t>
      </w:r>
      <w:r>
        <w:rPr>
          <w:color w:val="231F20"/>
          <w:w w:val="105"/>
        </w:rPr>
        <w:t>in Grünen Haus, and in</w:t>
      </w:r>
      <w:r>
        <w:rPr>
          <w:color w:val="231F20"/>
          <w:spacing w:val="32"/>
          <w:w w:val="105"/>
        </w:rPr>
        <w:t xml:space="preserve"> </w:t>
      </w:r>
      <w:r>
        <w:rPr>
          <w:color w:val="231F20"/>
          <w:w w:val="105"/>
        </w:rPr>
        <w:t>Kieferngrund.</w:t>
      </w:r>
      <w:r>
        <w:rPr>
          <w:color w:val="231F20"/>
          <w:w w:val="105"/>
          <w:position w:val="7"/>
          <w:sz w:val="11"/>
        </w:rPr>
        <w:t>3</w:t>
      </w:r>
    </w:p>
    <w:p w14:paraId="11AC6248" w14:textId="77777777" w:rsidR="002653E8" w:rsidRDefault="003115E3">
      <w:pPr>
        <w:pStyle w:val="a3"/>
        <w:spacing w:line="264" w:lineRule="auto"/>
        <w:ind w:left="1327" w:right="1146" w:firstLine="210"/>
        <w:jc w:val="both"/>
      </w:pPr>
      <w:r>
        <w:rPr>
          <w:color w:val="231F20"/>
        </w:rPr>
        <w:t>To large families, to young workers and apprentices, to high school students, to families in neighborhoods that are being gentrified, to the workers at Siemens and AEG-Telefunken, at SEL and Osram, to the married women who, as well as doing the housework and raising the children, must do piecework—damn it.</w:t>
      </w:r>
    </w:p>
    <w:p w14:paraId="1D430C18" w14:textId="77777777" w:rsidR="002653E8" w:rsidRDefault="003115E3">
      <w:pPr>
        <w:pStyle w:val="a3"/>
        <w:spacing w:line="264" w:lineRule="auto"/>
        <w:ind w:left="1328" w:right="1145" w:firstLine="210"/>
        <w:jc w:val="both"/>
      </w:pPr>
      <w:r>
        <w:rPr>
          <w:color w:val="231F20"/>
        </w:rPr>
        <w:t>They</w:t>
      </w:r>
      <w:r>
        <w:rPr>
          <w:color w:val="231F20"/>
          <w:spacing w:val="-5"/>
        </w:rPr>
        <w:t xml:space="preserve"> </w:t>
      </w:r>
      <w:r>
        <w:rPr>
          <w:color w:val="231F20"/>
        </w:rPr>
        <w:t>are</w:t>
      </w:r>
      <w:r>
        <w:rPr>
          <w:color w:val="231F20"/>
          <w:spacing w:val="-5"/>
        </w:rPr>
        <w:t xml:space="preserve"> </w:t>
      </w:r>
      <w:r>
        <w:rPr>
          <w:color w:val="231F20"/>
        </w:rPr>
        <w:t>the</w:t>
      </w:r>
      <w:r>
        <w:rPr>
          <w:color w:val="231F20"/>
          <w:spacing w:val="-5"/>
        </w:rPr>
        <w:t xml:space="preserve"> </w:t>
      </w:r>
      <w:r>
        <w:rPr>
          <w:color w:val="231F20"/>
        </w:rPr>
        <w:t>ones</w:t>
      </w:r>
      <w:r>
        <w:rPr>
          <w:color w:val="231F20"/>
          <w:spacing w:val="-5"/>
        </w:rPr>
        <w:t xml:space="preserve"> </w:t>
      </w:r>
      <w:r>
        <w:rPr>
          <w:color w:val="231F20"/>
        </w:rPr>
        <w:t>who</w:t>
      </w:r>
      <w:r>
        <w:rPr>
          <w:color w:val="231F20"/>
          <w:spacing w:val="-5"/>
        </w:rPr>
        <w:t xml:space="preserve"> </w:t>
      </w:r>
      <w:r>
        <w:rPr>
          <w:color w:val="231F20"/>
        </w:rPr>
        <w:t>must</w:t>
      </w:r>
      <w:r>
        <w:rPr>
          <w:color w:val="231F20"/>
          <w:spacing w:val="-5"/>
        </w:rPr>
        <w:t xml:space="preserve"> </w:t>
      </w:r>
      <w:r>
        <w:rPr>
          <w:color w:val="231F20"/>
        </w:rPr>
        <w:t>understand</w:t>
      </w:r>
      <w:r>
        <w:rPr>
          <w:color w:val="231F20"/>
          <w:spacing w:val="-5"/>
        </w:rPr>
        <w:t xml:space="preserve"> </w:t>
      </w:r>
      <w:r>
        <w:rPr>
          <w:color w:val="231F20"/>
        </w:rPr>
        <w:t>the</w:t>
      </w:r>
      <w:r>
        <w:rPr>
          <w:color w:val="231F20"/>
          <w:spacing w:val="-5"/>
        </w:rPr>
        <w:t xml:space="preserve"> </w:t>
      </w:r>
      <w:r>
        <w:rPr>
          <w:color w:val="231F20"/>
        </w:rPr>
        <w:t>action;</w:t>
      </w:r>
      <w:r>
        <w:rPr>
          <w:color w:val="231F20"/>
          <w:spacing w:val="-5"/>
        </w:rPr>
        <w:t xml:space="preserve"> </w:t>
      </w:r>
      <w:r>
        <w:rPr>
          <w:color w:val="231F20"/>
        </w:rPr>
        <w:t>those</w:t>
      </w:r>
      <w:r>
        <w:rPr>
          <w:color w:val="231F20"/>
          <w:spacing w:val="-5"/>
        </w:rPr>
        <w:t xml:space="preserve"> </w:t>
      </w:r>
      <w:r>
        <w:rPr>
          <w:color w:val="231F20"/>
        </w:rPr>
        <w:t>who</w:t>
      </w:r>
      <w:r>
        <w:rPr>
          <w:color w:val="231F20"/>
          <w:spacing w:val="-5"/>
        </w:rPr>
        <w:t xml:space="preserve"> </w:t>
      </w:r>
      <w:r>
        <w:rPr>
          <w:color w:val="231F20"/>
        </w:rPr>
        <w:t>receive no compensation for the exploitation they must suffer. Not in their standard of living, not in their consumption, not in the form of mortgages, not in the form of even limited credit, not in the form of midsize cars. Those who cannot even hope for these baubles, who are not seduced by all of</w:t>
      </w:r>
      <w:r>
        <w:rPr>
          <w:color w:val="231F20"/>
          <w:spacing w:val="21"/>
        </w:rPr>
        <w:t xml:space="preserve"> </w:t>
      </w:r>
      <w:r>
        <w:rPr>
          <w:color w:val="231F20"/>
        </w:rPr>
        <w:t>that.</w:t>
      </w:r>
    </w:p>
    <w:p w14:paraId="3033C771" w14:textId="77777777" w:rsidR="002653E8" w:rsidRDefault="003115E3">
      <w:pPr>
        <w:pStyle w:val="a3"/>
        <w:spacing w:line="264" w:lineRule="auto"/>
        <w:ind w:left="1328" w:right="1145" w:firstLine="210"/>
        <w:jc w:val="both"/>
      </w:pPr>
      <w:r>
        <w:rPr>
          <w:color w:val="231F20"/>
        </w:rPr>
        <w:t>Those who have realized that the future promised to them by their teachers and professors and landlords and social workers and supervisors and foremen and union representatives and city councilors is nothing more than an empty lie, but who nonetheless fear the police. It is only necessary that they—and not the petit bourgeois intellectuals— understand that all of that is over now, that this is a start, that the liberation of Baader is only the beginning! That an end to police domination is in sight! It is to them that we want to say that we are building the</w:t>
      </w:r>
    </w:p>
    <w:p w14:paraId="4D7701E8" w14:textId="77777777" w:rsidR="002653E8" w:rsidRDefault="00000000">
      <w:pPr>
        <w:pStyle w:val="a3"/>
        <w:spacing w:before="10"/>
        <w:rPr>
          <w:sz w:val="25"/>
        </w:rPr>
      </w:pPr>
      <w:r>
        <w:rPr>
          <w:noProof w:val="0"/>
        </w:rPr>
        <w:pict w14:anchorId="78595BA9">
          <v:line id="_x0000_s2620" style="position:absolute;z-index:3232;mso-wrap-distance-left:0;mso-wrap-distance-right:0;mso-position-horizontal-relative:page" from="66.4pt,17.4pt" to="138.4pt,17.4pt" strokecolor="#231f20" strokeweight=".5pt">
            <w10:wrap type="topAndBottom" anchorx="page"/>
          </v:line>
        </w:pict>
      </w:r>
    </w:p>
    <w:p w14:paraId="69910289" w14:textId="77777777" w:rsidR="002653E8" w:rsidRDefault="003115E3">
      <w:pPr>
        <w:pStyle w:val="a4"/>
        <w:numPr>
          <w:ilvl w:val="0"/>
          <w:numId w:val="166"/>
        </w:numPr>
        <w:tabs>
          <w:tab w:val="left" w:pos="1467"/>
        </w:tabs>
        <w:spacing w:before="53" w:line="254" w:lineRule="auto"/>
        <w:ind w:left="1328" w:right="1180" w:hanging="1"/>
        <w:jc w:val="left"/>
        <w:rPr>
          <w:sz w:val="16"/>
        </w:rPr>
      </w:pPr>
      <w:r>
        <w:rPr>
          <w:color w:val="231F20"/>
          <w:sz w:val="16"/>
        </w:rPr>
        <w:t xml:space="preserve">Places where disenfranchised youth could be found. </w:t>
      </w:r>
      <w:r w:rsidR="00C507A5">
        <w:rPr>
          <w:color w:val="231F20"/>
          <w:spacing w:val="3"/>
          <w:sz w:val="16"/>
        </w:rPr>
        <w:t>red army faction</w:t>
      </w:r>
      <w:r>
        <w:rPr>
          <w:color w:val="231F20"/>
          <w:spacing w:val="3"/>
          <w:sz w:val="16"/>
        </w:rPr>
        <w:t xml:space="preserve"> </w:t>
      </w:r>
      <w:r>
        <w:rPr>
          <w:color w:val="231F20"/>
          <w:sz w:val="16"/>
        </w:rPr>
        <w:t xml:space="preserve">members had previously worked  with  such  young  marginalized  youth  in  the  “apprentices  collectives.”  Some of these young people became  members  of  the  </w:t>
      </w:r>
      <w:r w:rsidR="00C507A5">
        <w:rPr>
          <w:color w:val="231F20"/>
          <w:spacing w:val="3"/>
          <w:sz w:val="16"/>
        </w:rPr>
        <w:t>red army faction</w:t>
      </w:r>
      <w:r>
        <w:rPr>
          <w:color w:val="231F20"/>
          <w:spacing w:val="3"/>
          <w:sz w:val="16"/>
        </w:rPr>
        <w:t xml:space="preserve"> </w:t>
      </w:r>
      <w:r>
        <w:rPr>
          <w:color w:val="231F20"/>
          <w:sz w:val="16"/>
        </w:rPr>
        <w:t>and  were  involved  in  the  action to free</w:t>
      </w:r>
      <w:r>
        <w:rPr>
          <w:color w:val="231F20"/>
          <w:spacing w:val="20"/>
          <w:sz w:val="16"/>
        </w:rPr>
        <w:t xml:space="preserve"> </w:t>
      </w:r>
      <w:r>
        <w:rPr>
          <w:color w:val="231F20"/>
          <w:sz w:val="16"/>
        </w:rPr>
        <w:t>Baader.</w:t>
      </w:r>
    </w:p>
    <w:p w14:paraId="7B1B3921" w14:textId="77777777" w:rsidR="002653E8" w:rsidRDefault="002653E8">
      <w:pPr>
        <w:spacing w:line="254" w:lineRule="auto"/>
        <w:rPr>
          <w:sz w:val="16"/>
        </w:rPr>
        <w:sectPr w:rsidR="002653E8">
          <w:pgSz w:w="8640" w:h="12960"/>
          <w:pgMar w:top="1220" w:right="0" w:bottom="1040" w:left="0" w:header="0" w:footer="850" w:gutter="0"/>
          <w:cols w:space="720"/>
        </w:sectPr>
      </w:pPr>
    </w:p>
    <w:p w14:paraId="5E6B8E63" w14:textId="77777777" w:rsidR="002653E8" w:rsidRDefault="003115E3">
      <w:pPr>
        <w:pStyle w:val="a3"/>
        <w:spacing w:before="86" w:line="264" w:lineRule="auto"/>
        <w:ind w:left="1147" w:right="1326"/>
        <w:jc w:val="both"/>
      </w:pPr>
      <w:r>
        <w:rPr>
          <w:color w:val="231F20"/>
        </w:rPr>
        <w:lastRenderedPageBreak/>
        <w:t xml:space="preserve">red army, and it is their </w:t>
      </w:r>
      <w:r>
        <w:rPr>
          <w:color w:val="231F20"/>
          <w:spacing w:val="-3"/>
        </w:rPr>
        <w:t xml:space="preserve">army. </w:t>
      </w:r>
      <w:r>
        <w:rPr>
          <w:color w:val="231F20"/>
        </w:rPr>
        <w:t xml:space="preserve">It is to them that we </w:t>
      </w:r>
      <w:r>
        <w:rPr>
          <w:color w:val="231F20"/>
          <w:spacing w:val="-4"/>
        </w:rPr>
        <w:t xml:space="preserve">say, </w:t>
      </w:r>
      <w:r>
        <w:rPr>
          <w:color w:val="231F20"/>
        </w:rPr>
        <w:t xml:space="preserve">“It has begun.” They </w:t>
      </w:r>
      <w:r>
        <w:rPr>
          <w:color w:val="231F20"/>
          <w:spacing w:val="-3"/>
        </w:rPr>
        <w:t xml:space="preserve">don’t </w:t>
      </w:r>
      <w:r>
        <w:rPr>
          <w:color w:val="231F20"/>
        </w:rPr>
        <w:t xml:space="preserve">pose stupid questions like, “Why right now precisely?” They have already traveled a thousand roads controlled by the authorities and managers—they’ve done the waiting room waltz; they remember the times when it worked and the times when it didn’t. And in conversations with sympathetic teachers, who are assigned to the remedial schools that </w:t>
      </w:r>
      <w:r>
        <w:rPr>
          <w:color w:val="231F20"/>
          <w:spacing w:val="-3"/>
        </w:rPr>
        <w:t xml:space="preserve">don’t </w:t>
      </w:r>
      <w:r>
        <w:rPr>
          <w:color w:val="231F20"/>
        </w:rPr>
        <w:t xml:space="preserve">change anything, and the kindergartens that lack the necessary spaces—they </w:t>
      </w:r>
      <w:r>
        <w:rPr>
          <w:color w:val="231F20"/>
          <w:spacing w:val="-3"/>
        </w:rPr>
        <w:t xml:space="preserve">don’t </w:t>
      </w:r>
      <w:r>
        <w:rPr>
          <w:color w:val="231F20"/>
        </w:rPr>
        <w:t>ask why now—damn</w:t>
      </w:r>
      <w:r>
        <w:rPr>
          <w:color w:val="231F20"/>
          <w:spacing w:val="28"/>
        </w:rPr>
        <w:t xml:space="preserve"> </w:t>
      </w:r>
      <w:r>
        <w:rPr>
          <w:color w:val="231F20"/>
        </w:rPr>
        <w:t>it!</w:t>
      </w:r>
    </w:p>
    <w:p w14:paraId="5F425F47" w14:textId="77777777" w:rsidR="002653E8" w:rsidRDefault="003115E3">
      <w:pPr>
        <w:pStyle w:val="a3"/>
        <w:spacing w:line="264" w:lineRule="auto"/>
        <w:ind w:left="1147" w:right="1326" w:firstLine="210"/>
        <w:jc w:val="both"/>
      </w:pPr>
      <w:r>
        <w:rPr>
          <w:color w:val="231F20"/>
        </w:rPr>
        <w:t>They certainly won’t listen to you, if you aren’t even able to distribute your newspaper before it is confiscated. Because you don’t need to shake up the left-wing shit eaters, but rather the objective left, you have to construct a distribution network that is out of the reach of the pigs.</w:t>
      </w:r>
    </w:p>
    <w:p w14:paraId="104E158A" w14:textId="77777777" w:rsidR="002653E8" w:rsidRDefault="003115E3">
      <w:pPr>
        <w:pStyle w:val="a3"/>
        <w:spacing w:line="264" w:lineRule="auto"/>
        <w:ind w:left="1147" w:right="1326" w:firstLine="210"/>
        <w:jc w:val="both"/>
      </w:pPr>
      <w:r>
        <w:rPr>
          <w:color w:val="231F20"/>
          <w:spacing w:val="-3"/>
        </w:rPr>
        <w:t xml:space="preserve">Don’t </w:t>
      </w:r>
      <w:r>
        <w:rPr>
          <w:color w:val="231F20"/>
        </w:rPr>
        <w:t xml:space="preserve">complain that </w:t>
      </w:r>
      <w:r>
        <w:rPr>
          <w:color w:val="231F20"/>
          <w:spacing w:val="-3"/>
        </w:rPr>
        <w:t xml:space="preserve">it’s </w:t>
      </w:r>
      <w:r>
        <w:rPr>
          <w:color w:val="231F20"/>
        </w:rPr>
        <w:t xml:space="preserve">too hard. The action to free Baader was hardly a walk in the park. </w:t>
      </w:r>
      <w:r>
        <w:rPr>
          <w:color w:val="231F20"/>
          <w:spacing w:val="1"/>
        </w:rPr>
        <w:t xml:space="preserve">If </w:t>
      </w:r>
      <w:r>
        <w:rPr>
          <w:color w:val="231F20"/>
        </w:rPr>
        <w:t xml:space="preserve">you understand what’s going on (and your comments indicate that you do understand, so </w:t>
      </w:r>
      <w:r>
        <w:rPr>
          <w:color w:val="231F20"/>
          <w:spacing w:val="-3"/>
        </w:rPr>
        <w:t xml:space="preserve">it’s </w:t>
      </w:r>
      <w:r>
        <w:rPr>
          <w:color w:val="231F20"/>
        </w:rPr>
        <w:t>opportunism to say that the bullet also hit you in the stomach</w:t>
      </w:r>
      <w:r>
        <w:rPr>
          <w:color w:val="231F20"/>
          <w:position w:val="7"/>
          <w:sz w:val="11"/>
        </w:rPr>
        <w:t>1</w:t>
      </w:r>
      <w:r>
        <w:rPr>
          <w:color w:val="231F20"/>
        </w:rPr>
        <w:t xml:space="preserve">—you assholes), if you understand anything, you need to find a better </w:t>
      </w:r>
      <w:r>
        <w:rPr>
          <w:color w:val="231F20"/>
          <w:spacing w:val="-2"/>
        </w:rPr>
        <w:t xml:space="preserve">way </w:t>
      </w:r>
      <w:r>
        <w:rPr>
          <w:color w:val="231F20"/>
        </w:rPr>
        <w:t xml:space="preserve">to organize your distribution. And we have no more to say to you about our methods than we do about our plans for action—you shitheads! As long as you allow yourselves to brought in by the cops, you aren’t in a position to be giving anyone else advice about how to </w:t>
      </w:r>
      <w:r>
        <w:rPr>
          <w:color w:val="231F20"/>
          <w:spacing w:val="-3"/>
        </w:rPr>
        <w:t xml:space="preserve">avoid </w:t>
      </w:r>
      <w:r>
        <w:rPr>
          <w:color w:val="231F20"/>
        </w:rPr>
        <w:t>being brought in by the cops. What do you mean by adventurism? That one only has oneself to blame for informers.</w:t>
      </w:r>
      <w:r>
        <w:rPr>
          <w:color w:val="231F20"/>
          <w:spacing w:val="21"/>
        </w:rPr>
        <w:t xml:space="preserve"> </w:t>
      </w:r>
      <w:r>
        <w:rPr>
          <w:color w:val="231F20"/>
        </w:rPr>
        <w:t>Whatever.</w:t>
      </w:r>
    </w:p>
    <w:p w14:paraId="1E9D1472" w14:textId="77777777" w:rsidR="002653E8" w:rsidRDefault="003115E3">
      <w:pPr>
        <w:pStyle w:val="a3"/>
        <w:spacing w:line="264" w:lineRule="auto"/>
        <w:ind w:left="1147" w:right="1325" w:firstLine="210"/>
        <w:jc w:val="both"/>
      </w:pPr>
      <w:r>
        <w:rPr>
          <w:color w:val="231F20"/>
        </w:rPr>
        <w:t>What does it mean to bring conflicts to a head? It means not allowing oneself to be taken out of action.</w:t>
      </w:r>
    </w:p>
    <w:p w14:paraId="0B260D91" w14:textId="77777777" w:rsidR="002653E8" w:rsidRDefault="003115E3">
      <w:pPr>
        <w:pStyle w:val="a3"/>
        <w:spacing w:line="264" w:lineRule="auto"/>
        <w:ind w:left="1147" w:right="1326" w:firstLine="210"/>
        <w:jc w:val="both"/>
      </w:pPr>
      <w:r>
        <w:rPr>
          <w:color w:val="231F20"/>
        </w:rPr>
        <w:t xml:space="preserve">That’s why </w:t>
      </w:r>
      <w:r>
        <w:rPr>
          <w:color w:val="231F20"/>
          <w:spacing w:val="-3"/>
        </w:rPr>
        <w:t xml:space="preserve">we’re </w:t>
      </w:r>
      <w:r>
        <w:rPr>
          <w:color w:val="231F20"/>
        </w:rPr>
        <w:t xml:space="preserve">building the red </w:t>
      </w:r>
      <w:r>
        <w:rPr>
          <w:color w:val="231F20"/>
          <w:spacing w:val="-3"/>
        </w:rPr>
        <w:t xml:space="preserve">army. </w:t>
      </w:r>
      <w:r>
        <w:rPr>
          <w:color w:val="231F20"/>
        </w:rPr>
        <w:t>Behind the parents stand the teachers, the youth authorities, and the police. Behind the supervisor stands the boss, the personnel office, the workers compensation board, the welfare office, and the police. Behind the custodian stands the manager, the landlord, the bailiff, the eviction notice, and the police. With this</w:t>
      </w:r>
      <w:r>
        <w:rPr>
          <w:color w:val="231F20"/>
          <w:spacing w:val="-7"/>
        </w:rPr>
        <w:t xml:space="preserve"> </w:t>
      </w:r>
      <w:r>
        <w:rPr>
          <w:color w:val="231F20"/>
        </w:rPr>
        <w:t>comes</w:t>
      </w:r>
      <w:r>
        <w:rPr>
          <w:color w:val="231F20"/>
          <w:spacing w:val="-7"/>
        </w:rPr>
        <w:t xml:space="preserve"> </w:t>
      </w:r>
      <w:r>
        <w:rPr>
          <w:color w:val="231F20"/>
        </w:rPr>
        <w:t>the</w:t>
      </w:r>
      <w:r>
        <w:rPr>
          <w:color w:val="231F20"/>
          <w:spacing w:val="-7"/>
        </w:rPr>
        <w:t xml:space="preserve"> </w:t>
      </w:r>
      <w:r>
        <w:rPr>
          <w:color w:val="231F20"/>
          <w:spacing w:val="-2"/>
        </w:rPr>
        <w:t>way</w:t>
      </w:r>
      <w:r>
        <w:rPr>
          <w:color w:val="231F20"/>
          <w:spacing w:val="-7"/>
        </w:rPr>
        <w:t xml:space="preserve"> </w:t>
      </w:r>
      <w:r>
        <w:rPr>
          <w:color w:val="231F20"/>
        </w:rPr>
        <w:t>that</w:t>
      </w:r>
      <w:r>
        <w:rPr>
          <w:color w:val="231F20"/>
          <w:spacing w:val="-7"/>
        </w:rPr>
        <w:t xml:space="preserve"> </w:t>
      </w:r>
      <w:r>
        <w:rPr>
          <w:color w:val="231F20"/>
        </w:rPr>
        <w:t>the</w:t>
      </w:r>
      <w:r>
        <w:rPr>
          <w:color w:val="231F20"/>
          <w:spacing w:val="-7"/>
        </w:rPr>
        <w:t xml:space="preserve"> </w:t>
      </w:r>
      <w:r>
        <w:rPr>
          <w:color w:val="231F20"/>
        </w:rPr>
        <w:t>pigs</w:t>
      </w:r>
      <w:r>
        <w:rPr>
          <w:color w:val="231F20"/>
          <w:spacing w:val="-7"/>
        </w:rPr>
        <w:t xml:space="preserve"> </w:t>
      </w:r>
      <w:r>
        <w:rPr>
          <w:color w:val="231F20"/>
        </w:rPr>
        <w:t>use</w:t>
      </w:r>
      <w:r>
        <w:rPr>
          <w:color w:val="231F20"/>
          <w:spacing w:val="-7"/>
        </w:rPr>
        <w:t xml:space="preserve"> </w:t>
      </w:r>
      <w:r>
        <w:rPr>
          <w:color w:val="231F20"/>
        </w:rPr>
        <w:t>censorship,</w:t>
      </w:r>
      <w:r>
        <w:rPr>
          <w:color w:val="231F20"/>
          <w:spacing w:val="-7"/>
        </w:rPr>
        <w:t xml:space="preserve"> </w:t>
      </w:r>
      <w:r>
        <w:rPr>
          <w:color w:val="231F20"/>
        </w:rPr>
        <w:t>layoffs,</w:t>
      </w:r>
      <w:r>
        <w:rPr>
          <w:color w:val="231F20"/>
          <w:spacing w:val="-7"/>
        </w:rPr>
        <w:t xml:space="preserve"> </w:t>
      </w:r>
      <w:r>
        <w:rPr>
          <w:color w:val="231F20"/>
        </w:rPr>
        <w:t>dismissals,</w:t>
      </w:r>
      <w:r>
        <w:rPr>
          <w:color w:val="231F20"/>
          <w:spacing w:val="-7"/>
        </w:rPr>
        <w:t xml:space="preserve"> </w:t>
      </w:r>
      <w:r>
        <w:rPr>
          <w:color w:val="231F20"/>
        </w:rPr>
        <w:t>along with bailiff’s seals and billy clubs. Obviously, they reach for their service revolvers, their teargas, their grenades, and their semi-automatic weapons;</w:t>
      </w:r>
      <w:r>
        <w:rPr>
          <w:color w:val="231F20"/>
          <w:spacing w:val="15"/>
        </w:rPr>
        <w:t xml:space="preserve"> </w:t>
      </w:r>
      <w:r>
        <w:rPr>
          <w:color w:val="231F20"/>
        </w:rPr>
        <w:t>obviously,</w:t>
      </w:r>
      <w:r>
        <w:rPr>
          <w:color w:val="231F20"/>
          <w:spacing w:val="15"/>
        </w:rPr>
        <w:t xml:space="preserve"> </w:t>
      </w:r>
      <w:r>
        <w:rPr>
          <w:color w:val="231F20"/>
        </w:rPr>
        <w:t>they</w:t>
      </w:r>
      <w:r>
        <w:rPr>
          <w:color w:val="231F20"/>
          <w:spacing w:val="15"/>
        </w:rPr>
        <w:t xml:space="preserve"> </w:t>
      </w:r>
      <w:r>
        <w:rPr>
          <w:color w:val="231F20"/>
        </w:rPr>
        <w:t>escalate,</w:t>
      </w:r>
      <w:r>
        <w:rPr>
          <w:color w:val="231F20"/>
          <w:spacing w:val="15"/>
        </w:rPr>
        <w:t xml:space="preserve"> </w:t>
      </w:r>
      <w:r>
        <w:rPr>
          <w:color w:val="231F20"/>
        </w:rPr>
        <w:t>if</w:t>
      </w:r>
      <w:r>
        <w:rPr>
          <w:color w:val="231F20"/>
          <w:spacing w:val="15"/>
        </w:rPr>
        <w:t xml:space="preserve"> </w:t>
      </w:r>
      <w:r>
        <w:rPr>
          <w:color w:val="231F20"/>
        </w:rPr>
        <w:t>nothing</w:t>
      </w:r>
      <w:r>
        <w:rPr>
          <w:color w:val="231F20"/>
          <w:spacing w:val="15"/>
        </w:rPr>
        <w:t xml:space="preserve"> </w:t>
      </w:r>
      <w:r>
        <w:rPr>
          <w:color w:val="231F20"/>
        </w:rPr>
        <w:t>else</w:t>
      </w:r>
      <w:r>
        <w:rPr>
          <w:color w:val="231F20"/>
          <w:spacing w:val="15"/>
        </w:rPr>
        <w:t xml:space="preserve"> </w:t>
      </w:r>
      <w:r>
        <w:rPr>
          <w:color w:val="231F20"/>
        </w:rPr>
        <w:t>does</w:t>
      </w:r>
      <w:r>
        <w:rPr>
          <w:color w:val="231F20"/>
          <w:spacing w:val="15"/>
        </w:rPr>
        <w:t xml:space="preserve"> </w:t>
      </w:r>
      <w:r>
        <w:rPr>
          <w:color w:val="231F20"/>
        </w:rPr>
        <w:t>the</w:t>
      </w:r>
      <w:r>
        <w:rPr>
          <w:color w:val="231F20"/>
          <w:spacing w:val="15"/>
        </w:rPr>
        <w:t xml:space="preserve"> </w:t>
      </w:r>
      <w:r>
        <w:rPr>
          <w:color w:val="231F20"/>
        </w:rPr>
        <w:t>trick.</w:t>
      </w:r>
      <w:r>
        <w:rPr>
          <w:color w:val="231F20"/>
          <w:position w:val="7"/>
          <w:sz w:val="11"/>
        </w:rPr>
        <w:t>2</w:t>
      </w:r>
      <w:r>
        <w:rPr>
          <w:color w:val="231F20"/>
          <w:spacing w:val="10"/>
          <w:position w:val="7"/>
          <w:sz w:val="11"/>
        </w:rPr>
        <w:t xml:space="preserve"> </w:t>
      </w:r>
      <w:r>
        <w:rPr>
          <w:color w:val="231F20"/>
        </w:rPr>
        <w:t>Obviously,</w:t>
      </w:r>
    </w:p>
    <w:p w14:paraId="4DE33756" w14:textId="77777777" w:rsidR="002653E8" w:rsidRDefault="00000000">
      <w:pPr>
        <w:pStyle w:val="a3"/>
        <w:spacing w:before="8"/>
        <w:rPr>
          <w:sz w:val="11"/>
        </w:rPr>
      </w:pPr>
      <w:r>
        <w:rPr>
          <w:noProof w:val="0"/>
        </w:rPr>
        <w:pict w14:anchorId="171E4FB8">
          <v:line id="_x0000_s2619" style="position:absolute;z-index:3256;mso-wrap-distance-left:0;mso-wrap-distance-right:0;mso-position-horizontal-relative:page" from="57.4pt,9.05pt" to="129.4pt,9.05pt" strokecolor="#231f20" strokeweight=".5pt">
            <w10:wrap type="topAndBottom" anchorx="page"/>
          </v:line>
        </w:pict>
      </w:r>
    </w:p>
    <w:p w14:paraId="20CEB8E8" w14:textId="77777777" w:rsidR="002653E8" w:rsidRDefault="003115E3">
      <w:pPr>
        <w:pStyle w:val="a4"/>
        <w:numPr>
          <w:ilvl w:val="0"/>
          <w:numId w:val="165"/>
        </w:numPr>
        <w:tabs>
          <w:tab w:val="left" w:pos="1287"/>
        </w:tabs>
        <w:spacing w:before="53" w:line="254" w:lineRule="auto"/>
        <w:ind w:right="1512" w:hanging="1"/>
        <w:jc w:val="both"/>
        <w:rPr>
          <w:sz w:val="16"/>
        </w:rPr>
      </w:pPr>
      <w:r>
        <w:rPr>
          <w:color w:val="231F20"/>
          <w:w w:val="105"/>
          <w:sz w:val="16"/>
        </w:rPr>
        <w:t xml:space="preserve">A reference to Georg Linke, the sixty-four-year-old librarian at the Institute for Social Studies who was shot during the action to free Baader. </w:t>
      </w:r>
      <w:r>
        <w:rPr>
          <w:color w:val="231F20"/>
          <w:spacing w:val="1"/>
          <w:w w:val="105"/>
          <w:sz w:val="16"/>
        </w:rPr>
        <w:t xml:space="preserve">This </w:t>
      </w:r>
      <w:r>
        <w:rPr>
          <w:color w:val="231F20"/>
          <w:w w:val="105"/>
          <w:sz w:val="16"/>
        </w:rPr>
        <w:t>shooting led to substantial criticism, even from otherwise sympathetic</w:t>
      </w:r>
      <w:r>
        <w:rPr>
          <w:color w:val="231F20"/>
          <w:spacing w:val="10"/>
          <w:w w:val="105"/>
          <w:sz w:val="16"/>
        </w:rPr>
        <w:t xml:space="preserve"> </w:t>
      </w:r>
      <w:r>
        <w:rPr>
          <w:color w:val="231F20"/>
          <w:w w:val="105"/>
          <w:sz w:val="16"/>
        </w:rPr>
        <w:t>leftists.</w:t>
      </w:r>
    </w:p>
    <w:p w14:paraId="35986DE1" w14:textId="77777777" w:rsidR="002653E8" w:rsidRDefault="003115E3">
      <w:pPr>
        <w:pStyle w:val="a4"/>
        <w:numPr>
          <w:ilvl w:val="0"/>
          <w:numId w:val="165"/>
        </w:numPr>
        <w:tabs>
          <w:tab w:val="left" w:pos="1287"/>
        </w:tabs>
        <w:spacing w:line="254" w:lineRule="auto"/>
        <w:ind w:right="1412" w:firstLine="0"/>
        <w:jc w:val="left"/>
        <w:rPr>
          <w:sz w:val="16"/>
        </w:rPr>
      </w:pPr>
      <w:r>
        <w:rPr>
          <w:color w:val="231F20"/>
          <w:w w:val="105"/>
          <w:sz w:val="16"/>
        </w:rPr>
        <w:t>A reference to the Hand Grenade Law passed shortly after Baader’s prison break, whereby police in West Berlin were equipped with hand grenades, semi-automatic revolvers, and submachine</w:t>
      </w:r>
      <w:r>
        <w:rPr>
          <w:color w:val="231F20"/>
          <w:spacing w:val="23"/>
          <w:w w:val="105"/>
          <w:sz w:val="16"/>
        </w:rPr>
        <w:t xml:space="preserve"> </w:t>
      </w:r>
      <w:r>
        <w:rPr>
          <w:color w:val="231F20"/>
          <w:w w:val="105"/>
          <w:sz w:val="16"/>
        </w:rPr>
        <w:t>guns.</w:t>
      </w:r>
    </w:p>
    <w:p w14:paraId="33BC2329" w14:textId="77777777" w:rsidR="002653E8" w:rsidRDefault="002653E8">
      <w:pPr>
        <w:spacing w:line="254" w:lineRule="auto"/>
        <w:rPr>
          <w:sz w:val="16"/>
        </w:rPr>
        <w:sectPr w:rsidR="002653E8">
          <w:footerReference w:type="even" r:id="rId75"/>
          <w:footerReference w:type="default" r:id="rId76"/>
          <w:pgSz w:w="8640" w:h="12960"/>
          <w:pgMar w:top="1060" w:right="0" w:bottom="1040" w:left="0" w:header="0" w:footer="850" w:gutter="0"/>
          <w:pgNumType w:start="80"/>
          <w:cols w:space="720"/>
        </w:sectPr>
      </w:pPr>
    </w:p>
    <w:p w14:paraId="539DAE3D" w14:textId="77777777" w:rsidR="002653E8" w:rsidRDefault="003115E3">
      <w:pPr>
        <w:pStyle w:val="a3"/>
        <w:spacing w:before="86" w:line="264" w:lineRule="auto"/>
        <w:ind w:left="1327" w:right="1145"/>
      </w:pPr>
      <w:r>
        <w:rPr>
          <w:color w:val="231F20"/>
        </w:rPr>
        <w:lastRenderedPageBreak/>
        <w:t>the GIs in Vietnam are trained in counterguerilla tactics and the Green Berets receive courses on torture. So what?</w:t>
      </w:r>
    </w:p>
    <w:p w14:paraId="63324BE6" w14:textId="77777777" w:rsidR="002653E8" w:rsidRDefault="003115E3">
      <w:pPr>
        <w:pStyle w:val="a3"/>
        <w:spacing w:line="264" w:lineRule="auto"/>
        <w:ind w:left="1327" w:right="1145" w:firstLine="209"/>
        <w:jc w:val="both"/>
      </w:pPr>
      <w:r>
        <w:rPr>
          <w:color w:val="231F20"/>
          <w:spacing w:val="-3"/>
        </w:rPr>
        <w:t xml:space="preserve">It’s </w:t>
      </w:r>
      <w:r>
        <w:rPr>
          <w:color w:val="231F20"/>
        </w:rPr>
        <w:t xml:space="preserve">clear that prison sentences for political activities have been made heavier. </w:t>
      </w:r>
      <w:r>
        <w:rPr>
          <w:color w:val="231F20"/>
          <w:spacing w:val="-7"/>
        </w:rPr>
        <w:t xml:space="preserve">you  </w:t>
      </w:r>
      <w:r>
        <w:rPr>
          <w:color w:val="231F20"/>
        </w:rPr>
        <w:t>must be clear that it is social democratic bullshit to act      as if imperialism—with all its Neubauers</w:t>
      </w:r>
      <w:r>
        <w:rPr>
          <w:color w:val="231F20"/>
          <w:position w:val="7"/>
          <w:sz w:val="11"/>
        </w:rPr>
        <w:t xml:space="preserve">3 </w:t>
      </w:r>
      <w:r>
        <w:rPr>
          <w:color w:val="231F20"/>
        </w:rPr>
        <w:t>and Westmorelands,</w:t>
      </w:r>
      <w:r>
        <w:rPr>
          <w:color w:val="231F20"/>
          <w:position w:val="7"/>
          <w:sz w:val="11"/>
        </w:rPr>
        <w:t xml:space="preserve">4 </w:t>
      </w:r>
      <w:r>
        <w:rPr>
          <w:color w:val="231F20"/>
        </w:rPr>
        <w:t xml:space="preserve">with Bonn, the senate, </w:t>
      </w:r>
      <w:r>
        <w:rPr>
          <w:i/>
          <w:color w:val="231F20"/>
          <w:spacing w:val="2"/>
        </w:rPr>
        <w:t xml:space="preserve">Länder </w:t>
      </w:r>
      <w:r>
        <w:rPr>
          <w:color w:val="231F20"/>
        </w:rPr>
        <w:t xml:space="preserve">youth offices, borough councils, the whole pig circus—should be allowed to subvert, investigate, ambush, intimidate, and suppress without a fight. </w:t>
      </w:r>
      <w:r>
        <w:rPr>
          <w:color w:val="231F20"/>
          <w:spacing w:val="1"/>
        </w:rPr>
        <w:t xml:space="preserve">Be </w:t>
      </w:r>
      <w:r>
        <w:rPr>
          <w:color w:val="231F20"/>
        </w:rPr>
        <w:t xml:space="preserve">absolutely clear that the revolution is no Easter March. The pigs will certainly escalate their means as far as possible, but no further than that. </w:t>
      </w:r>
      <w:r>
        <w:rPr>
          <w:color w:val="231F20"/>
          <w:spacing w:val="-8"/>
        </w:rPr>
        <w:t xml:space="preserve">To  </w:t>
      </w:r>
      <w:r>
        <w:rPr>
          <w:color w:val="231F20"/>
        </w:rPr>
        <w:t xml:space="preserve">bring the conflict to a head, we   are building the red </w:t>
      </w:r>
      <w:r>
        <w:rPr>
          <w:color w:val="231F20"/>
          <w:spacing w:val="-3"/>
        </w:rPr>
        <w:t>army.</w:t>
      </w:r>
    </w:p>
    <w:p w14:paraId="1B96AC6B" w14:textId="77777777" w:rsidR="002653E8" w:rsidRDefault="003115E3">
      <w:pPr>
        <w:pStyle w:val="a3"/>
        <w:spacing w:line="264" w:lineRule="auto"/>
        <w:ind w:left="1327" w:right="1145" w:firstLine="210"/>
        <w:jc w:val="both"/>
      </w:pPr>
      <w:r>
        <w:rPr>
          <w:color w:val="231F20"/>
        </w:rPr>
        <w:t>If the red army is not simultaneously built, then all conflict, all the political work carried out in the factories and in Wedding</w:t>
      </w:r>
      <w:r>
        <w:rPr>
          <w:color w:val="231F20"/>
          <w:position w:val="7"/>
          <w:sz w:val="11"/>
        </w:rPr>
        <w:t xml:space="preserve">5 </w:t>
      </w:r>
      <w:r>
        <w:rPr>
          <w:color w:val="231F20"/>
        </w:rPr>
        <w:t>and in the Märkisch neighborhood</w:t>
      </w:r>
      <w:r>
        <w:rPr>
          <w:color w:val="231F20"/>
          <w:position w:val="7"/>
          <w:sz w:val="11"/>
        </w:rPr>
        <w:t xml:space="preserve">6 </w:t>
      </w:r>
      <w:r>
        <w:rPr>
          <w:color w:val="231F20"/>
        </w:rPr>
        <w:t>and at Plötze</w:t>
      </w:r>
      <w:r>
        <w:rPr>
          <w:color w:val="231F20"/>
          <w:position w:val="7"/>
          <w:sz w:val="11"/>
        </w:rPr>
        <w:t xml:space="preserve">7 </w:t>
      </w:r>
      <w:r>
        <w:rPr>
          <w:color w:val="231F20"/>
        </w:rPr>
        <w:t>and in the courtrooms is reduced to reformism; which is to say, you end up with improved discipline, improved intimidation, and improved exploitation. That destroys the people, rather than destroying what destroys the people! If we don’t build the red army, the pigs can do what they want, the pigs can continue to incarcerate, lay off, impound, seize children, intimidate, shoot, and dominate. To bring the conflict to a head means that they are no longer able to do what they want, but rather must do what we want them to do.</w:t>
      </w:r>
    </w:p>
    <w:p w14:paraId="7E6153FE" w14:textId="77777777" w:rsidR="002653E8" w:rsidRDefault="003115E3">
      <w:pPr>
        <w:pStyle w:val="a3"/>
        <w:spacing w:line="264" w:lineRule="auto"/>
        <w:ind w:left="1327" w:right="1146" w:firstLine="210"/>
        <w:jc w:val="both"/>
      </w:pPr>
      <w:r>
        <w:rPr>
          <w:color w:val="231F20"/>
          <w:spacing w:val="-7"/>
        </w:rPr>
        <w:t xml:space="preserve">you </w:t>
      </w:r>
      <w:r>
        <w:rPr>
          <w:color w:val="231F20"/>
        </w:rPr>
        <w:t xml:space="preserve">must understand that those who have nothing to gain from the exploitation of the Third </w:t>
      </w:r>
      <w:r>
        <w:rPr>
          <w:color w:val="231F20"/>
          <w:spacing w:val="-3"/>
        </w:rPr>
        <w:t xml:space="preserve">World, </w:t>
      </w:r>
      <w:r>
        <w:rPr>
          <w:color w:val="231F20"/>
        </w:rPr>
        <w:t>of Persian oil, of Bolivian bananas, of South African gold, have no reason to identify with the exploiter. They can grasp that what is beginning to happen here has been going on for   a long time in Vietnam, in Palestine, in Guatemala, in Oakland and  Watts,</w:t>
      </w:r>
      <w:r>
        <w:rPr>
          <w:color w:val="231F20"/>
          <w:spacing w:val="17"/>
        </w:rPr>
        <w:t xml:space="preserve"> </w:t>
      </w:r>
      <w:r>
        <w:rPr>
          <w:color w:val="231F20"/>
        </w:rPr>
        <w:t>in</w:t>
      </w:r>
      <w:r>
        <w:rPr>
          <w:color w:val="231F20"/>
          <w:spacing w:val="17"/>
        </w:rPr>
        <w:t xml:space="preserve"> </w:t>
      </w:r>
      <w:r>
        <w:rPr>
          <w:color w:val="231F20"/>
        </w:rPr>
        <w:t>Cuba</w:t>
      </w:r>
      <w:r>
        <w:rPr>
          <w:color w:val="231F20"/>
          <w:spacing w:val="17"/>
        </w:rPr>
        <w:t xml:space="preserve"> </w:t>
      </w:r>
      <w:r>
        <w:rPr>
          <w:color w:val="231F20"/>
        </w:rPr>
        <w:t>and</w:t>
      </w:r>
      <w:r>
        <w:rPr>
          <w:color w:val="231F20"/>
          <w:spacing w:val="17"/>
        </w:rPr>
        <w:t xml:space="preserve"> </w:t>
      </w:r>
      <w:r>
        <w:rPr>
          <w:color w:val="231F20"/>
        </w:rPr>
        <w:t>China,</w:t>
      </w:r>
      <w:r>
        <w:rPr>
          <w:color w:val="231F20"/>
          <w:spacing w:val="17"/>
        </w:rPr>
        <w:t xml:space="preserve"> </w:t>
      </w:r>
      <w:r>
        <w:rPr>
          <w:color w:val="231F20"/>
        </w:rPr>
        <w:t>in</w:t>
      </w:r>
      <w:r>
        <w:rPr>
          <w:color w:val="231F20"/>
          <w:spacing w:val="17"/>
        </w:rPr>
        <w:t xml:space="preserve"> </w:t>
      </w:r>
      <w:r>
        <w:rPr>
          <w:color w:val="231F20"/>
        </w:rPr>
        <w:t>Angola</w:t>
      </w:r>
      <w:r>
        <w:rPr>
          <w:color w:val="231F20"/>
          <w:spacing w:val="17"/>
        </w:rPr>
        <w:t xml:space="preserve"> </w:t>
      </w:r>
      <w:r>
        <w:rPr>
          <w:color w:val="231F20"/>
        </w:rPr>
        <w:t>and</w:t>
      </w:r>
      <w:r>
        <w:rPr>
          <w:color w:val="231F20"/>
          <w:spacing w:val="17"/>
        </w:rPr>
        <w:t xml:space="preserve"> </w:t>
      </w:r>
      <w:r>
        <w:rPr>
          <w:color w:val="231F20"/>
        </w:rPr>
        <w:t>in</w:t>
      </w:r>
      <w:r>
        <w:rPr>
          <w:color w:val="231F20"/>
          <w:spacing w:val="17"/>
        </w:rPr>
        <w:t xml:space="preserve"> </w:t>
      </w:r>
      <w:r>
        <w:rPr>
          <w:color w:val="231F20"/>
        </w:rPr>
        <w:t>New</w:t>
      </w:r>
      <w:r>
        <w:rPr>
          <w:color w:val="231F20"/>
          <w:spacing w:val="17"/>
        </w:rPr>
        <w:t xml:space="preserve"> </w:t>
      </w:r>
      <w:r>
        <w:rPr>
          <w:color w:val="231F20"/>
          <w:spacing w:val="-4"/>
        </w:rPr>
        <w:t>york.</w:t>
      </w:r>
    </w:p>
    <w:p w14:paraId="76E03048" w14:textId="77777777" w:rsidR="002653E8" w:rsidRDefault="003115E3">
      <w:pPr>
        <w:pStyle w:val="a3"/>
        <w:spacing w:line="264" w:lineRule="auto"/>
        <w:ind w:left="1327" w:right="1147" w:firstLine="210"/>
        <w:jc w:val="both"/>
      </w:pPr>
      <w:r>
        <w:rPr>
          <w:color w:val="231F20"/>
        </w:rPr>
        <w:t>They will understand, if you explain it to them, that the action to liberate Baader was not an isolated action, that it never was, but that it is</w:t>
      </w:r>
      <w:r>
        <w:rPr>
          <w:color w:val="231F20"/>
          <w:spacing w:val="12"/>
        </w:rPr>
        <w:t xml:space="preserve"> </w:t>
      </w:r>
      <w:r>
        <w:rPr>
          <w:color w:val="231F20"/>
        </w:rPr>
        <w:t>just</w:t>
      </w:r>
      <w:r>
        <w:rPr>
          <w:color w:val="231F20"/>
          <w:spacing w:val="12"/>
        </w:rPr>
        <w:t xml:space="preserve"> </w:t>
      </w:r>
      <w:r>
        <w:rPr>
          <w:color w:val="231F20"/>
        </w:rPr>
        <w:t>the</w:t>
      </w:r>
      <w:r>
        <w:rPr>
          <w:color w:val="231F20"/>
          <w:spacing w:val="12"/>
        </w:rPr>
        <w:t xml:space="preserve"> </w:t>
      </w:r>
      <w:r>
        <w:rPr>
          <w:color w:val="231F20"/>
        </w:rPr>
        <w:t>first</w:t>
      </w:r>
      <w:r>
        <w:rPr>
          <w:color w:val="231F20"/>
          <w:spacing w:val="12"/>
        </w:rPr>
        <w:t xml:space="preserve"> </w:t>
      </w:r>
      <w:r>
        <w:rPr>
          <w:color w:val="231F20"/>
        </w:rPr>
        <w:t>of</w:t>
      </w:r>
      <w:r>
        <w:rPr>
          <w:color w:val="231F20"/>
          <w:spacing w:val="12"/>
        </w:rPr>
        <w:t xml:space="preserve"> </w:t>
      </w:r>
      <w:r>
        <w:rPr>
          <w:color w:val="231F20"/>
        </w:rPr>
        <w:t>its</w:t>
      </w:r>
      <w:r>
        <w:rPr>
          <w:color w:val="231F20"/>
          <w:spacing w:val="12"/>
        </w:rPr>
        <w:t xml:space="preserve"> </w:t>
      </w:r>
      <w:r>
        <w:rPr>
          <w:color w:val="231F20"/>
        </w:rPr>
        <w:t>kind</w:t>
      </w:r>
      <w:r>
        <w:rPr>
          <w:color w:val="231F20"/>
          <w:spacing w:val="12"/>
        </w:rPr>
        <w:t xml:space="preserve"> </w:t>
      </w:r>
      <w:r>
        <w:rPr>
          <w:color w:val="231F20"/>
        </w:rPr>
        <w:t>in</w:t>
      </w:r>
      <w:r>
        <w:rPr>
          <w:color w:val="231F20"/>
          <w:spacing w:val="12"/>
        </w:rPr>
        <w:t xml:space="preserve"> </w:t>
      </w:r>
      <w:r>
        <w:rPr>
          <w:color w:val="231F20"/>
        </w:rPr>
        <w:t>the</w:t>
      </w:r>
      <w:r>
        <w:rPr>
          <w:color w:val="231F20"/>
          <w:spacing w:val="13"/>
        </w:rPr>
        <w:t xml:space="preserve"> </w:t>
      </w:r>
      <w:r>
        <w:rPr>
          <w:color w:val="231F20"/>
        </w:rPr>
        <w:t>FRG.</w:t>
      </w:r>
      <w:r>
        <w:rPr>
          <w:color w:val="231F20"/>
          <w:spacing w:val="12"/>
        </w:rPr>
        <w:t xml:space="preserve"> </w:t>
      </w:r>
      <w:r>
        <w:rPr>
          <w:color w:val="231F20"/>
        </w:rPr>
        <w:t>Damn</w:t>
      </w:r>
      <w:r>
        <w:rPr>
          <w:color w:val="231F20"/>
          <w:spacing w:val="12"/>
        </w:rPr>
        <w:t xml:space="preserve"> </w:t>
      </w:r>
      <w:r>
        <w:rPr>
          <w:color w:val="231F20"/>
        </w:rPr>
        <w:t>it.</w:t>
      </w:r>
    </w:p>
    <w:p w14:paraId="11A9217C" w14:textId="77777777" w:rsidR="002653E8" w:rsidRDefault="00000000">
      <w:pPr>
        <w:pStyle w:val="a3"/>
        <w:spacing w:line="264" w:lineRule="auto"/>
        <w:ind w:left="1327" w:right="1146" w:firstLine="210"/>
        <w:jc w:val="both"/>
      </w:pPr>
      <w:r>
        <w:rPr>
          <w:noProof w:val="0"/>
        </w:rPr>
        <w:pict w14:anchorId="00E4F9EC">
          <v:line id="_x0000_s2618" style="position:absolute;left:0;text-align:left;z-index:3280;mso-wrap-distance-left:0;mso-wrap-distance-right:0;mso-position-horizontal-relative:page" from="66.4pt,33.45pt" to="138.4pt,33.45pt" strokecolor="#231f20" strokeweight=".5pt">
            <w10:wrap type="topAndBottom" anchorx="page"/>
          </v:line>
        </w:pict>
      </w:r>
      <w:r w:rsidR="003115E3">
        <w:rPr>
          <w:color w:val="231F20"/>
        </w:rPr>
        <w:t>Stop lounging around on the sofa in your recently-raided apartment counting up your love affairs and other petty details. Build an effective</w:t>
      </w:r>
    </w:p>
    <w:p w14:paraId="2076581B" w14:textId="77777777" w:rsidR="002653E8" w:rsidRDefault="003115E3">
      <w:pPr>
        <w:pStyle w:val="a4"/>
        <w:numPr>
          <w:ilvl w:val="0"/>
          <w:numId w:val="165"/>
        </w:numPr>
        <w:tabs>
          <w:tab w:val="left" w:pos="1467"/>
        </w:tabs>
        <w:spacing w:before="53" w:line="254" w:lineRule="auto"/>
        <w:ind w:left="1327" w:right="1403" w:firstLine="0"/>
        <w:jc w:val="left"/>
        <w:rPr>
          <w:sz w:val="16"/>
        </w:rPr>
      </w:pPr>
      <w:r>
        <w:rPr>
          <w:color w:val="231F20"/>
          <w:spacing w:val="1"/>
          <w:w w:val="105"/>
          <w:sz w:val="16"/>
        </w:rPr>
        <w:t xml:space="preserve">Kurt </w:t>
      </w:r>
      <w:r>
        <w:rPr>
          <w:color w:val="231F20"/>
          <w:w w:val="105"/>
          <w:sz w:val="16"/>
        </w:rPr>
        <w:t>Neubauer was a member of the SPD and the Berlin Senator for youth and Sports.</w:t>
      </w:r>
    </w:p>
    <w:p w14:paraId="771ED747" w14:textId="77777777" w:rsidR="002653E8" w:rsidRDefault="003115E3">
      <w:pPr>
        <w:pStyle w:val="a4"/>
        <w:numPr>
          <w:ilvl w:val="0"/>
          <w:numId w:val="165"/>
        </w:numPr>
        <w:tabs>
          <w:tab w:val="left" w:pos="1467"/>
        </w:tabs>
        <w:spacing w:line="254" w:lineRule="auto"/>
        <w:ind w:left="1327" w:right="1358" w:firstLine="0"/>
        <w:jc w:val="left"/>
        <w:rPr>
          <w:sz w:val="16"/>
        </w:rPr>
      </w:pPr>
      <w:r>
        <w:rPr>
          <w:color w:val="231F20"/>
          <w:w w:val="110"/>
          <w:sz w:val="16"/>
        </w:rPr>
        <w:t>General</w:t>
      </w:r>
      <w:r>
        <w:rPr>
          <w:color w:val="231F20"/>
          <w:spacing w:val="-5"/>
          <w:w w:val="110"/>
          <w:sz w:val="16"/>
        </w:rPr>
        <w:t xml:space="preserve"> </w:t>
      </w:r>
      <w:r>
        <w:rPr>
          <w:color w:val="231F20"/>
          <w:w w:val="110"/>
          <w:sz w:val="16"/>
        </w:rPr>
        <w:t>William</w:t>
      </w:r>
      <w:r>
        <w:rPr>
          <w:color w:val="231F20"/>
          <w:spacing w:val="-5"/>
          <w:w w:val="110"/>
          <w:sz w:val="16"/>
        </w:rPr>
        <w:t xml:space="preserve"> </w:t>
      </w:r>
      <w:r>
        <w:rPr>
          <w:color w:val="231F20"/>
          <w:w w:val="110"/>
          <w:sz w:val="16"/>
        </w:rPr>
        <w:t>Westmoreland</w:t>
      </w:r>
      <w:r>
        <w:rPr>
          <w:color w:val="231F20"/>
          <w:spacing w:val="-5"/>
          <w:w w:val="110"/>
          <w:sz w:val="16"/>
        </w:rPr>
        <w:t xml:space="preserve"> </w:t>
      </w:r>
      <w:r>
        <w:rPr>
          <w:color w:val="231F20"/>
          <w:w w:val="110"/>
          <w:sz w:val="16"/>
        </w:rPr>
        <w:t>was</w:t>
      </w:r>
      <w:r>
        <w:rPr>
          <w:color w:val="231F20"/>
          <w:spacing w:val="-5"/>
          <w:w w:val="110"/>
          <w:sz w:val="16"/>
        </w:rPr>
        <w:t xml:space="preserve"> </w:t>
      </w:r>
      <w:r>
        <w:rPr>
          <w:color w:val="231F20"/>
          <w:w w:val="110"/>
          <w:sz w:val="16"/>
        </w:rPr>
        <w:t>Commander</w:t>
      </w:r>
      <w:r>
        <w:rPr>
          <w:color w:val="231F20"/>
          <w:spacing w:val="-5"/>
          <w:w w:val="110"/>
          <w:sz w:val="16"/>
        </w:rPr>
        <w:t xml:space="preserve"> </w:t>
      </w:r>
      <w:r>
        <w:rPr>
          <w:color w:val="231F20"/>
          <w:w w:val="110"/>
          <w:sz w:val="16"/>
        </w:rPr>
        <w:t>of</w:t>
      </w:r>
      <w:r>
        <w:rPr>
          <w:color w:val="231F20"/>
          <w:spacing w:val="-5"/>
          <w:w w:val="110"/>
          <w:sz w:val="16"/>
        </w:rPr>
        <w:t xml:space="preserve"> </w:t>
      </w:r>
      <w:r>
        <w:rPr>
          <w:color w:val="231F20"/>
          <w:w w:val="110"/>
          <w:sz w:val="16"/>
        </w:rPr>
        <w:t>the</w:t>
      </w:r>
      <w:r>
        <w:rPr>
          <w:color w:val="231F20"/>
          <w:spacing w:val="-5"/>
          <w:w w:val="110"/>
          <w:sz w:val="16"/>
        </w:rPr>
        <w:t xml:space="preserve"> </w:t>
      </w:r>
      <w:r>
        <w:rPr>
          <w:color w:val="231F20"/>
          <w:spacing w:val="1"/>
          <w:w w:val="110"/>
          <w:sz w:val="16"/>
        </w:rPr>
        <w:t>U.S.</w:t>
      </w:r>
      <w:r>
        <w:rPr>
          <w:color w:val="231F20"/>
          <w:spacing w:val="-5"/>
          <w:w w:val="110"/>
          <w:sz w:val="16"/>
        </w:rPr>
        <w:t xml:space="preserve"> </w:t>
      </w:r>
      <w:r>
        <w:rPr>
          <w:color w:val="231F20"/>
          <w:w w:val="110"/>
          <w:sz w:val="16"/>
        </w:rPr>
        <w:t>troops</w:t>
      </w:r>
      <w:r>
        <w:rPr>
          <w:color w:val="231F20"/>
          <w:spacing w:val="-5"/>
          <w:w w:val="110"/>
          <w:sz w:val="16"/>
        </w:rPr>
        <w:t xml:space="preserve"> </w:t>
      </w:r>
      <w:r>
        <w:rPr>
          <w:color w:val="231F20"/>
          <w:w w:val="110"/>
          <w:sz w:val="16"/>
        </w:rPr>
        <w:t>in</w:t>
      </w:r>
      <w:r>
        <w:rPr>
          <w:color w:val="231F20"/>
          <w:spacing w:val="-5"/>
          <w:w w:val="110"/>
          <w:sz w:val="16"/>
        </w:rPr>
        <w:t xml:space="preserve"> </w:t>
      </w:r>
      <w:r>
        <w:rPr>
          <w:color w:val="231F20"/>
          <w:w w:val="110"/>
          <w:sz w:val="16"/>
        </w:rPr>
        <w:t>Vietnam from 1964 to 1968 and army Chief-of-Staff from 1968 to</w:t>
      </w:r>
      <w:r>
        <w:rPr>
          <w:color w:val="231F20"/>
          <w:spacing w:val="28"/>
          <w:w w:val="110"/>
          <w:sz w:val="16"/>
        </w:rPr>
        <w:t xml:space="preserve"> </w:t>
      </w:r>
      <w:r>
        <w:rPr>
          <w:color w:val="231F20"/>
          <w:w w:val="110"/>
          <w:sz w:val="16"/>
        </w:rPr>
        <w:t>1972.</w:t>
      </w:r>
    </w:p>
    <w:p w14:paraId="7535A5F7" w14:textId="77777777" w:rsidR="002653E8" w:rsidRDefault="003115E3">
      <w:pPr>
        <w:pStyle w:val="a4"/>
        <w:numPr>
          <w:ilvl w:val="0"/>
          <w:numId w:val="165"/>
        </w:numPr>
        <w:tabs>
          <w:tab w:val="left" w:pos="1467"/>
        </w:tabs>
        <w:spacing w:before="40"/>
        <w:ind w:left="1466"/>
        <w:jc w:val="left"/>
        <w:rPr>
          <w:sz w:val="16"/>
        </w:rPr>
      </w:pPr>
      <w:r>
        <w:rPr>
          <w:color w:val="231F20"/>
          <w:w w:val="105"/>
          <w:sz w:val="16"/>
        </w:rPr>
        <w:t>A neighborhood in West</w:t>
      </w:r>
      <w:r>
        <w:rPr>
          <w:color w:val="231F20"/>
          <w:spacing w:val="32"/>
          <w:w w:val="105"/>
          <w:sz w:val="16"/>
        </w:rPr>
        <w:t xml:space="preserve"> </w:t>
      </w:r>
      <w:r>
        <w:rPr>
          <w:color w:val="231F20"/>
          <w:w w:val="105"/>
          <w:sz w:val="16"/>
        </w:rPr>
        <w:t>Berlin.</w:t>
      </w:r>
    </w:p>
    <w:p w14:paraId="262CF995" w14:textId="77777777" w:rsidR="002653E8" w:rsidRDefault="003115E3">
      <w:pPr>
        <w:pStyle w:val="a4"/>
        <w:numPr>
          <w:ilvl w:val="0"/>
          <w:numId w:val="165"/>
        </w:numPr>
        <w:tabs>
          <w:tab w:val="left" w:pos="1467"/>
        </w:tabs>
        <w:spacing w:before="52" w:line="307" w:lineRule="auto"/>
        <w:ind w:left="1327" w:right="4304" w:firstLine="0"/>
        <w:jc w:val="left"/>
        <w:rPr>
          <w:sz w:val="16"/>
        </w:rPr>
      </w:pPr>
      <w:r>
        <w:rPr>
          <w:color w:val="231F20"/>
          <w:w w:val="105"/>
          <w:sz w:val="16"/>
        </w:rPr>
        <w:t>A working-class suburb of West Berlin. 7 The women’s prison at</w:t>
      </w:r>
      <w:r>
        <w:rPr>
          <w:color w:val="231F20"/>
          <w:spacing w:val="31"/>
          <w:w w:val="105"/>
          <w:sz w:val="16"/>
        </w:rPr>
        <w:t xml:space="preserve"> </w:t>
      </w:r>
      <w:r>
        <w:rPr>
          <w:color w:val="231F20"/>
          <w:w w:val="105"/>
          <w:sz w:val="16"/>
        </w:rPr>
        <w:t>Plötzensee.</w:t>
      </w:r>
    </w:p>
    <w:p w14:paraId="266F7E8E" w14:textId="77777777" w:rsidR="002653E8" w:rsidRDefault="002653E8">
      <w:pPr>
        <w:spacing w:line="307" w:lineRule="auto"/>
        <w:rPr>
          <w:sz w:val="16"/>
        </w:rPr>
        <w:sectPr w:rsidR="002653E8">
          <w:pgSz w:w="8640" w:h="12960"/>
          <w:pgMar w:top="1060" w:right="0" w:bottom="1040" w:left="0" w:header="0" w:footer="850" w:gutter="0"/>
          <w:cols w:space="720"/>
        </w:sectPr>
      </w:pPr>
    </w:p>
    <w:p w14:paraId="1E56D49F" w14:textId="77777777" w:rsidR="002653E8" w:rsidRDefault="003115E3">
      <w:pPr>
        <w:pStyle w:val="a3"/>
        <w:spacing w:before="86" w:line="264" w:lineRule="auto"/>
        <w:ind w:left="1147" w:right="1326"/>
        <w:jc w:val="both"/>
      </w:pPr>
      <w:r>
        <w:rPr>
          <w:color w:val="231F20"/>
        </w:rPr>
        <w:lastRenderedPageBreak/>
        <w:t xml:space="preserve">distribution system. Forget about the cowardly shits, the bootlickers, the social workers, those who only attempt to </w:t>
      </w:r>
      <w:r>
        <w:rPr>
          <w:color w:val="231F20"/>
          <w:spacing w:val="1"/>
        </w:rPr>
        <w:t xml:space="preserve">curry </w:t>
      </w:r>
      <w:r>
        <w:rPr>
          <w:color w:val="231F20"/>
          <w:spacing w:val="-3"/>
        </w:rPr>
        <w:t xml:space="preserve">favor, </w:t>
      </w:r>
      <w:r>
        <w:rPr>
          <w:color w:val="231F20"/>
        </w:rPr>
        <w:t xml:space="preserve">they are a lumpen mob. Figure out where the asylums are and the large families and the subproletariat and the women workers, those who are only waiting to give a kick in the teeth to those who deserve it. They will  take the lead. And </w:t>
      </w:r>
      <w:r>
        <w:rPr>
          <w:color w:val="231F20"/>
          <w:spacing w:val="-3"/>
        </w:rPr>
        <w:t xml:space="preserve">don’t </w:t>
      </w:r>
      <w:r>
        <w:rPr>
          <w:color w:val="231F20"/>
        </w:rPr>
        <w:t xml:space="preserve">let yourselves get caught. </w:t>
      </w:r>
      <w:r>
        <w:rPr>
          <w:color w:val="231F20"/>
          <w:spacing w:val="1"/>
        </w:rPr>
        <w:t xml:space="preserve">Learn </w:t>
      </w:r>
      <w:r>
        <w:rPr>
          <w:color w:val="231F20"/>
        </w:rPr>
        <w:t>from them how one</w:t>
      </w:r>
      <w:r>
        <w:rPr>
          <w:color w:val="231F20"/>
          <w:spacing w:val="11"/>
        </w:rPr>
        <w:t xml:space="preserve"> </w:t>
      </w:r>
      <w:r>
        <w:rPr>
          <w:color w:val="231F20"/>
        </w:rPr>
        <w:t>avoids</w:t>
      </w:r>
      <w:r>
        <w:rPr>
          <w:color w:val="231F20"/>
          <w:spacing w:val="11"/>
        </w:rPr>
        <w:t xml:space="preserve"> </w:t>
      </w:r>
      <w:r>
        <w:rPr>
          <w:color w:val="231F20"/>
        </w:rPr>
        <w:t>getting</w:t>
      </w:r>
      <w:r>
        <w:rPr>
          <w:color w:val="231F20"/>
          <w:spacing w:val="11"/>
        </w:rPr>
        <w:t xml:space="preserve"> </w:t>
      </w:r>
      <w:r>
        <w:rPr>
          <w:color w:val="231F20"/>
        </w:rPr>
        <w:t>caught—they</w:t>
      </w:r>
      <w:r>
        <w:rPr>
          <w:color w:val="231F20"/>
          <w:spacing w:val="11"/>
        </w:rPr>
        <w:t xml:space="preserve"> </w:t>
      </w:r>
      <w:r>
        <w:rPr>
          <w:color w:val="231F20"/>
        </w:rPr>
        <w:t>know</w:t>
      </w:r>
      <w:r>
        <w:rPr>
          <w:color w:val="231F20"/>
          <w:spacing w:val="11"/>
        </w:rPr>
        <w:t xml:space="preserve"> </w:t>
      </w:r>
      <w:r>
        <w:rPr>
          <w:color w:val="231F20"/>
        </w:rPr>
        <w:t>more</w:t>
      </w:r>
      <w:r>
        <w:rPr>
          <w:color w:val="231F20"/>
          <w:spacing w:val="11"/>
        </w:rPr>
        <w:t xml:space="preserve"> </w:t>
      </w:r>
      <w:r>
        <w:rPr>
          <w:color w:val="231F20"/>
        </w:rPr>
        <w:t>about</w:t>
      </w:r>
      <w:r>
        <w:rPr>
          <w:color w:val="231F20"/>
          <w:spacing w:val="11"/>
        </w:rPr>
        <w:t xml:space="preserve"> </w:t>
      </w:r>
      <w:r>
        <w:rPr>
          <w:color w:val="231F20"/>
        </w:rPr>
        <w:t>that</w:t>
      </w:r>
      <w:r>
        <w:rPr>
          <w:color w:val="231F20"/>
          <w:spacing w:val="11"/>
        </w:rPr>
        <w:t xml:space="preserve"> </w:t>
      </w:r>
      <w:r>
        <w:rPr>
          <w:color w:val="231F20"/>
        </w:rPr>
        <w:t>than</w:t>
      </w:r>
      <w:r>
        <w:rPr>
          <w:color w:val="231F20"/>
          <w:spacing w:val="11"/>
        </w:rPr>
        <w:t xml:space="preserve"> </w:t>
      </w:r>
      <w:r>
        <w:rPr>
          <w:color w:val="231F20"/>
        </w:rPr>
        <w:t>you.</w:t>
      </w:r>
    </w:p>
    <w:p w14:paraId="042792BC" w14:textId="77777777" w:rsidR="002653E8" w:rsidRDefault="003115E3">
      <w:pPr>
        <w:pStyle w:val="a3"/>
        <w:spacing w:before="120" w:line="261" w:lineRule="auto"/>
        <w:ind w:left="1147" w:right="4206"/>
      </w:pPr>
      <w:r>
        <w:rPr>
          <w:color w:val="231F20"/>
          <w:w w:val="115"/>
        </w:rPr>
        <w:t>DEVELOP THE CLASS STRUGGLE ORGANIZE THE PROLETARIAT START THE ARMED STRUGGLE BUILD THE RED ARMy!</w:t>
      </w:r>
    </w:p>
    <w:p w14:paraId="7D34E7E5" w14:textId="77777777" w:rsidR="002653E8" w:rsidRDefault="00C507A5">
      <w:pPr>
        <w:pStyle w:val="a3"/>
        <w:spacing w:before="130" w:line="261" w:lineRule="auto"/>
        <w:ind w:left="6144" w:right="1317" w:firstLine="678"/>
        <w:jc w:val="right"/>
      </w:pPr>
      <w:r>
        <w:rPr>
          <w:color w:val="231F20"/>
          <w:w w:val="110"/>
        </w:rPr>
        <w:t>red army faction</w:t>
      </w:r>
      <w:r w:rsidR="003115E3">
        <w:rPr>
          <w:color w:val="231F20"/>
          <w:w w:val="110"/>
        </w:rPr>
        <w:t xml:space="preserve"> June 5, 1970</w:t>
      </w:r>
    </w:p>
    <w:p w14:paraId="71B145D5" w14:textId="77777777" w:rsidR="002653E8" w:rsidRDefault="002653E8">
      <w:pPr>
        <w:pStyle w:val="a3"/>
      </w:pPr>
    </w:p>
    <w:p w14:paraId="38D0F025" w14:textId="77777777" w:rsidR="002653E8" w:rsidRDefault="002653E8">
      <w:pPr>
        <w:pStyle w:val="a3"/>
      </w:pPr>
    </w:p>
    <w:p w14:paraId="42998758" w14:textId="77777777" w:rsidR="002653E8" w:rsidRDefault="002653E8">
      <w:pPr>
        <w:pStyle w:val="a3"/>
      </w:pPr>
    </w:p>
    <w:p w14:paraId="16EA14E3" w14:textId="77777777" w:rsidR="002653E8" w:rsidRDefault="002653E8">
      <w:pPr>
        <w:pStyle w:val="a3"/>
      </w:pPr>
    </w:p>
    <w:p w14:paraId="2D2FFABE" w14:textId="77777777" w:rsidR="002653E8" w:rsidRDefault="002653E8">
      <w:pPr>
        <w:pStyle w:val="a3"/>
      </w:pPr>
    </w:p>
    <w:p w14:paraId="24B3204B" w14:textId="77777777" w:rsidR="002653E8" w:rsidRDefault="002653E8">
      <w:pPr>
        <w:pStyle w:val="a3"/>
      </w:pPr>
    </w:p>
    <w:p w14:paraId="06EAABDA" w14:textId="77777777" w:rsidR="002653E8" w:rsidRDefault="002653E8">
      <w:pPr>
        <w:pStyle w:val="a3"/>
      </w:pPr>
    </w:p>
    <w:p w14:paraId="73CF6C0F" w14:textId="77777777" w:rsidR="002653E8" w:rsidRDefault="002653E8">
      <w:pPr>
        <w:pStyle w:val="a3"/>
      </w:pPr>
    </w:p>
    <w:p w14:paraId="77717F8B" w14:textId="77777777" w:rsidR="002653E8" w:rsidRDefault="002653E8">
      <w:pPr>
        <w:pStyle w:val="a3"/>
      </w:pPr>
    </w:p>
    <w:p w14:paraId="583700B0" w14:textId="77777777" w:rsidR="002653E8" w:rsidRDefault="003115E3">
      <w:pPr>
        <w:pStyle w:val="a3"/>
        <w:spacing w:before="3"/>
        <w:rPr>
          <w:sz w:val="19"/>
        </w:rPr>
      </w:pPr>
      <w:r>
        <w:drawing>
          <wp:anchor distT="0" distB="0" distL="0" distR="0" simplePos="0" relativeHeight="3304" behindDoc="0" locked="0" layoutInCell="1" allowOverlap="1" wp14:anchorId="6B548F6D" wp14:editId="260F2763">
            <wp:simplePos x="0" y="0"/>
            <wp:positionH relativeFrom="page">
              <wp:posOffset>825370</wp:posOffset>
            </wp:positionH>
            <wp:positionV relativeFrom="paragraph">
              <wp:posOffset>168443</wp:posOffset>
            </wp:positionV>
            <wp:extent cx="3611965" cy="1432083"/>
            <wp:effectExtent l="0" t="0" r="0" b="0"/>
            <wp:wrapTopAndBottom/>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77" cstate="print"/>
                    <a:stretch>
                      <a:fillRect/>
                    </a:stretch>
                  </pic:blipFill>
                  <pic:spPr>
                    <a:xfrm>
                      <a:off x="0" y="0"/>
                      <a:ext cx="3611965" cy="1432083"/>
                    </a:xfrm>
                    <a:prstGeom prst="rect">
                      <a:avLst/>
                    </a:prstGeom>
                  </pic:spPr>
                </pic:pic>
              </a:graphicData>
            </a:graphic>
          </wp:anchor>
        </w:drawing>
      </w:r>
    </w:p>
    <w:p w14:paraId="51225041" w14:textId="77777777" w:rsidR="002653E8" w:rsidRDefault="002653E8">
      <w:pPr>
        <w:rPr>
          <w:sz w:val="19"/>
        </w:rPr>
        <w:sectPr w:rsidR="002653E8">
          <w:pgSz w:w="8640" w:h="12960"/>
          <w:pgMar w:top="1060" w:right="0" w:bottom="1040" w:left="0" w:header="0" w:footer="850" w:gutter="0"/>
          <w:cols w:space="720"/>
        </w:sectPr>
      </w:pPr>
    </w:p>
    <w:p w14:paraId="2C6DB22B" w14:textId="77777777" w:rsidR="002653E8" w:rsidRPr="00806DBC" w:rsidRDefault="003115E3">
      <w:pPr>
        <w:pStyle w:val="4"/>
        <w:ind w:left="2317"/>
        <w:rPr>
          <w:rFonts w:ascii="宋体" w:eastAsia="宋体" w:hAnsi="宋体" w:cs="宋体"/>
        </w:rPr>
      </w:pPr>
      <w:bookmarkStart w:id="41" w:name="The_Urban_Guerilla_Concept_(April_1971)_"/>
      <w:bookmarkStart w:id="42" w:name="_bookmark14"/>
      <w:bookmarkEnd w:id="41"/>
      <w:bookmarkEnd w:id="42"/>
      <w:r>
        <w:rPr>
          <w:color w:val="231F20"/>
        </w:rPr>
        <w:lastRenderedPageBreak/>
        <w:t>The Urban Guerilla</w:t>
      </w:r>
      <w:r>
        <w:rPr>
          <w:color w:val="231F20"/>
          <w:spacing w:val="53"/>
        </w:rPr>
        <w:t xml:space="preserve"> </w:t>
      </w:r>
      <w:r>
        <w:rPr>
          <w:color w:val="231F20"/>
        </w:rPr>
        <w:t>Concept</w:t>
      </w:r>
    </w:p>
    <w:p w14:paraId="0758EC53" w14:textId="77777777" w:rsidR="002653E8" w:rsidRDefault="002653E8">
      <w:pPr>
        <w:pStyle w:val="a3"/>
        <w:spacing w:before="2"/>
        <w:rPr>
          <w:rFonts w:ascii="Bookman Old Style"/>
          <w:sz w:val="31"/>
        </w:rPr>
      </w:pPr>
    </w:p>
    <w:p w14:paraId="796ED150" w14:textId="77777777" w:rsidR="002653E8" w:rsidRDefault="003115E3">
      <w:pPr>
        <w:ind w:left="1747"/>
        <w:rPr>
          <w:i/>
          <w:sz w:val="19"/>
        </w:rPr>
      </w:pPr>
      <w:r>
        <w:rPr>
          <w:i/>
          <w:color w:val="231F20"/>
          <w:sz w:val="19"/>
        </w:rPr>
        <w:t>We must draw a clear line between ourselves and the enemy.</w:t>
      </w:r>
    </w:p>
    <w:p w14:paraId="2B60EDDD" w14:textId="77777777" w:rsidR="002653E8" w:rsidRDefault="003115E3">
      <w:pPr>
        <w:spacing w:before="73"/>
        <w:ind w:left="6475"/>
        <w:rPr>
          <w:sz w:val="19"/>
        </w:rPr>
      </w:pPr>
      <w:r>
        <w:rPr>
          <w:color w:val="231F20"/>
          <w:w w:val="110"/>
          <w:sz w:val="19"/>
        </w:rPr>
        <w:t>Mao</w:t>
      </w:r>
    </w:p>
    <w:p w14:paraId="4091FE3E" w14:textId="77777777" w:rsidR="002653E8" w:rsidRDefault="002653E8">
      <w:pPr>
        <w:pStyle w:val="a3"/>
        <w:spacing w:before="4"/>
        <w:rPr>
          <w:sz w:val="23"/>
        </w:rPr>
      </w:pPr>
    </w:p>
    <w:p w14:paraId="3BD36AE3" w14:textId="77777777" w:rsidR="002653E8" w:rsidRDefault="003115E3">
      <w:pPr>
        <w:spacing w:line="276" w:lineRule="auto"/>
        <w:ind w:left="1747" w:right="1721"/>
        <w:rPr>
          <w:i/>
          <w:sz w:val="19"/>
        </w:rPr>
      </w:pPr>
      <w:r>
        <w:rPr>
          <w:i/>
          <w:color w:val="231F20"/>
          <w:sz w:val="19"/>
        </w:rPr>
        <w:t xml:space="preserve">I hold that it is bad as far as we are concerned if a person, a political </w:t>
      </w:r>
      <w:r>
        <w:rPr>
          <w:i/>
          <w:color w:val="231F20"/>
          <w:spacing w:val="-3"/>
          <w:sz w:val="19"/>
        </w:rPr>
        <w:t xml:space="preserve">party, </w:t>
      </w:r>
      <w:r>
        <w:rPr>
          <w:i/>
          <w:color w:val="231F20"/>
          <w:sz w:val="19"/>
        </w:rPr>
        <w:t xml:space="preserve">an army or a school is not attacked by the </w:t>
      </w:r>
      <w:r>
        <w:rPr>
          <w:i/>
          <w:color w:val="231F20"/>
          <w:spacing w:val="-4"/>
          <w:sz w:val="19"/>
        </w:rPr>
        <w:t xml:space="preserve">enemy,  </w:t>
      </w:r>
      <w:r>
        <w:rPr>
          <w:i/>
          <w:color w:val="231F20"/>
          <w:sz w:val="19"/>
        </w:rPr>
        <w:t xml:space="preserve">for in that case it would definitely  mean  that  we  have  sunk  to the level of the </w:t>
      </w:r>
      <w:r>
        <w:rPr>
          <w:i/>
          <w:color w:val="231F20"/>
          <w:spacing w:val="-4"/>
          <w:sz w:val="19"/>
        </w:rPr>
        <w:t xml:space="preserve">enemy. </w:t>
      </w:r>
      <w:r>
        <w:rPr>
          <w:i/>
          <w:color w:val="231F20"/>
          <w:sz w:val="19"/>
        </w:rPr>
        <w:t xml:space="preserve">It is good if we are attacked by the </w:t>
      </w:r>
      <w:r>
        <w:rPr>
          <w:i/>
          <w:color w:val="231F20"/>
          <w:spacing w:val="-4"/>
          <w:sz w:val="19"/>
        </w:rPr>
        <w:t xml:space="preserve">enemy, </w:t>
      </w:r>
      <w:r>
        <w:rPr>
          <w:i/>
          <w:color w:val="231F20"/>
          <w:sz w:val="19"/>
        </w:rPr>
        <w:t>since it proves that we have drawn a clear dividing line between the enemy and ourselves. It is still better if the enemy attacks us wildly and paints us as utterly black and without a single virtue;    it demonstrates that we have not only drawn a clear dividing line between the enemy and ourselves but have achieved spectacular successes in our</w:t>
      </w:r>
      <w:r>
        <w:rPr>
          <w:i/>
          <w:color w:val="231F20"/>
          <w:spacing w:val="31"/>
          <w:sz w:val="19"/>
        </w:rPr>
        <w:t xml:space="preserve"> </w:t>
      </w:r>
      <w:r>
        <w:rPr>
          <w:i/>
          <w:color w:val="231F20"/>
          <w:sz w:val="19"/>
        </w:rPr>
        <w:t>work.</w:t>
      </w:r>
    </w:p>
    <w:p w14:paraId="38B8628D" w14:textId="77777777" w:rsidR="002653E8" w:rsidRDefault="003115E3">
      <w:pPr>
        <w:spacing w:before="38" w:line="276" w:lineRule="auto"/>
        <w:ind w:left="5798" w:right="1565" w:firstLine="99"/>
        <w:jc w:val="right"/>
        <w:rPr>
          <w:sz w:val="11"/>
        </w:rPr>
      </w:pPr>
      <w:r>
        <w:rPr>
          <w:color w:val="231F20"/>
          <w:w w:val="105"/>
          <w:sz w:val="19"/>
        </w:rPr>
        <w:t>Mao tse Tung</w:t>
      </w:r>
      <w:r>
        <w:rPr>
          <w:color w:val="231F20"/>
          <w:sz w:val="19"/>
        </w:rPr>
        <w:t xml:space="preserve"> </w:t>
      </w:r>
      <w:r>
        <w:rPr>
          <w:color w:val="231F20"/>
          <w:w w:val="105"/>
          <w:sz w:val="19"/>
        </w:rPr>
        <w:t>May 26, 1939</w:t>
      </w:r>
      <w:r>
        <w:rPr>
          <w:color w:val="231F20"/>
          <w:w w:val="105"/>
          <w:position w:val="6"/>
          <w:sz w:val="11"/>
        </w:rPr>
        <w:t>1</w:t>
      </w:r>
    </w:p>
    <w:p w14:paraId="14A99E22" w14:textId="77777777" w:rsidR="002653E8" w:rsidRDefault="002653E8">
      <w:pPr>
        <w:pStyle w:val="a3"/>
        <w:spacing w:before="5"/>
        <w:rPr>
          <w:sz w:val="28"/>
        </w:rPr>
      </w:pPr>
    </w:p>
    <w:p w14:paraId="4A2428D6" w14:textId="77777777" w:rsidR="002653E8" w:rsidRDefault="003115E3">
      <w:pPr>
        <w:numPr>
          <w:ilvl w:val="0"/>
          <w:numId w:val="164"/>
        </w:numPr>
        <w:tabs>
          <w:tab w:val="left" w:pos="1651"/>
        </w:tabs>
        <w:jc w:val="left"/>
      </w:pPr>
      <w:r>
        <w:rPr>
          <w:color w:val="231F20"/>
          <w:spacing w:val="20"/>
          <w:w w:val="120"/>
        </w:rPr>
        <w:t xml:space="preserve">concrete </w:t>
      </w:r>
      <w:r>
        <w:rPr>
          <w:color w:val="231F20"/>
          <w:spacing w:val="16"/>
          <w:w w:val="120"/>
        </w:rPr>
        <w:t xml:space="preserve">answ </w:t>
      </w:r>
      <w:r>
        <w:rPr>
          <w:color w:val="231F20"/>
          <w:spacing w:val="15"/>
          <w:w w:val="120"/>
        </w:rPr>
        <w:t xml:space="preserve">ers </w:t>
      </w:r>
      <w:r>
        <w:rPr>
          <w:color w:val="231F20"/>
          <w:spacing w:val="10"/>
          <w:w w:val="120"/>
        </w:rPr>
        <w:t xml:space="preserve">to </w:t>
      </w:r>
      <w:r>
        <w:rPr>
          <w:color w:val="231F20"/>
          <w:spacing w:val="20"/>
          <w:w w:val="120"/>
        </w:rPr>
        <w:t>concrete</w:t>
      </w:r>
      <w:r>
        <w:rPr>
          <w:color w:val="231F20"/>
          <w:spacing w:val="8"/>
          <w:w w:val="120"/>
        </w:rPr>
        <w:t xml:space="preserve"> </w:t>
      </w:r>
      <w:r>
        <w:rPr>
          <w:color w:val="231F20"/>
          <w:spacing w:val="17"/>
          <w:w w:val="120"/>
        </w:rPr>
        <w:t>questions</w:t>
      </w:r>
    </w:p>
    <w:p w14:paraId="683F7334" w14:textId="77777777" w:rsidR="002653E8" w:rsidRDefault="003115E3">
      <w:pPr>
        <w:spacing w:before="146" w:line="276" w:lineRule="auto"/>
        <w:ind w:left="1747" w:right="1580"/>
        <w:rPr>
          <w:i/>
          <w:sz w:val="19"/>
        </w:rPr>
      </w:pPr>
      <w:r>
        <w:rPr>
          <w:i/>
          <w:color w:val="231F20"/>
          <w:sz w:val="19"/>
        </w:rPr>
        <w:t>I still insist that without investigation there  cannot  possibly  be any right to</w:t>
      </w:r>
      <w:r>
        <w:rPr>
          <w:i/>
          <w:color w:val="231F20"/>
          <w:spacing w:val="30"/>
          <w:sz w:val="19"/>
        </w:rPr>
        <w:t xml:space="preserve"> </w:t>
      </w:r>
      <w:r>
        <w:rPr>
          <w:i/>
          <w:color w:val="231F20"/>
          <w:sz w:val="19"/>
        </w:rPr>
        <w:t>speak.</w:t>
      </w:r>
    </w:p>
    <w:p w14:paraId="65338D72" w14:textId="77777777" w:rsidR="002653E8" w:rsidRDefault="003115E3">
      <w:pPr>
        <w:spacing w:before="40"/>
        <w:ind w:left="6619"/>
        <w:rPr>
          <w:sz w:val="11"/>
        </w:rPr>
      </w:pPr>
      <w:r>
        <w:rPr>
          <w:color w:val="231F20"/>
          <w:w w:val="110"/>
          <w:sz w:val="19"/>
        </w:rPr>
        <w:t>Mao</w:t>
      </w:r>
      <w:r>
        <w:rPr>
          <w:color w:val="231F20"/>
          <w:w w:val="110"/>
          <w:position w:val="6"/>
          <w:sz w:val="11"/>
        </w:rPr>
        <w:t>2</w:t>
      </w:r>
    </w:p>
    <w:p w14:paraId="05C63C6A" w14:textId="77777777" w:rsidR="002653E8" w:rsidRDefault="002653E8">
      <w:pPr>
        <w:pStyle w:val="a3"/>
        <w:spacing w:before="5"/>
        <w:rPr>
          <w:sz w:val="32"/>
        </w:rPr>
      </w:pPr>
    </w:p>
    <w:p w14:paraId="21085480" w14:textId="77777777" w:rsidR="002653E8" w:rsidRDefault="003115E3">
      <w:pPr>
        <w:pStyle w:val="a3"/>
        <w:spacing w:before="1" w:line="264" w:lineRule="auto"/>
        <w:ind w:left="1327" w:right="1146"/>
        <w:jc w:val="both"/>
      </w:pPr>
      <w:r>
        <w:rPr>
          <w:color w:val="231F20"/>
        </w:rPr>
        <w:t>Some comrades have already made up their minds about us. For them, it is the “demagoguery of the bourgeois press” that links these “anarchist groups” with the socialist movement. In their incorrect and pejorative use of the term anarchism, they are no different than the Springer Press. We don’t want to engage anyone in dialogue on such a shabby basis.</w:t>
      </w:r>
    </w:p>
    <w:p w14:paraId="579E697F" w14:textId="77777777" w:rsidR="002653E8" w:rsidRDefault="003115E3">
      <w:pPr>
        <w:pStyle w:val="a3"/>
        <w:spacing w:line="261" w:lineRule="auto"/>
        <w:ind w:left="1327" w:right="1146" w:firstLine="210"/>
        <w:jc w:val="both"/>
      </w:pPr>
      <w:r>
        <w:rPr>
          <w:color w:val="231F20"/>
        </w:rPr>
        <w:t xml:space="preserve">Many comrades want to know what we think </w:t>
      </w:r>
      <w:r>
        <w:rPr>
          <w:color w:val="231F20"/>
          <w:spacing w:val="-3"/>
        </w:rPr>
        <w:t xml:space="preserve">we’re  </w:t>
      </w:r>
      <w:r>
        <w:rPr>
          <w:color w:val="231F20"/>
        </w:rPr>
        <w:t xml:space="preserve">doing. The let ter to </w:t>
      </w:r>
      <w:r>
        <w:rPr>
          <w:rFonts w:ascii="Bookman Old Style" w:hAnsi="Bookman Old Style"/>
          <w:i/>
          <w:color w:val="231F20"/>
        </w:rPr>
        <w:t>883</w:t>
      </w:r>
      <w:r>
        <w:rPr>
          <w:color w:val="231F20"/>
        </w:rPr>
        <w:t xml:space="preserve">, in May </w:t>
      </w:r>
      <w:r>
        <w:rPr>
          <w:color w:val="231F20"/>
          <w:spacing w:val="-3"/>
        </w:rPr>
        <w:t xml:space="preserve">1970, </w:t>
      </w:r>
      <w:r>
        <w:rPr>
          <w:color w:val="231F20"/>
        </w:rPr>
        <w:t xml:space="preserve">was too vague. The tape Michele Ray had, extracts of which appeared in </w:t>
      </w:r>
      <w:r>
        <w:rPr>
          <w:i/>
          <w:color w:val="231F20"/>
        </w:rPr>
        <w:t>Spiegel</w:t>
      </w:r>
      <w:r>
        <w:rPr>
          <w:color w:val="231F20"/>
        </w:rPr>
        <w:t>, was not authentic and, in any event,</w:t>
      </w:r>
      <w:r>
        <w:rPr>
          <w:color w:val="231F20"/>
          <w:spacing w:val="10"/>
        </w:rPr>
        <w:t xml:space="preserve"> </w:t>
      </w:r>
      <w:r>
        <w:rPr>
          <w:color w:val="231F20"/>
        </w:rPr>
        <w:t>was</w:t>
      </w:r>
      <w:r>
        <w:rPr>
          <w:color w:val="231F20"/>
          <w:spacing w:val="10"/>
        </w:rPr>
        <w:t xml:space="preserve"> </w:t>
      </w:r>
      <w:r>
        <w:rPr>
          <w:color w:val="231F20"/>
        </w:rPr>
        <w:t>drawn</w:t>
      </w:r>
      <w:r>
        <w:rPr>
          <w:color w:val="231F20"/>
          <w:spacing w:val="10"/>
        </w:rPr>
        <w:t xml:space="preserve"> </w:t>
      </w:r>
      <w:r>
        <w:rPr>
          <w:color w:val="231F20"/>
        </w:rPr>
        <w:t>from</w:t>
      </w:r>
      <w:r>
        <w:rPr>
          <w:color w:val="231F20"/>
          <w:spacing w:val="10"/>
        </w:rPr>
        <w:t xml:space="preserve"> </w:t>
      </w:r>
      <w:r>
        <w:rPr>
          <w:color w:val="231F20"/>
        </w:rPr>
        <w:t>a</w:t>
      </w:r>
      <w:r>
        <w:rPr>
          <w:color w:val="231F20"/>
          <w:spacing w:val="10"/>
        </w:rPr>
        <w:t xml:space="preserve"> </w:t>
      </w:r>
      <w:r>
        <w:rPr>
          <w:color w:val="231F20"/>
        </w:rPr>
        <w:t>private</w:t>
      </w:r>
      <w:r>
        <w:rPr>
          <w:color w:val="231F20"/>
          <w:spacing w:val="10"/>
        </w:rPr>
        <w:t xml:space="preserve"> </w:t>
      </w:r>
      <w:r>
        <w:rPr>
          <w:color w:val="231F20"/>
        </w:rPr>
        <w:t>discussion.</w:t>
      </w:r>
      <w:r>
        <w:rPr>
          <w:color w:val="231F20"/>
          <w:spacing w:val="10"/>
        </w:rPr>
        <w:t xml:space="preserve"> </w:t>
      </w:r>
      <w:r>
        <w:rPr>
          <w:color w:val="231F20"/>
        </w:rPr>
        <w:t>Ray</w:t>
      </w:r>
      <w:r>
        <w:rPr>
          <w:color w:val="231F20"/>
          <w:spacing w:val="10"/>
        </w:rPr>
        <w:t xml:space="preserve"> </w:t>
      </w:r>
      <w:r>
        <w:rPr>
          <w:color w:val="231F20"/>
        </w:rPr>
        <w:t>wanted</w:t>
      </w:r>
      <w:r>
        <w:rPr>
          <w:color w:val="231F20"/>
          <w:spacing w:val="10"/>
        </w:rPr>
        <w:t xml:space="preserve"> </w:t>
      </w:r>
      <w:r>
        <w:rPr>
          <w:color w:val="231F20"/>
        </w:rPr>
        <w:t>to</w:t>
      </w:r>
      <w:r>
        <w:rPr>
          <w:color w:val="231F20"/>
          <w:spacing w:val="10"/>
        </w:rPr>
        <w:t xml:space="preserve"> </w:t>
      </w:r>
      <w:r>
        <w:rPr>
          <w:color w:val="231F20"/>
        </w:rPr>
        <w:t>use</w:t>
      </w:r>
      <w:r>
        <w:rPr>
          <w:color w:val="231F20"/>
          <w:spacing w:val="10"/>
        </w:rPr>
        <w:t xml:space="preserve"> </w:t>
      </w:r>
      <w:r>
        <w:rPr>
          <w:color w:val="231F20"/>
        </w:rPr>
        <w:t>it</w:t>
      </w:r>
      <w:r>
        <w:rPr>
          <w:color w:val="231F20"/>
          <w:spacing w:val="10"/>
        </w:rPr>
        <w:t xml:space="preserve"> </w:t>
      </w:r>
      <w:r>
        <w:rPr>
          <w:color w:val="231F20"/>
        </w:rPr>
        <w:t>as</w:t>
      </w:r>
      <w:r>
        <w:rPr>
          <w:color w:val="231F20"/>
          <w:spacing w:val="10"/>
        </w:rPr>
        <w:t xml:space="preserve"> </w:t>
      </w:r>
      <w:r>
        <w:rPr>
          <w:color w:val="231F20"/>
        </w:rPr>
        <w:t>an</w:t>
      </w:r>
    </w:p>
    <w:p w14:paraId="73421369" w14:textId="77777777" w:rsidR="002653E8" w:rsidRDefault="00000000">
      <w:pPr>
        <w:pStyle w:val="a3"/>
        <w:spacing w:before="8"/>
        <w:rPr>
          <w:sz w:val="9"/>
        </w:rPr>
      </w:pPr>
      <w:r>
        <w:rPr>
          <w:noProof w:val="0"/>
        </w:rPr>
        <w:pict w14:anchorId="2E66B770">
          <v:line id="_x0000_s2617" style="position:absolute;z-index:3328;mso-wrap-distance-left:0;mso-wrap-distance-right:0;mso-position-horizontal-relative:page" from="66.4pt,7.9pt" to="138.4pt,7.9pt" strokecolor="#231f20" strokeweight=".5pt">
            <w10:wrap type="topAndBottom" anchorx="page"/>
          </v:line>
        </w:pict>
      </w:r>
    </w:p>
    <w:p w14:paraId="48EFA106" w14:textId="77777777" w:rsidR="002653E8" w:rsidRDefault="003115E3">
      <w:pPr>
        <w:spacing w:before="53"/>
        <w:ind w:left="1327"/>
        <w:rPr>
          <w:sz w:val="16"/>
        </w:rPr>
      </w:pPr>
      <w:r>
        <w:rPr>
          <w:color w:val="231F20"/>
          <w:w w:val="110"/>
          <w:sz w:val="16"/>
        </w:rPr>
        <w:t>1 This version is close to that in</w:t>
      </w:r>
      <w:bookmarkStart w:id="43" w:name="_Hlk57739278"/>
      <w:r>
        <w:rPr>
          <w:color w:val="231F20"/>
          <w:w w:val="110"/>
          <w:sz w:val="16"/>
        </w:rPr>
        <w:t xml:space="preserve"> </w:t>
      </w:r>
      <w:r>
        <w:rPr>
          <w:i/>
          <w:color w:val="231F20"/>
          <w:w w:val="110"/>
          <w:sz w:val="16"/>
        </w:rPr>
        <w:t xml:space="preserve">Quotations from Chairman Mao Tse Tung </w:t>
      </w:r>
      <w:r>
        <w:rPr>
          <w:color w:val="231F20"/>
          <w:w w:val="110"/>
          <w:sz w:val="16"/>
        </w:rPr>
        <w:t>(Peking:</w:t>
      </w:r>
    </w:p>
    <w:p w14:paraId="2C014304" w14:textId="77777777" w:rsidR="002653E8" w:rsidRDefault="003115E3">
      <w:pPr>
        <w:spacing w:before="11" w:line="254" w:lineRule="auto"/>
        <w:ind w:left="1328" w:right="1427"/>
        <w:rPr>
          <w:sz w:val="16"/>
        </w:rPr>
      </w:pPr>
      <w:r>
        <w:rPr>
          <w:color w:val="231F20"/>
          <w:w w:val="105"/>
          <w:sz w:val="16"/>
        </w:rPr>
        <w:t>Foreign Languages Press,  1966)</w:t>
      </w:r>
      <w:bookmarkEnd w:id="43"/>
      <w:r>
        <w:rPr>
          <w:color w:val="231F20"/>
          <w:w w:val="105"/>
          <w:sz w:val="16"/>
        </w:rPr>
        <w:t xml:space="preserve">, </w:t>
      </w:r>
      <w:r>
        <w:rPr>
          <w:color w:val="231F20"/>
          <w:spacing w:val="-6"/>
          <w:w w:val="105"/>
          <w:sz w:val="16"/>
        </w:rPr>
        <w:t xml:space="preserve">15.  </w:t>
      </w:r>
      <w:r>
        <w:rPr>
          <w:color w:val="231F20"/>
          <w:w w:val="105"/>
          <w:sz w:val="16"/>
        </w:rPr>
        <w:t>Please note, however, that in keeping with   the German translation, the ending here differs slightly from the standard English translation,</w:t>
      </w:r>
      <w:r>
        <w:rPr>
          <w:color w:val="231F20"/>
          <w:spacing w:val="8"/>
          <w:w w:val="105"/>
          <w:sz w:val="16"/>
        </w:rPr>
        <w:t xml:space="preserve"> </w:t>
      </w:r>
      <w:r>
        <w:rPr>
          <w:color w:val="231F20"/>
          <w:w w:val="105"/>
          <w:sz w:val="16"/>
        </w:rPr>
        <w:t>which</w:t>
      </w:r>
      <w:r>
        <w:rPr>
          <w:color w:val="231F20"/>
          <w:spacing w:val="8"/>
          <w:w w:val="105"/>
          <w:sz w:val="16"/>
        </w:rPr>
        <w:t xml:space="preserve"> </w:t>
      </w:r>
      <w:r>
        <w:rPr>
          <w:color w:val="231F20"/>
          <w:w w:val="105"/>
          <w:sz w:val="16"/>
        </w:rPr>
        <w:t>reads</w:t>
      </w:r>
      <w:r>
        <w:rPr>
          <w:color w:val="231F20"/>
          <w:spacing w:val="8"/>
          <w:w w:val="105"/>
          <w:sz w:val="16"/>
        </w:rPr>
        <w:t xml:space="preserve"> </w:t>
      </w:r>
      <w:r>
        <w:rPr>
          <w:color w:val="231F20"/>
          <w:w w:val="105"/>
          <w:sz w:val="16"/>
        </w:rPr>
        <w:t>simply</w:t>
      </w:r>
      <w:r>
        <w:rPr>
          <w:color w:val="231F20"/>
          <w:spacing w:val="8"/>
          <w:w w:val="105"/>
          <w:sz w:val="16"/>
        </w:rPr>
        <w:t xml:space="preserve"> </w:t>
      </w:r>
      <w:r>
        <w:rPr>
          <w:color w:val="231F20"/>
          <w:w w:val="105"/>
          <w:sz w:val="16"/>
        </w:rPr>
        <w:t>“achieved</w:t>
      </w:r>
      <w:r>
        <w:rPr>
          <w:color w:val="231F20"/>
          <w:spacing w:val="8"/>
          <w:w w:val="105"/>
          <w:sz w:val="16"/>
        </w:rPr>
        <w:t xml:space="preserve"> </w:t>
      </w:r>
      <w:r>
        <w:rPr>
          <w:color w:val="231F20"/>
          <w:w w:val="105"/>
          <w:sz w:val="16"/>
        </w:rPr>
        <w:t>a</w:t>
      </w:r>
      <w:r>
        <w:rPr>
          <w:color w:val="231F20"/>
          <w:spacing w:val="8"/>
          <w:w w:val="105"/>
          <w:sz w:val="16"/>
        </w:rPr>
        <w:t xml:space="preserve"> </w:t>
      </w:r>
      <w:r>
        <w:rPr>
          <w:color w:val="231F20"/>
          <w:w w:val="105"/>
          <w:sz w:val="16"/>
        </w:rPr>
        <w:t>great</w:t>
      </w:r>
      <w:r>
        <w:rPr>
          <w:color w:val="231F20"/>
          <w:spacing w:val="8"/>
          <w:w w:val="105"/>
          <w:sz w:val="16"/>
        </w:rPr>
        <w:t xml:space="preserve"> </w:t>
      </w:r>
      <w:r>
        <w:rPr>
          <w:color w:val="231F20"/>
          <w:w w:val="105"/>
          <w:sz w:val="16"/>
        </w:rPr>
        <w:t>deal</w:t>
      </w:r>
      <w:r>
        <w:rPr>
          <w:color w:val="231F20"/>
          <w:spacing w:val="8"/>
          <w:w w:val="105"/>
          <w:sz w:val="16"/>
        </w:rPr>
        <w:t xml:space="preserve"> </w:t>
      </w:r>
      <w:r>
        <w:rPr>
          <w:color w:val="231F20"/>
          <w:w w:val="105"/>
          <w:sz w:val="16"/>
        </w:rPr>
        <w:t>in</w:t>
      </w:r>
      <w:r>
        <w:rPr>
          <w:color w:val="231F20"/>
          <w:spacing w:val="8"/>
          <w:w w:val="105"/>
          <w:sz w:val="16"/>
        </w:rPr>
        <w:t xml:space="preserve"> </w:t>
      </w:r>
      <w:r>
        <w:rPr>
          <w:color w:val="231F20"/>
          <w:w w:val="105"/>
          <w:sz w:val="16"/>
        </w:rPr>
        <w:t>our</w:t>
      </w:r>
      <w:r>
        <w:rPr>
          <w:color w:val="231F20"/>
          <w:spacing w:val="8"/>
          <w:w w:val="105"/>
          <w:sz w:val="16"/>
        </w:rPr>
        <w:t xml:space="preserve"> </w:t>
      </w:r>
      <w:r>
        <w:rPr>
          <w:color w:val="231F20"/>
          <w:w w:val="105"/>
          <w:sz w:val="16"/>
        </w:rPr>
        <w:t>work.”</w:t>
      </w:r>
    </w:p>
    <w:p w14:paraId="4774B024" w14:textId="77777777" w:rsidR="002653E8" w:rsidRDefault="003115E3">
      <w:pPr>
        <w:spacing w:before="42"/>
        <w:ind w:left="1328"/>
        <w:rPr>
          <w:sz w:val="16"/>
        </w:rPr>
      </w:pPr>
      <w:r>
        <w:rPr>
          <w:color w:val="231F20"/>
          <w:w w:val="115"/>
          <w:sz w:val="16"/>
        </w:rPr>
        <w:t>2 Ibid., 230.</w:t>
      </w:r>
    </w:p>
    <w:p w14:paraId="62963E0D" w14:textId="77777777" w:rsidR="002653E8" w:rsidRDefault="002653E8">
      <w:pPr>
        <w:rPr>
          <w:sz w:val="16"/>
        </w:rPr>
        <w:sectPr w:rsidR="002653E8">
          <w:footerReference w:type="even" r:id="rId78"/>
          <w:footerReference w:type="default" r:id="rId79"/>
          <w:pgSz w:w="8640" w:h="12960"/>
          <w:pgMar w:top="1220" w:right="0" w:bottom="1040" w:left="0" w:header="0" w:footer="850" w:gutter="0"/>
          <w:cols w:space="720"/>
        </w:sectPr>
      </w:pPr>
    </w:p>
    <w:p w14:paraId="38D764EB" w14:textId="77777777" w:rsidR="002653E8" w:rsidRDefault="003115E3">
      <w:pPr>
        <w:pStyle w:val="a3"/>
        <w:spacing w:before="86" w:line="264" w:lineRule="auto"/>
        <w:ind w:left="1147" w:right="1326"/>
        <w:jc w:val="both"/>
      </w:pPr>
      <w:r>
        <w:rPr>
          <w:color w:val="231F20"/>
        </w:rPr>
        <w:lastRenderedPageBreak/>
        <w:t xml:space="preserve">aide-mémoire for an article she was writing. Either she tricked us or we overestimated her. </w:t>
      </w:r>
      <w:r>
        <w:rPr>
          <w:color w:val="231F20"/>
          <w:spacing w:val="1"/>
        </w:rPr>
        <w:t xml:space="preserve">If </w:t>
      </w:r>
      <w:r>
        <w:rPr>
          <w:color w:val="231F20"/>
        </w:rPr>
        <w:t xml:space="preserve">our practice was as hasty as she claims, </w:t>
      </w:r>
      <w:r>
        <w:rPr>
          <w:color w:val="231F20"/>
          <w:spacing w:val="-5"/>
        </w:rPr>
        <w:t xml:space="preserve">we’d </w:t>
      </w:r>
      <w:r>
        <w:rPr>
          <w:color w:val="231F20"/>
        </w:rPr>
        <w:t xml:space="preserve">have been caught by </w:t>
      </w:r>
      <w:r>
        <w:rPr>
          <w:color w:val="231F20"/>
          <w:spacing w:val="-5"/>
        </w:rPr>
        <w:t xml:space="preserve">now. </w:t>
      </w:r>
      <w:r>
        <w:rPr>
          <w:i/>
          <w:color w:val="231F20"/>
        </w:rPr>
        <w:t xml:space="preserve">Spiegel </w:t>
      </w:r>
      <w:r>
        <w:rPr>
          <w:color w:val="231F20"/>
        </w:rPr>
        <w:t>paid Ray an honorarium of $1,000.00 for the</w:t>
      </w:r>
      <w:r>
        <w:rPr>
          <w:color w:val="231F20"/>
          <w:spacing w:val="10"/>
        </w:rPr>
        <w:t xml:space="preserve"> </w:t>
      </w:r>
      <w:r>
        <w:rPr>
          <w:color w:val="231F20"/>
        </w:rPr>
        <w:t>interview.</w:t>
      </w:r>
    </w:p>
    <w:p w14:paraId="3A47704D" w14:textId="77777777" w:rsidR="002653E8" w:rsidRDefault="003115E3">
      <w:pPr>
        <w:pStyle w:val="a3"/>
        <w:spacing w:line="264" w:lineRule="auto"/>
        <w:ind w:left="1147" w:right="1326" w:firstLine="210"/>
        <w:jc w:val="both"/>
      </w:pPr>
      <w:r>
        <w:rPr>
          <w:color w:val="231F20"/>
        </w:rPr>
        <w:t xml:space="preserve">Almost everything the newspapers have written about us—and the way they write it—has clearly been a lie. Plans to kidnap Willy Brandt are meant to make us look like political idiots, and claims that we intend to kidnap children are meant to make us look like unscrupulous criminals. These lies go as far as the “authentic details” in </w:t>
      </w:r>
      <w:r>
        <w:rPr>
          <w:i/>
          <w:color w:val="231F20"/>
        </w:rPr>
        <w:t xml:space="preserve">konkret </w:t>
      </w:r>
      <w:r>
        <w:rPr>
          <w:color w:val="231F20"/>
        </w:rPr>
        <w:t>#5, which proved to be nothing more than unreliable details that had been slapped together. That we have “officers and soldiers,” that some of us are slaves of others, that comrades who have left us fear reprisals, that we broke into houses or used violence to take passports, that we exercise “group terror”—all of this is bullshit.</w:t>
      </w:r>
    </w:p>
    <w:p w14:paraId="61AC0726" w14:textId="77777777" w:rsidR="002653E8" w:rsidRDefault="003115E3">
      <w:pPr>
        <w:pStyle w:val="a3"/>
        <w:spacing w:line="264" w:lineRule="auto"/>
        <w:ind w:left="1147" w:right="1325" w:firstLine="210"/>
        <w:jc w:val="both"/>
      </w:pPr>
      <w:r>
        <w:rPr>
          <w:color w:val="231F20"/>
        </w:rPr>
        <w:t xml:space="preserve">The people who imagine an illegal  armed  organization  to  be  like the </w:t>
      </w:r>
      <w:r>
        <w:rPr>
          <w:i/>
          <w:color w:val="231F20"/>
        </w:rPr>
        <w:t xml:space="preserve">Freikorps </w:t>
      </w:r>
      <w:r>
        <w:rPr>
          <w:color w:val="231F20"/>
        </w:rPr>
        <w:t>or the Feme,</w:t>
      </w:r>
      <w:r>
        <w:rPr>
          <w:color w:val="231F20"/>
          <w:position w:val="7"/>
          <w:sz w:val="11"/>
        </w:rPr>
        <w:t xml:space="preserve">1 </w:t>
      </w:r>
      <w:r>
        <w:rPr>
          <w:color w:val="231F20"/>
        </w:rPr>
        <w:t xml:space="preserve">are people who hope for a pogrom. The psychological mechanisms that produce such projections, and their relationship to fascism, have been analyzed in Horkheimer and Adorno’s </w:t>
      </w:r>
      <w:r>
        <w:rPr>
          <w:i/>
          <w:color w:val="231F20"/>
        </w:rPr>
        <w:t xml:space="preserve">Authoritarian  Personality  </w:t>
      </w:r>
      <w:r>
        <w:rPr>
          <w:color w:val="231F20"/>
        </w:rPr>
        <w:t xml:space="preserve">and  </w:t>
      </w:r>
      <w:r>
        <w:rPr>
          <w:color w:val="231F20"/>
          <w:spacing w:val="-3"/>
        </w:rPr>
        <w:t xml:space="preserve">Reich’s   </w:t>
      </w:r>
      <w:r>
        <w:rPr>
          <w:i/>
          <w:color w:val="231F20"/>
          <w:spacing w:val="2"/>
        </w:rPr>
        <w:t xml:space="preserve">Mass   </w:t>
      </w:r>
      <w:r>
        <w:rPr>
          <w:i/>
          <w:color w:val="231F20"/>
        </w:rPr>
        <w:t>Psychology   of   Fascism</w:t>
      </w:r>
      <w:r>
        <w:rPr>
          <w:color w:val="231F20"/>
        </w:rPr>
        <w:t xml:space="preserve">. A compulsive revolutionary personality is a </w:t>
      </w:r>
      <w:r>
        <w:rPr>
          <w:i/>
          <w:color w:val="231F20"/>
        </w:rPr>
        <w:t xml:space="preserve">contradictio in </w:t>
      </w:r>
      <w:r>
        <w:rPr>
          <w:i/>
          <w:color w:val="231F20"/>
          <w:spacing w:val="1"/>
        </w:rPr>
        <w:t xml:space="preserve">adjecto—     </w:t>
      </w:r>
      <w:r>
        <w:rPr>
          <w:color w:val="231F20"/>
        </w:rPr>
        <w:t xml:space="preserve">a contradiction in terms. A revolutionary political practice under the present conditions—perhaps under any conditions—presumes the permanent integration of the individual’s personality and political beliefs, that is to </w:t>
      </w:r>
      <w:r>
        <w:rPr>
          <w:color w:val="231F20"/>
          <w:spacing w:val="-4"/>
        </w:rPr>
        <w:t xml:space="preserve">say, </w:t>
      </w:r>
      <w:r>
        <w:rPr>
          <w:color w:val="231F20"/>
        </w:rPr>
        <w:t xml:space="preserve">political identity. Marxist criticism and self-criticism has nothing to do with “self-liberation,” but a lot to do with revolutionary discipline. It is not the members of a “left organization,” writing anonymously or using pen names, who are just interested in “making headlines,” but </w:t>
      </w:r>
      <w:r>
        <w:rPr>
          <w:i/>
          <w:color w:val="231F20"/>
        </w:rPr>
        <w:t xml:space="preserve">konkret </w:t>
      </w:r>
      <w:r>
        <w:rPr>
          <w:color w:val="231F20"/>
        </w:rPr>
        <w:t xml:space="preserve">itself, whose editor is currently promoting himself as a sort of left-wing Eduard </w:t>
      </w:r>
      <w:r>
        <w:rPr>
          <w:color w:val="231F20"/>
          <w:spacing w:val="1"/>
        </w:rPr>
        <w:t>Zimmermann,</w:t>
      </w:r>
      <w:r>
        <w:rPr>
          <w:color w:val="231F20"/>
          <w:spacing w:val="1"/>
          <w:position w:val="7"/>
          <w:sz w:val="11"/>
        </w:rPr>
        <w:t xml:space="preserve">2 </w:t>
      </w:r>
      <w:r>
        <w:rPr>
          <w:color w:val="231F20"/>
        </w:rPr>
        <w:t>producing jack-off material  for his market</w:t>
      </w:r>
      <w:r>
        <w:rPr>
          <w:color w:val="231F20"/>
          <w:spacing w:val="32"/>
        </w:rPr>
        <w:t xml:space="preserve"> </w:t>
      </w:r>
      <w:r>
        <w:rPr>
          <w:color w:val="231F20"/>
        </w:rPr>
        <w:t>niche.</w:t>
      </w:r>
    </w:p>
    <w:p w14:paraId="1F9B1A18" w14:textId="77777777" w:rsidR="002653E8" w:rsidRDefault="003115E3">
      <w:pPr>
        <w:pStyle w:val="a3"/>
        <w:spacing w:line="217" w:lineRule="exact"/>
        <w:ind w:left="1358"/>
      </w:pPr>
      <w:r>
        <w:rPr>
          <w:color w:val="231F20"/>
        </w:rPr>
        <w:t>Many  comrades  spread  untruths  about  us  too.  They  brag  that we</w:t>
      </w:r>
    </w:p>
    <w:p w14:paraId="1C44C3AB" w14:textId="77777777" w:rsidR="002653E8" w:rsidRDefault="003115E3">
      <w:pPr>
        <w:pStyle w:val="a3"/>
        <w:spacing w:before="7" w:line="264" w:lineRule="auto"/>
        <w:ind w:left="1148" w:right="1326"/>
        <w:jc w:val="both"/>
      </w:pPr>
      <w:r>
        <w:rPr>
          <w:color w:val="231F20"/>
        </w:rPr>
        <w:t>lived with them, that they organized our trip to Jordan, that they know about our contacts, that they are doing something for us, when, in fact, they are doing nothing. Some only want to make it look like they are</w:t>
      </w:r>
    </w:p>
    <w:p w14:paraId="15132C66" w14:textId="77777777" w:rsidR="002653E8" w:rsidRDefault="00000000">
      <w:pPr>
        <w:pStyle w:val="a3"/>
        <w:spacing w:before="6"/>
        <w:rPr>
          <w:sz w:val="14"/>
        </w:rPr>
      </w:pPr>
      <w:r>
        <w:rPr>
          <w:noProof w:val="0"/>
        </w:rPr>
        <w:pict w14:anchorId="35981F8D">
          <v:line id="_x0000_s2616" style="position:absolute;z-index:3352;mso-wrap-distance-left:0;mso-wrap-distance-right:0;mso-position-horizontal-relative:page" from="57.4pt,10.75pt" to="129.4pt,10.75pt" strokecolor="#231f20" strokeweight=".5pt">
            <w10:wrap type="topAndBottom" anchorx="page"/>
          </v:line>
        </w:pict>
      </w:r>
    </w:p>
    <w:p w14:paraId="1B9AFE27" w14:textId="77777777" w:rsidR="002653E8" w:rsidRDefault="003115E3">
      <w:pPr>
        <w:pStyle w:val="a4"/>
        <w:numPr>
          <w:ilvl w:val="0"/>
          <w:numId w:val="163"/>
        </w:numPr>
        <w:tabs>
          <w:tab w:val="left" w:pos="1287"/>
        </w:tabs>
        <w:spacing w:before="53" w:line="254" w:lineRule="auto"/>
        <w:ind w:right="1367" w:firstLine="0"/>
        <w:jc w:val="left"/>
        <w:rPr>
          <w:sz w:val="16"/>
        </w:rPr>
      </w:pPr>
      <w:r>
        <w:rPr>
          <w:color w:val="231F20"/>
          <w:w w:val="105"/>
          <w:sz w:val="16"/>
        </w:rPr>
        <w:t xml:space="preserve">The </w:t>
      </w:r>
      <w:r>
        <w:rPr>
          <w:i/>
          <w:color w:val="231F20"/>
          <w:w w:val="105"/>
          <w:sz w:val="16"/>
        </w:rPr>
        <w:t xml:space="preserve">Freikorps </w:t>
      </w:r>
      <w:r>
        <w:rPr>
          <w:color w:val="231F20"/>
          <w:w w:val="105"/>
          <w:sz w:val="16"/>
        </w:rPr>
        <w:t xml:space="preserve">were right-wing paramilitary groups that sprang up in the period following World War </w:t>
      </w:r>
      <w:r>
        <w:rPr>
          <w:color w:val="231F20"/>
          <w:spacing w:val="1"/>
          <w:w w:val="105"/>
          <w:sz w:val="16"/>
        </w:rPr>
        <w:t xml:space="preserve">I; </w:t>
      </w:r>
      <w:r>
        <w:rPr>
          <w:color w:val="231F20"/>
          <w:w w:val="105"/>
          <w:sz w:val="16"/>
        </w:rPr>
        <w:t>many were later integrated into the Nazi rise to power. The Feme was a secret medieval court which meted out the death sentence, the bodies of its</w:t>
      </w:r>
      <w:r>
        <w:rPr>
          <w:color w:val="231F20"/>
          <w:spacing w:val="7"/>
          <w:w w:val="105"/>
          <w:sz w:val="16"/>
        </w:rPr>
        <w:t xml:space="preserve"> </w:t>
      </w:r>
      <w:r>
        <w:rPr>
          <w:color w:val="231F20"/>
          <w:w w:val="105"/>
          <w:sz w:val="16"/>
        </w:rPr>
        <w:t>victims</w:t>
      </w:r>
      <w:r>
        <w:rPr>
          <w:color w:val="231F20"/>
          <w:spacing w:val="7"/>
          <w:w w:val="105"/>
          <w:sz w:val="16"/>
        </w:rPr>
        <w:t xml:space="preserve"> </w:t>
      </w:r>
      <w:r>
        <w:rPr>
          <w:color w:val="231F20"/>
          <w:w w:val="105"/>
          <w:sz w:val="16"/>
        </w:rPr>
        <w:t>generally</w:t>
      </w:r>
      <w:r>
        <w:rPr>
          <w:color w:val="231F20"/>
          <w:spacing w:val="7"/>
          <w:w w:val="105"/>
          <w:sz w:val="16"/>
        </w:rPr>
        <w:t xml:space="preserve"> </w:t>
      </w:r>
      <w:r>
        <w:rPr>
          <w:color w:val="231F20"/>
          <w:w w:val="105"/>
          <w:sz w:val="16"/>
        </w:rPr>
        <w:t>being</w:t>
      </w:r>
      <w:r>
        <w:rPr>
          <w:color w:val="231F20"/>
          <w:spacing w:val="7"/>
          <w:w w:val="105"/>
          <w:sz w:val="16"/>
        </w:rPr>
        <w:t xml:space="preserve"> </w:t>
      </w:r>
      <w:r>
        <w:rPr>
          <w:color w:val="231F20"/>
          <w:w w:val="105"/>
          <w:sz w:val="16"/>
        </w:rPr>
        <w:t>left</w:t>
      </w:r>
      <w:r>
        <w:rPr>
          <w:color w:val="231F20"/>
          <w:spacing w:val="7"/>
          <w:w w:val="105"/>
          <w:sz w:val="16"/>
        </w:rPr>
        <w:t xml:space="preserve"> </w:t>
      </w:r>
      <w:r>
        <w:rPr>
          <w:color w:val="231F20"/>
          <w:w w:val="105"/>
          <w:sz w:val="16"/>
        </w:rPr>
        <w:t>hanging</w:t>
      </w:r>
      <w:r>
        <w:rPr>
          <w:color w:val="231F20"/>
          <w:spacing w:val="7"/>
          <w:w w:val="105"/>
          <w:sz w:val="16"/>
        </w:rPr>
        <w:t xml:space="preserve"> </w:t>
      </w:r>
      <w:r>
        <w:rPr>
          <w:color w:val="231F20"/>
          <w:w w:val="105"/>
          <w:sz w:val="16"/>
        </w:rPr>
        <w:t>in</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streets.</w:t>
      </w:r>
    </w:p>
    <w:p w14:paraId="2414E161" w14:textId="77777777" w:rsidR="002653E8" w:rsidRDefault="003115E3">
      <w:pPr>
        <w:pStyle w:val="a4"/>
        <w:numPr>
          <w:ilvl w:val="0"/>
          <w:numId w:val="163"/>
        </w:numPr>
        <w:tabs>
          <w:tab w:val="left" w:pos="1287"/>
        </w:tabs>
        <w:spacing w:line="254" w:lineRule="auto"/>
        <w:ind w:right="2155" w:firstLine="0"/>
        <w:jc w:val="left"/>
        <w:rPr>
          <w:sz w:val="16"/>
        </w:rPr>
      </w:pPr>
      <w:r>
        <w:rPr>
          <w:color w:val="231F20"/>
          <w:w w:val="105"/>
          <w:sz w:val="16"/>
        </w:rPr>
        <w:t xml:space="preserve">Eduard Zimmermann was </w:t>
      </w:r>
      <w:r>
        <w:rPr>
          <w:color w:val="231F20"/>
          <w:spacing w:val="5"/>
          <w:w w:val="105"/>
          <w:sz w:val="16"/>
        </w:rPr>
        <w:t xml:space="preserve">TV </w:t>
      </w:r>
      <w:r>
        <w:rPr>
          <w:color w:val="231F20"/>
          <w:w w:val="105"/>
          <w:sz w:val="16"/>
        </w:rPr>
        <w:t>moderator for the German equivalent of Crimewatch.</w:t>
      </w:r>
      <w:r>
        <w:rPr>
          <w:color w:val="231F20"/>
          <w:spacing w:val="10"/>
          <w:w w:val="105"/>
          <w:sz w:val="16"/>
        </w:rPr>
        <w:t xml:space="preserve"> </w:t>
      </w:r>
      <w:r>
        <w:rPr>
          <w:color w:val="231F20"/>
          <w:spacing w:val="1"/>
          <w:w w:val="105"/>
          <w:sz w:val="16"/>
        </w:rPr>
        <w:t>This</w:t>
      </w:r>
      <w:r>
        <w:rPr>
          <w:color w:val="231F20"/>
          <w:spacing w:val="10"/>
          <w:w w:val="105"/>
          <w:sz w:val="16"/>
        </w:rPr>
        <w:t xml:space="preserve"> </w:t>
      </w:r>
      <w:r>
        <w:rPr>
          <w:color w:val="231F20"/>
          <w:w w:val="105"/>
          <w:sz w:val="16"/>
        </w:rPr>
        <w:t>program</w:t>
      </w:r>
      <w:r>
        <w:rPr>
          <w:color w:val="231F20"/>
          <w:spacing w:val="10"/>
          <w:w w:val="105"/>
          <w:sz w:val="16"/>
        </w:rPr>
        <w:t xml:space="preserve"> </w:t>
      </w:r>
      <w:r>
        <w:rPr>
          <w:color w:val="231F20"/>
          <w:w w:val="105"/>
          <w:sz w:val="16"/>
        </w:rPr>
        <w:t>was</w:t>
      </w:r>
      <w:r>
        <w:rPr>
          <w:color w:val="231F20"/>
          <w:spacing w:val="10"/>
          <w:w w:val="105"/>
          <w:sz w:val="16"/>
        </w:rPr>
        <w:t xml:space="preserve"> </w:t>
      </w:r>
      <w:r>
        <w:rPr>
          <w:color w:val="231F20"/>
          <w:w w:val="105"/>
          <w:sz w:val="16"/>
        </w:rPr>
        <w:t>used</w:t>
      </w:r>
      <w:r>
        <w:rPr>
          <w:color w:val="231F20"/>
          <w:spacing w:val="10"/>
          <w:w w:val="105"/>
          <w:sz w:val="16"/>
        </w:rPr>
        <w:t xml:space="preserve"> </w:t>
      </w:r>
      <w:r>
        <w:rPr>
          <w:color w:val="231F20"/>
          <w:w w:val="105"/>
          <w:sz w:val="16"/>
        </w:rPr>
        <w:t>in</w:t>
      </w:r>
      <w:r>
        <w:rPr>
          <w:color w:val="231F20"/>
          <w:spacing w:val="10"/>
          <w:w w:val="105"/>
          <w:sz w:val="16"/>
        </w:rPr>
        <w:t xml:space="preserve"> </w:t>
      </w:r>
      <w:r>
        <w:rPr>
          <w:color w:val="231F20"/>
          <w:w w:val="105"/>
          <w:sz w:val="16"/>
        </w:rPr>
        <w:t>the</w:t>
      </w:r>
      <w:r>
        <w:rPr>
          <w:color w:val="231F20"/>
          <w:spacing w:val="10"/>
          <w:w w:val="105"/>
          <w:sz w:val="16"/>
        </w:rPr>
        <w:t xml:space="preserve"> </w:t>
      </w:r>
      <w:r>
        <w:rPr>
          <w:color w:val="231F20"/>
          <w:w w:val="105"/>
          <w:sz w:val="16"/>
        </w:rPr>
        <w:t>search</w:t>
      </w:r>
      <w:r>
        <w:rPr>
          <w:color w:val="231F20"/>
          <w:spacing w:val="10"/>
          <w:w w:val="105"/>
          <w:sz w:val="16"/>
        </w:rPr>
        <w:t xml:space="preserve"> </w:t>
      </w:r>
      <w:r>
        <w:rPr>
          <w:color w:val="231F20"/>
          <w:w w:val="105"/>
          <w:sz w:val="16"/>
        </w:rPr>
        <w:t>for</w:t>
      </w:r>
      <w:r>
        <w:rPr>
          <w:color w:val="231F20"/>
          <w:spacing w:val="10"/>
          <w:w w:val="105"/>
          <w:sz w:val="16"/>
        </w:rPr>
        <w:t xml:space="preserve"> </w:t>
      </w:r>
      <w:r w:rsidR="00C507A5">
        <w:rPr>
          <w:color w:val="231F20"/>
          <w:spacing w:val="3"/>
          <w:w w:val="105"/>
          <w:sz w:val="16"/>
        </w:rPr>
        <w:t>red army faction</w:t>
      </w:r>
      <w:r>
        <w:rPr>
          <w:color w:val="231F20"/>
          <w:spacing w:val="10"/>
          <w:w w:val="105"/>
          <w:sz w:val="16"/>
        </w:rPr>
        <w:t xml:space="preserve"> </w:t>
      </w:r>
      <w:r>
        <w:rPr>
          <w:color w:val="231F20"/>
          <w:w w:val="105"/>
          <w:sz w:val="16"/>
        </w:rPr>
        <w:t>members.</w:t>
      </w:r>
    </w:p>
    <w:p w14:paraId="50171D74" w14:textId="77777777" w:rsidR="002653E8" w:rsidRDefault="002653E8">
      <w:pPr>
        <w:spacing w:line="254" w:lineRule="auto"/>
        <w:rPr>
          <w:sz w:val="16"/>
        </w:rPr>
        <w:sectPr w:rsidR="002653E8">
          <w:pgSz w:w="8640" w:h="12960"/>
          <w:pgMar w:top="1060" w:right="0" w:bottom="1040" w:left="0" w:header="0" w:footer="850" w:gutter="0"/>
          <w:cols w:space="720"/>
        </w:sectPr>
      </w:pPr>
    </w:p>
    <w:p w14:paraId="21D1D577" w14:textId="77777777" w:rsidR="002653E8" w:rsidRDefault="003115E3">
      <w:pPr>
        <w:pStyle w:val="a3"/>
        <w:spacing w:before="86" w:line="264" w:lineRule="auto"/>
        <w:ind w:left="1327" w:right="1146"/>
        <w:jc w:val="both"/>
      </w:pPr>
      <w:r>
        <w:rPr>
          <w:color w:val="231F20"/>
        </w:rPr>
        <w:lastRenderedPageBreak/>
        <w:t xml:space="preserve">“in  the  </w:t>
      </w:r>
      <w:r>
        <w:rPr>
          <w:color w:val="231F20"/>
          <w:spacing w:val="-5"/>
        </w:rPr>
        <w:t xml:space="preserve">know.”  </w:t>
      </w:r>
      <w:r>
        <w:rPr>
          <w:color w:val="231F20"/>
        </w:rPr>
        <w:t>Günther  Voigt</w:t>
      </w:r>
      <w:r>
        <w:rPr>
          <w:color w:val="231F20"/>
          <w:position w:val="7"/>
          <w:sz w:val="11"/>
        </w:rPr>
        <w:t xml:space="preserve">3  </w:t>
      </w:r>
      <w:r>
        <w:rPr>
          <w:color w:val="231F20"/>
        </w:rPr>
        <w:t>had  to  pay  for  puffing  himself  up  in  a conversation with Dürrenmatt,</w:t>
      </w:r>
      <w:r>
        <w:rPr>
          <w:color w:val="231F20"/>
          <w:position w:val="7"/>
          <w:sz w:val="11"/>
        </w:rPr>
        <w:t xml:space="preserve">4 </w:t>
      </w:r>
      <w:r>
        <w:rPr>
          <w:color w:val="231F20"/>
        </w:rPr>
        <w:t xml:space="preserve">claiming he was the one who freed Baader, which he regretted when the cops showed up. </w:t>
      </w:r>
      <w:r>
        <w:rPr>
          <w:color w:val="231F20"/>
          <w:spacing w:val="-3"/>
        </w:rPr>
        <w:t xml:space="preserve">It’s </w:t>
      </w:r>
      <w:r>
        <w:rPr>
          <w:color w:val="231F20"/>
        </w:rPr>
        <w:t xml:space="preserve">not easy to clear things up with denials, even when they’re true. Some people want to use these lies to prove that </w:t>
      </w:r>
      <w:r>
        <w:rPr>
          <w:color w:val="231F20"/>
          <w:spacing w:val="-3"/>
        </w:rPr>
        <w:t xml:space="preserve">we’re </w:t>
      </w:r>
      <w:r>
        <w:rPr>
          <w:color w:val="231F20"/>
        </w:rPr>
        <w:t xml:space="preserve">stupid, unreliable, careless, or crazy. By doing so, they encourage people to oppose us. </w:t>
      </w:r>
      <w:r>
        <w:rPr>
          <w:color w:val="231F20"/>
          <w:spacing w:val="1"/>
        </w:rPr>
        <w:t xml:space="preserve">In </w:t>
      </w:r>
      <w:r>
        <w:rPr>
          <w:color w:val="231F20"/>
        </w:rPr>
        <w:t xml:space="preserve">reality, they are irrelevant to us. They are only consumers. </w:t>
      </w:r>
      <w:r>
        <w:rPr>
          <w:color w:val="231F20"/>
          <w:spacing w:val="-5"/>
        </w:rPr>
        <w:t xml:space="preserve">We </w:t>
      </w:r>
      <w:r>
        <w:rPr>
          <w:color w:val="231F20"/>
        </w:rPr>
        <w:t xml:space="preserve">want nothing to do with these gossipmongers, for whom the anti-imperialist struggle is a coffee klatch. Many are those who </w:t>
      </w:r>
      <w:r>
        <w:rPr>
          <w:color w:val="231F20"/>
          <w:spacing w:val="-3"/>
        </w:rPr>
        <w:t xml:space="preserve">don’t </w:t>
      </w:r>
      <w:r>
        <w:rPr>
          <w:color w:val="231F20"/>
        </w:rPr>
        <w:t>gossip, who have some understanding of resistance, who are pissed off enough to wish us luck, who support   us because they know that there is no point spending life implicated in and adapted to this crap.</w:t>
      </w:r>
    </w:p>
    <w:p w14:paraId="09F70668" w14:textId="77777777" w:rsidR="002653E8" w:rsidRDefault="003115E3">
      <w:pPr>
        <w:pStyle w:val="a3"/>
        <w:spacing w:line="221" w:lineRule="exact"/>
        <w:ind w:left="1537"/>
      </w:pPr>
      <w:r>
        <w:rPr>
          <w:color w:val="231F20"/>
        </w:rPr>
        <w:t>What happened at the Knesebekstr. 89 house (Mahler’s arrest) was</w:t>
      </w:r>
    </w:p>
    <w:p w14:paraId="64BD84E4" w14:textId="77777777" w:rsidR="002653E8" w:rsidRDefault="003115E3">
      <w:pPr>
        <w:pStyle w:val="a3"/>
        <w:spacing w:before="23" w:line="264" w:lineRule="auto"/>
        <w:ind w:left="1327" w:right="1145"/>
        <w:jc w:val="both"/>
      </w:pPr>
      <w:r>
        <w:rPr>
          <w:color w:val="231F20"/>
        </w:rPr>
        <w:t xml:space="preserve">not due to carelessness on our </w:t>
      </w:r>
      <w:r>
        <w:rPr>
          <w:color w:val="231F20"/>
          <w:spacing w:val="1"/>
        </w:rPr>
        <w:t xml:space="preserve">part, </w:t>
      </w:r>
      <w:r>
        <w:rPr>
          <w:color w:val="231F20"/>
        </w:rPr>
        <w:t>but to betrayal. The traitor was one of us. There is no guarantee against that for people who do what we do. There is no certainty that comrades will not break under extreme police pressure, or will hold up in the face of the terror that the system uses against us, with which it attacks us. The pigs wouldn’t have the power   if they didn’t have these</w:t>
      </w:r>
      <w:r>
        <w:rPr>
          <w:color w:val="231F20"/>
          <w:spacing w:val="10"/>
        </w:rPr>
        <w:t xml:space="preserve"> </w:t>
      </w:r>
      <w:r>
        <w:rPr>
          <w:color w:val="231F20"/>
        </w:rPr>
        <w:t>tools.</w:t>
      </w:r>
    </w:p>
    <w:p w14:paraId="55A0191C" w14:textId="77777777" w:rsidR="002653E8" w:rsidRDefault="003115E3">
      <w:pPr>
        <w:pStyle w:val="a3"/>
        <w:spacing w:line="264" w:lineRule="auto"/>
        <w:ind w:left="1327" w:right="1145" w:firstLine="210"/>
        <w:jc w:val="both"/>
      </w:pPr>
      <w:r>
        <w:rPr>
          <w:color w:val="231F20"/>
        </w:rPr>
        <w:t>Our</w:t>
      </w:r>
      <w:r>
        <w:rPr>
          <w:color w:val="231F20"/>
          <w:spacing w:val="-8"/>
        </w:rPr>
        <w:t xml:space="preserve"> </w:t>
      </w:r>
      <w:r>
        <w:rPr>
          <w:color w:val="231F20"/>
        </w:rPr>
        <w:t>existence</w:t>
      </w:r>
      <w:r>
        <w:rPr>
          <w:color w:val="231F20"/>
          <w:spacing w:val="-8"/>
        </w:rPr>
        <w:t xml:space="preserve"> </w:t>
      </w:r>
      <w:r>
        <w:rPr>
          <w:color w:val="231F20"/>
        </w:rPr>
        <w:t>makes</w:t>
      </w:r>
      <w:r>
        <w:rPr>
          <w:color w:val="231F20"/>
          <w:spacing w:val="-8"/>
        </w:rPr>
        <w:t xml:space="preserve"> </w:t>
      </w:r>
      <w:r>
        <w:rPr>
          <w:color w:val="231F20"/>
        </w:rPr>
        <w:t>some</w:t>
      </w:r>
      <w:r>
        <w:rPr>
          <w:color w:val="231F20"/>
          <w:spacing w:val="-8"/>
        </w:rPr>
        <w:t xml:space="preserve"> </w:t>
      </w:r>
      <w:r>
        <w:rPr>
          <w:color w:val="231F20"/>
        </w:rPr>
        <w:t>people</w:t>
      </w:r>
      <w:r>
        <w:rPr>
          <w:color w:val="231F20"/>
          <w:spacing w:val="-8"/>
        </w:rPr>
        <w:t xml:space="preserve"> </w:t>
      </w:r>
      <w:r>
        <w:rPr>
          <w:color w:val="231F20"/>
        </w:rPr>
        <w:t>feel</w:t>
      </w:r>
      <w:r>
        <w:rPr>
          <w:color w:val="231F20"/>
          <w:spacing w:val="-8"/>
        </w:rPr>
        <w:t xml:space="preserve"> </w:t>
      </w:r>
      <w:r>
        <w:rPr>
          <w:color w:val="231F20"/>
        </w:rPr>
        <w:t>pressured</w:t>
      </w:r>
      <w:r>
        <w:rPr>
          <w:color w:val="231F20"/>
          <w:spacing w:val="-8"/>
        </w:rPr>
        <w:t xml:space="preserve"> </w:t>
      </w:r>
      <w:r>
        <w:rPr>
          <w:color w:val="231F20"/>
        </w:rPr>
        <w:t>to</w:t>
      </w:r>
      <w:r>
        <w:rPr>
          <w:color w:val="231F20"/>
          <w:spacing w:val="-8"/>
        </w:rPr>
        <w:t xml:space="preserve"> </w:t>
      </w:r>
      <w:r>
        <w:rPr>
          <w:color w:val="231F20"/>
        </w:rPr>
        <w:t>justify</w:t>
      </w:r>
      <w:r>
        <w:rPr>
          <w:color w:val="231F20"/>
          <w:spacing w:val="-8"/>
        </w:rPr>
        <w:t xml:space="preserve"> </w:t>
      </w:r>
      <w:r>
        <w:rPr>
          <w:color w:val="231F20"/>
        </w:rPr>
        <w:t xml:space="preserve">themselves. </w:t>
      </w:r>
      <w:r>
        <w:rPr>
          <w:color w:val="231F20"/>
          <w:spacing w:val="-8"/>
        </w:rPr>
        <w:t xml:space="preserve">To </w:t>
      </w:r>
      <w:r>
        <w:rPr>
          <w:color w:val="231F20"/>
          <w:spacing w:val="-3"/>
        </w:rPr>
        <w:t xml:space="preserve">avoid </w:t>
      </w:r>
      <w:r>
        <w:rPr>
          <w:color w:val="231F20"/>
        </w:rPr>
        <w:t xml:space="preserve">political discussion with us, to </w:t>
      </w:r>
      <w:r>
        <w:rPr>
          <w:color w:val="231F20"/>
          <w:spacing w:val="-3"/>
        </w:rPr>
        <w:t xml:space="preserve">avoid </w:t>
      </w:r>
      <w:r>
        <w:rPr>
          <w:color w:val="231F20"/>
        </w:rPr>
        <w:t>comparing their practice to ours, they distort even the smallest details. For example, the rumor is still circulating that Baader had only three or nine or twelve months to serve,</w:t>
      </w:r>
      <w:r>
        <w:rPr>
          <w:color w:val="231F20"/>
          <w:spacing w:val="-4"/>
        </w:rPr>
        <w:t xml:space="preserve"> </w:t>
      </w:r>
      <w:r>
        <w:rPr>
          <w:color w:val="231F20"/>
        </w:rPr>
        <w:t>though</w:t>
      </w:r>
      <w:r>
        <w:rPr>
          <w:color w:val="231F20"/>
          <w:spacing w:val="-4"/>
        </w:rPr>
        <w:t xml:space="preserve"> </w:t>
      </w:r>
      <w:r>
        <w:rPr>
          <w:color w:val="231F20"/>
        </w:rPr>
        <w:t>the</w:t>
      </w:r>
      <w:r>
        <w:rPr>
          <w:color w:val="231F20"/>
          <w:spacing w:val="-4"/>
        </w:rPr>
        <w:t xml:space="preserve"> </w:t>
      </w:r>
      <w:r>
        <w:rPr>
          <w:color w:val="231F20"/>
        </w:rPr>
        <w:t>correct</w:t>
      </w:r>
      <w:r>
        <w:rPr>
          <w:color w:val="231F20"/>
          <w:spacing w:val="-4"/>
        </w:rPr>
        <w:t xml:space="preserve"> </w:t>
      </w:r>
      <w:r>
        <w:rPr>
          <w:color w:val="231F20"/>
        </w:rPr>
        <w:t>length</w:t>
      </w:r>
      <w:r>
        <w:rPr>
          <w:color w:val="231F20"/>
          <w:spacing w:val="-4"/>
        </w:rPr>
        <w:t xml:space="preserve"> </w:t>
      </w:r>
      <w:r>
        <w:rPr>
          <w:color w:val="231F20"/>
        </w:rPr>
        <w:t>of</w:t>
      </w:r>
      <w:r>
        <w:rPr>
          <w:color w:val="231F20"/>
          <w:spacing w:val="-4"/>
        </w:rPr>
        <w:t xml:space="preserve"> </w:t>
      </w:r>
      <w:r>
        <w:rPr>
          <w:color w:val="231F20"/>
        </w:rPr>
        <w:t>time</w:t>
      </w:r>
      <w:r>
        <w:rPr>
          <w:color w:val="231F20"/>
          <w:spacing w:val="-4"/>
        </w:rPr>
        <w:t xml:space="preserve"> </w:t>
      </w:r>
      <w:r>
        <w:rPr>
          <w:color w:val="231F20"/>
        </w:rPr>
        <w:t>is</w:t>
      </w:r>
      <w:r>
        <w:rPr>
          <w:color w:val="231F20"/>
          <w:spacing w:val="-4"/>
        </w:rPr>
        <w:t xml:space="preserve"> </w:t>
      </w:r>
      <w:r>
        <w:rPr>
          <w:color w:val="231F20"/>
        </w:rPr>
        <w:t>easily</w:t>
      </w:r>
      <w:r>
        <w:rPr>
          <w:color w:val="231F20"/>
          <w:spacing w:val="-4"/>
        </w:rPr>
        <w:t xml:space="preserve"> </w:t>
      </w:r>
      <w:r>
        <w:rPr>
          <w:color w:val="231F20"/>
        </w:rPr>
        <w:t>ascertained:</w:t>
      </w:r>
      <w:r>
        <w:rPr>
          <w:color w:val="231F20"/>
          <w:spacing w:val="-4"/>
        </w:rPr>
        <w:t xml:space="preserve"> </w:t>
      </w:r>
      <w:r>
        <w:rPr>
          <w:color w:val="231F20"/>
        </w:rPr>
        <w:t>three</w:t>
      </w:r>
      <w:r>
        <w:rPr>
          <w:color w:val="231F20"/>
          <w:spacing w:val="-4"/>
        </w:rPr>
        <w:t xml:space="preserve"> </w:t>
      </w:r>
      <w:r>
        <w:rPr>
          <w:color w:val="231F20"/>
        </w:rPr>
        <w:t>years for arson, a further six months on probation, and approximately six months for falsifying documents. Of these 48 months, Andreas Baader had</w:t>
      </w:r>
      <w:r>
        <w:rPr>
          <w:color w:val="231F20"/>
          <w:spacing w:val="-6"/>
        </w:rPr>
        <w:t xml:space="preserve"> </w:t>
      </w:r>
      <w:r>
        <w:rPr>
          <w:color w:val="231F20"/>
        </w:rPr>
        <w:t>served</w:t>
      </w:r>
      <w:r>
        <w:rPr>
          <w:color w:val="231F20"/>
          <w:spacing w:val="-6"/>
        </w:rPr>
        <w:t xml:space="preserve"> </w:t>
      </w:r>
      <w:r>
        <w:rPr>
          <w:color w:val="231F20"/>
        </w:rPr>
        <w:t>14</w:t>
      </w:r>
      <w:r>
        <w:rPr>
          <w:color w:val="231F20"/>
          <w:spacing w:val="-6"/>
        </w:rPr>
        <w:t xml:space="preserve"> </w:t>
      </w:r>
      <w:r>
        <w:rPr>
          <w:color w:val="231F20"/>
        </w:rPr>
        <w:t>in</w:t>
      </w:r>
      <w:r>
        <w:rPr>
          <w:color w:val="231F20"/>
          <w:spacing w:val="-6"/>
        </w:rPr>
        <w:t xml:space="preserve"> </w:t>
      </w:r>
      <w:r>
        <w:rPr>
          <w:color w:val="231F20"/>
        </w:rPr>
        <w:t>ten</w:t>
      </w:r>
      <w:r>
        <w:rPr>
          <w:color w:val="231F20"/>
          <w:spacing w:val="-6"/>
        </w:rPr>
        <w:t xml:space="preserve"> </w:t>
      </w:r>
      <w:r>
        <w:rPr>
          <w:color w:val="231F20"/>
        </w:rPr>
        <w:t>different</w:t>
      </w:r>
      <w:r>
        <w:rPr>
          <w:color w:val="231F20"/>
          <w:spacing w:val="-6"/>
        </w:rPr>
        <w:t xml:space="preserve"> </w:t>
      </w:r>
      <w:r>
        <w:rPr>
          <w:color w:val="231F20"/>
        </w:rPr>
        <w:t>Hessian</w:t>
      </w:r>
      <w:r>
        <w:rPr>
          <w:color w:val="231F20"/>
          <w:spacing w:val="-6"/>
        </w:rPr>
        <w:t xml:space="preserve"> </w:t>
      </w:r>
      <w:r>
        <w:rPr>
          <w:color w:val="231F20"/>
        </w:rPr>
        <w:t>prisons—nine</w:t>
      </w:r>
      <w:r>
        <w:rPr>
          <w:color w:val="231F20"/>
          <w:spacing w:val="-6"/>
        </w:rPr>
        <w:t xml:space="preserve"> </w:t>
      </w:r>
      <w:r>
        <w:rPr>
          <w:color w:val="231F20"/>
        </w:rPr>
        <w:t>times</w:t>
      </w:r>
      <w:r>
        <w:rPr>
          <w:color w:val="231F20"/>
          <w:spacing w:val="-6"/>
        </w:rPr>
        <w:t xml:space="preserve"> </w:t>
      </w:r>
      <w:r>
        <w:rPr>
          <w:color w:val="231F20"/>
        </w:rPr>
        <w:t>he</w:t>
      </w:r>
      <w:r>
        <w:rPr>
          <w:color w:val="231F20"/>
          <w:spacing w:val="-6"/>
        </w:rPr>
        <w:t xml:space="preserve"> </w:t>
      </w:r>
      <w:r>
        <w:rPr>
          <w:color w:val="231F20"/>
        </w:rPr>
        <w:t>was</w:t>
      </w:r>
      <w:r>
        <w:rPr>
          <w:color w:val="231F20"/>
          <w:spacing w:val="-6"/>
        </w:rPr>
        <w:t xml:space="preserve"> </w:t>
      </w:r>
      <w:r>
        <w:rPr>
          <w:color w:val="231F20"/>
        </w:rPr>
        <w:t xml:space="preserve">transferred because of bad behavior, for example, organizing mutinies and resistance. Reducing the remaining 34 months to three, nine or twelve  is intended to reduce the moral justification for the May 14 breakout.   </w:t>
      </w:r>
      <w:r>
        <w:rPr>
          <w:color w:val="231F20"/>
          <w:spacing w:val="1"/>
        </w:rPr>
        <w:t xml:space="preserve">In </w:t>
      </w:r>
      <w:r>
        <w:rPr>
          <w:color w:val="231F20"/>
        </w:rPr>
        <w:t xml:space="preserve">this </w:t>
      </w:r>
      <w:r>
        <w:rPr>
          <w:color w:val="231F20"/>
          <w:spacing w:val="-5"/>
        </w:rPr>
        <w:t xml:space="preserve">way, </w:t>
      </w:r>
      <w:r>
        <w:rPr>
          <w:color w:val="231F20"/>
        </w:rPr>
        <w:t>some comrades rationalize their fear of the personal consequences</w:t>
      </w:r>
      <w:r>
        <w:rPr>
          <w:color w:val="231F20"/>
          <w:spacing w:val="10"/>
        </w:rPr>
        <w:t xml:space="preserve"> </w:t>
      </w:r>
      <w:r>
        <w:rPr>
          <w:color w:val="231F20"/>
        </w:rPr>
        <w:t>of</w:t>
      </w:r>
      <w:r>
        <w:rPr>
          <w:color w:val="231F20"/>
          <w:spacing w:val="10"/>
        </w:rPr>
        <w:t xml:space="preserve"> </w:t>
      </w:r>
      <w:r>
        <w:rPr>
          <w:color w:val="231F20"/>
        </w:rPr>
        <w:t>entering</w:t>
      </w:r>
      <w:r>
        <w:rPr>
          <w:color w:val="231F20"/>
          <w:spacing w:val="10"/>
        </w:rPr>
        <w:t xml:space="preserve"> </w:t>
      </w:r>
      <w:r>
        <w:rPr>
          <w:color w:val="231F20"/>
        </w:rPr>
        <w:t>into</w:t>
      </w:r>
      <w:r>
        <w:rPr>
          <w:color w:val="231F20"/>
          <w:spacing w:val="10"/>
        </w:rPr>
        <w:t xml:space="preserve"> </w:t>
      </w:r>
      <w:r>
        <w:rPr>
          <w:color w:val="231F20"/>
        </w:rPr>
        <w:t>a</w:t>
      </w:r>
      <w:r>
        <w:rPr>
          <w:color w:val="231F20"/>
          <w:spacing w:val="10"/>
        </w:rPr>
        <w:t xml:space="preserve"> </w:t>
      </w:r>
      <w:r>
        <w:rPr>
          <w:color w:val="231F20"/>
        </w:rPr>
        <w:t>political</w:t>
      </w:r>
      <w:r>
        <w:rPr>
          <w:color w:val="231F20"/>
          <w:spacing w:val="10"/>
        </w:rPr>
        <w:t xml:space="preserve"> </w:t>
      </w:r>
      <w:r>
        <w:rPr>
          <w:color w:val="231F20"/>
        </w:rPr>
        <w:t>discussion</w:t>
      </w:r>
      <w:r>
        <w:rPr>
          <w:color w:val="231F20"/>
          <w:spacing w:val="10"/>
        </w:rPr>
        <w:t xml:space="preserve"> </w:t>
      </w:r>
      <w:r>
        <w:rPr>
          <w:color w:val="231F20"/>
        </w:rPr>
        <w:t>with</w:t>
      </w:r>
      <w:r>
        <w:rPr>
          <w:color w:val="231F20"/>
          <w:spacing w:val="10"/>
        </w:rPr>
        <w:t xml:space="preserve"> </w:t>
      </w:r>
      <w:r>
        <w:rPr>
          <w:color w:val="231F20"/>
        </w:rPr>
        <w:t>us.</w:t>
      </w:r>
    </w:p>
    <w:p w14:paraId="79F031CB" w14:textId="77777777" w:rsidR="002653E8" w:rsidRDefault="003115E3">
      <w:pPr>
        <w:pStyle w:val="a3"/>
        <w:spacing w:line="220" w:lineRule="exact"/>
        <w:ind w:left="1538"/>
      </w:pPr>
      <w:r>
        <w:rPr>
          <w:color w:val="231F20"/>
        </w:rPr>
        <w:t>The question frequently asked, as to whether we would have pro-</w:t>
      </w:r>
    </w:p>
    <w:p w14:paraId="0EB324CC" w14:textId="77777777" w:rsidR="002653E8" w:rsidRDefault="003115E3">
      <w:pPr>
        <w:pStyle w:val="a3"/>
        <w:spacing w:before="15" w:line="264" w:lineRule="auto"/>
        <w:ind w:left="1328" w:right="1146"/>
        <w:jc w:val="both"/>
      </w:pPr>
      <w:r>
        <w:rPr>
          <w:color w:val="231F20"/>
        </w:rPr>
        <w:t>ceeded with the breakout if we had known that Linke would be shot,  can</w:t>
      </w:r>
      <w:r>
        <w:rPr>
          <w:color w:val="231F20"/>
          <w:spacing w:val="17"/>
        </w:rPr>
        <w:t xml:space="preserve"> </w:t>
      </w:r>
      <w:r>
        <w:rPr>
          <w:color w:val="231F20"/>
        </w:rPr>
        <w:t>only</w:t>
      </w:r>
      <w:r>
        <w:rPr>
          <w:color w:val="231F20"/>
          <w:spacing w:val="17"/>
        </w:rPr>
        <w:t xml:space="preserve"> </w:t>
      </w:r>
      <w:r>
        <w:rPr>
          <w:color w:val="231F20"/>
        </w:rPr>
        <w:t>be</w:t>
      </w:r>
      <w:r>
        <w:rPr>
          <w:color w:val="231F20"/>
          <w:spacing w:val="17"/>
        </w:rPr>
        <w:t xml:space="preserve"> </w:t>
      </w:r>
      <w:r>
        <w:rPr>
          <w:color w:val="231F20"/>
        </w:rPr>
        <w:t>answered</w:t>
      </w:r>
      <w:r>
        <w:rPr>
          <w:color w:val="231F20"/>
          <w:spacing w:val="17"/>
        </w:rPr>
        <w:t xml:space="preserve"> </w:t>
      </w:r>
      <w:r>
        <w:rPr>
          <w:color w:val="231F20"/>
        </w:rPr>
        <w:t>with</w:t>
      </w:r>
      <w:r>
        <w:rPr>
          <w:color w:val="231F20"/>
          <w:spacing w:val="17"/>
        </w:rPr>
        <w:t xml:space="preserve"> </w:t>
      </w:r>
      <w:r>
        <w:rPr>
          <w:color w:val="231F20"/>
        </w:rPr>
        <w:t>a</w:t>
      </w:r>
      <w:r>
        <w:rPr>
          <w:color w:val="231F20"/>
          <w:spacing w:val="17"/>
        </w:rPr>
        <w:t xml:space="preserve"> </w:t>
      </w:r>
      <w:r>
        <w:rPr>
          <w:color w:val="231F20"/>
        </w:rPr>
        <w:t>no.</w:t>
      </w:r>
      <w:r>
        <w:rPr>
          <w:color w:val="231F20"/>
          <w:spacing w:val="17"/>
        </w:rPr>
        <w:t xml:space="preserve"> </w:t>
      </w:r>
      <w:r>
        <w:rPr>
          <w:color w:val="231F20"/>
        </w:rPr>
        <w:t>The</w:t>
      </w:r>
      <w:r>
        <w:rPr>
          <w:color w:val="231F20"/>
          <w:spacing w:val="17"/>
        </w:rPr>
        <w:t xml:space="preserve"> </w:t>
      </w:r>
      <w:r>
        <w:rPr>
          <w:color w:val="231F20"/>
        </w:rPr>
        <w:t>question</w:t>
      </w:r>
      <w:r>
        <w:rPr>
          <w:color w:val="231F20"/>
          <w:spacing w:val="17"/>
        </w:rPr>
        <w:t xml:space="preserve"> </w:t>
      </w:r>
      <w:r>
        <w:rPr>
          <w:color w:val="231F20"/>
        </w:rPr>
        <w:t>of</w:t>
      </w:r>
      <w:r>
        <w:rPr>
          <w:color w:val="231F20"/>
          <w:spacing w:val="17"/>
        </w:rPr>
        <w:t xml:space="preserve"> </w:t>
      </w:r>
      <w:r>
        <w:rPr>
          <w:color w:val="231F20"/>
        </w:rPr>
        <w:t>what</w:t>
      </w:r>
      <w:r>
        <w:rPr>
          <w:color w:val="231F20"/>
          <w:spacing w:val="17"/>
        </w:rPr>
        <w:t xml:space="preserve"> </w:t>
      </w:r>
      <w:r>
        <w:rPr>
          <w:color w:val="231F20"/>
        </w:rPr>
        <w:t>we</w:t>
      </w:r>
      <w:r>
        <w:rPr>
          <w:color w:val="231F20"/>
          <w:spacing w:val="17"/>
        </w:rPr>
        <w:t xml:space="preserve"> </w:t>
      </w:r>
      <w:r>
        <w:rPr>
          <w:color w:val="231F20"/>
        </w:rPr>
        <w:t>would</w:t>
      </w:r>
      <w:r>
        <w:rPr>
          <w:color w:val="231F20"/>
          <w:spacing w:val="17"/>
        </w:rPr>
        <w:t xml:space="preserve"> </w:t>
      </w:r>
      <w:r>
        <w:rPr>
          <w:color w:val="231F20"/>
        </w:rPr>
        <w:t>have</w:t>
      </w:r>
    </w:p>
    <w:p w14:paraId="099756E4" w14:textId="77777777" w:rsidR="002653E8" w:rsidRDefault="002653E8">
      <w:pPr>
        <w:pStyle w:val="a3"/>
        <w:spacing w:before="1"/>
        <w:rPr>
          <w:sz w:val="12"/>
        </w:rPr>
      </w:pPr>
    </w:p>
    <w:p w14:paraId="0DED25D3" w14:textId="77777777" w:rsidR="002653E8" w:rsidRDefault="003115E3">
      <w:pPr>
        <w:pStyle w:val="a4"/>
        <w:numPr>
          <w:ilvl w:val="0"/>
          <w:numId w:val="163"/>
        </w:numPr>
        <w:tabs>
          <w:tab w:val="left" w:pos="1467"/>
        </w:tabs>
        <w:spacing w:before="105" w:line="254" w:lineRule="auto"/>
        <w:ind w:left="1327" w:right="1332" w:firstLine="0"/>
        <w:jc w:val="left"/>
        <w:rPr>
          <w:sz w:val="16"/>
        </w:rPr>
      </w:pPr>
      <w:r>
        <w:rPr>
          <w:color w:val="231F20"/>
          <w:w w:val="105"/>
          <w:sz w:val="16"/>
        </w:rPr>
        <w:t>Günther Voigt was a West Berlin arms dealer. A pistol that could be linked to   him</w:t>
      </w:r>
      <w:r>
        <w:rPr>
          <w:color w:val="231F20"/>
          <w:spacing w:val="5"/>
          <w:w w:val="105"/>
          <w:sz w:val="16"/>
        </w:rPr>
        <w:t xml:space="preserve"> </w:t>
      </w:r>
      <w:r>
        <w:rPr>
          <w:color w:val="231F20"/>
          <w:w w:val="105"/>
          <w:sz w:val="16"/>
        </w:rPr>
        <w:t>was</w:t>
      </w:r>
      <w:r>
        <w:rPr>
          <w:color w:val="231F20"/>
          <w:spacing w:val="5"/>
          <w:w w:val="105"/>
          <w:sz w:val="16"/>
        </w:rPr>
        <w:t xml:space="preserve"> </w:t>
      </w:r>
      <w:r>
        <w:rPr>
          <w:color w:val="231F20"/>
          <w:w w:val="105"/>
          <w:sz w:val="16"/>
        </w:rPr>
        <w:t>dropped</w:t>
      </w:r>
      <w:r>
        <w:rPr>
          <w:color w:val="231F20"/>
          <w:spacing w:val="5"/>
          <w:w w:val="105"/>
          <w:sz w:val="16"/>
        </w:rPr>
        <w:t xml:space="preserve"> </w:t>
      </w:r>
      <w:r>
        <w:rPr>
          <w:color w:val="231F20"/>
          <w:w w:val="105"/>
          <w:sz w:val="16"/>
        </w:rPr>
        <w:t>during</w:t>
      </w:r>
      <w:r>
        <w:rPr>
          <w:color w:val="231F20"/>
          <w:spacing w:val="5"/>
          <w:w w:val="105"/>
          <w:sz w:val="16"/>
        </w:rPr>
        <w:t xml:space="preserve"> </w:t>
      </w:r>
      <w:r>
        <w:rPr>
          <w:color w:val="231F20"/>
          <w:w w:val="105"/>
          <w:sz w:val="16"/>
        </w:rPr>
        <w:t>the</w:t>
      </w:r>
      <w:r>
        <w:rPr>
          <w:color w:val="231F20"/>
          <w:spacing w:val="5"/>
          <w:w w:val="105"/>
          <w:sz w:val="16"/>
        </w:rPr>
        <w:t xml:space="preserve"> </w:t>
      </w:r>
      <w:r>
        <w:rPr>
          <w:color w:val="231F20"/>
          <w:w w:val="105"/>
          <w:sz w:val="16"/>
        </w:rPr>
        <w:t>Baader</w:t>
      </w:r>
      <w:r>
        <w:rPr>
          <w:color w:val="231F20"/>
          <w:spacing w:val="5"/>
          <w:w w:val="105"/>
          <w:sz w:val="16"/>
        </w:rPr>
        <w:t xml:space="preserve"> </w:t>
      </w:r>
      <w:r>
        <w:rPr>
          <w:color w:val="231F20"/>
          <w:w w:val="105"/>
          <w:sz w:val="16"/>
        </w:rPr>
        <w:t>liberation.</w:t>
      </w:r>
      <w:r>
        <w:rPr>
          <w:color w:val="231F20"/>
          <w:spacing w:val="5"/>
          <w:w w:val="105"/>
          <w:sz w:val="16"/>
        </w:rPr>
        <w:t xml:space="preserve"> </w:t>
      </w:r>
      <w:r>
        <w:rPr>
          <w:color w:val="231F20"/>
          <w:w w:val="105"/>
          <w:sz w:val="16"/>
        </w:rPr>
        <w:t>Voigt</w:t>
      </w:r>
      <w:r>
        <w:rPr>
          <w:color w:val="231F20"/>
          <w:spacing w:val="5"/>
          <w:w w:val="105"/>
          <w:sz w:val="16"/>
        </w:rPr>
        <w:t xml:space="preserve"> </w:t>
      </w:r>
      <w:r>
        <w:rPr>
          <w:color w:val="231F20"/>
          <w:w w:val="105"/>
          <w:sz w:val="16"/>
        </w:rPr>
        <w:t>fled</w:t>
      </w:r>
      <w:r>
        <w:rPr>
          <w:color w:val="231F20"/>
          <w:spacing w:val="5"/>
          <w:w w:val="105"/>
          <w:sz w:val="16"/>
        </w:rPr>
        <w:t xml:space="preserve"> </w:t>
      </w:r>
      <w:r>
        <w:rPr>
          <w:color w:val="231F20"/>
          <w:w w:val="105"/>
          <w:sz w:val="16"/>
        </w:rPr>
        <w:t>to</w:t>
      </w:r>
      <w:r>
        <w:rPr>
          <w:color w:val="231F20"/>
          <w:spacing w:val="5"/>
          <w:w w:val="105"/>
          <w:sz w:val="16"/>
        </w:rPr>
        <w:t xml:space="preserve"> </w:t>
      </w:r>
      <w:r>
        <w:rPr>
          <w:color w:val="231F20"/>
          <w:w w:val="105"/>
          <w:sz w:val="16"/>
        </w:rPr>
        <w:t>Switzerland</w:t>
      </w:r>
      <w:r>
        <w:rPr>
          <w:color w:val="231F20"/>
          <w:spacing w:val="5"/>
          <w:w w:val="105"/>
          <w:sz w:val="16"/>
        </w:rPr>
        <w:t xml:space="preserve"> </w:t>
      </w:r>
      <w:r>
        <w:rPr>
          <w:color w:val="231F20"/>
          <w:w w:val="105"/>
          <w:sz w:val="16"/>
        </w:rPr>
        <w:t>where</w:t>
      </w:r>
      <w:r>
        <w:rPr>
          <w:color w:val="231F20"/>
          <w:spacing w:val="5"/>
          <w:w w:val="105"/>
          <w:sz w:val="16"/>
        </w:rPr>
        <w:t xml:space="preserve"> </w:t>
      </w:r>
      <w:r>
        <w:rPr>
          <w:color w:val="231F20"/>
          <w:w w:val="105"/>
          <w:sz w:val="16"/>
        </w:rPr>
        <w:t>he</w:t>
      </w:r>
    </w:p>
    <w:p w14:paraId="5DD0BD95" w14:textId="77777777" w:rsidR="002653E8" w:rsidRDefault="003115E3">
      <w:pPr>
        <w:spacing w:before="1" w:line="254" w:lineRule="auto"/>
        <w:ind w:left="1327" w:right="1145"/>
        <w:rPr>
          <w:sz w:val="16"/>
        </w:rPr>
      </w:pPr>
      <w:r>
        <w:rPr>
          <w:color w:val="231F20"/>
          <w:w w:val="105"/>
          <w:sz w:val="16"/>
        </w:rPr>
        <w:t>gave an interview that led to his arrest, claiming he was involved in the liberation of Baader.</w:t>
      </w:r>
    </w:p>
    <w:p w14:paraId="2C05E43B" w14:textId="77777777" w:rsidR="002653E8" w:rsidRDefault="003115E3">
      <w:pPr>
        <w:pStyle w:val="a4"/>
        <w:numPr>
          <w:ilvl w:val="0"/>
          <w:numId w:val="163"/>
        </w:numPr>
        <w:tabs>
          <w:tab w:val="left" w:pos="1467"/>
        </w:tabs>
        <w:spacing w:before="40"/>
        <w:ind w:left="1466"/>
        <w:jc w:val="left"/>
        <w:rPr>
          <w:sz w:val="16"/>
        </w:rPr>
      </w:pPr>
      <w:r>
        <w:rPr>
          <w:color w:val="231F20"/>
          <w:w w:val="105"/>
          <w:sz w:val="16"/>
        </w:rPr>
        <w:t>Friedrich</w:t>
      </w:r>
      <w:r>
        <w:rPr>
          <w:color w:val="231F20"/>
          <w:spacing w:val="7"/>
          <w:w w:val="105"/>
          <w:sz w:val="16"/>
        </w:rPr>
        <w:t xml:space="preserve"> </w:t>
      </w:r>
      <w:r>
        <w:rPr>
          <w:color w:val="231F20"/>
          <w:w w:val="105"/>
          <w:sz w:val="16"/>
        </w:rPr>
        <w:t>Dürrenmatt</w:t>
      </w:r>
      <w:r>
        <w:rPr>
          <w:color w:val="231F20"/>
          <w:spacing w:val="7"/>
          <w:w w:val="105"/>
          <w:sz w:val="16"/>
        </w:rPr>
        <w:t xml:space="preserve"> </w:t>
      </w:r>
      <w:r>
        <w:rPr>
          <w:color w:val="231F20"/>
          <w:w w:val="105"/>
          <w:sz w:val="16"/>
        </w:rPr>
        <w:t>was</w:t>
      </w:r>
      <w:r>
        <w:rPr>
          <w:color w:val="231F20"/>
          <w:spacing w:val="7"/>
          <w:w w:val="105"/>
          <w:sz w:val="16"/>
        </w:rPr>
        <w:t xml:space="preserve"> </w:t>
      </w:r>
      <w:r>
        <w:rPr>
          <w:color w:val="231F20"/>
          <w:w w:val="105"/>
          <w:sz w:val="16"/>
        </w:rPr>
        <w:t>a</w:t>
      </w:r>
      <w:r>
        <w:rPr>
          <w:color w:val="231F20"/>
          <w:spacing w:val="7"/>
          <w:w w:val="105"/>
          <w:sz w:val="16"/>
        </w:rPr>
        <w:t xml:space="preserve"> </w:t>
      </w:r>
      <w:r>
        <w:rPr>
          <w:color w:val="231F20"/>
          <w:w w:val="105"/>
          <w:sz w:val="16"/>
        </w:rPr>
        <w:t>Swiss</w:t>
      </w:r>
      <w:r>
        <w:rPr>
          <w:color w:val="231F20"/>
          <w:spacing w:val="7"/>
          <w:w w:val="105"/>
          <w:sz w:val="16"/>
        </w:rPr>
        <w:t xml:space="preserve"> </w:t>
      </w:r>
      <w:r>
        <w:rPr>
          <w:color w:val="231F20"/>
          <w:w w:val="105"/>
          <w:sz w:val="16"/>
        </w:rPr>
        <w:t>playwright</w:t>
      </w:r>
      <w:r>
        <w:rPr>
          <w:color w:val="231F20"/>
          <w:spacing w:val="7"/>
          <w:w w:val="105"/>
          <w:sz w:val="16"/>
        </w:rPr>
        <w:t xml:space="preserve"> </w:t>
      </w:r>
      <w:r>
        <w:rPr>
          <w:color w:val="231F20"/>
          <w:w w:val="105"/>
          <w:sz w:val="16"/>
        </w:rPr>
        <w:t>and</w:t>
      </w:r>
      <w:r>
        <w:rPr>
          <w:color w:val="231F20"/>
          <w:spacing w:val="7"/>
          <w:w w:val="105"/>
          <w:sz w:val="16"/>
        </w:rPr>
        <w:t xml:space="preserve"> </w:t>
      </w:r>
      <w:r>
        <w:rPr>
          <w:color w:val="231F20"/>
          <w:w w:val="105"/>
          <w:sz w:val="16"/>
        </w:rPr>
        <w:t>essayist.</w:t>
      </w:r>
    </w:p>
    <w:p w14:paraId="791182DF" w14:textId="77777777" w:rsidR="002653E8" w:rsidRDefault="002653E8">
      <w:pPr>
        <w:rPr>
          <w:sz w:val="16"/>
        </w:rPr>
        <w:sectPr w:rsidR="002653E8">
          <w:footerReference w:type="even" r:id="rId80"/>
          <w:footerReference w:type="default" r:id="rId81"/>
          <w:pgSz w:w="8640" w:h="12960"/>
          <w:pgMar w:top="1060" w:right="0" w:bottom="1460" w:left="0" w:header="0" w:footer="1270" w:gutter="0"/>
          <w:cols w:space="720"/>
        </w:sectPr>
      </w:pPr>
    </w:p>
    <w:p w14:paraId="2FD6A43E" w14:textId="77777777" w:rsidR="002653E8" w:rsidRDefault="003115E3">
      <w:pPr>
        <w:pStyle w:val="a3"/>
        <w:spacing w:before="86" w:line="264" w:lineRule="auto"/>
        <w:ind w:left="1147" w:right="1325"/>
        <w:jc w:val="both"/>
      </w:pPr>
      <w:r>
        <w:rPr>
          <w:color w:val="231F20"/>
        </w:rPr>
        <w:lastRenderedPageBreak/>
        <w:t xml:space="preserve">done if… is ambiguous—pacifist, moralistic, platonic, and detached. Anyone who thinks seriously about the breakout would not pose this question, but would think it through for himself. </w:t>
      </w:r>
      <w:r>
        <w:rPr>
          <w:color w:val="231F20"/>
          <w:spacing w:val="1"/>
        </w:rPr>
        <w:t xml:space="preserve">In </w:t>
      </w:r>
      <w:r>
        <w:rPr>
          <w:color w:val="231F20"/>
        </w:rPr>
        <w:t xml:space="preserve">asking this question, people only want to see if we are as brutal as the Springer Press claims. </w:t>
      </w:r>
      <w:r>
        <w:rPr>
          <w:color w:val="231F20"/>
          <w:spacing w:val="-3"/>
        </w:rPr>
        <w:t xml:space="preserve">It’s </w:t>
      </w:r>
      <w:r>
        <w:rPr>
          <w:color w:val="231F20"/>
        </w:rPr>
        <w:t xml:space="preserve">like an  interrogation  in  catechism  class.  It  is  an  attempt to trivialize the question of revolutionary violence, by treating revolutionary violence and bourgeois violence as the same thing, which leads nowhere. </w:t>
      </w:r>
      <w:r>
        <w:rPr>
          <w:color w:val="231F20"/>
          <w:spacing w:val="1"/>
        </w:rPr>
        <w:t xml:space="preserve">In </w:t>
      </w:r>
      <w:r>
        <w:rPr>
          <w:color w:val="231F20"/>
        </w:rPr>
        <w:t>anticipating all the possible developments, there was no reason to believe that a civilian would intervene. It is suicidal to think that</w:t>
      </w:r>
      <w:r>
        <w:rPr>
          <w:color w:val="231F20"/>
          <w:spacing w:val="10"/>
        </w:rPr>
        <w:t xml:space="preserve"> </w:t>
      </w:r>
      <w:r>
        <w:rPr>
          <w:color w:val="231F20"/>
        </w:rPr>
        <w:t>one</w:t>
      </w:r>
      <w:r>
        <w:rPr>
          <w:color w:val="231F20"/>
          <w:spacing w:val="10"/>
        </w:rPr>
        <w:t xml:space="preserve"> </w:t>
      </w:r>
      <w:r>
        <w:rPr>
          <w:color w:val="231F20"/>
        </w:rPr>
        <w:t>can</w:t>
      </w:r>
      <w:r>
        <w:rPr>
          <w:color w:val="231F20"/>
          <w:spacing w:val="10"/>
        </w:rPr>
        <w:t xml:space="preserve"> </w:t>
      </w:r>
      <w:r>
        <w:rPr>
          <w:color w:val="231F20"/>
        </w:rPr>
        <w:t>conduct</w:t>
      </w:r>
      <w:r>
        <w:rPr>
          <w:color w:val="231F20"/>
          <w:spacing w:val="10"/>
        </w:rPr>
        <w:t xml:space="preserve"> </w:t>
      </w:r>
      <w:r>
        <w:rPr>
          <w:color w:val="231F20"/>
        </w:rPr>
        <w:t>a</w:t>
      </w:r>
      <w:r>
        <w:rPr>
          <w:color w:val="231F20"/>
          <w:spacing w:val="10"/>
        </w:rPr>
        <w:t xml:space="preserve"> </w:t>
      </w:r>
      <w:r>
        <w:rPr>
          <w:color w:val="231F20"/>
        </w:rPr>
        <w:t>jailbreak</w:t>
      </w:r>
      <w:r>
        <w:rPr>
          <w:color w:val="231F20"/>
          <w:spacing w:val="10"/>
        </w:rPr>
        <w:t xml:space="preserve"> </w:t>
      </w:r>
      <w:r>
        <w:rPr>
          <w:color w:val="231F20"/>
        </w:rPr>
        <w:t>unarmed.</w:t>
      </w:r>
    </w:p>
    <w:p w14:paraId="5867A27B" w14:textId="77777777" w:rsidR="002653E8" w:rsidRDefault="003115E3">
      <w:pPr>
        <w:pStyle w:val="a3"/>
        <w:spacing w:line="264" w:lineRule="auto"/>
        <w:ind w:left="1147" w:right="1326" w:firstLine="210"/>
        <w:jc w:val="both"/>
      </w:pPr>
      <w:r>
        <w:rPr>
          <w:color w:val="231F20"/>
        </w:rPr>
        <w:t xml:space="preserve">On May 14, the cops fired the first shots. This was the case in Frankfurt as well, where two of us ran for it, because we are not going  to just let ourselves be arrested. The cops shot to kill. Sometimes we didn’t shoot at all, and when we did, we didn’t shoot to kill. </w:t>
      </w:r>
      <w:r>
        <w:rPr>
          <w:color w:val="231F20"/>
          <w:spacing w:val="1"/>
        </w:rPr>
        <w:t xml:space="preserve">In </w:t>
      </w:r>
      <w:r>
        <w:rPr>
          <w:color w:val="231F20"/>
        </w:rPr>
        <w:t>Berlin,    in Nuremburg, in Frankfurt.</w:t>
      </w:r>
      <w:r>
        <w:rPr>
          <w:color w:val="231F20"/>
          <w:position w:val="7"/>
          <w:sz w:val="11"/>
        </w:rPr>
        <w:t xml:space="preserve">1  </w:t>
      </w:r>
      <w:r>
        <w:rPr>
          <w:color w:val="231F20"/>
        </w:rPr>
        <w:t xml:space="preserve">It can be proven, because it is true. </w:t>
      </w:r>
      <w:r>
        <w:rPr>
          <w:color w:val="231F20"/>
          <w:spacing w:val="-5"/>
        </w:rPr>
        <w:t xml:space="preserve">We      </w:t>
      </w:r>
      <w:r>
        <w:rPr>
          <w:color w:val="231F20"/>
        </w:rPr>
        <w:t xml:space="preserve">do not “use firearms </w:t>
      </w:r>
      <w:r>
        <w:rPr>
          <w:color w:val="231F20"/>
          <w:spacing w:val="-3"/>
        </w:rPr>
        <w:t xml:space="preserve">recklessly.” </w:t>
      </w:r>
      <w:r>
        <w:rPr>
          <w:color w:val="231F20"/>
        </w:rPr>
        <w:t xml:space="preserve">The cop who finds himself in the contradiction of being a “little man” and a capitalist pawn, a low paid employee and monopoly capitalism’s agent, is not obliged to follow orders. </w:t>
      </w:r>
      <w:r>
        <w:rPr>
          <w:color w:val="231F20"/>
          <w:spacing w:val="-5"/>
        </w:rPr>
        <w:t xml:space="preserve">We </w:t>
      </w:r>
      <w:r>
        <w:rPr>
          <w:color w:val="231F20"/>
        </w:rPr>
        <w:t>shoot back if someone shoots at us. The cop who lets us go, we let him go as</w:t>
      </w:r>
      <w:r>
        <w:rPr>
          <w:color w:val="231F20"/>
          <w:spacing w:val="32"/>
        </w:rPr>
        <w:t xml:space="preserve"> </w:t>
      </w:r>
      <w:r>
        <w:rPr>
          <w:color w:val="231F20"/>
        </w:rPr>
        <w:t>well.</w:t>
      </w:r>
    </w:p>
    <w:p w14:paraId="1AD13F39" w14:textId="77777777" w:rsidR="002653E8" w:rsidRDefault="003115E3">
      <w:pPr>
        <w:pStyle w:val="a3"/>
        <w:spacing w:line="264" w:lineRule="auto"/>
        <w:ind w:left="1147" w:right="1326" w:firstLine="210"/>
        <w:jc w:val="both"/>
      </w:pPr>
      <w:r>
        <w:rPr>
          <w:color w:val="231F20"/>
        </w:rPr>
        <w:t xml:space="preserve">It is clear that the massive hunt for us is really directed against the entire socialist left in the Federal Republic and </w:t>
      </w:r>
      <w:r>
        <w:rPr>
          <w:color w:val="231F20"/>
          <w:spacing w:val="-3"/>
        </w:rPr>
        <w:t xml:space="preserve">West </w:t>
      </w:r>
      <w:r>
        <w:rPr>
          <w:color w:val="231F20"/>
        </w:rPr>
        <w:t>Berlin. This circus cannot be justified by the small amount of money or the few cars and documents we are alleged to have stolen, or by the attempted murder they’re trying to pin on us. The ruling class has been scared out of its skin. They thought that they had this state and all of its inhabitants, classes, and contradictions under control, right down to the last detail: the intellectuals reduced to their magazines, the left isolated in its own circles, Marxism-Leninism disarmed, and internationalism demoralized. However fragile it may pretend to be, the power structure is not   so easily damaged. One should not be tricked by this hue and cry into contributing to all this noise.</w:t>
      </w:r>
    </w:p>
    <w:p w14:paraId="68732ED1" w14:textId="77777777" w:rsidR="002653E8" w:rsidRDefault="003115E3">
      <w:pPr>
        <w:pStyle w:val="a3"/>
        <w:spacing w:line="221" w:lineRule="exact"/>
        <w:ind w:left="1357"/>
      </w:pPr>
      <w:r>
        <w:rPr>
          <w:color w:val="231F20"/>
        </w:rPr>
        <w:t>We are not saying that the organization of armed resistance groups</w:t>
      </w:r>
    </w:p>
    <w:p w14:paraId="25D80236" w14:textId="77777777" w:rsidR="002653E8" w:rsidRDefault="00000000">
      <w:pPr>
        <w:pStyle w:val="a3"/>
        <w:spacing w:before="1" w:line="264" w:lineRule="auto"/>
        <w:ind w:left="1147" w:right="1326"/>
        <w:jc w:val="both"/>
      </w:pPr>
      <w:r>
        <w:rPr>
          <w:noProof w:val="0"/>
        </w:rPr>
        <w:pict w14:anchorId="27FF323A">
          <v:line id="_x0000_s2615" style="position:absolute;left:0;text-align:left;z-index:3376;mso-wrap-distance-left:0;mso-wrap-distance-right:0;mso-position-horizontal-relative:page" from="57.4pt,45.7pt" to="129.4pt,45.7pt" strokecolor="#231f20" strokeweight=".5pt">
            <w10:wrap type="topAndBottom" anchorx="page"/>
          </v:line>
        </w:pict>
      </w:r>
      <w:r w:rsidR="003115E3">
        <w:rPr>
          <w:color w:val="231F20"/>
        </w:rPr>
        <w:t xml:space="preserve">can replace the legal proletarian organizations, that  isolated  actions can replace the class struggle, or that armed struggle can replace political work in the factories or neighborhoods. </w:t>
      </w:r>
      <w:r w:rsidR="003115E3">
        <w:rPr>
          <w:color w:val="231F20"/>
          <w:spacing w:val="-5"/>
        </w:rPr>
        <w:t xml:space="preserve">We </w:t>
      </w:r>
      <w:r w:rsidR="003115E3">
        <w:rPr>
          <w:color w:val="231F20"/>
        </w:rPr>
        <w:t>are arguing</w:t>
      </w:r>
      <w:r w:rsidR="003115E3">
        <w:rPr>
          <w:color w:val="231F20"/>
          <w:spacing w:val="1"/>
        </w:rPr>
        <w:t xml:space="preserve"> </w:t>
      </w:r>
      <w:r w:rsidR="003115E3">
        <w:rPr>
          <w:color w:val="231F20"/>
        </w:rPr>
        <w:t>that</w:t>
      </w:r>
    </w:p>
    <w:p w14:paraId="6AD995E0" w14:textId="77777777" w:rsidR="002653E8" w:rsidRDefault="003115E3">
      <w:pPr>
        <w:spacing w:before="53" w:line="254" w:lineRule="auto"/>
        <w:ind w:left="1147" w:right="1427"/>
        <w:rPr>
          <w:sz w:val="16"/>
        </w:rPr>
      </w:pPr>
      <w:r>
        <w:rPr>
          <w:color w:val="231F20"/>
          <w:w w:val="105"/>
          <w:sz w:val="16"/>
        </w:rPr>
        <w:t xml:space="preserve">1 Berlin refers to the Knesebeckstr. arrest mentioned above. On December 21, 1971, </w:t>
      </w:r>
      <w:r w:rsidR="00C507A5">
        <w:rPr>
          <w:color w:val="231F20"/>
          <w:spacing w:val="3"/>
          <w:w w:val="105"/>
          <w:sz w:val="16"/>
        </w:rPr>
        <w:t>red army faction</w:t>
      </w:r>
      <w:r>
        <w:rPr>
          <w:color w:val="231F20"/>
          <w:spacing w:val="3"/>
          <w:w w:val="105"/>
          <w:sz w:val="16"/>
        </w:rPr>
        <w:t xml:space="preserve"> </w:t>
      </w:r>
      <w:r>
        <w:rPr>
          <w:color w:val="231F20"/>
          <w:w w:val="105"/>
          <w:sz w:val="16"/>
        </w:rPr>
        <w:t xml:space="preserve">member </w:t>
      </w:r>
      <w:r>
        <w:rPr>
          <w:color w:val="231F20"/>
          <w:spacing w:val="1"/>
          <w:w w:val="105"/>
          <w:sz w:val="16"/>
        </w:rPr>
        <w:t xml:space="preserve">Ali </w:t>
      </w:r>
      <w:r>
        <w:rPr>
          <w:color w:val="231F20"/>
          <w:w w:val="105"/>
          <w:sz w:val="16"/>
        </w:rPr>
        <w:t xml:space="preserve">Jansen was arrested following a shootout at a police roadblock in Nuremberg. On February 10, 1971, police in </w:t>
      </w:r>
      <w:r>
        <w:rPr>
          <w:color w:val="231F20"/>
          <w:spacing w:val="1"/>
          <w:w w:val="105"/>
          <w:sz w:val="16"/>
        </w:rPr>
        <w:t xml:space="preserve">Frankfurt </w:t>
      </w:r>
      <w:r>
        <w:rPr>
          <w:color w:val="231F20"/>
          <w:w w:val="105"/>
          <w:sz w:val="16"/>
        </w:rPr>
        <w:t>opened fire on Astrid Proll  and Manfred Grashof, who escaped</w:t>
      </w:r>
      <w:r>
        <w:rPr>
          <w:color w:val="231F20"/>
          <w:spacing w:val="10"/>
          <w:w w:val="105"/>
          <w:sz w:val="16"/>
        </w:rPr>
        <w:t xml:space="preserve"> </w:t>
      </w:r>
      <w:r>
        <w:rPr>
          <w:color w:val="231F20"/>
          <w:w w:val="105"/>
          <w:sz w:val="16"/>
        </w:rPr>
        <w:t>unharmed.</w:t>
      </w:r>
    </w:p>
    <w:p w14:paraId="38579E6C" w14:textId="77777777" w:rsidR="002653E8" w:rsidRDefault="002653E8">
      <w:pPr>
        <w:spacing w:line="254" w:lineRule="auto"/>
        <w:rPr>
          <w:sz w:val="16"/>
        </w:rPr>
        <w:sectPr w:rsidR="002653E8">
          <w:pgSz w:w="8640" w:h="12960"/>
          <w:pgMar w:top="1060" w:right="0" w:bottom="1040" w:left="0" w:header="0" w:footer="850" w:gutter="0"/>
          <w:cols w:space="720"/>
        </w:sectPr>
      </w:pPr>
    </w:p>
    <w:p w14:paraId="14656C61" w14:textId="77777777" w:rsidR="002653E8" w:rsidRDefault="003115E3">
      <w:pPr>
        <w:pStyle w:val="a3"/>
        <w:spacing w:before="86" w:line="264" w:lineRule="auto"/>
        <w:ind w:left="1327" w:right="1146"/>
        <w:jc w:val="both"/>
      </w:pPr>
      <w:r>
        <w:rPr>
          <w:color w:val="231F20"/>
        </w:rPr>
        <w:lastRenderedPageBreak/>
        <w:t>armed struggle is a necessary precondition for the  latter  to</w:t>
      </w:r>
      <w:r>
        <w:rPr>
          <w:color w:val="231F20"/>
          <w:spacing w:val="16"/>
        </w:rPr>
        <w:t xml:space="preserve"> </w:t>
      </w:r>
      <w:r>
        <w:rPr>
          <w:color w:val="231F20"/>
        </w:rPr>
        <w:t xml:space="preserve">succeed and progress, that armed struggle is “the highest form of MarxismLeninism” </w:t>
      </w:r>
      <w:r>
        <w:rPr>
          <w:color w:val="231F20"/>
          <w:spacing w:val="-3"/>
        </w:rPr>
        <w:t xml:space="preserve">(Mao), </w:t>
      </w:r>
      <w:r>
        <w:rPr>
          <w:color w:val="231F20"/>
        </w:rPr>
        <w:t xml:space="preserve">and that it can and must begin </w:t>
      </w:r>
      <w:r>
        <w:rPr>
          <w:color w:val="231F20"/>
          <w:spacing w:val="-4"/>
        </w:rPr>
        <w:t xml:space="preserve">now, </w:t>
      </w:r>
      <w:r>
        <w:rPr>
          <w:color w:val="231F20"/>
        </w:rPr>
        <w:t xml:space="preserve">as  without  it there can be no anti-imperialist struggle in the metropole. </w:t>
      </w:r>
      <w:r>
        <w:rPr>
          <w:color w:val="231F20"/>
          <w:spacing w:val="-5"/>
        </w:rPr>
        <w:t xml:space="preserve">We </w:t>
      </w:r>
      <w:r>
        <w:rPr>
          <w:color w:val="231F20"/>
        </w:rPr>
        <w:t>are not Blanquists nor are we anarchists, though we think Blanqui was a great revolutionary and the personal heroism of many anarchists is certainly above</w:t>
      </w:r>
      <w:r>
        <w:rPr>
          <w:color w:val="231F20"/>
          <w:spacing w:val="10"/>
        </w:rPr>
        <w:t xml:space="preserve"> </w:t>
      </w:r>
      <w:r>
        <w:rPr>
          <w:color w:val="231F20"/>
        </w:rPr>
        <w:t>reproach.</w:t>
      </w:r>
    </w:p>
    <w:p w14:paraId="11FB823C" w14:textId="77777777" w:rsidR="002653E8" w:rsidRDefault="003115E3">
      <w:pPr>
        <w:pStyle w:val="a3"/>
        <w:spacing w:line="264" w:lineRule="auto"/>
        <w:ind w:left="1327" w:right="1146" w:firstLine="210"/>
        <w:jc w:val="both"/>
      </w:pPr>
      <w:r>
        <w:rPr>
          <w:color w:val="231F20"/>
        </w:rPr>
        <w:t>We have not even been active for a year yet. It is too soon to draw conclusions. The extensive publicity that Genscher, Zimmermann</w:t>
      </w:r>
      <w:r>
        <w:rPr>
          <w:color w:val="231F20"/>
          <w:position w:val="7"/>
          <w:sz w:val="11"/>
        </w:rPr>
        <w:t xml:space="preserve">2 </w:t>
      </w:r>
      <w:r>
        <w:rPr>
          <w:color w:val="231F20"/>
        </w:rPr>
        <w:t>and Co. have given us opens up a propaganda opportunity which we are using to share a few thoughts.</w:t>
      </w:r>
    </w:p>
    <w:p w14:paraId="78BFE5BA" w14:textId="77777777" w:rsidR="002653E8" w:rsidRDefault="002653E8">
      <w:pPr>
        <w:pStyle w:val="a3"/>
        <w:spacing w:before="3"/>
        <w:rPr>
          <w:sz w:val="19"/>
        </w:rPr>
      </w:pPr>
    </w:p>
    <w:p w14:paraId="74DCF7AB" w14:textId="77777777" w:rsidR="002653E8" w:rsidRDefault="003115E3">
      <w:pPr>
        <w:numPr>
          <w:ilvl w:val="0"/>
          <w:numId w:val="164"/>
        </w:numPr>
        <w:tabs>
          <w:tab w:val="left" w:pos="1658"/>
        </w:tabs>
        <w:spacing w:before="1"/>
        <w:ind w:left="1657" w:hanging="330"/>
        <w:jc w:val="left"/>
      </w:pPr>
      <w:r>
        <w:rPr>
          <w:color w:val="231F20"/>
          <w:w w:val="135"/>
        </w:rPr>
        <w:t>.</w:t>
      </w:r>
      <w:r>
        <w:rPr>
          <w:color w:val="231F20"/>
        </w:rPr>
        <w:t xml:space="preserve">  </w:t>
      </w:r>
      <w:r>
        <w:rPr>
          <w:color w:val="231F20"/>
          <w:spacing w:val="-22"/>
        </w:rPr>
        <w:t xml:space="preserve"> </w:t>
      </w:r>
      <w:r>
        <w:rPr>
          <w:color w:val="231F20"/>
          <w:spacing w:val="28"/>
          <w:w w:val="147"/>
        </w:rPr>
        <w:t>t</w:t>
      </w:r>
      <w:r>
        <w:rPr>
          <w:color w:val="231F20"/>
          <w:spacing w:val="25"/>
          <w:w w:val="120"/>
        </w:rPr>
        <w:t>h</w:t>
      </w:r>
      <w:r>
        <w:rPr>
          <w:color w:val="231F20"/>
          <w:w w:val="102"/>
        </w:rPr>
        <w:t>e</w:t>
      </w:r>
      <w:r>
        <w:rPr>
          <w:color w:val="231F20"/>
        </w:rPr>
        <w:t xml:space="preserve">  </w:t>
      </w:r>
      <w:r>
        <w:rPr>
          <w:color w:val="231F20"/>
          <w:spacing w:val="-22"/>
        </w:rPr>
        <w:t xml:space="preserve"> </w:t>
      </w:r>
      <w:r>
        <w:rPr>
          <w:color w:val="231F20"/>
          <w:spacing w:val="26"/>
          <w:w w:val="93"/>
        </w:rPr>
        <w:t>m</w:t>
      </w:r>
      <w:r>
        <w:rPr>
          <w:color w:val="231F20"/>
          <w:spacing w:val="23"/>
          <w:w w:val="102"/>
        </w:rPr>
        <w:t>e</w:t>
      </w:r>
      <w:r>
        <w:rPr>
          <w:color w:val="231F20"/>
          <w:spacing w:val="28"/>
          <w:w w:val="147"/>
        </w:rPr>
        <w:t>t</w:t>
      </w:r>
      <w:r>
        <w:rPr>
          <w:color w:val="231F20"/>
          <w:spacing w:val="15"/>
          <w:w w:val="134"/>
        </w:rPr>
        <w:t>r</w:t>
      </w:r>
      <w:r>
        <w:rPr>
          <w:color w:val="231F20"/>
          <w:spacing w:val="16"/>
          <w:w w:val="125"/>
        </w:rPr>
        <w:t>o</w:t>
      </w:r>
      <w:r>
        <w:rPr>
          <w:color w:val="231F20"/>
          <w:spacing w:val="22"/>
          <w:w w:val="89"/>
        </w:rPr>
        <w:t>p</w:t>
      </w:r>
      <w:r>
        <w:rPr>
          <w:color w:val="231F20"/>
          <w:spacing w:val="15"/>
          <w:w w:val="125"/>
        </w:rPr>
        <w:t>o</w:t>
      </w:r>
      <w:r>
        <w:rPr>
          <w:color w:val="231F20"/>
          <w:spacing w:val="26"/>
          <w:w w:val="184"/>
        </w:rPr>
        <w:t>l</w:t>
      </w:r>
      <w:r>
        <w:rPr>
          <w:color w:val="231F20"/>
          <w:spacing w:val="22"/>
          <w:w w:val="102"/>
        </w:rPr>
        <w:t>e</w:t>
      </w:r>
      <w:r>
        <w:rPr>
          <w:color w:val="231F20"/>
          <w:w w:val="105"/>
        </w:rPr>
        <w:t>:</w:t>
      </w:r>
      <w:r>
        <w:rPr>
          <w:color w:val="231F20"/>
        </w:rPr>
        <w:t xml:space="preserve">  </w:t>
      </w:r>
      <w:r>
        <w:rPr>
          <w:color w:val="231F20"/>
          <w:spacing w:val="-22"/>
        </w:rPr>
        <w:t xml:space="preserve"> </w:t>
      </w:r>
      <w:r>
        <w:rPr>
          <w:color w:val="231F20"/>
          <w:spacing w:val="28"/>
          <w:w w:val="147"/>
        </w:rPr>
        <w:t>t</w:t>
      </w:r>
      <w:r>
        <w:rPr>
          <w:color w:val="231F20"/>
          <w:spacing w:val="25"/>
          <w:w w:val="120"/>
        </w:rPr>
        <w:t>h</w:t>
      </w:r>
      <w:r>
        <w:rPr>
          <w:color w:val="231F20"/>
          <w:w w:val="102"/>
        </w:rPr>
        <w:t>e</w:t>
      </w:r>
      <w:r>
        <w:rPr>
          <w:color w:val="231F20"/>
        </w:rPr>
        <w:t xml:space="preserve">  </w:t>
      </w:r>
      <w:r>
        <w:rPr>
          <w:color w:val="231F20"/>
          <w:spacing w:val="-22"/>
        </w:rPr>
        <w:t xml:space="preserve"> </w:t>
      </w:r>
      <w:r>
        <w:rPr>
          <w:color w:val="231F20"/>
          <w:spacing w:val="25"/>
          <w:w w:val="165"/>
        </w:rPr>
        <w:t>f</w:t>
      </w:r>
      <w:r>
        <w:rPr>
          <w:color w:val="231F20"/>
          <w:spacing w:val="23"/>
          <w:w w:val="102"/>
        </w:rPr>
        <w:t>e</w:t>
      </w:r>
      <w:r>
        <w:rPr>
          <w:color w:val="231F20"/>
          <w:spacing w:val="17"/>
          <w:w w:val="120"/>
        </w:rPr>
        <w:t>d</w:t>
      </w:r>
      <w:r>
        <w:rPr>
          <w:color w:val="231F20"/>
          <w:spacing w:val="25"/>
          <w:w w:val="102"/>
        </w:rPr>
        <w:t>e</w:t>
      </w:r>
      <w:r>
        <w:rPr>
          <w:color w:val="231F20"/>
          <w:spacing w:val="31"/>
          <w:w w:val="134"/>
        </w:rPr>
        <w:t>r</w:t>
      </w:r>
      <w:r>
        <w:rPr>
          <w:color w:val="231F20"/>
          <w:spacing w:val="25"/>
          <w:w w:val="113"/>
        </w:rPr>
        <w:t>a</w:t>
      </w:r>
      <w:r>
        <w:rPr>
          <w:color w:val="231F20"/>
          <w:w w:val="184"/>
        </w:rPr>
        <w:t>l</w:t>
      </w:r>
      <w:r>
        <w:rPr>
          <w:color w:val="231F20"/>
        </w:rPr>
        <w:t xml:space="preserve">  </w:t>
      </w:r>
      <w:r>
        <w:rPr>
          <w:color w:val="231F20"/>
          <w:spacing w:val="-22"/>
        </w:rPr>
        <w:t xml:space="preserve"> </w:t>
      </w:r>
      <w:r>
        <w:rPr>
          <w:color w:val="231F20"/>
          <w:spacing w:val="28"/>
          <w:w w:val="134"/>
        </w:rPr>
        <w:t>r</w:t>
      </w:r>
      <w:r>
        <w:rPr>
          <w:color w:val="231F20"/>
          <w:spacing w:val="23"/>
          <w:w w:val="102"/>
        </w:rPr>
        <w:t>e</w:t>
      </w:r>
      <w:r>
        <w:rPr>
          <w:color w:val="231F20"/>
          <w:spacing w:val="22"/>
          <w:w w:val="89"/>
        </w:rPr>
        <w:t>p</w:t>
      </w:r>
      <w:r>
        <w:rPr>
          <w:color w:val="231F20"/>
          <w:spacing w:val="25"/>
          <w:w w:val="110"/>
        </w:rPr>
        <w:t>u</w:t>
      </w:r>
      <w:r>
        <w:rPr>
          <w:color w:val="231F20"/>
          <w:spacing w:val="15"/>
          <w:w w:val="101"/>
        </w:rPr>
        <w:t>b</w:t>
      </w:r>
      <w:r>
        <w:rPr>
          <w:color w:val="231F20"/>
          <w:spacing w:val="25"/>
          <w:w w:val="184"/>
        </w:rPr>
        <w:t>l</w:t>
      </w:r>
      <w:r>
        <w:rPr>
          <w:color w:val="231F20"/>
          <w:spacing w:val="17"/>
          <w:w w:val="119"/>
        </w:rPr>
        <w:t>i</w:t>
      </w:r>
      <w:r>
        <w:rPr>
          <w:color w:val="231F20"/>
          <w:w w:val="126"/>
        </w:rPr>
        <w:t>c</w:t>
      </w:r>
    </w:p>
    <w:p w14:paraId="5C1658ED" w14:textId="77777777" w:rsidR="002653E8" w:rsidRDefault="003115E3">
      <w:pPr>
        <w:spacing w:before="146" w:line="276" w:lineRule="auto"/>
        <w:ind w:left="1747" w:right="1559"/>
        <w:jc w:val="both"/>
        <w:rPr>
          <w:i/>
          <w:sz w:val="19"/>
        </w:rPr>
      </w:pPr>
      <w:r>
        <w:rPr>
          <w:i/>
          <w:color w:val="231F20"/>
          <w:sz w:val="19"/>
        </w:rPr>
        <w:t xml:space="preserve">The crisis isn’t the result of the stagnation of development, but of development itself. Since the aim is to increase profit, development encourages parasitism and waste, harming whole social sectors, multiplying needs that it cannot </w:t>
      </w:r>
      <w:r>
        <w:rPr>
          <w:i/>
          <w:color w:val="231F20"/>
          <w:spacing w:val="-3"/>
          <w:sz w:val="19"/>
        </w:rPr>
        <w:t xml:space="preserve">satisfy, </w:t>
      </w:r>
      <w:r>
        <w:rPr>
          <w:i/>
          <w:color w:val="231F20"/>
          <w:sz w:val="19"/>
        </w:rPr>
        <w:t xml:space="preserve">and accelerating the disintegration of social life. A  monstrous  apparatus  is  necessary to control, by means of manipulation and open repression, the tensions and revolts which it itself often provokes. The crisis in American political unity caused by the student rebellion and the Black Movement, the spread of the student struggle in Europe, the vehement renewal and the growth of worker and mass struggles leading to the “May” explosion in France, the tumultuous social crisis in </w:t>
      </w:r>
      <w:r>
        <w:rPr>
          <w:i/>
          <w:color w:val="231F20"/>
          <w:spacing w:val="-4"/>
          <w:sz w:val="19"/>
        </w:rPr>
        <w:t xml:space="preserve">Italy, </w:t>
      </w:r>
      <w:r>
        <w:rPr>
          <w:i/>
          <w:color w:val="231F20"/>
          <w:sz w:val="19"/>
        </w:rPr>
        <w:t>and the rebirth of dissatisfaction in Germany all indicate the nature of the</w:t>
      </w:r>
      <w:r>
        <w:rPr>
          <w:i/>
          <w:color w:val="231F20"/>
          <w:spacing w:val="11"/>
          <w:sz w:val="19"/>
        </w:rPr>
        <w:t xml:space="preserve"> </w:t>
      </w:r>
      <w:r>
        <w:rPr>
          <w:i/>
          <w:color w:val="231F20"/>
          <w:sz w:val="19"/>
        </w:rPr>
        <w:t>situation.</w:t>
      </w:r>
    </w:p>
    <w:p w14:paraId="605E5509" w14:textId="77777777" w:rsidR="002653E8" w:rsidRDefault="003115E3">
      <w:pPr>
        <w:spacing w:before="37"/>
        <w:ind w:left="6016"/>
        <w:rPr>
          <w:sz w:val="19"/>
        </w:rPr>
      </w:pPr>
      <w:r>
        <w:rPr>
          <w:color w:val="231F20"/>
          <w:w w:val="105"/>
          <w:sz w:val="19"/>
        </w:rPr>
        <w:t>Il Manifesto:</w:t>
      </w:r>
    </w:p>
    <w:p w14:paraId="1DF12B6A" w14:textId="77777777" w:rsidR="002653E8" w:rsidRDefault="003115E3">
      <w:pPr>
        <w:spacing w:before="33"/>
        <w:ind w:left="2584"/>
        <w:rPr>
          <w:sz w:val="11"/>
        </w:rPr>
      </w:pPr>
      <w:bookmarkStart w:id="44" w:name="_Hlk57742326"/>
      <w:r>
        <w:rPr>
          <w:i/>
          <w:color w:val="231F20"/>
          <w:w w:val="105"/>
          <w:sz w:val="19"/>
        </w:rPr>
        <w:t>The Necessity of Communism</w:t>
      </w:r>
      <w:bookmarkEnd w:id="44"/>
      <w:r>
        <w:rPr>
          <w:i/>
          <w:color w:val="231F20"/>
          <w:w w:val="105"/>
          <w:sz w:val="19"/>
        </w:rPr>
        <w:t xml:space="preserve">, </w:t>
      </w:r>
      <w:r>
        <w:rPr>
          <w:color w:val="231F20"/>
          <w:w w:val="105"/>
          <w:sz w:val="19"/>
        </w:rPr>
        <w:t>extract from Thesis 33</w:t>
      </w:r>
      <w:r>
        <w:rPr>
          <w:color w:val="231F20"/>
          <w:w w:val="105"/>
          <w:position w:val="6"/>
          <w:sz w:val="11"/>
        </w:rPr>
        <w:t>3</w:t>
      </w:r>
    </w:p>
    <w:p w14:paraId="481B3FA0" w14:textId="77777777" w:rsidR="002653E8" w:rsidRDefault="002653E8">
      <w:pPr>
        <w:pStyle w:val="a3"/>
        <w:rPr>
          <w:sz w:val="22"/>
        </w:rPr>
      </w:pPr>
    </w:p>
    <w:p w14:paraId="5864A6DA" w14:textId="77777777" w:rsidR="002653E8" w:rsidRDefault="003115E3">
      <w:pPr>
        <w:pStyle w:val="a3"/>
        <w:spacing w:before="134" w:line="264" w:lineRule="auto"/>
        <w:ind w:left="1327" w:right="1145"/>
      </w:pPr>
      <w:r>
        <w:rPr>
          <w:color w:val="231F20"/>
        </w:rPr>
        <w:t>The comrades from Il Manifesto rightly place the Federal Republic of Germany last in their analysis, vaguely describing the situation here as</w:t>
      </w:r>
    </w:p>
    <w:p w14:paraId="2861EF36" w14:textId="77777777" w:rsidR="002653E8" w:rsidRDefault="00000000">
      <w:pPr>
        <w:pStyle w:val="a3"/>
        <w:spacing w:before="5"/>
        <w:rPr>
          <w:sz w:val="24"/>
        </w:rPr>
      </w:pPr>
      <w:r>
        <w:rPr>
          <w:noProof w:val="0"/>
        </w:rPr>
        <w:pict w14:anchorId="043691EC">
          <v:line id="_x0000_s2614" style="position:absolute;z-index:3400;mso-wrap-distance-left:0;mso-wrap-distance-right:0;mso-position-horizontal-relative:page" from="66.4pt,16.55pt" to="138.4pt,16.55pt" strokecolor="#231f20" strokeweight=".5pt">
            <w10:wrap type="topAndBottom" anchorx="page"/>
          </v:line>
        </w:pict>
      </w:r>
    </w:p>
    <w:p w14:paraId="5022A150" w14:textId="77777777" w:rsidR="002653E8" w:rsidRDefault="003115E3">
      <w:pPr>
        <w:pStyle w:val="a4"/>
        <w:numPr>
          <w:ilvl w:val="0"/>
          <w:numId w:val="28"/>
        </w:numPr>
        <w:tabs>
          <w:tab w:val="left" w:pos="1467"/>
        </w:tabs>
        <w:spacing w:before="53" w:line="254" w:lineRule="auto"/>
        <w:ind w:right="1265" w:firstLine="0"/>
        <w:rPr>
          <w:sz w:val="16"/>
        </w:rPr>
      </w:pPr>
      <w:r>
        <w:rPr>
          <w:color w:val="231F20"/>
          <w:spacing w:val="-1"/>
          <w:w w:val="107"/>
          <w:sz w:val="16"/>
        </w:rPr>
        <w:t>F</w:t>
      </w:r>
      <w:r>
        <w:rPr>
          <w:color w:val="231F20"/>
          <w:spacing w:val="2"/>
          <w:w w:val="97"/>
          <w:sz w:val="16"/>
        </w:rPr>
        <w:t>r</w:t>
      </w:r>
      <w:r>
        <w:rPr>
          <w:color w:val="231F20"/>
          <w:w w:val="103"/>
          <w:sz w:val="16"/>
        </w:rPr>
        <w:t>i</w:t>
      </w:r>
      <w:r>
        <w:rPr>
          <w:color w:val="231F20"/>
          <w:spacing w:val="1"/>
          <w:w w:val="94"/>
          <w:sz w:val="16"/>
        </w:rPr>
        <w:t>e</w:t>
      </w:r>
      <w:r>
        <w:rPr>
          <w:color w:val="231F20"/>
          <w:spacing w:val="5"/>
          <w:w w:val="103"/>
          <w:sz w:val="16"/>
        </w:rPr>
        <w:t>d</w:t>
      </w:r>
      <w:r>
        <w:rPr>
          <w:color w:val="231F20"/>
          <w:spacing w:val="2"/>
          <w:w w:val="97"/>
          <w:sz w:val="16"/>
        </w:rPr>
        <w:t>r</w:t>
      </w:r>
      <w:r>
        <w:rPr>
          <w:color w:val="231F20"/>
          <w:w w:val="103"/>
          <w:sz w:val="16"/>
        </w:rPr>
        <w:t>i</w:t>
      </w:r>
      <w:r>
        <w:rPr>
          <w:color w:val="231F20"/>
          <w:w w:val="104"/>
          <w:sz w:val="16"/>
        </w:rPr>
        <w:t>ch</w:t>
      </w:r>
      <w:r>
        <w:rPr>
          <w:color w:val="231F20"/>
          <w:spacing w:val="10"/>
          <w:sz w:val="16"/>
        </w:rPr>
        <w:t xml:space="preserve"> </w:t>
      </w:r>
      <w:r>
        <w:rPr>
          <w:color w:val="231F20"/>
          <w:spacing w:val="2"/>
          <w:w w:val="139"/>
          <w:sz w:val="16"/>
        </w:rPr>
        <w:t>Z</w:t>
      </w:r>
      <w:r>
        <w:rPr>
          <w:color w:val="231F20"/>
          <w:spacing w:val="3"/>
          <w:w w:val="103"/>
          <w:sz w:val="16"/>
        </w:rPr>
        <w:t>i</w:t>
      </w:r>
      <w:r>
        <w:rPr>
          <w:color w:val="231F20"/>
          <w:spacing w:val="5"/>
          <w:w w:val="103"/>
          <w:sz w:val="16"/>
        </w:rPr>
        <w:t>m</w:t>
      </w:r>
      <w:r>
        <w:rPr>
          <w:color w:val="231F20"/>
          <w:w w:val="103"/>
          <w:sz w:val="16"/>
        </w:rPr>
        <w:t>m</w:t>
      </w:r>
      <w:r>
        <w:rPr>
          <w:color w:val="231F20"/>
          <w:w w:val="94"/>
          <w:sz w:val="16"/>
        </w:rPr>
        <w:t>e</w:t>
      </w:r>
      <w:r>
        <w:rPr>
          <w:color w:val="231F20"/>
          <w:spacing w:val="2"/>
          <w:w w:val="97"/>
          <w:sz w:val="16"/>
        </w:rPr>
        <w:t>r</w:t>
      </w:r>
      <w:r>
        <w:rPr>
          <w:color w:val="231F20"/>
          <w:spacing w:val="2"/>
          <w:w w:val="103"/>
          <w:sz w:val="16"/>
        </w:rPr>
        <w:t>m</w:t>
      </w:r>
      <w:r>
        <w:rPr>
          <w:color w:val="231F20"/>
          <w:spacing w:val="3"/>
          <w:w w:val="106"/>
          <w:sz w:val="16"/>
        </w:rPr>
        <w:t>a</w:t>
      </w:r>
      <w:r>
        <w:rPr>
          <w:color w:val="231F20"/>
          <w:spacing w:val="3"/>
          <w:w w:val="103"/>
          <w:sz w:val="16"/>
        </w:rPr>
        <w:t>n</w:t>
      </w:r>
      <w:r>
        <w:rPr>
          <w:color w:val="231F20"/>
          <w:w w:val="103"/>
          <w:sz w:val="16"/>
        </w:rPr>
        <w:t>n</w:t>
      </w:r>
      <w:r>
        <w:rPr>
          <w:color w:val="231F20"/>
          <w:spacing w:val="10"/>
          <w:sz w:val="16"/>
        </w:rPr>
        <w:t xml:space="preserve"> </w:t>
      </w:r>
      <w:r>
        <w:rPr>
          <w:color w:val="231F20"/>
          <w:spacing w:val="-2"/>
          <w:w w:val="90"/>
          <w:sz w:val="16"/>
        </w:rPr>
        <w:t>(</w:t>
      </w:r>
      <w:r>
        <w:rPr>
          <w:color w:val="231F20"/>
          <w:spacing w:val="5"/>
          <w:w w:val="133"/>
          <w:sz w:val="16"/>
        </w:rPr>
        <w:t>C</w:t>
      </w:r>
      <w:r>
        <w:rPr>
          <w:color w:val="231F20"/>
          <w:w w:val="118"/>
          <w:sz w:val="16"/>
        </w:rPr>
        <w:t>D</w:t>
      </w:r>
      <w:r>
        <w:rPr>
          <w:color w:val="231F20"/>
          <w:spacing w:val="3"/>
          <w:w w:val="118"/>
          <w:sz w:val="16"/>
        </w:rPr>
        <w:t>U</w:t>
      </w:r>
      <w:r>
        <w:rPr>
          <w:color w:val="231F20"/>
          <w:w w:val="90"/>
          <w:sz w:val="16"/>
        </w:rPr>
        <w:t>)</w:t>
      </w:r>
      <w:r>
        <w:rPr>
          <w:color w:val="231F20"/>
          <w:spacing w:val="10"/>
          <w:sz w:val="16"/>
        </w:rPr>
        <w:t xml:space="preserve"> </w:t>
      </w:r>
      <w:r>
        <w:rPr>
          <w:color w:val="231F20"/>
          <w:w w:val="105"/>
          <w:sz w:val="16"/>
        </w:rPr>
        <w:t>w</w:t>
      </w:r>
      <w:r>
        <w:rPr>
          <w:color w:val="231F20"/>
          <w:spacing w:val="1"/>
          <w:w w:val="105"/>
          <w:sz w:val="16"/>
        </w:rPr>
        <w:t>a</w:t>
      </w:r>
      <w:r>
        <w:rPr>
          <w:color w:val="231F20"/>
          <w:spacing w:val="3"/>
          <w:w w:val="93"/>
          <w:sz w:val="16"/>
        </w:rPr>
        <w:t>s</w:t>
      </w:r>
      <w:r>
        <w:rPr>
          <w:color w:val="231F20"/>
          <w:w w:val="140"/>
          <w:sz w:val="16"/>
        </w:rPr>
        <w:t>,</w:t>
      </w:r>
      <w:r>
        <w:rPr>
          <w:color w:val="231F20"/>
          <w:spacing w:val="10"/>
          <w:sz w:val="16"/>
        </w:rPr>
        <w:t xml:space="preserve"> </w:t>
      </w:r>
      <w:r>
        <w:rPr>
          <w:color w:val="231F20"/>
          <w:spacing w:val="-1"/>
          <w:w w:val="106"/>
          <w:sz w:val="16"/>
        </w:rPr>
        <w:t>a</w:t>
      </w:r>
      <w:r>
        <w:rPr>
          <w:color w:val="231F20"/>
          <w:w w:val="102"/>
          <w:sz w:val="16"/>
        </w:rPr>
        <w:t>t</w:t>
      </w:r>
      <w:r>
        <w:rPr>
          <w:color w:val="231F20"/>
          <w:spacing w:val="10"/>
          <w:sz w:val="16"/>
        </w:rPr>
        <w:t xml:space="preserve"> </w:t>
      </w:r>
      <w:r>
        <w:rPr>
          <w:color w:val="231F20"/>
          <w:spacing w:val="3"/>
          <w:w w:val="102"/>
          <w:sz w:val="16"/>
        </w:rPr>
        <w:t>t</w:t>
      </w:r>
      <w:r>
        <w:rPr>
          <w:color w:val="231F20"/>
          <w:spacing w:val="3"/>
          <w:w w:val="104"/>
          <w:sz w:val="16"/>
        </w:rPr>
        <w:t>h</w:t>
      </w:r>
      <w:r>
        <w:rPr>
          <w:color w:val="231F20"/>
          <w:spacing w:val="1"/>
          <w:w w:val="103"/>
          <w:sz w:val="16"/>
        </w:rPr>
        <w:t>i</w:t>
      </w:r>
      <w:r>
        <w:rPr>
          <w:color w:val="231F20"/>
          <w:w w:val="93"/>
          <w:sz w:val="16"/>
        </w:rPr>
        <w:t>s</w:t>
      </w:r>
      <w:r>
        <w:rPr>
          <w:color w:val="231F20"/>
          <w:spacing w:val="10"/>
          <w:sz w:val="16"/>
        </w:rPr>
        <w:t xml:space="preserve"> </w:t>
      </w:r>
      <w:r>
        <w:rPr>
          <w:color w:val="231F20"/>
          <w:spacing w:val="2"/>
          <w:w w:val="102"/>
          <w:sz w:val="16"/>
        </w:rPr>
        <w:t>t</w:t>
      </w:r>
      <w:r>
        <w:rPr>
          <w:color w:val="231F20"/>
          <w:spacing w:val="3"/>
          <w:w w:val="103"/>
          <w:sz w:val="16"/>
        </w:rPr>
        <w:t>i</w:t>
      </w:r>
      <w:r>
        <w:rPr>
          <w:color w:val="231F20"/>
          <w:w w:val="103"/>
          <w:sz w:val="16"/>
        </w:rPr>
        <w:t>m</w:t>
      </w:r>
      <w:r>
        <w:rPr>
          <w:color w:val="231F20"/>
          <w:spacing w:val="2"/>
          <w:w w:val="94"/>
          <w:sz w:val="16"/>
        </w:rPr>
        <w:t>e</w:t>
      </w:r>
      <w:r>
        <w:rPr>
          <w:color w:val="231F20"/>
          <w:w w:val="140"/>
          <w:sz w:val="16"/>
        </w:rPr>
        <w:t>,</w:t>
      </w:r>
      <w:r>
        <w:rPr>
          <w:color w:val="231F20"/>
          <w:spacing w:val="10"/>
          <w:sz w:val="16"/>
        </w:rPr>
        <w:t xml:space="preserve"> </w:t>
      </w:r>
      <w:r>
        <w:rPr>
          <w:color w:val="231F20"/>
          <w:spacing w:val="3"/>
          <w:w w:val="102"/>
          <w:sz w:val="16"/>
        </w:rPr>
        <w:t>t</w:t>
      </w:r>
      <w:r>
        <w:rPr>
          <w:color w:val="231F20"/>
          <w:w w:val="104"/>
          <w:sz w:val="16"/>
        </w:rPr>
        <w:t>h</w:t>
      </w:r>
      <w:r>
        <w:rPr>
          <w:color w:val="231F20"/>
          <w:w w:val="94"/>
          <w:sz w:val="16"/>
        </w:rPr>
        <w:t>e</w:t>
      </w:r>
      <w:r>
        <w:rPr>
          <w:color w:val="231F20"/>
          <w:spacing w:val="10"/>
          <w:sz w:val="16"/>
        </w:rPr>
        <w:t xml:space="preserve"> </w:t>
      </w:r>
      <w:r>
        <w:rPr>
          <w:color w:val="231F20"/>
          <w:spacing w:val="2"/>
          <w:w w:val="133"/>
          <w:sz w:val="16"/>
        </w:rPr>
        <w:t>C</w:t>
      </w:r>
      <w:r>
        <w:rPr>
          <w:color w:val="231F20"/>
          <w:spacing w:val="1"/>
          <w:w w:val="104"/>
          <w:sz w:val="16"/>
        </w:rPr>
        <w:t>h</w:t>
      </w:r>
      <w:r>
        <w:rPr>
          <w:color w:val="231F20"/>
          <w:spacing w:val="2"/>
          <w:w w:val="106"/>
          <w:sz w:val="16"/>
        </w:rPr>
        <w:t>a</w:t>
      </w:r>
      <w:r>
        <w:rPr>
          <w:color w:val="231F20"/>
          <w:spacing w:val="3"/>
          <w:w w:val="103"/>
          <w:sz w:val="16"/>
        </w:rPr>
        <w:t>i</w:t>
      </w:r>
      <w:r>
        <w:rPr>
          <w:color w:val="231F20"/>
          <w:spacing w:val="2"/>
          <w:w w:val="97"/>
          <w:sz w:val="16"/>
        </w:rPr>
        <w:t>r</w:t>
      </w:r>
      <w:r>
        <w:rPr>
          <w:color w:val="231F20"/>
          <w:spacing w:val="2"/>
          <w:w w:val="103"/>
          <w:sz w:val="16"/>
        </w:rPr>
        <w:t>m</w:t>
      </w:r>
      <w:r>
        <w:rPr>
          <w:color w:val="231F20"/>
          <w:spacing w:val="3"/>
          <w:w w:val="106"/>
          <w:sz w:val="16"/>
        </w:rPr>
        <w:t>a</w:t>
      </w:r>
      <w:r>
        <w:rPr>
          <w:color w:val="231F20"/>
          <w:w w:val="103"/>
          <w:sz w:val="16"/>
        </w:rPr>
        <w:t>n</w:t>
      </w:r>
      <w:r>
        <w:rPr>
          <w:color w:val="231F20"/>
          <w:spacing w:val="10"/>
          <w:sz w:val="16"/>
        </w:rPr>
        <w:t xml:space="preserve"> </w:t>
      </w:r>
      <w:r>
        <w:rPr>
          <w:color w:val="231F20"/>
          <w:spacing w:val="-1"/>
          <w:w w:val="108"/>
          <w:sz w:val="16"/>
        </w:rPr>
        <w:t>o</w:t>
      </w:r>
      <w:r>
        <w:rPr>
          <w:color w:val="231F20"/>
          <w:w w:val="114"/>
          <w:sz w:val="16"/>
        </w:rPr>
        <w:t>f</w:t>
      </w:r>
      <w:r>
        <w:rPr>
          <w:color w:val="231F20"/>
          <w:spacing w:val="10"/>
          <w:sz w:val="16"/>
        </w:rPr>
        <w:t xml:space="preserve"> </w:t>
      </w:r>
      <w:r>
        <w:rPr>
          <w:color w:val="231F20"/>
          <w:spacing w:val="3"/>
          <w:w w:val="102"/>
          <w:sz w:val="16"/>
        </w:rPr>
        <w:t>t</w:t>
      </w:r>
      <w:r>
        <w:rPr>
          <w:color w:val="231F20"/>
          <w:w w:val="104"/>
          <w:sz w:val="16"/>
        </w:rPr>
        <w:t>h</w:t>
      </w:r>
      <w:r>
        <w:rPr>
          <w:color w:val="231F20"/>
          <w:w w:val="94"/>
          <w:sz w:val="16"/>
        </w:rPr>
        <w:t>e</w:t>
      </w:r>
      <w:r>
        <w:rPr>
          <w:color w:val="231F20"/>
          <w:spacing w:val="10"/>
          <w:sz w:val="16"/>
        </w:rPr>
        <w:t xml:space="preserve"> </w:t>
      </w:r>
      <w:r>
        <w:rPr>
          <w:color w:val="231F20"/>
          <w:spacing w:val="5"/>
          <w:w w:val="133"/>
          <w:sz w:val="16"/>
        </w:rPr>
        <w:t>C</w:t>
      </w:r>
      <w:r>
        <w:rPr>
          <w:color w:val="231F20"/>
          <w:w w:val="118"/>
          <w:sz w:val="16"/>
        </w:rPr>
        <w:t>D</w:t>
      </w:r>
      <w:r>
        <w:rPr>
          <w:color w:val="231F20"/>
          <w:spacing w:val="2"/>
          <w:w w:val="118"/>
          <w:sz w:val="16"/>
        </w:rPr>
        <w:t>U</w:t>
      </w:r>
      <w:r>
        <w:rPr>
          <w:color w:val="231F20"/>
          <w:w w:val="58"/>
          <w:sz w:val="16"/>
        </w:rPr>
        <w:t>/</w:t>
      </w:r>
      <w:r>
        <w:rPr>
          <w:color w:val="231F20"/>
          <w:spacing w:val="5"/>
          <w:w w:val="133"/>
          <w:sz w:val="16"/>
        </w:rPr>
        <w:t>C</w:t>
      </w:r>
      <w:r>
        <w:rPr>
          <w:color w:val="231F20"/>
          <w:spacing w:val="2"/>
          <w:w w:val="110"/>
          <w:sz w:val="16"/>
        </w:rPr>
        <w:t xml:space="preserve">SU </w:t>
      </w:r>
      <w:r>
        <w:rPr>
          <w:color w:val="231F20"/>
          <w:w w:val="105"/>
          <w:sz w:val="16"/>
        </w:rPr>
        <w:t>parliamentary</w:t>
      </w:r>
      <w:r>
        <w:rPr>
          <w:color w:val="231F20"/>
          <w:spacing w:val="7"/>
          <w:w w:val="105"/>
          <w:sz w:val="16"/>
        </w:rPr>
        <w:t xml:space="preserve"> </w:t>
      </w:r>
      <w:r>
        <w:rPr>
          <w:color w:val="231F20"/>
          <w:w w:val="105"/>
          <w:sz w:val="16"/>
        </w:rPr>
        <w:t>faction.</w:t>
      </w:r>
    </w:p>
    <w:p w14:paraId="5B936AD4" w14:textId="77777777" w:rsidR="002653E8" w:rsidRDefault="003115E3">
      <w:pPr>
        <w:pStyle w:val="a4"/>
        <w:numPr>
          <w:ilvl w:val="0"/>
          <w:numId w:val="28"/>
        </w:numPr>
        <w:tabs>
          <w:tab w:val="left" w:pos="1467"/>
        </w:tabs>
        <w:spacing w:line="254" w:lineRule="auto"/>
        <w:ind w:right="1245" w:firstLine="0"/>
        <w:rPr>
          <w:sz w:val="16"/>
        </w:rPr>
      </w:pPr>
      <w:r>
        <w:rPr>
          <w:color w:val="231F20"/>
          <w:w w:val="105"/>
          <w:sz w:val="16"/>
        </w:rPr>
        <w:t xml:space="preserve">Expelled from the Italian Communist </w:t>
      </w:r>
      <w:r>
        <w:rPr>
          <w:color w:val="231F20"/>
          <w:spacing w:val="1"/>
          <w:w w:val="105"/>
          <w:sz w:val="16"/>
        </w:rPr>
        <w:t xml:space="preserve">Party </w:t>
      </w:r>
      <w:r>
        <w:rPr>
          <w:color w:val="231F20"/>
          <w:w w:val="105"/>
          <w:sz w:val="16"/>
        </w:rPr>
        <w:t xml:space="preserve">in 1969, </w:t>
      </w:r>
      <w:r>
        <w:rPr>
          <w:i/>
          <w:color w:val="231F20"/>
          <w:w w:val="105"/>
          <w:sz w:val="16"/>
        </w:rPr>
        <w:t xml:space="preserve">Il  Manifesto  </w:t>
      </w:r>
      <w:r>
        <w:rPr>
          <w:color w:val="231F20"/>
          <w:w w:val="105"/>
          <w:sz w:val="16"/>
        </w:rPr>
        <w:t xml:space="preserve">was  an influential group in the Italian autonomist movement, having 6,000 members in 1972. They advocated council communism, whereby decisions would be made by workers’ councils, not by a vanguard </w:t>
      </w:r>
      <w:r>
        <w:rPr>
          <w:color w:val="231F20"/>
          <w:spacing w:val="1"/>
          <w:w w:val="105"/>
          <w:sz w:val="16"/>
        </w:rPr>
        <w:t xml:space="preserve">party </w:t>
      </w:r>
      <w:r>
        <w:rPr>
          <w:color w:val="231F20"/>
          <w:w w:val="105"/>
          <w:sz w:val="16"/>
        </w:rPr>
        <w:t xml:space="preserve">or state. </w:t>
      </w:r>
      <w:r>
        <w:rPr>
          <w:i/>
          <w:color w:val="231F20"/>
          <w:w w:val="105"/>
          <w:sz w:val="16"/>
        </w:rPr>
        <w:t xml:space="preserve">Il Manifesto </w:t>
      </w:r>
      <w:r>
        <w:rPr>
          <w:color w:val="231F20"/>
          <w:w w:val="105"/>
          <w:sz w:val="16"/>
        </w:rPr>
        <w:t xml:space="preserve">was extremely influential for the entire European New </w:t>
      </w:r>
      <w:r>
        <w:rPr>
          <w:color w:val="231F20"/>
          <w:spacing w:val="1"/>
          <w:w w:val="105"/>
          <w:sz w:val="16"/>
        </w:rPr>
        <w:t xml:space="preserve">Left. </w:t>
      </w:r>
      <w:r>
        <w:rPr>
          <w:color w:val="231F20"/>
          <w:w w:val="105"/>
          <w:sz w:val="16"/>
        </w:rPr>
        <w:t xml:space="preserve">The quote comes from a manifesto of </w:t>
      </w:r>
      <w:r>
        <w:rPr>
          <w:color w:val="231F20"/>
          <w:spacing w:val="1"/>
          <w:w w:val="105"/>
          <w:sz w:val="16"/>
        </w:rPr>
        <w:t xml:space="preserve">200 </w:t>
      </w:r>
      <w:r>
        <w:rPr>
          <w:color w:val="231F20"/>
          <w:w w:val="105"/>
          <w:sz w:val="16"/>
        </w:rPr>
        <w:t>theses issued by the group in</w:t>
      </w:r>
      <w:r>
        <w:rPr>
          <w:color w:val="231F20"/>
          <w:spacing w:val="15"/>
          <w:w w:val="105"/>
          <w:sz w:val="16"/>
        </w:rPr>
        <w:t xml:space="preserve"> </w:t>
      </w:r>
      <w:r>
        <w:rPr>
          <w:color w:val="231F20"/>
          <w:w w:val="105"/>
          <w:sz w:val="16"/>
        </w:rPr>
        <w:t>1971.</w:t>
      </w:r>
    </w:p>
    <w:p w14:paraId="41762F04" w14:textId="77777777" w:rsidR="002653E8" w:rsidRDefault="002653E8">
      <w:pPr>
        <w:spacing w:line="254" w:lineRule="auto"/>
        <w:rPr>
          <w:sz w:val="16"/>
        </w:rPr>
        <w:sectPr w:rsidR="002653E8">
          <w:footerReference w:type="even" r:id="rId82"/>
          <w:footerReference w:type="default" r:id="rId83"/>
          <w:pgSz w:w="8640" w:h="12960"/>
          <w:pgMar w:top="1060" w:right="0" w:bottom="1040" w:left="0" w:header="0" w:footer="850" w:gutter="0"/>
          <w:pgNumType w:start="87"/>
          <w:cols w:space="720"/>
        </w:sectPr>
      </w:pPr>
    </w:p>
    <w:p w14:paraId="6DF68AC9" w14:textId="77777777" w:rsidR="002653E8" w:rsidRDefault="003115E3">
      <w:pPr>
        <w:pStyle w:val="a3"/>
        <w:spacing w:before="86" w:line="264" w:lineRule="auto"/>
        <w:ind w:left="1147" w:right="1325"/>
        <w:jc w:val="both"/>
      </w:pPr>
      <w:r>
        <w:rPr>
          <w:color w:val="231F20"/>
        </w:rPr>
        <w:lastRenderedPageBreak/>
        <w:t xml:space="preserve">dissatisfaction. </w:t>
      </w:r>
      <w:r>
        <w:rPr>
          <w:color w:val="231F20"/>
          <w:spacing w:val="-3"/>
        </w:rPr>
        <w:t xml:space="preserve">West </w:t>
      </w:r>
      <w:r>
        <w:rPr>
          <w:color w:val="231F20"/>
        </w:rPr>
        <w:t>Germany, which Barzel</w:t>
      </w:r>
      <w:r>
        <w:rPr>
          <w:color w:val="231F20"/>
          <w:position w:val="7"/>
          <w:sz w:val="11"/>
        </w:rPr>
        <w:t xml:space="preserve">1 </w:t>
      </w:r>
      <w:r>
        <w:rPr>
          <w:color w:val="231F20"/>
        </w:rPr>
        <w:t xml:space="preserve">described  six  years  ago as an economic giant but a political dwarf, has not lost any of its economic power since, while its external and internal political power has increased. With the formation of the Grand Coalition in </w:t>
      </w:r>
      <w:r>
        <w:rPr>
          <w:color w:val="231F20"/>
          <w:spacing w:val="-3"/>
        </w:rPr>
        <w:t xml:space="preserve">1966, </w:t>
      </w:r>
      <w:r>
        <w:rPr>
          <w:color w:val="231F20"/>
        </w:rPr>
        <w:t>the political danger posed by the coming recession was forestalled. With the Emergency Laws the instrument was created to secure unified ruling class action in the event of future crises—the unity of political reactionaries and all those who cling to legality was established. The SocialLiberal coalition succeeded, neutralizing the “dissatisfaction” that had become</w:t>
      </w:r>
      <w:r>
        <w:rPr>
          <w:color w:val="231F20"/>
          <w:spacing w:val="-4"/>
        </w:rPr>
        <w:t xml:space="preserve"> </w:t>
      </w:r>
      <w:r>
        <w:rPr>
          <w:color w:val="231F20"/>
        </w:rPr>
        <w:t>evident</w:t>
      </w:r>
      <w:r>
        <w:rPr>
          <w:color w:val="231F20"/>
          <w:spacing w:val="-4"/>
        </w:rPr>
        <w:t xml:space="preserve"> </w:t>
      </w:r>
      <w:r>
        <w:rPr>
          <w:color w:val="231F20"/>
        </w:rPr>
        <w:t>in</w:t>
      </w:r>
      <w:r>
        <w:rPr>
          <w:color w:val="231F20"/>
          <w:spacing w:val="-4"/>
        </w:rPr>
        <w:t xml:space="preserve"> </w:t>
      </w:r>
      <w:r>
        <w:rPr>
          <w:color w:val="231F20"/>
        </w:rPr>
        <w:t>the</w:t>
      </w:r>
      <w:r>
        <w:rPr>
          <w:color w:val="231F20"/>
          <w:spacing w:val="-4"/>
        </w:rPr>
        <w:t xml:space="preserve"> </w:t>
      </w:r>
      <w:r>
        <w:rPr>
          <w:color w:val="231F20"/>
        </w:rPr>
        <w:t>student</w:t>
      </w:r>
      <w:r>
        <w:rPr>
          <w:color w:val="231F20"/>
          <w:spacing w:val="-4"/>
        </w:rPr>
        <w:t xml:space="preserve"> </w:t>
      </w:r>
      <w:r>
        <w:rPr>
          <w:color w:val="231F20"/>
        </w:rPr>
        <w:t>revolt</w:t>
      </w:r>
      <w:r>
        <w:rPr>
          <w:color w:val="231F20"/>
          <w:spacing w:val="-4"/>
        </w:rPr>
        <w:t xml:space="preserve"> </w:t>
      </w:r>
      <w:r>
        <w:rPr>
          <w:color w:val="231F20"/>
        </w:rPr>
        <w:t>and</w:t>
      </w:r>
      <w:r>
        <w:rPr>
          <w:color w:val="231F20"/>
          <w:spacing w:val="-4"/>
        </w:rPr>
        <w:t xml:space="preserve"> </w:t>
      </w:r>
      <w:r>
        <w:rPr>
          <w:color w:val="231F20"/>
        </w:rPr>
        <w:t>the</w:t>
      </w:r>
      <w:r>
        <w:rPr>
          <w:color w:val="231F20"/>
          <w:spacing w:val="-4"/>
        </w:rPr>
        <w:t xml:space="preserve"> </w:t>
      </w:r>
      <w:r>
        <w:rPr>
          <w:color w:val="231F20"/>
        </w:rPr>
        <w:t>extra-parliamentary</w:t>
      </w:r>
      <w:r>
        <w:rPr>
          <w:color w:val="231F20"/>
          <w:spacing w:val="-4"/>
        </w:rPr>
        <w:t xml:space="preserve"> </w:t>
      </w:r>
      <w:r>
        <w:rPr>
          <w:color w:val="231F20"/>
        </w:rPr>
        <w:t xml:space="preserve">movement. Insofar as the </w:t>
      </w:r>
      <w:r>
        <w:rPr>
          <w:color w:val="231F20"/>
          <w:spacing w:val="-3"/>
        </w:rPr>
        <w:t xml:space="preserve">SPD’s </w:t>
      </w:r>
      <w:r>
        <w:rPr>
          <w:color w:val="231F20"/>
        </w:rPr>
        <w:t xml:space="preserve">supporters have not broken with reformism, this section of the intelligentsia has been prevented from embracing a communist alternative; in this </w:t>
      </w:r>
      <w:r>
        <w:rPr>
          <w:color w:val="231F20"/>
          <w:spacing w:val="-2"/>
        </w:rPr>
        <w:t xml:space="preserve">way </w:t>
      </w:r>
      <w:r>
        <w:rPr>
          <w:color w:val="231F20"/>
        </w:rPr>
        <w:t xml:space="preserve">reformism acts as a brake on the anticapitalist struggle. </w:t>
      </w:r>
      <w:r>
        <w:rPr>
          <w:i/>
          <w:color w:val="231F20"/>
        </w:rPr>
        <w:t xml:space="preserve">Ostpolitik </w:t>
      </w:r>
      <w:r>
        <w:rPr>
          <w:color w:val="231F20"/>
        </w:rPr>
        <w:t xml:space="preserve">is opening new markets for capitalism, while at the same time it represents the German contribution to    an accommodation and alliance between </w:t>
      </w:r>
      <w:r>
        <w:rPr>
          <w:color w:val="231F20"/>
          <w:spacing w:val="1"/>
        </w:rPr>
        <w:t xml:space="preserve">U.S. </w:t>
      </w:r>
      <w:r>
        <w:rPr>
          <w:color w:val="231F20"/>
        </w:rPr>
        <w:t xml:space="preserve">imperialism and the  Soviet Union, which the </w:t>
      </w:r>
      <w:r>
        <w:rPr>
          <w:color w:val="231F20"/>
          <w:spacing w:val="2"/>
        </w:rPr>
        <w:t xml:space="preserve">U.S.A. </w:t>
      </w:r>
      <w:r>
        <w:rPr>
          <w:color w:val="231F20"/>
        </w:rPr>
        <w:t xml:space="preserve">requires in order to have a free hand     for its wars of aggression in the Third </w:t>
      </w:r>
      <w:r>
        <w:rPr>
          <w:color w:val="231F20"/>
          <w:spacing w:val="-3"/>
        </w:rPr>
        <w:t xml:space="preserve">World.  </w:t>
      </w:r>
      <w:r>
        <w:rPr>
          <w:color w:val="231F20"/>
        </w:rPr>
        <w:t xml:space="preserve">This government seems  to have managed to separate the New </w:t>
      </w:r>
      <w:r>
        <w:rPr>
          <w:color w:val="231F20"/>
          <w:spacing w:val="1"/>
        </w:rPr>
        <w:t xml:space="preserve">Left </w:t>
      </w:r>
      <w:r>
        <w:rPr>
          <w:color w:val="231F20"/>
        </w:rPr>
        <w:t xml:space="preserve">from the old antifascists, cutting off the New </w:t>
      </w:r>
      <w:r>
        <w:rPr>
          <w:color w:val="231F20"/>
          <w:spacing w:val="1"/>
        </w:rPr>
        <w:t xml:space="preserve">Left </w:t>
      </w:r>
      <w:r>
        <w:rPr>
          <w:color w:val="231F20"/>
        </w:rPr>
        <w:t xml:space="preserve">from its own history, the history of the </w:t>
      </w:r>
      <w:r>
        <w:rPr>
          <w:color w:val="231F20"/>
          <w:spacing w:val="-3"/>
        </w:rPr>
        <w:t>work</w:t>
      </w:r>
      <w:r>
        <w:rPr>
          <w:color w:val="231F20"/>
        </w:rPr>
        <w:t xml:space="preserve">ing class movement. The DKP, which can thank the new collusion between </w:t>
      </w:r>
      <w:r>
        <w:rPr>
          <w:color w:val="231F20"/>
          <w:spacing w:val="1"/>
        </w:rPr>
        <w:t xml:space="preserve">U.S. </w:t>
      </w:r>
      <w:r>
        <w:rPr>
          <w:color w:val="231F20"/>
        </w:rPr>
        <w:t xml:space="preserve">imperialism and Soviet revisionism for its new legal status, has organized demonstrations in favor of this government’s </w:t>
      </w:r>
      <w:r>
        <w:rPr>
          <w:i/>
          <w:color w:val="231F20"/>
        </w:rPr>
        <w:t>Ostpolitik</w:t>
      </w:r>
      <w:r>
        <w:rPr>
          <w:color w:val="231F20"/>
        </w:rPr>
        <w:t>. Niemöller—a symbol of antifascism—is shilling for the SPD in the upcoming</w:t>
      </w:r>
      <w:r>
        <w:rPr>
          <w:color w:val="231F20"/>
          <w:spacing w:val="10"/>
        </w:rPr>
        <w:t xml:space="preserve"> </w:t>
      </w:r>
      <w:r>
        <w:rPr>
          <w:color w:val="231F20"/>
        </w:rPr>
        <w:t>election.</w:t>
      </w:r>
    </w:p>
    <w:p w14:paraId="26373529" w14:textId="77777777" w:rsidR="002653E8" w:rsidRDefault="003115E3">
      <w:pPr>
        <w:pStyle w:val="a3"/>
        <w:spacing w:line="207" w:lineRule="exact"/>
        <w:ind w:left="1357"/>
      </w:pPr>
      <w:r>
        <w:rPr>
          <w:color w:val="231F20"/>
          <w:w w:val="105"/>
        </w:rPr>
        <w:t>Using the smokescreen of “the common good,” the government</w:t>
      </w:r>
    </w:p>
    <w:p w14:paraId="2EFF2E5A" w14:textId="77777777" w:rsidR="002653E8" w:rsidRDefault="003115E3">
      <w:pPr>
        <w:pStyle w:val="a3"/>
        <w:spacing w:before="23" w:line="264" w:lineRule="auto"/>
        <w:ind w:left="1147" w:right="1325"/>
        <w:jc w:val="both"/>
      </w:pPr>
      <w:r>
        <w:rPr>
          <w:color w:val="231F20"/>
        </w:rPr>
        <w:t>has established state control and curbed the union bureaucracy with   its wage guidelines and its notion of concerted action. The strikes of September 69 showed that things have been overwhelmingly skewed to the benefit of profit; and the fact that these strikes only addressed economic</w:t>
      </w:r>
      <w:r>
        <w:rPr>
          <w:color w:val="231F20"/>
          <w:spacing w:val="6"/>
        </w:rPr>
        <w:t xml:space="preserve"> </w:t>
      </w:r>
      <w:r>
        <w:rPr>
          <w:color w:val="231F20"/>
        </w:rPr>
        <w:t>issues</w:t>
      </w:r>
      <w:r>
        <w:rPr>
          <w:color w:val="231F20"/>
          <w:spacing w:val="6"/>
        </w:rPr>
        <w:t xml:space="preserve"> </w:t>
      </w:r>
      <w:r>
        <w:rPr>
          <w:color w:val="231F20"/>
        </w:rPr>
        <w:t>indicates</w:t>
      </w:r>
      <w:r>
        <w:rPr>
          <w:color w:val="231F20"/>
          <w:spacing w:val="6"/>
        </w:rPr>
        <w:t xml:space="preserve"> </w:t>
      </w:r>
      <w:r>
        <w:rPr>
          <w:color w:val="231F20"/>
        </w:rPr>
        <w:t>how</w:t>
      </w:r>
      <w:r>
        <w:rPr>
          <w:color w:val="231F20"/>
          <w:spacing w:val="6"/>
        </w:rPr>
        <w:t xml:space="preserve"> </w:t>
      </w:r>
      <w:r>
        <w:rPr>
          <w:color w:val="231F20"/>
        </w:rPr>
        <w:t>firmly</w:t>
      </w:r>
      <w:r>
        <w:rPr>
          <w:color w:val="231F20"/>
          <w:spacing w:val="6"/>
        </w:rPr>
        <w:t xml:space="preserve"> </w:t>
      </w:r>
      <w:r>
        <w:rPr>
          <w:color w:val="231F20"/>
        </w:rPr>
        <w:t>the</w:t>
      </w:r>
      <w:r>
        <w:rPr>
          <w:color w:val="231F20"/>
          <w:spacing w:val="6"/>
        </w:rPr>
        <w:t xml:space="preserve"> </w:t>
      </w:r>
      <w:r>
        <w:rPr>
          <w:color w:val="231F20"/>
        </w:rPr>
        <w:t>government</w:t>
      </w:r>
      <w:r>
        <w:rPr>
          <w:color w:val="231F20"/>
          <w:spacing w:val="6"/>
        </w:rPr>
        <w:t xml:space="preserve"> </w:t>
      </w:r>
      <w:r>
        <w:rPr>
          <w:color w:val="231F20"/>
        </w:rPr>
        <w:t>holds</w:t>
      </w:r>
      <w:r>
        <w:rPr>
          <w:color w:val="231F20"/>
          <w:spacing w:val="6"/>
        </w:rPr>
        <w:t xml:space="preserve"> </w:t>
      </w:r>
      <w:r>
        <w:rPr>
          <w:color w:val="231F20"/>
        </w:rPr>
        <w:t>the</w:t>
      </w:r>
      <w:r>
        <w:rPr>
          <w:color w:val="231F20"/>
          <w:spacing w:val="6"/>
        </w:rPr>
        <w:t xml:space="preserve"> </w:t>
      </w:r>
      <w:r>
        <w:rPr>
          <w:color w:val="231F20"/>
        </w:rPr>
        <w:t>reins.</w:t>
      </w:r>
    </w:p>
    <w:p w14:paraId="0EA1FEFA" w14:textId="77777777" w:rsidR="002653E8" w:rsidRDefault="003115E3">
      <w:pPr>
        <w:pStyle w:val="a3"/>
        <w:spacing w:line="264" w:lineRule="auto"/>
        <w:ind w:left="1148" w:right="1325" w:firstLine="210"/>
        <w:jc w:val="both"/>
      </w:pPr>
      <w:r>
        <w:rPr>
          <w:color w:val="231F20"/>
        </w:rPr>
        <w:t>The system shows its strength in the way that the Federal Republic, with its 2 million foreign workers and unemployment approaching 10</w:t>
      </w:r>
      <w:r>
        <w:rPr>
          <w:color w:val="231F20"/>
          <w:sz w:val="16"/>
        </w:rPr>
        <w:t>%</w:t>
      </w:r>
      <w:r>
        <w:rPr>
          <w:color w:val="231F20"/>
        </w:rPr>
        <w:t>, can make use of the looming recession to develop the terror and the disciplinary measures that unemployment implies for the proletariat, without having to deal with any political radicalization of the masses.</w:t>
      </w:r>
    </w:p>
    <w:p w14:paraId="77BF6CD9" w14:textId="77777777" w:rsidR="002653E8" w:rsidRDefault="003115E3">
      <w:pPr>
        <w:pStyle w:val="a3"/>
        <w:spacing w:line="264" w:lineRule="auto"/>
        <w:ind w:left="1148" w:right="1326" w:firstLine="210"/>
        <w:jc w:val="both"/>
      </w:pPr>
      <w:r>
        <w:rPr>
          <w:color w:val="231F20"/>
        </w:rPr>
        <w:t>In exchange for development aid and military support for the U.S.A.’s wars of aggression, the Federal Republic profits from the exploitation of</w:t>
      </w:r>
    </w:p>
    <w:p w14:paraId="05BFAB3C" w14:textId="77777777" w:rsidR="002653E8" w:rsidRDefault="00000000">
      <w:pPr>
        <w:pStyle w:val="a3"/>
        <w:spacing w:before="5"/>
        <w:rPr>
          <w:sz w:val="14"/>
        </w:rPr>
      </w:pPr>
      <w:r>
        <w:rPr>
          <w:noProof w:val="0"/>
        </w:rPr>
        <w:pict w14:anchorId="3C88BCB6">
          <v:line id="_x0000_s2613" style="position:absolute;z-index:3424;mso-wrap-distance-left:0;mso-wrap-distance-right:0;mso-position-horizontal-relative:page" from="57.4pt,10.65pt" to="129.4pt,10.65pt" strokecolor="#231f20" strokeweight=".5pt">
            <w10:wrap type="topAndBottom" anchorx="page"/>
          </v:line>
        </w:pict>
      </w:r>
    </w:p>
    <w:p w14:paraId="2518CD94" w14:textId="77777777" w:rsidR="002653E8" w:rsidRDefault="003115E3">
      <w:pPr>
        <w:spacing w:before="53"/>
        <w:ind w:left="1147"/>
        <w:rPr>
          <w:sz w:val="16"/>
        </w:rPr>
      </w:pPr>
      <w:r>
        <w:rPr>
          <w:color w:val="231F20"/>
          <w:w w:val="105"/>
          <w:sz w:val="16"/>
        </w:rPr>
        <w:t>1 Rainer Barzel was, at this time, the party Chairman of the CDU.</w:t>
      </w:r>
    </w:p>
    <w:p w14:paraId="439363C2" w14:textId="77777777" w:rsidR="002653E8" w:rsidRDefault="002653E8">
      <w:pPr>
        <w:rPr>
          <w:sz w:val="16"/>
        </w:rPr>
        <w:sectPr w:rsidR="002653E8">
          <w:pgSz w:w="8640" w:h="12960"/>
          <w:pgMar w:top="1060" w:right="0" w:bottom="1040" w:left="0" w:header="0" w:footer="850" w:gutter="0"/>
          <w:cols w:space="720"/>
        </w:sectPr>
      </w:pPr>
    </w:p>
    <w:p w14:paraId="0866DDC6" w14:textId="77777777" w:rsidR="002653E8" w:rsidRDefault="003115E3">
      <w:pPr>
        <w:pStyle w:val="a3"/>
        <w:spacing w:before="86" w:line="264" w:lineRule="auto"/>
        <w:ind w:left="1327" w:right="1146"/>
        <w:jc w:val="both"/>
      </w:pPr>
      <w:r>
        <w:rPr>
          <w:color w:val="231F20"/>
        </w:rPr>
        <w:lastRenderedPageBreak/>
        <w:t xml:space="preserve">the Third </w:t>
      </w:r>
      <w:r>
        <w:rPr>
          <w:color w:val="231F20"/>
          <w:spacing w:val="-3"/>
        </w:rPr>
        <w:t xml:space="preserve">World, </w:t>
      </w:r>
      <w:r>
        <w:rPr>
          <w:color w:val="231F20"/>
        </w:rPr>
        <w:t xml:space="preserve">without having to take responsibility for these wars, and without having to struggle against internal opposition. While it is  no less aggressive than </w:t>
      </w:r>
      <w:r>
        <w:rPr>
          <w:color w:val="231F20"/>
          <w:spacing w:val="1"/>
        </w:rPr>
        <w:t xml:space="preserve">U.S. </w:t>
      </w:r>
      <w:r>
        <w:rPr>
          <w:color w:val="231F20"/>
        </w:rPr>
        <w:t>imperialism, the Federal Republic is less vulnerable.</w:t>
      </w:r>
    </w:p>
    <w:p w14:paraId="6D56B5AA" w14:textId="77777777" w:rsidR="002653E8" w:rsidRDefault="003115E3">
      <w:pPr>
        <w:pStyle w:val="a3"/>
        <w:spacing w:line="264" w:lineRule="auto"/>
        <w:ind w:left="1327" w:right="1146" w:firstLine="210"/>
        <w:jc w:val="both"/>
      </w:pPr>
      <w:r>
        <w:rPr>
          <w:color w:val="231F20"/>
        </w:rPr>
        <w:t>The political options open to imperialism here have not been exhausted in either their reformist or their fascist forms, and imperialism has not exhausted its ability to either integrate or repress the contradictions that it produces.</w:t>
      </w:r>
    </w:p>
    <w:p w14:paraId="32843890" w14:textId="77777777" w:rsidR="002653E8" w:rsidRDefault="003115E3">
      <w:pPr>
        <w:pStyle w:val="a3"/>
        <w:spacing w:line="264" w:lineRule="auto"/>
        <w:ind w:left="1328" w:right="1145" w:firstLine="209"/>
        <w:jc w:val="both"/>
      </w:pPr>
      <w:r>
        <w:rPr>
          <w:color w:val="231F20"/>
        </w:rPr>
        <w:t xml:space="preserve">The </w:t>
      </w:r>
      <w:r w:rsidR="00C507A5">
        <w:rPr>
          <w:color w:val="231F20"/>
        </w:rPr>
        <w:t>red army faction</w:t>
      </w:r>
      <w:r>
        <w:rPr>
          <w:color w:val="231F20"/>
        </w:rPr>
        <w:t>’s urban guerilla concept is not based on an optimistic evaluation of the situation in the Federal Republic and West Berlin.</w:t>
      </w:r>
    </w:p>
    <w:p w14:paraId="157AC541" w14:textId="77777777" w:rsidR="002653E8" w:rsidRDefault="002653E8">
      <w:pPr>
        <w:pStyle w:val="a3"/>
        <w:spacing w:before="5"/>
        <w:rPr>
          <w:sz w:val="19"/>
        </w:rPr>
      </w:pPr>
    </w:p>
    <w:p w14:paraId="21EE1965" w14:textId="77777777" w:rsidR="002653E8" w:rsidRDefault="003115E3">
      <w:pPr>
        <w:numPr>
          <w:ilvl w:val="0"/>
          <w:numId w:val="164"/>
        </w:numPr>
        <w:tabs>
          <w:tab w:val="left" w:pos="1650"/>
        </w:tabs>
        <w:ind w:left="1649" w:hanging="322"/>
        <w:jc w:val="left"/>
      </w:pPr>
      <w:r>
        <w:rPr>
          <w:color w:val="231F20"/>
          <w:spacing w:val="16"/>
          <w:w w:val="125"/>
        </w:rPr>
        <w:t xml:space="preserve">the </w:t>
      </w:r>
      <w:r>
        <w:rPr>
          <w:color w:val="231F20"/>
          <w:spacing w:val="20"/>
          <w:w w:val="125"/>
        </w:rPr>
        <w:t>student</w:t>
      </w:r>
      <w:r>
        <w:rPr>
          <w:color w:val="231F20"/>
          <w:spacing w:val="28"/>
          <w:w w:val="125"/>
        </w:rPr>
        <w:t xml:space="preserve"> </w:t>
      </w:r>
      <w:r>
        <w:rPr>
          <w:color w:val="231F20"/>
          <w:spacing w:val="15"/>
          <w:w w:val="125"/>
        </w:rPr>
        <w:t>revolt</w:t>
      </w:r>
    </w:p>
    <w:p w14:paraId="4650F5CF" w14:textId="77777777" w:rsidR="002653E8" w:rsidRDefault="003115E3">
      <w:pPr>
        <w:spacing w:before="146" w:line="276" w:lineRule="auto"/>
        <w:ind w:left="1747" w:right="1558"/>
        <w:jc w:val="both"/>
        <w:rPr>
          <w:i/>
          <w:sz w:val="19"/>
        </w:rPr>
      </w:pPr>
      <w:r>
        <w:rPr>
          <w:i/>
          <w:color w:val="231F20"/>
          <w:w w:val="105"/>
          <w:sz w:val="19"/>
        </w:rPr>
        <w:t>The conclusion that it is impossible to separate the revolution in the “heartland” from that in “underdeveloped areas” is based on an</w:t>
      </w:r>
      <w:r>
        <w:rPr>
          <w:i/>
          <w:color w:val="231F20"/>
          <w:spacing w:val="-11"/>
          <w:w w:val="105"/>
          <w:sz w:val="19"/>
        </w:rPr>
        <w:t xml:space="preserve"> </w:t>
      </w:r>
      <w:r>
        <w:rPr>
          <w:i/>
          <w:color w:val="231F20"/>
          <w:w w:val="105"/>
          <w:sz w:val="19"/>
        </w:rPr>
        <w:t>analysis</w:t>
      </w:r>
      <w:r>
        <w:rPr>
          <w:i/>
          <w:color w:val="231F20"/>
          <w:spacing w:val="-11"/>
          <w:w w:val="105"/>
          <w:sz w:val="19"/>
        </w:rPr>
        <w:t xml:space="preserve"> </w:t>
      </w:r>
      <w:r>
        <w:rPr>
          <w:i/>
          <w:color w:val="231F20"/>
          <w:w w:val="105"/>
          <w:sz w:val="19"/>
        </w:rPr>
        <w:t>of</w:t>
      </w:r>
      <w:r>
        <w:rPr>
          <w:i/>
          <w:color w:val="231F20"/>
          <w:spacing w:val="-11"/>
          <w:w w:val="105"/>
          <w:sz w:val="19"/>
        </w:rPr>
        <w:t xml:space="preserve"> </w:t>
      </w:r>
      <w:r>
        <w:rPr>
          <w:i/>
          <w:color w:val="231F20"/>
          <w:w w:val="105"/>
          <w:sz w:val="19"/>
        </w:rPr>
        <w:t>the</w:t>
      </w:r>
      <w:r>
        <w:rPr>
          <w:i/>
          <w:color w:val="231F20"/>
          <w:spacing w:val="-11"/>
          <w:w w:val="105"/>
          <w:sz w:val="19"/>
        </w:rPr>
        <w:t xml:space="preserve"> </w:t>
      </w:r>
      <w:r>
        <w:rPr>
          <w:i/>
          <w:color w:val="231F20"/>
          <w:w w:val="105"/>
          <w:sz w:val="19"/>
        </w:rPr>
        <w:t>unique</w:t>
      </w:r>
      <w:r>
        <w:rPr>
          <w:i/>
          <w:color w:val="231F20"/>
          <w:spacing w:val="-11"/>
          <w:w w:val="105"/>
          <w:sz w:val="19"/>
        </w:rPr>
        <w:t xml:space="preserve"> </w:t>
      </w:r>
      <w:r>
        <w:rPr>
          <w:i/>
          <w:color w:val="231F20"/>
          <w:w w:val="105"/>
          <w:sz w:val="19"/>
        </w:rPr>
        <w:t>character</w:t>
      </w:r>
      <w:r>
        <w:rPr>
          <w:i/>
          <w:color w:val="231F20"/>
          <w:spacing w:val="-11"/>
          <w:w w:val="105"/>
          <w:sz w:val="19"/>
        </w:rPr>
        <w:t xml:space="preserve"> </w:t>
      </w:r>
      <w:r>
        <w:rPr>
          <w:i/>
          <w:color w:val="231F20"/>
          <w:w w:val="105"/>
          <w:sz w:val="19"/>
        </w:rPr>
        <w:t>of</w:t>
      </w:r>
      <w:r>
        <w:rPr>
          <w:i/>
          <w:color w:val="231F20"/>
          <w:spacing w:val="-11"/>
          <w:w w:val="105"/>
          <w:sz w:val="19"/>
        </w:rPr>
        <w:t xml:space="preserve"> </w:t>
      </w:r>
      <w:r>
        <w:rPr>
          <w:i/>
          <w:color w:val="231F20"/>
          <w:w w:val="105"/>
          <w:sz w:val="19"/>
        </w:rPr>
        <w:t>the</w:t>
      </w:r>
      <w:r>
        <w:rPr>
          <w:i/>
          <w:color w:val="231F20"/>
          <w:spacing w:val="-11"/>
          <w:w w:val="105"/>
          <w:sz w:val="19"/>
        </w:rPr>
        <w:t xml:space="preserve"> </w:t>
      </w:r>
      <w:r>
        <w:rPr>
          <w:i/>
          <w:color w:val="231F20"/>
          <w:w w:val="105"/>
          <w:sz w:val="19"/>
        </w:rPr>
        <w:t>capitalist</w:t>
      </w:r>
      <w:r>
        <w:rPr>
          <w:i/>
          <w:color w:val="231F20"/>
          <w:spacing w:val="-11"/>
          <w:w w:val="105"/>
          <w:sz w:val="19"/>
        </w:rPr>
        <w:t xml:space="preserve"> </w:t>
      </w:r>
      <w:r>
        <w:rPr>
          <w:i/>
          <w:color w:val="231F20"/>
          <w:w w:val="105"/>
          <w:sz w:val="19"/>
        </w:rPr>
        <w:t>ruling</w:t>
      </w:r>
      <w:r>
        <w:rPr>
          <w:i/>
          <w:color w:val="231F20"/>
          <w:spacing w:val="-11"/>
          <w:w w:val="105"/>
          <w:sz w:val="19"/>
        </w:rPr>
        <w:t xml:space="preserve"> </w:t>
      </w:r>
      <w:r>
        <w:rPr>
          <w:i/>
          <w:color w:val="231F20"/>
          <w:w w:val="105"/>
          <w:sz w:val="19"/>
        </w:rPr>
        <w:t xml:space="preserve">system. Without a revival of revolution in the </w:t>
      </w:r>
      <w:r>
        <w:rPr>
          <w:i/>
          <w:color w:val="231F20"/>
          <w:spacing w:val="-3"/>
          <w:w w:val="105"/>
          <w:sz w:val="19"/>
        </w:rPr>
        <w:t xml:space="preserve">West, </w:t>
      </w:r>
      <w:r>
        <w:rPr>
          <w:i/>
          <w:color w:val="231F20"/>
          <w:w w:val="105"/>
          <w:sz w:val="19"/>
        </w:rPr>
        <w:t>the imperialists,</w:t>
      </w:r>
      <w:r>
        <w:rPr>
          <w:i/>
          <w:color w:val="231F20"/>
          <w:spacing w:val="-11"/>
          <w:w w:val="105"/>
          <w:sz w:val="19"/>
        </w:rPr>
        <w:t xml:space="preserve"> </w:t>
      </w:r>
      <w:r>
        <w:rPr>
          <w:i/>
          <w:color w:val="231F20"/>
          <w:w w:val="105"/>
          <w:sz w:val="19"/>
        </w:rPr>
        <w:t xml:space="preserve">with their logic of violence, will be able to develop their exit strategy through a catastrophic </w:t>
      </w:r>
      <w:r>
        <w:rPr>
          <w:i/>
          <w:color w:val="231F20"/>
          <w:spacing w:val="-7"/>
          <w:w w:val="105"/>
          <w:sz w:val="19"/>
        </w:rPr>
        <w:t xml:space="preserve">war, </w:t>
      </w:r>
      <w:r>
        <w:rPr>
          <w:i/>
          <w:color w:val="231F20"/>
          <w:w w:val="105"/>
          <w:sz w:val="19"/>
        </w:rPr>
        <w:t xml:space="preserve">and it will be impossible to prevent the </w:t>
      </w:r>
      <w:r>
        <w:rPr>
          <w:i/>
          <w:color w:val="231F20"/>
          <w:spacing w:val="-3"/>
          <w:w w:val="105"/>
          <w:sz w:val="19"/>
        </w:rPr>
        <w:t xml:space="preserve">world’s </w:t>
      </w:r>
      <w:r>
        <w:rPr>
          <w:i/>
          <w:color w:val="231F20"/>
          <w:w w:val="105"/>
          <w:sz w:val="19"/>
        </w:rPr>
        <w:t>superpowers from imposing crushing</w:t>
      </w:r>
      <w:r>
        <w:rPr>
          <w:i/>
          <w:color w:val="231F20"/>
          <w:spacing w:val="20"/>
          <w:w w:val="105"/>
          <w:sz w:val="19"/>
        </w:rPr>
        <w:t xml:space="preserve"> </w:t>
      </w:r>
      <w:r>
        <w:rPr>
          <w:i/>
          <w:color w:val="231F20"/>
          <w:w w:val="105"/>
          <w:sz w:val="19"/>
        </w:rPr>
        <w:t>oppression.</w:t>
      </w:r>
    </w:p>
    <w:p w14:paraId="2AF2CFEE" w14:textId="77777777" w:rsidR="002653E8" w:rsidRDefault="003115E3">
      <w:pPr>
        <w:spacing w:before="39"/>
        <w:ind w:left="4735"/>
        <w:rPr>
          <w:sz w:val="19"/>
        </w:rPr>
      </w:pPr>
      <w:r>
        <w:rPr>
          <w:color w:val="231F20"/>
          <w:sz w:val="19"/>
        </w:rPr>
        <w:t>Il Manifesto: from Thesis 52</w:t>
      </w:r>
    </w:p>
    <w:p w14:paraId="401FAD1C" w14:textId="77777777" w:rsidR="002653E8" w:rsidRDefault="002653E8">
      <w:pPr>
        <w:pStyle w:val="a3"/>
        <w:spacing w:before="10"/>
        <w:rPr>
          <w:sz w:val="32"/>
        </w:rPr>
      </w:pPr>
    </w:p>
    <w:p w14:paraId="1A40E83C" w14:textId="77777777" w:rsidR="002653E8" w:rsidRDefault="003115E3">
      <w:pPr>
        <w:pStyle w:val="a3"/>
        <w:spacing w:line="264" w:lineRule="auto"/>
        <w:ind w:left="1327" w:right="1146"/>
        <w:jc w:val="both"/>
      </w:pPr>
      <w:r>
        <w:rPr>
          <w:color w:val="231F20"/>
        </w:rPr>
        <w:t>To dismiss the student movement as a petit bourgeois revolt is to reduce it to the grandiose claims that accompanied it, to deny its roots in the contradiction between bourgeois society and bourgeois ideology; it means recognizing its obvious shortcomings while ignoring the theoretical level that this anticapitalist protest managed to achieve.</w:t>
      </w:r>
    </w:p>
    <w:p w14:paraId="471A1033" w14:textId="77777777" w:rsidR="002653E8" w:rsidRDefault="003115E3">
      <w:pPr>
        <w:pStyle w:val="a3"/>
        <w:spacing w:line="264" w:lineRule="auto"/>
        <w:ind w:left="1327" w:right="1146" w:firstLine="210"/>
        <w:jc w:val="both"/>
      </w:pPr>
      <w:r>
        <w:rPr>
          <w:color w:val="231F20"/>
        </w:rPr>
        <w:t xml:space="preserve">The pathos with which the student movement became aware of its mental immiseration in the knowledge factories was certainly exaggerated, as was the identification of this with the situation of the exploited peoples of Latin America, Africa, and Asia. The comparison between   the mass circulation of </w:t>
      </w:r>
      <w:r>
        <w:rPr>
          <w:i/>
          <w:color w:val="231F20"/>
        </w:rPr>
        <w:t xml:space="preserve">Bild Zeitung </w:t>
      </w:r>
      <w:r>
        <w:rPr>
          <w:color w:val="231F20"/>
        </w:rPr>
        <w:t>here and the massive bombing of Vietnam was a grotesque  oversimplification,  just  as  it  was  arrogant to compare the ideological critique of the system here and the armed struggle</w:t>
      </w:r>
      <w:r>
        <w:rPr>
          <w:color w:val="231F20"/>
          <w:spacing w:val="-7"/>
        </w:rPr>
        <w:t xml:space="preserve"> </w:t>
      </w:r>
      <w:r>
        <w:rPr>
          <w:color w:val="231F20"/>
        </w:rPr>
        <w:t>over</w:t>
      </w:r>
      <w:r>
        <w:rPr>
          <w:color w:val="231F20"/>
          <w:spacing w:val="-7"/>
        </w:rPr>
        <w:t xml:space="preserve"> </w:t>
      </w:r>
      <w:r>
        <w:rPr>
          <w:color w:val="231F20"/>
        </w:rPr>
        <w:t>there.</w:t>
      </w:r>
      <w:r>
        <w:rPr>
          <w:color w:val="231F20"/>
          <w:spacing w:val="-7"/>
        </w:rPr>
        <w:t xml:space="preserve"> </w:t>
      </w:r>
      <w:r>
        <w:rPr>
          <w:color w:val="231F20"/>
        </w:rPr>
        <w:t>The</w:t>
      </w:r>
      <w:r>
        <w:rPr>
          <w:color w:val="231F20"/>
          <w:spacing w:val="-7"/>
        </w:rPr>
        <w:t xml:space="preserve"> </w:t>
      </w:r>
      <w:r>
        <w:rPr>
          <w:color w:val="231F20"/>
        </w:rPr>
        <w:t>students’</w:t>
      </w:r>
      <w:r>
        <w:rPr>
          <w:color w:val="231F20"/>
          <w:spacing w:val="-7"/>
        </w:rPr>
        <w:t xml:space="preserve"> </w:t>
      </w:r>
      <w:r>
        <w:rPr>
          <w:color w:val="231F20"/>
        </w:rPr>
        <w:t>belief</w:t>
      </w:r>
      <w:r>
        <w:rPr>
          <w:color w:val="231F20"/>
          <w:spacing w:val="-7"/>
        </w:rPr>
        <w:t xml:space="preserve"> </w:t>
      </w:r>
      <w:r>
        <w:rPr>
          <w:color w:val="231F20"/>
        </w:rPr>
        <w:t>that</w:t>
      </w:r>
      <w:r>
        <w:rPr>
          <w:color w:val="231F20"/>
          <w:spacing w:val="-7"/>
        </w:rPr>
        <w:t xml:space="preserve"> </w:t>
      </w:r>
      <w:r>
        <w:rPr>
          <w:color w:val="231F20"/>
        </w:rPr>
        <w:t>they</w:t>
      </w:r>
      <w:r>
        <w:rPr>
          <w:color w:val="231F20"/>
          <w:spacing w:val="-7"/>
        </w:rPr>
        <w:t xml:space="preserve"> </w:t>
      </w:r>
      <w:r>
        <w:rPr>
          <w:color w:val="231F20"/>
        </w:rPr>
        <w:t>were</w:t>
      </w:r>
      <w:r>
        <w:rPr>
          <w:color w:val="231F20"/>
          <w:spacing w:val="-7"/>
        </w:rPr>
        <w:t xml:space="preserve"> </w:t>
      </w:r>
      <w:r>
        <w:rPr>
          <w:color w:val="231F20"/>
        </w:rPr>
        <w:t>the</w:t>
      </w:r>
      <w:r>
        <w:rPr>
          <w:color w:val="231F20"/>
          <w:spacing w:val="-7"/>
        </w:rPr>
        <w:t xml:space="preserve"> </w:t>
      </w:r>
      <w:r>
        <w:rPr>
          <w:color w:val="231F20"/>
        </w:rPr>
        <w:t>revolutionary subject, insofar as it was based on the appeal of Marcuse, betrayed their ignorance as to the actual nature of bourgeois society and the mode of production which it has</w:t>
      </w:r>
      <w:r>
        <w:rPr>
          <w:color w:val="231F20"/>
          <w:spacing w:val="42"/>
        </w:rPr>
        <w:t xml:space="preserve"> </w:t>
      </w:r>
      <w:r>
        <w:rPr>
          <w:color w:val="231F20"/>
        </w:rPr>
        <w:t>established.</w:t>
      </w:r>
    </w:p>
    <w:p w14:paraId="4DEC5C87" w14:textId="77777777" w:rsidR="002653E8" w:rsidRDefault="003115E3">
      <w:pPr>
        <w:pStyle w:val="a3"/>
        <w:spacing w:line="264" w:lineRule="auto"/>
        <w:ind w:left="1327" w:right="1146" w:firstLine="210"/>
        <w:jc w:val="both"/>
      </w:pPr>
      <w:r>
        <w:rPr>
          <w:color w:val="231F20"/>
        </w:rPr>
        <w:t>The student revolt in the Federal Republic and West Berlin—with its street fighting, its arsons, its use of counterviolence, its pathos, as well</w:t>
      </w:r>
    </w:p>
    <w:p w14:paraId="7FA68560" w14:textId="77777777" w:rsidR="002653E8" w:rsidRDefault="002653E8">
      <w:pPr>
        <w:spacing w:line="264" w:lineRule="auto"/>
        <w:jc w:val="both"/>
        <w:sectPr w:rsidR="002653E8">
          <w:pgSz w:w="8640" w:h="12960"/>
          <w:pgMar w:top="1060" w:right="0" w:bottom="1040" w:left="0" w:header="0" w:footer="850" w:gutter="0"/>
          <w:cols w:space="720"/>
        </w:sectPr>
      </w:pPr>
    </w:p>
    <w:p w14:paraId="3257A804" w14:textId="77777777" w:rsidR="002653E8" w:rsidRPr="00EF5A7B" w:rsidRDefault="003115E3">
      <w:pPr>
        <w:pStyle w:val="a3"/>
        <w:spacing w:before="86" w:line="264" w:lineRule="auto"/>
        <w:ind w:left="1147" w:right="1326"/>
        <w:jc w:val="both"/>
        <w:rPr>
          <w:rFonts w:ascii="宋体" w:eastAsia="宋体" w:hAnsi="宋体" w:cs="宋体"/>
        </w:rPr>
      </w:pPr>
      <w:r>
        <w:rPr>
          <w:color w:val="231F20"/>
        </w:rPr>
        <w:lastRenderedPageBreak/>
        <w:t>as its exaggerations and ignorance… in short, with its practice—has the merit of having reconstructed Marxism-Leninism, at least in the consciousness of the intelligentsia, as that political theory without which the political, economic, and ideological factors and their outward manifestations cannot be combined into an overall analytical perspective. Without</w:t>
      </w:r>
      <w:r>
        <w:rPr>
          <w:color w:val="231F20"/>
          <w:spacing w:val="12"/>
        </w:rPr>
        <w:t xml:space="preserve"> </w:t>
      </w:r>
      <w:r>
        <w:rPr>
          <w:color w:val="231F20"/>
        </w:rPr>
        <w:t>this,</w:t>
      </w:r>
      <w:r>
        <w:rPr>
          <w:color w:val="231F20"/>
          <w:spacing w:val="12"/>
        </w:rPr>
        <w:t xml:space="preserve"> </w:t>
      </w:r>
      <w:r>
        <w:rPr>
          <w:color w:val="231F20"/>
        </w:rPr>
        <w:t>internal</w:t>
      </w:r>
      <w:r>
        <w:rPr>
          <w:color w:val="231F20"/>
          <w:spacing w:val="12"/>
        </w:rPr>
        <w:t xml:space="preserve"> </w:t>
      </w:r>
      <w:r>
        <w:rPr>
          <w:color w:val="231F20"/>
        </w:rPr>
        <w:t>and</w:t>
      </w:r>
      <w:r>
        <w:rPr>
          <w:color w:val="231F20"/>
          <w:spacing w:val="12"/>
        </w:rPr>
        <w:t xml:space="preserve"> </w:t>
      </w:r>
      <w:r>
        <w:rPr>
          <w:color w:val="231F20"/>
        </w:rPr>
        <w:t>external</w:t>
      </w:r>
      <w:r>
        <w:rPr>
          <w:color w:val="231F20"/>
          <w:spacing w:val="12"/>
        </w:rPr>
        <w:t xml:space="preserve"> </w:t>
      </w:r>
      <w:r>
        <w:rPr>
          <w:color w:val="231F20"/>
        </w:rPr>
        <w:t>relationships</w:t>
      </w:r>
      <w:r>
        <w:rPr>
          <w:color w:val="231F20"/>
          <w:spacing w:val="12"/>
        </w:rPr>
        <w:t xml:space="preserve"> </w:t>
      </w:r>
      <w:r>
        <w:rPr>
          <w:color w:val="231F20"/>
        </w:rPr>
        <w:t>cannot</w:t>
      </w:r>
      <w:r>
        <w:rPr>
          <w:color w:val="231F20"/>
          <w:spacing w:val="12"/>
        </w:rPr>
        <w:t xml:space="preserve"> </w:t>
      </w:r>
      <w:r>
        <w:rPr>
          <w:color w:val="231F20"/>
        </w:rPr>
        <w:t>be</w:t>
      </w:r>
      <w:r>
        <w:rPr>
          <w:color w:val="231F20"/>
          <w:spacing w:val="12"/>
        </w:rPr>
        <w:t xml:space="preserve"> </w:t>
      </w:r>
      <w:r>
        <w:rPr>
          <w:color w:val="231F20"/>
        </w:rPr>
        <w:t>described.</w:t>
      </w:r>
    </w:p>
    <w:p w14:paraId="67D569E8" w14:textId="77777777" w:rsidR="002653E8" w:rsidRDefault="003115E3">
      <w:pPr>
        <w:pStyle w:val="a3"/>
        <w:spacing w:line="264" w:lineRule="auto"/>
        <w:ind w:left="1147" w:right="1325" w:firstLine="210"/>
        <w:jc w:val="both"/>
      </w:pPr>
      <w:r>
        <w:rPr>
          <w:color w:val="231F20"/>
        </w:rPr>
        <w:t xml:space="preserve">The student movement was based on the contradiction between the theory of academic freedom and the reality of monopoly capitalism’s control of the universities. Precisely because it was based on this, and not merely on ideology, it didn’t run out of steam before it had established the relationship between the crisis in the universities and the crisis of capitalism, if only in theory. Not before it was clear to the stu dent movement and their public that “liberty, equality, and fraternity” would not be achieved by appeals to human rights or the </w:t>
      </w:r>
      <w:r>
        <w:rPr>
          <w:color w:val="231F20"/>
          <w:spacing w:val="5"/>
        </w:rPr>
        <w:t xml:space="preserve">UN </w:t>
      </w:r>
      <w:r>
        <w:rPr>
          <w:color w:val="231F20"/>
        </w:rPr>
        <w:t>Charter, that what was occurring here was what had always occurred in the colonialist and imperialist exploitation of Latin America, Africa, and Asia: discipline, subordination, and brutality for the oppressed and for those who take up their struggle by protest, those who resist and wage the anti-imperialist</w:t>
      </w:r>
      <w:r>
        <w:rPr>
          <w:color w:val="231F20"/>
          <w:spacing w:val="21"/>
        </w:rPr>
        <w:t xml:space="preserve"> </w:t>
      </w:r>
      <w:r>
        <w:rPr>
          <w:color w:val="231F20"/>
        </w:rPr>
        <w:t>struggle.</w:t>
      </w:r>
    </w:p>
    <w:p w14:paraId="014CDBED" w14:textId="77777777" w:rsidR="002653E8" w:rsidRDefault="003115E3">
      <w:pPr>
        <w:pStyle w:val="a3"/>
        <w:spacing w:line="220" w:lineRule="exact"/>
        <w:ind w:left="1358"/>
      </w:pPr>
      <w:r>
        <w:rPr>
          <w:color w:val="231F20"/>
        </w:rPr>
        <w:t>In its ideological critique, the student movement viewed almost all</w:t>
      </w:r>
    </w:p>
    <w:p w14:paraId="7C9DC320" w14:textId="77777777" w:rsidR="002653E8" w:rsidRDefault="003115E3">
      <w:pPr>
        <w:pStyle w:val="a3"/>
        <w:spacing w:before="16" w:line="264" w:lineRule="auto"/>
        <w:ind w:left="1147" w:right="1326"/>
        <w:jc w:val="both"/>
      </w:pPr>
      <w:r>
        <w:rPr>
          <w:color w:val="231F20"/>
        </w:rPr>
        <w:t xml:space="preserve">aspects of state repression as expressions of imperialist exploitation:    in the Springer campaign, in the demonstrations against American aggression in Vietnam, in the campaign against class justice, in the </w:t>
      </w:r>
      <w:r>
        <w:rPr>
          <w:i/>
          <w:color w:val="231F20"/>
        </w:rPr>
        <w:t xml:space="preserve">Bundeswehr </w:t>
      </w:r>
      <w:r>
        <w:rPr>
          <w:color w:val="231F20"/>
        </w:rPr>
        <w:t>campaign,</w:t>
      </w:r>
      <w:r>
        <w:rPr>
          <w:color w:val="231F20"/>
          <w:position w:val="7"/>
          <w:sz w:val="11"/>
        </w:rPr>
        <w:t xml:space="preserve">1 </w:t>
      </w:r>
      <w:r>
        <w:rPr>
          <w:color w:val="231F20"/>
        </w:rPr>
        <w:t xml:space="preserve">in the campaign against the Emergency Laws, and in the high school student movement. Expropriate Springer! Smash </w:t>
      </w:r>
      <w:r>
        <w:rPr>
          <w:color w:val="231F20"/>
          <w:spacing w:val="-3"/>
        </w:rPr>
        <w:t xml:space="preserve">NATO! </w:t>
      </w:r>
      <w:r>
        <w:rPr>
          <w:color w:val="231F20"/>
        </w:rPr>
        <w:t xml:space="preserve">Resist Consumer </w:t>
      </w:r>
      <w:r>
        <w:rPr>
          <w:color w:val="231F20"/>
          <w:spacing w:val="-3"/>
        </w:rPr>
        <w:t xml:space="preserve">Terror! </w:t>
      </w:r>
      <w:r>
        <w:rPr>
          <w:color w:val="231F20"/>
        </w:rPr>
        <w:t xml:space="preserve">Resist Education </w:t>
      </w:r>
      <w:r>
        <w:rPr>
          <w:color w:val="231F20"/>
          <w:spacing w:val="-3"/>
        </w:rPr>
        <w:t xml:space="preserve">Terror! </w:t>
      </w:r>
      <w:r>
        <w:rPr>
          <w:color w:val="231F20"/>
        </w:rPr>
        <w:t>Resist Rent Terror!—these were all correct political slogans. They aimed to expose the contradiction between new needs which could be satisfied through the</w:t>
      </w:r>
      <w:r>
        <w:rPr>
          <w:color w:val="231F20"/>
          <w:spacing w:val="-4"/>
        </w:rPr>
        <w:t xml:space="preserve"> </w:t>
      </w:r>
      <w:r>
        <w:rPr>
          <w:color w:val="231F20"/>
        </w:rPr>
        <w:t>development</w:t>
      </w:r>
      <w:r>
        <w:rPr>
          <w:color w:val="231F20"/>
          <w:spacing w:val="-4"/>
        </w:rPr>
        <w:t xml:space="preserve"> </w:t>
      </w:r>
      <w:r>
        <w:rPr>
          <w:color w:val="231F20"/>
        </w:rPr>
        <w:t>of</w:t>
      </w:r>
      <w:r>
        <w:rPr>
          <w:color w:val="231F20"/>
          <w:spacing w:val="-4"/>
        </w:rPr>
        <w:t xml:space="preserve"> </w:t>
      </w:r>
      <w:r>
        <w:rPr>
          <w:color w:val="231F20"/>
        </w:rPr>
        <w:t>productive</w:t>
      </w:r>
      <w:r>
        <w:rPr>
          <w:color w:val="231F20"/>
          <w:spacing w:val="-4"/>
        </w:rPr>
        <w:t xml:space="preserve"> </w:t>
      </w:r>
      <w:r>
        <w:rPr>
          <w:color w:val="231F20"/>
        </w:rPr>
        <w:t>forces,</w:t>
      </w:r>
      <w:r>
        <w:rPr>
          <w:color w:val="231F20"/>
          <w:spacing w:val="-4"/>
        </w:rPr>
        <w:t xml:space="preserve"> </w:t>
      </w:r>
      <w:r>
        <w:rPr>
          <w:color w:val="231F20"/>
        </w:rPr>
        <w:t>on</w:t>
      </w:r>
      <w:r>
        <w:rPr>
          <w:color w:val="231F20"/>
          <w:spacing w:val="-4"/>
        </w:rPr>
        <w:t xml:space="preserve"> </w:t>
      </w:r>
      <w:r>
        <w:rPr>
          <w:color w:val="231F20"/>
        </w:rPr>
        <w:t>the</w:t>
      </w:r>
      <w:r>
        <w:rPr>
          <w:color w:val="231F20"/>
          <w:spacing w:val="-4"/>
        </w:rPr>
        <w:t xml:space="preserve"> </w:t>
      </w:r>
      <w:r>
        <w:rPr>
          <w:color w:val="231F20"/>
        </w:rPr>
        <w:t>one</w:t>
      </w:r>
      <w:r>
        <w:rPr>
          <w:color w:val="231F20"/>
          <w:spacing w:val="-4"/>
        </w:rPr>
        <w:t xml:space="preserve"> </w:t>
      </w:r>
      <w:r>
        <w:rPr>
          <w:color w:val="231F20"/>
        </w:rPr>
        <w:t>hand,</w:t>
      </w:r>
      <w:r>
        <w:rPr>
          <w:color w:val="231F20"/>
          <w:spacing w:val="-4"/>
        </w:rPr>
        <w:t xml:space="preserve"> </w:t>
      </w:r>
      <w:r>
        <w:rPr>
          <w:color w:val="231F20"/>
        </w:rPr>
        <w:t>and</w:t>
      </w:r>
      <w:r>
        <w:rPr>
          <w:color w:val="231F20"/>
          <w:spacing w:val="-4"/>
        </w:rPr>
        <w:t xml:space="preserve"> </w:t>
      </w:r>
      <w:r>
        <w:rPr>
          <w:color w:val="231F20"/>
        </w:rPr>
        <w:t>the</w:t>
      </w:r>
      <w:r>
        <w:rPr>
          <w:color w:val="231F20"/>
          <w:spacing w:val="-4"/>
        </w:rPr>
        <w:t xml:space="preserve"> </w:t>
      </w:r>
      <w:r>
        <w:rPr>
          <w:color w:val="231F20"/>
        </w:rPr>
        <w:t>pressure of irrational subordination to class society, on the other. Their identity was not based on class struggle here, but rather on the knowledge that they were part of an international movement, that they were dealing with the same class enemy as the Viet Cong, the same paper tigers, the same</w:t>
      </w:r>
      <w:r>
        <w:rPr>
          <w:color w:val="231F20"/>
          <w:spacing w:val="10"/>
        </w:rPr>
        <w:t xml:space="preserve"> </w:t>
      </w:r>
      <w:r>
        <w:rPr>
          <w:color w:val="231F20"/>
        </w:rPr>
        <w:t>pigs.</w:t>
      </w:r>
    </w:p>
    <w:p w14:paraId="4B538D06" w14:textId="77777777" w:rsidR="002653E8" w:rsidRDefault="003115E3">
      <w:pPr>
        <w:pStyle w:val="a3"/>
        <w:spacing w:line="219" w:lineRule="exact"/>
        <w:ind w:left="1357"/>
      </w:pPr>
      <w:r>
        <w:rPr>
          <w:color w:val="231F20"/>
        </w:rPr>
        <w:t>The second merit of the student movement was that it broke  through</w:t>
      </w:r>
    </w:p>
    <w:p w14:paraId="5F5601DC" w14:textId="77777777" w:rsidR="002653E8" w:rsidRDefault="003115E3">
      <w:pPr>
        <w:pStyle w:val="a3"/>
        <w:spacing w:before="22" w:line="264" w:lineRule="auto"/>
        <w:ind w:left="1147" w:right="1326"/>
        <w:jc w:val="both"/>
        <w:rPr>
          <w:i/>
        </w:rPr>
      </w:pPr>
      <w:r>
        <w:rPr>
          <w:color w:val="231F20"/>
        </w:rPr>
        <w:t xml:space="preserve">the old left’s parochialism: the old left’s popular front strategy in the form  of  the  Easter  Marches,  the  German  Peace  Union,  the  </w:t>
      </w:r>
      <w:r>
        <w:rPr>
          <w:i/>
          <w:color w:val="231F20"/>
        </w:rPr>
        <w:t>Deutsche</w:t>
      </w:r>
    </w:p>
    <w:p w14:paraId="0192373B" w14:textId="77777777" w:rsidR="002653E8" w:rsidRDefault="00000000">
      <w:pPr>
        <w:pStyle w:val="a3"/>
        <w:spacing w:before="4"/>
        <w:rPr>
          <w:i/>
        </w:rPr>
      </w:pPr>
      <w:r>
        <w:rPr>
          <w:noProof w:val="0"/>
        </w:rPr>
        <w:pict w14:anchorId="64BC71E0">
          <v:line id="_x0000_s2612" style="position:absolute;z-index:3448;mso-wrap-distance-left:0;mso-wrap-distance-right:0;mso-position-horizontal-relative:page" from="57.4pt,14.15pt" to="129.4pt,14.15pt" strokecolor="#231f20" strokeweight=".5pt">
            <w10:wrap type="topAndBottom" anchorx="page"/>
          </v:line>
        </w:pict>
      </w:r>
    </w:p>
    <w:p w14:paraId="615D91E5" w14:textId="77777777" w:rsidR="002653E8" w:rsidRDefault="003115E3">
      <w:pPr>
        <w:spacing w:before="53" w:line="254" w:lineRule="auto"/>
        <w:ind w:left="1147" w:right="1580"/>
        <w:rPr>
          <w:sz w:val="16"/>
        </w:rPr>
      </w:pPr>
      <w:r>
        <w:rPr>
          <w:color w:val="231F20"/>
          <w:w w:val="105"/>
          <w:sz w:val="16"/>
        </w:rPr>
        <w:t xml:space="preserve">1 An SDS campaign encouraging soldiers to desert from the </w:t>
      </w:r>
      <w:r>
        <w:rPr>
          <w:i/>
          <w:color w:val="231F20"/>
          <w:w w:val="105"/>
          <w:sz w:val="16"/>
        </w:rPr>
        <w:t xml:space="preserve">Bundeswehr, </w:t>
      </w:r>
      <w:r>
        <w:rPr>
          <w:color w:val="231F20"/>
          <w:w w:val="105"/>
          <w:sz w:val="16"/>
        </w:rPr>
        <w:t>the West German Army.</w:t>
      </w:r>
    </w:p>
    <w:p w14:paraId="5DB2F8A0" w14:textId="77777777" w:rsidR="002653E8" w:rsidRDefault="002653E8">
      <w:pPr>
        <w:spacing w:line="254" w:lineRule="auto"/>
        <w:rPr>
          <w:sz w:val="16"/>
        </w:rPr>
        <w:sectPr w:rsidR="002653E8">
          <w:pgSz w:w="8640" w:h="12960"/>
          <w:pgMar w:top="1060" w:right="0" w:bottom="1040" w:left="0" w:header="0" w:footer="850" w:gutter="0"/>
          <w:cols w:space="720"/>
        </w:sectPr>
      </w:pPr>
    </w:p>
    <w:p w14:paraId="35F8EFC9" w14:textId="77777777" w:rsidR="002653E8" w:rsidRDefault="003115E3">
      <w:pPr>
        <w:pStyle w:val="a3"/>
        <w:spacing w:before="86" w:line="264" w:lineRule="auto"/>
        <w:ind w:left="1327" w:right="1145"/>
        <w:jc w:val="both"/>
      </w:pPr>
      <w:r>
        <w:rPr>
          <w:i/>
          <w:color w:val="231F20"/>
        </w:rPr>
        <w:lastRenderedPageBreak/>
        <w:t>Volkszeitung</w:t>
      </w:r>
      <w:r>
        <w:rPr>
          <w:color w:val="231F20"/>
        </w:rPr>
        <w:t>, an irrational hope for a “massive landslide” in some election or another, a parliamentary fixation on Strauß here or Heinemann there, their pro</w:t>
      </w:r>
      <w:r w:rsidR="001E6357">
        <w:rPr>
          <w:color w:val="231F20"/>
        </w:rPr>
        <w:t xml:space="preserve"> </w:t>
      </w:r>
      <w:r>
        <w:rPr>
          <w:color w:val="231F20"/>
        </w:rPr>
        <w:t xml:space="preserve">and anticommunist vacillation about the GDR, their isolation, their resignation, and their moral conflicts: ready for every sacrifice, incapable of any practice. The socialist section of the student movement developed its consciousness, in spite of theoretical errors, from the correct recognition that “the revolutionary initiative in the </w:t>
      </w:r>
      <w:r>
        <w:rPr>
          <w:color w:val="231F20"/>
          <w:spacing w:val="-3"/>
        </w:rPr>
        <w:t xml:space="preserve">West  </w:t>
      </w:r>
      <w:r>
        <w:rPr>
          <w:color w:val="231F20"/>
        </w:rPr>
        <w:t xml:space="preserve">can be based on the crisis in the global balance of power, and      on the development of new forces in old countries.” (Il Manifesto,  Thesis </w:t>
      </w:r>
      <w:r>
        <w:rPr>
          <w:color w:val="231F20"/>
          <w:spacing w:val="-11"/>
        </w:rPr>
        <w:t xml:space="preserve">55) </w:t>
      </w:r>
      <w:r>
        <w:rPr>
          <w:color w:val="231F20"/>
        </w:rPr>
        <w:t xml:space="preserve">They based their agitation and propaganda on what can be considered the most important aspect of German reality. They opposed the global strategy of imperialism by internationalizing national struggles, by creating a connection between the national and international aspects of the struggle, between traditional forms of struggle and international revolutionary initiatives. They managed to </w:t>
      </w:r>
      <w:r>
        <w:rPr>
          <w:color w:val="231F20"/>
          <w:spacing w:val="1"/>
        </w:rPr>
        <w:t xml:space="preserve">turn </w:t>
      </w:r>
      <w:r>
        <w:rPr>
          <w:color w:val="231F20"/>
        </w:rPr>
        <w:t>their weakness into strength, because they recognized that continuing resignation, parochialism, reformism, and popular front strategies could only lead  to a dead-end for socialist politics in the postand pre-fascist conditions existing in the Federal Republic and</w:t>
      </w:r>
      <w:r>
        <w:rPr>
          <w:color w:val="231F20"/>
          <w:spacing w:val="42"/>
        </w:rPr>
        <w:t xml:space="preserve"> </w:t>
      </w:r>
      <w:r>
        <w:rPr>
          <w:color w:val="231F20"/>
          <w:spacing w:val="-3"/>
        </w:rPr>
        <w:t xml:space="preserve">West </w:t>
      </w:r>
      <w:r>
        <w:rPr>
          <w:color w:val="231F20"/>
        </w:rPr>
        <w:t>Berlin.</w:t>
      </w:r>
    </w:p>
    <w:p w14:paraId="2A13CDCF" w14:textId="77777777" w:rsidR="002653E8" w:rsidRDefault="003115E3">
      <w:pPr>
        <w:pStyle w:val="a3"/>
        <w:spacing w:line="213" w:lineRule="exact"/>
        <w:ind w:left="1537"/>
      </w:pPr>
      <w:r>
        <w:rPr>
          <w:color w:val="231F20"/>
        </w:rPr>
        <w:t>The left knew that it was correct to link the distribution of social-</w:t>
      </w:r>
    </w:p>
    <w:p w14:paraId="54CB453B" w14:textId="77777777" w:rsidR="002653E8" w:rsidRDefault="003115E3">
      <w:pPr>
        <w:pStyle w:val="a3"/>
        <w:spacing w:before="23" w:line="264" w:lineRule="auto"/>
        <w:ind w:left="1327" w:right="1145"/>
        <w:jc w:val="both"/>
      </w:pPr>
      <w:r>
        <w:rPr>
          <w:color w:val="231F20"/>
        </w:rPr>
        <w:t xml:space="preserve">ist propaganda in factories with actually preventing the distribution of </w:t>
      </w:r>
      <w:r>
        <w:rPr>
          <w:i/>
          <w:color w:val="231F20"/>
        </w:rPr>
        <w:t>Bild Zeitung</w:t>
      </w:r>
      <w:r>
        <w:rPr>
          <w:color w:val="231F20"/>
        </w:rPr>
        <w:t xml:space="preserve">. It was correct to link propaganda against GIs being sent    to Vietnam with actual attacks on military planes targeting Vietnam,  and the </w:t>
      </w:r>
      <w:r>
        <w:rPr>
          <w:i/>
          <w:color w:val="231F20"/>
        </w:rPr>
        <w:t xml:space="preserve">Bundswehr </w:t>
      </w:r>
      <w:r>
        <w:rPr>
          <w:color w:val="231F20"/>
        </w:rPr>
        <w:t xml:space="preserve">campaign with attacks on </w:t>
      </w:r>
      <w:r>
        <w:rPr>
          <w:color w:val="231F20"/>
          <w:spacing w:val="-3"/>
        </w:rPr>
        <w:t xml:space="preserve">NATO </w:t>
      </w:r>
      <w:r>
        <w:rPr>
          <w:color w:val="231F20"/>
        </w:rPr>
        <w:t xml:space="preserve">airports. It was correct to link the critique of class justice with the blowing up of prison walls, and the critique of the Springer Corporation with the disarming  of its private security services. It was correct to set up radio stations,    to demoralize the police, to have safehouses for </w:t>
      </w:r>
      <w:r>
        <w:rPr>
          <w:i/>
          <w:color w:val="231F20"/>
        </w:rPr>
        <w:t xml:space="preserve">Bundeswehr </w:t>
      </w:r>
      <w:r>
        <w:rPr>
          <w:color w:val="231F20"/>
        </w:rPr>
        <w:t>deserters, to combine agitation amongst foreign workers with the production of false documents, to prevent the production of napalm by sabotaging factories.</w:t>
      </w:r>
    </w:p>
    <w:p w14:paraId="152BC9C5" w14:textId="77777777" w:rsidR="002653E8" w:rsidRDefault="003115E3">
      <w:pPr>
        <w:pStyle w:val="a3"/>
        <w:spacing w:line="264" w:lineRule="auto"/>
        <w:ind w:left="1327" w:right="1146" w:firstLine="210"/>
        <w:jc w:val="both"/>
      </w:pPr>
      <w:r>
        <w:rPr>
          <w:color w:val="231F20"/>
        </w:rPr>
        <w:t>It was an error, however, to make their own propaganda dependent on supply and demand: to have no newspaper if the workers could not yet finance it, no car if the “movement” could not afford it, no transmitter because they had no license for it, no sabotage because capitalism wouldn’t collapse immediately as a result.</w:t>
      </w:r>
    </w:p>
    <w:p w14:paraId="4BE83C2B" w14:textId="77777777" w:rsidR="002653E8" w:rsidRDefault="003115E3">
      <w:pPr>
        <w:pStyle w:val="a3"/>
        <w:spacing w:line="264" w:lineRule="auto"/>
        <w:ind w:left="1327" w:right="1146" w:firstLine="210"/>
        <w:jc w:val="both"/>
      </w:pPr>
      <w:r>
        <w:rPr>
          <w:color w:val="231F20"/>
          <w:w w:val="105"/>
        </w:rPr>
        <w:t>The</w:t>
      </w:r>
      <w:r>
        <w:rPr>
          <w:color w:val="231F20"/>
          <w:spacing w:val="-19"/>
          <w:w w:val="105"/>
        </w:rPr>
        <w:t xml:space="preserve"> </w:t>
      </w:r>
      <w:r>
        <w:rPr>
          <w:color w:val="231F20"/>
          <w:w w:val="105"/>
        </w:rPr>
        <w:t>student</w:t>
      </w:r>
      <w:r>
        <w:rPr>
          <w:color w:val="231F20"/>
          <w:spacing w:val="-19"/>
          <w:w w:val="105"/>
        </w:rPr>
        <w:t xml:space="preserve"> </w:t>
      </w:r>
      <w:r>
        <w:rPr>
          <w:color w:val="231F20"/>
          <w:w w:val="105"/>
        </w:rPr>
        <w:t>movement</w:t>
      </w:r>
      <w:r>
        <w:rPr>
          <w:color w:val="231F20"/>
          <w:spacing w:val="-19"/>
          <w:w w:val="105"/>
        </w:rPr>
        <w:t xml:space="preserve"> </w:t>
      </w:r>
      <w:r>
        <w:rPr>
          <w:color w:val="231F20"/>
          <w:w w:val="105"/>
        </w:rPr>
        <w:t>fell</w:t>
      </w:r>
      <w:r>
        <w:rPr>
          <w:color w:val="231F20"/>
          <w:spacing w:val="-19"/>
          <w:w w:val="105"/>
        </w:rPr>
        <w:t xml:space="preserve"> </w:t>
      </w:r>
      <w:r>
        <w:rPr>
          <w:color w:val="231F20"/>
          <w:w w:val="105"/>
        </w:rPr>
        <w:t>apart</w:t>
      </w:r>
      <w:r>
        <w:rPr>
          <w:color w:val="231F20"/>
          <w:spacing w:val="-19"/>
          <w:w w:val="105"/>
        </w:rPr>
        <w:t xml:space="preserve"> </w:t>
      </w:r>
      <w:r>
        <w:rPr>
          <w:color w:val="231F20"/>
          <w:w w:val="105"/>
        </w:rPr>
        <w:t>when</w:t>
      </w:r>
      <w:r>
        <w:rPr>
          <w:color w:val="231F20"/>
          <w:spacing w:val="-19"/>
          <w:w w:val="105"/>
        </w:rPr>
        <w:t xml:space="preserve"> </w:t>
      </w:r>
      <w:r>
        <w:rPr>
          <w:color w:val="231F20"/>
          <w:w w:val="105"/>
        </w:rPr>
        <w:t>its</w:t>
      </w:r>
      <w:r>
        <w:rPr>
          <w:color w:val="231F20"/>
          <w:spacing w:val="-19"/>
          <w:w w:val="105"/>
        </w:rPr>
        <w:t xml:space="preserve"> </w:t>
      </w:r>
      <w:r>
        <w:rPr>
          <w:color w:val="231F20"/>
          <w:w w:val="105"/>
        </w:rPr>
        <w:t>typically</w:t>
      </w:r>
      <w:r>
        <w:rPr>
          <w:color w:val="231F20"/>
          <w:spacing w:val="-19"/>
          <w:w w:val="105"/>
        </w:rPr>
        <w:t xml:space="preserve"> </w:t>
      </w:r>
      <w:r>
        <w:rPr>
          <w:color w:val="231F20"/>
          <w:w w:val="105"/>
        </w:rPr>
        <w:t>student</w:t>
      </w:r>
      <w:r>
        <w:rPr>
          <w:color w:val="231F20"/>
          <w:spacing w:val="-19"/>
          <w:w w:val="105"/>
        </w:rPr>
        <w:t xml:space="preserve"> </w:t>
      </w:r>
      <w:r>
        <w:rPr>
          <w:color w:val="231F20"/>
          <w:w w:val="105"/>
        </w:rPr>
        <w:t>and</w:t>
      </w:r>
      <w:r>
        <w:rPr>
          <w:color w:val="231F20"/>
          <w:spacing w:val="-19"/>
          <w:w w:val="105"/>
        </w:rPr>
        <w:t xml:space="preserve"> </w:t>
      </w:r>
      <w:r>
        <w:rPr>
          <w:color w:val="231F20"/>
          <w:w w:val="105"/>
        </w:rPr>
        <w:t>petit bourgeois form of organization, “antiauthoritarianism,” proved itself ill-suited</w:t>
      </w:r>
      <w:r>
        <w:rPr>
          <w:color w:val="231F20"/>
          <w:spacing w:val="-21"/>
          <w:w w:val="105"/>
        </w:rPr>
        <w:t xml:space="preserve"> </w:t>
      </w:r>
      <w:r>
        <w:rPr>
          <w:color w:val="231F20"/>
          <w:w w:val="105"/>
        </w:rPr>
        <w:t>to</w:t>
      </w:r>
      <w:r>
        <w:rPr>
          <w:color w:val="231F20"/>
          <w:spacing w:val="-21"/>
          <w:w w:val="105"/>
        </w:rPr>
        <w:t xml:space="preserve"> </w:t>
      </w:r>
      <w:r>
        <w:rPr>
          <w:color w:val="231F20"/>
          <w:w w:val="105"/>
        </w:rPr>
        <w:t>achieving</w:t>
      </w:r>
      <w:r>
        <w:rPr>
          <w:color w:val="231F20"/>
          <w:spacing w:val="-21"/>
          <w:w w:val="105"/>
        </w:rPr>
        <w:t xml:space="preserve"> </w:t>
      </w:r>
      <w:r>
        <w:rPr>
          <w:color w:val="231F20"/>
          <w:w w:val="105"/>
        </w:rPr>
        <w:t>its</w:t>
      </w:r>
      <w:r>
        <w:rPr>
          <w:color w:val="231F20"/>
          <w:spacing w:val="-21"/>
          <w:w w:val="105"/>
        </w:rPr>
        <w:t xml:space="preserve"> </w:t>
      </w:r>
      <w:r>
        <w:rPr>
          <w:color w:val="231F20"/>
          <w:w w:val="105"/>
        </w:rPr>
        <w:t>goals.</w:t>
      </w:r>
      <w:r>
        <w:rPr>
          <w:color w:val="231F20"/>
          <w:spacing w:val="-21"/>
          <w:w w:val="105"/>
        </w:rPr>
        <w:t xml:space="preserve"> </w:t>
      </w:r>
      <w:r>
        <w:rPr>
          <w:color w:val="231F20"/>
          <w:w w:val="105"/>
        </w:rPr>
        <w:t>Its</w:t>
      </w:r>
      <w:r>
        <w:rPr>
          <w:color w:val="231F20"/>
          <w:spacing w:val="-21"/>
          <w:w w:val="105"/>
        </w:rPr>
        <w:t xml:space="preserve"> </w:t>
      </w:r>
      <w:r>
        <w:rPr>
          <w:color w:val="231F20"/>
          <w:w w:val="105"/>
        </w:rPr>
        <w:t>spontaneity</w:t>
      </w:r>
      <w:r>
        <w:rPr>
          <w:color w:val="231F20"/>
          <w:spacing w:val="-21"/>
          <w:w w:val="105"/>
        </w:rPr>
        <w:t xml:space="preserve"> </w:t>
      </w:r>
      <w:r>
        <w:rPr>
          <w:color w:val="231F20"/>
          <w:w w:val="105"/>
        </w:rPr>
        <w:t>proved</w:t>
      </w:r>
      <w:r>
        <w:rPr>
          <w:color w:val="231F20"/>
          <w:spacing w:val="-21"/>
          <w:w w:val="105"/>
        </w:rPr>
        <w:t xml:space="preserve"> </w:t>
      </w:r>
      <w:r>
        <w:rPr>
          <w:color w:val="231F20"/>
          <w:w w:val="105"/>
        </w:rPr>
        <w:t>ineffective</w:t>
      </w:r>
      <w:r>
        <w:rPr>
          <w:color w:val="231F20"/>
          <w:spacing w:val="-21"/>
          <w:w w:val="105"/>
        </w:rPr>
        <w:t xml:space="preserve"> </w:t>
      </w:r>
      <w:r>
        <w:rPr>
          <w:color w:val="231F20"/>
          <w:w w:val="105"/>
        </w:rPr>
        <w:t>in</w:t>
      </w:r>
      <w:r>
        <w:rPr>
          <w:color w:val="231F20"/>
          <w:spacing w:val="-21"/>
          <w:w w:val="105"/>
        </w:rPr>
        <w:t xml:space="preserve"> </w:t>
      </w:r>
      <w:r>
        <w:rPr>
          <w:color w:val="231F20"/>
          <w:w w:val="105"/>
        </w:rPr>
        <w:t>the factories,</w:t>
      </w:r>
      <w:r>
        <w:rPr>
          <w:color w:val="231F20"/>
          <w:spacing w:val="10"/>
          <w:w w:val="105"/>
        </w:rPr>
        <w:t xml:space="preserve"> </w:t>
      </w:r>
      <w:r>
        <w:rPr>
          <w:color w:val="231F20"/>
          <w:w w:val="105"/>
        </w:rPr>
        <w:t>nor</w:t>
      </w:r>
      <w:r>
        <w:rPr>
          <w:color w:val="231F20"/>
          <w:spacing w:val="10"/>
          <w:w w:val="105"/>
        </w:rPr>
        <w:t xml:space="preserve"> </w:t>
      </w:r>
      <w:r>
        <w:rPr>
          <w:color w:val="231F20"/>
          <w:w w:val="105"/>
        </w:rPr>
        <w:t>could</w:t>
      </w:r>
      <w:r>
        <w:rPr>
          <w:color w:val="231F20"/>
          <w:spacing w:val="10"/>
          <w:w w:val="105"/>
        </w:rPr>
        <w:t xml:space="preserve"> </w:t>
      </w:r>
      <w:r>
        <w:rPr>
          <w:color w:val="231F20"/>
          <w:w w:val="105"/>
        </w:rPr>
        <w:t>it</w:t>
      </w:r>
      <w:r>
        <w:rPr>
          <w:color w:val="231F20"/>
          <w:spacing w:val="10"/>
          <w:w w:val="105"/>
        </w:rPr>
        <w:t xml:space="preserve"> </w:t>
      </w:r>
      <w:r>
        <w:rPr>
          <w:color w:val="231F20"/>
          <w:w w:val="105"/>
        </w:rPr>
        <w:t>create</w:t>
      </w:r>
      <w:r>
        <w:rPr>
          <w:color w:val="231F20"/>
          <w:spacing w:val="10"/>
          <w:w w:val="105"/>
        </w:rPr>
        <w:t xml:space="preserve"> </w:t>
      </w:r>
      <w:r>
        <w:rPr>
          <w:color w:val="231F20"/>
          <w:w w:val="105"/>
        </w:rPr>
        <w:t>a</w:t>
      </w:r>
      <w:r>
        <w:rPr>
          <w:color w:val="231F20"/>
          <w:spacing w:val="10"/>
          <w:w w:val="105"/>
        </w:rPr>
        <w:t xml:space="preserve"> </w:t>
      </w:r>
      <w:r>
        <w:rPr>
          <w:color w:val="231F20"/>
          <w:w w:val="105"/>
        </w:rPr>
        <w:t>functioning</w:t>
      </w:r>
      <w:r>
        <w:rPr>
          <w:color w:val="231F20"/>
          <w:spacing w:val="10"/>
          <w:w w:val="105"/>
        </w:rPr>
        <w:t xml:space="preserve"> </w:t>
      </w:r>
      <w:r>
        <w:rPr>
          <w:color w:val="231F20"/>
          <w:w w:val="105"/>
        </w:rPr>
        <w:t>urban</w:t>
      </w:r>
      <w:r>
        <w:rPr>
          <w:color w:val="231F20"/>
          <w:spacing w:val="10"/>
          <w:w w:val="105"/>
        </w:rPr>
        <w:t xml:space="preserve"> </w:t>
      </w:r>
      <w:r>
        <w:rPr>
          <w:color w:val="231F20"/>
          <w:w w:val="105"/>
        </w:rPr>
        <w:t>guerilla</w:t>
      </w:r>
      <w:r>
        <w:rPr>
          <w:color w:val="231F20"/>
          <w:spacing w:val="10"/>
          <w:w w:val="105"/>
        </w:rPr>
        <w:t xml:space="preserve"> </w:t>
      </w:r>
      <w:r>
        <w:rPr>
          <w:color w:val="231F20"/>
          <w:w w:val="105"/>
        </w:rPr>
        <w:t>movement</w:t>
      </w:r>
    </w:p>
    <w:p w14:paraId="275920E7" w14:textId="77777777" w:rsidR="002653E8" w:rsidRDefault="002653E8">
      <w:pPr>
        <w:spacing w:line="264" w:lineRule="auto"/>
        <w:jc w:val="both"/>
        <w:sectPr w:rsidR="002653E8">
          <w:pgSz w:w="8640" w:h="12960"/>
          <w:pgMar w:top="1060" w:right="0" w:bottom="1040" w:left="0" w:header="0" w:footer="850" w:gutter="0"/>
          <w:cols w:space="720"/>
        </w:sectPr>
      </w:pPr>
    </w:p>
    <w:p w14:paraId="21500B3F" w14:textId="77777777" w:rsidR="002653E8" w:rsidRDefault="003115E3">
      <w:pPr>
        <w:pStyle w:val="a3"/>
        <w:spacing w:before="86" w:line="264" w:lineRule="auto"/>
        <w:ind w:left="1147" w:right="1326"/>
        <w:jc w:val="both"/>
      </w:pPr>
      <w:r>
        <w:rPr>
          <w:color w:val="231F20"/>
        </w:rPr>
        <w:lastRenderedPageBreak/>
        <w:t>or a socialist mass organization. Unlike in Italy and France, the spark    of the student movement here failed to ignite the prairie fire of class struggle, and it was at that point that it collapsed. It could enumerate  the aims and contents of the anti-imperialist struggle, but it could not  be the revolutionary subject, could not offer the necessary organizational</w:t>
      </w:r>
      <w:r>
        <w:rPr>
          <w:color w:val="231F20"/>
          <w:spacing w:val="10"/>
        </w:rPr>
        <w:t xml:space="preserve"> </w:t>
      </w:r>
      <w:r>
        <w:rPr>
          <w:color w:val="231F20"/>
        </w:rPr>
        <w:t>structure.</w:t>
      </w:r>
    </w:p>
    <w:p w14:paraId="16CC34C0" w14:textId="77777777" w:rsidR="002653E8" w:rsidRDefault="003115E3">
      <w:pPr>
        <w:pStyle w:val="a3"/>
        <w:spacing w:line="264" w:lineRule="auto"/>
        <w:ind w:left="1147" w:right="1326" w:firstLine="210"/>
        <w:jc w:val="both"/>
      </w:pPr>
      <w:r>
        <w:rPr>
          <w:color w:val="231F20"/>
        </w:rPr>
        <w:t xml:space="preserve">Unlike the proletarian organizations of the New </w:t>
      </w:r>
      <w:r>
        <w:rPr>
          <w:color w:val="231F20"/>
          <w:spacing w:val="1"/>
        </w:rPr>
        <w:t xml:space="preserve">Left, </w:t>
      </w:r>
      <w:r>
        <w:rPr>
          <w:color w:val="231F20"/>
        </w:rPr>
        <w:t>the Red Army Faction doesn’t deny its roots in the history of the student movement,    a movement that reshaped Marxism-Leninism into a weapon of class struggle and established the international basis for revolutionary struggle in the</w:t>
      </w:r>
      <w:r>
        <w:rPr>
          <w:color w:val="231F20"/>
          <w:spacing w:val="31"/>
        </w:rPr>
        <w:t xml:space="preserve"> </w:t>
      </w:r>
      <w:r>
        <w:rPr>
          <w:color w:val="231F20"/>
        </w:rPr>
        <w:t>metropole.</w:t>
      </w:r>
    </w:p>
    <w:p w14:paraId="33105A74" w14:textId="77777777" w:rsidR="002653E8" w:rsidRDefault="002653E8">
      <w:pPr>
        <w:pStyle w:val="a3"/>
        <w:spacing w:before="3"/>
        <w:rPr>
          <w:sz w:val="19"/>
        </w:rPr>
      </w:pPr>
    </w:p>
    <w:p w14:paraId="156AF088" w14:textId="77777777" w:rsidR="002653E8" w:rsidRDefault="003115E3">
      <w:pPr>
        <w:numPr>
          <w:ilvl w:val="0"/>
          <w:numId w:val="164"/>
        </w:numPr>
        <w:tabs>
          <w:tab w:val="left" w:pos="1476"/>
        </w:tabs>
        <w:spacing w:before="1"/>
        <w:ind w:left="1475" w:hanging="328"/>
        <w:jc w:val="left"/>
      </w:pPr>
      <w:r>
        <w:rPr>
          <w:color w:val="231F20"/>
          <w:w w:val="125"/>
        </w:rPr>
        <w:t xml:space="preserve">. </w:t>
      </w:r>
      <w:r>
        <w:rPr>
          <w:color w:val="231F20"/>
          <w:spacing w:val="16"/>
          <w:w w:val="125"/>
        </w:rPr>
        <w:t xml:space="preserve">the </w:t>
      </w:r>
      <w:r>
        <w:rPr>
          <w:color w:val="231F20"/>
          <w:spacing w:val="17"/>
          <w:w w:val="125"/>
        </w:rPr>
        <w:t>prim</w:t>
      </w:r>
      <w:r>
        <w:rPr>
          <w:color w:val="231F20"/>
          <w:spacing w:val="13"/>
          <w:w w:val="125"/>
        </w:rPr>
        <w:t xml:space="preserve">acy </w:t>
      </w:r>
      <w:r>
        <w:rPr>
          <w:color w:val="231F20"/>
          <w:spacing w:val="7"/>
          <w:w w:val="125"/>
        </w:rPr>
        <w:t>of</w:t>
      </w:r>
      <w:r>
        <w:rPr>
          <w:color w:val="231F20"/>
          <w:spacing w:val="18"/>
          <w:w w:val="125"/>
        </w:rPr>
        <w:t xml:space="preserve"> </w:t>
      </w:r>
      <w:r>
        <w:rPr>
          <w:color w:val="231F20"/>
          <w:spacing w:val="20"/>
          <w:w w:val="125"/>
        </w:rPr>
        <w:t>practice</w:t>
      </w:r>
    </w:p>
    <w:p w14:paraId="429A4375" w14:textId="77777777" w:rsidR="002653E8" w:rsidRDefault="003115E3">
      <w:pPr>
        <w:spacing w:before="146" w:line="276" w:lineRule="auto"/>
        <w:ind w:left="1567" w:right="1745"/>
        <w:jc w:val="both"/>
        <w:rPr>
          <w:i/>
          <w:sz w:val="19"/>
        </w:rPr>
      </w:pPr>
      <w:r>
        <w:rPr>
          <w:i/>
          <w:color w:val="231F20"/>
          <w:sz w:val="19"/>
        </w:rPr>
        <w:t xml:space="preserve">If you want to know a certain thing or a certain class of things </w:t>
      </w:r>
      <w:r>
        <w:rPr>
          <w:i/>
          <w:color w:val="231F20"/>
          <w:spacing w:val="-3"/>
          <w:sz w:val="19"/>
        </w:rPr>
        <w:t xml:space="preserve">directly, </w:t>
      </w:r>
      <w:r>
        <w:rPr>
          <w:i/>
          <w:color w:val="231F20"/>
          <w:sz w:val="19"/>
        </w:rPr>
        <w:t xml:space="preserve">you must personally participate in the practical struggle  to change </w:t>
      </w:r>
      <w:r>
        <w:rPr>
          <w:i/>
          <w:color w:val="231F20"/>
          <w:spacing w:val="-3"/>
          <w:sz w:val="19"/>
        </w:rPr>
        <w:t xml:space="preserve">reality, </w:t>
      </w:r>
      <w:r>
        <w:rPr>
          <w:i/>
          <w:color w:val="231F20"/>
          <w:sz w:val="19"/>
        </w:rPr>
        <w:t>to change that thing or class of things, for only thus can you come into contact with them as phenomena; only through personal participation in the practical struggle to change reality can you uncover the essence of that thing or class of things and comprehend</w:t>
      </w:r>
      <w:r>
        <w:rPr>
          <w:i/>
          <w:color w:val="231F20"/>
          <w:spacing w:val="20"/>
          <w:sz w:val="19"/>
        </w:rPr>
        <w:t xml:space="preserve"> </w:t>
      </w:r>
      <w:r>
        <w:rPr>
          <w:i/>
          <w:color w:val="231F20"/>
          <w:sz w:val="19"/>
        </w:rPr>
        <w:t>them.</w:t>
      </w:r>
    </w:p>
    <w:p w14:paraId="331AC63B" w14:textId="77777777" w:rsidR="002653E8" w:rsidRDefault="003115E3">
      <w:pPr>
        <w:spacing w:before="59" w:line="276" w:lineRule="auto"/>
        <w:ind w:left="1567" w:right="1745"/>
        <w:jc w:val="both"/>
        <w:rPr>
          <w:i/>
          <w:sz w:val="19"/>
        </w:rPr>
      </w:pPr>
      <w:r>
        <w:rPr>
          <w:i/>
          <w:color w:val="231F20"/>
          <w:sz w:val="19"/>
        </w:rPr>
        <w:t>Marxism emphasizes the importance of theory precisely and only because it can guide action. If we have a correct theory but merely prate about it, pigeonhole it and do not put it into practice, then that theory, however good, is of no significance.</w:t>
      </w:r>
    </w:p>
    <w:p w14:paraId="2533A066" w14:textId="77777777" w:rsidR="002653E8" w:rsidRDefault="003115E3">
      <w:pPr>
        <w:spacing w:before="39"/>
        <w:ind w:left="4624"/>
        <w:rPr>
          <w:sz w:val="11"/>
        </w:rPr>
      </w:pPr>
      <w:r>
        <w:rPr>
          <w:color w:val="231F20"/>
          <w:w w:val="105"/>
          <w:sz w:val="19"/>
        </w:rPr>
        <w:t xml:space="preserve">Mao tse Tung: </w:t>
      </w:r>
      <w:r>
        <w:rPr>
          <w:i/>
          <w:color w:val="231F20"/>
          <w:w w:val="105"/>
          <w:sz w:val="19"/>
        </w:rPr>
        <w:t>On Practice</w:t>
      </w:r>
      <w:r>
        <w:rPr>
          <w:color w:val="231F20"/>
          <w:w w:val="105"/>
          <w:position w:val="6"/>
          <w:sz w:val="11"/>
        </w:rPr>
        <w:t>1</w:t>
      </w:r>
    </w:p>
    <w:p w14:paraId="489D3029" w14:textId="77777777" w:rsidR="002653E8" w:rsidRDefault="002653E8">
      <w:pPr>
        <w:pStyle w:val="a3"/>
        <w:rPr>
          <w:sz w:val="28"/>
        </w:rPr>
      </w:pPr>
    </w:p>
    <w:p w14:paraId="514D7D32" w14:textId="77777777" w:rsidR="002653E8" w:rsidRDefault="003115E3">
      <w:pPr>
        <w:pStyle w:val="a3"/>
        <w:spacing w:line="264" w:lineRule="auto"/>
        <w:ind w:left="1147" w:right="1325"/>
        <w:jc w:val="both"/>
      </w:pPr>
      <w:r>
        <w:rPr>
          <w:color w:val="231F20"/>
        </w:rPr>
        <w:t xml:space="preserve">The decision of leftists and socialists, the student movement’s authority figures, to turn to the study of scientific socialism and transform the critique of political economy into a self criticism of the student movement, was at the same time a decision to retreat into the classroom. Considering their paper output, their organizational models, and their bombastic statements, one might think that these revolutionaries were leading a violent class struggle, as if 1967/68 was the 1905 of socialism in Germany. In 1903, Lenin pointed out, in  </w:t>
      </w:r>
      <w:r>
        <w:rPr>
          <w:i/>
          <w:color w:val="231F20"/>
        </w:rPr>
        <w:t>What  Is  to  Be  Done</w:t>
      </w:r>
      <w:r>
        <w:rPr>
          <w:color w:val="231F20"/>
        </w:rPr>
        <w:t>,  that the Russian workers needed a specific theory, and postulated, in opposition to the anarchists and the Social Revolutionaries, the necessity</w:t>
      </w:r>
    </w:p>
    <w:p w14:paraId="24C8BB03" w14:textId="77777777" w:rsidR="002653E8" w:rsidRDefault="002653E8">
      <w:pPr>
        <w:pStyle w:val="a3"/>
        <w:spacing w:before="10"/>
        <w:rPr>
          <w:sz w:val="21"/>
        </w:rPr>
      </w:pPr>
    </w:p>
    <w:p w14:paraId="43BB1F62" w14:textId="77777777" w:rsidR="002653E8" w:rsidRDefault="003115E3">
      <w:pPr>
        <w:spacing w:before="104" w:line="254" w:lineRule="auto"/>
        <w:ind w:left="1147" w:right="1427"/>
        <w:rPr>
          <w:sz w:val="16"/>
        </w:rPr>
      </w:pPr>
      <w:r>
        <w:rPr>
          <w:color w:val="231F20"/>
          <w:w w:val="105"/>
          <w:sz w:val="16"/>
        </w:rPr>
        <w:t xml:space="preserve">1 </w:t>
      </w:r>
      <w:r>
        <w:rPr>
          <w:i/>
          <w:color w:val="231F20"/>
          <w:w w:val="105"/>
          <w:sz w:val="16"/>
        </w:rPr>
        <w:t xml:space="preserve">Selected Works of Mao Tse-tung </w:t>
      </w:r>
      <w:r>
        <w:rPr>
          <w:color w:val="231F20"/>
          <w:w w:val="105"/>
          <w:sz w:val="16"/>
        </w:rPr>
        <w:t xml:space="preserve">(Peking:  Foreign  Languages  Press,  1967).  The </w:t>
      </w:r>
      <w:r>
        <w:rPr>
          <w:color w:val="231F20"/>
          <w:w w:val="105"/>
          <w:sz w:val="16"/>
        </w:rPr>
        <w:lastRenderedPageBreak/>
        <w:t>first of these two paragraphs comes from pages 299-300, the second from page 304.</w:t>
      </w:r>
    </w:p>
    <w:p w14:paraId="7CAFBC67" w14:textId="77777777" w:rsidR="002653E8" w:rsidRDefault="002653E8">
      <w:pPr>
        <w:spacing w:line="254" w:lineRule="auto"/>
        <w:rPr>
          <w:sz w:val="16"/>
        </w:rPr>
        <w:sectPr w:rsidR="002653E8">
          <w:footerReference w:type="even" r:id="rId84"/>
          <w:footerReference w:type="default" r:id="rId85"/>
          <w:pgSz w:w="8640" w:h="12960"/>
          <w:pgMar w:top="1060" w:right="0" w:bottom="1460" w:left="0" w:header="0" w:footer="1270" w:gutter="0"/>
          <w:cols w:space="720"/>
        </w:sectPr>
      </w:pPr>
    </w:p>
    <w:p w14:paraId="7CDBB865" w14:textId="77777777" w:rsidR="002653E8" w:rsidRDefault="003115E3">
      <w:pPr>
        <w:pStyle w:val="a3"/>
        <w:spacing w:before="86" w:line="264" w:lineRule="auto"/>
        <w:ind w:left="1328" w:right="1145" w:hanging="1"/>
        <w:jc w:val="both"/>
      </w:pPr>
      <w:r>
        <w:rPr>
          <w:color w:val="231F20"/>
        </w:rPr>
        <w:lastRenderedPageBreak/>
        <w:t>of class analysis, organization, and all-encompassing propaganda, because a broad-based class struggle was unfolding:</w:t>
      </w:r>
    </w:p>
    <w:p w14:paraId="143DF9FF" w14:textId="77777777" w:rsidR="002653E8" w:rsidRDefault="003115E3">
      <w:pPr>
        <w:spacing w:before="167" w:line="276" w:lineRule="auto"/>
        <w:ind w:left="1747" w:right="1558"/>
        <w:jc w:val="both"/>
        <w:rPr>
          <w:i/>
          <w:sz w:val="19"/>
        </w:rPr>
      </w:pPr>
      <w:r>
        <w:rPr>
          <w:i/>
          <w:color w:val="231F20"/>
          <w:w w:val="105"/>
          <w:sz w:val="19"/>
        </w:rPr>
        <w:t>The fact is that the working masses are roused to a high pitch of excitement</w:t>
      </w:r>
      <w:r>
        <w:rPr>
          <w:i/>
          <w:color w:val="231F20"/>
          <w:spacing w:val="-5"/>
          <w:w w:val="105"/>
          <w:sz w:val="19"/>
        </w:rPr>
        <w:t xml:space="preserve"> </w:t>
      </w:r>
      <w:r>
        <w:rPr>
          <w:i/>
          <w:color w:val="231F20"/>
          <w:w w:val="105"/>
          <w:sz w:val="19"/>
        </w:rPr>
        <w:t>by</w:t>
      </w:r>
      <w:r>
        <w:rPr>
          <w:i/>
          <w:color w:val="231F20"/>
          <w:spacing w:val="-5"/>
          <w:w w:val="105"/>
          <w:sz w:val="19"/>
        </w:rPr>
        <w:t xml:space="preserve"> </w:t>
      </w:r>
      <w:r>
        <w:rPr>
          <w:i/>
          <w:color w:val="231F20"/>
          <w:w w:val="105"/>
          <w:sz w:val="19"/>
        </w:rPr>
        <w:t>the</w:t>
      </w:r>
      <w:r>
        <w:rPr>
          <w:i/>
          <w:color w:val="231F20"/>
          <w:spacing w:val="-5"/>
          <w:w w:val="105"/>
          <w:sz w:val="19"/>
        </w:rPr>
        <w:t xml:space="preserve"> </w:t>
      </w:r>
      <w:r>
        <w:rPr>
          <w:i/>
          <w:color w:val="231F20"/>
          <w:w w:val="105"/>
          <w:sz w:val="19"/>
        </w:rPr>
        <w:t>social</w:t>
      </w:r>
      <w:r>
        <w:rPr>
          <w:i/>
          <w:color w:val="231F20"/>
          <w:spacing w:val="-5"/>
          <w:w w:val="105"/>
          <w:sz w:val="19"/>
        </w:rPr>
        <w:t xml:space="preserve"> </w:t>
      </w:r>
      <w:r>
        <w:rPr>
          <w:i/>
          <w:color w:val="231F20"/>
          <w:w w:val="105"/>
          <w:sz w:val="19"/>
        </w:rPr>
        <w:t>evils</w:t>
      </w:r>
      <w:r>
        <w:rPr>
          <w:i/>
          <w:color w:val="231F20"/>
          <w:spacing w:val="-5"/>
          <w:w w:val="105"/>
          <w:sz w:val="19"/>
        </w:rPr>
        <w:t xml:space="preserve"> </w:t>
      </w:r>
      <w:r>
        <w:rPr>
          <w:i/>
          <w:color w:val="231F20"/>
          <w:w w:val="105"/>
          <w:sz w:val="19"/>
        </w:rPr>
        <w:t>in</w:t>
      </w:r>
      <w:r>
        <w:rPr>
          <w:i/>
          <w:color w:val="231F20"/>
          <w:spacing w:val="-5"/>
          <w:w w:val="105"/>
          <w:sz w:val="19"/>
        </w:rPr>
        <w:t xml:space="preserve"> </w:t>
      </w:r>
      <w:r>
        <w:rPr>
          <w:i/>
          <w:color w:val="231F20"/>
          <w:w w:val="105"/>
          <w:sz w:val="19"/>
        </w:rPr>
        <w:t>Russian</w:t>
      </w:r>
      <w:r>
        <w:rPr>
          <w:i/>
          <w:color w:val="231F20"/>
          <w:spacing w:val="-5"/>
          <w:w w:val="105"/>
          <w:sz w:val="19"/>
        </w:rPr>
        <w:t xml:space="preserve"> </w:t>
      </w:r>
      <w:r>
        <w:rPr>
          <w:i/>
          <w:color w:val="231F20"/>
          <w:w w:val="105"/>
          <w:sz w:val="19"/>
        </w:rPr>
        <w:t>life,</w:t>
      </w:r>
      <w:r>
        <w:rPr>
          <w:i/>
          <w:color w:val="231F20"/>
          <w:spacing w:val="-10"/>
          <w:w w:val="105"/>
          <w:sz w:val="19"/>
        </w:rPr>
        <w:t xml:space="preserve"> </w:t>
      </w:r>
      <w:r>
        <w:rPr>
          <w:i/>
          <w:color w:val="231F20"/>
          <w:w w:val="105"/>
          <w:sz w:val="19"/>
        </w:rPr>
        <w:t>but</w:t>
      </w:r>
      <w:r>
        <w:rPr>
          <w:i/>
          <w:color w:val="231F20"/>
          <w:spacing w:val="-5"/>
          <w:w w:val="105"/>
          <w:sz w:val="19"/>
        </w:rPr>
        <w:t xml:space="preserve"> </w:t>
      </w:r>
      <w:r>
        <w:rPr>
          <w:i/>
          <w:color w:val="231F20"/>
          <w:w w:val="105"/>
          <w:sz w:val="19"/>
        </w:rPr>
        <w:t>we</w:t>
      </w:r>
      <w:r>
        <w:rPr>
          <w:i/>
          <w:color w:val="231F20"/>
          <w:spacing w:val="-5"/>
          <w:w w:val="105"/>
          <w:sz w:val="19"/>
        </w:rPr>
        <w:t xml:space="preserve"> </w:t>
      </w:r>
      <w:r>
        <w:rPr>
          <w:i/>
          <w:color w:val="231F20"/>
          <w:w w:val="105"/>
          <w:sz w:val="19"/>
        </w:rPr>
        <w:t>are</w:t>
      </w:r>
      <w:r>
        <w:rPr>
          <w:i/>
          <w:color w:val="231F20"/>
          <w:spacing w:val="-5"/>
          <w:w w:val="105"/>
          <w:sz w:val="19"/>
        </w:rPr>
        <w:t xml:space="preserve"> </w:t>
      </w:r>
      <w:r>
        <w:rPr>
          <w:i/>
          <w:color w:val="231F20"/>
          <w:w w:val="105"/>
          <w:sz w:val="19"/>
        </w:rPr>
        <w:t>unable</w:t>
      </w:r>
      <w:r>
        <w:rPr>
          <w:i/>
          <w:color w:val="231F20"/>
          <w:spacing w:val="-5"/>
          <w:w w:val="105"/>
          <w:sz w:val="19"/>
        </w:rPr>
        <w:t xml:space="preserve"> </w:t>
      </w:r>
      <w:r>
        <w:rPr>
          <w:i/>
          <w:color w:val="231F20"/>
          <w:w w:val="105"/>
          <w:sz w:val="19"/>
        </w:rPr>
        <w:t xml:space="preserve">to </w:t>
      </w:r>
      <w:r>
        <w:rPr>
          <w:i/>
          <w:color w:val="231F20"/>
          <w:spacing w:val="-4"/>
          <w:w w:val="105"/>
          <w:sz w:val="19"/>
        </w:rPr>
        <w:t xml:space="preserve">gather, </w:t>
      </w:r>
      <w:r>
        <w:rPr>
          <w:i/>
          <w:color w:val="231F20"/>
          <w:w w:val="105"/>
          <w:sz w:val="19"/>
        </w:rPr>
        <w:t>if one may so put it, and concentrate all these drops and streamlets of popular resentment that are brought forth to a far larger extent than we imagine by the conditions of Russian life, and that must be combined into a single gigantic</w:t>
      </w:r>
      <w:r>
        <w:rPr>
          <w:i/>
          <w:color w:val="231F20"/>
          <w:spacing w:val="11"/>
          <w:w w:val="105"/>
          <w:sz w:val="19"/>
        </w:rPr>
        <w:t xml:space="preserve"> </w:t>
      </w:r>
      <w:r>
        <w:rPr>
          <w:i/>
          <w:color w:val="231F20"/>
          <w:w w:val="105"/>
          <w:sz w:val="19"/>
        </w:rPr>
        <w:t>torrent.</w:t>
      </w:r>
    </w:p>
    <w:p w14:paraId="28AC767E" w14:textId="77777777" w:rsidR="002653E8" w:rsidRDefault="003115E3">
      <w:pPr>
        <w:spacing w:before="39"/>
        <w:ind w:left="4708"/>
        <w:rPr>
          <w:sz w:val="11"/>
        </w:rPr>
      </w:pPr>
      <w:r>
        <w:rPr>
          <w:color w:val="231F20"/>
          <w:w w:val="105"/>
          <w:sz w:val="19"/>
        </w:rPr>
        <w:t xml:space="preserve">Lenin: </w:t>
      </w:r>
      <w:r>
        <w:rPr>
          <w:i/>
          <w:color w:val="231F20"/>
          <w:w w:val="105"/>
          <w:sz w:val="19"/>
        </w:rPr>
        <w:t>What Is to Be  Done?</w:t>
      </w:r>
      <w:r>
        <w:rPr>
          <w:color w:val="231F20"/>
          <w:w w:val="105"/>
          <w:position w:val="6"/>
          <w:sz w:val="11"/>
        </w:rPr>
        <w:t>2</w:t>
      </w:r>
    </w:p>
    <w:p w14:paraId="7B4A84DB" w14:textId="77777777" w:rsidR="002653E8" w:rsidRDefault="002653E8">
      <w:pPr>
        <w:pStyle w:val="a3"/>
        <w:spacing w:before="4"/>
        <w:rPr>
          <w:sz w:val="29"/>
        </w:rPr>
      </w:pPr>
    </w:p>
    <w:p w14:paraId="74D7B187" w14:textId="77777777" w:rsidR="002653E8" w:rsidRDefault="003115E3">
      <w:pPr>
        <w:pStyle w:val="a3"/>
        <w:spacing w:line="264" w:lineRule="auto"/>
        <w:ind w:left="1327" w:right="1146"/>
        <w:jc w:val="both"/>
      </w:pPr>
      <w:r>
        <w:rPr>
          <w:color w:val="231F20"/>
        </w:rPr>
        <w:t xml:space="preserve">Under the existing conditions in the Federal Republic and </w:t>
      </w:r>
      <w:r>
        <w:rPr>
          <w:color w:val="231F20"/>
          <w:spacing w:val="-3"/>
        </w:rPr>
        <w:t xml:space="preserve">West </w:t>
      </w:r>
      <w:r>
        <w:rPr>
          <w:color w:val="231F20"/>
        </w:rPr>
        <w:t>Berlin, we</w:t>
      </w:r>
      <w:r>
        <w:rPr>
          <w:color w:val="231F20"/>
          <w:spacing w:val="-9"/>
        </w:rPr>
        <w:t xml:space="preserve"> </w:t>
      </w:r>
      <w:r>
        <w:rPr>
          <w:color w:val="231F20"/>
        </w:rPr>
        <w:t>doubt</w:t>
      </w:r>
      <w:r>
        <w:rPr>
          <w:color w:val="231F20"/>
          <w:spacing w:val="-9"/>
        </w:rPr>
        <w:t xml:space="preserve"> </w:t>
      </w:r>
      <w:r>
        <w:rPr>
          <w:color w:val="231F20"/>
        </w:rPr>
        <w:t>it</w:t>
      </w:r>
      <w:r>
        <w:rPr>
          <w:color w:val="231F20"/>
          <w:spacing w:val="-9"/>
        </w:rPr>
        <w:t xml:space="preserve"> </w:t>
      </w:r>
      <w:r>
        <w:rPr>
          <w:color w:val="231F20"/>
        </w:rPr>
        <w:t>will</w:t>
      </w:r>
      <w:r>
        <w:rPr>
          <w:color w:val="231F20"/>
          <w:spacing w:val="-9"/>
        </w:rPr>
        <w:t xml:space="preserve"> </w:t>
      </w:r>
      <w:r>
        <w:rPr>
          <w:color w:val="231F20"/>
        </w:rPr>
        <w:t>be</w:t>
      </w:r>
      <w:r>
        <w:rPr>
          <w:color w:val="231F20"/>
          <w:spacing w:val="-9"/>
        </w:rPr>
        <w:t xml:space="preserve"> </w:t>
      </w:r>
      <w:r>
        <w:rPr>
          <w:color w:val="231F20"/>
        </w:rPr>
        <w:t>possible</w:t>
      </w:r>
      <w:r>
        <w:rPr>
          <w:color w:val="231F20"/>
          <w:spacing w:val="-9"/>
        </w:rPr>
        <w:t xml:space="preserve"> </w:t>
      </w:r>
      <w:r>
        <w:rPr>
          <w:color w:val="231F20"/>
        </w:rPr>
        <w:t>to</w:t>
      </w:r>
      <w:r>
        <w:rPr>
          <w:color w:val="231F20"/>
          <w:spacing w:val="-9"/>
        </w:rPr>
        <w:t xml:space="preserve"> </w:t>
      </w:r>
      <w:r>
        <w:rPr>
          <w:color w:val="231F20"/>
        </w:rPr>
        <w:t>create</w:t>
      </w:r>
      <w:r>
        <w:rPr>
          <w:color w:val="231F20"/>
          <w:spacing w:val="-9"/>
        </w:rPr>
        <w:t xml:space="preserve"> </w:t>
      </w:r>
      <w:r>
        <w:rPr>
          <w:color w:val="231F20"/>
        </w:rPr>
        <w:t>a</w:t>
      </w:r>
      <w:r>
        <w:rPr>
          <w:color w:val="231F20"/>
          <w:spacing w:val="-9"/>
        </w:rPr>
        <w:t xml:space="preserve"> </w:t>
      </w:r>
      <w:r>
        <w:rPr>
          <w:color w:val="231F20"/>
        </w:rPr>
        <w:t>strategy</w:t>
      </w:r>
      <w:r>
        <w:rPr>
          <w:color w:val="231F20"/>
          <w:spacing w:val="-9"/>
        </w:rPr>
        <w:t xml:space="preserve"> </w:t>
      </w:r>
      <w:r>
        <w:rPr>
          <w:color w:val="231F20"/>
        </w:rPr>
        <w:t>to</w:t>
      </w:r>
      <w:r>
        <w:rPr>
          <w:color w:val="231F20"/>
          <w:spacing w:val="-9"/>
        </w:rPr>
        <w:t xml:space="preserve"> </w:t>
      </w:r>
      <w:r>
        <w:rPr>
          <w:color w:val="231F20"/>
          <w:spacing w:val="1"/>
        </w:rPr>
        <w:t>unify</w:t>
      </w:r>
      <w:r>
        <w:rPr>
          <w:color w:val="231F20"/>
          <w:spacing w:val="-9"/>
        </w:rPr>
        <w:t xml:space="preserve"> </w:t>
      </w:r>
      <w:r>
        <w:rPr>
          <w:color w:val="231F20"/>
        </w:rPr>
        <w:t>the</w:t>
      </w:r>
      <w:r>
        <w:rPr>
          <w:color w:val="231F20"/>
          <w:spacing w:val="-9"/>
        </w:rPr>
        <w:t xml:space="preserve"> </w:t>
      </w:r>
      <w:r>
        <w:rPr>
          <w:color w:val="231F20"/>
        </w:rPr>
        <w:t>working</w:t>
      </w:r>
      <w:r>
        <w:rPr>
          <w:color w:val="231F20"/>
          <w:spacing w:val="-9"/>
        </w:rPr>
        <w:t xml:space="preserve"> </w:t>
      </w:r>
      <w:r>
        <w:rPr>
          <w:color w:val="231F20"/>
        </w:rPr>
        <w:t xml:space="preserve">class or to create an organization that could simultaneously express and initiate the necessary </w:t>
      </w:r>
      <w:r>
        <w:rPr>
          <w:color w:val="231F20"/>
          <w:spacing w:val="1"/>
        </w:rPr>
        <w:t>unifying</w:t>
      </w:r>
      <w:r>
        <w:rPr>
          <w:color w:val="231F20"/>
          <w:spacing w:val="-32"/>
        </w:rPr>
        <w:t xml:space="preserve"> </w:t>
      </w:r>
      <w:r>
        <w:rPr>
          <w:color w:val="231F20"/>
        </w:rPr>
        <w:t xml:space="preserve">process. </w:t>
      </w:r>
      <w:r>
        <w:rPr>
          <w:color w:val="231F20"/>
          <w:spacing w:val="-5"/>
        </w:rPr>
        <w:t xml:space="preserve">We </w:t>
      </w:r>
      <w:r>
        <w:rPr>
          <w:color w:val="231F20"/>
        </w:rPr>
        <w:t>doubt that the unity of the socialist intelligentsia and the proletariat can be “molded out of” the political programs</w:t>
      </w:r>
      <w:r>
        <w:rPr>
          <w:color w:val="231F20"/>
          <w:spacing w:val="-8"/>
        </w:rPr>
        <w:t xml:space="preserve"> </w:t>
      </w:r>
      <w:r>
        <w:rPr>
          <w:color w:val="231F20"/>
        </w:rPr>
        <w:t>or</w:t>
      </w:r>
      <w:r>
        <w:rPr>
          <w:color w:val="231F20"/>
          <w:spacing w:val="-8"/>
        </w:rPr>
        <w:t xml:space="preserve"> </w:t>
      </w:r>
      <w:r>
        <w:rPr>
          <w:color w:val="231F20"/>
        </w:rPr>
        <w:t>the</w:t>
      </w:r>
      <w:r>
        <w:rPr>
          <w:color w:val="231F20"/>
          <w:spacing w:val="-8"/>
        </w:rPr>
        <w:t xml:space="preserve"> </w:t>
      </w:r>
      <w:r>
        <w:rPr>
          <w:color w:val="231F20"/>
        </w:rPr>
        <w:t>declarations</w:t>
      </w:r>
      <w:r>
        <w:rPr>
          <w:color w:val="231F20"/>
          <w:spacing w:val="-8"/>
        </w:rPr>
        <w:t xml:space="preserve"> </w:t>
      </w:r>
      <w:r>
        <w:rPr>
          <w:color w:val="231F20"/>
        </w:rPr>
        <w:t>coming</w:t>
      </w:r>
      <w:r>
        <w:rPr>
          <w:color w:val="231F20"/>
          <w:spacing w:val="-8"/>
        </w:rPr>
        <w:t xml:space="preserve"> </w:t>
      </w:r>
      <w:r>
        <w:rPr>
          <w:color w:val="231F20"/>
        </w:rPr>
        <w:t>from</w:t>
      </w:r>
      <w:r>
        <w:rPr>
          <w:color w:val="231F20"/>
          <w:spacing w:val="-8"/>
        </w:rPr>
        <w:t xml:space="preserve"> </w:t>
      </w:r>
      <w:r>
        <w:rPr>
          <w:color w:val="231F20"/>
        </w:rPr>
        <w:t>the</w:t>
      </w:r>
      <w:r>
        <w:rPr>
          <w:color w:val="231F20"/>
          <w:spacing w:val="-8"/>
        </w:rPr>
        <w:t xml:space="preserve"> </w:t>
      </w:r>
      <w:r>
        <w:rPr>
          <w:color w:val="231F20"/>
        </w:rPr>
        <w:t>proletarian</w:t>
      </w:r>
      <w:r>
        <w:rPr>
          <w:color w:val="231F20"/>
          <w:spacing w:val="-8"/>
        </w:rPr>
        <w:t xml:space="preserve"> </w:t>
      </w:r>
      <w:r>
        <w:rPr>
          <w:color w:val="231F20"/>
        </w:rPr>
        <w:t>organizations. The drops and streamlets based on the horrors have long been collected by</w:t>
      </w:r>
      <w:r>
        <w:rPr>
          <w:color w:val="231F20"/>
          <w:spacing w:val="10"/>
        </w:rPr>
        <w:t xml:space="preserve"> </w:t>
      </w:r>
      <w:r>
        <w:rPr>
          <w:color w:val="231F20"/>
        </w:rPr>
        <w:t>the</w:t>
      </w:r>
      <w:r>
        <w:rPr>
          <w:color w:val="231F20"/>
          <w:spacing w:val="10"/>
        </w:rPr>
        <w:t xml:space="preserve"> </w:t>
      </w:r>
      <w:r>
        <w:rPr>
          <w:color w:val="231F20"/>
        </w:rPr>
        <w:t>Springer</w:t>
      </w:r>
      <w:r>
        <w:rPr>
          <w:color w:val="231F20"/>
          <w:spacing w:val="10"/>
        </w:rPr>
        <w:t xml:space="preserve"> </w:t>
      </w:r>
      <w:r>
        <w:rPr>
          <w:color w:val="231F20"/>
        </w:rPr>
        <w:t>Corporation,</w:t>
      </w:r>
      <w:r>
        <w:rPr>
          <w:color w:val="231F20"/>
          <w:spacing w:val="10"/>
        </w:rPr>
        <w:t xml:space="preserve"> </w:t>
      </w:r>
      <w:r>
        <w:rPr>
          <w:color w:val="231F20"/>
        </w:rPr>
        <w:t>to</w:t>
      </w:r>
      <w:r>
        <w:rPr>
          <w:color w:val="231F20"/>
          <w:spacing w:val="10"/>
        </w:rPr>
        <w:t xml:space="preserve"> </w:t>
      </w:r>
      <w:r>
        <w:rPr>
          <w:color w:val="231F20"/>
        </w:rPr>
        <w:t>which</w:t>
      </w:r>
      <w:r>
        <w:rPr>
          <w:color w:val="231F20"/>
          <w:spacing w:val="10"/>
        </w:rPr>
        <w:t xml:space="preserve"> </w:t>
      </w:r>
      <w:r>
        <w:rPr>
          <w:color w:val="231F20"/>
        </w:rPr>
        <w:t>they</w:t>
      </w:r>
      <w:r>
        <w:rPr>
          <w:color w:val="231F20"/>
          <w:spacing w:val="10"/>
        </w:rPr>
        <w:t xml:space="preserve"> </w:t>
      </w:r>
      <w:r>
        <w:rPr>
          <w:color w:val="231F20"/>
        </w:rPr>
        <w:t>then</w:t>
      </w:r>
      <w:r>
        <w:rPr>
          <w:color w:val="231F20"/>
          <w:spacing w:val="10"/>
        </w:rPr>
        <w:t xml:space="preserve"> </w:t>
      </w:r>
      <w:r>
        <w:rPr>
          <w:color w:val="231F20"/>
        </w:rPr>
        <w:t>add</w:t>
      </w:r>
      <w:r>
        <w:rPr>
          <w:color w:val="231F20"/>
          <w:spacing w:val="10"/>
        </w:rPr>
        <w:t xml:space="preserve"> </w:t>
      </w:r>
      <w:r>
        <w:rPr>
          <w:color w:val="231F20"/>
        </w:rPr>
        <w:t>new</w:t>
      </w:r>
      <w:r>
        <w:rPr>
          <w:color w:val="231F20"/>
          <w:spacing w:val="10"/>
        </w:rPr>
        <w:t xml:space="preserve"> </w:t>
      </w:r>
      <w:r>
        <w:rPr>
          <w:color w:val="231F20"/>
        </w:rPr>
        <w:t>horrors.</w:t>
      </w:r>
    </w:p>
    <w:p w14:paraId="11C27E82" w14:textId="77777777" w:rsidR="002653E8" w:rsidRDefault="003115E3">
      <w:pPr>
        <w:pStyle w:val="a3"/>
        <w:spacing w:line="264" w:lineRule="auto"/>
        <w:ind w:left="1327" w:right="1146" w:firstLine="210"/>
        <w:jc w:val="both"/>
      </w:pPr>
      <w:r>
        <w:rPr>
          <w:color w:val="231F20"/>
        </w:rPr>
        <w:t>We believe that without a revolutionary initiative, without the practical revolutionary intervention of the vanguard, the socialist workers and intellectuals, and without concrete anti-imperialist struggle, there will be no unifying process. Unity can only be created through the common struggle of the conscious section of the working class and the intellectuals, one which they do not stage-manage, but which they model, or else it will not happen at all.</w:t>
      </w:r>
    </w:p>
    <w:p w14:paraId="6D7BFB72" w14:textId="77777777" w:rsidR="002653E8" w:rsidRDefault="003115E3">
      <w:pPr>
        <w:pStyle w:val="a3"/>
        <w:spacing w:line="264" w:lineRule="auto"/>
        <w:ind w:left="1327" w:right="1146" w:firstLine="210"/>
        <w:jc w:val="both"/>
      </w:pPr>
      <w:r>
        <w:rPr>
          <w:color w:val="231F20"/>
        </w:rPr>
        <w:t>The paper output of these organizations shows their practice to be mainly a contest between intellectuals for the best Marx review before of an imaginary jury, which  couldn’t  possibly  be  the  working  class,  as the language used excludes their participation. They are more embarrassed when they are caught misquoting Marx than when they are caught lying in their practice. Talking is their practice. The page numbers in their footnotes are almost always correct, the membership numbers they give for their organizations seldom are. They fear the accusation of revolutionary impatience more than corruption by bourgeois careers.</w:t>
      </w:r>
      <w:r>
        <w:rPr>
          <w:color w:val="231F20"/>
          <w:spacing w:val="15"/>
        </w:rPr>
        <w:t xml:space="preserve"> </w:t>
      </w:r>
      <w:r>
        <w:rPr>
          <w:color w:val="231F20"/>
          <w:spacing w:val="-3"/>
        </w:rPr>
        <w:t>It’s</w:t>
      </w:r>
      <w:r>
        <w:rPr>
          <w:color w:val="231F20"/>
          <w:spacing w:val="15"/>
        </w:rPr>
        <w:t xml:space="preserve"> </w:t>
      </w:r>
      <w:r>
        <w:rPr>
          <w:color w:val="231F20"/>
        </w:rPr>
        <w:t>more</w:t>
      </w:r>
      <w:r>
        <w:rPr>
          <w:color w:val="231F20"/>
          <w:spacing w:val="15"/>
        </w:rPr>
        <w:t xml:space="preserve"> </w:t>
      </w:r>
      <w:r>
        <w:rPr>
          <w:color w:val="231F20"/>
        </w:rPr>
        <w:t>important</w:t>
      </w:r>
      <w:r>
        <w:rPr>
          <w:color w:val="231F20"/>
          <w:spacing w:val="15"/>
        </w:rPr>
        <w:t xml:space="preserve"> </w:t>
      </w:r>
      <w:r>
        <w:rPr>
          <w:color w:val="231F20"/>
        </w:rPr>
        <w:t>to</w:t>
      </w:r>
      <w:r>
        <w:rPr>
          <w:color w:val="231F20"/>
          <w:spacing w:val="15"/>
        </w:rPr>
        <w:t xml:space="preserve"> </w:t>
      </w:r>
      <w:r>
        <w:rPr>
          <w:color w:val="231F20"/>
        </w:rPr>
        <w:t>them</w:t>
      </w:r>
      <w:r>
        <w:rPr>
          <w:color w:val="231F20"/>
          <w:spacing w:val="15"/>
        </w:rPr>
        <w:t xml:space="preserve"> </w:t>
      </w:r>
      <w:r>
        <w:rPr>
          <w:color w:val="231F20"/>
        </w:rPr>
        <w:t>to</w:t>
      </w:r>
      <w:r>
        <w:rPr>
          <w:color w:val="231F20"/>
          <w:spacing w:val="15"/>
        </w:rPr>
        <w:t xml:space="preserve"> </w:t>
      </w:r>
      <w:r>
        <w:rPr>
          <w:color w:val="231F20"/>
        </w:rPr>
        <w:t>spend</w:t>
      </w:r>
      <w:r>
        <w:rPr>
          <w:color w:val="231F20"/>
          <w:spacing w:val="15"/>
        </w:rPr>
        <w:t xml:space="preserve"> </w:t>
      </w:r>
      <w:r>
        <w:rPr>
          <w:color w:val="231F20"/>
        </w:rPr>
        <w:t>years</w:t>
      </w:r>
      <w:r>
        <w:rPr>
          <w:color w:val="231F20"/>
          <w:spacing w:val="15"/>
        </w:rPr>
        <w:t xml:space="preserve"> </w:t>
      </w:r>
      <w:r>
        <w:rPr>
          <w:color w:val="231F20"/>
        </w:rPr>
        <w:t>pursuing</w:t>
      </w:r>
      <w:r>
        <w:rPr>
          <w:color w:val="231F20"/>
          <w:spacing w:val="15"/>
        </w:rPr>
        <w:t xml:space="preserve"> </w:t>
      </w:r>
      <w:r>
        <w:rPr>
          <w:color w:val="231F20"/>
        </w:rPr>
        <w:t>a</w:t>
      </w:r>
      <w:r>
        <w:rPr>
          <w:color w:val="231F20"/>
          <w:spacing w:val="15"/>
        </w:rPr>
        <w:t xml:space="preserve"> </w:t>
      </w:r>
      <w:r>
        <w:rPr>
          <w:color w:val="231F20"/>
        </w:rPr>
        <w:t>degree</w:t>
      </w:r>
    </w:p>
    <w:p w14:paraId="486A236C" w14:textId="77777777" w:rsidR="002653E8" w:rsidRDefault="00000000">
      <w:pPr>
        <w:pStyle w:val="a3"/>
        <w:spacing w:before="1"/>
        <w:rPr>
          <w:sz w:val="23"/>
        </w:rPr>
      </w:pPr>
      <w:r>
        <w:rPr>
          <w:noProof w:val="0"/>
        </w:rPr>
        <w:pict w14:anchorId="2C697D76">
          <v:line id="_x0000_s2611" style="position:absolute;z-index:3472;mso-wrap-distance-left:0;mso-wrap-distance-right:0;mso-position-horizontal-relative:page" from="66.4pt,15.75pt" to="138.4pt,15.75pt" strokecolor="#231f20" strokeweight=".5pt">
            <w10:wrap type="topAndBottom" anchorx="page"/>
          </v:line>
        </w:pict>
      </w:r>
    </w:p>
    <w:p w14:paraId="2ADDCC5D" w14:textId="77777777" w:rsidR="002653E8" w:rsidRDefault="003115E3">
      <w:pPr>
        <w:spacing w:before="53" w:line="254" w:lineRule="auto"/>
        <w:ind w:left="1327" w:right="1479"/>
        <w:rPr>
          <w:sz w:val="16"/>
        </w:rPr>
      </w:pPr>
      <w:r>
        <w:rPr>
          <w:color w:val="231F20"/>
          <w:sz w:val="16"/>
        </w:rPr>
        <w:t xml:space="preserve">2 Marxists Internet Archive “Lenin’s What is to be Done? Trade-Unionist </w:t>
      </w:r>
      <w:r>
        <w:rPr>
          <w:color w:val="231F20"/>
          <w:w w:val="101"/>
          <w:sz w:val="16"/>
        </w:rPr>
        <w:t>P</w:t>
      </w:r>
      <w:r>
        <w:rPr>
          <w:color w:val="231F20"/>
          <w:w w:val="108"/>
          <w:sz w:val="16"/>
        </w:rPr>
        <w:t>o</w:t>
      </w:r>
      <w:r>
        <w:rPr>
          <w:color w:val="231F20"/>
          <w:w w:val="106"/>
          <w:sz w:val="16"/>
        </w:rPr>
        <w:t>l</w:t>
      </w:r>
      <w:r>
        <w:rPr>
          <w:color w:val="231F20"/>
          <w:w w:val="103"/>
          <w:sz w:val="16"/>
        </w:rPr>
        <w:t>i</w:t>
      </w:r>
      <w:r>
        <w:rPr>
          <w:color w:val="231F20"/>
          <w:w w:val="102"/>
          <w:sz w:val="16"/>
        </w:rPr>
        <w:t>t</w:t>
      </w:r>
      <w:r>
        <w:rPr>
          <w:color w:val="231F20"/>
          <w:w w:val="103"/>
          <w:sz w:val="16"/>
        </w:rPr>
        <w:t>i</w:t>
      </w:r>
      <w:r>
        <w:rPr>
          <w:color w:val="231F20"/>
          <w:w w:val="104"/>
          <w:sz w:val="16"/>
        </w:rPr>
        <w:t>c</w:t>
      </w:r>
      <w:r>
        <w:rPr>
          <w:color w:val="231F20"/>
          <w:w w:val="93"/>
          <w:sz w:val="16"/>
        </w:rPr>
        <w:t>s</w:t>
      </w:r>
      <w:r>
        <w:rPr>
          <w:color w:val="231F20"/>
          <w:sz w:val="16"/>
        </w:rPr>
        <w:t xml:space="preserve"> </w:t>
      </w:r>
      <w:r>
        <w:rPr>
          <w:color w:val="231F20"/>
          <w:w w:val="106"/>
          <w:sz w:val="16"/>
        </w:rPr>
        <w:t>a</w:t>
      </w:r>
      <w:r>
        <w:rPr>
          <w:color w:val="231F20"/>
          <w:w w:val="103"/>
          <w:sz w:val="16"/>
        </w:rPr>
        <w:t>nd</w:t>
      </w:r>
      <w:r>
        <w:rPr>
          <w:color w:val="231F20"/>
          <w:sz w:val="16"/>
        </w:rPr>
        <w:t xml:space="preserve"> </w:t>
      </w:r>
      <w:r>
        <w:rPr>
          <w:color w:val="231F20"/>
          <w:w w:val="104"/>
          <w:sz w:val="16"/>
        </w:rPr>
        <w:t>S</w:t>
      </w:r>
      <w:r>
        <w:rPr>
          <w:color w:val="231F20"/>
          <w:w w:val="108"/>
          <w:sz w:val="16"/>
        </w:rPr>
        <w:t>o</w:t>
      </w:r>
      <w:r>
        <w:rPr>
          <w:color w:val="231F20"/>
          <w:w w:val="104"/>
          <w:sz w:val="16"/>
        </w:rPr>
        <w:t>c</w:t>
      </w:r>
      <w:r>
        <w:rPr>
          <w:color w:val="231F20"/>
          <w:w w:val="103"/>
          <w:sz w:val="16"/>
        </w:rPr>
        <w:t>i</w:t>
      </w:r>
      <w:r>
        <w:rPr>
          <w:color w:val="231F20"/>
          <w:w w:val="106"/>
          <w:sz w:val="16"/>
        </w:rPr>
        <w:t>al</w:t>
      </w:r>
      <w:r>
        <w:rPr>
          <w:color w:val="231F20"/>
          <w:sz w:val="16"/>
        </w:rPr>
        <w:t xml:space="preserve"> </w:t>
      </w:r>
      <w:r>
        <w:rPr>
          <w:color w:val="231F20"/>
          <w:w w:val="121"/>
          <w:sz w:val="16"/>
        </w:rPr>
        <w:t>D</w:t>
      </w:r>
      <w:r>
        <w:rPr>
          <w:color w:val="231F20"/>
          <w:w w:val="94"/>
          <w:sz w:val="16"/>
        </w:rPr>
        <w:t>e</w:t>
      </w:r>
      <w:r>
        <w:rPr>
          <w:color w:val="231F20"/>
          <w:w w:val="103"/>
          <w:sz w:val="16"/>
        </w:rPr>
        <w:t>m</w:t>
      </w:r>
      <w:r>
        <w:rPr>
          <w:color w:val="231F20"/>
          <w:w w:val="108"/>
          <w:sz w:val="16"/>
        </w:rPr>
        <w:t>o</w:t>
      </w:r>
      <w:r>
        <w:rPr>
          <w:color w:val="231F20"/>
          <w:w w:val="104"/>
          <w:sz w:val="16"/>
        </w:rPr>
        <w:t>c</w:t>
      </w:r>
      <w:r>
        <w:rPr>
          <w:color w:val="231F20"/>
          <w:w w:val="97"/>
          <w:sz w:val="16"/>
        </w:rPr>
        <w:t>r</w:t>
      </w:r>
      <w:r>
        <w:rPr>
          <w:color w:val="231F20"/>
          <w:w w:val="106"/>
          <w:sz w:val="16"/>
        </w:rPr>
        <w:t>a</w:t>
      </w:r>
      <w:r>
        <w:rPr>
          <w:color w:val="231F20"/>
          <w:w w:val="102"/>
          <w:sz w:val="16"/>
        </w:rPr>
        <w:t>t</w:t>
      </w:r>
      <w:r>
        <w:rPr>
          <w:color w:val="231F20"/>
          <w:w w:val="103"/>
          <w:sz w:val="16"/>
        </w:rPr>
        <w:t>i</w:t>
      </w:r>
      <w:r>
        <w:rPr>
          <w:color w:val="231F20"/>
          <w:w w:val="104"/>
          <w:sz w:val="16"/>
        </w:rPr>
        <w:t>c</w:t>
      </w:r>
      <w:r>
        <w:rPr>
          <w:color w:val="231F20"/>
          <w:sz w:val="16"/>
        </w:rPr>
        <w:t xml:space="preserve"> </w:t>
      </w:r>
      <w:r>
        <w:rPr>
          <w:color w:val="231F20"/>
          <w:w w:val="101"/>
          <w:sz w:val="16"/>
        </w:rPr>
        <w:t>P</w:t>
      </w:r>
      <w:r>
        <w:rPr>
          <w:color w:val="231F20"/>
          <w:w w:val="108"/>
          <w:sz w:val="16"/>
        </w:rPr>
        <w:t>o</w:t>
      </w:r>
      <w:r>
        <w:rPr>
          <w:color w:val="231F20"/>
          <w:w w:val="106"/>
          <w:sz w:val="16"/>
        </w:rPr>
        <w:t>l</w:t>
      </w:r>
      <w:r>
        <w:rPr>
          <w:color w:val="231F20"/>
          <w:w w:val="103"/>
          <w:sz w:val="16"/>
        </w:rPr>
        <w:t>i</w:t>
      </w:r>
      <w:r>
        <w:rPr>
          <w:color w:val="231F20"/>
          <w:w w:val="102"/>
          <w:sz w:val="16"/>
        </w:rPr>
        <w:t>t</w:t>
      </w:r>
      <w:r>
        <w:rPr>
          <w:color w:val="231F20"/>
          <w:w w:val="103"/>
          <w:sz w:val="16"/>
        </w:rPr>
        <w:t>i</w:t>
      </w:r>
      <w:r>
        <w:rPr>
          <w:color w:val="231F20"/>
          <w:w w:val="104"/>
          <w:sz w:val="16"/>
        </w:rPr>
        <w:t>c</w:t>
      </w:r>
      <w:r>
        <w:rPr>
          <w:color w:val="231F20"/>
          <w:w w:val="93"/>
          <w:sz w:val="16"/>
        </w:rPr>
        <w:t>s</w:t>
      </w:r>
      <w:r>
        <w:rPr>
          <w:color w:val="231F20"/>
          <w:w w:val="140"/>
          <w:sz w:val="16"/>
        </w:rPr>
        <w:t>,</w:t>
      </w:r>
      <w:r>
        <w:rPr>
          <w:color w:val="231F20"/>
          <w:w w:val="153"/>
          <w:sz w:val="16"/>
        </w:rPr>
        <w:t>”</w:t>
      </w:r>
      <w:r>
        <w:rPr>
          <w:color w:val="231F20"/>
          <w:sz w:val="16"/>
        </w:rPr>
        <w:t xml:space="preserve"> </w:t>
      </w:r>
      <w:hyperlink r:id="rId86">
        <w:r>
          <w:rPr>
            <w:color w:val="231F20"/>
            <w:w w:val="103"/>
            <w:sz w:val="16"/>
          </w:rPr>
          <w:t>ht</w:t>
        </w:r>
        <w:r>
          <w:rPr>
            <w:color w:val="231F20"/>
            <w:w w:val="102"/>
            <w:sz w:val="16"/>
          </w:rPr>
          <w:t>t</w:t>
        </w:r>
        <w:r>
          <w:rPr>
            <w:color w:val="231F20"/>
            <w:w w:val="103"/>
            <w:sz w:val="16"/>
          </w:rPr>
          <w:t>p</w:t>
        </w:r>
        <w:r>
          <w:rPr>
            <w:color w:val="231F20"/>
            <w:w w:val="109"/>
            <w:sz w:val="16"/>
          </w:rPr>
          <w:t>:</w:t>
        </w:r>
        <w:r>
          <w:rPr>
            <w:color w:val="231F20"/>
            <w:w w:val="58"/>
            <w:sz w:val="16"/>
          </w:rPr>
          <w:t>//</w:t>
        </w:r>
        <w:r>
          <w:rPr>
            <w:color w:val="231F20"/>
            <w:w w:val="104"/>
            <w:sz w:val="16"/>
          </w:rPr>
          <w:t>www</w:t>
        </w:r>
        <w:r>
          <w:rPr>
            <w:color w:val="231F20"/>
            <w:w w:val="140"/>
            <w:sz w:val="16"/>
          </w:rPr>
          <w:t>.</w:t>
        </w:r>
        <w:r>
          <w:rPr>
            <w:color w:val="231F20"/>
            <w:w w:val="103"/>
            <w:sz w:val="16"/>
          </w:rPr>
          <w:t>m</w:t>
        </w:r>
        <w:r>
          <w:rPr>
            <w:color w:val="231F20"/>
            <w:w w:val="106"/>
            <w:sz w:val="16"/>
          </w:rPr>
          <w:t>a</w:t>
        </w:r>
        <w:r>
          <w:rPr>
            <w:color w:val="231F20"/>
            <w:w w:val="97"/>
            <w:sz w:val="16"/>
          </w:rPr>
          <w:t>r</w:t>
        </w:r>
        <w:r>
          <w:rPr>
            <w:color w:val="231F20"/>
            <w:w w:val="119"/>
            <w:sz w:val="16"/>
          </w:rPr>
          <w:t>x</w:t>
        </w:r>
        <w:r>
          <w:rPr>
            <w:color w:val="231F20"/>
            <w:w w:val="103"/>
            <w:sz w:val="16"/>
          </w:rPr>
          <w:t>i</w:t>
        </w:r>
        <w:r>
          <w:rPr>
            <w:color w:val="231F20"/>
            <w:w w:val="93"/>
            <w:sz w:val="16"/>
          </w:rPr>
          <w:t>s</w:t>
        </w:r>
        <w:r>
          <w:rPr>
            <w:color w:val="231F20"/>
            <w:w w:val="102"/>
            <w:sz w:val="16"/>
          </w:rPr>
          <w:t>t</w:t>
        </w:r>
        <w:r>
          <w:rPr>
            <w:color w:val="231F20"/>
            <w:w w:val="93"/>
            <w:sz w:val="16"/>
          </w:rPr>
          <w:t>s</w:t>
        </w:r>
        <w:r>
          <w:rPr>
            <w:color w:val="231F20"/>
            <w:w w:val="140"/>
            <w:sz w:val="16"/>
          </w:rPr>
          <w:t>.</w:t>
        </w:r>
        <w:r>
          <w:rPr>
            <w:color w:val="231F20"/>
            <w:w w:val="108"/>
            <w:sz w:val="16"/>
          </w:rPr>
          <w:t>o</w:t>
        </w:r>
        <w:r>
          <w:rPr>
            <w:color w:val="231F20"/>
            <w:w w:val="97"/>
            <w:sz w:val="16"/>
          </w:rPr>
          <w:t>r</w:t>
        </w:r>
        <w:r>
          <w:rPr>
            <w:color w:val="231F20"/>
            <w:w w:val="104"/>
            <w:sz w:val="16"/>
          </w:rPr>
          <w:t>g</w:t>
        </w:r>
        <w:r>
          <w:rPr>
            <w:color w:val="231F20"/>
            <w:w w:val="58"/>
            <w:sz w:val="16"/>
          </w:rPr>
          <w:t>/</w:t>
        </w:r>
        <w:r>
          <w:rPr>
            <w:color w:val="231F20"/>
            <w:w w:val="106"/>
            <w:sz w:val="16"/>
          </w:rPr>
          <w:t>a</w:t>
        </w:r>
        <w:r>
          <w:rPr>
            <w:color w:val="231F20"/>
            <w:w w:val="97"/>
            <w:sz w:val="16"/>
          </w:rPr>
          <w:t>r</w:t>
        </w:r>
        <w:r>
          <w:rPr>
            <w:color w:val="231F20"/>
            <w:w w:val="104"/>
            <w:sz w:val="16"/>
          </w:rPr>
          <w:t>ch</w:t>
        </w:r>
        <w:r>
          <w:rPr>
            <w:color w:val="231F20"/>
            <w:w w:val="103"/>
            <w:sz w:val="16"/>
          </w:rPr>
          <w:t>i</w:t>
        </w:r>
        <w:r>
          <w:rPr>
            <w:color w:val="231F20"/>
            <w:w w:val="102"/>
            <w:sz w:val="16"/>
          </w:rPr>
          <w:t>v</w:t>
        </w:r>
        <w:r>
          <w:rPr>
            <w:color w:val="231F20"/>
            <w:w w:val="94"/>
            <w:sz w:val="16"/>
          </w:rPr>
          <w:t>e</w:t>
        </w:r>
        <w:r>
          <w:rPr>
            <w:color w:val="231F20"/>
            <w:w w:val="58"/>
            <w:sz w:val="16"/>
          </w:rPr>
          <w:t>/</w:t>
        </w:r>
        <w:r>
          <w:rPr>
            <w:color w:val="231F20"/>
            <w:w w:val="106"/>
            <w:sz w:val="16"/>
          </w:rPr>
          <w:t>l</w:t>
        </w:r>
        <w:r>
          <w:rPr>
            <w:color w:val="231F20"/>
            <w:w w:val="94"/>
            <w:sz w:val="16"/>
          </w:rPr>
          <w:t>e</w:t>
        </w:r>
        <w:r>
          <w:rPr>
            <w:color w:val="231F20"/>
            <w:w w:val="103"/>
            <w:sz w:val="16"/>
          </w:rPr>
          <w:t>nin</w:t>
        </w:r>
        <w:r>
          <w:rPr>
            <w:color w:val="231F20"/>
            <w:w w:val="58"/>
            <w:sz w:val="16"/>
          </w:rPr>
          <w:t>/</w:t>
        </w:r>
      </w:hyperlink>
      <w:r>
        <w:rPr>
          <w:color w:val="231F20"/>
          <w:w w:val="58"/>
          <w:sz w:val="16"/>
        </w:rPr>
        <w:t xml:space="preserve"> </w:t>
      </w:r>
      <w:r>
        <w:rPr>
          <w:color w:val="231F20"/>
          <w:w w:val="106"/>
          <w:sz w:val="16"/>
        </w:rPr>
        <w:t>wo</w:t>
      </w:r>
      <w:r>
        <w:rPr>
          <w:color w:val="231F20"/>
          <w:w w:val="97"/>
          <w:sz w:val="16"/>
        </w:rPr>
        <w:t>r</w:t>
      </w:r>
      <w:r>
        <w:rPr>
          <w:color w:val="231F20"/>
          <w:w w:val="109"/>
          <w:sz w:val="16"/>
        </w:rPr>
        <w:t>k</w:t>
      </w:r>
      <w:r>
        <w:rPr>
          <w:color w:val="231F20"/>
          <w:w w:val="93"/>
          <w:sz w:val="16"/>
        </w:rPr>
        <w:t>s</w:t>
      </w:r>
      <w:r>
        <w:rPr>
          <w:color w:val="231F20"/>
          <w:w w:val="58"/>
          <w:sz w:val="16"/>
        </w:rPr>
        <w:t>/</w:t>
      </w:r>
      <w:r>
        <w:rPr>
          <w:color w:val="231F20"/>
          <w:w w:val="104"/>
          <w:sz w:val="16"/>
        </w:rPr>
        <w:t>1901</w:t>
      </w:r>
      <w:r>
        <w:rPr>
          <w:color w:val="231F20"/>
          <w:w w:val="58"/>
          <w:sz w:val="16"/>
        </w:rPr>
        <w:t>/</w:t>
      </w:r>
      <w:r>
        <w:rPr>
          <w:color w:val="231F20"/>
          <w:w w:val="104"/>
          <w:sz w:val="16"/>
        </w:rPr>
        <w:t>w</w:t>
      </w:r>
      <w:r>
        <w:rPr>
          <w:color w:val="231F20"/>
          <w:w w:val="103"/>
          <w:sz w:val="16"/>
        </w:rPr>
        <w:t>i</w:t>
      </w:r>
      <w:r>
        <w:rPr>
          <w:color w:val="231F20"/>
          <w:w w:val="102"/>
          <w:sz w:val="16"/>
        </w:rPr>
        <w:t>t</w:t>
      </w:r>
      <w:r>
        <w:rPr>
          <w:color w:val="231F20"/>
          <w:w w:val="105"/>
          <w:sz w:val="16"/>
        </w:rPr>
        <w:t>b</w:t>
      </w:r>
      <w:r>
        <w:rPr>
          <w:color w:val="231F20"/>
          <w:w w:val="103"/>
          <w:sz w:val="16"/>
        </w:rPr>
        <w:t>d</w:t>
      </w:r>
      <w:r>
        <w:rPr>
          <w:color w:val="231F20"/>
          <w:w w:val="58"/>
          <w:sz w:val="16"/>
        </w:rPr>
        <w:t>/</w:t>
      </w:r>
      <w:r>
        <w:rPr>
          <w:color w:val="231F20"/>
          <w:w w:val="103"/>
          <w:sz w:val="16"/>
        </w:rPr>
        <w:t>iii</w:t>
      </w:r>
      <w:r>
        <w:rPr>
          <w:color w:val="231F20"/>
          <w:w w:val="140"/>
          <w:sz w:val="16"/>
        </w:rPr>
        <w:t>.</w:t>
      </w:r>
      <w:r>
        <w:rPr>
          <w:color w:val="231F20"/>
          <w:w w:val="104"/>
          <w:sz w:val="16"/>
        </w:rPr>
        <w:t>h</w:t>
      </w:r>
      <w:r>
        <w:rPr>
          <w:color w:val="231F20"/>
          <w:w w:val="102"/>
          <w:sz w:val="16"/>
        </w:rPr>
        <w:t>t</w:t>
      </w:r>
      <w:r>
        <w:rPr>
          <w:color w:val="231F20"/>
          <w:w w:val="103"/>
          <w:sz w:val="16"/>
        </w:rPr>
        <w:t>m</w:t>
      </w:r>
      <w:r>
        <w:rPr>
          <w:color w:val="231F20"/>
          <w:w w:val="140"/>
          <w:sz w:val="16"/>
        </w:rPr>
        <w:t>.</w:t>
      </w:r>
    </w:p>
    <w:p w14:paraId="19F5D55E" w14:textId="77777777" w:rsidR="002653E8" w:rsidRDefault="002653E8">
      <w:pPr>
        <w:spacing w:line="254" w:lineRule="auto"/>
        <w:rPr>
          <w:sz w:val="16"/>
        </w:rPr>
        <w:sectPr w:rsidR="002653E8">
          <w:pgSz w:w="8640" w:h="12960"/>
          <w:pgMar w:top="1060" w:right="0" w:bottom="1040" w:left="0" w:header="0" w:footer="850" w:gutter="0"/>
          <w:cols w:space="720"/>
        </w:sectPr>
      </w:pPr>
    </w:p>
    <w:p w14:paraId="070738DD" w14:textId="77777777" w:rsidR="002653E8" w:rsidRDefault="003115E3">
      <w:pPr>
        <w:pStyle w:val="a3"/>
        <w:spacing w:before="86" w:line="264" w:lineRule="auto"/>
        <w:ind w:left="1148" w:right="1325" w:hanging="1"/>
        <w:jc w:val="both"/>
      </w:pPr>
      <w:r>
        <w:rPr>
          <w:color w:val="231F20"/>
        </w:rPr>
        <w:lastRenderedPageBreak/>
        <w:t>with Lukacs</w:t>
      </w:r>
      <w:r>
        <w:rPr>
          <w:color w:val="231F20"/>
          <w:position w:val="7"/>
          <w:sz w:val="11"/>
        </w:rPr>
        <w:t xml:space="preserve">1 </w:t>
      </w:r>
      <w:r>
        <w:rPr>
          <w:color w:val="231F20"/>
        </w:rPr>
        <w:t xml:space="preserve">than to allow themselves  to  be  spontaneously  inspired by Blanqui. They express internationalism in the form of censorship     by favoring one Palestinian guerilla organization over another. White masters who claim to be the true guardians of Marxism, they express themselves through patronage, begging their rich friends for alms in the name of the Black Panther Party—not with a view to “victory in the people’s </w:t>
      </w:r>
      <w:r>
        <w:rPr>
          <w:color w:val="231F20"/>
          <w:spacing w:val="-4"/>
        </w:rPr>
        <w:t xml:space="preserve">war,” </w:t>
      </w:r>
      <w:r>
        <w:rPr>
          <w:color w:val="231F20"/>
        </w:rPr>
        <w:t>but to soothe their consciences. That’s not a revolution</w:t>
      </w:r>
      <w:r>
        <w:rPr>
          <w:color w:val="231F20"/>
          <w:spacing w:val="1"/>
        </w:rPr>
        <w:t xml:space="preserve">ary </w:t>
      </w:r>
      <w:r>
        <w:rPr>
          <w:color w:val="231F20"/>
        </w:rPr>
        <w:t>method of</w:t>
      </w:r>
      <w:r>
        <w:rPr>
          <w:color w:val="231F20"/>
          <w:spacing w:val="30"/>
        </w:rPr>
        <w:t xml:space="preserve"> </w:t>
      </w:r>
      <w:r>
        <w:rPr>
          <w:color w:val="231F20"/>
        </w:rPr>
        <w:t>intervention.</w:t>
      </w:r>
    </w:p>
    <w:p w14:paraId="3B1D353A" w14:textId="77777777" w:rsidR="002653E8" w:rsidRDefault="003115E3">
      <w:pPr>
        <w:spacing w:line="264" w:lineRule="auto"/>
        <w:ind w:left="1148" w:right="1325" w:firstLine="209"/>
        <w:jc w:val="both"/>
        <w:rPr>
          <w:sz w:val="20"/>
        </w:rPr>
      </w:pPr>
      <w:r>
        <w:rPr>
          <w:color w:val="231F20"/>
          <w:sz w:val="20"/>
        </w:rPr>
        <w:t xml:space="preserve">Mao, in his </w:t>
      </w:r>
      <w:r>
        <w:rPr>
          <w:i/>
          <w:color w:val="231F20"/>
          <w:sz w:val="20"/>
        </w:rPr>
        <w:t xml:space="preserve">Analysis of the Classes in Chinese Society </w:t>
      </w:r>
      <w:r>
        <w:rPr>
          <w:color w:val="231F20"/>
          <w:sz w:val="20"/>
        </w:rPr>
        <w:t>(1926), contrasted the revolution and the counterrevolution in this way:</w:t>
      </w:r>
    </w:p>
    <w:p w14:paraId="6A8FBBB9" w14:textId="77777777" w:rsidR="002653E8" w:rsidRDefault="003115E3">
      <w:pPr>
        <w:spacing w:before="118" w:line="276" w:lineRule="auto"/>
        <w:ind w:left="1567" w:right="1745"/>
        <w:jc w:val="both"/>
        <w:rPr>
          <w:i/>
          <w:sz w:val="11"/>
        </w:rPr>
      </w:pPr>
      <w:r>
        <w:rPr>
          <w:i/>
          <w:color w:val="231F20"/>
          <w:sz w:val="19"/>
        </w:rPr>
        <w:t>Each has hoisted a huge banner: one is the red banner of revolution held aloft by the Third International as the rallying point for all  the oppressed classes of the world, the other is the white banner    of counterrevolution held aloft by the League of Nations as</w:t>
      </w:r>
      <w:r>
        <w:rPr>
          <w:i/>
          <w:color w:val="231F20"/>
          <w:spacing w:val="25"/>
          <w:sz w:val="19"/>
        </w:rPr>
        <w:t xml:space="preserve"> </w:t>
      </w:r>
      <w:r>
        <w:rPr>
          <w:i/>
          <w:color w:val="231F20"/>
          <w:sz w:val="19"/>
        </w:rPr>
        <w:t>the rallying</w:t>
      </w:r>
      <w:r>
        <w:rPr>
          <w:i/>
          <w:color w:val="231F20"/>
          <w:spacing w:val="16"/>
          <w:sz w:val="19"/>
        </w:rPr>
        <w:t xml:space="preserve"> </w:t>
      </w:r>
      <w:r>
        <w:rPr>
          <w:i/>
          <w:color w:val="231F20"/>
          <w:sz w:val="19"/>
        </w:rPr>
        <w:t>point</w:t>
      </w:r>
      <w:r>
        <w:rPr>
          <w:i/>
          <w:color w:val="231F20"/>
          <w:spacing w:val="16"/>
          <w:sz w:val="19"/>
        </w:rPr>
        <w:t xml:space="preserve"> </w:t>
      </w:r>
      <w:r>
        <w:rPr>
          <w:i/>
          <w:color w:val="231F20"/>
          <w:sz w:val="19"/>
        </w:rPr>
        <w:t>for</w:t>
      </w:r>
      <w:r>
        <w:rPr>
          <w:i/>
          <w:color w:val="231F20"/>
          <w:spacing w:val="16"/>
          <w:sz w:val="19"/>
        </w:rPr>
        <w:t xml:space="preserve"> </w:t>
      </w:r>
      <w:r>
        <w:rPr>
          <w:i/>
          <w:color w:val="231F20"/>
          <w:sz w:val="19"/>
        </w:rPr>
        <w:t>all</w:t>
      </w:r>
      <w:r>
        <w:rPr>
          <w:i/>
          <w:color w:val="231F20"/>
          <w:spacing w:val="16"/>
          <w:sz w:val="19"/>
        </w:rPr>
        <w:t xml:space="preserve"> </w:t>
      </w:r>
      <w:r>
        <w:rPr>
          <w:i/>
          <w:color w:val="231F20"/>
          <w:sz w:val="19"/>
        </w:rPr>
        <w:t>the</w:t>
      </w:r>
      <w:r>
        <w:rPr>
          <w:i/>
          <w:color w:val="231F20"/>
          <w:spacing w:val="16"/>
          <w:sz w:val="19"/>
        </w:rPr>
        <w:t xml:space="preserve"> </w:t>
      </w:r>
      <w:r>
        <w:rPr>
          <w:i/>
          <w:color w:val="231F20"/>
          <w:sz w:val="19"/>
        </w:rPr>
        <w:t>counterrevolutionaries</w:t>
      </w:r>
      <w:r>
        <w:rPr>
          <w:i/>
          <w:color w:val="231F20"/>
          <w:spacing w:val="16"/>
          <w:sz w:val="19"/>
        </w:rPr>
        <w:t xml:space="preserve"> </w:t>
      </w:r>
      <w:r>
        <w:rPr>
          <w:i/>
          <w:color w:val="231F20"/>
          <w:sz w:val="19"/>
        </w:rPr>
        <w:t>of</w:t>
      </w:r>
      <w:r>
        <w:rPr>
          <w:i/>
          <w:color w:val="231F20"/>
          <w:spacing w:val="16"/>
          <w:sz w:val="19"/>
        </w:rPr>
        <w:t xml:space="preserve"> </w:t>
      </w:r>
      <w:r>
        <w:rPr>
          <w:i/>
          <w:color w:val="231F20"/>
          <w:sz w:val="19"/>
        </w:rPr>
        <w:t>the</w:t>
      </w:r>
      <w:r>
        <w:rPr>
          <w:i/>
          <w:color w:val="231F20"/>
          <w:spacing w:val="16"/>
          <w:sz w:val="19"/>
        </w:rPr>
        <w:t xml:space="preserve"> </w:t>
      </w:r>
      <w:r>
        <w:rPr>
          <w:i/>
          <w:color w:val="231F20"/>
          <w:sz w:val="19"/>
        </w:rPr>
        <w:t>world.</w:t>
      </w:r>
      <w:r>
        <w:rPr>
          <w:i/>
          <w:color w:val="231F20"/>
          <w:position w:val="6"/>
          <w:sz w:val="11"/>
        </w:rPr>
        <w:t>2</w:t>
      </w:r>
    </w:p>
    <w:p w14:paraId="27219741" w14:textId="77777777" w:rsidR="002653E8" w:rsidRDefault="003115E3">
      <w:pPr>
        <w:pStyle w:val="a3"/>
        <w:spacing w:before="132" w:line="264" w:lineRule="auto"/>
        <w:ind w:left="1147" w:right="1326"/>
        <w:jc w:val="both"/>
      </w:pPr>
      <w:r>
        <w:rPr>
          <w:color w:val="231F20"/>
        </w:rPr>
        <w:t>Mao differentiated between classes in Chinese society based on the positions they took towards the red and white banners. It wasn’t enough for him to analyze the economic situation of different classes in Chinese society. Part of his class analysis involved the relationship of different classes to the revolution.</w:t>
      </w:r>
    </w:p>
    <w:p w14:paraId="4EB4536E" w14:textId="77777777" w:rsidR="002653E8" w:rsidRDefault="003115E3">
      <w:pPr>
        <w:pStyle w:val="a3"/>
        <w:spacing w:line="264" w:lineRule="auto"/>
        <w:ind w:left="1147" w:right="1325" w:firstLine="210"/>
        <w:jc w:val="both"/>
      </w:pPr>
      <w:r>
        <w:rPr>
          <w:color w:val="231F20"/>
        </w:rPr>
        <w:t xml:space="preserve">There will be no leadership role for Marxist-Leninists in future class struggles if the vanguard doesn’t hold up the red banner of proletarian internationalism, if the vanguard can’t answer the question of how to establish the dictatorship of the proletariat, of how to develop the power of the proletariat, of how to break the power of the bourgeoisie,  if it </w:t>
      </w:r>
      <w:r>
        <w:rPr>
          <w:color w:val="231F20"/>
          <w:spacing w:val="-3"/>
        </w:rPr>
        <w:t xml:space="preserve">isn’t </w:t>
      </w:r>
      <w:r>
        <w:rPr>
          <w:color w:val="231F20"/>
        </w:rPr>
        <w:t>prepared to do anything to answer these questions. The class analysis we require cannot be developed without revolutionary practice or revolutionary</w:t>
      </w:r>
      <w:r>
        <w:rPr>
          <w:color w:val="231F20"/>
          <w:spacing w:val="21"/>
        </w:rPr>
        <w:t xml:space="preserve"> </w:t>
      </w:r>
      <w:r>
        <w:rPr>
          <w:color w:val="231F20"/>
        </w:rPr>
        <w:t>initiative.</w:t>
      </w:r>
    </w:p>
    <w:p w14:paraId="76F1935A" w14:textId="77777777" w:rsidR="002653E8" w:rsidRDefault="00000000">
      <w:pPr>
        <w:pStyle w:val="a3"/>
        <w:spacing w:line="264" w:lineRule="auto"/>
        <w:ind w:left="1148" w:right="1325" w:firstLine="210"/>
        <w:jc w:val="both"/>
      </w:pPr>
      <w:r>
        <w:rPr>
          <w:noProof w:val="0"/>
        </w:rPr>
        <w:pict w14:anchorId="65FEDE99">
          <v:line id="_x0000_s2610" style="position:absolute;left:0;text-align:left;z-index:3496;mso-wrap-distance-left:0;mso-wrap-distance-right:0;mso-position-horizontal-relative:page" from="57.4pt,85.05pt" to="129.4pt,85.05pt" strokecolor="#231f20" strokeweight=".5pt">
            <w10:wrap type="topAndBottom" anchorx="page"/>
          </v:line>
        </w:pict>
      </w:r>
      <w:r w:rsidR="003115E3">
        <w:rPr>
          <w:color w:val="231F20"/>
        </w:rPr>
        <w:t xml:space="preserve">The “provisional revolutionary demands” put forward by the proletarian organizations throughout the country—such as the struggle against the intensification of exploitation, for a shorter work week, against the squandering of social wealth, for wage parity for men, women, and foreigners, against production quotas, etc.—are nothing but trade union economism as long as they </w:t>
      </w:r>
      <w:r w:rsidR="003115E3">
        <w:rPr>
          <w:color w:val="231F20"/>
          <w:spacing w:val="-3"/>
        </w:rPr>
        <w:t xml:space="preserve">don’t </w:t>
      </w:r>
      <w:r w:rsidR="003115E3">
        <w:rPr>
          <w:color w:val="231F20"/>
        </w:rPr>
        <w:t>address the question</w:t>
      </w:r>
      <w:r w:rsidR="003115E3">
        <w:rPr>
          <w:color w:val="231F20"/>
          <w:spacing w:val="-17"/>
        </w:rPr>
        <w:t xml:space="preserve"> </w:t>
      </w:r>
      <w:r w:rsidR="003115E3">
        <w:rPr>
          <w:color w:val="231F20"/>
        </w:rPr>
        <w:t>of</w:t>
      </w:r>
    </w:p>
    <w:p w14:paraId="2CAECF38" w14:textId="77777777" w:rsidR="002653E8" w:rsidRDefault="003115E3">
      <w:pPr>
        <w:pStyle w:val="a4"/>
        <w:numPr>
          <w:ilvl w:val="0"/>
          <w:numId w:val="162"/>
        </w:numPr>
        <w:tabs>
          <w:tab w:val="left" w:pos="1287"/>
        </w:tabs>
        <w:spacing w:before="53" w:line="254" w:lineRule="auto"/>
        <w:ind w:right="1468" w:firstLine="0"/>
        <w:jc w:val="left"/>
        <w:rPr>
          <w:sz w:val="16"/>
        </w:rPr>
      </w:pPr>
      <w:r>
        <w:rPr>
          <w:color w:val="231F20"/>
          <w:w w:val="105"/>
          <w:sz w:val="16"/>
        </w:rPr>
        <w:t xml:space="preserve">George Lukacs was an influential Hungarian </w:t>
      </w:r>
      <w:r>
        <w:rPr>
          <w:color w:val="231F20"/>
          <w:spacing w:val="1"/>
          <w:w w:val="105"/>
          <w:sz w:val="16"/>
        </w:rPr>
        <w:t xml:space="preserve">Marxist </w:t>
      </w:r>
      <w:r>
        <w:rPr>
          <w:color w:val="231F20"/>
          <w:w w:val="105"/>
          <w:sz w:val="16"/>
        </w:rPr>
        <w:t xml:space="preserve">philosopher and </w:t>
      </w:r>
      <w:r>
        <w:rPr>
          <w:color w:val="231F20"/>
          <w:spacing w:val="1"/>
          <w:w w:val="105"/>
          <w:sz w:val="16"/>
        </w:rPr>
        <w:t xml:space="preserve">art </w:t>
      </w:r>
      <w:r>
        <w:rPr>
          <w:color w:val="231F20"/>
          <w:w w:val="105"/>
          <w:sz w:val="16"/>
        </w:rPr>
        <w:t>critic. His</w:t>
      </w:r>
      <w:r>
        <w:rPr>
          <w:color w:val="231F20"/>
          <w:spacing w:val="8"/>
          <w:w w:val="105"/>
          <w:sz w:val="16"/>
        </w:rPr>
        <w:t xml:space="preserve"> </w:t>
      </w:r>
      <w:r>
        <w:rPr>
          <w:color w:val="231F20"/>
          <w:w w:val="105"/>
          <w:sz w:val="16"/>
        </w:rPr>
        <w:t>work</w:t>
      </w:r>
      <w:r>
        <w:rPr>
          <w:color w:val="231F20"/>
          <w:spacing w:val="8"/>
          <w:w w:val="105"/>
          <w:sz w:val="16"/>
        </w:rPr>
        <w:t xml:space="preserve"> </w:t>
      </w:r>
      <w:r>
        <w:rPr>
          <w:color w:val="231F20"/>
          <w:w w:val="105"/>
          <w:sz w:val="16"/>
        </w:rPr>
        <w:t>greatly</w:t>
      </w:r>
      <w:r>
        <w:rPr>
          <w:color w:val="231F20"/>
          <w:spacing w:val="8"/>
          <w:w w:val="105"/>
          <w:sz w:val="16"/>
        </w:rPr>
        <w:t xml:space="preserve"> </w:t>
      </w:r>
      <w:r>
        <w:rPr>
          <w:color w:val="231F20"/>
          <w:w w:val="105"/>
          <w:sz w:val="16"/>
        </w:rPr>
        <w:t>influenced</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New</w:t>
      </w:r>
      <w:r>
        <w:rPr>
          <w:color w:val="231F20"/>
          <w:spacing w:val="8"/>
          <w:w w:val="105"/>
          <w:sz w:val="16"/>
        </w:rPr>
        <w:t xml:space="preserve"> </w:t>
      </w:r>
      <w:r>
        <w:rPr>
          <w:color w:val="231F20"/>
          <w:spacing w:val="1"/>
          <w:w w:val="105"/>
          <w:sz w:val="16"/>
        </w:rPr>
        <w:t>Left</w:t>
      </w:r>
      <w:r>
        <w:rPr>
          <w:color w:val="231F20"/>
          <w:spacing w:val="8"/>
          <w:w w:val="105"/>
          <w:sz w:val="16"/>
        </w:rPr>
        <w:t xml:space="preserve"> </w:t>
      </w:r>
      <w:r>
        <w:rPr>
          <w:color w:val="231F20"/>
          <w:w w:val="105"/>
          <w:sz w:val="16"/>
        </w:rPr>
        <w:t>of</w:t>
      </w:r>
      <w:r>
        <w:rPr>
          <w:color w:val="231F20"/>
          <w:spacing w:val="8"/>
          <w:w w:val="105"/>
          <w:sz w:val="16"/>
        </w:rPr>
        <w:t xml:space="preserve"> </w:t>
      </w:r>
      <w:r>
        <w:rPr>
          <w:color w:val="231F20"/>
          <w:w w:val="105"/>
          <w:sz w:val="16"/>
        </w:rPr>
        <w:t>the</w:t>
      </w:r>
      <w:r>
        <w:rPr>
          <w:color w:val="231F20"/>
          <w:spacing w:val="10"/>
          <w:w w:val="105"/>
          <w:sz w:val="16"/>
        </w:rPr>
        <w:t xml:space="preserve"> </w:t>
      </w:r>
      <w:r>
        <w:rPr>
          <w:color w:val="231F20"/>
          <w:w w:val="105"/>
          <w:sz w:val="16"/>
        </w:rPr>
        <w:t>60s</w:t>
      </w:r>
      <w:r>
        <w:rPr>
          <w:color w:val="231F20"/>
          <w:spacing w:val="8"/>
          <w:w w:val="105"/>
          <w:sz w:val="16"/>
        </w:rPr>
        <w:t xml:space="preserve"> </w:t>
      </w:r>
      <w:r>
        <w:rPr>
          <w:color w:val="231F20"/>
          <w:w w:val="105"/>
          <w:sz w:val="16"/>
        </w:rPr>
        <w:t>and</w:t>
      </w:r>
      <w:r>
        <w:rPr>
          <w:color w:val="231F20"/>
          <w:spacing w:val="10"/>
          <w:w w:val="105"/>
          <w:sz w:val="16"/>
        </w:rPr>
        <w:t xml:space="preserve"> </w:t>
      </w:r>
      <w:r>
        <w:rPr>
          <w:color w:val="231F20"/>
          <w:w w:val="105"/>
          <w:sz w:val="16"/>
        </w:rPr>
        <w:t>70s.</w:t>
      </w:r>
    </w:p>
    <w:p w14:paraId="495063FF" w14:textId="77777777" w:rsidR="002653E8" w:rsidRDefault="003115E3">
      <w:pPr>
        <w:pStyle w:val="a4"/>
        <w:numPr>
          <w:ilvl w:val="0"/>
          <w:numId w:val="162"/>
        </w:numPr>
        <w:tabs>
          <w:tab w:val="left" w:pos="1287"/>
        </w:tabs>
        <w:spacing w:line="254" w:lineRule="auto"/>
        <w:ind w:right="1439" w:firstLine="0"/>
        <w:jc w:val="left"/>
        <w:rPr>
          <w:sz w:val="16"/>
        </w:rPr>
      </w:pPr>
      <w:r>
        <w:rPr>
          <w:color w:val="231F20"/>
          <w:sz w:val="16"/>
        </w:rPr>
        <w:t xml:space="preserve">Mao </w:t>
      </w:r>
      <w:r>
        <w:rPr>
          <w:color w:val="231F20"/>
          <w:spacing w:val="-3"/>
          <w:sz w:val="16"/>
        </w:rPr>
        <w:t xml:space="preserve">Tse-Tung </w:t>
      </w:r>
      <w:r>
        <w:rPr>
          <w:color w:val="231F20"/>
          <w:sz w:val="16"/>
        </w:rPr>
        <w:t xml:space="preserve">“Analysis of the Classes in Chinese Society,” </w:t>
      </w:r>
      <w:r>
        <w:rPr>
          <w:color w:val="231F20"/>
          <w:spacing w:val="1"/>
          <w:sz w:val="16"/>
        </w:rPr>
        <w:t xml:space="preserve">Marxists </w:t>
      </w:r>
      <w:r>
        <w:rPr>
          <w:color w:val="231F20"/>
          <w:sz w:val="16"/>
        </w:rPr>
        <w:t xml:space="preserve">Internet </w:t>
      </w:r>
      <w:r>
        <w:rPr>
          <w:color w:val="231F20"/>
          <w:spacing w:val="6"/>
          <w:w w:val="120"/>
          <w:sz w:val="16"/>
        </w:rPr>
        <w:t>A</w:t>
      </w:r>
      <w:r>
        <w:rPr>
          <w:color w:val="231F20"/>
          <w:w w:val="97"/>
          <w:sz w:val="16"/>
        </w:rPr>
        <w:t>r</w:t>
      </w:r>
      <w:r>
        <w:rPr>
          <w:color w:val="231F20"/>
          <w:w w:val="104"/>
          <w:sz w:val="16"/>
        </w:rPr>
        <w:t>c</w:t>
      </w:r>
      <w:r>
        <w:rPr>
          <w:color w:val="231F20"/>
          <w:spacing w:val="3"/>
          <w:w w:val="104"/>
          <w:sz w:val="16"/>
        </w:rPr>
        <w:t>h</w:t>
      </w:r>
      <w:r>
        <w:rPr>
          <w:color w:val="231F20"/>
          <w:spacing w:val="-1"/>
          <w:w w:val="103"/>
          <w:sz w:val="16"/>
        </w:rPr>
        <w:t>i</w:t>
      </w:r>
      <w:r>
        <w:rPr>
          <w:color w:val="231F20"/>
          <w:spacing w:val="-1"/>
          <w:w w:val="102"/>
          <w:sz w:val="16"/>
        </w:rPr>
        <w:t>v</w:t>
      </w:r>
      <w:r>
        <w:rPr>
          <w:color w:val="231F20"/>
          <w:spacing w:val="2"/>
          <w:w w:val="94"/>
          <w:sz w:val="16"/>
        </w:rPr>
        <w:t>e</w:t>
      </w:r>
      <w:r>
        <w:rPr>
          <w:color w:val="231F20"/>
          <w:w w:val="140"/>
          <w:sz w:val="16"/>
        </w:rPr>
        <w:t>,</w:t>
      </w:r>
      <w:r>
        <w:rPr>
          <w:color w:val="231F20"/>
          <w:spacing w:val="10"/>
          <w:sz w:val="16"/>
        </w:rPr>
        <w:t xml:space="preserve"> </w:t>
      </w:r>
      <w:hyperlink r:id="rId87">
        <w:r>
          <w:rPr>
            <w:color w:val="231F20"/>
            <w:w w:val="103"/>
            <w:sz w:val="16"/>
          </w:rPr>
          <w:t>h</w:t>
        </w:r>
        <w:r>
          <w:rPr>
            <w:color w:val="231F20"/>
            <w:spacing w:val="5"/>
            <w:w w:val="103"/>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spacing w:val="1"/>
            <w:w w:val="140"/>
            <w:sz w:val="16"/>
          </w:rPr>
          <w:t>.</w:t>
        </w:r>
        <w:r>
          <w:rPr>
            <w:color w:val="231F20"/>
            <w:spacing w:val="2"/>
            <w:w w:val="103"/>
            <w:sz w:val="16"/>
          </w:rPr>
          <w:t>m</w:t>
        </w:r>
        <w:r>
          <w:rPr>
            <w:color w:val="231F20"/>
            <w:spacing w:val="3"/>
            <w:w w:val="106"/>
            <w:sz w:val="16"/>
          </w:rPr>
          <w:t>a</w:t>
        </w:r>
        <w:r>
          <w:rPr>
            <w:color w:val="231F20"/>
            <w:spacing w:val="3"/>
            <w:w w:val="97"/>
            <w:sz w:val="16"/>
          </w:rPr>
          <w:t>r</w:t>
        </w:r>
        <w:r>
          <w:rPr>
            <w:color w:val="231F20"/>
            <w:spacing w:val="5"/>
            <w:w w:val="119"/>
            <w:sz w:val="16"/>
          </w:rPr>
          <w:t>x</w:t>
        </w:r>
        <w:r>
          <w:rPr>
            <w:color w:val="231F20"/>
            <w:spacing w:val="1"/>
            <w:w w:val="103"/>
            <w:sz w:val="16"/>
          </w:rPr>
          <w:t>i</w:t>
        </w:r>
        <w:r>
          <w:rPr>
            <w:color w:val="231F20"/>
            <w:spacing w:val="1"/>
            <w:w w:val="93"/>
            <w:sz w:val="16"/>
          </w:rPr>
          <w:t>s</w:t>
        </w:r>
        <w:r>
          <w:rPr>
            <w:color w:val="231F20"/>
            <w:spacing w:val="2"/>
            <w:w w:val="102"/>
            <w:sz w:val="16"/>
          </w:rPr>
          <w:t>t</w:t>
        </w:r>
        <w:r>
          <w:rPr>
            <w:color w:val="231F20"/>
            <w:spacing w:val="1"/>
            <w:w w:val="93"/>
            <w:sz w:val="16"/>
          </w:rPr>
          <w:t>s</w:t>
        </w:r>
        <w:r>
          <w:rPr>
            <w:color w:val="231F20"/>
            <w:w w:val="140"/>
            <w:sz w:val="16"/>
          </w:rPr>
          <w:t>.</w:t>
        </w:r>
        <w:r>
          <w:rPr>
            <w:color w:val="231F20"/>
            <w:w w:val="108"/>
            <w:sz w:val="16"/>
          </w:rPr>
          <w:t>o</w:t>
        </w:r>
        <w:r>
          <w:rPr>
            <w:color w:val="231F20"/>
            <w:spacing w:val="1"/>
            <w:w w:val="97"/>
            <w:sz w:val="16"/>
          </w:rPr>
          <w:t>r</w:t>
        </w:r>
        <w:r>
          <w:rPr>
            <w:color w:val="231F20"/>
            <w:spacing w:val="8"/>
            <w:w w:val="104"/>
            <w:sz w:val="16"/>
          </w:rPr>
          <w:t>g</w:t>
        </w:r>
        <w:r>
          <w:rPr>
            <w:color w:val="231F20"/>
            <w:w w:val="58"/>
            <w:sz w:val="16"/>
          </w:rPr>
          <w:t>/</w:t>
        </w:r>
        <w:r>
          <w:rPr>
            <w:color w:val="231F20"/>
            <w:w w:val="97"/>
            <w:sz w:val="16"/>
          </w:rPr>
          <w:t>r</w:t>
        </w:r>
        <w:r>
          <w:rPr>
            <w:color w:val="231F20"/>
            <w:w w:val="94"/>
            <w:sz w:val="16"/>
          </w:rPr>
          <w:t>e</w:t>
        </w:r>
        <w:r>
          <w:rPr>
            <w:color w:val="231F20"/>
            <w:w w:val="114"/>
            <w:sz w:val="16"/>
          </w:rPr>
          <w:t>f</w:t>
        </w:r>
        <w:r>
          <w:rPr>
            <w:color w:val="231F20"/>
            <w:w w:val="94"/>
            <w:sz w:val="16"/>
          </w:rPr>
          <w:t>e</w:t>
        </w:r>
        <w:r>
          <w:rPr>
            <w:color w:val="231F20"/>
            <w:w w:val="97"/>
            <w:sz w:val="16"/>
          </w:rPr>
          <w:t>r</w:t>
        </w:r>
        <w:r>
          <w:rPr>
            <w:color w:val="231F20"/>
            <w:w w:val="94"/>
            <w:sz w:val="16"/>
          </w:rPr>
          <w:t>e</w:t>
        </w:r>
        <w:r>
          <w:rPr>
            <w:color w:val="231F20"/>
            <w:w w:val="103"/>
            <w:sz w:val="16"/>
          </w:rPr>
          <w:t>n</w:t>
        </w:r>
        <w:r>
          <w:rPr>
            <w:color w:val="231F20"/>
            <w:spacing w:val="2"/>
            <w:w w:val="104"/>
            <w:sz w:val="16"/>
          </w:rPr>
          <w:t>c</w:t>
        </w:r>
        <w:r>
          <w:rPr>
            <w:color w:val="231F20"/>
            <w:spacing w:val="5"/>
            <w:w w:val="94"/>
            <w:sz w:val="16"/>
          </w:rPr>
          <w:t>e</w:t>
        </w:r>
        <w:r>
          <w:rPr>
            <w:color w:val="231F20"/>
            <w:spacing w:val="-3"/>
            <w:w w:val="58"/>
            <w:sz w:val="16"/>
          </w:rPr>
          <w:t>/</w:t>
        </w:r>
        <w:r>
          <w:rPr>
            <w:color w:val="231F20"/>
            <w:spacing w:val="3"/>
            <w:w w:val="106"/>
            <w:sz w:val="16"/>
          </w:rPr>
          <w:t>a</w:t>
        </w:r>
        <w:r>
          <w:rPr>
            <w:color w:val="231F20"/>
            <w:w w:val="97"/>
            <w:sz w:val="16"/>
          </w:rPr>
          <w:t>r</w:t>
        </w:r>
        <w:r>
          <w:rPr>
            <w:color w:val="231F20"/>
            <w:w w:val="104"/>
            <w:sz w:val="16"/>
          </w:rPr>
          <w:t>c</w:t>
        </w:r>
        <w:r>
          <w:rPr>
            <w:color w:val="231F20"/>
            <w:spacing w:val="3"/>
            <w:w w:val="104"/>
            <w:sz w:val="16"/>
          </w:rPr>
          <w:t>h</w:t>
        </w:r>
        <w:r>
          <w:rPr>
            <w:color w:val="231F20"/>
            <w:spacing w:val="-1"/>
            <w:w w:val="103"/>
            <w:sz w:val="16"/>
          </w:rPr>
          <w:t>i</w:t>
        </w:r>
        <w:r>
          <w:rPr>
            <w:color w:val="231F20"/>
            <w:spacing w:val="-1"/>
            <w:w w:val="102"/>
            <w:sz w:val="16"/>
          </w:rPr>
          <w:t>v</w:t>
        </w:r>
        <w:r>
          <w:rPr>
            <w:color w:val="231F20"/>
            <w:spacing w:val="5"/>
            <w:w w:val="94"/>
            <w:sz w:val="16"/>
          </w:rPr>
          <w:t>e</w:t>
        </w:r>
        <w:r>
          <w:rPr>
            <w:color w:val="231F20"/>
            <w:w w:val="58"/>
            <w:sz w:val="16"/>
          </w:rPr>
          <w:t>/</w:t>
        </w:r>
        <w:r>
          <w:rPr>
            <w:color w:val="231F20"/>
            <w:spacing w:val="2"/>
            <w:w w:val="103"/>
            <w:sz w:val="16"/>
          </w:rPr>
          <w:t>m</w:t>
        </w:r>
        <w:r>
          <w:rPr>
            <w:color w:val="231F20"/>
            <w:spacing w:val="-1"/>
            <w:w w:val="106"/>
            <w:sz w:val="16"/>
          </w:rPr>
          <w:t>a</w:t>
        </w:r>
        <w:r>
          <w:rPr>
            <w:color w:val="231F20"/>
            <w:spacing w:val="2"/>
            <w:w w:val="108"/>
            <w:sz w:val="16"/>
          </w:rPr>
          <w:t>o</w:t>
        </w:r>
        <w:r>
          <w:rPr>
            <w:color w:val="231F20"/>
            <w:spacing w:val="-2"/>
            <w:w w:val="58"/>
            <w:sz w:val="16"/>
          </w:rPr>
          <w:t>/</w:t>
        </w:r>
        <w:r>
          <w:rPr>
            <w:color w:val="231F20"/>
            <w:spacing w:val="1"/>
            <w:w w:val="93"/>
            <w:sz w:val="16"/>
          </w:rPr>
          <w:t>s</w:t>
        </w:r>
        <w:r>
          <w:rPr>
            <w:color w:val="231F20"/>
            <w:w w:val="94"/>
            <w:sz w:val="16"/>
          </w:rPr>
          <w:t>e</w:t>
        </w:r>
        <w:r>
          <w:rPr>
            <w:color w:val="231F20"/>
            <w:w w:val="106"/>
            <w:sz w:val="16"/>
          </w:rPr>
          <w:t>l</w:t>
        </w:r>
        <w:r>
          <w:rPr>
            <w:color w:val="231F20"/>
            <w:spacing w:val="2"/>
            <w:w w:val="94"/>
            <w:sz w:val="16"/>
          </w:rPr>
          <w:t>e</w:t>
        </w:r>
        <w:r>
          <w:rPr>
            <w:color w:val="231F20"/>
            <w:spacing w:val="3"/>
            <w:w w:val="104"/>
            <w:sz w:val="16"/>
          </w:rPr>
          <w:t>c</w:t>
        </w:r>
        <w:r>
          <w:rPr>
            <w:color w:val="231F20"/>
            <w:spacing w:val="1"/>
            <w:w w:val="102"/>
            <w:sz w:val="16"/>
          </w:rPr>
          <w:t>t</w:t>
        </w:r>
        <w:r>
          <w:rPr>
            <w:color w:val="231F20"/>
            <w:spacing w:val="1"/>
            <w:w w:val="94"/>
            <w:sz w:val="16"/>
          </w:rPr>
          <w:t>e</w:t>
        </w:r>
        <w:r>
          <w:rPr>
            <w:color w:val="231F20"/>
            <w:spacing w:val="1"/>
            <w:w w:val="103"/>
            <w:sz w:val="16"/>
          </w:rPr>
          <w:t>d</w:t>
        </w:r>
        <w:r>
          <w:rPr>
            <w:color w:val="231F20"/>
            <w:w w:val="104"/>
            <w:sz w:val="16"/>
          </w:rPr>
          <w:t>-</w:t>
        </w:r>
        <w:r>
          <w:rPr>
            <w:color w:val="231F20"/>
            <w:spacing w:val="-1"/>
            <w:w w:val="104"/>
            <w:sz w:val="16"/>
          </w:rPr>
          <w:t>w</w:t>
        </w:r>
        <w:r>
          <w:rPr>
            <w:color w:val="231F20"/>
            <w:w w:val="108"/>
            <w:sz w:val="16"/>
          </w:rPr>
          <w:t>o</w:t>
        </w:r>
        <w:r>
          <w:rPr>
            <w:color w:val="231F20"/>
            <w:w w:val="104"/>
            <w:sz w:val="16"/>
          </w:rPr>
          <w:t>r</w:t>
        </w:r>
        <w:r>
          <w:rPr>
            <w:color w:val="231F20"/>
            <w:spacing w:val="2"/>
            <w:w w:val="104"/>
            <w:sz w:val="16"/>
          </w:rPr>
          <w:t>k</w:t>
        </w:r>
        <w:r>
          <w:rPr>
            <w:color w:val="231F20"/>
            <w:spacing w:val="5"/>
            <w:w w:val="93"/>
            <w:sz w:val="16"/>
          </w:rPr>
          <w:t>s</w:t>
        </w:r>
        <w:r>
          <w:rPr>
            <w:color w:val="231F20"/>
            <w:spacing w:val="1"/>
            <w:w w:val="58"/>
            <w:sz w:val="16"/>
          </w:rPr>
          <w:t>/</w:t>
        </w:r>
        <w:r>
          <w:rPr>
            <w:color w:val="231F20"/>
            <w:spacing w:val="-2"/>
            <w:w w:val="102"/>
            <w:sz w:val="16"/>
          </w:rPr>
          <w:t>v</w:t>
        </w:r>
        <w:r>
          <w:rPr>
            <w:color w:val="231F20"/>
            <w:w w:val="108"/>
            <w:sz w:val="16"/>
          </w:rPr>
          <w:t>o</w:t>
        </w:r>
        <w:r>
          <w:rPr>
            <w:color w:val="231F20"/>
            <w:spacing w:val="-2"/>
            <w:w w:val="106"/>
            <w:sz w:val="16"/>
          </w:rPr>
          <w:t>l</w:t>
        </w:r>
        <w:r>
          <w:rPr>
            <w:color w:val="231F20"/>
            <w:spacing w:val="5"/>
            <w:w w:val="104"/>
            <w:sz w:val="16"/>
          </w:rPr>
          <w:t>u</w:t>
        </w:r>
        <w:r>
          <w:rPr>
            <w:color w:val="231F20"/>
            <w:w w:val="103"/>
            <w:sz w:val="16"/>
          </w:rPr>
          <w:t>m</w:t>
        </w:r>
        <w:r>
          <w:rPr>
            <w:color w:val="231F20"/>
            <w:spacing w:val="3"/>
            <w:w w:val="94"/>
            <w:sz w:val="16"/>
          </w:rPr>
          <w:t>e</w:t>
        </w:r>
        <w:r>
          <w:rPr>
            <w:color w:val="231F20"/>
            <w:spacing w:val="-8"/>
            <w:w w:val="104"/>
            <w:sz w:val="16"/>
          </w:rPr>
          <w:t>-</w:t>
        </w:r>
        <w:r>
          <w:rPr>
            <w:color w:val="231F20"/>
            <w:spacing w:val="3"/>
            <w:w w:val="104"/>
            <w:sz w:val="16"/>
          </w:rPr>
          <w:t>1</w:t>
        </w:r>
        <w:r>
          <w:rPr>
            <w:color w:val="231F20"/>
            <w:w w:val="58"/>
            <w:sz w:val="16"/>
          </w:rPr>
          <w:t>/</w:t>
        </w:r>
      </w:hyperlink>
      <w:r>
        <w:rPr>
          <w:color w:val="231F20"/>
          <w:w w:val="58"/>
          <w:sz w:val="16"/>
        </w:rPr>
        <w:t xml:space="preserve"> </w:t>
      </w:r>
      <w:r>
        <w:rPr>
          <w:color w:val="231F20"/>
          <w:sz w:val="16"/>
        </w:rPr>
        <w:t>mswv1_1.htm.</w:t>
      </w:r>
    </w:p>
    <w:p w14:paraId="2C190082" w14:textId="77777777" w:rsidR="002653E8" w:rsidRDefault="002653E8">
      <w:pPr>
        <w:spacing w:line="254" w:lineRule="auto"/>
        <w:rPr>
          <w:sz w:val="16"/>
        </w:rPr>
        <w:sectPr w:rsidR="002653E8">
          <w:footerReference w:type="even" r:id="rId88"/>
          <w:footerReference w:type="default" r:id="rId89"/>
          <w:pgSz w:w="8640" w:h="12960"/>
          <w:pgMar w:top="1060" w:right="0" w:bottom="1040" w:left="0" w:header="0" w:footer="850" w:gutter="0"/>
          <w:pgNumType w:start="94"/>
          <w:cols w:space="720"/>
        </w:sectPr>
      </w:pPr>
    </w:p>
    <w:p w14:paraId="56355105" w14:textId="77777777" w:rsidR="002653E8" w:rsidRPr="00513BF7" w:rsidRDefault="003115E3">
      <w:pPr>
        <w:pStyle w:val="a3"/>
        <w:spacing w:before="86" w:line="264" w:lineRule="auto"/>
        <w:ind w:left="1327" w:right="1146"/>
        <w:jc w:val="both"/>
        <w:rPr>
          <w:rFonts w:ascii="宋体" w:eastAsia="宋体" w:hAnsi="宋体" w:cs="宋体"/>
        </w:rPr>
      </w:pPr>
      <w:r>
        <w:rPr>
          <w:color w:val="231F20"/>
        </w:rPr>
        <w:lastRenderedPageBreak/>
        <w:t xml:space="preserve">how to break the political, military, and propaganda power that always stands firmly in the </w:t>
      </w:r>
      <w:r>
        <w:rPr>
          <w:color w:val="231F20"/>
          <w:spacing w:val="-2"/>
        </w:rPr>
        <w:t xml:space="preserve">way </w:t>
      </w:r>
      <w:r>
        <w:rPr>
          <w:color w:val="231F20"/>
        </w:rPr>
        <w:t xml:space="preserve">of these demands when they are put forward  in mass class struggles. </w:t>
      </w:r>
      <w:r>
        <w:rPr>
          <w:color w:val="231F20"/>
          <w:spacing w:val="1"/>
        </w:rPr>
        <w:t xml:space="preserve">If </w:t>
      </w:r>
      <w:r>
        <w:rPr>
          <w:color w:val="231F20"/>
        </w:rPr>
        <w:t>these demands stay the same, one can only call them economistic shit, because they are not worth the revolution</w:t>
      </w:r>
      <w:r>
        <w:rPr>
          <w:color w:val="231F20"/>
          <w:spacing w:val="1"/>
        </w:rPr>
        <w:t xml:space="preserve">ary </w:t>
      </w:r>
      <w:r>
        <w:rPr>
          <w:color w:val="231F20"/>
        </w:rPr>
        <w:t xml:space="preserve">energy wasted in fighting for them, and they </w:t>
      </w:r>
      <w:r>
        <w:rPr>
          <w:color w:val="231F20"/>
          <w:spacing w:val="-4"/>
        </w:rPr>
        <w:t xml:space="preserve">won’t  </w:t>
      </w:r>
      <w:r>
        <w:rPr>
          <w:color w:val="231F20"/>
        </w:rPr>
        <w:t xml:space="preserve">lead to victory    if “victory means to accept the principle that life is not the most precious thing for a revolutionary” </w:t>
      </w:r>
      <w:r>
        <w:rPr>
          <w:color w:val="231F20"/>
          <w:spacing w:val="-3"/>
        </w:rPr>
        <w:t>(Debray</w:t>
      </w:r>
      <w:r>
        <w:rPr>
          <w:color w:val="231F20"/>
          <w:spacing w:val="-3"/>
          <w:position w:val="7"/>
          <w:sz w:val="11"/>
        </w:rPr>
        <w:t>3</w:t>
      </w:r>
      <w:r>
        <w:rPr>
          <w:color w:val="231F20"/>
          <w:spacing w:val="-3"/>
        </w:rPr>
        <w:t xml:space="preserve">). Trade </w:t>
      </w:r>
      <w:r>
        <w:rPr>
          <w:color w:val="231F20"/>
        </w:rPr>
        <w:t>unions intervene with demands like these—but “the trade union politics of the working class are bourgeois working class politics” (Lenin). That’s not a revolution</w:t>
      </w:r>
      <w:r>
        <w:rPr>
          <w:color w:val="231F20"/>
          <w:spacing w:val="1"/>
        </w:rPr>
        <w:t xml:space="preserve">ary </w:t>
      </w:r>
      <w:r>
        <w:rPr>
          <w:color w:val="231F20"/>
        </w:rPr>
        <w:t>method of</w:t>
      </w:r>
      <w:r>
        <w:rPr>
          <w:color w:val="231F20"/>
          <w:spacing w:val="30"/>
        </w:rPr>
        <w:t xml:space="preserve"> </w:t>
      </w:r>
      <w:r>
        <w:rPr>
          <w:color w:val="231F20"/>
        </w:rPr>
        <w:t>intervention.</w:t>
      </w:r>
    </w:p>
    <w:p w14:paraId="567205D5" w14:textId="77777777" w:rsidR="002653E8" w:rsidRDefault="003115E3">
      <w:pPr>
        <w:pStyle w:val="a3"/>
        <w:spacing w:line="264" w:lineRule="auto"/>
        <w:ind w:left="1327" w:right="1145" w:firstLine="210"/>
        <w:jc w:val="both"/>
      </w:pPr>
      <w:r>
        <w:rPr>
          <w:color w:val="231F20"/>
        </w:rPr>
        <w:t xml:space="preserve">The proletarian organizations failed to pose the question of armed struggle as a response to the Emergency Laws, the army, the </w:t>
      </w:r>
      <w:r>
        <w:rPr>
          <w:color w:val="231F20"/>
          <w:spacing w:val="2"/>
        </w:rPr>
        <w:t xml:space="preserve">BGS, </w:t>
      </w:r>
      <w:r>
        <w:rPr>
          <w:color w:val="231F20"/>
        </w:rPr>
        <w:t xml:space="preserve">the police, or the Springer Press. This shows that the proletarian organizations differ in their opportunism from the </w:t>
      </w:r>
      <w:r>
        <w:rPr>
          <w:color w:val="231F20"/>
          <w:spacing w:val="1"/>
        </w:rPr>
        <w:t xml:space="preserve">DKP </w:t>
      </w:r>
      <w:r>
        <w:rPr>
          <w:color w:val="231F20"/>
        </w:rPr>
        <w:t>only in that they are  even</w:t>
      </w:r>
      <w:r>
        <w:rPr>
          <w:color w:val="231F20"/>
          <w:spacing w:val="-6"/>
        </w:rPr>
        <w:t xml:space="preserve"> </w:t>
      </w:r>
      <w:r>
        <w:rPr>
          <w:color w:val="231F20"/>
        </w:rPr>
        <w:t>less</w:t>
      </w:r>
      <w:r>
        <w:rPr>
          <w:color w:val="231F20"/>
          <w:spacing w:val="-6"/>
        </w:rPr>
        <w:t xml:space="preserve"> </w:t>
      </w:r>
      <w:r>
        <w:rPr>
          <w:color w:val="231F20"/>
        </w:rPr>
        <w:t>rooted</w:t>
      </w:r>
      <w:r>
        <w:rPr>
          <w:color w:val="231F20"/>
          <w:spacing w:val="-6"/>
        </w:rPr>
        <w:t xml:space="preserve"> </w:t>
      </w:r>
      <w:r>
        <w:rPr>
          <w:color w:val="231F20"/>
        </w:rPr>
        <w:t>in</w:t>
      </w:r>
      <w:r>
        <w:rPr>
          <w:color w:val="231F20"/>
          <w:spacing w:val="-6"/>
        </w:rPr>
        <w:t xml:space="preserve"> </w:t>
      </w:r>
      <w:r>
        <w:rPr>
          <w:color w:val="231F20"/>
        </w:rPr>
        <w:t>the</w:t>
      </w:r>
      <w:r>
        <w:rPr>
          <w:color w:val="231F20"/>
          <w:spacing w:val="-6"/>
        </w:rPr>
        <w:t xml:space="preserve"> </w:t>
      </w:r>
      <w:r>
        <w:rPr>
          <w:color w:val="231F20"/>
        </w:rPr>
        <w:t>masses,</w:t>
      </w:r>
      <w:r>
        <w:rPr>
          <w:color w:val="231F20"/>
          <w:spacing w:val="-6"/>
        </w:rPr>
        <w:t xml:space="preserve"> </w:t>
      </w:r>
      <w:r>
        <w:rPr>
          <w:color w:val="231F20"/>
        </w:rPr>
        <w:t>even</w:t>
      </w:r>
      <w:r>
        <w:rPr>
          <w:color w:val="231F20"/>
          <w:spacing w:val="-6"/>
        </w:rPr>
        <w:t xml:space="preserve"> </w:t>
      </w:r>
      <w:r>
        <w:rPr>
          <w:color w:val="231F20"/>
        </w:rPr>
        <w:t>if</w:t>
      </w:r>
      <w:r>
        <w:rPr>
          <w:color w:val="231F20"/>
          <w:spacing w:val="-6"/>
        </w:rPr>
        <w:t xml:space="preserve"> </w:t>
      </w:r>
      <w:r>
        <w:rPr>
          <w:color w:val="231F20"/>
        </w:rPr>
        <w:t>they</w:t>
      </w:r>
      <w:r>
        <w:rPr>
          <w:color w:val="231F20"/>
          <w:spacing w:val="-6"/>
        </w:rPr>
        <w:t xml:space="preserve"> </w:t>
      </w:r>
      <w:r>
        <w:rPr>
          <w:color w:val="231F20"/>
        </w:rPr>
        <w:t>are</w:t>
      </w:r>
      <w:r>
        <w:rPr>
          <w:color w:val="231F20"/>
          <w:spacing w:val="-6"/>
        </w:rPr>
        <w:t xml:space="preserve"> </w:t>
      </w:r>
      <w:r>
        <w:rPr>
          <w:color w:val="231F20"/>
        </w:rPr>
        <w:t>more</w:t>
      </w:r>
      <w:r>
        <w:rPr>
          <w:color w:val="231F20"/>
          <w:spacing w:val="-6"/>
        </w:rPr>
        <w:t xml:space="preserve"> </w:t>
      </w:r>
      <w:r>
        <w:rPr>
          <w:color w:val="231F20"/>
        </w:rPr>
        <w:t>verbally</w:t>
      </w:r>
      <w:r>
        <w:rPr>
          <w:color w:val="231F20"/>
          <w:spacing w:val="-6"/>
        </w:rPr>
        <w:t xml:space="preserve"> </w:t>
      </w:r>
      <w:r>
        <w:rPr>
          <w:color w:val="231F20"/>
        </w:rPr>
        <w:t>radical</w:t>
      </w:r>
      <w:r>
        <w:rPr>
          <w:color w:val="231F20"/>
          <w:spacing w:val="-6"/>
        </w:rPr>
        <w:t xml:space="preserve"> </w:t>
      </w:r>
      <w:r>
        <w:rPr>
          <w:color w:val="231F20"/>
        </w:rPr>
        <w:t xml:space="preserve">and theoretically advanced. </w:t>
      </w:r>
      <w:r>
        <w:rPr>
          <w:color w:val="231F20"/>
          <w:spacing w:val="1"/>
        </w:rPr>
        <w:t xml:space="preserve">In </w:t>
      </w:r>
      <w:r>
        <w:rPr>
          <w:color w:val="231F20"/>
        </w:rPr>
        <w:t>practice, they function at the level of civil rights and are concerned with gaining popularity at any price.</w:t>
      </w:r>
      <w:r>
        <w:rPr>
          <w:color w:val="231F20"/>
          <w:spacing w:val="15"/>
        </w:rPr>
        <w:t xml:space="preserve"> </w:t>
      </w:r>
      <w:r>
        <w:rPr>
          <w:color w:val="231F20"/>
        </w:rPr>
        <w:t xml:space="preserve">They support the lies of the bourgeoisie by supporting the idea that with    this state it is still possible to correct social problems by parliamen </w:t>
      </w:r>
      <w:r>
        <w:rPr>
          <w:color w:val="231F20"/>
          <w:spacing w:val="1"/>
        </w:rPr>
        <w:t xml:space="preserve">tary </w:t>
      </w:r>
      <w:r>
        <w:rPr>
          <w:color w:val="231F20"/>
        </w:rPr>
        <w:t xml:space="preserve">means. They encourage the proletariat to engage in struggles that have no chance of success, given the state’s capacity for violence and its barbaric ways. “These Marxist-Leninist factions or parties,” Debray writes of the communists in Latin America, </w:t>
      </w:r>
      <w:r>
        <w:rPr>
          <w:color w:val="231F20"/>
          <w:spacing w:val="-3"/>
        </w:rPr>
        <w:t xml:space="preserve">“move </w:t>
      </w:r>
      <w:r>
        <w:rPr>
          <w:color w:val="231F20"/>
        </w:rPr>
        <w:t>within the political environment as if they were controlled by the bourgeoisie. Rather than challenging</w:t>
      </w:r>
      <w:r>
        <w:rPr>
          <w:color w:val="231F20"/>
          <w:spacing w:val="13"/>
        </w:rPr>
        <w:t xml:space="preserve"> </w:t>
      </w:r>
      <w:r>
        <w:rPr>
          <w:color w:val="231F20"/>
        </w:rPr>
        <w:t>the</w:t>
      </w:r>
      <w:r>
        <w:rPr>
          <w:color w:val="231F20"/>
          <w:spacing w:val="13"/>
        </w:rPr>
        <w:t xml:space="preserve"> </w:t>
      </w:r>
      <w:r>
        <w:rPr>
          <w:color w:val="231F20"/>
        </w:rPr>
        <w:t>political</w:t>
      </w:r>
      <w:r>
        <w:rPr>
          <w:color w:val="231F20"/>
          <w:spacing w:val="13"/>
        </w:rPr>
        <w:t xml:space="preserve"> </w:t>
      </w:r>
      <w:r>
        <w:rPr>
          <w:color w:val="231F20"/>
        </w:rPr>
        <w:t>status</w:t>
      </w:r>
      <w:r>
        <w:rPr>
          <w:color w:val="231F20"/>
          <w:spacing w:val="13"/>
        </w:rPr>
        <w:t xml:space="preserve"> </w:t>
      </w:r>
      <w:r>
        <w:rPr>
          <w:color w:val="231F20"/>
        </w:rPr>
        <w:t>quo,</w:t>
      </w:r>
      <w:r>
        <w:rPr>
          <w:color w:val="231F20"/>
          <w:spacing w:val="13"/>
        </w:rPr>
        <w:t xml:space="preserve"> </w:t>
      </w:r>
      <w:r>
        <w:rPr>
          <w:color w:val="231F20"/>
        </w:rPr>
        <w:t>they</w:t>
      </w:r>
      <w:r>
        <w:rPr>
          <w:color w:val="231F20"/>
          <w:spacing w:val="13"/>
        </w:rPr>
        <w:t xml:space="preserve"> </w:t>
      </w:r>
      <w:r>
        <w:rPr>
          <w:color w:val="231F20"/>
        </w:rPr>
        <w:t>reinforce</w:t>
      </w:r>
      <w:r>
        <w:rPr>
          <w:color w:val="231F20"/>
          <w:spacing w:val="13"/>
        </w:rPr>
        <w:t xml:space="preserve"> </w:t>
      </w:r>
      <w:r>
        <w:rPr>
          <w:color w:val="231F20"/>
          <w:spacing w:val="-5"/>
        </w:rPr>
        <w:t>it….”</w:t>
      </w:r>
    </w:p>
    <w:p w14:paraId="6F568E20" w14:textId="77777777" w:rsidR="002653E8" w:rsidRDefault="003115E3">
      <w:pPr>
        <w:pStyle w:val="a3"/>
        <w:spacing w:line="218" w:lineRule="exact"/>
        <w:ind w:left="1537"/>
      </w:pPr>
      <w:r>
        <w:rPr>
          <w:color w:val="231F20"/>
        </w:rPr>
        <w:t>These organizations don’t offer any alternatives to the thousands of</w:t>
      </w:r>
    </w:p>
    <w:p w14:paraId="669741FB" w14:textId="77777777" w:rsidR="002653E8" w:rsidRDefault="003115E3">
      <w:pPr>
        <w:pStyle w:val="a3"/>
        <w:spacing w:before="12" w:line="264" w:lineRule="auto"/>
        <w:ind w:left="1327" w:right="1146"/>
        <w:jc w:val="both"/>
      </w:pPr>
      <w:r>
        <w:rPr>
          <w:color w:val="231F20"/>
        </w:rPr>
        <w:t>apprentices</w:t>
      </w:r>
      <w:r>
        <w:rPr>
          <w:color w:val="231F20"/>
          <w:spacing w:val="-4"/>
        </w:rPr>
        <w:t xml:space="preserve"> </w:t>
      </w:r>
      <w:r>
        <w:rPr>
          <w:color w:val="231F20"/>
        </w:rPr>
        <w:t>and</w:t>
      </w:r>
      <w:r>
        <w:rPr>
          <w:color w:val="231F20"/>
          <w:spacing w:val="-4"/>
        </w:rPr>
        <w:t xml:space="preserve"> </w:t>
      </w:r>
      <w:r>
        <w:rPr>
          <w:color w:val="231F20"/>
        </w:rPr>
        <w:t>young</w:t>
      </w:r>
      <w:r>
        <w:rPr>
          <w:color w:val="231F20"/>
          <w:spacing w:val="-4"/>
        </w:rPr>
        <w:t xml:space="preserve"> </w:t>
      </w:r>
      <w:r>
        <w:rPr>
          <w:color w:val="231F20"/>
        </w:rPr>
        <w:t>people</w:t>
      </w:r>
      <w:r>
        <w:rPr>
          <w:color w:val="231F20"/>
          <w:spacing w:val="-4"/>
        </w:rPr>
        <w:t xml:space="preserve"> </w:t>
      </w:r>
      <w:r>
        <w:rPr>
          <w:color w:val="231F20"/>
        </w:rPr>
        <w:t>who,</w:t>
      </w:r>
      <w:r>
        <w:rPr>
          <w:color w:val="231F20"/>
          <w:spacing w:val="-4"/>
        </w:rPr>
        <w:t xml:space="preserve"> </w:t>
      </w:r>
      <w:r>
        <w:rPr>
          <w:color w:val="231F20"/>
        </w:rPr>
        <w:t>as</w:t>
      </w:r>
      <w:r>
        <w:rPr>
          <w:color w:val="231F20"/>
          <w:spacing w:val="-4"/>
        </w:rPr>
        <w:t xml:space="preserve"> </w:t>
      </w:r>
      <w:r>
        <w:rPr>
          <w:color w:val="231F20"/>
        </w:rPr>
        <w:t>a</w:t>
      </w:r>
      <w:r>
        <w:rPr>
          <w:color w:val="231F20"/>
          <w:spacing w:val="-4"/>
        </w:rPr>
        <w:t xml:space="preserve"> </w:t>
      </w:r>
      <w:r>
        <w:rPr>
          <w:color w:val="231F20"/>
        </w:rPr>
        <w:t>result</w:t>
      </w:r>
      <w:r>
        <w:rPr>
          <w:color w:val="231F20"/>
          <w:spacing w:val="-4"/>
        </w:rPr>
        <w:t xml:space="preserve"> </w:t>
      </w:r>
      <w:r>
        <w:rPr>
          <w:color w:val="231F20"/>
        </w:rPr>
        <w:t>of</w:t>
      </w:r>
      <w:r>
        <w:rPr>
          <w:color w:val="231F20"/>
          <w:spacing w:val="-4"/>
        </w:rPr>
        <w:t xml:space="preserve"> </w:t>
      </w:r>
      <w:r>
        <w:rPr>
          <w:color w:val="231F20"/>
        </w:rPr>
        <w:t>being</w:t>
      </w:r>
      <w:r>
        <w:rPr>
          <w:color w:val="231F20"/>
          <w:spacing w:val="-4"/>
        </w:rPr>
        <w:t xml:space="preserve"> </w:t>
      </w:r>
      <w:r>
        <w:rPr>
          <w:color w:val="231F20"/>
        </w:rPr>
        <w:t>politicized</w:t>
      </w:r>
      <w:r>
        <w:rPr>
          <w:color w:val="231F20"/>
          <w:spacing w:val="-4"/>
        </w:rPr>
        <w:t xml:space="preserve"> </w:t>
      </w:r>
      <w:r>
        <w:rPr>
          <w:color w:val="231F20"/>
        </w:rPr>
        <w:t>by</w:t>
      </w:r>
      <w:r>
        <w:rPr>
          <w:color w:val="231F20"/>
          <w:spacing w:val="-4"/>
        </w:rPr>
        <w:t xml:space="preserve"> </w:t>
      </w:r>
      <w:r>
        <w:rPr>
          <w:color w:val="231F20"/>
        </w:rPr>
        <w:t>the student movement, became determined to put an end to exploitation in their workplaces. They simply advise them to adapt to capitalist exploitation. Concerning youth crime, when it comes down to it they share   the position of prison wardens. Regarding the comrades in prison, they share the point of view of the judges. And regarding the underground, they</w:t>
      </w:r>
      <w:r>
        <w:rPr>
          <w:color w:val="231F20"/>
          <w:spacing w:val="10"/>
        </w:rPr>
        <w:t xml:space="preserve"> </w:t>
      </w:r>
      <w:r>
        <w:rPr>
          <w:color w:val="231F20"/>
        </w:rPr>
        <w:t>share</w:t>
      </w:r>
      <w:r>
        <w:rPr>
          <w:color w:val="231F20"/>
          <w:spacing w:val="10"/>
        </w:rPr>
        <w:t xml:space="preserve"> </w:t>
      </w:r>
      <w:r>
        <w:rPr>
          <w:color w:val="231F20"/>
        </w:rPr>
        <w:t>the</w:t>
      </w:r>
      <w:r>
        <w:rPr>
          <w:color w:val="231F20"/>
          <w:spacing w:val="10"/>
        </w:rPr>
        <w:t xml:space="preserve"> </w:t>
      </w:r>
      <w:r>
        <w:rPr>
          <w:color w:val="231F20"/>
        </w:rPr>
        <w:t>point</w:t>
      </w:r>
      <w:r>
        <w:rPr>
          <w:color w:val="231F20"/>
          <w:spacing w:val="10"/>
        </w:rPr>
        <w:t xml:space="preserve"> </w:t>
      </w:r>
      <w:r>
        <w:rPr>
          <w:color w:val="231F20"/>
        </w:rPr>
        <w:t>of</w:t>
      </w:r>
      <w:r>
        <w:rPr>
          <w:color w:val="231F20"/>
          <w:spacing w:val="10"/>
        </w:rPr>
        <w:t xml:space="preserve"> </w:t>
      </w:r>
      <w:r>
        <w:rPr>
          <w:color w:val="231F20"/>
        </w:rPr>
        <w:t>view</w:t>
      </w:r>
      <w:r>
        <w:rPr>
          <w:color w:val="231F20"/>
          <w:spacing w:val="10"/>
        </w:rPr>
        <w:t xml:space="preserve"> </w:t>
      </w:r>
      <w:r>
        <w:rPr>
          <w:color w:val="231F20"/>
        </w:rPr>
        <w:t>of</w:t>
      </w:r>
      <w:r>
        <w:rPr>
          <w:color w:val="231F20"/>
          <w:spacing w:val="10"/>
        </w:rPr>
        <w:t xml:space="preserve"> </w:t>
      </w:r>
      <w:r>
        <w:rPr>
          <w:color w:val="231F20"/>
        </w:rPr>
        <w:t>social</w:t>
      </w:r>
      <w:r>
        <w:rPr>
          <w:color w:val="231F20"/>
          <w:spacing w:val="10"/>
        </w:rPr>
        <w:t xml:space="preserve"> </w:t>
      </w:r>
      <w:r>
        <w:rPr>
          <w:color w:val="231F20"/>
        </w:rPr>
        <w:t>workers.</w:t>
      </w:r>
    </w:p>
    <w:p w14:paraId="53CB2ACD" w14:textId="77777777" w:rsidR="002653E8" w:rsidRDefault="003115E3">
      <w:pPr>
        <w:pStyle w:val="a3"/>
        <w:spacing w:line="264" w:lineRule="auto"/>
        <w:ind w:left="1327" w:right="1146" w:firstLine="210"/>
        <w:jc w:val="both"/>
      </w:pPr>
      <w:r>
        <w:rPr>
          <w:color w:val="231F20"/>
        </w:rPr>
        <w:t xml:space="preserve">Without political practice, reading </w:t>
      </w:r>
      <w:r>
        <w:rPr>
          <w:i/>
          <w:color w:val="231F20"/>
        </w:rPr>
        <w:t xml:space="preserve">Capital </w:t>
      </w:r>
      <w:r>
        <w:rPr>
          <w:color w:val="231F20"/>
        </w:rPr>
        <w:t>is nothing more than bourgeois study. Without political practice, political programs are just so much twaddle. Without political practice, proletarian internationalism</w:t>
      </w:r>
    </w:p>
    <w:p w14:paraId="3435D48A" w14:textId="77777777" w:rsidR="002653E8" w:rsidRDefault="002653E8">
      <w:pPr>
        <w:pStyle w:val="a3"/>
        <w:spacing w:before="8"/>
        <w:rPr>
          <w:sz w:val="26"/>
        </w:rPr>
      </w:pPr>
    </w:p>
    <w:p w14:paraId="10277259" w14:textId="77777777" w:rsidR="002653E8" w:rsidRDefault="003115E3">
      <w:pPr>
        <w:pStyle w:val="a4"/>
        <w:numPr>
          <w:ilvl w:val="0"/>
          <w:numId w:val="162"/>
        </w:numPr>
        <w:tabs>
          <w:tab w:val="left" w:pos="1467"/>
        </w:tabs>
        <w:spacing w:before="105" w:line="254" w:lineRule="auto"/>
        <w:ind w:left="1327" w:right="1353" w:firstLine="0"/>
        <w:jc w:val="left"/>
        <w:rPr>
          <w:sz w:val="16"/>
        </w:rPr>
      </w:pPr>
      <w:r>
        <w:rPr>
          <w:color w:val="231F20"/>
          <w:w w:val="105"/>
          <w:sz w:val="16"/>
        </w:rPr>
        <w:t xml:space="preserve">Regis Debray was a French </w:t>
      </w:r>
      <w:r>
        <w:rPr>
          <w:color w:val="231F20"/>
          <w:spacing w:val="1"/>
          <w:w w:val="105"/>
          <w:sz w:val="16"/>
        </w:rPr>
        <w:t xml:space="preserve">Marxist </w:t>
      </w:r>
      <w:r>
        <w:rPr>
          <w:color w:val="231F20"/>
          <w:w w:val="105"/>
          <w:sz w:val="16"/>
        </w:rPr>
        <w:t xml:space="preserve">intellectual  and  a  proponent  of  foco theory, the theory that a small group of guerillas could act as an inspiration to </w:t>
      </w:r>
      <w:r>
        <w:rPr>
          <w:color w:val="231F20"/>
          <w:w w:val="105"/>
          <w:sz w:val="16"/>
        </w:rPr>
        <w:lastRenderedPageBreak/>
        <w:t>revolutionary</w:t>
      </w:r>
      <w:r>
        <w:rPr>
          <w:color w:val="231F20"/>
          <w:spacing w:val="15"/>
          <w:w w:val="105"/>
          <w:sz w:val="16"/>
        </w:rPr>
        <w:t xml:space="preserve"> </w:t>
      </w:r>
      <w:r>
        <w:rPr>
          <w:color w:val="231F20"/>
          <w:w w:val="105"/>
          <w:sz w:val="16"/>
        </w:rPr>
        <w:t>activity.</w:t>
      </w:r>
      <w:r>
        <w:rPr>
          <w:color w:val="231F20"/>
          <w:spacing w:val="15"/>
          <w:w w:val="105"/>
          <w:sz w:val="16"/>
        </w:rPr>
        <w:t xml:space="preserve"> </w:t>
      </w:r>
      <w:r>
        <w:rPr>
          <w:color w:val="231F20"/>
          <w:w w:val="105"/>
          <w:sz w:val="16"/>
        </w:rPr>
        <w:t>He</w:t>
      </w:r>
      <w:r>
        <w:rPr>
          <w:color w:val="231F20"/>
          <w:spacing w:val="15"/>
          <w:w w:val="105"/>
          <w:sz w:val="16"/>
        </w:rPr>
        <w:t xml:space="preserve"> </w:t>
      </w:r>
      <w:r>
        <w:rPr>
          <w:color w:val="231F20"/>
          <w:w w:val="105"/>
          <w:sz w:val="16"/>
        </w:rPr>
        <w:t>joined</w:t>
      </w:r>
      <w:r>
        <w:rPr>
          <w:color w:val="231F20"/>
          <w:spacing w:val="15"/>
          <w:w w:val="105"/>
          <w:sz w:val="16"/>
        </w:rPr>
        <w:t xml:space="preserve"> </w:t>
      </w:r>
      <w:r>
        <w:rPr>
          <w:color w:val="231F20"/>
          <w:w w:val="105"/>
          <w:sz w:val="16"/>
        </w:rPr>
        <w:t>Che</w:t>
      </w:r>
      <w:r>
        <w:rPr>
          <w:color w:val="231F20"/>
          <w:spacing w:val="15"/>
          <w:w w:val="105"/>
          <w:sz w:val="16"/>
        </w:rPr>
        <w:t xml:space="preserve"> </w:t>
      </w:r>
      <w:r>
        <w:rPr>
          <w:color w:val="231F20"/>
          <w:w w:val="105"/>
          <w:sz w:val="16"/>
        </w:rPr>
        <w:t>Guevara</w:t>
      </w:r>
      <w:r>
        <w:rPr>
          <w:color w:val="231F20"/>
          <w:spacing w:val="15"/>
          <w:w w:val="105"/>
          <w:sz w:val="16"/>
        </w:rPr>
        <w:t xml:space="preserve"> </w:t>
      </w:r>
      <w:r>
        <w:rPr>
          <w:color w:val="231F20"/>
          <w:w w:val="105"/>
          <w:sz w:val="16"/>
        </w:rPr>
        <w:t>on</w:t>
      </w:r>
      <w:r>
        <w:rPr>
          <w:color w:val="231F20"/>
          <w:spacing w:val="15"/>
          <w:w w:val="105"/>
          <w:sz w:val="16"/>
        </w:rPr>
        <w:t xml:space="preserve"> </w:t>
      </w:r>
      <w:r>
        <w:rPr>
          <w:color w:val="231F20"/>
          <w:w w:val="105"/>
          <w:sz w:val="16"/>
        </w:rPr>
        <w:t>his</w:t>
      </w:r>
      <w:r>
        <w:rPr>
          <w:color w:val="231F20"/>
          <w:spacing w:val="15"/>
          <w:w w:val="105"/>
          <w:sz w:val="16"/>
        </w:rPr>
        <w:t xml:space="preserve"> </w:t>
      </w:r>
      <w:r>
        <w:rPr>
          <w:color w:val="231F20"/>
          <w:w w:val="105"/>
          <w:sz w:val="16"/>
        </w:rPr>
        <w:t>ill-fated</w:t>
      </w:r>
      <w:r>
        <w:rPr>
          <w:color w:val="231F20"/>
          <w:spacing w:val="15"/>
          <w:w w:val="105"/>
          <w:sz w:val="16"/>
        </w:rPr>
        <w:t xml:space="preserve"> </w:t>
      </w:r>
      <w:r>
        <w:rPr>
          <w:color w:val="231F20"/>
          <w:w w:val="105"/>
          <w:sz w:val="16"/>
        </w:rPr>
        <w:t>Bolivian</w:t>
      </w:r>
      <w:r>
        <w:rPr>
          <w:color w:val="231F20"/>
          <w:spacing w:val="15"/>
          <w:w w:val="105"/>
          <w:sz w:val="16"/>
        </w:rPr>
        <w:t xml:space="preserve"> </w:t>
      </w:r>
      <w:r>
        <w:rPr>
          <w:color w:val="231F20"/>
          <w:w w:val="105"/>
          <w:sz w:val="16"/>
        </w:rPr>
        <w:t>adventure.</w:t>
      </w:r>
    </w:p>
    <w:p w14:paraId="545A8D5B" w14:textId="77777777" w:rsidR="002653E8" w:rsidRDefault="002653E8">
      <w:pPr>
        <w:spacing w:line="254" w:lineRule="auto"/>
        <w:rPr>
          <w:sz w:val="16"/>
        </w:rPr>
        <w:sectPr w:rsidR="002653E8">
          <w:pgSz w:w="8640" w:h="12960"/>
          <w:pgMar w:top="1060" w:right="0" w:bottom="1460" w:left="0" w:header="0" w:footer="1270" w:gutter="0"/>
          <w:cols w:space="720"/>
        </w:sectPr>
      </w:pPr>
    </w:p>
    <w:p w14:paraId="30EDD1C6" w14:textId="77777777" w:rsidR="002653E8" w:rsidRDefault="003115E3">
      <w:pPr>
        <w:pStyle w:val="a3"/>
        <w:spacing w:before="86" w:line="264" w:lineRule="auto"/>
        <w:ind w:left="1147" w:right="1328"/>
        <w:jc w:val="both"/>
      </w:pPr>
      <w:r>
        <w:rPr>
          <w:color w:val="231F20"/>
        </w:rPr>
        <w:lastRenderedPageBreak/>
        <w:t>is only hot air. Adopting a proletarian position in theory implies putting it into practice.</w:t>
      </w:r>
    </w:p>
    <w:p w14:paraId="2E955A1E" w14:textId="77777777" w:rsidR="002653E8" w:rsidRDefault="003115E3">
      <w:pPr>
        <w:pStyle w:val="a3"/>
        <w:spacing w:line="264" w:lineRule="auto"/>
        <w:ind w:left="1147" w:right="1326" w:firstLine="210"/>
        <w:jc w:val="both"/>
      </w:pPr>
      <w:r>
        <w:rPr>
          <w:color w:val="231F20"/>
        </w:rPr>
        <w:t>The Red Army Faction asserts the primacy of practice. Whether it is right to organize armed resistance now, depends on whether it is possible, and whether it is possible can only be determined in practice.</w:t>
      </w:r>
    </w:p>
    <w:p w14:paraId="32AF0BCA" w14:textId="77777777" w:rsidR="002653E8" w:rsidRDefault="002653E8">
      <w:pPr>
        <w:pStyle w:val="a3"/>
        <w:spacing w:before="10"/>
        <w:rPr>
          <w:sz w:val="19"/>
        </w:rPr>
      </w:pPr>
    </w:p>
    <w:p w14:paraId="00640487" w14:textId="77777777" w:rsidR="002653E8" w:rsidRDefault="003115E3">
      <w:pPr>
        <w:numPr>
          <w:ilvl w:val="0"/>
          <w:numId w:val="164"/>
        </w:numPr>
        <w:tabs>
          <w:tab w:val="left" w:pos="1468"/>
        </w:tabs>
        <w:ind w:left="1467" w:hanging="320"/>
        <w:jc w:val="left"/>
      </w:pPr>
      <w:r>
        <w:rPr>
          <w:color w:val="231F20"/>
          <w:spacing w:val="16"/>
          <w:w w:val="125"/>
        </w:rPr>
        <w:t xml:space="preserve">the </w:t>
      </w:r>
      <w:r>
        <w:rPr>
          <w:color w:val="231F20"/>
          <w:spacing w:val="20"/>
          <w:w w:val="125"/>
        </w:rPr>
        <w:t>urban</w:t>
      </w:r>
      <w:r>
        <w:rPr>
          <w:color w:val="231F20"/>
          <w:spacing w:val="27"/>
          <w:w w:val="125"/>
        </w:rPr>
        <w:t xml:space="preserve"> </w:t>
      </w:r>
      <w:r>
        <w:rPr>
          <w:color w:val="231F20"/>
          <w:spacing w:val="20"/>
          <w:w w:val="125"/>
        </w:rPr>
        <w:t>guerilla</w:t>
      </w:r>
    </w:p>
    <w:p w14:paraId="180E4EBE" w14:textId="77777777" w:rsidR="002653E8" w:rsidRDefault="003115E3">
      <w:pPr>
        <w:spacing w:before="147" w:line="276" w:lineRule="auto"/>
        <w:ind w:left="1567" w:right="1739"/>
        <w:jc w:val="both"/>
        <w:rPr>
          <w:i/>
          <w:sz w:val="19"/>
        </w:rPr>
      </w:pPr>
      <w:r>
        <w:rPr>
          <w:i/>
          <w:color w:val="231F20"/>
          <w:sz w:val="19"/>
        </w:rPr>
        <w:t xml:space="preserve">Hence, imperialism and all reactionaries, looked at in  essence,  from a long-term point of </w:t>
      </w:r>
      <w:r>
        <w:rPr>
          <w:i/>
          <w:color w:val="231F20"/>
          <w:spacing w:val="-4"/>
          <w:sz w:val="19"/>
        </w:rPr>
        <w:t xml:space="preserve">view, </w:t>
      </w:r>
      <w:r>
        <w:rPr>
          <w:i/>
          <w:color w:val="231F20"/>
          <w:sz w:val="19"/>
        </w:rPr>
        <w:t xml:space="preserve">from a strategic point  of  </w:t>
      </w:r>
      <w:r>
        <w:rPr>
          <w:i/>
          <w:color w:val="231F20"/>
          <w:spacing w:val="-4"/>
          <w:sz w:val="19"/>
        </w:rPr>
        <w:t xml:space="preserve">view,  </w:t>
      </w:r>
      <w:r>
        <w:rPr>
          <w:i/>
          <w:color w:val="231F20"/>
          <w:sz w:val="19"/>
        </w:rPr>
        <w:t>must be seen for what they are—paper tigers. On this we should build our strategic thinking. On the other hand, they  are  also  living tigers, iron tigers, real tigers which can devour people. On this</w:t>
      </w:r>
      <w:r>
        <w:rPr>
          <w:i/>
          <w:color w:val="231F20"/>
          <w:spacing w:val="11"/>
          <w:sz w:val="19"/>
        </w:rPr>
        <w:t xml:space="preserve"> </w:t>
      </w:r>
      <w:r>
        <w:rPr>
          <w:i/>
          <w:color w:val="231F20"/>
          <w:sz w:val="19"/>
        </w:rPr>
        <w:t>we</w:t>
      </w:r>
      <w:r>
        <w:rPr>
          <w:i/>
          <w:color w:val="231F20"/>
          <w:spacing w:val="11"/>
          <w:sz w:val="19"/>
        </w:rPr>
        <w:t xml:space="preserve"> </w:t>
      </w:r>
      <w:r>
        <w:rPr>
          <w:i/>
          <w:color w:val="231F20"/>
          <w:sz w:val="19"/>
        </w:rPr>
        <w:t>should</w:t>
      </w:r>
      <w:r>
        <w:rPr>
          <w:i/>
          <w:color w:val="231F20"/>
          <w:spacing w:val="11"/>
          <w:sz w:val="19"/>
        </w:rPr>
        <w:t xml:space="preserve"> </w:t>
      </w:r>
      <w:r>
        <w:rPr>
          <w:i/>
          <w:color w:val="231F20"/>
          <w:sz w:val="19"/>
        </w:rPr>
        <w:t>build</w:t>
      </w:r>
      <w:r>
        <w:rPr>
          <w:i/>
          <w:color w:val="231F20"/>
          <w:spacing w:val="11"/>
          <w:sz w:val="19"/>
        </w:rPr>
        <w:t xml:space="preserve"> </w:t>
      </w:r>
      <w:r>
        <w:rPr>
          <w:i/>
          <w:color w:val="231F20"/>
          <w:sz w:val="19"/>
        </w:rPr>
        <w:t>our</w:t>
      </w:r>
      <w:r>
        <w:rPr>
          <w:i/>
          <w:color w:val="231F20"/>
          <w:spacing w:val="11"/>
          <w:sz w:val="19"/>
        </w:rPr>
        <w:t xml:space="preserve"> </w:t>
      </w:r>
      <w:r>
        <w:rPr>
          <w:i/>
          <w:color w:val="231F20"/>
          <w:sz w:val="19"/>
        </w:rPr>
        <w:t>tactical</w:t>
      </w:r>
      <w:r>
        <w:rPr>
          <w:i/>
          <w:color w:val="231F20"/>
          <w:spacing w:val="11"/>
          <w:sz w:val="19"/>
        </w:rPr>
        <w:t xml:space="preserve"> </w:t>
      </w:r>
      <w:r>
        <w:rPr>
          <w:i/>
          <w:color w:val="231F20"/>
          <w:sz w:val="19"/>
        </w:rPr>
        <w:t>thinking.</w:t>
      </w:r>
    </w:p>
    <w:p w14:paraId="77EF7C21" w14:textId="77777777" w:rsidR="002653E8" w:rsidRDefault="003115E3">
      <w:pPr>
        <w:spacing w:before="38"/>
        <w:ind w:left="4175"/>
        <w:rPr>
          <w:sz w:val="11"/>
        </w:rPr>
      </w:pPr>
      <w:r>
        <w:rPr>
          <w:color w:val="231F20"/>
          <w:w w:val="105"/>
          <w:sz w:val="19"/>
        </w:rPr>
        <w:t>Mao tse Tung, January 12, 1958</w:t>
      </w:r>
      <w:r>
        <w:rPr>
          <w:color w:val="231F20"/>
          <w:w w:val="105"/>
          <w:position w:val="6"/>
          <w:sz w:val="11"/>
        </w:rPr>
        <w:t>1</w:t>
      </w:r>
    </w:p>
    <w:p w14:paraId="3979F388" w14:textId="77777777" w:rsidR="002653E8" w:rsidRDefault="002653E8">
      <w:pPr>
        <w:pStyle w:val="a3"/>
        <w:spacing w:before="10"/>
        <w:rPr>
          <w:sz w:val="32"/>
        </w:rPr>
      </w:pPr>
    </w:p>
    <w:p w14:paraId="168089E4" w14:textId="77777777" w:rsidR="002653E8" w:rsidRDefault="003115E3">
      <w:pPr>
        <w:pStyle w:val="a3"/>
        <w:spacing w:line="264" w:lineRule="auto"/>
        <w:ind w:left="1147" w:right="1325"/>
        <w:jc w:val="both"/>
      </w:pPr>
      <w:r>
        <w:rPr>
          <w:color w:val="231F20"/>
        </w:rPr>
        <w:t>If it is true that American imperialism is a paper tiger, this means it can, in the final analysis, be defeated. And if the thesis of the Chinese communists is correct, then victory over American imperialism is possible, because struggles against it have erupted all over the world, and as a result imperialism’s power is divided. It is this division that renders its defeat possible. If this is true, then there is no reason to exclude or leave out any country or any region from the anti-imperialist struggle simply because the forces of revolution are especially weak, and the forces of reaction are especially strong.</w:t>
      </w:r>
    </w:p>
    <w:p w14:paraId="5C36AF5E" w14:textId="77777777" w:rsidR="002653E8" w:rsidRDefault="003115E3">
      <w:pPr>
        <w:pStyle w:val="a3"/>
        <w:spacing w:line="264" w:lineRule="auto"/>
        <w:ind w:left="1148" w:right="1325" w:firstLine="209"/>
        <w:jc w:val="both"/>
      </w:pPr>
      <w:r>
        <w:rPr>
          <w:color w:val="231F20"/>
          <w:spacing w:val="1"/>
        </w:rPr>
        <w:t xml:space="preserve">If </w:t>
      </w:r>
      <w:r>
        <w:rPr>
          <w:color w:val="231F20"/>
        </w:rPr>
        <w:t xml:space="preserve">it is incorrect to demoralize the revolutionary forces by underestimating them, </w:t>
      </w:r>
      <w:r>
        <w:rPr>
          <w:color w:val="231F20"/>
          <w:spacing w:val="-3"/>
        </w:rPr>
        <w:t xml:space="preserve">it’s </w:t>
      </w:r>
      <w:r>
        <w:rPr>
          <w:color w:val="231F20"/>
        </w:rPr>
        <w:t xml:space="preserve">equally incorrect to push them into confrontations that can only lead to defeat. </w:t>
      </w:r>
      <w:r>
        <w:rPr>
          <w:color w:val="231F20"/>
          <w:spacing w:val="1"/>
        </w:rPr>
        <w:t xml:space="preserve">In </w:t>
      </w:r>
      <w:r>
        <w:rPr>
          <w:color w:val="231F20"/>
        </w:rPr>
        <w:t>the conflicts between the honest comrades in the proletarian organizations—let’s leave the big talkers out    of it—and the Red Army Faction, we accuse them of demoralizing the revolutionary forces, whereas they feel we are leading the revolution</w:t>
      </w:r>
      <w:r>
        <w:rPr>
          <w:color w:val="231F20"/>
          <w:spacing w:val="1"/>
        </w:rPr>
        <w:t xml:space="preserve">ary </w:t>
      </w:r>
      <w:r>
        <w:rPr>
          <w:color w:val="231F20"/>
        </w:rPr>
        <w:t>forces down a blind alley. There is an attempt to bridge this divide between the comrades in the factories and the neighborhoods and the Red Army Faction, and if we succeed in doing so, we will arrive at the truth. Dogmatism and adventurism are typical deviations in any coun</w:t>
      </w:r>
      <w:r>
        <w:rPr>
          <w:color w:val="231F20"/>
          <w:spacing w:val="1"/>
        </w:rPr>
        <w:t xml:space="preserve">try </w:t>
      </w:r>
      <w:r>
        <w:rPr>
          <w:color w:val="231F20"/>
        </w:rPr>
        <w:t>during periods in which the revolutionary movement is weak. Since the</w:t>
      </w:r>
      <w:r>
        <w:rPr>
          <w:color w:val="231F20"/>
          <w:spacing w:val="26"/>
        </w:rPr>
        <w:t xml:space="preserve"> </w:t>
      </w:r>
      <w:r>
        <w:rPr>
          <w:color w:val="231F20"/>
        </w:rPr>
        <w:t>anarchists</w:t>
      </w:r>
      <w:r>
        <w:rPr>
          <w:color w:val="231F20"/>
          <w:spacing w:val="25"/>
        </w:rPr>
        <w:t xml:space="preserve"> </w:t>
      </w:r>
      <w:r>
        <w:rPr>
          <w:color w:val="231F20"/>
        </w:rPr>
        <w:t>have</w:t>
      </w:r>
      <w:r>
        <w:rPr>
          <w:color w:val="231F20"/>
          <w:spacing w:val="25"/>
        </w:rPr>
        <w:t xml:space="preserve"> </w:t>
      </w:r>
      <w:r>
        <w:rPr>
          <w:color w:val="231F20"/>
        </w:rPr>
        <w:t>always</w:t>
      </w:r>
      <w:r>
        <w:rPr>
          <w:color w:val="231F20"/>
          <w:spacing w:val="25"/>
        </w:rPr>
        <w:t xml:space="preserve"> </w:t>
      </w:r>
      <w:r>
        <w:rPr>
          <w:color w:val="231F20"/>
        </w:rPr>
        <w:t>been</w:t>
      </w:r>
      <w:r>
        <w:rPr>
          <w:color w:val="231F20"/>
          <w:spacing w:val="25"/>
        </w:rPr>
        <w:t xml:space="preserve"> </w:t>
      </w:r>
      <w:r>
        <w:rPr>
          <w:color w:val="231F20"/>
        </w:rPr>
        <w:t>the</w:t>
      </w:r>
      <w:r>
        <w:rPr>
          <w:color w:val="231F20"/>
          <w:spacing w:val="25"/>
        </w:rPr>
        <w:t xml:space="preserve"> </w:t>
      </w:r>
      <w:r>
        <w:rPr>
          <w:color w:val="231F20"/>
        </w:rPr>
        <w:t>strongest</w:t>
      </w:r>
      <w:r>
        <w:rPr>
          <w:color w:val="231F20"/>
          <w:spacing w:val="25"/>
        </w:rPr>
        <w:t xml:space="preserve"> </w:t>
      </w:r>
      <w:r>
        <w:rPr>
          <w:color w:val="231F20"/>
        </w:rPr>
        <w:t>critics</w:t>
      </w:r>
      <w:r>
        <w:rPr>
          <w:color w:val="231F20"/>
          <w:spacing w:val="25"/>
        </w:rPr>
        <w:t xml:space="preserve"> </w:t>
      </w:r>
      <w:r>
        <w:rPr>
          <w:color w:val="231F20"/>
        </w:rPr>
        <w:t>of</w:t>
      </w:r>
      <w:r>
        <w:rPr>
          <w:color w:val="231F20"/>
          <w:spacing w:val="25"/>
        </w:rPr>
        <w:t xml:space="preserve"> </w:t>
      </w:r>
      <w:r>
        <w:rPr>
          <w:color w:val="231F20"/>
        </w:rPr>
        <w:t>opportunism,</w:t>
      </w:r>
    </w:p>
    <w:p w14:paraId="38F28430" w14:textId="77777777" w:rsidR="002653E8" w:rsidRDefault="00000000">
      <w:pPr>
        <w:pStyle w:val="a3"/>
        <w:spacing w:before="6"/>
        <w:rPr>
          <w:sz w:val="18"/>
        </w:rPr>
      </w:pPr>
      <w:r>
        <w:rPr>
          <w:noProof w:val="0"/>
        </w:rPr>
        <w:pict w14:anchorId="7DAE7F67">
          <v:line id="_x0000_s2609" style="position:absolute;z-index:3520;mso-wrap-distance-left:0;mso-wrap-distance-right:0;mso-position-horizontal-relative:page" from="57.4pt,13.05pt" to="129.4pt,13.05pt" strokecolor="#231f20" strokeweight=".5pt">
            <w10:wrap type="topAndBottom" anchorx="page"/>
          </v:line>
        </w:pict>
      </w:r>
    </w:p>
    <w:p w14:paraId="4AC5F383" w14:textId="77777777" w:rsidR="002653E8" w:rsidRDefault="003115E3">
      <w:pPr>
        <w:spacing w:before="53" w:line="254" w:lineRule="auto"/>
        <w:ind w:left="1147" w:right="1580"/>
        <w:rPr>
          <w:sz w:val="16"/>
        </w:rPr>
      </w:pPr>
      <w:r>
        <w:rPr>
          <w:color w:val="231F20"/>
          <w:w w:val="110"/>
          <w:sz w:val="16"/>
        </w:rPr>
        <w:t xml:space="preserve">1 </w:t>
      </w:r>
      <w:r>
        <w:rPr>
          <w:i/>
          <w:color w:val="231F20"/>
          <w:w w:val="110"/>
          <w:sz w:val="16"/>
        </w:rPr>
        <w:t xml:space="preserve">Quotations from Chairman Mao Tse Tung </w:t>
      </w:r>
      <w:r>
        <w:rPr>
          <w:color w:val="231F20"/>
          <w:w w:val="110"/>
          <w:sz w:val="16"/>
        </w:rPr>
        <w:t>(Peking: Foreign Languages Press, 1966), 74.</w:t>
      </w:r>
    </w:p>
    <w:p w14:paraId="271BCCC5" w14:textId="77777777" w:rsidR="002653E8" w:rsidRDefault="002653E8">
      <w:pPr>
        <w:spacing w:line="254" w:lineRule="auto"/>
        <w:rPr>
          <w:sz w:val="16"/>
        </w:rPr>
        <w:sectPr w:rsidR="002653E8">
          <w:pgSz w:w="8640" w:h="12960"/>
          <w:pgMar w:top="1060" w:right="0" w:bottom="1040" w:left="0" w:header="0" w:footer="850" w:gutter="0"/>
          <w:cols w:space="720"/>
        </w:sectPr>
      </w:pPr>
    </w:p>
    <w:p w14:paraId="708B75C8" w14:textId="77777777" w:rsidR="002653E8" w:rsidRDefault="003115E3">
      <w:pPr>
        <w:pStyle w:val="a3"/>
        <w:spacing w:before="86" w:line="264" w:lineRule="auto"/>
        <w:ind w:left="1327" w:right="1513"/>
      </w:pPr>
      <w:r>
        <w:rPr>
          <w:color w:val="231F20"/>
        </w:rPr>
        <w:lastRenderedPageBreak/>
        <w:t>everyone who criticizes opportunism is called an anarchist—this is nothing more than fashionable nonsense.</w:t>
      </w:r>
    </w:p>
    <w:p w14:paraId="31328027" w14:textId="77777777" w:rsidR="002653E8" w:rsidRDefault="003115E3">
      <w:pPr>
        <w:pStyle w:val="a3"/>
        <w:spacing w:line="264" w:lineRule="auto"/>
        <w:ind w:left="1327" w:right="1147" w:firstLine="210"/>
        <w:jc w:val="both"/>
      </w:pPr>
      <w:r>
        <w:rPr>
          <w:color w:val="231F20"/>
        </w:rPr>
        <w:t>The concept of the urban guerilla comes from Latin America. There, like here, it is the method of revolutionary intervention by generally weak revolutionary forces.</w:t>
      </w:r>
    </w:p>
    <w:p w14:paraId="796B33CD" w14:textId="77777777" w:rsidR="002653E8" w:rsidRDefault="003115E3">
      <w:pPr>
        <w:pStyle w:val="a3"/>
        <w:spacing w:line="264" w:lineRule="auto"/>
        <w:ind w:left="1327" w:right="1146" w:firstLine="210"/>
        <w:jc w:val="both"/>
      </w:pPr>
      <w:r>
        <w:rPr>
          <w:color w:val="231F20"/>
        </w:rPr>
        <w:t>The urban guerilla struggle is based on an understanding that there will be no Prussian-style marching orders, which so many so-called revolutionaries are waiting for to lead the people into revolutionary struggle. It is based on the analysis that by the time the conditions are right for armed struggle, it will be too late to prepare for it. It is based on the recognition that without revolutionary initiatives in a country with as much potential for violence as the Federal Republic, there will be no revolutionary orientation when the conditions for revolutionary struggle are more favorable, as they soon will be given the political and economic developments of late</w:t>
      </w:r>
      <w:r>
        <w:rPr>
          <w:color w:val="231F20"/>
          <w:spacing w:val="42"/>
        </w:rPr>
        <w:t xml:space="preserve"> </w:t>
      </w:r>
      <w:r>
        <w:rPr>
          <w:color w:val="231F20"/>
        </w:rPr>
        <w:t>capitalism.</w:t>
      </w:r>
    </w:p>
    <w:p w14:paraId="20AF454C" w14:textId="77777777" w:rsidR="002653E8" w:rsidRDefault="003115E3">
      <w:pPr>
        <w:pStyle w:val="a3"/>
        <w:spacing w:line="264" w:lineRule="auto"/>
        <w:ind w:left="1327" w:right="1146" w:firstLine="210"/>
        <w:jc w:val="both"/>
      </w:pPr>
      <w:r>
        <w:rPr>
          <w:color w:val="231F20"/>
        </w:rPr>
        <w:t xml:space="preserve">The urban guerilla is the consequence of the long since complete negation of parliamentary democracy by the elected representatives themselves. It is the inevitable response to the Emergency Laws and   the Hand Grenade </w:t>
      </w:r>
      <w:r>
        <w:rPr>
          <w:color w:val="231F20"/>
          <w:spacing w:val="-4"/>
        </w:rPr>
        <w:t xml:space="preserve">Law. </w:t>
      </w:r>
      <w:r>
        <w:rPr>
          <w:color w:val="231F20"/>
        </w:rPr>
        <w:t>It is the willingness to struggle with the very means that the system appropriates for itself to neutralize its enemies. The urban guerilla is based on facing facts, not making excuses  for them.</w:t>
      </w:r>
    </w:p>
    <w:p w14:paraId="7F0237F7" w14:textId="77777777" w:rsidR="002653E8" w:rsidRDefault="003115E3">
      <w:pPr>
        <w:pStyle w:val="a3"/>
        <w:spacing w:line="264" w:lineRule="auto"/>
        <w:ind w:left="1327" w:right="1145" w:firstLine="210"/>
        <w:jc w:val="both"/>
      </w:pPr>
      <w:r>
        <w:rPr>
          <w:color w:val="231F20"/>
        </w:rPr>
        <w:t>The student movement already had a partial understanding of what the urban guerilla could achieve. It can give concrete form to the agitation and propaganda work to which the left has been reduced. For instance, in the Springer  campaign,  in  the  Carbora  Bassa  campaign  of the Heidelberg students,</w:t>
      </w:r>
      <w:r>
        <w:rPr>
          <w:color w:val="231F20"/>
          <w:position w:val="7"/>
          <w:sz w:val="11"/>
        </w:rPr>
        <w:t xml:space="preserve">2  </w:t>
      </w:r>
      <w:r>
        <w:rPr>
          <w:color w:val="231F20"/>
        </w:rPr>
        <w:t xml:space="preserve">in the squatting movement in Frankfurt,     in the context of the military aid that the Federal Republic gives the comprador regimes in Africa, and in the security measures and the inhouse justice in the factories. The urban guerilla can make verbal internationalism concrete by providing weapons and </w:t>
      </w:r>
      <w:r>
        <w:rPr>
          <w:color w:val="231F20"/>
          <w:spacing w:val="-3"/>
        </w:rPr>
        <w:t xml:space="preserve">money. </w:t>
      </w:r>
      <w:r>
        <w:rPr>
          <w:color w:val="231F20"/>
        </w:rPr>
        <w:t>It can blunt the system’s weapons and the banning of communists by organizing an underground that can elude the police. The urban guerilla is a weapon of class</w:t>
      </w:r>
      <w:r>
        <w:rPr>
          <w:color w:val="231F20"/>
          <w:spacing w:val="21"/>
        </w:rPr>
        <w:t xml:space="preserve"> </w:t>
      </w:r>
      <w:r>
        <w:rPr>
          <w:color w:val="231F20"/>
        </w:rPr>
        <w:t>struggle.</w:t>
      </w:r>
    </w:p>
    <w:p w14:paraId="132A0A40" w14:textId="77777777" w:rsidR="002653E8" w:rsidRDefault="00000000">
      <w:pPr>
        <w:pStyle w:val="a3"/>
        <w:spacing w:before="1"/>
        <w:rPr>
          <w:sz w:val="15"/>
        </w:rPr>
      </w:pPr>
      <w:r>
        <w:rPr>
          <w:noProof w:val="0"/>
        </w:rPr>
        <w:pict w14:anchorId="2A5A7ADF">
          <v:line id="_x0000_s2608" style="position:absolute;z-index:3544;mso-wrap-distance-left:0;mso-wrap-distance-right:0;mso-position-horizontal-relative:page" from="66.4pt,11.05pt" to="138.4pt,11.05pt" strokecolor="#231f20" strokeweight=".5pt">
            <w10:wrap type="topAndBottom" anchorx="page"/>
          </v:line>
        </w:pict>
      </w:r>
    </w:p>
    <w:p w14:paraId="4ED7F51E" w14:textId="77777777" w:rsidR="002653E8" w:rsidRDefault="003115E3">
      <w:pPr>
        <w:spacing w:before="53" w:line="254" w:lineRule="auto"/>
        <w:ind w:left="1327" w:right="1457"/>
        <w:rPr>
          <w:sz w:val="16"/>
        </w:rPr>
      </w:pPr>
      <w:r>
        <w:rPr>
          <w:color w:val="231F20"/>
          <w:w w:val="105"/>
          <w:sz w:val="16"/>
        </w:rPr>
        <w:t xml:space="preserve">2 A campaign to stop the building of a massive dam in Mozambique, then a Portuguese colony. The right-wing Portuguese government had plans  to  settle over one million European colonists in the </w:t>
      </w:r>
      <w:r>
        <w:rPr>
          <w:color w:val="231F20"/>
          <w:spacing w:val="1"/>
          <w:w w:val="105"/>
          <w:sz w:val="16"/>
        </w:rPr>
        <w:t xml:space="preserve">African </w:t>
      </w:r>
      <w:r>
        <w:rPr>
          <w:color w:val="231F20"/>
          <w:w w:val="105"/>
          <w:sz w:val="16"/>
        </w:rPr>
        <w:t xml:space="preserve">country. By 1969, five German companies were implicated in the project. There were protests in the FRG, particularly in Heidelberg, against the project when the </w:t>
      </w:r>
      <w:r>
        <w:rPr>
          <w:color w:val="231F20"/>
          <w:spacing w:val="1"/>
          <w:w w:val="105"/>
          <w:sz w:val="16"/>
        </w:rPr>
        <w:t xml:space="preserve">U.S. </w:t>
      </w:r>
      <w:r>
        <w:rPr>
          <w:color w:val="231F20"/>
          <w:w w:val="105"/>
          <w:sz w:val="16"/>
        </w:rPr>
        <w:t>Minister of Defense Robert McNamara visited the</w:t>
      </w:r>
      <w:r>
        <w:rPr>
          <w:color w:val="231F20"/>
          <w:spacing w:val="35"/>
          <w:w w:val="105"/>
          <w:sz w:val="16"/>
        </w:rPr>
        <w:t xml:space="preserve"> </w:t>
      </w:r>
      <w:r>
        <w:rPr>
          <w:color w:val="231F20"/>
          <w:w w:val="105"/>
          <w:sz w:val="16"/>
        </w:rPr>
        <w:t>country.</w:t>
      </w:r>
    </w:p>
    <w:p w14:paraId="4DE35EC2" w14:textId="77777777" w:rsidR="002653E8" w:rsidRDefault="002653E8">
      <w:pPr>
        <w:spacing w:line="254" w:lineRule="auto"/>
        <w:rPr>
          <w:sz w:val="16"/>
        </w:rPr>
        <w:sectPr w:rsidR="002653E8">
          <w:footerReference w:type="even" r:id="rId90"/>
          <w:footerReference w:type="default" r:id="rId91"/>
          <w:pgSz w:w="8640" w:h="12960"/>
          <w:pgMar w:top="1060" w:right="0" w:bottom="1040" w:left="0" w:header="0" w:footer="850" w:gutter="0"/>
          <w:pgNumType w:start="97"/>
          <w:cols w:space="720"/>
        </w:sectPr>
      </w:pPr>
    </w:p>
    <w:p w14:paraId="26B710AB" w14:textId="77777777" w:rsidR="002653E8" w:rsidRDefault="003115E3">
      <w:pPr>
        <w:pStyle w:val="a3"/>
        <w:spacing w:before="86" w:line="264" w:lineRule="auto"/>
        <w:ind w:left="1147" w:right="1326" w:firstLine="210"/>
        <w:jc w:val="both"/>
      </w:pPr>
      <w:r>
        <w:rPr>
          <w:color w:val="231F20"/>
        </w:rPr>
        <w:lastRenderedPageBreak/>
        <w:t>The urban guerilla struggle is armed struggle in a situation in which the police use their weapons recklessly and in which class justice finds Kurras not guilty and buries comrades alive. The urban guerilla struggle means not being demoralized by the violence of the system.</w:t>
      </w:r>
    </w:p>
    <w:p w14:paraId="580741F1" w14:textId="77777777" w:rsidR="002653E8" w:rsidRDefault="003115E3">
      <w:pPr>
        <w:pStyle w:val="a3"/>
        <w:spacing w:line="264" w:lineRule="auto"/>
        <w:ind w:left="1147" w:right="1327" w:firstLine="210"/>
        <w:jc w:val="both"/>
      </w:pPr>
      <w:r>
        <w:rPr>
          <w:color w:val="231F20"/>
        </w:rPr>
        <w:t>The</w:t>
      </w:r>
      <w:r>
        <w:rPr>
          <w:color w:val="231F20"/>
          <w:spacing w:val="-19"/>
        </w:rPr>
        <w:t xml:space="preserve"> </w:t>
      </w:r>
      <w:r>
        <w:rPr>
          <w:color w:val="231F20"/>
        </w:rPr>
        <w:t>urban</w:t>
      </w:r>
      <w:r>
        <w:rPr>
          <w:color w:val="231F20"/>
          <w:spacing w:val="-19"/>
        </w:rPr>
        <w:t xml:space="preserve"> </w:t>
      </w:r>
      <w:r>
        <w:rPr>
          <w:color w:val="231F20"/>
          <w:spacing w:val="2"/>
        </w:rPr>
        <w:t>guerilla</w:t>
      </w:r>
      <w:r w:rsidR="00314143">
        <w:rPr>
          <w:color w:val="231F20"/>
          <w:spacing w:val="2"/>
        </w:rPr>
        <w:t xml:space="preserve"> </w:t>
      </w:r>
      <w:r>
        <w:rPr>
          <w:color w:val="231F20"/>
          <w:spacing w:val="2"/>
        </w:rPr>
        <w:t>aims</w:t>
      </w:r>
      <w:r>
        <w:rPr>
          <w:color w:val="231F20"/>
          <w:spacing w:val="-19"/>
        </w:rPr>
        <w:t xml:space="preserve"> </w:t>
      </w:r>
      <w:r>
        <w:rPr>
          <w:color w:val="231F20"/>
          <w:spacing w:val="1"/>
        </w:rPr>
        <w:t>to</w:t>
      </w:r>
      <w:r w:rsidR="00314143">
        <w:rPr>
          <w:color w:val="231F20"/>
          <w:spacing w:val="1"/>
        </w:rPr>
        <w:t xml:space="preserve"> </w:t>
      </w:r>
      <w:r>
        <w:rPr>
          <w:color w:val="231F20"/>
          <w:spacing w:val="1"/>
        </w:rPr>
        <w:t>destroy</w:t>
      </w:r>
      <w:r>
        <w:rPr>
          <w:color w:val="231F20"/>
          <w:spacing w:val="-19"/>
        </w:rPr>
        <w:t xml:space="preserve"> </w:t>
      </w:r>
      <w:r>
        <w:rPr>
          <w:color w:val="231F20"/>
        </w:rPr>
        <w:t>certain</w:t>
      </w:r>
      <w:r>
        <w:rPr>
          <w:color w:val="231F20"/>
          <w:spacing w:val="-19"/>
        </w:rPr>
        <w:t xml:space="preserve"> </w:t>
      </w:r>
      <w:r>
        <w:rPr>
          <w:color w:val="231F20"/>
        </w:rPr>
        <w:t>aspects</w:t>
      </w:r>
      <w:r>
        <w:rPr>
          <w:color w:val="231F20"/>
          <w:spacing w:val="-19"/>
        </w:rPr>
        <w:t xml:space="preserve"> </w:t>
      </w:r>
      <w:r>
        <w:rPr>
          <w:color w:val="231F20"/>
          <w:spacing w:val="3"/>
        </w:rPr>
        <w:t>ofthe</w:t>
      </w:r>
      <w:r>
        <w:rPr>
          <w:color w:val="231F20"/>
          <w:spacing w:val="-19"/>
        </w:rPr>
        <w:t xml:space="preserve"> </w:t>
      </w:r>
      <w:r>
        <w:rPr>
          <w:color w:val="231F20"/>
        </w:rPr>
        <w:t>state</w:t>
      </w:r>
      <w:r>
        <w:rPr>
          <w:color w:val="231F20"/>
          <w:spacing w:val="-19"/>
        </w:rPr>
        <w:t xml:space="preserve"> </w:t>
      </w:r>
      <w:r>
        <w:rPr>
          <w:color w:val="231F20"/>
        </w:rPr>
        <w:t>structure, and</w:t>
      </w:r>
      <w:r>
        <w:rPr>
          <w:color w:val="231F20"/>
          <w:spacing w:val="10"/>
        </w:rPr>
        <w:t xml:space="preserve"> </w:t>
      </w:r>
      <w:r>
        <w:rPr>
          <w:color w:val="231F20"/>
        </w:rPr>
        <w:t>to</w:t>
      </w:r>
      <w:r>
        <w:rPr>
          <w:color w:val="231F20"/>
          <w:spacing w:val="10"/>
        </w:rPr>
        <w:t xml:space="preserve"> </w:t>
      </w:r>
      <w:r>
        <w:rPr>
          <w:color w:val="231F20"/>
        </w:rPr>
        <w:t>destroy</w:t>
      </w:r>
      <w:r>
        <w:rPr>
          <w:color w:val="231F20"/>
          <w:spacing w:val="10"/>
        </w:rPr>
        <w:t xml:space="preserve"> </w:t>
      </w:r>
      <w:r>
        <w:rPr>
          <w:color w:val="231F20"/>
        </w:rPr>
        <w:t>the</w:t>
      </w:r>
      <w:r>
        <w:rPr>
          <w:color w:val="231F20"/>
          <w:spacing w:val="10"/>
        </w:rPr>
        <w:t xml:space="preserve"> </w:t>
      </w:r>
      <w:r>
        <w:rPr>
          <w:color w:val="231F20"/>
        </w:rPr>
        <w:t>myth</w:t>
      </w:r>
      <w:r>
        <w:rPr>
          <w:color w:val="231F20"/>
          <w:spacing w:val="10"/>
        </w:rPr>
        <w:t xml:space="preserve"> </w:t>
      </w:r>
      <w:r>
        <w:rPr>
          <w:color w:val="231F20"/>
        </w:rPr>
        <w:t>of</w:t>
      </w:r>
      <w:r>
        <w:rPr>
          <w:color w:val="231F20"/>
          <w:spacing w:val="10"/>
        </w:rPr>
        <w:t xml:space="preserve"> </w:t>
      </w:r>
      <w:r>
        <w:rPr>
          <w:color w:val="231F20"/>
        </w:rPr>
        <w:t>state</w:t>
      </w:r>
      <w:r>
        <w:rPr>
          <w:color w:val="231F20"/>
          <w:spacing w:val="10"/>
        </w:rPr>
        <w:t xml:space="preserve"> </w:t>
      </w:r>
      <w:r>
        <w:rPr>
          <w:color w:val="231F20"/>
        </w:rPr>
        <w:t>omnipotence</w:t>
      </w:r>
      <w:r>
        <w:rPr>
          <w:color w:val="231F20"/>
          <w:spacing w:val="10"/>
        </w:rPr>
        <w:t xml:space="preserve"> </w:t>
      </w:r>
      <w:r>
        <w:rPr>
          <w:color w:val="231F20"/>
        </w:rPr>
        <w:t>and</w:t>
      </w:r>
      <w:r>
        <w:rPr>
          <w:color w:val="231F20"/>
          <w:spacing w:val="10"/>
        </w:rPr>
        <w:t xml:space="preserve"> </w:t>
      </w:r>
      <w:r>
        <w:rPr>
          <w:color w:val="231F20"/>
        </w:rPr>
        <w:t>invulnerability.</w:t>
      </w:r>
    </w:p>
    <w:p w14:paraId="2979A1E1" w14:textId="77777777" w:rsidR="002653E8" w:rsidRPr="00292EE1" w:rsidRDefault="003115E3">
      <w:pPr>
        <w:pStyle w:val="a3"/>
        <w:spacing w:line="264" w:lineRule="auto"/>
        <w:ind w:left="1147" w:right="1326" w:firstLine="210"/>
        <w:jc w:val="both"/>
        <w:rPr>
          <w:rFonts w:ascii="宋体" w:eastAsia="宋体" w:hAnsi="宋体" w:cs="宋体"/>
        </w:rPr>
      </w:pPr>
      <w:r>
        <w:rPr>
          <w:color w:val="231F20"/>
        </w:rPr>
        <w:t xml:space="preserve">The urban guerilla requires the organization of an illegal structure, including safehouses, weapons, cars, and documents. What one needs  to know about this, Marighella describes in his </w:t>
      </w:r>
      <w:r>
        <w:rPr>
          <w:i/>
          <w:color w:val="231F20"/>
          <w:spacing w:val="1"/>
        </w:rPr>
        <w:t xml:space="preserve">Minimanual </w:t>
      </w:r>
      <w:r>
        <w:rPr>
          <w:i/>
          <w:color w:val="231F20"/>
        </w:rPr>
        <w:t>of  the  Urban Guerilla</w:t>
      </w:r>
      <w:r>
        <w:rPr>
          <w:color w:val="231F20"/>
        </w:rPr>
        <w:t xml:space="preserve">. What needs to be known beyond that, we are always ready to tell anyone who wants to participate in the guerilla struggle. </w:t>
      </w:r>
      <w:r>
        <w:rPr>
          <w:color w:val="231F20"/>
          <w:spacing w:val="-5"/>
        </w:rPr>
        <w:t xml:space="preserve">We </w:t>
      </w:r>
      <w:r>
        <w:rPr>
          <w:color w:val="231F20"/>
          <w:spacing w:val="-3"/>
        </w:rPr>
        <w:t xml:space="preserve">don’t </w:t>
      </w:r>
      <w:r>
        <w:rPr>
          <w:color w:val="231F20"/>
        </w:rPr>
        <w:t>know that much yet, but we know a little</w:t>
      </w:r>
      <w:r>
        <w:rPr>
          <w:color w:val="231F20"/>
          <w:spacing w:val="22"/>
        </w:rPr>
        <w:t xml:space="preserve"> </w:t>
      </w:r>
      <w:r>
        <w:rPr>
          <w:color w:val="231F20"/>
        </w:rPr>
        <w:t>bit.</w:t>
      </w:r>
    </w:p>
    <w:p w14:paraId="3A43FAB9" w14:textId="77777777" w:rsidR="002653E8" w:rsidRDefault="003115E3">
      <w:pPr>
        <w:pStyle w:val="a3"/>
        <w:spacing w:line="264" w:lineRule="auto"/>
        <w:ind w:left="1147" w:right="1326" w:firstLine="210"/>
        <w:jc w:val="both"/>
      </w:pPr>
      <w:r>
        <w:rPr>
          <w:color w:val="231F20"/>
        </w:rPr>
        <w:t>Before deciding to take up the armed struggle, it is important that one first experience the legal struggle. When one’s connection to the revolutionary left is based on just wanting to follow the latest fad, then it is better not to start anything you will not be able to get out of later on.</w:t>
      </w:r>
    </w:p>
    <w:p w14:paraId="5CF657B5" w14:textId="77777777" w:rsidR="002653E8" w:rsidRDefault="003115E3">
      <w:pPr>
        <w:pStyle w:val="a3"/>
        <w:spacing w:line="264" w:lineRule="auto"/>
        <w:ind w:left="1147" w:right="1326" w:firstLine="210"/>
        <w:jc w:val="both"/>
      </w:pPr>
      <w:r>
        <w:rPr>
          <w:color w:val="231F20"/>
        </w:rPr>
        <w:t>The Red Army Faction and the urban guerilla represent the only faction and practice which draws a clear line between ourselves and the enemy, and is therefore subject to the sharpest attack. This requires that one have a political identity, and it presumes that a learning process has already occurred.</w:t>
      </w:r>
    </w:p>
    <w:p w14:paraId="718FA60C" w14:textId="77777777" w:rsidR="002653E8" w:rsidRDefault="003115E3">
      <w:pPr>
        <w:pStyle w:val="a3"/>
        <w:spacing w:line="264" w:lineRule="auto"/>
        <w:ind w:left="1147" w:right="1325" w:firstLine="210"/>
        <w:jc w:val="both"/>
      </w:pPr>
      <w:r>
        <w:rPr>
          <w:color w:val="231F20"/>
        </w:rPr>
        <w:t xml:space="preserve">Our original organizational concept implied a connection  between the urban guerilla and the work at the base. </w:t>
      </w:r>
      <w:r>
        <w:rPr>
          <w:color w:val="231F20"/>
          <w:spacing w:val="-5"/>
        </w:rPr>
        <w:t xml:space="preserve">We </w:t>
      </w:r>
      <w:r>
        <w:rPr>
          <w:color w:val="231F20"/>
        </w:rPr>
        <w:t xml:space="preserve">wanted everyone to work in the neighborhoods, the factories, and the existing socialist groups, to be influenced by the discussions taking place, to have some experience, to learn. It has become clear that that doesn’t work. The degree to which the political police can monitor these groups, their meetings, their appointments, and the contents of their discussions is already so extensive that one has to stay </w:t>
      </w:r>
      <w:r>
        <w:rPr>
          <w:color w:val="231F20"/>
          <w:spacing w:val="-3"/>
        </w:rPr>
        <w:t xml:space="preserve">away </w:t>
      </w:r>
      <w:r>
        <w:rPr>
          <w:color w:val="231F20"/>
        </w:rPr>
        <w:t>if one wants to escape this</w:t>
      </w:r>
      <w:r>
        <w:rPr>
          <w:color w:val="231F20"/>
          <w:spacing w:val="10"/>
        </w:rPr>
        <w:t xml:space="preserve"> </w:t>
      </w:r>
      <w:r>
        <w:rPr>
          <w:color w:val="231F20"/>
        </w:rPr>
        <w:t>surveillance.</w:t>
      </w:r>
    </w:p>
    <w:p w14:paraId="2EE21EC2" w14:textId="77777777" w:rsidR="002653E8" w:rsidRDefault="003115E3">
      <w:pPr>
        <w:pStyle w:val="a3"/>
        <w:spacing w:line="264" w:lineRule="auto"/>
        <w:ind w:left="1147" w:right="1326" w:firstLine="210"/>
        <w:jc w:val="both"/>
      </w:pPr>
      <w:r>
        <w:rPr>
          <w:color w:val="231F20"/>
        </w:rPr>
        <w:t xml:space="preserve">The urban guerilla struggle requires that one be totally clear about one’s motivations, that one not be put off by the attacks from </w:t>
      </w:r>
      <w:r>
        <w:rPr>
          <w:i/>
          <w:color w:val="231F20"/>
        </w:rPr>
        <w:t>Bild Zeitung</w:t>
      </w:r>
      <w:r>
        <w:rPr>
          <w:color w:val="231F20"/>
        </w:rPr>
        <w:t>, the antisemitic-criminal-subhuman-murderer-arsonist label that they apply to revolutionaries. All that shit they spit out and are willing to say, and which still influences what many comrades think about us, must have no effect.</w:t>
      </w:r>
    </w:p>
    <w:p w14:paraId="33C2D0D1" w14:textId="77777777" w:rsidR="002653E8" w:rsidRDefault="003115E3">
      <w:pPr>
        <w:pStyle w:val="a3"/>
        <w:spacing w:line="264" w:lineRule="auto"/>
        <w:ind w:left="1147" w:right="1328" w:firstLine="210"/>
        <w:jc w:val="both"/>
      </w:pPr>
      <w:r>
        <w:rPr>
          <w:color w:val="231F20"/>
        </w:rPr>
        <w:t>Naturally, the system doesn’t give any ground, and there is nothing they will not do and no slander they will not use against us.</w:t>
      </w:r>
    </w:p>
    <w:p w14:paraId="53D1C1AF" w14:textId="77777777" w:rsidR="002653E8" w:rsidRDefault="003115E3">
      <w:pPr>
        <w:pStyle w:val="a3"/>
        <w:spacing w:line="264" w:lineRule="auto"/>
        <w:ind w:left="1147" w:right="1326" w:firstLine="210"/>
        <w:jc w:val="both"/>
      </w:pPr>
      <w:r>
        <w:rPr>
          <w:color w:val="231F20"/>
        </w:rPr>
        <w:t>There are no publications that have any goals that can be distinguished from those that serve the interests of capital. There is still no</w:t>
      </w:r>
    </w:p>
    <w:p w14:paraId="310035A9" w14:textId="77777777" w:rsidR="002653E8" w:rsidRDefault="002653E8">
      <w:pPr>
        <w:spacing w:line="264" w:lineRule="auto"/>
        <w:jc w:val="both"/>
        <w:sectPr w:rsidR="002653E8">
          <w:pgSz w:w="8640" w:h="12960"/>
          <w:pgMar w:top="1060" w:right="0" w:bottom="1040" w:left="0" w:header="0" w:footer="850" w:gutter="0"/>
          <w:cols w:space="720"/>
        </w:sectPr>
      </w:pPr>
    </w:p>
    <w:p w14:paraId="70175B20" w14:textId="77777777" w:rsidR="002653E8" w:rsidRDefault="003115E3">
      <w:pPr>
        <w:pStyle w:val="a3"/>
        <w:spacing w:before="86" w:line="264" w:lineRule="auto"/>
        <w:ind w:left="1327" w:right="1145"/>
        <w:jc w:val="both"/>
      </w:pPr>
      <w:r>
        <w:rPr>
          <w:color w:val="231F20"/>
        </w:rPr>
        <w:lastRenderedPageBreak/>
        <w:t xml:space="preserve">socialist publication that reaches beyond itself, its circle, the people handed copies, and its subscribers, and which does not exist primar   ily in an incidental, private, personal, bourgeois context. </w:t>
      </w:r>
      <w:r>
        <w:rPr>
          <w:color w:val="231F20"/>
          <w:spacing w:val="1"/>
        </w:rPr>
        <w:t xml:space="preserve">All </w:t>
      </w:r>
      <w:r>
        <w:rPr>
          <w:color w:val="231F20"/>
        </w:rPr>
        <w:t xml:space="preserve">forms of media are controlled by capital, through advertising sales, as a result of the ambitions of the writers, who want to write their </w:t>
      </w:r>
      <w:r>
        <w:rPr>
          <w:color w:val="231F20"/>
          <w:spacing w:val="-2"/>
        </w:rPr>
        <w:t xml:space="preserve">way </w:t>
      </w:r>
      <w:r>
        <w:rPr>
          <w:color w:val="231F20"/>
        </w:rPr>
        <w:t xml:space="preserve">into the establishment, through the radio stations’ boards of directors, and through the market control of the press corporations. The leading publications are the publications of the ruling class. They divide the market opportunities between themselves, developing ideologies for specific milieus, and what they publish serves to assure their market domination. Journalism is about one thing: sales. News is a commodity; informa tion is a consumer product. Whatever </w:t>
      </w:r>
      <w:r>
        <w:rPr>
          <w:color w:val="231F20"/>
          <w:spacing w:val="-3"/>
        </w:rPr>
        <w:t xml:space="preserve">isn’t </w:t>
      </w:r>
      <w:r>
        <w:rPr>
          <w:color w:val="231F20"/>
        </w:rPr>
        <w:t xml:space="preserve">suitable for consumption is vomited back out. The need to retain the readership for advertisementheavy publications, and point system ratings for television, prevent antagonistic contradictions from developing between these media and the public; no antagonism, nothing of consequence. Whoever wants a place in the market must maintain connections with these extremely powerful opinion shapers. This means that dependence on the Springer Corporation grows in step with the Springer Corporation itself, which has also started to buy up local papers. The  urban  guerilla  can  </w:t>
      </w:r>
      <w:r>
        <w:rPr>
          <w:color w:val="231F20"/>
          <w:spacing w:val="-3"/>
        </w:rPr>
        <w:t xml:space="preserve">ex </w:t>
      </w:r>
      <w:r>
        <w:rPr>
          <w:color w:val="231F20"/>
        </w:rPr>
        <w:t>pect nothing but bitter hostility from this public. It has to orient itself around Marxist criticism and self-criticism, and nothing else. As Mao said, “Whoever is not afraid of being drawn and quartered, can dare to pull the emperor from his</w:t>
      </w:r>
      <w:r>
        <w:rPr>
          <w:color w:val="231F20"/>
          <w:spacing w:val="11"/>
        </w:rPr>
        <w:t xml:space="preserve"> </w:t>
      </w:r>
      <w:r>
        <w:rPr>
          <w:color w:val="231F20"/>
          <w:spacing w:val="-3"/>
        </w:rPr>
        <w:t>horse.”</w:t>
      </w:r>
    </w:p>
    <w:p w14:paraId="4B0FC672" w14:textId="77777777" w:rsidR="002653E8" w:rsidRDefault="003115E3">
      <w:pPr>
        <w:pStyle w:val="a3"/>
        <w:spacing w:line="208" w:lineRule="exact"/>
        <w:ind w:left="1537"/>
      </w:pPr>
      <w:r>
        <w:rPr>
          <w:color w:val="231F20"/>
        </w:rPr>
        <w:t>Long-term, meticulous work is crucial for the urban guerilla, insofar</w:t>
      </w:r>
    </w:p>
    <w:p w14:paraId="373CEBF1" w14:textId="77777777" w:rsidR="002653E8" w:rsidRDefault="003115E3">
      <w:pPr>
        <w:pStyle w:val="a3"/>
        <w:spacing w:before="23" w:line="264" w:lineRule="auto"/>
        <w:ind w:left="1327" w:right="1146"/>
        <w:jc w:val="both"/>
      </w:pPr>
      <w:r>
        <w:rPr>
          <w:color w:val="231F20"/>
        </w:rPr>
        <w:t xml:space="preserve">as we want to go beyond discussion to action. </w:t>
      </w:r>
      <w:r>
        <w:rPr>
          <w:color w:val="231F20"/>
          <w:spacing w:val="1"/>
        </w:rPr>
        <w:t xml:space="preserve">If </w:t>
      </w:r>
      <w:r>
        <w:rPr>
          <w:color w:val="231F20"/>
        </w:rPr>
        <w:t xml:space="preserve">the option of retreating to a bourgeois profession is not kept open, if the option of leaving behind the revolution for a townhouse is not maintained, if none of this is even desirable, then, with the </w:t>
      </w:r>
      <w:r>
        <w:rPr>
          <w:color w:val="231F20"/>
          <w:spacing w:val="1"/>
        </w:rPr>
        <w:t xml:space="preserve">full </w:t>
      </w:r>
      <w:r>
        <w:rPr>
          <w:color w:val="231F20"/>
        </w:rPr>
        <w:t>pathos of Blanqui’s statement, “The duty of the revolutionary is to always struggle, in spite of everything to struggle, to struggle until death.” There is no revolutionary struggle,  and</w:t>
      </w:r>
      <w:r>
        <w:rPr>
          <w:color w:val="231F20"/>
          <w:spacing w:val="-6"/>
        </w:rPr>
        <w:t xml:space="preserve"> </w:t>
      </w:r>
      <w:r>
        <w:rPr>
          <w:color w:val="231F20"/>
        </w:rPr>
        <w:t>there</w:t>
      </w:r>
      <w:r>
        <w:rPr>
          <w:color w:val="231F20"/>
          <w:spacing w:val="-6"/>
        </w:rPr>
        <w:t xml:space="preserve"> </w:t>
      </w:r>
      <w:r>
        <w:rPr>
          <w:color w:val="231F20"/>
        </w:rPr>
        <w:t>has</w:t>
      </w:r>
      <w:r>
        <w:rPr>
          <w:color w:val="231F20"/>
          <w:spacing w:val="-6"/>
        </w:rPr>
        <w:t xml:space="preserve"> </w:t>
      </w:r>
      <w:r>
        <w:rPr>
          <w:color w:val="231F20"/>
        </w:rPr>
        <w:t>been</w:t>
      </w:r>
      <w:r>
        <w:rPr>
          <w:color w:val="231F20"/>
          <w:spacing w:val="-6"/>
        </w:rPr>
        <w:t xml:space="preserve"> </w:t>
      </w:r>
      <w:r>
        <w:rPr>
          <w:color w:val="231F20"/>
        </w:rPr>
        <w:t>no</w:t>
      </w:r>
      <w:r>
        <w:rPr>
          <w:color w:val="231F20"/>
          <w:spacing w:val="-6"/>
        </w:rPr>
        <w:t xml:space="preserve"> </w:t>
      </w:r>
      <w:r>
        <w:rPr>
          <w:color w:val="231F20"/>
        </w:rPr>
        <w:t>revolutionary</w:t>
      </w:r>
      <w:r>
        <w:rPr>
          <w:color w:val="231F20"/>
          <w:spacing w:val="-6"/>
        </w:rPr>
        <w:t xml:space="preserve"> </w:t>
      </w:r>
      <w:r>
        <w:rPr>
          <w:color w:val="231F20"/>
        </w:rPr>
        <w:t>struggle,</w:t>
      </w:r>
      <w:r>
        <w:rPr>
          <w:color w:val="231F20"/>
          <w:spacing w:val="-6"/>
        </w:rPr>
        <w:t xml:space="preserve"> </w:t>
      </w:r>
      <w:r>
        <w:rPr>
          <w:color w:val="231F20"/>
        </w:rPr>
        <w:t>in</w:t>
      </w:r>
      <w:r>
        <w:rPr>
          <w:color w:val="231F20"/>
          <w:spacing w:val="-6"/>
        </w:rPr>
        <w:t xml:space="preserve"> </w:t>
      </w:r>
      <w:r>
        <w:rPr>
          <w:color w:val="231F20"/>
        </w:rPr>
        <w:t>which</w:t>
      </w:r>
      <w:r>
        <w:rPr>
          <w:color w:val="231F20"/>
          <w:spacing w:val="-6"/>
        </w:rPr>
        <w:t xml:space="preserve"> </w:t>
      </w:r>
      <w:r>
        <w:rPr>
          <w:color w:val="231F20"/>
        </w:rPr>
        <w:t>this</w:t>
      </w:r>
      <w:r>
        <w:rPr>
          <w:color w:val="231F20"/>
          <w:spacing w:val="-6"/>
        </w:rPr>
        <w:t xml:space="preserve"> </w:t>
      </w:r>
      <w:r>
        <w:rPr>
          <w:color w:val="231F20"/>
        </w:rPr>
        <w:t>hasn’t</w:t>
      </w:r>
      <w:r>
        <w:rPr>
          <w:color w:val="231F20"/>
          <w:spacing w:val="-6"/>
        </w:rPr>
        <w:t xml:space="preserve"> </w:t>
      </w:r>
      <w:r>
        <w:rPr>
          <w:color w:val="231F20"/>
        </w:rPr>
        <w:t>shown itself</w:t>
      </w:r>
      <w:r>
        <w:rPr>
          <w:color w:val="231F20"/>
          <w:spacing w:val="22"/>
        </w:rPr>
        <w:t xml:space="preserve"> </w:t>
      </w:r>
      <w:r>
        <w:rPr>
          <w:color w:val="231F20"/>
        </w:rPr>
        <w:t>to</w:t>
      </w:r>
      <w:r>
        <w:rPr>
          <w:color w:val="231F20"/>
          <w:spacing w:val="22"/>
        </w:rPr>
        <w:t xml:space="preserve"> </w:t>
      </w:r>
      <w:r>
        <w:rPr>
          <w:color w:val="231F20"/>
        </w:rPr>
        <w:t>be</w:t>
      </w:r>
      <w:r>
        <w:rPr>
          <w:color w:val="231F20"/>
          <w:spacing w:val="22"/>
        </w:rPr>
        <w:t xml:space="preserve"> </w:t>
      </w:r>
      <w:r>
        <w:rPr>
          <w:color w:val="231F20"/>
        </w:rPr>
        <w:t>true:</w:t>
      </w:r>
      <w:r>
        <w:rPr>
          <w:color w:val="231F20"/>
          <w:spacing w:val="22"/>
        </w:rPr>
        <w:t xml:space="preserve"> </w:t>
      </w:r>
      <w:r>
        <w:rPr>
          <w:color w:val="231F20"/>
        </w:rPr>
        <w:t>Russia,</w:t>
      </w:r>
      <w:r>
        <w:rPr>
          <w:color w:val="231F20"/>
          <w:spacing w:val="22"/>
        </w:rPr>
        <w:t xml:space="preserve"> </w:t>
      </w:r>
      <w:r>
        <w:rPr>
          <w:color w:val="231F20"/>
        </w:rPr>
        <w:t>China,</w:t>
      </w:r>
      <w:r>
        <w:rPr>
          <w:color w:val="231F20"/>
          <w:spacing w:val="22"/>
        </w:rPr>
        <w:t xml:space="preserve"> </w:t>
      </w:r>
      <w:r>
        <w:rPr>
          <w:color w:val="231F20"/>
        </w:rPr>
        <w:t>Cuba,</w:t>
      </w:r>
      <w:r>
        <w:rPr>
          <w:color w:val="231F20"/>
          <w:spacing w:val="22"/>
        </w:rPr>
        <w:t xml:space="preserve"> </w:t>
      </w:r>
      <w:r>
        <w:rPr>
          <w:color w:val="231F20"/>
        </w:rPr>
        <w:t>Algeria,</w:t>
      </w:r>
      <w:r>
        <w:rPr>
          <w:color w:val="231F20"/>
          <w:spacing w:val="22"/>
        </w:rPr>
        <w:t xml:space="preserve"> </w:t>
      </w:r>
      <w:r>
        <w:rPr>
          <w:color w:val="231F20"/>
        </w:rPr>
        <w:t>Palestine,</w:t>
      </w:r>
      <w:r>
        <w:rPr>
          <w:color w:val="231F20"/>
          <w:spacing w:val="22"/>
        </w:rPr>
        <w:t xml:space="preserve"> </w:t>
      </w:r>
      <w:r>
        <w:rPr>
          <w:color w:val="231F20"/>
        </w:rPr>
        <w:t>Vietnam.</w:t>
      </w:r>
    </w:p>
    <w:p w14:paraId="37343EF0" w14:textId="77777777" w:rsidR="002653E8" w:rsidRDefault="003115E3">
      <w:pPr>
        <w:pStyle w:val="a3"/>
        <w:spacing w:line="264" w:lineRule="auto"/>
        <w:ind w:left="1327" w:right="1146" w:firstLine="210"/>
        <w:jc w:val="both"/>
      </w:pPr>
      <w:r>
        <w:rPr>
          <w:color w:val="231F20"/>
        </w:rPr>
        <w:t xml:space="preserve">Some say that the political possibilities of organization,  agitation,  and propaganda are far from being exhausted, and only when they have been exhausted should one consider armed struggle. </w:t>
      </w:r>
      <w:r>
        <w:rPr>
          <w:color w:val="231F20"/>
          <w:spacing w:val="-5"/>
        </w:rPr>
        <w:t xml:space="preserve">We </w:t>
      </w:r>
      <w:r>
        <w:rPr>
          <w:color w:val="231F20"/>
        </w:rPr>
        <w:t>say that the political possibilities will not be fully utilized until armed struggle is recognized as the political goal, as long as the strategic conclusion that all reactionaries are paper tigers is not grasped despite the tactical conclusion</w:t>
      </w:r>
      <w:r>
        <w:rPr>
          <w:color w:val="231F20"/>
          <w:spacing w:val="10"/>
        </w:rPr>
        <w:t xml:space="preserve"> </w:t>
      </w:r>
      <w:r>
        <w:rPr>
          <w:color w:val="231F20"/>
        </w:rPr>
        <w:t>that</w:t>
      </w:r>
      <w:r>
        <w:rPr>
          <w:color w:val="231F20"/>
          <w:spacing w:val="10"/>
        </w:rPr>
        <w:t xml:space="preserve"> </w:t>
      </w:r>
      <w:r>
        <w:rPr>
          <w:color w:val="231F20"/>
        </w:rPr>
        <w:t>they</w:t>
      </w:r>
      <w:r>
        <w:rPr>
          <w:color w:val="231F20"/>
          <w:spacing w:val="10"/>
        </w:rPr>
        <w:t xml:space="preserve"> </w:t>
      </w:r>
      <w:r>
        <w:rPr>
          <w:color w:val="231F20"/>
        </w:rPr>
        <w:t>are</w:t>
      </w:r>
      <w:r>
        <w:rPr>
          <w:color w:val="231F20"/>
          <w:spacing w:val="10"/>
        </w:rPr>
        <w:t xml:space="preserve"> </w:t>
      </w:r>
      <w:r>
        <w:rPr>
          <w:color w:val="231F20"/>
        </w:rPr>
        <w:t>criminals,</w:t>
      </w:r>
      <w:r>
        <w:rPr>
          <w:color w:val="231F20"/>
          <w:spacing w:val="10"/>
        </w:rPr>
        <w:t xml:space="preserve"> </w:t>
      </w:r>
      <w:r>
        <w:rPr>
          <w:color w:val="231F20"/>
        </w:rPr>
        <w:t>murderers,</w:t>
      </w:r>
      <w:r>
        <w:rPr>
          <w:color w:val="231F20"/>
          <w:spacing w:val="10"/>
        </w:rPr>
        <w:t xml:space="preserve"> </w:t>
      </w:r>
      <w:r>
        <w:rPr>
          <w:color w:val="231F20"/>
        </w:rPr>
        <w:t>and</w:t>
      </w:r>
      <w:r>
        <w:rPr>
          <w:color w:val="231F20"/>
          <w:spacing w:val="10"/>
        </w:rPr>
        <w:t xml:space="preserve"> </w:t>
      </w:r>
      <w:r>
        <w:rPr>
          <w:color w:val="231F20"/>
        </w:rPr>
        <w:t>exploiters.</w:t>
      </w:r>
    </w:p>
    <w:p w14:paraId="6A5F547A" w14:textId="77777777" w:rsidR="002653E8" w:rsidRDefault="002653E8">
      <w:pPr>
        <w:spacing w:line="264" w:lineRule="auto"/>
        <w:jc w:val="both"/>
        <w:sectPr w:rsidR="002653E8">
          <w:pgSz w:w="8640" w:h="12960"/>
          <w:pgMar w:top="1060" w:right="0" w:bottom="1040" w:left="0" w:header="0" w:footer="850" w:gutter="0"/>
          <w:cols w:space="720"/>
        </w:sectPr>
      </w:pPr>
    </w:p>
    <w:p w14:paraId="6638BD9C" w14:textId="77777777" w:rsidR="002653E8" w:rsidRDefault="003115E3">
      <w:pPr>
        <w:pStyle w:val="a3"/>
        <w:spacing w:before="86" w:line="264" w:lineRule="auto"/>
        <w:ind w:left="1147" w:right="1325" w:firstLine="210"/>
        <w:jc w:val="both"/>
      </w:pPr>
      <w:r>
        <w:rPr>
          <w:color w:val="231F20"/>
          <w:spacing w:val="-5"/>
        </w:rPr>
        <w:lastRenderedPageBreak/>
        <w:t xml:space="preserve">We </w:t>
      </w:r>
      <w:r>
        <w:rPr>
          <w:color w:val="231F20"/>
        </w:rPr>
        <w:t xml:space="preserve">will not talk about “armed </w:t>
      </w:r>
      <w:r>
        <w:rPr>
          <w:color w:val="231F20"/>
          <w:spacing w:val="-3"/>
        </w:rPr>
        <w:t xml:space="preserve">propaganda”: </w:t>
      </w:r>
      <w:r>
        <w:rPr>
          <w:color w:val="231F20"/>
        </w:rPr>
        <w:t xml:space="preserve">we will do it. The prison breakout didn’t take place for reasons of propaganda, but to get the guy out. The bank robberies they </w:t>
      </w:r>
      <w:r>
        <w:rPr>
          <w:color w:val="231F20"/>
          <w:spacing w:val="1"/>
        </w:rPr>
        <w:t xml:space="preserve">try </w:t>
      </w:r>
      <w:r>
        <w:rPr>
          <w:color w:val="231F20"/>
        </w:rPr>
        <w:t xml:space="preserve">to lay at our doorstep, </w:t>
      </w:r>
      <w:r>
        <w:rPr>
          <w:color w:val="231F20"/>
          <w:spacing w:val="-5"/>
        </w:rPr>
        <w:t xml:space="preserve">we’d </w:t>
      </w:r>
      <w:r>
        <w:rPr>
          <w:color w:val="231F20"/>
        </w:rPr>
        <w:t xml:space="preserve">only do that to grab the </w:t>
      </w:r>
      <w:r>
        <w:rPr>
          <w:color w:val="231F20"/>
          <w:spacing w:val="-3"/>
        </w:rPr>
        <w:t xml:space="preserve">money.  </w:t>
      </w:r>
      <w:r>
        <w:rPr>
          <w:color w:val="231F20"/>
        </w:rPr>
        <w:t>The “spectacular successes” that Mao tells us  we must have scored if “the enemy paints us as utterly black” are not our successes alone. The big clamour that has been made about us is  due more to the Latin American comrades—given the clear line they have already drawn between themselves and the enemy—which has led the ruling class here, suspecting us of some bank robberies, to “energetically oppose” us, because of what we have begun to build here: the urban</w:t>
      </w:r>
      <w:r>
        <w:rPr>
          <w:color w:val="231F20"/>
          <w:spacing w:val="11"/>
        </w:rPr>
        <w:t xml:space="preserve"> </w:t>
      </w:r>
      <w:r>
        <w:rPr>
          <w:color w:val="231F20"/>
        </w:rPr>
        <w:t>guerilla</w:t>
      </w:r>
      <w:r>
        <w:rPr>
          <w:color w:val="231F20"/>
          <w:spacing w:val="11"/>
        </w:rPr>
        <w:t xml:space="preserve"> </w:t>
      </w:r>
      <w:r>
        <w:rPr>
          <w:color w:val="231F20"/>
        </w:rPr>
        <w:t>in</w:t>
      </w:r>
      <w:r>
        <w:rPr>
          <w:color w:val="231F20"/>
          <w:spacing w:val="11"/>
        </w:rPr>
        <w:t xml:space="preserve"> </w:t>
      </w:r>
      <w:r>
        <w:rPr>
          <w:color w:val="231F20"/>
        </w:rPr>
        <w:t>the</w:t>
      </w:r>
      <w:r>
        <w:rPr>
          <w:color w:val="231F20"/>
          <w:spacing w:val="11"/>
        </w:rPr>
        <w:t xml:space="preserve"> </w:t>
      </w:r>
      <w:r>
        <w:rPr>
          <w:color w:val="231F20"/>
        </w:rPr>
        <w:t>form</w:t>
      </w:r>
      <w:r>
        <w:rPr>
          <w:color w:val="231F20"/>
          <w:spacing w:val="11"/>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Red</w:t>
      </w:r>
      <w:r>
        <w:rPr>
          <w:color w:val="231F20"/>
          <w:spacing w:val="11"/>
        </w:rPr>
        <w:t xml:space="preserve"> </w:t>
      </w:r>
      <w:r>
        <w:rPr>
          <w:color w:val="231F20"/>
        </w:rPr>
        <w:t>Army</w:t>
      </w:r>
      <w:r>
        <w:rPr>
          <w:color w:val="231F20"/>
          <w:spacing w:val="11"/>
        </w:rPr>
        <w:t xml:space="preserve"> </w:t>
      </w:r>
      <w:r>
        <w:rPr>
          <w:color w:val="231F20"/>
        </w:rPr>
        <w:t>Faction.</w:t>
      </w:r>
    </w:p>
    <w:p w14:paraId="29CEFC17" w14:textId="77777777" w:rsidR="002653E8" w:rsidRDefault="002653E8">
      <w:pPr>
        <w:pStyle w:val="a3"/>
        <w:spacing w:before="9"/>
        <w:rPr>
          <w:sz w:val="29"/>
        </w:rPr>
      </w:pPr>
    </w:p>
    <w:p w14:paraId="04A9BFD9" w14:textId="77777777" w:rsidR="002653E8" w:rsidRDefault="003115E3">
      <w:pPr>
        <w:numPr>
          <w:ilvl w:val="0"/>
          <w:numId w:val="164"/>
        </w:numPr>
        <w:tabs>
          <w:tab w:val="left" w:pos="1473"/>
        </w:tabs>
        <w:ind w:left="1472" w:hanging="325"/>
        <w:jc w:val="left"/>
      </w:pPr>
      <w:r>
        <w:rPr>
          <w:color w:val="231F20"/>
          <w:spacing w:val="21"/>
          <w:w w:val="130"/>
        </w:rPr>
        <w:t xml:space="preserve">legality </w:t>
      </w:r>
      <w:r>
        <w:rPr>
          <w:color w:val="231F20"/>
          <w:spacing w:val="17"/>
          <w:w w:val="130"/>
        </w:rPr>
        <w:t>and</w:t>
      </w:r>
      <w:r>
        <w:rPr>
          <w:color w:val="231F20"/>
          <w:spacing w:val="11"/>
          <w:w w:val="130"/>
        </w:rPr>
        <w:t xml:space="preserve"> </w:t>
      </w:r>
      <w:r>
        <w:rPr>
          <w:color w:val="231F20"/>
          <w:spacing w:val="21"/>
          <w:w w:val="130"/>
        </w:rPr>
        <w:t>illegality</w:t>
      </w:r>
    </w:p>
    <w:p w14:paraId="7F3191DD" w14:textId="77777777" w:rsidR="002653E8" w:rsidRDefault="003115E3">
      <w:pPr>
        <w:spacing w:before="146" w:line="276" w:lineRule="auto"/>
        <w:ind w:left="1567" w:right="1739"/>
        <w:jc w:val="both"/>
        <w:rPr>
          <w:i/>
          <w:sz w:val="19"/>
        </w:rPr>
      </w:pPr>
      <w:r>
        <w:rPr>
          <w:i/>
          <w:color w:val="231F20"/>
          <w:w w:val="105"/>
          <w:sz w:val="19"/>
        </w:rPr>
        <w:t xml:space="preserve">Revolution in the </w:t>
      </w:r>
      <w:r>
        <w:rPr>
          <w:i/>
          <w:color w:val="231F20"/>
          <w:spacing w:val="-3"/>
          <w:w w:val="105"/>
          <w:sz w:val="19"/>
        </w:rPr>
        <w:t xml:space="preserve">West, </w:t>
      </w:r>
      <w:r>
        <w:rPr>
          <w:i/>
          <w:color w:val="231F20"/>
          <w:w w:val="105"/>
          <w:sz w:val="19"/>
        </w:rPr>
        <w:t xml:space="preserve">the challenge to capitalist power in its strongholds, is the order of the </w:t>
      </w:r>
      <w:r>
        <w:rPr>
          <w:i/>
          <w:color w:val="231F20"/>
          <w:spacing w:val="-6"/>
          <w:w w:val="105"/>
          <w:sz w:val="19"/>
        </w:rPr>
        <w:t xml:space="preserve">day. </w:t>
      </w:r>
      <w:r>
        <w:rPr>
          <w:i/>
          <w:color w:val="231F20"/>
          <w:w w:val="105"/>
          <w:sz w:val="19"/>
        </w:rPr>
        <w:t xml:space="preserve">It is of decisive importance. The current world situation offers no place and no power that is in a position to guarantee peaceful development and democratic stability. The crisis is intensifying. </w:t>
      </w:r>
      <w:r>
        <w:rPr>
          <w:i/>
          <w:color w:val="231F20"/>
          <w:spacing w:val="-3"/>
          <w:w w:val="105"/>
          <w:sz w:val="19"/>
        </w:rPr>
        <w:t xml:space="preserve">Parochialism </w:t>
      </w:r>
      <w:r>
        <w:rPr>
          <w:i/>
          <w:color w:val="231F20"/>
          <w:w w:val="105"/>
          <w:sz w:val="19"/>
        </w:rPr>
        <w:t>or the decision</w:t>
      </w:r>
      <w:r>
        <w:rPr>
          <w:i/>
          <w:color w:val="231F20"/>
          <w:spacing w:val="-17"/>
          <w:w w:val="105"/>
          <w:sz w:val="19"/>
        </w:rPr>
        <w:t xml:space="preserve"> </w:t>
      </w:r>
      <w:r>
        <w:rPr>
          <w:i/>
          <w:color w:val="231F20"/>
          <w:w w:val="105"/>
          <w:sz w:val="19"/>
        </w:rPr>
        <w:t>to postpone the struggle would mean being sucked into the abyss</w:t>
      </w:r>
      <w:r>
        <w:rPr>
          <w:i/>
          <w:color w:val="231F20"/>
          <w:spacing w:val="-31"/>
          <w:w w:val="105"/>
          <w:sz w:val="19"/>
        </w:rPr>
        <w:t xml:space="preserve"> </w:t>
      </w:r>
      <w:r>
        <w:rPr>
          <w:i/>
          <w:color w:val="231F20"/>
          <w:w w:val="105"/>
          <w:sz w:val="19"/>
        </w:rPr>
        <w:t>of complete</w:t>
      </w:r>
      <w:r>
        <w:rPr>
          <w:i/>
          <w:color w:val="231F20"/>
          <w:spacing w:val="6"/>
          <w:w w:val="105"/>
          <w:sz w:val="19"/>
        </w:rPr>
        <w:t xml:space="preserve"> </w:t>
      </w:r>
      <w:r>
        <w:rPr>
          <w:i/>
          <w:color w:val="231F20"/>
          <w:w w:val="105"/>
          <w:sz w:val="19"/>
        </w:rPr>
        <w:t>collapse.</w:t>
      </w:r>
    </w:p>
    <w:p w14:paraId="2BB5C7AB" w14:textId="77777777" w:rsidR="002653E8" w:rsidRDefault="003115E3">
      <w:pPr>
        <w:spacing w:before="39"/>
        <w:ind w:left="3940"/>
        <w:rPr>
          <w:sz w:val="19"/>
        </w:rPr>
      </w:pPr>
      <w:r>
        <w:rPr>
          <w:color w:val="231F20"/>
          <w:sz w:val="19"/>
        </w:rPr>
        <w:t>Il Manifesto, extract from Thesis 55</w:t>
      </w:r>
    </w:p>
    <w:p w14:paraId="77B9B2AD" w14:textId="77777777" w:rsidR="002653E8" w:rsidRDefault="002653E8">
      <w:pPr>
        <w:pStyle w:val="a3"/>
        <w:spacing w:before="5"/>
        <w:rPr>
          <w:sz w:val="22"/>
        </w:rPr>
      </w:pPr>
    </w:p>
    <w:p w14:paraId="2A088299" w14:textId="77777777" w:rsidR="002653E8" w:rsidRDefault="003115E3">
      <w:pPr>
        <w:pStyle w:val="a3"/>
        <w:spacing w:line="264" w:lineRule="auto"/>
        <w:ind w:left="1147" w:right="1326"/>
        <w:jc w:val="both"/>
      </w:pPr>
      <w:r>
        <w:rPr>
          <w:color w:val="231F20"/>
        </w:rPr>
        <w:t xml:space="preserve">The anarchists’ slogan, “Destroy what destroys </w:t>
      </w:r>
      <w:r>
        <w:rPr>
          <w:color w:val="231F20"/>
          <w:spacing w:val="-4"/>
        </w:rPr>
        <w:t xml:space="preserve">you,” </w:t>
      </w:r>
      <w:r>
        <w:rPr>
          <w:color w:val="231F20"/>
        </w:rPr>
        <w:t>is aimed at mobilizing the base, young people in prisons and reformatories, in high schools and training centres. It reaches out to all of those in the shittiest situations. It is meant to be spontaneously understood, and is a call for direct resistance. Stokely Carmichael’s</w:t>
      </w:r>
      <w:r>
        <w:rPr>
          <w:color w:val="231F20"/>
          <w:position w:val="7"/>
          <w:sz w:val="11"/>
        </w:rPr>
        <w:t xml:space="preserve">1 </w:t>
      </w:r>
      <w:r>
        <w:rPr>
          <w:color w:val="231F20"/>
        </w:rPr>
        <w:t>Black Power slogan, “Trust your own experience!” means just that.  And  the  slogan  is  based  on the insight that in capitalism there is absolutely nothing that oppresses, tortures, constrains, and burdens that does not have its origin in the capitalist mode of production, and that each oppressor, in whatever form he may appear, is a representative of the class interests of capital, which makes him the class</w:t>
      </w:r>
      <w:r>
        <w:rPr>
          <w:color w:val="231F20"/>
          <w:spacing w:val="10"/>
        </w:rPr>
        <w:t xml:space="preserve"> </w:t>
      </w:r>
      <w:r>
        <w:rPr>
          <w:color w:val="231F20"/>
          <w:spacing w:val="-3"/>
        </w:rPr>
        <w:t>enemy.</w:t>
      </w:r>
    </w:p>
    <w:p w14:paraId="2386E2DA" w14:textId="77777777" w:rsidR="002653E8" w:rsidRDefault="003115E3">
      <w:pPr>
        <w:pStyle w:val="a3"/>
        <w:spacing w:line="264" w:lineRule="auto"/>
        <w:ind w:left="1148" w:right="1326" w:firstLine="210"/>
      </w:pPr>
      <w:r>
        <w:rPr>
          <w:color w:val="231F20"/>
          <w:spacing w:val="-8"/>
        </w:rPr>
        <w:t xml:space="preserve">To  </w:t>
      </w:r>
      <w:r>
        <w:rPr>
          <w:color w:val="231F20"/>
        </w:rPr>
        <w:t>this extent the anarchists’ slogan is correct, proletarian, and in  line</w:t>
      </w:r>
      <w:r>
        <w:rPr>
          <w:color w:val="231F20"/>
          <w:spacing w:val="35"/>
        </w:rPr>
        <w:t xml:space="preserve"> </w:t>
      </w:r>
      <w:r>
        <w:rPr>
          <w:color w:val="231F20"/>
        </w:rPr>
        <w:t>with</w:t>
      </w:r>
      <w:r>
        <w:rPr>
          <w:color w:val="231F20"/>
          <w:spacing w:val="35"/>
        </w:rPr>
        <w:t xml:space="preserve"> </w:t>
      </w:r>
      <w:r>
        <w:rPr>
          <w:color w:val="231F20"/>
        </w:rPr>
        <w:t>the</w:t>
      </w:r>
      <w:r>
        <w:rPr>
          <w:color w:val="231F20"/>
          <w:spacing w:val="35"/>
        </w:rPr>
        <w:t xml:space="preserve"> </w:t>
      </w:r>
      <w:r>
        <w:rPr>
          <w:color w:val="231F20"/>
        </w:rPr>
        <w:t>class</w:t>
      </w:r>
      <w:r>
        <w:rPr>
          <w:color w:val="231F20"/>
          <w:spacing w:val="35"/>
        </w:rPr>
        <w:t xml:space="preserve"> </w:t>
      </w:r>
      <w:r>
        <w:rPr>
          <w:color w:val="231F20"/>
        </w:rPr>
        <w:t>struggle.</w:t>
      </w:r>
      <w:r>
        <w:rPr>
          <w:color w:val="231F20"/>
          <w:spacing w:val="35"/>
        </w:rPr>
        <w:t xml:space="preserve"> </w:t>
      </w:r>
      <w:r>
        <w:rPr>
          <w:color w:val="231F20"/>
        </w:rPr>
        <w:t>It</w:t>
      </w:r>
      <w:r>
        <w:rPr>
          <w:color w:val="231F20"/>
          <w:spacing w:val="35"/>
        </w:rPr>
        <w:t xml:space="preserve"> </w:t>
      </w:r>
      <w:r>
        <w:rPr>
          <w:color w:val="231F20"/>
        </w:rPr>
        <w:t>is</w:t>
      </w:r>
      <w:r>
        <w:rPr>
          <w:color w:val="231F20"/>
          <w:spacing w:val="35"/>
        </w:rPr>
        <w:t xml:space="preserve"> </w:t>
      </w:r>
      <w:r>
        <w:rPr>
          <w:color w:val="231F20"/>
        </w:rPr>
        <w:t>incorrect</w:t>
      </w:r>
      <w:r>
        <w:rPr>
          <w:color w:val="231F20"/>
          <w:spacing w:val="35"/>
        </w:rPr>
        <w:t xml:space="preserve"> </w:t>
      </w:r>
      <w:r>
        <w:rPr>
          <w:color w:val="231F20"/>
        </w:rPr>
        <w:t>insofar</w:t>
      </w:r>
      <w:r>
        <w:rPr>
          <w:color w:val="231F20"/>
          <w:spacing w:val="35"/>
        </w:rPr>
        <w:t xml:space="preserve"> </w:t>
      </w:r>
      <w:r>
        <w:rPr>
          <w:color w:val="231F20"/>
        </w:rPr>
        <w:t>as</w:t>
      </w:r>
      <w:r>
        <w:rPr>
          <w:color w:val="231F20"/>
          <w:spacing w:val="35"/>
        </w:rPr>
        <w:t xml:space="preserve"> </w:t>
      </w:r>
      <w:r>
        <w:rPr>
          <w:color w:val="231F20"/>
        </w:rPr>
        <w:t>it</w:t>
      </w:r>
      <w:r>
        <w:rPr>
          <w:color w:val="231F20"/>
          <w:spacing w:val="35"/>
        </w:rPr>
        <w:t xml:space="preserve"> </w:t>
      </w:r>
      <w:r>
        <w:rPr>
          <w:color w:val="231F20"/>
        </w:rPr>
        <w:t>leads</w:t>
      </w:r>
      <w:r>
        <w:rPr>
          <w:color w:val="231F20"/>
          <w:spacing w:val="35"/>
        </w:rPr>
        <w:t xml:space="preserve"> </w:t>
      </w:r>
      <w:r>
        <w:rPr>
          <w:color w:val="231F20"/>
        </w:rPr>
        <w:t>to</w:t>
      </w:r>
      <w:r>
        <w:rPr>
          <w:color w:val="231F20"/>
          <w:spacing w:val="35"/>
        </w:rPr>
        <w:t xml:space="preserve"> </w:t>
      </w:r>
      <w:r>
        <w:rPr>
          <w:color w:val="231F20"/>
        </w:rPr>
        <w:t>false</w:t>
      </w:r>
    </w:p>
    <w:p w14:paraId="08B992AD" w14:textId="77777777" w:rsidR="002653E8" w:rsidRDefault="00000000">
      <w:pPr>
        <w:pStyle w:val="a3"/>
        <w:spacing w:before="2"/>
        <w:rPr>
          <w:sz w:val="24"/>
        </w:rPr>
      </w:pPr>
      <w:r>
        <w:rPr>
          <w:noProof w:val="0"/>
        </w:rPr>
        <w:pict w14:anchorId="6C287894">
          <v:line id="_x0000_s2607" style="position:absolute;z-index:3568;mso-wrap-distance-left:0;mso-wrap-distance-right:0;mso-position-horizontal-relative:page" from="57.4pt,16.4pt" to="129.4pt,16.4pt" strokecolor="#231f20" strokeweight=".5pt">
            <w10:wrap type="topAndBottom" anchorx="page"/>
          </v:line>
        </w:pict>
      </w:r>
    </w:p>
    <w:p w14:paraId="523CA348" w14:textId="77777777" w:rsidR="002653E8" w:rsidRDefault="003115E3">
      <w:pPr>
        <w:spacing w:before="53" w:line="254" w:lineRule="auto"/>
        <w:ind w:left="1147" w:right="1527"/>
        <w:rPr>
          <w:sz w:val="16"/>
        </w:rPr>
      </w:pPr>
      <w:r>
        <w:rPr>
          <w:color w:val="231F20"/>
          <w:w w:val="105"/>
          <w:sz w:val="16"/>
        </w:rPr>
        <w:t>1 Stokely Carmichael was a prominent militant in the Black Liberation Movement      in the United States, playing a leading role in the Student Non-Violent Coordinating Committee</w:t>
      </w:r>
      <w:r>
        <w:rPr>
          <w:color w:val="231F20"/>
          <w:spacing w:val="8"/>
          <w:w w:val="105"/>
          <w:sz w:val="16"/>
        </w:rPr>
        <w:t xml:space="preserve"> </w:t>
      </w:r>
      <w:r>
        <w:rPr>
          <w:color w:val="231F20"/>
          <w:w w:val="105"/>
          <w:sz w:val="16"/>
        </w:rPr>
        <w:t>(SNCC)</w:t>
      </w:r>
      <w:r>
        <w:rPr>
          <w:color w:val="231F20"/>
          <w:spacing w:val="8"/>
          <w:w w:val="105"/>
          <w:sz w:val="16"/>
        </w:rPr>
        <w:t xml:space="preserve"> </w:t>
      </w:r>
      <w:r>
        <w:rPr>
          <w:color w:val="231F20"/>
          <w:w w:val="105"/>
          <w:sz w:val="16"/>
        </w:rPr>
        <w:t>and</w:t>
      </w:r>
      <w:r>
        <w:rPr>
          <w:color w:val="231F20"/>
          <w:spacing w:val="8"/>
          <w:w w:val="105"/>
          <w:sz w:val="16"/>
        </w:rPr>
        <w:t xml:space="preserve"> </w:t>
      </w:r>
      <w:r>
        <w:rPr>
          <w:color w:val="231F20"/>
          <w:w w:val="105"/>
          <w:sz w:val="16"/>
        </w:rPr>
        <w:t>then</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Black</w:t>
      </w:r>
      <w:r>
        <w:rPr>
          <w:color w:val="231F20"/>
          <w:spacing w:val="8"/>
          <w:w w:val="105"/>
          <w:sz w:val="16"/>
        </w:rPr>
        <w:t xml:space="preserve"> </w:t>
      </w:r>
      <w:r>
        <w:rPr>
          <w:color w:val="231F20"/>
          <w:w w:val="105"/>
          <w:sz w:val="16"/>
        </w:rPr>
        <w:t>Panther</w:t>
      </w:r>
      <w:r>
        <w:rPr>
          <w:color w:val="231F20"/>
          <w:spacing w:val="8"/>
          <w:w w:val="105"/>
          <w:sz w:val="16"/>
        </w:rPr>
        <w:t xml:space="preserve"> </w:t>
      </w:r>
      <w:r>
        <w:rPr>
          <w:color w:val="231F20"/>
          <w:w w:val="105"/>
          <w:sz w:val="16"/>
        </w:rPr>
        <w:t>Party.</w:t>
      </w:r>
    </w:p>
    <w:p w14:paraId="7B50CFFA" w14:textId="77777777" w:rsidR="002653E8" w:rsidRDefault="002653E8">
      <w:pPr>
        <w:spacing w:line="254" w:lineRule="auto"/>
        <w:rPr>
          <w:sz w:val="16"/>
        </w:rPr>
        <w:sectPr w:rsidR="002653E8">
          <w:pgSz w:w="8640" w:h="12960"/>
          <w:pgMar w:top="1060" w:right="0" w:bottom="1040" w:left="0" w:header="0" w:footer="850" w:gutter="0"/>
          <w:cols w:space="720"/>
        </w:sectPr>
      </w:pPr>
    </w:p>
    <w:p w14:paraId="6647AD51" w14:textId="77777777" w:rsidR="002653E8" w:rsidRDefault="003115E3">
      <w:pPr>
        <w:pStyle w:val="a3"/>
        <w:spacing w:before="86" w:line="264" w:lineRule="auto"/>
        <w:ind w:left="1327" w:right="1146"/>
        <w:jc w:val="both"/>
      </w:pPr>
      <w:r>
        <w:rPr>
          <w:color w:val="231F20"/>
        </w:rPr>
        <w:lastRenderedPageBreak/>
        <w:t>consciousness. One goes on the offensive simply to give them a kick in the teeth, and organization then takes second place, discipline becomes bourgeois, and class analysis superfluous. If you don’t work out the dialectic of legality and illegality in terms of organization, you will be defenseless against the heavy repression that will follow your actions, and you will be legally arrested.</w:t>
      </w:r>
    </w:p>
    <w:p w14:paraId="66D0F43C" w14:textId="77777777" w:rsidR="002653E8" w:rsidRDefault="003115E3">
      <w:pPr>
        <w:pStyle w:val="a3"/>
        <w:spacing w:line="264" w:lineRule="auto"/>
        <w:ind w:left="1327" w:right="1146" w:firstLine="210"/>
        <w:jc w:val="both"/>
      </w:pPr>
      <w:r>
        <w:rPr>
          <w:color w:val="231F20"/>
        </w:rPr>
        <w:t xml:space="preserve">The statement of some organizations, “Communists are not so stupid as to get themselves banned,” renders them a mouthpiece for class justice, that is to </w:t>
      </w:r>
      <w:r>
        <w:rPr>
          <w:color w:val="231F20"/>
          <w:spacing w:val="-4"/>
        </w:rPr>
        <w:t xml:space="preserve">say, </w:t>
      </w:r>
      <w:r>
        <w:rPr>
          <w:color w:val="231F20"/>
        </w:rPr>
        <w:t xml:space="preserve">for no one. The statement is correct insofar as it means that the legal possibilities for communist agitation, propaganda, and organizing for a political and economic struggle must be fully utilized and cannot be carelessly jeopardized—but that is not what they mean. They mean that there is no </w:t>
      </w:r>
      <w:r>
        <w:rPr>
          <w:color w:val="231F20"/>
          <w:spacing w:val="-2"/>
        </w:rPr>
        <w:t xml:space="preserve">way </w:t>
      </w:r>
      <w:r>
        <w:rPr>
          <w:color w:val="231F20"/>
        </w:rPr>
        <w:t xml:space="preserve">of getting around the limits that the class state and its justice system establish for the socialist project, that one must stop at these limits, that one must retreat from the state’s illegal encroachments as these encroachments are legalized—legality   at any price. Illegal imprisonment, terroristic sentences, police harassment, blackmail and coercion on the part of the BAW—eat shit or </w:t>
      </w:r>
      <w:r>
        <w:rPr>
          <w:color w:val="231F20"/>
          <w:spacing w:val="1"/>
        </w:rPr>
        <w:t xml:space="preserve">die— </w:t>
      </w:r>
      <w:r>
        <w:rPr>
          <w:color w:val="231F20"/>
        </w:rPr>
        <w:t>Communists are not that</w:t>
      </w:r>
      <w:r>
        <w:rPr>
          <w:color w:val="231F20"/>
          <w:spacing w:val="5"/>
        </w:rPr>
        <w:t xml:space="preserve"> </w:t>
      </w:r>
      <w:r>
        <w:rPr>
          <w:color w:val="231F20"/>
        </w:rPr>
        <w:t>stupid….</w:t>
      </w:r>
    </w:p>
    <w:p w14:paraId="79368CA4" w14:textId="77777777" w:rsidR="002653E8" w:rsidRDefault="003115E3">
      <w:pPr>
        <w:pStyle w:val="a3"/>
        <w:spacing w:line="220" w:lineRule="exact"/>
        <w:ind w:left="1538"/>
      </w:pPr>
      <w:r>
        <w:rPr>
          <w:color w:val="231F20"/>
        </w:rPr>
        <w:t>This statement is opportunist. It shows a lack of solidarity. It aban-</w:t>
      </w:r>
    </w:p>
    <w:p w14:paraId="3CBE7088" w14:textId="77777777" w:rsidR="002653E8" w:rsidRDefault="003115E3">
      <w:pPr>
        <w:pStyle w:val="a3"/>
        <w:spacing w:before="16" w:line="264" w:lineRule="auto"/>
        <w:ind w:left="1328" w:right="1145"/>
        <w:jc w:val="both"/>
      </w:pPr>
      <w:r>
        <w:rPr>
          <w:color w:val="231F20"/>
        </w:rPr>
        <w:t>dons the comrades in prison. It excludes the organization and politicization in a socialist context of anyone who, as a result of their social background and situation, has no choice but to survive through crime: the underground, the subproletariat, innumerable proletarian youth, and guest workers. It facilitates the theoretical criminalization of all those who are not members of these organizations. It expresses complicity with class justice. It is stupid.</w:t>
      </w:r>
    </w:p>
    <w:p w14:paraId="70EFDC1B" w14:textId="77777777" w:rsidR="002653E8" w:rsidRDefault="003115E3">
      <w:pPr>
        <w:pStyle w:val="a3"/>
        <w:spacing w:line="264" w:lineRule="auto"/>
        <w:ind w:left="1328" w:right="1145" w:firstLine="210"/>
        <w:jc w:val="both"/>
      </w:pPr>
      <w:r>
        <w:rPr>
          <w:color w:val="231F20"/>
        </w:rPr>
        <w:t xml:space="preserve">Legality is a question of power. The relationship  between  legality and illegality has to be determined by examining the contradiction between reformist and fascist domination, whose representatives in Bonn are, on the one hand, the Social-Liberal coalition, and on the other, Barzel and Strauß. Their media representatives are, for the former: the </w:t>
      </w:r>
      <w:r>
        <w:rPr>
          <w:i/>
          <w:color w:val="231F20"/>
        </w:rPr>
        <w:t>Süddeutsche Zeitung</w:t>
      </w:r>
      <w:r>
        <w:rPr>
          <w:color w:val="231F20"/>
        </w:rPr>
        <w:t xml:space="preserve">, </w:t>
      </w:r>
      <w:r>
        <w:rPr>
          <w:i/>
          <w:color w:val="231F20"/>
          <w:spacing w:val="1"/>
        </w:rPr>
        <w:t>Stern</w:t>
      </w:r>
      <w:r>
        <w:rPr>
          <w:color w:val="231F20"/>
          <w:spacing w:val="1"/>
        </w:rPr>
        <w:t xml:space="preserve">, </w:t>
      </w:r>
      <w:r>
        <w:rPr>
          <w:color w:val="231F20"/>
        </w:rPr>
        <w:t xml:space="preserve">the </w:t>
      </w:r>
      <w:r>
        <w:rPr>
          <w:color w:val="231F20"/>
          <w:spacing w:val="3"/>
        </w:rPr>
        <w:t>WDR</w:t>
      </w:r>
      <w:r>
        <w:rPr>
          <w:color w:val="231F20"/>
          <w:spacing w:val="3"/>
          <w:position w:val="7"/>
          <w:sz w:val="11"/>
        </w:rPr>
        <w:t xml:space="preserve">2 </w:t>
      </w:r>
      <w:r>
        <w:rPr>
          <w:color w:val="231F20"/>
        </w:rPr>
        <w:t xml:space="preserve">Third Program, </w:t>
      </w:r>
      <w:r>
        <w:rPr>
          <w:color w:val="231F20"/>
          <w:spacing w:val="1"/>
        </w:rPr>
        <w:t xml:space="preserve">SFB, </w:t>
      </w:r>
      <w:r>
        <w:rPr>
          <w:color w:val="231F20"/>
        </w:rPr>
        <w:t xml:space="preserve">and the </w:t>
      </w:r>
      <w:r>
        <w:rPr>
          <w:i/>
          <w:color w:val="231F20"/>
        </w:rPr>
        <w:t>Frankfurter Rundschau</w:t>
      </w:r>
      <w:r>
        <w:rPr>
          <w:color w:val="231F20"/>
        </w:rPr>
        <w:t xml:space="preserve">. And, for the latter: the Springer Corporation,  the </w:t>
      </w:r>
      <w:r>
        <w:rPr>
          <w:i/>
          <w:color w:val="231F20"/>
          <w:spacing w:val="2"/>
        </w:rPr>
        <w:t xml:space="preserve">Sender </w:t>
      </w:r>
      <w:r>
        <w:rPr>
          <w:i/>
          <w:color w:val="231F20"/>
        </w:rPr>
        <w:t>Freies Berlin</w:t>
      </w:r>
      <w:r>
        <w:rPr>
          <w:color w:val="231F20"/>
        </w:rPr>
        <w:t xml:space="preserve">, the </w:t>
      </w:r>
      <w:r>
        <w:rPr>
          <w:i/>
          <w:color w:val="231F20"/>
        </w:rPr>
        <w:t xml:space="preserve">Zweites Deutsches </w:t>
      </w:r>
      <w:r>
        <w:rPr>
          <w:i/>
          <w:color w:val="231F20"/>
          <w:spacing w:val="1"/>
        </w:rPr>
        <w:t>Fernsehen</w:t>
      </w:r>
      <w:r>
        <w:rPr>
          <w:color w:val="231F20"/>
          <w:spacing w:val="1"/>
        </w:rPr>
        <w:t xml:space="preserve">, </w:t>
      </w:r>
      <w:r>
        <w:rPr>
          <w:color w:val="231F20"/>
        </w:rPr>
        <w:t xml:space="preserve">and the </w:t>
      </w:r>
      <w:r>
        <w:rPr>
          <w:i/>
          <w:color w:val="231F20"/>
        </w:rPr>
        <w:t xml:space="preserve">Bayernkurier. </w:t>
      </w:r>
      <w:r>
        <w:rPr>
          <w:color w:val="231F20"/>
        </w:rPr>
        <w:t>The Munich police line here, and the Berlin model there. Here the justice of the Federal Administrative Court and there that of the Federal Supreme</w:t>
      </w:r>
      <w:r>
        <w:rPr>
          <w:color w:val="231F20"/>
          <w:spacing w:val="32"/>
        </w:rPr>
        <w:t xml:space="preserve"> </w:t>
      </w:r>
      <w:r>
        <w:rPr>
          <w:color w:val="231F20"/>
        </w:rPr>
        <w:t>Court.</w:t>
      </w:r>
    </w:p>
    <w:p w14:paraId="3CDBFBAF" w14:textId="77777777" w:rsidR="002653E8" w:rsidRDefault="00000000">
      <w:pPr>
        <w:pStyle w:val="a3"/>
        <w:spacing w:before="10"/>
        <w:rPr>
          <w:sz w:val="13"/>
        </w:rPr>
      </w:pPr>
      <w:r>
        <w:rPr>
          <w:noProof w:val="0"/>
        </w:rPr>
        <w:pict w14:anchorId="67A6AF1D">
          <v:line id="_x0000_s2606" style="position:absolute;z-index:3592;mso-wrap-distance-left:0;mso-wrap-distance-right:0;mso-position-horizontal-relative:page" from="66.4pt,10.35pt" to="138.4pt,10.35pt" strokecolor="#231f20" strokeweight=".5pt">
            <w10:wrap type="topAndBottom" anchorx="page"/>
          </v:line>
        </w:pict>
      </w:r>
    </w:p>
    <w:p w14:paraId="5E53366C" w14:textId="77777777" w:rsidR="002653E8" w:rsidRPr="00C507A5" w:rsidRDefault="003115E3">
      <w:pPr>
        <w:spacing w:before="53"/>
        <w:ind w:left="1327"/>
        <w:rPr>
          <w:sz w:val="16"/>
          <w:lang w:val="de-DE"/>
        </w:rPr>
      </w:pPr>
      <w:r w:rsidRPr="00C507A5">
        <w:rPr>
          <w:color w:val="231F20"/>
          <w:w w:val="105"/>
          <w:sz w:val="16"/>
          <w:lang w:val="de-DE"/>
        </w:rPr>
        <w:t xml:space="preserve">2 </w:t>
      </w:r>
      <w:r w:rsidRPr="00C507A5">
        <w:rPr>
          <w:i/>
          <w:color w:val="231F20"/>
          <w:w w:val="105"/>
          <w:sz w:val="16"/>
          <w:lang w:val="de-DE"/>
        </w:rPr>
        <w:t xml:space="preserve">Westdeutscher Rundfunk, </w:t>
      </w:r>
      <w:r w:rsidRPr="00C507A5">
        <w:rPr>
          <w:color w:val="231F20"/>
          <w:w w:val="105"/>
          <w:sz w:val="16"/>
          <w:lang w:val="de-DE"/>
        </w:rPr>
        <w:t>West German Radio.</w:t>
      </w:r>
    </w:p>
    <w:p w14:paraId="395BC2DF" w14:textId="77777777" w:rsidR="002653E8" w:rsidRPr="00C507A5" w:rsidRDefault="002653E8">
      <w:pPr>
        <w:rPr>
          <w:sz w:val="16"/>
          <w:lang w:val="de-DE"/>
        </w:rPr>
        <w:sectPr w:rsidR="002653E8" w:rsidRPr="00C507A5">
          <w:pgSz w:w="8640" w:h="12960"/>
          <w:pgMar w:top="1060" w:right="0" w:bottom="1040" w:left="0" w:header="0" w:footer="850" w:gutter="0"/>
          <w:cols w:space="720"/>
        </w:sectPr>
      </w:pPr>
    </w:p>
    <w:p w14:paraId="104FC599" w14:textId="77777777" w:rsidR="002653E8" w:rsidRDefault="003115E3">
      <w:pPr>
        <w:pStyle w:val="a3"/>
        <w:spacing w:before="86" w:line="264" w:lineRule="auto"/>
        <w:ind w:left="1147" w:right="1326" w:firstLine="210"/>
        <w:jc w:val="both"/>
      </w:pPr>
      <w:r>
        <w:rPr>
          <w:color w:val="231F20"/>
        </w:rPr>
        <w:lastRenderedPageBreak/>
        <w:t xml:space="preserve">The reformist line attempts to </w:t>
      </w:r>
      <w:r>
        <w:rPr>
          <w:color w:val="231F20"/>
          <w:spacing w:val="-3"/>
        </w:rPr>
        <w:t xml:space="preserve">avoid </w:t>
      </w:r>
      <w:r>
        <w:rPr>
          <w:color w:val="231F20"/>
        </w:rPr>
        <w:t>conflicts by using institutional options</w:t>
      </w:r>
      <w:r>
        <w:rPr>
          <w:color w:val="231F20"/>
          <w:spacing w:val="-10"/>
        </w:rPr>
        <w:t xml:space="preserve"> </w:t>
      </w:r>
      <w:r>
        <w:rPr>
          <w:color w:val="231F20"/>
        </w:rPr>
        <w:t>(co-management)</w:t>
      </w:r>
      <w:r>
        <w:rPr>
          <w:color w:val="231F20"/>
          <w:spacing w:val="-10"/>
        </w:rPr>
        <w:t xml:space="preserve"> </w:t>
      </w:r>
      <w:r>
        <w:rPr>
          <w:color w:val="231F20"/>
        </w:rPr>
        <w:t>and</w:t>
      </w:r>
      <w:r>
        <w:rPr>
          <w:color w:val="231F20"/>
          <w:spacing w:val="-10"/>
        </w:rPr>
        <w:t xml:space="preserve"> </w:t>
      </w:r>
      <w:r>
        <w:rPr>
          <w:color w:val="231F20"/>
        </w:rPr>
        <w:t>promises</w:t>
      </w:r>
      <w:r>
        <w:rPr>
          <w:color w:val="231F20"/>
          <w:spacing w:val="-10"/>
        </w:rPr>
        <w:t xml:space="preserve"> </w:t>
      </w:r>
      <w:r>
        <w:rPr>
          <w:color w:val="231F20"/>
        </w:rPr>
        <w:t>of</w:t>
      </w:r>
      <w:r>
        <w:rPr>
          <w:color w:val="231F20"/>
          <w:spacing w:val="-10"/>
        </w:rPr>
        <w:t xml:space="preserve"> </w:t>
      </w:r>
      <w:r>
        <w:rPr>
          <w:color w:val="231F20"/>
        </w:rPr>
        <w:t>improvements</w:t>
      </w:r>
      <w:r>
        <w:rPr>
          <w:color w:val="231F20"/>
          <w:spacing w:val="-10"/>
        </w:rPr>
        <w:t xml:space="preserve"> </w:t>
      </w:r>
      <w:r>
        <w:rPr>
          <w:color w:val="231F20"/>
        </w:rPr>
        <w:t>(in</w:t>
      </w:r>
      <w:r>
        <w:rPr>
          <w:color w:val="231F20"/>
          <w:spacing w:val="-10"/>
        </w:rPr>
        <w:t xml:space="preserve"> </w:t>
      </w:r>
      <w:r>
        <w:rPr>
          <w:color w:val="231F20"/>
        </w:rPr>
        <w:t>prison</w:t>
      </w:r>
      <w:r>
        <w:rPr>
          <w:color w:val="231F20"/>
          <w:spacing w:val="-10"/>
        </w:rPr>
        <w:t xml:space="preserve"> </w:t>
      </w:r>
      <w:r>
        <w:rPr>
          <w:color w:val="231F20"/>
        </w:rPr>
        <w:t xml:space="preserve">conditions, for example), by addressing obsolete sources of conflict (the Chancellor’s genuflection in Poland, for example), by avoiding provocation (the soft line of the Munich police and the Federal Administrative Court in Berlin, for example), and by airing grievances (regarding public education in Hessen and Berlin, for example). As part of this reformist line of avoiding conflict, they move a bit further inside and a    bit less outside of legality. They do this to look legitimate. With the Constitution in hand, they intend to neutralize contradictions and leave left-wing criticism dead in the water and empty of content, thereby keeping the </w:t>
      </w:r>
      <w:r>
        <w:rPr>
          <w:i/>
          <w:color w:val="231F20"/>
        </w:rPr>
        <w:t xml:space="preserve">Jusos </w:t>
      </w:r>
      <w:r>
        <w:rPr>
          <w:color w:val="231F20"/>
        </w:rPr>
        <w:t>within the</w:t>
      </w:r>
      <w:r>
        <w:rPr>
          <w:color w:val="231F20"/>
          <w:spacing w:val="15"/>
        </w:rPr>
        <w:t xml:space="preserve"> </w:t>
      </w:r>
      <w:r>
        <w:rPr>
          <w:color w:val="231F20"/>
        </w:rPr>
        <w:t>SPD.</w:t>
      </w:r>
    </w:p>
    <w:p w14:paraId="5F5C373A" w14:textId="77777777" w:rsidR="002653E8" w:rsidRDefault="003115E3">
      <w:pPr>
        <w:pStyle w:val="a3"/>
        <w:spacing w:line="221" w:lineRule="exact"/>
        <w:ind w:left="1357"/>
      </w:pPr>
      <w:r>
        <w:rPr>
          <w:color w:val="231F20"/>
        </w:rPr>
        <w:t>There is no doubt that, in the long run, the reformist line is the more</w:t>
      </w:r>
    </w:p>
    <w:p w14:paraId="6FBF9232" w14:textId="77777777" w:rsidR="002653E8" w:rsidRDefault="003115E3">
      <w:pPr>
        <w:pStyle w:val="a3"/>
        <w:spacing w:before="23" w:line="264" w:lineRule="auto"/>
        <w:ind w:left="1147" w:right="1326"/>
        <w:jc w:val="both"/>
      </w:pPr>
      <w:r>
        <w:rPr>
          <w:color w:val="231F20"/>
        </w:rPr>
        <w:t xml:space="preserve">effective </w:t>
      </w:r>
      <w:r>
        <w:rPr>
          <w:color w:val="231F20"/>
          <w:spacing w:val="-2"/>
        </w:rPr>
        <w:t xml:space="preserve">way </w:t>
      </w:r>
      <w:r>
        <w:rPr>
          <w:color w:val="231F20"/>
        </w:rPr>
        <w:t xml:space="preserve">of stabilizing capitalist domination, but it relies on certain conditions being met. It requires economic prosperity, because the soft line of the Munich police, for example, is much more expensive than    the hard line of Berlin—as the Munich police chief pointed out: </w:t>
      </w:r>
      <w:r>
        <w:rPr>
          <w:color w:val="231F20"/>
          <w:spacing w:val="-6"/>
        </w:rPr>
        <w:t xml:space="preserve">“Two </w:t>
      </w:r>
      <w:r>
        <w:rPr>
          <w:color w:val="231F20"/>
        </w:rPr>
        <w:t xml:space="preserve">officers with machineguns can hold a thousand people in check. 100 officers with truncheons can control a thousand people. Without weapons of this sort, 300 or 400 police officers are necessary.” The reformist line requires a situation in which no organized anticapitalist opposition </w:t>
      </w:r>
      <w:r>
        <w:rPr>
          <w:color w:val="231F20"/>
          <w:spacing w:val="-3"/>
        </w:rPr>
        <w:t>ex</w:t>
      </w:r>
      <w:r>
        <w:rPr>
          <w:color w:val="231F20"/>
        </w:rPr>
        <w:t>ists,</w:t>
      </w:r>
      <w:r>
        <w:rPr>
          <w:color w:val="231F20"/>
          <w:spacing w:val="10"/>
        </w:rPr>
        <w:t xml:space="preserve"> </w:t>
      </w:r>
      <w:r>
        <w:rPr>
          <w:color w:val="231F20"/>
        </w:rPr>
        <w:t>as</w:t>
      </w:r>
      <w:r>
        <w:rPr>
          <w:color w:val="231F20"/>
          <w:spacing w:val="10"/>
        </w:rPr>
        <w:t xml:space="preserve"> </w:t>
      </w:r>
      <w:r>
        <w:rPr>
          <w:color w:val="231F20"/>
        </w:rPr>
        <w:t>one</w:t>
      </w:r>
      <w:r>
        <w:rPr>
          <w:color w:val="231F20"/>
          <w:spacing w:val="10"/>
        </w:rPr>
        <w:t xml:space="preserve"> </w:t>
      </w:r>
      <w:r>
        <w:rPr>
          <w:color w:val="231F20"/>
        </w:rPr>
        <w:t>can</w:t>
      </w:r>
      <w:r>
        <w:rPr>
          <w:color w:val="231F20"/>
          <w:spacing w:val="10"/>
        </w:rPr>
        <w:t xml:space="preserve"> </w:t>
      </w:r>
      <w:r>
        <w:rPr>
          <w:color w:val="231F20"/>
        </w:rPr>
        <w:t>see</w:t>
      </w:r>
      <w:r>
        <w:rPr>
          <w:color w:val="231F20"/>
          <w:spacing w:val="10"/>
        </w:rPr>
        <w:t xml:space="preserve"> </w:t>
      </w:r>
      <w:r>
        <w:rPr>
          <w:color w:val="231F20"/>
        </w:rPr>
        <w:t>by</w:t>
      </w:r>
      <w:r>
        <w:rPr>
          <w:color w:val="231F20"/>
          <w:spacing w:val="10"/>
        </w:rPr>
        <w:t xml:space="preserve"> </w:t>
      </w:r>
      <w:r>
        <w:rPr>
          <w:color w:val="231F20"/>
        </w:rPr>
        <w:t>the</w:t>
      </w:r>
      <w:r>
        <w:rPr>
          <w:color w:val="231F20"/>
          <w:spacing w:val="10"/>
        </w:rPr>
        <w:t xml:space="preserve"> </w:t>
      </w:r>
      <w:r>
        <w:rPr>
          <w:color w:val="231F20"/>
        </w:rPr>
        <w:t>Munich</w:t>
      </w:r>
      <w:r>
        <w:rPr>
          <w:color w:val="231F20"/>
          <w:spacing w:val="10"/>
        </w:rPr>
        <w:t xml:space="preserve"> </w:t>
      </w:r>
      <w:r>
        <w:rPr>
          <w:color w:val="231F20"/>
        </w:rPr>
        <w:t>example.</w:t>
      </w:r>
    </w:p>
    <w:p w14:paraId="2358781C" w14:textId="77777777" w:rsidR="002653E8" w:rsidRDefault="003115E3">
      <w:pPr>
        <w:pStyle w:val="a3"/>
        <w:spacing w:line="264" w:lineRule="auto"/>
        <w:ind w:left="1147" w:right="1326" w:firstLine="210"/>
        <w:jc w:val="both"/>
      </w:pPr>
      <w:r>
        <w:rPr>
          <w:color w:val="231F20"/>
        </w:rPr>
        <w:t>Camouflaged by political reformism, the concentration of state and economic power accelerates. What Schiller has achieved with his financial policy and Strauß has pushed through with his financial reforms is an increase in exploitation through the intensification of work and heightened division of labor in the productive sector, and through long-term rationalization in the administrative sector and the service industries.</w:t>
      </w:r>
    </w:p>
    <w:p w14:paraId="14048C09" w14:textId="77777777" w:rsidR="002653E8" w:rsidRDefault="003115E3">
      <w:pPr>
        <w:pStyle w:val="a3"/>
        <w:spacing w:line="264" w:lineRule="auto"/>
        <w:ind w:left="1147" w:right="1326" w:firstLine="210"/>
        <w:jc w:val="both"/>
      </w:pPr>
      <w:r>
        <w:rPr>
          <w:color w:val="231F20"/>
        </w:rPr>
        <w:t xml:space="preserve">The concentration of violent power in the hands of the few can occur unopposed if it is done quietly, if unnecessary provocation, which can set a process of solidarity in motion, is avoided—that is something that was learned as a result of the student movement and the Paris </w:t>
      </w:r>
      <w:r>
        <w:rPr>
          <w:color w:val="231F20"/>
          <w:spacing w:val="-4"/>
        </w:rPr>
        <w:t xml:space="preserve">May. </w:t>
      </w:r>
      <w:r>
        <w:rPr>
          <w:color w:val="231F20"/>
        </w:rPr>
        <w:t>Therefore, the Red Cells</w:t>
      </w:r>
      <w:r>
        <w:rPr>
          <w:color w:val="231F20"/>
          <w:position w:val="7"/>
          <w:sz w:val="11"/>
        </w:rPr>
        <w:t xml:space="preserve">1 </w:t>
      </w:r>
      <w:r>
        <w:rPr>
          <w:color w:val="231F20"/>
        </w:rPr>
        <w:t xml:space="preserve">are not yet banned. Therefore  the  </w:t>
      </w:r>
      <w:r>
        <w:rPr>
          <w:color w:val="231F20"/>
          <w:spacing w:val="2"/>
        </w:rPr>
        <w:t xml:space="preserve">KP  </w:t>
      </w:r>
      <w:r>
        <w:rPr>
          <w:color w:val="231F20"/>
        </w:rPr>
        <w:t xml:space="preserve">can exist as the </w:t>
      </w:r>
      <w:r>
        <w:rPr>
          <w:color w:val="231F20"/>
          <w:spacing w:val="1"/>
        </w:rPr>
        <w:t xml:space="preserve">DKP </w:t>
      </w:r>
      <w:r>
        <w:rPr>
          <w:color w:val="231F20"/>
        </w:rPr>
        <w:t xml:space="preserve">without the ban on the </w:t>
      </w:r>
      <w:r>
        <w:rPr>
          <w:color w:val="231F20"/>
          <w:spacing w:val="2"/>
        </w:rPr>
        <w:t xml:space="preserve">KP  </w:t>
      </w:r>
      <w:r>
        <w:rPr>
          <w:color w:val="231F20"/>
        </w:rPr>
        <w:t xml:space="preserve">being  lifted.  Therefore there are still some liberal television programs. And, therefore, some organizations can get </w:t>
      </w:r>
      <w:r>
        <w:rPr>
          <w:color w:val="231F20"/>
          <w:spacing w:val="-3"/>
        </w:rPr>
        <w:t xml:space="preserve">away </w:t>
      </w:r>
      <w:r>
        <w:rPr>
          <w:color w:val="231F20"/>
        </w:rPr>
        <w:t>with thinking that they are not as stupid as they really</w:t>
      </w:r>
      <w:r>
        <w:rPr>
          <w:color w:val="231F20"/>
          <w:spacing w:val="20"/>
        </w:rPr>
        <w:t xml:space="preserve"> </w:t>
      </w:r>
      <w:r>
        <w:rPr>
          <w:color w:val="231F20"/>
        </w:rPr>
        <w:t>are.</w:t>
      </w:r>
    </w:p>
    <w:p w14:paraId="0D7D0226" w14:textId="77777777" w:rsidR="002653E8" w:rsidRDefault="00000000">
      <w:pPr>
        <w:pStyle w:val="a3"/>
        <w:spacing w:before="2"/>
        <w:rPr>
          <w:sz w:val="13"/>
        </w:rPr>
      </w:pPr>
      <w:r>
        <w:rPr>
          <w:noProof w:val="0"/>
        </w:rPr>
        <w:pict w14:anchorId="0098D45D">
          <v:line id="_x0000_s2605" style="position:absolute;z-index:3616;mso-wrap-distance-left:0;mso-wrap-distance-right:0;mso-position-horizontal-relative:page" from="57.4pt,9.95pt" to="129.4pt,9.95pt" strokecolor="#231f20" strokeweight=".5pt">
            <w10:wrap type="topAndBottom" anchorx="page"/>
          </v:line>
        </w:pict>
      </w:r>
    </w:p>
    <w:p w14:paraId="0FC82D38" w14:textId="77777777" w:rsidR="002653E8" w:rsidRDefault="003115E3">
      <w:pPr>
        <w:spacing w:before="53"/>
        <w:ind w:left="1147"/>
        <w:rPr>
          <w:sz w:val="16"/>
        </w:rPr>
      </w:pPr>
      <w:r>
        <w:rPr>
          <w:color w:val="231F20"/>
          <w:w w:val="105"/>
          <w:sz w:val="16"/>
        </w:rPr>
        <w:t>1 The Red Cells were an independent university-based Marxist organization.</w:t>
      </w:r>
    </w:p>
    <w:p w14:paraId="0D7B86C7" w14:textId="77777777" w:rsidR="002653E8" w:rsidRDefault="002653E8">
      <w:pPr>
        <w:rPr>
          <w:sz w:val="16"/>
        </w:rPr>
        <w:sectPr w:rsidR="002653E8">
          <w:pgSz w:w="8640" w:h="12960"/>
          <w:pgMar w:top="1060" w:right="0" w:bottom="1040" w:left="0" w:header="0" w:footer="850" w:gutter="0"/>
          <w:cols w:space="720"/>
        </w:sectPr>
      </w:pPr>
    </w:p>
    <w:p w14:paraId="56EE3411" w14:textId="77777777" w:rsidR="002653E8" w:rsidRDefault="003115E3">
      <w:pPr>
        <w:pStyle w:val="a3"/>
        <w:spacing w:before="86" w:line="264" w:lineRule="auto"/>
        <w:ind w:left="1327" w:right="1146" w:firstLine="210"/>
        <w:jc w:val="both"/>
      </w:pPr>
      <w:r>
        <w:rPr>
          <w:color w:val="231F20"/>
        </w:rPr>
        <w:lastRenderedPageBreak/>
        <w:t xml:space="preserve">The margin of legality that reformism affords is capital’s response     to the attacks of the student movement and the </w:t>
      </w:r>
      <w:r>
        <w:rPr>
          <w:color w:val="231F20"/>
          <w:spacing w:val="2"/>
        </w:rPr>
        <w:t xml:space="preserve">APO—the </w:t>
      </w:r>
      <w:r>
        <w:rPr>
          <w:color w:val="231F20"/>
        </w:rPr>
        <w:t xml:space="preserve">reformist response is the more effective one, so long as they can manage it. </w:t>
      </w:r>
      <w:r>
        <w:rPr>
          <w:color w:val="231F20"/>
          <w:spacing w:val="-8"/>
        </w:rPr>
        <w:t xml:space="preserve">To </w:t>
      </w:r>
      <w:r>
        <w:rPr>
          <w:color w:val="231F20"/>
        </w:rPr>
        <w:t xml:space="preserve">rely on this legality, to count on it, to perpetuate it metaphysically, to base statistical projections on it, to want to defend it, means repeating the errors of the Latin American self-defense zones. It means you </w:t>
      </w:r>
      <w:r>
        <w:rPr>
          <w:color w:val="231F20"/>
          <w:spacing w:val="-3"/>
        </w:rPr>
        <w:t xml:space="preserve">haven’t </w:t>
      </w:r>
      <w:r>
        <w:rPr>
          <w:color w:val="231F20"/>
        </w:rPr>
        <w:t xml:space="preserve">learned anything and have provided the reactionaries with time to regroup and reorganize, creating a situation in which they </w:t>
      </w:r>
      <w:r>
        <w:rPr>
          <w:color w:val="231F20"/>
          <w:spacing w:val="-4"/>
        </w:rPr>
        <w:t xml:space="preserve">won’t </w:t>
      </w:r>
      <w:r>
        <w:rPr>
          <w:color w:val="231F20"/>
        </w:rPr>
        <w:t>ban the left, they’ll smash</w:t>
      </w:r>
      <w:r>
        <w:rPr>
          <w:color w:val="231F20"/>
          <w:spacing w:val="33"/>
        </w:rPr>
        <w:t xml:space="preserve"> </w:t>
      </w:r>
      <w:r>
        <w:rPr>
          <w:color w:val="231F20"/>
        </w:rPr>
        <w:t>it.</w:t>
      </w:r>
    </w:p>
    <w:p w14:paraId="0B505DB9" w14:textId="77777777" w:rsidR="002653E8" w:rsidRDefault="003115E3">
      <w:pPr>
        <w:pStyle w:val="a3"/>
        <w:spacing w:line="264" w:lineRule="auto"/>
        <w:ind w:left="1328" w:right="1145" w:firstLine="209"/>
        <w:jc w:val="both"/>
      </w:pPr>
      <w:r>
        <w:rPr>
          <w:color w:val="231F20"/>
        </w:rPr>
        <w:t xml:space="preserve">Willy </w:t>
      </w:r>
      <w:r>
        <w:rPr>
          <w:color w:val="231F20"/>
          <w:spacing w:val="-3"/>
        </w:rPr>
        <w:t>Weyer</w:t>
      </w:r>
      <w:r>
        <w:rPr>
          <w:color w:val="231F20"/>
          <w:spacing w:val="-3"/>
          <w:position w:val="7"/>
          <w:sz w:val="11"/>
        </w:rPr>
        <w:t xml:space="preserve">2 </w:t>
      </w:r>
      <w:r>
        <w:rPr>
          <w:color w:val="231F20"/>
        </w:rPr>
        <w:t xml:space="preserve">doesn’t play at tolerance. When the liberal press complains that his highway breathalyzers treat all drivers like potential criminals, he maneuvers and audaciously responds, </w:t>
      </w:r>
      <w:r>
        <w:rPr>
          <w:color w:val="231F20"/>
          <w:spacing w:val="-3"/>
        </w:rPr>
        <w:t xml:space="preserve">“We </w:t>
      </w:r>
      <w:r>
        <w:rPr>
          <w:color w:val="231F20"/>
        </w:rPr>
        <w:t xml:space="preserve">will </w:t>
      </w:r>
      <w:r>
        <w:rPr>
          <w:color w:val="231F20"/>
          <w:spacing w:val="1"/>
        </w:rPr>
        <w:t xml:space="preserve">carry </w:t>
      </w:r>
      <w:r>
        <w:rPr>
          <w:color w:val="231F20"/>
        </w:rPr>
        <w:t>on!”—and in so doing he demonstrates the irrelevance of the liberal public. Eduard Zimmerman creates a whole nation  of  police  agents, and the Springer Corporation has taken on the role of leading the Berlin police—</w:t>
      </w:r>
      <w:r>
        <w:rPr>
          <w:i/>
          <w:color w:val="231F20"/>
        </w:rPr>
        <w:t xml:space="preserve">Bild Zeitung </w:t>
      </w:r>
      <w:r>
        <w:rPr>
          <w:color w:val="231F20"/>
        </w:rPr>
        <w:t>columnist Reer recommends arrest warrants  to the custodial judges. The mass mobilization in favor of fascism, of crackdowns, of the death penalty, and for more and better-armed police carries on unabated—the New Look of the Brandt-Heinemann-Scheel administration</w:t>
      </w:r>
      <w:r>
        <w:rPr>
          <w:color w:val="231F20"/>
          <w:spacing w:val="10"/>
        </w:rPr>
        <w:t xml:space="preserve"> </w:t>
      </w:r>
      <w:r>
        <w:rPr>
          <w:color w:val="231F20"/>
        </w:rPr>
        <w:t>is</w:t>
      </w:r>
      <w:r>
        <w:rPr>
          <w:color w:val="231F20"/>
          <w:spacing w:val="10"/>
        </w:rPr>
        <w:t xml:space="preserve"> </w:t>
      </w:r>
      <w:r>
        <w:rPr>
          <w:color w:val="231F20"/>
        </w:rPr>
        <w:t>a</w:t>
      </w:r>
      <w:r>
        <w:rPr>
          <w:color w:val="231F20"/>
          <w:spacing w:val="10"/>
        </w:rPr>
        <w:t xml:space="preserve"> </w:t>
      </w:r>
      <w:r>
        <w:rPr>
          <w:color w:val="231F20"/>
        </w:rPr>
        <w:t>facade</w:t>
      </w:r>
      <w:r>
        <w:rPr>
          <w:color w:val="231F20"/>
          <w:spacing w:val="10"/>
        </w:rPr>
        <w:t xml:space="preserve"> </w:t>
      </w:r>
      <w:r>
        <w:rPr>
          <w:color w:val="231F20"/>
        </w:rPr>
        <w:t>for</w:t>
      </w:r>
      <w:r>
        <w:rPr>
          <w:color w:val="231F20"/>
          <w:spacing w:val="10"/>
        </w:rPr>
        <w:t xml:space="preserve"> </w:t>
      </w:r>
      <w:r>
        <w:rPr>
          <w:color w:val="231F20"/>
        </w:rPr>
        <w:t>Bonn’s</w:t>
      </w:r>
      <w:r>
        <w:rPr>
          <w:color w:val="231F20"/>
          <w:spacing w:val="10"/>
        </w:rPr>
        <w:t xml:space="preserve"> </w:t>
      </w:r>
      <w:r>
        <w:rPr>
          <w:color w:val="231F20"/>
        </w:rPr>
        <w:t>policies.</w:t>
      </w:r>
    </w:p>
    <w:p w14:paraId="25284B1D" w14:textId="77777777" w:rsidR="002653E8" w:rsidRDefault="003115E3">
      <w:pPr>
        <w:pStyle w:val="a3"/>
        <w:spacing w:line="264" w:lineRule="auto"/>
        <w:ind w:left="1328" w:right="1145" w:firstLine="210"/>
        <w:jc w:val="both"/>
      </w:pPr>
      <w:r>
        <w:rPr>
          <w:color w:val="231F20"/>
        </w:rPr>
        <w:t>The comrades who only deal with the question of legality and illegality superficially have obviously misunderstood the amnesty with which the student movement was to be tamed. In lifting the criminalization of hundreds of students, they sent them away with just a fright, preventing further radicalization and impressing upon them the value of the privileges that come with being a bourgeois student—that in spite of the nature of the knowledge-factory, the universities are helpful to social climbers. This deepens the class divide between students and the proletariat, between their privileged everyday life and the everyday life of those who do the shit work and who were not offered the same amnesty by the same class enemy. So once again the division between theory and practice is maintained. The equation: amnesty equals pacification.</w:t>
      </w:r>
    </w:p>
    <w:p w14:paraId="15D66743" w14:textId="77777777" w:rsidR="002653E8" w:rsidRDefault="003115E3">
      <w:pPr>
        <w:pStyle w:val="a3"/>
        <w:spacing w:line="221" w:lineRule="exact"/>
        <w:ind w:left="1538"/>
      </w:pPr>
      <w:r>
        <w:rPr>
          <w:color w:val="231F20"/>
        </w:rPr>
        <w:t>The social democratic voter initiative involving some respected writ-</w:t>
      </w:r>
    </w:p>
    <w:p w14:paraId="5D443301" w14:textId="77777777" w:rsidR="002653E8" w:rsidRDefault="003115E3">
      <w:pPr>
        <w:pStyle w:val="a3"/>
        <w:spacing w:before="2" w:line="264" w:lineRule="auto"/>
        <w:ind w:left="1328" w:right="1145"/>
      </w:pPr>
      <w:r>
        <w:rPr>
          <w:color w:val="231F20"/>
        </w:rPr>
        <w:t>ers—not only that fuck-up, Grass</w:t>
      </w:r>
      <w:r>
        <w:rPr>
          <w:color w:val="231F20"/>
          <w:position w:val="7"/>
          <w:sz w:val="11"/>
        </w:rPr>
        <w:t>3</w:t>
      </w:r>
      <w:r>
        <w:rPr>
          <w:color w:val="231F20"/>
        </w:rPr>
        <w:t>—is an attempt at a positive, democratic mobilization, and is a form of resistance against fascism, and</w:t>
      </w:r>
    </w:p>
    <w:p w14:paraId="1C659A03" w14:textId="77777777" w:rsidR="002653E8" w:rsidRDefault="00000000">
      <w:pPr>
        <w:pStyle w:val="a3"/>
        <w:spacing w:before="8"/>
        <w:rPr>
          <w:sz w:val="26"/>
        </w:rPr>
      </w:pPr>
      <w:r>
        <w:rPr>
          <w:noProof w:val="0"/>
        </w:rPr>
        <w:pict w14:anchorId="0217ABB0">
          <v:line id="_x0000_s2604" style="position:absolute;z-index:3640;mso-wrap-distance-left:0;mso-wrap-distance-right:0;mso-position-horizontal-relative:page" from="66.4pt,17.85pt" to="138.4pt,17.85pt" strokecolor="#231f20" strokeweight=".5pt">
            <w10:wrap type="topAndBottom" anchorx="page"/>
          </v:line>
        </w:pict>
      </w:r>
    </w:p>
    <w:p w14:paraId="00D2271B" w14:textId="77777777" w:rsidR="002653E8" w:rsidRDefault="003115E3">
      <w:pPr>
        <w:pStyle w:val="a4"/>
        <w:numPr>
          <w:ilvl w:val="0"/>
          <w:numId w:val="27"/>
        </w:numPr>
        <w:tabs>
          <w:tab w:val="left" w:pos="1467"/>
        </w:tabs>
        <w:spacing w:before="53" w:line="254" w:lineRule="auto"/>
        <w:ind w:right="1236" w:firstLine="0"/>
        <w:rPr>
          <w:sz w:val="16"/>
        </w:rPr>
      </w:pPr>
      <w:r>
        <w:rPr>
          <w:color w:val="231F20"/>
          <w:w w:val="105"/>
          <w:sz w:val="16"/>
        </w:rPr>
        <w:t xml:space="preserve">Willy Weyer (SPD) was, at this time, the Minister of the Interior for North </w:t>
      </w:r>
      <w:r>
        <w:rPr>
          <w:color w:val="231F20"/>
          <w:spacing w:val="1"/>
          <w:w w:val="105"/>
          <w:sz w:val="16"/>
        </w:rPr>
        <w:t xml:space="preserve">Rhine </w:t>
      </w:r>
      <w:r>
        <w:rPr>
          <w:color w:val="231F20"/>
          <w:w w:val="105"/>
          <w:sz w:val="16"/>
        </w:rPr>
        <w:t>Westphalia</w:t>
      </w:r>
      <w:r>
        <w:rPr>
          <w:color w:val="231F20"/>
          <w:spacing w:val="8"/>
          <w:w w:val="105"/>
          <w:sz w:val="16"/>
        </w:rPr>
        <w:t xml:space="preserve"> </w:t>
      </w:r>
      <w:r>
        <w:rPr>
          <w:color w:val="231F20"/>
          <w:w w:val="105"/>
          <w:sz w:val="16"/>
        </w:rPr>
        <w:t>and</w:t>
      </w:r>
      <w:r>
        <w:rPr>
          <w:color w:val="231F20"/>
          <w:spacing w:val="8"/>
          <w:w w:val="105"/>
          <w:sz w:val="16"/>
        </w:rPr>
        <w:t xml:space="preserve"> </w:t>
      </w:r>
      <w:r>
        <w:rPr>
          <w:color w:val="231F20"/>
          <w:w w:val="105"/>
          <w:sz w:val="16"/>
        </w:rPr>
        <w:t>a</w:t>
      </w:r>
      <w:r>
        <w:rPr>
          <w:color w:val="231F20"/>
          <w:spacing w:val="8"/>
          <w:w w:val="105"/>
          <w:sz w:val="16"/>
        </w:rPr>
        <w:t xml:space="preserve"> </w:t>
      </w:r>
      <w:r>
        <w:rPr>
          <w:color w:val="231F20"/>
          <w:w w:val="105"/>
          <w:sz w:val="16"/>
        </w:rPr>
        <w:t>key</w:t>
      </w:r>
      <w:r>
        <w:rPr>
          <w:color w:val="231F20"/>
          <w:spacing w:val="8"/>
          <w:w w:val="105"/>
          <w:sz w:val="16"/>
        </w:rPr>
        <w:t xml:space="preserve"> </w:t>
      </w:r>
      <w:r>
        <w:rPr>
          <w:color w:val="231F20"/>
          <w:w w:val="105"/>
          <w:sz w:val="16"/>
        </w:rPr>
        <w:t>proponent</w:t>
      </w:r>
      <w:r>
        <w:rPr>
          <w:color w:val="231F20"/>
          <w:spacing w:val="8"/>
          <w:w w:val="105"/>
          <w:sz w:val="16"/>
        </w:rPr>
        <w:t xml:space="preserve"> </w:t>
      </w:r>
      <w:r>
        <w:rPr>
          <w:color w:val="231F20"/>
          <w:w w:val="105"/>
          <w:sz w:val="16"/>
        </w:rPr>
        <w:t>of</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militarization</w:t>
      </w:r>
      <w:r>
        <w:rPr>
          <w:color w:val="231F20"/>
          <w:spacing w:val="8"/>
          <w:w w:val="105"/>
          <w:sz w:val="16"/>
        </w:rPr>
        <w:t xml:space="preserve"> </w:t>
      </w:r>
      <w:r>
        <w:rPr>
          <w:color w:val="231F20"/>
          <w:w w:val="105"/>
          <w:sz w:val="16"/>
        </w:rPr>
        <w:t>of</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police</w:t>
      </w:r>
      <w:r>
        <w:rPr>
          <w:color w:val="231F20"/>
          <w:spacing w:val="8"/>
          <w:w w:val="105"/>
          <w:sz w:val="16"/>
        </w:rPr>
        <w:t xml:space="preserve"> </w:t>
      </w:r>
      <w:r>
        <w:rPr>
          <w:color w:val="231F20"/>
          <w:w w:val="105"/>
          <w:sz w:val="16"/>
        </w:rPr>
        <w:t>force.</w:t>
      </w:r>
    </w:p>
    <w:p w14:paraId="1932EB43" w14:textId="77777777" w:rsidR="002653E8" w:rsidRDefault="003115E3">
      <w:pPr>
        <w:pStyle w:val="a4"/>
        <w:numPr>
          <w:ilvl w:val="0"/>
          <w:numId w:val="27"/>
        </w:numPr>
        <w:tabs>
          <w:tab w:val="left" w:pos="1467"/>
        </w:tabs>
        <w:spacing w:line="254" w:lineRule="auto"/>
        <w:ind w:right="1301" w:firstLine="0"/>
        <w:rPr>
          <w:sz w:val="16"/>
        </w:rPr>
      </w:pPr>
      <w:r>
        <w:rPr>
          <w:color w:val="231F20"/>
          <w:w w:val="105"/>
          <w:sz w:val="16"/>
        </w:rPr>
        <w:t xml:space="preserve">At the time a member of </w:t>
      </w:r>
      <w:r>
        <w:rPr>
          <w:i/>
          <w:color w:val="231F20"/>
          <w:spacing w:val="1"/>
          <w:w w:val="105"/>
          <w:sz w:val="16"/>
        </w:rPr>
        <w:t xml:space="preserve">Gruppe </w:t>
      </w:r>
      <w:r>
        <w:rPr>
          <w:i/>
          <w:color w:val="231F20"/>
          <w:spacing w:val="-4"/>
          <w:w w:val="105"/>
          <w:sz w:val="16"/>
        </w:rPr>
        <w:t xml:space="preserve">47, </w:t>
      </w:r>
      <w:r>
        <w:rPr>
          <w:color w:val="231F20"/>
          <w:w w:val="105"/>
          <w:sz w:val="16"/>
        </w:rPr>
        <w:t>Günter Grass is one on the most significant German</w:t>
      </w:r>
      <w:r>
        <w:rPr>
          <w:color w:val="231F20"/>
          <w:spacing w:val="7"/>
          <w:w w:val="105"/>
          <w:sz w:val="16"/>
        </w:rPr>
        <w:t xml:space="preserve"> </w:t>
      </w:r>
      <w:r>
        <w:rPr>
          <w:color w:val="231F20"/>
          <w:w w:val="105"/>
          <w:sz w:val="16"/>
        </w:rPr>
        <w:t>post-World</w:t>
      </w:r>
      <w:r>
        <w:rPr>
          <w:color w:val="231F20"/>
          <w:spacing w:val="7"/>
          <w:w w:val="105"/>
          <w:sz w:val="16"/>
        </w:rPr>
        <w:t xml:space="preserve"> </w:t>
      </w:r>
      <w:r>
        <w:rPr>
          <w:color w:val="231F20"/>
          <w:w w:val="105"/>
          <w:sz w:val="16"/>
        </w:rPr>
        <w:t>War</w:t>
      </w:r>
      <w:r>
        <w:rPr>
          <w:color w:val="231F20"/>
          <w:spacing w:val="7"/>
          <w:w w:val="105"/>
          <w:sz w:val="16"/>
        </w:rPr>
        <w:t xml:space="preserve"> </w:t>
      </w:r>
      <w:r>
        <w:rPr>
          <w:color w:val="231F20"/>
          <w:spacing w:val="2"/>
          <w:w w:val="105"/>
          <w:sz w:val="16"/>
        </w:rPr>
        <w:t>II</w:t>
      </w:r>
      <w:r>
        <w:rPr>
          <w:color w:val="231F20"/>
          <w:spacing w:val="7"/>
          <w:w w:val="105"/>
          <w:sz w:val="16"/>
        </w:rPr>
        <w:t xml:space="preserve"> </w:t>
      </w:r>
      <w:r>
        <w:rPr>
          <w:color w:val="231F20"/>
          <w:w w:val="105"/>
          <w:sz w:val="16"/>
        </w:rPr>
        <w:t>authors</w:t>
      </w:r>
      <w:r>
        <w:rPr>
          <w:color w:val="231F20"/>
          <w:spacing w:val="7"/>
          <w:w w:val="105"/>
          <w:sz w:val="16"/>
        </w:rPr>
        <w:t xml:space="preserve"> </w:t>
      </w:r>
      <w:r>
        <w:rPr>
          <w:color w:val="231F20"/>
          <w:w w:val="105"/>
          <w:sz w:val="16"/>
        </w:rPr>
        <w:t>and</w:t>
      </w:r>
      <w:r>
        <w:rPr>
          <w:color w:val="231F20"/>
          <w:spacing w:val="7"/>
          <w:w w:val="105"/>
          <w:sz w:val="16"/>
        </w:rPr>
        <w:t xml:space="preserve"> </w:t>
      </w:r>
      <w:r>
        <w:rPr>
          <w:color w:val="231F20"/>
          <w:w w:val="105"/>
          <w:sz w:val="16"/>
        </w:rPr>
        <w:t>a</w:t>
      </w:r>
      <w:r>
        <w:rPr>
          <w:color w:val="231F20"/>
          <w:spacing w:val="7"/>
          <w:w w:val="105"/>
          <w:sz w:val="16"/>
        </w:rPr>
        <w:t xml:space="preserve"> </w:t>
      </w:r>
      <w:r>
        <w:rPr>
          <w:color w:val="231F20"/>
          <w:w w:val="105"/>
          <w:sz w:val="16"/>
        </w:rPr>
        <w:t>noted</w:t>
      </w:r>
      <w:r>
        <w:rPr>
          <w:color w:val="231F20"/>
          <w:spacing w:val="7"/>
          <w:w w:val="105"/>
          <w:sz w:val="16"/>
        </w:rPr>
        <w:t xml:space="preserve"> </w:t>
      </w:r>
      <w:r>
        <w:rPr>
          <w:color w:val="231F20"/>
          <w:w w:val="105"/>
          <w:sz w:val="16"/>
        </w:rPr>
        <w:t>liberal.</w:t>
      </w:r>
    </w:p>
    <w:p w14:paraId="51782283" w14:textId="77777777" w:rsidR="002653E8" w:rsidRDefault="002653E8">
      <w:pPr>
        <w:spacing w:line="254" w:lineRule="auto"/>
        <w:rPr>
          <w:sz w:val="16"/>
        </w:rPr>
        <w:sectPr w:rsidR="002653E8">
          <w:pgSz w:w="8640" w:h="12960"/>
          <w:pgMar w:top="1060" w:right="0" w:bottom="1040" w:left="0" w:header="0" w:footer="850" w:gutter="0"/>
          <w:cols w:space="720"/>
        </w:sectPr>
      </w:pPr>
    </w:p>
    <w:p w14:paraId="08D0D146" w14:textId="77777777" w:rsidR="002653E8" w:rsidRDefault="003115E3">
      <w:pPr>
        <w:pStyle w:val="a3"/>
        <w:spacing w:before="86" w:line="264" w:lineRule="auto"/>
        <w:ind w:left="1147" w:right="1326"/>
        <w:jc w:val="both"/>
      </w:pPr>
      <w:r>
        <w:rPr>
          <w:color w:val="231F20"/>
        </w:rPr>
        <w:lastRenderedPageBreak/>
        <w:t xml:space="preserve">therefore should not be dismissed lightly. It is having some effect on the reality presented by certain publishers and some radio and television editorial departments, those that have not yet capitulated to the logic of the monopolies and have not yet been absorbed into the superstructure, with its overarching political reality. The areas of increasing repression are not those with which writers are normally concerned: prison, class justice, intensified work, work-related accidents, installment plans, schools, </w:t>
      </w:r>
      <w:r>
        <w:rPr>
          <w:i/>
          <w:color w:val="231F20"/>
        </w:rPr>
        <w:t xml:space="preserve">Bild </w:t>
      </w:r>
      <w:r>
        <w:rPr>
          <w:color w:val="231F20"/>
        </w:rPr>
        <w:t xml:space="preserve">and the </w:t>
      </w:r>
      <w:r>
        <w:rPr>
          <w:i/>
          <w:color w:val="231F20"/>
        </w:rPr>
        <w:t>Berliner Zeitung</w:t>
      </w:r>
      <w:r>
        <w:rPr>
          <w:color w:val="231F20"/>
        </w:rPr>
        <w:t>, barrack-style housing in the suburbs,</w:t>
      </w:r>
      <w:r>
        <w:rPr>
          <w:color w:val="231F20"/>
          <w:position w:val="7"/>
          <w:sz w:val="11"/>
        </w:rPr>
        <w:t xml:space="preserve">1 </w:t>
      </w:r>
      <w:r>
        <w:rPr>
          <w:color w:val="231F20"/>
        </w:rPr>
        <w:t>and ghettos for foreigners—all of this troubles these writers aesthetically, not politically.</w:t>
      </w:r>
    </w:p>
    <w:p w14:paraId="4DF925C6" w14:textId="77777777" w:rsidR="002653E8" w:rsidRDefault="003115E3">
      <w:pPr>
        <w:pStyle w:val="a3"/>
        <w:spacing w:line="264" w:lineRule="auto"/>
        <w:ind w:left="1147" w:right="1326" w:firstLine="210"/>
        <w:jc w:val="both"/>
      </w:pPr>
      <w:r>
        <w:rPr>
          <w:color w:val="231F20"/>
        </w:rPr>
        <w:t>Legality is the ideology of parliamentarianism, of social partnership, and of a pluralistic society. Legality becomes a fetish when those who insist upon it ignore the fact that phones are legally tapped, mail is legally monitored, neighbors are legally interrogated, and informants are legally paid. The organization of political work, if it is not to be under constant observation by the political police, must be simultaneously conducted both legally and illegally.</w:t>
      </w:r>
    </w:p>
    <w:p w14:paraId="6A2AF15F" w14:textId="77777777" w:rsidR="002653E8" w:rsidRDefault="003115E3">
      <w:pPr>
        <w:pStyle w:val="a3"/>
        <w:spacing w:line="264" w:lineRule="auto"/>
        <w:ind w:left="1147" w:right="1326" w:firstLine="210"/>
        <w:jc w:val="both"/>
      </w:pPr>
      <w:r>
        <w:rPr>
          <w:color w:val="231F20"/>
          <w:spacing w:val="-5"/>
        </w:rPr>
        <w:t xml:space="preserve">We </w:t>
      </w:r>
      <w:r>
        <w:rPr>
          <w:color w:val="231F20"/>
          <w:spacing w:val="-3"/>
        </w:rPr>
        <w:t xml:space="preserve">don’t </w:t>
      </w:r>
      <w:r>
        <w:rPr>
          <w:color w:val="231F20"/>
        </w:rPr>
        <w:t xml:space="preserve">count on terror and fascism provoking a spontaneous antifascist mobilization, nor do we think that legality is always  corrupt. </w:t>
      </w:r>
      <w:r>
        <w:rPr>
          <w:color w:val="231F20"/>
          <w:spacing w:val="-5"/>
        </w:rPr>
        <w:t xml:space="preserve">We </w:t>
      </w:r>
      <w:r>
        <w:rPr>
          <w:color w:val="231F20"/>
        </w:rPr>
        <w:t xml:space="preserve">understand that our work offers pretexts, just as alcohol does for Willy </w:t>
      </w:r>
      <w:r>
        <w:rPr>
          <w:color w:val="231F20"/>
          <w:spacing w:val="-3"/>
        </w:rPr>
        <w:t xml:space="preserve">Weyer, </w:t>
      </w:r>
      <w:r>
        <w:rPr>
          <w:color w:val="231F20"/>
        </w:rPr>
        <w:t xml:space="preserve">just as the increase in crime does for Strauß, just as </w:t>
      </w:r>
      <w:r>
        <w:rPr>
          <w:i/>
          <w:color w:val="231F20"/>
        </w:rPr>
        <w:t xml:space="preserve">Ostpolitik </w:t>
      </w:r>
      <w:r>
        <w:rPr>
          <w:color w:val="231F20"/>
        </w:rPr>
        <w:t xml:space="preserve">does for Barzel, just as a </w:t>
      </w:r>
      <w:r>
        <w:rPr>
          <w:color w:val="231F20"/>
          <w:spacing w:val="-3"/>
        </w:rPr>
        <w:t xml:space="preserve">yugoslav  </w:t>
      </w:r>
      <w:r>
        <w:rPr>
          <w:color w:val="231F20"/>
        </w:rPr>
        <w:t>running a red light does   for a Frankfurt taxi driver, just as a tool in the pocket does for the murderers of car thieves in Berlin. Regarding other pretexts that result from the fact that we are communists, whether communists organize and</w:t>
      </w:r>
      <w:r>
        <w:rPr>
          <w:color w:val="231F20"/>
          <w:spacing w:val="-6"/>
        </w:rPr>
        <w:t xml:space="preserve"> </w:t>
      </w:r>
      <w:r>
        <w:rPr>
          <w:color w:val="231F20"/>
        </w:rPr>
        <w:t>struggle</w:t>
      </w:r>
      <w:r>
        <w:rPr>
          <w:color w:val="231F20"/>
          <w:spacing w:val="-6"/>
        </w:rPr>
        <w:t xml:space="preserve"> </w:t>
      </w:r>
      <w:r>
        <w:rPr>
          <w:color w:val="231F20"/>
        </w:rPr>
        <w:t>will</w:t>
      </w:r>
      <w:r>
        <w:rPr>
          <w:color w:val="231F20"/>
          <w:spacing w:val="-6"/>
        </w:rPr>
        <w:t xml:space="preserve"> </w:t>
      </w:r>
      <w:r>
        <w:rPr>
          <w:color w:val="231F20"/>
        </w:rPr>
        <w:t>depend</w:t>
      </w:r>
      <w:r>
        <w:rPr>
          <w:color w:val="231F20"/>
          <w:spacing w:val="-6"/>
        </w:rPr>
        <w:t xml:space="preserve"> </w:t>
      </w:r>
      <w:r>
        <w:rPr>
          <w:color w:val="231F20"/>
        </w:rPr>
        <w:t>on</w:t>
      </w:r>
      <w:r>
        <w:rPr>
          <w:color w:val="231F20"/>
          <w:spacing w:val="-6"/>
        </w:rPr>
        <w:t xml:space="preserve"> </w:t>
      </w:r>
      <w:r>
        <w:rPr>
          <w:color w:val="231F20"/>
        </w:rPr>
        <w:t>whether</w:t>
      </w:r>
      <w:r>
        <w:rPr>
          <w:color w:val="231F20"/>
          <w:spacing w:val="-6"/>
        </w:rPr>
        <w:t xml:space="preserve"> </w:t>
      </w:r>
      <w:r>
        <w:rPr>
          <w:color w:val="231F20"/>
        </w:rPr>
        <w:t>terror</w:t>
      </w:r>
      <w:r>
        <w:rPr>
          <w:color w:val="231F20"/>
          <w:spacing w:val="-6"/>
        </w:rPr>
        <w:t xml:space="preserve"> </w:t>
      </w:r>
      <w:r>
        <w:rPr>
          <w:color w:val="231F20"/>
        </w:rPr>
        <w:t>and</w:t>
      </w:r>
      <w:r>
        <w:rPr>
          <w:color w:val="231F20"/>
          <w:spacing w:val="-6"/>
        </w:rPr>
        <w:t xml:space="preserve"> </w:t>
      </w:r>
      <w:r>
        <w:rPr>
          <w:color w:val="231F20"/>
        </w:rPr>
        <w:t>repression</w:t>
      </w:r>
      <w:r>
        <w:rPr>
          <w:color w:val="231F20"/>
          <w:spacing w:val="-6"/>
        </w:rPr>
        <w:t xml:space="preserve"> </w:t>
      </w:r>
      <w:r>
        <w:rPr>
          <w:color w:val="231F20"/>
        </w:rPr>
        <w:t>produce</w:t>
      </w:r>
      <w:r>
        <w:rPr>
          <w:color w:val="231F20"/>
          <w:spacing w:val="-6"/>
        </w:rPr>
        <w:t xml:space="preserve"> </w:t>
      </w:r>
      <w:r>
        <w:rPr>
          <w:color w:val="231F20"/>
        </w:rPr>
        <w:t>only fear and resignation, or whether they produce resistance, class hatred, and solidarity, and whether or not everything goes smoothly for imperialism. It depends on whether communists are so stupid as to tolerate everything that is done to them, or whether they will use legality, as well as other methods, to organize illegality, instead of fetishizing one over the</w:t>
      </w:r>
      <w:r>
        <w:rPr>
          <w:color w:val="231F20"/>
          <w:spacing w:val="20"/>
        </w:rPr>
        <w:t xml:space="preserve"> </w:t>
      </w:r>
      <w:r>
        <w:rPr>
          <w:color w:val="231F20"/>
        </w:rPr>
        <w:t>other.</w:t>
      </w:r>
    </w:p>
    <w:p w14:paraId="0C7ABE8E" w14:textId="77777777" w:rsidR="002653E8" w:rsidRDefault="003115E3">
      <w:pPr>
        <w:spacing w:line="218" w:lineRule="exact"/>
        <w:ind w:left="1357"/>
        <w:rPr>
          <w:sz w:val="11"/>
        </w:rPr>
      </w:pPr>
      <w:r>
        <w:rPr>
          <w:color w:val="231F20"/>
          <w:sz w:val="20"/>
        </w:rPr>
        <w:t xml:space="preserve">The fate of both the Black Panther Party and </w:t>
      </w:r>
      <w:r>
        <w:rPr>
          <w:i/>
          <w:color w:val="231F20"/>
          <w:sz w:val="20"/>
        </w:rPr>
        <w:t>Gauche Prolétarienne</w:t>
      </w:r>
      <w:r>
        <w:rPr>
          <w:color w:val="231F20"/>
          <w:position w:val="7"/>
          <w:sz w:val="11"/>
        </w:rPr>
        <w:t>2</w:t>
      </w:r>
    </w:p>
    <w:p w14:paraId="5BECF66C" w14:textId="77777777" w:rsidR="002653E8" w:rsidRDefault="003115E3">
      <w:pPr>
        <w:pStyle w:val="a3"/>
        <w:spacing w:before="4" w:line="264" w:lineRule="auto"/>
        <w:ind w:left="1148" w:right="1326"/>
        <w:jc w:val="both"/>
      </w:pPr>
      <w:r>
        <w:rPr>
          <w:color w:val="231F20"/>
        </w:rPr>
        <w:t>resulted from an incorrect understanding of the contradiction between the  constitution  and  legal  reality  and  the  increased  intensity  of  this</w:t>
      </w:r>
    </w:p>
    <w:p w14:paraId="2CB666DA" w14:textId="77777777" w:rsidR="002653E8" w:rsidRDefault="00000000">
      <w:pPr>
        <w:pStyle w:val="a3"/>
        <w:spacing w:before="8"/>
        <w:rPr>
          <w:sz w:val="26"/>
        </w:rPr>
      </w:pPr>
      <w:r>
        <w:rPr>
          <w:noProof w:val="0"/>
        </w:rPr>
        <w:pict w14:anchorId="61221F62">
          <v:line id="_x0000_s2603" style="position:absolute;z-index:3664;mso-wrap-distance-left:0;mso-wrap-distance-right:0;mso-position-horizontal-relative:page" from="57.4pt,17.9pt" to="129.4pt,17.9pt" strokecolor="#231f20" strokeweight=".5pt">
            <w10:wrap type="topAndBottom" anchorx="page"/>
          </v:line>
        </w:pict>
      </w:r>
    </w:p>
    <w:p w14:paraId="6C9475F6" w14:textId="77777777" w:rsidR="002653E8" w:rsidRDefault="003115E3">
      <w:pPr>
        <w:pStyle w:val="a4"/>
        <w:numPr>
          <w:ilvl w:val="0"/>
          <w:numId w:val="161"/>
        </w:numPr>
        <w:tabs>
          <w:tab w:val="left" w:pos="1287"/>
        </w:tabs>
        <w:spacing w:before="53" w:line="254" w:lineRule="auto"/>
        <w:ind w:right="1356" w:firstLine="0"/>
        <w:jc w:val="left"/>
        <w:rPr>
          <w:sz w:val="16"/>
        </w:rPr>
      </w:pPr>
      <w:r>
        <w:rPr>
          <w:color w:val="231F20"/>
          <w:w w:val="105"/>
          <w:sz w:val="16"/>
        </w:rPr>
        <w:t xml:space="preserve">Unlike North America, suburbs in Northern Europe are generally occupied by the subproletariat and poorly paid </w:t>
      </w:r>
      <w:r>
        <w:rPr>
          <w:color w:val="231F20"/>
          <w:spacing w:val="1"/>
          <w:w w:val="105"/>
          <w:sz w:val="16"/>
        </w:rPr>
        <w:t>immigrant</w:t>
      </w:r>
      <w:r>
        <w:rPr>
          <w:color w:val="231F20"/>
          <w:spacing w:val="40"/>
          <w:w w:val="105"/>
          <w:sz w:val="16"/>
        </w:rPr>
        <w:t xml:space="preserve"> </w:t>
      </w:r>
      <w:r>
        <w:rPr>
          <w:color w:val="231F20"/>
          <w:w w:val="105"/>
          <w:sz w:val="16"/>
        </w:rPr>
        <w:t>workers.</w:t>
      </w:r>
    </w:p>
    <w:p w14:paraId="167E441F" w14:textId="77777777" w:rsidR="002653E8" w:rsidRDefault="003115E3">
      <w:pPr>
        <w:pStyle w:val="a4"/>
        <w:numPr>
          <w:ilvl w:val="0"/>
          <w:numId w:val="161"/>
        </w:numPr>
        <w:tabs>
          <w:tab w:val="left" w:pos="1287"/>
        </w:tabs>
        <w:spacing w:line="254" w:lineRule="auto"/>
        <w:ind w:right="1681" w:firstLine="0"/>
        <w:jc w:val="left"/>
        <w:rPr>
          <w:sz w:val="16"/>
        </w:rPr>
      </w:pPr>
      <w:r>
        <w:rPr>
          <w:i/>
          <w:color w:val="231F20"/>
          <w:w w:val="105"/>
          <w:sz w:val="16"/>
        </w:rPr>
        <w:t xml:space="preserve">Gauche </w:t>
      </w:r>
      <w:r>
        <w:rPr>
          <w:i/>
          <w:color w:val="231F20"/>
          <w:spacing w:val="1"/>
          <w:w w:val="105"/>
          <w:sz w:val="16"/>
        </w:rPr>
        <w:t xml:space="preserve">Prolétarienne </w:t>
      </w:r>
      <w:r>
        <w:rPr>
          <w:color w:val="231F20"/>
          <w:w w:val="105"/>
          <w:sz w:val="16"/>
        </w:rPr>
        <w:t>was a French Maoist organization that, in 1968, began attempts</w:t>
      </w:r>
      <w:r>
        <w:rPr>
          <w:color w:val="231F20"/>
          <w:spacing w:val="7"/>
          <w:w w:val="105"/>
          <w:sz w:val="16"/>
        </w:rPr>
        <w:t xml:space="preserve"> </w:t>
      </w:r>
      <w:r>
        <w:rPr>
          <w:color w:val="231F20"/>
          <w:w w:val="105"/>
          <w:sz w:val="16"/>
        </w:rPr>
        <w:t>to</w:t>
      </w:r>
      <w:r>
        <w:rPr>
          <w:color w:val="231F20"/>
          <w:spacing w:val="7"/>
          <w:w w:val="105"/>
          <w:sz w:val="16"/>
        </w:rPr>
        <w:t xml:space="preserve"> </w:t>
      </w:r>
      <w:r>
        <w:rPr>
          <w:color w:val="231F20"/>
          <w:w w:val="105"/>
          <w:sz w:val="16"/>
        </w:rPr>
        <w:t>build</w:t>
      </w:r>
      <w:r>
        <w:rPr>
          <w:color w:val="231F20"/>
          <w:spacing w:val="7"/>
          <w:w w:val="105"/>
          <w:sz w:val="16"/>
        </w:rPr>
        <w:t xml:space="preserve"> </w:t>
      </w:r>
      <w:r>
        <w:rPr>
          <w:color w:val="231F20"/>
          <w:w w:val="105"/>
          <w:sz w:val="16"/>
        </w:rPr>
        <w:t>a</w:t>
      </w:r>
      <w:r>
        <w:rPr>
          <w:color w:val="231F20"/>
          <w:spacing w:val="7"/>
          <w:w w:val="105"/>
          <w:sz w:val="16"/>
        </w:rPr>
        <w:t xml:space="preserve"> </w:t>
      </w:r>
      <w:r>
        <w:rPr>
          <w:color w:val="231F20"/>
          <w:w w:val="105"/>
          <w:sz w:val="16"/>
        </w:rPr>
        <w:t>factory-based</w:t>
      </w:r>
      <w:r>
        <w:rPr>
          <w:color w:val="231F20"/>
          <w:spacing w:val="7"/>
          <w:w w:val="105"/>
          <w:sz w:val="16"/>
        </w:rPr>
        <w:t xml:space="preserve"> </w:t>
      </w:r>
      <w:r>
        <w:rPr>
          <w:color w:val="231F20"/>
          <w:w w:val="105"/>
          <w:sz w:val="16"/>
        </w:rPr>
        <w:t>guerilla</w:t>
      </w:r>
      <w:r>
        <w:rPr>
          <w:color w:val="231F20"/>
          <w:spacing w:val="7"/>
          <w:w w:val="105"/>
          <w:sz w:val="16"/>
        </w:rPr>
        <w:t xml:space="preserve"> </w:t>
      </w:r>
      <w:r>
        <w:rPr>
          <w:color w:val="231F20"/>
          <w:w w:val="105"/>
          <w:sz w:val="16"/>
        </w:rPr>
        <w:t>group.</w:t>
      </w:r>
      <w:r>
        <w:rPr>
          <w:color w:val="231F20"/>
          <w:spacing w:val="7"/>
          <w:w w:val="105"/>
          <w:sz w:val="16"/>
        </w:rPr>
        <w:t xml:space="preserve"> </w:t>
      </w:r>
      <w:r>
        <w:rPr>
          <w:color w:val="231F20"/>
          <w:w w:val="105"/>
          <w:sz w:val="16"/>
        </w:rPr>
        <w:t>They</w:t>
      </w:r>
      <w:r>
        <w:rPr>
          <w:color w:val="231F20"/>
          <w:spacing w:val="7"/>
          <w:w w:val="105"/>
          <w:sz w:val="16"/>
        </w:rPr>
        <w:t xml:space="preserve"> </w:t>
      </w:r>
      <w:r>
        <w:rPr>
          <w:color w:val="231F20"/>
          <w:w w:val="105"/>
          <w:sz w:val="16"/>
        </w:rPr>
        <w:t>were</w:t>
      </w:r>
      <w:r>
        <w:rPr>
          <w:color w:val="231F20"/>
          <w:spacing w:val="7"/>
          <w:w w:val="105"/>
          <w:sz w:val="16"/>
        </w:rPr>
        <w:t xml:space="preserve"> </w:t>
      </w:r>
      <w:r>
        <w:rPr>
          <w:color w:val="231F20"/>
          <w:w w:val="105"/>
          <w:sz w:val="16"/>
        </w:rPr>
        <w:t>banned</w:t>
      </w:r>
      <w:r>
        <w:rPr>
          <w:color w:val="231F20"/>
          <w:spacing w:val="7"/>
          <w:w w:val="105"/>
          <w:sz w:val="16"/>
        </w:rPr>
        <w:t xml:space="preserve"> </w:t>
      </w:r>
      <w:r>
        <w:rPr>
          <w:color w:val="231F20"/>
          <w:w w:val="105"/>
          <w:sz w:val="16"/>
        </w:rPr>
        <w:t>in</w:t>
      </w:r>
      <w:r>
        <w:rPr>
          <w:color w:val="231F20"/>
          <w:spacing w:val="8"/>
          <w:w w:val="105"/>
          <w:sz w:val="16"/>
        </w:rPr>
        <w:t xml:space="preserve"> </w:t>
      </w:r>
      <w:r>
        <w:rPr>
          <w:color w:val="231F20"/>
          <w:w w:val="105"/>
          <w:sz w:val="16"/>
        </w:rPr>
        <w:t>1970.</w:t>
      </w:r>
    </w:p>
    <w:p w14:paraId="05082684" w14:textId="77777777" w:rsidR="002653E8" w:rsidRDefault="002653E8">
      <w:pPr>
        <w:spacing w:line="254" w:lineRule="auto"/>
        <w:rPr>
          <w:sz w:val="16"/>
        </w:rPr>
        <w:sectPr w:rsidR="002653E8">
          <w:pgSz w:w="8640" w:h="12960"/>
          <w:pgMar w:top="1060" w:right="0" w:bottom="1040" w:left="0" w:header="0" w:footer="850" w:gutter="0"/>
          <w:cols w:space="720"/>
        </w:sectPr>
      </w:pPr>
    </w:p>
    <w:p w14:paraId="24BA53D9" w14:textId="77777777" w:rsidR="002653E8" w:rsidRDefault="003115E3">
      <w:pPr>
        <w:pStyle w:val="a3"/>
        <w:spacing w:before="86" w:line="264" w:lineRule="auto"/>
        <w:ind w:left="1328" w:right="1145" w:hanging="1"/>
        <w:jc w:val="both"/>
      </w:pPr>
      <w:r>
        <w:rPr>
          <w:color w:val="231F20"/>
        </w:rPr>
        <w:lastRenderedPageBreak/>
        <w:t>contradiction when organized resistance occurs. And this incorrect understanding prevents people from seeing that the conditions of legality are</w:t>
      </w:r>
      <w:r>
        <w:rPr>
          <w:color w:val="231F20"/>
          <w:spacing w:val="-5"/>
        </w:rPr>
        <w:t xml:space="preserve"> </w:t>
      </w:r>
      <w:r>
        <w:rPr>
          <w:color w:val="231F20"/>
        </w:rPr>
        <w:t>changed</w:t>
      </w:r>
      <w:r>
        <w:rPr>
          <w:color w:val="231F20"/>
          <w:spacing w:val="-5"/>
        </w:rPr>
        <w:t xml:space="preserve"> </w:t>
      </w:r>
      <w:r>
        <w:rPr>
          <w:color w:val="231F20"/>
        </w:rPr>
        <w:t>by</w:t>
      </w:r>
      <w:r>
        <w:rPr>
          <w:color w:val="231F20"/>
          <w:spacing w:val="-5"/>
        </w:rPr>
        <w:t xml:space="preserve"> </w:t>
      </w:r>
      <w:r>
        <w:rPr>
          <w:color w:val="231F20"/>
        </w:rPr>
        <w:t>active</w:t>
      </w:r>
      <w:r>
        <w:rPr>
          <w:color w:val="231F20"/>
          <w:spacing w:val="-5"/>
        </w:rPr>
        <w:t xml:space="preserve"> </w:t>
      </w:r>
      <w:r>
        <w:rPr>
          <w:color w:val="231F20"/>
        </w:rPr>
        <w:t>resistance,</w:t>
      </w:r>
      <w:r>
        <w:rPr>
          <w:color w:val="231F20"/>
          <w:spacing w:val="-5"/>
        </w:rPr>
        <w:t xml:space="preserve"> </w:t>
      </w:r>
      <w:r>
        <w:rPr>
          <w:color w:val="231F20"/>
        </w:rPr>
        <w:t>and</w:t>
      </w:r>
      <w:r>
        <w:rPr>
          <w:color w:val="231F20"/>
          <w:spacing w:val="-5"/>
        </w:rPr>
        <w:t xml:space="preserve"> </w:t>
      </w:r>
      <w:r>
        <w:rPr>
          <w:color w:val="231F20"/>
        </w:rPr>
        <w:t>that</w:t>
      </w:r>
      <w:r>
        <w:rPr>
          <w:color w:val="231F20"/>
          <w:spacing w:val="-5"/>
        </w:rPr>
        <w:t xml:space="preserve"> </w:t>
      </w:r>
      <w:r>
        <w:rPr>
          <w:color w:val="231F20"/>
        </w:rPr>
        <w:t>it</w:t>
      </w:r>
      <w:r>
        <w:rPr>
          <w:color w:val="231F20"/>
          <w:spacing w:val="-5"/>
        </w:rPr>
        <w:t xml:space="preserve"> </w:t>
      </w:r>
      <w:r>
        <w:rPr>
          <w:color w:val="231F20"/>
        </w:rPr>
        <w:t>is</w:t>
      </w:r>
      <w:r>
        <w:rPr>
          <w:color w:val="231F20"/>
          <w:spacing w:val="-5"/>
        </w:rPr>
        <w:t xml:space="preserve"> </w:t>
      </w:r>
      <w:r>
        <w:rPr>
          <w:color w:val="231F20"/>
        </w:rPr>
        <w:t>therefore</w:t>
      </w:r>
      <w:r>
        <w:rPr>
          <w:color w:val="231F20"/>
          <w:spacing w:val="-5"/>
        </w:rPr>
        <w:t xml:space="preserve"> </w:t>
      </w:r>
      <w:r>
        <w:rPr>
          <w:color w:val="231F20"/>
        </w:rPr>
        <w:t>necessary</w:t>
      </w:r>
      <w:r>
        <w:rPr>
          <w:color w:val="231F20"/>
          <w:spacing w:val="-5"/>
        </w:rPr>
        <w:t xml:space="preserve"> </w:t>
      </w:r>
      <w:r>
        <w:rPr>
          <w:color w:val="231F20"/>
        </w:rPr>
        <w:t>to</w:t>
      </w:r>
      <w:r>
        <w:rPr>
          <w:color w:val="231F20"/>
          <w:spacing w:val="-5"/>
        </w:rPr>
        <w:t xml:space="preserve"> </w:t>
      </w:r>
      <w:r>
        <w:rPr>
          <w:color w:val="231F20"/>
        </w:rPr>
        <w:t xml:space="preserve">use legality simultaneously for political struggle and for the organization    of illegality, and that it is an error to wait to be banned, as if it were a stroke of fate coming from the system, because then the banning will constitute a death </w:t>
      </w:r>
      <w:r>
        <w:rPr>
          <w:color w:val="231F20"/>
          <w:spacing w:val="-4"/>
        </w:rPr>
        <w:t xml:space="preserve">blow, </w:t>
      </w:r>
      <w:r>
        <w:rPr>
          <w:color w:val="231F20"/>
        </w:rPr>
        <w:t>and the issue will be</w:t>
      </w:r>
      <w:r>
        <w:rPr>
          <w:color w:val="231F20"/>
          <w:spacing w:val="15"/>
        </w:rPr>
        <w:t xml:space="preserve"> </w:t>
      </w:r>
      <w:r>
        <w:rPr>
          <w:color w:val="231F20"/>
        </w:rPr>
        <w:t>resolved.</w:t>
      </w:r>
    </w:p>
    <w:p w14:paraId="1B2F60A9" w14:textId="77777777" w:rsidR="002653E8" w:rsidRDefault="003115E3">
      <w:pPr>
        <w:pStyle w:val="a3"/>
        <w:spacing w:line="264" w:lineRule="auto"/>
        <w:ind w:left="1328" w:right="1146" w:firstLine="210"/>
        <w:jc w:val="both"/>
      </w:pPr>
      <w:r>
        <w:rPr>
          <w:color w:val="231F20"/>
        </w:rPr>
        <w:t>The Red Army Faction organizes illegality as an offensive position   for revolutionary</w:t>
      </w:r>
      <w:r>
        <w:rPr>
          <w:color w:val="231F20"/>
          <w:spacing w:val="20"/>
        </w:rPr>
        <w:t xml:space="preserve"> </w:t>
      </w:r>
      <w:r>
        <w:rPr>
          <w:color w:val="231F20"/>
        </w:rPr>
        <w:t>intervention.</w:t>
      </w:r>
    </w:p>
    <w:p w14:paraId="039BE90C" w14:textId="77777777" w:rsidR="002653E8" w:rsidRDefault="003115E3">
      <w:pPr>
        <w:pStyle w:val="a3"/>
        <w:spacing w:line="264" w:lineRule="auto"/>
        <w:ind w:left="1328" w:right="1145" w:firstLine="210"/>
        <w:jc w:val="both"/>
      </w:pPr>
      <w:r>
        <w:rPr>
          <w:color w:val="231F20"/>
        </w:rPr>
        <w:t>Building the urban guerilla means conducting the anti-imperialist struggle offensively. The Red Army Faction creates the connection between legal and illegal struggle, between national struggle and international struggle, between political struggle and armed struggle, and between the strategic and tactical aspects of the international communist movement. The urban guerilla means intervening in a revolutionary way here, in spite of the weakness of the revolutionary forces in the Federal Republic and West Berlin!</w:t>
      </w:r>
    </w:p>
    <w:p w14:paraId="0F4826F0" w14:textId="77777777" w:rsidR="002653E8" w:rsidRDefault="003115E3">
      <w:pPr>
        <w:pStyle w:val="a3"/>
        <w:spacing w:line="264" w:lineRule="auto"/>
        <w:ind w:left="1328" w:right="1146" w:firstLine="210"/>
        <w:jc w:val="both"/>
        <w:rPr>
          <w:sz w:val="11"/>
        </w:rPr>
      </w:pPr>
      <w:r>
        <w:rPr>
          <w:color w:val="231F20"/>
        </w:rPr>
        <w:t>Cleaver said, “Either you’re part of the problem or your part of the solution. There is nothing in between. This shit has been examined and analyzed for decades and generations from every angle. My opinion is that most of what happens in this country does not need to be analyzed any further.”</w:t>
      </w:r>
      <w:r>
        <w:rPr>
          <w:color w:val="231F20"/>
          <w:position w:val="7"/>
          <w:sz w:val="11"/>
        </w:rPr>
        <w:t>3</w:t>
      </w:r>
    </w:p>
    <w:p w14:paraId="5E0A73CB" w14:textId="77777777" w:rsidR="002653E8" w:rsidRDefault="003115E3">
      <w:pPr>
        <w:pStyle w:val="a3"/>
        <w:spacing w:before="104" w:line="261" w:lineRule="auto"/>
        <w:ind w:left="1327" w:right="3115"/>
      </w:pPr>
      <w:r>
        <w:rPr>
          <w:color w:val="231F20"/>
          <w:w w:val="115"/>
        </w:rPr>
        <w:t>SUPPORT THE ARMED STRUGGLE! VICTORy TO PEOPLE’S WAR!</w:t>
      </w:r>
    </w:p>
    <w:p w14:paraId="52090BD6" w14:textId="77777777" w:rsidR="002653E8" w:rsidRDefault="003115E3">
      <w:pPr>
        <w:pStyle w:val="a3"/>
        <w:spacing w:before="129"/>
        <w:ind w:left="1212" w:right="1146"/>
        <w:jc w:val="right"/>
      </w:pPr>
      <w:r>
        <w:rPr>
          <w:color w:val="231F20"/>
        </w:rPr>
        <w:t>Red  Army Faction</w:t>
      </w:r>
    </w:p>
    <w:p w14:paraId="4017E975" w14:textId="77777777" w:rsidR="002653E8" w:rsidRDefault="003115E3">
      <w:pPr>
        <w:pStyle w:val="a3"/>
        <w:spacing w:before="21"/>
        <w:ind w:left="1212" w:right="1146"/>
        <w:jc w:val="right"/>
      </w:pPr>
      <w:r>
        <w:rPr>
          <w:color w:val="231F20"/>
        </w:rPr>
        <w:t>April 1971</w:t>
      </w:r>
    </w:p>
    <w:p w14:paraId="706409BD" w14:textId="77777777" w:rsidR="002653E8" w:rsidRDefault="002653E8">
      <w:pPr>
        <w:pStyle w:val="a3"/>
      </w:pPr>
    </w:p>
    <w:p w14:paraId="48D68881" w14:textId="77777777" w:rsidR="002653E8" w:rsidRDefault="002653E8">
      <w:pPr>
        <w:pStyle w:val="a3"/>
      </w:pPr>
    </w:p>
    <w:p w14:paraId="693F859E" w14:textId="77777777" w:rsidR="002653E8" w:rsidRDefault="002653E8">
      <w:pPr>
        <w:pStyle w:val="a3"/>
      </w:pPr>
    </w:p>
    <w:p w14:paraId="44F5E68C" w14:textId="77777777" w:rsidR="002653E8" w:rsidRDefault="002653E8">
      <w:pPr>
        <w:pStyle w:val="a3"/>
      </w:pPr>
    </w:p>
    <w:p w14:paraId="289A7522" w14:textId="77777777" w:rsidR="002653E8" w:rsidRDefault="002653E8">
      <w:pPr>
        <w:pStyle w:val="a3"/>
      </w:pPr>
    </w:p>
    <w:p w14:paraId="488C5EE3" w14:textId="77777777" w:rsidR="002653E8" w:rsidRDefault="002653E8">
      <w:pPr>
        <w:pStyle w:val="a3"/>
      </w:pPr>
    </w:p>
    <w:p w14:paraId="4C20F385" w14:textId="77777777" w:rsidR="002653E8" w:rsidRDefault="002653E8">
      <w:pPr>
        <w:pStyle w:val="a3"/>
      </w:pPr>
    </w:p>
    <w:p w14:paraId="272B12FB" w14:textId="77777777" w:rsidR="002653E8" w:rsidRDefault="002653E8">
      <w:pPr>
        <w:pStyle w:val="a3"/>
      </w:pPr>
    </w:p>
    <w:p w14:paraId="3A83DC9C" w14:textId="77777777" w:rsidR="002653E8" w:rsidRDefault="002653E8">
      <w:pPr>
        <w:pStyle w:val="a3"/>
      </w:pPr>
    </w:p>
    <w:p w14:paraId="6FB313B4" w14:textId="77777777" w:rsidR="002653E8" w:rsidRDefault="002653E8">
      <w:pPr>
        <w:pStyle w:val="a3"/>
      </w:pPr>
    </w:p>
    <w:p w14:paraId="4407C1B9" w14:textId="77777777" w:rsidR="002653E8" w:rsidRDefault="002653E8">
      <w:pPr>
        <w:pStyle w:val="a3"/>
        <w:rPr>
          <w:sz w:val="19"/>
        </w:rPr>
      </w:pPr>
    </w:p>
    <w:p w14:paraId="789FAE3F" w14:textId="77777777" w:rsidR="002653E8" w:rsidRDefault="003115E3">
      <w:pPr>
        <w:pStyle w:val="a4"/>
        <w:numPr>
          <w:ilvl w:val="0"/>
          <w:numId w:val="161"/>
        </w:numPr>
        <w:tabs>
          <w:tab w:val="left" w:pos="1467"/>
        </w:tabs>
        <w:spacing w:before="0" w:line="254" w:lineRule="auto"/>
        <w:ind w:left="1327" w:right="1265" w:firstLine="0"/>
        <w:jc w:val="left"/>
        <w:rPr>
          <w:sz w:val="16"/>
        </w:rPr>
      </w:pPr>
      <w:r>
        <w:rPr>
          <w:color w:val="231F20"/>
          <w:w w:val="105"/>
          <w:sz w:val="16"/>
        </w:rPr>
        <w:t xml:space="preserve">Eldridge Cleaver was the Minister of Information for the Black Panther Party. When the </w:t>
      </w:r>
      <w:r>
        <w:rPr>
          <w:color w:val="231F20"/>
          <w:spacing w:val="1"/>
          <w:w w:val="105"/>
          <w:sz w:val="16"/>
        </w:rPr>
        <w:t xml:space="preserve">party </w:t>
      </w:r>
      <w:r>
        <w:rPr>
          <w:color w:val="231F20"/>
          <w:w w:val="105"/>
          <w:sz w:val="16"/>
        </w:rPr>
        <w:t xml:space="preserve">splintered into warring factions, he went into self-imposed exile in Algeria. He is the author of several books, including </w:t>
      </w:r>
      <w:r>
        <w:rPr>
          <w:i/>
          <w:color w:val="231F20"/>
          <w:w w:val="105"/>
          <w:sz w:val="16"/>
        </w:rPr>
        <w:t xml:space="preserve">Soul on Ice, </w:t>
      </w:r>
      <w:r>
        <w:rPr>
          <w:color w:val="231F20"/>
          <w:w w:val="105"/>
          <w:sz w:val="16"/>
        </w:rPr>
        <w:t>from which this quote is</w:t>
      </w:r>
      <w:r>
        <w:rPr>
          <w:color w:val="231F20"/>
          <w:spacing w:val="15"/>
          <w:w w:val="105"/>
          <w:sz w:val="16"/>
        </w:rPr>
        <w:t xml:space="preserve"> </w:t>
      </w:r>
      <w:r>
        <w:rPr>
          <w:color w:val="231F20"/>
          <w:w w:val="105"/>
          <w:sz w:val="16"/>
        </w:rPr>
        <w:t>drawn.</w:t>
      </w:r>
    </w:p>
    <w:p w14:paraId="20EC9123" w14:textId="77777777" w:rsidR="002653E8" w:rsidRDefault="002653E8">
      <w:pPr>
        <w:spacing w:line="254" w:lineRule="auto"/>
        <w:rPr>
          <w:sz w:val="16"/>
        </w:rPr>
        <w:sectPr w:rsidR="002653E8">
          <w:footerReference w:type="even" r:id="rId92"/>
          <w:footerReference w:type="default" r:id="rId93"/>
          <w:pgSz w:w="8640" w:h="12960"/>
          <w:pgMar w:top="1060" w:right="0" w:bottom="1460" w:left="0" w:header="0" w:footer="1270" w:gutter="0"/>
          <w:cols w:space="720"/>
        </w:sectPr>
      </w:pPr>
    </w:p>
    <w:p w14:paraId="2E88B512" w14:textId="77777777" w:rsidR="002653E8" w:rsidRDefault="002653E8">
      <w:pPr>
        <w:pStyle w:val="a3"/>
      </w:pPr>
    </w:p>
    <w:p w14:paraId="4D9746B5" w14:textId="77777777" w:rsidR="002653E8" w:rsidRDefault="002653E8">
      <w:pPr>
        <w:pStyle w:val="a3"/>
      </w:pPr>
    </w:p>
    <w:p w14:paraId="3F807F6C" w14:textId="77777777" w:rsidR="002653E8" w:rsidRDefault="002653E8">
      <w:pPr>
        <w:pStyle w:val="a3"/>
      </w:pPr>
    </w:p>
    <w:p w14:paraId="3FA51AC4" w14:textId="77777777" w:rsidR="002653E8" w:rsidRDefault="002653E8">
      <w:pPr>
        <w:pStyle w:val="a3"/>
      </w:pPr>
    </w:p>
    <w:p w14:paraId="3C00A473" w14:textId="77777777" w:rsidR="002653E8" w:rsidRDefault="002653E8">
      <w:pPr>
        <w:pStyle w:val="a3"/>
      </w:pPr>
    </w:p>
    <w:p w14:paraId="7FB1A20C" w14:textId="77777777" w:rsidR="002653E8" w:rsidRDefault="002653E8">
      <w:pPr>
        <w:pStyle w:val="a3"/>
        <w:spacing w:before="5"/>
        <w:rPr>
          <w:sz w:val="11"/>
        </w:rPr>
      </w:pPr>
    </w:p>
    <w:p w14:paraId="5CA29121" w14:textId="77777777" w:rsidR="002653E8" w:rsidRDefault="00000000">
      <w:pPr>
        <w:pStyle w:val="a3"/>
        <w:ind w:left="1521"/>
      </w:pPr>
      <w:r>
        <w:pict w14:anchorId="1FD8790F">
          <v:group id="_x0000_s2600" style="width:270.9pt;height:372.15pt;mso-position-horizontal-relative:char;mso-position-vertical-relative:line" coordsize="5418,7443">
            <v:shape id="_x0000_s2602" type="#_x0000_t75" style="position:absolute;width:5418;height:7443">
              <v:imagedata r:id="rId94" o:title=""/>
            </v:shape>
            <v:shape id="_x0000_s2601" type="#_x0000_t75" style="position:absolute;left:30;top:1403;width:5358;height:4617">
              <v:imagedata r:id="rId95" o:title=""/>
            </v:shape>
            <w10:anchorlock/>
          </v:group>
        </w:pict>
      </w:r>
    </w:p>
    <w:p w14:paraId="63A6990B" w14:textId="77777777" w:rsidR="002653E8" w:rsidRDefault="003115E3">
      <w:pPr>
        <w:spacing w:before="88" w:line="244" w:lineRule="auto"/>
        <w:ind w:left="2367" w:right="2067" w:hanging="510"/>
        <w:rPr>
          <w:i/>
          <w:sz w:val="18"/>
        </w:rPr>
      </w:pPr>
      <w:r>
        <w:rPr>
          <w:i/>
          <w:color w:val="231F20"/>
          <w:w w:val="105"/>
          <w:sz w:val="18"/>
        </w:rPr>
        <w:t>Flier denouncing the murder of Petra Schelm, who was shot in the head by police. Hamburg Red Aid 1971.</w:t>
      </w:r>
    </w:p>
    <w:p w14:paraId="094A3715" w14:textId="77777777" w:rsidR="002653E8" w:rsidRDefault="002653E8">
      <w:pPr>
        <w:spacing w:line="244" w:lineRule="auto"/>
        <w:rPr>
          <w:sz w:val="18"/>
        </w:rPr>
        <w:sectPr w:rsidR="002653E8">
          <w:pgSz w:w="8640" w:h="12960"/>
          <w:pgMar w:top="1220" w:right="0" w:bottom="1040" w:left="0" w:header="0" w:footer="850" w:gutter="0"/>
          <w:cols w:space="720"/>
        </w:sectPr>
      </w:pPr>
    </w:p>
    <w:p w14:paraId="7F2FCC4F" w14:textId="77777777" w:rsidR="002653E8" w:rsidRDefault="002653E8">
      <w:pPr>
        <w:pStyle w:val="a3"/>
        <w:rPr>
          <w:i/>
        </w:rPr>
      </w:pPr>
    </w:p>
    <w:p w14:paraId="67BDEEEE" w14:textId="77777777" w:rsidR="002653E8" w:rsidRDefault="002653E8">
      <w:pPr>
        <w:pStyle w:val="a3"/>
        <w:rPr>
          <w:i/>
        </w:rPr>
      </w:pPr>
    </w:p>
    <w:p w14:paraId="7C840097" w14:textId="77777777" w:rsidR="002653E8" w:rsidRDefault="002653E8">
      <w:pPr>
        <w:pStyle w:val="a3"/>
        <w:rPr>
          <w:i/>
        </w:rPr>
      </w:pPr>
    </w:p>
    <w:p w14:paraId="6F17A2C7" w14:textId="77777777" w:rsidR="002653E8" w:rsidRDefault="002653E8">
      <w:pPr>
        <w:pStyle w:val="a3"/>
        <w:rPr>
          <w:i/>
        </w:rPr>
      </w:pPr>
    </w:p>
    <w:p w14:paraId="78CCAB4B" w14:textId="77777777" w:rsidR="002653E8" w:rsidRDefault="002653E8">
      <w:pPr>
        <w:pStyle w:val="a3"/>
        <w:spacing w:before="2"/>
        <w:rPr>
          <w:i/>
          <w:sz w:val="29"/>
        </w:rPr>
      </w:pPr>
    </w:p>
    <w:p w14:paraId="5ED457F3" w14:textId="77777777" w:rsidR="002653E8" w:rsidRDefault="003115E3">
      <w:pPr>
        <w:pStyle w:val="4"/>
        <w:tabs>
          <w:tab w:val="left" w:pos="7039"/>
          <w:tab w:val="left" w:pos="7491"/>
        </w:tabs>
        <w:spacing w:before="86"/>
        <w:rPr>
          <w:rFonts w:ascii="Lucida Sans"/>
          <w:b/>
        </w:rPr>
      </w:pPr>
      <w:bookmarkStart w:id="45" w:name="4_Building_a_Base_and_“Serving_the_Peopl"/>
      <w:bookmarkStart w:id="46" w:name="_bookmark15"/>
      <w:bookmarkEnd w:id="45"/>
      <w:bookmarkEnd w:id="46"/>
      <w:r>
        <w:rPr>
          <w:rFonts w:ascii="Lucida Sans"/>
          <w:b/>
          <w:color w:val="FFFFFF"/>
          <w:w w:val="87"/>
          <w:shd w:val="clear" w:color="auto" w:fill="231F20"/>
        </w:rPr>
        <w:t xml:space="preserve"> </w:t>
      </w:r>
      <w:r>
        <w:rPr>
          <w:rFonts w:ascii="Lucida Sans"/>
          <w:b/>
          <w:color w:val="FFFFFF"/>
          <w:shd w:val="clear" w:color="auto" w:fill="231F20"/>
        </w:rPr>
        <w:tab/>
      </w:r>
      <w:r>
        <w:rPr>
          <w:rFonts w:ascii="Lucida Sans"/>
          <w:b/>
          <w:color w:val="FFFFFF"/>
          <w:w w:val="95"/>
          <w:shd w:val="clear" w:color="auto" w:fill="231F20"/>
        </w:rPr>
        <w:t>4</w:t>
      </w:r>
      <w:r>
        <w:rPr>
          <w:rFonts w:ascii="Lucida Sans"/>
          <w:b/>
          <w:color w:val="FFFFFF"/>
          <w:shd w:val="clear" w:color="auto" w:fill="231F20"/>
        </w:rPr>
        <w:tab/>
      </w:r>
    </w:p>
    <w:p w14:paraId="133F0149" w14:textId="77777777" w:rsidR="002653E8" w:rsidRDefault="002653E8">
      <w:pPr>
        <w:pStyle w:val="a3"/>
        <w:rPr>
          <w:rFonts w:ascii="Lucida Sans"/>
          <w:b/>
          <w:sz w:val="36"/>
        </w:rPr>
      </w:pPr>
    </w:p>
    <w:p w14:paraId="73211898" w14:textId="77777777" w:rsidR="002653E8" w:rsidRDefault="002653E8">
      <w:pPr>
        <w:pStyle w:val="a3"/>
        <w:spacing w:before="1"/>
        <w:rPr>
          <w:rFonts w:ascii="Lucida Sans"/>
          <w:b/>
          <w:sz w:val="38"/>
        </w:rPr>
      </w:pPr>
    </w:p>
    <w:p w14:paraId="57B97F92" w14:textId="77777777" w:rsidR="002653E8" w:rsidRDefault="003115E3">
      <w:pPr>
        <w:spacing w:line="244" w:lineRule="auto"/>
        <w:ind w:left="4030" w:right="1129" w:firstLine="267"/>
        <w:rPr>
          <w:rFonts w:ascii="Lucida Sans" w:hAnsi="Lucida Sans"/>
          <w:b/>
          <w:sz w:val="36"/>
        </w:rPr>
      </w:pPr>
      <w:r>
        <w:rPr>
          <w:rFonts w:ascii="Lucida Sans" w:hAnsi="Lucida Sans"/>
          <w:b/>
          <w:color w:val="231F20"/>
          <w:w w:val="90"/>
          <w:sz w:val="36"/>
        </w:rPr>
        <w:t>Building a Base</w:t>
      </w:r>
      <w:r>
        <w:rPr>
          <w:rFonts w:ascii="Lucida Sans" w:hAnsi="Lucida Sans"/>
          <w:b/>
          <w:color w:val="231F20"/>
          <w:spacing w:val="-67"/>
          <w:w w:val="90"/>
          <w:sz w:val="36"/>
        </w:rPr>
        <w:t xml:space="preserve"> </w:t>
      </w:r>
      <w:r>
        <w:rPr>
          <w:rFonts w:ascii="Lucida Sans" w:hAnsi="Lucida Sans"/>
          <w:b/>
          <w:color w:val="231F20"/>
          <w:w w:val="90"/>
          <w:sz w:val="36"/>
        </w:rPr>
        <w:t xml:space="preserve">and </w:t>
      </w:r>
      <w:r>
        <w:rPr>
          <w:rFonts w:ascii="Lucida Sans" w:hAnsi="Lucida Sans"/>
          <w:b/>
          <w:color w:val="231F20"/>
          <w:w w:val="95"/>
          <w:sz w:val="36"/>
        </w:rPr>
        <w:t>“serving</w:t>
      </w:r>
      <w:r>
        <w:rPr>
          <w:rFonts w:ascii="Lucida Sans" w:hAnsi="Lucida Sans"/>
          <w:b/>
          <w:color w:val="231F20"/>
          <w:spacing w:val="-56"/>
          <w:w w:val="95"/>
          <w:sz w:val="36"/>
        </w:rPr>
        <w:t xml:space="preserve"> </w:t>
      </w:r>
      <w:r>
        <w:rPr>
          <w:rFonts w:ascii="Lucida Sans" w:hAnsi="Lucida Sans"/>
          <w:b/>
          <w:color w:val="231F20"/>
          <w:w w:val="95"/>
          <w:sz w:val="36"/>
        </w:rPr>
        <w:t>the</w:t>
      </w:r>
      <w:r>
        <w:rPr>
          <w:rFonts w:ascii="Lucida Sans" w:hAnsi="Lucida Sans"/>
          <w:b/>
          <w:color w:val="231F20"/>
          <w:spacing w:val="-56"/>
          <w:w w:val="95"/>
          <w:sz w:val="36"/>
        </w:rPr>
        <w:t xml:space="preserve"> </w:t>
      </w:r>
      <w:r>
        <w:rPr>
          <w:rFonts w:ascii="Lucida Sans" w:hAnsi="Lucida Sans"/>
          <w:b/>
          <w:color w:val="231F20"/>
          <w:w w:val="95"/>
          <w:sz w:val="36"/>
        </w:rPr>
        <w:t>People”</w:t>
      </w:r>
    </w:p>
    <w:p w14:paraId="025FE3BA" w14:textId="77777777" w:rsidR="002653E8" w:rsidRDefault="002653E8">
      <w:pPr>
        <w:pStyle w:val="a3"/>
        <w:rPr>
          <w:rFonts w:ascii="Lucida Sans"/>
          <w:b/>
          <w:sz w:val="42"/>
        </w:rPr>
      </w:pPr>
    </w:p>
    <w:p w14:paraId="33B00853" w14:textId="77777777" w:rsidR="002653E8" w:rsidRDefault="003115E3">
      <w:pPr>
        <w:pStyle w:val="a3"/>
        <w:spacing w:before="315" w:line="235" w:lineRule="auto"/>
        <w:ind w:left="1328" w:right="1145" w:hanging="1"/>
        <w:jc w:val="both"/>
      </w:pPr>
      <w:r>
        <w:rPr>
          <w:rFonts w:ascii="Verdana"/>
          <w:color w:val="231F20"/>
          <w:spacing w:val="-36"/>
          <w:sz w:val="48"/>
        </w:rPr>
        <w:t>W</w:t>
      </w:r>
      <w:r>
        <w:rPr>
          <w:color w:val="231F20"/>
          <w:spacing w:val="5"/>
          <w:w w:val="119"/>
        </w:rPr>
        <w:t>i</w:t>
      </w:r>
      <w:r>
        <w:rPr>
          <w:color w:val="231F20"/>
          <w:spacing w:val="6"/>
          <w:w w:val="147"/>
        </w:rPr>
        <w:t>t</w:t>
      </w:r>
      <w:r>
        <w:rPr>
          <w:color w:val="231F20"/>
          <w:w w:val="120"/>
        </w:rPr>
        <w:t>h</w:t>
      </w:r>
      <w:r>
        <w:rPr>
          <w:color w:val="231F20"/>
          <w:spacing w:val="8"/>
        </w:rPr>
        <w:t xml:space="preserve"> </w:t>
      </w:r>
      <w:r>
        <w:rPr>
          <w:color w:val="231F20"/>
          <w:spacing w:val="1"/>
          <w:w w:val="103"/>
        </w:rPr>
        <w:t>s</w:t>
      </w:r>
      <w:r>
        <w:rPr>
          <w:color w:val="231F20"/>
          <w:spacing w:val="6"/>
          <w:w w:val="113"/>
        </w:rPr>
        <w:t>a</w:t>
      </w:r>
      <w:r>
        <w:rPr>
          <w:color w:val="231F20"/>
          <w:spacing w:val="5"/>
          <w:w w:val="165"/>
        </w:rPr>
        <w:t>f</w:t>
      </w:r>
      <w:r>
        <w:rPr>
          <w:color w:val="231F20"/>
          <w:spacing w:val="5"/>
          <w:w w:val="102"/>
        </w:rPr>
        <w:t>e</w:t>
      </w:r>
      <w:r>
        <w:rPr>
          <w:color w:val="231F20"/>
          <w:spacing w:val="-2"/>
          <w:w w:val="120"/>
        </w:rPr>
        <w:t>h</w:t>
      </w:r>
      <w:r>
        <w:rPr>
          <w:color w:val="231F20"/>
          <w:spacing w:val="-3"/>
          <w:w w:val="125"/>
        </w:rPr>
        <w:t>o</w:t>
      </w:r>
      <w:r>
        <w:rPr>
          <w:color w:val="231F20"/>
          <w:spacing w:val="-1"/>
          <w:w w:val="110"/>
        </w:rPr>
        <w:t>u</w:t>
      </w:r>
      <w:r>
        <w:rPr>
          <w:color w:val="231F20"/>
          <w:spacing w:val="-1"/>
          <w:w w:val="103"/>
        </w:rPr>
        <w:t>s</w:t>
      </w:r>
      <w:r>
        <w:rPr>
          <w:color w:val="231F20"/>
          <w:spacing w:val="3"/>
          <w:w w:val="102"/>
        </w:rPr>
        <w:t>e</w:t>
      </w:r>
      <w:r>
        <w:rPr>
          <w:color w:val="231F20"/>
          <w:w w:val="103"/>
        </w:rPr>
        <w:t>s</w:t>
      </w:r>
      <w:r>
        <w:rPr>
          <w:color w:val="231F20"/>
          <w:spacing w:val="8"/>
        </w:rPr>
        <w:t xml:space="preserve"> </w:t>
      </w:r>
      <w:r>
        <w:rPr>
          <w:color w:val="231F20"/>
          <w:spacing w:val="8"/>
          <w:w w:val="113"/>
        </w:rPr>
        <w:t>a</w:t>
      </w:r>
      <w:r>
        <w:rPr>
          <w:color w:val="231F20"/>
          <w:spacing w:val="5"/>
          <w:w w:val="109"/>
        </w:rPr>
        <w:t>n</w:t>
      </w:r>
      <w:r>
        <w:rPr>
          <w:color w:val="231F20"/>
          <w:w w:val="120"/>
        </w:rPr>
        <w:t>d</w:t>
      </w:r>
      <w:r>
        <w:rPr>
          <w:color w:val="231F20"/>
          <w:spacing w:val="8"/>
        </w:rPr>
        <w:t xml:space="preserve"> </w:t>
      </w:r>
      <w:r>
        <w:rPr>
          <w:color w:val="231F20"/>
          <w:spacing w:val="-1"/>
          <w:w w:val="103"/>
        </w:rPr>
        <w:t>s</w:t>
      </w:r>
      <w:r>
        <w:rPr>
          <w:color w:val="231F20"/>
          <w:spacing w:val="3"/>
          <w:w w:val="110"/>
        </w:rPr>
        <w:t>u</w:t>
      </w:r>
      <w:r>
        <w:rPr>
          <w:color w:val="231F20"/>
          <w:w w:val="89"/>
        </w:rPr>
        <w:t>p</w:t>
      </w:r>
      <w:r>
        <w:rPr>
          <w:color w:val="231F20"/>
          <w:spacing w:val="1"/>
          <w:w w:val="89"/>
        </w:rPr>
        <w:t>p</w:t>
      </w:r>
      <w:r>
        <w:rPr>
          <w:color w:val="231F20"/>
          <w:spacing w:val="-2"/>
          <w:w w:val="125"/>
        </w:rPr>
        <w:t>o</w:t>
      </w:r>
      <w:r>
        <w:rPr>
          <w:color w:val="231F20"/>
          <w:w w:val="134"/>
        </w:rPr>
        <w:t>r</w:t>
      </w:r>
      <w:r>
        <w:rPr>
          <w:color w:val="231F20"/>
          <w:spacing w:val="6"/>
          <w:w w:val="147"/>
        </w:rPr>
        <w:t>t</w:t>
      </w:r>
      <w:r>
        <w:rPr>
          <w:color w:val="231F20"/>
          <w:spacing w:val="5"/>
          <w:w w:val="102"/>
        </w:rPr>
        <w:t>e</w:t>
      </w:r>
      <w:r>
        <w:rPr>
          <w:color w:val="231F20"/>
          <w:spacing w:val="3"/>
          <w:w w:val="134"/>
        </w:rPr>
        <w:t>r</w:t>
      </w:r>
      <w:r>
        <w:rPr>
          <w:color w:val="231F20"/>
          <w:w w:val="103"/>
        </w:rPr>
        <w:t>s</w:t>
      </w:r>
      <w:r>
        <w:rPr>
          <w:color w:val="231F20"/>
          <w:spacing w:val="8"/>
        </w:rPr>
        <w:t xml:space="preserve"> </w:t>
      </w:r>
      <w:r>
        <w:rPr>
          <w:color w:val="231F20"/>
          <w:spacing w:val="5"/>
          <w:w w:val="119"/>
        </w:rPr>
        <w:t>i</w:t>
      </w:r>
      <w:r>
        <w:rPr>
          <w:color w:val="231F20"/>
          <w:w w:val="109"/>
        </w:rPr>
        <w:t>n</w:t>
      </w:r>
      <w:r>
        <w:rPr>
          <w:color w:val="231F20"/>
          <w:spacing w:val="8"/>
        </w:rPr>
        <w:t xml:space="preserve"> </w:t>
      </w:r>
      <w:r>
        <w:rPr>
          <w:color w:val="231F20"/>
          <w:spacing w:val="1"/>
          <w:w w:val="90"/>
        </w:rPr>
        <w:t>s</w:t>
      </w:r>
      <w:r>
        <w:rPr>
          <w:color w:val="231F20"/>
          <w:w w:val="91"/>
        </w:rPr>
        <w:t>e</w:t>
      </w:r>
      <w:r>
        <w:rPr>
          <w:color w:val="231F20"/>
          <w:spacing w:val="-2"/>
          <w:w w:val="99"/>
        </w:rPr>
        <w:t>v</w:t>
      </w:r>
      <w:r>
        <w:rPr>
          <w:color w:val="231F20"/>
          <w:w w:val="92"/>
        </w:rPr>
        <w:t>e</w:t>
      </w:r>
      <w:r>
        <w:rPr>
          <w:color w:val="231F20"/>
          <w:spacing w:val="-1"/>
          <w:w w:val="92"/>
        </w:rPr>
        <w:t>r</w:t>
      </w:r>
      <w:r>
        <w:rPr>
          <w:color w:val="231F20"/>
          <w:spacing w:val="2"/>
          <w:w w:val="102"/>
        </w:rPr>
        <w:t>a</w:t>
      </w:r>
      <w:r>
        <w:rPr>
          <w:color w:val="231F20"/>
          <w:w w:val="102"/>
        </w:rPr>
        <w:t>l</w:t>
      </w:r>
      <w:r>
        <w:rPr>
          <w:color w:val="231F20"/>
          <w:spacing w:val="8"/>
        </w:rPr>
        <w:t xml:space="preserve"> </w:t>
      </w:r>
      <w:r>
        <w:rPr>
          <w:color w:val="231F20"/>
        </w:rPr>
        <w:t>c</w:t>
      </w:r>
      <w:r>
        <w:rPr>
          <w:color w:val="231F20"/>
          <w:spacing w:val="-2"/>
        </w:rPr>
        <w:t>i</w:t>
      </w:r>
      <w:r>
        <w:rPr>
          <w:color w:val="231F20"/>
          <w:spacing w:val="2"/>
          <w:w w:val="98"/>
        </w:rPr>
        <w:t>t</w:t>
      </w:r>
      <w:r>
        <w:rPr>
          <w:color w:val="231F20"/>
          <w:spacing w:val="-1"/>
        </w:rPr>
        <w:t>i</w:t>
      </w:r>
      <w:r>
        <w:rPr>
          <w:color w:val="231F20"/>
          <w:spacing w:val="1"/>
          <w:w w:val="91"/>
        </w:rPr>
        <w:t>e</w:t>
      </w:r>
      <w:r>
        <w:rPr>
          <w:color w:val="231F20"/>
          <w:spacing w:val="2"/>
          <w:w w:val="90"/>
        </w:rPr>
        <w:t>s</w:t>
      </w:r>
      <w:r>
        <w:rPr>
          <w:color w:val="231F20"/>
          <w:w w:val="135"/>
        </w:rPr>
        <w:t>,</w:t>
      </w:r>
      <w:r>
        <w:rPr>
          <w:color w:val="231F20"/>
          <w:spacing w:val="8"/>
        </w:rPr>
        <w:t xml:space="preserve"> </w:t>
      </w:r>
      <w:r>
        <w:rPr>
          <w:color w:val="231F20"/>
          <w:spacing w:val="2"/>
          <w:w w:val="102"/>
        </w:rPr>
        <w:t>a</w:t>
      </w:r>
      <w:r>
        <w:rPr>
          <w:color w:val="231F20"/>
          <w:spacing w:val="-1"/>
          <w:w w:val="99"/>
        </w:rPr>
        <w:t>n</w:t>
      </w:r>
      <w:r>
        <w:rPr>
          <w:color w:val="231F20"/>
        </w:rPr>
        <w:t>d</w:t>
      </w:r>
      <w:r>
        <w:rPr>
          <w:color w:val="231F20"/>
          <w:spacing w:val="8"/>
        </w:rPr>
        <w:t xml:space="preserve"> </w:t>
      </w:r>
      <w:r>
        <w:rPr>
          <w:color w:val="231F20"/>
          <w:spacing w:val="-1"/>
        </w:rPr>
        <w:t>d</w:t>
      </w:r>
      <w:r>
        <w:rPr>
          <w:color w:val="231F20"/>
          <w:spacing w:val="-1"/>
          <w:w w:val="104"/>
        </w:rPr>
        <w:t>o</w:t>
      </w:r>
      <w:r>
        <w:rPr>
          <w:color w:val="231F20"/>
          <w:spacing w:val="2"/>
          <w:w w:val="97"/>
        </w:rPr>
        <w:t>z</w:t>
      </w:r>
      <w:r>
        <w:rPr>
          <w:color w:val="231F20"/>
          <w:w w:val="91"/>
        </w:rPr>
        <w:t>e</w:t>
      </w:r>
      <w:r>
        <w:rPr>
          <w:color w:val="231F20"/>
          <w:spacing w:val="1"/>
          <w:w w:val="99"/>
        </w:rPr>
        <w:t>n</w:t>
      </w:r>
      <w:r>
        <w:rPr>
          <w:color w:val="231F20"/>
          <w:w w:val="90"/>
        </w:rPr>
        <w:t>s</w:t>
      </w:r>
      <w:r>
        <w:rPr>
          <w:color w:val="231F20"/>
          <w:spacing w:val="8"/>
        </w:rPr>
        <w:t xml:space="preserve"> </w:t>
      </w:r>
      <w:r>
        <w:rPr>
          <w:color w:val="231F20"/>
          <w:spacing w:val="-2"/>
          <w:w w:val="104"/>
        </w:rPr>
        <w:t>o</w:t>
      </w:r>
      <w:r>
        <w:rPr>
          <w:color w:val="231F20"/>
          <w:w w:val="109"/>
        </w:rPr>
        <w:t xml:space="preserve">f </w:t>
      </w:r>
      <w:r>
        <w:rPr>
          <w:color w:val="231F20"/>
          <w:w w:val="105"/>
        </w:rPr>
        <w:t xml:space="preserve">guerillas living underground, the </w:t>
      </w:r>
      <w:r w:rsidR="00C507A5">
        <w:rPr>
          <w:color w:val="231F20"/>
          <w:spacing w:val="5"/>
          <w:w w:val="105"/>
        </w:rPr>
        <w:t>red army faction</w:t>
      </w:r>
      <w:r>
        <w:rPr>
          <w:color w:val="231F20"/>
          <w:spacing w:val="5"/>
          <w:w w:val="105"/>
        </w:rPr>
        <w:t xml:space="preserve"> </w:t>
      </w:r>
      <w:r>
        <w:rPr>
          <w:color w:val="231F20"/>
          <w:w w:val="105"/>
        </w:rPr>
        <w:t>patiently built up its organization</w:t>
      </w:r>
      <w:r>
        <w:rPr>
          <w:color w:val="231F20"/>
          <w:spacing w:val="-27"/>
          <w:w w:val="105"/>
        </w:rPr>
        <w:t xml:space="preserve"> </w:t>
      </w:r>
      <w:r>
        <w:rPr>
          <w:color w:val="231F20"/>
          <w:w w:val="105"/>
        </w:rPr>
        <w:t>over</w:t>
      </w:r>
      <w:r>
        <w:rPr>
          <w:color w:val="231F20"/>
          <w:spacing w:val="-27"/>
          <w:w w:val="105"/>
        </w:rPr>
        <w:t xml:space="preserve"> </w:t>
      </w:r>
      <w:r>
        <w:rPr>
          <w:color w:val="231F20"/>
          <w:w w:val="105"/>
        </w:rPr>
        <w:t>two</w:t>
      </w:r>
      <w:r>
        <w:rPr>
          <w:color w:val="231F20"/>
          <w:spacing w:val="-27"/>
          <w:w w:val="105"/>
        </w:rPr>
        <w:t xml:space="preserve"> </w:t>
      </w:r>
      <w:r>
        <w:rPr>
          <w:color w:val="231F20"/>
          <w:w w:val="105"/>
        </w:rPr>
        <w:t>years,</w:t>
      </w:r>
      <w:r>
        <w:rPr>
          <w:color w:val="231F20"/>
          <w:spacing w:val="-27"/>
          <w:w w:val="105"/>
        </w:rPr>
        <w:t xml:space="preserve"> </w:t>
      </w:r>
      <w:r>
        <w:rPr>
          <w:color w:val="231F20"/>
          <w:w w:val="105"/>
        </w:rPr>
        <w:t>a</w:t>
      </w:r>
      <w:r>
        <w:rPr>
          <w:color w:val="231F20"/>
          <w:spacing w:val="-27"/>
          <w:w w:val="105"/>
        </w:rPr>
        <w:t xml:space="preserve"> </w:t>
      </w:r>
      <w:r>
        <w:rPr>
          <w:color w:val="231F20"/>
          <w:w w:val="105"/>
        </w:rPr>
        <w:t>period</w:t>
      </w:r>
      <w:r>
        <w:rPr>
          <w:color w:val="231F20"/>
          <w:spacing w:val="-27"/>
          <w:w w:val="105"/>
        </w:rPr>
        <w:t xml:space="preserve"> </w:t>
      </w:r>
      <w:r>
        <w:rPr>
          <w:color w:val="231F20"/>
          <w:w w:val="105"/>
        </w:rPr>
        <w:t>during</w:t>
      </w:r>
      <w:r>
        <w:rPr>
          <w:color w:val="231F20"/>
          <w:spacing w:val="-27"/>
          <w:w w:val="105"/>
        </w:rPr>
        <w:t xml:space="preserve"> </w:t>
      </w:r>
      <w:r>
        <w:rPr>
          <w:color w:val="231F20"/>
          <w:w w:val="105"/>
        </w:rPr>
        <w:t>which</w:t>
      </w:r>
      <w:r>
        <w:rPr>
          <w:color w:val="231F20"/>
          <w:spacing w:val="-27"/>
          <w:w w:val="105"/>
        </w:rPr>
        <w:t xml:space="preserve"> </w:t>
      </w:r>
      <w:r>
        <w:rPr>
          <w:color w:val="231F20"/>
          <w:w w:val="105"/>
        </w:rPr>
        <w:t>there</w:t>
      </w:r>
      <w:r>
        <w:rPr>
          <w:color w:val="231F20"/>
          <w:spacing w:val="-27"/>
          <w:w w:val="105"/>
        </w:rPr>
        <w:t xml:space="preserve"> </w:t>
      </w:r>
      <w:r>
        <w:rPr>
          <w:color w:val="231F20"/>
          <w:w w:val="105"/>
        </w:rPr>
        <w:t>occurred</w:t>
      </w:r>
      <w:r>
        <w:rPr>
          <w:color w:val="231F20"/>
          <w:spacing w:val="-27"/>
          <w:w w:val="105"/>
        </w:rPr>
        <w:t xml:space="preserve"> </w:t>
      </w:r>
      <w:r>
        <w:rPr>
          <w:color w:val="231F20"/>
          <w:w w:val="105"/>
        </w:rPr>
        <w:t>several</w:t>
      </w:r>
      <w:r>
        <w:rPr>
          <w:color w:val="231F20"/>
          <w:spacing w:val="-27"/>
          <w:w w:val="105"/>
        </w:rPr>
        <w:t xml:space="preserve"> </w:t>
      </w:r>
      <w:r>
        <w:rPr>
          <w:color w:val="231F20"/>
          <w:w w:val="105"/>
        </w:rPr>
        <w:t>clash-</w:t>
      </w:r>
    </w:p>
    <w:p w14:paraId="033C2303" w14:textId="77777777" w:rsidR="002653E8" w:rsidRDefault="003115E3">
      <w:pPr>
        <w:pStyle w:val="a3"/>
        <w:spacing w:before="22"/>
        <w:ind w:left="1328"/>
      </w:pPr>
      <w:r>
        <w:rPr>
          <w:color w:val="231F20"/>
        </w:rPr>
        <w:t>es with police, leaving two members dead and many more in prison.</w:t>
      </w:r>
    </w:p>
    <w:p w14:paraId="3517DFD0" w14:textId="77777777" w:rsidR="002653E8" w:rsidRDefault="003115E3">
      <w:pPr>
        <w:pStyle w:val="a3"/>
        <w:spacing w:before="23" w:line="264" w:lineRule="auto"/>
        <w:ind w:left="1327" w:right="1145" w:firstLine="210"/>
        <w:jc w:val="both"/>
      </w:pPr>
      <w:r>
        <w:rPr>
          <w:color w:val="231F20"/>
        </w:rPr>
        <w:t xml:space="preserve">The state’s first serious attempt to eradicate the </w:t>
      </w:r>
      <w:r w:rsidR="00C507A5">
        <w:rPr>
          <w:color w:val="231F20"/>
          <w:spacing w:val="5"/>
        </w:rPr>
        <w:t>red army faction</w:t>
      </w:r>
      <w:r>
        <w:rPr>
          <w:color w:val="231F20"/>
          <w:spacing w:val="5"/>
        </w:rPr>
        <w:t xml:space="preserve"> </w:t>
      </w:r>
      <w:r>
        <w:rPr>
          <w:color w:val="231F20"/>
        </w:rPr>
        <w:t xml:space="preserve">had begun shortly after the publication of </w:t>
      </w:r>
      <w:r>
        <w:rPr>
          <w:i/>
          <w:color w:val="231F20"/>
        </w:rPr>
        <w:t xml:space="preserve">The Urban </w:t>
      </w:r>
      <w:r>
        <w:rPr>
          <w:i/>
          <w:color w:val="231F20"/>
          <w:spacing w:val="1"/>
        </w:rPr>
        <w:t xml:space="preserve">Guerilla Concept </w:t>
      </w:r>
      <w:r>
        <w:rPr>
          <w:color w:val="231F20"/>
        </w:rPr>
        <w:t xml:space="preserve">in </w:t>
      </w:r>
      <w:r>
        <w:rPr>
          <w:color w:val="231F20"/>
          <w:spacing w:val="-4"/>
        </w:rPr>
        <w:t xml:space="preserve">1971. </w:t>
      </w:r>
      <w:r>
        <w:rPr>
          <w:color w:val="231F20"/>
        </w:rPr>
        <w:t xml:space="preserve">Named </w:t>
      </w:r>
      <w:r>
        <w:rPr>
          <w:i/>
          <w:color w:val="231F20"/>
        </w:rPr>
        <w:t xml:space="preserve">Aktion Kobra </w:t>
      </w:r>
      <w:r>
        <w:rPr>
          <w:color w:val="231F20"/>
        </w:rPr>
        <w:t xml:space="preserve">(“Operation  </w:t>
      </w:r>
      <w:r>
        <w:rPr>
          <w:color w:val="231F20"/>
          <w:spacing w:val="-3"/>
        </w:rPr>
        <w:t xml:space="preserve">Cobra”),  </w:t>
      </w:r>
      <w:r>
        <w:rPr>
          <w:color w:val="231F20"/>
        </w:rPr>
        <w:t>it  involved  three  thou sand heavily armed officers patrolling cities and setting up checkpoints throughout northern</w:t>
      </w:r>
      <w:r>
        <w:rPr>
          <w:color w:val="231F20"/>
          <w:spacing w:val="22"/>
        </w:rPr>
        <w:t xml:space="preserve"> </w:t>
      </w:r>
      <w:r>
        <w:rPr>
          <w:color w:val="231F20"/>
        </w:rPr>
        <w:t>Germany.</w:t>
      </w:r>
    </w:p>
    <w:p w14:paraId="6FF21178" w14:textId="77777777" w:rsidR="002653E8" w:rsidRDefault="003115E3">
      <w:pPr>
        <w:pStyle w:val="a3"/>
        <w:spacing w:line="264" w:lineRule="auto"/>
        <w:ind w:left="1327" w:right="1145" w:firstLine="210"/>
        <w:jc w:val="both"/>
      </w:pPr>
      <w:r>
        <w:rPr>
          <w:color w:val="231F20"/>
        </w:rPr>
        <w:t xml:space="preserve">On July </w:t>
      </w:r>
      <w:r>
        <w:rPr>
          <w:color w:val="231F20"/>
          <w:spacing w:val="-8"/>
        </w:rPr>
        <w:t xml:space="preserve">15, </w:t>
      </w:r>
      <w:r>
        <w:rPr>
          <w:color w:val="231F20"/>
          <w:spacing w:val="-4"/>
        </w:rPr>
        <w:t xml:space="preserve">1971, </w:t>
      </w:r>
      <w:r>
        <w:rPr>
          <w:color w:val="231F20"/>
        </w:rPr>
        <w:t xml:space="preserve">a new line was crossed when </w:t>
      </w:r>
      <w:r w:rsidR="00C507A5">
        <w:rPr>
          <w:color w:val="231F20"/>
          <w:spacing w:val="5"/>
        </w:rPr>
        <w:t>red army faction</w:t>
      </w:r>
      <w:r>
        <w:rPr>
          <w:color w:val="231F20"/>
          <w:spacing w:val="5"/>
        </w:rPr>
        <w:t xml:space="preserve"> </w:t>
      </w:r>
      <w:r>
        <w:rPr>
          <w:color w:val="231F20"/>
        </w:rPr>
        <w:t>members Petra Schelm and Werner Hoppe were identified by police in the port city of Hamburg. A firefight ensued, and while Hoppe managed to surrender,</w:t>
      </w:r>
      <w:r>
        <w:rPr>
          <w:color w:val="231F20"/>
          <w:position w:val="7"/>
          <w:sz w:val="11"/>
        </w:rPr>
        <w:t xml:space="preserve">1 </w:t>
      </w:r>
      <w:r>
        <w:rPr>
          <w:color w:val="231F20"/>
        </w:rPr>
        <w:t>Schelm was shot dead. A working class woman who had entered the guerilla though the commune scene, moving on from  the  Roaming  Hash</w:t>
      </w:r>
      <w:r>
        <w:rPr>
          <w:color w:val="231F20"/>
          <w:spacing w:val="11"/>
        </w:rPr>
        <w:t xml:space="preserve"> </w:t>
      </w:r>
      <w:r>
        <w:rPr>
          <w:color w:val="231F20"/>
        </w:rPr>
        <w:t>Rebels</w:t>
      </w:r>
      <w:r>
        <w:rPr>
          <w:color w:val="231F20"/>
          <w:spacing w:val="11"/>
        </w:rPr>
        <w:t xml:space="preserve"> </w:t>
      </w:r>
      <w:r>
        <w:rPr>
          <w:color w:val="231F20"/>
        </w:rPr>
        <w:t>to</w:t>
      </w:r>
      <w:r>
        <w:rPr>
          <w:color w:val="231F20"/>
          <w:spacing w:val="11"/>
        </w:rPr>
        <w:t xml:space="preserve"> </w:t>
      </w:r>
      <w:r>
        <w:rPr>
          <w:color w:val="231F20"/>
        </w:rPr>
        <w:t>the</w:t>
      </w:r>
      <w:r>
        <w:rPr>
          <w:color w:val="231F20"/>
          <w:spacing w:val="11"/>
        </w:rPr>
        <w:t xml:space="preserve"> </w:t>
      </w:r>
      <w:r w:rsidR="00C507A5">
        <w:rPr>
          <w:color w:val="231F20"/>
          <w:spacing w:val="1"/>
        </w:rPr>
        <w:t>red army faction</w:t>
      </w:r>
      <w:r>
        <w:rPr>
          <w:color w:val="231F20"/>
          <w:spacing w:val="1"/>
        </w:rPr>
        <w:t>,</w:t>
      </w:r>
      <w:r>
        <w:rPr>
          <w:color w:val="231F20"/>
          <w:spacing w:val="1"/>
          <w:position w:val="7"/>
          <w:sz w:val="11"/>
        </w:rPr>
        <w:t>2</w:t>
      </w:r>
      <w:r>
        <w:rPr>
          <w:color w:val="231F20"/>
          <w:spacing w:val="7"/>
          <w:position w:val="7"/>
          <w:sz w:val="11"/>
        </w:rPr>
        <w:t xml:space="preserve"> </w:t>
      </w:r>
      <w:r>
        <w:rPr>
          <w:color w:val="231F20"/>
        </w:rPr>
        <w:t>she</w:t>
      </w:r>
      <w:r>
        <w:rPr>
          <w:color w:val="231F20"/>
          <w:spacing w:val="11"/>
        </w:rPr>
        <w:t xml:space="preserve"> </w:t>
      </w:r>
      <w:r>
        <w:rPr>
          <w:color w:val="231F20"/>
        </w:rPr>
        <w:t>was</w:t>
      </w:r>
      <w:r>
        <w:rPr>
          <w:color w:val="231F20"/>
          <w:spacing w:val="11"/>
        </w:rPr>
        <w:t xml:space="preserve"> </w:t>
      </w:r>
      <w:r>
        <w:rPr>
          <w:color w:val="231F20"/>
        </w:rPr>
        <w:t>nineteen</w:t>
      </w:r>
      <w:r>
        <w:rPr>
          <w:color w:val="231F20"/>
          <w:spacing w:val="11"/>
        </w:rPr>
        <w:t xml:space="preserve"> </w:t>
      </w:r>
      <w:r>
        <w:rPr>
          <w:color w:val="231F20"/>
        </w:rPr>
        <w:t>at</w:t>
      </w:r>
      <w:r>
        <w:rPr>
          <w:color w:val="231F20"/>
          <w:spacing w:val="11"/>
        </w:rPr>
        <w:t xml:space="preserve"> </w:t>
      </w:r>
      <w:r>
        <w:rPr>
          <w:color w:val="231F20"/>
        </w:rPr>
        <w:t>the</w:t>
      </w:r>
      <w:r>
        <w:rPr>
          <w:color w:val="231F20"/>
          <w:spacing w:val="11"/>
        </w:rPr>
        <w:t xml:space="preserve"> </w:t>
      </w:r>
      <w:r>
        <w:rPr>
          <w:color w:val="231F20"/>
        </w:rPr>
        <w:t>time.</w:t>
      </w:r>
    </w:p>
    <w:p w14:paraId="34951072" w14:textId="77777777" w:rsidR="002653E8" w:rsidRDefault="003115E3">
      <w:pPr>
        <w:pStyle w:val="a3"/>
        <w:spacing w:line="264" w:lineRule="auto"/>
        <w:ind w:left="1327" w:right="1146" w:firstLine="210"/>
        <w:jc w:val="both"/>
      </w:pPr>
      <w:r>
        <w:rPr>
          <w:color w:val="231F20"/>
        </w:rPr>
        <w:t>There was widespread outrage at this killing, and in an opinion poll conducted shortly thereafter by the respected Allensbach Institute,</w:t>
      </w:r>
    </w:p>
    <w:p w14:paraId="55A4B5F6" w14:textId="77777777" w:rsidR="002653E8" w:rsidRDefault="002653E8">
      <w:pPr>
        <w:pStyle w:val="a3"/>
        <w:spacing w:before="11"/>
        <w:rPr>
          <w:sz w:val="27"/>
        </w:rPr>
      </w:pPr>
    </w:p>
    <w:p w14:paraId="2AE58253" w14:textId="77777777" w:rsidR="002653E8" w:rsidRDefault="003115E3">
      <w:pPr>
        <w:pStyle w:val="a4"/>
        <w:numPr>
          <w:ilvl w:val="0"/>
          <w:numId w:val="160"/>
        </w:numPr>
        <w:tabs>
          <w:tab w:val="left" w:pos="1467"/>
        </w:tabs>
        <w:spacing w:before="105" w:line="254" w:lineRule="auto"/>
        <w:ind w:right="1352" w:firstLine="0"/>
        <w:rPr>
          <w:sz w:val="16"/>
        </w:rPr>
      </w:pPr>
      <w:r>
        <w:rPr>
          <w:color w:val="231F20"/>
          <w:w w:val="105"/>
          <w:sz w:val="16"/>
        </w:rPr>
        <w:t xml:space="preserve">He would eventually receive a ten year sentence for allegedly shooting at police. (Associated Press, “German Draws 10-year term,”  </w:t>
      </w:r>
      <w:r>
        <w:rPr>
          <w:i/>
          <w:color w:val="231F20"/>
          <w:w w:val="105"/>
          <w:sz w:val="16"/>
        </w:rPr>
        <w:t xml:space="preserve">European  Stars  </w:t>
      </w:r>
      <w:r>
        <w:rPr>
          <w:i/>
          <w:color w:val="231F20"/>
          <w:spacing w:val="1"/>
          <w:w w:val="105"/>
          <w:sz w:val="16"/>
        </w:rPr>
        <w:t xml:space="preserve">and  </w:t>
      </w:r>
      <w:r>
        <w:rPr>
          <w:i/>
          <w:color w:val="231F20"/>
          <w:w w:val="105"/>
          <w:sz w:val="16"/>
        </w:rPr>
        <w:t xml:space="preserve">Stripes, </w:t>
      </w:r>
      <w:bookmarkStart w:id="47" w:name="_Hlk59216875"/>
      <w:r>
        <w:rPr>
          <w:color w:val="231F20"/>
          <w:w w:val="105"/>
          <w:sz w:val="16"/>
        </w:rPr>
        <w:lastRenderedPageBreak/>
        <w:t xml:space="preserve">July </w:t>
      </w:r>
      <w:r>
        <w:rPr>
          <w:color w:val="231F20"/>
          <w:spacing w:val="-6"/>
          <w:w w:val="105"/>
          <w:sz w:val="16"/>
        </w:rPr>
        <w:t>27,</w:t>
      </w:r>
      <w:r>
        <w:rPr>
          <w:color w:val="231F20"/>
          <w:spacing w:val="16"/>
          <w:w w:val="105"/>
          <w:sz w:val="16"/>
        </w:rPr>
        <w:t xml:space="preserve"> </w:t>
      </w:r>
      <w:r>
        <w:rPr>
          <w:color w:val="231F20"/>
          <w:spacing w:val="-3"/>
          <w:w w:val="105"/>
          <w:sz w:val="16"/>
        </w:rPr>
        <w:t>1972.)</w:t>
      </w:r>
      <w:bookmarkEnd w:id="47"/>
    </w:p>
    <w:p w14:paraId="41C56978" w14:textId="77777777" w:rsidR="002653E8" w:rsidRDefault="003115E3">
      <w:pPr>
        <w:pStyle w:val="a4"/>
        <w:numPr>
          <w:ilvl w:val="0"/>
          <w:numId w:val="160"/>
        </w:numPr>
        <w:tabs>
          <w:tab w:val="left" w:pos="1467"/>
        </w:tabs>
        <w:ind w:left="1466"/>
        <w:rPr>
          <w:sz w:val="16"/>
        </w:rPr>
      </w:pPr>
      <w:bookmarkStart w:id="48" w:name="_Hlk59216825"/>
      <w:r>
        <w:rPr>
          <w:color w:val="231F20"/>
          <w:spacing w:val="1"/>
          <w:w w:val="110"/>
          <w:sz w:val="16"/>
        </w:rPr>
        <w:t>Baumann,</w:t>
      </w:r>
      <w:r>
        <w:rPr>
          <w:color w:val="231F20"/>
          <w:spacing w:val="6"/>
          <w:w w:val="110"/>
          <w:sz w:val="16"/>
        </w:rPr>
        <w:t xml:space="preserve"> </w:t>
      </w:r>
      <w:r>
        <w:rPr>
          <w:color w:val="231F20"/>
          <w:spacing w:val="-3"/>
          <w:w w:val="110"/>
          <w:sz w:val="16"/>
        </w:rPr>
        <w:t>53</w:t>
      </w:r>
      <w:bookmarkEnd w:id="48"/>
      <w:r>
        <w:rPr>
          <w:color w:val="231F20"/>
          <w:spacing w:val="-3"/>
          <w:w w:val="110"/>
          <w:sz w:val="16"/>
        </w:rPr>
        <w:t>.</w:t>
      </w:r>
    </w:p>
    <w:p w14:paraId="4D6BE6BA" w14:textId="77777777" w:rsidR="002653E8" w:rsidRDefault="002653E8">
      <w:pPr>
        <w:rPr>
          <w:sz w:val="16"/>
        </w:rPr>
        <w:sectPr w:rsidR="002653E8">
          <w:footerReference w:type="even" r:id="rId96"/>
          <w:footerReference w:type="default" r:id="rId97"/>
          <w:pgSz w:w="8640" w:h="12960"/>
          <w:pgMar w:top="1220" w:right="0" w:bottom="1460" w:left="0" w:header="0" w:footer="1270" w:gutter="0"/>
          <w:cols w:space="720"/>
        </w:sectPr>
      </w:pPr>
    </w:p>
    <w:p w14:paraId="3F7F4802" w14:textId="77777777" w:rsidR="002653E8" w:rsidRDefault="003115E3">
      <w:pPr>
        <w:pStyle w:val="a3"/>
        <w:spacing w:before="86" w:line="264" w:lineRule="auto"/>
        <w:ind w:left="1147" w:right="1325"/>
        <w:jc w:val="both"/>
        <w:rPr>
          <w:sz w:val="11"/>
        </w:rPr>
      </w:pPr>
      <w:r>
        <w:rPr>
          <w:color w:val="231F20"/>
          <w:spacing w:val="-10"/>
        </w:rPr>
        <w:lastRenderedPageBreak/>
        <w:t xml:space="preserve">“40 </w:t>
      </w:r>
      <w:r>
        <w:rPr>
          <w:color w:val="231F20"/>
        </w:rPr>
        <w:t xml:space="preserve">percent of respondents described the </w:t>
      </w:r>
      <w:r w:rsidR="00C507A5">
        <w:rPr>
          <w:color w:val="231F20"/>
          <w:spacing w:val="1"/>
        </w:rPr>
        <w:t>red army faction</w:t>
      </w:r>
      <w:r>
        <w:rPr>
          <w:color w:val="231F20"/>
          <w:spacing w:val="1"/>
        </w:rPr>
        <w:t xml:space="preserve">’s </w:t>
      </w:r>
      <w:r>
        <w:rPr>
          <w:color w:val="231F20"/>
        </w:rPr>
        <w:t>violence  as  political, not criminal, in motive; 20 percent indicated that they could understand efforts to protect fugitives from capture; and 6 percent confessed that</w:t>
      </w:r>
      <w:r>
        <w:rPr>
          <w:color w:val="231F20"/>
          <w:spacing w:val="10"/>
        </w:rPr>
        <w:t xml:space="preserve"> </w:t>
      </w:r>
      <w:r>
        <w:rPr>
          <w:color w:val="231F20"/>
        </w:rPr>
        <w:t>they</w:t>
      </w:r>
      <w:r>
        <w:rPr>
          <w:color w:val="231F20"/>
          <w:spacing w:val="10"/>
        </w:rPr>
        <w:t xml:space="preserve"> </w:t>
      </w:r>
      <w:r>
        <w:rPr>
          <w:color w:val="231F20"/>
        </w:rPr>
        <w:t>were</w:t>
      </w:r>
      <w:r>
        <w:rPr>
          <w:color w:val="231F20"/>
          <w:spacing w:val="10"/>
        </w:rPr>
        <w:t xml:space="preserve"> </w:t>
      </w:r>
      <w:r>
        <w:rPr>
          <w:color w:val="231F20"/>
        </w:rPr>
        <w:t>themselves</w:t>
      </w:r>
      <w:r>
        <w:rPr>
          <w:color w:val="231F20"/>
          <w:spacing w:val="10"/>
        </w:rPr>
        <w:t xml:space="preserve"> </w:t>
      </w:r>
      <w:r>
        <w:rPr>
          <w:color w:val="231F20"/>
        </w:rPr>
        <w:t>willing</w:t>
      </w:r>
      <w:r>
        <w:rPr>
          <w:color w:val="231F20"/>
          <w:spacing w:val="10"/>
        </w:rPr>
        <w:t xml:space="preserve"> </w:t>
      </w:r>
      <w:r>
        <w:rPr>
          <w:color w:val="231F20"/>
        </w:rPr>
        <w:t>to</w:t>
      </w:r>
      <w:r>
        <w:rPr>
          <w:color w:val="231F20"/>
          <w:spacing w:val="10"/>
        </w:rPr>
        <w:t xml:space="preserve"> </w:t>
      </w:r>
      <w:r>
        <w:rPr>
          <w:color w:val="231F20"/>
        </w:rPr>
        <w:t>conceal</w:t>
      </w:r>
      <w:r>
        <w:rPr>
          <w:color w:val="231F20"/>
          <w:spacing w:val="10"/>
        </w:rPr>
        <w:t xml:space="preserve"> </w:t>
      </w:r>
      <w:r>
        <w:rPr>
          <w:color w:val="231F20"/>
        </w:rPr>
        <w:t>a</w:t>
      </w:r>
      <w:r>
        <w:rPr>
          <w:color w:val="231F20"/>
          <w:spacing w:val="10"/>
        </w:rPr>
        <w:t xml:space="preserve"> </w:t>
      </w:r>
      <w:r>
        <w:rPr>
          <w:color w:val="231F20"/>
        </w:rPr>
        <w:t>fugitive.”</w:t>
      </w:r>
      <w:r>
        <w:rPr>
          <w:color w:val="231F20"/>
          <w:position w:val="7"/>
          <w:sz w:val="11"/>
        </w:rPr>
        <w:t>1</w:t>
      </w:r>
    </w:p>
    <w:p w14:paraId="10FA57C9" w14:textId="77777777" w:rsidR="002653E8" w:rsidRDefault="003115E3">
      <w:pPr>
        <w:pStyle w:val="a3"/>
        <w:spacing w:line="264" w:lineRule="auto"/>
        <w:ind w:left="1147" w:right="1326" w:firstLine="210"/>
        <w:jc w:val="both"/>
        <w:rPr>
          <w:sz w:val="11"/>
        </w:rPr>
      </w:pPr>
      <w:r>
        <w:rPr>
          <w:color w:val="231F20"/>
        </w:rPr>
        <w:t xml:space="preserve">In the wake of the APO, the </w:t>
      </w:r>
      <w:r w:rsidR="00C507A5">
        <w:rPr>
          <w:color w:val="231F20"/>
        </w:rPr>
        <w:t>red army faction</w:t>
      </w:r>
      <w:r>
        <w:rPr>
          <w:color w:val="231F20"/>
        </w:rPr>
        <w:t xml:space="preserve"> began to take on the aura of folk heroes for many young people who were glad to see someone taking things to the next level. As one woman who joined the group in this period put it, “For the first time, I found a theoretical foundation for something that, until then, I had only felt.”</w:t>
      </w:r>
      <w:r>
        <w:rPr>
          <w:color w:val="231F20"/>
          <w:position w:val="7"/>
          <w:sz w:val="11"/>
        </w:rPr>
        <w:t>2</w:t>
      </w:r>
    </w:p>
    <w:p w14:paraId="6F067270" w14:textId="77777777" w:rsidR="002653E8" w:rsidRDefault="003115E3">
      <w:pPr>
        <w:pStyle w:val="a3"/>
        <w:spacing w:line="264" w:lineRule="auto"/>
        <w:ind w:left="1147" w:right="1326" w:firstLine="210"/>
        <w:jc w:val="both"/>
      </w:pPr>
      <w:r>
        <w:rPr>
          <w:color w:val="231F20"/>
        </w:rPr>
        <w:t>Or in the words of Helmut Pohl, who stole cars for the guerilla at    this</w:t>
      </w:r>
      <w:r>
        <w:rPr>
          <w:color w:val="231F20"/>
          <w:spacing w:val="10"/>
        </w:rPr>
        <w:t xml:space="preserve"> </w:t>
      </w:r>
      <w:r>
        <w:rPr>
          <w:color w:val="231F20"/>
        </w:rPr>
        <w:t>time:</w:t>
      </w:r>
    </w:p>
    <w:p w14:paraId="65612A45" w14:textId="77777777" w:rsidR="002653E8" w:rsidRDefault="003115E3">
      <w:pPr>
        <w:spacing w:before="117" w:line="276" w:lineRule="auto"/>
        <w:ind w:left="1567" w:right="1745"/>
        <w:jc w:val="both"/>
        <w:rPr>
          <w:i/>
          <w:sz w:val="11"/>
        </w:rPr>
      </w:pPr>
      <w:r>
        <w:rPr>
          <w:i/>
          <w:color w:val="231F20"/>
          <w:sz w:val="19"/>
        </w:rPr>
        <w:t>What was clear was the drive, the resolve, quite simply, the search for something new—something different from the shit here. That was what made it attractive and created the base of support. This existed from the beginning, and there is no way it could have been otherwise.</w:t>
      </w:r>
      <w:r>
        <w:rPr>
          <w:i/>
          <w:color w:val="231F20"/>
          <w:position w:val="6"/>
          <w:sz w:val="11"/>
        </w:rPr>
        <w:t>3</w:t>
      </w:r>
    </w:p>
    <w:p w14:paraId="5B9F955F" w14:textId="77777777" w:rsidR="002653E8" w:rsidRDefault="003115E3">
      <w:pPr>
        <w:pStyle w:val="a3"/>
        <w:spacing w:before="132" w:line="264" w:lineRule="auto"/>
        <w:ind w:left="1147" w:right="1325"/>
        <w:jc w:val="both"/>
        <w:rPr>
          <w:sz w:val="11"/>
        </w:rPr>
      </w:pPr>
      <w:r>
        <w:rPr>
          <w:color w:val="231F20"/>
        </w:rPr>
        <w:t xml:space="preserve">Thousands of students secretly carried photographs of </w:t>
      </w:r>
      <w:r w:rsidR="00C507A5">
        <w:rPr>
          <w:color w:val="231F20"/>
          <w:spacing w:val="5"/>
        </w:rPr>
        <w:t>red army faction</w:t>
      </w:r>
      <w:r>
        <w:rPr>
          <w:color w:val="231F20"/>
          <w:spacing w:val="5"/>
        </w:rPr>
        <w:t xml:space="preserve"> </w:t>
      </w:r>
      <w:r>
        <w:rPr>
          <w:color w:val="231F20"/>
        </w:rPr>
        <w:t>members  in their wallets, and time and time again, as the police stepped up their search, members of the young guerilla group would find doors open     to them, as they were welcomed into people’s homes, including not a few middle class supporters—academics, doctors, even a clergyman.</w:t>
      </w:r>
      <w:r>
        <w:rPr>
          <w:color w:val="231F20"/>
          <w:position w:val="7"/>
          <w:sz w:val="11"/>
        </w:rPr>
        <w:t xml:space="preserve">4 </w:t>
      </w:r>
      <w:r>
        <w:rPr>
          <w:color w:val="231F20"/>
        </w:rPr>
        <w:t xml:space="preserve">Newspapers at the time carried stories under headlines like “Celebrities Protect Baader Gang” and “Sympathizers Hamper Hunt for Baader </w:t>
      </w:r>
      <w:r>
        <w:rPr>
          <w:color w:val="231F20"/>
          <w:spacing w:val="-4"/>
        </w:rPr>
        <w:t>Group.”</w:t>
      </w:r>
      <w:r>
        <w:rPr>
          <w:color w:val="231F20"/>
          <w:spacing w:val="-4"/>
          <w:position w:val="7"/>
          <w:sz w:val="11"/>
        </w:rPr>
        <w:t>5</w:t>
      </w:r>
    </w:p>
    <w:p w14:paraId="14324477" w14:textId="77777777" w:rsidR="002653E8" w:rsidRDefault="003115E3">
      <w:pPr>
        <w:pStyle w:val="a3"/>
        <w:spacing w:line="264" w:lineRule="auto"/>
        <w:ind w:left="1147" w:right="1326" w:firstLine="210"/>
        <w:jc w:val="both"/>
      </w:pPr>
      <w:r>
        <w:rPr>
          <w:color w:val="231F20"/>
        </w:rPr>
        <w:t>The guerilla continued to attract new members, including several former members of the Socialist Patients’ Collective (SPK), a radical therapy group that had carried out some armed actions before its leading members were arrested in July 1971 (see sidebar on next page).</w:t>
      </w:r>
    </w:p>
    <w:p w14:paraId="677952BC" w14:textId="77777777" w:rsidR="002653E8" w:rsidRDefault="00000000">
      <w:pPr>
        <w:pStyle w:val="a3"/>
        <w:spacing w:line="264" w:lineRule="auto"/>
        <w:ind w:left="1147" w:right="1326" w:firstLine="210"/>
        <w:jc w:val="both"/>
      </w:pPr>
      <w:r>
        <w:rPr>
          <w:noProof w:val="0"/>
        </w:rPr>
        <w:pict w14:anchorId="4EA8EA06">
          <v:line id="_x0000_s2599" style="position:absolute;left:0;text-align:left;z-index:3712;mso-wrap-distance-left:0;mso-wrap-distance-right:0;mso-position-horizontal-relative:page" from="57.4pt,59.15pt" to="129.4pt,59.15pt" strokecolor="#231f20" strokeweight=".5pt">
            <w10:wrap type="topAndBottom" anchorx="page"/>
          </v:line>
        </w:pict>
      </w:r>
      <w:r w:rsidR="003115E3">
        <w:rPr>
          <w:color w:val="231F20"/>
        </w:rPr>
        <w:t xml:space="preserve">On October 22, there was another shooting in Hamburg,  but  this time a police officer was killed. Margrit Schiller, a former SPK member who had joined the </w:t>
      </w:r>
      <w:r w:rsidR="00C507A5">
        <w:rPr>
          <w:color w:val="231F20"/>
        </w:rPr>
        <w:t>red army faction</w:t>
      </w:r>
      <w:r w:rsidR="003115E3">
        <w:rPr>
          <w:color w:val="231F20"/>
        </w:rPr>
        <w:t>, was being pursued by two policemen when Gerhard</w:t>
      </w:r>
      <w:r w:rsidR="003115E3">
        <w:rPr>
          <w:color w:val="231F20"/>
          <w:spacing w:val="25"/>
        </w:rPr>
        <w:t xml:space="preserve"> </w:t>
      </w:r>
      <w:r w:rsidR="003115E3">
        <w:rPr>
          <w:color w:val="231F20"/>
        </w:rPr>
        <w:t>Müller</w:t>
      </w:r>
      <w:r w:rsidR="003115E3">
        <w:rPr>
          <w:color w:val="231F20"/>
          <w:spacing w:val="25"/>
        </w:rPr>
        <w:t xml:space="preserve"> </w:t>
      </w:r>
      <w:r w:rsidR="003115E3">
        <w:rPr>
          <w:color w:val="231F20"/>
        </w:rPr>
        <w:t>(also</w:t>
      </w:r>
      <w:r w:rsidR="003115E3">
        <w:rPr>
          <w:color w:val="231F20"/>
          <w:spacing w:val="25"/>
        </w:rPr>
        <w:t xml:space="preserve"> </w:t>
      </w:r>
      <w:r w:rsidR="003115E3">
        <w:rPr>
          <w:color w:val="231F20"/>
        </w:rPr>
        <w:t>formerly</w:t>
      </w:r>
      <w:r w:rsidR="003115E3">
        <w:rPr>
          <w:color w:val="231F20"/>
          <w:spacing w:val="25"/>
        </w:rPr>
        <w:t xml:space="preserve"> </w:t>
      </w:r>
      <w:r w:rsidR="003115E3">
        <w:rPr>
          <w:color w:val="231F20"/>
        </w:rPr>
        <w:t>of</w:t>
      </w:r>
      <w:r w:rsidR="003115E3">
        <w:rPr>
          <w:color w:val="231F20"/>
          <w:spacing w:val="25"/>
        </w:rPr>
        <w:t xml:space="preserve"> </w:t>
      </w:r>
      <w:r w:rsidR="003115E3">
        <w:rPr>
          <w:color w:val="231F20"/>
        </w:rPr>
        <w:t>the</w:t>
      </w:r>
      <w:r w:rsidR="003115E3">
        <w:rPr>
          <w:color w:val="231F20"/>
          <w:spacing w:val="25"/>
        </w:rPr>
        <w:t xml:space="preserve"> </w:t>
      </w:r>
      <w:r w:rsidR="003115E3">
        <w:rPr>
          <w:color w:val="231F20"/>
        </w:rPr>
        <w:t>SPK)</w:t>
      </w:r>
      <w:r w:rsidR="003115E3">
        <w:rPr>
          <w:color w:val="231F20"/>
          <w:spacing w:val="25"/>
        </w:rPr>
        <w:t xml:space="preserve"> </w:t>
      </w:r>
      <w:r w:rsidR="003115E3">
        <w:rPr>
          <w:color w:val="231F20"/>
        </w:rPr>
        <w:t>and</w:t>
      </w:r>
      <w:r w:rsidR="003115E3">
        <w:rPr>
          <w:color w:val="231F20"/>
          <w:spacing w:val="25"/>
        </w:rPr>
        <w:t xml:space="preserve"> </w:t>
      </w:r>
      <w:r w:rsidR="003115E3">
        <w:rPr>
          <w:color w:val="231F20"/>
        </w:rPr>
        <w:t>a</w:t>
      </w:r>
      <w:r w:rsidR="003115E3">
        <w:rPr>
          <w:color w:val="231F20"/>
          <w:spacing w:val="25"/>
        </w:rPr>
        <w:t xml:space="preserve"> </w:t>
      </w:r>
      <w:r w:rsidR="003115E3">
        <w:rPr>
          <w:color w:val="231F20"/>
        </w:rPr>
        <w:t>female</w:t>
      </w:r>
      <w:r w:rsidR="003115E3">
        <w:rPr>
          <w:color w:val="231F20"/>
          <w:spacing w:val="25"/>
        </w:rPr>
        <w:t xml:space="preserve"> </w:t>
      </w:r>
      <w:r w:rsidR="00C507A5">
        <w:rPr>
          <w:color w:val="231F20"/>
          <w:spacing w:val="5"/>
        </w:rPr>
        <w:t>red army faction</w:t>
      </w:r>
      <w:r w:rsidR="003115E3">
        <w:rPr>
          <w:color w:val="231F20"/>
          <w:spacing w:val="25"/>
        </w:rPr>
        <w:t xml:space="preserve"> </w:t>
      </w:r>
      <w:r w:rsidR="003115E3">
        <w:rPr>
          <w:color w:val="231F20"/>
        </w:rPr>
        <w:t>member</w:t>
      </w:r>
    </w:p>
    <w:p w14:paraId="3467D768" w14:textId="77777777" w:rsidR="002653E8" w:rsidRDefault="003115E3">
      <w:pPr>
        <w:pStyle w:val="a4"/>
        <w:numPr>
          <w:ilvl w:val="0"/>
          <w:numId w:val="159"/>
        </w:numPr>
        <w:tabs>
          <w:tab w:val="left" w:pos="1287"/>
        </w:tabs>
        <w:spacing w:before="53"/>
        <w:ind w:firstLine="0"/>
        <w:rPr>
          <w:sz w:val="16"/>
        </w:rPr>
      </w:pPr>
      <w:r>
        <w:rPr>
          <w:color w:val="231F20"/>
          <w:w w:val="115"/>
          <w:sz w:val="16"/>
        </w:rPr>
        <w:t>Varon,</w:t>
      </w:r>
      <w:r>
        <w:rPr>
          <w:color w:val="231F20"/>
          <w:spacing w:val="5"/>
          <w:w w:val="115"/>
          <w:sz w:val="16"/>
        </w:rPr>
        <w:t xml:space="preserve"> </w:t>
      </w:r>
      <w:r>
        <w:rPr>
          <w:color w:val="231F20"/>
          <w:spacing w:val="-3"/>
          <w:w w:val="115"/>
          <w:sz w:val="16"/>
        </w:rPr>
        <w:t>199.</w:t>
      </w:r>
    </w:p>
    <w:p w14:paraId="0EBF73D8" w14:textId="77777777" w:rsidR="002653E8" w:rsidRDefault="003115E3">
      <w:pPr>
        <w:pStyle w:val="a4"/>
        <w:numPr>
          <w:ilvl w:val="0"/>
          <w:numId w:val="159"/>
        </w:numPr>
        <w:tabs>
          <w:tab w:val="left" w:pos="1287"/>
        </w:tabs>
        <w:spacing w:before="51"/>
        <w:ind w:left="1286"/>
        <w:rPr>
          <w:i/>
          <w:sz w:val="16"/>
        </w:rPr>
      </w:pPr>
      <w:r>
        <w:rPr>
          <w:color w:val="231F20"/>
          <w:w w:val="110"/>
          <w:sz w:val="16"/>
        </w:rPr>
        <w:t xml:space="preserve">Margrit Schiller in </w:t>
      </w:r>
      <w:r>
        <w:rPr>
          <w:i/>
          <w:color w:val="231F20"/>
          <w:spacing w:val="2"/>
          <w:w w:val="110"/>
          <w:sz w:val="16"/>
        </w:rPr>
        <w:t xml:space="preserve">Baader </w:t>
      </w:r>
      <w:r>
        <w:rPr>
          <w:i/>
          <w:color w:val="231F20"/>
          <w:w w:val="110"/>
          <w:sz w:val="16"/>
        </w:rPr>
        <w:t>Meinhof: In Love With</w:t>
      </w:r>
      <w:r>
        <w:rPr>
          <w:i/>
          <w:color w:val="231F20"/>
          <w:spacing w:val="11"/>
          <w:w w:val="110"/>
          <w:sz w:val="16"/>
        </w:rPr>
        <w:t xml:space="preserve"> </w:t>
      </w:r>
      <w:r>
        <w:rPr>
          <w:i/>
          <w:color w:val="231F20"/>
          <w:w w:val="110"/>
          <w:sz w:val="16"/>
        </w:rPr>
        <w:t>Terror.</w:t>
      </w:r>
    </w:p>
    <w:p w14:paraId="61CBEEBF" w14:textId="77777777" w:rsidR="002653E8" w:rsidRDefault="003115E3">
      <w:pPr>
        <w:pStyle w:val="a4"/>
        <w:numPr>
          <w:ilvl w:val="0"/>
          <w:numId w:val="159"/>
        </w:numPr>
        <w:tabs>
          <w:tab w:val="left" w:pos="1287"/>
        </w:tabs>
        <w:spacing w:before="52" w:line="254" w:lineRule="auto"/>
        <w:ind w:right="1481" w:firstLine="0"/>
        <w:rPr>
          <w:sz w:val="16"/>
        </w:rPr>
      </w:pPr>
      <w:r>
        <w:rPr>
          <w:color w:val="231F20"/>
          <w:w w:val="105"/>
          <w:sz w:val="16"/>
        </w:rPr>
        <w:t xml:space="preserve">Helmut Pohl’s Testimony at the </w:t>
      </w:r>
      <w:r>
        <w:rPr>
          <w:color w:val="231F20"/>
          <w:spacing w:val="1"/>
          <w:w w:val="105"/>
          <w:sz w:val="16"/>
        </w:rPr>
        <w:t xml:space="preserve">Stammheim </w:t>
      </w:r>
      <w:r>
        <w:rPr>
          <w:color w:val="231F20"/>
          <w:w w:val="105"/>
          <w:sz w:val="16"/>
        </w:rPr>
        <w:t xml:space="preserve">Trial, July 29, </w:t>
      </w:r>
      <w:r>
        <w:rPr>
          <w:color w:val="231F20"/>
          <w:spacing w:val="-3"/>
          <w:w w:val="105"/>
          <w:sz w:val="16"/>
        </w:rPr>
        <w:t xml:space="preserve">1976. </w:t>
      </w:r>
      <w:r>
        <w:rPr>
          <w:color w:val="231F20"/>
          <w:spacing w:val="1"/>
          <w:w w:val="105"/>
          <w:sz w:val="16"/>
        </w:rPr>
        <w:t xml:space="preserve">This </w:t>
      </w:r>
      <w:r>
        <w:rPr>
          <w:color w:val="231F20"/>
          <w:w w:val="105"/>
          <w:sz w:val="16"/>
        </w:rPr>
        <w:t xml:space="preserve">testimony </w:t>
      </w:r>
      <w:r>
        <w:rPr>
          <w:color w:val="231F20"/>
          <w:spacing w:val="1"/>
          <w:w w:val="103"/>
          <w:sz w:val="16"/>
        </w:rPr>
        <w:t>i</w:t>
      </w:r>
      <w:r>
        <w:rPr>
          <w:color w:val="231F20"/>
          <w:w w:val="93"/>
          <w:sz w:val="16"/>
        </w:rPr>
        <w:t>s</w:t>
      </w:r>
      <w:r>
        <w:rPr>
          <w:color w:val="231F20"/>
          <w:spacing w:val="10"/>
          <w:sz w:val="16"/>
        </w:rPr>
        <w:t xml:space="preserve"> </w:t>
      </w:r>
      <w:r>
        <w:rPr>
          <w:color w:val="231F20"/>
          <w:spacing w:val="-2"/>
          <w:w w:val="106"/>
          <w:sz w:val="16"/>
        </w:rPr>
        <w:t>a</w:t>
      </w:r>
      <w:r>
        <w:rPr>
          <w:color w:val="231F20"/>
          <w:spacing w:val="-1"/>
          <w:w w:val="102"/>
          <w:sz w:val="16"/>
        </w:rPr>
        <w:t>v</w:t>
      </w:r>
      <w:r>
        <w:rPr>
          <w:color w:val="231F20"/>
          <w:spacing w:val="2"/>
          <w:w w:val="106"/>
          <w:sz w:val="16"/>
        </w:rPr>
        <w:t>a</w:t>
      </w:r>
      <w:r>
        <w:rPr>
          <w:color w:val="231F20"/>
          <w:spacing w:val="2"/>
          <w:w w:val="103"/>
          <w:sz w:val="16"/>
        </w:rPr>
        <w:t>i</w:t>
      </w:r>
      <w:r>
        <w:rPr>
          <w:color w:val="231F20"/>
          <w:spacing w:val="1"/>
          <w:w w:val="106"/>
          <w:sz w:val="16"/>
        </w:rPr>
        <w:t>l</w:t>
      </w:r>
      <w:r>
        <w:rPr>
          <w:color w:val="231F20"/>
          <w:spacing w:val="-1"/>
          <w:w w:val="106"/>
          <w:sz w:val="16"/>
        </w:rPr>
        <w:t>a</w:t>
      </w:r>
      <w:r>
        <w:rPr>
          <w:color w:val="231F20"/>
          <w:w w:val="105"/>
          <w:sz w:val="16"/>
        </w:rPr>
        <w:t>b</w:t>
      </w:r>
      <w:r>
        <w:rPr>
          <w:color w:val="231F20"/>
          <w:w w:val="106"/>
          <w:sz w:val="16"/>
        </w:rPr>
        <w:t>l</w:t>
      </w:r>
      <w:r>
        <w:rPr>
          <w:color w:val="231F20"/>
          <w:w w:val="94"/>
          <w:sz w:val="16"/>
        </w:rPr>
        <w:t>e</w:t>
      </w:r>
      <w:r>
        <w:rPr>
          <w:color w:val="231F20"/>
          <w:spacing w:val="10"/>
          <w:sz w:val="16"/>
        </w:rPr>
        <w:t xml:space="preserve"> </w:t>
      </w:r>
      <w:r>
        <w:rPr>
          <w:color w:val="231F20"/>
          <w:w w:val="108"/>
          <w:sz w:val="16"/>
        </w:rPr>
        <w:t>o</w:t>
      </w:r>
      <w:r>
        <w:rPr>
          <w:color w:val="231F20"/>
          <w:w w:val="103"/>
          <w:sz w:val="16"/>
        </w:rPr>
        <w:t>n</w:t>
      </w:r>
      <w:r>
        <w:rPr>
          <w:color w:val="231F20"/>
          <w:spacing w:val="10"/>
          <w:sz w:val="16"/>
        </w:rPr>
        <w:t xml:space="preserve"> </w:t>
      </w:r>
      <w:r>
        <w:rPr>
          <w:color w:val="231F20"/>
          <w:spacing w:val="3"/>
          <w:w w:val="102"/>
          <w:sz w:val="16"/>
        </w:rPr>
        <w:t>t</w:t>
      </w:r>
      <w:r>
        <w:rPr>
          <w:color w:val="231F20"/>
          <w:w w:val="104"/>
          <w:sz w:val="16"/>
        </w:rPr>
        <w:t>h</w:t>
      </w:r>
      <w:r>
        <w:rPr>
          <w:color w:val="231F20"/>
          <w:w w:val="94"/>
          <w:sz w:val="16"/>
        </w:rPr>
        <w:t>e</w:t>
      </w:r>
      <w:r>
        <w:rPr>
          <w:color w:val="231F20"/>
          <w:spacing w:val="10"/>
          <w:sz w:val="16"/>
        </w:rPr>
        <w:t xml:space="preserve"> </w:t>
      </w:r>
      <w:r>
        <w:rPr>
          <w:color w:val="231F20"/>
          <w:spacing w:val="3"/>
          <w:w w:val="103"/>
          <w:sz w:val="16"/>
        </w:rPr>
        <w:t>i</w:t>
      </w:r>
      <w:r>
        <w:rPr>
          <w:color w:val="231F20"/>
          <w:w w:val="102"/>
          <w:sz w:val="16"/>
        </w:rPr>
        <w:t>n</w:t>
      </w:r>
      <w:r>
        <w:rPr>
          <w:color w:val="231F20"/>
          <w:spacing w:val="1"/>
          <w:w w:val="102"/>
          <w:sz w:val="16"/>
        </w:rPr>
        <w:t>t</w:t>
      </w:r>
      <w:r>
        <w:rPr>
          <w:color w:val="231F20"/>
          <w:w w:val="94"/>
          <w:sz w:val="16"/>
        </w:rPr>
        <w:t>e</w:t>
      </w:r>
      <w:r>
        <w:rPr>
          <w:color w:val="231F20"/>
          <w:spacing w:val="3"/>
          <w:w w:val="97"/>
          <w:sz w:val="16"/>
        </w:rPr>
        <w:t>r</w:t>
      </w:r>
      <w:r>
        <w:rPr>
          <w:color w:val="231F20"/>
          <w:w w:val="103"/>
          <w:sz w:val="16"/>
        </w:rPr>
        <w:t>n</w:t>
      </w:r>
      <w:r>
        <w:rPr>
          <w:color w:val="231F20"/>
          <w:spacing w:val="2"/>
          <w:w w:val="94"/>
          <w:sz w:val="16"/>
        </w:rPr>
        <w:t>e</w:t>
      </w:r>
      <w:r>
        <w:rPr>
          <w:color w:val="231F20"/>
          <w:w w:val="102"/>
          <w:sz w:val="16"/>
        </w:rPr>
        <w:t>t</w:t>
      </w:r>
      <w:r>
        <w:rPr>
          <w:color w:val="231F20"/>
          <w:spacing w:val="10"/>
          <w:sz w:val="16"/>
        </w:rPr>
        <w:t xml:space="preserve"> </w:t>
      </w:r>
      <w:r>
        <w:rPr>
          <w:color w:val="231F20"/>
          <w:spacing w:val="-1"/>
          <w:w w:val="106"/>
          <w:sz w:val="16"/>
        </w:rPr>
        <w:t>a</w:t>
      </w:r>
      <w:r>
        <w:rPr>
          <w:color w:val="231F20"/>
          <w:w w:val="102"/>
          <w:sz w:val="16"/>
        </w:rPr>
        <w:t>t</w:t>
      </w:r>
      <w:r>
        <w:rPr>
          <w:color w:val="231F20"/>
          <w:spacing w:val="10"/>
          <w:sz w:val="16"/>
        </w:rPr>
        <w:t xml:space="preserve"> </w:t>
      </w:r>
      <w:hyperlink r:id="rId98">
        <w:r>
          <w:rPr>
            <w:color w:val="231F20"/>
            <w:w w:val="103"/>
            <w:sz w:val="16"/>
          </w:rPr>
          <w:t>h</w:t>
        </w:r>
        <w:r>
          <w:rPr>
            <w:color w:val="231F20"/>
            <w:spacing w:val="5"/>
            <w:w w:val="103"/>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spacing w:val="1"/>
            <w:w w:val="140"/>
            <w:sz w:val="16"/>
          </w:rPr>
          <w:t>.</w:t>
        </w:r>
        <w:r>
          <w:rPr>
            <w:color w:val="231F20"/>
            <w:w w:val="104"/>
            <w:sz w:val="16"/>
          </w:rPr>
          <w:t>g</w:t>
        </w:r>
        <w:r>
          <w:rPr>
            <w:color w:val="231F20"/>
            <w:w w:val="94"/>
            <w:sz w:val="16"/>
          </w:rPr>
          <w:t>e</w:t>
        </w:r>
        <w:r>
          <w:rPr>
            <w:color w:val="231F20"/>
            <w:spacing w:val="2"/>
            <w:w w:val="97"/>
            <w:sz w:val="16"/>
          </w:rPr>
          <w:t>r</w:t>
        </w:r>
        <w:r>
          <w:rPr>
            <w:color w:val="231F20"/>
            <w:spacing w:val="2"/>
            <w:w w:val="103"/>
            <w:sz w:val="16"/>
          </w:rPr>
          <w:t>m</w:t>
        </w:r>
        <w:r>
          <w:rPr>
            <w:color w:val="231F20"/>
            <w:spacing w:val="3"/>
            <w:w w:val="106"/>
            <w:sz w:val="16"/>
          </w:rPr>
          <w:t>a</w:t>
        </w:r>
        <w:r>
          <w:rPr>
            <w:color w:val="231F20"/>
            <w:w w:val="103"/>
            <w:sz w:val="16"/>
          </w:rPr>
          <w:t>n</w:t>
        </w:r>
        <w:r>
          <w:rPr>
            <w:color w:val="231F20"/>
            <w:spacing w:val="3"/>
            <w:w w:val="104"/>
            <w:sz w:val="16"/>
          </w:rPr>
          <w:t>g</w:t>
        </w:r>
        <w:r>
          <w:rPr>
            <w:color w:val="231F20"/>
            <w:w w:val="104"/>
            <w:sz w:val="16"/>
          </w:rPr>
          <w:t>u</w:t>
        </w:r>
        <w:r>
          <w:rPr>
            <w:color w:val="231F20"/>
            <w:w w:val="94"/>
            <w:sz w:val="16"/>
          </w:rPr>
          <w:t>e</w:t>
        </w:r>
        <w:r>
          <w:rPr>
            <w:color w:val="231F20"/>
            <w:spacing w:val="2"/>
            <w:w w:val="97"/>
            <w:sz w:val="16"/>
          </w:rPr>
          <w:t>r</w:t>
        </w:r>
        <w:r>
          <w:rPr>
            <w:color w:val="231F20"/>
            <w:spacing w:val="2"/>
            <w:w w:val="103"/>
            <w:sz w:val="16"/>
          </w:rPr>
          <w:t>i</w:t>
        </w:r>
        <w:r>
          <w:rPr>
            <w:color w:val="231F20"/>
            <w:spacing w:val="2"/>
            <w:w w:val="106"/>
            <w:sz w:val="16"/>
          </w:rPr>
          <w:t>l</w:t>
        </w:r>
        <w:r>
          <w:rPr>
            <w:color w:val="231F20"/>
            <w:spacing w:val="1"/>
            <w:w w:val="106"/>
            <w:sz w:val="16"/>
          </w:rPr>
          <w:t>la</w:t>
        </w:r>
        <w:r>
          <w:rPr>
            <w:color w:val="231F20"/>
            <w:w w:val="140"/>
            <w:sz w:val="16"/>
          </w:rPr>
          <w:t>.</w:t>
        </w:r>
        <w:r>
          <w:rPr>
            <w:color w:val="231F20"/>
            <w:w w:val="104"/>
            <w:sz w:val="16"/>
          </w:rPr>
          <w:t>c</w:t>
        </w:r>
        <w:r>
          <w:rPr>
            <w:color w:val="231F20"/>
            <w:w w:val="108"/>
            <w:sz w:val="16"/>
          </w:rPr>
          <w:t>o</w:t>
        </w:r>
        <w:r>
          <w:rPr>
            <w:color w:val="231F20"/>
            <w:spacing w:val="8"/>
            <w:w w:val="103"/>
            <w:sz w:val="16"/>
          </w:rPr>
          <w:t>m</w:t>
        </w:r>
        <w:r>
          <w:rPr>
            <w:color w:val="231F20"/>
            <w:w w:val="58"/>
            <w:sz w:val="16"/>
          </w:rPr>
          <w:t>/</w:t>
        </w:r>
        <w:r>
          <w:rPr>
            <w:color w:val="231F20"/>
            <w:w w:val="97"/>
            <w:sz w:val="16"/>
          </w:rPr>
          <w:t>r</w:t>
        </w:r>
        <w:r>
          <w:rPr>
            <w:color w:val="231F20"/>
            <w:spacing w:val="1"/>
            <w:w w:val="94"/>
            <w:sz w:val="16"/>
          </w:rPr>
          <w:t>e</w:t>
        </w:r>
        <w:r>
          <w:rPr>
            <w:color w:val="231F20"/>
            <w:spacing w:val="1"/>
            <w:w w:val="103"/>
            <w:sz w:val="16"/>
          </w:rPr>
          <w:t>d</w:t>
        </w:r>
        <w:r>
          <w:rPr>
            <w:color w:val="231F20"/>
            <w:spacing w:val="2"/>
            <w:w w:val="104"/>
            <w:sz w:val="16"/>
          </w:rPr>
          <w:t>-</w:t>
        </w:r>
        <w:r>
          <w:rPr>
            <w:color w:val="231F20"/>
            <w:spacing w:val="3"/>
            <w:w w:val="106"/>
            <w:sz w:val="16"/>
          </w:rPr>
          <w:t>a</w:t>
        </w:r>
        <w:r>
          <w:rPr>
            <w:color w:val="231F20"/>
            <w:spacing w:val="2"/>
            <w:w w:val="97"/>
            <w:sz w:val="16"/>
          </w:rPr>
          <w:t>r</w:t>
        </w:r>
        <w:r>
          <w:rPr>
            <w:color w:val="231F20"/>
            <w:spacing w:val="-1"/>
            <w:w w:val="103"/>
            <w:sz w:val="16"/>
          </w:rPr>
          <w:t>m</w:t>
        </w:r>
        <w:r>
          <w:rPr>
            <w:color w:val="231F20"/>
            <w:spacing w:val="-1"/>
            <w:w w:val="102"/>
            <w:sz w:val="16"/>
          </w:rPr>
          <w:t>y</w:t>
        </w:r>
        <w:r>
          <w:rPr>
            <w:color w:val="231F20"/>
            <w:w w:val="104"/>
            <w:sz w:val="16"/>
          </w:rPr>
          <w:t>-</w:t>
        </w:r>
        <w:r>
          <w:rPr>
            <w:color w:val="231F20"/>
            <w:w w:val="114"/>
            <w:sz w:val="16"/>
          </w:rPr>
          <w:t>f</w:t>
        </w:r>
        <w:r>
          <w:rPr>
            <w:color w:val="231F20"/>
            <w:w w:val="106"/>
            <w:sz w:val="16"/>
          </w:rPr>
          <w:t>a</w:t>
        </w:r>
        <w:r>
          <w:rPr>
            <w:color w:val="231F20"/>
            <w:spacing w:val="3"/>
            <w:w w:val="104"/>
            <w:sz w:val="16"/>
          </w:rPr>
          <w:t>c</w:t>
        </w:r>
        <w:r>
          <w:rPr>
            <w:color w:val="231F20"/>
            <w:spacing w:val="2"/>
            <w:w w:val="102"/>
            <w:sz w:val="16"/>
          </w:rPr>
          <w:t>t</w:t>
        </w:r>
        <w:r>
          <w:rPr>
            <w:color w:val="231F20"/>
            <w:w w:val="107"/>
            <w:sz w:val="16"/>
          </w:rPr>
          <w:t>io</w:t>
        </w:r>
        <w:r>
          <w:rPr>
            <w:color w:val="231F20"/>
            <w:spacing w:val="8"/>
            <w:w w:val="103"/>
            <w:sz w:val="16"/>
          </w:rPr>
          <w:t>n</w:t>
        </w:r>
        <w:r>
          <w:rPr>
            <w:color w:val="231F20"/>
            <w:w w:val="58"/>
            <w:sz w:val="16"/>
          </w:rPr>
          <w:t>/</w:t>
        </w:r>
      </w:hyperlink>
      <w:r>
        <w:rPr>
          <w:color w:val="231F20"/>
          <w:w w:val="58"/>
          <w:sz w:val="16"/>
        </w:rPr>
        <w:t xml:space="preserve"> </w:t>
      </w:r>
      <w:r>
        <w:rPr>
          <w:color w:val="231F20"/>
          <w:w w:val="103"/>
          <w:sz w:val="16"/>
        </w:rPr>
        <w:t>d</w:t>
      </w:r>
      <w:r>
        <w:rPr>
          <w:color w:val="231F20"/>
          <w:spacing w:val="2"/>
          <w:w w:val="108"/>
          <w:sz w:val="16"/>
        </w:rPr>
        <w:t>o</w:t>
      </w:r>
      <w:r>
        <w:rPr>
          <w:color w:val="231F20"/>
          <w:spacing w:val="2"/>
          <w:w w:val="104"/>
          <w:sz w:val="16"/>
        </w:rPr>
        <w:t>c</w:t>
      </w:r>
      <w:r>
        <w:rPr>
          <w:color w:val="231F20"/>
          <w:spacing w:val="5"/>
          <w:w w:val="104"/>
          <w:sz w:val="16"/>
        </w:rPr>
        <w:t>u</w:t>
      </w:r>
      <w:r>
        <w:rPr>
          <w:color w:val="231F20"/>
          <w:w w:val="103"/>
          <w:sz w:val="16"/>
        </w:rPr>
        <w:t>m</w:t>
      </w:r>
      <w:r>
        <w:rPr>
          <w:color w:val="231F20"/>
          <w:w w:val="94"/>
          <w:sz w:val="16"/>
        </w:rPr>
        <w:t>e</w:t>
      </w:r>
      <w:r>
        <w:rPr>
          <w:color w:val="231F20"/>
          <w:w w:val="102"/>
          <w:sz w:val="16"/>
        </w:rPr>
        <w:t>n</w:t>
      </w:r>
      <w:r>
        <w:rPr>
          <w:color w:val="231F20"/>
          <w:spacing w:val="2"/>
          <w:w w:val="102"/>
          <w:sz w:val="16"/>
        </w:rPr>
        <w:t>t</w:t>
      </w:r>
      <w:r>
        <w:rPr>
          <w:color w:val="231F20"/>
          <w:spacing w:val="5"/>
          <w:w w:val="93"/>
          <w:sz w:val="16"/>
        </w:rPr>
        <w:t>s</w:t>
      </w:r>
      <w:r>
        <w:rPr>
          <w:color w:val="231F20"/>
          <w:spacing w:val="-1"/>
          <w:w w:val="58"/>
          <w:sz w:val="16"/>
        </w:rPr>
        <w:t>/</w:t>
      </w:r>
      <w:r>
        <w:rPr>
          <w:color w:val="231F20"/>
          <w:spacing w:val="-4"/>
          <w:w w:val="104"/>
          <w:sz w:val="16"/>
        </w:rPr>
        <w:t>7</w:t>
      </w:r>
      <w:r>
        <w:rPr>
          <w:color w:val="231F20"/>
          <w:spacing w:val="2"/>
          <w:w w:val="104"/>
          <w:sz w:val="16"/>
        </w:rPr>
        <w:t>6</w:t>
      </w:r>
      <w:r>
        <w:rPr>
          <w:color w:val="231F20"/>
          <w:spacing w:val="3"/>
          <w:w w:val="139"/>
          <w:sz w:val="16"/>
        </w:rPr>
        <w:t>_</w:t>
      </w:r>
      <w:r>
        <w:rPr>
          <w:color w:val="231F20"/>
          <w:spacing w:val="2"/>
          <w:w w:val="104"/>
          <w:sz w:val="16"/>
        </w:rPr>
        <w:t>0</w:t>
      </w:r>
      <w:r>
        <w:rPr>
          <w:color w:val="231F20"/>
          <w:spacing w:val="-1"/>
          <w:w w:val="104"/>
          <w:sz w:val="16"/>
        </w:rPr>
        <w:t>7</w:t>
      </w:r>
      <w:r>
        <w:rPr>
          <w:color w:val="231F20"/>
          <w:w w:val="104"/>
          <w:sz w:val="16"/>
        </w:rPr>
        <w:t>08</w:t>
      </w:r>
      <w:r>
        <w:rPr>
          <w:color w:val="231F20"/>
          <w:spacing w:val="6"/>
          <w:w w:val="139"/>
          <w:sz w:val="16"/>
        </w:rPr>
        <w:t>_</w:t>
      </w:r>
      <w:r>
        <w:rPr>
          <w:color w:val="231F20"/>
          <w:w w:val="103"/>
          <w:sz w:val="16"/>
        </w:rPr>
        <w:t>m</w:t>
      </w:r>
      <w:r>
        <w:rPr>
          <w:color w:val="231F20"/>
          <w:w w:val="108"/>
          <w:sz w:val="16"/>
        </w:rPr>
        <w:t>o</w:t>
      </w:r>
      <w:r>
        <w:rPr>
          <w:color w:val="231F20"/>
          <w:spacing w:val="3"/>
          <w:w w:val="104"/>
          <w:sz w:val="16"/>
        </w:rPr>
        <w:t>hn</w:t>
      </w:r>
      <w:r>
        <w:rPr>
          <w:color w:val="231F20"/>
          <w:spacing w:val="1"/>
          <w:w w:val="104"/>
          <w:sz w:val="16"/>
        </w:rPr>
        <w:t>h</w:t>
      </w:r>
      <w:r>
        <w:rPr>
          <w:color w:val="231F20"/>
          <w:spacing w:val="-2"/>
          <w:w w:val="106"/>
          <w:sz w:val="16"/>
        </w:rPr>
        <w:t>a</w:t>
      </w:r>
      <w:r>
        <w:rPr>
          <w:color w:val="231F20"/>
          <w:spacing w:val="-1"/>
          <w:w w:val="104"/>
          <w:sz w:val="16"/>
        </w:rPr>
        <w:t>u</w:t>
      </w:r>
      <w:r>
        <w:rPr>
          <w:color w:val="231F20"/>
          <w:w w:val="103"/>
          <w:sz w:val="16"/>
        </w:rPr>
        <w:t>p</w:t>
      </w:r>
      <w:r>
        <w:rPr>
          <w:color w:val="231F20"/>
          <w:spacing w:val="5"/>
          <w:w w:val="102"/>
          <w:sz w:val="16"/>
        </w:rPr>
        <w:t>t</w:t>
      </w:r>
      <w:r>
        <w:rPr>
          <w:color w:val="231F20"/>
          <w:spacing w:val="5"/>
          <w:w w:val="139"/>
          <w:sz w:val="16"/>
        </w:rPr>
        <w:t>_</w:t>
      </w:r>
      <w:r>
        <w:rPr>
          <w:color w:val="231F20"/>
          <w:spacing w:val="1"/>
          <w:w w:val="103"/>
          <w:sz w:val="16"/>
        </w:rPr>
        <w:t>p</w:t>
      </w:r>
      <w:r>
        <w:rPr>
          <w:color w:val="231F20"/>
          <w:w w:val="108"/>
          <w:sz w:val="16"/>
        </w:rPr>
        <w:t>o</w:t>
      </w:r>
      <w:r>
        <w:rPr>
          <w:color w:val="231F20"/>
          <w:spacing w:val="3"/>
          <w:w w:val="104"/>
          <w:sz w:val="16"/>
        </w:rPr>
        <w:t>h</w:t>
      </w:r>
      <w:r>
        <w:rPr>
          <w:color w:val="231F20"/>
          <w:w w:val="106"/>
          <w:sz w:val="16"/>
        </w:rPr>
        <w:t>l</w:t>
      </w:r>
      <w:r>
        <w:rPr>
          <w:color w:val="231F20"/>
          <w:spacing w:val="1"/>
          <w:w w:val="140"/>
          <w:sz w:val="16"/>
        </w:rPr>
        <w:t>.</w:t>
      </w:r>
      <w:r>
        <w:rPr>
          <w:color w:val="231F20"/>
          <w:w w:val="104"/>
          <w:sz w:val="16"/>
        </w:rPr>
        <w:t>h</w:t>
      </w:r>
      <w:r>
        <w:rPr>
          <w:color w:val="231F20"/>
          <w:spacing w:val="3"/>
          <w:w w:val="102"/>
          <w:sz w:val="16"/>
        </w:rPr>
        <w:t>t</w:t>
      </w:r>
      <w:r>
        <w:rPr>
          <w:color w:val="231F20"/>
          <w:spacing w:val="3"/>
          <w:w w:val="104"/>
          <w:sz w:val="16"/>
        </w:rPr>
        <w:t>m</w:t>
      </w:r>
      <w:r>
        <w:rPr>
          <w:color w:val="231F20"/>
          <w:w w:val="104"/>
          <w:sz w:val="16"/>
        </w:rPr>
        <w:t>l</w:t>
      </w:r>
      <w:r>
        <w:rPr>
          <w:color w:val="231F20"/>
          <w:spacing w:val="-2"/>
          <w:w w:val="93"/>
          <w:sz w:val="16"/>
        </w:rPr>
        <w:t>#</w:t>
      </w:r>
      <w:r>
        <w:rPr>
          <w:color w:val="231F20"/>
          <w:w w:val="104"/>
          <w:sz w:val="16"/>
        </w:rPr>
        <w:t>2</w:t>
      </w:r>
      <w:r>
        <w:rPr>
          <w:color w:val="231F20"/>
          <w:spacing w:val="1"/>
          <w:w w:val="104"/>
          <w:sz w:val="16"/>
        </w:rPr>
        <w:t>2</w:t>
      </w:r>
      <w:r>
        <w:rPr>
          <w:color w:val="231F20"/>
          <w:w w:val="140"/>
          <w:sz w:val="16"/>
        </w:rPr>
        <w:t>.</w:t>
      </w:r>
    </w:p>
    <w:p w14:paraId="679307F3" w14:textId="77777777" w:rsidR="002653E8" w:rsidRDefault="003115E3">
      <w:pPr>
        <w:pStyle w:val="a4"/>
        <w:numPr>
          <w:ilvl w:val="0"/>
          <w:numId w:val="159"/>
        </w:numPr>
        <w:tabs>
          <w:tab w:val="left" w:pos="1287"/>
        </w:tabs>
        <w:ind w:firstLine="0"/>
        <w:rPr>
          <w:sz w:val="16"/>
        </w:rPr>
      </w:pPr>
      <w:r>
        <w:rPr>
          <w:color w:val="231F20"/>
          <w:w w:val="110"/>
          <w:sz w:val="16"/>
        </w:rPr>
        <w:t>Philip</w:t>
      </w:r>
      <w:r>
        <w:rPr>
          <w:color w:val="231F20"/>
          <w:spacing w:val="5"/>
          <w:w w:val="110"/>
          <w:sz w:val="16"/>
        </w:rPr>
        <w:t xml:space="preserve"> </w:t>
      </w:r>
      <w:r>
        <w:rPr>
          <w:color w:val="231F20"/>
          <w:w w:val="110"/>
          <w:sz w:val="16"/>
        </w:rPr>
        <w:t>Jacobson,</w:t>
      </w:r>
      <w:r>
        <w:rPr>
          <w:color w:val="231F20"/>
          <w:spacing w:val="5"/>
          <w:w w:val="110"/>
          <w:sz w:val="16"/>
        </w:rPr>
        <w:t xml:space="preserve"> </w:t>
      </w:r>
      <w:r>
        <w:rPr>
          <w:color w:val="231F20"/>
          <w:w w:val="110"/>
          <w:sz w:val="16"/>
        </w:rPr>
        <w:t>“Show</w:t>
      </w:r>
      <w:r>
        <w:rPr>
          <w:color w:val="231F20"/>
          <w:spacing w:val="5"/>
          <w:w w:val="110"/>
          <w:sz w:val="16"/>
        </w:rPr>
        <w:t xml:space="preserve"> </w:t>
      </w:r>
      <w:r>
        <w:rPr>
          <w:color w:val="231F20"/>
          <w:w w:val="110"/>
          <w:sz w:val="16"/>
        </w:rPr>
        <w:t>Trial,”</w:t>
      </w:r>
      <w:r>
        <w:rPr>
          <w:color w:val="231F20"/>
          <w:spacing w:val="5"/>
          <w:w w:val="110"/>
          <w:sz w:val="16"/>
        </w:rPr>
        <w:t xml:space="preserve"> </w:t>
      </w:r>
      <w:r>
        <w:rPr>
          <w:i/>
          <w:color w:val="231F20"/>
          <w:spacing w:val="2"/>
          <w:w w:val="110"/>
          <w:sz w:val="16"/>
        </w:rPr>
        <w:t>Sunday</w:t>
      </w:r>
      <w:r>
        <w:rPr>
          <w:i/>
          <w:color w:val="231F20"/>
          <w:spacing w:val="5"/>
          <w:w w:val="110"/>
          <w:sz w:val="16"/>
        </w:rPr>
        <w:t xml:space="preserve"> </w:t>
      </w:r>
      <w:r>
        <w:rPr>
          <w:i/>
          <w:color w:val="231F20"/>
          <w:w w:val="110"/>
          <w:sz w:val="16"/>
        </w:rPr>
        <w:t>Times</w:t>
      </w:r>
      <w:r>
        <w:rPr>
          <w:i/>
          <w:color w:val="231F20"/>
          <w:spacing w:val="5"/>
          <w:w w:val="110"/>
          <w:sz w:val="16"/>
        </w:rPr>
        <w:t xml:space="preserve"> </w:t>
      </w:r>
      <w:r>
        <w:rPr>
          <w:i/>
          <w:color w:val="231F20"/>
          <w:spacing w:val="1"/>
          <w:w w:val="110"/>
          <w:sz w:val="16"/>
        </w:rPr>
        <w:t>Magazine,</w:t>
      </w:r>
      <w:r>
        <w:rPr>
          <w:i/>
          <w:color w:val="231F20"/>
          <w:spacing w:val="5"/>
          <w:w w:val="110"/>
          <w:sz w:val="16"/>
        </w:rPr>
        <w:t xml:space="preserve"> </w:t>
      </w:r>
      <w:r>
        <w:rPr>
          <w:color w:val="231F20"/>
          <w:w w:val="110"/>
          <w:sz w:val="16"/>
        </w:rPr>
        <w:t>February</w:t>
      </w:r>
      <w:r>
        <w:rPr>
          <w:color w:val="231F20"/>
          <w:spacing w:val="5"/>
          <w:w w:val="110"/>
          <w:sz w:val="16"/>
        </w:rPr>
        <w:t xml:space="preserve"> </w:t>
      </w:r>
      <w:r>
        <w:rPr>
          <w:color w:val="231F20"/>
          <w:w w:val="110"/>
          <w:sz w:val="16"/>
        </w:rPr>
        <w:t>23,</w:t>
      </w:r>
      <w:r>
        <w:rPr>
          <w:color w:val="231F20"/>
          <w:spacing w:val="5"/>
          <w:w w:val="110"/>
          <w:sz w:val="16"/>
        </w:rPr>
        <w:t xml:space="preserve"> </w:t>
      </w:r>
      <w:r>
        <w:rPr>
          <w:color w:val="231F20"/>
          <w:spacing w:val="-4"/>
          <w:w w:val="110"/>
          <w:sz w:val="16"/>
        </w:rPr>
        <w:t>1975,</w:t>
      </w:r>
      <w:r>
        <w:rPr>
          <w:color w:val="231F20"/>
          <w:spacing w:val="5"/>
          <w:w w:val="110"/>
          <w:sz w:val="16"/>
        </w:rPr>
        <w:t xml:space="preserve"> </w:t>
      </w:r>
      <w:r>
        <w:rPr>
          <w:color w:val="231F20"/>
          <w:spacing w:val="-6"/>
          <w:w w:val="110"/>
          <w:sz w:val="16"/>
        </w:rPr>
        <w:t>17.</w:t>
      </w:r>
    </w:p>
    <w:p w14:paraId="0EA4EB11" w14:textId="77777777" w:rsidR="002653E8" w:rsidRDefault="003115E3">
      <w:pPr>
        <w:spacing w:before="52"/>
        <w:ind w:left="1148"/>
        <w:rPr>
          <w:sz w:val="16"/>
        </w:rPr>
      </w:pPr>
      <w:r>
        <w:rPr>
          <w:color w:val="231F20"/>
          <w:w w:val="110"/>
          <w:sz w:val="16"/>
        </w:rPr>
        <w:t>5 Aust, 141.</w:t>
      </w:r>
    </w:p>
    <w:p w14:paraId="67DAB354" w14:textId="77777777" w:rsidR="002653E8" w:rsidRDefault="002653E8">
      <w:pPr>
        <w:rPr>
          <w:sz w:val="16"/>
        </w:rPr>
        <w:sectPr w:rsidR="002653E8">
          <w:pgSz w:w="8640" w:h="12960"/>
          <w:pgMar w:top="1060" w:right="0" w:bottom="1040" w:left="0" w:header="0" w:footer="850" w:gutter="0"/>
          <w:cols w:space="720"/>
        </w:sectPr>
      </w:pPr>
    </w:p>
    <w:p w14:paraId="4C1E9AA5" w14:textId="77777777" w:rsidR="002653E8" w:rsidRDefault="00000000">
      <w:pPr>
        <w:pStyle w:val="a3"/>
        <w:spacing w:before="4"/>
        <w:rPr>
          <w:sz w:val="16"/>
        </w:rPr>
      </w:pPr>
      <w:r>
        <w:rPr>
          <w:noProof w:val="0"/>
        </w:rPr>
        <w:lastRenderedPageBreak/>
        <w:pict w14:anchorId="4126BD26">
          <v:group id="_x0000_s2591" style="position:absolute;margin-left:66.4pt;margin-top:54pt;width:308.25pt;height:513.7pt;z-index:-460912;mso-position-horizontal-relative:page;mso-position-vertical-relative:page" coordorigin="1328,1080" coordsize="6165,10274">
            <v:rect id="_x0000_s2598" style="position:absolute;left:1328;top:1080;width:6164;height:10274" fillcolor="#e6e7e8" stroked="f"/>
            <v:line id="_x0000_s2597" style="position:absolute" from="1503,9883" to="2943,9883" strokecolor="#231f20" strokeweight=".5pt"/>
            <v:line id="_x0000_s2596" style="position:absolute" from="1335,1140" to="1335,11308" strokecolor="#231f20">
              <v:stroke dashstyle="3 1"/>
            </v:line>
            <v:line id="_x0000_s2595" style="position:absolute" from="1388,11346" to="7447,11346" strokecolor="#231f20">
              <v:stroke dashstyle="3 1"/>
            </v:line>
            <v:line id="_x0000_s2594" style="position:absolute" from="7485,11293" to="7485,1125" strokecolor="#231f20">
              <v:stroke dashstyle="3 1"/>
            </v:line>
            <v:line id="_x0000_s2593" style="position:absolute" from="7432,1087" to="1373,1087" strokecolor="#231f20">
              <v:stroke dashstyle="3 1"/>
            </v:line>
            <v:shape id="_x0000_s2592" style="position:absolute;top:2724;width:6149;height:10259" coordorigin=",2724" coordsize="6149,10259" o:spt="100" adj="0,,0" path="m1335,11323r,23l1358,11346t6104,l7484,11346r,-23m7484,1110r,-22l7462,1088t-6104,l1335,1088r,22e" filled="f" strokecolor="#231f20">
              <v:stroke joinstyle="round"/>
              <v:formulas/>
              <v:path arrowok="t" o:connecttype="segments"/>
            </v:shape>
            <w10:wrap anchorx="page" anchory="page"/>
          </v:group>
        </w:pict>
      </w:r>
    </w:p>
    <w:p w14:paraId="4D1F92D1" w14:textId="77777777" w:rsidR="002653E8" w:rsidRDefault="003115E3">
      <w:pPr>
        <w:spacing w:before="88"/>
        <w:ind w:left="2233"/>
        <w:rPr>
          <w:rFonts w:ascii="Lucida Sans" w:hAnsi="Lucida Sans"/>
          <w:b/>
          <w:sz w:val="24"/>
        </w:rPr>
      </w:pPr>
      <w:bookmarkStart w:id="49" w:name="the_socialist_patients’_collective_"/>
      <w:bookmarkStart w:id="50" w:name="_bookmark16"/>
      <w:bookmarkEnd w:id="49"/>
      <w:bookmarkEnd w:id="50"/>
      <w:r>
        <w:rPr>
          <w:rFonts w:ascii="Lucida Sans" w:hAnsi="Lucida Sans"/>
          <w:b/>
          <w:color w:val="231F20"/>
          <w:sz w:val="24"/>
        </w:rPr>
        <w:t>the socialist Patients’ collective</w:t>
      </w:r>
    </w:p>
    <w:p w14:paraId="4F5044D3" w14:textId="77777777" w:rsidR="002653E8" w:rsidRDefault="002653E8">
      <w:pPr>
        <w:pStyle w:val="a3"/>
        <w:spacing w:before="1"/>
        <w:rPr>
          <w:rFonts w:ascii="Lucida Sans"/>
          <w:b/>
          <w:sz w:val="24"/>
        </w:rPr>
      </w:pPr>
    </w:p>
    <w:p w14:paraId="556D37E1" w14:textId="77777777" w:rsidR="002653E8" w:rsidRDefault="003115E3">
      <w:pPr>
        <w:spacing w:line="266" w:lineRule="auto"/>
        <w:ind w:left="1503" w:right="1580"/>
        <w:rPr>
          <w:rFonts w:ascii="Calibri" w:hAnsi="Calibri"/>
          <w:sz w:val="19"/>
        </w:rPr>
      </w:pPr>
      <w:r>
        <w:rPr>
          <w:rFonts w:ascii="Calibri" w:hAnsi="Calibri"/>
          <w:color w:val="231F20"/>
          <w:w w:val="110"/>
          <w:sz w:val="19"/>
        </w:rPr>
        <w:t xml:space="preserve">While the </w:t>
      </w:r>
      <w:r w:rsidR="00C507A5">
        <w:rPr>
          <w:rFonts w:ascii="Calibri" w:hAnsi="Calibri"/>
          <w:color w:val="231F20"/>
          <w:w w:val="110"/>
          <w:sz w:val="19"/>
        </w:rPr>
        <w:t>red army faction</w:t>
      </w:r>
      <w:r>
        <w:rPr>
          <w:rFonts w:ascii="Calibri" w:hAnsi="Calibri"/>
          <w:color w:val="231F20"/>
          <w:w w:val="110"/>
          <w:sz w:val="19"/>
        </w:rPr>
        <w:t xml:space="preserve"> was forming, other groups in the Federal Republic were also experimenting with armed politics. One of these, the Socialist Patients’ Collective (SPk), started as a radical therapy group based at Heidelberg University in southwest Germany.</w:t>
      </w:r>
    </w:p>
    <w:p w14:paraId="5A059BC9" w14:textId="77777777" w:rsidR="002653E8" w:rsidRDefault="003115E3">
      <w:pPr>
        <w:spacing w:line="266" w:lineRule="auto"/>
        <w:ind w:left="1503" w:right="1580"/>
        <w:rPr>
          <w:rFonts w:ascii="Calibri" w:hAnsi="Calibri"/>
          <w:sz w:val="19"/>
        </w:rPr>
      </w:pPr>
      <w:r>
        <w:rPr>
          <w:rFonts w:ascii="Calibri" w:hAnsi="Calibri"/>
          <w:color w:val="231F20"/>
          <w:w w:val="105"/>
          <w:sz w:val="19"/>
        </w:rPr>
        <w:t>Under the leadership of psychiatrist Wolfgang Huber, the group adopted the slogan, “The system has made us sick: let us strike the death blow to the sick system!”</w:t>
      </w:r>
    </w:p>
    <w:p w14:paraId="24366130" w14:textId="77777777" w:rsidR="002653E8" w:rsidRDefault="003115E3">
      <w:pPr>
        <w:spacing w:line="266" w:lineRule="auto"/>
        <w:ind w:left="1502" w:right="1429" w:firstLine="210"/>
        <w:rPr>
          <w:rFonts w:ascii="Calibri" w:hAnsi="Calibri"/>
          <w:sz w:val="19"/>
        </w:rPr>
      </w:pPr>
      <w:r>
        <w:rPr>
          <w:rFonts w:ascii="Calibri" w:hAnsi="Calibri"/>
          <w:color w:val="231F20"/>
          <w:w w:val="110"/>
          <w:sz w:val="19"/>
        </w:rPr>
        <w:t>In tying together political radicalism and psychotherapy, the SPk were not as odd as they might be considered today. As already mentioned, the student left was deeply indebted to the Frankfurt School’s brand of Marxism, and the Frankfurt School in turn was deeply influenced by psychoanalysis, as were philosophers like Jean-Paul Sartre and Simone de Beauvoir and revolutionary theorists like Frantz Fanon, all of whom greatly influenced sixties radicals. As such, there was much enthusiasm about psychology, psychoanalysis, and psychotherapy within the New Left, and this was nowhere more true than in West Germany.</w:t>
      </w:r>
    </w:p>
    <w:p w14:paraId="553B28E1" w14:textId="77777777" w:rsidR="002653E8" w:rsidRDefault="003115E3">
      <w:pPr>
        <w:spacing w:line="266" w:lineRule="auto"/>
        <w:ind w:left="1502" w:right="1681" w:firstLine="209"/>
        <w:rPr>
          <w:rFonts w:ascii="Calibri"/>
          <w:sz w:val="19"/>
        </w:rPr>
      </w:pPr>
      <w:r>
        <w:rPr>
          <w:rFonts w:ascii="Calibri"/>
          <w:color w:val="231F20"/>
          <w:w w:val="105"/>
          <w:sz w:val="19"/>
        </w:rPr>
        <w:t>According to government officials, the SPk held that only the maladjusted can survive in modern society, and the insane are actually too  sane  to  live  under  present  social  conditions.</w:t>
      </w:r>
      <w:r>
        <w:rPr>
          <w:rFonts w:ascii="Calibri"/>
          <w:color w:val="231F20"/>
          <w:w w:val="105"/>
          <w:position w:val="6"/>
          <w:sz w:val="11"/>
        </w:rPr>
        <w:t xml:space="preserve">1  </w:t>
      </w:r>
      <w:r>
        <w:rPr>
          <w:rFonts w:ascii="Calibri"/>
          <w:color w:val="231F20"/>
          <w:w w:val="105"/>
          <w:sz w:val="19"/>
        </w:rPr>
        <w:t xml:space="preserve">The SPk members began carrying out armed attacks after Huber was fired from his post at the university in February  </w:t>
      </w:r>
      <w:r>
        <w:rPr>
          <w:rFonts w:ascii="Arial"/>
          <w:color w:val="231F20"/>
          <w:spacing w:val="-5"/>
          <w:w w:val="105"/>
          <w:sz w:val="19"/>
        </w:rPr>
        <w:t>1970</w:t>
      </w:r>
      <w:r>
        <w:rPr>
          <w:rFonts w:ascii="Calibri"/>
          <w:color w:val="231F20"/>
          <w:spacing w:val="-5"/>
          <w:w w:val="105"/>
          <w:sz w:val="19"/>
        </w:rPr>
        <w:t xml:space="preserve">,  </w:t>
      </w:r>
      <w:r>
        <w:rPr>
          <w:rFonts w:ascii="Calibri"/>
          <w:color w:val="231F20"/>
          <w:w w:val="105"/>
          <w:sz w:val="19"/>
        </w:rPr>
        <w:t>burning down the State Psychiatric Clinic, robbing banks, and even trying (unsuccessfully) to plant a bomb on a train in which the president   of</w:t>
      </w:r>
      <w:r>
        <w:rPr>
          <w:rFonts w:ascii="Calibri"/>
          <w:color w:val="231F20"/>
          <w:spacing w:val="18"/>
          <w:w w:val="105"/>
          <w:sz w:val="19"/>
        </w:rPr>
        <w:t xml:space="preserve"> </w:t>
      </w:r>
      <w:r>
        <w:rPr>
          <w:rFonts w:ascii="Calibri"/>
          <w:color w:val="231F20"/>
          <w:w w:val="105"/>
          <w:sz w:val="19"/>
        </w:rPr>
        <w:t>the</w:t>
      </w:r>
      <w:r>
        <w:rPr>
          <w:rFonts w:ascii="Calibri"/>
          <w:color w:val="231F20"/>
          <w:spacing w:val="18"/>
          <w:w w:val="105"/>
          <w:sz w:val="19"/>
        </w:rPr>
        <w:t xml:space="preserve"> </w:t>
      </w:r>
      <w:r>
        <w:rPr>
          <w:rFonts w:ascii="Calibri"/>
          <w:color w:val="231F20"/>
          <w:w w:val="105"/>
          <w:sz w:val="19"/>
        </w:rPr>
        <w:t>Federal</w:t>
      </w:r>
      <w:r>
        <w:rPr>
          <w:rFonts w:ascii="Calibri"/>
          <w:color w:val="231F20"/>
          <w:spacing w:val="18"/>
          <w:w w:val="105"/>
          <w:sz w:val="19"/>
        </w:rPr>
        <w:t xml:space="preserve"> </w:t>
      </w:r>
      <w:r>
        <w:rPr>
          <w:rFonts w:ascii="Calibri"/>
          <w:color w:val="231F20"/>
          <w:w w:val="105"/>
          <w:sz w:val="19"/>
        </w:rPr>
        <w:t>Republic</w:t>
      </w:r>
      <w:r>
        <w:rPr>
          <w:rFonts w:ascii="Calibri"/>
          <w:color w:val="231F20"/>
          <w:spacing w:val="18"/>
          <w:w w:val="105"/>
          <w:sz w:val="19"/>
        </w:rPr>
        <w:t xml:space="preserve"> </w:t>
      </w:r>
      <w:r>
        <w:rPr>
          <w:rFonts w:ascii="Calibri"/>
          <w:color w:val="231F20"/>
          <w:w w:val="105"/>
          <w:sz w:val="19"/>
        </w:rPr>
        <w:t>was</w:t>
      </w:r>
      <w:r>
        <w:rPr>
          <w:rFonts w:ascii="Calibri"/>
          <w:color w:val="231F20"/>
          <w:spacing w:val="18"/>
          <w:w w:val="105"/>
          <w:sz w:val="19"/>
        </w:rPr>
        <w:t xml:space="preserve"> </w:t>
      </w:r>
      <w:r>
        <w:rPr>
          <w:rFonts w:ascii="Calibri"/>
          <w:color w:val="231F20"/>
          <w:w w:val="105"/>
          <w:sz w:val="19"/>
        </w:rPr>
        <w:t>traveling.</w:t>
      </w:r>
      <w:r>
        <w:rPr>
          <w:rFonts w:ascii="Calibri"/>
          <w:color w:val="231F20"/>
          <w:spacing w:val="18"/>
          <w:w w:val="105"/>
          <w:sz w:val="19"/>
        </w:rPr>
        <w:t xml:space="preserve"> </w:t>
      </w:r>
      <w:r>
        <w:rPr>
          <w:rFonts w:ascii="Calibri"/>
          <w:color w:val="231F20"/>
          <w:w w:val="105"/>
          <w:sz w:val="19"/>
        </w:rPr>
        <w:t>In</w:t>
      </w:r>
      <w:r>
        <w:rPr>
          <w:rFonts w:ascii="Calibri"/>
          <w:color w:val="231F20"/>
          <w:spacing w:val="18"/>
          <w:w w:val="105"/>
          <w:sz w:val="19"/>
        </w:rPr>
        <w:t xml:space="preserve"> </w:t>
      </w:r>
      <w:r>
        <w:rPr>
          <w:rFonts w:ascii="Calibri"/>
          <w:color w:val="231F20"/>
          <w:w w:val="105"/>
          <w:sz w:val="19"/>
        </w:rPr>
        <w:t>July</w:t>
      </w:r>
      <w:r>
        <w:rPr>
          <w:rFonts w:ascii="Calibri"/>
          <w:color w:val="231F20"/>
          <w:spacing w:val="18"/>
          <w:w w:val="105"/>
          <w:sz w:val="19"/>
        </w:rPr>
        <w:t xml:space="preserve"> </w:t>
      </w:r>
      <w:r>
        <w:rPr>
          <w:rFonts w:ascii="Calibri"/>
          <w:color w:val="231F20"/>
          <w:w w:val="105"/>
          <w:sz w:val="19"/>
        </w:rPr>
        <w:t>of</w:t>
      </w:r>
      <w:r>
        <w:rPr>
          <w:rFonts w:ascii="Calibri"/>
          <w:color w:val="231F20"/>
          <w:spacing w:val="18"/>
          <w:w w:val="105"/>
          <w:sz w:val="19"/>
        </w:rPr>
        <w:t xml:space="preserve"> </w:t>
      </w:r>
      <w:r>
        <w:rPr>
          <w:rFonts w:ascii="Arial"/>
          <w:color w:val="231F20"/>
          <w:spacing w:val="-8"/>
          <w:w w:val="105"/>
          <w:sz w:val="19"/>
        </w:rPr>
        <w:t>1971</w:t>
      </w:r>
      <w:r>
        <w:rPr>
          <w:rFonts w:ascii="Calibri"/>
          <w:color w:val="231F20"/>
          <w:spacing w:val="-8"/>
          <w:w w:val="105"/>
          <w:sz w:val="19"/>
        </w:rPr>
        <w:t>,</w:t>
      </w:r>
      <w:r>
        <w:rPr>
          <w:rFonts w:ascii="Calibri"/>
          <w:color w:val="231F20"/>
          <w:spacing w:val="18"/>
          <w:w w:val="105"/>
          <w:sz w:val="19"/>
        </w:rPr>
        <w:t xml:space="preserve"> </w:t>
      </w:r>
      <w:r>
        <w:rPr>
          <w:rFonts w:ascii="Calibri"/>
          <w:color w:val="231F20"/>
          <w:w w:val="105"/>
          <w:sz w:val="19"/>
        </w:rPr>
        <w:t>Huber,</w:t>
      </w:r>
      <w:r>
        <w:rPr>
          <w:rFonts w:ascii="Calibri"/>
          <w:color w:val="231F20"/>
          <w:spacing w:val="18"/>
          <w:w w:val="105"/>
          <w:sz w:val="19"/>
        </w:rPr>
        <w:t xml:space="preserve"> </w:t>
      </w:r>
      <w:r>
        <w:rPr>
          <w:rFonts w:ascii="Calibri"/>
          <w:color w:val="231F20"/>
          <w:w w:val="105"/>
          <w:sz w:val="19"/>
        </w:rPr>
        <w:t>his</w:t>
      </w:r>
    </w:p>
    <w:p w14:paraId="599C33A7" w14:textId="77777777" w:rsidR="002653E8" w:rsidRDefault="003115E3">
      <w:pPr>
        <w:spacing w:line="266" w:lineRule="auto"/>
        <w:ind w:left="1503" w:right="1513"/>
        <w:rPr>
          <w:rFonts w:ascii="Calibri"/>
          <w:sz w:val="11"/>
        </w:rPr>
      </w:pPr>
      <w:r>
        <w:rPr>
          <w:rFonts w:ascii="Calibri"/>
          <w:color w:val="231F20"/>
          <w:w w:val="110"/>
          <w:sz w:val="19"/>
        </w:rPr>
        <w:t>wife, and seven SPk members were arrested on charges of having formed a criminal association and illegally procuring arms and explosives.</w:t>
      </w:r>
      <w:r>
        <w:rPr>
          <w:rFonts w:ascii="Calibri"/>
          <w:color w:val="231F20"/>
          <w:w w:val="110"/>
          <w:position w:val="6"/>
          <w:sz w:val="11"/>
        </w:rPr>
        <w:t>2</w:t>
      </w:r>
    </w:p>
    <w:p w14:paraId="5876676E" w14:textId="77777777" w:rsidR="002653E8" w:rsidRDefault="003115E3">
      <w:pPr>
        <w:spacing w:line="266" w:lineRule="auto"/>
        <w:ind w:left="1502" w:right="1145" w:firstLine="210"/>
        <w:rPr>
          <w:rFonts w:ascii="Calibri"/>
          <w:sz w:val="19"/>
        </w:rPr>
      </w:pPr>
      <w:r>
        <w:rPr>
          <w:rFonts w:ascii="Calibri"/>
          <w:color w:val="231F20"/>
          <w:w w:val="110"/>
          <w:sz w:val="19"/>
        </w:rPr>
        <w:t xml:space="preserve">Many of the SPk members who remained at large would go on to join the </w:t>
      </w:r>
      <w:r w:rsidR="00C507A5">
        <w:rPr>
          <w:rFonts w:ascii="Calibri"/>
          <w:color w:val="231F20"/>
          <w:w w:val="110"/>
          <w:sz w:val="19"/>
        </w:rPr>
        <w:t>red army faction</w:t>
      </w:r>
      <w:r>
        <w:rPr>
          <w:rFonts w:ascii="Calibri"/>
          <w:color w:val="231F20"/>
          <w:w w:val="110"/>
          <w:sz w:val="19"/>
        </w:rPr>
        <w:t>.</w:t>
      </w:r>
    </w:p>
    <w:p w14:paraId="516AD807" w14:textId="77777777" w:rsidR="002653E8" w:rsidRDefault="002653E8">
      <w:pPr>
        <w:pStyle w:val="a3"/>
        <w:spacing w:before="8"/>
        <w:rPr>
          <w:rFonts w:ascii="Calibri"/>
          <w:sz w:val="17"/>
        </w:rPr>
      </w:pPr>
    </w:p>
    <w:p w14:paraId="0AEE620F" w14:textId="77777777" w:rsidR="002653E8" w:rsidRDefault="003115E3">
      <w:pPr>
        <w:spacing w:before="105" w:line="254" w:lineRule="auto"/>
        <w:ind w:left="1503" w:right="1145" w:hanging="1"/>
        <w:rPr>
          <w:sz w:val="16"/>
        </w:rPr>
      </w:pPr>
      <w:r>
        <w:rPr>
          <w:color w:val="231F20"/>
          <w:w w:val="110"/>
          <w:position w:val="6"/>
          <w:sz w:val="9"/>
        </w:rPr>
        <w:t xml:space="preserve">1 </w:t>
      </w:r>
      <w:r>
        <w:rPr>
          <w:color w:val="231F20"/>
          <w:w w:val="110"/>
          <w:sz w:val="16"/>
        </w:rPr>
        <w:t xml:space="preserve">United Press International, “U.S. Hunts German Terrorists,” </w:t>
      </w:r>
      <w:r>
        <w:rPr>
          <w:i/>
          <w:color w:val="231F20"/>
          <w:w w:val="110"/>
          <w:sz w:val="16"/>
        </w:rPr>
        <w:t xml:space="preserve">Pacific Stars and Stripes, </w:t>
      </w:r>
      <w:r>
        <w:rPr>
          <w:color w:val="231F20"/>
          <w:w w:val="110"/>
          <w:sz w:val="16"/>
        </w:rPr>
        <w:t>July 23, 1978.</w:t>
      </w:r>
    </w:p>
    <w:p w14:paraId="763480EF" w14:textId="77777777" w:rsidR="002653E8" w:rsidRDefault="003115E3">
      <w:pPr>
        <w:spacing w:before="41" w:line="254" w:lineRule="auto"/>
        <w:ind w:left="1503" w:right="1580" w:hanging="1"/>
        <w:rPr>
          <w:sz w:val="16"/>
        </w:rPr>
      </w:pPr>
      <w:r>
        <w:rPr>
          <w:color w:val="231F20"/>
          <w:position w:val="6"/>
          <w:sz w:val="9"/>
        </w:rPr>
        <w:t xml:space="preserve">2  </w:t>
      </w:r>
      <w:r>
        <w:rPr>
          <w:color w:val="231F20"/>
          <w:sz w:val="16"/>
        </w:rPr>
        <w:t xml:space="preserve">Becker,  </w:t>
      </w:r>
      <w:r>
        <w:rPr>
          <w:i/>
          <w:color w:val="231F20"/>
          <w:sz w:val="16"/>
        </w:rPr>
        <w:t xml:space="preserve">Hitler’s  Children:  The  </w:t>
      </w:r>
      <w:r>
        <w:rPr>
          <w:i/>
          <w:color w:val="231F20"/>
          <w:spacing w:val="1"/>
          <w:sz w:val="16"/>
        </w:rPr>
        <w:t xml:space="preserve">Story   </w:t>
      </w:r>
      <w:r>
        <w:rPr>
          <w:i/>
          <w:color w:val="231F20"/>
          <w:sz w:val="16"/>
        </w:rPr>
        <w:t xml:space="preserve">of   the   </w:t>
      </w:r>
      <w:r>
        <w:rPr>
          <w:i/>
          <w:color w:val="231F20"/>
          <w:spacing w:val="1"/>
          <w:sz w:val="16"/>
        </w:rPr>
        <w:t xml:space="preserve">Baader-Meinhof   </w:t>
      </w:r>
      <w:r>
        <w:rPr>
          <w:i/>
          <w:color w:val="231F20"/>
          <w:sz w:val="16"/>
        </w:rPr>
        <w:t xml:space="preserve">Gang.   </w:t>
      </w:r>
      <w:r>
        <w:rPr>
          <w:color w:val="231F20"/>
          <w:sz w:val="16"/>
        </w:rPr>
        <w:t xml:space="preserve">Please note that this book, written by a right-wing South </w:t>
      </w:r>
      <w:r>
        <w:rPr>
          <w:color w:val="231F20"/>
          <w:spacing w:val="1"/>
          <w:sz w:val="16"/>
        </w:rPr>
        <w:t xml:space="preserve">African </w:t>
      </w:r>
      <w:r>
        <w:rPr>
          <w:color w:val="231F20"/>
          <w:sz w:val="16"/>
        </w:rPr>
        <w:t>journalist, is counterinsurgency tripe. Nevertheless, it has been used for specific details like dates</w:t>
      </w:r>
      <w:r>
        <w:rPr>
          <w:color w:val="231F20"/>
          <w:spacing w:val="11"/>
          <w:sz w:val="16"/>
        </w:rPr>
        <w:t xml:space="preserve"> </w:t>
      </w:r>
      <w:r>
        <w:rPr>
          <w:color w:val="231F20"/>
          <w:sz w:val="16"/>
        </w:rPr>
        <w:t>and</w:t>
      </w:r>
      <w:r>
        <w:rPr>
          <w:color w:val="231F20"/>
          <w:spacing w:val="11"/>
          <w:sz w:val="16"/>
        </w:rPr>
        <w:t xml:space="preserve"> </w:t>
      </w:r>
      <w:r>
        <w:rPr>
          <w:color w:val="231F20"/>
          <w:sz w:val="16"/>
        </w:rPr>
        <w:t>places,when</w:t>
      </w:r>
      <w:r>
        <w:rPr>
          <w:color w:val="231F20"/>
          <w:spacing w:val="11"/>
          <w:sz w:val="16"/>
        </w:rPr>
        <w:t xml:space="preserve"> </w:t>
      </w:r>
      <w:r>
        <w:rPr>
          <w:color w:val="231F20"/>
          <w:sz w:val="16"/>
        </w:rPr>
        <w:t>no</w:t>
      </w:r>
      <w:r>
        <w:rPr>
          <w:color w:val="231F20"/>
          <w:spacing w:val="11"/>
          <w:sz w:val="16"/>
        </w:rPr>
        <w:t xml:space="preserve"> </w:t>
      </w:r>
      <w:r>
        <w:rPr>
          <w:color w:val="231F20"/>
          <w:sz w:val="16"/>
        </w:rPr>
        <w:t>other</w:t>
      </w:r>
      <w:r>
        <w:rPr>
          <w:color w:val="231F20"/>
          <w:spacing w:val="11"/>
          <w:sz w:val="16"/>
        </w:rPr>
        <w:t xml:space="preserve"> </w:t>
      </w:r>
      <w:r>
        <w:rPr>
          <w:color w:val="231F20"/>
          <w:sz w:val="16"/>
        </w:rPr>
        <w:t>source</w:t>
      </w:r>
      <w:r>
        <w:rPr>
          <w:color w:val="231F20"/>
          <w:spacing w:val="11"/>
          <w:sz w:val="16"/>
        </w:rPr>
        <w:t xml:space="preserve"> </w:t>
      </w:r>
      <w:r>
        <w:rPr>
          <w:color w:val="231F20"/>
          <w:sz w:val="16"/>
        </w:rPr>
        <w:t>is</w:t>
      </w:r>
      <w:r>
        <w:rPr>
          <w:color w:val="231F20"/>
          <w:spacing w:val="11"/>
          <w:sz w:val="16"/>
        </w:rPr>
        <w:t xml:space="preserve"> </w:t>
      </w:r>
      <w:r>
        <w:rPr>
          <w:color w:val="231F20"/>
          <w:sz w:val="16"/>
        </w:rPr>
        <w:t>available.</w:t>
      </w:r>
    </w:p>
    <w:p w14:paraId="57434676" w14:textId="77777777" w:rsidR="002653E8" w:rsidRDefault="002653E8">
      <w:pPr>
        <w:spacing w:line="254" w:lineRule="auto"/>
        <w:rPr>
          <w:sz w:val="16"/>
        </w:rPr>
        <w:sectPr w:rsidR="002653E8">
          <w:footerReference w:type="even" r:id="rId99"/>
          <w:footerReference w:type="default" r:id="rId100"/>
          <w:pgSz w:w="8640" w:h="12960"/>
          <w:pgMar w:top="1080" w:right="0" w:bottom="1040" w:left="0" w:header="0" w:footer="850" w:gutter="0"/>
          <w:cols w:space="720"/>
        </w:sectPr>
      </w:pPr>
    </w:p>
    <w:p w14:paraId="4AF2FD99" w14:textId="77777777" w:rsidR="002653E8" w:rsidRPr="0014405B" w:rsidRDefault="003115E3">
      <w:pPr>
        <w:pStyle w:val="a3"/>
        <w:spacing w:before="86" w:line="264" w:lineRule="auto"/>
        <w:ind w:left="1147" w:right="1325"/>
        <w:rPr>
          <w:rFonts w:ascii="宋体" w:eastAsia="宋体" w:hAnsi="宋体" w:cs="宋体"/>
        </w:rPr>
      </w:pPr>
      <w:r>
        <w:rPr>
          <w:color w:val="231F20"/>
        </w:rPr>
        <w:lastRenderedPageBreak/>
        <w:t>came to her defense: in the ensuing melee, officer Norbert Schmid was shot dead.</w:t>
      </w:r>
    </w:p>
    <w:p w14:paraId="66F7C387" w14:textId="77777777" w:rsidR="002653E8" w:rsidRDefault="003115E3">
      <w:pPr>
        <w:pStyle w:val="a3"/>
        <w:spacing w:line="264" w:lineRule="auto"/>
        <w:ind w:left="1147" w:right="1326" w:firstLine="210"/>
        <w:jc w:val="both"/>
        <w:rPr>
          <w:sz w:val="11"/>
        </w:rPr>
      </w:pPr>
      <w:r>
        <w:rPr>
          <w:color w:val="231F20"/>
        </w:rPr>
        <w:t>Schiller</w:t>
      </w:r>
      <w:r>
        <w:rPr>
          <w:color w:val="231F20"/>
          <w:spacing w:val="-8"/>
        </w:rPr>
        <w:t xml:space="preserve"> </w:t>
      </w:r>
      <w:r>
        <w:rPr>
          <w:color w:val="231F20"/>
        </w:rPr>
        <w:t>was</w:t>
      </w:r>
      <w:r>
        <w:rPr>
          <w:color w:val="231F20"/>
          <w:spacing w:val="-8"/>
        </w:rPr>
        <w:t xml:space="preserve"> </w:t>
      </w:r>
      <w:r>
        <w:rPr>
          <w:color w:val="231F20"/>
        </w:rPr>
        <w:t>nevertheless</w:t>
      </w:r>
      <w:r>
        <w:rPr>
          <w:color w:val="231F20"/>
          <w:spacing w:val="-8"/>
        </w:rPr>
        <w:t xml:space="preserve"> </w:t>
      </w:r>
      <w:r>
        <w:rPr>
          <w:color w:val="231F20"/>
        </w:rPr>
        <w:t>captured,</w:t>
      </w:r>
      <w:r>
        <w:rPr>
          <w:color w:val="231F20"/>
          <w:spacing w:val="-8"/>
        </w:rPr>
        <w:t xml:space="preserve"> </w:t>
      </w:r>
      <w:r>
        <w:rPr>
          <w:color w:val="231F20"/>
        </w:rPr>
        <w:t>and</w:t>
      </w:r>
      <w:r>
        <w:rPr>
          <w:color w:val="231F20"/>
          <w:spacing w:val="-8"/>
        </w:rPr>
        <w:t xml:space="preserve"> </w:t>
      </w:r>
      <w:r>
        <w:rPr>
          <w:color w:val="231F20"/>
        </w:rPr>
        <w:t>a</w:t>
      </w:r>
      <w:r>
        <w:rPr>
          <w:color w:val="231F20"/>
          <w:spacing w:val="-8"/>
        </w:rPr>
        <w:t xml:space="preserve"> </w:t>
      </w:r>
      <w:r>
        <w:rPr>
          <w:color w:val="231F20"/>
        </w:rPr>
        <w:t>macabre</w:t>
      </w:r>
      <w:r>
        <w:rPr>
          <w:color w:val="231F20"/>
          <w:spacing w:val="-8"/>
        </w:rPr>
        <w:t xml:space="preserve"> </w:t>
      </w:r>
      <w:r>
        <w:rPr>
          <w:color w:val="231F20"/>
        </w:rPr>
        <w:t>scene</w:t>
      </w:r>
      <w:r>
        <w:rPr>
          <w:color w:val="231F20"/>
          <w:spacing w:val="-8"/>
        </w:rPr>
        <w:t xml:space="preserve"> </w:t>
      </w:r>
      <w:r>
        <w:rPr>
          <w:color w:val="231F20"/>
        </w:rPr>
        <w:t>played</w:t>
      </w:r>
      <w:r>
        <w:rPr>
          <w:color w:val="231F20"/>
          <w:spacing w:val="-8"/>
        </w:rPr>
        <w:t xml:space="preserve"> </w:t>
      </w:r>
      <w:r>
        <w:rPr>
          <w:color w:val="231F20"/>
        </w:rPr>
        <w:t>out</w:t>
      </w:r>
      <w:r>
        <w:rPr>
          <w:color w:val="231F20"/>
          <w:spacing w:val="-8"/>
        </w:rPr>
        <w:t xml:space="preserve"> </w:t>
      </w:r>
      <w:r>
        <w:rPr>
          <w:color w:val="231F20"/>
        </w:rPr>
        <w:t xml:space="preserve">as police called a press conference to display their </w:t>
      </w:r>
      <w:r>
        <w:rPr>
          <w:color w:val="231F20"/>
          <w:spacing w:val="-3"/>
        </w:rPr>
        <w:t xml:space="preserve">trophy. </w:t>
      </w:r>
      <w:r>
        <w:rPr>
          <w:color w:val="231F20"/>
        </w:rPr>
        <w:t>Millions of television viewers watched, amazed, as the young woman—clearly unwilling to play the part assigned to her—was carried in front of the cameras by a pack of cops, her head pulled back by her hair so that all could see her</w:t>
      </w:r>
      <w:r>
        <w:rPr>
          <w:color w:val="231F20"/>
          <w:spacing w:val="10"/>
        </w:rPr>
        <w:t xml:space="preserve"> </w:t>
      </w:r>
      <w:r>
        <w:rPr>
          <w:color w:val="231F20"/>
        </w:rPr>
        <w:t>face</w:t>
      </w:r>
      <w:r>
        <w:rPr>
          <w:color w:val="231F20"/>
          <w:spacing w:val="10"/>
        </w:rPr>
        <w:t xml:space="preserve"> </w:t>
      </w:r>
      <w:r>
        <w:rPr>
          <w:color w:val="231F20"/>
        </w:rPr>
        <w:t>as</w:t>
      </w:r>
      <w:r>
        <w:rPr>
          <w:color w:val="231F20"/>
          <w:spacing w:val="10"/>
        </w:rPr>
        <w:t xml:space="preserve"> </w:t>
      </w:r>
      <w:r>
        <w:rPr>
          <w:color w:val="231F20"/>
        </w:rPr>
        <w:t>she</w:t>
      </w:r>
      <w:r>
        <w:rPr>
          <w:color w:val="231F20"/>
          <w:spacing w:val="10"/>
        </w:rPr>
        <w:t xml:space="preserve"> </w:t>
      </w:r>
      <w:r>
        <w:rPr>
          <w:color w:val="231F20"/>
        </w:rPr>
        <w:t>struggled</w:t>
      </w:r>
      <w:r>
        <w:rPr>
          <w:color w:val="231F20"/>
          <w:spacing w:val="10"/>
        </w:rPr>
        <w:t xml:space="preserve"> </w:t>
      </w:r>
      <w:r>
        <w:rPr>
          <w:color w:val="231F20"/>
        </w:rPr>
        <w:t>to</w:t>
      </w:r>
      <w:r>
        <w:rPr>
          <w:color w:val="231F20"/>
          <w:spacing w:val="10"/>
        </w:rPr>
        <w:t xml:space="preserve"> </w:t>
      </w:r>
      <w:r>
        <w:rPr>
          <w:color w:val="231F20"/>
        </w:rPr>
        <w:t>break</w:t>
      </w:r>
      <w:r>
        <w:rPr>
          <w:color w:val="231F20"/>
          <w:spacing w:val="10"/>
        </w:rPr>
        <w:t xml:space="preserve"> </w:t>
      </w:r>
      <w:r>
        <w:rPr>
          <w:color w:val="231F20"/>
        </w:rPr>
        <w:t>free.</w:t>
      </w:r>
      <w:r>
        <w:rPr>
          <w:color w:val="231F20"/>
          <w:position w:val="7"/>
          <w:sz w:val="11"/>
        </w:rPr>
        <w:t>1</w:t>
      </w:r>
    </w:p>
    <w:p w14:paraId="4A14EFEE" w14:textId="77777777" w:rsidR="002653E8" w:rsidRDefault="003115E3">
      <w:pPr>
        <w:pStyle w:val="a3"/>
        <w:spacing w:line="264" w:lineRule="auto"/>
        <w:ind w:left="1147" w:right="1326" w:firstLine="210"/>
        <w:jc w:val="both"/>
      </w:pPr>
      <w:r>
        <w:drawing>
          <wp:anchor distT="0" distB="0" distL="0" distR="0" simplePos="0" relativeHeight="267974591" behindDoc="1" locked="0" layoutInCell="1" allowOverlap="1" wp14:anchorId="063333E6" wp14:editId="755AB0E7">
            <wp:simplePos x="0" y="0"/>
            <wp:positionH relativeFrom="page">
              <wp:posOffset>3295599</wp:posOffset>
            </wp:positionH>
            <wp:positionV relativeFrom="paragraph">
              <wp:posOffset>517234</wp:posOffset>
            </wp:positionV>
            <wp:extent cx="1321342" cy="2072679"/>
            <wp:effectExtent l="0" t="0" r="0" b="0"/>
            <wp:wrapNone/>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png"/>
                    <pic:cNvPicPr/>
                  </pic:nvPicPr>
                  <pic:blipFill>
                    <a:blip r:embed="rId101" cstate="print"/>
                    <a:stretch>
                      <a:fillRect/>
                    </a:stretch>
                  </pic:blipFill>
                  <pic:spPr>
                    <a:xfrm>
                      <a:off x="0" y="0"/>
                      <a:ext cx="1321342" cy="2072679"/>
                    </a:xfrm>
                    <a:prstGeom prst="rect">
                      <a:avLst/>
                    </a:prstGeom>
                  </pic:spPr>
                </pic:pic>
              </a:graphicData>
            </a:graphic>
          </wp:anchor>
        </w:drawing>
      </w:r>
      <w:r>
        <w:rPr>
          <w:color w:val="231F20"/>
        </w:rPr>
        <w:t xml:space="preserve">Police searches and checkpoints increased as the hunt for the guerilla continued. On December 4, police in </w:t>
      </w:r>
      <w:r>
        <w:rPr>
          <w:color w:val="231F20"/>
          <w:spacing w:val="-3"/>
        </w:rPr>
        <w:t xml:space="preserve">West </w:t>
      </w:r>
      <w:r>
        <w:rPr>
          <w:color w:val="231F20"/>
        </w:rPr>
        <w:t>Berlin stopped a car carrying Bommi Baumann and Georg von  Rauch,  leading  figures  in  the nascent 2nd of June Movement</w:t>
      </w:r>
      <w:r>
        <w:rPr>
          <w:color w:val="231F20"/>
          <w:spacing w:val="7"/>
        </w:rPr>
        <w:t xml:space="preserve"> </w:t>
      </w:r>
      <w:r>
        <w:rPr>
          <w:color w:val="231F20"/>
        </w:rPr>
        <w:t>anarchist</w:t>
      </w:r>
    </w:p>
    <w:p w14:paraId="204547CB" w14:textId="77777777" w:rsidR="002653E8" w:rsidRDefault="003115E3">
      <w:pPr>
        <w:pStyle w:val="a3"/>
        <w:spacing w:line="264" w:lineRule="auto"/>
        <w:ind w:left="1147" w:right="3656"/>
        <w:jc w:val="both"/>
        <w:rPr>
          <w:sz w:val="11"/>
        </w:rPr>
      </w:pPr>
      <w:r>
        <w:rPr>
          <w:color w:val="231F20"/>
        </w:rPr>
        <w:t>guerilla. Von Rauch was immediately shot and killed, which many people took as proof that the cops had adopted a policy to “shoot first, ask questions later.” Thousands participated in demonstrations protesting this killing, and an abandoned nurses’ residence at the Bethanien Hospital was occupied and renamed the Georg von Rauch House.</w:t>
      </w:r>
      <w:r>
        <w:rPr>
          <w:color w:val="231F20"/>
          <w:position w:val="7"/>
          <w:sz w:val="11"/>
        </w:rPr>
        <w:t>2</w:t>
      </w:r>
    </w:p>
    <w:p w14:paraId="1CDFF16B" w14:textId="77777777" w:rsidR="002653E8" w:rsidRDefault="003115E3">
      <w:pPr>
        <w:pStyle w:val="a3"/>
        <w:spacing w:line="264" w:lineRule="auto"/>
        <w:ind w:left="1147" w:right="3656" w:firstLine="210"/>
        <w:jc w:val="both"/>
      </w:pPr>
      <w:r>
        <w:rPr>
          <w:color w:val="231F20"/>
        </w:rPr>
        <w:t xml:space="preserve">(Subsequent to leaving the guerilla, Baumann told an interviewer from </w:t>
      </w:r>
      <w:r>
        <w:rPr>
          <w:i/>
          <w:color w:val="231F20"/>
        </w:rPr>
        <w:t xml:space="preserve">Spiegel </w:t>
      </w:r>
      <w:r>
        <w:rPr>
          <w:color w:val="231F20"/>
        </w:rPr>
        <w:t>that von Rauch had fired his weapon first, though he later backtracked, claiming in-</w:t>
      </w:r>
    </w:p>
    <w:p w14:paraId="563D51F6" w14:textId="77777777" w:rsidR="002653E8" w:rsidRDefault="002653E8">
      <w:pPr>
        <w:spacing w:line="264" w:lineRule="auto"/>
        <w:jc w:val="both"/>
        <w:sectPr w:rsidR="002653E8">
          <w:pgSz w:w="8640" w:h="12960"/>
          <w:pgMar w:top="1060" w:right="0" w:bottom="1040" w:left="0" w:header="0" w:footer="850" w:gutter="0"/>
          <w:cols w:space="720"/>
        </w:sectPr>
      </w:pPr>
    </w:p>
    <w:p w14:paraId="097E3E23" w14:textId="77777777" w:rsidR="002653E8" w:rsidRDefault="003115E3">
      <w:pPr>
        <w:pStyle w:val="a3"/>
        <w:spacing w:line="209" w:lineRule="exact"/>
        <w:ind w:left="1147"/>
      </w:pPr>
      <w:r>
        <w:rPr>
          <w:color w:val="231F20"/>
          <w:w w:val="105"/>
        </w:rPr>
        <w:t>stead, “I no longer know who first pulled</w:t>
      </w:r>
    </w:p>
    <w:p w14:paraId="4B226A2E" w14:textId="77777777" w:rsidR="002653E8" w:rsidRDefault="003115E3">
      <w:pPr>
        <w:pStyle w:val="a3"/>
        <w:spacing w:before="22" w:line="264" w:lineRule="auto"/>
        <w:ind w:left="1148" w:hanging="1"/>
      </w:pPr>
      <w:r>
        <w:rPr>
          <w:color w:val="231F20"/>
        </w:rPr>
        <w:t xml:space="preserve">the </w:t>
      </w:r>
      <w:r>
        <w:rPr>
          <w:color w:val="231F20"/>
          <w:spacing w:val="-3"/>
        </w:rPr>
        <w:t>trigger.”</w:t>
      </w:r>
      <w:r>
        <w:rPr>
          <w:color w:val="231F20"/>
          <w:spacing w:val="-3"/>
          <w:position w:val="7"/>
          <w:sz w:val="11"/>
        </w:rPr>
        <w:t xml:space="preserve">3 </w:t>
      </w:r>
      <w:r>
        <w:rPr>
          <w:color w:val="231F20"/>
          <w:spacing w:val="1"/>
        </w:rPr>
        <w:t xml:space="preserve">All </w:t>
      </w:r>
      <w:r>
        <w:rPr>
          <w:color w:val="231F20"/>
        </w:rPr>
        <w:t>of this was viewed with some suspicion, many observers feeling  that</w:t>
      </w:r>
    </w:p>
    <w:p w14:paraId="025039A9" w14:textId="77777777" w:rsidR="002653E8" w:rsidRDefault="003115E3">
      <w:pPr>
        <w:spacing w:line="244" w:lineRule="auto"/>
        <w:ind w:left="439" w:right="1645"/>
        <w:jc w:val="center"/>
        <w:rPr>
          <w:i/>
          <w:sz w:val="18"/>
        </w:rPr>
      </w:pPr>
      <w:r>
        <w:br w:type="column"/>
      </w:r>
      <w:r>
        <w:rPr>
          <w:i/>
          <w:color w:val="231F20"/>
          <w:w w:val="105"/>
          <w:sz w:val="18"/>
        </w:rPr>
        <w:t>Georg von Rauch, murdered by police in West Berlin.</w:t>
      </w:r>
    </w:p>
    <w:p w14:paraId="5AC0BECB" w14:textId="77777777" w:rsidR="002653E8" w:rsidRDefault="002653E8">
      <w:pPr>
        <w:spacing w:line="244" w:lineRule="auto"/>
        <w:jc w:val="center"/>
        <w:rPr>
          <w:sz w:val="18"/>
        </w:rPr>
        <w:sectPr w:rsidR="002653E8">
          <w:type w:val="continuous"/>
          <w:pgSz w:w="8640" w:h="12960"/>
          <w:pgMar w:top="0" w:right="0" w:bottom="0" w:left="0" w:header="720" w:footer="720" w:gutter="0"/>
          <w:cols w:num="2" w:space="720" w:equalWidth="0">
            <w:col w:w="4982" w:space="40"/>
            <w:col w:w="3618"/>
          </w:cols>
        </w:sectPr>
      </w:pPr>
    </w:p>
    <w:p w14:paraId="2F6446A5" w14:textId="77777777" w:rsidR="002653E8" w:rsidRDefault="002653E8">
      <w:pPr>
        <w:pStyle w:val="a3"/>
        <w:spacing w:before="11"/>
        <w:rPr>
          <w:i/>
          <w:sz w:val="21"/>
        </w:rPr>
      </w:pPr>
    </w:p>
    <w:p w14:paraId="34F6EAB4" w14:textId="77777777" w:rsidR="002653E8" w:rsidRDefault="00000000">
      <w:pPr>
        <w:pStyle w:val="a3"/>
        <w:spacing w:line="20" w:lineRule="exact"/>
        <w:ind w:left="1142"/>
        <w:rPr>
          <w:sz w:val="2"/>
        </w:rPr>
      </w:pPr>
      <w:r>
        <w:rPr>
          <w:sz w:val="2"/>
        </w:rPr>
      </w:r>
      <w:r>
        <w:rPr>
          <w:sz w:val="2"/>
        </w:rPr>
        <w:pict w14:anchorId="755208DE">
          <v:group id="_x0000_s2589" style="width:1in;height:.5pt;mso-position-horizontal-relative:char;mso-position-vertical-relative:line" coordsize="1440,10">
            <v:line id="_x0000_s2590" style="position:absolute" from="0,5" to="1440,5" strokecolor="#231f20" strokeweight=".5pt"/>
            <w10:anchorlock/>
          </v:group>
        </w:pict>
      </w:r>
    </w:p>
    <w:p w14:paraId="7F96CF28" w14:textId="77777777" w:rsidR="002653E8" w:rsidRDefault="003115E3">
      <w:pPr>
        <w:pStyle w:val="a4"/>
        <w:numPr>
          <w:ilvl w:val="0"/>
          <w:numId w:val="158"/>
        </w:numPr>
        <w:tabs>
          <w:tab w:val="left" w:pos="1287"/>
        </w:tabs>
        <w:spacing w:before="72" w:line="249" w:lineRule="auto"/>
        <w:ind w:right="1403" w:hanging="1"/>
        <w:rPr>
          <w:sz w:val="18"/>
        </w:rPr>
      </w:pPr>
      <w:r>
        <w:rPr>
          <w:color w:val="231F20"/>
          <w:spacing w:val="1"/>
          <w:w w:val="105"/>
          <w:sz w:val="16"/>
        </w:rPr>
        <w:t xml:space="preserve">LA </w:t>
      </w:r>
      <w:r>
        <w:rPr>
          <w:color w:val="231F20"/>
          <w:w w:val="105"/>
          <w:sz w:val="16"/>
        </w:rPr>
        <w:t xml:space="preserve">Times—Washington Post Service, “West Germany’s ‘Bonnie and Clyde’ Have Country in an Uproar,” </w:t>
      </w:r>
      <w:r>
        <w:rPr>
          <w:i/>
          <w:color w:val="231F20"/>
          <w:w w:val="105"/>
          <w:sz w:val="16"/>
        </w:rPr>
        <w:t xml:space="preserve">The </w:t>
      </w:r>
      <w:r>
        <w:rPr>
          <w:i/>
          <w:color w:val="231F20"/>
          <w:spacing w:val="1"/>
          <w:w w:val="105"/>
          <w:sz w:val="16"/>
        </w:rPr>
        <w:t xml:space="preserve">Lawton Constitution, </w:t>
      </w:r>
      <w:r>
        <w:rPr>
          <w:color w:val="231F20"/>
          <w:w w:val="105"/>
          <w:sz w:val="16"/>
        </w:rPr>
        <w:t xml:space="preserve">December 3, 1972. </w:t>
      </w:r>
      <w:r>
        <w:rPr>
          <w:color w:val="231F20"/>
          <w:w w:val="105"/>
          <w:sz w:val="18"/>
        </w:rPr>
        <w:t>Margrit Schiller</w:t>
      </w:r>
      <w:r>
        <w:rPr>
          <w:color w:val="231F20"/>
          <w:spacing w:val="-6"/>
          <w:w w:val="105"/>
          <w:sz w:val="18"/>
        </w:rPr>
        <w:t xml:space="preserve"> </w:t>
      </w:r>
      <w:r>
        <w:rPr>
          <w:color w:val="231F20"/>
          <w:w w:val="105"/>
          <w:sz w:val="18"/>
        </w:rPr>
        <w:t>being</w:t>
      </w:r>
      <w:r>
        <w:rPr>
          <w:color w:val="231F20"/>
          <w:spacing w:val="-6"/>
          <w:w w:val="105"/>
          <w:sz w:val="18"/>
        </w:rPr>
        <w:t xml:space="preserve"> </w:t>
      </w:r>
      <w:r>
        <w:rPr>
          <w:color w:val="231F20"/>
          <w:w w:val="105"/>
          <w:sz w:val="18"/>
        </w:rPr>
        <w:t>dragger</w:t>
      </w:r>
      <w:r>
        <w:rPr>
          <w:color w:val="231F20"/>
          <w:spacing w:val="-6"/>
          <w:w w:val="105"/>
          <w:sz w:val="18"/>
        </w:rPr>
        <w:t xml:space="preserve"> </w:t>
      </w:r>
      <w:r>
        <w:rPr>
          <w:color w:val="231F20"/>
          <w:w w:val="105"/>
          <w:sz w:val="18"/>
        </w:rPr>
        <w:t>into</w:t>
      </w:r>
      <w:r>
        <w:rPr>
          <w:color w:val="231F20"/>
          <w:spacing w:val="-6"/>
          <w:w w:val="105"/>
          <w:sz w:val="18"/>
        </w:rPr>
        <w:t xml:space="preserve"> </w:t>
      </w:r>
      <w:r>
        <w:rPr>
          <w:color w:val="231F20"/>
          <w:w w:val="105"/>
          <w:sz w:val="18"/>
        </w:rPr>
        <w:t>press</w:t>
      </w:r>
      <w:r>
        <w:rPr>
          <w:color w:val="231F20"/>
          <w:spacing w:val="-6"/>
          <w:w w:val="105"/>
          <w:sz w:val="18"/>
        </w:rPr>
        <w:t xml:space="preserve"> </w:t>
      </w:r>
      <w:r>
        <w:rPr>
          <w:color w:val="231F20"/>
          <w:w w:val="105"/>
          <w:sz w:val="18"/>
        </w:rPr>
        <w:t>conference</w:t>
      </w:r>
      <w:r>
        <w:rPr>
          <w:color w:val="231F20"/>
          <w:spacing w:val="-6"/>
          <w:w w:val="105"/>
          <w:sz w:val="18"/>
        </w:rPr>
        <w:t xml:space="preserve"> </w:t>
      </w:r>
      <w:r>
        <w:rPr>
          <w:color w:val="231F20"/>
          <w:w w:val="105"/>
          <w:sz w:val="18"/>
        </w:rPr>
        <w:t>by</w:t>
      </w:r>
      <w:r>
        <w:rPr>
          <w:color w:val="231F20"/>
          <w:spacing w:val="-6"/>
          <w:w w:val="105"/>
          <w:sz w:val="18"/>
        </w:rPr>
        <w:t xml:space="preserve"> </w:t>
      </w:r>
      <w:r>
        <w:rPr>
          <w:color w:val="231F20"/>
          <w:w w:val="105"/>
          <w:sz w:val="18"/>
        </w:rPr>
        <w:t>Hamburg</w:t>
      </w:r>
      <w:r>
        <w:rPr>
          <w:color w:val="231F20"/>
          <w:spacing w:val="-6"/>
          <w:w w:val="105"/>
          <w:sz w:val="18"/>
        </w:rPr>
        <w:t xml:space="preserve"> </w:t>
      </w:r>
      <w:r>
        <w:rPr>
          <w:color w:val="231F20"/>
          <w:w w:val="105"/>
          <w:sz w:val="18"/>
        </w:rPr>
        <w:t>police.</w:t>
      </w:r>
      <w:r>
        <w:rPr>
          <w:color w:val="231F20"/>
          <w:spacing w:val="-6"/>
          <w:w w:val="105"/>
          <w:sz w:val="18"/>
        </w:rPr>
        <w:t xml:space="preserve"> </w:t>
      </w:r>
      <w:r>
        <w:rPr>
          <w:color w:val="231F20"/>
          <w:w w:val="105"/>
          <w:sz w:val="18"/>
        </w:rPr>
        <w:t>could</w:t>
      </w:r>
      <w:r>
        <w:rPr>
          <w:color w:val="231F20"/>
          <w:spacing w:val="-6"/>
          <w:w w:val="105"/>
          <w:sz w:val="18"/>
        </w:rPr>
        <w:t xml:space="preserve"> </w:t>
      </w:r>
      <w:r>
        <w:rPr>
          <w:color w:val="231F20"/>
          <w:w w:val="105"/>
          <w:sz w:val="18"/>
        </w:rPr>
        <w:t>not</w:t>
      </w:r>
    </w:p>
    <w:p w14:paraId="57963494" w14:textId="77777777" w:rsidR="002653E8" w:rsidRDefault="003115E3">
      <w:pPr>
        <w:spacing w:line="244" w:lineRule="auto"/>
        <w:ind w:left="1147" w:right="1580"/>
        <w:rPr>
          <w:i/>
          <w:sz w:val="16"/>
        </w:rPr>
      </w:pPr>
      <w:r>
        <w:rPr>
          <w:color w:val="231F20"/>
          <w:w w:val="105"/>
          <w:sz w:val="18"/>
        </w:rPr>
        <w:t xml:space="preserve">in fact be tied to any </w:t>
      </w:r>
      <w:r w:rsidR="00C507A5">
        <w:rPr>
          <w:color w:val="231F20"/>
          <w:spacing w:val="5"/>
          <w:w w:val="105"/>
          <w:sz w:val="18"/>
        </w:rPr>
        <w:t>red army faction</w:t>
      </w:r>
      <w:r>
        <w:rPr>
          <w:color w:val="231F20"/>
          <w:spacing w:val="5"/>
          <w:w w:val="105"/>
          <w:sz w:val="18"/>
        </w:rPr>
        <w:t xml:space="preserve"> </w:t>
      </w:r>
      <w:r>
        <w:rPr>
          <w:color w:val="231F20"/>
          <w:w w:val="105"/>
          <w:sz w:val="18"/>
        </w:rPr>
        <w:t xml:space="preserve">actions, and so was simply charged with illegal possession of a firearm and false identification papers. </w:t>
      </w:r>
      <w:r>
        <w:rPr>
          <w:color w:val="231F20"/>
          <w:spacing w:val="1"/>
          <w:w w:val="105"/>
          <w:sz w:val="18"/>
        </w:rPr>
        <w:t xml:space="preserve">In </w:t>
      </w:r>
      <w:r>
        <w:rPr>
          <w:color w:val="231F20"/>
          <w:w w:val="105"/>
          <w:sz w:val="18"/>
        </w:rPr>
        <w:t xml:space="preserve">February </w:t>
      </w:r>
      <w:r>
        <w:rPr>
          <w:color w:val="231F20"/>
          <w:spacing w:val="-4"/>
          <w:w w:val="105"/>
          <w:sz w:val="18"/>
        </w:rPr>
        <w:t xml:space="preserve">1973, </w:t>
      </w:r>
      <w:r>
        <w:rPr>
          <w:color w:val="231F20"/>
          <w:w w:val="105"/>
          <w:sz w:val="18"/>
        </w:rPr>
        <w:t>she</w:t>
      </w:r>
      <w:r>
        <w:rPr>
          <w:color w:val="231F20"/>
          <w:spacing w:val="-21"/>
          <w:w w:val="105"/>
          <w:sz w:val="18"/>
        </w:rPr>
        <w:t xml:space="preserve"> </w:t>
      </w:r>
      <w:r>
        <w:rPr>
          <w:color w:val="231F20"/>
          <w:w w:val="105"/>
          <w:sz w:val="18"/>
        </w:rPr>
        <w:t>received</w:t>
      </w:r>
      <w:r>
        <w:rPr>
          <w:color w:val="231F20"/>
          <w:spacing w:val="-21"/>
          <w:w w:val="105"/>
          <w:sz w:val="18"/>
        </w:rPr>
        <w:t xml:space="preserve"> </w:t>
      </w:r>
      <w:r>
        <w:rPr>
          <w:color w:val="231F20"/>
          <w:w w:val="105"/>
          <w:sz w:val="18"/>
        </w:rPr>
        <w:t>a</w:t>
      </w:r>
      <w:r>
        <w:rPr>
          <w:color w:val="231F20"/>
          <w:spacing w:val="-21"/>
          <w:w w:val="105"/>
          <w:sz w:val="18"/>
        </w:rPr>
        <w:t xml:space="preserve"> </w:t>
      </w:r>
      <w:r>
        <w:rPr>
          <w:color w:val="231F20"/>
          <w:w w:val="105"/>
          <w:sz w:val="18"/>
        </w:rPr>
        <w:t>twenty-seven-month</w:t>
      </w:r>
      <w:r>
        <w:rPr>
          <w:color w:val="231F20"/>
          <w:spacing w:val="-21"/>
          <w:w w:val="105"/>
          <w:sz w:val="18"/>
        </w:rPr>
        <w:t xml:space="preserve"> </w:t>
      </w:r>
      <w:r>
        <w:rPr>
          <w:color w:val="231F20"/>
          <w:w w:val="105"/>
          <w:sz w:val="18"/>
        </w:rPr>
        <w:t>sentence,</w:t>
      </w:r>
      <w:r>
        <w:rPr>
          <w:color w:val="231F20"/>
          <w:spacing w:val="-21"/>
          <w:w w:val="105"/>
          <w:sz w:val="18"/>
        </w:rPr>
        <w:t xml:space="preserve"> </w:t>
      </w:r>
      <w:r>
        <w:rPr>
          <w:color w:val="231F20"/>
          <w:w w:val="105"/>
          <w:sz w:val="18"/>
        </w:rPr>
        <w:t>but</w:t>
      </w:r>
      <w:r>
        <w:rPr>
          <w:color w:val="231F20"/>
          <w:spacing w:val="-21"/>
          <w:w w:val="105"/>
          <w:sz w:val="18"/>
        </w:rPr>
        <w:t xml:space="preserve"> </w:t>
      </w:r>
      <w:r>
        <w:rPr>
          <w:color w:val="231F20"/>
          <w:w w:val="105"/>
          <w:sz w:val="18"/>
        </w:rPr>
        <w:t>was</w:t>
      </w:r>
      <w:r>
        <w:rPr>
          <w:color w:val="231F20"/>
          <w:spacing w:val="-21"/>
          <w:w w:val="105"/>
          <w:sz w:val="18"/>
        </w:rPr>
        <w:t xml:space="preserve"> </w:t>
      </w:r>
      <w:r>
        <w:rPr>
          <w:color w:val="231F20"/>
          <w:w w:val="105"/>
          <w:sz w:val="18"/>
        </w:rPr>
        <w:t>released</w:t>
      </w:r>
      <w:r>
        <w:rPr>
          <w:color w:val="231F20"/>
          <w:spacing w:val="-21"/>
          <w:w w:val="105"/>
          <w:sz w:val="18"/>
        </w:rPr>
        <w:t xml:space="preserve"> </w:t>
      </w:r>
      <w:r>
        <w:rPr>
          <w:color w:val="231F20"/>
          <w:w w:val="105"/>
          <w:sz w:val="18"/>
        </w:rPr>
        <w:t>pending</w:t>
      </w:r>
      <w:r>
        <w:rPr>
          <w:color w:val="231F20"/>
          <w:spacing w:val="-21"/>
          <w:w w:val="105"/>
          <w:sz w:val="18"/>
        </w:rPr>
        <w:t xml:space="preserve"> </w:t>
      </w:r>
      <w:r>
        <w:rPr>
          <w:color w:val="231F20"/>
          <w:w w:val="105"/>
          <w:sz w:val="18"/>
        </w:rPr>
        <w:t xml:space="preserve">an appeal, at which point she went back underground, only to be captured again in </w:t>
      </w:r>
      <w:r>
        <w:rPr>
          <w:color w:val="231F20"/>
          <w:spacing w:val="-5"/>
          <w:w w:val="105"/>
          <w:sz w:val="18"/>
        </w:rPr>
        <w:t xml:space="preserve">1974. </w:t>
      </w:r>
      <w:r>
        <w:rPr>
          <w:rFonts w:ascii="Bookman Old Style" w:hAnsi="Bookman Old Style"/>
          <w:i/>
          <w:color w:val="231F20"/>
          <w:w w:val="105"/>
          <w:sz w:val="18"/>
        </w:rPr>
        <w:t>(</w:t>
      </w:r>
      <w:r>
        <w:rPr>
          <w:color w:val="231F20"/>
          <w:w w:val="105"/>
          <w:sz w:val="16"/>
        </w:rPr>
        <w:t xml:space="preserve">United Press International, “Raided Flat is Suspected Anarchist </w:t>
      </w:r>
      <w:r>
        <w:rPr>
          <w:color w:val="231F20"/>
          <w:spacing w:val="-3"/>
          <w:w w:val="105"/>
          <w:sz w:val="16"/>
        </w:rPr>
        <w:t xml:space="preserve">Hq.”  </w:t>
      </w:r>
      <w:r>
        <w:rPr>
          <w:i/>
          <w:color w:val="231F20"/>
          <w:w w:val="105"/>
          <w:sz w:val="16"/>
        </w:rPr>
        <w:t xml:space="preserve">European  Stars  </w:t>
      </w:r>
      <w:r>
        <w:rPr>
          <w:i/>
          <w:color w:val="231F20"/>
          <w:spacing w:val="1"/>
          <w:w w:val="105"/>
          <w:sz w:val="16"/>
        </w:rPr>
        <w:t xml:space="preserve">and </w:t>
      </w:r>
      <w:r>
        <w:rPr>
          <w:i/>
          <w:color w:val="231F20"/>
          <w:w w:val="105"/>
          <w:sz w:val="16"/>
        </w:rPr>
        <w:t xml:space="preserve">Stripes,  </w:t>
      </w:r>
      <w:r>
        <w:rPr>
          <w:color w:val="231F20"/>
          <w:w w:val="105"/>
          <w:sz w:val="16"/>
        </w:rPr>
        <w:t xml:space="preserve">October  28,  1971;  </w:t>
      </w:r>
      <w:r>
        <w:rPr>
          <w:i/>
          <w:color w:val="231F20"/>
          <w:w w:val="105"/>
          <w:sz w:val="16"/>
        </w:rPr>
        <w:t xml:space="preserve">European  Stars  </w:t>
      </w:r>
      <w:r>
        <w:rPr>
          <w:i/>
          <w:color w:val="231F20"/>
          <w:spacing w:val="1"/>
          <w:w w:val="105"/>
          <w:sz w:val="16"/>
        </w:rPr>
        <w:t>and</w:t>
      </w:r>
      <w:r>
        <w:rPr>
          <w:i/>
          <w:color w:val="231F20"/>
          <w:spacing w:val="-6"/>
          <w:w w:val="105"/>
          <w:sz w:val="16"/>
        </w:rPr>
        <w:t xml:space="preserve"> </w:t>
      </w:r>
      <w:r>
        <w:rPr>
          <w:i/>
          <w:color w:val="231F20"/>
          <w:w w:val="105"/>
          <w:sz w:val="16"/>
        </w:rPr>
        <w:t>Stripes</w:t>
      </w:r>
    </w:p>
    <w:p w14:paraId="386C0621" w14:textId="77777777" w:rsidR="002653E8" w:rsidRDefault="003115E3">
      <w:pPr>
        <w:spacing w:before="7" w:line="254" w:lineRule="auto"/>
        <w:ind w:left="1148" w:right="1580" w:hanging="1"/>
        <w:rPr>
          <w:sz w:val="16"/>
        </w:rPr>
      </w:pPr>
      <w:r>
        <w:rPr>
          <w:color w:val="231F20"/>
          <w:w w:val="105"/>
          <w:sz w:val="16"/>
        </w:rPr>
        <w:t xml:space="preserve">“Released from Custody,” February 11, 1973; Associated Press, “Raids in German Cities Smash New Terror Ring,” </w:t>
      </w:r>
      <w:r>
        <w:rPr>
          <w:i/>
          <w:color w:val="231F20"/>
          <w:w w:val="105"/>
          <w:sz w:val="16"/>
        </w:rPr>
        <w:t xml:space="preserve">European Stars and Stripes, </w:t>
      </w:r>
      <w:r>
        <w:rPr>
          <w:color w:val="231F20"/>
          <w:w w:val="105"/>
          <w:sz w:val="16"/>
        </w:rPr>
        <w:t>February 5, 1974.)</w:t>
      </w:r>
    </w:p>
    <w:p w14:paraId="2333FD33" w14:textId="77777777" w:rsidR="002653E8" w:rsidRDefault="003115E3">
      <w:pPr>
        <w:pStyle w:val="a4"/>
        <w:numPr>
          <w:ilvl w:val="0"/>
          <w:numId w:val="158"/>
        </w:numPr>
        <w:tabs>
          <w:tab w:val="left" w:pos="1288"/>
        </w:tabs>
        <w:spacing w:line="254" w:lineRule="auto"/>
        <w:ind w:right="1819" w:firstLine="0"/>
        <w:rPr>
          <w:sz w:val="16"/>
        </w:rPr>
      </w:pPr>
      <w:r>
        <w:rPr>
          <w:color w:val="231F20"/>
          <w:w w:val="105"/>
          <w:sz w:val="16"/>
        </w:rPr>
        <w:t>The Georg von Rauch House still exists today, housing approximately forty itinerant youth at any given</w:t>
      </w:r>
      <w:r>
        <w:rPr>
          <w:color w:val="231F20"/>
          <w:spacing w:val="2"/>
          <w:w w:val="105"/>
          <w:sz w:val="16"/>
        </w:rPr>
        <w:t xml:space="preserve"> </w:t>
      </w:r>
      <w:r>
        <w:rPr>
          <w:color w:val="231F20"/>
          <w:w w:val="105"/>
          <w:sz w:val="16"/>
        </w:rPr>
        <w:t>time.</w:t>
      </w:r>
    </w:p>
    <w:p w14:paraId="1C8565DF" w14:textId="77777777" w:rsidR="002653E8" w:rsidRDefault="003115E3">
      <w:pPr>
        <w:pStyle w:val="a4"/>
        <w:numPr>
          <w:ilvl w:val="0"/>
          <w:numId w:val="158"/>
        </w:numPr>
        <w:tabs>
          <w:tab w:val="left" w:pos="1288"/>
        </w:tabs>
        <w:spacing w:before="40"/>
        <w:ind w:left="1287"/>
        <w:rPr>
          <w:sz w:val="16"/>
        </w:rPr>
      </w:pPr>
      <w:r>
        <w:rPr>
          <w:color w:val="231F20"/>
          <w:spacing w:val="1"/>
          <w:w w:val="110"/>
          <w:sz w:val="16"/>
        </w:rPr>
        <w:t>Baumann,</w:t>
      </w:r>
      <w:r>
        <w:rPr>
          <w:color w:val="231F20"/>
          <w:spacing w:val="6"/>
          <w:w w:val="110"/>
          <w:sz w:val="16"/>
        </w:rPr>
        <w:t xml:space="preserve"> </w:t>
      </w:r>
      <w:r>
        <w:rPr>
          <w:color w:val="231F20"/>
          <w:spacing w:val="-4"/>
          <w:w w:val="110"/>
          <w:sz w:val="16"/>
        </w:rPr>
        <w:t>95.</w:t>
      </w:r>
    </w:p>
    <w:p w14:paraId="44A1D568" w14:textId="77777777" w:rsidR="002653E8" w:rsidRDefault="002653E8">
      <w:pPr>
        <w:rPr>
          <w:sz w:val="16"/>
        </w:rPr>
        <w:sectPr w:rsidR="002653E8">
          <w:type w:val="continuous"/>
          <w:pgSz w:w="8640" w:h="12960"/>
          <w:pgMar w:top="0" w:right="0" w:bottom="0" w:left="0" w:header="720" w:footer="720" w:gutter="0"/>
          <w:cols w:space="720"/>
        </w:sectPr>
      </w:pPr>
    </w:p>
    <w:p w14:paraId="0F84D5DE" w14:textId="77777777" w:rsidR="002653E8" w:rsidRDefault="002653E8">
      <w:pPr>
        <w:pStyle w:val="a3"/>
        <w:spacing w:before="6"/>
        <w:rPr>
          <w:sz w:val="11"/>
        </w:rPr>
      </w:pPr>
    </w:p>
    <w:p w14:paraId="760D6C61" w14:textId="77777777" w:rsidR="002653E8" w:rsidRDefault="003115E3">
      <w:pPr>
        <w:pStyle w:val="a3"/>
        <w:ind w:left="1327" w:right="-42"/>
      </w:pPr>
      <w:r>
        <w:drawing>
          <wp:inline distT="0" distB="0" distL="0" distR="0" wp14:anchorId="672B2295" wp14:editId="7CDAAABB">
            <wp:extent cx="1548435" cy="2148840"/>
            <wp:effectExtent l="0" t="0" r="0" b="0"/>
            <wp:docPr id="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png"/>
                    <pic:cNvPicPr/>
                  </pic:nvPicPr>
                  <pic:blipFill>
                    <a:blip r:embed="rId102" cstate="print"/>
                    <a:stretch>
                      <a:fillRect/>
                    </a:stretch>
                  </pic:blipFill>
                  <pic:spPr>
                    <a:xfrm>
                      <a:off x="0" y="0"/>
                      <a:ext cx="1548435" cy="2148840"/>
                    </a:xfrm>
                    <a:prstGeom prst="rect">
                      <a:avLst/>
                    </a:prstGeom>
                  </pic:spPr>
                </pic:pic>
              </a:graphicData>
            </a:graphic>
          </wp:inline>
        </w:drawing>
      </w:r>
    </w:p>
    <w:p w14:paraId="7C03B10F" w14:textId="77777777" w:rsidR="002653E8" w:rsidRDefault="003115E3">
      <w:pPr>
        <w:spacing w:before="96" w:line="244" w:lineRule="auto"/>
        <w:ind w:left="1853" w:hanging="264"/>
        <w:rPr>
          <w:i/>
          <w:sz w:val="18"/>
        </w:rPr>
      </w:pPr>
      <w:r>
        <w:rPr>
          <w:i/>
          <w:color w:val="231F20"/>
          <w:w w:val="105"/>
          <w:sz w:val="18"/>
        </w:rPr>
        <w:t>“The Police: Genscher’s Killer Elite or the</w:t>
      </w:r>
    </w:p>
    <w:p w14:paraId="34AC74FA" w14:textId="77777777" w:rsidR="002653E8" w:rsidRDefault="003115E3">
      <w:pPr>
        <w:spacing w:before="1"/>
        <w:ind w:left="1662"/>
        <w:rPr>
          <w:i/>
          <w:sz w:val="18"/>
        </w:rPr>
      </w:pPr>
      <w:r>
        <w:rPr>
          <w:i/>
          <w:color w:val="231F20"/>
          <w:w w:val="105"/>
          <w:sz w:val="18"/>
        </w:rPr>
        <w:t>New Stormtroopers?”</w:t>
      </w:r>
    </w:p>
    <w:p w14:paraId="57105D48" w14:textId="77777777" w:rsidR="002653E8" w:rsidRDefault="003115E3">
      <w:pPr>
        <w:pStyle w:val="a3"/>
        <w:spacing w:before="86" w:line="264" w:lineRule="auto"/>
        <w:ind w:left="139" w:right="1145"/>
        <w:jc w:val="both"/>
      </w:pPr>
      <w:r>
        <w:br w:type="column"/>
      </w:r>
      <w:r>
        <w:rPr>
          <w:color w:val="231F20"/>
        </w:rPr>
        <w:t>Baumann’s move to an anti-guerilla position rendered it tantamount to counterinsurgency propaganda.)</w:t>
      </w:r>
    </w:p>
    <w:p w14:paraId="29D7716B" w14:textId="77777777" w:rsidR="002653E8" w:rsidRDefault="003115E3">
      <w:pPr>
        <w:pStyle w:val="a3"/>
        <w:spacing w:line="264" w:lineRule="auto"/>
        <w:ind w:left="139" w:right="1145" w:firstLine="210"/>
        <w:jc w:val="both"/>
      </w:pPr>
      <w:r>
        <w:rPr>
          <w:color w:val="231F20"/>
        </w:rPr>
        <w:t xml:space="preserve">The  “shoot  first”  hypothesis  would be given further credence on March 1, </w:t>
      </w:r>
      <w:r>
        <w:rPr>
          <w:color w:val="231F20"/>
          <w:spacing w:val="-3"/>
        </w:rPr>
        <w:t xml:space="preserve">1972, </w:t>
      </w:r>
      <w:r>
        <w:rPr>
          <w:color w:val="231F20"/>
        </w:rPr>
        <w:t>when Richard Epple, a seventeenyear-old apprentice, was mowed down by police submachine gun fire after a car chase through Tübingen. Epple had run a police checkpoint because he was driving without a license—he had no</w:t>
      </w:r>
      <w:r>
        <w:rPr>
          <w:color w:val="231F20"/>
          <w:spacing w:val="-26"/>
        </w:rPr>
        <w:t xml:space="preserve"> </w:t>
      </w:r>
      <w:r>
        <w:rPr>
          <w:color w:val="231F20"/>
        </w:rPr>
        <w:t xml:space="preserve">connections to the </w:t>
      </w:r>
      <w:r w:rsidR="00C507A5">
        <w:rPr>
          <w:color w:val="231F20"/>
          <w:spacing w:val="5"/>
        </w:rPr>
        <w:t>red army faction</w:t>
      </w:r>
      <w:r>
        <w:rPr>
          <w:color w:val="231F20"/>
          <w:spacing w:val="5"/>
        </w:rPr>
        <w:t xml:space="preserve"> </w:t>
      </w:r>
      <w:r>
        <w:rPr>
          <w:color w:val="231F20"/>
        </w:rPr>
        <w:t>or any other guerilla group.</w:t>
      </w:r>
      <w:r>
        <w:rPr>
          <w:color w:val="231F20"/>
          <w:position w:val="7"/>
          <w:sz w:val="11"/>
        </w:rPr>
        <w:t xml:space="preserve">4 </w:t>
      </w:r>
      <w:r>
        <w:rPr>
          <w:color w:val="231F20"/>
        </w:rPr>
        <w:t>Later that year, in Stuttgart, a Scottish businessman, Ian McLeod, was similarly killed by police fire as he stood naked behind a bedroom door. Depending on who</w:t>
      </w:r>
      <w:r>
        <w:rPr>
          <w:color w:val="231F20"/>
          <w:spacing w:val="18"/>
        </w:rPr>
        <w:t xml:space="preserve"> </w:t>
      </w:r>
      <w:r>
        <w:rPr>
          <w:color w:val="231F20"/>
        </w:rPr>
        <w:t>one</w:t>
      </w:r>
      <w:r>
        <w:rPr>
          <w:color w:val="231F20"/>
          <w:spacing w:val="18"/>
        </w:rPr>
        <w:t xml:space="preserve"> </w:t>
      </w:r>
      <w:r>
        <w:rPr>
          <w:color w:val="231F20"/>
        </w:rPr>
        <w:t>believes,</w:t>
      </w:r>
      <w:r>
        <w:rPr>
          <w:color w:val="231F20"/>
          <w:spacing w:val="18"/>
        </w:rPr>
        <w:t xml:space="preserve"> </w:t>
      </w:r>
      <w:r>
        <w:rPr>
          <w:color w:val="231F20"/>
        </w:rPr>
        <w:t>Macleod</w:t>
      </w:r>
      <w:r>
        <w:rPr>
          <w:color w:val="231F20"/>
          <w:spacing w:val="18"/>
        </w:rPr>
        <w:t xml:space="preserve"> </w:t>
      </w:r>
      <w:r>
        <w:rPr>
          <w:color w:val="231F20"/>
        </w:rPr>
        <w:t>was</w:t>
      </w:r>
      <w:r>
        <w:rPr>
          <w:color w:val="231F20"/>
          <w:spacing w:val="18"/>
        </w:rPr>
        <w:t xml:space="preserve"> </w:t>
      </w:r>
      <w:r>
        <w:rPr>
          <w:color w:val="231F20"/>
        </w:rPr>
        <w:t>either</w:t>
      </w:r>
    </w:p>
    <w:p w14:paraId="4926DCAE" w14:textId="77777777" w:rsidR="002653E8" w:rsidRDefault="002653E8">
      <w:pPr>
        <w:spacing w:line="264" w:lineRule="auto"/>
        <w:jc w:val="both"/>
        <w:sectPr w:rsidR="002653E8">
          <w:footerReference w:type="even" r:id="rId103"/>
          <w:footerReference w:type="default" r:id="rId104"/>
          <w:pgSz w:w="8640" w:h="12960"/>
          <w:pgMar w:top="1060" w:right="0" w:bottom="1040" w:left="0" w:header="0" w:footer="850" w:gutter="0"/>
          <w:cols w:num="2" w:space="720" w:equalWidth="0">
            <w:col w:w="3766" w:space="40"/>
            <w:col w:w="4834"/>
          </w:cols>
        </w:sectPr>
      </w:pPr>
    </w:p>
    <w:p w14:paraId="72ECCBA3" w14:textId="77777777" w:rsidR="002653E8" w:rsidRDefault="003115E3">
      <w:pPr>
        <w:pStyle w:val="a3"/>
        <w:spacing w:line="217" w:lineRule="exact"/>
        <w:ind w:left="1328"/>
      </w:pPr>
      <w:r>
        <w:rPr>
          <w:color w:val="231F20"/>
        </w:rPr>
        <w:t xml:space="preserve">completely unconnected to the </w:t>
      </w:r>
      <w:r w:rsidR="00C507A5">
        <w:rPr>
          <w:color w:val="231F20"/>
        </w:rPr>
        <w:t>red army faction</w:t>
      </w:r>
      <w:r>
        <w:rPr>
          <w:color w:val="231F20"/>
        </w:rPr>
        <w:t>, or else was himself a British intel-</w:t>
      </w:r>
    </w:p>
    <w:p w14:paraId="014D108C" w14:textId="77777777" w:rsidR="002653E8" w:rsidRDefault="003115E3">
      <w:pPr>
        <w:pStyle w:val="a3"/>
        <w:spacing w:before="22" w:line="264" w:lineRule="auto"/>
        <w:ind w:left="1328" w:right="1145"/>
        <w:jc w:val="both"/>
        <w:rPr>
          <w:sz w:val="11"/>
        </w:rPr>
      </w:pPr>
      <w:r>
        <w:rPr>
          <w:color w:val="231F20"/>
        </w:rPr>
        <w:t>ligence agent intent on infiltrating the group—in either case it was clear the police shot without cause or provocation. Hundreds of people took to</w:t>
      </w:r>
      <w:r>
        <w:rPr>
          <w:color w:val="231F20"/>
          <w:spacing w:val="8"/>
        </w:rPr>
        <w:t xml:space="preserve"> </w:t>
      </w:r>
      <w:r>
        <w:rPr>
          <w:color w:val="231F20"/>
        </w:rPr>
        <w:t>the</w:t>
      </w:r>
      <w:r>
        <w:rPr>
          <w:color w:val="231F20"/>
          <w:spacing w:val="8"/>
        </w:rPr>
        <w:t xml:space="preserve"> </w:t>
      </w:r>
      <w:r>
        <w:rPr>
          <w:color w:val="231F20"/>
        </w:rPr>
        <w:t>streets</w:t>
      </w:r>
      <w:r>
        <w:rPr>
          <w:color w:val="231F20"/>
          <w:spacing w:val="8"/>
        </w:rPr>
        <w:t xml:space="preserve"> </w:t>
      </w:r>
      <w:r>
        <w:rPr>
          <w:color w:val="231F20"/>
        </w:rPr>
        <w:t>to</w:t>
      </w:r>
      <w:r>
        <w:rPr>
          <w:color w:val="231F20"/>
          <w:spacing w:val="8"/>
        </w:rPr>
        <w:t xml:space="preserve"> </w:t>
      </w:r>
      <w:r>
        <w:rPr>
          <w:color w:val="231F20"/>
        </w:rPr>
        <w:t>protest</w:t>
      </w:r>
      <w:r>
        <w:rPr>
          <w:color w:val="231F20"/>
          <w:spacing w:val="8"/>
        </w:rPr>
        <w:t xml:space="preserve"> </w:t>
      </w:r>
      <w:r>
        <w:rPr>
          <w:color w:val="231F20"/>
        </w:rPr>
        <w:t>this</w:t>
      </w:r>
      <w:r>
        <w:rPr>
          <w:color w:val="231F20"/>
          <w:spacing w:val="8"/>
        </w:rPr>
        <w:t xml:space="preserve"> </w:t>
      </w:r>
      <w:r>
        <w:rPr>
          <w:color w:val="231F20"/>
        </w:rPr>
        <w:t>police</w:t>
      </w:r>
      <w:r>
        <w:rPr>
          <w:color w:val="231F20"/>
          <w:spacing w:val="8"/>
        </w:rPr>
        <w:t xml:space="preserve"> </w:t>
      </w:r>
      <w:r>
        <w:rPr>
          <w:color w:val="231F20"/>
        </w:rPr>
        <w:t>murder.</w:t>
      </w:r>
      <w:r>
        <w:rPr>
          <w:color w:val="231F20"/>
          <w:position w:val="7"/>
          <w:sz w:val="11"/>
        </w:rPr>
        <w:t>5</w:t>
      </w:r>
    </w:p>
    <w:p w14:paraId="048086BB" w14:textId="77777777" w:rsidR="002653E8" w:rsidRDefault="003115E3">
      <w:pPr>
        <w:pStyle w:val="a3"/>
        <w:spacing w:line="264" w:lineRule="auto"/>
        <w:ind w:left="1327" w:right="1145" w:firstLine="209"/>
        <w:jc w:val="both"/>
      </w:pPr>
      <w:r>
        <w:rPr>
          <w:color w:val="231F20"/>
        </w:rPr>
        <w:t xml:space="preserve">The next bust occurred as </w:t>
      </w:r>
      <w:r>
        <w:rPr>
          <w:color w:val="231F20"/>
          <w:spacing w:val="-4"/>
        </w:rPr>
        <w:t xml:space="preserve">1971 </w:t>
      </w:r>
      <w:r>
        <w:rPr>
          <w:color w:val="231F20"/>
        </w:rPr>
        <w:t xml:space="preserve">came to a close: on December  </w:t>
      </w:r>
      <w:r>
        <w:rPr>
          <w:color w:val="231F20"/>
          <w:spacing w:val="-7"/>
        </w:rPr>
        <w:t>17,</w:t>
      </w:r>
      <w:r>
        <w:rPr>
          <w:color w:val="231F20"/>
          <w:spacing w:val="30"/>
        </w:rPr>
        <w:t xml:space="preserve"> </w:t>
      </w:r>
      <w:r>
        <w:rPr>
          <w:color w:val="231F20"/>
        </w:rPr>
        <w:t xml:space="preserve">Rolf Pohle was arrested in a gun shop in Neu-Ulm attempting to buy thirty-two firearms which the police claimed were meant for the </w:t>
      </w:r>
      <w:r w:rsidR="00C507A5">
        <w:rPr>
          <w:color w:val="231F20"/>
        </w:rPr>
        <w:t>red army faction</w:t>
      </w:r>
      <w:r>
        <w:rPr>
          <w:color w:val="231F20"/>
        </w:rPr>
        <w:t>.</w:t>
      </w:r>
      <w:r>
        <w:rPr>
          <w:color w:val="231F20"/>
          <w:position w:val="7"/>
          <w:sz w:val="11"/>
        </w:rPr>
        <w:t xml:space="preserve">6 </w:t>
      </w:r>
      <w:r>
        <w:rPr>
          <w:color w:val="231F20"/>
        </w:rPr>
        <w:t xml:space="preserve">Pohle had been a young law student in Munich in the days of the APO. He had organized legal aid during the </w:t>
      </w:r>
      <w:r>
        <w:rPr>
          <w:color w:val="231F20"/>
          <w:spacing w:val="-4"/>
        </w:rPr>
        <w:t xml:space="preserve">1968 </w:t>
      </w:r>
      <w:r>
        <w:rPr>
          <w:color w:val="231F20"/>
        </w:rPr>
        <w:t>Easter riots,</w:t>
      </w:r>
      <w:r>
        <w:rPr>
          <w:color w:val="231F20"/>
          <w:position w:val="7"/>
          <w:sz w:val="11"/>
        </w:rPr>
        <w:t xml:space="preserve">7 </w:t>
      </w:r>
      <w:r>
        <w:rPr>
          <w:color w:val="231F20"/>
        </w:rPr>
        <w:t>and had been subjected</w:t>
      </w:r>
      <w:r>
        <w:rPr>
          <w:color w:val="231F20"/>
          <w:spacing w:val="-5"/>
        </w:rPr>
        <w:t xml:space="preserve"> </w:t>
      </w:r>
      <w:r>
        <w:rPr>
          <w:color w:val="231F20"/>
        </w:rPr>
        <w:t>to</w:t>
      </w:r>
      <w:r>
        <w:rPr>
          <w:color w:val="231F20"/>
          <w:spacing w:val="-5"/>
        </w:rPr>
        <w:t xml:space="preserve"> </w:t>
      </w:r>
      <w:r>
        <w:rPr>
          <w:color w:val="231F20"/>
        </w:rPr>
        <w:t>heavy</w:t>
      </w:r>
      <w:r>
        <w:rPr>
          <w:color w:val="231F20"/>
          <w:spacing w:val="-5"/>
        </w:rPr>
        <w:t xml:space="preserve"> </w:t>
      </w:r>
      <w:r>
        <w:rPr>
          <w:color w:val="231F20"/>
        </w:rPr>
        <w:t>police</w:t>
      </w:r>
      <w:r>
        <w:rPr>
          <w:color w:val="231F20"/>
          <w:spacing w:val="-5"/>
        </w:rPr>
        <w:t xml:space="preserve"> </w:t>
      </w:r>
      <w:r>
        <w:rPr>
          <w:color w:val="231F20"/>
        </w:rPr>
        <w:t>harassment</w:t>
      </w:r>
      <w:r>
        <w:rPr>
          <w:color w:val="231F20"/>
          <w:spacing w:val="-5"/>
        </w:rPr>
        <w:t xml:space="preserve"> </w:t>
      </w:r>
      <w:r>
        <w:rPr>
          <w:color w:val="231F20"/>
        </w:rPr>
        <w:t>ever</w:t>
      </w:r>
      <w:r>
        <w:rPr>
          <w:color w:val="231F20"/>
          <w:spacing w:val="-5"/>
        </w:rPr>
        <w:t xml:space="preserve"> </w:t>
      </w:r>
      <w:r>
        <w:rPr>
          <w:color w:val="231F20"/>
        </w:rPr>
        <w:t>since,</w:t>
      </w:r>
      <w:r>
        <w:rPr>
          <w:color w:val="231F20"/>
          <w:spacing w:val="-5"/>
        </w:rPr>
        <w:t xml:space="preserve"> </w:t>
      </w:r>
      <w:r>
        <w:rPr>
          <w:color w:val="231F20"/>
        </w:rPr>
        <w:t>eventually</w:t>
      </w:r>
      <w:r>
        <w:rPr>
          <w:color w:val="231F20"/>
          <w:spacing w:val="-5"/>
        </w:rPr>
        <w:t xml:space="preserve"> </w:t>
      </w:r>
      <w:r>
        <w:rPr>
          <w:color w:val="231F20"/>
        </w:rPr>
        <w:t>pushing</w:t>
      </w:r>
      <w:r>
        <w:rPr>
          <w:color w:val="231F20"/>
          <w:spacing w:val="-5"/>
        </w:rPr>
        <w:t xml:space="preserve"> </w:t>
      </w:r>
      <w:r>
        <w:rPr>
          <w:color w:val="231F20"/>
        </w:rPr>
        <w:t>him to join the</w:t>
      </w:r>
      <w:r>
        <w:rPr>
          <w:color w:val="231F20"/>
          <w:spacing w:val="32"/>
        </w:rPr>
        <w:t xml:space="preserve"> </w:t>
      </w:r>
      <w:r>
        <w:rPr>
          <w:color w:val="231F20"/>
        </w:rPr>
        <w:t>underground.</w:t>
      </w:r>
    </w:p>
    <w:p w14:paraId="51BD6C6E" w14:textId="77777777" w:rsidR="002653E8" w:rsidRDefault="00000000">
      <w:pPr>
        <w:pStyle w:val="a3"/>
        <w:spacing w:before="6"/>
        <w:rPr>
          <w:sz w:val="19"/>
        </w:rPr>
      </w:pPr>
      <w:r>
        <w:rPr>
          <w:noProof w:val="0"/>
        </w:rPr>
        <w:pict w14:anchorId="6BD4CAC2">
          <v:line id="_x0000_s2588" style="position:absolute;z-index:3808;mso-wrap-distance-left:0;mso-wrap-distance-right:0;mso-position-horizontal-relative:page" from="66.4pt,13.7pt" to="138.4pt,13.7pt" strokecolor="#231f20" strokeweight=".5pt">
            <w10:wrap type="topAndBottom" anchorx="page"/>
          </v:line>
        </w:pict>
      </w:r>
    </w:p>
    <w:p w14:paraId="6AF59BA5" w14:textId="77777777" w:rsidR="002653E8" w:rsidRDefault="003115E3">
      <w:pPr>
        <w:spacing w:before="53"/>
        <w:ind w:left="1327"/>
        <w:rPr>
          <w:sz w:val="16"/>
        </w:rPr>
      </w:pPr>
      <w:r>
        <w:rPr>
          <w:color w:val="231F20"/>
          <w:w w:val="110"/>
          <w:sz w:val="16"/>
        </w:rPr>
        <w:t xml:space="preserve">4 </w:t>
      </w:r>
      <w:bookmarkStart w:id="51" w:name="_Hlk59308606"/>
      <w:r>
        <w:rPr>
          <w:color w:val="231F20"/>
          <w:w w:val="110"/>
          <w:sz w:val="16"/>
        </w:rPr>
        <w:t>Vague, 42-43.</w:t>
      </w:r>
      <w:bookmarkEnd w:id="51"/>
    </w:p>
    <w:p w14:paraId="6B61082B" w14:textId="77777777" w:rsidR="002653E8" w:rsidRDefault="003115E3">
      <w:pPr>
        <w:pStyle w:val="a4"/>
        <w:numPr>
          <w:ilvl w:val="1"/>
          <w:numId w:val="158"/>
        </w:numPr>
        <w:tabs>
          <w:tab w:val="left" w:pos="1467"/>
        </w:tabs>
        <w:spacing w:before="51" w:line="254" w:lineRule="auto"/>
        <w:ind w:right="1426" w:firstLine="0"/>
        <w:rPr>
          <w:sz w:val="16"/>
        </w:rPr>
      </w:pPr>
      <w:r>
        <w:rPr>
          <w:color w:val="231F20"/>
          <w:w w:val="105"/>
          <w:sz w:val="16"/>
        </w:rPr>
        <w:t xml:space="preserve">United Press International, “Paper Says Macleod was a British </w:t>
      </w:r>
      <w:r>
        <w:rPr>
          <w:color w:val="231F20"/>
          <w:spacing w:val="-4"/>
          <w:w w:val="105"/>
          <w:sz w:val="16"/>
        </w:rPr>
        <w:t xml:space="preserve">Spy,” </w:t>
      </w:r>
      <w:r>
        <w:rPr>
          <w:i/>
          <w:color w:val="231F20"/>
          <w:w w:val="105"/>
          <w:sz w:val="16"/>
        </w:rPr>
        <w:t xml:space="preserve">European Stars </w:t>
      </w:r>
      <w:r>
        <w:rPr>
          <w:i/>
          <w:color w:val="231F20"/>
          <w:spacing w:val="1"/>
          <w:w w:val="105"/>
          <w:sz w:val="16"/>
        </w:rPr>
        <w:t xml:space="preserve">and </w:t>
      </w:r>
      <w:r>
        <w:rPr>
          <w:i/>
          <w:color w:val="231F20"/>
          <w:w w:val="105"/>
          <w:sz w:val="16"/>
        </w:rPr>
        <w:t xml:space="preserve">Stripes, </w:t>
      </w:r>
      <w:r>
        <w:rPr>
          <w:color w:val="231F20"/>
          <w:w w:val="105"/>
          <w:sz w:val="16"/>
        </w:rPr>
        <w:t>July 3,</w:t>
      </w:r>
      <w:r>
        <w:rPr>
          <w:color w:val="231F20"/>
          <w:spacing w:val="6"/>
          <w:w w:val="105"/>
          <w:sz w:val="16"/>
        </w:rPr>
        <w:t xml:space="preserve"> </w:t>
      </w:r>
      <w:r>
        <w:rPr>
          <w:color w:val="231F20"/>
          <w:w w:val="105"/>
          <w:sz w:val="16"/>
        </w:rPr>
        <w:t>1972.</w:t>
      </w:r>
    </w:p>
    <w:p w14:paraId="048343F3" w14:textId="77777777" w:rsidR="002653E8" w:rsidRDefault="003115E3">
      <w:pPr>
        <w:pStyle w:val="a4"/>
        <w:numPr>
          <w:ilvl w:val="1"/>
          <w:numId w:val="158"/>
        </w:numPr>
        <w:tabs>
          <w:tab w:val="left" w:pos="1467"/>
        </w:tabs>
        <w:spacing w:line="254" w:lineRule="auto"/>
        <w:ind w:right="1147" w:firstLine="0"/>
        <w:rPr>
          <w:sz w:val="16"/>
        </w:rPr>
      </w:pPr>
      <w:r>
        <w:rPr>
          <w:color w:val="231F20"/>
          <w:w w:val="105"/>
          <w:sz w:val="16"/>
        </w:rPr>
        <w:t xml:space="preserve">Associated Press, “Trial </w:t>
      </w:r>
      <w:r>
        <w:rPr>
          <w:color w:val="231F20"/>
          <w:spacing w:val="1"/>
          <w:w w:val="105"/>
          <w:sz w:val="16"/>
        </w:rPr>
        <w:t xml:space="preserve">starts </w:t>
      </w:r>
      <w:r>
        <w:rPr>
          <w:color w:val="231F20"/>
          <w:w w:val="105"/>
          <w:sz w:val="16"/>
        </w:rPr>
        <w:t xml:space="preserve">in Munich for accused Meinhof-gang munitions supplier,” </w:t>
      </w:r>
      <w:r>
        <w:rPr>
          <w:i/>
          <w:color w:val="231F20"/>
          <w:w w:val="105"/>
          <w:sz w:val="16"/>
        </w:rPr>
        <w:t xml:space="preserve">European Stars </w:t>
      </w:r>
      <w:r>
        <w:rPr>
          <w:i/>
          <w:color w:val="231F20"/>
          <w:spacing w:val="1"/>
          <w:w w:val="105"/>
          <w:sz w:val="16"/>
        </w:rPr>
        <w:t xml:space="preserve">and </w:t>
      </w:r>
      <w:r>
        <w:rPr>
          <w:i/>
          <w:color w:val="231F20"/>
          <w:w w:val="105"/>
          <w:sz w:val="16"/>
        </w:rPr>
        <w:t xml:space="preserve">Stripes, </w:t>
      </w:r>
      <w:r>
        <w:rPr>
          <w:color w:val="231F20"/>
          <w:w w:val="105"/>
          <w:sz w:val="16"/>
        </w:rPr>
        <w:t xml:space="preserve">September 26, </w:t>
      </w:r>
      <w:r>
        <w:rPr>
          <w:color w:val="231F20"/>
          <w:spacing w:val="-3"/>
          <w:w w:val="105"/>
          <w:sz w:val="16"/>
        </w:rPr>
        <w:t xml:space="preserve">1973. </w:t>
      </w:r>
      <w:r>
        <w:rPr>
          <w:color w:val="231F20"/>
          <w:w w:val="105"/>
          <w:sz w:val="16"/>
        </w:rPr>
        <w:t xml:space="preserve">Pohle went to trial  in </w:t>
      </w:r>
      <w:r>
        <w:rPr>
          <w:color w:val="231F20"/>
          <w:spacing w:val="-3"/>
          <w:w w:val="105"/>
          <w:sz w:val="16"/>
        </w:rPr>
        <w:t xml:space="preserve">1973, </w:t>
      </w:r>
      <w:r>
        <w:rPr>
          <w:color w:val="231F20"/>
          <w:w w:val="105"/>
          <w:sz w:val="16"/>
        </w:rPr>
        <w:t xml:space="preserve">charged with possession of firearms and support for a criminal organization under </w:t>
      </w:r>
      <w:r>
        <w:rPr>
          <w:color w:val="231F20"/>
          <w:w w:val="105"/>
          <w:sz w:val="14"/>
        </w:rPr>
        <w:t>§</w:t>
      </w:r>
      <w:r>
        <w:rPr>
          <w:color w:val="231F20"/>
          <w:w w:val="105"/>
          <w:sz w:val="16"/>
        </w:rPr>
        <w:t xml:space="preserve">129; during the trial, he spit at reporters and refused to acknowledge his  court appointed lawyers. </w:t>
      </w:r>
      <w:r>
        <w:rPr>
          <w:color w:val="231F20"/>
          <w:spacing w:val="1"/>
          <w:w w:val="105"/>
          <w:sz w:val="16"/>
        </w:rPr>
        <w:t xml:space="preserve">While </w:t>
      </w:r>
      <w:r>
        <w:rPr>
          <w:color w:val="231F20"/>
          <w:w w:val="105"/>
          <w:sz w:val="16"/>
        </w:rPr>
        <w:t xml:space="preserve">he denied the charges against </w:t>
      </w:r>
      <w:r>
        <w:rPr>
          <w:color w:val="231F20"/>
          <w:spacing w:val="1"/>
          <w:w w:val="105"/>
          <w:sz w:val="16"/>
        </w:rPr>
        <w:t xml:space="preserve">him, </w:t>
      </w:r>
      <w:r>
        <w:rPr>
          <w:color w:val="231F20"/>
          <w:w w:val="105"/>
          <w:sz w:val="16"/>
        </w:rPr>
        <w:t xml:space="preserve">and repeatedly claimed that he was not a member of the </w:t>
      </w:r>
      <w:r w:rsidR="00C507A5">
        <w:rPr>
          <w:color w:val="231F20"/>
          <w:spacing w:val="1"/>
          <w:w w:val="105"/>
          <w:sz w:val="16"/>
        </w:rPr>
        <w:t>red army faction</w:t>
      </w:r>
      <w:r>
        <w:rPr>
          <w:color w:val="231F20"/>
          <w:spacing w:val="1"/>
          <w:w w:val="105"/>
          <w:sz w:val="16"/>
        </w:rPr>
        <w:t xml:space="preserve">, </w:t>
      </w:r>
      <w:r>
        <w:rPr>
          <w:color w:val="231F20"/>
          <w:w w:val="105"/>
          <w:sz w:val="16"/>
        </w:rPr>
        <w:t xml:space="preserve">he maintained solidarity with the guerilla. </w:t>
      </w:r>
      <w:r>
        <w:rPr>
          <w:color w:val="231F20"/>
          <w:spacing w:val="1"/>
          <w:w w:val="105"/>
          <w:sz w:val="16"/>
        </w:rPr>
        <w:t xml:space="preserve">In </w:t>
      </w:r>
      <w:r>
        <w:rPr>
          <w:color w:val="231F20"/>
          <w:spacing w:val="-4"/>
          <w:w w:val="105"/>
          <w:sz w:val="16"/>
        </w:rPr>
        <w:t xml:space="preserve">1974, </w:t>
      </w:r>
      <w:r>
        <w:rPr>
          <w:color w:val="231F20"/>
          <w:w w:val="105"/>
          <w:sz w:val="16"/>
        </w:rPr>
        <w:t>he was sentenced to six and a half years in prison, a term which he did not serve without some</w:t>
      </w:r>
      <w:r>
        <w:rPr>
          <w:color w:val="231F20"/>
          <w:spacing w:val="1"/>
          <w:w w:val="105"/>
          <w:sz w:val="16"/>
        </w:rPr>
        <w:t xml:space="preserve"> </w:t>
      </w:r>
      <w:r>
        <w:rPr>
          <w:color w:val="231F20"/>
          <w:w w:val="105"/>
          <w:sz w:val="16"/>
        </w:rPr>
        <w:t>interruptions.</w:t>
      </w:r>
    </w:p>
    <w:p w14:paraId="3AD26B2A" w14:textId="77777777" w:rsidR="002653E8" w:rsidRPr="00C507A5" w:rsidRDefault="003115E3">
      <w:pPr>
        <w:pStyle w:val="a4"/>
        <w:numPr>
          <w:ilvl w:val="1"/>
          <w:numId w:val="158"/>
        </w:numPr>
        <w:tabs>
          <w:tab w:val="left" w:pos="1467"/>
        </w:tabs>
        <w:spacing w:before="43" w:line="254" w:lineRule="auto"/>
        <w:ind w:right="2168" w:firstLine="0"/>
        <w:rPr>
          <w:sz w:val="16"/>
          <w:lang w:val="de-DE"/>
        </w:rPr>
      </w:pPr>
      <w:r w:rsidRPr="00C507A5">
        <w:rPr>
          <w:color w:val="231F20"/>
          <w:w w:val="105"/>
          <w:sz w:val="16"/>
          <w:lang w:val="de-DE"/>
        </w:rPr>
        <w:t xml:space="preserve">Freie Arbeiterinnenund Arbeiter-Union, “Nachruf auf Rolf Pohle,” </w:t>
      </w:r>
      <w:r w:rsidRPr="00C507A5">
        <w:rPr>
          <w:color w:val="231F20"/>
          <w:w w:val="104"/>
          <w:sz w:val="16"/>
          <w:lang w:val="de-DE"/>
        </w:rPr>
        <w:t>h</w:t>
      </w:r>
      <w:r w:rsidRPr="00C507A5">
        <w:rPr>
          <w:color w:val="231F20"/>
          <w:spacing w:val="5"/>
          <w:w w:val="102"/>
          <w:sz w:val="16"/>
          <w:lang w:val="de-DE"/>
        </w:rPr>
        <w:t>t</w:t>
      </w:r>
      <w:r w:rsidRPr="00C507A5">
        <w:rPr>
          <w:color w:val="231F20"/>
          <w:spacing w:val="3"/>
          <w:w w:val="102"/>
          <w:sz w:val="16"/>
          <w:lang w:val="de-DE"/>
        </w:rPr>
        <w:t>t</w:t>
      </w:r>
      <w:r w:rsidRPr="00C507A5">
        <w:rPr>
          <w:color w:val="231F20"/>
          <w:spacing w:val="1"/>
          <w:w w:val="103"/>
          <w:sz w:val="16"/>
          <w:lang w:val="de-DE"/>
        </w:rPr>
        <w:t>p</w:t>
      </w:r>
      <w:r w:rsidRPr="00C507A5">
        <w:rPr>
          <w:color w:val="231F20"/>
          <w:w w:val="93"/>
          <w:sz w:val="16"/>
          <w:lang w:val="de-DE"/>
        </w:rPr>
        <w:t>s</w:t>
      </w:r>
      <w:r w:rsidRPr="00C507A5">
        <w:rPr>
          <w:color w:val="231F20"/>
          <w:spacing w:val="5"/>
          <w:w w:val="109"/>
          <w:sz w:val="16"/>
          <w:lang w:val="de-DE"/>
        </w:rPr>
        <w:t>:</w:t>
      </w:r>
      <w:r w:rsidRPr="00C507A5">
        <w:rPr>
          <w:color w:val="231F20"/>
          <w:spacing w:val="-1"/>
          <w:w w:val="58"/>
          <w:sz w:val="16"/>
          <w:lang w:val="de-DE"/>
        </w:rPr>
        <w:t>/</w:t>
      </w:r>
      <w:r w:rsidRPr="00C507A5">
        <w:rPr>
          <w:color w:val="231F20"/>
          <w:spacing w:val="2"/>
          <w:w w:val="58"/>
          <w:sz w:val="16"/>
          <w:lang w:val="de-DE"/>
        </w:rPr>
        <w:t>/</w:t>
      </w:r>
      <w:hyperlink r:id="rId105">
        <w:r w:rsidRPr="00C507A5">
          <w:rPr>
            <w:color w:val="231F20"/>
            <w:spacing w:val="6"/>
            <w:w w:val="104"/>
            <w:sz w:val="16"/>
            <w:lang w:val="de-DE"/>
          </w:rPr>
          <w:t>ww</w:t>
        </w:r>
        <w:r w:rsidRPr="00C507A5">
          <w:rPr>
            <w:color w:val="231F20"/>
            <w:spacing w:val="-9"/>
            <w:w w:val="104"/>
            <w:sz w:val="16"/>
            <w:lang w:val="de-DE"/>
          </w:rPr>
          <w:t>w</w:t>
        </w:r>
        <w:r w:rsidRPr="00C507A5">
          <w:rPr>
            <w:color w:val="231F20"/>
            <w:w w:val="140"/>
            <w:sz w:val="16"/>
            <w:lang w:val="de-DE"/>
          </w:rPr>
          <w:t>.</w:t>
        </w:r>
        <w:r w:rsidRPr="00C507A5">
          <w:rPr>
            <w:color w:val="231F20"/>
            <w:w w:val="114"/>
            <w:sz w:val="16"/>
            <w:lang w:val="de-DE"/>
          </w:rPr>
          <w:t>f</w:t>
        </w:r>
        <w:r w:rsidRPr="00C507A5">
          <w:rPr>
            <w:color w:val="231F20"/>
            <w:spacing w:val="-2"/>
            <w:w w:val="106"/>
            <w:sz w:val="16"/>
            <w:lang w:val="de-DE"/>
          </w:rPr>
          <w:t>a</w:t>
        </w:r>
        <w:r w:rsidRPr="00C507A5">
          <w:rPr>
            <w:color w:val="231F20"/>
            <w:spacing w:val="1"/>
            <w:w w:val="104"/>
            <w:sz w:val="16"/>
            <w:lang w:val="de-DE"/>
          </w:rPr>
          <w:t>u</w:t>
        </w:r>
        <w:r w:rsidRPr="00C507A5">
          <w:rPr>
            <w:color w:val="231F20"/>
            <w:w w:val="140"/>
            <w:sz w:val="16"/>
            <w:lang w:val="de-DE"/>
          </w:rPr>
          <w:t>.</w:t>
        </w:r>
        <w:r w:rsidRPr="00C507A5">
          <w:rPr>
            <w:color w:val="231F20"/>
            <w:w w:val="108"/>
            <w:sz w:val="16"/>
            <w:lang w:val="de-DE"/>
          </w:rPr>
          <w:t>o</w:t>
        </w:r>
        <w:r w:rsidRPr="00C507A5">
          <w:rPr>
            <w:color w:val="231F20"/>
            <w:spacing w:val="1"/>
            <w:w w:val="97"/>
            <w:sz w:val="16"/>
            <w:lang w:val="de-DE"/>
          </w:rPr>
          <w:t>r</w:t>
        </w:r>
        <w:r w:rsidRPr="00C507A5">
          <w:rPr>
            <w:color w:val="231F20"/>
            <w:spacing w:val="8"/>
            <w:w w:val="104"/>
            <w:sz w:val="16"/>
            <w:lang w:val="de-DE"/>
          </w:rPr>
          <w:t>g</w:t>
        </w:r>
        <w:r w:rsidRPr="00C507A5">
          <w:rPr>
            <w:color w:val="231F20"/>
            <w:spacing w:val="-3"/>
            <w:w w:val="82"/>
            <w:sz w:val="16"/>
            <w:lang w:val="de-DE"/>
          </w:rPr>
          <w:t>/</w:t>
        </w:r>
        <w:r w:rsidRPr="00C507A5">
          <w:rPr>
            <w:color w:val="231F20"/>
            <w:spacing w:val="3"/>
            <w:w w:val="82"/>
            <w:sz w:val="16"/>
            <w:lang w:val="de-DE"/>
          </w:rPr>
          <w:t>a</w:t>
        </w:r>
        <w:r w:rsidRPr="00C507A5">
          <w:rPr>
            <w:color w:val="231F20"/>
            <w:spacing w:val="5"/>
            <w:w w:val="97"/>
            <w:sz w:val="16"/>
            <w:lang w:val="de-DE"/>
          </w:rPr>
          <w:t>r</w:t>
        </w:r>
        <w:r w:rsidRPr="00C507A5">
          <w:rPr>
            <w:color w:val="231F20"/>
            <w:spacing w:val="2"/>
            <w:w w:val="102"/>
            <w:sz w:val="16"/>
            <w:lang w:val="de-DE"/>
          </w:rPr>
          <w:t>t</w:t>
        </w:r>
        <w:r w:rsidRPr="00C507A5">
          <w:rPr>
            <w:color w:val="231F20"/>
            <w:spacing w:val="3"/>
            <w:w w:val="103"/>
            <w:sz w:val="16"/>
            <w:lang w:val="de-DE"/>
          </w:rPr>
          <w:t>i</w:t>
        </w:r>
        <w:r w:rsidRPr="00C507A5">
          <w:rPr>
            <w:color w:val="231F20"/>
            <w:spacing w:val="-1"/>
            <w:w w:val="109"/>
            <w:sz w:val="16"/>
            <w:lang w:val="de-DE"/>
          </w:rPr>
          <w:t>k</w:t>
        </w:r>
        <w:r w:rsidRPr="00C507A5">
          <w:rPr>
            <w:color w:val="231F20"/>
            <w:w w:val="94"/>
            <w:sz w:val="16"/>
            <w:lang w:val="de-DE"/>
          </w:rPr>
          <w:t>e</w:t>
        </w:r>
        <w:r w:rsidRPr="00C507A5">
          <w:rPr>
            <w:color w:val="231F20"/>
            <w:spacing w:val="7"/>
            <w:w w:val="106"/>
            <w:sz w:val="16"/>
            <w:lang w:val="de-DE"/>
          </w:rPr>
          <w:t>l</w:t>
        </w:r>
        <w:r w:rsidRPr="00C507A5">
          <w:rPr>
            <w:color w:val="231F20"/>
            <w:spacing w:val="-3"/>
            <w:w w:val="82"/>
            <w:sz w:val="16"/>
            <w:lang w:val="de-DE"/>
          </w:rPr>
          <w:t>/</w:t>
        </w:r>
        <w:r w:rsidRPr="00C507A5">
          <w:rPr>
            <w:color w:val="231F20"/>
            <w:spacing w:val="3"/>
            <w:w w:val="82"/>
            <w:sz w:val="16"/>
            <w:lang w:val="de-DE"/>
          </w:rPr>
          <w:t>a</w:t>
        </w:r>
        <w:r w:rsidRPr="00C507A5">
          <w:rPr>
            <w:color w:val="231F20"/>
            <w:spacing w:val="5"/>
            <w:w w:val="97"/>
            <w:sz w:val="16"/>
            <w:lang w:val="de-DE"/>
          </w:rPr>
          <w:t>r</w:t>
        </w:r>
        <w:r w:rsidRPr="00C507A5">
          <w:rPr>
            <w:color w:val="231F20"/>
            <w:spacing w:val="5"/>
            <w:w w:val="102"/>
            <w:sz w:val="16"/>
            <w:lang w:val="de-DE"/>
          </w:rPr>
          <w:t>t</w:t>
        </w:r>
        <w:r w:rsidRPr="00C507A5">
          <w:rPr>
            <w:color w:val="231F20"/>
            <w:spacing w:val="3"/>
            <w:w w:val="139"/>
            <w:sz w:val="16"/>
            <w:lang w:val="de-DE"/>
          </w:rPr>
          <w:t>_</w:t>
        </w:r>
        <w:r w:rsidRPr="00C507A5">
          <w:rPr>
            <w:color w:val="231F20"/>
            <w:w w:val="104"/>
            <w:sz w:val="16"/>
            <w:lang w:val="de-DE"/>
          </w:rPr>
          <w:t>04</w:t>
        </w:r>
        <w:r w:rsidRPr="00C507A5">
          <w:rPr>
            <w:color w:val="231F20"/>
            <w:spacing w:val="-1"/>
            <w:w w:val="104"/>
            <w:sz w:val="16"/>
            <w:lang w:val="de-DE"/>
          </w:rPr>
          <w:t>0</w:t>
        </w:r>
        <w:r w:rsidRPr="00C507A5">
          <w:rPr>
            <w:color w:val="231F20"/>
            <w:spacing w:val="-4"/>
            <w:w w:val="104"/>
            <w:sz w:val="16"/>
            <w:lang w:val="de-DE"/>
          </w:rPr>
          <w:t>3</w:t>
        </w:r>
        <w:r w:rsidRPr="00C507A5">
          <w:rPr>
            <w:color w:val="231F20"/>
            <w:w w:val="104"/>
            <w:sz w:val="16"/>
            <w:lang w:val="de-DE"/>
          </w:rPr>
          <w:t>08</w:t>
        </w:r>
        <w:r w:rsidRPr="00C507A5">
          <w:rPr>
            <w:color w:val="231F20"/>
            <w:spacing w:val="-8"/>
            <w:w w:val="104"/>
            <w:sz w:val="16"/>
            <w:lang w:val="de-DE"/>
          </w:rPr>
          <w:t>-</w:t>
        </w:r>
        <w:r w:rsidRPr="00C507A5">
          <w:rPr>
            <w:color w:val="231F20"/>
            <w:spacing w:val="-6"/>
            <w:w w:val="104"/>
            <w:sz w:val="16"/>
            <w:lang w:val="de-DE"/>
          </w:rPr>
          <w:t>18</w:t>
        </w:r>
        <w:r w:rsidRPr="00C507A5">
          <w:rPr>
            <w:color w:val="231F20"/>
            <w:spacing w:val="-9"/>
            <w:w w:val="104"/>
            <w:sz w:val="16"/>
            <w:lang w:val="de-DE"/>
          </w:rPr>
          <w:t>2</w:t>
        </w:r>
        <w:r w:rsidRPr="00C507A5">
          <w:rPr>
            <w:color w:val="231F20"/>
            <w:spacing w:val="-2"/>
            <w:w w:val="104"/>
            <w:sz w:val="16"/>
            <w:lang w:val="de-DE"/>
          </w:rPr>
          <w:t>54</w:t>
        </w:r>
        <w:r w:rsidRPr="00C507A5">
          <w:rPr>
            <w:color w:val="231F20"/>
            <w:spacing w:val="-1"/>
            <w:w w:val="104"/>
            <w:sz w:val="16"/>
            <w:lang w:val="de-DE"/>
          </w:rPr>
          <w:t>6</w:t>
        </w:r>
        <w:r w:rsidRPr="00C507A5">
          <w:rPr>
            <w:color w:val="231F20"/>
            <w:w w:val="140"/>
            <w:sz w:val="16"/>
            <w:lang w:val="de-DE"/>
          </w:rPr>
          <w:t>.</w:t>
        </w:r>
      </w:hyperlink>
    </w:p>
    <w:p w14:paraId="3565F257" w14:textId="77777777" w:rsidR="002653E8" w:rsidRPr="00C507A5" w:rsidRDefault="002653E8">
      <w:pPr>
        <w:spacing w:line="254" w:lineRule="auto"/>
        <w:rPr>
          <w:sz w:val="16"/>
          <w:lang w:val="de-DE"/>
        </w:rPr>
        <w:sectPr w:rsidR="002653E8" w:rsidRPr="00C507A5">
          <w:type w:val="continuous"/>
          <w:pgSz w:w="8640" w:h="12960"/>
          <w:pgMar w:top="0" w:right="0" w:bottom="0" w:left="0" w:header="720" w:footer="720" w:gutter="0"/>
          <w:cols w:space="720"/>
        </w:sectPr>
      </w:pPr>
    </w:p>
    <w:p w14:paraId="230EC368" w14:textId="77777777" w:rsidR="002653E8" w:rsidRDefault="003115E3">
      <w:pPr>
        <w:pStyle w:val="a3"/>
        <w:spacing w:before="86" w:line="264" w:lineRule="auto"/>
        <w:ind w:left="1147" w:right="1326" w:firstLine="210"/>
        <w:jc w:val="both"/>
        <w:rPr>
          <w:sz w:val="11"/>
        </w:rPr>
      </w:pPr>
      <w:r>
        <w:rPr>
          <w:color w:val="231F20"/>
        </w:rPr>
        <w:lastRenderedPageBreak/>
        <w:t xml:space="preserve">On December 22, exactly two months after officer Schmid’s demise, another cop was killed. Several </w:t>
      </w:r>
      <w:r w:rsidR="00C507A5">
        <w:rPr>
          <w:color w:val="231F20"/>
          <w:spacing w:val="5"/>
        </w:rPr>
        <w:t>red army faction</w:t>
      </w:r>
      <w:r>
        <w:rPr>
          <w:color w:val="231F20"/>
          <w:spacing w:val="5"/>
        </w:rPr>
        <w:t xml:space="preserve"> </w:t>
      </w:r>
      <w:r>
        <w:rPr>
          <w:color w:val="231F20"/>
        </w:rPr>
        <w:t xml:space="preserve">members were robbing a bank in the small military city of Kaiserslautern—the nearest police station had literally been blocked from interfering, guerilla helpers barricading its entrance with cars. By plain bad luck for all concerned, police officer Herbert Schoner spotted the parked getaway van as he passed by the bank, just as it was being relieved of its funds. When Schoner knocked on the </w:t>
      </w:r>
      <w:r>
        <w:rPr>
          <w:color w:val="231F20"/>
          <w:spacing w:val="-4"/>
        </w:rPr>
        <w:t xml:space="preserve">van’s </w:t>
      </w:r>
      <w:r>
        <w:rPr>
          <w:color w:val="231F20"/>
        </w:rPr>
        <w:t xml:space="preserve">window, he was shot </w:t>
      </w:r>
      <w:r>
        <w:rPr>
          <w:color w:val="231F20"/>
          <w:spacing w:val="1"/>
        </w:rPr>
        <w:t xml:space="preserve">twice—he </w:t>
      </w:r>
      <w:r>
        <w:rPr>
          <w:color w:val="231F20"/>
        </w:rPr>
        <w:t>managed to draw his gun before</w:t>
      </w:r>
      <w:r>
        <w:rPr>
          <w:color w:val="231F20"/>
          <w:spacing w:val="10"/>
        </w:rPr>
        <w:t xml:space="preserve"> </w:t>
      </w:r>
      <w:r>
        <w:rPr>
          <w:color w:val="231F20"/>
        </w:rPr>
        <w:t>he</w:t>
      </w:r>
      <w:r>
        <w:rPr>
          <w:color w:val="231F20"/>
          <w:spacing w:val="10"/>
        </w:rPr>
        <w:t xml:space="preserve"> </w:t>
      </w:r>
      <w:r>
        <w:rPr>
          <w:color w:val="231F20"/>
        </w:rPr>
        <w:t>was</w:t>
      </w:r>
      <w:r>
        <w:rPr>
          <w:color w:val="231F20"/>
          <w:spacing w:val="10"/>
        </w:rPr>
        <w:t xml:space="preserve"> </w:t>
      </w:r>
      <w:r>
        <w:rPr>
          <w:color w:val="231F20"/>
        </w:rPr>
        <w:t>finished</w:t>
      </w:r>
      <w:r>
        <w:rPr>
          <w:color w:val="231F20"/>
          <w:spacing w:val="10"/>
        </w:rPr>
        <w:t xml:space="preserve"> </w:t>
      </w:r>
      <w:r>
        <w:rPr>
          <w:color w:val="231F20"/>
        </w:rPr>
        <w:t>off</w:t>
      </w:r>
      <w:r>
        <w:rPr>
          <w:color w:val="231F20"/>
          <w:spacing w:val="10"/>
        </w:rPr>
        <w:t xml:space="preserve"> </w:t>
      </w:r>
      <w:r>
        <w:rPr>
          <w:color w:val="231F20"/>
        </w:rPr>
        <w:t>by</w:t>
      </w:r>
      <w:r>
        <w:rPr>
          <w:color w:val="231F20"/>
          <w:spacing w:val="10"/>
        </w:rPr>
        <w:t xml:space="preserve"> </w:t>
      </w:r>
      <w:r>
        <w:rPr>
          <w:color w:val="231F20"/>
        </w:rPr>
        <w:t>a</w:t>
      </w:r>
      <w:r>
        <w:rPr>
          <w:color w:val="231F20"/>
          <w:spacing w:val="10"/>
        </w:rPr>
        <w:t xml:space="preserve"> </w:t>
      </w:r>
      <w:r>
        <w:rPr>
          <w:color w:val="231F20"/>
        </w:rPr>
        <w:t>third</w:t>
      </w:r>
      <w:r>
        <w:rPr>
          <w:color w:val="231F20"/>
          <w:spacing w:val="10"/>
        </w:rPr>
        <w:t xml:space="preserve"> </w:t>
      </w:r>
      <w:r>
        <w:rPr>
          <w:color w:val="231F20"/>
        </w:rPr>
        <w:t>bullet.</w:t>
      </w:r>
      <w:r>
        <w:rPr>
          <w:color w:val="231F20"/>
          <w:position w:val="7"/>
          <w:sz w:val="11"/>
        </w:rPr>
        <w:t>1</w:t>
      </w:r>
    </w:p>
    <w:p w14:paraId="086B316B" w14:textId="77777777" w:rsidR="002653E8" w:rsidRDefault="003115E3">
      <w:pPr>
        <w:pStyle w:val="a3"/>
        <w:spacing w:line="264" w:lineRule="auto"/>
        <w:ind w:left="1148" w:right="1325" w:firstLine="209"/>
        <w:jc w:val="both"/>
      </w:pPr>
      <w:r>
        <w:rPr>
          <w:color w:val="231F20"/>
          <w:spacing w:val="1"/>
          <w:w w:val="105"/>
        </w:rPr>
        <w:t xml:space="preserve">In </w:t>
      </w:r>
      <w:r>
        <w:rPr>
          <w:color w:val="231F20"/>
          <w:w w:val="105"/>
        </w:rPr>
        <w:t>the immediate aftermath of December 22, there was no publicly available</w:t>
      </w:r>
      <w:r>
        <w:rPr>
          <w:color w:val="231F20"/>
          <w:spacing w:val="-18"/>
          <w:w w:val="105"/>
        </w:rPr>
        <w:t xml:space="preserve"> </w:t>
      </w:r>
      <w:r>
        <w:rPr>
          <w:color w:val="231F20"/>
          <w:w w:val="105"/>
        </w:rPr>
        <w:t>evidence</w:t>
      </w:r>
      <w:r>
        <w:rPr>
          <w:color w:val="231F20"/>
          <w:spacing w:val="-18"/>
          <w:w w:val="105"/>
        </w:rPr>
        <w:t xml:space="preserve"> </w:t>
      </w:r>
      <w:r>
        <w:rPr>
          <w:color w:val="231F20"/>
          <w:w w:val="105"/>
        </w:rPr>
        <w:t>to</w:t>
      </w:r>
      <w:r>
        <w:rPr>
          <w:color w:val="231F20"/>
          <w:spacing w:val="-18"/>
          <w:w w:val="105"/>
        </w:rPr>
        <w:t xml:space="preserve"> </w:t>
      </w:r>
      <w:r>
        <w:rPr>
          <w:color w:val="231F20"/>
          <w:w w:val="105"/>
        </w:rPr>
        <w:t>tie</w:t>
      </w:r>
      <w:r>
        <w:rPr>
          <w:color w:val="231F20"/>
          <w:spacing w:val="-18"/>
          <w:w w:val="105"/>
        </w:rPr>
        <w:t xml:space="preserve"> </w:t>
      </w:r>
      <w:r>
        <w:rPr>
          <w:color w:val="231F20"/>
          <w:w w:val="105"/>
        </w:rPr>
        <w:t>the</w:t>
      </w:r>
      <w:r>
        <w:rPr>
          <w:color w:val="231F20"/>
          <w:spacing w:val="-18"/>
          <w:w w:val="105"/>
        </w:rPr>
        <w:t xml:space="preserve"> </w:t>
      </w:r>
      <w:r>
        <w:rPr>
          <w:color w:val="231F20"/>
          <w:w w:val="105"/>
        </w:rPr>
        <w:t>robbery</w:t>
      </w:r>
      <w:r>
        <w:rPr>
          <w:color w:val="231F20"/>
          <w:spacing w:val="-18"/>
          <w:w w:val="105"/>
        </w:rPr>
        <w:t xml:space="preserve"> </w:t>
      </w:r>
      <w:r>
        <w:rPr>
          <w:color w:val="231F20"/>
          <w:w w:val="105"/>
        </w:rPr>
        <w:t>or</w:t>
      </w:r>
      <w:r>
        <w:rPr>
          <w:color w:val="231F20"/>
          <w:spacing w:val="-18"/>
          <w:w w:val="105"/>
        </w:rPr>
        <w:t xml:space="preserve"> </w:t>
      </w:r>
      <w:r>
        <w:rPr>
          <w:color w:val="231F20"/>
          <w:w w:val="105"/>
        </w:rPr>
        <w:t>Schoner’s</w:t>
      </w:r>
      <w:r>
        <w:rPr>
          <w:color w:val="231F20"/>
          <w:spacing w:val="-18"/>
          <w:w w:val="105"/>
        </w:rPr>
        <w:t xml:space="preserve"> </w:t>
      </w:r>
      <w:r>
        <w:rPr>
          <w:color w:val="231F20"/>
          <w:w w:val="105"/>
        </w:rPr>
        <w:t>death</w:t>
      </w:r>
      <w:r>
        <w:rPr>
          <w:color w:val="231F20"/>
          <w:spacing w:val="-18"/>
          <w:w w:val="105"/>
        </w:rPr>
        <w:t xml:space="preserve"> </w:t>
      </w:r>
      <w:r>
        <w:rPr>
          <w:color w:val="231F20"/>
          <w:w w:val="105"/>
        </w:rPr>
        <w:t>to</w:t>
      </w:r>
      <w:r>
        <w:rPr>
          <w:color w:val="231F20"/>
          <w:spacing w:val="-18"/>
          <w:w w:val="105"/>
        </w:rPr>
        <w:t xml:space="preserve"> </w:t>
      </w:r>
      <w:r>
        <w:rPr>
          <w:color w:val="231F20"/>
          <w:w w:val="105"/>
        </w:rPr>
        <w:t>any</w:t>
      </w:r>
      <w:r>
        <w:rPr>
          <w:color w:val="231F20"/>
          <w:spacing w:val="-18"/>
          <w:w w:val="105"/>
        </w:rPr>
        <w:t xml:space="preserve"> </w:t>
      </w:r>
      <w:r>
        <w:rPr>
          <w:color w:val="231F20"/>
          <w:w w:val="105"/>
        </w:rPr>
        <w:t xml:space="preserve">political organization. </w:t>
      </w:r>
      <w:r>
        <w:rPr>
          <w:color w:val="231F20"/>
          <w:spacing w:val="-8"/>
          <w:w w:val="105"/>
        </w:rPr>
        <w:t xml:space="preserve">To </w:t>
      </w:r>
      <w:r>
        <w:rPr>
          <w:color w:val="231F20"/>
          <w:w w:val="105"/>
        </w:rPr>
        <w:t xml:space="preserve">all appearances, this was simply a “normal” crime. Nevertheless, the very next morning, the </w:t>
      </w:r>
      <w:r>
        <w:rPr>
          <w:i/>
          <w:color w:val="231F20"/>
          <w:w w:val="105"/>
        </w:rPr>
        <w:t xml:space="preserve">Bild Zeitung </w:t>
      </w:r>
      <w:r>
        <w:rPr>
          <w:color w:val="231F20"/>
          <w:w w:val="105"/>
        </w:rPr>
        <w:t xml:space="preserve">led the charge: “Baader-Meinhof Gang Strikes Again. Bank Raid: Policeman </w:t>
      </w:r>
      <w:r>
        <w:rPr>
          <w:color w:val="231F20"/>
          <w:spacing w:val="-3"/>
          <w:w w:val="105"/>
        </w:rPr>
        <w:t xml:space="preserve">Shot,” </w:t>
      </w:r>
      <w:r>
        <w:rPr>
          <w:color w:val="231F20"/>
          <w:w w:val="105"/>
        </w:rPr>
        <w:t>screamed the</w:t>
      </w:r>
      <w:r>
        <w:rPr>
          <w:color w:val="231F20"/>
          <w:spacing w:val="13"/>
          <w:w w:val="105"/>
        </w:rPr>
        <w:t xml:space="preserve"> </w:t>
      </w:r>
      <w:r>
        <w:rPr>
          <w:color w:val="231F20"/>
          <w:w w:val="105"/>
        </w:rPr>
        <w:t>headline.</w:t>
      </w:r>
    </w:p>
    <w:p w14:paraId="13539809" w14:textId="77777777" w:rsidR="002653E8" w:rsidRDefault="003115E3">
      <w:pPr>
        <w:pStyle w:val="a3"/>
        <w:spacing w:line="264" w:lineRule="auto"/>
        <w:ind w:left="1148" w:right="1326" w:firstLine="210"/>
        <w:jc w:val="both"/>
      </w:pPr>
      <w:r>
        <w:rPr>
          <w:color w:val="231F20"/>
        </w:rPr>
        <w:t>The Springer Press was merely doing what was by now a tradition, tarring the radical left with any and all crimes and misdemeanors. (Except, of course, that in this case they were right.)</w:t>
      </w:r>
    </w:p>
    <w:p w14:paraId="08FC53A9" w14:textId="77777777" w:rsidR="002653E8" w:rsidRDefault="003115E3">
      <w:pPr>
        <w:pStyle w:val="a3"/>
        <w:spacing w:line="264" w:lineRule="auto"/>
        <w:ind w:left="1147" w:right="1326" w:firstLine="210"/>
        <w:jc w:val="both"/>
      </w:pPr>
      <w:r>
        <w:rPr>
          <w:color w:val="231F20"/>
        </w:rPr>
        <w:t xml:space="preserve">The progressive </w:t>
      </w:r>
      <w:r>
        <w:rPr>
          <w:i/>
          <w:color w:val="231F20"/>
        </w:rPr>
        <w:t xml:space="preserve">Gruppe 47 </w:t>
      </w:r>
      <w:r>
        <w:rPr>
          <w:color w:val="231F20"/>
        </w:rPr>
        <w:t xml:space="preserve">intellectual Heinrich Böll, perhaps the most important author in postwar Germany, was flabbergasted, and publicly accused the </w:t>
      </w:r>
      <w:r>
        <w:rPr>
          <w:color w:val="231F20"/>
          <w:spacing w:val="1"/>
        </w:rPr>
        <w:t>anti-</w:t>
      </w:r>
      <w:r w:rsidR="00C507A5">
        <w:rPr>
          <w:color w:val="231F20"/>
          <w:spacing w:val="1"/>
        </w:rPr>
        <w:t>red army faction</w:t>
      </w:r>
      <w:r>
        <w:rPr>
          <w:color w:val="231F20"/>
          <w:spacing w:val="1"/>
        </w:rPr>
        <w:t xml:space="preserve"> </w:t>
      </w:r>
      <w:r>
        <w:rPr>
          <w:color w:val="231F20"/>
        </w:rPr>
        <w:t xml:space="preserve">smear campaign of bearing all the hallmarks of fascism. While condemning their violence, he tried to put the </w:t>
      </w:r>
      <w:r w:rsidR="00C507A5">
        <w:rPr>
          <w:color w:val="231F20"/>
          <w:spacing w:val="5"/>
        </w:rPr>
        <w:t>red army faction</w:t>
      </w:r>
      <w:r>
        <w:rPr>
          <w:color w:val="231F20"/>
          <w:spacing w:val="5"/>
        </w:rPr>
        <w:t xml:space="preserve"> </w:t>
      </w:r>
      <w:r>
        <w:rPr>
          <w:color w:val="231F20"/>
        </w:rPr>
        <w:t xml:space="preserve">into perspective, famously describing their struggle as a “war of  six against </w:t>
      </w:r>
      <w:r>
        <w:rPr>
          <w:color w:val="231F20"/>
          <w:spacing w:val="1"/>
        </w:rPr>
        <w:t>sixty</w:t>
      </w:r>
      <w:r>
        <w:rPr>
          <w:color w:val="231F20"/>
          <w:spacing w:val="35"/>
        </w:rPr>
        <w:t xml:space="preserve"> </w:t>
      </w:r>
      <w:r>
        <w:rPr>
          <w:color w:val="231F20"/>
        </w:rPr>
        <w:t>million.”</w:t>
      </w:r>
    </w:p>
    <w:p w14:paraId="53222B52" w14:textId="77777777" w:rsidR="002653E8" w:rsidRDefault="003115E3">
      <w:pPr>
        <w:pStyle w:val="a3"/>
        <w:spacing w:line="264" w:lineRule="auto"/>
        <w:ind w:left="1147" w:right="1325" w:firstLine="210"/>
        <w:jc w:val="both"/>
      </w:pPr>
      <w:r>
        <w:rPr>
          <w:color w:val="231F20"/>
        </w:rPr>
        <w:t xml:space="preserve">Böll’s words may have been appreciated by the </w:t>
      </w:r>
      <w:r w:rsidR="00C507A5">
        <w:rPr>
          <w:color w:val="231F20"/>
        </w:rPr>
        <w:t>red army faction</w:t>
      </w:r>
      <w:r>
        <w:rPr>
          <w:color w:val="231F20"/>
        </w:rPr>
        <w:t xml:space="preserve">, but he was certainly no supporter. Of course, this was not the </w:t>
      </w:r>
      <w:r>
        <w:rPr>
          <w:color w:val="231F20"/>
          <w:spacing w:val="-2"/>
        </w:rPr>
        <w:t xml:space="preserve">way </w:t>
      </w:r>
      <w:r>
        <w:rPr>
          <w:color w:val="231F20"/>
        </w:rPr>
        <w:t>the right saw things, and he became the target of a hate campaign, branded an apologist for murder and a terrorist sympathizer,</w:t>
      </w:r>
      <w:r>
        <w:rPr>
          <w:color w:val="231F20"/>
          <w:position w:val="7"/>
          <w:sz w:val="11"/>
        </w:rPr>
        <w:t xml:space="preserve">2 </w:t>
      </w:r>
      <w:r>
        <w:rPr>
          <w:color w:val="231F20"/>
        </w:rPr>
        <w:t>to which he replied that those accused of sympathizing were simply “people who have committed the criminal sin of making distinctions.”</w:t>
      </w:r>
      <w:r>
        <w:rPr>
          <w:color w:val="231F20"/>
          <w:position w:val="7"/>
          <w:sz w:val="11"/>
        </w:rPr>
        <w:t xml:space="preserve">3  </w:t>
      </w:r>
      <w:r>
        <w:rPr>
          <w:color w:val="231F20"/>
        </w:rPr>
        <w:t xml:space="preserve">He and his fam   ily would experience unusual levels of police harassment for years to come. At one point, for instance, as he was entertaining guests from    out of town, police with submachine guns raided his home, claiming they suspected Ulrike Meinhof of being on the premises. </w:t>
      </w:r>
      <w:r>
        <w:rPr>
          <w:color w:val="231F20"/>
          <w:spacing w:val="-5"/>
        </w:rPr>
        <w:t xml:space="preserve">(To  </w:t>
      </w:r>
      <w:r>
        <w:rPr>
          <w:color w:val="231F20"/>
        </w:rPr>
        <w:t>the cop     in charge, Böll declared that if Meinhof ever did show up he</w:t>
      </w:r>
      <w:r>
        <w:rPr>
          <w:color w:val="231F20"/>
          <w:spacing w:val="21"/>
        </w:rPr>
        <w:t xml:space="preserve"> </w:t>
      </w:r>
      <w:r>
        <w:rPr>
          <w:color w:val="231F20"/>
        </w:rPr>
        <w:t>would</w:t>
      </w:r>
    </w:p>
    <w:p w14:paraId="60E4DA14" w14:textId="77777777" w:rsidR="002653E8" w:rsidRDefault="002653E8">
      <w:pPr>
        <w:pStyle w:val="a3"/>
      </w:pPr>
    </w:p>
    <w:p w14:paraId="468F23AE" w14:textId="77777777" w:rsidR="002653E8" w:rsidRDefault="00000000">
      <w:pPr>
        <w:pStyle w:val="a3"/>
        <w:spacing w:before="3"/>
        <w:rPr>
          <w:sz w:val="17"/>
        </w:rPr>
      </w:pPr>
      <w:r>
        <w:rPr>
          <w:noProof w:val="0"/>
        </w:rPr>
        <w:pict w14:anchorId="5D735402">
          <v:line id="_x0000_s2587" style="position:absolute;z-index:3832;mso-wrap-distance-left:0;mso-wrap-distance-right:0;mso-position-horizontal-relative:page" from="57.4pt,12.35pt" to="129.4pt,12.35pt" strokecolor="#231f20" strokeweight=".5pt">
            <w10:wrap type="topAndBottom" anchorx="page"/>
          </v:line>
        </w:pict>
      </w:r>
    </w:p>
    <w:p w14:paraId="7C58B20F" w14:textId="77777777" w:rsidR="002653E8" w:rsidRDefault="003115E3">
      <w:pPr>
        <w:spacing w:before="53"/>
        <w:ind w:left="1147"/>
        <w:rPr>
          <w:sz w:val="16"/>
        </w:rPr>
      </w:pPr>
      <w:r>
        <w:rPr>
          <w:color w:val="231F20"/>
          <w:w w:val="110"/>
          <w:sz w:val="16"/>
        </w:rPr>
        <w:t>1 Aust, 190.</w:t>
      </w:r>
    </w:p>
    <w:p w14:paraId="71B3E035" w14:textId="77777777" w:rsidR="002653E8" w:rsidRDefault="003115E3">
      <w:pPr>
        <w:spacing w:before="51"/>
        <w:ind w:left="1147"/>
        <w:rPr>
          <w:sz w:val="16"/>
        </w:rPr>
      </w:pPr>
      <w:r>
        <w:rPr>
          <w:color w:val="231F20"/>
          <w:w w:val="110"/>
          <w:sz w:val="16"/>
        </w:rPr>
        <w:t>2 Ibid., 190-191.</w:t>
      </w:r>
    </w:p>
    <w:p w14:paraId="1CAD4DB6" w14:textId="77777777" w:rsidR="002653E8" w:rsidRDefault="003115E3">
      <w:pPr>
        <w:spacing w:before="52"/>
        <w:ind w:left="1147"/>
        <w:rPr>
          <w:sz w:val="16"/>
        </w:rPr>
      </w:pPr>
      <w:r>
        <w:rPr>
          <w:color w:val="231F20"/>
          <w:w w:val="110"/>
          <w:sz w:val="16"/>
        </w:rPr>
        <w:t>3 Cobler, 41.</w:t>
      </w:r>
    </w:p>
    <w:p w14:paraId="3F8B0DB8" w14:textId="77777777" w:rsidR="002653E8" w:rsidRDefault="002653E8">
      <w:pPr>
        <w:rPr>
          <w:sz w:val="16"/>
        </w:rPr>
        <w:sectPr w:rsidR="002653E8">
          <w:pgSz w:w="8640" w:h="12960"/>
          <w:pgMar w:top="1060" w:right="0" w:bottom="1040" w:left="0" w:header="0" w:footer="850" w:gutter="0"/>
          <w:cols w:space="720"/>
        </w:sectPr>
      </w:pPr>
    </w:p>
    <w:p w14:paraId="549A1413" w14:textId="77777777" w:rsidR="002653E8" w:rsidRDefault="003115E3">
      <w:pPr>
        <w:pStyle w:val="a3"/>
        <w:spacing w:before="86" w:line="264" w:lineRule="auto"/>
        <w:ind w:left="1327" w:right="1145"/>
        <w:rPr>
          <w:sz w:val="11"/>
        </w:rPr>
      </w:pPr>
      <w:r>
        <w:rPr>
          <w:color w:val="231F20"/>
        </w:rPr>
        <w:lastRenderedPageBreak/>
        <w:t>shelter her, but only on condition that she not bring any guns into his house. In his words, it would be the Christian thing to do.)</w:t>
      </w:r>
      <w:r>
        <w:rPr>
          <w:color w:val="231F20"/>
          <w:position w:val="7"/>
          <w:sz w:val="11"/>
        </w:rPr>
        <w:t>4</w:t>
      </w:r>
    </w:p>
    <w:p w14:paraId="3600FAA3" w14:textId="77777777" w:rsidR="002653E8" w:rsidRDefault="003115E3">
      <w:pPr>
        <w:pStyle w:val="a3"/>
        <w:spacing w:line="264" w:lineRule="auto"/>
        <w:ind w:left="1327" w:right="1146" w:firstLine="210"/>
        <w:jc w:val="both"/>
      </w:pPr>
      <w:r>
        <w:rPr>
          <w:color w:val="231F20"/>
        </w:rPr>
        <w:t xml:space="preserve">It wasn’t only the streets that were being policed, but also the cultural and political parameters of debate, and the </w:t>
      </w:r>
      <w:r w:rsidR="00C507A5">
        <w:rPr>
          <w:color w:val="231F20"/>
        </w:rPr>
        <w:t>red army faction</w:t>
      </w:r>
      <w:r>
        <w:rPr>
          <w:color w:val="231F20"/>
        </w:rPr>
        <w:t xml:space="preserve"> was being placed clearly beyond the pale.</w:t>
      </w:r>
    </w:p>
    <w:p w14:paraId="5E9C21F8" w14:textId="77777777" w:rsidR="002653E8" w:rsidRDefault="003115E3">
      <w:pPr>
        <w:pStyle w:val="a3"/>
        <w:spacing w:line="264" w:lineRule="auto"/>
        <w:ind w:left="1327" w:right="1145" w:firstLine="210"/>
        <w:jc w:val="both"/>
      </w:pPr>
      <w:r>
        <w:rPr>
          <w:color w:val="231F20"/>
        </w:rPr>
        <w:t xml:space="preserve">A second, and at least initially less successful move to solidify public opinion against the </w:t>
      </w:r>
      <w:r w:rsidR="00C507A5">
        <w:rPr>
          <w:color w:val="231F20"/>
          <w:spacing w:val="5"/>
        </w:rPr>
        <w:t>red army faction</w:t>
      </w:r>
      <w:r>
        <w:rPr>
          <w:color w:val="231F20"/>
          <w:spacing w:val="5"/>
        </w:rPr>
        <w:t xml:space="preserve"> </w:t>
      </w:r>
      <w:r>
        <w:rPr>
          <w:color w:val="231F20"/>
        </w:rPr>
        <w:t>was the trial of Karl-Heinz Ruhland, which came</w:t>
      </w:r>
      <w:r>
        <w:rPr>
          <w:color w:val="231F20"/>
          <w:spacing w:val="10"/>
        </w:rPr>
        <w:t xml:space="preserve"> </w:t>
      </w:r>
      <w:r>
        <w:rPr>
          <w:color w:val="231F20"/>
        </w:rPr>
        <w:t>to</w:t>
      </w:r>
      <w:r>
        <w:rPr>
          <w:color w:val="231F20"/>
          <w:spacing w:val="10"/>
        </w:rPr>
        <w:t xml:space="preserve"> </w:t>
      </w:r>
      <w:r>
        <w:rPr>
          <w:color w:val="231F20"/>
        </w:rPr>
        <w:t>a</w:t>
      </w:r>
      <w:r>
        <w:rPr>
          <w:color w:val="231F20"/>
          <w:spacing w:val="10"/>
        </w:rPr>
        <w:t xml:space="preserve"> </w:t>
      </w:r>
      <w:r>
        <w:rPr>
          <w:color w:val="231F20"/>
        </w:rPr>
        <w:t>close</w:t>
      </w:r>
      <w:r>
        <w:rPr>
          <w:color w:val="231F20"/>
          <w:spacing w:val="10"/>
        </w:rPr>
        <w:t xml:space="preserve"> </w:t>
      </w:r>
      <w:r>
        <w:rPr>
          <w:color w:val="231F20"/>
        </w:rPr>
        <w:t>in</w:t>
      </w:r>
      <w:r>
        <w:rPr>
          <w:color w:val="231F20"/>
          <w:spacing w:val="10"/>
        </w:rPr>
        <w:t xml:space="preserve"> </w:t>
      </w:r>
      <w:r>
        <w:rPr>
          <w:color w:val="231F20"/>
        </w:rPr>
        <w:t>March</w:t>
      </w:r>
      <w:r>
        <w:rPr>
          <w:color w:val="231F20"/>
          <w:spacing w:val="10"/>
        </w:rPr>
        <w:t xml:space="preserve"> </w:t>
      </w:r>
      <w:r>
        <w:rPr>
          <w:color w:val="231F20"/>
          <w:spacing w:val="-3"/>
        </w:rPr>
        <w:t>1972.</w:t>
      </w:r>
    </w:p>
    <w:p w14:paraId="26D0105F" w14:textId="77777777" w:rsidR="002653E8" w:rsidRDefault="003115E3">
      <w:pPr>
        <w:pStyle w:val="a3"/>
        <w:spacing w:line="264" w:lineRule="auto"/>
        <w:ind w:left="1327" w:right="1146" w:firstLine="209"/>
        <w:jc w:val="both"/>
      </w:pPr>
      <w:r>
        <w:rPr>
          <w:color w:val="231F20"/>
        </w:rPr>
        <w:t xml:space="preserve">Ruhland had been peripheral to the </w:t>
      </w:r>
      <w:r w:rsidR="00C507A5">
        <w:rPr>
          <w:color w:val="231F20"/>
          <w:spacing w:val="5"/>
        </w:rPr>
        <w:t>red army faction</w:t>
      </w:r>
      <w:r>
        <w:rPr>
          <w:color w:val="231F20"/>
          <w:spacing w:val="5"/>
        </w:rPr>
        <w:t xml:space="preserve"> </w:t>
      </w:r>
      <w:r>
        <w:rPr>
          <w:color w:val="231F20"/>
        </w:rPr>
        <w:t xml:space="preserve">when he was captured in December </w:t>
      </w:r>
      <w:r>
        <w:rPr>
          <w:color w:val="231F20"/>
          <w:spacing w:val="-4"/>
        </w:rPr>
        <w:t xml:space="preserve">1970. </w:t>
      </w:r>
      <w:r>
        <w:rPr>
          <w:color w:val="231F20"/>
        </w:rPr>
        <w:t>Soon after his arrest, he started providing the police with information, the location of safehouses and the names of those who had sheltered the guerilla.</w:t>
      </w:r>
      <w:r>
        <w:rPr>
          <w:color w:val="231F20"/>
          <w:position w:val="7"/>
          <w:sz w:val="11"/>
        </w:rPr>
        <w:t xml:space="preserve">5  </w:t>
      </w:r>
      <w:r>
        <w:rPr>
          <w:color w:val="231F20"/>
        </w:rPr>
        <w:t xml:space="preserve">When brought to trial on charges relating   to a </w:t>
      </w:r>
      <w:r w:rsidR="00C507A5">
        <w:rPr>
          <w:color w:val="231F20"/>
          <w:spacing w:val="5"/>
        </w:rPr>
        <w:t>red army faction</w:t>
      </w:r>
      <w:r>
        <w:rPr>
          <w:color w:val="231F20"/>
          <w:spacing w:val="5"/>
        </w:rPr>
        <w:t xml:space="preserve"> </w:t>
      </w:r>
      <w:r>
        <w:rPr>
          <w:color w:val="231F20"/>
        </w:rPr>
        <w:t>bank robbery, much was made of his class status as a manual worker</w:t>
      </w:r>
      <w:r>
        <w:rPr>
          <w:color w:val="231F20"/>
          <w:spacing w:val="-9"/>
        </w:rPr>
        <w:t xml:space="preserve"> </w:t>
      </w:r>
      <w:r>
        <w:rPr>
          <w:color w:val="231F20"/>
        </w:rPr>
        <w:t>who</w:t>
      </w:r>
      <w:r>
        <w:rPr>
          <w:color w:val="231F20"/>
          <w:spacing w:val="-9"/>
        </w:rPr>
        <w:t xml:space="preserve"> </w:t>
      </w:r>
      <w:r>
        <w:rPr>
          <w:color w:val="231F20"/>
        </w:rPr>
        <w:t>was</w:t>
      </w:r>
      <w:r>
        <w:rPr>
          <w:color w:val="231F20"/>
          <w:spacing w:val="-9"/>
        </w:rPr>
        <w:t xml:space="preserve"> </w:t>
      </w:r>
      <w:r>
        <w:rPr>
          <w:color w:val="231F20"/>
        </w:rPr>
        <w:t>never</w:t>
      </w:r>
      <w:r>
        <w:rPr>
          <w:color w:val="231F20"/>
          <w:spacing w:val="-9"/>
        </w:rPr>
        <w:t xml:space="preserve"> </w:t>
      </w:r>
      <w:r>
        <w:rPr>
          <w:color w:val="231F20"/>
        </w:rPr>
        <w:t>fully</w:t>
      </w:r>
      <w:r>
        <w:rPr>
          <w:color w:val="231F20"/>
          <w:spacing w:val="-9"/>
        </w:rPr>
        <w:t xml:space="preserve"> </w:t>
      </w:r>
      <w:r>
        <w:rPr>
          <w:color w:val="231F20"/>
        </w:rPr>
        <w:t>accepted</w:t>
      </w:r>
      <w:r>
        <w:rPr>
          <w:color w:val="231F20"/>
          <w:spacing w:val="-9"/>
        </w:rPr>
        <w:t xml:space="preserve"> </w:t>
      </w:r>
      <w:r>
        <w:rPr>
          <w:color w:val="231F20"/>
        </w:rPr>
        <w:t>by</w:t>
      </w:r>
      <w:r>
        <w:rPr>
          <w:color w:val="231F20"/>
          <w:spacing w:val="-9"/>
        </w:rPr>
        <w:t xml:space="preserve"> </w:t>
      </w:r>
      <w:r>
        <w:rPr>
          <w:color w:val="231F20"/>
        </w:rPr>
        <w:t>the</w:t>
      </w:r>
      <w:r>
        <w:rPr>
          <w:color w:val="231F20"/>
          <w:spacing w:val="-9"/>
        </w:rPr>
        <w:t xml:space="preserve"> </w:t>
      </w:r>
      <w:r>
        <w:rPr>
          <w:color w:val="231F20"/>
        </w:rPr>
        <w:t>other</w:t>
      </w:r>
      <w:r>
        <w:rPr>
          <w:color w:val="231F20"/>
          <w:spacing w:val="-9"/>
        </w:rPr>
        <w:t xml:space="preserve"> </w:t>
      </w:r>
      <w:r>
        <w:rPr>
          <w:color w:val="231F20"/>
        </w:rPr>
        <w:t>members</w:t>
      </w:r>
      <w:r>
        <w:rPr>
          <w:color w:val="231F20"/>
          <w:spacing w:val="-9"/>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group, all in a fairly transparent ploy to show the guerilla up as hypocritical middle</w:t>
      </w:r>
      <w:r>
        <w:rPr>
          <w:color w:val="231F20"/>
          <w:spacing w:val="8"/>
        </w:rPr>
        <w:t xml:space="preserve"> </w:t>
      </w:r>
      <w:r>
        <w:rPr>
          <w:color w:val="231F20"/>
        </w:rPr>
        <w:t>class</w:t>
      </w:r>
      <w:r>
        <w:rPr>
          <w:color w:val="231F20"/>
          <w:spacing w:val="8"/>
        </w:rPr>
        <w:t xml:space="preserve"> </w:t>
      </w:r>
      <w:r>
        <w:rPr>
          <w:color w:val="231F20"/>
        </w:rPr>
        <w:t>revolutionaries</w:t>
      </w:r>
      <w:r>
        <w:rPr>
          <w:color w:val="231F20"/>
          <w:spacing w:val="8"/>
        </w:rPr>
        <w:t xml:space="preserve"> </w:t>
      </w:r>
      <w:r>
        <w:rPr>
          <w:color w:val="231F20"/>
        </w:rPr>
        <w:t>with</w:t>
      </w:r>
      <w:r>
        <w:rPr>
          <w:color w:val="231F20"/>
          <w:spacing w:val="8"/>
        </w:rPr>
        <w:t xml:space="preserve"> </w:t>
      </w:r>
      <w:r>
        <w:rPr>
          <w:color w:val="231F20"/>
        </w:rPr>
        <w:t>no</w:t>
      </w:r>
      <w:r>
        <w:rPr>
          <w:color w:val="231F20"/>
          <w:spacing w:val="8"/>
        </w:rPr>
        <w:t xml:space="preserve"> </w:t>
      </w:r>
      <w:r>
        <w:rPr>
          <w:color w:val="231F20"/>
        </w:rPr>
        <w:t>real</w:t>
      </w:r>
      <w:r>
        <w:rPr>
          <w:color w:val="231F20"/>
          <w:spacing w:val="8"/>
        </w:rPr>
        <w:t xml:space="preserve"> </w:t>
      </w:r>
      <w:r>
        <w:rPr>
          <w:color w:val="231F20"/>
          <w:spacing w:val="1"/>
        </w:rPr>
        <w:t>affinity</w:t>
      </w:r>
      <w:r>
        <w:rPr>
          <w:color w:val="231F20"/>
          <w:spacing w:val="8"/>
        </w:rPr>
        <w:t xml:space="preserve"> </w:t>
      </w:r>
      <w:r>
        <w:rPr>
          <w:color w:val="231F20"/>
        </w:rPr>
        <w:t>for</w:t>
      </w:r>
      <w:r>
        <w:rPr>
          <w:color w:val="231F20"/>
          <w:spacing w:val="8"/>
        </w:rPr>
        <w:t xml:space="preserve"> </w:t>
      </w:r>
      <w:r>
        <w:rPr>
          <w:color w:val="231F20"/>
        </w:rPr>
        <w:t>the</w:t>
      </w:r>
      <w:r>
        <w:rPr>
          <w:color w:val="231F20"/>
          <w:spacing w:val="8"/>
        </w:rPr>
        <w:t xml:space="preserve"> </w:t>
      </w:r>
      <w:r>
        <w:rPr>
          <w:color w:val="231F20"/>
        </w:rPr>
        <w:t>proletariat.</w:t>
      </w:r>
    </w:p>
    <w:p w14:paraId="1710C7DC" w14:textId="77777777" w:rsidR="002653E8" w:rsidRDefault="003115E3">
      <w:pPr>
        <w:pStyle w:val="a3"/>
        <w:spacing w:line="264" w:lineRule="auto"/>
        <w:ind w:left="1327" w:right="1145" w:firstLine="210"/>
        <w:jc w:val="both"/>
        <w:rPr>
          <w:sz w:val="11"/>
        </w:rPr>
      </w:pPr>
      <w:r>
        <w:rPr>
          <w:color w:val="231F20"/>
        </w:rPr>
        <w:t xml:space="preserve">Ruhland provided the police with their first real break, however slight, into the world of the </w:t>
      </w:r>
      <w:r w:rsidR="00C507A5">
        <w:rPr>
          <w:color w:val="231F20"/>
        </w:rPr>
        <w:t>red army faction</w:t>
      </w:r>
      <w:r>
        <w:rPr>
          <w:color w:val="231F20"/>
        </w:rPr>
        <w:t xml:space="preserve">, a service for which he received a relatively lenient sentence of four and a half years. Although even the corporate press had to admit that he did not make a very convincing witness, often changing his testimony to fit the latest police theory, he would remain a </w:t>
      </w:r>
      <w:r>
        <w:rPr>
          <w:color w:val="231F20"/>
          <w:spacing w:val="1"/>
        </w:rPr>
        <w:t xml:space="preserve">fixture </w:t>
      </w:r>
      <w:r>
        <w:rPr>
          <w:color w:val="231F20"/>
        </w:rPr>
        <w:t xml:space="preserve">in future </w:t>
      </w:r>
      <w:r w:rsidR="00C507A5">
        <w:rPr>
          <w:color w:val="231F20"/>
          <w:spacing w:val="5"/>
        </w:rPr>
        <w:t>red army faction</w:t>
      </w:r>
      <w:r>
        <w:rPr>
          <w:color w:val="231F20"/>
          <w:spacing w:val="5"/>
        </w:rPr>
        <w:t xml:space="preserve"> </w:t>
      </w:r>
      <w:r>
        <w:rPr>
          <w:color w:val="231F20"/>
        </w:rPr>
        <w:t>trials</w:t>
      </w:r>
      <w:r>
        <w:rPr>
          <w:color w:val="231F20"/>
          <w:position w:val="7"/>
          <w:sz w:val="11"/>
        </w:rPr>
        <w:t xml:space="preserve">6 </w:t>
      </w:r>
      <w:r>
        <w:rPr>
          <w:color w:val="231F20"/>
        </w:rPr>
        <w:t xml:space="preserve">until someone more convincing could be turned. </w:t>
      </w:r>
      <w:r>
        <w:rPr>
          <w:color w:val="231F20"/>
          <w:spacing w:val="1"/>
        </w:rPr>
        <w:t xml:space="preserve">In </w:t>
      </w:r>
      <w:r>
        <w:rPr>
          <w:color w:val="231F20"/>
        </w:rPr>
        <w:t>retrospect, his significance appears to be as  a</w:t>
      </w:r>
      <w:r>
        <w:rPr>
          <w:color w:val="231F20"/>
          <w:spacing w:val="10"/>
        </w:rPr>
        <w:t xml:space="preserve"> </w:t>
      </w:r>
      <w:r>
        <w:rPr>
          <w:color w:val="231F20"/>
        </w:rPr>
        <w:t>template</w:t>
      </w:r>
      <w:r>
        <w:rPr>
          <w:color w:val="231F20"/>
          <w:spacing w:val="10"/>
        </w:rPr>
        <w:t xml:space="preserve"> </w:t>
      </w:r>
      <w:r>
        <w:rPr>
          <w:color w:val="231F20"/>
        </w:rPr>
        <w:t>for</w:t>
      </w:r>
      <w:r>
        <w:rPr>
          <w:color w:val="231F20"/>
          <w:spacing w:val="10"/>
        </w:rPr>
        <w:t xml:space="preserve"> </w:t>
      </w:r>
      <w:r>
        <w:rPr>
          <w:color w:val="231F20"/>
        </w:rPr>
        <w:t>future</w:t>
      </w:r>
      <w:r>
        <w:rPr>
          <w:color w:val="231F20"/>
          <w:spacing w:val="10"/>
        </w:rPr>
        <w:t xml:space="preserve"> </w:t>
      </w:r>
      <w:r>
        <w:rPr>
          <w:color w:val="231F20"/>
        </w:rPr>
        <w:t>state</w:t>
      </w:r>
      <w:r>
        <w:rPr>
          <w:color w:val="231F20"/>
          <w:spacing w:val="10"/>
        </w:rPr>
        <w:t xml:space="preserve"> </w:t>
      </w:r>
      <w:r>
        <w:rPr>
          <w:color w:val="231F20"/>
        </w:rPr>
        <w:t>witnesses</w:t>
      </w:r>
      <w:r>
        <w:rPr>
          <w:color w:val="231F20"/>
          <w:spacing w:val="10"/>
        </w:rPr>
        <w:t xml:space="preserve"> </w:t>
      </w:r>
      <w:r>
        <w:rPr>
          <w:color w:val="231F20"/>
        </w:rPr>
        <w:t>to</w:t>
      </w:r>
      <w:r>
        <w:rPr>
          <w:color w:val="231F20"/>
          <w:spacing w:val="10"/>
        </w:rPr>
        <w:t xml:space="preserve"> </w:t>
      </w:r>
      <w:r>
        <w:rPr>
          <w:color w:val="231F20"/>
        </w:rPr>
        <w:t>come.</w:t>
      </w:r>
      <w:r>
        <w:rPr>
          <w:color w:val="231F20"/>
          <w:position w:val="7"/>
          <w:sz w:val="11"/>
        </w:rPr>
        <w:t>7</w:t>
      </w:r>
    </w:p>
    <w:p w14:paraId="79CFF100" w14:textId="77777777" w:rsidR="002653E8" w:rsidRDefault="003115E3">
      <w:pPr>
        <w:pStyle w:val="a3"/>
        <w:spacing w:line="264" w:lineRule="auto"/>
        <w:ind w:left="1327" w:right="1146" w:firstLine="210"/>
        <w:jc w:val="both"/>
        <w:rPr>
          <w:sz w:val="11"/>
        </w:rPr>
      </w:pPr>
      <w:r>
        <w:rPr>
          <w:color w:val="231F20"/>
          <w:spacing w:val="1"/>
        </w:rPr>
        <w:t xml:space="preserve">In </w:t>
      </w:r>
      <w:r>
        <w:rPr>
          <w:color w:val="231F20"/>
        </w:rPr>
        <w:t>the meantime, guns continued to blaze as the police and guerilla played an increasingly deadly game of hide and seek. Following a narrow escape, Andreas Baader even sent off a letter to the non-Springer press that he authenticated with his thumbprint, essentially to thumb his</w:t>
      </w:r>
      <w:r>
        <w:rPr>
          <w:color w:val="231F20"/>
          <w:spacing w:val="10"/>
        </w:rPr>
        <w:t xml:space="preserve"> </w:t>
      </w:r>
      <w:r>
        <w:rPr>
          <w:color w:val="231F20"/>
        </w:rPr>
        <w:t>nose</w:t>
      </w:r>
      <w:r>
        <w:rPr>
          <w:color w:val="231F20"/>
          <w:spacing w:val="10"/>
        </w:rPr>
        <w:t xml:space="preserve"> </w:t>
      </w:r>
      <w:r>
        <w:rPr>
          <w:color w:val="231F20"/>
        </w:rPr>
        <w:t>at</w:t>
      </w:r>
      <w:r>
        <w:rPr>
          <w:color w:val="231F20"/>
          <w:spacing w:val="10"/>
        </w:rPr>
        <w:t xml:space="preserve"> </w:t>
      </w:r>
      <w:r>
        <w:rPr>
          <w:color w:val="231F20"/>
        </w:rPr>
        <w:t>the</w:t>
      </w:r>
      <w:r>
        <w:rPr>
          <w:color w:val="231F20"/>
          <w:spacing w:val="10"/>
        </w:rPr>
        <w:t xml:space="preserve"> </w:t>
      </w:r>
      <w:r>
        <w:rPr>
          <w:color w:val="231F20"/>
        </w:rPr>
        <w:t>cops,</w:t>
      </w:r>
      <w:r>
        <w:rPr>
          <w:color w:val="231F20"/>
          <w:spacing w:val="10"/>
        </w:rPr>
        <w:t xml:space="preserve"> </w:t>
      </w:r>
      <w:r>
        <w:rPr>
          <w:color w:val="231F20"/>
        </w:rPr>
        <w:t>and</w:t>
      </w:r>
      <w:r>
        <w:rPr>
          <w:color w:val="231F20"/>
          <w:spacing w:val="10"/>
        </w:rPr>
        <w:t xml:space="preserve"> </w:t>
      </w:r>
      <w:r>
        <w:rPr>
          <w:color w:val="231F20"/>
        </w:rPr>
        <w:t>to</w:t>
      </w:r>
      <w:r>
        <w:rPr>
          <w:color w:val="231F20"/>
          <w:spacing w:val="10"/>
        </w:rPr>
        <w:t xml:space="preserve"> </w:t>
      </w:r>
      <w:r>
        <w:rPr>
          <w:color w:val="231F20"/>
        </w:rPr>
        <w:t>prove</w:t>
      </w:r>
      <w:r>
        <w:rPr>
          <w:color w:val="231F20"/>
          <w:spacing w:val="10"/>
        </w:rPr>
        <w:t xml:space="preserve"> </w:t>
      </w:r>
      <w:r>
        <w:rPr>
          <w:color w:val="231F20"/>
        </w:rPr>
        <w:t>that</w:t>
      </w:r>
      <w:r>
        <w:rPr>
          <w:color w:val="231F20"/>
          <w:spacing w:val="10"/>
        </w:rPr>
        <w:t xml:space="preserve"> </w:t>
      </w:r>
      <w:r>
        <w:rPr>
          <w:color w:val="231F20"/>
        </w:rPr>
        <w:t>he</w:t>
      </w:r>
      <w:r>
        <w:rPr>
          <w:color w:val="231F20"/>
          <w:spacing w:val="10"/>
        </w:rPr>
        <w:t xml:space="preserve"> </w:t>
      </w:r>
      <w:r>
        <w:rPr>
          <w:color w:val="231F20"/>
        </w:rPr>
        <w:t>was</w:t>
      </w:r>
      <w:r>
        <w:rPr>
          <w:color w:val="231F20"/>
          <w:spacing w:val="10"/>
        </w:rPr>
        <w:t xml:space="preserve"> </w:t>
      </w:r>
      <w:r>
        <w:rPr>
          <w:color w:val="231F20"/>
        </w:rPr>
        <w:t>still</w:t>
      </w:r>
      <w:r>
        <w:rPr>
          <w:color w:val="231F20"/>
          <w:spacing w:val="10"/>
        </w:rPr>
        <w:t xml:space="preserve"> </w:t>
      </w:r>
      <w:r>
        <w:rPr>
          <w:color w:val="231F20"/>
        </w:rPr>
        <w:t>alive.</w:t>
      </w:r>
      <w:r>
        <w:rPr>
          <w:color w:val="231F20"/>
          <w:position w:val="7"/>
          <w:sz w:val="11"/>
        </w:rPr>
        <w:t>8</w:t>
      </w:r>
    </w:p>
    <w:p w14:paraId="395D820A" w14:textId="77777777" w:rsidR="002653E8" w:rsidRDefault="00000000">
      <w:pPr>
        <w:pStyle w:val="a3"/>
        <w:spacing w:before="6"/>
        <w:rPr>
          <w:sz w:val="26"/>
        </w:rPr>
      </w:pPr>
      <w:r>
        <w:rPr>
          <w:noProof w:val="0"/>
        </w:rPr>
        <w:pict w14:anchorId="2C6AC158">
          <v:line id="_x0000_s2586" style="position:absolute;z-index:3856;mso-wrap-distance-left:0;mso-wrap-distance-right:0;mso-position-horizontal-relative:page" from="66.4pt,17.75pt" to="138.4pt,17.75pt" strokecolor="#231f20" strokeweight=".5pt">
            <w10:wrap type="topAndBottom" anchorx="page"/>
          </v:line>
        </w:pict>
      </w:r>
    </w:p>
    <w:p w14:paraId="535288FB" w14:textId="77777777" w:rsidR="002653E8" w:rsidRDefault="003115E3">
      <w:pPr>
        <w:spacing w:before="53" w:line="307" w:lineRule="auto"/>
        <w:ind w:left="1328" w:right="1479" w:hanging="1"/>
        <w:rPr>
          <w:sz w:val="16"/>
        </w:rPr>
      </w:pPr>
      <w:r w:rsidRPr="00C507A5">
        <w:rPr>
          <w:color w:val="231F20"/>
          <w:w w:val="110"/>
          <w:sz w:val="16"/>
          <w:lang w:val="de-DE"/>
        </w:rPr>
        <w:t xml:space="preserve">4 Robert Spaemann, “Kaffee, Kuchen und Terror,” </w:t>
      </w:r>
      <w:r w:rsidRPr="00C507A5">
        <w:rPr>
          <w:i/>
          <w:color w:val="231F20"/>
          <w:w w:val="110"/>
          <w:sz w:val="16"/>
          <w:lang w:val="de-DE"/>
        </w:rPr>
        <w:t xml:space="preserve">Die Zeit </w:t>
      </w:r>
      <w:r w:rsidRPr="00C507A5">
        <w:rPr>
          <w:color w:val="231F20"/>
          <w:w w:val="110"/>
          <w:sz w:val="16"/>
          <w:lang w:val="de-DE"/>
        </w:rPr>
        <w:t xml:space="preserve">[online], 19 (1998). </w:t>
      </w:r>
      <w:r>
        <w:rPr>
          <w:color w:val="231F20"/>
          <w:w w:val="110"/>
          <w:sz w:val="16"/>
        </w:rPr>
        <w:t>5 Aust, 140.</w:t>
      </w:r>
    </w:p>
    <w:p w14:paraId="205DECBD" w14:textId="77777777" w:rsidR="002653E8" w:rsidRDefault="003115E3">
      <w:pPr>
        <w:pStyle w:val="a4"/>
        <w:numPr>
          <w:ilvl w:val="0"/>
          <w:numId w:val="157"/>
        </w:numPr>
        <w:tabs>
          <w:tab w:val="left" w:pos="1467"/>
        </w:tabs>
        <w:spacing w:before="0" w:line="254" w:lineRule="auto"/>
        <w:ind w:right="1254" w:firstLine="0"/>
        <w:rPr>
          <w:sz w:val="16"/>
        </w:rPr>
      </w:pPr>
      <w:r>
        <w:rPr>
          <w:color w:val="231F20"/>
          <w:w w:val="105"/>
          <w:sz w:val="16"/>
        </w:rPr>
        <w:t xml:space="preserve">Ruhland testified against Horst Mahler, </w:t>
      </w:r>
      <w:r>
        <w:rPr>
          <w:color w:val="231F20"/>
          <w:spacing w:val="1"/>
          <w:w w:val="105"/>
          <w:sz w:val="16"/>
        </w:rPr>
        <w:t xml:space="preserve">Ali </w:t>
      </w:r>
      <w:r>
        <w:rPr>
          <w:color w:val="231F20"/>
          <w:w w:val="105"/>
          <w:sz w:val="16"/>
        </w:rPr>
        <w:t xml:space="preserve">Jansen, and Astrid Proll amongst others. Several years later, after the </w:t>
      </w:r>
      <w:r>
        <w:rPr>
          <w:color w:val="231F20"/>
          <w:spacing w:val="1"/>
          <w:w w:val="105"/>
          <w:sz w:val="16"/>
        </w:rPr>
        <w:t xml:space="preserve">Stammheim </w:t>
      </w:r>
      <w:r>
        <w:rPr>
          <w:color w:val="231F20"/>
          <w:w w:val="105"/>
          <w:sz w:val="16"/>
        </w:rPr>
        <w:t xml:space="preserve">deaths, Ruhland was once again trotted out as an “old comrade” of the prisoners in order to explain how they must have felt suicidal. (United Press International, “Suicide Victim Died of Despair— Comrade,” </w:t>
      </w:r>
      <w:r>
        <w:rPr>
          <w:i/>
          <w:color w:val="231F20"/>
          <w:w w:val="105"/>
          <w:sz w:val="16"/>
        </w:rPr>
        <w:t xml:space="preserve">Raleigh Register, </w:t>
      </w:r>
      <w:r>
        <w:rPr>
          <w:color w:val="231F20"/>
          <w:w w:val="105"/>
          <w:sz w:val="16"/>
        </w:rPr>
        <w:t>November 14,</w:t>
      </w:r>
      <w:r>
        <w:rPr>
          <w:color w:val="231F20"/>
          <w:spacing w:val="15"/>
          <w:w w:val="105"/>
          <w:sz w:val="16"/>
        </w:rPr>
        <w:t xml:space="preserve"> </w:t>
      </w:r>
      <w:r>
        <w:rPr>
          <w:color w:val="231F20"/>
          <w:spacing w:val="-3"/>
          <w:w w:val="105"/>
          <w:sz w:val="16"/>
        </w:rPr>
        <w:t>1977).</w:t>
      </w:r>
    </w:p>
    <w:p w14:paraId="4E4FC32F" w14:textId="77777777" w:rsidR="002653E8" w:rsidRPr="00C507A5" w:rsidRDefault="003115E3">
      <w:pPr>
        <w:pStyle w:val="a4"/>
        <w:numPr>
          <w:ilvl w:val="0"/>
          <w:numId w:val="157"/>
        </w:numPr>
        <w:tabs>
          <w:tab w:val="left" w:pos="1467"/>
        </w:tabs>
        <w:spacing w:before="40" w:line="254" w:lineRule="auto"/>
        <w:ind w:right="2771" w:firstLine="0"/>
        <w:rPr>
          <w:sz w:val="16"/>
          <w:lang w:val="de-DE"/>
        </w:rPr>
      </w:pPr>
      <w:r w:rsidRPr="00C507A5">
        <w:rPr>
          <w:color w:val="231F20"/>
          <w:w w:val="105"/>
          <w:sz w:val="16"/>
          <w:lang w:val="de-DE"/>
        </w:rPr>
        <w:t>Heinrich Hannover, “Terrorsitenprozessen,”</w:t>
      </w:r>
      <w:hyperlink r:id="rId106">
        <w:r w:rsidRPr="00C507A5">
          <w:rPr>
            <w:color w:val="231F20"/>
            <w:w w:val="105"/>
            <w:sz w:val="16"/>
            <w:lang w:val="de-DE"/>
          </w:rPr>
          <w:t xml:space="preserve"> </w:t>
        </w:r>
        <w:r w:rsidRPr="00C507A5">
          <w:rPr>
            <w:color w:val="231F20"/>
            <w:w w:val="104"/>
            <w:sz w:val="16"/>
            <w:lang w:val="de-DE"/>
          </w:rPr>
          <w:t>h</w:t>
        </w:r>
        <w:r w:rsidRPr="00C507A5">
          <w:rPr>
            <w:color w:val="231F20"/>
            <w:spacing w:val="5"/>
            <w:w w:val="102"/>
            <w:sz w:val="16"/>
            <w:lang w:val="de-DE"/>
          </w:rPr>
          <w:t>t</w:t>
        </w:r>
        <w:r w:rsidRPr="00C507A5">
          <w:rPr>
            <w:color w:val="231F20"/>
            <w:spacing w:val="3"/>
            <w:w w:val="102"/>
            <w:sz w:val="16"/>
            <w:lang w:val="de-DE"/>
          </w:rPr>
          <w:t>t</w:t>
        </w:r>
        <w:r w:rsidRPr="00C507A5">
          <w:rPr>
            <w:color w:val="231F20"/>
            <w:w w:val="103"/>
            <w:sz w:val="16"/>
            <w:lang w:val="de-DE"/>
          </w:rPr>
          <w:t>p</w:t>
        </w:r>
        <w:r w:rsidRPr="00C507A5">
          <w:rPr>
            <w:color w:val="231F20"/>
            <w:spacing w:val="5"/>
            <w:w w:val="109"/>
            <w:sz w:val="16"/>
            <w:lang w:val="de-DE"/>
          </w:rPr>
          <w:t>:</w:t>
        </w:r>
        <w:r w:rsidRPr="00C507A5">
          <w:rPr>
            <w:color w:val="231F20"/>
            <w:spacing w:val="-1"/>
            <w:w w:val="58"/>
            <w:sz w:val="16"/>
            <w:lang w:val="de-DE"/>
          </w:rPr>
          <w:t>/</w:t>
        </w:r>
        <w:r w:rsidRPr="00C507A5">
          <w:rPr>
            <w:color w:val="231F20"/>
            <w:spacing w:val="2"/>
            <w:w w:val="58"/>
            <w:sz w:val="16"/>
            <w:lang w:val="de-DE"/>
          </w:rPr>
          <w:t>/</w:t>
        </w:r>
        <w:r w:rsidRPr="00C507A5">
          <w:rPr>
            <w:color w:val="231F20"/>
            <w:spacing w:val="6"/>
            <w:w w:val="104"/>
            <w:sz w:val="16"/>
            <w:lang w:val="de-DE"/>
          </w:rPr>
          <w:t>ww</w:t>
        </w:r>
        <w:r w:rsidRPr="00C507A5">
          <w:rPr>
            <w:color w:val="231F20"/>
            <w:spacing w:val="-9"/>
            <w:w w:val="104"/>
            <w:sz w:val="16"/>
            <w:lang w:val="de-DE"/>
          </w:rPr>
          <w:t>w</w:t>
        </w:r>
        <w:r w:rsidRPr="00C507A5">
          <w:rPr>
            <w:color w:val="231F20"/>
            <w:w w:val="140"/>
            <w:sz w:val="16"/>
            <w:lang w:val="de-DE"/>
          </w:rPr>
          <w:t>.</w:t>
        </w:r>
        <w:r w:rsidRPr="00C507A5">
          <w:rPr>
            <w:color w:val="231F20"/>
            <w:spacing w:val="3"/>
            <w:w w:val="114"/>
            <w:sz w:val="16"/>
            <w:lang w:val="de-DE"/>
          </w:rPr>
          <w:t>f</w:t>
        </w:r>
        <w:r w:rsidRPr="00C507A5">
          <w:rPr>
            <w:color w:val="231F20"/>
            <w:w w:val="97"/>
            <w:sz w:val="16"/>
            <w:lang w:val="de-DE"/>
          </w:rPr>
          <w:t>re</w:t>
        </w:r>
        <w:r w:rsidRPr="00C507A5">
          <w:rPr>
            <w:color w:val="231F20"/>
            <w:spacing w:val="2"/>
            <w:w w:val="97"/>
            <w:sz w:val="16"/>
            <w:lang w:val="de-DE"/>
          </w:rPr>
          <w:t>i</w:t>
        </w:r>
        <w:r w:rsidRPr="00C507A5">
          <w:rPr>
            <w:color w:val="231F20"/>
            <w:spacing w:val="1"/>
            <w:w w:val="106"/>
            <w:sz w:val="16"/>
            <w:lang w:val="de-DE"/>
          </w:rPr>
          <w:t>la</w:t>
        </w:r>
        <w:r w:rsidRPr="00C507A5">
          <w:rPr>
            <w:color w:val="231F20"/>
            <w:spacing w:val="1"/>
            <w:w w:val="93"/>
            <w:sz w:val="16"/>
            <w:lang w:val="de-DE"/>
          </w:rPr>
          <w:t>s</w:t>
        </w:r>
        <w:r w:rsidRPr="00C507A5">
          <w:rPr>
            <w:color w:val="231F20"/>
            <w:w w:val="99"/>
            <w:sz w:val="16"/>
            <w:lang w:val="de-DE"/>
          </w:rPr>
          <w:t>s</w:t>
        </w:r>
        <w:r w:rsidRPr="00C507A5">
          <w:rPr>
            <w:color w:val="231F20"/>
            <w:spacing w:val="3"/>
            <w:w w:val="99"/>
            <w:sz w:val="16"/>
            <w:lang w:val="de-DE"/>
          </w:rPr>
          <w:t>u</w:t>
        </w:r>
        <w:r w:rsidRPr="00C507A5">
          <w:rPr>
            <w:color w:val="231F20"/>
            <w:w w:val="103"/>
            <w:sz w:val="16"/>
            <w:lang w:val="de-DE"/>
          </w:rPr>
          <w:t>n</w:t>
        </w:r>
        <w:r w:rsidRPr="00C507A5">
          <w:rPr>
            <w:color w:val="231F20"/>
            <w:spacing w:val="1"/>
            <w:w w:val="104"/>
            <w:sz w:val="16"/>
            <w:lang w:val="de-DE"/>
          </w:rPr>
          <w:t>g</w:t>
        </w:r>
        <w:r w:rsidRPr="00C507A5">
          <w:rPr>
            <w:color w:val="231F20"/>
            <w:w w:val="140"/>
            <w:sz w:val="16"/>
            <w:lang w:val="de-DE"/>
          </w:rPr>
          <w:t>.</w:t>
        </w:r>
        <w:r w:rsidRPr="00C507A5">
          <w:rPr>
            <w:color w:val="231F20"/>
            <w:w w:val="103"/>
            <w:sz w:val="16"/>
            <w:lang w:val="de-DE"/>
          </w:rPr>
          <w:t>d</w:t>
        </w:r>
        <w:r w:rsidRPr="00C507A5">
          <w:rPr>
            <w:color w:val="231F20"/>
            <w:spacing w:val="5"/>
            <w:w w:val="94"/>
            <w:sz w:val="16"/>
            <w:lang w:val="de-DE"/>
          </w:rPr>
          <w:t>e</w:t>
        </w:r>
        <w:r w:rsidRPr="00C507A5">
          <w:rPr>
            <w:color w:val="231F20"/>
            <w:spacing w:val="-3"/>
            <w:w w:val="58"/>
            <w:sz w:val="16"/>
            <w:lang w:val="de-DE"/>
          </w:rPr>
          <w:t>/</w:t>
        </w:r>
        <w:r w:rsidRPr="00C507A5">
          <w:rPr>
            <w:color w:val="231F20"/>
            <w:spacing w:val="3"/>
            <w:w w:val="103"/>
            <w:sz w:val="16"/>
            <w:lang w:val="de-DE"/>
          </w:rPr>
          <w:t>d</w:t>
        </w:r>
        <w:r w:rsidRPr="00C507A5">
          <w:rPr>
            <w:color w:val="231F20"/>
            <w:spacing w:val="-1"/>
            <w:w w:val="103"/>
            <w:sz w:val="16"/>
            <w:lang w:val="de-DE"/>
          </w:rPr>
          <w:t>i</w:t>
        </w:r>
        <w:r w:rsidRPr="00C507A5">
          <w:rPr>
            <w:color w:val="231F20"/>
            <w:spacing w:val="-1"/>
            <w:w w:val="102"/>
            <w:sz w:val="16"/>
            <w:lang w:val="de-DE"/>
          </w:rPr>
          <w:t>v</w:t>
        </w:r>
        <w:r w:rsidRPr="00C507A5">
          <w:rPr>
            <w:color w:val="231F20"/>
            <w:spacing w:val="1"/>
            <w:w w:val="58"/>
            <w:sz w:val="16"/>
            <w:lang w:val="de-DE"/>
          </w:rPr>
          <w:t>/</w:t>
        </w:r>
        <w:r w:rsidRPr="00C507A5">
          <w:rPr>
            <w:color w:val="231F20"/>
            <w:spacing w:val="1"/>
            <w:w w:val="102"/>
            <w:sz w:val="16"/>
            <w:lang w:val="de-DE"/>
          </w:rPr>
          <w:t>t</w:t>
        </w:r>
        <w:r w:rsidRPr="00C507A5">
          <w:rPr>
            <w:color w:val="231F20"/>
            <w:w w:val="94"/>
            <w:sz w:val="16"/>
            <w:lang w:val="de-DE"/>
          </w:rPr>
          <w:t>e</w:t>
        </w:r>
        <w:r w:rsidRPr="00C507A5">
          <w:rPr>
            <w:color w:val="231F20"/>
            <w:spacing w:val="5"/>
            <w:w w:val="119"/>
            <w:sz w:val="16"/>
            <w:lang w:val="de-DE"/>
          </w:rPr>
          <w:t>x</w:t>
        </w:r>
        <w:r w:rsidRPr="00C507A5">
          <w:rPr>
            <w:color w:val="231F20"/>
            <w:spacing w:val="1"/>
            <w:w w:val="102"/>
            <w:sz w:val="16"/>
            <w:lang w:val="de-DE"/>
          </w:rPr>
          <w:t>t</w:t>
        </w:r>
        <w:r w:rsidRPr="00C507A5">
          <w:rPr>
            <w:color w:val="231F20"/>
            <w:spacing w:val="5"/>
            <w:w w:val="94"/>
            <w:sz w:val="16"/>
            <w:lang w:val="de-DE"/>
          </w:rPr>
          <w:t>e</w:t>
        </w:r>
        <w:r w:rsidRPr="00C507A5">
          <w:rPr>
            <w:color w:val="231F20"/>
            <w:spacing w:val="7"/>
            <w:w w:val="58"/>
            <w:sz w:val="16"/>
            <w:lang w:val="de-DE"/>
          </w:rPr>
          <w:t>/</w:t>
        </w:r>
        <w:r w:rsidRPr="00C507A5">
          <w:rPr>
            <w:color w:val="231F20"/>
            <w:spacing w:val="5"/>
            <w:w w:val="109"/>
            <w:sz w:val="16"/>
            <w:lang w:val="de-DE"/>
          </w:rPr>
          <w:t>k</w:t>
        </w:r>
        <w:r w:rsidRPr="00C507A5">
          <w:rPr>
            <w:color w:val="231F20"/>
            <w:w w:val="97"/>
            <w:sz w:val="16"/>
            <w:lang w:val="de-DE"/>
          </w:rPr>
          <w:t>r</w:t>
        </w:r>
        <w:r w:rsidRPr="00C507A5">
          <w:rPr>
            <w:color w:val="231F20"/>
            <w:w w:val="108"/>
            <w:sz w:val="16"/>
            <w:lang w:val="de-DE"/>
          </w:rPr>
          <w:t>o</w:t>
        </w:r>
        <w:r w:rsidRPr="00C507A5">
          <w:rPr>
            <w:color w:val="231F20"/>
            <w:spacing w:val="5"/>
            <w:w w:val="103"/>
            <w:sz w:val="16"/>
            <w:lang w:val="de-DE"/>
          </w:rPr>
          <w:t>n</w:t>
        </w:r>
        <w:r w:rsidRPr="00C507A5">
          <w:rPr>
            <w:color w:val="231F20"/>
            <w:spacing w:val="2"/>
            <w:w w:val="101"/>
            <w:sz w:val="16"/>
            <w:lang w:val="de-DE"/>
          </w:rPr>
          <w:t>z</w:t>
        </w:r>
        <w:r w:rsidRPr="00C507A5">
          <w:rPr>
            <w:color w:val="231F20"/>
            <w:w w:val="94"/>
            <w:sz w:val="16"/>
            <w:lang w:val="de-DE"/>
          </w:rPr>
          <w:t>e</w:t>
        </w:r>
        <w:r w:rsidRPr="00C507A5">
          <w:rPr>
            <w:color w:val="231F20"/>
            <w:spacing w:val="1"/>
            <w:w w:val="104"/>
            <w:sz w:val="16"/>
            <w:lang w:val="de-DE"/>
          </w:rPr>
          <w:t>u</w:t>
        </w:r>
        <w:r w:rsidRPr="00C507A5">
          <w:rPr>
            <w:color w:val="231F20"/>
            <w:w w:val="99"/>
            <w:sz w:val="16"/>
            <w:lang w:val="de-DE"/>
          </w:rPr>
          <w:t>g</w:t>
        </w:r>
        <w:r w:rsidRPr="00C507A5">
          <w:rPr>
            <w:color w:val="231F20"/>
            <w:spacing w:val="5"/>
            <w:w w:val="99"/>
            <w:sz w:val="16"/>
            <w:lang w:val="de-DE"/>
          </w:rPr>
          <w:t>e</w:t>
        </w:r>
        <w:r w:rsidRPr="00C507A5">
          <w:rPr>
            <w:color w:val="231F20"/>
            <w:spacing w:val="7"/>
            <w:w w:val="58"/>
            <w:sz w:val="16"/>
            <w:lang w:val="de-DE"/>
          </w:rPr>
          <w:t>/</w:t>
        </w:r>
        <w:r w:rsidRPr="00C507A5">
          <w:rPr>
            <w:color w:val="231F20"/>
            <w:sz w:val="16"/>
            <w:lang w:val="de-DE"/>
          </w:rPr>
          <w:t>he</w:t>
        </w:r>
        <w:r w:rsidRPr="00C507A5">
          <w:rPr>
            <w:color w:val="231F20"/>
            <w:spacing w:val="3"/>
            <w:sz w:val="16"/>
            <w:lang w:val="de-DE"/>
          </w:rPr>
          <w:t>i</w:t>
        </w:r>
        <w:r w:rsidRPr="00C507A5">
          <w:rPr>
            <w:color w:val="231F20"/>
            <w:spacing w:val="3"/>
            <w:w w:val="103"/>
            <w:sz w:val="16"/>
            <w:lang w:val="de-DE"/>
          </w:rPr>
          <w:t>n</w:t>
        </w:r>
        <w:r w:rsidRPr="00C507A5">
          <w:rPr>
            <w:color w:val="231F20"/>
            <w:spacing w:val="1"/>
            <w:w w:val="104"/>
            <w:sz w:val="16"/>
            <w:lang w:val="de-DE"/>
          </w:rPr>
          <w:t>h</w:t>
        </w:r>
        <w:r w:rsidRPr="00C507A5">
          <w:rPr>
            <w:color w:val="231F20"/>
            <w:spacing w:val="3"/>
            <w:w w:val="106"/>
            <w:sz w:val="16"/>
            <w:lang w:val="de-DE"/>
          </w:rPr>
          <w:t>a</w:t>
        </w:r>
        <w:r w:rsidRPr="00C507A5">
          <w:rPr>
            <w:color w:val="231F20"/>
            <w:w w:val="103"/>
            <w:sz w:val="16"/>
            <w:lang w:val="de-DE"/>
          </w:rPr>
          <w:t>n</w:t>
        </w:r>
        <w:r w:rsidRPr="00C507A5">
          <w:rPr>
            <w:color w:val="231F20"/>
            <w:spacing w:val="-3"/>
            <w:w w:val="104"/>
            <w:sz w:val="16"/>
            <w:lang w:val="de-DE"/>
          </w:rPr>
          <w:t>1</w:t>
        </w:r>
        <w:r w:rsidRPr="00C507A5">
          <w:rPr>
            <w:color w:val="231F20"/>
            <w:spacing w:val="1"/>
            <w:w w:val="140"/>
            <w:sz w:val="16"/>
            <w:lang w:val="de-DE"/>
          </w:rPr>
          <w:t>.</w:t>
        </w:r>
        <w:r w:rsidRPr="00C507A5">
          <w:rPr>
            <w:color w:val="231F20"/>
            <w:w w:val="103"/>
            <w:sz w:val="16"/>
            <w:lang w:val="de-DE"/>
          </w:rPr>
          <w:t>h</w:t>
        </w:r>
        <w:r w:rsidRPr="00C507A5">
          <w:rPr>
            <w:color w:val="231F20"/>
            <w:spacing w:val="3"/>
            <w:w w:val="103"/>
            <w:sz w:val="16"/>
            <w:lang w:val="de-DE"/>
          </w:rPr>
          <w:t>t</w:t>
        </w:r>
        <w:r w:rsidRPr="00C507A5">
          <w:rPr>
            <w:color w:val="231F20"/>
            <w:spacing w:val="1"/>
            <w:w w:val="103"/>
            <w:sz w:val="16"/>
            <w:lang w:val="de-DE"/>
          </w:rPr>
          <w:t>m</w:t>
        </w:r>
        <w:r w:rsidRPr="00C507A5">
          <w:rPr>
            <w:color w:val="231F20"/>
            <w:w w:val="140"/>
            <w:sz w:val="16"/>
            <w:lang w:val="de-DE"/>
          </w:rPr>
          <w:t>.</w:t>
        </w:r>
      </w:hyperlink>
    </w:p>
    <w:p w14:paraId="64FFC893" w14:textId="77777777" w:rsidR="002653E8" w:rsidRDefault="003115E3">
      <w:pPr>
        <w:pStyle w:val="a4"/>
        <w:numPr>
          <w:ilvl w:val="0"/>
          <w:numId w:val="157"/>
        </w:numPr>
        <w:tabs>
          <w:tab w:val="left" w:pos="1467"/>
        </w:tabs>
        <w:spacing w:line="254" w:lineRule="auto"/>
        <w:ind w:left="1327" w:right="1316" w:firstLine="1"/>
        <w:rPr>
          <w:sz w:val="16"/>
        </w:rPr>
      </w:pPr>
      <w:r w:rsidRPr="00C507A5">
        <w:rPr>
          <w:color w:val="231F20"/>
          <w:w w:val="105"/>
          <w:sz w:val="16"/>
          <w:lang w:val="de-DE"/>
        </w:rPr>
        <w:t xml:space="preserve">Andreas Eichler, “Die </w:t>
      </w:r>
      <w:r w:rsidR="00C507A5" w:rsidRPr="00C507A5">
        <w:rPr>
          <w:color w:val="231F20"/>
          <w:spacing w:val="3"/>
          <w:w w:val="105"/>
          <w:sz w:val="16"/>
          <w:lang w:val="de-DE"/>
        </w:rPr>
        <w:t>red army faction</w:t>
      </w:r>
      <w:r w:rsidRPr="00C507A5">
        <w:rPr>
          <w:color w:val="231F20"/>
          <w:spacing w:val="3"/>
          <w:w w:val="105"/>
          <w:sz w:val="16"/>
          <w:lang w:val="de-DE"/>
        </w:rPr>
        <w:t xml:space="preserve"> </w:t>
      </w:r>
      <w:r w:rsidRPr="00C507A5">
        <w:rPr>
          <w:color w:val="231F20"/>
          <w:w w:val="105"/>
          <w:sz w:val="16"/>
          <w:lang w:val="de-DE"/>
        </w:rPr>
        <w:t xml:space="preserve">und die Medien.” </w:t>
      </w:r>
      <w:r>
        <w:rPr>
          <w:color w:val="231F20"/>
          <w:spacing w:val="1"/>
          <w:w w:val="105"/>
          <w:sz w:val="16"/>
        </w:rPr>
        <w:t xml:space="preserve">This </w:t>
      </w:r>
      <w:r>
        <w:rPr>
          <w:color w:val="231F20"/>
          <w:w w:val="105"/>
          <w:sz w:val="16"/>
        </w:rPr>
        <w:t>document is reprinted in this volume:</w:t>
      </w:r>
      <w:r>
        <w:rPr>
          <w:color w:val="231F20"/>
          <w:spacing w:val="6"/>
          <w:w w:val="105"/>
          <w:sz w:val="16"/>
        </w:rPr>
        <w:t xml:space="preserve"> </w:t>
      </w:r>
      <w:r>
        <w:rPr>
          <w:color w:val="231F20"/>
          <w:w w:val="105"/>
          <w:sz w:val="16"/>
        </w:rPr>
        <w:t>Andreas</w:t>
      </w:r>
      <w:r>
        <w:rPr>
          <w:color w:val="231F20"/>
          <w:spacing w:val="6"/>
          <w:w w:val="105"/>
          <w:sz w:val="16"/>
        </w:rPr>
        <w:t xml:space="preserve"> </w:t>
      </w:r>
      <w:r>
        <w:rPr>
          <w:color w:val="231F20"/>
          <w:w w:val="105"/>
          <w:sz w:val="16"/>
        </w:rPr>
        <w:t>Baader:</w:t>
      </w:r>
      <w:r>
        <w:rPr>
          <w:color w:val="231F20"/>
          <w:spacing w:val="6"/>
          <w:w w:val="105"/>
          <w:sz w:val="16"/>
        </w:rPr>
        <w:t xml:space="preserve"> </w:t>
      </w:r>
      <w:r>
        <w:rPr>
          <w:color w:val="231F20"/>
          <w:spacing w:val="1"/>
          <w:w w:val="105"/>
          <w:sz w:val="16"/>
        </w:rPr>
        <w:t>Letter</w:t>
      </w:r>
      <w:r>
        <w:rPr>
          <w:color w:val="231F20"/>
          <w:spacing w:val="6"/>
          <w:w w:val="105"/>
          <w:sz w:val="16"/>
        </w:rPr>
        <w:t xml:space="preserve"> </w:t>
      </w:r>
      <w:r>
        <w:rPr>
          <w:color w:val="231F20"/>
          <w:w w:val="105"/>
          <w:sz w:val="16"/>
        </w:rPr>
        <w:t>to</w:t>
      </w:r>
      <w:r>
        <w:rPr>
          <w:color w:val="231F20"/>
          <w:spacing w:val="6"/>
          <w:w w:val="105"/>
          <w:sz w:val="16"/>
        </w:rPr>
        <w:t xml:space="preserve"> </w:t>
      </w:r>
      <w:r>
        <w:rPr>
          <w:color w:val="231F20"/>
          <w:w w:val="105"/>
          <w:sz w:val="16"/>
        </w:rPr>
        <w:t>the</w:t>
      </w:r>
      <w:r>
        <w:rPr>
          <w:color w:val="231F20"/>
          <w:spacing w:val="6"/>
          <w:w w:val="105"/>
          <w:sz w:val="16"/>
        </w:rPr>
        <w:t xml:space="preserve"> </w:t>
      </w:r>
      <w:r>
        <w:rPr>
          <w:color w:val="231F20"/>
          <w:w w:val="105"/>
          <w:sz w:val="16"/>
        </w:rPr>
        <w:t>Press,</w:t>
      </w:r>
      <w:r>
        <w:rPr>
          <w:color w:val="231F20"/>
          <w:spacing w:val="6"/>
          <w:w w:val="105"/>
          <w:sz w:val="16"/>
        </w:rPr>
        <w:t xml:space="preserve"> </w:t>
      </w:r>
      <w:r>
        <w:rPr>
          <w:color w:val="231F20"/>
          <w:w w:val="105"/>
          <w:sz w:val="16"/>
        </w:rPr>
        <w:t>see</w:t>
      </w:r>
      <w:r>
        <w:rPr>
          <w:color w:val="231F20"/>
          <w:spacing w:val="6"/>
          <w:w w:val="105"/>
          <w:sz w:val="16"/>
        </w:rPr>
        <w:t xml:space="preserve"> </w:t>
      </w:r>
      <w:r>
        <w:rPr>
          <w:color w:val="231F20"/>
          <w:w w:val="105"/>
          <w:sz w:val="16"/>
        </w:rPr>
        <w:t>pages</w:t>
      </w:r>
      <w:r>
        <w:rPr>
          <w:color w:val="231F20"/>
          <w:spacing w:val="7"/>
          <w:w w:val="105"/>
          <w:sz w:val="16"/>
        </w:rPr>
        <w:t xml:space="preserve"> </w:t>
      </w:r>
      <w:r>
        <w:rPr>
          <w:color w:val="231F20"/>
          <w:w w:val="105"/>
          <w:sz w:val="16"/>
        </w:rPr>
        <w:t>120-121.</w:t>
      </w:r>
    </w:p>
    <w:p w14:paraId="43BE9BD3" w14:textId="77777777" w:rsidR="002653E8" w:rsidRDefault="002653E8">
      <w:pPr>
        <w:spacing w:line="254" w:lineRule="auto"/>
        <w:rPr>
          <w:sz w:val="16"/>
        </w:rPr>
        <w:sectPr w:rsidR="002653E8">
          <w:footerReference w:type="even" r:id="rId107"/>
          <w:footerReference w:type="default" r:id="rId108"/>
          <w:pgSz w:w="8640" w:h="12960"/>
          <w:pgMar w:top="1060" w:right="0" w:bottom="1040" w:left="0" w:header="0" w:footer="850" w:gutter="0"/>
          <w:pgNumType w:start="113"/>
          <w:cols w:space="720"/>
        </w:sectPr>
      </w:pPr>
    </w:p>
    <w:p w14:paraId="026CC120" w14:textId="77777777" w:rsidR="002653E8" w:rsidRDefault="002653E8">
      <w:pPr>
        <w:pStyle w:val="a3"/>
        <w:spacing w:before="5"/>
        <w:rPr>
          <w:sz w:val="13"/>
        </w:rPr>
      </w:pPr>
    </w:p>
    <w:p w14:paraId="2139A971" w14:textId="77777777" w:rsidR="002653E8" w:rsidRDefault="003115E3">
      <w:pPr>
        <w:pStyle w:val="a3"/>
        <w:ind w:left="1171" w:right="-33"/>
      </w:pPr>
      <w:r>
        <w:drawing>
          <wp:inline distT="0" distB="0" distL="0" distR="0" wp14:anchorId="16882709" wp14:editId="004E447D">
            <wp:extent cx="1418954" cy="2124837"/>
            <wp:effectExtent l="0" t="0" r="0" b="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109" cstate="print"/>
                    <a:stretch>
                      <a:fillRect/>
                    </a:stretch>
                  </pic:blipFill>
                  <pic:spPr>
                    <a:xfrm>
                      <a:off x="0" y="0"/>
                      <a:ext cx="1418954" cy="2124837"/>
                    </a:xfrm>
                    <a:prstGeom prst="rect">
                      <a:avLst/>
                    </a:prstGeom>
                  </pic:spPr>
                </pic:pic>
              </a:graphicData>
            </a:graphic>
          </wp:inline>
        </w:drawing>
      </w:r>
    </w:p>
    <w:p w14:paraId="3C260C1A" w14:textId="77777777" w:rsidR="002653E8" w:rsidRDefault="003115E3">
      <w:pPr>
        <w:spacing w:before="88" w:line="244" w:lineRule="auto"/>
        <w:ind w:left="1272" w:right="115" w:hanging="1"/>
        <w:jc w:val="center"/>
        <w:rPr>
          <w:i/>
          <w:sz w:val="18"/>
        </w:rPr>
      </w:pPr>
      <w:r>
        <w:rPr>
          <w:i/>
          <w:color w:val="231F20"/>
          <w:w w:val="105"/>
          <w:sz w:val="18"/>
        </w:rPr>
        <w:t>Tommy Weissbecker, murdered by Augsburg police on March 2, 1972.</w:t>
      </w:r>
    </w:p>
    <w:p w14:paraId="1AAB06D5" w14:textId="77777777" w:rsidR="002653E8" w:rsidRDefault="003115E3">
      <w:pPr>
        <w:pStyle w:val="a3"/>
        <w:spacing w:before="86" w:line="264" w:lineRule="auto"/>
        <w:ind w:left="175" w:right="1326" w:firstLine="210"/>
        <w:jc w:val="both"/>
      </w:pPr>
      <w:r>
        <w:br w:type="column"/>
      </w:r>
      <w:r>
        <w:rPr>
          <w:color w:val="231F20"/>
        </w:rPr>
        <w:t>Then, on March 2, police in the Bavarian city</w:t>
      </w:r>
      <w:r>
        <w:rPr>
          <w:color w:val="231F20"/>
          <w:spacing w:val="-14"/>
        </w:rPr>
        <w:t xml:space="preserve"> </w:t>
      </w:r>
      <w:r>
        <w:rPr>
          <w:color w:val="231F20"/>
        </w:rPr>
        <w:t>of</w:t>
      </w:r>
      <w:r>
        <w:rPr>
          <w:color w:val="231F20"/>
          <w:spacing w:val="-14"/>
        </w:rPr>
        <w:t xml:space="preserve"> </w:t>
      </w:r>
      <w:r>
        <w:rPr>
          <w:color w:val="231F20"/>
        </w:rPr>
        <w:t>Augsburg</w:t>
      </w:r>
      <w:r>
        <w:rPr>
          <w:color w:val="231F20"/>
          <w:spacing w:val="-14"/>
        </w:rPr>
        <w:t xml:space="preserve"> </w:t>
      </w:r>
      <w:r>
        <w:rPr>
          <w:color w:val="231F20"/>
        </w:rPr>
        <w:t>killed</w:t>
      </w:r>
      <w:r>
        <w:rPr>
          <w:color w:val="231F20"/>
          <w:spacing w:val="-14"/>
        </w:rPr>
        <w:t xml:space="preserve"> </w:t>
      </w:r>
      <w:r>
        <w:rPr>
          <w:color w:val="231F20"/>
          <w:spacing w:val="-3"/>
        </w:rPr>
        <w:t>Tommy</w:t>
      </w:r>
      <w:r>
        <w:rPr>
          <w:color w:val="231F20"/>
          <w:spacing w:val="-14"/>
        </w:rPr>
        <w:t xml:space="preserve"> </w:t>
      </w:r>
      <w:r>
        <w:rPr>
          <w:color w:val="231F20"/>
        </w:rPr>
        <w:t xml:space="preserve">Weissbecker and captured Carmen Roll </w:t>
      </w:r>
      <w:r>
        <w:rPr>
          <w:color w:val="231F20"/>
          <w:spacing w:val="-4"/>
        </w:rPr>
        <w:t xml:space="preserve">(a </w:t>
      </w:r>
      <w:r>
        <w:rPr>
          <w:color w:val="231F20"/>
        </w:rPr>
        <w:t>former SPK member). Weissbecker was the son of a Jewish concentration camp survivor,</w:t>
      </w:r>
      <w:r>
        <w:rPr>
          <w:color w:val="231F20"/>
          <w:position w:val="7"/>
          <w:sz w:val="11"/>
        </w:rPr>
        <w:t xml:space="preserve">1 </w:t>
      </w:r>
      <w:r>
        <w:rPr>
          <w:color w:val="231F20"/>
        </w:rPr>
        <w:t xml:space="preserve">and had cut his teeth in the Hash Rebels scene before gravitating to the </w:t>
      </w:r>
      <w:r w:rsidR="00C507A5">
        <w:rPr>
          <w:color w:val="231F20"/>
        </w:rPr>
        <w:t>red army faction</w:t>
      </w:r>
      <w:r>
        <w:rPr>
          <w:color w:val="231F20"/>
        </w:rPr>
        <w:t xml:space="preserve">. </w:t>
      </w:r>
      <w:r>
        <w:rPr>
          <w:color w:val="231F20"/>
          <w:spacing w:val="-3"/>
        </w:rPr>
        <w:t>Twenty</w:t>
      </w:r>
      <w:r>
        <w:rPr>
          <w:color w:val="231F20"/>
        </w:rPr>
        <w:t>three</w:t>
      </w:r>
      <w:r>
        <w:rPr>
          <w:color w:val="231F20"/>
          <w:spacing w:val="-14"/>
        </w:rPr>
        <w:t xml:space="preserve"> </w:t>
      </w:r>
      <w:r>
        <w:rPr>
          <w:color w:val="231F20"/>
        </w:rPr>
        <w:t>years</w:t>
      </w:r>
      <w:r>
        <w:rPr>
          <w:color w:val="231F20"/>
          <w:spacing w:val="-14"/>
        </w:rPr>
        <w:t xml:space="preserve"> </w:t>
      </w:r>
      <w:r>
        <w:rPr>
          <w:color w:val="231F20"/>
        </w:rPr>
        <w:t>old,</w:t>
      </w:r>
      <w:r>
        <w:rPr>
          <w:color w:val="231F20"/>
          <w:spacing w:val="-14"/>
        </w:rPr>
        <w:t xml:space="preserve"> </w:t>
      </w:r>
      <w:r>
        <w:rPr>
          <w:color w:val="231F20"/>
        </w:rPr>
        <w:t>he</w:t>
      </w:r>
      <w:r>
        <w:rPr>
          <w:color w:val="231F20"/>
          <w:spacing w:val="-14"/>
        </w:rPr>
        <w:t xml:space="preserve"> </w:t>
      </w:r>
      <w:r>
        <w:rPr>
          <w:color w:val="231F20"/>
        </w:rPr>
        <w:t>was</w:t>
      </w:r>
      <w:r>
        <w:rPr>
          <w:color w:val="231F20"/>
          <w:spacing w:val="-14"/>
        </w:rPr>
        <w:t xml:space="preserve"> </w:t>
      </w:r>
      <w:r>
        <w:rPr>
          <w:color w:val="231F20"/>
        </w:rPr>
        <w:t>never</w:t>
      </w:r>
      <w:r>
        <w:rPr>
          <w:color w:val="231F20"/>
          <w:spacing w:val="-14"/>
        </w:rPr>
        <w:t xml:space="preserve"> </w:t>
      </w:r>
      <w:r>
        <w:rPr>
          <w:color w:val="231F20"/>
        </w:rPr>
        <w:t>given</w:t>
      </w:r>
      <w:r>
        <w:rPr>
          <w:color w:val="231F20"/>
          <w:spacing w:val="-14"/>
        </w:rPr>
        <w:t xml:space="preserve"> </w:t>
      </w:r>
      <w:r>
        <w:rPr>
          <w:color w:val="231F20"/>
        </w:rPr>
        <w:t>a</w:t>
      </w:r>
      <w:r>
        <w:rPr>
          <w:color w:val="231F20"/>
          <w:spacing w:val="-14"/>
        </w:rPr>
        <w:t xml:space="preserve"> </w:t>
      </w:r>
      <w:r>
        <w:rPr>
          <w:color w:val="231F20"/>
        </w:rPr>
        <w:t>chance to</w:t>
      </w:r>
      <w:r>
        <w:rPr>
          <w:color w:val="231F20"/>
          <w:spacing w:val="10"/>
        </w:rPr>
        <w:t xml:space="preserve"> </w:t>
      </w:r>
      <w:r>
        <w:rPr>
          <w:color w:val="231F20"/>
        </w:rPr>
        <w:t>surrender.</w:t>
      </w:r>
    </w:p>
    <w:p w14:paraId="2E31D480" w14:textId="77777777" w:rsidR="002653E8" w:rsidRDefault="003115E3">
      <w:pPr>
        <w:pStyle w:val="a3"/>
        <w:spacing w:line="264" w:lineRule="auto"/>
        <w:ind w:left="166" w:right="1326" w:firstLine="210"/>
        <w:jc w:val="both"/>
      </w:pPr>
      <w:r>
        <w:rPr>
          <w:color w:val="231F20"/>
        </w:rPr>
        <w:t>The killing took place as the two left Weissbecker’s apartment. It was later revealed that the police had had him under surveillance since February, renting an apartment above his, and had been listening in on him just before he went out. This would suggest to many not a chance identity check, but a carefully staged murder.</w:t>
      </w:r>
    </w:p>
    <w:p w14:paraId="48B1F20A" w14:textId="77777777" w:rsidR="002653E8" w:rsidRDefault="002653E8">
      <w:pPr>
        <w:spacing w:line="264" w:lineRule="auto"/>
        <w:jc w:val="both"/>
        <w:sectPr w:rsidR="002653E8">
          <w:pgSz w:w="8640" w:h="12960"/>
          <w:pgMar w:top="1060" w:right="0" w:bottom="1040" w:left="0" w:header="0" w:footer="850" w:gutter="0"/>
          <w:cols w:num="2" w:space="720" w:equalWidth="0">
            <w:col w:w="3414" w:space="40"/>
            <w:col w:w="5186"/>
          </w:cols>
        </w:sectPr>
      </w:pPr>
    </w:p>
    <w:p w14:paraId="6D9F44AB" w14:textId="77777777" w:rsidR="002653E8" w:rsidRDefault="003115E3">
      <w:pPr>
        <w:pStyle w:val="a3"/>
        <w:spacing w:line="216" w:lineRule="exact"/>
        <w:ind w:left="1357"/>
      </w:pPr>
      <w:r>
        <w:rPr>
          <w:color w:val="231F20"/>
        </w:rPr>
        <w:t>In retaliation, the 2nd of June Movement bombed the police head-</w:t>
      </w:r>
    </w:p>
    <w:p w14:paraId="121A4890" w14:textId="77777777" w:rsidR="002653E8" w:rsidRDefault="003115E3">
      <w:pPr>
        <w:pStyle w:val="a3"/>
        <w:spacing w:before="22" w:line="264" w:lineRule="auto"/>
        <w:ind w:left="1147" w:right="1326"/>
        <w:jc w:val="both"/>
      </w:pPr>
      <w:r>
        <w:rPr>
          <w:color w:val="231F20"/>
        </w:rPr>
        <w:t>quarters in West Berlin and, as in the case of Georg von Rauch, an empty building in Berlin was occupied and renamed the Tommy Weissbecker House.</w:t>
      </w:r>
    </w:p>
    <w:p w14:paraId="155E7A48" w14:textId="77777777" w:rsidR="002653E8" w:rsidRDefault="003115E3">
      <w:pPr>
        <w:pStyle w:val="a3"/>
        <w:spacing w:line="264" w:lineRule="auto"/>
        <w:ind w:left="1147" w:right="1326" w:firstLine="210"/>
        <w:jc w:val="both"/>
        <w:rPr>
          <w:sz w:val="11"/>
        </w:rPr>
      </w:pPr>
      <w:r>
        <w:rPr>
          <w:color w:val="231F20"/>
        </w:rPr>
        <w:t xml:space="preserve">While in custody Roll was drugged, apparently in the hope that she would provide police with information; as part of this chemically assisted interrogation, on March </w:t>
      </w:r>
      <w:r>
        <w:rPr>
          <w:color w:val="231F20"/>
          <w:spacing w:val="-6"/>
        </w:rPr>
        <w:t xml:space="preserve">16 </w:t>
      </w:r>
      <w:r>
        <w:rPr>
          <w:color w:val="231F20"/>
        </w:rPr>
        <w:t>the prison doctor gave her such a large</w:t>
      </w:r>
      <w:r>
        <w:rPr>
          <w:color w:val="231F20"/>
          <w:spacing w:val="10"/>
        </w:rPr>
        <w:t xml:space="preserve"> </w:t>
      </w:r>
      <w:r>
        <w:rPr>
          <w:color w:val="231F20"/>
        </w:rPr>
        <w:t>dose</w:t>
      </w:r>
      <w:r>
        <w:rPr>
          <w:color w:val="231F20"/>
          <w:spacing w:val="10"/>
        </w:rPr>
        <w:t xml:space="preserve"> </w:t>
      </w:r>
      <w:r>
        <w:rPr>
          <w:color w:val="231F20"/>
        </w:rPr>
        <w:t>of</w:t>
      </w:r>
      <w:r>
        <w:rPr>
          <w:color w:val="231F20"/>
          <w:spacing w:val="10"/>
        </w:rPr>
        <w:t xml:space="preserve"> </w:t>
      </w:r>
      <w:r>
        <w:rPr>
          <w:color w:val="231F20"/>
        </w:rPr>
        <w:t>ether</w:t>
      </w:r>
      <w:r>
        <w:rPr>
          <w:color w:val="231F20"/>
          <w:spacing w:val="10"/>
        </w:rPr>
        <w:t xml:space="preserve"> </w:t>
      </w:r>
      <w:r>
        <w:rPr>
          <w:color w:val="231F20"/>
        </w:rPr>
        <w:t>that</w:t>
      </w:r>
      <w:r>
        <w:rPr>
          <w:color w:val="231F20"/>
          <w:spacing w:val="10"/>
        </w:rPr>
        <w:t xml:space="preserve"> </w:t>
      </w:r>
      <w:r>
        <w:rPr>
          <w:color w:val="231F20"/>
        </w:rPr>
        <w:t>she</w:t>
      </w:r>
      <w:r>
        <w:rPr>
          <w:color w:val="231F20"/>
          <w:spacing w:val="10"/>
        </w:rPr>
        <w:t xml:space="preserve"> </w:t>
      </w:r>
      <w:r>
        <w:rPr>
          <w:color w:val="231F20"/>
        </w:rPr>
        <w:t>almost</w:t>
      </w:r>
      <w:r>
        <w:rPr>
          <w:color w:val="231F20"/>
          <w:spacing w:val="10"/>
        </w:rPr>
        <w:t xml:space="preserve"> </w:t>
      </w:r>
      <w:r>
        <w:rPr>
          <w:color w:val="231F20"/>
        </w:rPr>
        <w:t>died.</w:t>
      </w:r>
      <w:r>
        <w:rPr>
          <w:color w:val="231F20"/>
          <w:position w:val="7"/>
          <w:sz w:val="11"/>
        </w:rPr>
        <w:t>2</w:t>
      </w:r>
    </w:p>
    <w:p w14:paraId="6485D7F2" w14:textId="77777777" w:rsidR="002653E8" w:rsidRDefault="003115E3">
      <w:pPr>
        <w:pStyle w:val="a3"/>
        <w:spacing w:line="264" w:lineRule="auto"/>
        <w:ind w:left="1148" w:right="1317" w:firstLine="209"/>
        <w:jc w:val="both"/>
      </w:pPr>
      <w:r>
        <w:rPr>
          <w:color w:val="231F20"/>
        </w:rPr>
        <w:t xml:space="preserve">News of Weissbecker’s murder spead quickly. </w:t>
      </w:r>
      <w:r>
        <w:rPr>
          <w:color w:val="231F20"/>
          <w:spacing w:val="1"/>
        </w:rPr>
        <w:t xml:space="preserve">In </w:t>
      </w:r>
      <w:r>
        <w:rPr>
          <w:color w:val="231F20"/>
        </w:rPr>
        <w:t xml:space="preserve">Hamburg, </w:t>
      </w:r>
      <w:r w:rsidR="00C507A5">
        <w:rPr>
          <w:color w:val="231F20"/>
          <w:spacing w:val="6"/>
        </w:rPr>
        <w:t>red army faction</w:t>
      </w:r>
      <w:r>
        <w:rPr>
          <w:color w:val="231F20"/>
          <w:spacing w:val="6"/>
        </w:rPr>
        <w:t xml:space="preserve"> </w:t>
      </w:r>
      <w:r>
        <w:rPr>
          <w:color w:val="231F20"/>
        </w:rPr>
        <w:t xml:space="preserve">members Manfred Grashof and Wolfgang Grundmann  feared  this meant the safehouse they were staying at—which had been rented by Weissbecker—might also be compromised. </w:t>
      </w:r>
      <w:r w:rsidR="00C507A5">
        <w:rPr>
          <w:color w:val="231F20"/>
          <w:spacing w:val="5"/>
        </w:rPr>
        <w:t>red army faction</w:t>
      </w:r>
      <w:r>
        <w:rPr>
          <w:color w:val="231F20"/>
          <w:spacing w:val="5"/>
        </w:rPr>
        <w:t xml:space="preserve"> </w:t>
      </w:r>
      <w:r>
        <w:rPr>
          <w:color w:val="231F20"/>
        </w:rPr>
        <w:t>policy in such situations was to simply leave the house and never return, but Grashof, whose speciality was producing false documents, decide to  risk  one trip back to gather some items he needed. When he and Grundmann returned, three cops were sitting inside in the dark. As soon as the guerillas opened the door, even before they turned on the lights on, a cop</w:t>
      </w:r>
      <w:r>
        <w:rPr>
          <w:color w:val="231F20"/>
          <w:spacing w:val="25"/>
        </w:rPr>
        <w:t xml:space="preserve"> </w:t>
      </w:r>
      <w:r>
        <w:rPr>
          <w:color w:val="231F20"/>
        </w:rPr>
        <w:t>panicked</w:t>
      </w:r>
      <w:r>
        <w:rPr>
          <w:color w:val="231F20"/>
          <w:spacing w:val="25"/>
        </w:rPr>
        <w:t xml:space="preserve"> </w:t>
      </w:r>
      <w:r>
        <w:rPr>
          <w:color w:val="231F20"/>
        </w:rPr>
        <w:t>and</w:t>
      </w:r>
      <w:r>
        <w:rPr>
          <w:color w:val="231F20"/>
          <w:spacing w:val="25"/>
        </w:rPr>
        <w:t xml:space="preserve"> </w:t>
      </w:r>
      <w:r>
        <w:rPr>
          <w:color w:val="231F20"/>
        </w:rPr>
        <w:t>started</w:t>
      </w:r>
      <w:r>
        <w:rPr>
          <w:color w:val="231F20"/>
          <w:spacing w:val="25"/>
        </w:rPr>
        <w:t xml:space="preserve"> </w:t>
      </w:r>
      <w:r>
        <w:rPr>
          <w:color w:val="231F20"/>
        </w:rPr>
        <w:t>shooting.</w:t>
      </w:r>
      <w:r>
        <w:rPr>
          <w:color w:val="231F20"/>
          <w:position w:val="7"/>
          <w:sz w:val="11"/>
        </w:rPr>
        <w:t>3</w:t>
      </w:r>
      <w:r>
        <w:rPr>
          <w:color w:val="231F20"/>
          <w:spacing w:val="15"/>
          <w:position w:val="7"/>
          <w:sz w:val="11"/>
        </w:rPr>
        <w:t xml:space="preserve"> </w:t>
      </w:r>
      <w:r>
        <w:rPr>
          <w:color w:val="231F20"/>
        </w:rPr>
        <w:t>Grashof</w:t>
      </w:r>
      <w:r>
        <w:rPr>
          <w:color w:val="231F20"/>
          <w:spacing w:val="25"/>
        </w:rPr>
        <w:t xml:space="preserve"> </w:t>
      </w:r>
      <w:r>
        <w:rPr>
          <w:color w:val="231F20"/>
        </w:rPr>
        <w:t>was</w:t>
      </w:r>
      <w:r>
        <w:rPr>
          <w:color w:val="231F20"/>
          <w:spacing w:val="25"/>
        </w:rPr>
        <w:t xml:space="preserve"> </w:t>
      </w:r>
      <w:r>
        <w:rPr>
          <w:color w:val="231F20"/>
        </w:rPr>
        <w:t>shot</w:t>
      </w:r>
      <w:r>
        <w:rPr>
          <w:color w:val="231F20"/>
          <w:spacing w:val="25"/>
        </w:rPr>
        <w:t xml:space="preserve"> </w:t>
      </w:r>
      <w:r>
        <w:rPr>
          <w:color w:val="231F20"/>
        </w:rPr>
        <w:t>three</w:t>
      </w:r>
      <w:r>
        <w:rPr>
          <w:color w:val="231F20"/>
          <w:spacing w:val="25"/>
        </w:rPr>
        <w:t xml:space="preserve"> </w:t>
      </w:r>
      <w:r>
        <w:rPr>
          <w:color w:val="231F20"/>
        </w:rPr>
        <w:t>times.</w:t>
      </w:r>
      <w:r>
        <w:rPr>
          <w:color w:val="231F20"/>
          <w:spacing w:val="25"/>
        </w:rPr>
        <w:t xml:space="preserve"> </w:t>
      </w:r>
      <w:r>
        <w:rPr>
          <w:color w:val="231F20"/>
        </w:rPr>
        <w:t>He</w:t>
      </w:r>
    </w:p>
    <w:p w14:paraId="7DBA5D2A" w14:textId="77777777" w:rsidR="002653E8" w:rsidRDefault="00000000">
      <w:pPr>
        <w:pStyle w:val="a3"/>
        <w:spacing w:before="5"/>
        <w:rPr>
          <w:sz w:val="18"/>
        </w:rPr>
      </w:pPr>
      <w:r>
        <w:rPr>
          <w:noProof w:val="0"/>
        </w:rPr>
        <w:pict w14:anchorId="55A61612">
          <v:line id="_x0000_s2585" style="position:absolute;z-index:3880;mso-wrap-distance-left:0;mso-wrap-distance-right:0;mso-position-horizontal-relative:page" from="57.4pt,13.05pt" to="129.4pt,13.05pt" strokecolor="#231f20" strokeweight=".5pt">
            <w10:wrap type="topAndBottom" anchorx="page"/>
          </v:line>
        </w:pict>
      </w:r>
    </w:p>
    <w:p w14:paraId="719516EE" w14:textId="77777777" w:rsidR="002653E8" w:rsidRDefault="003115E3">
      <w:pPr>
        <w:pStyle w:val="a4"/>
        <w:numPr>
          <w:ilvl w:val="0"/>
          <w:numId w:val="156"/>
        </w:numPr>
        <w:tabs>
          <w:tab w:val="left" w:pos="1287"/>
        </w:tabs>
        <w:spacing w:before="53" w:line="254" w:lineRule="auto"/>
        <w:ind w:right="1735" w:firstLine="0"/>
        <w:rPr>
          <w:sz w:val="16"/>
        </w:rPr>
      </w:pPr>
      <w:r>
        <w:rPr>
          <w:color w:val="231F20"/>
          <w:w w:val="105"/>
          <w:sz w:val="16"/>
        </w:rPr>
        <w:t>Tilman Fichter, interview by Philipp Gessler and Stefan Reinecke, “The antiSemitism of the</w:t>
      </w:r>
      <w:r>
        <w:rPr>
          <w:color w:val="231F20"/>
          <w:spacing w:val="25"/>
          <w:w w:val="105"/>
          <w:sz w:val="16"/>
        </w:rPr>
        <w:t xml:space="preserve"> </w:t>
      </w:r>
      <w:r>
        <w:rPr>
          <w:color w:val="231F20"/>
          <w:w w:val="105"/>
          <w:sz w:val="16"/>
        </w:rPr>
        <w:t>68ers.”</w:t>
      </w:r>
    </w:p>
    <w:p w14:paraId="7F9DA045" w14:textId="77777777" w:rsidR="002653E8" w:rsidRPr="00C507A5" w:rsidRDefault="003115E3">
      <w:pPr>
        <w:pStyle w:val="a4"/>
        <w:numPr>
          <w:ilvl w:val="0"/>
          <w:numId w:val="156"/>
        </w:numPr>
        <w:tabs>
          <w:tab w:val="left" w:pos="1287"/>
        </w:tabs>
        <w:spacing w:line="357" w:lineRule="auto"/>
        <w:ind w:right="1454" w:firstLine="0"/>
        <w:rPr>
          <w:sz w:val="16"/>
          <w:lang w:val="de-DE"/>
        </w:rPr>
      </w:pPr>
      <w:r w:rsidRPr="00C507A5">
        <w:rPr>
          <w:color w:val="231F20"/>
          <w:w w:val="105"/>
          <w:sz w:val="16"/>
          <w:lang w:val="de-DE"/>
        </w:rPr>
        <w:t xml:space="preserve">Komitees gegen Folter, </w:t>
      </w:r>
      <w:r w:rsidRPr="00C507A5">
        <w:rPr>
          <w:i/>
          <w:color w:val="231F20"/>
          <w:spacing w:val="1"/>
          <w:w w:val="105"/>
          <w:sz w:val="16"/>
          <w:lang w:val="de-DE"/>
        </w:rPr>
        <w:t xml:space="preserve">Der </w:t>
      </w:r>
      <w:r w:rsidRPr="00C507A5">
        <w:rPr>
          <w:i/>
          <w:color w:val="231F20"/>
          <w:w w:val="105"/>
          <w:sz w:val="16"/>
          <w:lang w:val="de-DE"/>
        </w:rPr>
        <w:t xml:space="preserve">Kampf Gegen die Vernichtungshaft </w:t>
      </w:r>
      <w:r w:rsidRPr="00C507A5">
        <w:rPr>
          <w:color w:val="231F20"/>
          <w:w w:val="105"/>
          <w:sz w:val="16"/>
          <w:lang w:val="de-DE"/>
        </w:rPr>
        <w:t xml:space="preserve">(n.p.) (n.d.), </w:t>
      </w:r>
      <w:r w:rsidRPr="00C507A5">
        <w:rPr>
          <w:color w:val="231F20"/>
          <w:spacing w:val="-5"/>
          <w:w w:val="105"/>
          <w:sz w:val="16"/>
          <w:lang w:val="de-DE"/>
        </w:rPr>
        <w:t xml:space="preserve">131.       </w:t>
      </w:r>
      <w:r w:rsidRPr="00C507A5">
        <w:rPr>
          <w:color w:val="231F20"/>
          <w:w w:val="105"/>
          <w:sz w:val="16"/>
          <w:lang w:val="de-DE"/>
        </w:rPr>
        <w:t>3</w:t>
      </w:r>
      <w:r w:rsidRPr="00C507A5">
        <w:rPr>
          <w:color w:val="231F20"/>
          <w:spacing w:val="20"/>
          <w:w w:val="105"/>
          <w:sz w:val="16"/>
          <w:lang w:val="de-DE"/>
        </w:rPr>
        <w:t xml:space="preserve"> </w:t>
      </w:r>
      <w:r w:rsidRPr="00C507A5">
        <w:rPr>
          <w:color w:val="231F20"/>
          <w:w w:val="105"/>
          <w:sz w:val="16"/>
          <w:lang w:val="de-DE"/>
        </w:rPr>
        <w:t>Gabriele</w:t>
      </w:r>
      <w:r w:rsidRPr="00C507A5">
        <w:rPr>
          <w:color w:val="231F20"/>
          <w:spacing w:val="20"/>
          <w:w w:val="105"/>
          <w:sz w:val="16"/>
          <w:lang w:val="de-DE"/>
        </w:rPr>
        <w:t xml:space="preserve"> </w:t>
      </w:r>
      <w:r w:rsidRPr="00C507A5">
        <w:rPr>
          <w:color w:val="231F20"/>
          <w:spacing w:val="1"/>
          <w:w w:val="105"/>
          <w:sz w:val="16"/>
          <w:lang w:val="de-DE"/>
        </w:rPr>
        <w:t>Goettle,</w:t>
      </w:r>
      <w:r w:rsidRPr="00C507A5">
        <w:rPr>
          <w:color w:val="231F20"/>
          <w:spacing w:val="20"/>
          <w:w w:val="105"/>
          <w:sz w:val="16"/>
          <w:lang w:val="de-DE"/>
        </w:rPr>
        <w:t xml:space="preserve"> </w:t>
      </w:r>
      <w:r w:rsidRPr="00C507A5">
        <w:rPr>
          <w:color w:val="231F20"/>
          <w:w w:val="105"/>
          <w:sz w:val="16"/>
          <w:lang w:val="de-DE"/>
        </w:rPr>
        <w:t>“Die</w:t>
      </w:r>
      <w:r w:rsidRPr="00C507A5">
        <w:rPr>
          <w:color w:val="231F20"/>
          <w:spacing w:val="20"/>
          <w:w w:val="105"/>
          <w:sz w:val="16"/>
          <w:lang w:val="de-DE"/>
        </w:rPr>
        <w:t xml:space="preserve"> </w:t>
      </w:r>
      <w:r w:rsidRPr="00C507A5">
        <w:rPr>
          <w:color w:val="231F20"/>
          <w:w w:val="105"/>
          <w:sz w:val="16"/>
          <w:lang w:val="de-DE"/>
        </w:rPr>
        <w:t>Praxis</w:t>
      </w:r>
      <w:r w:rsidRPr="00C507A5">
        <w:rPr>
          <w:color w:val="231F20"/>
          <w:spacing w:val="20"/>
          <w:w w:val="105"/>
          <w:sz w:val="16"/>
          <w:lang w:val="de-DE"/>
        </w:rPr>
        <w:t xml:space="preserve"> </w:t>
      </w:r>
      <w:r w:rsidRPr="00C507A5">
        <w:rPr>
          <w:color w:val="231F20"/>
          <w:w w:val="105"/>
          <w:sz w:val="16"/>
          <w:lang w:val="de-DE"/>
        </w:rPr>
        <w:t>der</w:t>
      </w:r>
      <w:r w:rsidRPr="00C507A5">
        <w:rPr>
          <w:color w:val="231F20"/>
          <w:spacing w:val="20"/>
          <w:w w:val="105"/>
          <w:sz w:val="16"/>
          <w:lang w:val="de-DE"/>
        </w:rPr>
        <w:t xml:space="preserve"> </w:t>
      </w:r>
      <w:r w:rsidRPr="00C507A5">
        <w:rPr>
          <w:color w:val="231F20"/>
          <w:w w:val="105"/>
          <w:sz w:val="16"/>
          <w:lang w:val="de-DE"/>
        </w:rPr>
        <w:t>Galaxie,”</w:t>
      </w:r>
      <w:r w:rsidRPr="00C507A5">
        <w:rPr>
          <w:color w:val="231F20"/>
          <w:spacing w:val="20"/>
          <w:w w:val="105"/>
          <w:sz w:val="16"/>
          <w:lang w:val="de-DE"/>
        </w:rPr>
        <w:t xml:space="preserve"> </w:t>
      </w:r>
      <w:r w:rsidRPr="00C507A5">
        <w:rPr>
          <w:i/>
          <w:color w:val="231F20"/>
          <w:w w:val="105"/>
          <w:sz w:val="16"/>
          <w:lang w:val="de-DE"/>
        </w:rPr>
        <w:t>die</w:t>
      </w:r>
      <w:r w:rsidRPr="00C507A5">
        <w:rPr>
          <w:i/>
          <w:color w:val="231F20"/>
          <w:spacing w:val="32"/>
          <w:w w:val="105"/>
          <w:sz w:val="16"/>
          <w:lang w:val="de-DE"/>
        </w:rPr>
        <w:t xml:space="preserve"> </w:t>
      </w:r>
      <w:r w:rsidRPr="00C507A5">
        <w:rPr>
          <w:i/>
          <w:color w:val="231F20"/>
          <w:w w:val="105"/>
          <w:sz w:val="16"/>
          <w:lang w:val="de-DE"/>
        </w:rPr>
        <w:t>tageszeitung,</w:t>
      </w:r>
      <w:r w:rsidRPr="00C507A5">
        <w:rPr>
          <w:i/>
          <w:color w:val="231F20"/>
          <w:spacing w:val="20"/>
          <w:w w:val="105"/>
          <w:sz w:val="16"/>
          <w:lang w:val="de-DE"/>
        </w:rPr>
        <w:t xml:space="preserve"> </w:t>
      </w:r>
      <w:r w:rsidRPr="00C507A5">
        <w:rPr>
          <w:color w:val="231F20"/>
          <w:w w:val="105"/>
          <w:sz w:val="16"/>
          <w:lang w:val="de-DE"/>
        </w:rPr>
        <w:t>July</w:t>
      </w:r>
      <w:r w:rsidRPr="00C507A5">
        <w:rPr>
          <w:color w:val="231F20"/>
          <w:spacing w:val="20"/>
          <w:w w:val="105"/>
          <w:sz w:val="16"/>
          <w:lang w:val="de-DE"/>
        </w:rPr>
        <w:t xml:space="preserve"> </w:t>
      </w:r>
      <w:r w:rsidRPr="00C507A5">
        <w:rPr>
          <w:color w:val="231F20"/>
          <w:w w:val="105"/>
          <w:sz w:val="16"/>
          <w:lang w:val="de-DE"/>
        </w:rPr>
        <w:t>28,</w:t>
      </w:r>
      <w:r w:rsidRPr="00C507A5">
        <w:rPr>
          <w:color w:val="231F20"/>
          <w:spacing w:val="20"/>
          <w:w w:val="105"/>
          <w:sz w:val="16"/>
          <w:lang w:val="de-DE"/>
        </w:rPr>
        <w:t xml:space="preserve"> </w:t>
      </w:r>
      <w:r w:rsidRPr="00C507A5">
        <w:rPr>
          <w:color w:val="231F20"/>
          <w:w w:val="105"/>
          <w:sz w:val="16"/>
          <w:lang w:val="de-DE"/>
        </w:rPr>
        <w:t>2008.</w:t>
      </w:r>
    </w:p>
    <w:p w14:paraId="5D1A61FD" w14:textId="77777777" w:rsidR="002653E8" w:rsidRPr="00C507A5" w:rsidRDefault="002653E8">
      <w:pPr>
        <w:spacing w:line="357" w:lineRule="auto"/>
        <w:rPr>
          <w:sz w:val="16"/>
          <w:lang w:val="de-DE"/>
        </w:rPr>
        <w:sectPr w:rsidR="002653E8" w:rsidRPr="00C507A5">
          <w:type w:val="continuous"/>
          <w:pgSz w:w="8640" w:h="12960"/>
          <w:pgMar w:top="0" w:right="0" w:bottom="0" w:left="0" w:header="720" w:footer="720" w:gutter="0"/>
          <w:cols w:space="720"/>
        </w:sectPr>
      </w:pPr>
    </w:p>
    <w:p w14:paraId="582E088A" w14:textId="77777777" w:rsidR="002653E8" w:rsidRDefault="003115E3">
      <w:pPr>
        <w:pStyle w:val="a3"/>
        <w:spacing w:before="86" w:line="264" w:lineRule="auto"/>
        <w:ind w:left="1327" w:right="1145"/>
        <w:rPr>
          <w:sz w:val="11"/>
        </w:rPr>
      </w:pPr>
      <w:r>
        <w:rPr>
          <w:color w:val="231F20"/>
        </w:rPr>
        <w:lastRenderedPageBreak/>
        <w:t>returned fire, aiming blindly in the dark, and hit police commissioner Hans Eckardt, fatally wounding him.</w:t>
      </w:r>
      <w:r>
        <w:rPr>
          <w:color w:val="231F20"/>
          <w:position w:val="7"/>
          <w:sz w:val="11"/>
        </w:rPr>
        <w:t>4</w:t>
      </w:r>
    </w:p>
    <w:p w14:paraId="790A89F8" w14:textId="77777777" w:rsidR="002653E8" w:rsidRDefault="003115E3">
      <w:pPr>
        <w:pStyle w:val="a3"/>
        <w:spacing w:line="264" w:lineRule="auto"/>
        <w:ind w:left="1327" w:right="1146" w:firstLine="209"/>
        <w:jc w:val="both"/>
        <w:rPr>
          <w:sz w:val="11"/>
        </w:rPr>
      </w:pPr>
      <w:r>
        <w:rPr>
          <w:color w:val="231F20"/>
        </w:rPr>
        <w:t xml:space="preserve">Grundmann had come to the </w:t>
      </w:r>
      <w:r w:rsidR="00C507A5">
        <w:rPr>
          <w:color w:val="231F20"/>
          <w:spacing w:val="5"/>
        </w:rPr>
        <w:t>red army faction</w:t>
      </w:r>
      <w:r>
        <w:rPr>
          <w:color w:val="231F20"/>
          <w:spacing w:val="5"/>
        </w:rPr>
        <w:t xml:space="preserve"> </w:t>
      </w:r>
      <w:r>
        <w:rPr>
          <w:color w:val="231F20"/>
        </w:rPr>
        <w:t xml:space="preserve">from  </w:t>
      </w:r>
      <w:r>
        <w:rPr>
          <w:i/>
          <w:color w:val="231F20"/>
        </w:rPr>
        <w:t>Schwarze  Hilfe</w:t>
      </w:r>
      <w:r>
        <w:rPr>
          <w:color w:val="231F20"/>
        </w:rPr>
        <w:t>,  or  Black  Aid,</w:t>
      </w:r>
      <w:r>
        <w:rPr>
          <w:color w:val="231F20"/>
          <w:spacing w:val="15"/>
        </w:rPr>
        <w:t xml:space="preserve"> </w:t>
      </w:r>
      <w:r>
        <w:rPr>
          <w:color w:val="231F20"/>
        </w:rPr>
        <w:t>a</w:t>
      </w:r>
      <w:r>
        <w:rPr>
          <w:color w:val="231F20"/>
          <w:spacing w:val="15"/>
        </w:rPr>
        <w:t xml:space="preserve"> </w:t>
      </w:r>
      <w:r>
        <w:rPr>
          <w:color w:val="231F20"/>
        </w:rPr>
        <w:t>support</w:t>
      </w:r>
      <w:r>
        <w:rPr>
          <w:color w:val="231F20"/>
          <w:spacing w:val="15"/>
        </w:rPr>
        <w:t xml:space="preserve"> </w:t>
      </w:r>
      <w:r>
        <w:rPr>
          <w:color w:val="231F20"/>
        </w:rPr>
        <w:t>group</w:t>
      </w:r>
      <w:r>
        <w:rPr>
          <w:color w:val="231F20"/>
          <w:spacing w:val="15"/>
        </w:rPr>
        <w:t xml:space="preserve"> </w:t>
      </w:r>
      <w:r>
        <w:rPr>
          <w:color w:val="231F20"/>
        </w:rPr>
        <w:t>for</w:t>
      </w:r>
      <w:r>
        <w:rPr>
          <w:color w:val="231F20"/>
          <w:spacing w:val="15"/>
        </w:rPr>
        <w:t xml:space="preserve"> </w:t>
      </w:r>
      <w:r>
        <w:rPr>
          <w:color w:val="231F20"/>
        </w:rPr>
        <w:t>anarchist</w:t>
      </w:r>
      <w:r>
        <w:rPr>
          <w:color w:val="231F20"/>
          <w:spacing w:val="15"/>
        </w:rPr>
        <w:t xml:space="preserve"> </w:t>
      </w:r>
      <w:r>
        <w:rPr>
          <w:color w:val="231F20"/>
        </w:rPr>
        <w:t>political</w:t>
      </w:r>
      <w:r>
        <w:rPr>
          <w:color w:val="231F20"/>
          <w:spacing w:val="15"/>
        </w:rPr>
        <w:t xml:space="preserve"> </w:t>
      </w:r>
      <w:r>
        <w:rPr>
          <w:color w:val="231F20"/>
        </w:rPr>
        <w:t>prisoners</w:t>
      </w:r>
      <w:r>
        <w:rPr>
          <w:color w:val="231F20"/>
          <w:spacing w:val="15"/>
        </w:rPr>
        <w:t xml:space="preserve"> </w:t>
      </w:r>
      <w:r>
        <w:rPr>
          <w:color w:val="231F20"/>
        </w:rPr>
        <w:t>in</w:t>
      </w:r>
      <w:r>
        <w:rPr>
          <w:color w:val="231F20"/>
          <w:spacing w:val="15"/>
        </w:rPr>
        <w:t xml:space="preserve"> </w:t>
      </w:r>
      <w:r>
        <w:rPr>
          <w:color w:val="231F20"/>
          <w:spacing w:val="-3"/>
        </w:rPr>
        <w:t>West</w:t>
      </w:r>
      <w:r>
        <w:rPr>
          <w:color w:val="231F20"/>
          <w:spacing w:val="15"/>
        </w:rPr>
        <w:t xml:space="preserve"> </w:t>
      </w:r>
      <w:r>
        <w:rPr>
          <w:color w:val="231F20"/>
        </w:rPr>
        <w:t>Berlin.</w:t>
      </w:r>
      <w:r>
        <w:rPr>
          <w:color w:val="231F20"/>
          <w:position w:val="7"/>
          <w:sz w:val="11"/>
        </w:rPr>
        <w:t>5</w:t>
      </w:r>
    </w:p>
    <w:p w14:paraId="245BE841" w14:textId="77777777" w:rsidR="002653E8" w:rsidRDefault="003115E3">
      <w:pPr>
        <w:pStyle w:val="a3"/>
        <w:spacing w:line="264" w:lineRule="auto"/>
        <w:ind w:left="1327" w:right="1146" w:firstLine="210"/>
        <w:jc w:val="both"/>
      </w:pPr>
      <w:r>
        <w:rPr>
          <w:color w:val="231F20"/>
        </w:rPr>
        <w:t xml:space="preserve">As for Grashof, he had come to </w:t>
      </w:r>
      <w:r>
        <w:rPr>
          <w:color w:val="231F20"/>
          <w:spacing w:val="-3"/>
        </w:rPr>
        <w:t xml:space="preserve">West </w:t>
      </w:r>
      <w:r>
        <w:rPr>
          <w:color w:val="231F20"/>
        </w:rPr>
        <w:t xml:space="preserve">Berlin in </w:t>
      </w:r>
      <w:r>
        <w:rPr>
          <w:color w:val="231F20"/>
          <w:spacing w:val="-4"/>
        </w:rPr>
        <w:t xml:space="preserve">1968 </w:t>
      </w:r>
      <w:r>
        <w:rPr>
          <w:color w:val="231F20"/>
        </w:rPr>
        <w:t>as an army deserter, and had joined with Horst Mahler in the Republican Club arguing that</w:t>
      </w:r>
      <w:r>
        <w:rPr>
          <w:color w:val="231F20"/>
          <w:spacing w:val="-4"/>
        </w:rPr>
        <w:t xml:space="preserve"> </w:t>
      </w:r>
      <w:r>
        <w:rPr>
          <w:color w:val="231F20"/>
        </w:rPr>
        <w:t>the</w:t>
      </w:r>
      <w:r>
        <w:rPr>
          <w:color w:val="231F20"/>
          <w:spacing w:val="-4"/>
        </w:rPr>
        <w:t xml:space="preserve"> </w:t>
      </w:r>
      <w:r>
        <w:rPr>
          <w:color w:val="231F20"/>
        </w:rPr>
        <w:t>semi-city</w:t>
      </w:r>
      <w:r>
        <w:rPr>
          <w:color w:val="231F20"/>
          <w:spacing w:val="-4"/>
        </w:rPr>
        <w:t xml:space="preserve"> </w:t>
      </w:r>
      <w:r>
        <w:rPr>
          <w:color w:val="231F20"/>
        </w:rPr>
        <w:t>be</w:t>
      </w:r>
      <w:r>
        <w:rPr>
          <w:color w:val="231F20"/>
          <w:spacing w:val="-4"/>
        </w:rPr>
        <w:t xml:space="preserve"> </w:t>
      </w:r>
      <w:r>
        <w:rPr>
          <w:color w:val="231F20"/>
        </w:rPr>
        <w:t>turned</w:t>
      </w:r>
      <w:r>
        <w:rPr>
          <w:color w:val="231F20"/>
          <w:spacing w:val="-4"/>
        </w:rPr>
        <w:t xml:space="preserve"> </w:t>
      </w:r>
      <w:r>
        <w:rPr>
          <w:color w:val="231F20"/>
        </w:rPr>
        <w:t>into</w:t>
      </w:r>
      <w:r>
        <w:rPr>
          <w:color w:val="231F20"/>
          <w:spacing w:val="-4"/>
        </w:rPr>
        <w:t xml:space="preserve"> </w:t>
      </w:r>
      <w:r>
        <w:rPr>
          <w:color w:val="231F20"/>
        </w:rPr>
        <w:t>an</w:t>
      </w:r>
      <w:r>
        <w:rPr>
          <w:color w:val="231F20"/>
          <w:spacing w:val="-4"/>
        </w:rPr>
        <w:t xml:space="preserve"> </w:t>
      </w:r>
      <w:r>
        <w:rPr>
          <w:color w:val="231F20"/>
        </w:rPr>
        <w:t>official</w:t>
      </w:r>
      <w:r>
        <w:rPr>
          <w:color w:val="231F20"/>
          <w:spacing w:val="-4"/>
        </w:rPr>
        <w:t xml:space="preserve"> </w:t>
      </w:r>
      <w:r>
        <w:rPr>
          <w:color w:val="231F20"/>
        </w:rPr>
        <w:t>refuge</w:t>
      </w:r>
      <w:r>
        <w:rPr>
          <w:color w:val="231F20"/>
          <w:spacing w:val="-4"/>
        </w:rPr>
        <w:t xml:space="preserve"> </w:t>
      </w:r>
      <w:r>
        <w:rPr>
          <w:color w:val="231F20"/>
        </w:rPr>
        <w:t>for</w:t>
      </w:r>
      <w:r>
        <w:rPr>
          <w:color w:val="231F20"/>
          <w:spacing w:val="-4"/>
        </w:rPr>
        <w:t xml:space="preserve"> </w:t>
      </w:r>
      <w:r>
        <w:rPr>
          <w:color w:val="231F20"/>
        </w:rPr>
        <w:t>others</w:t>
      </w:r>
      <w:r>
        <w:rPr>
          <w:color w:val="231F20"/>
          <w:spacing w:val="-4"/>
        </w:rPr>
        <w:t xml:space="preserve"> </w:t>
      </w:r>
      <w:r>
        <w:rPr>
          <w:color w:val="231F20"/>
        </w:rPr>
        <w:t>fleeing</w:t>
      </w:r>
      <w:r>
        <w:rPr>
          <w:color w:val="231F20"/>
          <w:spacing w:val="-4"/>
        </w:rPr>
        <w:t xml:space="preserve"> </w:t>
      </w:r>
      <w:r>
        <w:rPr>
          <w:color w:val="231F20"/>
        </w:rPr>
        <w:t>mili</w:t>
      </w:r>
      <w:r>
        <w:rPr>
          <w:color w:val="231F20"/>
          <w:spacing w:val="1"/>
        </w:rPr>
        <w:t xml:space="preserve">tary </w:t>
      </w:r>
      <w:r>
        <w:rPr>
          <w:color w:val="231F20"/>
        </w:rPr>
        <w:t>service.</w:t>
      </w:r>
      <w:r>
        <w:rPr>
          <w:color w:val="231F20"/>
          <w:position w:val="7"/>
          <w:sz w:val="11"/>
        </w:rPr>
        <w:t xml:space="preserve">6 </w:t>
      </w:r>
      <w:r>
        <w:rPr>
          <w:color w:val="231F20"/>
        </w:rPr>
        <w:t>He had been with the guerilla from the beginning, being particularly</w:t>
      </w:r>
      <w:r>
        <w:rPr>
          <w:color w:val="231F20"/>
          <w:spacing w:val="8"/>
        </w:rPr>
        <w:t xml:space="preserve"> </w:t>
      </w:r>
      <w:r>
        <w:rPr>
          <w:color w:val="231F20"/>
        </w:rPr>
        <w:t>close</w:t>
      </w:r>
      <w:r>
        <w:rPr>
          <w:color w:val="231F20"/>
          <w:spacing w:val="8"/>
        </w:rPr>
        <w:t xml:space="preserve"> </w:t>
      </w:r>
      <w:r>
        <w:rPr>
          <w:color w:val="231F20"/>
        </w:rPr>
        <w:t>to</w:t>
      </w:r>
      <w:r>
        <w:rPr>
          <w:color w:val="231F20"/>
          <w:spacing w:val="8"/>
        </w:rPr>
        <w:t xml:space="preserve"> </w:t>
      </w:r>
      <w:r>
        <w:rPr>
          <w:color w:val="231F20"/>
        </w:rPr>
        <w:t>Petra</w:t>
      </w:r>
      <w:r>
        <w:rPr>
          <w:color w:val="231F20"/>
          <w:spacing w:val="8"/>
        </w:rPr>
        <w:t xml:space="preserve"> </w:t>
      </w:r>
      <w:r>
        <w:rPr>
          <w:color w:val="231F20"/>
        </w:rPr>
        <w:t>Schelm</w:t>
      </w:r>
      <w:r>
        <w:rPr>
          <w:color w:val="231F20"/>
          <w:spacing w:val="8"/>
        </w:rPr>
        <w:t xml:space="preserve"> </w:t>
      </w:r>
      <w:r>
        <w:rPr>
          <w:color w:val="231F20"/>
        </w:rPr>
        <w:t>and</w:t>
      </w:r>
      <w:r>
        <w:rPr>
          <w:color w:val="231F20"/>
          <w:spacing w:val="8"/>
        </w:rPr>
        <w:t xml:space="preserve"> </w:t>
      </w:r>
      <w:r>
        <w:rPr>
          <w:color w:val="231F20"/>
        </w:rPr>
        <w:t>especially</w:t>
      </w:r>
      <w:r>
        <w:rPr>
          <w:color w:val="231F20"/>
          <w:spacing w:val="8"/>
        </w:rPr>
        <w:t xml:space="preserve"> </w:t>
      </w:r>
      <w:r>
        <w:rPr>
          <w:color w:val="231F20"/>
        </w:rPr>
        <w:t>upset</w:t>
      </w:r>
      <w:r>
        <w:rPr>
          <w:color w:val="231F20"/>
          <w:spacing w:val="8"/>
        </w:rPr>
        <w:t xml:space="preserve"> </w:t>
      </w:r>
      <w:r>
        <w:rPr>
          <w:color w:val="231F20"/>
        </w:rPr>
        <w:t>by</w:t>
      </w:r>
      <w:r>
        <w:rPr>
          <w:color w:val="231F20"/>
          <w:spacing w:val="8"/>
        </w:rPr>
        <w:t xml:space="preserve"> </w:t>
      </w:r>
      <w:r>
        <w:rPr>
          <w:color w:val="231F20"/>
        </w:rPr>
        <w:t>her</w:t>
      </w:r>
      <w:r>
        <w:rPr>
          <w:color w:val="231F20"/>
          <w:spacing w:val="8"/>
        </w:rPr>
        <w:t xml:space="preserve"> </w:t>
      </w:r>
      <w:r>
        <w:rPr>
          <w:color w:val="231F20"/>
        </w:rPr>
        <w:t>death.</w:t>
      </w:r>
    </w:p>
    <w:p w14:paraId="74E9D483" w14:textId="77777777" w:rsidR="002653E8" w:rsidRDefault="003115E3">
      <w:pPr>
        <w:pStyle w:val="a3"/>
        <w:spacing w:line="264" w:lineRule="auto"/>
        <w:ind w:left="1327" w:right="1145" w:firstLine="210"/>
        <w:jc w:val="right"/>
      </w:pPr>
      <w:r>
        <w:rPr>
          <w:color w:val="231F20"/>
        </w:rPr>
        <w:t>Despite his injuries, Grashof was moved from the hospital to a regular</w:t>
      </w:r>
      <w:r>
        <w:rPr>
          <w:color w:val="231F20"/>
          <w:w w:val="94"/>
        </w:rPr>
        <w:t xml:space="preserve"> </w:t>
      </w:r>
      <w:r>
        <w:rPr>
          <w:color w:val="231F20"/>
        </w:rPr>
        <w:t>prison cell by Federal Supreme Court Judge Wolfgang Buddenberg, who</w:t>
      </w:r>
      <w:r>
        <w:rPr>
          <w:color w:val="231F20"/>
          <w:w w:val="104"/>
        </w:rPr>
        <w:t xml:space="preserve"> </w:t>
      </w:r>
      <w:r>
        <w:rPr>
          <w:color w:val="231F20"/>
        </w:rPr>
        <w:t xml:space="preserve">had been put in charge of all </w:t>
      </w:r>
      <w:r w:rsidR="00C507A5">
        <w:rPr>
          <w:color w:val="231F20"/>
        </w:rPr>
        <w:t>red army faction</w:t>
      </w:r>
      <w:r>
        <w:rPr>
          <w:color w:val="231F20"/>
        </w:rPr>
        <w:t xml:space="preserve"> arrests. After two months, he was</w:t>
      </w:r>
      <w:r>
        <w:rPr>
          <w:color w:val="231F20"/>
          <w:w w:val="90"/>
        </w:rPr>
        <w:t xml:space="preserve"> </w:t>
      </w:r>
      <w:r>
        <w:rPr>
          <w:color w:val="231F20"/>
        </w:rPr>
        <w:t>moved into isolation, only allowed to exercise for a half hour each day,</w:t>
      </w:r>
      <w:r>
        <w:rPr>
          <w:color w:val="231F20"/>
          <w:w w:val="135"/>
        </w:rPr>
        <w:t xml:space="preserve"> </w:t>
      </w:r>
      <w:r>
        <w:rPr>
          <w:color w:val="231F20"/>
        </w:rPr>
        <w:t>and even then only with his wrists handcuffed behind his back. As a result of this treatment, his wounds opened up again, but he did not die.</w:t>
      </w:r>
      <w:r>
        <w:rPr>
          <w:color w:val="231F20"/>
          <w:position w:val="7"/>
          <w:sz w:val="11"/>
        </w:rPr>
        <w:t>7</w:t>
      </w:r>
      <w:r>
        <w:rPr>
          <w:color w:val="231F20"/>
          <w:w w:val="106"/>
          <w:position w:val="7"/>
          <w:sz w:val="11"/>
        </w:rPr>
        <w:t xml:space="preserve"> </w:t>
      </w:r>
      <w:r>
        <w:rPr>
          <w:color w:val="231F20"/>
        </w:rPr>
        <w:t>All of this unfolded within a context of increasing and increasingly</w:t>
      </w:r>
      <w:r>
        <w:rPr>
          <w:color w:val="231F20"/>
          <w:w w:val="99"/>
        </w:rPr>
        <w:t xml:space="preserve"> </w:t>
      </w:r>
      <w:r>
        <w:rPr>
          <w:color w:val="231F20"/>
        </w:rPr>
        <w:t>visible police control and new repressive legislation. After having offered the carrot of amnesty and limited reforms, Brandt’s SDP-FDP co-</w:t>
      </w:r>
    </w:p>
    <w:p w14:paraId="498A89B2" w14:textId="77777777" w:rsidR="002653E8" w:rsidRDefault="003115E3">
      <w:pPr>
        <w:pStyle w:val="a3"/>
        <w:spacing w:line="225" w:lineRule="exact"/>
        <w:ind w:left="1328"/>
      </w:pPr>
      <w:r>
        <w:rPr>
          <w:color w:val="231F20"/>
        </w:rPr>
        <w:t>alition was now showing that it also knew how to wield the stick.</w:t>
      </w:r>
    </w:p>
    <w:p w14:paraId="62D13EEA" w14:textId="77777777" w:rsidR="002653E8" w:rsidRDefault="003115E3">
      <w:pPr>
        <w:pStyle w:val="a3"/>
        <w:spacing w:before="13" w:line="264" w:lineRule="auto"/>
        <w:ind w:left="1327" w:right="1145" w:firstLine="210"/>
        <w:jc w:val="both"/>
        <w:rPr>
          <w:sz w:val="11"/>
        </w:rPr>
      </w:pPr>
      <w:r>
        <w:rPr>
          <w:color w:val="231F20"/>
          <w:spacing w:val="1"/>
        </w:rPr>
        <w:t xml:space="preserve">In </w:t>
      </w:r>
      <w:r>
        <w:rPr>
          <w:color w:val="231F20"/>
        </w:rPr>
        <w:t xml:space="preserve">September </w:t>
      </w:r>
      <w:r>
        <w:rPr>
          <w:color w:val="231F20"/>
          <w:spacing w:val="-4"/>
        </w:rPr>
        <w:t xml:space="preserve">1971, </w:t>
      </w:r>
      <w:r>
        <w:rPr>
          <w:color w:val="231F20"/>
        </w:rPr>
        <w:t xml:space="preserve">a new Chief  Commissioner  was  appointed  to the </w:t>
      </w:r>
      <w:r>
        <w:rPr>
          <w:color w:val="231F20"/>
          <w:spacing w:val="2"/>
        </w:rPr>
        <w:t xml:space="preserve">BKA </w:t>
      </w:r>
      <w:r>
        <w:rPr>
          <w:color w:val="231F20"/>
        </w:rPr>
        <w:t xml:space="preserve">(Federal Criminal Bureau): Horst Herold, former Chief of the Nuremberg police, and an expert on the new methods of using computerized data processing as a law enforcement tool. Under </w:t>
      </w:r>
      <w:r>
        <w:rPr>
          <w:color w:val="231F20"/>
          <w:spacing w:val="-3"/>
        </w:rPr>
        <w:t xml:space="preserve">Herold’s </w:t>
      </w:r>
      <w:r>
        <w:rPr>
          <w:color w:val="231F20"/>
        </w:rPr>
        <w:t xml:space="preserve">leadership, the </w:t>
      </w:r>
      <w:r>
        <w:rPr>
          <w:color w:val="231F20"/>
          <w:spacing w:val="2"/>
        </w:rPr>
        <w:t xml:space="preserve">BKA </w:t>
      </w:r>
      <w:r>
        <w:rPr>
          <w:color w:val="231F20"/>
        </w:rPr>
        <w:t xml:space="preserve">was transformed from a relatively unimportant body into the </w:t>
      </w:r>
      <w:r>
        <w:rPr>
          <w:color w:val="231F20"/>
          <w:spacing w:val="-3"/>
        </w:rPr>
        <w:t xml:space="preserve">West </w:t>
      </w:r>
      <w:r>
        <w:rPr>
          <w:color w:val="231F20"/>
        </w:rPr>
        <w:t xml:space="preserve">German equivalent of the </w:t>
      </w:r>
      <w:r>
        <w:rPr>
          <w:color w:val="231F20"/>
          <w:spacing w:val="1"/>
        </w:rPr>
        <w:t xml:space="preserve">FBI. </w:t>
      </w:r>
      <w:r>
        <w:rPr>
          <w:color w:val="231F20"/>
        </w:rPr>
        <w:t xml:space="preserve">Over the next decade, he would oversee a six-fold increase in the  </w:t>
      </w:r>
      <w:r>
        <w:rPr>
          <w:color w:val="231F20"/>
          <w:spacing w:val="2"/>
        </w:rPr>
        <w:t xml:space="preserve">BKA </w:t>
      </w:r>
      <w:r>
        <w:rPr>
          <w:color w:val="231F20"/>
        </w:rPr>
        <w:t xml:space="preserve">budget, and a tripling of  its staff as he personally pushed </w:t>
      </w:r>
      <w:r>
        <w:rPr>
          <w:color w:val="231F20"/>
          <w:spacing w:val="-3"/>
        </w:rPr>
        <w:t xml:space="preserve">West </w:t>
      </w:r>
      <w:r>
        <w:rPr>
          <w:color w:val="231F20"/>
        </w:rPr>
        <w:t>Germany to the worldwide forefront of computerized</w:t>
      </w:r>
      <w:r>
        <w:rPr>
          <w:color w:val="231F20"/>
          <w:spacing w:val="30"/>
        </w:rPr>
        <w:t xml:space="preserve"> </w:t>
      </w:r>
      <w:r>
        <w:rPr>
          <w:color w:val="231F20"/>
        </w:rPr>
        <w:t>repression.</w:t>
      </w:r>
      <w:r>
        <w:rPr>
          <w:color w:val="231F20"/>
          <w:position w:val="7"/>
          <w:sz w:val="11"/>
        </w:rPr>
        <w:t>8</w:t>
      </w:r>
    </w:p>
    <w:p w14:paraId="10677B44" w14:textId="77777777" w:rsidR="002653E8" w:rsidRDefault="003115E3">
      <w:pPr>
        <w:pStyle w:val="a3"/>
        <w:spacing w:line="264" w:lineRule="auto"/>
        <w:ind w:left="1327" w:right="1146" w:firstLine="210"/>
        <w:jc w:val="both"/>
      </w:pPr>
      <w:r>
        <w:rPr>
          <w:color w:val="231F20"/>
        </w:rPr>
        <w:t>By 1979, Herold’s computers contained files on 4.7 million names and 3,100 organizations, including the photos of 1.9 million people and 2.1</w:t>
      </w:r>
    </w:p>
    <w:p w14:paraId="6CF09486" w14:textId="77777777" w:rsidR="002653E8" w:rsidRDefault="00000000">
      <w:pPr>
        <w:pStyle w:val="a3"/>
        <w:spacing w:before="2"/>
        <w:rPr>
          <w:sz w:val="23"/>
        </w:rPr>
      </w:pPr>
      <w:r>
        <w:rPr>
          <w:noProof w:val="0"/>
        </w:rPr>
        <w:pict w14:anchorId="5FA9A640">
          <v:line id="_x0000_s2584" style="position:absolute;z-index:3904;mso-wrap-distance-left:0;mso-wrap-distance-right:0;mso-position-horizontal-relative:page" from="66.4pt,15.85pt" to="138.4pt,15.85pt" strokecolor="#231f20" strokeweight=".5pt">
            <w10:wrap type="topAndBottom" anchorx="page"/>
          </v:line>
        </w:pict>
      </w:r>
    </w:p>
    <w:p w14:paraId="647EDB0E" w14:textId="77777777" w:rsidR="002653E8" w:rsidRDefault="003115E3">
      <w:pPr>
        <w:pStyle w:val="a4"/>
        <w:numPr>
          <w:ilvl w:val="1"/>
          <w:numId w:val="156"/>
        </w:numPr>
        <w:tabs>
          <w:tab w:val="left" w:pos="1467"/>
        </w:tabs>
        <w:spacing w:before="53" w:line="254" w:lineRule="auto"/>
        <w:ind w:right="1407" w:firstLine="0"/>
        <w:rPr>
          <w:sz w:val="16"/>
        </w:rPr>
      </w:pPr>
      <w:r>
        <w:rPr>
          <w:color w:val="231F20"/>
          <w:spacing w:val="1"/>
          <w:w w:val="105"/>
          <w:sz w:val="16"/>
        </w:rPr>
        <w:t xml:space="preserve">In </w:t>
      </w:r>
      <w:r>
        <w:rPr>
          <w:color w:val="231F20"/>
          <w:spacing w:val="-4"/>
          <w:w w:val="105"/>
          <w:sz w:val="16"/>
        </w:rPr>
        <w:t xml:space="preserve">1977, </w:t>
      </w:r>
      <w:r>
        <w:rPr>
          <w:color w:val="231F20"/>
          <w:w w:val="105"/>
          <w:sz w:val="16"/>
        </w:rPr>
        <w:t xml:space="preserve">Grashof received a life sentence for murder and other offenses; </w:t>
      </w:r>
      <w:r>
        <w:rPr>
          <w:color w:val="231F20"/>
          <w:spacing w:val="1"/>
          <w:w w:val="105"/>
          <w:sz w:val="16"/>
        </w:rPr>
        <w:t xml:space="preserve">Grundmann </w:t>
      </w:r>
      <w:r>
        <w:rPr>
          <w:color w:val="231F20"/>
          <w:w w:val="105"/>
          <w:sz w:val="16"/>
        </w:rPr>
        <w:t xml:space="preserve">received four years on lighter charges (Associated Press, </w:t>
      </w:r>
      <w:r>
        <w:rPr>
          <w:color w:val="231F20"/>
          <w:spacing w:val="-4"/>
          <w:w w:val="105"/>
          <w:sz w:val="16"/>
        </w:rPr>
        <w:t xml:space="preserve">“2 </w:t>
      </w:r>
      <w:r>
        <w:rPr>
          <w:color w:val="231F20"/>
          <w:w w:val="105"/>
          <w:sz w:val="16"/>
        </w:rPr>
        <w:t>German Terrorists</w:t>
      </w:r>
      <w:r>
        <w:rPr>
          <w:color w:val="231F20"/>
          <w:spacing w:val="10"/>
          <w:w w:val="105"/>
          <w:sz w:val="16"/>
        </w:rPr>
        <w:t xml:space="preserve"> </w:t>
      </w:r>
      <w:r>
        <w:rPr>
          <w:color w:val="231F20"/>
          <w:w w:val="105"/>
          <w:sz w:val="16"/>
        </w:rPr>
        <w:t>Given</w:t>
      </w:r>
      <w:r>
        <w:rPr>
          <w:color w:val="231F20"/>
          <w:spacing w:val="10"/>
          <w:w w:val="105"/>
          <w:sz w:val="16"/>
        </w:rPr>
        <w:t xml:space="preserve"> </w:t>
      </w:r>
      <w:r>
        <w:rPr>
          <w:color w:val="231F20"/>
          <w:w w:val="105"/>
          <w:sz w:val="16"/>
        </w:rPr>
        <w:t>life,”</w:t>
      </w:r>
      <w:r>
        <w:rPr>
          <w:color w:val="231F20"/>
          <w:spacing w:val="11"/>
          <w:w w:val="105"/>
          <w:sz w:val="16"/>
        </w:rPr>
        <w:t xml:space="preserve"> </w:t>
      </w:r>
      <w:r>
        <w:rPr>
          <w:i/>
          <w:color w:val="231F20"/>
          <w:w w:val="105"/>
          <w:sz w:val="16"/>
        </w:rPr>
        <w:t>European</w:t>
      </w:r>
      <w:r>
        <w:rPr>
          <w:i/>
          <w:color w:val="231F20"/>
          <w:spacing w:val="10"/>
          <w:w w:val="105"/>
          <w:sz w:val="16"/>
        </w:rPr>
        <w:t xml:space="preserve"> </w:t>
      </w:r>
      <w:r>
        <w:rPr>
          <w:i/>
          <w:color w:val="231F20"/>
          <w:w w:val="105"/>
          <w:sz w:val="16"/>
        </w:rPr>
        <w:t>Stars</w:t>
      </w:r>
      <w:r>
        <w:rPr>
          <w:i/>
          <w:color w:val="231F20"/>
          <w:spacing w:val="10"/>
          <w:w w:val="105"/>
          <w:sz w:val="16"/>
        </w:rPr>
        <w:t xml:space="preserve"> </w:t>
      </w:r>
      <w:r>
        <w:rPr>
          <w:i/>
          <w:color w:val="231F20"/>
          <w:spacing w:val="1"/>
          <w:w w:val="105"/>
          <w:sz w:val="16"/>
        </w:rPr>
        <w:t>and</w:t>
      </w:r>
      <w:r>
        <w:rPr>
          <w:i/>
          <w:color w:val="231F20"/>
          <w:spacing w:val="10"/>
          <w:w w:val="105"/>
          <w:sz w:val="16"/>
        </w:rPr>
        <w:t xml:space="preserve"> </w:t>
      </w:r>
      <w:r>
        <w:rPr>
          <w:i/>
          <w:color w:val="231F20"/>
          <w:w w:val="105"/>
          <w:sz w:val="16"/>
        </w:rPr>
        <w:t>Stripes,</w:t>
      </w:r>
      <w:r>
        <w:rPr>
          <w:i/>
          <w:color w:val="231F20"/>
          <w:spacing w:val="11"/>
          <w:w w:val="105"/>
          <w:sz w:val="16"/>
        </w:rPr>
        <w:t xml:space="preserve"> </w:t>
      </w:r>
      <w:r>
        <w:rPr>
          <w:color w:val="231F20"/>
          <w:w w:val="105"/>
          <w:sz w:val="16"/>
        </w:rPr>
        <w:t>June</w:t>
      </w:r>
      <w:r>
        <w:rPr>
          <w:color w:val="231F20"/>
          <w:spacing w:val="10"/>
          <w:w w:val="105"/>
          <w:sz w:val="16"/>
        </w:rPr>
        <w:t xml:space="preserve"> </w:t>
      </w:r>
      <w:r>
        <w:rPr>
          <w:color w:val="231F20"/>
          <w:w w:val="105"/>
          <w:sz w:val="16"/>
        </w:rPr>
        <w:t>3,</w:t>
      </w:r>
      <w:r>
        <w:rPr>
          <w:color w:val="231F20"/>
          <w:spacing w:val="10"/>
          <w:w w:val="105"/>
          <w:sz w:val="16"/>
        </w:rPr>
        <w:t xml:space="preserve"> </w:t>
      </w:r>
      <w:r>
        <w:rPr>
          <w:color w:val="231F20"/>
          <w:spacing w:val="-5"/>
          <w:w w:val="105"/>
          <w:sz w:val="16"/>
        </w:rPr>
        <w:t>1977.)</w:t>
      </w:r>
    </w:p>
    <w:p w14:paraId="71A68405" w14:textId="77777777" w:rsidR="002653E8" w:rsidRDefault="003115E3">
      <w:pPr>
        <w:pStyle w:val="a4"/>
        <w:numPr>
          <w:ilvl w:val="1"/>
          <w:numId w:val="156"/>
        </w:numPr>
        <w:tabs>
          <w:tab w:val="left" w:pos="1467"/>
        </w:tabs>
        <w:ind w:left="1466" w:hanging="138"/>
        <w:rPr>
          <w:sz w:val="16"/>
        </w:rPr>
      </w:pPr>
      <w:r>
        <w:rPr>
          <w:color w:val="231F20"/>
          <w:w w:val="110"/>
          <w:sz w:val="16"/>
        </w:rPr>
        <w:t>Becker,</w:t>
      </w:r>
      <w:r>
        <w:rPr>
          <w:color w:val="231F20"/>
          <w:spacing w:val="6"/>
          <w:w w:val="110"/>
          <w:sz w:val="16"/>
        </w:rPr>
        <w:t xml:space="preserve"> </w:t>
      </w:r>
      <w:r>
        <w:rPr>
          <w:color w:val="231F20"/>
          <w:spacing w:val="-3"/>
          <w:w w:val="110"/>
          <w:sz w:val="16"/>
        </w:rPr>
        <w:t>273.</w:t>
      </w:r>
    </w:p>
    <w:p w14:paraId="1C23AF27" w14:textId="77777777" w:rsidR="002653E8" w:rsidRDefault="003115E3">
      <w:pPr>
        <w:pStyle w:val="a4"/>
        <w:numPr>
          <w:ilvl w:val="1"/>
          <w:numId w:val="156"/>
        </w:numPr>
        <w:tabs>
          <w:tab w:val="left" w:pos="1467"/>
        </w:tabs>
        <w:spacing w:before="52" w:line="254" w:lineRule="auto"/>
        <w:ind w:left="1328" w:right="1321" w:firstLine="0"/>
        <w:rPr>
          <w:sz w:val="16"/>
        </w:rPr>
      </w:pPr>
      <w:r>
        <w:rPr>
          <w:color w:val="231F20"/>
          <w:w w:val="105"/>
          <w:sz w:val="16"/>
        </w:rPr>
        <w:t xml:space="preserve">David Binder, “‘Republic of West Berlin’ Suggested  by  Radical  Group,” </w:t>
      </w:r>
      <w:r>
        <w:rPr>
          <w:i/>
          <w:color w:val="231F20"/>
          <w:w w:val="105"/>
          <w:sz w:val="16"/>
        </w:rPr>
        <w:t xml:space="preserve">Charleston </w:t>
      </w:r>
      <w:r>
        <w:rPr>
          <w:i/>
          <w:color w:val="231F20"/>
          <w:spacing w:val="1"/>
          <w:w w:val="105"/>
          <w:sz w:val="16"/>
        </w:rPr>
        <w:t xml:space="preserve">Gazette, </w:t>
      </w:r>
      <w:r>
        <w:rPr>
          <w:color w:val="231F20"/>
          <w:w w:val="105"/>
          <w:sz w:val="16"/>
        </w:rPr>
        <w:t xml:space="preserve">November </w:t>
      </w:r>
      <w:r>
        <w:rPr>
          <w:color w:val="231F20"/>
          <w:spacing w:val="-6"/>
          <w:w w:val="105"/>
          <w:sz w:val="16"/>
        </w:rPr>
        <w:t xml:space="preserve">7, </w:t>
      </w:r>
      <w:r>
        <w:rPr>
          <w:color w:val="231F20"/>
          <w:spacing w:val="-3"/>
          <w:w w:val="105"/>
          <w:sz w:val="16"/>
        </w:rPr>
        <w:t xml:space="preserve">1968. </w:t>
      </w:r>
      <w:r>
        <w:rPr>
          <w:color w:val="231F20"/>
          <w:w w:val="105"/>
          <w:sz w:val="16"/>
        </w:rPr>
        <w:t xml:space="preserve">Whereas young men living in West Berlin were already exempt from the </w:t>
      </w:r>
      <w:r>
        <w:rPr>
          <w:color w:val="231F20"/>
          <w:spacing w:val="1"/>
          <w:w w:val="105"/>
          <w:sz w:val="16"/>
        </w:rPr>
        <w:t xml:space="preserve">draft, </w:t>
      </w:r>
      <w:r>
        <w:rPr>
          <w:color w:val="231F20"/>
          <w:w w:val="105"/>
          <w:sz w:val="16"/>
        </w:rPr>
        <w:t>those who lived elsewhere and had already been</w:t>
      </w:r>
      <w:r>
        <w:rPr>
          <w:color w:val="231F20"/>
          <w:spacing w:val="6"/>
          <w:w w:val="105"/>
          <w:sz w:val="16"/>
        </w:rPr>
        <w:t xml:space="preserve"> </w:t>
      </w:r>
      <w:r>
        <w:rPr>
          <w:color w:val="231F20"/>
          <w:w w:val="105"/>
          <w:sz w:val="16"/>
        </w:rPr>
        <w:t>drafted</w:t>
      </w:r>
      <w:r>
        <w:rPr>
          <w:color w:val="231F20"/>
          <w:spacing w:val="6"/>
          <w:w w:val="105"/>
          <w:sz w:val="16"/>
        </w:rPr>
        <w:t xml:space="preserve"> </w:t>
      </w:r>
      <w:r>
        <w:rPr>
          <w:color w:val="231F20"/>
          <w:w w:val="105"/>
          <w:sz w:val="16"/>
        </w:rPr>
        <w:t>were</w:t>
      </w:r>
      <w:r>
        <w:rPr>
          <w:color w:val="231F20"/>
          <w:spacing w:val="6"/>
          <w:w w:val="105"/>
          <w:sz w:val="16"/>
        </w:rPr>
        <w:t xml:space="preserve"> </w:t>
      </w:r>
      <w:r>
        <w:rPr>
          <w:color w:val="231F20"/>
          <w:w w:val="105"/>
          <w:sz w:val="16"/>
        </w:rPr>
        <w:t>liable</w:t>
      </w:r>
      <w:r>
        <w:rPr>
          <w:color w:val="231F20"/>
          <w:spacing w:val="6"/>
          <w:w w:val="105"/>
          <w:sz w:val="16"/>
        </w:rPr>
        <w:t xml:space="preserve"> </w:t>
      </w:r>
      <w:r>
        <w:rPr>
          <w:color w:val="231F20"/>
          <w:w w:val="105"/>
          <w:sz w:val="16"/>
        </w:rPr>
        <w:t>to</w:t>
      </w:r>
      <w:r>
        <w:rPr>
          <w:color w:val="231F20"/>
          <w:spacing w:val="6"/>
          <w:w w:val="105"/>
          <w:sz w:val="16"/>
        </w:rPr>
        <w:t xml:space="preserve"> </w:t>
      </w:r>
      <w:r>
        <w:rPr>
          <w:color w:val="231F20"/>
          <w:w w:val="105"/>
          <w:sz w:val="16"/>
        </w:rPr>
        <w:t>prosecution</w:t>
      </w:r>
      <w:r>
        <w:rPr>
          <w:color w:val="231F20"/>
          <w:spacing w:val="6"/>
          <w:w w:val="105"/>
          <w:sz w:val="16"/>
        </w:rPr>
        <w:t xml:space="preserve"> </w:t>
      </w:r>
      <w:r>
        <w:rPr>
          <w:color w:val="231F20"/>
          <w:w w:val="105"/>
          <w:sz w:val="16"/>
        </w:rPr>
        <w:t>if</w:t>
      </w:r>
      <w:r>
        <w:rPr>
          <w:color w:val="231F20"/>
          <w:spacing w:val="6"/>
          <w:w w:val="105"/>
          <w:sz w:val="16"/>
        </w:rPr>
        <w:t xml:space="preserve"> </w:t>
      </w:r>
      <w:r>
        <w:rPr>
          <w:color w:val="231F20"/>
          <w:w w:val="105"/>
          <w:sz w:val="16"/>
        </w:rPr>
        <w:t>they</w:t>
      </w:r>
      <w:r>
        <w:rPr>
          <w:color w:val="231F20"/>
          <w:spacing w:val="6"/>
          <w:w w:val="105"/>
          <w:sz w:val="16"/>
        </w:rPr>
        <w:t xml:space="preserve"> </w:t>
      </w:r>
      <w:r>
        <w:rPr>
          <w:color w:val="231F20"/>
          <w:w w:val="105"/>
          <w:sz w:val="16"/>
        </w:rPr>
        <w:t>deserted.</w:t>
      </w:r>
    </w:p>
    <w:p w14:paraId="20031E0C" w14:textId="77777777" w:rsidR="002653E8" w:rsidRDefault="003115E3">
      <w:pPr>
        <w:spacing w:before="41"/>
        <w:ind w:left="1328"/>
        <w:rPr>
          <w:sz w:val="16"/>
        </w:rPr>
      </w:pPr>
      <w:r>
        <w:rPr>
          <w:color w:val="231F20"/>
          <w:w w:val="110"/>
          <w:sz w:val="16"/>
        </w:rPr>
        <w:t>7 Aust, 203.</w:t>
      </w:r>
    </w:p>
    <w:p w14:paraId="32A472A6" w14:textId="77777777" w:rsidR="002653E8" w:rsidRDefault="003115E3">
      <w:pPr>
        <w:spacing w:before="52"/>
        <w:ind w:left="1328"/>
        <w:rPr>
          <w:sz w:val="16"/>
        </w:rPr>
      </w:pPr>
      <w:r>
        <w:rPr>
          <w:color w:val="231F20"/>
          <w:w w:val="115"/>
          <w:sz w:val="16"/>
        </w:rPr>
        <w:t>8 Ibid., 181.</w:t>
      </w:r>
    </w:p>
    <w:p w14:paraId="69CF1E4C" w14:textId="77777777" w:rsidR="002653E8" w:rsidRDefault="002653E8">
      <w:pPr>
        <w:rPr>
          <w:sz w:val="16"/>
        </w:rPr>
        <w:sectPr w:rsidR="002653E8">
          <w:pgSz w:w="8640" w:h="12960"/>
          <w:pgMar w:top="1060" w:right="0" w:bottom="1040" w:left="0" w:header="0" w:footer="850" w:gutter="0"/>
          <w:cols w:space="720"/>
        </w:sectPr>
      </w:pPr>
    </w:p>
    <w:p w14:paraId="49CA3B33" w14:textId="77777777" w:rsidR="002653E8" w:rsidRDefault="003115E3">
      <w:pPr>
        <w:pStyle w:val="a3"/>
        <w:spacing w:before="86" w:line="264" w:lineRule="auto"/>
        <w:ind w:left="1148" w:right="1325" w:hanging="1"/>
        <w:jc w:val="both"/>
      </w:pPr>
      <w:r>
        <w:rPr>
          <w:color w:val="231F20"/>
        </w:rPr>
        <w:lastRenderedPageBreak/>
        <w:t>million sets of fingerprints.</w:t>
      </w:r>
      <w:r>
        <w:rPr>
          <w:color w:val="231F20"/>
          <w:position w:val="7"/>
          <w:sz w:val="11"/>
        </w:rPr>
        <w:t xml:space="preserve">1 </w:t>
      </w:r>
      <w:r>
        <w:rPr>
          <w:color w:val="231F20"/>
        </w:rPr>
        <w:t xml:space="preserve">While today it is routine for such data to be available at the touch of a police keyboard, in the </w:t>
      </w:r>
      <w:r>
        <w:rPr>
          <w:color w:val="231F20"/>
          <w:spacing w:val="-3"/>
        </w:rPr>
        <w:t xml:space="preserve">1970s </w:t>
      </w:r>
      <w:r>
        <w:rPr>
          <w:color w:val="231F20"/>
        </w:rPr>
        <w:t>this represented a simply unheard of level of surveillance and technical sophistication.</w:t>
      </w:r>
    </w:p>
    <w:p w14:paraId="6E4DFB73" w14:textId="77777777" w:rsidR="002653E8" w:rsidRDefault="003115E3">
      <w:pPr>
        <w:pStyle w:val="a3"/>
        <w:spacing w:line="264" w:lineRule="auto"/>
        <w:ind w:left="1148" w:right="1325" w:firstLine="210"/>
        <w:jc w:val="both"/>
      </w:pPr>
      <w:r>
        <w:rPr>
          <w:color w:val="231F20"/>
        </w:rPr>
        <w:t xml:space="preserve">One of Herold’s first moves was to set up a “Baader-Meinhof Special Commission,” and hunting for the </w:t>
      </w:r>
      <w:r w:rsidR="00C507A5">
        <w:rPr>
          <w:color w:val="231F20"/>
        </w:rPr>
        <w:t>red army faction</w:t>
      </w:r>
      <w:r>
        <w:rPr>
          <w:color w:val="231F20"/>
        </w:rPr>
        <w:t xml:space="preserve"> remained his utmost priority throughout his tenure.</w:t>
      </w:r>
    </w:p>
    <w:p w14:paraId="40B46882" w14:textId="77777777" w:rsidR="002653E8" w:rsidRDefault="003115E3">
      <w:pPr>
        <w:pStyle w:val="a3"/>
        <w:spacing w:line="264" w:lineRule="auto"/>
        <w:ind w:left="1147" w:right="1325" w:firstLine="210"/>
        <w:jc w:val="both"/>
        <w:rPr>
          <w:sz w:val="11"/>
        </w:rPr>
      </w:pPr>
      <w:r>
        <w:rPr>
          <w:color w:val="231F20"/>
        </w:rPr>
        <w:t xml:space="preserve">The significance of these changes in the </w:t>
      </w:r>
      <w:r>
        <w:rPr>
          <w:color w:val="231F20"/>
          <w:spacing w:val="2"/>
        </w:rPr>
        <w:t xml:space="preserve">BKA </w:t>
      </w:r>
      <w:r>
        <w:rPr>
          <w:color w:val="231F20"/>
        </w:rPr>
        <w:t xml:space="preserve">was overshadowed, though, by a new clampdown on the legal left, arguably the greatest since the ban on the KPD, as the Interior Ministers Conference passed the </w:t>
      </w:r>
      <w:r>
        <w:rPr>
          <w:i/>
          <w:color w:val="231F20"/>
          <w:spacing w:val="1"/>
        </w:rPr>
        <w:t xml:space="preserve">Radikalenerlass </w:t>
      </w:r>
      <w:r>
        <w:rPr>
          <w:color w:val="231F20"/>
        </w:rPr>
        <w:t xml:space="preserve">(Anti-Radical Act) on January 28, </w:t>
      </w:r>
      <w:r>
        <w:rPr>
          <w:color w:val="231F20"/>
          <w:spacing w:val="-3"/>
        </w:rPr>
        <w:t xml:space="preserve">1972. </w:t>
      </w:r>
      <w:r>
        <w:rPr>
          <w:color w:val="231F20"/>
        </w:rPr>
        <w:t>The new legislation was supported by all three major political parties, as well as all the major trade unions.</w:t>
      </w:r>
      <w:r>
        <w:rPr>
          <w:color w:val="231F20"/>
          <w:position w:val="7"/>
          <w:sz w:val="11"/>
        </w:rPr>
        <w:t xml:space="preserve">2 </w:t>
      </w:r>
      <w:r>
        <w:rPr>
          <w:color w:val="231F20"/>
        </w:rPr>
        <w:t xml:space="preserve">Known as the </w:t>
      </w:r>
      <w:r>
        <w:rPr>
          <w:i/>
          <w:color w:val="231F20"/>
        </w:rPr>
        <w:t xml:space="preserve">Berufsverbot </w:t>
      </w:r>
      <w:r>
        <w:rPr>
          <w:color w:val="231F20"/>
        </w:rPr>
        <w:t xml:space="preserve">(Professional Ban) by its opponents, its intention was to bar leftists from working in the public sector. The potential targets of this ban included some </w:t>
      </w:r>
      <w:r>
        <w:rPr>
          <w:color w:val="231F20"/>
          <w:spacing w:val="-4"/>
        </w:rPr>
        <w:t>14</w:t>
      </w:r>
      <w:r>
        <w:rPr>
          <w:color w:val="231F20"/>
          <w:spacing w:val="-4"/>
          <w:sz w:val="16"/>
        </w:rPr>
        <w:t xml:space="preserve">%  </w:t>
      </w:r>
      <w:r>
        <w:rPr>
          <w:color w:val="231F20"/>
          <w:spacing w:val="26"/>
          <w:sz w:val="16"/>
        </w:rPr>
        <w:t xml:space="preserve"> </w:t>
      </w:r>
      <w:r>
        <w:rPr>
          <w:color w:val="231F20"/>
        </w:rPr>
        <w:t>of the workforce, not only government bureaucrats, but also anyone employed by the post office, the railways, public hospitals—and most importantly university professors and school</w:t>
      </w:r>
      <w:r>
        <w:rPr>
          <w:color w:val="231F20"/>
          <w:spacing w:val="6"/>
        </w:rPr>
        <w:t xml:space="preserve"> </w:t>
      </w:r>
      <w:r>
        <w:rPr>
          <w:color w:val="231F20"/>
        </w:rPr>
        <w:t>teachers.</w:t>
      </w:r>
      <w:r>
        <w:rPr>
          <w:color w:val="231F20"/>
          <w:position w:val="7"/>
          <w:sz w:val="11"/>
        </w:rPr>
        <w:t>3</w:t>
      </w:r>
    </w:p>
    <w:p w14:paraId="641A1545" w14:textId="77777777" w:rsidR="002653E8" w:rsidRDefault="003115E3">
      <w:pPr>
        <w:pStyle w:val="a3"/>
        <w:spacing w:line="264" w:lineRule="auto"/>
        <w:ind w:left="1147" w:right="1325" w:firstLine="210"/>
        <w:jc w:val="both"/>
        <w:rPr>
          <w:sz w:val="11"/>
        </w:rPr>
      </w:pPr>
      <w:r>
        <w:rPr>
          <w:color w:val="231F20"/>
        </w:rPr>
        <w:t xml:space="preserve">The decree also dramatically increased the visibility of the </w:t>
      </w:r>
      <w:r>
        <w:rPr>
          <w:i/>
          <w:color w:val="231F20"/>
        </w:rPr>
        <w:t xml:space="preserve">Verfassungsschutz </w:t>
      </w:r>
      <w:r>
        <w:rPr>
          <w:color w:val="231F20"/>
        </w:rPr>
        <w:t xml:space="preserve">political police—the so-called “Guardians of the Constitution”—as the names of all applicants for public sector  jobs  were now sent to this agency, which determined on the basis of its own files whether a special hearing was necessary to gauge the applicant’s loyalty to the state. Not only did the </w:t>
      </w:r>
      <w:r>
        <w:rPr>
          <w:i/>
          <w:color w:val="231F20"/>
        </w:rPr>
        <w:t xml:space="preserve">Verfassungsschutz </w:t>
      </w:r>
      <w:r>
        <w:rPr>
          <w:color w:val="231F20"/>
        </w:rPr>
        <w:t>comb open sources—speeches, pamphlets, doctoral theses, etc.—for names, but it also engaged in covert surveillance, telephone taps, and a network of informers which was said to include students hired to note who among their classmates held radical views.</w:t>
      </w:r>
      <w:r>
        <w:rPr>
          <w:color w:val="231F20"/>
          <w:position w:val="7"/>
          <w:sz w:val="11"/>
        </w:rPr>
        <w:t xml:space="preserve">4 </w:t>
      </w:r>
      <w:r>
        <w:rPr>
          <w:color w:val="231F20"/>
        </w:rPr>
        <w:t xml:space="preserve">(Little surprise that the agency’s president until </w:t>
      </w:r>
      <w:r>
        <w:rPr>
          <w:color w:val="231F20"/>
          <w:spacing w:val="-4"/>
        </w:rPr>
        <w:t xml:space="preserve">1972 </w:t>
      </w:r>
      <w:r>
        <w:rPr>
          <w:color w:val="231F20"/>
        </w:rPr>
        <w:t>was Hubert Schrübbers, who had spent the early forties as a Nazi prosecutor notorious for seeking harsh sentences against antifascists, which would certainly have meant confinement in   a concentration</w:t>
      </w:r>
      <w:r>
        <w:rPr>
          <w:color w:val="231F20"/>
          <w:spacing w:val="21"/>
        </w:rPr>
        <w:t xml:space="preserve"> </w:t>
      </w:r>
      <w:r>
        <w:rPr>
          <w:color w:val="231F20"/>
        </w:rPr>
        <w:t>camp.)</w:t>
      </w:r>
      <w:r>
        <w:rPr>
          <w:color w:val="231F20"/>
          <w:position w:val="7"/>
          <w:sz w:val="11"/>
        </w:rPr>
        <w:t>5</w:t>
      </w:r>
    </w:p>
    <w:p w14:paraId="57AEF44C" w14:textId="77777777" w:rsidR="002653E8" w:rsidRDefault="00000000">
      <w:pPr>
        <w:pStyle w:val="a3"/>
        <w:spacing w:before="6"/>
        <w:rPr>
          <w:sz w:val="16"/>
        </w:rPr>
      </w:pPr>
      <w:r>
        <w:rPr>
          <w:noProof w:val="0"/>
        </w:rPr>
        <w:pict w14:anchorId="0A5BDB31">
          <v:line id="_x0000_s2583" style="position:absolute;z-index:3928;mso-wrap-distance-left:0;mso-wrap-distance-right:0;mso-position-horizontal-relative:page" from="57.4pt,11.9pt" to="129.4pt,11.9pt" strokecolor="#231f20" strokeweight=".5pt">
            <w10:wrap type="topAndBottom" anchorx="page"/>
          </v:line>
        </w:pict>
      </w:r>
    </w:p>
    <w:p w14:paraId="6DDEE797" w14:textId="77777777" w:rsidR="002653E8" w:rsidRDefault="003115E3">
      <w:pPr>
        <w:pStyle w:val="a4"/>
        <w:numPr>
          <w:ilvl w:val="0"/>
          <w:numId w:val="155"/>
        </w:numPr>
        <w:tabs>
          <w:tab w:val="left" w:pos="1287"/>
        </w:tabs>
        <w:spacing w:before="53"/>
        <w:ind w:firstLine="0"/>
        <w:rPr>
          <w:sz w:val="16"/>
        </w:rPr>
      </w:pPr>
      <w:r>
        <w:rPr>
          <w:color w:val="231F20"/>
          <w:w w:val="110"/>
          <w:sz w:val="16"/>
        </w:rPr>
        <w:t>Ibid.</w:t>
      </w:r>
    </w:p>
    <w:p w14:paraId="1B677FD9" w14:textId="77777777" w:rsidR="002653E8" w:rsidRDefault="003115E3">
      <w:pPr>
        <w:pStyle w:val="a4"/>
        <w:numPr>
          <w:ilvl w:val="0"/>
          <w:numId w:val="155"/>
        </w:numPr>
        <w:tabs>
          <w:tab w:val="left" w:pos="1287"/>
        </w:tabs>
        <w:spacing w:before="51" w:line="254" w:lineRule="auto"/>
        <w:ind w:right="1660" w:firstLine="0"/>
        <w:rPr>
          <w:sz w:val="16"/>
        </w:rPr>
      </w:pPr>
      <w:r>
        <w:rPr>
          <w:color w:val="231F20"/>
          <w:w w:val="105"/>
          <w:sz w:val="16"/>
        </w:rPr>
        <w:t xml:space="preserve">Gerard Braunthal, </w:t>
      </w:r>
      <w:r>
        <w:rPr>
          <w:i/>
          <w:color w:val="231F20"/>
          <w:w w:val="105"/>
          <w:sz w:val="16"/>
        </w:rPr>
        <w:t xml:space="preserve">Political </w:t>
      </w:r>
      <w:r>
        <w:rPr>
          <w:i/>
          <w:color w:val="231F20"/>
          <w:spacing w:val="2"/>
          <w:w w:val="105"/>
          <w:sz w:val="16"/>
        </w:rPr>
        <w:t xml:space="preserve">Service </w:t>
      </w:r>
      <w:r>
        <w:rPr>
          <w:i/>
          <w:color w:val="231F20"/>
          <w:spacing w:val="1"/>
          <w:w w:val="105"/>
          <w:sz w:val="16"/>
        </w:rPr>
        <w:t xml:space="preserve">and </w:t>
      </w:r>
      <w:r>
        <w:rPr>
          <w:i/>
          <w:color w:val="231F20"/>
          <w:w w:val="105"/>
          <w:sz w:val="16"/>
        </w:rPr>
        <w:t xml:space="preserve">Public </w:t>
      </w:r>
      <w:r>
        <w:rPr>
          <w:i/>
          <w:color w:val="231F20"/>
          <w:spacing w:val="1"/>
          <w:w w:val="105"/>
          <w:sz w:val="16"/>
        </w:rPr>
        <w:t xml:space="preserve">Loyalty </w:t>
      </w:r>
      <w:r>
        <w:rPr>
          <w:i/>
          <w:color w:val="231F20"/>
          <w:w w:val="105"/>
          <w:sz w:val="16"/>
        </w:rPr>
        <w:t xml:space="preserve">in West </w:t>
      </w:r>
      <w:r>
        <w:rPr>
          <w:i/>
          <w:color w:val="231F20"/>
          <w:spacing w:val="1"/>
          <w:w w:val="105"/>
          <w:sz w:val="16"/>
        </w:rPr>
        <w:t xml:space="preserve">Germany: </w:t>
      </w:r>
      <w:r>
        <w:rPr>
          <w:i/>
          <w:color w:val="231F20"/>
          <w:w w:val="105"/>
          <w:sz w:val="16"/>
        </w:rPr>
        <w:t xml:space="preserve">the 1972 decree against radicals </w:t>
      </w:r>
      <w:r>
        <w:rPr>
          <w:i/>
          <w:color w:val="231F20"/>
          <w:spacing w:val="1"/>
          <w:w w:val="105"/>
          <w:sz w:val="16"/>
        </w:rPr>
        <w:t xml:space="preserve">and </w:t>
      </w:r>
      <w:r>
        <w:rPr>
          <w:i/>
          <w:color w:val="231F20"/>
          <w:w w:val="105"/>
          <w:sz w:val="16"/>
        </w:rPr>
        <w:t xml:space="preserve">its </w:t>
      </w:r>
      <w:r>
        <w:rPr>
          <w:i/>
          <w:color w:val="231F20"/>
          <w:spacing w:val="1"/>
          <w:w w:val="105"/>
          <w:sz w:val="16"/>
        </w:rPr>
        <w:t xml:space="preserve">consequences </w:t>
      </w:r>
      <w:r>
        <w:rPr>
          <w:color w:val="231F20"/>
          <w:w w:val="105"/>
          <w:sz w:val="16"/>
        </w:rPr>
        <w:t>(Amherst: University of Massachusetts Press, 1990),</w:t>
      </w:r>
      <w:r>
        <w:rPr>
          <w:color w:val="231F20"/>
          <w:spacing w:val="25"/>
          <w:w w:val="105"/>
          <w:sz w:val="16"/>
        </w:rPr>
        <w:t xml:space="preserve"> </w:t>
      </w:r>
      <w:r>
        <w:rPr>
          <w:color w:val="231F20"/>
          <w:spacing w:val="-4"/>
          <w:w w:val="105"/>
          <w:sz w:val="16"/>
        </w:rPr>
        <w:t>36-37.</w:t>
      </w:r>
    </w:p>
    <w:p w14:paraId="6CA06233" w14:textId="77777777" w:rsidR="002653E8" w:rsidRDefault="003115E3">
      <w:pPr>
        <w:pStyle w:val="a4"/>
        <w:numPr>
          <w:ilvl w:val="0"/>
          <w:numId w:val="155"/>
        </w:numPr>
        <w:tabs>
          <w:tab w:val="left" w:pos="1287"/>
        </w:tabs>
        <w:spacing w:before="42" w:line="254" w:lineRule="auto"/>
        <w:ind w:right="1910" w:firstLine="0"/>
        <w:rPr>
          <w:sz w:val="16"/>
        </w:rPr>
      </w:pPr>
      <w:r>
        <w:rPr>
          <w:color w:val="231F20"/>
          <w:w w:val="105"/>
          <w:sz w:val="16"/>
        </w:rPr>
        <w:t xml:space="preserve">Monica Jacobs, “Civil Rights and </w:t>
      </w:r>
      <w:r>
        <w:rPr>
          <w:color w:val="231F20"/>
          <w:spacing w:val="-3"/>
          <w:w w:val="105"/>
          <w:sz w:val="16"/>
        </w:rPr>
        <w:t xml:space="preserve">Women’s  </w:t>
      </w:r>
      <w:r>
        <w:rPr>
          <w:color w:val="231F20"/>
          <w:w w:val="105"/>
          <w:sz w:val="16"/>
        </w:rPr>
        <w:t xml:space="preserve">Rights in the Federal Republic    of Germany </w:t>
      </w:r>
      <w:r>
        <w:rPr>
          <w:color w:val="231F20"/>
          <w:spacing w:val="-4"/>
          <w:w w:val="105"/>
          <w:sz w:val="16"/>
        </w:rPr>
        <w:t xml:space="preserve">Today,”  </w:t>
      </w:r>
      <w:r>
        <w:rPr>
          <w:i/>
          <w:color w:val="231F20"/>
          <w:w w:val="105"/>
          <w:sz w:val="16"/>
        </w:rPr>
        <w:t xml:space="preserve">New  </w:t>
      </w:r>
      <w:r>
        <w:rPr>
          <w:i/>
          <w:color w:val="231F20"/>
          <w:spacing w:val="2"/>
          <w:w w:val="105"/>
          <w:sz w:val="16"/>
        </w:rPr>
        <w:t xml:space="preserve">German  </w:t>
      </w:r>
      <w:r>
        <w:rPr>
          <w:i/>
          <w:color w:val="231F20"/>
          <w:w w:val="105"/>
          <w:sz w:val="16"/>
        </w:rPr>
        <w:t xml:space="preserve">Critique  </w:t>
      </w:r>
      <w:r>
        <w:rPr>
          <w:color w:val="231F20"/>
          <w:spacing w:val="-4"/>
          <w:w w:val="105"/>
          <w:sz w:val="16"/>
        </w:rPr>
        <w:t xml:space="preserve">16  </w:t>
      </w:r>
      <w:r>
        <w:rPr>
          <w:color w:val="231F20"/>
          <w:w w:val="105"/>
          <w:sz w:val="16"/>
        </w:rPr>
        <w:t xml:space="preserve">Special  Feminist  Issue (Winter </w:t>
      </w:r>
      <w:r>
        <w:rPr>
          <w:color w:val="231F20"/>
          <w:spacing w:val="-3"/>
          <w:w w:val="105"/>
          <w:sz w:val="16"/>
        </w:rPr>
        <w:t>1978):</w:t>
      </w:r>
      <w:r>
        <w:rPr>
          <w:color w:val="231F20"/>
          <w:spacing w:val="15"/>
          <w:w w:val="105"/>
          <w:sz w:val="16"/>
        </w:rPr>
        <w:t xml:space="preserve"> </w:t>
      </w:r>
      <w:r>
        <w:rPr>
          <w:color w:val="231F20"/>
          <w:spacing w:val="-3"/>
          <w:w w:val="105"/>
          <w:sz w:val="16"/>
        </w:rPr>
        <w:t>166.</w:t>
      </w:r>
    </w:p>
    <w:p w14:paraId="5FE42B79" w14:textId="77777777" w:rsidR="002653E8" w:rsidRDefault="003115E3">
      <w:pPr>
        <w:pStyle w:val="a4"/>
        <w:numPr>
          <w:ilvl w:val="0"/>
          <w:numId w:val="155"/>
        </w:numPr>
        <w:tabs>
          <w:tab w:val="left" w:pos="1287"/>
        </w:tabs>
        <w:ind w:firstLine="0"/>
        <w:rPr>
          <w:sz w:val="16"/>
        </w:rPr>
      </w:pPr>
      <w:r>
        <w:rPr>
          <w:color w:val="231F20"/>
          <w:w w:val="110"/>
          <w:sz w:val="16"/>
        </w:rPr>
        <w:t>Braunthal,</w:t>
      </w:r>
      <w:r>
        <w:rPr>
          <w:color w:val="231F20"/>
          <w:spacing w:val="5"/>
          <w:w w:val="110"/>
          <w:sz w:val="16"/>
        </w:rPr>
        <w:t xml:space="preserve"> </w:t>
      </w:r>
      <w:r>
        <w:rPr>
          <w:color w:val="231F20"/>
          <w:w w:val="110"/>
          <w:sz w:val="16"/>
        </w:rPr>
        <w:t>42.</w:t>
      </w:r>
    </w:p>
    <w:p w14:paraId="4F649EFE" w14:textId="77777777" w:rsidR="002653E8" w:rsidRDefault="003115E3">
      <w:pPr>
        <w:spacing w:before="51"/>
        <w:ind w:left="1147"/>
        <w:rPr>
          <w:sz w:val="16"/>
        </w:rPr>
      </w:pPr>
      <w:r>
        <w:rPr>
          <w:color w:val="231F20"/>
          <w:w w:val="115"/>
          <w:sz w:val="16"/>
        </w:rPr>
        <w:t>5 Ibid., 43.</w:t>
      </w:r>
    </w:p>
    <w:p w14:paraId="62344E8A" w14:textId="77777777" w:rsidR="002653E8" w:rsidRDefault="002653E8">
      <w:pPr>
        <w:rPr>
          <w:sz w:val="16"/>
        </w:rPr>
        <w:sectPr w:rsidR="002653E8">
          <w:pgSz w:w="8640" w:h="12960"/>
          <w:pgMar w:top="1060" w:right="0" w:bottom="1040" w:left="0" w:header="0" w:footer="850" w:gutter="0"/>
          <w:cols w:space="720"/>
        </w:sectPr>
      </w:pPr>
    </w:p>
    <w:p w14:paraId="0BB5DCED" w14:textId="77777777" w:rsidR="002653E8" w:rsidRDefault="003115E3">
      <w:pPr>
        <w:pStyle w:val="a3"/>
        <w:spacing w:before="86" w:line="264" w:lineRule="auto"/>
        <w:ind w:left="1327" w:right="1146" w:firstLine="210"/>
        <w:jc w:val="both"/>
        <w:rPr>
          <w:sz w:val="11"/>
        </w:rPr>
      </w:pPr>
      <w:r>
        <w:rPr>
          <w:color w:val="231F20"/>
        </w:rPr>
        <w:lastRenderedPageBreak/>
        <w:t xml:space="preserve">As Georgy Katsifiacis has noted, “the decree resulted in  loyalty  checks on </w:t>
      </w:r>
      <w:r>
        <w:rPr>
          <w:color w:val="231F20"/>
          <w:spacing w:val="-9"/>
        </w:rPr>
        <w:t xml:space="preserve">3.5 </w:t>
      </w:r>
      <w:r>
        <w:rPr>
          <w:color w:val="231F20"/>
        </w:rPr>
        <w:t xml:space="preserve">million persons and the rejection of </w:t>
      </w:r>
      <w:r>
        <w:rPr>
          <w:color w:val="231F20"/>
          <w:spacing w:val="-4"/>
        </w:rPr>
        <w:t xml:space="preserve">2,250 </w:t>
      </w:r>
      <w:r>
        <w:rPr>
          <w:color w:val="231F20"/>
        </w:rPr>
        <w:t xml:space="preserve">civil service applicants. Although only </w:t>
      </w:r>
      <w:r>
        <w:rPr>
          <w:color w:val="231F20"/>
          <w:spacing w:val="-8"/>
        </w:rPr>
        <w:t xml:space="preserve">256 </w:t>
      </w:r>
      <w:r>
        <w:rPr>
          <w:color w:val="231F20"/>
        </w:rPr>
        <w:t>civil servants were dismissed, the decree had a chilling effect.”</w:t>
      </w:r>
      <w:r>
        <w:rPr>
          <w:color w:val="231F20"/>
          <w:position w:val="7"/>
          <w:sz w:val="11"/>
        </w:rPr>
        <w:t xml:space="preserve">6 </w:t>
      </w:r>
      <w:r>
        <w:rPr>
          <w:color w:val="231F20"/>
        </w:rPr>
        <w:t xml:space="preserve">So much so that according to one survey carried out in the city of Mannheim, </w:t>
      </w:r>
      <w:r>
        <w:rPr>
          <w:color w:val="231F20"/>
          <w:spacing w:val="-4"/>
        </w:rPr>
        <w:t xml:space="preserve">“84 </w:t>
      </w:r>
      <w:r>
        <w:rPr>
          <w:color w:val="231F20"/>
        </w:rPr>
        <w:t>percent of university students there refrained from regularly checking leftist materials out of public libraries for fear of being</w:t>
      </w:r>
      <w:r>
        <w:rPr>
          <w:color w:val="231F20"/>
          <w:spacing w:val="2"/>
        </w:rPr>
        <w:t xml:space="preserve"> </w:t>
      </w:r>
      <w:r>
        <w:rPr>
          <w:color w:val="231F20"/>
        </w:rPr>
        <w:t>blacklisted.”</w:t>
      </w:r>
      <w:r>
        <w:rPr>
          <w:color w:val="231F20"/>
          <w:position w:val="7"/>
          <w:sz w:val="11"/>
        </w:rPr>
        <w:t>7</w:t>
      </w:r>
    </w:p>
    <w:p w14:paraId="5AE92CF0" w14:textId="77777777" w:rsidR="002653E8" w:rsidRDefault="003115E3">
      <w:pPr>
        <w:pStyle w:val="a3"/>
        <w:spacing w:line="264" w:lineRule="auto"/>
        <w:ind w:left="1327" w:right="1146" w:firstLine="210"/>
        <w:jc w:val="both"/>
        <w:rPr>
          <w:sz w:val="11"/>
        </w:rPr>
      </w:pPr>
      <w:r>
        <w:rPr>
          <w:color w:val="231F20"/>
        </w:rPr>
        <w:t xml:space="preserve">Obviously, those students who had refused the </w:t>
      </w:r>
      <w:r>
        <w:rPr>
          <w:color w:val="231F20"/>
          <w:spacing w:val="-3"/>
        </w:rPr>
        <w:t xml:space="preserve">SPD’s </w:t>
      </w:r>
      <w:r>
        <w:rPr>
          <w:color w:val="231F20"/>
        </w:rPr>
        <w:t xml:space="preserve">amnesty  in </w:t>
      </w:r>
      <w:r>
        <w:rPr>
          <w:color w:val="231F20"/>
          <w:spacing w:val="-4"/>
        </w:rPr>
        <w:t xml:space="preserve">1971 </w:t>
      </w:r>
      <w:r>
        <w:rPr>
          <w:color w:val="231F20"/>
        </w:rPr>
        <w:t xml:space="preserve">found themselves among the first to be targeted. While most of these people would no doubt have rejected the </w:t>
      </w:r>
      <w:r w:rsidR="00C507A5">
        <w:rPr>
          <w:color w:val="231F20"/>
          <w:spacing w:val="1"/>
        </w:rPr>
        <w:t>red army faction</w:t>
      </w:r>
      <w:r>
        <w:rPr>
          <w:color w:val="231F20"/>
          <w:spacing w:val="1"/>
        </w:rPr>
        <w:t xml:space="preserve">’s </w:t>
      </w:r>
      <w:r>
        <w:rPr>
          <w:color w:val="231F20"/>
        </w:rPr>
        <w:t xml:space="preserve">politics, fears about the guerilla were exploited to help push through the legislation. As Heinz Kühn, SPD President of North Rhine-Westphalia, put it, </w:t>
      </w:r>
      <w:r>
        <w:rPr>
          <w:color w:val="231F20"/>
          <w:spacing w:val="-3"/>
        </w:rPr>
        <w:t xml:space="preserve">“We </w:t>
      </w:r>
      <w:r>
        <w:rPr>
          <w:color w:val="231F20"/>
        </w:rPr>
        <w:t>could hardly have Ulrike Meinhof employed as a teacher, or Andreas Baader in the police</w:t>
      </w:r>
      <w:r>
        <w:rPr>
          <w:color w:val="231F20"/>
          <w:spacing w:val="1"/>
        </w:rPr>
        <w:t xml:space="preserve"> </w:t>
      </w:r>
      <w:r>
        <w:rPr>
          <w:color w:val="231F20"/>
          <w:spacing w:val="-3"/>
        </w:rPr>
        <w:t>force.”</w:t>
      </w:r>
      <w:r>
        <w:rPr>
          <w:color w:val="231F20"/>
          <w:spacing w:val="-3"/>
          <w:position w:val="7"/>
          <w:sz w:val="11"/>
        </w:rPr>
        <w:t>8</w:t>
      </w:r>
    </w:p>
    <w:p w14:paraId="3E6DDFE9" w14:textId="77777777" w:rsidR="002653E8" w:rsidRDefault="003115E3">
      <w:pPr>
        <w:pStyle w:val="a3"/>
        <w:spacing w:line="264" w:lineRule="auto"/>
        <w:ind w:left="1327" w:right="1145" w:firstLine="210"/>
        <w:jc w:val="both"/>
        <w:rPr>
          <w:sz w:val="11"/>
        </w:rPr>
      </w:pPr>
      <w:r>
        <w:rPr>
          <w:color w:val="231F20"/>
          <w:spacing w:val="1"/>
        </w:rPr>
        <w:t xml:space="preserve">In </w:t>
      </w:r>
      <w:r>
        <w:rPr>
          <w:color w:val="231F20"/>
        </w:rPr>
        <w:t xml:space="preserve">the wake of the sixties student movement, the state was establishing the conditions under which erstwhile rebels would be allowed to join the establishment. As its corollary, this  rollback  included  ongoing attacks on the universities themselves. For instance, in early </w:t>
      </w:r>
      <w:r>
        <w:rPr>
          <w:color w:val="231F20"/>
          <w:spacing w:val="-3"/>
        </w:rPr>
        <w:t xml:space="preserve">1972, </w:t>
      </w:r>
      <w:r>
        <w:rPr>
          <w:color w:val="231F20"/>
        </w:rPr>
        <w:t>the Free University hired the Trotskyist Ernest Mandel as professor of economics: the Berlin Senate responded by vetoing this appointment,</w:t>
      </w:r>
      <w:r>
        <w:rPr>
          <w:color w:val="231F20"/>
          <w:position w:val="7"/>
          <w:sz w:val="11"/>
        </w:rPr>
        <w:t xml:space="preserve">9 </w:t>
      </w:r>
      <w:r>
        <w:rPr>
          <w:color w:val="231F20"/>
        </w:rPr>
        <w:t>and despite student strikes, Mandel was barred from entering the FRG. (This</w:t>
      </w:r>
      <w:r>
        <w:rPr>
          <w:color w:val="231F20"/>
          <w:spacing w:val="10"/>
        </w:rPr>
        <w:t xml:space="preserve"> </w:t>
      </w:r>
      <w:r>
        <w:rPr>
          <w:color w:val="231F20"/>
        </w:rPr>
        <w:t>ban</w:t>
      </w:r>
      <w:r>
        <w:rPr>
          <w:color w:val="231F20"/>
          <w:spacing w:val="10"/>
        </w:rPr>
        <w:t xml:space="preserve"> </w:t>
      </w:r>
      <w:r>
        <w:rPr>
          <w:color w:val="231F20"/>
        </w:rPr>
        <w:t>was</w:t>
      </w:r>
      <w:r>
        <w:rPr>
          <w:color w:val="231F20"/>
          <w:spacing w:val="10"/>
        </w:rPr>
        <w:t xml:space="preserve"> </w:t>
      </w:r>
      <w:r>
        <w:rPr>
          <w:color w:val="231F20"/>
        </w:rPr>
        <w:t>only</w:t>
      </w:r>
      <w:r>
        <w:rPr>
          <w:color w:val="231F20"/>
          <w:spacing w:val="10"/>
        </w:rPr>
        <w:t xml:space="preserve"> </w:t>
      </w:r>
      <w:r>
        <w:rPr>
          <w:color w:val="231F20"/>
        </w:rPr>
        <w:t>lifted</w:t>
      </w:r>
      <w:r>
        <w:rPr>
          <w:color w:val="231F20"/>
          <w:spacing w:val="10"/>
        </w:rPr>
        <w:t xml:space="preserve"> </w:t>
      </w:r>
      <w:r>
        <w:rPr>
          <w:color w:val="231F20"/>
        </w:rPr>
        <w:t>in</w:t>
      </w:r>
      <w:r>
        <w:rPr>
          <w:color w:val="231F20"/>
          <w:spacing w:val="11"/>
        </w:rPr>
        <w:t xml:space="preserve"> </w:t>
      </w:r>
      <w:r>
        <w:rPr>
          <w:color w:val="231F20"/>
          <w:spacing w:val="-5"/>
        </w:rPr>
        <w:t>1978.)</w:t>
      </w:r>
      <w:r>
        <w:rPr>
          <w:color w:val="231F20"/>
          <w:spacing w:val="-5"/>
          <w:position w:val="7"/>
          <w:sz w:val="11"/>
        </w:rPr>
        <w:t>10</w:t>
      </w:r>
    </w:p>
    <w:p w14:paraId="1833B6A1" w14:textId="77777777" w:rsidR="002653E8" w:rsidRDefault="003115E3">
      <w:pPr>
        <w:spacing w:line="264" w:lineRule="auto"/>
        <w:ind w:left="1327" w:right="1145" w:firstLine="210"/>
        <w:jc w:val="both"/>
        <w:rPr>
          <w:sz w:val="20"/>
        </w:rPr>
      </w:pPr>
      <w:r>
        <w:rPr>
          <w:color w:val="231F20"/>
          <w:spacing w:val="1"/>
          <w:sz w:val="20"/>
        </w:rPr>
        <w:t xml:space="preserve">In </w:t>
      </w:r>
      <w:r>
        <w:rPr>
          <w:color w:val="231F20"/>
          <w:sz w:val="20"/>
        </w:rPr>
        <w:t xml:space="preserve">this context, in April </w:t>
      </w:r>
      <w:r>
        <w:rPr>
          <w:color w:val="231F20"/>
          <w:spacing w:val="-3"/>
          <w:sz w:val="20"/>
        </w:rPr>
        <w:t xml:space="preserve">1972, </w:t>
      </w:r>
      <w:r>
        <w:rPr>
          <w:color w:val="231F20"/>
          <w:sz w:val="20"/>
        </w:rPr>
        <w:t xml:space="preserve">the </w:t>
      </w:r>
      <w:r w:rsidR="00C507A5">
        <w:rPr>
          <w:color w:val="231F20"/>
          <w:spacing w:val="5"/>
          <w:sz w:val="20"/>
        </w:rPr>
        <w:t>red army faction</w:t>
      </w:r>
      <w:r>
        <w:rPr>
          <w:color w:val="231F20"/>
          <w:spacing w:val="5"/>
          <w:sz w:val="20"/>
        </w:rPr>
        <w:t xml:space="preserve"> </w:t>
      </w:r>
      <w:r>
        <w:rPr>
          <w:color w:val="231F20"/>
          <w:sz w:val="20"/>
        </w:rPr>
        <w:t xml:space="preserve">released its second theoretical statement, </w:t>
      </w:r>
      <w:r>
        <w:rPr>
          <w:i/>
          <w:color w:val="231F20"/>
          <w:spacing w:val="1"/>
          <w:sz w:val="20"/>
        </w:rPr>
        <w:t xml:space="preserve">Serve </w:t>
      </w:r>
      <w:r>
        <w:rPr>
          <w:i/>
          <w:color w:val="231F20"/>
          <w:sz w:val="20"/>
        </w:rPr>
        <w:t xml:space="preserve">the People: The Urban </w:t>
      </w:r>
      <w:r>
        <w:rPr>
          <w:i/>
          <w:color w:val="231F20"/>
          <w:spacing w:val="1"/>
          <w:sz w:val="20"/>
        </w:rPr>
        <w:t xml:space="preserve">Guerilla </w:t>
      </w:r>
      <w:r>
        <w:rPr>
          <w:i/>
          <w:color w:val="231F20"/>
          <w:sz w:val="20"/>
        </w:rPr>
        <w:t xml:space="preserve">and </w:t>
      </w:r>
      <w:r>
        <w:rPr>
          <w:i/>
          <w:color w:val="231F20"/>
          <w:spacing w:val="2"/>
          <w:sz w:val="20"/>
        </w:rPr>
        <w:t xml:space="preserve">Class </w:t>
      </w:r>
      <w:r>
        <w:rPr>
          <w:i/>
          <w:color w:val="231F20"/>
          <w:sz w:val="20"/>
        </w:rPr>
        <w:t>Struggle</w:t>
      </w:r>
      <w:r>
        <w:rPr>
          <w:color w:val="231F20"/>
          <w:sz w:val="20"/>
        </w:rPr>
        <w:t xml:space="preserve">. As with </w:t>
      </w:r>
      <w:r>
        <w:rPr>
          <w:i/>
          <w:color w:val="231F20"/>
          <w:sz w:val="20"/>
        </w:rPr>
        <w:t xml:space="preserve">The Urban </w:t>
      </w:r>
      <w:r>
        <w:rPr>
          <w:i/>
          <w:color w:val="231F20"/>
          <w:spacing w:val="1"/>
          <w:sz w:val="20"/>
        </w:rPr>
        <w:t xml:space="preserve">Guerilla </w:t>
      </w:r>
      <w:r>
        <w:rPr>
          <w:i/>
          <w:color w:val="231F20"/>
          <w:sz w:val="20"/>
        </w:rPr>
        <w:t>Concept</w:t>
      </w:r>
      <w:r>
        <w:rPr>
          <w:color w:val="231F20"/>
          <w:sz w:val="20"/>
        </w:rPr>
        <w:t>, this text was distributed  in  magazine</w:t>
      </w:r>
      <w:r>
        <w:rPr>
          <w:color w:val="231F20"/>
          <w:spacing w:val="11"/>
          <w:sz w:val="20"/>
        </w:rPr>
        <w:t xml:space="preserve"> </w:t>
      </w:r>
      <w:r>
        <w:rPr>
          <w:color w:val="231F20"/>
          <w:sz w:val="20"/>
        </w:rPr>
        <w:t>form</w:t>
      </w:r>
      <w:r>
        <w:rPr>
          <w:color w:val="231F20"/>
          <w:spacing w:val="11"/>
          <w:sz w:val="20"/>
        </w:rPr>
        <w:t xml:space="preserve"> </w:t>
      </w:r>
      <w:r>
        <w:rPr>
          <w:color w:val="231F20"/>
          <w:sz w:val="20"/>
        </w:rPr>
        <w:t>at</w:t>
      </w:r>
      <w:r>
        <w:rPr>
          <w:color w:val="231F20"/>
          <w:spacing w:val="11"/>
          <w:sz w:val="20"/>
        </w:rPr>
        <w:t xml:space="preserve"> </w:t>
      </w:r>
      <w:r>
        <w:rPr>
          <w:color w:val="231F20"/>
          <w:sz w:val="20"/>
        </w:rPr>
        <w:t>the</w:t>
      </w:r>
      <w:r>
        <w:rPr>
          <w:color w:val="231F20"/>
          <w:spacing w:val="11"/>
          <w:sz w:val="20"/>
        </w:rPr>
        <w:t xml:space="preserve"> </w:t>
      </w:r>
      <w:r>
        <w:rPr>
          <w:color w:val="231F20"/>
          <w:sz w:val="20"/>
        </w:rPr>
        <w:t>May</w:t>
      </w:r>
      <w:r>
        <w:rPr>
          <w:color w:val="231F20"/>
          <w:spacing w:val="11"/>
          <w:sz w:val="20"/>
        </w:rPr>
        <w:t xml:space="preserve"> </w:t>
      </w:r>
      <w:r>
        <w:rPr>
          <w:color w:val="231F20"/>
          <w:sz w:val="20"/>
        </w:rPr>
        <w:t>Day</w:t>
      </w:r>
      <w:r>
        <w:rPr>
          <w:color w:val="231F20"/>
          <w:spacing w:val="11"/>
          <w:sz w:val="20"/>
        </w:rPr>
        <w:t xml:space="preserve"> </w:t>
      </w:r>
      <w:r>
        <w:rPr>
          <w:color w:val="231F20"/>
          <w:sz w:val="20"/>
        </w:rPr>
        <w:t>demonstrations</w:t>
      </w:r>
      <w:r>
        <w:rPr>
          <w:color w:val="231F20"/>
          <w:spacing w:val="11"/>
          <w:sz w:val="20"/>
        </w:rPr>
        <w:t xml:space="preserve"> </w:t>
      </w:r>
      <w:r>
        <w:rPr>
          <w:color w:val="231F20"/>
          <w:sz w:val="20"/>
        </w:rPr>
        <w:t>that</w:t>
      </w:r>
      <w:r>
        <w:rPr>
          <w:color w:val="231F20"/>
          <w:spacing w:val="11"/>
          <w:sz w:val="20"/>
        </w:rPr>
        <w:t xml:space="preserve"> </w:t>
      </w:r>
      <w:r>
        <w:rPr>
          <w:color w:val="231F20"/>
          <w:sz w:val="20"/>
        </w:rPr>
        <w:t>year.</w:t>
      </w:r>
    </w:p>
    <w:p w14:paraId="12F1EED2" w14:textId="77777777" w:rsidR="002653E8" w:rsidRDefault="003115E3">
      <w:pPr>
        <w:pStyle w:val="a3"/>
        <w:spacing w:line="264" w:lineRule="auto"/>
        <w:ind w:left="1328" w:right="1145" w:firstLine="209"/>
        <w:jc w:val="both"/>
      </w:pPr>
      <w:r>
        <w:rPr>
          <w:color w:val="231F20"/>
          <w:spacing w:val="1"/>
        </w:rPr>
        <w:t xml:space="preserve">In </w:t>
      </w:r>
      <w:r>
        <w:rPr>
          <w:color w:val="231F20"/>
        </w:rPr>
        <w:t xml:space="preserve">a text almost twice as long as the previous one, the </w:t>
      </w:r>
      <w:r w:rsidR="00C507A5">
        <w:rPr>
          <w:color w:val="231F20"/>
          <w:spacing w:val="5"/>
        </w:rPr>
        <w:t>red army faction</w:t>
      </w:r>
      <w:r>
        <w:rPr>
          <w:color w:val="231F20"/>
          <w:spacing w:val="5"/>
        </w:rPr>
        <w:t xml:space="preserve"> </w:t>
      </w:r>
      <w:r>
        <w:rPr>
          <w:color w:val="231F20"/>
        </w:rPr>
        <w:t>was trying to provide an analysis of the previous year’s events, both within the left and within the Federal Republic as a whole. Considerable energy was spent analyzing the unsuccessful workers’ struggles in the chemical sector</w:t>
      </w:r>
      <w:r>
        <w:rPr>
          <w:color w:val="231F20"/>
          <w:spacing w:val="25"/>
        </w:rPr>
        <w:t xml:space="preserve"> </w:t>
      </w:r>
      <w:r>
        <w:rPr>
          <w:color w:val="231F20"/>
        </w:rPr>
        <w:t>in</w:t>
      </w:r>
      <w:r>
        <w:rPr>
          <w:color w:val="231F20"/>
          <w:spacing w:val="25"/>
        </w:rPr>
        <w:t xml:space="preserve"> </w:t>
      </w:r>
      <w:r>
        <w:rPr>
          <w:color w:val="231F20"/>
          <w:spacing w:val="-4"/>
        </w:rPr>
        <w:t>1971</w:t>
      </w:r>
      <w:r>
        <w:rPr>
          <w:color w:val="231F20"/>
          <w:spacing w:val="25"/>
        </w:rPr>
        <w:t xml:space="preserve"> </w:t>
      </w:r>
      <w:r>
        <w:rPr>
          <w:color w:val="231F20"/>
        </w:rPr>
        <w:t>and</w:t>
      </w:r>
      <w:r>
        <w:rPr>
          <w:color w:val="231F20"/>
          <w:spacing w:val="25"/>
        </w:rPr>
        <w:t xml:space="preserve"> </w:t>
      </w:r>
      <w:r>
        <w:rPr>
          <w:color w:val="231F20"/>
        </w:rPr>
        <w:t>the</w:t>
      </w:r>
      <w:r>
        <w:rPr>
          <w:color w:val="231F20"/>
          <w:spacing w:val="25"/>
        </w:rPr>
        <w:t xml:space="preserve"> </w:t>
      </w:r>
      <w:r>
        <w:rPr>
          <w:color w:val="231F20"/>
        </w:rPr>
        <w:t>failure</w:t>
      </w:r>
      <w:r>
        <w:rPr>
          <w:color w:val="231F20"/>
          <w:spacing w:val="25"/>
        </w:rPr>
        <w:t xml:space="preserve"> </w:t>
      </w:r>
      <w:r>
        <w:rPr>
          <w:color w:val="231F20"/>
        </w:rPr>
        <w:t>of</w:t>
      </w:r>
      <w:r>
        <w:rPr>
          <w:color w:val="231F20"/>
          <w:spacing w:val="25"/>
        </w:rPr>
        <w:t xml:space="preserve"> </w:t>
      </w:r>
      <w:r>
        <w:rPr>
          <w:color w:val="231F20"/>
        </w:rPr>
        <w:t>the</w:t>
      </w:r>
      <w:r>
        <w:rPr>
          <w:color w:val="231F20"/>
          <w:spacing w:val="25"/>
        </w:rPr>
        <w:t xml:space="preserve"> </w:t>
      </w:r>
      <w:r>
        <w:rPr>
          <w:color w:val="231F20"/>
        </w:rPr>
        <w:t>legal</w:t>
      </w:r>
      <w:r>
        <w:rPr>
          <w:color w:val="231F20"/>
          <w:spacing w:val="25"/>
        </w:rPr>
        <w:t xml:space="preserve"> </w:t>
      </w:r>
      <w:r>
        <w:rPr>
          <w:color w:val="231F20"/>
        </w:rPr>
        <w:t>left</w:t>
      </w:r>
      <w:r>
        <w:rPr>
          <w:color w:val="231F20"/>
          <w:spacing w:val="25"/>
        </w:rPr>
        <w:t xml:space="preserve"> </w:t>
      </w:r>
      <w:r>
        <w:rPr>
          <w:color w:val="231F20"/>
        </w:rPr>
        <w:t>to</w:t>
      </w:r>
      <w:r>
        <w:rPr>
          <w:color w:val="231F20"/>
          <w:spacing w:val="25"/>
        </w:rPr>
        <w:t xml:space="preserve"> </w:t>
      </w:r>
      <w:r>
        <w:rPr>
          <w:color w:val="231F20"/>
        </w:rPr>
        <w:t>respond</w:t>
      </w:r>
      <w:r>
        <w:rPr>
          <w:color w:val="231F20"/>
          <w:spacing w:val="25"/>
        </w:rPr>
        <w:t xml:space="preserve"> </w:t>
      </w:r>
      <w:r>
        <w:rPr>
          <w:color w:val="231F20"/>
        </w:rPr>
        <w:t>to</w:t>
      </w:r>
      <w:r>
        <w:rPr>
          <w:color w:val="231F20"/>
          <w:spacing w:val="25"/>
        </w:rPr>
        <w:t xml:space="preserve"> </w:t>
      </w:r>
      <w:r>
        <w:rPr>
          <w:color w:val="231F20"/>
        </w:rPr>
        <w:t>class</w:t>
      </w:r>
      <w:r>
        <w:rPr>
          <w:color w:val="231F20"/>
          <w:spacing w:val="25"/>
        </w:rPr>
        <w:t xml:space="preserve"> </w:t>
      </w:r>
      <w:r>
        <w:rPr>
          <w:color w:val="231F20"/>
        </w:rPr>
        <w:t>op-</w:t>
      </w:r>
    </w:p>
    <w:p w14:paraId="6663A7D5" w14:textId="77777777" w:rsidR="002653E8" w:rsidRDefault="002653E8">
      <w:pPr>
        <w:pStyle w:val="a3"/>
      </w:pPr>
    </w:p>
    <w:p w14:paraId="182A8367" w14:textId="77777777" w:rsidR="002653E8" w:rsidRDefault="00000000">
      <w:pPr>
        <w:pStyle w:val="a3"/>
        <w:spacing w:before="5"/>
        <w:rPr>
          <w:sz w:val="13"/>
        </w:rPr>
      </w:pPr>
      <w:r>
        <w:rPr>
          <w:noProof w:val="0"/>
        </w:rPr>
        <w:pict w14:anchorId="00F49689">
          <v:line id="_x0000_s2582" style="position:absolute;z-index:3952;mso-wrap-distance-left:0;mso-wrap-distance-right:0;mso-position-horizontal-relative:page" from="66.4pt,10.1pt" to="138.4pt,10.1pt" strokecolor="#231f20" strokeweight=".5pt">
            <w10:wrap type="topAndBottom" anchorx="page"/>
          </v:line>
        </w:pict>
      </w:r>
    </w:p>
    <w:p w14:paraId="31FFC4E9" w14:textId="77777777" w:rsidR="002653E8" w:rsidRDefault="003115E3">
      <w:pPr>
        <w:pStyle w:val="a4"/>
        <w:numPr>
          <w:ilvl w:val="1"/>
          <w:numId w:val="155"/>
        </w:numPr>
        <w:tabs>
          <w:tab w:val="left" w:pos="1467"/>
        </w:tabs>
        <w:spacing w:before="53" w:line="254" w:lineRule="auto"/>
        <w:ind w:right="2108" w:firstLine="0"/>
        <w:rPr>
          <w:sz w:val="16"/>
        </w:rPr>
      </w:pPr>
      <w:r>
        <w:rPr>
          <w:color w:val="231F20"/>
          <w:w w:val="110"/>
          <w:sz w:val="16"/>
        </w:rPr>
        <w:t xml:space="preserve">Georgy Katsiaficas, </w:t>
      </w:r>
      <w:r>
        <w:rPr>
          <w:i/>
          <w:color w:val="231F20"/>
          <w:w w:val="110"/>
          <w:sz w:val="16"/>
        </w:rPr>
        <w:t xml:space="preserve">Subversion of Politics: European </w:t>
      </w:r>
      <w:r>
        <w:rPr>
          <w:i/>
          <w:color w:val="231F20"/>
          <w:spacing w:val="1"/>
          <w:w w:val="110"/>
          <w:sz w:val="16"/>
        </w:rPr>
        <w:t xml:space="preserve">Autonomous </w:t>
      </w:r>
      <w:r>
        <w:rPr>
          <w:i/>
          <w:color w:val="231F20"/>
          <w:w w:val="110"/>
          <w:sz w:val="16"/>
        </w:rPr>
        <w:t xml:space="preserve">Social </w:t>
      </w:r>
      <w:r>
        <w:rPr>
          <w:i/>
          <w:color w:val="231F20"/>
          <w:spacing w:val="1"/>
          <w:w w:val="110"/>
          <w:sz w:val="16"/>
        </w:rPr>
        <w:t xml:space="preserve">Movements and </w:t>
      </w:r>
      <w:r>
        <w:rPr>
          <w:i/>
          <w:color w:val="231F20"/>
          <w:w w:val="110"/>
          <w:sz w:val="16"/>
        </w:rPr>
        <w:t xml:space="preserve">the Decolonization of </w:t>
      </w:r>
      <w:r>
        <w:rPr>
          <w:i/>
          <w:color w:val="231F20"/>
          <w:spacing w:val="1"/>
          <w:w w:val="110"/>
          <w:sz w:val="16"/>
        </w:rPr>
        <w:t xml:space="preserve">Everyday </w:t>
      </w:r>
      <w:r>
        <w:rPr>
          <w:i/>
          <w:color w:val="231F20"/>
          <w:w w:val="110"/>
          <w:sz w:val="16"/>
        </w:rPr>
        <w:t xml:space="preserve">Life </w:t>
      </w:r>
      <w:r>
        <w:rPr>
          <w:color w:val="231F20"/>
          <w:w w:val="110"/>
          <w:sz w:val="16"/>
        </w:rPr>
        <w:t xml:space="preserve">(Oakland: </w:t>
      </w:r>
      <w:r>
        <w:rPr>
          <w:color w:val="231F20"/>
          <w:spacing w:val="2"/>
          <w:w w:val="110"/>
          <w:sz w:val="16"/>
        </w:rPr>
        <w:t xml:space="preserve">AK </w:t>
      </w:r>
      <w:r>
        <w:rPr>
          <w:color w:val="231F20"/>
          <w:w w:val="110"/>
          <w:sz w:val="16"/>
        </w:rPr>
        <w:t>Press, 2006),</w:t>
      </w:r>
      <w:r>
        <w:rPr>
          <w:color w:val="231F20"/>
          <w:spacing w:val="15"/>
          <w:w w:val="110"/>
          <w:sz w:val="16"/>
        </w:rPr>
        <w:t xml:space="preserve"> </w:t>
      </w:r>
      <w:r>
        <w:rPr>
          <w:color w:val="231F20"/>
          <w:w w:val="110"/>
          <w:sz w:val="16"/>
        </w:rPr>
        <w:t>64.</w:t>
      </w:r>
    </w:p>
    <w:p w14:paraId="3C31E4DA" w14:textId="77777777" w:rsidR="002653E8" w:rsidRDefault="003115E3">
      <w:pPr>
        <w:pStyle w:val="a4"/>
        <w:numPr>
          <w:ilvl w:val="1"/>
          <w:numId w:val="155"/>
        </w:numPr>
        <w:tabs>
          <w:tab w:val="left" w:pos="1467"/>
        </w:tabs>
        <w:ind w:firstLine="0"/>
        <w:rPr>
          <w:sz w:val="16"/>
        </w:rPr>
      </w:pPr>
      <w:r>
        <w:rPr>
          <w:color w:val="231F20"/>
          <w:w w:val="110"/>
          <w:sz w:val="16"/>
        </w:rPr>
        <w:t>Ibid.</w:t>
      </w:r>
    </w:p>
    <w:p w14:paraId="6125609A" w14:textId="77777777" w:rsidR="002653E8" w:rsidRDefault="003115E3">
      <w:pPr>
        <w:spacing w:before="52"/>
        <w:ind w:left="1327"/>
        <w:rPr>
          <w:sz w:val="16"/>
        </w:rPr>
      </w:pPr>
      <w:r>
        <w:rPr>
          <w:color w:val="231F20"/>
          <w:w w:val="110"/>
          <w:sz w:val="16"/>
        </w:rPr>
        <w:t>8 Aust, 192.</w:t>
      </w:r>
    </w:p>
    <w:p w14:paraId="71F7D2E0" w14:textId="77777777" w:rsidR="002653E8" w:rsidRDefault="003115E3">
      <w:pPr>
        <w:pStyle w:val="a4"/>
        <w:numPr>
          <w:ilvl w:val="0"/>
          <w:numId w:val="154"/>
        </w:numPr>
        <w:tabs>
          <w:tab w:val="left" w:pos="1467"/>
        </w:tabs>
        <w:spacing w:before="51"/>
        <w:ind w:firstLine="0"/>
        <w:rPr>
          <w:sz w:val="16"/>
        </w:rPr>
      </w:pPr>
      <w:r>
        <w:rPr>
          <w:i/>
          <w:color w:val="231F20"/>
          <w:w w:val="110"/>
          <w:sz w:val="16"/>
        </w:rPr>
        <w:t xml:space="preserve">Time Magazine </w:t>
      </w:r>
      <w:r>
        <w:rPr>
          <w:color w:val="231F20"/>
          <w:w w:val="110"/>
          <w:sz w:val="16"/>
        </w:rPr>
        <w:t>[online], “Battle of Berlin,” July 3,</w:t>
      </w:r>
      <w:r>
        <w:rPr>
          <w:color w:val="231F20"/>
          <w:spacing w:val="10"/>
          <w:w w:val="110"/>
          <w:sz w:val="16"/>
        </w:rPr>
        <w:t xml:space="preserve"> </w:t>
      </w:r>
      <w:r>
        <w:rPr>
          <w:color w:val="231F20"/>
          <w:w w:val="110"/>
          <w:sz w:val="16"/>
        </w:rPr>
        <w:t>1972.</w:t>
      </w:r>
    </w:p>
    <w:p w14:paraId="4B61E0E6" w14:textId="77777777" w:rsidR="002653E8" w:rsidRPr="00C507A5" w:rsidRDefault="003115E3">
      <w:pPr>
        <w:pStyle w:val="a4"/>
        <w:numPr>
          <w:ilvl w:val="0"/>
          <w:numId w:val="154"/>
        </w:numPr>
        <w:tabs>
          <w:tab w:val="left" w:pos="1555"/>
        </w:tabs>
        <w:spacing w:before="52" w:line="254" w:lineRule="auto"/>
        <w:ind w:right="1312" w:firstLine="1"/>
        <w:rPr>
          <w:sz w:val="16"/>
          <w:lang w:val="de-DE"/>
        </w:rPr>
      </w:pPr>
      <w:r w:rsidRPr="00C507A5">
        <w:rPr>
          <w:color w:val="231F20"/>
          <w:w w:val="110"/>
          <w:sz w:val="16"/>
          <w:lang w:val="de-DE"/>
        </w:rPr>
        <w:t xml:space="preserve">Rote Armee Fraktion, </w:t>
      </w:r>
      <w:r w:rsidRPr="00C507A5">
        <w:rPr>
          <w:i/>
          <w:color w:val="231F20"/>
          <w:w w:val="110"/>
          <w:sz w:val="16"/>
          <w:lang w:val="de-DE"/>
        </w:rPr>
        <w:t xml:space="preserve">Texte </w:t>
      </w:r>
      <w:r w:rsidRPr="00C507A5">
        <w:rPr>
          <w:i/>
          <w:color w:val="231F20"/>
          <w:spacing w:val="1"/>
          <w:w w:val="110"/>
          <w:sz w:val="16"/>
          <w:lang w:val="de-DE"/>
        </w:rPr>
        <w:t xml:space="preserve">und Materialien </w:t>
      </w:r>
      <w:r w:rsidRPr="00C507A5">
        <w:rPr>
          <w:i/>
          <w:color w:val="231F20"/>
          <w:w w:val="110"/>
          <w:sz w:val="16"/>
          <w:lang w:val="de-DE"/>
        </w:rPr>
        <w:t xml:space="preserve">zur Geschichte </w:t>
      </w:r>
      <w:r w:rsidRPr="00C507A5">
        <w:rPr>
          <w:i/>
          <w:color w:val="231F20"/>
          <w:spacing w:val="1"/>
          <w:w w:val="110"/>
          <w:sz w:val="16"/>
          <w:lang w:val="de-DE"/>
        </w:rPr>
        <w:t xml:space="preserve">der </w:t>
      </w:r>
      <w:r w:rsidR="00C507A5" w:rsidRPr="00C507A5">
        <w:rPr>
          <w:i/>
          <w:color w:val="231F20"/>
          <w:spacing w:val="3"/>
          <w:w w:val="110"/>
          <w:sz w:val="16"/>
          <w:lang w:val="de-DE"/>
        </w:rPr>
        <w:t>red army faction</w:t>
      </w:r>
      <w:r w:rsidRPr="00C507A5">
        <w:rPr>
          <w:i/>
          <w:color w:val="231F20"/>
          <w:spacing w:val="3"/>
          <w:w w:val="110"/>
          <w:sz w:val="16"/>
          <w:lang w:val="de-DE"/>
        </w:rPr>
        <w:t xml:space="preserve">, </w:t>
      </w:r>
      <w:r w:rsidRPr="00C507A5">
        <w:rPr>
          <w:color w:val="231F20"/>
          <w:w w:val="110"/>
          <w:sz w:val="16"/>
          <w:lang w:val="de-DE"/>
        </w:rPr>
        <w:t xml:space="preserve">(Berlin: ID-Verlag, </w:t>
      </w:r>
      <w:r w:rsidRPr="00C507A5">
        <w:rPr>
          <w:color w:val="231F20"/>
          <w:spacing w:val="-2"/>
          <w:w w:val="110"/>
          <w:sz w:val="16"/>
          <w:lang w:val="de-DE"/>
        </w:rPr>
        <w:t>1997),</w:t>
      </w:r>
      <w:r w:rsidRPr="00C507A5">
        <w:rPr>
          <w:color w:val="231F20"/>
          <w:spacing w:val="11"/>
          <w:w w:val="110"/>
          <w:sz w:val="16"/>
          <w:lang w:val="de-DE"/>
        </w:rPr>
        <w:t xml:space="preserve"> </w:t>
      </w:r>
      <w:r w:rsidRPr="00C507A5">
        <w:rPr>
          <w:color w:val="231F20"/>
          <w:w w:val="110"/>
          <w:sz w:val="16"/>
          <w:lang w:val="de-DE"/>
        </w:rPr>
        <w:t>82.</w:t>
      </w:r>
    </w:p>
    <w:p w14:paraId="04FDA569" w14:textId="77777777" w:rsidR="002653E8" w:rsidRPr="00C507A5" w:rsidRDefault="002653E8">
      <w:pPr>
        <w:spacing w:line="254" w:lineRule="auto"/>
        <w:rPr>
          <w:sz w:val="16"/>
          <w:lang w:val="de-DE"/>
        </w:rPr>
        <w:sectPr w:rsidR="002653E8" w:rsidRPr="00C507A5">
          <w:pgSz w:w="8640" w:h="12960"/>
          <w:pgMar w:top="1060" w:right="0" w:bottom="1040" w:left="0" w:header="0" w:footer="850" w:gutter="0"/>
          <w:cols w:space="720"/>
        </w:sectPr>
      </w:pPr>
    </w:p>
    <w:p w14:paraId="11BF560F" w14:textId="77777777" w:rsidR="002653E8" w:rsidRDefault="003115E3">
      <w:pPr>
        <w:pStyle w:val="a3"/>
        <w:spacing w:before="86" w:line="264" w:lineRule="auto"/>
        <w:ind w:left="1148" w:right="1145" w:hanging="1"/>
      </w:pPr>
      <w:r>
        <w:rPr>
          <w:color w:val="231F20"/>
        </w:rPr>
        <w:lastRenderedPageBreak/>
        <w:t>pression within the FRG. These weaknesses were pointed to as so many factors underscoring the necessity for armed politics.</w:t>
      </w:r>
    </w:p>
    <w:p w14:paraId="745537AA" w14:textId="77777777" w:rsidR="002653E8" w:rsidRDefault="003115E3">
      <w:pPr>
        <w:pStyle w:val="a3"/>
        <w:spacing w:line="264" w:lineRule="auto"/>
        <w:ind w:left="1148" w:right="1326" w:firstLine="210"/>
        <w:jc w:val="both"/>
      </w:pPr>
      <w:r>
        <w:rPr>
          <w:color w:val="231F20"/>
        </w:rPr>
        <w:t>A</w:t>
      </w:r>
      <w:r>
        <w:rPr>
          <w:color w:val="231F20"/>
          <w:spacing w:val="-9"/>
        </w:rPr>
        <w:t xml:space="preserve"> </w:t>
      </w:r>
      <w:r>
        <w:rPr>
          <w:color w:val="231F20"/>
        </w:rPr>
        <w:t>real</w:t>
      </w:r>
      <w:r>
        <w:rPr>
          <w:color w:val="231F20"/>
          <w:spacing w:val="-9"/>
        </w:rPr>
        <w:t xml:space="preserve"> </w:t>
      </w:r>
      <w:r>
        <w:rPr>
          <w:color w:val="231F20"/>
        </w:rPr>
        <w:t>attempt</w:t>
      </w:r>
      <w:r>
        <w:rPr>
          <w:color w:val="231F20"/>
          <w:spacing w:val="-9"/>
        </w:rPr>
        <w:t xml:space="preserve"> </w:t>
      </w:r>
      <w:r>
        <w:rPr>
          <w:color w:val="231F20"/>
        </w:rPr>
        <w:t>to</w:t>
      </w:r>
      <w:r>
        <w:rPr>
          <w:color w:val="231F20"/>
          <w:spacing w:val="-9"/>
        </w:rPr>
        <w:t xml:space="preserve"> </w:t>
      </w:r>
      <w:r>
        <w:rPr>
          <w:color w:val="231F20"/>
        </w:rPr>
        <w:t>find</w:t>
      </w:r>
      <w:r>
        <w:rPr>
          <w:color w:val="231F20"/>
          <w:spacing w:val="-9"/>
        </w:rPr>
        <w:t xml:space="preserve"> </w:t>
      </w:r>
      <w:r>
        <w:rPr>
          <w:color w:val="231F20"/>
        </w:rPr>
        <w:t>a</w:t>
      </w:r>
      <w:r>
        <w:rPr>
          <w:color w:val="231F20"/>
          <w:spacing w:val="-9"/>
        </w:rPr>
        <w:t xml:space="preserve"> </w:t>
      </w:r>
      <w:r>
        <w:rPr>
          <w:color w:val="231F20"/>
        </w:rPr>
        <w:t>strategic</w:t>
      </w:r>
      <w:r>
        <w:rPr>
          <w:color w:val="231F20"/>
          <w:spacing w:val="-9"/>
        </w:rPr>
        <w:t xml:space="preserve"> </w:t>
      </w:r>
      <w:r>
        <w:rPr>
          <w:color w:val="231F20"/>
        </w:rPr>
        <w:t>connection</w:t>
      </w:r>
      <w:r>
        <w:rPr>
          <w:color w:val="231F20"/>
          <w:spacing w:val="-9"/>
        </w:rPr>
        <w:t xml:space="preserve"> </w:t>
      </w:r>
      <w:r>
        <w:rPr>
          <w:color w:val="231F20"/>
        </w:rPr>
        <w:t>between</w:t>
      </w:r>
      <w:r>
        <w:rPr>
          <w:color w:val="231F20"/>
          <w:spacing w:val="-9"/>
        </w:rPr>
        <w:t xml:space="preserve"> </w:t>
      </w:r>
      <w:r>
        <w:rPr>
          <w:color w:val="231F20"/>
        </w:rPr>
        <w:t>class</w:t>
      </w:r>
      <w:r>
        <w:rPr>
          <w:color w:val="231F20"/>
          <w:spacing w:val="-9"/>
        </w:rPr>
        <w:t xml:space="preserve"> </w:t>
      </w:r>
      <w:r>
        <w:rPr>
          <w:color w:val="231F20"/>
        </w:rPr>
        <w:t>oppression, working class struggle (outside of the unions, of course) and the guerilla is</w:t>
      </w:r>
      <w:r>
        <w:rPr>
          <w:color w:val="231F20"/>
          <w:spacing w:val="12"/>
        </w:rPr>
        <w:t xml:space="preserve"> </w:t>
      </w:r>
      <w:r>
        <w:rPr>
          <w:color w:val="231F20"/>
        </w:rPr>
        <w:t>apparent</w:t>
      </w:r>
      <w:r>
        <w:rPr>
          <w:color w:val="231F20"/>
          <w:spacing w:val="12"/>
        </w:rPr>
        <w:t xml:space="preserve"> </w:t>
      </w:r>
      <w:r>
        <w:rPr>
          <w:color w:val="231F20"/>
        </w:rPr>
        <w:t>in</w:t>
      </w:r>
      <w:r>
        <w:rPr>
          <w:color w:val="231F20"/>
          <w:spacing w:val="12"/>
        </w:rPr>
        <w:t xml:space="preserve"> </w:t>
      </w:r>
      <w:r>
        <w:rPr>
          <w:color w:val="231F20"/>
        </w:rPr>
        <w:t>all</w:t>
      </w:r>
      <w:r>
        <w:rPr>
          <w:color w:val="231F20"/>
          <w:spacing w:val="12"/>
        </w:rPr>
        <w:t xml:space="preserve"> </w:t>
      </w:r>
      <w:r>
        <w:rPr>
          <w:color w:val="231F20"/>
        </w:rPr>
        <w:t>the</w:t>
      </w:r>
      <w:r>
        <w:rPr>
          <w:color w:val="231F20"/>
          <w:spacing w:val="13"/>
        </w:rPr>
        <w:t xml:space="preserve"> </w:t>
      </w:r>
      <w:r w:rsidR="00C507A5">
        <w:rPr>
          <w:color w:val="231F20"/>
          <w:spacing w:val="1"/>
        </w:rPr>
        <w:t>red army faction</w:t>
      </w:r>
      <w:r>
        <w:rPr>
          <w:color w:val="231F20"/>
          <w:spacing w:val="1"/>
        </w:rPr>
        <w:t>’s</w:t>
      </w:r>
      <w:r>
        <w:rPr>
          <w:color w:val="231F20"/>
          <w:spacing w:val="12"/>
        </w:rPr>
        <w:t xml:space="preserve"> </w:t>
      </w:r>
      <w:r>
        <w:rPr>
          <w:color w:val="231F20"/>
        </w:rPr>
        <w:t>theoretical</w:t>
      </w:r>
      <w:r>
        <w:rPr>
          <w:color w:val="231F20"/>
          <w:spacing w:val="12"/>
        </w:rPr>
        <w:t xml:space="preserve"> </w:t>
      </w:r>
      <w:r>
        <w:rPr>
          <w:color w:val="231F20"/>
        </w:rPr>
        <w:t>documents</w:t>
      </w:r>
      <w:r>
        <w:rPr>
          <w:color w:val="231F20"/>
          <w:spacing w:val="12"/>
        </w:rPr>
        <w:t xml:space="preserve"> </w:t>
      </w:r>
      <w:r>
        <w:rPr>
          <w:color w:val="231F20"/>
        </w:rPr>
        <w:t>in</w:t>
      </w:r>
      <w:r>
        <w:rPr>
          <w:color w:val="231F20"/>
          <w:spacing w:val="12"/>
        </w:rPr>
        <w:t xml:space="preserve"> </w:t>
      </w:r>
      <w:r>
        <w:rPr>
          <w:color w:val="231F20"/>
        </w:rPr>
        <w:t>this</w:t>
      </w:r>
      <w:r>
        <w:rPr>
          <w:color w:val="231F20"/>
          <w:spacing w:val="12"/>
        </w:rPr>
        <w:t xml:space="preserve"> </w:t>
      </w:r>
      <w:r>
        <w:rPr>
          <w:color w:val="231F20"/>
        </w:rPr>
        <w:t>period.</w:t>
      </w:r>
    </w:p>
    <w:p w14:paraId="04457A22" w14:textId="77777777" w:rsidR="002653E8" w:rsidRDefault="003115E3">
      <w:pPr>
        <w:pStyle w:val="a3"/>
        <w:spacing w:line="264" w:lineRule="auto"/>
        <w:ind w:left="1147" w:right="1326" w:firstLine="210"/>
        <w:jc w:val="both"/>
      </w:pPr>
      <w:r>
        <w:rPr>
          <w:color w:val="231F20"/>
        </w:rPr>
        <w:t xml:space="preserve">This will not always be the case.In contradistinction to its anti-imperialism, this class orientation at times approximated left-communism in its focus on working class self-activity and alienation. Partly, the explanation for this can be found in the political experiences and trajectories of the core members of the </w:t>
      </w:r>
      <w:r w:rsidR="00C507A5">
        <w:rPr>
          <w:color w:val="231F20"/>
        </w:rPr>
        <w:t>red army faction</w:t>
      </w:r>
      <w:r>
        <w:rPr>
          <w:color w:val="231F20"/>
        </w:rPr>
        <w:t xml:space="preserve"> at this point: the sixties revolt and the APO, with their grounding in not only Marxism-Leninism and anti-imperialism, but also Frankfurt School Marxism, the “apprentices collectives,” and, via the SPK, radical therapy.</w:t>
      </w:r>
    </w:p>
    <w:p w14:paraId="786B2A1D" w14:textId="77777777" w:rsidR="002653E8" w:rsidRDefault="003115E3">
      <w:pPr>
        <w:pStyle w:val="a3"/>
        <w:spacing w:line="264" w:lineRule="auto"/>
        <w:ind w:left="1147" w:right="1326" w:firstLine="210"/>
        <w:jc w:val="both"/>
      </w:pPr>
      <w:r>
        <w:rPr>
          <w:color w:val="231F20"/>
        </w:rPr>
        <w:t xml:space="preserve">At the same time, the period between </w:t>
      </w:r>
      <w:r>
        <w:rPr>
          <w:color w:val="231F20"/>
          <w:spacing w:val="-4"/>
        </w:rPr>
        <w:t xml:space="preserve">1969 </w:t>
      </w:r>
      <w:r>
        <w:rPr>
          <w:color w:val="231F20"/>
        </w:rPr>
        <w:t xml:space="preserve">and </w:t>
      </w:r>
      <w:r>
        <w:rPr>
          <w:color w:val="231F20"/>
          <w:spacing w:val="-5"/>
        </w:rPr>
        <w:t xml:space="preserve">1973 </w:t>
      </w:r>
      <w:r>
        <w:rPr>
          <w:color w:val="231F20"/>
        </w:rPr>
        <w:t xml:space="preserve">was one of heightened class conflict in the FRG, beyond and at times against the trade union leadership, with wildcat strikes often being led by women, youth, and immigrant workers. Combined with the sudden </w:t>
      </w:r>
      <w:r>
        <w:rPr>
          <w:color w:val="231F20"/>
          <w:spacing w:val="1"/>
        </w:rPr>
        <w:t xml:space="preserve">turn </w:t>
      </w:r>
      <w:r>
        <w:rPr>
          <w:color w:val="231F20"/>
        </w:rPr>
        <w:t xml:space="preserve">of  many former </w:t>
      </w:r>
      <w:r>
        <w:rPr>
          <w:color w:val="231F20"/>
          <w:spacing w:val="1"/>
        </w:rPr>
        <w:t xml:space="preserve">APO </w:t>
      </w:r>
      <w:r>
        <w:rPr>
          <w:color w:val="231F20"/>
        </w:rPr>
        <w:t>comrades to the new “proletarian” K-groups, this created a context in which it would have been difficult to elaborate a revolutionary strategy without dealing with the question of the working class.</w:t>
      </w:r>
    </w:p>
    <w:p w14:paraId="423B8A7A" w14:textId="77777777" w:rsidR="002653E8" w:rsidRDefault="003115E3">
      <w:pPr>
        <w:pStyle w:val="a3"/>
        <w:spacing w:line="264" w:lineRule="auto"/>
        <w:ind w:left="1147" w:right="1327" w:firstLine="210"/>
        <w:jc w:val="both"/>
      </w:pPr>
      <w:r>
        <w:rPr>
          <w:color w:val="231F20"/>
        </w:rPr>
        <w:t>As we shall see later on, some of the ideas in this document were</w:t>
      </w:r>
      <w:r>
        <w:rPr>
          <w:color w:val="231F20"/>
          <w:spacing w:val="-25"/>
        </w:rPr>
        <w:t xml:space="preserve"> </w:t>
      </w:r>
      <w:r>
        <w:rPr>
          <w:color w:val="231F20"/>
        </w:rPr>
        <w:t>soon qualified, if not rejected, while others were sharpened, finding their place</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centre</w:t>
      </w:r>
      <w:r>
        <w:rPr>
          <w:color w:val="231F20"/>
          <w:spacing w:val="10"/>
        </w:rPr>
        <w:t xml:space="preserve"> </w:t>
      </w:r>
      <w:r>
        <w:rPr>
          <w:color w:val="231F20"/>
        </w:rPr>
        <w:t>of</w:t>
      </w:r>
      <w:r>
        <w:rPr>
          <w:color w:val="231F20"/>
          <w:spacing w:val="10"/>
        </w:rPr>
        <w:t xml:space="preserve"> </w:t>
      </w:r>
      <w:r>
        <w:rPr>
          <w:color w:val="231F20"/>
        </w:rPr>
        <w:t>the</w:t>
      </w:r>
      <w:r>
        <w:rPr>
          <w:color w:val="231F20"/>
          <w:spacing w:val="11"/>
        </w:rPr>
        <w:t xml:space="preserve"> </w:t>
      </w:r>
      <w:r w:rsidR="00C507A5">
        <w:rPr>
          <w:color w:val="231F20"/>
          <w:spacing w:val="1"/>
        </w:rPr>
        <w:t>red army faction</w:t>
      </w:r>
      <w:r>
        <w:rPr>
          <w:color w:val="231F20"/>
          <w:spacing w:val="1"/>
        </w:rPr>
        <w:t>’s</w:t>
      </w:r>
      <w:r>
        <w:rPr>
          <w:color w:val="231F20"/>
          <w:spacing w:val="10"/>
        </w:rPr>
        <w:t xml:space="preserve"> </w:t>
      </w:r>
      <w:r>
        <w:rPr>
          <w:color w:val="231F20"/>
          <w:spacing w:val="-3"/>
        </w:rPr>
        <w:t>worldview.</w:t>
      </w:r>
    </w:p>
    <w:p w14:paraId="013C528D" w14:textId="77777777" w:rsidR="002653E8" w:rsidRDefault="003115E3">
      <w:pPr>
        <w:pStyle w:val="a3"/>
        <w:spacing w:line="264" w:lineRule="auto"/>
        <w:ind w:left="1147" w:right="1326" w:firstLine="209"/>
        <w:jc w:val="both"/>
      </w:pPr>
      <w:r>
        <w:rPr>
          <w:color w:val="231F20"/>
        </w:rPr>
        <w:t xml:space="preserve">Finally, </w:t>
      </w:r>
      <w:r>
        <w:rPr>
          <w:i/>
          <w:color w:val="231F20"/>
          <w:spacing w:val="1"/>
        </w:rPr>
        <w:t xml:space="preserve">Serve </w:t>
      </w:r>
      <w:r>
        <w:rPr>
          <w:i/>
          <w:color w:val="231F20"/>
        </w:rPr>
        <w:t xml:space="preserve">the People </w:t>
      </w:r>
      <w:r>
        <w:rPr>
          <w:color w:val="231F20"/>
        </w:rPr>
        <w:t xml:space="preserve">provides the </w:t>
      </w:r>
      <w:r w:rsidR="00C507A5">
        <w:rPr>
          <w:color w:val="231F20"/>
          <w:spacing w:val="1"/>
        </w:rPr>
        <w:t>red army faction</w:t>
      </w:r>
      <w:r>
        <w:rPr>
          <w:color w:val="231F20"/>
          <w:spacing w:val="1"/>
        </w:rPr>
        <w:t xml:space="preserve">’s </w:t>
      </w:r>
      <w:r>
        <w:rPr>
          <w:color w:val="231F20"/>
        </w:rPr>
        <w:t>response to Karl-Heinz Ruhland, who had been turned into an instrument of police propaganda. Similarly, two drop-outs from the guerilla, Beate Sturm and  Peter</w:t>
      </w:r>
      <w:r>
        <w:rPr>
          <w:color w:val="231F20"/>
          <w:spacing w:val="10"/>
        </w:rPr>
        <w:t xml:space="preserve"> </w:t>
      </w:r>
      <w:r>
        <w:rPr>
          <w:color w:val="231F20"/>
        </w:rPr>
        <w:t>Homann,</w:t>
      </w:r>
      <w:r>
        <w:rPr>
          <w:color w:val="231F20"/>
          <w:spacing w:val="10"/>
        </w:rPr>
        <w:t xml:space="preserve"> </w:t>
      </w:r>
      <w:r>
        <w:rPr>
          <w:color w:val="231F20"/>
        </w:rPr>
        <w:t>were</w:t>
      </w:r>
      <w:r>
        <w:rPr>
          <w:color w:val="231F20"/>
          <w:spacing w:val="10"/>
        </w:rPr>
        <w:t xml:space="preserve"> </w:t>
      </w:r>
      <w:r>
        <w:rPr>
          <w:color w:val="231F20"/>
        </w:rPr>
        <w:t>also</w:t>
      </w:r>
      <w:r>
        <w:rPr>
          <w:color w:val="231F20"/>
          <w:spacing w:val="10"/>
        </w:rPr>
        <w:t xml:space="preserve"> </w:t>
      </w:r>
      <w:r>
        <w:rPr>
          <w:color w:val="231F20"/>
        </w:rPr>
        <w:t>excoriated</w:t>
      </w:r>
      <w:r>
        <w:rPr>
          <w:color w:val="231F20"/>
          <w:spacing w:val="10"/>
        </w:rPr>
        <w:t xml:space="preserve"> </w:t>
      </w:r>
      <w:r>
        <w:rPr>
          <w:color w:val="231F20"/>
        </w:rPr>
        <w:t>as</w:t>
      </w:r>
      <w:r>
        <w:rPr>
          <w:color w:val="231F20"/>
          <w:spacing w:val="10"/>
        </w:rPr>
        <w:t xml:space="preserve"> </w:t>
      </w:r>
      <w:r>
        <w:rPr>
          <w:color w:val="231F20"/>
        </w:rPr>
        <w:t>traitors.</w:t>
      </w:r>
    </w:p>
    <w:p w14:paraId="023791BD" w14:textId="77777777" w:rsidR="002653E8" w:rsidRDefault="003115E3">
      <w:pPr>
        <w:pStyle w:val="a3"/>
        <w:spacing w:line="264" w:lineRule="auto"/>
        <w:ind w:left="1147" w:right="1326" w:firstLine="210"/>
        <w:jc w:val="both"/>
      </w:pPr>
      <w:r>
        <w:rPr>
          <w:color w:val="231F20"/>
        </w:rPr>
        <w:t xml:space="preserve">Unlike Ruhland, Sturm’s main crime seems to have been that, subsequent to leaving the </w:t>
      </w:r>
      <w:r w:rsidR="00C507A5">
        <w:rPr>
          <w:color w:val="231F20"/>
        </w:rPr>
        <w:t>red army faction</w:t>
      </w:r>
      <w:r>
        <w:rPr>
          <w:color w:val="231F20"/>
        </w:rPr>
        <w:t xml:space="preserve">, she contacted the media, providing </w:t>
      </w:r>
      <w:r>
        <w:rPr>
          <w:i/>
          <w:color w:val="231F20"/>
        </w:rPr>
        <w:t xml:space="preserve">Spiegel </w:t>
      </w:r>
      <w:r>
        <w:rPr>
          <w:color w:val="231F20"/>
        </w:rPr>
        <w:t>with a highly unflattering portrait of the group.</w:t>
      </w:r>
    </w:p>
    <w:p w14:paraId="28DEC113" w14:textId="77777777" w:rsidR="002653E8" w:rsidRDefault="003115E3">
      <w:pPr>
        <w:pStyle w:val="a3"/>
        <w:spacing w:line="264" w:lineRule="auto"/>
        <w:ind w:left="1147" w:right="1325" w:firstLine="210"/>
        <w:jc w:val="both"/>
      </w:pPr>
      <w:r>
        <w:rPr>
          <w:color w:val="231F20"/>
        </w:rPr>
        <w:t xml:space="preserve">Homann’s story, on the other hand, was more complex; some controversy about his falling out with the group remains even </w:t>
      </w:r>
      <w:r>
        <w:rPr>
          <w:color w:val="231F20"/>
          <w:spacing w:val="-4"/>
        </w:rPr>
        <w:t xml:space="preserve">today. </w:t>
      </w:r>
      <w:r>
        <w:rPr>
          <w:color w:val="231F20"/>
        </w:rPr>
        <w:t>While there</w:t>
      </w:r>
      <w:r>
        <w:rPr>
          <w:color w:val="231F20"/>
          <w:spacing w:val="-3"/>
        </w:rPr>
        <w:t xml:space="preserve"> </w:t>
      </w:r>
      <w:r>
        <w:rPr>
          <w:color w:val="231F20"/>
        </w:rPr>
        <w:t>are</w:t>
      </w:r>
      <w:r>
        <w:rPr>
          <w:color w:val="231F20"/>
          <w:spacing w:val="-3"/>
        </w:rPr>
        <w:t xml:space="preserve"> </w:t>
      </w:r>
      <w:r>
        <w:rPr>
          <w:color w:val="231F20"/>
        </w:rPr>
        <w:t>radically</w:t>
      </w:r>
      <w:r>
        <w:rPr>
          <w:color w:val="231F20"/>
          <w:spacing w:val="-3"/>
        </w:rPr>
        <w:t xml:space="preserve"> </w:t>
      </w:r>
      <w:r>
        <w:rPr>
          <w:color w:val="231F20"/>
        </w:rPr>
        <w:t>different</w:t>
      </w:r>
      <w:r>
        <w:rPr>
          <w:color w:val="231F20"/>
          <w:spacing w:val="-3"/>
        </w:rPr>
        <w:t xml:space="preserve"> </w:t>
      </w:r>
      <w:r>
        <w:rPr>
          <w:color w:val="231F20"/>
        </w:rPr>
        <w:t>versions</w:t>
      </w:r>
      <w:r>
        <w:rPr>
          <w:color w:val="231F20"/>
          <w:spacing w:val="-3"/>
        </w:rPr>
        <w:t xml:space="preserve"> </w:t>
      </w:r>
      <w:r>
        <w:rPr>
          <w:color w:val="231F20"/>
        </w:rPr>
        <w:t>of</w:t>
      </w:r>
      <w:r>
        <w:rPr>
          <w:color w:val="231F20"/>
          <w:spacing w:val="-3"/>
        </w:rPr>
        <w:t xml:space="preserve"> </w:t>
      </w:r>
      <w:r>
        <w:rPr>
          <w:color w:val="231F20"/>
        </w:rPr>
        <w:t>the</w:t>
      </w:r>
      <w:r>
        <w:rPr>
          <w:color w:val="231F20"/>
          <w:spacing w:val="-3"/>
        </w:rPr>
        <w:t xml:space="preserve"> </w:t>
      </w:r>
      <w:r>
        <w:rPr>
          <w:color w:val="231F20"/>
        </w:rPr>
        <w:t>circumstances,</w:t>
      </w:r>
      <w:r>
        <w:rPr>
          <w:color w:val="231F20"/>
          <w:spacing w:val="-3"/>
        </w:rPr>
        <w:t xml:space="preserve"> </w:t>
      </w:r>
      <w:r>
        <w:rPr>
          <w:color w:val="231F20"/>
        </w:rPr>
        <w:t>it</w:t>
      </w:r>
      <w:r>
        <w:rPr>
          <w:color w:val="231F20"/>
          <w:spacing w:val="-3"/>
        </w:rPr>
        <w:t xml:space="preserve"> </w:t>
      </w:r>
      <w:r>
        <w:rPr>
          <w:color w:val="231F20"/>
        </w:rPr>
        <w:t>is</w:t>
      </w:r>
      <w:r>
        <w:rPr>
          <w:color w:val="231F20"/>
          <w:spacing w:val="-3"/>
        </w:rPr>
        <w:t xml:space="preserve"> </w:t>
      </w:r>
      <w:r>
        <w:rPr>
          <w:color w:val="231F20"/>
        </w:rPr>
        <w:t>clear</w:t>
      </w:r>
      <w:r>
        <w:rPr>
          <w:color w:val="231F20"/>
          <w:spacing w:val="-3"/>
        </w:rPr>
        <w:t xml:space="preserve"> </w:t>
      </w:r>
      <w:r>
        <w:rPr>
          <w:color w:val="231F20"/>
        </w:rPr>
        <w:t xml:space="preserve">that he was on very bad terms with his erstwhile comrades upon his return from the Jordan training trip in </w:t>
      </w:r>
      <w:r>
        <w:rPr>
          <w:color w:val="231F20"/>
          <w:spacing w:val="-4"/>
        </w:rPr>
        <w:t xml:space="preserve">1970.  </w:t>
      </w:r>
      <w:r>
        <w:rPr>
          <w:color w:val="231F20"/>
        </w:rPr>
        <w:t xml:space="preserve">Immediately after this, he and    his friend Stefan Aust traveled to Sicily where Meinhof’s seven-year old </w:t>
      </w:r>
      <w:r>
        <w:rPr>
          <w:color w:val="231F20"/>
          <w:spacing w:val="1"/>
        </w:rPr>
        <w:t xml:space="preserve">twin </w:t>
      </w:r>
      <w:r>
        <w:rPr>
          <w:color w:val="231F20"/>
        </w:rPr>
        <w:t xml:space="preserve">daughters were being cared for by comrades. Pretending to    be members of the </w:t>
      </w:r>
      <w:r w:rsidR="00C507A5">
        <w:rPr>
          <w:color w:val="231F20"/>
        </w:rPr>
        <w:t>red army faction</w:t>
      </w:r>
      <w:r>
        <w:rPr>
          <w:color w:val="231F20"/>
        </w:rPr>
        <w:t>, the two men took Meinhof’s girls with them, delivering</w:t>
      </w:r>
      <w:r>
        <w:rPr>
          <w:color w:val="231F20"/>
          <w:spacing w:val="13"/>
        </w:rPr>
        <w:t xml:space="preserve"> </w:t>
      </w:r>
      <w:r>
        <w:rPr>
          <w:color w:val="231F20"/>
        </w:rPr>
        <w:t>them</w:t>
      </w:r>
      <w:r>
        <w:rPr>
          <w:color w:val="231F20"/>
          <w:spacing w:val="13"/>
        </w:rPr>
        <w:t xml:space="preserve"> </w:t>
      </w:r>
      <w:r>
        <w:rPr>
          <w:color w:val="231F20"/>
        </w:rPr>
        <w:t>to</w:t>
      </w:r>
      <w:r>
        <w:rPr>
          <w:color w:val="231F20"/>
          <w:spacing w:val="13"/>
        </w:rPr>
        <w:t xml:space="preserve"> </w:t>
      </w:r>
      <w:r>
        <w:rPr>
          <w:color w:val="231F20"/>
        </w:rPr>
        <w:t>their</w:t>
      </w:r>
      <w:r>
        <w:rPr>
          <w:color w:val="231F20"/>
          <w:spacing w:val="13"/>
        </w:rPr>
        <w:t xml:space="preserve"> </w:t>
      </w:r>
      <w:r>
        <w:rPr>
          <w:color w:val="231F20"/>
        </w:rPr>
        <w:t>father,</w:t>
      </w:r>
      <w:r>
        <w:rPr>
          <w:color w:val="231F20"/>
          <w:spacing w:val="15"/>
        </w:rPr>
        <w:t xml:space="preserve"> </w:t>
      </w:r>
      <w:r>
        <w:rPr>
          <w:i/>
          <w:color w:val="231F20"/>
        </w:rPr>
        <w:t>konkret</w:t>
      </w:r>
      <w:r>
        <w:rPr>
          <w:i/>
          <w:color w:val="231F20"/>
          <w:spacing w:val="13"/>
        </w:rPr>
        <w:t xml:space="preserve"> </w:t>
      </w:r>
      <w:r>
        <w:rPr>
          <w:color w:val="231F20"/>
        </w:rPr>
        <w:t>editor</w:t>
      </w:r>
      <w:r>
        <w:rPr>
          <w:color w:val="231F20"/>
          <w:spacing w:val="13"/>
        </w:rPr>
        <w:t xml:space="preserve"> </w:t>
      </w:r>
      <w:r>
        <w:rPr>
          <w:color w:val="231F20"/>
        </w:rPr>
        <w:t>Klaus</w:t>
      </w:r>
      <w:r>
        <w:rPr>
          <w:color w:val="231F20"/>
          <w:spacing w:val="13"/>
        </w:rPr>
        <w:t xml:space="preserve"> </w:t>
      </w:r>
      <w:r>
        <w:rPr>
          <w:color w:val="231F20"/>
        </w:rPr>
        <w:lastRenderedPageBreak/>
        <w:t>Rainer</w:t>
      </w:r>
      <w:r>
        <w:rPr>
          <w:color w:val="231F20"/>
          <w:spacing w:val="13"/>
        </w:rPr>
        <w:t xml:space="preserve"> </w:t>
      </w:r>
      <w:r>
        <w:rPr>
          <w:color w:val="231F20"/>
        </w:rPr>
        <w:t>Röhl.</w:t>
      </w:r>
    </w:p>
    <w:p w14:paraId="04A1CAD6" w14:textId="77777777" w:rsidR="002653E8" w:rsidRDefault="002653E8">
      <w:pPr>
        <w:spacing w:line="264" w:lineRule="auto"/>
        <w:jc w:val="both"/>
        <w:sectPr w:rsidR="002653E8">
          <w:pgSz w:w="8640" w:h="12960"/>
          <w:pgMar w:top="1060" w:right="0" w:bottom="1040" w:left="0" w:header="0" w:footer="850" w:gutter="0"/>
          <w:cols w:space="720"/>
        </w:sectPr>
      </w:pPr>
    </w:p>
    <w:p w14:paraId="4DEF1F2A" w14:textId="77777777" w:rsidR="002653E8" w:rsidRDefault="003115E3">
      <w:pPr>
        <w:pStyle w:val="a3"/>
        <w:spacing w:before="86" w:line="264" w:lineRule="auto"/>
        <w:ind w:left="1327" w:right="1146" w:firstLine="210"/>
        <w:jc w:val="both"/>
        <w:rPr>
          <w:sz w:val="11"/>
        </w:rPr>
      </w:pPr>
      <w:r>
        <w:rPr>
          <w:color w:val="231F20"/>
        </w:rPr>
        <w:lastRenderedPageBreak/>
        <w:t xml:space="preserve">It seems likely that this direct intervention to thwart Meinhof’s plans for her children played some part in provoking his denunciation as a traitor in </w:t>
      </w:r>
      <w:r>
        <w:rPr>
          <w:i/>
          <w:color w:val="231F20"/>
          <w:spacing w:val="1"/>
        </w:rPr>
        <w:t xml:space="preserve">Serve </w:t>
      </w:r>
      <w:r>
        <w:rPr>
          <w:i/>
          <w:color w:val="231F20"/>
        </w:rPr>
        <w:t>the People</w:t>
      </w:r>
      <w:r>
        <w:rPr>
          <w:color w:val="231F20"/>
        </w:rPr>
        <w:t>. There are contradictory versions of why Homann did what he did,</w:t>
      </w:r>
      <w:r>
        <w:rPr>
          <w:color w:val="231F20"/>
          <w:position w:val="7"/>
          <w:sz w:val="11"/>
        </w:rPr>
        <w:t xml:space="preserve">1 </w:t>
      </w:r>
      <w:r>
        <w:rPr>
          <w:color w:val="231F20"/>
        </w:rPr>
        <w:t>but regardless of the facts surrounding this initial “treason,” he would fully earn the sobriquet later that year, going so far as to provide the police with information, and to testify against the guerilla in</w:t>
      </w:r>
      <w:r>
        <w:rPr>
          <w:color w:val="231F20"/>
          <w:spacing w:val="33"/>
        </w:rPr>
        <w:t xml:space="preserve"> </w:t>
      </w:r>
      <w:r>
        <w:rPr>
          <w:color w:val="231F20"/>
        </w:rPr>
        <w:t>court.</w:t>
      </w:r>
      <w:r>
        <w:rPr>
          <w:color w:val="231F20"/>
          <w:position w:val="7"/>
          <w:sz w:val="11"/>
        </w:rPr>
        <w:t>2</w:t>
      </w:r>
    </w:p>
    <w:p w14:paraId="698B5EEA" w14:textId="77777777" w:rsidR="002653E8" w:rsidRDefault="003115E3">
      <w:pPr>
        <w:pStyle w:val="a3"/>
        <w:spacing w:line="264" w:lineRule="auto"/>
        <w:ind w:left="1327" w:right="1146" w:firstLine="210"/>
        <w:jc w:val="both"/>
      </w:pPr>
      <w:r>
        <w:rPr>
          <w:color w:val="231F20"/>
          <w:spacing w:val="1"/>
        </w:rPr>
        <w:t xml:space="preserve">In </w:t>
      </w:r>
      <w:r>
        <w:rPr>
          <w:color w:val="231F20"/>
        </w:rPr>
        <w:t xml:space="preserve">retrospect, </w:t>
      </w:r>
      <w:r>
        <w:rPr>
          <w:i/>
          <w:color w:val="231F20"/>
          <w:spacing w:val="1"/>
        </w:rPr>
        <w:t xml:space="preserve">Serve </w:t>
      </w:r>
      <w:r>
        <w:rPr>
          <w:i/>
          <w:color w:val="231F20"/>
        </w:rPr>
        <w:t xml:space="preserve">the People </w:t>
      </w:r>
      <w:r>
        <w:rPr>
          <w:color w:val="231F20"/>
        </w:rPr>
        <w:t>is significant not so much in its contents, but in its timing, by which it serves as the end of a chapter. With its explanations of the bank robberies and the painstaking preparations undertaken, it allowed the guerilla to deal with some preliminary questions before moving on to grander</w:t>
      </w:r>
      <w:r>
        <w:rPr>
          <w:color w:val="231F20"/>
          <w:spacing w:val="18"/>
        </w:rPr>
        <w:t xml:space="preserve"> </w:t>
      </w:r>
      <w:r>
        <w:rPr>
          <w:color w:val="231F20"/>
        </w:rPr>
        <w:t>schemes.</w:t>
      </w:r>
    </w:p>
    <w:p w14:paraId="22C538A3" w14:textId="77777777" w:rsidR="002653E8" w:rsidRDefault="003115E3">
      <w:pPr>
        <w:pStyle w:val="a3"/>
        <w:spacing w:line="264" w:lineRule="auto"/>
        <w:ind w:left="1328" w:right="1145" w:firstLine="209"/>
        <w:jc w:val="both"/>
      </w:pPr>
      <w:r>
        <w:rPr>
          <w:color w:val="231F20"/>
        </w:rPr>
        <w:t xml:space="preserve">It would be the last theoretical document produced by the </w:t>
      </w:r>
      <w:r w:rsidR="00C507A5">
        <w:rPr>
          <w:color w:val="231F20"/>
        </w:rPr>
        <w:t>red army faction</w:t>
      </w:r>
      <w:r>
        <w:rPr>
          <w:color w:val="231F20"/>
        </w:rPr>
        <w:t xml:space="preserve"> outside of prison for almost ten years.</w:t>
      </w:r>
    </w:p>
    <w:p w14:paraId="031A81D6" w14:textId="77777777" w:rsidR="002653E8" w:rsidRDefault="002653E8">
      <w:pPr>
        <w:pStyle w:val="a3"/>
      </w:pPr>
    </w:p>
    <w:p w14:paraId="2AF3A032" w14:textId="77777777" w:rsidR="002653E8" w:rsidRDefault="002653E8">
      <w:pPr>
        <w:pStyle w:val="a3"/>
      </w:pPr>
    </w:p>
    <w:p w14:paraId="5F557382" w14:textId="77777777" w:rsidR="002653E8" w:rsidRDefault="002653E8">
      <w:pPr>
        <w:pStyle w:val="a3"/>
      </w:pPr>
    </w:p>
    <w:p w14:paraId="6C3D2ECC" w14:textId="77777777" w:rsidR="002653E8" w:rsidRDefault="002653E8">
      <w:pPr>
        <w:pStyle w:val="a3"/>
      </w:pPr>
    </w:p>
    <w:p w14:paraId="02392985" w14:textId="77777777" w:rsidR="002653E8" w:rsidRDefault="002653E8">
      <w:pPr>
        <w:pStyle w:val="a3"/>
      </w:pPr>
    </w:p>
    <w:p w14:paraId="65FA8BE3" w14:textId="77777777" w:rsidR="002653E8" w:rsidRDefault="002653E8">
      <w:pPr>
        <w:pStyle w:val="a3"/>
      </w:pPr>
    </w:p>
    <w:p w14:paraId="57D562A0" w14:textId="77777777" w:rsidR="002653E8" w:rsidRDefault="002653E8">
      <w:pPr>
        <w:pStyle w:val="a3"/>
      </w:pPr>
    </w:p>
    <w:p w14:paraId="303578D4" w14:textId="77777777" w:rsidR="002653E8" w:rsidRDefault="002653E8">
      <w:pPr>
        <w:pStyle w:val="a3"/>
      </w:pPr>
    </w:p>
    <w:p w14:paraId="0E693BA7" w14:textId="77777777" w:rsidR="002653E8" w:rsidRDefault="002653E8">
      <w:pPr>
        <w:pStyle w:val="a3"/>
      </w:pPr>
    </w:p>
    <w:p w14:paraId="762238F3" w14:textId="77777777" w:rsidR="002653E8" w:rsidRDefault="002653E8">
      <w:pPr>
        <w:pStyle w:val="a3"/>
      </w:pPr>
    </w:p>
    <w:p w14:paraId="19EFC6D4" w14:textId="77777777" w:rsidR="002653E8" w:rsidRDefault="002653E8">
      <w:pPr>
        <w:pStyle w:val="a3"/>
      </w:pPr>
    </w:p>
    <w:p w14:paraId="1EAB72EF" w14:textId="77777777" w:rsidR="002653E8" w:rsidRDefault="002653E8">
      <w:pPr>
        <w:pStyle w:val="a3"/>
      </w:pPr>
    </w:p>
    <w:p w14:paraId="3264EBFA" w14:textId="77777777" w:rsidR="002653E8" w:rsidRDefault="002653E8">
      <w:pPr>
        <w:pStyle w:val="a3"/>
      </w:pPr>
    </w:p>
    <w:p w14:paraId="64BDB5A7" w14:textId="77777777" w:rsidR="002653E8" w:rsidRDefault="002653E8">
      <w:pPr>
        <w:pStyle w:val="a3"/>
      </w:pPr>
    </w:p>
    <w:p w14:paraId="5CEEADB8" w14:textId="77777777" w:rsidR="002653E8" w:rsidRDefault="002653E8">
      <w:pPr>
        <w:pStyle w:val="a3"/>
      </w:pPr>
    </w:p>
    <w:p w14:paraId="4B8B54D1" w14:textId="77777777" w:rsidR="002653E8" w:rsidRDefault="002653E8">
      <w:pPr>
        <w:pStyle w:val="a3"/>
      </w:pPr>
    </w:p>
    <w:p w14:paraId="3B41C21F" w14:textId="77777777" w:rsidR="002653E8" w:rsidRDefault="002653E8">
      <w:pPr>
        <w:pStyle w:val="a3"/>
      </w:pPr>
    </w:p>
    <w:p w14:paraId="64C10430" w14:textId="77777777" w:rsidR="002653E8" w:rsidRDefault="002653E8">
      <w:pPr>
        <w:pStyle w:val="a3"/>
      </w:pPr>
    </w:p>
    <w:p w14:paraId="5BCA98FA" w14:textId="77777777" w:rsidR="002653E8" w:rsidRDefault="002653E8">
      <w:pPr>
        <w:pStyle w:val="a3"/>
      </w:pPr>
    </w:p>
    <w:p w14:paraId="065B8C1C" w14:textId="77777777" w:rsidR="002653E8" w:rsidRDefault="002653E8">
      <w:pPr>
        <w:pStyle w:val="a3"/>
      </w:pPr>
    </w:p>
    <w:p w14:paraId="011AC71F" w14:textId="77777777" w:rsidR="002653E8" w:rsidRDefault="002653E8">
      <w:pPr>
        <w:pStyle w:val="a3"/>
      </w:pPr>
    </w:p>
    <w:p w14:paraId="7B55A588" w14:textId="77777777" w:rsidR="002653E8" w:rsidRDefault="002653E8">
      <w:pPr>
        <w:pStyle w:val="a3"/>
      </w:pPr>
    </w:p>
    <w:p w14:paraId="1FBC583B" w14:textId="77777777" w:rsidR="002653E8" w:rsidRDefault="002653E8">
      <w:pPr>
        <w:pStyle w:val="a3"/>
      </w:pPr>
    </w:p>
    <w:p w14:paraId="17919E30" w14:textId="77777777" w:rsidR="002653E8" w:rsidRDefault="00000000">
      <w:pPr>
        <w:pStyle w:val="a3"/>
        <w:spacing w:before="8"/>
        <w:rPr>
          <w:sz w:val="25"/>
        </w:rPr>
      </w:pPr>
      <w:r>
        <w:rPr>
          <w:noProof w:val="0"/>
        </w:rPr>
        <w:pict w14:anchorId="423FADEE">
          <v:line id="_x0000_s2581" style="position:absolute;z-index:3976;mso-wrap-distance-left:0;mso-wrap-distance-right:0;mso-position-horizontal-relative:page" from="66.4pt,17.25pt" to="138.4pt,17.25pt" strokecolor="#231f20" strokeweight=".5pt">
            <w10:wrap type="topAndBottom" anchorx="page"/>
          </v:line>
        </w:pict>
      </w:r>
    </w:p>
    <w:p w14:paraId="486E473E" w14:textId="77777777" w:rsidR="002653E8" w:rsidRDefault="003115E3">
      <w:pPr>
        <w:pStyle w:val="a4"/>
        <w:numPr>
          <w:ilvl w:val="0"/>
          <w:numId w:val="153"/>
        </w:numPr>
        <w:tabs>
          <w:tab w:val="left" w:pos="1467"/>
        </w:tabs>
        <w:spacing w:before="53" w:line="254" w:lineRule="auto"/>
        <w:ind w:right="1273" w:firstLine="0"/>
        <w:rPr>
          <w:sz w:val="16"/>
        </w:rPr>
      </w:pPr>
      <w:bookmarkStart w:id="52" w:name="_Hlk59476184"/>
      <w:r>
        <w:rPr>
          <w:color w:val="231F20"/>
          <w:spacing w:val="1"/>
          <w:w w:val="105"/>
          <w:sz w:val="16"/>
        </w:rPr>
        <w:t xml:space="preserve">See </w:t>
      </w:r>
      <w:r>
        <w:rPr>
          <w:color w:val="231F20"/>
          <w:w w:val="105"/>
          <w:sz w:val="16"/>
        </w:rPr>
        <w:t xml:space="preserve">Appendix V—Strange Stories: Peter Homann and Stefan Aust, on pages </w:t>
      </w:r>
      <w:r>
        <w:rPr>
          <w:color w:val="231F20"/>
          <w:spacing w:val="-3"/>
          <w:w w:val="105"/>
          <w:sz w:val="16"/>
        </w:rPr>
        <w:t>557</w:t>
      </w:r>
      <w:r w:rsidR="0084783B">
        <w:rPr>
          <w:color w:val="231F20"/>
          <w:spacing w:val="-3"/>
          <w:w w:val="105"/>
          <w:sz w:val="16"/>
        </w:rPr>
        <w:t>-</w:t>
      </w:r>
      <w:r>
        <w:rPr>
          <w:color w:val="231F20"/>
          <w:w w:val="105"/>
          <w:sz w:val="16"/>
        </w:rPr>
        <w:t>58.</w:t>
      </w:r>
    </w:p>
    <w:p w14:paraId="49AFEB04" w14:textId="77777777" w:rsidR="002653E8" w:rsidRDefault="003115E3">
      <w:pPr>
        <w:pStyle w:val="a4"/>
        <w:numPr>
          <w:ilvl w:val="0"/>
          <w:numId w:val="153"/>
        </w:numPr>
        <w:tabs>
          <w:tab w:val="left" w:pos="1467"/>
        </w:tabs>
        <w:spacing w:line="254" w:lineRule="auto"/>
        <w:ind w:right="1310" w:firstLine="0"/>
        <w:rPr>
          <w:sz w:val="16"/>
        </w:rPr>
      </w:pPr>
      <w:r>
        <w:rPr>
          <w:color w:val="231F20"/>
          <w:w w:val="105"/>
          <w:sz w:val="16"/>
        </w:rPr>
        <w:t xml:space="preserve">United Press International, “Meinhof-Al Fatah Ties Described,” </w:t>
      </w:r>
      <w:r>
        <w:rPr>
          <w:i/>
          <w:color w:val="231F20"/>
          <w:w w:val="105"/>
          <w:sz w:val="16"/>
        </w:rPr>
        <w:t xml:space="preserve">European Stars </w:t>
      </w:r>
      <w:r>
        <w:rPr>
          <w:i/>
          <w:color w:val="231F20"/>
          <w:spacing w:val="1"/>
          <w:w w:val="105"/>
          <w:sz w:val="16"/>
        </w:rPr>
        <w:t xml:space="preserve">and </w:t>
      </w:r>
      <w:r>
        <w:rPr>
          <w:i/>
          <w:color w:val="231F20"/>
          <w:w w:val="105"/>
          <w:sz w:val="16"/>
        </w:rPr>
        <w:t xml:space="preserve">Stripes, </w:t>
      </w:r>
      <w:r>
        <w:rPr>
          <w:color w:val="231F20"/>
          <w:w w:val="105"/>
          <w:sz w:val="16"/>
        </w:rPr>
        <w:t xml:space="preserve">October </w:t>
      </w:r>
      <w:r>
        <w:rPr>
          <w:color w:val="231F20"/>
          <w:spacing w:val="-3"/>
          <w:w w:val="105"/>
          <w:sz w:val="16"/>
        </w:rPr>
        <w:t>19,</w:t>
      </w:r>
      <w:r>
        <w:rPr>
          <w:color w:val="231F20"/>
          <w:w w:val="105"/>
          <w:sz w:val="16"/>
        </w:rPr>
        <w:t xml:space="preserve"> 1972.</w:t>
      </w:r>
    </w:p>
    <w:bookmarkEnd w:id="52"/>
    <w:p w14:paraId="7CD7DBF4" w14:textId="77777777" w:rsidR="002653E8" w:rsidRDefault="002653E8">
      <w:pPr>
        <w:spacing w:line="254" w:lineRule="auto"/>
        <w:rPr>
          <w:sz w:val="16"/>
        </w:rPr>
        <w:sectPr w:rsidR="002653E8">
          <w:pgSz w:w="8640" w:h="12960"/>
          <w:pgMar w:top="1060" w:right="0" w:bottom="1040" w:left="0" w:header="0" w:footer="850" w:gutter="0"/>
          <w:cols w:space="720"/>
        </w:sectPr>
      </w:pPr>
    </w:p>
    <w:p w14:paraId="001E283D" w14:textId="77777777" w:rsidR="002653E8" w:rsidRDefault="003115E3">
      <w:pPr>
        <w:pStyle w:val="4"/>
        <w:spacing w:line="273" w:lineRule="auto"/>
        <w:ind w:left="2804" w:right="2448" w:firstLine="151"/>
      </w:pPr>
      <w:bookmarkStart w:id="53" w:name="Andreas_Baader:_Letter_to_the_Press_(Jan"/>
      <w:bookmarkStart w:id="54" w:name="_bookmark17"/>
      <w:bookmarkEnd w:id="53"/>
      <w:bookmarkEnd w:id="54"/>
      <w:r>
        <w:rPr>
          <w:color w:val="231F20"/>
          <w:w w:val="105"/>
        </w:rPr>
        <w:lastRenderedPageBreak/>
        <w:t>Andreas Baader: Letter to the Press</w:t>
      </w:r>
    </w:p>
    <w:p w14:paraId="1FFA64BC" w14:textId="77777777" w:rsidR="002653E8" w:rsidRDefault="002653E8">
      <w:pPr>
        <w:pStyle w:val="a3"/>
        <w:spacing w:before="4"/>
        <w:rPr>
          <w:rFonts w:ascii="Bookman Old Style"/>
          <w:sz w:val="28"/>
        </w:rPr>
      </w:pPr>
    </w:p>
    <w:p w14:paraId="63F73918" w14:textId="77777777" w:rsidR="002653E8" w:rsidRDefault="003115E3">
      <w:pPr>
        <w:spacing w:before="1" w:line="276" w:lineRule="auto"/>
        <w:ind w:left="1567" w:right="1745"/>
        <w:jc w:val="both"/>
        <w:rPr>
          <w:i/>
          <w:sz w:val="19"/>
        </w:rPr>
      </w:pPr>
      <w:r>
        <w:rPr>
          <w:i/>
          <w:color w:val="231F20"/>
          <w:sz w:val="19"/>
        </w:rPr>
        <w:t>The cops will continue to fumble about in the dark, until circumstances oblige them to see that the political situation has become a military situation.</w:t>
      </w:r>
    </w:p>
    <w:p w14:paraId="1E5629CF" w14:textId="77777777" w:rsidR="002653E8" w:rsidRDefault="003115E3">
      <w:pPr>
        <w:spacing w:before="39"/>
        <w:ind w:left="5994"/>
        <w:rPr>
          <w:sz w:val="19"/>
        </w:rPr>
      </w:pPr>
      <w:r>
        <w:rPr>
          <w:color w:val="231F20"/>
          <w:w w:val="105"/>
          <w:sz w:val="19"/>
        </w:rPr>
        <w:t>Marighella</w:t>
      </w:r>
    </w:p>
    <w:p w14:paraId="6A8EA6BD" w14:textId="77777777" w:rsidR="002653E8" w:rsidRDefault="002653E8">
      <w:pPr>
        <w:pStyle w:val="a3"/>
        <w:spacing w:before="4"/>
      </w:pPr>
    </w:p>
    <w:p w14:paraId="7D9F97DE" w14:textId="77777777" w:rsidR="002653E8" w:rsidRDefault="003115E3">
      <w:pPr>
        <w:pStyle w:val="a3"/>
        <w:spacing w:before="1" w:line="264" w:lineRule="auto"/>
        <w:ind w:left="1147" w:right="1325"/>
        <w:jc w:val="both"/>
      </w:pPr>
      <w:r>
        <w:rPr>
          <w:color w:val="231F20"/>
          <w:w w:val="105"/>
        </w:rPr>
        <w:t xml:space="preserve">The truth of the matter is that no further information has come out about the group since the first twenty were trained in Jordan. The </w:t>
      </w:r>
      <w:r w:rsidR="00C507A5">
        <w:rPr>
          <w:color w:val="231F20"/>
          <w:spacing w:val="1"/>
          <w:w w:val="105"/>
        </w:rPr>
        <w:t>red army faction</w:t>
      </w:r>
      <w:r>
        <w:rPr>
          <w:color w:val="231F20"/>
          <w:spacing w:val="1"/>
          <w:w w:val="105"/>
        </w:rPr>
        <w:t>’s</w:t>
      </w:r>
      <w:r>
        <w:rPr>
          <w:color w:val="231F20"/>
          <w:spacing w:val="-14"/>
          <w:w w:val="105"/>
        </w:rPr>
        <w:t xml:space="preserve"> </w:t>
      </w:r>
      <w:r>
        <w:rPr>
          <w:color w:val="231F20"/>
          <w:w w:val="105"/>
        </w:rPr>
        <w:t>work</w:t>
      </w:r>
      <w:r>
        <w:rPr>
          <w:color w:val="231F20"/>
          <w:spacing w:val="-14"/>
          <w:w w:val="105"/>
        </w:rPr>
        <w:t xml:space="preserve"> </w:t>
      </w:r>
      <w:r>
        <w:rPr>
          <w:color w:val="231F20"/>
          <w:w w:val="105"/>
        </w:rPr>
        <w:t>is</w:t>
      </w:r>
      <w:r>
        <w:rPr>
          <w:color w:val="231F20"/>
          <w:spacing w:val="-14"/>
          <w:w w:val="105"/>
        </w:rPr>
        <w:t xml:space="preserve"> </w:t>
      </w:r>
      <w:r>
        <w:rPr>
          <w:color w:val="231F20"/>
          <w:w w:val="105"/>
        </w:rPr>
        <w:t>clandestine.</w:t>
      </w:r>
      <w:r>
        <w:rPr>
          <w:color w:val="231F20"/>
          <w:spacing w:val="-14"/>
          <w:w w:val="105"/>
        </w:rPr>
        <w:t xml:space="preserve"> </w:t>
      </w:r>
      <w:r>
        <w:rPr>
          <w:color w:val="231F20"/>
          <w:w w:val="105"/>
        </w:rPr>
        <w:t>The</w:t>
      </w:r>
      <w:r>
        <w:rPr>
          <w:color w:val="231F20"/>
          <w:spacing w:val="-14"/>
          <w:w w:val="105"/>
        </w:rPr>
        <w:t xml:space="preserve"> </w:t>
      </w:r>
      <w:r>
        <w:rPr>
          <w:color w:val="231F20"/>
          <w:w w:val="105"/>
        </w:rPr>
        <w:t>“security</w:t>
      </w:r>
      <w:r>
        <w:rPr>
          <w:color w:val="231F20"/>
          <w:spacing w:val="-14"/>
          <w:w w:val="105"/>
        </w:rPr>
        <w:t xml:space="preserve"> </w:t>
      </w:r>
      <w:r>
        <w:rPr>
          <w:color w:val="231F20"/>
          <w:w w:val="105"/>
        </w:rPr>
        <w:t>forces,”</w:t>
      </w:r>
      <w:r>
        <w:rPr>
          <w:color w:val="231F20"/>
          <w:spacing w:val="-14"/>
          <w:w w:val="105"/>
        </w:rPr>
        <w:t xml:space="preserve"> </w:t>
      </w:r>
      <w:r>
        <w:rPr>
          <w:color w:val="231F20"/>
          <w:w w:val="105"/>
        </w:rPr>
        <w:t>the</w:t>
      </w:r>
      <w:r>
        <w:rPr>
          <w:color w:val="231F20"/>
          <w:spacing w:val="-14"/>
          <w:w w:val="105"/>
        </w:rPr>
        <w:t xml:space="preserve"> </w:t>
      </w:r>
      <w:r>
        <w:rPr>
          <w:color w:val="231F20"/>
          <w:w w:val="105"/>
        </w:rPr>
        <w:t>security</w:t>
      </w:r>
      <w:r>
        <w:rPr>
          <w:color w:val="231F20"/>
          <w:spacing w:val="-14"/>
          <w:w w:val="105"/>
        </w:rPr>
        <w:t xml:space="preserve"> </w:t>
      </w:r>
      <w:r>
        <w:rPr>
          <w:color w:val="231F20"/>
          <w:w w:val="105"/>
        </w:rPr>
        <w:t xml:space="preserve">agencies, the police, the BND, the </w:t>
      </w:r>
      <w:r>
        <w:rPr>
          <w:i/>
          <w:color w:val="231F20"/>
          <w:w w:val="105"/>
        </w:rPr>
        <w:t xml:space="preserve">Verfassungsschutz, </w:t>
      </w:r>
      <w:r>
        <w:rPr>
          <w:color w:val="231F20"/>
          <w:w w:val="105"/>
        </w:rPr>
        <w:t xml:space="preserve">the </w:t>
      </w:r>
      <w:r>
        <w:rPr>
          <w:color w:val="231F20"/>
          <w:spacing w:val="-8"/>
          <w:w w:val="105"/>
        </w:rPr>
        <w:t xml:space="preserve">BAW, </w:t>
      </w:r>
      <w:r>
        <w:rPr>
          <w:i/>
          <w:color w:val="231F20"/>
          <w:w w:val="105"/>
        </w:rPr>
        <w:t xml:space="preserve">Spiegel, </w:t>
      </w:r>
      <w:r>
        <w:rPr>
          <w:color w:val="231F20"/>
          <w:w w:val="105"/>
        </w:rPr>
        <w:t>and the Springer Press know</w:t>
      </w:r>
      <w:r>
        <w:rPr>
          <w:color w:val="231F20"/>
          <w:spacing w:val="20"/>
          <w:w w:val="105"/>
        </w:rPr>
        <w:t xml:space="preserve"> </w:t>
      </w:r>
      <w:r>
        <w:rPr>
          <w:color w:val="231F20"/>
          <w:w w:val="105"/>
        </w:rPr>
        <w:t>nothing.</w:t>
      </w:r>
    </w:p>
    <w:p w14:paraId="6E921F79" w14:textId="77777777" w:rsidR="002653E8" w:rsidRDefault="003115E3">
      <w:pPr>
        <w:pStyle w:val="a3"/>
        <w:spacing w:line="264" w:lineRule="auto"/>
        <w:ind w:left="1147" w:right="1326" w:firstLine="210"/>
        <w:jc w:val="both"/>
      </w:pPr>
      <w:r>
        <w:rPr>
          <w:color w:val="231F20"/>
        </w:rPr>
        <w:t>They know nothing about the size, the number of members, the organization, the firepower, or the tactics of the group. Everything written about us by the police state for public consumption over the past year and a half is false, is speculation, or is counterpropaganda with the objective of discrediting the theory and practice of the urban guerilla and driving a wedge between us and our base.</w:t>
      </w:r>
    </w:p>
    <w:p w14:paraId="76CE60A9" w14:textId="77777777" w:rsidR="002653E8" w:rsidRDefault="003115E3">
      <w:pPr>
        <w:pStyle w:val="a3"/>
        <w:spacing w:line="264" w:lineRule="auto"/>
        <w:ind w:left="1148" w:right="1325" w:firstLine="209"/>
        <w:jc w:val="both"/>
      </w:pPr>
      <w:r>
        <w:rPr>
          <w:color w:val="231F20"/>
        </w:rPr>
        <w:t xml:space="preserve">I haven’t considered turning myself in. No </w:t>
      </w:r>
      <w:r w:rsidR="00C507A5">
        <w:rPr>
          <w:color w:val="231F20"/>
        </w:rPr>
        <w:t>red army faction</w:t>
      </w:r>
      <w:r>
        <w:rPr>
          <w:color w:val="231F20"/>
        </w:rPr>
        <w:t xml:space="preserve"> members have considered turning themselves in. So far no </w:t>
      </w:r>
      <w:r w:rsidR="00C507A5">
        <w:rPr>
          <w:color w:val="231F20"/>
        </w:rPr>
        <w:t>red army faction</w:t>
      </w:r>
      <w:r>
        <w:rPr>
          <w:color w:val="231F20"/>
        </w:rPr>
        <w:t xml:space="preserve"> prisoner has provided testimony. Announcements of successes against us have only been about arrests or killings. The guerilla’s strength lies in the determination of each of us. We are not on the run. We are here organizing armed resistance against the regime of the propertied classes and the ongoing exploitation of the people.</w:t>
      </w:r>
    </w:p>
    <w:p w14:paraId="665F2F66" w14:textId="77777777" w:rsidR="002653E8" w:rsidRDefault="003115E3">
      <w:pPr>
        <w:pStyle w:val="a3"/>
        <w:spacing w:line="264" w:lineRule="auto"/>
        <w:ind w:left="1147" w:right="1326" w:firstLine="210"/>
        <w:jc w:val="both"/>
      </w:pPr>
      <w:r>
        <w:rPr>
          <w:color w:val="231F20"/>
        </w:rPr>
        <w:t xml:space="preserve">The </w:t>
      </w:r>
      <w:r w:rsidR="00C507A5">
        <w:rPr>
          <w:color w:val="231F20"/>
          <w:spacing w:val="1"/>
        </w:rPr>
        <w:t>red army faction</w:t>
      </w:r>
      <w:r>
        <w:rPr>
          <w:color w:val="231F20"/>
          <w:spacing w:val="1"/>
        </w:rPr>
        <w:t xml:space="preserve">’s </w:t>
      </w:r>
      <w:r>
        <w:rPr>
          <w:color w:val="231F20"/>
        </w:rPr>
        <w:t>current activities are directed towards the formation of politico-military cadre, acquiring better arms and training for revolutionaries, and the anchoring of the group in a sympathetic scene that is ready</w:t>
      </w:r>
      <w:r>
        <w:rPr>
          <w:color w:val="231F20"/>
          <w:spacing w:val="-8"/>
        </w:rPr>
        <w:t xml:space="preserve"> </w:t>
      </w:r>
      <w:r>
        <w:rPr>
          <w:color w:val="231F20"/>
        </w:rPr>
        <w:t>to</w:t>
      </w:r>
      <w:r>
        <w:rPr>
          <w:color w:val="231F20"/>
          <w:spacing w:val="-8"/>
        </w:rPr>
        <w:t xml:space="preserve"> </w:t>
      </w:r>
      <w:r>
        <w:rPr>
          <w:color w:val="231F20"/>
        </w:rPr>
        <w:t>support</w:t>
      </w:r>
      <w:r>
        <w:rPr>
          <w:color w:val="231F20"/>
          <w:spacing w:val="-8"/>
        </w:rPr>
        <w:t xml:space="preserve"> </w:t>
      </w:r>
      <w:r>
        <w:rPr>
          <w:color w:val="231F20"/>
        </w:rPr>
        <w:t>armed</w:t>
      </w:r>
      <w:r>
        <w:rPr>
          <w:color w:val="231F20"/>
          <w:spacing w:val="-8"/>
        </w:rPr>
        <w:t xml:space="preserve"> </w:t>
      </w:r>
      <w:r>
        <w:rPr>
          <w:color w:val="231F20"/>
        </w:rPr>
        <w:t>resistance.</w:t>
      </w:r>
      <w:r>
        <w:rPr>
          <w:color w:val="231F20"/>
          <w:spacing w:val="-8"/>
        </w:rPr>
        <w:t xml:space="preserve"> </w:t>
      </w:r>
      <w:r>
        <w:rPr>
          <w:color w:val="231F20"/>
        </w:rPr>
        <w:t>The</w:t>
      </w:r>
      <w:r>
        <w:rPr>
          <w:color w:val="231F20"/>
          <w:spacing w:val="-8"/>
        </w:rPr>
        <w:t xml:space="preserve"> </w:t>
      </w:r>
      <w:r>
        <w:rPr>
          <w:color w:val="231F20"/>
        </w:rPr>
        <w:t>tactical</w:t>
      </w:r>
      <w:r>
        <w:rPr>
          <w:color w:val="231F20"/>
          <w:spacing w:val="-8"/>
        </w:rPr>
        <w:t xml:space="preserve"> </w:t>
      </w:r>
      <w:r>
        <w:rPr>
          <w:color w:val="231F20"/>
        </w:rPr>
        <w:t>line</w:t>
      </w:r>
      <w:r>
        <w:rPr>
          <w:color w:val="231F20"/>
          <w:spacing w:val="-8"/>
        </w:rPr>
        <w:t xml:space="preserve"> </w:t>
      </w:r>
      <w:r>
        <w:rPr>
          <w:color w:val="231F20"/>
        </w:rPr>
        <w:t>that</w:t>
      </w:r>
      <w:r>
        <w:rPr>
          <w:color w:val="231F20"/>
          <w:spacing w:val="-8"/>
        </w:rPr>
        <w:t xml:space="preserve"> </w:t>
      </w:r>
      <w:r>
        <w:rPr>
          <w:color w:val="231F20"/>
        </w:rPr>
        <w:t>we</w:t>
      </w:r>
      <w:r>
        <w:rPr>
          <w:color w:val="231F20"/>
          <w:spacing w:val="-8"/>
        </w:rPr>
        <w:t xml:space="preserve"> </w:t>
      </w:r>
      <w:r>
        <w:rPr>
          <w:color w:val="231F20"/>
        </w:rPr>
        <w:t>are</w:t>
      </w:r>
      <w:r>
        <w:rPr>
          <w:color w:val="231F20"/>
          <w:spacing w:val="-8"/>
        </w:rPr>
        <w:t xml:space="preserve"> </w:t>
      </w:r>
      <w:r>
        <w:rPr>
          <w:color w:val="231F20"/>
        </w:rPr>
        <w:t>currently following is to develop the propaganda of the urban guerilla through  the revolutionary organizations that are still legal and to develop broadbased</w:t>
      </w:r>
      <w:r>
        <w:rPr>
          <w:color w:val="231F20"/>
          <w:spacing w:val="10"/>
        </w:rPr>
        <w:t xml:space="preserve"> </w:t>
      </w:r>
      <w:r>
        <w:rPr>
          <w:color w:val="231F20"/>
        </w:rPr>
        <w:t>logistical</w:t>
      </w:r>
      <w:r>
        <w:rPr>
          <w:color w:val="231F20"/>
          <w:spacing w:val="10"/>
        </w:rPr>
        <w:t xml:space="preserve"> </w:t>
      </w:r>
      <w:r>
        <w:rPr>
          <w:color w:val="231F20"/>
        </w:rPr>
        <w:t>support</w:t>
      </w:r>
      <w:r>
        <w:rPr>
          <w:color w:val="231F20"/>
          <w:spacing w:val="10"/>
        </w:rPr>
        <w:t xml:space="preserve"> </w:t>
      </w:r>
      <w:r>
        <w:rPr>
          <w:color w:val="231F20"/>
        </w:rPr>
        <w:t>amongst</w:t>
      </w:r>
      <w:r>
        <w:rPr>
          <w:color w:val="231F20"/>
          <w:spacing w:val="10"/>
        </w:rPr>
        <w:t xml:space="preserve"> </w:t>
      </w:r>
      <w:r>
        <w:rPr>
          <w:color w:val="231F20"/>
        </w:rPr>
        <w:t>all</w:t>
      </w:r>
      <w:r>
        <w:rPr>
          <w:color w:val="231F20"/>
          <w:spacing w:val="10"/>
        </w:rPr>
        <w:t xml:space="preserve"> </w:t>
      </w:r>
      <w:r>
        <w:rPr>
          <w:color w:val="231F20"/>
        </w:rPr>
        <w:t>layers</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population.</w:t>
      </w:r>
    </w:p>
    <w:p w14:paraId="6CAA4D92" w14:textId="77777777" w:rsidR="002653E8" w:rsidRDefault="003115E3">
      <w:pPr>
        <w:pStyle w:val="a3"/>
        <w:spacing w:line="264" w:lineRule="auto"/>
        <w:ind w:left="1147" w:right="1325" w:firstLine="210"/>
        <w:jc w:val="both"/>
        <w:rPr>
          <w:sz w:val="11"/>
        </w:rPr>
      </w:pPr>
      <w:r>
        <w:rPr>
          <w:color w:val="231F20"/>
        </w:rPr>
        <w:t>None of us see any subjective or objective basis for betraying the struggle to which we have committed ourselves; not Genscher’s dirty amnesty deal, not Ruhland, the Social Democrats’ van der Lubbe,</w:t>
      </w:r>
      <w:r>
        <w:rPr>
          <w:color w:val="231F20"/>
          <w:position w:val="7"/>
          <w:sz w:val="11"/>
        </w:rPr>
        <w:t>1</w:t>
      </w:r>
    </w:p>
    <w:p w14:paraId="5C6EBAFF" w14:textId="77777777" w:rsidR="002653E8" w:rsidRDefault="00000000">
      <w:pPr>
        <w:pStyle w:val="a3"/>
        <w:spacing w:before="11"/>
        <w:rPr>
          <w:sz w:val="12"/>
        </w:rPr>
      </w:pPr>
      <w:r>
        <w:rPr>
          <w:noProof w:val="0"/>
        </w:rPr>
        <w:pict w14:anchorId="20006B17">
          <v:line id="_x0000_s2580" style="position:absolute;z-index:4000;mso-wrap-distance-left:0;mso-wrap-distance-right:0;mso-position-horizontal-relative:page" from="57.4pt,9.8pt" to="129.4pt,9.8pt" strokecolor="#231f20" strokeweight=".5pt">
            <w10:wrap type="topAndBottom" anchorx="page"/>
          </v:line>
        </w:pict>
      </w:r>
    </w:p>
    <w:p w14:paraId="1F08A447" w14:textId="77777777" w:rsidR="002653E8" w:rsidRDefault="003115E3">
      <w:pPr>
        <w:spacing w:before="53"/>
        <w:ind w:left="1147"/>
        <w:rPr>
          <w:sz w:val="16"/>
        </w:rPr>
      </w:pPr>
      <w:r>
        <w:rPr>
          <w:color w:val="231F20"/>
          <w:w w:val="105"/>
          <w:sz w:val="16"/>
        </w:rPr>
        <w:t>1 Marinus van der Lubbe, a Dutch council communist, confessed to the 1933</w:t>
      </w:r>
    </w:p>
    <w:p w14:paraId="2992F0E4" w14:textId="77777777" w:rsidR="002653E8" w:rsidRDefault="002653E8">
      <w:pPr>
        <w:rPr>
          <w:sz w:val="16"/>
        </w:rPr>
        <w:sectPr w:rsidR="002653E8">
          <w:footerReference w:type="even" r:id="rId110"/>
          <w:footerReference w:type="default" r:id="rId111"/>
          <w:pgSz w:w="8640" w:h="12960"/>
          <w:pgMar w:top="1220" w:right="0" w:bottom="1040" w:left="0" w:header="0" w:footer="850" w:gutter="0"/>
          <w:cols w:space="720"/>
        </w:sectPr>
      </w:pPr>
    </w:p>
    <w:p w14:paraId="05301E0B" w14:textId="77777777" w:rsidR="002653E8" w:rsidRDefault="003115E3">
      <w:pPr>
        <w:pStyle w:val="a3"/>
        <w:spacing w:before="86" w:line="264" w:lineRule="auto"/>
        <w:ind w:left="1327" w:right="1147"/>
        <w:jc w:val="both"/>
        <w:rPr>
          <w:sz w:val="11"/>
        </w:rPr>
      </w:pPr>
      <w:r>
        <w:rPr>
          <w:color w:val="231F20"/>
        </w:rPr>
        <w:lastRenderedPageBreak/>
        <w:t>not the extensive militarization of the police, not prison, not torture,  and not the police terror against the population. “The stones they have thrown</w:t>
      </w:r>
      <w:r>
        <w:rPr>
          <w:color w:val="231F20"/>
          <w:spacing w:val="11"/>
        </w:rPr>
        <w:t xml:space="preserve"> </w:t>
      </w:r>
      <w:r>
        <w:rPr>
          <w:color w:val="231F20"/>
        </w:rPr>
        <w:t>will</w:t>
      </w:r>
      <w:r>
        <w:rPr>
          <w:color w:val="231F20"/>
          <w:spacing w:val="11"/>
        </w:rPr>
        <w:t xml:space="preserve"> </w:t>
      </w:r>
      <w:r>
        <w:rPr>
          <w:color w:val="231F20"/>
        </w:rPr>
        <w:t>fall</w:t>
      </w:r>
      <w:r>
        <w:rPr>
          <w:color w:val="231F20"/>
          <w:spacing w:val="11"/>
        </w:rPr>
        <w:t xml:space="preserve"> </w:t>
      </w:r>
      <w:r>
        <w:rPr>
          <w:color w:val="231F20"/>
        </w:rPr>
        <w:t>at</w:t>
      </w:r>
      <w:r>
        <w:rPr>
          <w:color w:val="231F20"/>
          <w:spacing w:val="11"/>
        </w:rPr>
        <w:t xml:space="preserve"> </w:t>
      </w:r>
      <w:r>
        <w:rPr>
          <w:color w:val="231F20"/>
        </w:rPr>
        <w:t>their</w:t>
      </w:r>
      <w:r>
        <w:rPr>
          <w:color w:val="231F20"/>
          <w:spacing w:val="11"/>
        </w:rPr>
        <w:t xml:space="preserve"> </w:t>
      </w:r>
      <w:r>
        <w:rPr>
          <w:color w:val="231F20"/>
        </w:rPr>
        <w:t>own</w:t>
      </w:r>
      <w:r>
        <w:rPr>
          <w:color w:val="231F20"/>
          <w:spacing w:val="11"/>
        </w:rPr>
        <w:t xml:space="preserve"> </w:t>
      </w:r>
      <w:r>
        <w:rPr>
          <w:color w:val="231F20"/>
        </w:rPr>
        <w:t>feet.”</w:t>
      </w:r>
      <w:r>
        <w:rPr>
          <w:color w:val="231F20"/>
          <w:position w:val="7"/>
          <w:sz w:val="11"/>
        </w:rPr>
        <w:t>2</w:t>
      </w:r>
    </w:p>
    <w:p w14:paraId="21FD3CDA" w14:textId="77777777" w:rsidR="002653E8" w:rsidRDefault="003115E3">
      <w:pPr>
        <w:pStyle w:val="a3"/>
        <w:spacing w:line="264" w:lineRule="auto"/>
        <w:ind w:left="1327" w:right="1146" w:firstLine="210"/>
        <w:jc w:val="both"/>
      </w:pPr>
      <w:r>
        <w:rPr>
          <w:color w:val="231F20"/>
        </w:rPr>
        <w:t>If the price for our lives or our freedom is to be the betrayal of the anticapitalist struggle, there is only one response: we won’t pay it.</w:t>
      </w:r>
    </w:p>
    <w:p w14:paraId="0B143B29" w14:textId="77777777" w:rsidR="002653E8" w:rsidRDefault="003115E3">
      <w:pPr>
        <w:pStyle w:val="a3"/>
        <w:spacing w:line="264" w:lineRule="auto"/>
        <w:ind w:left="1327" w:right="1146" w:firstLine="210"/>
        <w:jc w:val="both"/>
      </w:pPr>
      <w:r>
        <w:rPr>
          <w:color w:val="231F20"/>
        </w:rPr>
        <w:t xml:space="preserve">The armed struggle does not develop from one headline to the next. The politico-military strategy of the urban guerilla is based in the resistance to parliamentary democracy’s fascist </w:t>
      </w:r>
      <w:r>
        <w:rPr>
          <w:color w:val="231F20"/>
          <w:spacing w:val="1"/>
        </w:rPr>
        <w:t xml:space="preserve">drift </w:t>
      </w:r>
      <w:r>
        <w:rPr>
          <w:color w:val="231F20"/>
        </w:rPr>
        <w:t>and the organization   of the first regular units of the Red Army in the people’s war. The battle has just</w:t>
      </w:r>
      <w:r>
        <w:rPr>
          <w:color w:val="231F20"/>
          <w:spacing w:val="21"/>
        </w:rPr>
        <w:t xml:space="preserve"> </w:t>
      </w:r>
      <w:r>
        <w:rPr>
          <w:color w:val="231F20"/>
        </w:rPr>
        <w:t>begun.</w:t>
      </w:r>
    </w:p>
    <w:p w14:paraId="222E3DB5" w14:textId="77777777" w:rsidR="002653E8" w:rsidRDefault="003115E3">
      <w:pPr>
        <w:pStyle w:val="a3"/>
        <w:spacing w:before="117" w:line="261" w:lineRule="auto"/>
        <w:ind w:left="5931" w:right="1145" w:firstLine="130"/>
        <w:jc w:val="right"/>
      </w:pPr>
      <w:r>
        <w:drawing>
          <wp:anchor distT="0" distB="0" distL="0" distR="0" simplePos="0" relativeHeight="4048" behindDoc="0" locked="0" layoutInCell="1" allowOverlap="1" wp14:anchorId="4B191850" wp14:editId="1CC68F6E">
            <wp:simplePos x="0" y="0"/>
            <wp:positionH relativeFrom="page">
              <wp:posOffset>1428890</wp:posOffset>
            </wp:positionH>
            <wp:positionV relativeFrom="paragraph">
              <wp:posOffset>368130</wp:posOffset>
            </wp:positionV>
            <wp:extent cx="1275979" cy="1155949"/>
            <wp:effectExtent l="0" t="0" r="0" b="0"/>
            <wp:wrapNone/>
            <wp:docPr id="3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png"/>
                    <pic:cNvPicPr/>
                  </pic:nvPicPr>
                  <pic:blipFill>
                    <a:blip r:embed="rId112" cstate="print"/>
                    <a:stretch>
                      <a:fillRect/>
                    </a:stretch>
                  </pic:blipFill>
                  <pic:spPr>
                    <a:xfrm>
                      <a:off x="0" y="0"/>
                      <a:ext cx="1275979" cy="1155949"/>
                    </a:xfrm>
                    <a:prstGeom prst="rect">
                      <a:avLst/>
                    </a:prstGeom>
                  </pic:spPr>
                </pic:pic>
              </a:graphicData>
            </a:graphic>
          </wp:anchor>
        </w:drawing>
      </w:r>
      <w:r>
        <w:rPr>
          <w:color w:val="231F20"/>
        </w:rPr>
        <w:t>Andreas Baader</w:t>
      </w:r>
      <w:r>
        <w:rPr>
          <w:color w:val="231F20"/>
          <w:w w:val="92"/>
        </w:rPr>
        <w:t xml:space="preserve"> </w:t>
      </w:r>
      <w:r>
        <w:rPr>
          <w:color w:val="231F20"/>
          <w:w w:val="105"/>
        </w:rPr>
        <w:t>January 24, 1972</w:t>
      </w:r>
    </w:p>
    <w:p w14:paraId="630209DD" w14:textId="77777777" w:rsidR="002653E8" w:rsidRDefault="002653E8">
      <w:pPr>
        <w:pStyle w:val="a3"/>
      </w:pPr>
    </w:p>
    <w:p w14:paraId="60415D91" w14:textId="77777777" w:rsidR="002653E8" w:rsidRDefault="002653E8">
      <w:pPr>
        <w:pStyle w:val="a3"/>
      </w:pPr>
    </w:p>
    <w:p w14:paraId="46AF6E4C" w14:textId="77777777" w:rsidR="002653E8" w:rsidRDefault="002653E8">
      <w:pPr>
        <w:pStyle w:val="a3"/>
      </w:pPr>
    </w:p>
    <w:p w14:paraId="532745A8" w14:textId="77777777" w:rsidR="002653E8" w:rsidRDefault="002653E8">
      <w:pPr>
        <w:pStyle w:val="a3"/>
      </w:pPr>
    </w:p>
    <w:p w14:paraId="24A81506" w14:textId="77777777" w:rsidR="002653E8" w:rsidRDefault="002653E8">
      <w:pPr>
        <w:pStyle w:val="a3"/>
      </w:pPr>
    </w:p>
    <w:p w14:paraId="5F3B5C99" w14:textId="77777777" w:rsidR="002653E8" w:rsidRDefault="002653E8">
      <w:pPr>
        <w:pStyle w:val="a3"/>
      </w:pPr>
    </w:p>
    <w:p w14:paraId="035C361F" w14:textId="77777777" w:rsidR="002653E8" w:rsidRDefault="002653E8">
      <w:pPr>
        <w:pStyle w:val="a3"/>
      </w:pPr>
    </w:p>
    <w:p w14:paraId="03950341" w14:textId="77777777" w:rsidR="002653E8" w:rsidRDefault="002653E8">
      <w:pPr>
        <w:pStyle w:val="a3"/>
      </w:pPr>
    </w:p>
    <w:p w14:paraId="06AA8CBD" w14:textId="77777777" w:rsidR="002653E8" w:rsidRDefault="002653E8">
      <w:pPr>
        <w:pStyle w:val="a3"/>
      </w:pPr>
    </w:p>
    <w:p w14:paraId="57E5E402" w14:textId="77777777" w:rsidR="002653E8" w:rsidRDefault="002653E8">
      <w:pPr>
        <w:pStyle w:val="a3"/>
      </w:pPr>
    </w:p>
    <w:p w14:paraId="29690728" w14:textId="77777777" w:rsidR="002653E8" w:rsidRDefault="002653E8">
      <w:pPr>
        <w:pStyle w:val="a3"/>
      </w:pPr>
    </w:p>
    <w:p w14:paraId="3D44489F" w14:textId="77777777" w:rsidR="002653E8" w:rsidRDefault="002653E8">
      <w:pPr>
        <w:pStyle w:val="a3"/>
      </w:pPr>
    </w:p>
    <w:p w14:paraId="7FA2D359" w14:textId="77777777" w:rsidR="002653E8" w:rsidRDefault="002653E8">
      <w:pPr>
        <w:pStyle w:val="a3"/>
      </w:pPr>
    </w:p>
    <w:p w14:paraId="24930A80" w14:textId="77777777" w:rsidR="002653E8" w:rsidRDefault="002653E8">
      <w:pPr>
        <w:pStyle w:val="a3"/>
      </w:pPr>
    </w:p>
    <w:p w14:paraId="38068C12" w14:textId="77777777" w:rsidR="002653E8" w:rsidRDefault="002653E8">
      <w:pPr>
        <w:pStyle w:val="a3"/>
      </w:pPr>
    </w:p>
    <w:p w14:paraId="6E385186" w14:textId="77777777" w:rsidR="002653E8" w:rsidRDefault="002653E8">
      <w:pPr>
        <w:pStyle w:val="a3"/>
      </w:pPr>
    </w:p>
    <w:p w14:paraId="019C6A5C" w14:textId="77777777" w:rsidR="002653E8" w:rsidRDefault="002653E8">
      <w:pPr>
        <w:pStyle w:val="a3"/>
      </w:pPr>
    </w:p>
    <w:p w14:paraId="68A8F574" w14:textId="77777777" w:rsidR="002653E8" w:rsidRDefault="00000000">
      <w:pPr>
        <w:pStyle w:val="a3"/>
        <w:spacing w:before="2"/>
        <w:rPr>
          <w:sz w:val="13"/>
        </w:rPr>
      </w:pPr>
      <w:r>
        <w:rPr>
          <w:noProof w:val="0"/>
        </w:rPr>
        <w:pict w14:anchorId="087924B0">
          <v:line id="_x0000_s2579" style="position:absolute;z-index:4024;mso-wrap-distance-left:0;mso-wrap-distance-right:0;mso-position-horizontal-relative:page" from="66.4pt,10.2pt" to="354.4pt,10.2pt" strokecolor="#231f20" strokeweight="1pt">
            <w10:wrap type="topAndBottom" anchorx="page"/>
          </v:line>
        </w:pict>
      </w:r>
    </w:p>
    <w:p w14:paraId="34DD5F86" w14:textId="77777777" w:rsidR="002653E8" w:rsidRDefault="003115E3">
      <w:pPr>
        <w:spacing w:before="8" w:line="254" w:lineRule="auto"/>
        <w:ind w:left="1327" w:right="1399"/>
        <w:rPr>
          <w:sz w:val="16"/>
        </w:rPr>
      </w:pPr>
      <w:r>
        <w:rPr>
          <w:color w:val="231F20"/>
          <w:w w:val="105"/>
          <w:sz w:val="16"/>
        </w:rPr>
        <w:t xml:space="preserve">Reichstag fire under Gestapo torture. It remains unclear if he was, in fact, guilty. Karl-Heinz Ruhland, a fringe member of the </w:t>
      </w:r>
      <w:r w:rsidR="00C507A5">
        <w:rPr>
          <w:color w:val="231F20"/>
          <w:w w:val="105"/>
          <w:sz w:val="16"/>
        </w:rPr>
        <w:t>red army faction</w:t>
      </w:r>
      <w:r>
        <w:rPr>
          <w:color w:val="231F20"/>
          <w:w w:val="105"/>
          <w:sz w:val="16"/>
        </w:rPr>
        <w:t xml:space="preserve">, under pressure from the BKA and with coaching from the BAW, provided clearly fabricated testimony against </w:t>
      </w:r>
      <w:r w:rsidR="00C507A5">
        <w:rPr>
          <w:color w:val="231F20"/>
          <w:w w:val="105"/>
          <w:sz w:val="16"/>
        </w:rPr>
        <w:t>red army faction</w:t>
      </w:r>
      <w:r>
        <w:rPr>
          <w:color w:val="231F20"/>
          <w:w w:val="105"/>
          <w:sz w:val="16"/>
        </w:rPr>
        <w:t xml:space="preserve"> prisoners during a series of trials.</w:t>
      </w:r>
    </w:p>
    <w:p w14:paraId="2BA66AB4" w14:textId="77777777" w:rsidR="002653E8" w:rsidRDefault="003115E3" w:rsidP="00141FBB">
      <w:pPr>
        <w:spacing w:before="41" w:line="254" w:lineRule="auto"/>
        <w:ind w:left="1327" w:right="1145" w:hanging="1"/>
        <w:rPr>
          <w:sz w:val="16"/>
        </w:rPr>
      </w:pPr>
      <w:r>
        <w:rPr>
          <w:color w:val="231F20"/>
          <w:w w:val="105"/>
          <w:sz w:val="16"/>
        </w:rPr>
        <w:t xml:space="preserve">2 This phrase, which will reoccur in a number of different forms in </w:t>
      </w:r>
      <w:r w:rsidR="00C507A5">
        <w:rPr>
          <w:color w:val="231F20"/>
          <w:w w:val="105"/>
          <w:sz w:val="16"/>
        </w:rPr>
        <w:t>red army faction</w:t>
      </w:r>
      <w:r>
        <w:rPr>
          <w:color w:val="231F20"/>
          <w:w w:val="105"/>
          <w:sz w:val="16"/>
        </w:rPr>
        <w:t xml:space="preserve"> documents over the years, comes from a speech Mao gave at the Meeting of the Supreme</w:t>
      </w:r>
      <w:r w:rsidR="00141FBB">
        <w:rPr>
          <w:rFonts w:eastAsiaTheme="minorEastAsia" w:hint="eastAsia"/>
          <w:sz w:val="16"/>
        </w:rPr>
        <w:t xml:space="preserve"> </w:t>
      </w:r>
      <w:r>
        <w:rPr>
          <w:color w:val="231F20"/>
          <w:w w:val="105"/>
          <w:sz w:val="16"/>
        </w:rPr>
        <w:t xml:space="preserve">Soviet of the </w:t>
      </w:r>
      <w:r>
        <w:rPr>
          <w:color w:val="231F20"/>
          <w:spacing w:val="2"/>
          <w:w w:val="105"/>
          <w:sz w:val="16"/>
        </w:rPr>
        <w:t xml:space="preserve">U.S.S.R. </w:t>
      </w:r>
      <w:r>
        <w:rPr>
          <w:color w:val="231F20"/>
          <w:w w:val="105"/>
          <w:sz w:val="16"/>
        </w:rPr>
        <w:t xml:space="preserve">in Celebration of the 40th Anniversary of the Great October Socialist Revolution on November 6, </w:t>
      </w:r>
      <w:r>
        <w:rPr>
          <w:color w:val="231F20"/>
          <w:spacing w:val="-3"/>
          <w:w w:val="105"/>
          <w:sz w:val="16"/>
        </w:rPr>
        <w:t xml:space="preserve">1957: </w:t>
      </w:r>
      <w:r>
        <w:rPr>
          <w:color w:val="231F20"/>
          <w:w w:val="105"/>
          <w:sz w:val="16"/>
        </w:rPr>
        <w:t xml:space="preserve">“‘Lifting  a  rock  only  to  drop  it  on one’s own feet’ is a Chinese folk saying to describe the behaviour of </w:t>
      </w:r>
      <w:r>
        <w:rPr>
          <w:color w:val="231F20"/>
          <w:spacing w:val="1"/>
          <w:w w:val="105"/>
          <w:sz w:val="16"/>
        </w:rPr>
        <w:t xml:space="preserve">certain </w:t>
      </w:r>
      <w:r>
        <w:rPr>
          <w:color w:val="231F20"/>
          <w:w w:val="105"/>
          <w:sz w:val="16"/>
        </w:rPr>
        <w:t xml:space="preserve">fools. The reactionaries in all countries are fools of this kind. </w:t>
      </w:r>
      <w:r>
        <w:rPr>
          <w:color w:val="231F20"/>
          <w:spacing w:val="1"/>
          <w:w w:val="105"/>
          <w:sz w:val="16"/>
        </w:rPr>
        <w:t xml:space="preserve">In </w:t>
      </w:r>
      <w:r>
        <w:rPr>
          <w:color w:val="231F20"/>
          <w:w w:val="105"/>
          <w:sz w:val="16"/>
        </w:rPr>
        <w:t>the final analysis, their persecution of the revolutionary people only serves to accelerate the people’s revolutions on a broader and more intense scale. Did not the persecution of the revolutionary people by the tsar of Russia and by Chiang Kai-shek perform this function</w:t>
      </w:r>
      <w:r>
        <w:rPr>
          <w:color w:val="231F20"/>
          <w:spacing w:val="8"/>
          <w:w w:val="105"/>
          <w:sz w:val="16"/>
        </w:rPr>
        <w:t xml:space="preserve"> </w:t>
      </w:r>
      <w:r>
        <w:rPr>
          <w:color w:val="231F20"/>
          <w:w w:val="105"/>
          <w:sz w:val="16"/>
        </w:rPr>
        <w:t>in</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great</w:t>
      </w:r>
      <w:r>
        <w:rPr>
          <w:color w:val="231F20"/>
          <w:spacing w:val="8"/>
          <w:w w:val="105"/>
          <w:sz w:val="16"/>
        </w:rPr>
        <w:t xml:space="preserve"> </w:t>
      </w:r>
      <w:r>
        <w:rPr>
          <w:color w:val="231F20"/>
          <w:w w:val="105"/>
          <w:sz w:val="16"/>
        </w:rPr>
        <w:t>Russian</w:t>
      </w:r>
      <w:r>
        <w:rPr>
          <w:color w:val="231F20"/>
          <w:spacing w:val="8"/>
          <w:w w:val="105"/>
          <w:sz w:val="16"/>
        </w:rPr>
        <w:t xml:space="preserve"> </w:t>
      </w:r>
      <w:r>
        <w:rPr>
          <w:color w:val="231F20"/>
          <w:w w:val="105"/>
          <w:sz w:val="16"/>
        </w:rPr>
        <w:t>and</w:t>
      </w:r>
      <w:r>
        <w:rPr>
          <w:color w:val="231F20"/>
          <w:spacing w:val="8"/>
          <w:w w:val="105"/>
          <w:sz w:val="16"/>
        </w:rPr>
        <w:t xml:space="preserve"> </w:t>
      </w:r>
      <w:r>
        <w:rPr>
          <w:color w:val="231F20"/>
          <w:w w:val="105"/>
          <w:sz w:val="16"/>
        </w:rPr>
        <w:t>Chinese</w:t>
      </w:r>
      <w:r>
        <w:rPr>
          <w:color w:val="231F20"/>
          <w:spacing w:val="8"/>
          <w:w w:val="105"/>
          <w:sz w:val="16"/>
        </w:rPr>
        <w:t xml:space="preserve"> </w:t>
      </w:r>
      <w:r>
        <w:rPr>
          <w:color w:val="231F20"/>
          <w:w w:val="105"/>
          <w:sz w:val="16"/>
        </w:rPr>
        <w:t>revolutions?”</w:t>
      </w:r>
    </w:p>
    <w:p w14:paraId="2A5838C2" w14:textId="77777777" w:rsidR="002653E8" w:rsidRDefault="002653E8">
      <w:pPr>
        <w:spacing w:line="254" w:lineRule="auto"/>
        <w:rPr>
          <w:sz w:val="16"/>
        </w:rPr>
        <w:sectPr w:rsidR="002653E8">
          <w:pgSz w:w="8640" w:h="12960"/>
          <w:pgMar w:top="1060" w:right="0" w:bottom="1040" w:left="0" w:header="0" w:footer="850" w:gutter="0"/>
          <w:cols w:space="720"/>
        </w:sectPr>
      </w:pPr>
    </w:p>
    <w:p w14:paraId="15863B41" w14:textId="77777777" w:rsidR="002653E8" w:rsidRDefault="003115E3">
      <w:pPr>
        <w:pStyle w:val="4"/>
        <w:spacing w:line="273" w:lineRule="auto"/>
        <w:ind w:left="2785" w:right="2963" w:firstLine="9"/>
        <w:jc w:val="center"/>
      </w:pPr>
      <w:bookmarkStart w:id="55" w:name="Serve_the_People:_The_Urban_Guerilla_and"/>
      <w:bookmarkStart w:id="56" w:name="_bookmark18"/>
      <w:bookmarkEnd w:id="55"/>
      <w:bookmarkEnd w:id="56"/>
      <w:r>
        <w:rPr>
          <w:color w:val="231F20"/>
        </w:rPr>
        <w:lastRenderedPageBreak/>
        <w:t>Serve the People: The Urban Guerilla</w:t>
      </w:r>
      <w:r>
        <w:rPr>
          <w:color w:val="231F20"/>
          <w:w w:val="105"/>
        </w:rPr>
        <w:t xml:space="preserve"> </w:t>
      </w:r>
      <w:r>
        <w:rPr>
          <w:color w:val="231F20"/>
        </w:rPr>
        <w:t>and Class Struggle</w:t>
      </w:r>
    </w:p>
    <w:p w14:paraId="599BD8BF" w14:textId="77777777" w:rsidR="002653E8" w:rsidRDefault="002653E8">
      <w:pPr>
        <w:pStyle w:val="a3"/>
        <w:rPr>
          <w:rFonts w:ascii="Bookman Old Style"/>
          <w:sz w:val="34"/>
        </w:rPr>
      </w:pPr>
    </w:p>
    <w:p w14:paraId="4AD6F0B3" w14:textId="77777777" w:rsidR="002653E8" w:rsidRDefault="002653E8">
      <w:pPr>
        <w:pStyle w:val="a3"/>
        <w:spacing w:before="1"/>
        <w:rPr>
          <w:rFonts w:ascii="Bookman Old Style"/>
          <w:sz w:val="26"/>
        </w:rPr>
      </w:pPr>
    </w:p>
    <w:p w14:paraId="32DCF0A6" w14:textId="77777777" w:rsidR="002653E8" w:rsidRDefault="003115E3">
      <w:pPr>
        <w:spacing w:before="1" w:line="276" w:lineRule="auto"/>
        <w:ind w:left="1567" w:right="1738"/>
        <w:jc w:val="both"/>
        <w:rPr>
          <w:i/>
          <w:sz w:val="19"/>
        </w:rPr>
      </w:pPr>
      <w:r>
        <w:rPr>
          <w:i/>
          <w:color w:val="231F20"/>
          <w:sz w:val="19"/>
        </w:rPr>
        <w:t xml:space="preserve">Everyone dies, but death can vary in its significance. The ancient Chinese writer Szuma Chien said, “Though death befalls all men alike, it may be heavier than Mount </w:t>
      </w:r>
      <w:r>
        <w:rPr>
          <w:i/>
          <w:color w:val="231F20"/>
          <w:spacing w:val="-5"/>
          <w:sz w:val="19"/>
        </w:rPr>
        <w:t xml:space="preserve">Tai </w:t>
      </w:r>
      <w:r>
        <w:rPr>
          <w:i/>
          <w:color w:val="231F20"/>
          <w:sz w:val="19"/>
        </w:rPr>
        <w:t xml:space="preserve">or lighter than a </w:t>
      </w:r>
      <w:r>
        <w:rPr>
          <w:i/>
          <w:color w:val="231F20"/>
          <w:spacing w:val="-6"/>
          <w:sz w:val="19"/>
        </w:rPr>
        <w:t>feather.”</w:t>
      </w:r>
      <w:r>
        <w:rPr>
          <w:i/>
          <w:color w:val="231F20"/>
          <w:spacing w:val="28"/>
          <w:sz w:val="19"/>
        </w:rPr>
        <w:t xml:space="preserve"> </w:t>
      </w:r>
      <w:r>
        <w:rPr>
          <w:i/>
          <w:color w:val="231F20"/>
          <w:spacing w:val="-9"/>
          <w:sz w:val="19"/>
        </w:rPr>
        <w:t xml:space="preserve">To  </w:t>
      </w:r>
      <w:r>
        <w:rPr>
          <w:i/>
          <w:color w:val="231F20"/>
          <w:sz w:val="19"/>
        </w:rPr>
        <w:t xml:space="preserve">die for the people is heavier than Mount </w:t>
      </w:r>
      <w:r>
        <w:rPr>
          <w:i/>
          <w:color w:val="231F20"/>
          <w:spacing w:val="-4"/>
          <w:sz w:val="19"/>
        </w:rPr>
        <w:t xml:space="preserve">Tai, </w:t>
      </w:r>
      <w:r>
        <w:rPr>
          <w:i/>
          <w:color w:val="231F20"/>
          <w:sz w:val="19"/>
        </w:rPr>
        <w:t>but to work for    the fascist and die for the exploiters and oppressors is lighter than  a</w:t>
      </w:r>
      <w:r>
        <w:rPr>
          <w:i/>
          <w:color w:val="231F20"/>
          <w:spacing w:val="10"/>
          <w:sz w:val="19"/>
        </w:rPr>
        <w:t xml:space="preserve"> </w:t>
      </w:r>
      <w:r>
        <w:rPr>
          <w:i/>
          <w:color w:val="231F20"/>
          <w:spacing w:val="-3"/>
          <w:sz w:val="19"/>
        </w:rPr>
        <w:t>feather.</w:t>
      </w:r>
    </w:p>
    <w:p w14:paraId="6108E02D" w14:textId="77777777" w:rsidR="002653E8" w:rsidRDefault="003115E3">
      <w:pPr>
        <w:spacing w:before="38"/>
        <w:ind w:left="5764"/>
        <w:rPr>
          <w:sz w:val="19"/>
        </w:rPr>
      </w:pPr>
      <w:r>
        <w:rPr>
          <w:color w:val="231F20"/>
          <w:w w:val="105"/>
          <w:sz w:val="19"/>
        </w:rPr>
        <w:t>Mao tse Tung</w:t>
      </w:r>
    </w:p>
    <w:p w14:paraId="2C8D1051" w14:textId="77777777" w:rsidR="002653E8" w:rsidRDefault="002653E8">
      <w:pPr>
        <w:pStyle w:val="a3"/>
        <w:rPr>
          <w:sz w:val="22"/>
        </w:rPr>
      </w:pPr>
    </w:p>
    <w:p w14:paraId="3AB7B178" w14:textId="77777777" w:rsidR="002653E8" w:rsidRDefault="002653E8">
      <w:pPr>
        <w:pStyle w:val="a3"/>
        <w:rPr>
          <w:sz w:val="22"/>
        </w:rPr>
      </w:pPr>
    </w:p>
    <w:p w14:paraId="34200B5B" w14:textId="77777777" w:rsidR="002653E8" w:rsidRDefault="002653E8">
      <w:pPr>
        <w:pStyle w:val="a3"/>
        <w:rPr>
          <w:sz w:val="22"/>
        </w:rPr>
      </w:pPr>
    </w:p>
    <w:p w14:paraId="4C6075D4" w14:textId="77777777" w:rsidR="002653E8" w:rsidRDefault="002653E8">
      <w:pPr>
        <w:pStyle w:val="a3"/>
        <w:spacing w:before="6"/>
        <w:rPr>
          <w:sz w:val="30"/>
        </w:rPr>
      </w:pPr>
    </w:p>
    <w:p w14:paraId="2B9522B4" w14:textId="77777777" w:rsidR="002653E8" w:rsidRDefault="003115E3">
      <w:pPr>
        <w:spacing w:line="276" w:lineRule="auto"/>
        <w:ind w:left="1567" w:right="1738"/>
        <w:jc w:val="both"/>
        <w:rPr>
          <w:i/>
          <w:sz w:val="11"/>
        </w:rPr>
      </w:pPr>
      <w:r>
        <w:rPr>
          <w:i/>
          <w:color w:val="231F20"/>
          <w:w w:val="105"/>
          <w:sz w:val="19"/>
        </w:rPr>
        <w:t>“The armed struggle is a technical issue and therefore requires technical knowledge: training, morale and last of all practice.  In this area, improvisation has cost many lives and led to failed attacks.</w:t>
      </w:r>
      <w:r>
        <w:rPr>
          <w:i/>
          <w:color w:val="231F20"/>
          <w:spacing w:val="-22"/>
          <w:w w:val="105"/>
          <w:sz w:val="19"/>
        </w:rPr>
        <w:t xml:space="preserve"> </w:t>
      </w:r>
      <w:r>
        <w:rPr>
          <w:i/>
          <w:color w:val="231F20"/>
          <w:w w:val="105"/>
          <w:sz w:val="19"/>
        </w:rPr>
        <w:t>The</w:t>
      </w:r>
      <w:r>
        <w:rPr>
          <w:i/>
          <w:color w:val="231F20"/>
          <w:spacing w:val="-17"/>
          <w:w w:val="105"/>
          <w:sz w:val="19"/>
        </w:rPr>
        <w:t xml:space="preserve"> </w:t>
      </w:r>
      <w:r>
        <w:rPr>
          <w:i/>
          <w:color w:val="231F20"/>
          <w:w w:val="105"/>
          <w:sz w:val="19"/>
        </w:rPr>
        <w:t>‘spontaneity’</w:t>
      </w:r>
      <w:r>
        <w:rPr>
          <w:i/>
          <w:color w:val="231F20"/>
          <w:spacing w:val="-13"/>
          <w:w w:val="105"/>
          <w:sz w:val="19"/>
        </w:rPr>
        <w:t xml:space="preserve"> </w:t>
      </w:r>
      <w:r>
        <w:rPr>
          <w:i/>
          <w:color w:val="231F20"/>
          <w:w w:val="105"/>
          <w:sz w:val="19"/>
        </w:rPr>
        <w:t>that</w:t>
      </w:r>
      <w:r>
        <w:rPr>
          <w:i/>
          <w:color w:val="231F20"/>
          <w:spacing w:val="-13"/>
          <w:w w:val="105"/>
          <w:sz w:val="19"/>
        </w:rPr>
        <w:t xml:space="preserve"> </w:t>
      </w:r>
      <w:r>
        <w:rPr>
          <w:i/>
          <w:color w:val="231F20"/>
          <w:w w:val="105"/>
          <w:sz w:val="19"/>
        </w:rPr>
        <w:t>some</w:t>
      </w:r>
      <w:r>
        <w:rPr>
          <w:i/>
          <w:color w:val="231F20"/>
          <w:spacing w:val="-13"/>
          <w:w w:val="105"/>
          <w:sz w:val="19"/>
        </w:rPr>
        <w:t xml:space="preserve"> </w:t>
      </w:r>
      <w:r>
        <w:rPr>
          <w:i/>
          <w:color w:val="231F20"/>
          <w:w w:val="105"/>
          <w:sz w:val="19"/>
        </w:rPr>
        <w:t>people</w:t>
      </w:r>
      <w:r>
        <w:rPr>
          <w:i/>
          <w:color w:val="231F20"/>
          <w:spacing w:val="-13"/>
          <w:w w:val="105"/>
          <w:sz w:val="19"/>
        </w:rPr>
        <w:t xml:space="preserve"> </w:t>
      </w:r>
      <w:r>
        <w:rPr>
          <w:i/>
          <w:color w:val="231F20"/>
          <w:w w:val="105"/>
          <w:sz w:val="19"/>
        </w:rPr>
        <w:t>romanticize,</w:t>
      </w:r>
      <w:r>
        <w:rPr>
          <w:i/>
          <w:color w:val="231F20"/>
          <w:spacing w:val="-17"/>
          <w:w w:val="105"/>
          <w:sz w:val="19"/>
        </w:rPr>
        <w:t xml:space="preserve"> </w:t>
      </w:r>
      <w:r>
        <w:rPr>
          <w:i/>
          <w:color w:val="231F20"/>
          <w:w w:val="105"/>
          <w:sz w:val="19"/>
        </w:rPr>
        <w:t xml:space="preserve">speaking vaguely about the people’s revolution and ‘the </w:t>
      </w:r>
      <w:r>
        <w:rPr>
          <w:i/>
          <w:color w:val="231F20"/>
          <w:spacing w:val="-4"/>
          <w:w w:val="105"/>
          <w:sz w:val="19"/>
        </w:rPr>
        <w:t xml:space="preserve">masses,’ </w:t>
      </w:r>
      <w:r>
        <w:rPr>
          <w:i/>
          <w:color w:val="231F20"/>
          <w:w w:val="105"/>
          <w:sz w:val="19"/>
        </w:rPr>
        <w:t>is either simply a dodge or it indicates that they have decided to rely upon improvisation during a critical phase of the class struggle. Every vanguard movement must, if they want to remain true to themselves at the decisive moment in the class struggle, analyze and</w:t>
      </w:r>
      <w:r>
        <w:rPr>
          <w:i/>
          <w:color w:val="231F20"/>
          <w:spacing w:val="-13"/>
          <w:w w:val="105"/>
          <w:sz w:val="19"/>
        </w:rPr>
        <w:t xml:space="preserve"> </w:t>
      </w:r>
      <w:r>
        <w:rPr>
          <w:i/>
          <w:color w:val="231F20"/>
          <w:w w:val="105"/>
          <w:sz w:val="19"/>
        </w:rPr>
        <w:t>understand</w:t>
      </w:r>
      <w:r>
        <w:rPr>
          <w:i/>
          <w:color w:val="231F20"/>
          <w:spacing w:val="-13"/>
          <w:w w:val="105"/>
          <w:sz w:val="19"/>
        </w:rPr>
        <w:t xml:space="preserve"> </w:t>
      </w:r>
      <w:r>
        <w:rPr>
          <w:i/>
          <w:color w:val="231F20"/>
          <w:w w:val="105"/>
          <w:sz w:val="19"/>
        </w:rPr>
        <w:t>the</w:t>
      </w:r>
      <w:r>
        <w:rPr>
          <w:i/>
          <w:color w:val="231F20"/>
          <w:spacing w:val="-13"/>
          <w:w w:val="105"/>
          <w:sz w:val="19"/>
        </w:rPr>
        <w:t xml:space="preserve"> </w:t>
      </w:r>
      <w:r>
        <w:rPr>
          <w:i/>
          <w:color w:val="231F20"/>
          <w:w w:val="105"/>
          <w:sz w:val="19"/>
        </w:rPr>
        <w:t>violence</w:t>
      </w:r>
      <w:r>
        <w:rPr>
          <w:i/>
          <w:color w:val="231F20"/>
          <w:spacing w:val="-13"/>
          <w:w w:val="105"/>
          <w:sz w:val="19"/>
        </w:rPr>
        <w:t xml:space="preserve"> </w:t>
      </w:r>
      <w:r>
        <w:rPr>
          <w:i/>
          <w:color w:val="231F20"/>
          <w:w w:val="105"/>
          <w:sz w:val="19"/>
        </w:rPr>
        <w:t>of</w:t>
      </w:r>
      <w:r>
        <w:rPr>
          <w:i/>
          <w:color w:val="231F20"/>
          <w:spacing w:val="-13"/>
          <w:w w:val="105"/>
          <w:sz w:val="19"/>
        </w:rPr>
        <w:t xml:space="preserve"> </w:t>
      </w:r>
      <w:r>
        <w:rPr>
          <w:i/>
          <w:color w:val="231F20"/>
          <w:w w:val="105"/>
          <w:sz w:val="19"/>
        </w:rPr>
        <w:t>the</w:t>
      </w:r>
      <w:r>
        <w:rPr>
          <w:i/>
          <w:color w:val="231F20"/>
          <w:spacing w:val="-13"/>
          <w:w w:val="105"/>
          <w:sz w:val="19"/>
        </w:rPr>
        <w:t xml:space="preserve"> </w:t>
      </w:r>
      <w:r>
        <w:rPr>
          <w:i/>
          <w:color w:val="231F20"/>
          <w:w w:val="105"/>
          <w:sz w:val="19"/>
        </w:rPr>
        <w:t>people,</w:t>
      </w:r>
      <w:r>
        <w:rPr>
          <w:i/>
          <w:color w:val="231F20"/>
          <w:spacing w:val="-18"/>
          <w:w w:val="105"/>
          <w:sz w:val="19"/>
        </w:rPr>
        <w:t xml:space="preserve"> </w:t>
      </w:r>
      <w:r>
        <w:rPr>
          <w:i/>
          <w:color w:val="231F20"/>
          <w:w w:val="105"/>
          <w:sz w:val="19"/>
        </w:rPr>
        <w:t>so</w:t>
      </w:r>
      <w:r>
        <w:rPr>
          <w:i/>
          <w:color w:val="231F20"/>
          <w:spacing w:val="-13"/>
          <w:w w:val="105"/>
          <w:sz w:val="19"/>
        </w:rPr>
        <w:t xml:space="preserve"> </w:t>
      </w:r>
      <w:r>
        <w:rPr>
          <w:i/>
          <w:color w:val="231F20"/>
          <w:w w:val="105"/>
          <w:sz w:val="19"/>
        </w:rPr>
        <w:t>as</w:t>
      </w:r>
      <w:r>
        <w:rPr>
          <w:i/>
          <w:color w:val="231F20"/>
          <w:spacing w:val="-13"/>
          <w:w w:val="105"/>
          <w:sz w:val="19"/>
        </w:rPr>
        <w:t xml:space="preserve"> </w:t>
      </w:r>
      <w:r>
        <w:rPr>
          <w:i/>
          <w:color w:val="231F20"/>
          <w:w w:val="105"/>
          <w:sz w:val="19"/>
        </w:rPr>
        <w:t>to</w:t>
      </w:r>
      <w:r>
        <w:rPr>
          <w:i/>
          <w:color w:val="231F20"/>
          <w:spacing w:val="-13"/>
          <w:w w:val="105"/>
          <w:sz w:val="19"/>
        </w:rPr>
        <w:t xml:space="preserve"> </w:t>
      </w:r>
      <w:r>
        <w:rPr>
          <w:i/>
          <w:color w:val="231F20"/>
          <w:w w:val="105"/>
          <w:sz w:val="19"/>
        </w:rPr>
        <w:t>correctly</w:t>
      </w:r>
      <w:r>
        <w:rPr>
          <w:i/>
          <w:color w:val="231F20"/>
          <w:spacing w:val="-13"/>
          <w:w w:val="105"/>
          <w:sz w:val="19"/>
        </w:rPr>
        <w:t xml:space="preserve"> </w:t>
      </w:r>
      <w:r>
        <w:rPr>
          <w:i/>
          <w:color w:val="231F20"/>
          <w:w w:val="105"/>
          <w:sz w:val="19"/>
        </w:rPr>
        <w:t>direct it against oppression, thereby achieving the goal with the least sacrifice</w:t>
      </w:r>
      <w:r>
        <w:rPr>
          <w:i/>
          <w:color w:val="231F20"/>
          <w:spacing w:val="7"/>
          <w:w w:val="105"/>
          <w:sz w:val="19"/>
        </w:rPr>
        <w:t xml:space="preserve"> </w:t>
      </w:r>
      <w:r>
        <w:rPr>
          <w:i/>
          <w:color w:val="231F20"/>
          <w:spacing w:val="-3"/>
          <w:w w:val="105"/>
          <w:sz w:val="19"/>
        </w:rPr>
        <w:t>possible.”</w:t>
      </w:r>
      <w:r>
        <w:rPr>
          <w:i/>
          <w:color w:val="231F20"/>
          <w:spacing w:val="-3"/>
          <w:w w:val="105"/>
          <w:position w:val="6"/>
          <w:sz w:val="11"/>
        </w:rPr>
        <w:t>1</w:t>
      </w:r>
    </w:p>
    <w:p w14:paraId="13612152" w14:textId="77777777" w:rsidR="002653E8" w:rsidRDefault="002653E8">
      <w:pPr>
        <w:pStyle w:val="a3"/>
        <w:rPr>
          <w:i/>
          <w:sz w:val="22"/>
        </w:rPr>
      </w:pPr>
    </w:p>
    <w:p w14:paraId="1047F6AC" w14:textId="77777777" w:rsidR="002653E8" w:rsidRDefault="002653E8">
      <w:pPr>
        <w:pStyle w:val="a3"/>
        <w:rPr>
          <w:i/>
          <w:sz w:val="22"/>
        </w:rPr>
      </w:pPr>
    </w:p>
    <w:p w14:paraId="33CEDA95" w14:textId="77777777" w:rsidR="002653E8" w:rsidRDefault="002653E8">
      <w:pPr>
        <w:pStyle w:val="a3"/>
        <w:rPr>
          <w:i/>
          <w:sz w:val="22"/>
        </w:rPr>
      </w:pPr>
    </w:p>
    <w:p w14:paraId="21A46584" w14:textId="77777777" w:rsidR="002653E8" w:rsidRDefault="002653E8">
      <w:pPr>
        <w:pStyle w:val="a3"/>
        <w:spacing w:before="6"/>
        <w:rPr>
          <w:i/>
          <w:sz w:val="17"/>
        </w:rPr>
      </w:pPr>
    </w:p>
    <w:p w14:paraId="3AD73532" w14:textId="77777777" w:rsidR="002653E8" w:rsidRDefault="003115E3">
      <w:pPr>
        <w:spacing w:before="1"/>
        <w:ind w:left="1494"/>
        <w:jc w:val="both"/>
        <w:rPr>
          <w:sz w:val="40"/>
        </w:rPr>
      </w:pPr>
      <w:r>
        <w:rPr>
          <w:color w:val="231F20"/>
          <w:spacing w:val="5"/>
          <w:w w:val="110"/>
          <w:sz w:val="40"/>
        </w:rPr>
        <w:t xml:space="preserve">ALL </w:t>
      </w:r>
      <w:r>
        <w:rPr>
          <w:color w:val="231F20"/>
          <w:w w:val="110"/>
          <w:sz w:val="40"/>
        </w:rPr>
        <w:t xml:space="preserve">POWER </w:t>
      </w:r>
      <w:r>
        <w:rPr>
          <w:color w:val="231F20"/>
          <w:spacing w:val="-4"/>
          <w:w w:val="110"/>
          <w:sz w:val="40"/>
        </w:rPr>
        <w:t xml:space="preserve">TO </w:t>
      </w:r>
      <w:r>
        <w:rPr>
          <w:color w:val="231F20"/>
          <w:spacing w:val="6"/>
          <w:w w:val="110"/>
          <w:sz w:val="40"/>
        </w:rPr>
        <w:t>THE</w:t>
      </w:r>
      <w:r>
        <w:rPr>
          <w:color w:val="231F20"/>
          <w:spacing w:val="85"/>
          <w:w w:val="110"/>
          <w:sz w:val="40"/>
        </w:rPr>
        <w:t xml:space="preserve"> </w:t>
      </w:r>
      <w:r>
        <w:rPr>
          <w:color w:val="231F20"/>
          <w:spacing w:val="-3"/>
          <w:w w:val="110"/>
          <w:sz w:val="40"/>
        </w:rPr>
        <w:t>PEOPLE!</w:t>
      </w:r>
    </w:p>
    <w:p w14:paraId="6D209A80" w14:textId="77777777" w:rsidR="002653E8" w:rsidRDefault="00000000">
      <w:pPr>
        <w:pStyle w:val="a3"/>
        <w:spacing w:before="6"/>
        <w:rPr>
          <w:sz w:val="18"/>
        </w:rPr>
      </w:pPr>
      <w:r>
        <w:rPr>
          <w:noProof w:val="0"/>
        </w:rPr>
        <w:pict w14:anchorId="2A81307B">
          <v:line id="_x0000_s2578" style="position:absolute;z-index:4072;mso-wrap-distance-left:0;mso-wrap-distance-right:0;mso-position-horizontal-relative:page" from="57.4pt,13.1pt" to="129.4pt,13.1pt" strokecolor="#231f20" strokeweight=".5pt">
            <w10:wrap type="topAndBottom" anchorx="page"/>
          </v:line>
        </w:pict>
      </w:r>
    </w:p>
    <w:p w14:paraId="16D40A74" w14:textId="77777777" w:rsidR="002653E8" w:rsidRDefault="003115E3">
      <w:pPr>
        <w:spacing w:before="53" w:line="254" w:lineRule="auto"/>
        <w:ind w:left="1147" w:right="1580"/>
        <w:rPr>
          <w:sz w:val="16"/>
        </w:rPr>
      </w:pPr>
      <w:r>
        <w:rPr>
          <w:color w:val="231F20"/>
          <w:w w:val="105"/>
          <w:sz w:val="16"/>
        </w:rPr>
        <w:t xml:space="preserve">1 Although not referenced as such by the </w:t>
      </w:r>
      <w:r w:rsidR="00C507A5">
        <w:rPr>
          <w:color w:val="231F20"/>
          <w:spacing w:val="1"/>
          <w:w w:val="105"/>
          <w:sz w:val="16"/>
        </w:rPr>
        <w:t>red army faction</w:t>
      </w:r>
      <w:r>
        <w:rPr>
          <w:color w:val="231F20"/>
          <w:spacing w:val="1"/>
          <w:w w:val="105"/>
          <w:sz w:val="16"/>
        </w:rPr>
        <w:t xml:space="preserve">, </w:t>
      </w:r>
      <w:r>
        <w:rPr>
          <w:color w:val="231F20"/>
          <w:w w:val="105"/>
          <w:sz w:val="16"/>
        </w:rPr>
        <w:t xml:space="preserve">this is a quote from </w:t>
      </w:r>
      <w:r>
        <w:rPr>
          <w:i/>
          <w:color w:val="231F20"/>
          <w:w w:val="105"/>
          <w:sz w:val="16"/>
        </w:rPr>
        <w:t xml:space="preserve">30 </w:t>
      </w:r>
      <w:r>
        <w:rPr>
          <w:i/>
          <w:color w:val="231F20"/>
          <w:spacing w:val="1"/>
          <w:w w:val="105"/>
          <w:sz w:val="16"/>
        </w:rPr>
        <w:t xml:space="preserve">Questions </w:t>
      </w:r>
      <w:r>
        <w:rPr>
          <w:i/>
          <w:color w:val="231F20"/>
          <w:w w:val="105"/>
          <w:sz w:val="16"/>
        </w:rPr>
        <w:t xml:space="preserve">to    </w:t>
      </w:r>
      <w:r>
        <w:rPr>
          <w:i/>
          <w:color w:val="231F20"/>
          <w:spacing w:val="35"/>
          <w:w w:val="105"/>
          <w:sz w:val="16"/>
        </w:rPr>
        <w:t xml:space="preserve"> </w:t>
      </w:r>
      <w:r>
        <w:rPr>
          <w:i/>
          <w:color w:val="231F20"/>
          <w:w w:val="105"/>
          <w:sz w:val="16"/>
        </w:rPr>
        <w:t xml:space="preserve">a Tupamaro </w:t>
      </w:r>
      <w:r>
        <w:rPr>
          <w:color w:val="231F20"/>
          <w:w w:val="105"/>
          <w:sz w:val="16"/>
        </w:rPr>
        <w:t>(see page 128,</w:t>
      </w:r>
      <w:r>
        <w:rPr>
          <w:color w:val="231F20"/>
          <w:spacing w:val="6"/>
          <w:w w:val="105"/>
          <w:sz w:val="16"/>
        </w:rPr>
        <w:t xml:space="preserve"> </w:t>
      </w:r>
      <w:r>
        <w:rPr>
          <w:color w:val="231F20"/>
          <w:w w:val="105"/>
          <w:sz w:val="16"/>
        </w:rPr>
        <w:t xml:space="preserve">fn </w:t>
      </w:r>
      <w:r>
        <w:rPr>
          <w:color w:val="231F20"/>
          <w:spacing w:val="-4"/>
          <w:w w:val="105"/>
          <w:sz w:val="16"/>
        </w:rPr>
        <w:t>1).</w:t>
      </w:r>
    </w:p>
    <w:p w14:paraId="5FA1B19F" w14:textId="77777777" w:rsidR="002653E8" w:rsidRDefault="002653E8">
      <w:pPr>
        <w:spacing w:line="254" w:lineRule="auto"/>
        <w:rPr>
          <w:sz w:val="16"/>
        </w:rPr>
        <w:sectPr w:rsidR="002653E8">
          <w:footerReference w:type="even" r:id="rId113"/>
          <w:footerReference w:type="default" r:id="rId114"/>
          <w:pgSz w:w="8640" w:h="12960"/>
          <w:pgMar w:top="1220" w:right="0" w:bottom="1040" w:left="0" w:header="0" w:footer="850" w:gutter="0"/>
          <w:pgNumType w:start="122"/>
          <w:cols w:space="720"/>
        </w:sectPr>
      </w:pPr>
    </w:p>
    <w:p w14:paraId="5928046A" w14:textId="77777777" w:rsidR="002653E8" w:rsidRDefault="003115E3">
      <w:pPr>
        <w:pStyle w:val="a3"/>
        <w:spacing w:before="86" w:line="264" w:lineRule="auto"/>
        <w:ind w:left="1327" w:right="1141" w:hanging="1"/>
        <w:jc w:val="both"/>
      </w:pPr>
      <w:r>
        <w:rPr>
          <w:color w:val="231F20"/>
        </w:rPr>
        <w:lastRenderedPageBreak/>
        <w:t>20,000</w:t>
      </w:r>
      <w:r>
        <w:rPr>
          <w:color w:val="231F20"/>
          <w:spacing w:val="-4"/>
        </w:rPr>
        <w:t xml:space="preserve"> </w:t>
      </w:r>
      <w:r>
        <w:rPr>
          <w:color w:val="231F20"/>
        </w:rPr>
        <w:t>die</w:t>
      </w:r>
      <w:r>
        <w:rPr>
          <w:color w:val="231F20"/>
          <w:spacing w:val="-4"/>
        </w:rPr>
        <w:t xml:space="preserve"> </w:t>
      </w:r>
      <w:r>
        <w:rPr>
          <w:color w:val="231F20"/>
        </w:rPr>
        <w:t>every</w:t>
      </w:r>
      <w:r>
        <w:rPr>
          <w:color w:val="231F20"/>
          <w:spacing w:val="-4"/>
        </w:rPr>
        <w:t xml:space="preserve"> </w:t>
      </w:r>
      <w:r>
        <w:rPr>
          <w:color w:val="231F20"/>
        </w:rPr>
        <w:t>year</w:t>
      </w:r>
      <w:r>
        <w:rPr>
          <w:color w:val="231F20"/>
          <w:spacing w:val="-4"/>
        </w:rPr>
        <w:t xml:space="preserve"> </w:t>
      </w:r>
      <w:r>
        <w:rPr>
          <w:color w:val="231F20"/>
        </w:rPr>
        <w:t>because</w:t>
      </w:r>
      <w:r>
        <w:rPr>
          <w:color w:val="231F20"/>
          <w:spacing w:val="-4"/>
        </w:rPr>
        <w:t xml:space="preserve"> </w:t>
      </w:r>
      <w:r>
        <w:rPr>
          <w:color w:val="231F20"/>
        </w:rPr>
        <w:t>the</w:t>
      </w:r>
      <w:r>
        <w:rPr>
          <w:color w:val="231F20"/>
          <w:spacing w:val="-4"/>
        </w:rPr>
        <w:t xml:space="preserve"> </w:t>
      </w:r>
      <w:r>
        <w:rPr>
          <w:color w:val="231F20"/>
        </w:rPr>
        <w:t>stockholders</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automobile</w:t>
      </w:r>
      <w:r>
        <w:rPr>
          <w:color w:val="231F20"/>
          <w:spacing w:val="-4"/>
        </w:rPr>
        <w:t xml:space="preserve"> </w:t>
      </w:r>
      <w:r>
        <w:rPr>
          <w:color w:val="231F20"/>
        </w:rPr>
        <w:t>indus</w:t>
      </w:r>
      <w:r>
        <w:rPr>
          <w:color w:val="231F20"/>
          <w:spacing w:val="1"/>
        </w:rPr>
        <w:t xml:space="preserve">try </w:t>
      </w:r>
      <w:r>
        <w:rPr>
          <w:color w:val="231F20"/>
        </w:rPr>
        <w:t xml:space="preserve">only care about profit and, therefore, </w:t>
      </w:r>
      <w:r>
        <w:rPr>
          <w:color w:val="231F20"/>
          <w:spacing w:val="-3"/>
        </w:rPr>
        <w:t xml:space="preserve">don’t </w:t>
      </w:r>
      <w:r>
        <w:rPr>
          <w:color w:val="231F20"/>
        </w:rPr>
        <w:t xml:space="preserve">stop to consider technical safety issues for automobiles or road construction. 5,000 people die every year at their workplace or on their </w:t>
      </w:r>
      <w:r>
        <w:rPr>
          <w:color w:val="231F20"/>
          <w:spacing w:val="-2"/>
        </w:rPr>
        <w:t xml:space="preserve">way </w:t>
      </w:r>
      <w:r>
        <w:rPr>
          <w:color w:val="231F20"/>
        </w:rPr>
        <w:t xml:space="preserve">to or from it, because the owners of the means of production only consider their profits and </w:t>
      </w:r>
      <w:r>
        <w:rPr>
          <w:color w:val="231F20"/>
          <w:spacing w:val="-3"/>
        </w:rPr>
        <w:t xml:space="preserve">don’t </w:t>
      </w:r>
      <w:r>
        <w:rPr>
          <w:color w:val="231F20"/>
        </w:rPr>
        <w:t xml:space="preserve">care about an increase or a decline in the number of accidental deaths. 12,000 commit suicide every year, because they </w:t>
      </w:r>
      <w:r>
        <w:rPr>
          <w:color w:val="231F20"/>
          <w:spacing w:val="-3"/>
        </w:rPr>
        <w:t xml:space="preserve">don’t </w:t>
      </w:r>
      <w:r>
        <w:rPr>
          <w:color w:val="231F20"/>
        </w:rPr>
        <w:t xml:space="preserve">want to die in the service of capital; </w:t>
      </w:r>
      <w:r>
        <w:rPr>
          <w:color w:val="231F20"/>
          <w:spacing w:val="-3"/>
        </w:rPr>
        <w:t xml:space="preserve">they’d </w:t>
      </w:r>
      <w:r>
        <w:rPr>
          <w:color w:val="231F20"/>
        </w:rPr>
        <w:t xml:space="preserve">rather just get it over with themselves. </w:t>
      </w:r>
      <w:r>
        <w:rPr>
          <w:color w:val="231F20"/>
          <w:spacing w:val="1"/>
        </w:rPr>
        <w:t xml:space="preserve">1,000 </w:t>
      </w:r>
      <w:r>
        <w:rPr>
          <w:color w:val="231F20"/>
        </w:rPr>
        <w:t>children are murdered every year, as a result of living in low quality housing, the only purpose of which is to allow the landlord to pocket      a large</w:t>
      </w:r>
      <w:r>
        <w:rPr>
          <w:color w:val="231F20"/>
          <w:spacing w:val="21"/>
        </w:rPr>
        <w:t xml:space="preserve"> </w:t>
      </w:r>
      <w:r>
        <w:rPr>
          <w:color w:val="231F20"/>
        </w:rPr>
        <w:t>sum.</w:t>
      </w:r>
    </w:p>
    <w:p w14:paraId="6F3E46AC" w14:textId="77777777" w:rsidR="002653E8" w:rsidRDefault="003115E3">
      <w:pPr>
        <w:pStyle w:val="a3"/>
        <w:spacing w:line="264" w:lineRule="auto"/>
        <w:ind w:left="1327" w:right="1145" w:firstLine="210"/>
        <w:jc w:val="both"/>
      </w:pPr>
      <w:r>
        <w:rPr>
          <w:color w:val="231F20"/>
        </w:rPr>
        <w:t xml:space="preserve">People treat death in the service of the exploiter as normal. The refusal to die in the service of the exploiter leads to what people think of as “unnatural deaths.” The desperate actions of people, coping with the working and living conditions that capital has created, are perceived as crimes. People feel there’s nothing to be done about the situation. </w:t>
      </w:r>
      <w:r>
        <w:rPr>
          <w:color w:val="231F20"/>
          <w:spacing w:val="-8"/>
        </w:rPr>
        <w:t xml:space="preserve">To </w:t>
      </w:r>
      <w:r>
        <w:rPr>
          <w:color w:val="231F20"/>
        </w:rPr>
        <w:t xml:space="preserve">ensure that the incorrect perspective of the people is not replaced with a correct perspective, the Federal Minister of the Interior, the </w:t>
      </w:r>
      <w:r>
        <w:rPr>
          <w:i/>
          <w:color w:val="231F20"/>
          <w:spacing w:val="2"/>
        </w:rPr>
        <w:t xml:space="preserve">Länder </w:t>
      </w:r>
      <w:r>
        <w:rPr>
          <w:color w:val="231F20"/>
        </w:rPr>
        <w:t xml:space="preserve">Ministers of the Interior and the </w:t>
      </w:r>
      <w:r>
        <w:rPr>
          <w:color w:val="231F20"/>
          <w:spacing w:val="-6"/>
        </w:rPr>
        <w:t xml:space="preserve">BAW </w:t>
      </w:r>
      <w:r>
        <w:rPr>
          <w:color w:val="231F20"/>
        </w:rPr>
        <w:t>have set up police death squads. Without this incorrect perspective about crime and death, the ruling class could not maintain its</w:t>
      </w:r>
      <w:r>
        <w:rPr>
          <w:color w:val="231F20"/>
          <w:spacing w:val="11"/>
        </w:rPr>
        <w:t xml:space="preserve"> </w:t>
      </w:r>
      <w:r>
        <w:rPr>
          <w:color w:val="231F20"/>
        </w:rPr>
        <w:t>rule.</w:t>
      </w:r>
    </w:p>
    <w:p w14:paraId="432A3177" w14:textId="77777777" w:rsidR="002653E8" w:rsidRDefault="003115E3">
      <w:pPr>
        <w:pStyle w:val="a3"/>
        <w:spacing w:line="264" w:lineRule="auto"/>
        <w:ind w:left="1327" w:right="1146" w:firstLine="210"/>
        <w:jc w:val="both"/>
      </w:pPr>
      <w:r>
        <w:rPr>
          <w:color w:val="231F20"/>
        </w:rPr>
        <w:t>Petra, Georg, and Thomas died in the struggle against death at the hands of the exploiters. They were murdered so that capital could continue killing undisturbed, and so that people would continue to think that</w:t>
      </w:r>
      <w:r>
        <w:rPr>
          <w:color w:val="231F20"/>
          <w:spacing w:val="-5"/>
        </w:rPr>
        <w:t xml:space="preserve"> </w:t>
      </w:r>
      <w:r>
        <w:rPr>
          <w:color w:val="231F20"/>
        </w:rPr>
        <w:t>nothing</w:t>
      </w:r>
      <w:r>
        <w:rPr>
          <w:color w:val="231F20"/>
          <w:spacing w:val="-5"/>
        </w:rPr>
        <w:t xml:space="preserve"> </w:t>
      </w:r>
      <w:r>
        <w:rPr>
          <w:color w:val="231F20"/>
        </w:rPr>
        <w:t>can</w:t>
      </w:r>
      <w:r>
        <w:rPr>
          <w:color w:val="231F20"/>
          <w:spacing w:val="-5"/>
        </w:rPr>
        <w:t xml:space="preserve"> </w:t>
      </w:r>
      <w:r>
        <w:rPr>
          <w:color w:val="231F20"/>
        </w:rPr>
        <w:t>be</w:t>
      </w:r>
      <w:r>
        <w:rPr>
          <w:color w:val="231F20"/>
          <w:spacing w:val="-5"/>
        </w:rPr>
        <w:t xml:space="preserve"> </w:t>
      </w:r>
      <w:r>
        <w:rPr>
          <w:color w:val="231F20"/>
        </w:rPr>
        <w:t>done</w:t>
      </w:r>
      <w:r>
        <w:rPr>
          <w:color w:val="231F20"/>
          <w:spacing w:val="-5"/>
        </w:rPr>
        <w:t xml:space="preserve"> </w:t>
      </w:r>
      <w:r>
        <w:rPr>
          <w:color w:val="231F20"/>
        </w:rPr>
        <w:t>about</w:t>
      </w:r>
      <w:r>
        <w:rPr>
          <w:color w:val="231F20"/>
          <w:spacing w:val="-5"/>
        </w:rPr>
        <w:t xml:space="preserve"> </w:t>
      </w:r>
      <w:r>
        <w:rPr>
          <w:color w:val="231F20"/>
        </w:rPr>
        <w:t>the</w:t>
      </w:r>
      <w:r>
        <w:rPr>
          <w:color w:val="231F20"/>
          <w:spacing w:val="-5"/>
        </w:rPr>
        <w:t xml:space="preserve"> </w:t>
      </w:r>
      <w:r>
        <w:rPr>
          <w:color w:val="231F20"/>
        </w:rPr>
        <w:t>situation.</w:t>
      </w:r>
      <w:r>
        <w:rPr>
          <w:color w:val="231F20"/>
          <w:spacing w:val="-5"/>
        </w:rPr>
        <w:t xml:space="preserve"> </w:t>
      </w:r>
      <w:r>
        <w:rPr>
          <w:color w:val="231F20"/>
        </w:rPr>
        <w:t>But</w:t>
      </w:r>
      <w:r>
        <w:rPr>
          <w:color w:val="231F20"/>
          <w:spacing w:val="-5"/>
        </w:rPr>
        <w:t xml:space="preserve"> </w:t>
      </w:r>
      <w:r>
        <w:rPr>
          <w:color w:val="231F20"/>
        </w:rPr>
        <w:t>the</w:t>
      </w:r>
      <w:r>
        <w:rPr>
          <w:color w:val="231F20"/>
          <w:spacing w:val="-5"/>
        </w:rPr>
        <w:t xml:space="preserve"> </w:t>
      </w:r>
      <w:r>
        <w:rPr>
          <w:color w:val="231F20"/>
        </w:rPr>
        <w:t>struggle</w:t>
      </w:r>
      <w:r>
        <w:rPr>
          <w:color w:val="231F20"/>
          <w:spacing w:val="-5"/>
        </w:rPr>
        <w:t xml:space="preserve"> </w:t>
      </w:r>
      <w:r>
        <w:rPr>
          <w:color w:val="231F20"/>
        </w:rPr>
        <w:t>has</w:t>
      </w:r>
      <w:r>
        <w:rPr>
          <w:color w:val="231F20"/>
          <w:spacing w:val="-5"/>
        </w:rPr>
        <w:t xml:space="preserve"> </w:t>
      </w:r>
      <w:r>
        <w:rPr>
          <w:color w:val="231F20"/>
        </w:rPr>
        <w:t>begun!</w:t>
      </w:r>
    </w:p>
    <w:p w14:paraId="44B87B2C" w14:textId="77777777" w:rsidR="002653E8" w:rsidRDefault="00000000">
      <w:pPr>
        <w:pStyle w:val="a3"/>
        <w:spacing w:before="6"/>
        <w:rPr>
          <w:sz w:val="18"/>
        </w:rPr>
      </w:pPr>
      <w:r>
        <w:rPr>
          <w:noProof w:val="0"/>
        </w:rPr>
        <w:pict w14:anchorId="392DAF88">
          <v:group id="_x0000_s2574" style="position:absolute;margin-left:118.9pt;margin-top:12.85pt;width:203.25pt;height:148.45pt;z-index:4096;mso-wrap-distance-left:0;mso-wrap-distance-right:0;mso-position-horizontal-relative:page" coordorigin="2378,257" coordsize="4065,2969">
            <v:shape id="_x0000_s2577" type="#_x0000_t75" style="position:absolute;left:2387;top:266;width:4035;height:2767">
              <v:imagedata r:id="rId115" o:title=""/>
            </v:shape>
            <v:rect id="_x0000_s2576" style="position:absolute;left:2387;top:266;width:4045;height:2949" filled="f" strokecolor="#231f20" strokeweight="1pt"/>
            <v:shape id="_x0000_s2575" type="#_x0000_t75" style="position:absolute;left:2525;top:1348;width:3778;height:1140">
              <v:imagedata r:id="rId116" o:title=""/>
            </v:shape>
            <w10:wrap type="topAndBottom" anchorx="page"/>
          </v:group>
        </w:pict>
      </w:r>
    </w:p>
    <w:p w14:paraId="745A11C3" w14:textId="77777777" w:rsidR="002653E8" w:rsidRDefault="003115E3">
      <w:pPr>
        <w:spacing w:before="36" w:line="244" w:lineRule="auto"/>
        <w:ind w:left="1950" w:right="1325" w:hanging="504"/>
        <w:rPr>
          <w:i/>
          <w:sz w:val="18"/>
        </w:rPr>
      </w:pPr>
      <w:r>
        <w:rPr>
          <w:i/>
          <w:color w:val="231F20"/>
          <w:w w:val="105"/>
          <w:sz w:val="18"/>
        </w:rPr>
        <w:t>“Murdered—The Struggle Continues”: poster protesting the police killings of Petra Schelm, Thomas Weissbecker, and Georg von Rauch.</w:t>
      </w:r>
    </w:p>
    <w:p w14:paraId="3E684A52" w14:textId="77777777" w:rsidR="002653E8" w:rsidRDefault="002653E8">
      <w:pPr>
        <w:spacing w:line="244" w:lineRule="auto"/>
        <w:rPr>
          <w:sz w:val="18"/>
        </w:rPr>
        <w:sectPr w:rsidR="002653E8">
          <w:pgSz w:w="8640" w:h="12960"/>
          <w:pgMar w:top="1060" w:right="0" w:bottom="1040" w:left="0" w:header="0" w:footer="850" w:gutter="0"/>
          <w:cols w:space="720"/>
        </w:sectPr>
      </w:pPr>
    </w:p>
    <w:p w14:paraId="41F7F598" w14:textId="77777777" w:rsidR="002653E8" w:rsidRDefault="003115E3">
      <w:pPr>
        <w:numPr>
          <w:ilvl w:val="0"/>
          <w:numId w:val="152"/>
        </w:numPr>
        <w:tabs>
          <w:tab w:val="left" w:pos="1471"/>
        </w:tabs>
        <w:spacing w:before="87" w:line="257" w:lineRule="exact"/>
      </w:pPr>
      <w:r>
        <w:rPr>
          <w:color w:val="231F20"/>
          <w:spacing w:val="18"/>
          <w:w w:val="115"/>
        </w:rPr>
        <w:lastRenderedPageBreak/>
        <w:t xml:space="preserve">persia </w:t>
      </w:r>
      <w:r>
        <w:rPr>
          <w:color w:val="231F20"/>
          <w:spacing w:val="17"/>
          <w:w w:val="115"/>
        </w:rPr>
        <w:t>and</w:t>
      </w:r>
      <w:r>
        <w:rPr>
          <w:color w:val="231F20"/>
          <w:spacing w:val="40"/>
          <w:w w:val="115"/>
        </w:rPr>
        <w:t xml:space="preserve"> </w:t>
      </w:r>
      <w:r>
        <w:rPr>
          <w:color w:val="231F20"/>
          <w:spacing w:val="16"/>
          <w:w w:val="115"/>
        </w:rPr>
        <w:t>the</w:t>
      </w:r>
    </w:p>
    <w:p w14:paraId="60959ED6" w14:textId="77777777" w:rsidR="002653E8" w:rsidRDefault="003115E3">
      <w:pPr>
        <w:spacing w:line="257" w:lineRule="exact"/>
        <w:ind w:left="1147"/>
      </w:pPr>
      <w:r>
        <w:rPr>
          <w:color w:val="231F20"/>
          <w:spacing w:val="20"/>
          <w:w w:val="125"/>
        </w:rPr>
        <w:t xml:space="preserve">contradiction </w:t>
      </w:r>
      <w:r>
        <w:rPr>
          <w:color w:val="231F20"/>
          <w:w w:val="125"/>
        </w:rPr>
        <w:t xml:space="preserve">w </w:t>
      </w:r>
      <w:r>
        <w:rPr>
          <w:color w:val="231F20"/>
          <w:spacing w:val="20"/>
          <w:w w:val="125"/>
        </w:rPr>
        <w:t xml:space="preserve">ithin </w:t>
      </w:r>
      <w:r>
        <w:rPr>
          <w:color w:val="231F20"/>
          <w:spacing w:val="16"/>
          <w:w w:val="125"/>
        </w:rPr>
        <w:t>the new</w:t>
      </w:r>
      <w:r>
        <w:rPr>
          <w:color w:val="231F20"/>
          <w:spacing w:val="71"/>
          <w:w w:val="125"/>
        </w:rPr>
        <w:t xml:space="preserve"> </w:t>
      </w:r>
      <w:r>
        <w:rPr>
          <w:color w:val="231F20"/>
          <w:spacing w:val="18"/>
          <w:w w:val="125"/>
        </w:rPr>
        <w:t>left</w:t>
      </w:r>
    </w:p>
    <w:p w14:paraId="66FB50AE" w14:textId="77777777" w:rsidR="002653E8" w:rsidRDefault="003115E3">
      <w:pPr>
        <w:pStyle w:val="a3"/>
        <w:spacing w:before="19" w:line="264" w:lineRule="auto"/>
        <w:ind w:left="1147" w:right="1325"/>
        <w:jc w:val="both"/>
      </w:pPr>
      <w:r>
        <w:rPr>
          <w:color w:val="231F20"/>
        </w:rPr>
        <w:t xml:space="preserve">Brandt has flown to Tehran to visit the Shah and calm his remaining distress about the greeting he received from </w:t>
      </w:r>
      <w:r>
        <w:rPr>
          <w:color w:val="231F20"/>
          <w:spacing w:val="-3"/>
        </w:rPr>
        <w:t xml:space="preserve">West </w:t>
      </w:r>
      <w:r>
        <w:rPr>
          <w:color w:val="231F20"/>
        </w:rPr>
        <w:t xml:space="preserve">German and </w:t>
      </w:r>
      <w:r>
        <w:rPr>
          <w:color w:val="231F20"/>
          <w:spacing w:val="-3"/>
        </w:rPr>
        <w:t xml:space="preserve">West </w:t>
      </w:r>
      <w:r>
        <w:rPr>
          <w:color w:val="231F20"/>
        </w:rPr>
        <w:t xml:space="preserve">Berlin students during the summer of 67; to inform him that the left      in the Federal Republic and in </w:t>
      </w:r>
      <w:r>
        <w:rPr>
          <w:color w:val="231F20"/>
          <w:spacing w:val="-3"/>
        </w:rPr>
        <w:t xml:space="preserve">West </w:t>
      </w:r>
      <w:r>
        <w:rPr>
          <w:color w:val="231F20"/>
        </w:rPr>
        <w:t>Berlin is dead, that what remains will soon be liquidated, that the Confederation of Iranian Students</w:t>
      </w:r>
      <w:r>
        <w:rPr>
          <w:color w:val="231F20"/>
          <w:position w:val="7"/>
          <w:sz w:val="11"/>
        </w:rPr>
        <w:t xml:space="preserve">1 </w:t>
      </w:r>
      <w:r>
        <w:rPr>
          <w:color w:val="231F20"/>
        </w:rPr>
        <w:t>is effectively isolated, and about the Foreigners Act that is in the works and</w:t>
      </w:r>
      <w:r>
        <w:rPr>
          <w:color w:val="231F20"/>
          <w:spacing w:val="11"/>
        </w:rPr>
        <w:t xml:space="preserve"> </w:t>
      </w:r>
      <w:r>
        <w:rPr>
          <w:color w:val="231F20"/>
        </w:rPr>
        <w:t>that</w:t>
      </w:r>
      <w:r>
        <w:rPr>
          <w:color w:val="231F20"/>
          <w:spacing w:val="11"/>
        </w:rPr>
        <w:t xml:space="preserve"> </w:t>
      </w:r>
      <w:r>
        <w:rPr>
          <w:color w:val="231F20"/>
        </w:rPr>
        <w:t>will</w:t>
      </w:r>
      <w:r>
        <w:rPr>
          <w:color w:val="231F20"/>
          <w:spacing w:val="11"/>
        </w:rPr>
        <w:t xml:space="preserve"> </w:t>
      </w:r>
      <w:r>
        <w:rPr>
          <w:color w:val="231F20"/>
        </w:rPr>
        <w:t>allow</w:t>
      </w:r>
      <w:r>
        <w:rPr>
          <w:color w:val="231F20"/>
          <w:spacing w:val="11"/>
        </w:rPr>
        <w:t xml:space="preserve"> </w:t>
      </w:r>
      <w:r>
        <w:rPr>
          <w:color w:val="231F20"/>
        </w:rPr>
        <w:t>for</w:t>
      </w:r>
      <w:r>
        <w:rPr>
          <w:color w:val="231F20"/>
          <w:spacing w:val="11"/>
        </w:rPr>
        <w:t xml:space="preserve"> </w:t>
      </w:r>
      <w:r>
        <w:rPr>
          <w:color w:val="231F20"/>
        </w:rPr>
        <w:t>their</w:t>
      </w:r>
      <w:r>
        <w:rPr>
          <w:color w:val="231F20"/>
          <w:spacing w:val="11"/>
        </w:rPr>
        <w:t xml:space="preserve"> </w:t>
      </w:r>
      <w:r>
        <w:rPr>
          <w:color w:val="231F20"/>
        </w:rPr>
        <w:t>legal</w:t>
      </w:r>
      <w:r>
        <w:rPr>
          <w:color w:val="231F20"/>
          <w:spacing w:val="11"/>
        </w:rPr>
        <w:t xml:space="preserve"> </w:t>
      </w:r>
      <w:r>
        <w:rPr>
          <w:color w:val="231F20"/>
        </w:rPr>
        <w:t>liquidation.</w:t>
      </w:r>
    </w:p>
    <w:p w14:paraId="5253145A" w14:textId="77777777" w:rsidR="002653E8" w:rsidRDefault="003115E3">
      <w:pPr>
        <w:pStyle w:val="a3"/>
        <w:spacing w:line="264" w:lineRule="auto"/>
        <w:ind w:left="1147" w:right="1326" w:firstLine="210"/>
        <w:jc w:val="both"/>
      </w:pPr>
      <w:r>
        <w:rPr>
          <w:color w:val="231F20"/>
        </w:rPr>
        <w:t>In this way Brandt has revealed the true nature of his foreign and domestic policies; they are the foreign and domestic policies of the corporations meant to control foreign and external markets and to determine who holds political power</w:t>
      </w:r>
    </w:p>
    <w:p w14:paraId="5840A52C" w14:textId="77777777" w:rsidR="002653E8" w:rsidRDefault="003115E3">
      <w:pPr>
        <w:pStyle w:val="a3"/>
        <w:spacing w:line="264" w:lineRule="auto"/>
        <w:ind w:left="1147" w:right="1325" w:firstLine="210"/>
        <w:jc w:val="both"/>
      </w:pPr>
      <w:r>
        <w:rPr>
          <w:color w:val="231F20"/>
          <w:spacing w:val="1"/>
          <w:w w:val="105"/>
        </w:rPr>
        <w:t xml:space="preserve">In </w:t>
      </w:r>
      <w:r>
        <w:rPr>
          <w:color w:val="231F20"/>
          <w:w w:val="105"/>
        </w:rPr>
        <w:t xml:space="preserve">Tehran Brandt said, “The foreign policy of the Federal Republic must be based on its own interests and must remain free of ideological </w:t>
      </w:r>
      <w:r>
        <w:rPr>
          <w:color w:val="231F20"/>
          <w:spacing w:val="-3"/>
          <w:w w:val="105"/>
        </w:rPr>
        <w:t xml:space="preserve">bias.” </w:t>
      </w:r>
      <w:r>
        <w:rPr>
          <w:color w:val="231F20"/>
          <w:w w:val="105"/>
        </w:rPr>
        <w:t xml:space="preserve">The interests of the Federal Republic in Persia are the interests of the German enclave in Tehran, which is to say Siemens, </w:t>
      </w:r>
      <w:r>
        <w:rPr>
          <w:color w:val="231F20"/>
          <w:spacing w:val="3"/>
          <w:w w:val="105"/>
        </w:rPr>
        <w:t>AEG</w:t>
      </w:r>
      <w:r>
        <w:rPr>
          <w:color w:val="231F20"/>
          <w:w w:val="105"/>
        </w:rPr>
        <w:t>Telefunken, Bayer, BASF, Hoechst, Daimler-Benz, Deutsche Bank, Mannesmann, Hochtief, Klöckner-Humboldt-Deutz, Merck, Schering, Robert</w:t>
      </w:r>
      <w:r>
        <w:rPr>
          <w:color w:val="231F20"/>
          <w:spacing w:val="-19"/>
          <w:w w:val="105"/>
        </w:rPr>
        <w:t xml:space="preserve"> </w:t>
      </w:r>
      <w:r>
        <w:rPr>
          <w:color w:val="231F20"/>
          <w:w w:val="105"/>
        </w:rPr>
        <w:t>Bosch,</w:t>
      </w:r>
      <w:r>
        <w:rPr>
          <w:color w:val="231F20"/>
          <w:spacing w:val="-19"/>
          <w:w w:val="105"/>
        </w:rPr>
        <w:t xml:space="preserve"> </w:t>
      </w:r>
      <w:r>
        <w:rPr>
          <w:color w:val="231F20"/>
          <w:w w:val="105"/>
        </w:rPr>
        <w:t>the</w:t>
      </w:r>
      <w:r>
        <w:rPr>
          <w:color w:val="231F20"/>
          <w:spacing w:val="-19"/>
          <w:w w:val="105"/>
        </w:rPr>
        <w:t xml:space="preserve"> </w:t>
      </w:r>
      <w:r>
        <w:rPr>
          <w:color w:val="231F20"/>
          <w:w w:val="105"/>
        </w:rPr>
        <w:t>Bayerische</w:t>
      </w:r>
      <w:r>
        <w:rPr>
          <w:color w:val="231F20"/>
          <w:spacing w:val="-19"/>
          <w:w w:val="105"/>
        </w:rPr>
        <w:t xml:space="preserve"> </w:t>
      </w:r>
      <w:r>
        <w:rPr>
          <w:color w:val="231F20"/>
          <w:w w:val="105"/>
        </w:rPr>
        <w:t>Vereinsbank,</w:t>
      </w:r>
      <w:r>
        <w:rPr>
          <w:color w:val="231F20"/>
          <w:spacing w:val="-19"/>
          <w:w w:val="105"/>
        </w:rPr>
        <w:t xml:space="preserve"> </w:t>
      </w:r>
      <w:r>
        <w:rPr>
          <w:color w:val="231F20"/>
          <w:w w:val="105"/>
        </w:rPr>
        <w:t>Thyssen,</w:t>
      </w:r>
      <w:r>
        <w:rPr>
          <w:color w:val="231F20"/>
          <w:spacing w:val="-19"/>
          <w:w w:val="105"/>
        </w:rPr>
        <w:t xml:space="preserve"> </w:t>
      </w:r>
      <w:r>
        <w:rPr>
          <w:color w:val="231F20"/>
          <w:w w:val="105"/>
        </w:rPr>
        <w:t>Degussa,</w:t>
      </w:r>
      <w:r>
        <w:rPr>
          <w:color w:val="231F20"/>
          <w:spacing w:val="-19"/>
          <w:w w:val="105"/>
        </w:rPr>
        <w:t xml:space="preserve"> </w:t>
      </w:r>
      <w:r>
        <w:rPr>
          <w:color w:val="231F20"/>
          <w:w w:val="105"/>
        </w:rPr>
        <w:t>and</w:t>
      </w:r>
      <w:r>
        <w:rPr>
          <w:color w:val="231F20"/>
          <w:spacing w:val="-19"/>
          <w:w w:val="105"/>
        </w:rPr>
        <w:t xml:space="preserve"> </w:t>
      </w:r>
      <w:r>
        <w:rPr>
          <w:color w:val="231F20"/>
          <w:w w:val="105"/>
        </w:rPr>
        <w:t xml:space="preserve">others. They are the ones that had the greetings to the Chancellor published in </w:t>
      </w:r>
      <w:r>
        <w:rPr>
          <w:color w:val="231F20"/>
          <w:spacing w:val="-4"/>
          <w:w w:val="105"/>
        </w:rPr>
        <w:t>Tehran’s</w:t>
      </w:r>
      <w:r>
        <w:rPr>
          <w:color w:val="231F20"/>
          <w:spacing w:val="20"/>
          <w:w w:val="105"/>
        </w:rPr>
        <w:t xml:space="preserve"> </w:t>
      </w:r>
      <w:r>
        <w:rPr>
          <w:color w:val="231F20"/>
          <w:w w:val="105"/>
        </w:rPr>
        <w:t>newspapers.</w:t>
      </w:r>
    </w:p>
    <w:p w14:paraId="430D7914" w14:textId="77777777" w:rsidR="002653E8" w:rsidRDefault="003115E3">
      <w:pPr>
        <w:pStyle w:val="a3"/>
        <w:spacing w:line="264" w:lineRule="auto"/>
        <w:ind w:left="1147" w:right="1326" w:firstLine="210"/>
        <w:jc w:val="both"/>
      </w:pPr>
      <w:r>
        <w:rPr>
          <w:color w:val="231F20"/>
        </w:rPr>
        <w:t>The Shah also contributed a statement to the daily press celebrating the Chancellor as a Nobel Peace Prize laureate, because the Shah also has no ideological biases; concerning cheap labor in Iran, concerning stable political conditions in Iran, not to mention raw materials and certain nearby</w:t>
      </w:r>
      <w:r>
        <w:rPr>
          <w:color w:val="231F20"/>
          <w:spacing w:val="21"/>
        </w:rPr>
        <w:t xml:space="preserve"> </w:t>
      </w:r>
      <w:r>
        <w:rPr>
          <w:color w:val="231F20"/>
        </w:rPr>
        <w:t>markets.</w:t>
      </w:r>
    </w:p>
    <w:p w14:paraId="76EAC3E9" w14:textId="77777777" w:rsidR="002653E8" w:rsidRDefault="00000000">
      <w:pPr>
        <w:pStyle w:val="a3"/>
        <w:spacing w:line="264" w:lineRule="auto"/>
        <w:ind w:left="1147" w:right="1327" w:firstLine="210"/>
        <w:jc w:val="both"/>
      </w:pPr>
      <w:r>
        <w:rPr>
          <w:noProof w:val="0"/>
        </w:rPr>
        <w:pict w14:anchorId="28B3CDDF">
          <v:line id="_x0000_s2573" style="position:absolute;left:0;text-align:left;z-index:4120;mso-wrap-distance-left:0;mso-wrap-distance-right:0;mso-position-horizontal-relative:page" from="57.4pt,110.75pt" to="129.4pt,110.75pt" strokecolor="#231f20" strokeweight=".5pt">
            <w10:wrap type="topAndBottom" anchorx="page"/>
          </v:line>
        </w:pict>
      </w:r>
      <w:r w:rsidR="003115E3">
        <w:rPr>
          <w:color w:val="231F20"/>
        </w:rPr>
        <w:t xml:space="preserve">Under “ideological biases,” the Chancellor and  the  Shah  subsume  the interests of the German and Persian peoples regarding the relationship between their two countries. Three days before Brandt’s arrival, four comrades were murdered in Tehran and Thomas Weissbecker was murdered in Augsburg. A week after Brandt’s return, nine death penalties were carried out against comrades in Tehran. Meanwhile, Attorney General </w:t>
      </w:r>
      <w:r w:rsidR="003115E3">
        <w:rPr>
          <w:color w:val="231F20"/>
          <w:spacing w:val="1"/>
        </w:rPr>
        <w:t>Martin</w:t>
      </w:r>
      <w:r w:rsidR="003115E3">
        <w:rPr>
          <w:color w:val="231F20"/>
          <w:spacing w:val="1"/>
          <w:position w:val="7"/>
          <w:sz w:val="11"/>
        </w:rPr>
        <w:t xml:space="preserve">2 </w:t>
      </w:r>
      <w:r w:rsidR="003115E3">
        <w:rPr>
          <w:color w:val="231F20"/>
        </w:rPr>
        <w:t>praised the police officers for so impressively proving their</w:t>
      </w:r>
      <w:r w:rsidR="003115E3">
        <w:rPr>
          <w:color w:val="231F20"/>
          <w:spacing w:val="12"/>
        </w:rPr>
        <w:t xml:space="preserve"> </w:t>
      </w:r>
      <w:r w:rsidR="003115E3">
        <w:rPr>
          <w:color w:val="231F20"/>
        </w:rPr>
        <w:t>worth</w:t>
      </w:r>
      <w:r w:rsidR="003115E3">
        <w:rPr>
          <w:color w:val="231F20"/>
          <w:spacing w:val="12"/>
        </w:rPr>
        <w:t xml:space="preserve"> </w:t>
      </w:r>
      <w:r w:rsidR="003115E3">
        <w:rPr>
          <w:color w:val="231F20"/>
        </w:rPr>
        <w:t>in</w:t>
      </w:r>
      <w:r w:rsidR="003115E3">
        <w:rPr>
          <w:color w:val="231F20"/>
          <w:spacing w:val="12"/>
        </w:rPr>
        <w:t xml:space="preserve"> </w:t>
      </w:r>
      <w:r w:rsidR="003115E3">
        <w:rPr>
          <w:color w:val="231F20"/>
        </w:rPr>
        <w:t>the</w:t>
      </w:r>
      <w:r w:rsidR="003115E3">
        <w:rPr>
          <w:color w:val="231F20"/>
          <w:spacing w:val="12"/>
        </w:rPr>
        <w:t xml:space="preserve"> </w:t>
      </w:r>
      <w:r w:rsidR="003115E3">
        <w:rPr>
          <w:color w:val="231F20"/>
        </w:rPr>
        <w:t>manhunts</w:t>
      </w:r>
      <w:r w:rsidR="003115E3">
        <w:rPr>
          <w:color w:val="231F20"/>
          <w:spacing w:val="12"/>
        </w:rPr>
        <w:t xml:space="preserve"> </w:t>
      </w:r>
      <w:r w:rsidR="003115E3">
        <w:rPr>
          <w:color w:val="231F20"/>
        </w:rPr>
        <w:t>in</w:t>
      </w:r>
      <w:r w:rsidR="003115E3">
        <w:rPr>
          <w:color w:val="231F20"/>
          <w:spacing w:val="12"/>
        </w:rPr>
        <w:t xml:space="preserve"> </w:t>
      </w:r>
      <w:r w:rsidR="003115E3">
        <w:rPr>
          <w:color w:val="231F20"/>
        </w:rPr>
        <w:t>Augsburg</w:t>
      </w:r>
      <w:r w:rsidR="003115E3">
        <w:rPr>
          <w:color w:val="231F20"/>
          <w:spacing w:val="12"/>
        </w:rPr>
        <w:t xml:space="preserve"> </w:t>
      </w:r>
      <w:r w:rsidR="003115E3">
        <w:rPr>
          <w:color w:val="231F20"/>
        </w:rPr>
        <w:t>and</w:t>
      </w:r>
      <w:r w:rsidR="003115E3">
        <w:rPr>
          <w:color w:val="231F20"/>
          <w:spacing w:val="12"/>
        </w:rPr>
        <w:t xml:space="preserve"> </w:t>
      </w:r>
      <w:r w:rsidR="003115E3">
        <w:rPr>
          <w:color w:val="231F20"/>
        </w:rPr>
        <w:t>Hamburg.</w:t>
      </w:r>
    </w:p>
    <w:p w14:paraId="276AC512" w14:textId="77777777" w:rsidR="002653E8" w:rsidRDefault="003115E3">
      <w:pPr>
        <w:pStyle w:val="a4"/>
        <w:numPr>
          <w:ilvl w:val="0"/>
          <w:numId w:val="151"/>
        </w:numPr>
        <w:tabs>
          <w:tab w:val="left" w:pos="1287"/>
        </w:tabs>
        <w:spacing w:before="53" w:line="254" w:lineRule="auto"/>
        <w:ind w:right="1367" w:firstLine="0"/>
        <w:jc w:val="left"/>
        <w:rPr>
          <w:sz w:val="16"/>
        </w:rPr>
      </w:pPr>
      <w:r>
        <w:rPr>
          <w:color w:val="231F20"/>
          <w:w w:val="105"/>
          <w:sz w:val="16"/>
        </w:rPr>
        <w:t xml:space="preserve">The Confederation of </w:t>
      </w:r>
      <w:r>
        <w:rPr>
          <w:color w:val="231F20"/>
          <w:spacing w:val="1"/>
          <w:w w:val="105"/>
          <w:sz w:val="16"/>
        </w:rPr>
        <w:t xml:space="preserve">Iranian </w:t>
      </w:r>
      <w:r>
        <w:rPr>
          <w:color w:val="231F20"/>
          <w:w w:val="105"/>
          <w:sz w:val="16"/>
        </w:rPr>
        <w:t>Students (CIS) was a Maoist student organization based in the refugee communities and active on university campuses throughout the western</w:t>
      </w:r>
      <w:r>
        <w:rPr>
          <w:color w:val="231F20"/>
          <w:spacing w:val="7"/>
          <w:w w:val="105"/>
          <w:sz w:val="16"/>
        </w:rPr>
        <w:t xml:space="preserve"> </w:t>
      </w:r>
      <w:r>
        <w:rPr>
          <w:color w:val="231F20"/>
          <w:w w:val="105"/>
          <w:sz w:val="16"/>
        </w:rPr>
        <w:t>world.</w:t>
      </w:r>
    </w:p>
    <w:p w14:paraId="46170E18" w14:textId="77777777" w:rsidR="002653E8" w:rsidRDefault="003115E3">
      <w:pPr>
        <w:pStyle w:val="a4"/>
        <w:numPr>
          <w:ilvl w:val="0"/>
          <w:numId w:val="151"/>
        </w:numPr>
        <w:tabs>
          <w:tab w:val="left" w:pos="1287"/>
        </w:tabs>
        <w:spacing w:line="254" w:lineRule="auto"/>
        <w:ind w:left="1148" w:right="1345" w:hanging="1"/>
        <w:jc w:val="left"/>
        <w:rPr>
          <w:sz w:val="16"/>
        </w:rPr>
      </w:pPr>
      <w:r>
        <w:rPr>
          <w:color w:val="231F20"/>
          <w:w w:val="105"/>
          <w:sz w:val="16"/>
        </w:rPr>
        <w:t xml:space="preserve">Ludwig </w:t>
      </w:r>
      <w:r>
        <w:rPr>
          <w:color w:val="231F20"/>
          <w:spacing w:val="1"/>
          <w:w w:val="105"/>
          <w:sz w:val="16"/>
        </w:rPr>
        <w:t xml:space="preserve">Martin, </w:t>
      </w:r>
      <w:r>
        <w:rPr>
          <w:color w:val="231F20"/>
          <w:w w:val="105"/>
          <w:sz w:val="16"/>
        </w:rPr>
        <w:t xml:space="preserve">Attorney General from </w:t>
      </w:r>
      <w:r>
        <w:rPr>
          <w:color w:val="231F20"/>
          <w:spacing w:val="-3"/>
          <w:w w:val="105"/>
          <w:sz w:val="16"/>
        </w:rPr>
        <w:t xml:space="preserve">1963 </w:t>
      </w:r>
      <w:r>
        <w:rPr>
          <w:color w:val="231F20"/>
          <w:w w:val="105"/>
          <w:sz w:val="16"/>
        </w:rPr>
        <w:t xml:space="preserve">until </w:t>
      </w:r>
      <w:r>
        <w:rPr>
          <w:color w:val="231F20"/>
          <w:spacing w:val="-4"/>
          <w:w w:val="105"/>
          <w:sz w:val="16"/>
        </w:rPr>
        <w:t xml:space="preserve">1974, </w:t>
      </w:r>
      <w:r>
        <w:rPr>
          <w:color w:val="231F20"/>
          <w:w w:val="105"/>
          <w:sz w:val="16"/>
        </w:rPr>
        <w:t>when he was replaced by Siegfried</w:t>
      </w:r>
      <w:r>
        <w:rPr>
          <w:color w:val="231F20"/>
          <w:spacing w:val="7"/>
          <w:w w:val="105"/>
          <w:sz w:val="16"/>
        </w:rPr>
        <w:t xml:space="preserve"> </w:t>
      </w:r>
      <w:r>
        <w:rPr>
          <w:color w:val="231F20"/>
          <w:w w:val="105"/>
          <w:sz w:val="16"/>
        </w:rPr>
        <w:t>Buback.</w:t>
      </w:r>
    </w:p>
    <w:p w14:paraId="7D847E4A" w14:textId="77777777" w:rsidR="002653E8" w:rsidRDefault="002653E8">
      <w:pPr>
        <w:spacing w:line="254" w:lineRule="auto"/>
        <w:rPr>
          <w:sz w:val="16"/>
        </w:rPr>
        <w:sectPr w:rsidR="002653E8">
          <w:pgSz w:w="8640" w:h="12960"/>
          <w:pgMar w:top="1040" w:right="0" w:bottom="1040" w:left="0" w:header="0" w:footer="850" w:gutter="0"/>
          <w:cols w:space="720"/>
        </w:sectPr>
      </w:pPr>
    </w:p>
    <w:p w14:paraId="5EEDD956" w14:textId="77777777" w:rsidR="002653E8" w:rsidRDefault="003115E3">
      <w:pPr>
        <w:pStyle w:val="a3"/>
        <w:spacing w:before="86" w:line="264" w:lineRule="auto"/>
        <w:ind w:left="1327" w:right="1146" w:firstLine="210"/>
        <w:jc w:val="both"/>
      </w:pPr>
      <w:r>
        <w:rPr>
          <w:color w:val="231F20"/>
        </w:rPr>
        <w:lastRenderedPageBreak/>
        <w:t>German capital in Persia is taxed at a lower rate than other capital    in Persia. German development aid credit finances German projects in Persia; and the imperial arsenal in Persia is to be modernized with the help of the German military. A 22 million dm</w:t>
      </w:r>
      <w:r>
        <w:rPr>
          <w:color w:val="231F20"/>
          <w:position w:val="7"/>
          <w:sz w:val="11"/>
        </w:rPr>
        <w:t xml:space="preserve">3 </w:t>
      </w:r>
      <w:r>
        <w:rPr>
          <w:color w:val="231F20"/>
        </w:rPr>
        <w:t xml:space="preserve">investment in the Persian arms industry in </w:t>
      </w:r>
      <w:r>
        <w:rPr>
          <w:color w:val="231F20"/>
          <w:spacing w:val="-4"/>
        </w:rPr>
        <w:t xml:space="preserve">1969 </w:t>
      </w:r>
      <w:r>
        <w:rPr>
          <w:color w:val="231F20"/>
        </w:rPr>
        <w:t xml:space="preserve">meant </w:t>
      </w:r>
      <w:r>
        <w:rPr>
          <w:color w:val="231F20"/>
          <w:spacing w:val="-7"/>
        </w:rPr>
        <w:t xml:space="preserve">250 </w:t>
      </w:r>
      <w:r>
        <w:rPr>
          <w:color w:val="231F20"/>
        </w:rPr>
        <w:t>million dm</w:t>
      </w:r>
      <w:r>
        <w:rPr>
          <w:color w:val="231F20"/>
          <w:position w:val="7"/>
          <w:sz w:val="11"/>
        </w:rPr>
        <w:t xml:space="preserve">4  </w:t>
      </w:r>
      <w:r>
        <w:rPr>
          <w:color w:val="231F20"/>
        </w:rPr>
        <w:t xml:space="preserve">in follow-up orders for  the German arms industry. The </w:t>
      </w:r>
      <w:r>
        <w:rPr>
          <w:color w:val="231F20"/>
          <w:spacing w:val="-3"/>
        </w:rPr>
        <w:t xml:space="preserve">Shah’s </w:t>
      </w:r>
      <w:r>
        <w:rPr>
          <w:color w:val="231F20"/>
        </w:rPr>
        <w:t>regime plans to use g-3s and mg-3s</w:t>
      </w:r>
      <w:r>
        <w:rPr>
          <w:color w:val="231F20"/>
          <w:position w:val="7"/>
          <w:sz w:val="11"/>
        </w:rPr>
        <w:t xml:space="preserve">5 </w:t>
      </w:r>
      <w:r>
        <w:rPr>
          <w:color w:val="231F20"/>
        </w:rPr>
        <w:t xml:space="preserve">in the struggle against “crime” in Persia, so that in the future wages will remain </w:t>
      </w:r>
      <w:r>
        <w:rPr>
          <w:color w:val="231F20"/>
          <w:spacing w:val="-4"/>
        </w:rPr>
        <w:t xml:space="preserve">low, </w:t>
      </w:r>
      <w:r>
        <w:rPr>
          <w:color w:val="231F20"/>
        </w:rPr>
        <w:t>political conditions will remain stable and the conditions of exploitation will remain favorable for German capital. Meaning that pressure for increased wages at home can be</w:t>
      </w:r>
      <w:r>
        <w:rPr>
          <w:color w:val="231F20"/>
          <w:spacing w:val="15"/>
        </w:rPr>
        <w:t xml:space="preserve"> </w:t>
      </w:r>
      <w:r>
        <w:rPr>
          <w:color w:val="231F20"/>
        </w:rPr>
        <w:t xml:space="preserve">handled with threats to move production out of the country. Pressure will also be applied to the public at home, because antifascist protest against the Shah threatens the foreign policy interests of the Federal Republic of </w:t>
      </w:r>
      <w:r>
        <w:rPr>
          <w:color w:val="231F20"/>
          <w:spacing w:val="-3"/>
        </w:rPr>
        <w:t>Germany.</w:t>
      </w:r>
    </w:p>
    <w:p w14:paraId="65B7AD34" w14:textId="77777777" w:rsidR="002653E8" w:rsidRDefault="003115E3">
      <w:pPr>
        <w:pStyle w:val="a3"/>
        <w:spacing w:line="219" w:lineRule="exact"/>
        <w:ind w:left="1537"/>
      </w:pPr>
      <w:r>
        <w:rPr>
          <w:color w:val="231F20"/>
        </w:rPr>
        <w:t>After prostrating himself in Poland,</w:t>
      </w:r>
      <w:r>
        <w:rPr>
          <w:color w:val="231F20"/>
          <w:position w:val="7"/>
          <w:sz w:val="11"/>
        </w:rPr>
        <w:t xml:space="preserve">6 </w:t>
      </w:r>
      <w:r>
        <w:rPr>
          <w:color w:val="231F20"/>
        </w:rPr>
        <w:t>the Chancellor now prostrates</w:t>
      </w:r>
    </w:p>
    <w:p w14:paraId="527C927C" w14:textId="77777777" w:rsidR="002653E8" w:rsidRDefault="003115E3">
      <w:pPr>
        <w:pStyle w:val="a3"/>
        <w:spacing w:before="23" w:line="264" w:lineRule="auto"/>
        <w:ind w:left="1327" w:right="1146"/>
        <w:jc w:val="both"/>
      </w:pPr>
      <w:r>
        <w:rPr>
          <w:color w:val="231F20"/>
        </w:rPr>
        <w:t xml:space="preserve">himself before the murderous Shah. The repression of the Polish, Russian, Czech, and Hungarian peoples by German fascism is no longer gong on. The repression of the Persian people under German imperialism is what is going on </w:t>
      </w:r>
      <w:r>
        <w:rPr>
          <w:color w:val="231F20"/>
          <w:spacing w:val="-5"/>
        </w:rPr>
        <w:t xml:space="preserve">now. </w:t>
      </w:r>
      <w:r>
        <w:rPr>
          <w:color w:val="231F20"/>
        </w:rPr>
        <w:t xml:space="preserve">The Nuremberg Conventions are no longer in effect, but laws against Iranian students, against Greek, Turkish, and Spanish workers, who all come from countries with fascist regimes, are a current reality. German corporations profit from the fascism in these countries, controlling foreign workers here with the threat of what the fascism at home means for them. They are safe from the death penalty, which imprisoned comrades here are spared, but which is enforced in Persia, </w:t>
      </w:r>
      <w:r>
        <w:rPr>
          <w:color w:val="231F20"/>
          <w:spacing w:val="-5"/>
        </w:rPr>
        <w:t xml:space="preserve">Turkey, </w:t>
      </w:r>
      <w:r>
        <w:rPr>
          <w:color w:val="231F20"/>
        </w:rPr>
        <w:t>Greece, and</w:t>
      </w:r>
      <w:r>
        <w:rPr>
          <w:color w:val="231F20"/>
          <w:spacing w:val="13"/>
        </w:rPr>
        <w:t xml:space="preserve"> </w:t>
      </w:r>
      <w:r>
        <w:rPr>
          <w:color w:val="231F20"/>
        </w:rPr>
        <w:t>Spain.</w:t>
      </w:r>
    </w:p>
    <w:p w14:paraId="100C7CC9" w14:textId="77777777" w:rsidR="002653E8" w:rsidRDefault="003115E3">
      <w:pPr>
        <w:pStyle w:val="a3"/>
        <w:spacing w:line="264" w:lineRule="auto"/>
        <w:ind w:left="1327" w:right="1146" w:firstLine="210"/>
        <w:jc w:val="both"/>
      </w:pPr>
      <w:r>
        <w:rPr>
          <w:color w:val="231F20"/>
        </w:rPr>
        <w:t xml:space="preserve">The </w:t>
      </w:r>
      <w:r>
        <w:rPr>
          <w:color w:val="231F20"/>
          <w:spacing w:val="-3"/>
        </w:rPr>
        <w:t xml:space="preserve">West </w:t>
      </w:r>
      <w:r>
        <w:rPr>
          <w:color w:val="231F20"/>
        </w:rPr>
        <w:t xml:space="preserve">German left met Brandt’s Persian trip with silence. They  left him free to babble twaddle. They let </w:t>
      </w:r>
      <w:bookmarkStart w:id="57" w:name="_Hlk71159114"/>
      <w:r>
        <w:rPr>
          <w:color w:val="231F20"/>
        </w:rPr>
        <w:t>Howeida</w:t>
      </w:r>
      <w:bookmarkEnd w:id="57"/>
      <w:r>
        <w:rPr>
          <w:color w:val="231F20"/>
          <w:position w:val="7"/>
          <w:sz w:val="11"/>
        </w:rPr>
        <w:t xml:space="preserve">7 </w:t>
      </w:r>
      <w:r>
        <w:rPr>
          <w:color w:val="231F20"/>
        </w:rPr>
        <w:t xml:space="preserve">babble twaddle  about how the death penalty is only used against common criminals. Given that the Shah is sensitive, given that the  2nd of June disturbed  the relationship between Germany and Iran, given that the </w:t>
      </w:r>
      <w:r>
        <w:rPr>
          <w:color w:val="231F20"/>
          <w:spacing w:val="-3"/>
        </w:rPr>
        <w:t xml:space="preserve">Shah’s </w:t>
      </w:r>
      <w:r>
        <w:rPr>
          <w:color w:val="231F20"/>
        </w:rPr>
        <w:t>reputation is hardly stellar, as would have to be the case, given that,</w:t>
      </w:r>
      <w:r>
        <w:rPr>
          <w:color w:val="231F20"/>
          <w:spacing w:val="31"/>
        </w:rPr>
        <w:t xml:space="preserve"> </w:t>
      </w:r>
      <w:r>
        <w:rPr>
          <w:color w:val="231F20"/>
        </w:rPr>
        <w:t>as</w:t>
      </w:r>
    </w:p>
    <w:p w14:paraId="4A1BE769" w14:textId="77777777" w:rsidR="002653E8" w:rsidRDefault="00000000">
      <w:pPr>
        <w:pStyle w:val="a3"/>
        <w:spacing w:before="9"/>
        <w:rPr>
          <w:sz w:val="12"/>
        </w:rPr>
      </w:pPr>
      <w:r>
        <w:rPr>
          <w:noProof w:val="0"/>
        </w:rPr>
        <w:pict w14:anchorId="14EDB935">
          <v:line id="_x0000_s2572" style="position:absolute;z-index:4144;mso-wrap-distance-left:0;mso-wrap-distance-right:0;mso-position-horizontal-relative:page" from="66.4pt,9.75pt" to="138.4pt,9.75pt" strokecolor="#231f20" strokeweight=".5pt">
            <w10:wrap type="topAndBottom" anchorx="page"/>
          </v:line>
        </w:pict>
      </w:r>
    </w:p>
    <w:p w14:paraId="2B89906C" w14:textId="77777777" w:rsidR="002653E8" w:rsidRDefault="003115E3">
      <w:pPr>
        <w:pStyle w:val="a4"/>
        <w:numPr>
          <w:ilvl w:val="0"/>
          <w:numId w:val="151"/>
        </w:numPr>
        <w:tabs>
          <w:tab w:val="left" w:pos="1467"/>
        </w:tabs>
        <w:spacing w:before="53" w:line="307" w:lineRule="auto"/>
        <w:ind w:left="1327" w:right="5692" w:firstLine="0"/>
        <w:jc w:val="left"/>
        <w:rPr>
          <w:sz w:val="16"/>
        </w:rPr>
      </w:pPr>
      <w:r>
        <w:rPr>
          <w:color w:val="231F20"/>
          <w:w w:val="110"/>
          <w:sz w:val="16"/>
        </w:rPr>
        <w:t>Roughly $6 million. 4 Almost $69</w:t>
      </w:r>
      <w:r>
        <w:rPr>
          <w:color w:val="231F20"/>
          <w:spacing w:val="7"/>
          <w:w w:val="110"/>
          <w:sz w:val="16"/>
        </w:rPr>
        <w:t xml:space="preserve"> </w:t>
      </w:r>
      <w:r>
        <w:rPr>
          <w:color w:val="231F20"/>
          <w:w w:val="110"/>
          <w:sz w:val="16"/>
        </w:rPr>
        <w:t>million.</w:t>
      </w:r>
    </w:p>
    <w:p w14:paraId="57763A94" w14:textId="77777777" w:rsidR="002653E8" w:rsidRDefault="003115E3">
      <w:pPr>
        <w:pStyle w:val="a4"/>
        <w:numPr>
          <w:ilvl w:val="0"/>
          <w:numId w:val="150"/>
        </w:numPr>
        <w:tabs>
          <w:tab w:val="left" w:pos="1467"/>
        </w:tabs>
        <w:spacing w:before="0" w:line="186" w:lineRule="exact"/>
        <w:ind w:firstLine="0"/>
        <w:rPr>
          <w:sz w:val="16"/>
        </w:rPr>
      </w:pPr>
      <w:r>
        <w:rPr>
          <w:color w:val="231F20"/>
          <w:w w:val="105"/>
          <w:sz w:val="16"/>
        </w:rPr>
        <w:t>The</w:t>
      </w:r>
      <w:r>
        <w:rPr>
          <w:color w:val="231F20"/>
          <w:spacing w:val="7"/>
          <w:w w:val="105"/>
          <w:sz w:val="16"/>
        </w:rPr>
        <w:t xml:space="preserve"> </w:t>
      </w:r>
      <w:r>
        <w:rPr>
          <w:color w:val="231F20"/>
          <w:w w:val="105"/>
          <w:sz w:val="16"/>
        </w:rPr>
        <w:t>g-3</w:t>
      </w:r>
      <w:r>
        <w:rPr>
          <w:color w:val="231F20"/>
          <w:spacing w:val="7"/>
          <w:w w:val="105"/>
          <w:sz w:val="16"/>
        </w:rPr>
        <w:t xml:space="preserve"> </w:t>
      </w:r>
      <w:r>
        <w:rPr>
          <w:color w:val="231F20"/>
          <w:w w:val="105"/>
          <w:sz w:val="16"/>
        </w:rPr>
        <w:t>is</w:t>
      </w:r>
      <w:r>
        <w:rPr>
          <w:color w:val="231F20"/>
          <w:spacing w:val="7"/>
          <w:w w:val="105"/>
          <w:sz w:val="16"/>
        </w:rPr>
        <w:t xml:space="preserve"> </w:t>
      </w:r>
      <w:r>
        <w:rPr>
          <w:color w:val="231F20"/>
          <w:w w:val="105"/>
          <w:sz w:val="16"/>
        </w:rPr>
        <w:t>an</w:t>
      </w:r>
      <w:r>
        <w:rPr>
          <w:color w:val="231F20"/>
          <w:spacing w:val="7"/>
          <w:w w:val="105"/>
          <w:sz w:val="16"/>
        </w:rPr>
        <w:t xml:space="preserve"> </w:t>
      </w:r>
      <w:r>
        <w:rPr>
          <w:color w:val="231F20"/>
          <w:w w:val="105"/>
          <w:sz w:val="16"/>
        </w:rPr>
        <w:t>assault</w:t>
      </w:r>
      <w:r>
        <w:rPr>
          <w:color w:val="231F20"/>
          <w:spacing w:val="7"/>
          <w:w w:val="105"/>
          <w:sz w:val="16"/>
        </w:rPr>
        <w:t xml:space="preserve"> </w:t>
      </w:r>
      <w:r>
        <w:rPr>
          <w:color w:val="231F20"/>
          <w:w w:val="105"/>
          <w:sz w:val="16"/>
        </w:rPr>
        <w:t>rifle</w:t>
      </w:r>
      <w:r>
        <w:rPr>
          <w:color w:val="231F20"/>
          <w:spacing w:val="7"/>
          <w:w w:val="105"/>
          <w:sz w:val="16"/>
        </w:rPr>
        <w:t xml:space="preserve"> </w:t>
      </w:r>
      <w:r>
        <w:rPr>
          <w:color w:val="231F20"/>
          <w:w w:val="105"/>
          <w:sz w:val="16"/>
        </w:rPr>
        <w:t>and</w:t>
      </w:r>
      <w:r>
        <w:rPr>
          <w:color w:val="231F20"/>
          <w:spacing w:val="7"/>
          <w:w w:val="105"/>
          <w:sz w:val="16"/>
        </w:rPr>
        <w:t xml:space="preserve"> </w:t>
      </w:r>
      <w:r>
        <w:rPr>
          <w:color w:val="231F20"/>
          <w:w w:val="105"/>
          <w:sz w:val="16"/>
        </w:rPr>
        <w:t>the</w:t>
      </w:r>
      <w:r>
        <w:rPr>
          <w:color w:val="231F20"/>
          <w:spacing w:val="8"/>
          <w:w w:val="105"/>
          <w:sz w:val="16"/>
        </w:rPr>
        <w:t xml:space="preserve"> </w:t>
      </w:r>
      <w:r>
        <w:rPr>
          <w:color w:val="231F20"/>
          <w:w w:val="105"/>
          <w:sz w:val="16"/>
        </w:rPr>
        <w:t>mg-3</w:t>
      </w:r>
      <w:r>
        <w:rPr>
          <w:color w:val="231F20"/>
          <w:spacing w:val="7"/>
          <w:w w:val="105"/>
          <w:sz w:val="16"/>
        </w:rPr>
        <w:t xml:space="preserve"> </w:t>
      </w:r>
      <w:r>
        <w:rPr>
          <w:color w:val="231F20"/>
          <w:w w:val="105"/>
          <w:sz w:val="16"/>
        </w:rPr>
        <w:t>is</w:t>
      </w:r>
      <w:r>
        <w:rPr>
          <w:color w:val="231F20"/>
          <w:spacing w:val="7"/>
          <w:w w:val="105"/>
          <w:sz w:val="16"/>
        </w:rPr>
        <w:t xml:space="preserve"> </w:t>
      </w:r>
      <w:r>
        <w:rPr>
          <w:color w:val="231F20"/>
          <w:w w:val="105"/>
          <w:sz w:val="16"/>
        </w:rPr>
        <w:t>a</w:t>
      </w:r>
      <w:r>
        <w:rPr>
          <w:color w:val="231F20"/>
          <w:spacing w:val="7"/>
          <w:w w:val="105"/>
          <w:sz w:val="16"/>
        </w:rPr>
        <w:t xml:space="preserve"> </w:t>
      </w:r>
      <w:r>
        <w:rPr>
          <w:color w:val="231F20"/>
          <w:w w:val="105"/>
          <w:sz w:val="16"/>
        </w:rPr>
        <w:t>machinegun.</w:t>
      </w:r>
    </w:p>
    <w:p w14:paraId="6DB21435" w14:textId="77777777" w:rsidR="002653E8" w:rsidRDefault="003115E3">
      <w:pPr>
        <w:pStyle w:val="a4"/>
        <w:numPr>
          <w:ilvl w:val="0"/>
          <w:numId w:val="150"/>
        </w:numPr>
        <w:tabs>
          <w:tab w:val="left" w:pos="1467"/>
        </w:tabs>
        <w:spacing w:before="51" w:line="254" w:lineRule="auto"/>
        <w:ind w:right="1795" w:firstLine="0"/>
        <w:rPr>
          <w:sz w:val="16"/>
        </w:rPr>
      </w:pPr>
      <w:r>
        <w:rPr>
          <w:color w:val="231F20"/>
          <w:spacing w:val="1"/>
          <w:w w:val="105"/>
          <w:sz w:val="16"/>
        </w:rPr>
        <w:t xml:space="preserve">This </w:t>
      </w:r>
      <w:r>
        <w:rPr>
          <w:color w:val="231F20"/>
          <w:w w:val="105"/>
          <w:sz w:val="16"/>
        </w:rPr>
        <w:t xml:space="preserve">is a reference to the so-called </w:t>
      </w:r>
      <w:r>
        <w:rPr>
          <w:i/>
          <w:color w:val="231F20"/>
          <w:w w:val="105"/>
          <w:sz w:val="16"/>
        </w:rPr>
        <w:t xml:space="preserve">Warshauer Kniefall, </w:t>
      </w:r>
      <w:r>
        <w:rPr>
          <w:color w:val="231F20"/>
          <w:w w:val="105"/>
          <w:sz w:val="16"/>
        </w:rPr>
        <w:t>the “Warsaw Genuflection,” Brandt’s December 1971 public atonement at the monument commemorating the Warsaw Ghetto</w:t>
      </w:r>
      <w:r>
        <w:rPr>
          <w:color w:val="231F20"/>
          <w:spacing w:val="35"/>
          <w:w w:val="105"/>
          <w:sz w:val="16"/>
        </w:rPr>
        <w:t xml:space="preserve"> </w:t>
      </w:r>
      <w:r>
        <w:rPr>
          <w:color w:val="231F20"/>
          <w:w w:val="105"/>
          <w:sz w:val="16"/>
        </w:rPr>
        <w:t>Uprising.</w:t>
      </w:r>
    </w:p>
    <w:p w14:paraId="63BE2A4A" w14:textId="77777777" w:rsidR="002653E8" w:rsidRDefault="003115E3">
      <w:pPr>
        <w:pStyle w:val="a4"/>
        <w:numPr>
          <w:ilvl w:val="0"/>
          <w:numId w:val="150"/>
        </w:numPr>
        <w:tabs>
          <w:tab w:val="left" w:pos="1467"/>
        </w:tabs>
        <w:spacing w:before="42" w:line="254" w:lineRule="auto"/>
        <w:ind w:right="1682" w:firstLine="0"/>
        <w:rPr>
          <w:sz w:val="16"/>
        </w:rPr>
      </w:pPr>
      <w:r>
        <w:rPr>
          <w:color w:val="231F20"/>
          <w:spacing w:val="2"/>
          <w:w w:val="105"/>
          <w:sz w:val="16"/>
        </w:rPr>
        <w:t xml:space="preserve">Amir </w:t>
      </w:r>
      <w:r>
        <w:rPr>
          <w:color w:val="231F20"/>
          <w:w w:val="105"/>
          <w:sz w:val="16"/>
        </w:rPr>
        <w:t>Abbas Howeida, Prime Minister of Iran during the rule of Shah Reza Pahlavi.</w:t>
      </w:r>
      <w:r>
        <w:rPr>
          <w:color w:val="231F20"/>
          <w:spacing w:val="8"/>
          <w:w w:val="105"/>
          <w:sz w:val="16"/>
        </w:rPr>
        <w:t xml:space="preserve"> </w:t>
      </w:r>
      <w:r>
        <w:rPr>
          <w:color w:val="231F20"/>
          <w:w w:val="105"/>
          <w:sz w:val="16"/>
        </w:rPr>
        <w:t>He</w:t>
      </w:r>
      <w:r>
        <w:rPr>
          <w:color w:val="231F20"/>
          <w:spacing w:val="8"/>
          <w:w w:val="105"/>
          <w:sz w:val="16"/>
        </w:rPr>
        <w:t xml:space="preserve"> </w:t>
      </w:r>
      <w:r>
        <w:rPr>
          <w:color w:val="231F20"/>
          <w:w w:val="105"/>
          <w:sz w:val="16"/>
        </w:rPr>
        <w:t>was</w:t>
      </w:r>
      <w:r>
        <w:rPr>
          <w:color w:val="231F20"/>
          <w:spacing w:val="8"/>
          <w:w w:val="105"/>
          <w:sz w:val="16"/>
        </w:rPr>
        <w:t xml:space="preserve"> </w:t>
      </w:r>
      <w:r>
        <w:rPr>
          <w:color w:val="231F20"/>
          <w:w w:val="105"/>
          <w:sz w:val="16"/>
        </w:rPr>
        <w:t>executed</w:t>
      </w:r>
      <w:r>
        <w:rPr>
          <w:color w:val="231F20"/>
          <w:spacing w:val="8"/>
          <w:w w:val="105"/>
          <w:sz w:val="16"/>
        </w:rPr>
        <w:t xml:space="preserve"> </w:t>
      </w:r>
      <w:r>
        <w:rPr>
          <w:color w:val="231F20"/>
          <w:w w:val="105"/>
          <w:sz w:val="16"/>
        </w:rPr>
        <w:t>in</w:t>
      </w:r>
      <w:r>
        <w:rPr>
          <w:color w:val="231F20"/>
          <w:spacing w:val="10"/>
          <w:w w:val="105"/>
          <w:sz w:val="16"/>
        </w:rPr>
        <w:t xml:space="preserve"> </w:t>
      </w:r>
      <w:r>
        <w:rPr>
          <w:color w:val="231F20"/>
          <w:w w:val="105"/>
          <w:sz w:val="16"/>
        </w:rPr>
        <w:t>1979</w:t>
      </w:r>
      <w:r>
        <w:rPr>
          <w:color w:val="231F20"/>
          <w:spacing w:val="8"/>
          <w:w w:val="105"/>
          <w:sz w:val="16"/>
        </w:rPr>
        <w:t xml:space="preserve"> </w:t>
      </w:r>
      <w:r>
        <w:rPr>
          <w:color w:val="231F20"/>
          <w:w w:val="105"/>
          <w:sz w:val="16"/>
        </w:rPr>
        <w:t>following</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Islamic</w:t>
      </w:r>
      <w:r>
        <w:rPr>
          <w:color w:val="231F20"/>
          <w:spacing w:val="8"/>
          <w:w w:val="105"/>
          <w:sz w:val="16"/>
        </w:rPr>
        <w:t xml:space="preserve"> </w:t>
      </w:r>
      <w:r>
        <w:rPr>
          <w:color w:val="231F20"/>
          <w:w w:val="105"/>
          <w:sz w:val="16"/>
        </w:rPr>
        <w:t>revolution.</w:t>
      </w:r>
    </w:p>
    <w:p w14:paraId="11694E99" w14:textId="77777777" w:rsidR="002653E8" w:rsidRDefault="002653E8">
      <w:pPr>
        <w:spacing w:line="254" w:lineRule="auto"/>
        <w:rPr>
          <w:sz w:val="16"/>
        </w:rPr>
        <w:sectPr w:rsidR="002653E8">
          <w:pgSz w:w="8640" w:h="12960"/>
          <w:pgMar w:top="1060" w:right="0" w:bottom="1040" w:left="0" w:header="0" w:footer="850" w:gutter="0"/>
          <w:cols w:space="720"/>
        </w:sectPr>
      </w:pPr>
    </w:p>
    <w:p w14:paraId="0FF904C6" w14:textId="77777777" w:rsidR="002653E8" w:rsidRDefault="003115E3">
      <w:pPr>
        <w:pStyle w:val="a3"/>
        <w:spacing w:before="86" w:line="264" w:lineRule="auto"/>
        <w:ind w:left="1147" w:right="1326"/>
        <w:jc w:val="both"/>
      </w:pPr>
      <w:r>
        <w:rPr>
          <w:color w:val="231F20"/>
        </w:rPr>
        <w:lastRenderedPageBreak/>
        <w:t>everyone knows, enemies of the people dread being called enemies of the people, given that one can presume that even Brandt wasn’t all that comfortable with the hypocrisy, given that German capital is predisposed to fascism, and given that it’s relatively easy to demonstrate the connection between fascism in Iran and German capital in Iran… given all these things, nobody can defend the relationship without presenting themselves in a poor light.</w:t>
      </w:r>
    </w:p>
    <w:p w14:paraId="5F38D474" w14:textId="77777777" w:rsidR="002653E8" w:rsidRDefault="003115E3">
      <w:pPr>
        <w:pStyle w:val="a3"/>
        <w:spacing w:line="264" w:lineRule="auto"/>
        <w:ind w:left="1147" w:right="1326" w:firstLine="210"/>
        <w:jc w:val="both"/>
      </w:pPr>
      <w:r>
        <w:rPr>
          <w:color w:val="231F20"/>
        </w:rPr>
        <w:t xml:space="preserve">The intellectual left came to the conclusion that only the proletarian masses can change the current situation, that only the </w:t>
      </w:r>
      <w:r>
        <w:rPr>
          <w:color w:val="231F20"/>
          <w:spacing w:val="-3"/>
        </w:rPr>
        <w:t xml:space="preserve">West </w:t>
      </w:r>
      <w:r>
        <w:rPr>
          <w:color w:val="231F20"/>
        </w:rPr>
        <w:t xml:space="preserve">German masses can expropriate the profits that the corporations make from the </w:t>
      </w:r>
      <w:r>
        <w:rPr>
          <w:color w:val="231F20"/>
          <w:spacing w:val="-3"/>
        </w:rPr>
        <w:t xml:space="preserve">Shah’s </w:t>
      </w:r>
      <w:r>
        <w:rPr>
          <w:color w:val="231F20"/>
        </w:rPr>
        <w:t xml:space="preserve">fascism—a situation from which the </w:t>
      </w:r>
      <w:r>
        <w:rPr>
          <w:color w:val="231F20"/>
          <w:spacing w:val="-3"/>
        </w:rPr>
        <w:t xml:space="preserve">Shah’s  </w:t>
      </w:r>
      <w:r>
        <w:rPr>
          <w:color w:val="231F20"/>
        </w:rPr>
        <w:t xml:space="preserve">fascism  also  profits. With this realization, the left stopped criticizing the </w:t>
      </w:r>
      <w:r>
        <w:rPr>
          <w:color w:val="231F20"/>
          <w:spacing w:val="-3"/>
        </w:rPr>
        <w:t xml:space="preserve">Shah’s </w:t>
      </w:r>
      <w:r>
        <w:rPr>
          <w:color w:val="231F20"/>
        </w:rPr>
        <w:t xml:space="preserve">fascism and the domination imposed by </w:t>
      </w:r>
      <w:r>
        <w:rPr>
          <w:color w:val="231F20"/>
          <w:spacing w:val="-3"/>
        </w:rPr>
        <w:t xml:space="preserve">West </w:t>
      </w:r>
      <w:r>
        <w:rPr>
          <w:color w:val="231F20"/>
        </w:rPr>
        <w:t xml:space="preserve">German capitalism in the Third </w:t>
      </w:r>
      <w:r>
        <w:rPr>
          <w:color w:val="231F20"/>
          <w:spacing w:val="-3"/>
        </w:rPr>
        <w:t xml:space="preserve">World. </w:t>
      </w:r>
      <w:r>
        <w:rPr>
          <w:color w:val="231F20"/>
        </w:rPr>
        <w:t xml:space="preserve">With the realization that the resistance of the </w:t>
      </w:r>
      <w:r>
        <w:rPr>
          <w:color w:val="231F20"/>
          <w:spacing w:val="-3"/>
        </w:rPr>
        <w:t xml:space="preserve">West </w:t>
      </w:r>
      <w:r>
        <w:rPr>
          <w:color w:val="231F20"/>
        </w:rPr>
        <w:t xml:space="preserve">German masses against the rule of capital would not be sparked by the problems of the Third </w:t>
      </w:r>
      <w:r>
        <w:rPr>
          <w:color w:val="231F20"/>
          <w:spacing w:val="-3"/>
        </w:rPr>
        <w:t xml:space="preserve">World,  </w:t>
      </w:r>
      <w:r>
        <w:rPr>
          <w:color w:val="231F20"/>
        </w:rPr>
        <w:t xml:space="preserve">but only by the problems developing here,  they stopped posing the problems of the Third </w:t>
      </w:r>
      <w:r>
        <w:rPr>
          <w:color w:val="231F20"/>
          <w:spacing w:val="-4"/>
        </w:rPr>
        <w:t xml:space="preserve">World </w:t>
      </w:r>
      <w:r>
        <w:rPr>
          <w:color w:val="231F20"/>
        </w:rPr>
        <w:t>as a factor in politics</w:t>
      </w:r>
      <w:r>
        <w:rPr>
          <w:color w:val="231F20"/>
          <w:spacing w:val="10"/>
        </w:rPr>
        <w:t xml:space="preserve"> </w:t>
      </w:r>
      <w:r>
        <w:rPr>
          <w:color w:val="231F20"/>
        </w:rPr>
        <w:t>here.</w:t>
      </w:r>
    </w:p>
    <w:p w14:paraId="223B4CA5" w14:textId="77777777" w:rsidR="002653E8" w:rsidRDefault="003115E3">
      <w:pPr>
        <w:pStyle w:val="a3"/>
        <w:spacing w:line="264" w:lineRule="auto"/>
        <w:ind w:left="1147" w:right="1325" w:firstLine="210"/>
        <w:jc w:val="both"/>
      </w:pPr>
      <w:r>
        <w:rPr>
          <w:color w:val="231F20"/>
        </w:rPr>
        <w:t xml:space="preserve">This shows both the dogmatism and the parochialism of a section      of the left. The fact that the working class in </w:t>
      </w:r>
      <w:r>
        <w:rPr>
          <w:color w:val="231F20"/>
          <w:spacing w:val="-3"/>
        </w:rPr>
        <w:t xml:space="preserve">West </w:t>
      </w:r>
      <w:r>
        <w:rPr>
          <w:color w:val="231F20"/>
        </w:rPr>
        <w:t xml:space="preserve">Germany and </w:t>
      </w:r>
      <w:r>
        <w:rPr>
          <w:color w:val="231F20"/>
          <w:spacing w:val="-3"/>
        </w:rPr>
        <w:t xml:space="preserve">West </w:t>
      </w:r>
      <w:r>
        <w:rPr>
          <w:color w:val="231F20"/>
        </w:rPr>
        <w:t xml:space="preserve">Berlin can only think and act in the national context, while capital  thinks and acts in a multinational context, is first and foremost an example of the splitting of the working class, as well as of the weakness of a left that only focuses on capital’s domestic policies in its critique and ignores capital’s foreign policy, thus internalizing the split in the </w:t>
      </w:r>
      <w:r>
        <w:rPr>
          <w:color w:val="231F20"/>
          <w:spacing w:val="-3"/>
        </w:rPr>
        <w:t>work</w:t>
      </w:r>
      <w:r>
        <w:rPr>
          <w:color w:val="231F20"/>
        </w:rPr>
        <w:t>ing class. They tell the working class only half of the truth about the system, about what capitalist policy means for the working class on a daily basis</w:t>
      </w:r>
      <w:r>
        <w:rPr>
          <w:color w:val="231F20"/>
          <w:spacing w:val="6"/>
        </w:rPr>
        <w:t xml:space="preserve"> </w:t>
      </w:r>
      <w:r>
        <w:rPr>
          <w:color w:val="231F20"/>
        </w:rPr>
        <w:t>and</w:t>
      </w:r>
      <w:r>
        <w:rPr>
          <w:color w:val="231F20"/>
          <w:spacing w:val="6"/>
        </w:rPr>
        <w:t xml:space="preserve"> </w:t>
      </w:r>
      <w:r>
        <w:rPr>
          <w:color w:val="231F20"/>
        </w:rPr>
        <w:t>what</w:t>
      </w:r>
      <w:r>
        <w:rPr>
          <w:color w:val="231F20"/>
          <w:spacing w:val="6"/>
        </w:rPr>
        <w:t xml:space="preserve"> </w:t>
      </w:r>
      <w:r>
        <w:rPr>
          <w:color w:val="231F20"/>
        </w:rPr>
        <w:t>it</w:t>
      </w:r>
      <w:r>
        <w:rPr>
          <w:color w:val="231F20"/>
          <w:spacing w:val="6"/>
        </w:rPr>
        <w:t xml:space="preserve"> </w:t>
      </w:r>
      <w:r>
        <w:rPr>
          <w:color w:val="231F20"/>
        </w:rPr>
        <w:t>means</w:t>
      </w:r>
      <w:r>
        <w:rPr>
          <w:color w:val="231F20"/>
          <w:spacing w:val="6"/>
        </w:rPr>
        <w:t xml:space="preserve"> </w:t>
      </w:r>
      <w:r>
        <w:rPr>
          <w:color w:val="231F20"/>
        </w:rPr>
        <w:t>for</w:t>
      </w:r>
      <w:r>
        <w:rPr>
          <w:color w:val="231F20"/>
          <w:spacing w:val="6"/>
        </w:rPr>
        <w:t xml:space="preserve"> </w:t>
      </w:r>
      <w:r>
        <w:rPr>
          <w:color w:val="231F20"/>
        </w:rPr>
        <w:t>wage</w:t>
      </w:r>
      <w:r>
        <w:rPr>
          <w:color w:val="231F20"/>
          <w:spacing w:val="6"/>
        </w:rPr>
        <w:t xml:space="preserve"> </w:t>
      </w:r>
      <w:r>
        <w:rPr>
          <w:color w:val="231F20"/>
        </w:rPr>
        <w:t>demands</w:t>
      </w:r>
      <w:r>
        <w:rPr>
          <w:color w:val="231F20"/>
          <w:spacing w:val="6"/>
        </w:rPr>
        <w:t xml:space="preserve"> </w:t>
      </w:r>
      <w:r>
        <w:rPr>
          <w:color w:val="231F20"/>
        </w:rPr>
        <w:t>in</w:t>
      </w:r>
      <w:r>
        <w:rPr>
          <w:color w:val="231F20"/>
          <w:spacing w:val="6"/>
        </w:rPr>
        <w:t xml:space="preserve"> </w:t>
      </w:r>
      <w:r>
        <w:rPr>
          <w:color w:val="231F20"/>
        </w:rPr>
        <w:t>the</w:t>
      </w:r>
      <w:r>
        <w:rPr>
          <w:color w:val="231F20"/>
          <w:spacing w:val="6"/>
        </w:rPr>
        <w:t xml:space="preserve"> </w:t>
      </w:r>
      <w:r>
        <w:rPr>
          <w:color w:val="231F20"/>
        </w:rPr>
        <w:t>foreseeable</w:t>
      </w:r>
      <w:r>
        <w:rPr>
          <w:color w:val="231F20"/>
          <w:spacing w:val="6"/>
        </w:rPr>
        <w:t xml:space="preserve"> </w:t>
      </w:r>
      <w:r>
        <w:rPr>
          <w:color w:val="231F20"/>
        </w:rPr>
        <w:t>future.</w:t>
      </w:r>
    </w:p>
    <w:p w14:paraId="57F81C00" w14:textId="77777777" w:rsidR="002653E8" w:rsidRDefault="003115E3">
      <w:pPr>
        <w:pStyle w:val="a3"/>
        <w:spacing w:line="264" w:lineRule="auto"/>
        <w:ind w:left="1147" w:right="1326" w:firstLine="210"/>
        <w:jc w:val="both"/>
      </w:pPr>
      <w:r>
        <w:rPr>
          <w:color w:val="231F20"/>
        </w:rPr>
        <w:t xml:space="preserve">The contradiction facing the New </w:t>
      </w:r>
      <w:r>
        <w:rPr>
          <w:color w:val="231F20"/>
          <w:spacing w:val="1"/>
        </w:rPr>
        <w:t xml:space="preserve">Left </w:t>
      </w:r>
      <w:r>
        <w:rPr>
          <w:color w:val="231F20"/>
        </w:rPr>
        <w:t xml:space="preserve">is that their basic economic analysis and political assessment is more radical and incisive than anything produced by the </w:t>
      </w:r>
      <w:r>
        <w:rPr>
          <w:color w:val="231F20"/>
          <w:spacing w:val="-3"/>
        </w:rPr>
        <w:t xml:space="preserve">West </w:t>
      </w:r>
      <w:r>
        <w:rPr>
          <w:color w:val="231F20"/>
        </w:rPr>
        <w:t xml:space="preserve">German left prior to the 66/67 recession. This left experienced the end of the postwar reconstruction phase and the strengthening of </w:t>
      </w:r>
      <w:r>
        <w:rPr>
          <w:color w:val="231F20"/>
          <w:spacing w:val="-3"/>
        </w:rPr>
        <w:t xml:space="preserve">West </w:t>
      </w:r>
      <w:r>
        <w:rPr>
          <w:color w:val="231F20"/>
        </w:rPr>
        <w:t>German imperialism and understood that they had to base themselves on the extraordinary class struggle, which led to them restricting their propaganda and organizational efforts to the national context. As a result, they have an unimaginative and narrow</w:t>
      </w:r>
      <w:r>
        <w:rPr>
          <w:color w:val="231F20"/>
          <w:spacing w:val="7"/>
        </w:rPr>
        <w:t xml:space="preserve"> </w:t>
      </w:r>
      <w:r>
        <w:rPr>
          <w:color w:val="231F20"/>
        </w:rPr>
        <w:t>view</w:t>
      </w:r>
      <w:r>
        <w:rPr>
          <w:color w:val="231F20"/>
          <w:spacing w:val="7"/>
        </w:rPr>
        <w:t xml:space="preserve"> </w:t>
      </w:r>
      <w:r>
        <w:rPr>
          <w:color w:val="231F20"/>
        </w:rPr>
        <w:t>of</w:t>
      </w:r>
      <w:r>
        <w:rPr>
          <w:color w:val="231F20"/>
          <w:spacing w:val="7"/>
        </w:rPr>
        <w:t xml:space="preserve"> </w:t>
      </w:r>
      <w:r>
        <w:rPr>
          <w:color w:val="231F20"/>
        </w:rPr>
        <w:t>what</w:t>
      </w:r>
      <w:r>
        <w:rPr>
          <w:color w:val="231F20"/>
          <w:spacing w:val="7"/>
        </w:rPr>
        <w:t xml:space="preserve"> </w:t>
      </w:r>
      <w:r>
        <w:rPr>
          <w:color w:val="231F20"/>
        </w:rPr>
        <w:t>revolutionary</w:t>
      </w:r>
      <w:r>
        <w:rPr>
          <w:color w:val="231F20"/>
          <w:spacing w:val="7"/>
        </w:rPr>
        <w:t xml:space="preserve"> </w:t>
      </w:r>
      <w:r>
        <w:rPr>
          <w:color w:val="231F20"/>
        </w:rPr>
        <w:t>methods</w:t>
      </w:r>
      <w:r>
        <w:rPr>
          <w:color w:val="231F20"/>
          <w:spacing w:val="7"/>
        </w:rPr>
        <w:t xml:space="preserve"> </w:t>
      </w:r>
      <w:r>
        <w:rPr>
          <w:color w:val="231F20"/>
        </w:rPr>
        <w:t>of</w:t>
      </w:r>
      <w:r>
        <w:rPr>
          <w:color w:val="231F20"/>
          <w:spacing w:val="7"/>
        </w:rPr>
        <w:t xml:space="preserve"> </w:t>
      </w:r>
      <w:r>
        <w:rPr>
          <w:color w:val="231F20"/>
        </w:rPr>
        <w:t>intervention</w:t>
      </w:r>
      <w:r>
        <w:rPr>
          <w:color w:val="231F20"/>
          <w:spacing w:val="7"/>
        </w:rPr>
        <w:t xml:space="preserve"> </w:t>
      </w:r>
      <w:r>
        <w:rPr>
          <w:color w:val="231F20"/>
        </w:rPr>
        <w:t>are</w:t>
      </w:r>
      <w:r>
        <w:rPr>
          <w:color w:val="231F20"/>
          <w:spacing w:val="7"/>
        </w:rPr>
        <w:t xml:space="preserve"> </w:t>
      </w:r>
      <w:r>
        <w:rPr>
          <w:color w:val="231F20"/>
        </w:rPr>
        <w:t>possible.</w:t>
      </w:r>
    </w:p>
    <w:p w14:paraId="6456FF78" w14:textId="77777777" w:rsidR="002653E8" w:rsidRDefault="003115E3">
      <w:pPr>
        <w:pStyle w:val="a3"/>
        <w:spacing w:line="264" w:lineRule="auto"/>
        <w:ind w:left="1147" w:right="1325" w:firstLine="210"/>
        <w:jc w:val="both"/>
      </w:pPr>
      <w:r>
        <w:rPr>
          <w:color w:val="231F20"/>
          <w:spacing w:val="1"/>
        </w:rPr>
        <w:t xml:space="preserve">In </w:t>
      </w:r>
      <w:r>
        <w:rPr>
          <w:color w:val="231F20"/>
        </w:rPr>
        <w:t xml:space="preserve">their efforts to give a scientific orientation to the anticapitalist protest—which reaches into the  schools,  the  unions  and  the  </w:t>
      </w:r>
      <w:r>
        <w:rPr>
          <w:color w:val="231F20"/>
          <w:spacing w:val="2"/>
        </w:rPr>
        <w:t xml:space="preserve">SPD— </w:t>
      </w:r>
      <w:r>
        <w:rPr>
          <w:color w:val="231F20"/>
        </w:rPr>
        <w:t>to</w:t>
      </w:r>
      <w:r>
        <w:rPr>
          <w:color w:val="231F20"/>
          <w:spacing w:val="27"/>
        </w:rPr>
        <w:t xml:space="preserve"> </w:t>
      </w:r>
      <w:r>
        <w:rPr>
          <w:color w:val="231F20"/>
        </w:rPr>
        <w:t>maintain</w:t>
      </w:r>
      <w:r>
        <w:rPr>
          <w:color w:val="231F20"/>
          <w:spacing w:val="27"/>
        </w:rPr>
        <w:t xml:space="preserve"> </w:t>
      </w:r>
      <w:r>
        <w:rPr>
          <w:color w:val="231F20"/>
        </w:rPr>
        <w:t>and</w:t>
      </w:r>
      <w:r>
        <w:rPr>
          <w:color w:val="231F20"/>
          <w:spacing w:val="27"/>
        </w:rPr>
        <w:t xml:space="preserve"> </w:t>
      </w:r>
      <w:r>
        <w:rPr>
          <w:color w:val="231F20"/>
        </w:rPr>
        <w:t>develop</w:t>
      </w:r>
      <w:r>
        <w:rPr>
          <w:color w:val="231F20"/>
          <w:spacing w:val="27"/>
        </w:rPr>
        <w:t xml:space="preserve"> </w:t>
      </w:r>
      <w:r>
        <w:rPr>
          <w:color w:val="231F20"/>
        </w:rPr>
        <w:t>their</w:t>
      </w:r>
      <w:r>
        <w:rPr>
          <w:color w:val="231F20"/>
          <w:spacing w:val="27"/>
        </w:rPr>
        <w:t xml:space="preserve"> </w:t>
      </w:r>
      <w:r>
        <w:rPr>
          <w:color w:val="231F20"/>
        </w:rPr>
        <w:t>position</w:t>
      </w:r>
      <w:r>
        <w:rPr>
          <w:color w:val="231F20"/>
          <w:spacing w:val="27"/>
        </w:rPr>
        <w:t xml:space="preserve"> </w:t>
      </w:r>
      <w:r>
        <w:rPr>
          <w:color w:val="231F20"/>
        </w:rPr>
        <w:t>in</w:t>
      </w:r>
      <w:r>
        <w:rPr>
          <w:color w:val="231F20"/>
          <w:spacing w:val="27"/>
        </w:rPr>
        <w:t xml:space="preserve"> </w:t>
      </w:r>
      <w:r>
        <w:rPr>
          <w:color w:val="231F20"/>
        </w:rPr>
        <w:t>the</w:t>
      </w:r>
      <w:r>
        <w:rPr>
          <w:color w:val="231F20"/>
          <w:spacing w:val="27"/>
        </w:rPr>
        <w:t xml:space="preserve"> </w:t>
      </w:r>
      <w:r>
        <w:rPr>
          <w:color w:val="231F20"/>
        </w:rPr>
        <w:t>high</w:t>
      </w:r>
      <w:r>
        <w:rPr>
          <w:color w:val="231F20"/>
          <w:spacing w:val="27"/>
        </w:rPr>
        <w:t xml:space="preserve"> </w:t>
      </w:r>
      <w:r>
        <w:rPr>
          <w:color w:val="231F20"/>
        </w:rPr>
        <w:t>schools,</w:t>
      </w:r>
      <w:r>
        <w:rPr>
          <w:color w:val="231F20"/>
          <w:spacing w:val="27"/>
        </w:rPr>
        <w:t xml:space="preserve"> </w:t>
      </w:r>
      <w:r>
        <w:rPr>
          <w:color w:val="231F20"/>
        </w:rPr>
        <w:t>they</w:t>
      </w:r>
      <w:r>
        <w:rPr>
          <w:color w:val="231F20"/>
          <w:spacing w:val="27"/>
        </w:rPr>
        <w:t xml:space="preserve"> </w:t>
      </w:r>
      <w:r>
        <w:rPr>
          <w:color w:val="231F20"/>
        </w:rPr>
        <w:t>used</w:t>
      </w:r>
    </w:p>
    <w:p w14:paraId="789385C4" w14:textId="77777777" w:rsidR="002653E8" w:rsidRDefault="002653E8">
      <w:pPr>
        <w:spacing w:line="264" w:lineRule="auto"/>
        <w:jc w:val="both"/>
        <w:sectPr w:rsidR="002653E8">
          <w:pgSz w:w="8640" w:h="12960"/>
          <w:pgMar w:top="1060" w:right="0" w:bottom="1040" w:left="0" w:header="0" w:footer="850" w:gutter="0"/>
          <w:cols w:space="720"/>
        </w:sectPr>
      </w:pPr>
    </w:p>
    <w:p w14:paraId="4E7FB4FA" w14:textId="77777777" w:rsidR="002653E8" w:rsidRDefault="003115E3">
      <w:pPr>
        <w:pStyle w:val="a3"/>
        <w:spacing w:before="86" w:line="264" w:lineRule="auto"/>
        <w:ind w:left="1327" w:right="1145"/>
        <w:jc w:val="both"/>
      </w:pPr>
      <w:r>
        <w:rPr>
          <w:color w:val="231F20"/>
        </w:rPr>
        <w:lastRenderedPageBreak/>
        <w:t>Marxism to make the history of the working class more accessible to teachers and students. They hoped in this way to gain a foothold in the factories and schools.</w:t>
      </w:r>
    </w:p>
    <w:p w14:paraId="144EAF91" w14:textId="77777777" w:rsidR="002653E8" w:rsidRDefault="003115E3">
      <w:pPr>
        <w:pStyle w:val="a3"/>
        <w:spacing w:line="264" w:lineRule="auto"/>
        <w:ind w:left="1327" w:right="1146" w:firstLine="210"/>
        <w:jc w:val="both"/>
      </w:pPr>
      <w:r>
        <w:rPr>
          <w:color w:val="231F20"/>
        </w:rPr>
        <w:t>Through these activities they show a willingness to act and to intervene</w:t>
      </w:r>
      <w:r>
        <w:rPr>
          <w:color w:val="231F20"/>
          <w:spacing w:val="-6"/>
        </w:rPr>
        <w:t xml:space="preserve"> </w:t>
      </w:r>
      <w:r>
        <w:rPr>
          <w:color w:val="231F20"/>
        </w:rPr>
        <w:t>that</w:t>
      </w:r>
      <w:r>
        <w:rPr>
          <w:color w:val="231F20"/>
          <w:spacing w:val="-6"/>
        </w:rPr>
        <w:t xml:space="preserve"> </w:t>
      </w:r>
      <w:r>
        <w:rPr>
          <w:color w:val="231F20"/>
        </w:rPr>
        <w:t>stands</w:t>
      </w:r>
      <w:r>
        <w:rPr>
          <w:color w:val="231F20"/>
          <w:spacing w:val="-6"/>
        </w:rPr>
        <w:t xml:space="preserve"> </w:t>
      </w:r>
      <w:r>
        <w:rPr>
          <w:color w:val="231F20"/>
        </w:rPr>
        <w:t>in</w:t>
      </w:r>
      <w:r>
        <w:rPr>
          <w:color w:val="231F20"/>
          <w:spacing w:val="-6"/>
        </w:rPr>
        <w:t xml:space="preserve"> </w:t>
      </w:r>
      <w:r>
        <w:rPr>
          <w:color w:val="231F20"/>
        </w:rPr>
        <w:t>contradiction</w:t>
      </w:r>
      <w:r>
        <w:rPr>
          <w:color w:val="231F20"/>
          <w:spacing w:val="-6"/>
        </w:rPr>
        <w:t xml:space="preserve"> </w:t>
      </w:r>
      <w:r>
        <w:rPr>
          <w:color w:val="231F20"/>
        </w:rPr>
        <w:t>to</w:t>
      </w:r>
      <w:r>
        <w:rPr>
          <w:color w:val="231F20"/>
          <w:spacing w:val="-6"/>
        </w:rPr>
        <w:t xml:space="preserve"> </w:t>
      </w:r>
      <w:r>
        <w:rPr>
          <w:color w:val="231F20"/>
        </w:rPr>
        <w:t>their</w:t>
      </w:r>
      <w:r>
        <w:rPr>
          <w:color w:val="231F20"/>
          <w:spacing w:val="-6"/>
        </w:rPr>
        <w:t xml:space="preserve"> </w:t>
      </w:r>
      <w:r>
        <w:rPr>
          <w:color w:val="231F20"/>
        </w:rPr>
        <w:t>actual</w:t>
      </w:r>
      <w:r>
        <w:rPr>
          <w:color w:val="231F20"/>
          <w:spacing w:val="-6"/>
        </w:rPr>
        <w:t xml:space="preserve"> </w:t>
      </w:r>
      <w:r>
        <w:rPr>
          <w:color w:val="231F20"/>
        </w:rPr>
        <w:t>methods</w:t>
      </w:r>
      <w:r>
        <w:rPr>
          <w:color w:val="231F20"/>
          <w:spacing w:val="-6"/>
        </w:rPr>
        <w:t xml:space="preserve"> </w:t>
      </w:r>
      <w:r>
        <w:rPr>
          <w:color w:val="231F20"/>
        </w:rPr>
        <w:t>of</w:t>
      </w:r>
      <w:r>
        <w:rPr>
          <w:color w:val="231F20"/>
          <w:spacing w:val="-6"/>
        </w:rPr>
        <w:t xml:space="preserve"> </w:t>
      </w:r>
      <w:r>
        <w:rPr>
          <w:color w:val="231F20"/>
        </w:rPr>
        <w:t xml:space="preserve">intervention, which remain those that were appropriate for the working class during the phase of competitive capitalism and parliamentarianism. They were appropriate in the period when Rosa Luxemburg, looking at the mass strikes in Russia in </w:t>
      </w:r>
      <w:r>
        <w:rPr>
          <w:color w:val="231F20"/>
          <w:spacing w:val="-5"/>
        </w:rPr>
        <w:t xml:space="preserve">1905, </w:t>
      </w:r>
      <w:r>
        <w:rPr>
          <w:color w:val="231F20"/>
        </w:rPr>
        <w:t xml:space="preserve">recognized the immense importance of strikes in the political struggle and Lenin recognized the importance of union struggles. It is the contradiction between their use of the German </w:t>
      </w:r>
      <w:r>
        <w:rPr>
          <w:color w:val="231F20"/>
          <w:spacing w:val="-3"/>
        </w:rPr>
        <w:t>work</w:t>
      </w:r>
      <w:r>
        <w:rPr>
          <w:color w:val="231F20"/>
        </w:rPr>
        <w:t xml:space="preserve">ing class as their historical reference point, and the increasing tendency today of </w:t>
      </w:r>
      <w:r>
        <w:rPr>
          <w:color w:val="231F20"/>
          <w:spacing w:val="-3"/>
        </w:rPr>
        <w:t xml:space="preserve">West </w:t>
      </w:r>
      <w:r>
        <w:rPr>
          <w:color w:val="231F20"/>
        </w:rPr>
        <w:t xml:space="preserve">German capitalism to organize itself in the form of </w:t>
      </w:r>
      <w:r>
        <w:rPr>
          <w:color w:val="231F20"/>
          <w:spacing w:val="-3"/>
        </w:rPr>
        <w:t xml:space="preserve">West </w:t>
      </w:r>
      <w:r>
        <w:rPr>
          <w:color w:val="231F20"/>
        </w:rPr>
        <w:t>German</w:t>
      </w:r>
      <w:r>
        <w:rPr>
          <w:color w:val="231F20"/>
          <w:spacing w:val="10"/>
        </w:rPr>
        <w:t xml:space="preserve"> </w:t>
      </w:r>
      <w:r>
        <w:rPr>
          <w:color w:val="231F20"/>
        </w:rPr>
        <w:t>imperialism.</w:t>
      </w:r>
    </w:p>
    <w:p w14:paraId="29B211DD" w14:textId="77777777" w:rsidR="002653E8" w:rsidRDefault="003115E3">
      <w:pPr>
        <w:pStyle w:val="a3"/>
        <w:spacing w:line="264" w:lineRule="auto"/>
        <w:ind w:left="1327" w:right="1145" w:firstLine="209"/>
        <w:jc w:val="both"/>
      </w:pPr>
      <w:r>
        <w:rPr>
          <w:color w:val="231F20"/>
        </w:rPr>
        <w:t xml:space="preserve">A section of the left still sees the </w:t>
      </w:r>
      <w:r w:rsidR="00C507A5">
        <w:rPr>
          <w:color w:val="231F20"/>
          <w:spacing w:val="5"/>
        </w:rPr>
        <w:t>red army faction</w:t>
      </w:r>
      <w:r>
        <w:rPr>
          <w:color w:val="231F20"/>
          <w:spacing w:val="5"/>
        </w:rPr>
        <w:t xml:space="preserve"> </w:t>
      </w:r>
      <w:r>
        <w:rPr>
          <w:color w:val="231F20"/>
        </w:rPr>
        <w:t xml:space="preserve">as Baader and Meinhof’s personal thing and—like Howeida, the </w:t>
      </w:r>
      <w:r>
        <w:rPr>
          <w:i/>
          <w:color w:val="231F20"/>
        </w:rPr>
        <w:t xml:space="preserve">Bild </w:t>
      </w:r>
      <w:r>
        <w:rPr>
          <w:color w:val="231F20"/>
        </w:rPr>
        <w:t xml:space="preserve">and the </w:t>
      </w:r>
      <w:r>
        <w:rPr>
          <w:i/>
          <w:color w:val="231F20"/>
          <w:spacing w:val="1"/>
        </w:rPr>
        <w:t>BZ</w:t>
      </w:r>
      <w:r>
        <w:rPr>
          <w:color w:val="231F20"/>
          <w:spacing w:val="1"/>
        </w:rPr>
        <w:t xml:space="preserve">—discusses </w:t>
      </w:r>
      <w:r>
        <w:rPr>
          <w:color w:val="231F20"/>
        </w:rPr>
        <w:t xml:space="preserve">armed struggle as if it were a form of criminal activity. </w:t>
      </w:r>
      <w:r>
        <w:rPr>
          <w:color w:val="231F20"/>
          <w:spacing w:val="1"/>
        </w:rPr>
        <w:t xml:space="preserve">In </w:t>
      </w:r>
      <w:r>
        <w:rPr>
          <w:color w:val="231F20"/>
        </w:rPr>
        <w:t>a similar vein, they also attribute our activity to faulty reasoning and misrepresent our positions. As a result, they will fail to resolve the contradiction between what they know to be the state of the class struggle, and what they perceive to be the revolutionary methods of intervention. They transform the objective problem that we all face into our subjective problem alone. They conduct themselves as if they fear the difficult task ahead   of them—they bury their heads in the sand and refuse to think about it. The denunciation of the concept of the urban guerilla within a section  of the left succeeds far too easily and without much thought, thereby allowing us to see the growing distance between their theory and their practice, a distance that we do not believe can be closed by our efforts alone. Their claim that they are actually involved in this debate proves, we</w:t>
      </w:r>
      <w:r>
        <w:rPr>
          <w:color w:val="231F20"/>
          <w:spacing w:val="10"/>
        </w:rPr>
        <w:t xml:space="preserve"> </w:t>
      </w:r>
      <w:r>
        <w:rPr>
          <w:color w:val="231F20"/>
        </w:rPr>
        <w:t>think,</w:t>
      </w:r>
      <w:r>
        <w:rPr>
          <w:color w:val="231F20"/>
          <w:spacing w:val="10"/>
        </w:rPr>
        <w:t xml:space="preserve"> </w:t>
      </w:r>
      <w:r>
        <w:rPr>
          <w:color w:val="231F20"/>
        </w:rPr>
        <w:t>that</w:t>
      </w:r>
      <w:r>
        <w:rPr>
          <w:color w:val="231F20"/>
          <w:spacing w:val="10"/>
        </w:rPr>
        <w:t xml:space="preserve"> </w:t>
      </w:r>
      <w:r>
        <w:rPr>
          <w:color w:val="231F20"/>
        </w:rPr>
        <w:t>we</w:t>
      </w:r>
      <w:r>
        <w:rPr>
          <w:color w:val="231F20"/>
          <w:spacing w:val="10"/>
        </w:rPr>
        <w:t xml:space="preserve"> </w:t>
      </w:r>
      <w:r>
        <w:rPr>
          <w:color w:val="231F20"/>
        </w:rPr>
        <w:t>and</w:t>
      </w:r>
      <w:r>
        <w:rPr>
          <w:color w:val="231F20"/>
          <w:spacing w:val="10"/>
        </w:rPr>
        <w:t xml:space="preserve"> </w:t>
      </w:r>
      <w:r>
        <w:rPr>
          <w:color w:val="231F20"/>
        </w:rPr>
        <w:t>they</w:t>
      </w:r>
      <w:r>
        <w:rPr>
          <w:color w:val="231F20"/>
          <w:spacing w:val="10"/>
        </w:rPr>
        <w:t xml:space="preserve"> </w:t>
      </w:r>
      <w:r>
        <w:rPr>
          <w:color w:val="231F20"/>
        </w:rPr>
        <w:t>have</w:t>
      </w:r>
      <w:r>
        <w:rPr>
          <w:color w:val="231F20"/>
          <w:spacing w:val="10"/>
        </w:rPr>
        <w:t xml:space="preserve"> </w:t>
      </w:r>
      <w:r>
        <w:rPr>
          <w:color w:val="231F20"/>
        </w:rPr>
        <w:t>different</w:t>
      </w:r>
      <w:r>
        <w:rPr>
          <w:color w:val="231F20"/>
          <w:spacing w:val="10"/>
        </w:rPr>
        <w:t xml:space="preserve"> </w:t>
      </w:r>
      <w:r>
        <w:rPr>
          <w:color w:val="231F20"/>
        </w:rPr>
        <w:t>self-perceptions.</w:t>
      </w:r>
    </w:p>
    <w:p w14:paraId="2F640A00" w14:textId="77777777" w:rsidR="002653E8" w:rsidRDefault="003115E3">
      <w:pPr>
        <w:pStyle w:val="a3"/>
        <w:spacing w:line="217" w:lineRule="exact"/>
        <w:ind w:left="1537"/>
      </w:pPr>
      <w:r>
        <w:rPr>
          <w:color w:val="231F20"/>
        </w:rPr>
        <w:t>A year ago, we said that the urban guerilla unites the national and</w:t>
      </w:r>
    </w:p>
    <w:p w14:paraId="2BE07D1D" w14:textId="77777777" w:rsidR="002653E8" w:rsidRDefault="003115E3" w:rsidP="008977A8">
      <w:pPr>
        <w:pStyle w:val="a3"/>
        <w:spacing w:before="8" w:line="264" w:lineRule="auto"/>
        <w:ind w:left="1327" w:right="1145"/>
        <w:jc w:val="both"/>
        <w:sectPr w:rsidR="002653E8">
          <w:pgSz w:w="8640" w:h="12960"/>
          <w:pgMar w:top="1060" w:right="0" w:bottom="1040" w:left="0" w:header="0" w:footer="850" w:gutter="0"/>
          <w:cols w:space="720"/>
        </w:sectPr>
      </w:pPr>
      <w:r>
        <w:rPr>
          <w:color w:val="231F20"/>
        </w:rPr>
        <w:t xml:space="preserve">international class struggle. The urban guerilla makes it possible for the people to become aware of the interconnectedness of imperialist rule. The urban guerilla is the revolutionary form of intervention suited to  an overall position of weakness. </w:t>
      </w:r>
      <w:r>
        <w:rPr>
          <w:color w:val="231F20"/>
          <w:spacing w:val="2"/>
        </w:rPr>
        <w:t xml:space="preserve">An </w:t>
      </w:r>
      <w:r>
        <w:rPr>
          <w:color w:val="231F20"/>
        </w:rPr>
        <w:t xml:space="preserve">advance in the class struggle only occurs if legal and illegal work are connected, if political propaganda  has a perspective that includes armed struggle and if political organization includes the possibility of the urban guerilla. This was made clear through the concrete example of the chemical workers strike in </w:t>
      </w:r>
      <w:r>
        <w:rPr>
          <w:color w:val="231F20"/>
          <w:spacing w:val="-4"/>
        </w:rPr>
        <w:t xml:space="preserve">1971, </w:t>
      </w:r>
      <w:r>
        <w:rPr>
          <w:color w:val="231F20"/>
        </w:rPr>
        <w:t>which showed the objective reality of the social question, the</w:t>
      </w:r>
      <w:r w:rsidR="008977A8">
        <w:rPr>
          <w:color w:val="231F20"/>
          <w:spacing w:val="1"/>
        </w:rPr>
        <w:t xml:space="preserve">  </w:t>
      </w:r>
    </w:p>
    <w:p w14:paraId="5E2C9694" w14:textId="77777777" w:rsidR="002653E8" w:rsidRDefault="008977A8">
      <w:pPr>
        <w:pStyle w:val="a3"/>
        <w:spacing w:before="86" w:line="264" w:lineRule="auto"/>
        <w:ind w:left="1147" w:right="1325"/>
      </w:pPr>
      <w:r w:rsidRPr="008977A8">
        <w:rPr>
          <w:color w:val="231F20"/>
        </w:rPr>
        <w:lastRenderedPageBreak/>
        <w:t>subjective</w:t>
      </w:r>
      <w:r>
        <w:rPr>
          <w:color w:val="231F20"/>
        </w:rPr>
        <w:t xml:space="preserve"> </w:t>
      </w:r>
      <w:r w:rsidR="003115E3">
        <w:rPr>
          <w:color w:val="231F20"/>
        </w:rPr>
        <w:t>reality of the question of capitalist ownership and the militarization of the class struggle in West Germany and West Berlin.</w:t>
      </w:r>
    </w:p>
    <w:p w14:paraId="6F998BD2" w14:textId="77777777" w:rsidR="002653E8" w:rsidRDefault="002653E8">
      <w:pPr>
        <w:pStyle w:val="a3"/>
        <w:rPr>
          <w:sz w:val="22"/>
        </w:rPr>
      </w:pPr>
    </w:p>
    <w:p w14:paraId="7095F23E" w14:textId="77777777" w:rsidR="002653E8" w:rsidRDefault="003115E3">
      <w:pPr>
        <w:spacing w:before="133" w:line="276" w:lineRule="auto"/>
        <w:ind w:left="1567" w:right="1745"/>
        <w:jc w:val="both"/>
        <w:rPr>
          <w:i/>
          <w:sz w:val="19"/>
        </w:rPr>
      </w:pPr>
      <w:r>
        <w:rPr>
          <w:i/>
          <w:color w:val="231F20"/>
          <w:w w:val="105"/>
          <w:sz w:val="19"/>
        </w:rPr>
        <w:t>In the current phase of history no one can any longer deny that an armed group, however small it may be, has more of a chance of becoming a people’s army than a group that has been</w:t>
      </w:r>
      <w:r>
        <w:rPr>
          <w:i/>
          <w:color w:val="231F20"/>
          <w:spacing w:val="-24"/>
          <w:w w:val="105"/>
          <w:sz w:val="19"/>
        </w:rPr>
        <w:t xml:space="preserve"> </w:t>
      </w:r>
      <w:r>
        <w:rPr>
          <w:i/>
          <w:color w:val="231F20"/>
          <w:w w:val="105"/>
          <w:sz w:val="19"/>
        </w:rPr>
        <w:t>reduced to spouting revolutionary</w:t>
      </w:r>
      <w:r>
        <w:rPr>
          <w:i/>
          <w:color w:val="231F20"/>
          <w:spacing w:val="20"/>
          <w:w w:val="105"/>
          <w:sz w:val="19"/>
        </w:rPr>
        <w:t xml:space="preserve"> </w:t>
      </w:r>
      <w:r>
        <w:rPr>
          <w:i/>
          <w:color w:val="231F20"/>
          <w:w w:val="105"/>
          <w:sz w:val="19"/>
        </w:rPr>
        <w:t>rhetoric.</w:t>
      </w:r>
    </w:p>
    <w:p w14:paraId="437B3793" w14:textId="77777777" w:rsidR="002653E8" w:rsidRDefault="003115E3">
      <w:pPr>
        <w:spacing w:before="39"/>
        <w:ind w:left="4465"/>
        <w:rPr>
          <w:sz w:val="11"/>
        </w:rPr>
      </w:pPr>
      <w:r>
        <w:rPr>
          <w:i/>
          <w:color w:val="231F20"/>
          <w:w w:val="105"/>
          <w:sz w:val="19"/>
        </w:rPr>
        <w:t>30 Questions to a Tupamaro</w:t>
      </w:r>
      <w:r>
        <w:rPr>
          <w:color w:val="231F20"/>
          <w:w w:val="105"/>
          <w:position w:val="6"/>
          <w:sz w:val="11"/>
        </w:rPr>
        <w:t>1</w:t>
      </w:r>
    </w:p>
    <w:p w14:paraId="690FD067" w14:textId="77777777" w:rsidR="002653E8" w:rsidRDefault="002653E8">
      <w:pPr>
        <w:pStyle w:val="a3"/>
        <w:rPr>
          <w:sz w:val="22"/>
        </w:rPr>
      </w:pPr>
    </w:p>
    <w:p w14:paraId="1EBADCA2" w14:textId="77777777" w:rsidR="002653E8" w:rsidRDefault="002653E8">
      <w:pPr>
        <w:pStyle w:val="a3"/>
        <w:spacing w:before="4"/>
        <w:rPr>
          <w:sz w:val="30"/>
        </w:rPr>
      </w:pPr>
    </w:p>
    <w:p w14:paraId="01AEE4D5" w14:textId="77777777" w:rsidR="002653E8" w:rsidRDefault="003115E3">
      <w:pPr>
        <w:numPr>
          <w:ilvl w:val="0"/>
          <w:numId w:val="152"/>
        </w:numPr>
        <w:tabs>
          <w:tab w:val="left" w:pos="1478"/>
        </w:tabs>
        <w:ind w:left="1477" w:hanging="330"/>
      </w:pPr>
      <w:r>
        <w:rPr>
          <w:color w:val="231F20"/>
          <w:w w:val="120"/>
        </w:rPr>
        <w:t xml:space="preserve">. </w:t>
      </w:r>
      <w:r>
        <w:rPr>
          <w:color w:val="231F20"/>
          <w:spacing w:val="16"/>
          <w:w w:val="120"/>
        </w:rPr>
        <w:t xml:space="preserve">the </w:t>
      </w:r>
      <w:r>
        <w:rPr>
          <w:color w:val="231F20"/>
          <w:spacing w:val="20"/>
          <w:w w:val="120"/>
        </w:rPr>
        <w:t xml:space="preserve">chemical </w:t>
      </w:r>
      <w:r>
        <w:rPr>
          <w:color w:val="231F20"/>
          <w:spacing w:val="13"/>
          <w:w w:val="120"/>
        </w:rPr>
        <w:t xml:space="preserve">work </w:t>
      </w:r>
      <w:r>
        <w:rPr>
          <w:color w:val="231F20"/>
          <w:spacing w:val="15"/>
          <w:w w:val="120"/>
        </w:rPr>
        <w:t xml:space="preserve">ers </w:t>
      </w:r>
      <w:r>
        <w:rPr>
          <w:color w:val="231F20"/>
          <w:spacing w:val="18"/>
          <w:w w:val="120"/>
        </w:rPr>
        <w:t>strik</w:t>
      </w:r>
      <w:r>
        <w:rPr>
          <w:color w:val="231F20"/>
          <w:w w:val="120"/>
        </w:rPr>
        <w:t xml:space="preserve">e </w:t>
      </w:r>
      <w:r>
        <w:rPr>
          <w:color w:val="231F20"/>
          <w:spacing w:val="7"/>
          <w:w w:val="120"/>
        </w:rPr>
        <w:t>of</w:t>
      </w:r>
      <w:r>
        <w:rPr>
          <w:color w:val="231F20"/>
          <w:spacing w:val="33"/>
          <w:w w:val="120"/>
        </w:rPr>
        <w:t xml:space="preserve"> </w:t>
      </w:r>
      <w:r>
        <w:rPr>
          <w:color w:val="231F20"/>
          <w:spacing w:val="10"/>
          <w:w w:val="120"/>
        </w:rPr>
        <w:t>1971</w:t>
      </w:r>
    </w:p>
    <w:p w14:paraId="2D8D78C7" w14:textId="77777777" w:rsidR="002653E8" w:rsidRDefault="003115E3">
      <w:pPr>
        <w:pStyle w:val="a3"/>
        <w:spacing w:before="18" w:line="264" w:lineRule="auto"/>
        <w:ind w:left="1147" w:right="1326"/>
        <w:jc w:val="both"/>
      </w:pPr>
      <w:r>
        <w:rPr>
          <w:color w:val="231F20"/>
        </w:rPr>
        <w:t xml:space="preserve">The widespread strikes in the chemical and metal industries in </w:t>
      </w:r>
      <w:r>
        <w:rPr>
          <w:color w:val="231F20"/>
          <w:spacing w:val="-4"/>
        </w:rPr>
        <w:t xml:space="preserve">1971— </w:t>
      </w:r>
      <w:r>
        <w:rPr>
          <w:color w:val="231F20"/>
        </w:rPr>
        <w:t xml:space="preserve">among the most developed industries in </w:t>
      </w:r>
      <w:r>
        <w:rPr>
          <w:color w:val="231F20"/>
          <w:spacing w:val="-3"/>
        </w:rPr>
        <w:t xml:space="preserve">West </w:t>
      </w:r>
      <w:r>
        <w:rPr>
          <w:color w:val="231F20"/>
        </w:rPr>
        <w:t>Europe—made it clear what the problems facing the working class will be in the coming years. They exhibited a widespread readiness to struggle on the part of the workforce, while simultaneously showing the economic and political advantages</w:t>
      </w:r>
      <w:r>
        <w:rPr>
          <w:color w:val="231F20"/>
          <w:spacing w:val="-5"/>
        </w:rPr>
        <w:t xml:space="preserve"> </w:t>
      </w:r>
      <w:r>
        <w:rPr>
          <w:color w:val="231F20"/>
        </w:rPr>
        <w:t>the</w:t>
      </w:r>
      <w:r>
        <w:rPr>
          <w:color w:val="231F20"/>
          <w:spacing w:val="-5"/>
        </w:rPr>
        <w:t xml:space="preserve"> </w:t>
      </w:r>
      <w:r>
        <w:rPr>
          <w:color w:val="231F20"/>
        </w:rPr>
        <w:t>chemical</w:t>
      </w:r>
      <w:r>
        <w:rPr>
          <w:color w:val="231F20"/>
          <w:spacing w:val="-5"/>
        </w:rPr>
        <w:t xml:space="preserve"> </w:t>
      </w:r>
      <w:r>
        <w:rPr>
          <w:color w:val="231F20"/>
        </w:rPr>
        <w:t>and</w:t>
      </w:r>
      <w:r>
        <w:rPr>
          <w:color w:val="231F20"/>
          <w:spacing w:val="-5"/>
        </w:rPr>
        <w:t xml:space="preserve"> </w:t>
      </w:r>
      <w:r>
        <w:rPr>
          <w:color w:val="231F20"/>
        </w:rPr>
        <w:t>metal</w:t>
      </w:r>
      <w:r>
        <w:rPr>
          <w:color w:val="231F20"/>
          <w:spacing w:val="-5"/>
        </w:rPr>
        <w:t xml:space="preserve"> </w:t>
      </w:r>
      <w:r>
        <w:rPr>
          <w:color w:val="231F20"/>
        </w:rPr>
        <w:t>industries</w:t>
      </w:r>
      <w:r>
        <w:rPr>
          <w:color w:val="231F20"/>
          <w:spacing w:val="-5"/>
        </w:rPr>
        <w:t xml:space="preserve"> </w:t>
      </w:r>
      <w:r>
        <w:rPr>
          <w:color w:val="231F20"/>
        </w:rPr>
        <w:t>have</w:t>
      </w:r>
      <w:r>
        <w:rPr>
          <w:color w:val="231F20"/>
          <w:spacing w:val="-5"/>
        </w:rPr>
        <w:t xml:space="preserve"> </w:t>
      </w:r>
      <w:r>
        <w:rPr>
          <w:color w:val="231F20"/>
        </w:rPr>
        <w:t>vis-à-vis</w:t>
      </w:r>
      <w:r>
        <w:rPr>
          <w:color w:val="231F20"/>
          <w:spacing w:val="-5"/>
        </w:rPr>
        <w:t xml:space="preserve"> </w:t>
      </w:r>
      <w:r>
        <w:rPr>
          <w:color w:val="231F20"/>
        </w:rPr>
        <w:t>the</w:t>
      </w:r>
      <w:r>
        <w:rPr>
          <w:color w:val="231F20"/>
          <w:spacing w:val="-5"/>
        </w:rPr>
        <w:t xml:space="preserve"> </w:t>
      </w:r>
      <w:r>
        <w:rPr>
          <w:color w:val="231F20"/>
        </w:rPr>
        <w:t>working class; they showed the complicity of the union bureaucracies with the Social-Liberal government and the role of the government as the executive organ of this “corporate</w:t>
      </w:r>
      <w:r>
        <w:rPr>
          <w:color w:val="231F20"/>
          <w:spacing w:val="13"/>
        </w:rPr>
        <w:t xml:space="preserve"> </w:t>
      </w:r>
      <w:r>
        <w:rPr>
          <w:color w:val="231F20"/>
        </w:rPr>
        <w:t>state.”</w:t>
      </w:r>
    </w:p>
    <w:p w14:paraId="275F2305" w14:textId="77777777" w:rsidR="002653E8" w:rsidRDefault="003115E3">
      <w:pPr>
        <w:pStyle w:val="a3"/>
        <w:spacing w:line="264" w:lineRule="auto"/>
        <w:ind w:left="1147" w:right="1326" w:firstLine="210"/>
        <w:jc w:val="both"/>
      </w:pPr>
      <w:r>
        <w:rPr>
          <w:color w:val="231F20"/>
        </w:rPr>
        <w:t xml:space="preserve">The workers lost the strikes. They struck for </w:t>
      </w:r>
      <w:r>
        <w:rPr>
          <w:color w:val="231F20"/>
          <w:spacing w:val="-4"/>
        </w:rPr>
        <w:t xml:space="preserve">11 </w:t>
      </w:r>
      <w:r>
        <w:rPr>
          <w:color w:val="231F20"/>
        </w:rPr>
        <w:t xml:space="preserve">and </w:t>
      </w:r>
      <w:r>
        <w:rPr>
          <w:color w:val="231F20"/>
          <w:spacing w:val="-3"/>
        </w:rPr>
        <w:t xml:space="preserve">12 </w:t>
      </w:r>
      <w:r>
        <w:rPr>
          <w:color w:val="231F20"/>
        </w:rPr>
        <w:t xml:space="preserve">percent, and the unions settled with the employers for </w:t>
      </w:r>
      <w:r>
        <w:rPr>
          <w:color w:val="231F20"/>
          <w:spacing w:val="-8"/>
        </w:rPr>
        <w:t xml:space="preserve">7.8 </w:t>
      </w:r>
      <w:r>
        <w:rPr>
          <w:color w:val="231F20"/>
        </w:rPr>
        <w:t xml:space="preserve">and </w:t>
      </w:r>
      <w:r>
        <w:rPr>
          <w:color w:val="231F20"/>
          <w:spacing w:val="-12"/>
        </w:rPr>
        <w:t xml:space="preserve">7.5 </w:t>
      </w:r>
      <w:r>
        <w:rPr>
          <w:color w:val="231F20"/>
        </w:rPr>
        <w:t xml:space="preserve">percent. The situation that socialists in the Federal Republic and </w:t>
      </w:r>
      <w:r>
        <w:rPr>
          <w:color w:val="231F20"/>
          <w:spacing w:val="-3"/>
        </w:rPr>
        <w:t xml:space="preserve">West  </w:t>
      </w:r>
      <w:r>
        <w:rPr>
          <w:color w:val="231F20"/>
        </w:rPr>
        <w:t>Berlin will face    in coming years was certainly clarified by this strike: subjectively, an increase in readiness to struggle on the part of the working class and, objectively, the reduced capacity to struggle; objectively, a decrease in wages and the loss of “vested social rights,” subjectively, increased class antagonism and class</w:t>
      </w:r>
      <w:r>
        <w:rPr>
          <w:color w:val="231F20"/>
          <w:spacing w:val="32"/>
        </w:rPr>
        <w:t xml:space="preserve"> </w:t>
      </w:r>
      <w:r>
        <w:rPr>
          <w:color w:val="231F20"/>
        </w:rPr>
        <w:t>hatred.</w:t>
      </w:r>
    </w:p>
    <w:p w14:paraId="07CF2E31" w14:textId="77777777" w:rsidR="002653E8" w:rsidRDefault="00000000">
      <w:pPr>
        <w:pStyle w:val="a3"/>
        <w:spacing w:line="264" w:lineRule="auto"/>
        <w:ind w:left="1147" w:right="1326" w:firstLine="210"/>
        <w:jc w:val="both"/>
      </w:pPr>
      <w:r>
        <w:rPr>
          <w:noProof w:val="0"/>
        </w:rPr>
        <w:pict w14:anchorId="7EE6EDE2">
          <v:line id="_x0000_s2571" style="position:absolute;left:0;text-align:left;z-index:4168;mso-wrap-distance-left:0;mso-wrap-distance-right:0;mso-position-horizontal-relative:page" from="57.4pt,97.05pt" to="129.4pt,97.05pt" strokecolor="#231f20" strokeweight=".5pt">
            <w10:wrap type="topAndBottom" anchorx="page"/>
          </v:line>
        </w:pict>
      </w:r>
      <w:r w:rsidR="003115E3">
        <w:rPr>
          <w:color w:val="231F20"/>
        </w:rPr>
        <w:t xml:space="preserve">Economically speaking, the strength of the chemical  industry  was the result of the trends towards concentration and the export of capital which have been forced upon the entire </w:t>
      </w:r>
      <w:r w:rsidR="003115E3">
        <w:rPr>
          <w:color w:val="231F20"/>
          <w:spacing w:val="-3"/>
        </w:rPr>
        <w:t xml:space="preserve">West </w:t>
      </w:r>
      <w:r w:rsidR="003115E3">
        <w:rPr>
          <w:color w:val="231F20"/>
        </w:rPr>
        <w:t xml:space="preserve">European economy by North American competition. Politically, it was the result of the  lessons that </w:t>
      </w:r>
      <w:r w:rsidR="003115E3">
        <w:rPr>
          <w:color w:val="231F20"/>
          <w:spacing w:val="-3"/>
        </w:rPr>
        <w:t xml:space="preserve">West </w:t>
      </w:r>
      <w:r w:rsidR="003115E3">
        <w:rPr>
          <w:color w:val="231F20"/>
        </w:rPr>
        <w:t>German industry drew from May 68 in France and the wildcat strikes of September 69. Their counteroffensive against the September strikes here certainly increased class</w:t>
      </w:r>
      <w:r w:rsidR="003115E3">
        <w:rPr>
          <w:color w:val="231F20"/>
          <w:spacing w:val="37"/>
        </w:rPr>
        <w:t xml:space="preserve"> </w:t>
      </w:r>
      <w:r w:rsidR="003115E3">
        <w:rPr>
          <w:color w:val="231F20"/>
        </w:rPr>
        <w:t>consciousness.</w:t>
      </w:r>
    </w:p>
    <w:p w14:paraId="322BCA32" w14:textId="77777777" w:rsidR="002653E8" w:rsidRDefault="003115E3">
      <w:pPr>
        <w:spacing w:before="53" w:line="254" w:lineRule="auto"/>
        <w:ind w:left="1147" w:right="1145"/>
        <w:rPr>
          <w:sz w:val="16"/>
        </w:rPr>
      </w:pPr>
      <w:r>
        <w:rPr>
          <w:color w:val="231F20"/>
          <w:w w:val="105"/>
          <w:sz w:val="16"/>
        </w:rPr>
        <w:t>1 The Tupamaros were a guerilla group in Uruguay at the time. This short interview started circulating as an internal document in 1967, and was first made public in</w:t>
      </w:r>
    </w:p>
    <w:p w14:paraId="54F8A313" w14:textId="77777777" w:rsidR="002653E8" w:rsidRDefault="003115E3">
      <w:pPr>
        <w:spacing w:before="1" w:line="254" w:lineRule="auto"/>
        <w:ind w:left="1147" w:right="1580"/>
        <w:rPr>
          <w:sz w:val="16"/>
        </w:rPr>
      </w:pPr>
      <w:r>
        <w:rPr>
          <w:color w:val="231F20"/>
          <w:w w:val="105"/>
          <w:sz w:val="16"/>
        </w:rPr>
        <w:t>a Chilean journal in mid-1968. Within a few years, it had become a text of some importance to the revolutionary edge of the New Left in the metropole.</w:t>
      </w:r>
    </w:p>
    <w:p w14:paraId="6194F19B" w14:textId="77777777" w:rsidR="002653E8" w:rsidRDefault="002653E8">
      <w:pPr>
        <w:spacing w:line="254" w:lineRule="auto"/>
        <w:rPr>
          <w:sz w:val="16"/>
        </w:rPr>
        <w:sectPr w:rsidR="002653E8">
          <w:pgSz w:w="8640" w:h="12960"/>
          <w:pgMar w:top="1060" w:right="0" w:bottom="1040" w:left="0" w:header="0" w:footer="850" w:gutter="0"/>
          <w:cols w:space="720"/>
        </w:sectPr>
      </w:pPr>
    </w:p>
    <w:p w14:paraId="2A05C21E" w14:textId="77777777" w:rsidR="002653E8" w:rsidRDefault="003115E3">
      <w:pPr>
        <w:spacing w:before="66"/>
        <w:ind w:left="1327"/>
        <w:rPr>
          <w:i/>
          <w:sz w:val="20"/>
        </w:rPr>
      </w:pPr>
      <w:r>
        <w:rPr>
          <w:i/>
          <w:color w:val="231F20"/>
          <w:w w:val="105"/>
          <w:sz w:val="20"/>
        </w:rPr>
        <w:lastRenderedPageBreak/>
        <w:t>Concentration</w:t>
      </w:r>
    </w:p>
    <w:p w14:paraId="39F4C793" w14:textId="77777777" w:rsidR="002653E8" w:rsidRDefault="003115E3">
      <w:pPr>
        <w:pStyle w:val="a3"/>
        <w:spacing w:before="23" w:line="264" w:lineRule="auto"/>
        <w:ind w:left="1327" w:right="1146"/>
        <w:jc w:val="both"/>
      </w:pPr>
      <w:r>
        <w:rPr>
          <w:color w:val="231F20"/>
        </w:rPr>
        <w:t xml:space="preserve">Due to their size and technological advantages, the large American industrialists can achieve lower production costs despite paying higher wages. Hugh Stephenson of </w:t>
      </w:r>
      <w:r>
        <w:rPr>
          <w:i/>
          <w:color w:val="231F20"/>
        </w:rPr>
        <w:t xml:space="preserve">Time </w:t>
      </w:r>
      <w:r>
        <w:rPr>
          <w:color w:val="231F20"/>
        </w:rPr>
        <w:t>magazine:</w:t>
      </w:r>
    </w:p>
    <w:p w14:paraId="7E992199" w14:textId="77777777" w:rsidR="002653E8" w:rsidRDefault="003115E3">
      <w:pPr>
        <w:spacing w:before="165" w:line="276" w:lineRule="auto"/>
        <w:ind w:left="1747" w:right="1559"/>
        <w:jc w:val="both"/>
        <w:rPr>
          <w:i/>
          <w:sz w:val="19"/>
        </w:rPr>
      </w:pPr>
      <w:r>
        <w:rPr>
          <w:i/>
          <w:color w:val="231F20"/>
          <w:sz w:val="19"/>
        </w:rPr>
        <w:t xml:space="preserve">the problem of size is not essentially one of the size of factory installations, rather the </w:t>
      </w:r>
      <w:r>
        <w:rPr>
          <w:i/>
          <w:color w:val="231F20"/>
          <w:spacing w:val="-3"/>
          <w:sz w:val="19"/>
        </w:rPr>
        <w:t xml:space="preserve">key </w:t>
      </w:r>
      <w:r>
        <w:rPr>
          <w:i/>
          <w:color w:val="231F20"/>
          <w:sz w:val="19"/>
        </w:rPr>
        <w:t xml:space="preserve">is understanding the grandeur of the financial and economic factors that stand behind this. A large volume of  business  means  almost  nothing.  </w:t>
      </w:r>
      <w:r>
        <w:rPr>
          <w:i/>
          <w:color w:val="231F20"/>
          <w:spacing w:val="-4"/>
          <w:sz w:val="19"/>
        </w:rPr>
        <w:t xml:space="preserve">However,  </w:t>
      </w:r>
      <w:r>
        <w:rPr>
          <w:i/>
          <w:color w:val="231F20"/>
          <w:sz w:val="19"/>
        </w:rPr>
        <w:t>it  does  have advantageous implications regarding dominant market position. And that is an advantage that can’t be achieved without substantial investment in modern industry, even if it is not in the area of developing technologies. The type of competition between industrialists in developing branches of industry, such as the automobile, chemical and oil industries, has completely changed. The cost of new investments is so high for the enterprises involved that as stable a future market as the intense competition allows   for must be guaranteed. Under these circumstances, it is inevitable that European industry must in the future enter a phase of concentration into fewer and larger</w:t>
      </w:r>
      <w:r>
        <w:rPr>
          <w:i/>
          <w:color w:val="231F20"/>
          <w:spacing w:val="12"/>
          <w:sz w:val="19"/>
        </w:rPr>
        <w:t xml:space="preserve"> </w:t>
      </w:r>
      <w:r>
        <w:rPr>
          <w:i/>
          <w:color w:val="231F20"/>
          <w:sz w:val="19"/>
        </w:rPr>
        <w:t>groups.</w:t>
      </w:r>
    </w:p>
    <w:p w14:paraId="53AAEA8F" w14:textId="77777777" w:rsidR="002653E8" w:rsidRDefault="003115E3">
      <w:pPr>
        <w:spacing w:before="37"/>
        <w:ind w:left="4727"/>
        <w:rPr>
          <w:sz w:val="19"/>
        </w:rPr>
      </w:pPr>
      <w:r>
        <w:rPr>
          <w:i/>
          <w:color w:val="231F20"/>
          <w:w w:val="105"/>
          <w:sz w:val="19"/>
        </w:rPr>
        <w:t>Die Welt</w:t>
      </w:r>
      <w:r>
        <w:rPr>
          <w:color w:val="231F20"/>
          <w:w w:val="105"/>
          <w:sz w:val="19"/>
        </w:rPr>
        <w:t>, February 23, 1972</w:t>
      </w:r>
    </w:p>
    <w:p w14:paraId="5EF55314" w14:textId="77777777" w:rsidR="002653E8" w:rsidRDefault="002653E8">
      <w:pPr>
        <w:pStyle w:val="a3"/>
        <w:spacing w:before="1"/>
        <w:rPr>
          <w:sz w:val="30"/>
        </w:rPr>
      </w:pPr>
    </w:p>
    <w:p w14:paraId="04810C06" w14:textId="77777777" w:rsidR="002653E8" w:rsidRDefault="003115E3">
      <w:pPr>
        <w:ind w:left="1327"/>
        <w:rPr>
          <w:i/>
          <w:sz w:val="20"/>
        </w:rPr>
      </w:pPr>
      <w:r>
        <w:rPr>
          <w:i/>
          <w:color w:val="231F20"/>
          <w:w w:val="105"/>
          <w:sz w:val="20"/>
        </w:rPr>
        <w:t>Public Funds</w:t>
      </w:r>
    </w:p>
    <w:p w14:paraId="65B6E8EA" w14:textId="77777777" w:rsidR="002653E8" w:rsidRDefault="003115E3" w:rsidP="00157293">
      <w:pPr>
        <w:pStyle w:val="a3"/>
        <w:spacing w:before="22" w:line="264" w:lineRule="auto"/>
        <w:ind w:left="1327" w:right="1146"/>
        <w:jc w:val="both"/>
      </w:pPr>
      <w:r>
        <w:rPr>
          <w:color w:val="231F20"/>
        </w:rPr>
        <w:t>Concentration is the first reality. The influx of public funds to cover the costs of research and development is the second. North American industries have access to greater funds of this variety as a result of their size and the U.S.A.’s permanent war economy. In 1963-64, the U.S.A. used</w:t>
      </w:r>
      <w:r w:rsidR="00157293">
        <w:rPr>
          <w:rFonts w:eastAsiaTheme="minorEastAsia" w:hint="eastAsia"/>
        </w:rPr>
        <w:t xml:space="preserve"> </w:t>
      </w:r>
      <w:r>
        <w:rPr>
          <w:color w:val="231F20"/>
        </w:rPr>
        <w:t>3.3 percent of its gross national product for research purposes—compared to an average of 1.5 percent in West Europe. Hugh Stephenson:</w:t>
      </w:r>
    </w:p>
    <w:p w14:paraId="351255B1" w14:textId="77777777" w:rsidR="002653E8" w:rsidRDefault="003115E3">
      <w:pPr>
        <w:spacing w:before="122" w:line="276" w:lineRule="auto"/>
        <w:ind w:left="1747" w:right="1565"/>
        <w:jc w:val="both"/>
        <w:rPr>
          <w:i/>
          <w:sz w:val="19"/>
        </w:rPr>
      </w:pPr>
      <w:r>
        <w:rPr>
          <w:i/>
          <w:color w:val="231F20"/>
          <w:w w:val="105"/>
          <w:sz w:val="19"/>
        </w:rPr>
        <w:t>In</w:t>
      </w:r>
      <w:r>
        <w:rPr>
          <w:i/>
          <w:color w:val="231F20"/>
          <w:spacing w:val="-19"/>
          <w:w w:val="105"/>
          <w:sz w:val="19"/>
        </w:rPr>
        <w:t xml:space="preserve"> </w:t>
      </w:r>
      <w:r>
        <w:rPr>
          <w:i/>
          <w:color w:val="231F20"/>
          <w:w w:val="105"/>
          <w:sz w:val="19"/>
        </w:rPr>
        <w:t>the</w:t>
      </w:r>
      <w:r>
        <w:rPr>
          <w:i/>
          <w:color w:val="231F20"/>
          <w:spacing w:val="-19"/>
          <w:w w:val="105"/>
          <w:sz w:val="19"/>
        </w:rPr>
        <w:t xml:space="preserve"> </w:t>
      </w:r>
      <w:r>
        <w:rPr>
          <w:i/>
          <w:color w:val="231F20"/>
          <w:w w:val="105"/>
          <w:sz w:val="19"/>
        </w:rPr>
        <w:t>area</w:t>
      </w:r>
      <w:r>
        <w:rPr>
          <w:i/>
          <w:color w:val="231F20"/>
          <w:spacing w:val="-19"/>
          <w:w w:val="105"/>
          <w:sz w:val="19"/>
        </w:rPr>
        <w:t xml:space="preserve"> </w:t>
      </w:r>
      <w:r>
        <w:rPr>
          <w:i/>
          <w:color w:val="231F20"/>
          <w:w w:val="105"/>
          <w:sz w:val="19"/>
        </w:rPr>
        <w:t>of</w:t>
      </w:r>
      <w:r>
        <w:rPr>
          <w:i/>
          <w:color w:val="231F20"/>
          <w:spacing w:val="-19"/>
          <w:w w:val="105"/>
          <w:sz w:val="19"/>
        </w:rPr>
        <w:t xml:space="preserve"> </w:t>
      </w:r>
      <w:r>
        <w:rPr>
          <w:i/>
          <w:color w:val="231F20"/>
          <w:w w:val="105"/>
          <w:sz w:val="19"/>
        </w:rPr>
        <w:t>developing</w:t>
      </w:r>
      <w:r>
        <w:rPr>
          <w:i/>
          <w:color w:val="231F20"/>
          <w:spacing w:val="-19"/>
          <w:w w:val="105"/>
          <w:sz w:val="19"/>
        </w:rPr>
        <w:t xml:space="preserve"> </w:t>
      </w:r>
      <w:r>
        <w:rPr>
          <w:i/>
          <w:color w:val="231F20"/>
          <w:w w:val="105"/>
          <w:sz w:val="19"/>
        </w:rPr>
        <w:t>technologies,</w:t>
      </w:r>
      <w:r>
        <w:rPr>
          <w:i/>
          <w:color w:val="231F20"/>
          <w:spacing w:val="-24"/>
          <w:w w:val="105"/>
          <w:sz w:val="19"/>
        </w:rPr>
        <w:t xml:space="preserve"> </w:t>
      </w:r>
      <w:r>
        <w:rPr>
          <w:i/>
          <w:color w:val="231F20"/>
          <w:w w:val="105"/>
          <w:sz w:val="19"/>
        </w:rPr>
        <w:t>Europe</w:t>
      </w:r>
      <w:r>
        <w:rPr>
          <w:i/>
          <w:color w:val="231F20"/>
          <w:spacing w:val="-19"/>
          <w:w w:val="105"/>
          <w:sz w:val="19"/>
        </w:rPr>
        <w:t xml:space="preserve"> </w:t>
      </w:r>
      <w:r>
        <w:rPr>
          <w:i/>
          <w:color w:val="231F20"/>
          <w:w w:val="105"/>
          <w:sz w:val="19"/>
        </w:rPr>
        <w:t>will</w:t>
      </w:r>
      <w:r>
        <w:rPr>
          <w:i/>
          <w:color w:val="231F20"/>
          <w:spacing w:val="-19"/>
          <w:w w:val="105"/>
          <w:sz w:val="19"/>
        </w:rPr>
        <w:t xml:space="preserve"> </w:t>
      </w:r>
      <w:r>
        <w:rPr>
          <w:i/>
          <w:color w:val="231F20"/>
          <w:w w:val="105"/>
          <w:sz w:val="19"/>
        </w:rPr>
        <w:t>never</w:t>
      </w:r>
      <w:r>
        <w:rPr>
          <w:i/>
          <w:color w:val="231F20"/>
          <w:spacing w:val="-19"/>
          <w:w w:val="105"/>
          <w:sz w:val="19"/>
        </w:rPr>
        <w:t xml:space="preserve"> </w:t>
      </w:r>
      <w:r>
        <w:rPr>
          <w:i/>
          <w:color w:val="231F20"/>
          <w:w w:val="105"/>
          <w:sz w:val="19"/>
        </w:rPr>
        <w:t>be</w:t>
      </w:r>
      <w:r>
        <w:rPr>
          <w:i/>
          <w:color w:val="231F20"/>
          <w:spacing w:val="-19"/>
          <w:w w:val="105"/>
          <w:sz w:val="19"/>
        </w:rPr>
        <w:t xml:space="preserve"> </w:t>
      </w:r>
      <w:r>
        <w:rPr>
          <w:i/>
          <w:color w:val="231F20"/>
          <w:w w:val="105"/>
          <w:sz w:val="19"/>
        </w:rPr>
        <w:t>able</w:t>
      </w:r>
      <w:r>
        <w:rPr>
          <w:i/>
          <w:color w:val="231F20"/>
          <w:spacing w:val="-19"/>
          <w:w w:val="105"/>
          <w:sz w:val="19"/>
        </w:rPr>
        <w:t xml:space="preserve"> </w:t>
      </w:r>
      <w:r>
        <w:rPr>
          <w:i/>
          <w:color w:val="231F20"/>
          <w:w w:val="105"/>
          <w:sz w:val="19"/>
        </w:rPr>
        <w:t xml:space="preserve">to </w:t>
      </w:r>
      <w:r>
        <w:rPr>
          <w:i/>
          <w:color w:val="231F20"/>
          <w:sz w:val="19"/>
        </w:rPr>
        <w:t>deal</w:t>
      </w:r>
      <w:r>
        <w:rPr>
          <w:i/>
          <w:color w:val="231F20"/>
          <w:spacing w:val="-5"/>
          <w:sz w:val="19"/>
        </w:rPr>
        <w:t xml:space="preserve"> </w:t>
      </w:r>
      <w:r>
        <w:rPr>
          <w:i/>
          <w:color w:val="231F20"/>
          <w:sz w:val="19"/>
        </w:rPr>
        <w:t>with</w:t>
      </w:r>
      <w:r>
        <w:rPr>
          <w:i/>
          <w:color w:val="231F20"/>
          <w:spacing w:val="-5"/>
          <w:sz w:val="19"/>
        </w:rPr>
        <w:t xml:space="preserve"> </w:t>
      </w:r>
      <w:r>
        <w:rPr>
          <w:i/>
          <w:color w:val="231F20"/>
          <w:sz w:val="19"/>
        </w:rPr>
        <w:t>the</w:t>
      </w:r>
      <w:r>
        <w:rPr>
          <w:i/>
          <w:color w:val="231F20"/>
          <w:spacing w:val="-5"/>
          <w:sz w:val="19"/>
        </w:rPr>
        <w:t xml:space="preserve"> </w:t>
      </w:r>
      <w:r>
        <w:rPr>
          <w:i/>
          <w:color w:val="231F20"/>
          <w:sz w:val="19"/>
        </w:rPr>
        <w:t>immense</w:t>
      </w:r>
      <w:r>
        <w:rPr>
          <w:i/>
          <w:color w:val="231F20"/>
          <w:spacing w:val="-5"/>
          <w:sz w:val="19"/>
        </w:rPr>
        <w:t xml:space="preserve"> </w:t>
      </w:r>
      <w:r>
        <w:rPr>
          <w:i/>
          <w:color w:val="231F20"/>
          <w:sz w:val="19"/>
        </w:rPr>
        <w:t>and</w:t>
      </w:r>
      <w:r>
        <w:rPr>
          <w:i/>
          <w:color w:val="231F20"/>
          <w:spacing w:val="-5"/>
          <w:sz w:val="19"/>
        </w:rPr>
        <w:t xml:space="preserve"> </w:t>
      </w:r>
      <w:r>
        <w:rPr>
          <w:i/>
          <w:color w:val="231F20"/>
          <w:sz w:val="19"/>
        </w:rPr>
        <w:t>ever-growing</w:t>
      </w:r>
      <w:r>
        <w:rPr>
          <w:i/>
          <w:color w:val="231F20"/>
          <w:spacing w:val="-5"/>
          <w:sz w:val="19"/>
        </w:rPr>
        <w:t xml:space="preserve"> </w:t>
      </w:r>
      <w:r>
        <w:rPr>
          <w:i/>
          <w:color w:val="231F20"/>
          <w:sz w:val="19"/>
        </w:rPr>
        <w:t>research</w:t>
      </w:r>
      <w:r>
        <w:rPr>
          <w:i/>
          <w:color w:val="231F20"/>
          <w:spacing w:val="-5"/>
          <w:sz w:val="19"/>
        </w:rPr>
        <w:t xml:space="preserve"> </w:t>
      </w:r>
      <w:r>
        <w:rPr>
          <w:i/>
          <w:color w:val="231F20"/>
          <w:sz w:val="19"/>
        </w:rPr>
        <w:t>and</w:t>
      </w:r>
      <w:r>
        <w:rPr>
          <w:i/>
          <w:color w:val="231F20"/>
          <w:spacing w:val="-5"/>
          <w:sz w:val="19"/>
        </w:rPr>
        <w:t xml:space="preserve"> </w:t>
      </w:r>
      <w:r>
        <w:rPr>
          <w:i/>
          <w:color w:val="231F20"/>
          <w:sz w:val="19"/>
        </w:rPr>
        <w:t xml:space="preserve">development </w:t>
      </w:r>
      <w:r>
        <w:rPr>
          <w:i/>
          <w:color w:val="231F20"/>
          <w:w w:val="105"/>
          <w:sz w:val="19"/>
        </w:rPr>
        <w:t>costs if a constant flow of public funds is not</w:t>
      </w:r>
      <w:r>
        <w:rPr>
          <w:i/>
          <w:color w:val="231F20"/>
          <w:spacing w:val="40"/>
          <w:w w:val="105"/>
          <w:sz w:val="19"/>
        </w:rPr>
        <w:t xml:space="preserve"> </w:t>
      </w:r>
      <w:r>
        <w:rPr>
          <w:i/>
          <w:color w:val="231F20"/>
          <w:w w:val="105"/>
          <w:sz w:val="19"/>
        </w:rPr>
        <w:t>guaranteed.</w:t>
      </w:r>
    </w:p>
    <w:p w14:paraId="1B6E245F" w14:textId="77777777" w:rsidR="002653E8" w:rsidRDefault="003115E3">
      <w:pPr>
        <w:pStyle w:val="a3"/>
        <w:spacing w:before="130" w:line="264" w:lineRule="auto"/>
        <w:ind w:left="1327" w:right="1146"/>
        <w:jc w:val="both"/>
      </w:pPr>
      <w:r>
        <w:rPr>
          <w:color w:val="231F20"/>
          <w:spacing w:val="1"/>
        </w:rPr>
        <w:t xml:space="preserve">If </w:t>
      </w:r>
      <w:r>
        <w:rPr>
          <w:color w:val="231F20"/>
        </w:rPr>
        <w:t xml:space="preserve">not, then it would be better to just sign deals with American firms right </w:t>
      </w:r>
      <w:r>
        <w:rPr>
          <w:color w:val="231F20"/>
          <w:spacing w:val="-5"/>
        </w:rPr>
        <w:t xml:space="preserve">away. </w:t>
      </w:r>
      <w:r>
        <w:rPr>
          <w:color w:val="231F20"/>
        </w:rPr>
        <w:t xml:space="preserve">That is the pressure that today’s economy places on the state. Concentration and state subsidies have become a question of survival for capitalist </w:t>
      </w:r>
      <w:r>
        <w:rPr>
          <w:color w:val="231F20"/>
          <w:spacing w:val="-3"/>
        </w:rPr>
        <w:t>West</w:t>
      </w:r>
      <w:r>
        <w:rPr>
          <w:color w:val="231F20"/>
          <w:spacing w:val="3"/>
        </w:rPr>
        <w:t xml:space="preserve"> </w:t>
      </w:r>
      <w:r>
        <w:rPr>
          <w:color w:val="231F20"/>
        </w:rPr>
        <w:t>Europe.</w:t>
      </w:r>
    </w:p>
    <w:p w14:paraId="6B760569" w14:textId="77777777" w:rsidR="002653E8" w:rsidRDefault="002653E8">
      <w:pPr>
        <w:spacing w:line="264" w:lineRule="auto"/>
        <w:jc w:val="both"/>
        <w:sectPr w:rsidR="002653E8">
          <w:pgSz w:w="8640" w:h="12960"/>
          <w:pgMar w:top="1080" w:right="0" w:bottom="1040" w:left="0" w:header="0" w:footer="850" w:gutter="0"/>
          <w:cols w:space="720"/>
        </w:sectPr>
      </w:pPr>
    </w:p>
    <w:p w14:paraId="29BA7020" w14:textId="77777777" w:rsidR="002653E8" w:rsidRDefault="003115E3">
      <w:pPr>
        <w:spacing w:before="66"/>
        <w:ind w:left="1147"/>
        <w:rPr>
          <w:i/>
          <w:sz w:val="20"/>
        </w:rPr>
      </w:pPr>
      <w:r>
        <w:rPr>
          <w:i/>
          <w:color w:val="231F20"/>
          <w:w w:val="110"/>
          <w:sz w:val="20"/>
        </w:rPr>
        <w:lastRenderedPageBreak/>
        <w:t>The Export of Capital</w:t>
      </w:r>
    </w:p>
    <w:p w14:paraId="706C5383" w14:textId="77777777" w:rsidR="002653E8" w:rsidRDefault="003115E3">
      <w:pPr>
        <w:pStyle w:val="a3"/>
        <w:spacing w:before="23" w:line="264" w:lineRule="auto"/>
        <w:ind w:left="1147" w:right="1326"/>
        <w:jc w:val="both"/>
      </w:pPr>
      <w:r>
        <w:rPr>
          <w:color w:val="231F20"/>
        </w:rPr>
        <w:t>The third thing is the export of capital. This entails cooperation with foreign industries and building factories in foreign countries, with the aim of profiting from the cheaper raw materials and lower wages available in these countries, and of reducing transportation costs by buying from foreign markets.</w:t>
      </w:r>
    </w:p>
    <w:p w14:paraId="06CCCB45" w14:textId="77777777" w:rsidR="002653E8" w:rsidRDefault="003115E3">
      <w:pPr>
        <w:pStyle w:val="a3"/>
        <w:spacing w:line="264" w:lineRule="auto"/>
        <w:ind w:left="1147" w:right="1326" w:firstLine="210"/>
        <w:jc w:val="both"/>
      </w:pPr>
      <w:r>
        <w:rPr>
          <w:color w:val="231F20"/>
        </w:rPr>
        <w:t xml:space="preserve">Because the chemical industry stands at the forefront of this development, the chemical workers strike of  </w:t>
      </w:r>
      <w:r>
        <w:rPr>
          <w:color w:val="231F20"/>
          <w:spacing w:val="-4"/>
        </w:rPr>
        <w:t xml:space="preserve">1971  </w:t>
      </w:r>
      <w:r>
        <w:rPr>
          <w:color w:val="231F20"/>
        </w:rPr>
        <w:t xml:space="preserve">had a central significance.   It serves as an example of an entire trend, from the chemical companies’ strike preparations in December </w:t>
      </w:r>
      <w:r>
        <w:rPr>
          <w:color w:val="231F20"/>
          <w:spacing w:val="-3"/>
        </w:rPr>
        <w:t xml:space="preserve">1970, </w:t>
      </w:r>
      <w:r>
        <w:rPr>
          <w:color w:val="231F20"/>
        </w:rPr>
        <w:t xml:space="preserve">through the purge of teachers who are members of the </w:t>
      </w:r>
      <w:r>
        <w:rPr>
          <w:color w:val="231F20"/>
          <w:spacing w:val="1"/>
        </w:rPr>
        <w:t xml:space="preserve">DKP </w:t>
      </w:r>
      <w:r>
        <w:rPr>
          <w:color w:val="231F20"/>
        </w:rPr>
        <w:t xml:space="preserve">from the public service and the incorporation of the BGS into the federal police force, from the first signs of fascism in the Federal Republic to the CSU seizing control of </w:t>
      </w:r>
      <w:r>
        <w:rPr>
          <w:i/>
          <w:color w:val="231F20"/>
        </w:rPr>
        <w:t>Bayerischen Rundfunk</w:t>
      </w:r>
      <w:r>
        <w:rPr>
          <w:color w:val="231F20"/>
        </w:rPr>
        <w:t>,</w:t>
      </w:r>
      <w:r>
        <w:rPr>
          <w:color w:val="231F20"/>
          <w:position w:val="7"/>
          <w:sz w:val="11"/>
        </w:rPr>
        <w:t xml:space="preserve">1 </w:t>
      </w:r>
      <w:r>
        <w:rPr>
          <w:color w:val="231F20"/>
        </w:rPr>
        <w:t>from the refusal to allow  Mandel  to  teach  at the Free University to the application of the death penalty to the Red Army</w:t>
      </w:r>
      <w:r>
        <w:rPr>
          <w:color w:val="231F20"/>
          <w:spacing w:val="10"/>
        </w:rPr>
        <w:t xml:space="preserve"> </w:t>
      </w:r>
      <w:r>
        <w:rPr>
          <w:color w:val="231F20"/>
        </w:rPr>
        <w:t>Faction.</w:t>
      </w:r>
    </w:p>
    <w:p w14:paraId="799EC126" w14:textId="77777777" w:rsidR="002653E8" w:rsidRDefault="003115E3">
      <w:pPr>
        <w:pStyle w:val="a3"/>
        <w:spacing w:line="264" w:lineRule="auto"/>
        <w:ind w:left="1147" w:right="1325" w:firstLine="210"/>
        <w:jc w:val="both"/>
      </w:pPr>
      <w:r>
        <w:rPr>
          <w:color w:val="231F20"/>
        </w:rPr>
        <w:t>As a result of this, in the coming years increasing numbers of people from all levels of society, with the  exception  of  the  owners  of  capital, will find themselves dissatisfied with the structure of ownership. It therefore follows that it is tactically and strategically incorrect not to treat the question of ownership, which is now addressed with trivial and wishy washy arguments about co-management</w:t>
      </w:r>
      <w:r>
        <w:rPr>
          <w:color w:val="231F20"/>
          <w:position w:val="7"/>
          <w:sz w:val="11"/>
        </w:rPr>
        <w:t xml:space="preserve">2 </w:t>
      </w:r>
      <w:r>
        <w:rPr>
          <w:color w:val="231F20"/>
        </w:rPr>
        <w:t>and “protecting what we’ve begun,” as the general and ongoing central issue. The situation has also led to a development whereby anyone who profits from these circumstances can conceal that</w:t>
      </w:r>
      <w:r>
        <w:rPr>
          <w:color w:val="231F20"/>
          <w:spacing w:val="12"/>
        </w:rPr>
        <w:t xml:space="preserve"> </w:t>
      </w:r>
      <w:r>
        <w:rPr>
          <w:color w:val="231F20"/>
        </w:rPr>
        <w:t>fact.</w:t>
      </w:r>
    </w:p>
    <w:p w14:paraId="5A64B9A7" w14:textId="77777777" w:rsidR="002653E8" w:rsidRDefault="002653E8">
      <w:pPr>
        <w:pStyle w:val="a3"/>
        <w:spacing w:before="8"/>
        <w:rPr>
          <w:sz w:val="19"/>
        </w:rPr>
      </w:pPr>
    </w:p>
    <w:p w14:paraId="65331667" w14:textId="77777777" w:rsidR="002653E8" w:rsidRPr="00C507A5" w:rsidRDefault="003115E3">
      <w:pPr>
        <w:ind w:left="1147"/>
        <w:rPr>
          <w:i/>
          <w:sz w:val="20"/>
          <w:lang w:val="de-DE"/>
        </w:rPr>
      </w:pPr>
      <w:r w:rsidRPr="00C507A5">
        <w:rPr>
          <w:i/>
          <w:color w:val="231F20"/>
          <w:sz w:val="20"/>
          <w:lang w:val="de-DE"/>
        </w:rPr>
        <w:t>Bayer – BASF – Farbwerke Hoechst</w:t>
      </w:r>
    </w:p>
    <w:p w14:paraId="73EF6C58" w14:textId="77777777" w:rsidR="002653E8" w:rsidRDefault="003115E3">
      <w:pPr>
        <w:pStyle w:val="a3"/>
        <w:spacing w:before="22" w:line="264" w:lineRule="auto"/>
        <w:ind w:left="1147" w:right="1325"/>
        <w:jc w:val="both"/>
      </w:pPr>
      <w:r>
        <w:rPr>
          <w:color w:val="231F20"/>
        </w:rPr>
        <w:t xml:space="preserve">The chemical industry is among the  industries  with  the  highest  levels of concentration in </w:t>
      </w:r>
      <w:r>
        <w:rPr>
          <w:color w:val="231F20"/>
          <w:spacing w:val="-3"/>
        </w:rPr>
        <w:t xml:space="preserve">West  </w:t>
      </w:r>
      <w:r>
        <w:rPr>
          <w:color w:val="231F20"/>
        </w:rPr>
        <w:t xml:space="preserve">Germany. The market share of just three,  IG Farben-Nachfolger Bayer,  Farbwerke  Hoechst,  and  BASF,  makes  up </w:t>
      </w:r>
      <w:r>
        <w:rPr>
          <w:color w:val="231F20"/>
          <w:spacing w:val="-4"/>
        </w:rPr>
        <w:t xml:space="preserve">50 </w:t>
      </w:r>
      <w:r>
        <w:rPr>
          <w:color w:val="231F20"/>
        </w:rPr>
        <w:t>percent of the industrial sector. These three chemical corporations are among the four largest companies incorporated in the Federal Republic.</w:t>
      </w:r>
    </w:p>
    <w:p w14:paraId="431C60A2" w14:textId="77777777" w:rsidR="002653E8" w:rsidRDefault="003115E3">
      <w:pPr>
        <w:pStyle w:val="a3"/>
        <w:spacing w:line="264" w:lineRule="auto"/>
        <w:ind w:left="1148" w:right="1326" w:firstLine="210"/>
        <w:jc w:val="both"/>
      </w:pPr>
      <w:r>
        <w:rPr>
          <w:color w:val="231F20"/>
        </w:rPr>
        <w:t>Of</w:t>
      </w:r>
      <w:r>
        <w:rPr>
          <w:color w:val="231F20"/>
          <w:spacing w:val="-8"/>
        </w:rPr>
        <w:t xml:space="preserve"> </w:t>
      </w:r>
      <w:r>
        <w:rPr>
          <w:color w:val="231F20"/>
        </w:rPr>
        <w:t>the</w:t>
      </w:r>
      <w:r>
        <w:rPr>
          <w:color w:val="231F20"/>
          <w:spacing w:val="-7"/>
        </w:rPr>
        <w:t xml:space="preserve"> </w:t>
      </w:r>
      <w:r>
        <w:rPr>
          <w:color w:val="231F20"/>
        </w:rPr>
        <w:t>597,000</w:t>
      </w:r>
      <w:r>
        <w:rPr>
          <w:color w:val="231F20"/>
          <w:spacing w:val="-8"/>
        </w:rPr>
        <w:t xml:space="preserve"> </w:t>
      </w:r>
      <w:r>
        <w:rPr>
          <w:color w:val="231F20"/>
        </w:rPr>
        <w:t>employed</w:t>
      </w:r>
      <w:r>
        <w:rPr>
          <w:color w:val="231F20"/>
          <w:spacing w:val="-8"/>
        </w:rPr>
        <w:t xml:space="preserve"> </w:t>
      </w:r>
      <w:r>
        <w:rPr>
          <w:color w:val="231F20"/>
        </w:rPr>
        <w:t>in</w:t>
      </w:r>
      <w:r>
        <w:rPr>
          <w:color w:val="231F20"/>
          <w:spacing w:val="-8"/>
        </w:rPr>
        <w:t xml:space="preserve"> </w:t>
      </w:r>
      <w:r>
        <w:rPr>
          <w:color w:val="231F20"/>
        </w:rPr>
        <w:t>the</w:t>
      </w:r>
      <w:r>
        <w:rPr>
          <w:color w:val="231F20"/>
          <w:spacing w:val="-8"/>
        </w:rPr>
        <w:t xml:space="preserve"> </w:t>
      </w:r>
      <w:r>
        <w:rPr>
          <w:color w:val="231F20"/>
        </w:rPr>
        <w:t>sector,</w:t>
      </w:r>
      <w:r>
        <w:rPr>
          <w:color w:val="231F20"/>
          <w:spacing w:val="-7"/>
        </w:rPr>
        <w:t xml:space="preserve"> </w:t>
      </w:r>
      <w:r>
        <w:rPr>
          <w:color w:val="231F20"/>
          <w:spacing w:val="1"/>
        </w:rPr>
        <w:t>200,000</w:t>
      </w:r>
      <w:r>
        <w:rPr>
          <w:color w:val="231F20"/>
          <w:spacing w:val="-8"/>
        </w:rPr>
        <w:t xml:space="preserve"> </w:t>
      </w:r>
      <w:r>
        <w:rPr>
          <w:color w:val="231F20"/>
        </w:rPr>
        <w:t>work</w:t>
      </w:r>
      <w:r>
        <w:rPr>
          <w:color w:val="231F20"/>
          <w:spacing w:val="-8"/>
        </w:rPr>
        <w:t xml:space="preserve"> </w:t>
      </w:r>
      <w:r>
        <w:rPr>
          <w:color w:val="231F20"/>
        </w:rPr>
        <w:t>for</w:t>
      </w:r>
      <w:r>
        <w:rPr>
          <w:color w:val="231F20"/>
          <w:spacing w:val="-8"/>
        </w:rPr>
        <w:t xml:space="preserve"> </w:t>
      </w:r>
      <w:r>
        <w:rPr>
          <w:color w:val="231F20"/>
        </w:rPr>
        <w:t>the</w:t>
      </w:r>
      <w:r>
        <w:rPr>
          <w:color w:val="231F20"/>
          <w:spacing w:val="-8"/>
        </w:rPr>
        <w:t xml:space="preserve"> </w:t>
      </w:r>
      <w:r>
        <w:rPr>
          <w:color w:val="231F20"/>
        </w:rPr>
        <w:t>big</w:t>
      </w:r>
      <w:r>
        <w:rPr>
          <w:color w:val="231F20"/>
          <w:spacing w:val="-8"/>
        </w:rPr>
        <w:t xml:space="preserve"> </w:t>
      </w:r>
      <w:r>
        <w:rPr>
          <w:color w:val="231F20"/>
        </w:rPr>
        <w:t xml:space="preserve">three. They control over </w:t>
      </w:r>
      <w:r>
        <w:rPr>
          <w:color w:val="231F20"/>
          <w:spacing w:val="-4"/>
        </w:rPr>
        <w:t xml:space="preserve">50 </w:t>
      </w:r>
      <w:r>
        <w:rPr>
          <w:color w:val="231F20"/>
        </w:rPr>
        <w:t>percent of the funds for research and</w:t>
      </w:r>
      <w:r>
        <w:rPr>
          <w:color w:val="231F20"/>
          <w:spacing w:val="2"/>
        </w:rPr>
        <w:t xml:space="preserve"> </w:t>
      </w:r>
      <w:r>
        <w:rPr>
          <w:color w:val="231F20"/>
        </w:rPr>
        <w:t>development</w:t>
      </w:r>
    </w:p>
    <w:p w14:paraId="32B3F9A6" w14:textId="77777777" w:rsidR="002653E8" w:rsidRDefault="002653E8">
      <w:pPr>
        <w:pStyle w:val="a3"/>
        <w:spacing w:before="5"/>
        <w:rPr>
          <w:sz w:val="28"/>
        </w:rPr>
      </w:pPr>
    </w:p>
    <w:p w14:paraId="3D7D2421" w14:textId="77777777" w:rsidR="002653E8" w:rsidRDefault="003115E3">
      <w:pPr>
        <w:pStyle w:val="a4"/>
        <w:numPr>
          <w:ilvl w:val="0"/>
          <w:numId w:val="149"/>
        </w:numPr>
        <w:tabs>
          <w:tab w:val="left" w:pos="1287"/>
        </w:tabs>
        <w:spacing w:before="105" w:line="254" w:lineRule="auto"/>
        <w:ind w:right="1920" w:firstLine="0"/>
        <w:jc w:val="left"/>
        <w:rPr>
          <w:sz w:val="16"/>
        </w:rPr>
      </w:pPr>
      <w:r>
        <w:rPr>
          <w:i/>
          <w:color w:val="231F20"/>
          <w:w w:val="105"/>
          <w:sz w:val="16"/>
        </w:rPr>
        <w:t xml:space="preserve">Bayerischen </w:t>
      </w:r>
      <w:r>
        <w:rPr>
          <w:i/>
          <w:color w:val="231F20"/>
          <w:spacing w:val="1"/>
          <w:w w:val="105"/>
          <w:sz w:val="16"/>
        </w:rPr>
        <w:t xml:space="preserve">Rundfunk: </w:t>
      </w:r>
      <w:r>
        <w:rPr>
          <w:color w:val="231F20"/>
          <w:w w:val="105"/>
          <w:sz w:val="16"/>
        </w:rPr>
        <w:t>Bavarian Broadcasting, the public radio station in Bavaria.</w:t>
      </w:r>
    </w:p>
    <w:p w14:paraId="04DFE321" w14:textId="77777777" w:rsidR="002653E8" w:rsidRDefault="003115E3">
      <w:pPr>
        <w:pStyle w:val="a4"/>
        <w:numPr>
          <w:ilvl w:val="0"/>
          <w:numId w:val="149"/>
        </w:numPr>
        <w:tabs>
          <w:tab w:val="left" w:pos="1287"/>
        </w:tabs>
        <w:spacing w:before="40" w:line="254" w:lineRule="auto"/>
        <w:ind w:right="1402" w:firstLine="0"/>
        <w:jc w:val="left"/>
        <w:rPr>
          <w:sz w:val="16"/>
        </w:rPr>
      </w:pPr>
      <w:r>
        <w:rPr>
          <w:color w:val="231F20"/>
          <w:w w:val="105"/>
          <w:sz w:val="16"/>
        </w:rPr>
        <w:t>The practice of union representatives having a vote on the corporate boards dates from</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late</w:t>
      </w:r>
      <w:r>
        <w:rPr>
          <w:color w:val="231F20"/>
          <w:spacing w:val="7"/>
          <w:w w:val="105"/>
          <w:sz w:val="16"/>
        </w:rPr>
        <w:t xml:space="preserve"> </w:t>
      </w:r>
      <w:r>
        <w:rPr>
          <w:color w:val="231F20"/>
          <w:w w:val="105"/>
          <w:sz w:val="16"/>
        </w:rPr>
        <w:t>1940s.</w:t>
      </w:r>
      <w:r>
        <w:rPr>
          <w:color w:val="231F20"/>
          <w:spacing w:val="7"/>
          <w:w w:val="105"/>
          <w:sz w:val="16"/>
        </w:rPr>
        <w:t xml:space="preserve"> </w:t>
      </w:r>
      <w:r>
        <w:rPr>
          <w:color w:val="231F20"/>
          <w:w w:val="105"/>
          <w:sz w:val="16"/>
        </w:rPr>
        <w:t>Also</w:t>
      </w:r>
      <w:r>
        <w:rPr>
          <w:color w:val="231F20"/>
          <w:spacing w:val="7"/>
          <w:w w:val="105"/>
          <w:sz w:val="16"/>
        </w:rPr>
        <w:t xml:space="preserve"> </w:t>
      </w:r>
      <w:r>
        <w:rPr>
          <w:color w:val="231F20"/>
          <w:w w:val="105"/>
          <w:sz w:val="16"/>
        </w:rPr>
        <w:t>referred</w:t>
      </w:r>
      <w:r>
        <w:rPr>
          <w:color w:val="231F20"/>
          <w:spacing w:val="7"/>
          <w:w w:val="105"/>
          <w:sz w:val="16"/>
        </w:rPr>
        <w:t xml:space="preserve"> </w:t>
      </w:r>
      <w:r>
        <w:rPr>
          <w:color w:val="231F20"/>
          <w:w w:val="105"/>
          <w:sz w:val="16"/>
        </w:rPr>
        <w:t>to</w:t>
      </w:r>
      <w:r>
        <w:rPr>
          <w:color w:val="231F20"/>
          <w:spacing w:val="7"/>
          <w:w w:val="105"/>
          <w:sz w:val="16"/>
        </w:rPr>
        <w:t xml:space="preserve"> </w:t>
      </w:r>
      <w:r>
        <w:rPr>
          <w:color w:val="231F20"/>
          <w:w w:val="105"/>
          <w:sz w:val="16"/>
        </w:rPr>
        <w:t>as</w:t>
      </w:r>
      <w:r>
        <w:rPr>
          <w:color w:val="231F20"/>
          <w:spacing w:val="7"/>
          <w:w w:val="105"/>
          <w:sz w:val="16"/>
        </w:rPr>
        <w:t xml:space="preserve"> </w:t>
      </w:r>
      <w:r>
        <w:rPr>
          <w:color w:val="231F20"/>
          <w:w w:val="105"/>
          <w:sz w:val="16"/>
        </w:rPr>
        <w:t>co-determination.</w:t>
      </w:r>
    </w:p>
    <w:p w14:paraId="1C191400" w14:textId="77777777" w:rsidR="002653E8" w:rsidRDefault="002653E8">
      <w:pPr>
        <w:spacing w:line="254" w:lineRule="auto"/>
        <w:rPr>
          <w:sz w:val="16"/>
        </w:rPr>
        <w:sectPr w:rsidR="002653E8">
          <w:footerReference w:type="even" r:id="rId117"/>
          <w:footerReference w:type="default" r:id="rId118"/>
          <w:pgSz w:w="8640" w:h="12960"/>
          <w:pgMar w:top="1080" w:right="0" w:bottom="1460" w:left="0" w:header="0" w:footer="1270" w:gutter="0"/>
          <w:cols w:space="720"/>
        </w:sectPr>
      </w:pPr>
    </w:p>
    <w:p w14:paraId="09210185" w14:textId="77777777" w:rsidR="002653E8" w:rsidRDefault="003115E3">
      <w:pPr>
        <w:pStyle w:val="a3"/>
        <w:spacing w:before="86" w:line="264" w:lineRule="auto"/>
        <w:ind w:left="1328" w:right="1145" w:hanging="1"/>
        <w:jc w:val="both"/>
      </w:pPr>
      <w:r>
        <w:rPr>
          <w:color w:val="231F20"/>
        </w:rPr>
        <w:lastRenderedPageBreak/>
        <w:t xml:space="preserve">in the chemical industry. </w:t>
      </w:r>
      <w:r>
        <w:rPr>
          <w:color w:val="231F20"/>
          <w:spacing w:val="1"/>
        </w:rPr>
        <w:t xml:space="preserve">In </w:t>
      </w:r>
      <w:r>
        <w:rPr>
          <w:color w:val="231F20"/>
        </w:rPr>
        <w:t xml:space="preserve">the years </w:t>
      </w:r>
      <w:r>
        <w:rPr>
          <w:color w:val="231F20"/>
          <w:spacing w:val="-4"/>
        </w:rPr>
        <w:t xml:space="preserve">1965-70 </w:t>
      </w:r>
      <w:r>
        <w:rPr>
          <w:color w:val="231F20"/>
        </w:rPr>
        <w:t>alone, BASF gained control of business and corporate concerns that conducted 4 billion dm</w:t>
      </w:r>
      <w:r>
        <w:rPr>
          <w:color w:val="231F20"/>
          <w:position w:val="7"/>
          <w:sz w:val="11"/>
        </w:rPr>
        <w:t xml:space="preserve">3 </w:t>
      </w:r>
      <w:r>
        <w:rPr>
          <w:color w:val="231F20"/>
        </w:rPr>
        <w:t>worth of business, which was more than it had itself been conducting   in</w:t>
      </w:r>
      <w:r>
        <w:rPr>
          <w:color w:val="231F20"/>
          <w:spacing w:val="10"/>
        </w:rPr>
        <w:t xml:space="preserve"> </w:t>
      </w:r>
      <w:r>
        <w:rPr>
          <w:color w:val="231F20"/>
          <w:spacing w:val="-6"/>
        </w:rPr>
        <w:t>1965.</w:t>
      </w:r>
    </w:p>
    <w:p w14:paraId="524403A9" w14:textId="77777777" w:rsidR="002653E8" w:rsidRDefault="003115E3">
      <w:pPr>
        <w:pStyle w:val="a3"/>
        <w:spacing w:line="264" w:lineRule="auto"/>
        <w:ind w:left="1328" w:right="1145" w:firstLine="210"/>
        <w:jc w:val="both"/>
      </w:pPr>
      <w:r>
        <w:rPr>
          <w:color w:val="231F20"/>
        </w:rPr>
        <w:t>Regarding the cooperation between the state and the chemical corporations, the 1969 Federal Research Report states:</w:t>
      </w:r>
    </w:p>
    <w:p w14:paraId="164D5B04" w14:textId="77777777" w:rsidR="002653E8" w:rsidRDefault="003115E3">
      <w:pPr>
        <w:spacing w:before="123" w:line="276" w:lineRule="auto"/>
        <w:ind w:left="1747" w:right="1559"/>
        <w:jc w:val="both"/>
        <w:rPr>
          <w:i/>
          <w:sz w:val="19"/>
        </w:rPr>
      </w:pPr>
      <w:r>
        <w:rPr>
          <w:i/>
          <w:color w:val="231F20"/>
          <w:sz w:val="19"/>
        </w:rPr>
        <w:t xml:space="preserve">In the chemical industry one can speak of a genuine division of labor between state-funded basic research and industrial research. The chemical industry can only continue their recent </w:t>
      </w:r>
      <w:r>
        <w:rPr>
          <w:i/>
          <w:color w:val="231F20"/>
          <w:spacing w:val="-3"/>
          <w:sz w:val="19"/>
        </w:rPr>
        <w:t xml:space="preserve">rate </w:t>
      </w:r>
      <w:r>
        <w:rPr>
          <w:i/>
          <w:color w:val="231F20"/>
          <w:sz w:val="19"/>
        </w:rPr>
        <w:t>of  growth and retain their international importance if a high level of (state-supported) basic research</w:t>
      </w:r>
      <w:r>
        <w:rPr>
          <w:i/>
          <w:color w:val="231F20"/>
          <w:spacing w:val="31"/>
          <w:sz w:val="19"/>
        </w:rPr>
        <w:t xml:space="preserve"> </w:t>
      </w:r>
      <w:r>
        <w:rPr>
          <w:i/>
          <w:color w:val="231F20"/>
          <w:sz w:val="19"/>
        </w:rPr>
        <w:t>continues.</w:t>
      </w:r>
    </w:p>
    <w:p w14:paraId="30A95C28" w14:textId="77777777" w:rsidR="002653E8" w:rsidRDefault="003115E3">
      <w:pPr>
        <w:pStyle w:val="a3"/>
        <w:spacing w:before="131" w:line="264" w:lineRule="auto"/>
        <w:ind w:left="1327" w:right="1146"/>
        <w:jc w:val="both"/>
      </w:pPr>
      <w:r>
        <w:rPr>
          <w:color w:val="231F20"/>
        </w:rPr>
        <w:t xml:space="preserve">What export of capital means in the chemical industry is that while in </w:t>
      </w:r>
      <w:r>
        <w:rPr>
          <w:color w:val="231F20"/>
          <w:spacing w:val="-4"/>
        </w:rPr>
        <w:t xml:space="preserve">1970 </w:t>
      </w:r>
      <w:r>
        <w:rPr>
          <w:color w:val="231F20"/>
          <w:spacing w:val="-3"/>
        </w:rPr>
        <w:t xml:space="preserve">West </w:t>
      </w:r>
      <w:r>
        <w:rPr>
          <w:color w:val="231F20"/>
        </w:rPr>
        <w:t xml:space="preserve">German industry did </w:t>
      </w:r>
      <w:r>
        <w:rPr>
          <w:color w:val="231F20"/>
          <w:spacing w:val="-7"/>
        </w:rPr>
        <w:t xml:space="preserve">19.3 </w:t>
      </w:r>
      <w:r>
        <w:rPr>
          <w:color w:val="231F20"/>
        </w:rPr>
        <w:t xml:space="preserve">percent of their business outside  of Germany, for Farbwerke Hoechst it was 44 percent, for BASF </w:t>
      </w:r>
      <w:r>
        <w:rPr>
          <w:color w:val="231F20"/>
          <w:spacing w:val="-7"/>
        </w:rPr>
        <w:t xml:space="preserve">50 </w:t>
      </w:r>
      <w:r>
        <w:rPr>
          <w:color w:val="231F20"/>
        </w:rPr>
        <w:t xml:space="preserve">percent, for Bayer </w:t>
      </w:r>
      <w:r>
        <w:rPr>
          <w:color w:val="231F20"/>
          <w:spacing w:val="-5"/>
        </w:rPr>
        <w:t xml:space="preserve">56 </w:t>
      </w:r>
      <w:r>
        <w:rPr>
          <w:color w:val="231F20"/>
        </w:rPr>
        <w:t xml:space="preserve">percent. South Africa, Portugal, </w:t>
      </w:r>
      <w:r>
        <w:rPr>
          <w:color w:val="231F20"/>
          <w:spacing w:val="-5"/>
        </w:rPr>
        <w:t xml:space="preserve">Turkey, </w:t>
      </w:r>
      <w:r>
        <w:rPr>
          <w:color w:val="231F20"/>
        </w:rPr>
        <w:t>Iran, and Brazil</w:t>
      </w:r>
      <w:r>
        <w:rPr>
          <w:color w:val="231F20"/>
          <w:spacing w:val="7"/>
        </w:rPr>
        <w:t xml:space="preserve"> </w:t>
      </w:r>
      <w:r>
        <w:rPr>
          <w:color w:val="231F20"/>
        </w:rPr>
        <w:t>are</w:t>
      </w:r>
      <w:r>
        <w:rPr>
          <w:color w:val="231F20"/>
          <w:spacing w:val="7"/>
        </w:rPr>
        <w:t xml:space="preserve"> </w:t>
      </w:r>
      <w:r>
        <w:rPr>
          <w:color w:val="231F20"/>
        </w:rPr>
        <w:t>some</w:t>
      </w:r>
      <w:r>
        <w:rPr>
          <w:color w:val="231F20"/>
          <w:spacing w:val="7"/>
        </w:rPr>
        <w:t xml:space="preserve"> </w:t>
      </w:r>
      <w:r>
        <w:rPr>
          <w:color w:val="231F20"/>
        </w:rPr>
        <w:t>the</w:t>
      </w:r>
      <w:r>
        <w:rPr>
          <w:color w:val="231F20"/>
          <w:spacing w:val="7"/>
        </w:rPr>
        <w:t xml:space="preserve"> </w:t>
      </w:r>
      <w:r>
        <w:rPr>
          <w:color w:val="231F20"/>
        </w:rPr>
        <w:t>places</w:t>
      </w:r>
      <w:r>
        <w:rPr>
          <w:color w:val="231F20"/>
          <w:spacing w:val="7"/>
        </w:rPr>
        <w:t xml:space="preserve"> </w:t>
      </w:r>
      <w:r>
        <w:rPr>
          <w:color w:val="231F20"/>
        </w:rPr>
        <w:t>where</w:t>
      </w:r>
      <w:r>
        <w:rPr>
          <w:color w:val="231F20"/>
          <w:spacing w:val="7"/>
        </w:rPr>
        <w:t xml:space="preserve"> </w:t>
      </w:r>
      <w:r>
        <w:rPr>
          <w:color w:val="231F20"/>
        </w:rPr>
        <w:t>they</w:t>
      </w:r>
      <w:r>
        <w:rPr>
          <w:color w:val="231F20"/>
          <w:spacing w:val="7"/>
        </w:rPr>
        <w:t xml:space="preserve"> </w:t>
      </w:r>
      <w:r>
        <w:rPr>
          <w:color w:val="231F20"/>
        </w:rPr>
        <w:t>have</w:t>
      </w:r>
      <w:r>
        <w:rPr>
          <w:color w:val="231F20"/>
          <w:spacing w:val="7"/>
        </w:rPr>
        <w:t xml:space="preserve"> </w:t>
      </w:r>
      <w:r>
        <w:rPr>
          <w:color w:val="231F20"/>
        </w:rPr>
        <w:t>production</w:t>
      </w:r>
      <w:r>
        <w:rPr>
          <w:color w:val="231F20"/>
          <w:spacing w:val="7"/>
        </w:rPr>
        <w:t xml:space="preserve"> </w:t>
      </w:r>
      <w:r>
        <w:rPr>
          <w:color w:val="231F20"/>
        </w:rPr>
        <w:t>facilities.</w:t>
      </w:r>
    </w:p>
    <w:p w14:paraId="6C412ABE" w14:textId="77777777" w:rsidR="002653E8" w:rsidRDefault="003115E3">
      <w:pPr>
        <w:pStyle w:val="a3"/>
        <w:spacing w:line="264" w:lineRule="auto"/>
        <w:ind w:left="1328" w:right="1145" w:firstLine="210"/>
        <w:jc w:val="both"/>
      </w:pPr>
      <w:r>
        <w:rPr>
          <w:color w:val="231F20"/>
        </w:rPr>
        <w:t xml:space="preserve">The Federal Republic also provides military aid to Portugal, </w:t>
      </w:r>
      <w:r>
        <w:rPr>
          <w:color w:val="231F20"/>
          <w:spacing w:val="-3"/>
        </w:rPr>
        <w:t xml:space="preserve">Turkey </w:t>
      </w:r>
      <w:r>
        <w:rPr>
          <w:color w:val="231F20"/>
        </w:rPr>
        <w:t xml:space="preserve">and Iran. Obviously, this military aid serves to ensure conditions of exploitation beneficial to </w:t>
      </w:r>
      <w:r>
        <w:rPr>
          <w:color w:val="231F20"/>
          <w:spacing w:val="-3"/>
        </w:rPr>
        <w:t xml:space="preserve">West  </w:t>
      </w:r>
      <w:r>
        <w:rPr>
          <w:color w:val="231F20"/>
        </w:rPr>
        <w:t xml:space="preserve">German capital in these countries, which   is to </w:t>
      </w:r>
      <w:r>
        <w:rPr>
          <w:color w:val="231F20"/>
          <w:spacing w:val="-4"/>
        </w:rPr>
        <w:t xml:space="preserve">say, </w:t>
      </w:r>
      <w:r>
        <w:rPr>
          <w:color w:val="231F20"/>
        </w:rPr>
        <w:t>holding wages down and gunning down workers who resist. It is also clear that since the mid-60s this military aid has also served to build up “security forces,” which is to say the police, who conduct the anti-guerilla war under the guise of fighting crime, saying whatever is necessary</w:t>
      </w:r>
      <w:r>
        <w:rPr>
          <w:color w:val="231F20"/>
          <w:spacing w:val="-4"/>
        </w:rPr>
        <w:t xml:space="preserve"> </w:t>
      </w:r>
      <w:r>
        <w:rPr>
          <w:color w:val="231F20"/>
        </w:rPr>
        <w:t>to</w:t>
      </w:r>
      <w:r>
        <w:rPr>
          <w:color w:val="231F20"/>
          <w:spacing w:val="-4"/>
        </w:rPr>
        <w:t xml:space="preserve"> </w:t>
      </w:r>
      <w:r>
        <w:rPr>
          <w:color w:val="231F20"/>
        </w:rPr>
        <w:t>support</w:t>
      </w:r>
      <w:r>
        <w:rPr>
          <w:color w:val="231F20"/>
          <w:spacing w:val="-4"/>
        </w:rPr>
        <w:t xml:space="preserve"> </w:t>
      </w:r>
      <w:r>
        <w:rPr>
          <w:color w:val="231F20"/>
        </w:rPr>
        <w:t>that</w:t>
      </w:r>
      <w:r>
        <w:rPr>
          <w:color w:val="231F20"/>
          <w:spacing w:val="-4"/>
        </w:rPr>
        <w:t xml:space="preserve"> </w:t>
      </w:r>
      <w:r>
        <w:rPr>
          <w:color w:val="231F20"/>
        </w:rPr>
        <w:t>position:</w:t>
      </w:r>
      <w:r>
        <w:rPr>
          <w:color w:val="231F20"/>
          <w:spacing w:val="-4"/>
        </w:rPr>
        <w:t xml:space="preserve"> </w:t>
      </w:r>
      <w:r>
        <w:rPr>
          <w:color w:val="231F20"/>
        </w:rPr>
        <w:t>there</w:t>
      </w:r>
      <w:r>
        <w:rPr>
          <w:color w:val="231F20"/>
          <w:spacing w:val="-4"/>
        </w:rPr>
        <w:t xml:space="preserve"> </w:t>
      </w:r>
      <w:r>
        <w:rPr>
          <w:color w:val="231F20"/>
        </w:rPr>
        <w:t>is</w:t>
      </w:r>
      <w:r>
        <w:rPr>
          <w:color w:val="231F20"/>
          <w:spacing w:val="-4"/>
        </w:rPr>
        <w:t xml:space="preserve"> </w:t>
      </w:r>
      <w:r>
        <w:rPr>
          <w:color w:val="231F20"/>
        </w:rPr>
        <w:t>no</w:t>
      </w:r>
      <w:r>
        <w:rPr>
          <w:color w:val="231F20"/>
          <w:spacing w:val="-4"/>
        </w:rPr>
        <w:t xml:space="preserve"> </w:t>
      </w:r>
      <w:r>
        <w:rPr>
          <w:color w:val="231F20"/>
        </w:rPr>
        <w:t>resistance,</w:t>
      </w:r>
      <w:r>
        <w:rPr>
          <w:color w:val="231F20"/>
          <w:spacing w:val="-4"/>
        </w:rPr>
        <w:t xml:space="preserve"> </w:t>
      </w:r>
      <w:r>
        <w:rPr>
          <w:color w:val="231F20"/>
        </w:rPr>
        <w:t>the</w:t>
      </w:r>
      <w:r>
        <w:rPr>
          <w:color w:val="231F20"/>
          <w:spacing w:val="-4"/>
        </w:rPr>
        <w:t xml:space="preserve"> </w:t>
      </w:r>
      <w:r>
        <w:rPr>
          <w:color w:val="231F20"/>
        </w:rPr>
        <w:t>masses</w:t>
      </w:r>
      <w:r>
        <w:rPr>
          <w:color w:val="231F20"/>
          <w:spacing w:val="-4"/>
        </w:rPr>
        <w:t xml:space="preserve"> </w:t>
      </w:r>
      <w:r>
        <w:rPr>
          <w:color w:val="231F20"/>
        </w:rPr>
        <w:t xml:space="preserve">are completely satisfied, </w:t>
      </w:r>
      <w:r>
        <w:rPr>
          <w:color w:val="231F20"/>
          <w:spacing w:val="-3"/>
        </w:rPr>
        <w:t xml:space="preserve">it’s </w:t>
      </w:r>
      <w:r>
        <w:rPr>
          <w:color w:val="231F20"/>
        </w:rPr>
        <w:t>only a question of criminals and</w:t>
      </w:r>
      <w:r>
        <w:rPr>
          <w:color w:val="231F20"/>
          <w:spacing w:val="21"/>
        </w:rPr>
        <w:t xml:space="preserve"> </w:t>
      </w:r>
      <w:r>
        <w:rPr>
          <w:color w:val="231F20"/>
        </w:rPr>
        <w:t>crime.</w:t>
      </w:r>
    </w:p>
    <w:p w14:paraId="1B11AE6A" w14:textId="77777777" w:rsidR="002653E8" w:rsidRDefault="003115E3">
      <w:pPr>
        <w:pStyle w:val="a3"/>
        <w:spacing w:line="264" w:lineRule="auto"/>
        <w:ind w:left="1328" w:right="1145" w:firstLine="210"/>
        <w:jc w:val="both"/>
      </w:pPr>
      <w:r>
        <w:rPr>
          <w:color w:val="231F20"/>
        </w:rPr>
        <w:t>American military aid to Iran was given to support the campaign against drug dealing and smuggling, and Brandt has no “ideological biases”</w:t>
      </w:r>
      <w:r>
        <w:rPr>
          <w:color w:val="231F20"/>
          <w:spacing w:val="-5"/>
        </w:rPr>
        <w:t xml:space="preserve"> </w:t>
      </w:r>
      <w:r>
        <w:rPr>
          <w:color w:val="231F20"/>
        </w:rPr>
        <w:t>if</w:t>
      </w:r>
      <w:r>
        <w:rPr>
          <w:color w:val="231F20"/>
          <w:spacing w:val="-5"/>
        </w:rPr>
        <w:t xml:space="preserve"> </w:t>
      </w:r>
      <w:r>
        <w:rPr>
          <w:color w:val="231F20"/>
        </w:rPr>
        <w:t>the</w:t>
      </w:r>
      <w:r>
        <w:rPr>
          <w:color w:val="231F20"/>
          <w:spacing w:val="-5"/>
        </w:rPr>
        <w:t xml:space="preserve"> </w:t>
      </w:r>
      <w:r>
        <w:rPr>
          <w:color w:val="231F20"/>
        </w:rPr>
        <w:t>execution</w:t>
      </w:r>
      <w:r>
        <w:rPr>
          <w:color w:val="231F20"/>
          <w:spacing w:val="-5"/>
        </w:rPr>
        <w:t xml:space="preserve"> </w:t>
      </w:r>
      <w:r>
        <w:rPr>
          <w:color w:val="231F20"/>
        </w:rPr>
        <w:t>of</w:t>
      </w:r>
      <w:r>
        <w:rPr>
          <w:color w:val="231F20"/>
          <w:spacing w:val="-5"/>
        </w:rPr>
        <w:t xml:space="preserve"> </w:t>
      </w:r>
      <w:r>
        <w:rPr>
          <w:color w:val="231F20"/>
        </w:rPr>
        <w:t>revolutionaries</w:t>
      </w:r>
      <w:r>
        <w:rPr>
          <w:color w:val="231F20"/>
          <w:spacing w:val="-5"/>
        </w:rPr>
        <w:t xml:space="preserve"> </w:t>
      </w:r>
      <w:r>
        <w:rPr>
          <w:color w:val="231F20"/>
        </w:rPr>
        <w:t>is</w:t>
      </w:r>
      <w:r>
        <w:rPr>
          <w:color w:val="231F20"/>
          <w:spacing w:val="-5"/>
        </w:rPr>
        <w:t xml:space="preserve"> </w:t>
      </w:r>
      <w:r>
        <w:rPr>
          <w:color w:val="231F20"/>
        </w:rPr>
        <w:t>disguised</w:t>
      </w:r>
      <w:r>
        <w:rPr>
          <w:color w:val="231F20"/>
          <w:spacing w:val="-5"/>
        </w:rPr>
        <w:t xml:space="preserve"> </w:t>
      </w:r>
      <w:r>
        <w:rPr>
          <w:color w:val="231F20"/>
        </w:rPr>
        <w:t>as</w:t>
      </w:r>
      <w:r>
        <w:rPr>
          <w:color w:val="231F20"/>
          <w:spacing w:val="-5"/>
        </w:rPr>
        <w:t xml:space="preserve"> </w:t>
      </w:r>
      <w:r>
        <w:rPr>
          <w:color w:val="231F20"/>
        </w:rPr>
        <w:t>sentences</w:t>
      </w:r>
      <w:r>
        <w:rPr>
          <w:color w:val="231F20"/>
          <w:spacing w:val="-5"/>
        </w:rPr>
        <w:t xml:space="preserve"> </w:t>
      </w:r>
      <w:r>
        <w:rPr>
          <w:color w:val="231F20"/>
        </w:rPr>
        <w:t>carried out against criminals. Scheel spoke recently—in the context of the signing of a contract, in which the Federal Republic secured future Brazilian uranium discoveries—of the common interest of the Federal Republic and the Brazilian military junta in resisting “terrorism and subversive activities,” which is in reaction to the Latin American guerillas who laid bombs at the BASF</w:t>
      </w:r>
      <w:r>
        <w:rPr>
          <w:color w:val="231F20"/>
          <w:spacing w:val="2"/>
        </w:rPr>
        <w:t xml:space="preserve"> </w:t>
      </w:r>
      <w:r>
        <w:rPr>
          <w:color w:val="231F20"/>
        </w:rPr>
        <w:t>installation.</w:t>
      </w:r>
    </w:p>
    <w:p w14:paraId="105CE7DC" w14:textId="77777777" w:rsidR="002653E8" w:rsidRDefault="003115E3">
      <w:pPr>
        <w:pStyle w:val="a3"/>
        <w:spacing w:line="264" w:lineRule="auto"/>
        <w:ind w:left="1327" w:right="1146" w:firstLine="210"/>
        <w:jc w:val="both"/>
      </w:pPr>
      <w:r>
        <w:rPr>
          <w:color w:val="231F20"/>
        </w:rPr>
        <w:t xml:space="preserve">Together with American corporations, the </w:t>
      </w:r>
      <w:r>
        <w:rPr>
          <w:color w:val="231F20"/>
          <w:spacing w:val="-3"/>
        </w:rPr>
        <w:t xml:space="preserve">West </w:t>
      </w:r>
      <w:r>
        <w:rPr>
          <w:color w:val="231F20"/>
        </w:rPr>
        <w:t>German chemical corporations control almost  the  entire  chemical  and  pharmaceuti cal</w:t>
      </w:r>
      <w:r>
        <w:rPr>
          <w:color w:val="231F20"/>
          <w:spacing w:val="21"/>
        </w:rPr>
        <w:t xml:space="preserve"> </w:t>
      </w:r>
      <w:r>
        <w:rPr>
          <w:color w:val="231F20"/>
        </w:rPr>
        <w:t>market</w:t>
      </w:r>
      <w:r>
        <w:rPr>
          <w:color w:val="231F20"/>
          <w:spacing w:val="21"/>
        </w:rPr>
        <w:t xml:space="preserve"> </w:t>
      </w:r>
      <w:r>
        <w:rPr>
          <w:color w:val="231F20"/>
        </w:rPr>
        <w:t>in</w:t>
      </w:r>
      <w:r>
        <w:rPr>
          <w:color w:val="231F20"/>
          <w:spacing w:val="21"/>
        </w:rPr>
        <w:t xml:space="preserve"> </w:t>
      </w:r>
      <w:r>
        <w:rPr>
          <w:color w:val="231F20"/>
        </w:rPr>
        <w:t>Iran.</w:t>
      </w:r>
      <w:r>
        <w:rPr>
          <w:color w:val="231F20"/>
          <w:spacing w:val="21"/>
        </w:rPr>
        <w:t xml:space="preserve"> </w:t>
      </w:r>
      <w:r>
        <w:rPr>
          <w:color w:val="231F20"/>
        </w:rPr>
        <w:t>Iran</w:t>
      </w:r>
      <w:r>
        <w:rPr>
          <w:color w:val="231F20"/>
          <w:spacing w:val="21"/>
        </w:rPr>
        <w:t xml:space="preserve"> </w:t>
      </w:r>
      <w:r>
        <w:rPr>
          <w:color w:val="231F20"/>
        </w:rPr>
        <w:t>is</w:t>
      </w:r>
      <w:r>
        <w:rPr>
          <w:color w:val="231F20"/>
          <w:spacing w:val="21"/>
        </w:rPr>
        <w:t xml:space="preserve"> </w:t>
      </w:r>
      <w:r>
        <w:rPr>
          <w:color w:val="231F20"/>
        </w:rPr>
        <w:t>the</w:t>
      </w:r>
      <w:r>
        <w:rPr>
          <w:color w:val="231F20"/>
          <w:spacing w:val="21"/>
        </w:rPr>
        <w:t xml:space="preserve"> </w:t>
      </w:r>
      <w:r>
        <w:rPr>
          <w:color w:val="231F20"/>
        </w:rPr>
        <w:t>site</w:t>
      </w:r>
      <w:r>
        <w:rPr>
          <w:color w:val="231F20"/>
          <w:spacing w:val="21"/>
        </w:rPr>
        <w:t xml:space="preserve"> </w:t>
      </w:r>
      <w:r>
        <w:rPr>
          <w:color w:val="231F20"/>
        </w:rPr>
        <w:t>of</w:t>
      </w:r>
      <w:r>
        <w:rPr>
          <w:color w:val="231F20"/>
          <w:spacing w:val="21"/>
        </w:rPr>
        <w:t xml:space="preserve"> </w:t>
      </w:r>
      <w:r>
        <w:rPr>
          <w:color w:val="231F20"/>
        </w:rPr>
        <w:t>the</w:t>
      </w:r>
      <w:r>
        <w:rPr>
          <w:color w:val="231F20"/>
          <w:spacing w:val="21"/>
        </w:rPr>
        <w:t xml:space="preserve"> </w:t>
      </w:r>
      <w:r>
        <w:rPr>
          <w:color w:val="231F20"/>
        </w:rPr>
        <w:t>greatest</w:t>
      </w:r>
      <w:r>
        <w:rPr>
          <w:color w:val="231F20"/>
          <w:spacing w:val="21"/>
        </w:rPr>
        <w:t xml:space="preserve"> </w:t>
      </w:r>
      <w:r>
        <w:rPr>
          <w:color w:val="231F20"/>
        </w:rPr>
        <w:t>rate</w:t>
      </w:r>
      <w:r>
        <w:rPr>
          <w:color w:val="231F20"/>
          <w:spacing w:val="21"/>
        </w:rPr>
        <w:t xml:space="preserve"> </w:t>
      </w:r>
      <w:r>
        <w:rPr>
          <w:color w:val="231F20"/>
        </w:rPr>
        <w:t>of</w:t>
      </w:r>
      <w:r>
        <w:rPr>
          <w:color w:val="231F20"/>
          <w:spacing w:val="21"/>
        </w:rPr>
        <w:t xml:space="preserve"> </w:t>
      </w:r>
      <w:r>
        <w:rPr>
          <w:color w:val="231F20"/>
        </w:rPr>
        <w:t>expansion</w:t>
      </w:r>
      <w:r>
        <w:rPr>
          <w:color w:val="231F20"/>
          <w:spacing w:val="21"/>
        </w:rPr>
        <w:t xml:space="preserve"> </w:t>
      </w:r>
      <w:r>
        <w:rPr>
          <w:color w:val="231F20"/>
        </w:rPr>
        <w:t>of</w:t>
      </w:r>
    </w:p>
    <w:p w14:paraId="5737A41C" w14:textId="77777777" w:rsidR="002653E8" w:rsidRDefault="00000000">
      <w:pPr>
        <w:pStyle w:val="a3"/>
        <w:spacing w:before="2"/>
        <w:rPr>
          <w:sz w:val="13"/>
        </w:rPr>
      </w:pPr>
      <w:r>
        <w:rPr>
          <w:noProof w:val="0"/>
        </w:rPr>
        <w:pict w14:anchorId="7C40E9D0">
          <v:line id="_x0000_s2570" style="position:absolute;z-index:4192;mso-wrap-distance-left:0;mso-wrap-distance-right:0;mso-position-horizontal-relative:page" from="66.4pt,9.95pt" to="138.4pt,9.95pt" strokecolor="#231f20" strokeweight=".5pt">
            <w10:wrap type="topAndBottom" anchorx="page"/>
          </v:line>
        </w:pict>
      </w:r>
    </w:p>
    <w:p w14:paraId="0C9FA110" w14:textId="77777777" w:rsidR="002653E8" w:rsidRDefault="003115E3">
      <w:pPr>
        <w:pStyle w:val="a4"/>
        <w:numPr>
          <w:ilvl w:val="0"/>
          <w:numId w:val="149"/>
        </w:numPr>
        <w:tabs>
          <w:tab w:val="left" w:pos="1467"/>
        </w:tabs>
        <w:spacing w:before="53"/>
        <w:ind w:left="1466"/>
        <w:jc w:val="left"/>
        <w:rPr>
          <w:sz w:val="16"/>
        </w:rPr>
      </w:pPr>
      <w:r>
        <w:rPr>
          <w:color w:val="231F20"/>
          <w:w w:val="110"/>
          <w:sz w:val="16"/>
        </w:rPr>
        <w:t xml:space="preserve">Roughly </w:t>
      </w:r>
      <w:r>
        <w:rPr>
          <w:color w:val="231F20"/>
          <w:spacing w:val="-4"/>
          <w:w w:val="110"/>
          <w:sz w:val="16"/>
        </w:rPr>
        <w:t>$1.45</w:t>
      </w:r>
      <w:r>
        <w:rPr>
          <w:color w:val="231F20"/>
          <w:spacing w:val="11"/>
          <w:w w:val="110"/>
          <w:sz w:val="16"/>
        </w:rPr>
        <w:t xml:space="preserve"> </w:t>
      </w:r>
      <w:r>
        <w:rPr>
          <w:color w:val="231F20"/>
          <w:w w:val="110"/>
          <w:sz w:val="16"/>
        </w:rPr>
        <w:t>billion.</w:t>
      </w:r>
    </w:p>
    <w:p w14:paraId="62F2A2F3" w14:textId="77777777" w:rsidR="002653E8" w:rsidRDefault="002653E8">
      <w:pPr>
        <w:rPr>
          <w:sz w:val="16"/>
        </w:rPr>
        <w:sectPr w:rsidR="002653E8">
          <w:pgSz w:w="8640" w:h="12960"/>
          <w:pgMar w:top="1060" w:right="0" w:bottom="1040" w:left="0" w:header="0" w:footer="850" w:gutter="0"/>
          <w:cols w:space="720"/>
        </w:sectPr>
      </w:pPr>
    </w:p>
    <w:p w14:paraId="116230B4" w14:textId="77777777" w:rsidR="002653E8" w:rsidRDefault="003115E3">
      <w:pPr>
        <w:pStyle w:val="a3"/>
        <w:spacing w:before="86" w:line="264" w:lineRule="auto"/>
        <w:ind w:left="1148" w:right="1325" w:hanging="1"/>
        <w:jc w:val="both"/>
      </w:pPr>
      <w:r>
        <w:rPr>
          <w:color w:val="231F20"/>
        </w:rPr>
        <w:lastRenderedPageBreak/>
        <w:t>western interests; South Africa offers the highest rate of profit—Volkswagen for example averaged dividends of 30 percent last year, and in 1968 they were as high as 45 percent. Between what they produce and what they sell, the West German chemical and pharmaceutical industry controls 10 to 12 percent of the South American market.</w:t>
      </w:r>
    </w:p>
    <w:p w14:paraId="7EF3167E" w14:textId="77777777" w:rsidR="002653E8" w:rsidRDefault="003115E3">
      <w:pPr>
        <w:pStyle w:val="a3"/>
        <w:spacing w:line="264" w:lineRule="auto"/>
        <w:ind w:left="1148" w:right="1325" w:firstLine="210"/>
        <w:jc w:val="both"/>
      </w:pPr>
      <w:r>
        <w:rPr>
          <w:color w:val="231F20"/>
        </w:rPr>
        <w:t xml:space="preserve">Pressure on wages and the reduction of the wage-cost ratio in production was achieved through the exploitation of lower wage standards in foreign countries, through guest workers, and through investments  at home, all of which the chemical industry has used in recent years to achieve a </w:t>
      </w:r>
      <w:r>
        <w:rPr>
          <w:color w:val="231F20"/>
          <w:spacing w:val="-6"/>
        </w:rPr>
        <w:t xml:space="preserve">75 </w:t>
      </w:r>
      <w:r>
        <w:rPr>
          <w:color w:val="231F20"/>
        </w:rPr>
        <w:t>percent increase in capacity, as well as rationalization and redundancy in the labor force.</w:t>
      </w:r>
    </w:p>
    <w:p w14:paraId="4EB2ED50" w14:textId="77777777" w:rsidR="002653E8" w:rsidRDefault="003115E3">
      <w:pPr>
        <w:pStyle w:val="a3"/>
        <w:spacing w:line="264" w:lineRule="auto"/>
        <w:ind w:left="1147" w:right="1326" w:firstLine="210"/>
        <w:jc w:val="both"/>
      </w:pPr>
      <w:r>
        <w:rPr>
          <w:color w:val="231F20"/>
        </w:rPr>
        <w:t xml:space="preserve">The figures: between </w:t>
      </w:r>
      <w:r>
        <w:rPr>
          <w:color w:val="231F20"/>
          <w:spacing w:val="-7"/>
        </w:rPr>
        <w:t xml:space="preserve">1950 </w:t>
      </w:r>
      <w:r>
        <w:rPr>
          <w:color w:val="231F20"/>
        </w:rPr>
        <w:t xml:space="preserve">and </w:t>
      </w:r>
      <w:r>
        <w:rPr>
          <w:color w:val="231F20"/>
          <w:spacing w:val="-3"/>
        </w:rPr>
        <w:t xml:space="preserve">1970, </w:t>
      </w:r>
      <w:r>
        <w:rPr>
          <w:color w:val="231F20"/>
        </w:rPr>
        <w:t xml:space="preserve">the number of people employed in the chemical industry increased by only 100 percent, compared to an increase in sales of </w:t>
      </w:r>
      <w:r>
        <w:rPr>
          <w:color w:val="231F20"/>
          <w:spacing w:val="-6"/>
        </w:rPr>
        <w:t xml:space="preserve">636 </w:t>
      </w:r>
      <w:r>
        <w:rPr>
          <w:color w:val="231F20"/>
        </w:rPr>
        <w:t xml:space="preserve">percent. </w:t>
      </w:r>
      <w:r>
        <w:rPr>
          <w:color w:val="231F20"/>
          <w:spacing w:val="1"/>
        </w:rPr>
        <w:t xml:space="preserve">In </w:t>
      </w:r>
      <w:r>
        <w:rPr>
          <w:color w:val="231F20"/>
        </w:rPr>
        <w:t xml:space="preserve">general, the tendency is for the number of people to decrease. The closing of Phrixwerke made the headlines. Hüls announced this February that in </w:t>
      </w:r>
      <w:r>
        <w:rPr>
          <w:color w:val="231F20"/>
          <w:spacing w:val="-4"/>
        </w:rPr>
        <w:t xml:space="preserve">1972 </w:t>
      </w:r>
      <w:r>
        <w:rPr>
          <w:color w:val="231F20"/>
        </w:rPr>
        <w:t xml:space="preserve">the number of people it employs will decrease by 3 to 4 percent. The chemical industry speaks of the “the increasing importance of labor costs.” This indicates that  they intend lay-offs and wage rollbacks. They entered the </w:t>
      </w:r>
      <w:r>
        <w:rPr>
          <w:color w:val="231F20"/>
          <w:spacing w:val="-4"/>
        </w:rPr>
        <w:t xml:space="preserve">1971  </w:t>
      </w:r>
      <w:r>
        <w:rPr>
          <w:color w:val="231F20"/>
        </w:rPr>
        <w:t xml:space="preserve">round  of negotiations with the aim of asserting their concept of “labor costs,” which is to </w:t>
      </w:r>
      <w:r>
        <w:rPr>
          <w:color w:val="231F20"/>
          <w:spacing w:val="-4"/>
        </w:rPr>
        <w:t xml:space="preserve">say, </w:t>
      </w:r>
      <w:r>
        <w:rPr>
          <w:color w:val="231F20"/>
        </w:rPr>
        <w:t>with the hope of putting the working class on the defensive through a massive</w:t>
      </w:r>
      <w:r>
        <w:rPr>
          <w:color w:val="231F20"/>
          <w:spacing w:val="42"/>
        </w:rPr>
        <w:t xml:space="preserve"> </w:t>
      </w:r>
      <w:r>
        <w:rPr>
          <w:color w:val="231F20"/>
        </w:rPr>
        <w:t>attack.</w:t>
      </w:r>
    </w:p>
    <w:p w14:paraId="4146F48C" w14:textId="77777777" w:rsidR="002653E8" w:rsidRDefault="002653E8">
      <w:pPr>
        <w:pStyle w:val="a3"/>
        <w:spacing w:before="10"/>
        <w:rPr>
          <w:sz w:val="19"/>
        </w:rPr>
      </w:pPr>
    </w:p>
    <w:p w14:paraId="5A207A92" w14:textId="77777777" w:rsidR="002653E8" w:rsidRDefault="003115E3">
      <w:pPr>
        <w:ind w:left="1147"/>
        <w:rPr>
          <w:i/>
          <w:sz w:val="20"/>
        </w:rPr>
      </w:pPr>
      <w:r>
        <w:rPr>
          <w:i/>
          <w:color w:val="231F20"/>
          <w:w w:val="105"/>
          <w:sz w:val="20"/>
        </w:rPr>
        <w:t>The Strength of the Capitalist Class</w:t>
      </w:r>
    </w:p>
    <w:p w14:paraId="2B0B1978" w14:textId="77777777" w:rsidR="002653E8" w:rsidRDefault="003115E3">
      <w:pPr>
        <w:pStyle w:val="a3"/>
        <w:spacing w:before="22" w:line="264" w:lineRule="auto"/>
        <w:ind w:left="1147" w:right="1325"/>
        <w:jc w:val="both"/>
      </w:pPr>
      <w:r>
        <w:rPr>
          <w:color w:val="231F20"/>
        </w:rPr>
        <w:t xml:space="preserve">Concentration as the precondition for a strong negotiating position for capital requires nothing more than a unified position on the part of the employers, in a situation where the Employers Association is controlled by the corporations that control the market: Bayer, BASF and Hoechst. Export of capital is a source of strength for the chemical industry, given that it creates a situation in which the working class that confronts it     is not the industry’s only source of profit. </w:t>
      </w:r>
      <w:r>
        <w:rPr>
          <w:color w:val="231F20"/>
          <w:spacing w:val="1"/>
        </w:rPr>
        <w:t xml:space="preserve">In </w:t>
      </w:r>
      <w:r>
        <w:rPr>
          <w:color w:val="231F20"/>
        </w:rPr>
        <w:t>the workers’ struggle, the elimination of competition between wage workers always finds its practical limits within national borders, and so a strike only stops a part of capital’s profitable production. While the workers gamble everything, capital</w:t>
      </w:r>
      <w:r>
        <w:rPr>
          <w:color w:val="231F20"/>
          <w:spacing w:val="10"/>
        </w:rPr>
        <w:t xml:space="preserve"> </w:t>
      </w:r>
      <w:r>
        <w:rPr>
          <w:color w:val="231F20"/>
        </w:rPr>
        <w:t>only</w:t>
      </w:r>
      <w:r>
        <w:rPr>
          <w:color w:val="231F20"/>
          <w:spacing w:val="10"/>
        </w:rPr>
        <w:t xml:space="preserve"> </w:t>
      </w:r>
      <w:r>
        <w:rPr>
          <w:color w:val="231F20"/>
        </w:rPr>
        <w:t>gambles</w:t>
      </w:r>
      <w:r>
        <w:rPr>
          <w:color w:val="231F20"/>
          <w:spacing w:val="10"/>
        </w:rPr>
        <w:t xml:space="preserve"> </w:t>
      </w:r>
      <w:r>
        <w:rPr>
          <w:color w:val="231F20"/>
        </w:rPr>
        <w:t>part</w:t>
      </w:r>
      <w:r>
        <w:rPr>
          <w:color w:val="231F20"/>
          <w:spacing w:val="10"/>
        </w:rPr>
        <w:t xml:space="preserve"> </w:t>
      </w:r>
      <w:r>
        <w:rPr>
          <w:color w:val="231F20"/>
        </w:rPr>
        <w:t>of</w:t>
      </w:r>
      <w:r>
        <w:rPr>
          <w:color w:val="231F20"/>
          <w:spacing w:val="10"/>
        </w:rPr>
        <w:t xml:space="preserve"> </w:t>
      </w:r>
      <w:r>
        <w:rPr>
          <w:color w:val="231F20"/>
        </w:rPr>
        <w:t>what</w:t>
      </w:r>
      <w:r>
        <w:rPr>
          <w:color w:val="231F20"/>
          <w:spacing w:val="10"/>
        </w:rPr>
        <w:t xml:space="preserve"> </w:t>
      </w:r>
      <w:r>
        <w:rPr>
          <w:color w:val="231F20"/>
        </w:rPr>
        <w:t>it</w:t>
      </w:r>
      <w:r>
        <w:rPr>
          <w:color w:val="231F20"/>
          <w:spacing w:val="10"/>
        </w:rPr>
        <w:t xml:space="preserve"> </w:t>
      </w:r>
      <w:r>
        <w:rPr>
          <w:color w:val="231F20"/>
        </w:rPr>
        <w:t>has.</w:t>
      </w:r>
    </w:p>
    <w:p w14:paraId="63DCCFAE" w14:textId="77777777" w:rsidR="002653E8" w:rsidRDefault="003115E3" w:rsidP="00CC0D1B">
      <w:pPr>
        <w:pStyle w:val="a3"/>
        <w:spacing w:line="264" w:lineRule="auto"/>
        <w:ind w:left="1148" w:right="1326" w:firstLine="210"/>
        <w:jc w:val="both"/>
        <w:sectPr w:rsidR="002653E8">
          <w:footerReference w:type="even" r:id="rId119"/>
          <w:footerReference w:type="default" r:id="rId120"/>
          <w:pgSz w:w="8640" w:h="12960"/>
          <w:pgMar w:top="1060" w:right="0" w:bottom="1040" w:left="0" w:header="0" w:footer="850" w:gutter="0"/>
          <w:pgNumType w:start="132"/>
          <w:cols w:space="720"/>
        </w:sectPr>
      </w:pPr>
      <w:r>
        <w:rPr>
          <w:color w:val="231F20"/>
        </w:rPr>
        <w:t>Just because the chemical industry ruthlessly uses its strengths to gain the upper hand  politically  is  absolutely  no  reason  for  whining. It is an error to see the chemical companies as especially evil because they make use of slave labor in Africa, Asia, and Latin America to put pressure</w:t>
      </w:r>
      <w:r>
        <w:rPr>
          <w:color w:val="231F20"/>
          <w:spacing w:val="7"/>
        </w:rPr>
        <w:t xml:space="preserve"> </w:t>
      </w:r>
      <w:r>
        <w:rPr>
          <w:color w:val="231F20"/>
        </w:rPr>
        <w:t>on</w:t>
      </w:r>
      <w:r>
        <w:rPr>
          <w:color w:val="231F20"/>
          <w:spacing w:val="7"/>
        </w:rPr>
        <w:t xml:space="preserve"> </w:t>
      </w:r>
      <w:r>
        <w:rPr>
          <w:color w:val="231F20"/>
        </w:rPr>
        <w:t>wages,</w:t>
      </w:r>
      <w:r>
        <w:rPr>
          <w:color w:val="231F20"/>
          <w:spacing w:val="7"/>
        </w:rPr>
        <w:t xml:space="preserve"> </w:t>
      </w:r>
      <w:r>
        <w:rPr>
          <w:color w:val="231F20"/>
        </w:rPr>
        <w:t>because</w:t>
      </w:r>
      <w:r>
        <w:rPr>
          <w:color w:val="231F20"/>
          <w:spacing w:val="7"/>
        </w:rPr>
        <w:t xml:space="preserve"> </w:t>
      </w:r>
      <w:r>
        <w:rPr>
          <w:color w:val="231F20"/>
        </w:rPr>
        <w:t>they</w:t>
      </w:r>
      <w:r>
        <w:rPr>
          <w:color w:val="231F20"/>
          <w:spacing w:val="7"/>
        </w:rPr>
        <w:t xml:space="preserve"> </w:t>
      </w:r>
      <w:r>
        <w:rPr>
          <w:color w:val="231F20"/>
        </w:rPr>
        <w:t>use</w:t>
      </w:r>
      <w:r>
        <w:rPr>
          <w:color w:val="231F20"/>
          <w:spacing w:val="7"/>
        </w:rPr>
        <w:t xml:space="preserve"> </w:t>
      </w:r>
      <w:r>
        <w:rPr>
          <w:color w:val="231F20"/>
        </w:rPr>
        <w:t>investments</w:t>
      </w:r>
      <w:r>
        <w:rPr>
          <w:color w:val="231F20"/>
          <w:spacing w:val="7"/>
        </w:rPr>
        <w:t xml:space="preserve"> </w:t>
      </w:r>
      <w:r>
        <w:rPr>
          <w:color w:val="231F20"/>
        </w:rPr>
        <w:t>to</w:t>
      </w:r>
      <w:r>
        <w:rPr>
          <w:color w:val="231F20"/>
          <w:spacing w:val="7"/>
        </w:rPr>
        <w:t xml:space="preserve"> </w:t>
      </w:r>
      <w:r>
        <w:rPr>
          <w:color w:val="231F20"/>
        </w:rPr>
        <w:t>get</w:t>
      </w:r>
      <w:r>
        <w:rPr>
          <w:color w:val="231F20"/>
          <w:spacing w:val="7"/>
        </w:rPr>
        <w:t xml:space="preserve"> </w:t>
      </w:r>
      <w:r>
        <w:rPr>
          <w:color w:val="231F20"/>
        </w:rPr>
        <w:t>the</w:t>
      </w:r>
      <w:r>
        <w:rPr>
          <w:color w:val="231F20"/>
          <w:spacing w:val="7"/>
        </w:rPr>
        <w:t xml:space="preserve"> </w:t>
      </w:r>
      <w:r>
        <w:rPr>
          <w:color w:val="231F20"/>
        </w:rPr>
        <w:t>labor</w:t>
      </w:r>
      <w:r>
        <w:rPr>
          <w:color w:val="231F20"/>
          <w:spacing w:val="7"/>
        </w:rPr>
        <w:t xml:space="preserve"> </w:t>
      </w:r>
      <w:r>
        <w:rPr>
          <w:color w:val="231F20"/>
        </w:rPr>
        <w:t>force</w:t>
      </w:r>
      <w:r w:rsidR="00CC0D1B">
        <w:rPr>
          <w:color w:val="231F20"/>
        </w:rPr>
        <w:t xml:space="preserve"> </w:t>
      </w:r>
    </w:p>
    <w:p w14:paraId="2918442B" w14:textId="77777777" w:rsidR="002653E8" w:rsidRDefault="003115E3">
      <w:pPr>
        <w:pStyle w:val="a3"/>
        <w:spacing w:before="86" w:line="264" w:lineRule="auto"/>
        <w:ind w:left="1327" w:right="1146"/>
        <w:jc w:val="both"/>
      </w:pPr>
      <w:r>
        <w:rPr>
          <w:color w:val="231F20"/>
        </w:rPr>
        <w:lastRenderedPageBreak/>
        <w:t xml:space="preserve">off their backs, and because they use concentration to secure economic and political mobility and flexibility. The brutality of their exploitative behavior—in the form of political repression and pressure to reduce the costs of social reproduction—indicates the effect of North American competition on </w:t>
      </w:r>
      <w:r>
        <w:rPr>
          <w:color w:val="231F20"/>
          <w:spacing w:val="-3"/>
        </w:rPr>
        <w:t xml:space="preserve">West </w:t>
      </w:r>
      <w:r>
        <w:rPr>
          <w:color w:val="231F20"/>
        </w:rPr>
        <w:t xml:space="preserve">Europe’s </w:t>
      </w:r>
      <w:r>
        <w:rPr>
          <w:color w:val="231F20"/>
          <w:spacing w:val="-3"/>
        </w:rPr>
        <w:t xml:space="preserve">economy,  </w:t>
      </w:r>
      <w:r>
        <w:rPr>
          <w:color w:val="231F20"/>
        </w:rPr>
        <w:t>as well as the rationalization  of the sector, its products, and the market. It is an integral part of the inhumanity and criminality of the system and will only be eliminated when</w:t>
      </w:r>
      <w:r>
        <w:rPr>
          <w:color w:val="231F20"/>
          <w:spacing w:val="10"/>
        </w:rPr>
        <w:t xml:space="preserve"> </w:t>
      </w:r>
      <w:r>
        <w:rPr>
          <w:color w:val="231F20"/>
        </w:rPr>
        <w:t>the</w:t>
      </w:r>
      <w:r>
        <w:rPr>
          <w:color w:val="231F20"/>
          <w:spacing w:val="10"/>
        </w:rPr>
        <w:t xml:space="preserve"> </w:t>
      </w:r>
      <w:r>
        <w:rPr>
          <w:color w:val="231F20"/>
        </w:rPr>
        <w:t>system</w:t>
      </w:r>
      <w:r>
        <w:rPr>
          <w:color w:val="231F20"/>
          <w:spacing w:val="10"/>
        </w:rPr>
        <w:t xml:space="preserve"> </w:t>
      </w:r>
      <w:r>
        <w:rPr>
          <w:color w:val="231F20"/>
        </w:rPr>
        <w:t>is</w:t>
      </w:r>
      <w:r>
        <w:rPr>
          <w:color w:val="231F20"/>
          <w:spacing w:val="10"/>
        </w:rPr>
        <w:t xml:space="preserve"> </w:t>
      </w:r>
      <w:r>
        <w:rPr>
          <w:color w:val="231F20"/>
        </w:rPr>
        <w:t>eliminated,</w:t>
      </w:r>
      <w:r>
        <w:rPr>
          <w:color w:val="231F20"/>
          <w:spacing w:val="10"/>
        </w:rPr>
        <w:t xml:space="preserve"> </w:t>
      </w:r>
      <w:r>
        <w:rPr>
          <w:color w:val="231F20"/>
        </w:rPr>
        <w:t>or</w:t>
      </w:r>
      <w:r>
        <w:rPr>
          <w:color w:val="231F20"/>
          <w:spacing w:val="10"/>
        </w:rPr>
        <w:t xml:space="preserve"> </w:t>
      </w:r>
      <w:r>
        <w:rPr>
          <w:color w:val="231F20"/>
        </w:rPr>
        <w:t>it</w:t>
      </w:r>
      <w:r>
        <w:rPr>
          <w:color w:val="231F20"/>
          <w:spacing w:val="10"/>
        </w:rPr>
        <w:t xml:space="preserve"> </w:t>
      </w:r>
      <w:r>
        <w:rPr>
          <w:color w:val="231F20"/>
        </w:rPr>
        <w:t>will</w:t>
      </w:r>
      <w:r>
        <w:rPr>
          <w:color w:val="231F20"/>
          <w:spacing w:val="10"/>
        </w:rPr>
        <w:t xml:space="preserve"> </w:t>
      </w:r>
      <w:r>
        <w:rPr>
          <w:color w:val="231F20"/>
        </w:rPr>
        <w:t>not</w:t>
      </w:r>
      <w:r>
        <w:rPr>
          <w:color w:val="231F20"/>
          <w:spacing w:val="10"/>
        </w:rPr>
        <w:t xml:space="preserve"> </w:t>
      </w:r>
      <w:r>
        <w:rPr>
          <w:color w:val="231F20"/>
        </w:rPr>
        <w:t>be</w:t>
      </w:r>
      <w:r>
        <w:rPr>
          <w:color w:val="231F20"/>
          <w:spacing w:val="10"/>
        </w:rPr>
        <w:t xml:space="preserve"> </w:t>
      </w:r>
      <w:r>
        <w:rPr>
          <w:color w:val="231F20"/>
        </w:rPr>
        <w:t>eliminated</w:t>
      </w:r>
      <w:r>
        <w:rPr>
          <w:color w:val="231F20"/>
          <w:spacing w:val="10"/>
        </w:rPr>
        <w:t xml:space="preserve"> </w:t>
      </w:r>
      <w:r>
        <w:rPr>
          <w:color w:val="231F20"/>
        </w:rPr>
        <w:t>at</w:t>
      </w:r>
      <w:r>
        <w:rPr>
          <w:color w:val="231F20"/>
          <w:spacing w:val="10"/>
        </w:rPr>
        <w:t xml:space="preserve"> </w:t>
      </w:r>
      <w:r>
        <w:rPr>
          <w:color w:val="231F20"/>
        </w:rPr>
        <w:t>all.</w:t>
      </w:r>
    </w:p>
    <w:p w14:paraId="22FBE610" w14:textId="77777777" w:rsidR="002653E8" w:rsidRDefault="003115E3">
      <w:pPr>
        <w:pStyle w:val="a3"/>
        <w:spacing w:line="264" w:lineRule="auto"/>
        <w:ind w:left="1327" w:right="1147" w:firstLine="210"/>
        <w:jc w:val="both"/>
      </w:pPr>
      <w:r>
        <w:rPr>
          <w:color w:val="231F20"/>
        </w:rPr>
        <w:t>The chemical industry prepared meticulously for the strike; it was they and not the unions that wanted the strike, and they and not the unions that won the strike. The workers suffered a setback. Everybody played different roles against them: capital, the government and the union bureaucracy.</w:t>
      </w:r>
    </w:p>
    <w:p w14:paraId="34B5AF62" w14:textId="77777777" w:rsidR="002653E8" w:rsidRDefault="002653E8">
      <w:pPr>
        <w:pStyle w:val="a3"/>
        <w:spacing w:before="8"/>
      </w:pPr>
    </w:p>
    <w:p w14:paraId="39160597" w14:textId="77777777" w:rsidR="002653E8" w:rsidRDefault="003115E3">
      <w:pPr>
        <w:ind w:left="1327"/>
        <w:rPr>
          <w:i/>
          <w:sz w:val="20"/>
        </w:rPr>
      </w:pPr>
      <w:r>
        <w:rPr>
          <w:i/>
          <w:color w:val="231F20"/>
          <w:sz w:val="20"/>
        </w:rPr>
        <w:t>Preparing for the Strike</w:t>
      </w:r>
    </w:p>
    <w:p w14:paraId="1CE1342B" w14:textId="77777777" w:rsidR="002653E8" w:rsidRDefault="003115E3">
      <w:pPr>
        <w:pStyle w:val="a3"/>
        <w:spacing w:before="23" w:line="264" w:lineRule="auto"/>
        <w:ind w:left="1328" w:right="1147" w:hanging="1"/>
        <w:jc w:val="both"/>
      </w:pPr>
      <w:r>
        <w:rPr>
          <w:color w:val="231F20"/>
          <w:spacing w:val="1"/>
        </w:rPr>
        <w:t>In</w:t>
      </w:r>
      <w:r>
        <w:rPr>
          <w:color w:val="231F20"/>
          <w:spacing w:val="-9"/>
        </w:rPr>
        <w:t xml:space="preserve"> </w:t>
      </w:r>
      <w:r>
        <w:rPr>
          <w:color w:val="231F20"/>
        </w:rPr>
        <w:t>February</w:t>
      </w:r>
      <w:r>
        <w:rPr>
          <w:color w:val="231F20"/>
          <w:spacing w:val="-9"/>
        </w:rPr>
        <w:t xml:space="preserve"> </w:t>
      </w:r>
      <w:r>
        <w:rPr>
          <w:color w:val="231F20"/>
        </w:rPr>
        <w:t>71,</w:t>
      </w:r>
      <w:r>
        <w:rPr>
          <w:color w:val="231F20"/>
          <w:spacing w:val="-9"/>
        </w:rPr>
        <w:t xml:space="preserve"> </w:t>
      </w:r>
      <w:r>
        <w:rPr>
          <w:color w:val="231F20"/>
        </w:rPr>
        <w:t>the</w:t>
      </w:r>
      <w:r>
        <w:rPr>
          <w:color w:val="231F20"/>
          <w:spacing w:val="-9"/>
        </w:rPr>
        <w:t xml:space="preserve"> </w:t>
      </w:r>
      <w:r>
        <w:rPr>
          <w:color w:val="231F20"/>
        </w:rPr>
        <w:t>unions</w:t>
      </w:r>
      <w:r>
        <w:rPr>
          <w:color w:val="231F20"/>
          <w:spacing w:val="-9"/>
        </w:rPr>
        <w:t xml:space="preserve"> </w:t>
      </w:r>
      <w:r>
        <w:rPr>
          <w:color w:val="231F20"/>
        </w:rPr>
        <w:t>called</w:t>
      </w:r>
      <w:r>
        <w:rPr>
          <w:color w:val="231F20"/>
          <w:spacing w:val="-9"/>
        </w:rPr>
        <w:t xml:space="preserve"> </w:t>
      </w:r>
      <w:r>
        <w:rPr>
          <w:color w:val="231F20"/>
        </w:rPr>
        <w:t>for</w:t>
      </w:r>
      <w:r>
        <w:rPr>
          <w:color w:val="231F20"/>
          <w:spacing w:val="-9"/>
        </w:rPr>
        <w:t xml:space="preserve"> </w:t>
      </w:r>
      <w:r>
        <w:rPr>
          <w:color w:val="231F20"/>
        </w:rPr>
        <w:t>a</w:t>
      </w:r>
      <w:r>
        <w:rPr>
          <w:color w:val="231F20"/>
          <w:spacing w:val="-9"/>
        </w:rPr>
        <w:t xml:space="preserve"> </w:t>
      </w:r>
      <w:r>
        <w:rPr>
          <w:color w:val="231F20"/>
        </w:rPr>
        <w:t>wage</w:t>
      </w:r>
      <w:r>
        <w:rPr>
          <w:color w:val="231F20"/>
          <w:spacing w:val="-9"/>
        </w:rPr>
        <w:t xml:space="preserve"> </w:t>
      </w:r>
      <w:r>
        <w:rPr>
          <w:color w:val="231F20"/>
        </w:rPr>
        <w:t>increase</w:t>
      </w:r>
      <w:r>
        <w:rPr>
          <w:color w:val="231F20"/>
          <w:spacing w:val="-9"/>
        </w:rPr>
        <w:t xml:space="preserve"> </w:t>
      </w:r>
      <w:r>
        <w:rPr>
          <w:color w:val="231F20"/>
        </w:rPr>
        <w:t>beginning</w:t>
      </w:r>
      <w:r>
        <w:rPr>
          <w:color w:val="231F20"/>
          <w:spacing w:val="-9"/>
        </w:rPr>
        <w:t xml:space="preserve"> </w:t>
      </w:r>
      <w:r>
        <w:rPr>
          <w:color w:val="231F20"/>
        </w:rPr>
        <w:t>March</w:t>
      </w:r>
      <w:r>
        <w:rPr>
          <w:color w:val="231F20"/>
          <w:spacing w:val="-8"/>
        </w:rPr>
        <w:t xml:space="preserve"> </w:t>
      </w:r>
      <w:r>
        <w:rPr>
          <w:color w:val="231F20"/>
          <w:spacing w:val="-10"/>
        </w:rPr>
        <w:t xml:space="preserve">31 </w:t>
      </w:r>
      <w:r>
        <w:rPr>
          <w:color w:val="231F20"/>
        </w:rPr>
        <w:t xml:space="preserve">in Hessen, North Rhine and Rhineland Palatinate, demanding </w:t>
      </w:r>
      <w:r>
        <w:rPr>
          <w:color w:val="231F20"/>
          <w:spacing w:val="-4"/>
        </w:rPr>
        <w:t xml:space="preserve">11 </w:t>
      </w:r>
      <w:r>
        <w:rPr>
          <w:color w:val="231F20"/>
        </w:rPr>
        <w:t xml:space="preserve">to </w:t>
      </w:r>
      <w:r>
        <w:rPr>
          <w:color w:val="231F20"/>
          <w:spacing w:val="-5"/>
        </w:rPr>
        <w:t xml:space="preserve">12 </w:t>
      </w:r>
      <w:r>
        <w:rPr>
          <w:color w:val="231F20"/>
        </w:rPr>
        <w:t>percent, and for Hessen a flat 120 marks,</w:t>
      </w:r>
      <w:r>
        <w:rPr>
          <w:color w:val="231F20"/>
          <w:position w:val="7"/>
          <w:sz w:val="11"/>
        </w:rPr>
        <w:t xml:space="preserve">1 </w:t>
      </w:r>
      <w:r>
        <w:rPr>
          <w:color w:val="231F20"/>
        </w:rPr>
        <w:t>which for Hessen meant the same wage increase for all wage levels, the freezing of wage cuts and a step forward in the unity of the working class. The chemical industry refused to make any deal.</w:t>
      </w:r>
    </w:p>
    <w:p w14:paraId="069B25F3" w14:textId="77777777" w:rsidR="002653E8" w:rsidRDefault="003115E3">
      <w:pPr>
        <w:pStyle w:val="a3"/>
        <w:spacing w:line="264" w:lineRule="auto"/>
        <w:ind w:left="1327" w:right="1147" w:firstLine="210"/>
        <w:jc w:val="both"/>
      </w:pPr>
      <w:r>
        <w:rPr>
          <w:color w:val="231F20"/>
          <w:spacing w:val="1"/>
        </w:rPr>
        <w:t xml:space="preserve">In </w:t>
      </w:r>
      <w:r>
        <w:rPr>
          <w:color w:val="231F20"/>
        </w:rPr>
        <w:t>December 70, the chemical industry had already created “mutual support systems” between their companies in case of a strike. This took the</w:t>
      </w:r>
      <w:r>
        <w:rPr>
          <w:color w:val="231F20"/>
          <w:spacing w:val="-8"/>
        </w:rPr>
        <w:t xml:space="preserve"> </w:t>
      </w:r>
      <w:r>
        <w:rPr>
          <w:color w:val="231F20"/>
        </w:rPr>
        <w:t>form</w:t>
      </w:r>
      <w:r>
        <w:rPr>
          <w:color w:val="231F20"/>
          <w:spacing w:val="-8"/>
        </w:rPr>
        <w:t xml:space="preserve"> </w:t>
      </w:r>
      <w:r>
        <w:rPr>
          <w:color w:val="231F20"/>
        </w:rPr>
        <w:t>of</w:t>
      </w:r>
      <w:r>
        <w:rPr>
          <w:color w:val="231F20"/>
          <w:spacing w:val="-8"/>
        </w:rPr>
        <w:t xml:space="preserve"> </w:t>
      </w:r>
      <w:r>
        <w:rPr>
          <w:color w:val="231F20"/>
        </w:rPr>
        <w:t>transferring</w:t>
      </w:r>
      <w:r>
        <w:rPr>
          <w:color w:val="231F20"/>
          <w:spacing w:val="-8"/>
        </w:rPr>
        <w:t xml:space="preserve"> </w:t>
      </w:r>
      <w:r>
        <w:rPr>
          <w:color w:val="231F20"/>
        </w:rPr>
        <w:t>money</w:t>
      </w:r>
      <w:r>
        <w:rPr>
          <w:color w:val="231F20"/>
          <w:spacing w:val="-8"/>
        </w:rPr>
        <w:t xml:space="preserve"> </w:t>
      </w:r>
      <w:r>
        <w:rPr>
          <w:color w:val="231F20"/>
        </w:rPr>
        <w:t>related</w:t>
      </w:r>
      <w:r>
        <w:rPr>
          <w:color w:val="231F20"/>
          <w:spacing w:val="-8"/>
        </w:rPr>
        <w:t xml:space="preserve"> </w:t>
      </w:r>
      <w:r>
        <w:rPr>
          <w:color w:val="231F20"/>
        </w:rPr>
        <w:t>to</w:t>
      </w:r>
      <w:r>
        <w:rPr>
          <w:color w:val="231F20"/>
          <w:spacing w:val="-8"/>
        </w:rPr>
        <w:t xml:space="preserve"> </w:t>
      </w:r>
      <w:r>
        <w:rPr>
          <w:color w:val="231F20"/>
        </w:rPr>
        <w:t>wage</w:t>
      </w:r>
      <w:r>
        <w:rPr>
          <w:color w:val="231F20"/>
          <w:spacing w:val="-8"/>
        </w:rPr>
        <w:t xml:space="preserve"> </w:t>
      </w:r>
      <w:r>
        <w:rPr>
          <w:color w:val="231F20"/>
        </w:rPr>
        <w:t>payments</w:t>
      </w:r>
      <w:r>
        <w:rPr>
          <w:color w:val="231F20"/>
          <w:spacing w:val="-8"/>
        </w:rPr>
        <w:t xml:space="preserve"> </w:t>
      </w:r>
      <w:r>
        <w:rPr>
          <w:color w:val="231F20"/>
        </w:rPr>
        <w:t>to</w:t>
      </w:r>
      <w:r>
        <w:rPr>
          <w:color w:val="231F20"/>
          <w:spacing w:val="-8"/>
        </w:rPr>
        <w:t xml:space="preserve"> </w:t>
      </w:r>
      <w:r>
        <w:rPr>
          <w:color w:val="231F20"/>
        </w:rPr>
        <w:t>the</w:t>
      </w:r>
      <w:r>
        <w:rPr>
          <w:color w:val="231F20"/>
          <w:spacing w:val="-8"/>
        </w:rPr>
        <w:t xml:space="preserve"> </w:t>
      </w:r>
      <w:r>
        <w:rPr>
          <w:color w:val="231F20"/>
        </w:rPr>
        <w:t>development and conversion of raw materials, to the production of primary and intermediate products, and to the setting aside of capital for production facilities and transportation. They also provided their customers with an 8-week stock of their products, including the smaller clients such     as drugstores and universities—the rector of Düsseldorf University, for example, called upon the institutes and seminars to stock up as a precautionary</w:t>
      </w:r>
      <w:r>
        <w:rPr>
          <w:color w:val="231F20"/>
          <w:spacing w:val="10"/>
        </w:rPr>
        <w:t xml:space="preserve"> </w:t>
      </w:r>
      <w:r>
        <w:rPr>
          <w:color w:val="231F20"/>
        </w:rPr>
        <w:t>measure.</w:t>
      </w:r>
    </w:p>
    <w:p w14:paraId="090B83F8" w14:textId="77777777" w:rsidR="002653E8" w:rsidRDefault="003115E3">
      <w:pPr>
        <w:pStyle w:val="a3"/>
        <w:spacing w:line="264" w:lineRule="auto"/>
        <w:ind w:left="1327" w:right="1146" w:firstLine="210"/>
        <w:jc w:val="both"/>
      </w:pPr>
      <w:r>
        <w:rPr>
          <w:color w:val="231F20"/>
        </w:rPr>
        <w:t>Operating measures were worked out in detail: instruction manuals for</w:t>
      </w:r>
      <w:r>
        <w:rPr>
          <w:color w:val="231F20"/>
          <w:spacing w:val="-5"/>
        </w:rPr>
        <w:t xml:space="preserve"> </w:t>
      </w:r>
      <w:r>
        <w:rPr>
          <w:color w:val="231F20"/>
        </w:rPr>
        <w:t>strike</w:t>
      </w:r>
      <w:r>
        <w:rPr>
          <w:color w:val="231F20"/>
          <w:spacing w:val="-5"/>
        </w:rPr>
        <w:t xml:space="preserve"> </w:t>
      </w:r>
      <w:r>
        <w:rPr>
          <w:color w:val="231F20"/>
        </w:rPr>
        <w:t>breakers,</w:t>
      </w:r>
      <w:r>
        <w:rPr>
          <w:color w:val="231F20"/>
          <w:spacing w:val="-5"/>
        </w:rPr>
        <w:t xml:space="preserve"> </w:t>
      </w:r>
      <w:r>
        <w:rPr>
          <w:color w:val="231F20"/>
        </w:rPr>
        <w:t>secure</w:t>
      </w:r>
      <w:r>
        <w:rPr>
          <w:color w:val="231F20"/>
          <w:spacing w:val="-5"/>
        </w:rPr>
        <w:t xml:space="preserve"> </w:t>
      </w:r>
      <w:r>
        <w:rPr>
          <w:color w:val="231F20"/>
        </w:rPr>
        <w:t>plant</w:t>
      </w:r>
      <w:r>
        <w:rPr>
          <w:color w:val="231F20"/>
          <w:spacing w:val="-5"/>
        </w:rPr>
        <w:t xml:space="preserve"> </w:t>
      </w:r>
      <w:r>
        <w:rPr>
          <w:color w:val="231F20"/>
        </w:rPr>
        <w:t>telephone</w:t>
      </w:r>
      <w:r>
        <w:rPr>
          <w:color w:val="231F20"/>
          <w:spacing w:val="-5"/>
        </w:rPr>
        <w:t xml:space="preserve"> </w:t>
      </w:r>
      <w:r>
        <w:rPr>
          <w:color w:val="231F20"/>
        </w:rPr>
        <w:t>systems,</w:t>
      </w:r>
      <w:r>
        <w:rPr>
          <w:color w:val="231F20"/>
          <w:spacing w:val="-5"/>
        </w:rPr>
        <w:t xml:space="preserve"> </w:t>
      </w:r>
      <w:r>
        <w:rPr>
          <w:color w:val="231F20"/>
        </w:rPr>
        <w:t>a</w:t>
      </w:r>
      <w:r>
        <w:rPr>
          <w:color w:val="231F20"/>
          <w:spacing w:val="-5"/>
        </w:rPr>
        <w:t xml:space="preserve"> </w:t>
      </w:r>
      <w:r>
        <w:rPr>
          <w:color w:val="231F20"/>
        </w:rPr>
        <w:t>list</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names</w:t>
      </w:r>
      <w:r>
        <w:rPr>
          <w:color w:val="231F20"/>
          <w:spacing w:val="-5"/>
        </w:rPr>
        <w:t xml:space="preserve"> </w:t>
      </w:r>
      <w:r>
        <w:rPr>
          <w:color w:val="231F20"/>
        </w:rPr>
        <w:t>of union representatives, facilities to print leaflets, contacts with the local press</w:t>
      </w:r>
      <w:r>
        <w:rPr>
          <w:color w:val="231F20"/>
          <w:spacing w:val="10"/>
        </w:rPr>
        <w:t xml:space="preserve"> </w:t>
      </w:r>
      <w:r>
        <w:rPr>
          <w:color w:val="231F20"/>
        </w:rPr>
        <w:t>and</w:t>
      </w:r>
      <w:r>
        <w:rPr>
          <w:color w:val="231F20"/>
          <w:spacing w:val="10"/>
        </w:rPr>
        <w:t xml:space="preserve"> </w:t>
      </w:r>
      <w:r>
        <w:rPr>
          <w:color w:val="231F20"/>
        </w:rPr>
        <w:t>opinion-makers</w:t>
      </w:r>
      <w:r>
        <w:rPr>
          <w:color w:val="231F20"/>
          <w:spacing w:val="10"/>
        </w:rPr>
        <w:t xml:space="preserve"> </w:t>
      </w:r>
      <w:r>
        <w:rPr>
          <w:color w:val="231F20"/>
        </w:rPr>
        <w:t>such</w:t>
      </w:r>
      <w:r>
        <w:rPr>
          <w:color w:val="231F20"/>
          <w:spacing w:val="10"/>
        </w:rPr>
        <w:t xml:space="preserve"> </w:t>
      </w:r>
      <w:r>
        <w:rPr>
          <w:color w:val="231F20"/>
        </w:rPr>
        <w:t>as</w:t>
      </w:r>
      <w:r>
        <w:rPr>
          <w:color w:val="231F20"/>
          <w:spacing w:val="10"/>
        </w:rPr>
        <w:t xml:space="preserve"> </w:t>
      </w:r>
      <w:r>
        <w:rPr>
          <w:color w:val="231F20"/>
        </w:rPr>
        <w:t>teachers,</w:t>
      </w:r>
      <w:r>
        <w:rPr>
          <w:color w:val="231F20"/>
          <w:spacing w:val="10"/>
        </w:rPr>
        <w:t xml:space="preserve"> </w:t>
      </w:r>
      <w:r>
        <w:rPr>
          <w:color w:val="231F20"/>
        </w:rPr>
        <w:t>ministers</w:t>
      </w:r>
      <w:r>
        <w:rPr>
          <w:color w:val="231F20"/>
          <w:spacing w:val="10"/>
        </w:rPr>
        <w:t xml:space="preserve"> </w:t>
      </w:r>
      <w:r>
        <w:rPr>
          <w:color w:val="231F20"/>
        </w:rPr>
        <w:t>and</w:t>
      </w:r>
      <w:r>
        <w:rPr>
          <w:color w:val="231F20"/>
          <w:spacing w:val="10"/>
        </w:rPr>
        <w:t xml:space="preserve"> </w:t>
      </w:r>
      <w:r>
        <w:rPr>
          <w:color w:val="231F20"/>
        </w:rPr>
        <w:t>associations.</w:t>
      </w:r>
    </w:p>
    <w:p w14:paraId="19D26669" w14:textId="77777777" w:rsidR="002653E8" w:rsidRDefault="00000000">
      <w:pPr>
        <w:pStyle w:val="a3"/>
        <w:spacing w:before="5"/>
        <w:rPr>
          <w:sz w:val="11"/>
        </w:rPr>
      </w:pPr>
      <w:r>
        <w:rPr>
          <w:noProof w:val="0"/>
        </w:rPr>
        <w:pict w14:anchorId="6156D45C">
          <v:line id="_x0000_s2569" style="position:absolute;z-index:4216;mso-wrap-distance-left:0;mso-wrap-distance-right:0;mso-position-horizontal-relative:page" from="66.4pt,8.95pt" to="138.4pt,8.95pt" strokecolor="#231f20" strokeweight=".5pt">
            <w10:wrap type="topAndBottom" anchorx="page"/>
          </v:line>
        </w:pict>
      </w:r>
    </w:p>
    <w:p w14:paraId="37AF8F28" w14:textId="77777777" w:rsidR="002653E8" w:rsidRDefault="003115E3">
      <w:pPr>
        <w:spacing w:before="53" w:line="254" w:lineRule="auto"/>
        <w:ind w:left="1327" w:right="1145"/>
        <w:rPr>
          <w:sz w:val="16"/>
        </w:rPr>
      </w:pPr>
      <w:r>
        <w:rPr>
          <w:color w:val="231F20"/>
          <w:w w:val="105"/>
          <w:sz w:val="16"/>
        </w:rPr>
        <w:t>1 Roughly $43. Regarding the flat rate: wage increases in many German industries were indexed by workers’ “skill category,” which meant that every wage increase in fact served to increase the divide between different layers of the working class. The demand for a flat wage increase was meant to counter this trend, as such an increase would benefit all workers equally. On this, see Roth, 116-117.</w:t>
      </w:r>
    </w:p>
    <w:p w14:paraId="6513B02B" w14:textId="77777777" w:rsidR="002653E8" w:rsidRDefault="002653E8">
      <w:pPr>
        <w:spacing w:line="254" w:lineRule="auto"/>
        <w:rPr>
          <w:sz w:val="16"/>
        </w:rPr>
        <w:sectPr w:rsidR="002653E8">
          <w:pgSz w:w="8640" w:h="12960"/>
          <w:pgMar w:top="1060" w:right="0" w:bottom="1040" w:left="0" w:header="0" w:footer="850" w:gutter="0"/>
          <w:cols w:space="720"/>
        </w:sectPr>
      </w:pPr>
    </w:p>
    <w:p w14:paraId="3F5A5C21" w14:textId="77777777" w:rsidR="002653E8" w:rsidRDefault="003115E3">
      <w:pPr>
        <w:pStyle w:val="a3"/>
        <w:spacing w:before="86" w:line="264" w:lineRule="auto"/>
        <w:ind w:left="1148" w:right="1325" w:hanging="1"/>
        <w:jc w:val="both"/>
      </w:pPr>
      <w:r>
        <w:rPr>
          <w:color w:val="231F20"/>
        </w:rPr>
        <w:lastRenderedPageBreak/>
        <w:t xml:space="preserve">Lists were drawn up of supposed members of an “underground political force” to be forwarded to the  </w:t>
      </w:r>
      <w:r>
        <w:rPr>
          <w:i/>
          <w:color w:val="231F20"/>
        </w:rPr>
        <w:t xml:space="preserve">Verfassungsschutz  </w:t>
      </w:r>
      <w:r>
        <w:rPr>
          <w:color w:val="231F20"/>
        </w:rPr>
        <w:t>and  the  po lice. Contacts with the police, government departments, and Interior Ministers. A line of argument was also developed about the “danger to the</w:t>
      </w:r>
      <w:r>
        <w:rPr>
          <w:color w:val="231F20"/>
          <w:spacing w:val="10"/>
        </w:rPr>
        <w:t xml:space="preserve"> </w:t>
      </w:r>
      <w:r>
        <w:rPr>
          <w:color w:val="231F20"/>
        </w:rPr>
        <w:t>workplace</w:t>
      </w:r>
      <w:r>
        <w:rPr>
          <w:color w:val="231F20"/>
          <w:spacing w:val="10"/>
        </w:rPr>
        <w:t xml:space="preserve"> </w:t>
      </w:r>
      <w:r>
        <w:rPr>
          <w:color w:val="231F20"/>
        </w:rPr>
        <w:t>posed</w:t>
      </w:r>
      <w:r>
        <w:rPr>
          <w:color w:val="231F20"/>
          <w:spacing w:val="10"/>
        </w:rPr>
        <w:t xml:space="preserve"> </w:t>
      </w:r>
      <w:r>
        <w:rPr>
          <w:color w:val="231F20"/>
        </w:rPr>
        <w:t>by</w:t>
      </w:r>
      <w:r>
        <w:rPr>
          <w:color w:val="231F20"/>
          <w:spacing w:val="10"/>
        </w:rPr>
        <w:t xml:space="preserve"> </w:t>
      </w:r>
      <w:r>
        <w:rPr>
          <w:color w:val="231F20"/>
        </w:rPr>
        <w:t>the</w:t>
      </w:r>
      <w:r>
        <w:rPr>
          <w:color w:val="231F20"/>
          <w:spacing w:val="10"/>
        </w:rPr>
        <w:t xml:space="preserve"> </w:t>
      </w:r>
      <w:r>
        <w:rPr>
          <w:color w:val="231F20"/>
        </w:rPr>
        <w:t>strike,”</w:t>
      </w:r>
      <w:r>
        <w:rPr>
          <w:color w:val="231F20"/>
          <w:spacing w:val="10"/>
        </w:rPr>
        <w:t xml:space="preserve"> </w:t>
      </w:r>
      <w:r>
        <w:rPr>
          <w:color w:val="231F20"/>
        </w:rPr>
        <w:t>etc.</w:t>
      </w:r>
    </w:p>
    <w:p w14:paraId="088D3728" w14:textId="77777777" w:rsidR="002653E8" w:rsidRDefault="003115E3">
      <w:pPr>
        <w:pStyle w:val="a3"/>
        <w:spacing w:line="264" w:lineRule="auto"/>
        <w:ind w:left="1147" w:right="1326" w:firstLine="210"/>
        <w:jc w:val="both"/>
      </w:pPr>
      <w:r>
        <w:rPr>
          <w:color w:val="231F20"/>
        </w:rPr>
        <w:t>In December 70, the union representatives at Farbwerke Hoechst polled their members regarding the proposed wage demands. The Wage Commission—made up of representatives from the IG Chemie trade union and the larger companies—refused the demands. The vote with which the demands were rejected wasn’t even close: 4 to 1. The union representatives from Merck in Darmstadt demanded 160 marks</w:t>
      </w:r>
      <w:r>
        <w:rPr>
          <w:color w:val="231F20"/>
          <w:position w:val="7"/>
          <w:sz w:val="11"/>
        </w:rPr>
        <w:t xml:space="preserve">1 </w:t>
      </w:r>
      <w:r>
        <w:rPr>
          <w:color w:val="231F20"/>
        </w:rPr>
        <w:t>or 12 percent. They also had little luck with the Wage Commission.</w:t>
      </w:r>
    </w:p>
    <w:p w14:paraId="2C89B2DA" w14:textId="77777777" w:rsidR="002653E8" w:rsidRDefault="002653E8">
      <w:pPr>
        <w:pStyle w:val="a3"/>
        <w:spacing w:before="10"/>
      </w:pPr>
    </w:p>
    <w:p w14:paraId="399F2D50" w14:textId="77777777" w:rsidR="002653E8" w:rsidRDefault="003115E3">
      <w:pPr>
        <w:ind w:left="1148"/>
        <w:rPr>
          <w:i/>
          <w:sz w:val="20"/>
        </w:rPr>
      </w:pPr>
      <w:r>
        <w:rPr>
          <w:i/>
          <w:color w:val="231F20"/>
          <w:w w:val="105"/>
          <w:sz w:val="20"/>
        </w:rPr>
        <w:t>State Support for the Capitalist Class</w:t>
      </w:r>
    </w:p>
    <w:p w14:paraId="2A9A20EB" w14:textId="77777777" w:rsidR="002653E8" w:rsidRDefault="003115E3">
      <w:pPr>
        <w:pStyle w:val="a3"/>
        <w:spacing w:before="22" w:line="264" w:lineRule="auto"/>
        <w:ind w:left="1148" w:right="1325"/>
        <w:jc w:val="both"/>
      </w:pPr>
      <w:r>
        <w:rPr>
          <w:color w:val="231F20"/>
          <w:w w:val="105"/>
        </w:rPr>
        <w:t>The</w:t>
      </w:r>
      <w:r>
        <w:rPr>
          <w:color w:val="231F20"/>
          <w:spacing w:val="-20"/>
          <w:w w:val="105"/>
        </w:rPr>
        <w:t xml:space="preserve"> </w:t>
      </w:r>
      <w:r>
        <w:rPr>
          <w:color w:val="231F20"/>
          <w:w w:val="105"/>
        </w:rPr>
        <w:t>Employers</w:t>
      </w:r>
      <w:r>
        <w:rPr>
          <w:color w:val="231F20"/>
          <w:spacing w:val="-20"/>
          <w:w w:val="105"/>
        </w:rPr>
        <w:t xml:space="preserve"> </w:t>
      </w:r>
      <w:r>
        <w:rPr>
          <w:color w:val="231F20"/>
          <w:w w:val="105"/>
        </w:rPr>
        <w:t>Association</w:t>
      </w:r>
      <w:r>
        <w:rPr>
          <w:color w:val="231F20"/>
          <w:spacing w:val="-20"/>
          <w:w w:val="105"/>
        </w:rPr>
        <w:t xml:space="preserve"> </w:t>
      </w:r>
      <w:r>
        <w:rPr>
          <w:color w:val="231F20"/>
          <w:w w:val="105"/>
        </w:rPr>
        <w:t>received</w:t>
      </w:r>
      <w:r>
        <w:rPr>
          <w:color w:val="231F20"/>
          <w:spacing w:val="-20"/>
          <w:w w:val="105"/>
        </w:rPr>
        <w:t xml:space="preserve"> </w:t>
      </w:r>
      <w:r>
        <w:rPr>
          <w:color w:val="231F20"/>
          <w:w w:val="105"/>
        </w:rPr>
        <w:t>state</w:t>
      </w:r>
      <w:r>
        <w:rPr>
          <w:color w:val="231F20"/>
          <w:spacing w:val="-20"/>
          <w:w w:val="105"/>
        </w:rPr>
        <w:t xml:space="preserve"> </w:t>
      </w:r>
      <w:r>
        <w:rPr>
          <w:color w:val="231F20"/>
          <w:w w:val="105"/>
        </w:rPr>
        <w:t>support.</w:t>
      </w:r>
      <w:r>
        <w:rPr>
          <w:color w:val="231F20"/>
          <w:spacing w:val="-20"/>
          <w:w w:val="105"/>
        </w:rPr>
        <w:t xml:space="preserve"> </w:t>
      </w:r>
      <w:r>
        <w:rPr>
          <w:color w:val="231F20"/>
          <w:w w:val="105"/>
        </w:rPr>
        <w:t>The</w:t>
      </w:r>
      <w:r>
        <w:rPr>
          <w:color w:val="231F20"/>
          <w:spacing w:val="-20"/>
          <w:w w:val="105"/>
        </w:rPr>
        <w:t xml:space="preserve"> </w:t>
      </w:r>
      <w:r>
        <w:rPr>
          <w:color w:val="231F20"/>
          <w:w w:val="105"/>
        </w:rPr>
        <w:t>basic</w:t>
      </w:r>
      <w:r>
        <w:rPr>
          <w:color w:val="231F20"/>
          <w:spacing w:val="-19"/>
          <w:w w:val="105"/>
        </w:rPr>
        <w:t xml:space="preserve"> </w:t>
      </w:r>
      <w:r>
        <w:rPr>
          <w:color w:val="231F20"/>
          <w:w w:val="105"/>
        </w:rPr>
        <w:t>9</w:t>
      </w:r>
      <w:r>
        <w:rPr>
          <w:color w:val="231F20"/>
          <w:spacing w:val="-20"/>
          <w:w w:val="105"/>
        </w:rPr>
        <w:t xml:space="preserve"> </w:t>
      </w:r>
      <w:r>
        <w:rPr>
          <w:color w:val="231F20"/>
          <w:w w:val="105"/>
        </w:rPr>
        <w:t>percent wage</w:t>
      </w:r>
      <w:r>
        <w:rPr>
          <w:color w:val="231F20"/>
          <w:spacing w:val="-6"/>
          <w:w w:val="105"/>
        </w:rPr>
        <w:t xml:space="preserve"> </w:t>
      </w:r>
      <w:r>
        <w:rPr>
          <w:color w:val="231F20"/>
          <w:w w:val="105"/>
        </w:rPr>
        <w:t>increase</w:t>
      </w:r>
      <w:r>
        <w:rPr>
          <w:color w:val="231F20"/>
          <w:spacing w:val="-6"/>
          <w:w w:val="105"/>
        </w:rPr>
        <w:t xml:space="preserve"> </w:t>
      </w:r>
      <w:r>
        <w:rPr>
          <w:color w:val="231F20"/>
          <w:w w:val="105"/>
        </w:rPr>
        <w:t>projected</w:t>
      </w:r>
      <w:r>
        <w:rPr>
          <w:color w:val="231F20"/>
          <w:spacing w:val="-6"/>
          <w:w w:val="105"/>
        </w:rPr>
        <w:t xml:space="preserve"> </w:t>
      </w:r>
      <w:r>
        <w:rPr>
          <w:color w:val="231F20"/>
          <w:w w:val="105"/>
        </w:rPr>
        <w:t>in</w:t>
      </w:r>
      <w:r>
        <w:rPr>
          <w:color w:val="231F20"/>
          <w:spacing w:val="-6"/>
          <w:w w:val="105"/>
        </w:rPr>
        <w:t xml:space="preserve"> </w:t>
      </w:r>
      <w:r>
        <w:rPr>
          <w:color w:val="231F20"/>
          <w:w w:val="105"/>
        </w:rPr>
        <w:t>the</w:t>
      </w:r>
      <w:r>
        <w:rPr>
          <w:color w:val="231F20"/>
          <w:spacing w:val="-6"/>
          <w:w w:val="105"/>
        </w:rPr>
        <w:t xml:space="preserve"> </w:t>
      </w:r>
      <w:r>
        <w:rPr>
          <w:color w:val="231F20"/>
          <w:w w:val="105"/>
        </w:rPr>
        <w:t>government’s</w:t>
      </w:r>
      <w:r>
        <w:rPr>
          <w:color w:val="231F20"/>
          <w:spacing w:val="-6"/>
          <w:w w:val="105"/>
        </w:rPr>
        <w:t xml:space="preserve"> </w:t>
      </w:r>
      <w:r>
        <w:rPr>
          <w:color w:val="231F20"/>
          <w:w w:val="105"/>
        </w:rPr>
        <w:t>wage</w:t>
      </w:r>
      <w:r>
        <w:rPr>
          <w:color w:val="231F20"/>
          <w:spacing w:val="-6"/>
          <w:w w:val="105"/>
        </w:rPr>
        <w:t xml:space="preserve"> </w:t>
      </w:r>
      <w:r>
        <w:rPr>
          <w:color w:val="231F20"/>
          <w:w w:val="105"/>
        </w:rPr>
        <w:t>guidelines</w:t>
      </w:r>
      <w:r>
        <w:rPr>
          <w:color w:val="231F20"/>
          <w:spacing w:val="-6"/>
          <w:w w:val="105"/>
        </w:rPr>
        <w:t xml:space="preserve"> </w:t>
      </w:r>
      <w:r>
        <w:rPr>
          <w:color w:val="231F20"/>
          <w:w w:val="105"/>
        </w:rPr>
        <w:t>was</w:t>
      </w:r>
      <w:r>
        <w:rPr>
          <w:color w:val="231F20"/>
          <w:spacing w:val="-6"/>
          <w:w w:val="105"/>
        </w:rPr>
        <w:t xml:space="preserve"> </w:t>
      </w:r>
      <w:r>
        <w:rPr>
          <w:color w:val="231F20"/>
          <w:w w:val="105"/>
        </w:rPr>
        <w:t xml:space="preserve">reduced to </w:t>
      </w:r>
      <w:r>
        <w:rPr>
          <w:color w:val="231F20"/>
          <w:spacing w:val="-12"/>
          <w:w w:val="105"/>
        </w:rPr>
        <w:t xml:space="preserve">7.5 </w:t>
      </w:r>
      <w:r>
        <w:rPr>
          <w:color w:val="231F20"/>
          <w:w w:val="105"/>
        </w:rPr>
        <w:t xml:space="preserve">percent at the beginning of the year. Brandt, on May </w:t>
      </w:r>
      <w:r>
        <w:rPr>
          <w:color w:val="231F20"/>
          <w:spacing w:val="-8"/>
          <w:w w:val="105"/>
        </w:rPr>
        <w:t xml:space="preserve">11 </w:t>
      </w:r>
      <w:r>
        <w:rPr>
          <w:color w:val="231F20"/>
          <w:w w:val="105"/>
        </w:rPr>
        <w:t>in</w:t>
      </w:r>
      <w:r>
        <w:rPr>
          <w:color w:val="231F20"/>
          <w:spacing w:val="-4"/>
          <w:w w:val="105"/>
        </w:rPr>
        <w:t xml:space="preserve"> </w:t>
      </w:r>
      <w:r>
        <w:rPr>
          <w:color w:val="231F20"/>
          <w:w w:val="105"/>
        </w:rPr>
        <w:t>parliament:</w:t>
      </w:r>
      <w:r>
        <w:rPr>
          <w:color w:val="231F20"/>
          <w:spacing w:val="-4"/>
          <w:w w:val="105"/>
        </w:rPr>
        <w:t xml:space="preserve"> </w:t>
      </w:r>
      <w:r>
        <w:rPr>
          <w:color w:val="231F20"/>
          <w:w w:val="105"/>
        </w:rPr>
        <w:t>“In</w:t>
      </w:r>
      <w:r>
        <w:rPr>
          <w:color w:val="231F20"/>
          <w:spacing w:val="-4"/>
          <w:w w:val="105"/>
        </w:rPr>
        <w:t xml:space="preserve"> </w:t>
      </w:r>
      <w:r>
        <w:rPr>
          <w:color w:val="231F20"/>
          <w:w w:val="105"/>
        </w:rPr>
        <w:t>the</w:t>
      </w:r>
      <w:r>
        <w:rPr>
          <w:color w:val="231F20"/>
          <w:spacing w:val="-4"/>
          <w:w w:val="105"/>
        </w:rPr>
        <w:t xml:space="preserve"> </w:t>
      </w:r>
      <w:r>
        <w:rPr>
          <w:color w:val="231F20"/>
          <w:w w:val="105"/>
        </w:rPr>
        <w:t>current</w:t>
      </w:r>
      <w:r>
        <w:rPr>
          <w:color w:val="231F20"/>
          <w:spacing w:val="-4"/>
          <w:w w:val="105"/>
        </w:rPr>
        <w:t xml:space="preserve"> </w:t>
      </w:r>
      <w:r>
        <w:rPr>
          <w:color w:val="231F20"/>
          <w:w w:val="105"/>
        </w:rPr>
        <w:t>phase,</w:t>
      </w:r>
      <w:r>
        <w:rPr>
          <w:color w:val="231F20"/>
          <w:spacing w:val="-4"/>
          <w:w w:val="105"/>
        </w:rPr>
        <w:t xml:space="preserve"> </w:t>
      </w:r>
      <w:r>
        <w:rPr>
          <w:color w:val="231F20"/>
          <w:w w:val="105"/>
        </w:rPr>
        <w:t>wage</w:t>
      </w:r>
      <w:r>
        <w:rPr>
          <w:color w:val="231F20"/>
          <w:spacing w:val="-4"/>
          <w:w w:val="105"/>
        </w:rPr>
        <w:t xml:space="preserve"> </w:t>
      </w:r>
      <w:r>
        <w:rPr>
          <w:color w:val="231F20"/>
          <w:w w:val="105"/>
        </w:rPr>
        <w:t>costs</w:t>
      </w:r>
      <w:r>
        <w:rPr>
          <w:color w:val="231F20"/>
          <w:spacing w:val="-4"/>
          <w:w w:val="105"/>
        </w:rPr>
        <w:t xml:space="preserve"> </w:t>
      </w:r>
      <w:r>
        <w:rPr>
          <w:color w:val="231F20"/>
          <w:w w:val="105"/>
        </w:rPr>
        <w:t>that</w:t>
      </w:r>
      <w:r>
        <w:rPr>
          <w:color w:val="231F20"/>
          <w:spacing w:val="-4"/>
          <w:w w:val="105"/>
        </w:rPr>
        <w:t xml:space="preserve"> </w:t>
      </w:r>
      <w:r>
        <w:rPr>
          <w:color w:val="231F20"/>
          <w:w w:val="105"/>
        </w:rPr>
        <w:t>are</w:t>
      </w:r>
      <w:r>
        <w:rPr>
          <w:color w:val="231F20"/>
          <w:spacing w:val="-4"/>
          <w:w w:val="105"/>
        </w:rPr>
        <w:t xml:space="preserve"> </w:t>
      </w:r>
      <w:r>
        <w:rPr>
          <w:color w:val="231F20"/>
          <w:w w:val="105"/>
        </w:rPr>
        <w:t>too</w:t>
      </w:r>
      <w:r>
        <w:rPr>
          <w:color w:val="231F20"/>
          <w:spacing w:val="-4"/>
          <w:w w:val="105"/>
        </w:rPr>
        <w:t xml:space="preserve"> </w:t>
      </w:r>
      <w:r>
        <w:rPr>
          <w:color w:val="231F20"/>
          <w:w w:val="105"/>
        </w:rPr>
        <w:t>high</w:t>
      </w:r>
      <w:r>
        <w:rPr>
          <w:color w:val="231F20"/>
          <w:spacing w:val="-4"/>
          <w:w w:val="105"/>
        </w:rPr>
        <w:t xml:space="preserve"> </w:t>
      </w:r>
      <w:r>
        <w:rPr>
          <w:color w:val="231F20"/>
          <w:w w:val="105"/>
        </w:rPr>
        <w:t>risk causing underemployment.” The experts in their opinions supported the</w:t>
      </w:r>
      <w:r>
        <w:rPr>
          <w:color w:val="231F20"/>
          <w:spacing w:val="-13"/>
          <w:w w:val="105"/>
        </w:rPr>
        <w:t xml:space="preserve"> </w:t>
      </w:r>
      <w:r>
        <w:rPr>
          <w:color w:val="231F20"/>
          <w:w w:val="105"/>
        </w:rPr>
        <w:t>chemical</w:t>
      </w:r>
      <w:r>
        <w:rPr>
          <w:color w:val="231F20"/>
          <w:spacing w:val="-13"/>
          <w:w w:val="105"/>
        </w:rPr>
        <w:t xml:space="preserve"> </w:t>
      </w:r>
      <w:r>
        <w:rPr>
          <w:color w:val="231F20"/>
          <w:w w:val="105"/>
        </w:rPr>
        <w:t>industry,</w:t>
      </w:r>
      <w:r>
        <w:rPr>
          <w:color w:val="231F20"/>
          <w:spacing w:val="-13"/>
          <w:w w:val="105"/>
        </w:rPr>
        <w:t xml:space="preserve"> </w:t>
      </w:r>
      <w:r>
        <w:rPr>
          <w:color w:val="231F20"/>
          <w:w w:val="105"/>
        </w:rPr>
        <w:t>stating</w:t>
      </w:r>
      <w:r>
        <w:rPr>
          <w:color w:val="231F20"/>
          <w:spacing w:val="-13"/>
          <w:w w:val="105"/>
        </w:rPr>
        <w:t xml:space="preserve"> </w:t>
      </w:r>
      <w:r>
        <w:rPr>
          <w:color w:val="231F20"/>
          <w:w w:val="105"/>
        </w:rPr>
        <w:t>that</w:t>
      </w:r>
      <w:r>
        <w:rPr>
          <w:color w:val="231F20"/>
          <w:spacing w:val="-13"/>
          <w:w w:val="105"/>
        </w:rPr>
        <w:t xml:space="preserve"> </w:t>
      </w:r>
      <w:r>
        <w:rPr>
          <w:color w:val="231F20"/>
          <w:spacing w:val="-4"/>
          <w:w w:val="105"/>
        </w:rPr>
        <w:t>“a</w:t>
      </w:r>
      <w:r>
        <w:rPr>
          <w:color w:val="231F20"/>
          <w:spacing w:val="-13"/>
          <w:w w:val="105"/>
        </w:rPr>
        <w:t xml:space="preserve"> </w:t>
      </w:r>
      <w:r>
        <w:rPr>
          <w:color w:val="231F20"/>
          <w:w w:val="105"/>
        </w:rPr>
        <w:t>very</w:t>
      </w:r>
      <w:r>
        <w:rPr>
          <w:color w:val="231F20"/>
          <w:spacing w:val="-13"/>
          <w:w w:val="105"/>
        </w:rPr>
        <w:t xml:space="preserve"> </w:t>
      </w:r>
      <w:r>
        <w:rPr>
          <w:color w:val="231F20"/>
          <w:w w:val="105"/>
        </w:rPr>
        <w:t>slow</w:t>
      </w:r>
      <w:r>
        <w:rPr>
          <w:color w:val="231F20"/>
          <w:spacing w:val="-13"/>
          <w:w w:val="105"/>
        </w:rPr>
        <w:t xml:space="preserve"> </w:t>
      </w:r>
      <w:r>
        <w:rPr>
          <w:color w:val="231F20"/>
          <w:w w:val="105"/>
        </w:rPr>
        <w:t>reduction</w:t>
      </w:r>
      <w:r>
        <w:rPr>
          <w:color w:val="231F20"/>
          <w:spacing w:val="-13"/>
          <w:w w:val="105"/>
        </w:rPr>
        <w:t xml:space="preserve"> </w:t>
      </w:r>
      <w:r>
        <w:rPr>
          <w:color w:val="231F20"/>
          <w:w w:val="105"/>
        </w:rPr>
        <w:t>in</w:t>
      </w:r>
      <w:r>
        <w:rPr>
          <w:color w:val="231F20"/>
          <w:spacing w:val="-13"/>
          <w:w w:val="105"/>
        </w:rPr>
        <w:t xml:space="preserve"> </w:t>
      </w:r>
      <w:r>
        <w:rPr>
          <w:color w:val="231F20"/>
          <w:w w:val="105"/>
        </w:rPr>
        <w:t>the</w:t>
      </w:r>
      <w:r>
        <w:rPr>
          <w:color w:val="231F20"/>
          <w:spacing w:val="-13"/>
          <w:w w:val="105"/>
        </w:rPr>
        <w:t xml:space="preserve"> </w:t>
      </w:r>
      <w:r>
        <w:rPr>
          <w:color w:val="231F20"/>
          <w:w w:val="105"/>
        </w:rPr>
        <w:t>rate</w:t>
      </w:r>
      <w:r>
        <w:rPr>
          <w:color w:val="231F20"/>
          <w:spacing w:val="-13"/>
          <w:w w:val="105"/>
        </w:rPr>
        <w:t xml:space="preserve"> </w:t>
      </w:r>
      <w:r>
        <w:rPr>
          <w:color w:val="231F20"/>
          <w:w w:val="105"/>
        </w:rPr>
        <w:t>of wage</w:t>
      </w:r>
      <w:r>
        <w:rPr>
          <w:color w:val="231F20"/>
          <w:spacing w:val="-8"/>
          <w:w w:val="105"/>
        </w:rPr>
        <w:t xml:space="preserve"> </w:t>
      </w:r>
      <w:r>
        <w:rPr>
          <w:color w:val="231F20"/>
          <w:w w:val="105"/>
        </w:rPr>
        <w:t>increases”</w:t>
      </w:r>
      <w:r>
        <w:rPr>
          <w:color w:val="231F20"/>
          <w:spacing w:val="-8"/>
          <w:w w:val="105"/>
        </w:rPr>
        <w:t xml:space="preserve"> </w:t>
      </w:r>
      <w:r>
        <w:rPr>
          <w:color w:val="231F20"/>
          <w:w w:val="105"/>
        </w:rPr>
        <w:t>is</w:t>
      </w:r>
      <w:r>
        <w:rPr>
          <w:color w:val="231F20"/>
          <w:spacing w:val="-8"/>
          <w:w w:val="105"/>
        </w:rPr>
        <w:t xml:space="preserve"> </w:t>
      </w:r>
      <w:r>
        <w:rPr>
          <w:color w:val="231F20"/>
          <w:w w:val="105"/>
        </w:rPr>
        <w:t>not</w:t>
      </w:r>
      <w:r>
        <w:rPr>
          <w:color w:val="231F20"/>
          <w:spacing w:val="-8"/>
          <w:w w:val="105"/>
        </w:rPr>
        <w:t xml:space="preserve"> </w:t>
      </w:r>
      <w:r>
        <w:rPr>
          <w:color w:val="231F20"/>
          <w:w w:val="105"/>
        </w:rPr>
        <w:t>enough,</w:t>
      </w:r>
      <w:r>
        <w:rPr>
          <w:color w:val="231F20"/>
          <w:spacing w:val="-8"/>
          <w:w w:val="105"/>
        </w:rPr>
        <w:t xml:space="preserve"> </w:t>
      </w:r>
      <w:r>
        <w:rPr>
          <w:color w:val="231F20"/>
          <w:w w:val="105"/>
        </w:rPr>
        <w:t>but</w:t>
      </w:r>
      <w:r>
        <w:rPr>
          <w:color w:val="231F20"/>
          <w:spacing w:val="-8"/>
          <w:w w:val="105"/>
        </w:rPr>
        <w:t xml:space="preserve"> </w:t>
      </w:r>
      <w:r>
        <w:rPr>
          <w:color w:val="231F20"/>
          <w:w w:val="105"/>
        </w:rPr>
        <w:t>that</w:t>
      </w:r>
      <w:r>
        <w:rPr>
          <w:color w:val="231F20"/>
          <w:spacing w:val="-8"/>
          <w:w w:val="105"/>
        </w:rPr>
        <w:t xml:space="preserve"> </w:t>
      </w:r>
      <w:r>
        <w:rPr>
          <w:color w:val="231F20"/>
          <w:w w:val="105"/>
        </w:rPr>
        <w:t>“extreme</w:t>
      </w:r>
      <w:r>
        <w:rPr>
          <w:color w:val="231F20"/>
          <w:spacing w:val="-8"/>
          <w:w w:val="105"/>
        </w:rPr>
        <w:t xml:space="preserve"> </w:t>
      </w:r>
      <w:r>
        <w:rPr>
          <w:color w:val="231F20"/>
          <w:w w:val="105"/>
        </w:rPr>
        <w:t>measures</w:t>
      </w:r>
      <w:r>
        <w:rPr>
          <w:color w:val="231F20"/>
          <w:spacing w:val="-8"/>
          <w:w w:val="105"/>
        </w:rPr>
        <w:t xml:space="preserve"> </w:t>
      </w:r>
      <w:r>
        <w:rPr>
          <w:color w:val="231F20"/>
          <w:w w:val="105"/>
        </w:rPr>
        <w:t>are</w:t>
      </w:r>
      <w:r>
        <w:rPr>
          <w:color w:val="231F20"/>
          <w:spacing w:val="-8"/>
          <w:w w:val="105"/>
        </w:rPr>
        <w:t xml:space="preserve"> </w:t>
      </w:r>
      <w:r>
        <w:rPr>
          <w:color w:val="231F20"/>
          <w:w w:val="105"/>
        </w:rPr>
        <w:t>neces</w:t>
      </w:r>
      <w:r>
        <w:rPr>
          <w:color w:val="231F20"/>
          <w:spacing w:val="-4"/>
          <w:w w:val="105"/>
        </w:rPr>
        <w:t xml:space="preserve">sary.” </w:t>
      </w:r>
      <w:r>
        <w:rPr>
          <w:color w:val="231F20"/>
          <w:w w:val="105"/>
        </w:rPr>
        <w:t>(May</w:t>
      </w:r>
      <w:r>
        <w:rPr>
          <w:color w:val="231F20"/>
          <w:spacing w:val="-21"/>
          <w:w w:val="105"/>
        </w:rPr>
        <w:t xml:space="preserve"> </w:t>
      </w:r>
      <w:r>
        <w:rPr>
          <w:color w:val="231F20"/>
          <w:spacing w:val="-5"/>
          <w:w w:val="105"/>
        </w:rPr>
        <w:t>71)</w:t>
      </w:r>
    </w:p>
    <w:p w14:paraId="75ED9C74" w14:textId="77777777" w:rsidR="002653E8" w:rsidRDefault="003115E3">
      <w:pPr>
        <w:pStyle w:val="a3"/>
        <w:spacing w:line="264" w:lineRule="auto"/>
        <w:ind w:left="1147" w:right="1325" w:firstLine="210"/>
        <w:jc w:val="both"/>
      </w:pPr>
      <w:r>
        <w:rPr>
          <w:color w:val="231F20"/>
          <w:spacing w:val="1"/>
        </w:rPr>
        <w:t xml:space="preserve">In  </w:t>
      </w:r>
      <w:r>
        <w:rPr>
          <w:color w:val="231F20"/>
          <w:spacing w:val="-4"/>
        </w:rPr>
        <w:t xml:space="preserve">May,  </w:t>
      </w:r>
      <w:r>
        <w:rPr>
          <w:color w:val="231F20"/>
        </w:rPr>
        <w:t xml:space="preserve">the  chemical  industry  made  an  offer  of  5  percent,  and   IG Chemie issued a press release stating that they wouldn’t insist upon </w:t>
      </w:r>
      <w:r>
        <w:rPr>
          <w:color w:val="231F20"/>
          <w:spacing w:val="-4"/>
        </w:rPr>
        <w:t xml:space="preserve">11 </w:t>
      </w:r>
      <w:r>
        <w:rPr>
          <w:color w:val="231F20"/>
        </w:rPr>
        <w:t xml:space="preserve">or </w:t>
      </w:r>
      <w:r>
        <w:rPr>
          <w:color w:val="231F20"/>
          <w:spacing w:val="-3"/>
        </w:rPr>
        <w:t xml:space="preserve">12 </w:t>
      </w:r>
      <w:r>
        <w:rPr>
          <w:color w:val="231F20"/>
        </w:rPr>
        <w:t>percent, but would accept 8 or 9</w:t>
      </w:r>
      <w:r>
        <w:rPr>
          <w:color w:val="231F20"/>
          <w:spacing w:val="30"/>
        </w:rPr>
        <w:t xml:space="preserve"> </w:t>
      </w:r>
      <w:r>
        <w:rPr>
          <w:color w:val="231F20"/>
        </w:rPr>
        <w:t>percent</w:t>
      </w:r>
      <w:r w:rsidR="00DA22FE">
        <w:rPr>
          <w:color w:val="231F20"/>
        </w:rPr>
        <w:t>.</w:t>
      </w:r>
    </w:p>
    <w:p w14:paraId="3797FA1D" w14:textId="77777777" w:rsidR="002653E8" w:rsidRDefault="002653E8">
      <w:pPr>
        <w:pStyle w:val="a3"/>
        <w:spacing w:before="10"/>
      </w:pPr>
    </w:p>
    <w:p w14:paraId="5C62FAA2" w14:textId="77777777" w:rsidR="002653E8" w:rsidRDefault="003115E3">
      <w:pPr>
        <w:spacing w:before="1"/>
        <w:ind w:left="1147"/>
        <w:rPr>
          <w:i/>
          <w:sz w:val="20"/>
        </w:rPr>
      </w:pPr>
      <w:r>
        <w:rPr>
          <w:i/>
          <w:color w:val="231F20"/>
          <w:w w:val="105"/>
          <w:sz w:val="20"/>
        </w:rPr>
        <w:t>The Betrayal of Rhineland Palatinate</w:t>
      </w:r>
    </w:p>
    <w:p w14:paraId="5C35F95C" w14:textId="77777777" w:rsidR="002653E8" w:rsidRDefault="003115E3">
      <w:pPr>
        <w:pStyle w:val="a3"/>
        <w:spacing w:before="22" w:line="264" w:lineRule="auto"/>
        <w:ind w:left="1147" w:right="1325"/>
        <w:jc w:val="both"/>
      </w:pPr>
      <w:r>
        <w:rPr>
          <w:color w:val="231F20"/>
        </w:rPr>
        <w:t>On May 24, however, Rhineland Palatinate—to great public surprise— signed a wage contract for 7.8 percent over ten months, which on the basis of a real duration of twelve months is 6.5 percent, less than that suggested in Schiller’s</w:t>
      </w:r>
      <w:r>
        <w:rPr>
          <w:color w:val="231F20"/>
          <w:position w:val="7"/>
          <w:sz w:val="11"/>
        </w:rPr>
        <w:t xml:space="preserve">2 </w:t>
      </w:r>
      <w:r>
        <w:rPr>
          <w:color w:val="231F20"/>
        </w:rPr>
        <w:t>reference data. Rhineland Palatinate is controlled by BASF. BASF won’t accept strikes.</w:t>
      </w:r>
    </w:p>
    <w:p w14:paraId="1DAC1677" w14:textId="77777777" w:rsidR="002653E8" w:rsidRDefault="003115E3">
      <w:pPr>
        <w:pStyle w:val="a3"/>
        <w:spacing w:line="264" w:lineRule="auto"/>
        <w:ind w:left="1147" w:right="1326" w:firstLine="210"/>
        <w:jc w:val="both"/>
      </w:pPr>
      <w:r>
        <w:rPr>
          <w:color w:val="231F20"/>
        </w:rPr>
        <w:t xml:space="preserve">Bayer and Hoechst also later avoided strikes. The employees of the large companies </w:t>
      </w:r>
      <w:r>
        <w:rPr>
          <w:color w:val="231F20"/>
          <w:spacing w:val="-3"/>
        </w:rPr>
        <w:t xml:space="preserve">don’t </w:t>
      </w:r>
      <w:r>
        <w:rPr>
          <w:color w:val="231F20"/>
        </w:rPr>
        <w:t>want the humiliation of a setback during a strike; they</w:t>
      </w:r>
      <w:r>
        <w:rPr>
          <w:color w:val="231F20"/>
          <w:spacing w:val="-6"/>
        </w:rPr>
        <w:t xml:space="preserve"> </w:t>
      </w:r>
      <w:r>
        <w:rPr>
          <w:color w:val="231F20"/>
        </w:rPr>
        <w:t>have</w:t>
      </w:r>
      <w:r>
        <w:rPr>
          <w:color w:val="231F20"/>
          <w:spacing w:val="-6"/>
        </w:rPr>
        <w:t xml:space="preserve"> </w:t>
      </w:r>
      <w:r>
        <w:rPr>
          <w:color w:val="231F20"/>
        </w:rPr>
        <w:t>been</w:t>
      </w:r>
      <w:r>
        <w:rPr>
          <w:color w:val="231F20"/>
          <w:spacing w:val="-6"/>
        </w:rPr>
        <w:t xml:space="preserve"> </w:t>
      </w:r>
      <w:r>
        <w:rPr>
          <w:color w:val="231F20"/>
        </w:rPr>
        <w:t>disciplined</w:t>
      </w:r>
      <w:r>
        <w:rPr>
          <w:color w:val="231F20"/>
          <w:spacing w:val="-6"/>
        </w:rPr>
        <w:t xml:space="preserve"> </w:t>
      </w:r>
      <w:r>
        <w:rPr>
          <w:color w:val="231F20"/>
        </w:rPr>
        <w:t>by</w:t>
      </w:r>
      <w:r>
        <w:rPr>
          <w:color w:val="231F20"/>
          <w:spacing w:val="-6"/>
        </w:rPr>
        <w:t xml:space="preserve"> </w:t>
      </w:r>
      <w:r>
        <w:rPr>
          <w:color w:val="231F20"/>
        </w:rPr>
        <w:t>a</w:t>
      </w:r>
      <w:r>
        <w:rPr>
          <w:color w:val="231F20"/>
          <w:spacing w:val="-6"/>
        </w:rPr>
        <w:t xml:space="preserve"> </w:t>
      </w:r>
      <w:r>
        <w:rPr>
          <w:color w:val="231F20"/>
        </w:rPr>
        <w:t>broad</w:t>
      </w:r>
      <w:r>
        <w:rPr>
          <w:color w:val="231F20"/>
          <w:spacing w:val="-6"/>
        </w:rPr>
        <w:t xml:space="preserve"> </w:t>
      </w:r>
      <w:r>
        <w:rPr>
          <w:color w:val="231F20"/>
        </w:rPr>
        <w:t>and</w:t>
      </w:r>
      <w:r>
        <w:rPr>
          <w:color w:val="231F20"/>
          <w:spacing w:val="-6"/>
        </w:rPr>
        <w:t xml:space="preserve"> </w:t>
      </w:r>
      <w:r>
        <w:rPr>
          <w:color w:val="231F20"/>
        </w:rPr>
        <w:t>diverse</w:t>
      </w:r>
      <w:r>
        <w:rPr>
          <w:color w:val="231F20"/>
          <w:spacing w:val="-6"/>
        </w:rPr>
        <w:t xml:space="preserve"> </w:t>
      </w:r>
      <w:r>
        <w:rPr>
          <w:color w:val="231F20"/>
        </w:rPr>
        <w:t>system</w:t>
      </w:r>
      <w:r>
        <w:rPr>
          <w:color w:val="231F20"/>
          <w:spacing w:val="-6"/>
        </w:rPr>
        <w:t xml:space="preserve"> </w:t>
      </w:r>
      <w:r>
        <w:rPr>
          <w:color w:val="231F20"/>
        </w:rPr>
        <w:t>of</w:t>
      </w:r>
      <w:r>
        <w:rPr>
          <w:color w:val="231F20"/>
          <w:spacing w:val="-6"/>
        </w:rPr>
        <w:t xml:space="preserve"> </w:t>
      </w:r>
      <w:r>
        <w:rPr>
          <w:color w:val="231F20"/>
        </w:rPr>
        <w:t>pacification:</w:t>
      </w:r>
    </w:p>
    <w:p w14:paraId="6DE6971D" w14:textId="77777777" w:rsidR="002653E8" w:rsidRDefault="00000000">
      <w:pPr>
        <w:pStyle w:val="a3"/>
        <w:spacing w:before="1"/>
        <w:rPr>
          <w:sz w:val="26"/>
        </w:rPr>
      </w:pPr>
      <w:r>
        <w:rPr>
          <w:noProof w:val="0"/>
        </w:rPr>
        <w:pict w14:anchorId="5B1DBABE">
          <v:line id="_x0000_s2568" style="position:absolute;z-index:4240;mso-wrap-distance-left:0;mso-wrap-distance-right:0;mso-position-horizontal-relative:page" from="57.4pt,17.55pt" to="129.4pt,17.55pt" strokecolor="#231f20" strokeweight=".5pt">
            <w10:wrap type="topAndBottom" anchorx="page"/>
          </v:line>
        </w:pict>
      </w:r>
    </w:p>
    <w:p w14:paraId="4240231B" w14:textId="77777777" w:rsidR="002653E8" w:rsidRDefault="003115E3">
      <w:pPr>
        <w:pStyle w:val="a4"/>
        <w:numPr>
          <w:ilvl w:val="0"/>
          <w:numId w:val="148"/>
        </w:numPr>
        <w:tabs>
          <w:tab w:val="left" w:pos="1287"/>
        </w:tabs>
        <w:spacing w:before="53"/>
        <w:ind w:firstLine="0"/>
        <w:jc w:val="left"/>
        <w:rPr>
          <w:sz w:val="16"/>
        </w:rPr>
      </w:pPr>
      <w:r>
        <w:rPr>
          <w:color w:val="231F20"/>
          <w:w w:val="110"/>
          <w:sz w:val="16"/>
        </w:rPr>
        <w:t>Roughly</w:t>
      </w:r>
      <w:r>
        <w:rPr>
          <w:color w:val="231F20"/>
          <w:spacing w:val="5"/>
          <w:w w:val="110"/>
          <w:sz w:val="16"/>
        </w:rPr>
        <w:t xml:space="preserve"> </w:t>
      </w:r>
      <w:r>
        <w:rPr>
          <w:color w:val="231F20"/>
          <w:spacing w:val="-4"/>
          <w:w w:val="110"/>
          <w:sz w:val="16"/>
        </w:rPr>
        <w:t>$58.</w:t>
      </w:r>
    </w:p>
    <w:p w14:paraId="318F881E" w14:textId="77777777" w:rsidR="002653E8" w:rsidRDefault="003115E3">
      <w:pPr>
        <w:pStyle w:val="a4"/>
        <w:numPr>
          <w:ilvl w:val="0"/>
          <w:numId w:val="148"/>
        </w:numPr>
        <w:tabs>
          <w:tab w:val="left" w:pos="1287"/>
        </w:tabs>
        <w:spacing w:before="51" w:line="254" w:lineRule="auto"/>
        <w:ind w:right="1555" w:firstLine="1"/>
        <w:jc w:val="both"/>
        <w:rPr>
          <w:sz w:val="16"/>
        </w:rPr>
      </w:pPr>
      <w:r>
        <w:rPr>
          <w:color w:val="231F20"/>
          <w:w w:val="105"/>
          <w:sz w:val="16"/>
        </w:rPr>
        <w:t>Karl Schiller was the SPD’s Federal Minister of Economic Affairs and Minister     of Finance at the time. His reference data would presumably have determined the government’s wage</w:t>
      </w:r>
      <w:r>
        <w:rPr>
          <w:color w:val="231F20"/>
          <w:spacing w:val="15"/>
          <w:w w:val="105"/>
          <w:sz w:val="16"/>
        </w:rPr>
        <w:t xml:space="preserve"> </w:t>
      </w:r>
      <w:r>
        <w:rPr>
          <w:color w:val="231F20"/>
          <w:w w:val="105"/>
          <w:sz w:val="16"/>
        </w:rPr>
        <w:t>guidelines.</w:t>
      </w:r>
    </w:p>
    <w:p w14:paraId="6A65C169" w14:textId="77777777" w:rsidR="002653E8" w:rsidRDefault="002653E8">
      <w:pPr>
        <w:spacing w:line="254" w:lineRule="auto"/>
        <w:jc w:val="both"/>
        <w:rPr>
          <w:sz w:val="16"/>
        </w:rPr>
        <w:sectPr w:rsidR="002653E8">
          <w:pgSz w:w="8640" w:h="12960"/>
          <w:pgMar w:top="1060" w:right="0" w:bottom="1040" w:left="0" w:header="0" w:footer="850" w:gutter="0"/>
          <w:cols w:space="720"/>
        </w:sectPr>
      </w:pPr>
    </w:p>
    <w:p w14:paraId="5CB9C32B" w14:textId="77777777" w:rsidR="002653E8" w:rsidRDefault="003115E3">
      <w:pPr>
        <w:pStyle w:val="a3"/>
        <w:spacing w:before="86" w:line="264" w:lineRule="auto"/>
        <w:ind w:left="1327" w:right="1146"/>
        <w:jc w:val="both"/>
      </w:pPr>
      <w:r>
        <w:rPr>
          <w:color w:val="231F20"/>
        </w:rPr>
        <w:lastRenderedPageBreak/>
        <w:t>company housing, purported profit sharing, training grants, a body of company representatives alongside the unions, the organization of the workplace whereby the employees are split into hundreds of separate factory units, a wage system split into different wage levels, separate low wage groups for men and</w:t>
      </w:r>
      <w:r>
        <w:rPr>
          <w:color w:val="231F20"/>
          <w:spacing w:val="20"/>
        </w:rPr>
        <w:t xml:space="preserve"> </w:t>
      </w:r>
      <w:r>
        <w:rPr>
          <w:color w:val="231F20"/>
        </w:rPr>
        <w:t>women.</w:t>
      </w:r>
    </w:p>
    <w:p w14:paraId="5D812348" w14:textId="77777777" w:rsidR="002653E8" w:rsidRDefault="003115E3">
      <w:pPr>
        <w:pStyle w:val="a3"/>
        <w:spacing w:line="264" w:lineRule="auto"/>
        <w:ind w:left="1327" w:right="1146" w:firstLine="210"/>
        <w:jc w:val="both"/>
      </w:pPr>
      <w:r>
        <w:rPr>
          <w:color w:val="231F20"/>
        </w:rPr>
        <w:t>The chemical industry in Hessen circulated to its own employees the leaflet that the IG Chemie trade union had prepared for its members regarding this outcome. The Wage Commission in North Rhine and Hessen bristled at the outcome in Rhineland Palatinate. They talked about options for struggle, but didn’t prepare them. IG Chemie simply demanded that their members get their dues in order and recruit new members.</w:t>
      </w:r>
    </w:p>
    <w:p w14:paraId="3E33791E" w14:textId="77777777" w:rsidR="002653E8" w:rsidRDefault="002653E8">
      <w:pPr>
        <w:pStyle w:val="a3"/>
        <w:spacing w:before="10"/>
      </w:pPr>
    </w:p>
    <w:p w14:paraId="57BA4652" w14:textId="77777777" w:rsidR="002653E8" w:rsidRDefault="003115E3">
      <w:pPr>
        <w:ind w:left="1327"/>
        <w:rPr>
          <w:i/>
          <w:sz w:val="20"/>
        </w:rPr>
      </w:pPr>
      <w:r>
        <w:rPr>
          <w:i/>
          <w:color w:val="231F20"/>
          <w:w w:val="105"/>
          <w:sz w:val="20"/>
        </w:rPr>
        <w:t>The Strike</w:t>
      </w:r>
    </w:p>
    <w:p w14:paraId="20288A23" w14:textId="77777777" w:rsidR="002653E8" w:rsidRDefault="003115E3">
      <w:pPr>
        <w:pStyle w:val="a3"/>
        <w:spacing w:before="22" w:line="264" w:lineRule="auto"/>
        <w:ind w:left="1327" w:right="1146"/>
        <w:jc w:val="both"/>
      </w:pPr>
      <w:r>
        <w:rPr>
          <w:color w:val="231F20"/>
          <w:spacing w:val="1"/>
        </w:rPr>
        <w:t xml:space="preserve">In </w:t>
      </w:r>
      <w:r>
        <w:rPr>
          <w:color w:val="231F20"/>
        </w:rPr>
        <w:t xml:space="preserve">the face of the chemical industry’s resistance, federal government arbitration eventually failed in North Rhine and Hessen, and later in Westphalia and Hamburg. Following the failure of federal government arbitration, the strike began. From the beginning of June until the beginning of </w:t>
      </w:r>
      <w:r>
        <w:rPr>
          <w:color w:val="231F20"/>
          <w:spacing w:val="-3"/>
        </w:rPr>
        <w:t xml:space="preserve">July, </w:t>
      </w:r>
      <w:r>
        <w:rPr>
          <w:color w:val="231F20"/>
        </w:rPr>
        <w:t xml:space="preserve">a total of 50,000 workers in these four areas were on strike and </w:t>
      </w:r>
      <w:r>
        <w:rPr>
          <w:color w:val="231F20"/>
          <w:spacing w:val="-3"/>
        </w:rPr>
        <w:t xml:space="preserve">150,000 </w:t>
      </w:r>
      <w:r>
        <w:rPr>
          <w:color w:val="231F20"/>
        </w:rPr>
        <w:t xml:space="preserve">were involved in support actions. </w:t>
      </w:r>
      <w:r>
        <w:rPr>
          <w:color w:val="231F20"/>
          <w:spacing w:val="1"/>
        </w:rPr>
        <w:t xml:space="preserve">In </w:t>
      </w:r>
      <w:r>
        <w:rPr>
          <w:color w:val="231F20"/>
        </w:rPr>
        <w:t>North Rhine they struck for 9 percent, in Hessen for a flat increase of at least 120 marks,</w:t>
      </w:r>
      <w:r>
        <w:rPr>
          <w:color w:val="231F20"/>
          <w:position w:val="7"/>
          <w:sz w:val="11"/>
        </w:rPr>
        <w:t xml:space="preserve">3 </w:t>
      </w:r>
      <w:r>
        <w:rPr>
          <w:color w:val="231F20"/>
        </w:rPr>
        <w:t xml:space="preserve">or </w:t>
      </w:r>
      <w:r>
        <w:rPr>
          <w:color w:val="231F20"/>
          <w:spacing w:val="-4"/>
        </w:rPr>
        <w:t xml:space="preserve">11 </w:t>
      </w:r>
      <w:r>
        <w:rPr>
          <w:color w:val="231F20"/>
        </w:rPr>
        <w:t xml:space="preserve">percent, and in the other areas for </w:t>
      </w:r>
      <w:r>
        <w:rPr>
          <w:color w:val="231F20"/>
          <w:spacing w:val="-4"/>
        </w:rPr>
        <w:t xml:space="preserve">11 </w:t>
      </w:r>
      <w:r>
        <w:rPr>
          <w:color w:val="231F20"/>
        </w:rPr>
        <w:t xml:space="preserve">or </w:t>
      </w:r>
      <w:r>
        <w:rPr>
          <w:color w:val="231F20"/>
          <w:spacing w:val="-3"/>
        </w:rPr>
        <w:t xml:space="preserve">12  </w:t>
      </w:r>
      <w:r>
        <w:rPr>
          <w:color w:val="231F20"/>
        </w:rPr>
        <w:t>percent. It  was the first strike in the chemical industry in 40 years, since the wage struggles</w:t>
      </w:r>
      <w:r>
        <w:rPr>
          <w:color w:val="231F20"/>
          <w:spacing w:val="10"/>
        </w:rPr>
        <w:t xml:space="preserve"> </w:t>
      </w:r>
      <w:r>
        <w:rPr>
          <w:color w:val="231F20"/>
        </w:rPr>
        <w:t>at</w:t>
      </w:r>
      <w:r>
        <w:rPr>
          <w:color w:val="231F20"/>
          <w:spacing w:val="10"/>
        </w:rPr>
        <w:t xml:space="preserve"> </w:t>
      </w:r>
      <w:r>
        <w:rPr>
          <w:color w:val="231F20"/>
        </w:rPr>
        <w:t>the</w:t>
      </w:r>
      <w:r>
        <w:rPr>
          <w:color w:val="231F20"/>
          <w:spacing w:val="10"/>
        </w:rPr>
        <w:t xml:space="preserve"> </w:t>
      </w:r>
      <w:r>
        <w:rPr>
          <w:color w:val="231F20"/>
        </w:rPr>
        <w:t>beginning</w:t>
      </w:r>
      <w:r>
        <w:rPr>
          <w:color w:val="231F20"/>
          <w:spacing w:val="10"/>
        </w:rPr>
        <w:t xml:space="preserve"> </w:t>
      </w:r>
      <w:r>
        <w:rPr>
          <w:color w:val="231F20"/>
        </w:rPr>
        <w:t>and</w:t>
      </w:r>
      <w:r>
        <w:rPr>
          <w:color w:val="231F20"/>
          <w:spacing w:val="10"/>
        </w:rPr>
        <w:t xml:space="preserve"> </w:t>
      </w:r>
      <w:r>
        <w:rPr>
          <w:color w:val="231F20"/>
        </w:rPr>
        <w:t>end</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1920s.</w:t>
      </w:r>
    </w:p>
    <w:p w14:paraId="4E482C18" w14:textId="77777777" w:rsidR="002653E8" w:rsidRDefault="003115E3">
      <w:pPr>
        <w:pStyle w:val="a3"/>
        <w:spacing w:line="264" w:lineRule="auto"/>
        <w:ind w:left="1327" w:right="1146" w:firstLine="210"/>
        <w:jc w:val="both"/>
      </w:pPr>
      <w:r>
        <w:rPr>
          <w:color w:val="231F20"/>
        </w:rPr>
        <w:t xml:space="preserve">The organizational initiative didn’t come from the unions; it came from the workers. At Glanzstoff in Oberbruch, it started with 120  skilled workers, who spontaneously walked out on June </w:t>
      </w:r>
      <w:r>
        <w:rPr>
          <w:color w:val="231F20"/>
          <w:spacing w:val="-3"/>
        </w:rPr>
        <w:t xml:space="preserve">3. </w:t>
      </w:r>
      <w:r>
        <w:rPr>
          <w:color w:val="231F20"/>
        </w:rPr>
        <w:t xml:space="preserve">Later, when the union called for a work stoppage in the key sectors, other workers spontaneously joined the strike. At Dynamit Nobel in Troisdorf, the action began with a spontaneous walkout on the part of skilled workers in the explosives factories. At Clouth-Gummiwerken in Cologne, where the strike lasted  4 weeks, it began with the mill workers. At Degussa    in Wolfgang, small groups of skilled workers walked out of the various production centres, calling for a demonstration against the factory committee  and  the  union  representatives.  At  Braun  in  Melsungen,   it began with workers in the engineering building. </w:t>
      </w:r>
      <w:r>
        <w:rPr>
          <w:color w:val="231F20"/>
          <w:spacing w:val="1"/>
        </w:rPr>
        <w:t xml:space="preserve">In </w:t>
      </w:r>
      <w:r>
        <w:rPr>
          <w:color w:val="231F20"/>
        </w:rPr>
        <w:t>Glanzstoff in Kelsterbach, the action began with a sit-down strike by some Spanish workers.</w:t>
      </w:r>
      <w:r>
        <w:rPr>
          <w:color w:val="231F20"/>
          <w:spacing w:val="20"/>
        </w:rPr>
        <w:t xml:space="preserve"> </w:t>
      </w:r>
      <w:r>
        <w:rPr>
          <w:color w:val="231F20"/>
          <w:spacing w:val="1"/>
        </w:rPr>
        <w:t>In</w:t>
      </w:r>
      <w:r>
        <w:rPr>
          <w:color w:val="231F20"/>
          <w:spacing w:val="17"/>
        </w:rPr>
        <w:t xml:space="preserve"> </w:t>
      </w:r>
      <w:r>
        <w:rPr>
          <w:color w:val="231F20"/>
        </w:rPr>
        <w:t>Merck,</w:t>
      </w:r>
      <w:r>
        <w:rPr>
          <w:color w:val="231F20"/>
          <w:spacing w:val="20"/>
        </w:rPr>
        <w:t xml:space="preserve"> </w:t>
      </w:r>
      <w:r>
        <w:rPr>
          <w:color w:val="231F20"/>
        </w:rPr>
        <w:t>at</w:t>
      </w:r>
      <w:r>
        <w:rPr>
          <w:color w:val="231F20"/>
          <w:spacing w:val="20"/>
        </w:rPr>
        <w:t xml:space="preserve"> </w:t>
      </w:r>
      <w:r>
        <w:rPr>
          <w:color w:val="231F20"/>
        </w:rPr>
        <w:t>Farbwerken</w:t>
      </w:r>
      <w:r>
        <w:rPr>
          <w:color w:val="231F20"/>
          <w:spacing w:val="20"/>
        </w:rPr>
        <w:t xml:space="preserve"> </w:t>
      </w:r>
      <w:r>
        <w:rPr>
          <w:color w:val="231F20"/>
        </w:rPr>
        <w:t>Hoechst,</w:t>
      </w:r>
      <w:r>
        <w:rPr>
          <w:color w:val="231F20"/>
          <w:spacing w:val="20"/>
        </w:rPr>
        <w:t xml:space="preserve"> </w:t>
      </w:r>
      <w:r>
        <w:rPr>
          <w:color w:val="231F20"/>
        </w:rPr>
        <w:t>the</w:t>
      </w:r>
      <w:r>
        <w:rPr>
          <w:color w:val="231F20"/>
          <w:spacing w:val="20"/>
        </w:rPr>
        <w:t xml:space="preserve"> </w:t>
      </w:r>
      <w:r>
        <w:rPr>
          <w:color w:val="231F20"/>
        </w:rPr>
        <w:t>action</w:t>
      </w:r>
      <w:r>
        <w:rPr>
          <w:color w:val="231F20"/>
          <w:spacing w:val="20"/>
        </w:rPr>
        <w:t xml:space="preserve"> </w:t>
      </w:r>
      <w:r>
        <w:rPr>
          <w:color w:val="231F20"/>
        </w:rPr>
        <w:t>began</w:t>
      </w:r>
      <w:r>
        <w:rPr>
          <w:color w:val="231F20"/>
          <w:spacing w:val="20"/>
        </w:rPr>
        <w:t xml:space="preserve"> </w:t>
      </w:r>
      <w:r>
        <w:rPr>
          <w:color w:val="231F20"/>
        </w:rPr>
        <w:t>with</w:t>
      </w:r>
    </w:p>
    <w:p w14:paraId="41D06438" w14:textId="77777777" w:rsidR="002653E8" w:rsidRDefault="00000000">
      <w:pPr>
        <w:pStyle w:val="a3"/>
        <w:spacing w:before="4"/>
        <w:rPr>
          <w:sz w:val="13"/>
        </w:rPr>
      </w:pPr>
      <w:r>
        <w:rPr>
          <w:noProof w:val="0"/>
        </w:rPr>
        <w:pict w14:anchorId="1E91E564">
          <v:line id="_x0000_s2567" style="position:absolute;z-index:4264;mso-wrap-distance-left:0;mso-wrap-distance-right:0;mso-position-horizontal-relative:page" from="66.4pt,10.05pt" to="138.4pt,10.05pt" strokecolor="#231f20" strokeweight=".5pt">
            <w10:wrap type="topAndBottom" anchorx="page"/>
          </v:line>
        </w:pict>
      </w:r>
    </w:p>
    <w:p w14:paraId="72A18777" w14:textId="77777777" w:rsidR="002653E8" w:rsidRDefault="003115E3">
      <w:pPr>
        <w:pStyle w:val="a4"/>
        <w:numPr>
          <w:ilvl w:val="0"/>
          <w:numId w:val="148"/>
        </w:numPr>
        <w:tabs>
          <w:tab w:val="left" w:pos="1467"/>
        </w:tabs>
        <w:spacing w:before="53"/>
        <w:ind w:left="1466"/>
        <w:jc w:val="left"/>
        <w:rPr>
          <w:sz w:val="16"/>
        </w:rPr>
      </w:pPr>
      <w:r>
        <w:rPr>
          <w:color w:val="231F20"/>
          <w:w w:val="110"/>
          <w:sz w:val="16"/>
        </w:rPr>
        <w:t>Roughly</w:t>
      </w:r>
      <w:r>
        <w:rPr>
          <w:color w:val="231F20"/>
          <w:spacing w:val="5"/>
          <w:w w:val="110"/>
          <w:sz w:val="16"/>
        </w:rPr>
        <w:t xml:space="preserve"> </w:t>
      </w:r>
      <w:r>
        <w:rPr>
          <w:color w:val="231F20"/>
          <w:spacing w:val="-3"/>
          <w:w w:val="110"/>
          <w:sz w:val="16"/>
        </w:rPr>
        <w:t>$43.</w:t>
      </w:r>
    </w:p>
    <w:p w14:paraId="39D6D93E" w14:textId="77777777" w:rsidR="002653E8" w:rsidRDefault="002653E8">
      <w:pPr>
        <w:rPr>
          <w:sz w:val="16"/>
        </w:rPr>
        <w:sectPr w:rsidR="002653E8">
          <w:pgSz w:w="8640" w:h="12960"/>
          <w:pgMar w:top="1060" w:right="0" w:bottom="1040" w:left="0" w:header="0" w:footer="850" w:gutter="0"/>
          <w:cols w:space="720"/>
        </w:sectPr>
      </w:pPr>
    </w:p>
    <w:p w14:paraId="0258E07E" w14:textId="77777777" w:rsidR="002653E8" w:rsidRDefault="003115E3">
      <w:pPr>
        <w:pStyle w:val="a3"/>
        <w:spacing w:before="86" w:line="264" w:lineRule="auto"/>
        <w:ind w:left="1147" w:right="1326"/>
        <w:jc w:val="both"/>
      </w:pPr>
      <w:r>
        <w:rPr>
          <w:color w:val="231F20"/>
        </w:rPr>
        <w:lastRenderedPageBreak/>
        <w:t>different small groups. In some factories the strike lasted for the entire month of June.</w:t>
      </w:r>
    </w:p>
    <w:p w14:paraId="26A8E165" w14:textId="77777777" w:rsidR="002653E8" w:rsidRDefault="003115E3">
      <w:pPr>
        <w:pStyle w:val="a3"/>
        <w:spacing w:line="264" w:lineRule="auto"/>
        <w:ind w:left="1147" w:right="1326" w:firstLine="210"/>
        <w:jc w:val="both"/>
      </w:pPr>
      <w:r>
        <w:rPr>
          <w:color w:val="231F20"/>
        </w:rPr>
        <w:t xml:space="preserve">On June 8, 10,000 workers took part in a mass IG Chemie  trade  union  demonstration  at  the  Cologne  Arena.  On  June  14,  there  was  a day of action in North Rhine; 19,000 workers from  </w:t>
      </w:r>
      <w:r>
        <w:rPr>
          <w:color w:val="231F20"/>
          <w:spacing w:val="-5"/>
        </w:rPr>
        <w:t xml:space="preserve">38  </w:t>
      </w:r>
      <w:r>
        <w:rPr>
          <w:color w:val="231F20"/>
        </w:rPr>
        <w:t xml:space="preserve">factories  joined the  strike.  On  June  </w:t>
      </w:r>
      <w:r>
        <w:rPr>
          <w:color w:val="231F20"/>
          <w:spacing w:val="-4"/>
        </w:rPr>
        <w:t xml:space="preserve">16,  </w:t>
      </w:r>
      <w:r>
        <w:rPr>
          <w:color w:val="231F20"/>
        </w:rPr>
        <w:t xml:space="preserve">10,000  workers  again  participated  in a second mass IG Chemie demonstration in Cologne. Simultaneously, 16,000 took part in actions in Hessen—4,000 workers from Farbwerke Hoechst participated in a union demonstration; it was the first time in </w:t>
      </w:r>
      <w:r>
        <w:rPr>
          <w:color w:val="231F20"/>
          <w:spacing w:val="-4"/>
        </w:rPr>
        <w:t xml:space="preserve">50 </w:t>
      </w:r>
      <w:r>
        <w:rPr>
          <w:color w:val="231F20"/>
        </w:rPr>
        <w:t xml:space="preserve">years that there was a strike at Hoechst—even if it only lasted a few hours. At the end of June, 38,000 workers were on strike in Hessen, North Rhine, Hamburg and Westphalia. </w:t>
      </w:r>
      <w:r>
        <w:rPr>
          <w:color w:val="231F20"/>
          <w:spacing w:val="1"/>
        </w:rPr>
        <w:t xml:space="preserve">If </w:t>
      </w:r>
      <w:r>
        <w:rPr>
          <w:color w:val="231F20"/>
        </w:rPr>
        <w:t>one considers the dubious behavior of the union bureaucracy, and the fact that the strike initiative came</w:t>
      </w:r>
      <w:r>
        <w:rPr>
          <w:color w:val="231F20"/>
          <w:spacing w:val="8"/>
        </w:rPr>
        <w:t xml:space="preserve"> </w:t>
      </w:r>
      <w:r>
        <w:rPr>
          <w:color w:val="231F20"/>
        </w:rPr>
        <w:t>from</w:t>
      </w:r>
      <w:r>
        <w:rPr>
          <w:color w:val="231F20"/>
          <w:spacing w:val="8"/>
        </w:rPr>
        <w:t xml:space="preserve"> </w:t>
      </w:r>
      <w:r>
        <w:rPr>
          <w:color w:val="231F20"/>
        </w:rPr>
        <w:t>small</w:t>
      </w:r>
      <w:r>
        <w:rPr>
          <w:color w:val="231F20"/>
          <w:spacing w:val="8"/>
        </w:rPr>
        <w:t xml:space="preserve"> </w:t>
      </w:r>
      <w:r>
        <w:rPr>
          <w:color w:val="231F20"/>
        </w:rPr>
        <w:t>groups,</w:t>
      </w:r>
      <w:r>
        <w:rPr>
          <w:color w:val="231F20"/>
          <w:spacing w:val="8"/>
        </w:rPr>
        <w:t xml:space="preserve"> </w:t>
      </w:r>
      <w:r>
        <w:rPr>
          <w:color w:val="231F20"/>
        </w:rPr>
        <w:t>these</w:t>
      </w:r>
      <w:r>
        <w:rPr>
          <w:color w:val="231F20"/>
          <w:spacing w:val="8"/>
        </w:rPr>
        <w:t xml:space="preserve"> </w:t>
      </w:r>
      <w:r>
        <w:rPr>
          <w:color w:val="231F20"/>
        </w:rPr>
        <w:t>are</w:t>
      </w:r>
      <w:r>
        <w:rPr>
          <w:color w:val="231F20"/>
          <w:spacing w:val="8"/>
        </w:rPr>
        <w:t xml:space="preserve"> </w:t>
      </w:r>
      <w:r>
        <w:rPr>
          <w:color w:val="231F20"/>
        </w:rPr>
        <w:t>impressive</w:t>
      </w:r>
      <w:r>
        <w:rPr>
          <w:color w:val="231F20"/>
          <w:spacing w:val="8"/>
        </w:rPr>
        <w:t xml:space="preserve"> </w:t>
      </w:r>
      <w:r>
        <w:rPr>
          <w:color w:val="231F20"/>
        </w:rPr>
        <w:t>numbers.</w:t>
      </w:r>
    </w:p>
    <w:p w14:paraId="37DBAC32" w14:textId="77777777" w:rsidR="002653E8" w:rsidRDefault="003115E3">
      <w:pPr>
        <w:pStyle w:val="a3"/>
        <w:spacing w:line="221" w:lineRule="exact"/>
        <w:ind w:left="1357"/>
      </w:pPr>
      <w:r>
        <w:rPr>
          <w:color w:val="231F20"/>
        </w:rPr>
        <w:t>At Merck, the employees were pressured by the chairman of the fac-</w:t>
      </w:r>
    </w:p>
    <w:p w14:paraId="0169D61B" w14:textId="77777777" w:rsidR="002653E8" w:rsidRDefault="003115E3">
      <w:pPr>
        <w:pStyle w:val="a3"/>
        <w:spacing w:before="21" w:line="264" w:lineRule="auto"/>
        <w:ind w:left="1147" w:right="1326"/>
        <w:jc w:val="both"/>
      </w:pPr>
      <w:r>
        <w:rPr>
          <w:color w:val="231F20"/>
        </w:rPr>
        <w:t xml:space="preserve">tory committee to back the union’s demands. The strike motion put forward by strike leaders at Bayer in Leverkusen </w:t>
      </w:r>
      <w:r>
        <w:rPr>
          <w:color w:val="231F20"/>
          <w:spacing w:val="-3"/>
        </w:rPr>
        <w:t xml:space="preserve">wasn’t  </w:t>
      </w:r>
      <w:r>
        <w:rPr>
          <w:color w:val="231F20"/>
        </w:rPr>
        <w:t xml:space="preserve">accepted by  the regional strike headquarters. Many didn’t want to strike, because they felt not enough was being demanded. Many didn’t want to strike, because they feared it would end in a rotten compromise. That activities were restricted to isolated actions at Farbwerken Hoechst and at Bayer in Leverkusen—the largest factories in Hessen and North </w:t>
      </w:r>
      <w:r>
        <w:rPr>
          <w:color w:val="231F20"/>
          <w:spacing w:val="1"/>
        </w:rPr>
        <w:t xml:space="preserve">Rhine— </w:t>
      </w:r>
      <w:r>
        <w:rPr>
          <w:color w:val="231F20"/>
        </w:rPr>
        <w:t>demoralized many people. The corporations’ system of pacification  paid</w:t>
      </w:r>
      <w:r>
        <w:rPr>
          <w:color w:val="231F20"/>
          <w:spacing w:val="10"/>
        </w:rPr>
        <w:t xml:space="preserve"> </w:t>
      </w:r>
      <w:r>
        <w:rPr>
          <w:color w:val="231F20"/>
        </w:rPr>
        <w:t>off.</w:t>
      </w:r>
    </w:p>
    <w:p w14:paraId="5447786A" w14:textId="77777777" w:rsidR="002653E8" w:rsidRDefault="003115E3">
      <w:pPr>
        <w:pStyle w:val="a3"/>
        <w:spacing w:line="264" w:lineRule="auto"/>
        <w:ind w:left="1147" w:right="1326" w:firstLine="210"/>
        <w:jc w:val="both"/>
      </w:pPr>
      <w:r>
        <w:rPr>
          <w:color w:val="231F20"/>
        </w:rPr>
        <w:t xml:space="preserve">During the strike, the  chemical  industry  took  every  possible  step to remain on the offensive—and to keep the unions on the defensive. Pressure was kept on the workers by claims that the strike was illegal because no strike vote had been held—at IG Chemie, a strike vote is not required, as is also the case at IG Metall. At Hoechst, the argument that there could be </w:t>
      </w:r>
      <w:r>
        <w:rPr>
          <w:color w:val="231F20"/>
          <w:spacing w:val="-3"/>
        </w:rPr>
        <w:t xml:space="preserve">“no </w:t>
      </w:r>
      <w:r>
        <w:rPr>
          <w:color w:val="231F20"/>
        </w:rPr>
        <w:t>strike without a strike vote” prevented the strike.  The strike leadership at Merck treated the issue of rights as an issue of power in the class struggle: “In the workers’ struggle, and everything    is in the wording, we are governed first and foremost by the opinion     of the majority, or more specifically the strikers.” IG Chemie can only conceive</w:t>
      </w:r>
      <w:r>
        <w:rPr>
          <w:color w:val="231F20"/>
          <w:spacing w:val="10"/>
        </w:rPr>
        <w:t xml:space="preserve"> </w:t>
      </w:r>
      <w:r>
        <w:rPr>
          <w:color w:val="231F20"/>
        </w:rPr>
        <w:t>of</w:t>
      </w:r>
      <w:r>
        <w:rPr>
          <w:color w:val="231F20"/>
          <w:spacing w:val="10"/>
        </w:rPr>
        <w:t xml:space="preserve"> </w:t>
      </w:r>
      <w:r>
        <w:rPr>
          <w:color w:val="231F20"/>
        </w:rPr>
        <w:t>things</w:t>
      </w:r>
      <w:r>
        <w:rPr>
          <w:color w:val="231F20"/>
          <w:spacing w:val="10"/>
        </w:rPr>
        <w:t xml:space="preserve"> </w:t>
      </w:r>
      <w:r>
        <w:rPr>
          <w:color w:val="231F20"/>
        </w:rPr>
        <w:t>in</w:t>
      </w:r>
      <w:r>
        <w:rPr>
          <w:color w:val="231F20"/>
          <w:spacing w:val="10"/>
        </w:rPr>
        <w:t xml:space="preserve"> </w:t>
      </w:r>
      <w:r>
        <w:rPr>
          <w:color w:val="231F20"/>
        </w:rPr>
        <w:t>terms</w:t>
      </w:r>
      <w:r>
        <w:rPr>
          <w:color w:val="231F20"/>
          <w:spacing w:val="10"/>
        </w:rPr>
        <w:t xml:space="preserve"> </w:t>
      </w:r>
      <w:r>
        <w:rPr>
          <w:color w:val="231F20"/>
        </w:rPr>
        <w:t>of</w:t>
      </w:r>
      <w:r>
        <w:rPr>
          <w:color w:val="231F20"/>
          <w:spacing w:val="10"/>
        </w:rPr>
        <w:t xml:space="preserve"> </w:t>
      </w:r>
      <w:r>
        <w:rPr>
          <w:color w:val="231F20"/>
        </w:rPr>
        <w:t>their</w:t>
      </w:r>
      <w:r>
        <w:rPr>
          <w:color w:val="231F20"/>
          <w:spacing w:val="10"/>
        </w:rPr>
        <w:t xml:space="preserve"> </w:t>
      </w:r>
      <w:r>
        <w:rPr>
          <w:color w:val="231F20"/>
        </w:rPr>
        <w:t>own</w:t>
      </w:r>
      <w:r>
        <w:rPr>
          <w:color w:val="231F20"/>
          <w:spacing w:val="10"/>
        </w:rPr>
        <w:t xml:space="preserve"> </w:t>
      </w:r>
      <w:r>
        <w:rPr>
          <w:color w:val="231F20"/>
        </w:rPr>
        <w:t>bylaws.</w:t>
      </w:r>
    </w:p>
    <w:p w14:paraId="54E35399" w14:textId="77777777" w:rsidR="002653E8" w:rsidRDefault="003115E3">
      <w:pPr>
        <w:pStyle w:val="a3"/>
        <w:spacing w:line="264" w:lineRule="auto"/>
        <w:ind w:left="1147" w:right="1326" w:firstLine="210"/>
        <w:jc w:val="both"/>
      </w:pPr>
      <w:r>
        <w:rPr>
          <w:color w:val="231F20"/>
        </w:rPr>
        <w:t>The chemical industry made equal use of legal and illegal methods; Merck spread rumors about injuries; they claimed that stones had been placed on the tracks of the factories’ rail system, that “anticorporate elements” had engaged in sabotage and that strike centres were defended with bicycle chains and brass knuckles. At Glanzstoff in Oberbruch,</w:t>
      </w:r>
    </w:p>
    <w:p w14:paraId="300AF8C3" w14:textId="77777777" w:rsidR="002653E8" w:rsidRDefault="002653E8">
      <w:pPr>
        <w:spacing w:line="264" w:lineRule="auto"/>
        <w:jc w:val="both"/>
        <w:sectPr w:rsidR="002653E8">
          <w:pgSz w:w="8640" w:h="12960"/>
          <w:pgMar w:top="1060" w:right="0" w:bottom="1040" w:left="0" w:header="0" w:footer="850" w:gutter="0"/>
          <w:cols w:space="720"/>
        </w:sectPr>
      </w:pPr>
    </w:p>
    <w:p w14:paraId="2FF62510" w14:textId="77777777" w:rsidR="002653E8" w:rsidRDefault="003115E3">
      <w:pPr>
        <w:pStyle w:val="a3"/>
        <w:spacing w:before="86" w:line="264" w:lineRule="auto"/>
        <w:ind w:left="1327" w:right="1146"/>
        <w:jc w:val="both"/>
      </w:pPr>
      <w:r>
        <w:rPr>
          <w:color w:val="231F20"/>
        </w:rPr>
        <w:lastRenderedPageBreak/>
        <w:t xml:space="preserve">rumors were spread about shootings. Police units ensured that strike breakers could gain access to the factories at  Merck  and  Glanzstoff. The </w:t>
      </w:r>
      <w:r>
        <w:rPr>
          <w:i/>
          <w:color w:val="231F20"/>
        </w:rPr>
        <w:t xml:space="preserve">Kripo </w:t>
      </w:r>
      <w:r>
        <w:rPr>
          <w:color w:val="231F20"/>
        </w:rPr>
        <w:t xml:space="preserve">photographed and attacked strike centres. Buses carrying strike breakers drove into strike centres (Glanzstoff). Company management at Merck disrupted radio communication between strike centres and increased plant security. Riot police stood at the </w:t>
      </w:r>
      <w:r>
        <w:rPr>
          <w:color w:val="231F20"/>
          <w:spacing w:val="-3"/>
        </w:rPr>
        <w:t xml:space="preserve">ready. </w:t>
      </w:r>
      <w:r>
        <w:rPr>
          <w:color w:val="231F20"/>
        </w:rPr>
        <w:t xml:space="preserve">Outside workers were brought in as strike breakers. </w:t>
      </w:r>
      <w:r>
        <w:rPr>
          <w:color w:val="231F20"/>
          <w:spacing w:val="2"/>
        </w:rPr>
        <w:t xml:space="preserve">An </w:t>
      </w:r>
      <w:r>
        <w:rPr>
          <w:color w:val="231F20"/>
        </w:rPr>
        <w:t>encampment was forced off the factory premises. At Glanzstoff, the police units were so vicious that young police officers were crying and older ones had to be replaced before</w:t>
      </w:r>
      <w:r>
        <w:rPr>
          <w:color w:val="231F20"/>
          <w:spacing w:val="10"/>
        </w:rPr>
        <w:t xml:space="preserve"> </w:t>
      </w:r>
      <w:r>
        <w:rPr>
          <w:color w:val="231F20"/>
        </w:rPr>
        <w:t>the</w:t>
      </w:r>
      <w:r>
        <w:rPr>
          <w:color w:val="231F20"/>
          <w:spacing w:val="10"/>
        </w:rPr>
        <w:t xml:space="preserve"> </w:t>
      </w:r>
      <w:r>
        <w:rPr>
          <w:color w:val="231F20"/>
        </w:rPr>
        <w:t>police</w:t>
      </w:r>
      <w:r>
        <w:rPr>
          <w:color w:val="231F20"/>
          <w:spacing w:val="10"/>
        </w:rPr>
        <w:t xml:space="preserve"> </w:t>
      </w:r>
      <w:r>
        <w:rPr>
          <w:color w:val="231F20"/>
        </w:rPr>
        <w:t>could</w:t>
      </w:r>
      <w:r>
        <w:rPr>
          <w:color w:val="231F20"/>
          <w:spacing w:val="10"/>
        </w:rPr>
        <w:t xml:space="preserve"> </w:t>
      </w:r>
      <w:r>
        <w:rPr>
          <w:color w:val="231F20"/>
        </w:rPr>
        <w:t>clear</w:t>
      </w:r>
      <w:r>
        <w:rPr>
          <w:color w:val="231F20"/>
          <w:spacing w:val="10"/>
        </w:rPr>
        <w:t xml:space="preserve"> </w:t>
      </w:r>
      <w:r>
        <w:rPr>
          <w:color w:val="231F20"/>
        </w:rPr>
        <w:t>a</w:t>
      </w:r>
      <w:r>
        <w:rPr>
          <w:color w:val="231F20"/>
          <w:spacing w:val="10"/>
        </w:rPr>
        <w:t xml:space="preserve"> </w:t>
      </w:r>
      <w:r>
        <w:rPr>
          <w:color w:val="231F20"/>
        </w:rPr>
        <w:t>path</w:t>
      </w:r>
      <w:r>
        <w:rPr>
          <w:color w:val="231F20"/>
          <w:spacing w:val="10"/>
        </w:rPr>
        <w:t xml:space="preserve"> </w:t>
      </w:r>
      <w:r>
        <w:rPr>
          <w:color w:val="231F20"/>
        </w:rPr>
        <w:t>for</w:t>
      </w:r>
      <w:r>
        <w:rPr>
          <w:color w:val="231F20"/>
          <w:spacing w:val="10"/>
        </w:rPr>
        <w:t xml:space="preserve"> </w:t>
      </w:r>
      <w:r>
        <w:rPr>
          <w:color w:val="231F20"/>
        </w:rPr>
        <w:t>the</w:t>
      </w:r>
      <w:r>
        <w:rPr>
          <w:color w:val="231F20"/>
          <w:spacing w:val="10"/>
        </w:rPr>
        <w:t xml:space="preserve"> </w:t>
      </w:r>
      <w:r>
        <w:rPr>
          <w:color w:val="231F20"/>
        </w:rPr>
        <w:t>strike</w:t>
      </w:r>
      <w:r>
        <w:rPr>
          <w:color w:val="231F20"/>
          <w:spacing w:val="10"/>
        </w:rPr>
        <w:t xml:space="preserve"> </w:t>
      </w:r>
      <w:r>
        <w:rPr>
          <w:color w:val="231F20"/>
        </w:rPr>
        <w:t>breakers.</w:t>
      </w:r>
    </w:p>
    <w:p w14:paraId="10F89096" w14:textId="77777777" w:rsidR="002653E8" w:rsidRDefault="002653E8">
      <w:pPr>
        <w:pStyle w:val="a3"/>
        <w:rPr>
          <w:sz w:val="21"/>
        </w:rPr>
      </w:pPr>
    </w:p>
    <w:p w14:paraId="2ACF7FB1" w14:textId="77777777" w:rsidR="002653E8" w:rsidRDefault="003115E3">
      <w:pPr>
        <w:ind w:left="1327"/>
        <w:rPr>
          <w:i/>
          <w:sz w:val="20"/>
        </w:rPr>
      </w:pPr>
      <w:r>
        <w:rPr>
          <w:i/>
          <w:color w:val="231F20"/>
          <w:w w:val="105"/>
          <w:sz w:val="20"/>
        </w:rPr>
        <w:t>Class Justice</w:t>
      </w:r>
    </w:p>
    <w:p w14:paraId="756281CA" w14:textId="77777777" w:rsidR="002653E8" w:rsidRDefault="003115E3">
      <w:pPr>
        <w:pStyle w:val="a3"/>
        <w:spacing w:before="22" w:line="264" w:lineRule="auto"/>
        <w:ind w:left="1327" w:right="1144"/>
        <w:jc w:val="both"/>
      </w:pPr>
      <w:r>
        <w:rPr>
          <w:color w:val="231F20"/>
          <w:spacing w:val="2"/>
        </w:rPr>
        <w:t xml:space="preserve">An </w:t>
      </w:r>
      <w:r>
        <w:rPr>
          <w:color w:val="231F20"/>
        </w:rPr>
        <w:t xml:space="preserve">injunction issued by the Labor Court ensured strike breakers access to the factories, sanctioned the use of police units, and criminalized strike actions. </w:t>
      </w:r>
      <w:r>
        <w:rPr>
          <w:color w:val="231F20"/>
          <w:spacing w:val="1"/>
        </w:rPr>
        <w:t xml:space="preserve">In </w:t>
      </w:r>
      <w:r>
        <w:rPr>
          <w:color w:val="231F20"/>
        </w:rPr>
        <w:t xml:space="preserve">Merck, following this injunction,  IG Chemie accepted   a settlement, the contents of which did not respect the work stoppage— the entry for strike breakers—and held that if anything the injunction sanctioned the unions. As a result, union strike leaders of Merck in Rükken said regarding the injunction, “The eyes of the law look out  from the face of the ruling class.” (Ernst </w:t>
      </w:r>
      <w:r>
        <w:rPr>
          <w:color w:val="231F20"/>
          <w:spacing w:val="-3"/>
        </w:rPr>
        <w:t>Bloch)</w:t>
      </w:r>
      <w:r>
        <w:rPr>
          <w:color w:val="231F20"/>
          <w:spacing w:val="-3"/>
          <w:position w:val="7"/>
          <w:sz w:val="11"/>
        </w:rPr>
        <w:t xml:space="preserve">1 </w:t>
      </w:r>
      <w:r>
        <w:rPr>
          <w:color w:val="231F20"/>
          <w:spacing w:val="-3"/>
        </w:rPr>
        <w:t xml:space="preserve">“We </w:t>
      </w:r>
      <w:r>
        <w:rPr>
          <w:color w:val="231F20"/>
        </w:rPr>
        <w:t>accuse society’s leaders of violence; the violence begins and ends with society’s leaders.” Regarding the injunction, they said, “The injunction makes a mockery   of the right to work, using it to permit strike breakers. But the employers refuse to protect the real right to work. Where was the right to work during the crisis of</w:t>
      </w:r>
      <w:r>
        <w:rPr>
          <w:color w:val="231F20"/>
          <w:spacing w:val="2"/>
        </w:rPr>
        <w:t xml:space="preserve"> </w:t>
      </w:r>
      <w:r>
        <w:rPr>
          <w:color w:val="231F20"/>
          <w:spacing w:val="-4"/>
        </w:rPr>
        <w:t>1966-67?”</w:t>
      </w:r>
    </w:p>
    <w:p w14:paraId="5F1A1014" w14:textId="77777777" w:rsidR="002653E8" w:rsidRDefault="003115E3">
      <w:pPr>
        <w:pStyle w:val="a3"/>
        <w:spacing w:line="221" w:lineRule="exact"/>
        <w:ind w:left="1538"/>
      </w:pPr>
      <w:r>
        <w:rPr>
          <w:color w:val="231F20"/>
        </w:rPr>
        <w:t>The mayor of Darmstadt followed a declaration of state and police</w:t>
      </w:r>
    </w:p>
    <w:p w14:paraId="05E7A61D" w14:textId="77777777" w:rsidR="002653E8" w:rsidRDefault="003115E3">
      <w:pPr>
        <w:pStyle w:val="a3"/>
        <w:spacing w:before="23" w:line="264" w:lineRule="auto"/>
        <w:ind w:left="1328" w:right="1146"/>
        <w:jc w:val="both"/>
      </w:pPr>
      <w:r>
        <w:rPr>
          <w:color w:val="231F20"/>
        </w:rPr>
        <w:t>neutrality with the threat that surely no one wanted a vacation in the hospital.</w:t>
      </w:r>
    </w:p>
    <w:p w14:paraId="22DC47A8" w14:textId="77777777" w:rsidR="002653E8" w:rsidRDefault="003115E3">
      <w:pPr>
        <w:pStyle w:val="a3"/>
        <w:spacing w:line="264" w:lineRule="auto"/>
        <w:ind w:left="1328" w:right="1145" w:firstLine="210"/>
        <w:jc w:val="both"/>
      </w:pPr>
      <w:r>
        <w:rPr>
          <w:color w:val="231F20"/>
        </w:rPr>
        <w:t>The workers at Merck, resisting the police, sometimes with the support</w:t>
      </w:r>
      <w:r>
        <w:rPr>
          <w:color w:val="231F20"/>
          <w:spacing w:val="-4"/>
        </w:rPr>
        <w:t xml:space="preserve"> </w:t>
      </w:r>
      <w:r>
        <w:rPr>
          <w:color w:val="231F20"/>
        </w:rPr>
        <w:t>of</w:t>
      </w:r>
      <w:r>
        <w:rPr>
          <w:color w:val="231F20"/>
          <w:spacing w:val="-4"/>
        </w:rPr>
        <w:t xml:space="preserve"> </w:t>
      </w:r>
      <w:r>
        <w:rPr>
          <w:color w:val="231F20"/>
        </w:rPr>
        <w:t>students,</w:t>
      </w:r>
      <w:r>
        <w:rPr>
          <w:color w:val="231F20"/>
          <w:spacing w:val="-4"/>
        </w:rPr>
        <w:t xml:space="preserve"> </w:t>
      </w:r>
      <w:r>
        <w:rPr>
          <w:color w:val="231F20"/>
        </w:rPr>
        <w:t>continued</w:t>
      </w:r>
      <w:r>
        <w:rPr>
          <w:color w:val="231F20"/>
          <w:spacing w:val="-4"/>
        </w:rPr>
        <w:t xml:space="preserve"> </w:t>
      </w:r>
      <w:r>
        <w:rPr>
          <w:color w:val="231F20"/>
        </w:rPr>
        <w:t>to</w:t>
      </w:r>
      <w:r>
        <w:rPr>
          <w:color w:val="231F20"/>
          <w:spacing w:val="-4"/>
        </w:rPr>
        <w:t xml:space="preserve"> </w:t>
      </w:r>
      <w:r>
        <w:rPr>
          <w:color w:val="231F20"/>
        </w:rPr>
        <w:t>block</w:t>
      </w:r>
      <w:r>
        <w:rPr>
          <w:color w:val="231F20"/>
          <w:spacing w:val="-4"/>
        </w:rPr>
        <w:t xml:space="preserve"> </w:t>
      </w:r>
      <w:r>
        <w:rPr>
          <w:color w:val="231F20"/>
        </w:rPr>
        <w:t>the</w:t>
      </w:r>
      <w:r>
        <w:rPr>
          <w:color w:val="231F20"/>
          <w:spacing w:val="-4"/>
        </w:rPr>
        <w:t xml:space="preserve"> </w:t>
      </w:r>
      <w:r>
        <w:rPr>
          <w:color w:val="231F20"/>
        </w:rPr>
        <w:t>entry</w:t>
      </w:r>
      <w:r>
        <w:rPr>
          <w:color w:val="231F20"/>
          <w:spacing w:val="-4"/>
        </w:rPr>
        <w:t xml:space="preserve"> </w:t>
      </w:r>
      <w:r>
        <w:rPr>
          <w:color w:val="231F20"/>
        </w:rPr>
        <w:t>of</w:t>
      </w:r>
      <w:r>
        <w:rPr>
          <w:color w:val="231F20"/>
          <w:spacing w:val="-4"/>
        </w:rPr>
        <w:t xml:space="preserve"> </w:t>
      </w:r>
      <w:r>
        <w:rPr>
          <w:color w:val="231F20"/>
        </w:rPr>
        <w:t>strike</w:t>
      </w:r>
      <w:r>
        <w:rPr>
          <w:color w:val="231F20"/>
          <w:spacing w:val="-4"/>
        </w:rPr>
        <w:t xml:space="preserve"> </w:t>
      </w:r>
      <w:r>
        <w:rPr>
          <w:color w:val="231F20"/>
        </w:rPr>
        <w:t>breakers.</w:t>
      </w:r>
      <w:r>
        <w:rPr>
          <w:color w:val="231F20"/>
          <w:spacing w:val="-4"/>
        </w:rPr>
        <w:t xml:space="preserve"> </w:t>
      </w:r>
      <w:r>
        <w:rPr>
          <w:color w:val="231F20"/>
        </w:rPr>
        <w:t>The</w:t>
      </w:r>
      <w:r>
        <w:rPr>
          <w:color w:val="231F20"/>
          <w:spacing w:val="-4"/>
        </w:rPr>
        <w:t xml:space="preserve"> </w:t>
      </w:r>
      <w:r>
        <w:rPr>
          <w:color w:val="231F20"/>
        </w:rPr>
        <w:t xml:space="preserve">fact that they conducted their strike aggressively indicates that the workers had no doubts about the legitimacy of their actions. </w:t>
      </w:r>
      <w:r>
        <w:rPr>
          <w:color w:val="231F20"/>
          <w:spacing w:val="1"/>
        </w:rPr>
        <w:t xml:space="preserve">In </w:t>
      </w:r>
      <w:r>
        <w:rPr>
          <w:color w:val="231F20"/>
        </w:rPr>
        <w:t xml:space="preserve">response to this, </w:t>
      </w:r>
      <w:r>
        <w:rPr>
          <w:color w:val="231F20"/>
          <w:spacing w:val="-3"/>
        </w:rPr>
        <w:t xml:space="preserve">17 </w:t>
      </w:r>
      <w:r>
        <w:rPr>
          <w:color w:val="231F20"/>
        </w:rPr>
        <w:t>apprentices and young workers from Merck were illegally terminated after the strike</w:t>
      </w:r>
      <w:r>
        <w:rPr>
          <w:color w:val="231F20"/>
          <w:spacing w:val="41"/>
        </w:rPr>
        <w:t xml:space="preserve"> </w:t>
      </w:r>
      <w:r>
        <w:rPr>
          <w:color w:val="231F20"/>
        </w:rPr>
        <w:t>ended.</w:t>
      </w:r>
    </w:p>
    <w:p w14:paraId="77B5B672" w14:textId="77777777" w:rsidR="002653E8" w:rsidRDefault="003115E3">
      <w:pPr>
        <w:pStyle w:val="a3"/>
        <w:spacing w:line="264" w:lineRule="auto"/>
        <w:ind w:left="1328" w:right="1146" w:firstLine="210"/>
        <w:jc w:val="both"/>
      </w:pPr>
      <w:r>
        <w:rPr>
          <w:color w:val="231F20"/>
        </w:rPr>
        <w:t>As the unions gradually scaled back their demands, and while the workers were still striking, the chemical industry announced without</w:t>
      </w:r>
    </w:p>
    <w:p w14:paraId="11251905" w14:textId="77777777" w:rsidR="002653E8" w:rsidRDefault="00000000">
      <w:pPr>
        <w:pStyle w:val="a3"/>
        <w:spacing w:before="5"/>
        <w:rPr>
          <w:sz w:val="24"/>
        </w:rPr>
      </w:pPr>
      <w:r>
        <w:rPr>
          <w:noProof w:val="0"/>
        </w:rPr>
        <w:pict w14:anchorId="5E19E30D">
          <v:line id="_x0000_s2566" style="position:absolute;z-index:4288;mso-wrap-distance-left:0;mso-wrap-distance-right:0;mso-position-horizontal-relative:page" from="66.4pt,16.55pt" to="138.4pt,16.55pt" strokecolor="#231f20" strokeweight=".5pt">
            <w10:wrap type="topAndBottom" anchorx="page"/>
          </v:line>
        </w:pict>
      </w:r>
    </w:p>
    <w:p w14:paraId="573D93FB" w14:textId="77777777" w:rsidR="002653E8" w:rsidRDefault="003115E3">
      <w:pPr>
        <w:spacing w:before="53" w:line="254" w:lineRule="auto"/>
        <w:ind w:left="1327" w:right="1145" w:hanging="1"/>
        <w:rPr>
          <w:sz w:val="16"/>
        </w:rPr>
      </w:pPr>
      <w:r>
        <w:rPr>
          <w:color w:val="231F20"/>
          <w:w w:val="105"/>
          <w:sz w:val="16"/>
        </w:rPr>
        <w:t>1 Ernst Bloch was an important 20</w:t>
      </w:r>
      <w:r>
        <w:rPr>
          <w:color w:val="231F20"/>
          <w:w w:val="105"/>
          <w:position w:val="6"/>
          <w:sz w:val="9"/>
        </w:rPr>
        <w:t xml:space="preserve">th </w:t>
      </w:r>
      <w:r>
        <w:rPr>
          <w:color w:val="231F20"/>
          <w:w w:val="105"/>
          <w:sz w:val="16"/>
        </w:rPr>
        <w:t>century German Marxist theorist and art critic who counted the much younger Rudi Dutschke among his friends and intellectual peers.</w:t>
      </w:r>
    </w:p>
    <w:p w14:paraId="7062E2BE" w14:textId="77777777" w:rsidR="002653E8" w:rsidRDefault="002653E8">
      <w:pPr>
        <w:spacing w:line="254" w:lineRule="auto"/>
        <w:rPr>
          <w:sz w:val="16"/>
        </w:rPr>
        <w:sectPr w:rsidR="002653E8">
          <w:pgSz w:w="8640" w:h="12960"/>
          <w:pgMar w:top="1060" w:right="0" w:bottom="1040" w:left="0" w:header="0" w:footer="850" w:gutter="0"/>
          <w:cols w:space="720"/>
        </w:sectPr>
      </w:pPr>
    </w:p>
    <w:p w14:paraId="1CA175B5" w14:textId="77777777" w:rsidR="002653E8" w:rsidRDefault="003115E3">
      <w:pPr>
        <w:pStyle w:val="a3"/>
        <w:spacing w:before="86" w:line="264" w:lineRule="auto"/>
        <w:ind w:left="1147" w:right="1326"/>
        <w:jc w:val="both"/>
      </w:pPr>
      <w:r>
        <w:rPr>
          <w:color w:val="231F20"/>
        </w:rPr>
        <w:lastRenderedPageBreak/>
        <w:t>further ado that, as of June 1, wages would be increased by 6.5 percent. Corruption proceedings launched by the workers were an overall failure. The workers were no match for the machinations of the union leadership. The latter released a Communiqué on Concerted Action in what amounted to a call for the workers to accept defeat and end the strike: “The language of the Common Concerted Action was completely the work of the employers and the unions, to make sure that not everyone will benefit from the anticipated rise in prices and incomes being created by the boom, but rather that everyone will be subjected to the dictates of a phase of macroeconomic consolidation.”</w:t>
      </w:r>
    </w:p>
    <w:p w14:paraId="792D5CC5" w14:textId="77777777" w:rsidR="002653E8" w:rsidRDefault="003115E3">
      <w:pPr>
        <w:pStyle w:val="a3"/>
        <w:spacing w:line="264" w:lineRule="auto"/>
        <w:ind w:left="1148" w:right="1325" w:firstLine="209"/>
        <w:jc w:val="both"/>
      </w:pPr>
      <w:r>
        <w:rPr>
          <w:color w:val="231F20"/>
          <w:w w:val="105"/>
        </w:rPr>
        <w:t>At</w:t>
      </w:r>
      <w:r>
        <w:rPr>
          <w:color w:val="231F20"/>
          <w:spacing w:val="-14"/>
          <w:w w:val="105"/>
        </w:rPr>
        <w:t xml:space="preserve"> </w:t>
      </w:r>
      <w:r>
        <w:rPr>
          <w:color w:val="231F20"/>
          <w:w w:val="105"/>
        </w:rPr>
        <w:t>the</w:t>
      </w:r>
      <w:r>
        <w:rPr>
          <w:color w:val="231F20"/>
          <w:spacing w:val="-14"/>
          <w:w w:val="105"/>
        </w:rPr>
        <w:t xml:space="preserve"> </w:t>
      </w:r>
      <w:r>
        <w:rPr>
          <w:color w:val="231F20"/>
          <w:w w:val="105"/>
        </w:rPr>
        <w:t>beginning</w:t>
      </w:r>
      <w:r>
        <w:rPr>
          <w:color w:val="231F20"/>
          <w:spacing w:val="-14"/>
          <w:w w:val="105"/>
        </w:rPr>
        <w:t xml:space="preserve"> </w:t>
      </w:r>
      <w:r>
        <w:rPr>
          <w:color w:val="231F20"/>
          <w:w w:val="105"/>
        </w:rPr>
        <w:t>of</w:t>
      </w:r>
      <w:r>
        <w:rPr>
          <w:color w:val="231F20"/>
          <w:spacing w:val="-14"/>
          <w:w w:val="105"/>
        </w:rPr>
        <w:t xml:space="preserve"> </w:t>
      </w:r>
      <w:r>
        <w:rPr>
          <w:color w:val="231F20"/>
          <w:spacing w:val="-3"/>
          <w:w w:val="105"/>
        </w:rPr>
        <w:t>July,</w:t>
      </w:r>
      <w:r>
        <w:rPr>
          <w:color w:val="231F20"/>
          <w:spacing w:val="-14"/>
          <w:w w:val="105"/>
        </w:rPr>
        <w:t xml:space="preserve"> </w:t>
      </w:r>
      <w:r>
        <w:rPr>
          <w:color w:val="231F20"/>
          <w:w w:val="105"/>
        </w:rPr>
        <w:t>the</w:t>
      </w:r>
      <w:r>
        <w:rPr>
          <w:color w:val="231F20"/>
          <w:spacing w:val="-14"/>
          <w:w w:val="105"/>
        </w:rPr>
        <w:t xml:space="preserve"> </w:t>
      </w:r>
      <w:r>
        <w:rPr>
          <w:color w:val="231F20"/>
          <w:w w:val="105"/>
        </w:rPr>
        <w:t>Board</w:t>
      </w:r>
      <w:r>
        <w:rPr>
          <w:color w:val="231F20"/>
          <w:spacing w:val="-14"/>
          <w:w w:val="105"/>
        </w:rPr>
        <w:t xml:space="preserve"> </w:t>
      </w:r>
      <w:r>
        <w:rPr>
          <w:color w:val="231F20"/>
          <w:w w:val="105"/>
        </w:rPr>
        <w:t>of</w:t>
      </w:r>
      <w:r>
        <w:rPr>
          <w:color w:val="231F20"/>
          <w:spacing w:val="-14"/>
          <w:w w:val="105"/>
        </w:rPr>
        <w:t xml:space="preserve"> </w:t>
      </w:r>
      <w:r>
        <w:rPr>
          <w:color w:val="231F20"/>
          <w:w w:val="105"/>
        </w:rPr>
        <w:t>Directors</w:t>
      </w:r>
      <w:r>
        <w:rPr>
          <w:color w:val="231F20"/>
          <w:spacing w:val="-14"/>
          <w:w w:val="105"/>
        </w:rPr>
        <w:t xml:space="preserve"> </w:t>
      </w:r>
      <w:r>
        <w:rPr>
          <w:color w:val="231F20"/>
          <w:w w:val="105"/>
        </w:rPr>
        <w:t>of</w:t>
      </w:r>
      <w:r>
        <w:rPr>
          <w:color w:val="231F20"/>
          <w:spacing w:val="-13"/>
          <w:w w:val="105"/>
        </w:rPr>
        <w:t xml:space="preserve"> </w:t>
      </w:r>
      <w:r>
        <w:rPr>
          <w:color w:val="231F20"/>
          <w:w w:val="105"/>
        </w:rPr>
        <w:t>IG</w:t>
      </w:r>
      <w:r>
        <w:rPr>
          <w:color w:val="231F20"/>
          <w:spacing w:val="-14"/>
          <w:w w:val="105"/>
        </w:rPr>
        <w:t xml:space="preserve"> </w:t>
      </w:r>
      <w:r>
        <w:rPr>
          <w:color w:val="231F20"/>
          <w:w w:val="105"/>
        </w:rPr>
        <w:t>Chemie</w:t>
      </w:r>
      <w:r>
        <w:rPr>
          <w:color w:val="231F20"/>
          <w:spacing w:val="-14"/>
          <w:w w:val="105"/>
        </w:rPr>
        <w:t xml:space="preserve"> </w:t>
      </w:r>
      <w:r>
        <w:rPr>
          <w:color w:val="231F20"/>
          <w:w w:val="105"/>
        </w:rPr>
        <w:t xml:space="preserve">reached </w:t>
      </w:r>
      <w:r>
        <w:rPr>
          <w:color w:val="231F20"/>
        </w:rPr>
        <w:t>an</w:t>
      </w:r>
      <w:r>
        <w:rPr>
          <w:color w:val="231F20"/>
          <w:spacing w:val="-12"/>
        </w:rPr>
        <w:t xml:space="preserve"> </w:t>
      </w:r>
      <w:r>
        <w:rPr>
          <w:color w:val="231F20"/>
        </w:rPr>
        <w:t>agreement</w:t>
      </w:r>
      <w:r>
        <w:rPr>
          <w:color w:val="231F20"/>
          <w:spacing w:val="-12"/>
        </w:rPr>
        <w:t xml:space="preserve"> </w:t>
      </w:r>
      <w:r>
        <w:rPr>
          <w:color w:val="231F20"/>
        </w:rPr>
        <w:t>with</w:t>
      </w:r>
      <w:r>
        <w:rPr>
          <w:color w:val="231F20"/>
          <w:spacing w:val="-12"/>
        </w:rPr>
        <w:t xml:space="preserve"> </w:t>
      </w:r>
      <w:r>
        <w:rPr>
          <w:color w:val="231F20"/>
        </w:rPr>
        <w:t>the</w:t>
      </w:r>
      <w:r>
        <w:rPr>
          <w:color w:val="231F20"/>
          <w:spacing w:val="-12"/>
        </w:rPr>
        <w:t xml:space="preserve"> </w:t>
      </w:r>
      <w:r>
        <w:rPr>
          <w:color w:val="231F20"/>
        </w:rPr>
        <w:t>chemical</w:t>
      </w:r>
      <w:r>
        <w:rPr>
          <w:color w:val="231F20"/>
          <w:spacing w:val="-12"/>
        </w:rPr>
        <w:t xml:space="preserve"> </w:t>
      </w:r>
      <w:r>
        <w:rPr>
          <w:color w:val="231F20"/>
        </w:rPr>
        <w:t>industry:</w:t>
      </w:r>
      <w:r>
        <w:rPr>
          <w:color w:val="231F20"/>
          <w:spacing w:val="-11"/>
        </w:rPr>
        <w:t xml:space="preserve"> </w:t>
      </w:r>
      <w:r>
        <w:rPr>
          <w:color w:val="231F20"/>
          <w:spacing w:val="-8"/>
        </w:rPr>
        <w:t>7.8</w:t>
      </w:r>
      <w:r>
        <w:rPr>
          <w:color w:val="231F20"/>
          <w:spacing w:val="-12"/>
        </w:rPr>
        <w:t xml:space="preserve"> </w:t>
      </w:r>
      <w:r>
        <w:rPr>
          <w:color w:val="231F20"/>
        </w:rPr>
        <w:t>percent</w:t>
      </w:r>
      <w:r>
        <w:rPr>
          <w:color w:val="231F20"/>
          <w:spacing w:val="-12"/>
        </w:rPr>
        <w:t xml:space="preserve"> </w:t>
      </w:r>
      <w:r>
        <w:rPr>
          <w:color w:val="231F20"/>
        </w:rPr>
        <w:t>=</w:t>
      </w:r>
      <w:r>
        <w:rPr>
          <w:color w:val="231F20"/>
          <w:spacing w:val="-12"/>
        </w:rPr>
        <w:t xml:space="preserve"> </w:t>
      </w:r>
      <w:r>
        <w:rPr>
          <w:color w:val="231F20"/>
        </w:rPr>
        <w:t>wage</w:t>
      </w:r>
      <w:r>
        <w:rPr>
          <w:color w:val="231F20"/>
          <w:spacing w:val="-12"/>
        </w:rPr>
        <w:t xml:space="preserve"> </w:t>
      </w:r>
      <w:r>
        <w:rPr>
          <w:color w:val="231F20"/>
        </w:rPr>
        <w:t>guidelines</w:t>
      </w:r>
      <w:r>
        <w:rPr>
          <w:color w:val="231F20"/>
          <w:spacing w:val="-12"/>
        </w:rPr>
        <w:t xml:space="preserve"> </w:t>
      </w:r>
      <w:r>
        <w:rPr>
          <w:color w:val="231F20"/>
        </w:rPr>
        <w:t xml:space="preserve">= </w:t>
      </w:r>
      <w:r>
        <w:rPr>
          <w:color w:val="231F20"/>
          <w:w w:val="105"/>
        </w:rPr>
        <w:t>the</w:t>
      </w:r>
      <w:r>
        <w:rPr>
          <w:color w:val="231F20"/>
          <w:spacing w:val="-24"/>
          <w:w w:val="105"/>
        </w:rPr>
        <w:t xml:space="preserve"> </w:t>
      </w:r>
      <w:r>
        <w:rPr>
          <w:color w:val="231F20"/>
          <w:w w:val="105"/>
        </w:rPr>
        <w:t>outcome</w:t>
      </w:r>
      <w:r>
        <w:rPr>
          <w:color w:val="231F20"/>
          <w:spacing w:val="-24"/>
          <w:w w:val="105"/>
        </w:rPr>
        <w:t xml:space="preserve"> </w:t>
      </w:r>
      <w:r>
        <w:rPr>
          <w:color w:val="231F20"/>
          <w:w w:val="105"/>
        </w:rPr>
        <w:t>at</w:t>
      </w:r>
      <w:r>
        <w:rPr>
          <w:color w:val="231F20"/>
          <w:spacing w:val="-24"/>
          <w:w w:val="105"/>
        </w:rPr>
        <w:t xml:space="preserve"> </w:t>
      </w:r>
      <w:r>
        <w:rPr>
          <w:color w:val="231F20"/>
          <w:w w:val="105"/>
        </w:rPr>
        <w:t>Rhineland</w:t>
      </w:r>
      <w:r>
        <w:rPr>
          <w:color w:val="231F20"/>
          <w:spacing w:val="-24"/>
          <w:w w:val="105"/>
        </w:rPr>
        <w:t xml:space="preserve"> </w:t>
      </w:r>
      <w:r>
        <w:rPr>
          <w:color w:val="231F20"/>
          <w:w w:val="105"/>
        </w:rPr>
        <w:t>Palitinate.</w:t>
      </w:r>
      <w:r>
        <w:rPr>
          <w:color w:val="231F20"/>
          <w:spacing w:val="-24"/>
          <w:w w:val="105"/>
        </w:rPr>
        <w:t xml:space="preserve"> </w:t>
      </w:r>
      <w:r>
        <w:rPr>
          <w:color w:val="231F20"/>
          <w:w w:val="105"/>
        </w:rPr>
        <w:t>The</w:t>
      </w:r>
      <w:r>
        <w:rPr>
          <w:color w:val="231F20"/>
          <w:spacing w:val="-24"/>
          <w:w w:val="105"/>
        </w:rPr>
        <w:t xml:space="preserve"> </w:t>
      </w:r>
      <w:r>
        <w:rPr>
          <w:color w:val="231F20"/>
          <w:w w:val="105"/>
        </w:rPr>
        <w:t>Merck</w:t>
      </w:r>
      <w:r>
        <w:rPr>
          <w:color w:val="231F20"/>
          <w:spacing w:val="-24"/>
          <w:w w:val="105"/>
        </w:rPr>
        <w:t xml:space="preserve"> </w:t>
      </w:r>
      <w:r>
        <w:rPr>
          <w:color w:val="231F20"/>
          <w:w w:val="105"/>
        </w:rPr>
        <w:t>strike</w:t>
      </w:r>
      <w:r>
        <w:rPr>
          <w:color w:val="231F20"/>
          <w:spacing w:val="-24"/>
          <w:w w:val="105"/>
        </w:rPr>
        <w:t xml:space="preserve"> </w:t>
      </w:r>
      <w:r>
        <w:rPr>
          <w:color w:val="231F20"/>
          <w:w w:val="105"/>
        </w:rPr>
        <w:t>leadership</w:t>
      </w:r>
      <w:r>
        <w:rPr>
          <w:color w:val="231F20"/>
          <w:spacing w:val="-24"/>
          <w:w w:val="105"/>
        </w:rPr>
        <w:t xml:space="preserve"> </w:t>
      </w:r>
      <w:r>
        <w:rPr>
          <w:color w:val="231F20"/>
          <w:w w:val="105"/>
        </w:rPr>
        <w:t>sent</w:t>
      </w:r>
      <w:r>
        <w:rPr>
          <w:color w:val="231F20"/>
          <w:spacing w:val="-24"/>
          <w:w w:val="105"/>
        </w:rPr>
        <w:t xml:space="preserve"> </w:t>
      </w:r>
      <w:r>
        <w:rPr>
          <w:color w:val="231F20"/>
          <w:w w:val="105"/>
        </w:rPr>
        <w:t>a protest</w:t>
      </w:r>
      <w:r>
        <w:rPr>
          <w:color w:val="231F20"/>
          <w:spacing w:val="-27"/>
          <w:w w:val="105"/>
        </w:rPr>
        <w:t xml:space="preserve"> </w:t>
      </w:r>
      <w:r>
        <w:rPr>
          <w:color w:val="231F20"/>
          <w:w w:val="105"/>
        </w:rPr>
        <w:t>telegram</w:t>
      </w:r>
      <w:r>
        <w:rPr>
          <w:color w:val="231F20"/>
          <w:spacing w:val="-27"/>
          <w:w w:val="105"/>
        </w:rPr>
        <w:t xml:space="preserve"> </w:t>
      </w:r>
      <w:r>
        <w:rPr>
          <w:color w:val="231F20"/>
          <w:w w:val="105"/>
        </w:rPr>
        <w:t>to</w:t>
      </w:r>
      <w:r>
        <w:rPr>
          <w:color w:val="231F20"/>
          <w:spacing w:val="-27"/>
          <w:w w:val="105"/>
        </w:rPr>
        <w:t xml:space="preserve"> </w:t>
      </w:r>
      <w:r>
        <w:rPr>
          <w:color w:val="231F20"/>
          <w:w w:val="105"/>
        </w:rPr>
        <w:t>the</w:t>
      </w:r>
      <w:r>
        <w:rPr>
          <w:color w:val="231F20"/>
          <w:spacing w:val="-27"/>
          <w:w w:val="105"/>
        </w:rPr>
        <w:t xml:space="preserve"> </w:t>
      </w:r>
      <w:r>
        <w:rPr>
          <w:color w:val="231F20"/>
          <w:w w:val="105"/>
        </w:rPr>
        <w:t>board</w:t>
      </w:r>
      <w:r>
        <w:rPr>
          <w:color w:val="231F20"/>
          <w:spacing w:val="-27"/>
          <w:w w:val="105"/>
        </w:rPr>
        <w:t xml:space="preserve"> </w:t>
      </w:r>
      <w:r>
        <w:rPr>
          <w:color w:val="231F20"/>
          <w:w w:val="105"/>
        </w:rPr>
        <w:t>requesting</w:t>
      </w:r>
      <w:r>
        <w:rPr>
          <w:color w:val="231F20"/>
          <w:spacing w:val="-27"/>
          <w:w w:val="105"/>
        </w:rPr>
        <w:t xml:space="preserve"> </w:t>
      </w:r>
      <w:r>
        <w:rPr>
          <w:color w:val="231F20"/>
          <w:w w:val="105"/>
        </w:rPr>
        <w:t>that</w:t>
      </w:r>
      <w:r>
        <w:rPr>
          <w:color w:val="231F20"/>
          <w:spacing w:val="-27"/>
          <w:w w:val="105"/>
        </w:rPr>
        <w:t xml:space="preserve"> </w:t>
      </w:r>
      <w:r>
        <w:rPr>
          <w:color w:val="231F20"/>
          <w:w w:val="105"/>
        </w:rPr>
        <w:t>the</w:t>
      </w:r>
      <w:r>
        <w:rPr>
          <w:color w:val="231F20"/>
          <w:spacing w:val="-27"/>
          <w:w w:val="105"/>
        </w:rPr>
        <w:t xml:space="preserve"> </w:t>
      </w:r>
      <w:r>
        <w:rPr>
          <w:color w:val="231F20"/>
          <w:w w:val="105"/>
        </w:rPr>
        <w:t>decision</w:t>
      </w:r>
      <w:r>
        <w:rPr>
          <w:color w:val="231F20"/>
          <w:spacing w:val="-27"/>
          <w:w w:val="105"/>
        </w:rPr>
        <w:t xml:space="preserve"> </w:t>
      </w:r>
      <w:r>
        <w:rPr>
          <w:color w:val="231F20"/>
          <w:w w:val="105"/>
        </w:rPr>
        <w:t>be</w:t>
      </w:r>
      <w:r>
        <w:rPr>
          <w:color w:val="231F20"/>
          <w:spacing w:val="-27"/>
          <w:w w:val="105"/>
        </w:rPr>
        <w:t xml:space="preserve"> </w:t>
      </w:r>
      <w:r>
        <w:rPr>
          <w:color w:val="231F20"/>
          <w:w w:val="105"/>
        </w:rPr>
        <w:t>rescinded. At</w:t>
      </w:r>
      <w:r>
        <w:rPr>
          <w:color w:val="231F20"/>
          <w:spacing w:val="-17"/>
          <w:w w:val="105"/>
        </w:rPr>
        <w:t xml:space="preserve"> </w:t>
      </w:r>
      <w:r>
        <w:rPr>
          <w:color w:val="231F20"/>
          <w:w w:val="105"/>
        </w:rPr>
        <w:t>Clouth-Gummiwerken,</w:t>
      </w:r>
      <w:r>
        <w:rPr>
          <w:color w:val="231F20"/>
          <w:spacing w:val="-17"/>
          <w:w w:val="105"/>
        </w:rPr>
        <w:t xml:space="preserve"> </w:t>
      </w:r>
      <w:r>
        <w:rPr>
          <w:color w:val="231F20"/>
          <w:w w:val="105"/>
        </w:rPr>
        <w:t>the</w:t>
      </w:r>
      <w:r>
        <w:rPr>
          <w:color w:val="231F20"/>
          <w:spacing w:val="-17"/>
          <w:w w:val="105"/>
        </w:rPr>
        <w:t xml:space="preserve"> </w:t>
      </w:r>
      <w:r>
        <w:rPr>
          <w:color w:val="231F20"/>
          <w:w w:val="105"/>
        </w:rPr>
        <w:t>union</w:t>
      </w:r>
      <w:r>
        <w:rPr>
          <w:color w:val="231F20"/>
          <w:spacing w:val="-17"/>
          <w:w w:val="105"/>
        </w:rPr>
        <w:t xml:space="preserve"> </w:t>
      </w:r>
      <w:r>
        <w:rPr>
          <w:color w:val="231F20"/>
          <w:w w:val="105"/>
        </w:rPr>
        <w:t>traitors</w:t>
      </w:r>
      <w:r>
        <w:rPr>
          <w:color w:val="231F20"/>
          <w:spacing w:val="-17"/>
          <w:w w:val="105"/>
        </w:rPr>
        <w:t xml:space="preserve"> </w:t>
      </w:r>
      <w:r>
        <w:rPr>
          <w:color w:val="231F20"/>
          <w:w w:val="105"/>
        </w:rPr>
        <w:t>were</w:t>
      </w:r>
      <w:r>
        <w:rPr>
          <w:color w:val="231F20"/>
          <w:spacing w:val="-17"/>
          <w:w w:val="105"/>
        </w:rPr>
        <w:t xml:space="preserve"> </w:t>
      </w:r>
      <w:r>
        <w:rPr>
          <w:color w:val="231F20"/>
          <w:w w:val="105"/>
        </w:rPr>
        <w:t>shouted</w:t>
      </w:r>
      <w:r>
        <w:rPr>
          <w:color w:val="231F20"/>
          <w:spacing w:val="-17"/>
          <w:w w:val="105"/>
        </w:rPr>
        <w:t xml:space="preserve"> </w:t>
      </w:r>
      <w:r>
        <w:rPr>
          <w:color w:val="231F20"/>
          <w:w w:val="105"/>
        </w:rPr>
        <w:t>down</w:t>
      </w:r>
      <w:r>
        <w:rPr>
          <w:color w:val="231F20"/>
          <w:spacing w:val="-17"/>
          <w:w w:val="105"/>
        </w:rPr>
        <w:t xml:space="preserve"> </w:t>
      </w:r>
      <w:r>
        <w:rPr>
          <w:color w:val="231F20"/>
          <w:w w:val="105"/>
        </w:rPr>
        <w:t>when the outcome was announced. The strike was</w:t>
      </w:r>
      <w:r>
        <w:rPr>
          <w:color w:val="231F20"/>
          <w:spacing w:val="30"/>
          <w:w w:val="105"/>
        </w:rPr>
        <w:t xml:space="preserve"> </w:t>
      </w:r>
      <w:r>
        <w:rPr>
          <w:color w:val="231F20"/>
          <w:spacing w:val="-3"/>
          <w:w w:val="105"/>
        </w:rPr>
        <w:t>over.</w:t>
      </w:r>
    </w:p>
    <w:p w14:paraId="5C4CDE5C" w14:textId="77777777" w:rsidR="002653E8" w:rsidRDefault="003115E3">
      <w:pPr>
        <w:pStyle w:val="a3"/>
        <w:spacing w:line="264" w:lineRule="auto"/>
        <w:ind w:left="1147" w:right="1325" w:firstLine="210"/>
        <w:jc w:val="both"/>
      </w:pPr>
      <w:r>
        <w:rPr>
          <w:color w:val="231F20"/>
        </w:rPr>
        <w:t xml:space="preserve">The chemical industry had achieved its goal. They wanted the first strike in the chemical industry, the first strike by chemical workers of this generation, to end in defeat, because “given the increasing importance of labor costs, they must consider the possibility that in future wage negotiations in the chemical industry, serious confrontations, possibly even labor disputes, may prove unavoidable” [from: </w:t>
      </w:r>
      <w:r>
        <w:rPr>
          <w:i/>
          <w:color w:val="231F20"/>
        </w:rPr>
        <w:t>Hilfeleistung im Arbeitskampf</w:t>
      </w:r>
      <w:r>
        <w:rPr>
          <w:color w:val="231F20"/>
          <w:position w:val="7"/>
          <w:sz w:val="11"/>
        </w:rPr>
        <w:t>1</w:t>
      </w:r>
      <w:r>
        <w:rPr>
          <w:color w:val="231F20"/>
        </w:rPr>
        <w:t xml:space="preserve">]—because for the chemical industry this strike was not an isolated incident, but rather one step in a long term strategy of struggle against the working class. </w:t>
      </w:r>
      <w:r>
        <w:rPr>
          <w:color w:val="231F20"/>
          <w:spacing w:val="1"/>
        </w:rPr>
        <w:t xml:space="preserve">In </w:t>
      </w:r>
      <w:r>
        <w:rPr>
          <w:color w:val="231F20"/>
        </w:rPr>
        <w:t>the words of the Deutsche Bank’s spokesman, Ulrich, “It requires many steps, each of which must  be  large enough to reach the goal—rates of increase of only two or three percent.” (February</w:t>
      </w:r>
      <w:r>
        <w:rPr>
          <w:color w:val="231F20"/>
          <w:spacing w:val="21"/>
        </w:rPr>
        <w:t xml:space="preserve"> </w:t>
      </w:r>
      <w:r>
        <w:rPr>
          <w:color w:val="231F20"/>
          <w:spacing w:val="-4"/>
        </w:rPr>
        <w:t>72)</w:t>
      </w:r>
    </w:p>
    <w:p w14:paraId="0BFB65BD" w14:textId="77777777" w:rsidR="002653E8" w:rsidRDefault="003115E3">
      <w:pPr>
        <w:pStyle w:val="a3"/>
        <w:spacing w:line="221" w:lineRule="exact"/>
        <w:ind w:left="1357"/>
      </w:pPr>
      <w:r>
        <w:rPr>
          <w:color w:val="231F20"/>
        </w:rPr>
        <w:t>The workers didn’t achieve what they hoped for: more unity—that</w:t>
      </w:r>
    </w:p>
    <w:p w14:paraId="467AAFDE" w14:textId="77777777" w:rsidR="002653E8" w:rsidRDefault="003115E3">
      <w:pPr>
        <w:pStyle w:val="a3"/>
        <w:spacing w:before="5" w:line="264" w:lineRule="auto"/>
        <w:ind w:left="1147" w:right="1326"/>
        <w:jc w:val="both"/>
      </w:pPr>
      <w:r>
        <w:rPr>
          <w:color w:val="231F20"/>
        </w:rPr>
        <w:t>was the objective of the 120 mark demand in Hessen; wage increases that do not lag behind price increases—that was the objective of the entire strike movement; close relations—unity and not separation between the workers from Bayer, BASF, and Hoechst; success.</w:t>
      </w:r>
    </w:p>
    <w:p w14:paraId="6BB9B7EE" w14:textId="77777777" w:rsidR="002653E8" w:rsidRDefault="003115E3">
      <w:pPr>
        <w:pStyle w:val="a3"/>
        <w:spacing w:line="264" w:lineRule="auto"/>
        <w:ind w:left="1147" w:right="1326" w:firstLine="210"/>
        <w:jc w:val="both"/>
      </w:pPr>
      <w:r>
        <w:rPr>
          <w:color w:val="231F20"/>
        </w:rPr>
        <w:t>This wage agreement is an expression of the actual power relations between the classes. One could say that capital has almost all of it and the workers almost none: capital has closed ranks and “concentrated,” while the working class suffers from numerous divisions; capital has powerful organizations that are firmly in control, while the workers</w:t>
      </w:r>
    </w:p>
    <w:p w14:paraId="4ED20EF6" w14:textId="77777777" w:rsidR="002653E8" w:rsidRDefault="00000000">
      <w:pPr>
        <w:pStyle w:val="a3"/>
        <w:spacing w:before="9"/>
        <w:rPr>
          <w:sz w:val="14"/>
        </w:rPr>
      </w:pPr>
      <w:r>
        <w:rPr>
          <w:noProof w:val="0"/>
        </w:rPr>
        <w:pict w14:anchorId="22284CA1">
          <v:line id="_x0000_s2565" style="position:absolute;z-index:4312;mso-wrap-distance-left:0;mso-wrap-distance-right:0;mso-position-horizontal-relative:page" from="57.4pt,10.85pt" to="129.4pt,10.85pt" strokecolor="#231f20" strokeweight=".5pt">
            <w10:wrap type="topAndBottom" anchorx="page"/>
          </v:line>
        </w:pict>
      </w:r>
    </w:p>
    <w:p w14:paraId="6B94C39D" w14:textId="77777777" w:rsidR="002653E8" w:rsidRDefault="003115E3">
      <w:pPr>
        <w:spacing w:before="53"/>
        <w:ind w:left="1147"/>
        <w:rPr>
          <w:sz w:val="16"/>
        </w:rPr>
      </w:pPr>
      <w:r>
        <w:rPr>
          <w:color w:val="231F20"/>
          <w:w w:val="105"/>
          <w:sz w:val="16"/>
        </w:rPr>
        <w:t>1 Support During Labor Disputes.</w:t>
      </w:r>
    </w:p>
    <w:p w14:paraId="45214C7B" w14:textId="77777777" w:rsidR="002653E8" w:rsidRDefault="002653E8">
      <w:pPr>
        <w:rPr>
          <w:sz w:val="16"/>
        </w:rPr>
        <w:sectPr w:rsidR="002653E8">
          <w:pgSz w:w="8640" w:h="12960"/>
          <w:pgMar w:top="1060" w:right="0" w:bottom="1040" w:left="0" w:header="0" w:footer="850" w:gutter="0"/>
          <w:cols w:space="720"/>
        </w:sectPr>
      </w:pPr>
    </w:p>
    <w:p w14:paraId="297FDAA2" w14:textId="77777777" w:rsidR="002653E8" w:rsidRDefault="003115E3">
      <w:pPr>
        <w:pStyle w:val="a3"/>
        <w:spacing w:before="86" w:line="264" w:lineRule="auto"/>
        <w:ind w:left="1328" w:right="1145" w:hanging="1"/>
        <w:jc w:val="both"/>
      </w:pPr>
      <w:r>
        <w:rPr>
          <w:color w:val="231F20"/>
        </w:rPr>
        <w:lastRenderedPageBreak/>
        <w:t>have unions that are out of their control, with a bureaucracy and a leadership that, like the current government, advance anti-worker policies; capital has the state, and the state is against the working class; capital   is organized internationally, while the working class is still only able to organize in the national context; capital has a clear, long term strategy and uses propaganda to promote it at every opportunity, with the goal of attacking the working class; the workers can counter this only with their rage—that is all they</w:t>
      </w:r>
      <w:r>
        <w:rPr>
          <w:color w:val="231F20"/>
          <w:spacing w:val="10"/>
        </w:rPr>
        <w:t xml:space="preserve"> </w:t>
      </w:r>
      <w:r>
        <w:rPr>
          <w:color w:val="231F20"/>
        </w:rPr>
        <w:t>have.</w:t>
      </w:r>
    </w:p>
    <w:p w14:paraId="28F34B6D" w14:textId="77777777" w:rsidR="002653E8" w:rsidRDefault="002653E8">
      <w:pPr>
        <w:pStyle w:val="a3"/>
        <w:spacing w:before="2"/>
        <w:rPr>
          <w:sz w:val="21"/>
        </w:rPr>
      </w:pPr>
    </w:p>
    <w:p w14:paraId="18A14E85" w14:textId="77777777" w:rsidR="002653E8" w:rsidRDefault="003115E3">
      <w:pPr>
        <w:ind w:left="1328"/>
        <w:rPr>
          <w:i/>
          <w:sz w:val="20"/>
        </w:rPr>
      </w:pPr>
      <w:r>
        <w:rPr>
          <w:i/>
          <w:color w:val="231F20"/>
          <w:w w:val="105"/>
          <w:sz w:val="20"/>
        </w:rPr>
        <w:t>The Militarization of the Class Struggle</w:t>
      </w:r>
    </w:p>
    <w:p w14:paraId="7F4E0773" w14:textId="77777777" w:rsidR="002653E8" w:rsidRDefault="003115E3">
      <w:pPr>
        <w:pStyle w:val="a3"/>
        <w:spacing w:before="22" w:line="264" w:lineRule="auto"/>
        <w:ind w:left="1328" w:right="1145"/>
        <w:jc w:val="both"/>
      </w:pPr>
      <w:r>
        <w:rPr>
          <w:color w:val="231F20"/>
        </w:rPr>
        <w:t>In spite of capital’s strength and the weakness of the working class, the state is arming itself and preparing for the militarization of the class struggle. The political means correspond with the economic facts: capital’s aggression. The political facts signal the extent and the strength of the attack.</w:t>
      </w:r>
    </w:p>
    <w:p w14:paraId="6F80BD63" w14:textId="77777777" w:rsidR="002653E8" w:rsidRDefault="003115E3">
      <w:pPr>
        <w:pStyle w:val="a3"/>
        <w:spacing w:line="264" w:lineRule="auto"/>
        <w:ind w:left="1327" w:right="1145" w:firstLine="210"/>
        <w:jc w:val="both"/>
        <w:rPr>
          <w:i/>
        </w:rPr>
      </w:pPr>
      <w:r>
        <w:rPr>
          <w:color w:val="231F20"/>
        </w:rPr>
        <w:t xml:space="preserve">The less the common good—which is to say general affluence, increasing income, and improved living conditions for </w:t>
      </w:r>
      <w:r>
        <w:rPr>
          <w:color w:val="231F20"/>
          <w:spacing w:val="1"/>
        </w:rPr>
        <w:t xml:space="preserve">all—is </w:t>
      </w:r>
      <w:r>
        <w:rPr>
          <w:color w:val="231F20"/>
        </w:rPr>
        <w:t xml:space="preserve">addressed by capitalist policy, the more it must be promoted, so as to reduce possibilities for criticizing the methods employed by capital. Therefore, critical journalists have been fired everywhere; therefore the schools have been cleared of leftists; therefore, the CSU has seized control of   the </w:t>
      </w:r>
      <w:r>
        <w:rPr>
          <w:i/>
          <w:color w:val="231F20"/>
        </w:rPr>
        <w:t xml:space="preserve">Bayerischen Rundfunk, </w:t>
      </w:r>
      <w:r>
        <w:rPr>
          <w:color w:val="231F20"/>
        </w:rPr>
        <w:t xml:space="preserve">which can only signal the beginning of the acquisition of </w:t>
      </w:r>
      <w:r>
        <w:rPr>
          <w:color w:val="231F20"/>
          <w:spacing w:val="3"/>
        </w:rPr>
        <w:t xml:space="preserve">ARD </w:t>
      </w:r>
      <w:r>
        <w:rPr>
          <w:color w:val="231F20"/>
        </w:rPr>
        <w:t>stations by the ZDF</w:t>
      </w:r>
      <w:r>
        <w:rPr>
          <w:color w:val="231F20"/>
          <w:position w:val="7"/>
          <w:sz w:val="11"/>
        </w:rPr>
        <w:t>2</w:t>
      </w:r>
      <w:r>
        <w:rPr>
          <w:color w:val="231F20"/>
        </w:rPr>
        <w:t>—even if the process can’t proceed as quickly in other</w:t>
      </w:r>
      <w:r>
        <w:rPr>
          <w:color w:val="231F20"/>
          <w:spacing w:val="13"/>
        </w:rPr>
        <w:t xml:space="preserve"> </w:t>
      </w:r>
      <w:r>
        <w:rPr>
          <w:i/>
          <w:color w:val="231F20"/>
        </w:rPr>
        <w:t>Länder.</w:t>
      </w:r>
    </w:p>
    <w:p w14:paraId="38EE6D7C" w14:textId="77777777" w:rsidR="002653E8" w:rsidRDefault="00000000">
      <w:pPr>
        <w:pStyle w:val="a3"/>
        <w:spacing w:line="264" w:lineRule="auto"/>
        <w:ind w:left="1327" w:right="1145" w:firstLine="210"/>
        <w:jc w:val="both"/>
      </w:pPr>
      <w:r>
        <w:rPr>
          <w:noProof w:val="0"/>
        </w:rPr>
        <w:pict w14:anchorId="7F108D55">
          <v:line id="_x0000_s2564" style="position:absolute;left:0;text-align:left;z-index:4336;mso-wrap-distance-left:0;mso-wrap-distance-right:0;mso-position-horizontal-relative:page" from="66.4pt,109.4pt" to="138.4pt,109.4pt" strokecolor="#231f20" strokeweight=".5pt">
            <w10:wrap type="topAndBottom" anchorx="page"/>
          </v:line>
        </w:pict>
      </w:r>
      <w:r w:rsidR="003115E3">
        <w:rPr>
          <w:color w:val="231F20"/>
          <w:spacing w:val="-8"/>
        </w:rPr>
        <w:t xml:space="preserve">To </w:t>
      </w:r>
      <w:r w:rsidR="003115E3">
        <w:rPr>
          <w:color w:val="231F20"/>
        </w:rPr>
        <w:t>the extent that the system can no longer purchase the loyalty of  the masses, they must be coerced. As it will no longer be given willingly, it will be gained through threats of violence; the BGS will be transformed into a federal police force and increased from a force of 23,000 to a force of 30,000; the police will be armed with submachine guns, and the citizenry should become as accustomed to seeing submachine gun-armed police on street corners as they are of paying taxes;</w:t>
      </w:r>
      <w:r w:rsidR="003115E3">
        <w:rPr>
          <w:color w:val="231F20"/>
          <w:position w:val="7"/>
          <w:sz w:val="11"/>
        </w:rPr>
        <w:t xml:space="preserve">3 </w:t>
      </w:r>
      <w:r w:rsidR="003115E3">
        <w:rPr>
          <w:color w:val="231F20"/>
        </w:rPr>
        <w:t>penal law will be stiffened; emergency exercises will be conducted</w:t>
      </w:r>
      <w:r w:rsidR="003115E3">
        <w:rPr>
          <w:color w:val="231F20"/>
          <w:spacing w:val="-16"/>
        </w:rPr>
        <w:t xml:space="preserve"> </w:t>
      </w:r>
      <w:r w:rsidR="003115E3">
        <w:rPr>
          <w:color w:val="231F20"/>
        </w:rPr>
        <w:t>using</w:t>
      </w:r>
    </w:p>
    <w:p w14:paraId="2DEB04E4" w14:textId="77777777" w:rsidR="002653E8" w:rsidRDefault="003115E3">
      <w:pPr>
        <w:pStyle w:val="a4"/>
        <w:numPr>
          <w:ilvl w:val="0"/>
          <w:numId w:val="26"/>
        </w:numPr>
        <w:tabs>
          <w:tab w:val="left" w:pos="1467"/>
        </w:tabs>
        <w:spacing w:before="53" w:line="254" w:lineRule="auto"/>
        <w:ind w:right="1402" w:firstLine="0"/>
        <w:rPr>
          <w:sz w:val="16"/>
        </w:rPr>
      </w:pPr>
      <w:r w:rsidRPr="005A5C8F">
        <w:rPr>
          <w:color w:val="231F20"/>
          <w:w w:val="105"/>
          <w:sz w:val="16"/>
          <w:lang w:val="de-DE"/>
        </w:rPr>
        <w:t xml:space="preserve">The </w:t>
      </w:r>
      <w:r w:rsidRPr="005A5C8F">
        <w:rPr>
          <w:color w:val="231F20"/>
          <w:spacing w:val="3"/>
          <w:w w:val="105"/>
          <w:sz w:val="16"/>
          <w:lang w:val="de-DE"/>
        </w:rPr>
        <w:t xml:space="preserve">ARD </w:t>
      </w:r>
      <w:r w:rsidRPr="005A5C8F">
        <w:rPr>
          <w:color w:val="231F20"/>
          <w:w w:val="105"/>
          <w:sz w:val="16"/>
          <w:lang w:val="de-DE"/>
        </w:rPr>
        <w:t xml:space="preserve">is the </w:t>
      </w:r>
      <w:r w:rsidRPr="005A5C8F">
        <w:rPr>
          <w:i/>
          <w:color w:val="231F20"/>
          <w:w w:val="105"/>
          <w:sz w:val="16"/>
          <w:lang w:val="de-DE"/>
        </w:rPr>
        <w:t xml:space="preserve">Arbeitsgemeinschaft </w:t>
      </w:r>
      <w:r w:rsidRPr="005A5C8F">
        <w:rPr>
          <w:i/>
          <w:color w:val="231F20"/>
          <w:spacing w:val="1"/>
          <w:w w:val="105"/>
          <w:sz w:val="16"/>
          <w:lang w:val="de-DE"/>
        </w:rPr>
        <w:t xml:space="preserve">der  </w:t>
      </w:r>
      <w:r w:rsidRPr="005A5C8F">
        <w:rPr>
          <w:i/>
          <w:color w:val="231F20"/>
          <w:w w:val="105"/>
          <w:sz w:val="16"/>
          <w:lang w:val="de-DE"/>
        </w:rPr>
        <w:t xml:space="preserve">öffentlich-rechtlichen </w:t>
      </w:r>
      <w:r w:rsidRPr="005A5C8F">
        <w:rPr>
          <w:i/>
          <w:color w:val="231F20"/>
          <w:spacing w:val="1"/>
          <w:w w:val="105"/>
          <w:sz w:val="16"/>
          <w:lang w:val="de-DE"/>
        </w:rPr>
        <w:t xml:space="preserve">Rundfunkanstalten  der  </w:t>
      </w:r>
      <w:r w:rsidRPr="005A5C8F">
        <w:rPr>
          <w:i/>
          <w:color w:val="231F20"/>
          <w:w w:val="105"/>
          <w:sz w:val="16"/>
          <w:lang w:val="de-DE"/>
        </w:rPr>
        <w:t xml:space="preserve">Bundesrepublik  </w:t>
      </w:r>
      <w:r w:rsidRPr="005A5C8F">
        <w:rPr>
          <w:i/>
          <w:color w:val="231F20"/>
          <w:spacing w:val="1"/>
          <w:w w:val="105"/>
          <w:sz w:val="16"/>
          <w:lang w:val="de-DE"/>
        </w:rPr>
        <w:t xml:space="preserve">Deutschland  </w:t>
      </w:r>
      <w:r w:rsidRPr="005A5C8F">
        <w:rPr>
          <w:color w:val="231F20"/>
          <w:w w:val="105"/>
          <w:sz w:val="16"/>
          <w:lang w:val="de-DE"/>
        </w:rPr>
        <w:t xml:space="preserve">(Consortium  of  PublicLaw Broadcasting Institutions of the Federal Republic of Germany); </w:t>
      </w:r>
      <w:r w:rsidRPr="005A5C8F">
        <w:rPr>
          <w:i/>
          <w:color w:val="231F20"/>
          <w:w w:val="105"/>
          <w:sz w:val="16"/>
          <w:lang w:val="de-DE"/>
        </w:rPr>
        <w:t xml:space="preserve">Bayerischen </w:t>
      </w:r>
      <w:r w:rsidRPr="005A5C8F">
        <w:rPr>
          <w:i/>
          <w:color w:val="231F20"/>
          <w:spacing w:val="1"/>
          <w:w w:val="105"/>
          <w:sz w:val="16"/>
          <w:lang w:val="de-DE"/>
        </w:rPr>
        <w:t xml:space="preserve">Rundfunk </w:t>
      </w:r>
      <w:r w:rsidRPr="005A5C8F">
        <w:rPr>
          <w:color w:val="231F20"/>
          <w:w w:val="105"/>
          <w:sz w:val="16"/>
          <w:lang w:val="de-DE"/>
        </w:rPr>
        <w:t xml:space="preserve">is a member of the </w:t>
      </w:r>
      <w:r w:rsidRPr="005A5C8F">
        <w:rPr>
          <w:color w:val="231F20"/>
          <w:spacing w:val="1"/>
          <w:w w:val="105"/>
          <w:sz w:val="16"/>
          <w:lang w:val="de-DE"/>
        </w:rPr>
        <w:t xml:space="preserve">ARD. </w:t>
      </w:r>
      <w:r>
        <w:rPr>
          <w:color w:val="231F20"/>
          <w:w w:val="105"/>
          <w:sz w:val="16"/>
        </w:rPr>
        <w:t xml:space="preserve">ZDF is the </w:t>
      </w:r>
      <w:r>
        <w:rPr>
          <w:i/>
          <w:color w:val="231F20"/>
          <w:w w:val="105"/>
          <w:sz w:val="16"/>
        </w:rPr>
        <w:t xml:space="preserve">Zweites Deutsches  </w:t>
      </w:r>
      <w:r>
        <w:rPr>
          <w:i/>
          <w:color w:val="231F20"/>
          <w:spacing w:val="1"/>
          <w:w w:val="105"/>
          <w:sz w:val="16"/>
        </w:rPr>
        <w:t xml:space="preserve">Fernsehen </w:t>
      </w:r>
      <w:r>
        <w:rPr>
          <w:color w:val="231F20"/>
          <w:w w:val="105"/>
          <w:sz w:val="16"/>
        </w:rPr>
        <w:t>(Second German Television), owned by Deutche Telekom; it is commercial TV, partially funded through</w:t>
      </w:r>
      <w:r>
        <w:rPr>
          <w:color w:val="231F20"/>
          <w:spacing w:val="25"/>
          <w:w w:val="105"/>
          <w:sz w:val="16"/>
        </w:rPr>
        <w:t xml:space="preserve"> </w:t>
      </w:r>
      <w:r>
        <w:rPr>
          <w:color w:val="231F20"/>
          <w:w w:val="105"/>
          <w:sz w:val="16"/>
        </w:rPr>
        <w:t>advertising.</w:t>
      </w:r>
    </w:p>
    <w:p w14:paraId="2C276650" w14:textId="77777777" w:rsidR="002653E8" w:rsidRDefault="003115E3">
      <w:pPr>
        <w:pStyle w:val="a4"/>
        <w:numPr>
          <w:ilvl w:val="0"/>
          <w:numId w:val="26"/>
        </w:numPr>
        <w:tabs>
          <w:tab w:val="left" w:pos="1467"/>
        </w:tabs>
        <w:spacing w:before="42" w:line="254" w:lineRule="auto"/>
        <w:ind w:left="1328" w:right="1254" w:firstLine="0"/>
        <w:rPr>
          <w:sz w:val="16"/>
        </w:rPr>
      </w:pPr>
      <w:r>
        <w:rPr>
          <w:color w:val="231F20"/>
          <w:spacing w:val="1"/>
          <w:w w:val="105"/>
          <w:sz w:val="16"/>
        </w:rPr>
        <w:t xml:space="preserve">This </w:t>
      </w:r>
      <w:r>
        <w:rPr>
          <w:color w:val="231F20"/>
          <w:w w:val="105"/>
          <w:sz w:val="16"/>
        </w:rPr>
        <w:t>is a reference to a statement by Willy Weyer, Interior Minister of NorthRhine-Westphalia, who stated that “Citizens must get as used precisely to the sight of</w:t>
      </w:r>
      <w:r>
        <w:rPr>
          <w:color w:val="231F20"/>
          <w:spacing w:val="10"/>
          <w:w w:val="105"/>
          <w:sz w:val="16"/>
        </w:rPr>
        <w:t xml:space="preserve"> </w:t>
      </w:r>
      <w:r>
        <w:rPr>
          <w:color w:val="231F20"/>
          <w:w w:val="105"/>
          <w:sz w:val="16"/>
        </w:rPr>
        <w:t>policemen</w:t>
      </w:r>
      <w:r>
        <w:rPr>
          <w:color w:val="231F20"/>
          <w:spacing w:val="10"/>
          <w:w w:val="105"/>
          <w:sz w:val="16"/>
        </w:rPr>
        <w:t xml:space="preserve"> </w:t>
      </w:r>
      <w:r>
        <w:rPr>
          <w:color w:val="231F20"/>
          <w:w w:val="105"/>
          <w:sz w:val="16"/>
        </w:rPr>
        <w:t>with</w:t>
      </w:r>
      <w:r>
        <w:rPr>
          <w:color w:val="231F20"/>
          <w:spacing w:val="10"/>
          <w:w w:val="105"/>
          <w:sz w:val="16"/>
        </w:rPr>
        <w:t xml:space="preserve"> </w:t>
      </w:r>
      <w:r>
        <w:rPr>
          <w:color w:val="231F20"/>
          <w:w w:val="105"/>
          <w:sz w:val="16"/>
        </w:rPr>
        <w:t>machine</w:t>
      </w:r>
      <w:r>
        <w:rPr>
          <w:color w:val="231F20"/>
          <w:spacing w:val="10"/>
          <w:w w:val="105"/>
          <w:sz w:val="16"/>
        </w:rPr>
        <w:t xml:space="preserve"> </w:t>
      </w:r>
      <w:r>
        <w:rPr>
          <w:color w:val="231F20"/>
          <w:w w:val="105"/>
          <w:sz w:val="16"/>
        </w:rPr>
        <w:t>pistols</w:t>
      </w:r>
      <w:r>
        <w:rPr>
          <w:color w:val="231F20"/>
          <w:spacing w:val="10"/>
          <w:w w:val="105"/>
          <w:sz w:val="16"/>
        </w:rPr>
        <w:t xml:space="preserve"> </w:t>
      </w:r>
      <w:r>
        <w:rPr>
          <w:color w:val="231F20"/>
          <w:w w:val="105"/>
          <w:sz w:val="16"/>
        </w:rPr>
        <w:t>as</w:t>
      </w:r>
      <w:r>
        <w:rPr>
          <w:color w:val="231F20"/>
          <w:spacing w:val="10"/>
          <w:w w:val="105"/>
          <w:sz w:val="16"/>
        </w:rPr>
        <w:t xml:space="preserve"> </w:t>
      </w:r>
      <w:r>
        <w:rPr>
          <w:color w:val="231F20"/>
          <w:w w:val="105"/>
          <w:sz w:val="16"/>
        </w:rPr>
        <w:t>they</w:t>
      </w:r>
      <w:r>
        <w:rPr>
          <w:color w:val="231F20"/>
          <w:spacing w:val="10"/>
          <w:w w:val="105"/>
          <w:sz w:val="16"/>
        </w:rPr>
        <w:t xml:space="preserve"> </w:t>
      </w:r>
      <w:r>
        <w:rPr>
          <w:color w:val="231F20"/>
          <w:w w:val="105"/>
          <w:sz w:val="16"/>
        </w:rPr>
        <w:t>are</w:t>
      </w:r>
      <w:r>
        <w:rPr>
          <w:color w:val="231F20"/>
          <w:spacing w:val="10"/>
          <w:w w:val="105"/>
          <w:sz w:val="16"/>
        </w:rPr>
        <w:t xml:space="preserve"> </w:t>
      </w:r>
      <w:r>
        <w:rPr>
          <w:color w:val="231F20"/>
          <w:w w:val="105"/>
          <w:sz w:val="16"/>
        </w:rPr>
        <w:t>to</w:t>
      </w:r>
      <w:r>
        <w:rPr>
          <w:color w:val="231F20"/>
          <w:spacing w:val="10"/>
          <w:w w:val="105"/>
          <w:sz w:val="16"/>
        </w:rPr>
        <w:t xml:space="preserve"> </w:t>
      </w:r>
      <w:r>
        <w:rPr>
          <w:color w:val="231F20"/>
          <w:w w:val="105"/>
          <w:sz w:val="16"/>
        </w:rPr>
        <w:t>paying</w:t>
      </w:r>
      <w:r>
        <w:rPr>
          <w:color w:val="231F20"/>
          <w:spacing w:val="10"/>
          <w:w w:val="105"/>
          <w:sz w:val="16"/>
        </w:rPr>
        <w:t xml:space="preserve"> </w:t>
      </w:r>
      <w:r>
        <w:rPr>
          <w:color w:val="231F20"/>
          <w:w w:val="105"/>
          <w:sz w:val="16"/>
        </w:rPr>
        <w:t>tax.”</w:t>
      </w:r>
      <w:r>
        <w:rPr>
          <w:color w:val="231F20"/>
          <w:spacing w:val="10"/>
          <w:w w:val="105"/>
          <w:sz w:val="16"/>
        </w:rPr>
        <w:t xml:space="preserve"> </w:t>
      </w:r>
      <w:r>
        <w:rPr>
          <w:color w:val="231F20"/>
          <w:w w:val="105"/>
          <w:sz w:val="16"/>
        </w:rPr>
        <w:t>(Cobler,</w:t>
      </w:r>
      <w:r>
        <w:rPr>
          <w:color w:val="231F20"/>
          <w:spacing w:val="10"/>
          <w:w w:val="105"/>
          <w:sz w:val="16"/>
        </w:rPr>
        <w:t xml:space="preserve"> </w:t>
      </w:r>
      <w:r>
        <w:rPr>
          <w:color w:val="231F20"/>
          <w:spacing w:val="-3"/>
          <w:w w:val="105"/>
          <w:sz w:val="16"/>
        </w:rPr>
        <w:t>141).</w:t>
      </w:r>
    </w:p>
    <w:p w14:paraId="7E8CC979" w14:textId="77777777" w:rsidR="002653E8" w:rsidRDefault="002653E8">
      <w:pPr>
        <w:spacing w:line="254" w:lineRule="auto"/>
        <w:rPr>
          <w:sz w:val="16"/>
        </w:rPr>
        <w:sectPr w:rsidR="002653E8">
          <w:pgSz w:w="8640" w:h="12960"/>
          <w:pgMar w:top="1060" w:right="0" w:bottom="1040" w:left="0" w:header="0" w:footer="850" w:gutter="0"/>
          <w:cols w:space="720"/>
        </w:sectPr>
      </w:pPr>
    </w:p>
    <w:p w14:paraId="7A1A32EB" w14:textId="77777777" w:rsidR="002653E8" w:rsidRDefault="003115E3">
      <w:pPr>
        <w:pStyle w:val="a3"/>
        <w:spacing w:before="86" w:line="264" w:lineRule="auto"/>
        <w:ind w:left="1148" w:right="1580" w:hanging="1"/>
      </w:pPr>
      <w:r>
        <w:rPr>
          <w:color w:val="231F20"/>
        </w:rPr>
        <w:lastRenderedPageBreak/>
        <w:t xml:space="preserve">sharpshooters; comrades will be taken into preventive custody; </w:t>
      </w:r>
      <w:r w:rsidR="00C507A5">
        <w:rPr>
          <w:color w:val="231F20"/>
        </w:rPr>
        <w:t>red army faction</w:t>
      </w:r>
      <w:r>
        <w:rPr>
          <w:color w:val="231F20"/>
        </w:rPr>
        <w:t xml:space="preserve"> suspects will be subject to the death penalty.</w:t>
      </w:r>
    </w:p>
    <w:p w14:paraId="5A206D43" w14:textId="77777777" w:rsidR="002653E8" w:rsidRDefault="003115E3">
      <w:pPr>
        <w:pStyle w:val="a3"/>
        <w:spacing w:line="264" w:lineRule="auto"/>
        <w:ind w:left="1148" w:right="1325" w:firstLine="210"/>
        <w:jc w:val="both"/>
      </w:pPr>
      <w:r>
        <w:rPr>
          <w:color w:val="231F20"/>
        </w:rPr>
        <w:t>To the extent that people have no further reason, once capitalism is finally enforced in West Germany, to continue being anticommunist, communists must be forcibly separated from the people. Therefore, the left is being pushed out of the factories. Therefore the price the DKP must pay to remain legal will get higher and higher (and it is apparent that they’ll pay any price). Therefore, the chemical industry threatens the Free University; they will not hire Free University graduates if peace and order are not re-established at the Free University.</w:t>
      </w:r>
    </w:p>
    <w:p w14:paraId="290C81FA" w14:textId="77777777" w:rsidR="002653E8" w:rsidRDefault="003115E3">
      <w:pPr>
        <w:pStyle w:val="a3"/>
        <w:spacing w:line="264" w:lineRule="auto"/>
        <w:ind w:left="1148" w:right="1325" w:firstLine="210"/>
        <w:jc w:val="both"/>
      </w:pPr>
      <w:r>
        <w:rPr>
          <w:color w:val="231F20"/>
        </w:rPr>
        <w:t>To the degree that the ideas of the communist alternative win ground as a result of the system’s own contradictions, the liberated spaces from which such ideas can be propagated must be closed; therefore Mandel should not be permitted to teach at the Free University; therefore the president of the university in Frankfurt calls in the police to make sure that exams supported by industry are written; therefore Löwenthal</w:t>
      </w:r>
      <w:r>
        <w:rPr>
          <w:color w:val="231F20"/>
          <w:position w:val="7"/>
          <w:sz w:val="11"/>
        </w:rPr>
        <w:t xml:space="preserve">1 </w:t>
      </w:r>
      <w:r>
        <w:rPr>
          <w:color w:val="231F20"/>
        </w:rPr>
        <w:t>rants about the Spartacus youth,</w:t>
      </w:r>
      <w:r>
        <w:rPr>
          <w:color w:val="231F20"/>
          <w:position w:val="7"/>
          <w:sz w:val="11"/>
        </w:rPr>
        <w:t xml:space="preserve">2 </w:t>
      </w:r>
      <w:r>
        <w:rPr>
          <w:color w:val="231F20"/>
        </w:rPr>
        <w:t>and Löwenthal’s cameramen attack students to get photos of as many violent scenes that can be used to incite the people as possible.</w:t>
      </w:r>
    </w:p>
    <w:p w14:paraId="5FE3171B" w14:textId="77777777" w:rsidR="002653E8" w:rsidRDefault="003115E3">
      <w:pPr>
        <w:pStyle w:val="a3"/>
        <w:spacing w:line="264" w:lineRule="auto"/>
        <w:ind w:left="1147" w:right="1326" w:firstLine="210"/>
        <w:jc w:val="both"/>
      </w:pPr>
      <w:r>
        <w:rPr>
          <w:color w:val="231F20"/>
        </w:rPr>
        <w:t>After ten years of employing foreigners in the Federal</w:t>
      </w:r>
      <w:r>
        <w:rPr>
          <w:color w:val="231F20"/>
          <w:spacing w:val="16"/>
        </w:rPr>
        <w:t xml:space="preserve"> </w:t>
      </w:r>
      <w:r>
        <w:rPr>
          <w:color w:val="231F20"/>
        </w:rPr>
        <w:t>Republic— since the wall in 1961</w:t>
      </w:r>
      <w:r>
        <w:rPr>
          <w:color w:val="231F20"/>
          <w:position w:val="7"/>
          <w:sz w:val="11"/>
        </w:rPr>
        <w:t>3</w:t>
      </w:r>
      <w:r>
        <w:rPr>
          <w:color w:val="231F20"/>
        </w:rPr>
        <w:t>—the accident rate of foreigners has reached a level double that of German workers, which is  already  high</w:t>
      </w:r>
      <w:r>
        <w:rPr>
          <w:color w:val="231F20"/>
          <w:spacing w:val="13"/>
        </w:rPr>
        <w:t xml:space="preserve"> </w:t>
      </w:r>
      <w:r>
        <w:rPr>
          <w:color w:val="231F20"/>
        </w:rPr>
        <w:t>enough, and they still live in ghettos and discrimination is still prevalent in the factories and neighborhoods. As foreign workers have now begun to organize to better protect themselves, the Basic Law is to be changed   to make it easier to monitor foreigners’ organizations, so as to make it easier to dismantle them, something that is already possible with the fascist laws governing foreigners and the anticommunist law governing association.</w:t>
      </w:r>
    </w:p>
    <w:p w14:paraId="25FA44FF" w14:textId="77777777" w:rsidR="002653E8" w:rsidRDefault="003115E3">
      <w:pPr>
        <w:pStyle w:val="a3"/>
        <w:spacing w:line="264" w:lineRule="auto"/>
        <w:ind w:left="1147" w:right="1326" w:firstLine="210"/>
        <w:jc w:val="both"/>
      </w:pPr>
      <w:r>
        <w:rPr>
          <w:color w:val="231F20"/>
        </w:rPr>
        <w:t>Capitalist propagandists use the narrow opportunity that the Red Army Faction affords them to argue that their core problem, the escalation of the class struggle, is caused by us, and that the rise of right-</w:t>
      </w:r>
    </w:p>
    <w:p w14:paraId="0D35AA7B" w14:textId="77777777" w:rsidR="002653E8" w:rsidRDefault="00000000">
      <w:pPr>
        <w:pStyle w:val="a3"/>
        <w:spacing w:before="3"/>
        <w:rPr>
          <w:sz w:val="18"/>
        </w:rPr>
      </w:pPr>
      <w:r>
        <w:rPr>
          <w:noProof w:val="0"/>
        </w:rPr>
        <w:pict w14:anchorId="390AF5B5">
          <v:line id="_x0000_s2563" style="position:absolute;z-index:4360;mso-wrap-distance-left:0;mso-wrap-distance-right:0;mso-position-horizontal-relative:page" from="57.4pt,12.95pt" to="129.4pt,12.95pt" strokecolor="#231f20" strokeweight=".5pt">
            <w10:wrap type="topAndBottom" anchorx="page"/>
          </v:line>
        </w:pict>
      </w:r>
    </w:p>
    <w:p w14:paraId="5ED9DADE" w14:textId="77777777" w:rsidR="002653E8" w:rsidRDefault="003115E3">
      <w:pPr>
        <w:pStyle w:val="a4"/>
        <w:numPr>
          <w:ilvl w:val="0"/>
          <w:numId w:val="147"/>
        </w:numPr>
        <w:tabs>
          <w:tab w:val="left" w:pos="1287"/>
        </w:tabs>
        <w:spacing w:before="53" w:line="254" w:lineRule="auto"/>
        <w:ind w:right="1433" w:firstLine="0"/>
        <w:rPr>
          <w:sz w:val="16"/>
        </w:rPr>
      </w:pPr>
      <w:r>
        <w:rPr>
          <w:color w:val="231F20"/>
          <w:w w:val="105"/>
          <w:sz w:val="16"/>
        </w:rPr>
        <w:t>Gerhard Löwenthal was a German journalist and a ZDF news anchor from 1969 until</w:t>
      </w:r>
      <w:r>
        <w:rPr>
          <w:color w:val="231F20"/>
          <w:spacing w:val="8"/>
          <w:w w:val="105"/>
          <w:sz w:val="16"/>
        </w:rPr>
        <w:t xml:space="preserve"> </w:t>
      </w:r>
      <w:r>
        <w:rPr>
          <w:color w:val="231F20"/>
          <w:spacing w:val="-3"/>
          <w:w w:val="105"/>
          <w:sz w:val="16"/>
        </w:rPr>
        <w:t>1988.</w:t>
      </w:r>
    </w:p>
    <w:p w14:paraId="66AE5A9A" w14:textId="77777777" w:rsidR="002653E8" w:rsidRDefault="003115E3">
      <w:pPr>
        <w:pStyle w:val="a4"/>
        <w:numPr>
          <w:ilvl w:val="0"/>
          <w:numId w:val="147"/>
        </w:numPr>
        <w:tabs>
          <w:tab w:val="left" w:pos="1287"/>
        </w:tabs>
        <w:spacing w:line="254" w:lineRule="auto"/>
        <w:ind w:left="1148" w:right="1888" w:hanging="1"/>
        <w:rPr>
          <w:sz w:val="16"/>
        </w:rPr>
      </w:pPr>
      <w:r>
        <w:rPr>
          <w:color w:val="231F20"/>
          <w:w w:val="105"/>
          <w:sz w:val="16"/>
        </w:rPr>
        <w:t xml:space="preserve">“Spartacus </w:t>
      </w:r>
      <w:r>
        <w:rPr>
          <w:color w:val="231F20"/>
          <w:spacing w:val="-4"/>
          <w:w w:val="105"/>
          <w:sz w:val="16"/>
        </w:rPr>
        <w:t xml:space="preserve">youth”: </w:t>
      </w:r>
      <w:r>
        <w:rPr>
          <w:color w:val="231F20"/>
          <w:w w:val="105"/>
          <w:sz w:val="16"/>
        </w:rPr>
        <w:t>the DKP’s student section, by far the largest self-styled communist</w:t>
      </w:r>
      <w:r>
        <w:rPr>
          <w:color w:val="231F20"/>
          <w:spacing w:val="7"/>
          <w:w w:val="105"/>
          <w:sz w:val="16"/>
        </w:rPr>
        <w:t xml:space="preserve"> </w:t>
      </w:r>
      <w:r>
        <w:rPr>
          <w:color w:val="231F20"/>
          <w:w w:val="105"/>
          <w:sz w:val="16"/>
        </w:rPr>
        <w:t>organization</w:t>
      </w:r>
      <w:r>
        <w:rPr>
          <w:color w:val="231F20"/>
          <w:spacing w:val="7"/>
          <w:w w:val="105"/>
          <w:sz w:val="16"/>
        </w:rPr>
        <w:t xml:space="preserve"> </w:t>
      </w:r>
      <w:r>
        <w:rPr>
          <w:color w:val="231F20"/>
          <w:w w:val="105"/>
          <w:sz w:val="16"/>
        </w:rPr>
        <w:t>active</w:t>
      </w:r>
      <w:r>
        <w:rPr>
          <w:color w:val="231F20"/>
          <w:spacing w:val="7"/>
          <w:w w:val="105"/>
          <w:sz w:val="16"/>
        </w:rPr>
        <w:t xml:space="preserve"> </w:t>
      </w:r>
      <w:r>
        <w:rPr>
          <w:color w:val="231F20"/>
          <w:w w:val="105"/>
          <w:sz w:val="16"/>
        </w:rPr>
        <w:t>on</w:t>
      </w:r>
      <w:r>
        <w:rPr>
          <w:color w:val="231F20"/>
          <w:spacing w:val="7"/>
          <w:w w:val="105"/>
          <w:sz w:val="16"/>
        </w:rPr>
        <w:t xml:space="preserve"> </w:t>
      </w:r>
      <w:r>
        <w:rPr>
          <w:color w:val="231F20"/>
          <w:w w:val="105"/>
          <w:sz w:val="16"/>
        </w:rPr>
        <w:t>campuses</w:t>
      </w:r>
      <w:r>
        <w:rPr>
          <w:color w:val="231F20"/>
          <w:spacing w:val="7"/>
          <w:w w:val="105"/>
          <w:sz w:val="16"/>
        </w:rPr>
        <w:t xml:space="preserve"> </w:t>
      </w:r>
      <w:r>
        <w:rPr>
          <w:color w:val="231F20"/>
          <w:w w:val="105"/>
          <w:sz w:val="16"/>
        </w:rPr>
        <w:t>during</w:t>
      </w:r>
      <w:r>
        <w:rPr>
          <w:color w:val="231F20"/>
          <w:spacing w:val="7"/>
          <w:w w:val="105"/>
          <w:sz w:val="16"/>
        </w:rPr>
        <w:t xml:space="preserve"> </w:t>
      </w:r>
      <w:r>
        <w:rPr>
          <w:color w:val="231F20"/>
          <w:w w:val="105"/>
          <w:sz w:val="16"/>
        </w:rPr>
        <w:t>this</w:t>
      </w:r>
      <w:r>
        <w:rPr>
          <w:color w:val="231F20"/>
          <w:spacing w:val="7"/>
          <w:w w:val="105"/>
          <w:sz w:val="16"/>
        </w:rPr>
        <w:t xml:space="preserve"> </w:t>
      </w:r>
      <w:r>
        <w:rPr>
          <w:color w:val="231F20"/>
          <w:w w:val="105"/>
          <w:sz w:val="16"/>
        </w:rPr>
        <w:t>period.</w:t>
      </w:r>
    </w:p>
    <w:p w14:paraId="49D6AB9F" w14:textId="77777777" w:rsidR="002653E8" w:rsidRDefault="003115E3">
      <w:pPr>
        <w:pStyle w:val="a4"/>
        <w:numPr>
          <w:ilvl w:val="0"/>
          <w:numId w:val="147"/>
        </w:numPr>
        <w:tabs>
          <w:tab w:val="left" w:pos="1287"/>
        </w:tabs>
        <w:spacing w:before="40" w:line="254" w:lineRule="auto"/>
        <w:ind w:left="1148" w:right="1383" w:firstLine="0"/>
        <w:rPr>
          <w:sz w:val="16"/>
        </w:rPr>
      </w:pPr>
      <w:r>
        <w:rPr>
          <w:color w:val="231F20"/>
          <w:w w:val="105"/>
          <w:sz w:val="16"/>
        </w:rPr>
        <w:t xml:space="preserve">The construction of the Berlin Wall cut off the flow of refugees from the East that had been providing a reservoir of cheap labor up until that time. </w:t>
      </w:r>
      <w:r>
        <w:rPr>
          <w:color w:val="231F20"/>
          <w:spacing w:val="1"/>
          <w:w w:val="105"/>
          <w:sz w:val="16"/>
        </w:rPr>
        <w:t xml:space="preserve">This </w:t>
      </w:r>
      <w:r>
        <w:rPr>
          <w:color w:val="231F20"/>
          <w:w w:val="105"/>
          <w:sz w:val="16"/>
        </w:rPr>
        <w:t xml:space="preserve">signaled the </w:t>
      </w:r>
      <w:r>
        <w:rPr>
          <w:color w:val="231F20"/>
          <w:spacing w:val="1"/>
          <w:w w:val="105"/>
          <w:sz w:val="16"/>
        </w:rPr>
        <w:t xml:space="preserve">beginning </w:t>
      </w:r>
      <w:r>
        <w:rPr>
          <w:color w:val="231F20"/>
          <w:w w:val="105"/>
          <w:sz w:val="16"/>
        </w:rPr>
        <w:t xml:space="preserve">of a guest worker policy of recruiting cheap labor from southern Europe, </w:t>
      </w:r>
      <w:r>
        <w:rPr>
          <w:color w:val="231F20"/>
          <w:spacing w:val="-3"/>
          <w:w w:val="105"/>
          <w:sz w:val="16"/>
        </w:rPr>
        <w:t xml:space="preserve">Turkey, </w:t>
      </w:r>
      <w:r>
        <w:rPr>
          <w:color w:val="231F20"/>
          <w:w w:val="105"/>
          <w:sz w:val="16"/>
        </w:rPr>
        <w:t>and</w:t>
      </w:r>
      <w:r>
        <w:rPr>
          <w:color w:val="231F20"/>
          <w:spacing w:val="-15"/>
          <w:w w:val="105"/>
          <w:sz w:val="16"/>
        </w:rPr>
        <w:t xml:space="preserve"> </w:t>
      </w:r>
      <w:r>
        <w:rPr>
          <w:color w:val="231F20"/>
          <w:w w:val="105"/>
          <w:sz w:val="16"/>
        </w:rPr>
        <w:t>elsewhere.</w:t>
      </w:r>
    </w:p>
    <w:p w14:paraId="4B82DF42" w14:textId="77777777" w:rsidR="002653E8" w:rsidRDefault="002653E8">
      <w:pPr>
        <w:spacing w:line="254" w:lineRule="auto"/>
        <w:rPr>
          <w:sz w:val="16"/>
        </w:rPr>
        <w:sectPr w:rsidR="002653E8">
          <w:footerReference w:type="even" r:id="rId121"/>
          <w:footerReference w:type="default" r:id="rId122"/>
          <w:pgSz w:w="8640" w:h="12960"/>
          <w:pgMar w:top="1060" w:right="0" w:bottom="1040" w:left="0" w:header="0" w:footer="850" w:gutter="0"/>
          <w:cols w:space="720"/>
        </w:sectPr>
      </w:pPr>
    </w:p>
    <w:p w14:paraId="76BBC169" w14:textId="77777777" w:rsidR="002653E8" w:rsidRDefault="003115E3">
      <w:pPr>
        <w:pStyle w:val="a3"/>
        <w:spacing w:before="86" w:line="264" w:lineRule="auto"/>
        <w:ind w:left="1327" w:right="1146"/>
        <w:jc w:val="both"/>
      </w:pPr>
      <w:r>
        <w:rPr>
          <w:color w:val="231F20"/>
        </w:rPr>
        <w:lastRenderedPageBreak/>
        <w:t>wing radicalism is a response to us. This is objectively the argument of the class enemy and subjectively an entirely shallow approach based on nothing more than the superficial assessment of the issues found in the bourgeois press.</w:t>
      </w:r>
    </w:p>
    <w:p w14:paraId="1BF7E291" w14:textId="77777777" w:rsidR="002653E8" w:rsidRDefault="002653E8">
      <w:pPr>
        <w:pStyle w:val="a3"/>
        <w:spacing w:before="6"/>
        <w:rPr>
          <w:sz w:val="21"/>
        </w:rPr>
      </w:pPr>
    </w:p>
    <w:p w14:paraId="0FBB8D40" w14:textId="77777777" w:rsidR="002653E8" w:rsidRDefault="003115E3">
      <w:pPr>
        <w:spacing w:before="1"/>
        <w:ind w:left="1327"/>
        <w:rPr>
          <w:rFonts w:ascii="Bookman Old Style"/>
          <w:i/>
          <w:sz w:val="20"/>
        </w:rPr>
      </w:pPr>
      <w:r>
        <w:rPr>
          <w:i/>
          <w:color w:val="231F20"/>
          <w:w w:val="105"/>
          <w:sz w:val="20"/>
        </w:rPr>
        <w:t xml:space="preserve">The Legal Left and Public Enemy No. </w:t>
      </w:r>
      <w:r>
        <w:rPr>
          <w:rFonts w:ascii="Bookman Old Style"/>
          <w:i/>
          <w:color w:val="231F20"/>
          <w:w w:val="105"/>
          <w:sz w:val="20"/>
        </w:rPr>
        <w:t>1</w:t>
      </w:r>
    </w:p>
    <w:p w14:paraId="2926890C" w14:textId="77777777" w:rsidR="002653E8" w:rsidRDefault="003115E3">
      <w:pPr>
        <w:pStyle w:val="a3"/>
        <w:spacing w:before="20" w:line="264" w:lineRule="auto"/>
        <w:ind w:left="1327" w:right="1146"/>
        <w:jc w:val="both"/>
      </w:pPr>
      <w:r>
        <w:rPr>
          <w:color w:val="231F20"/>
          <w:spacing w:val="1"/>
        </w:rPr>
        <w:t xml:space="preserve">In </w:t>
      </w:r>
      <w:r>
        <w:rPr>
          <w:color w:val="231F20"/>
        </w:rPr>
        <w:t>the face of capital’s offensive, the legal left is not just on the defensive, it</w:t>
      </w:r>
      <w:r>
        <w:rPr>
          <w:color w:val="231F20"/>
          <w:spacing w:val="-8"/>
        </w:rPr>
        <w:t xml:space="preserve"> </w:t>
      </w:r>
      <w:r>
        <w:rPr>
          <w:color w:val="231F20"/>
        </w:rPr>
        <w:t>is</w:t>
      </w:r>
      <w:r>
        <w:rPr>
          <w:color w:val="231F20"/>
          <w:spacing w:val="-8"/>
        </w:rPr>
        <w:t xml:space="preserve"> </w:t>
      </w:r>
      <w:r>
        <w:rPr>
          <w:color w:val="231F20"/>
        </w:rPr>
        <w:t>objectively</w:t>
      </w:r>
      <w:r>
        <w:rPr>
          <w:color w:val="231F20"/>
          <w:spacing w:val="-8"/>
        </w:rPr>
        <w:t xml:space="preserve"> </w:t>
      </w:r>
      <w:r>
        <w:rPr>
          <w:color w:val="231F20"/>
        </w:rPr>
        <w:t>helpless.</w:t>
      </w:r>
      <w:r>
        <w:rPr>
          <w:color w:val="231F20"/>
          <w:spacing w:val="-8"/>
        </w:rPr>
        <w:t xml:space="preserve"> </w:t>
      </w:r>
      <w:r>
        <w:rPr>
          <w:color w:val="231F20"/>
        </w:rPr>
        <w:t>They</w:t>
      </w:r>
      <w:r>
        <w:rPr>
          <w:color w:val="231F20"/>
          <w:spacing w:val="-8"/>
        </w:rPr>
        <w:t xml:space="preserve"> </w:t>
      </w:r>
      <w:r>
        <w:rPr>
          <w:color w:val="231F20"/>
        </w:rPr>
        <w:t>respond</w:t>
      </w:r>
      <w:r>
        <w:rPr>
          <w:color w:val="231F20"/>
          <w:spacing w:val="-8"/>
        </w:rPr>
        <w:t xml:space="preserve"> </w:t>
      </w:r>
      <w:r>
        <w:rPr>
          <w:color w:val="231F20"/>
        </w:rPr>
        <w:t>with</w:t>
      </w:r>
      <w:r>
        <w:rPr>
          <w:color w:val="231F20"/>
          <w:spacing w:val="-8"/>
        </w:rPr>
        <w:t xml:space="preserve"> </w:t>
      </w:r>
      <w:r>
        <w:rPr>
          <w:color w:val="231F20"/>
        </w:rPr>
        <w:t>their</w:t>
      </w:r>
      <w:r>
        <w:rPr>
          <w:color w:val="231F20"/>
          <w:spacing w:val="-8"/>
        </w:rPr>
        <w:t xml:space="preserve"> </w:t>
      </w:r>
      <w:r>
        <w:rPr>
          <w:color w:val="231F20"/>
        </w:rPr>
        <w:t>leaflets</w:t>
      </w:r>
      <w:r>
        <w:rPr>
          <w:color w:val="231F20"/>
          <w:spacing w:val="-8"/>
        </w:rPr>
        <w:t xml:space="preserve"> </w:t>
      </w:r>
      <w:r>
        <w:rPr>
          <w:color w:val="231F20"/>
        </w:rPr>
        <w:t>and</w:t>
      </w:r>
      <w:r>
        <w:rPr>
          <w:color w:val="231F20"/>
          <w:spacing w:val="-8"/>
        </w:rPr>
        <w:t xml:space="preserve"> </w:t>
      </w:r>
      <w:r>
        <w:rPr>
          <w:color w:val="231F20"/>
        </w:rPr>
        <w:t>their</w:t>
      </w:r>
      <w:r>
        <w:rPr>
          <w:color w:val="231F20"/>
          <w:spacing w:val="-8"/>
        </w:rPr>
        <w:t xml:space="preserve"> </w:t>
      </w:r>
      <w:r>
        <w:rPr>
          <w:color w:val="231F20"/>
        </w:rPr>
        <w:t>newspapers and their agitation among the workers, in which they say all the blame lies with capital, which is true, that the workers must organize themselves, that the social democratic line must be overcome in the factories, that the workers must learn to conduct economic struggles so as to regain their class consciousness—all of which is important work. But proposing</w:t>
      </w:r>
      <w:r>
        <w:rPr>
          <w:color w:val="231F20"/>
          <w:spacing w:val="10"/>
        </w:rPr>
        <w:t xml:space="preserve"> </w:t>
      </w:r>
      <w:r>
        <w:rPr>
          <w:color w:val="231F20"/>
        </w:rPr>
        <w:t>it</w:t>
      </w:r>
      <w:r>
        <w:rPr>
          <w:color w:val="231F20"/>
          <w:spacing w:val="10"/>
        </w:rPr>
        <w:t xml:space="preserve"> </w:t>
      </w:r>
      <w:r>
        <w:rPr>
          <w:color w:val="231F20"/>
        </w:rPr>
        <w:t>as</w:t>
      </w:r>
      <w:r>
        <w:rPr>
          <w:color w:val="231F20"/>
          <w:spacing w:val="10"/>
        </w:rPr>
        <w:t xml:space="preserve"> </w:t>
      </w:r>
      <w:r>
        <w:rPr>
          <w:color w:val="231F20"/>
        </w:rPr>
        <w:t>the</w:t>
      </w:r>
      <w:r>
        <w:rPr>
          <w:color w:val="231F20"/>
          <w:spacing w:val="10"/>
        </w:rPr>
        <w:t xml:space="preserve"> </w:t>
      </w:r>
      <w:r>
        <w:rPr>
          <w:color w:val="231F20"/>
        </w:rPr>
        <w:t>only</w:t>
      </w:r>
      <w:r>
        <w:rPr>
          <w:color w:val="231F20"/>
          <w:spacing w:val="10"/>
        </w:rPr>
        <w:t xml:space="preserve"> </w:t>
      </w:r>
      <w:r>
        <w:rPr>
          <w:color w:val="231F20"/>
        </w:rPr>
        <w:t>form</w:t>
      </w:r>
      <w:r>
        <w:rPr>
          <w:color w:val="231F20"/>
          <w:spacing w:val="10"/>
        </w:rPr>
        <w:t xml:space="preserve"> </w:t>
      </w:r>
      <w:r>
        <w:rPr>
          <w:color w:val="231F20"/>
        </w:rPr>
        <w:t>of</w:t>
      </w:r>
      <w:r>
        <w:rPr>
          <w:color w:val="231F20"/>
          <w:spacing w:val="10"/>
        </w:rPr>
        <w:t xml:space="preserve"> </w:t>
      </w:r>
      <w:r>
        <w:rPr>
          <w:color w:val="231F20"/>
        </w:rPr>
        <w:t>political</w:t>
      </w:r>
      <w:r>
        <w:rPr>
          <w:color w:val="231F20"/>
          <w:spacing w:val="10"/>
        </w:rPr>
        <w:t xml:space="preserve"> </w:t>
      </w:r>
      <w:r>
        <w:rPr>
          <w:color w:val="231F20"/>
        </w:rPr>
        <w:t>work</w:t>
      </w:r>
      <w:r>
        <w:rPr>
          <w:color w:val="231F20"/>
          <w:spacing w:val="10"/>
        </w:rPr>
        <w:t xml:space="preserve"> </w:t>
      </w:r>
      <w:r>
        <w:rPr>
          <w:color w:val="231F20"/>
        </w:rPr>
        <w:t>it</w:t>
      </w:r>
      <w:r>
        <w:rPr>
          <w:color w:val="231F20"/>
          <w:spacing w:val="10"/>
        </w:rPr>
        <w:t xml:space="preserve"> </w:t>
      </w:r>
      <w:r>
        <w:rPr>
          <w:color w:val="231F20"/>
        </w:rPr>
        <w:t>is</w:t>
      </w:r>
      <w:r>
        <w:rPr>
          <w:color w:val="231F20"/>
          <w:spacing w:val="10"/>
        </w:rPr>
        <w:t xml:space="preserve"> </w:t>
      </w:r>
      <w:r>
        <w:rPr>
          <w:color w:val="231F20"/>
        </w:rPr>
        <w:t>shortsighted.</w:t>
      </w:r>
    </w:p>
    <w:p w14:paraId="46645F0F" w14:textId="77777777" w:rsidR="002653E8" w:rsidRDefault="003115E3">
      <w:pPr>
        <w:pStyle w:val="a3"/>
        <w:spacing w:line="264" w:lineRule="auto"/>
        <w:ind w:left="1327" w:right="1146" w:firstLine="210"/>
        <w:jc w:val="both"/>
      </w:pPr>
      <w:r>
        <w:rPr>
          <w:color w:val="231F20"/>
          <w:w w:val="105"/>
        </w:rPr>
        <w:t xml:space="preserve">They see semi-automatic pistols and </w:t>
      </w:r>
      <w:r>
        <w:rPr>
          <w:color w:val="231F20"/>
          <w:spacing w:val="-4"/>
          <w:w w:val="105"/>
        </w:rPr>
        <w:t xml:space="preserve">say, </w:t>
      </w:r>
      <w:r>
        <w:rPr>
          <w:color w:val="231F20"/>
          <w:w w:val="105"/>
        </w:rPr>
        <w:t>“Organize the economic struggle.”</w:t>
      </w:r>
      <w:r>
        <w:rPr>
          <w:color w:val="231F20"/>
          <w:spacing w:val="-13"/>
          <w:w w:val="105"/>
        </w:rPr>
        <w:t xml:space="preserve"> </w:t>
      </w:r>
      <w:r>
        <w:rPr>
          <w:color w:val="231F20"/>
          <w:w w:val="105"/>
        </w:rPr>
        <w:t>They</w:t>
      </w:r>
      <w:r>
        <w:rPr>
          <w:color w:val="231F20"/>
          <w:spacing w:val="-13"/>
          <w:w w:val="105"/>
        </w:rPr>
        <w:t xml:space="preserve"> </w:t>
      </w:r>
      <w:r>
        <w:rPr>
          <w:color w:val="231F20"/>
          <w:w w:val="105"/>
        </w:rPr>
        <w:t>see</w:t>
      </w:r>
      <w:r>
        <w:rPr>
          <w:color w:val="231F20"/>
          <w:spacing w:val="-13"/>
          <w:w w:val="105"/>
        </w:rPr>
        <w:t xml:space="preserve"> </w:t>
      </w:r>
      <w:r>
        <w:rPr>
          <w:color w:val="231F20"/>
          <w:w w:val="105"/>
        </w:rPr>
        <w:t>the</w:t>
      </w:r>
      <w:r>
        <w:rPr>
          <w:color w:val="231F20"/>
          <w:spacing w:val="-13"/>
          <w:w w:val="105"/>
        </w:rPr>
        <w:t xml:space="preserve"> </w:t>
      </w:r>
      <w:r>
        <w:rPr>
          <w:color w:val="231F20"/>
          <w:w w:val="105"/>
        </w:rPr>
        <w:t>emergency</w:t>
      </w:r>
      <w:r>
        <w:rPr>
          <w:color w:val="231F20"/>
          <w:spacing w:val="-13"/>
          <w:w w:val="105"/>
        </w:rPr>
        <w:t xml:space="preserve"> </w:t>
      </w:r>
      <w:r>
        <w:rPr>
          <w:color w:val="231F20"/>
          <w:w w:val="105"/>
        </w:rPr>
        <w:t>exercises</w:t>
      </w:r>
      <w:r>
        <w:rPr>
          <w:color w:val="231F20"/>
          <w:spacing w:val="-13"/>
          <w:w w:val="105"/>
        </w:rPr>
        <w:t xml:space="preserve"> </w:t>
      </w:r>
      <w:r>
        <w:rPr>
          <w:color w:val="231F20"/>
          <w:w w:val="105"/>
        </w:rPr>
        <w:t>and</w:t>
      </w:r>
      <w:r>
        <w:rPr>
          <w:color w:val="231F20"/>
          <w:spacing w:val="-13"/>
          <w:w w:val="105"/>
        </w:rPr>
        <w:t xml:space="preserve"> </w:t>
      </w:r>
      <w:r>
        <w:rPr>
          <w:color w:val="231F20"/>
          <w:spacing w:val="-4"/>
          <w:w w:val="105"/>
        </w:rPr>
        <w:t>say,</w:t>
      </w:r>
      <w:r>
        <w:rPr>
          <w:color w:val="231F20"/>
          <w:spacing w:val="-13"/>
          <w:w w:val="105"/>
        </w:rPr>
        <w:t xml:space="preserve"> </w:t>
      </w:r>
      <w:r>
        <w:rPr>
          <w:color w:val="231F20"/>
          <w:w w:val="105"/>
        </w:rPr>
        <w:t>“Class</w:t>
      </w:r>
      <w:r>
        <w:rPr>
          <w:color w:val="231F20"/>
          <w:spacing w:val="-13"/>
          <w:w w:val="105"/>
        </w:rPr>
        <w:t xml:space="preserve"> </w:t>
      </w:r>
      <w:r>
        <w:rPr>
          <w:color w:val="231F20"/>
          <w:w w:val="105"/>
        </w:rPr>
        <w:t>conscious</w:t>
      </w:r>
      <w:r>
        <w:rPr>
          <w:color w:val="231F20"/>
          <w:spacing w:val="-3"/>
          <w:w w:val="105"/>
        </w:rPr>
        <w:t xml:space="preserve">ness.” </w:t>
      </w:r>
      <w:r>
        <w:rPr>
          <w:color w:val="231F20"/>
          <w:w w:val="105"/>
        </w:rPr>
        <w:t xml:space="preserve">They see fascism and </w:t>
      </w:r>
      <w:r>
        <w:rPr>
          <w:color w:val="231F20"/>
          <w:spacing w:val="-4"/>
          <w:w w:val="105"/>
        </w:rPr>
        <w:t xml:space="preserve">say, </w:t>
      </w:r>
      <w:r>
        <w:rPr>
          <w:color w:val="231F20"/>
          <w:spacing w:val="-3"/>
          <w:w w:val="105"/>
        </w:rPr>
        <w:t xml:space="preserve">“Don’t </w:t>
      </w:r>
      <w:r>
        <w:rPr>
          <w:color w:val="231F20"/>
          <w:w w:val="105"/>
        </w:rPr>
        <w:t xml:space="preserve">bring the class struggle to a </w:t>
      </w:r>
      <w:r>
        <w:rPr>
          <w:color w:val="231F20"/>
          <w:spacing w:val="-3"/>
          <w:w w:val="105"/>
        </w:rPr>
        <w:t xml:space="preserve">head.” </w:t>
      </w:r>
      <w:r>
        <w:rPr>
          <w:color w:val="231F20"/>
          <w:w w:val="105"/>
        </w:rPr>
        <w:t xml:space="preserve">They see war preparations and </w:t>
      </w:r>
      <w:r>
        <w:rPr>
          <w:color w:val="231F20"/>
          <w:spacing w:val="-4"/>
          <w:w w:val="105"/>
        </w:rPr>
        <w:t xml:space="preserve">say, </w:t>
      </w:r>
      <w:r>
        <w:rPr>
          <w:color w:val="231F20"/>
          <w:w w:val="105"/>
        </w:rPr>
        <w:t>“Develop a policy of unity with</w:t>
      </w:r>
      <w:r>
        <w:rPr>
          <w:color w:val="231F20"/>
          <w:spacing w:val="-7"/>
          <w:w w:val="105"/>
        </w:rPr>
        <w:t xml:space="preserve"> </w:t>
      </w:r>
      <w:r>
        <w:rPr>
          <w:color w:val="231F20"/>
          <w:w w:val="105"/>
        </w:rPr>
        <w:t>the</w:t>
      </w:r>
      <w:r>
        <w:rPr>
          <w:color w:val="231F20"/>
          <w:spacing w:val="-7"/>
          <w:w w:val="105"/>
        </w:rPr>
        <w:t xml:space="preserve"> </w:t>
      </w:r>
      <w:r>
        <w:rPr>
          <w:color w:val="231F20"/>
          <w:w w:val="105"/>
        </w:rPr>
        <w:t>middle</w:t>
      </w:r>
      <w:r>
        <w:rPr>
          <w:color w:val="231F20"/>
          <w:spacing w:val="-7"/>
          <w:w w:val="105"/>
        </w:rPr>
        <w:t xml:space="preserve"> </w:t>
      </w:r>
      <w:r>
        <w:rPr>
          <w:color w:val="231F20"/>
          <w:w w:val="105"/>
        </w:rPr>
        <w:t>class.”</w:t>
      </w:r>
      <w:r>
        <w:rPr>
          <w:color w:val="231F20"/>
          <w:spacing w:val="-7"/>
          <w:w w:val="105"/>
        </w:rPr>
        <w:t xml:space="preserve"> </w:t>
      </w:r>
      <w:r>
        <w:rPr>
          <w:color w:val="231F20"/>
          <w:w w:val="105"/>
        </w:rPr>
        <w:t>They</w:t>
      </w:r>
      <w:r>
        <w:rPr>
          <w:color w:val="231F20"/>
          <w:spacing w:val="-7"/>
          <w:w w:val="105"/>
        </w:rPr>
        <w:t xml:space="preserve"> </w:t>
      </w:r>
      <w:r>
        <w:rPr>
          <w:color w:val="231F20"/>
          <w:w w:val="105"/>
        </w:rPr>
        <w:t>see</w:t>
      </w:r>
      <w:r>
        <w:rPr>
          <w:color w:val="231F20"/>
          <w:spacing w:val="-7"/>
          <w:w w:val="105"/>
        </w:rPr>
        <w:t xml:space="preserve"> </w:t>
      </w:r>
      <w:r>
        <w:rPr>
          <w:color w:val="231F20"/>
          <w:w w:val="105"/>
        </w:rPr>
        <w:t>Labor</w:t>
      </w:r>
      <w:r>
        <w:rPr>
          <w:color w:val="231F20"/>
          <w:spacing w:val="-7"/>
          <w:w w:val="105"/>
        </w:rPr>
        <w:t xml:space="preserve"> </w:t>
      </w:r>
      <w:r>
        <w:rPr>
          <w:color w:val="231F20"/>
          <w:w w:val="105"/>
        </w:rPr>
        <w:t>Court</w:t>
      </w:r>
      <w:r>
        <w:rPr>
          <w:color w:val="231F20"/>
          <w:spacing w:val="-7"/>
          <w:w w:val="105"/>
        </w:rPr>
        <w:t xml:space="preserve"> </w:t>
      </w:r>
      <w:r>
        <w:rPr>
          <w:color w:val="231F20"/>
          <w:w w:val="105"/>
        </w:rPr>
        <w:t>and</w:t>
      </w:r>
      <w:r>
        <w:rPr>
          <w:color w:val="231F20"/>
          <w:spacing w:val="-5"/>
          <w:w w:val="105"/>
        </w:rPr>
        <w:t xml:space="preserve"> </w:t>
      </w:r>
      <w:r>
        <w:rPr>
          <w:color w:val="231F20"/>
          <w:w w:val="105"/>
        </w:rPr>
        <w:t>Federal</w:t>
      </w:r>
      <w:r>
        <w:rPr>
          <w:color w:val="231F20"/>
          <w:spacing w:val="-7"/>
          <w:w w:val="105"/>
        </w:rPr>
        <w:t xml:space="preserve"> </w:t>
      </w:r>
      <w:r>
        <w:rPr>
          <w:color w:val="231F20"/>
          <w:w w:val="105"/>
        </w:rPr>
        <w:t>Labor</w:t>
      </w:r>
      <w:r>
        <w:rPr>
          <w:color w:val="231F20"/>
          <w:spacing w:val="-7"/>
          <w:w w:val="105"/>
        </w:rPr>
        <w:t xml:space="preserve"> </w:t>
      </w:r>
      <w:r>
        <w:rPr>
          <w:color w:val="231F20"/>
          <w:w w:val="105"/>
        </w:rPr>
        <w:t xml:space="preserve">Court decisions that will ban future strikes and </w:t>
      </w:r>
      <w:r>
        <w:rPr>
          <w:color w:val="231F20"/>
          <w:spacing w:val="-4"/>
          <w:w w:val="105"/>
        </w:rPr>
        <w:t>say,</w:t>
      </w:r>
      <w:r>
        <w:rPr>
          <w:color w:val="231F20"/>
          <w:spacing w:val="36"/>
          <w:w w:val="105"/>
        </w:rPr>
        <w:t xml:space="preserve"> </w:t>
      </w:r>
      <w:r>
        <w:rPr>
          <w:color w:val="231F20"/>
          <w:w w:val="105"/>
        </w:rPr>
        <w:t>“Legality.”</w:t>
      </w:r>
    </w:p>
    <w:p w14:paraId="139FAA27" w14:textId="77777777" w:rsidR="002653E8" w:rsidRDefault="003115E3">
      <w:pPr>
        <w:pStyle w:val="a3"/>
        <w:spacing w:line="264" w:lineRule="auto"/>
        <w:ind w:left="1327" w:right="1146" w:firstLine="210"/>
        <w:jc w:val="both"/>
      </w:pPr>
      <w:r>
        <w:rPr>
          <w:color w:val="231F20"/>
        </w:rPr>
        <w:t>The</w:t>
      </w:r>
      <w:r>
        <w:rPr>
          <w:color w:val="231F20"/>
          <w:spacing w:val="-4"/>
        </w:rPr>
        <w:t xml:space="preserve"> </w:t>
      </w:r>
      <w:r>
        <w:rPr>
          <w:color w:val="231F20"/>
        </w:rPr>
        <w:t>counterrevolution</w:t>
      </w:r>
      <w:r>
        <w:rPr>
          <w:color w:val="231F20"/>
          <w:spacing w:val="-4"/>
        </w:rPr>
        <w:t xml:space="preserve"> </w:t>
      </w:r>
      <w:r>
        <w:rPr>
          <w:color w:val="231F20"/>
        </w:rPr>
        <w:t>believes</w:t>
      </w:r>
      <w:r>
        <w:rPr>
          <w:color w:val="231F20"/>
          <w:spacing w:val="-4"/>
        </w:rPr>
        <w:t xml:space="preserve"> </w:t>
      </w:r>
      <w:r>
        <w:rPr>
          <w:color w:val="231F20"/>
        </w:rPr>
        <w:t>that</w:t>
      </w:r>
      <w:r>
        <w:rPr>
          <w:color w:val="231F20"/>
          <w:spacing w:val="-4"/>
        </w:rPr>
        <w:t xml:space="preserve"> </w:t>
      </w:r>
      <w:r>
        <w:rPr>
          <w:color w:val="231F20"/>
        </w:rPr>
        <w:t>it</w:t>
      </w:r>
      <w:r>
        <w:rPr>
          <w:color w:val="231F20"/>
          <w:spacing w:val="-4"/>
        </w:rPr>
        <w:t xml:space="preserve"> </w:t>
      </w:r>
      <w:r>
        <w:rPr>
          <w:color w:val="231F20"/>
        </w:rPr>
        <w:t>is</w:t>
      </w:r>
      <w:r>
        <w:rPr>
          <w:color w:val="231F20"/>
          <w:spacing w:val="-4"/>
        </w:rPr>
        <w:t xml:space="preserve"> </w:t>
      </w:r>
      <w:r>
        <w:rPr>
          <w:color w:val="231F20"/>
        </w:rPr>
        <w:t>possible</w:t>
      </w:r>
      <w:r>
        <w:rPr>
          <w:color w:val="231F20"/>
          <w:spacing w:val="-4"/>
        </w:rPr>
        <w:t xml:space="preserve"> </w:t>
      </w:r>
      <w:r>
        <w:rPr>
          <w:color w:val="231F20"/>
        </w:rPr>
        <w:t>to</w:t>
      </w:r>
      <w:r>
        <w:rPr>
          <w:color w:val="231F20"/>
          <w:spacing w:val="-4"/>
        </w:rPr>
        <w:t xml:space="preserve"> </w:t>
      </w:r>
      <w:r>
        <w:rPr>
          <w:color w:val="231F20"/>
        </w:rPr>
        <w:t>get</w:t>
      </w:r>
      <w:r>
        <w:rPr>
          <w:color w:val="231F20"/>
          <w:spacing w:val="-4"/>
        </w:rPr>
        <w:t xml:space="preserve"> </w:t>
      </w:r>
      <w:r>
        <w:rPr>
          <w:color w:val="231F20"/>
        </w:rPr>
        <w:t>rid</w:t>
      </w:r>
      <w:r>
        <w:rPr>
          <w:color w:val="231F20"/>
          <w:spacing w:val="-4"/>
        </w:rPr>
        <w:t xml:space="preserve"> </w:t>
      </w:r>
      <w:r>
        <w:rPr>
          <w:color w:val="231F20"/>
        </w:rPr>
        <w:t>of</w:t>
      </w:r>
      <w:r>
        <w:rPr>
          <w:color w:val="231F20"/>
          <w:spacing w:val="-4"/>
        </w:rPr>
        <w:t xml:space="preserve"> </w:t>
      </w:r>
      <w:r>
        <w:rPr>
          <w:color w:val="231F20"/>
        </w:rPr>
        <w:t>all</w:t>
      </w:r>
      <w:r>
        <w:rPr>
          <w:color w:val="231F20"/>
          <w:spacing w:val="-4"/>
        </w:rPr>
        <w:t xml:space="preserve"> </w:t>
      </w:r>
      <w:r>
        <w:rPr>
          <w:color w:val="231F20"/>
        </w:rPr>
        <w:t>of</w:t>
      </w:r>
      <w:r>
        <w:rPr>
          <w:color w:val="231F20"/>
          <w:spacing w:val="-4"/>
        </w:rPr>
        <w:t xml:space="preserve"> </w:t>
      </w:r>
      <w:r>
        <w:rPr>
          <w:color w:val="231F20"/>
        </w:rPr>
        <w:t xml:space="preserve">the problems that it itself produces, and no means is too </w:t>
      </w:r>
      <w:r>
        <w:rPr>
          <w:color w:val="231F20"/>
          <w:spacing w:val="2"/>
        </w:rPr>
        <w:t xml:space="preserve">dirty </w:t>
      </w:r>
      <w:r>
        <w:rPr>
          <w:color w:val="231F20"/>
        </w:rPr>
        <w:t>in achieving that goal. But they can’t wait until fascism has really been established and the masses have been mobilized in their service. They need the security offered by a monopoly of weapons and armed violence—so that the rage of the working class, which they did so much to provoke, does not lead the working class to the idea, and with the idea, the means: the idea of the revolutionary guerilla’s armed struggle, striking from the shadows and not easily caught, imposing accountability, demoralizing the</w:t>
      </w:r>
      <w:r>
        <w:rPr>
          <w:color w:val="231F20"/>
          <w:spacing w:val="10"/>
        </w:rPr>
        <w:t xml:space="preserve"> </w:t>
      </w:r>
      <w:r>
        <w:rPr>
          <w:color w:val="231F20"/>
        </w:rPr>
        <w:t>police,</w:t>
      </w:r>
      <w:r>
        <w:rPr>
          <w:color w:val="231F20"/>
          <w:spacing w:val="10"/>
        </w:rPr>
        <w:t xml:space="preserve"> </w:t>
      </w:r>
      <w:r>
        <w:rPr>
          <w:color w:val="231F20"/>
        </w:rPr>
        <w:t>and</w:t>
      </w:r>
      <w:r>
        <w:rPr>
          <w:color w:val="231F20"/>
          <w:spacing w:val="10"/>
        </w:rPr>
        <w:t xml:space="preserve"> </w:t>
      </w:r>
      <w:r>
        <w:rPr>
          <w:color w:val="231F20"/>
        </w:rPr>
        <w:t>resisting</w:t>
      </w:r>
      <w:r>
        <w:rPr>
          <w:color w:val="231F20"/>
          <w:spacing w:val="10"/>
        </w:rPr>
        <w:t xml:space="preserve"> </w:t>
      </w:r>
      <w:r>
        <w:rPr>
          <w:color w:val="231F20"/>
        </w:rPr>
        <w:t>their</w:t>
      </w:r>
      <w:r>
        <w:rPr>
          <w:color w:val="231F20"/>
          <w:spacing w:val="10"/>
        </w:rPr>
        <w:t xml:space="preserve"> </w:t>
      </w:r>
      <w:r>
        <w:rPr>
          <w:color w:val="231F20"/>
        </w:rPr>
        <w:t>violence</w:t>
      </w:r>
      <w:r>
        <w:rPr>
          <w:color w:val="231F20"/>
          <w:spacing w:val="10"/>
        </w:rPr>
        <w:t xml:space="preserve"> </w:t>
      </w:r>
      <w:r>
        <w:rPr>
          <w:color w:val="231F20"/>
        </w:rPr>
        <w:t>with</w:t>
      </w:r>
      <w:r>
        <w:rPr>
          <w:color w:val="231F20"/>
          <w:spacing w:val="10"/>
        </w:rPr>
        <w:t xml:space="preserve"> </w:t>
      </w:r>
      <w:r>
        <w:rPr>
          <w:color w:val="231F20"/>
        </w:rPr>
        <w:t>counterviolence.</w:t>
      </w:r>
    </w:p>
    <w:p w14:paraId="6F4F5CA0" w14:textId="77777777" w:rsidR="002653E8" w:rsidRDefault="003115E3">
      <w:pPr>
        <w:pStyle w:val="a3"/>
        <w:spacing w:line="264" w:lineRule="auto"/>
        <w:ind w:left="1327" w:right="1146" w:firstLine="210"/>
        <w:jc w:val="both"/>
      </w:pPr>
      <w:r>
        <w:rPr>
          <w:color w:val="231F20"/>
        </w:rPr>
        <w:t xml:space="preserve">Genscher would not be the Minister of the Interior of the ruling class if he were not prepared to use unimaginable measures to take us </w:t>
      </w:r>
      <w:r>
        <w:rPr>
          <w:color w:val="231F20"/>
          <w:spacing w:val="-3"/>
        </w:rPr>
        <w:t xml:space="preserve">“out   </w:t>
      </w:r>
      <w:r>
        <w:rPr>
          <w:color w:val="231F20"/>
        </w:rPr>
        <w:t xml:space="preserve">of circulation,” if he hadn’t declared us Public Enemy No.  1 even be fore we did anything, if he hadn’t indicated that he was prepared to do anything, to engage in any action, to isolate us from the left, the labor force and the people, if he </w:t>
      </w:r>
      <w:r>
        <w:rPr>
          <w:color w:val="231F20"/>
          <w:spacing w:val="-3"/>
        </w:rPr>
        <w:t xml:space="preserve">wasn’t </w:t>
      </w:r>
      <w:r>
        <w:rPr>
          <w:color w:val="231F20"/>
        </w:rPr>
        <w:t>prepared to murder us. This situation will surely get</w:t>
      </w:r>
      <w:r>
        <w:rPr>
          <w:color w:val="231F20"/>
          <w:spacing w:val="31"/>
        </w:rPr>
        <w:t xml:space="preserve"> </w:t>
      </w:r>
      <w:r>
        <w:rPr>
          <w:color w:val="231F20"/>
        </w:rPr>
        <w:t>worse.</w:t>
      </w:r>
    </w:p>
    <w:p w14:paraId="52A16ABF" w14:textId="77777777" w:rsidR="002653E8" w:rsidRDefault="003115E3">
      <w:pPr>
        <w:pStyle w:val="a3"/>
        <w:spacing w:line="264" w:lineRule="auto"/>
        <w:ind w:left="1327" w:right="1147" w:firstLine="210"/>
        <w:jc w:val="both"/>
      </w:pPr>
      <w:r>
        <w:rPr>
          <w:color w:val="231F20"/>
        </w:rPr>
        <w:t xml:space="preserve">But they can no longer continue their war preparations covertly, and they cannot continue to act within their own legal parameters. They are </w:t>
      </w:r>
      <w:r>
        <w:rPr>
          <w:color w:val="231F20"/>
        </w:rPr>
        <w:lastRenderedPageBreak/>
        <w:t>obliged to violate their own system, and in so doing they show their true</w:t>
      </w:r>
    </w:p>
    <w:p w14:paraId="15890EB6" w14:textId="77777777" w:rsidR="002653E8" w:rsidRDefault="002653E8">
      <w:pPr>
        <w:spacing w:line="264" w:lineRule="auto"/>
        <w:jc w:val="both"/>
        <w:sectPr w:rsidR="002653E8">
          <w:pgSz w:w="8640" w:h="12960"/>
          <w:pgMar w:top="1060" w:right="0" w:bottom="1040" w:left="0" w:header="0" w:footer="850" w:gutter="0"/>
          <w:cols w:space="720"/>
        </w:sectPr>
      </w:pPr>
    </w:p>
    <w:p w14:paraId="4606101E" w14:textId="77777777" w:rsidR="002653E8" w:rsidRDefault="003115E3">
      <w:pPr>
        <w:pStyle w:val="a3"/>
        <w:spacing w:before="86" w:line="264" w:lineRule="auto"/>
        <w:ind w:left="1147" w:right="1325"/>
        <w:jc w:val="both"/>
      </w:pPr>
      <w:r>
        <w:rPr>
          <w:color w:val="231F20"/>
        </w:rPr>
        <w:lastRenderedPageBreak/>
        <w:t xml:space="preserve">colors as enemies of the people—and the left creates accurate propaganda at a high dialectical level, as ought to be the case, when they say: this terror is not directed against the </w:t>
      </w:r>
      <w:r w:rsidR="00C507A5">
        <w:rPr>
          <w:color w:val="231F20"/>
        </w:rPr>
        <w:t>red army faction</w:t>
      </w:r>
      <w:r>
        <w:rPr>
          <w:color w:val="231F20"/>
        </w:rPr>
        <w:t xml:space="preserve">, but rather against the working class. Obviously its target isn’t the </w:t>
      </w:r>
      <w:r w:rsidR="00C507A5">
        <w:rPr>
          <w:color w:val="231F20"/>
        </w:rPr>
        <w:t>red army faction</w:t>
      </w:r>
      <w:r>
        <w:rPr>
          <w:color w:val="231F20"/>
        </w:rPr>
        <w:t>, but rather the development of the coming class struggle. This is why the idea of armed struggle is met with all the violence the system is currently capable of, in order to prevent the working class from embracing it.</w:t>
      </w:r>
    </w:p>
    <w:p w14:paraId="71A52AFC" w14:textId="77777777" w:rsidR="002653E8" w:rsidRDefault="003115E3">
      <w:pPr>
        <w:pStyle w:val="a3"/>
        <w:spacing w:line="227" w:lineRule="exact"/>
        <w:ind w:left="1357"/>
      </w:pPr>
      <w:r>
        <w:rPr>
          <w:color w:val="231F20"/>
        </w:rPr>
        <w:t>We’re not feeling edgy; the system is feeling nervous.</w:t>
      </w:r>
    </w:p>
    <w:p w14:paraId="686EE873" w14:textId="77777777" w:rsidR="002653E8" w:rsidRDefault="003115E3">
      <w:pPr>
        <w:pStyle w:val="a3"/>
        <w:spacing w:before="23" w:line="264" w:lineRule="auto"/>
        <w:ind w:left="1147" w:right="1326" w:firstLine="210"/>
        <w:jc w:val="both"/>
      </w:pPr>
      <w:r>
        <w:rPr>
          <w:color w:val="231F20"/>
        </w:rPr>
        <w:t xml:space="preserve">Capital can’t wait until it has established fascism because American competition </w:t>
      </w:r>
      <w:r>
        <w:rPr>
          <w:color w:val="231F20"/>
          <w:spacing w:val="-4"/>
        </w:rPr>
        <w:t xml:space="preserve">won’t </w:t>
      </w:r>
      <w:r>
        <w:rPr>
          <w:color w:val="231F20"/>
        </w:rPr>
        <w:t>wait. The hysteria of the system doesn’t make our strategy or tactics incorrect. And the system is not incorrect in mak  ing it incredibly difficult for us to anchor the guerilla in the masses. Knowing this, it is not incorrect to develop resistance, given that the  war will be a protracted</w:t>
      </w:r>
      <w:r>
        <w:rPr>
          <w:color w:val="231F20"/>
          <w:spacing w:val="10"/>
        </w:rPr>
        <w:t xml:space="preserve"> </w:t>
      </w:r>
      <w:r>
        <w:rPr>
          <w:color w:val="231F20"/>
        </w:rPr>
        <w:t>war.</w:t>
      </w:r>
    </w:p>
    <w:p w14:paraId="01D87AFE" w14:textId="77777777" w:rsidR="002653E8" w:rsidRDefault="003115E3">
      <w:pPr>
        <w:pStyle w:val="a3"/>
        <w:spacing w:line="264" w:lineRule="auto"/>
        <w:ind w:left="1147" w:right="1326" w:firstLine="210"/>
        <w:jc w:val="both"/>
      </w:pPr>
      <w:r>
        <w:rPr>
          <w:color w:val="231F20"/>
        </w:rPr>
        <w:t>What could comrades be waiting for in a country that allowed Auschwitz to occur without resistance? Doesn’t the current workers’ movement bring with it the history of the German workers’ movement and this police force the history of the SS?</w:t>
      </w:r>
    </w:p>
    <w:p w14:paraId="68F3155F" w14:textId="77777777" w:rsidR="002653E8" w:rsidRDefault="002653E8">
      <w:pPr>
        <w:pStyle w:val="a3"/>
        <w:spacing w:before="7"/>
        <w:rPr>
          <w:sz w:val="18"/>
        </w:rPr>
      </w:pPr>
    </w:p>
    <w:p w14:paraId="5087D912" w14:textId="77777777" w:rsidR="002653E8" w:rsidRDefault="003115E3">
      <w:pPr>
        <w:spacing w:line="276" w:lineRule="auto"/>
        <w:ind w:left="1567" w:right="1745"/>
        <w:jc w:val="both"/>
        <w:rPr>
          <w:i/>
          <w:sz w:val="19"/>
        </w:rPr>
      </w:pPr>
      <w:r>
        <w:rPr>
          <w:i/>
          <w:color w:val="231F20"/>
          <w:sz w:val="19"/>
        </w:rPr>
        <w:t>Communists struggle for the satisfaction of the goals and interests of the working class immediately at hand, but they also show the way forward for the movement as well as its future.</w:t>
      </w:r>
    </w:p>
    <w:p w14:paraId="069F662D" w14:textId="77777777" w:rsidR="002653E8" w:rsidRDefault="003115E3">
      <w:pPr>
        <w:spacing w:before="39"/>
        <w:ind w:left="5055"/>
        <w:rPr>
          <w:i/>
          <w:sz w:val="19"/>
        </w:rPr>
      </w:pPr>
      <w:r>
        <w:rPr>
          <w:i/>
          <w:color w:val="231F20"/>
          <w:w w:val="105"/>
          <w:sz w:val="19"/>
        </w:rPr>
        <w:t>Communist Manifesto</w:t>
      </w:r>
    </w:p>
    <w:p w14:paraId="2C1F8FA3" w14:textId="77777777" w:rsidR="002653E8" w:rsidRDefault="002653E8">
      <w:pPr>
        <w:pStyle w:val="a3"/>
        <w:spacing w:before="9"/>
        <w:rPr>
          <w:i/>
        </w:rPr>
      </w:pPr>
    </w:p>
    <w:p w14:paraId="51D61809" w14:textId="77777777" w:rsidR="002653E8" w:rsidRDefault="003115E3">
      <w:pPr>
        <w:pStyle w:val="a3"/>
        <w:spacing w:before="1"/>
        <w:ind w:left="1147"/>
        <w:jc w:val="both"/>
      </w:pPr>
      <w:r>
        <w:rPr>
          <w:color w:val="231F20"/>
          <w:w w:val="105"/>
        </w:rPr>
        <w:t>That is what we mean by SERVE THE PEOPLE.</w:t>
      </w:r>
    </w:p>
    <w:p w14:paraId="1D64F779" w14:textId="77777777" w:rsidR="002653E8" w:rsidRDefault="002653E8">
      <w:pPr>
        <w:pStyle w:val="a3"/>
        <w:rPr>
          <w:sz w:val="22"/>
        </w:rPr>
      </w:pPr>
    </w:p>
    <w:p w14:paraId="4576AD81" w14:textId="77777777" w:rsidR="002653E8" w:rsidRDefault="002653E8">
      <w:pPr>
        <w:pStyle w:val="a3"/>
        <w:spacing w:before="3"/>
        <w:rPr>
          <w:sz w:val="25"/>
        </w:rPr>
      </w:pPr>
    </w:p>
    <w:p w14:paraId="74EB11D1" w14:textId="77777777" w:rsidR="002653E8" w:rsidRDefault="003115E3" w:rsidP="00C52991">
      <w:pPr>
        <w:numPr>
          <w:ilvl w:val="0"/>
          <w:numId w:val="152"/>
        </w:numPr>
        <w:tabs>
          <w:tab w:val="left" w:pos="1470"/>
        </w:tabs>
        <w:spacing w:line="257" w:lineRule="exact"/>
        <w:ind w:left="1469" w:hanging="322"/>
        <w:jc w:val="both"/>
      </w:pPr>
      <w:r>
        <w:rPr>
          <w:color w:val="231F20"/>
          <w:spacing w:val="16"/>
          <w:w w:val="120"/>
        </w:rPr>
        <w:t xml:space="preserve">the </w:t>
      </w:r>
      <w:r>
        <w:rPr>
          <w:color w:val="231F20"/>
          <w:spacing w:val="17"/>
          <w:w w:val="120"/>
        </w:rPr>
        <w:t xml:space="preserve">question </w:t>
      </w:r>
      <w:r>
        <w:rPr>
          <w:color w:val="231F20"/>
          <w:spacing w:val="7"/>
          <w:w w:val="120"/>
        </w:rPr>
        <w:t>of</w:t>
      </w:r>
      <w:r>
        <w:rPr>
          <w:color w:val="231F20"/>
          <w:spacing w:val="51"/>
          <w:w w:val="120"/>
        </w:rPr>
        <w:t xml:space="preserve"> </w:t>
      </w:r>
      <w:r>
        <w:rPr>
          <w:color w:val="231F20"/>
          <w:spacing w:val="7"/>
          <w:w w:val="120"/>
        </w:rPr>
        <w:t>ow</w:t>
      </w:r>
      <w:r>
        <w:rPr>
          <w:color w:val="231F20"/>
          <w:spacing w:val="20"/>
          <w:w w:val="120"/>
        </w:rPr>
        <w:t>nership</w:t>
      </w:r>
      <w:r w:rsidR="00C52991">
        <w:rPr>
          <w:rFonts w:eastAsiaTheme="minorEastAsia" w:hint="eastAsia"/>
        </w:rPr>
        <w:t xml:space="preserve"> </w:t>
      </w:r>
      <w:r w:rsidRPr="00C52991">
        <w:rPr>
          <w:color w:val="231F20"/>
          <w:w w:val="130"/>
        </w:rPr>
        <w:t>and the militarization of the conflict</w:t>
      </w:r>
    </w:p>
    <w:p w14:paraId="7917649A" w14:textId="77777777" w:rsidR="002653E8" w:rsidRDefault="003115E3">
      <w:pPr>
        <w:pStyle w:val="a3"/>
        <w:spacing w:before="19" w:line="264" w:lineRule="auto"/>
        <w:ind w:left="1147" w:right="1326"/>
        <w:jc w:val="both"/>
      </w:pPr>
      <w:r>
        <w:rPr>
          <w:color w:val="231F20"/>
        </w:rPr>
        <w:t>The argument that the Federal Republic is not Latin America obscures local conditions more than it clarifies them. This is indicated by (and  the debate is liberally seasoned with these): “The same horrifying pov</w:t>
      </w:r>
      <w:r>
        <w:rPr>
          <w:color w:val="231F20"/>
          <w:spacing w:val="1"/>
        </w:rPr>
        <w:t xml:space="preserve">erty </w:t>
      </w:r>
      <w:r>
        <w:rPr>
          <w:color w:val="231F20"/>
        </w:rPr>
        <w:t xml:space="preserve">doesn’t exist here as does </w:t>
      </w:r>
      <w:r>
        <w:rPr>
          <w:color w:val="231F20"/>
          <w:spacing w:val="-3"/>
        </w:rPr>
        <w:t xml:space="preserve">there”;  </w:t>
      </w:r>
      <w:r>
        <w:rPr>
          <w:color w:val="231F20"/>
        </w:rPr>
        <w:t xml:space="preserve">“Here the enemy is not a for  eign </w:t>
      </w:r>
      <w:r>
        <w:rPr>
          <w:color w:val="231F20"/>
          <w:spacing w:val="-4"/>
        </w:rPr>
        <w:t xml:space="preserve">power”;  </w:t>
      </w:r>
      <w:r>
        <w:rPr>
          <w:color w:val="231F20"/>
        </w:rPr>
        <w:t xml:space="preserve">“Here the state is not so hated by the </w:t>
      </w:r>
      <w:r>
        <w:rPr>
          <w:color w:val="231F20"/>
          <w:spacing w:val="-3"/>
        </w:rPr>
        <w:t xml:space="preserve">people”;  “We  </w:t>
      </w:r>
      <w:r>
        <w:rPr>
          <w:color w:val="231F20"/>
        </w:rPr>
        <w:t>are   not ruled by a military dictatorship here as is the case in many Latin American</w:t>
      </w:r>
      <w:r>
        <w:rPr>
          <w:color w:val="231F20"/>
          <w:spacing w:val="10"/>
        </w:rPr>
        <w:t xml:space="preserve"> </w:t>
      </w:r>
      <w:r>
        <w:rPr>
          <w:color w:val="231F20"/>
          <w:spacing w:val="-3"/>
        </w:rPr>
        <w:t>countries.”</w:t>
      </w:r>
    </w:p>
    <w:p w14:paraId="117B5485" w14:textId="77777777" w:rsidR="002653E8" w:rsidRDefault="003115E3">
      <w:pPr>
        <w:pStyle w:val="a3"/>
        <w:spacing w:line="264" w:lineRule="auto"/>
        <w:ind w:left="1147" w:right="1327" w:firstLine="210"/>
        <w:jc w:val="both"/>
      </w:pPr>
      <w:r>
        <w:rPr>
          <w:color w:val="231F20"/>
        </w:rPr>
        <w:t>Meaning: conditions there are so intolerable that violence is the only option—here things are still good enough that the conditions are not ripe for violence.</w:t>
      </w:r>
    </w:p>
    <w:p w14:paraId="43662D6F" w14:textId="77777777" w:rsidR="002653E8" w:rsidRDefault="002653E8">
      <w:pPr>
        <w:spacing w:line="264" w:lineRule="auto"/>
        <w:jc w:val="both"/>
        <w:sectPr w:rsidR="002653E8">
          <w:footerReference w:type="even" r:id="rId123"/>
          <w:footerReference w:type="default" r:id="rId124"/>
          <w:pgSz w:w="8640" w:h="12960"/>
          <w:pgMar w:top="1060" w:right="0" w:bottom="1040" w:left="0" w:header="0" w:footer="850" w:gutter="0"/>
          <w:pgNumType w:start="142"/>
          <w:cols w:space="720"/>
        </w:sectPr>
      </w:pPr>
    </w:p>
    <w:p w14:paraId="41E9E13A" w14:textId="77777777" w:rsidR="002653E8" w:rsidRDefault="003115E3">
      <w:pPr>
        <w:pStyle w:val="a3"/>
        <w:spacing w:before="86" w:line="264" w:lineRule="auto"/>
        <w:ind w:left="1327" w:right="1145" w:firstLine="210"/>
        <w:jc w:val="both"/>
      </w:pPr>
      <w:r w:rsidRPr="00C507A5">
        <w:rPr>
          <w:color w:val="231F20"/>
          <w:spacing w:val="1"/>
          <w:w w:val="105"/>
          <w:lang w:val="de-DE"/>
        </w:rPr>
        <w:lastRenderedPageBreak/>
        <w:t>In</w:t>
      </w:r>
      <w:r w:rsidRPr="00C507A5">
        <w:rPr>
          <w:color w:val="231F20"/>
          <w:spacing w:val="-28"/>
          <w:w w:val="105"/>
          <w:lang w:val="de-DE"/>
        </w:rPr>
        <w:t xml:space="preserve"> </w:t>
      </w:r>
      <w:r w:rsidRPr="00C507A5">
        <w:rPr>
          <w:color w:val="231F20"/>
          <w:w w:val="105"/>
          <w:lang w:val="de-DE"/>
        </w:rPr>
        <w:t>the</w:t>
      </w:r>
      <w:r w:rsidRPr="00C507A5">
        <w:rPr>
          <w:color w:val="231F20"/>
          <w:spacing w:val="-28"/>
          <w:w w:val="105"/>
          <w:lang w:val="de-DE"/>
        </w:rPr>
        <w:t xml:space="preserve"> </w:t>
      </w:r>
      <w:r w:rsidRPr="00C507A5">
        <w:rPr>
          <w:color w:val="231F20"/>
          <w:w w:val="105"/>
          <w:lang w:val="de-DE"/>
        </w:rPr>
        <w:t>Rowohlt</w:t>
      </w:r>
      <w:r w:rsidRPr="00C507A5">
        <w:rPr>
          <w:color w:val="231F20"/>
          <w:w w:val="105"/>
          <w:position w:val="7"/>
          <w:sz w:val="11"/>
          <w:lang w:val="de-DE"/>
        </w:rPr>
        <w:t>1</w:t>
      </w:r>
      <w:r w:rsidRPr="00C507A5">
        <w:rPr>
          <w:color w:val="231F20"/>
          <w:spacing w:val="-16"/>
          <w:w w:val="105"/>
          <w:position w:val="7"/>
          <w:sz w:val="11"/>
          <w:lang w:val="de-DE"/>
        </w:rPr>
        <w:t xml:space="preserve"> </w:t>
      </w:r>
      <w:r w:rsidRPr="00C507A5">
        <w:rPr>
          <w:color w:val="231F20"/>
          <w:w w:val="105"/>
          <w:lang w:val="de-DE"/>
        </w:rPr>
        <w:t>volume</w:t>
      </w:r>
      <w:r w:rsidRPr="00C507A5">
        <w:rPr>
          <w:color w:val="231F20"/>
          <w:spacing w:val="-28"/>
          <w:w w:val="105"/>
          <w:lang w:val="de-DE"/>
        </w:rPr>
        <w:t xml:space="preserve"> </w:t>
      </w:r>
      <w:r w:rsidRPr="00C507A5">
        <w:rPr>
          <w:i/>
          <w:color w:val="231F20"/>
          <w:spacing w:val="2"/>
          <w:w w:val="105"/>
          <w:lang w:val="de-DE"/>
        </w:rPr>
        <w:t>Zerschlagtdie</w:t>
      </w:r>
      <w:r w:rsidRPr="00C507A5">
        <w:rPr>
          <w:i/>
          <w:color w:val="231F20"/>
          <w:spacing w:val="-28"/>
          <w:w w:val="105"/>
          <w:lang w:val="de-DE"/>
        </w:rPr>
        <w:t xml:space="preserve"> </w:t>
      </w:r>
      <w:r w:rsidRPr="00C507A5">
        <w:rPr>
          <w:i/>
          <w:color w:val="231F20"/>
          <w:spacing w:val="2"/>
          <w:w w:val="105"/>
          <w:lang w:val="de-DE"/>
        </w:rPr>
        <w:t>Wohlstandsinselnderiii.</w:t>
      </w:r>
      <w:r w:rsidRPr="00C507A5">
        <w:rPr>
          <w:i/>
          <w:color w:val="231F20"/>
          <w:spacing w:val="-28"/>
          <w:w w:val="105"/>
          <w:lang w:val="de-DE"/>
        </w:rPr>
        <w:t xml:space="preserve"> </w:t>
      </w:r>
      <w:r>
        <w:rPr>
          <w:i/>
          <w:color w:val="231F20"/>
          <w:w w:val="105"/>
        </w:rPr>
        <w:t>Welt,</w:t>
      </w:r>
      <w:r>
        <w:rPr>
          <w:color w:val="231F20"/>
          <w:w w:val="105"/>
          <w:position w:val="7"/>
          <w:sz w:val="11"/>
        </w:rPr>
        <w:t xml:space="preserve">2 </w:t>
      </w:r>
      <w:r>
        <w:rPr>
          <w:color w:val="231F20"/>
          <w:w w:val="105"/>
        </w:rPr>
        <w:t xml:space="preserve">which includes Marighella’s </w:t>
      </w:r>
      <w:r>
        <w:rPr>
          <w:i/>
          <w:color w:val="231F20"/>
          <w:spacing w:val="1"/>
          <w:w w:val="105"/>
        </w:rPr>
        <w:t xml:space="preserve">Minimanual </w:t>
      </w:r>
      <w:r>
        <w:rPr>
          <w:i/>
          <w:color w:val="231F20"/>
          <w:w w:val="105"/>
        </w:rPr>
        <w:t xml:space="preserve">of the Urban </w:t>
      </w:r>
      <w:r>
        <w:rPr>
          <w:i/>
          <w:color w:val="231F20"/>
          <w:spacing w:val="1"/>
          <w:w w:val="105"/>
        </w:rPr>
        <w:t xml:space="preserve">Guerilla, </w:t>
      </w:r>
      <w:r>
        <w:rPr>
          <w:color w:val="231F20"/>
          <w:w w:val="105"/>
        </w:rPr>
        <w:t>it says in</w:t>
      </w:r>
      <w:r>
        <w:rPr>
          <w:color w:val="231F20"/>
          <w:spacing w:val="-21"/>
          <w:w w:val="105"/>
        </w:rPr>
        <w:t xml:space="preserve"> </w:t>
      </w:r>
      <w:r>
        <w:rPr>
          <w:color w:val="231F20"/>
          <w:w w:val="105"/>
        </w:rPr>
        <w:t>the</w:t>
      </w:r>
      <w:r>
        <w:rPr>
          <w:color w:val="231F20"/>
          <w:spacing w:val="-21"/>
          <w:w w:val="105"/>
        </w:rPr>
        <w:t xml:space="preserve"> </w:t>
      </w:r>
      <w:r>
        <w:rPr>
          <w:color w:val="231F20"/>
          <w:w w:val="105"/>
        </w:rPr>
        <w:t>preface</w:t>
      </w:r>
      <w:r>
        <w:rPr>
          <w:color w:val="231F20"/>
          <w:spacing w:val="-21"/>
          <w:w w:val="105"/>
        </w:rPr>
        <w:t xml:space="preserve"> </w:t>
      </w:r>
      <w:r>
        <w:rPr>
          <w:color w:val="231F20"/>
          <w:w w:val="105"/>
        </w:rPr>
        <w:t>that</w:t>
      </w:r>
      <w:r>
        <w:rPr>
          <w:color w:val="231F20"/>
          <w:spacing w:val="-21"/>
          <w:w w:val="105"/>
        </w:rPr>
        <w:t xml:space="preserve"> </w:t>
      </w:r>
      <w:r>
        <w:rPr>
          <w:color w:val="231F20"/>
          <w:w w:val="105"/>
        </w:rPr>
        <w:t>the</w:t>
      </w:r>
      <w:r>
        <w:rPr>
          <w:color w:val="231F20"/>
          <w:spacing w:val="-21"/>
          <w:w w:val="105"/>
        </w:rPr>
        <w:t xml:space="preserve"> </w:t>
      </w:r>
      <w:r>
        <w:rPr>
          <w:color w:val="231F20"/>
          <w:w w:val="105"/>
        </w:rPr>
        <w:t>decision</w:t>
      </w:r>
      <w:r>
        <w:rPr>
          <w:color w:val="231F20"/>
          <w:spacing w:val="-21"/>
          <w:w w:val="105"/>
        </w:rPr>
        <w:t xml:space="preserve"> </w:t>
      </w:r>
      <w:r>
        <w:rPr>
          <w:color w:val="231F20"/>
          <w:w w:val="105"/>
        </w:rPr>
        <w:t>to</w:t>
      </w:r>
      <w:r>
        <w:rPr>
          <w:color w:val="231F20"/>
          <w:spacing w:val="-21"/>
          <w:w w:val="105"/>
        </w:rPr>
        <w:t xml:space="preserve"> </w:t>
      </w:r>
      <w:r>
        <w:rPr>
          <w:color w:val="231F20"/>
          <w:w w:val="105"/>
        </w:rPr>
        <w:t>publish</w:t>
      </w:r>
      <w:r>
        <w:rPr>
          <w:color w:val="231F20"/>
          <w:spacing w:val="-21"/>
          <w:w w:val="105"/>
        </w:rPr>
        <w:t xml:space="preserve"> </w:t>
      </w:r>
      <w:r>
        <w:rPr>
          <w:color w:val="231F20"/>
          <w:w w:val="105"/>
        </w:rPr>
        <w:t>his</w:t>
      </w:r>
      <w:r>
        <w:rPr>
          <w:color w:val="231F20"/>
          <w:spacing w:val="-21"/>
          <w:w w:val="105"/>
        </w:rPr>
        <w:t xml:space="preserve"> </w:t>
      </w:r>
      <w:r>
        <w:rPr>
          <w:color w:val="231F20"/>
          <w:w w:val="105"/>
        </w:rPr>
        <w:t>text</w:t>
      </w:r>
      <w:r>
        <w:rPr>
          <w:color w:val="231F20"/>
          <w:spacing w:val="-21"/>
          <w:w w:val="105"/>
        </w:rPr>
        <w:t xml:space="preserve"> </w:t>
      </w:r>
      <w:r>
        <w:rPr>
          <w:color w:val="231F20"/>
          <w:w w:val="105"/>
        </w:rPr>
        <w:t>is</w:t>
      </w:r>
      <w:r>
        <w:rPr>
          <w:color w:val="231F20"/>
          <w:spacing w:val="-21"/>
          <w:w w:val="105"/>
        </w:rPr>
        <w:t xml:space="preserve"> </w:t>
      </w:r>
      <w:r>
        <w:rPr>
          <w:color w:val="231F20"/>
          <w:w w:val="105"/>
        </w:rPr>
        <w:t>a</w:t>
      </w:r>
      <w:r>
        <w:rPr>
          <w:color w:val="231F20"/>
          <w:spacing w:val="-21"/>
          <w:w w:val="105"/>
        </w:rPr>
        <w:t xml:space="preserve"> </w:t>
      </w:r>
      <w:r>
        <w:rPr>
          <w:color w:val="231F20"/>
          <w:w w:val="105"/>
        </w:rPr>
        <w:t>protest</w:t>
      </w:r>
      <w:r>
        <w:rPr>
          <w:color w:val="231F20"/>
          <w:spacing w:val="-21"/>
          <w:w w:val="105"/>
        </w:rPr>
        <w:t xml:space="preserve"> </w:t>
      </w:r>
      <w:r>
        <w:rPr>
          <w:color w:val="231F20"/>
          <w:w w:val="105"/>
        </w:rPr>
        <w:t>against</w:t>
      </w:r>
      <w:r>
        <w:rPr>
          <w:color w:val="231F20"/>
          <w:spacing w:val="-21"/>
          <w:w w:val="105"/>
        </w:rPr>
        <w:t xml:space="preserve"> </w:t>
      </w:r>
      <w:r>
        <w:rPr>
          <w:color w:val="231F20"/>
          <w:w w:val="105"/>
        </w:rPr>
        <w:t>arrests</w:t>
      </w:r>
      <w:r>
        <w:rPr>
          <w:color w:val="231F20"/>
          <w:spacing w:val="-8"/>
          <w:w w:val="105"/>
        </w:rPr>
        <w:t xml:space="preserve"> </w:t>
      </w:r>
      <w:r>
        <w:rPr>
          <w:color w:val="231F20"/>
          <w:w w:val="105"/>
        </w:rPr>
        <w:t>and</w:t>
      </w:r>
      <w:r>
        <w:rPr>
          <w:color w:val="231F20"/>
          <w:spacing w:val="-8"/>
          <w:w w:val="105"/>
        </w:rPr>
        <w:t xml:space="preserve"> </w:t>
      </w:r>
      <w:r>
        <w:rPr>
          <w:color w:val="231F20"/>
          <w:w w:val="105"/>
        </w:rPr>
        <w:t>torture</w:t>
      </w:r>
      <w:r>
        <w:rPr>
          <w:color w:val="231F20"/>
          <w:spacing w:val="-8"/>
          <w:w w:val="105"/>
        </w:rPr>
        <w:t xml:space="preserve"> </w:t>
      </w:r>
      <w:r>
        <w:rPr>
          <w:color w:val="231F20"/>
          <w:w w:val="105"/>
        </w:rPr>
        <w:t>in</w:t>
      </w:r>
      <w:r>
        <w:rPr>
          <w:color w:val="231F20"/>
          <w:spacing w:val="-8"/>
          <w:w w:val="105"/>
        </w:rPr>
        <w:t xml:space="preserve"> </w:t>
      </w:r>
      <w:r>
        <w:rPr>
          <w:color w:val="231F20"/>
          <w:w w:val="105"/>
        </w:rPr>
        <w:t>Brazil,</w:t>
      </w:r>
      <w:r>
        <w:rPr>
          <w:color w:val="231F20"/>
          <w:spacing w:val="-8"/>
          <w:w w:val="105"/>
        </w:rPr>
        <w:t xml:space="preserve"> </w:t>
      </w:r>
      <w:r>
        <w:rPr>
          <w:color w:val="231F20"/>
          <w:w w:val="105"/>
        </w:rPr>
        <w:t>not</w:t>
      </w:r>
      <w:r>
        <w:rPr>
          <w:color w:val="231F20"/>
          <w:spacing w:val="-8"/>
          <w:w w:val="105"/>
        </w:rPr>
        <w:t xml:space="preserve"> </w:t>
      </w:r>
      <w:r>
        <w:rPr>
          <w:color w:val="231F20"/>
          <w:w w:val="105"/>
        </w:rPr>
        <w:t>a</w:t>
      </w:r>
      <w:r>
        <w:rPr>
          <w:color w:val="231F20"/>
          <w:spacing w:val="-8"/>
          <w:w w:val="105"/>
        </w:rPr>
        <w:t xml:space="preserve"> </w:t>
      </w:r>
      <w:r>
        <w:rPr>
          <w:color w:val="231F20"/>
          <w:w w:val="105"/>
        </w:rPr>
        <w:t>guide</w:t>
      </w:r>
      <w:r>
        <w:rPr>
          <w:color w:val="231F20"/>
          <w:spacing w:val="-8"/>
          <w:w w:val="105"/>
        </w:rPr>
        <w:t xml:space="preserve"> </w:t>
      </w:r>
      <w:r>
        <w:rPr>
          <w:color w:val="231F20"/>
          <w:w w:val="105"/>
        </w:rPr>
        <w:t>for</w:t>
      </w:r>
      <w:r>
        <w:rPr>
          <w:color w:val="231F20"/>
          <w:spacing w:val="-8"/>
          <w:w w:val="105"/>
        </w:rPr>
        <w:t xml:space="preserve"> </w:t>
      </w:r>
      <w:r>
        <w:rPr>
          <w:color w:val="231F20"/>
          <w:w w:val="105"/>
        </w:rPr>
        <w:t>action</w:t>
      </w:r>
      <w:r>
        <w:rPr>
          <w:color w:val="231F20"/>
          <w:spacing w:val="-8"/>
          <w:w w:val="105"/>
        </w:rPr>
        <w:t xml:space="preserve"> </w:t>
      </w:r>
      <w:r>
        <w:rPr>
          <w:color w:val="231F20"/>
          <w:w w:val="105"/>
        </w:rPr>
        <w:t>here,</w:t>
      </w:r>
      <w:r>
        <w:rPr>
          <w:color w:val="231F20"/>
          <w:spacing w:val="-8"/>
          <w:w w:val="105"/>
        </w:rPr>
        <w:t xml:space="preserve"> </w:t>
      </w:r>
      <w:r>
        <w:rPr>
          <w:color w:val="231F20"/>
          <w:w w:val="105"/>
        </w:rPr>
        <w:t>“however</w:t>
      </w:r>
      <w:r>
        <w:rPr>
          <w:color w:val="231F20"/>
          <w:spacing w:val="-8"/>
          <w:w w:val="105"/>
        </w:rPr>
        <w:t xml:space="preserve"> </w:t>
      </w:r>
      <w:r>
        <w:rPr>
          <w:color w:val="231F20"/>
          <w:w w:val="105"/>
        </w:rPr>
        <w:t>weak parliamentary</w:t>
      </w:r>
      <w:r>
        <w:rPr>
          <w:color w:val="231F20"/>
          <w:spacing w:val="-5"/>
          <w:w w:val="105"/>
        </w:rPr>
        <w:t xml:space="preserve"> </w:t>
      </w:r>
      <w:r>
        <w:rPr>
          <w:color w:val="231F20"/>
          <w:w w:val="105"/>
        </w:rPr>
        <w:t>democracy</w:t>
      </w:r>
      <w:r>
        <w:rPr>
          <w:color w:val="231F20"/>
          <w:spacing w:val="-5"/>
          <w:w w:val="105"/>
        </w:rPr>
        <w:t xml:space="preserve"> </w:t>
      </w:r>
      <w:r>
        <w:rPr>
          <w:color w:val="231F20"/>
          <w:w w:val="105"/>
        </w:rPr>
        <w:t>may</w:t>
      </w:r>
      <w:r>
        <w:rPr>
          <w:color w:val="231F20"/>
          <w:spacing w:val="-5"/>
          <w:w w:val="105"/>
        </w:rPr>
        <w:t xml:space="preserve"> </w:t>
      </w:r>
      <w:r>
        <w:rPr>
          <w:color w:val="231F20"/>
          <w:w w:val="105"/>
        </w:rPr>
        <w:t>be</w:t>
      </w:r>
      <w:r>
        <w:rPr>
          <w:color w:val="231F20"/>
          <w:spacing w:val="-5"/>
          <w:w w:val="105"/>
        </w:rPr>
        <w:t xml:space="preserve"> </w:t>
      </w:r>
      <w:r>
        <w:rPr>
          <w:color w:val="231F20"/>
          <w:w w:val="105"/>
        </w:rPr>
        <w:t>and</w:t>
      </w:r>
      <w:r>
        <w:rPr>
          <w:color w:val="231F20"/>
          <w:spacing w:val="-5"/>
          <w:w w:val="105"/>
        </w:rPr>
        <w:t xml:space="preserve"> </w:t>
      </w:r>
      <w:r>
        <w:rPr>
          <w:color w:val="231F20"/>
          <w:w w:val="105"/>
        </w:rPr>
        <w:t>whatever</w:t>
      </w:r>
      <w:r>
        <w:rPr>
          <w:color w:val="231F20"/>
          <w:spacing w:val="-5"/>
          <w:w w:val="105"/>
        </w:rPr>
        <w:t xml:space="preserve"> </w:t>
      </w:r>
      <w:r>
        <w:rPr>
          <w:color w:val="231F20"/>
          <w:w w:val="105"/>
        </w:rPr>
        <w:t>threat</w:t>
      </w:r>
      <w:r>
        <w:rPr>
          <w:color w:val="231F20"/>
          <w:spacing w:val="-5"/>
          <w:w w:val="105"/>
        </w:rPr>
        <w:t xml:space="preserve"> </w:t>
      </w:r>
      <w:r>
        <w:rPr>
          <w:color w:val="231F20"/>
          <w:w w:val="105"/>
        </w:rPr>
        <w:t>is</w:t>
      </w:r>
      <w:r>
        <w:rPr>
          <w:color w:val="231F20"/>
          <w:spacing w:val="-5"/>
          <w:w w:val="105"/>
        </w:rPr>
        <w:t xml:space="preserve"> </w:t>
      </w:r>
      <w:r>
        <w:rPr>
          <w:color w:val="231F20"/>
          <w:w w:val="105"/>
        </w:rPr>
        <w:t>posed</w:t>
      </w:r>
      <w:r>
        <w:rPr>
          <w:color w:val="231F20"/>
          <w:spacing w:val="-5"/>
          <w:w w:val="105"/>
        </w:rPr>
        <w:t xml:space="preserve"> </w:t>
      </w:r>
      <w:r>
        <w:rPr>
          <w:color w:val="231F20"/>
          <w:w w:val="105"/>
        </w:rPr>
        <w:t>by</w:t>
      </w:r>
      <w:r>
        <w:rPr>
          <w:color w:val="231F20"/>
          <w:spacing w:val="-5"/>
          <w:w w:val="105"/>
        </w:rPr>
        <w:t xml:space="preserve"> </w:t>
      </w:r>
      <w:r>
        <w:rPr>
          <w:color w:val="231F20"/>
          <w:w w:val="105"/>
        </w:rPr>
        <w:t>its own</w:t>
      </w:r>
      <w:r>
        <w:rPr>
          <w:color w:val="231F20"/>
          <w:spacing w:val="-18"/>
          <w:w w:val="105"/>
        </w:rPr>
        <w:t xml:space="preserve"> </w:t>
      </w:r>
      <w:r>
        <w:rPr>
          <w:color w:val="231F20"/>
          <w:w w:val="105"/>
        </w:rPr>
        <w:t>economic</w:t>
      </w:r>
      <w:r>
        <w:rPr>
          <w:color w:val="231F20"/>
          <w:spacing w:val="-18"/>
          <w:w w:val="105"/>
        </w:rPr>
        <w:t xml:space="preserve"> </w:t>
      </w:r>
      <w:r>
        <w:rPr>
          <w:color w:val="231F20"/>
          <w:spacing w:val="-3"/>
          <w:w w:val="105"/>
        </w:rPr>
        <w:t>system.”—“To</w:t>
      </w:r>
      <w:r>
        <w:rPr>
          <w:color w:val="231F20"/>
          <w:spacing w:val="-18"/>
          <w:w w:val="105"/>
        </w:rPr>
        <w:t xml:space="preserve"> </w:t>
      </w:r>
      <w:r>
        <w:rPr>
          <w:color w:val="231F20"/>
          <w:w w:val="105"/>
        </w:rPr>
        <w:t>use</w:t>
      </w:r>
      <w:r>
        <w:rPr>
          <w:color w:val="231F20"/>
          <w:spacing w:val="-18"/>
          <w:w w:val="105"/>
        </w:rPr>
        <w:t xml:space="preserve"> </w:t>
      </w:r>
      <w:r>
        <w:rPr>
          <w:color w:val="231F20"/>
          <w:w w:val="105"/>
        </w:rPr>
        <w:t>counterviolence</w:t>
      </w:r>
      <w:r>
        <w:rPr>
          <w:color w:val="231F20"/>
          <w:spacing w:val="-18"/>
          <w:w w:val="105"/>
        </w:rPr>
        <w:t xml:space="preserve"> </w:t>
      </w:r>
      <w:r>
        <w:rPr>
          <w:color w:val="231F20"/>
          <w:w w:val="105"/>
        </w:rPr>
        <w:t>(the</w:t>
      </w:r>
      <w:r>
        <w:rPr>
          <w:color w:val="231F20"/>
          <w:spacing w:val="-18"/>
          <w:w w:val="105"/>
        </w:rPr>
        <w:t xml:space="preserve"> </w:t>
      </w:r>
      <w:r>
        <w:rPr>
          <w:color w:val="231F20"/>
          <w:w w:val="105"/>
        </w:rPr>
        <w:t>Latin</w:t>
      </w:r>
      <w:r>
        <w:rPr>
          <w:color w:val="231F20"/>
          <w:spacing w:val="-18"/>
          <w:w w:val="105"/>
        </w:rPr>
        <w:t xml:space="preserve"> </w:t>
      </w:r>
      <w:r>
        <w:rPr>
          <w:color w:val="231F20"/>
          <w:w w:val="105"/>
        </w:rPr>
        <w:t>American urban</w:t>
      </w:r>
      <w:r>
        <w:rPr>
          <w:color w:val="231F20"/>
          <w:spacing w:val="-26"/>
          <w:w w:val="105"/>
        </w:rPr>
        <w:t xml:space="preserve"> </w:t>
      </w:r>
      <w:r>
        <w:rPr>
          <w:color w:val="231F20"/>
          <w:w w:val="105"/>
        </w:rPr>
        <w:t>guerilla</w:t>
      </w:r>
      <w:r>
        <w:rPr>
          <w:color w:val="231F20"/>
          <w:spacing w:val="-26"/>
          <w:w w:val="105"/>
        </w:rPr>
        <w:t xml:space="preserve"> </w:t>
      </w:r>
      <w:r>
        <w:rPr>
          <w:color w:val="231F20"/>
          <w:w w:val="105"/>
        </w:rPr>
        <w:t>model)</w:t>
      </w:r>
      <w:r>
        <w:rPr>
          <w:color w:val="231F20"/>
          <w:spacing w:val="-26"/>
          <w:w w:val="105"/>
        </w:rPr>
        <w:t xml:space="preserve"> </w:t>
      </w:r>
      <w:r>
        <w:rPr>
          <w:color w:val="231F20"/>
          <w:w w:val="105"/>
        </w:rPr>
        <w:t>which</w:t>
      </w:r>
      <w:r>
        <w:rPr>
          <w:color w:val="231F20"/>
          <w:spacing w:val="-26"/>
          <w:w w:val="105"/>
        </w:rPr>
        <w:t xml:space="preserve"> </w:t>
      </w:r>
      <w:r>
        <w:rPr>
          <w:color w:val="231F20"/>
          <w:w w:val="105"/>
        </w:rPr>
        <w:t>is</w:t>
      </w:r>
      <w:r>
        <w:rPr>
          <w:color w:val="231F20"/>
          <w:spacing w:val="-26"/>
          <w:w w:val="105"/>
        </w:rPr>
        <w:t xml:space="preserve"> </w:t>
      </w:r>
      <w:r>
        <w:rPr>
          <w:color w:val="231F20"/>
          <w:w w:val="105"/>
        </w:rPr>
        <w:t>meant</w:t>
      </w:r>
      <w:r>
        <w:rPr>
          <w:color w:val="231F20"/>
          <w:spacing w:val="-26"/>
          <w:w w:val="105"/>
        </w:rPr>
        <w:t xml:space="preserve"> </w:t>
      </w:r>
      <w:r>
        <w:rPr>
          <w:color w:val="231F20"/>
          <w:w w:val="105"/>
        </w:rPr>
        <w:t>to</w:t>
      </w:r>
      <w:r>
        <w:rPr>
          <w:color w:val="231F20"/>
          <w:spacing w:val="-26"/>
          <w:w w:val="105"/>
        </w:rPr>
        <w:t xml:space="preserve"> </w:t>
      </w:r>
      <w:r>
        <w:rPr>
          <w:color w:val="231F20"/>
          <w:w w:val="105"/>
        </w:rPr>
        <w:t>be</w:t>
      </w:r>
      <w:r>
        <w:rPr>
          <w:color w:val="231F20"/>
          <w:spacing w:val="-26"/>
          <w:w w:val="105"/>
        </w:rPr>
        <w:t xml:space="preserve"> </w:t>
      </w:r>
      <w:r>
        <w:rPr>
          <w:color w:val="231F20"/>
          <w:w w:val="105"/>
        </w:rPr>
        <w:t>used</w:t>
      </w:r>
      <w:r>
        <w:rPr>
          <w:color w:val="231F20"/>
          <w:spacing w:val="-26"/>
          <w:w w:val="105"/>
        </w:rPr>
        <w:t xml:space="preserve"> </w:t>
      </w:r>
      <w:r>
        <w:rPr>
          <w:color w:val="231F20"/>
          <w:w w:val="105"/>
        </w:rPr>
        <w:t>against</w:t>
      </w:r>
      <w:r>
        <w:rPr>
          <w:color w:val="231F20"/>
          <w:spacing w:val="-26"/>
          <w:w w:val="105"/>
        </w:rPr>
        <w:t xml:space="preserve"> </w:t>
      </w:r>
      <w:r>
        <w:rPr>
          <w:color w:val="231F20"/>
          <w:w w:val="105"/>
        </w:rPr>
        <w:t>a</w:t>
      </w:r>
      <w:r>
        <w:rPr>
          <w:color w:val="231F20"/>
          <w:spacing w:val="-26"/>
          <w:w w:val="105"/>
        </w:rPr>
        <w:t xml:space="preserve"> </w:t>
      </w:r>
      <w:r>
        <w:rPr>
          <w:color w:val="231F20"/>
          <w:w w:val="105"/>
        </w:rPr>
        <w:t>terrorist</w:t>
      </w:r>
      <w:r>
        <w:rPr>
          <w:color w:val="231F20"/>
          <w:spacing w:val="-26"/>
          <w:w w:val="105"/>
        </w:rPr>
        <w:t xml:space="preserve"> </w:t>
      </w:r>
      <w:r>
        <w:rPr>
          <w:color w:val="231F20"/>
          <w:w w:val="105"/>
        </w:rPr>
        <w:t>capitalist</w:t>
      </w:r>
      <w:r>
        <w:rPr>
          <w:color w:val="231F20"/>
          <w:spacing w:val="-12"/>
          <w:w w:val="105"/>
        </w:rPr>
        <w:t xml:space="preserve"> </w:t>
      </w:r>
      <w:r>
        <w:rPr>
          <w:color w:val="231F20"/>
          <w:w w:val="105"/>
        </w:rPr>
        <w:t>ruling</w:t>
      </w:r>
      <w:r>
        <w:rPr>
          <w:color w:val="231F20"/>
          <w:spacing w:val="-12"/>
          <w:w w:val="105"/>
        </w:rPr>
        <w:t xml:space="preserve"> </w:t>
      </w:r>
      <w:r>
        <w:rPr>
          <w:color w:val="231F20"/>
          <w:w w:val="105"/>
        </w:rPr>
        <w:t>class,</w:t>
      </w:r>
      <w:r>
        <w:rPr>
          <w:color w:val="231F20"/>
          <w:spacing w:val="-12"/>
          <w:w w:val="105"/>
        </w:rPr>
        <w:t xml:space="preserve"> </w:t>
      </w:r>
      <w:r>
        <w:rPr>
          <w:color w:val="231F20"/>
          <w:w w:val="105"/>
        </w:rPr>
        <w:t>in</w:t>
      </w:r>
      <w:r>
        <w:rPr>
          <w:color w:val="231F20"/>
          <w:spacing w:val="-12"/>
          <w:w w:val="105"/>
        </w:rPr>
        <w:t xml:space="preserve"> </w:t>
      </w:r>
      <w:r>
        <w:rPr>
          <w:color w:val="231F20"/>
          <w:w w:val="105"/>
        </w:rPr>
        <w:t>a</w:t>
      </w:r>
      <w:r>
        <w:rPr>
          <w:color w:val="231F20"/>
          <w:spacing w:val="-12"/>
          <w:w w:val="105"/>
        </w:rPr>
        <w:t xml:space="preserve"> </w:t>
      </w:r>
      <w:r>
        <w:rPr>
          <w:color w:val="231F20"/>
          <w:w w:val="105"/>
        </w:rPr>
        <w:t>country</w:t>
      </w:r>
      <w:r>
        <w:rPr>
          <w:color w:val="231F20"/>
          <w:spacing w:val="-12"/>
          <w:w w:val="105"/>
        </w:rPr>
        <w:t xml:space="preserve"> </w:t>
      </w:r>
      <w:r>
        <w:rPr>
          <w:color w:val="231F20"/>
          <w:w w:val="105"/>
        </w:rPr>
        <w:t>where</w:t>
      </w:r>
      <w:r>
        <w:rPr>
          <w:color w:val="231F20"/>
          <w:spacing w:val="-12"/>
          <w:w w:val="105"/>
        </w:rPr>
        <w:t xml:space="preserve"> </w:t>
      </w:r>
      <w:r>
        <w:rPr>
          <w:color w:val="231F20"/>
          <w:w w:val="105"/>
        </w:rPr>
        <w:t>one</w:t>
      </w:r>
      <w:r>
        <w:rPr>
          <w:color w:val="231F20"/>
          <w:spacing w:val="-12"/>
          <w:w w:val="105"/>
        </w:rPr>
        <w:t xml:space="preserve"> </w:t>
      </w:r>
      <w:r>
        <w:rPr>
          <w:color w:val="231F20"/>
          <w:w w:val="105"/>
        </w:rPr>
        <w:t>can</w:t>
      </w:r>
      <w:r>
        <w:rPr>
          <w:color w:val="231F20"/>
          <w:spacing w:val="-12"/>
          <w:w w:val="105"/>
        </w:rPr>
        <w:t xml:space="preserve"> </w:t>
      </w:r>
      <w:r>
        <w:rPr>
          <w:color w:val="231F20"/>
          <w:w w:val="105"/>
        </w:rPr>
        <w:t>discuss</w:t>
      </w:r>
      <w:r>
        <w:rPr>
          <w:color w:val="231F20"/>
          <w:spacing w:val="-12"/>
          <w:w w:val="105"/>
        </w:rPr>
        <w:t xml:space="preserve"> </w:t>
      </w:r>
      <w:r>
        <w:rPr>
          <w:color w:val="231F20"/>
          <w:w w:val="105"/>
        </w:rPr>
        <w:t>workers’</w:t>
      </w:r>
      <w:r>
        <w:rPr>
          <w:color w:val="231F20"/>
          <w:spacing w:val="-12"/>
          <w:w w:val="105"/>
        </w:rPr>
        <w:t xml:space="preserve"> </w:t>
      </w:r>
      <w:r>
        <w:rPr>
          <w:color w:val="231F20"/>
          <w:w w:val="105"/>
        </w:rPr>
        <w:t>participation, is to make a mockery of the wretched of the</w:t>
      </w:r>
      <w:r>
        <w:rPr>
          <w:color w:val="231F20"/>
          <w:spacing w:val="32"/>
          <w:w w:val="105"/>
        </w:rPr>
        <w:t xml:space="preserve"> </w:t>
      </w:r>
      <w:r>
        <w:rPr>
          <w:color w:val="231F20"/>
          <w:w w:val="105"/>
        </w:rPr>
        <w:t>earth.”</w:t>
      </w:r>
    </w:p>
    <w:p w14:paraId="4472491C" w14:textId="77777777" w:rsidR="002653E8" w:rsidRDefault="003115E3">
      <w:pPr>
        <w:pStyle w:val="a3"/>
        <w:spacing w:line="264" w:lineRule="auto"/>
        <w:ind w:left="1327" w:right="1146" w:firstLine="209"/>
        <w:jc w:val="both"/>
      </w:pPr>
      <w:r>
        <w:rPr>
          <w:color w:val="231F20"/>
        </w:rPr>
        <w:t>Following this logic, to bomb BASF in Ludwigshafen would be to mock the people who bombed BASF in Brazil. The Latin American comrades feel differently.</w:t>
      </w:r>
      <w:r>
        <w:rPr>
          <w:color w:val="231F20"/>
          <w:spacing w:val="22"/>
        </w:rPr>
        <w:t xml:space="preserve"> </w:t>
      </w:r>
      <w:r>
        <w:rPr>
          <w:color w:val="231F20"/>
        </w:rPr>
        <w:t>BASF does as well.</w:t>
      </w:r>
    </w:p>
    <w:p w14:paraId="6F6B853F" w14:textId="77777777" w:rsidR="002653E8" w:rsidRDefault="003115E3">
      <w:pPr>
        <w:pStyle w:val="a3"/>
        <w:spacing w:line="264" w:lineRule="auto"/>
        <w:ind w:left="1328" w:right="1145" w:firstLine="210"/>
        <w:jc w:val="both"/>
      </w:pPr>
      <w:r>
        <w:rPr>
          <w:color w:val="231F20"/>
        </w:rPr>
        <w:t xml:space="preserve">The argument that the Federal Republic is not Latin America is advanced by people who speak about current affairs from a perspective in which their monthly income is secure, and who speak in a </w:t>
      </w:r>
      <w:r>
        <w:rPr>
          <w:color w:val="231F20"/>
          <w:spacing w:val="-2"/>
        </w:rPr>
        <w:t xml:space="preserve">way </w:t>
      </w:r>
      <w:r>
        <w:rPr>
          <w:color w:val="231F20"/>
        </w:rPr>
        <w:t xml:space="preserve">which keeps it secure; it is an example of human coldness and intellectual arrogance in the face of the problems of people here. Reality in the Federal Republic is in this </w:t>
      </w:r>
      <w:r>
        <w:rPr>
          <w:color w:val="231F20"/>
          <w:spacing w:val="-2"/>
        </w:rPr>
        <w:t xml:space="preserve">way </w:t>
      </w:r>
      <w:r>
        <w:rPr>
          <w:color w:val="231F20"/>
        </w:rPr>
        <w:t xml:space="preserve">factually and analytically removed from the table. </w:t>
      </w:r>
      <w:r>
        <w:rPr>
          <w:color w:val="231F20"/>
          <w:spacing w:val="2"/>
        </w:rPr>
        <w:t xml:space="preserve">An </w:t>
      </w:r>
      <w:r>
        <w:rPr>
          <w:color w:val="231F20"/>
        </w:rPr>
        <w:t>analysis of questions here must be based on the objective relevance</w:t>
      </w:r>
      <w:r>
        <w:rPr>
          <w:color w:val="231F20"/>
          <w:spacing w:val="-4"/>
        </w:rPr>
        <w:t xml:space="preserve"> </w:t>
      </w:r>
      <w:r>
        <w:rPr>
          <w:color w:val="231F20"/>
        </w:rPr>
        <w:t>of</w:t>
      </w:r>
      <w:r>
        <w:rPr>
          <w:color w:val="231F20"/>
          <w:spacing w:val="-4"/>
        </w:rPr>
        <w:t xml:space="preserve"> </w:t>
      </w:r>
      <w:r>
        <w:rPr>
          <w:color w:val="231F20"/>
        </w:rPr>
        <w:t>social</w:t>
      </w:r>
      <w:r>
        <w:rPr>
          <w:color w:val="231F20"/>
          <w:spacing w:val="-4"/>
        </w:rPr>
        <w:t xml:space="preserve"> </w:t>
      </w:r>
      <w:r>
        <w:rPr>
          <w:color w:val="231F20"/>
        </w:rPr>
        <w:t>questions,</w:t>
      </w:r>
      <w:r>
        <w:rPr>
          <w:color w:val="231F20"/>
          <w:spacing w:val="-4"/>
        </w:rPr>
        <w:t xml:space="preserve"> </w:t>
      </w:r>
      <w:r>
        <w:rPr>
          <w:color w:val="231F20"/>
        </w:rPr>
        <w:t>on</w:t>
      </w:r>
      <w:r>
        <w:rPr>
          <w:color w:val="231F20"/>
          <w:spacing w:val="-4"/>
        </w:rPr>
        <w:t xml:space="preserve"> </w:t>
      </w:r>
      <w:r>
        <w:rPr>
          <w:color w:val="231F20"/>
        </w:rPr>
        <w:t>the</w:t>
      </w:r>
      <w:r>
        <w:rPr>
          <w:color w:val="231F20"/>
          <w:spacing w:val="-4"/>
        </w:rPr>
        <w:t xml:space="preserve"> </w:t>
      </w:r>
      <w:r>
        <w:rPr>
          <w:color w:val="231F20"/>
        </w:rPr>
        <w:t>subjective</w:t>
      </w:r>
      <w:r>
        <w:rPr>
          <w:color w:val="231F20"/>
          <w:spacing w:val="-4"/>
        </w:rPr>
        <w:t xml:space="preserve"> </w:t>
      </w:r>
      <w:r>
        <w:rPr>
          <w:color w:val="231F20"/>
        </w:rPr>
        <w:t>relevance</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question of</w:t>
      </w:r>
      <w:r>
        <w:rPr>
          <w:color w:val="231F20"/>
          <w:spacing w:val="11"/>
        </w:rPr>
        <w:t xml:space="preserve"> </w:t>
      </w:r>
      <w:r>
        <w:rPr>
          <w:color w:val="231F20"/>
        </w:rPr>
        <w:t>ownership,</w:t>
      </w:r>
      <w:r>
        <w:rPr>
          <w:color w:val="231F20"/>
          <w:spacing w:val="11"/>
        </w:rPr>
        <w:t xml:space="preserve"> </w:t>
      </w:r>
      <w:r>
        <w:rPr>
          <w:color w:val="231F20"/>
        </w:rPr>
        <w:t>and</w:t>
      </w:r>
      <w:r>
        <w:rPr>
          <w:color w:val="231F20"/>
          <w:spacing w:val="11"/>
        </w:rPr>
        <w:t xml:space="preserve"> </w:t>
      </w:r>
      <w:r>
        <w:rPr>
          <w:color w:val="231F20"/>
        </w:rPr>
        <w:t>on</w:t>
      </w:r>
      <w:r>
        <w:rPr>
          <w:color w:val="231F20"/>
          <w:spacing w:val="11"/>
        </w:rPr>
        <w:t xml:space="preserve"> </w:t>
      </w:r>
      <w:r>
        <w:rPr>
          <w:color w:val="231F20"/>
        </w:rPr>
        <w:t>the</w:t>
      </w:r>
      <w:r>
        <w:rPr>
          <w:color w:val="231F20"/>
          <w:spacing w:val="11"/>
        </w:rPr>
        <w:t xml:space="preserve"> </w:t>
      </w:r>
      <w:r>
        <w:rPr>
          <w:color w:val="231F20"/>
        </w:rPr>
        <w:t>militarization</w:t>
      </w:r>
      <w:r>
        <w:rPr>
          <w:color w:val="231F20"/>
          <w:spacing w:val="11"/>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class</w:t>
      </w:r>
      <w:r>
        <w:rPr>
          <w:color w:val="231F20"/>
          <w:spacing w:val="11"/>
        </w:rPr>
        <w:t xml:space="preserve"> </w:t>
      </w:r>
      <w:r>
        <w:rPr>
          <w:color w:val="231F20"/>
        </w:rPr>
        <w:t>struggle.</w:t>
      </w:r>
    </w:p>
    <w:p w14:paraId="0AE3A612" w14:textId="77777777" w:rsidR="002653E8" w:rsidRDefault="002653E8">
      <w:pPr>
        <w:pStyle w:val="a3"/>
        <w:spacing w:before="11"/>
        <w:rPr>
          <w:sz w:val="19"/>
        </w:rPr>
      </w:pPr>
    </w:p>
    <w:p w14:paraId="5A66AE78" w14:textId="77777777" w:rsidR="002653E8" w:rsidRPr="009643A7" w:rsidRDefault="003115E3">
      <w:pPr>
        <w:ind w:left="1328"/>
        <w:rPr>
          <w:rFonts w:ascii="宋体" w:eastAsia="宋体" w:hAnsi="宋体" w:cs="宋体"/>
          <w:i/>
          <w:sz w:val="20"/>
        </w:rPr>
      </w:pPr>
      <w:r>
        <w:rPr>
          <w:i/>
          <w:color w:val="231F20"/>
          <w:sz w:val="20"/>
        </w:rPr>
        <w:t>Poverty in the Federal Republic</w:t>
      </w:r>
    </w:p>
    <w:p w14:paraId="304018B2" w14:textId="77777777" w:rsidR="002653E8" w:rsidRDefault="003115E3">
      <w:pPr>
        <w:pStyle w:val="a3"/>
        <w:spacing w:before="23" w:line="264" w:lineRule="auto"/>
        <w:ind w:left="1328" w:right="1146"/>
        <w:jc w:val="both"/>
      </w:pPr>
      <w:r>
        <w:rPr>
          <w:color w:val="231F20"/>
        </w:rPr>
        <w:t>The objective relevance of social questions means the reality of poverty in the Federal Republic. The fact that this poverty is largely hidden doesn’t mean that it doesn’t exist. The fact that there is no chance that this poverty will lead to social revolution is no reason to act as if it doesn’t exist.</w:t>
      </w:r>
    </w:p>
    <w:p w14:paraId="26003C1B" w14:textId="77777777" w:rsidR="002653E8" w:rsidRDefault="003115E3">
      <w:pPr>
        <w:pStyle w:val="a3"/>
        <w:spacing w:line="264" w:lineRule="auto"/>
        <w:ind w:left="1327" w:right="1145" w:firstLine="210"/>
        <w:jc w:val="both"/>
      </w:pPr>
      <w:r>
        <w:rPr>
          <w:color w:val="231F20"/>
        </w:rPr>
        <w:t>Jürgen Roth,</w:t>
      </w:r>
      <w:r>
        <w:rPr>
          <w:color w:val="231F20"/>
          <w:position w:val="7"/>
          <w:sz w:val="11"/>
        </w:rPr>
        <w:t xml:space="preserve">3 </w:t>
      </w:r>
      <w:r>
        <w:rPr>
          <w:color w:val="231F20"/>
        </w:rPr>
        <w:t xml:space="preserve">in his book </w:t>
      </w:r>
      <w:r>
        <w:rPr>
          <w:i/>
          <w:color w:val="231F20"/>
        </w:rPr>
        <w:t xml:space="preserve">Armut in </w:t>
      </w:r>
      <w:r>
        <w:rPr>
          <w:i/>
          <w:color w:val="231F20"/>
          <w:spacing w:val="1"/>
        </w:rPr>
        <w:t xml:space="preserve">der </w:t>
      </w:r>
      <w:r>
        <w:rPr>
          <w:i/>
          <w:color w:val="231F20"/>
        </w:rPr>
        <w:t>Bundesrepublik</w:t>
      </w:r>
      <w:r>
        <w:rPr>
          <w:color w:val="231F20"/>
          <w:position w:val="7"/>
          <w:sz w:val="11"/>
        </w:rPr>
        <w:t xml:space="preserve">4 </w:t>
      </w:r>
      <w:r>
        <w:rPr>
          <w:color w:val="231F20"/>
        </w:rPr>
        <w:t xml:space="preserve">has as sembled almost everything that needs to be said on this topic. 14  million people in the Federal Republic and </w:t>
      </w:r>
      <w:r>
        <w:rPr>
          <w:color w:val="231F20"/>
          <w:spacing w:val="-3"/>
        </w:rPr>
        <w:t xml:space="preserve">West </w:t>
      </w:r>
      <w:r>
        <w:rPr>
          <w:color w:val="231F20"/>
        </w:rPr>
        <w:t xml:space="preserve">Berlin are living in poverty </w:t>
      </w:r>
      <w:r>
        <w:rPr>
          <w:color w:val="231F20"/>
          <w:spacing w:val="-4"/>
        </w:rPr>
        <w:t xml:space="preserve">today. 1.1 </w:t>
      </w:r>
      <w:r>
        <w:rPr>
          <w:color w:val="231F20"/>
        </w:rPr>
        <w:t>million people living in rural areas must get by on  100 to 400 marks</w:t>
      </w:r>
      <w:r>
        <w:rPr>
          <w:color w:val="231F20"/>
          <w:position w:val="7"/>
          <w:sz w:val="11"/>
        </w:rPr>
        <w:t xml:space="preserve">5 </w:t>
      </w:r>
      <w:r>
        <w:rPr>
          <w:color w:val="231F20"/>
        </w:rPr>
        <w:t>per month; these are the families of small farmers and</w:t>
      </w:r>
      <w:r>
        <w:rPr>
          <w:color w:val="231F20"/>
          <w:spacing w:val="30"/>
        </w:rPr>
        <w:t xml:space="preserve"> </w:t>
      </w:r>
      <w:r>
        <w:rPr>
          <w:color w:val="231F20"/>
        </w:rPr>
        <w:t>people</w:t>
      </w:r>
      <w:r>
        <w:rPr>
          <w:color w:val="231F20"/>
          <w:spacing w:val="30"/>
        </w:rPr>
        <w:t xml:space="preserve"> </w:t>
      </w:r>
      <w:r>
        <w:rPr>
          <w:color w:val="231F20"/>
        </w:rPr>
        <w:t>retired</w:t>
      </w:r>
      <w:r>
        <w:rPr>
          <w:color w:val="231F20"/>
          <w:spacing w:val="30"/>
        </w:rPr>
        <w:t xml:space="preserve"> </w:t>
      </w:r>
      <w:r>
        <w:rPr>
          <w:color w:val="231F20"/>
        </w:rPr>
        <w:t>from</w:t>
      </w:r>
      <w:r>
        <w:rPr>
          <w:color w:val="231F20"/>
          <w:spacing w:val="30"/>
        </w:rPr>
        <w:t xml:space="preserve"> </w:t>
      </w:r>
      <w:r>
        <w:rPr>
          <w:color w:val="231F20"/>
        </w:rPr>
        <w:t>sharecropping.</w:t>
      </w:r>
      <w:r>
        <w:rPr>
          <w:color w:val="231F20"/>
          <w:spacing w:val="31"/>
        </w:rPr>
        <w:t xml:space="preserve"> </w:t>
      </w:r>
      <w:r>
        <w:rPr>
          <w:color w:val="231F20"/>
        </w:rPr>
        <w:t>4.66</w:t>
      </w:r>
      <w:r>
        <w:rPr>
          <w:color w:val="231F20"/>
          <w:spacing w:val="30"/>
        </w:rPr>
        <w:t xml:space="preserve"> </w:t>
      </w:r>
      <w:r>
        <w:rPr>
          <w:color w:val="231F20"/>
        </w:rPr>
        <w:t>million</w:t>
      </w:r>
      <w:r>
        <w:rPr>
          <w:color w:val="231F20"/>
          <w:spacing w:val="30"/>
        </w:rPr>
        <w:t xml:space="preserve"> </w:t>
      </w:r>
      <w:r>
        <w:rPr>
          <w:color w:val="231F20"/>
        </w:rPr>
        <w:t>households</w:t>
      </w:r>
      <w:r>
        <w:rPr>
          <w:color w:val="231F20"/>
          <w:spacing w:val="30"/>
        </w:rPr>
        <w:t xml:space="preserve"> </w:t>
      </w:r>
      <w:r>
        <w:rPr>
          <w:color w:val="231F20"/>
        </w:rPr>
        <w:t>with</w:t>
      </w:r>
    </w:p>
    <w:p w14:paraId="720EB0AC" w14:textId="77777777" w:rsidR="002653E8" w:rsidRDefault="00000000">
      <w:pPr>
        <w:pStyle w:val="a3"/>
        <w:spacing w:before="6"/>
      </w:pPr>
      <w:r>
        <w:rPr>
          <w:noProof w:val="0"/>
        </w:rPr>
        <w:pict w14:anchorId="7480F618">
          <v:line id="_x0000_s2562" style="position:absolute;z-index:4384;mso-wrap-distance-left:0;mso-wrap-distance-right:0;mso-position-horizontal-relative:page" from="66.4pt,14.25pt" to="138.4pt,14.25pt" strokecolor="#231f20" strokeweight=".5pt">
            <w10:wrap type="topAndBottom" anchorx="page"/>
          </v:line>
        </w:pict>
      </w:r>
    </w:p>
    <w:p w14:paraId="389CA0A9" w14:textId="77777777" w:rsidR="002653E8" w:rsidRDefault="003115E3">
      <w:pPr>
        <w:pStyle w:val="a4"/>
        <w:numPr>
          <w:ilvl w:val="0"/>
          <w:numId w:val="146"/>
        </w:numPr>
        <w:tabs>
          <w:tab w:val="left" w:pos="1467"/>
        </w:tabs>
        <w:spacing w:before="53"/>
        <w:ind w:firstLine="0"/>
        <w:rPr>
          <w:sz w:val="16"/>
        </w:rPr>
      </w:pPr>
      <w:r>
        <w:rPr>
          <w:color w:val="231F20"/>
          <w:w w:val="110"/>
          <w:sz w:val="16"/>
        </w:rPr>
        <w:t>A prominent German publishing</w:t>
      </w:r>
      <w:r>
        <w:rPr>
          <w:color w:val="231F20"/>
          <w:spacing w:val="20"/>
          <w:w w:val="110"/>
          <w:sz w:val="16"/>
        </w:rPr>
        <w:t xml:space="preserve"> </w:t>
      </w:r>
      <w:r>
        <w:rPr>
          <w:color w:val="231F20"/>
          <w:w w:val="110"/>
          <w:sz w:val="16"/>
        </w:rPr>
        <w:t>company.</w:t>
      </w:r>
    </w:p>
    <w:p w14:paraId="6BCC35B4" w14:textId="77777777" w:rsidR="002653E8" w:rsidRDefault="003115E3">
      <w:pPr>
        <w:pStyle w:val="a4"/>
        <w:numPr>
          <w:ilvl w:val="0"/>
          <w:numId w:val="146"/>
        </w:numPr>
        <w:tabs>
          <w:tab w:val="left" w:pos="1467"/>
        </w:tabs>
        <w:spacing w:before="51" w:line="307" w:lineRule="auto"/>
        <w:ind w:right="3522" w:firstLine="0"/>
        <w:rPr>
          <w:sz w:val="16"/>
        </w:rPr>
      </w:pPr>
      <w:r>
        <w:rPr>
          <w:color w:val="231F20"/>
          <w:w w:val="105"/>
          <w:sz w:val="16"/>
        </w:rPr>
        <w:t>Destroy the Islands of Wealth in the Third World.  3 Jürgen Roth is a German investigative journalist.    4 Poverty in the Federal</w:t>
      </w:r>
      <w:r>
        <w:rPr>
          <w:color w:val="231F20"/>
          <w:spacing w:val="3"/>
          <w:w w:val="105"/>
          <w:sz w:val="16"/>
        </w:rPr>
        <w:t xml:space="preserve"> </w:t>
      </w:r>
      <w:r>
        <w:rPr>
          <w:color w:val="231F20"/>
          <w:w w:val="105"/>
          <w:sz w:val="16"/>
        </w:rPr>
        <w:t>Republic.</w:t>
      </w:r>
    </w:p>
    <w:p w14:paraId="14353114" w14:textId="77777777" w:rsidR="002653E8" w:rsidRDefault="003115E3">
      <w:pPr>
        <w:spacing w:line="185" w:lineRule="exact"/>
        <w:ind w:left="1327"/>
        <w:rPr>
          <w:sz w:val="16"/>
        </w:rPr>
      </w:pPr>
      <w:r>
        <w:rPr>
          <w:color w:val="231F20"/>
          <w:w w:val="110"/>
          <w:sz w:val="16"/>
        </w:rPr>
        <w:t>5 Roughly $35 to $140.</w:t>
      </w:r>
    </w:p>
    <w:p w14:paraId="57A89B50" w14:textId="77777777" w:rsidR="002653E8" w:rsidRDefault="002653E8">
      <w:pPr>
        <w:spacing w:line="185" w:lineRule="exact"/>
        <w:rPr>
          <w:sz w:val="16"/>
        </w:rPr>
        <w:sectPr w:rsidR="002653E8">
          <w:pgSz w:w="8640" w:h="12960"/>
          <w:pgMar w:top="1060" w:right="0" w:bottom="1040" w:left="0" w:header="0" w:footer="850" w:gutter="0"/>
          <w:cols w:space="720"/>
        </w:sectPr>
      </w:pPr>
    </w:p>
    <w:p w14:paraId="7A5B3E1A" w14:textId="77777777" w:rsidR="002653E8" w:rsidRDefault="003115E3">
      <w:pPr>
        <w:pStyle w:val="a3"/>
        <w:spacing w:before="86" w:line="264" w:lineRule="auto"/>
        <w:ind w:left="1147" w:right="1320"/>
        <w:jc w:val="both"/>
      </w:pPr>
      <w:r>
        <w:rPr>
          <w:color w:val="231F20"/>
        </w:rPr>
        <w:lastRenderedPageBreak/>
        <w:t>an average of three members must get by on a monthly net income        of less  than  600  marks;</w:t>
      </w:r>
      <w:r>
        <w:rPr>
          <w:color w:val="231F20"/>
          <w:position w:val="7"/>
          <w:sz w:val="11"/>
        </w:rPr>
        <w:t xml:space="preserve">1  </w:t>
      </w:r>
      <w:r>
        <w:rPr>
          <w:color w:val="231F20"/>
        </w:rPr>
        <w:t xml:space="preserve">that  is  21  percent  of  all  households.  Over  5 million pensioners have a  monthly  pension  of  around  </w:t>
      </w:r>
      <w:r>
        <w:rPr>
          <w:color w:val="231F20"/>
          <w:spacing w:val="-9"/>
        </w:rPr>
        <w:t xml:space="preserve">350  </w:t>
      </w:r>
      <w:r>
        <w:rPr>
          <w:color w:val="231F20"/>
        </w:rPr>
        <w:t>marks.</w:t>
      </w:r>
      <w:r>
        <w:rPr>
          <w:color w:val="231F20"/>
          <w:position w:val="7"/>
          <w:sz w:val="11"/>
        </w:rPr>
        <w:t xml:space="preserve">2 </w:t>
      </w:r>
      <w:r>
        <w:rPr>
          <w:color w:val="231F20"/>
          <w:spacing w:val="-8"/>
        </w:rPr>
        <w:t xml:space="preserve">To  </w:t>
      </w:r>
      <w:r>
        <w:rPr>
          <w:color w:val="231F20"/>
        </w:rPr>
        <w:t xml:space="preserve">this add </w:t>
      </w:r>
      <w:r>
        <w:rPr>
          <w:color w:val="231F20"/>
          <w:spacing w:val="1"/>
        </w:rPr>
        <w:t xml:space="preserve">600,000 </w:t>
      </w:r>
      <w:r>
        <w:rPr>
          <w:color w:val="231F20"/>
        </w:rPr>
        <w:t xml:space="preserve">people in low-income housing projects, 450,000    in homeless shelters, 100,000 institutionalized children, 100,000 in mental asylums, 50,000 adults in prison and 50,000 youth in reform schools. Those are the official figures. Everyone knows that official figures in this area are always underestimates. </w:t>
      </w:r>
      <w:r>
        <w:rPr>
          <w:color w:val="231F20"/>
          <w:spacing w:val="1"/>
        </w:rPr>
        <w:t xml:space="preserve">In </w:t>
      </w:r>
      <w:r>
        <w:rPr>
          <w:color w:val="231F20"/>
        </w:rPr>
        <w:t xml:space="preserve">Bremen, 11,000 people receive heating subsidies because they can’t afford to buy coal. The Munich Housing Bureau calculates that the number of homeless will increase from </w:t>
      </w:r>
      <w:r>
        <w:rPr>
          <w:color w:val="231F20"/>
          <w:spacing w:val="-5"/>
        </w:rPr>
        <w:t xml:space="preserve">7,300 </w:t>
      </w:r>
      <w:r>
        <w:rPr>
          <w:color w:val="231F20"/>
        </w:rPr>
        <w:t xml:space="preserve">to 25,000. </w:t>
      </w:r>
      <w:r>
        <w:rPr>
          <w:color w:val="231F20"/>
          <w:spacing w:val="1"/>
        </w:rPr>
        <w:t xml:space="preserve">In </w:t>
      </w:r>
      <w:r>
        <w:rPr>
          <w:color w:val="231F20"/>
        </w:rPr>
        <w:t xml:space="preserve">Cologne, in </w:t>
      </w:r>
      <w:r>
        <w:rPr>
          <w:color w:val="231F20"/>
          <w:spacing w:val="-5"/>
        </w:rPr>
        <w:t xml:space="preserve">1963, </w:t>
      </w:r>
      <w:r>
        <w:rPr>
          <w:color w:val="231F20"/>
        </w:rPr>
        <w:t>17,000 lived in low-income housing</w:t>
      </w:r>
      <w:r>
        <w:rPr>
          <w:color w:val="231F20"/>
          <w:spacing w:val="21"/>
        </w:rPr>
        <w:t xml:space="preserve"> </w:t>
      </w:r>
      <w:r>
        <w:rPr>
          <w:color w:val="231F20"/>
        </w:rPr>
        <w:t>projects.</w:t>
      </w:r>
    </w:p>
    <w:p w14:paraId="196A56D2" w14:textId="77777777" w:rsidR="002653E8" w:rsidRDefault="003115E3">
      <w:pPr>
        <w:pStyle w:val="a3"/>
        <w:spacing w:line="221" w:lineRule="exact"/>
        <w:ind w:left="1358"/>
        <w:rPr>
          <w:sz w:val="11"/>
        </w:rPr>
      </w:pPr>
      <w:r>
        <w:rPr>
          <w:color w:val="231F20"/>
        </w:rPr>
        <w:t>In the Nordweststadt neighborhood in Frankfurt one pays 460 marks</w:t>
      </w:r>
      <w:r>
        <w:rPr>
          <w:color w:val="231F20"/>
          <w:position w:val="7"/>
          <w:sz w:val="11"/>
        </w:rPr>
        <w:t>3</w:t>
      </w:r>
    </w:p>
    <w:p w14:paraId="1F917502" w14:textId="77777777" w:rsidR="002653E8" w:rsidRDefault="003115E3">
      <w:pPr>
        <w:pStyle w:val="a3"/>
        <w:spacing w:before="23" w:line="264" w:lineRule="auto"/>
        <w:ind w:left="1148" w:right="1325" w:hanging="1"/>
        <w:jc w:val="both"/>
      </w:pPr>
      <w:r>
        <w:rPr>
          <w:color w:val="231F20"/>
        </w:rPr>
        <w:t>rent for two rooms totaling about 60 square metres. In Nordweststadt the electricity metres are found in the basement. In almost every highrise at least one electricity metre is turned off, regardless of whether there are small children in the apartment and regardless of whether it is winter. The city of Frankfurt turns off the electricity to 50 homes every day; approximately 800 families a month have their electricity cut.</w:t>
      </w:r>
    </w:p>
    <w:p w14:paraId="2A42827A" w14:textId="77777777" w:rsidR="002653E8" w:rsidRDefault="003115E3">
      <w:pPr>
        <w:pStyle w:val="a3"/>
        <w:spacing w:line="264" w:lineRule="auto"/>
        <w:ind w:left="1148" w:right="1326" w:firstLine="210"/>
        <w:jc w:val="both"/>
      </w:pPr>
      <w:r>
        <w:rPr>
          <w:color w:val="231F20"/>
        </w:rPr>
        <w:t>Approximately 5,000 vagrants live in Frankfurt. At night, water is used to drive them from the area where they sleep on the B level of the Hauptwache pedestrian mall. When the police leave, they come back,   lie</w:t>
      </w:r>
      <w:r>
        <w:rPr>
          <w:color w:val="231F20"/>
          <w:spacing w:val="10"/>
        </w:rPr>
        <w:t xml:space="preserve"> </w:t>
      </w:r>
      <w:r>
        <w:rPr>
          <w:color w:val="231F20"/>
        </w:rPr>
        <w:t>newspapers</w:t>
      </w:r>
      <w:r>
        <w:rPr>
          <w:color w:val="231F20"/>
          <w:spacing w:val="10"/>
        </w:rPr>
        <w:t xml:space="preserve"> </w:t>
      </w:r>
      <w:r>
        <w:rPr>
          <w:color w:val="231F20"/>
        </w:rPr>
        <w:t>on</w:t>
      </w:r>
      <w:r>
        <w:rPr>
          <w:color w:val="231F20"/>
          <w:spacing w:val="10"/>
        </w:rPr>
        <w:t xml:space="preserve"> </w:t>
      </w:r>
      <w:r>
        <w:rPr>
          <w:color w:val="231F20"/>
        </w:rPr>
        <w:t>the</w:t>
      </w:r>
      <w:r>
        <w:rPr>
          <w:color w:val="231F20"/>
          <w:spacing w:val="10"/>
        </w:rPr>
        <w:t xml:space="preserve"> </w:t>
      </w:r>
      <w:r>
        <w:rPr>
          <w:color w:val="231F20"/>
        </w:rPr>
        <w:t>wet</w:t>
      </w:r>
      <w:r>
        <w:rPr>
          <w:color w:val="231F20"/>
          <w:spacing w:val="10"/>
        </w:rPr>
        <w:t xml:space="preserve"> </w:t>
      </w:r>
      <w:r>
        <w:rPr>
          <w:color w:val="231F20"/>
        </w:rPr>
        <w:t>ground,</w:t>
      </w:r>
      <w:r>
        <w:rPr>
          <w:color w:val="231F20"/>
          <w:spacing w:val="10"/>
        </w:rPr>
        <w:t xml:space="preserve"> </w:t>
      </w:r>
      <w:r>
        <w:rPr>
          <w:color w:val="231F20"/>
        </w:rPr>
        <w:t>and</w:t>
      </w:r>
      <w:r>
        <w:rPr>
          <w:color w:val="231F20"/>
          <w:spacing w:val="10"/>
        </w:rPr>
        <w:t xml:space="preserve"> </w:t>
      </w:r>
      <w:r>
        <w:rPr>
          <w:color w:val="231F20"/>
        </w:rPr>
        <w:t>go</w:t>
      </w:r>
      <w:r>
        <w:rPr>
          <w:color w:val="231F20"/>
          <w:spacing w:val="10"/>
        </w:rPr>
        <w:t xml:space="preserve"> </w:t>
      </w:r>
      <w:r>
        <w:rPr>
          <w:color w:val="231F20"/>
        </w:rPr>
        <w:t>back</w:t>
      </w:r>
      <w:r>
        <w:rPr>
          <w:color w:val="231F20"/>
          <w:spacing w:val="10"/>
        </w:rPr>
        <w:t xml:space="preserve"> </w:t>
      </w:r>
      <w:r>
        <w:rPr>
          <w:color w:val="231F20"/>
        </w:rPr>
        <w:t>to</w:t>
      </w:r>
      <w:r>
        <w:rPr>
          <w:color w:val="231F20"/>
          <w:spacing w:val="10"/>
        </w:rPr>
        <w:t xml:space="preserve"> </w:t>
      </w:r>
      <w:r>
        <w:rPr>
          <w:color w:val="231F20"/>
        </w:rPr>
        <w:t>sleep.</w:t>
      </w:r>
    </w:p>
    <w:p w14:paraId="5494575D" w14:textId="77777777" w:rsidR="002653E8" w:rsidRDefault="003115E3">
      <w:pPr>
        <w:pStyle w:val="a3"/>
        <w:spacing w:line="264" w:lineRule="auto"/>
        <w:ind w:left="1148" w:right="1325" w:firstLine="210"/>
        <w:jc w:val="both"/>
      </w:pPr>
      <w:r>
        <w:rPr>
          <w:color w:val="231F20"/>
          <w:w w:val="105"/>
        </w:rPr>
        <w:t>7 million homes in the Federal Republic have neither a bath nor a toilet. 800,000 families live in barracks. In Frankfurt, 20,000 people are searching for homes. In Düsseldorf, it’s 30,000.</w:t>
      </w:r>
    </w:p>
    <w:p w14:paraId="59E86AD8" w14:textId="77777777" w:rsidR="002653E8" w:rsidRDefault="003115E3">
      <w:pPr>
        <w:pStyle w:val="a3"/>
        <w:spacing w:line="264" w:lineRule="auto"/>
        <w:ind w:left="1148" w:right="1325" w:firstLine="209"/>
        <w:jc w:val="both"/>
      </w:pPr>
      <w:r>
        <w:rPr>
          <w:color w:val="231F20"/>
        </w:rPr>
        <w:t>600,000 people in the Federal Republic suffer from schizophrenia. If schizophrenia is not treated it is debilitating. 3 percent of the population is unable to work or pursue a career. 5 to 6 million people require some form of psychological support. Some psychiatric institutions have only 0.75 square metres of space per patient.</w:t>
      </w:r>
    </w:p>
    <w:p w14:paraId="4457B510" w14:textId="77777777" w:rsidR="002653E8" w:rsidRDefault="003115E3">
      <w:pPr>
        <w:pStyle w:val="a3"/>
        <w:spacing w:line="264" w:lineRule="auto"/>
        <w:ind w:left="1148" w:right="1325" w:firstLine="209"/>
        <w:jc w:val="both"/>
      </w:pPr>
      <w:r>
        <w:rPr>
          <w:color w:val="231F20"/>
        </w:rPr>
        <w:t>High school teachers estimate that 80 percent of working class children do not attend classes.</w:t>
      </w:r>
    </w:p>
    <w:p w14:paraId="73CA036C" w14:textId="77777777" w:rsidR="002653E8" w:rsidRDefault="003115E3">
      <w:pPr>
        <w:pStyle w:val="a3"/>
        <w:spacing w:line="264" w:lineRule="auto"/>
        <w:ind w:left="1148" w:right="1325" w:firstLine="210"/>
        <w:jc w:val="both"/>
      </w:pPr>
      <w:r>
        <w:rPr>
          <w:color w:val="231F20"/>
        </w:rPr>
        <w:t>Poverty in the Federal Republic is not decreasing; it is increasing. Demand for housing is increasing. The need for schools is increasing. Child abuse is increasing. At the end of 1970, 7,000 cases were reported;</w:t>
      </w:r>
    </w:p>
    <w:p w14:paraId="27F2338E" w14:textId="77777777" w:rsidR="002653E8" w:rsidRDefault="00000000">
      <w:pPr>
        <w:pStyle w:val="a3"/>
        <w:spacing w:before="5"/>
        <w:rPr>
          <w:sz w:val="16"/>
        </w:rPr>
      </w:pPr>
      <w:r>
        <w:rPr>
          <w:noProof w:val="0"/>
        </w:rPr>
        <w:pict w14:anchorId="126DF2A7">
          <v:line id="_x0000_s2561" style="position:absolute;z-index:4408;mso-wrap-distance-left:0;mso-wrap-distance-right:0;mso-position-horizontal-relative:page" from="57.4pt,11.85pt" to="129.4pt,11.85pt" strokecolor="#231f20" strokeweight=".5pt">
            <w10:wrap type="topAndBottom" anchorx="page"/>
          </v:line>
        </w:pict>
      </w:r>
    </w:p>
    <w:p w14:paraId="11B0A907" w14:textId="77777777" w:rsidR="002653E8" w:rsidRDefault="003115E3">
      <w:pPr>
        <w:pStyle w:val="a4"/>
        <w:numPr>
          <w:ilvl w:val="0"/>
          <w:numId w:val="145"/>
        </w:numPr>
        <w:tabs>
          <w:tab w:val="left" w:pos="1287"/>
        </w:tabs>
        <w:spacing w:before="53"/>
        <w:ind w:hanging="180"/>
        <w:jc w:val="left"/>
        <w:rPr>
          <w:sz w:val="16"/>
        </w:rPr>
      </w:pPr>
      <w:r>
        <w:rPr>
          <w:color w:val="231F20"/>
          <w:w w:val="110"/>
          <w:sz w:val="16"/>
        </w:rPr>
        <w:t>Roughly</w:t>
      </w:r>
      <w:r>
        <w:rPr>
          <w:color w:val="231F20"/>
          <w:spacing w:val="3"/>
          <w:w w:val="110"/>
          <w:sz w:val="16"/>
        </w:rPr>
        <w:t xml:space="preserve"> </w:t>
      </w:r>
      <w:r>
        <w:rPr>
          <w:color w:val="231F20"/>
          <w:w w:val="110"/>
          <w:sz w:val="16"/>
        </w:rPr>
        <w:t>$220.</w:t>
      </w:r>
    </w:p>
    <w:p w14:paraId="41512E3C" w14:textId="77777777" w:rsidR="002653E8" w:rsidRDefault="003115E3">
      <w:pPr>
        <w:pStyle w:val="a4"/>
        <w:numPr>
          <w:ilvl w:val="0"/>
          <w:numId w:val="145"/>
        </w:numPr>
        <w:tabs>
          <w:tab w:val="left" w:pos="1287"/>
        </w:tabs>
        <w:spacing w:before="51"/>
        <w:ind w:hanging="180"/>
        <w:jc w:val="left"/>
        <w:rPr>
          <w:sz w:val="16"/>
        </w:rPr>
      </w:pPr>
      <w:r>
        <w:rPr>
          <w:color w:val="231F20"/>
          <w:w w:val="110"/>
          <w:sz w:val="16"/>
        </w:rPr>
        <w:t>Roughly</w:t>
      </w:r>
      <w:r>
        <w:rPr>
          <w:color w:val="231F20"/>
          <w:spacing w:val="5"/>
          <w:w w:val="110"/>
          <w:sz w:val="16"/>
        </w:rPr>
        <w:t xml:space="preserve"> </w:t>
      </w:r>
      <w:r>
        <w:rPr>
          <w:color w:val="231F20"/>
          <w:spacing w:val="-6"/>
          <w:w w:val="110"/>
          <w:sz w:val="16"/>
        </w:rPr>
        <w:t>$127.</w:t>
      </w:r>
    </w:p>
    <w:p w14:paraId="62679294" w14:textId="77777777" w:rsidR="002653E8" w:rsidRDefault="003115E3">
      <w:pPr>
        <w:pStyle w:val="a4"/>
        <w:numPr>
          <w:ilvl w:val="0"/>
          <w:numId w:val="145"/>
        </w:numPr>
        <w:tabs>
          <w:tab w:val="left" w:pos="1287"/>
        </w:tabs>
        <w:spacing w:before="52"/>
        <w:ind w:hanging="180"/>
        <w:jc w:val="left"/>
        <w:rPr>
          <w:sz w:val="16"/>
        </w:rPr>
      </w:pPr>
      <w:r>
        <w:rPr>
          <w:color w:val="231F20"/>
          <w:w w:val="110"/>
          <w:sz w:val="16"/>
        </w:rPr>
        <w:t>Roughly</w:t>
      </w:r>
      <w:r>
        <w:rPr>
          <w:color w:val="231F20"/>
          <w:spacing w:val="5"/>
          <w:w w:val="110"/>
          <w:sz w:val="16"/>
        </w:rPr>
        <w:t xml:space="preserve"> </w:t>
      </w:r>
      <w:r>
        <w:rPr>
          <w:color w:val="231F20"/>
          <w:spacing w:val="-6"/>
          <w:w w:val="110"/>
          <w:sz w:val="16"/>
        </w:rPr>
        <w:t>$167.</w:t>
      </w:r>
    </w:p>
    <w:p w14:paraId="3A6F2F5A" w14:textId="77777777" w:rsidR="002653E8" w:rsidRDefault="002653E8">
      <w:pPr>
        <w:rPr>
          <w:sz w:val="16"/>
        </w:rPr>
        <w:sectPr w:rsidR="002653E8">
          <w:pgSz w:w="8640" w:h="12960"/>
          <w:pgMar w:top="1060" w:right="0" w:bottom="1040" w:left="0" w:header="0" w:footer="850" w:gutter="0"/>
          <w:cols w:space="720"/>
        </w:sectPr>
      </w:pPr>
    </w:p>
    <w:p w14:paraId="567865A3" w14:textId="77777777" w:rsidR="002653E8" w:rsidRDefault="003115E3">
      <w:pPr>
        <w:pStyle w:val="a3"/>
        <w:spacing w:before="86" w:line="264" w:lineRule="auto"/>
        <w:ind w:left="1327" w:right="1146"/>
        <w:jc w:val="both"/>
      </w:pPr>
      <w:r>
        <w:rPr>
          <w:color w:val="231F20"/>
        </w:rPr>
        <w:lastRenderedPageBreak/>
        <w:t>it is estimated that in reality there were 100,000. It is also estimated that</w:t>
      </w:r>
      <w:r>
        <w:rPr>
          <w:color w:val="231F20"/>
          <w:spacing w:val="10"/>
        </w:rPr>
        <w:t xml:space="preserve"> </w:t>
      </w:r>
      <w:r>
        <w:rPr>
          <w:color w:val="231F20"/>
        </w:rPr>
        <w:t>1,000</w:t>
      </w:r>
      <w:r>
        <w:rPr>
          <w:color w:val="231F20"/>
          <w:spacing w:val="10"/>
        </w:rPr>
        <w:t xml:space="preserve"> </w:t>
      </w:r>
      <w:r>
        <w:rPr>
          <w:color w:val="231F20"/>
        </w:rPr>
        <w:t>children</w:t>
      </w:r>
      <w:r>
        <w:rPr>
          <w:color w:val="231F20"/>
          <w:spacing w:val="10"/>
        </w:rPr>
        <w:t xml:space="preserve"> </w:t>
      </w:r>
      <w:r>
        <w:rPr>
          <w:color w:val="231F20"/>
        </w:rPr>
        <w:t>are</w:t>
      </w:r>
      <w:r>
        <w:rPr>
          <w:color w:val="231F20"/>
          <w:spacing w:val="10"/>
        </w:rPr>
        <w:t xml:space="preserve"> </w:t>
      </w:r>
      <w:r>
        <w:rPr>
          <w:color w:val="231F20"/>
        </w:rPr>
        <w:t>beaten</w:t>
      </w:r>
      <w:r>
        <w:rPr>
          <w:color w:val="231F20"/>
          <w:spacing w:val="10"/>
        </w:rPr>
        <w:t xml:space="preserve"> </w:t>
      </w:r>
      <w:r>
        <w:rPr>
          <w:color w:val="231F20"/>
        </w:rPr>
        <w:t>to</w:t>
      </w:r>
      <w:r>
        <w:rPr>
          <w:color w:val="231F20"/>
          <w:spacing w:val="10"/>
        </w:rPr>
        <w:t xml:space="preserve"> </w:t>
      </w:r>
      <w:r>
        <w:rPr>
          <w:color w:val="231F20"/>
        </w:rPr>
        <w:t>death</w:t>
      </w:r>
      <w:r>
        <w:rPr>
          <w:color w:val="231F20"/>
          <w:spacing w:val="10"/>
        </w:rPr>
        <w:t xml:space="preserve"> </w:t>
      </w:r>
      <w:r>
        <w:rPr>
          <w:color w:val="231F20"/>
        </w:rPr>
        <w:t>each</w:t>
      </w:r>
      <w:r>
        <w:rPr>
          <w:color w:val="231F20"/>
          <w:spacing w:val="10"/>
        </w:rPr>
        <w:t xml:space="preserve"> </w:t>
      </w:r>
      <w:r>
        <w:rPr>
          <w:color w:val="231F20"/>
        </w:rPr>
        <w:t>year.</w:t>
      </w:r>
    </w:p>
    <w:p w14:paraId="63E0052A" w14:textId="77777777" w:rsidR="002653E8" w:rsidRDefault="003115E3">
      <w:pPr>
        <w:pStyle w:val="a3"/>
        <w:spacing w:line="264" w:lineRule="auto"/>
        <w:ind w:left="1327" w:right="1146" w:firstLine="210"/>
        <w:jc w:val="both"/>
      </w:pPr>
      <w:r>
        <w:rPr>
          <w:color w:val="231F20"/>
        </w:rPr>
        <w:t>“To describe the school system in the Federal Republic is to describe poverty in a rich country,” says Luc Jochimsen</w:t>
      </w:r>
      <w:r>
        <w:rPr>
          <w:color w:val="231F20"/>
          <w:position w:val="7"/>
          <w:sz w:val="11"/>
        </w:rPr>
        <w:t xml:space="preserve">4 </w:t>
      </w:r>
      <w:r>
        <w:rPr>
          <w:color w:val="231F20"/>
        </w:rPr>
        <w:t xml:space="preserve">in her book </w:t>
      </w:r>
      <w:r>
        <w:rPr>
          <w:i/>
          <w:color w:val="231F20"/>
        </w:rPr>
        <w:t>Hinterhöfe der Nation</w:t>
      </w:r>
      <w:r>
        <w:rPr>
          <w:color w:val="231F20"/>
        </w:rPr>
        <w:t>,</w:t>
      </w:r>
      <w:r>
        <w:rPr>
          <w:color w:val="231F20"/>
          <w:position w:val="7"/>
          <w:sz w:val="11"/>
        </w:rPr>
        <w:t xml:space="preserve">5 </w:t>
      </w:r>
      <w:r>
        <w:rPr>
          <w:color w:val="231F20"/>
        </w:rPr>
        <w:t>which provides the necessary details:</w:t>
      </w:r>
    </w:p>
    <w:p w14:paraId="24330C21" w14:textId="77777777" w:rsidR="002653E8" w:rsidRDefault="003115E3">
      <w:pPr>
        <w:spacing w:before="104" w:line="276" w:lineRule="auto"/>
        <w:ind w:left="1747" w:right="1558"/>
        <w:jc w:val="both"/>
        <w:rPr>
          <w:i/>
          <w:sz w:val="19"/>
        </w:rPr>
      </w:pPr>
      <w:r>
        <w:rPr>
          <w:i/>
          <w:color w:val="231F20"/>
          <w:w w:val="105"/>
          <w:sz w:val="19"/>
        </w:rPr>
        <w:t>The public education system is a slum with the characteristics of any</w:t>
      </w:r>
      <w:r>
        <w:rPr>
          <w:i/>
          <w:color w:val="231F20"/>
          <w:spacing w:val="-5"/>
          <w:w w:val="105"/>
          <w:sz w:val="19"/>
        </w:rPr>
        <w:t xml:space="preserve"> </w:t>
      </w:r>
      <w:r>
        <w:rPr>
          <w:i/>
          <w:color w:val="231F20"/>
          <w:w w:val="105"/>
          <w:sz w:val="19"/>
        </w:rPr>
        <w:t>slum:</w:t>
      </w:r>
      <w:r>
        <w:rPr>
          <w:i/>
          <w:color w:val="231F20"/>
          <w:spacing w:val="-5"/>
          <w:w w:val="105"/>
          <w:sz w:val="19"/>
        </w:rPr>
        <w:t xml:space="preserve"> </w:t>
      </w:r>
      <w:r>
        <w:rPr>
          <w:i/>
          <w:color w:val="231F20"/>
          <w:w w:val="105"/>
          <w:sz w:val="19"/>
        </w:rPr>
        <w:t>deprivation,</w:t>
      </w:r>
      <w:r>
        <w:rPr>
          <w:i/>
          <w:color w:val="231F20"/>
          <w:spacing w:val="-10"/>
          <w:w w:val="105"/>
          <w:sz w:val="19"/>
        </w:rPr>
        <w:t xml:space="preserve"> </w:t>
      </w:r>
      <w:r>
        <w:rPr>
          <w:i/>
          <w:color w:val="231F20"/>
          <w:w w:val="105"/>
          <w:sz w:val="19"/>
        </w:rPr>
        <w:t>budget</w:t>
      </w:r>
      <w:r>
        <w:rPr>
          <w:i/>
          <w:color w:val="231F20"/>
          <w:spacing w:val="-5"/>
          <w:w w:val="105"/>
          <w:sz w:val="19"/>
        </w:rPr>
        <w:t xml:space="preserve"> </w:t>
      </w:r>
      <w:r>
        <w:rPr>
          <w:i/>
          <w:color w:val="231F20"/>
          <w:w w:val="105"/>
          <w:sz w:val="19"/>
        </w:rPr>
        <w:t>shortfalls,</w:t>
      </w:r>
      <w:r>
        <w:rPr>
          <w:i/>
          <w:color w:val="231F20"/>
          <w:spacing w:val="-10"/>
          <w:w w:val="105"/>
          <w:sz w:val="19"/>
        </w:rPr>
        <w:t xml:space="preserve"> </w:t>
      </w:r>
      <w:r>
        <w:rPr>
          <w:i/>
          <w:color w:val="231F20"/>
          <w:w w:val="105"/>
          <w:sz w:val="19"/>
        </w:rPr>
        <w:t>shortages,</w:t>
      </w:r>
      <w:r>
        <w:rPr>
          <w:i/>
          <w:color w:val="231F20"/>
          <w:spacing w:val="-10"/>
          <w:w w:val="105"/>
          <w:sz w:val="19"/>
        </w:rPr>
        <w:t xml:space="preserve"> </w:t>
      </w:r>
      <w:r>
        <w:rPr>
          <w:i/>
          <w:color w:val="231F20"/>
          <w:w w:val="105"/>
          <w:sz w:val="19"/>
        </w:rPr>
        <w:t xml:space="preserve">obsolescence, crowding, </w:t>
      </w:r>
      <w:r>
        <w:rPr>
          <w:i/>
          <w:color w:val="231F20"/>
          <w:spacing w:val="-3"/>
          <w:w w:val="105"/>
          <w:sz w:val="19"/>
        </w:rPr>
        <w:t xml:space="preserve">disrepair, </w:t>
      </w:r>
      <w:r>
        <w:rPr>
          <w:i/>
          <w:color w:val="231F20"/>
          <w:w w:val="105"/>
          <w:sz w:val="19"/>
        </w:rPr>
        <w:t>discontent, resignation, indifference, and ruthlessness.</w:t>
      </w:r>
    </w:p>
    <w:p w14:paraId="556508BB" w14:textId="77777777" w:rsidR="002653E8" w:rsidRDefault="003115E3">
      <w:pPr>
        <w:spacing w:before="39" w:line="276" w:lineRule="auto"/>
        <w:ind w:left="1747" w:right="1565"/>
        <w:jc w:val="both"/>
        <w:rPr>
          <w:i/>
          <w:sz w:val="19"/>
        </w:rPr>
      </w:pPr>
      <w:r>
        <w:rPr>
          <w:i/>
          <w:color w:val="231F20"/>
          <w:w w:val="105"/>
          <w:sz w:val="19"/>
        </w:rPr>
        <w:t>What occurs today with sixand seven-year-olds in the primary schools of the Federal Republic reflects a conscious plan to use compulsory education to later deny these children the right to education and training. It is a crime against education. A crime for which no punishment exists. A crime that will never face prosecution.</w:t>
      </w:r>
    </w:p>
    <w:p w14:paraId="200CD75C" w14:textId="77777777" w:rsidR="002653E8" w:rsidRDefault="003115E3">
      <w:pPr>
        <w:pStyle w:val="a3"/>
        <w:spacing w:before="116" w:line="264" w:lineRule="auto"/>
        <w:ind w:left="1327" w:right="1146"/>
        <w:jc w:val="both"/>
      </w:pPr>
      <w:r>
        <w:rPr>
          <w:color w:val="231F20"/>
          <w:spacing w:val="1"/>
        </w:rPr>
        <w:t xml:space="preserve">In </w:t>
      </w:r>
      <w:r>
        <w:rPr>
          <w:color w:val="231F20"/>
          <w:spacing w:val="-3"/>
        </w:rPr>
        <w:t xml:space="preserve">1970,  35,000  </w:t>
      </w:r>
      <w:r>
        <w:rPr>
          <w:color w:val="231F20"/>
        </w:rPr>
        <w:t xml:space="preserve">people lived in the Märkisch neighborhood in Berlin.   It is projected to reach 140,000 by </w:t>
      </w:r>
      <w:r>
        <w:rPr>
          <w:color w:val="231F20"/>
          <w:spacing w:val="-4"/>
        </w:rPr>
        <w:t xml:space="preserve">1980. </w:t>
      </w:r>
      <w:r>
        <w:rPr>
          <w:color w:val="231F20"/>
        </w:rPr>
        <w:t xml:space="preserve">The people are saying, “It’s brutal here, totally squalid; in any event, it destroys the will to live— but inside the houses are  well  laid  </w:t>
      </w:r>
      <w:r>
        <w:rPr>
          <w:color w:val="231F20"/>
          <w:spacing w:val="-4"/>
        </w:rPr>
        <w:t xml:space="preserve">out.”  </w:t>
      </w:r>
      <w:r>
        <w:rPr>
          <w:color w:val="231F20"/>
        </w:rPr>
        <w:t>Everything  is  available  in  the Märkisch neighborhood: playgrounds, a transportation system, schools, cheap shopping, doctors and lawyers; and they are cesspools for poverty, child abuse, suicide, criminal gangs, bitterness and need. The</w:t>
      </w:r>
      <w:r>
        <w:rPr>
          <w:color w:val="231F20"/>
          <w:spacing w:val="15"/>
        </w:rPr>
        <w:t xml:space="preserve"> </w:t>
      </w:r>
      <w:r>
        <w:rPr>
          <w:color w:val="231F20"/>
        </w:rPr>
        <w:t>Märkisch</w:t>
      </w:r>
      <w:r>
        <w:rPr>
          <w:color w:val="231F20"/>
          <w:spacing w:val="15"/>
        </w:rPr>
        <w:t xml:space="preserve"> </w:t>
      </w:r>
      <w:r>
        <w:rPr>
          <w:color w:val="231F20"/>
        </w:rPr>
        <w:t>neighborhood</w:t>
      </w:r>
      <w:r>
        <w:rPr>
          <w:color w:val="231F20"/>
          <w:spacing w:val="15"/>
        </w:rPr>
        <w:t xml:space="preserve"> </w:t>
      </w:r>
      <w:r>
        <w:rPr>
          <w:color w:val="231F20"/>
        </w:rPr>
        <w:t>shows</w:t>
      </w:r>
      <w:r>
        <w:rPr>
          <w:color w:val="231F20"/>
          <w:spacing w:val="15"/>
        </w:rPr>
        <w:t xml:space="preserve"> </w:t>
      </w:r>
      <w:r>
        <w:rPr>
          <w:color w:val="231F20"/>
        </w:rPr>
        <w:t>the</w:t>
      </w:r>
      <w:r>
        <w:rPr>
          <w:color w:val="231F20"/>
          <w:spacing w:val="15"/>
        </w:rPr>
        <w:t xml:space="preserve"> </w:t>
      </w:r>
      <w:r>
        <w:rPr>
          <w:color w:val="231F20"/>
        </w:rPr>
        <w:t>future</w:t>
      </w:r>
      <w:r>
        <w:rPr>
          <w:color w:val="231F20"/>
          <w:spacing w:val="15"/>
        </w:rPr>
        <w:t xml:space="preserve"> </w:t>
      </w:r>
      <w:r>
        <w:rPr>
          <w:color w:val="231F20"/>
        </w:rPr>
        <w:t>of</w:t>
      </w:r>
      <w:r>
        <w:rPr>
          <w:color w:val="231F20"/>
          <w:spacing w:val="15"/>
        </w:rPr>
        <w:t xml:space="preserve"> </w:t>
      </w:r>
      <w:r>
        <w:rPr>
          <w:color w:val="231F20"/>
        </w:rPr>
        <w:t>social</w:t>
      </w:r>
      <w:r>
        <w:rPr>
          <w:color w:val="231F20"/>
          <w:spacing w:val="15"/>
        </w:rPr>
        <w:t xml:space="preserve"> </w:t>
      </w:r>
      <w:r>
        <w:rPr>
          <w:color w:val="231F20"/>
        </w:rPr>
        <w:t>conditions.</w:t>
      </w:r>
    </w:p>
    <w:p w14:paraId="27AEADB4" w14:textId="77777777" w:rsidR="002653E8" w:rsidRDefault="003115E3">
      <w:pPr>
        <w:pStyle w:val="a3"/>
        <w:spacing w:line="264" w:lineRule="auto"/>
        <w:ind w:left="1327" w:right="1146" w:firstLine="210"/>
        <w:jc w:val="both"/>
      </w:pPr>
      <w:r>
        <w:rPr>
          <w:color w:val="231F20"/>
        </w:rPr>
        <w:t>(Bourgeois authors, faced with the conclusions we are drawing here, make no effort to place their observations within a context which recognizes that poverty is caused by the mobility of capital and the concentration of capital by banks, insurance companies, and home and property owners. They come to terms with the research data through verbal protests.)</w:t>
      </w:r>
    </w:p>
    <w:p w14:paraId="734A9E97" w14:textId="77777777" w:rsidR="002653E8" w:rsidRDefault="003115E3">
      <w:pPr>
        <w:pStyle w:val="a3"/>
        <w:spacing w:line="264" w:lineRule="auto"/>
        <w:ind w:left="1327" w:right="1145" w:firstLine="210"/>
        <w:jc w:val="both"/>
      </w:pPr>
      <w:r>
        <w:rPr>
          <w:color w:val="231F20"/>
        </w:rPr>
        <w:t>The reality of poverty is not the same thing as revolutionary reality. The poor are not spontaneously and of their own accord revolution ary. They generally direct their aggression against themselves rather than against their oppressors. The objects of their aggression are usually other poor people, not those who benefit from their poverty. Not  the</w:t>
      </w:r>
      <w:r>
        <w:rPr>
          <w:color w:val="231F20"/>
          <w:spacing w:val="7"/>
        </w:rPr>
        <w:t xml:space="preserve"> </w:t>
      </w:r>
      <w:r>
        <w:rPr>
          <w:color w:val="231F20"/>
        </w:rPr>
        <w:t>real</w:t>
      </w:r>
      <w:r>
        <w:rPr>
          <w:color w:val="231F20"/>
          <w:spacing w:val="7"/>
        </w:rPr>
        <w:t xml:space="preserve"> </w:t>
      </w:r>
      <w:r>
        <w:rPr>
          <w:color w:val="231F20"/>
        </w:rPr>
        <w:t>estate</w:t>
      </w:r>
      <w:r>
        <w:rPr>
          <w:color w:val="231F20"/>
          <w:spacing w:val="7"/>
        </w:rPr>
        <w:t xml:space="preserve"> </w:t>
      </w:r>
      <w:r>
        <w:rPr>
          <w:color w:val="231F20"/>
        </w:rPr>
        <w:t>companies,</w:t>
      </w:r>
      <w:r>
        <w:rPr>
          <w:color w:val="231F20"/>
          <w:spacing w:val="7"/>
        </w:rPr>
        <w:t xml:space="preserve"> </w:t>
      </w:r>
      <w:r>
        <w:rPr>
          <w:color w:val="231F20"/>
        </w:rPr>
        <w:t>the</w:t>
      </w:r>
      <w:r>
        <w:rPr>
          <w:color w:val="231F20"/>
          <w:spacing w:val="7"/>
        </w:rPr>
        <w:t xml:space="preserve"> </w:t>
      </w:r>
      <w:r>
        <w:rPr>
          <w:color w:val="231F20"/>
        </w:rPr>
        <w:t>banks,</w:t>
      </w:r>
      <w:r>
        <w:rPr>
          <w:color w:val="231F20"/>
          <w:spacing w:val="7"/>
        </w:rPr>
        <w:t xml:space="preserve"> </w:t>
      </w:r>
      <w:r>
        <w:rPr>
          <w:color w:val="231F20"/>
        </w:rPr>
        <w:t>the</w:t>
      </w:r>
      <w:r>
        <w:rPr>
          <w:color w:val="231F20"/>
          <w:spacing w:val="7"/>
        </w:rPr>
        <w:t xml:space="preserve"> </w:t>
      </w:r>
      <w:r>
        <w:rPr>
          <w:color w:val="231F20"/>
        </w:rPr>
        <w:t>insurance</w:t>
      </w:r>
      <w:r>
        <w:rPr>
          <w:color w:val="231F20"/>
          <w:spacing w:val="7"/>
        </w:rPr>
        <w:t xml:space="preserve"> </w:t>
      </w:r>
      <w:r>
        <w:rPr>
          <w:color w:val="231F20"/>
        </w:rPr>
        <w:t>companies,</w:t>
      </w:r>
      <w:r>
        <w:rPr>
          <w:color w:val="231F20"/>
          <w:spacing w:val="7"/>
        </w:rPr>
        <w:t xml:space="preserve"> </w:t>
      </w:r>
      <w:r>
        <w:rPr>
          <w:color w:val="231F20"/>
        </w:rPr>
        <w:t>the</w:t>
      </w:r>
    </w:p>
    <w:p w14:paraId="10B2FCA5" w14:textId="77777777" w:rsidR="002653E8" w:rsidRDefault="00000000">
      <w:pPr>
        <w:pStyle w:val="a3"/>
        <w:spacing w:before="1"/>
      </w:pPr>
      <w:r>
        <w:rPr>
          <w:noProof w:val="0"/>
        </w:rPr>
        <w:pict w14:anchorId="1F02B4EE">
          <v:line id="_x0000_s2560" style="position:absolute;z-index:4432;mso-wrap-distance-left:0;mso-wrap-distance-right:0;mso-position-horizontal-relative:page" from="66.4pt,14pt" to="138.4pt,14pt" strokecolor="#231f20" strokeweight=".5pt">
            <w10:wrap type="topAndBottom" anchorx="page"/>
          </v:line>
        </w:pict>
      </w:r>
    </w:p>
    <w:p w14:paraId="3D930E19" w14:textId="77777777" w:rsidR="002653E8" w:rsidRDefault="003115E3">
      <w:pPr>
        <w:pStyle w:val="a4"/>
        <w:numPr>
          <w:ilvl w:val="0"/>
          <w:numId w:val="145"/>
        </w:numPr>
        <w:tabs>
          <w:tab w:val="left" w:pos="1467"/>
        </w:tabs>
        <w:spacing w:before="53" w:line="254" w:lineRule="auto"/>
        <w:ind w:right="1324" w:firstLine="0"/>
        <w:jc w:val="left"/>
        <w:rPr>
          <w:sz w:val="16"/>
        </w:rPr>
      </w:pPr>
      <w:r>
        <w:rPr>
          <w:color w:val="231F20"/>
          <w:w w:val="105"/>
          <w:sz w:val="16"/>
        </w:rPr>
        <w:t xml:space="preserve">Lukrezia Jochimsen was a sociologist and </w:t>
      </w:r>
      <w:r>
        <w:rPr>
          <w:color w:val="231F20"/>
          <w:spacing w:val="5"/>
          <w:w w:val="105"/>
          <w:sz w:val="16"/>
        </w:rPr>
        <w:t xml:space="preserve">TV </w:t>
      </w:r>
      <w:r>
        <w:rPr>
          <w:color w:val="231F20"/>
          <w:w w:val="105"/>
          <w:sz w:val="16"/>
        </w:rPr>
        <w:t xml:space="preserve">journalist. </w:t>
      </w:r>
      <w:r>
        <w:rPr>
          <w:color w:val="231F20"/>
          <w:spacing w:val="-3"/>
          <w:w w:val="105"/>
          <w:sz w:val="16"/>
        </w:rPr>
        <w:t xml:space="preserve">Today </w:t>
      </w:r>
      <w:r>
        <w:rPr>
          <w:color w:val="231F20"/>
          <w:w w:val="105"/>
          <w:sz w:val="16"/>
        </w:rPr>
        <w:t>she is a member  of</w:t>
      </w:r>
      <w:r>
        <w:rPr>
          <w:color w:val="231F20"/>
          <w:spacing w:val="15"/>
          <w:w w:val="105"/>
          <w:sz w:val="16"/>
        </w:rPr>
        <w:t xml:space="preserve"> </w:t>
      </w:r>
      <w:r>
        <w:rPr>
          <w:color w:val="231F20"/>
          <w:w w:val="105"/>
          <w:sz w:val="16"/>
        </w:rPr>
        <w:t>parliament</w:t>
      </w:r>
      <w:r>
        <w:rPr>
          <w:color w:val="231F20"/>
          <w:spacing w:val="15"/>
          <w:w w:val="105"/>
          <w:sz w:val="16"/>
        </w:rPr>
        <w:t xml:space="preserve"> </w:t>
      </w:r>
      <w:r>
        <w:rPr>
          <w:color w:val="231F20"/>
          <w:w w:val="105"/>
          <w:sz w:val="16"/>
        </w:rPr>
        <w:t>for</w:t>
      </w:r>
      <w:r>
        <w:rPr>
          <w:color w:val="231F20"/>
          <w:spacing w:val="15"/>
          <w:w w:val="105"/>
          <w:sz w:val="16"/>
        </w:rPr>
        <w:t xml:space="preserve"> </w:t>
      </w:r>
      <w:r>
        <w:rPr>
          <w:color w:val="231F20"/>
          <w:w w:val="105"/>
          <w:sz w:val="16"/>
        </w:rPr>
        <w:t>the</w:t>
      </w:r>
      <w:r>
        <w:rPr>
          <w:color w:val="231F20"/>
          <w:spacing w:val="15"/>
          <w:w w:val="105"/>
          <w:sz w:val="16"/>
        </w:rPr>
        <w:t xml:space="preserve"> </w:t>
      </w:r>
      <w:r>
        <w:rPr>
          <w:color w:val="231F20"/>
          <w:w w:val="105"/>
          <w:sz w:val="16"/>
        </w:rPr>
        <w:t>left-wing</w:t>
      </w:r>
      <w:r>
        <w:rPr>
          <w:color w:val="231F20"/>
          <w:spacing w:val="15"/>
          <w:w w:val="105"/>
          <w:sz w:val="16"/>
        </w:rPr>
        <w:t xml:space="preserve"> </w:t>
      </w:r>
      <w:r>
        <w:rPr>
          <w:i/>
          <w:color w:val="231F20"/>
          <w:w w:val="105"/>
          <w:sz w:val="16"/>
        </w:rPr>
        <w:t>Partei</w:t>
      </w:r>
      <w:r>
        <w:rPr>
          <w:i/>
          <w:color w:val="231F20"/>
          <w:spacing w:val="15"/>
          <w:w w:val="105"/>
          <w:sz w:val="16"/>
        </w:rPr>
        <w:t xml:space="preserve"> </w:t>
      </w:r>
      <w:r>
        <w:rPr>
          <w:i/>
          <w:color w:val="231F20"/>
          <w:w w:val="105"/>
          <w:sz w:val="16"/>
        </w:rPr>
        <w:t>des</w:t>
      </w:r>
      <w:r>
        <w:rPr>
          <w:i/>
          <w:color w:val="231F20"/>
          <w:spacing w:val="15"/>
          <w:w w:val="105"/>
          <w:sz w:val="16"/>
        </w:rPr>
        <w:t xml:space="preserve"> </w:t>
      </w:r>
      <w:r>
        <w:rPr>
          <w:i/>
          <w:color w:val="231F20"/>
          <w:w w:val="105"/>
          <w:sz w:val="16"/>
        </w:rPr>
        <w:t>Demokratischen</w:t>
      </w:r>
      <w:r>
        <w:rPr>
          <w:i/>
          <w:color w:val="231F20"/>
          <w:spacing w:val="15"/>
          <w:w w:val="105"/>
          <w:sz w:val="16"/>
        </w:rPr>
        <w:t xml:space="preserve"> </w:t>
      </w:r>
      <w:r>
        <w:rPr>
          <w:i/>
          <w:color w:val="231F20"/>
          <w:spacing w:val="1"/>
          <w:w w:val="105"/>
          <w:sz w:val="16"/>
        </w:rPr>
        <w:t>Sozialismus</w:t>
      </w:r>
      <w:r>
        <w:rPr>
          <w:i/>
          <w:color w:val="231F20"/>
          <w:spacing w:val="15"/>
          <w:w w:val="105"/>
          <w:sz w:val="16"/>
        </w:rPr>
        <w:t xml:space="preserve"> </w:t>
      </w:r>
      <w:r>
        <w:rPr>
          <w:color w:val="231F20"/>
          <w:w w:val="105"/>
          <w:sz w:val="16"/>
        </w:rPr>
        <w:t>(PDS).</w:t>
      </w:r>
    </w:p>
    <w:p w14:paraId="4D90ABD9" w14:textId="77777777" w:rsidR="002653E8" w:rsidRDefault="003115E3">
      <w:pPr>
        <w:pStyle w:val="a4"/>
        <w:numPr>
          <w:ilvl w:val="0"/>
          <w:numId w:val="145"/>
        </w:numPr>
        <w:tabs>
          <w:tab w:val="left" w:pos="1467"/>
        </w:tabs>
        <w:ind w:left="1466"/>
        <w:jc w:val="left"/>
        <w:rPr>
          <w:sz w:val="16"/>
        </w:rPr>
      </w:pPr>
      <w:r>
        <w:rPr>
          <w:color w:val="231F20"/>
          <w:w w:val="105"/>
          <w:sz w:val="16"/>
        </w:rPr>
        <w:t>Backyards of the</w:t>
      </w:r>
      <w:r>
        <w:rPr>
          <w:color w:val="231F20"/>
          <w:spacing w:val="25"/>
          <w:w w:val="105"/>
          <w:sz w:val="16"/>
        </w:rPr>
        <w:t xml:space="preserve"> </w:t>
      </w:r>
      <w:r>
        <w:rPr>
          <w:color w:val="231F20"/>
          <w:w w:val="105"/>
          <w:sz w:val="16"/>
        </w:rPr>
        <w:t>Nation.</w:t>
      </w:r>
    </w:p>
    <w:p w14:paraId="421D8AB5" w14:textId="77777777" w:rsidR="002653E8" w:rsidRDefault="002653E8">
      <w:pPr>
        <w:rPr>
          <w:sz w:val="16"/>
        </w:rPr>
        <w:sectPr w:rsidR="002653E8">
          <w:pgSz w:w="8640" w:h="12960"/>
          <w:pgMar w:top="1060" w:right="0" w:bottom="1040" w:left="0" w:header="0" w:footer="850" w:gutter="0"/>
          <w:cols w:space="720"/>
        </w:sectPr>
      </w:pPr>
    </w:p>
    <w:p w14:paraId="025F2AA8" w14:textId="77777777" w:rsidR="002653E8" w:rsidRDefault="003115E3">
      <w:pPr>
        <w:pStyle w:val="a3"/>
        <w:spacing w:before="86" w:line="264" w:lineRule="auto"/>
        <w:ind w:left="1147" w:right="1326"/>
        <w:jc w:val="both"/>
      </w:pPr>
      <w:r>
        <w:rPr>
          <w:color w:val="231F20"/>
        </w:rPr>
        <w:lastRenderedPageBreak/>
        <w:t xml:space="preserve">corporations and the city planners, but rather other victims. Inactive, </w:t>
      </w:r>
      <w:bookmarkStart w:id="58" w:name="_Hlk62748930"/>
      <w:r>
        <w:rPr>
          <w:color w:val="231F20"/>
        </w:rPr>
        <w:t>truly depressed</w:t>
      </w:r>
      <w:bookmarkEnd w:id="58"/>
      <w:r>
        <w:rPr>
          <w:color w:val="231F20"/>
        </w:rPr>
        <w:t xml:space="preserve">, a discouraging example providing material for the fascism of </w:t>
      </w:r>
      <w:r>
        <w:rPr>
          <w:i/>
          <w:color w:val="231F20"/>
        </w:rPr>
        <w:t xml:space="preserve">Bild </w:t>
      </w:r>
      <w:r>
        <w:rPr>
          <w:color w:val="231F20"/>
        </w:rPr>
        <w:t>and ZDF.</w:t>
      </w:r>
    </w:p>
    <w:p w14:paraId="17F42DE6" w14:textId="77777777" w:rsidR="002653E8" w:rsidRDefault="003115E3">
      <w:pPr>
        <w:pStyle w:val="a3"/>
        <w:spacing w:line="264" w:lineRule="auto"/>
        <w:ind w:left="1147" w:right="1326" w:firstLine="210"/>
        <w:jc w:val="both"/>
      </w:pPr>
      <w:r>
        <w:rPr>
          <w:color w:val="231F20"/>
        </w:rPr>
        <w:t xml:space="preserve">The ZDF showed the following scene: in the slums  of  Wiesbaden, ZDF had children play in the </w:t>
      </w:r>
      <w:r>
        <w:rPr>
          <w:color w:val="231F20"/>
          <w:spacing w:val="1"/>
        </w:rPr>
        <w:t xml:space="preserve">dirt, </w:t>
      </w:r>
      <w:r>
        <w:rPr>
          <w:color w:val="231F20"/>
        </w:rPr>
        <w:t>beating on each other and screaming. The adults had to scream at them to let each other be. The television voice-over says, “The Federal Republic is not Latin America”; the poor  in the Federal Republic have only themselves to blame; they are criminals; there are very few poor people—this is the concrete evidence. The Springer</w:t>
      </w:r>
      <w:r>
        <w:rPr>
          <w:color w:val="231F20"/>
          <w:spacing w:val="10"/>
        </w:rPr>
        <w:t xml:space="preserve"> </w:t>
      </w:r>
      <w:r>
        <w:rPr>
          <w:color w:val="231F20"/>
        </w:rPr>
        <w:t>Press</w:t>
      </w:r>
      <w:r>
        <w:rPr>
          <w:color w:val="231F20"/>
          <w:spacing w:val="10"/>
        </w:rPr>
        <w:t xml:space="preserve"> </w:t>
      </w:r>
      <w:r>
        <w:rPr>
          <w:color w:val="231F20"/>
        </w:rPr>
        <w:t>prints</w:t>
      </w:r>
      <w:r>
        <w:rPr>
          <w:color w:val="231F20"/>
          <w:spacing w:val="10"/>
        </w:rPr>
        <w:t xml:space="preserve"> </w:t>
      </w:r>
      <w:r>
        <w:rPr>
          <w:color w:val="231F20"/>
        </w:rPr>
        <w:t>stuff</w:t>
      </w:r>
      <w:r>
        <w:rPr>
          <w:color w:val="231F20"/>
          <w:spacing w:val="10"/>
        </w:rPr>
        <w:t xml:space="preserve"> </w:t>
      </w:r>
      <w:r>
        <w:rPr>
          <w:color w:val="231F20"/>
        </w:rPr>
        <w:t>like</w:t>
      </w:r>
      <w:r>
        <w:rPr>
          <w:color w:val="231F20"/>
          <w:spacing w:val="10"/>
        </w:rPr>
        <w:t xml:space="preserve"> </w:t>
      </w:r>
      <w:r>
        <w:rPr>
          <w:color w:val="231F20"/>
        </w:rPr>
        <w:t>this.</w:t>
      </w:r>
      <w:r>
        <w:rPr>
          <w:color w:val="231F20"/>
          <w:spacing w:val="10"/>
        </w:rPr>
        <w:t xml:space="preserve"> </w:t>
      </w:r>
      <w:r>
        <w:rPr>
          <w:color w:val="231F20"/>
        </w:rPr>
        <w:t>The</w:t>
      </w:r>
      <w:r>
        <w:rPr>
          <w:color w:val="231F20"/>
          <w:spacing w:val="10"/>
        </w:rPr>
        <w:t xml:space="preserve"> </w:t>
      </w:r>
      <w:r>
        <w:rPr>
          <w:color w:val="231F20"/>
        </w:rPr>
        <w:t>material</w:t>
      </w:r>
      <w:r>
        <w:rPr>
          <w:color w:val="231F20"/>
          <w:spacing w:val="10"/>
        </w:rPr>
        <w:t xml:space="preserve"> </w:t>
      </w:r>
      <w:r>
        <w:rPr>
          <w:color w:val="231F20"/>
        </w:rPr>
        <w:t>of</w:t>
      </w:r>
      <w:r>
        <w:rPr>
          <w:color w:val="231F20"/>
          <w:spacing w:val="10"/>
        </w:rPr>
        <w:t xml:space="preserve"> </w:t>
      </w:r>
      <w:r>
        <w:rPr>
          <w:color w:val="231F20"/>
        </w:rPr>
        <w:t>fascism.</w:t>
      </w:r>
    </w:p>
    <w:p w14:paraId="0D91933F" w14:textId="77777777" w:rsidR="002653E8" w:rsidRDefault="002653E8">
      <w:pPr>
        <w:pStyle w:val="a3"/>
        <w:rPr>
          <w:sz w:val="21"/>
        </w:rPr>
      </w:pPr>
    </w:p>
    <w:p w14:paraId="24CA9554" w14:textId="77777777" w:rsidR="002653E8" w:rsidRDefault="003115E3">
      <w:pPr>
        <w:ind w:left="1147"/>
        <w:rPr>
          <w:i/>
          <w:sz w:val="20"/>
        </w:rPr>
      </w:pPr>
      <w:r>
        <w:rPr>
          <w:i/>
          <w:color w:val="231F20"/>
          <w:w w:val="105"/>
          <w:sz w:val="20"/>
        </w:rPr>
        <w:t>The Reality of Ownership Conditions</w:t>
      </w:r>
    </w:p>
    <w:p w14:paraId="0ACF8F43" w14:textId="77777777" w:rsidR="002653E8" w:rsidRDefault="003115E3">
      <w:pPr>
        <w:pStyle w:val="a3"/>
        <w:spacing w:before="22" w:line="264" w:lineRule="auto"/>
        <w:ind w:left="1147" w:right="1326"/>
        <w:jc w:val="both"/>
      </w:pPr>
      <w:r>
        <w:rPr>
          <w:color w:val="231F20"/>
        </w:rPr>
        <w:t>But the objective reality of poverty has in no small way clarified the subjective fact that capitalist ownership since the early postwar years— the CDU’s Ahlener Program</w:t>
      </w:r>
      <w:r>
        <w:rPr>
          <w:color w:val="231F20"/>
          <w:position w:val="7"/>
          <w:sz w:val="11"/>
        </w:rPr>
        <w:t>1</w:t>
      </w:r>
      <w:r>
        <w:rPr>
          <w:color w:val="231F20"/>
        </w:rPr>
        <w:t>—has provided nothing. No gains came spontaneously, all were won through negotiations. Little was developed for the poor, but in the rest of society Citizens Initiatives with their platitudes became more widespread, albeit very poorly organized and vague, not worth repressing.</w:t>
      </w:r>
    </w:p>
    <w:p w14:paraId="57B7A55A" w14:textId="77777777" w:rsidR="002653E8" w:rsidRDefault="003115E3">
      <w:pPr>
        <w:pStyle w:val="a3"/>
        <w:spacing w:line="264" w:lineRule="auto"/>
        <w:ind w:left="1147" w:right="1326" w:firstLine="210"/>
        <w:jc w:val="both"/>
      </w:pPr>
      <w:r>
        <w:rPr>
          <w:color w:val="231F20"/>
        </w:rPr>
        <w:t>The 20,000 sacrificed in car accidents to the automobile industry’s lust for profit has not led to any consideration of the future of the high</w:t>
      </w:r>
      <w:r>
        <w:rPr>
          <w:color w:val="231F20"/>
          <w:spacing w:val="-2"/>
        </w:rPr>
        <w:t xml:space="preserve">way </w:t>
      </w:r>
      <w:r>
        <w:rPr>
          <w:color w:val="231F20"/>
        </w:rPr>
        <w:t xml:space="preserve">system; the insurance aristocracy that represents capital guarantees illness, the downside of which being miserable hospital stays; the contradiction between community debt and the dividends enjoyed by the corporations that engage in production on their territory; between the exploitation of guest workers and the accommodations provided    to guest workers; between the misery of children and the profits of toy companies; between profit made by landlords and miserable housing conditions—all of this is common  knowledge. It  is  covered  at  length in </w:t>
      </w:r>
      <w:r>
        <w:rPr>
          <w:i/>
          <w:color w:val="231F20"/>
        </w:rPr>
        <w:t xml:space="preserve">Spiegel </w:t>
      </w:r>
      <w:r>
        <w:rPr>
          <w:color w:val="231F20"/>
        </w:rPr>
        <w:t xml:space="preserve">every week, and daily in </w:t>
      </w:r>
      <w:r>
        <w:rPr>
          <w:i/>
          <w:color w:val="231F20"/>
        </w:rPr>
        <w:t>Bild</w:t>
      </w:r>
      <w:r>
        <w:rPr>
          <w:color w:val="231F20"/>
        </w:rPr>
        <w:t xml:space="preserve">, in most cases as isolated incidents. But this state of affairs has been worsening so quickly that it can no longer be covered up. Deutsche Bank spokesman Ulrich babbles about “the demonization of profit,” “the attack against our economic system,” and the “criticism of </w:t>
      </w:r>
      <w:r>
        <w:rPr>
          <w:color w:val="231F20"/>
          <w:spacing w:val="-3"/>
        </w:rPr>
        <w:t xml:space="preserve">profit”: “We </w:t>
      </w:r>
      <w:r>
        <w:rPr>
          <w:color w:val="231F20"/>
        </w:rPr>
        <w:t>are insufficiently committed to broadly clarifying the nature of employers’ profits, without which development</w:t>
      </w:r>
      <w:r>
        <w:rPr>
          <w:color w:val="231F20"/>
          <w:spacing w:val="11"/>
        </w:rPr>
        <w:t xml:space="preserve"> </w:t>
      </w:r>
      <w:r>
        <w:rPr>
          <w:color w:val="231F20"/>
        </w:rPr>
        <w:t>and</w:t>
      </w:r>
      <w:r>
        <w:rPr>
          <w:color w:val="231F20"/>
          <w:spacing w:val="11"/>
        </w:rPr>
        <w:t xml:space="preserve"> </w:t>
      </w:r>
      <w:r>
        <w:rPr>
          <w:color w:val="231F20"/>
        </w:rPr>
        <w:t>progress</w:t>
      </w:r>
      <w:r>
        <w:rPr>
          <w:color w:val="231F20"/>
          <w:spacing w:val="11"/>
        </w:rPr>
        <w:t xml:space="preserve"> </w:t>
      </w:r>
      <w:r>
        <w:rPr>
          <w:color w:val="231F20"/>
        </w:rPr>
        <w:t>are</w:t>
      </w:r>
      <w:r>
        <w:rPr>
          <w:color w:val="231F20"/>
          <w:spacing w:val="11"/>
        </w:rPr>
        <w:t xml:space="preserve"> </w:t>
      </w:r>
      <w:r>
        <w:rPr>
          <w:color w:val="231F20"/>
        </w:rPr>
        <w:t>impossible</w:t>
      </w:r>
      <w:r>
        <w:rPr>
          <w:color w:val="231F20"/>
          <w:spacing w:val="11"/>
        </w:rPr>
        <w:t xml:space="preserve"> </w:t>
      </w:r>
      <w:r>
        <w:rPr>
          <w:color w:val="231F20"/>
        </w:rPr>
        <w:t>in</w:t>
      </w:r>
      <w:r>
        <w:rPr>
          <w:color w:val="231F20"/>
          <w:spacing w:val="11"/>
        </w:rPr>
        <w:t xml:space="preserve"> </w:t>
      </w:r>
      <w:r>
        <w:rPr>
          <w:color w:val="231F20"/>
        </w:rPr>
        <w:t>a</w:t>
      </w:r>
      <w:r>
        <w:rPr>
          <w:color w:val="231F20"/>
          <w:spacing w:val="11"/>
        </w:rPr>
        <w:t xml:space="preserve"> </w:t>
      </w:r>
      <w:r>
        <w:rPr>
          <w:color w:val="231F20"/>
        </w:rPr>
        <w:t>free</w:t>
      </w:r>
      <w:r>
        <w:rPr>
          <w:color w:val="231F20"/>
          <w:spacing w:val="11"/>
        </w:rPr>
        <w:t xml:space="preserve"> </w:t>
      </w:r>
      <w:r>
        <w:rPr>
          <w:color w:val="231F20"/>
        </w:rPr>
        <w:t>market</w:t>
      </w:r>
      <w:r>
        <w:rPr>
          <w:color w:val="231F20"/>
          <w:spacing w:val="11"/>
        </w:rPr>
        <w:t xml:space="preserve"> </w:t>
      </w:r>
      <w:r>
        <w:rPr>
          <w:color w:val="231F20"/>
        </w:rPr>
        <w:t>system”—that</w:t>
      </w:r>
    </w:p>
    <w:p w14:paraId="3B4F4763" w14:textId="77777777" w:rsidR="002653E8" w:rsidRDefault="002653E8">
      <w:pPr>
        <w:pStyle w:val="a3"/>
        <w:spacing w:before="5"/>
        <w:rPr>
          <w:sz w:val="25"/>
        </w:rPr>
      </w:pPr>
    </w:p>
    <w:p w14:paraId="6B7264B3" w14:textId="77777777" w:rsidR="002653E8" w:rsidRDefault="003115E3">
      <w:pPr>
        <w:spacing w:before="105" w:line="254" w:lineRule="auto"/>
        <w:ind w:left="1148" w:right="1479" w:hanging="1"/>
        <w:rPr>
          <w:sz w:val="16"/>
        </w:rPr>
      </w:pPr>
      <w:r>
        <w:rPr>
          <w:color w:val="231F20"/>
          <w:w w:val="105"/>
          <w:sz w:val="16"/>
        </w:rPr>
        <w:t xml:space="preserve">1 The Ahlener Program, adopted by the CDU on February 3, 1947, in the town of Ahlen, stated in its opening that the interests of capitalism and those of the German </w:t>
      </w:r>
      <w:r>
        <w:rPr>
          <w:color w:val="231F20"/>
          <w:w w:val="105"/>
          <w:sz w:val="16"/>
        </w:rPr>
        <w:lastRenderedPageBreak/>
        <w:t>people were identical.</w:t>
      </w:r>
    </w:p>
    <w:p w14:paraId="1E8E08A9" w14:textId="77777777" w:rsidR="002653E8" w:rsidRDefault="002653E8">
      <w:pPr>
        <w:spacing w:line="254" w:lineRule="auto"/>
        <w:rPr>
          <w:sz w:val="16"/>
        </w:rPr>
        <w:sectPr w:rsidR="002653E8">
          <w:footerReference w:type="even" r:id="rId125"/>
          <w:footerReference w:type="default" r:id="rId126"/>
          <w:pgSz w:w="8640" w:h="12960"/>
          <w:pgMar w:top="1060" w:right="0" w:bottom="1460" w:left="0" w:header="0" w:footer="1270" w:gutter="0"/>
          <w:cols w:space="720"/>
        </w:sectPr>
      </w:pPr>
    </w:p>
    <w:p w14:paraId="49EF08F2" w14:textId="77777777" w:rsidR="002653E8" w:rsidRDefault="003115E3">
      <w:pPr>
        <w:pStyle w:val="a3"/>
        <w:spacing w:before="86" w:line="264" w:lineRule="auto"/>
        <w:ind w:left="1327" w:right="1145"/>
      </w:pPr>
      <w:r>
        <w:rPr>
          <w:color w:val="231F20"/>
        </w:rPr>
        <w:lastRenderedPageBreak/>
        <w:t>a part of this should also be for the common good is rejected by almost all owners of capital.</w:t>
      </w:r>
    </w:p>
    <w:p w14:paraId="723705AD" w14:textId="77777777" w:rsidR="002653E8" w:rsidRDefault="003115E3">
      <w:pPr>
        <w:pStyle w:val="a3"/>
        <w:spacing w:line="264" w:lineRule="auto"/>
        <w:ind w:left="1327" w:right="1145" w:firstLine="210"/>
        <w:jc w:val="both"/>
      </w:pPr>
      <w:r>
        <w:rPr>
          <w:color w:val="231F20"/>
        </w:rPr>
        <w:t>Eppler</w:t>
      </w:r>
      <w:r>
        <w:rPr>
          <w:color w:val="231F20"/>
          <w:position w:val="7"/>
          <w:sz w:val="11"/>
        </w:rPr>
        <w:t>2</w:t>
      </w:r>
      <w:r>
        <w:rPr>
          <w:color w:val="231F20"/>
          <w:spacing w:val="-7"/>
          <w:position w:val="7"/>
          <w:sz w:val="11"/>
        </w:rPr>
        <w:t xml:space="preserve"> </w:t>
      </w:r>
      <w:r>
        <w:rPr>
          <w:color w:val="231F20"/>
        </w:rPr>
        <w:t>hopes</w:t>
      </w:r>
      <w:r>
        <w:rPr>
          <w:color w:val="231F20"/>
          <w:spacing w:val="-14"/>
        </w:rPr>
        <w:t xml:space="preserve"> </w:t>
      </w:r>
      <w:r>
        <w:rPr>
          <w:color w:val="231F20"/>
        </w:rPr>
        <w:t>to</w:t>
      </w:r>
      <w:r>
        <w:rPr>
          <w:color w:val="231F20"/>
          <w:spacing w:val="-14"/>
        </w:rPr>
        <w:t xml:space="preserve"> </w:t>
      </w:r>
      <w:r>
        <w:rPr>
          <w:color w:val="231F20"/>
        </w:rPr>
        <w:t>secure</w:t>
      </w:r>
      <w:r>
        <w:rPr>
          <w:color w:val="231F20"/>
          <w:spacing w:val="-14"/>
        </w:rPr>
        <w:t xml:space="preserve"> </w:t>
      </w:r>
      <w:r>
        <w:rPr>
          <w:color w:val="231F20"/>
        </w:rPr>
        <w:t>support</w:t>
      </w:r>
      <w:r>
        <w:rPr>
          <w:color w:val="231F20"/>
          <w:spacing w:val="-14"/>
        </w:rPr>
        <w:t xml:space="preserve"> </w:t>
      </w:r>
      <w:r>
        <w:rPr>
          <w:color w:val="231F20"/>
        </w:rPr>
        <w:t>for</w:t>
      </w:r>
      <w:r>
        <w:rPr>
          <w:color w:val="231F20"/>
          <w:spacing w:val="-14"/>
        </w:rPr>
        <w:t xml:space="preserve"> </w:t>
      </w:r>
      <w:r>
        <w:rPr>
          <w:color w:val="231F20"/>
        </w:rPr>
        <w:t>the</w:t>
      </w:r>
      <w:r>
        <w:rPr>
          <w:color w:val="231F20"/>
          <w:spacing w:val="-14"/>
        </w:rPr>
        <w:t xml:space="preserve"> </w:t>
      </w:r>
      <w:r>
        <w:rPr>
          <w:color w:val="231F20"/>
        </w:rPr>
        <w:t>unpopular</w:t>
      </w:r>
      <w:r>
        <w:rPr>
          <w:color w:val="231F20"/>
          <w:spacing w:val="-14"/>
        </w:rPr>
        <w:t xml:space="preserve"> </w:t>
      </w:r>
      <w:r>
        <w:rPr>
          <w:color w:val="231F20"/>
        </w:rPr>
        <w:t>sales</w:t>
      </w:r>
      <w:r>
        <w:rPr>
          <w:color w:val="231F20"/>
          <w:spacing w:val="-14"/>
        </w:rPr>
        <w:t xml:space="preserve"> </w:t>
      </w:r>
      <w:r>
        <w:rPr>
          <w:color w:val="231F20"/>
        </w:rPr>
        <w:t>tax</w:t>
      </w:r>
      <w:r>
        <w:rPr>
          <w:color w:val="231F20"/>
          <w:spacing w:val="-14"/>
        </w:rPr>
        <w:t xml:space="preserve"> </w:t>
      </w:r>
      <w:r>
        <w:rPr>
          <w:color w:val="231F20"/>
        </w:rPr>
        <w:t>increase</w:t>
      </w:r>
      <w:r>
        <w:rPr>
          <w:color w:val="231F20"/>
          <w:spacing w:val="-14"/>
        </w:rPr>
        <w:t xml:space="preserve"> </w:t>
      </w:r>
      <w:r>
        <w:rPr>
          <w:color w:val="231F20"/>
        </w:rPr>
        <w:t>by using the taxation of higher income brackets for propaganda purposes. The CDU is afraid that the Moscow and Warsaw Treaties</w:t>
      </w:r>
      <w:r>
        <w:rPr>
          <w:color w:val="231F20"/>
          <w:position w:val="7"/>
          <w:sz w:val="11"/>
        </w:rPr>
        <w:t xml:space="preserve">3  </w:t>
      </w:r>
      <w:r>
        <w:rPr>
          <w:color w:val="231F20"/>
        </w:rPr>
        <w:t>could lead     to an ideological softening within the Federal  Republic—Schröder’s</w:t>
      </w:r>
      <w:r>
        <w:rPr>
          <w:color w:val="231F20"/>
          <w:position w:val="7"/>
          <w:sz w:val="11"/>
        </w:rPr>
        <w:t xml:space="preserve">4 </w:t>
      </w:r>
      <w:r>
        <w:rPr>
          <w:color w:val="231F20"/>
        </w:rPr>
        <w:t>key argument is that the demonization of communism could lose credibility, because communism has come to represent expropriation and collectivization of the means of production. The CDU does not attack   the contents of the Moscow and Warsaw Treaties, they struggle against ideological</w:t>
      </w:r>
      <w:r>
        <w:rPr>
          <w:color w:val="231F20"/>
          <w:spacing w:val="12"/>
        </w:rPr>
        <w:t xml:space="preserve"> </w:t>
      </w:r>
      <w:r>
        <w:rPr>
          <w:color w:val="231F20"/>
        </w:rPr>
        <w:t>tolerance</w:t>
      </w:r>
      <w:r>
        <w:rPr>
          <w:color w:val="231F20"/>
          <w:spacing w:val="12"/>
        </w:rPr>
        <w:t xml:space="preserve"> </w:t>
      </w:r>
      <w:r>
        <w:rPr>
          <w:color w:val="231F20"/>
        </w:rPr>
        <w:t>of</w:t>
      </w:r>
      <w:r>
        <w:rPr>
          <w:color w:val="231F20"/>
          <w:spacing w:val="12"/>
        </w:rPr>
        <w:t xml:space="preserve"> </w:t>
      </w:r>
      <w:r>
        <w:rPr>
          <w:color w:val="231F20"/>
        </w:rPr>
        <w:t>the</w:t>
      </w:r>
      <w:r>
        <w:rPr>
          <w:color w:val="231F20"/>
          <w:spacing w:val="12"/>
        </w:rPr>
        <w:t xml:space="preserve"> </w:t>
      </w:r>
      <w:r>
        <w:rPr>
          <w:color w:val="231F20"/>
        </w:rPr>
        <w:t>thinking</w:t>
      </w:r>
      <w:r>
        <w:rPr>
          <w:color w:val="231F20"/>
          <w:spacing w:val="12"/>
        </w:rPr>
        <w:t xml:space="preserve"> </w:t>
      </w:r>
      <w:r>
        <w:rPr>
          <w:color w:val="231F20"/>
        </w:rPr>
        <w:t>of</w:t>
      </w:r>
      <w:r>
        <w:rPr>
          <w:color w:val="231F20"/>
          <w:spacing w:val="12"/>
        </w:rPr>
        <w:t xml:space="preserve"> </w:t>
      </w:r>
      <w:r>
        <w:rPr>
          <w:color w:val="231F20"/>
        </w:rPr>
        <w:t>sworn</w:t>
      </w:r>
      <w:r>
        <w:rPr>
          <w:color w:val="231F20"/>
          <w:spacing w:val="12"/>
        </w:rPr>
        <w:t xml:space="preserve"> </w:t>
      </w:r>
      <w:r>
        <w:rPr>
          <w:color w:val="231F20"/>
        </w:rPr>
        <w:t>enemies</w:t>
      </w:r>
      <w:r>
        <w:rPr>
          <w:color w:val="231F20"/>
          <w:spacing w:val="12"/>
        </w:rPr>
        <w:t xml:space="preserve"> </w:t>
      </w:r>
      <w:r>
        <w:rPr>
          <w:color w:val="231F20"/>
        </w:rPr>
        <w:t>of</w:t>
      </w:r>
      <w:r>
        <w:rPr>
          <w:color w:val="231F20"/>
          <w:spacing w:val="12"/>
        </w:rPr>
        <w:t xml:space="preserve"> </w:t>
      </w:r>
      <w:r>
        <w:rPr>
          <w:color w:val="231F20"/>
        </w:rPr>
        <w:t>capitalism.</w:t>
      </w:r>
    </w:p>
    <w:p w14:paraId="43E1AEEA" w14:textId="77777777" w:rsidR="002653E8" w:rsidRDefault="003115E3">
      <w:pPr>
        <w:pStyle w:val="a3"/>
        <w:spacing w:line="264" w:lineRule="auto"/>
        <w:ind w:left="1327" w:right="1145" w:firstLine="210"/>
        <w:jc w:val="both"/>
      </w:pPr>
      <w:r>
        <w:rPr>
          <w:color w:val="231F20"/>
        </w:rPr>
        <w:t xml:space="preserve">The initiatives of the left after </w:t>
      </w:r>
      <w:r>
        <w:rPr>
          <w:color w:val="231F20"/>
          <w:spacing w:val="-4"/>
        </w:rPr>
        <w:t xml:space="preserve">1968, </w:t>
      </w:r>
      <w:r>
        <w:rPr>
          <w:color w:val="231F20"/>
        </w:rPr>
        <w:t xml:space="preserve">when they had a broad base everywhere, addressed the question of ownership and created a consensus behind their criticism. They did this in a </w:t>
      </w:r>
      <w:r>
        <w:rPr>
          <w:color w:val="231F20"/>
          <w:spacing w:val="-2"/>
        </w:rPr>
        <w:t xml:space="preserve">way  </w:t>
      </w:r>
      <w:r>
        <w:rPr>
          <w:color w:val="231F20"/>
        </w:rPr>
        <w:t>that constituted   an attack against capitalist ownership and acted as a brake on capitalist profiteering. This took place in the  squats in cities throughout   the Federal Republic, in the Citizens Initiatives opposed to gentrification, in the initiatives for non-profit development in the suburbs—the Märkisch neighborhood, Nordweststadt in Frankfurt—and in the Citizens Initiatives opposed to the development of industrial sites in residential</w:t>
      </w:r>
      <w:r>
        <w:rPr>
          <w:color w:val="231F20"/>
          <w:spacing w:val="10"/>
        </w:rPr>
        <w:t xml:space="preserve"> </w:t>
      </w:r>
      <w:r>
        <w:rPr>
          <w:color w:val="231F20"/>
        </w:rPr>
        <w:t>neighborhoods.</w:t>
      </w:r>
    </w:p>
    <w:p w14:paraId="44002498" w14:textId="77777777" w:rsidR="002653E8" w:rsidRDefault="003115E3">
      <w:pPr>
        <w:pStyle w:val="a3"/>
        <w:spacing w:line="264" w:lineRule="auto"/>
        <w:ind w:left="1327" w:right="1145" w:firstLine="210"/>
        <w:jc w:val="both"/>
      </w:pPr>
      <w:r>
        <w:rPr>
          <w:color w:val="231F20"/>
        </w:rPr>
        <w:t xml:space="preserve">The Heidelberg SPK, through collective study and action, developed such a persuasive critique of the connection between illness and capitalism that SPK cadre have been detained in prison under </w:t>
      </w:r>
      <w:r>
        <w:rPr>
          <w:color w:val="231F20"/>
          <w:spacing w:val="-4"/>
          <w:sz w:val="18"/>
        </w:rPr>
        <w:t>§</w:t>
      </w:r>
      <w:r>
        <w:rPr>
          <w:color w:val="231F20"/>
          <w:spacing w:val="-4"/>
        </w:rPr>
        <w:t xml:space="preserve">129 </w:t>
      </w:r>
      <w:r>
        <w:rPr>
          <w:color w:val="231F20"/>
        </w:rPr>
        <w:t xml:space="preserve">since July </w:t>
      </w:r>
      <w:r>
        <w:rPr>
          <w:color w:val="231F20"/>
          <w:spacing w:val="-3"/>
        </w:rPr>
        <w:t xml:space="preserve">71. </w:t>
      </w:r>
      <w:r>
        <w:rPr>
          <w:color w:val="231F20"/>
        </w:rPr>
        <w:t xml:space="preserve">The struggle of the students against the standardized testing which capital has imposed, and the campaign of the </w:t>
      </w:r>
      <w:r>
        <w:rPr>
          <w:i/>
          <w:color w:val="231F20"/>
        </w:rPr>
        <w:t xml:space="preserve">Jusos </w:t>
      </w:r>
      <w:r>
        <w:rPr>
          <w:color w:val="231F20"/>
        </w:rPr>
        <w:t>against private property development on public lands in the countryside, both have capitalist ownership as their</w:t>
      </w:r>
      <w:r>
        <w:rPr>
          <w:color w:val="231F20"/>
          <w:spacing w:val="8"/>
        </w:rPr>
        <w:t xml:space="preserve"> </w:t>
      </w:r>
      <w:r>
        <w:rPr>
          <w:color w:val="231F20"/>
        </w:rPr>
        <w:t>target.</w:t>
      </w:r>
    </w:p>
    <w:p w14:paraId="5488B009" w14:textId="77777777" w:rsidR="002653E8" w:rsidRDefault="003115E3">
      <w:pPr>
        <w:pStyle w:val="a3"/>
        <w:spacing w:line="264" w:lineRule="auto"/>
        <w:ind w:left="1327" w:right="1146" w:firstLine="210"/>
        <w:jc w:val="both"/>
      </w:pPr>
      <w:r>
        <w:rPr>
          <w:color w:val="231F20"/>
        </w:rPr>
        <w:t>The most important strikes occurred in September 69, and were sparked by the year’s high profits.  The  most  powerful  campaign  of  the student movement was that against the Springer Corporation: “Expropriate</w:t>
      </w:r>
      <w:r>
        <w:rPr>
          <w:color w:val="231F20"/>
          <w:spacing w:val="25"/>
        </w:rPr>
        <w:t xml:space="preserve"> </w:t>
      </w:r>
      <w:r>
        <w:rPr>
          <w:color w:val="231F20"/>
        </w:rPr>
        <w:t>Springer.”</w:t>
      </w:r>
      <w:r>
        <w:rPr>
          <w:color w:val="231F20"/>
          <w:spacing w:val="25"/>
        </w:rPr>
        <w:t xml:space="preserve"> </w:t>
      </w:r>
      <w:r>
        <w:rPr>
          <w:color w:val="231F20"/>
        </w:rPr>
        <w:t>The</w:t>
      </w:r>
      <w:r>
        <w:rPr>
          <w:color w:val="231F20"/>
          <w:spacing w:val="25"/>
        </w:rPr>
        <w:t xml:space="preserve"> </w:t>
      </w:r>
      <w:r>
        <w:rPr>
          <w:color w:val="231F20"/>
        </w:rPr>
        <w:t>most</w:t>
      </w:r>
      <w:r>
        <w:rPr>
          <w:color w:val="231F20"/>
          <w:spacing w:val="25"/>
        </w:rPr>
        <w:t xml:space="preserve"> </w:t>
      </w:r>
      <w:r>
        <w:rPr>
          <w:color w:val="231F20"/>
        </w:rPr>
        <w:t>brutal</w:t>
      </w:r>
      <w:r>
        <w:rPr>
          <w:color w:val="231F20"/>
          <w:spacing w:val="25"/>
        </w:rPr>
        <w:t xml:space="preserve"> </w:t>
      </w:r>
      <w:r>
        <w:rPr>
          <w:color w:val="231F20"/>
        </w:rPr>
        <w:t>police</w:t>
      </w:r>
      <w:r>
        <w:rPr>
          <w:color w:val="231F20"/>
          <w:spacing w:val="25"/>
        </w:rPr>
        <w:t xml:space="preserve"> </w:t>
      </w:r>
      <w:r>
        <w:rPr>
          <w:color w:val="231F20"/>
        </w:rPr>
        <w:t>action</w:t>
      </w:r>
      <w:r>
        <w:rPr>
          <w:color w:val="231F20"/>
          <w:spacing w:val="25"/>
        </w:rPr>
        <w:t xml:space="preserve"> </w:t>
      </w:r>
      <w:r>
        <w:rPr>
          <w:color w:val="231F20"/>
        </w:rPr>
        <w:t>was</w:t>
      </w:r>
      <w:r>
        <w:rPr>
          <w:color w:val="231F20"/>
          <w:spacing w:val="25"/>
        </w:rPr>
        <w:t xml:space="preserve"> </w:t>
      </w:r>
      <w:r>
        <w:rPr>
          <w:color w:val="231F20"/>
        </w:rPr>
        <w:t>against</w:t>
      </w:r>
      <w:r>
        <w:rPr>
          <w:color w:val="231F20"/>
          <w:spacing w:val="25"/>
        </w:rPr>
        <w:t xml:space="preserve"> </w:t>
      </w:r>
      <w:r>
        <w:rPr>
          <w:color w:val="231F20"/>
        </w:rPr>
        <w:t>the</w:t>
      </w:r>
    </w:p>
    <w:p w14:paraId="1AD63ACA" w14:textId="77777777" w:rsidR="002653E8" w:rsidRDefault="00000000">
      <w:pPr>
        <w:pStyle w:val="a3"/>
        <w:spacing w:before="3"/>
        <w:rPr>
          <w:sz w:val="18"/>
        </w:rPr>
      </w:pPr>
      <w:r>
        <w:rPr>
          <w:noProof w:val="0"/>
        </w:rPr>
        <w:pict w14:anchorId="45E3D425">
          <v:line id="_x0000_s2559" style="position:absolute;z-index:4456;mso-wrap-distance-left:0;mso-wrap-distance-right:0;mso-position-horizontal-relative:page" from="66.4pt,12.95pt" to="138.4pt,12.95pt" strokecolor="#231f20" strokeweight=".5pt">
            <w10:wrap type="topAndBottom" anchorx="page"/>
          </v:line>
        </w:pict>
      </w:r>
    </w:p>
    <w:p w14:paraId="279A11FB" w14:textId="77777777" w:rsidR="002653E8" w:rsidRDefault="003115E3">
      <w:pPr>
        <w:pStyle w:val="a4"/>
        <w:numPr>
          <w:ilvl w:val="0"/>
          <w:numId w:val="25"/>
        </w:numPr>
        <w:tabs>
          <w:tab w:val="left" w:pos="1467"/>
        </w:tabs>
        <w:spacing w:before="53" w:line="254" w:lineRule="auto"/>
        <w:ind w:right="1790" w:firstLine="0"/>
        <w:rPr>
          <w:sz w:val="16"/>
        </w:rPr>
      </w:pPr>
      <w:r>
        <w:rPr>
          <w:color w:val="231F20"/>
          <w:w w:val="105"/>
          <w:sz w:val="16"/>
        </w:rPr>
        <w:t>Erhard Eppler, a member of the SPD and left-leaning Federal Minister for Economic Cooperation. He resigned in</w:t>
      </w:r>
      <w:r>
        <w:rPr>
          <w:color w:val="231F20"/>
          <w:spacing w:val="10"/>
          <w:w w:val="105"/>
          <w:sz w:val="16"/>
        </w:rPr>
        <w:t xml:space="preserve"> </w:t>
      </w:r>
      <w:r>
        <w:rPr>
          <w:color w:val="231F20"/>
          <w:spacing w:val="-4"/>
          <w:w w:val="105"/>
          <w:sz w:val="16"/>
        </w:rPr>
        <w:t>1974.</w:t>
      </w:r>
    </w:p>
    <w:p w14:paraId="5CB07F4E" w14:textId="77777777" w:rsidR="002653E8" w:rsidRDefault="003115E3">
      <w:pPr>
        <w:pStyle w:val="a4"/>
        <w:numPr>
          <w:ilvl w:val="0"/>
          <w:numId w:val="25"/>
        </w:numPr>
        <w:tabs>
          <w:tab w:val="left" w:pos="1467"/>
        </w:tabs>
        <w:spacing w:line="254" w:lineRule="auto"/>
        <w:ind w:right="1148" w:firstLine="0"/>
        <w:rPr>
          <w:sz w:val="16"/>
        </w:rPr>
      </w:pPr>
      <w:r>
        <w:rPr>
          <w:color w:val="231F20"/>
          <w:w w:val="105"/>
          <w:sz w:val="16"/>
        </w:rPr>
        <w:t xml:space="preserve">Signed in August and December 1970, these two treaties were milestones in the SPD’s </w:t>
      </w:r>
      <w:r>
        <w:rPr>
          <w:i/>
          <w:color w:val="231F20"/>
          <w:w w:val="105"/>
          <w:sz w:val="16"/>
        </w:rPr>
        <w:t xml:space="preserve">Ostpolitik, </w:t>
      </w:r>
      <w:r>
        <w:rPr>
          <w:color w:val="231F20"/>
          <w:w w:val="105"/>
          <w:sz w:val="16"/>
        </w:rPr>
        <w:t xml:space="preserve">normalizing the FRG’s relations with Poland and the Soviet Union </w:t>
      </w:r>
      <w:r>
        <w:rPr>
          <w:color w:val="231F20"/>
          <w:spacing w:val="35"/>
          <w:w w:val="105"/>
          <w:sz w:val="16"/>
        </w:rPr>
        <w:t xml:space="preserve"> </w:t>
      </w:r>
      <w:r>
        <w:rPr>
          <w:color w:val="231F20"/>
          <w:w w:val="105"/>
          <w:sz w:val="16"/>
        </w:rPr>
        <w:t>for</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first</w:t>
      </w:r>
      <w:r>
        <w:rPr>
          <w:color w:val="231F20"/>
          <w:spacing w:val="7"/>
          <w:w w:val="105"/>
          <w:sz w:val="16"/>
        </w:rPr>
        <w:t xml:space="preserve"> </w:t>
      </w:r>
      <w:r>
        <w:rPr>
          <w:color w:val="231F20"/>
          <w:w w:val="105"/>
          <w:sz w:val="16"/>
        </w:rPr>
        <w:t>time</w:t>
      </w:r>
      <w:r>
        <w:rPr>
          <w:color w:val="231F20"/>
          <w:spacing w:val="7"/>
          <w:w w:val="105"/>
          <w:sz w:val="16"/>
        </w:rPr>
        <w:t xml:space="preserve"> </w:t>
      </w:r>
      <w:r>
        <w:rPr>
          <w:color w:val="231F20"/>
          <w:w w:val="105"/>
          <w:sz w:val="16"/>
        </w:rPr>
        <w:t>since</w:t>
      </w:r>
      <w:r>
        <w:rPr>
          <w:color w:val="231F20"/>
          <w:spacing w:val="7"/>
          <w:w w:val="105"/>
          <w:sz w:val="16"/>
        </w:rPr>
        <w:t xml:space="preserve"> </w:t>
      </w:r>
      <w:r>
        <w:rPr>
          <w:color w:val="231F20"/>
          <w:w w:val="105"/>
          <w:sz w:val="16"/>
        </w:rPr>
        <w:t>World</w:t>
      </w:r>
      <w:r>
        <w:rPr>
          <w:color w:val="231F20"/>
          <w:spacing w:val="7"/>
          <w:w w:val="105"/>
          <w:sz w:val="16"/>
        </w:rPr>
        <w:t xml:space="preserve"> </w:t>
      </w:r>
      <w:r>
        <w:rPr>
          <w:color w:val="231F20"/>
          <w:w w:val="105"/>
          <w:sz w:val="16"/>
        </w:rPr>
        <w:t>War</w:t>
      </w:r>
      <w:r>
        <w:rPr>
          <w:color w:val="231F20"/>
          <w:spacing w:val="7"/>
          <w:w w:val="105"/>
          <w:sz w:val="16"/>
        </w:rPr>
        <w:t xml:space="preserve"> </w:t>
      </w:r>
      <w:r>
        <w:rPr>
          <w:color w:val="231F20"/>
          <w:spacing w:val="2"/>
          <w:w w:val="105"/>
          <w:sz w:val="16"/>
        </w:rPr>
        <w:t>II.</w:t>
      </w:r>
    </w:p>
    <w:p w14:paraId="7A10CB38" w14:textId="77777777" w:rsidR="002653E8" w:rsidRDefault="003115E3">
      <w:pPr>
        <w:pStyle w:val="a4"/>
        <w:numPr>
          <w:ilvl w:val="0"/>
          <w:numId w:val="25"/>
        </w:numPr>
        <w:tabs>
          <w:tab w:val="left" w:pos="1467"/>
        </w:tabs>
        <w:spacing w:line="254" w:lineRule="auto"/>
        <w:ind w:right="1247" w:firstLine="0"/>
        <w:rPr>
          <w:sz w:val="16"/>
        </w:rPr>
      </w:pPr>
      <w:r>
        <w:rPr>
          <w:color w:val="231F20"/>
          <w:w w:val="110"/>
          <w:sz w:val="16"/>
        </w:rPr>
        <w:t xml:space="preserve">Gerhard Schröder was a CDU politician, Minister of the Interior from </w:t>
      </w:r>
      <w:r>
        <w:rPr>
          <w:color w:val="231F20"/>
          <w:spacing w:val="-5"/>
          <w:w w:val="110"/>
          <w:sz w:val="16"/>
        </w:rPr>
        <w:t xml:space="preserve">1953 </w:t>
      </w:r>
      <w:r>
        <w:rPr>
          <w:color w:val="231F20"/>
          <w:w w:val="110"/>
          <w:sz w:val="16"/>
        </w:rPr>
        <w:t xml:space="preserve">until </w:t>
      </w:r>
      <w:r>
        <w:rPr>
          <w:color w:val="231F20"/>
          <w:spacing w:val="-3"/>
          <w:w w:val="110"/>
          <w:sz w:val="16"/>
        </w:rPr>
        <w:t xml:space="preserve">1961, </w:t>
      </w:r>
      <w:r>
        <w:rPr>
          <w:color w:val="231F20"/>
          <w:w w:val="110"/>
          <w:sz w:val="16"/>
        </w:rPr>
        <w:t xml:space="preserve">Minister of Foreign Affairs from </w:t>
      </w:r>
      <w:r>
        <w:rPr>
          <w:color w:val="231F20"/>
          <w:spacing w:val="-4"/>
          <w:w w:val="110"/>
          <w:sz w:val="16"/>
        </w:rPr>
        <w:t xml:space="preserve">1961 </w:t>
      </w:r>
      <w:r>
        <w:rPr>
          <w:color w:val="231F20"/>
          <w:w w:val="110"/>
          <w:sz w:val="16"/>
        </w:rPr>
        <w:t>until 1966 and Minister of Defense from 1966 until</w:t>
      </w:r>
      <w:r>
        <w:rPr>
          <w:color w:val="231F20"/>
          <w:spacing w:val="18"/>
          <w:w w:val="110"/>
          <w:sz w:val="16"/>
        </w:rPr>
        <w:t xml:space="preserve"> </w:t>
      </w:r>
      <w:r>
        <w:rPr>
          <w:color w:val="231F20"/>
          <w:w w:val="110"/>
          <w:sz w:val="16"/>
        </w:rPr>
        <w:t>1969.</w:t>
      </w:r>
    </w:p>
    <w:p w14:paraId="71511528" w14:textId="77777777" w:rsidR="002653E8" w:rsidRDefault="002653E8">
      <w:pPr>
        <w:spacing w:line="254" w:lineRule="auto"/>
        <w:rPr>
          <w:sz w:val="16"/>
        </w:rPr>
        <w:sectPr w:rsidR="002653E8">
          <w:pgSz w:w="8640" w:h="12960"/>
          <w:pgMar w:top="1060" w:right="0" w:bottom="1040" w:left="0" w:header="0" w:footer="850" w:gutter="0"/>
          <w:cols w:space="720"/>
        </w:sectPr>
      </w:pPr>
    </w:p>
    <w:p w14:paraId="4EA59C70" w14:textId="77777777" w:rsidR="002653E8" w:rsidRDefault="003115E3">
      <w:pPr>
        <w:pStyle w:val="a3"/>
        <w:spacing w:before="86" w:line="264" w:lineRule="auto"/>
        <w:ind w:left="1147" w:right="1326"/>
        <w:jc w:val="both"/>
      </w:pPr>
      <w:r>
        <w:rPr>
          <w:color w:val="231F20"/>
        </w:rPr>
        <w:lastRenderedPageBreak/>
        <w:t>Belgian community’s squats in Kassel, where women and children were beaten with clubs, and against the squats in Hannover, which were destroyed through trials for damages. After Georg’s murder, a sticker appeared in Berlin that read: “Killer cops murdered our brother Georg because they were worried about their loot.”</w:t>
      </w:r>
    </w:p>
    <w:p w14:paraId="426F46BC" w14:textId="77777777" w:rsidR="002653E8" w:rsidRDefault="002653E8">
      <w:pPr>
        <w:pStyle w:val="a3"/>
        <w:spacing w:before="5"/>
        <w:rPr>
          <w:sz w:val="21"/>
        </w:rPr>
      </w:pPr>
    </w:p>
    <w:p w14:paraId="41F9702A" w14:textId="77777777" w:rsidR="002653E8" w:rsidRDefault="003115E3">
      <w:pPr>
        <w:ind w:left="1147"/>
        <w:rPr>
          <w:i/>
          <w:sz w:val="20"/>
        </w:rPr>
      </w:pPr>
      <w:r>
        <w:rPr>
          <w:i/>
          <w:color w:val="231F20"/>
          <w:w w:val="105"/>
          <w:sz w:val="20"/>
        </w:rPr>
        <w:t>Social Democracy and Reformism</w:t>
      </w:r>
    </w:p>
    <w:p w14:paraId="1950DB3E" w14:textId="77777777" w:rsidR="002653E8" w:rsidRDefault="003115E3">
      <w:pPr>
        <w:pStyle w:val="a3"/>
        <w:spacing w:before="23" w:line="264" w:lineRule="auto"/>
        <w:ind w:left="1147" w:right="1326"/>
        <w:jc w:val="both"/>
      </w:pPr>
      <w:r>
        <w:rPr>
          <w:color w:val="231F20"/>
        </w:rPr>
        <w:t xml:space="preserve">Promise of reform has become the ersatz religion, the opium of the people. Promises of a better future have only one function, to provide a motivation for patience, endurance, and passivity. With all the efforts that are required to push reforms through, one could have a revolution. The people who say otherwise—like the </w:t>
      </w:r>
      <w:r>
        <w:rPr>
          <w:i/>
          <w:color w:val="231F20"/>
        </w:rPr>
        <w:t>Jusos</w:t>
      </w:r>
      <w:r>
        <w:rPr>
          <w:color w:val="231F20"/>
        </w:rPr>
        <w:t xml:space="preserve">, and like those who believe that the </w:t>
      </w:r>
      <w:r>
        <w:rPr>
          <w:i/>
          <w:color w:val="231F20"/>
        </w:rPr>
        <w:t xml:space="preserve">Jusos </w:t>
      </w:r>
      <w:r>
        <w:rPr>
          <w:color w:val="231F20"/>
        </w:rPr>
        <w:t xml:space="preserve">have the power to push through meaningful reforms— misunderstand the system’s ability to resist change. They misunderstand its determination to adapt society to the exploitative conditions of capitalism and not the other </w:t>
      </w:r>
      <w:r>
        <w:rPr>
          <w:color w:val="231F20"/>
          <w:spacing w:val="-2"/>
        </w:rPr>
        <w:t xml:space="preserve">way </w:t>
      </w:r>
      <w:r>
        <w:rPr>
          <w:color w:val="231F20"/>
        </w:rPr>
        <w:t xml:space="preserve">around. They do not understand that the system no longer feels constrained to act “within the bounds of the constitutional state.” Above all, they fail to understand that the  </w:t>
      </w:r>
      <w:r>
        <w:rPr>
          <w:i/>
          <w:color w:val="231F20"/>
        </w:rPr>
        <w:t xml:space="preserve">Jusos  </w:t>
      </w:r>
      <w:r>
        <w:rPr>
          <w:color w:val="231F20"/>
        </w:rPr>
        <w:t>are</w:t>
      </w:r>
      <w:r>
        <w:rPr>
          <w:color w:val="231F20"/>
          <w:spacing w:val="8"/>
        </w:rPr>
        <w:t xml:space="preserve"> </w:t>
      </w:r>
      <w:r>
        <w:rPr>
          <w:color w:val="231F20"/>
        </w:rPr>
        <w:t>the</w:t>
      </w:r>
      <w:r>
        <w:rPr>
          <w:color w:val="231F20"/>
          <w:spacing w:val="8"/>
        </w:rPr>
        <w:t xml:space="preserve"> </w:t>
      </w:r>
      <w:r>
        <w:rPr>
          <w:color w:val="231F20"/>
        </w:rPr>
        <w:t>cream</w:t>
      </w:r>
      <w:r>
        <w:rPr>
          <w:color w:val="231F20"/>
          <w:spacing w:val="8"/>
        </w:rPr>
        <w:t xml:space="preserve"> </w:t>
      </w:r>
      <w:r>
        <w:rPr>
          <w:color w:val="231F20"/>
        </w:rPr>
        <w:t>of</w:t>
      </w:r>
      <w:r>
        <w:rPr>
          <w:color w:val="231F20"/>
          <w:spacing w:val="8"/>
        </w:rPr>
        <w:t xml:space="preserve"> </w:t>
      </w:r>
      <w:r>
        <w:rPr>
          <w:color w:val="231F20"/>
        </w:rPr>
        <w:t>the</w:t>
      </w:r>
      <w:r>
        <w:rPr>
          <w:color w:val="231F20"/>
          <w:spacing w:val="8"/>
        </w:rPr>
        <w:t xml:space="preserve"> </w:t>
      </w:r>
      <w:r>
        <w:rPr>
          <w:color w:val="231F20"/>
        </w:rPr>
        <w:t>younger</w:t>
      </w:r>
      <w:r>
        <w:rPr>
          <w:color w:val="231F20"/>
          <w:spacing w:val="8"/>
        </w:rPr>
        <w:t xml:space="preserve"> </w:t>
      </w:r>
      <w:r>
        <w:rPr>
          <w:color w:val="231F20"/>
        </w:rPr>
        <w:t>generation</w:t>
      </w:r>
      <w:r>
        <w:rPr>
          <w:color w:val="231F20"/>
          <w:spacing w:val="8"/>
        </w:rPr>
        <w:t xml:space="preserve"> </w:t>
      </w:r>
      <w:r>
        <w:rPr>
          <w:color w:val="231F20"/>
        </w:rPr>
        <w:t>of</w:t>
      </w:r>
      <w:r>
        <w:rPr>
          <w:color w:val="231F20"/>
          <w:spacing w:val="8"/>
        </w:rPr>
        <w:t xml:space="preserve"> </w:t>
      </w:r>
      <w:r>
        <w:rPr>
          <w:color w:val="231F20"/>
        </w:rPr>
        <w:t>social</w:t>
      </w:r>
      <w:r>
        <w:rPr>
          <w:color w:val="231F20"/>
          <w:spacing w:val="8"/>
        </w:rPr>
        <w:t xml:space="preserve"> </w:t>
      </w:r>
      <w:r>
        <w:rPr>
          <w:color w:val="231F20"/>
        </w:rPr>
        <w:t>democrats.</w:t>
      </w:r>
    </w:p>
    <w:p w14:paraId="4DF7A726" w14:textId="77777777" w:rsidR="002653E8" w:rsidRDefault="003115E3">
      <w:pPr>
        <w:pStyle w:val="a3"/>
        <w:spacing w:line="222" w:lineRule="exact"/>
        <w:ind w:left="1357"/>
      </w:pPr>
      <w:r>
        <w:rPr>
          <w:color w:val="231F20"/>
          <w:w w:val="105"/>
        </w:rPr>
        <w:t>There is, however, a difference between the SPD and the CDU. They</w:t>
      </w:r>
    </w:p>
    <w:p w14:paraId="30D43D8A" w14:textId="77777777" w:rsidR="002653E8" w:rsidRDefault="003115E3">
      <w:pPr>
        <w:pStyle w:val="a3"/>
        <w:spacing w:before="22" w:line="264" w:lineRule="auto"/>
        <w:ind w:left="1147" w:right="1325" w:hanging="1"/>
        <w:jc w:val="both"/>
      </w:pPr>
      <w:r>
        <w:rPr>
          <w:color w:val="231F20"/>
        </w:rPr>
        <w:t xml:space="preserve">despise the working class and the people in different ways. The SPD believes in the carrot and the stick. The CDU is only interested in the stick. The SPD is more experienced at leading the working class around by the nose. </w:t>
      </w:r>
      <w:r>
        <w:rPr>
          <w:color w:val="231F20"/>
          <w:spacing w:val="-3"/>
        </w:rPr>
        <w:t>Wehner</w:t>
      </w:r>
      <w:r>
        <w:rPr>
          <w:color w:val="231F20"/>
          <w:spacing w:val="-3"/>
          <w:position w:val="7"/>
          <w:sz w:val="11"/>
        </w:rPr>
        <w:t xml:space="preserve">1 </w:t>
      </w:r>
      <w:r>
        <w:rPr>
          <w:color w:val="231F20"/>
        </w:rPr>
        <w:t xml:space="preserve">is more experienced in deceiving and purging the left. Brandt is more experienced in the </w:t>
      </w:r>
      <w:r>
        <w:rPr>
          <w:color w:val="231F20"/>
          <w:spacing w:val="-2"/>
        </w:rPr>
        <w:t xml:space="preserve">way </w:t>
      </w:r>
      <w:r>
        <w:rPr>
          <w:color w:val="231F20"/>
        </w:rPr>
        <w:t xml:space="preserve">to take over the leadership of a movement so as to neutralize it (e.g., the antinuclear movement in Berlin in </w:t>
      </w:r>
      <w:r>
        <w:rPr>
          <w:color w:val="231F20"/>
          <w:spacing w:val="-7"/>
        </w:rPr>
        <w:t xml:space="preserve">1958). </w:t>
      </w:r>
      <w:r>
        <w:rPr>
          <w:color w:val="231F20"/>
        </w:rPr>
        <w:t>They are more imaginative than the CDU in their tac tics against the</w:t>
      </w:r>
      <w:r>
        <w:rPr>
          <w:color w:val="231F20"/>
          <w:spacing w:val="31"/>
        </w:rPr>
        <w:t xml:space="preserve"> </w:t>
      </w:r>
      <w:r>
        <w:rPr>
          <w:color w:val="231F20"/>
        </w:rPr>
        <w:t>people.</w:t>
      </w:r>
    </w:p>
    <w:p w14:paraId="59499DB7" w14:textId="77777777" w:rsidR="002653E8" w:rsidRDefault="003115E3">
      <w:pPr>
        <w:pStyle w:val="a3"/>
        <w:spacing w:line="264" w:lineRule="auto"/>
        <w:ind w:left="1147" w:right="1326" w:firstLine="210"/>
        <w:jc w:val="both"/>
      </w:pPr>
      <w:r>
        <w:rPr>
          <w:color w:val="231F20"/>
        </w:rPr>
        <w:t>The SPD pushed the amnesty through to defuse the solidarity that was developing around the trials of students, to disrupt the criticisms of the justice system, to break the solidarity the left was receiving against the justice system and the administration, thereby eliminating the</w:t>
      </w:r>
      <w:r>
        <w:rPr>
          <w:color w:val="231F20"/>
          <w:spacing w:val="-28"/>
        </w:rPr>
        <w:t xml:space="preserve"> </w:t>
      </w:r>
      <w:r>
        <w:rPr>
          <w:color w:val="231F20"/>
        </w:rPr>
        <w:t>rebellion without involving state</w:t>
      </w:r>
      <w:r>
        <w:rPr>
          <w:color w:val="231F20"/>
          <w:spacing w:val="42"/>
        </w:rPr>
        <w:t xml:space="preserve"> </w:t>
      </w:r>
      <w:r>
        <w:rPr>
          <w:color w:val="231F20"/>
        </w:rPr>
        <w:t>security.</w:t>
      </w:r>
    </w:p>
    <w:p w14:paraId="7834535D" w14:textId="77777777" w:rsidR="002653E8" w:rsidRDefault="003115E3">
      <w:pPr>
        <w:pStyle w:val="a3"/>
        <w:spacing w:line="264" w:lineRule="auto"/>
        <w:ind w:left="1147" w:right="1325" w:firstLine="210"/>
        <w:jc w:val="both"/>
      </w:pPr>
      <w:r>
        <w:rPr>
          <w:color w:val="231F20"/>
        </w:rPr>
        <w:t xml:space="preserve">With their </w:t>
      </w:r>
      <w:r>
        <w:rPr>
          <w:i/>
          <w:color w:val="231F20"/>
        </w:rPr>
        <w:t>Ostpolitik</w:t>
      </w:r>
      <w:r>
        <w:rPr>
          <w:color w:val="231F20"/>
        </w:rPr>
        <w:t>, they beat back the criticism that their reform policies were in disarray. The Berlin Senate didn’t send in the police in response to the occupation at the Bethanien Hospital and the establishment of the Georg von Rauch House, instead they chose to shut</w:t>
      </w:r>
    </w:p>
    <w:p w14:paraId="0A6F077B" w14:textId="77777777" w:rsidR="002653E8" w:rsidRDefault="00000000">
      <w:pPr>
        <w:pStyle w:val="a3"/>
        <w:spacing w:before="10"/>
        <w:rPr>
          <w:sz w:val="18"/>
        </w:rPr>
      </w:pPr>
      <w:r>
        <w:rPr>
          <w:noProof w:val="0"/>
        </w:rPr>
        <w:pict w14:anchorId="504E666F">
          <v:line id="_x0000_s2558" style="position:absolute;z-index:4480;mso-wrap-distance-left:0;mso-wrap-distance-right:0;mso-position-horizontal-relative:page" from="57.4pt,13.3pt" to="129.4pt,13.3pt" strokecolor="#231f20" strokeweight=".5pt">
            <w10:wrap type="topAndBottom" anchorx="page"/>
          </v:line>
        </w:pict>
      </w:r>
    </w:p>
    <w:p w14:paraId="607EB45A" w14:textId="77777777" w:rsidR="002653E8" w:rsidRDefault="003115E3">
      <w:pPr>
        <w:spacing w:before="53" w:line="254" w:lineRule="auto"/>
        <w:ind w:left="1147" w:right="1580"/>
        <w:rPr>
          <w:sz w:val="16"/>
        </w:rPr>
      </w:pPr>
      <w:r>
        <w:rPr>
          <w:color w:val="231F20"/>
          <w:w w:val="105"/>
          <w:sz w:val="16"/>
        </w:rPr>
        <w:t>1</w:t>
      </w:r>
      <w:bookmarkStart w:id="59" w:name="_Hlk62750194"/>
      <w:r>
        <w:rPr>
          <w:color w:val="231F20"/>
          <w:w w:val="105"/>
          <w:sz w:val="16"/>
        </w:rPr>
        <w:t xml:space="preserve"> Herbert Wehner</w:t>
      </w:r>
      <w:bookmarkEnd w:id="59"/>
      <w:r>
        <w:rPr>
          <w:color w:val="231F20"/>
          <w:w w:val="105"/>
          <w:sz w:val="16"/>
        </w:rPr>
        <w:t xml:space="preserve"> was leader of the SPD’s parliamentary group from 1958 until 1983, and Deputy Chairman of the SPD from 1958 until 1973.</w:t>
      </w:r>
    </w:p>
    <w:p w14:paraId="77D9C326" w14:textId="77777777" w:rsidR="002653E8" w:rsidRDefault="002653E8">
      <w:pPr>
        <w:spacing w:line="254" w:lineRule="auto"/>
        <w:rPr>
          <w:sz w:val="16"/>
        </w:rPr>
        <w:sectPr w:rsidR="002653E8">
          <w:footerReference w:type="even" r:id="rId127"/>
          <w:footerReference w:type="default" r:id="rId128"/>
          <w:pgSz w:w="8640" w:h="12960"/>
          <w:pgMar w:top="1060" w:right="0" w:bottom="1040" w:left="0" w:header="0" w:footer="850" w:gutter="0"/>
          <w:cols w:space="720"/>
        </w:sectPr>
      </w:pPr>
    </w:p>
    <w:p w14:paraId="78207C91" w14:textId="77777777" w:rsidR="002653E8" w:rsidRDefault="003115E3">
      <w:pPr>
        <w:pStyle w:val="a3"/>
        <w:spacing w:before="86" w:line="264" w:lineRule="auto"/>
        <w:ind w:left="1327" w:right="1145"/>
        <w:jc w:val="both"/>
      </w:pPr>
      <w:r>
        <w:rPr>
          <w:color w:val="231F20"/>
        </w:rPr>
        <w:lastRenderedPageBreak/>
        <w:t>off the water and take over administration of the building. Because of the protests against his Persian trip, Heinemann is still gun-shy about diplomacy. Under Brandt’s leadership, the ban on foreigners’ organizations was already in the works. It is the SPD that has influence with     the unions and the workers, while the CDU distrusts the unions and their method of functioning: accumulation of capital through voluntary membership donations instead of through the extraction of profits. And Posser</w:t>
      </w:r>
      <w:r>
        <w:rPr>
          <w:color w:val="231F20"/>
          <w:position w:val="7"/>
          <w:sz w:val="11"/>
        </w:rPr>
        <w:t xml:space="preserve">2 </w:t>
      </w:r>
      <w:r>
        <w:rPr>
          <w:color w:val="231F20"/>
        </w:rPr>
        <w:t>in many ways avoids lying: Mahler is a “fellow human being,” and</w:t>
      </w:r>
      <w:r>
        <w:rPr>
          <w:color w:val="231F20"/>
          <w:spacing w:val="10"/>
        </w:rPr>
        <w:t xml:space="preserve"> </w:t>
      </w:r>
      <w:r>
        <w:rPr>
          <w:color w:val="231F20"/>
        </w:rPr>
        <w:t>in</w:t>
      </w:r>
      <w:r>
        <w:rPr>
          <w:color w:val="231F20"/>
          <w:spacing w:val="10"/>
        </w:rPr>
        <w:t xml:space="preserve"> </w:t>
      </w:r>
      <w:r>
        <w:rPr>
          <w:color w:val="231F20"/>
        </w:rPr>
        <w:t>his</w:t>
      </w:r>
      <w:r>
        <w:rPr>
          <w:color w:val="231F20"/>
          <w:spacing w:val="10"/>
        </w:rPr>
        <w:t xml:space="preserve"> </w:t>
      </w:r>
      <w:r>
        <w:rPr>
          <w:color w:val="231F20"/>
        </w:rPr>
        <w:t>impact</w:t>
      </w:r>
      <w:r>
        <w:rPr>
          <w:color w:val="231F20"/>
          <w:spacing w:val="10"/>
        </w:rPr>
        <w:t xml:space="preserve"> </w:t>
      </w:r>
      <w:r>
        <w:rPr>
          <w:color w:val="231F20"/>
        </w:rPr>
        <w:t>report</w:t>
      </w:r>
      <w:r>
        <w:rPr>
          <w:color w:val="231F20"/>
          <w:spacing w:val="10"/>
        </w:rPr>
        <w:t xml:space="preserve"> </w:t>
      </w:r>
      <w:r>
        <w:rPr>
          <w:color w:val="231F20"/>
        </w:rPr>
        <w:t>he</w:t>
      </w:r>
      <w:r>
        <w:rPr>
          <w:color w:val="231F20"/>
          <w:spacing w:val="10"/>
        </w:rPr>
        <w:t xml:space="preserve"> </w:t>
      </w:r>
      <w:r>
        <w:rPr>
          <w:color w:val="231F20"/>
        </w:rPr>
        <w:t>says</w:t>
      </w:r>
      <w:r>
        <w:rPr>
          <w:color w:val="231F20"/>
          <w:spacing w:val="10"/>
        </w:rPr>
        <w:t xml:space="preserve"> </w:t>
      </w:r>
      <w:r>
        <w:rPr>
          <w:color w:val="231F20"/>
        </w:rPr>
        <w:t>Brigitte</w:t>
      </w:r>
      <w:r>
        <w:rPr>
          <w:color w:val="231F20"/>
          <w:spacing w:val="10"/>
        </w:rPr>
        <w:t xml:space="preserve"> </w:t>
      </w:r>
      <w:r>
        <w:rPr>
          <w:color w:val="231F20"/>
        </w:rPr>
        <w:t>Asdonk</w:t>
      </w:r>
      <w:r>
        <w:rPr>
          <w:color w:val="231F20"/>
          <w:spacing w:val="10"/>
        </w:rPr>
        <w:t xml:space="preserve"> </w:t>
      </w:r>
      <w:r>
        <w:rPr>
          <w:color w:val="231F20"/>
        </w:rPr>
        <w:t>had</w:t>
      </w:r>
      <w:r>
        <w:rPr>
          <w:color w:val="231F20"/>
          <w:spacing w:val="10"/>
        </w:rPr>
        <w:t xml:space="preserve"> </w:t>
      </w:r>
      <w:r>
        <w:rPr>
          <w:color w:val="231F20"/>
        </w:rPr>
        <w:t>been</w:t>
      </w:r>
      <w:r>
        <w:rPr>
          <w:color w:val="231F20"/>
          <w:spacing w:val="10"/>
        </w:rPr>
        <w:t xml:space="preserve"> </w:t>
      </w:r>
      <w:r>
        <w:rPr>
          <w:color w:val="231F20"/>
        </w:rPr>
        <w:t>mistreated.</w:t>
      </w:r>
    </w:p>
    <w:p w14:paraId="1157B8F2" w14:textId="77777777" w:rsidR="002653E8" w:rsidRDefault="003115E3">
      <w:pPr>
        <w:pStyle w:val="a3"/>
        <w:spacing w:line="264" w:lineRule="auto"/>
        <w:ind w:left="1327" w:right="1146" w:firstLine="209"/>
        <w:jc w:val="both"/>
      </w:pPr>
      <w:r>
        <w:rPr>
          <w:color w:val="231F20"/>
        </w:rPr>
        <w:t>The difference between the SPD and the CDU has been defined by some comrades as the difference between the plague and cholera. That’s the choice the West German people face when they vote.</w:t>
      </w:r>
    </w:p>
    <w:p w14:paraId="6D5ECF8A" w14:textId="77777777" w:rsidR="002653E8" w:rsidRDefault="003115E3">
      <w:pPr>
        <w:pStyle w:val="a3"/>
        <w:spacing w:line="264" w:lineRule="auto"/>
        <w:ind w:left="1327" w:right="1146" w:firstLine="210"/>
        <w:jc w:val="both"/>
      </w:pPr>
      <w:r>
        <w:rPr>
          <w:color w:val="231F20"/>
        </w:rPr>
        <w:t xml:space="preserve">The system is taking the steps necessary to preserve the social status quo. Preserving the status quo requires: the concentration of European businesses to resist American competition; tax funded basic research   to maintain high rates of profit; supplying weapons to the Third </w:t>
      </w:r>
      <w:r>
        <w:rPr>
          <w:color w:val="231F20"/>
          <w:spacing w:val="-4"/>
        </w:rPr>
        <w:t xml:space="preserve">World </w:t>
      </w:r>
      <w:r>
        <w:rPr>
          <w:color w:val="231F20"/>
        </w:rPr>
        <w:t>through capital export markets so as to keep the liberation movements in check and using foreign production to keep wages down at home; keeping Siemens Annual General Assembly free from criticisms about Carbora Bassa investments;</w:t>
      </w:r>
      <w:r>
        <w:rPr>
          <w:color w:val="231F20"/>
          <w:position w:val="7"/>
          <w:sz w:val="11"/>
        </w:rPr>
        <w:t xml:space="preserve">3 </w:t>
      </w:r>
      <w:r>
        <w:rPr>
          <w:color w:val="231F20"/>
        </w:rPr>
        <w:t>protecting the Shah from criticism about the death penalty in</w:t>
      </w:r>
      <w:r>
        <w:rPr>
          <w:color w:val="231F20"/>
          <w:spacing w:val="42"/>
        </w:rPr>
        <w:t xml:space="preserve"> </w:t>
      </w:r>
      <w:r>
        <w:rPr>
          <w:color w:val="231F20"/>
        </w:rPr>
        <w:t>Persia.</w:t>
      </w:r>
    </w:p>
    <w:p w14:paraId="694CC0BD" w14:textId="77777777" w:rsidR="002653E8" w:rsidRDefault="003115E3">
      <w:pPr>
        <w:pStyle w:val="a3"/>
        <w:spacing w:line="264" w:lineRule="auto"/>
        <w:ind w:left="1327" w:right="1146" w:firstLine="210"/>
        <w:jc w:val="both"/>
      </w:pPr>
      <w:r>
        <w:rPr>
          <w:color w:val="231F20"/>
        </w:rPr>
        <w:t xml:space="preserve">Preserving the status quo requires: keeping anyone who is poor </w:t>
      </w:r>
      <w:r>
        <w:rPr>
          <w:color w:val="231F20"/>
          <w:spacing w:val="-3"/>
        </w:rPr>
        <w:t xml:space="preserve">away </w:t>
      </w:r>
      <w:r>
        <w:rPr>
          <w:color w:val="231F20"/>
        </w:rPr>
        <w:t>from people who are addressing the issue of ownership; keeping the working class divided; using the accumulation of wealth and promises of reform to rein in the working class; keeping up a steady flow of propaganda: consumer ownership is the same as ownership of the means  of production; all attacks against private property are the same; all attacks against private property are criminal; capitalist production is the natural state of affairs; capitalism is the best option available and the best that humans have come up with; criticisms of capitalism serve particular, selfish agendas of individuals and groups; wages are responsible for inflation; employers’ profits serve the common good; whoever has a different perspective is making problems and stands alone and is, in the final analysis, a</w:t>
      </w:r>
      <w:r>
        <w:rPr>
          <w:color w:val="231F20"/>
          <w:spacing w:val="35"/>
        </w:rPr>
        <w:t xml:space="preserve"> </w:t>
      </w:r>
      <w:r>
        <w:rPr>
          <w:color w:val="231F20"/>
        </w:rPr>
        <w:t>criminal.</w:t>
      </w:r>
    </w:p>
    <w:p w14:paraId="408B0A2C" w14:textId="77777777" w:rsidR="002653E8" w:rsidRDefault="00000000">
      <w:pPr>
        <w:pStyle w:val="a3"/>
        <w:spacing w:before="8"/>
        <w:rPr>
          <w:sz w:val="11"/>
        </w:rPr>
      </w:pPr>
      <w:r>
        <w:rPr>
          <w:noProof w:val="0"/>
        </w:rPr>
        <w:pict w14:anchorId="6ABC85BD">
          <v:line id="_x0000_s2557" style="position:absolute;z-index:4504;mso-wrap-distance-left:0;mso-wrap-distance-right:0;mso-position-horizontal-relative:page" from="66.4pt,9.05pt" to="138.4pt,9.05pt" strokecolor="#231f20" strokeweight=".5pt">
            <w10:wrap type="topAndBottom" anchorx="page"/>
          </v:line>
        </w:pict>
      </w:r>
    </w:p>
    <w:p w14:paraId="311208F6" w14:textId="77777777" w:rsidR="002653E8" w:rsidRDefault="003115E3">
      <w:pPr>
        <w:pStyle w:val="a4"/>
        <w:numPr>
          <w:ilvl w:val="0"/>
          <w:numId w:val="24"/>
        </w:numPr>
        <w:tabs>
          <w:tab w:val="left" w:pos="1467"/>
        </w:tabs>
        <w:spacing w:before="53" w:line="254" w:lineRule="auto"/>
        <w:ind w:right="1362" w:hanging="1"/>
        <w:rPr>
          <w:sz w:val="16"/>
        </w:rPr>
      </w:pPr>
      <w:bookmarkStart w:id="60" w:name="_Hlk62752512"/>
      <w:r>
        <w:rPr>
          <w:color w:val="231F20"/>
          <w:w w:val="105"/>
          <w:sz w:val="16"/>
        </w:rPr>
        <w:t>Diether Posser</w:t>
      </w:r>
      <w:bookmarkEnd w:id="60"/>
      <w:r>
        <w:rPr>
          <w:color w:val="231F20"/>
          <w:w w:val="105"/>
          <w:sz w:val="16"/>
        </w:rPr>
        <w:t xml:space="preserve">, SPD Minister of Justice in the </w:t>
      </w:r>
      <w:r>
        <w:rPr>
          <w:i/>
          <w:color w:val="231F20"/>
          <w:spacing w:val="2"/>
          <w:w w:val="105"/>
          <w:sz w:val="16"/>
        </w:rPr>
        <w:t xml:space="preserve">Land </w:t>
      </w:r>
      <w:r>
        <w:rPr>
          <w:color w:val="231F20"/>
          <w:w w:val="105"/>
          <w:sz w:val="16"/>
        </w:rPr>
        <w:t xml:space="preserve">of North </w:t>
      </w:r>
      <w:r>
        <w:rPr>
          <w:color w:val="231F20"/>
          <w:spacing w:val="1"/>
          <w:w w:val="105"/>
          <w:sz w:val="16"/>
        </w:rPr>
        <w:t xml:space="preserve">Rhine </w:t>
      </w:r>
      <w:r>
        <w:rPr>
          <w:color w:val="231F20"/>
          <w:w w:val="105"/>
          <w:sz w:val="16"/>
        </w:rPr>
        <w:t>Westphalia from 1972 until</w:t>
      </w:r>
      <w:r>
        <w:rPr>
          <w:color w:val="231F20"/>
          <w:spacing w:val="25"/>
          <w:w w:val="105"/>
          <w:sz w:val="16"/>
        </w:rPr>
        <w:t xml:space="preserve"> </w:t>
      </w:r>
      <w:r>
        <w:rPr>
          <w:color w:val="231F20"/>
          <w:w w:val="105"/>
          <w:sz w:val="16"/>
        </w:rPr>
        <w:t>1978.</w:t>
      </w:r>
    </w:p>
    <w:p w14:paraId="1BEE8A14" w14:textId="77777777" w:rsidR="002653E8" w:rsidRDefault="003115E3">
      <w:pPr>
        <w:pStyle w:val="a4"/>
        <w:numPr>
          <w:ilvl w:val="0"/>
          <w:numId w:val="24"/>
        </w:numPr>
        <w:tabs>
          <w:tab w:val="left" w:pos="1467"/>
        </w:tabs>
        <w:spacing w:line="254" w:lineRule="auto"/>
        <w:ind w:right="1349" w:firstLine="0"/>
        <w:rPr>
          <w:sz w:val="16"/>
        </w:rPr>
      </w:pPr>
      <w:r>
        <w:rPr>
          <w:color w:val="231F20"/>
          <w:w w:val="105"/>
          <w:sz w:val="16"/>
        </w:rPr>
        <w:t xml:space="preserve">The project to build a massive dam in Mozambique, then a Portuguese colony. The right-wing Portuguese government had plans to settle over one million European colonists in the </w:t>
      </w:r>
      <w:r>
        <w:rPr>
          <w:color w:val="231F20"/>
          <w:spacing w:val="1"/>
          <w:w w:val="105"/>
          <w:sz w:val="16"/>
        </w:rPr>
        <w:t xml:space="preserve">African </w:t>
      </w:r>
      <w:r>
        <w:rPr>
          <w:color w:val="231F20"/>
          <w:w w:val="105"/>
          <w:sz w:val="16"/>
        </w:rPr>
        <w:t>country. By 1969, five German companies were implicated in the</w:t>
      </w:r>
      <w:r>
        <w:rPr>
          <w:color w:val="231F20"/>
          <w:spacing w:val="23"/>
          <w:w w:val="105"/>
          <w:sz w:val="16"/>
        </w:rPr>
        <w:t xml:space="preserve"> </w:t>
      </w:r>
      <w:r>
        <w:rPr>
          <w:color w:val="231F20"/>
          <w:w w:val="105"/>
          <w:sz w:val="16"/>
        </w:rPr>
        <w:t>project.</w:t>
      </w:r>
    </w:p>
    <w:p w14:paraId="2933EA66" w14:textId="77777777" w:rsidR="002653E8" w:rsidRDefault="002653E8">
      <w:pPr>
        <w:spacing w:line="254" w:lineRule="auto"/>
        <w:rPr>
          <w:sz w:val="16"/>
        </w:rPr>
        <w:sectPr w:rsidR="002653E8">
          <w:pgSz w:w="8640" w:h="12960"/>
          <w:pgMar w:top="1060" w:right="0" w:bottom="1040" w:left="0" w:header="0" w:footer="850" w:gutter="0"/>
          <w:cols w:space="720"/>
        </w:sectPr>
      </w:pPr>
    </w:p>
    <w:p w14:paraId="47B40952" w14:textId="77777777" w:rsidR="002653E8" w:rsidRDefault="003115E3">
      <w:pPr>
        <w:pStyle w:val="a3"/>
        <w:spacing w:before="86" w:line="264" w:lineRule="auto"/>
        <w:ind w:left="1147" w:right="1326" w:firstLine="210"/>
        <w:jc w:val="both"/>
      </w:pPr>
      <w:r>
        <w:rPr>
          <w:color w:val="231F20"/>
        </w:rPr>
        <w:lastRenderedPageBreak/>
        <w:t>It is a status quo of relations of ownership and ideas that cannot be preserved without the militarization of the class struggle and the criminalization of the left.</w:t>
      </w:r>
    </w:p>
    <w:p w14:paraId="60D66674" w14:textId="77777777" w:rsidR="002653E8" w:rsidRDefault="002653E8">
      <w:pPr>
        <w:pStyle w:val="a3"/>
        <w:spacing w:before="8"/>
        <w:rPr>
          <w:sz w:val="21"/>
        </w:rPr>
      </w:pPr>
    </w:p>
    <w:p w14:paraId="1C255DEA" w14:textId="77777777" w:rsidR="002653E8" w:rsidRDefault="003115E3">
      <w:pPr>
        <w:ind w:left="1147"/>
        <w:rPr>
          <w:i/>
          <w:sz w:val="20"/>
        </w:rPr>
      </w:pPr>
      <w:r>
        <w:rPr>
          <w:i/>
          <w:color w:val="231F20"/>
          <w:sz w:val="20"/>
        </w:rPr>
        <w:t>The Springer Press</w:t>
      </w:r>
    </w:p>
    <w:p w14:paraId="60909174" w14:textId="77777777" w:rsidR="002653E8" w:rsidRDefault="003115E3">
      <w:pPr>
        <w:pStyle w:val="a3"/>
        <w:spacing w:before="22" w:line="264" w:lineRule="auto"/>
        <w:ind w:left="1147" w:right="1326"/>
        <w:jc w:val="both"/>
      </w:pPr>
      <w:r>
        <w:rPr>
          <w:color w:val="231F20"/>
        </w:rPr>
        <w:t xml:space="preserve">The role of the Springer Press in the militarization of the class struggle was well described in </w:t>
      </w:r>
      <w:r>
        <w:rPr>
          <w:color w:val="231F20"/>
          <w:spacing w:val="-4"/>
        </w:rPr>
        <w:t xml:space="preserve">1968 </w:t>
      </w:r>
      <w:r>
        <w:rPr>
          <w:color w:val="231F20"/>
        </w:rPr>
        <w:t>during the “Expropriate Springer” campaign:</w:t>
      </w:r>
    </w:p>
    <w:p w14:paraId="2528F8DE" w14:textId="77777777" w:rsidR="002653E8" w:rsidRDefault="003115E3">
      <w:pPr>
        <w:spacing w:before="166" w:line="276" w:lineRule="auto"/>
        <w:ind w:left="1567" w:right="1745"/>
        <w:jc w:val="both"/>
        <w:rPr>
          <w:i/>
          <w:sz w:val="19"/>
        </w:rPr>
      </w:pPr>
      <w:r>
        <w:rPr>
          <w:i/>
          <w:color w:val="231F20"/>
          <w:sz w:val="19"/>
        </w:rPr>
        <w:t xml:space="preserve">One can see the </w:t>
      </w:r>
      <w:r>
        <w:rPr>
          <w:i/>
          <w:color w:val="231F20"/>
          <w:spacing w:val="-3"/>
          <w:sz w:val="19"/>
        </w:rPr>
        <w:t xml:space="preserve">way </w:t>
      </w:r>
      <w:r>
        <w:rPr>
          <w:i/>
          <w:color w:val="231F20"/>
          <w:sz w:val="19"/>
        </w:rPr>
        <w:t xml:space="preserve">in which the Springer Press’ public  is  produced following a simple formula: The Springer Press treats every attempt by people to free themselves from the constraints     of late capitalism as a crime. Political revolutionaries are assigned the attributes of violent criminals. Political struggle is presented as individual, abstract </w:t>
      </w:r>
      <w:r>
        <w:rPr>
          <w:i/>
          <w:color w:val="231F20"/>
          <w:spacing w:val="-4"/>
          <w:sz w:val="19"/>
        </w:rPr>
        <w:t xml:space="preserve">terror, </w:t>
      </w:r>
      <w:r>
        <w:rPr>
          <w:i/>
          <w:color w:val="231F20"/>
          <w:sz w:val="19"/>
        </w:rPr>
        <w:t>and the campaign against imperialism as pointless</w:t>
      </w:r>
      <w:r>
        <w:rPr>
          <w:i/>
          <w:color w:val="231F20"/>
          <w:spacing w:val="20"/>
          <w:sz w:val="19"/>
        </w:rPr>
        <w:t xml:space="preserve"> </w:t>
      </w:r>
      <w:r>
        <w:rPr>
          <w:i/>
          <w:color w:val="231F20"/>
          <w:sz w:val="19"/>
        </w:rPr>
        <w:t>destruction.</w:t>
      </w:r>
    </w:p>
    <w:p w14:paraId="2FE01B71" w14:textId="77777777" w:rsidR="002653E8" w:rsidRDefault="003115E3">
      <w:pPr>
        <w:spacing w:before="38" w:line="276" w:lineRule="auto"/>
        <w:ind w:left="1567" w:right="1739"/>
        <w:jc w:val="both"/>
        <w:rPr>
          <w:i/>
          <w:sz w:val="19"/>
        </w:rPr>
      </w:pPr>
      <w:r>
        <w:rPr>
          <w:i/>
          <w:color w:val="231F20"/>
          <w:w w:val="105"/>
          <w:sz w:val="19"/>
        </w:rPr>
        <w:t>The Springer Corporation represents the propaganda vanguard of aggressive anticommunism. The Springer Press is the enemy of the working class. They undermine its ability to act freely and in solidarity. They transform the reader’s desire for equality into a lynching instinct and the longing for a free society into hatred against</w:t>
      </w:r>
      <w:r>
        <w:rPr>
          <w:i/>
          <w:color w:val="231F20"/>
          <w:spacing w:val="-7"/>
          <w:w w:val="105"/>
          <w:sz w:val="19"/>
        </w:rPr>
        <w:t xml:space="preserve"> </w:t>
      </w:r>
      <w:r>
        <w:rPr>
          <w:i/>
          <w:color w:val="231F20"/>
          <w:w w:val="105"/>
          <w:sz w:val="19"/>
        </w:rPr>
        <w:t>everybody</w:t>
      </w:r>
      <w:r>
        <w:rPr>
          <w:i/>
          <w:color w:val="231F20"/>
          <w:spacing w:val="-7"/>
          <w:w w:val="105"/>
          <w:sz w:val="19"/>
        </w:rPr>
        <w:t xml:space="preserve"> </w:t>
      </w:r>
      <w:r>
        <w:rPr>
          <w:i/>
          <w:color w:val="231F20"/>
          <w:w w:val="105"/>
          <w:sz w:val="19"/>
        </w:rPr>
        <w:t>who</w:t>
      </w:r>
      <w:r>
        <w:rPr>
          <w:i/>
          <w:color w:val="231F20"/>
          <w:spacing w:val="-7"/>
          <w:w w:val="105"/>
          <w:sz w:val="19"/>
        </w:rPr>
        <w:t xml:space="preserve"> </w:t>
      </w:r>
      <w:r>
        <w:rPr>
          <w:i/>
          <w:color w:val="231F20"/>
          <w:w w:val="105"/>
          <w:sz w:val="19"/>
        </w:rPr>
        <w:t>wants</w:t>
      </w:r>
      <w:r>
        <w:rPr>
          <w:i/>
          <w:color w:val="231F20"/>
          <w:spacing w:val="-7"/>
          <w:w w:val="105"/>
          <w:sz w:val="19"/>
        </w:rPr>
        <w:t xml:space="preserve"> </w:t>
      </w:r>
      <w:r>
        <w:rPr>
          <w:i/>
          <w:color w:val="231F20"/>
          <w:w w:val="105"/>
          <w:sz w:val="19"/>
        </w:rPr>
        <w:t>to</w:t>
      </w:r>
      <w:r>
        <w:rPr>
          <w:i/>
          <w:color w:val="231F20"/>
          <w:spacing w:val="-7"/>
          <w:w w:val="105"/>
          <w:sz w:val="19"/>
        </w:rPr>
        <w:t xml:space="preserve"> </w:t>
      </w:r>
      <w:r>
        <w:rPr>
          <w:i/>
          <w:color w:val="231F20"/>
          <w:w w:val="105"/>
          <w:sz w:val="19"/>
        </w:rPr>
        <w:t>build</w:t>
      </w:r>
      <w:r>
        <w:rPr>
          <w:i/>
          <w:color w:val="231F20"/>
          <w:spacing w:val="-7"/>
          <w:w w:val="105"/>
          <w:sz w:val="19"/>
        </w:rPr>
        <w:t xml:space="preserve"> </w:t>
      </w:r>
      <w:r>
        <w:rPr>
          <w:i/>
          <w:color w:val="231F20"/>
          <w:w w:val="105"/>
          <w:sz w:val="19"/>
        </w:rPr>
        <w:t>a</w:t>
      </w:r>
      <w:r>
        <w:rPr>
          <w:i/>
          <w:color w:val="231F20"/>
          <w:spacing w:val="-7"/>
          <w:w w:val="105"/>
          <w:sz w:val="19"/>
        </w:rPr>
        <w:t xml:space="preserve"> </w:t>
      </w:r>
      <w:r>
        <w:rPr>
          <w:i/>
          <w:color w:val="231F20"/>
          <w:w w:val="105"/>
          <w:sz w:val="19"/>
        </w:rPr>
        <w:t>free</w:t>
      </w:r>
      <w:r>
        <w:rPr>
          <w:i/>
          <w:color w:val="231F20"/>
          <w:spacing w:val="-7"/>
          <w:w w:val="105"/>
          <w:sz w:val="19"/>
        </w:rPr>
        <w:t xml:space="preserve"> </w:t>
      </w:r>
      <w:r>
        <w:rPr>
          <w:i/>
          <w:color w:val="231F20"/>
          <w:spacing w:val="-3"/>
          <w:w w:val="105"/>
          <w:sz w:val="19"/>
        </w:rPr>
        <w:t>society.</w:t>
      </w:r>
      <w:r>
        <w:rPr>
          <w:i/>
          <w:color w:val="231F20"/>
          <w:spacing w:val="-18"/>
          <w:w w:val="105"/>
          <w:sz w:val="19"/>
        </w:rPr>
        <w:t xml:space="preserve"> </w:t>
      </w:r>
      <w:r>
        <w:rPr>
          <w:i/>
          <w:color w:val="231F20"/>
          <w:w w:val="105"/>
          <w:sz w:val="19"/>
        </w:rPr>
        <w:t>The</w:t>
      </w:r>
      <w:r>
        <w:rPr>
          <w:i/>
          <w:color w:val="231F20"/>
          <w:spacing w:val="-7"/>
          <w:w w:val="105"/>
          <w:sz w:val="19"/>
        </w:rPr>
        <w:t xml:space="preserve"> </w:t>
      </w:r>
      <w:r>
        <w:rPr>
          <w:i/>
          <w:color w:val="231F20"/>
          <w:w w:val="105"/>
          <w:sz w:val="19"/>
        </w:rPr>
        <w:t xml:space="preserve">Springer Press serves the interests of war preparations. Their construct of the enemy is a </w:t>
      </w:r>
      <w:r>
        <w:rPr>
          <w:i/>
          <w:color w:val="231F20"/>
          <w:spacing w:val="-3"/>
          <w:w w:val="105"/>
          <w:sz w:val="19"/>
        </w:rPr>
        <w:t xml:space="preserve">way </w:t>
      </w:r>
      <w:r>
        <w:rPr>
          <w:i/>
          <w:color w:val="231F20"/>
          <w:w w:val="105"/>
          <w:sz w:val="19"/>
        </w:rPr>
        <w:t>of saying, “If you’re ever disruptive, if you don’t leave your divorce to the divorce lawyers, the question of wage</w:t>
      </w:r>
      <w:r>
        <w:rPr>
          <w:i/>
          <w:color w:val="231F20"/>
          <w:spacing w:val="-26"/>
          <w:w w:val="105"/>
          <w:sz w:val="19"/>
        </w:rPr>
        <w:t xml:space="preserve"> </w:t>
      </w:r>
      <w:r>
        <w:rPr>
          <w:i/>
          <w:color w:val="231F20"/>
          <w:w w:val="105"/>
          <w:sz w:val="19"/>
        </w:rPr>
        <w:t>increases</w:t>
      </w:r>
      <w:r>
        <w:rPr>
          <w:i/>
          <w:color w:val="231F20"/>
          <w:spacing w:val="-26"/>
          <w:w w:val="105"/>
          <w:sz w:val="19"/>
        </w:rPr>
        <w:t xml:space="preserve"> </w:t>
      </w:r>
      <w:r>
        <w:rPr>
          <w:i/>
          <w:color w:val="231F20"/>
          <w:w w:val="105"/>
          <w:sz w:val="19"/>
        </w:rPr>
        <w:t>for</w:t>
      </w:r>
      <w:r>
        <w:rPr>
          <w:i/>
          <w:color w:val="231F20"/>
          <w:spacing w:val="-26"/>
          <w:w w:val="105"/>
          <w:sz w:val="19"/>
        </w:rPr>
        <w:t xml:space="preserve"> </w:t>
      </w:r>
      <w:r>
        <w:rPr>
          <w:i/>
          <w:color w:val="231F20"/>
          <w:w w:val="105"/>
          <w:sz w:val="19"/>
        </w:rPr>
        <w:t>contract</w:t>
      </w:r>
      <w:r>
        <w:rPr>
          <w:i/>
          <w:color w:val="231F20"/>
          <w:spacing w:val="-26"/>
          <w:w w:val="105"/>
          <w:sz w:val="19"/>
        </w:rPr>
        <w:t xml:space="preserve"> </w:t>
      </w:r>
      <w:r>
        <w:rPr>
          <w:i/>
          <w:color w:val="231F20"/>
          <w:w w:val="105"/>
          <w:sz w:val="19"/>
        </w:rPr>
        <w:t>negotiations,</w:t>
      </w:r>
      <w:r>
        <w:rPr>
          <w:i/>
          <w:color w:val="231F20"/>
          <w:spacing w:val="-30"/>
          <w:w w:val="105"/>
          <w:sz w:val="19"/>
        </w:rPr>
        <w:t xml:space="preserve"> </w:t>
      </w:r>
      <w:r>
        <w:rPr>
          <w:i/>
          <w:color w:val="231F20"/>
          <w:w w:val="105"/>
          <w:sz w:val="19"/>
        </w:rPr>
        <w:t>the</w:t>
      </w:r>
      <w:r>
        <w:rPr>
          <w:i/>
          <w:color w:val="231F20"/>
          <w:spacing w:val="-26"/>
          <w:w w:val="105"/>
          <w:sz w:val="19"/>
        </w:rPr>
        <w:t xml:space="preserve"> </w:t>
      </w:r>
      <w:r>
        <w:rPr>
          <w:i/>
          <w:color w:val="231F20"/>
          <w:w w:val="105"/>
          <w:sz w:val="19"/>
        </w:rPr>
        <w:t>issue</w:t>
      </w:r>
      <w:r>
        <w:rPr>
          <w:i/>
          <w:color w:val="231F20"/>
          <w:spacing w:val="-26"/>
          <w:w w:val="105"/>
          <w:sz w:val="19"/>
        </w:rPr>
        <w:t xml:space="preserve"> </w:t>
      </w:r>
      <w:r>
        <w:rPr>
          <w:i/>
          <w:color w:val="231F20"/>
          <w:w w:val="105"/>
          <w:sz w:val="19"/>
        </w:rPr>
        <w:t>of</w:t>
      </w:r>
      <w:r>
        <w:rPr>
          <w:i/>
          <w:color w:val="231F20"/>
          <w:spacing w:val="-26"/>
          <w:w w:val="105"/>
          <w:sz w:val="19"/>
        </w:rPr>
        <w:t xml:space="preserve"> </w:t>
      </w:r>
      <w:r>
        <w:rPr>
          <w:i/>
          <w:color w:val="231F20"/>
          <w:w w:val="105"/>
          <w:sz w:val="19"/>
        </w:rPr>
        <w:t>housing</w:t>
      </w:r>
      <w:r>
        <w:rPr>
          <w:i/>
          <w:color w:val="231F20"/>
          <w:spacing w:val="-26"/>
          <w:w w:val="105"/>
          <w:sz w:val="19"/>
        </w:rPr>
        <w:t xml:space="preserve"> </w:t>
      </w:r>
      <w:r>
        <w:rPr>
          <w:i/>
          <w:color w:val="231F20"/>
          <w:w w:val="105"/>
          <w:sz w:val="19"/>
        </w:rPr>
        <w:t>in</w:t>
      </w:r>
      <w:r>
        <w:rPr>
          <w:i/>
          <w:color w:val="231F20"/>
          <w:spacing w:val="-26"/>
          <w:w w:val="105"/>
          <w:sz w:val="19"/>
        </w:rPr>
        <w:t xml:space="preserve"> </w:t>
      </w:r>
      <w:r>
        <w:rPr>
          <w:i/>
          <w:color w:val="231F20"/>
          <w:w w:val="105"/>
          <w:sz w:val="19"/>
        </w:rPr>
        <w:t xml:space="preserve">the hands of the Housing Office, injustice in the hands of the judges, your security with the police, and your destiny to the vicissitudes of late capitalism, the response will be </w:t>
      </w:r>
      <w:r>
        <w:rPr>
          <w:i/>
          <w:color w:val="231F20"/>
          <w:spacing w:val="-4"/>
          <w:w w:val="105"/>
          <w:sz w:val="19"/>
        </w:rPr>
        <w:t xml:space="preserve">murder, </w:t>
      </w:r>
      <w:r>
        <w:rPr>
          <w:i/>
          <w:color w:val="231F20"/>
          <w:w w:val="105"/>
          <w:sz w:val="19"/>
        </w:rPr>
        <w:t>torture, rape, and criminal</w:t>
      </w:r>
      <w:r>
        <w:rPr>
          <w:i/>
          <w:color w:val="231F20"/>
          <w:spacing w:val="6"/>
          <w:w w:val="105"/>
          <w:sz w:val="19"/>
        </w:rPr>
        <w:t xml:space="preserve"> </w:t>
      </w:r>
      <w:r>
        <w:rPr>
          <w:i/>
          <w:color w:val="231F20"/>
          <w:spacing w:val="-4"/>
          <w:w w:val="105"/>
          <w:sz w:val="19"/>
        </w:rPr>
        <w:t>attacks.”</w:t>
      </w:r>
    </w:p>
    <w:p w14:paraId="438979C5" w14:textId="77777777" w:rsidR="002653E8" w:rsidRDefault="003115E3">
      <w:pPr>
        <w:spacing w:before="37"/>
        <w:ind w:left="5343"/>
        <w:rPr>
          <w:i/>
          <w:sz w:val="19"/>
        </w:rPr>
      </w:pPr>
      <w:r>
        <w:rPr>
          <w:color w:val="231F20"/>
          <w:w w:val="105"/>
          <w:sz w:val="19"/>
        </w:rPr>
        <w:t xml:space="preserve">from: </w:t>
      </w:r>
      <w:r>
        <w:rPr>
          <w:i/>
          <w:color w:val="231F20"/>
          <w:w w:val="105"/>
          <w:sz w:val="19"/>
        </w:rPr>
        <w:t>Destroy Bild</w:t>
      </w:r>
    </w:p>
    <w:p w14:paraId="0C114B7E" w14:textId="77777777" w:rsidR="002653E8" w:rsidRDefault="002653E8">
      <w:pPr>
        <w:pStyle w:val="a3"/>
        <w:spacing w:before="1"/>
        <w:rPr>
          <w:i/>
          <w:sz w:val="27"/>
        </w:rPr>
      </w:pPr>
    </w:p>
    <w:p w14:paraId="0E89DAD9" w14:textId="77777777" w:rsidR="002653E8" w:rsidRDefault="003115E3">
      <w:pPr>
        <w:pStyle w:val="a3"/>
        <w:spacing w:line="264" w:lineRule="auto"/>
        <w:ind w:left="1147" w:right="1325"/>
        <w:jc w:val="both"/>
      </w:pPr>
      <w:r>
        <w:rPr>
          <w:color w:val="231F20"/>
        </w:rPr>
        <w:t xml:space="preserve">The situation has gotten increasingly critical since the Molotov Cocktail Meeting in February </w:t>
      </w:r>
      <w:r>
        <w:rPr>
          <w:color w:val="231F20"/>
          <w:spacing w:val="-4"/>
        </w:rPr>
        <w:t>68.</w:t>
      </w:r>
      <w:r>
        <w:rPr>
          <w:color w:val="231F20"/>
          <w:spacing w:val="-4"/>
          <w:position w:val="7"/>
          <w:sz w:val="11"/>
        </w:rPr>
        <w:t xml:space="preserve">1 </w:t>
      </w:r>
      <w:r>
        <w:rPr>
          <w:i/>
          <w:color w:val="231F20"/>
        </w:rPr>
        <w:t xml:space="preserve">Bild  </w:t>
      </w:r>
      <w:r>
        <w:rPr>
          <w:color w:val="231F20"/>
        </w:rPr>
        <w:t>has  launched  the  column  “</w:t>
      </w:r>
      <w:r>
        <w:rPr>
          <w:i/>
          <w:color w:val="231F20"/>
        </w:rPr>
        <w:t xml:space="preserve">Bild  </w:t>
      </w:r>
      <w:r>
        <w:rPr>
          <w:color w:val="231F20"/>
        </w:rPr>
        <w:t xml:space="preserve">Fights for </w:t>
      </w:r>
      <w:r>
        <w:rPr>
          <w:color w:val="231F20"/>
          <w:spacing w:val="-5"/>
        </w:rPr>
        <w:t xml:space="preserve">you!” </w:t>
      </w:r>
      <w:r>
        <w:rPr>
          <w:color w:val="231F20"/>
        </w:rPr>
        <w:t>and reports daily successes in the struggle against exorbitant rents,</w:t>
      </w:r>
      <w:r>
        <w:rPr>
          <w:color w:val="231F20"/>
          <w:spacing w:val="32"/>
        </w:rPr>
        <w:t xml:space="preserve"> </w:t>
      </w:r>
      <w:r>
        <w:rPr>
          <w:color w:val="231F20"/>
        </w:rPr>
        <w:t>against</w:t>
      </w:r>
      <w:r>
        <w:rPr>
          <w:color w:val="231F20"/>
          <w:spacing w:val="32"/>
        </w:rPr>
        <w:t xml:space="preserve"> </w:t>
      </w:r>
      <w:r>
        <w:rPr>
          <w:color w:val="231F20"/>
        </w:rPr>
        <w:t>the</w:t>
      </w:r>
      <w:r>
        <w:rPr>
          <w:color w:val="231F20"/>
          <w:spacing w:val="32"/>
        </w:rPr>
        <w:t xml:space="preserve"> </w:t>
      </w:r>
      <w:r>
        <w:rPr>
          <w:color w:val="231F20"/>
        </w:rPr>
        <w:t>criminalization</w:t>
      </w:r>
      <w:r>
        <w:rPr>
          <w:color w:val="231F20"/>
          <w:spacing w:val="32"/>
        </w:rPr>
        <w:t xml:space="preserve"> </w:t>
      </w:r>
      <w:r>
        <w:rPr>
          <w:color w:val="231F20"/>
        </w:rPr>
        <w:t>of</w:t>
      </w:r>
      <w:r>
        <w:rPr>
          <w:color w:val="231F20"/>
          <w:spacing w:val="33"/>
        </w:rPr>
        <w:t xml:space="preserve"> </w:t>
      </w:r>
      <w:r>
        <w:rPr>
          <w:color w:val="231F20"/>
        </w:rPr>
        <w:t>foreigners,</w:t>
      </w:r>
      <w:r>
        <w:rPr>
          <w:color w:val="231F20"/>
          <w:spacing w:val="32"/>
        </w:rPr>
        <w:t xml:space="preserve"> </w:t>
      </w:r>
      <w:r>
        <w:rPr>
          <w:color w:val="231F20"/>
        </w:rPr>
        <w:t>against</w:t>
      </w:r>
      <w:r>
        <w:rPr>
          <w:color w:val="231F20"/>
          <w:spacing w:val="32"/>
        </w:rPr>
        <w:t xml:space="preserve"> </w:t>
      </w:r>
      <w:r>
        <w:rPr>
          <w:color w:val="231F20"/>
        </w:rPr>
        <w:t>denunciations</w:t>
      </w:r>
    </w:p>
    <w:p w14:paraId="599D618A" w14:textId="77777777" w:rsidR="002653E8" w:rsidRDefault="00000000">
      <w:pPr>
        <w:pStyle w:val="a3"/>
        <w:rPr>
          <w:sz w:val="25"/>
        </w:rPr>
      </w:pPr>
      <w:r>
        <w:rPr>
          <w:noProof w:val="0"/>
        </w:rPr>
        <w:pict w14:anchorId="5D63A68F">
          <v:line id="_x0000_s2556" style="position:absolute;z-index:4528;mso-wrap-distance-left:0;mso-wrap-distance-right:0;mso-position-horizontal-relative:page" from="57.4pt,16.9pt" to="129.4pt,16.9pt" strokecolor="#231f20" strokeweight=".5pt">
            <w10:wrap type="topAndBottom" anchorx="page"/>
          </v:line>
        </w:pict>
      </w:r>
    </w:p>
    <w:p w14:paraId="05B3D982" w14:textId="77777777" w:rsidR="002653E8" w:rsidRDefault="003115E3">
      <w:pPr>
        <w:spacing w:before="53" w:line="254" w:lineRule="auto"/>
        <w:ind w:left="1147" w:right="1580"/>
        <w:rPr>
          <w:sz w:val="16"/>
        </w:rPr>
      </w:pPr>
      <w:r>
        <w:rPr>
          <w:color w:val="231F20"/>
          <w:w w:val="105"/>
          <w:sz w:val="16"/>
        </w:rPr>
        <w:t xml:space="preserve">1 </w:t>
      </w:r>
      <w:r>
        <w:rPr>
          <w:color w:val="231F20"/>
          <w:spacing w:val="1"/>
          <w:w w:val="105"/>
          <w:sz w:val="16"/>
        </w:rPr>
        <w:t xml:space="preserve">In </w:t>
      </w:r>
      <w:r>
        <w:rPr>
          <w:color w:val="231F20"/>
          <w:w w:val="105"/>
          <w:sz w:val="16"/>
        </w:rPr>
        <w:t>February 1968, a film by Holger Meins showing how to make a molotov cocktail was presented at a meeting held in Berlin to discuss the campaign against the Springer</w:t>
      </w:r>
      <w:r>
        <w:rPr>
          <w:color w:val="231F20"/>
          <w:spacing w:val="15"/>
          <w:w w:val="105"/>
          <w:sz w:val="16"/>
        </w:rPr>
        <w:t xml:space="preserve"> </w:t>
      </w:r>
      <w:r>
        <w:rPr>
          <w:color w:val="231F20"/>
          <w:w w:val="105"/>
          <w:sz w:val="16"/>
        </w:rPr>
        <w:t>Press.</w:t>
      </w:r>
    </w:p>
    <w:p w14:paraId="5FABF2B1" w14:textId="77777777" w:rsidR="002653E8" w:rsidRDefault="002653E8">
      <w:pPr>
        <w:spacing w:line="254" w:lineRule="auto"/>
        <w:rPr>
          <w:sz w:val="16"/>
        </w:rPr>
        <w:sectPr w:rsidR="002653E8">
          <w:footerReference w:type="even" r:id="rId129"/>
          <w:footerReference w:type="default" r:id="rId130"/>
          <w:pgSz w:w="8640" w:h="12960"/>
          <w:pgMar w:top="1060" w:right="0" w:bottom="1040" w:left="0" w:header="0" w:footer="850" w:gutter="0"/>
          <w:cols w:space="720"/>
        </w:sectPr>
      </w:pPr>
    </w:p>
    <w:p w14:paraId="628A5F6B" w14:textId="77777777" w:rsidR="002653E8" w:rsidRDefault="003115E3">
      <w:pPr>
        <w:pStyle w:val="a3"/>
        <w:spacing w:before="86" w:line="264" w:lineRule="auto"/>
        <w:ind w:left="1327" w:right="1145"/>
        <w:jc w:val="both"/>
      </w:pPr>
      <w:r>
        <w:rPr>
          <w:color w:val="231F20"/>
        </w:rPr>
        <w:lastRenderedPageBreak/>
        <w:t xml:space="preserve">of large families, against forced retirement and the impoverishment of retirees. Before the oppressed masses turn their backs on the institutions of the constitutional state, </w:t>
      </w:r>
      <w:r>
        <w:rPr>
          <w:i/>
          <w:color w:val="231F20"/>
        </w:rPr>
        <w:t xml:space="preserve">Bild </w:t>
      </w:r>
      <w:r>
        <w:rPr>
          <w:color w:val="231F20"/>
        </w:rPr>
        <w:t xml:space="preserve">turns them against themselves; before their dissatisfaction with the institutions of the class state can become class consciousness, </w:t>
      </w:r>
      <w:r>
        <w:rPr>
          <w:i/>
          <w:color w:val="231F20"/>
        </w:rPr>
        <w:t xml:space="preserve">Bild </w:t>
      </w:r>
      <w:r>
        <w:rPr>
          <w:color w:val="231F20"/>
        </w:rPr>
        <w:t xml:space="preserve">takes the lead in expressing this dissatisfaction, and just as was the case with the Nazis in 1933, </w:t>
      </w:r>
      <w:r>
        <w:rPr>
          <w:i/>
          <w:color w:val="231F20"/>
        </w:rPr>
        <w:t xml:space="preserve">Bild </w:t>
      </w:r>
      <w:r>
        <w:rPr>
          <w:color w:val="231F20"/>
        </w:rPr>
        <w:t>speaks for capital, not for the proletariat.</w:t>
      </w:r>
    </w:p>
    <w:p w14:paraId="717B7405" w14:textId="77777777" w:rsidR="002653E8" w:rsidRDefault="003115E3">
      <w:pPr>
        <w:pStyle w:val="a3"/>
        <w:spacing w:line="264" w:lineRule="auto"/>
        <w:ind w:left="1327" w:right="1145" w:firstLine="210"/>
        <w:jc w:val="both"/>
      </w:pPr>
      <w:r>
        <w:rPr>
          <w:color w:val="231F20"/>
        </w:rPr>
        <w:t>Böll called this fascist, by which he meant, so there is no misunderstanding, the “agitation, lies, dirt.”</w:t>
      </w:r>
      <w:r>
        <w:rPr>
          <w:color w:val="231F20"/>
          <w:position w:val="7"/>
          <w:sz w:val="11"/>
        </w:rPr>
        <w:t xml:space="preserve">2 </w:t>
      </w:r>
      <w:r>
        <w:rPr>
          <w:color w:val="231F20"/>
          <w:spacing w:val="1"/>
        </w:rPr>
        <w:t xml:space="preserve">In </w:t>
      </w:r>
      <w:r>
        <w:rPr>
          <w:color w:val="231F20"/>
        </w:rPr>
        <w:t xml:space="preserve">this he, analytically and politically, hit the nail on the head. The reaction showed how sensitive the system really is, how unstable the status quo, how fascistic </w:t>
      </w:r>
      <w:r>
        <w:rPr>
          <w:i/>
          <w:color w:val="231F20"/>
        </w:rPr>
        <w:t>Bild</w:t>
      </w:r>
      <w:r>
        <w:rPr>
          <w:color w:val="231F20"/>
        </w:rPr>
        <w:t>, and how</w:t>
      </w:r>
      <w:r>
        <w:rPr>
          <w:color w:val="231F20"/>
          <w:spacing w:val="10"/>
        </w:rPr>
        <w:t xml:space="preserve"> </w:t>
      </w:r>
      <w:r>
        <w:rPr>
          <w:color w:val="231F20"/>
        </w:rPr>
        <w:t>agitated</w:t>
      </w:r>
      <w:r>
        <w:rPr>
          <w:color w:val="231F20"/>
          <w:spacing w:val="10"/>
        </w:rPr>
        <w:t xml:space="preserve"> </w:t>
      </w:r>
      <w:r>
        <w:rPr>
          <w:color w:val="231F20"/>
        </w:rPr>
        <w:t>the</w:t>
      </w:r>
      <w:r>
        <w:rPr>
          <w:color w:val="231F20"/>
          <w:spacing w:val="10"/>
        </w:rPr>
        <w:t xml:space="preserve"> </w:t>
      </w:r>
      <w:r>
        <w:rPr>
          <w:color w:val="231F20"/>
        </w:rPr>
        <w:t>climate</w:t>
      </w:r>
      <w:r>
        <w:rPr>
          <w:color w:val="231F20"/>
          <w:spacing w:val="10"/>
        </w:rPr>
        <w:t xml:space="preserve"> </w:t>
      </w:r>
      <w:r>
        <w:rPr>
          <w:color w:val="231F20"/>
        </w:rPr>
        <w:t>at</w:t>
      </w:r>
      <w:r>
        <w:rPr>
          <w:color w:val="231F20"/>
          <w:spacing w:val="10"/>
        </w:rPr>
        <w:t xml:space="preserve"> </w:t>
      </w:r>
      <w:r>
        <w:rPr>
          <w:color w:val="231F20"/>
        </w:rPr>
        <w:t>the</w:t>
      </w:r>
      <w:r>
        <w:rPr>
          <w:color w:val="231F20"/>
          <w:spacing w:val="10"/>
        </w:rPr>
        <w:t xml:space="preserve"> </w:t>
      </w:r>
      <w:r>
        <w:rPr>
          <w:color w:val="231F20"/>
        </w:rPr>
        <w:t>Springer</w:t>
      </w:r>
      <w:r>
        <w:rPr>
          <w:color w:val="231F20"/>
          <w:spacing w:val="10"/>
        </w:rPr>
        <w:t xml:space="preserve"> </w:t>
      </w:r>
      <w:r>
        <w:rPr>
          <w:color w:val="231F20"/>
        </w:rPr>
        <w:t>Corporation.</w:t>
      </w:r>
    </w:p>
    <w:p w14:paraId="281ED017" w14:textId="77777777" w:rsidR="002653E8" w:rsidRDefault="002653E8">
      <w:pPr>
        <w:pStyle w:val="a3"/>
        <w:spacing w:before="9"/>
      </w:pPr>
    </w:p>
    <w:p w14:paraId="4121C7F7" w14:textId="77777777" w:rsidR="002653E8" w:rsidRDefault="003115E3">
      <w:pPr>
        <w:spacing w:before="1"/>
        <w:ind w:left="1327"/>
        <w:rPr>
          <w:i/>
          <w:sz w:val="20"/>
        </w:rPr>
      </w:pPr>
      <w:r>
        <w:rPr>
          <w:i/>
          <w:color w:val="231F20"/>
          <w:w w:val="105"/>
          <w:sz w:val="20"/>
        </w:rPr>
        <w:t>The Dialectic of Revolution and Counterrevolution</w:t>
      </w:r>
    </w:p>
    <w:p w14:paraId="48011EC1" w14:textId="77777777" w:rsidR="002653E8" w:rsidRDefault="003115E3">
      <w:pPr>
        <w:spacing w:before="151" w:line="276" w:lineRule="auto"/>
        <w:ind w:left="1747" w:right="1565"/>
        <w:jc w:val="both"/>
        <w:rPr>
          <w:i/>
          <w:sz w:val="19"/>
        </w:rPr>
      </w:pPr>
      <w:r>
        <w:rPr>
          <w:i/>
          <w:color w:val="231F20"/>
          <w:sz w:val="19"/>
        </w:rPr>
        <w:t>It isn’t a question of whether we want the reactionary militarization or not; it is a question of whether we have the conditions necessary to transform the fascist militarization into a revolutionary mobilization, whether we can transform the reactionary militarization into a revolutionary one, whether it is better to lay down and</w:t>
      </w:r>
      <w:r>
        <w:rPr>
          <w:i/>
          <w:color w:val="231F20"/>
          <w:spacing w:val="10"/>
          <w:sz w:val="19"/>
        </w:rPr>
        <w:t xml:space="preserve"> </w:t>
      </w:r>
      <w:r>
        <w:rPr>
          <w:i/>
          <w:color w:val="231F20"/>
          <w:sz w:val="19"/>
        </w:rPr>
        <w:t>die</w:t>
      </w:r>
      <w:r>
        <w:rPr>
          <w:i/>
          <w:color w:val="231F20"/>
          <w:spacing w:val="10"/>
          <w:sz w:val="19"/>
        </w:rPr>
        <w:t xml:space="preserve"> </w:t>
      </w:r>
      <w:r>
        <w:rPr>
          <w:i/>
          <w:color w:val="231F20"/>
          <w:sz w:val="19"/>
        </w:rPr>
        <w:t>or</w:t>
      </w:r>
      <w:r>
        <w:rPr>
          <w:i/>
          <w:color w:val="231F20"/>
          <w:spacing w:val="10"/>
          <w:sz w:val="19"/>
        </w:rPr>
        <w:t xml:space="preserve"> </w:t>
      </w:r>
      <w:r>
        <w:rPr>
          <w:i/>
          <w:color w:val="231F20"/>
          <w:sz w:val="19"/>
        </w:rPr>
        <w:t>to</w:t>
      </w:r>
      <w:r>
        <w:rPr>
          <w:i/>
          <w:color w:val="231F20"/>
          <w:spacing w:val="10"/>
          <w:sz w:val="19"/>
        </w:rPr>
        <w:t xml:space="preserve"> </w:t>
      </w:r>
      <w:r>
        <w:rPr>
          <w:i/>
          <w:color w:val="231F20"/>
          <w:sz w:val="19"/>
        </w:rPr>
        <w:t>stand</w:t>
      </w:r>
      <w:r>
        <w:rPr>
          <w:i/>
          <w:color w:val="231F20"/>
          <w:spacing w:val="10"/>
          <w:sz w:val="19"/>
        </w:rPr>
        <w:t xml:space="preserve"> </w:t>
      </w:r>
      <w:r>
        <w:rPr>
          <w:i/>
          <w:color w:val="231F20"/>
          <w:sz w:val="19"/>
        </w:rPr>
        <w:t>up</w:t>
      </w:r>
      <w:r>
        <w:rPr>
          <w:i/>
          <w:color w:val="231F20"/>
          <w:spacing w:val="10"/>
          <w:sz w:val="19"/>
        </w:rPr>
        <w:t xml:space="preserve"> </w:t>
      </w:r>
      <w:r>
        <w:rPr>
          <w:i/>
          <w:color w:val="231F20"/>
          <w:sz w:val="19"/>
        </w:rPr>
        <w:t>and</w:t>
      </w:r>
      <w:r>
        <w:rPr>
          <w:i/>
          <w:color w:val="231F20"/>
          <w:spacing w:val="10"/>
          <w:sz w:val="19"/>
        </w:rPr>
        <w:t xml:space="preserve"> </w:t>
      </w:r>
      <w:r>
        <w:rPr>
          <w:i/>
          <w:color w:val="231F20"/>
          <w:sz w:val="19"/>
        </w:rPr>
        <w:t>resist.</w:t>
      </w:r>
    </w:p>
    <w:p w14:paraId="6E05ABA6" w14:textId="77777777" w:rsidR="002653E8" w:rsidRDefault="003115E3">
      <w:pPr>
        <w:spacing w:line="222" w:lineRule="exact"/>
        <w:ind w:left="6101"/>
        <w:rPr>
          <w:sz w:val="19"/>
        </w:rPr>
      </w:pPr>
      <w:r>
        <w:rPr>
          <w:color w:val="231F20"/>
          <w:w w:val="105"/>
          <w:sz w:val="19"/>
        </w:rPr>
        <w:t>Kim Il Sung</w:t>
      </w:r>
    </w:p>
    <w:p w14:paraId="6A9701D4" w14:textId="77777777" w:rsidR="002653E8" w:rsidRDefault="003115E3">
      <w:pPr>
        <w:pStyle w:val="a3"/>
        <w:spacing w:before="167" w:line="264" w:lineRule="auto"/>
        <w:ind w:left="1327" w:right="1146"/>
        <w:jc w:val="both"/>
      </w:pPr>
      <w:r>
        <w:rPr>
          <w:color w:val="231F20"/>
          <w:w w:val="105"/>
        </w:rPr>
        <w:t>Most</w:t>
      </w:r>
      <w:r>
        <w:rPr>
          <w:color w:val="231F20"/>
          <w:spacing w:val="-5"/>
          <w:w w:val="105"/>
        </w:rPr>
        <w:t xml:space="preserve"> </w:t>
      </w:r>
      <w:r>
        <w:rPr>
          <w:color w:val="231F20"/>
          <w:w w:val="105"/>
        </w:rPr>
        <w:t>people</w:t>
      </w:r>
      <w:r>
        <w:rPr>
          <w:color w:val="231F20"/>
          <w:spacing w:val="-5"/>
          <w:w w:val="105"/>
        </w:rPr>
        <w:t xml:space="preserve"> </w:t>
      </w:r>
      <w:r>
        <w:rPr>
          <w:color w:val="231F20"/>
          <w:spacing w:val="-4"/>
          <w:w w:val="105"/>
        </w:rPr>
        <w:t>say,</w:t>
      </w:r>
      <w:r>
        <w:rPr>
          <w:color w:val="231F20"/>
          <w:spacing w:val="-5"/>
          <w:w w:val="105"/>
        </w:rPr>
        <w:t xml:space="preserve"> </w:t>
      </w:r>
      <w:r>
        <w:rPr>
          <w:color w:val="231F20"/>
          <w:w w:val="105"/>
        </w:rPr>
        <w:t>“It’s</w:t>
      </w:r>
      <w:r>
        <w:rPr>
          <w:color w:val="231F20"/>
          <w:spacing w:val="-5"/>
          <w:w w:val="105"/>
        </w:rPr>
        <w:t xml:space="preserve"> </w:t>
      </w:r>
      <w:r>
        <w:rPr>
          <w:color w:val="231F20"/>
          <w:w w:val="105"/>
        </w:rPr>
        <w:t>unacceptable.”</w:t>
      </w:r>
      <w:r>
        <w:rPr>
          <w:color w:val="231F20"/>
          <w:spacing w:val="-5"/>
          <w:w w:val="105"/>
        </w:rPr>
        <w:t xml:space="preserve"> </w:t>
      </w:r>
      <w:r>
        <w:rPr>
          <w:color w:val="231F20"/>
          <w:w w:val="105"/>
        </w:rPr>
        <w:t>Most</w:t>
      </w:r>
      <w:r>
        <w:rPr>
          <w:color w:val="231F20"/>
          <w:spacing w:val="-5"/>
          <w:w w:val="105"/>
        </w:rPr>
        <w:t xml:space="preserve"> </w:t>
      </w:r>
      <w:r>
        <w:rPr>
          <w:color w:val="231F20"/>
          <w:w w:val="105"/>
        </w:rPr>
        <w:t>people</w:t>
      </w:r>
      <w:r>
        <w:rPr>
          <w:color w:val="231F20"/>
          <w:spacing w:val="-5"/>
          <w:w w:val="105"/>
        </w:rPr>
        <w:t xml:space="preserve"> </w:t>
      </w:r>
      <w:r>
        <w:rPr>
          <w:color w:val="231F20"/>
          <w:spacing w:val="-4"/>
          <w:w w:val="105"/>
        </w:rPr>
        <w:t>say,</w:t>
      </w:r>
      <w:r>
        <w:rPr>
          <w:color w:val="231F20"/>
          <w:spacing w:val="-5"/>
          <w:w w:val="105"/>
        </w:rPr>
        <w:t xml:space="preserve"> </w:t>
      </w:r>
      <w:r>
        <w:rPr>
          <w:color w:val="231F20"/>
          <w:w w:val="105"/>
        </w:rPr>
        <w:t>“The</w:t>
      </w:r>
      <w:r>
        <w:rPr>
          <w:color w:val="231F20"/>
          <w:spacing w:val="-5"/>
          <w:w w:val="105"/>
        </w:rPr>
        <w:t xml:space="preserve"> </w:t>
      </w:r>
      <w:r>
        <w:rPr>
          <w:color w:val="231F20"/>
          <w:w w:val="105"/>
        </w:rPr>
        <w:t>masses</w:t>
      </w:r>
      <w:r>
        <w:rPr>
          <w:color w:val="231F20"/>
          <w:spacing w:val="-5"/>
          <w:w w:val="105"/>
        </w:rPr>
        <w:t xml:space="preserve"> </w:t>
      </w:r>
      <w:r>
        <w:rPr>
          <w:color w:val="231F20"/>
          <w:w w:val="105"/>
        </w:rPr>
        <w:t>do not</w:t>
      </w:r>
      <w:r>
        <w:rPr>
          <w:color w:val="231F20"/>
          <w:spacing w:val="-5"/>
          <w:w w:val="105"/>
        </w:rPr>
        <w:t xml:space="preserve"> </w:t>
      </w:r>
      <w:r>
        <w:rPr>
          <w:color w:val="231F20"/>
          <w:w w:val="105"/>
        </w:rPr>
        <w:t>want</w:t>
      </w:r>
      <w:r>
        <w:rPr>
          <w:color w:val="231F20"/>
          <w:spacing w:val="-5"/>
          <w:w w:val="105"/>
        </w:rPr>
        <w:t xml:space="preserve"> </w:t>
      </w:r>
      <w:r>
        <w:rPr>
          <w:color w:val="231F20"/>
          <w:w w:val="105"/>
        </w:rPr>
        <w:t>this.”</w:t>
      </w:r>
      <w:r>
        <w:rPr>
          <w:color w:val="231F20"/>
          <w:spacing w:val="-5"/>
          <w:w w:val="105"/>
        </w:rPr>
        <w:t xml:space="preserve"> </w:t>
      </w:r>
      <w:r>
        <w:rPr>
          <w:color w:val="231F20"/>
          <w:w w:val="105"/>
        </w:rPr>
        <w:t>Many</w:t>
      </w:r>
      <w:r>
        <w:rPr>
          <w:color w:val="231F20"/>
          <w:spacing w:val="-5"/>
          <w:w w:val="105"/>
        </w:rPr>
        <w:t xml:space="preserve"> </w:t>
      </w:r>
      <w:r>
        <w:rPr>
          <w:color w:val="231F20"/>
          <w:w w:val="105"/>
        </w:rPr>
        <w:t>people</w:t>
      </w:r>
      <w:r>
        <w:rPr>
          <w:color w:val="231F20"/>
          <w:spacing w:val="-5"/>
          <w:w w:val="105"/>
        </w:rPr>
        <w:t xml:space="preserve"> </w:t>
      </w:r>
      <w:r>
        <w:rPr>
          <w:color w:val="231F20"/>
          <w:spacing w:val="-4"/>
          <w:w w:val="105"/>
        </w:rPr>
        <w:t>say,</w:t>
      </w:r>
      <w:r>
        <w:rPr>
          <w:color w:val="231F20"/>
          <w:spacing w:val="-5"/>
          <w:w w:val="105"/>
        </w:rPr>
        <w:t xml:space="preserve"> </w:t>
      </w:r>
      <w:r>
        <w:rPr>
          <w:color w:val="231F20"/>
          <w:w w:val="105"/>
        </w:rPr>
        <w:t>“Fighting</w:t>
      </w:r>
      <w:r>
        <w:rPr>
          <w:color w:val="231F20"/>
          <w:spacing w:val="-5"/>
          <w:w w:val="105"/>
        </w:rPr>
        <w:t xml:space="preserve"> </w:t>
      </w:r>
      <w:r>
        <w:rPr>
          <w:color w:val="231F20"/>
          <w:w w:val="105"/>
        </w:rPr>
        <w:t>now</w:t>
      </w:r>
      <w:r>
        <w:rPr>
          <w:color w:val="231F20"/>
          <w:spacing w:val="-5"/>
          <w:w w:val="105"/>
        </w:rPr>
        <w:t xml:space="preserve"> </w:t>
      </w:r>
      <w:r>
        <w:rPr>
          <w:color w:val="231F20"/>
          <w:w w:val="105"/>
        </w:rPr>
        <w:t>will</w:t>
      </w:r>
      <w:r>
        <w:rPr>
          <w:color w:val="231F20"/>
          <w:spacing w:val="-5"/>
          <w:w w:val="105"/>
        </w:rPr>
        <w:t xml:space="preserve"> </w:t>
      </w:r>
      <w:r>
        <w:rPr>
          <w:color w:val="231F20"/>
          <w:w w:val="105"/>
        </w:rPr>
        <w:t>provoke</w:t>
      </w:r>
      <w:r>
        <w:rPr>
          <w:color w:val="231F20"/>
          <w:spacing w:val="-5"/>
          <w:w w:val="105"/>
        </w:rPr>
        <w:t xml:space="preserve"> </w:t>
      </w:r>
      <w:r>
        <w:rPr>
          <w:color w:val="231F20"/>
          <w:w w:val="105"/>
        </w:rPr>
        <w:t xml:space="preserve">fascism.” Böll says, “Six against </w:t>
      </w:r>
      <w:r>
        <w:rPr>
          <w:color w:val="231F20"/>
          <w:spacing w:val="1"/>
          <w:w w:val="105"/>
        </w:rPr>
        <w:t xml:space="preserve">60,000,000—capital </w:t>
      </w:r>
      <w:r>
        <w:rPr>
          <w:color w:val="231F20"/>
          <w:w w:val="105"/>
        </w:rPr>
        <w:t>has everything, we have nothing.”</w:t>
      </w:r>
    </w:p>
    <w:p w14:paraId="3E2E0C0A" w14:textId="77777777" w:rsidR="002653E8" w:rsidRDefault="003115E3">
      <w:pPr>
        <w:pStyle w:val="a3"/>
        <w:spacing w:line="264" w:lineRule="auto"/>
        <w:ind w:left="1327" w:right="1145" w:firstLine="210"/>
        <w:jc w:val="both"/>
      </w:pPr>
      <w:r>
        <w:rPr>
          <w:color w:val="231F20"/>
        </w:rPr>
        <w:t xml:space="preserve">They see only the status quo. They see in the system’s violence only the violence, not the fear. They see in the militarization only the weapons, not the crumbling mass base. They see in </w:t>
      </w:r>
      <w:r>
        <w:rPr>
          <w:i/>
          <w:color w:val="231F20"/>
        </w:rPr>
        <w:t>Bild</w:t>
      </w:r>
      <w:r>
        <w:rPr>
          <w:color w:val="231F20"/>
        </w:rPr>
        <w:t xml:space="preserve">’s hatred only the hatred, not the dissatisfaction of </w:t>
      </w:r>
      <w:r>
        <w:rPr>
          <w:i/>
          <w:color w:val="231F20"/>
        </w:rPr>
        <w:t xml:space="preserve">Bild </w:t>
      </w:r>
      <w:r>
        <w:rPr>
          <w:color w:val="231F20"/>
        </w:rPr>
        <w:t xml:space="preserve">readers. They see cops with semiautomatic pistols and see only cops with semi-automatic pistols, not the lack of mass support for fascism. They see the terror against us and see only the terror, not the fear about the social explosiveness of the </w:t>
      </w:r>
      <w:r w:rsidR="00C507A5">
        <w:rPr>
          <w:color w:val="231F20"/>
        </w:rPr>
        <w:t>red army faction</w:t>
      </w:r>
      <w:r>
        <w:rPr>
          <w:color w:val="231F20"/>
        </w:rPr>
        <w:t xml:space="preserve">, which must be “nipped in the </w:t>
      </w:r>
      <w:r>
        <w:rPr>
          <w:color w:val="231F20"/>
          <w:spacing w:val="-4"/>
        </w:rPr>
        <w:t xml:space="preserve">bud.” </w:t>
      </w:r>
      <w:r>
        <w:rPr>
          <w:color w:val="231F20"/>
        </w:rPr>
        <w:t xml:space="preserve">They see in the political apathy of the proletariat only the </w:t>
      </w:r>
      <w:r>
        <w:rPr>
          <w:color w:val="231F20"/>
          <w:spacing w:val="-3"/>
        </w:rPr>
        <w:t xml:space="preserve">apathy,  </w:t>
      </w:r>
      <w:r>
        <w:rPr>
          <w:color w:val="231F20"/>
        </w:rPr>
        <w:t>not the protest against a system that  has</w:t>
      </w:r>
      <w:r>
        <w:rPr>
          <w:color w:val="231F20"/>
          <w:spacing w:val="7"/>
        </w:rPr>
        <w:t xml:space="preserve"> </w:t>
      </w:r>
      <w:r>
        <w:rPr>
          <w:color w:val="231F20"/>
        </w:rPr>
        <w:t>nothing</w:t>
      </w:r>
      <w:r>
        <w:rPr>
          <w:color w:val="231F20"/>
          <w:spacing w:val="7"/>
        </w:rPr>
        <w:t xml:space="preserve"> </w:t>
      </w:r>
      <w:r>
        <w:rPr>
          <w:color w:val="231F20"/>
        </w:rPr>
        <w:t>to</w:t>
      </w:r>
      <w:r>
        <w:rPr>
          <w:color w:val="231F20"/>
          <w:spacing w:val="7"/>
        </w:rPr>
        <w:t xml:space="preserve"> </w:t>
      </w:r>
      <w:r>
        <w:rPr>
          <w:color w:val="231F20"/>
        </w:rPr>
        <w:t>offer</w:t>
      </w:r>
      <w:r>
        <w:rPr>
          <w:color w:val="231F20"/>
          <w:spacing w:val="7"/>
        </w:rPr>
        <w:t xml:space="preserve"> </w:t>
      </w:r>
      <w:r>
        <w:rPr>
          <w:color w:val="231F20"/>
        </w:rPr>
        <w:t>them.</w:t>
      </w:r>
      <w:r>
        <w:rPr>
          <w:color w:val="231F20"/>
          <w:spacing w:val="7"/>
        </w:rPr>
        <w:t xml:space="preserve"> </w:t>
      </w:r>
      <w:r>
        <w:rPr>
          <w:color w:val="231F20"/>
        </w:rPr>
        <w:t>They</w:t>
      </w:r>
      <w:r>
        <w:rPr>
          <w:color w:val="231F20"/>
          <w:spacing w:val="7"/>
        </w:rPr>
        <w:t xml:space="preserve"> </w:t>
      </w:r>
      <w:r>
        <w:rPr>
          <w:color w:val="231F20"/>
        </w:rPr>
        <w:t>see</w:t>
      </w:r>
      <w:r>
        <w:rPr>
          <w:color w:val="231F20"/>
          <w:spacing w:val="7"/>
        </w:rPr>
        <w:t xml:space="preserve"> </w:t>
      </w:r>
      <w:r>
        <w:rPr>
          <w:color w:val="231F20"/>
        </w:rPr>
        <w:t>in</w:t>
      </w:r>
      <w:r>
        <w:rPr>
          <w:color w:val="231F20"/>
          <w:spacing w:val="7"/>
        </w:rPr>
        <w:t xml:space="preserve"> </w:t>
      </w:r>
      <w:r>
        <w:rPr>
          <w:color w:val="231F20"/>
        </w:rPr>
        <w:t>the</w:t>
      </w:r>
      <w:r>
        <w:rPr>
          <w:color w:val="231F20"/>
          <w:spacing w:val="7"/>
        </w:rPr>
        <w:t xml:space="preserve"> </w:t>
      </w:r>
      <w:r>
        <w:rPr>
          <w:color w:val="231F20"/>
        </w:rPr>
        <w:t>high</w:t>
      </w:r>
      <w:r>
        <w:rPr>
          <w:color w:val="231F20"/>
          <w:spacing w:val="7"/>
        </w:rPr>
        <w:t xml:space="preserve"> </w:t>
      </w:r>
      <w:r>
        <w:rPr>
          <w:color w:val="231F20"/>
        </w:rPr>
        <w:t>level</w:t>
      </w:r>
      <w:r>
        <w:rPr>
          <w:color w:val="231F20"/>
          <w:spacing w:val="7"/>
        </w:rPr>
        <w:t xml:space="preserve"> </w:t>
      </w:r>
      <w:r>
        <w:rPr>
          <w:color w:val="231F20"/>
        </w:rPr>
        <w:t>of</w:t>
      </w:r>
      <w:r>
        <w:rPr>
          <w:color w:val="231F20"/>
          <w:spacing w:val="7"/>
        </w:rPr>
        <w:t xml:space="preserve"> </w:t>
      </w:r>
      <w:r>
        <w:rPr>
          <w:color w:val="231F20"/>
        </w:rPr>
        <w:t>suicide</w:t>
      </w:r>
      <w:r>
        <w:rPr>
          <w:color w:val="231F20"/>
          <w:spacing w:val="7"/>
        </w:rPr>
        <w:t xml:space="preserve"> </w:t>
      </w:r>
      <w:r>
        <w:rPr>
          <w:color w:val="231F20"/>
        </w:rPr>
        <w:t>amongst</w:t>
      </w:r>
    </w:p>
    <w:p w14:paraId="0790B64D" w14:textId="77777777" w:rsidR="002653E8" w:rsidRDefault="00000000">
      <w:pPr>
        <w:pStyle w:val="a3"/>
        <w:spacing w:before="1"/>
        <w:rPr>
          <w:sz w:val="24"/>
        </w:rPr>
      </w:pPr>
      <w:r>
        <w:rPr>
          <w:noProof w:val="0"/>
        </w:rPr>
        <w:pict w14:anchorId="52F9A24D">
          <v:line id="_x0000_s2555" style="position:absolute;z-index:4552;mso-wrap-distance-left:0;mso-wrap-distance-right:0;mso-position-horizontal-relative:page" from="66.4pt,16.35pt" to="138.4pt,16.35pt" strokecolor="#231f20" strokeweight=".5pt">
            <w10:wrap type="topAndBottom" anchorx="page"/>
          </v:line>
        </w:pict>
      </w:r>
    </w:p>
    <w:p w14:paraId="55AE5335" w14:textId="77777777" w:rsidR="002653E8" w:rsidRDefault="003115E3">
      <w:pPr>
        <w:spacing w:before="53" w:line="254" w:lineRule="auto"/>
        <w:ind w:left="1328" w:right="1580" w:hanging="1"/>
        <w:rPr>
          <w:sz w:val="16"/>
        </w:rPr>
      </w:pPr>
      <w:r>
        <w:rPr>
          <w:color w:val="231F20"/>
          <w:w w:val="105"/>
          <w:sz w:val="16"/>
        </w:rPr>
        <w:t xml:space="preserve">2 On December 20, 1971, Heinrich Böll famously said that </w:t>
      </w:r>
      <w:r>
        <w:rPr>
          <w:i/>
          <w:color w:val="231F20"/>
          <w:w w:val="105"/>
          <w:sz w:val="16"/>
        </w:rPr>
        <w:t>Bild</w:t>
      </w:r>
      <w:r>
        <w:rPr>
          <w:color w:val="231F20"/>
          <w:w w:val="105"/>
          <w:sz w:val="16"/>
        </w:rPr>
        <w:t>’s news coverage “isn’t crypto-fascist anymore, nor fascistoid, but naked fascism, agitation, lies, dirt.”</w:t>
      </w:r>
    </w:p>
    <w:p w14:paraId="1BBAEAAD" w14:textId="77777777" w:rsidR="002653E8" w:rsidRDefault="002653E8">
      <w:pPr>
        <w:spacing w:line="254" w:lineRule="auto"/>
        <w:rPr>
          <w:sz w:val="16"/>
        </w:rPr>
        <w:sectPr w:rsidR="002653E8">
          <w:pgSz w:w="8640" w:h="12960"/>
          <w:pgMar w:top="1060" w:right="0" w:bottom="1040" w:left="0" w:header="0" w:footer="850" w:gutter="0"/>
          <w:cols w:space="720"/>
        </w:sectPr>
      </w:pPr>
    </w:p>
    <w:p w14:paraId="6CC9C131" w14:textId="77777777" w:rsidR="002653E8" w:rsidRDefault="003115E3">
      <w:pPr>
        <w:pStyle w:val="a3"/>
        <w:spacing w:before="86" w:line="264" w:lineRule="auto"/>
        <w:ind w:left="1147" w:right="1326"/>
        <w:jc w:val="both"/>
      </w:pPr>
      <w:r>
        <w:rPr>
          <w:color w:val="231F20"/>
        </w:rPr>
        <w:lastRenderedPageBreak/>
        <w:t xml:space="preserve">the proletariat only the act of desperation, not the protest. They see      in the proletariat’s disinterest in economic struggle only a disinterest   in struggle, not the refusal to struggle for a paltry percentage and the right to idiotic consumption. They see in the proletariat’s lack of union organization only the lack of organization, not the mistrust of union bureaucrats as accomplices of capital. They see in the population’s hostility towards the left only the hostility towards the left, not the hatred against those who are socially privileged. They see in our isolation from the masses only our isolation from the masses, not the insane lengths to which the system will go to isolate us from the masses. They see in the long periods comrades spend in preventive custody only the long periods in preventive custody, not the system’s fear about the free members of the </w:t>
      </w:r>
      <w:r w:rsidR="00C507A5">
        <w:rPr>
          <w:color w:val="231F20"/>
        </w:rPr>
        <w:t>red army faction</w:t>
      </w:r>
      <w:r>
        <w:rPr>
          <w:color w:val="231F20"/>
        </w:rPr>
        <w:t xml:space="preserve">. They see in the exclusion of </w:t>
      </w:r>
      <w:r>
        <w:rPr>
          <w:color w:val="231F20"/>
          <w:spacing w:val="1"/>
        </w:rPr>
        <w:t xml:space="preserve">DKP </w:t>
      </w:r>
      <w:r>
        <w:rPr>
          <w:color w:val="231F20"/>
        </w:rPr>
        <w:t>teachers only the end of  the march through the institutions,</w:t>
      </w:r>
      <w:r>
        <w:rPr>
          <w:color w:val="231F20"/>
          <w:position w:val="7"/>
          <w:sz w:val="11"/>
        </w:rPr>
        <w:t xml:space="preserve">1  </w:t>
      </w:r>
      <w:r>
        <w:rPr>
          <w:color w:val="231F20"/>
        </w:rPr>
        <w:t>not the beginning of the adoption  of revolutionary politics by children and their parents, which must be choked off. They see everything in terms of the existing movement, not the future one, only the bad, not the good: the dialectic of revolution  and</w:t>
      </w:r>
      <w:r>
        <w:rPr>
          <w:color w:val="231F20"/>
          <w:spacing w:val="10"/>
        </w:rPr>
        <w:t xml:space="preserve"> </w:t>
      </w:r>
      <w:r>
        <w:rPr>
          <w:color w:val="231F20"/>
        </w:rPr>
        <w:t>counterrevolution.</w:t>
      </w:r>
    </w:p>
    <w:p w14:paraId="1305668C" w14:textId="77777777" w:rsidR="002653E8" w:rsidRDefault="003115E3">
      <w:pPr>
        <w:pStyle w:val="a3"/>
        <w:spacing w:line="215" w:lineRule="exact"/>
        <w:ind w:left="1358"/>
      </w:pPr>
      <w:r>
        <w:rPr>
          <w:color w:val="231F20"/>
        </w:rPr>
        <w:t>We’re not saying it will be easy to build the guerilla, or that the masses</w:t>
      </w:r>
    </w:p>
    <w:p w14:paraId="513BB225" w14:textId="77777777" w:rsidR="002653E8" w:rsidRDefault="003115E3">
      <w:pPr>
        <w:pStyle w:val="a3"/>
        <w:spacing w:before="23" w:line="264" w:lineRule="auto"/>
        <w:ind w:left="1148" w:right="1326"/>
        <w:jc w:val="both"/>
      </w:pPr>
      <w:r>
        <w:rPr>
          <w:color w:val="231F20"/>
        </w:rPr>
        <w:t xml:space="preserve">are just waiting for the opportunity to join the guerilla. However, we   do, above all, believe that the situation will not change by itself. </w:t>
      </w:r>
      <w:r>
        <w:rPr>
          <w:color w:val="231F20"/>
          <w:spacing w:val="-5"/>
        </w:rPr>
        <w:t xml:space="preserve">We  </w:t>
      </w:r>
      <w:r>
        <w:rPr>
          <w:color w:val="231F20"/>
          <w:spacing w:val="-3"/>
        </w:rPr>
        <w:t xml:space="preserve">don’t </w:t>
      </w:r>
      <w:r>
        <w:rPr>
          <w:color w:val="231F20"/>
        </w:rPr>
        <w:t xml:space="preserve">believe that the guerilla will spontaneously spring forth from the mass struggle. Such illusions are unrealistic. A guerilla that developed spontaneously out of the mass struggle would be a bloodbath, not a guerilla group. </w:t>
      </w:r>
      <w:r>
        <w:rPr>
          <w:color w:val="231F20"/>
          <w:spacing w:val="-5"/>
        </w:rPr>
        <w:t xml:space="preserve">We </w:t>
      </w:r>
      <w:r>
        <w:rPr>
          <w:color w:val="231F20"/>
        </w:rPr>
        <w:t xml:space="preserve">do not believe that the guerilla can be formed as the “illegal wing” of a legal organization. Such an illegal wing would lead     to the illegalization of the organization, i.e., its liquidation, and nothing else. </w:t>
      </w:r>
      <w:r>
        <w:rPr>
          <w:color w:val="231F20"/>
          <w:spacing w:val="-5"/>
        </w:rPr>
        <w:t xml:space="preserve">We </w:t>
      </w:r>
      <w:r>
        <w:rPr>
          <w:color w:val="231F20"/>
          <w:spacing w:val="-3"/>
        </w:rPr>
        <w:t xml:space="preserve">don’t </w:t>
      </w:r>
      <w:r>
        <w:rPr>
          <w:color w:val="231F20"/>
        </w:rPr>
        <w:t>believe that the concept of the guerilla will develop by itself from political work. Therefore, we believe that the options and the specific role of the guerilla in the class struggle can only be collectively perceived and understood, that the guerilla stands in opposition to the consciousness</w:t>
      </w:r>
      <w:r>
        <w:rPr>
          <w:color w:val="231F20"/>
          <w:spacing w:val="10"/>
        </w:rPr>
        <w:t xml:space="preserve"> </w:t>
      </w:r>
      <w:r>
        <w:rPr>
          <w:color w:val="231F20"/>
        </w:rPr>
        <w:t>industry.</w:t>
      </w:r>
    </w:p>
    <w:p w14:paraId="7A2E1280" w14:textId="77777777" w:rsidR="002653E8" w:rsidRDefault="003115E3">
      <w:pPr>
        <w:pStyle w:val="a3"/>
        <w:spacing w:line="220" w:lineRule="exact"/>
        <w:ind w:left="1358"/>
      </w:pPr>
      <w:r>
        <w:rPr>
          <w:color w:val="231F20"/>
        </w:rPr>
        <w:t>We have said that any talk of their defeating us can only mean our</w:t>
      </w:r>
    </w:p>
    <w:p w14:paraId="5488A944" w14:textId="77777777" w:rsidR="002653E8" w:rsidRDefault="003115E3">
      <w:pPr>
        <w:pStyle w:val="a3"/>
        <w:spacing w:before="22" w:line="264" w:lineRule="auto"/>
        <w:ind w:left="1148" w:right="1326"/>
        <w:jc w:val="both"/>
      </w:pPr>
      <w:r>
        <w:rPr>
          <w:color w:val="231F20"/>
        </w:rPr>
        <w:t>arrests or deaths. We believe that the guerilla will develop, will gain a foothold, that the development of the class struggle will itself establish the idea of armed struggle only if there is already an organization in existence conducting guerilla warfare, an organization that is not easily demoralized, that does not simply lie down and give up.</w:t>
      </w:r>
    </w:p>
    <w:p w14:paraId="19D27DC8" w14:textId="77777777" w:rsidR="002653E8" w:rsidRDefault="00000000">
      <w:pPr>
        <w:pStyle w:val="a3"/>
        <w:spacing w:before="2"/>
        <w:rPr>
          <w:sz w:val="15"/>
        </w:rPr>
      </w:pPr>
      <w:r>
        <w:rPr>
          <w:noProof w:val="0"/>
        </w:rPr>
        <w:pict w14:anchorId="4DD44275">
          <v:line id="_x0000_s2554" style="position:absolute;z-index:4576;mso-wrap-distance-left:0;mso-wrap-distance-right:0;mso-position-horizontal-relative:page" from="57.4pt,11.1pt" to="129.4pt,11.1pt" strokecolor="#231f20" strokeweight=".5pt">
            <w10:wrap type="topAndBottom" anchorx="page"/>
          </v:line>
        </w:pict>
      </w:r>
    </w:p>
    <w:p w14:paraId="3B302099" w14:textId="77777777" w:rsidR="002653E8" w:rsidRDefault="003115E3">
      <w:pPr>
        <w:spacing w:before="53"/>
        <w:ind w:left="1147"/>
        <w:rPr>
          <w:sz w:val="16"/>
        </w:rPr>
      </w:pPr>
      <w:r>
        <w:rPr>
          <w:color w:val="231F20"/>
          <w:w w:val="110"/>
          <w:sz w:val="16"/>
        </w:rPr>
        <w:t>1 A reference to Rudi Dutschke’s proposed strategy. See p. 35, fn 2.</w:t>
      </w:r>
    </w:p>
    <w:p w14:paraId="405F573D" w14:textId="77777777" w:rsidR="002653E8" w:rsidRDefault="002653E8">
      <w:pPr>
        <w:rPr>
          <w:sz w:val="16"/>
        </w:rPr>
        <w:sectPr w:rsidR="002653E8">
          <w:footerReference w:type="even" r:id="rId131"/>
          <w:footerReference w:type="default" r:id="rId132"/>
          <w:pgSz w:w="8640" w:h="12960"/>
          <w:pgMar w:top="1060" w:right="0" w:bottom="1040" w:left="0" w:header="0" w:footer="850" w:gutter="0"/>
          <w:pgNumType w:start="152"/>
          <w:cols w:space="720"/>
        </w:sectPr>
      </w:pPr>
    </w:p>
    <w:p w14:paraId="24A287D8" w14:textId="77777777" w:rsidR="002653E8" w:rsidRDefault="003115E3">
      <w:pPr>
        <w:pStyle w:val="a3"/>
        <w:spacing w:before="86" w:line="264" w:lineRule="auto"/>
        <w:ind w:left="1327" w:right="1145" w:firstLine="210"/>
        <w:jc w:val="both"/>
      </w:pPr>
      <w:r>
        <w:rPr>
          <w:color w:val="231F20"/>
          <w:spacing w:val="-5"/>
        </w:rPr>
        <w:lastRenderedPageBreak/>
        <w:t xml:space="preserve">We </w:t>
      </w:r>
      <w:r>
        <w:rPr>
          <w:color w:val="231F20"/>
        </w:rPr>
        <w:t xml:space="preserve">believe that the idea of the guerilla developed by Mao, Fidel, Che, Giáp, and Marighella is a good idea that cannot be removed from the table. </w:t>
      </w:r>
      <w:r>
        <w:rPr>
          <w:color w:val="231F20"/>
          <w:spacing w:val="1"/>
        </w:rPr>
        <w:t xml:space="preserve">If </w:t>
      </w:r>
      <w:r>
        <w:rPr>
          <w:color w:val="231F20"/>
        </w:rPr>
        <w:t xml:space="preserve">one underestimates the difficulties in establishing the guerilla,  if one is scared off by the difficulties against which we must struggle, this also shows that one underestimates the difficulties which the guerilla had to face even in those places where it has made a good deal        of progress and is now anchored in the masses. </w:t>
      </w:r>
      <w:r>
        <w:rPr>
          <w:color w:val="231F20"/>
          <w:spacing w:val="-5"/>
        </w:rPr>
        <w:t xml:space="preserve">We </w:t>
      </w:r>
      <w:r>
        <w:rPr>
          <w:color w:val="231F20"/>
        </w:rPr>
        <w:t xml:space="preserve">believe that these reservations are an indication of how far capital is prepared to go when </w:t>
      </w:r>
      <w:r>
        <w:rPr>
          <w:color w:val="231F20"/>
          <w:spacing w:val="-3"/>
        </w:rPr>
        <w:t xml:space="preserve">it’s </w:t>
      </w:r>
      <w:r>
        <w:rPr>
          <w:color w:val="231F20"/>
        </w:rPr>
        <w:t xml:space="preserve">a question of securing exploitative conditions, an area where they have never hesitated: not with the Paris Commune, not in Germany in </w:t>
      </w:r>
      <w:r>
        <w:rPr>
          <w:color w:val="231F20"/>
          <w:spacing w:val="-7"/>
        </w:rPr>
        <w:t>1918,</w:t>
      </w:r>
      <w:r>
        <w:rPr>
          <w:color w:val="231F20"/>
          <w:spacing w:val="30"/>
        </w:rPr>
        <w:t xml:space="preserve"> </w:t>
      </w:r>
      <w:r>
        <w:rPr>
          <w:color w:val="231F20"/>
        </w:rPr>
        <w:t xml:space="preserve">not in </w:t>
      </w:r>
      <w:r>
        <w:rPr>
          <w:color w:val="231F20"/>
          <w:spacing w:val="-7"/>
        </w:rPr>
        <w:t>1933,</w:t>
      </w:r>
      <w:r>
        <w:rPr>
          <w:color w:val="231F20"/>
          <w:spacing w:val="30"/>
        </w:rPr>
        <w:t xml:space="preserve"> </w:t>
      </w:r>
      <w:r>
        <w:rPr>
          <w:color w:val="231F20"/>
        </w:rPr>
        <w:t>not in Algeria, Vietnam, the Congo, Cuba, Latin America, or Mozambique, not at Attica, not in Los Angeles, Kent State, Augsburg or</w:t>
      </w:r>
      <w:r>
        <w:rPr>
          <w:color w:val="231F20"/>
          <w:spacing w:val="22"/>
        </w:rPr>
        <w:t xml:space="preserve"> </w:t>
      </w:r>
      <w:r>
        <w:rPr>
          <w:color w:val="231F20"/>
        </w:rPr>
        <w:t>Hamburg.</w:t>
      </w:r>
    </w:p>
    <w:p w14:paraId="0A42244B" w14:textId="77777777" w:rsidR="002653E8" w:rsidRDefault="002653E8">
      <w:pPr>
        <w:pStyle w:val="a3"/>
        <w:spacing w:before="7"/>
      </w:pPr>
    </w:p>
    <w:p w14:paraId="2676F4EA" w14:textId="77777777" w:rsidR="002653E8" w:rsidRDefault="003115E3">
      <w:pPr>
        <w:pStyle w:val="a3"/>
        <w:spacing w:line="261" w:lineRule="auto"/>
        <w:ind w:left="1327" w:right="1145"/>
      </w:pPr>
      <w:r>
        <w:rPr>
          <w:color w:val="231F20"/>
          <w:w w:val="115"/>
        </w:rPr>
        <w:t>MAKE THE QUESTION OF OWNERSHIP THE KEy QUESTION FOR ALL MOVEMENTS!</w:t>
      </w:r>
    </w:p>
    <w:p w14:paraId="3C9E7A2B" w14:textId="77777777" w:rsidR="002653E8" w:rsidRDefault="003115E3">
      <w:pPr>
        <w:pStyle w:val="a3"/>
        <w:spacing w:before="129" w:line="261" w:lineRule="auto"/>
        <w:ind w:left="1327" w:right="1145"/>
      </w:pPr>
      <w:r>
        <w:rPr>
          <w:color w:val="231F20"/>
          <w:w w:val="115"/>
        </w:rPr>
        <w:t>ADVANCE THE REVOLUTIONARy GUERILLA AGAINST THE REACTIONARy MILITARIZATION!</w:t>
      </w:r>
    </w:p>
    <w:p w14:paraId="26C19033" w14:textId="77777777" w:rsidR="002653E8" w:rsidRDefault="002653E8">
      <w:pPr>
        <w:pStyle w:val="a3"/>
        <w:rPr>
          <w:sz w:val="22"/>
        </w:rPr>
      </w:pPr>
    </w:p>
    <w:p w14:paraId="6AC5C06D" w14:textId="77777777" w:rsidR="002653E8" w:rsidRDefault="002653E8">
      <w:pPr>
        <w:pStyle w:val="a3"/>
        <w:rPr>
          <w:sz w:val="22"/>
        </w:rPr>
      </w:pPr>
    </w:p>
    <w:p w14:paraId="3F7415E0" w14:textId="77777777" w:rsidR="002653E8" w:rsidRDefault="002653E8">
      <w:pPr>
        <w:pStyle w:val="a3"/>
        <w:rPr>
          <w:sz w:val="22"/>
        </w:rPr>
      </w:pPr>
    </w:p>
    <w:p w14:paraId="63780B03" w14:textId="77777777" w:rsidR="002653E8" w:rsidRDefault="002653E8">
      <w:pPr>
        <w:pStyle w:val="a3"/>
        <w:rPr>
          <w:sz w:val="22"/>
        </w:rPr>
      </w:pPr>
    </w:p>
    <w:p w14:paraId="0F4B6DBA" w14:textId="77777777" w:rsidR="002653E8" w:rsidRDefault="002653E8">
      <w:pPr>
        <w:pStyle w:val="a3"/>
        <w:rPr>
          <w:sz w:val="22"/>
        </w:rPr>
      </w:pPr>
    </w:p>
    <w:p w14:paraId="5BBD20CE" w14:textId="77777777" w:rsidR="002653E8" w:rsidRDefault="002653E8">
      <w:pPr>
        <w:pStyle w:val="a3"/>
        <w:rPr>
          <w:sz w:val="22"/>
        </w:rPr>
      </w:pPr>
    </w:p>
    <w:p w14:paraId="01A06D6F" w14:textId="77777777" w:rsidR="002653E8" w:rsidRDefault="002653E8">
      <w:pPr>
        <w:pStyle w:val="a3"/>
        <w:rPr>
          <w:sz w:val="22"/>
        </w:rPr>
      </w:pPr>
    </w:p>
    <w:p w14:paraId="0292F2B3" w14:textId="77777777" w:rsidR="002653E8" w:rsidRDefault="002653E8">
      <w:pPr>
        <w:pStyle w:val="a3"/>
        <w:rPr>
          <w:sz w:val="22"/>
        </w:rPr>
      </w:pPr>
    </w:p>
    <w:p w14:paraId="5A75796B" w14:textId="77777777" w:rsidR="002653E8" w:rsidRDefault="003115E3">
      <w:pPr>
        <w:spacing w:before="135" w:line="276" w:lineRule="auto"/>
        <w:ind w:left="1747" w:right="1565"/>
        <w:jc w:val="both"/>
        <w:rPr>
          <w:i/>
          <w:sz w:val="19"/>
        </w:rPr>
      </w:pPr>
      <w:r>
        <w:rPr>
          <w:i/>
          <w:color w:val="231F20"/>
          <w:w w:val="105"/>
          <w:sz w:val="19"/>
        </w:rPr>
        <w:t xml:space="preserve">No party can call itself revolutionary if it fails to prepare for armed struggle, and that is true at all levels of the </w:t>
      </w:r>
      <w:r>
        <w:rPr>
          <w:i/>
          <w:color w:val="231F20"/>
          <w:spacing w:val="-3"/>
          <w:w w:val="105"/>
          <w:sz w:val="19"/>
        </w:rPr>
        <w:t xml:space="preserve">party. </w:t>
      </w:r>
      <w:r>
        <w:rPr>
          <w:i/>
          <w:color w:val="231F20"/>
          <w:w w:val="105"/>
          <w:sz w:val="19"/>
        </w:rPr>
        <w:t xml:space="preserve">That is the </w:t>
      </w:r>
      <w:r>
        <w:rPr>
          <w:i/>
          <w:color w:val="231F20"/>
          <w:spacing w:val="-3"/>
          <w:w w:val="105"/>
          <w:sz w:val="19"/>
        </w:rPr>
        <w:t xml:space="preserve">way </w:t>
      </w:r>
      <w:r>
        <w:rPr>
          <w:i/>
          <w:color w:val="231F20"/>
          <w:w w:val="105"/>
          <w:sz w:val="19"/>
        </w:rPr>
        <w:t>to most effectively confront the reactionaries at every step</w:t>
      </w:r>
      <w:r>
        <w:rPr>
          <w:i/>
          <w:color w:val="231F20"/>
          <w:spacing w:val="-13"/>
          <w:w w:val="105"/>
          <w:sz w:val="19"/>
        </w:rPr>
        <w:t xml:space="preserve"> </w:t>
      </w:r>
      <w:r>
        <w:rPr>
          <w:i/>
          <w:color w:val="231F20"/>
          <w:w w:val="105"/>
          <w:sz w:val="19"/>
        </w:rPr>
        <w:t>of</w:t>
      </w:r>
      <w:r>
        <w:rPr>
          <w:i/>
          <w:color w:val="231F20"/>
          <w:spacing w:val="-13"/>
          <w:w w:val="105"/>
          <w:sz w:val="19"/>
        </w:rPr>
        <w:t xml:space="preserve"> </w:t>
      </w:r>
      <w:r>
        <w:rPr>
          <w:i/>
          <w:color w:val="231F20"/>
          <w:w w:val="105"/>
          <w:sz w:val="19"/>
        </w:rPr>
        <w:t>the</w:t>
      </w:r>
      <w:r>
        <w:rPr>
          <w:i/>
          <w:color w:val="231F20"/>
          <w:spacing w:val="-13"/>
          <w:w w:val="105"/>
          <w:sz w:val="19"/>
        </w:rPr>
        <w:t xml:space="preserve"> </w:t>
      </w:r>
      <w:r>
        <w:rPr>
          <w:i/>
          <w:color w:val="231F20"/>
          <w:w w:val="105"/>
          <w:sz w:val="19"/>
        </w:rPr>
        <w:t>revolutionary</w:t>
      </w:r>
      <w:r>
        <w:rPr>
          <w:i/>
          <w:color w:val="231F20"/>
          <w:spacing w:val="-13"/>
          <w:w w:val="105"/>
          <w:sz w:val="19"/>
        </w:rPr>
        <w:t xml:space="preserve"> </w:t>
      </w:r>
      <w:r>
        <w:rPr>
          <w:i/>
          <w:color w:val="231F20"/>
          <w:w w:val="105"/>
          <w:sz w:val="19"/>
        </w:rPr>
        <w:t>process.</w:t>
      </w:r>
      <w:r>
        <w:rPr>
          <w:i/>
          <w:color w:val="231F20"/>
          <w:spacing w:val="-23"/>
          <w:w w:val="105"/>
          <w:sz w:val="19"/>
        </w:rPr>
        <w:t xml:space="preserve"> </w:t>
      </w:r>
      <w:r>
        <w:rPr>
          <w:i/>
          <w:color w:val="231F20"/>
          <w:w w:val="105"/>
          <w:sz w:val="19"/>
        </w:rPr>
        <w:t>Any</w:t>
      </w:r>
      <w:r>
        <w:rPr>
          <w:i/>
          <w:color w:val="231F20"/>
          <w:spacing w:val="-13"/>
          <w:w w:val="105"/>
          <w:sz w:val="19"/>
        </w:rPr>
        <w:t xml:space="preserve"> </w:t>
      </w:r>
      <w:r>
        <w:rPr>
          <w:i/>
          <w:color w:val="231F20"/>
          <w:w w:val="105"/>
          <w:sz w:val="19"/>
        </w:rPr>
        <w:t>disregard</w:t>
      </w:r>
      <w:r>
        <w:rPr>
          <w:i/>
          <w:color w:val="231F20"/>
          <w:spacing w:val="-13"/>
          <w:w w:val="105"/>
          <w:sz w:val="19"/>
        </w:rPr>
        <w:t xml:space="preserve"> </w:t>
      </w:r>
      <w:r>
        <w:rPr>
          <w:i/>
          <w:color w:val="231F20"/>
          <w:w w:val="105"/>
          <w:sz w:val="19"/>
        </w:rPr>
        <w:t>for</w:t>
      </w:r>
      <w:r>
        <w:rPr>
          <w:i/>
          <w:color w:val="231F20"/>
          <w:spacing w:val="-13"/>
          <w:w w:val="105"/>
          <w:sz w:val="19"/>
        </w:rPr>
        <w:t xml:space="preserve"> </w:t>
      </w:r>
      <w:r>
        <w:rPr>
          <w:i/>
          <w:color w:val="231F20"/>
          <w:w w:val="105"/>
          <w:sz w:val="19"/>
        </w:rPr>
        <w:t>this</w:t>
      </w:r>
      <w:r>
        <w:rPr>
          <w:i/>
          <w:color w:val="231F20"/>
          <w:spacing w:val="-13"/>
          <w:w w:val="105"/>
          <w:sz w:val="19"/>
        </w:rPr>
        <w:t xml:space="preserve"> </w:t>
      </w:r>
      <w:r>
        <w:rPr>
          <w:i/>
          <w:color w:val="231F20"/>
          <w:w w:val="105"/>
          <w:sz w:val="19"/>
        </w:rPr>
        <w:t>factor</w:t>
      </w:r>
      <w:r>
        <w:rPr>
          <w:i/>
          <w:color w:val="231F20"/>
          <w:spacing w:val="-13"/>
          <w:w w:val="105"/>
          <w:sz w:val="19"/>
        </w:rPr>
        <w:t xml:space="preserve"> </w:t>
      </w:r>
      <w:r>
        <w:rPr>
          <w:i/>
          <w:color w:val="231F20"/>
          <w:w w:val="105"/>
          <w:sz w:val="19"/>
        </w:rPr>
        <w:t>can only lead to missed revolutionary</w:t>
      </w:r>
      <w:r>
        <w:rPr>
          <w:i/>
          <w:color w:val="231F20"/>
          <w:spacing w:val="28"/>
          <w:w w:val="105"/>
          <w:sz w:val="19"/>
        </w:rPr>
        <w:t xml:space="preserve"> </w:t>
      </w:r>
      <w:r>
        <w:rPr>
          <w:i/>
          <w:color w:val="231F20"/>
          <w:w w:val="105"/>
          <w:sz w:val="19"/>
        </w:rPr>
        <w:t>opportunities.</w:t>
      </w:r>
    </w:p>
    <w:p w14:paraId="67BFF2A4" w14:textId="77777777" w:rsidR="002653E8" w:rsidRDefault="003115E3">
      <w:pPr>
        <w:spacing w:before="39"/>
        <w:ind w:left="4706"/>
        <w:rPr>
          <w:i/>
          <w:sz w:val="19"/>
        </w:rPr>
      </w:pPr>
      <w:r>
        <w:rPr>
          <w:rFonts w:ascii="Bookman Old Style"/>
          <w:i/>
          <w:color w:val="231F20"/>
          <w:sz w:val="19"/>
        </w:rPr>
        <w:t xml:space="preserve">30 </w:t>
      </w:r>
      <w:r>
        <w:rPr>
          <w:i/>
          <w:color w:val="231F20"/>
          <w:sz w:val="19"/>
        </w:rPr>
        <w:t>Questions to a Tupamaro</w:t>
      </w:r>
    </w:p>
    <w:p w14:paraId="49CC7D55" w14:textId="77777777" w:rsidR="002653E8" w:rsidRDefault="002653E8">
      <w:pPr>
        <w:pStyle w:val="a3"/>
        <w:rPr>
          <w:i/>
          <w:sz w:val="22"/>
        </w:rPr>
      </w:pPr>
    </w:p>
    <w:p w14:paraId="44F0F41B" w14:textId="77777777" w:rsidR="002653E8" w:rsidRDefault="002653E8">
      <w:pPr>
        <w:pStyle w:val="a3"/>
        <w:spacing w:before="9"/>
        <w:rPr>
          <w:i/>
        </w:rPr>
      </w:pPr>
    </w:p>
    <w:p w14:paraId="6AD17B8F" w14:textId="77777777" w:rsidR="002653E8" w:rsidRDefault="003115E3">
      <w:pPr>
        <w:pStyle w:val="a3"/>
        <w:ind w:left="1327"/>
      </w:pPr>
      <w:r>
        <w:rPr>
          <w:color w:val="231F20"/>
          <w:w w:val="105"/>
        </w:rPr>
        <w:t>That’s what we mean by SERVE THE PEOPLE!</w:t>
      </w:r>
    </w:p>
    <w:p w14:paraId="017E0F4B" w14:textId="77777777" w:rsidR="002653E8" w:rsidRDefault="002653E8">
      <w:pPr>
        <w:sectPr w:rsidR="002653E8">
          <w:pgSz w:w="8640" w:h="12960"/>
          <w:pgMar w:top="1060" w:right="0" w:bottom="1040" w:left="0" w:header="0" w:footer="850" w:gutter="0"/>
          <w:cols w:space="720"/>
        </w:sectPr>
      </w:pPr>
    </w:p>
    <w:p w14:paraId="5C1D6AEA" w14:textId="77777777" w:rsidR="002653E8" w:rsidRDefault="003115E3">
      <w:pPr>
        <w:numPr>
          <w:ilvl w:val="0"/>
          <w:numId w:val="152"/>
        </w:numPr>
        <w:tabs>
          <w:tab w:val="left" w:pos="1476"/>
        </w:tabs>
        <w:spacing w:before="87"/>
        <w:ind w:left="1475" w:hanging="328"/>
      </w:pPr>
      <w:r>
        <w:rPr>
          <w:color w:val="231F20"/>
          <w:w w:val="120"/>
        </w:rPr>
        <w:lastRenderedPageBreak/>
        <w:t xml:space="preserve">. </w:t>
      </w:r>
      <w:r>
        <w:rPr>
          <w:color w:val="231F20"/>
          <w:spacing w:val="7"/>
          <w:w w:val="120"/>
        </w:rPr>
        <w:t xml:space="preserve">on </w:t>
      </w:r>
      <w:r>
        <w:rPr>
          <w:color w:val="231F20"/>
          <w:spacing w:val="21"/>
          <w:w w:val="120"/>
        </w:rPr>
        <w:t>current</w:t>
      </w:r>
      <w:r>
        <w:rPr>
          <w:color w:val="231F20"/>
          <w:spacing w:val="58"/>
          <w:w w:val="120"/>
        </w:rPr>
        <w:t xml:space="preserve"> </w:t>
      </w:r>
      <w:r>
        <w:rPr>
          <w:color w:val="231F20"/>
          <w:spacing w:val="17"/>
          <w:w w:val="120"/>
        </w:rPr>
        <w:t>issues</w:t>
      </w:r>
    </w:p>
    <w:p w14:paraId="6F9B7576" w14:textId="77777777" w:rsidR="002653E8" w:rsidRDefault="003115E3">
      <w:pPr>
        <w:spacing w:before="17"/>
        <w:ind w:left="1147"/>
        <w:rPr>
          <w:i/>
          <w:sz w:val="20"/>
        </w:rPr>
      </w:pPr>
      <w:r>
        <w:rPr>
          <w:i/>
          <w:color w:val="231F20"/>
          <w:w w:val="105"/>
          <w:sz w:val="20"/>
        </w:rPr>
        <w:t>The Ruhland Trial</w:t>
      </w:r>
    </w:p>
    <w:p w14:paraId="39F62F19" w14:textId="77777777" w:rsidR="002653E8" w:rsidRDefault="003115E3">
      <w:pPr>
        <w:pStyle w:val="a3"/>
        <w:spacing w:before="24" w:line="264" w:lineRule="auto"/>
        <w:ind w:left="1147" w:right="1326"/>
        <w:jc w:val="both"/>
      </w:pPr>
      <w:r>
        <w:rPr>
          <w:color w:val="231F20"/>
        </w:rPr>
        <w:t>There is still a liberal press in the Federal Republic for whom the trial was</w:t>
      </w:r>
      <w:r>
        <w:rPr>
          <w:color w:val="231F20"/>
          <w:spacing w:val="-4"/>
        </w:rPr>
        <w:t xml:space="preserve"> </w:t>
      </w:r>
      <w:r>
        <w:rPr>
          <w:color w:val="231F20"/>
        </w:rPr>
        <w:t>a</w:t>
      </w:r>
      <w:r>
        <w:rPr>
          <w:color w:val="231F20"/>
          <w:spacing w:val="-4"/>
        </w:rPr>
        <w:t xml:space="preserve"> </w:t>
      </w:r>
      <w:r>
        <w:rPr>
          <w:color w:val="231F20"/>
        </w:rPr>
        <w:t>scandal.</w:t>
      </w:r>
      <w:r>
        <w:rPr>
          <w:color w:val="231F20"/>
          <w:spacing w:val="-4"/>
        </w:rPr>
        <w:t xml:space="preserve"> </w:t>
      </w:r>
      <w:r>
        <w:rPr>
          <w:color w:val="231F20"/>
        </w:rPr>
        <w:t>Ruhland</w:t>
      </w:r>
      <w:r>
        <w:rPr>
          <w:color w:val="231F20"/>
          <w:spacing w:val="-4"/>
        </w:rPr>
        <w:t xml:space="preserve"> </w:t>
      </w:r>
      <w:r>
        <w:rPr>
          <w:color w:val="231F20"/>
        </w:rPr>
        <w:t>was</w:t>
      </w:r>
      <w:r>
        <w:rPr>
          <w:color w:val="231F20"/>
          <w:spacing w:val="-4"/>
        </w:rPr>
        <w:t xml:space="preserve"> </w:t>
      </w:r>
      <w:r>
        <w:rPr>
          <w:color w:val="231F20"/>
        </w:rPr>
        <w:t>never</w:t>
      </w:r>
      <w:r>
        <w:rPr>
          <w:color w:val="231F20"/>
          <w:spacing w:val="-4"/>
        </w:rPr>
        <w:t xml:space="preserve"> </w:t>
      </w:r>
      <w:r>
        <w:rPr>
          <w:color w:val="231F20"/>
        </w:rPr>
        <w:t>as</w:t>
      </w:r>
      <w:r>
        <w:rPr>
          <w:color w:val="231F20"/>
          <w:spacing w:val="-4"/>
        </w:rPr>
        <w:t xml:space="preserve"> </w:t>
      </w:r>
      <w:r>
        <w:rPr>
          <w:color w:val="231F20"/>
        </w:rPr>
        <w:t>close</w:t>
      </w:r>
      <w:r>
        <w:rPr>
          <w:color w:val="231F20"/>
          <w:spacing w:val="-4"/>
        </w:rPr>
        <w:t xml:space="preserve"> </w:t>
      </w:r>
      <w:r>
        <w:rPr>
          <w:color w:val="231F20"/>
        </w:rPr>
        <w:t>to</w:t>
      </w:r>
      <w:r>
        <w:rPr>
          <w:color w:val="231F20"/>
          <w:spacing w:val="-4"/>
        </w:rPr>
        <w:t xml:space="preserve"> </w:t>
      </w:r>
      <w:r>
        <w:rPr>
          <w:color w:val="231F20"/>
        </w:rPr>
        <w:t>the</w:t>
      </w:r>
      <w:r>
        <w:rPr>
          <w:color w:val="231F20"/>
          <w:spacing w:val="-4"/>
        </w:rPr>
        <w:t xml:space="preserve"> </w:t>
      </w:r>
      <w:r>
        <w:rPr>
          <w:color w:val="231F20"/>
        </w:rPr>
        <w:t>Red</w:t>
      </w:r>
      <w:r>
        <w:rPr>
          <w:color w:val="231F20"/>
          <w:spacing w:val="-4"/>
        </w:rPr>
        <w:t xml:space="preserve"> </w:t>
      </w:r>
      <w:r>
        <w:rPr>
          <w:color w:val="231F20"/>
        </w:rPr>
        <w:t>Army</w:t>
      </w:r>
      <w:r>
        <w:rPr>
          <w:color w:val="231F20"/>
          <w:spacing w:val="-4"/>
        </w:rPr>
        <w:t xml:space="preserve"> </w:t>
      </w:r>
      <w:r>
        <w:rPr>
          <w:color w:val="231F20"/>
        </w:rPr>
        <w:t>Faction</w:t>
      </w:r>
      <w:r>
        <w:rPr>
          <w:color w:val="231F20"/>
          <w:spacing w:val="-4"/>
        </w:rPr>
        <w:t xml:space="preserve"> </w:t>
      </w:r>
      <w:r>
        <w:rPr>
          <w:color w:val="231F20"/>
        </w:rPr>
        <w:t>as</w:t>
      </w:r>
      <w:r>
        <w:rPr>
          <w:color w:val="231F20"/>
          <w:spacing w:val="-4"/>
        </w:rPr>
        <w:t xml:space="preserve"> </w:t>
      </w:r>
      <w:r>
        <w:rPr>
          <w:color w:val="231F20"/>
        </w:rPr>
        <w:t>he claims.</w:t>
      </w:r>
      <w:r>
        <w:rPr>
          <w:color w:val="231F20"/>
          <w:spacing w:val="-18"/>
        </w:rPr>
        <w:t xml:space="preserve"> </w:t>
      </w:r>
      <w:r>
        <w:rPr>
          <w:color w:val="231F20"/>
        </w:rPr>
        <w:t>His</w:t>
      </w:r>
      <w:r>
        <w:rPr>
          <w:color w:val="231F20"/>
          <w:spacing w:val="-18"/>
        </w:rPr>
        <w:t xml:space="preserve"> </w:t>
      </w:r>
      <w:r>
        <w:rPr>
          <w:color w:val="231F20"/>
        </w:rPr>
        <w:t>fawning,</w:t>
      </w:r>
      <w:r>
        <w:rPr>
          <w:color w:val="231F20"/>
          <w:spacing w:val="-18"/>
        </w:rPr>
        <w:t xml:space="preserve"> </w:t>
      </w:r>
      <w:r>
        <w:rPr>
          <w:color w:val="231F20"/>
        </w:rPr>
        <w:t>his</w:t>
      </w:r>
      <w:r>
        <w:rPr>
          <w:color w:val="231F20"/>
          <w:spacing w:val="-18"/>
        </w:rPr>
        <w:t xml:space="preserve"> </w:t>
      </w:r>
      <w:r>
        <w:rPr>
          <w:color w:val="231F20"/>
        </w:rPr>
        <w:t>reliance</w:t>
      </w:r>
      <w:r>
        <w:rPr>
          <w:color w:val="231F20"/>
          <w:spacing w:val="-18"/>
        </w:rPr>
        <w:t xml:space="preserve"> </w:t>
      </w:r>
      <w:r>
        <w:rPr>
          <w:color w:val="231F20"/>
        </w:rPr>
        <w:t>on</w:t>
      </w:r>
      <w:r>
        <w:rPr>
          <w:color w:val="231F20"/>
          <w:spacing w:val="-18"/>
        </w:rPr>
        <w:t xml:space="preserve"> </w:t>
      </w:r>
      <w:r>
        <w:rPr>
          <w:color w:val="231F20"/>
        </w:rPr>
        <w:t>evidence</w:t>
      </w:r>
      <w:r>
        <w:rPr>
          <w:color w:val="231F20"/>
          <w:spacing w:val="-18"/>
        </w:rPr>
        <w:t xml:space="preserve"> </w:t>
      </w:r>
      <w:r>
        <w:rPr>
          <w:color w:val="231F20"/>
        </w:rPr>
        <w:t>from</w:t>
      </w:r>
      <w:r>
        <w:rPr>
          <w:color w:val="231F20"/>
          <w:spacing w:val="-18"/>
        </w:rPr>
        <w:t xml:space="preserve"> </w:t>
      </w:r>
      <w:r>
        <w:rPr>
          <w:color w:val="231F20"/>
        </w:rPr>
        <w:t>the</w:t>
      </w:r>
      <w:r>
        <w:rPr>
          <w:color w:val="231F20"/>
          <w:spacing w:val="-18"/>
        </w:rPr>
        <w:t xml:space="preserve"> </w:t>
      </w:r>
      <w:r>
        <w:rPr>
          <w:color w:val="231F20"/>
        </w:rPr>
        <w:t>investigation</w:t>
      </w:r>
      <w:r>
        <w:rPr>
          <w:color w:val="231F20"/>
          <w:spacing w:val="-18"/>
        </w:rPr>
        <w:t xml:space="preserve"> </w:t>
      </w:r>
      <w:r>
        <w:rPr>
          <w:color w:val="231F20"/>
        </w:rPr>
        <w:t>rather than</w:t>
      </w:r>
      <w:r>
        <w:rPr>
          <w:color w:val="231F20"/>
          <w:spacing w:val="-10"/>
        </w:rPr>
        <w:t xml:space="preserve"> </w:t>
      </w:r>
      <w:r>
        <w:rPr>
          <w:color w:val="231F20"/>
        </w:rPr>
        <w:t>his</w:t>
      </w:r>
      <w:r>
        <w:rPr>
          <w:color w:val="231F20"/>
          <w:spacing w:val="-10"/>
        </w:rPr>
        <w:t xml:space="preserve"> </w:t>
      </w:r>
      <w:r>
        <w:rPr>
          <w:color w:val="231F20"/>
        </w:rPr>
        <w:t>own</w:t>
      </w:r>
      <w:r>
        <w:rPr>
          <w:color w:val="231F20"/>
          <w:spacing w:val="-10"/>
        </w:rPr>
        <w:t xml:space="preserve"> </w:t>
      </w:r>
      <w:r>
        <w:rPr>
          <w:color w:val="231F20"/>
        </w:rPr>
        <w:t>memory,</w:t>
      </w:r>
      <w:r>
        <w:rPr>
          <w:color w:val="231F20"/>
          <w:spacing w:val="-10"/>
        </w:rPr>
        <w:t xml:space="preserve"> </w:t>
      </w:r>
      <w:r>
        <w:rPr>
          <w:color w:val="231F20"/>
        </w:rPr>
        <w:t>the</w:t>
      </w:r>
      <w:r>
        <w:rPr>
          <w:color w:val="231F20"/>
          <w:spacing w:val="-10"/>
        </w:rPr>
        <w:t xml:space="preserve"> </w:t>
      </w:r>
      <w:r>
        <w:rPr>
          <w:color w:val="231F20"/>
        </w:rPr>
        <w:t>fact</w:t>
      </w:r>
      <w:r>
        <w:rPr>
          <w:color w:val="231F20"/>
          <w:spacing w:val="-10"/>
        </w:rPr>
        <w:t xml:space="preserve"> </w:t>
      </w:r>
      <w:r>
        <w:rPr>
          <w:color w:val="231F20"/>
        </w:rPr>
        <w:t>that</w:t>
      </w:r>
      <w:r>
        <w:rPr>
          <w:color w:val="231F20"/>
          <w:spacing w:val="-10"/>
        </w:rPr>
        <w:t xml:space="preserve"> </w:t>
      </w:r>
      <w:r>
        <w:rPr>
          <w:color w:val="231F20"/>
        </w:rPr>
        <w:t>Mahler’s</w:t>
      </w:r>
      <w:r>
        <w:rPr>
          <w:color w:val="231F20"/>
          <w:spacing w:val="-10"/>
        </w:rPr>
        <w:t xml:space="preserve"> </w:t>
      </w:r>
      <w:r>
        <w:rPr>
          <w:color w:val="231F20"/>
        </w:rPr>
        <w:t>lawyer</w:t>
      </w:r>
      <w:r>
        <w:rPr>
          <w:color w:val="231F20"/>
          <w:spacing w:val="-10"/>
        </w:rPr>
        <w:t xml:space="preserve"> </w:t>
      </w:r>
      <w:r>
        <w:rPr>
          <w:color w:val="231F20"/>
        </w:rPr>
        <w:t>Schily</w:t>
      </w:r>
      <w:r>
        <w:rPr>
          <w:color w:val="231F20"/>
          <w:spacing w:val="-10"/>
        </w:rPr>
        <w:t xml:space="preserve"> </w:t>
      </w:r>
      <w:r>
        <w:rPr>
          <w:color w:val="231F20"/>
        </w:rPr>
        <w:t>was</w:t>
      </w:r>
      <w:r>
        <w:rPr>
          <w:color w:val="231F20"/>
          <w:spacing w:val="-10"/>
        </w:rPr>
        <w:t xml:space="preserve"> </w:t>
      </w:r>
      <w:r>
        <w:rPr>
          <w:color w:val="231F20"/>
        </w:rPr>
        <w:t xml:space="preserve">prevented from attending his trial, the fact that from the beginning of the trial it was established that there would be a verdict based on negotiations that neither the federal prosecutor nor the defense attorney would challenge (the </w:t>
      </w:r>
      <w:r>
        <w:rPr>
          <w:i/>
          <w:color w:val="231F20"/>
        </w:rPr>
        <w:t xml:space="preserve">FAZ </w:t>
      </w:r>
      <w:r>
        <w:rPr>
          <w:color w:val="231F20"/>
        </w:rPr>
        <w:t xml:space="preserve">reported this). As the </w:t>
      </w:r>
      <w:r>
        <w:rPr>
          <w:i/>
          <w:color w:val="231F20"/>
        </w:rPr>
        <w:t xml:space="preserve">Frankfurter Rundschau </w:t>
      </w:r>
      <w:r>
        <w:rPr>
          <w:color w:val="231F20"/>
        </w:rPr>
        <w:t>describes it, “like a</w:t>
      </w:r>
      <w:r>
        <w:rPr>
          <w:color w:val="231F20"/>
          <w:spacing w:val="20"/>
        </w:rPr>
        <w:t xml:space="preserve"> </w:t>
      </w:r>
      <w:r>
        <w:rPr>
          <w:color w:val="231F20"/>
        </w:rPr>
        <w:t>nice</w:t>
      </w:r>
      <w:r>
        <w:rPr>
          <w:color w:val="231F20"/>
          <w:spacing w:val="20"/>
        </w:rPr>
        <w:t xml:space="preserve"> </w:t>
      </w:r>
      <w:r>
        <w:rPr>
          <w:color w:val="231F20"/>
        </w:rPr>
        <w:t>teacher</w:t>
      </w:r>
      <w:r>
        <w:rPr>
          <w:color w:val="231F20"/>
          <w:spacing w:val="20"/>
        </w:rPr>
        <w:t xml:space="preserve"> </w:t>
      </w:r>
      <w:r>
        <w:rPr>
          <w:color w:val="231F20"/>
        </w:rPr>
        <w:t>delivering</w:t>
      </w:r>
      <w:r>
        <w:rPr>
          <w:color w:val="231F20"/>
          <w:spacing w:val="20"/>
        </w:rPr>
        <w:t xml:space="preserve"> </w:t>
      </w:r>
      <w:r>
        <w:rPr>
          <w:color w:val="231F20"/>
        </w:rPr>
        <w:t>a</w:t>
      </w:r>
      <w:r>
        <w:rPr>
          <w:color w:val="231F20"/>
          <w:spacing w:val="20"/>
        </w:rPr>
        <w:t xml:space="preserve"> </w:t>
      </w:r>
      <w:r>
        <w:rPr>
          <w:color w:val="231F20"/>
        </w:rPr>
        <w:t>worn</w:t>
      </w:r>
      <w:r>
        <w:rPr>
          <w:color w:val="231F20"/>
          <w:spacing w:val="20"/>
        </w:rPr>
        <w:t xml:space="preserve"> </w:t>
      </w:r>
      <w:r>
        <w:rPr>
          <w:color w:val="231F20"/>
        </w:rPr>
        <w:t>out</w:t>
      </w:r>
      <w:r>
        <w:rPr>
          <w:color w:val="231F20"/>
          <w:spacing w:val="20"/>
        </w:rPr>
        <w:t xml:space="preserve"> </w:t>
      </w:r>
      <w:r>
        <w:rPr>
          <w:color w:val="231F20"/>
        </w:rPr>
        <w:t>speech</w:t>
      </w:r>
      <w:r>
        <w:rPr>
          <w:color w:val="231F20"/>
          <w:spacing w:val="20"/>
        </w:rPr>
        <w:t xml:space="preserve"> </w:t>
      </w:r>
      <w:r>
        <w:rPr>
          <w:color w:val="231F20"/>
        </w:rPr>
        <w:t>to</w:t>
      </w:r>
      <w:r>
        <w:rPr>
          <w:color w:val="231F20"/>
          <w:spacing w:val="20"/>
        </w:rPr>
        <w:t xml:space="preserve"> </w:t>
      </w:r>
      <w:r>
        <w:rPr>
          <w:color w:val="231F20"/>
        </w:rPr>
        <w:t>a</w:t>
      </w:r>
      <w:r>
        <w:rPr>
          <w:color w:val="231F20"/>
          <w:spacing w:val="20"/>
        </w:rPr>
        <w:t xml:space="preserve"> </w:t>
      </w:r>
      <w:r>
        <w:rPr>
          <w:color w:val="231F20"/>
        </w:rPr>
        <w:t>sympathetic</w:t>
      </w:r>
      <w:r>
        <w:rPr>
          <w:color w:val="231F20"/>
          <w:spacing w:val="20"/>
        </w:rPr>
        <w:t xml:space="preserve"> </w:t>
      </w:r>
      <w:r>
        <w:rPr>
          <w:color w:val="231F20"/>
        </w:rPr>
        <w:t>student”</w:t>
      </w:r>
    </w:p>
    <w:p w14:paraId="3479960B" w14:textId="77777777" w:rsidR="002653E8" w:rsidRDefault="003115E3">
      <w:pPr>
        <w:pStyle w:val="a3"/>
        <w:spacing w:line="264" w:lineRule="auto"/>
        <w:ind w:left="1148" w:right="1326"/>
        <w:jc w:val="both"/>
      </w:pPr>
      <w:r>
        <w:rPr>
          <w:color w:val="231F20"/>
        </w:rPr>
        <w:t>—proving very clearly that discovering the truth and due process have nothing to do with anything anymore.</w:t>
      </w:r>
    </w:p>
    <w:p w14:paraId="377DF42C" w14:textId="77777777" w:rsidR="002653E8" w:rsidRDefault="003115E3">
      <w:pPr>
        <w:pStyle w:val="a3"/>
        <w:spacing w:line="264" w:lineRule="auto"/>
        <w:ind w:left="1148" w:right="1325" w:firstLine="210"/>
        <w:jc w:val="both"/>
      </w:pPr>
      <w:r>
        <w:rPr>
          <w:color w:val="231F20"/>
        </w:rPr>
        <w:t xml:space="preserve">The assurance that Ruhland is certainly telling the truth, the fulminations that those he has incriminated are not telling the truth, the assumption that anyone who doesn’t cooperate with the justice system is guilty… that is exactly what class justice means, show trials, mak   ing them an—effectively ornamental—component of capital’s general offensive against the left as the vanguard of the working class in the Federal Republic and </w:t>
      </w:r>
      <w:r>
        <w:rPr>
          <w:color w:val="231F20"/>
          <w:spacing w:val="-3"/>
        </w:rPr>
        <w:t>West</w:t>
      </w:r>
      <w:r>
        <w:rPr>
          <w:color w:val="231F20"/>
          <w:spacing w:val="3"/>
        </w:rPr>
        <w:t xml:space="preserve"> </w:t>
      </w:r>
      <w:r>
        <w:rPr>
          <w:color w:val="231F20"/>
        </w:rPr>
        <w:t>Berlin.</w:t>
      </w:r>
    </w:p>
    <w:p w14:paraId="760CFD18" w14:textId="77777777" w:rsidR="002653E8" w:rsidRDefault="003115E3">
      <w:pPr>
        <w:pStyle w:val="a3"/>
        <w:spacing w:line="264" w:lineRule="auto"/>
        <w:ind w:left="1148" w:right="1325" w:firstLine="210"/>
        <w:jc w:val="both"/>
      </w:pPr>
      <w:r>
        <w:rPr>
          <w:color w:val="231F20"/>
        </w:rPr>
        <w:t xml:space="preserve">One cannot offer up </w:t>
      </w:r>
      <w:r>
        <w:rPr>
          <w:i/>
          <w:color w:val="231F20"/>
        </w:rPr>
        <w:t xml:space="preserve">Verfassungsschutz </w:t>
      </w:r>
      <w:r>
        <w:rPr>
          <w:color w:val="231F20"/>
        </w:rPr>
        <w:t>informants</w:t>
      </w:r>
      <w:r>
        <w:rPr>
          <w:i/>
          <w:color w:val="231F20"/>
        </w:rPr>
        <w:t xml:space="preserve">, </w:t>
      </w:r>
      <w:r>
        <w:rPr>
          <w:color w:val="231F20"/>
        </w:rPr>
        <w:t xml:space="preserve">as in earlier communist trials or as with Urbach, to a public increasingly polarized  by the growing class contradictions. They expect the left-wing public    to be dazzled by state witnesses presented by the Bonn Security Group, and it’ll probably work. The person </w:t>
      </w:r>
      <w:r>
        <w:rPr>
          <w:color w:val="231F20"/>
          <w:spacing w:val="-4"/>
        </w:rPr>
        <w:t xml:space="preserve">who’s </w:t>
      </w:r>
      <w:r>
        <w:rPr>
          <w:color w:val="231F20"/>
        </w:rPr>
        <w:t>really screwed in this situation is Ruhland himself, since he no longer knows his friends from his enemies, up from down, the revolution from the counterrevolution. The poor</w:t>
      </w:r>
      <w:r>
        <w:rPr>
          <w:color w:val="231F20"/>
          <w:spacing w:val="10"/>
        </w:rPr>
        <w:t xml:space="preserve"> </w:t>
      </w:r>
      <w:r>
        <w:rPr>
          <w:color w:val="231F20"/>
        </w:rPr>
        <w:t>pig</w:t>
      </w:r>
      <w:r>
        <w:rPr>
          <w:color w:val="231F20"/>
          <w:spacing w:val="10"/>
        </w:rPr>
        <w:t xml:space="preserve"> </w:t>
      </w:r>
      <w:r>
        <w:rPr>
          <w:color w:val="231F20"/>
        </w:rPr>
        <w:t>doesn’t</w:t>
      </w:r>
      <w:r>
        <w:rPr>
          <w:color w:val="231F20"/>
          <w:spacing w:val="10"/>
        </w:rPr>
        <w:t xml:space="preserve"> </w:t>
      </w:r>
      <w:r>
        <w:rPr>
          <w:color w:val="231F20"/>
        </w:rPr>
        <w:t>understand</w:t>
      </w:r>
      <w:r>
        <w:rPr>
          <w:color w:val="231F20"/>
          <w:spacing w:val="10"/>
        </w:rPr>
        <w:t xml:space="preserve"> </w:t>
      </w:r>
      <w:r>
        <w:rPr>
          <w:color w:val="231F20"/>
        </w:rPr>
        <w:t>how</w:t>
      </w:r>
      <w:r>
        <w:rPr>
          <w:color w:val="231F20"/>
          <w:spacing w:val="10"/>
        </w:rPr>
        <w:t xml:space="preserve"> </w:t>
      </w:r>
      <w:r>
        <w:rPr>
          <w:color w:val="231F20"/>
        </w:rPr>
        <w:t>they’re</w:t>
      </w:r>
      <w:r>
        <w:rPr>
          <w:color w:val="231F20"/>
          <w:spacing w:val="10"/>
        </w:rPr>
        <w:t xml:space="preserve"> </w:t>
      </w:r>
      <w:r>
        <w:rPr>
          <w:color w:val="231F20"/>
        </w:rPr>
        <w:t>using</w:t>
      </w:r>
      <w:r>
        <w:rPr>
          <w:color w:val="231F20"/>
          <w:spacing w:val="10"/>
        </w:rPr>
        <w:t xml:space="preserve"> </w:t>
      </w:r>
      <w:r>
        <w:rPr>
          <w:color w:val="231F20"/>
        </w:rPr>
        <w:t>him.</w:t>
      </w:r>
    </w:p>
    <w:p w14:paraId="6B567C00" w14:textId="77777777" w:rsidR="002653E8" w:rsidRDefault="003115E3">
      <w:pPr>
        <w:pStyle w:val="a3"/>
        <w:spacing w:line="264" w:lineRule="auto"/>
        <w:ind w:left="1148" w:right="1326" w:firstLine="210"/>
        <w:jc w:val="both"/>
      </w:pPr>
      <w:r>
        <w:rPr>
          <w:color w:val="231F20"/>
        </w:rPr>
        <w:t>Urban guerilla struggle requires that one not be demoralized by the system’s violence. One certainly should not be demoralized by a trial that shows us to be morally and politically in the right. Demoralization is in fact their goal. The Ruhland trial is only a very superficial event     in the unfolding of history, the development of class struggle and the question</w:t>
      </w:r>
      <w:r>
        <w:rPr>
          <w:color w:val="231F20"/>
          <w:spacing w:val="10"/>
        </w:rPr>
        <w:t xml:space="preserve"> </w:t>
      </w:r>
      <w:r>
        <w:rPr>
          <w:color w:val="231F20"/>
        </w:rPr>
        <w:t>of</w:t>
      </w:r>
      <w:r>
        <w:rPr>
          <w:color w:val="231F20"/>
          <w:spacing w:val="10"/>
        </w:rPr>
        <w:t xml:space="preserve"> </w:t>
      </w:r>
      <w:r>
        <w:rPr>
          <w:color w:val="231F20"/>
        </w:rPr>
        <w:t>whether</w:t>
      </w:r>
      <w:r>
        <w:rPr>
          <w:color w:val="231F20"/>
          <w:spacing w:val="10"/>
        </w:rPr>
        <w:t xml:space="preserve"> </w:t>
      </w:r>
      <w:r>
        <w:rPr>
          <w:color w:val="231F20"/>
        </w:rPr>
        <w:t>the</w:t>
      </w:r>
      <w:r>
        <w:rPr>
          <w:color w:val="231F20"/>
          <w:spacing w:val="10"/>
        </w:rPr>
        <w:t xml:space="preserve"> </w:t>
      </w:r>
      <w:r>
        <w:rPr>
          <w:color w:val="231F20"/>
        </w:rPr>
        <w:t>urban</w:t>
      </w:r>
      <w:r>
        <w:rPr>
          <w:color w:val="231F20"/>
          <w:spacing w:val="10"/>
        </w:rPr>
        <w:t xml:space="preserve"> </w:t>
      </w:r>
      <w:r>
        <w:rPr>
          <w:color w:val="231F20"/>
        </w:rPr>
        <w:t>guerilla</w:t>
      </w:r>
      <w:r>
        <w:rPr>
          <w:color w:val="231F20"/>
          <w:spacing w:val="10"/>
        </w:rPr>
        <w:t xml:space="preserve"> </w:t>
      </w:r>
      <w:r>
        <w:rPr>
          <w:color w:val="231F20"/>
        </w:rPr>
        <w:t>is</w:t>
      </w:r>
      <w:r>
        <w:rPr>
          <w:color w:val="231F20"/>
          <w:spacing w:val="10"/>
        </w:rPr>
        <w:t xml:space="preserve"> </w:t>
      </w:r>
      <w:r>
        <w:rPr>
          <w:color w:val="231F20"/>
        </w:rPr>
        <w:t>legitimate.</w:t>
      </w:r>
    </w:p>
    <w:p w14:paraId="6FDFF69F" w14:textId="77777777" w:rsidR="002653E8" w:rsidRDefault="002653E8">
      <w:pPr>
        <w:pStyle w:val="a3"/>
        <w:spacing w:before="10"/>
        <w:rPr>
          <w:sz w:val="18"/>
        </w:rPr>
      </w:pPr>
    </w:p>
    <w:p w14:paraId="7E051DE1" w14:textId="77777777" w:rsidR="002653E8" w:rsidRDefault="003115E3">
      <w:pPr>
        <w:ind w:left="1148"/>
        <w:rPr>
          <w:i/>
          <w:sz w:val="20"/>
        </w:rPr>
      </w:pPr>
      <w:r>
        <w:rPr>
          <w:i/>
          <w:color w:val="231F20"/>
          <w:w w:val="110"/>
          <w:sz w:val="20"/>
        </w:rPr>
        <w:t>On Traitors</w:t>
      </w:r>
    </w:p>
    <w:p w14:paraId="25584523" w14:textId="77777777" w:rsidR="002653E8" w:rsidRDefault="003115E3">
      <w:pPr>
        <w:pStyle w:val="a3"/>
        <w:spacing w:before="22" w:line="264" w:lineRule="auto"/>
        <w:ind w:left="1148" w:right="1325"/>
        <w:jc w:val="both"/>
      </w:pPr>
      <w:r>
        <w:rPr>
          <w:color w:val="231F20"/>
        </w:rPr>
        <w:t xml:space="preserve">There are people who believe there might be some truth in the things Homann and the like are spreading around. At least, they </w:t>
      </w:r>
      <w:r>
        <w:rPr>
          <w:color w:val="231F20"/>
          <w:spacing w:val="-4"/>
        </w:rPr>
        <w:t xml:space="preserve">say, </w:t>
      </w:r>
      <w:r>
        <w:rPr>
          <w:color w:val="231F20"/>
        </w:rPr>
        <w:t xml:space="preserve">Homann  is no idiot. They take him to be what he presented himself as in </w:t>
      </w:r>
      <w:r>
        <w:rPr>
          <w:i/>
          <w:color w:val="231F20"/>
        </w:rPr>
        <w:t xml:space="preserve">Spiegel, </w:t>
      </w:r>
      <w:r>
        <w:rPr>
          <w:color w:val="231F20"/>
        </w:rPr>
        <w:t>a</w:t>
      </w:r>
      <w:r>
        <w:rPr>
          <w:color w:val="231F20"/>
          <w:spacing w:val="22"/>
        </w:rPr>
        <w:t xml:space="preserve"> </w:t>
      </w:r>
      <w:r>
        <w:rPr>
          <w:color w:val="231F20"/>
        </w:rPr>
        <w:t>“political</w:t>
      </w:r>
      <w:r>
        <w:rPr>
          <w:color w:val="231F20"/>
          <w:spacing w:val="22"/>
        </w:rPr>
        <w:t xml:space="preserve"> </w:t>
      </w:r>
      <w:r>
        <w:rPr>
          <w:color w:val="231F20"/>
        </w:rPr>
        <w:t>scholar”;</w:t>
      </w:r>
      <w:r>
        <w:rPr>
          <w:color w:val="231F20"/>
          <w:spacing w:val="22"/>
        </w:rPr>
        <w:t xml:space="preserve"> </w:t>
      </w:r>
      <w:r>
        <w:rPr>
          <w:color w:val="231F20"/>
        </w:rPr>
        <w:t>from</w:t>
      </w:r>
      <w:r>
        <w:rPr>
          <w:color w:val="231F20"/>
          <w:spacing w:val="22"/>
        </w:rPr>
        <w:t xml:space="preserve"> </w:t>
      </w:r>
      <w:r>
        <w:rPr>
          <w:color w:val="231F20"/>
        </w:rPr>
        <w:t>a</w:t>
      </w:r>
      <w:r>
        <w:rPr>
          <w:color w:val="231F20"/>
          <w:spacing w:val="22"/>
        </w:rPr>
        <w:t xml:space="preserve"> </w:t>
      </w:r>
      <w:r>
        <w:rPr>
          <w:color w:val="231F20"/>
        </w:rPr>
        <w:t>vocabulary</w:t>
      </w:r>
      <w:r>
        <w:rPr>
          <w:color w:val="231F20"/>
          <w:spacing w:val="22"/>
        </w:rPr>
        <w:t xml:space="preserve"> </w:t>
      </w:r>
      <w:r>
        <w:rPr>
          <w:color w:val="231F20"/>
        </w:rPr>
        <w:t>that</w:t>
      </w:r>
      <w:r>
        <w:rPr>
          <w:color w:val="231F20"/>
          <w:spacing w:val="22"/>
        </w:rPr>
        <w:t xml:space="preserve"> </w:t>
      </w:r>
      <w:r>
        <w:rPr>
          <w:color w:val="231F20"/>
        </w:rPr>
        <w:t>encompasses</w:t>
      </w:r>
      <w:r>
        <w:rPr>
          <w:color w:val="231F20"/>
          <w:spacing w:val="22"/>
        </w:rPr>
        <w:t xml:space="preserve"> </w:t>
      </w:r>
      <w:r>
        <w:rPr>
          <w:color w:val="231F20"/>
        </w:rPr>
        <w:t>both</w:t>
      </w:r>
      <w:r>
        <w:rPr>
          <w:color w:val="231F20"/>
          <w:spacing w:val="22"/>
        </w:rPr>
        <w:t xml:space="preserve"> </w:t>
      </w:r>
      <w:r>
        <w:rPr>
          <w:color w:val="231F20"/>
        </w:rPr>
        <w:t>hunter</w:t>
      </w:r>
    </w:p>
    <w:p w14:paraId="4661280E" w14:textId="77777777" w:rsidR="002653E8" w:rsidRDefault="002653E8">
      <w:pPr>
        <w:spacing w:line="264" w:lineRule="auto"/>
        <w:jc w:val="both"/>
        <w:sectPr w:rsidR="002653E8">
          <w:pgSz w:w="8640" w:h="12960"/>
          <w:pgMar w:top="1040" w:right="0" w:bottom="1040" w:left="0" w:header="0" w:footer="850" w:gutter="0"/>
          <w:cols w:space="720"/>
        </w:sectPr>
      </w:pPr>
    </w:p>
    <w:p w14:paraId="184A80D9" w14:textId="77777777" w:rsidR="002653E8" w:rsidRDefault="003115E3">
      <w:pPr>
        <w:pStyle w:val="a3"/>
        <w:spacing w:before="86" w:line="264" w:lineRule="auto"/>
        <w:ind w:left="1327" w:right="1145"/>
        <w:jc w:val="both"/>
      </w:pPr>
      <w:r>
        <w:rPr>
          <w:color w:val="231F20"/>
        </w:rPr>
        <w:lastRenderedPageBreak/>
        <w:t xml:space="preserve">and </w:t>
      </w:r>
      <w:r>
        <w:rPr>
          <w:color w:val="231F20"/>
          <w:spacing w:val="-4"/>
        </w:rPr>
        <w:t>prey.</w:t>
      </w:r>
      <w:r>
        <w:rPr>
          <w:color w:val="231F20"/>
          <w:spacing w:val="-4"/>
          <w:position w:val="7"/>
          <w:sz w:val="11"/>
        </w:rPr>
        <w:t xml:space="preserve">1 </w:t>
      </w:r>
      <w:r>
        <w:rPr>
          <w:color w:val="231F20"/>
        </w:rPr>
        <w:t xml:space="preserve">These terms have nothing to do with class antagonism. The assertion that you are a scholar doesn’t make you one when you deal in the techniques used by </w:t>
      </w:r>
      <w:r>
        <w:rPr>
          <w:i/>
          <w:color w:val="231F20"/>
        </w:rPr>
        <w:t xml:space="preserve">Spiegel </w:t>
      </w:r>
      <w:r>
        <w:rPr>
          <w:color w:val="231F20"/>
        </w:rPr>
        <w:t>journalists. The substance of Marxism, the dialectic of being and consciousness, excludes the possibility that police statements can contribute to the revolutionary strategy. Marxism can only be taught by Marxists, as Margharita von Brentano</w:t>
      </w:r>
      <w:r>
        <w:rPr>
          <w:color w:val="231F20"/>
          <w:position w:val="7"/>
          <w:sz w:val="11"/>
        </w:rPr>
        <w:t xml:space="preserve">2 </w:t>
      </w:r>
      <w:r>
        <w:rPr>
          <w:color w:val="231F20"/>
        </w:rPr>
        <w:t xml:space="preserve">told </w:t>
      </w:r>
      <w:r>
        <w:rPr>
          <w:i/>
          <w:color w:val="231F20"/>
        </w:rPr>
        <w:t>Spiegel</w:t>
      </w:r>
      <w:r>
        <w:rPr>
          <w:color w:val="231F20"/>
        </w:rPr>
        <w:t xml:space="preserve">. What Mandel has to </w:t>
      </w:r>
      <w:r>
        <w:rPr>
          <w:color w:val="231F20"/>
          <w:spacing w:val="-4"/>
        </w:rPr>
        <w:t xml:space="preserve">say, </w:t>
      </w:r>
      <w:r>
        <w:rPr>
          <w:color w:val="231F20"/>
        </w:rPr>
        <w:t>Schwan</w:t>
      </w:r>
      <w:r>
        <w:rPr>
          <w:color w:val="231F20"/>
          <w:position w:val="7"/>
          <w:sz w:val="11"/>
        </w:rPr>
        <w:t xml:space="preserve">3 </w:t>
      </w:r>
      <w:r>
        <w:rPr>
          <w:color w:val="231F20"/>
        </w:rPr>
        <w:t>couldn’t</w:t>
      </w:r>
      <w:r>
        <w:rPr>
          <w:color w:val="231F20"/>
          <w:spacing w:val="10"/>
        </w:rPr>
        <w:t xml:space="preserve"> </w:t>
      </w:r>
      <w:r>
        <w:rPr>
          <w:color w:val="231F20"/>
        </w:rPr>
        <w:t>spell.</w:t>
      </w:r>
    </w:p>
    <w:p w14:paraId="7D3DBD8D" w14:textId="77777777" w:rsidR="002653E8" w:rsidRDefault="003115E3">
      <w:pPr>
        <w:pStyle w:val="a3"/>
        <w:spacing w:line="264" w:lineRule="auto"/>
        <w:ind w:left="1328" w:right="1145" w:firstLine="210"/>
        <w:jc w:val="both"/>
      </w:pPr>
      <w:r>
        <w:rPr>
          <w:color w:val="231F20"/>
        </w:rPr>
        <w:t>Anybody who shares the interests of the status quo cannot possibly have anything to say about social change. But it is the nature of traitors to share the interests of the status quo, to want to return to their hereditary place in class society, to not feel right in unfamiliar circumstances, to only have a sense of identity in their own milieu, and to remain the object of their own development.</w:t>
      </w:r>
    </w:p>
    <w:p w14:paraId="449DB751" w14:textId="77777777" w:rsidR="002653E8" w:rsidRDefault="003115E3">
      <w:pPr>
        <w:pStyle w:val="a3"/>
        <w:spacing w:line="264" w:lineRule="auto"/>
        <w:ind w:left="1327" w:right="1145" w:firstLine="210"/>
        <w:jc w:val="both"/>
      </w:pPr>
      <w:r>
        <w:rPr>
          <w:color w:val="231F20"/>
        </w:rPr>
        <w:t xml:space="preserve">Ruhland only really feels comfortable in his old role as a criminal proletariat, handcuffed and oppressed, and Homann in the role of the lost son of the lumpen proletariat, ever at the beck and call of the bourgeoisie—in </w:t>
      </w:r>
      <w:r>
        <w:rPr>
          <w:i/>
          <w:color w:val="231F20"/>
        </w:rPr>
        <w:t xml:space="preserve">Spiegel </w:t>
      </w:r>
      <w:r>
        <w:rPr>
          <w:color w:val="231F20"/>
        </w:rPr>
        <w:t xml:space="preserve">and </w:t>
      </w:r>
      <w:r>
        <w:rPr>
          <w:i/>
          <w:color w:val="231F20"/>
        </w:rPr>
        <w:t>konkret</w:t>
      </w:r>
      <w:r>
        <w:rPr>
          <w:color w:val="231F20"/>
        </w:rPr>
        <w:t>—in his heart of hearts he has no interest in matters of the market. Sturm had an adventure and then fled back home to the bosom of her family.</w:t>
      </w:r>
    </w:p>
    <w:p w14:paraId="718E8A3F" w14:textId="77777777" w:rsidR="002653E8" w:rsidRDefault="003115E3">
      <w:pPr>
        <w:pStyle w:val="a3"/>
        <w:spacing w:line="264" w:lineRule="auto"/>
        <w:ind w:left="1327" w:right="1145" w:firstLine="210"/>
        <w:jc w:val="both"/>
      </w:pPr>
      <w:r>
        <w:rPr>
          <w:color w:val="231F20"/>
          <w:w w:val="105"/>
        </w:rPr>
        <w:t xml:space="preserve">Ruhland remains a victim and Homann a consumer, the overpaid illiterate and the profiteering academic—the class balance is re-established, legality is obviously the natural state of affairs. Regarding Homann, </w:t>
      </w:r>
      <w:r>
        <w:rPr>
          <w:i/>
          <w:color w:val="231F20"/>
          <w:w w:val="105"/>
        </w:rPr>
        <w:t xml:space="preserve">FAZ </w:t>
      </w:r>
      <w:r>
        <w:rPr>
          <w:color w:val="231F20"/>
          <w:w w:val="105"/>
        </w:rPr>
        <w:t xml:space="preserve">wrote: </w:t>
      </w:r>
      <w:r>
        <w:rPr>
          <w:color w:val="231F20"/>
          <w:spacing w:val="-6"/>
          <w:w w:val="105"/>
        </w:rPr>
        <w:t xml:space="preserve">“…a </w:t>
      </w:r>
      <w:r>
        <w:rPr>
          <w:color w:val="231F20"/>
          <w:w w:val="105"/>
        </w:rPr>
        <w:t>journalist and visual artist, with a politically</w:t>
      </w:r>
      <w:r>
        <w:rPr>
          <w:color w:val="231F20"/>
          <w:spacing w:val="-27"/>
          <w:w w:val="105"/>
        </w:rPr>
        <w:t xml:space="preserve"> </w:t>
      </w:r>
      <w:r>
        <w:rPr>
          <w:color w:val="231F20"/>
          <w:w w:val="105"/>
        </w:rPr>
        <w:t>untrained</w:t>
      </w:r>
      <w:r>
        <w:rPr>
          <w:color w:val="231F20"/>
          <w:spacing w:val="-27"/>
          <w:w w:val="105"/>
        </w:rPr>
        <w:t xml:space="preserve"> </w:t>
      </w:r>
      <w:r>
        <w:rPr>
          <w:color w:val="231F20"/>
          <w:w w:val="105"/>
        </w:rPr>
        <w:t>but</w:t>
      </w:r>
      <w:r>
        <w:rPr>
          <w:color w:val="231F20"/>
          <w:spacing w:val="-27"/>
          <w:w w:val="105"/>
        </w:rPr>
        <w:t xml:space="preserve"> </w:t>
      </w:r>
      <w:r>
        <w:rPr>
          <w:color w:val="231F20"/>
          <w:w w:val="105"/>
        </w:rPr>
        <w:t>sensitive</w:t>
      </w:r>
      <w:r>
        <w:rPr>
          <w:color w:val="231F20"/>
          <w:spacing w:val="-27"/>
          <w:w w:val="105"/>
        </w:rPr>
        <w:t xml:space="preserve"> </w:t>
      </w:r>
      <w:r>
        <w:rPr>
          <w:color w:val="231F20"/>
          <w:w w:val="105"/>
        </w:rPr>
        <w:t>intelligence”;</w:t>
      </w:r>
      <w:r>
        <w:rPr>
          <w:color w:val="231F20"/>
          <w:spacing w:val="-27"/>
          <w:w w:val="105"/>
        </w:rPr>
        <w:t xml:space="preserve"> </w:t>
      </w:r>
      <w:r>
        <w:rPr>
          <w:color w:val="231F20"/>
          <w:w w:val="105"/>
        </w:rPr>
        <w:t>about</w:t>
      </w:r>
      <w:r>
        <w:rPr>
          <w:color w:val="231F20"/>
          <w:spacing w:val="-27"/>
          <w:w w:val="105"/>
        </w:rPr>
        <w:t xml:space="preserve"> </w:t>
      </w:r>
      <w:r>
        <w:rPr>
          <w:color w:val="231F20"/>
          <w:w w:val="105"/>
        </w:rPr>
        <w:t>Ruhland:</w:t>
      </w:r>
      <w:r>
        <w:rPr>
          <w:color w:val="231F20"/>
          <w:spacing w:val="-27"/>
          <w:w w:val="105"/>
        </w:rPr>
        <w:t xml:space="preserve"> </w:t>
      </w:r>
      <w:r>
        <w:rPr>
          <w:color w:val="231F20"/>
          <w:spacing w:val="-5"/>
          <w:w w:val="105"/>
        </w:rPr>
        <w:t>“…he</w:t>
      </w:r>
      <w:r>
        <w:rPr>
          <w:color w:val="231F20"/>
          <w:spacing w:val="-27"/>
          <w:w w:val="105"/>
        </w:rPr>
        <w:t xml:space="preserve"> </w:t>
      </w:r>
      <w:r>
        <w:rPr>
          <w:color w:val="231F20"/>
          <w:w w:val="105"/>
        </w:rPr>
        <w:t>doesn’t want</w:t>
      </w:r>
      <w:r>
        <w:rPr>
          <w:color w:val="231F20"/>
          <w:spacing w:val="-13"/>
          <w:w w:val="105"/>
        </w:rPr>
        <w:t xml:space="preserve"> </w:t>
      </w:r>
      <w:r>
        <w:rPr>
          <w:color w:val="231F20"/>
          <w:w w:val="105"/>
        </w:rPr>
        <w:t>to</w:t>
      </w:r>
      <w:r>
        <w:rPr>
          <w:color w:val="231F20"/>
          <w:spacing w:val="-13"/>
          <w:w w:val="105"/>
        </w:rPr>
        <w:t xml:space="preserve"> </w:t>
      </w:r>
      <w:r>
        <w:rPr>
          <w:color w:val="231F20"/>
          <w:w w:val="105"/>
        </w:rPr>
        <w:t>be</w:t>
      </w:r>
      <w:r>
        <w:rPr>
          <w:color w:val="231F20"/>
          <w:spacing w:val="-13"/>
          <w:w w:val="105"/>
        </w:rPr>
        <w:t xml:space="preserve"> </w:t>
      </w:r>
      <w:r>
        <w:rPr>
          <w:color w:val="231F20"/>
          <w:w w:val="105"/>
        </w:rPr>
        <w:t>a</w:t>
      </w:r>
      <w:r>
        <w:rPr>
          <w:color w:val="231F20"/>
          <w:spacing w:val="-13"/>
          <w:w w:val="105"/>
        </w:rPr>
        <w:t xml:space="preserve"> </w:t>
      </w:r>
      <w:r>
        <w:rPr>
          <w:color w:val="231F20"/>
          <w:w w:val="105"/>
        </w:rPr>
        <w:t>villain,</w:t>
      </w:r>
      <w:r>
        <w:rPr>
          <w:color w:val="231F20"/>
          <w:spacing w:val="-13"/>
          <w:w w:val="105"/>
        </w:rPr>
        <w:t xml:space="preserve"> </w:t>
      </w:r>
      <w:r>
        <w:rPr>
          <w:color w:val="231F20"/>
          <w:w w:val="105"/>
        </w:rPr>
        <w:t>he</w:t>
      </w:r>
      <w:r>
        <w:rPr>
          <w:color w:val="231F20"/>
          <w:spacing w:val="-13"/>
          <w:w w:val="105"/>
        </w:rPr>
        <w:t xml:space="preserve"> </w:t>
      </w:r>
      <w:r>
        <w:rPr>
          <w:color w:val="231F20"/>
          <w:w w:val="105"/>
        </w:rPr>
        <w:t>is</w:t>
      </w:r>
      <w:r>
        <w:rPr>
          <w:color w:val="231F20"/>
          <w:spacing w:val="-13"/>
          <w:w w:val="105"/>
        </w:rPr>
        <w:t xml:space="preserve"> </w:t>
      </w:r>
      <w:r>
        <w:rPr>
          <w:color w:val="231F20"/>
          <w:w w:val="105"/>
        </w:rPr>
        <w:t>perhaps</w:t>
      </w:r>
      <w:r>
        <w:rPr>
          <w:color w:val="231F20"/>
          <w:spacing w:val="-13"/>
          <w:w w:val="105"/>
        </w:rPr>
        <w:t xml:space="preserve"> </w:t>
      </w:r>
      <w:r>
        <w:rPr>
          <w:color w:val="231F20"/>
          <w:w w:val="105"/>
        </w:rPr>
        <w:t>an</w:t>
      </w:r>
      <w:r>
        <w:rPr>
          <w:color w:val="231F20"/>
          <w:spacing w:val="-13"/>
          <w:w w:val="105"/>
        </w:rPr>
        <w:t xml:space="preserve"> </w:t>
      </w:r>
      <w:r>
        <w:rPr>
          <w:color w:val="231F20"/>
          <w:w w:val="105"/>
        </w:rPr>
        <w:t>honest</w:t>
      </w:r>
      <w:r>
        <w:rPr>
          <w:color w:val="231F20"/>
          <w:spacing w:val="-13"/>
          <w:w w:val="105"/>
        </w:rPr>
        <w:t xml:space="preserve"> </w:t>
      </w:r>
      <w:r>
        <w:rPr>
          <w:color w:val="231F20"/>
          <w:w w:val="105"/>
        </w:rPr>
        <w:t>man</w:t>
      </w:r>
      <w:r>
        <w:rPr>
          <w:color w:val="231F20"/>
          <w:spacing w:val="-13"/>
          <w:w w:val="105"/>
        </w:rPr>
        <w:t xml:space="preserve"> </w:t>
      </w:r>
      <w:r>
        <w:rPr>
          <w:color w:val="231F20"/>
          <w:w w:val="105"/>
        </w:rPr>
        <w:t>with</w:t>
      </w:r>
      <w:r>
        <w:rPr>
          <w:color w:val="231F20"/>
          <w:spacing w:val="-13"/>
          <w:w w:val="105"/>
        </w:rPr>
        <w:t xml:space="preserve"> </w:t>
      </w:r>
      <w:r>
        <w:rPr>
          <w:color w:val="231F20"/>
          <w:w w:val="105"/>
        </w:rPr>
        <w:t>a</w:t>
      </w:r>
      <w:r>
        <w:rPr>
          <w:color w:val="231F20"/>
          <w:spacing w:val="-13"/>
          <w:w w:val="105"/>
        </w:rPr>
        <w:t xml:space="preserve"> </w:t>
      </w:r>
      <w:r>
        <w:rPr>
          <w:color w:val="231F20"/>
          <w:w w:val="105"/>
        </w:rPr>
        <w:t>guileless</w:t>
      </w:r>
      <w:r>
        <w:rPr>
          <w:color w:val="231F20"/>
          <w:spacing w:val="-13"/>
          <w:w w:val="105"/>
        </w:rPr>
        <w:t xml:space="preserve"> </w:t>
      </w:r>
      <w:r>
        <w:rPr>
          <w:color w:val="231F20"/>
          <w:w w:val="105"/>
        </w:rPr>
        <w:t>mind. Facing</w:t>
      </w:r>
      <w:r>
        <w:rPr>
          <w:color w:val="231F20"/>
          <w:spacing w:val="-16"/>
          <w:w w:val="105"/>
        </w:rPr>
        <w:t xml:space="preserve"> </w:t>
      </w:r>
      <w:r>
        <w:rPr>
          <w:color w:val="231F20"/>
          <w:w w:val="105"/>
        </w:rPr>
        <w:t>his</w:t>
      </w:r>
      <w:r>
        <w:rPr>
          <w:color w:val="231F20"/>
          <w:spacing w:val="-16"/>
          <w:w w:val="105"/>
        </w:rPr>
        <w:t xml:space="preserve"> </w:t>
      </w:r>
      <w:r>
        <w:rPr>
          <w:color w:val="231F20"/>
          <w:w w:val="105"/>
        </w:rPr>
        <w:t>guards</w:t>
      </w:r>
      <w:r>
        <w:rPr>
          <w:color w:val="231F20"/>
          <w:spacing w:val="-16"/>
          <w:w w:val="105"/>
        </w:rPr>
        <w:t xml:space="preserve"> </w:t>
      </w:r>
      <w:r>
        <w:rPr>
          <w:color w:val="231F20"/>
          <w:w w:val="105"/>
        </w:rPr>
        <w:t>in</w:t>
      </w:r>
      <w:r>
        <w:rPr>
          <w:color w:val="231F20"/>
          <w:spacing w:val="-16"/>
          <w:w w:val="105"/>
        </w:rPr>
        <w:t xml:space="preserve"> </w:t>
      </w:r>
      <w:r>
        <w:rPr>
          <w:color w:val="231F20"/>
          <w:w w:val="105"/>
        </w:rPr>
        <w:t>the</w:t>
      </w:r>
      <w:r>
        <w:rPr>
          <w:color w:val="231F20"/>
          <w:spacing w:val="-16"/>
          <w:w w:val="105"/>
        </w:rPr>
        <w:t xml:space="preserve"> </w:t>
      </w:r>
      <w:r>
        <w:rPr>
          <w:color w:val="231F20"/>
          <w:w w:val="105"/>
        </w:rPr>
        <w:t>court</w:t>
      </w:r>
      <w:r>
        <w:rPr>
          <w:color w:val="231F20"/>
          <w:spacing w:val="-16"/>
          <w:w w:val="105"/>
        </w:rPr>
        <w:t xml:space="preserve"> </w:t>
      </w:r>
      <w:r>
        <w:rPr>
          <w:color w:val="231F20"/>
          <w:w w:val="105"/>
        </w:rPr>
        <w:t>room,</w:t>
      </w:r>
      <w:r>
        <w:rPr>
          <w:color w:val="231F20"/>
          <w:spacing w:val="-16"/>
          <w:w w:val="105"/>
        </w:rPr>
        <w:t xml:space="preserve"> </w:t>
      </w:r>
      <w:r>
        <w:rPr>
          <w:color w:val="231F20"/>
          <w:w w:val="105"/>
        </w:rPr>
        <w:t>two</w:t>
      </w:r>
      <w:r>
        <w:rPr>
          <w:color w:val="231F20"/>
          <w:spacing w:val="-16"/>
          <w:w w:val="105"/>
        </w:rPr>
        <w:t xml:space="preserve"> </w:t>
      </w:r>
      <w:r>
        <w:rPr>
          <w:color w:val="231F20"/>
          <w:w w:val="105"/>
        </w:rPr>
        <w:t>young</w:t>
      </w:r>
      <w:r>
        <w:rPr>
          <w:color w:val="231F20"/>
          <w:spacing w:val="-16"/>
          <w:w w:val="105"/>
        </w:rPr>
        <w:t xml:space="preserve"> </w:t>
      </w:r>
      <w:r>
        <w:rPr>
          <w:color w:val="231F20"/>
          <w:w w:val="105"/>
        </w:rPr>
        <w:t>security</w:t>
      </w:r>
      <w:r>
        <w:rPr>
          <w:color w:val="231F20"/>
          <w:spacing w:val="-16"/>
          <w:w w:val="105"/>
        </w:rPr>
        <w:t xml:space="preserve"> </w:t>
      </w:r>
      <w:r>
        <w:rPr>
          <w:color w:val="231F20"/>
          <w:w w:val="105"/>
        </w:rPr>
        <w:t>police</w:t>
      </w:r>
      <w:r>
        <w:rPr>
          <w:color w:val="231F20"/>
          <w:spacing w:val="-16"/>
          <w:w w:val="105"/>
        </w:rPr>
        <w:t xml:space="preserve"> </w:t>
      </w:r>
      <w:r>
        <w:rPr>
          <w:color w:val="231F20"/>
          <w:w w:val="105"/>
        </w:rPr>
        <w:t>officers, he exhibits a completely natural and comradely</w:t>
      </w:r>
      <w:r>
        <w:rPr>
          <w:color w:val="231F20"/>
          <w:spacing w:val="12"/>
          <w:w w:val="105"/>
        </w:rPr>
        <w:t xml:space="preserve"> </w:t>
      </w:r>
      <w:r>
        <w:rPr>
          <w:color w:val="231F20"/>
          <w:w w:val="105"/>
        </w:rPr>
        <w:t>bearing.”</w:t>
      </w:r>
    </w:p>
    <w:p w14:paraId="045A7B57" w14:textId="77777777" w:rsidR="002653E8" w:rsidRDefault="003115E3">
      <w:pPr>
        <w:pStyle w:val="a3"/>
        <w:spacing w:line="264" w:lineRule="auto"/>
        <w:ind w:left="1328" w:right="1147" w:firstLine="210"/>
        <w:jc w:val="both"/>
      </w:pPr>
      <w:r>
        <w:rPr>
          <w:color w:val="231F20"/>
        </w:rPr>
        <w:t xml:space="preserve">The psychological makeup of traitors is venal and conservative. The conservative </w:t>
      </w:r>
      <w:r>
        <w:rPr>
          <w:i/>
          <w:color w:val="231F20"/>
        </w:rPr>
        <w:t xml:space="preserve">FAZ </w:t>
      </w:r>
      <w:r>
        <w:rPr>
          <w:color w:val="231F20"/>
        </w:rPr>
        <w:t>sympathizes with these sons and servants.</w:t>
      </w:r>
    </w:p>
    <w:p w14:paraId="1E3A742D" w14:textId="77777777" w:rsidR="002653E8" w:rsidRDefault="003115E3">
      <w:pPr>
        <w:pStyle w:val="a3"/>
        <w:spacing w:line="264" w:lineRule="auto"/>
        <w:ind w:left="1327" w:right="1146" w:firstLine="210"/>
        <w:jc w:val="both"/>
      </w:pPr>
      <w:r>
        <w:rPr>
          <w:color w:val="231F20"/>
          <w:spacing w:val="-5"/>
        </w:rPr>
        <w:t xml:space="preserve">We </w:t>
      </w:r>
      <w:r>
        <w:rPr>
          <w:color w:val="231F20"/>
        </w:rPr>
        <w:t>suffered from a false fascination and have underestimated illegal</w:t>
      </w:r>
      <w:r>
        <w:rPr>
          <w:color w:val="231F20"/>
          <w:spacing w:val="-3"/>
        </w:rPr>
        <w:t xml:space="preserve">ity. </w:t>
      </w:r>
      <w:r>
        <w:rPr>
          <w:color w:val="231F20"/>
          <w:spacing w:val="-4"/>
        </w:rPr>
        <w:t xml:space="preserve">We’ve  </w:t>
      </w:r>
      <w:r>
        <w:rPr>
          <w:color w:val="231F20"/>
        </w:rPr>
        <w:t>overestimated the unity of some groups. That is to say that  we have not taken into account all of the implications of the student movement</w:t>
      </w:r>
      <w:r>
        <w:rPr>
          <w:color w:val="231F20"/>
          <w:spacing w:val="-7"/>
        </w:rPr>
        <w:t xml:space="preserve"> </w:t>
      </w:r>
      <w:r>
        <w:rPr>
          <w:color w:val="231F20"/>
        </w:rPr>
        <w:t>being</w:t>
      </w:r>
      <w:r>
        <w:rPr>
          <w:color w:val="231F20"/>
          <w:spacing w:val="-7"/>
        </w:rPr>
        <w:t xml:space="preserve"> </w:t>
      </w:r>
      <w:r>
        <w:rPr>
          <w:color w:val="231F20"/>
        </w:rPr>
        <w:t>a</w:t>
      </w:r>
      <w:r>
        <w:rPr>
          <w:color w:val="231F20"/>
          <w:spacing w:val="-7"/>
        </w:rPr>
        <w:t xml:space="preserve"> </w:t>
      </w:r>
      <w:r>
        <w:rPr>
          <w:color w:val="231F20"/>
        </w:rPr>
        <w:t>relatively</w:t>
      </w:r>
      <w:r>
        <w:rPr>
          <w:color w:val="231F20"/>
          <w:spacing w:val="-7"/>
        </w:rPr>
        <w:t xml:space="preserve"> </w:t>
      </w:r>
      <w:r>
        <w:rPr>
          <w:color w:val="231F20"/>
        </w:rPr>
        <w:t>privileged</w:t>
      </w:r>
      <w:r>
        <w:rPr>
          <w:color w:val="231F20"/>
          <w:spacing w:val="-7"/>
        </w:rPr>
        <w:t xml:space="preserve"> </w:t>
      </w:r>
      <w:r>
        <w:rPr>
          <w:color w:val="231F20"/>
        </w:rPr>
        <w:t>movement,</w:t>
      </w:r>
      <w:r>
        <w:rPr>
          <w:color w:val="231F20"/>
          <w:spacing w:val="-7"/>
        </w:rPr>
        <w:t xml:space="preserve"> </w:t>
      </w:r>
      <w:r>
        <w:rPr>
          <w:color w:val="231F20"/>
        </w:rPr>
        <w:t>that</w:t>
      </w:r>
      <w:r>
        <w:rPr>
          <w:color w:val="231F20"/>
          <w:spacing w:val="-7"/>
        </w:rPr>
        <w:t xml:space="preserve"> </w:t>
      </w:r>
      <w:r>
        <w:rPr>
          <w:color w:val="231F20"/>
        </w:rPr>
        <w:t>we</w:t>
      </w:r>
      <w:r>
        <w:rPr>
          <w:color w:val="231F20"/>
          <w:spacing w:val="-7"/>
        </w:rPr>
        <w:t xml:space="preserve"> </w:t>
      </w:r>
      <w:r>
        <w:rPr>
          <w:color w:val="231F20"/>
        </w:rPr>
        <w:t>have</w:t>
      </w:r>
      <w:r>
        <w:rPr>
          <w:color w:val="231F20"/>
          <w:spacing w:val="-7"/>
        </w:rPr>
        <w:t xml:space="preserve"> </w:t>
      </w:r>
      <w:r>
        <w:rPr>
          <w:color w:val="231F20"/>
        </w:rPr>
        <w:t>failed</w:t>
      </w:r>
      <w:r>
        <w:rPr>
          <w:color w:val="231F20"/>
          <w:spacing w:val="-7"/>
        </w:rPr>
        <w:t xml:space="preserve"> </w:t>
      </w:r>
      <w:r>
        <w:rPr>
          <w:color w:val="231F20"/>
        </w:rPr>
        <w:t>to</w:t>
      </w:r>
    </w:p>
    <w:p w14:paraId="4387A555" w14:textId="77777777" w:rsidR="002653E8" w:rsidRDefault="00000000">
      <w:pPr>
        <w:pStyle w:val="a3"/>
        <w:spacing w:before="3"/>
        <w:rPr>
          <w:sz w:val="13"/>
        </w:rPr>
      </w:pPr>
      <w:r>
        <w:rPr>
          <w:noProof w:val="0"/>
        </w:rPr>
        <w:pict w14:anchorId="63065E37">
          <v:line id="_x0000_s2553" style="position:absolute;z-index:4600;mso-wrap-distance-left:0;mso-wrap-distance-right:0;mso-position-horizontal-relative:page" from="66.4pt,10pt" to="138.4pt,10pt" strokecolor="#231f20" strokeweight=".5pt">
            <w10:wrap type="topAndBottom" anchorx="page"/>
          </v:line>
        </w:pict>
      </w:r>
    </w:p>
    <w:p w14:paraId="45DE968E" w14:textId="77777777" w:rsidR="002653E8" w:rsidRDefault="003115E3">
      <w:pPr>
        <w:pStyle w:val="a4"/>
        <w:numPr>
          <w:ilvl w:val="0"/>
          <w:numId w:val="144"/>
        </w:numPr>
        <w:tabs>
          <w:tab w:val="left" w:pos="1467"/>
        </w:tabs>
        <w:spacing w:before="53"/>
        <w:ind w:firstLine="0"/>
        <w:rPr>
          <w:i/>
          <w:sz w:val="16"/>
        </w:rPr>
      </w:pPr>
      <w:r>
        <w:rPr>
          <w:color w:val="231F20"/>
          <w:w w:val="105"/>
          <w:sz w:val="16"/>
        </w:rPr>
        <w:t>Peter</w:t>
      </w:r>
      <w:r>
        <w:rPr>
          <w:color w:val="231F20"/>
          <w:spacing w:val="10"/>
          <w:w w:val="105"/>
          <w:sz w:val="16"/>
        </w:rPr>
        <w:t xml:space="preserve"> </w:t>
      </w:r>
      <w:r>
        <w:rPr>
          <w:color w:val="231F20"/>
          <w:w w:val="105"/>
          <w:sz w:val="16"/>
        </w:rPr>
        <w:t>Homann</w:t>
      </w:r>
      <w:r>
        <w:rPr>
          <w:color w:val="231F20"/>
          <w:spacing w:val="10"/>
          <w:w w:val="105"/>
          <w:sz w:val="16"/>
        </w:rPr>
        <w:t xml:space="preserve"> </w:t>
      </w:r>
      <w:r>
        <w:rPr>
          <w:color w:val="231F20"/>
          <w:w w:val="105"/>
          <w:sz w:val="16"/>
        </w:rPr>
        <w:t>had</w:t>
      </w:r>
      <w:r>
        <w:rPr>
          <w:color w:val="231F20"/>
          <w:spacing w:val="10"/>
          <w:w w:val="105"/>
          <w:sz w:val="16"/>
        </w:rPr>
        <w:t xml:space="preserve"> </w:t>
      </w:r>
      <w:r>
        <w:rPr>
          <w:color w:val="231F20"/>
          <w:w w:val="105"/>
          <w:sz w:val="16"/>
        </w:rPr>
        <w:t>previously</w:t>
      </w:r>
      <w:r>
        <w:rPr>
          <w:color w:val="231F20"/>
          <w:spacing w:val="10"/>
          <w:w w:val="105"/>
          <w:sz w:val="16"/>
        </w:rPr>
        <w:t xml:space="preserve"> </w:t>
      </w:r>
      <w:r>
        <w:rPr>
          <w:color w:val="231F20"/>
          <w:w w:val="105"/>
          <w:sz w:val="16"/>
        </w:rPr>
        <w:t>worked</w:t>
      </w:r>
      <w:r>
        <w:rPr>
          <w:color w:val="231F20"/>
          <w:spacing w:val="10"/>
          <w:w w:val="105"/>
          <w:sz w:val="16"/>
        </w:rPr>
        <w:t xml:space="preserve"> </w:t>
      </w:r>
      <w:r>
        <w:rPr>
          <w:color w:val="231F20"/>
          <w:w w:val="105"/>
          <w:sz w:val="16"/>
        </w:rPr>
        <w:t>as</w:t>
      </w:r>
      <w:r>
        <w:rPr>
          <w:color w:val="231F20"/>
          <w:spacing w:val="10"/>
          <w:w w:val="105"/>
          <w:sz w:val="16"/>
        </w:rPr>
        <w:t xml:space="preserve"> </w:t>
      </w:r>
      <w:r>
        <w:rPr>
          <w:color w:val="231F20"/>
          <w:w w:val="105"/>
          <w:sz w:val="16"/>
        </w:rPr>
        <w:t>a</w:t>
      </w:r>
      <w:r>
        <w:rPr>
          <w:color w:val="231F20"/>
          <w:spacing w:val="10"/>
          <w:w w:val="105"/>
          <w:sz w:val="16"/>
        </w:rPr>
        <w:t xml:space="preserve"> </w:t>
      </w:r>
      <w:r>
        <w:rPr>
          <w:color w:val="231F20"/>
          <w:w w:val="105"/>
          <w:sz w:val="16"/>
        </w:rPr>
        <w:t>journalist</w:t>
      </w:r>
      <w:r>
        <w:rPr>
          <w:color w:val="231F20"/>
          <w:spacing w:val="10"/>
          <w:w w:val="105"/>
          <w:sz w:val="16"/>
        </w:rPr>
        <w:t xml:space="preserve"> </w:t>
      </w:r>
      <w:r>
        <w:rPr>
          <w:color w:val="231F20"/>
          <w:w w:val="105"/>
          <w:sz w:val="16"/>
        </w:rPr>
        <w:t>for</w:t>
      </w:r>
      <w:r>
        <w:rPr>
          <w:color w:val="231F20"/>
          <w:spacing w:val="10"/>
          <w:w w:val="105"/>
          <w:sz w:val="16"/>
        </w:rPr>
        <w:t xml:space="preserve"> </w:t>
      </w:r>
      <w:r>
        <w:rPr>
          <w:color w:val="231F20"/>
          <w:w w:val="105"/>
          <w:sz w:val="16"/>
        </w:rPr>
        <w:t>the</w:t>
      </w:r>
      <w:r>
        <w:rPr>
          <w:color w:val="231F20"/>
          <w:spacing w:val="10"/>
          <w:w w:val="105"/>
          <w:sz w:val="16"/>
        </w:rPr>
        <w:t xml:space="preserve"> </w:t>
      </w:r>
      <w:r>
        <w:rPr>
          <w:i/>
          <w:color w:val="231F20"/>
          <w:w w:val="105"/>
          <w:sz w:val="16"/>
        </w:rPr>
        <w:t>Spiegel.</w:t>
      </w:r>
    </w:p>
    <w:p w14:paraId="074295EA" w14:textId="77777777" w:rsidR="002653E8" w:rsidRDefault="003115E3">
      <w:pPr>
        <w:pStyle w:val="a4"/>
        <w:numPr>
          <w:ilvl w:val="0"/>
          <w:numId w:val="144"/>
        </w:numPr>
        <w:tabs>
          <w:tab w:val="left" w:pos="1467"/>
        </w:tabs>
        <w:spacing w:before="51" w:line="254" w:lineRule="auto"/>
        <w:ind w:right="1249" w:firstLine="0"/>
        <w:rPr>
          <w:sz w:val="16"/>
        </w:rPr>
      </w:pPr>
      <w:r>
        <w:rPr>
          <w:color w:val="231F20"/>
          <w:w w:val="105"/>
          <w:sz w:val="16"/>
        </w:rPr>
        <w:t>Margharita von Brentano was a sociology professor at the Free University, where  a</w:t>
      </w:r>
      <w:r>
        <w:rPr>
          <w:color w:val="231F20"/>
          <w:spacing w:val="7"/>
          <w:w w:val="105"/>
          <w:sz w:val="16"/>
        </w:rPr>
        <w:t xml:space="preserve"> </w:t>
      </w:r>
      <w:r>
        <w:rPr>
          <w:color w:val="231F20"/>
          <w:w w:val="105"/>
          <w:sz w:val="16"/>
        </w:rPr>
        <w:t>prize</w:t>
      </w:r>
      <w:r>
        <w:rPr>
          <w:color w:val="231F20"/>
          <w:spacing w:val="7"/>
          <w:w w:val="105"/>
          <w:sz w:val="16"/>
        </w:rPr>
        <w:t xml:space="preserve"> </w:t>
      </w:r>
      <w:r>
        <w:rPr>
          <w:color w:val="231F20"/>
          <w:w w:val="105"/>
          <w:sz w:val="16"/>
        </w:rPr>
        <w:t>and</w:t>
      </w:r>
      <w:r>
        <w:rPr>
          <w:color w:val="231F20"/>
          <w:spacing w:val="7"/>
          <w:w w:val="105"/>
          <w:sz w:val="16"/>
        </w:rPr>
        <w:t xml:space="preserve"> </w:t>
      </w:r>
      <w:r>
        <w:rPr>
          <w:color w:val="231F20"/>
          <w:w w:val="105"/>
          <w:sz w:val="16"/>
        </w:rPr>
        <w:t>a</w:t>
      </w:r>
      <w:r>
        <w:rPr>
          <w:color w:val="231F20"/>
          <w:spacing w:val="7"/>
          <w:w w:val="105"/>
          <w:sz w:val="16"/>
        </w:rPr>
        <w:t xml:space="preserve"> </w:t>
      </w:r>
      <w:r>
        <w:rPr>
          <w:color w:val="231F20"/>
          <w:w w:val="105"/>
          <w:sz w:val="16"/>
        </w:rPr>
        <w:t>building</w:t>
      </w:r>
      <w:r>
        <w:rPr>
          <w:color w:val="231F20"/>
          <w:spacing w:val="7"/>
          <w:w w:val="105"/>
          <w:sz w:val="16"/>
        </w:rPr>
        <w:t xml:space="preserve"> </w:t>
      </w:r>
      <w:r>
        <w:rPr>
          <w:color w:val="231F20"/>
          <w:w w:val="105"/>
          <w:sz w:val="16"/>
        </w:rPr>
        <w:t>are</w:t>
      </w:r>
      <w:r>
        <w:rPr>
          <w:color w:val="231F20"/>
          <w:spacing w:val="7"/>
          <w:w w:val="105"/>
          <w:sz w:val="16"/>
        </w:rPr>
        <w:t xml:space="preserve"> </w:t>
      </w:r>
      <w:r>
        <w:rPr>
          <w:color w:val="231F20"/>
          <w:w w:val="105"/>
          <w:sz w:val="16"/>
        </w:rPr>
        <w:t>now</w:t>
      </w:r>
      <w:r>
        <w:rPr>
          <w:color w:val="231F20"/>
          <w:spacing w:val="7"/>
          <w:w w:val="105"/>
          <w:sz w:val="16"/>
        </w:rPr>
        <w:t xml:space="preserve"> </w:t>
      </w:r>
      <w:r>
        <w:rPr>
          <w:color w:val="231F20"/>
          <w:w w:val="105"/>
          <w:sz w:val="16"/>
        </w:rPr>
        <w:t>named</w:t>
      </w:r>
      <w:r>
        <w:rPr>
          <w:color w:val="231F20"/>
          <w:spacing w:val="7"/>
          <w:w w:val="105"/>
          <w:sz w:val="16"/>
        </w:rPr>
        <w:t xml:space="preserve"> </w:t>
      </w:r>
      <w:r>
        <w:rPr>
          <w:color w:val="231F20"/>
          <w:w w:val="105"/>
          <w:sz w:val="16"/>
        </w:rPr>
        <w:t>in</w:t>
      </w:r>
      <w:r>
        <w:rPr>
          <w:color w:val="231F20"/>
          <w:spacing w:val="7"/>
          <w:w w:val="105"/>
          <w:sz w:val="16"/>
        </w:rPr>
        <w:t xml:space="preserve"> </w:t>
      </w:r>
      <w:r>
        <w:rPr>
          <w:color w:val="231F20"/>
          <w:w w:val="105"/>
          <w:sz w:val="16"/>
        </w:rPr>
        <w:t>her</w:t>
      </w:r>
      <w:r>
        <w:rPr>
          <w:color w:val="231F20"/>
          <w:spacing w:val="7"/>
          <w:w w:val="105"/>
          <w:sz w:val="16"/>
        </w:rPr>
        <w:t xml:space="preserve"> </w:t>
      </w:r>
      <w:r>
        <w:rPr>
          <w:color w:val="231F20"/>
          <w:w w:val="105"/>
          <w:sz w:val="16"/>
        </w:rPr>
        <w:t>honour.</w:t>
      </w:r>
    </w:p>
    <w:p w14:paraId="207DDAB2" w14:textId="77777777" w:rsidR="002653E8" w:rsidRDefault="003115E3">
      <w:pPr>
        <w:pStyle w:val="a4"/>
        <w:numPr>
          <w:ilvl w:val="0"/>
          <w:numId w:val="144"/>
        </w:numPr>
        <w:tabs>
          <w:tab w:val="left" w:pos="1467"/>
        </w:tabs>
        <w:spacing w:line="254" w:lineRule="auto"/>
        <w:ind w:right="1179" w:firstLine="0"/>
        <w:rPr>
          <w:sz w:val="16"/>
        </w:rPr>
      </w:pPr>
      <w:r>
        <w:rPr>
          <w:color w:val="231F20"/>
          <w:spacing w:val="1"/>
          <w:w w:val="105"/>
          <w:sz w:val="16"/>
        </w:rPr>
        <w:t xml:space="preserve">A. </w:t>
      </w:r>
      <w:r>
        <w:rPr>
          <w:color w:val="231F20"/>
          <w:w w:val="105"/>
          <w:sz w:val="16"/>
        </w:rPr>
        <w:t xml:space="preserve">Schwan, a West Berlin professor and a member of the </w:t>
      </w:r>
      <w:r>
        <w:rPr>
          <w:i/>
          <w:color w:val="231F20"/>
          <w:spacing w:val="1"/>
          <w:w w:val="105"/>
          <w:sz w:val="16"/>
        </w:rPr>
        <w:t xml:space="preserve">Bund </w:t>
      </w:r>
      <w:r>
        <w:rPr>
          <w:i/>
          <w:color w:val="231F20"/>
          <w:w w:val="105"/>
          <w:sz w:val="16"/>
        </w:rPr>
        <w:t xml:space="preserve">Freiheit de Wissenshaft </w:t>
      </w:r>
      <w:r>
        <w:rPr>
          <w:color w:val="231F20"/>
          <w:w w:val="105"/>
          <w:sz w:val="16"/>
        </w:rPr>
        <w:t xml:space="preserve">(Alliance for Free Scholarship). The </w:t>
      </w:r>
      <w:r>
        <w:rPr>
          <w:color w:val="231F20"/>
          <w:spacing w:val="2"/>
          <w:w w:val="105"/>
          <w:sz w:val="16"/>
        </w:rPr>
        <w:t xml:space="preserve">BFW </w:t>
      </w:r>
      <w:r>
        <w:rPr>
          <w:color w:val="231F20"/>
          <w:w w:val="105"/>
          <w:sz w:val="16"/>
        </w:rPr>
        <w:t>was an organization of rightwing university professors who accused the student movement of attempting to establish</w:t>
      </w:r>
      <w:r>
        <w:rPr>
          <w:color w:val="231F20"/>
          <w:spacing w:val="7"/>
          <w:w w:val="105"/>
          <w:sz w:val="16"/>
        </w:rPr>
        <w:t xml:space="preserve"> </w:t>
      </w:r>
      <w:r>
        <w:rPr>
          <w:color w:val="231F20"/>
          <w:w w:val="105"/>
          <w:sz w:val="16"/>
        </w:rPr>
        <w:t>a</w:t>
      </w:r>
      <w:r>
        <w:rPr>
          <w:color w:val="231F20"/>
          <w:spacing w:val="7"/>
          <w:w w:val="105"/>
          <w:sz w:val="16"/>
        </w:rPr>
        <w:t xml:space="preserve"> </w:t>
      </w:r>
      <w:r>
        <w:rPr>
          <w:color w:val="231F20"/>
          <w:w w:val="105"/>
          <w:sz w:val="16"/>
        </w:rPr>
        <w:t>left-wing</w:t>
      </w:r>
      <w:r>
        <w:rPr>
          <w:color w:val="231F20"/>
          <w:spacing w:val="7"/>
          <w:w w:val="105"/>
          <w:sz w:val="16"/>
        </w:rPr>
        <w:t xml:space="preserve"> </w:t>
      </w:r>
      <w:r>
        <w:rPr>
          <w:color w:val="231F20"/>
          <w:w w:val="105"/>
          <w:sz w:val="16"/>
        </w:rPr>
        <w:t>educational</w:t>
      </w:r>
      <w:r>
        <w:rPr>
          <w:color w:val="231F20"/>
          <w:spacing w:val="7"/>
          <w:w w:val="105"/>
          <w:sz w:val="16"/>
        </w:rPr>
        <w:t xml:space="preserve"> </w:t>
      </w:r>
      <w:r>
        <w:rPr>
          <w:color w:val="231F20"/>
          <w:w w:val="105"/>
          <w:sz w:val="16"/>
        </w:rPr>
        <w:t>system</w:t>
      </w:r>
      <w:r>
        <w:rPr>
          <w:color w:val="231F20"/>
          <w:spacing w:val="7"/>
          <w:w w:val="105"/>
          <w:sz w:val="16"/>
        </w:rPr>
        <w:t xml:space="preserve"> </w:t>
      </w:r>
      <w:r>
        <w:rPr>
          <w:color w:val="231F20"/>
          <w:w w:val="105"/>
          <w:sz w:val="16"/>
        </w:rPr>
        <w:t>to</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exclusion</w:t>
      </w:r>
      <w:r>
        <w:rPr>
          <w:color w:val="231F20"/>
          <w:spacing w:val="7"/>
          <w:w w:val="105"/>
          <w:sz w:val="16"/>
        </w:rPr>
        <w:t xml:space="preserve"> </w:t>
      </w:r>
      <w:r>
        <w:rPr>
          <w:color w:val="231F20"/>
          <w:w w:val="105"/>
          <w:sz w:val="16"/>
        </w:rPr>
        <w:t>of</w:t>
      </w:r>
      <w:r>
        <w:rPr>
          <w:color w:val="231F20"/>
          <w:spacing w:val="7"/>
          <w:w w:val="105"/>
          <w:sz w:val="16"/>
        </w:rPr>
        <w:t xml:space="preserve"> </w:t>
      </w:r>
      <w:r>
        <w:rPr>
          <w:color w:val="231F20"/>
          <w:w w:val="105"/>
          <w:sz w:val="16"/>
        </w:rPr>
        <w:t>free</w:t>
      </w:r>
      <w:r>
        <w:rPr>
          <w:color w:val="231F20"/>
          <w:spacing w:val="7"/>
          <w:w w:val="105"/>
          <w:sz w:val="16"/>
        </w:rPr>
        <w:t xml:space="preserve"> </w:t>
      </w:r>
      <w:r>
        <w:rPr>
          <w:color w:val="231F20"/>
          <w:w w:val="105"/>
          <w:sz w:val="16"/>
        </w:rPr>
        <w:t>thought.</w:t>
      </w:r>
    </w:p>
    <w:p w14:paraId="173BAA58" w14:textId="77777777" w:rsidR="002653E8" w:rsidRDefault="002653E8">
      <w:pPr>
        <w:spacing w:line="254" w:lineRule="auto"/>
        <w:rPr>
          <w:sz w:val="16"/>
        </w:rPr>
        <w:sectPr w:rsidR="002653E8">
          <w:pgSz w:w="8640" w:h="12960"/>
          <w:pgMar w:top="1060" w:right="0" w:bottom="1040" w:left="0" w:header="0" w:footer="850" w:gutter="0"/>
          <w:cols w:space="720"/>
        </w:sectPr>
      </w:pPr>
    </w:p>
    <w:p w14:paraId="6702B6FA" w14:textId="77777777" w:rsidR="002653E8" w:rsidRDefault="003115E3">
      <w:pPr>
        <w:pStyle w:val="a3"/>
        <w:spacing w:before="86" w:line="264" w:lineRule="auto"/>
        <w:ind w:left="1147" w:right="1326"/>
        <w:jc w:val="both"/>
      </w:pPr>
      <w:r>
        <w:rPr>
          <w:color w:val="231F20"/>
        </w:rPr>
        <w:lastRenderedPageBreak/>
        <w:t xml:space="preserve">observe that for many people much of the politics of </w:t>
      </w:r>
      <w:r>
        <w:rPr>
          <w:color w:val="231F20"/>
          <w:spacing w:val="-4"/>
        </w:rPr>
        <w:t xml:space="preserve">67/68 </w:t>
      </w:r>
      <w:r>
        <w:rPr>
          <w:color w:val="231F20"/>
        </w:rPr>
        <w:t xml:space="preserve">is no longer relevant, as it offers them no </w:t>
      </w:r>
      <w:r>
        <w:rPr>
          <w:color w:val="231F20"/>
          <w:spacing w:val="-2"/>
        </w:rPr>
        <w:t xml:space="preserve">way </w:t>
      </w:r>
      <w:r>
        <w:rPr>
          <w:color w:val="231F20"/>
        </w:rPr>
        <w:t xml:space="preserve">of increasing their own privilege. It can be pleasant to know a little Marxism, to have some clarity about    the conditions of the ruling class’ economic domination and their psychological techniques, to shed the self-imposed pressure to perform of  a bourgeois overachiever, to embrace an alienated form of Marxism, acquired by privilege, as an item for </w:t>
      </w:r>
      <w:r>
        <w:rPr>
          <w:color w:val="231F20"/>
          <w:spacing w:val="-3"/>
        </w:rPr>
        <w:t xml:space="preserve">one’s </w:t>
      </w:r>
      <w:r>
        <w:rPr>
          <w:color w:val="231F20"/>
        </w:rPr>
        <w:t>intellectual wellbeing and benefit</w:t>
      </w:r>
      <w:r>
        <w:rPr>
          <w:color w:val="231F20"/>
          <w:spacing w:val="8"/>
        </w:rPr>
        <w:t xml:space="preserve"> </w:t>
      </w:r>
      <w:r>
        <w:rPr>
          <w:color w:val="231F20"/>
        </w:rPr>
        <w:t>and</w:t>
      </w:r>
      <w:r>
        <w:rPr>
          <w:color w:val="231F20"/>
          <w:spacing w:val="8"/>
        </w:rPr>
        <w:t xml:space="preserve"> </w:t>
      </w:r>
      <w:r>
        <w:rPr>
          <w:color w:val="231F20"/>
        </w:rPr>
        <w:t>not</w:t>
      </w:r>
      <w:r>
        <w:rPr>
          <w:color w:val="231F20"/>
          <w:spacing w:val="8"/>
        </w:rPr>
        <w:t xml:space="preserve"> </w:t>
      </w:r>
      <w:r>
        <w:rPr>
          <w:color w:val="231F20"/>
        </w:rPr>
        <w:t>directed</w:t>
      </w:r>
      <w:r>
        <w:rPr>
          <w:color w:val="231F20"/>
          <w:spacing w:val="8"/>
        </w:rPr>
        <w:t xml:space="preserve"> </w:t>
      </w:r>
      <w:r>
        <w:rPr>
          <w:color w:val="231F20"/>
        </w:rPr>
        <w:t>towards</w:t>
      </w:r>
      <w:r>
        <w:rPr>
          <w:color w:val="231F20"/>
          <w:spacing w:val="8"/>
        </w:rPr>
        <w:t xml:space="preserve"> </w:t>
      </w:r>
      <w:r>
        <w:rPr>
          <w:color w:val="231F20"/>
        </w:rPr>
        <w:t>serving</w:t>
      </w:r>
      <w:r>
        <w:rPr>
          <w:color w:val="231F20"/>
          <w:spacing w:val="8"/>
        </w:rPr>
        <w:t xml:space="preserve"> </w:t>
      </w:r>
      <w:r>
        <w:rPr>
          <w:color w:val="231F20"/>
        </w:rPr>
        <w:t>the</w:t>
      </w:r>
      <w:r>
        <w:rPr>
          <w:color w:val="231F20"/>
          <w:spacing w:val="8"/>
        </w:rPr>
        <w:t xml:space="preserve"> </w:t>
      </w:r>
      <w:r>
        <w:rPr>
          <w:color w:val="231F20"/>
        </w:rPr>
        <w:t>people.</w:t>
      </w:r>
    </w:p>
    <w:p w14:paraId="6E3279D2" w14:textId="77777777" w:rsidR="002653E8" w:rsidRDefault="003115E3">
      <w:pPr>
        <w:pStyle w:val="a3"/>
        <w:spacing w:line="264" w:lineRule="auto"/>
        <w:ind w:left="1147" w:right="1326" w:firstLine="210"/>
        <w:jc w:val="both"/>
      </w:pPr>
      <w:r>
        <w:rPr>
          <w:color w:val="231F20"/>
        </w:rPr>
        <w:t xml:space="preserve">A preference for certain actions because they are illegal is an </w:t>
      </w:r>
      <w:r>
        <w:rPr>
          <w:color w:val="231F20"/>
          <w:spacing w:val="-3"/>
        </w:rPr>
        <w:t>ex</w:t>
      </w:r>
      <w:r>
        <w:rPr>
          <w:color w:val="231F20"/>
        </w:rPr>
        <w:t xml:space="preserve">pression of bourgeois self-indulgence. The student movement, given its suppositions, could not be free of blind followers and people with a mercenary mentality. The tedious, long-term drudgery that must first   of all be undertaken to lay the basis for the urban guerilla must seem to these people, who are so falsely programmed, like a scene from a horror </w:t>
      </w:r>
      <w:r>
        <w:rPr>
          <w:color w:val="231F20"/>
          <w:spacing w:val="-4"/>
        </w:rPr>
        <w:t xml:space="preserve">show. </w:t>
      </w:r>
      <w:r>
        <w:rPr>
          <w:color w:val="231F20"/>
        </w:rPr>
        <w:t>Anyone who arrives with criminal fantasies, anyone who only wants to improve their personal situation, will certainly and inevitably improve their situation through</w:t>
      </w:r>
      <w:r>
        <w:rPr>
          <w:color w:val="231F20"/>
          <w:spacing w:val="42"/>
        </w:rPr>
        <w:t xml:space="preserve"> </w:t>
      </w:r>
      <w:r>
        <w:rPr>
          <w:color w:val="231F20"/>
        </w:rPr>
        <w:t>treason.</w:t>
      </w:r>
    </w:p>
    <w:p w14:paraId="217867CD" w14:textId="77777777" w:rsidR="002653E8" w:rsidRDefault="003115E3">
      <w:pPr>
        <w:pStyle w:val="a3"/>
        <w:spacing w:line="264" w:lineRule="auto"/>
        <w:ind w:left="1147" w:right="1326" w:firstLine="210"/>
        <w:jc w:val="both"/>
      </w:pPr>
      <w:r>
        <w:rPr>
          <w:color w:val="231F20"/>
          <w:spacing w:val="-5"/>
        </w:rPr>
        <w:t xml:space="preserve">We </w:t>
      </w:r>
      <w:r>
        <w:rPr>
          <w:color w:val="231F20"/>
        </w:rPr>
        <w:t xml:space="preserve">believed if someone said he had worked in this or that organization for such and such a period of time, then he must know what political work entails, what organization means, or else they would already have tossed him. </w:t>
      </w:r>
      <w:r>
        <w:rPr>
          <w:color w:val="231F20"/>
          <w:spacing w:val="-5"/>
        </w:rPr>
        <w:t xml:space="preserve">We </w:t>
      </w:r>
      <w:r>
        <w:rPr>
          <w:color w:val="231F20"/>
        </w:rPr>
        <w:t>now know that we should ourselves have established the political organization necessary for the urban guerilla, that  we</w:t>
      </w:r>
      <w:r>
        <w:rPr>
          <w:color w:val="231F20"/>
          <w:spacing w:val="8"/>
        </w:rPr>
        <w:t xml:space="preserve"> </w:t>
      </w:r>
      <w:r>
        <w:rPr>
          <w:color w:val="231F20"/>
        </w:rPr>
        <w:t>made</w:t>
      </w:r>
      <w:r>
        <w:rPr>
          <w:color w:val="231F20"/>
          <w:spacing w:val="8"/>
        </w:rPr>
        <w:t xml:space="preserve"> </w:t>
      </w:r>
      <w:r>
        <w:rPr>
          <w:color w:val="231F20"/>
        </w:rPr>
        <w:t>a</w:t>
      </w:r>
      <w:r>
        <w:rPr>
          <w:color w:val="231F20"/>
          <w:spacing w:val="8"/>
        </w:rPr>
        <w:t xml:space="preserve"> </w:t>
      </w:r>
      <w:r>
        <w:rPr>
          <w:color w:val="231F20"/>
        </w:rPr>
        <w:t>mistake</w:t>
      </w:r>
      <w:r>
        <w:rPr>
          <w:color w:val="231F20"/>
          <w:spacing w:val="8"/>
        </w:rPr>
        <w:t xml:space="preserve"> </w:t>
      </w:r>
      <w:r>
        <w:rPr>
          <w:color w:val="231F20"/>
        </w:rPr>
        <w:t>when</w:t>
      </w:r>
      <w:r>
        <w:rPr>
          <w:color w:val="231F20"/>
          <w:spacing w:val="8"/>
        </w:rPr>
        <w:t xml:space="preserve"> </w:t>
      </w:r>
      <w:r>
        <w:rPr>
          <w:color w:val="231F20"/>
        </w:rPr>
        <w:t>we</w:t>
      </w:r>
      <w:r>
        <w:rPr>
          <w:color w:val="231F20"/>
          <w:spacing w:val="8"/>
        </w:rPr>
        <w:t xml:space="preserve"> </w:t>
      </w:r>
      <w:r>
        <w:rPr>
          <w:color w:val="231F20"/>
        </w:rPr>
        <w:t>relied</w:t>
      </w:r>
      <w:r>
        <w:rPr>
          <w:color w:val="231F20"/>
          <w:spacing w:val="8"/>
        </w:rPr>
        <w:t xml:space="preserve"> </w:t>
      </w:r>
      <w:r>
        <w:rPr>
          <w:color w:val="231F20"/>
        </w:rPr>
        <w:t>so</w:t>
      </w:r>
      <w:r>
        <w:rPr>
          <w:color w:val="231F20"/>
          <w:spacing w:val="8"/>
        </w:rPr>
        <w:t xml:space="preserve"> </w:t>
      </w:r>
      <w:r>
        <w:rPr>
          <w:color w:val="231F20"/>
        </w:rPr>
        <w:t>readily</w:t>
      </w:r>
      <w:r>
        <w:rPr>
          <w:color w:val="231F20"/>
          <w:spacing w:val="8"/>
        </w:rPr>
        <w:t xml:space="preserve"> </w:t>
      </w:r>
      <w:r>
        <w:rPr>
          <w:color w:val="231F20"/>
        </w:rPr>
        <w:t>upon</w:t>
      </w:r>
      <w:r>
        <w:rPr>
          <w:color w:val="231F20"/>
          <w:spacing w:val="8"/>
        </w:rPr>
        <w:t xml:space="preserve"> </w:t>
      </w:r>
      <w:r>
        <w:rPr>
          <w:color w:val="231F20"/>
        </w:rPr>
        <w:t>others.</w:t>
      </w:r>
    </w:p>
    <w:p w14:paraId="2332D65A" w14:textId="77777777" w:rsidR="002653E8" w:rsidRDefault="003115E3">
      <w:pPr>
        <w:pStyle w:val="a3"/>
        <w:spacing w:line="264" w:lineRule="auto"/>
        <w:ind w:left="1147" w:right="1325" w:firstLine="210"/>
        <w:jc w:val="both"/>
      </w:pPr>
      <w:r>
        <w:rPr>
          <w:color w:val="231F20"/>
        </w:rPr>
        <w:t xml:space="preserve">Above all, we think that on our own it would have been very difficult for us to have avoided this error and prevented the treason. </w:t>
      </w:r>
      <w:r>
        <w:rPr>
          <w:color w:val="231F20"/>
          <w:spacing w:val="-5"/>
        </w:rPr>
        <w:t xml:space="preserve">We </w:t>
      </w:r>
      <w:r>
        <w:rPr>
          <w:color w:val="231F20"/>
        </w:rPr>
        <w:t>think that</w:t>
      </w:r>
      <w:r>
        <w:rPr>
          <w:color w:val="231F20"/>
          <w:spacing w:val="-5"/>
        </w:rPr>
        <w:t xml:space="preserve"> </w:t>
      </w:r>
      <w:r>
        <w:rPr>
          <w:color w:val="231F20"/>
        </w:rPr>
        <w:t>a</w:t>
      </w:r>
      <w:r>
        <w:rPr>
          <w:color w:val="231F20"/>
          <w:spacing w:val="-5"/>
        </w:rPr>
        <w:t xml:space="preserve"> </w:t>
      </w:r>
      <w:r>
        <w:rPr>
          <w:color w:val="231F20"/>
        </w:rPr>
        <w:t>false</w:t>
      </w:r>
      <w:r>
        <w:rPr>
          <w:color w:val="231F20"/>
          <w:spacing w:val="-5"/>
        </w:rPr>
        <w:t xml:space="preserve"> </w:t>
      </w:r>
      <w:r>
        <w:rPr>
          <w:color w:val="231F20"/>
        </w:rPr>
        <w:t>understanding</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police</w:t>
      </w:r>
      <w:r>
        <w:rPr>
          <w:color w:val="231F20"/>
          <w:spacing w:val="-5"/>
        </w:rPr>
        <w:t xml:space="preserve"> </w:t>
      </w:r>
      <w:r>
        <w:rPr>
          <w:color w:val="231F20"/>
        </w:rPr>
        <w:t>and</w:t>
      </w:r>
      <w:r>
        <w:rPr>
          <w:color w:val="231F20"/>
          <w:spacing w:val="-5"/>
        </w:rPr>
        <w:t xml:space="preserve"> </w:t>
      </w:r>
      <w:r>
        <w:rPr>
          <w:color w:val="231F20"/>
        </w:rPr>
        <w:t>the</w:t>
      </w:r>
      <w:r>
        <w:rPr>
          <w:color w:val="231F20"/>
          <w:spacing w:val="-5"/>
        </w:rPr>
        <w:t xml:space="preserve"> </w:t>
      </w:r>
      <w:r>
        <w:rPr>
          <w:color w:val="231F20"/>
        </w:rPr>
        <w:t>justice</w:t>
      </w:r>
      <w:r>
        <w:rPr>
          <w:color w:val="231F20"/>
          <w:spacing w:val="-5"/>
        </w:rPr>
        <w:t xml:space="preserve"> </w:t>
      </w:r>
      <w:r>
        <w:rPr>
          <w:color w:val="231F20"/>
        </w:rPr>
        <w:t>system,</w:t>
      </w:r>
      <w:r>
        <w:rPr>
          <w:color w:val="231F20"/>
          <w:spacing w:val="-5"/>
        </w:rPr>
        <w:t xml:space="preserve"> </w:t>
      </w:r>
      <w:r>
        <w:rPr>
          <w:color w:val="231F20"/>
        </w:rPr>
        <w:t>a</w:t>
      </w:r>
      <w:r>
        <w:rPr>
          <w:color w:val="231F20"/>
          <w:spacing w:val="-5"/>
        </w:rPr>
        <w:t xml:space="preserve"> </w:t>
      </w:r>
      <w:r>
        <w:rPr>
          <w:color w:val="231F20"/>
        </w:rPr>
        <w:t>false</w:t>
      </w:r>
      <w:r>
        <w:rPr>
          <w:color w:val="231F20"/>
          <w:spacing w:val="-5"/>
        </w:rPr>
        <w:t xml:space="preserve"> </w:t>
      </w:r>
      <w:r>
        <w:rPr>
          <w:color w:val="231F20"/>
        </w:rPr>
        <w:t xml:space="preserve">understanding of what SERVE </w:t>
      </w:r>
      <w:r>
        <w:rPr>
          <w:color w:val="231F20"/>
          <w:spacing w:val="3"/>
        </w:rPr>
        <w:t xml:space="preserve">THE </w:t>
      </w:r>
      <w:r>
        <w:rPr>
          <w:color w:val="231F20"/>
        </w:rPr>
        <w:t>PEOPLE means, and a false approach  to</w:t>
      </w:r>
      <w:r>
        <w:rPr>
          <w:color w:val="231F20"/>
          <w:spacing w:val="11"/>
        </w:rPr>
        <w:t xml:space="preserve"> </w:t>
      </w:r>
      <w:r>
        <w:rPr>
          <w:color w:val="231F20"/>
        </w:rPr>
        <w:t>contradictions</w:t>
      </w:r>
      <w:r>
        <w:rPr>
          <w:color w:val="231F20"/>
          <w:spacing w:val="11"/>
        </w:rPr>
        <w:t xml:space="preserve"> </w:t>
      </w:r>
      <w:r>
        <w:rPr>
          <w:color w:val="231F20"/>
        </w:rPr>
        <w:t>within</w:t>
      </w:r>
      <w:r>
        <w:rPr>
          <w:color w:val="231F20"/>
          <w:spacing w:val="11"/>
        </w:rPr>
        <w:t xml:space="preserve"> </w:t>
      </w:r>
      <w:r>
        <w:rPr>
          <w:color w:val="231F20"/>
        </w:rPr>
        <w:t>the</w:t>
      </w:r>
      <w:r>
        <w:rPr>
          <w:color w:val="231F20"/>
          <w:spacing w:val="11"/>
        </w:rPr>
        <w:t xml:space="preserve"> </w:t>
      </w:r>
      <w:r>
        <w:rPr>
          <w:color w:val="231F20"/>
        </w:rPr>
        <w:t>New</w:t>
      </w:r>
      <w:r>
        <w:rPr>
          <w:color w:val="231F20"/>
          <w:spacing w:val="11"/>
        </w:rPr>
        <w:t xml:space="preserve"> </w:t>
      </w:r>
      <w:r>
        <w:rPr>
          <w:color w:val="231F20"/>
          <w:spacing w:val="1"/>
        </w:rPr>
        <w:t>Left</w:t>
      </w:r>
      <w:r>
        <w:rPr>
          <w:color w:val="231F20"/>
          <w:spacing w:val="11"/>
        </w:rPr>
        <w:t xml:space="preserve"> </w:t>
      </w:r>
      <w:r>
        <w:rPr>
          <w:color w:val="231F20"/>
        </w:rPr>
        <w:t>made</w:t>
      </w:r>
      <w:r>
        <w:rPr>
          <w:color w:val="231F20"/>
          <w:spacing w:val="11"/>
        </w:rPr>
        <w:t xml:space="preserve"> </w:t>
      </w:r>
      <w:r>
        <w:rPr>
          <w:color w:val="231F20"/>
        </w:rPr>
        <w:t>the</w:t>
      </w:r>
      <w:r>
        <w:rPr>
          <w:color w:val="231F20"/>
          <w:spacing w:val="11"/>
        </w:rPr>
        <w:t xml:space="preserve"> </w:t>
      </w:r>
      <w:r>
        <w:rPr>
          <w:color w:val="231F20"/>
        </w:rPr>
        <w:t>treason</w:t>
      </w:r>
      <w:r>
        <w:rPr>
          <w:color w:val="231F20"/>
          <w:spacing w:val="11"/>
        </w:rPr>
        <w:t xml:space="preserve"> </w:t>
      </w:r>
      <w:r>
        <w:rPr>
          <w:color w:val="231F20"/>
        </w:rPr>
        <w:t>inevitable.</w:t>
      </w:r>
    </w:p>
    <w:p w14:paraId="7055FAFB" w14:textId="77777777" w:rsidR="002653E8" w:rsidRDefault="003115E3">
      <w:pPr>
        <w:pStyle w:val="a3"/>
        <w:spacing w:line="264" w:lineRule="auto"/>
        <w:ind w:left="1148" w:right="1325" w:firstLine="210"/>
        <w:jc w:val="both"/>
      </w:pPr>
      <w:r>
        <w:rPr>
          <w:color w:val="231F20"/>
        </w:rPr>
        <w:t xml:space="preserve">As long as traitors still find a place with comrades, not even receiving a single punch in the face, but rather finding understanding as to why they must quickly resume their bourgeois existence and do </w:t>
      </w:r>
      <w:r>
        <w:rPr>
          <w:color w:val="231F20"/>
          <w:spacing w:val="-3"/>
        </w:rPr>
        <w:t xml:space="preserve">away </w:t>
      </w:r>
      <w:r>
        <w:rPr>
          <w:color w:val="231F20"/>
        </w:rPr>
        <w:t>with their other existence—because they can’t tolerate another day in prison, they send others inside for years or deliver them up to the police death squads—as long as political cooperation with the armed power   of capital continues to be tolerated as a political difference of opinion,  as long as something that has long been politically condemned is treated as a private matter, treason will continue to exist. Without criticizing liberalism</w:t>
      </w:r>
      <w:r>
        <w:rPr>
          <w:color w:val="231F20"/>
          <w:spacing w:val="10"/>
        </w:rPr>
        <w:t xml:space="preserve"> </w:t>
      </w:r>
      <w:r>
        <w:rPr>
          <w:color w:val="231F20"/>
        </w:rPr>
        <w:t>within</w:t>
      </w:r>
      <w:r>
        <w:rPr>
          <w:color w:val="231F20"/>
          <w:spacing w:val="10"/>
        </w:rPr>
        <w:t xml:space="preserve"> </w:t>
      </w:r>
      <w:r>
        <w:rPr>
          <w:color w:val="231F20"/>
        </w:rPr>
        <w:t>the</w:t>
      </w:r>
      <w:r>
        <w:rPr>
          <w:color w:val="231F20"/>
          <w:spacing w:val="10"/>
        </w:rPr>
        <w:t xml:space="preserve"> </w:t>
      </w:r>
      <w:r>
        <w:rPr>
          <w:color w:val="231F20"/>
        </w:rPr>
        <w:t>left,</w:t>
      </w:r>
      <w:r>
        <w:rPr>
          <w:color w:val="231F20"/>
          <w:spacing w:val="10"/>
        </w:rPr>
        <w:t xml:space="preserve"> </w:t>
      </w:r>
      <w:r>
        <w:rPr>
          <w:color w:val="231F20"/>
        </w:rPr>
        <w:t>we</w:t>
      </w:r>
      <w:r>
        <w:rPr>
          <w:color w:val="231F20"/>
          <w:spacing w:val="10"/>
        </w:rPr>
        <w:t xml:space="preserve"> </w:t>
      </w:r>
      <w:r>
        <w:rPr>
          <w:color w:val="231F20"/>
        </w:rPr>
        <w:t>cannot</w:t>
      </w:r>
      <w:r>
        <w:rPr>
          <w:color w:val="231F20"/>
          <w:spacing w:val="10"/>
        </w:rPr>
        <w:t xml:space="preserve"> </w:t>
      </w:r>
      <w:r>
        <w:rPr>
          <w:color w:val="231F20"/>
        </w:rPr>
        <w:t>eliminate</w:t>
      </w:r>
      <w:r>
        <w:rPr>
          <w:color w:val="231F20"/>
          <w:spacing w:val="10"/>
        </w:rPr>
        <w:t xml:space="preserve"> </w:t>
      </w:r>
      <w:r>
        <w:rPr>
          <w:color w:val="231F20"/>
        </w:rPr>
        <w:t>treason.</w:t>
      </w:r>
    </w:p>
    <w:p w14:paraId="2D8A698B" w14:textId="77777777" w:rsidR="002653E8" w:rsidRDefault="003115E3">
      <w:pPr>
        <w:pStyle w:val="a3"/>
        <w:spacing w:line="264" w:lineRule="auto"/>
        <w:ind w:left="1148" w:right="1326" w:firstLine="210"/>
        <w:jc w:val="both"/>
      </w:pPr>
      <w:r>
        <w:rPr>
          <w:color w:val="231F20"/>
        </w:rPr>
        <w:t>Traitors must be excluded from the ranks of the revolution. Tolerance in the face of traitors produces more treason. Traitors in the ranks of</w:t>
      </w:r>
    </w:p>
    <w:p w14:paraId="31FFC4CD" w14:textId="77777777" w:rsidR="002653E8" w:rsidRDefault="002653E8">
      <w:pPr>
        <w:spacing w:line="264" w:lineRule="auto"/>
        <w:jc w:val="both"/>
        <w:sectPr w:rsidR="002653E8">
          <w:pgSz w:w="8640" w:h="12960"/>
          <w:pgMar w:top="1060" w:right="0" w:bottom="1040" w:left="0" w:header="0" w:footer="850" w:gutter="0"/>
          <w:cols w:space="720"/>
        </w:sectPr>
      </w:pPr>
    </w:p>
    <w:p w14:paraId="3C2DB501" w14:textId="77777777" w:rsidR="002653E8" w:rsidRDefault="003115E3">
      <w:pPr>
        <w:pStyle w:val="a3"/>
        <w:spacing w:before="86" w:line="264" w:lineRule="auto"/>
        <w:ind w:left="1327" w:right="1146"/>
        <w:jc w:val="both"/>
      </w:pPr>
      <w:r>
        <w:rPr>
          <w:color w:val="231F20"/>
        </w:rPr>
        <w:lastRenderedPageBreak/>
        <w:t xml:space="preserve">the revolution cause more harm than the police can without traitors. </w:t>
      </w:r>
      <w:r>
        <w:rPr>
          <w:color w:val="231F20"/>
          <w:spacing w:val="-5"/>
        </w:rPr>
        <w:t xml:space="preserve">We </w:t>
      </w:r>
      <w:r>
        <w:rPr>
          <w:color w:val="231F20"/>
        </w:rPr>
        <w:t xml:space="preserve">believe that is a general rule. It is impossible to know how much they will betray if they are threatened. Given that they are little pigs, one cannot permit them to be in a situation where they can be blackmailed. Capital will continue to </w:t>
      </w:r>
      <w:r>
        <w:rPr>
          <w:color w:val="231F20"/>
          <w:spacing w:val="1"/>
        </w:rPr>
        <w:t xml:space="preserve">turn </w:t>
      </w:r>
      <w:r>
        <w:rPr>
          <w:color w:val="231F20"/>
        </w:rPr>
        <w:t xml:space="preserve">people into little pigs until we overthrow its rule. </w:t>
      </w:r>
      <w:r>
        <w:rPr>
          <w:color w:val="231F20"/>
          <w:spacing w:val="-5"/>
        </w:rPr>
        <w:t xml:space="preserve">We </w:t>
      </w:r>
      <w:r>
        <w:rPr>
          <w:color w:val="231F20"/>
        </w:rPr>
        <w:t>are not responsible for capital’s</w:t>
      </w:r>
      <w:r>
        <w:rPr>
          <w:color w:val="231F20"/>
          <w:spacing w:val="3"/>
        </w:rPr>
        <w:t xml:space="preserve"> </w:t>
      </w:r>
      <w:r>
        <w:rPr>
          <w:color w:val="231F20"/>
        </w:rPr>
        <w:t>crimes.</w:t>
      </w:r>
    </w:p>
    <w:p w14:paraId="4085BA9C" w14:textId="77777777" w:rsidR="002653E8" w:rsidRDefault="002653E8">
      <w:pPr>
        <w:pStyle w:val="a3"/>
        <w:spacing w:before="4"/>
        <w:rPr>
          <w:sz w:val="21"/>
        </w:rPr>
      </w:pPr>
    </w:p>
    <w:p w14:paraId="6554C4F1" w14:textId="77777777" w:rsidR="002653E8" w:rsidRDefault="003115E3">
      <w:pPr>
        <w:ind w:left="1327"/>
        <w:rPr>
          <w:i/>
          <w:sz w:val="20"/>
        </w:rPr>
      </w:pPr>
      <w:r>
        <w:rPr>
          <w:i/>
          <w:color w:val="231F20"/>
          <w:w w:val="110"/>
          <w:sz w:val="20"/>
        </w:rPr>
        <w:t>On Bank Robberies</w:t>
      </w:r>
    </w:p>
    <w:p w14:paraId="00143C54" w14:textId="77777777" w:rsidR="002653E8" w:rsidRDefault="003115E3">
      <w:pPr>
        <w:pStyle w:val="a3"/>
        <w:spacing w:before="23" w:line="264" w:lineRule="auto"/>
        <w:ind w:left="1328" w:right="1145" w:hanging="1"/>
        <w:jc w:val="both"/>
      </w:pPr>
      <w:r>
        <w:rPr>
          <w:color w:val="231F20"/>
        </w:rPr>
        <w:t>Some people say robbing banks is not political. Since when is the question of financing a political organization not a political question? The urban guerilla in Latin America calls bank robberies “expropriation actions.” Nobody is claiming that robbing banks will be all it takes to change the oppressive social order. For revolutionary organizations, it mainly represents the solution to their financial problems. It makes logical sense, because there is no other solution to the financial problem.    It makes political sense, because it is an expropriation action. It makes tactical sense, because it is a proletarian action. It makes strategic sense, because it finances the</w:t>
      </w:r>
      <w:r>
        <w:rPr>
          <w:color w:val="231F20"/>
          <w:spacing w:val="42"/>
        </w:rPr>
        <w:t xml:space="preserve"> </w:t>
      </w:r>
      <w:r>
        <w:rPr>
          <w:color w:val="231F20"/>
        </w:rPr>
        <w:t>guerilla.</w:t>
      </w:r>
    </w:p>
    <w:p w14:paraId="235B0FC6" w14:textId="77777777" w:rsidR="002653E8" w:rsidRDefault="003115E3">
      <w:pPr>
        <w:pStyle w:val="a3"/>
        <w:spacing w:line="264" w:lineRule="auto"/>
        <w:ind w:left="1328" w:right="1145" w:firstLine="210"/>
        <w:jc w:val="both"/>
      </w:pPr>
      <w:r>
        <w:rPr>
          <w:color w:val="231F20"/>
        </w:rPr>
        <w:t xml:space="preserve">A political concept that bases itself  on  parliamentary  democracy,  the political concept of competitive capitalism, a concept that understands class antagonism to be nothing more than  a  power  struggle, that perceives the institutions of the class state to be institutions of a constitutional state, thereby definitely turning its back on progress and humanity… such a political concept cannot condone bank robbery. </w:t>
      </w:r>
      <w:r>
        <w:rPr>
          <w:color w:val="231F20"/>
          <w:spacing w:val="1"/>
        </w:rPr>
        <w:t xml:space="preserve">In </w:t>
      </w:r>
      <w:r>
        <w:rPr>
          <w:color w:val="231F20"/>
        </w:rPr>
        <w:t>the imperialist metropole, where the organization of the anti-imperialist struggle must have both legal and illegal components, the political struggle and the armed struggle, bank robbery cannot be dispensed with. It is, in practice, expropriation. And it points to the necessary method for establishing the dictatorship of the proletariat against the enemy: armed</w:t>
      </w:r>
      <w:r>
        <w:rPr>
          <w:color w:val="231F20"/>
          <w:spacing w:val="20"/>
        </w:rPr>
        <w:t xml:space="preserve"> </w:t>
      </w:r>
      <w:r>
        <w:rPr>
          <w:color w:val="231F20"/>
        </w:rPr>
        <w:t>struggle.</w:t>
      </w:r>
    </w:p>
    <w:p w14:paraId="7778EDAD" w14:textId="77777777" w:rsidR="002653E8" w:rsidRDefault="002653E8">
      <w:pPr>
        <w:pStyle w:val="a3"/>
        <w:spacing w:before="9"/>
        <w:rPr>
          <w:sz w:val="19"/>
        </w:rPr>
      </w:pPr>
    </w:p>
    <w:p w14:paraId="75431003" w14:textId="77777777" w:rsidR="002653E8" w:rsidRDefault="003115E3">
      <w:pPr>
        <w:ind w:left="1328"/>
        <w:rPr>
          <w:i/>
          <w:sz w:val="20"/>
        </w:rPr>
      </w:pPr>
      <w:r>
        <w:rPr>
          <w:i/>
          <w:color w:val="231F20"/>
          <w:w w:val="110"/>
          <w:sz w:val="20"/>
        </w:rPr>
        <w:t>On Logistics and Continuity</w:t>
      </w:r>
    </w:p>
    <w:p w14:paraId="28CA4132" w14:textId="77777777" w:rsidR="002653E8" w:rsidRDefault="003115E3">
      <w:pPr>
        <w:pStyle w:val="a3"/>
        <w:spacing w:before="24" w:line="264" w:lineRule="auto"/>
        <w:ind w:left="1327" w:right="1146"/>
        <w:jc w:val="both"/>
      </w:pPr>
      <w:r>
        <w:rPr>
          <w:color w:val="231F20"/>
        </w:rPr>
        <w:t>Many comrades are impressed by the Tupamaros’</w:t>
      </w:r>
      <w:r>
        <w:rPr>
          <w:color w:val="231F20"/>
          <w:position w:val="7"/>
          <w:sz w:val="11"/>
        </w:rPr>
        <w:t xml:space="preserve">1 </w:t>
      </w:r>
      <w:r>
        <w:rPr>
          <w:color w:val="231F20"/>
        </w:rPr>
        <w:t>actions. They don’t understand why, instead of carrying out popular actions, we’re preoccupied with logistics. They can’t be bothered with going to the trouble</w:t>
      </w:r>
    </w:p>
    <w:p w14:paraId="7233E99C" w14:textId="77777777" w:rsidR="002653E8" w:rsidRDefault="00000000">
      <w:pPr>
        <w:pStyle w:val="a3"/>
        <w:rPr>
          <w:sz w:val="13"/>
        </w:rPr>
      </w:pPr>
      <w:r>
        <w:rPr>
          <w:noProof w:val="0"/>
        </w:rPr>
        <w:pict w14:anchorId="06594A69">
          <v:line id="_x0000_s2552" style="position:absolute;z-index:4624;mso-wrap-distance-left:0;mso-wrap-distance-right:0;mso-position-horizontal-relative:page" from="66.4pt,9.85pt" to="138.4pt,9.85pt" strokecolor="#231f20" strokeweight=".5pt">
            <w10:wrap type="topAndBottom" anchorx="page"/>
          </v:line>
        </w:pict>
      </w:r>
    </w:p>
    <w:p w14:paraId="4C960CB1" w14:textId="77777777" w:rsidR="002653E8" w:rsidRDefault="003115E3">
      <w:pPr>
        <w:spacing w:before="53" w:line="254" w:lineRule="auto"/>
        <w:ind w:left="1327" w:right="1325"/>
        <w:rPr>
          <w:sz w:val="16"/>
        </w:rPr>
      </w:pPr>
      <w:r>
        <w:rPr>
          <w:color w:val="231F20"/>
          <w:w w:val="105"/>
          <w:sz w:val="16"/>
        </w:rPr>
        <w:t xml:space="preserve">1 Most likely a reference to the </w:t>
      </w:r>
      <w:r>
        <w:rPr>
          <w:i/>
          <w:color w:val="231F20"/>
          <w:w w:val="105"/>
          <w:sz w:val="16"/>
        </w:rPr>
        <w:t xml:space="preserve">West </w:t>
      </w:r>
      <w:r>
        <w:rPr>
          <w:i/>
          <w:color w:val="231F20"/>
          <w:spacing w:val="2"/>
          <w:w w:val="105"/>
          <w:sz w:val="16"/>
        </w:rPr>
        <w:t xml:space="preserve">German </w:t>
      </w:r>
      <w:r>
        <w:rPr>
          <w:color w:val="231F20"/>
          <w:w w:val="105"/>
          <w:sz w:val="16"/>
        </w:rPr>
        <w:t xml:space="preserve">Tupamaros, not to be confused with their South American namesake. These groups had existed in West Berlin and  Munich at the </w:t>
      </w:r>
      <w:r>
        <w:rPr>
          <w:color w:val="231F20"/>
          <w:spacing w:val="1"/>
          <w:w w:val="105"/>
          <w:sz w:val="16"/>
        </w:rPr>
        <w:t xml:space="preserve">beginning </w:t>
      </w:r>
      <w:r>
        <w:rPr>
          <w:color w:val="231F20"/>
          <w:w w:val="105"/>
          <w:sz w:val="16"/>
        </w:rPr>
        <w:t>of the decade, part of the same amorphous scene as the Roaming Hash Rebels. The 2nd of June Movement grew out of this scene, although several members would instead join the</w:t>
      </w:r>
      <w:r>
        <w:rPr>
          <w:color w:val="231F20"/>
          <w:spacing w:val="12"/>
          <w:w w:val="105"/>
          <w:sz w:val="16"/>
        </w:rPr>
        <w:t xml:space="preserve"> </w:t>
      </w:r>
      <w:r w:rsidR="00C507A5">
        <w:rPr>
          <w:color w:val="231F20"/>
          <w:w w:val="105"/>
          <w:sz w:val="16"/>
        </w:rPr>
        <w:t>red army faction</w:t>
      </w:r>
      <w:r>
        <w:rPr>
          <w:color w:val="231F20"/>
          <w:w w:val="105"/>
          <w:sz w:val="16"/>
        </w:rPr>
        <w:t>.</w:t>
      </w:r>
    </w:p>
    <w:p w14:paraId="3371C86E" w14:textId="77777777" w:rsidR="002653E8" w:rsidRDefault="002653E8">
      <w:pPr>
        <w:spacing w:line="254" w:lineRule="auto"/>
        <w:rPr>
          <w:sz w:val="16"/>
        </w:rPr>
        <w:sectPr w:rsidR="002653E8">
          <w:pgSz w:w="8640" w:h="12960"/>
          <w:pgMar w:top="1060" w:right="0" w:bottom="1040" w:left="0" w:header="0" w:footer="850" w:gutter="0"/>
          <w:cols w:space="720"/>
        </w:sectPr>
      </w:pPr>
    </w:p>
    <w:p w14:paraId="2F22ED8B" w14:textId="77777777" w:rsidR="002653E8" w:rsidRDefault="003115E3">
      <w:pPr>
        <w:pStyle w:val="a3"/>
        <w:spacing w:before="86"/>
        <w:ind w:left="1147"/>
      </w:pPr>
      <w:r>
        <w:rPr>
          <w:color w:val="231F20"/>
        </w:rPr>
        <w:lastRenderedPageBreak/>
        <w:t>to consider what the urban guerilla is and how it functions.</w:t>
      </w:r>
    </w:p>
    <w:p w14:paraId="69FFAF35" w14:textId="77777777" w:rsidR="002653E8" w:rsidRDefault="003115E3">
      <w:pPr>
        <w:pStyle w:val="a3"/>
        <w:spacing w:before="23" w:line="264" w:lineRule="auto"/>
        <w:ind w:left="1147" w:right="1325" w:firstLine="210"/>
        <w:jc w:val="both"/>
      </w:pPr>
      <w:r>
        <w:rPr>
          <w:color w:val="231F20"/>
        </w:rPr>
        <w:t xml:space="preserve">It is most likely maliciously intended when comrades recite the position of the Düsseldorf judge in Ruhland’s trial: Ruhland was a handyman and the gang’s mascot. The concept of the capitalist division of labor has proven to be an abstraction for them. </w:t>
      </w:r>
      <w:r>
        <w:rPr>
          <w:color w:val="231F20"/>
          <w:spacing w:val="1"/>
        </w:rPr>
        <w:t xml:space="preserve">In </w:t>
      </w:r>
      <w:r>
        <w:rPr>
          <w:color w:val="231F20"/>
        </w:rPr>
        <w:t xml:space="preserve">practice, they still conceive of proletarian comrades as jack-of-all-trades prefiguring some Silesian idyll. That the technical means can only be developed by </w:t>
      </w:r>
      <w:r>
        <w:rPr>
          <w:color w:val="231F20"/>
          <w:spacing w:val="-3"/>
        </w:rPr>
        <w:t>work</w:t>
      </w:r>
      <w:r>
        <w:rPr>
          <w:color w:val="231F20"/>
        </w:rPr>
        <w:t>ing and learning collectively, that the urban guerilla must abolish the division of labor so that the arrest of one individual is not a disaster    for us all—these comrades’ imagination can’t get that far. Not having  the logistical problems at least partially resolved, not having oneself learned how to resolve logistical problems, not engaging in a collective learning and working process, would mean leaving the outcome of actions</w:t>
      </w:r>
      <w:r>
        <w:rPr>
          <w:color w:val="231F20"/>
          <w:spacing w:val="12"/>
        </w:rPr>
        <w:t xml:space="preserve"> </w:t>
      </w:r>
      <w:r>
        <w:rPr>
          <w:color w:val="231F20"/>
        </w:rPr>
        <w:t>to</w:t>
      </w:r>
      <w:r>
        <w:rPr>
          <w:color w:val="231F20"/>
          <w:spacing w:val="12"/>
        </w:rPr>
        <w:t xml:space="preserve"> </w:t>
      </w:r>
      <w:r>
        <w:rPr>
          <w:color w:val="231F20"/>
        </w:rPr>
        <w:t>chance</w:t>
      </w:r>
      <w:r>
        <w:rPr>
          <w:color w:val="231F20"/>
          <w:spacing w:val="12"/>
        </w:rPr>
        <w:t xml:space="preserve"> </w:t>
      </w:r>
      <w:r>
        <w:rPr>
          <w:color w:val="231F20"/>
        </w:rPr>
        <w:t>technically,</w:t>
      </w:r>
      <w:r>
        <w:rPr>
          <w:color w:val="231F20"/>
          <w:spacing w:val="12"/>
        </w:rPr>
        <w:t xml:space="preserve"> </w:t>
      </w:r>
      <w:r>
        <w:rPr>
          <w:color w:val="231F20"/>
        </w:rPr>
        <w:t>psychologically,</w:t>
      </w:r>
      <w:r>
        <w:rPr>
          <w:color w:val="231F20"/>
          <w:spacing w:val="12"/>
        </w:rPr>
        <w:t xml:space="preserve"> </w:t>
      </w:r>
      <w:r>
        <w:rPr>
          <w:color w:val="231F20"/>
        </w:rPr>
        <w:t>and</w:t>
      </w:r>
      <w:r>
        <w:rPr>
          <w:color w:val="231F20"/>
          <w:spacing w:val="12"/>
        </w:rPr>
        <w:t xml:space="preserve"> </w:t>
      </w:r>
      <w:r>
        <w:rPr>
          <w:color w:val="231F20"/>
        </w:rPr>
        <w:t>politically.</w:t>
      </w:r>
    </w:p>
    <w:p w14:paraId="10F1698F" w14:textId="77777777" w:rsidR="002653E8" w:rsidRDefault="003115E3">
      <w:pPr>
        <w:pStyle w:val="a3"/>
        <w:spacing w:line="220" w:lineRule="exact"/>
        <w:ind w:left="1358"/>
      </w:pPr>
      <w:r>
        <w:rPr>
          <w:color w:val="231F20"/>
        </w:rPr>
        <w:t>Resolving logistical problems assures the ongoing security of a revo-</w:t>
      </w:r>
    </w:p>
    <w:p w14:paraId="186B5C9B" w14:textId="77777777" w:rsidR="002653E8" w:rsidRDefault="003115E3">
      <w:pPr>
        <w:pStyle w:val="a3"/>
        <w:spacing w:before="22" w:line="264" w:lineRule="auto"/>
        <w:ind w:left="1148" w:right="1325"/>
        <w:jc w:val="both"/>
      </w:pPr>
      <w:r>
        <w:rPr>
          <w:color w:val="231F20"/>
        </w:rPr>
        <w:t xml:space="preserve">lutionary organization. </w:t>
      </w:r>
      <w:r>
        <w:rPr>
          <w:color w:val="231F20"/>
          <w:spacing w:val="-5"/>
        </w:rPr>
        <w:t xml:space="preserve">We </w:t>
      </w:r>
      <w:r>
        <w:rPr>
          <w:color w:val="231F20"/>
        </w:rPr>
        <w:t>place great importance in the tactical requirements necessary to secure the continuity of the Red Army Faction. It is in the interest of capital to divide, to destroy, to break down solidarity, to isolate people, and to deny the historical  context—in  the area of production as well as that of housing, of commerce, of opinion making, of education—so as to guarantee ongoing profits. It is in the interest of capital to guarantee that conditions remain the opposite of those necessary for proletarian revolution: unity, continuity, historical consciousness, class consciousness. Without organizational continuity, without guaranteeing the organizational permanence of the revolution</w:t>
      </w:r>
      <w:r>
        <w:rPr>
          <w:color w:val="231F20"/>
          <w:spacing w:val="1"/>
        </w:rPr>
        <w:t xml:space="preserve">ary </w:t>
      </w:r>
      <w:r>
        <w:rPr>
          <w:color w:val="231F20"/>
        </w:rPr>
        <w:t>process, the revolutionary process is left to the anarchy of the system, to chance, to historical</w:t>
      </w:r>
      <w:r>
        <w:rPr>
          <w:color w:val="231F20"/>
          <w:spacing w:val="13"/>
        </w:rPr>
        <w:t xml:space="preserve"> </w:t>
      </w:r>
      <w:r>
        <w:rPr>
          <w:color w:val="231F20"/>
        </w:rPr>
        <w:t>spontaneity.</w:t>
      </w:r>
    </w:p>
    <w:p w14:paraId="69CC6EFD" w14:textId="77777777" w:rsidR="002653E8" w:rsidRDefault="003115E3">
      <w:pPr>
        <w:pStyle w:val="a3"/>
        <w:spacing w:line="221" w:lineRule="exact"/>
        <w:ind w:left="1358"/>
      </w:pPr>
      <w:r>
        <w:rPr>
          <w:color w:val="231F20"/>
        </w:rPr>
        <w:t>We consider disregard for the question of organizational continuity</w:t>
      </w:r>
    </w:p>
    <w:p w14:paraId="62CAC117" w14:textId="77777777" w:rsidR="002653E8" w:rsidRDefault="003115E3">
      <w:pPr>
        <w:pStyle w:val="a3"/>
        <w:spacing w:before="23"/>
        <w:ind w:left="1148"/>
      </w:pPr>
      <w:r>
        <w:rPr>
          <w:color w:val="231F20"/>
        </w:rPr>
        <w:t>to be a manifestation of opportunism.</w:t>
      </w:r>
    </w:p>
    <w:p w14:paraId="175E7FC0" w14:textId="77777777" w:rsidR="002653E8" w:rsidRDefault="002653E8">
      <w:pPr>
        <w:pStyle w:val="a3"/>
        <w:spacing w:before="9"/>
        <w:rPr>
          <w:sz w:val="23"/>
        </w:rPr>
      </w:pPr>
    </w:p>
    <w:p w14:paraId="1F57ADE9" w14:textId="77777777" w:rsidR="002653E8" w:rsidRDefault="003115E3">
      <w:pPr>
        <w:ind w:left="1148"/>
        <w:rPr>
          <w:i/>
          <w:sz w:val="20"/>
        </w:rPr>
      </w:pPr>
      <w:r>
        <w:rPr>
          <w:i/>
          <w:color w:val="231F20"/>
          <w:w w:val="110"/>
          <w:sz w:val="20"/>
        </w:rPr>
        <w:t>On Solidarity</w:t>
      </w:r>
    </w:p>
    <w:p w14:paraId="01B7903A" w14:textId="77777777" w:rsidR="002653E8" w:rsidRDefault="003115E3">
      <w:pPr>
        <w:pStyle w:val="a3"/>
        <w:spacing w:before="22" w:line="264" w:lineRule="auto"/>
        <w:ind w:left="1148" w:right="1325"/>
        <w:jc w:val="both"/>
      </w:pPr>
      <w:r>
        <w:rPr>
          <w:color w:val="231F20"/>
        </w:rPr>
        <w:t>The revolutionary process is revolutionary because it makes objects out of the laws of capitalist commodity production and exchange, rather than being their object. It cannot be measured by market criteria. It can only be measured by criteria that simultaneously destroy the power of market criteria for success.</w:t>
      </w:r>
    </w:p>
    <w:p w14:paraId="7A24A69B" w14:textId="77777777" w:rsidR="002653E8" w:rsidRDefault="003115E3">
      <w:pPr>
        <w:pStyle w:val="a3"/>
        <w:spacing w:line="264" w:lineRule="auto"/>
        <w:ind w:left="1148" w:right="1325" w:firstLine="210"/>
        <w:jc w:val="both"/>
      </w:pPr>
      <w:r>
        <w:rPr>
          <w:color w:val="231F20"/>
        </w:rPr>
        <w:t>Solidarity, insofar as it is not based on market criteria, destroys the power of those criteria. Solidarity is political, not so much because solidarity is based on politics, but because it is a refusal to be subservient  to</w:t>
      </w:r>
      <w:r>
        <w:rPr>
          <w:color w:val="231F20"/>
          <w:spacing w:val="33"/>
        </w:rPr>
        <w:t xml:space="preserve"> </w:t>
      </w:r>
      <w:r>
        <w:rPr>
          <w:color w:val="231F20"/>
        </w:rPr>
        <w:t>the</w:t>
      </w:r>
      <w:r>
        <w:rPr>
          <w:color w:val="231F20"/>
          <w:spacing w:val="33"/>
        </w:rPr>
        <w:t xml:space="preserve"> </w:t>
      </w:r>
      <w:r>
        <w:rPr>
          <w:color w:val="231F20"/>
        </w:rPr>
        <w:t>law</w:t>
      </w:r>
      <w:r>
        <w:rPr>
          <w:color w:val="231F20"/>
          <w:spacing w:val="33"/>
        </w:rPr>
        <w:t xml:space="preserve"> </w:t>
      </w:r>
      <w:r>
        <w:rPr>
          <w:color w:val="231F20"/>
        </w:rPr>
        <w:t>of</w:t>
      </w:r>
      <w:r>
        <w:rPr>
          <w:color w:val="231F20"/>
          <w:spacing w:val="33"/>
        </w:rPr>
        <w:t xml:space="preserve"> </w:t>
      </w:r>
      <w:r>
        <w:rPr>
          <w:color w:val="231F20"/>
        </w:rPr>
        <w:t>value</w:t>
      </w:r>
      <w:r>
        <w:rPr>
          <w:color w:val="231F20"/>
          <w:spacing w:val="33"/>
        </w:rPr>
        <w:t xml:space="preserve"> </w:t>
      </w:r>
      <w:r>
        <w:rPr>
          <w:color w:val="231F20"/>
        </w:rPr>
        <w:t>and</w:t>
      </w:r>
      <w:r>
        <w:rPr>
          <w:color w:val="231F20"/>
          <w:spacing w:val="33"/>
        </w:rPr>
        <w:t xml:space="preserve"> </w:t>
      </w:r>
      <w:r>
        <w:rPr>
          <w:color w:val="231F20"/>
        </w:rPr>
        <w:t>a</w:t>
      </w:r>
      <w:r>
        <w:rPr>
          <w:color w:val="231F20"/>
          <w:spacing w:val="33"/>
        </w:rPr>
        <w:t xml:space="preserve"> </w:t>
      </w:r>
      <w:r>
        <w:rPr>
          <w:color w:val="231F20"/>
        </w:rPr>
        <w:t>refusal</w:t>
      </w:r>
      <w:r>
        <w:rPr>
          <w:color w:val="231F20"/>
          <w:spacing w:val="33"/>
        </w:rPr>
        <w:t xml:space="preserve"> </w:t>
      </w:r>
      <w:r>
        <w:rPr>
          <w:color w:val="231F20"/>
        </w:rPr>
        <w:t>to</w:t>
      </w:r>
      <w:r>
        <w:rPr>
          <w:color w:val="231F20"/>
          <w:spacing w:val="33"/>
        </w:rPr>
        <w:t xml:space="preserve"> </w:t>
      </w:r>
      <w:r>
        <w:rPr>
          <w:color w:val="231F20"/>
        </w:rPr>
        <w:t>be</w:t>
      </w:r>
      <w:r>
        <w:rPr>
          <w:color w:val="231F20"/>
          <w:spacing w:val="33"/>
        </w:rPr>
        <w:t xml:space="preserve"> </w:t>
      </w:r>
      <w:r>
        <w:rPr>
          <w:color w:val="231F20"/>
        </w:rPr>
        <w:t>treated</w:t>
      </w:r>
      <w:r>
        <w:rPr>
          <w:color w:val="231F20"/>
          <w:spacing w:val="33"/>
        </w:rPr>
        <w:t xml:space="preserve"> </w:t>
      </w:r>
      <w:r>
        <w:rPr>
          <w:color w:val="231F20"/>
        </w:rPr>
        <w:t>like</w:t>
      </w:r>
      <w:r>
        <w:rPr>
          <w:color w:val="231F20"/>
          <w:spacing w:val="33"/>
        </w:rPr>
        <w:t xml:space="preserve"> </w:t>
      </w:r>
      <w:r>
        <w:rPr>
          <w:color w:val="231F20"/>
        </w:rPr>
        <w:t>a</w:t>
      </w:r>
      <w:r>
        <w:rPr>
          <w:color w:val="231F20"/>
          <w:spacing w:val="33"/>
        </w:rPr>
        <w:t xml:space="preserve"> </w:t>
      </w:r>
      <w:r>
        <w:rPr>
          <w:color w:val="231F20"/>
        </w:rPr>
        <w:t>mere</w:t>
      </w:r>
      <w:r>
        <w:rPr>
          <w:color w:val="231F20"/>
          <w:spacing w:val="33"/>
        </w:rPr>
        <w:t xml:space="preserve"> </w:t>
      </w:r>
      <w:r>
        <w:rPr>
          <w:color w:val="231F20"/>
        </w:rPr>
        <w:t>aspect</w:t>
      </w:r>
      <w:r>
        <w:rPr>
          <w:color w:val="231F20"/>
          <w:spacing w:val="33"/>
        </w:rPr>
        <w:t xml:space="preserve"> </w:t>
      </w:r>
      <w:r>
        <w:rPr>
          <w:color w:val="231F20"/>
        </w:rPr>
        <w:t>of</w:t>
      </w:r>
    </w:p>
    <w:p w14:paraId="6B188896" w14:textId="77777777" w:rsidR="002653E8" w:rsidRDefault="002653E8">
      <w:pPr>
        <w:spacing w:line="264" w:lineRule="auto"/>
        <w:jc w:val="both"/>
        <w:sectPr w:rsidR="002653E8">
          <w:pgSz w:w="8640" w:h="12960"/>
          <w:pgMar w:top="1060" w:right="0" w:bottom="1040" w:left="0" w:header="0" w:footer="850" w:gutter="0"/>
          <w:cols w:space="720"/>
        </w:sectPr>
      </w:pPr>
    </w:p>
    <w:p w14:paraId="273CD236" w14:textId="77777777" w:rsidR="002653E8" w:rsidRDefault="003115E3">
      <w:pPr>
        <w:pStyle w:val="a3"/>
        <w:spacing w:before="86" w:line="264" w:lineRule="auto"/>
        <w:ind w:left="1327" w:right="1146"/>
        <w:jc w:val="both"/>
      </w:pPr>
      <w:r>
        <w:rPr>
          <w:color w:val="231F20"/>
        </w:rPr>
        <w:lastRenderedPageBreak/>
        <w:t>exchange value. Solidarity is the essence of free action ungoverned by the ruling class; as such it always means resistance against the influence of the ruling class over relationships between people, and as resistance against the ruling class, it is always correct.</w:t>
      </w:r>
    </w:p>
    <w:p w14:paraId="635934DC" w14:textId="77777777" w:rsidR="002653E8" w:rsidRDefault="003115E3">
      <w:pPr>
        <w:pStyle w:val="a3"/>
        <w:spacing w:line="264" w:lineRule="auto"/>
        <w:ind w:left="1327" w:right="1146" w:firstLine="210"/>
        <w:jc w:val="both"/>
      </w:pPr>
      <w:r>
        <w:rPr>
          <w:color w:val="231F20"/>
          <w:spacing w:val="1"/>
        </w:rPr>
        <w:t xml:space="preserve">In </w:t>
      </w:r>
      <w:r>
        <w:rPr>
          <w:color w:val="231F20"/>
        </w:rPr>
        <w:t xml:space="preserve">the view of the system, people whose behavior is not guided by   the system’s criteria for success are lunatics, halfwits, or losers. </w:t>
      </w:r>
      <w:r>
        <w:rPr>
          <w:color w:val="231F20"/>
          <w:spacing w:val="1"/>
        </w:rPr>
        <w:t xml:space="preserve">In </w:t>
      </w:r>
      <w:r>
        <w:rPr>
          <w:color w:val="231F20"/>
        </w:rPr>
        <w:t>the view of the revolution, all those who conduct themselves with solidar</w:t>
      </w:r>
      <w:r>
        <w:rPr>
          <w:color w:val="231F20"/>
          <w:spacing w:val="-3"/>
        </w:rPr>
        <w:t xml:space="preserve">ity, </w:t>
      </w:r>
      <w:r>
        <w:rPr>
          <w:color w:val="231F20"/>
        </w:rPr>
        <w:t>whoever they may be, are</w:t>
      </w:r>
      <w:r>
        <w:rPr>
          <w:color w:val="231F20"/>
          <w:spacing w:val="26"/>
        </w:rPr>
        <w:t xml:space="preserve"> </w:t>
      </w:r>
      <w:r>
        <w:rPr>
          <w:color w:val="231F20"/>
        </w:rPr>
        <w:t>comrades.</w:t>
      </w:r>
    </w:p>
    <w:p w14:paraId="704DD48E" w14:textId="77777777" w:rsidR="002653E8" w:rsidRDefault="003115E3">
      <w:pPr>
        <w:pStyle w:val="a3"/>
        <w:spacing w:line="264" w:lineRule="auto"/>
        <w:ind w:left="1327" w:right="1146" w:firstLine="210"/>
        <w:jc w:val="both"/>
        <w:rPr>
          <w:sz w:val="11"/>
        </w:rPr>
      </w:pPr>
      <w:r>
        <w:rPr>
          <w:color w:val="231F20"/>
        </w:rPr>
        <w:t>Solidarity becomes a weapon if it is organized and is acted upon in a consistent way against the courts, the police, the authorities, the bosses, the infiltrators, and the traitors. They must be denied any cooperation, afforded no attention, denied access to evidence, offered no information, and afforded absolutely no time and energy. Solidarity includes struggling against liberalism within the left and addressing contradictions within the left as one addresses contradictions amongst the people, and not as if they were a class contradiction.</w:t>
      </w:r>
      <w:r>
        <w:rPr>
          <w:color w:val="231F20"/>
          <w:position w:val="7"/>
          <w:sz w:val="11"/>
        </w:rPr>
        <w:t>1</w:t>
      </w:r>
    </w:p>
    <w:p w14:paraId="74E0365B" w14:textId="77777777" w:rsidR="002653E8" w:rsidRDefault="003115E3">
      <w:pPr>
        <w:pStyle w:val="a3"/>
        <w:spacing w:line="264" w:lineRule="auto"/>
        <w:ind w:left="1327" w:right="1147" w:firstLine="210"/>
        <w:jc w:val="both"/>
      </w:pPr>
      <w:r>
        <w:rPr>
          <w:color w:val="231F20"/>
        </w:rPr>
        <w:t>All political work is based on solidarity. Without solidarity, it will crumble in the face of repression.</w:t>
      </w:r>
    </w:p>
    <w:p w14:paraId="58923B1E" w14:textId="77777777" w:rsidR="002653E8" w:rsidRDefault="003115E3">
      <w:pPr>
        <w:pStyle w:val="a3"/>
        <w:spacing w:line="264" w:lineRule="auto"/>
        <w:ind w:left="1327" w:right="1147" w:firstLine="210"/>
        <w:jc w:val="both"/>
      </w:pPr>
      <w:r>
        <w:rPr>
          <w:color w:val="231F20"/>
          <w:spacing w:val="-3"/>
        </w:rPr>
        <w:t xml:space="preserve">“We </w:t>
      </w:r>
      <w:r>
        <w:rPr>
          <w:color w:val="231F20"/>
        </w:rPr>
        <w:t>must prevent the possibility of unnecessary victims. Everybody in the ranks of the revolution must take care of each other, must relate to</w:t>
      </w:r>
      <w:r>
        <w:rPr>
          <w:color w:val="231F20"/>
          <w:spacing w:val="10"/>
        </w:rPr>
        <w:t xml:space="preserve"> </w:t>
      </w:r>
      <w:r>
        <w:rPr>
          <w:color w:val="231F20"/>
        </w:rPr>
        <w:t>each</w:t>
      </w:r>
      <w:r>
        <w:rPr>
          <w:color w:val="231F20"/>
          <w:spacing w:val="10"/>
        </w:rPr>
        <w:t xml:space="preserve"> </w:t>
      </w:r>
      <w:r>
        <w:rPr>
          <w:color w:val="231F20"/>
        </w:rPr>
        <w:t>other</w:t>
      </w:r>
      <w:r>
        <w:rPr>
          <w:color w:val="231F20"/>
          <w:spacing w:val="10"/>
        </w:rPr>
        <w:t xml:space="preserve"> </w:t>
      </w:r>
      <w:r>
        <w:rPr>
          <w:color w:val="231F20"/>
        </w:rPr>
        <w:t>lovingly,</w:t>
      </w:r>
      <w:r>
        <w:rPr>
          <w:color w:val="231F20"/>
          <w:spacing w:val="10"/>
        </w:rPr>
        <w:t xml:space="preserve"> </w:t>
      </w:r>
      <w:r>
        <w:rPr>
          <w:color w:val="231F20"/>
        </w:rPr>
        <w:t>must</w:t>
      </w:r>
      <w:r>
        <w:rPr>
          <w:color w:val="231F20"/>
          <w:spacing w:val="10"/>
        </w:rPr>
        <w:t xml:space="preserve"> </w:t>
      </w:r>
      <w:r>
        <w:rPr>
          <w:color w:val="231F20"/>
        </w:rPr>
        <w:t>help</w:t>
      </w:r>
      <w:r>
        <w:rPr>
          <w:color w:val="231F20"/>
          <w:spacing w:val="10"/>
        </w:rPr>
        <w:t xml:space="preserve"> </w:t>
      </w:r>
      <w:r>
        <w:rPr>
          <w:color w:val="231F20"/>
        </w:rPr>
        <w:t>each</w:t>
      </w:r>
      <w:r>
        <w:rPr>
          <w:color w:val="231F20"/>
          <w:spacing w:val="10"/>
        </w:rPr>
        <w:t xml:space="preserve"> </w:t>
      </w:r>
      <w:r>
        <w:rPr>
          <w:color w:val="231F20"/>
          <w:spacing w:val="-3"/>
        </w:rPr>
        <w:t>other.”</w:t>
      </w:r>
    </w:p>
    <w:p w14:paraId="7CF2C3B0" w14:textId="77777777" w:rsidR="002653E8" w:rsidRDefault="002653E8">
      <w:pPr>
        <w:pStyle w:val="a3"/>
        <w:spacing w:before="5"/>
        <w:rPr>
          <w:sz w:val="11"/>
        </w:rPr>
      </w:pPr>
    </w:p>
    <w:p w14:paraId="084A3652" w14:textId="77777777" w:rsidR="002653E8" w:rsidRDefault="002653E8">
      <w:pPr>
        <w:rPr>
          <w:sz w:val="11"/>
        </w:rPr>
        <w:sectPr w:rsidR="002653E8">
          <w:footerReference w:type="even" r:id="rId133"/>
          <w:footerReference w:type="default" r:id="rId134"/>
          <w:pgSz w:w="8640" w:h="12960"/>
          <w:pgMar w:top="1060" w:right="0" w:bottom="1460" w:left="0" w:header="0" w:footer="1270" w:gutter="0"/>
          <w:cols w:space="720"/>
        </w:sectPr>
      </w:pPr>
    </w:p>
    <w:p w14:paraId="2212932D" w14:textId="77777777" w:rsidR="002653E8" w:rsidRDefault="003115E3">
      <w:pPr>
        <w:pStyle w:val="a3"/>
        <w:spacing w:before="99"/>
        <w:ind w:left="1327"/>
      </w:pPr>
      <w:r>
        <w:rPr>
          <w:color w:val="231F20"/>
          <w:w w:val="110"/>
        </w:rPr>
        <w:t>SERVE THE PEOPLE!</w:t>
      </w:r>
    </w:p>
    <w:p w14:paraId="3DA4DF58" w14:textId="77777777" w:rsidR="002653E8" w:rsidRDefault="003115E3">
      <w:pPr>
        <w:pStyle w:val="a3"/>
        <w:spacing w:before="149" w:line="261" w:lineRule="auto"/>
        <w:ind w:left="1327" w:right="238"/>
      </w:pPr>
      <w:r>
        <w:rPr>
          <w:color w:val="231F20"/>
          <w:w w:val="115"/>
        </w:rPr>
        <w:t>MAKE THE QUESTION OF OWNERSHIP A KEy QUESTION EVERyWHERE!</w:t>
      </w:r>
    </w:p>
    <w:p w14:paraId="7918FD12" w14:textId="77777777" w:rsidR="002653E8" w:rsidRDefault="003115E3">
      <w:pPr>
        <w:pStyle w:val="a3"/>
        <w:spacing w:before="129"/>
        <w:ind w:left="1327"/>
      </w:pPr>
      <w:r>
        <w:rPr>
          <w:color w:val="231F20"/>
          <w:w w:val="115"/>
        </w:rPr>
        <w:t>SUPPORT THE ARMED STRUGGLE!</w:t>
      </w:r>
    </w:p>
    <w:p w14:paraId="4EB18E07" w14:textId="77777777" w:rsidR="002653E8" w:rsidRDefault="003115E3">
      <w:pPr>
        <w:pStyle w:val="a3"/>
        <w:spacing w:before="150" w:line="393" w:lineRule="auto"/>
        <w:ind w:left="1327"/>
      </w:pPr>
      <w:r>
        <w:rPr>
          <w:color w:val="231F20"/>
          <w:w w:val="115"/>
        </w:rPr>
        <w:t>BUILD THE REVOLUTIONARy GUERILLA! VICTORy IN THE PEOPLE’S WAR!</w:t>
      </w:r>
    </w:p>
    <w:p w14:paraId="0CA2915E" w14:textId="77777777" w:rsidR="002653E8" w:rsidRDefault="003115E3">
      <w:pPr>
        <w:pStyle w:val="a3"/>
        <w:rPr>
          <w:sz w:val="22"/>
        </w:rPr>
      </w:pPr>
      <w:r>
        <w:br w:type="column"/>
      </w:r>
    </w:p>
    <w:p w14:paraId="53AF6910" w14:textId="77777777" w:rsidR="002653E8" w:rsidRDefault="002653E8">
      <w:pPr>
        <w:pStyle w:val="a3"/>
        <w:rPr>
          <w:sz w:val="22"/>
        </w:rPr>
      </w:pPr>
    </w:p>
    <w:p w14:paraId="0B5E6135" w14:textId="77777777" w:rsidR="002653E8" w:rsidRDefault="002653E8">
      <w:pPr>
        <w:pStyle w:val="a3"/>
        <w:rPr>
          <w:sz w:val="22"/>
        </w:rPr>
      </w:pPr>
    </w:p>
    <w:p w14:paraId="3EC3F24A" w14:textId="77777777" w:rsidR="002653E8" w:rsidRDefault="002653E8">
      <w:pPr>
        <w:pStyle w:val="a3"/>
        <w:rPr>
          <w:sz w:val="22"/>
        </w:rPr>
      </w:pPr>
    </w:p>
    <w:p w14:paraId="7E32D805" w14:textId="77777777" w:rsidR="002653E8" w:rsidRDefault="002653E8">
      <w:pPr>
        <w:pStyle w:val="a3"/>
        <w:rPr>
          <w:sz w:val="22"/>
        </w:rPr>
      </w:pPr>
    </w:p>
    <w:p w14:paraId="7F964188" w14:textId="77777777" w:rsidR="002653E8" w:rsidRDefault="002653E8">
      <w:pPr>
        <w:pStyle w:val="a3"/>
        <w:rPr>
          <w:sz w:val="22"/>
        </w:rPr>
      </w:pPr>
    </w:p>
    <w:p w14:paraId="425CF937" w14:textId="77777777" w:rsidR="002653E8" w:rsidRDefault="002653E8">
      <w:pPr>
        <w:pStyle w:val="a3"/>
        <w:rPr>
          <w:sz w:val="22"/>
        </w:rPr>
      </w:pPr>
    </w:p>
    <w:p w14:paraId="03D181BC" w14:textId="77777777" w:rsidR="002653E8" w:rsidRDefault="002653E8">
      <w:pPr>
        <w:pStyle w:val="a3"/>
        <w:rPr>
          <w:sz w:val="22"/>
        </w:rPr>
      </w:pPr>
    </w:p>
    <w:p w14:paraId="176AB91B" w14:textId="77777777" w:rsidR="002653E8" w:rsidRDefault="002653E8">
      <w:pPr>
        <w:pStyle w:val="a3"/>
        <w:rPr>
          <w:sz w:val="18"/>
        </w:rPr>
      </w:pPr>
    </w:p>
    <w:p w14:paraId="744BEFF0" w14:textId="77777777" w:rsidR="002653E8" w:rsidRDefault="00C507A5">
      <w:pPr>
        <w:pStyle w:val="a3"/>
        <w:spacing w:before="1"/>
        <w:ind w:left="1497" w:right="1137"/>
        <w:jc w:val="center"/>
      </w:pPr>
      <w:r>
        <w:rPr>
          <w:color w:val="231F20"/>
          <w:w w:val="110"/>
        </w:rPr>
        <w:t>red army faction</w:t>
      </w:r>
    </w:p>
    <w:p w14:paraId="2040ADB2" w14:textId="77777777" w:rsidR="002653E8" w:rsidRDefault="003115E3">
      <w:pPr>
        <w:pStyle w:val="a3"/>
        <w:spacing w:before="21"/>
        <w:ind w:left="981"/>
      </w:pPr>
      <w:r>
        <w:rPr>
          <w:color w:val="231F20"/>
        </w:rPr>
        <w:t>April 1972</w:t>
      </w:r>
    </w:p>
    <w:p w14:paraId="6C544188" w14:textId="77777777" w:rsidR="002653E8" w:rsidRDefault="002653E8">
      <w:pPr>
        <w:sectPr w:rsidR="002653E8">
          <w:type w:val="continuous"/>
          <w:pgSz w:w="8640" w:h="12960"/>
          <w:pgMar w:top="0" w:right="0" w:bottom="0" w:left="0" w:header="720" w:footer="720" w:gutter="0"/>
          <w:cols w:num="2" w:space="720" w:equalWidth="0">
            <w:col w:w="5534" w:space="40"/>
            <w:col w:w="3066"/>
          </w:cols>
        </w:sectPr>
      </w:pPr>
    </w:p>
    <w:p w14:paraId="7762DD43" w14:textId="77777777" w:rsidR="002653E8" w:rsidRDefault="002653E8">
      <w:pPr>
        <w:pStyle w:val="a3"/>
      </w:pPr>
    </w:p>
    <w:p w14:paraId="26CF520C" w14:textId="77777777" w:rsidR="002653E8" w:rsidRDefault="002653E8">
      <w:pPr>
        <w:pStyle w:val="a3"/>
      </w:pPr>
    </w:p>
    <w:p w14:paraId="7A8B4FD3" w14:textId="77777777" w:rsidR="002653E8" w:rsidRDefault="002653E8">
      <w:pPr>
        <w:pStyle w:val="a3"/>
      </w:pPr>
    </w:p>
    <w:p w14:paraId="4D825E11" w14:textId="77777777" w:rsidR="002653E8" w:rsidRDefault="002653E8">
      <w:pPr>
        <w:pStyle w:val="a3"/>
        <w:rPr>
          <w:sz w:val="22"/>
        </w:rPr>
      </w:pPr>
    </w:p>
    <w:p w14:paraId="1D5F9B4D" w14:textId="77777777" w:rsidR="002653E8" w:rsidRDefault="003115E3">
      <w:pPr>
        <w:spacing w:line="254" w:lineRule="auto"/>
        <w:ind w:left="1327" w:right="1186" w:hanging="1"/>
        <w:rPr>
          <w:sz w:val="16"/>
        </w:rPr>
      </w:pPr>
      <w:r>
        <w:rPr>
          <w:color w:val="231F20"/>
          <w:w w:val="105"/>
          <w:sz w:val="16"/>
        </w:rPr>
        <w:lastRenderedPageBreak/>
        <w:t xml:space="preserve">1 </w:t>
      </w:r>
      <w:r>
        <w:rPr>
          <w:color w:val="231F20"/>
          <w:spacing w:val="1"/>
          <w:w w:val="105"/>
          <w:sz w:val="16"/>
        </w:rPr>
        <w:t xml:space="preserve">In </w:t>
      </w:r>
      <w:r>
        <w:rPr>
          <w:color w:val="231F20"/>
          <w:w w:val="105"/>
          <w:sz w:val="16"/>
        </w:rPr>
        <w:t xml:space="preserve">his  </w:t>
      </w:r>
      <w:r>
        <w:rPr>
          <w:color w:val="231F20"/>
          <w:spacing w:val="-4"/>
          <w:w w:val="105"/>
          <w:sz w:val="16"/>
        </w:rPr>
        <w:t xml:space="preserve">1957  </w:t>
      </w:r>
      <w:r>
        <w:rPr>
          <w:color w:val="231F20"/>
          <w:w w:val="105"/>
          <w:sz w:val="16"/>
        </w:rPr>
        <w:t>“On  the  Correct  Handling  of  Contradictions  Among  the  People,” Mao differentiated between two kinds of conflict or contradiction—“those between ourselves</w:t>
      </w:r>
      <w:r>
        <w:rPr>
          <w:color w:val="231F20"/>
          <w:spacing w:val="5"/>
          <w:w w:val="105"/>
          <w:sz w:val="16"/>
        </w:rPr>
        <w:t xml:space="preserve"> </w:t>
      </w:r>
      <w:r>
        <w:rPr>
          <w:color w:val="231F20"/>
          <w:w w:val="105"/>
          <w:sz w:val="16"/>
        </w:rPr>
        <w:t>and</w:t>
      </w:r>
      <w:r>
        <w:rPr>
          <w:color w:val="231F20"/>
          <w:spacing w:val="5"/>
          <w:w w:val="105"/>
          <w:sz w:val="16"/>
        </w:rPr>
        <w:t xml:space="preserve"> </w:t>
      </w:r>
      <w:r>
        <w:rPr>
          <w:color w:val="231F20"/>
          <w:w w:val="105"/>
          <w:sz w:val="16"/>
        </w:rPr>
        <w:t>the</w:t>
      </w:r>
      <w:r>
        <w:rPr>
          <w:color w:val="231F20"/>
          <w:spacing w:val="5"/>
          <w:w w:val="105"/>
          <w:sz w:val="16"/>
        </w:rPr>
        <w:t xml:space="preserve"> </w:t>
      </w:r>
      <w:r>
        <w:rPr>
          <w:color w:val="231F20"/>
          <w:w w:val="105"/>
          <w:sz w:val="16"/>
        </w:rPr>
        <w:t>enemy</w:t>
      </w:r>
      <w:r>
        <w:rPr>
          <w:color w:val="231F20"/>
          <w:spacing w:val="5"/>
          <w:w w:val="105"/>
          <w:sz w:val="16"/>
        </w:rPr>
        <w:t xml:space="preserve"> </w:t>
      </w:r>
      <w:r>
        <w:rPr>
          <w:color w:val="231F20"/>
          <w:w w:val="105"/>
          <w:sz w:val="16"/>
        </w:rPr>
        <w:t>and</w:t>
      </w:r>
      <w:r>
        <w:rPr>
          <w:color w:val="231F20"/>
          <w:spacing w:val="5"/>
          <w:w w:val="105"/>
          <w:sz w:val="16"/>
        </w:rPr>
        <w:t xml:space="preserve"> </w:t>
      </w:r>
      <w:r>
        <w:rPr>
          <w:color w:val="231F20"/>
          <w:w w:val="105"/>
          <w:sz w:val="16"/>
        </w:rPr>
        <w:t>those</w:t>
      </w:r>
      <w:r>
        <w:rPr>
          <w:color w:val="231F20"/>
          <w:spacing w:val="5"/>
          <w:w w:val="105"/>
          <w:sz w:val="16"/>
        </w:rPr>
        <w:t xml:space="preserve"> </w:t>
      </w:r>
      <w:r>
        <w:rPr>
          <w:color w:val="231F20"/>
          <w:w w:val="105"/>
          <w:sz w:val="16"/>
        </w:rPr>
        <w:t>among</w:t>
      </w:r>
      <w:r>
        <w:rPr>
          <w:color w:val="231F20"/>
          <w:spacing w:val="5"/>
          <w:w w:val="105"/>
          <w:sz w:val="16"/>
        </w:rPr>
        <w:t xml:space="preserve"> </w:t>
      </w:r>
      <w:r>
        <w:rPr>
          <w:color w:val="231F20"/>
          <w:w w:val="105"/>
          <w:sz w:val="16"/>
        </w:rPr>
        <w:t>the</w:t>
      </w:r>
      <w:r>
        <w:rPr>
          <w:color w:val="231F20"/>
          <w:spacing w:val="5"/>
          <w:w w:val="105"/>
          <w:sz w:val="16"/>
        </w:rPr>
        <w:t xml:space="preserve"> </w:t>
      </w:r>
      <w:r>
        <w:rPr>
          <w:color w:val="231F20"/>
          <w:w w:val="105"/>
          <w:sz w:val="16"/>
        </w:rPr>
        <w:t>people.”</w:t>
      </w:r>
      <w:r>
        <w:rPr>
          <w:color w:val="231F20"/>
          <w:spacing w:val="5"/>
          <w:w w:val="105"/>
          <w:sz w:val="16"/>
        </w:rPr>
        <w:t xml:space="preserve"> </w:t>
      </w:r>
      <w:r>
        <w:rPr>
          <w:color w:val="231F20"/>
          <w:spacing w:val="1"/>
          <w:w w:val="105"/>
          <w:sz w:val="16"/>
        </w:rPr>
        <w:t>While</w:t>
      </w:r>
      <w:r>
        <w:rPr>
          <w:color w:val="231F20"/>
          <w:spacing w:val="5"/>
          <w:w w:val="105"/>
          <w:sz w:val="16"/>
        </w:rPr>
        <w:t xml:space="preserve"> </w:t>
      </w:r>
      <w:r>
        <w:rPr>
          <w:color w:val="231F20"/>
          <w:w w:val="105"/>
          <w:sz w:val="16"/>
        </w:rPr>
        <w:t>the</w:t>
      </w:r>
      <w:r>
        <w:rPr>
          <w:color w:val="231F20"/>
          <w:spacing w:val="5"/>
          <w:w w:val="105"/>
          <w:sz w:val="16"/>
        </w:rPr>
        <w:t xml:space="preserve"> </w:t>
      </w:r>
      <w:r>
        <w:rPr>
          <w:color w:val="231F20"/>
          <w:w w:val="105"/>
          <w:sz w:val="16"/>
        </w:rPr>
        <w:t>former</w:t>
      </w:r>
      <w:r>
        <w:rPr>
          <w:color w:val="231F20"/>
          <w:spacing w:val="5"/>
          <w:w w:val="105"/>
          <w:sz w:val="16"/>
        </w:rPr>
        <w:t xml:space="preserve"> </w:t>
      </w:r>
      <w:r>
        <w:rPr>
          <w:color w:val="231F20"/>
          <w:w w:val="105"/>
          <w:sz w:val="16"/>
        </w:rPr>
        <w:t>should</w:t>
      </w:r>
    </w:p>
    <w:p w14:paraId="77D5ACBD" w14:textId="77777777" w:rsidR="002653E8" w:rsidRDefault="003115E3">
      <w:pPr>
        <w:spacing w:before="1" w:line="254" w:lineRule="auto"/>
        <w:ind w:left="1327" w:right="1145"/>
        <w:rPr>
          <w:sz w:val="16"/>
        </w:rPr>
      </w:pPr>
      <w:r>
        <w:rPr>
          <w:color w:val="231F20"/>
          <w:w w:val="105"/>
          <w:sz w:val="16"/>
        </w:rPr>
        <w:t>be dealt with by attacking the class enemy, the latter should be dealt with through criticism with the goal of bringing about unity.</w:t>
      </w:r>
    </w:p>
    <w:p w14:paraId="5B50D1B5" w14:textId="77777777" w:rsidR="002653E8" w:rsidRDefault="002653E8">
      <w:pPr>
        <w:spacing w:line="254" w:lineRule="auto"/>
        <w:rPr>
          <w:sz w:val="16"/>
        </w:rPr>
        <w:sectPr w:rsidR="002653E8">
          <w:type w:val="continuous"/>
          <w:pgSz w:w="8640" w:h="12960"/>
          <w:pgMar w:top="0" w:right="0" w:bottom="0" w:left="0" w:header="720" w:footer="720" w:gutter="0"/>
          <w:cols w:space="720"/>
        </w:sectPr>
      </w:pPr>
    </w:p>
    <w:p w14:paraId="468A011E" w14:textId="77777777" w:rsidR="002653E8" w:rsidRDefault="00000000">
      <w:pPr>
        <w:pStyle w:val="a3"/>
      </w:pPr>
      <w:r>
        <w:rPr>
          <w:noProof w:val="0"/>
        </w:rPr>
        <w:lastRenderedPageBreak/>
        <w:pict w14:anchorId="2A885D3C">
          <v:group id="_x0000_s2544" style="position:absolute;margin-left:57.4pt;margin-top:54pt;width:308.25pt;height:514.6pt;z-index:-460000;mso-position-horizontal-relative:page;mso-position-vertical-relative:page" coordorigin="1148,1080" coordsize="6165,10292">
            <v:rect id="_x0000_s2551" style="position:absolute;left:1147;top:1080;width:6165;height:10292" fillcolor="#e6e7e8" stroked="f"/>
            <v:line id="_x0000_s2550" style="position:absolute" from="1343,10699" to="2783,10699" strokecolor="#231f20" strokeweight=".5pt"/>
            <v:line id="_x0000_s2549" style="position:absolute" from="1155,1140" to="1155,11327" strokecolor="#231f20">
              <v:stroke dashstyle="3 1"/>
            </v:line>
            <v:line id="_x0000_s2548" style="position:absolute" from="1208,11364" to="7267,11364" strokecolor="#231f20">
              <v:stroke dashstyle="3 1"/>
            </v:line>
            <v:line id="_x0000_s2547" style="position:absolute" from="7305,11312" to="7305,1125" strokecolor="#231f20">
              <v:stroke dashstyle="3 1"/>
            </v:line>
            <v:line id="_x0000_s2546" style="position:absolute" from="7252,1088" to="1193,1088" strokecolor="#231f20">
              <v:stroke dashstyle="3 1"/>
            </v:line>
            <v:shape id="_x0000_s2545" style="position:absolute;top:2705;width:6150;height:10277" coordorigin=",2706" coordsize="6150,10277" o:spt="100" adj="0,,0" path="m1155,11342r,22l1178,11364t6104,l7305,11364r,-22m7305,1110r,-22l7282,1088t-6104,l1155,1088r,22e" filled="f" strokecolor="#231f20">
              <v:stroke joinstyle="round"/>
              <v:formulas/>
              <v:path arrowok="t" o:connecttype="segments"/>
            </v:shape>
            <w10:wrap anchorx="page" anchory="page"/>
          </v:group>
        </w:pict>
      </w:r>
    </w:p>
    <w:p w14:paraId="3759B91C" w14:textId="77777777" w:rsidR="002653E8" w:rsidRDefault="003115E3">
      <w:pPr>
        <w:spacing w:before="273"/>
        <w:ind w:left="4167"/>
        <w:rPr>
          <w:rFonts w:ascii="Arial"/>
          <w:i/>
          <w:sz w:val="28"/>
        </w:rPr>
      </w:pPr>
      <w:bookmarkStart w:id="61" w:name="on_the_treatment_of_traitors_160"/>
      <w:bookmarkStart w:id="62" w:name="_bookmark19"/>
      <w:bookmarkEnd w:id="61"/>
      <w:bookmarkEnd w:id="62"/>
      <w:r>
        <w:rPr>
          <w:rFonts w:ascii="Arial"/>
          <w:i/>
          <w:color w:val="231F20"/>
          <w:sz w:val="28"/>
        </w:rPr>
        <w:t>a note from the</w:t>
      </w:r>
      <w:r>
        <w:rPr>
          <w:rFonts w:ascii="Arial"/>
          <w:i/>
          <w:color w:val="231F20"/>
          <w:spacing w:val="68"/>
          <w:sz w:val="28"/>
        </w:rPr>
        <w:t xml:space="preserve"> </w:t>
      </w:r>
      <w:r>
        <w:rPr>
          <w:rFonts w:ascii="Arial"/>
          <w:i/>
          <w:color w:val="231F20"/>
          <w:sz w:val="28"/>
        </w:rPr>
        <w:t>editors:</w:t>
      </w:r>
    </w:p>
    <w:p w14:paraId="081F3F84" w14:textId="77777777" w:rsidR="002653E8" w:rsidRDefault="003115E3">
      <w:pPr>
        <w:pStyle w:val="2"/>
        <w:spacing w:before="35"/>
      </w:pPr>
      <w:r>
        <w:rPr>
          <w:color w:val="231F20"/>
          <w:w w:val="105"/>
        </w:rPr>
        <w:t>On the Treatment of Traitors</w:t>
      </w:r>
    </w:p>
    <w:p w14:paraId="31D46459" w14:textId="77777777" w:rsidR="002653E8" w:rsidRDefault="003115E3">
      <w:pPr>
        <w:pStyle w:val="a3"/>
        <w:spacing w:before="329" w:line="264" w:lineRule="auto"/>
        <w:ind w:left="1342" w:right="1520"/>
        <w:jc w:val="both"/>
        <w:rPr>
          <w:sz w:val="11"/>
        </w:rPr>
      </w:pPr>
      <w:r>
        <w:rPr>
          <w:color w:val="231F20"/>
        </w:rPr>
        <w:t xml:space="preserve">There have been insinuations, always vague on details or proof, that the </w:t>
      </w:r>
      <w:r w:rsidR="00C507A5">
        <w:rPr>
          <w:color w:val="231F20"/>
          <w:spacing w:val="5"/>
        </w:rPr>
        <w:t>red army faction</w:t>
      </w:r>
      <w:r>
        <w:rPr>
          <w:color w:val="231F20"/>
          <w:spacing w:val="5"/>
        </w:rPr>
        <w:t xml:space="preserve"> </w:t>
      </w:r>
      <w:r>
        <w:rPr>
          <w:color w:val="231F20"/>
        </w:rPr>
        <w:t xml:space="preserve">was an intensely authoritarian organization, particularly in regards to people not being allowed to leave. Claims have been made that Baader murdered Ingeborg </w:t>
      </w:r>
      <w:r>
        <w:rPr>
          <w:color w:val="231F20"/>
          <w:spacing w:val="1"/>
        </w:rPr>
        <w:t xml:space="preserve">Barz, </w:t>
      </w:r>
      <w:r>
        <w:rPr>
          <w:color w:val="231F20"/>
        </w:rPr>
        <w:t xml:space="preserve">a young woman who had joined the </w:t>
      </w:r>
      <w:r w:rsidR="00C507A5">
        <w:rPr>
          <w:color w:val="231F20"/>
          <w:spacing w:val="5"/>
        </w:rPr>
        <w:t>red army faction</w:t>
      </w:r>
      <w:r>
        <w:rPr>
          <w:color w:val="231F20"/>
          <w:spacing w:val="5"/>
        </w:rPr>
        <w:t xml:space="preserve"> </w:t>
      </w:r>
      <w:r>
        <w:rPr>
          <w:color w:val="231F20"/>
        </w:rPr>
        <w:t>from the anarchist Black Aid, simply because she wanted to quit the underground. These claims have been contradicted by other</w:t>
      </w:r>
      <w:r>
        <w:rPr>
          <w:color w:val="231F20"/>
          <w:spacing w:val="30"/>
        </w:rPr>
        <w:t xml:space="preserve"> </w:t>
      </w:r>
      <w:r>
        <w:rPr>
          <w:color w:val="231F20"/>
        </w:rPr>
        <w:t>witnesses.</w:t>
      </w:r>
      <w:r>
        <w:rPr>
          <w:color w:val="231F20"/>
          <w:position w:val="7"/>
          <w:sz w:val="11"/>
        </w:rPr>
        <w:t>1</w:t>
      </w:r>
    </w:p>
    <w:p w14:paraId="3C1A896B" w14:textId="77777777" w:rsidR="002653E8" w:rsidRDefault="003115E3">
      <w:pPr>
        <w:pStyle w:val="a3"/>
        <w:spacing w:line="264" w:lineRule="auto"/>
        <w:ind w:left="1343" w:right="1512" w:firstLine="209"/>
        <w:jc w:val="both"/>
      </w:pPr>
      <w:r>
        <w:rPr>
          <w:color w:val="231F20"/>
        </w:rPr>
        <w:t xml:space="preserve">Some have pointed to </w:t>
      </w:r>
      <w:r>
        <w:rPr>
          <w:i/>
          <w:color w:val="231F20"/>
        </w:rPr>
        <w:t xml:space="preserve">Serve the People </w:t>
      </w:r>
      <w:r>
        <w:rPr>
          <w:color w:val="231F20"/>
        </w:rPr>
        <w:t xml:space="preserve">as evidence that the </w:t>
      </w:r>
      <w:r w:rsidR="00C507A5">
        <w:rPr>
          <w:color w:val="231F20"/>
        </w:rPr>
        <w:t>red army faction</w:t>
      </w:r>
      <w:r>
        <w:rPr>
          <w:color w:val="231F20"/>
        </w:rPr>
        <w:t xml:space="preserve"> endorsed the assassination of drop-outs, one passage in particular being mentioned in this regard:</w:t>
      </w:r>
    </w:p>
    <w:p w14:paraId="6116949A" w14:textId="77777777" w:rsidR="002653E8" w:rsidRDefault="003115E3">
      <w:pPr>
        <w:spacing w:before="118" w:line="276" w:lineRule="auto"/>
        <w:ind w:left="1762" w:right="1933"/>
        <w:jc w:val="both"/>
        <w:rPr>
          <w:i/>
          <w:sz w:val="11"/>
        </w:rPr>
      </w:pPr>
      <w:r>
        <w:rPr>
          <w:i/>
          <w:color w:val="231F20"/>
          <w:spacing w:val="-3"/>
          <w:w w:val="105"/>
          <w:sz w:val="19"/>
        </w:rPr>
        <w:t xml:space="preserve">Traitors </w:t>
      </w:r>
      <w:r>
        <w:rPr>
          <w:i/>
          <w:color w:val="231F20"/>
          <w:w w:val="105"/>
          <w:sz w:val="19"/>
        </w:rPr>
        <w:t xml:space="preserve">must be excluded from the ranks of the revolution. </w:t>
      </w:r>
      <w:r>
        <w:rPr>
          <w:i/>
          <w:color w:val="231F20"/>
          <w:spacing w:val="-3"/>
          <w:w w:val="105"/>
          <w:sz w:val="19"/>
        </w:rPr>
        <w:t xml:space="preserve">Tolerance </w:t>
      </w:r>
      <w:r>
        <w:rPr>
          <w:i/>
          <w:color w:val="231F20"/>
          <w:w w:val="105"/>
          <w:sz w:val="19"/>
        </w:rPr>
        <w:t xml:space="preserve">in the face of traitors produces more treason. </w:t>
      </w:r>
      <w:r>
        <w:rPr>
          <w:i/>
          <w:color w:val="231F20"/>
          <w:spacing w:val="-3"/>
          <w:w w:val="105"/>
          <w:sz w:val="19"/>
        </w:rPr>
        <w:t>Traitors</w:t>
      </w:r>
      <w:r>
        <w:rPr>
          <w:i/>
          <w:color w:val="231F20"/>
          <w:spacing w:val="-8"/>
          <w:w w:val="105"/>
          <w:sz w:val="19"/>
        </w:rPr>
        <w:t xml:space="preserve"> </w:t>
      </w:r>
      <w:r>
        <w:rPr>
          <w:i/>
          <w:color w:val="231F20"/>
          <w:w w:val="105"/>
          <w:sz w:val="19"/>
        </w:rPr>
        <w:t>in</w:t>
      </w:r>
      <w:r>
        <w:rPr>
          <w:i/>
          <w:color w:val="231F20"/>
          <w:spacing w:val="-8"/>
          <w:w w:val="105"/>
          <w:sz w:val="19"/>
        </w:rPr>
        <w:t xml:space="preserve"> </w:t>
      </w:r>
      <w:r>
        <w:rPr>
          <w:i/>
          <w:color w:val="231F20"/>
          <w:w w:val="105"/>
          <w:sz w:val="19"/>
        </w:rPr>
        <w:t>the</w:t>
      </w:r>
      <w:r>
        <w:rPr>
          <w:i/>
          <w:color w:val="231F20"/>
          <w:spacing w:val="-8"/>
          <w:w w:val="105"/>
          <w:sz w:val="19"/>
        </w:rPr>
        <w:t xml:space="preserve"> </w:t>
      </w:r>
      <w:r>
        <w:rPr>
          <w:i/>
          <w:color w:val="231F20"/>
          <w:w w:val="105"/>
          <w:sz w:val="19"/>
        </w:rPr>
        <w:t>ranks</w:t>
      </w:r>
      <w:r>
        <w:rPr>
          <w:i/>
          <w:color w:val="231F20"/>
          <w:spacing w:val="-8"/>
          <w:w w:val="105"/>
          <w:sz w:val="19"/>
        </w:rPr>
        <w:t xml:space="preserve"> </w:t>
      </w:r>
      <w:r>
        <w:rPr>
          <w:i/>
          <w:color w:val="231F20"/>
          <w:w w:val="105"/>
          <w:sz w:val="19"/>
        </w:rPr>
        <w:t>of</w:t>
      </w:r>
      <w:r>
        <w:rPr>
          <w:i/>
          <w:color w:val="231F20"/>
          <w:spacing w:val="-8"/>
          <w:w w:val="105"/>
          <w:sz w:val="19"/>
        </w:rPr>
        <w:t xml:space="preserve"> </w:t>
      </w:r>
      <w:r>
        <w:rPr>
          <w:i/>
          <w:color w:val="231F20"/>
          <w:w w:val="105"/>
          <w:sz w:val="19"/>
        </w:rPr>
        <w:t>the</w:t>
      </w:r>
      <w:r>
        <w:rPr>
          <w:i/>
          <w:color w:val="231F20"/>
          <w:spacing w:val="-8"/>
          <w:w w:val="105"/>
          <w:sz w:val="19"/>
        </w:rPr>
        <w:t xml:space="preserve"> </w:t>
      </w:r>
      <w:r>
        <w:rPr>
          <w:i/>
          <w:color w:val="231F20"/>
          <w:w w:val="105"/>
          <w:sz w:val="19"/>
        </w:rPr>
        <w:t>revolution</w:t>
      </w:r>
      <w:r>
        <w:rPr>
          <w:i/>
          <w:color w:val="231F20"/>
          <w:spacing w:val="-8"/>
          <w:w w:val="105"/>
          <w:sz w:val="19"/>
        </w:rPr>
        <w:t xml:space="preserve"> </w:t>
      </w:r>
      <w:r>
        <w:rPr>
          <w:i/>
          <w:color w:val="231F20"/>
          <w:w w:val="105"/>
          <w:sz w:val="19"/>
        </w:rPr>
        <w:t>cause</w:t>
      </w:r>
      <w:r>
        <w:rPr>
          <w:i/>
          <w:color w:val="231F20"/>
          <w:spacing w:val="-8"/>
          <w:w w:val="105"/>
          <w:sz w:val="19"/>
        </w:rPr>
        <w:t xml:space="preserve"> </w:t>
      </w:r>
      <w:r>
        <w:rPr>
          <w:i/>
          <w:color w:val="231F20"/>
          <w:w w:val="105"/>
          <w:sz w:val="19"/>
        </w:rPr>
        <w:t>more</w:t>
      </w:r>
      <w:r>
        <w:rPr>
          <w:i/>
          <w:color w:val="231F20"/>
          <w:spacing w:val="-8"/>
          <w:w w:val="105"/>
          <w:sz w:val="19"/>
        </w:rPr>
        <w:t xml:space="preserve"> </w:t>
      </w:r>
      <w:r>
        <w:rPr>
          <w:i/>
          <w:color w:val="231F20"/>
          <w:w w:val="105"/>
          <w:sz w:val="19"/>
        </w:rPr>
        <w:t>harm</w:t>
      </w:r>
      <w:r>
        <w:rPr>
          <w:i/>
          <w:color w:val="231F20"/>
          <w:spacing w:val="-8"/>
          <w:w w:val="105"/>
          <w:sz w:val="19"/>
        </w:rPr>
        <w:t xml:space="preserve"> </w:t>
      </w:r>
      <w:r>
        <w:rPr>
          <w:i/>
          <w:color w:val="231F20"/>
          <w:w w:val="105"/>
          <w:sz w:val="19"/>
        </w:rPr>
        <w:t xml:space="preserve">than the police can without traitors. </w:t>
      </w:r>
      <w:r>
        <w:rPr>
          <w:i/>
          <w:color w:val="231F20"/>
          <w:spacing w:val="-6"/>
          <w:w w:val="105"/>
          <w:sz w:val="19"/>
        </w:rPr>
        <w:t xml:space="preserve">We </w:t>
      </w:r>
      <w:r>
        <w:rPr>
          <w:i/>
          <w:color w:val="231F20"/>
          <w:w w:val="105"/>
          <w:sz w:val="19"/>
        </w:rPr>
        <w:t xml:space="preserve">believe that is a general rule. It is impossible to know how much they will </w:t>
      </w:r>
      <w:r>
        <w:rPr>
          <w:i/>
          <w:color w:val="231F20"/>
          <w:spacing w:val="-3"/>
          <w:w w:val="105"/>
          <w:sz w:val="19"/>
        </w:rPr>
        <w:t xml:space="preserve">betray       </w:t>
      </w:r>
      <w:r>
        <w:rPr>
          <w:i/>
          <w:color w:val="231F20"/>
          <w:w w:val="105"/>
          <w:sz w:val="19"/>
        </w:rPr>
        <w:t xml:space="preserve">if they are threatened. Given that they are little pigs, one cannot permit them to be in a situation where they can be blackmailed. Capital will continue to turn people into little pigs until we overthrow its rule. </w:t>
      </w:r>
      <w:r>
        <w:rPr>
          <w:i/>
          <w:color w:val="231F20"/>
          <w:spacing w:val="-6"/>
          <w:w w:val="105"/>
          <w:sz w:val="19"/>
        </w:rPr>
        <w:t xml:space="preserve">We </w:t>
      </w:r>
      <w:r>
        <w:rPr>
          <w:i/>
          <w:color w:val="231F20"/>
          <w:w w:val="105"/>
          <w:sz w:val="19"/>
        </w:rPr>
        <w:t>are not responsible for capital’s</w:t>
      </w:r>
      <w:r>
        <w:rPr>
          <w:i/>
          <w:color w:val="231F20"/>
          <w:spacing w:val="6"/>
          <w:w w:val="105"/>
          <w:sz w:val="19"/>
        </w:rPr>
        <w:t xml:space="preserve"> </w:t>
      </w:r>
      <w:r>
        <w:rPr>
          <w:i/>
          <w:color w:val="231F20"/>
          <w:w w:val="105"/>
          <w:sz w:val="19"/>
        </w:rPr>
        <w:t>crimes.</w:t>
      </w:r>
      <w:r>
        <w:rPr>
          <w:i/>
          <w:color w:val="231F20"/>
          <w:w w:val="105"/>
          <w:position w:val="6"/>
          <w:sz w:val="11"/>
        </w:rPr>
        <w:t>2</w:t>
      </w:r>
    </w:p>
    <w:p w14:paraId="3A4FC3C5" w14:textId="77777777" w:rsidR="002653E8" w:rsidRDefault="003115E3">
      <w:pPr>
        <w:pStyle w:val="a3"/>
        <w:spacing w:before="135" w:line="264" w:lineRule="auto"/>
        <w:ind w:left="1343" w:right="1520" w:hanging="1"/>
        <w:jc w:val="both"/>
      </w:pPr>
      <w:r>
        <w:rPr>
          <w:color w:val="231F20"/>
        </w:rPr>
        <w:t xml:space="preserve">This position should be evaluated in light of the </w:t>
      </w:r>
      <w:r w:rsidR="00C507A5">
        <w:rPr>
          <w:color w:val="231F20"/>
        </w:rPr>
        <w:t>red army faction</w:t>
      </w:r>
      <w:r>
        <w:rPr>
          <w:color w:val="231F20"/>
        </w:rPr>
        <w:t>’s documented practice, and the realities of armed struggle.</w:t>
      </w:r>
    </w:p>
    <w:p w14:paraId="21161EA8" w14:textId="60BD2E74" w:rsidR="002653E8" w:rsidRDefault="003115E3">
      <w:pPr>
        <w:pStyle w:val="a3"/>
        <w:spacing w:line="264" w:lineRule="auto"/>
        <w:ind w:left="1342" w:right="1520" w:firstLine="210"/>
        <w:jc w:val="both"/>
      </w:pPr>
      <w:r>
        <w:rPr>
          <w:color w:val="231F20"/>
        </w:rPr>
        <w:t xml:space="preserve">No clandestine organization can tolerate informants, nor should any revolutionary movement do so, regardless of its legal or illegal status. </w:t>
      </w:r>
      <w:r>
        <w:rPr>
          <w:color w:val="231F20"/>
          <w:spacing w:val="-5"/>
        </w:rPr>
        <w:t xml:space="preserve">yet  </w:t>
      </w:r>
      <w:r>
        <w:rPr>
          <w:color w:val="231F20"/>
        </w:rPr>
        <w:t xml:space="preserve">many observers are wary, and rightly so, of such  calls to </w:t>
      </w:r>
      <w:r>
        <w:rPr>
          <w:color w:val="231F20"/>
          <w:spacing w:val="-3"/>
        </w:rPr>
        <w:t xml:space="preserve">“exclude” </w:t>
      </w:r>
      <w:r>
        <w:rPr>
          <w:color w:val="231F20"/>
        </w:rPr>
        <w:t>traitors; the reason for this unease is the strong tendency for factions or entire organizations to end up using such   a line as cover to attack any and all dissidents, drop-outs, critics    or even rivals, accusing them all of “treason.” Examples</w:t>
      </w:r>
      <w:r>
        <w:rPr>
          <w:color w:val="231F20"/>
          <w:spacing w:val="13"/>
        </w:rPr>
        <w:t xml:space="preserve"> </w:t>
      </w:r>
      <w:r>
        <w:rPr>
          <w:color w:val="231F20"/>
        </w:rPr>
        <w:t>abound</w:t>
      </w:r>
    </w:p>
    <w:p w14:paraId="68A2CE72" w14:textId="77777777" w:rsidR="002653E8" w:rsidRDefault="002653E8">
      <w:pPr>
        <w:pStyle w:val="a3"/>
        <w:spacing w:before="8"/>
        <w:rPr>
          <w:sz w:val="23"/>
        </w:rPr>
      </w:pPr>
    </w:p>
    <w:p w14:paraId="48D6ED31" w14:textId="77777777" w:rsidR="002653E8" w:rsidRDefault="003115E3">
      <w:pPr>
        <w:pStyle w:val="a4"/>
        <w:numPr>
          <w:ilvl w:val="0"/>
          <w:numId w:val="143"/>
        </w:numPr>
        <w:tabs>
          <w:tab w:val="left" w:pos="1482"/>
        </w:tabs>
        <w:spacing w:before="105"/>
        <w:rPr>
          <w:sz w:val="16"/>
        </w:rPr>
      </w:pPr>
      <w:r>
        <w:rPr>
          <w:color w:val="231F20"/>
          <w:spacing w:val="1"/>
          <w:w w:val="105"/>
          <w:sz w:val="16"/>
        </w:rPr>
        <w:t xml:space="preserve">See </w:t>
      </w:r>
      <w:r>
        <w:rPr>
          <w:color w:val="231F20"/>
          <w:w w:val="105"/>
          <w:sz w:val="16"/>
        </w:rPr>
        <w:t>page</w:t>
      </w:r>
      <w:r>
        <w:rPr>
          <w:color w:val="231F20"/>
          <w:spacing w:val="13"/>
          <w:w w:val="105"/>
          <w:sz w:val="16"/>
        </w:rPr>
        <w:t xml:space="preserve"> </w:t>
      </w:r>
      <w:r>
        <w:rPr>
          <w:color w:val="231F20"/>
          <w:spacing w:val="-5"/>
          <w:w w:val="105"/>
          <w:sz w:val="16"/>
        </w:rPr>
        <w:t>352.</w:t>
      </w:r>
    </w:p>
    <w:p w14:paraId="78563B5A" w14:textId="77777777" w:rsidR="002653E8" w:rsidRDefault="003115E3">
      <w:pPr>
        <w:pStyle w:val="a4"/>
        <w:numPr>
          <w:ilvl w:val="0"/>
          <w:numId w:val="143"/>
        </w:numPr>
        <w:tabs>
          <w:tab w:val="left" w:pos="1482"/>
        </w:tabs>
        <w:spacing w:before="52"/>
        <w:rPr>
          <w:sz w:val="16"/>
        </w:rPr>
      </w:pPr>
      <w:r>
        <w:rPr>
          <w:color w:val="231F20"/>
          <w:w w:val="105"/>
          <w:sz w:val="16"/>
        </w:rPr>
        <w:t>Serve</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People:</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Urban</w:t>
      </w:r>
      <w:r>
        <w:rPr>
          <w:color w:val="231F20"/>
          <w:spacing w:val="8"/>
          <w:w w:val="105"/>
          <w:sz w:val="16"/>
        </w:rPr>
        <w:t xml:space="preserve"> </w:t>
      </w:r>
      <w:r>
        <w:rPr>
          <w:color w:val="231F20"/>
          <w:w w:val="105"/>
          <w:sz w:val="16"/>
        </w:rPr>
        <w:t>Guerilla</w:t>
      </w:r>
      <w:r>
        <w:rPr>
          <w:color w:val="231F20"/>
          <w:spacing w:val="8"/>
          <w:w w:val="105"/>
          <w:sz w:val="16"/>
        </w:rPr>
        <w:t xml:space="preserve"> </w:t>
      </w:r>
      <w:r>
        <w:rPr>
          <w:color w:val="231F20"/>
          <w:w w:val="105"/>
          <w:sz w:val="16"/>
        </w:rPr>
        <w:t>and</w:t>
      </w:r>
      <w:r>
        <w:rPr>
          <w:color w:val="231F20"/>
          <w:spacing w:val="8"/>
          <w:w w:val="105"/>
          <w:sz w:val="16"/>
        </w:rPr>
        <w:t xml:space="preserve"> </w:t>
      </w:r>
      <w:r>
        <w:rPr>
          <w:color w:val="231F20"/>
          <w:w w:val="105"/>
          <w:sz w:val="16"/>
        </w:rPr>
        <w:t>Class</w:t>
      </w:r>
      <w:r>
        <w:rPr>
          <w:color w:val="231F20"/>
          <w:spacing w:val="8"/>
          <w:w w:val="105"/>
          <w:sz w:val="16"/>
        </w:rPr>
        <w:t xml:space="preserve"> </w:t>
      </w:r>
      <w:r>
        <w:rPr>
          <w:color w:val="231F20"/>
          <w:w w:val="105"/>
          <w:sz w:val="16"/>
        </w:rPr>
        <w:t>Struggle,</w:t>
      </w:r>
      <w:r>
        <w:rPr>
          <w:color w:val="231F20"/>
          <w:spacing w:val="8"/>
          <w:w w:val="105"/>
          <w:sz w:val="16"/>
        </w:rPr>
        <w:t xml:space="preserve"> </w:t>
      </w:r>
      <w:r>
        <w:rPr>
          <w:color w:val="231F20"/>
          <w:w w:val="105"/>
          <w:sz w:val="16"/>
        </w:rPr>
        <w:t>cf</w:t>
      </w:r>
      <w:r>
        <w:rPr>
          <w:color w:val="231F20"/>
          <w:spacing w:val="10"/>
          <w:w w:val="105"/>
          <w:sz w:val="16"/>
        </w:rPr>
        <w:t xml:space="preserve"> </w:t>
      </w:r>
      <w:r>
        <w:rPr>
          <w:color w:val="231F20"/>
          <w:spacing w:val="-5"/>
          <w:w w:val="105"/>
          <w:sz w:val="16"/>
        </w:rPr>
        <w:t>156-7.</w:t>
      </w:r>
    </w:p>
    <w:p w14:paraId="1F2FE1A3" w14:textId="77777777" w:rsidR="002653E8" w:rsidRDefault="002653E8">
      <w:pPr>
        <w:rPr>
          <w:sz w:val="16"/>
        </w:rPr>
        <w:sectPr w:rsidR="002653E8">
          <w:pgSz w:w="8640" w:h="12960"/>
          <w:pgMar w:top="1080" w:right="0" w:bottom="1040" w:left="0" w:header="0" w:footer="850" w:gutter="0"/>
          <w:cols w:space="720"/>
        </w:sectPr>
      </w:pPr>
    </w:p>
    <w:p w14:paraId="0AEFDA19" w14:textId="77777777" w:rsidR="002653E8" w:rsidRDefault="00000000">
      <w:pPr>
        <w:pStyle w:val="a3"/>
        <w:spacing w:before="2"/>
        <w:rPr>
          <w:sz w:val="19"/>
        </w:rPr>
      </w:pPr>
      <w:r>
        <w:rPr>
          <w:noProof w:val="0"/>
        </w:rPr>
        <w:lastRenderedPageBreak/>
        <w:pict w14:anchorId="4C6D9E63">
          <v:group id="_x0000_s2536" style="position:absolute;margin-left:66.4pt;margin-top:54pt;width:308.25pt;height:514.6pt;z-index:-459976;mso-position-horizontal-relative:page;mso-position-vertical-relative:page" coordorigin="1328,1080" coordsize="6165,10292">
            <v:rect id="_x0000_s2543" style="position:absolute;left:1327;top:1080;width:6165;height:10292" fillcolor="#e6e7e8" stroked="f"/>
            <v:line id="_x0000_s2542" style="position:absolute" from="1523,10061" to="2963,10061" strokecolor="#231f20" strokeweight=".5pt"/>
            <v:line id="_x0000_s2541" style="position:absolute" from="1335,1140" to="1335,11327" strokecolor="#231f20">
              <v:stroke dashstyle="3 1"/>
            </v:line>
            <v:line id="_x0000_s2540" style="position:absolute" from="1388,11364" to="7447,11364" strokecolor="#231f20">
              <v:stroke dashstyle="3 1"/>
            </v:line>
            <v:line id="_x0000_s2539" style="position:absolute" from="7485,11312" to="7485,1125" strokecolor="#231f20">
              <v:stroke dashstyle="3 1"/>
            </v:line>
            <v:line id="_x0000_s2538" style="position:absolute" from="7432,1088" to="1373,1088" strokecolor="#231f20">
              <v:stroke dashstyle="3 1"/>
            </v:line>
            <v:shape id="_x0000_s2537" style="position:absolute;top:2705;width:6150;height:10277" coordorigin=",2706" coordsize="6150,10277" o:spt="100" adj="0,,0" path="m1335,11342r,22l1358,11364t6104,l7485,11364r,-22m7485,1110r,-22l7462,1088t-6104,l1335,1088r,22e" filled="f" strokecolor="#231f20">
              <v:stroke joinstyle="round"/>
              <v:formulas/>
              <v:path arrowok="t" o:connecttype="segments"/>
            </v:shape>
            <w10:wrap anchorx="page" anchory="page"/>
          </v:group>
        </w:pict>
      </w:r>
    </w:p>
    <w:p w14:paraId="2E8EA72F" w14:textId="77777777" w:rsidR="002653E8" w:rsidRDefault="003115E3">
      <w:pPr>
        <w:pStyle w:val="a3"/>
        <w:spacing w:before="99" w:line="264" w:lineRule="auto"/>
        <w:ind w:left="1523" w:right="1340" w:hanging="1"/>
        <w:jc w:val="both"/>
      </w:pPr>
      <w:r>
        <w:rPr>
          <w:color w:val="231F20"/>
        </w:rPr>
        <w:t>of revolutionary movements gutting themselves and doing inestimable damage to their cause and their political integrity through this error.</w:t>
      </w:r>
    </w:p>
    <w:p w14:paraId="31B06F19" w14:textId="77777777" w:rsidR="002653E8" w:rsidRDefault="003115E3">
      <w:pPr>
        <w:pStyle w:val="a3"/>
        <w:spacing w:line="264" w:lineRule="auto"/>
        <w:ind w:left="1523" w:right="1340" w:firstLine="210"/>
        <w:jc w:val="both"/>
      </w:pPr>
      <w:r>
        <w:rPr>
          <w:color w:val="231F20"/>
        </w:rPr>
        <w:t xml:space="preserve">Despite allegations to the contrary, there is no substantive evidence of the </w:t>
      </w:r>
      <w:r w:rsidR="00C507A5">
        <w:rPr>
          <w:color w:val="231F20"/>
        </w:rPr>
        <w:t>red army faction</w:t>
      </w:r>
      <w:r>
        <w:rPr>
          <w:color w:val="231F20"/>
        </w:rPr>
        <w:t xml:space="preserve"> ever going down that road. The </w:t>
      </w:r>
      <w:r w:rsidR="00C507A5">
        <w:rPr>
          <w:color w:val="231F20"/>
        </w:rPr>
        <w:t>red army faction</w:t>
      </w:r>
      <w:r>
        <w:rPr>
          <w:color w:val="231F20"/>
        </w:rPr>
        <w:t xml:space="preserve"> was criticized throughout its existence, yet none of the critics were ever targeted. What is striking about the cases of Sturm, Homann, and Ruhland is not that they were insulted or berated, but that no harm befell them even after they all took public stands against the guerilla. Another guerilla member, Hans-Jürgen Bäcker, suspected of being an informant, was not targeted by any attack even after testifying in court against the </w:t>
      </w:r>
      <w:r w:rsidR="00C507A5">
        <w:rPr>
          <w:color w:val="231F20"/>
        </w:rPr>
        <w:t>red army faction</w:t>
      </w:r>
      <w:r>
        <w:rPr>
          <w:color w:val="231F20"/>
        </w:rPr>
        <w:t>.</w:t>
      </w:r>
    </w:p>
    <w:p w14:paraId="58A2CE53" w14:textId="77777777" w:rsidR="002653E8" w:rsidRDefault="003115E3">
      <w:pPr>
        <w:pStyle w:val="a3"/>
        <w:spacing w:line="264" w:lineRule="auto"/>
        <w:ind w:left="1522" w:right="1332" w:firstLine="210"/>
        <w:jc w:val="right"/>
      </w:pPr>
      <w:r>
        <w:rPr>
          <w:color w:val="231F20"/>
        </w:rPr>
        <w:t>Stefan Aust and Jillian Becker have both claimed that members</w:t>
      </w:r>
      <w:r>
        <w:rPr>
          <w:color w:val="231F20"/>
          <w:w w:val="90"/>
        </w:rPr>
        <w:t xml:space="preserve"> </w:t>
      </w:r>
      <w:r>
        <w:rPr>
          <w:color w:val="231F20"/>
        </w:rPr>
        <w:t>of the guerilla made what can only be described as half-hearted attempts to exact vengeance, but their stories are difficult to gauge.</w:t>
      </w:r>
      <w:r>
        <w:rPr>
          <w:color w:val="231F20"/>
          <w:w w:val="135"/>
        </w:rPr>
        <w:t xml:space="preserve"> </w:t>
      </w:r>
      <w:r>
        <w:rPr>
          <w:color w:val="231F20"/>
        </w:rPr>
        <w:t>Both authors claim that Baader and Mahler were trying to find Homann and Aust to kill them, but if so, they evidently gave up the</w:t>
      </w:r>
      <w:r>
        <w:rPr>
          <w:color w:val="231F20"/>
          <w:w w:val="91"/>
        </w:rPr>
        <w:t xml:space="preserve"> </w:t>
      </w:r>
      <w:r>
        <w:rPr>
          <w:color w:val="231F20"/>
        </w:rPr>
        <w:t>search quickly.</w:t>
      </w:r>
      <w:r>
        <w:rPr>
          <w:color w:val="231F20"/>
          <w:position w:val="7"/>
          <w:sz w:val="11"/>
        </w:rPr>
        <w:t xml:space="preserve">3 </w:t>
      </w:r>
      <w:r>
        <w:rPr>
          <w:color w:val="231F20"/>
        </w:rPr>
        <w:t>This is just one aspect of the story that casts doubt</w:t>
      </w:r>
      <w:r>
        <w:rPr>
          <w:color w:val="231F20"/>
          <w:w w:val="98"/>
        </w:rPr>
        <w:t xml:space="preserve"> </w:t>
      </w:r>
      <w:r>
        <w:rPr>
          <w:color w:val="231F20"/>
        </w:rPr>
        <w:t>on its veracity. Becker furthermore claims that Astrid Proll shot at</w:t>
      </w:r>
      <w:r>
        <w:rPr>
          <w:color w:val="231F20"/>
          <w:w w:val="98"/>
        </w:rPr>
        <w:t xml:space="preserve"> </w:t>
      </w:r>
      <w:r>
        <w:rPr>
          <w:color w:val="231F20"/>
        </w:rPr>
        <w:t>Bäcker but missed; the way in which she phrases the allegation,</w:t>
      </w:r>
      <w:r>
        <w:rPr>
          <w:color w:val="231F20"/>
          <w:w w:val="135"/>
        </w:rPr>
        <w:t xml:space="preserve"> </w:t>
      </w:r>
      <w:r>
        <w:rPr>
          <w:color w:val="231F20"/>
        </w:rPr>
        <w:t>however, indicates the source may be Karl-Heinz Ruhland, himself</w:t>
      </w:r>
      <w:r>
        <w:rPr>
          <w:color w:val="231F20"/>
          <w:w w:val="109"/>
        </w:rPr>
        <w:t xml:space="preserve"> </w:t>
      </w:r>
      <w:r>
        <w:rPr>
          <w:color w:val="231F20"/>
        </w:rPr>
        <w:t>far from reliable.</w:t>
      </w:r>
      <w:r>
        <w:rPr>
          <w:color w:val="231F20"/>
          <w:position w:val="7"/>
          <w:sz w:val="11"/>
        </w:rPr>
        <w:t xml:space="preserve">4 </w:t>
      </w:r>
      <w:r>
        <w:rPr>
          <w:color w:val="231F20"/>
        </w:rPr>
        <w:t>No charges were ever laid against Proll for this.</w:t>
      </w:r>
      <w:r>
        <w:rPr>
          <w:color w:val="231F20"/>
          <w:w w:val="135"/>
        </w:rPr>
        <w:t xml:space="preserve"> </w:t>
      </w:r>
      <w:r>
        <w:rPr>
          <w:color w:val="231F20"/>
        </w:rPr>
        <w:t xml:space="preserve">There is one,  and  only  one,  documented  case  of the  </w:t>
      </w:r>
      <w:r w:rsidR="00C507A5">
        <w:rPr>
          <w:color w:val="231F20"/>
        </w:rPr>
        <w:t>red army faction</w:t>
      </w:r>
      <w:r>
        <w:rPr>
          <w:color w:val="231F20"/>
          <w:w w:val="110"/>
        </w:rPr>
        <w:t xml:space="preserve"> </w:t>
      </w:r>
      <w:r>
        <w:rPr>
          <w:color w:val="231F20"/>
        </w:rPr>
        <w:t>doing violence to an informant. In 1971, a friend of Katharina</w:t>
      </w:r>
      <w:r>
        <w:rPr>
          <w:color w:val="231F20"/>
          <w:w w:val="102"/>
        </w:rPr>
        <w:t xml:space="preserve"> </w:t>
      </w:r>
      <w:r>
        <w:rPr>
          <w:color w:val="231F20"/>
        </w:rPr>
        <w:t>Hammerschmidt’s, Edelgard Graefer, was arrested on bogus</w:t>
      </w:r>
      <w:r>
        <w:rPr>
          <w:color w:val="231F20"/>
          <w:w w:val="90"/>
        </w:rPr>
        <w:t xml:space="preserve"> </w:t>
      </w:r>
      <w:r>
        <w:rPr>
          <w:color w:val="231F20"/>
        </w:rPr>
        <w:t xml:space="preserve">charges and threatened with having her five-year-old son permanently taken away from her. Under pressure, Graefer gave information to the police. In early 1972, she was abducted by the </w:t>
      </w:r>
      <w:r w:rsidR="00C507A5">
        <w:rPr>
          <w:color w:val="231F20"/>
        </w:rPr>
        <w:t>red army faction</w:t>
      </w:r>
      <w:r>
        <w:rPr>
          <w:color w:val="231F20"/>
        </w:rPr>
        <w:t xml:space="preserve"> and had a bucket of tar poured over her. Following this attack on her</w:t>
      </w:r>
    </w:p>
    <w:p w14:paraId="78D2217D" w14:textId="77777777" w:rsidR="002653E8" w:rsidRDefault="003115E3">
      <w:pPr>
        <w:pStyle w:val="a3"/>
        <w:spacing w:line="216" w:lineRule="exact"/>
        <w:ind w:left="1523"/>
        <w:rPr>
          <w:sz w:val="11"/>
        </w:rPr>
      </w:pPr>
      <w:r>
        <w:rPr>
          <w:color w:val="231F20"/>
        </w:rPr>
        <w:t>person, she stopped working with the police.</w:t>
      </w:r>
      <w:r>
        <w:rPr>
          <w:color w:val="231F20"/>
          <w:position w:val="7"/>
          <w:sz w:val="11"/>
        </w:rPr>
        <w:t>5</w:t>
      </w:r>
    </w:p>
    <w:p w14:paraId="305BA25C" w14:textId="77777777" w:rsidR="002653E8" w:rsidRDefault="003115E3">
      <w:pPr>
        <w:pStyle w:val="a3"/>
        <w:spacing w:before="9" w:line="264" w:lineRule="auto"/>
        <w:ind w:left="1522" w:right="1341" w:firstLine="210"/>
        <w:jc w:val="both"/>
      </w:pPr>
      <w:r>
        <w:rPr>
          <w:color w:val="231F20"/>
        </w:rPr>
        <w:t>While unpleasant, such a violent warning is not on the order of   a death sentence. Indeed, as Brigitte Mohnhaupt later argued in Stammheim, the fact that a known informant was assaulted</w:t>
      </w:r>
      <w:r>
        <w:rPr>
          <w:color w:val="231F20"/>
          <w:spacing w:val="-18"/>
        </w:rPr>
        <w:t xml:space="preserve"> </w:t>
      </w:r>
      <w:r>
        <w:rPr>
          <w:color w:val="231F20"/>
        </w:rPr>
        <w:t>and</w:t>
      </w:r>
    </w:p>
    <w:p w14:paraId="46707744" w14:textId="77777777" w:rsidR="002653E8" w:rsidRDefault="002653E8">
      <w:pPr>
        <w:pStyle w:val="a3"/>
        <w:spacing w:before="8"/>
        <w:rPr>
          <w:sz w:val="13"/>
        </w:rPr>
      </w:pPr>
    </w:p>
    <w:p w14:paraId="639C4F5B" w14:textId="77777777" w:rsidR="002653E8" w:rsidRDefault="003115E3">
      <w:pPr>
        <w:spacing w:before="105"/>
        <w:ind w:left="1522"/>
        <w:rPr>
          <w:sz w:val="16"/>
        </w:rPr>
      </w:pPr>
      <w:r>
        <w:rPr>
          <w:color w:val="231F20"/>
          <w:w w:val="110"/>
          <w:sz w:val="16"/>
        </w:rPr>
        <w:t>3 Aust, 104; Becker, 255-256.</w:t>
      </w:r>
    </w:p>
    <w:p w14:paraId="7E9D4639" w14:textId="77777777" w:rsidR="002653E8" w:rsidRDefault="003115E3">
      <w:pPr>
        <w:spacing w:before="52" w:line="254" w:lineRule="auto"/>
        <w:ind w:left="1522" w:right="1513"/>
        <w:rPr>
          <w:sz w:val="16"/>
        </w:rPr>
      </w:pPr>
      <w:r>
        <w:rPr>
          <w:color w:val="231F20"/>
          <w:w w:val="105"/>
          <w:sz w:val="16"/>
        </w:rPr>
        <w:t xml:space="preserve">4 Becker, normally not shy about stating that various combatants actually </w:t>
      </w:r>
      <w:r>
        <w:rPr>
          <w:i/>
          <w:color w:val="231F20"/>
          <w:w w:val="105"/>
          <w:sz w:val="16"/>
        </w:rPr>
        <w:t xml:space="preserve">did </w:t>
      </w:r>
      <w:r>
        <w:rPr>
          <w:color w:val="231F20"/>
          <w:w w:val="105"/>
          <w:sz w:val="16"/>
        </w:rPr>
        <w:t>various things, in this case merely writes, “Astrid Proll (‘Rosi’) was to claim later that she shot at him from a car but missed.” (Becker, 228)</w:t>
      </w:r>
    </w:p>
    <w:p w14:paraId="729BF5AF" w14:textId="77777777" w:rsidR="002653E8" w:rsidRDefault="003115E3">
      <w:pPr>
        <w:spacing w:before="41"/>
        <w:ind w:left="1522"/>
        <w:rPr>
          <w:sz w:val="16"/>
        </w:rPr>
      </w:pPr>
      <w:r>
        <w:rPr>
          <w:color w:val="231F20"/>
          <w:w w:val="110"/>
          <w:sz w:val="16"/>
        </w:rPr>
        <w:t>5 Aust, 170-172.</w:t>
      </w:r>
    </w:p>
    <w:p w14:paraId="642D39E0" w14:textId="77777777" w:rsidR="002653E8" w:rsidRDefault="002653E8">
      <w:pPr>
        <w:rPr>
          <w:sz w:val="16"/>
        </w:rPr>
        <w:sectPr w:rsidR="002653E8">
          <w:footerReference w:type="even" r:id="rId135"/>
          <w:footerReference w:type="default" r:id="rId136"/>
          <w:pgSz w:w="8640" w:h="12960"/>
          <w:pgMar w:top="1080" w:right="0" w:bottom="1040" w:left="0" w:header="0" w:footer="850" w:gutter="0"/>
          <w:cols w:space="720"/>
        </w:sectPr>
      </w:pPr>
    </w:p>
    <w:p w14:paraId="36123798" w14:textId="77777777" w:rsidR="002653E8" w:rsidRDefault="00000000">
      <w:pPr>
        <w:pStyle w:val="a3"/>
        <w:spacing w:before="2"/>
        <w:rPr>
          <w:sz w:val="19"/>
        </w:rPr>
      </w:pPr>
      <w:r>
        <w:rPr>
          <w:noProof w:val="0"/>
        </w:rPr>
        <w:lastRenderedPageBreak/>
        <w:pict w14:anchorId="246222C5">
          <v:group id="_x0000_s2525" style="position:absolute;margin-left:57.4pt;margin-top:54pt;width:308.25pt;height:514.6pt;z-index:-459928;mso-position-horizontal-relative:page;mso-position-vertical-relative:page" coordorigin="1148,1080" coordsize="6165,10292">
            <v:rect id="_x0000_s2535" style="position:absolute;left:1147;top:1080;width:6165;height:10292" fillcolor="#e6e7e8" stroked="f"/>
            <v:rect id="_x0000_s2534" style="position:absolute;left:1642;top:3647;width:5175;height:100" fillcolor="#231f20" stroked="f"/>
            <v:rect id="_x0000_s2533" style="position:absolute;left:1642;top:3751;width:5175;height:6272" stroked="f"/>
            <v:line id="_x0000_s2532" style="position:absolute" from="1343,10739" to="2783,10739" strokecolor="#231f20" strokeweight=".5pt"/>
            <v:line id="_x0000_s2531" style="position:absolute" from="1155,1140" to="1155,11327" strokecolor="#231f20">
              <v:stroke dashstyle="3 1"/>
            </v:line>
            <v:line id="_x0000_s2530" style="position:absolute" from="1208,11364" to="7267,11364" strokecolor="#231f20">
              <v:stroke dashstyle="3 1"/>
            </v:line>
            <v:line id="_x0000_s2529" style="position:absolute" from="7305,11312" to="7305,1125" strokecolor="#231f20">
              <v:stroke dashstyle="3 1"/>
            </v:line>
            <v:line id="_x0000_s2528" style="position:absolute" from="7252,1088" to="1193,1088" strokecolor="#231f20">
              <v:stroke dashstyle="3 1"/>
            </v:line>
            <v:shape id="_x0000_s2527" style="position:absolute;top:2705;width:6150;height:10277" coordorigin=",2706" coordsize="6150,10277" o:spt="100" adj="0,,0" path="m1155,11342r,22l1178,11364t6104,l7305,11364r,-22m7305,1110r,-22l7282,1088t-6104,l1155,1088r,22e" filled="f" strokecolor="#231f20">
              <v:stroke joinstyle="round"/>
              <v:formulas/>
              <v:path arrowok="t" o:connecttype="segments"/>
            </v:shape>
            <v:shape id="_x0000_s2526" type="#_x0000_t75" style="position:absolute;left:2281;top:3787;width:4020;height:4398">
              <v:imagedata r:id="rId137" o:title=""/>
            </v:shape>
            <w10:wrap anchorx="page" anchory="page"/>
          </v:group>
        </w:pict>
      </w:r>
    </w:p>
    <w:p w14:paraId="73EB874D" w14:textId="77777777" w:rsidR="002653E8" w:rsidRDefault="003115E3">
      <w:pPr>
        <w:pStyle w:val="a3"/>
        <w:spacing w:before="99" w:line="264" w:lineRule="auto"/>
        <w:ind w:left="1342" w:right="1580"/>
        <w:rPr>
          <w:sz w:val="11"/>
        </w:rPr>
      </w:pPr>
      <w:bookmarkStart w:id="63" w:name="This_is_Edelgard_Graefer"/>
      <w:bookmarkStart w:id="64" w:name="_bookmark20"/>
      <w:bookmarkEnd w:id="63"/>
      <w:bookmarkEnd w:id="64"/>
      <w:r>
        <w:rPr>
          <w:color w:val="231F20"/>
        </w:rPr>
        <w:t>not killed should suffice to discredit claims that other members were executed merely for dropping out.</w:t>
      </w:r>
      <w:r>
        <w:rPr>
          <w:color w:val="231F20"/>
          <w:position w:val="7"/>
          <w:sz w:val="11"/>
        </w:rPr>
        <w:t>1</w:t>
      </w:r>
    </w:p>
    <w:p w14:paraId="2DB280F2" w14:textId="77777777" w:rsidR="002653E8" w:rsidRDefault="003115E3">
      <w:pPr>
        <w:pStyle w:val="a3"/>
        <w:spacing w:line="264" w:lineRule="auto"/>
        <w:ind w:left="1342" w:right="1522" w:firstLine="210"/>
        <w:jc w:val="both"/>
      </w:pPr>
      <w:r>
        <w:rPr>
          <w:color w:val="231F20"/>
        </w:rPr>
        <w:t>Certainly, given the guerilla’s ability to carry out attacks against even heavily guarded targets, the fact that all of those who testified against them remained unscathed should tell us something.</w:t>
      </w:r>
    </w:p>
    <w:p w14:paraId="34099403" w14:textId="77777777" w:rsidR="002653E8" w:rsidRDefault="003115E3">
      <w:pPr>
        <w:pStyle w:val="a3"/>
        <w:spacing w:line="264" w:lineRule="auto"/>
        <w:ind w:left="1342" w:right="1521" w:firstLine="210"/>
        <w:jc w:val="both"/>
      </w:pPr>
      <w:r>
        <w:rPr>
          <w:color w:val="231F20"/>
        </w:rPr>
        <w:t>As for the many others who left over the years, if they did not cooperate with the police or run with tall tales to the media, there  is</w:t>
      </w:r>
      <w:r>
        <w:rPr>
          <w:color w:val="231F20"/>
          <w:spacing w:val="11"/>
        </w:rPr>
        <w:t xml:space="preserve"> </w:t>
      </w:r>
      <w:r>
        <w:rPr>
          <w:color w:val="231F20"/>
        </w:rPr>
        <w:t>no</w:t>
      </w:r>
      <w:r>
        <w:rPr>
          <w:color w:val="231F20"/>
          <w:spacing w:val="11"/>
        </w:rPr>
        <w:t xml:space="preserve"> </w:t>
      </w:r>
      <w:r>
        <w:rPr>
          <w:color w:val="231F20"/>
        </w:rPr>
        <w:t>indication</w:t>
      </w:r>
      <w:r>
        <w:rPr>
          <w:color w:val="231F20"/>
          <w:spacing w:val="11"/>
        </w:rPr>
        <w:t xml:space="preserve"> </w:t>
      </w:r>
      <w:r>
        <w:rPr>
          <w:color w:val="231F20"/>
        </w:rPr>
        <w:t>that</w:t>
      </w:r>
      <w:r>
        <w:rPr>
          <w:color w:val="231F20"/>
          <w:spacing w:val="11"/>
        </w:rPr>
        <w:t xml:space="preserve"> </w:t>
      </w:r>
      <w:r>
        <w:rPr>
          <w:color w:val="231F20"/>
        </w:rPr>
        <w:t>the</w:t>
      </w:r>
      <w:r>
        <w:rPr>
          <w:color w:val="231F20"/>
          <w:spacing w:val="11"/>
        </w:rPr>
        <w:t xml:space="preserve"> </w:t>
      </w:r>
      <w:r>
        <w:rPr>
          <w:color w:val="231F20"/>
        </w:rPr>
        <w:t>guerilla</w:t>
      </w:r>
      <w:r>
        <w:rPr>
          <w:color w:val="231F20"/>
          <w:spacing w:val="11"/>
        </w:rPr>
        <w:t xml:space="preserve"> </w:t>
      </w:r>
      <w:r>
        <w:rPr>
          <w:color w:val="231F20"/>
        </w:rPr>
        <w:t>bore</w:t>
      </w:r>
      <w:r>
        <w:rPr>
          <w:color w:val="231F20"/>
          <w:spacing w:val="11"/>
        </w:rPr>
        <w:t xml:space="preserve"> </w:t>
      </w:r>
      <w:r>
        <w:rPr>
          <w:color w:val="231F20"/>
        </w:rPr>
        <w:t>them</w:t>
      </w:r>
      <w:r>
        <w:rPr>
          <w:color w:val="231F20"/>
          <w:spacing w:val="11"/>
        </w:rPr>
        <w:t xml:space="preserve"> </w:t>
      </w:r>
      <w:r>
        <w:rPr>
          <w:color w:val="231F20"/>
        </w:rPr>
        <w:t>any</w:t>
      </w:r>
      <w:r>
        <w:rPr>
          <w:color w:val="231F20"/>
          <w:spacing w:val="11"/>
        </w:rPr>
        <w:t xml:space="preserve"> </w:t>
      </w:r>
      <w:r>
        <w:rPr>
          <w:color w:val="231F20"/>
        </w:rPr>
        <w:t>ill</w:t>
      </w:r>
      <w:r>
        <w:rPr>
          <w:color w:val="231F20"/>
          <w:spacing w:val="11"/>
        </w:rPr>
        <w:t xml:space="preserve"> </w:t>
      </w:r>
      <w:r>
        <w:rPr>
          <w:color w:val="231F20"/>
        </w:rPr>
        <w:t>will.</w:t>
      </w:r>
    </w:p>
    <w:p w14:paraId="6E801798" w14:textId="77777777" w:rsidR="002653E8" w:rsidRDefault="00000000">
      <w:pPr>
        <w:pStyle w:val="a3"/>
        <w:spacing w:before="10"/>
        <w:rPr>
          <w:sz w:val="21"/>
        </w:rPr>
      </w:pPr>
      <w:r>
        <w:rPr>
          <w:noProof w:val="0"/>
        </w:rPr>
        <w:pict w14:anchorId="63DC9B22">
          <v:shape id="_x0000_s2524" type="#_x0000_t202" style="position:absolute;margin-left:82.15pt;margin-top:14pt;width:258.75pt;height:313.8pt;z-index:4696;mso-wrap-distance-left:0;mso-wrap-distance-right:0;mso-position-horizontal-relative:page" filled="f" stroked="f">
            <v:textbox inset="0,0,0,0">
              <w:txbxContent>
                <w:p w14:paraId="30328163" w14:textId="77777777" w:rsidR="001008C3" w:rsidRDefault="001008C3">
                  <w:pPr>
                    <w:pStyle w:val="a3"/>
                    <w:rPr>
                      <w:sz w:val="22"/>
                    </w:rPr>
                  </w:pPr>
                </w:p>
                <w:p w14:paraId="1C9A8563" w14:textId="77777777" w:rsidR="001008C3" w:rsidRDefault="001008C3">
                  <w:pPr>
                    <w:pStyle w:val="a3"/>
                    <w:rPr>
                      <w:sz w:val="22"/>
                    </w:rPr>
                  </w:pPr>
                </w:p>
                <w:p w14:paraId="6EFBF94F" w14:textId="77777777" w:rsidR="001008C3" w:rsidRDefault="001008C3">
                  <w:pPr>
                    <w:pStyle w:val="a3"/>
                    <w:rPr>
                      <w:sz w:val="22"/>
                    </w:rPr>
                  </w:pPr>
                </w:p>
                <w:p w14:paraId="53983D71" w14:textId="77777777" w:rsidR="001008C3" w:rsidRDefault="001008C3">
                  <w:pPr>
                    <w:pStyle w:val="a3"/>
                    <w:rPr>
                      <w:sz w:val="22"/>
                    </w:rPr>
                  </w:pPr>
                </w:p>
                <w:p w14:paraId="1279E7B4" w14:textId="77777777" w:rsidR="001008C3" w:rsidRDefault="001008C3">
                  <w:pPr>
                    <w:pStyle w:val="a3"/>
                    <w:rPr>
                      <w:sz w:val="22"/>
                    </w:rPr>
                  </w:pPr>
                </w:p>
                <w:p w14:paraId="69BA9B16" w14:textId="77777777" w:rsidR="001008C3" w:rsidRDefault="001008C3">
                  <w:pPr>
                    <w:pStyle w:val="a3"/>
                    <w:rPr>
                      <w:sz w:val="22"/>
                    </w:rPr>
                  </w:pPr>
                </w:p>
                <w:p w14:paraId="36DC8BC3" w14:textId="77777777" w:rsidR="001008C3" w:rsidRDefault="001008C3">
                  <w:pPr>
                    <w:pStyle w:val="a3"/>
                    <w:rPr>
                      <w:sz w:val="22"/>
                    </w:rPr>
                  </w:pPr>
                </w:p>
                <w:p w14:paraId="45EA797A" w14:textId="77777777" w:rsidR="001008C3" w:rsidRDefault="001008C3">
                  <w:pPr>
                    <w:pStyle w:val="a3"/>
                    <w:rPr>
                      <w:sz w:val="22"/>
                    </w:rPr>
                  </w:pPr>
                </w:p>
                <w:p w14:paraId="4F431BA8" w14:textId="77777777" w:rsidR="001008C3" w:rsidRDefault="001008C3">
                  <w:pPr>
                    <w:pStyle w:val="a3"/>
                    <w:rPr>
                      <w:sz w:val="22"/>
                    </w:rPr>
                  </w:pPr>
                </w:p>
                <w:p w14:paraId="5C88C9CE" w14:textId="77777777" w:rsidR="001008C3" w:rsidRDefault="001008C3">
                  <w:pPr>
                    <w:pStyle w:val="a3"/>
                    <w:rPr>
                      <w:sz w:val="22"/>
                    </w:rPr>
                  </w:pPr>
                </w:p>
                <w:p w14:paraId="06B2D282" w14:textId="77777777" w:rsidR="001008C3" w:rsidRDefault="001008C3">
                  <w:pPr>
                    <w:pStyle w:val="a3"/>
                    <w:rPr>
                      <w:sz w:val="22"/>
                    </w:rPr>
                  </w:pPr>
                </w:p>
                <w:p w14:paraId="15428392" w14:textId="77777777" w:rsidR="001008C3" w:rsidRDefault="001008C3">
                  <w:pPr>
                    <w:pStyle w:val="a3"/>
                    <w:rPr>
                      <w:sz w:val="22"/>
                    </w:rPr>
                  </w:pPr>
                </w:p>
                <w:p w14:paraId="33BE3050" w14:textId="77777777" w:rsidR="001008C3" w:rsidRDefault="001008C3">
                  <w:pPr>
                    <w:pStyle w:val="a3"/>
                    <w:rPr>
                      <w:sz w:val="22"/>
                    </w:rPr>
                  </w:pPr>
                </w:p>
                <w:p w14:paraId="2250305A" w14:textId="77777777" w:rsidR="001008C3" w:rsidRDefault="001008C3">
                  <w:pPr>
                    <w:pStyle w:val="a3"/>
                    <w:rPr>
                      <w:sz w:val="22"/>
                    </w:rPr>
                  </w:pPr>
                </w:p>
                <w:p w14:paraId="795BA484" w14:textId="77777777" w:rsidR="001008C3" w:rsidRDefault="001008C3">
                  <w:pPr>
                    <w:pStyle w:val="a3"/>
                    <w:rPr>
                      <w:sz w:val="22"/>
                    </w:rPr>
                  </w:pPr>
                </w:p>
                <w:p w14:paraId="4BC34228" w14:textId="77777777" w:rsidR="001008C3" w:rsidRDefault="001008C3">
                  <w:pPr>
                    <w:pStyle w:val="a3"/>
                    <w:rPr>
                      <w:sz w:val="22"/>
                    </w:rPr>
                  </w:pPr>
                </w:p>
                <w:p w14:paraId="1CCDC915" w14:textId="77777777" w:rsidR="001008C3" w:rsidRDefault="001008C3">
                  <w:pPr>
                    <w:pStyle w:val="a3"/>
                    <w:spacing w:before="2"/>
                    <w:rPr>
                      <w:sz w:val="27"/>
                    </w:rPr>
                  </w:pPr>
                </w:p>
                <w:p w14:paraId="1DA7E839" w14:textId="77777777" w:rsidR="001008C3" w:rsidRDefault="001008C3">
                  <w:pPr>
                    <w:pStyle w:val="a3"/>
                    <w:ind w:left="379"/>
                  </w:pPr>
                  <w:r>
                    <w:rPr>
                      <w:color w:val="231F20"/>
                      <w:w w:val="115"/>
                    </w:rPr>
                    <w:t>THIS IS EDELGARD GRAEFER</w:t>
                  </w:r>
                </w:p>
                <w:p w14:paraId="4D849205" w14:textId="77777777" w:rsidR="001008C3" w:rsidRDefault="001008C3">
                  <w:pPr>
                    <w:pStyle w:val="a3"/>
                    <w:spacing w:before="150" w:line="261" w:lineRule="auto"/>
                    <w:ind w:left="379" w:right="374"/>
                  </w:pPr>
                  <w:r>
                    <w:rPr>
                      <w:color w:val="231F20"/>
                      <w:w w:val="110"/>
                    </w:rPr>
                    <w:t>THIS COLLABORATOR IS IN BED WITH THE KILLER-PIGS</w:t>
                  </w:r>
                </w:p>
                <w:p w14:paraId="71E2B64F" w14:textId="77777777" w:rsidR="001008C3" w:rsidRDefault="001008C3">
                  <w:pPr>
                    <w:pStyle w:val="a3"/>
                    <w:spacing w:before="129"/>
                    <w:ind w:left="379"/>
                  </w:pPr>
                  <w:r>
                    <w:rPr>
                      <w:color w:val="231F20"/>
                      <w:w w:val="115"/>
                    </w:rPr>
                    <w:t>LONG LIVE THE red army faction!</w:t>
                  </w:r>
                </w:p>
                <w:p w14:paraId="2178F581" w14:textId="77777777" w:rsidR="001008C3" w:rsidRDefault="001008C3">
                  <w:pPr>
                    <w:pStyle w:val="a3"/>
                    <w:spacing w:before="149"/>
                    <w:ind w:right="97"/>
                    <w:jc w:val="right"/>
                  </w:pPr>
                  <w:r>
                    <w:rPr>
                      <w:color w:val="231F20"/>
                      <w:w w:val="105"/>
                    </w:rPr>
                    <w:t>March 27, 1972</w:t>
                  </w:r>
                </w:p>
              </w:txbxContent>
            </v:textbox>
            <w10:wrap type="topAndBottom" anchorx="page"/>
          </v:shape>
        </w:pict>
      </w:r>
    </w:p>
    <w:p w14:paraId="4316209F" w14:textId="77777777" w:rsidR="002653E8" w:rsidRDefault="002653E8">
      <w:pPr>
        <w:pStyle w:val="a3"/>
      </w:pPr>
    </w:p>
    <w:p w14:paraId="42EE5E16" w14:textId="77777777" w:rsidR="002653E8" w:rsidRDefault="002653E8">
      <w:pPr>
        <w:pStyle w:val="a3"/>
      </w:pPr>
    </w:p>
    <w:p w14:paraId="4D9C422A" w14:textId="77777777" w:rsidR="002653E8" w:rsidRDefault="002653E8">
      <w:pPr>
        <w:pStyle w:val="a3"/>
        <w:spacing w:before="2"/>
        <w:rPr>
          <w:sz w:val="18"/>
        </w:rPr>
      </w:pPr>
    </w:p>
    <w:p w14:paraId="7EA32CBB" w14:textId="77777777" w:rsidR="002653E8" w:rsidRDefault="003115E3">
      <w:pPr>
        <w:pStyle w:val="a4"/>
        <w:numPr>
          <w:ilvl w:val="0"/>
          <w:numId w:val="142"/>
        </w:numPr>
        <w:tabs>
          <w:tab w:val="left" w:pos="1482"/>
        </w:tabs>
        <w:spacing w:before="105" w:line="254" w:lineRule="auto"/>
        <w:ind w:right="1959" w:firstLine="0"/>
        <w:rPr>
          <w:sz w:val="16"/>
        </w:rPr>
      </w:pPr>
      <w:r>
        <w:rPr>
          <w:color w:val="231F20"/>
          <w:w w:val="105"/>
          <w:sz w:val="16"/>
        </w:rPr>
        <w:t>The relevant excerpts from Mohnhaupt’s testimony are included in this volume, see page</w:t>
      </w:r>
      <w:r>
        <w:rPr>
          <w:color w:val="231F20"/>
          <w:spacing w:val="25"/>
          <w:w w:val="105"/>
          <w:sz w:val="16"/>
        </w:rPr>
        <w:t xml:space="preserve"> </w:t>
      </w:r>
      <w:r>
        <w:rPr>
          <w:color w:val="231F20"/>
          <w:spacing w:val="-8"/>
          <w:w w:val="105"/>
          <w:sz w:val="16"/>
        </w:rPr>
        <w:t>357.</w:t>
      </w:r>
    </w:p>
    <w:p w14:paraId="54F7FC37" w14:textId="77777777" w:rsidR="002653E8" w:rsidRDefault="002653E8">
      <w:pPr>
        <w:spacing w:line="254" w:lineRule="auto"/>
        <w:rPr>
          <w:sz w:val="16"/>
        </w:rPr>
        <w:sectPr w:rsidR="002653E8">
          <w:pgSz w:w="8640" w:h="12960"/>
          <w:pgMar w:top="1080" w:right="0" w:bottom="1040" w:left="0" w:header="0" w:footer="850" w:gutter="0"/>
          <w:cols w:space="720"/>
        </w:sectPr>
      </w:pPr>
    </w:p>
    <w:p w14:paraId="4893B49A" w14:textId="77777777" w:rsidR="002653E8" w:rsidRDefault="002653E8">
      <w:pPr>
        <w:pStyle w:val="a3"/>
      </w:pPr>
    </w:p>
    <w:p w14:paraId="658463FD" w14:textId="77777777" w:rsidR="002653E8" w:rsidRDefault="002653E8">
      <w:pPr>
        <w:pStyle w:val="a3"/>
      </w:pPr>
    </w:p>
    <w:p w14:paraId="22FCDE44" w14:textId="77777777" w:rsidR="002653E8" w:rsidRDefault="002653E8">
      <w:pPr>
        <w:pStyle w:val="a3"/>
      </w:pPr>
    </w:p>
    <w:p w14:paraId="59E7AC1F" w14:textId="77777777" w:rsidR="002653E8" w:rsidRDefault="002653E8">
      <w:pPr>
        <w:pStyle w:val="a3"/>
      </w:pPr>
    </w:p>
    <w:p w14:paraId="27C2FDCD" w14:textId="77777777" w:rsidR="002653E8" w:rsidRDefault="002653E8">
      <w:pPr>
        <w:pStyle w:val="a3"/>
        <w:spacing w:before="2"/>
        <w:rPr>
          <w:sz w:val="29"/>
        </w:rPr>
      </w:pPr>
    </w:p>
    <w:p w14:paraId="7E8F6175" w14:textId="77777777" w:rsidR="002653E8" w:rsidRDefault="003115E3">
      <w:pPr>
        <w:pStyle w:val="4"/>
        <w:tabs>
          <w:tab w:val="left" w:pos="7039"/>
          <w:tab w:val="left" w:pos="7491"/>
        </w:tabs>
        <w:spacing w:before="86"/>
        <w:rPr>
          <w:rFonts w:ascii="Lucida Sans"/>
          <w:b/>
        </w:rPr>
      </w:pPr>
      <w:bookmarkStart w:id="65" w:name="5_The_May_Offensive:_Bringing_the_War_Ho"/>
      <w:bookmarkStart w:id="66" w:name="_bookmark21"/>
      <w:bookmarkEnd w:id="65"/>
      <w:bookmarkEnd w:id="66"/>
      <w:r>
        <w:rPr>
          <w:rFonts w:ascii="Lucida Sans"/>
          <w:b/>
          <w:color w:val="FFFFFF"/>
          <w:w w:val="87"/>
          <w:shd w:val="clear" w:color="auto" w:fill="231F20"/>
        </w:rPr>
        <w:t xml:space="preserve"> </w:t>
      </w:r>
      <w:r>
        <w:rPr>
          <w:rFonts w:ascii="Lucida Sans"/>
          <w:b/>
          <w:color w:val="FFFFFF"/>
          <w:shd w:val="clear" w:color="auto" w:fill="231F20"/>
        </w:rPr>
        <w:tab/>
      </w:r>
      <w:r>
        <w:rPr>
          <w:rFonts w:ascii="Lucida Sans"/>
          <w:b/>
          <w:color w:val="FFFFFF"/>
          <w:w w:val="95"/>
          <w:shd w:val="clear" w:color="auto" w:fill="231F20"/>
        </w:rPr>
        <w:t>5</w:t>
      </w:r>
      <w:r>
        <w:rPr>
          <w:rFonts w:ascii="Lucida Sans"/>
          <w:b/>
          <w:color w:val="FFFFFF"/>
          <w:shd w:val="clear" w:color="auto" w:fill="231F20"/>
        </w:rPr>
        <w:tab/>
      </w:r>
    </w:p>
    <w:p w14:paraId="5D9ACA5A" w14:textId="77777777" w:rsidR="002653E8" w:rsidRDefault="002653E8">
      <w:pPr>
        <w:pStyle w:val="a3"/>
        <w:rPr>
          <w:rFonts w:ascii="Lucida Sans"/>
          <w:b/>
          <w:sz w:val="36"/>
        </w:rPr>
      </w:pPr>
    </w:p>
    <w:p w14:paraId="1651BA7C" w14:textId="77777777" w:rsidR="002653E8" w:rsidRDefault="002653E8">
      <w:pPr>
        <w:pStyle w:val="a3"/>
        <w:spacing w:before="1"/>
        <w:rPr>
          <w:rFonts w:ascii="Lucida Sans"/>
          <w:b/>
          <w:sz w:val="38"/>
        </w:rPr>
      </w:pPr>
    </w:p>
    <w:p w14:paraId="586BEE14" w14:textId="77777777" w:rsidR="002653E8" w:rsidRDefault="003115E3">
      <w:pPr>
        <w:spacing w:line="244" w:lineRule="auto"/>
        <w:ind w:left="3648" w:right="1128" w:firstLine="684"/>
        <w:rPr>
          <w:rFonts w:ascii="Lucida Sans"/>
          <w:b/>
          <w:sz w:val="36"/>
        </w:rPr>
      </w:pPr>
      <w:r>
        <w:rPr>
          <w:rFonts w:ascii="Lucida Sans"/>
          <w:b/>
          <w:color w:val="231F20"/>
          <w:w w:val="95"/>
          <w:sz w:val="36"/>
        </w:rPr>
        <w:t>the May</w:t>
      </w:r>
      <w:r>
        <w:rPr>
          <w:rFonts w:ascii="Lucida Sans"/>
          <w:b/>
          <w:color w:val="231F20"/>
          <w:spacing w:val="-53"/>
          <w:w w:val="95"/>
          <w:sz w:val="36"/>
        </w:rPr>
        <w:t xml:space="preserve"> </w:t>
      </w:r>
      <w:r>
        <w:rPr>
          <w:rFonts w:ascii="Lucida Sans"/>
          <w:b/>
          <w:color w:val="231F20"/>
          <w:w w:val="95"/>
          <w:sz w:val="36"/>
        </w:rPr>
        <w:t>offensive: Bringing</w:t>
      </w:r>
      <w:r>
        <w:rPr>
          <w:rFonts w:ascii="Lucida Sans"/>
          <w:b/>
          <w:color w:val="231F20"/>
          <w:spacing w:val="-69"/>
          <w:w w:val="95"/>
          <w:sz w:val="36"/>
        </w:rPr>
        <w:t xml:space="preserve"> </w:t>
      </w:r>
      <w:r>
        <w:rPr>
          <w:rFonts w:ascii="Lucida Sans"/>
          <w:b/>
          <w:color w:val="231F20"/>
          <w:w w:val="95"/>
          <w:sz w:val="36"/>
        </w:rPr>
        <w:t>the</w:t>
      </w:r>
      <w:r>
        <w:rPr>
          <w:rFonts w:ascii="Lucida Sans"/>
          <w:b/>
          <w:color w:val="231F20"/>
          <w:spacing w:val="-69"/>
          <w:w w:val="95"/>
          <w:sz w:val="36"/>
        </w:rPr>
        <w:t xml:space="preserve"> </w:t>
      </w:r>
      <w:r>
        <w:rPr>
          <w:rFonts w:ascii="Lucida Sans"/>
          <w:b/>
          <w:color w:val="231F20"/>
          <w:spacing w:val="-6"/>
          <w:w w:val="95"/>
          <w:sz w:val="36"/>
        </w:rPr>
        <w:t>War</w:t>
      </w:r>
      <w:r>
        <w:rPr>
          <w:rFonts w:ascii="Lucida Sans"/>
          <w:b/>
          <w:color w:val="231F20"/>
          <w:spacing w:val="-69"/>
          <w:w w:val="95"/>
          <w:sz w:val="36"/>
        </w:rPr>
        <w:t xml:space="preserve"> </w:t>
      </w:r>
      <w:r>
        <w:rPr>
          <w:rFonts w:ascii="Lucida Sans"/>
          <w:b/>
          <w:color w:val="231F20"/>
          <w:w w:val="95"/>
          <w:sz w:val="36"/>
        </w:rPr>
        <w:t>Home</w:t>
      </w:r>
    </w:p>
    <w:p w14:paraId="3F995699" w14:textId="77777777" w:rsidR="002653E8" w:rsidRDefault="002653E8">
      <w:pPr>
        <w:pStyle w:val="a3"/>
        <w:rPr>
          <w:rFonts w:ascii="Lucida Sans"/>
          <w:b/>
          <w:sz w:val="42"/>
        </w:rPr>
      </w:pPr>
    </w:p>
    <w:p w14:paraId="789C038B" w14:textId="77777777" w:rsidR="002653E8" w:rsidRDefault="002653E8">
      <w:pPr>
        <w:pStyle w:val="a3"/>
        <w:spacing w:before="6"/>
        <w:rPr>
          <w:rFonts w:ascii="Lucida Sans"/>
          <w:b/>
          <w:sz w:val="51"/>
        </w:rPr>
      </w:pPr>
    </w:p>
    <w:p w14:paraId="1440F524" w14:textId="77777777" w:rsidR="002653E8" w:rsidRDefault="003115E3">
      <w:pPr>
        <w:spacing w:line="276" w:lineRule="auto"/>
        <w:ind w:left="1747" w:right="1565"/>
        <w:jc w:val="both"/>
        <w:rPr>
          <w:i/>
          <w:sz w:val="19"/>
        </w:rPr>
      </w:pPr>
      <w:r>
        <w:rPr>
          <w:i/>
          <w:color w:val="231F20"/>
          <w:w w:val="105"/>
          <w:sz w:val="19"/>
        </w:rPr>
        <w:t xml:space="preserve">This decision, this project, was arrived at through collective discussions involving everyone in the </w:t>
      </w:r>
      <w:r w:rsidR="00C507A5">
        <w:rPr>
          <w:i/>
          <w:color w:val="231F20"/>
          <w:w w:val="105"/>
          <w:sz w:val="19"/>
        </w:rPr>
        <w:t>red army faction</w:t>
      </w:r>
      <w:r>
        <w:rPr>
          <w:i/>
          <w:color w:val="231F20"/>
          <w:w w:val="105"/>
          <w:sz w:val="19"/>
        </w:rPr>
        <w:t>; in other words, there was a consensus of all the groups, of the units in each of the cities,</w:t>
      </w:r>
      <w:r>
        <w:rPr>
          <w:i/>
          <w:color w:val="231F20"/>
          <w:spacing w:val="-15"/>
          <w:w w:val="105"/>
          <w:sz w:val="19"/>
        </w:rPr>
        <w:t xml:space="preserve"> </w:t>
      </w:r>
      <w:r>
        <w:rPr>
          <w:i/>
          <w:color w:val="231F20"/>
          <w:w w:val="105"/>
          <w:sz w:val="19"/>
        </w:rPr>
        <w:t>and</w:t>
      </w:r>
      <w:r>
        <w:rPr>
          <w:i/>
          <w:color w:val="231F20"/>
          <w:spacing w:val="-11"/>
          <w:w w:val="105"/>
          <w:sz w:val="19"/>
        </w:rPr>
        <w:t xml:space="preserve"> </w:t>
      </w:r>
      <w:r>
        <w:rPr>
          <w:i/>
          <w:color w:val="231F20"/>
          <w:w w:val="105"/>
          <w:sz w:val="19"/>
        </w:rPr>
        <w:t>everyone</w:t>
      </w:r>
      <w:r>
        <w:rPr>
          <w:i/>
          <w:color w:val="231F20"/>
          <w:spacing w:val="-11"/>
          <w:w w:val="105"/>
          <w:sz w:val="19"/>
        </w:rPr>
        <w:t xml:space="preserve"> </w:t>
      </w:r>
      <w:r>
        <w:rPr>
          <w:i/>
          <w:color w:val="231F20"/>
          <w:w w:val="105"/>
          <w:sz w:val="19"/>
        </w:rPr>
        <w:t>clearly</w:t>
      </w:r>
      <w:r>
        <w:rPr>
          <w:i/>
          <w:color w:val="231F20"/>
          <w:spacing w:val="-11"/>
          <w:w w:val="105"/>
          <w:sz w:val="19"/>
        </w:rPr>
        <w:t xml:space="preserve"> </w:t>
      </w:r>
      <w:r>
        <w:rPr>
          <w:i/>
          <w:color w:val="231F20"/>
          <w:w w:val="105"/>
          <w:sz w:val="19"/>
        </w:rPr>
        <w:t>understood</w:t>
      </w:r>
      <w:r>
        <w:rPr>
          <w:i/>
          <w:color w:val="231F20"/>
          <w:spacing w:val="-11"/>
          <w:w w:val="105"/>
          <w:sz w:val="19"/>
        </w:rPr>
        <w:t xml:space="preserve"> </w:t>
      </w:r>
      <w:r>
        <w:rPr>
          <w:i/>
          <w:color w:val="231F20"/>
          <w:w w:val="105"/>
          <w:sz w:val="19"/>
        </w:rPr>
        <w:t>what</w:t>
      </w:r>
      <w:r>
        <w:rPr>
          <w:i/>
          <w:color w:val="231F20"/>
          <w:spacing w:val="-11"/>
          <w:w w:val="105"/>
          <w:sz w:val="19"/>
        </w:rPr>
        <w:t xml:space="preserve"> </w:t>
      </w:r>
      <w:r>
        <w:rPr>
          <w:i/>
          <w:color w:val="231F20"/>
          <w:w w:val="105"/>
          <w:sz w:val="19"/>
        </w:rPr>
        <w:t>this</w:t>
      </w:r>
      <w:r>
        <w:rPr>
          <w:i/>
          <w:color w:val="231F20"/>
          <w:spacing w:val="-11"/>
          <w:w w:val="105"/>
          <w:sz w:val="19"/>
        </w:rPr>
        <w:t xml:space="preserve"> </w:t>
      </w:r>
      <w:r>
        <w:rPr>
          <w:i/>
          <w:color w:val="231F20"/>
          <w:w w:val="105"/>
          <w:sz w:val="19"/>
        </w:rPr>
        <w:t>meant,</w:t>
      </w:r>
      <w:r>
        <w:rPr>
          <w:i/>
          <w:color w:val="231F20"/>
          <w:spacing w:val="-15"/>
          <w:w w:val="105"/>
          <w:sz w:val="19"/>
        </w:rPr>
        <w:t xml:space="preserve"> </w:t>
      </w:r>
      <w:r>
        <w:rPr>
          <w:i/>
          <w:color w:val="231F20"/>
          <w:w w:val="105"/>
          <w:sz w:val="19"/>
        </w:rPr>
        <w:t>what</w:t>
      </w:r>
      <w:r>
        <w:rPr>
          <w:i/>
          <w:color w:val="231F20"/>
          <w:spacing w:val="-11"/>
          <w:w w:val="105"/>
          <w:sz w:val="19"/>
        </w:rPr>
        <w:t xml:space="preserve"> </w:t>
      </w:r>
      <w:r>
        <w:rPr>
          <w:i/>
          <w:color w:val="231F20"/>
          <w:w w:val="105"/>
          <w:sz w:val="19"/>
        </w:rPr>
        <w:t>the purpose of these attacks</w:t>
      </w:r>
      <w:r>
        <w:rPr>
          <w:i/>
          <w:color w:val="231F20"/>
          <w:spacing w:val="26"/>
          <w:w w:val="105"/>
          <w:sz w:val="19"/>
        </w:rPr>
        <w:t xml:space="preserve"> </w:t>
      </w:r>
      <w:r>
        <w:rPr>
          <w:i/>
          <w:color w:val="231F20"/>
          <w:w w:val="105"/>
          <w:sz w:val="19"/>
        </w:rPr>
        <w:t>was.</w:t>
      </w:r>
    </w:p>
    <w:p w14:paraId="1B09337B" w14:textId="77777777" w:rsidR="002653E8" w:rsidRPr="00C507A5" w:rsidRDefault="003115E3">
      <w:pPr>
        <w:spacing w:line="276" w:lineRule="auto"/>
        <w:ind w:left="5626" w:right="1566" w:hanging="232"/>
        <w:jc w:val="right"/>
        <w:rPr>
          <w:sz w:val="19"/>
          <w:lang w:val="de-DE"/>
        </w:rPr>
      </w:pPr>
      <w:r w:rsidRPr="00C507A5">
        <w:rPr>
          <w:color w:val="231F20"/>
          <w:sz w:val="19"/>
          <w:lang w:val="de-DE"/>
        </w:rPr>
        <w:t>Brigitte Mohnhaupt</w:t>
      </w:r>
      <w:r w:rsidRPr="00C507A5">
        <w:rPr>
          <w:color w:val="231F20"/>
          <w:w w:val="104"/>
          <w:sz w:val="19"/>
          <w:lang w:val="de-DE"/>
        </w:rPr>
        <w:t xml:space="preserve"> </w:t>
      </w:r>
      <w:r w:rsidRPr="00C507A5">
        <w:rPr>
          <w:color w:val="231F20"/>
          <w:sz w:val="19"/>
          <w:lang w:val="de-DE"/>
        </w:rPr>
        <w:t>Stammheim Trial</w:t>
      </w:r>
      <w:r w:rsidRPr="00C507A5">
        <w:rPr>
          <w:color w:val="231F20"/>
          <w:w w:val="99"/>
          <w:sz w:val="19"/>
          <w:lang w:val="de-DE"/>
        </w:rPr>
        <w:t xml:space="preserve"> </w:t>
      </w:r>
      <w:r w:rsidRPr="00C507A5">
        <w:rPr>
          <w:color w:val="231F20"/>
          <w:w w:val="105"/>
          <w:sz w:val="19"/>
          <w:lang w:val="de-DE"/>
        </w:rPr>
        <w:t>July 22, 1976</w:t>
      </w:r>
    </w:p>
    <w:p w14:paraId="4B08C183" w14:textId="77777777" w:rsidR="002653E8" w:rsidRDefault="003115E3" w:rsidP="00340C16">
      <w:pPr>
        <w:pStyle w:val="a3"/>
        <w:spacing w:before="19" w:line="211" w:lineRule="auto"/>
        <w:ind w:left="1327" w:right="1146"/>
        <w:jc w:val="both"/>
      </w:pPr>
      <w:r>
        <w:rPr>
          <w:rFonts w:ascii="Verdana"/>
          <w:color w:val="231F20"/>
          <w:spacing w:val="-6"/>
          <w:sz w:val="48"/>
        </w:rPr>
        <w:t>I</w:t>
      </w:r>
      <w:r>
        <w:rPr>
          <w:color w:val="231F20"/>
          <w:w w:val="109"/>
        </w:rPr>
        <w:t>n</w:t>
      </w:r>
      <w:r>
        <w:rPr>
          <w:color w:val="231F20"/>
          <w:spacing w:val="1"/>
        </w:rPr>
        <w:t xml:space="preserve"> </w:t>
      </w:r>
      <w:r>
        <w:rPr>
          <w:color w:val="231F20"/>
          <w:spacing w:val="7"/>
          <w:w w:val="93"/>
        </w:rPr>
        <w:t>m</w:t>
      </w:r>
      <w:r>
        <w:rPr>
          <w:color w:val="231F20"/>
          <w:spacing w:val="-4"/>
          <w:w w:val="113"/>
        </w:rPr>
        <w:t>a</w:t>
      </w:r>
      <w:r>
        <w:rPr>
          <w:color w:val="231F20"/>
          <w:w w:val="110"/>
        </w:rPr>
        <w:t>y</w:t>
      </w:r>
      <w:r>
        <w:rPr>
          <w:color w:val="231F20"/>
          <w:spacing w:val="1"/>
        </w:rPr>
        <w:t xml:space="preserve"> </w:t>
      </w:r>
      <w:r>
        <w:rPr>
          <w:color w:val="231F20"/>
          <w:spacing w:val="-10"/>
        </w:rPr>
        <w:t>1</w:t>
      </w:r>
      <w:r>
        <w:rPr>
          <w:color w:val="231F20"/>
          <w:spacing w:val="-1"/>
        </w:rPr>
        <w:t>9</w:t>
      </w:r>
      <w:r>
        <w:rPr>
          <w:color w:val="231F20"/>
          <w:spacing w:val="-4"/>
        </w:rPr>
        <w:t>7</w:t>
      </w:r>
      <w:r>
        <w:rPr>
          <w:color w:val="231F20"/>
          <w:spacing w:val="2"/>
        </w:rPr>
        <w:t>2</w:t>
      </w:r>
      <w:r>
        <w:rPr>
          <w:color w:val="231F20"/>
          <w:w w:val="135"/>
        </w:rPr>
        <w:t>,</w:t>
      </w:r>
      <w:r>
        <w:rPr>
          <w:color w:val="231F20"/>
          <w:spacing w:val="1"/>
        </w:rPr>
        <w:t xml:space="preserve"> </w:t>
      </w:r>
      <w:r>
        <w:rPr>
          <w:color w:val="231F20"/>
          <w:spacing w:val="-1"/>
          <w:w w:val="103"/>
        </w:rPr>
        <w:t>s</w:t>
      </w:r>
      <w:r>
        <w:rPr>
          <w:color w:val="231F20"/>
          <w:spacing w:val="-2"/>
          <w:w w:val="120"/>
        </w:rPr>
        <w:t>h</w:t>
      </w:r>
      <w:r>
        <w:rPr>
          <w:color w:val="231F20"/>
          <w:spacing w:val="-2"/>
          <w:w w:val="125"/>
        </w:rPr>
        <w:t>o</w:t>
      </w:r>
      <w:r>
        <w:rPr>
          <w:color w:val="231F20"/>
          <w:w w:val="134"/>
        </w:rPr>
        <w:t>r</w:t>
      </w:r>
      <w:r>
        <w:rPr>
          <w:color w:val="231F20"/>
          <w:spacing w:val="5"/>
          <w:w w:val="147"/>
        </w:rPr>
        <w:t>t</w:t>
      </w:r>
      <w:r>
        <w:rPr>
          <w:color w:val="231F20"/>
          <w:spacing w:val="-6"/>
          <w:w w:val="184"/>
        </w:rPr>
        <w:t>l</w:t>
      </w:r>
      <w:r>
        <w:rPr>
          <w:color w:val="231F20"/>
          <w:w w:val="110"/>
        </w:rPr>
        <w:t>y</w:t>
      </w:r>
      <w:r>
        <w:rPr>
          <w:color w:val="231F20"/>
          <w:spacing w:val="1"/>
        </w:rPr>
        <w:t xml:space="preserve"> </w:t>
      </w:r>
      <w:r>
        <w:rPr>
          <w:color w:val="231F20"/>
          <w:spacing w:val="6"/>
          <w:w w:val="113"/>
        </w:rPr>
        <w:t>a</w:t>
      </w:r>
      <w:r>
        <w:rPr>
          <w:color w:val="231F20"/>
          <w:spacing w:val="6"/>
          <w:w w:val="165"/>
        </w:rPr>
        <w:t>f</w:t>
      </w:r>
      <w:r>
        <w:rPr>
          <w:color w:val="231F20"/>
          <w:spacing w:val="6"/>
          <w:w w:val="147"/>
        </w:rPr>
        <w:t>t</w:t>
      </w:r>
      <w:r>
        <w:rPr>
          <w:color w:val="231F20"/>
          <w:spacing w:val="5"/>
          <w:w w:val="102"/>
        </w:rPr>
        <w:t>e</w:t>
      </w:r>
      <w:r>
        <w:rPr>
          <w:color w:val="231F20"/>
          <w:w w:val="134"/>
        </w:rPr>
        <w:t>r</w:t>
      </w:r>
      <w:r>
        <w:rPr>
          <w:color w:val="231F20"/>
          <w:spacing w:val="1"/>
        </w:rPr>
        <w:t xml:space="preserve"> </w:t>
      </w:r>
      <w:r>
        <w:rPr>
          <w:color w:val="231F20"/>
          <w:spacing w:val="2"/>
          <w:w w:val="98"/>
        </w:rPr>
        <w:t>t</w:t>
      </w:r>
      <w:r>
        <w:rPr>
          <w:color w:val="231F20"/>
          <w:spacing w:val="-1"/>
        </w:rPr>
        <w:t>h</w:t>
      </w:r>
      <w:r>
        <w:rPr>
          <w:color w:val="231F20"/>
          <w:w w:val="91"/>
        </w:rPr>
        <w:t>e</w:t>
      </w:r>
      <w:r>
        <w:rPr>
          <w:color w:val="231F20"/>
          <w:spacing w:val="1"/>
        </w:rPr>
        <w:t xml:space="preserve"> </w:t>
      </w:r>
      <w:r>
        <w:rPr>
          <w:color w:val="231F20"/>
          <w:spacing w:val="-1"/>
          <w:w w:val="94"/>
        </w:rPr>
        <w:t>r</w:t>
      </w:r>
      <w:r>
        <w:rPr>
          <w:color w:val="231F20"/>
          <w:spacing w:val="-1"/>
          <w:w w:val="91"/>
        </w:rPr>
        <w:t>e</w:t>
      </w:r>
      <w:r>
        <w:rPr>
          <w:color w:val="231F20"/>
          <w:spacing w:val="-1"/>
          <w:w w:val="102"/>
        </w:rPr>
        <w:t>l</w:t>
      </w:r>
      <w:r>
        <w:rPr>
          <w:color w:val="231F20"/>
          <w:spacing w:val="1"/>
          <w:w w:val="91"/>
        </w:rPr>
        <w:t>e</w:t>
      </w:r>
      <w:r>
        <w:rPr>
          <w:color w:val="231F20"/>
          <w:w w:val="102"/>
        </w:rPr>
        <w:t>a</w:t>
      </w:r>
      <w:r>
        <w:rPr>
          <w:color w:val="231F20"/>
          <w:spacing w:val="1"/>
          <w:w w:val="90"/>
        </w:rPr>
        <w:t>s</w:t>
      </w:r>
      <w:r>
        <w:rPr>
          <w:color w:val="231F20"/>
          <w:w w:val="91"/>
        </w:rPr>
        <w:t>e</w:t>
      </w:r>
      <w:r>
        <w:rPr>
          <w:color w:val="231F20"/>
          <w:spacing w:val="1"/>
        </w:rPr>
        <w:t xml:space="preserve"> </w:t>
      </w:r>
      <w:r>
        <w:rPr>
          <w:color w:val="231F20"/>
          <w:spacing w:val="-2"/>
          <w:w w:val="104"/>
        </w:rPr>
        <w:t>o</w:t>
      </w:r>
      <w:r>
        <w:rPr>
          <w:color w:val="231F20"/>
          <w:w w:val="109"/>
        </w:rPr>
        <w:t>f</w:t>
      </w:r>
      <w:r>
        <w:rPr>
          <w:color w:val="231F20"/>
          <w:spacing w:val="1"/>
        </w:rPr>
        <w:t xml:space="preserve"> </w:t>
      </w:r>
      <w:r>
        <w:rPr>
          <w:i/>
          <w:color w:val="231F20"/>
          <w:spacing w:val="3"/>
          <w:w w:val="103"/>
        </w:rPr>
        <w:t>S</w:t>
      </w:r>
      <w:r>
        <w:rPr>
          <w:i/>
          <w:color w:val="231F20"/>
          <w:spacing w:val="5"/>
          <w:w w:val="97"/>
        </w:rPr>
        <w:t>e</w:t>
      </w:r>
      <w:r>
        <w:rPr>
          <w:i/>
          <w:color w:val="231F20"/>
          <w:spacing w:val="5"/>
          <w:w w:val="95"/>
        </w:rPr>
        <w:t>r</w:t>
      </w:r>
      <w:r>
        <w:rPr>
          <w:i/>
          <w:color w:val="231F20"/>
          <w:spacing w:val="-1"/>
          <w:w w:val="108"/>
        </w:rPr>
        <w:t>v</w:t>
      </w:r>
      <w:r>
        <w:rPr>
          <w:i/>
          <w:color w:val="231F20"/>
          <w:w w:val="97"/>
        </w:rPr>
        <w:t>e</w:t>
      </w:r>
      <w:r>
        <w:rPr>
          <w:i/>
          <w:color w:val="231F20"/>
          <w:spacing w:val="1"/>
        </w:rPr>
        <w:t xml:space="preserve"> </w:t>
      </w:r>
      <w:r>
        <w:rPr>
          <w:i/>
          <w:color w:val="231F20"/>
          <w:spacing w:val="1"/>
          <w:w w:val="96"/>
        </w:rPr>
        <w:t>t</w:t>
      </w:r>
      <w:r>
        <w:rPr>
          <w:i/>
          <w:color w:val="231F20"/>
          <w:spacing w:val="-2"/>
          <w:w w:val="104"/>
        </w:rPr>
        <w:t>h</w:t>
      </w:r>
      <w:r>
        <w:rPr>
          <w:i/>
          <w:color w:val="231F20"/>
          <w:w w:val="97"/>
        </w:rPr>
        <w:t>e</w:t>
      </w:r>
      <w:r>
        <w:rPr>
          <w:i/>
          <w:color w:val="231F20"/>
          <w:spacing w:val="1"/>
        </w:rPr>
        <w:t xml:space="preserve"> </w:t>
      </w:r>
      <w:r>
        <w:rPr>
          <w:i/>
          <w:color w:val="231F20"/>
          <w:spacing w:val="-6"/>
          <w:w w:val="110"/>
        </w:rPr>
        <w:t>P</w:t>
      </w:r>
      <w:r>
        <w:rPr>
          <w:i/>
          <w:color w:val="231F20"/>
          <w:w w:val="97"/>
        </w:rPr>
        <w:t>e</w:t>
      </w:r>
      <w:r>
        <w:rPr>
          <w:i/>
          <w:color w:val="231F20"/>
          <w:spacing w:val="1"/>
          <w:w w:val="109"/>
        </w:rPr>
        <w:t>o</w:t>
      </w:r>
      <w:r>
        <w:rPr>
          <w:i/>
          <w:color w:val="231F20"/>
          <w:spacing w:val="-2"/>
          <w:w w:val="105"/>
        </w:rPr>
        <w:t>p</w:t>
      </w:r>
      <w:r>
        <w:rPr>
          <w:i/>
          <w:color w:val="231F20"/>
          <w:spacing w:val="2"/>
          <w:w w:val="104"/>
        </w:rPr>
        <w:t>l</w:t>
      </w:r>
      <w:r>
        <w:rPr>
          <w:i/>
          <w:color w:val="231F20"/>
          <w:spacing w:val="-1"/>
          <w:w w:val="97"/>
        </w:rPr>
        <w:t>e</w:t>
      </w:r>
      <w:r>
        <w:rPr>
          <w:color w:val="231F20"/>
          <w:w w:val="135"/>
        </w:rPr>
        <w:t>,</w:t>
      </w:r>
      <w:r>
        <w:rPr>
          <w:color w:val="231F20"/>
          <w:spacing w:val="1"/>
        </w:rPr>
        <w:t xml:space="preserve"> </w:t>
      </w:r>
      <w:r>
        <w:rPr>
          <w:color w:val="231F20"/>
          <w:spacing w:val="2"/>
          <w:w w:val="98"/>
        </w:rPr>
        <w:t>t</w:t>
      </w:r>
      <w:r>
        <w:rPr>
          <w:color w:val="231F20"/>
          <w:spacing w:val="-1"/>
        </w:rPr>
        <w:t>h</w:t>
      </w:r>
      <w:r>
        <w:rPr>
          <w:color w:val="231F20"/>
          <w:w w:val="91"/>
        </w:rPr>
        <w:t>e</w:t>
      </w:r>
      <w:r>
        <w:rPr>
          <w:color w:val="231F20"/>
          <w:spacing w:val="1"/>
        </w:rPr>
        <w:t xml:space="preserve"> </w:t>
      </w:r>
      <w:r w:rsidR="00C507A5">
        <w:rPr>
          <w:color w:val="231F20"/>
          <w:spacing w:val="8"/>
          <w:w w:val="116"/>
        </w:rPr>
        <w:t>red army faction</w:t>
      </w:r>
      <w:r>
        <w:rPr>
          <w:color w:val="231F20"/>
          <w:w w:val="103"/>
        </w:rPr>
        <w:t xml:space="preserve"> </w:t>
      </w:r>
      <w:r>
        <w:rPr>
          <w:color w:val="231F20"/>
          <w:w w:val="105"/>
        </w:rPr>
        <w:t>left</w:t>
      </w:r>
      <w:r>
        <w:rPr>
          <w:color w:val="231F20"/>
          <w:spacing w:val="-10"/>
          <w:w w:val="105"/>
        </w:rPr>
        <w:t xml:space="preserve"> </w:t>
      </w:r>
      <w:r>
        <w:rPr>
          <w:color w:val="231F20"/>
          <w:w w:val="105"/>
        </w:rPr>
        <w:t>the</w:t>
      </w:r>
      <w:r>
        <w:rPr>
          <w:color w:val="231F20"/>
          <w:spacing w:val="-10"/>
          <w:w w:val="105"/>
        </w:rPr>
        <w:t xml:space="preserve"> </w:t>
      </w:r>
      <w:r>
        <w:rPr>
          <w:color w:val="231F20"/>
          <w:w w:val="105"/>
        </w:rPr>
        <w:t>stage</w:t>
      </w:r>
      <w:r>
        <w:rPr>
          <w:color w:val="231F20"/>
          <w:spacing w:val="-10"/>
          <w:w w:val="105"/>
        </w:rPr>
        <w:t xml:space="preserve"> </w:t>
      </w:r>
      <w:r>
        <w:rPr>
          <w:color w:val="231F20"/>
          <w:w w:val="105"/>
        </w:rPr>
        <w:t>of</w:t>
      </w:r>
      <w:r>
        <w:rPr>
          <w:color w:val="231F20"/>
          <w:spacing w:val="-10"/>
          <w:w w:val="105"/>
        </w:rPr>
        <w:t xml:space="preserve"> </w:t>
      </w:r>
      <w:r>
        <w:rPr>
          <w:color w:val="231F20"/>
          <w:w w:val="105"/>
        </w:rPr>
        <w:t>logistics</w:t>
      </w:r>
      <w:r>
        <w:rPr>
          <w:color w:val="231F20"/>
          <w:spacing w:val="-10"/>
          <w:w w:val="105"/>
        </w:rPr>
        <w:t xml:space="preserve"> </w:t>
      </w:r>
      <w:r>
        <w:rPr>
          <w:color w:val="231F20"/>
          <w:w w:val="105"/>
        </w:rPr>
        <w:t>and</w:t>
      </w:r>
      <w:r>
        <w:rPr>
          <w:color w:val="231F20"/>
          <w:spacing w:val="-10"/>
          <w:w w:val="105"/>
        </w:rPr>
        <w:t xml:space="preserve"> </w:t>
      </w:r>
      <w:r>
        <w:rPr>
          <w:color w:val="231F20"/>
          <w:w w:val="105"/>
        </w:rPr>
        <w:t>preparation,</w:t>
      </w:r>
      <w:r>
        <w:rPr>
          <w:color w:val="231F20"/>
          <w:spacing w:val="-10"/>
          <w:w w:val="105"/>
        </w:rPr>
        <w:t xml:space="preserve"> </w:t>
      </w:r>
      <w:r>
        <w:rPr>
          <w:color w:val="231F20"/>
          <w:w w:val="105"/>
        </w:rPr>
        <w:t>launching</w:t>
      </w:r>
      <w:r>
        <w:rPr>
          <w:color w:val="231F20"/>
          <w:spacing w:val="-10"/>
          <w:w w:val="105"/>
        </w:rPr>
        <w:t xml:space="preserve"> </w:t>
      </w:r>
      <w:r>
        <w:rPr>
          <w:color w:val="231F20"/>
          <w:w w:val="105"/>
        </w:rPr>
        <w:t>a</w:t>
      </w:r>
      <w:r>
        <w:rPr>
          <w:color w:val="231F20"/>
          <w:spacing w:val="-10"/>
          <w:w w:val="105"/>
        </w:rPr>
        <w:t xml:space="preserve"> </w:t>
      </w:r>
      <w:r>
        <w:rPr>
          <w:color w:val="231F20"/>
          <w:w w:val="105"/>
        </w:rPr>
        <w:t>series</w:t>
      </w:r>
      <w:r>
        <w:rPr>
          <w:color w:val="231F20"/>
          <w:spacing w:val="-10"/>
          <w:w w:val="105"/>
        </w:rPr>
        <w:t xml:space="preserve"> </w:t>
      </w:r>
      <w:r>
        <w:rPr>
          <w:color w:val="231F20"/>
          <w:w w:val="105"/>
        </w:rPr>
        <w:t>of</w:t>
      </w:r>
      <w:r>
        <w:rPr>
          <w:color w:val="231F20"/>
          <w:spacing w:val="-10"/>
          <w:w w:val="105"/>
        </w:rPr>
        <w:t xml:space="preserve"> </w:t>
      </w:r>
      <w:r>
        <w:rPr>
          <w:color w:val="231F20"/>
          <w:w w:val="105"/>
        </w:rPr>
        <w:t>attacks</w:t>
      </w:r>
      <w:r w:rsidR="00340C16">
        <w:rPr>
          <w:rFonts w:eastAsiaTheme="minorEastAsia" w:hint="eastAsia"/>
        </w:rPr>
        <w:t xml:space="preserve"> </w:t>
      </w:r>
      <w:r>
        <w:rPr>
          <w:color w:val="231F20"/>
          <w:w w:val="105"/>
        </w:rPr>
        <w:t>that were to go down in history as the “May Offensive.”</w:t>
      </w:r>
    </w:p>
    <w:p w14:paraId="29F4918A" w14:textId="77777777" w:rsidR="002653E8" w:rsidRDefault="003115E3">
      <w:pPr>
        <w:pStyle w:val="a3"/>
        <w:spacing w:before="22" w:line="264" w:lineRule="auto"/>
        <w:ind w:left="1327" w:right="1145" w:firstLine="210"/>
      </w:pPr>
      <w:r>
        <w:rPr>
          <w:color w:val="231F20"/>
          <w:w w:val="105"/>
        </w:rPr>
        <w:t>On</w:t>
      </w:r>
      <w:r>
        <w:rPr>
          <w:color w:val="231F20"/>
          <w:spacing w:val="-27"/>
          <w:w w:val="105"/>
        </w:rPr>
        <w:t xml:space="preserve"> </w:t>
      </w:r>
      <w:r>
        <w:rPr>
          <w:color w:val="231F20"/>
          <w:w w:val="105"/>
        </w:rPr>
        <w:t>the</w:t>
      </w:r>
      <w:r>
        <w:rPr>
          <w:color w:val="231F20"/>
          <w:spacing w:val="-27"/>
          <w:w w:val="105"/>
        </w:rPr>
        <w:t xml:space="preserve"> </w:t>
      </w:r>
      <w:r>
        <w:rPr>
          <w:color w:val="231F20"/>
          <w:w w:val="105"/>
        </w:rPr>
        <w:t>evening</w:t>
      </w:r>
      <w:r>
        <w:rPr>
          <w:color w:val="231F20"/>
          <w:spacing w:val="-27"/>
          <w:w w:val="105"/>
        </w:rPr>
        <w:t xml:space="preserve"> </w:t>
      </w:r>
      <w:r>
        <w:rPr>
          <w:color w:val="231F20"/>
          <w:w w:val="105"/>
        </w:rPr>
        <w:t>of</w:t>
      </w:r>
      <w:r>
        <w:rPr>
          <w:color w:val="231F20"/>
          <w:spacing w:val="-27"/>
          <w:w w:val="105"/>
        </w:rPr>
        <w:t xml:space="preserve"> </w:t>
      </w:r>
      <w:r>
        <w:rPr>
          <w:color w:val="231F20"/>
          <w:w w:val="105"/>
        </w:rPr>
        <w:t>May</w:t>
      </w:r>
      <w:r>
        <w:rPr>
          <w:color w:val="231F20"/>
          <w:spacing w:val="-27"/>
          <w:w w:val="105"/>
        </w:rPr>
        <w:t xml:space="preserve"> </w:t>
      </w:r>
      <w:r>
        <w:rPr>
          <w:color w:val="231F20"/>
          <w:spacing w:val="-4"/>
          <w:w w:val="105"/>
        </w:rPr>
        <w:t>11,</w:t>
      </w:r>
      <w:r>
        <w:rPr>
          <w:color w:val="231F20"/>
          <w:spacing w:val="-27"/>
          <w:w w:val="105"/>
        </w:rPr>
        <w:t xml:space="preserve"> </w:t>
      </w:r>
      <w:r>
        <w:rPr>
          <w:color w:val="231F20"/>
          <w:w w:val="105"/>
        </w:rPr>
        <w:t>the</w:t>
      </w:r>
      <w:r>
        <w:rPr>
          <w:color w:val="231F20"/>
          <w:spacing w:val="-27"/>
          <w:w w:val="105"/>
        </w:rPr>
        <w:t xml:space="preserve"> </w:t>
      </w:r>
      <w:r>
        <w:rPr>
          <w:color w:val="231F20"/>
          <w:w w:val="105"/>
        </w:rPr>
        <w:t>day</w:t>
      </w:r>
      <w:r>
        <w:rPr>
          <w:color w:val="231F20"/>
          <w:spacing w:val="-27"/>
          <w:w w:val="105"/>
        </w:rPr>
        <w:t xml:space="preserve"> </w:t>
      </w:r>
      <w:r>
        <w:rPr>
          <w:color w:val="231F20"/>
          <w:w w:val="105"/>
        </w:rPr>
        <w:t>the</w:t>
      </w:r>
      <w:r>
        <w:rPr>
          <w:color w:val="231F20"/>
          <w:spacing w:val="-27"/>
          <w:w w:val="105"/>
        </w:rPr>
        <w:t xml:space="preserve"> </w:t>
      </w:r>
      <w:r>
        <w:rPr>
          <w:color w:val="231F20"/>
          <w:w w:val="105"/>
        </w:rPr>
        <w:t>United</w:t>
      </w:r>
      <w:r>
        <w:rPr>
          <w:color w:val="231F20"/>
          <w:spacing w:val="-27"/>
          <w:w w:val="105"/>
        </w:rPr>
        <w:t xml:space="preserve"> </w:t>
      </w:r>
      <w:r>
        <w:rPr>
          <w:color w:val="231F20"/>
          <w:w w:val="105"/>
        </w:rPr>
        <w:t>States</w:t>
      </w:r>
      <w:r>
        <w:rPr>
          <w:color w:val="231F20"/>
          <w:spacing w:val="-27"/>
          <w:w w:val="105"/>
        </w:rPr>
        <w:t xml:space="preserve"> </w:t>
      </w:r>
      <w:r>
        <w:rPr>
          <w:color w:val="231F20"/>
          <w:w w:val="105"/>
        </w:rPr>
        <w:t>mined</w:t>
      </w:r>
      <w:r>
        <w:rPr>
          <w:color w:val="231F20"/>
          <w:spacing w:val="-27"/>
          <w:w w:val="105"/>
        </w:rPr>
        <w:t xml:space="preserve"> </w:t>
      </w:r>
      <w:r>
        <w:rPr>
          <w:color w:val="231F20"/>
          <w:w w:val="105"/>
        </w:rPr>
        <w:t>the</w:t>
      </w:r>
      <w:r>
        <w:rPr>
          <w:color w:val="231F20"/>
          <w:spacing w:val="-27"/>
          <w:w w:val="105"/>
        </w:rPr>
        <w:t xml:space="preserve"> </w:t>
      </w:r>
      <w:r>
        <w:rPr>
          <w:color w:val="231F20"/>
          <w:w w:val="105"/>
        </w:rPr>
        <w:t>harbors of</w:t>
      </w:r>
      <w:r>
        <w:rPr>
          <w:color w:val="231F20"/>
          <w:spacing w:val="7"/>
          <w:w w:val="105"/>
        </w:rPr>
        <w:t xml:space="preserve"> </w:t>
      </w:r>
      <w:r>
        <w:rPr>
          <w:color w:val="231F20"/>
          <w:w w:val="105"/>
        </w:rPr>
        <w:t>North</w:t>
      </w:r>
      <w:r>
        <w:rPr>
          <w:color w:val="231F20"/>
          <w:spacing w:val="7"/>
          <w:w w:val="105"/>
        </w:rPr>
        <w:t xml:space="preserve"> </w:t>
      </w:r>
      <w:r>
        <w:rPr>
          <w:color w:val="231F20"/>
          <w:w w:val="105"/>
        </w:rPr>
        <w:t>Vietnam,</w:t>
      </w:r>
      <w:r>
        <w:rPr>
          <w:color w:val="231F20"/>
          <w:spacing w:val="7"/>
          <w:w w:val="105"/>
        </w:rPr>
        <w:t xml:space="preserve"> </w:t>
      </w:r>
      <w:r>
        <w:rPr>
          <w:color w:val="231F20"/>
          <w:w w:val="105"/>
        </w:rPr>
        <w:t>the</w:t>
      </w:r>
      <w:r>
        <w:rPr>
          <w:color w:val="231F20"/>
          <w:spacing w:val="7"/>
          <w:w w:val="105"/>
        </w:rPr>
        <w:t xml:space="preserve"> </w:t>
      </w:r>
      <w:r w:rsidR="00C507A5">
        <w:rPr>
          <w:color w:val="231F20"/>
          <w:spacing w:val="1"/>
          <w:w w:val="105"/>
        </w:rPr>
        <w:t>red army faction</w:t>
      </w:r>
      <w:r>
        <w:rPr>
          <w:color w:val="231F20"/>
          <w:spacing w:val="1"/>
          <w:w w:val="105"/>
        </w:rPr>
        <w:t>’s</w:t>
      </w:r>
      <w:r>
        <w:rPr>
          <w:color w:val="231F20"/>
          <w:spacing w:val="7"/>
          <w:w w:val="105"/>
        </w:rPr>
        <w:t xml:space="preserve"> </w:t>
      </w:r>
      <w:r>
        <w:rPr>
          <w:color w:val="231F20"/>
          <w:w w:val="105"/>
        </w:rPr>
        <w:t>“Petra</w:t>
      </w:r>
      <w:r>
        <w:rPr>
          <w:color w:val="231F20"/>
          <w:spacing w:val="7"/>
          <w:w w:val="105"/>
        </w:rPr>
        <w:t xml:space="preserve"> </w:t>
      </w:r>
      <w:r>
        <w:rPr>
          <w:color w:val="231F20"/>
          <w:w w:val="105"/>
        </w:rPr>
        <w:t>Schelm</w:t>
      </w:r>
      <w:r>
        <w:rPr>
          <w:color w:val="231F20"/>
          <w:spacing w:val="7"/>
          <w:w w:val="105"/>
        </w:rPr>
        <w:t xml:space="preserve"> </w:t>
      </w:r>
      <w:r>
        <w:rPr>
          <w:color w:val="231F20"/>
          <w:w w:val="105"/>
        </w:rPr>
        <w:t>Commando”</w:t>
      </w:r>
      <w:r>
        <w:rPr>
          <w:color w:val="231F20"/>
          <w:spacing w:val="7"/>
          <w:w w:val="105"/>
        </w:rPr>
        <w:t xml:space="preserve"> </w:t>
      </w:r>
      <w:r>
        <w:rPr>
          <w:color w:val="231F20"/>
          <w:w w:val="105"/>
        </w:rPr>
        <w:t>bombed</w:t>
      </w:r>
      <w:r>
        <w:rPr>
          <w:color w:val="231F20"/>
          <w:spacing w:val="7"/>
          <w:w w:val="105"/>
        </w:rPr>
        <w:t xml:space="preserve"> </w:t>
      </w:r>
      <w:r>
        <w:rPr>
          <w:color w:val="231F20"/>
          <w:w w:val="105"/>
        </w:rPr>
        <w:t>the</w:t>
      </w:r>
    </w:p>
    <w:p w14:paraId="26801188" w14:textId="77777777" w:rsidR="002653E8" w:rsidRDefault="003115E3">
      <w:pPr>
        <w:pStyle w:val="a3"/>
        <w:spacing w:line="264" w:lineRule="auto"/>
        <w:ind w:left="1328" w:right="1145"/>
        <w:jc w:val="both"/>
        <w:rPr>
          <w:sz w:val="11"/>
        </w:rPr>
      </w:pPr>
      <w:r>
        <w:rPr>
          <w:color w:val="231F20"/>
          <w:spacing w:val="1"/>
        </w:rPr>
        <w:t xml:space="preserve">U.S. </w:t>
      </w:r>
      <w:r>
        <w:rPr>
          <w:color w:val="231F20"/>
        </w:rPr>
        <w:t xml:space="preserve">Army V Corps headquarters and the site of the National Security Agency in Frankfurt. At least three blasts went off, killing Lieutenant Colonel Paul </w:t>
      </w:r>
      <w:r>
        <w:rPr>
          <w:color w:val="231F20"/>
          <w:spacing w:val="1"/>
        </w:rPr>
        <w:t xml:space="preserve">A. </w:t>
      </w:r>
      <w:r>
        <w:rPr>
          <w:color w:val="231F20"/>
        </w:rPr>
        <w:t>Bloomquist and injuring thirteen others. As one mili</w:t>
      </w:r>
      <w:r>
        <w:rPr>
          <w:color w:val="231F20"/>
          <w:spacing w:val="1"/>
        </w:rPr>
        <w:t xml:space="preserve">tary </w:t>
      </w:r>
      <w:r>
        <w:rPr>
          <w:color w:val="231F20"/>
        </w:rPr>
        <w:t>police officer noted, the toll would have been much worse had the bombs gone off during duty hours. Damage to property was estimated at</w:t>
      </w:r>
      <w:r>
        <w:rPr>
          <w:color w:val="231F20"/>
          <w:spacing w:val="10"/>
        </w:rPr>
        <w:t xml:space="preserve"> </w:t>
      </w:r>
      <w:r>
        <w:rPr>
          <w:color w:val="231F20"/>
        </w:rPr>
        <w:t>$300,000.</w:t>
      </w:r>
      <w:r>
        <w:rPr>
          <w:color w:val="231F20"/>
          <w:position w:val="7"/>
          <w:sz w:val="11"/>
        </w:rPr>
        <w:t>2</w:t>
      </w:r>
    </w:p>
    <w:p w14:paraId="1A2D634D" w14:textId="77777777" w:rsidR="002653E8" w:rsidRDefault="00000000">
      <w:pPr>
        <w:pStyle w:val="a3"/>
        <w:spacing w:before="9"/>
        <w:rPr>
          <w:sz w:val="14"/>
        </w:rPr>
      </w:pPr>
      <w:r>
        <w:rPr>
          <w:noProof w:val="0"/>
        </w:rPr>
        <w:pict w14:anchorId="213850B4">
          <v:line id="_x0000_s2523" style="position:absolute;z-index:4744;mso-wrap-distance-left:0;mso-wrap-distance-right:0;mso-position-horizontal-relative:page" from="66.4pt,10.9pt" to="138.4pt,10.9pt" strokecolor="#231f20" strokeweight=".5pt">
            <w10:wrap type="topAndBottom" anchorx="page"/>
          </v:line>
        </w:pict>
      </w:r>
    </w:p>
    <w:p w14:paraId="5A475318" w14:textId="77777777" w:rsidR="002653E8" w:rsidRDefault="003115E3">
      <w:pPr>
        <w:pStyle w:val="a4"/>
        <w:numPr>
          <w:ilvl w:val="0"/>
          <w:numId w:val="142"/>
        </w:numPr>
        <w:tabs>
          <w:tab w:val="left" w:pos="1467"/>
        </w:tabs>
        <w:spacing w:before="53"/>
        <w:ind w:left="1466"/>
        <w:rPr>
          <w:i/>
          <w:sz w:val="16"/>
        </w:rPr>
      </w:pPr>
      <w:r>
        <w:rPr>
          <w:color w:val="231F20"/>
          <w:w w:val="110"/>
          <w:sz w:val="16"/>
        </w:rPr>
        <w:t xml:space="preserve">Dan Synovec,“Security Beefed Up at </w:t>
      </w:r>
      <w:r>
        <w:rPr>
          <w:color w:val="231F20"/>
          <w:spacing w:val="1"/>
          <w:w w:val="110"/>
          <w:sz w:val="16"/>
        </w:rPr>
        <w:t xml:space="preserve">U.S. </w:t>
      </w:r>
      <w:r>
        <w:rPr>
          <w:color w:val="231F20"/>
          <w:w w:val="110"/>
          <w:sz w:val="16"/>
        </w:rPr>
        <w:t xml:space="preserve">installations,” </w:t>
      </w:r>
      <w:r>
        <w:rPr>
          <w:i/>
          <w:color w:val="231F20"/>
          <w:w w:val="110"/>
          <w:sz w:val="16"/>
        </w:rPr>
        <w:t>European Stars</w:t>
      </w:r>
      <w:r>
        <w:rPr>
          <w:i/>
          <w:color w:val="231F20"/>
          <w:spacing w:val="7"/>
          <w:w w:val="110"/>
          <w:sz w:val="16"/>
        </w:rPr>
        <w:t xml:space="preserve"> </w:t>
      </w:r>
      <w:r>
        <w:rPr>
          <w:i/>
          <w:color w:val="231F20"/>
          <w:spacing w:val="1"/>
          <w:w w:val="110"/>
          <w:sz w:val="16"/>
        </w:rPr>
        <w:t>and</w:t>
      </w:r>
    </w:p>
    <w:p w14:paraId="7D4B9C8D" w14:textId="77777777" w:rsidR="002653E8" w:rsidRDefault="002653E8">
      <w:pPr>
        <w:rPr>
          <w:sz w:val="16"/>
        </w:rPr>
        <w:sectPr w:rsidR="002653E8">
          <w:footerReference w:type="even" r:id="rId138"/>
          <w:footerReference w:type="default" r:id="rId139"/>
          <w:pgSz w:w="8640" w:h="12960"/>
          <w:pgMar w:top="1220" w:right="0" w:bottom="1040" w:left="0" w:header="0" w:footer="850" w:gutter="0"/>
          <w:pgNumType w:start="163"/>
          <w:cols w:space="720"/>
        </w:sectPr>
      </w:pPr>
    </w:p>
    <w:p w14:paraId="58C1CF72" w14:textId="77777777" w:rsidR="002653E8" w:rsidRDefault="003115E3">
      <w:pPr>
        <w:pStyle w:val="a3"/>
        <w:spacing w:before="86" w:line="264" w:lineRule="auto"/>
        <w:ind w:left="1147" w:right="1327" w:firstLine="277"/>
        <w:jc w:val="both"/>
        <w:rPr>
          <w:sz w:val="11"/>
        </w:rPr>
      </w:pPr>
      <w:r>
        <w:rPr>
          <w:color w:val="231F20"/>
        </w:rPr>
        <w:lastRenderedPageBreak/>
        <w:t>“We expected things like this in Saigon,” a captain just back from Vietnam was quoted as saying. “Not here in Germany.”</w:t>
      </w:r>
      <w:r>
        <w:rPr>
          <w:color w:val="231F20"/>
          <w:position w:val="7"/>
          <w:sz w:val="11"/>
        </w:rPr>
        <w:t>1</w:t>
      </w:r>
    </w:p>
    <w:p w14:paraId="1E403CEE" w14:textId="77777777" w:rsidR="002653E8" w:rsidRDefault="003115E3">
      <w:pPr>
        <w:pStyle w:val="a3"/>
        <w:spacing w:line="264" w:lineRule="auto"/>
        <w:ind w:left="1147" w:right="1326" w:firstLine="210"/>
        <w:jc w:val="both"/>
        <w:rPr>
          <w:sz w:val="11"/>
        </w:rPr>
      </w:pPr>
      <w:r>
        <w:rPr>
          <w:color w:val="231F20"/>
        </w:rPr>
        <w:t xml:space="preserve">One can imagine that words like that put  smiles  on  many  a  face, and within twenty-four hours, </w:t>
      </w:r>
      <w:r>
        <w:rPr>
          <w:color w:val="231F20"/>
          <w:spacing w:val="1"/>
        </w:rPr>
        <w:t xml:space="preserve">U.S. </w:t>
      </w:r>
      <w:r>
        <w:rPr>
          <w:color w:val="231F20"/>
        </w:rPr>
        <w:t xml:space="preserve">military officials reported receiving  a number of threats promising all kinds of follow-up attacks. These quickly snowballed, and by early June, the </w:t>
      </w:r>
      <w:r>
        <w:rPr>
          <w:i/>
          <w:color w:val="231F20"/>
        </w:rPr>
        <w:t xml:space="preserve">Frankfurter Allgemeine Zeitung </w:t>
      </w:r>
      <w:r>
        <w:rPr>
          <w:color w:val="231F20"/>
        </w:rPr>
        <w:t>was reporting that thousands of such calls had been made by “high</w:t>
      </w:r>
      <w:r>
        <w:rPr>
          <w:color w:val="231F20"/>
          <w:spacing w:val="15"/>
        </w:rPr>
        <w:t xml:space="preserve"> </w:t>
      </w:r>
      <w:r>
        <w:rPr>
          <w:color w:val="231F20"/>
        </w:rPr>
        <w:t>school</w:t>
      </w:r>
      <w:r>
        <w:rPr>
          <w:color w:val="231F20"/>
          <w:spacing w:val="15"/>
        </w:rPr>
        <w:t xml:space="preserve"> </w:t>
      </w:r>
      <w:r>
        <w:rPr>
          <w:color w:val="231F20"/>
        </w:rPr>
        <w:t>students,</w:t>
      </w:r>
      <w:r>
        <w:rPr>
          <w:color w:val="231F20"/>
          <w:spacing w:val="15"/>
        </w:rPr>
        <w:t xml:space="preserve"> </w:t>
      </w:r>
      <w:r>
        <w:rPr>
          <w:color w:val="231F20"/>
          <w:spacing w:val="1"/>
        </w:rPr>
        <w:t>drunks,</w:t>
      </w:r>
      <w:r>
        <w:rPr>
          <w:color w:val="231F20"/>
          <w:spacing w:val="15"/>
        </w:rPr>
        <w:t xml:space="preserve"> </w:t>
      </w:r>
      <w:r>
        <w:rPr>
          <w:color w:val="231F20"/>
        </w:rPr>
        <w:t>psychopaths,</w:t>
      </w:r>
      <w:r>
        <w:rPr>
          <w:color w:val="231F20"/>
          <w:spacing w:val="15"/>
        </w:rPr>
        <w:t xml:space="preserve"> </w:t>
      </w:r>
      <w:r>
        <w:rPr>
          <w:color w:val="231F20"/>
        </w:rPr>
        <w:t>and</w:t>
      </w:r>
      <w:r>
        <w:rPr>
          <w:color w:val="231F20"/>
          <w:spacing w:val="15"/>
        </w:rPr>
        <w:t xml:space="preserve"> </w:t>
      </w:r>
      <w:r>
        <w:rPr>
          <w:color w:val="231F20"/>
        </w:rPr>
        <w:t>criminals.”</w:t>
      </w:r>
      <w:r>
        <w:rPr>
          <w:color w:val="231F20"/>
          <w:position w:val="7"/>
          <w:sz w:val="11"/>
        </w:rPr>
        <w:t>2</w:t>
      </w:r>
    </w:p>
    <w:p w14:paraId="216E3B3F" w14:textId="77777777" w:rsidR="002653E8" w:rsidRDefault="003115E3">
      <w:pPr>
        <w:pStyle w:val="a3"/>
        <w:spacing w:line="264" w:lineRule="auto"/>
        <w:ind w:left="1147" w:right="1326" w:firstLine="210"/>
        <w:jc w:val="both"/>
        <w:rPr>
          <w:sz w:val="11"/>
        </w:rPr>
      </w:pPr>
      <w:r>
        <w:rPr>
          <w:color w:val="231F20"/>
        </w:rPr>
        <w:t>“These calls,” complained the American Lieutenant General Williard Pearson in a similar vein, “were made by mentally unbalanced or irresponsible individuals seeking to create tension or panic within our community.”</w:t>
      </w:r>
      <w:r>
        <w:rPr>
          <w:color w:val="231F20"/>
          <w:position w:val="7"/>
          <w:sz w:val="11"/>
        </w:rPr>
        <w:t>3</w:t>
      </w:r>
    </w:p>
    <w:p w14:paraId="1CE3AFFD" w14:textId="77777777" w:rsidR="002653E8" w:rsidRDefault="003115E3">
      <w:pPr>
        <w:pStyle w:val="a3"/>
        <w:spacing w:line="264" w:lineRule="auto"/>
        <w:ind w:left="1148" w:right="1325" w:firstLine="209"/>
        <w:jc w:val="both"/>
        <w:rPr>
          <w:sz w:val="11"/>
        </w:rPr>
      </w:pPr>
      <w:r>
        <w:rPr>
          <w:color w:val="231F20"/>
        </w:rPr>
        <w:t xml:space="preserve">Given that the </w:t>
      </w:r>
      <w:r w:rsidR="00C507A5">
        <w:rPr>
          <w:color w:val="231F20"/>
        </w:rPr>
        <w:t>red army faction</w:t>
      </w:r>
      <w:r>
        <w:rPr>
          <w:color w:val="231F20"/>
        </w:rPr>
        <w:t xml:space="preserve"> always issued proper communiqués, these threats were most likely the work of people who were simply glad to see the Americans finally being hit. The state was far from amused, and it was noted that the financial consequences of false bomb threats were substantial for warehouses, newspapers, factories, and banks. More importantly, the wave of political prank calls helped create a signal-to-noise situation that can only have helped the guerilla. Nor was the activity without some risk: prison sentences for these false bomb threats ran from a couple of months to as high as three years.</w:t>
      </w:r>
      <w:r>
        <w:rPr>
          <w:color w:val="231F20"/>
          <w:position w:val="7"/>
          <w:sz w:val="11"/>
        </w:rPr>
        <w:t>4</w:t>
      </w:r>
    </w:p>
    <w:p w14:paraId="65E3370D" w14:textId="77777777" w:rsidR="002653E8" w:rsidRDefault="003115E3">
      <w:pPr>
        <w:pStyle w:val="a3"/>
        <w:spacing w:line="264" w:lineRule="auto"/>
        <w:ind w:left="1147" w:right="1325" w:firstLine="210"/>
        <w:jc w:val="both"/>
      </w:pPr>
      <w:r>
        <w:rPr>
          <w:color w:val="231F20"/>
        </w:rPr>
        <w:t>The</w:t>
      </w:r>
      <w:r>
        <w:rPr>
          <w:color w:val="231F20"/>
          <w:spacing w:val="-6"/>
        </w:rPr>
        <w:t xml:space="preserve"> </w:t>
      </w:r>
      <w:r>
        <w:rPr>
          <w:color w:val="231F20"/>
        </w:rPr>
        <w:t>day</w:t>
      </w:r>
      <w:r>
        <w:rPr>
          <w:color w:val="231F20"/>
          <w:spacing w:val="-6"/>
        </w:rPr>
        <w:t xml:space="preserve"> </w:t>
      </w:r>
      <w:r>
        <w:rPr>
          <w:color w:val="231F20"/>
        </w:rPr>
        <w:t>after</w:t>
      </w:r>
      <w:r>
        <w:rPr>
          <w:color w:val="231F20"/>
          <w:spacing w:val="-6"/>
        </w:rPr>
        <w:t xml:space="preserve"> </w:t>
      </w:r>
      <w:r>
        <w:rPr>
          <w:color w:val="231F20"/>
        </w:rPr>
        <w:t>the</w:t>
      </w:r>
      <w:r>
        <w:rPr>
          <w:color w:val="231F20"/>
          <w:spacing w:val="-6"/>
        </w:rPr>
        <w:t xml:space="preserve"> </w:t>
      </w:r>
      <w:r>
        <w:rPr>
          <w:color w:val="231F20"/>
        </w:rPr>
        <w:t>first</w:t>
      </w:r>
      <w:r>
        <w:rPr>
          <w:color w:val="231F20"/>
          <w:spacing w:val="-6"/>
        </w:rPr>
        <w:t xml:space="preserve"> </w:t>
      </w:r>
      <w:r>
        <w:rPr>
          <w:color w:val="231F20"/>
        </w:rPr>
        <w:t>bombing,</w:t>
      </w:r>
      <w:r>
        <w:rPr>
          <w:color w:val="231F20"/>
          <w:spacing w:val="-6"/>
        </w:rPr>
        <w:t xml:space="preserve"> </w:t>
      </w:r>
      <w:r>
        <w:rPr>
          <w:color w:val="231F20"/>
        </w:rPr>
        <w:t>on</w:t>
      </w:r>
      <w:r>
        <w:rPr>
          <w:color w:val="231F20"/>
          <w:spacing w:val="-6"/>
        </w:rPr>
        <w:t xml:space="preserve"> </w:t>
      </w:r>
      <w:r>
        <w:rPr>
          <w:color w:val="231F20"/>
        </w:rPr>
        <w:t>May</w:t>
      </w:r>
      <w:r>
        <w:rPr>
          <w:color w:val="231F20"/>
          <w:spacing w:val="-4"/>
        </w:rPr>
        <w:t xml:space="preserve"> </w:t>
      </w:r>
      <w:r>
        <w:rPr>
          <w:color w:val="231F20"/>
        </w:rPr>
        <w:t>12,</w:t>
      </w:r>
      <w:r>
        <w:rPr>
          <w:color w:val="231F20"/>
          <w:spacing w:val="-6"/>
        </w:rPr>
        <w:t xml:space="preserve"> </w:t>
      </w:r>
      <w:r>
        <w:rPr>
          <w:color w:val="231F20"/>
        </w:rPr>
        <w:t>attacks</w:t>
      </w:r>
      <w:r>
        <w:rPr>
          <w:color w:val="231F20"/>
          <w:spacing w:val="-6"/>
        </w:rPr>
        <w:t xml:space="preserve"> </w:t>
      </w:r>
      <w:r>
        <w:rPr>
          <w:color w:val="231F20"/>
        </w:rPr>
        <w:t>were</w:t>
      </w:r>
      <w:r>
        <w:rPr>
          <w:color w:val="231F20"/>
          <w:spacing w:val="-6"/>
        </w:rPr>
        <w:t xml:space="preserve"> </w:t>
      </w:r>
      <w:r>
        <w:rPr>
          <w:color w:val="231F20"/>
        </w:rPr>
        <w:t>carried</w:t>
      </w:r>
      <w:r>
        <w:rPr>
          <w:color w:val="231F20"/>
          <w:spacing w:val="-6"/>
        </w:rPr>
        <w:t xml:space="preserve"> </w:t>
      </w:r>
      <w:r>
        <w:rPr>
          <w:color w:val="231F20"/>
        </w:rPr>
        <w:t>out</w:t>
      </w:r>
      <w:r>
        <w:rPr>
          <w:color w:val="231F20"/>
          <w:spacing w:val="-6"/>
        </w:rPr>
        <w:t xml:space="preserve"> </w:t>
      </w:r>
      <w:r>
        <w:rPr>
          <w:color w:val="231F20"/>
        </w:rPr>
        <w:t xml:space="preserve">in two Bavarian cities in response to the March 2 shooting of Weissbecker. </w:t>
      </w:r>
      <w:r>
        <w:rPr>
          <w:color w:val="231F20"/>
          <w:spacing w:val="1"/>
        </w:rPr>
        <w:t xml:space="preserve">In </w:t>
      </w:r>
      <w:r>
        <w:rPr>
          <w:color w:val="231F20"/>
        </w:rPr>
        <w:t xml:space="preserve">Augsburg, bombs were planted inside the police headquarters, and one cop suffered mild injuries. </w:t>
      </w:r>
      <w:r>
        <w:rPr>
          <w:color w:val="231F20"/>
          <w:spacing w:val="1"/>
        </w:rPr>
        <w:t xml:space="preserve">In </w:t>
      </w:r>
      <w:r>
        <w:rPr>
          <w:color w:val="231F20"/>
        </w:rPr>
        <w:t xml:space="preserve">the state capital Munich, a car bomb was parked just outside the six-storey police building; when it went    off, it blew out the windows up to the top floor. A nearby pay station  had received a telephone warning, but by the time the police got wind  of it, there was not enough time to evacuate—twelve people were injured, and damages were estimated at </w:t>
      </w:r>
      <w:r>
        <w:rPr>
          <w:color w:val="231F20"/>
          <w:spacing w:val="-3"/>
        </w:rPr>
        <w:t>$150,000.</w:t>
      </w:r>
      <w:r>
        <w:rPr>
          <w:color w:val="231F20"/>
          <w:spacing w:val="-3"/>
          <w:position w:val="7"/>
          <w:sz w:val="11"/>
        </w:rPr>
        <w:t xml:space="preserve">5 </w:t>
      </w:r>
      <w:r>
        <w:rPr>
          <w:color w:val="231F20"/>
        </w:rPr>
        <w:t>These bombings were claimed</w:t>
      </w:r>
      <w:r>
        <w:rPr>
          <w:color w:val="231F20"/>
          <w:spacing w:val="16"/>
        </w:rPr>
        <w:t xml:space="preserve"> </w:t>
      </w:r>
      <w:r>
        <w:rPr>
          <w:color w:val="231F20"/>
        </w:rPr>
        <w:t>by</w:t>
      </w:r>
      <w:r>
        <w:rPr>
          <w:color w:val="231F20"/>
          <w:spacing w:val="16"/>
        </w:rPr>
        <w:t xml:space="preserve"> </w:t>
      </w:r>
      <w:r>
        <w:rPr>
          <w:color w:val="231F20"/>
        </w:rPr>
        <w:t>the</w:t>
      </w:r>
      <w:r>
        <w:rPr>
          <w:color w:val="231F20"/>
          <w:spacing w:val="16"/>
        </w:rPr>
        <w:t xml:space="preserve"> </w:t>
      </w:r>
      <w:r w:rsidR="00C507A5">
        <w:rPr>
          <w:color w:val="231F20"/>
          <w:spacing w:val="1"/>
        </w:rPr>
        <w:t>red army faction</w:t>
      </w:r>
      <w:r>
        <w:rPr>
          <w:color w:val="231F20"/>
          <w:spacing w:val="1"/>
        </w:rPr>
        <w:t>’s</w:t>
      </w:r>
      <w:r>
        <w:rPr>
          <w:color w:val="231F20"/>
          <w:spacing w:val="16"/>
        </w:rPr>
        <w:t xml:space="preserve"> </w:t>
      </w:r>
      <w:r>
        <w:rPr>
          <w:color w:val="231F20"/>
        </w:rPr>
        <w:t>“Thomas</w:t>
      </w:r>
      <w:r>
        <w:rPr>
          <w:color w:val="231F20"/>
          <w:spacing w:val="16"/>
        </w:rPr>
        <w:t xml:space="preserve"> </w:t>
      </w:r>
      <w:r>
        <w:rPr>
          <w:color w:val="231F20"/>
        </w:rPr>
        <w:t>Weissbecker</w:t>
      </w:r>
      <w:r>
        <w:rPr>
          <w:color w:val="231F20"/>
          <w:spacing w:val="16"/>
        </w:rPr>
        <w:t xml:space="preserve"> </w:t>
      </w:r>
      <w:r>
        <w:rPr>
          <w:color w:val="231F20"/>
        </w:rPr>
        <w:t>Commando.”</w:t>
      </w:r>
    </w:p>
    <w:p w14:paraId="58C3EC20" w14:textId="77777777" w:rsidR="002653E8" w:rsidRDefault="00000000">
      <w:pPr>
        <w:pStyle w:val="a3"/>
        <w:spacing w:before="1"/>
        <w:rPr>
          <w:sz w:val="16"/>
        </w:rPr>
      </w:pPr>
      <w:r>
        <w:rPr>
          <w:noProof w:val="0"/>
        </w:rPr>
        <w:pict w14:anchorId="087CCBB5">
          <v:line id="_x0000_s2522" style="position:absolute;z-index:4768;mso-wrap-distance-left:0;mso-wrap-distance-right:0;mso-position-horizontal-relative:page" from="57.4pt,11.9pt" to="345.4pt,11.9pt" strokecolor="#231f20" strokeweight="1pt">
            <w10:wrap type="topAndBottom" anchorx="page"/>
          </v:line>
        </w:pict>
      </w:r>
    </w:p>
    <w:p w14:paraId="6F4671DF" w14:textId="77777777" w:rsidR="002653E8" w:rsidRDefault="003115E3">
      <w:pPr>
        <w:spacing w:before="8"/>
        <w:ind w:left="1147"/>
        <w:rPr>
          <w:sz w:val="16"/>
        </w:rPr>
      </w:pPr>
      <w:r>
        <w:rPr>
          <w:i/>
          <w:color w:val="231F20"/>
          <w:w w:val="110"/>
          <w:sz w:val="16"/>
        </w:rPr>
        <w:t xml:space="preserve">Stripes, </w:t>
      </w:r>
      <w:r>
        <w:rPr>
          <w:color w:val="231F20"/>
          <w:w w:val="110"/>
          <w:sz w:val="16"/>
        </w:rPr>
        <w:t>May 13, 1972; Dave Lams, “Police Trace Leads in V Corps Blasts,”</w:t>
      </w:r>
    </w:p>
    <w:p w14:paraId="7C8B6794" w14:textId="77777777" w:rsidR="002653E8" w:rsidRDefault="003115E3">
      <w:pPr>
        <w:spacing w:before="11" w:line="307" w:lineRule="auto"/>
        <w:ind w:left="1147" w:right="4296"/>
        <w:rPr>
          <w:sz w:val="16"/>
        </w:rPr>
      </w:pPr>
      <w:r>
        <w:rPr>
          <w:i/>
          <w:color w:val="231F20"/>
          <w:w w:val="110"/>
          <w:sz w:val="16"/>
        </w:rPr>
        <w:t xml:space="preserve">European Stars and Stripes, </w:t>
      </w:r>
      <w:r>
        <w:rPr>
          <w:color w:val="231F20"/>
          <w:w w:val="110"/>
          <w:sz w:val="16"/>
        </w:rPr>
        <w:t>May 13, 1972. 1 Synovec,“Security Beefed Up.”</w:t>
      </w:r>
    </w:p>
    <w:p w14:paraId="0B118471" w14:textId="77777777" w:rsidR="002653E8" w:rsidRPr="00C507A5" w:rsidRDefault="003115E3">
      <w:pPr>
        <w:pStyle w:val="a4"/>
        <w:numPr>
          <w:ilvl w:val="0"/>
          <w:numId w:val="141"/>
        </w:numPr>
        <w:tabs>
          <w:tab w:val="left" w:pos="1287"/>
        </w:tabs>
        <w:spacing w:before="0" w:line="254" w:lineRule="auto"/>
        <w:ind w:right="1907" w:firstLine="0"/>
        <w:rPr>
          <w:sz w:val="16"/>
          <w:lang w:val="de-DE"/>
        </w:rPr>
      </w:pPr>
      <w:r w:rsidRPr="00C507A5">
        <w:rPr>
          <w:color w:val="231F20"/>
          <w:w w:val="110"/>
          <w:sz w:val="16"/>
          <w:lang w:val="de-DE"/>
        </w:rPr>
        <w:t>Thomas</w:t>
      </w:r>
      <w:r w:rsidRPr="00C507A5">
        <w:rPr>
          <w:color w:val="231F20"/>
          <w:spacing w:val="-17"/>
          <w:w w:val="110"/>
          <w:sz w:val="16"/>
          <w:lang w:val="de-DE"/>
        </w:rPr>
        <w:t xml:space="preserve"> </w:t>
      </w:r>
      <w:r w:rsidRPr="00C507A5">
        <w:rPr>
          <w:color w:val="231F20"/>
          <w:spacing w:val="1"/>
          <w:w w:val="110"/>
          <w:sz w:val="16"/>
          <w:lang w:val="de-DE"/>
        </w:rPr>
        <w:t>Kirn,</w:t>
      </w:r>
      <w:r w:rsidRPr="00C507A5">
        <w:rPr>
          <w:color w:val="231F20"/>
          <w:spacing w:val="-17"/>
          <w:w w:val="110"/>
          <w:sz w:val="16"/>
          <w:lang w:val="de-DE"/>
        </w:rPr>
        <w:t xml:space="preserve"> </w:t>
      </w:r>
      <w:r w:rsidRPr="00C507A5">
        <w:rPr>
          <w:color w:val="231F20"/>
          <w:w w:val="110"/>
          <w:sz w:val="16"/>
          <w:lang w:val="de-DE"/>
        </w:rPr>
        <w:t>“Bombendrohungen</w:t>
      </w:r>
      <w:r w:rsidRPr="00C507A5">
        <w:rPr>
          <w:color w:val="231F20"/>
          <w:spacing w:val="-17"/>
          <w:w w:val="110"/>
          <w:sz w:val="16"/>
          <w:lang w:val="de-DE"/>
        </w:rPr>
        <w:t xml:space="preserve"> </w:t>
      </w:r>
      <w:r w:rsidRPr="00C507A5">
        <w:rPr>
          <w:color w:val="231F20"/>
          <w:w w:val="110"/>
          <w:sz w:val="16"/>
          <w:lang w:val="de-DE"/>
        </w:rPr>
        <w:t>werden</w:t>
      </w:r>
      <w:r w:rsidRPr="00C507A5">
        <w:rPr>
          <w:color w:val="231F20"/>
          <w:spacing w:val="-17"/>
          <w:w w:val="110"/>
          <w:sz w:val="16"/>
          <w:lang w:val="de-DE"/>
        </w:rPr>
        <w:t xml:space="preserve"> </w:t>
      </w:r>
      <w:r w:rsidRPr="00C507A5">
        <w:rPr>
          <w:color w:val="231F20"/>
          <w:w w:val="110"/>
          <w:sz w:val="16"/>
          <w:lang w:val="de-DE"/>
        </w:rPr>
        <w:t>schnell</w:t>
      </w:r>
      <w:r w:rsidRPr="00C507A5">
        <w:rPr>
          <w:color w:val="231F20"/>
          <w:spacing w:val="-17"/>
          <w:w w:val="110"/>
          <w:sz w:val="16"/>
          <w:lang w:val="de-DE"/>
        </w:rPr>
        <w:t xml:space="preserve"> </w:t>
      </w:r>
      <w:r w:rsidRPr="00C507A5">
        <w:rPr>
          <w:color w:val="231F20"/>
          <w:w w:val="110"/>
          <w:sz w:val="16"/>
          <w:lang w:val="de-DE"/>
        </w:rPr>
        <w:t>geahndet,”</w:t>
      </w:r>
      <w:r w:rsidRPr="00C507A5">
        <w:rPr>
          <w:color w:val="231F20"/>
          <w:spacing w:val="-17"/>
          <w:w w:val="110"/>
          <w:sz w:val="16"/>
          <w:lang w:val="de-DE"/>
        </w:rPr>
        <w:t xml:space="preserve"> </w:t>
      </w:r>
      <w:r w:rsidRPr="00C507A5">
        <w:rPr>
          <w:i/>
          <w:color w:val="231F20"/>
          <w:spacing w:val="1"/>
          <w:w w:val="110"/>
          <w:sz w:val="16"/>
          <w:lang w:val="de-DE"/>
        </w:rPr>
        <w:t xml:space="preserve">Frankfurter Allgemeine Zeitung, </w:t>
      </w:r>
      <w:r w:rsidRPr="00C507A5">
        <w:rPr>
          <w:color w:val="231F20"/>
          <w:w w:val="110"/>
          <w:sz w:val="16"/>
          <w:lang w:val="de-DE"/>
        </w:rPr>
        <w:t>June 9,</w:t>
      </w:r>
      <w:r w:rsidRPr="00C507A5">
        <w:rPr>
          <w:color w:val="231F20"/>
          <w:spacing w:val="20"/>
          <w:w w:val="110"/>
          <w:sz w:val="16"/>
          <w:lang w:val="de-DE"/>
        </w:rPr>
        <w:t xml:space="preserve"> </w:t>
      </w:r>
      <w:r w:rsidRPr="00C507A5">
        <w:rPr>
          <w:color w:val="231F20"/>
          <w:w w:val="110"/>
          <w:sz w:val="16"/>
          <w:lang w:val="de-DE"/>
        </w:rPr>
        <w:t>1972.</w:t>
      </w:r>
    </w:p>
    <w:p w14:paraId="3A129747" w14:textId="77777777" w:rsidR="002653E8" w:rsidRDefault="003115E3">
      <w:pPr>
        <w:pStyle w:val="a4"/>
        <w:numPr>
          <w:ilvl w:val="0"/>
          <w:numId w:val="141"/>
        </w:numPr>
        <w:tabs>
          <w:tab w:val="left" w:pos="1287"/>
        </w:tabs>
        <w:spacing w:before="39"/>
        <w:ind w:firstLine="0"/>
        <w:rPr>
          <w:sz w:val="16"/>
        </w:rPr>
      </w:pPr>
      <w:r>
        <w:rPr>
          <w:color w:val="231F20"/>
          <w:w w:val="105"/>
          <w:sz w:val="16"/>
        </w:rPr>
        <w:t>“General</w:t>
      </w:r>
      <w:r>
        <w:rPr>
          <w:color w:val="231F20"/>
          <w:spacing w:val="8"/>
          <w:w w:val="105"/>
          <w:sz w:val="16"/>
        </w:rPr>
        <w:t xml:space="preserve"> </w:t>
      </w:r>
      <w:r>
        <w:rPr>
          <w:color w:val="231F20"/>
          <w:w w:val="105"/>
          <w:sz w:val="16"/>
        </w:rPr>
        <w:t>Pearson</w:t>
      </w:r>
      <w:r>
        <w:rPr>
          <w:color w:val="231F20"/>
          <w:spacing w:val="8"/>
          <w:w w:val="105"/>
          <w:sz w:val="16"/>
        </w:rPr>
        <w:t xml:space="preserve"> </w:t>
      </w:r>
      <w:r>
        <w:rPr>
          <w:color w:val="231F20"/>
          <w:w w:val="105"/>
          <w:sz w:val="16"/>
        </w:rPr>
        <w:t>seeks</w:t>
      </w:r>
      <w:r>
        <w:rPr>
          <w:color w:val="231F20"/>
          <w:spacing w:val="8"/>
          <w:w w:val="105"/>
          <w:sz w:val="16"/>
        </w:rPr>
        <w:t xml:space="preserve"> </w:t>
      </w:r>
      <w:r>
        <w:rPr>
          <w:color w:val="231F20"/>
          <w:w w:val="105"/>
          <w:sz w:val="16"/>
        </w:rPr>
        <w:t>community</w:t>
      </w:r>
      <w:r>
        <w:rPr>
          <w:color w:val="231F20"/>
          <w:spacing w:val="8"/>
          <w:w w:val="105"/>
          <w:sz w:val="16"/>
        </w:rPr>
        <w:t xml:space="preserve"> </w:t>
      </w:r>
      <w:r>
        <w:rPr>
          <w:color w:val="231F20"/>
          <w:w w:val="105"/>
          <w:sz w:val="16"/>
        </w:rPr>
        <w:t>help</w:t>
      </w:r>
      <w:r>
        <w:rPr>
          <w:color w:val="231F20"/>
          <w:spacing w:val="8"/>
          <w:w w:val="105"/>
          <w:sz w:val="16"/>
        </w:rPr>
        <w:t xml:space="preserve"> </w:t>
      </w:r>
      <w:r>
        <w:rPr>
          <w:color w:val="231F20"/>
          <w:w w:val="105"/>
          <w:sz w:val="16"/>
        </w:rPr>
        <w:t>in</w:t>
      </w:r>
      <w:r>
        <w:rPr>
          <w:color w:val="231F20"/>
          <w:spacing w:val="8"/>
          <w:w w:val="105"/>
          <w:sz w:val="16"/>
        </w:rPr>
        <w:t xml:space="preserve"> </w:t>
      </w:r>
      <w:r>
        <w:rPr>
          <w:color w:val="231F20"/>
          <w:w w:val="105"/>
          <w:sz w:val="16"/>
        </w:rPr>
        <w:t>solving</w:t>
      </w:r>
      <w:r>
        <w:rPr>
          <w:color w:val="231F20"/>
          <w:spacing w:val="8"/>
          <w:w w:val="105"/>
          <w:sz w:val="16"/>
        </w:rPr>
        <w:t xml:space="preserve"> </w:t>
      </w:r>
      <w:r>
        <w:rPr>
          <w:color w:val="231F20"/>
          <w:spacing w:val="1"/>
          <w:w w:val="105"/>
          <w:sz w:val="16"/>
        </w:rPr>
        <w:t>Frankfurt</w:t>
      </w:r>
      <w:r>
        <w:rPr>
          <w:color w:val="231F20"/>
          <w:spacing w:val="8"/>
          <w:w w:val="105"/>
          <w:sz w:val="16"/>
        </w:rPr>
        <w:t xml:space="preserve"> </w:t>
      </w:r>
      <w:r>
        <w:rPr>
          <w:color w:val="231F20"/>
          <w:w w:val="105"/>
          <w:sz w:val="16"/>
        </w:rPr>
        <w:t>bombings,”</w:t>
      </w:r>
    </w:p>
    <w:p w14:paraId="7642496B" w14:textId="77777777" w:rsidR="002653E8" w:rsidRDefault="003115E3">
      <w:pPr>
        <w:spacing w:before="12"/>
        <w:ind w:left="1147"/>
        <w:rPr>
          <w:sz w:val="16"/>
        </w:rPr>
      </w:pPr>
      <w:r>
        <w:rPr>
          <w:i/>
          <w:color w:val="231F20"/>
          <w:w w:val="110"/>
          <w:sz w:val="16"/>
        </w:rPr>
        <w:t xml:space="preserve">European Stars and Stripes, </w:t>
      </w:r>
      <w:r>
        <w:rPr>
          <w:color w:val="231F20"/>
          <w:w w:val="110"/>
          <w:sz w:val="16"/>
        </w:rPr>
        <w:t>May 16, 1972.</w:t>
      </w:r>
    </w:p>
    <w:p w14:paraId="68078AC6" w14:textId="77777777" w:rsidR="002653E8" w:rsidRPr="00C507A5" w:rsidRDefault="003115E3">
      <w:pPr>
        <w:pStyle w:val="a4"/>
        <w:numPr>
          <w:ilvl w:val="0"/>
          <w:numId w:val="141"/>
        </w:numPr>
        <w:tabs>
          <w:tab w:val="left" w:pos="1287"/>
        </w:tabs>
        <w:spacing w:before="52"/>
        <w:ind w:left="1286" w:hanging="138"/>
        <w:rPr>
          <w:sz w:val="16"/>
          <w:lang w:val="de-DE"/>
        </w:rPr>
      </w:pPr>
      <w:r w:rsidRPr="00C507A5">
        <w:rPr>
          <w:color w:val="231F20"/>
          <w:spacing w:val="1"/>
          <w:w w:val="105"/>
          <w:sz w:val="16"/>
          <w:lang w:val="de-DE"/>
        </w:rPr>
        <w:t xml:space="preserve">Kirn, </w:t>
      </w:r>
      <w:r w:rsidRPr="00C507A5">
        <w:rPr>
          <w:color w:val="231F20"/>
          <w:w w:val="105"/>
          <w:sz w:val="16"/>
          <w:lang w:val="de-DE"/>
        </w:rPr>
        <w:t>“Bombendrohungen werden schnell</w:t>
      </w:r>
      <w:r w:rsidRPr="00C507A5">
        <w:rPr>
          <w:color w:val="231F20"/>
          <w:spacing w:val="32"/>
          <w:w w:val="105"/>
          <w:sz w:val="16"/>
          <w:lang w:val="de-DE"/>
        </w:rPr>
        <w:t xml:space="preserve"> </w:t>
      </w:r>
      <w:r w:rsidRPr="00C507A5">
        <w:rPr>
          <w:color w:val="231F20"/>
          <w:w w:val="105"/>
          <w:sz w:val="16"/>
          <w:lang w:val="de-DE"/>
        </w:rPr>
        <w:t>geahndet.”</w:t>
      </w:r>
    </w:p>
    <w:p w14:paraId="0463C658" w14:textId="77777777" w:rsidR="002653E8" w:rsidRDefault="003115E3">
      <w:pPr>
        <w:pStyle w:val="a4"/>
        <w:numPr>
          <w:ilvl w:val="0"/>
          <w:numId w:val="141"/>
        </w:numPr>
        <w:tabs>
          <w:tab w:val="left" w:pos="1287"/>
        </w:tabs>
        <w:spacing w:before="51"/>
        <w:ind w:left="1286" w:hanging="138"/>
        <w:rPr>
          <w:sz w:val="16"/>
        </w:rPr>
      </w:pPr>
      <w:r>
        <w:rPr>
          <w:i/>
          <w:color w:val="231F20"/>
          <w:w w:val="110"/>
          <w:sz w:val="16"/>
        </w:rPr>
        <w:t>European</w:t>
      </w:r>
      <w:r>
        <w:rPr>
          <w:i/>
          <w:color w:val="231F20"/>
          <w:spacing w:val="5"/>
          <w:w w:val="110"/>
          <w:sz w:val="16"/>
        </w:rPr>
        <w:t xml:space="preserve"> </w:t>
      </w:r>
      <w:r>
        <w:rPr>
          <w:i/>
          <w:color w:val="231F20"/>
          <w:w w:val="110"/>
          <w:sz w:val="16"/>
        </w:rPr>
        <w:t>Stars</w:t>
      </w:r>
      <w:r>
        <w:rPr>
          <w:i/>
          <w:color w:val="231F20"/>
          <w:spacing w:val="5"/>
          <w:w w:val="110"/>
          <w:sz w:val="16"/>
        </w:rPr>
        <w:t xml:space="preserve"> </w:t>
      </w:r>
      <w:r>
        <w:rPr>
          <w:i/>
          <w:color w:val="231F20"/>
          <w:spacing w:val="1"/>
          <w:w w:val="110"/>
          <w:sz w:val="16"/>
        </w:rPr>
        <w:t>and</w:t>
      </w:r>
      <w:r>
        <w:rPr>
          <w:i/>
          <w:color w:val="231F20"/>
          <w:spacing w:val="5"/>
          <w:w w:val="110"/>
          <w:sz w:val="16"/>
        </w:rPr>
        <w:t xml:space="preserve"> </w:t>
      </w:r>
      <w:r>
        <w:rPr>
          <w:i/>
          <w:color w:val="231F20"/>
          <w:w w:val="110"/>
          <w:sz w:val="16"/>
        </w:rPr>
        <w:t>Stripes,</w:t>
      </w:r>
      <w:r>
        <w:rPr>
          <w:i/>
          <w:color w:val="231F20"/>
          <w:spacing w:val="5"/>
          <w:w w:val="110"/>
          <w:sz w:val="16"/>
        </w:rPr>
        <w:t xml:space="preserve"> </w:t>
      </w:r>
      <w:r>
        <w:rPr>
          <w:color w:val="231F20"/>
          <w:w w:val="110"/>
          <w:sz w:val="16"/>
        </w:rPr>
        <w:t>“German</w:t>
      </w:r>
      <w:r>
        <w:rPr>
          <w:color w:val="231F20"/>
          <w:spacing w:val="5"/>
          <w:w w:val="110"/>
          <w:sz w:val="16"/>
        </w:rPr>
        <w:t xml:space="preserve"> </w:t>
      </w:r>
      <w:r>
        <w:rPr>
          <w:color w:val="231F20"/>
          <w:w w:val="110"/>
          <w:sz w:val="16"/>
        </w:rPr>
        <w:t>Facilities</w:t>
      </w:r>
      <w:r>
        <w:rPr>
          <w:color w:val="231F20"/>
          <w:spacing w:val="5"/>
          <w:w w:val="110"/>
          <w:sz w:val="16"/>
        </w:rPr>
        <w:t xml:space="preserve"> </w:t>
      </w:r>
      <w:r>
        <w:rPr>
          <w:color w:val="231F20"/>
          <w:w w:val="110"/>
          <w:sz w:val="16"/>
        </w:rPr>
        <w:t>Struck</w:t>
      </w:r>
      <w:r>
        <w:rPr>
          <w:color w:val="231F20"/>
          <w:spacing w:val="5"/>
          <w:w w:val="110"/>
          <w:sz w:val="16"/>
        </w:rPr>
        <w:t xml:space="preserve"> </w:t>
      </w:r>
      <w:r>
        <w:rPr>
          <w:color w:val="231F20"/>
          <w:w w:val="110"/>
          <w:sz w:val="16"/>
        </w:rPr>
        <w:t>by</w:t>
      </w:r>
      <w:r>
        <w:rPr>
          <w:color w:val="231F20"/>
          <w:spacing w:val="5"/>
          <w:w w:val="110"/>
          <w:sz w:val="16"/>
        </w:rPr>
        <w:t xml:space="preserve"> </w:t>
      </w:r>
      <w:r>
        <w:rPr>
          <w:color w:val="231F20"/>
          <w:w w:val="110"/>
          <w:sz w:val="16"/>
        </w:rPr>
        <w:t>Bombs,”</w:t>
      </w:r>
      <w:r>
        <w:rPr>
          <w:color w:val="231F20"/>
          <w:spacing w:val="5"/>
          <w:w w:val="110"/>
          <w:sz w:val="16"/>
        </w:rPr>
        <w:t xml:space="preserve"> </w:t>
      </w:r>
      <w:r>
        <w:rPr>
          <w:color w:val="231F20"/>
          <w:w w:val="110"/>
          <w:sz w:val="16"/>
        </w:rPr>
        <w:t>May</w:t>
      </w:r>
      <w:r>
        <w:rPr>
          <w:color w:val="231F20"/>
          <w:spacing w:val="5"/>
          <w:w w:val="110"/>
          <w:sz w:val="16"/>
        </w:rPr>
        <w:t xml:space="preserve"> </w:t>
      </w:r>
      <w:r>
        <w:rPr>
          <w:color w:val="231F20"/>
          <w:spacing w:val="-4"/>
          <w:w w:val="110"/>
          <w:sz w:val="16"/>
        </w:rPr>
        <w:t>13,</w:t>
      </w:r>
      <w:r>
        <w:rPr>
          <w:color w:val="231F20"/>
          <w:spacing w:val="5"/>
          <w:w w:val="110"/>
          <w:sz w:val="16"/>
        </w:rPr>
        <w:t xml:space="preserve"> </w:t>
      </w:r>
      <w:r>
        <w:rPr>
          <w:color w:val="231F20"/>
          <w:w w:val="110"/>
          <w:sz w:val="16"/>
        </w:rPr>
        <w:t>1972.</w:t>
      </w:r>
    </w:p>
    <w:p w14:paraId="02BCCD7A" w14:textId="77777777" w:rsidR="002653E8" w:rsidRDefault="002653E8">
      <w:pPr>
        <w:rPr>
          <w:sz w:val="16"/>
        </w:rPr>
        <w:sectPr w:rsidR="002653E8">
          <w:pgSz w:w="8640" w:h="12960"/>
          <w:pgMar w:top="1060" w:right="0" w:bottom="1040" w:left="0" w:header="0" w:footer="850" w:gutter="0"/>
          <w:cols w:space="720"/>
        </w:sectPr>
      </w:pPr>
    </w:p>
    <w:p w14:paraId="20237AF1" w14:textId="77777777" w:rsidR="002653E8" w:rsidRDefault="003115E3">
      <w:pPr>
        <w:pStyle w:val="a3"/>
        <w:spacing w:before="86" w:line="264" w:lineRule="auto"/>
        <w:ind w:left="1327" w:right="1145" w:firstLine="210"/>
        <w:jc w:val="right"/>
      </w:pPr>
      <w:r>
        <w:rPr>
          <w:color w:val="231F20"/>
        </w:rPr>
        <w:lastRenderedPageBreak/>
        <w:t xml:space="preserve">On May </w:t>
      </w:r>
      <w:r>
        <w:rPr>
          <w:color w:val="231F20"/>
          <w:spacing w:val="-4"/>
        </w:rPr>
        <w:t xml:space="preserve">16, </w:t>
      </w:r>
      <w:r>
        <w:rPr>
          <w:color w:val="231F20"/>
        </w:rPr>
        <w:t xml:space="preserve">in Karlsruhe, the </w:t>
      </w:r>
      <w:r w:rsidR="00C507A5">
        <w:rPr>
          <w:color w:val="231F20"/>
          <w:spacing w:val="1"/>
        </w:rPr>
        <w:t>red army faction</w:t>
      </w:r>
      <w:r>
        <w:rPr>
          <w:color w:val="231F20"/>
          <w:spacing w:val="1"/>
        </w:rPr>
        <w:t xml:space="preserve">’s </w:t>
      </w:r>
      <w:r>
        <w:rPr>
          <w:color w:val="231F20"/>
        </w:rPr>
        <w:t>“Manfred</w:t>
      </w:r>
      <w:r>
        <w:rPr>
          <w:color w:val="231F20"/>
          <w:spacing w:val="-9"/>
        </w:rPr>
        <w:t xml:space="preserve"> </w:t>
      </w:r>
      <w:r>
        <w:rPr>
          <w:color w:val="231F20"/>
        </w:rPr>
        <w:t>Grashof</w:t>
      </w:r>
      <w:r>
        <w:rPr>
          <w:color w:val="231F20"/>
          <w:spacing w:val="35"/>
        </w:rPr>
        <w:t xml:space="preserve"> </w:t>
      </w:r>
      <w:r>
        <w:rPr>
          <w:color w:val="231F20"/>
        </w:rPr>
        <w:t>Commando”</w:t>
      </w:r>
      <w:r>
        <w:rPr>
          <w:color w:val="231F20"/>
          <w:w w:val="148"/>
        </w:rPr>
        <w:t xml:space="preserve"> </w:t>
      </w:r>
      <w:r>
        <w:rPr>
          <w:color w:val="231F20"/>
        </w:rPr>
        <w:t>placed</w:t>
      </w:r>
      <w:r>
        <w:rPr>
          <w:color w:val="231F20"/>
          <w:spacing w:val="13"/>
        </w:rPr>
        <w:t xml:space="preserve"> </w:t>
      </w:r>
      <w:r>
        <w:rPr>
          <w:color w:val="231F20"/>
        </w:rPr>
        <w:t>a</w:t>
      </w:r>
      <w:r>
        <w:rPr>
          <w:color w:val="231F20"/>
          <w:spacing w:val="13"/>
        </w:rPr>
        <w:t xml:space="preserve"> </w:t>
      </w:r>
      <w:r>
        <w:rPr>
          <w:color w:val="231F20"/>
        </w:rPr>
        <w:t>bomb</w:t>
      </w:r>
      <w:r>
        <w:rPr>
          <w:color w:val="231F20"/>
          <w:spacing w:val="13"/>
        </w:rPr>
        <w:t xml:space="preserve"> </w:t>
      </w:r>
      <w:r>
        <w:rPr>
          <w:color w:val="231F20"/>
        </w:rPr>
        <w:t>in</w:t>
      </w:r>
      <w:r>
        <w:rPr>
          <w:color w:val="231F20"/>
          <w:spacing w:val="13"/>
        </w:rPr>
        <w:t xml:space="preserve"> </w:t>
      </w:r>
      <w:r>
        <w:rPr>
          <w:color w:val="231F20"/>
        </w:rPr>
        <w:t>the</w:t>
      </w:r>
      <w:r>
        <w:rPr>
          <w:color w:val="231F20"/>
          <w:spacing w:val="13"/>
        </w:rPr>
        <w:t xml:space="preserve"> </w:t>
      </w:r>
      <w:r>
        <w:rPr>
          <w:color w:val="231F20"/>
        </w:rPr>
        <w:t>car</w:t>
      </w:r>
      <w:r>
        <w:rPr>
          <w:color w:val="231F20"/>
          <w:spacing w:val="13"/>
        </w:rPr>
        <w:t xml:space="preserve"> </w:t>
      </w:r>
      <w:r>
        <w:rPr>
          <w:color w:val="231F20"/>
        </w:rPr>
        <w:t>of</w:t>
      </w:r>
      <w:r>
        <w:rPr>
          <w:color w:val="231F20"/>
          <w:spacing w:val="13"/>
        </w:rPr>
        <w:t xml:space="preserve"> </w:t>
      </w:r>
      <w:r>
        <w:rPr>
          <w:color w:val="231F20"/>
        </w:rPr>
        <w:t>Federal</w:t>
      </w:r>
      <w:r>
        <w:rPr>
          <w:color w:val="231F20"/>
          <w:spacing w:val="13"/>
        </w:rPr>
        <w:t xml:space="preserve"> </w:t>
      </w:r>
      <w:r>
        <w:rPr>
          <w:color w:val="231F20"/>
        </w:rPr>
        <w:t>Supreme</w:t>
      </w:r>
      <w:r>
        <w:rPr>
          <w:color w:val="231F20"/>
          <w:spacing w:val="13"/>
        </w:rPr>
        <w:t xml:space="preserve"> </w:t>
      </w:r>
      <w:r>
        <w:rPr>
          <w:color w:val="231F20"/>
        </w:rPr>
        <w:t>Court</w:t>
      </w:r>
      <w:r>
        <w:rPr>
          <w:color w:val="231F20"/>
          <w:spacing w:val="13"/>
        </w:rPr>
        <w:t xml:space="preserve"> </w:t>
      </w:r>
      <w:r>
        <w:rPr>
          <w:color w:val="231F20"/>
        </w:rPr>
        <w:t>Judge</w:t>
      </w:r>
      <w:r>
        <w:rPr>
          <w:color w:val="231F20"/>
          <w:spacing w:val="15"/>
        </w:rPr>
        <w:t xml:space="preserve"> </w:t>
      </w:r>
      <w:r>
        <w:rPr>
          <w:color w:val="231F20"/>
        </w:rPr>
        <w:t>Buddenberg,</w:t>
      </w:r>
      <w:r>
        <w:rPr>
          <w:color w:val="231F20"/>
          <w:w w:val="135"/>
        </w:rPr>
        <w:t xml:space="preserve"> </w:t>
      </w:r>
      <w:r>
        <w:rPr>
          <w:color w:val="231F20"/>
        </w:rPr>
        <w:t>who</w:t>
      </w:r>
      <w:r>
        <w:rPr>
          <w:color w:val="231F20"/>
          <w:spacing w:val="20"/>
        </w:rPr>
        <w:t xml:space="preserve"> </w:t>
      </w:r>
      <w:r>
        <w:rPr>
          <w:color w:val="231F20"/>
        </w:rPr>
        <w:t>had</w:t>
      </w:r>
      <w:r>
        <w:rPr>
          <w:color w:val="231F20"/>
          <w:spacing w:val="20"/>
        </w:rPr>
        <w:t xml:space="preserve"> </w:t>
      </w:r>
      <w:r>
        <w:rPr>
          <w:color w:val="231F20"/>
        </w:rPr>
        <w:t>been</w:t>
      </w:r>
      <w:r>
        <w:rPr>
          <w:color w:val="231F20"/>
          <w:spacing w:val="20"/>
        </w:rPr>
        <w:t xml:space="preserve"> </w:t>
      </w:r>
      <w:r>
        <w:rPr>
          <w:color w:val="231F20"/>
        </w:rPr>
        <w:t>put</w:t>
      </w:r>
      <w:r>
        <w:rPr>
          <w:color w:val="231F20"/>
          <w:spacing w:val="20"/>
        </w:rPr>
        <w:t xml:space="preserve"> </w:t>
      </w:r>
      <w:r>
        <w:rPr>
          <w:color w:val="231F20"/>
        </w:rPr>
        <w:t>in</w:t>
      </w:r>
      <w:r>
        <w:rPr>
          <w:color w:val="231F20"/>
          <w:spacing w:val="20"/>
        </w:rPr>
        <w:t xml:space="preserve"> </w:t>
      </w:r>
      <w:r>
        <w:rPr>
          <w:color w:val="231F20"/>
        </w:rPr>
        <w:t>charge</w:t>
      </w:r>
      <w:r>
        <w:rPr>
          <w:color w:val="231F20"/>
          <w:spacing w:val="20"/>
        </w:rPr>
        <w:t xml:space="preserve"> </w:t>
      </w:r>
      <w:r>
        <w:rPr>
          <w:color w:val="231F20"/>
        </w:rPr>
        <w:t>of</w:t>
      </w:r>
      <w:r>
        <w:rPr>
          <w:color w:val="231F20"/>
          <w:spacing w:val="20"/>
        </w:rPr>
        <w:t xml:space="preserve"> </w:t>
      </w:r>
      <w:r>
        <w:rPr>
          <w:color w:val="231F20"/>
        </w:rPr>
        <w:t>all</w:t>
      </w:r>
      <w:r>
        <w:rPr>
          <w:color w:val="231F20"/>
          <w:spacing w:val="20"/>
        </w:rPr>
        <w:t xml:space="preserve"> </w:t>
      </w:r>
      <w:r w:rsidR="00C507A5">
        <w:rPr>
          <w:color w:val="231F20"/>
          <w:spacing w:val="5"/>
        </w:rPr>
        <w:t>red army faction</w:t>
      </w:r>
      <w:r>
        <w:rPr>
          <w:color w:val="231F20"/>
          <w:spacing w:val="20"/>
        </w:rPr>
        <w:t xml:space="preserve"> </w:t>
      </w:r>
      <w:r>
        <w:rPr>
          <w:color w:val="231F20"/>
        </w:rPr>
        <w:t>cases.</w:t>
      </w:r>
      <w:r>
        <w:rPr>
          <w:color w:val="231F20"/>
          <w:spacing w:val="20"/>
        </w:rPr>
        <w:t xml:space="preserve"> </w:t>
      </w:r>
      <w:r>
        <w:rPr>
          <w:color w:val="231F20"/>
        </w:rPr>
        <w:t>However,</w:t>
      </w:r>
      <w:r>
        <w:rPr>
          <w:color w:val="231F20"/>
          <w:spacing w:val="20"/>
        </w:rPr>
        <w:t xml:space="preserve"> </w:t>
      </w:r>
      <w:r>
        <w:rPr>
          <w:color w:val="231F20"/>
        </w:rPr>
        <w:t>it</w:t>
      </w:r>
      <w:r>
        <w:rPr>
          <w:color w:val="231F20"/>
          <w:spacing w:val="20"/>
        </w:rPr>
        <w:t xml:space="preserve"> </w:t>
      </w:r>
      <w:r>
        <w:rPr>
          <w:color w:val="231F20"/>
        </w:rPr>
        <w:t>was</w:t>
      </w:r>
      <w:r>
        <w:rPr>
          <w:color w:val="231F20"/>
          <w:spacing w:val="20"/>
        </w:rPr>
        <w:t xml:space="preserve"> </w:t>
      </w:r>
      <w:r>
        <w:rPr>
          <w:color w:val="231F20"/>
        </w:rPr>
        <w:t>not</w:t>
      </w:r>
      <w:r>
        <w:rPr>
          <w:color w:val="231F20"/>
          <w:spacing w:val="20"/>
        </w:rPr>
        <w:t xml:space="preserve"> </w:t>
      </w:r>
      <w:r>
        <w:rPr>
          <w:color w:val="231F20"/>
        </w:rPr>
        <w:t>the</w:t>
      </w:r>
      <w:r>
        <w:rPr>
          <w:color w:val="231F20"/>
          <w:w w:val="91"/>
        </w:rPr>
        <w:t xml:space="preserve"> </w:t>
      </w:r>
      <w:r>
        <w:rPr>
          <w:color w:val="231F20"/>
        </w:rPr>
        <w:t xml:space="preserve">judge who was behind the wheel, but his wife on her </w:t>
      </w:r>
      <w:r>
        <w:rPr>
          <w:color w:val="231F20"/>
          <w:spacing w:val="-2"/>
        </w:rPr>
        <w:t xml:space="preserve">way </w:t>
      </w:r>
      <w:r>
        <w:rPr>
          <w:color w:val="231F20"/>
        </w:rPr>
        <w:t>to pick</w:t>
      </w:r>
      <w:r>
        <w:rPr>
          <w:color w:val="231F20"/>
          <w:spacing w:val="20"/>
        </w:rPr>
        <w:t xml:space="preserve"> </w:t>
      </w:r>
      <w:r>
        <w:rPr>
          <w:color w:val="231F20"/>
        </w:rPr>
        <w:t>him up</w:t>
      </w:r>
      <w:r>
        <w:rPr>
          <w:color w:val="231F20"/>
          <w:w w:val="99"/>
        </w:rPr>
        <w:t xml:space="preserve"> </w:t>
      </w:r>
      <w:r>
        <w:rPr>
          <w:color w:val="231F20"/>
        </w:rPr>
        <w:t>from</w:t>
      </w:r>
      <w:r>
        <w:rPr>
          <w:color w:val="231F20"/>
          <w:spacing w:val="10"/>
        </w:rPr>
        <w:t xml:space="preserve"> </w:t>
      </w:r>
      <w:r>
        <w:rPr>
          <w:color w:val="231F20"/>
        </w:rPr>
        <w:t>work.</w:t>
      </w:r>
      <w:r>
        <w:rPr>
          <w:color w:val="231F20"/>
          <w:spacing w:val="10"/>
        </w:rPr>
        <w:t xml:space="preserve"> </w:t>
      </w:r>
      <w:r>
        <w:rPr>
          <w:color w:val="231F20"/>
          <w:spacing w:val="1"/>
        </w:rPr>
        <w:t>Gerta</w:t>
      </w:r>
      <w:r>
        <w:rPr>
          <w:color w:val="231F20"/>
          <w:spacing w:val="10"/>
        </w:rPr>
        <w:t xml:space="preserve"> </w:t>
      </w:r>
      <w:r>
        <w:rPr>
          <w:color w:val="231F20"/>
        </w:rPr>
        <w:t>Buddenberg</w:t>
      </w:r>
      <w:r>
        <w:rPr>
          <w:color w:val="231F20"/>
          <w:spacing w:val="10"/>
        </w:rPr>
        <w:t xml:space="preserve"> </w:t>
      </w:r>
      <w:r>
        <w:rPr>
          <w:color w:val="231F20"/>
        </w:rPr>
        <w:t>sustained</w:t>
      </w:r>
      <w:r>
        <w:rPr>
          <w:color w:val="231F20"/>
          <w:spacing w:val="10"/>
        </w:rPr>
        <w:t xml:space="preserve"> </w:t>
      </w:r>
      <w:r>
        <w:rPr>
          <w:color w:val="231F20"/>
        </w:rPr>
        <w:t>serious</w:t>
      </w:r>
      <w:r>
        <w:rPr>
          <w:color w:val="231F20"/>
          <w:spacing w:val="10"/>
        </w:rPr>
        <w:t xml:space="preserve"> </w:t>
      </w:r>
      <w:r>
        <w:rPr>
          <w:color w:val="231F20"/>
        </w:rPr>
        <w:t>injuries,</w:t>
      </w:r>
      <w:r>
        <w:rPr>
          <w:color w:val="231F20"/>
          <w:spacing w:val="10"/>
        </w:rPr>
        <w:t xml:space="preserve"> </w:t>
      </w:r>
      <w:r>
        <w:rPr>
          <w:color w:val="231F20"/>
        </w:rPr>
        <w:t>but</w:t>
      </w:r>
      <w:r>
        <w:rPr>
          <w:color w:val="231F20"/>
          <w:spacing w:val="10"/>
        </w:rPr>
        <w:t xml:space="preserve"> </w:t>
      </w:r>
      <w:r>
        <w:rPr>
          <w:color w:val="231F20"/>
        </w:rPr>
        <w:t>survived.</w:t>
      </w:r>
      <w:r>
        <w:rPr>
          <w:color w:val="231F20"/>
          <w:w w:val="135"/>
        </w:rPr>
        <w:t xml:space="preserve"> </w:t>
      </w:r>
      <w:r>
        <w:rPr>
          <w:color w:val="231F20"/>
        </w:rPr>
        <w:t>On</w:t>
      </w:r>
      <w:r>
        <w:rPr>
          <w:color w:val="231F20"/>
          <w:spacing w:val="20"/>
        </w:rPr>
        <w:t xml:space="preserve"> </w:t>
      </w:r>
      <w:r>
        <w:rPr>
          <w:color w:val="231F20"/>
        </w:rPr>
        <w:t>May</w:t>
      </w:r>
      <w:r>
        <w:rPr>
          <w:color w:val="231F20"/>
          <w:spacing w:val="20"/>
        </w:rPr>
        <w:t xml:space="preserve"> </w:t>
      </w:r>
      <w:r>
        <w:rPr>
          <w:color w:val="231F20"/>
          <w:spacing w:val="-5"/>
        </w:rPr>
        <w:t>19,</w:t>
      </w:r>
      <w:r>
        <w:rPr>
          <w:color w:val="231F20"/>
          <w:spacing w:val="20"/>
        </w:rPr>
        <w:t xml:space="preserve"> </w:t>
      </w:r>
      <w:r>
        <w:rPr>
          <w:color w:val="231F20"/>
        </w:rPr>
        <w:t>the</w:t>
      </w:r>
      <w:r>
        <w:rPr>
          <w:color w:val="231F20"/>
          <w:spacing w:val="20"/>
        </w:rPr>
        <w:t xml:space="preserve"> </w:t>
      </w:r>
      <w:r>
        <w:rPr>
          <w:color w:val="231F20"/>
        </w:rPr>
        <w:t>Springer</w:t>
      </w:r>
      <w:r>
        <w:rPr>
          <w:color w:val="231F20"/>
          <w:spacing w:val="20"/>
        </w:rPr>
        <w:t xml:space="preserve"> </w:t>
      </w:r>
      <w:r>
        <w:rPr>
          <w:color w:val="231F20"/>
        </w:rPr>
        <w:t>Press</w:t>
      </w:r>
      <w:r>
        <w:rPr>
          <w:color w:val="231F20"/>
          <w:spacing w:val="20"/>
        </w:rPr>
        <w:t xml:space="preserve"> </w:t>
      </w:r>
      <w:r>
        <w:rPr>
          <w:color w:val="231F20"/>
        </w:rPr>
        <w:t>building</w:t>
      </w:r>
      <w:r>
        <w:rPr>
          <w:color w:val="231F20"/>
          <w:spacing w:val="20"/>
        </w:rPr>
        <w:t xml:space="preserve"> </w:t>
      </w:r>
      <w:r>
        <w:rPr>
          <w:color w:val="231F20"/>
        </w:rPr>
        <w:t>in</w:t>
      </w:r>
      <w:r>
        <w:rPr>
          <w:color w:val="231F20"/>
          <w:spacing w:val="20"/>
        </w:rPr>
        <w:t xml:space="preserve"> </w:t>
      </w:r>
      <w:r>
        <w:rPr>
          <w:color w:val="231F20"/>
        </w:rPr>
        <w:t>Hamburg</w:t>
      </w:r>
      <w:r>
        <w:rPr>
          <w:color w:val="231F20"/>
          <w:spacing w:val="20"/>
        </w:rPr>
        <w:t xml:space="preserve"> </w:t>
      </w:r>
      <w:r>
        <w:rPr>
          <w:color w:val="231F20"/>
        </w:rPr>
        <w:t>was</w:t>
      </w:r>
      <w:r>
        <w:rPr>
          <w:color w:val="231F20"/>
          <w:spacing w:val="20"/>
        </w:rPr>
        <w:t xml:space="preserve"> </w:t>
      </w:r>
      <w:r>
        <w:rPr>
          <w:color w:val="231F20"/>
        </w:rPr>
        <w:t>bombed</w:t>
      </w:r>
      <w:r>
        <w:rPr>
          <w:color w:val="231F20"/>
          <w:spacing w:val="20"/>
        </w:rPr>
        <w:t xml:space="preserve"> </w:t>
      </w:r>
      <w:r>
        <w:rPr>
          <w:color w:val="231F20"/>
        </w:rPr>
        <w:t>in</w:t>
      </w:r>
      <w:r>
        <w:rPr>
          <w:color w:val="231F20"/>
          <w:w w:val="99"/>
        </w:rPr>
        <w:t xml:space="preserve"> </w:t>
      </w:r>
      <w:r>
        <w:rPr>
          <w:color w:val="231F20"/>
        </w:rPr>
        <w:t>retaliation</w:t>
      </w:r>
      <w:r>
        <w:rPr>
          <w:color w:val="231F20"/>
          <w:spacing w:val="28"/>
        </w:rPr>
        <w:t xml:space="preserve"> </w:t>
      </w:r>
      <w:r>
        <w:rPr>
          <w:color w:val="231F20"/>
        </w:rPr>
        <w:t>for</w:t>
      </w:r>
      <w:r>
        <w:rPr>
          <w:color w:val="231F20"/>
          <w:spacing w:val="28"/>
        </w:rPr>
        <w:t xml:space="preserve"> </w:t>
      </w:r>
      <w:r>
        <w:rPr>
          <w:color w:val="231F20"/>
        </w:rPr>
        <w:t>the</w:t>
      </w:r>
      <w:r>
        <w:rPr>
          <w:color w:val="231F20"/>
          <w:spacing w:val="28"/>
        </w:rPr>
        <w:t xml:space="preserve"> </w:t>
      </w:r>
      <w:r>
        <w:rPr>
          <w:color w:val="231F20"/>
        </w:rPr>
        <w:t>constant</w:t>
      </w:r>
      <w:r>
        <w:rPr>
          <w:color w:val="231F20"/>
          <w:spacing w:val="28"/>
        </w:rPr>
        <w:t xml:space="preserve"> </w:t>
      </w:r>
      <w:r>
        <w:rPr>
          <w:color w:val="231F20"/>
        </w:rPr>
        <w:t>red</w:t>
      </w:r>
      <w:r>
        <w:rPr>
          <w:color w:val="231F20"/>
          <w:spacing w:val="28"/>
        </w:rPr>
        <w:t xml:space="preserve"> </w:t>
      </w:r>
      <w:r>
        <w:rPr>
          <w:color w:val="231F20"/>
        </w:rPr>
        <w:t>baiting</w:t>
      </w:r>
      <w:r>
        <w:rPr>
          <w:color w:val="231F20"/>
          <w:spacing w:val="28"/>
        </w:rPr>
        <w:t xml:space="preserve"> </w:t>
      </w:r>
      <w:r>
        <w:rPr>
          <w:color w:val="231F20"/>
        </w:rPr>
        <w:t>and</w:t>
      </w:r>
      <w:r>
        <w:rPr>
          <w:color w:val="231F20"/>
          <w:spacing w:val="28"/>
        </w:rPr>
        <w:t xml:space="preserve"> </w:t>
      </w:r>
      <w:r>
        <w:rPr>
          <w:color w:val="231F20"/>
        </w:rPr>
        <w:t>counterinsurgency</w:t>
      </w:r>
      <w:r>
        <w:rPr>
          <w:color w:val="231F20"/>
          <w:spacing w:val="28"/>
        </w:rPr>
        <w:t xml:space="preserve"> </w:t>
      </w:r>
      <w:r>
        <w:rPr>
          <w:color w:val="231F20"/>
        </w:rPr>
        <w:t>propaganda published in its newspapers. One bomb went off in</w:t>
      </w:r>
      <w:r>
        <w:rPr>
          <w:color w:val="231F20"/>
          <w:spacing w:val="-24"/>
        </w:rPr>
        <w:t xml:space="preserve"> </w:t>
      </w:r>
      <w:r>
        <w:rPr>
          <w:color w:val="231F20"/>
        </w:rPr>
        <w:t>the</w:t>
      </w:r>
      <w:r>
        <w:rPr>
          <w:color w:val="231F20"/>
          <w:spacing w:val="-3"/>
        </w:rPr>
        <w:t xml:space="preserve"> </w:t>
      </w:r>
      <w:r>
        <w:rPr>
          <w:color w:val="231F20"/>
        </w:rPr>
        <w:t>proofreaders’</w:t>
      </w:r>
      <w:r>
        <w:rPr>
          <w:color w:val="231F20"/>
          <w:spacing w:val="-9"/>
        </w:rPr>
        <w:t xml:space="preserve"> </w:t>
      </w:r>
      <w:r>
        <w:rPr>
          <w:color w:val="231F20"/>
        </w:rPr>
        <w:t>room,</w:t>
      </w:r>
      <w:r>
        <w:rPr>
          <w:color w:val="231F20"/>
          <w:spacing w:val="-9"/>
        </w:rPr>
        <w:t xml:space="preserve"> </w:t>
      </w:r>
      <w:r>
        <w:rPr>
          <w:color w:val="231F20"/>
        </w:rPr>
        <w:t>and</w:t>
      </w:r>
      <w:r>
        <w:rPr>
          <w:color w:val="231F20"/>
          <w:spacing w:val="-9"/>
        </w:rPr>
        <w:t xml:space="preserve"> </w:t>
      </w:r>
      <w:r>
        <w:rPr>
          <w:color w:val="231F20"/>
        </w:rPr>
        <w:t>two</w:t>
      </w:r>
      <w:r>
        <w:rPr>
          <w:color w:val="231F20"/>
          <w:spacing w:val="-9"/>
        </w:rPr>
        <w:t xml:space="preserve"> </w:t>
      </w:r>
      <w:r>
        <w:rPr>
          <w:color w:val="231F20"/>
        </w:rPr>
        <w:t>in</w:t>
      </w:r>
      <w:r>
        <w:rPr>
          <w:color w:val="231F20"/>
          <w:spacing w:val="-9"/>
        </w:rPr>
        <w:t xml:space="preserve"> </w:t>
      </w:r>
      <w:r>
        <w:rPr>
          <w:color w:val="231F20"/>
        </w:rPr>
        <w:t>the</w:t>
      </w:r>
      <w:r>
        <w:rPr>
          <w:color w:val="231F20"/>
          <w:spacing w:val="-9"/>
        </w:rPr>
        <w:t xml:space="preserve"> </w:t>
      </w:r>
      <w:r>
        <w:rPr>
          <w:color w:val="231F20"/>
        </w:rPr>
        <w:t>toilets.</w:t>
      </w:r>
      <w:r>
        <w:rPr>
          <w:color w:val="231F20"/>
          <w:spacing w:val="-9"/>
        </w:rPr>
        <w:t xml:space="preserve"> </w:t>
      </w:r>
      <w:r>
        <w:rPr>
          <w:color w:val="231F20"/>
        </w:rPr>
        <w:t>Three</w:t>
      </w:r>
      <w:r>
        <w:rPr>
          <w:color w:val="231F20"/>
          <w:spacing w:val="-9"/>
        </w:rPr>
        <w:t xml:space="preserve"> </w:t>
      </w:r>
      <w:r>
        <w:rPr>
          <w:color w:val="231F20"/>
        </w:rPr>
        <w:t>telephone</w:t>
      </w:r>
      <w:r>
        <w:rPr>
          <w:color w:val="231F20"/>
          <w:spacing w:val="-9"/>
        </w:rPr>
        <w:t xml:space="preserve"> </w:t>
      </w:r>
      <w:r>
        <w:rPr>
          <w:color w:val="231F20"/>
        </w:rPr>
        <w:t>warnings</w:t>
      </w:r>
      <w:r>
        <w:rPr>
          <w:color w:val="231F20"/>
          <w:spacing w:val="-9"/>
        </w:rPr>
        <w:t xml:space="preserve"> </w:t>
      </w:r>
      <w:r>
        <w:rPr>
          <w:color w:val="231F20"/>
        </w:rPr>
        <w:t>were</w:t>
      </w:r>
      <w:r>
        <w:rPr>
          <w:color w:val="231F20"/>
          <w:spacing w:val="-9"/>
        </w:rPr>
        <w:t xml:space="preserve"> </w:t>
      </w:r>
      <w:r>
        <w:rPr>
          <w:color w:val="231F20"/>
        </w:rPr>
        <w:t>ignored and,</w:t>
      </w:r>
      <w:r>
        <w:rPr>
          <w:color w:val="231F20"/>
          <w:spacing w:val="-16"/>
        </w:rPr>
        <w:t xml:space="preserve"> </w:t>
      </w:r>
      <w:r>
        <w:rPr>
          <w:color w:val="231F20"/>
        </w:rPr>
        <w:t>as</w:t>
      </w:r>
      <w:r>
        <w:rPr>
          <w:color w:val="231F20"/>
          <w:spacing w:val="-16"/>
        </w:rPr>
        <w:t xml:space="preserve"> </w:t>
      </w:r>
      <w:r>
        <w:rPr>
          <w:color w:val="231F20"/>
        </w:rPr>
        <w:t>a</w:t>
      </w:r>
      <w:r>
        <w:rPr>
          <w:color w:val="231F20"/>
          <w:spacing w:val="-16"/>
        </w:rPr>
        <w:t xml:space="preserve"> </w:t>
      </w:r>
      <w:r>
        <w:rPr>
          <w:color w:val="231F20"/>
        </w:rPr>
        <w:t>result,</w:t>
      </w:r>
      <w:r>
        <w:rPr>
          <w:color w:val="231F20"/>
          <w:spacing w:val="-16"/>
        </w:rPr>
        <w:t xml:space="preserve"> </w:t>
      </w:r>
      <w:r>
        <w:rPr>
          <w:color w:val="231F20"/>
        </w:rPr>
        <w:t>seventeen</w:t>
      </w:r>
      <w:r>
        <w:rPr>
          <w:color w:val="231F20"/>
          <w:spacing w:val="-16"/>
        </w:rPr>
        <w:t xml:space="preserve"> </w:t>
      </w:r>
      <w:r>
        <w:rPr>
          <w:color w:val="231F20"/>
        </w:rPr>
        <w:t>employees</w:t>
      </w:r>
      <w:r>
        <w:rPr>
          <w:color w:val="231F20"/>
          <w:spacing w:val="-16"/>
        </w:rPr>
        <w:t xml:space="preserve"> </w:t>
      </w:r>
      <w:r>
        <w:rPr>
          <w:color w:val="231F20"/>
        </w:rPr>
        <w:t>were</w:t>
      </w:r>
      <w:r>
        <w:rPr>
          <w:color w:val="231F20"/>
          <w:spacing w:val="-16"/>
        </w:rPr>
        <w:t xml:space="preserve"> </w:t>
      </w:r>
      <w:r>
        <w:rPr>
          <w:color w:val="231F20"/>
        </w:rPr>
        <w:t>injured,</w:t>
      </w:r>
      <w:r>
        <w:rPr>
          <w:color w:val="231F20"/>
          <w:spacing w:val="-16"/>
        </w:rPr>
        <w:t xml:space="preserve"> </w:t>
      </w:r>
      <w:r>
        <w:rPr>
          <w:color w:val="231F20"/>
        </w:rPr>
        <w:t>two</w:t>
      </w:r>
      <w:r>
        <w:rPr>
          <w:color w:val="231F20"/>
          <w:spacing w:val="-16"/>
        </w:rPr>
        <w:t xml:space="preserve"> </w:t>
      </w:r>
      <w:r>
        <w:rPr>
          <w:color w:val="231F20"/>
        </w:rPr>
        <w:t>of</w:t>
      </w:r>
      <w:r>
        <w:rPr>
          <w:color w:val="231F20"/>
          <w:spacing w:val="-16"/>
        </w:rPr>
        <w:t xml:space="preserve"> </w:t>
      </w:r>
      <w:r>
        <w:rPr>
          <w:color w:val="231F20"/>
        </w:rPr>
        <w:t>them</w:t>
      </w:r>
      <w:r>
        <w:rPr>
          <w:color w:val="231F20"/>
          <w:spacing w:val="-16"/>
        </w:rPr>
        <w:t xml:space="preserve"> </w:t>
      </w:r>
      <w:r>
        <w:rPr>
          <w:color w:val="231F20"/>
        </w:rPr>
        <w:t>seriously.</w:t>
      </w:r>
    </w:p>
    <w:p w14:paraId="0C303D2F" w14:textId="77777777" w:rsidR="002653E8" w:rsidRDefault="003115E3">
      <w:pPr>
        <w:pStyle w:val="a3"/>
        <w:spacing w:line="224" w:lineRule="exact"/>
        <w:ind w:left="1327"/>
      </w:pPr>
      <w:r>
        <w:rPr>
          <w:color w:val="231F20"/>
          <w:w w:val="105"/>
        </w:rPr>
        <w:t xml:space="preserve">The attack was claimed by the </w:t>
      </w:r>
      <w:r w:rsidR="00C507A5">
        <w:rPr>
          <w:color w:val="231F20"/>
          <w:w w:val="105"/>
        </w:rPr>
        <w:t>red army faction</w:t>
      </w:r>
      <w:r>
        <w:rPr>
          <w:color w:val="231F20"/>
          <w:w w:val="105"/>
        </w:rPr>
        <w:t>’s “2nd of June Commando.”</w:t>
      </w:r>
    </w:p>
    <w:p w14:paraId="31A7DF16" w14:textId="77777777" w:rsidR="002653E8" w:rsidRDefault="003115E3">
      <w:pPr>
        <w:pStyle w:val="a3"/>
        <w:spacing w:before="23" w:line="264" w:lineRule="auto"/>
        <w:ind w:left="1327" w:right="1146" w:firstLine="210"/>
        <w:jc w:val="both"/>
        <w:rPr>
          <w:sz w:val="11"/>
        </w:rPr>
      </w:pPr>
      <w:r>
        <w:rPr>
          <w:color w:val="231F20"/>
        </w:rPr>
        <w:t xml:space="preserve">A Springer editor was later quoted saying, “I was only surprised that if they wanted to hit a Springer Building </w:t>
      </w:r>
      <w:r>
        <w:rPr>
          <w:color w:val="231F20"/>
          <w:spacing w:val="-3"/>
        </w:rPr>
        <w:t xml:space="preserve">they’d </w:t>
      </w:r>
      <w:r>
        <w:rPr>
          <w:color w:val="231F20"/>
        </w:rPr>
        <w:t xml:space="preserve">go for the proofreaders, whose views are rather left of centre. </w:t>
      </w:r>
      <w:r>
        <w:rPr>
          <w:color w:val="231F20"/>
          <w:spacing w:val="-5"/>
        </w:rPr>
        <w:t xml:space="preserve">I’d </w:t>
      </w:r>
      <w:r>
        <w:rPr>
          <w:color w:val="231F20"/>
        </w:rPr>
        <w:t xml:space="preserve">have thought there were more rewarding targets if they wanted to strike a real </w:t>
      </w:r>
      <w:r>
        <w:rPr>
          <w:color w:val="231F20"/>
          <w:spacing w:val="-4"/>
        </w:rPr>
        <w:t xml:space="preserve">blow. </w:t>
      </w:r>
      <w:r>
        <w:rPr>
          <w:color w:val="231F20"/>
          <w:spacing w:val="1"/>
        </w:rPr>
        <w:t xml:space="preserve">If </w:t>
      </w:r>
      <w:r>
        <w:rPr>
          <w:color w:val="231F20"/>
          <w:spacing w:val="-3"/>
        </w:rPr>
        <w:t xml:space="preserve">they’d </w:t>
      </w:r>
      <w:r>
        <w:rPr>
          <w:color w:val="231F20"/>
        </w:rPr>
        <w:t xml:space="preserve">picked the computer centre, that would have done the building much more </w:t>
      </w:r>
      <w:r>
        <w:rPr>
          <w:color w:val="231F20"/>
          <w:spacing w:val="-3"/>
        </w:rPr>
        <w:t>damage.”</w:t>
      </w:r>
      <w:r>
        <w:rPr>
          <w:color w:val="231F20"/>
          <w:spacing w:val="-3"/>
          <w:position w:val="7"/>
          <w:sz w:val="11"/>
        </w:rPr>
        <w:t>6</w:t>
      </w:r>
    </w:p>
    <w:p w14:paraId="10260C83" w14:textId="77777777" w:rsidR="002653E8" w:rsidRDefault="003115E3">
      <w:pPr>
        <w:pStyle w:val="a3"/>
        <w:spacing w:line="264" w:lineRule="auto"/>
        <w:ind w:left="1327" w:right="1146" w:firstLine="210"/>
        <w:jc w:val="both"/>
        <w:rPr>
          <w:sz w:val="11"/>
        </w:rPr>
      </w:pPr>
      <w:r>
        <w:rPr>
          <w:color w:val="231F20"/>
        </w:rPr>
        <w:t xml:space="preserve">As many workers had been injured, this attack caused some consternation on the left, and it was subsequently alleged that it caused dissension within the </w:t>
      </w:r>
      <w:r w:rsidR="00C507A5">
        <w:rPr>
          <w:color w:val="231F20"/>
          <w:spacing w:val="5"/>
        </w:rPr>
        <w:t>red army faction</w:t>
      </w:r>
      <w:r>
        <w:rPr>
          <w:color w:val="231F20"/>
          <w:spacing w:val="5"/>
        </w:rPr>
        <w:t xml:space="preserve"> </w:t>
      </w:r>
      <w:r>
        <w:rPr>
          <w:color w:val="231F20"/>
        </w:rPr>
        <w:t>itself.</w:t>
      </w:r>
      <w:r>
        <w:rPr>
          <w:color w:val="231F20"/>
          <w:position w:val="7"/>
          <w:sz w:val="11"/>
        </w:rPr>
        <w:t xml:space="preserve">7  </w:t>
      </w:r>
      <w:r>
        <w:rPr>
          <w:color w:val="231F20"/>
          <w:spacing w:val="2"/>
        </w:rPr>
        <w:t xml:space="preserve">An </w:t>
      </w:r>
      <w:r>
        <w:rPr>
          <w:color w:val="231F20"/>
        </w:rPr>
        <w:t>anonymous tip the next day led    to the discovery of three more bombs in the building, which were all safely</w:t>
      </w:r>
      <w:r>
        <w:rPr>
          <w:color w:val="231F20"/>
          <w:spacing w:val="10"/>
        </w:rPr>
        <w:t xml:space="preserve"> </w:t>
      </w:r>
      <w:r>
        <w:rPr>
          <w:color w:val="231F20"/>
        </w:rPr>
        <w:t>defused.</w:t>
      </w:r>
      <w:r>
        <w:rPr>
          <w:color w:val="231F20"/>
          <w:position w:val="7"/>
          <w:sz w:val="11"/>
        </w:rPr>
        <w:t>8</w:t>
      </w:r>
    </w:p>
    <w:p w14:paraId="1EBAB5F0" w14:textId="77777777" w:rsidR="002653E8" w:rsidRDefault="003115E3">
      <w:pPr>
        <w:pStyle w:val="a3"/>
        <w:spacing w:line="229" w:lineRule="exact"/>
        <w:ind w:left="1537"/>
      </w:pPr>
      <w:r>
        <w:rPr>
          <w:color w:val="231F20"/>
        </w:rPr>
        <w:t xml:space="preserve">On May 24, the </w:t>
      </w:r>
      <w:r w:rsidR="00C507A5">
        <w:rPr>
          <w:color w:val="231F20"/>
        </w:rPr>
        <w:t>red army faction</w:t>
      </w:r>
      <w:r>
        <w:rPr>
          <w:color w:val="231F20"/>
        </w:rPr>
        <w:t xml:space="preserve"> bombed the Heidelberg headquarters of the</w:t>
      </w:r>
    </w:p>
    <w:p w14:paraId="7BE28270" w14:textId="77777777" w:rsidR="002653E8" w:rsidRDefault="003115E3">
      <w:pPr>
        <w:pStyle w:val="a3"/>
        <w:spacing w:before="16" w:line="264" w:lineRule="auto"/>
        <w:ind w:left="1327" w:right="1146"/>
        <w:jc w:val="both"/>
      </w:pPr>
      <w:r>
        <w:rPr>
          <w:color w:val="231F20"/>
          <w:spacing w:val="1"/>
        </w:rPr>
        <w:t xml:space="preserve">U.S. </w:t>
      </w:r>
      <w:r>
        <w:rPr>
          <w:color w:val="231F20"/>
        </w:rPr>
        <w:t xml:space="preserve">Army in Europe. </w:t>
      </w:r>
      <w:r>
        <w:rPr>
          <w:color w:val="231F20"/>
          <w:spacing w:val="-7"/>
        </w:rPr>
        <w:t xml:space="preserve">Two </w:t>
      </w:r>
      <w:r>
        <w:rPr>
          <w:color w:val="231F20"/>
        </w:rPr>
        <w:t xml:space="preserve">cars loaded with explosives had been parked 140 meters apart near a data processing center and the officers’ club    at Campbell Barracks. They were timed to go  off  after  most  people had finished work for the </w:t>
      </w:r>
      <w:r>
        <w:rPr>
          <w:color w:val="231F20"/>
          <w:spacing w:val="-3"/>
        </w:rPr>
        <w:t>day,</w:t>
      </w:r>
      <w:r>
        <w:rPr>
          <w:color w:val="231F20"/>
          <w:spacing w:val="-3"/>
          <w:position w:val="7"/>
          <w:sz w:val="11"/>
        </w:rPr>
        <w:t xml:space="preserve">9 </w:t>
      </w:r>
      <w:r>
        <w:rPr>
          <w:color w:val="231F20"/>
        </w:rPr>
        <w:t>but nevertheless three soldiers were killed</w:t>
      </w:r>
      <w:r>
        <w:rPr>
          <w:color w:val="231F20"/>
          <w:position w:val="7"/>
          <w:sz w:val="11"/>
        </w:rPr>
        <w:t xml:space="preserve">10 </w:t>
      </w:r>
      <w:r>
        <w:rPr>
          <w:color w:val="231F20"/>
        </w:rPr>
        <w:t xml:space="preserve">and six others were injured. This was the work of the “July </w:t>
      </w:r>
      <w:r>
        <w:rPr>
          <w:color w:val="231F20"/>
          <w:spacing w:val="-4"/>
        </w:rPr>
        <w:t xml:space="preserve">15th </w:t>
      </w:r>
      <w:r>
        <w:rPr>
          <w:color w:val="231F20"/>
        </w:rPr>
        <w:t>Commando,” commemorating the date Petra Schelm had died in a firefight with</w:t>
      </w:r>
      <w:r>
        <w:rPr>
          <w:color w:val="231F20"/>
          <w:spacing w:val="21"/>
        </w:rPr>
        <w:t xml:space="preserve"> </w:t>
      </w:r>
      <w:r>
        <w:rPr>
          <w:color w:val="231F20"/>
        </w:rPr>
        <w:t>police.</w:t>
      </w:r>
    </w:p>
    <w:p w14:paraId="3BB3031D" w14:textId="77777777" w:rsidR="002653E8" w:rsidRDefault="00000000">
      <w:pPr>
        <w:pStyle w:val="a3"/>
        <w:spacing w:before="6"/>
        <w:rPr>
          <w:sz w:val="23"/>
        </w:rPr>
      </w:pPr>
      <w:r>
        <w:rPr>
          <w:noProof w:val="0"/>
        </w:rPr>
        <w:pict w14:anchorId="369F88B7">
          <v:line id="_x0000_s2521" style="position:absolute;z-index:4792;mso-wrap-distance-left:0;mso-wrap-distance-right:0;mso-position-horizontal-relative:page" from="66.4pt,16.05pt" to="138.4pt,16.05pt" strokecolor="#231f20" strokeweight=".5pt">
            <w10:wrap type="topAndBottom" anchorx="page"/>
          </v:line>
        </w:pict>
      </w:r>
    </w:p>
    <w:p w14:paraId="5D8B5643" w14:textId="77777777" w:rsidR="002653E8" w:rsidRDefault="003115E3">
      <w:pPr>
        <w:spacing w:before="53"/>
        <w:ind w:left="1327"/>
        <w:rPr>
          <w:sz w:val="16"/>
        </w:rPr>
      </w:pPr>
      <w:r>
        <w:rPr>
          <w:color w:val="231F20"/>
          <w:w w:val="110"/>
          <w:sz w:val="16"/>
        </w:rPr>
        <w:t>6 Aust, 211.</w:t>
      </w:r>
    </w:p>
    <w:p w14:paraId="4579234E" w14:textId="77777777" w:rsidR="002653E8" w:rsidRDefault="003115E3">
      <w:pPr>
        <w:spacing w:before="51" w:line="254" w:lineRule="auto"/>
        <w:ind w:left="1327" w:right="1161" w:hanging="1"/>
        <w:rPr>
          <w:sz w:val="16"/>
        </w:rPr>
      </w:pPr>
      <w:r>
        <w:rPr>
          <w:color w:val="231F20"/>
          <w:w w:val="105"/>
          <w:sz w:val="16"/>
        </w:rPr>
        <w:t xml:space="preserve">7 </w:t>
      </w:r>
      <w:r>
        <w:rPr>
          <w:color w:val="231F20"/>
          <w:spacing w:val="1"/>
          <w:w w:val="105"/>
          <w:sz w:val="16"/>
        </w:rPr>
        <w:t xml:space="preserve">See </w:t>
      </w:r>
      <w:r>
        <w:rPr>
          <w:color w:val="231F20"/>
          <w:w w:val="105"/>
          <w:sz w:val="16"/>
        </w:rPr>
        <w:t xml:space="preserve">the </w:t>
      </w:r>
      <w:r w:rsidR="00C507A5">
        <w:rPr>
          <w:color w:val="231F20"/>
          <w:spacing w:val="1"/>
          <w:w w:val="105"/>
          <w:sz w:val="16"/>
        </w:rPr>
        <w:t>red army faction</w:t>
      </w:r>
      <w:r>
        <w:rPr>
          <w:color w:val="231F20"/>
          <w:spacing w:val="1"/>
          <w:w w:val="105"/>
          <w:sz w:val="16"/>
        </w:rPr>
        <w:t xml:space="preserve">’s </w:t>
      </w:r>
      <w:r>
        <w:rPr>
          <w:color w:val="231F20"/>
          <w:w w:val="105"/>
          <w:sz w:val="16"/>
        </w:rPr>
        <w:t xml:space="preserve">interview with </w:t>
      </w:r>
      <w:r>
        <w:rPr>
          <w:i/>
          <w:color w:val="231F20"/>
          <w:spacing w:val="1"/>
          <w:w w:val="105"/>
          <w:sz w:val="16"/>
        </w:rPr>
        <w:t xml:space="preserve">Le Monde  </w:t>
      </w:r>
      <w:r>
        <w:rPr>
          <w:i/>
          <w:color w:val="231F20"/>
          <w:w w:val="105"/>
          <w:sz w:val="16"/>
        </w:rPr>
        <w:t xml:space="preserve">Diplomatique,  </w:t>
      </w:r>
      <w:r>
        <w:rPr>
          <w:color w:val="231F20"/>
          <w:w w:val="105"/>
          <w:sz w:val="16"/>
        </w:rPr>
        <w:t>on  page  422  of  this volume.</w:t>
      </w:r>
      <w:r>
        <w:rPr>
          <w:color w:val="231F20"/>
          <w:spacing w:val="10"/>
          <w:w w:val="105"/>
          <w:sz w:val="16"/>
        </w:rPr>
        <w:t xml:space="preserve"> </w:t>
      </w:r>
      <w:r>
        <w:rPr>
          <w:color w:val="231F20"/>
          <w:spacing w:val="1"/>
          <w:w w:val="105"/>
          <w:sz w:val="16"/>
        </w:rPr>
        <w:t>See</w:t>
      </w:r>
      <w:r>
        <w:rPr>
          <w:color w:val="231F20"/>
          <w:spacing w:val="10"/>
          <w:w w:val="105"/>
          <w:sz w:val="16"/>
        </w:rPr>
        <w:t xml:space="preserve"> </w:t>
      </w:r>
      <w:r>
        <w:rPr>
          <w:color w:val="231F20"/>
          <w:w w:val="105"/>
          <w:sz w:val="16"/>
        </w:rPr>
        <w:t>also</w:t>
      </w:r>
      <w:r>
        <w:rPr>
          <w:color w:val="231F20"/>
          <w:spacing w:val="10"/>
          <w:w w:val="105"/>
          <w:sz w:val="16"/>
        </w:rPr>
        <w:t xml:space="preserve"> </w:t>
      </w:r>
      <w:r>
        <w:rPr>
          <w:color w:val="231F20"/>
          <w:w w:val="105"/>
          <w:sz w:val="16"/>
        </w:rPr>
        <w:t>Brigitte</w:t>
      </w:r>
      <w:r>
        <w:rPr>
          <w:color w:val="231F20"/>
          <w:spacing w:val="10"/>
          <w:w w:val="105"/>
          <w:sz w:val="16"/>
        </w:rPr>
        <w:t xml:space="preserve"> </w:t>
      </w:r>
      <w:r>
        <w:rPr>
          <w:color w:val="231F20"/>
          <w:w w:val="105"/>
          <w:sz w:val="16"/>
        </w:rPr>
        <w:t>Mohnhaupt’s</w:t>
      </w:r>
      <w:r>
        <w:rPr>
          <w:color w:val="231F20"/>
          <w:spacing w:val="10"/>
          <w:w w:val="105"/>
          <w:sz w:val="16"/>
        </w:rPr>
        <w:t xml:space="preserve"> </w:t>
      </w:r>
      <w:r>
        <w:rPr>
          <w:color w:val="231F20"/>
          <w:w w:val="105"/>
          <w:sz w:val="16"/>
        </w:rPr>
        <w:t>testimony</w:t>
      </w:r>
      <w:r>
        <w:rPr>
          <w:color w:val="231F20"/>
          <w:spacing w:val="10"/>
          <w:w w:val="105"/>
          <w:sz w:val="16"/>
        </w:rPr>
        <w:t xml:space="preserve"> </w:t>
      </w:r>
      <w:r>
        <w:rPr>
          <w:color w:val="231F20"/>
          <w:w w:val="105"/>
          <w:sz w:val="16"/>
        </w:rPr>
        <w:t>at</w:t>
      </w:r>
      <w:r>
        <w:rPr>
          <w:color w:val="231F20"/>
          <w:spacing w:val="10"/>
          <w:w w:val="105"/>
          <w:sz w:val="16"/>
        </w:rPr>
        <w:t xml:space="preserve"> </w:t>
      </w:r>
      <w:r>
        <w:rPr>
          <w:color w:val="231F20"/>
          <w:w w:val="105"/>
          <w:sz w:val="16"/>
        </w:rPr>
        <w:t>the</w:t>
      </w:r>
      <w:r>
        <w:rPr>
          <w:color w:val="231F20"/>
          <w:spacing w:val="10"/>
          <w:w w:val="105"/>
          <w:sz w:val="16"/>
        </w:rPr>
        <w:t xml:space="preserve"> </w:t>
      </w:r>
      <w:r>
        <w:rPr>
          <w:color w:val="231F20"/>
          <w:spacing w:val="1"/>
          <w:w w:val="105"/>
          <w:sz w:val="16"/>
        </w:rPr>
        <w:t>Stammheim</w:t>
      </w:r>
      <w:r>
        <w:rPr>
          <w:color w:val="231F20"/>
          <w:spacing w:val="10"/>
          <w:w w:val="105"/>
          <w:sz w:val="16"/>
        </w:rPr>
        <w:t xml:space="preserve"> </w:t>
      </w:r>
      <w:r>
        <w:rPr>
          <w:color w:val="231F20"/>
          <w:w w:val="105"/>
          <w:sz w:val="16"/>
        </w:rPr>
        <w:t>trial,</w:t>
      </w:r>
      <w:r>
        <w:rPr>
          <w:color w:val="231F20"/>
          <w:spacing w:val="10"/>
          <w:w w:val="105"/>
          <w:sz w:val="16"/>
        </w:rPr>
        <w:t xml:space="preserve"> </w:t>
      </w:r>
      <w:r>
        <w:rPr>
          <w:color w:val="231F20"/>
          <w:w w:val="105"/>
          <w:sz w:val="16"/>
        </w:rPr>
        <w:t>cf.</w:t>
      </w:r>
      <w:r>
        <w:rPr>
          <w:color w:val="231F20"/>
          <w:spacing w:val="11"/>
          <w:w w:val="105"/>
          <w:sz w:val="16"/>
        </w:rPr>
        <w:t xml:space="preserve"> </w:t>
      </w:r>
      <w:r>
        <w:rPr>
          <w:color w:val="231F20"/>
          <w:spacing w:val="-5"/>
          <w:w w:val="105"/>
          <w:sz w:val="16"/>
        </w:rPr>
        <w:t>357-58.</w:t>
      </w:r>
    </w:p>
    <w:p w14:paraId="534C2E71" w14:textId="77777777" w:rsidR="002653E8" w:rsidRDefault="003115E3">
      <w:pPr>
        <w:spacing w:before="41"/>
        <w:ind w:left="1327"/>
        <w:rPr>
          <w:sz w:val="16"/>
        </w:rPr>
      </w:pPr>
      <w:r>
        <w:rPr>
          <w:color w:val="231F20"/>
          <w:w w:val="110"/>
          <w:sz w:val="16"/>
        </w:rPr>
        <w:t>8 Aust, 211.</w:t>
      </w:r>
    </w:p>
    <w:p w14:paraId="2C9E8D5A" w14:textId="77777777" w:rsidR="002653E8" w:rsidRDefault="003115E3">
      <w:pPr>
        <w:pStyle w:val="a4"/>
        <w:numPr>
          <w:ilvl w:val="0"/>
          <w:numId w:val="140"/>
        </w:numPr>
        <w:tabs>
          <w:tab w:val="left" w:pos="1467"/>
        </w:tabs>
        <w:spacing w:before="52"/>
        <w:ind w:firstLine="0"/>
        <w:rPr>
          <w:i/>
          <w:sz w:val="16"/>
        </w:rPr>
      </w:pPr>
      <w:r>
        <w:rPr>
          <w:color w:val="231F20"/>
          <w:w w:val="110"/>
          <w:sz w:val="16"/>
        </w:rPr>
        <w:t>Dan</w:t>
      </w:r>
      <w:r>
        <w:rPr>
          <w:color w:val="231F20"/>
          <w:spacing w:val="6"/>
          <w:w w:val="110"/>
          <w:sz w:val="16"/>
        </w:rPr>
        <w:t xml:space="preserve"> </w:t>
      </w:r>
      <w:r>
        <w:rPr>
          <w:color w:val="231F20"/>
          <w:w w:val="110"/>
          <w:sz w:val="16"/>
        </w:rPr>
        <w:t>Synovec,</w:t>
      </w:r>
      <w:r>
        <w:rPr>
          <w:color w:val="231F20"/>
          <w:spacing w:val="6"/>
          <w:w w:val="110"/>
          <w:sz w:val="16"/>
        </w:rPr>
        <w:t xml:space="preserve"> </w:t>
      </w:r>
      <w:r>
        <w:rPr>
          <w:color w:val="231F20"/>
          <w:w w:val="110"/>
          <w:sz w:val="16"/>
        </w:rPr>
        <w:t>“Bombs</w:t>
      </w:r>
      <w:r>
        <w:rPr>
          <w:color w:val="231F20"/>
          <w:spacing w:val="6"/>
          <w:w w:val="110"/>
          <w:sz w:val="16"/>
        </w:rPr>
        <w:t xml:space="preserve"> </w:t>
      </w:r>
      <w:r>
        <w:rPr>
          <w:color w:val="231F20"/>
          <w:w w:val="110"/>
          <w:sz w:val="16"/>
        </w:rPr>
        <w:t>kill</w:t>
      </w:r>
      <w:r>
        <w:rPr>
          <w:color w:val="231F20"/>
          <w:spacing w:val="7"/>
          <w:w w:val="110"/>
          <w:sz w:val="16"/>
        </w:rPr>
        <w:t xml:space="preserve"> </w:t>
      </w:r>
      <w:r>
        <w:rPr>
          <w:color w:val="231F20"/>
          <w:w w:val="110"/>
          <w:sz w:val="16"/>
        </w:rPr>
        <w:t>3</w:t>
      </w:r>
      <w:r>
        <w:rPr>
          <w:color w:val="231F20"/>
          <w:spacing w:val="6"/>
          <w:w w:val="110"/>
          <w:sz w:val="16"/>
        </w:rPr>
        <w:t xml:space="preserve"> </w:t>
      </w:r>
      <w:r>
        <w:rPr>
          <w:color w:val="231F20"/>
          <w:w w:val="110"/>
          <w:sz w:val="16"/>
        </w:rPr>
        <w:t>at</w:t>
      </w:r>
      <w:r>
        <w:rPr>
          <w:color w:val="231F20"/>
          <w:spacing w:val="7"/>
          <w:w w:val="110"/>
          <w:sz w:val="16"/>
        </w:rPr>
        <w:t xml:space="preserve"> </w:t>
      </w:r>
      <w:r>
        <w:rPr>
          <w:color w:val="231F20"/>
          <w:spacing w:val="2"/>
          <w:w w:val="110"/>
          <w:sz w:val="16"/>
        </w:rPr>
        <w:t>USAREUR</w:t>
      </w:r>
      <w:r>
        <w:rPr>
          <w:color w:val="231F20"/>
          <w:spacing w:val="6"/>
          <w:w w:val="110"/>
          <w:sz w:val="16"/>
        </w:rPr>
        <w:t xml:space="preserve"> </w:t>
      </w:r>
      <w:r>
        <w:rPr>
          <w:color w:val="231F20"/>
          <w:w w:val="110"/>
          <w:sz w:val="16"/>
        </w:rPr>
        <w:t>Hq,”</w:t>
      </w:r>
      <w:r>
        <w:rPr>
          <w:color w:val="231F20"/>
          <w:spacing w:val="6"/>
          <w:w w:val="110"/>
          <w:sz w:val="16"/>
        </w:rPr>
        <w:t xml:space="preserve"> </w:t>
      </w:r>
      <w:r>
        <w:rPr>
          <w:i/>
          <w:color w:val="231F20"/>
          <w:w w:val="110"/>
          <w:sz w:val="16"/>
        </w:rPr>
        <w:t>European</w:t>
      </w:r>
      <w:r>
        <w:rPr>
          <w:i/>
          <w:color w:val="231F20"/>
          <w:spacing w:val="6"/>
          <w:w w:val="110"/>
          <w:sz w:val="16"/>
        </w:rPr>
        <w:t xml:space="preserve"> </w:t>
      </w:r>
      <w:r>
        <w:rPr>
          <w:i/>
          <w:color w:val="231F20"/>
          <w:w w:val="110"/>
          <w:sz w:val="16"/>
        </w:rPr>
        <w:t>Stars</w:t>
      </w:r>
      <w:r>
        <w:rPr>
          <w:i/>
          <w:color w:val="231F20"/>
          <w:spacing w:val="6"/>
          <w:w w:val="110"/>
          <w:sz w:val="16"/>
        </w:rPr>
        <w:t xml:space="preserve"> </w:t>
      </w:r>
      <w:r>
        <w:rPr>
          <w:i/>
          <w:color w:val="231F20"/>
          <w:spacing w:val="1"/>
          <w:w w:val="110"/>
          <w:sz w:val="16"/>
        </w:rPr>
        <w:t>and</w:t>
      </w:r>
      <w:r>
        <w:rPr>
          <w:i/>
          <w:color w:val="231F20"/>
          <w:spacing w:val="6"/>
          <w:w w:val="110"/>
          <w:sz w:val="16"/>
        </w:rPr>
        <w:t xml:space="preserve"> </w:t>
      </w:r>
      <w:r>
        <w:rPr>
          <w:i/>
          <w:color w:val="231F20"/>
          <w:w w:val="110"/>
          <w:sz w:val="16"/>
        </w:rPr>
        <w:t>Stripes,</w:t>
      </w:r>
    </w:p>
    <w:p w14:paraId="59A1898A" w14:textId="77777777" w:rsidR="002653E8" w:rsidRDefault="003115E3">
      <w:pPr>
        <w:spacing w:before="11"/>
        <w:ind w:left="1327"/>
        <w:rPr>
          <w:sz w:val="16"/>
        </w:rPr>
      </w:pPr>
      <w:r>
        <w:rPr>
          <w:color w:val="231F20"/>
          <w:w w:val="115"/>
          <w:sz w:val="16"/>
        </w:rPr>
        <w:t>May 25, 1972.</w:t>
      </w:r>
    </w:p>
    <w:p w14:paraId="252656CA" w14:textId="77777777" w:rsidR="002653E8" w:rsidRDefault="003115E3">
      <w:pPr>
        <w:pStyle w:val="a4"/>
        <w:numPr>
          <w:ilvl w:val="0"/>
          <w:numId w:val="140"/>
        </w:numPr>
        <w:tabs>
          <w:tab w:val="left" w:pos="1555"/>
        </w:tabs>
        <w:spacing w:before="52" w:line="254" w:lineRule="auto"/>
        <w:ind w:right="1453" w:firstLine="0"/>
        <w:rPr>
          <w:sz w:val="16"/>
        </w:rPr>
      </w:pPr>
      <w:r>
        <w:rPr>
          <w:color w:val="231F20"/>
          <w:w w:val="110"/>
          <w:sz w:val="16"/>
        </w:rPr>
        <w:t xml:space="preserve">They were: Clyde Bonner of El Paso, Texas, Ronald Woodward of Otter Lake, Michigan, and Charles Peck of Hawthorne, California. (Associated Press, </w:t>
      </w:r>
      <w:r>
        <w:rPr>
          <w:color w:val="231F20"/>
          <w:spacing w:val="-3"/>
          <w:w w:val="110"/>
          <w:sz w:val="16"/>
        </w:rPr>
        <w:t xml:space="preserve">“W. </w:t>
      </w:r>
      <w:r>
        <w:rPr>
          <w:color w:val="231F20"/>
          <w:w w:val="110"/>
          <w:sz w:val="16"/>
        </w:rPr>
        <w:t xml:space="preserve">Germans Sentence 3 Guerrillas to Life for Bomb Deaths,” </w:t>
      </w:r>
      <w:r>
        <w:rPr>
          <w:i/>
          <w:color w:val="231F20"/>
          <w:spacing w:val="1"/>
          <w:w w:val="110"/>
          <w:sz w:val="16"/>
        </w:rPr>
        <w:t xml:space="preserve">Tri-City </w:t>
      </w:r>
      <w:r>
        <w:rPr>
          <w:i/>
          <w:color w:val="231F20"/>
          <w:w w:val="110"/>
          <w:sz w:val="16"/>
        </w:rPr>
        <w:t xml:space="preserve">Herald, </w:t>
      </w:r>
      <w:r>
        <w:rPr>
          <w:color w:val="231F20"/>
          <w:w w:val="110"/>
          <w:sz w:val="16"/>
        </w:rPr>
        <w:t>April 28,</w:t>
      </w:r>
      <w:r>
        <w:rPr>
          <w:color w:val="231F20"/>
          <w:spacing w:val="11"/>
          <w:w w:val="110"/>
          <w:sz w:val="16"/>
        </w:rPr>
        <w:t xml:space="preserve"> </w:t>
      </w:r>
      <w:r>
        <w:rPr>
          <w:color w:val="231F20"/>
          <w:spacing w:val="-4"/>
          <w:w w:val="110"/>
          <w:sz w:val="16"/>
        </w:rPr>
        <w:t>1977.)</w:t>
      </w:r>
    </w:p>
    <w:p w14:paraId="4ADC4D30" w14:textId="77777777" w:rsidR="002653E8" w:rsidRDefault="002653E8">
      <w:pPr>
        <w:spacing w:line="254" w:lineRule="auto"/>
        <w:rPr>
          <w:sz w:val="16"/>
        </w:rPr>
        <w:sectPr w:rsidR="002653E8">
          <w:footerReference w:type="even" r:id="rId140"/>
          <w:footerReference w:type="default" r:id="rId141"/>
          <w:pgSz w:w="8640" w:h="12960"/>
          <w:pgMar w:top="1060" w:right="0" w:bottom="1040" w:left="0" w:header="0" w:footer="850" w:gutter="0"/>
          <w:pgNumType w:start="165"/>
          <w:cols w:space="720"/>
        </w:sectPr>
      </w:pPr>
    </w:p>
    <w:p w14:paraId="008A010F" w14:textId="77777777" w:rsidR="002653E8" w:rsidRDefault="003115E3">
      <w:pPr>
        <w:pStyle w:val="a3"/>
        <w:spacing w:before="86" w:line="264" w:lineRule="auto"/>
        <w:ind w:left="1147" w:right="1326" w:firstLine="210"/>
        <w:jc w:val="both"/>
        <w:rPr>
          <w:sz w:val="11"/>
        </w:rPr>
      </w:pPr>
      <w:r>
        <w:rPr>
          <w:color w:val="231F20"/>
        </w:rPr>
        <w:lastRenderedPageBreak/>
        <w:t xml:space="preserve">This was a more daring attack than any of the others so far: unlike  the V Corps headquarters in Frankfurt, the Campbell Barracks were fenced off and military police were always stationed at the gates. Any person in civilian clothes or in a vehicle without </w:t>
      </w:r>
      <w:r>
        <w:rPr>
          <w:color w:val="231F20"/>
          <w:spacing w:val="1"/>
        </w:rPr>
        <w:t xml:space="preserve">U.S. </w:t>
      </w:r>
      <w:r>
        <w:rPr>
          <w:color w:val="231F20"/>
        </w:rPr>
        <w:t>military plates was supposed to show identification before</w:t>
      </w:r>
      <w:r>
        <w:rPr>
          <w:color w:val="231F20"/>
          <w:spacing w:val="5"/>
        </w:rPr>
        <w:t xml:space="preserve"> </w:t>
      </w:r>
      <w:r>
        <w:rPr>
          <w:color w:val="231F20"/>
        </w:rPr>
        <w:t>entering.</w:t>
      </w:r>
      <w:r>
        <w:rPr>
          <w:color w:val="231F20"/>
          <w:position w:val="7"/>
          <w:sz w:val="11"/>
        </w:rPr>
        <w:t>1</w:t>
      </w:r>
    </w:p>
    <w:p w14:paraId="49574F07" w14:textId="77777777" w:rsidR="002653E8" w:rsidRDefault="003115E3">
      <w:pPr>
        <w:pStyle w:val="a3"/>
        <w:spacing w:line="264" w:lineRule="auto"/>
        <w:ind w:left="1147" w:right="1325" w:firstLine="210"/>
        <w:jc w:val="both"/>
      </w:pPr>
      <w:r>
        <w:rPr>
          <w:color w:val="231F20"/>
        </w:rPr>
        <w:t xml:space="preserve">The computer destroyed in this attack had been used to make calculations for carpet-bombing sorties in South and  North  Vietnam  with the aim of achieving the highest possible number of deaths. This at a time when, though it was clear the war had been lost, the United States had stepped up bombings of Hanoi, Haiphong, and </w:t>
      </w:r>
      <w:r>
        <w:rPr>
          <w:color w:val="231F20"/>
          <w:spacing w:val="1"/>
        </w:rPr>
        <w:t xml:space="preserve">Thanh </w:t>
      </w:r>
      <w:r>
        <w:rPr>
          <w:color w:val="231F20"/>
        </w:rPr>
        <w:t>Hoa province.</w:t>
      </w:r>
      <w:r>
        <w:rPr>
          <w:color w:val="231F20"/>
          <w:position w:val="7"/>
          <w:sz w:val="11"/>
        </w:rPr>
        <w:t xml:space="preserve">2 </w:t>
      </w:r>
      <w:r>
        <w:rPr>
          <w:color w:val="231F20"/>
        </w:rPr>
        <w:t xml:space="preserve">The </w:t>
      </w:r>
      <w:r w:rsidR="00C507A5">
        <w:rPr>
          <w:color w:val="231F20"/>
          <w:spacing w:val="5"/>
        </w:rPr>
        <w:t>red army faction</w:t>
      </w:r>
      <w:r>
        <w:rPr>
          <w:color w:val="231F20"/>
          <w:spacing w:val="5"/>
        </w:rPr>
        <w:t xml:space="preserve"> </w:t>
      </w:r>
      <w:r>
        <w:rPr>
          <w:color w:val="231F20"/>
        </w:rPr>
        <w:t>would later claim that their pictures had gone up on walls in Hanoi as a result of this action,</w:t>
      </w:r>
      <w:r>
        <w:rPr>
          <w:color w:val="231F20"/>
          <w:position w:val="7"/>
          <w:sz w:val="11"/>
        </w:rPr>
        <w:t xml:space="preserve">3 </w:t>
      </w:r>
      <w:r>
        <w:rPr>
          <w:color w:val="231F20"/>
        </w:rPr>
        <w:t>and this clearly remained a point</w:t>
      </w:r>
      <w:r>
        <w:rPr>
          <w:color w:val="231F20"/>
          <w:spacing w:val="8"/>
        </w:rPr>
        <w:t xml:space="preserve"> </w:t>
      </w:r>
      <w:r>
        <w:rPr>
          <w:color w:val="231F20"/>
        </w:rPr>
        <w:t>of</w:t>
      </w:r>
      <w:r>
        <w:rPr>
          <w:color w:val="231F20"/>
          <w:spacing w:val="8"/>
        </w:rPr>
        <w:t xml:space="preserve"> </w:t>
      </w:r>
      <w:r>
        <w:rPr>
          <w:color w:val="231F20"/>
        </w:rPr>
        <w:t>pride</w:t>
      </w:r>
      <w:r>
        <w:rPr>
          <w:color w:val="231F20"/>
          <w:spacing w:val="8"/>
        </w:rPr>
        <w:t xml:space="preserve"> </w:t>
      </w:r>
      <w:r>
        <w:rPr>
          <w:color w:val="231F20"/>
        </w:rPr>
        <w:t>among</w:t>
      </w:r>
      <w:r>
        <w:rPr>
          <w:color w:val="231F20"/>
          <w:spacing w:val="8"/>
        </w:rPr>
        <w:t xml:space="preserve"> </w:t>
      </w:r>
      <w:r>
        <w:rPr>
          <w:color w:val="231F20"/>
        </w:rPr>
        <w:t>guerilla</w:t>
      </w:r>
      <w:r>
        <w:rPr>
          <w:color w:val="231F20"/>
          <w:spacing w:val="8"/>
        </w:rPr>
        <w:t xml:space="preserve"> </w:t>
      </w:r>
      <w:r>
        <w:rPr>
          <w:color w:val="231F20"/>
        </w:rPr>
        <w:t>veterans</w:t>
      </w:r>
      <w:r>
        <w:rPr>
          <w:color w:val="231F20"/>
          <w:spacing w:val="8"/>
        </w:rPr>
        <w:t xml:space="preserve"> </w:t>
      </w:r>
      <w:r>
        <w:rPr>
          <w:color w:val="231F20"/>
        </w:rPr>
        <w:t>even</w:t>
      </w:r>
      <w:r>
        <w:rPr>
          <w:color w:val="231F20"/>
          <w:spacing w:val="8"/>
        </w:rPr>
        <w:t xml:space="preserve"> </w:t>
      </w:r>
      <w:r>
        <w:rPr>
          <w:color w:val="231F20"/>
        </w:rPr>
        <w:t>decades</w:t>
      </w:r>
      <w:r>
        <w:rPr>
          <w:color w:val="231F20"/>
          <w:spacing w:val="8"/>
        </w:rPr>
        <w:t xml:space="preserve"> </w:t>
      </w:r>
      <w:r>
        <w:rPr>
          <w:color w:val="231F20"/>
        </w:rPr>
        <w:t>later.</w:t>
      </w:r>
    </w:p>
    <w:p w14:paraId="357F8A53" w14:textId="77777777" w:rsidR="002653E8" w:rsidRDefault="003115E3">
      <w:pPr>
        <w:pStyle w:val="a3"/>
        <w:spacing w:line="226" w:lineRule="exact"/>
        <w:ind w:left="1357"/>
      </w:pPr>
      <w:r>
        <w:rPr>
          <w:color w:val="231F20"/>
        </w:rPr>
        <w:t>Regarding the May Offensive, it has been noted:</w:t>
      </w:r>
    </w:p>
    <w:p w14:paraId="78EA5BBB" w14:textId="77777777" w:rsidR="002653E8" w:rsidRDefault="003115E3">
      <w:pPr>
        <w:spacing w:before="146" w:line="276" w:lineRule="auto"/>
        <w:ind w:left="1567" w:right="1738"/>
        <w:jc w:val="both"/>
        <w:rPr>
          <w:i/>
          <w:sz w:val="11"/>
        </w:rPr>
      </w:pPr>
      <w:r>
        <w:rPr>
          <w:i/>
          <w:color w:val="231F20"/>
          <w:w w:val="105"/>
          <w:sz w:val="19"/>
        </w:rPr>
        <w:t>Although</w:t>
      </w:r>
      <w:r>
        <w:rPr>
          <w:i/>
          <w:color w:val="231F20"/>
          <w:spacing w:val="-8"/>
          <w:w w:val="105"/>
          <w:sz w:val="19"/>
        </w:rPr>
        <w:t xml:space="preserve"> </w:t>
      </w:r>
      <w:r>
        <w:rPr>
          <w:i/>
          <w:color w:val="231F20"/>
          <w:w w:val="105"/>
          <w:sz w:val="19"/>
        </w:rPr>
        <w:t>people</w:t>
      </w:r>
      <w:r>
        <w:rPr>
          <w:i/>
          <w:color w:val="231F20"/>
          <w:spacing w:val="-8"/>
          <w:w w:val="105"/>
          <w:sz w:val="19"/>
        </w:rPr>
        <w:t xml:space="preserve"> </w:t>
      </w:r>
      <w:r>
        <w:rPr>
          <w:i/>
          <w:color w:val="231F20"/>
          <w:w w:val="105"/>
          <w:sz w:val="19"/>
        </w:rPr>
        <w:t>were</w:t>
      </w:r>
      <w:r>
        <w:rPr>
          <w:i/>
          <w:color w:val="231F20"/>
          <w:spacing w:val="-8"/>
          <w:w w:val="105"/>
          <w:sz w:val="19"/>
        </w:rPr>
        <w:t xml:space="preserve"> </w:t>
      </w:r>
      <w:r>
        <w:rPr>
          <w:i/>
          <w:color w:val="231F20"/>
          <w:w w:val="105"/>
          <w:sz w:val="19"/>
        </w:rPr>
        <w:t>injured</w:t>
      </w:r>
      <w:r>
        <w:rPr>
          <w:i/>
          <w:color w:val="231F20"/>
          <w:spacing w:val="-8"/>
          <w:w w:val="105"/>
          <w:sz w:val="19"/>
        </w:rPr>
        <w:t xml:space="preserve"> </w:t>
      </w:r>
      <w:r>
        <w:rPr>
          <w:i/>
          <w:color w:val="231F20"/>
          <w:w w:val="105"/>
          <w:sz w:val="19"/>
        </w:rPr>
        <w:t>or</w:t>
      </w:r>
      <w:r>
        <w:rPr>
          <w:i/>
          <w:color w:val="231F20"/>
          <w:spacing w:val="-8"/>
          <w:w w:val="105"/>
          <w:sz w:val="19"/>
        </w:rPr>
        <w:t xml:space="preserve"> </w:t>
      </w:r>
      <w:r>
        <w:rPr>
          <w:i/>
          <w:color w:val="231F20"/>
          <w:w w:val="105"/>
          <w:sz w:val="19"/>
        </w:rPr>
        <w:t>killed</w:t>
      </w:r>
      <w:r>
        <w:rPr>
          <w:i/>
          <w:color w:val="231F20"/>
          <w:spacing w:val="-8"/>
          <w:w w:val="105"/>
          <w:sz w:val="19"/>
        </w:rPr>
        <w:t xml:space="preserve"> </w:t>
      </w:r>
      <w:r>
        <w:rPr>
          <w:i/>
          <w:color w:val="231F20"/>
          <w:w w:val="105"/>
          <w:sz w:val="19"/>
        </w:rPr>
        <w:t>in</w:t>
      </w:r>
      <w:r>
        <w:rPr>
          <w:i/>
          <w:color w:val="231F20"/>
          <w:spacing w:val="-8"/>
          <w:w w:val="105"/>
          <w:sz w:val="19"/>
        </w:rPr>
        <w:t xml:space="preserve"> </w:t>
      </w:r>
      <w:r>
        <w:rPr>
          <w:i/>
          <w:color w:val="231F20"/>
          <w:w w:val="105"/>
          <w:sz w:val="19"/>
        </w:rPr>
        <w:t>most</w:t>
      </w:r>
      <w:r>
        <w:rPr>
          <w:i/>
          <w:color w:val="231F20"/>
          <w:spacing w:val="-8"/>
          <w:w w:val="105"/>
          <w:sz w:val="19"/>
        </w:rPr>
        <w:t xml:space="preserve"> </w:t>
      </w:r>
      <w:r>
        <w:rPr>
          <w:i/>
          <w:color w:val="231F20"/>
          <w:w w:val="105"/>
          <w:sz w:val="19"/>
        </w:rPr>
        <w:t>of</w:t>
      </w:r>
      <w:r>
        <w:rPr>
          <w:i/>
          <w:color w:val="231F20"/>
          <w:spacing w:val="-8"/>
          <w:w w:val="105"/>
          <w:sz w:val="19"/>
        </w:rPr>
        <w:t xml:space="preserve"> </w:t>
      </w:r>
      <w:r>
        <w:rPr>
          <w:i/>
          <w:color w:val="231F20"/>
          <w:w w:val="105"/>
          <w:sz w:val="19"/>
        </w:rPr>
        <w:t>these</w:t>
      </w:r>
      <w:r>
        <w:rPr>
          <w:i/>
          <w:color w:val="231F20"/>
          <w:spacing w:val="-8"/>
          <w:w w:val="105"/>
          <w:sz w:val="19"/>
        </w:rPr>
        <w:t xml:space="preserve"> </w:t>
      </w:r>
      <w:r>
        <w:rPr>
          <w:i/>
          <w:color w:val="231F20"/>
          <w:w w:val="105"/>
          <w:sz w:val="19"/>
        </w:rPr>
        <w:t>bombings, with the exception of the Buddenberg bombing, they differ from later</w:t>
      </w:r>
      <w:r>
        <w:rPr>
          <w:i/>
          <w:color w:val="231F20"/>
          <w:spacing w:val="-20"/>
          <w:w w:val="105"/>
          <w:sz w:val="19"/>
        </w:rPr>
        <w:t xml:space="preserve"> </w:t>
      </w:r>
      <w:r w:rsidR="00C507A5">
        <w:rPr>
          <w:i/>
          <w:color w:val="231F20"/>
          <w:w w:val="105"/>
          <w:sz w:val="19"/>
        </w:rPr>
        <w:t>red army faction</w:t>
      </w:r>
      <w:r>
        <w:rPr>
          <w:i/>
          <w:color w:val="231F20"/>
          <w:spacing w:val="-20"/>
          <w:w w:val="105"/>
          <w:sz w:val="19"/>
        </w:rPr>
        <w:t xml:space="preserve"> </w:t>
      </w:r>
      <w:r>
        <w:rPr>
          <w:i/>
          <w:color w:val="231F20"/>
          <w:w w:val="105"/>
          <w:sz w:val="19"/>
        </w:rPr>
        <w:t>attacks</w:t>
      </w:r>
      <w:r>
        <w:rPr>
          <w:i/>
          <w:color w:val="231F20"/>
          <w:spacing w:val="-20"/>
          <w:w w:val="105"/>
          <w:sz w:val="19"/>
        </w:rPr>
        <w:t xml:space="preserve"> </w:t>
      </w:r>
      <w:r>
        <w:rPr>
          <w:i/>
          <w:color w:val="231F20"/>
          <w:w w:val="105"/>
          <w:sz w:val="19"/>
        </w:rPr>
        <w:t>in</w:t>
      </w:r>
      <w:r>
        <w:rPr>
          <w:i/>
          <w:color w:val="231F20"/>
          <w:spacing w:val="-20"/>
          <w:w w:val="105"/>
          <w:sz w:val="19"/>
        </w:rPr>
        <w:t xml:space="preserve"> </w:t>
      </w:r>
      <w:r>
        <w:rPr>
          <w:i/>
          <w:color w:val="231F20"/>
          <w:w w:val="105"/>
          <w:sz w:val="19"/>
        </w:rPr>
        <w:t>not</w:t>
      </w:r>
      <w:r>
        <w:rPr>
          <w:i/>
          <w:color w:val="231F20"/>
          <w:spacing w:val="-20"/>
          <w:w w:val="105"/>
          <w:sz w:val="19"/>
        </w:rPr>
        <w:t xml:space="preserve"> </w:t>
      </w:r>
      <w:r>
        <w:rPr>
          <w:i/>
          <w:color w:val="231F20"/>
          <w:w w:val="105"/>
          <w:sz w:val="19"/>
        </w:rPr>
        <w:t>being</w:t>
      </w:r>
      <w:r>
        <w:rPr>
          <w:i/>
          <w:color w:val="231F20"/>
          <w:spacing w:val="-20"/>
          <w:w w:val="105"/>
          <w:sz w:val="19"/>
        </w:rPr>
        <w:t xml:space="preserve"> </w:t>
      </w:r>
      <w:r>
        <w:rPr>
          <w:i/>
          <w:color w:val="231F20"/>
          <w:w w:val="105"/>
          <w:sz w:val="19"/>
        </w:rPr>
        <w:t>directed</w:t>
      </w:r>
      <w:r>
        <w:rPr>
          <w:i/>
          <w:color w:val="231F20"/>
          <w:spacing w:val="-20"/>
          <w:w w:val="105"/>
          <w:sz w:val="19"/>
        </w:rPr>
        <w:t xml:space="preserve"> </w:t>
      </w:r>
      <w:r>
        <w:rPr>
          <w:i/>
          <w:color w:val="231F20"/>
          <w:w w:val="105"/>
          <w:sz w:val="19"/>
        </w:rPr>
        <w:t>against</w:t>
      </w:r>
      <w:r>
        <w:rPr>
          <w:i/>
          <w:color w:val="231F20"/>
          <w:spacing w:val="-20"/>
          <w:w w:val="105"/>
          <w:sz w:val="19"/>
        </w:rPr>
        <w:t xml:space="preserve"> </w:t>
      </w:r>
      <w:r>
        <w:rPr>
          <w:i/>
          <w:color w:val="231F20"/>
          <w:w w:val="105"/>
          <w:sz w:val="19"/>
        </w:rPr>
        <w:t>specific</w:t>
      </w:r>
      <w:r>
        <w:rPr>
          <w:i/>
          <w:color w:val="231F20"/>
          <w:spacing w:val="-20"/>
          <w:w w:val="105"/>
          <w:sz w:val="19"/>
        </w:rPr>
        <w:t xml:space="preserve"> </w:t>
      </w:r>
      <w:r>
        <w:rPr>
          <w:i/>
          <w:color w:val="231F20"/>
          <w:w w:val="105"/>
          <w:sz w:val="19"/>
        </w:rPr>
        <w:t xml:space="preserve">individuals, a point that should be kept in mind when examining the </w:t>
      </w:r>
      <w:r w:rsidR="00C507A5">
        <w:rPr>
          <w:i/>
          <w:color w:val="231F20"/>
          <w:spacing w:val="-7"/>
          <w:w w:val="105"/>
          <w:sz w:val="19"/>
        </w:rPr>
        <w:t>red army faction</w:t>
      </w:r>
      <w:r>
        <w:rPr>
          <w:i/>
          <w:color w:val="231F20"/>
          <w:spacing w:val="-7"/>
          <w:w w:val="105"/>
          <w:sz w:val="19"/>
        </w:rPr>
        <w:t xml:space="preserve">’s </w:t>
      </w:r>
      <w:r>
        <w:rPr>
          <w:i/>
          <w:color w:val="231F20"/>
          <w:spacing w:val="-3"/>
          <w:w w:val="105"/>
          <w:sz w:val="19"/>
        </w:rPr>
        <w:t>history.</w:t>
      </w:r>
      <w:r>
        <w:rPr>
          <w:i/>
          <w:color w:val="231F20"/>
          <w:spacing w:val="-3"/>
          <w:w w:val="105"/>
          <w:position w:val="6"/>
          <w:sz w:val="11"/>
        </w:rPr>
        <w:t>4</w:t>
      </w:r>
    </w:p>
    <w:p w14:paraId="51CDFD02" w14:textId="77777777" w:rsidR="002653E8" w:rsidRDefault="003115E3">
      <w:pPr>
        <w:pStyle w:val="a3"/>
        <w:spacing w:before="132" w:line="264" w:lineRule="auto"/>
        <w:ind w:left="1147" w:right="1326"/>
        <w:jc w:val="both"/>
      </w:pPr>
      <w:r>
        <w:rPr>
          <w:color w:val="231F20"/>
        </w:rPr>
        <w:t xml:space="preserve">Despite the many anonymous bomb threats called in during this period, and the fact that the </w:t>
      </w:r>
      <w:r w:rsidR="00C507A5">
        <w:rPr>
          <w:color w:val="231F20"/>
        </w:rPr>
        <w:t>red army faction</w:t>
      </w:r>
      <w:r>
        <w:rPr>
          <w:color w:val="231F20"/>
        </w:rPr>
        <w:t xml:space="preserve">’s actions coincided with a global wave of protest against ongoing American military aggression in Southeast Asia, some observers have claimed that the May Offensive alienated many of the </w:t>
      </w:r>
      <w:r w:rsidR="00C507A5">
        <w:rPr>
          <w:color w:val="231F20"/>
        </w:rPr>
        <w:t>red army faction</w:t>
      </w:r>
      <w:r>
        <w:rPr>
          <w:color w:val="231F20"/>
        </w:rPr>
        <w:t>’s liberal sympathizers. Those who had seen them as modern day Robin Hoods, or as romantic idealists, took a step back once they realized that this was for real.</w:t>
      </w:r>
    </w:p>
    <w:p w14:paraId="66701B1A" w14:textId="77777777" w:rsidR="002653E8" w:rsidRDefault="003115E3">
      <w:pPr>
        <w:pStyle w:val="a3"/>
        <w:spacing w:line="264" w:lineRule="auto"/>
        <w:ind w:left="1147" w:right="1326" w:firstLine="210"/>
        <w:jc w:val="both"/>
      </w:pPr>
      <w:r>
        <w:rPr>
          <w:color w:val="231F20"/>
        </w:rPr>
        <w:t xml:space="preserve">It would be more true to say that the </w:t>
      </w:r>
      <w:r>
        <w:rPr>
          <w:color w:val="231F20"/>
          <w:spacing w:val="-4"/>
        </w:rPr>
        <w:t xml:space="preserve">1972 </w:t>
      </w:r>
      <w:r>
        <w:rPr>
          <w:color w:val="231F20"/>
        </w:rPr>
        <w:t xml:space="preserve">bombing campaign polarized the left, and, in a healthy </w:t>
      </w:r>
      <w:r>
        <w:rPr>
          <w:color w:val="231F20"/>
          <w:spacing w:val="-5"/>
        </w:rPr>
        <w:t xml:space="preserve">way,  </w:t>
      </w:r>
      <w:r>
        <w:rPr>
          <w:color w:val="231F20"/>
        </w:rPr>
        <w:t>provided direction and inspiration  to numerous activists who had been considering armed politics, while clarifying the disagreements which existed with opponents of the guerilla struggle. Indeed, the period in question showed a marked rise in newspaper</w:t>
      </w:r>
      <w:r>
        <w:rPr>
          <w:color w:val="231F20"/>
          <w:spacing w:val="20"/>
        </w:rPr>
        <w:t xml:space="preserve"> </w:t>
      </w:r>
      <w:r>
        <w:rPr>
          <w:color w:val="231F20"/>
        </w:rPr>
        <w:t>articles</w:t>
      </w:r>
      <w:r>
        <w:rPr>
          <w:color w:val="231F20"/>
          <w:spacing w:val="20"/>
        </w:rPr>
        <w:t xml:space="preserve"> </w:t>
      </w:r>
      <w:r>
        <w:rPr>
          <w:color w:val="231F20"/>
        </w:rPr>
        <w:t>describing</w:t>
      </w:r>
      <w:r>
        <w:rPr>
          <w:color w:val="231F20"/>
          <w:spacing w:val="20"/>
        </w:rPr>
        <w:t xml:space="preserve"> </w:t>
      </w:r>
      <w:r>
        <w:rPr>
          <w:color w:val="231F20"/>
        </w:rPr>
        <w:t>molotov</w:t>
      </w:r>
      <w:r>
        <w:rPr>
          <w:color w:val="231F20"/>
          <w:spacing w:val="20"/>
        </w:rPr>
        <w:t xml:space="preserve"> </w:t>
      </w:r>
      <w:r>
        <w:rPr>
          <w:color w:val="231F20"/>
        </w:rPr>
        <w:t>cocktail</w:t>
      </w:r>
      <w:r>
        <w:rPr>
          <w:color w:val="231F20"/>
          <w:spacing w:val="20"/>
        </w:rPr>
        <w:t xml:space="preserve"> </w:t>
      </w:r>
      <w:r>
        <w:rPr>
          <w:color w:val="231F20"/>
        </w:rPr>
        <w:t>attacks</w:t>
      </w:r>
      <w:r>
        <w:rPr>
          <w:color w:val="231F20"/>
          <w:spacing w:val="20"/>
        </w:rPr>
        <w:t xml:space="preserve"> </w:t>
      </w:r>
      <w:r>
        <w:rPr>
          <w:color w:val="231F20"/>
        </w:rPr>
        <w:t>and</w:t>
      </w:r>
      <w:r>
        <w:rPr>
          <w:color w:val="231F20"/>
          <w:spacing w:val="20"/>
        </w:rPr>
        <w:t xml:space="preserve"> </w:t>
      </w:r>
      <w:r>
        <w:rPr>
          <w:color w:val="231F20"/>
        </w:rPr>
        <w:t>other</w:t>
      </w:r>
      <w:r>
        <w:rPr>
          <w:color w:val="231F20"/>
          <w:spacing w:val="20"/>
        </w:rPr>
        <w:t xml:space="preserve"> </w:t>
      </w:r>
      <w:r>
        <w:rPr>
          <w:color w:val="231F20"/>
        </w:rPr>
        <w:t>low-</w:t>
      </w:r>
    </w:p>
    <w:p w14:paraId="75CCAB6E" w14:textId="77777777" w:rsidR="002653E8" w:rsidRDefault="00000000">
      <w:pPr>
        <w:pStyle w:val="a3"/>
        <w:spacing w:before="8"/>
        <w:rPr>
          <w:sz w:val="11"/>
        </w:rPr>
      </w:pPr>
      <w:r>
        <w:rPr>
          <w:noProof w:val="0"/>
        </w:rPr>
        <w:pict w14:anchorId="214CA388">
          <v:line id="_x0000_s2520" style="position:absolute;z-index:4816;mso-wrap-distance-left:0;mso-wrap-distance-right:0;mso-position-horizontal-relative:page" from="57.4pt,9.05pt" to="129.4pt,9.05pt" strokecolor="#231f20" strokeweight=".5pt">
            <w10:wrap type="topAndBottom" anchorx="page"/>
          </v:line>
        </w:pict>
      </w:r>
    </w:p>
    <w:p w14:paraId="47D985E2" w14:textId="77777777" w:rsidR="002653E8" w:rsidRDefault="003115E3">
      <w:pPr>
        <w:pStyle w:val="a4"/>
        <w:numPr>
          <w:ilvl w:val="0"/>
          <w:numId w:val="139"/>
        </w:numPr>
        <w:tabs>
          <w:tab w:val="left" w:pos="1287"/>
        </w:tabs>
        <w:spacing w:before="53"/>
        <w:ind w:firstLine="0"/>
        <w:rPr>
          <w:sz w:val="16"/>
        </w:rPr>
      </w:pPr>
      <w:r>
        <w:rPr>
          <w:color w:val="231F20"/>
          <w:w w:val="110"/>
          <w:sz w:val="16"/>
        </w:rPr>
        <w:t>Synovec, “Bombs</w:t>
      </w:r>
      <w:r>
        <w:rPr>
          <w:color w:val="231F20"/>
          <w:spacing w:val="12"/>
          <w:w w:val="110"/>
          <w:sz w:val="16"/>
        </w:rPr>
        <w:t xml:space="preserve"> </w:t>
      </w:r>
      <w:r>
        <w:rPr>
          <w:color w:val="231F20"/>
          <w:w w:val="110"/>
          <w:sz w:val="16"/>
        </w:rPr>
        <w:t>Kill.”</w:t>
      </w:r>
    </w:p>
    <w:p w14:paraId="7EF210BB" w14:textId="77777777" w:rsidR="002653E8" w:rsidRPr="00C507A5" w:rsidRDefault="003115E3">
      <w:pPr>
        <w:pStyle w:val="a4"/>
        <w:numPr>
          <w:ilvl w:val="0"/>
          <w:numId w:val="139"/>
        </w:numPr>
        <w:tabs>
          <w:tab w:val="left" w:pos="1287"/>
        </w:tabs>
        <w:spacing w:before="51" w:line="254" w:lineRule="auto"/>
        <w:ind w:right="2355" w:firstLine="0"/>
        <w:rPr>
          <w:sz w:val="16"/>
          <w:lang w:val="de-DE"/>
        </w:rPr>
      </w:pPr>
      <w:r w:rsidRPr="00C507A5">
        <w:rPr>
          <w:i/>
          <w:color w:val="231F20"/>
          <w:spacing w:val="1"/>
          <w:w w:val="110"/>
          <w:sz w:val="16"/>
          <w:lang w:val="de-DE"/>
        </w:rPr>
        <w:t xml:space="preserve">Internazionale </w:t>
      </w:r>
      <w:r w:rsidRPr="00C507A5">
        <w:rPr>
          <w:i/>
          <w:color w:val="231F20"/>
          <w:w w:val="110"/>
          <w:sz w:val="16"/>
          <w:lang w:val="de-DE"/>
        </w:rPr>
        <w:t xml:space="preserve">Kommission zum Schutz </w:t>
      </w:r>
      <w:r w:rsidRPr="00C507A5">
        <w:rPr>
          <w:i/>
          <w:color w:val="231F20"/>
          <w:spacing w:val="1"/>
          <w:w w:val="110"/>
          <w:sz w:val="16"/>
          <w:lang w:val="de-DE"/>
        </w:rPr>
        <w:t xml:space="preserve">der </w:t>
      </w:r>
      <w:r w:rsidRPr="00C507A5">
        <w:rPr>
          <w:i/>
          <w:color w:val="231F20"/>
          <w:w w:val="110"/>
          <w:sz w:val="16"/>
          <w:lang w:val="de-DE"/>
        </w:rPr>
        <w:t xml:space="preserve">Gefangenen </w:t>
      </w:r>
      <w:r w:rsidRPr="00C507A5">
        <w:rPr>
          <w:i/>
          <w:color w:val="231F20"/>
          <w:spacing w:val="1"/>
          <w:w w:val="110"/>
          <w:sz w:val="16"/>
          <w:lang w:val="de-DE"/>
        </w:rPr>
        <w:t xml:space="preserve">une </w:t>
      </w:r>
      <w:r w:rsidRPr="00C507A5">
        <w:rPr>
          <w:i/>
          <w:color w:val="231F20"/>
          <w:w w:val="110"/>
          <w:sz w:val="16"/>
          <w:lang w:val="de-DE"/>
        </w:rPr>
        <w:t>Gegen Isolationshaft</w:t>
      </w:r>
      <w:r w:rsidRPr="00C507A5">
        <w:rPr>
          <w:color w:val="231F20"/>
          <w:w w:val="110"/>
          <w:sz w:val="16"/>
          <w:lang w:val="de-DE"/>
        </w:rPr>
        <w:t>, October 1980,</w:t>
      </w:r>
      <w:r w:rsidRPr="00C507A5">
        <w:rPr>
          <w:color w:val="231F20"/>
          <w:spacing w:val="18"/>
          <w:w w:val="110"/>
          <w:sz w:val="16"/>
          <w:lang w:val="de-DE"/>
        </w:rPr>
        <w:t xml:space="preserve"> </w:t>
      </w:r>
      <w:r w:rsidRPr="00C507A5">
        <w:rPr>
          <w:color w:val="231F20"/>
          <w:w w:val="110"/>
          <w:sz w:val="16"/>
          <w:lang w:val="de-DE"/>
        </w:rPr>
        <w:t>2.</w:t>
      </w:r>
    </w:p>
    <w:p w14:paraId="2778C9C6" w14:textId="77777777" w:rsidR="002653E8" w:rsidRPr="00C507A5" w:rsidRDefault="003115E3">
      <w:pPr>
        <w:pStyle w:val="a4"/>
        <w:numPr>
          <w:ilvl w:val="0"/>
          <w:numId w:val="139"/>
        </w:numPr>
        <w:tabs>
          <w:tab w:val="left" w:pos="1287"/>
        </w:tabs>
        <w:spacing w:line="254" w:lineRule="auto"/>
        <w:ind w:right="1482" w:firstLine="0"/>
        <w:rPr>
          <w:sz w:val="16"/>
          <w:lang w:val="de-DE"/>
        </w:rPr>
      </w:pPr>
      <w:r w:rsidRPr="00C507A5">
        <w:rPr>
          <w:color w:val="231F20"/>
          <w:spacing w:val="2"/>
          <w:w w:val="153"/>
          <w:sz w:val="16"/>
          <w:lang w:val="de-DE"/>
        </w:rPr>
        <w:t>“</w:t>
      </w:r>
      <w:r w:rsidRPr="00C507A5">
        <w:rPr>
          <w:color w:val="231F20"/>
          <w:spacing w:val="2"/>
          <w:w w:val="112"/>
          <w:sz w:val="16"/>
          <w:lang w:val="de-DE"/>
        </w:rPr>
        <w:t>W</w:t>
      </w:r>
      <w:r w:rsidRPr="00C507A5">
        <w:rPr>
          <w:color w:val="231F20"/>
          <w:spacing w:val="3"/>
          <w:w w:val="103"/>
          <w:sz w:val="16"/>
          <w:lang w:val="de-DE"/>
        </w:rPr>
        <w:t>i</w:t>
      </w:r>
      <w:r w:rsidRPr="00C507A5">
        <w:rPr>
          <w:color w:val="231F20"/>
          <w:w w:val="97"/>
          <w:sz w:val="16"/>
          <w:lang w:val="de-DE"/>
        </w:rPr>
        <w:t>r</w:t>
      </w:r>
      <w:r w:rsidRPr="00C507A5">
        <w:rPr>
          <w:color w:val="231F20"/>
          <w:spacing w:val="10"/>
          <w:sz w:val="16"/>
          <w:lang w:val="de-DE"/>
        </w:rPr>
        <w:t xml:space="preserve"> </w:t>
      </w:r>
      <w:r w:rsidRPr="00C507A5">
        <w:rPr>
          <w:color w:val="231F20"/>
          <w:w w:val="105"/>
          <w:sz w:val="16"/>
          <w:lang w:val="de-DE"/>
        </w:rPr>
        <w:t>w</w:t>
      </w:r>
      <w:r w:rsidRPr="00C507A5">
        <w:rPr>
          <w:color w:val="231F20"/>
          <w:spacing w:val="3"/>
          <w:w w:val="105"/>
          <w:sz w:val="16"/>
          <w:lang w:val="de-DE"/>
        </w:rPr>
        <w:t>a</w:t>
      </w:r>
      <w:r w:rsidRPr="00C507A5">
        <w:rPr>
          <w:color w:val="231F20"/>
          <w:w w:val="97"/>
          <w:sz w:val="16"/>
          <w:lang w:val="de-DE"/>
        </w:rPr>
        <w:t>r</w:t>
      </w:r>
      <w:r w:rsidRPr="00C507A5">
        <w:rPr>
          <w:color w:val="231F20"/>
          <w:w w:val="94"/>
          <w:sz w:val="16"/>
          <w:lang w:val="de-DE"/>
        </w:rPr>
        <w:t>e</w:t>
      </w:r>
      <w:r w:rsidRPr="00C507A5">
        <w:rPr>
          <w:color w:val="231F20"/>
          <w:w w:val="103"/>
          <w:sz w:val="16"/>
          <w:lang w:val="de-DE"/>
        </w:rPr>
        <w:t>n</w:t>
      </w:r>
      <w:r w:rsidRPr="00C507A5">
        <w:rPr>
          <w:color w:val="231F20"/>
          <w:spacing w:val="10"/>
          <w:sz w:val="16"/>
          <w:lang w:val="de-DE"/>
        </w:rPr>
        <w:t xml:space="preserve"> </w:t>
      </w:r>
      <w:r w:rsidRPr="00C507A5">
        <w:rPr>
          <w:color w:val="231F20"/>
          <w:spacing w:val="3"/>
          <w:w w:val="103"/>
          <w:sz w:val="16"/>
          <w:lang w:val="de-DE"/>
        </w:rPr>
        <w:t>i</w:t>
      </w:r>
      <w:r w:rsidRPr="00C507A5">
        <w:rPr>
          <w:color w:val="231F20"/>
          <w:w w:val="103"/>
          <w:sz w:val="16"/>
          <w:lang w:val="de-DE"/>
        </w:rPr>
        <w:t>n</w:t>
      </w:r>
      <w:r w:rsidRPr="00C507A5">
        <w:rPr>
          <w:color w:val="231F20"/>
          <w:spacing w:val="10"/>
          <w:sz w:val="16"/>
          <w:lang w:val="de-DE"/>
        </w:rPr>
        <w:t xml:space="preserve"> </w:t>
      </w:r>
      <w:r w:rsidRPr="00C507A5">
        <w:rPr>
          <w:color w:val="231F20"/>
          <w:w w:val="103"/>
          <w:sz w:val="16"/>
          <w:lang w:val="de-DE"/>
        </w:rPr>
        <w:t>d</w:t>
      </w:r>
      <w:r w:rsidRPr="00C507A5">
        <w:rPr>
          <w:color w:val="231F20"/>
          <w:w w:val="94"/>
          <w:sz w:val="16"/>
          <w:lang w:val="de-DE"/>
        </w:rPr>
        <w:t>e</w:t>
      </w:r>
      <w:r w:rsidRPr="00C507A5">
        <w:rPr>
          <w:color w:val="231F20"/>
          <w:w w:val="103"/>
          <w:sz w:val="16"/>
          <w:lang w:val="de-DE"/>
        </w:rPr>
        <w:t>n</w:t>
      </w:r>
      <w:r w:rsidRPr="00C507A5">
        <w:rPr>
          <w:color w:val="231F20"/>
          <w:spacing w:val="10"/>
          <w:sz w:val="16"/>
          <w:lang w:val="de-DE"/>
        </w:rPr>
        <w:t xml:space="preserve"> </w:t>
      </w:r>
      <w:r w:rsidRPr="00C507A5">
        <w:rPr>
          <w:color w:val="231F20"/>
          <w:spacing w:val="2"/>
          <w:w w:val="121"/>
          <w:sz w:val="16"/>
          <w:lang w:val="de-DE"/>
        </w:rPr>
        <w:t>D</w:t>
      </w:r>
      <w:r w:rsidRPr="00C507A5">
        <w:rPr>
          <w:color w:val="231F20"/>
          <w:spacing w:val="5"/>
          <w:w w:val="104"/>
          <w:sz w:val="16"/>
          <w:lang w:val="de-DE"/>
        </w:rPr>
        <w:t>u</w:t>
      </w:r>
      <w:r w:rsidRPr="00C507A5">
        <w:rPr>
          <w:color w:val="231F20"/>
          <w:spacing w:val="1"/>
          <w:w w:val="97"/>
          <w:sz w:val="16"/>
          <w:lang w:val="de-DE"/>
        </w:rPr>
        <w:t>r</w:t>
      </w:r>
      <w:r w:rsidRPr="00C507A5">
        <w:rPr>
          <w:color w:val="231F20"/>
          <w:spacing w:val="1"/>
          <w:w w:val="93"/>
          <w:sz w:val="16"/>
          <w:lang w:val="de-DE"/>
        </w:rPr>
        <w:t>s</w:t>
      </w:r>
      <w:r w:rsidRPr="00C507A5">
        <w:rPr>
          <w:color w:val="231F20"/>
          <w:spacing w:val="2"/>
          <w:w w:val="102"/>
          <w:sz w:val="16"/>
          <w:lang w:val="de-DE"/>
        </w:rPr>
        <w:t>t</w:t>
      </w:r>
      <w:r w:rsidRPr="00C507A5">
        <w:rPr>
          <w:color w:val="231F20"/>
          <w:spacing w:val="1"/>
          <w:w w:val="93"/>
          <w:sz w:val="16"/>
          <w:lang w:val="de-DE"/>
        </w:rPr>
        <w:t>s</w:t>
      </w:r>
      <w:r w:rsidRPr="00C507A5">
        <w:rPr>
          <w:color w:val="231F20"/>
          <w:spacing w:val="3"/>
          <w:w w:val="102"/>
          <w:sz w:val="16"/>
          <w:lang w:val="de-DE"/>
        </w:rPr>
        <w:t>t</w:t>
      </w:r>
      <w:r w:rsidRPr="00C507A5">
        <w:rPr>
          <w:color w:val="231F20"/>
          <w:w w:val="97"/>
          <w:sz w:val="16"/>
          <w:lang w:val="de-DE"/>
        </w:rPr>
        <w:t>r</w:t>
      </w:r>
      <w:r w:rsidRPr="00C507A5">
        <w:rPr>
          <w:color w:val="231F20"/>
          <w:w w:val="94"/>
          <w:sz w:val="16"/>
          <w:lang w:val="de-DE"/>
        </w:rPr>
        <w:t>e</w:t>
      </w:r>
      <w:r w:rsidRPr="00C507A5">
        <w:rPr>
          <w:color w:val="231F20"/>
          <w:spacing w:val="3"/>
          <w:w w:val="103"/>
          <w:sz w:val="16"/>
          <w:lang w:val="de-DE"/>
        </w:rPr>
        <w:t>i</w:t>
      </w:r>
      <w:r w:rsidRPr="00C507A5">
        <w:rPr>
          <w:color w:val="231F20"/>
          <w:w w:val="109"/>
          <w:sz w:val="16"/>
          <w:lang w:val="de-DE"/>
        </w:rPr>
        <w:t>k</w:t>
      </w:r>
      <w:r w:rsidRPr="00C507A5">
        <w:rPr>
          <w:color w:val="231F20"/>
          <w:spacing w:val="10"/>
          <w:sz w:val="16"/>
          <w:lang w:val="de-DE"/>
        </w:rPr>
        <w:t xml:space="preserve"> </w:t>
      </w:r>
      <w:r w:rsidRPr="00C507A5">
        <w:rPr>
          <w:color w:val="231F20"/>
          <w:spacing w:val="3"/>
          <w:w w:val="102"/>
          <w:sz w:val="16"/>
          <w:lang w:val="de-DE"/>
        </w:rPr>
        <w:t>t</w:t>
      </w:r>
      <w:r w:rsidRPr="00C507A5">
        <w:rPr>
          <w:color w:val="231F20"/>
          <w:w w:val="97"/>
          <w:sz w:val="16"/>
          <w:lang w:val="de-DE"/>
        </w:rPr>
        <w:t>r</w:t>
      </w:r>
      <w:r w:rsidRPr="00C507A5">
        <w:rPr>
          <w:color w:val="231F20"/>
          <w:spacing w:val="2"/>
          <w:w w:val="94"/>
          <w:sz w:val="16"/>
          <w:lang w:val="de-DE"/>
        </w:rPr>
        <w:t>e</w:t>
      </w:r>
      <w:r w:rsidRPr="00C507A5">
        <w:rPr>
          <w:color w:val="231F20"/>
          <w:spacing w:val="1"/>
          <w:w w:val="102"/>
          <w:sz w:val="16"/>
          <w:lang w:val="de-DE"/>
        </w:rPr>
        <w:t>t</w:t>
      </w:r>
      <w:r w:rsidRPr="00C507A5">
        <w:rPr>
          <w:color w:val="231F20"/>
          <w:w w:val="94"/>
          <w:sz w:val="16"/>
          <w:lang w:val="de-DE"/>
        </w:rPr>
        <w:t>e</w:t>
      </w:r>
      <w:r w:rsidRPr="00C507A5">
        <w:rPr>
          <w:color w:val="231F20"/>
          <w:spacing w:val="3"/>
          <w:w w:val="103"/>
          <w:sz w:val="16"/>
          <w:lang w:val="de-DE"/>
        </w:rPr>
        <w:t>n</w:t>
      </w:r>
      <w:r w:rsidRPr="00C507A5">
        <w:rPr>
          <w:color w:val="231F20"/>
          <w:spacing w:val="-9"/>
          <w:w w:val="140"/>
          <w:sz w:val="16"/>
          <w:lang w:val="de-DE"/>
        </w:rPr>
        <w:t>,</w:t>
      </w:r>
      <w:r w:rsidRPr="00C507A5">
        <w:rPr>
          <w:color w:val="231F20"/>
          <w:w w:val="153"/>
          <w:sz w:val="16"/>
          <w:lang w:val="de-DE"/>
        </w:rPr>
        <w:t>”</w:t>
      </w:r>
      <w:r w:rsidRPr="00C507A5">
        <w:rPr>
          <w:color w:val="231F20"/>
          <w:spacing w:val="10"/>
          <w:sz w:val="16"/>
          <w:lang w:val="de-DE"/>
        </w:rPr>
        <w:t xml:space="preserve"> </w:t>
      </w:r>
      <w:r w:rsidRPr="00C507A5">
        <w:rPr>
          <w:i/>
          <w:color w:val="231F20"/>
          <w:spacing w:val="3"/>
          <w:w w:val="107"/>
          <w:sz w:val="16"/>
          <w:lang w:val="de-DE"/>
        </w:rPr>
        <w:t>S</w:t>
      </w:r>
      <w:r w:rsidRPr="00C507A5">
        <w:rPr>
          <w:i/>
          <w:color w:val="231F20"/>
          <w:spacing w:val="1"/>
          <w:w w:val="109"/>
          <w:sz w:val="16"/>
          <w:lang w:val="de-DE"/>
        </w:rPr>
        <w:t>p</w:t>
      </w:r>
      <w:r w:rsidRPr="00C507A5">
        <w:rPr>
          <w:i/>
          <w:color w:val="231F20"/>
          <w:spacing w:val="2"/>
          <w:w w:val="106"/>
          <w:sz w:val="16"/>
          <w:lang w:val="de-DE"/>
        </w:rPr>
        <w:t>i</w:t>
      </w:r>
      <w:r w:rsidRPr="00C507A5">
        <w:rPr>
          <w:i/>
          <w:color w:val="231F20"/>
          <w:sz w:val="16"/>
          <w:lang w:val="de-DE"/>
        </w:rPr>
        <w:t>e</w:t>
      </w:r>
      <w:r w:rsidRPr="00C507A5">
        <w:rPr>
          <w:i/>
          <w:color w:val="231F20"/>
          <w:w w:val="99"/>
          <w:sz w:val="16"/>
          <w:lang w:val="de-DE"/>
        </w:rPr>
        <w:t>g</w:t>
      </w:r>
      <w:r w:rsidRPr="00C507A5">
        <w:rPr>
          <w:i/>
          <w:color w:val="231F20"/>
          <w:spacing w:val="1"/>
          <w:sz w:val="16"/>
          <w:lang w:val="de-DE"/>
        </w:rPr>
        <w:t>e</w:t>
      </w:r>
      <w:r w:rsidRPr="00C507A5">
        <w:rPr>
          <w:i/>
          <w:color w:val="231F20"/>
          <w:w w:val="108"/>
          <w:sz w:val="16"/>
          <w:lang w:val="de-DE"/>
        </w:rPr>
        <w:t>l</w:t>
      </w:r>
      <w:r w:rsidRPr="00C507A5">
        <w:rPr>
          <w:i/>
          <w:color w:val="231F20"/>
          <w:spacing w:val="10"/>
          <w:sz w:val="16"/>
          <w:lang w:val="de-DE"/>
        </w:rPr>
        <w:t xml:space="preserve"> </w:t>
      </w:r>
      <w:r w:rsidRPr="00C507A5">
        <w:rPr>
          <w:color w:val="231F20"/>
          <w:spacing w:val="6"/>
          <w:w w:val="104"/>
          <w:sz w:val="16"/>
          <w:lang w:val="de-DE"/>
        </w:rPr>
        <w:t>4</w:t>
      </w:r>
      <w:r w:rsidRPr="00C507A5">
        <w:rPr>
          <w:color w:val="231F20"/>
          <w:spacing w:val="-3"/>
          <w:w w:val="58"/>
          <w:sz w:val="16"/>
          <w:lang w:val="de-DE"/>
        </w:rPr>
        <w:t>/</w:t>
      </w:r>
      <w:r w:rsidRPr="00C507A5">
        <w:rPr>
          <w:color w:val="231F20"/>
          <w:spacing w:val="-6"/>
          <w:w w:val="104"/>
          <w:sz w:val="16"/>
          <w:lang w:val="de-DE"/>
        </w:rPr>
        <w:t>1</w:t>
      </w:r>
      <w:r w:rsidRPr="00C507A5">
        <w:rPr>
          <w:color w:val="231F20"/>
          <w:w w:val="104"/>
          <w:sz w:val="16"/>
          <w:lang w:val="de-DE"/>
        </w:rPr>
        <w:t>9</w:t>
      </w:r>
      <w:r w:rsidRPr="00C507A5">
        <w:rPr>
          <w:color w:val="231F20"/>
          <w:spacing w:val="-8"/>
          <w:w w:val="104"/>
          <w:sz w:val="16"/>
          <w:lang w:val="de-DE"/>
        </w:rPr>
        <w:t>7</w:t>
      </w:r>
      <w:r w:rsidRPr="00C507A5">
        <w:rPr>
          <w:color w:val="231F20"/>
          <w:spacing w:val="-4"/>
          <w:w w:val="104"/>
          <w:sz w:val="16"/>
          <w:lang w:val="de-DE"/>
        </w:rPr>
        <w:t>5</w:t>
      </w:r>
      <w:r w:rsidRPr="00C507A5">
        <w:rPr>
          <w:color w:val="231F20"/>
          <w:w w:val="140"/>
          <w:sz w:val="16"/>
          <w:lang w:val="de-DE"/>
        </w:rPr>
        <w:t>,</w:t>
      </w:r>
      <w:r w:rsidRPr="00C507A5">
        <w:rPr>
          <w:color w:val="231F20"/>
          <w:spacing w:val="10"/>
          <w:sz w:val="16"/>
          <w:lang w:val="de-DE"/>
        </w:rPr>
        <w:t xml:space="preserve"> </w:t>
      </w:r>
      <w:r w:rsidRPr="00C507A5">
        <w:rPr>
          <w:color w:val="231F20"/>
          <w:spacing w:val="3"/>
          <w:w w:val="102"/>
          <w:sz w:val="16"/>
          <w:lang w:val="de-DE"/>
        </w:rPr>
        <w:t>t</w:t>
      </w:r>
      <w:r w:rsidRPr="00C507A5">
        <w:rPr>
          <w:color w:val="231F20"/>
          <w:w w:val="97"/>
          <w:sz w:val="16"/>
          <w:lang w:val="de-DE"/>
        </w:rPr>
        <w:t>r</w:t>
      </w:r>
      <w:r w:rsidRPr="00C507A5">
        <w:rPr>
          <w:color w:val="231F20"/>
          <w:spacing w:val="3"/>
          <w:w w:val="106"/>
          <w:sz w:val="16"/>
          <w:lang w:val="de-DE"/>
        </w:rPr>
        <w:t>a</w:t>
      </w:r>
      <w:r w:rsidRPr="00C507A5">
        <w:rPr>
          <w:color w:val="231F20"/>
          <w:spacing w:val="2"/>
          <w:w w:val="103"/>
          <w:sz w:val="16"/>
          <w:lang w:val="de-DE"/>
        </w:rPr>
        <w:t>n</w:t>
      </w:r>
      <w:r w:rsidRPr="00C507A5">
        <w:rPr>
          <w:color w:val="231F20"/>
          <w:w w:val="93"/>
          <w:sz w:val="16"/>
          <w:lang w:val="de-DE"/>
        </w:rPr>
        <w:t>s</w:t>
      </w:r>
      <w:r w:rsidRPr="00C507A5">
        <w:rPr>
          <w:color w:val="231F20"/>
          <w:spacing w:val="1"/>
          <w:w w:val="106"/>
          <w:sz w:val="16"/>
          <w:lang w:val="de-DE"/>
        </w:rPr>
        <w:t>l</w:t>
      </w:r>
      <w:r w:rsidRPr="00C507A5">
        <w:rPr>
          <w:color w:val="231F20"/>
          <w:spacing w:val="-1"/>
          <w:w w:val="106"/>
          <w:sz w:val="16"/>
          <w:lang w:val="de-DE"/>
        </w:rPr>
        <w:t>a</w:t>
      </w:r>
      <w:r w:rsidRPr="00C507A5">
        <w:rPr>
          <w:color w:val="231F20"/>
          <w:spacing w:val="1"/>
          <w:w w:val="102"/>
          <w:sz w:val="16"/>
          <w:lang w:val="de-DE"/>
        </w:rPr>
        <w:t>t</w:t>
      </w:r>
      <w:r w:rsidRPr="00C507A5">
        <w:rPr>
          <w:color w:val="231F20"/>
          <w:spacing w:val="1"/>
          <w:w w:val="94"/>
          <w:sz w:val="16"/>
          <w:lang w:val="de-DE"/>
        </w:rPr>
        <w:t>e</w:t>
      </w:r>
      <w:r w:rsidRPr="00C507A5">
        <w:rPr>
          <w:color w:val="231F20"/>
          <w:w w:val="103"/>
          <w:sz w:val="16"/>
          <w:lang w:val="de-DE"/>
        </w:rPr>
        <w:t>d</w:t>
      </w:r>
      <w:r w:rsidRPr="00C507A5">
        <w:rPr>
          <w:color w:val="231F20"/>
          <w:spacing w:val="10"/>
          <w:sz w:val="16"/>
          <w:lang w:val="de-DE"/>
        </w:rPr>
        <w:t xml:space="preserve"> </w:t>
      </w:r>
      <w:r w:rsidRPr="00C507A5">
        <w:rPr>
          <w:color w:val="231F20"/>
          <w:spacing w:val="3"/>
          <w:w w:val="103"/>
          <w:sz w:val="16"/>
          <w:lang w:val="de-DE"/>
        </w:rPr>
        <w:t>i</w:t>
      </w:r>
      <w:r w:rsidRPr="00C507A5">
        <w:rPr>
          <w:color w:val="231F20"/>
          <w:w w:val="103"/>
          <w:sz w:val="16"/>
          <w:lang w:val="de-DE"/>
        </w:rPr>
        <w:t>n</w:t>
      </w:r>
      <w:r w:rsidRPr="00C507A5">
        <w:rPr>
          <w:color w:val="231F20"/>
          <w:spacing w:val="10"/>
          <w:sz w:val="16"/>
          <w:lang w:val="de-DE"/>
        </w:rPr>
        <w:t xml:space="preserve"> </w:t>
      </w:r>
      <w:r w:rsidRPr="00C507A5">
        <w:rPr>
          <w:color w:val="231F20"/>
          <w:spacing w:val="3"/>
          <w:w w:val="102"/>
          <w:sz w:val="16"/>
          <w:lang w:val="de-DE"/>
        </w:rPr>
        <w:t>t</w:t>
      </w:r>
      <w:r w:rsidRPr="00C507A5">
        <w:rPr>
          <w:color w:val="231F20"/>
          <w:spacing w:val="3"/>
          <w:w w:val="104"/>
          <w:sz w:val="16"/>
          <w:lang w:val="de-DE"/>
        </w:rPr>
        <w:t>h</w:t>
      </w:r>
      <w:r w:rsidRPr="00C507A5">
        <w:rPr>
          <w:color w:val="231F20"/>
          <w:spacing w:val="1"/>
          <w:w w:val="103"/>
          <w:sz w:val="16"/>
          <w:lang w:val="de-DE"/>
        </w:rPr>
        <w:t>i</w:t>
      </w:r>
      <w:r w:rsidRPr="00C507A5">
        <w:rPr>
          <w:color w:val="231F20"/>
          <w:w w:val="93"/>
          <w:sz w:val="16"/>
          <w:lang w:val="de-DE"/>
        </w:rPr>
        <w:t>s</w:t>
      </w:r>
      <w:r w:rsidRPr="00C507A5">
        <w:rPr>
          <w:color w:val="231F20"/>
          <w:spacing w:val="10"/>
          <w:sz w:val="16"/>
          <w:lang w:val="de-DE"/>
        </w:rPr>
        <w:t xml:space="preserve"> </w:t>
      </w:r>
      <w:r w:rsidRPr="00C507A5">
        <w:rPr>
          <w:color w:val="231F20"/>
          <w:spacing w:val="-2"/>
          <w:w w:val="102"/>
          <w:sz w:val="16"/>
          <w:lang w:val="de-DE"/>
        </w:rPr>
        <w:t>v</w:t>
      </w:r>
      <w:r w:rsidRPr="00C507A5">
        <w:rPr>
          <w:color w:val="231F20"/>
          <w:w w:val="108"/>
          <w:sz w:val="16"/>
          <w:lang w:val="de-DE"/>
        </w:rPr>
        <w:t>o</w:t>
      </w:r>
      <w:r w:rsidRPr="00C507A5">
        <w:rPr>
          <w:color w:val="231F20"/>
          <w:spacing w:val="-2"/>
          <w:w w:val="106"/>
          <w:sz w:val="16"/>
          <w:lang w:val="de-DE"/>
        </w:rPr>
        <w:t>l</w:t>
      </w:r>
      <w:r w:rsidRPr="00C507A5">
        <w:rPr>
          <w:color w:val="231F20"/>
          <w:spacing w:val="5"/>
          <w:w w:val="104"/>
          <w:sz w:val="16"/>
          <w:lang w:val="de-DE"/>
        </w:rPr>
        <w:t>u</w:t>
      </w:r>
      <w:r w:rsidRPr="00C507A5">
        <w:rPr>
          <w:color w:val="231F20"/>
          <w:w w:val="103"/>
          <w:sz w:val="16"/>
          <w:lang w:val="de-DE"/>
        </w:rPr>
        <w:t>m</w:t>
      </w:r>
      <w:r w:rsidRPr="00C507A5">
        <w:rPr>
          <w:color w:val="231F20"/>
          <w:w w:val="94"/>
          <w:sz w:val="16"/>
          <w:lang w:val="de-DE"/>
        </w:rPr>
        <w:t xml:space="preserve">e </w:t>
      </w:r>
      <w:r w:rsidRPr="00C507A5">
        <w:rPr>
          <w:color w:val="231F20"/>
          <w:w w:val="105"/>
          <w:sz w:val="16"/>
          <w:lang w:val="de-DE"/>
        </w:rPr>
        <w:t>on pages</w:t>
      </w:r>
      <w:r w:rsidRPr="00C507A5">
        <w:rPr>
          <w:color w:val="231F20"/>
          <w:spacing w:val="16"/>
          <w:w w:val="105"/>
          <w:sz w:val="16"/>
          <w:lang w:val="de-DE"/>
        </w:rPr>
        <w:t xml:space="preserve"> </w:t>
      </w:r>
      <w:r w:rsidRPr="00C507A5">
        <w:rPr>
          <w:color w:val="231F20"/>
          <w:w w:val="105"/>
          <w:sz w:val="16"/>
          <w:lang w:val="de-DE"/>
        </w:rPr>
        <w:t>300-318.</w:t>
      </w:r>
    </w:p>
    <w:p w14:paraId="5FE183E0" w14:textId="77777777" w:rsidR="002653E8" w:rsidRDefault="003115E3">
      <w:pPr>
        <w:pStyle w:val="a4"/>
        <w:numPr>
          <w:ilvl w:val="0"/>
          <w:numId w:val="139"/>
        </w:numPr>
        <w:tabs>
          <w:tab w:val="left" w:pos="1287"/>
        </w:tabs>
        <w:spacing w:line="254" w:lineRule="auto"/>
        <w:ind w:right="2951" w:firstLine="0"/>
        <w:rPr>
          <w:sz w:val="16"/>
        </w:rPr>
      </w:pPr>
      <w:r>
        <w:rPr>
          <w:color w:val="231F20"/>
          <w:spacing w:val="1"/>
          <w:w w:val="110"/>
          <w:sz w:val="16"/>
        </w:rPr>
        <w:t xml:space="preserve">Arm </w:t>
      </w:r>
      <w:r>
        <w:rPr>
          <w:color w:val="231F20"/>
          <w:w w:val="110"/>
          <w:sz w:val="16"/>
        </w:rPr>
        <w:t xml:space="preserve">The Spirit, </w:t>
      </w:r>
      <w:r>
        <w:rPr>
          <w:color w:val="231F20"/>
          <w:spacing w:val="-7"/>
          <w:w w:val="110"/>
          <w:sz w:val="16"/>
        </w:rPr>
        <w:t xml:space="preserve">“A </w:t>
      </w:r>
      <w:r>
        <w:rPr>
          <w:color w:val="231F20"/>
          <w:w w:val="110"/>
          <w:sz w:val="16"/>
        </w:rPr>
        <w:t>Brief History of the Red Army Faction,”</w:t>
      </w:r>
      <w:hyperlink r:id="rId142">
        <w:r>
          <w:rPr>
            <w:color w:val="231F20"/>
            <w:w w:val="110"/>
            <w:sz w:val="16"/>
          </w:rPr>
          <w:t xml:space="preserve"> </w:t>
        </w:r>
        <w:r>
          <w:rPr>
            <w:color w:val="231F20"/>
            <w:w w:val="104"/>
            <w:sz w:val="16"/>
          </w:rPr>
          <w:t>h</w:t>
        </w:r>
        <w:r>
          <w:rPr>
            <w:color w:val="231F20"/>
            <w:spacing w:val="5"/>
            <w:w w:val="102"/>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spacing w:val="1"/>
            <w:w w:val="140"/>
            <w:sz w:val="16"/>
          </w:rPr>
          <w:t>.</w:t>
        </w:r>
        <w:r>
          <w:rPr>
            <w:color w:val="231F20"/>
            <w:spacing w:val="1"/>
            <w:w w:val="104"/>
            <w:sz w:val="16"/>
          </w:rPr>
          <w:t>h</w:t>
        </w:r>
        <w:r>
          <w:rPr>
            <w:color w:val="231F20"/>
            <w:spacing w:val="3"/>
            <w:w w:val="102"/>
            <w:sz w:val="16"/>
          </w:rPr>
          <w:t>a</w:t>
        </w:r>
        <w:r>
          <w:rPr>
            <w:color w:val="231F20"/>
            <w:spacing w:val="5"/>
            <w:w w:val="102"/>
            <w:sz w:val="16"/>
          </w:rPr>
          <w:t>r</w:t>
        </w:r>
        <w:r>
          <w:rPr>
            <w:color w:val="231F20"/>
            <w:spacing w:val="3"/>
            <w:w w:val="102"/>
            <w:sz w:val="16"/>
          </w:rPr>
          <w:t>t</w:t>
        </w:r>
        <w:r>
          <w:rPr>
            <w:color w:val="231F20"/>
            <w:w w:val="114"/>
            <w:sz w:val="16"/>
          </w:rPr>
          <w:t>f</w:t>
        </w:r>
        <w:r>
          <w:rPr>
            <w:color w:val="231F20"/>
            <w:w w:val="108"/>
            <w:sz w:val="16"/>
          </w:rPr>
          <w:t>o</w:t>
        </w:r>
        <w:r>
          <w:rPr>
            <w:color w:val="231F20"/>
            <w:spacing w:val="-1"/>
            <w:w w:val="97"/>
            <w:sz w:val="16"/>
          </w:rPr>
          <w:t>r</w:t>
        </w:r>
        <w:r>
          <w:rPr>
            <w:color w:val="231F20"/>
            <w:spacing w:val="1"/>
            <w:w w:val="103"/>
            <w:sz w:val="16"/>
          </w:rPr>
          <w:t>d</w:t>
        </w:r>
        <w:r>
          <w:rPr>
            <w:color w:val="231F20"/>
            <w:spacing w:val="1"/>
            <w:w w:val="104"/>
            <w:sz w:val="16"/>
          </w:rPr>
          <w:t>-</w:t>
        </w:r>
        <w:r>
          <w:rPr>
            <w:color w:val="231F20"/>
            <w:spacing w:val="-1"/>
            <w:w w:val="104"/>
            <w:sz w:val="16"/>
          </w:rPr>
          <w:t>h</w:t>
        </w:r>
        <w:r>
          <w:rPr>
            <w:color w:val="231F20"/>
            <w:spacing w:val="5"/>
            <w:w w:val="104"/>
            <w:sz w:val="16"/>
          </w:rPr>
          <w:t>w</w:t>
        </w:r>
        <w:r>
          <w:rPr>
            <w:color w:val="231F20"/>
            <w:spacing w:val="-1"/>
            <w:w w:val="103"/>
            <w:sz w:val="16"/>
          </w:rPr>
          <w:t>p</w:t>
        </w:r>
        <w:r>
          <w:rPr>
            <w:color w:val="231F20"/>
            <w:w w:val="140"/>
            <w:sz w:val="16"/>
          </w:rPr>
          <w:t>.</w:t>
        </w:r>
        <w:r>
          <w:rPr>
            <w:color w:val="231F20"/>
            <w:w w:val="104"/>
            <w:sz w:val="16"/>
          </w:rPr>
          <w:t>c</w:t>
        </w:r>
        <w:r>
          <w:rPr>
            <w:color w:val="231F20"/>
            <w:w w:val="108"/>
            <w:sz w:val="16"/>
          </w:rPr>
          <w:t>o</w:t>
        </w:r>
        <w:r>
          <w:rPr>
            <w:color w:val="231F20"/>
            <w:spacing w:val="8"/>
            <w:w w:val="103"/>
            <w:sz w:val="16"/>
          </w:rPr>
          <w:t>m</w:t>
        </w:r>
        <w:r>
          <w:rPr>
            <w:color w:val="231F20"/>
            <w:spacing w:val="-3"/>
            <w:w w:val="58"/>
            <w:sz w:val="16"/>
          </w:rPr>
          <w:t>/</w:t>
        </w:r>
        <w:r>
          <w:rPr>
            <w:color w:val="231F20"/>
            <w:spacing w:val="3"/>
            <w:w w:val="102"/>
            <w:sz w:val="16"/>
          </w:rPr>
          <w:t>a</w:t>
        </w:r>
        <w:r>
          <w:rPr>
            <w:color w:val="231F20"/>
            <w:w w:val="102"/>
            <w:sz w:val="16"/>
          </w:rPr>
          <w:t>r</w:t>
        </w:r>
        <w:r>
          <w:rPr>
            <w:color w:val="231F20"/>
            <w:w w:val="104"/>
            <w:sz w:val="16"/>
          </w:rPr>
          <w:t>c</w:t>
        </w:r>
        <w:r>
          <w:rPr>
            <w:color w:val="231F20"/>
            <w:spacing w:val="3"/>
            <w:w w:val="104"/>
            <w:sz w:val="16"/>
          </w:rPr>
          <w:t>h</w:t>
        </w:r>
        <w:r>
          <w:rPr>
            <w:color w:val="231F20"/>
            <w:spacing w:val="-1"/>
            <w:w w:val="104"/>
            <w:sz w:val="16"/>
          </w:rPr>
          <w:t>i</w:t>
        </w:r>
        <w:r>
          <w:rPr>
            <w:color w:val="231F20"/>
            <w:spacing w:val="-1"/>
            <w:w w:val="102"/>
            <w:sz w:val="16"/>
          </w:rPr>
          <w:t>v</w:t>
        </w:r>
        <w:r>
          <w:rPr>
            <w:color w:val="231F20"/>
            <w:spacing w:val="2"/>
            <w:w w:val="94"/>
            <w:sz w:val="16"/>
          </w:rPr>
          <w:t>e</w:t>
        </w:r>
        <w:r>
          <w:rPr>
            <w:color w:val="231F20"/>
            <w:spacing w:val="5"/>
            <w:w w:val="93"/>
            <w:sz w:val="16"/>
          </w:rPr>
          <w:t>s</w:t>
        </w:r>
        <w:r>
          <w:rPr>
            <w:color w:val="231F20"/>
            <w:spacing w:val="-5"/>
            <w:w w:val="58"/>
            <w:sz w:val="16"/>
          </w:rPr>
          <w:t>/</w:t>
        </w:r>
        <w:r>
          <w:rPr>
            <w:color w:val="231F20"/>
            <w:spacing w:val="-7"/>
            <w:w w:val="104"/>
            <w:sz w:val="16"/>
          </w:rPr>
          <w:t>6</w:t>
        </w:r>
        <w:r>
          <w:rPr>
            <w:color w:val="231F20"/>
            <w:spacing w:val="3"/>
            <w:w w:val="104"/>
            <w:sz w:val="16"/>
          </w:rPr>
          <w:t>1</w:t>
        </w:r>
        <w:r>
          <w:rPr>
            <w:color w:val="231F20"/>
            <w:spacing w:val="-3"/>
            <w:w w:val="58"/>
            <w:sz w:val="16"/>
          </w:rPr>
          <w:t>/</w:t>
        </w:r>
        <w:r>
          <w:rPr>
            <w:color w:val="231F20"/>
            <w:spacing w:val="-6"/>
            <w:w w:val="104"/>
            <w:sz w:val="16"/>
          </w:rPr>
          <w:t>1</w:t>
        </w:r>
        <w:r>
          <w:rPr>
            <w:color w:val="231F20"/>
            <w:spacing w:val="-7"/>
            <w:w w:val="104"/>
            <w:sz w:val="16"/>
          </w:rPr>
          <w:t>9</w:t>
        </w:r>
        <w:r>
          <w:rPr>
            <w:color w:val="231F20"/>
            <w:spacing w:val="-3"/>
            <w:w w:val="104"/>
            <w:sz w:val="16"/>
          </w:rPr>
          <w:t>1</w:t>
        </w:r>
        <w:r>
          <w:rPr>
            <w:color w:val="231F20"/>
            <w:spacing w:val="1"/>
            <w:w w:val="140"/>
            <w:sz w:val="16"/>
          </w:rPr>
          <w:t>.</w:t>
        </w:r>
        <w:r>
          <w:rPr>
            <w:color w:val="231F20"/>
            <w:w w:val="103"/>
            <w:sz w:val="16"/>
          </w:rPr>
          <w:t>h</w:t>
        </w:r>
        <w:r>
          <w:rPr>
            <w:color w:val="231F20"/>
            <w:spacing w:val="3"/>
            <w:w w:val="103"/>
            <w:sz w:val="16"/>
          </w:rPr>
          <w:t>tm</w:t>
        </w:r>
        <w:r>
          <w:rPr>
            <w:color w:val="231F20"/>
            <w:w w:val="106"/>
            <w:sz w:val="16"/>
          </w:rPr>
          <w:t>l</w:t>
        </w:r>
        <w:r>
          <w:rPr>
            <w:color w:val="231F20"/>
            <w:w w:val="140"/>
            <w:sz w:val="16"/>
          </w:rPr>
          <w:t>.</w:t>
        </w:r>
      </w:hyperlink>
    </w:p>
    <w:p w14:paraId="698D0522" w14:textId="77777777" w:rsidR="002653E8" w:rsidRDefault="002653E8">
      <w:pPr>
        <w:spacing w:line="254" w:lineRule="auto"/>
        <w:rPr>
          <w:sz w:val="16"/>
        </w:rPr>
        <w:sectPr w:rsidR="002653E8">
          <w:pgSz w:w="8640" w:h="12960"/>
          <w:pgMar w:top="1060" w:right="0" w:bottom="1040" w:left="0" w:header="0" w:footer="850" w:gutter="0"/>
          <w:cols w:space="720"/>
        </w:sectPr>
      </w:pPr>
    </w:p>
    <w:p w14:paraId="620AE49B" w14:textId="77777777" w:rsidR="002653E8" w:rsidRDefault="00000000">
      <w:pPr>
        <w:pStyle w:val="a3"/>
      </w:pPr>
      <w:r>
        <w:rPr>
          <w:noProof w:val="0"/>
        </w:rPr>
        <w:lastRenderedPageBreak/>
        <w:pict w14:anchorId="142A6416">
          <v:group id="_x0000_s2511" style="position:absolute;margin-left:67.4pt;margin-top:54pt;width:306.25pt;height:513.8pt;z-index:-459808;mso-position-horizontal-relative:page;mso-position-vertical-relative:page" coordorigin="1348,1080" coordsize="6125,10276">
            <v:rect id="_x0000_s2519" style="position:absolute;left:1348;top:1080;width:6124;height:10275" fillcolor="#e6e7e8" stroked="f"/>
            <v:line id="_x0000_s2518" style="position:absolute" from="1603,10323" to="3043,10323" strokecolor="#231f20" strokeweight=".5pt"/>
            <v:line id="_x0000_s2517" style="position:absolute" from="1356,1140" to="1356,11310" strokecolor="#231f20">
              <v:stroke dashstyle="3 1"/>
            </v:line>
            <v:line id="_x0000_s2516" style="position:absolute" from="1408,11348" to="7427,11348" strokecolor="#231f20">
              <v:stroke dashstyle="3 1"/>
            </v:line>
            <v:line id="_x0000_s2515" style="position:absolute" from="7464,11295" to="7464,1125" strokecolor="#231f20">
              <v:stroke dashstyle="3 1"/>
            </v:line>
            <v:line id="_x0000_s2514" style="position:absolute" from="7412,1088" to="1393,1088" strokecolor="#231f20">
              <v:stroke dashstyle="3 1"/>
            </v:line>
            <v:shape id="_x0000_s2513" style="position:absolute;top:2722;width:6109;height:10260" coordorigin=",2722" coordsize="6109,10260" o:spt="100" adj="0,,0" path="m1356,11325r,23l1378,11348t6064,l7465,11348r,-23m7465,1110r,-22l7442,1088t-6064,l1356,1088r,22e" filled="f" strokecolor="#231f20">
              <v:stroke joinstyle="round"/>
              <v:formulas/>
              <v:path arrowok="t" o:connecttype="segments"/>
            </v:shape>
            <v:shape id="_x0000_s2512" type="#_x0000_t75" style="position:absolute;left:2188;top:1460;width:4443;height:2443">
              <v:imagedata r:id="rId143" o:title=""/>
            </v:shape>
            <w10:wrap anchorx="page" anchory="page"/>
          </v:group>
        </w:pict>
      </w:r>
    </w:p>
    <w:p w14:paraId="56F106CB" w14:textId="77777777" w:rsidR="002653E8" w:rsidRDefault="002653E8">
      <w:pPr>
        <w:pStyle w:val="a3"/>
      </w:pPr>
    </w:p>
    <w:p w14:paraId="779E7694" w14:textId="77777777" w:rsidR="002653E8" w:rsidRDefault="002653E8">
      <w:pPr>
        <w:pStyle w:val="a3"/>
      </w:pPr>
    </w:p>
    <w:p w14:paraId="15380DFE" w14:textId="77777777" w:rsidR="002653E8" w:rsidRDefault="002653E8">
      <w:pPr>
        <w:pStyle w:val="a3"/>
      </w:pPr>
    </w:p>
    <w:p w14:paraId="227D976D" w14:textId="77777777" w:rsidR="002653E8" w:rsidRDefault="002653E8">
      <w:pPr>
        <w:pStyle w:val="a3"/>
      </w:pPr>
    </w:p>
    <w:p w14:paraId="4726F562" w14:textId="77777777" w:rsidR="002653E8" w:rsidRDefault="002653E8">
      <w:pPr>
        <w:pStyle w:val="a3"/>
      </w:pPr>
    </w:p>
    <w:p w14:paraId="3CA080B3" w14:textId="77777777" w:rsidR="002653E8" w:rsidRDefault="002653E8">
      <w:pPr>
        <w:pStyle w:val="a3"/>
      </w:pPr>
    </w:p>
    <w:p w14:paraId="74763388" w14:textId="77777777" w:rsidR="002653E8" w:rsidRDefault="002653E8">
      <w:pPr>
        <w:pStyle w:val="a3"/>
      </w:pPr>
    </w:p>
    <w:p w14:paraId="75A3E6CF" w14:textId="77777777" w:rsidR="002653E8" w:rsidRDefault="002653E8">
      <w:pPr>
        <w:pStyle w:val="a3"/>
      </w:pPr>
    </w:p>
    <w:p w14:paraId="2BDA7D86" w14:textId="77777777" w:rsidR="002653E8" w:rsidRDefault="002653E8">
      <w:pPr>
        <w:pStyle w:val="a3"/>
      </w:pPr>
    </w:p>
    <w:p w14:paraId="780E4DED" w14:textId="77777777" w:rsidR="002653E8" w:rsidRDefault="002653E8">
      <w:pPr>
        <w:pStyle w:val="a3"/>
      </w:pPr>
    </w:p>
    <w:p w14:paraId="57D06B8A" w14:textId="77777777" w:rsidR="002653E8" w:rsidRDefault="002653E8">
      <w:pPr>
        <w:pStyle w:val="a3"/>
        <w:spacing w:before="11"/>
        <w:rPr>
          <w:sz w:val="29"/>
        </w:rPr>
      </w:pPr>
    </w:p>
    <w:p w14:paraId="71BA8371" w14:textId="77777777" w:rsidR="002653E8" w:rsidRDefault="003115E3">
      <w:pPr>
        <w:spacing w:before="89"/>
        <w:ind w:left="2710"/>
        <w:rPr>
          <w:rFonts w:ascii="Lucida Sans"/>
          <w:b/>
          <w:sz w:val="24"/>
        </w:rPr>
      </w:pPr>
      <w:r>
        <w:rPr>
          <w:rFonts w:ascii="Lucida Sans"/>
          <w:b/>
          <w:color w:val="231F20"/>
          <w:sz w:val="24"/>
        </w:rPr>
        <w:t>Alienating Which Masses?</w:t>
      </w:r>
    </w:p>
    <w:p w14:paraId="1B517EFD" w14:textId="77777777" w:rsidR="002653E8" w:rsidRDefault="003115E3">
      <w:pPr>
        <w:spacing w:before="145" w:line="264" w:lineRule="auto"/>
        <w:ind w:left="1603" w:right="1580"/>
        <w:rPr>
          <w:rFonts w:ascii="Calibri" w:hAnsi="Calibri"/>
          <w:sz w:val="19"/>
        </w:rPr>
      </w:pPr>
      <w:r>
        <w:rPr>
          <w:rFonts w:ascii="Calibri" w:hAnsi="Calibri"/>
          <w:color w:val="231F20"/>
          <w:w w:val="110"/>
          <w:sz w:val="19"/>
        </w:rPr>
        <w:t xml:space="preserve">“When we heard about the </w:t>
      </w:r>
      <w:r w:rsidR="00C507A5">
        <w:rPr>
          <w:rFonts w:ascii="Calibri" w:hAnsi="Calibri"/>
          <w:color w:val="231F20"/>
          <w:w w:val="110"/>
          <w:sz w:val="19"/>
        </w:rPr>
        <w:t>red army faction</w:t>
      </w:r>
      <w:r>
        <w:rPr>
          <w:rFonts w:ascii="Calibri" w:hAnsi="Calibri"/>
          <w:color w:val="231F20"/>
          <w:w w:val="110"/>
          <w:sz w:val="19"/>
        </w:rPr>
        <w:t xml:space="preserve"> bombing the American Headquarters in Frankfurt and Heidelberg, we jumped with joy. At last someone had done something against the imperialist bases in the Federal Republic of Germany.”</w:t>
      </w:r>
    </w:p>
    <w:p w14:paraId="208169FB" w14:textId="77777777" w:rsidR="002653E8" w:rsidRDefault="003115E3">
      <w:pPr>
        <w:spacing w:before="4" w:line="264" w:lineRule="auto"/>
        <w:ind w:left="1603" w:right="1681" w:firstLine="209"/>
        <w:rPr>
          <w:rFonts w:ascii="Calibri" w:hAnsi="Calibri"/>
          <w:sz w:val="19"/>
        </w:rPr>
      </w:pPr>
      <w:r>
        <w:rPr>
          <w:rFonts w:ascii="Calibri" w:hAnsi="Calibri"/>
          <w:color w:val="231F20"/>
          <w:w w:val="110"/>
          <w:sz w:val="19"/>
        </w:rPr>
        <w:t>These were not the words of a petit bourgeois sect, but rather come from the report of a freedom fighter fighting for national liberation in a land occupied by Portugal. He and his comrades had heard the news while he was in a guerilla base. For years the people there had heard of the FRG being one of the worst enemies of the African people—as a source of arms for Portuguese colonialism—and now for the first time the</w:t>
      </w:r>
    </w:p>
    <w:p w14:paraId="1FCB9342" w14:textId="77777777" w:rsidR="002653E8" w:rsidRDefault="003115E3">
      <w:pPr>
        <w:spacing w:before="5" w:line="264" w:lineRule="auto"/>
        <w:ind w:left="1603" w:right="1580"/>
        <w:rPr>
          <w:rFonts w:ascii="Calibri"/>
          <w:sz w:val="19"/>
        </w:rPr>
      </w:pPr>
      <w:r>
        <w:rPr>
          <w:rFonts w:ascii="Calibri"/>
          <w:color w:val="231F20"/>
          <w:w w:val="105"/>
          <w:sz w:val="19"/>
        </w:rPr>
        <w:t>guerillas could see something happening in the Federal Republic which they considered to be an effective form of resistance to imperialism.</w:t>
      </w:r>
    </w:p>
    <w:p w14:paraId="5FDD12FB" w14:textId="77777777" w:rsidR="002653E8" w:rsidRDefault="003115E3">
      <w:pPr>
        <w:spacing w:before="3" w:line="264" w:lineRule="auto"/>
        <w:ind w:left="1603" w:right="1848" w:firstLine="209"/>
        <w:rPr>
          <w:rFonts w:ascii="Calibri" w:hAnsi="Calibri"/>
          <w:sz w:val="19"/>
        </w:rPr>
      </w:pPr>
      <w:r>
        <w:rPr>
          <w:rFonts w:ascii="Calibri" w:hAnsi="Calibri"/>
          <w:color w:val="231F20"/>
          <w:w w:val="105"/>
          <w:sz w:val="19"/>
        </w:rPr>
        <w:t>I remarked that their reaction was quite different from that      of Marxist groups in the Federal Republic, to which the African comrade responded, “When you are struggling, you see things differently.”</w:t>
      </w:r>
    </w:p>
    <w:p w14:paraId="3F2E1661" w14:textId="77777777" w:rsidR="002653E8" w:rsidRDefault="003115E3">
      <w:pPr>
        <w:spacing w:before="123"/>
        <w:ind w:left="1212" w:right="1420"/>
        <w:jc w:val="right"/>
        <w:rPr>
          <w:rFonts w:ascii="Calibri"/>
          <w:sz w:val="19"/>
        </w:rPr>
      </w:pPr>
      <w:r>
        <w:rPr>
          <w:rFonts w:ascii="Calibri"/>
          <w:color w:val="231F20"/>
          <w:w w:val="110"/>
          <w:sz w:val="19"/>
        </w:rPr>
        <w:t>Christian Sigrist</w:t>
      </w:r>
    </w:p>
    <w:p w14:paraId="661D4FFE" w14:textId="77777777" w:rsidR="002653E8" w:rsidRDefault="002653E8">
      <w:pPr>
        <w:pStyle w:val="a3"/>
        <w:rPr>
          <w:rFonts w:ascii="Calibri"/>
        </w:rPr>
      </w:pPr>
    </w:p>
    <w:p w14:paraId="0D92AB6D" w14:textId="77777777" w:rsidR="002653E8" w:rsidRDefault="002653E8">
      <w:pPr>
        <w:pStyle w:val="a3"/>
        <w:rPr>
          <w:rFonts w:ascii="Calibri"/>
        </w:rPr>
      </w:pPr>
    </w:p>
    <w:p w14:paraId="4EC73A81" w14:textId="77777777" w:rsidR="002653E8" w:rsidRDefault="002653E8">
      <w:pPr>
        <w:pStyle w:val="a3"/>
        <w:spacing w:before="1"/>
        <w:rPr>
          <w:rFonts w:ascii="Calibri"/>
          <w:sz w:val="27"/>
        </w:rPr>
      </w:pPr>
    </w:p>
    <w:p w14:paraId="4C1C52C2" w14:textId="77777777" w:rsidR="002653E8" w:rsidRDefault="003115E3">
      <w:pPr>
        <w:spacing w:before="105" w:line="254" w:lineRule="auto"/>
        <w:ind w:left="1603" w:right="1608"/>
        <w:rPr>
          <w:sz w:val="16"/>
        </w:rPr>
      </w:pPr>
      <w:r>
        <w:rPr>
          <w:color w:val="231F20"/>
          <w:w w:val="110"/>
          <w:sz w:val="16"/>
        </w:rPr>
        <w:t xml:space="preserve">Christian Sigrist, “De Heidelberg au Cap Vert” in </w:t>
      </w:r>
      <w:r>
        <w:rPr>
          <w:i/>
          <w:color w:val="231F20"/>
          <w:w w:val="110"/>
          <w:sz w:val="16"/>
        </w:rPr>
        <w:t xml:space="preserve">à propos du procès Baader-Meinhof, Fraction Armée Rouge: de la torture dans les prisons de la RFA, </w:t>
      </w:r>
      <w:r>
        <w:rPr>
          <w:color w:val="231F20"/>
          <w:w w:val="110"/>
          <w:sz w:val="16"/>
        </w:rPr>
        <w:t>Klaus Croissant (ed.) (Paris : Christian Bourgeois Éditeur, 1975), 53-54.</w:t>
      </w:r>
    </w:p>
    <w:p w14:paraId="759FCBE4" w14:textId="77777777" w:rsidR="002653E8" w:rsidRDefault="002653E8">
      <w:pPr>
        <w:spacing w:line="254" w:lineRule="auto"/>
        <w:rPr>
          <w:sz w:val="16"/>
        </w:rPr>
        <w:sectPr w:rsidR="002653E8">
          <w:pgSz w:w="8640" w:h="12960"/>
          <w:pgMar w:top="1080" w:right="0" w:bottom="1040" w:left="0" w:header="0" w:footer="850" w:gutter="0"/>
          <w:cols w:space="720"/>
        </w:sectPr>
      </w:pPr>
    </w:p>
    <w:p w14:paraId="0E5DEDDB" w14:textId="77777777" w:rsidR="002653E8" w:rsidRDefault="003115E3">
      <w:pPr>
        <w:pStyle w:val="a3"/>
        <w:spacing w:before="86" w:line="264" w:lineRule="auto"/>
        <w:ind w:left="1147" w:right="1326"/>
        <w:jc w:val="both"/>
      </w:pPr>
      <w:r>
        <w:rPr>
          <w:color w:val="231F20"/>
        </w:rPr>
        <w:lastRenderedPageBreak/>
        <w:t>level actions against symbols of state power, encouraged by the context the guerilla’s bombs had helped create. years later, the Revolutionary Cells (another West German guerilla group) would explain the longterm effect of the May Offensive in this way:</w:t>
      </w:r>
    </w:p>
    <w:p w14:paraId="447AA022" w14:textId="77777777" w:rsidR="002653E8" w:rsidRDefault="003115E3">
      <w:pPr>
        <w:spacing w:before="125" w:line="276" w:lineRule="auto"/>
        <w:ind w:left="1567" w:right="1739"/>
        <w:jc w:val="both"/>
        <w:rPr>
          <w:i/>
          <w:sz w:val="11"/>
        </w:rPr>
      </w:pPr>
      <w:r>
        <w:rPr>
          <w:i/>
          <w:color w:val="231F20"/>
          <w:w w:val="105"/>
          <w:sz w:val="19"/>
        </w:rPr>
        <w:t xml:space="preserve">At the time, these actions drew the widespread anti-imperialist movement </w:t>
      </w:r>
      <w:r>
        <w:rPr>
          <w:i/>
          <w:color w:val="231F20"/>
          <w:spacing w:val="-3"/>
          <w:w w:val="105"/>
          <w:sz w:val="19"/>
        </w:rPr>
        <w:t xml:space="preserve">together, </w:t>
      </w:r>
      <w:r>
        <w:rPr>
          <w:i/>
          <w:color w:val="231F20"/>
          <w:w w:val="105"/>
          <w:sz w:val="19"/>
        </w:rPr>
        <w:t>causing the further development of an idea that</w:t>
      </w:r>
      <w:r>
        <w:rPr>
          <w:i/>
          <w:color w:val="231F20"/>
          <w:spacing w:val="-12"/>
          <w:w w:val="105"/>
          <w:sz w:val="19"/>
        </w:rPr>
        <w:t xml:space="preserve"> </w:t>
      </w:r>
      <w:r>
        <w:rPr>
          <w:i/>
          <w:color w:val="231F20"/>
          <w:w w:val="105"/>
          <w:sz w:val="19"/>
        </w:rPr>
        <w:t>had</w:t>
      </w:r>
      <w:r>
        <w:rPr>
          <w:i/>
          <w:color w:val="231F20"/>
          <w:spacing w:val="-12"/>
          <w:w w:val="105"/>
          <w:sz w:val="19"/>
        </w:rPr>
        <w:t xml:space="preserve"> </w:t>
      </w:r>
      <w:r>
        <w:rPr>
          <w:i/>
          <w:color w:val="231F20"/>
          <w:w w:val="105"/>
          <w:sz w:val="19"/>
        </w:rPr>
        <w:t>been</w:t>
      </w:r>
      <w:r>
        <w:rPr>
          <w:i/>
          <w:color w:val="231F20"/>
          <w:spacing w:val="-12"/>
          <w:w w:val="105"/>
          <w:sz w:val="19"/>
        </w:rPr>
        <w:t xml:space="preserve"> </w:t>
      </w:r>
      <w:r>
        <w:rPr>
          <w:i/>
          <w:color w:val="231F20"/>
          <w:w w:val="105"/>
          <w:sz w:val="19"/>
        </w:rPr>
        <w:t>rattling</w:t>
      </w:r>
      <w:r>
        <w:rPr>
          <w:i/>
          <w:color w:val="231F20"/>
          <w:spacing w:val="-12"/>
          <w:w w:val="105"/>
          <w:sz w:val="19"/>
        </w:rPr>
        <w:t xml:space="preserve"> </w:t>
      </w:r>
      <w:r>
        <w:rPr>
          <w:i/>
          <w:color w:val="231F20"/>
          <w:w w:val="105"/>
          <w:sz w:val="19"/>
        </w:rPr>
        <w:t>around</w:t>
      </w:r>
      <w:r>
        <w:rPr>
          <w:i/>
          <w:color w:val="231F20"/>
          <w:spacing w:val="-12"/>
          <w:w w:val="105"/>
          <w:sz w:val="19"/>
        </w:rPr>
        <w:t xml:space="preserve"> </w:t>
      </w:r>
      <w:r>
        <w:rPr>
          <w:i/>
          <w:color w:val="231F20"/>
          <w:w w:val="105"/>
          <w:sz w:val="19"/>
        </w:rPr>
        <w:t>in</w:t>
      </w:r>
      <w:r>
        <w:rPr>
          <w:i/>
          <w:color w:val="231F20"/>
          <w:spacing w:val="-12"/>
          <w:w w:val="105"/>
          <w:sz w:val="19"/>
        </w:rPr>
        <w:t xml:space="preserve"> </w:t>
      </w:r>
      <w:r>
        <w:rPr>
          <w:i/>
          <w:color w:val="231F20"/>
          <w:w w:val="105"/>
          <w:sz w:val="19"/>
        </w:rPr>
        <w:t>the</w:t>
      </w:r>
      <w:r>
        <w:rPr>
          <w:i/>
          <w:color w:val="231F20"/>
          <w:spacing w:val="-12"/>
          <w:w w:val="105"/>
          <w:sz w:val="19"/>
        </w:rPr>
        <w:t xml:space="preserve"> </w:t>
      </w:r>
      <w:r>
        <w:rPr>
          <w:i/>
          <w:color w:val="231F20"/>
          <w:w w:val="105"/>
          <w:sz w:val="19"/>
        </w:rPr>
        <w:t>heads</w:t>
      </w:r>
      <w:r>
        <w:rPr>
          <w:i/>
          <w:color w:val="231F20"/>
          <w:spacing w:val="-12"/>
          <w:w w:val="105"/>
          <w:sz w:val="19"/>
        </w:rPr>
        <w:t xml:space="preserve"> </w:t>
      </w:r>
      <w:r>
        <w:rPr>
          <w:i/>
          <w:color w:val="231F20"/>
          <w:w w:val="105"/>
          <w:sz w:val="19"/>
        </w:rPr>
        <w:t>of</w:t>
      </w:r>
      <w:r>
        <w:rPr>
          <w:i/>
          <w:color w:val="231F20"/>
          <w:spacing w:val="-12"/>
          <w:w w:val="105"/>
          <w:sz w:val="19"/>
        </w:rPr>
        <w:t xml:space="preserve"> </w:t>
      </w:r>
      <w:r>
        <w:rPr>
          <w:i/>
          <w:color w:val="231F20"/>
          <w:w w:val="105"/>
          <w:sz w:val="19"/>
        </w:rPr>
        <w:t>thousands</w:t>
      </w:r>
      <w:r>
        <w:rPr>
          <w:i/>
          <w:color w:val="231F20"/>
          <w:spacing w:val="-12"/>
          <w:w w:val="105"/>
          <w:sz w:val="19"/>
        </w:rPr>
        <w:t xml:space="preserve"> </w:t>
      </w:r>
      <w:r>
        <w:rPr>
          <w:i/>
          <w:color w:val="231F20"/>
          <w:w w:val="105"/>
          <w:sz w:val="19"/>
        </w:rPr>
        <w:t>of</w:t>
      </w:r>
      <w:r>
        <w:rPr>
          <w:i/>
          <w:color w:val="231F20"/>
          <w:spacing w:val="-12"/>
          <w:w w:val="105"/>
          <w:sz w:val="19"/>
        </w:rPr>
        <w:t xml:space="preserve"> </w:t>
      </w:r>
      <w:r>
        <w:rPr>
          <w:i/>
          <w:color w:val="231F20"/>
          <w:w w:val="105"/>
          <w:sz w:val="19"/>
        </w:rPr>
        <w:t xml:space="preserve">people. </w:t>
      </w:r>
      <w:r>
        <w:rPr>
          <w:i/>
          <w:color w:val="231F20"/>
          <w:spacing w:val="-6"/>
          <w:w w:val="105"/>
          <w:sz w:val="19"/>
        </w:rPr>
        <w:t xml:space="preserve">We </w:t>
      </w:r>
      <w:r>
        <w:rPr>
          <w:i/>
          <w:color w:val="231F20"/>
          <w:w w:val="105"/>
          <w:sz w:val="19"/>
        </w:rPr>
        <w:t>saw that what had long been thought about was in</w:t>
      </w:r>
      <w:r>
        <w:rPr>
          <w:i/>
          <w:color w:val="231F20"/>
          <w:spacing w:val="25"/>
          <w:w w:val="105"/>
          <w:sz w:val="19"/>
        </w:rPr>
        <w:t xml:space="preserve"> </w:t>
      </w:r>
      <w:r>
        <w:rPr>
          <w:i/>
          <w:color w:val="231F20"/>
          <w:w w:val="105"/>
          <w:sz w:val="19"/>
        </w:rPr>
        <w:t xml:space="preserve">fact possible. Without the </w:t>
      </w:r>
      <w:r w:rsidR="00C507A5">
        <w:rPr>
          <w:i/>
          <w:color w:val="231F20"/>
          <w:spacing w:val="-7"/>
          <w:w w:val="105"/>
          <w:sz w:val="19"/>
        </w:rPr>
        <w:t>red army faction</w:t>
      </w:r>
      <w:r>
        <w:rPr>
          <w:i/>
          <w:color w:val="231F20"/>
          <w:spacing w:val="-7"/>
          <w:w w:val="105"/>
          <w:sz w:val="19"/>
        </w:rPr>
        <w:t xml:space="preserve">, </w:t>
      </w:r>
      <w:r>
        <w:rPr>
          <w:i/>
          <w:color w:val="231F20"/>
          <w:w w:val="105"/>
          <w:sz w:val="19"/>
        </w:rPr>
        <w:t xml:space="preserve">there wouldn’t be an RZ </w:t>
      </w:r>
      <w:r>
        <w:rPr>
          <w:i/>
          <w:color w:val="231F20"/>
          <w:spacing w:val="-4"/>
          <w:w w:val="105"/>
          <w:sz w:val="19"/>
        </w:rPr>
        <w:t xml:space="preserve">today, </w:t>
      </w:r>
      <w:r>
        <w:rPr>
          <w:i/>
          <w:color w:val="231F20"/>
          <w:w w:val="105"/>
          <w:sz w:val="19"/>
        </w:rPr>
        <w:t>there wouldn’t be groups that understand that resistance doesn’t stop where the criminal code</w:t>
      </w:r>
      <w:r>
        <w:rPr>
          <w:i/>
          <w:color w:val="231F20"/>
          <w:spacing w:val="25"/>
          <w:w w:val="105"/>
          <w:sz w:val="19"/>
        </w:rPr>
        <w:t xml:space="preserve"> </w:t>
      </w:r>
      <w:r>
        <w:rPr>
          <w:i/>
          <w:color w:val="231F20"/>
          <w:w w:val="105"/>
          <w:sz w:val="19"/>
        </w:rPr>
        <w:t>starts.</w:t>
      </w:r>
      <w:r>
        <w:rPr>
          <w:i/>
          <w:color w:val="231F20"/>
          <w:w w:val="105"/>
          <w:position w:val="6"/>
          <w:sz w:val="11"/>
        </w:rPr>
        <w:t>1</w:t>
      </w:r>
    </w:p>
    <w:p w14:paraId="2F5E0D52" w14:textId="77777777" w:rsidR="002653E8" w:rsidRDefault="003115E3">
      <w:pPr>
        <w:pStyle w:val="a3"/>
        <w:spacing w:before="133" w:line="264" w:lineRule="auto"/>
        <w:ind w:left="1147" w:right="1325"/>
        <w:jc w:val="both"/>
      </w:pPr>
      <w:r>
        <w:rPr>
          <w:color w:val="231F20"/>
        </w:rPr>
        <w:t xml:space="preserve">One thing is certain: the </w:t>
      </w:r>
      <w:r w:rsidR="00C507A5">
        <w:rPr>
          <w:color w:val="231F20"/>
        </w:rPr>
        <w:t>red army faction</w:t>
      </w:r>
      <w:r>
        <w:rPr>
          <w:color w:val="231F20"/>
        </w:rPr>
        <w:t xml:space="preserve">’s bombing campaign was strongly criticized by the Maoist K-groups who were enjoying their heyday and rejected such attacks as infantile adventurism. The KB (Communist League), whose newspaper </w:t>
      </w:r>
      <w:r>
        <w:rPr>
          <w:i/>
          <w:color w:val="231F20"/>
        </w:rPr>
        <w:t xml:space="preserve">Arbeiterkampf </w:t>
      </w:r>
      <w:r>
        <w:rPr>
          <w:color w:val="231F20"/>
        </w:rPr>
        <w:t>would later distinguish itself by offering some of the most intelligent commentary on the guerilla in Germany, even went so far as to suggest that the Springer attack might have been the work of right-wing extremists.</w:t>
      </w:r>
    </w:p>
    <w:p w14:paraId="4631DBE1" w14:textId="77777777" w:rsidR="002653E8" w:rsidRDefault="003115E3">
      <w:pPr>
        <w:pStyle w:val="a3"/>
        <w:spacing w:line="264" w:lineRule="auto"/>
        <w:ind w:left="1147" w:right="1580" w:firstLine="209"/>
      </w:pPr>
      <w:r>
        <w:rPr>
          <w:color w:val="231F20"/>
        </w:rPr>
        <w:t>For its part the KSV (Communist Student Association), the youth section of the Maoist KPD,</w:t>
      </w:r>
      <w:r>
        <w:rPr>
          <w:color w:val="231F20"/>
          <w:position w:val="7"/>
          <w:sz w:val="11"/>
        </w:rPr>
        <w:t xml:space="preserve">2 </w:t>
      </w:r>
      <w:r>
        <w:rPr>
          <w:color w:val="231F20"/>
        </w:rPr>
        <w:t xml:space="preserve">complained about the </w:t>
      </w:r>
      <w:r w:rsidR="00C507A5">
        <w:rPr>
          <w:color w:val="231F20"/>
        </w:rPr>
        <w:t>red army faction</w:t>
      </w:r>
      <w:r>
        <w:rPr>
          <w:color w:val="231F20"/>
        </w:rPr>
        <w:t>’s violence:</w:t>
      </w:r>
    </w:p>
    <w:p w14:paraId="01CD1F75" w14:textId="77777777" w:rsidR="002653E8" w:rsidRDefault="003115E3">
      <w:pPr>
        <w:spacing w:before="119" w:line="276" w:lineRule="auto"/>
        <w:ind w:left="1567" w:right="1745"/>
        <w:jc w:val="both"/>
        <w:rPr>
          <w:i/>
          <w:sz w:val="11"/>
        </w:rPr>
      </w:pPr>
      <w:r>
        <w:rPr>
          <w:i/>
          <w:color w:val="231F20"/>
          <w:w w:val="105"/>
          <w:sz w:val="19"/>
        </w:rPr>
        <w:t xml:space="preserve">[It is] neither practiced by the masses… nor is it understood by the masses as an expression of their interests. The masses, on the </w:t>
      </w:r>
      <w:r>
        <w:rPr>
          <w:i/>
          <w:color w:val="231F20"/>
          <w:spacing w:val="-3"/>
          <w:w w:val="105"/>
          <w:sz w:val="19"/>
        </w:rPr>
        <w:t xml:space="preserve">contrary, </w:t>
      </w:r>
      <w:r>
        <w:rPr>
          <w:i/>
          <w:color w:val="231F20"/>
          <w:w w:val="105"/>
          <w:sz w:val="19"/>
        </w:rPr>
        <w:t>perceive the actions as a threat, and therefore identify with the reactions of the state apparatus… The violence is not revolutionary.</w:t>
      </w:r>
      <w:r>
        <w:rPr>
          <w:i/>
          <w:color w:val="231F20"/>
          <w:spacing w:val="-25"/>
          <w:w w:val="105"/>
          <w:sz w:val="19"/>
        </w:rPr>
        <w:t xml:space="preserve"> </w:t>
      </w:r>
      <w:r>
        <w:rPr>
          <w:i/>
          <w:color w:val="231F20"/>
          <w:w w:val="105"/>
          <w:sz w:val="19"/>
        </w:rPr>
        <w:t>It</w:t>
      </w:r>
      <w:r>
        <w:rPr>
          <w:i/>
          <w:color w:val="231F20"/>
          <w:spacing w:val="-22"/>
          <w:w w:val="105"/>
          <w:sz w:val="19"/>
        </w:rPr>
        <w:t xml:space="preserve"> </w:t>
      </w:r>
      <w:r>
        <w:rPr>
          <w:i/>
          <w:color w:val="231F20"/>
          <w:w w:val="105"/>
          <w:sz w:val="19"/>
        </w:rPr>
        <w:t>sabotages</w:t>
      </w:r>
      <w:r>
        <w:rPr>
          <w:i/>
          <w:color w:val="231F20"/>
          <w:spacing w:val="-22"/>
          <w:w w:val="105"/>
          <w:sz w:val="19"/>
        </w:rPr>
        <w:t xml:space="preserve"> </w:t>
      </w:r>
      <w:r>
        <w:rPr>
          <w:i/>
          <w:color w:val="231F20"/>
          <w:w w:val="105"/>
          <w:sz w:val="19"/>
        </w:rPr>
        <w:t>the</w:t>
      </w:r>
      <w:r>
        <w:rPr>
          <w:i/>
          <w:color w:val="231F20"/>
          <w:spacing w:val="-22"/>
          <w:w w:val="105"/>
          <w:sz w:val="19"/>
        </w:rPr>
        <w:t xml:space="preserve"> </w:t>
      </w:r>
      <w:r>
        <w:rPr>
          <w:i/>
          <w:color w:val="231F20"/>
          <w:w w:val="105"/>
          <w:sz w:val="19"/>
        </w:rPr>
        <w:t>struggle</w:t>
      </w:r>
      <w:r>
        <w:rPr>
          <w:i/>
          <w:color w:val="231F20"/>
          <w:spacing w:val="-22"/>
          <w:w w:val="105"/>
          <w:sz w:val="19"/>
        </w:rPr>
        <w:t xml:space="preserve"> </w:t>
      </w:r>
      <w:r>
        <w:rPr>
          <w:i/>
          <w:color w:val="231F20"/>
          <w:w w:val="105"/>
          <w:sz w:val="19"/>
        </w:rPr>
        <w:t>against</w:t>
      </w:r>
      <w:r>
        <w:rPr>
          <w:i/>
          <w:color w:val="231F20"/>
          <w:spacing w:val="-22"/>
          <w:w w:val="105"/>
          <w:sz w:val="19"/>
        </w:rPr>
        <w:t xml:space="preserve"> </w:t>
      </w:r>
      <w:r>
        <w:rPr>
          <w:i/>
          <w:color w:val="231F20"/>
          <w:w w:val="105"/>
          <w:sz w:val="19"/>
        </w:rPr>
        <w:t>state</w:t>
      </w:r>
      <w:r>
        <w:rPr>
          <w:i/>
          <w:color w:val="231F20"/>
          <w:spacing w:val="-22"/>
          <w:w w:val="105"/>
          <w:sz w:val="19"/>
        </w:rPr>
        <w:t xml:space="preserve"> </w:t>
      </w:r>
      <w:r>
        <w:rPr>
          <w:i/>
          <w:color w:val="231F20"/>
          <w:w w:val="105"/>
          <w:sz w:val="19"/>
        </w:rPr>
        <w:t>repression</w:t>
      </w:r>
      <w:r>
        <w:rPr>
          <w:i/>
          <w:color w:val="231F20"/>
          <w:spacing w:val="-22"/>
          <w:w w:val="105"/>
          <w:sz w:val="19"/>
        </w:rPr>
        <w:t xml:space="preserve"> </w:t>
      </w:r>
      <w:r>
        <w:rPr>
          <w:i/>
          <w:color w:val="231F20"/>
          <w:w w:val="105"/>
          <w:sz w:val="19"/>
        </w:rPr>
        <w:t>in that it helps to conceal the class character of this repression and encourages the isolation of</w:t>
      </w:r>
      <w:r>
        <w:rPr>
          <w:i/>
          <w:color w:val="231F20"/>
          <w:spacing w:val="25"/>
          <w:w w:val="105"/>
          <w:sz w:val="19"/>
        </w:rPr>
        <w:t xml:space="preserve"> </w:t>
      </w:r>
      <w:r>
        <w:rPr>
          <w:i/>
          <w:color w:val="231F20"/>
          <w:w w:val="105"/>
          <w:sz w:val="19"/>
        </w:rPr>
        <w:t>communists.</w:t>
      </w:r>
      <w:r>
        <w:rPr>
          <w:i/>
          <w:color w:val="231F20"/>
          <w:w w:val="105"/>
          <w:position w:val="6"/>
          <w:sz w:val="11"/>
        </w:rPr>
        <w:t>3</w:t>
      </w:r>
    </w:p>
    <w:p w14:paraId="353C8161" w14:textId="77777777" w:rsidR="002653E8" w:rsidRDefault="003115E3">
      <w:pPr>
        <w:pStyle w:val="a3"/>
        <w:spacing w:before="132" w:line="264" w:lineRule="auto"/>
        <w:ind w:left="1147" w:right="1325"/>
        <w:jc w:val="both"/>
      </w:pPr>
      <w:r>
        <w:rPr>
          <w:color w:val="231F20"/>
        </w:rPr>
        <w:t xml:space="preserve">These comments were delivered at a Teach-In Against State Repression, which was held at Frankfurt University on May </w:t>
      </w:r>
      <w:r>
        <w:rPr>
          <w:color w:val="231F20"/>
          <w:spacing w:val="-5"/>
        </w:rPr>
        <w:t xml:space="preserve">31, </w:t>
      </w:r>
      <w:r>
        <w:rPr>
          <w:color w:val="231F20"/>
        </w:rPr>
        <w:t xml:space="preserve">just a couple of weeks after the Springer Building in that city was bombed. Organized  by </w:t>
      </w:r>
      <w:r>
        <w:rPr>
          <w:i/>
          <w:color w:val="231F20"/>
        </w:rPr>
        <w:t xml:space="preserve">Rote Hilfe </w:t>
      </w:r>
      <w:r>
        <w:rPr>
          <w:color w:val="231F20"/>
        </w:rPr>
        <w:t>(Red Aid), a network of autonomous prisoner support collectives which had their roots in the antiauthoritarian wing of the APO, the event attracted hundreds of people, not all of whom</w:t>
      </w:r>
      <w:r>
        <w:rPr>
          <w:color w:val="231F20"/>
          <w:spacing w:val="40"/>
        </w:rPr>
        <w:t xml:space="preserve"> </w:t>
      </w:r>
      <w:r>
        <w:rPr>
          <w:color w:val="231F20"/>
        </w:rPr>
        <w:t>were</w:t>
      </w:r>
    </w:p>
    <w:p w14:paraId="6D3C30B8" w14:textId="77777777" w:rsidR="002653E8" w:rsidRDefault="00000000">
      <w:pPr>
        <w:pStyle w:val="a3"/>
        <w:spacing w:before="11"/>
        <w:rPr>
          <w:sz w:val="22"/>
        </w:rPr>
      </w:pPr>
      <w:r>
        <w:rPr>
          <w:noProof w:val="0"/>
        </w:rPr>
        <w:pict w14:anchorId="394E6500">
          <v:line id="_x0000_s2510" style="position:absolute;z-index:4864;mso-wrap-distance-left:0;mso-wrap-distance-right:0;mso-position-horizontal-relative:page" from="57.4pt,15.65pt" to="129.4pt,15.65pt" strokecolor="#231f20" strokeweight=".5pt">
            <w10:wrap type="topAndBottom" anchorx="page"/>
          </v:line>
        </w:pict>
      </w:r>
    </w:p>
    <w:p w14:paraId="3925E274" w14:textId="77777777" w:rsidR="002653E8" w:rsidRDefault="003115E3">
      <w:pPr>
        <w:pStyle w:val="a4"/>
        <w:numPr>
          <w:ilvl w:val="0"/>
          <w:numId w:val="138"/>
        </w:numPr>
        <w:tabs>
          <w:tab w:val="left" w:pos="1287"/>
        </w:tabs>
        <w:spacing w:before="53"/>
        <w:ind w:firstLine="0"/>
        <w:jc w:val="left"/>
        <w:rPr>
          <w:sz w:val="16"/>
        </w:rPr>
      </w:pPr>
      <w:r>
        <w:rPr>
          <w:color w:val="231F20"/>
          <w:spacing w:val="2"/>
          <w:w w:val="105"/>
          <w:sz w:val="16"/>
        </w:rPr>
        <w:t>RZ</w:t>
      </w:r>
      <w:r>
        <w:rPr>
          <w:color w:val="231F20"/>
          <w:spacing w:val="8"/>
          <w:w w:val="105"/>
          <w:sz w:val="16"/>
        </w:rPr>
        <w:t xml:space="preserve"> </w:t>
      </w:r>
      <w:r>
        <w:rPr>
          <w:color w:val="231F20"/>
          <w:spacing w:val="1"/>
          <w:w w:val="105"/>
          <w:sz w:val="16"/>
        </w:rPr>
        <w:t>Letter</w:t>
      </w:r>
      <w:r>
        <w:rPr>
          <w:color w:val="231F20"/>
          <w:spacing w:val="8"/>
          <w:w w:val="105"/>
          <w:sz w:val="16"/>
        </w:rPr>
        <w:t xml:space="preserve"> </w:t>
      </w:r>
      <w:r>
        <w:rPr>
          <w:color w:val="231F20"/>
          <w:w w:val="105"/>
          <w:sz w:val="16"/>
        </w:rPr>
        <w:t>to</w:t>
      </w:r>
      <w:r>
        <w:rPr>
          <w:color w:val="231F20"/>
          <w:spacing w:val="8"/>
          <w:w w:val="105"/>
          <w:sz w:val="16"/>
        </w:rPr>
        <w:t xml:space="preserve"> </w:t>
      </w:r>
      <w:r>
        <w:rPr>
          <w:color w:val="231F20"/>
          <w:w w:val="105"/>
          <w:sz w:val="16"/>
        </w:rPr>
        <w:t>the</w:t>
      </w:r>
      <w:r>
        <w:rPr>
          <w:color w:val="231F20"/>
          <w:spacing w:val="8"/>
          <w:w w:val="105"/>
          <w:sz w:val="16"/>
        </w:rPr>
        <w:t xml:space="preserve"> </w:t>
      </w:r>
      <w:r w:rsidR="00C507A5">
        <w:rPr>
          <w:color w:val="231F20"/>
          <w:spacing w:val="3"/>
          <w:w w:val="105"/>
          <w:sz w:val="16"/>
        </w:rPr>
        <w:t>red army faction</w:t>
      </w:r>
      <w:r>
        <w:rPr>
          <w:color w:val="231F20"/>
          <w:spacing w:val="8"/>
          <w:w w:val="105"/>
          <w:sz w:val="16"/>
        </w:rPr>
        <w:t xml:space="preserve"> </w:t>
      </w:r>
      <w:r>
        <w:rPr>
          <w:color w:val="231F20"/>
          <w:w w:val="105"/>
          <w:sz w:val="16"/>
        </w:rPr>
        <w:t>Comrades,</w:t>
      </w:r>
      <w:r>
        <w:rPr>
          <w:color w:val="231F20"/>
          <w:spacing w:val="8"/>
          <w:w w:val="105"/>
          <w:sz w:val="16"/>
        </w:rPr>
        <w:t xml:space="preserve"> </w:t>
      </w:r>
      <w:r>
        <w:rPr>
          <w:color w:val="231F20"/>
          <w:w w:val="105"/>
          <w:sz w:val="16"/>
        </w:rPr>
        <w:t>reprinted</w:t>
      </w:r>
      <w:r>
        <w:rPr>
          <w:color w:val="231F20"/>
          <w:spacing w:val="8"/>
          <w:w w:val="105"/>
          <w:sz w:val="16"/>
        </w:rPr>
        <w:t xml:space="preserve"> </w:t>
      </w:r>
      <w:r>
        <w:rPr>
          <w:color w:val="231F20"/>
          <w:w w:val="105"/>
          <w:sz w:val="16"/>
        </w:rPr>
        <w:t>in</w:t>
      </w:r>
      <w:r>
        <w:rPr>
          <w:color w:val="231F20"/>
          <w:spacing w:val="8"/>
          <w:w w:val="105"/>
          <w:sz w:val="16"/>
        </w:rPr>
        <w:t xml:space="preserve"> </w:t>
      </w:r>
      <w:r>
        <w:rPr>
          <w:color w:val="231F20"/>
          <w:w w:val="105"/>
          <w:sz w:val="16"/>
        </w:rPr>
        <w:t>this</w:t>
      </w:r>
      <w:r>
        <w:rPr>
          <w:color w:val="231F20"/>
          <w:spacing w:val="8"/>
          <w:w w:val="105"/>
          <w:sz w:val="16"/>
        </w:rPr>
        <w:t xml:space="preserve"> </w:t>
      </w:r>
      <w:r>
        <w:rPr>
          <w:color w:val="231F20"/>
          <w:w w:val="105"/>
          <w:sz w:val="16"/>
        </w:rPr>
        <w:t>volume</w:t>
      </w:r>
      <w:r>
        <w:rPr>
          <w:color w:val="231F20"/>
          <w:spacing w:val="8"/>
          <w:w w:val="105"/>
          <w:sz w:val="16"/>
        </w:rPr>
        <w:t xml:space="preserve"> </w:t>
      </w:r>
      <w:r>
        <w:rPr>
          <w:color w:val="231F20"/>
          <w:w w:val="105"/>
          <w:sz w:val="16"/>
        </w:rPr>
        <w:t>on</w:t>
      </w:r>
      <w:r>
        <w:rPr>
          <w:color w:val="231F20"/>
          <w:spacing w:val="8"/>
          <w:w w:val="105"/>
          <w:sz w:val="16"/>
        </w:rPr>
        <w:t xml:space="preserve"> </w:t>
      </w:r>
      <w:r>
        <w:rPr>
          <w:color w:val="231F20"/>
          <w:w w:val="105"/>
          <w:sz w:val="16"/>
        </w:rPr>
        <w:t>pages</w:t>
      </w:r>
      <w:r>
        <w:rPr>
          <w:color w:val="231F20"/>
          <w:spacing w:val="8"/>
          <w:w w:val="105"/>
          <w:sz w:val="16"/>
        </w:rPr>
        <w:t xml:space="preserve"> </w:t>
      </w:r>
      <w:r>
        <w:rPr>
          <w:color w:val="231F20"/>
          <w:spacing w:val="-4"/>
          <w:w w:val="105"/>
          <w:sz w:val="16"/>
        </w:rPr>
        <w:t>457-463.</w:t>
      </w:r>
    </w:p>
    <w:p w14:paraId="7D6D4D49" w14:textId="77777777" w:rsidR="002653E8" w:rsidRDefault="003115E3">
      <w:pPr>
        <w:pStyle w:val="a4"/>
        <w:numPr>
          <w:ilvl w:val="0"/>
          <w:numId w:val="138"/>
        </w:numPr>
        <w:tabs>
          <w:tab w:val="left" w:pos="1287"/>
        </w:tabs>
        <w:spacing w:before="51" w:line="254" w:lineRule="auto"/>
        <w:ind w:right="1390" w:firstLine="0"/>
        <w:jc w:val="left"/>
        <w:rPr>
          <w:sz w:val="16"/>
        </w:rPr>
      </w:pPr>
      <w:r>
        <w:rPr>
          <w:color w:val="231F20"/>
          <w:sz w:val="16"/>
        </w:rPr>
        <w:t xml:space="preserve">Not to be confused with the pro-Soviet </w:t>
      </w:r>
      <w:r>
        <w:rPr>
          <w:color w:val="231F20"/>
          <w:spacing w:val="1"/>
          <w:sz w:val="16"/>
        </w:rPr>
        <w:t xml:space="preserve">KPD </w:t>
      </w:r>
      <w:r>
        <w:rPr>
          <w:color w:val="231F20"/>
          <w:sz w:val="16"/>
        </w:rPr>
        <w:t>that was banned in the 50s and later reconstituted as the</w:t>
      </w:r>
      <w:r>
        <w:rPr>
          <w:color w:val="231F20"/>
          <w:spacing w:val="32"/>
          <w:sz w:val="16"/>
        </w:rPr>
        <w:t xml:space="preserve"> </w:t>
      </w:r>
      <w:r>
        <w:rPr>
          <w:color w:val="231F20"/>
          <w:sz w:val="16"/>
        </w:rPr>
        <w:t>DKP.</w:t>
      </w:r>
    </w:p>
    <w:p w14:paraId="653ADEDB" w14:textId="77777777" w:rsidR="002653E8" w:rsidRDefault="003115E3">
      <w:pPr>
        <w:pStyle w:val="a4"/>
        <w:numPr>
          <w:ilvl w:val="0"/>
          <w:numId w:val="138"/>
        </w:numPr>
        <w:tabs>
          <w:tab w:val="left" w:pos="1287"/>
        </w:tabs>
        <w:ind w:left="1286"/>
        <w:jc w:val="left"/>
        <w:rPr>
          <w:sz w:val="16"/>
        </w:rPr>
      </w:pPr>
      <w:r>
        <w:rPr>
          <w:color w:val="231F20"/>
          <w:w w:val="115"/>
          <w:sz w:val="16"/>
        </w:rPr>
        <w:t>Varon,</w:t>
      </w:r>
      <w:r>
        <w:rPr>
          <w:color w:val="231F20"/>
          <w:spacing w:val="5"/>
          <w:w w:val="115"/>
          <w:sz w:val="16"/>
        </w:rPr>
        <w:t xml:space="preserve"> </w:t>
      </w:r>
      <w:r>
        <w:rPr>
          <w:color w:val="231F20"/>
          <w:spacing w:val="-4"/>
          <w:w w:val="115"/>
          <w:sz w:val="16"/>
        </w:rPr>
        <w:t>213.</w:t>
      </w:r>
    </w:p>
    <w:p w14:paraId="1E8462C9" w14:textId="77777777" w:rsidR="002653E8" w:rsidRDefault="002653E8">
      <w:pPr>
        <w:rPr>
          <w:sz w:val="16"/>
        </w:rPr>
        <w:sectPr w:rsidR="002653E8">
          <w:pgSz w:w="8640" w:h="12960"/>
          <w:pgMar w:top="1060" w:right="0" w:bottom="1040" w:left="0" w:header="0" w:footer="850" w:gutter="0"/>
          <w:cols w:space="720"/>
        </w:sectPr>
      </w:pPr>
    </w:p>
    <w:p w14:paraId="57CE69B9" w14:textId="77777777" w:rsidR="002653E8" w:rsidRDefault="003115E3">
      <w:pPr>
        <w:pStyle w:val="a3"/>
        <w:spacing w:before="86" w:line="264" w:lineRule="auto"/>
        <w:ind w:left="1327" w:right="1145"/>
        <w:jc w:val="both"/>
        <w:rPr>
          <w:sz w:val="11"/>
        </w:rPr>
      </w:pPr>
      <w:r>
        <w:rPr>
          <w:color w:val="231F20"/>
        </w:rPr>
        <w:lastRenderedPageBreak/>
        <w:t>as negative as the Maoists.</w:t>
      </w:r>
      <w:r>
        <w:rPr>
          <w:color w:val="231F20"/>
          <w:position w:val="7"/>
          <w:sz w:val="11"/>
        </w:rPr>
        <w:t xml:space="preserve">4 </w:t>
      </w:r>
      <w:r>
        <w:rPr>
          <w:color w:val="231F20"/>
        </w:rPr>
        <w:t>Indeed, one leaflet produced for the event argued that, “If imperialism is a worldwide system, and that it is, then the struggle against it must be waged worldwide. It will and must be a violent and armed struggle, or it will not be waged at all.”</w:t>
      </w:r>
      <w:r>
        <w:rPr>
          <w:color w:val="231F20"/>
          <w:position w:val="7"/>
          <w:sz w:val="11"/>
        </w:rPr>
        <w:t>5</w:t>
      </w:r>
    </w:p>
    <w:p w14:paraId="24BABA98" w14:textId="77777777" w:rsidR="002653E8" w:rsidRDefault="003115E3">
      <w:pPr>
        <w:pStyle w:val="a3"/>
        <w:spacing w:line="264" w:lineRule="auto"/>
        <w:ind w:left="1327" w:right="1145" w:firstLine="210"/>
        <w:jc w:val="both"/>
        <w:rPr>
          <w:sz w:val="11"/>
        </w:rPr>
      </w:pPr>
      <w:r>
        <w:rPr>
          <w:color w:val="231F20"/>
        </w:rPr>
        <w:t xml:space="preserve">The </w:t>
      </w:r>
      <w:r w:rsidR="00C507A5">
        <w:rPr>
          <w:color w:val="231F20"/>
          <w:spacing w:val="5"/>
        </w:rPr>
        <w:t>red army faction</w:t>
      </w:r>
      <w:r>
        <w:rPr>
          <w:color w:val="231F20"/>
          <w:spacing w:val="5"/>
        </w:rPr>
        <w:t xml:space="preserve"> </w:t>
      </w:r>
      <w:r>
        <w:rPr>
          <w:color w:val="231F20"/>
        </w:rPr>
        <w:t>itself sent a statement to the Red Aid Teach-In in the form  of a tape recording by Ulrike Meinhof in which she once again encouraged the radical left to organize armed struggle, arguing that increasing repression</w:t>
      </w:r>
      <w:r>
        <w:rPr>
          <w:color w:val="231F20"/>
          <w:spacing w:val="-9"/>
        </w:rPr>
        <w:t xml:space="preserve"> </w:t>
      </w:r>
      <w:r>
        <w:rPr>
          <w:color w:val="231F20"/>
        </w:rPr>
        <w:t>and</w:t>
      </w:r>
      <w:r>
        <w:rPr>
          <w:color w:val="231F20"/>
          <w:spacing w:val="-9"/>
        </w:rPr>
        <w:t xml:space="preserve"> </w:t>
      </w:r>
      <w:r>
        <w:rPr>
          <w:color w:val="231F20"/>
        </w:rPr>
        <w:t>popular</w:t>
      </w:r>
      <w:r>
        <w:rPr>
          <w:color w:val="231F20"/>
          <w:spacing w:val="-9"/>
        </w:rPr>
        <w:t xml:space="preserve"> </w:t>
      </w:r>
      <w:r>
        <w:rPr>
          <w:color w:val="231F20"/>
        </w:rPr>
        <w:t>resentments</w:t>
      </w:r>
      <w:r>
        <w:rPr>
          <w:color w:val="231F20"/>
          <w:spacing w:val="-9"/>
        </w:rPr>
        <w:t xml:space="preserve"> </w:t>
      </w:r>
      <w:r>
        <w:rPr>
          <w:color w:val="231F20"/>
        </w:rPr>
        <w:t>were</w:t>
      </w:r>
      <w:r>
        <w:rPr>
          <w:color w:val="231F20"/>
          <w:spacing w:val="-9"/>
        </w:rPr>
        <w:t xml:space="preserve"> </w:t>
      </w:r>
      <w:r>
        <w:rPr>
          <w:color w:val="231F20"/>
        </w:rPr>
        <w:t>providing</w:t>
      </w:r>
      <w:r>
        <w:rPr>
          <w:color w:val="231F20"/>
          <w:spacing w:val="-9"/>
        </w:rPr>
        <w:t xml:space="preserve"> </w:t>
      </w:r>
      <w:r>
        <w:rPr>
          <w:color w:val="231F20"/>
        </w:rPr>
        <w:t>the</w:t>
      </w:r>
      <w:r>
        <w:rPr>
          <w:color w:val="231F20"/>
          <w:spacing w:val="-9"/>
        </w:rPr>
        <w:t xml:space="preserve"> </w:t>
      </w:r>
      <w:r>
        <w:rPr>
          <w:color w:val="231F20"/>
        </w:rPr>
        <w:t>potential</w:t>
      </w:r>
      <w:r>
        <w:rPr>
          <w:color w:val="231F20"/>
          <w:spacing w:val="-9"/>
        </w:rPr>
        <w:t xml:space="preserve"> </w:t>
      </w:r>
      <w:r>
        <w:rPr>
          <w:color w:val="231F20"/>
        </w:rPr>
        <w:t xml:space="preserve">which, properly exploited, could lead to a revolutionary situation. As was typical of the </w:t>
      </w:r>
      <w:r w:rsidR="00C507A5">
        <w:rPr>
          <w:color w:val="231F20"/>
          <w:spacing w:val="5"/>
        </w:rPr>
        <w:t>red army faction</w:t>
      </w:r>
      <w:r>
        <w:rPr>
          <w:color w:val="231F20"/>
          <w:spacing w:val="5"/>
        </w:rPr>
        <w:t xml:space="preserve"> </w:t>
      </w:r>
      <w:r>
        <w:rPr>
          <w:color w:val="231F20"/>
        </w:rPr>
        <w:t>at this time, Meinhof was attempting to engage directly with the guerilla’s left-wing critics.</w:t>
      </w:r>
      <w:r>
        <w:rPr>
          <w:color w:val="231F20"/>
          <w:position w:val="7"/>
          <w:sz w:val="11"/>
        </w:rPr>
        <w:t>6</w:t>
      </w:r>
    </w:p>
    <w:p w14:paraId="2A9531A3" w14:textId="77777777" w:rsidR="002653E8" w:rsidRDefault="003115E3">
      <w:pPr>
        <w:pStyle w:val="a3"/>
        <w:spacing w:line="264" w:lineRule="auto"/>
        <w:ind w:left="1327" w:right="1145" w:firstLine="210"/>
        <w:jc w:val="both"/>
        <w:rPr>
          <w:sz w:val="11"/>
        </w:rPr>
      </w:pPr>
      <w:r>
        <w:rPr>
          <w:color w:val="231F20"/>
        </w:rPr>
        <w:t xml:space="preserve">Remarkably, the Teach-In brought together Maoists and </w:t>
      </w:r>
      <w:r>
        <w:rPr>
          <w:i/>
          <w:color w:val="231F20"/>
        </w:rPr>
        <w:t>spontis</w:t>
      </w:r>
      <w:r>
        <w:rPr>
          <w:color w:val="231F20"/>
        </w:rPr>
        <w:t xml:space="preserve">, and as such was representative of the revolutionary left. As for the tamed left, in its eyes the </w:t>
      </w:r>
      <w:r w:rsidR="00C507A5">
        <w:rPr>
          <w:color w:val="231F20"/>
          <w:spacing w:val="5"/>
        </w:rPr>
        <w:t>red army faction</w:t>
      </w:r>
      <w:r>
        <w:rPr>
          <w:color w:val="231F20"/>
          <w:spacing w:val="5"/>
        </w:rPr>
        <w:t xml:space="preserve"> </w:t>
      </w:r>
      <w:r>
        <w:rPr>
          <w:color w:val="231F20"/>
        </w:rPr>
        <w:t xml:space="preserve">remained well beyond the pale. The pro-Soviet </w:t>
      </w:r>
      <w:r>
        <w:rPr>
          <w:color w:val="231F20"/>
          <w:spacing w:val="1"/>
        </w:rPr>
        <w:t xml:space="preserve">DKP </w:t>
      </w:r>
      <w:r>
        <w:rPr>
          <w:color w:val="231F20"/>
        </w:rPr>
        <w:t xml:space="preserve">made a point of condemning “anarchist demonstrations” in Frankfurt, pontificating that, “The anarchist groups have clearly made hysteria the order of the </w:t>
      </w:r>
      <w:r>
        <w:rPr>
          <w:color w:val="231F20"/>
          <w:spacing w:val="-5"/>
        </w:rPr>
        <w:t xml:space="preserve">day. We </w:t>
      </w:r>
      <w:r>
        <w:rPr>
          <w:color w:val="231F20"/>
        </w:rPr>
        <w:t xml:space="preserve">are making the struggle to win the solidarity of the people of Frankfurt for the Vietnamese liberation struggle the order of the </w:t>
      </w:r>
      <w:r>
        <w:rPr>
          <w:color w:val="231F20"/>
          <w:spacing w:val="-5"/>
        </w:rPr>
        <w:t>day.”</w:t>
      </w:r>
      <w:r>
        <w:rPr>
          <w:color w:val="231F20"/>
          <w:spacing w:val="-5"/>
          <w:position w:val="7"/>
          <w:sz w:val="11"/>
        </w:rPr>
        <w:t xml:space="preserve">7 </w:t>
      </w:r>
      <w:r>
        <w:rPr>
          <w:color w:val="231F20"/>
        </w:rPr>
        <w:t xml:space="preserve">Various labor leaders also took turns condemning the “political adventurists,” </w:t>
      </w:r>
      <w:r>
        <w:rPr>
          <w:color w:val="231F20"/>
          <w:spacing w:val="-3"/>
        </w:rPr>
        <w:t xml:space="preserve">“terror,”  </w:t>
      </w:r>
      <w:r>
        <w:rPr>
          <w:color w:val="231F20"/>
        </w:rPr>
        <w:t xml:space="preserve">and  </w:t>
      </w:r>
      <w:r>
        <w:rPr>
          <w:color w:val="231F20"/>
          <w:spacing w:val="-4"/>
        </w:rPr>
        <w:t xml:space="preserve">“murder.”  </w:t>
      </w:r>
      <w:r>
        <w:rPr>
          <w:color w:val="231F20"/>
        </w:rPr>
        <w:t>The  chairman of the Public Service, Transport, and Communication Union explained that his union supported the government, for, while it was independent, it shared many common concerns with</w:t>
      </w:r>
      <w:r>
        <w:rPr>
          <w:color w:val="231F20"/>
          <w:spacing w:val="18"/>
        </w:rPr>
        <w:t xml:space="preserve"> </w:t>
      </w:r>
      <w:r>
        <w:rPr>
          <w:color w:val="231F20"/>
        </w:rPr>
        <w:t>employers.</w:t>
      </w:r>
      <w:r>
        <w:rPr>
          <w:color w:val="231F20"/>
          <w:position w:val="7"/>
          <w:sz w:val="11"/>
        </w:rPr>
        <w:t>8</w:t>
      </w:r>
    </w:p>
    <w:p w14:paraId="389DFA94" w14:textId="77777777" w:rsidR="002653E8" w:rsidRDefault="003115E3">
      <w:pPr>
        <w:pStyle w:val="a3"/>
        <w:spacing w:line="221" w:lineRule="exact"/>
        <w:ind w:left="1537"/>
      </w:pPr>
      <w:r>
        <w:rPr>
          <w:color w:val="231F20"/>
        </w:rPr>
        <w:t xml:space="preserve">Clearly not reassured by claims that the </w:t>
      </w:r>
      <w:r w:rsidR="00C507A5">
        <w:rPr>
          <w:color w:val="231F20"/>
        </w:rPr>
        <w:t>red army faction</w:t>
      </w:r>
      <w:r>
        <w:rPr>
          <w:color w:val="231F20"/>
        </w:rPr>
        <w:t xml:space="preserve"> was driving people</w:t>
      </w:r>
    </w:p>
    <w:p w14:paraId="1FA2DABB" w14:textId="77777777" w:rsidR="002653E8" w:rsidRDefault="003115E3">
      <w:pPr>
        <w:pStyle w:val="a3"/>
        <w:spacing w:before="11" w:line="264" w:lineRule="auto"/>
        <w:ind w:left="1327" w:right="1146"/>
        <w:jc w:val="both"/>
        <w:rPr>
          <w:sz w:val="11"/>
        </w:rPr>
      </w:pPr>
      <w:r>
        <w:rPr>
          <w:color w:val="231F20"/>
          <w:spacing w:val="-3"/>
        </w:rPr>
        <w:t xml:space="preserve">away </w:t>
      </w:r>
      <w:r>
        <w:rPr>
          <w:color w:val="231F20"/>
        </w:rPr>
        <w:t xml:space="preserve">from left, the state recognized that  if  it  did  not  move  quickly, the May bombings could easily inspire renewed resistance. “The longer the Baader-Meinhof gang remains at large,” Attorney General Ludwig </w:t>
      </w:r>
      <w:r>
        <w:rPr>
          <w:color w:val="231F20"/>
          <w:spacing w:val="1"/>
        </w:rPr>
        <w:t xml:space="preserve">Martin </w:t>
      </w:r>
      <w:r>
        <w:rPr>
          <w:color w:val="231F20"/>
        </w:rPr>
        <w:t>worried, “the easier it will be for the public to gain the impression</w:t>
      </w:r>
      <w:r>
        <w:rPr>
          <w:color w:val="231F20"/>
          <w:spacing w:val="10"/>
        </w:rPr>
        <w:t xml:space="preserve"> </w:t>
      </w:r>
      <w:r>
        <w:rPr>
          <w:color w:val="231F20"/>
        </w:rPr>
        <w:t>that</w:t>
      </w:r>
      <w:r>
        <w:rPr>
          <w:color w:val="231F20"/>
          <w:spacing w:val="10"/>
        </w:rPr>
        <w:t xml:space="preserve"> </w:t>
      </w:r>
      <w:r>
        <w:rPr>
          <w:color w:val="231F20"/>
        </w:rPr>
        <w:t>the</w:t>
      </w:r>
      <w:r>
        <w:rPr>
          <w:color w:val="231F20"/>
          <w:spacing w:val="10"/>
        </w:rPr>
        <w:t xml:space="preserve"> </w:t>
      </w:r>
      <w:r>
        <w:rPr>
          <w:color w:val="231F20"/>
        </w:rPr>
        <w:t>powers</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state</w:t>
      </w:r>
      <w:r>
        <w:rPr>
          <w:color w:val="231F20"/>
          <w:spacing w:val="10"/>
        </w:rPr>
        <w:t xml:space="preserve"> </w:t>
      </w:r>
      <w:r>
        <w:rPr>
          <w:color w:val="231F20"/>
        </w:rPr>
        <w:t>have</w:t>
      </w:r>
      <w:r>
        <w:rPr>
          <w:color w:val="231F20"/>
          <w:spacing w:val="10"/>
        </w:rPr>
        <w:t xml:space="preserve"> </w:t>
      </w:r>
      <w:r>
        <w:rPr>
          <w:color w:val="231F20"/>
        </w:rPr>
        <w:t>broken</w:t>
      </w:r>
      <w:r>
        <w:rPr>
          <w:color w:val="231F20"/>
          <w:spacing w:val="10"/>
        </w:rPr>
        <w:t xml:space="preserve"> </w:t>
      </w:r>
      <w:r>
        <w:rPr>
          <w:color w:val="231F20"/>
        </w:rPr>
        <w:t>down.”</w:t>
      </w:r>
      <w:r>
        <w:rPr>
          <w:color w:val="231F20"/>
          <w:position w:val="7"/>
          <w:sz w:val="11"/>
        </w:rPr>
        <w:t>9</w:t>
      </w:r>
    </w:p>
    <w:p w14:paraId="45ADFF0A" w14:textId="77777777" w:rsidR="002653E8" w:rsidRDefault="003115E3">
      <w:pPr>
        <w:pStyle w:val="a3"/>
        <w:spacing w:line="264" w:lineRule="auto"/>
        <w:ind w:left="1328" w:right="1146" w:firstLine="209"/>
        <w:jc w:val="both"/>
      </w:pPr>
      <w:r>
        <w:rPr>
          <w:color w:val="231F20"/>
          <w:spacing w:val="2"/>
        </w:rPr>
        <w:t xml:space="preserve">An </w:t>
      </w:r>
      <w:r>
        <w:rPr>
          <w:color w:val="231F20"/>
        </w:rPr>
        <w:t xml:space="preserve">essential  feature  of  the  campaign  against  the  </w:t>
      </w:r>
      <w:r w:rsidR="00C507A5">
        <w:rPr>
          <w:color w:val="231F20"/>
          <w:spacing w:val="5"/>
        </w:rPr>
        <w:t>red army faction</w:t>
      </w:r>
      <w:r>
        <w:rPr>
          <w:color w:val="231F20"/>
          <w:spacing w:val="5"/>
        </w:rPr>
        <w:t xml:space="preserve">  </w:t>
      </w:r>
      <w:r>
        <w:rPr>
          <w:color w:val="231F20"/>
        </w:rPr>
        <w:t>consisted  of</w:t>
      </w:r>
      <w:r>
        <w:rPr>
          <w:color w:val="231F20"/>
          <w:spacing w:val="21"/>
        </w:rPr>
        <w:t xml:space="preserve"> </w:t>
      </w:r>
      <w:r>
        <w:rPr>
          <w:color w:val="231F20"/>
        </w:rPr>
        <w:t>psychological</w:t>
      </w:r>
      <w:r>
        <w:rPr>
          <w:color w:val="231F20"/>
          <w:spacing w:val="21"/>
        </w:rPr>
        <w:t xml:space="preserve"> </w:t>
      </w:r>
      <w:r>
        <w:rPr>
          <w:color w:val="231F20"/>
        </w:rPr>
        <w:t>operations,</w:t>
      </w:r>
      <w:r>
        <w:rPr>
          <w:color w:val="231F20"/>
          <w:spacing w:val="21"/>
        </w:rPr>
        <w:t xml:space="preserve"> </w:t>
      </w:r>
      <w:r>
        <w:rPr>
          <w:color w:val="231F20"/>
        </w:rPr>
        <w:t>meant</w:t>
      </w:r>
      <w:r>
        <w:rPr>
          <w:color w:val="231F20"/>
          <w:spacing w:val="21"/>
        </w:rPr>
        <w:t xml:space="preserve"> </w:t>
      </w:r>
      <w:r>
        <w:rPr>
          <w:color w:val="231F20"/>
        </w:rPr>
        <w:t>to</w:t>
      </w:r>
      <w:r>
        <w:rPr>
          <w:color w:val="231F20"/>
          <w:spacing w:val="21"/>
        </w:rPr>
        <w:t xml:space="preserve"> </w:t>
      </w:r>
      <w:r>
        <w:rPr>
          <w:color w:val="231F20"/>
        </w:rPr>
        <w:t>discourage</w:t>
      </w:r>
      <w:r>
        <w:rPr>
          <w:color w:val="231F20"/>
          <w:spacing w:val="21"/>
        </w:rPr>
        <w:t xml:space="preserve"> </w:t>
      </w:r>
      <w:r>
        <w:rPr>
          <w:color w:val="231F20"/>
        </w:rPr>
        <w:t>any</w:t>
      </w:r>
      <w:r>
        <w:rPr>
          <w:color w:val="231F20"/>
          <w:spacing w:val="21"/>
        </w:rPr>
        <w:t xml:space="preserve"> </w:t>
      </w:r>
      <w:r>
        <w:rPr>
          <w:color w:val="231F20"/>
        </w:rPr>
        <w:t>solidarity</w:t>
      </w:r>
      <w:r>
        <w:rPr>
          <w:color w:val="231F20"/>
          <w:spacing w:val="21"/>
        </w:rPr>
        <w:t xml:space="preserve"> </w:t>
      </w:r>
      <w:r>
        <w:rPr>
          <w:color w:val="231F20"/>
        </w:rPr>
        <w:t>or</w:t>
      </w:r>
    </w:p>
    <w:p w14:paraId="3F1E0AEF" w14:textId="77777777" w:rsidR="002653E8" w:rsidRDefault="00000000">
      <w:pPr>
        <w:pStyle w:val="a3"/>
        <w:spacing w:before="3"/>
        <w:rPr>
          <w:sz w:val="15"/>
        </w:rPr>
      </w:pPr>
      <w:r>
        <w:rPr>
          <w:noProof w:val="0"/>
        </w:rPr>
        <w:pict w14:anchorId="0F859602">
          <v:line id="_x0000_s2509" style="position:absolute;z-index:4888;mso-wrap-distance-left:0;mso-wrap-distance-right:0;mso-position-horizontal-relative:page" from="66.4pt,11.15pt" to="138.4pt,11.15pt" strokecolor="#231f20" strokeweight=".5pt">
            <w10:wrap type="topAndBottom" anchorx="page"/>
          </v:line>
        </w:pict>
      </w:r>
    </w:p>
    <w:p w14:paraId="7E9646AA" w14:textId="77777777" w:rsidR="002653E8" w:rsidRDefault="003115E3">
      <w:pPr>
        <w:pStyle w:val="a4"/>
        <w:numPr>
          <w:ilvl w:val="0"/>
          <w:numId w:val="138"/>
        </w:numPr>
        <w:tabs>
          <w:tab w:val="left" w:pos="1467"/>
        </w:tabs>
        <w:spacing w:before="53"/>
        <w:ind w:left="1466"/>
        <w:jc w:val="left"/>
        <w:rPr>
          <w:sz w:val="16"/>
        </w:rPr>
      </w:pPr>
      <w:r>
        <w:rPr>
          <w:color w:val="231F20"/>
          <w:w w:val="110"/>
          <w:sz w:val="16"/>
        </w:rPr>
        <w:t>Hockenos,</w:t>
      </w:r>
      <w:r>
        <w:rPr>
          <w:color w:val="231F20"/>
          <w:spacing w:val="5"/>
          <w:w w:val="110"/>
          <w:sz w:val="16"/>
        </w:rPr>
        <w:t xml:space="preserve"> </w:t>
      </w:r>
      <w:r>
        <w:rPr>
          <w:color w:val="231F20"/>
          <w:w w:val="110"/>
          <w:sz w:val="16"/>
        </w:rPr>
        <w:t>114.</w:t>
      </w:r>
    </w:p>
    <w:p w14:paraId="6621F1C6" w14:textId="77777777" w:rsidR="002653E8" w:rsidRDefault="003115E3">
      <w:pPr>
        <w:pStyle w:val="a4"/>
        <w:numPr>
          <w:ilvl w:val="0"/>
          <w:numId w:val="138"/>
        </w:numPr>
        <w:tabs>
          <w:tab w:val="left" w:pos="1467"/>
        </w:tabs>
        <w:spacing w:before="51"/>
        <w:ind w:left="1466"/>
        <w:jc w:val="left"/>
        <w:rPr>
          <w:sz w:val="16"/>
        </w:rPr>
      </w:pPr>
      <w:r>
        <w:rPr>
          <w:color w:val="231F20"/>
          <w:w w:val="115"/>
          <w:sz w:val="16"/>
        </w:rPr>
        <w:t>Varon,</w:t>
      </w:r>
      <w:r>
        <w:rPr>
          <w:color w:val="231F20"/>
          <w:spacing w:val="5"/>
          <w:w w:val="115"/>
          <w:sz w:val="16"/>
        </w:rPr>
        <w:t xml:space="preserve"> </w:t>
      </w:r>
      <w:r>
        <w:rPr>
          <w:color w:val="231F20"/>
          <w:spacing w:val="-4"/>
          <w:w w:val="115"/>
          <w:sz w:val="16"/>
        </w:rPr>
        <w:t>213.</w:t>
      </w:r>
    </w:p>
    <w:p w14:paraId="3F45293F" w14:textId="77777777" w:rsidR="002653E8" w:rsidRDefault="003115E3">
      <w:pPr>
        <w:pStyle w:val="a4"/>
        <w:numPr>
          <w:ilvl w:val="0"/>
          <w:numId w:val="138"/>
        </w:numPr>
        <w:tabs>
          <w:tab w:val="left" w:pos="1467"/>
        </w:tabs>
        <w:spacing w:before="52"/>
        <w:ind w:left="1466"/>
        <w:jc w:val="left"/>
        <w:rPr>
          <w:sz w:val="16"/>
        </w:rPr>
      </w:pPr>
      <w:r>
        <w:rPr>
          <w:color w:val="231F20"/>
          <w:w w:val="105"/>
          <w:sz w:val="16"/>
        </w:rPr>
        <w:t>Statement</w:t>
      </w:r>
      <w:r>
        <w:rPr>
          <w:color w:val="231F20"/>
          <w:spacing w:val="7"/>
          <w:w w:val="105"/>
          <w:sz w:val="16"/>
        </w:rPr>
        <w:t xml:space="preserve"> </w:t>
      </w:r>
      <w:r>
        <w:rPr>
          <w:color w:val="231F20"/>
          <w:w w:val="105"/>
          <w:sz w:val="16"/>
        </w:rPr>
        <w:t>to</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Red</w:t>
      </w:r>
      <w:r>
        <w:rPr>
          <w:color w:val="231F20"/>
          <w:spacing w:val="7"/>
          <w:w w:val="105"/>
          <w:sz w:val="16"/>
        </w:rPr>
        <w:t xml:space="preserve"> </w:t>
      </w:r>
      <w:r>
        <w:rPr>
          <w:color w:val="231F20"/>
          <w:w w:val="105"/>
          <w:sz w:val="16"/>
        </w:rPr>
        <w:t>Aid</w:t>
      </w:r>
      <w:r>
        <w:rPr>
          <w:color w:val="231F20"/>
          <w:spacing w:val="7"/>
          <w:w w:val="105"/>
          <w:sz w:val="16"/>
        </w:rPr>
        <w:t xml:space="preserve"> </w:t>
      </w:r>
      <w:r>
        <w:rPr>
          <w:color w:val="231F20"/>
          <w:w w:val="105"/>
          <w:sz w:val="16"/>
        </w:rPr>
        <w:t>Teach-In,</w:t>
      </w:r>
      <w:r>
        <w:rPr>
          <w:color w:val="231F20"/>
          <w:spacing w:val="7"/>
          <w:w w:val="105"/>
          <w:sz w:val="16"/>
        </w:rPr>
        <w:t xml:space="preserve"> </w:t>
      </w:r>
      <w:r>
        <w:rPr>
          <w:color w:val="231F20"/>
          <w:w w:val="105"/>
          <w:sz w:val="16"/>
        </w:rPr>
        <w:t>reprinted</w:t>
      </w:r>
      <w:r>
        <w:rPr>
          <w:color w:val="231F20"/>
          <w:spacing w:val="7"/>
          <w:w w:val="105"/>
          <w:sz w:val="16"/>
        </w:rPr>
        <w:t xml:space="preserve"> </w:t>
      </w:r>
      <w:r>
        <w:rPr>
          <w:color w:val="231F20"/>
          <w:w w:val="105"/>
          <w:sz w:val="16"/>
        </w:rPr>
        <w:t>in</w:t>
      </w:r>
      <w:r>
        <w:rPr>
          <w:color w:val="231F20"/>
          <w:spacing w:val="7"/>
          <w:w w:val="105"/>
          <w:sz w:val="16"/>
        </w:rPr>
        <w:t xml:space="preserve"> </w:t>
      </w:r>
      <w:r>
        <w:rPr>
          <w:color w:val="231F20"/>
          <w:w w:val="105"/>
          <w:sz w:val="16"/>
        </w:rPr>
        <w:t>this</w:t>
      </w:r>
      <w:r>
        <w:rPr>
          <w:color w:val="231F20"/>
          <w:spacing w:val="7"/>
          <w:w w:val="105"/>
          <w:sz w:val="16"/>
        </w:rPr>
        <w:t xml:space="preserve"> </w:t>
      </w:r>
      <w:r>
        <w:rPr>
          <w:color w:val="231F20"/>
          <w:w w:val="105"/>
          <w:sz w:val="16"/>
        </w:rPr>
        <w:t>volume</w:t>
      </w:r>
      <w:r>
        <w:rPr>
          <w:color w:val="231F20"/>
          <w:spacing w:val="7"/>
          <w:w w:val="105"/>
          <w:sz w:val="16"/>
        </w:rPr>
        <w:t xml:space="preserve"> </w:t>
      </w:r>
      <w:r>
        <w:rPr>
          <w:color w:val="231F20"/>
          <w:w w:val="105"/>
          <w:sz w:val="16"/>
        </w:rPr>
        <w:t>on</w:t>
      </w:r>
      <w:r>
        <w:rPr>
          <w:color w:val="231F20"/>
          <w:spacing w:val="7"/>
          <w:w w:val="105"/>
          <w:sz w:val="16"/>
        </w:rPr>
        <w:t xml:space="preserve"> </w:t>
      </w:r>
      <w:r>
        <w:rPr>
          <w:color w:val="231F20"/>
          <w:w w:val="105"/>
          <w:sz w:val="16"/>
        </w:rPr>
        <w:t>pages</w:t>
      </w:r>
      <w:r>
        <w:rPr>
          <w:color w:val="231F20"/>
          <w:spacing w:val="8"/>
          <w:w w:val="105"/>
          <w:sz w:val="16"/>
        </w:rPr>
        <w:t xml:space="preserve"> </w:t>
      </w:r>
      <w:r>
        <w:rPr>
          <w:color w:val="231F20"/>
          <w:spacing w:val="-4"/>
          <w:w w:val="105"/>
          <w:sz w:val="16"/>
        </w:rPr>
        <w:t>183-85.</w:t>
      </w:r>
    </w:p>
    <w:p w14:paraId="5B4C3A70" w14:textId="77777777" w:rsidR="002653E8" w:rsidRPr="00C507A5" w:rsidRDefault="003115E3">
      <w:pPr>
        <w:pStyle w:val="a4"/>
        <w:numPr>
          <w:ilvl w:val="0"/>
          <w:numId w:val="138"/>
        </w:numPr>
        <w:tabs>
          <w:tab w:val="left" w:pos="1467"/>
        </w:tabs>
        <w:spacing w:before="52" w:line="254" w:lineRule="auto"/>
        <w:ind w:left="1327" w:right="2450" w:firstLine="0"/>
        <w:jc w:val="left"/>
        <w:rPr>
          <w:sz w:val="16"/>
          <w:lang w:val="de-DE"/>
        </w:rPr>
      </w:pPr>
      <w:r w:rsidRPr="00C507A5">
        <w:rPr>
          <w:i/>
          <w:color w:val="231F20"/>
          <w:spacing w:val="1"/>
          <w:w w:val="110"/>
          <w:sz w:val="16"/>
          <w:lang w:val="de-DE"/>
        </w:rPr>
        <w:t>Frankfurter</w:t>
      </w:r>
      <w:r w:rsidRPr="00C507A5">
        <w:rPr>
          <w:i/>
          <w:color w:val="231F20"/>
          <w:spacing w:val="-6"/>
          <w:w w:val="110"/>
          <w:sz w:val="16"/>
          <w:lang w:val="de-DE"/>
        </w:rPr>
        <w:t xml:space="preserve"> </w:t>
      </w:r>
      <w:r w:rsidRPr="00C507A5">
        <w:rPr>
          <w:i/>
          <w:color w:val="231F20"/>
          <w:spacing w:val="1"/>
          <w:w w:val="110"/>
          <w:sz w:val="16"/>
          <w:lang w:val="de-DE"/>
        </w:rPr>
        <w:t>Allgemeine</w:t>
      </w:r>
      <w:r w:rsidRPr="00C507A5">
        <w:rPr>
          <w:i/>
          <w:color w:val="231F20"/>
          <w:spacing w:val="-6"/>
          <w:w w:val="110"/>
          <w:sz w:val="16"/>
          <w:lang w:val="de-DE"/>
        </w:rPr>
        <w:t xml:space="preserve"> </w:t>
      </w:r>
      <w:r w:rsidRPr="00C507A5">
        <w:rPr>
          <w:i/>
          <w:color w:val="231F20"/>
          <w:spacing w:val="1"/>
          <w:w w:val="110"/>
          <w:sz w:val="16"/>
          <w:lang w:val="de-DE"/>
        </w:rPr>
        <w:t>Zeitung,</w:t>
      </w:r>
      <w:r w:rsidRPr="00C507A5">
        <w:rPr>
          <w:i/>
          <w:color w:val="231F20"/>
          <w:spacing w:val="-5"/>
          <w:w w:val="110"/>
          <w:sz w:val="16"/>
          <w:lang w:val="de-DE"/>
        </w:rPr>
        <w:t xml:space="preserve"> </w:t>
      </w:r>
      <w:r w:rsidRPr="00C507A5">
        <w:rPr>
          <w:color w:val="231F20"/>
          <w:w w:val="110"/>
          <w:sz w:val="16"/>
          <w:lang w:val="de-DE"/>
        </w:rPr>
        <w:t>“DKP</w:t>
      </w:r>
      <w:r w:rsidRPr="00C507A5">
        <w:rPr>
          <w:color w:val="231F20"/>
          <w:spacing w:val="-6"/>
          <w:w w:val="110"/>
          <w:sz w:val="16"/>
          <w:lang w:val="de-DE"/>
        </w:rPr>
        <w:t xml:space="preserve"> </w:t>
      </w:r>
      <w:r w:rsidRPr="00C507A5">
        <w:rPr>
          <w:color w:val="231F20"/>
          <w:w w:val="110"/>
          <w:sz w:val="16"/>
          <w:lang w:val="de-DE"/>
        </w:rPr>
        <w:t>verurteilt</w:t>
      </w:r>
      <w:r w:rsidRPr="00C507A5">
        <w:rPr>
          <w:color w:val="231F20"/>
          <w:spacing w:val="-6"/>
          <w:w w:val="110"/>
          <w:sz w:val="16"/>
          <w:lang w:val="de-DE"/>
        </w:rPr>
        <w:t xml:space="preserve"> </w:t>
      </w:r>
      <w:r w:rsidRPr="00C507A5">
        <w:rPr>
          <w:color w:val="231F20"/>
          <w:w w:val="110"/>
          <w:sz w:val="16"/>
          <w:lang w:val="de-DE"/>
        </w:rPr>
        <w:t>anarchistische Demonstrationen in Frankfurt,” May 26,</w:t>
      </w:r>
      <w:r w:rsidRPr="00C507A5">
        <w:rPr>
          <w:color w:val="231F20"/>
          <w:spacing w:val="26"/>
          <w:w w:val="110"/>
          <w:sz w:val="16"/>
          <w:lang w:val="de-DE"/>
        </w:rPr>
        <w:t xml:space="preserve"> </w:t>
      </w:r>
      <w:r w:rsidRPr="00C507A5">
        <w:rPr>
          <w:color w:val="231F20"/>
          <w:w w:val="110"/>
          <w:sz w:val="16"/>
          <w:lang w:val="de-DE"/>
        </w:rPr>
        <w:t>1972.</w:t>
      </w:r>
    </w:p>
    <w:p w14:paraId="166AD1C0" w14:textId="77777777" w:rsidR="002653E8" w:rsidRPr="00C507A5" w:rsidRDefault="003115E3">
      <w:pPr>
        <w:pStyle w:val="a4"/>
        <w:numPr>
          <w:ilvl w:val="0"/>
          <w:numId w:val="138"/>
        </w:numPr>
        <w:tabs>
          <w:tab w:val="left" w:pos="1467"/>
        </w:tabs>
        <w:spacing w:before="40" w:line="254" w:lineRule="auto"/>
        <w:ind w:left="1328" w:right="1657" w:firstLine="0"/>
        <w:jc w:val="left"/>
        <w:rPr>
          <w:sz w:val="16"/>
          <w:lang w:val="de-DE"/>
        </w:rPr>
      </w:pPr>
      <w:r w:rsidRPr="00C507A5">
        <w:rPr>
          <w:i/>
          <w:color w:val="231F20"/>
          <w:spacing w:val="1"/>
          <w:w w:val="110"/>
          <w:sz w:val="16"/>
          <w:lang w:val="de-DE"/>
        </w:rPr>
        <w:t>Frankfurter</w:t>
      </w:r>
      <w:r w:rsidRPr="00C507A5">
        <w:rPr>
          <w:i/>
          <w:color w:val="231F20"/>
          <w:spacing w:val="-7"/>
          <w:w w:val="110"/>
          <w:sz w:val="16"/>
          <w:lang w:val="de-DE"/>
        </w:rPr>
        <w:t xml:space="preserve"> </w:t>
      </w:r>
      <w:r w:rsidRPr="00C507A5">
        <w:rPr>
          <w:i/>
          <w:color w:val="231F20"/>
          <w:spacing w:val="1"/>
          <w:w w:val="110"/>
          <w:sz w:val="16"/>
          <w:lang w:val="de-DE"/>
        </w:rPr>
        <w:t>Allgemeine</w:t>
      </w:r>
      <w:r w:rsidRPr="00C507A5">
        <w:rPr>
          <w:i/>
          <w:color w:val="231F20"/>
          <w:spacing w:val="-7"/>
          <w:w w:val="110"/>
          <w:sz w:val="16"/>
          <w:lang w:val="de-DE"/>
        </w:rPr>
        <w:t xml:space="preserve"> </w:t>
      </w:r>
      <w:r w:rsidRPr="00C507A5">
        <w:rPr>
          <w:i/>
          <w:color w:val="231F20"/>
          <w:spacing w:val="1"/>
          <w:w w:val="110"/>
          <w:sz w:val="16"/>
          <w:lang w:val="de-DE"/>
        </w:rPr>
        <w:t>Zeitung,</w:t>
      </w:r>
      <w:r w:rsidRPr="00C507A5">
        <w:rPr>
          <w:i/>
          <w:color w:val="231F20"/>
          <w:spacing w:val="-7"/>
          <w:w w:val="110"/>
          <w:sz w:val="16"/>
          <w:lang w:val="de-DE"/>
        </w:rPr>
        <w:t xml:space="preserve"> </w:t>
      </w:r>
      <w:r w:rsidRPr="00C507A5">
        <w:rPr>
          <w:color w:val="231F20"/>
          <w:w w:val="110"/>
          <w:sz w:val="16"/>
          <w:lang w:val="de-DE"/>
        </w:rPr>
        <w:t>“Keine</w:t>
      </w:r>
      <w:r w:rsidRPr="00C507A5">
        <w:rPr>
          <w:color w:val="231F20"/>
          <w:spacing w:val="-7"/>
          <w:w w:val="110"/>
          <w:sz w:val="16"/>
          <w:lang w:val="de-DE"/>
        </w:rPr>
        <w:t xml:space="preserve"> </w:t>
      </w:r>
      <w:r w:rsidRPr="00C507A5">
        <w:rPr>
          <w:color w:val="231F20"/>
          <w:w w:val="110"/>
          <w:sz w:val="16"/>
          <w:lang w:val="de-DE"/>
        </w:rPr>
        <w:t>Solidarisierung</w:t>
      </w:r>
      <w:r w:rsidRPr="00C507A5">
        <w:rPr>
          <w:color w:val="231F20"/>
          <w:spacing w:val="-7"/>
          <w:w w:val="110"/>
          <w:sz w:val="16"/>
          <w:lang w:val="de-DE"/>
        </w:rPr>
        <w:t xml:space="preserve"> </w:t>
      </w:r>
      <w:r w:rsidRPr="00C507A5">
        <w:rPr>
          <w:color w:val="231F20"/>
          <w:w w:val="110"/>
          <w:sz w:val="16"/>
          <w:lang w:val="de-DE"/>
        </w:rPr>
        <w:t>mit</w:t>
      </w:r>
      <w:r w:rsidRPr="00C507A5">
        <w:rPr>
          <w:color w:val="231F20"/>
          <w:spacing w:val="-7"/>
          <w:w w:val="110"/>
          <w:sz w:val="16"/>
          <w:lang w:val="de-DE"/>
        </w:rPr>
        <w:t xml:space="preserve"> </w:t>
      </w:r>
      <w:r w:rsidRPr="00C507A5">
        <w:rPr>
          <w:color w:val="231F20"/>
          <w:w w:val="110"/>
          <w:sz w:val="16"/>
          <w:lang w:val="de-DE"/>
        </w:rPr>
        <w:t>Abenteurern,” May 29,</w:t>
      </w:r>
      <w:r w:rsidRPr="00C507A5">
        <w:rPr>
          <w:color w:val="231F20"/>
          <w:spacing w:val="11"/>
          <w:w w:val="110"/>
          <w:sz w:val="16"/>
          <w:lang w:val="de-DE"/>
        </w:rPr>
        <w:t xml:space="preserve"> </w:t>
      </w:r>
      <w:r w:rsidRPr="00C507A5">
        <w:rPr>
          <w:color w:val="231F20"/>
          <w:w w:val="110"/>
          <w:sz w:val="16"/>
          <w:lang w:val="de-DE"/>
        </w:rPr>
        <w:t>1972.</w:t>
      </w:r>
    </w:p>
    <w:p w14:paraId="1AFD7E48" w14:textId="77777777" w:rsidR="002653E8" w:rsidRDefault="003115E3">
      <w:pPr>
        <w:pStyle w:val="a4"/>
        <w:numPr>
          <w:ilvl w:val="0"/>
          <w:numId w:val="138"/>
        </w:numPr>
        <w:tabs>
          <w:tab w:val="left" w:pos="1467"/>
        </w:tabs>
        <w:spacing w:line="254" w:lineRule="auto"/>
        <w:ind w:left="1328" w:right="1572" w:firstLine="0"/>
        <w:jc w:val="left"/>
        <w:rPr>
          <w:sz w:val="16"/>
        </w:rPr>
      </w:pPr>
      <w:r>
        <w:rPr>
          <w:color w:val="231F20"/>
          <w:w w:val="105"/>
          <w:sz w:val="16"/>
        </w:rPr>
        <w:t xml:space="preserve">Dan Synovec, “Terrorists: odd solidarity prompts aid to the Baader-Meinhof gang,” </w:t>
      </w:r>
      <w:r>
        <w:rPr>
          <w:i/>
          <w:color w:val="231F20"/>
          <w:w w:val="105"/>
          <w:sz w:val="16"/>
        </w:rPr>
        <w:t xml:space="preserve">European Stars </w:t>
      </w:r>
      <w:r>
        <w:rPr>
          <w:i/>
          <w:color w:val="231F20"/>
          <w:spacing w:val="1"/>
          <w:w w:val="105"/>
          <w:sz w:val="16"/>
        </w:rPr>
        <w:t xml:space="preserve">and </w:t>
      </w:r>
      <w:r>
        <w:rPr>
          <w:i/>
          <w:color w:val="231F20"/>
          <w:w w:val="105"/>
          <w:sz w:val="16"/>
        </w:rPr>
        <w:t xml:space="preserve">Stripes, </w:t>
      </w:r>
      <w:r>
        <w:rPr>
          <w:color w:val="231F20"/>
          <w:w w:val="105"/>
          <w:sz w:val="16"/>
        </w:rPr>
        <w:t>June 3, 1972.</w:t>
      </w:r>
    </w:p>
    <w:p w14:paraId="09E2473B" w14:textId="77777777" w:rsidR="002653E8" w:rsidRDefault="002653E8">
      <w:pPr>
        <w:spacing w:line="254" w:lineRule="auto"/>
        <w:rPr>
          <w:sz w:val="16"/>
        </w:rPr>
        <w:sectPr w:rsidR="002653E8">
          <w:pgSz w:w="8640" w:h="12960"/>
          <w:pgMar w:top="1060" w:right="0" w:bottom="1040" w:left="0" w:header="0" w:footer="850" w:gutter="0"/>
          <w:cols w:space="720"/>
        </w:sectPr>
      </w:pPr>
    </w:p>
    <w:p w14:paraId="48D36951" w14:textId="77777777" w:rsidR="002653E8" w:rsidRDefault="003115E3">
      <w:pPr>
        <w:pStyle w:val="a3"/>
        <w:spacing w:before="86" w:line="264" w:lineRule="auto"/>
        <w:ind w:left="1147" w:right="1325"/>
        <w:jc w:val="both"/>
        <w:rPr>
          <w:sz w:val="11"/>
        </w:rPr>
      </w:pPr>
      <w:r>
        <w:rPr>
          <w:color w:val="231F20"/>
        </w:rPr>
        <w:lastRenderedPageBreak/>
        <w:t>identification</w:t>
      </w:r>
      <w:r>
        <w:rPr>
          <w:color w:val="231F20"/>
          <w:spacing w:val="-7"/>
        </w:rPr>
        <w:t xml:space="preserve"> </w:t>
      </w:r>
      <w:r>
        <w:rPr>
          <w:color w:val="231F20"/>
        </w:rPr>
        <w:t>with</w:t>
      </w:r>
      <w:r>
        <w:rPr>
          <w:color w:val="231F20"/>
          <w:spacing w:val="-7"/>
        </w:rPr>
        <w:t xml:space="preserve"> </w:t>
      </w:r>
      <w:r>
        <w:rPr>
          <w:color w:val="231F20"/>
        </w:rPr>
        <w:t>the</w:t>
      </w:r>
      <w:r>
        <w:rPr>
          <w:color w:val="231F20"/>
          <w:spacing w:val="-7"/>
        </w:rPr>
        <w:t xml:space="preserve"> </w:t>
      </w:r>
      <w:r>
        <w:rPr>
          <w:color w:val="231F20"/>
        </w:rPr>
        <w:t>guerilla,</w:t>
      </w:r>
      <w:r>
        <w:rPr>
          <w:color w:val="231F20"/>
          <w:spacing w:val="-7"/>
        </w:rPr>
        <w:t xml:space="preserve"> </w:t>
      </w:r>
      <w:r>
        <w:rPr>
          <w:color w:val="231F20"/>
        </w:rPr>
        <w:t>while</w:t>
      </w:r>
      <w:r>
        <w:rPr>
          <w:color w:val="231F20"/>
          <w:spacing w:val="-7"/>
        </w:rPr>
        <w:t xml:space="preserve"> </w:t>
      </w:r>
      <w:r>
        <w:rPr>
          <w:color w:val="231F20"/>
        </w:rPr>
        <w:t>legitimizing</w:t>
      </w:r>
      <w:r>
        <w:rPr>
          <w:color w:val="231F20"/>
          <w:spacing w:val="-7"/>
        </w:rPr>
        <w:t xml:space="preserve"> </w:t>
      </w:r>
      <w:r>
        <w:rPr>
          <w:color w:val="231F20"/>
        </w:rPr>
        <w:t>the</w:t>
      </w:r>
      <w:r>
        <w:rPr>
          <w:color w:val="231F20"/>
          <w:spacing w:val="-7"/>
        </w:rPr>
        <w:t xml:space="preserve"> </w:t>
      </w:r>
      <w:r>
        <w:rPr>
          <w:color w:val="231F20"/>
        </w:rPr>
        <w:t>state’s</w:t>
      </w:r>
      <w:r>
        <w:rPr>
          <w:color w:val="231F20"/>
          <w:spacing w:val="-7"/>
        </w:rPr>
        <w:t xml:space="preserve"> </w:t>
      </w:r>
      <w:r>
        <w:rPr>
          <w:color w:val="231F20"/>
        </w:rPr>
        <w:t>own</w:t>
      </w:r>
      <w:r>
        <w:rPr>
          <w:color w:val="231F20"/>
          <w:spacing w:val="-7"/>
        </w:rPr>
        <w:t xml:space="preserve"> </w:t>
      </w:r>
      <w:r>
        <w:rPr>
          <w:color w:val="231F20"/>
        </w:rPr>
        <w:t xml:space="preserve">repressive response. As an example of this, in the midst of the May Offensive, communiqués attributed to the </w:t>
      </w:r>
      <w:r w:rsidR="00C507A5">
        <w:rPr>
          <w:color w:val="231F20"/>
        </w:rPr>
        <w:t>red army faction</w:t>
      </w:r>
      <w:r>
        <w:rPr>
          <w:color w:val="231F20"/>
        </w:rPr>
        <w:t xml:space="preserve">, but most likely penned by the secret services or police, were received claiming that on June 2 (the anniversary of Benno Ohnesorg’s murder) three car bombs would be set off in random locations in Stuttgart </w:t>
      </w:r>
      <w:r>
        <w:rPr>
          <w:color w:val="231F20"/>
          <w:spacing w:val="-3"/>
        </w:rPr>
        <w:t xml:space="preserve">“as </w:t>
      </w:r>
      <w:r>
        <w:rPr>
          <w:color w:val="231F20"/>
        </w:rPr>
        <w:t xml:space="preserve">a reminder of the bombing war of the </w:t>
      </w:r>
      <w:r>
        <w:rPr>
          <w:color w:val="231F20"/>
          <w:spacing w:val="1"/>
        </w:rPr>
        <w:t xml:space="preserve">U.S. </w:t>
      </w:r>
      <w:r>
        <w:rPr>
          <w:color w:val="231F20"/>
        </w:rPr>
        <w:t>imperialists in</w:t>
      </w:r>
      <w:r>
        <w:rPr>
          <w:color w:val="231F20"/>
          <w:spacing w:val="17"/>
        </w:rPr>
        <w:t xml:space="preserve"> </w:t>
      </w:r>
      <w:r>
        <w:rPr>
          <w:color w:val="231F20"/>
        </w:rPr>
        <w:t>Vietnam.”</w:t>
      </w:r>
      <w:r>
        <w:rPr>
          <w:color w:val="231F20"/>
          <w:position w:val="7"/>
          <w:sz w:val="11"/>
        </w:rPr>
        <w:t>1</w:t>
      </w:r>
    </w:p>
    <w:p w14:paraId="717C1BD1" w14:textId="77777777" w:rsidR="002653E8" w:rsidRDefault="003115E3">
      <w:pPr>
        <w:pStyle w:val="a3"/>
        <w:spacing w:line="264" w:lineRule="auto"/>
        <w:ind w:left="1147" w:right="1326" w:firstLine="210"/>
        <w:jc w:val="both"/>
        <w:rPr>
          <w:sz w:val="11"/>
        </w:rPr>
      </w:pPr>
      <w:r>
        <w:rPr>
          <w:color w:val="231F20"/>
        </w:rPr>
        <w:t xml:space="preserve">The </w:t>
      </w:r>
      <w:r w:rsidR="00C507A5">
        <w:rPr>
          <w:color w:val="231F20"/>
          <w:spacing w:val="5"/>
        </w:rPr>
        <w:t>red army faction</w:t>
      </w:r>
      <w:r>
        <w:rPr>
          <w:color w:val="231F20"/>
          <w:spacing w:val="5"/>
        </w:rPr>
        <w:t xml:space="preserve"> </w:t>
      </w:r>
      <w:r>
        <w:rPr>
          <w:color w:val="231F20"/>
        </w:rPr>
        <w:t>promptly issued its own communiqué repudiating this as     a false flag provocation.</w:t>
      </w:r>
      <w:r>
        <w:rPr>
          <w:color w:val="231F20"/>
          <w:position w:val="7"/>
          <w:sz w:val="11"/>
        </w:rPr>
        <w:t xml:space="preserve">2 </w:t>
      </w:r>
      <w:r>
        <w:rPr>
          <w:color w:val="231F20"/>
        </w:rPr>
        <w:t xml:space="preserve">Nevertheless, this denial was largely ignored, and on the day in question, “Stuttgart presented the appearance of a beleaguered </w:t>
      </w:r>
      <w:r>
        <w:rPr>
          <w:color w:val="231F20"/>
          <w:spacing w:val="-3"/>
        </w:rPr>
        <w:t xml:space="preserve">city. </w:t>
      </w:r>
      <w:r>
        <w:rPr>
          <w:color w:val="231F20"/>
        </w:rPr>
        <w:t>Thousands of police checked all access roads, vehicles and ‘suspicious</w:t>
      </w:r>
      <w:r>
        <w:rPr>
          <w:color w:val="231F20"/>
          <w:spacing w:val="21"/>
        </w:rPr>
        <w:t xml:space="preserve"> </w:t>
      </w:r>
      <w:r>
        <w:rPr>
          <w:color w:val="231F20"/>
        </w:rPr>
        <w:t>persons.’”</w:t>
      </w:r>
      <w:r>
        <w:rPr>
          <w:color w:val="231F20"/>
          <w:position w:val="7"/>
          <w:sz w:val="11"/>
        </w:rPr>
        <w:t>3</w:t>
      </w:r>
    </w:p>
    <w:p w14:paraId="4144277F" w14:textId="77777777" w:rsidR="002653E8" w:rsidRDefault="003115E3">
      <w:pPr>
        <w:pStyle w:val="a3"/>
        <w:spacing w:line="264" w:lineRule="auto"/>
        <w:ind w:left="1147" w:right="1326" w:firstLine="210"/>
        <w:jc w:val="both"/>
      </w:pPr>
      <w:r>
        <w:rPr>
          <w:color w:val="231F20"/>
        </w:rPr>
        <w:t xml:space="preserve">One hundred and </w:t>
      </w:r>
      <w:r>
        <w:rPr>
          <w:color w:val="231F20"/>
          <w:spacing w:val="2"/>
        </w:rPr>
        <w:t xml:space="preserve">thirty </w:t>
      </w:r>
      <w:r>
        <w:rPr>
          <w:color w:val="231F20"/>
        </w:rPr>
        <w:t xml:space="preserve">thousand cops were mobilized, supported by both </w:t>
      </w:r>
      <w:r>
        <w:rPr>
          <w:color w:val="231F20"/>
          <w:spacing w:val="-3"/>
        </w:rPr>
        <w:t xml:space="preserve">West  </w:t>
      </w:r>
      <w:r>
        <w:rPr>
          <w:color w:val="231F20"/>
        </w:rPr>
        <w:t xml:space="preserve">German and </w:t>
      </w:r>
      <w:r>
        <w:rPr>
          <w:color w:val="231F20"/>
          <w:spacing w:val="1"/>
        </w:rPr>
        <w:t xml:space="preserve">U.S. </w:t>
      </w:r>
      <w:r>
        <w:rPr>
          <w:color w:val="231F20"/>
        </w:rPr>
        <w:t>intelligence units, in a determined effort     to hunt down the guerilla. A $59,000 reward was offered for their capture, and Chancellor Willy Brandt warned the public that any solidar ity shown would be treated as criminal complicity.</w:t>
      </w:r>
      <w:r>
        <w:rPr>
          <w:color w:val="231F20"/>
          <w:position w:val="7"/>
          <w:sz w:val="11"/>
        </w:rPr>
        <w:t xml:space="preserve">4 </w:t>
      </w:r>
      <w:r>
        <w:rPr>
          <w:color w:val="231F20"/>
        </w:rPr>
        <w:t>At the same time, Genscher announced that supporters could hope for light sentences if they turned themselves in and helped in the hunt;</w:t>
      </w:r>
      <w:r>
        <w:rPr>
          <w:color w:val="231F20"/>
          <w:position w:val="7"/>
          <w:sz w:val="11"/>
        </w:rPr>
        <w:t xml:space="preserve">5 </w:t>
      </w:r>
      <w:r>
        <w:rPr>
          <w:color w:val="231F20"/>
        </w:rPr>
        <w:t>there do not seem to have been any</w:t>
      </w:r>
      <w:r>
        <w:rPr>
          <w:color w:val="231F20"/>
          <w:spacing w:val="31"/>
        </w:rPr>
        <w:t xml:space="preserve"> </w:t>
      </w:r>
      <w:r>
        <w:rPr>
          <w:color w:val="231F20"/>
        </w:rPr>
        <w:t>takers.</w:t>
      </w:r>
    </w:p>
    <w:p w14:paraId="6EAC15AA" w14:textId="77777777" w:rsidR="002653E8" w:rsidRDefault="003115E3">
      <w:pPr>
        <w:pStyle w:val="a3"/>
        <w:spacing w:line="226" w:lineRule="exact"/>
        <w:ind w:left="1357"/>
      </w:pPr>
      <w:r>
        <w:rPr>
          <w:color w:val="231F20"/>
        </w:rPr>
        <w:t>Nevertheless, the wave of arrests was not long in coming.</w:t>
      </w:r>
    </w:p>
    <w:p w14:paraId="5AC8157D" w14:textId="77777777" w:rsidR="002653E8" w:rsidRDefault="003115E3">
      <w:pPr>
        <w:pStyle w:val="a3"/>
        <w:spacing w:before="10" w:line="264" w:lineRule="auto"/>
        <w:ind w:left="1147" w:right="1326" w:firstLine="210"/>
        <w:jc w:val="both"/>
      </w:pPr>
      <w:r>
        <w:rPr>
          <w:color w:val="231F20"/>
        </w:rPr>
        <w:t xml:space="preserve">On June 1, </w:t>
      </w:r>
      <w:r w:rsidR="00C507A5">
        <w:rPr>
          <w:color w:val="231F20"/>
          <w:spacing w:val="5"/>
        </w:rPr>
        <w:t>red army faction</w:t>
      </w:r>
      <w:r>
        <w:rPr>
          <w:color w:val="231F20"/>
          <w:spacing w:val="5"/>
        </w:rPr>
        <w:t xml:space="preserve"> </w:t>
      </w:r>
      <w:r>
        <w:rPr>
          <w:color w:val="231F20"/>
        </w:rPr>
        <w:t>members Holger Meins,  Jan-Carl  Raspe,  and  Andreas Baader were cornered as they arrived at a safehouse in Munich that had been identified by police. Raspe tried to make a run for it, but was quickly apprehended. Meins gave himself up, following police orders</w:t>
      </w:r>
      <w:r>
        <w:rPr>
          <w:color w:val="231F20"/>
          <w:spacing w:val="8"/>
        </w:rPr>
        <w:t xml:space="preserve"> </w:t>
      </w:r>
      <w:r>
        <w:rPr>
          <w:color w:val="231F20"/>
        </w:rPr>
        <w:t>to</w:t>
      </w:r>
      <w:r>
        <w:rPr>
          <w:color w:val="231F20"/>
          <w:spacing w:val="8"/>
        </w:rPr>
        <w:t xml:space="preserve"> </w:t>
      </w:r>
      <w:r>
        <w:rPr>
          <w:color w:val="231F20"/>
        </w:rPr>
        <w:t>strip</w:t>
      </w:r>
      <w:r>
        <w:rPr>
          <w:color w:val="231F20"/>
          <w:spacing w:val="8"/>
        </w:rPr>
        <w:t xml:space="preserve"> </w:t>
      </w:r>
      <w:r>
        <w:rPr>
          <w:color w:val="231F20"/>
        </w:rPr>
        <w:t>down</w:t>
      </w:r>
      <w:r>
        <w:rPr>
          <w:color w:val="231F20"/>
          <w:spacing w:val="8"/>
        </w:rPr>
        <w:t xml:space="preserve"> </w:t>
      </w:r>
      <w:r>
        <w:rPr>
          <w:color w:val="231F20"/>
        </w:rPr>
        <w:t>to</w:t>
      </w:r>
      <w:r>
        <w:rPr>
          <w:color w:val="231F20"/>
          <w:spacing w:val="8"/>
        </w:rPr>
        <w:t xml:space="preserve"> </w:t>
      </w:r>
      <w:r>
        <w:rPr>
          <w:color w:val="231F20"/>
        </w:rPr>
        <w:t>his</w:t>
      </w:r>
      <w:r>
        <w:rPr>
          <w:color w:val="231F20"/>
          <w:spacing w:val="8"/>
        </w:rPr>
        <w:t xml:space="preserve"> </w:t>
      </w:r>
      <w:r>
        <w:rPr>
          <w:color w:val="231F20"/>
        </w:rPr>
        <w:t>underwear</w:t>
      </w:r>
      <w:r>
        <w:rPr>
          <w:color w:val="231F20"/>
          <w:spacing w:val="8"/>
        </w:rPr>
        <w:t xml:space="preserve"> </w:t>
      </w:r>
      <w:r>
        <w:rPr>
          <w:color w:val="231F20"/>
        </w:rPr>
        <w:t>before</w:t>
      </w:r>
      <w:r>
        <w:rPr>
          <w:color w:val="231F20"/>
          <w:spacing w:val="8"/>
        </w:rPr>
        <w:t xml:space="preserve"> </w:t>
      </w:r>
      <w:r>
        <w:rPr>
          <w:color w:val="231F20"/>
        </w:rPr>
        <w:t>he</w:t>
      </w:r>
      <w:r>
        <w:rPr>
          <w:color w:val="231F20"/>
          <w:spacing w:val="8"/>
        </w:rPr>
        <w:t xml:space="preserve"> </w:t>
      </w:r>
      <w:r>
        <w:rPr>
          <w:color w:val="231F20"/>
        </w:rPr>
        <w:t>did</w:t>
      </w:r>
      <w:r>
        <w:rPr>
          <w:color w:val="231F20"/>
          <w:spacing w:val="8"/>
        </w:rPr>
        <w:t xml:space="preserve"> </w:t>
      </w:r>
      <w:r>
        <w:rPr>
          <w:color w:val="231F20"/>
        </w:rPr>
        <w:t>so.</w:t>
      </w:r>
    </w:p>
    <w:p w14:paraId="48ED4AA1" w14:textId="77777777" w:rsidR="002653E8" w:rsidRDefault="003115E3">
      <w:pPr>
        <w:pStyle w:val="a3"/>
        <w:spacing w:line="264" w:lineRule="auto"/>
        <w:ind w:left="1147" w:right="1326" w:firstLine="210"/>
        <w:jc w:val="both"/>
      </w:pPr>
      <w:r>
        <w:rPr>
          <w:color w:val="231F20"/>
        </w:rPr>
        <w:t>Three hundred cops surrounded the warehouse where Baader was holed up, and eventually an armored vehicle tried to enter the building; Baader shot out its wheels. At that point, a sniper took aim and shot the eponymous guerilla fighter in the leg and the police moved in quickly to take him into custody.</w:t>
      </w:r>
    </w:p>
    <w:p w14:paraId="5254E3BF" w14:textId="77777777" w:rsidR="002653E8" w:rsidRDefault="00000000">
      <w:pPr>
        <w:pStyle w:val="a3"/>
        <w:spacing w:before="4"/>
        <w:rPr>
          <w:sz w:val="18"/>
        </w:rPr>
      </w:pPr>
      <w:r>
        <w:rPr>
          <w:noProof w:val="0"/>
        </w:rPr>
        <w:pict w14:anchorId="12D87883">
          <v:line id="_x0000_s2508" style="position:absolute;z-index:4912;mso-wrap-distance-left:0;mso-wrap-distance-right:0;mso-position-horizontal-relative:page" from="57.4pt,13pt" to="129.4pt,13pt" strokecolor="#231f20" strokeweight=".5pt">
            <w10:wrap type="topAndBottom" anchorx="page"/>
          </v:line>
        </w:pict>
      </w:r>
    </w:p>
    <w:p w14:paraId="1DB1E763" w14:textId="77777777" w:rsidR="002653E8" w:rsidRDefault="003115E3">
      <w:pPr>
        <w:pStyle w:val="a4"/>
        <w:numPr>
          <w:ilvl w:val="0"/>
          <w:numId w:val="137"/>
        </w:numPr>
        <w:tabs>
          <w:tab w:val="left" w:pos="1287"/>
        </w:tabs>
        <w:spacing w:before="53"/>
        <w:ind w:firstLine="0"/>
        <w:rPr>
          <w:sz w:val="16"/>
        </w:rPr>
      </w:pPr>
      <w:r>
        <w:rPr>
          <w:color w:val="231F20"/>
          <w:w w:val="105"/>
          <w:sz w:val="16"/>
        </w:rPr>
        <w:t>Associated</w:t>
      </w:r>
      <w:r>
        <w:rPr>
          <w:color w:val="231F20"/>
          <w:spacing w:val="8"/>
          <w:w w:val="105"/>
          <w:sz w:val="16"/>
        </w:rPr>
        <w:t xml:space="preserve"> </w:t>
      </w:r>
      <w:r>
        <w:rPr>
          <w:color w:val="231F20"/>
          <w:w w:val="105"/>
          <w:sz w:val="16"/>
        </w:rPr>
        <w:t>Press,</w:t>
      </w:r>
      <w:r>
        <w:rPr>
          <w:color w:val="231F20"/>
          <w:spacing w:val="8"/>
          <w:w w:val="105"/>
          <w:sz w:val="16"/>
        </w:rPr>
        <w:t xml:space="preserve"> </w:t>
      </w:r>
      <w:r>
        <w:rPr>
          <w:color w:val="231F20"/>
          <w:w w:val="105"/>
          <w:sz w:val="16"/>
        </w:rPr>
        <w:t>“Bombers</w:t>
      </w:r>
      <w:r>
        <w:rPr>
          <w:color w:val="231F20"/>
          <w:spacing w:val="8"/>
          <w:w w:val="105"/>
          <w:sz w:val="16"/>
        </w:rPr>
        <w:t xml:space="preserve"> </w:t>
      </w:r>
      <w:r>
        <w:rPr>
          <w:color w:val="231F20"/>
          <w:w w:val="105"/>
          <w:sz w:val="16"/>
        </w:rPr>
        <w:t>Threaten</w:t>
      </w:r>
      <w:r>
        <w:rPr>
          <w:color w:val="231F20"/>
          <w:spacing w:val="10"/>
          <w:w w:val="105"/>
          <w:sz w:val="16"/>
        </w:rPr>
        <w:t xml:space="preserve"> </w:t>
      </w:r>
      <w:r>
        <w:rPr>
          <w:color w:val="231F20"/>
          <w:w w:val="105"/>
          <w:sz w:val="16"/>
        </w:rPr>
        <w:t>3</w:t>
      </w:r>
      <w:r>
        <w:rPr>
          <w:color w:val="231F20"/>
          <w:spacing w:val="8"/>
          <w:w w:val="105"/>
          <w:sz w:val="16"/>
        </w:rPr>
        <w:t xml:space="preserve"> </w:t>
      </w:r>
      <w:r>
        <w:rPr>
          <w:color w:val="231F20"/>
          <w:w w:val="105"/>
          <w:sz w:val="16"/>
        </w:rPr>
        <w:t>Blasts</w:t>
      </w:r>
      <w:r>
        <w:rPr>
          <w:color w:val="231F20"/>
          <w:spacing w:val="8"/>
          <w:w w:val="105"/>
          <w:sz w:val="16"/>
        </w:rPr>
        <w:t xml:space="preserve"> </w:t>
      </w:r>
      <w:r>
        <w:rPr>
          <w:color w:val="231F20"/>
          <w:w w:val="105"/>
          <w:sz w:val="16"/>
        </w:rPr>
        <w:t>Friday</w:t>
      </w:r>
      <w:r>
        <w:rPr>
          <w:color w:val="231F20"/>
          <w:spacing w:val="8"/>
          <w:w w:val="105"/>
          <w:sz w:val="16"/>
        </w:rPr>
        <w:t xml:space="preserve"> </w:t>
      </w:r>
      <w:r>
        <w:rPr>
          <w:color w:val="231F20"/>
          <w:w w:val="105"/>
          <w:sz w:val="16"/>
        </w:rPr>
        <w:t>in</w:t>
      </w:r>
      <w:r>
        <w:rPr>
          <w:color w:val="231F20"/>
          <w:spacing w:val="8"/>
          <w:w w:val="105"/>
          <w:sz w:val="16"/>
        </w:rPr>
        <w:t xml:space="preserve"> </w:t>
      </w:r>
      <w:r>
        <w:rPr>
          <w:color w:val="231F20"/>
          <w:spacing w:val="1"/>
          <w:w w:val="105"/>
          <w:sz w:val="16"/>
        </w:rPr>
        <w:t>Stuttgart</w:t>
      </w:r>
      <w:r>
        <w:rPr>
          <w:color w:val="231F20"/>
          <w:spacing w:val="8"/>
          <w:w w:val="105"/>
          <w:sz w:val="16"/>
        </w:rPr>
        <w:t xml:space="preserve"> </w:t>
      </w:r>
      <w:r>
        <w:rPr>
          <w:color w:val="231F20"/>
          <w:w w:val="105"/>
          <w:sz w:val="16"/>
        </w:rPr>
        <w:t>Area,”</w:t>
      </w:r>
    </w:p>
    <w:p w14:paraId="4D068201" w14:textId="77777777" w:rsidR="002653E8" w:rsidRDefault="003115E3">
      <w:pPr>
        <w:spacing w:before="11"/>
        <w:ind w:left="1147"/>
        <w:rPr>
          <w:sz w:val="16"/>
        </w:rPr>
      </w:pPr>
      <w:r>
        <w:rPr>
          <w:i/>
          <w:color w:val="231F20"/>
          <w:w w:val="110"/>
          <w:sz w:val="16"/>
        </w:rPr>
        <w:t xml:space="preserve">European Stars and Stripes, </w:t>
      </w:r>
      <w:r>
        <w:rPr>
          <w:color w:val="231F20"/>
          <w:w w:val="110"/>
          <w:sz w:val="16"/>
        </w:rPr>
        <w:t>May 29, 1972.</w:t>
      </w:r>
    </w:p>
    <w:p w14:paraId="0DB62D51" w14:textId="77777777" w:rsidR="002653E8" w:rsidRDefault="003115E3">
      <w:pPr>
        <w:pStyle w:val="a4"/>
        <w:numPr>
          <w:ilvl w:val="0"/>
          <w:numId w:val="137"/>
        </w:numPr>
        <w:tabs>
          <w:tab w:val="left" w:pos="1287"/>
        </w:tabs>
        <w:spacing w:before="52" w:line="254" w:lineRule="auto"/>
        <w:ind w:right="1531" w:firstLine="0"/>
        <w:rPr>
          <w:sz w:val="16"/>
        </w:rPr>
      </w:pPr>
      <w:r>
        <w:rPr>
          <w:color w:val="231F20"/>
          <w:w w:val="105"/>
          <w:sz w:val="16"/>
        </w:rPr>
        <w:t xml:space="preserve">Regarding the Fascist Bomb Threats Against </w:t>
      </w:r>
      <w:r>
        <w:rPr>
          <w:color w:val="231F20"/>
          <w:spacing w:val="1"/>
          <w:w w:val="105"/>
          <w:sz w:val="16"/>
        </w:rPr>
        <w:t xml:space="preserve">Stuttgart, </w:t>
      </w:r>
      <w:r>
        <w:rPr>
          <w:color w:val="231F20"/>
          <w:w w:val="105"/>
          <w:sz w:val="16"/>
        </w:rPr>
        <w:t>reprinted in this volume on pages</w:t>
      </w:r>
      <w:r>
        <w:rPr>
          <w:color w:val="231F20"/>
          <w:spacing w:val="16"/>
          <w:w w:val="105"/>
          <w:sz w:val="16"/>
        </w:rPr>
        <w:t xml:space="preserve"> </w:t>
      </w:r>
      <w:r>
        <w:rPr>
          <w:color w:val="231F20"/>
          <w:spacing w:val="-4"/>
          <w:w w:val="105"/>
          <w:sz w:val="16"/>
        </w:rPr>
        <w:t>181-82.</w:t>
      </w:r>
    </w:p>
    <w:p w14:paraId="20F544CF" w14:textId="77777777" w:rsidR="002653E8" w:rsidRDefault="003115E3">
      <w:pPr>
        <w:pStyle w:val="a4"/>
        <w:numPr>
          <w:ilvl w:val="0"/>
          <w:numId w:val="137"/>
        </w:numPr>
        <w:tabs>
          <w:tab w:val="left" w:pos="1287"/>
        </w:tabs>
        <w:ind w:left="1286"/>
        <w:rPr>
          <w:sz w:val="16"/>
        </w:rPr>
      </w:pPr>
      <w:r>
        <w:rPr>
          <w:color w:val="231F20"/>
          <w:w w:val="115"/>
          <w:sz w:val="16"/>
        </w:rPr>
        <w:t>Cobler,</w:t>
      </w:r>
      <w:r>
        <w:rPr>
          <w:color w:val="231F20"/>
          <w:spacing w:val="3"/>
          <w:w w:val="115"/>
          <w:sz w:val="16"/>
        </w:rPr>
        <w:t xml:space="preserve"> </w:t>
      </w:r>
      <w:r>
        <w:rPr>
          <w:color w:val="231F20"/>
          <w:spacing w:val="-3"/>
          <w:w w:val="115"/>
          <w:sz w:val="16"/>
        </w:rPr>
        <w:t>169.</w:t>
      </w:r>
    </w:p>
    <w:p w14:paraId="7C5D7E81" w14:textId="77777777" w:rsidR="002653E8" w:rsidRDefault="003115E3">
      <w:pPr>
        <w:pStyle w:val="a4"/>
        <w:numPr>
          <w:ilvl w:val="0"/>
          <w:numId w:val="137"/>
        </w:numPr>
        <w:tabs>
          <w:tab w:val="left" w:pos="1287"/>
        </w:tabs>
        <w:spacing w:before="51"/>
        <w:ind w:left="1286"/>
        <w:rPr>
          <w:i/>
          <w:sz w:val="16"/>
        </w:rPr>
      </w:pPr>
      <w:r>
        <w:rPr>
          <w:color w:val="231F20"/>
          <w:w w:val="110"/>
          <w:sz w:val="16"/>
        </w:rPr>
        <w:t xml:space="preserve">Dan Synovec, “Anarchist gang blamed,” </w:t>
      </w:r>
      <w:r>
        <w:rPr>
          <w:i/>
          <w:color w:val="231F20"/>
          <w:w w:val="110"/>
          <w:sz w:val="16"/>
        </w:rPr>
        <w:t xml:space="preserve">European Stars </w:t>
      </w:r>
      <w:r>
        <w:rPr>
          <w:i/>
          <w:color w:val="231F20"/>
          <w:spacing w:val="1"/>
          <w:w w:val="110"/>
          <w:sz w:val="16"/>
        </w:rPr>
        <w:t>and</w:t>
      </w:r>
      <w:r>
        <w:rPr>
          <w:i/>
          <w:color w:val="231F20"/>
          <w:spacing w:val="6"/>
          <w:w w:val="110"/>
          <w:sz w:val="16"/>
        </w:rPr>
        <w:t xml:space="preserve"> </w:t>
      </w:r>
      <w:r>
        <w:rPr>
          <w:i/>
          <w:color w:val="231F20"/>
          <w:w w:val="110"/>
          <w:sz w:val="16"/>
        </w:rPr>
        <w:t>Stripes,</w:t>
      </w:r>
    </w:p>
    <w:p w14:paraId="29CB1BBE" w14:textId="77777777" w:rsidR="002653E8" w:rsidRDefault="003115E3">
      <w:pPr>
        <w:spacing w:before="12"/>
        <w:ind w:left="1147"/>
        <w:rPr>
          <w:sz w:val="16"/>
        </w:rPr>
      </w:pPr>
      <w:r>
        <w:rPr>
          <w:color w:val="231F20"/>
          <w:w w:val="115"/>
          <w:sz w:val="16"/>
        </w:rPr>
        <w:t>May 27, 1972.</w:t>
      </w:r>
    </w:p>
    <w:p w14:paraId="6FF40BAE" w14:textId="77777777" w:rsidR="002653E8" w:rsidRPr="00C507A5" w:rsidRDefault="003115E3">
      <w:pPr>
        <w:pStyle w:val="a4"/>
        <w:numPr>
          <w:ilvl w:val="0"/>
          <w:numId w:val="137"/>
        </w:numPr>
        <w:tabs>
          <w:tab w:val="left" w:pos="1287"/>
        </w:tabs>
        <w:spacing w:before="52" w:line="254" w:lineRule="auto"/>
        <w:ind w:right="1446" w:firstLine="0"/>
        <w:rPr>
          <w:sz w:val="16"/>
          <w:lang w:val="de-DE"/>
        </w:rPr>
      </w:pPr>
      <w:r w:rsidRPr="00C507A5">
        <w:rPr>
          <w:color w:val="231F20"/>
          <w:w w:val="110"/>
          <w:sz w:val="16"/>
          <w:lang w:val="de-DE"/>
        </w:rPr>
        <w:t>“Bescheidene</w:t>
      </w:r>
      <w:r w:rsidRPr="00C507A5">
        <w:rPr>
          <w:color w:val="231F20"/>
          <w:spacing w:val="-16"/>
          <w:w w:val="110"/>
          <w:sz w:val="16"/>
          <w:lang w:val="de-DE"/>
        </w:rPr>
        <w:t xml:space="preserve"> </w:t>
      </w:r>
      <w:r w:rsidRPr="00C507A5">
        <w:rPr>
          <w:color w:val="231F20"/>
          <w:w w:val="110"/>
          <w:sz w:val="16"/>
          <w:lang w:val="de-DE"/>
        </w:rPr>
        <w:t>Mitgleiderzahlen</w:t>
      </w:r>
      <w:r w:rsidRPr="00C507A5">
        <w:rPr>
          <w:color w:val="231F20"/>
          <w:spacing w:val="-16"/>
          <w:w w:val="110"/>
          <w:sz w:val="16"/>
          <w:lang w:val="de-DE"/>
        </w:rPr>
        <w:t xml:space="preserve"> </w:t>
      </w:r>
      <w:r w:rsidRPr="00C507A5">
        <w:rPr>
          <w:color w:val="231F20"/>
          <w:w w:val="110"/>
          <w:sz w:val="16"/>
          <w:lang w:val="de-DE"/>
        </w:rPr>
        <w:t>radikaler</w:t>
      </w:r>
      <w:r w:rsidRPr="00C507A5">
        <w:rPr>
          <w:color w:val="231F20"/>
          <w:spacing w:val="-16"/>
          <w:w w:val="110"/>
          <w:sz w:val="16"/>
          <w:lang w:val="de-DE"/>
        </w:rPr>
        <w:t xml:space="preserve"> </w:t>
      </w:r>
      <w:r w:rsidRPr="00C507A5">
        <w:rPr>
          <w:color w:val="231F20"/>
          <w:w w:val="110"/>
          <w:sz w:val="16"/>
          <w:lang w:val="de-DE"/>
        </w:rPr>
        <w:t>Organisation,”</w:t>
      </w:r>
      <w:r w:rsidRPr="00C507A5">
        <w:rPr>
          <w:color w:val="231F20"/>
          <w:spacing w:val="-15"/>
          <w:w w:val="110"/>
          <w:sz w:val="16"/>
          <w:lang w:val="de-DE"/>
        </w:rPr>
        <w:t xml:space="preserve"> </w:t>
      </w:r>
      <w:r w:rsidRPr="00C507A5">
        <w:rPr>
          <w:i/>
          <w:color w:val="231F20"/>
          <w:spacing w:val="1"/>
          <w:w w:val="110"/>
          <w:sz w:val="16"/>
          <w:lang w:val="de-DE"/>
        </w:rPr>
        <w:t>Frankfurter</w:t>
      </w:r>
      <w:r w:rsidRPr="00C507A5">
        <w:rPr>
          <w:i/>
          <w:color w:val="231F20"/>
          <w:spacing w:val="-16"/>
          <w:w w:val="110"/>
          <w:sz w:val="16"/>
          <w:lang w:val="de-DE"/>
        </w:rPr>
        <w:t xml:space="preserve"> </w:t>
      </w:r>
      <w:r w:rsidRPr="00C507A5">
        <w:rPr>
          <w:i/>
          <w:color w:val="231F20"/>
          <w:spacing w:val="1"/>
          <w:w w:val="110"/>
          <w:sz w:val="16"/>
          <w:lang w:val="de-DE"/>
        </w:rPr>
        <w:t xml:space="preserve">Allgemeine Zeitung, </w:t>
      </w:r>
      <w:r w:rsidRPr="00C507A5">
        <w:rPr>
          <w:color w:val="231F20"/>
          <w:w w:val="110"/>
          <w:sz w:val="16"/>
          <w:lang w:val="de-DE"/>
        </w:rPr>
        <w:t xml:space="preserve">June </w:t>
      </w:r>
      <w:r w:rsidRPr="00C507A5">
        <w:rPr>
          <w:color w:val="231F20"/>
          <w:spacing w:val="-6"/>
          <w:w w:val="110"/>
          <w:sz w:val="16"/>
          <w:lang w:val="de-DE"/>
        </w:rPr>
        <w:t>7,</w:t>
      </w:r>
      <w:r w:rsidRPr="00C507A5">
        <w:rPr>
          <w:color w:val="231F20"/>
          <w:spacing w:val="16"/>
          <w:w w:val="110"/>
          <w:sz w:val="16"/>
          <w:lang w:val="de-DE"/>
        </w:rPr>
        <w:t xml:space="preserve"> </w:t>
      </w:r>
      <w:r w:rsidRPr="00C507A5">
        <w:rPr>
          <w:color w:val="231F20"/>
          <w:w w:val="110"/>
          <w:sz w:val="16"/>
          <w:lang w:val="de-DE"/>
        </w:rPr>
        <w:t>1972.</w:t>
      </w:r>
    </w:p>
    <w:p w14:paraId="0071133E" w14:textId="77777777" w:rsidR="002653E8" w:rsidRPr="00C507A5" w:rsidRDefault="002653E8">
      <w:pPr>
        <w:spacing w:line="254" w:lineRule="auto"/>
        <w:rPr>
          <w:sz w:val="16"/>
          <w:lang w:val="de-DE"/>
        </w:rPr>
        <w:sectPr w:rsidR="002653E8" w:rsidRPr="00C507A5">
          <w:footerReference w:type="even" r:id="rId144"/>
          <w:footerReference w:type="default" r:id="rId145"/>
          <w:pgSz w:w="8640" w:h="12960"/>
          <w:pgMar w:top="1060" w:right="0" w:bottom="1040" w:left="0" w:header="0" w:footer="850" w:gutter="0"/>
          <w:cols w:space="720"/>
        </w:sectPr>
      </w:pPr>
    </w:p>
    <w:p w14:paraId="0CFBDCE9" w14:textId="77777777" w:rsidR="002653E8" w:rsidRDefault="003115E3">
      <w:pPr>
        <w:pStyle w:val="a3"/>
        <w:spacing w:before="86" w:line="264" w:lineRule="auto"/>
        <w:ind w:left="1327" w:right="1145" w:firstLine="210"/>
        <w:jc w:val="both"/>
        <w:rPr>
          <w:sz w:val="11"/>
        </w:rPr>
      </w:pPr>
      <w:r>
        <w:rPr>
          <w:color w:val="231F20"/>
        </w:rPr>
        <w:lastRenderedPageBreak/>
        <w:t>Holger Meins was the only one of the three who had surrendered without resistance, a fact that did not stop the police from beating him so severely that he required hospitalization. “I didn’t squeal or scream,” he would later tell his father. “They kicked me black and blue with their big boots. It’s a thing you just can’t describe.”</w:t>
      </w:r>
      <w:r>
        <w:rPr>
          <w:color w:val="231F20"/>
          <w:position w:val="7"/>
          <w:sz w:val="11"/>
        </w:rPr>
        <w:t>6</w:t>
      </w:r>
    </w:p>
    <w:p w14:paraId="355690A4" w14:textId="77777777" w:rsidR="002653E8" w:rsidRDefault="003115E3">
      <w:pPr>
        <w:pStyle w:val="a3"/>
        <w:spacing w:line="264" w:lineRule="auto"/>
        <w:ind w:left="1328" w:right="1145" w:firstLine="209"/>
        <w:jc w:val="both"/>
        <w:rPr>
          <w:sz w:val="11"/>
        </w:rPr>
      </w:pPr>
      <w:r>
        <w:rPr>
          <w:color w:val="231F20"/>
        </w:rPr>
        <w:t xml:space="preserve">It later came out that the </w:t>
      </w:r>
      <w:r w:rsidR="00C507A5">
        <w:rPr>
          <w:color w:val="231F20"/>
        </w:rPr>
        <w:t>red army faction</w:t>
      </w:r>
      <w:r>
        <w:rPr>
          <w:color w:val="231F20"/>
        </w:rPr>
        <w:t xml:space="preserve"> had intended to kidnap the three U.S. Army City Commanders in Berlin, but called off this action due to security concerns following the June 1 arrests.</w:t>
      </w:r>
      <w:r>
        <w:rPr>
          <w:color w:val="231F20"/>
          <w:position w:val="7"/>
          <w:sz w:val="11"/>
        </w:rPr>
        <w:t>7</w:t>
      </w:r>
    </w:p>
    <w:p w14:paraId="54F7B92F" w14:textId="77777777" w:rsidR="002653E8" w:rsidRDefault="003115E3">
      <w:pPr>
        <w:pStyle w:val="a3"/>
        <w:spacing w:line="264" w:lineRule="auto"/>
        <w:ind w:left="1327" w:right="1146" w:firstLine="210"/>
        <w:jc w:val="both"/>
        <w:rPr>
          <w:sz w:val="11"/>
        </w:rPr>
      </w:pPr>
      <w:r>
        <w:rPr>
          <w:color w:val="231F20"/>
        </w:rPr>
        <w:t>On June 7, Gudrun Ensslin was arrested in Hamburg when a store clerk noticed a gun in her handbag. (The government’s somewhat farcical Mainz report would later explain this bust in memorably sexist terms: “The arrest of her boyfriend Baader affected this deviant woman to such a degree that she simply had to buy something new, like any normal woman does when something is wrong.”)</w:t>
      </w:r>
      <w:r>
        <w:rPr>
          <w:color w:val="231F20"/>
          <w:position w:val="7"/>
          <w:sz w:val="11"/>
        </w:rPr>
        <w:t>8</w:t>
      </w:r>
    </w:p>
    <w:p w14:paraId="3E881ADA" w14:textId="77777777" w:rsidR="002653E8" w:rsidRDefault="003115E3">
      <w:pPr>
        <w:pStyle w:val="a3"/>
        <w:spacing w:line="264" w:lineRule="auto"/>
        <w:ind w:left="1327" w:right="1146" w:firstLine="210"/>
        <w:jc w:val="both"/>
      </w:pPr>
      <w:r>
        <w:rPr>
          <w:color w:val="231F20"/>
          <w:w w:val="105"/>
        </w:rPr>
        <w:t xml:space="preserve">On June 9, Brigitte Mohnhaupt and </w:t>
      </w:r>
      <w:bookmarkStart w:id="67" w:name="_Hlk71132193"/>
      <w:r>
        <w:rPr>
          <w:color w:val="231F20"/>
          <w:w w:val="105"/>
        </w:rPr>
        <w:t>Bernhard</w:t>
      </w:r>
      <w:bookmarkEnd w:id="67"/>
      <w:r>
        <w:rPr>
          <w:color w:val="231F20"/>
          <w:w w:val="105"/>
        </w:rPr>
        <w:t xml:space="preserve"> Braun were arrested in</w:t>
      </w:r>
      <w:r>
        <w:rPr>
          <w:color w:val="231F20"/>
          <w:spacing w:val="-5"/>
          <w:w w:val="105"/>
        </w:rPr>
        <w:t xml:space="preserve"> </w:t>
      </w:r>
      <w:r>
        <w:rPr>
          <w:color w:val="231F20"/>
          <w:spacing w:val="-3"/>
          <w:w w:val="105"/>
        </w:rPr>
        <w:t>West</w:t>
      </w:r>
      <w:r>
        <w:rPr>
          <w:color w:val="231F20"/>
          <w:spacing w:val="-5"/>
          <w:w w:val="105"/>
        </w:rPr>
        <w:t xml:space="preserve"> </w:t>
      </w:r>
      <w:r>
        <w:rPr>
          <w:color w:val="231F20"/>
          <w:w w:val="105"/>
        </w:rPr>
        <w:t>Berlin;</w:t>
      </w:r>
      <w:r>
        <w:rPr>
          <w:color w:val="231F20"/>
          <w:spacing w:val="-5"/>
          <w:w w:val="105"/>
        </w:rPr>
        <w:t xml:space="preserve"> </w:t>
      </w:r>
      <w:r>
        <w:rPr>
          <w:color w:val="231F20"/>
          <w:w w:val="105"/>
        </w:rPr>
        <w:t>they</w:t>
      </w:r>
      <w:r>
        <w:rPr>
          <w:color w:val="231F20"/>
          <w:spacing w:val="-5"/>
          <w:w w:val="105"/>
        </w:rPr>
        <w:t xml:space="preserve"> </w:t>
      </w:r>
      <w:r>
        <w:rPr>
          <w:color w:val="231F20"/>
          <w:w w:val="105"/>
        </w:rPr>
        <w:t>were</w:t>
      </w:r>
      <w:r>
        <w:rPr>
          <w:color w:val="231F20"/>
          <w:spacing w:val="-5"/>
          <w:w w:val="105"/>
        </w:rPr>
        <w:t xml:space="preserve"> </w:t>
      </w:r>
      <w:r>
        <w:rPr>
          <w:color w:val="231F20"/>
          <w:w w:val="105"/>
        </w:rPr>
        <w:t>both</w:t>
      </w:r>
      <w:r>
        <w:rPr>
          <w:color w:val="231F20"/>
          <w:spacing w:val="-5"/>
          <w:w w:val="105"/>
        </w:rPr>
        <w:t xml:space="preserve"> </w:t>
      </w:r>
      <w:r>
        <w:rPr>
          <w:color w:val="231F20"/>
          <w:w w:val="105"/>
        </w:rPr>
        <w:t>former</w:t>
      </w:r>
      <w:r>
        <w:rPr>
          <w:color w:val="231F20"/>
          <w:spacing w:val="-4"/>
          <w:w w:val="105"/>
        </w:rPr>
        <w:t xml:space="preserve"> </w:t>
      </w:r>
      <w:r>
        <w:rPr>
          <w:color w:val="231F20"/>
          <w:w w:val="105"/>
        </w:rPr>
        <w:t>SPK</w:t>
      </w:r>
      <w:r>
        <w:rPr>
          <w:color w:val="231F20"/>
          <w:spacing w:val="-5"/>
          <w:w w:val="105"/>
        </w:rPr>
        <w:t xml:space="preserve"> </w:t>
      </w:r>
      <w:r>
        <w:rPr>
          <w:color w:val="231F20"/>
          <w:w w:val="105"/>
        </w:rPr>
        <w:t>members.</w:t>
      </w:r>
      <w:r>
        <w:rPr>
          <w:color w:val="231F20"/>
          <w:spacing w:val="-5"/>
          <w:w w:val="105"/>
        </w:rPr>
        <w:t xml:space="preserve"> </w:t>
      </w:r>
      <w:r>
        <w:rPr>
          <w:color w:val="231F20"/>
          <w:w w:val="105"/>
        </w:rPr>
        <w:t>Mohnhaupt</w:t>
      </w:r>
      <w:r>
        <w:rPr>
          <w:color w:val="231F20"/>
          <w:spacing w:val="-5"/>
          <w:w w:val="105"/>
        </w:rPr>
        <w:t xml:space="preserve"> </w:t>
      </w:r>
      <w:r>
        <w:rPr>
          <w:color w:val="231F20"/>
          <w:w w:val="105"/>
        </w:rPr>
        <w:t>had gravitated</w:t>
      </w:r>
      <w:r>
        <w:rPr>
          <w:color w:val="231F20"/>
          <w:spacing w:val="-13"/>
          <w:w w:val="105"/>
        </w:rPr>
        <w:t xml:space="preserve"> </w:t>
      </w:r>
      <w:r>
        <w:rPr>
          <w:color w:val="231F20"/>
          <w:w w:val="105"/>
        </w:rPr>
        <w:t>to</w:t>
      </w:r>
      <w:r>
        <w:rPr>
          <w:color w:val="231F20"/>
          <w:spacing w:val="-13"/>
          <w:w w:val="105"/>
        </w:rPr>
        <w:t xml:space="preserve"> </w:t>
      </w:r>
      <w:r>
        <w:rPr>
          <w:color w:val="231F20"/>
          <w:w w:val="105"/>
        </w:rPr>
        <w:t>the</w:t>
      </w:r>
      <w:r>
        <w:rPr>
          <w:color w:val="231F20"/>
          <w:spacing w:val="-13"/>
          <w:w w:val="105"/>
        </w:rPr>
        <w:t xml:space="preserve"> </w:t>
      </w:r>
      <w:r w:rsidR="00C507A5">
        <w:rPr>
          <w:color w:val="231F20"/>
          <w:spacing w:val="5"/>
          <w:w w:val="105"/>
        </w:rPr>
        <w:t>red army faction</w:t>
      </w:r>
      <w:r>
        <w:rPr>
          <w:color w:val="231F20"/>
          <w:spacing w:val="-13"/>
          <w:w w:val="105"/>
        </w:rPr>
        <w:t xml:space="preserve"> </w:t>
      </w:r>
      <w:r>
        <w:rPr>
          <w:color w:val="231F20"/>
          <w:w w:val="105"/>
        </w:rPr>
        <w:t>via</w:t>
      </w:r>
      <w:r>
        <w:rPr>
          <w:color w:val="231F20"/>
          <w:spacing w:val="-13"/>
          <w:w w:val="105"/>
        </w:rPr>
        <w:t xml:space="preserve"> </w:t>
      </w:r>
      <w:r>
        <w:rPr>
          <w:color w:val="231F20"/>
          <w:w w:val="105"/>
        </w:rPr>
        <w:t>the</w:t>
      </w:r>
      <w:r>
        <w:rPr>
          <w:color w:val="231F20"/>
          <w:spacing w:val="-13"/>
          <w:w w:val="105"/>
        </w:rPr>
        <w:t xml:space="preserve"> </w:t>
      </w:r>
      <w:r>
        <w:rPr>
          <w:color w:val="231F20"/>
          <w:w w:val="105"/>
        </w:rPr>
        <w:t>Munich</w:t>
      </w:r>
      <w:r>
        <w:rPr>
          <w:color w:val="231F20"/>
          <w:spacing w:val="-13"/>
          <w:w w:val="105"/>
        </w:rPr>
        <w:t xml:space="preserve"> </w:t>
      </w:r>
      <w:r>
        <w:rPr>
          <w:color w:val="231F20"/>
          <w:w w:val="105"/>
        </w:rPr>
        <w:t>Tupamaros.</w:t>
      </w:r>
      <w:r>
        <w:rPr>
          <w:color w:val="231F20"/>
          <w:spacing w:val="-13"/>
          <w:w w:val="105"/>
        </w:rPr>
        <w:t xml:space="preserve"> </w:t>
      </w:r>
      <w:r>
        <w:rPr>
          <w:color w:val="231F20"/>
          <w:w w:val="105"/>
        </w:rPr>
        <w:t>Braun,</w:t>
      </w:r>
      <w:r>
        <w:rPr>
          <w:color w:val="231F20"/>
          <w:spacing w:val="-13"/>
          <w:w w:val="105"/>
        </w:rPr>
        <w:t xml:space="preserve"> </w:t>
      </w:r>
      <w:r>
        <w:rPr>
          <w:color w:val="231F20"/>
          <w:w w:val="105"/>
        </w:rPr>
        <w:t>who</w:t>
      </w:r>
      <w:r>
        <w:rPr>
          <w:color w:val="231F20"/>
          <w:spacing w:val="-13"/>
          <w:w w:val="105"/>
        </w:rPr>
        <w:t xml:space="preserve"> </w:t>
      </w:r>
      <w:r>
        <w:rPr>
          <w:color w:val="231F20"/>
          <w:w w:val="105"/>
        </w:rPr>
        <w:t>was</w:t>
      </w:r>
      <w:r>
        <w:rPr>
          <w:color w:val="231F20"/>
          <w:spacing w:val="-13"/>
          <w:w w:val="105"/>
        </w:rPr>
        <w:t xml:space="preserve"> </w:t>
      </w:r>
      <w:r>
        <w:rPr>
          <w:color w:val="231F20"/>
          <w:w w:val="105"/>
        </w:rPr>
        <w:t xml:space="preserve">also close to 2JM, had come to the </w:t>
      </w:r>
      <w:r w:rsidR="00C507A5">
        <w:rPr>
          <w:color w:val="231F20"/>
          <w:spacing w:val="5"/>
          <w:w w:val="105"/>
        </w:rPr>
        <w:t>red army faction</w:t>
      </w:r>
      <w:r>
        <w:rPr>
          <w:color w:val="231F20"/>
          <w:spacing w:val="5"/>
          <w:w w:val="105"/>
        </w:rPr>
        <w:t xml:space="preserve"> </w:t>
      </w:r>
      <w:r>
        <w:rPr>
          <w:color w:val="231F20"/>
          <w:w w:val="105"/>
        </w:rPr>
        <w:t xml:space="preserve">via the </w:t>
      </w:r>
      <w:r>
        <w:rPr>
          <w:color w:val="231F20"/>
          <w:spacing w:val="-3"/>
          <w:w w:val="105"/>
        </w:rPr>
        <w:t xml:space="preserve">West </w:t>
      </w:r>
      <w:r>
        <w:rPr>
          <w:color w:val="231F20"/>
          <w:w w:val="105"/>
        </w:rPr>
        <w:t>Berlin</w:t>
      </w:r>
      <w:r>
        <w:rPr>
          <w:color w:val="231F20"/>
          <w:spacing w:val="12"/>
          <w:w w:val="105"/>
        </w:rPr>
        <w:t xml:space="preserve"> </w:t>
      </w:r>
      <w:r>
        <w:rPr>
          <w:color w:val="231F20"/>
          <w:w w:val="105"/>
        </w:rPr>
        <w:t>Tupamaros.</w:t>
      </w:r>
    </w:p>
    <w:p w14:paraId="067AE608" w14:textId="77777777" w:rsidR="002653E8" w:rsidRDefault="003115E3">
      <w:pPr>
        <w:pStyle w:val="a3"/>
        <w:spacing w:line="264" w:lineRule="auto"/>
        <w:ind w:left="1327" w:right="1145" w:firstLine="210"/>
        <w:jc w:val="both"/>
      </w:pPr>
      <w:r>
        <w:rPr>
          <w:color w:val="231F20"/>
        </w:rPr>
        <w:t xml:space="preserve">On June </w:t>
      </w:r>
      <w:r>
        <w:rPr>
          <w:color w:val="231F20"/>
          <w:spacing w:val="-8"/>
        </w:rPr>
        <w:t xml:space="preserve">15, </w:t>
      </w:r>
      <w:r>
        <w:rPr>
          <w:color w:val="231F20"/>
        </w:rPr>
        <w:t>Ulrike Meinhof and Gerhard Müller were arrested in Hannover, turned in by a left-wing trade unionist who had agreed to  put them up for the night.</w:t>
      </w:r>
      <w:r>
        <w:rPr>
          <w:color w:val="231F20"/>
          <w:position w:val="7"/>
          <w:sz w:val="11"/>
        </w:rPr>
        <w:t xml:space="preserve">9 </w:t>
      </w:r>
      <w:r>
        <w:rPr>
          <w:color w:val="231F20"/>
        </w:rPr>
        <w:t>Police found forged passports, gun oil, a four-and-a-half-kilo homemade bomb, two homemade hand grenades,   a semi-automatic pistol, two 9mm handguns, numerous fully loaded magazines, and more than three hundred rounds of ammunition in Meinhof’s luggage, which weighed over twenty-five kilos.</w:t>
      </w:r>
      <w:r>
        <w:rPr>
          <w:color w:val="231F20"/>
          <w:position w:val="7"/>
          <w:sz w:val="11"/>
        </w:rPr>
        <w:t xml:space="preserve">10 </w:t>
      </w:r>
      <w:r>
        <w:rPr>
          <w:color w:val="231F20"/>
        </w:rPr>
        <w:t>With her capture, some observers felt that the guerilla’s entire leadership was now</w:t>
      </w:r>
      <w:r>
        <w:rPr>
          <w:color w:val="231F20"/>
          <w:spacing w:val="7"/>
        </w:rPr>
        <w:t xml:space="preserve"> </w:t>
      </w:r>
      <w:r>
        <w:rPr>
          <w:color w:val="231F20"/>
        </w:rPr>
        <w:t>in</w:t>
      </w:r>
      <w:r>
        <w:rPr>
          <w:color w:val="231F20"/>
          <w:spacing w:val="7"/>
        </w:rPr>
        <w:t xml:space="preserve"> </w:t>
      </w:r>
      <w:r>
        <w:rPr>
          <w:color w:val="231F20"/>
        </w:rPr>
        <w:t>custody,</w:t>
      </w:r>
      <w:r>
        <w:rPr>
          <w:color w:val="231F20"/>
          <w:spacing w:val="7"/>
        </w:rPr>
        <w:t xml:space="preserve"> </w:t>
      </w:r>
      <w:r>
        <w:rPr>
          <w:color w:val="231F20"/>
        </w:rPr>
        <w:t>and</w:t>
      </w:r>
      <w:r>
        <w:rPr>
          <w:color w:val="231F20"/>
          <w:spacing w:val="7"/>
        </w:rPr>
        <w:t xml:space="preserve"> </w:t>
      </w:r>
      <w:r>
        <w:rPr>
          <w:color w:val="231F20"/>
        </w:rPr>
        <w:t>yet</w:t>
      </w:r>
      <w:r>
        <w:rPr>
          <w:color w:val="231F20"/>
          <w:spacing w:val="7"/>
        </w:rPr>
        <w:t xml:space="preserve"> </w:t>
      </w:r>
      <w:r>
        <w:rPr>
          <w:color w:val="231F20"/>
        </w:rPr>
        <w:t>there</w:t>
      </w:r>
      <w:r>
        <w:rPr>
          <w:color w:val="231F20"/>
          <w:spacing w:val="7"/>
        </w:rPr>
        <w:t xml:space="preserve"> </w:t>
      </w:r>
      <w:r>
        <w:rPr>
          <w:color w:val="231F20"/>
        </w:rPr>
        <w:t>were</w:t>
      </w:r>
      <w:r>
        <w:rPr>
          <w:color w:val="231F20"/>
          <w:spacing w:val="7"/>
        </w:rPr>
        <w:t xml:space="preserve"> </w:t>
      </w:r>
      <w:r>
        <w:rPr>
          <w:color w:val="231F20"/>
        </w:rPr>
        <w:t>more</w:t>
      </w:r>
      <w:r>
        <w:rPr>
          <w:color w:val="231F20"/>
          <w:spacing w:val="7"/>
        </w:rPr>
        <w:t xml:space="preserve"> </w:t>
      </w:r>
      <w:r>
        <w:rPr>
          <w:color w:val="231F20"/>
        </w:rPr>
        <w:t>arrests</w:t>
      </w:r>
      <w:r>
        <w:rPr>
          <w:color w:val="231F20"/>
          <w:spacing w:val="7"/>
        </w:rPr>
        <w:t xml:space="preserve"> </w:t>
      </w:r>
      <w:r>
        <w:rPr>
          <w:color w:val="231F20"/>
        </w:rPr>
        <w:t>to</w:t>
      </w:r>
      <w:r>
        <w:rPr>
          <w:color w:val="231F20"/>
          <w:spacing w:val="7"/>
        </w:rPr>
        <w:t xml:space="preserve"> </w:t>
      </w:r>
      <w:r>
        <w:rPr>
          <w:color w:val="231F20"/>
        </w:rPr>
        <w:t>come.</w:t>
      </w:r>
    </w:p>
    <w:p w14:paraId="33D7634D" w14:textId="77777777" w:rsidR="002653E8" w:rsidRDefault="003115E3">
      <w:pPr>
        <w:pStyle w:val="a3"/>
        <w:spacing w:line="264" w:lineRule="auto"/>
        <w:ind w:left="1327" w:right="1146" w:firstLine="210"/>
        <w:jc w:val="both"/>
      </w:pPr>
      <w:r>
        <w:rPr>
          <w:color w:val="231F20"/>
        </w:rPr>
        <w:t>On June 30, Katharina Hammerschmidt, who had  fled  to  France,  was</w:t>
      </w:r>
      <w:r>
        <w:rPr>
          <w:color w:val="231F20"/>
          <w:spacing w:val="18"/>
        </w:rPr>
        <w:t xml:space="preserve"> </w:t>
      </w:r>
      <w:r>
        <w:rPr>
          <w:color w:val="231F20"/>
        </w:rPr>
        <w:t>convinced</w:t>
      </w:r>
      <w:r>
        <w:rPr>
          <w:color w:val="231F20"/>
          <w:spacing w:val="18"/>
        </w:rPr>
        <w:t xml:space="preserve"> </w:t>
      </w:r>
      <w:r>
        <w:rPr>
          <w:color w:val="231F20"/>
        </w:rPr>
        <w:t>to</w:t>
      </w:r>
      <w:r>
        <w:rPr>
          <w:color w:val="231F20"/>
          <w:spacing w:val="18"/>
        </w:rPr>
        <w:t xml:space="preserve"> </w:t>
      </w:r>
      <w:r>
        <w:rPr>
          <w:color w:val="231F20"/>
          <w:spacing w:val="1"/>
        </w:rPr>
        <w:t>turn</w:t>
      </w:r>
      <w:r>
        <w:rPr>
          <w:color w:val="231F20"/>
          <w:spacing w:val="18"/>
        </w:rPr>
        <w:t xml:space="preserve"> </w:t>
      </w:r>
      <w:r>
        <w:rPr>
          <w:color w:val="231F20"/>
        </w:rPr>
        <w:t>herself</w:t>
      </w:r>
      <w:r>
        <w:rPr>
          <w:color w:val="231F20"/>
          <w:spacing w:val="18"/>
        </w:rPr>
        <w:t xml:space="preserve"> </w:t>
      </w:r>
      <w:r>
        <w:rPr>
          <w:color w:val="231F20"/>
        </w:rPr>
        <w:t>in</w:t>
      </w:r>
      <w:r>
        <w:rPr>
          <w:color w:val="231F20"/>
          <w:spacing w:val="18"/>
        </w:rPr>
        <w:t xml:space="preserve"> </w:t>
      </w:r>
      <w:r>
        <w:rPr>
          <w:color w:val="231F20"/>
        </w:rPr>
        <w:t>by</w:t>
      </w:r>
      <w:r>
        <w:rPr>
          <w:color w:val="231F20"/>
          <w:spacing w:val="18"/>
        </w:rPr>
        <w:t xml:space="preserve"> </w:t>
      </w:r>
      <w:r>
        <w:rPr>
          <w:color w:val="231F20"/>
        </w:rPr>
        <w:t>her</w:t>
      </w:r>
      <w:r>
        <w:rPr>
          <w:color w:val="231F20"/>
          <w:spacing w:val="18"/>
        </w:rPr>
        <w:t xml:space="preserve"> </w:t>
      </w:r>
      <w:r>
        <w:rPr>
          <w:color w:val="231F20"/>
        </w:rPr>
        <w:t>lawyer</w:t>
      </w:r>
      <w:r>
        <w:rPr>
          <w:color w:val="231F20"/>
          <w:spacing w:val="18"/>
        </w:rPr>
        <w:t xml:space="preserve"> </w:t>
      </w:r>
      <w:r>
        <w:rPr>
          <w:color w:val="231F20"/>
        </w:rPr>
        <w:t>Otto</w:t>
      </w:r>
      <w:r>
        <w:rPr>
          <w:color w:val="231F20"/>
          <w:spacing w:val="20"/>
        </w:rPr>
        <w:t xml:space="preserve"> </w:t>
      </w:r>
      <w:r>
        <w:rPr>
          <w:color w:val="231F20"/>
        </w:rPr>
        <w:t>Schily.</w:t>
      </w:r>
      <w:r>
        <w:rPr>
          <w:color w:val="231F20"/>
          <w:spacing w:val="18"/>
        </w:rPr>
        <w:t xml:space="preserve"> </w:t>
      </w:r>
      <w:r>
        <w:rPr>
          <w:color w:val="231F20"/>
        </w:rPr>
        <w:t>The</w:t>
      </w:r>
      <w:r>
        <w:rPr>
          <w:color w:val="231F20"/>
          <w:spacing w:val="18"/>
        </w:rPr>
        <w:t xml:space="preserve"> </w:t>
      </w:r>
      <w:r>
        <w:rPr>
          <w:color w:val="231F20"/>
        </w:rPr>
        <w:t>police</w:t>
      </w:r>
    </w:p>
    <w:p w14:paraId="690942C2" w14:textId="77777777" w:rsidR="002653E8" w:rsidRDefault="00000000">
      <w:pPr>
        <w:pStyle w:val="a3"/>
        <w:spacing w:before="6"/>
        <w:rPr>
          <w:sz w:val="9"/>
        </w:rPr>
      </w:pPr>
      <w:r>
        <w:rPr>
          <w:noProof w:val="0"/>
        </w:rPr>
        <w:pict w14:anchorId="1593EC65">
          <v:line id="_x0000_s2507" style="position:absolute;z-index:4936;mso-wrap-distance-left:0;mso-wrap-distance-right:0;mso-position-horizontal-relative:page" from="66.4pt,7.8pt" to="138.4pt,7.8pt" strokecolor="#231f20" strokeweight=".5pt">
            <w10:wrap type="topAndBottom" anchorx="page"/>
          </v:line>
        </w:pict>
      </w:r>
    </w:p>
    <w:p w14:paraId="2352F8C0" w14:textId="77777777" w:rsidR="002653E8" w:rsidRDefault="003115E3">
      <w:pPr>
        <w:spacing w:before="53"/>
        <w:ind w:left="1327"/>
        <w:rPr>
          <w:sz w:val="16"/>
        </w:rPr>
      </w:pPr>
      <w:r>
        <w:rPr>
          <w:color w:val="231F20"/>
          <w:w w:val="110"/>
          <w:sz w:val="16"/>
        </w:rPr>
        <w:t>6 Aust, 219.</w:t>
      </w:r>
    </w:p>
    <w:p w14:paraId="411DA349" w14:textId="77777777" w:rsidR="002653E8" w:rsidRDefault="003115E3">
      <w:pPr>
        <w:pStyle w:val="a4"/>
        <w:numPr>
          <w:ilvl w:val="1"/>
          <w:numId w:val="137"/>
        </w:numPr>
        <w:tabs>
          <w:tab w:val="left" w:pos="1461"/>
        </w:tabs>
        <w:spacing w:before="51"/>
        <w:ind w:firstLine="0"/>
        <w:rPr>
          <w:sz w:val="16"/>
        </w:rPr>
      </w:pPr>
      <w:r>
        <w:rPr>
          <w:color w:val="231F20"/>
          <w:w w:val="105"/>
          <w:sz w:val="16"/>
        </w:rPr>
        <w:t>Brigitte Mohnhaupt’s Testimony at the Stammheim</w:t>
      </w:r>
      <w:r>
        <w:rPr>
          <w:color w:val="231F20"/>
          <w:spacing w:val="20"/>
          <w:w w:val="105"/>
          <w:sz w:val="16"/>
        </w:rPr>
        <w:t xml:space="preserve"> </w:t>
      </w:r>
      <w:r>
        <w:rPr>
          <w:color w:val="231F20"/>
          <w:w w:val="105"/>
          <w:sz w:val="16"/>
        </w:rPr>
        <w:t>Trial,</w:t>
      </w:r>
    </w:p>
    <w:p w14:paraId="290DF094" w14:textId="77777777" w:rsidR="002653E8" w:rsidRDefault="003115E3">
      <w:pPr>
        <w:spacing w:before="12" w:line="254" w:lineRule="auto"/>
        <w:ind w:left="1328" w:right="1580" w:hanging="1"/>
        <w:rPr>
          <w:sz w:val="16"/>
        </w:rPr>
      </w:pPr>
      <w:r>
        <w:rPr>
          <w:color w:val="231F20"/>
          <w:spacing w:val="-1"/>
          <w:w w:val="114"/>
          <w:sz w:val="16"/>
        </w:rPr>
        <w:t>J</w:t>
      </w:r>
      <w:r>
        <w:rPr>
          <w:color w:val="231F20"/>
          <w:spacing w:val="3"/>
          <w:w w:val="114"/>
          <w:sz w:val="16"/>
        </w:rPr>
        <w:t>u</w:t>
      </w:r>
      <w:r>
        <w:rPr>
          <w:color w:val="231F20"/>
          <w:spacing w:val="-1"/>
          <w:w w:val="104"/>
          <w:sz w:val="16"/>
        </w:rPr>
        <w:t>l</w:t>
      </w:r>
      <w:r>
        <w:rPr>
          <w:color w:val="231F20"/>
          <w:w w:val="104"/>
          <w:sz w:val="16"/>
        </w:rPr>
        <w:t>y</w:t>
      </w:r>
      <w:r>
        <w:rPr>
          <w:color w:val="231F20"/>
          <w:spacing w:val="5"/>
          <w:sz w:val="16"/>
        </w:rPr>
        <w:t xml:space="preserve"> </w:t>
      </w:r>
      <w:r>
        <w:rPr>
          <w:color w:val="231F20"/>
          <w:w w:val="104"/>
          <w:sz w:val="16"/>
        </w:rPr>
        <w:t>2</w:t>
      </w:r>
      <w:r>
        <w:rPr>
          <w:color w:val="231F20"/>
          <w:spacing w:val="2"/>
          <w:w w:val="104"/>
          <w:sz w:val="16"/>
        </w:rPr>
        <w:t>2</w:t>
      </w:r>
      <w:r>
        <w:rPr>
          <w:color w:val="231F20"/>
          <w:w w:val="140"/>
          <w:sz w:val="16"/>
        </w:rPr>
        <w:t>,</w:t>
      </w:r>
      <w:r>
        <w:rPr>
          <w:color w:val="231F20"/>
          <w:spacing w:val="5"/>
          <w:sz w:val="16"/>
        </w:rPr>
        <w:t xml:space="preserve"> </w:t>
      </w:r>
      <w:r>
        <w:rPr>
          <w:color w:val="231F20"/>
          <w:spacing w:val="-7"/>
          <w:w w:val="104"/>
          <w:sz w:val="16"/>
        </w:rPr>
        <w:t>1</w:t>
      </w:r>
      <w:r>
        <w:rPr>
          <w:color w:val="231F20"/>
          <w:w w:val="104"/>
          <w:sz w:val="16"/>
        </w:rPr>
        <w:t>9</w:t>
      </w:r>
      <w:r>
        <w:rPr>
          <w:color w:val="231F20"/>
          <w:spacing w:val="-4"/>
          <w:w w:val="104"/>
          <w:sz w:val="16"/>
        </w:rPr>
        <w:t>7</w:t>
      </w:r>
      <w:r>
        <w:rPr>
          <w:color w:val="231F20"/>
          <w:w w:val="104"/>
          <w:sz w:val="16"/>
        </w:rPr>
        <w:t>6</w:t>
      </w:r>
      <w:r>
        <w:rPr>
          <w:color w:val="231F20"/>
          <w:w w:val="140"/>
          <w:sz w:val="16"/>
        </w:rPr>
        <w:t>,</w:t>
      </w:r>
      <w:r>
        <w:rPr>
          <w:color w:val="231F20"/>
          <w:spacing w:val="5"/>
          <w:sz w:val="16"/>
        </w:rPr>
        <w:t xml:space="preserve"> </w:t>
      </w:r>
      <w:hyperlink r:id="rId146">
        <w:r>
          <w:rPr>
            <w:color w:val="231F20"/>
            <w:spacing w:val="-1"/>
            <w:w w:val="104"/>
            <w:sz w:val="16"/>
          </w:rPr>
          <w:t>h</w:t>
        </w:r>
        <w:r>
          <w:rPr>
            <w:color w:val="231F20"/>
            <w:spacing w:val="5"/>
            <w:w w:val="102"/>
            <w:sz w:val="16"/>
          </w:rPr>
          <w:t>t</w:t>
        </w:r>
        <w:r>
          <w:rPr>
            <w:color w:val="231F20"/>
            <w:spacing w:val="2"/>
            <w:w w:val="102"/>
            <w:sz w:val="16"/>
          </w:rPr>
          <w:t>t</w:t>
        </w:r>
        <w:r>
          <w:rPr>
            <w:color w:val="231F20"/>
            <w:w w:val="103"/>
            <w:sz w:val="16"/>
          </w:rPr>
          <w:t>p</w:t>
        </w:r>
        <w:r>
          <w:rPr>
            <w:color w:val="231F20"/>
            <w:spacing w:val="5"/>
            <w:w w:val="109"/>
            <w:sz w:val="16"/>
          </w:rPr>
          <w:t>:</w:t>
        </w:r>
        <w:r>
          <w:rPr>
            <w:color w:val="231F20"/>
            <w:spacing w:val="-2"/>
            <w:w w:val="58"/>
            <w:sz w:val="16"/>
          </w:rPr>
          <w:t>/</w:t>
        </w:r>
        <w:r>
          <w:rPr>
            <w:color w:val="231F20"/>
            <w:spacing w:val="1"/>
            <w:w w:val="58"/>
            <w:sz w:val="16"/>
          </w:rPr>
          <w:t>/</w:t>
        </w:r>
        <w:r>
          <w:rPr>
            <w:color w:val="231F20"/>
            <w:spacing w:val="5"/>
            <w:w w:val="104"/>
            <w:sz w:val="16"/>
          </w:rPr>
          <w:t>ww</w:t>
        </w:r>
        <w:r>
          <w:rPr>
            <w:color w:val="231F20"/>
            <w:spacing w:val="-9"/>
            <w:w w:val="104"/>
            <w:sz w:val="16"/>
          </w:rPr>
          <w:t>w</w:t>
        </w:r>
        <w:r>
          <w:rPr>
            <w:color w:val="231F20"/>
            <w:w w:val="140"/>
            <w:sz w:val="16"/>
          </w:rPr>
          <w:t>.</w:t>
        </w:r>
        <w:r>
          <w:rPr>
            <w:color w:val="231F20"/>
            <w:w w:val="104"/>
            <w:sz w:val="16"/>
          </w:rPr>
          <w:t>g</w:t>
        </w:r>
        <w:r>
          <w:rPr>
            <w:color w:val="231F20"/>
            <w:w w:val="94"/>
            <w:sz w:val="16"/>
          </w:rPr>
          <w:t>e</w:t>
        </w:r>
        <w:r>
          <w:rPr>
            <w:color w:val="231F20"/>
            <w:spacing w:val="2"/>
            <w:w w:val="101"/>
            <w:sz w:val="16"/>
          </w:rPr>
          <w:t>r</w:t>
        </w:r>
        <w:r>
          <w:rPr>
            <w:color w:val="231F20"/>
            <w:spacing w:val="1"/>
            <w:w w:val="101"/>
            <w:sz w:val="16"/>
          </w:rPr>
          <w:t>m</w:t>
        </w:r>
        <w:r>
          <w:rPr>
            <w:color w:val="231F20"/>
            <w:spacing w:val="2"/>
            <w:w w:val="106"/>
            <w:sz w:val="16"/>
          </w:rPr>
          <w:t>a</w:t>
        </w:r>
        <w:r>
          <w:rPr>
            <w:color w:val="231F20"/>
            <w:w w:val="103"/>
            <w:sz w:val="16"/>
          </w:rPr>
          <w:t>n</w:t>
        </w:r>
        <w:r>
          <w:rPr>
            <w:color w:val="231F20"/>
            <w:spacing w:val="3"/>
            <w:w w:val="104"/>
            <w:sz w:val="16"/>
          </w:rPr>
          <w:t>g</w:t>
        </w:r>
        <w:r>
          <w:rPr>
            <w:color w:val="231F20"/>
            <w:w w:val="104"/>
            <w:sz w:val="16"/>
          </w:rPr>
          <w:t>u</w:t>
        </w:r>
        <w:r>
          <w:rPr>
            <w:color w:val="231F20"/>
            <w:w w:val="94"/>
            <w:sz w:val="16"/>
          </w:rPr>
          <w:t>e</w:t>
        </w:r>
        <w:r>
          <w:rPr>
            <w:color w:val="231F20"/>
            <w:spacing w:val="2"/>
            <w:w w:val="97"/>
            <w:sz w:val="16"/>
          </w:rPr>
          <w:t>r</w:t>
        </w:r>
        <w:r>
          <w:rPr>
            <w:color w:val="231F20"/>
            <w:spacing w:val="2"/>
            <w:w w:val="105"/>
            <w:sz w:val="16"/>
          </w:rPr>
          <w:t>il</w:t>
        </w:r>
        <w:r>
          <w:rPr>
            <w:color w:val="231F20"/>
            <w:w w:val="105"/>
            <w:sz w:val="16"/>
          </w:rPr>
          <w:t>l</w:t>
        </w:r>
        <w:r>
          <w:rPr>
            <w:color w:val="231F20"/>
            <w:w w:val="106"/>
            <w:sz w:val="16"/>
          </w:rPr>
          <w:t>a</w:t>
        </w:r>
        <w:r>
          <w:rPr>
            <w:color w:val="231F20"/>
            <w:w w:val="140"/>
            <w:sz w:val="16"/>
          </w:rPr>
          <w:t>.</w:t>
        </w:r>
        <w:r>
          <w:rPr>
            <w:color w:val="231F20"/>
            <w:w w:val="104"/>
            <w:sz w:val="16"/>
          </w:rPr>
          <w:t>c</w:t>
        </w:r>
        <w:r>
          <w:rPr>
            <w:color w:val="231F20"/>
            <w:w w:val="108"/>
            <w:sz w:val="16"/>
          </w:rPr>
          <w:t>o</w:t>
        </w:r>
        <w:r>
          <w:rPr>
            <w:color w:val="231F20"/>
            <w:spacing w:val="8"/>
            <w:w w:val="103"/>
            <w:sz w:val="16"/>
          </w:rPr>
          <w:t>m</w:t>
        </w:r>
        <w:r>
          <w:rPr>
            <w:color w:val="231F20"/>
            <w:spacing w:val="-1"/>
            <w:w w:val="58"/>
            <w:sz w:val="16"/>
          </w:rPr>
          <w:t>/</w:t>
        </w:r>
        <w:r>
          <w:rPr>
            <w:color w:val="231F20"/>
            <w:w w:val="97"/>
            <w:sz w:val="16"/>
          </w:rPr>
          <w:t>r</w:t>
        </w:r>
        <w:r>
          <w:rPr>
            <w:color w:val="231F20"/>
            <w:w w:val="94"/>
            <w:sz w:val="16"/>
          </w:rPr>
          <w:t>e</w:t>
        </w:r>
        <w:r>
          <w:rPr>
            <w:color w:val="231F20"/>
            <w:w w:val="103"/>
            <w:sz w:val="16"/>
          </w:rPr>
          <w:t>d</w:t>
        </w:r>
        <w:r>
          <w:rPr>
            <w:color w:val="231F20"/>
            <w:spacing w:val="2"/>
            <w:w w:val="104"/>
            <w:sz w:val="16"/>
          </w:rPr>
          <w:t>-</w:t>
        </w:r>
        <w:r>
          <w:rPr>
            <w:color w:val="231F20"/>
            <w:spacing w:val="3"/>
            <w:w w:val="106"/>
            <w:sz w:val="16"/>
          </w:rPr>
          <w:t>a</w:t>
        </w:r>
        <w:r>
          <w:rPr>
            <w:color w:val="231F20"/>
            <w:spacing w:val="2"/>
            <w:w w:val="101"/>
            <w:sz w:val="16"/>
          </w:rPr>
          <w:t>r</w:t>
        </w:r>
        <w:r>
          <w:rPr>
            <w:color w:val="231F20"/>
            <w:spacing w:val="-1"/>
            <w:w w:val="101"/>
            <w:sz w:val="16"/>
          </w:rPr>
          <w:t>m</w:t>
        </w:r>
        <w:r>
          <w:rPr>
            <w:color w:val="231F20"/>
            <w:spacing w:val="-2"/>
            <w:w w:val="102"/>
            <w:sz w:val="16"/>
          </w:rPr>
          <w:t>y</w:t>
        </w:r>
        <w:r>
          <w:rPr>
            <w:color w:val="231F20"/>
            <w:w w:val="104"/>
            <w:sz w:val="16"/>
          </w:rPr>
          <w:t>-</w:t>
        </w:r>
        <w:r>
          <w:rPr>
            <w:color w:val="231F20"/>
            <w:w w:val="114"/>
            <w:sz w:val="16"/>
          </w:rPr>
          <w:t>f</w:t>
        </w:r>
        <w:r>
          <w:rPr>
            <w:color w:val="231F20"/>
            <w:w w:val="106"/>
            <w:sz w:val="16"/>
          </w:rPr>
          <w:t>a</w:t>
        </w:r>
        <w:r>
          <w:rPr>
            <w:color w:val="231F20"/>
            <w:spacing w:val="3"/>
            <w:w w:val="104"/>
            <w:sz w:val="16"/>
          </w:rPr>
          <w:t>c</w:t>
        </w:r>
        <w:r>
          <w:rPr>
            <w:color w:val="231F20"/>
            <w:spacing w:val="2"/>
            <w:w w:val="102"/>
            <w:sz w:val="16"/>
          </w:rPr>
          <w:t>t</w:t>
        </w:r>
        <w:r>
          <w:rPr>
            <w:color w:val="231F20"/>
            <w:spacing w:val="-1"/>
            <w:w w:val="103"/>
            <w:sz w:val="16"/>
          </w:rPr>
          <w:t>i</w:t>
        </w:r>
        <w:r>
          <w:rPr>
            <w:color w:val="231F20"/>
            <w:w w:val="108"/>
            <w:sz w:val="16"/>
          </w:rPr>
          <w:t>o</w:t>
        </w:r>
        <w:r>
          <w:rPr>
            <w:color w:val="231F20"/>
            <w:spacing w:val="7"/>
            <w:w w:val="103"/>
            <w:sz w:val="16"/>
          </w:rPr>
          <w:t>n</w:t>
        </w:r>
        <w:r>
          <w:rPr>
            <w:color w:val="231F20"/>
            <w:w w:val="58"/>
            <w:sz w:val="16"/>
          </w:rPr>
          <w:t>/</w:t>
        </w:r>
      </w:hyperlink>
      <w:r>
        <w:rPr>
          <w:color w:val="231F20"/>
          <w:w w:val="58"/>
          <w:sz w:val="16"/>
        </w:rPr>
        <w:t xml:space="preserve"> </w:t>
      </w:r>
      <w:r>
        <w:rPr>
          <w:color w:val="231F20"/>
          <w:w w:val="103"/>
          <w:sz w:val="16"/>
        </w:rPr>
        <w:t>d</w:t>
      </w:r>
      <w:r>
        <w:rPr>
          <w:color w:val="231F20"/>
          <w:spacing w:val="2"/>
          <w:w w:val="108"/>
          <w:sz w:val="16"/>
        </w:rPr>
        <w:t>o</w:t>
      </w:r>
      <w:r>
        <w:rPr>
          <w:color w:val="231F20"/>
          <w:spacing w:val="2"/>
          <w:w w:val="104"/>
          <w:sz w:val="16"/>
        </w:rPr>
        <w:t>c</w:t>
      </w:r>
      <w:r>
        <w:rPr>
          <w:color w:val="231F20"/>
          <w:spacing w:val="3"/>
          <w:w w:val="104"/>
          <w:sz w:val="16"/>
        </w:rPr>
        <w:t>u</w:t>
      </w:r>
      <w:r>
        <w:rPr>
          <w:color w:val="231F20"/>
          <w:w w:val="103"/>
          <w:sz w:val="16"/>
        </w:rPr>
        <w:t>m</w:t>
      </w:r>
      <w:r>
        <w:rPr>
          <w:color w:val="231F20"/>
          <w:w w:val="94"/>
          <w:sz w:val="16"/>
        </w:rPr>
        <w:t>e</w:t>
      </w:r>
      <w:r>
        <w:rPr>
          <w:color w:val="231F20"/>
          <w:spacing w:val="-1"/>
          <w:w w:val="102"/>
          <w:sz w:val="16"/>
        </w:rPr>
        <w:t>n</w:t>
      </w:r>
      <w:r>
        <w:rPr>
          <w:color w:val="231F20"/>
          <w:spacing w:val="2"/>
          <w:w w:val="102"/>
          <w:sz w:val="16"/>
        </w:rPr>
        <w:t>t</w:t>
      </w:r>
      <w:r>
        <w:rPr>
          <w:color w:val="231F20"/>
          <w:spacing w:val="5"/>
          <w:w w:val="93"/>
          <w:sz w:val="16"/>
        </w:rPr>
        <w:t>s</w:t>
      </w:r>
      <w:r>
        <w:rPr>
          <w:color w:val="231F20"/>
          <w:spacing w:val="-1"/>
          <w:w w:val="58"/>
          <w:sz w:val="16"/>
        </w:rPr>
        <w:t>/</w:t>
      </w:r>
      <w:r>
        <w:rPr>
          <w:color w:val="231F20"/>
          <w:spacing w:val="-4"/>
          <w:w w:val="104"/>
          <w:sz w:val="16"/>
        </w:rPr>
        <w:t>7</w:t>
      </w:r>
      <w:r>
        <w:rPr>
          <w:color w:val="231F20"/>
          <w:spacing w:val="1"/>
          <w:w w:val="104"/>
          <w:sz w:val="16"/>
        </w:rPr>
        <w:t>6</w:t>
      </w:r>
      <w:r>
        <w:rPr>
          <w:color w:val="231F20"/>
          <w:spacing w:val="2"/>
          <w:w w:val="139"/>
          <w:sz w:val="16"/>
        </w:rPr>
        <w:t>_</w:t>
      </w:r>
      <w:r>
        <w:rPr>
          <w:color w:val="231F20"/>
          <w:spacing w:val="1"/>
          <w:w w:val="104"/>
          <w:sz w:val="16"/>
        </w:rPr>
        <w:t>0</w:t>
      </w:r>
      <w:r>
        <w:rPr>
          <w:color w:val="231F20"/>
          <w:spacing w:val="-2"/>
          <w:w w:val="104"/>
          <w:sz w:val="16"/>
        </w:rPr>
        <w:t>7</w:t>
      </w:r>
      <w:r>
        <w:rPr>
          <w:color w:val="231F20"/>
          <w:w w:val="104"/>
          <w:sz w:val="16"/>
        </w:rPr>
        <w:t>08</w:t>
      </w:r>
      <w:r>
        <w:rPr>
          <w:color w:val="231F20"/>
          <w:spacing w:val="6"/>
          <w:w w:val="139"/>
          <w:sz w:val="16"/>
        </w:rPr>
        <w:t>_</w:t>
      </w:r>
      <w:r>
        <w:rPr>
          <w:color w:val="231F20"/>
          <w:w w:val="103"/>
          <w:sz w:val="16"/>
        </w:rPr>
        <w:t>m</w:t>
      </w:r>
      <w:r>
        <w:rPr>
          <w:color w:val="231F20"/>
          <w:w w:val="108"/>
          <w:sz w:val="16"/>
        </w:rPr>
        <w:t>o</w:t>
      </w:r>
      <w:r>
        <w:rPr>
          <w:color w:val="231F20"/>
          <w:spacing w:val="3"/>
          <w:w w:val="104"/>
          <w:sz w:val="16"/>
        </w:rPr>
        <w:t>hn</w:t>
      </w:r>
      <w:r>
        <w:rPr>
          <w:color w:val="231F20"/>
          <w:spacing w:val="1"/>
          <w:w w:val="104"/>
          <w:sz w:val="16"/>
        </w:rPr>
        <w:t>h</w:t>
      </w:r>
      <w:r>
        <w:rPr>
          <w:color w:val="231F20"/>
          <w:spacing w:val="-2"/>
          <w:w w:val="106"/>
          <w:sz w:val="16"/>
        </w:rPr>
        <w:t>a</w:t>
      </w:r>
      <w:r>
        <w:rPr>
          <w:color w:val="231F20"/>
          <w:spacing w:val="-2"/>
          <w:w w:val="104"/>
          <w:sz w:val="16"/>
        </w:rPr>
        <w:t>u</w:t>
      </w:r>
      <w:r>
        <w:rPr>
          <w:color w:val="231F20"/>
          <w:w w:val="103"/>
          <w:sz w:val="16"/>
        </w:rPr>
        <w:t>p</w:t>
      </w:r>
      <w:r>
        <w:rPr>
          <w:color w:val="231F20"/>
          <w:spacing w:val="5"/>
          <w:w w:val="102"/>
          <w:sz w:val="16"/>
        </w:rPr>
        <w:t>t</w:t>
      </w:r>
      <w:r>
        <w:rPr>
          <w:color w:val="231F20"/>
          <w:spacing w:val="3"/>
          <w:w w:val="139"/>
          <w:sz w:val="16"/>
        </w:rPr>
        <w:t>_</w:t>
      </w:r>
      <w:r>
        <w:rPr>
          <w:color w:val="231F20"/>
          <w:spacing w:val="1"/>
          <w:w w:val="103"/>
          <w:sz w:val="16"/>
        </w:rPr>
        <w:t>p</w:t>
      </w:r>
      <w:r>
        <w:rPr>
          <w:color w:val="231F20"/>
          <w:w w:val="108"/>
          <w:sz w:val="16"/>
        </w:rPr>
        <w:t>o</w:t>
      </w:r>
      <w:r>
        <w:rPr>
          <w:color w:val="231F20"/>
          <w:spacing w:val="3"/>
          <w:w w:val="104"/>
          <w:sz w:val="16"/>
        </w:rPr>
        <w:t>h</w:t>
      </w:r>
      <w:r>
        <w:rPr>
          <w:color w:val="231F20"/>
          <w:w w:val="106"/>
          <w:sz w:val="16"/>
        </w:rPr>
        <w:t>l</w:t>
      </w:r>
      <w:r>
        <w:rPr>
          <w:color w:val="231F20"/>
          <w:w w:val="140"/>
          <w:sz w:val="16"/>
        </w:rPr>
        <w:t>.</w:t>
      </w:r>
      <w:r>
        <w:rPr>
          <w:color w:val="231F20"/>
          <w:spacing w:val="-1"/>
          <w:w w:val="104"/>
          <w:sz w:val="16"/>
        </w:rPr>
        <w:t>h</w:t>
      </w:r>
      <w:r>
        <w:rPr>
          <w:color w:val="231F20"/>
          <w:spacing w:val="3"/>
          <w:w w:val="102"/>
          <w:sz w:val="16"/>
        </w:rPr>
        <w:t>t</w:t>
      </w:r>
      <w:r>
        <w:rPr>
          <w:color w:val="231F20"/>
          <w:spacing w:val="3"/>
          <w:w w:val="104"/>
          <w:sz w:val="16"/>
        </w:rPr>
        <w:t>m</w:t>
      </w:r>
      <w:r>
        <w:rPr>
          <w:color w:val="231F20"/>
          <w:w w:val="104"/>
          <w:sz w:val="16"/>
        </w:rPr>
        <w:t>l</w:t>
      </w:r>
      <w:r>
        <w:rPr>
          <w:color w:val="231F20"/>
          <w:w w:val="140"/>
          <w:sz w:val="16"/>
        </w:rPr>
        <w:t>.</w:t>
      </w:r>
    </w:p>
    <w:p w14:paraId="16D31511" w14:textId="77777777" w:rsidR="002653E8" w:rsidRDefault="003115E3">
      <w:pPr>
        <w:pStyle w:val="a4"/>
        <w:numPr>
          <w:ilvl w:val="1"/>
          <w:numId w:val="137"/>
        </w:numPr>
        <w:tabs>
          <w:tab w:val="left" w:pos="1467"/>
        </w:tabs>
        <w:spacing w:line="254" w:lineRule="auto"/>
        <w:ind w:right="1983" w:firstLine="0"/>
        <w:rPr>
          <w:sz w:val="16"/>
        </w:rPr>
      </w:pPr>
      <w:r>
        <w:rPr>
          <w:color w:val="231F20"/>
          <w:w w:val="105"/>
          <w:sz w:val="16"/>
        </w:rPr>
        <w:t xml:space="preserve">Clare Bielby, “‘Bonnie und Kleid’: Female Terrorists and the Hysterical </w:t>
      </w:r>
      <w:r>
        <w:rPr>
          <w:color w:val="231F20"/>
          <w:w w:val="107"/>
          <w:sz w:val="16"/>
        </w:rPr>
        <w:t>F</w:t>
      </w:r>
      <w:r>
        <w:rPr>
          <w:color w:val="231F20"/>
          <w:w w:val="94"/>
          <w:sz w:val="16"/>
        </w:rPr>
        <w:t>e</w:t>
      </w:r>
      <w:r>
        <w:rPr>
          <w:color w:val="231F20"/>
          <w:spacing w:val="3"/>
          <w:w w:val="103"/>
          <w:sz w:val="16"/>
        </w:rPr>
        <w:t>mini</w:t>
      </w:r>
      <w:r>
        <w:rPr>
          <w:color w:val="231F20"/>
          <w:w w:val="103"/>
          <w:sz w:val="16"/>
        </w:rPr>
        <w:t>n</w:t>
      </w:r>
      <w:r>
        <w:rPr>
          <w:color w:val="231F20"/>
          <w:spacing w:val="2"/>
          <w:w w:val="94"/>
          <w:sz w:val="16"/>
        </w:rPr>
        <w:t>e</w:t>
      </w:r>
      <w:r>
        <w:rPr>
          <w:color w:val="231F20"/>
          <w:spacing w:val="-9"/>
          <w:w w:val="140"/>
          <w:sz w:val="16"/>
        </w:rPr>
        <w:t>,</w:t>
      </w:r>
      <w:r>
        <w:rPr>
          <w:color w:val="231F20"/>
          <w:w w:val="153"/>
          <w:sz w:val="16"/>
        </w:rPr>
        <w:t>”</w:t>
      </w:r>
      <w:r>
        <w:rPr>
          <w:color w:val="231F20"/>
          <w:spacing w:val="10"/>
          <w:sz w:val="16"/>
        </w:rPr>
        <w:t xml:space="preserve"> </w:t>
      </w:r>
      <w:r>
        <w:rPr>
          <w:i/>
          <w:color w:val="231F20"/>
          <w:spacing w:val="2"/>
          <w:w w:val="109"/>
          <w:sz w:val="16"/>
        </w:rPr>
        <w:t>F</w:t>
      </w:r>
      <w:r>
        <w:rPr>
          <w:i/>
          <w:color w:val="231F20"/>
          <w:spacing w:val="2"/>
          <w:w w:val="113"/>
          <w:sz w:val="16"/>
        </w:rPr>
        <w:t>o</w:t>
      </w:r>
      <w:r>
        <w:rPr>
          <w:i/>
          <w:color w:val="231F20"/>
          <w:spacing w:val="5"/>
          <w:w w:val="99"/>
          <w:sz w:val="16"/>
        </w:rPr>
        <w:t>r</w:t>
      </w:r>
      <w:r>
        <w:rPr>
          <w:i/>
          <w:color w:val="231F20"/>
          <w:spacing w:val="3"/>
          <w:w w:val="107"/>
          <w:sz w:val="16"/>
        </w:rPr>
        <w:t>u</w:t>
      </w:r>
      <w:r>
        <w:rPr>
          <w:i/>
          <w:color w:val="231F20"/>
          <w:w w:val="108"/>
          <w:sz w:val="16"/>
        </w:rPr>
        <w:t>m</w:t>
      </w:r>
      <w:r>
        <w:rPr>
          <w:i/>
          <w:color w:val="231F20"/>
          <w:spacing w:val="10"/>
          <w:sz w:val="16"/>
        </w:rPr>
        <w:t xml:space="preserve"> </w:t>
      </w:r>
      <w:r>
        <w:rPr>
          <w:color w:val="231F20"/>
          <w:spacing w:val="2"/>
          <w:w w:val="104"/>
          <w:sz w:val="16"/>
        </w:rPr>
        <w:t>2</w:t>
      </w:r>
      <w:r>
        <w:rPr>
          <w:color w:val="231F20"/>
          <w:w w:val="140"/>
          <w:sz w:val="16"/>
        </w:rPr>
        <w:t>,</w:t>
      </w:r>
      <w:r>
        <w:rPr>
          <w:color w:val="231F20"/>
          <w:spacing w:val="10"/>
          <w:sz w:val="16"/>
        </w:rPr>
        <w:t xml:space="preserve"> </w:t>
      </w:r>
      <w:hyperlink r:id="rId147">
        <w:r>
          <w:rPr>
            <w:color w:val="231F20"/>
            <w:w w:val="103"/>
            <w:sz w:val="16"/>
          </w:rPr>
          <w:t>h</w:t>
        </w:r>
        <w:r>
          <w:rPr>
            <w:color w:val="231F20"/>
            <w:spacing w:val="5"/>
            <w:w w:val="103"/>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w w:val="58"/>
            <w:sz w:val="16"/>
          </w:rPr>
          <w:t>/</w:t>
        </w:r>
        <w:r>
          <w:rPr>
            <w:color w:val="231F20"/>
            <w:w w:val="114"/>
            <w:sz w:val="16"/>
          </w:rPr>
          <w:t>f</w:t>
        </w:r>
        <w:r>
          <w:rPr>
            <w:color w:val="231F20"/>
            <w:w w:val="108"/>
            <w:sz w:val="16"/>
          </w:rPr>
          <w:t>o</w:t>
        </w:r>
        <w:r>
          <w:rPr>
            <w:color w:val="231F20"/>
            <w:spacing w:val="3"/>
            <w:w w:val="97"/>
            <w:sz w:val="16"/>
          </w:rPr>
          <w:t>r</w:t>
        </w:r>
        <w:r>
          <w:rPr>
            <w:color w:val="231F20"/>
            <w:spacing w:val="5"/>
            <w:w w:val="104"/>
            <w:sz w:val="16"/>
          </w:rPr>
          <w:t>u</w:t>
        </w:r>
        <w:r>
          <w:rPr>
            <w:color w:val="231F20"/>
            <w:spacing w:val="1"/>
            <w:w w:val="103"/>
            <w:sz w:val="16"/>
          </w:rPr>
          <w:t>m</w:t>
        </w:r>
        <w:r>
          <w:rPr>
            <w:color w:val="231F20"/>
            <w:w w:val="140"/>
            <w:sz w:val="16"/>
          </w:rPr>
          <w:t>.</w:t>
        </w:r>
        <w:r>
          <w:rPr>
            <w:color w:val="231F20"/>
            <w:spacing w:val="2"/>
            <w:w w:val="106"/>
            <w:sz w:val="16"/>
          </w:rPr>
          <w:t>l</w:t>
        </w:r>
        <w:r>
          <w:rPr>
            <w:color w:val="231F20"/>
            <w:w w:val="106"/>
            <w:sz w:val="16"/>
          </w:rPr>
          <w:t>l</w:t>
        </w:r>
        <w:r>
          <w:rPr>
            <w:color w:val="231F20"/>
            <w:spacing w:val="1"/>
            <w:w w:val="104"/>
            <w:sz w:val="16"/>
          </w:rPr>
          <w:t>c</w:t>
        </w:r>
        <w:r>
          <w:rPr>
            <w:color w:val="231F20"/>
            <w:w w:val="140"/>
            <w:sz w:val="16"/>
          </w:rPr>
          <w:t>.</w:t>
        </w:r>
        <w:r>
          <w:rPr>
            <w:color w:val="231F20"/>
            <w:spacing w:val="1"/>
            <w:w w:val="94"/>
            <w:sz w:val="16"/>
          </w:rPr>
          <w:t>e</w:t>
        </w:r>
        <w:r>
          <w:rPr>
            <w:color w:val="231F20"/>
            <w:spacing w:val="1"/>
            <w:w w:val="103"/>
            <w:sz w:val="16"/>
          </w:rPr>
          <w:t>d</w:t>
        </w:r>
        <w:r>
          <w:rPr>
            <w:color w:val="231F20"/>
            <w:spacing w:val="2"/>
            <w:w w:val="140"/>
            <w:sz w:val="16"/>
          </w:rPr>
          <w:t>.</w:t>
        </w:r>
        <w:r>
          <w:rPr>
            <w:color w:val="231F20"/>
            <w:w w:val="106"/>
            <w:sz w:val="16"/>
          </w:rPr>
          <w:t>a</w:t>
        </w:r>
        <w:r>
          <w:rPr>
            <w:color w:val="231F20"/>
            <w:spacing w:val="1"/>
            <w:w w:val="104"/>
            <w:sz w:val="16"/>
          </w:rPr>
          <w:t>c</w:t>
        </w:r>
        <w:r>
          <w:rPr>
            <w:color w:val="231F20"/>
            <w:spacing w:val="-1"/>
            <w:w w:val="140"/>
            <w:sz w:val="16"/>
          </w:rPr>
          <w:t>.</w:t>
        </w:r>
        <w:r>
          <w:rPr>
            <w:color w:val="231F20"/>
            <w:spacing w:val="3"/>
            <w:w w:val="104"/>
            <w:sz w:val="16"/>
          </w:rPr>
          <w:t>u</w:t>
        </w:r>
        <w:r>
          <w:rPr>
            <w:color w:val="231F20"/>
            <w:spacing w:val="8"/>
            <w:w w:val="109"/>
            <w:sz w:val="16"/>
          </w:rPr>
          <w:t>k</w:t>
        </w:r>
        <w:r>
          <w:rPr>
            <w:color w:val="231F20"/>
            <w:spacing w:val="2"/>
            <w:w w:val="58"/>
            <w:sz w:val="16"/>
          </w:rPr>
          <w:t>/</w:t>
        </w:r>
        <w:r>
          <w:rPr>
            <w:color w:val="231F20"/>
            <w:spacing w:val="1"/>
            <w:w w:val="103"/>
            <w:sz w:val="16"/>
          </w:rPr>
          <w:t>i</w:t>
        </w:r>
        <w:r>
          <w:rPr>
            <w:color w:val="231F20"/>
            <w:spacing w:val="1"/>
            <w:w w:val="93"/>
            <w:sz w:val="16"/>
          </w:rPr>
          <w:t>s</w:t>
        </w:r>
        <w:r>
          <w:rPr>
            <w:color w:val="231F20"/>
            <w:w w:val="93"/>
            <w:sz w:val="16"/>
          </w:rPr>
          <w:t>s</w:t>
        </w:r>
        <w:r>
          <w:rPr>
            <w:color w:val="231F20"/>
            <w:w w:val="104"/>
            <w:sz w:val="16"/>
          </w:rPr>
          <w:t>u</w:t>
        </w:r>
        <w:r>
          <w:rPr>
            <w:color w:val="231F20"/>
            <w:w w:val="94"/>
            <w:sz w:val="16"/>
          </w:rPr>
          <w:t>e</w:t>
        </w:r>
        <w:r>
          <w:rPr>
            <w:color w:val="231F20"/>
            <w:spacing w:val="6"/>
            <w:w w:val="104"/>
            <w:sz w:val="16"/>
          </w:rPr>
          <w:t>2</w:t>
        </w:r>
        <w:r>
          <w:rPr>
            <w:color w:val="231F20"/>
            <w:spacing w:val="6"/>
            <w:w w:val="58"/>
            <w:sz w:val="16"/>
          </w:rPr>
          <w:t>/</w:t>
        </w:r>
        <w:r>
          <w:rPr>
            <w:color w:val="231F20"/>
            <w:w w:val="104"/>
            <w:sz w:val="16"/>
          </w:rPr>
          <w:t>bi</w:t>
        </w:r>
        <w:r>
          <w:rPr>
            <w:color w:val="231F20"/>
            <w:w w:val="98"/>
            <w:sz w:val="16"/>
          </w:rPr>
          <w:t>e</w:t>
        </w:r>
        <w:r>
          <w:rPr>
            <w:color w:val="231F20"/>
            <w:spacing w:val="-1"/>
            <w:w w:val="98"/>
            <w:sz w:val="16"/>
          </w:rPr>
          <w:t>l</w:t>
        </w:r>
        <w:r>
          <w:rPr>
            <w:color w:val="231F20"/>
            <w:w w:val="105"/>
            <w:sz w:val="16"/>
          </w:rPr>
          <w:t>b</w:t>
        </w:r>
        <w:r>
          <w:rPr>
            <w:color w:val="231F20"/>
            <w:spacing w:val="-10"/>
            <w:w w:val="102"/>
            <w:sz w:val="16"/>
          </w:rPr>
          <w:t>y</w:t>
        </w:r>
        <w:r>
          <w:rPr>
            <w:color w:val="231F20"/>
            <w:spacing w:val="1"/>
            <w:w w:val="140"/>
            <w:sz w:val="16"/>
          </w:rPr>
          <w:t>.</w:t>
        </w:r>
        <w:r>
          <w:rPr>
            <w:color w:val="231F20"/>
            <w:w w:val="104"/>
            <w:sz w:val="16"/>
          </w:rPr>
          <w:t>h</w:t>
        </w:r>
        <w:r>
          <w:rPr>
            <w:color w:val="231F20"/>
            <w:spacing w:val="3"/>
            <w:w w:val="102"/>
            <w:sz w:val="16"/>
          </w:rPr>
          <w:t>t</w:t>
        </w:r>
        <w:r>
          <w:rPr>
            <w:color w:val="231F20"/>
            <w:spacing w:val="3"/>
            <w:w w:val="103"/>
            <w:sz w:val="16"/>
          </w:rPr>
          <w:t>m</w:t>
        </w:r>
        <w:r>
          <w:rPr>
            <w:color w:val="231F20"/>
            <w:w w:val="106"/>
            <w:sz w:val="16"/>
          </w:rPr>
          <w:t>l</w:t>
        </w:r>
        <w:r>
          <w:rPr>
            <w:color w:val="231F20"/>
            <w:w w:val="140"/>
            <w:sz w:val="16"/>
          </w:rPr>
          <w:t>.</w:t>
        </w:r>
      </w:hyperlink>
    </w:p>
    <w:p w14:paraId="3ADBE29A" w14:textId="77777777" w:rsidR="002653E8" w:rsidRDefault="003115E3">
      <w:pPr>
        <w:pStyle w:val="a4"/>
        <w:numPr>
          <w:ilvl w:val="1"/>
          <w:numId w:val="137"/>
        </w:numPr>
        <w:tabs>
          <w:tab w:val="left" w:pos="1467"/>
        </w:tabs>
        <w:spacing w:line="254" w:lineRule="auto"/>
        <w:ind w:right="1461" w:firstLine="0"/>
        <w:rPr>
          <w:sz w:val="16"/>
        </w:rPr>
      </w:pPr>
      <w:r>
        <w:rPr>
          <w:color w:val="231F20"/>
          <w:w w:val="105"/>
          <w:sz w:val="16"/>
        </w:rPr>
        <w:t xml:space="preserve">They were </w:t>
      </w:r>
      <w:r>
        <w:rPr>
          <w:color w:val="231F20"/>
          <w:spacing w:val="1"/>
          <w:w w:val="105"/>
          <w:sz w:val="16"/>
        </w:rPr>
        <w:t xml:space="preserve">turned </w:t>
      </w:r>
      <w:r>
        <w:rPr>
          <w:color w:val="231F20"/>
          <w:w w:val="105"/>
          <w:sz w:val="16"/>
        </w:rPr>
        <w:t>in by Fritz Rodewald, who evidently did not know if he was coming or going: he would donate the reward money to the prisoners’ defense fund</w:t>
      </w:r>
      <w:r>
        <w:rPr>
          <w:color w:val="231F20"/>
          <w:spacing w:val="8"/>
          <w:w w:val="105"/>
          <w:sz w:val="16"/>
        </w:rPr>
        <w:t xml:space="preserve"> </w:t>
      </w:r>
      <w:r>
        <w:rPr>
          <w:color w:val="231F20"/>
          <w:w w:val="105"/>
          <w:sz w:val="16"/>
        </w:rPr>
        <w:t>(Vague,</w:t>
      </w:r>
      <w:r>
        <w:rPr>
          <w:color w:val="231F20"/>
          <w:spacing w:val="10"/>
          <w:w w:val="105"/>
          <w:sz w:val="16"/>
        </w:rPr>
        <w:t xml:space="preserve"> </w:t>
      </w:r>
      <w:r>
        <w:rPr>
          <w:color w:val="231F20"/>
          <w:spacing w:val="-4"/>
          <w:w w:val="105"/>
          <w:sz w:val="16"/>
        </w:rPr>
        <w:t>49).</w:t>
      </w:r>
      <w:r>
        <w:rPr>
          <w:color w:val="231F20"/>
          <w:spacing w:val="8"/>
          <w:w w:val="105"/>
          <w:sz w:val="16"/>
        </w:rPr>
        <w:t xml:space="preserve"> </w:t>
      </w:r>
      <w:r>
        <w:rPr>
          <w:color w:val="231F20"/>
          <w:w w:val="105"/>
          <w:sz w:val="16"/>
        </w:rPr>
        <w:t>For</w:t>
      </w:r>
      <w:r>
        <w:rPr>
          <w:color w:val="231F20"/>
          <w:spacing w:val="8"/>
          <w:w w:val="105"/>
          <w:sz w:val="16"/>
        </w:rPr>
        <w:t xml:space="preserve"> </w:t>
      </w:r>
      <w:r>
        <w:rPr>
          <w:color w:val="231F20"/>
          <w:w w:val="105"/>
          <w:sz w:val="16"/>
        </w:rPr>
        <w:t>more</w:t>
      </w:r>
      <w:r>
        <w:rPr>
          <w:color w:val="231F20"/>
          <w:spacing w:val="8"/>
          <w:w w:val="105"/>
          <w:sz w:val="16"/>
        </w:rPr>
        <w:t xml:space="preserve"> </w:t>
      </w:r>
      <w:r>
        <w:rPr>
          <w:color w:val="231F20"/>
          <w:w w:val="105"/>
          <w:sz w:val="16"/>
        </w:rPr>
        <w:t>details</w:t>
      </w:r>
      <w:r>
        <w:rPr>
          <w:color w:val="231F20"/>
          <w:spacing w:val="8"/>
          <w:w w:val="105"/>
          <w:sz w:val="16"/>
        </w:rPr>
        <w:t xml:space="preserve"> </w:t>
      </w:r>
      <w:r>
        <w:rPr>
          <w:color w:val="231F20"/>
          <w:w w:val="105"/>
          <w:sz w:val="16"/>
        </w:rPr>
        <w:t>on</w:t>
      </w:r>
      <w:r>
        <w:rPr>
          <w:color w:val="231F20"/>
          <w:spacing w:val="8"/>
          <w:w w:val="105"/>
          <w:sz w:val="16"/>
        </w:rPr>
        <w:t xml:space="preserve"> </w:t>
      </w:r>
      <w:r>
        <w:rPr>
          <w:color w:val="231F20"/>
          <w:w w:val="105"/>
          <w:sz w:val="16"/>
        </w:rPr>
        <w:t>Rodewald’s</w:t>
      </w:r>
      <w:r>
        <w:rPr>
          <w:color w:val="231F20"/>
          <w:spacing w:val="8"/>
          <w:w w:val="105"/>
          <w:sz w:val="16"/>
        </w:rPr>
        <w:t xml:space="preserve"> </w:t>
      </w:r>
      <w:r>
        <w:rPr>
          <w:color w:val="231F20"/>
          <w:w w:val="105"/>
          <w:sz w:val="16"/>
        </w:rPr>
        <w:t>motivations,</w:t>
      </w:r>
      <w:r>
        <w:rPr>
          <w:color w:val="231F20"/>
          <w:spacing w:val="8"/>
          <w:w w:val="105"/>
          <w:sz w:val="16"/>
        </w:rPr>
        <w:t xml:space="preserve"> </w:t>
      </w:r>
      <w:r>
        <w:rPr>
          <w:color w:val="231F20"/>
          <w:w w:val="105"/>
          <w:sz w:val="16"/>
        </w:rPr>
        <w:t>see</w:t>
      </w:r>
      <w:r>
        <w:rPr>
          <w:color w:val="231F20"/>
          <w:spacing w:val="8"/>
          <w:w w:val="105"/>
          <w:sz w:val="16"/>
        </w:rPr>
        <w:t xml:space="preserve"> </w:t>
      </w:r>
      <w:r>
        <w:rPr>
          <w:color w:val="231F20"/>
          <w:w w:val="105"/>
          <w:sz w:val="16"/>
        </w:rPr>
        <w:t>page</w:t>
      </w:r>
      <w:r>
        <w:rPr>
          <w:color w:val="231F20"/>
          <w:spacing w:val="10"/>
          <w:w w:val="105"/>
          <w:sz w:val="16"/>
        </w:rPr>
        <w:t xml:space="preserve"> </w:t>
      </w:r>
      <w:r>
        <w:rPr>
          <w:color w:val="231F20"/>
          <w:w w:val="105"/>
          <w:sz w:val="16"/>
        </w:rPr>
        <w:t>201.</w:t>
      </w:r>
    </w:p>
    <w:p w14:paraId="2090F4FB" w14:textId="77777777" w:rsidR="002653E8" w:rsidRPr="00C507A5" w:rsidRDefault="003115E3">
      <w:pPr>
        <w:pStyle w:val="a4"/>
        <w:numPr>
          <w:ilvl w:val="1"/>
          <w:numId w:val="137"/>
        </w:numPr>
        <w:tabs>
          <w:tab w:val="left" w:pos="1552"/>
        </w:tabs>
        <w:spacing w:line="254" w:lineRule="auto"/>
        <w:ind w:right="1145" w:firstLine="0"/>
        <w:rPr>
          <w:sz w:val="16"/>
          <w:lang w:val="de-DE"/>
        </w:rPr>
      </w:pPr>
      <w:r w:rsidRPr="00C507A5">
        <w:rPr>
          <w:color w:val="231F20"/>
          <w:w w:val="110"/>
          <w:sz w:val="16"/>
          <w:lang w:val="de-DE"/>
        </w:rPr>
        <w:t>Wolfgang</w:t>
      </w:r>
      <w:r w:rsidRPr="00C507A5">
        <w:rPr>
          <w:color w:val="231F20"/>
          <w:spacing w:val="-9"/>
          <w:w w:val="110"/>
          <w:sz w:val="16"/>
          <w:lang w:val="de-DE"/>
        </w:rPr>
        <w:t xml:space="preserve"> </w:t>
      </w:r>
      <w:r w:rsidRPr="00C507A5">
        <w:rPr>
          <w:color w:val="231F20"/>
          <w:w w:val="110"/>
          <w:sz w:val="16"/>
          <w:lang w:val="de-DE"/>
        </w:rPr>
        <w:t>Tersteegen,</w:t>
      </w:r>
      <w:r w:rsidRPr="00C507A5">
        <w:rPr>
          <w:color w:val="231F20"/>
          <w:spacing w:val="-9"/>
          <w:w w:val="110"/>
          <w:sz w:val="16"/>
          <w:lang w:val="de-DE"/>
        </w:rPr>
        <w:t xml:space="preserve"> </w:t>
      </w:r>
      <w:r w:rsidRPr="00C507A5">
        <w:rPr>
          <w:color w:val="231F20"/>
          <w:w w:val="110"/>
          <w:sz w:val="16"/>
          <w:lang w:val="de-DE"/>
        </w:rPr>
        <w:t>“Mit</w:t>
      </w:r>
      <w:r w:rsidRPr="00C507A5">
        <w:rPr>
          <w:color w:val="231F20"/>
          <w:spacing w:val="-9"/>
          <w:w w:val="110"/>
          <w:sz w:val="16"/>
          <w:lang w:val="de-DE"/>
        </w:rPr>
        <w:t xml:space="preserve"> </w:t>
      </w:r>
      <w:r w:rsidRPr="00C507A5">
        <w:rPr>
          <w:color w:val="231F20"/>
          <w:w w:val="110"/>
          <w:sz w:val="16"/>
          <w:lang w:val="de-DE"/>
        </w:rPr>
        <w:t>der</w:t>
      </w:r>
      <w:r w:rsidRPr="00C507A5">
        <w:rPr>
          <w:color w:val="231F20"/>
          <w:spacing w:val="-9"/>
          <w:w w:val="110"/>
          <w:sz w:val="16"/>
          <w:lang w:val="de-DE"/>
        </w:rPr>
        <w:t xml:space="preserve"> </w:t>
      </w:r>
      <w:r w:rsidRPr="00C507A5">
        <w:rPr>
          <w:color w:val="231F20"/>
          <w:w w:val="110"/>
          <w:sz w:val="16"/>
          <w:lang w:val="de-DE"/>
        </w:rPr>
        <w:t>Bombe</w:t>
      </w:r>
      <w:r w:rsidRPr="00C507A5">
        <w:rPr>
          <w:color w:val="231F20"/>
          <w:spacing w:val="-9"/>
          <w:w w:val="110"/>
          <w:sz w:val="16"/>
          <w:lang w:val="de-DE"/>
        </w:rPr>
        <w:t xml:space="preserve"> </w:t>
      </w:r>
      <w:r w:rsidRPr="00C507A5">
        <w:rPr>
          <w:color w:val="231F20"/>
          <w:w w:val="110"/>
          <w:sz w:val="16"/>
          <w:lang w:val="de-DE"/>
        </w:rPr>
        <w:t>im</w:t>
      </w:r>
      <w:r w:rsidRPr="00C507A5">
        <w:rPr>
          <w:color w:val="231F20"/>
          <w:spacing w:val="-9"/>
          <w:w w:val="110"/>
          <w:sz w:val="16"/>
          <w:lang w:val="de-DE"/>
        </w:rPr>
        <w:t xml:space="preserve"> </w:t>
      </w:r>
      <w:r w:rsidRPr="00C507A5">
        <w:rPr>
          <w:color w:val="231F20"/>
          <w:w w:val="110"/>
          <w:sz w:val="16"/>
          <w:lang w:val="de-DE"/>
        </w:rPr>
        <w:t>Handgepäcke,”</w:t>
      </w:r>
      <w:r w:rsidRPr="00C507A5">
        <w:rPr>
          <w:i/>
          <w:color w:val="231F20"/>
          <w:w w:val="110"/>
          <w:sz w:val="16"/>
          <w:lang w:val="de-DE"/>
        </w:rPr>
        <w:t>Frankfurter</w:t>
      </w:r>
      <w:r w:rsidRPr="00C507A5">
        <w:rPr>
          <w:i/>
          <w:color w:val="231F20"/>
          <w:spacing w:val="-9"/>
          <w:w w:val="110"/>
          <w:sz w:val="16"/>
          <w:lang w:val="de-DE"/>
        </w:rPr>
        <w:t xml:space="preserve"> </w:t>
      </w:r>
      <w:r w:rsidRPr="00C507A5">
        <w:rPr>
          <w:i/>
          <w:color w:val="231F20"/>
          <w:spacing w:val="1"/>
          <w:w w:val="110"/>
          <w:sz w:val="16"/>
          <w:lang w:val="de-DE"/>
        </w:rPr>
        <w:t xml:space="preserve">Allgemeine Zeitung, </w:t>
      </w:r>
      <w:r w:rsidRPr="00C507A5">
        <w:rPr>
          <w:color w:val="231F20"/>
          <w:w w:val="110"/>
          <w:sz w:val="16"/>
          <w:lang w:val="de-DE"/>
        </w:rPr>
        <w:t xml:space="preserve">June </w:t>
      </w:r>
      <w:r w:rsidRPr="00C507A5">
        <w:rPr>
          <w:color w:val="231F20"/>
          <w:spacing w:val="-3"/>
          <w:w w:val="110"/>
          <w:sz w:val="16"/>
          <w:lang w:val="de-DE"/>
        </w:rPr>
        <w:t xml:space="preserve">19, </w:t>
      </w:r>
      <w:r w:rsidRPr="00C507A5">
        <w:rPr>
          <w:color w:val="231F20"/>
          <w:w w:val="110"/>
          <w:sz w:val="16"/>
          <w:lang w:val="de-DE"/>
        </w:rPr>
        <w:t xml:space="preserve">1972; </w:t>
      </w:r>
      <w:r w:rsidRPr="00C507A5">
        <w:rPr>
          <w:i/>
          <w:color w:val="231F20"/>
          <w:spacing w:val="1"/>
          <w:w w:val="110"/>
          <w:sz w:val="16"/>
          <w:lang w:val="de-DE"/>
        </w:rPr>
        <w:t xml:space="preserve">Frankfurter Allgemeine Zeitung, </w:t>
      </w:r>
      <w:r w:rsidRPr="00C507A5">
        <w:rPr>
          <w:color w:val="231F20"/>
          <w:w w:val="110"/>
          <w:sz w:val="16"/>
          <w:lang w:val="de-DE"/>
        </w:rPr>
        <w:t xml:space="preserve">“Erst nach Stunden identifiziert,” June </w:t>
      </w:r>
      <w:r w:rsidRPr="00C507A5">
        <w:rPr>
          <w:color w:val="231F20"/>
          <w:spacing w:val="-3"/>
          <w:w w:val="110"/>
          <w:sz w:val="16"/>
          <w:lang w:val="de-DE"/>
        </w:rPr>
        <w:t>19,</w:t>
      </w:r>
      <w:r w:rsidRPr="00C507A5">
        <w:rPr>
          <w:color w:val="231F20"/>
          <w:spacing w:val="17"/>
          <w:w w:val="110"/>
          <w:sz w:val="16"/>
          <w:lang w:val="de-DE"/>
        </w:rPr>
        <w:t xml:space="preserve"> </w:t>
      </w:r>
      <w:r w:rsidRPr="00C507A5">
        <w:rPr>
          <w:color w:val="231F20"/>
          <w:w w:val="110"/>
          <w:sz w:val="16"/>
          <w:lang w:val="de-DE"/>
        </w:rPr>
        <w:t>1972.</w:t>
      </w:r>
    </w:p>
    <w:p w14:paraId="7412FC26" w14:textId="77777777" w:rsidR="002653E8" w:rsidRPr="00C507A5" w:rsidRDefault="002653E8">
      <w:pPr>
        <w:spacing w:line="254" w:lineRule="auto"/>
        <w:rPr>
          <w:sz w:val="16"/>
          <w:lang w:val="de-DE"/>
        </w:rPr>
        <w:sectPr w:rsidR="002653E8" w:rsidRPr="00C507A5">
          <w:pgSz w:w="8640" w:h="12960"/>
          <w:pgMar w:top="1060" w:right="0" w:bottom="1040" w:left="0" w:header="0" w:footer="850" w:gutter="0"/>
          <w:cols w:space="720"/>
        </w:sectPr>
      </w:pPr>
    </w:p>
    <w:p w14:paraId="17603C23" w14:textId="77777777" w:rsidR="002653E8" w:rsidRDefault="003115E3">
      <w:pPr>
        <w:pStyle w:val="a3"/>
        <w:spacing w:before="86" w:line="264" w:lineRule="auto"/>
        <w:ind w:left="1147" w:right="1325"/>
        <w:rPr>
          <w:sz w:val="11"/>
        </w:rPr>
      </w:pPr>
      <w:r>
        <w:rPr>
          <w:color w:val="231F20"/>
        </w:rPr>
        <w:lastRenderedPageBreak/>
        <w:t>suspected Hammerschmidt of setting up safehouses and perhaps having a role in the recent bombings.</w:t>
      </w:r>
      <w:r>
        <w:rPr>
          <w:color w:val="231F20"/>
          <w:position w:val="7"/>
          <w:sz w:val="11"/>
        </w:rPr>
        <w:t>1</w:t>
      </w:r>
    </w:p>
    <w:p w14:paraId="61EFC7C8" w14:textId="77777777" w:rsidR="002653E8" w:rsidRDefault="003115E3">
      <w:pPr>
        <w:pStyle w:val="a3"/>
        <w:spacing w:line="264" w:lineRule="auto"/>
        <w:ind w:left="1147" w:right="1325" w:firstLine="210"/>
        <w:jc w:val="both"/>
        <w:rPr>
          <w:sz w:val="11"/>
        </w:rPr>
      </w:pPr>
      <w:r>
        <w:rPr>
          <w:color w:val="231F20"/>
        </w:rPr>
        <w:t xml:space="preserve">Finally, on July </w:t>
      </w:r>
      <w:r>
        <w:rPr>
          <w:color w:val="231F20"/>
          <w:spacing w:val="-8"/>
        </w:rPr>
        <w:t xml:space="preserve">7, </w:t>
      </w:r>
      <w:r>
        <w:rPr>
          <w:color w:val="231F20"/>
        </w:rPr>
        <w:t xml:space="preserve">Klaus Jünschke and Irmgard Möller were arrested  in Offenbach, set up by a nineteenyear-old who had been recruited     by the guerilla earlier that year, and who had since been identified and turned by the police. Jünschke was a former SPK member sought in relation to the December 22, </w:t>
      </w:r>
      <w:r>
        <w:rPr>
          <w:color w:val="231F20"/>
          <w:spacing w:val="-4"/>
        </w:rPr>
        <w:t xml:space="preserve">1971, </w:t>
      </w:r>
      <w:r>
        <w:rPr>
          <w:color w:val="231F20"/>
        </w:rPr>
        <w:t>bank robbery in which police of ficer Herbert Schoner had been killed.</w:t>
      </w:r>
      <w:r>
        <w:rPr>
          <w:color w:val="231F20"/>
          <w:position w:val="7"/>
          <w:sz w:val="11"/>
        </w:rPr>
        <w:t xml:space="preserve">2 </w:t>
      </w:r>
      <w:r>
        <w:rPr>
          <w:color w:val="231F20"/>
        </w:rPr>
        <w:t xml:space="preserve">Irmgard Möller was sought in connection to the </w:t>
      </w:r>
      <w:r>
        <w:rPr>
          <w:color w:val="231F20"/>
          <w:spacing w:val="-4"/>
        </w:rPr>
        <w:t xml:space="preserve">1971 </w:t>
      </w:r>
      <w:r>
        <w:rPr>
          <w:color w:val="231F20"/>
        </w:rPr>
        <w:t>killing of police  officer  Schmid  in  Hamburg, and was suspected of participating in the May bombings.</w:t>
      </w:r>
      <w:r>
        <w:rPr>
          <w:color w:val="231F20"/>
          <w:position w:val="7"/>
          <w:sz w:val="11"/>
        </w:rPr>
        <w:t xml:space="preserve">3 </w:t>
      </w:r>
      <w:r>
        <w:rPr>
          <w:color w:val="231F20"/>
        </w:rPr>
        <w:t xml:space="preserve">(With typical hype, </w:t>
      </w:r>
      <w:r>
        <w:rPr>
          <w:i/>
          <w:color w:val="231F20"/>
        </w:rPr>
        <w:t xml:space="preserve">Stars and Stripes </w:t>
      </w:r>
      <w:r>
        <w:rPr>
          <w:color w:val="231F20"/>
        </w:rPr>
        <w:t>described her as “the gang’s new chief, replacing jailed Ulrike Meinhof and Andreas</w:t>
      </w:r>
      <w:r>
        <w:rPr>
          <w:color w:val="231F20"/>
          <w:spacing w:val="23"/>
        </w:rPr>
        <w:t xml:space="preserve"> </w:t>
      </w:r>
      <w:r>
        <w:rPr>
          <w:color w:val="231F20"/>
          <w:spacing w:val="-3"/>
        </w:rPr>
        <w:t>Baader.”)</w:t>
      </w:r>
      <w:r>
        <w:rPr>
          <w:color w:val="231F20"/>
          <w:spacing w:val="-3"/>
          <w:position w:val="7"/>
          <w:sz w:val="11"/>
        </w:rPr>
        <w:t>4</w:t>
      </w:r>
    </w:p>
    <w:p w14:paraId="46D01EEB" w14:textId="77777777" w:rsidR="002653E8" w:rsidRDefault="003115E3">
      <w:pPr>
        <w:pStyle w:val="a3"/>
        <w:spacing w:line="264" w:lineRule="auto"/>
        <w:ind w:left="1148" w:right="1326" w:firstLine="209"/>
        <w:jc w:val="both"/>
      </w:pPr>
      <w:r>
        <w:rPr>
          <w:color w:val="231F20"/>
        </w:rPr>
        <w:t xml:space="preserve">The </w:t>
      </w:r>
      <w:r w:rsidR="00C507A5">
        <w:rPr>
          <w:color w:val="231F20"/>
        </w:rPr>
        <w:t>red army faction</w:t>
      </w:r>
      <w:r>
        <w:rPr>
          <w:color w:val="231F20"/>
        </w:rPr>
        <w:t xml:space="preserve"> was decimated, and what few members remained at large could do little more than concentrate on their own survival.</w:t>
      </w:r>
    </w:p>
    <w:p w14:paraId="393F005A" w14:textId="77777777" w:rsidR="002653E8" w:rsidRDefault="003115E3">
      <w:pPr>
        <w:pStyle w:val="a3"/>
        <w:spacing w:line="264" w:lineRule="auto"/>
        <w:ind w:left="1147" w:right="1326" w:firstLine="210"/>
        <w:jc w:val="both"/>
      </w:pPr>
      <w:r>
        <w:rPr>
          <w:color w:val="231F20"/>
        </w:rPr>
        <w:t xml:space="preserve">Following the successes of this counterinsurgency campaign, the  </w:t>
      </w:r>
      <w:r>
        <w:rPr>
          <w:color w:val="231F20"/>
          <w:spacing w:val="-3"/>
        </w:rPr>
        <w:t xml:space="preserve">West </w:t>
      </w:r>
      <w:r>
        <w:rPr>
          <w:color w:val="231F20"/>
        </w:rPr>
        <w:t xml:space="preserve">German government felt confident it had snuffed out its fledgling armed opposition. Even sympathetic observers felt that the </w:t>
      </w:r>
      <w:r w:rsidR="00C507A5">
        <w:rPr>
          <w:color w:val="231F20"/>
          <w:spacing w:val="5"/>
        </w:rPr>
        <w:t>red army faction</w:t>
      </w:r>
      <w:r>
        <w:rPr>
          <w:color w:val="231F20"/>
          <w:spacing w:val="5"/>
        </w:rPr>
        <w:t xml:space="preserve"> </w:t>
      </w:r>
      <w:r>
        <w:rPr>
          <w:color w:val="231F20"/>
        </w:rPr>
        <w:t>might have met its</w:t>
      </w:r>
      <w:r>
        <w:rPr>
          <w:color w:val="231F20"/>
          <w:spacing w:val="31"/>
        </w:rPr>
        <w:t xml:space="preserve"> </w:t>
      </w:r>
      <w:r>
        <w:rPr>
          <w:color w:val="231F20"/>
        </w:rPr>
        <w:t>end.</w:t>
      </w:r>
    </w:p>
    <w:p w14:paraId="40FD5483" w14:textId="77777777" w:rsidR="002653E8" w:rsidRDefault="003115E3">
      <w:pPr>
        <w:pStyle w:val="a3"/>
        <w:spacing w:line="230" w:lineRule="exact"/>
        <w:ind w:left="1357"/>
      </w:pPr>
      <w:r>
        <w:rPr>
          <w:color w:val="231F20"/>
        </w:rPr>
        <w:t>They were all wrong.</w:t>
      </w:r>
    </w:p>
    <w:p w14:paraId="519FFAEF" w14:textId="77777777" w:rsidR="002653E8" w:rsidRDefault="002653E8">
      <w:pPr>
        <w:pStyle w:val="a3"/>
      </w:pPr>
    </w:p>
    <w:p w14:paraId="016A7865" w14:textId="77777777" w:rsidR="002653E8" w:rsidRDefault="002653E8">
      <w:pPr>
        <w:pStyle w:val="a3"/>
      </w:pPr>
    </w:p>
    <w:p w14:paraId="6C997ECD" w14:textId="77777777" w:rsidR="002653E8" w:rsidRDefault="002653E8">
      <w:pPr>
        <w:pStyle w:val="a3"/>
      </w:pPr>
    </w:p>
    <w:p w14:paraId="57A25C95" w14:textId="77777777" w:rsidR="002653E8" w:rsidRDefault="002653E8">
      <w:pPr>
        <w:pStyle w:val="a3"/>
      </w:pPr>
    </w:p>
    <w:p w14:paraId="0AC6AAE8" w14:textId="77777777" w:rsidR="002653E8" w:rsidRDefault="002653E8">
      <w:pPr>
        <w:pStyle w:val="a3"/>
      </w:pPr>
    </w:p>
    <w:p w14:paraId="0297338B" w14:textId="77777777" w:rsidR="002653E8" w:rsidRDefault="002653E8">
      <w:pPr>
        <w:pStyle w:val="a3"/>
      </w:pPr>
    </w:p>
    <w:p w14:paraId="7DA103E1" w14:textId="77777777" w:rsidR="002653E8" w:rsidRDefault="002653E8">
      <w:pPr>
        <w:pStyle w:val="a3"/>
      </w:pPr>
    </w:p>
    <w:p w14:paraId="251ECB46" w14:textId="77777777" w:rsidR="002653E8" w:rsidRDefault="002653E8">
      <w:pPr>
        <w:pStyle w:val="a3"/>
      </w:pPr>
    </w:p>
    <w:p w14:paraId="296902A4" w14:textId="77777777" w:rsidR="002653E8" w:rsidRDefault="002653E8">
      <w:pPr>
        <w:pStyle w:val="a3"/>
      </w:pPr>
    </w:p>
    <w:p w14:paraId="3C97089F" w14:textId="77777777" w:rsidR="002653E8" w:rsidRDefault="002653E8">
      <w:pPr>
        <w:pStyle w:val="a3"/>
      </w:pPr>
    </w:p>
    <w:p w14:paraId="09329AB3" w14:textId="77777777" w:rsidR="002653E8" w:rsidRDefault="002653E8">
      <w:pPr>
        <w:pStyle w:val="a3"/>
      </w:pPr>
    </w:p>
    <w:p w14:paraId="75657DD2" w14:textId="77777777" w:rsidR="002653E8" w:rsidRDefault="00000000">
      <w:pPr>
        <w:pStyle w:val="a3"/>
        <w:spacing w:before="3"/>
        <w:rPr>
          <w:sz w:val="15"/>
        </w:rPr>
      </w:pPr>
      <w:r>
        <w:rPr>
          <w:noProof w:val="0"/>
        </w:rPr>
        <w:pict w14:anchorId="66E09802">
          <v:line id="_x0000_s2506" style="position:absolute;z-index:4960;mso-wrap-distance-left:0;mso-wrap-distance-right:0;mso-position-horizontal-relative:page" from="57.4pt,11.2pt" to="129.4pt,11.2pt" strokecolor="#231f20" strokeweight=".5pt">
            <w10:wrap type="topAndBottom" anchorx="page"/>
          </v:line>
        </w:pict>
      </w:r>
    </w:p>
    <w:p w14:paraId="5198D55A" w14:textId="77777777" w:rsidR="002653E8" w:rsidRDefault="003115E3">
      <w:pPr>
        <w:pStyle w:val="a4"/>
        <w:numPr>
          <w:ilvl w:val="0"/>
          <w:numId w:val="136"/>
        </w:numPr>
        <w:tabs>
          <w:tab w:val="left" w:pos="1287"/>
        </w:tabs>
        <w:spacing w:before="53"/>
        <w:ind w:firstLine="0"/>
        <w:rPr>
          <w:sz w:val="16"/>
        </w:rPr>
      </w:pPr>
      <w:r>
        <w:rPr>
          <w:color w:val="231F20"/>
          <w:w w:val="105"/>
          <w:sz w:val="16"/>
        </w:rPr>
        <w:t>United</w:t>
      </w:r>
      <w:r>
        <w:rPr>
          <w:color w:val="231F20"/>
          <w:spacing w:val="10"/>
          <w:w w:val="105"/>
          <w:sz w:val="16"/>
        </w:rPr>
        <w:t xml:space="preserve"> </w:t>
      </w:r>
      <w:r>
        <w:rPr>
          <w:color w:val="231F20"/>
          <w:w w:val="105"/>
          <w:sz w:val="16"/>
        </w:rPr>
        <w:t>Press</w:t>
      </w:r>
      <w:r>
        <w:rPr>
          <w:color w:val="231F20"/>
          <w:spacing w:val="10"/>
          <w:w w:val="105"/>
          <w:sz w:val="16"/>
        </w:rPr>
        <w:t xml:space="preserve"> </w:t>
      </w:r>
      <w:r>
        <w:rPr>
          <w:color w:val="231F20"/>
          <w:w w:val="105"/>
          <w:sz w:val="16"/>
        </w:rPr>
        <w:t>International,</w:t>
      </w:r>
      <w:r>
        <w:rPr>
          <w:color w:val="231F20"/>
          <w:spacing w:val="10"/>
          <w:w w:val="105"/>
          <w:sz w:val="16"/>
        </w:rPr>
        <w:t xml:space="preserve"> </w:t>
      </w:r>
      <w:r>
        <w:rPr>
          <w:color w:val="231F20"/>
          <w:w w:val="105"/>
          <w:sz w:val="16"/>
        </w:rPr>
        <w:t>“Ends</w:t>
      </w:r>
      <w:r>
        <w:rPr>
          <w:color w:val="231F20"/>
          <w:spacing w:val="10"/>
          <w:w w:val="105"/>
          <w:sz w:val="16"/>
        </w:rPr>
        <w:t xml:space="preserve"> </w:t>
      </w:r>
      <w:r>
        <w:rPr>
          <w:color w:val="231F20"/>
          <w:w w:val="105"/>
          <w:sz w:val="16"/>
        </w:rPr>
        <w:t>French</w:t>
      </w:r>
      <w:r>
        <w:rPr>
          <w:color w:val="231F20"/>
          <w:spacing w:val="10"/>
          <w:w w:val="105"/>
          <w:sz w:val="16"/>
        </w:rPr>
        <w:t xml:space="preserve"> </w:t>
      </w:r>
      <w:r>
        <w:rPr>
          <w:color w:val="231F20"/>
          <w:w w:val="105"/>
          <w:sz w:val="16"/>
        </w:rPr>
        <w:t>Stay:</w:t>
      </w:r>
      <w:r>
        <w:rPr>
          <w:color w:val="231F20"/>
          <w:spacing w:val="10"/>
          <w:w w:val="105"/>
          <w:sz w:val="16"/>
        </w:rPr>
        <w:t xml:space="preserve"> </w:t>
      </w:r>
      <w:r>
        <w:rPr>
          <w:color w:val="231F20"/>
          <w:w w:val="105"/>
          <w:sz w:val="16"/>
        </w:rPr>
        <w:t>Member</w:t>
      </w:r>
      <w:r>
        <w:rPr>
          <w:color w:val="231F20"/>
          <w:spacing w:val="10"/>
          <w:w w:val="105"/>
          <w:sz w:val="16"/>
        </w:rPr>
        <w:t xml:space="preserve"> </w:t>
      </w:r>
      <w:r>
        <w:rPr>
          <w:color w:val="231F20"/>
          <w:w w:val="105"/>
          <w:sz w:val="16"/>
        </w:rPr>
        <w:t>of</w:t>
      </w:r>
      <w:r>
        <w:rPr>
          <w:color w:val="231F20"/>
          <w:spacing w:val="10"/>
          <w:w w:val="105"/>
          <w:sz w:val="16"/>
        </w:rPr>
        <w:t xml:space="preserve"> </w:t>
      </w:r>
      <w:r>
        <w:rPr>
          <w:color w:val="231F20"/>
          <w:w w:val="105"/>
          <w:sz w:val="16"/>
        </w:rPr>
        <w:t>Gang</w:t>
      </w:r>
      <w:r>
        <w:rPr>
          <w:color w:val="231F20"/>
          <w:spacing w:val="10"/>
          <w:w w:val="105"/>
          <w:sz w:val="16"/>
        </w:rPr>
        <w:t xml:space="preserve"> </w:t>
      </w:r>
      <w:r>
        <w:rPr>
          <w:color w:val="231F20"/>
          <w:w w:val="105"/>
          <w:sz w:val="16"/>
        </w:rPr>
        <w:t>Turns</w:t>
      </w:r>
      <w:r>
        <w:rPr>
          <w:color w:val="231F20"/>
          <w:spacing w:val="10"/>
          <w:w w:val="105"/>
          <w:sz w:val="16"/>
        </w:rPr>
        <w:t xml:space="preserve"> </w:t>
      </w:r>
      <w:r>
        <w:rPr>
          <w:color w:val="231F20"/>
          <w:w w:val="105"/>
          <w:sz w:val="16"/>
        </w:rPr>
        <w:t>Self</w:t>
      </w:r>
      <w:r>
        <w:rPr>
          <w:color w:val="231F20"/>
          <w:spacing w:val="10"/>
          <w:w w:val="105"/>
          <w:sz w:val="16"/>
        </w:rPr>
        <w:t xml:space="preserve"> </w:t>
      </w:r>
      <w:r>
        <w:rPr>
          <w:color w:val="231F20"/>
          <w:w w:val="105"/>
          <w:sz w:val="16"/>
        </w:rPr>
        <w:t>In,”</w:t>
      </w:r>
    </w:p>
    <w:p w14:paraId="6F3DC578" w14:textId="77777777" w:rsidR="002653E8" w:rsidRDefault="003115E3">
      <w:pPr>
        <w:spacing w:before="11"/>
        <w:ind w:left="1147"/>
        <w:rPr>
          <w:sz w:val="16"/>
        </w:rPr>
      </w:pPr>
      <w:r>
        <w:rPr>
          <w:i/>
          <w:color w:val="231F20"/>
          <w:w w:val="110"/>
          <w:sz w:val="16"/>
        </w:rPr>
        <w:t xml:space="preserve">European Stars and Stripes, </w:t>
      </w:r>
      <w:r>
        <w:rPr>
          <w:color w:val="231F20"/>
          <w:w w:val="110"/>
          <w:sz w:val="16"/>
        </w:rPr>
        <w:t>July 1, 1972.</w:t>
      </w:r>
    </w:p>
    <w:p w14:paraId="2FCD7C63" w14:textId="77777777" w:rsidR="002653E8" w:rsidRDefault="003115E3">
      <w:pPr>
        <w:pStyle w:val="a4"/>
        <w:numPr>
          <w:ilvl w:val="0"/>
          <w:numId w:val="136"/>
        </w:numPr>
        <w:tabs>
          <w:tab w:val="left" w:pos="1287"/>
        </w:tabs>
        <w:spacing w:before="52" w:line="254" w:lineRule="auto"/>
        <w:ind w:right="1371" w:firstLine="0"/>
        <w:rPr>
          <w:sz w:val="16"/>
        </w:rPr>
      </w:pPr>
      <w:r>
        <w:rPr>
          <w:color w:val="231F20"/>
          <w:w w:val="110"/>
          <w:sz w:val="16"/>
        </w:rPr>
        <w:t>He</w:t>
      </w:r>
      <w:r>
        <w:rPr>
          <w:color w:val="231F20"/>
          <w:spacing w:val="-10"/>
          <w:w w:val="110"/>
          <w:sz w:val="16"/>
        </w:rPr>
        <w:t xml:space="preserve"> </w:t>
      </w:r>
      <w:r>
        <w:rPr>
          <w:color w:val="231F20"/>
          <w:w w:val="110"/>
          <w:sz w:val="16"/>
        </w:rPr>
        <w:t>was</w:t>
      </w:r>
      <w:r>
        <w:rPr>
          <w:color w:val="231F20"/>
          <w:spacing w:val="-10"/>
          <w:w w:val="110"/>
          <w:sz w:val="16"/>
        </w:rPr>
        <w:t xml:space="preserve"> </w:t>
      </w:r>
      <w:r>
        <w:rPr>
          <w:color w:val="231F20"/>
          <w:w w:val="110"/>
          <w:sz w:val="16"/>
        </w:rPr>
        <w:t>sentenced</w:t>
      </w:r>
      <w:r>
        <w:rPr>
          <w:color w:val="231F20"/>
          <w:spacing w:val="-10"/>
          <w:w w:val="110"/>
          <w:sz w:val="16"/>
        </w:rPr>
        <w:t xml:space="preserve"> </w:t>
      </w:r>
      <w:r>
        <w:rPr>
          <w:color w:val="231F20"/>
          <w:w w:val="110"/>
          <w:sz w:val="16"/>
        </w:rPr>
        <w:t>to</w:t>
      </w:r>
      <w:r>
        <w:rPr>
          <w:color w:val="231F20"/>
          <w:spacing w:val="-10"/>
          <w:w w:val="110"/>
          <w:sz w:val="16"/>
        </w:rPr>
        <w:t xml:space="preserve"> </w:t>
      </w:r>
      <w:r>
        <w:rPr>
          <w:color w:val="231F20"/>
          <w:w w:val="110"/>
          <w:sz w:val="16"/>
        </w:rPr>
        <w:t>life</w:t>
      </w:r>
      <w:r>
        <w:rPr>
          <w:color w:val="231F20"/>
          <w:spacing w:val="-10"/>
          <w:w w:val="110"/>
          <w:sz w:val="16"/>
        </w:rPr>
        <w:t xml:space="preserve"> </w:t>
      </w:r>
      <w:r>
        <w:rPr>
          <w:color w:val="231F20"/>
          <w:w w:val="110"/>
          <w:sz w:val="16"/>
        </w:rPr>
        <w:t>in</w:t>
      </w:r>
      <w:r>
        <w:rPr>
          <w:color w:val="231F20"/>
          <w:spacing w:val="-10"/>
          <w:w w:val="110"/>
          <w:sz w:val="16"/>
        </w:rPr>
        <w:t xml:space="preserve"> </w:t>
      </w:r>
      <w:r>
        <w:rPr>
          <w:color w:val="231F20"/>
          <w:w w:val="110"/>
          <w:sz w:val="16"/>
        </w:rPr>
        <w:t>prison</w:t>
      </w:r>
      <w:r>
        <w:rPr>
          <w:color w:val="231F20"/>
          <w:spacing w:val="-10"/>
          <w:w w:val="110"/>
          <w:sz w:val="16"/>
        </w:rPr>
        <w:t xml:space="preserve"> </w:t>
      </w:r>
      <w:r>
        <w:rPr>
          <w:color w:val="231F20"/>
          <w:w w:val="110"/>
          <w:sz w:val="16"/>
        </w:rPr>
        <w:t>in</w:t>
      </w:r>
      <w:r>
        <w:rPr>
          <w:color w:val="231F20"/>
          <w:spacing w:val="-9"/>
          <w:w w:val="110"/>
          <w:sz w:val="16"/>
        </w:rPr>
        <w:t xml:space="preserve"> </w:t>
      </w:r>
      <w:r>
        <w:rPr>
          <w:color w:val="231F20"/>
          <w:spacing w:val="-4"/>
          <w:w w:val="110"/>
          <w:sz w:val="16"/>
        </w:rPr>
        <w:t>1977.</w:t>
      </w:r>
      <w:r>
        <w:rPr>
          <w:color w:val="231F20"/>
          <w:spacing w:val="-10"/>
          <w:w w:val="110"/>
          <w:sz w:val="16"/>
        </w:rPr>
        <w:t xml:space="preserve"> </w:t>
      </w:r>
      <w:r>
        <w:rPr>
          <w:color w:val="231F20"/>
          <w:w w:val="110"/>
          <w:sz w:val="16"/>
        </w:rPr>
        <w:t>Associated</w:t>
      </w:r>
      <w:r>
        <w:rPr>
          <w:color w:val="231F20"/>
          <w:spacing w:val="-10"/>
          <w:w w:val="110"/>
          <w:sz w:val="16"/>
        </w:rPr>
        <w:t xml:space="preserve"> </w:t>
      </w:r>
      <w:r>
        <w:rPr>
          <w:color w:val="231F20"/>
          <w:w w:val="110"/>
          <w:sz w:val="16"/>
        </w:rPr>
        <w:t>Press,</w:t>
      </w:r>
      <w:r>
        <w:rPr>
          <w:color w:val="231F20"/>
          <w:spacing w:val="-10"/>
          <w:w w:val="110"/>
          <w:sz w:val="16"/>
        </w:rPr>
        <w:t xml:space="preserve"> </w:t>
      </w:r>
      <w:r>
        <w:rPr>
          <w:color w:val="231F20"/>
          <w:spacing w:val="-4"/>
          <w:w w:val="110"/>
          <w:sz w:val="16"/>
        </w:rPr>
        <w:t>“2</w:t>
      </w:r>
      <w:r>
        <w:rPr>
          <w:color w:val="231F20"/>
          <w:spacing w:val="-10"/>
          <w:w w:val="110"/>
          <w:sz w:val="16"/>
        </w:rPr>
        <w:t xml:space="preserve"> </w:t>
      </w:r>
      <w:r>
        <w:rPr>
          <w:color w:val="231F20"/>
          <w:w w:val="110"/>
          <w:sz w:val="16"/>
        </w:rPr>
        <w:t>German</w:t>
      </w:r>
      <w:r>
        <w:rPr>
          <w:color w:val="231F20"/>
          <w:spacing w:val="-10"/>
          <w:w w:val="110"/>
          <w:sz w:val="16"/>
        </w:rPr>
        <w:t xml:space="preserve"> </w:t>
      </w:r>
      <w:r>
        <w:rPr>
          <w:color w:val="231F20"/>
          <w:w w:val="110"/>
          <w:sz w:val="16"/>
        </w:rPr>
        <w:t xml:space="preserve">terrorists given life,” </w:t>
      </w:r>
      <w:r>
        <w:rPr>
          <w:i/>
          <w:color w:val="231F20"/>
          <w:w w:val="110"/>
          <w:sz w:val="16"/>
        </w:rPr>
        <w:t xml:space="preserve">European Stars </w:t>
      </w:r>
      <w:r>
        <w:rPr>
          <w:i/>
          <w:color w:val="231F20"/>
          <w:spacing w:val="1"/>
          <w:w w:val="110"/>
          <w:sz w:val="16"/>
        </w:rPr>
        <w:t xml:space="preserve">and </w:t>
      </w:r>
      <w:r>
        <w:rPr>
          <w:i/>
          <w:color w:val="231F20"/>
          <w:w w:val="110"/>
          <w:sz w:val="16"/>
        </w:rPr>
        <w:t xml:space="preserve">Stripes, </w:t>
      </w:r>
      <w:r>
        <w:rPr>
          <w:color w:val="231F20"/>
          <w:w w:val="110"/>
          <w:sz w:val="16"/>
        </w:rPr>
        <w:t>June 3,</w:t>
      </w:r>
      <w:r>
        <w:rPr>
          <w:color w:val="231F20"/>
          <w:spacing w:val="7"/>
          <w:w w:val="110"/>
          <w:sz w:val="16"/>
        </w:rPr>
        <w:t xml:space="preserve"> </w:t>
      </w:r>
      <w:r>
        <w:rPr>
          <w:color w:val="231F20"/>
          <w:spacing w:val="-4"/>
          <w:w w:val="110"/>
          <w:sz w:val="16"/>
        </w:rPr>
        <w:t>1977.</w:t>
      </w:r>
    </w:p>
    <w:p w14:paraId="7929BC1A" w14:textId="77777777" w:rsidR="002653E8" w:rsidRDefault="003115E3">
      <w:pPr>
        <w:pStyle w:val="a4"/>
        <w:numPr>
          <w:ilvl w:val="0"/>
          <w:numId w:val="136"/>
        </w:numPr>
        <w:tabs>
          <w:tab w:val="left" w:pos="1287"/>
        </w:tabs>
        <w:spacing w:line="254" w:lineRule="auto"/>
        <w:ind w:left="1148" w:right="1407" w:firstLine="0"/>
        <w:rPr>
          <w:sz w:val="16"/>
        </w:rPr>
      </w:pPr>
      <w:r>
        <w:rPr>
          <w:color w:val="231F20"/>
          <w:w w:val="105"/>
          <w:sz w:val="16"/>
        </w:rPr>
        <w:t xml:space="preserve">Four years later, she was sentenced to four and a half years for forging   documents, resisting arrest, possession of an unlicensed firearm, and membership  in a criminal organization. </w:t>
      </w:r>
      <w:r>
        <w:rPr>
          <w:color w:val="231F20"/>
          <w:spacing w:val="1"/>
          <w:w w:val="105"/>
          <w:sz w:val="16"/>
        </w:rPr>
        <w:t xml:space="preserve">In </w:t>
      </w:r>
      <w:r>
        <w:rPr>
          <w:color w:val="231F20"/>
          <w:w w:val="105"/>
          <w:sz w:val="16"/>
        </w:rPr>
        <w:t xml:space="preserve">1979, she was found </w:t>
      </w:r>
      <w:r>
        <w:rPr>
          <w:color w:val="231F20"/>
          <w:spacing w:val="1"/>
          <w:w w:val="105"/>
          <w:sz w:val="16"/>
        </w:rPr>
        <w:t xml:space="preserve">guilty </w:t>
      </w:r>
      <w:r>
        <w:rPr>
          <w:color w:val="231F20"/>
          <w:w w:val="105"/>
          <w:sz w:val="16"/>
        </w:rPr>
        <w:t>of three counts of murder and sentenced to life for planting the bombs in the Augsburg and Heidelberg   attacks. By the time she was released in 1994, she had survived 22 years behind bars,</w:t>
      </w:r>
      <w:r>
        <w:rPr>
          <w:color w:val="231F20"/>
          <w:spacing w:val="7"/>
          <w:w w:val="105"/>
          <w:sz w:val="16"/>
        </w:rPr>
        <w:t xml:space="preserve"> </w:t>
      </w:r>
      <w:r>
        <w:rPr>
          <w:color w:val="231F20"/>
          <w:w w:val="105"/>
          <w:sz w:val="16"/>
        </w:rPr>
        <w:t>making</w:t>
      </w:r>
      <w:r>
        <w:rPr>
          <w:color w:val="231F20"/>
          <w:spacing w:val="7"/>
          <w:w w:val="105"/>
          <w:sz w:val="16"/>
        </w:rPr>
        <w:t xml:space="preserve"> </w:t>
      </w:r>
      <w:r>
        <w:rPr>
          <w:color w:val="231F20"/>
          <w:w w:val="105"/>
          <w:sz w:val="16"/>
        </w:rPr>
        <w:t>her</w:t>
      </w:r>
      <w:r>
        <w:rPr>
          <w:color w:val="231F20"/>
          <w:spacing w:val="7"/>
          <w:w w:val="105"/>
          <w:sz w:val="16"/>
        </w:rPr>
        <w:t xml:space="preserve"> </w:t>
      </w:r>
      <w:r>
        <w:rPr>
          <w:color w:val="231F20"/>
          <w:w w:val="105"/>
          <w:sz w:val="16"/>
        </w:rPr>
        <w:t>Germany’s</w:t>
      </w:r>
      <w:r>
        <w:rPr>
          <w:color w:val="231F20"/>
          <w:spacing w:val="7"/>
          <w:w w:val="105"/>
          <w:sz w:val="16"/>
        </w:rPr>
        <w:t xml:space="preserve"> </w:t>
      </w:r>
      <w:r>
        <w:rPr>
          <w:color w:val="231F20"/>
          <w:w w:val="105"/>
          <w:sz w:val="16"/>
        </w:rPr>
        <w:t>longest</w:t>
      </w:r>
      <w:r>
        <w:rPr>
          <w:color w:val="231F20"/>
          <w:spacing w:val="7"/>
          <w:w w:val="105"/>
          <w:sz w:val="16"/>
        </w:rPr>
        <w:t xml:space="preserve"> </w:t>
      </w:r>
      <w:r>
        <w:rPr>
          <w:color w:val="231F20"/>
          <w:w w:val="105"/>
          <w:sz w:val="16"/>
        </w:rPr>
        <w:t>held</w:t>
      </w:r>
      <w:r>
        <w:rPr>
          <w:color w:val="231F20"/>
          <w:spacing w:val="7"/>
          <w:w w:val="105"/>
          <w:sz w:val="16"/>
        </w:rPr>
        <w:t xml:space="preserve"> </w:t>
      </w:r>
      <w:r>
        <w:rPr>
          <w:color w:val="231F20"/>
          <w:w w:val="105"/>
          <w:sz w:val="16"/>
        </w:rPr>
        <w:t>female</w:t>
      </w:r>
      <w:r>
        <w:rPr>
          <w:color w:val="231F20"/>
          <w:spacing w:val="7"/>
          <w:w w:val="105"/>
          <w:sz w:val="16"/>
        </w:rPr>
        <w:t xml:space="preserve"> </w:t>
      </w:r>
      <w:r>
        <w:rPr>
          <w:color w:val="231F20"/>
          <w:w w:val="105"/>
          <w:sz w:val="16"/>
        </w:rPr>
        <w:t>prisoner</w:t>
      </w:r>
      <w:r>
        <w:rPr>
          <w:color w:val="231F20"/>
          <w:spacing w:val="7"/>
          <w:w w:val="105"/>
          <w:sz w:val="16"/>
        </w:rPr>
        <w:t xml:space="preserve"> </w:t>
      </w:r>
      <w:r>
        <w:rPr>
          <w:color w:val="231F20"/>
          <w:w w:val="105"/>
          <w:sz w:val="16"/>
        </w:rPr>
        <w:t>at</w:t>
      </w:r>
      <w:r>
        <w:rPr>
          <w:color w:val="231F20"/>
          <w:spacing w:val="7"/>
          <w:w w:val="105"/>
          <w:sz w:val="16"/>
        </w:rPr>
        <w:t xml:space="preserve"> </w:t>
      </w:r>
      <w:r>
        <w:rPr>
          <w:color w:val="231F20"/>
          <w:w w:val="105"/>
          <w:sz w:val="16"/>
        </w:rPr>
        <w:t>that</w:t>
      </w:r>
      <w:r>
        <w:rPr>
          <w:color w:val="231F20"/>
          <w:spacing w:val="7"/>
          <w:w w:val="105"/>
          <w:sz w:val="16"/>
        </w:rPr>
        <w:t xml:space="preserve"> </w:t>
      </w:r>
      <w:r>
        <w:rPr>
          <w:color w:val="231F20"/>
          <w:w w:val="105"/>
          <w:sz w:val="16"/>
        </w:rPr>
        <w:t>time.</w:t>
      </w:r>
    </w:p>
    <w:p w14:paraId="51221EFD" w14:textId="77777777" w:rsidR="002653E8" w:rsidRDefault="003115E3">
      <w:pPr>
        <w:pStyle w:val="a4"/>
        <w:numPr>
          <w:ilvl w:val="0"/>
          <w:numId w:val="136"/>
        </w:numPr>
        <w:tabs>
          <w:tab w:val="left" w:pos="1287"/>
        </w:tabs>
        <w:spacing w:before="42" w:line="254" w:lineRule="auto"/>
        <w:ind w:left="1148" w:right="1673" w:firstLine="0"/>
        <w:rPr>
          <w:sz w:val="16"/>
        </w:rPr>
      </w:pPr>
      <w:r>
        <w:rPr>
          <w:color w:val="231F20"/>
          <w:w w:val="105"/>
          <w:sz w:val="16"/>
        </w:rPr>
        <w:t xml:space="preserve">United Press International, “8 Terrorist gang suspects still sought,” </w:t>
      </w:r>
      <w:r>
        <w:rPr>
          <w:i/>
          <w:color w:val="231F20"/>
          <w:w w:val="105"/>
          <w:sz w:val="16"/>
        </w:rPr>
        <w:t xml:space="preserve">European Stars </w:t>
      </w:r>
      <w:r>
        <w:rPr>
          <w:i/>
          <w:color w:val="231F20"/>
          <w:spacing w:val="1"/>
          <w:w w:val="105"/>
          <w:sz w:val="16"/>
        </w:rPr>
        <w:t xml:space="preserve">and </w:t>
      </w:r>
      <w:r>
        <w:rPr>
          <w:i/>
          <w:color w:val="231F20"/>
          <w:w w:val="105"/>
          <w:sz w:val="16"/>
        </w:rPr>
        <w:t xml:space="preserve">Stripes, </w:t>
      </w:r>
      <w:r>
        <w:rPr>
          <w:color w:val="231F20"/>
          <w:w w:val="105"/>
          <w:sz w:val="16"/>
        </w:rPr>
        <w:t>July 10,</w:t>
      </w:r>
      <w:r>
        <w:rPr>
          <w:color w:val="231F20"/>
          <w:spacing w:val="6"/>
          <w:w w:val="105"/>
          <w:sz w:val="16"/>
        </w:rPr>
        <w:t xml:space="preserve"> </w:t>
      </w:r>
      <w:r>
        <w:rPr>
          <w:color w:val="231F20"/>
          <w:w w:val="105"/>
          <w:sz w:val="16"/>
        </w:rPr>
        <w:t>1972.</w:t>
      </w:r>
    </w:p>
    <w:p w14:paraId="250BBF55" w14:textId="77777777" w:rsidR="002653E8" w:rsidRDefault="002653E8">
      <w:pPr>
        <w:spacing w:line="254" w:lineRule="auto"/>
        <w:rPr>
          <w:sz w:val="16"/>
        </w:rPr>
        <w:sectPr w:rsidR="002653E8">
          <w:footerReference w:type="even" r:id="rId148"/>
          <w:footerReference w:type="default" r:id="rId149"/>
          <w:pgSz w:w="8640" w:h="12960"/>
          <w:pgMar w:top="1060" w:right="0" w:bottom="1040" w:left="0" w:header="0" w:footer="850" w:gutter="0"/>
          <w:pgNumType w:start="172"/>
          <w:cols w:space="720"/>
        </w:sectPr>
      </w:pPr>
    </w:p>
    <w:p w14:paraId="4EB7D72D" w14:textId="77777777" w:rsidR="002653E8" w:rsidRDefault="002653E8">
      <w:pPr>
        <w:pStyle w:val="a3"/>
      </w:pPr>
    </w:p>
    <w:p w14:paraId="7DC6B522" w14:textId="77777777" w:rsidR="002653E8" w:rsidRDefault="002653E8">
      <w:pPr>
        <w:pStyle w:val="a3"/>
      </w:pPr>
    </w:p>
    <w:p w14:paraId="4B1FC6BF" w14:textId="77777777" w:rsidR="002653E8" w:rsidRDefault="002653E8">
      <w:pPr>
        <w:pStyle w:val="a3"/>
      </w:pPr>
    </w:p>
    <w:p w14:paraId="1D186EB9" w14:textId="77777777" w:rsidR="002653E8" w:rsidRDefault="002653E8">
      <w:pPr>
        <w:pStyle w:val="a3"/>
      </w:pPr>
    </w:p>
    <w:p w14:paraId="4D5C60CF" w14:textId="77777777" w:rsidR="002653E8" w:rsidRDefault="002653E8">
      <w:pPr>
        <w:pStyle w:val="a3"/>
      </w:pPr>
    </w:p>
    <w:p w14:paraId="6BFAC87A" w14:textId="77777777" w:rsidR="002653E8" w:rsidRDefault="002653E8">
      <w:pPr>
        <w:pStyle w:val="a3"/>
      </w:pPr>
    </w:p>
    <w:p w14:paraId="0EE9E403" w14:textId="77777777" w:rsidR="002653E8" w:rsidRDefault="00000000">
      <w:pPr>
        <w:pStyle w:val="a3"/>
        <w:spacing w:before="10"/>
        <w:rPr>
          <w:sz w:val="15"/>
        </w:rPr>
      </w:pPr>
      <w:r>
        <w:rPr>
          <w:noProof w:val="0"/>
        </w:rPr>
        <w:pict w14:anchorId="51348334">
          <v:group id="_x0000_s2499" style="position:absolute;margin-left:81pt;margin-top:1.4pt;width:279pt;height:356.95pt;z-index:-459664;mso-position-horizontal-relative:page" coordorigin="1620,-155" coordsize="5580,7136">
            <v:rect id="_x0000_s2505" style="position:absolute;left:1620;top:-155;width:5580;height:7136" fillcolor="#e6e7e8" stroked="f"/>
            <v:line id="_x0000_s2504" style="position:absolute" from="1628,-95" to="1628,6935" strokecolor="#231f20">
              <v:stroke dashstyle="3 1"/>
            </v:line>
            <v:line id="_x0000_s2503" style="position:absolute" from="1680,6973" to="7155,6973" strokecolor="#231f20">
              <v:stroke dashstyle="3 1"/>
            </v:line>
            <v:line id="_x0000_s2502" style="position:absolute" from="7192,6920" to="7192,-110" strokecolor="#231f20">
              <v:stroke dashstyle="3 1"/>
            </v:line>
            <v:line id="_x0000_s2501" style="position:absolute" from="7140,-147" to="1665,-147" strokecolor="#231f20">
              <v:stroke dashstyle="3 1"/>
            </v:line>
            <v:shape id="_x0000_s2500" style="position:absolute;top:3049;width:5565;height:7121" coordorigin=",3049" coordsize="5565,7121" o:spt="100" adj="0,,0" path="m1628,6950r,23l1650,6973t5520,l7193,6973r,-23m7193,-125r,-22l7170,-147t-5520,l1628,-147r,22e" filled="f" strokecolor="#231f20">
              <v:stroke joinstyle="round"/>
              <v:formulas/>
              <v:path arrowok="t" o:connecttype="segments"/>
            </v:shape>
            <w10:wrap anchorx="page"/>
          </v:group>
        </w:pict>
      </w:r>
    </w:p>
    <w:p w14:paraId="3DDD0BF3" w14:textId="77777777" w:rsidR="002653E8" w:rsidRDefault="003115E3">
      <w:pPr>
        <w:spacing w:before="88" w:line="269" w:lineRule="exact"/>
        <w:ind w:left="179"/>
        <w:jc w:val="center"/>
        <w:rPr>
          <w:rFonts w:ascii="Lucida Sans" w:hAnsi="Lucida Sans"/>
          <w:b/>
          <w:sz w:val="24"/>
        </w:rPr>
      </w:pPr>
      <w:r>
        <w:rPr>
          <w:rFonts w:ascii="Lucida Sans" w:hAnsi="Lucida Sans"/>
          <w:b/>
          <w:color w:val="231F20"/>
          <w:sz w:val="24"/>
        </w:rPr>
        <w:t>“the objec tive of</w:t>
      </w:r>
    </w:p>
    <w:p w14:paraId="64204058" w14:textId="77777777" w:rsidR="002653E8" w:rsidRDefault="003115E3">
      <w:pPr>
        <w:spacing w:line="269" w:lineRule="exact"/>
        <w:ind w:left="2679"/>
        <w:rPr>
          <w:rFonts w:ascii="Lucida Sans" w:hAnsi="Lucida Sans"/>
          <w:b/>
          <w:sz w:val="24"/>
        </w:rPr>
      </w:pPr>
      <w:r>
        <w:rPr>
          <w:rFonts w:ascii="Lucida Sans" w:hAnsi="Lucida Sans"/>
          <w:b/>
          <w:color w:val="231F20"/>
          <w:sz w:val="24"/>
        </w:rPr>
        <w:t>these ac tions was clear…”</w:t>
      </w:r>
    </w:p>
    <w:p w14:paraId="44514C5B" w14:textId="77777777" w:rsidR="002653E8" w:rsidRDefault="003115E3">
      <w:pPr>
        <w:spacing w:before="146" w:line="264" w:lineRule="auto"/>
        <w:ind w:left="1845" w:right="1673"/>
        <w:rPr>
          <w:rFonts w:ascii="Calibri" w:hAnsi="Calibri"/>
          <w:sz w:val="19"/>
        </w:rPr>
      </w:pPr>
      <w:r>
        <w:rPr>
          <w:rFonts w:ascii="Calibri" w:hAnsi="Calibri"/>
          <w:color w:val="231F20"/>
          <w:w w:val="110"/>
          <w:sz w:val="19"/>
        </w:rPr>
        <w:t xml:space="preserve">The </w:t>
      </w:r>
      <w:r w:rsidR="00C507A5">
        <w:rPr>
          <w:rFonts w:ascii="Calibri" w:hAnsi="Calibri"/>
          <w:color w:val="231F20"/>
          <w:spacing w:val="1"/>
          <w:w w:val="110"/>
          <w:sz w:val="19"/>
        </w:rPr>
        <w:t>red army faction</w:t>
      </w:r>
      <w:r>
        <w:rPr>
          <w:rFonts w:ascii="Calibri" w:hAnsi="Calibri"/>
          <w:color w:val="231F20"/>
          <w:spacing w:val="1"/>
          <w:w w:val="110"/>
          <w:sz w:val="19"/>
        </w:rPr>
        <w:t xml:space="preserve"> </w:t>
      </w:r>
      <w:r>
        <w:rPr>
          <w:rFonts w:ascii="Calibri" w:hAnsi="Calibri"/>
          <w:color w:val="231F20"/>
          <w:w w:val="110"/>
          <w:sz w:val="19"/>
        </w:rPr>
        <w:t xml:space="preserve">was at the time organized in the following way: there were eight groups established in six cities, and of these there were two strong groups in two cities. There  was one group in Munich. The groups, the different units, were integrated into a logistical system. There was contact between the different groups for discussions, but they were autonomous in their decisions regarding how to </w:t>
      </w:r>
      <w:r>
        <w:rPr>
          <w:rFonts w:ascii="Calibri" w:hAnsi="Calibri"/>
          <w:color w:val="231F20"/>
          <w:spacing w:val="2"/>
          <w:w w:val="110"/>
          <w:sz w:val="19"/>
        </w:rPr>
        <w:t xml:space="preserve">carry </w:t>
      </w:r>
      <w:r>
        <w:rPr>
          <w:rFonts w:ascii="Calibri" w:hAnsi="Calibri"/>
          <w:color w:val="231F20"/>
          <w:w w:val="110"/>
          <w:sz w:val="19"/>
        </w:rPr>
        <w:t>out operations. That was left to the individual groups—and it couldn’t have been otherwise. We didn’t know</w:t>
      </w:r>
      <w:r>
        <w:rPr>
          <w:rFonts w:ascii="Calibri" w:hAnsi="Calibri"/>
          <w:color w:val="231F20"/>
          <w:spacing w:val="10"/>
          <w:w w:val="110"/>
          <w:sz w:val="19"/>
        </w:rPr>
        <w:t xml:space="preserve"> </w:t>
      </w:r>
      <w:r>
        <w:rPr>
          <w:rFonts w:ascii="Calibri" w:hAnsi="Calibri"/>
          <w:color w:val="231F20"/>
          <w:w w:val="110"/>
          <w:sz w:val="19"/>
        </w:rPr>
        <w:t>anything</w:t>
      </w:r>
    </w:p>
    <w:p w14:paraId="7DEB1778" w14:textId="77777777" w:rsidR="002653E8" w:rsidRDefault="003115E3">
      <w:pPr>
        <w:spacing w:before="7" w:line="264" w:lineRule="auto"/>
        <w:ind w:left="1845" w:right="1681"/>
        <w:rPr>
          <w:rFonts w:ascii="Calibri" w:hAnsi="Calibri"/>
          <w:sz w:val="19"/>
        </w:rPr>
      </w:pPr>
      <w:r>
        <w:rPr>
          <w:rFonts w:ascii="Calibri" w:hAnsi="Calibri"/>
          <w:color w:val="231F20"/>
          <w:w w:val="110"/>
          <w:sz w:val="19"/>
        </w:rPr>
        <w:t>in advance about these actions. However, even if we had known, we wouldn’t have prevented them, because, yeah, it’s not a simple thing to stop a group from doing what</w:t>
      </w:r>
    </w:p>
    <w:p w14:paraId="3EF063AF" w14:textId="77777777" w:rsidR="002653E8" w:rsidRDefault="003115E3">
      <w:pPr>
        <w:spacing w:before="3" w:line="264" w:lineRule="auto"/>
        <w:ind w:left="1845" w:right="1779"/>
        <w:rPr>
          <w:rFonts w:ascii="Calibri" w:hAnsi="Calibri"/>
          <w:sz w:val="19"/>
        </w:rPr>
      </w:pPr>
      <w:r>
        <w:rPr>
          <w:rFonts w:ascii="Calibri" w:hAnsi="Calibri"/>
          <w:color w:val="231F20"/>
          <w:w w:val="105"/>
          <w:sz w:val="19"/>
        </w:rPr>
        <w:t xml:space="preserve">it has decided to do. In fact, we couldn’t have prevented       it, both because of the underlying perspective and for practical reasons; it would have been impossible given the circumstances. The objective of these actions  was  clear: they were a response to the </w:t>
      </w:r>
      <w:r>
        <w:rPr>
          <w:rFonts w:ascii="Calibri" w:hAnsi="Calibri"/>
          <w:color w:val="231F20"/>
          <w:spacing w:val="1"/>
          <w:w w:val="105"/>
          <w:sz w:val="19"/>
        </w:rPr>
        <w:t xml:space="preserve">fact </w:t>
      </w:r>
      <w:r>
        <w:rPr>
          <w:rFonts w:ascii="Calibri" w:hAnsi="Calibri"/>
          <w:color w:val="231F20"/>
          <w:w w:val="105"/>
          <w:sz w:val="19"/>
        </w:rPr>
        <w:t xml:space="preserve">that fighters were shot in the street, for example, Petra and </w:t>
      </w:r>
      <w:r>
        <w:rPr>
          <w:rFonts w:ascii="Calibri" w:hAnsi="Calibri"/>
          <w:color w:val="231F20"/>
          <w:spacing w:val="-4"/>
          <w:w w:val="105"/>
          <w:sz w:val="19"/>
        </w:rPr>
        <w:t xml:space="preserve">Tommy. </w:t>
      </w:r>
      <w:r>
        <w:rPr>
          <w:rFonts w:ascii="Calibri" w:hAnsi="Calibri"/>
          <w:color w:val="231F20"/>
          <w:w w:val="105"/>
          <w:sz w:val="19"/>
        </w:rPr>
        <w:t>It would never have been our intention to prevent</w:t>
      </w:r>
      <w:r>
        <w:rPr>
          <w:rFonts w:ascii="Calibri" w:hAnsi="Calibri"/>
          <w:color w:val="231F20"/>
          <w:spacing w:val="10"/>
          <w:w w:val="105"/>
          <w:sz w:val="19"/>
        </w:rPr>
        <w:t xml:space="preserve"> </w:t>
      </w:r>
      <w:r>
        <w:rPr>
          <w:rFonts w:ascii="Calibri" w:hAnsi="Calibri"/>
          <w:color w:val="231F20"/>
          <w:w w:val="105"/>
          <w:sz w:val="19"/>
        </w:rPr>
        <w:t>them.</w:t>
      </w:r>
    </w:p>
    <w:p w14:paraId="272D0B9D" w14:textId="77777777" w:rsidR="002653E8" w:rsidRPr="00C507A5" w:rsidRDefault="003115E3">
      <w:pPr>
        <w:spacing w:before="125" w:line="264" w:lineRule="auto"/>
        <w:ind w:left="5549" w:right="1662" w:hanging="257"/>
        <w:jc w:val="right"/>
        <w:rPr>
          <w:rFonts w:ascii="Arial"/>
          <w:sz w:val="19"/>
          <w:lang w:val="de-DE"/>
        </w:rPr>
      </w:pPr>
      <w:r w:rsidRPr="00C507A5">
        <w:rPr>
          <w:rFonts w:ascii="Calibri"/>
          <w:color w:val="231F20"/>
          <w:w w:val="105"/>
          <w:sz w:val="19"/>
          <w:lang w:val="de-DE"/>
        </w:rPr>
        <w:t>Brigitte Mohnhaupt</w:t>
      </w:r>
      <w:r w:rsidRPr="00C507A5">
        <w:rPr>
          <w:rFonts w:ascii="Calibri"/>
          <w:color w:val="231F20"/>
          <w:w w:val="99"/>
          <w:sz w:val="19"/>
          <w:lang w:val="de-DE"/>
        </w:rPr>
        <w:t xml:space="preserve"> </w:t>
      </w:r>
      <w:r w:rsidRPr="00C507A5">
        <w:rPr>
          <w:rFonts w:ascii="Calibri"/>
          <w:color w:val="231F20"/>
          <w:w w:val="105"/>
          <w:sz w:val="19"/>
          <w:lang w:val="de-DE"/>
        </w:rPr>
        <w:t>Stammheim Trial</w:t>
      </w:r>
      <w:r w:rsidRPr="00C507A5">
        <w:rPr>
          <w:rFonts w:ascii="Calibri"/>
          <w:color w:val="231F20"/>
          <w:w w:val="104"/>
          <w:sz w:val="19"/>
          <w:lang w:val="de-DE"/>
        </w:rPr>
        <w:t xml:space="preserve"> </w:t>
      </w:r>
      <w:r w:rsidRPr="00C507A5">
        <w:rPr>
          <w:rFonts w:ascii="Calibri"/>
          <w:color w:val="231F20"/>
          <w:w w:val="105"/>
          <w:sz w:val="19"/>
          <w:lang w:val="de-DE"/>
        </w:rPr>
        <w:t xml:space="preserve">July </w:t>
      </w:r>
      <w:r w:rsidRPr="00C507A5">
        <w:rPr>
          <w:rFonts w:ascii="Arial"/>
          <w:color w:val="231F20"/>
          <w:w w:val="105"/>
          <w:sz w:val="19"/>
          <w:lang w:val="de-DE"/>
        </w:rPr>
        <w:t>22</w:t>
      </w:r>
      <w:r w:rsidRPr="00C507A5">
        <w:rPr>
          <w:rFonts w:ascii="Calibri"/>
          <w:color w:val="231F20"/>
          <w:w w:val="105"/>
          <w:sz w:val="19"/>
          <w:lang w:val="de-DE"/>
        </w:rPr>
        <w:t xml:space="preserve">, </w:t>
      </w:r>
      <w:r w:rsidRPr="00C507A5">
        <w:rPr>
          <w:rFonts w:ascii="Arial"/>
          <w:color w:val="231F20"/>
          <w:w w:val="105"/>
          <w:sz w:val="19"/>
          <w:lang w:val="de-DE"/>
        </w:rPr>
        <w:t>1976</w:t>
      </w:r>
    </w:p>
    <w:p w14:paraId="0623541D" w14:textId="77777777" w:rsidR="002653E8" w:rsidRPr="00C507A5" w:rsidRDefault="002653E8">
      <w:pPr>
        <w:spacing w:line="264" w:lineRule="auto"/>
        <w:jc w:val="right"/>
        <w:rPr>
          <w:rFonts w:ascii="Arial"/>
          <w:sz w:val="19"/>
          <w:lang w:val="de-DE"/>
        </w:rPr>
        <w:sectPr w:rsidR="002653E8" w:rsidRPr="00C507A5">
          <w:pgSz w:w="8640" w:h="12960"/>
          <w:pgMar w:top="1220" w:right="0" w:bottom="1040" w:left="0" w:header="0" w:footer="850" w:gutter="0"/>
          <w:cols w:space="720"/>
        </w:sectPr>
      </w:pPr>
    </w:p>
    <w:p w14:paraId="145E9A5B" w14:textId="77777777" w:rsidR="002653E8" w:rsidRDefault="003115E3">
      <w:pPr>
        <w:pStyle w:val="4"/>
        <w:ind w:left="1164"/>
      </w:pPr>
      <w:bookmarkStart w:id="68" w:name="For_the_Victory_of_the_People_of_Vietnam"/>
      <w:bookmarkStart w:id="69" w:name="_bookmark22"/>
      <w:bookmarkEnd w:id="68"/>
      <w:bookmarkEnd w:id="69"/>
      <w:r>
        <w:rPr>
          <w:color w:val="231F20"/>
          <w:spacing w:val="-3"/>
          <w:w w:val="105"/>
        </w:rPr>
        <w:lastRenderedPageBreak/>
        <w:t xml:space="preserve">For </w:t>
      </w:r>
      <w:r>
        <w:rPr>
          <w:color w:val="231F20"/>
          <w:w w:val="105"/>
        </w:rPr>
        <w:t xml:space="preserve">the </w:t>
      </w:r>
      <w:r>
        <w:rPr>
          <w:color w:val="231F20"/>
          <w:spacing w:val="-3"/>
          <w:w w:val="105"/>
        </w:rPr>
        <w:t xml:space="preserve">Victory </w:t>
      </w:r>
      <w:r>
        <w:rPr>
          <w:color w:val="231F20"/>
          <w:w w:val="105"/>
        </w:rPr>
        <w:t>of the People of</w:t>
      </w:r>
      <w:r>
        <w:rPr>
          <w:color w:val="231F20"/>
          <w:spacing w:val="65"/>
          <w:w w:val="105"/>
        </w:rPr>
        <w:t xml:space="preserve"> </w:t>
      </w:r>
      <w:r>
        <w:rPr>
          <w:color w:val="231F20"/>
          <w:w w:val="105"/>
        </w:rPr>
        <w:t>Vietnam</w:t>
      </w:r>
    </w:p>
    <w:p w14:paraId="0C5442EB" w14:textId="77777777" w:rsidR="002653E8" w:rsidRDefault="003115E3">
      <w:pPr>
        <w:pStyle w:val="a3"/>
        <w:spacing w:before="256" w:line="264" w:lineRule="auto"/>
        <w:ind w:left="1147" w:right="1326"/>
        <w:jc w:val="both"/>
      </w:pPr>
      <w:r>
        <w:rPr>
          <w:color w:val="231F20"/>
          <w:w w:val="105"/>
        </w:rPr>
        <w:t xml:space="preserve">On Thursday May </w:t>
      </w:r>
      <w:r>
        <w:rPr>
          <w:color w:val="231F20"/>
          <w:spacing w:val="-4"/>
          <w:w w:val="105"/>
        </w:rPr>
        <w:t xml:space="preserve">11, </w:t>
      </w:r>
      <w:r>
        <w:rPr>
          <w:color w:val="231F20"/>
          <w:w w:val="105"/>
        </w:rPr>
        <w:t xml:space="preserve">1972—the day the </w:t>
      </w:r>
      <w:r>
        <w:rPr>
          <w:color w:val="231F20"/>
          <w:spacing w:val="1"/>
          <w:w w:val="105"/>
        </w:rPr>
        <w:t xml:space="preserve">U.S. </w:t>
      </w:r>
      <w:r>
        <w:rPr>
          <w:color w:val="231F20"/>
          <w:w w:val="105"/>
        </w:rPr>
        <w:t>imperialist mine blockade</w:t>
      </w:r>
      <w:r>
        <w:rPr>
          <w:color w:val="231F20"/>
          <w:spacing w:val="-14"/>
          <w:w w:val="105"/>
        </w:rPr>
        <w:t xml:space="preserve"> </w:t>
      </w:r>
      <w:r>
        <w:rPr>
          <w:color w:val="231F20"/>
          <w:w w:val="105"/>
        </w:rPr>
        <w:t>of</w:t>
      </w:r>
      <w:r>
        <w:rPr>
          <w:color w:val="231F20"/>
          <w:spacing w:val="-14"/>
          <w:w w:val="105"/>
        </w:rPr>
        <w:t xml:space="preserve"> </w:t>
      </w:r>
      <w:r>
        <w:rPr>
          <w:color w:val="231F20"/>
          <w:w w:val="105"/>
        </w:rPr>
        <w:t>North</w:t>
      </w:r>
      <w:r>
        <w:rPr>
          <w:color w:val="231F20"/>
          <w:spacing w:val="-14"/>
          <w:w w:val="105"/>
        </w:rPr>
        <w:t xml:space="preserve"> </w:t>
      </w:r>
      <w:r>
        <w:rPr>
          <w:color w:val="231F20"/>
          <w:w w:val="105"/>
        </w:rPr>
        <w:t>Vietnam</w:t>
      </w:r>
      <w:r>
        <w:rPr>
          <w:color w:val="231F20"/>
          <w:spacing w:val="-14"/>
          <w:w w:val="105"/>
        </w:rPr>
        <w:t xml:space="preserve"> </w:t>
      </w:r>
      <w:r>
        <w:rPr>
          <w:color w:val="231F20"/>
          <w:w w:val="105"/>
        </w:rPr>
        <w:t>began—the</w:t>
      </w:r>
      <w:r>
        <w:rPr>
          <w:color w:val="231F20"/>
          <w:spacing w:val="-14"/>
          <w:w w:val="105"/>
        </w:rPr>
        <w:t xml:space="preserve"> </w:t>
      </w:r>
      <w:r>
        <w:rPr>
          <w:color w:val="231F20"/>
          <w:w w:val="105"/>
        </w:rPr>
        <w:t>Petra</w:t>
      </w:r>
      <w:r>
        <w:rPr>
          <w:color w:val="231F20"/>
          <w:spacing w:val="-14"/>
          <w:w w:val="105"/>
        </w:rPr>
        <w:t xml:space="preserve"> </w:t>
      </w:r>
      <w:r>
        <w:rPr>
          <w:color w:val="231F20"/>
          <w:w w:val="105"/>
        </w:rPr>
        <w:t>Schelm</w:t>
      </w:r>
      <w:r>
        <w:rPr>
          <w:color w:val="231F20"/>
          <w:spacing w:val="-14"/>
          <w:w w:val="105"/>
        </w:rPr>
        <w:t xml:space="preserve"> </w:t>
      </w:r>
      <w:r>
        <w:rPr>
          <w:color w:val="231F20"/>
          <w:w w:val="105"/>
        </w:rPr>
        <w:t>Commando</w:t>
      </w:r>
      <w:r>
        <w:rPr>
          <w:color w:val="231F20"/>
          <w:spacing w:val="-14"/>
          <w:w w:val="105"/>
        </w:rPr>
        <w:t xml:space="preserve"> </w:t>
      </w:r>
      <w:r>
        <w:rPr>
          <w:color w:val="231F20"/>
          <w:w w:val="105"/>
        </w:rPr>
        <w:t xml:space="preserve">detonated three bombs containing 80kg of </w:t>
      </w:r>
      <w:r>
        <w:rPr>
          <w:color w:val="231F20"/>
          <w:spacing w:val="3"/>
          <w:w w:val="105"/>
        </w:rPr>
        <w:t xml:space="preserve">tnt </w:t>
      </w:r>
      <w:r>
        <w:rPr>
          <w:color w:val="231F20"/>
          <w:w w:val="105"/>
        </w:rPr>
        <w:t>at the Frankfurt Headquarters of the</w:t>
      </w:r>
      <w:r>
        <w:rPr>
          <w:color w:val="231F20"/>
          <w:spacing w:val="-9"/>
          <w:w w:val="105"/>
        </w:rPr>
        <w:t xml:space="preserve"> </w:t>
      </w:r>
      <w:r>
        <w:rPr>
          <w:color w:val="231F20"/>
          <w:w w:val="105"/>
        </w:rPr>
        <w:t>V</w:t>
      </w:r>
      <w:r>
        <w:rPr>
          <w:color w:val="231F20"/>
          <w:spacing w:val="-9"/>
          <w:w w:val="105"/>
        </w:rPr>
        <w:t xml:space="preserve"> </w:t>
      </w:r>
      <w:r>
        <w:rPr>
          <w:color w:val="231F20"/>
          <w:w w:val="105"/>
        </w:rPr>
        <w:t>Army</w:t>
      </w:r>
      <w:r>
        <w:rPr>
          <w:color w:val="231F20"/>
          <w:spacing w:val="-9"/>
          <w:w w:val="105"/>
        </w:rPr>
        <w:t xml:space="preserve"> </w:t>
      </w:r>
      <w:r>
        <w:rPr>
          <w:color w:val="231F20"/>
          <w:w w:val="105"/>
        </w:rPr>
        <w:t>Corps</w:t>
      </w:r>
      <w:r>
        <w:rPr>
          <w:color w:val="231F20"/>
          <w:spacing w:val="-9"/>
          <w:w w:val="105"/>
        </w:rPr>
        <w:t xml:space="preserve"> </w:t>
      </w:r>
      <w:r>
        <w:rPr>
          <w:color w:val="231F20"/>
          <w:w w:val="105"/>
        </w:rPr>
        <w:t>of</w:t>
      </w:r>
      <w:r>
        <w:rPr>
          <w:color w:val="231F20"/>
          <w:spacing w:val="-9"/>
          <w:w w:val="105"/>
        </w:rPr>
        <w:t xml:space="preserve"> </w:t>
      </w:r>
      <w:r>
        <w:rPr>
          <w:color w:val="231F20"/>
          <w:w w:val="105"/>
        </w:rPr>
        <w:t>the</w:t>
      </w:r>
      <w:r>
        <w:rPr>
          <w:color w:val="231F20"/>
          <w:spacing w:val="-9"/>
          <w:w w:val="105"/>
        </w:rPr>
        <w:t xml:space="preserve"> </w:t>
      </w:r>
      <w:r>
        <w:rPr>
          <w:color w:val="231F20"/>
          <w:spacing w:val="1"/>
          <w:w w:val="105"/>
        </w:rPr>
        <w:t>U.S.</w:t>
      </w:r>
      <w:r>
        <w:rPr>
          <w:color w:val="231F20"/>
          <w:spacing w:val="-9"/>
          <w:w w:val="105"/>
        </w:rPr>
        <w:t xml:space="preserve"> </w:t>
      </w:r>
      <w:r>
        <w:rPr>
          <w:color w:val="231F20"/>
          <w:w w:val="105"/>
        </w:rPr>
        <w:t>Forces</w:t>
      </w:r>
      <w:r>
        <w:rPr>
          <w:color w:val="231F20"/>
          <w:spacing w:val="-9"/>
          <w:w w:val="105"/>
        </w:rPr>
        <w:t xml:space="preserve"> </w:t>
      </w:r>
      <w:r>
        <w:rPr>
          <w:color w:val="231F20"/>
          <w:w w:val="105"/>
        </w:rPr>
        <w:t>in</w:t>
      </w:r>
      <w:r>
        <w:rPr>
          <w:color w:val="231F20"/>
          <w:spacing w:val="-9"/>
          <w:w w:val="105"/>
        </w:rPr>
        <w:t xml:space="preserve"> </w:t>
      </w:r>
      <w:r>
        <w:rPr>
          <w:color w:val="231F20"/>
          <w:spacing w:val="-3"/>
          <w:w w:val="105"/>
        </w:rPr>
        <w:t>West</w:t>
      </w:r>
      <w:r>
        <w:rPr>
          <w:color w:val="231F20"/>
          <w:spacing w:val="-9"/>
          <w:w w:val="105"/>
        </w:rPr>
        <w:t xml:space="preserve"> </w:t>
      </w:r>
      <w:r>
        <w:rPr>
          <w:color w:val="231F20"/>
          <w:w w:val="105"/>
        </w:rPr>
        <w:t>Germany</w:t>
      </w:r>
      <w:r>
        <w:rPr>
          <w:color w:val="231F20"/>
          <w:spacing w:val="-9"/>
          <w:w w:val="105"/>
        </w:rPr>
        <w:t xml:space="preserve"> </w:t>
      </w:r>
      <w:r>
        <w:rPr>
          <w:color w:val="231F20"/>
          <w:w w:val="105"/>
        </w:rPr>
        <w:t>and</w:t>
      </w:r>
      <w:r>
        <w:rPr>
          <w:color w:val="231F20"/>
          <w:spacing w:val="-9"/>
          <w:w w:val="105"/>
        </w:rPr>
        <w:t xml:space="preserve"> </w:t>
      </w:r>
      <w:r>
        <w:rPr>
          <w:color w:val="231F20"/>
          <w:spacing w:val="-3"/>
          <w:w w:val="105"/>
        </w:rPr>
        <w:t>West</w:t>
      </w:r>
      <w:r>
        <w:rPr>
          <w:color w:val="231F20"/>
          <w:spacing w:val="-9"/>
          <w:w w:val="105"/>
        </w:rPr>
        <w:t xml:space="preserve"> </w:t>
      </w:r>
      <w:r>
        <w:rPr>
          <w:color w:val="231F20"/>
          <w:w w:val="105"/>
        </w:rPr>
        <w:t xml:space="preserve">Berlin. </w:t>
      </w:r>
      <w:r>
        <w:rPr>
          <w:color w:val="231F20"/>
          <w:spacing w:val="-3"/>
          <w:w w:val="105"/>
        </w:rPr>
        <w:t>West</w:t>
      </w:r>
      <w:r>
        <w:rPr>
          <w:color w:val="231F20"/>
          <w:spacing w:val="-10"/>
          <w:w w:val="105"/>
        </w:rPr>
        <w:t xml:space="preserve"> </w:t>
      </w:r>
      <w:r>
        <w:rPr>
          <w:color w:val="231F20"/>
          <w:w w:val="105"/>
        </w:rPr>
        <w:t>Germany</w:t>
      </w:r>
      <w:r>
        <w:rPr>
          <w:color w:val="231F20"/>
          <w:spacing w:val="-10"/>
          <w:w w:val="105"/>
        </w:rPr>
        <w:t xml:space="preserve"> </w:t>
      </w:r>
      <w:r>
        <w:rPr>
          <w:color w:val="231F20"/>
          <w:w w:val="105"/>
        </w:rPr>
        <w:t>and</w:t>
      </w:r>
      <w:r>
        <w:rPr>
          <w:color w:val="231F20"/>
          <w:spacing w:val="-10"/>
          <w:w w:val="105"/>
        </w:rPr>
        <w:t xml:space="preserve"> </w:t>
      </w:r>
      <w:r>
        <w:rPr>
          <w:color w:val="231F20"/>
          <w:spacing w:val="-3"/>
          <w:w w:val="105"/>
        </w:rPr>
        <w:t>West</w:t>
      </w:r>
      <w:r>
        <w:rPr>
          <w:color w:val="231F20"/>
          <w:spacing w:val="-10"/>
          <w:w w:val="105"/>
        </w:rPr>
        <w:t xml:space="preserve"> </w:t>
      </w:r>
      <w:r>
        <w:rPr>
          <w:color w:val="231F20"/>
          <w:w w:val="105"/>
        </w:rPr>
        <w:t>Berlin</w:t>
      </w:r>
      <w:r>
        <w:rPr>
          <w:color w:val="231F20"/>
          <w:spacing w:val="-10"/>
          <w:w w:val="105"/>
        </w:rPr>
        <w:t xml:space="preserve"> </w:t>
      </w:r>
      <w:r>
        <w:rPr>
          <w:color w:val="231F20"/>
          <w:w w:val="105"/>
        </w:rPr>
        <w:t>shall</w:t>
      </w:r>
      <w:r>
        <w:rPr>
          <w:color w:val="231F20"/>
          <w:spacing w:val="-10"/>
          <w:w w:val="105"/>
        </w:rPr>
        <w:t xml:space="preserve"> </w:t>
      </w:r>
      <w:r>
        <w:rPr>
          <w:color w:val="231F20"/>
          <w:w w:val="105"/>
        </w:rPr>
        <w:t>no</w:t>
      </w:r>
      <w:r>
        <w:rPr>
          <w:color w:val="231F20"/>
          <w:spacing w:val="-10"/>
          <w:w w:val="105"/>
        </w:rPr>
        <w:t xml:space="preserve"> </w:t>
      </w:r>
      <w:r>
        <w:rPr>
          <w:color w:val="231F20"/>
          <w:w w:val="105"/>
        </w:rPr>
        <w:t>longer</w:t>
      </w:r>
      <w:r>
        <w:rPr>
          <w:color w:val="231F20"/>
          <w:spacing w:val="-10"/>
          <w:w w:val="105"/>
        </w:rPr>
        <w:t xml:space="preserve"> </w:t>
      </w:r>
      <w:r>
        <w:rPr>
          <w:color w:val="231F20"/>
          <w:w w:val="105"/>
        </w:rPr>
        <w:t>be</w:t>
      </w:r>
      <w:r>
        <w:rPr>
          <w:color w:val="231F20"/>
          <w:spacing w:val="-10"/>
          <w:w w:val="105"/>
        </w:rPr>
        <w:t xml:space="preserve"> </w:t>
      </w:r>
      <w:r>
        <w:rPr>
          <w:color w:val="231F20"/>
          <w:w w:val="105"/>
        </w:rPr>
        <w:t>a</w:t>
      </w:r>
      <w:r>
        <w:rPr>
          <w:color w:val="231F20"/>
          <w:spacing w:val="-10"/>
          <w:w w:val="105"/>
        </w:rPr>
        <w:t xml:space="preserve"> </w:t>
      </w:r>
      <w:r>
        <w:rPr>
          <w:color w:val="231F20"/>
          <w:w w:val="105"/>
        </w:rPr>
        <w:t>safe</w:t>
      </w:r>
      <w:r>
        <w:rPr>
          <w:color w:val="231F20"/>
          <w:spacing w:val="-10"/>
          <w:w w:val="105"/>
        </w:rPr>
        <w:t xml:space="preserve"> </w:t>
      </w:r>
      <w:r>
        <w:rPr>
          <w:color w:val="231F20"/>
          <w:w w:val="105"/>
        </w:rPr>
        <w:t>hinterland</w:t>
      </w:r>
      <w:r>
        <w:rPr>
          <w:color w:val="231F20"/>
          <w:spacing w:val="-10"/>
          <w:w w:val="105"/>
        </w:rPr>
        <w:t xml:space="preserve"> </w:t>
      </w:r>
      <w:r>
        <w:rPr>
          <w:color w:val="231F20"/>
          <w:w w:val="105"/>
        </w:rPr>
        <w:t>for the</w:t>
      </w:r>
      <w:r>
        <w:rPr>
          <w:color w:val="231F20"/>
          <w:spacing w:val="-9"/>
          <w:w w:val="105"/>
        </w:rPr>
        <w:t xml:space="preserve"> </w:t>
      </w:r>
      <w:r>
        <w:rPr>
          <w:color w:val="231F20"/>
          <w:w w:val="105"/>
        </w:rPr>
        <w:t>strategy</w:t>
      </w:r>
      <w:r>
        <w:rPr>
          <w:color w:val="231F20"/>
          <w:spacing w:val="-9"/>
          <w:w w:val="105"/>
        </w:rPr>
        <w:t xml:space="preserve"> </w:t>
      </w:r>
      <w:r>
        <w:rPr>
          <w:color w:val="231F20"/>
          <w:w w:val="105"/>
        </w:rPr>
        <w:t>of</w:t>
      </w:r>
      <w:r>
        <w:rPr>
          <w:color w:val="231F20"/>
          <w:spacing w:val="-9"/>
          <w:w w:val="105"/>
        </w:rPr>
        <w:t xml:space="preserve"> </w:t>
      </w:r>
      <w:r>
        <w:rPr>
          <w:color w:val="231F20"/>
          <w:w w:val="105"/>
        </w:rPr>
        <w:t>extermination</w:t>
      </w:r>
      <w:r>
        <w:rPr>
          <w:color w:val="231F20"/>
          <w:spacing w:val="-9"/>
          <w:w w:val="105"/>
        </w:rPr>
        <w:t xml:space="preserve"> </w:t>
      </w:r>
      <w:r>
        <w:rPr>
          <w:color w:val="231F20"/>
          <w:w w:val="105"/>
        </w:rPr>
        <w:t>against</w:t>
      </w:r>
      <w:r>
        <w:rPr>
          <w:color w:val="231F20"/>
          <w:spacing w:val="-9"/>
          <w:w w:val="105"/>
        </w:rPr>
        <w:t xml:space="preserve"> </w:t>
      </w:r>
      <w:r>
        <w:rPr>
          <w:color w:val="231F20"/>
          <w:w w:val="105"/>
        </w:rPr>
        <w:t>Vietnam.</w:t>
      </w:r>
      <w:r>
        <w:rPr>
          <w:color w:val="231F20"/>
          <w:spacing w:val="-9"/>
          <w:w w:val="105"/>
        </w:rPr>
        <w:t xml:space="preserve"> </w:t>
      </w:r>
      <w:r>
        <w:rPr>
          <w:color w:val="231F20"/>
          <w:w w:val="105"/>
        </w:rPr>
        <w:t>They</w:t>
      </w:r>
      <w:r>
        <w:rPr>
          <w:color w:val="231F20"/>
          <w:spacing w:val="-9"/>
          <w:w w:val="105"/>
        </w:rPr>
        <w:t xml:space="preserve"> </w:t>
      </w:r>
      <w:r>
        <w:rPr>
          <w:color w:val="231F20"/>
          <w:w w:val="105"/>
        </w:rPr>
        <w:t>must</w:t>
      </w:r>
      <w:r>
        <w:rPr>
          <w:color w:val="231F20"/>
          <w:spacing w:val="-9"/>
          <w:w w:val="105"/>
        </w:rPr>
        <w:t xml:space="preserve"> </w:t>
      </w:r>
      <w:r>
        <w:rPr>
          <w:color w:val="231F20"/>
          <w:w w:val="105"/>
        </w:rPr>
        <w:t>understand that</w:t>
      </w:r>
      <w:r>
        <w:rPr>
          <w:color w:val="231F20"/>
          <w:spacing w:val="-12"/>
          <w:w w:val="105"/>
        </w:rPr>
        <w:t xml:space="preserve"> </w:t>
      </w:r>
      <w:r>
        <w:rPr>
          <w:color w:val="231F20"/>
          <w:w w:val="105"/>
        </w:rPr>
        <w:t>their</w:t>
      </w:r>
      <w:r>
        <w:rPr>
          <w:color w:val="231F20"/>
          <w:spacing w:val="-12"/>
          <w:w w:val="105"/>
        </w:rPr>
        <w:t xml:space="preserve"> </w:t>
      </w:r>
      <w:r>
        <w:rPr>
          <w:color w:val="231F20"/>
          <w:w w:val="105"/>
        </w:rPr>
        <w:t>crimes</w:t>
      </w:r>
      <w:r>
        <w:rPr>
          <w:color w:val="231F20"/>
          <w:spacing w:val="-12"/>
          <w:w w:val="105"/>
        </w:rPr>
        <w:t xml:space="preserve"> </w:t>
      </w:r>
      <w:r>
        <w:rPr>
          <w:color w:val="231F20"/>
          <w:w w:val="105"/>
        </w:rPr>
        <w:t>against</w:t>
      </w:r>
      <w:r>
        <w:rPr>
          <w:color w:val="231F20"/>
          <w:spacing w:val="-12"/>
          <w:w w:val="105"/>
        </w:rPr>
        <w:t xml:space="preserve"> </w:t>
      </w:r>
      <w:r>
        <w:rPr>
          <w:color w:val="231F20"/>
          <w:w w:val="105"/>
        </w:rPr>
        <w:t>the</w:t>
      </w:r>
      <w:r>
        <w:rPr>
          <w:color w:val="231F20"/>
          <w:spacing w:val="-12"/>
          <w:w w:val="105"/>
        </w:rPr>
        <w:t xml:space="preserve"> </w:t>
      </w:r>
      <w:r>
        <w:rPr>
          <w:color w:val="231F20"/>
          <w:w w:val="105"/>
        </w:rPr>
        <w:t>Vietnamese</w:t>
      </w:r>
      <w:r>
        <w:rPr>
          <w:color w:val="231F20"/>
          <w:spacing w:val="-12"/>
          <w:w w:val="105"/>
        </w:rPr>
        <w:t xml:space="preserve"> </w:t>
      </w:r>
      <w:r>
        <w:rPr>
          <w:color w:val="231F20"/>
          <w:w w:val="105"/>
        </w:rPr>
        <w:t>people</w:t>
      </w:r>
      <w:r>
        <w:rPr>
          <w:color w:val="231F20"/>
          <w:spacing w:val="-12"/>
          <w:w w:val="105"/>
        </w:rPr>
        <w:t xml:space="preserve"> </w:t>
      </w:r>
      <w:r>
        <w:rPr>
          <w:color w:val="231F20"/>
          <w:w w:val="105"/>
        </w:rPr>
        <w:t>have</w:t>
      </w:r>
      <w:r>
        <w:rPr>
          <w:color w:val="231F20"/>
          <w:spacing w:val="-12"/>
          <w:w w:val="105"/>
        </w:rPr>
        <w:t xml:space="preserve"> </w:t>
      </w:r>
      <w:r>
        <w:rPr>
          <w:color w:val="231F20"/>
          <w:w w:val="105"/>
        </w:rPr>
        <w:t>created</w:t>
      </w:r>
      <w:r>
        <w:rPr>
          <w:color w:val="231F20"/>
          <w:spacing w:val="-12"/>
          <w:w w:val="105"/>
        </w:rPr>
        <w:t xml:space="preserve"> </w:t>
      </w:r>
      <w:r>
        <w:rPr>
          <w:color w:val="231F20"/>
          <w:w w:val="105"/>
        </w:rPr>
        <w:t>new</w:t>
      </w:r>
      <w:r>
        <w:rPr>
          <w:color w:val="231F20"/>
          <w:spacing w:val="-12"/>
          <w:w w:val="105"/>
        </w:rPr>
        <w:t xml:space="preserve"> </w:t>
      </w:r>
      <w:r>
        <w:rPr>
          <w:color w:val="231F20"/>
          <w:w w:val="105"/>
        </w:rPr>
        <w:t>and bitter</w:t>
      </w:r>
      <w:r>
        <w:rPr>
          <w:color w:val="231F20"/>
          <w:spacing w:val="-9"/>
          <w:w w:val="105"/>
        </w:rPr>
        <w:t xml:space="preserve"> </w:t>
      </w:r>
      <w:r>
        <w:rPr>
          <w:color w:val="231F20"/>
          <w:w w:val="105"/>
        </w:rPr>
        <w:t>enemies</w:t>
      </w:r>
      <w:r>
        <w:rPr>
          <w:color w:val="231F20"/>
          <w:spacing w:val="-9"/>
          <w:w w:val="105"/>
        </w:rPr>
        <w:t xml:space="preserve"> </w:t>
      </w:r>
      <w:r>
        <w:rPr>
          <w:color w:val="231F20"/>
          <w:w w:val="105"/>
        </w:rPr>
        <w:t>for</w:t>
      </w:r>
      <w:r>
        <w:rPr>
          <w:color w:val="231F20"/>
          <w:spacing w:val="-9"/>
          <w:w w:val="105"/>
        </w:rPr>
        <w:t xml:space="preserve"> </w:t>
      </w:r>
      <w:r>
        <w:rPr>
          <w:color w:val="231F20"/>
          <w:w w:val="105"/>
        </w:rPr>
        <w:t>them,</w:t>
      </w:r>
      <w:r>
        <w:rPr>
          <w:color w:val="231F20"/>
          <w:spacing w:val="-9"/>
          <w:w w:val="105"/>
        </w:rPr>
        <w:t xml:space="preserve"> </w:t>
      </w:r>
      <w:r>
        <w:rPr>
          <w:color w:val="231F20"/>
          <w:w w:val="105"/>
        </w:rPr>
        <w:t>and</w:t>
      </w:r>
      <w:r>
        <w:rPr>
          <w:color w:val="231F20"/>
          <w:spacing w:val="-9"/>
          <w:w w:val="105"/>
        </w:rPr>
        <w:t xml:space="preserve"> </w:t>
      </w:r>
      <w:r>
        <w:rPr>
          <w:color w:val="231F20"/>
          <w:w w:val="105"/>
        </w:rPr>
        <w:t>there</w:t>
      </w:r>
      <w:r>
        <w:rPr>
          <w:color w:val="231F20"/>
          <w:spacing w:val="-9"/>
          <w:w w:val="105"/>
        </w:rPr>
        <w:t xml:space="preserve"> </w:t>
      </w:r>
      <w:r>
        <w:rPr>
          <w:color w:val="231F20"/>
          <w:w w:val="105"/>
        </w:rPr>
        <w:t>is</w:t>
      </w:r>
      <w:r>
        <w:rPr>
          <w:color w:val="231F20"/>
          <w:spacing w:val="-9"/>
          <w:w w:val="105"/>
        </w:rPr>
        <w:t xml:space="preserve"> </w:t>
      </w:r>
      <w:r>
        <w:rPr>
          <w:color w:val="231F20"/>
          <w:w w:val="105"/>
        </w:rPr>
        <w:t>nowhere</w:t>
      </w:r>
      <w:r>
        <w:rPr>
          <w:color w:val="231F20"/>
          <w:spacing w:val="-9"/>
          <w:w w:val="105"/>
        </w:rPr>
        <w:t xml:space="preserve"> </w:t>
      </w:r>
      <w:r>
        <w:rPr>
          <w:color w:val="231F20"/>
          <w:w w:val="105"/>
        </w:rPr>
        <w:t>left</w:t>
      </w:r>
      <w:r>
        <w:rPr>
          <w:color w:val="231F20"/>
          <w:spacing w:val="-9"/>
          <w:w w:val="105"/>
        </w:rPr>
        <w:t xml:space="preserve"> </w:t>
      </w:r>
      <w:r>
        <w:rPr>
          <w:color w:val="231F20"/>
          <w:w w:val="105"/>
        </w:rPr>
        <w:t>in</w:t>
      </w:r>
      <w:r>
        <w:rPr>
          <w:color w:val="231F20"/>
          <w:spacing w:val="-9"/>
          <w:w w:val="105"/>
        </w:rPr>
        <w:t xml:space="preserve"> </w:t>
      </w:r>
      <w:r>
        <w:rPr>
          <w:color w:val="231F20"/>
          <w:w w:val="105"/>
        </w:rPr>
        <w:t>this</w:t>
      </w:r>
      <w:r>
        <w:rPr>
          <w:color w:val="231F20"/>
          <w:spacing w:val="-9"/>
          <w:w w:val="105"/>
        </w:rPr>
        <w:t xml:space="preserve"> </w:t>
      </w:r>
      <w:r>
        <w:rPr>
          <w:color w:val="231F20"/>
          <w:w w:val="105"/>
        </w:rPr>
        <w:t>world</w:t>
      </w:r>
      <w:r>
        <w:rPr>
          <w:color w:val="231F20"/>
          <w:spacing w:val="-9"/>
          <w:w w:val="105"/>
        </w:rPr>
        <w:t xml:space="preserve"> </w:t>
      </w:r>
      <w:r>
        <w:rPr>
          <w:color w:val="231F20"/>
          <w:w w:val="105"/>
        </w:rPr>
        <w:t>where they will be safe from the attacks of revolutionary guerilla</w:t>
      </w:r>
      <w:r>
        <w:rPr>
          <w:color w:val="231F20"/>
          <w:spacing w:val="-21"/>
          <w:w w:val="105"/>
        </w:rPr>
        <w:t xml:space="preserve"> </w:t>
      </w:r>
      <w:r>
        <w:rPr>
          <w:color w:val="231F20"/>
          <w:w w:val="105"/>
        </w:rPr>
        <w:t>units.</w:t>
      </w:r>
    </w:p>
    <w:p w14:paraId="1797EB25" w14:textId="77777777" w:rsidR="002653E8" w:rsidRDefault="003115E3">
      <w:pPr>
        <w:pStyle w:val="a3"/>
        <w:spacing w:line="264" w:lineRule="auto"/>
        <w:ind w:left="1147" w:right="1479" w:firstLine="210"/>
      </w:pPr>
      <w:r>
        <w:rPr>
          <w:color w:val="231F20"/>
        </w:rPr>
        <w:t>We demand an immediate stop to the bomb blockade against North Vietnam.</w:t>
      </w:r>
    </w:p>
    <w:p w14:paraId="3A249FA4" w14:textId="77777777" w:rsidR="002653E8" w:rsidRDefault="003115E3">
      <w:pPr>
        <w:pStyle w:val="a3"/>
        <w:spacing w:line="264" w:lineRule="auto"/>
        <w:ind w:left="1357" w:right="1367"/>
      </w:pPr>
      <w:r>
        <w:rPr>
          <w:color w:val="231F20"/>
          <w:spacing w:val="-5"/>
        </w:rPr>
        <w:t xml:space="preserve">We  </w:t>
      </w:r>
      <w:r>
        <w:rPr>
          <w:color w:val="231F20"/>
        </w:rPr>
        <w:t xml:space="preserve">demand an immediate end to the bombing of North Vietnam.   </w:t>
      </w:r>
      <w:r>
        <w:rPr>
          <w:color w:val="231F20"/>
          <w:spacing w:val="-5"/>
        </w:rPr>
        <w:t>We</w:t>
      </w:r>
      <w:r>
        <w:rPr>
          <w:color w:val="231F20"/>
          <w:spacing w:val="20"/>
        </w:rPr>
        <w:t xml:space="preserve"> </w:t>
      </w:r>
      <w:r>
        <w:rPr>
          <w:color w:val="231F20"/>
        </w:rPr>
        <w:t>demand</w:t>
      </w:r>
      <w:r>
        <w:rPr>
          <w:color w:val="231F20"/>
          <w:spacing w:val="20"/>
        </w:rPr>
        <w:t xml:space="preserve"> </w:t>
      </w:r>
      <w:r>
        <w:rPr>
          <w:color w:val="231F20"/>
        </w:rPr>
        <w:t>the</w:t>
      </w:r>
      <w:r>
        <w:rPr>
          <w:color w:val="231F20"/>
          <w:spacing w:val="20"/>
        </w:rPr>
        <w:t xml:space="preserve"> </w:t>
      </w:r>
      <w:r>
        <w:rPr>
          <w:color w:val="231F20"/>
        </w:rPr>
        <w:t>withdrawal</w:t>
      </w:r>
      <w:r>
        <w:rPr>
          <w:color w:val="231F20"/>
          <w:spacing w:val="20"/>
        </w:rPr>
        <w:t xml:space="preserve"> </w:t>
      </w:r>
      <w:r>
        <w:rPr>
          <w:color w:val="231F20"/>
        </w:rPr>
        <w:t>of</w:t>
      </w:r>
      <w:r>
        <w:rPr>
          <w:color w:val="231F20"/>
          <w:spacing w:val="20"/>
        </w:rPr>
        <w:t xml:space="preserve"> </w:t>
      </w:r>
      <w:r>
        <w:rPr>
          <w:color w:val="231F20"/>
        </w:rPr>
        <w:t>all</w:t>
      </w:r>
      <w:r>
        <w:rPr>
          <w:color w:val="231F20"/>
          <w:spacing w:val="20"/>
        </w:rPr>
        <w:t xml:space="preserve"> </w:t>
      </w:r>
      <w:r>
        <w:rPr>
          <w:color w:val="231F20"/>
        </w:rPr>
        <w:t>American</w:t>
      </w:r>
      <w:r>
        <w:rPr>
          <w:color w:val="231F20"/>
          <w:spacing w:val="20"/>
        </w:rPr>
        <w:t xml:space="preserve"> </w:t>
      </w:r>
      <w:r>
        <w:rPr>
          <w:color w:val="231F20"/>
        </w:rPr>
        <w:t>troops</w:t>
      </w:r>
      <w:r>
        <w:rPr>
          <w:color w:val="231F20"/>
          <w:spacing w:val="20"/>
        </w:rPr>
        <w:t xml:space="preserve"> </w:t>
      </w:r>
      <w:r>
        <w:rPr>
          <w:color w:val="231F20"/>
        </w:rPr>
        <w:t>from</w:t>
      </w:r>
      <w:r>
        <w:rPr>
          <w:color w:val="231F20"/>
          <w:spacing w:val="20"/>
        </w:rPr>
        <w:t xml:space="preserve"> </w:t>
      </w:r>
      <w:r>
        <w:rPr>
          <w:color w:val="231F20"/>
        </w:rPr>
        <w:t>Indochina.</w:t>
      </w:r>
    </w:p>
    <w:p w14:paraId="2A0D2F12" w14:textId="77777777" w:rsidR="002653E8" w:rsidRDefault="003115E3">
      <w:pPr>
        <w:pStyle w:val="a3"/>
        <w:spacing w:before="113"/>
        <w:ind w:left="1147"/>
      </w:pPr>
      <w:r>
        <w:rPr>
          <w:color w:val="231F20"/>
          <w:w w:val="120"/>
        </w:rPr>
        <w:t>VICTORy TO THE VIET CONG!</w:t>
      </w:r>
    </w:p>
    <w:p w14:paraId="56D38CDF" w14:textId="77777777" w:rsidR="002653E8" w:rsidRDefault="003115E3">
      <w:pPr>
        <w:pStyle w:val="a3"/>
        <w:spacing w:before="21" w:line="261" w:lineRule="auto"/>
        <w:ind w:left="1147" w:right="3115"/>
      </w:pPr>
      <w:r>
        <w:rPr>
          <w:color w:val="231F20"/>
          <w:w w:val="115"/>
        </w:rPr>
        <w:t>BUILD THE REVOLUTIONARy GUERILLA. DARE TO STRUGGLE—DARE TO WIN!</w:t>
      </w:r>
    </w:p>
    <w:p w14:paraId="0CD01DDB" w14:textId="77777777" w:rsidR="002653E8" w:rsidRDefault="003115E3">
      <w:pPr>
        <w:pStyle w:val="a3"/>
        <w:spacing w:before="1"/>
        <w:ind w:left="1147"/>
        <w:jc w:val="both"/>
      </w:pPr>
      <w:r>
        <w:rPr>
          <w:color w:val="231F20"/>
          <w:w w:val="115"/>
        </w:rPr>
        <w:t>BUILD TWO, THREE, MANy VIETNAMS!</w:t>
      </w:r>
    </w:p>
    <w:p w14:paraId="2716220B" w14:textId="77777777" w:rsidR="002653E8" w:rsidRDefault="003115E3">
      <w:pPr>
        <w:pStyle w:val="a3"/>
        <w:spacing w:before="150"/>
        <w:ind w:left="1212" w:right="1326"/>
        <w:jc w:val="right"/>
      </w:pPr>
      <w:r>
        <w:rPr>
          <w:color w:val="231F20"/>
        </w:rPr>
        <w:t>Petra  Schelm Commando</w:t>
      </w:r>
    </w:p>
    <w:p w14:paraId="1724BE6A" w14:textId="77777777" w:rsidR="002653E8" w:rsidRDefault="003115E3">
      <w:pPr>
        <w:pStyle w:val="a3"/>
        <w:spacing w:before="21"/>
        <w:ind w:left="1212" w:right="1326"/>
        <w:jc w:val="right"/>
      </w:pPr>
      <w:r>
        <w:rPr>
          <w:color w:val="231F20"/>
          <w:w w:val="110"/>
        </w:rPr>
        <w:t>May 14, 1972</w:t>
      </w:r>
    </w:p>
    <w:p w14:paraId="77A9A7BF" w14:textId="77777777" w:rsidR="002653E8" w:rsidRDefault="002653E8">
      <w:pPr>
        <w:jc w:val="right"/>
        <w:sectPr w:rsidR="002653E8">
          <w:pgSz w:w="8640" w:h="12960"/>
          <w:pgMar w:top="1220" w:right="0" w:bottom="1040" w:left="0" w:header="0" w:footer="850" w:gutter="0"/>
          <w:cols w:space="720"/>
        </w:sectPr>
      </w:pPr>
    </w:p>
    <w:p w14:paraId="42952FEA" w14:textId="77777777" w:rsidR="002653E8" w:rsidRDefault="003115E3">
      <w:pPr>
        <w:pStyle w:val="4"/>
        <w:ind w:left="1921"/>
      </w:pPr>
      <w:bookmarkStart w:id="70" w:name="Attacks_in_Augsburg_and_Munich_(May_16,_"/>
      <w:bookmarkStart w:id="71" w:name="_bookmark23"/>
      <w:bookmarkEnd w:id="70"/>
      <w:bookmarkEnd w:id="71"/>
      <w:r>
        <w:rPr>
          <w:color w:val="231F20"/>
        </w:rPr>
        <w:lastRenderedPageBreak/>
        <w:t xml:space="preserve">Attacks in </w:t>
      </w:r>
      <w:r>
        <w:rPr>
          <w:color w:val="231F20"/>
          <w:spacing w:val="-3"/>
        </w:rPr>
        <w:t xml:space="preserve">Augsburg </w:t>
      </w:r>
      <w:r>
        <w:rPr>
          <w:color w:val="231F20"/>
        </w:rPr>
        <w:t>and</w:t>
      </w:r>
      <w:r>
        <w:rPr>
          <w:color w:val="231F20"/>
          <w:spacing w:val="80"/>
        </w:rPr>
        <w:t xml:space="preserve"> </w:t>
      </w:r>
      <w:r>
        <w:rPr>
          <w:color w:val="231F20"/>
        </w:rPr>
        <w:t>Munich</w:t>
      </w:r>
    </w:p>
    <w:p w14:paraId="705C02A4" w14:textId="77777777" w:rsidR="002653E8" w:rsidRDefault="003115E3">
      <w:pPr>
        <w:pStyle w:val="a3"/>
        <w:spacing w:before="256" w:line="264" w:lineRule="auto"/>
        <w:ind w:left="1327" w:right="1145"/>
        <w:jc w:val="both"/>
      </w:pPr>
      <w:r>
        <w:rPr>
          <w:color w:val="231F20"/>
        </w:rPr>
        <w:t>On Friday, May 12, 1972, the Thomas Weissbecker Commando detonated three bombs at the police headquarters in Augsburg and in the LKA office in Munich.</w:t>
      </w:r>
    </w:p>
    <w:p w14:paraId="14DE373B" w14:textId="77777777" w:rsidR="002653E8" w:rsidRDefault="003115E3">
      <w:pPr>
        <w:pStyle w:val="a3"/>
        <w:spacing w:line="264" w:lineRule="auto"/>
        <w:ind w:left="1327" w:right="1146" w:firstLine="210"/>
        <w:jc w:val="both"/>
      </w:pPr>
      <w:r>
        <w:rPr>
          <w:color w:val="231F20"/>
        </w:rPr>
        <w:t xml:space="preserve">On March 2, Thomas Weissbecker was murdered in a well-planned surprise attack by a death squad of the Munich </w:t>
      </w:r>
      <w:r>
        <w:rPr>
          <w:i/>
          <w:color w:val="231F20"/>
        </w:rPr>
        <w:t xml:space="preserve">Kripo </w:t>
      </w:r>
      <w:r>
        <w:rPr>
          <w:color w:val="231F20"/>
        </w:rPr>
        <w:t>and the Augsburg police; he had absolutely no chance to defend himself. The police had  no intention of taking Thomas Weissbecker prisoner; they intended to shoot</w:t>
      </w:r>
      <w:r>
        <w:rPr>
          <w:color w:val="231F20"/>
          <w:spacing w:val="10"/>
        </w:rPr>
        <w:t xml:space="preserve"> </w:t>
      </w:r>
      <w:r>
        <w:rPr>
          <w:color w:val="231F20"/>
        </w:rPr>
        <w:t>him.</w:t>
      </w:r>
    </w:p>
    <w:p w14:paraId="2BF98A68" w14:textId="77777777" w:rsidR="002653E8" w:rsidRDefault="003115E3">
      <w:pPr>
        <w:pStyle w:val="a3"/>
        <w:spacing w:line="264" w:lineRule="auto"/>
        <w:ind w:left="1327" w:right="1146" w:firstLine="210"/>
        <w:jc w:val="both"/>
      </w:pPr>
      <w:r>
        <w:rPr>
          <w:color w:val="231F20"/>
        </w:rPr>
        <w:t xml:space="preserve">The authorities responsible for the manhunt must understand that they can’t liquidate any of us without having to anticipate that we will strike back. The security services, the special squads,  the  </w:t>
      </w:r>
      <w:r>
        <w:rPr>
          <w:i/>
          <w:color w:val="231F20"/>
        </w:rPr>
        <w:t>Kripo</w:t>
      </w:r>
      <w:r>
        <w:rPr>
          <w:color w:val="231F20"/>
        </w:rPr>
        <w:t xml:space="preserve">,  the BGS and their organizational and political employers must be made aware that their attempts to </w:t>
      </w:r>
      <w:r>
        <w:rPr>
          <w:color w:val="231F20"/>
          <w:spacing w:val="-3"/>
        </w:rPr>
        <w:t xml:space="preserve">“solve” </w:t>
      </w:r>
      <w:r>
        <w:rPr>
          <w:color w:val="231F20"/>
        </w:rPr>
        <w:t>the problems of this fascist country by arming the police, by militarizing the class struggle, and by the ruthless and vicious use of guns will provoke resistance. This is also true     of the police operations in response to the Munich bank robbery, in response to the Cologne bank robbery, against the Tübingen apprentice Epple, and against foreign workers.</w:t>
      </w:r>
    </w:p>
    <w:p w14:paraId="1F3F858F" w14:textId="77777777" w:rsidR="002653E8" w:rsidRDefault="003115E3">
      <w:pPr>
        <w:pStyle w:val="a3"/>
        <w:spacing w:line="264" w:lineRule="auto"/>
        <w:ind w:left="1327" w:right="1146" w:firstLine="210"/>
        <w:jc w:val="both"/>
      </w:pPr>
      <w:r>
        <w:rPr>
          <w:color w:val="231F20"/>
        </w:rPr>
        <w:t xml:space="preserve">The tactics and tools that we use are the tactics and tools of guerilla warfare. The Minister of the Interior and the </w:t>
      </w:r>
      <w:r>
        <w:rPr>
          <w:color w:val="231F20"/>
          <w:spacing w:val="-6"/>
        </w:rPr>
        <w:t xml:space="preserve">BAW </w:t>
      </w:r>
      <w:r>
        <w:rPr>
          <w:color w:val="231F20"/>
        </w:rPr>
        <w:t>assess the situation incorrectly if they think  that  they  can  rule  with  their  death  squads. It is in the nature of the guerilla—because they struggle in the inter ests of the people—that they cannot be wiped out by military actions, because their freedom of action can be developed anew whenever it suffers temporary setbacks. Faced with the brutal arrogance of the authorities responsible for the manhunt and the “short cuts” of the fascists, our response is the steady development of the revolutionary guerilla and the long, protracted process of the struggle for liberation from fascism, from capitalist exploitation, and from the oppression of the</w:t>
      </w:r>
      <w:r>
        <w:rPr>
          <w:color w:val="231F20"/>
          <w:spacing w:val="10"/>
        </w:rPr>
        <w:t xml:space="preserve"> </w:t>
      </w:r>
      <w:r>
        <w:rPr>
          <w:color w:val="231F20"/>
        </w:rPr>
        <w:t>people.</w:t>
      </w:r>
    </w:p>
    <w:p w14:paraId="62F38741" w14:textId="77777777" w:rsidR="002653E8" w:rsidRDefault="003115E3">
      <w:pPr>
        <w:pStyle w:val="a3"/>
        <w:spacing w:before="94" w:line="261" w:lineRule="auto"/>
        <w:ind w:left="1327" w:right="3046"/>
      </w:pPr>
      <w:r>
        <w:rPr>
          <w:color w:val="231F20"/>
          <w:spacing w:val="2"/>
          <w:w w:val="110"/>
        </w:rPr>
        <w:t xml:space="preserve">RESIST </w:t>
      </w:r>
      <w:r>
        <w:rPr>
          <w:color w:val="231F20"/>
          <w:spacing w:val="3"/>
          <w:w w:val="110"/>
        </w:rPr>
        <w:t xml:space="preserve">THE </w:t>
      </w:r>
      <w:r>
        <w:rPr>
          <w:color w:val="231F20"/>
          <w:w w:val="110"/>
        </w:rPr>
        <w:t xml:space="preserve">POLICE DEATH  SQUADS! </w:t>
      </w:r>
      <w:r>
        <w:rPr>
          <w:color w:val="231F20"/>
          <w:spacing w:val="2"/>
          <w:w w:val="110"/>
        </w:rPr>
        <w:t xml:space="preserve">RESIST </w:t>
      </w:r>
      <w:r>
        <w:rPr>
          <w:color w:val="231F20"/>
          <w:spacing w:val="3"/>
          <w:w w:val="110"/>
        </w:rPr>
        <w:t xml:space="preserve">THE </w:t>
      </w:r>
      <w:r>
        <w:rPr>
          <w:color w:val="231F20"/>
          <w:w w:val="110"/>
        </w:rPr>
        <w:t xml:space="preserve">SS </w:t>
      </w:r>
      <w:r>
        <w:rPr>
          <w:color w:val="231F20"/>
          <w:spacing w:val="1"/>
          <w:w w:val="110"/>
        </w:rPr>
        <w:t xml:space="preserve">PRACTICES </w:t>
      </w:r>
      <w:r>
        <w:rPr>
          <w:color w:val="231F20"/>
          <w:w w:val="110"/>
        </w:rPr>
        <w:t xml:space="preserve">OF </w:t>
      </w:r>
      <w:r>
        <w:rPr>
          <w:color w:val="231F20"/>
          <w:spacing w:val="3"/>
          <w:w w:val="110"/>
        </w:rPr>
        <w:t>THE</w:t>
      </w:r>
      <w:r>
        <w:rPr>
          <w:color w:val="231F20"/>
          <w:spacing w:val="30"/>
          <w:w w:val="110"/>
        </w:rPr>
        <w:t xml:space="preserve"> </w:t>
      </w:r>
      <w:r>
        <w:rPr>
          <w:color w:val="231F20"/>
          <w:w w:val="110"/>
        </w:rPr>
        <w:t>POLICE!</w:t>
      </w:r>
    </w:p>
    <w:p w14:paraId="3398AD51" w14:textId="77777777" w:rsidR="002653E8" w:rsidRDefault="003115E3">
      <w:pPr>
        <w:pStyle w:val="a3"/>
        <w:spacing w:before="1" w:line="261" w:lineRule="auto"/>
        <w:ind w:left="1327" w:right="1580"/>
      </w:pPr>
      <w:r>
        <w:rPr>
          <w:color w:val="231F20"/>
          <w:w w:val="115"/>
        </w:rPr>
        <w:t>STRUGGLE AGAINST ALL ExPLOITERS AND ENEMIES OF THE PEOPLE!</w:t>
      </w:r>
    </w:p>
    <w:p w14:paraId="033DDB10" w14:textId="77777777" w:rsidR="002653E8" w:rsidRDefault="003115E3">
      <w:pPr>
        <w:pStyle w:val="a3"/>
        <w:spacing w:before="129"/>
        <w:ind w:left="1212" w:right="1146"/>
        <w:jc w:val="right"/>
      </w:pPr>
      <w:r>
        <w:rPr>
          <w:color w:val="231F20"/>
        </w:rPr>
        <w:t>Thomas  Weissbecker Commando</w:t>
      </w:r>
    </w:p>
    <w:p w14:paraId="7709B818" w14:textId="77777777" w:rsidR="002653E8" w:rsidRDefault="003115E3">
      <w:pPr>
        <w:pStyle w:val="a3"/>
        <w:spacing w:before="22"/>
        <w:ind w:left="1212" w:right="1145"/>
        <w:jc w:val="right"/>
      </w:pPr>
      <w:r>
        <w:rPr>
          <w:color w:val="231F20"/>
          <w:w w:val="105"/>
        </w:rPr>
        <w:t>May 16, 1972</w:t>
      </w:r>
    </w:p>
    <w:p w14:paraId="4AE87545" w14:textId="77777777" w:rsidR="002653E8" w:rsidRDefault="002653E8">
      <w:pPr>
        <w:jc w:val="right"/>
        <w:sectPr w:rsidR="002653E8">
          <w:footerReference w:type="even" r:id="rId150"/>
          <w:footerReference w:type="default" r:id="rId151"/>
          <w:pgSz w:w="8640" w:h="12960"/>
          <w:pgMar w:top="1220" w:right="0" w:bottom="1040" w:left="0" w:header="0" w:footer="850" w:gutter="0"/>
          <w:cols w:space="720"/>
        </w:sectPr>
      </w:pPr>
    </w:p>
    <w:p w14:paraId="52E7AEE8" w14:textId="77777777" w:rsidR="002653E8" w:rsidRDefault="003115E3">
      <w:pPr>
        <w:pStyle w:val="4"/>
        <w:ind w:left="2049"/>
      </w:pPr>
      <w:bookmarkStart w:id="72" w:name="Attack_on_Judge_Buddenberg_(May_20,_1972"/>
      <w:bookmarkStart w:id="73" w:name="_bookmark24"/>
      <w:bookmarkEnd w:id="72"/>
      <w:bookmarkEnd w:id="73"/>
      <w:r>
        <w:rPr>
          <w:color w:val="231F20"/>
        </w:rPr>
        <w:lastRenderedPageBreak/>
        <w:t>Attack on Judge</w:t>
      </w:r>
      <w:r>
        <w:rPr>
          <w:color w:val="231F20"/>
          <w:spacing w:val="56"/>
        </w:rPr>
        <w:t xml:space="preserve"> </w:t>
      </w:r>
      <w:r>
        <w:rPr>
          <w:color w:val="231F20"/>
        </w:rPr>
        <w:t>Buddenberg</w:t>
      </w:r>
    </w:p>
    <w:p w14:paraId="1D2DE821" w14:textId="77777777" w:rsidR="002653E8" w:rsidRDefault="003115E3">
      <w:pPr>
        <w:pStyle w:val="a3"/>
        <w:spacing w:before="256" w:line="264" w:lineRule="auto"/>
        <w:ind w:left="1147" w:right="1326"/>
        <w:jc w:val="both"/>
      </w:pPr>
      <w:r>
        <w:rPr>
          <w:color w:val="231F20"/>
        </w:rPr>
        <w:t xml:space="preserve">On </w:t>
      </w:r>
      <w:r>
        <w:rPr>
          <w:color w:val="231F20"/>
          <w:spacing w:val="-3"/>
        </w:rPr>
        <w:t xml:space="preserve">Monday, </w:t>
      </w:r>
      <w:r>
        <w:rPr>
          <w:color w:val="231F20"/>
        </w:rPr>
        <w:t xml:space="preserve">May </w:t>
      </w:r>
      <w:r>
        <w:rPr>
          <w:color w:val="231F20"/>
          <w:spacing w:val="-4"/>
        </w:rPr>
        <w:t xml:space="preserve">16, </w:t>
      </w:r>
      <w:r>
        <w:rPr>
          <w:color w:val="231F20"/>
          <w:spacing w:val="-3"/>
        </w:rPr>
        <w:t xml:space="preserve">1972, </w:t>
      </w:r>
      <w:r>
        <w:rPr>
          <w:color w:val="231F20"/>
        </w:rPr>
        <w:t>the Manfred  Grashof  Commando  carried  out a bomb attack against Judge Buddenberg of the Karlsruhe Federal Supreme Court. Buddenberg is the judge at the Federal Supreme Court responsible for the arrests and investigations in the current political proceedings under</w:t>
      </w:r>
      <w:r>
        <w:rPr>
          <w:color w:val="231F20"/>
          <w:spacing w:val="21"/>
        </w:rPr>
        <w:t xml:space="preserve"> </w:t>
      </w:r>
      <w:r>
        <w:rPr>
          <w:color w:val="231F20"/>
          <w:spacing w:val="-4"/>
          <w:sz w:val="18"/>
        </w:rPr>
        <w:t>§</w:t>
      </w:r>
      <w:r>
        <w:rPr>
          <w:color w:val="231F20"/>
          <w:spacing w:val="-4"/>
        </w:rPr>
        <w:t>129.</w:t>
      </w:r>
    </w:p>
    <w:p w14:paraId="052EF868" w14:textId="77777777" w:rsidR="002653E8" w:rsidRDefault="003115E3">
      <w:pPr>
        <w:pStyle w:val="a3"/>
        <w:spacing w:line="264" w:lineRule="auto"/>
        <w:ind w:left="1147" w:right="1325" w:firstLine="210"/>
        <w:jc w:val="both"/>
      </w:pPr>
      <w:r>
        <w:rPr>
          <w:color w:val="231F20"/>
        </w:rPr>
        <w:t>Buddenberg, the pig, allowed Grashof to be moved from the hospital to a cell; the transfer and the risk of infection in the prison put his life   at risk. He attempted to murder Grashof. The police having failed, he tried</w:t>
      </w:r>
      <w:r>
        <w:rPr>
          <w:color w:val="231F20"/>
          <w:spacing w:val="10"/>
        </w:rPr>
        <w:t xml:space="preserve"> </w:t>
      </w:r>
      <w:r>
        <w:rPr>
          <w:color w:val="231F20"/>
        </w:rPr>
        <w:t>again</w:t>
      </w:r>
      <w:r>
        <w:rPr>
          <w:color w:val="231F20"/>
          <w:spacing w:val="10"/>
        </w:rPr>
        <w:t xml:space="preserve"> </w:t>
      </w:r>
      <w:r>
        <w:rPr>
          <w:color w:val="231F20"/>
        </w:rPr>
        <w:t>to</w:t>
      </w:r>
      <w:r>
        <w:rPr>
          <w:color w:val="231F20"/>
          <w:spacing w:val="10"/>
        </w:rPr>
        <w:t xml:space="preserve"> </w:t>
      </w:r>
      <w:r>
        <w:rPr>
          <w:color w:val="231F20"/>
        </w:rPr>
        <w:t>kill</w:t>
      </w:r>
      <w:r>
        <w:rPr>
          <w:color w:val="231F20"/>
          <w:spacing w:val="10"/>
        </w:rPr>
        <w:t xml:space="preserve"> </w:t>
      </w:r>
      <w:r>
        <w:rPr>
          <w:color w:val="231F20"/>
        </w:rPr>
        <w:t>the</w:t>
      </w:r>
      <w:r>
        <w:rPr>
          <w:color w:val="231F20"/>
          <w:spacing w:val="10"/>
        </w:rPr>
        <w:t xml:space="preserve"> </w:t>
      </w:r>
      <w:r>
        <w:rPr>
          <w:color w:val="231F20"/>
        </w:rPr>
        <w:t>defenseless</w:t>
      </w:r>
      <w:r>
        <w:rPr>
          <w:color w:val="231F20"/>
          <w:spacing w:val="10"/>
        </w:rPr>
        <w:t xml:space="preserve"> </w:t>
      </w:r>
      <w:r>
        <w:rPr>
          <w:color w:val="231F20"/>
        </w:rPr>
        <w:t>Grashof.</w:t>
      </w:r>
    </w:p>
    <w:p w14:paraId="75FC6D05" w14:textId="77777777" w:rsidR="002653E8" w:rsidRDefault="003115E3">
      <w:pPr>
        <w:pStyle w:val="a3"/>
        <w:spacing w:line="264" w:lineRule="auto"/>
        <w:ind w:left="1147" w:right="1326" w:firstLine="210"/>
        <w:jc w:val="both"/>
      </w:pPr>
      <w:r>
        <w:rPr>
          <w:color w:val="231F20"/>
        </w:rPr>
        <w:t>Buddenberg, the pig, is responsible for Carmen Roll being drugged in order to get her to talk. The foreseeable effect of the drug indicates that this was attempted murder.</w:t>
      </w:r>
    </w:p>
    <w:p w14:paraId="6FEF3E57" w14:textId="77777777" w:rsidR="002653E8" w:rsidRDefault="003115E3">
      <w:pPr>
        <w:pStyle w:val="a3"/>
        <w:spacing w:line="264" w:lineRule="auto"/>
        <w:ind w:left="1147" w:right="1326" w:firstLine="210"/>
        <w:jc w:val="both"/>
      </w:pPr>
      <w:r>
        <w:rPr>
          <w:color w:val="231F20"/>
        </w:rPr>
        <w:t>Buddenberg, the pig, doesn’t give a shit about existing laws and conventions.</w:t>
      </w:r>
      <w:r>
        <w:rPr>
          <w:color w:val="231F20"/>
          <w:spacing w:val="-7"/>
        </w:rPr>
        <w:t xml:space="preserve"> </w:t>
      </w:r>
      <w:r>
        <w:rPr>
          <w:color w:val="231F20"/>
        </w:rPr>
        <w:t>The</w:t>
      </w:r>
      <w:r>
        <w:rPr>
          <w:color w:val="231F20"/>
          <w:spacing w:val="-7"/>
        </w:rPr>
        <w:t xml:space="preserve"> </w:t>
      </w:r>
      <w:r>
        <w:rPr>
          <w:color w:val="231F20"/>
        </w:rPr>
        <w:t>strict</w:t>
      </w:r>
      <w:r>
        <w:rPr>
          <w:color w:val="231F20"/>
          <w:spacing w:val="-7"/>
        </w:rPr>
        <w:t xml:space="preserve"> </w:t>
      </w:r>
      <w:r>
        <w:rPr>
          <w:color w:val="231F20"/>
        </w:rPr>
        <w:t>isolation</w:t>
      </w:r>
      <w:r>
        <w:rPr>
          <w:color w:val="231F20"/>
          <w:spacing w:val="-7"/>
        </w:rPr>
        <w:t xml:space="preserve"> </w:t>
      </w:r>
      <w:r>
        <w:rPr>
          <w:color w:val="231F20"/>
        </w:rPr>
        <w:t>in</w:t>
      </w:r>
      <w:r>
        <w:rPr>
          <w:color w:val="231F20"/>
          <w:spacing w:val="-7"/>
        </w:rPr>
        <w:t xml:space="preserve"> </w:t>
      </w:r>
      <w:r>
        <w:rPr>
          <w:color w:val="231F20"/>
        </w:rPr>
        <w:t>which</w:t>
      </w:r>
      <w:r>
        <w:rPr>
          <w:color w:val="231F20"/>
          <w:spacing w:val="-7"/>
        </w:rPr>
        <w:t xml:space="preserve"> </w:t>
      </w:r>
      <w:r>
        <w:rPr>
          <w:color w:val="231F20"/>
        </w:rPr>
        <w:t>prisoners</w:t>
      </w:r>
      <w:r>
        <w:rPr>
          <w:color w:val="231F20"/>
          <w:spacing w:val="-7"/>
        </w:rPr>
        <w:t xml:space="preserve"> </w:t>
      </w:r>
      <w:r>
        <w:rPr>
          <w:color w:val="231F20"/>
        </w:rPr>
        <w:t>are</w:t>
      </w:r>
      <w:r>
        <w:rPr>
          <w:color w:val="231F20"/>
          <w:spacing w:val="-7"/>
        </w:rPr>
        <w:t xml:space="preserve"> </w:t>
      </w:r>
      <w:r>
        <w:rPr>
          <w:color w:val="231F20"/>
        </w:rPr>
        <w:t>held</w:t>
      </w:r>
      <w:r>
        <w:rPr>
          <w:color w:val="231F20"/>
          <w:spacing w:val="-7"/>
        </w:rPr>
        <w:t xml:space="preserve"> </w:t>
      </w:r>
      <w:r>
        <w:rPr>
          <w:color w:val="231F20"/>
        </w:rPr>
        <w:t>to</w:t>
      </w:r>
      <w:r>
        <w:rPr>
          <w:color w:val="231F20"/>
          <w:spacing w:val="-7"/>
        </w:rPr>
        <w:t xml:space="preserve"> </w:t>
      </w:r>
      <w:r>
        <w:rPr>
          <w:color w:val="231F20"/>
        </w:rPr>
        <w:t>destroy</w:t>
      </w:r>
      <w:r>
        <w:rPr>
          <w:color w:val="231F20"/>
          <w:spacing w:val="-7"/>
        </w:rPr>
        <w:t xml:space="preserve"> </w:t>
      </w:r>
      <w:r>
        <w:rPr>
          <w:color w:val="231F20"/>
        </w:rPr>
        <w:t>them psychologically: solitary confinement, isolated yard time, the ban on speaking to other prisoners, constant transfers, punitive confinement, observation cells, the censoring of mail and the confiscation of mail, books, and magazines. The means used to destroy them physically—the glaring cell lights at night, frequent interruption of sleep for searches, chaining during yard time, and physical abuse—are not the bullying      of insignificant, frustrated prison wardens; these are Buddenberg’s decrees, meant to force the prisoners to make statements. It is institutionalized</w:t>
      </w:r>
      <w:r>
        <w:rPr>
          <w:color w:val="231F20"/>
          <w:spacing w:val="10"/>
        </w:rPr>
        <w:t xml:space="preserve"> </w:t>
      </w:r>
      <w:r>
        <w:rPr>
          <w:color w:val="231F20"/>
        </w:rPr>
        <w:t>fascism</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justice</w:t>
      </w:r>
      <w:r>
        <w:rPr>
          <w:color w:val="231F20"/>
          <w:spacing w:val="10"/>
        </w:rPr>
        <w:t xml:space="preserve"> </w:t>
      </w:r>
      <w:r>
        <w:rPr>
          <w:color w:val="231F20"/>
        </w:rPr>
        <w:t>system.</w:t>
      </w:r>
      <w:r>
        <w:rPr>
          <w:color w:val="231F20"/>
          <w:spacing w:val="10"/>
        </w:rPr>
        <w:t xml:space="preserve"> </w:t>
      </w:r>
      <w:r>
        <w:rPr>
          <w:color w:val="231F20"/>
        </w:rPr>
        <w:t>It</w:t>
      </w:r>
      <w:r>
        <w:rPr>
          <w:color w:val="231F20"/>
          <w:spacing w:val="10"/>
        </w:rPr>
        <w:t xml:space="preserve"> </w:t>
      </w:r>
      <w:r>
        <w:rPr>
          <w:color w:val="231F20"/>
        </w:rPr>
        <w:t>is</w:t>
      </w:r>
      <w:r>
        <w:rPr>
          <w:color w:val="231F20"/>
          <w:spacing w:val="10"/>
        </w:rPr>
        <w:t xml:space="preserve"> </w:t>
      </w:r>
      <w:r>
        <w:rPr>
          <w:color w:val="231F20"/>
        </w:rPr>
        <w:t>the</w:t>
      </w:r>
      <w:r>
        <w:rPr>
          <w:color w:val="231F20"/>
          <w:spacing w:val="10"/>
        </w:rPr>
        <w:t xml:space="preserve"> </w:t>
      </w:r>
      <w:r>
        <w:rPr>
          <w:color w:val="231F20"/>
        </w:rPr>
        <w:t>beginning</w:t>
      </w:r>
      <w:r>
        <w:rPr>
          <w:color w:val="231F20"/>
          <w:spacing w:val="10"/>
        </w:rPr>
        <w:t xml:space="preserve"> </w:t>
      </w:r>
      <w:r>
        <w:rPr>
          <w:color w:val="231F20"/>
        </w:rPr>
        <w:t>of</w:t>
      </w:r>
      <w:r>
        <w:rPr>
          <w:color w:val="231F20"/>
          <w:spacing w:val="10"/>
        </w:rPr>
        <w:t xml:space="preserve"> </w:t>
      </w:r>
      <w:r>
        <w:rPr>
          <w:color w:val="231F20"/>
        </w:rPr>
        <w:t>torture.</w:t>
      </w:r>
    </w:p>
    <w:p w14:paraId="4837949A" w14:textId="77777777" w:rsidR="002653E8" w:rsidRDefault="003115E3">
      <w:pPr>
        <w:pStyle w:val="a3"/>
        <w:spacing w:line="264" w:lineRule="auto"/>
        <w:ind w:left="1147" w:right="1326" w:firstLine="210"/>
        <w:jc w:val="both"/>
      </w:pPr>
      <w:r>
        <w:rPr>
          <w:color w:val="231F20"/>
          <w:spacing w:val="-5"/>
        </w:rPr>
        <w:t>We</w:t>
      </w:r>
      <w:r>
        <w:rPr>
          <w:color w:val="231F20"/>
          <w:spacing w:val="-9"/>
        </w:rPr>
        <w:t xml:space="preserve"> </w:t>
      </w:r>
      <w:r>
        <w:rPr>
          <w:color w:val="231F20"/>
        </w:rPr>
        <w:t>demand</w:t>
      </w:r>
      <w:r>
        <w:rPr>
          <w:color w:val="231F20"/>
          <w:spacing w:val="-9"/>
        </w:rPr>
        <w:t xml:space="preserve"> </w:t>
      </w:r>
      <w:r>
        <w:rPr>
          <w:color w:val="231F20"/>
        </w:rPr>
        <w:t>the</w:t>
      </w:r>
      <w:r>
        <w:rPr>
          <w:color w:val="231F20"/>
          <w:spacing w:val="-9"/>
        </w:rPr>
        <w:t xml:space="preserve"> </w:t>
      </w:r>
      <w:r>
        <w:rPr>
          <w:color w:val="231F20"/>
        </w:rPr>
        <w:t>immediate</w:t>
      </w:r>
      <w:r>
        <w:rPr>
          <w:color w:val="231F20"/>
          <w:spacing w:val="-9"/>
        </w:rPr>
        <w:t xml:space="preserve"> </w:t>
      </w:r>
      <w:r>
        <w:rPr>
          <w:color w:val="231F20"/>
        </w:rPr>
        <w:t>application</w:t>
      </w:r>
      <w:r>
        <w:rPr>
          <w:color w:val="231F20"/>
          <w:spacing w:val="-9"/>
        </w:rPr>
        <w:t xml:space="preserve"> </w:t>
      </w:r>
      <w:r>
        <w:rPr>
          <w:color w:val="231F20"/>
        </w:rPr>
        <w:t>of</w:t>
      </w:r>
      <w:r>
        <w:rPr>
          <w:color w:val="231F20"/>
          <w:spacing w:val="-9"/>
        </w:rPr>
        <w:t xml:space="preserve"> </w:t>
      </w:r>
      <w:r>
        <w:rPr>
          <w:color w:val="231F20"/>
        </w:rPr>
        <w:t>laws</w:t>
      </w:r>
      <w:r>
        <w:rPr>
          <w:color w:val="231F20"/>
          <w:spacing w:val="-9"/>
        </w:rPr>
        <w:t xml:space="preserve"> </w:t>
      </w:r>
      <w:r>
        <w:rPr>
          <w:color w:val="231F20"/>
        </w:rPr>
        <w:t>governing</w:t>
      </w:r>
      <w:r>
        <w:rPr>
          <w:color w:val="231F20"/>
          <w:spacing w:val="-9"/>
        </w:rPr>
        <w:t xml:space="preserve"> </w:t>
      </w:r>
      <w:r>
        <w:rPr>
          <w:color w:val="231F20"/>
        </w:rPr>
        <w:t>remand</w:t>
      </w:r>
      <w:r>
        <w:rPr>
          <w:color w:val="231F20"/>
          <w:spacing w:val="-9"/>
        </w:rPr>
        <w:t xml:space="preserve"> </w:t>
      </w:r>
      <w:r>
        <w:rPr>
          <w:color w:val="231F20"/>
        </w:rPr>
        <w:t xml:space="preserve">prisoners, the Geneva Human Rights Convention, and the United Nations Charter regarding the use of remand custody for political prisoners. </w:t>
      </w:r>
      <w:r>
        <w:rPr>
          <w:color w:val="231F20"/>
          <w:spacing w:val="-5"/>
        </w:rPr>
        <w:t xml:space="preserve">We </w:t>
      </w:r>
      <w:r>
        <w:rPr>
          <w:color w:val="231F20"/>
        </w:rPr>
        <w:t>demand the justice system call off the systematic destructive attacks upon</w:t>
      </w:r>
      <w:r>
        <w:rPr>
          <w:color w:val="231F20"/>
          <w:spacing w:val="10"/>
        </w:rPr>
        <w:t xml:space="preserve"> </w:t>
      </w:r>
      <w:r>
        <w:rPr>
          <w:color w:val="231F20"/>
        </w:rPr>
        <w:t>the</w:t>
      </w:r>
      <w:r>
        <w:rPr>
          <w:color w:val="231F20"/>
          <w:spacing w:val="10"/>
        </w:rPr>
        <w:t xml:space="preserve"> </w:t>
      </w:r>
      <w:r>
        <w:rPr>
          <w:color w:val="231F20"/>
        </w:rPr>
        <w:t>lives</w:t>
      </w:r>
      <w:r>
        <w:rPr>
          <w:color w:val="231F20"/>
          <w:spacing w:val="10"/>
        </w:rPr>
        <w:t xml:space="preserve"> </w:t>
      </w:r>
      <w:r>
        <w:rPr>
          <w:color w:val="231F20"/>
        </w:rPr>
        <w:t>and</w:t>
      </w:r>
      <w:r>
        <w:rPr>
          <w:color w:val="231F20"/>
          <w:spacing w:val="10"/>
        </w:rPr>
        <w:t xml:space="preserve"> </w:t>
      </w:r>
      <w:r>
        <w:rPr>
          <w:color w:val="231F20"/>
        </w:rPr>
        <w:t>health</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prisoners.</w:t>
      </w:r>
    </w:p>
    <w:p w14:paraId="174CC1AC" w14:textId="77777777" w:rsidR="002653E8" w:rsidRDefault="003115E3">
      <w:pPr>
        <w:pStyle w:val="a3"/>
        <w:spacing w:line="264" w:lineRule="auto"/>
        <w:ind w:left="1147" w:right="1326" w:firstLine="210"/>
        <w:jc w:val="both"/>
      </w:pPr>
      <w:r>
        <w:rPr>
          <w:color w:val="231F20"/>
        </w:rPr>
        <w:t>We will carry out bomb attacks against judges and federal prosecutors until they stop violating the rights of political prisoners. We are, in fact, demanding nothing that is impossible for this justice system. We have no other means to compel them to do so.</w:t>
      </w:r>
    </w:p>
    <w:p w14:paraId="76AEA245" w14:textId="77777777" w:rsidR="002653E8" w:rsidRDefault="003115E3">
      <w:pPr>
        <w:pStyle w:val="a3"/>
        <w:spacing w:before="92" w:line="261" w:lineRule="auto"/>
        <w:ind w:left="1147" w:right="3115"/>
      </w:pPr>
      <w:r>
        <w:rPr>
          <w:color w:val="231F20"/>
          <w:w w:val="110"/>
        </w:rPr>
        <w:t>FREEDOM FOR THE POLITICAL PRISONERS! RESIST CLASS JUSTICE! RESIST FASCISM!</w:t>
      </w:r>
    </w:p>
    <w:p w14:paraId="24943983" w14:textId="77777777" w:rsidR="002653E8" w:rsidRDefault="003115E3">
      <w:pPr>
        <w:pStyle w:val="a3"/>
        <w:spacing w:before="129"/>
        <w:ind w:left="1212" w:right="1326"/>
        <w:jc w:val="right"/>
      </w:pPr>
      <w:r>
        <w:rPr>
          <w:color w:val="231F20"/>
          <w:w w:val="105"/>
        </w:rPr>
        <w:t>Manfred  Grashof Commando</w:t>
      </w:r>
    </w:p>
    <w:p w14:paraId="656F2796" w14:textId="77777777" w:rsidR="002653E8" w:rsidRDefault="003115E3">
      <w:pPr>
        <w:pStyle w:val="a3"/>
        <w:spacing w:before="22"/>
        <w:ind w:left="1212" w:right="1326"/>
        <w:jc w:val="right"/>
      </w:pPr>
      <w:r>
        <w:rPr>
          <w:color w:val="231F20"/>
          <w:w w:val="110"/>
        </w:rPr>
        <w:t>May 20, 1972</w:t>
      </w:r>
    </w:p>
    <w:p w14:paraId="744E8CE4" w14:textId="77777777" w:rsidR="002653E8" w:rsidRDefault="002653E8">
      <w:pPr>
        <w:jc w:val="right"/>
        <w:sectPr w:rsidR="002653E8">
          <w:pgSz w:w="8640" w:h="12960"/>
          <w:pgMar w:top="1220" w:right="0" w:bottom="1040" w:left="0" w:header="0" w:footer="850" w:gutter="0"/>
          <w:cols w:space="720"/>
        </w:sectPr>
      </w:pPr>
    </w:p>
    <w:p w14:paraId="047FFA26" w14:textId="77777777" w:rsidR="002653E8" w:rsidRDefault="003115E3">
      <w:pPr>
        <w:pStyle w:val="4"/>
        <w:ind w:left="1993"/>
      </w:pPr>
      <w:bookmarkStart w:id="74" w:name="Attack_on_the_Springer_Building_(May_20,"/>
      <w:bookmarkStart w:id="75" w:name="_bookmark25"/>
      <w:bookmarkEnd w:id="74"/>
      <w:bookmarkEnd w:id="75"/>
      <w:r>
        <w:rPr>
          <w:color w:val="231F20"/>
        </w:rPr>
        <w:lastRenderedPageBreak/>
        <w:t>Attack on the Springer</w:t>
      </w:r>
      <w:r>
        <w:rPr>
          <w:color w:val="231F20"/>
          <w:spacing w:val="90"/>
        </w:rPr>
        <w:t xml:space="preserve"> </w:t>
      </w:r>
      <w:r>
        <w:rPr>
          <w:color w:val="231F20"/>
        </w:rPr>
        <w:t>Building</w:t>
      </w:r>
    </w:p>
    <w:p w14:paraId="3CAC25E6" w14:textId="77777777" w:rsidR="002653E8" w:rsidRDefault="003115E3">
      <w:pPr>
        <w:pStyle w:val="a3"/>
        <w:spacing w:before="256" w:line="264" w:lineRule="auto"/>
        <w:ind w:left="1327" w:right="1145"/>
        <w:jc w:val="both"/>
      </w:pPr>
      <w:r>
        <w:rPr>
          <w:color w:val="231F20"/>
          <w:spacing w:val="-4"/>
        </w:rPr>
        <w:t xml:space="preserve">yesterday, </w:t>
      </w:r>
      <w:r>
        <w:rPr>
          <w:color w:val="231F20"/>
        </w:rPr>
        <w:t xml:space="preserve">Friday May </w:t>
      </w:r>
      <w:r>
        <w:rPr>
          <w:color w:val="231F20"/>
          <w:spacing w:val="-5"/>
        </w:rPr>
        <w:t xml:space="preserve">19, </w:t>
      </w:r>
      <w:r>
        <w:rPr>
          <w:color w:val="231F20"/>
        </w:rPr>
        <w:t xml:space="preserve">at </w:t>
      </w:r>
      <w:r>
        <w:rPr>
          <w:color w:val="231F20"/>
          <w:spacing w:val="-9"/>
        </w:rPr>
        <w:t xml:space="preserve">3:55 </w:t>
      </w:r>
      <w:r>
        <w:rPr>
          <w:color w:val="231F20"/>
        </w:rPr>
        <w:t xml:space="preserve">pm, two bombs exploded in the Springer Building in Hamburg. Despite prompt and early warnings, the building </w:t>
      </w:r>
      <w:r>
        <w:rPr>
          <w:color w:val="231F20"/>
          <w:spacing w:val="-3"/>
        </w:rPr>
        <w:t xml:space="preserve">wasn’t </w:t>
      </w:r>
      <w:r>
        <w:rPr>
          <w:color w:val="231F20"/>
        </w:rPr>
        <w:t xml:space="preserve">evacuated and </w:t>
      </w:r>
      <w:r>
        <w:rPr>
          <w:color w:val="231F20"/>
          <w:spacing w:val="-3"/>
        </w:rPr>
        <w:t xml:space="preserve">17 </w:t>
      </w:r>
      <w:r>
        <w:rPr>
          <w:color w:val="231F20"/>
        </w:rPr>
        <w:t xml:space="preserve">people were injured. At </w:t>
      </w:r>
      <w:r>
        <w:rPr>
          <w:color w:val="231F20"/>
          <w:spacing w:val="-3"/>
        </w:rPr>
        <w:t xml:space="preserve">3:29 </w:t>
      </w:r>
      <w:r>
        <w:rPr>
          <w:color w:val="231F20"/>
        </w:rPr>
        <w:t xml:space="preserve">pm, the first warning was given to number </w:t>
      </w:r>
      <w:r>
        <w:rPr>
          <w:color w:val="231F20"/>
          <w:spacing w:val="-4"/>
        </w:rPr>
        <w:t xml:space="preserve">3471, </w:t>
      </w:r>
      <w:r>
        <w:rPr>
          <w:color w:val="231F20"/>
        </w:rPr>
        <w:t xml:space="preserve">who was told to evacuate the building within </w:t>
      </w:r>
      <w:r>
        <w:rPr>
          <w:color w:val="231F20"/>
          <w:spacing w:val="-9"/>
        </w:rPr>
        <w:t xml:space="preserve">15 </w:t>
      </w:r>
      <w:r>
        <w:rPr>
          <w:color w:val="231F20"/>
        </w:rPr>
        <w:t xml:space="preserve">minutes because a bomb would detonate  shortly. The answer was, “Stop this nonsense.” The call was cut off. With a second call at </w:t>
      </w:r>
      <w:r>
        <w:rPr>
          <w:color w:val="231F20"/>
          <w:spacing w:val="-6"/>
        </w:rPr>
        <w:t xml:space="preserve">3:31 </w:t>
      </w:r>
      <w:r>
        <w:rPr>
          <w:color w:val="231F20"/>
        </w:rPr>
        <w:t xml:space="preserve">pm, we said, “If you </w:t>
      </w:r>
      <w:r>
        <w:rPr>
          <w:color w:val="231F20"/>
          <w:spacing w:val="-3"/>
        </w:rPr>
        <w:t xml:space="preserve">don’t </w:t>
      </w:r>
      <w:r>
        <w:rPr>
          <w:color w:val="231F20"/>
        </w:rPr>
        <w:t xml:space="preserve">evacuate immediately, something horrible will </w:t>
      </w:r>
      <w:r>
        <w:rPr>
          <w:color w:val="231F20"/>
          <w:spacing w:val="-3"/>
        </w:rPr>
        <w:t xml:space="preserve">happen.” </w:t>
      </w:r>
      <w:r>
        <w:rPr>
          <w:color w:val="231F20"/>
        </w:rPr>
        <w:t xml:space="preserve">But the telephone operators obviously had instructions not to pay attention to such calls. The third call, at </w:t>
      </w:r>
      <w:r>
        <w:rPr>
          <w:color w:val="231F20"/>
          <w:spacing w:val="-6"/>
        </w:rPr>
        <w:t xml:space="preserve">3:36 </w:t>
      </w:r>
      <w:r>
        <w:rPr>
          <w:color w:val="231F20"/>
        </w:rPr>
        <w:t xml:space="preserve">pm, was to the cops saying, “Goddamn it, see to it that the building is immediately evacuated.” Because the Springer Corporation can’t cover up the fact that they were warned, they distort it, stating, “There was only one call and it came too </w:t>
      </w:r>
      <w:r>
        <w:rPr>
          <w:color w:val="231F20"/>
          <w:spacing w:val="-3"/>
        </w:rPr>
        <w:t xml:space="preserve">late.” </w:t>
      </w:r>
      <w:r>
        <w:rPr>
          <w:color w:val="231F20"/>
          <w:spacing w:val="-7"/>
        </w:rPr>
        <w:t xml:space="preserve">Two </w:t>
      </w:r>
      <w:r>
        <w:rPr>
          <w:color w:val="231F20"/>
        </w:rPr>
        <w:t>telephone operators and the police can</w:t>
      </w:r>
      <w:r>
        <w:rPr>
          <w:color w:val="231F20"/>
          <w:spacing w:val="10"/>
        </w:rPr>
        <w:t xml:space="preserve"> </w:t>
      </w:r>
      <w:r>
        <w:rPr>
          <w:color w:val="231F20"/>
        </w:rPr>
        <w:t>confirm</w:t>
      </w:r>
      <w:r>
        <w:rPr>
          <w:color w:val="231F20"/>
          <w:spacing w:val="10"/>
        </w:rPr>
        <w:t xml:space="preserve"> </w:t>
      </w:r>
      <w:r>
        <w:rPr>
          <w:color w:val="231F20"/>
        </w:rPr>
        <w:t>that</w:t>
      </w:r>
      <w:r>
        <w:rPr>
          <w:color w:val="231F20"/>
          <w:spacing w:val="10"/>
        </w:rPr>
        <w:t xml:space="preserve"> </w:t>
      </w:r>
      <w:r>
        <w:rPr>
          <w:color w:val="231F20"/>
        </w:rPr>
        <w:t>the</w:t>
      </w:r>
      <w:r>
        <w:rPr>
          <w:color w:val="231F20"/>
          <w:spacing w:val="10"/>
        </w:rPr>
        <w:t xml:space="preserve"> </w:t>
      </w:r>
      <w:r>
        <w:rPr>
          <w:color w:val="231F20"/>
        </w:rPr>
        <w:t>Springer</w:t>
      </w:r>
      <w:r>
        <w:rPr>
          <w:color w:val="231F20"/>
          <w:spacing w:val="10"/>
        </w:rPr>
        <w:t xml:space="preserve"> </w:t>
      </w:r>
      <w:r>
        <w:rPr>
          <w:color w:val="231F20"/>
        </w:rPr>
        <w:t>Press</w:t>
      </w:r>
      <w:r>
        <w:rPr>
          <w:color w:val="231F20"/>
          <w:spacing w:val="10"/>
        </w:rPr>
        <w:t xml:space="preserve"> </w:t>
      </w:r>
      <w:r>
        <w:rPr>
          <w:color w:val="231F20"/>
        </w:rPr>
        <w:t>is</w:t>
      </w:r>
      <w:r>
        <w:rPr>
          <w:color w:val="231F20"/>
          <w:spacing w:val="10"/>
        </w:rPr>
        <w:t xml:space="preserve"> </w:t>
      </w:r>
      <w:r>
        <w:rPr>
          <w:color w:val="231F20"/>
        </w:rPr>
        <w:t>lying</w:t>
      </w:r>
      <w:r>
        <w:rPr>
          <w:color w:val="231F20"/>
          <w:spacing w:val="10"/>
        </w:rPr>
        <w:t xml:space="preserve"> </w:t>
      </w:r>
      <w:r>
        <w:rPr>
          <w:color w:val="231F20"/>
        </w:rPr>
        <w:t>once</w:t>
      </w:r>
      <w:r>
        <w:rPr>
          <w:color w:val="231F20"/>
          <w:spacing w:val="10"/>
        </w:rPr>
        <w:t xml:space="preserve"> </w:t>
      </w:r>
      <w:r>
        <w:rPr>
          <w:color w:val="231F20"/>
        </w:rPr>
        <w:t>again.</w:t>
      </w:r>
    </w:p>
    <w:p w14:paraId="3336B4D5" w14:textId="77777777" w:rsidR="002653E8" w:rsidRDefault="003115E3">
      <w:pPr>
        <w:pStyle w:val="a3"/>
        <w:spacing w:line="219" w:lineRule="exact"/>
        <w:ind w:left="1538"/>
      </w:pPr>
      <w:r>
        <w:rPr>
          <w:color w:val="231F20"/>
        </w:rPr>
        <w:t>Springer would rather risk his workers and staff being injured by a</w:t>
      </w:r>
    </w:p>
    <w:p w14:paraId="54C425C5" w14:textId="77777777" w:rsidR="002653E8" w:rsidRDefault="003115E3">
      <w:pPr>
        <w:pStyle w:val="a3"/>
        <w:spacing w:before="22" w:line="264" w:lineRule="auto"/>
        <w:ind w:left="1328" w:right="1146"/>
        <w:jc w:val="both"/>
      </w:pPr>
      <w:r>
        <w:rPr>
          <w:color w:val="231F20"/>
        </w:rPr>
        <w:t xml:space="preserve">bomb than risk losing a couple of hours of work time, and therefore profit, as a result of a false alarm. For capitalists, profit is everything, and the people who make it for them are </w:t>
      </w:r>
      <w:r>
        <w:rPr>
          <w:color w:val="231F20"/>
          <w:spacing w:val="1"/>
        </w:rPr>
        <w:t xml:space="preserve">dirt. </w:t>
      </w:r>
      <w:r>
        <w:rPr>
          <w:color w:val="231F20"/>
          <w:spacing w:val="-5"/>
        </w:rPr>
        <w:t xml:space="preserve">We </w:t>
      </w:r>
      <w:r>
        <w:rPr>
          <w:color w:val="231F20"/>
        </w:rPr>
        <w:t>regret that workers and staff were</w:t>
      </w:r>
      <w:r>
        <w:rPr>
          <w:color w:val="231F20"/>
          <w:spacing w:val="32"/>
        </w:rPr>
        <w:t xml:space="preserve"> </w:t>
      </w:r>
      <w:r>
        <w:rPr>
          <w:color w:val="231F20"/>
        </w:rPr>
        <w:t>injured.</w:t>
      </w:r>
    </w:p>
    <w:p w14:paraId="03E9E0F8" w14:textId="77777777" w:rsidR="002653E8" w:rsidRDefault="003115E3">
      <w:pPr>
        <w:pStyle w:val="a3"/>
        <w:spacing w:line="264" w:lineRule="auto"/>
        <w:ind w:left="1328" w:right="1145" w:firstLine="210"/>
        <w:jc w:val="both"/>
      </w:pPr>
      <w:r>
        <w:rPr>
          <w:color w:val="231F20"/>
        </w:rPr>
        <w:t xml:space="preserve">Our demands of Springer: that his newspapers stop the anticommunist hysteria against the New </w:t>
      </w:r>
      <w:r>
        <w:rPr>
          <w:color w:val="231F20"/>
          <w:spacing w:val="1"/>
        </w:rPr>
        <w:t xml:space="preserve">Left,  </w:t>
      </w:r>
      <w:r>
        <w:rPr>
          <w:color w:val="231F20"/>
        </w:rPr>
        <w:t xml:space="preserve">against  working  class  solidarity actions such as strikes, and against communist parties here and in other countries; that the Springer Corporation stop the hysteria against liberation movements in the Third </w:t>
      </w:r>
      <w:r>
        <w:rPr>
          <w:color w:val="231F20"/>
          <w:spacing w:val="-3"/>
        </w:rPr>
        <w:t xml:space="preserve">World, </w:t>
      </w:r>
      <w:r>
        <w:rPr>
          <w:color w:val="231F20"/>
        </w:rPr>
        <w:t>especially against the Arab people who struggle for the freedom of Palestine; that he stop his propagandistic support for Zionism—the imperialist politics of the Israeli ruling class; that the Springer Press stop spreading lies about foreign workers</w:t>
      </w:r>
      <w:r>
        <w:rPr>
          <w:color w:val="231F20"/>
          <w:spacing w:val="10"/>
        </w:rPr>
        <w:t xml:space="preserve"> </w:t>
      </w:r>
      <w:r>
        <w:rPr>
          <w:color w:val="231F20"/>
        </w:rPr>
        <w:t>here.</w:t>
      </w:r>
    </w:p>
    <w:p w14:paraId="3E683ADF" w14:textId="77777777" w:rsidR="002653E8" w:rsidRDefault="003115E3">
      <w:pPr>
        <w:pStyle w:val="a3"/>
        <w:spacing w:line="224" w:lineRule="exact"/>
        <w:ind w:left="1538"/>
      </w:pPr>
      <w:r>
        <w:rPr>
          <w:color w:val="231F20"/>
        </w:rPr>
        <w:t>We demand that the Springer Press print this communiqué.</w:t>
      </w:r>
    </w:p>
    <w:p w14:paraId="3FA7605E" w14:textId="77777777" w:rsidR="002653E8" w:rsidRDefault="003115E3">
      <w:pPr>
        <w:pStyle w:val="a3"/>
        <w:spacing w:before="18" w:line="264" w:lineRule="auto"/>
        <w:ind w:left="1328" w:right="1145" w:firstLine="210"/>
      </w:pPr>
      <w:r>
        <w:rPr>
          <w:color w:val="231F20"/>
        </w:rPr>
        <w:t>We demand nothing impossible. We will stop our attacks on the enemies of the people if our demands are met.</w:t>
      </w:r>
    </w:p>
    <w:p w14:paraId="1328CA72" w14:textId="77777777" w:rsidR="002653E8" w:rsidRDefault="003115E3">
      <w:pPr>
        <w:pStyle w:val="a3"/>
        <w:spacing w:before="126"/>
        <w:ind w:left="1327"/>
        <w:jc w:val="both"/>
      </w:pPr>
      <w:r>
        <w:rPr>
          <w:color w:val="231F20"/>
          <w:w w:val="115"/>
        </w:rPr>
        <w:t>ExPROPRIATE SPRINGER!</w:t>
      </w:r>
    </w:p>
    <w:p w14:paraId="1EEB3828" w14:textId="77777777" w:rsidR="002653E8" w:rsidRDefault="003115E3">
      <w:pPr>
        <w:pStyle w:val="a3"/>
        <w:spacing w:before="21"/>
        <w:ind w:left="1327"/>
        <w:jc w:val="both"/>
      </w:pPr>
      <w:r>
        <w:rPr>
          <w:color w:val="231F20"/>
          <w:w w:val="115"/>
        </w:rPr>
        <w:t>ExPROPRIATE THE ENEMIES OF THE PEOPLE!</w:t>
      </w:r>
    </w:p>
    <w:p w14:paraId="40D6079C" w14:textId="77777777" w:rsidR="002653E8" w:rsidRDefault="003115E3">
      <w:pPr>
        <w:pStyle w:val="a3"/>
        <w:spacing w:before="150"/>
        <w:ind w:left="1212" w:right="1146"/>
        <w:jc w:val="right"/>
      </w:pPr>
      <w:r>
        <w:rPr>
          <w:color w:val="231F20"/>
          <w:w w:val="105"/>
        </w:rPr>
        <w:t>2nd of June Commando</w:t>
      </w:r>
    </w:p>
    <w:p w14:paraId="6DEEC489" w14:textId="77777777" w:rsidR="002653E8" w:rsidRDefault="003115E3">
      <w:pPr>
        <w:pStyle w:val="a3"/>
        <w:spacing w:before="21"/>
        <w:ind w:left="1212" w:right="1146"/>
        <w:jc w:val="right"/>
      </w:pPr>
      <w:r>
        <w:rPr>
          <w:color w:val="231F20"/>
          <w:w w:val="110"/>
        </w:rPr>
        <w:t>May 20, 1972</w:t>
      </w:r>
    </w:p>
    <w:p w14:paraId="7BF6A5F1" w14:textId="77777777" w:rsidR="002653E8" w:rsidRPr="00B40314" w:rsidRDefault="002653E8">
      <w:pPr>
        <w:jc w:val="right"/>
        <w:rPr>
          <w:rFonts w:eastAsiaTheme="minorEastAsia"/>
        </w:rPr>
        <w:sectPr w:rsidR="002653E8" w:rsidRPr="00B40314">
          <w:footerReference w:type="even" r:id="rId152"/>
          <w:footerReference w:type="default" r:id="rId153"/>
          <w:pgSz w:w="8640" w:h="12960"/>
          <w:pgMar w:top="1220" w:right="0" w:bottom="1040" w:left="0" w:header="0" w:footer="850" w:gutter="0"/>
          <w:cols w:space="720"/>
        </w:sectPr>
      </w:pPr>
    </w:p>
    <w:p w14:paraId="4048F73A" w14:textId="77777777" w:rsidR="002653E8" w:rsidRDefault="003115E3">
      <w:pPr>
        <w:pStyle w:val="4"/>
        <w:spacing w:line="273" w:lineRule="auto"/>
        <w:ind w:left="2173" w:right="1419" w:hanging="915"/>
      </w:pPr>
      <w:bookmarkStart w:id="76" w:name="Attack_on_the_Heidelberg_Headquarters_of"/>
      <w:bookmarkStart w:id="77" w:name="_bookmark26"/>
      <w:bookmarkEnd w:id="76"/>
      <w:bookmarkEnd w:id="77"/>
      <w:r>
        <w:rPr>
          <w:color w:val="231F20"/>
          <w:w w:val="105"/>
        </w:rPr>
        <w:lastRenderedPageBreak/>
        <w:t>Attack on the Heidelberg</w:t>
      </w:r>
      <w:r>
        <w:rPr>
          <w:color w:val="231F20"/>
          <w:spacing w:val="-61"/>
          <w:w w:val="105"/>
        </w:rPr>
        <w:t xml:space="preserve"> </w:t>
      </w:r>
      <w:r>
        <w:rPr>
          <w:color w:val="231F20"/>
          <w:w w:val="105"/>
        </w:rPr>
        <w:t xml:space="preserve">Headquarters of the </w:t>
      </w:r>
      <w:r>
        <w:rPr>
          <w:color w:val="231F20"/>
          <w:spacing w:val="-8"/>
          <w:w w:val="105"/>
        </w:rPr>
        <w:t xml:space="preserve">U.S. </w:t>
      </w:r>
      <w:r>
        <w:rPr>
          <w:color w:val="231F20"/>
          <w:spacing w:val="-3"/>
          <w:w w:val="105"/>
        </w:rPr>
        <w:t xml:space="preserve">Army </w:t>
      </w:r>
      <w:r>
        <w:rPr>
          <w:color w:val="231F20"/>
          <w:w w:val="105"/>
        </w:rPr>
        <w:t>in Europe</w:t>
      </w:r>
    </w:p>
    <w:p w14:paraId="4A413C78" w14:textId="77777777" w:rsidR="002653E8" w:rsidRDefault="002653E8">
      <w:pPr>
        <w:pStyle w:val="a3"/>
        <w:spacing w:before="11"/>
        <w:rPr>
          <w:rFonts w:ascii="Bookman Old Style"/>
          <w:sz w:val="27"/>
        </w:rPr>
      </w:pPr>
    </w:p>
    <w:p w14:paraId="43B99D9D" w14:textId="77777777" w:rsidR="002653E8" w:rsidRDefault="003115E3">
      <w:pPr>
        <w:ind w:left="2425"/>
        <w:rPr>
          <w:i/>
          <w:sz w:val="19"/>
        </w:rPr>
      </w:pPr>
      <w:r>
        <w:rPr>
          <w:i/>
          <w:color w:val="231F20"/>
          <w:w w:val="105"/>
          <w:sz w:val="19"/>
        </w:rPr>
        <w:t>Every form of monstrosity will be abolished</w:t>
      </w:r>
    </w:p>
    <w:p w14:paraId="42E05798" w14:textId="77777777" w:rsidR="002653E8" w:rsidRDefault="003115E3">
      <w:pPr>
        <w:spacing w:before="74"/>
        <w:ind w:left="5653"/>
        <w:rPr>
          <w:sz w:val="19"/>
        </w:rPr>
      </w:pPr>
      <w:r>
        <w:rPr>
          <w:color w:val="231F20"/>
          <w:w w:val="110"/>
          <w:sz w:val="19"/>
        </w:rPr>
        <w:t>Mao</w:t>
      </w:r>
    </w:p>
    <w:p w14:paraId="338D279A" w14:textId="77777777" w:rsidR="002653E8" w:rsidRDefault="002653E8">
      <w:pPr>
        <w:pStyle w:val="a3"/>
        <w:spacing w:before="7"/>
      </w:pPr>
    </w:p>
    <w:p w14:paraId="4935206D" w14:textId="77777777" w:rsidR="002653E8" w:rsidRDefault="003115E3">
      <w:pPr>
        <w:pStyle w:val="a3"/>
        <w:spacing w:line="264" w:lineRule="auto"/>
        <w:ind w:left="1148" w:right="1325" w:hanging="1"/>
        <w:jc w:val="both"/>
      </w:pPr>
      <w:r>
        <w:rPr>
          <w:color w:val="231F20"/>
          <w:spacing w:val="-3"/>
          <w:w w:val="105"/>
        </w:rPr>
        <w:t>yesterday</w:t>
      </w:r>
      <w:r>
        <w:rPr>
          <w:color w:val="231F20"/>
          <w:spacing w:val="-8"/>
          <w:w w:val="105"/>
        </w:rPr>
        <w:t xml:space="preserve"> </w:t>
      </w:r>
      <w:r>
        <w:rPr>
          <w:color w:val="231F20"/>
          <w:w w:val="105"/>
        </w:rPr>
        <w:t>evening,</w:t>
      </w:r>
      <w:r>
        <w:rPr>
          <w:color w:val="231F20"/>
          <w:spacing w:val="-8"/>
          <w:w w:val="105"/>
        </w:rPr>
        <w:t xml:space="preserve"> </w:t>
      </w:r>
      <w:r>
        <w:rPr>
          <w:color w:val="231F20"/>
          <w:w w:val="105"/>
        </w:rPr>
        <w:t>May</w:t>
      </w:r>
      <w:r>
        <w:rPr>
          <w:color w:val="231F20"/>
          <w:spacing w:val="-7"/>
          <w:w w:val="105"/>
        </w:rPr>
        <w:t xml:space="preserve"> </w:t>
      </w:r>
      <w:r>
        <w:rPr>
          <w:color w:val="231F20"/>
          <w:w w:val="105"/>
        </w:rPr>
        <w:t>24,</w:t>
      </w:r>
      <w:r>
        <w:rPr>
          <w:color w:val="231F20"/>
          <w:spacing w:val="-8"/>
          <w:w w:val="105"/>
        </w:rPr>
        <w:t xml:space="preserve"> </w:t>
      </w:r>
      <w:r>
        <w:rPr>
          <w:color w:val="231F20"/>
          <w:spacing w:val="-3"/>
          <w:w w:val="105"/>
        </w:rPr>
        <w:t>1972,</w:t>
      </w:r>
      <w:r>
        <w:rPr>
          <w:color w:val="231F20"/>
          <w:spacing w:val="-8"/>
          <w:w w:val="105"/>
        </w:rPr>
        <w:t xml:space="preserve"> </w:t>
      </w:r>
      <w:r>
        <w:rPr>
          <w:color w:val="231F20"/>
          <w:w w:val="105"/>
        </w:rPr>
        <w:t>two</w:t>
      </w:r>
      <w:r>
        <w:rPr>
          <w:color w:val="231F20"/>
          <w:spacing w:val="-8"/>
          <w:w w:val="105"/>
        </w:rPr>
        <w:t xml:space="preserve"> </w:t>
      </w:r>
      <w:r>
        <w:rPr>
          <w:color w:val="231F20"/>
          <w:w w:val="105"/>
        </w:rPr>
        <w:t>bombs</w:t>
      </w:r>
      <w:r>
        <w:rPr>
          <w:color w:val="231F20"/>
          <w:spacing w:val="-8"/>
          <w:w w:val="105"/>
        </w:rPr>
        <w:t xml:space="preserve"> </w:t>
      </w:r>
      <w:r>
        <w:rPr>
          <w:color w:val="231F20"/>
          <w:w w:val="105"/>
        </w:rPr>
        <w:t>with</w:t>
      </w:r>
      <w:r>
        <w:rPr>
          <w:color w:val="231F20"/>
          <w:spacing w:val="-8"/>
          <w:w w:val="105"/>
        </w:rPr>
        <w:t xml:space="preserve"> </w:t>
      </w:r>
      <w:r>
        <w:rPr>
          <w:color w:val="231F20"/>
          <w:w w:val="105"/>
        </w:rPr>
        <w:t>an</w:t>
      </w:r>
      <w:r>
        <w:rPr>
          <w:color w:val="231F20"/>
          <w:spacing w:val="-8"/>
          <w:w w:val="105"/>
        </w:rPr>
        <w:t xml:space="preserve"> </w:t>
      </w:r>
      <w:r>
        <w:rPr>
          <w:color w:val="231F20"/>
          <w:w w:val="105"/>
        </w:rPr>
        <w:t>explosive</w:t>
      </w:r>
      <w:r>
        <w:rPr>
          <w:color w:val="231F20"/>
          <w:spacing w:val="-8"/>
          <w:w w:val="105"/>
        </w:rPr>
        <w:t xml:space="preserve"> </w:t>
      </w:r>
      <w:r>
        <w:rPr>
          <w:color w:val="231F20"/>
          <w:w w:val="105"/>
        </w:rPr>
        <w:t>capac</w:t>
      </w:r>
      <w:r>
        <w:rPr>
          <w:color w:val="231F20"/>
          <w:w w:val="110"/>
        </w:rPr>
        <w:t>ity</w:t>
      </w:r>
      <w:r>
        <w:rPr>
          <w:color w:val="231F20"/>
          <w:spacing w:val="-15"/>
          <w:w w:val="110"/>
        </w:rPr>
        <w:t xml:space="preserve"> </w:t>
      </w:r>
      <w:r>
        <w:rPr>
          <w:color w:val="231F20"/>
          <w:w w:val="110"/>
        </w:rPr>
        <w:t>of</w:t>
      </w:r>
      <w:r>
        <w:rPr>
          <w:color w:val="231F20"/>
          <w:spacing w:val="-15"/>
          <w:w w:val="110"/>
        </w:rPr>
        <w:t xml:space="preserve"> </w:t>
      </w:r>
      <w:r>
        <w:rPr>
          <w:color w:val="231F20"/>
          <w:spacing w:val="1"/>
          <w:w w:val="110"/>
        </w:rPr>
        <w:t>200</w:t>
      </w:r>
      <w:r>
        <w:rPr>
          <w:color w:val="231F20"/>
          <w:spacing w:val="-15"/>
          <w:w w:val="110"/>
        </w:rPr>
        <w:t xml:space="preserve"> </w:t>
      </w:r>
      <w:r>
        <w:rPr>
          <w:color w:val="231F20"/>
          <w:w w:val="110"/>
        </w:rPr>
        <w:t>kg</w:t>
      </w:r>
      <w:r>
        <w:rPr>
          <w:color w:val="231F20"/>
          <w:spacing w:val="-15"/>
          <w:w w:val="110"/>
        </w:rPr>
        <w:t xml:space="preserve"> </w:t>
      </w:r>
      <w:r>
        <w:rPr>
          <w:color w:val="231F20"/>
          <w:w w:val="110"/>
        </w:rPr>
        <w:t>of</w:t>
      </w:r>
      <w:r>
        <w:rPr>
          <w:color w:val="231F20"/>
          <w:spacing w:val="-15"/>
          <w:w w:val="110"/>
        </w:rPr>
        <w:t xml:space="preserve"> </w:t>
      </w:r>
      <w:r>
        <w:rPr>
          <w:color w:val="231F20"/>
          <w:spacing w:val="1"/>
          <w:w w:val="110"/>
        </w:rPr>
        <w:t>tnt,</w:t>
      </w:r>
      <w:r>
        <w:rPr>
          <w:color w:val="231F20"/>
          <w:spacing w:val="-15"/>
          <w:w w:val="110"/>
        </w:rPr>
        <w:t xml:space="preserve"> </w:t>
      </w:r>
      <w:r>
        <w:rPr>
          <w:color w:val="231F20"/>
          <w:w w:val="110"/>
        </w:rPr>
        <w:t>were</w:t>
      </w:r>
      <w:r>
        <w:rPr>
          <w:color w:val="231F20"/>
          <w:spacing w:val="-15"/>
          <w:w w:val="110"/>
        </w:rPr>
        <w:t xml:space="preserve"> </w:t>
      </w:r>
      <w:r>
        <w:rPr>
          <w:color w:val="231F20"/>
          <w:w w:val="110"/>
        </w:rPr>
        <w:t>detonated</w:t>
      </w:r>
      <w:r>
        <w:rPr>
          <w:color w:val="231F20"/>
          <w:spacing w:val="-15"/>
          <w:w w:val="110"/>
        </w:rPr>
        <w:t xml:space="preserve"> </w:t>
      </w:r>
      <w:r>
        <w:rPr>
          <w:color w:val="231F20"/>
          <w:w w:val="110"/>
        </w:rPr>
        <w:t>in</w:t>
      </w:r>
      <w:r>
        <w:rPr>
          <w:color w:val="231F20"/>
          <w:spacing w:val="-15"/>
          <w:w w:val="110"/>
        </w:rPr>
        <w:t xml:space="preserve"> </w:t>
      </w:r>
      <w:r>
        <w:rPr>
          <w:color w:val="231F20"/>
          <w:w w:val="110"/>
        </w:rPr>
        <w:t>the</w:t>
      </w:r>
      <w:r>
        <w:rPr>
          <w:color w:val="231F20"/>
          <w:spacing w:val="-15"/>
          <w:w w:val="110"/>
        </w:rPr>
        <w:t xml:space="preserve"> </w:t>
      </w:r>
      <w:r>
        <w:rPr>
          <w:color w:val="231F20"/>
          <w:w w:val="110"/>
        </w:rPr>
        <w:t>Heidelberg</w:t>
      </w:r>
      <w:r>
        <w:rPr>
          <w:color w:val="231F20"/>
          <w:spacing w:val="-15"/>
          <w:w w:val="110"/>
        </w:rPr>
        <w:t xml:space="preserve"> </w:t>
      </w:r>
      <w:r>
        <w:rPr>
          <w:color w:val="231F20"/>
          <w:w w:val="110"/>
        </w:rPr>
        <w:t>Headquarters of</w:t>
      </w:r>
      <w:r>
        <w:rPr>
          <w:color w:val="231F20"/>
          <w:spacing w:val="-23"/>
          <w:w w:val="110"/>
        </w:rPr>
        <w:t xml:space="preserve"> </w:t>
      </w:r>
      <w:r>
        <w:rPr>
          <w:color w:val="231F20"/>
          <w:w w:val="110"/>
        </w:rPr>
        <w:t>the</w:t>
      </w:r>
      <w:r>
        <w:rPr>
          <w:color w:val="231F20"/>
          <w:spacing w:val="-23"/>
          <w:w w:val="110"/>
        </w:rPr>
        <w:t xml:space="preserve"> </w:t>
      </w:r>
      <w:r>
        <w:rPr>
          <w:color w:val="231F20"/>
          <w:w w:val="110"/>
        </w:rPr>
        <w:t>American</w:t>
      </w:r>
      <w:r>
        <w:rPr>
          <w:color w:val="231F20"/>
          <w:spacing w:val="-23"/>
          <w:w w:val="110"/>
        </w:rPr>
        <w:t xml:space="preserve"> </w:t>
      </w:r>
      <w:r>
        <w:rPr>
          <w:color w:val="231F20"/>
          <w:w w:val="110"/>
        </w:rPr>
        <w:t>Armed</w:t>
      </w:r>
      <w:r>
        <w:rPr>
          <w:color w:val="231F20"/>
          <w:spacing w:val="-23"/>
          <w:w w:val="110"/>
        </w:rPr>
        <w:t xml:space="preserve"> </w:t>
      </w:r>
      <w:r>
        <w:rPr>
          <w:color w:val="231F20"/>
          <w:w w:val="110"/>
        </w:rPr>
        <w:t>Forces</w:t>
      </w:r>
      <w:r>
        <w:rPr>
          <w:color w:val="231F20"/>
          <w:spacing w:val="-23"/>
          <w:w w:val="110"/>
        </w:rPr>
        <w:t xml:space="preserve"> </w:t>
      </w:r>
      <w:r>
        <w:rPr>
          <w:color w:val="231F20"/>
          <w:w w:val="110"/>
        </w:rPr>
        <w:t>in</w:t>
      </w:r>
      <w:r>
        <w:rPr>
          <w:color w:val="231F20"/>
          <w:spacing w:val="-23"/>
          <w:w w:val="110"/>
        </w:rPr>
        <w:t xml:space="preserve"> </w:t>
      </w:r>
      <w:r>
        <w:rPr>
          <w:color w:val="231F20"/>
          <w:w w:val="110"/>
        </w:rPr>
        <w:t>Europe.</w:t>
      </w:r>
      <w:r>
        <w:rPr>
          <w:color w:val="231F20"/>
          <w:spacing w:val="-23"/>
          <w:w w:val="110"/>
        </w:rPr>
        <w:t xml:space="preserve"> </w:t>
      </w:r>
      <w:r>
        <w:rPr>
          <w:color w:val="231F20"/>
          <w:w w:val="110"/>
        </w:rPr>
        <w:t>The</w:t>
      </w:r>
      <w:r>
        <w:rPr>
          <w:color w:val="231F20"/>
          <w:spacing w:val="-23"/>
          <w:w w:val="110"/>
        </w:rPr>
        <w:t xml:space="preserve"> </w:t>
      </w:r>
      <w:r>
        <w:rPr>
          <w:color w:val="231F20"/>
          <w:w w:val="110"/>
        </w:rPr>
        <w:t>attack</w:t>
      </w:r>
      <w:r>
        <w:rPr>
          <w:color w:val="231F20"/>
          <w:spacing w:val="-23"/>
          <w:w w:val="110"/>
        </w:rPr>
        <w:t xml:space="preserve"> </w:t>
      </w:r>
      <w:r>
        <w:rPr>
          <w:color w:val="231F20"/>
          <w:w w:val="110"/>
        </w:rPr>
        <w:t>was</w:t>
      </w:r>
      <w:r>
        <w:rPr>
          <w:color w:val="231F20"/>
          <w:spacing w:val="-23"/>
          <w:w w:val="110"/>
        </w:rPr>
        <w:t xml:space="preserve"> </w:t>
      </w:r>
      <w:r>
        <w:rPr>
          <w:color w:val="231F20"/>
          <w:w w:val="110"/>
        </w:rPr>
        <w:t>carried</w:t>
      </w:r>
      <w:r>
        <w:rPr>
          <w:color w:val="231F20"/>
          <w:spacing w:val="-23"/>
          <w:w w:val="110"/>
        </w:rPr>
        <w:t xml:space="preserve"> </w:t>
      </w:r>
      <w:r>
        <w:rPr>
          <w:color w:val="231F20"/>
          <w:w w:val="110"/>
        </w:rPr>
        <w:t>out after</w:t>
      </w:r>
      <w:r>
        <w:rPr>
          <w:color w:val="231F20"/>
          <w:spacing w:val="-16"/>
          <w:w w:val="110"/>
        </w:rPr>
        <w:t xml:space="preserve"> </w:t>
      </w:r>
      <w:r>
        <w:rPr>
          <w:color w:val="231F20"/>
          <w:w w:val="110"/>
        </w:rPr>
        <w:t>General</w:t>
      </w:r>
      <w:r>
        <w:rPr>
          <w:color w:val="231F20"/>
          <w:spacing w:val="-15"/>
          <w:w w:val="110"/>
        </w:rPr>
        <w:t xml:space="preserve"> </w:t>
      </w:r>
      <w:r>
        <w:rPr>
          <w:color w:val="231F20"/>
          <w:w w:val="110"/>
        </w:rPr>
        <w:t>Daniel</w:t>
      </w:r>
      <w:r>
        <w:rPr>
          <w:color w:val="231F20"/>
          <w:spacing w:val="-16"/>
          <w:w w:val="110"/>
        </w:rPr>
        <w:t xml:space="preserve"> </w:t>
      </w:r>
      <w:r>
        <w:rPr>
          <w:color w:val="231F20"/>
          <w:w w:val="110"/>
        </w:rPr>
        <w:t>James,</w:t>
      </w:r>
      <w:r>
        <w:rPr>
          <w:color w:val="231F20"/>
          <w:spacing w:val="-16"/>
          <w:w w:val="110"/>
        </w:rPr>
        <w:t xml:space="preserve"> </w:t>
      </w:r>
      <w:r>
        <w:rPr>
          <w:color w:val="231F20"/>
          <w:w w:val="110"/>
        </w:rPr>
        <w:t>Department</w:t>
      </w:r>
      <w:r>
        <w:rPr>
          <w:color w:val="231F20"/>
          <w:spacing w:val="-16"/>
          <w:w w:val="110"/>
        </w:rPr>
        <w:t xml:space="preserve"> </w:t>
      </w:r>
      <w:r>
        <w:rPr>
          <w:color w:val="231F20"/>
          <w:w w:val="110"/>
        </w:rPr>
        <w:t>Head</w:t>
      </w:r>
      <w:r>
        <w:rPr>
          <w:color w:val="231F20"/>
          <w:spacing w:val="-16"/>
          <w:w w:val="110"/>
        </w:rPr>
        <w:t xml:space="preserve"> </w:t>
      </w:r>
      <w:r>
        <w:rPr>
          <w:color w:val="231F20"/>
          <w:w w:val="110"/>
        </w:rPr>
        <w:t>at</w:t>
      </w:r>
      <w:r>
        <w:rPr>
          <w:color w:val="231F20"/>
          <w:spacing w:val="-16"/>
          <w:w w:val="110"/>
        </w:rPr>
        <w:t xml:space="preserve"> </w:t>
      </w:r>
      <w:r>
        <w:rPr>
          <w:color w:val="231F20"/>
          <w:w w:val="110"/>
        </w:rPr>
        <w:t>the</w:t>
      </w:r>
      <w:r>
        <w:rPr>
          <w:color w:val="231F20"/>
          <w:spacing w:val="-16"/>
          <w:w w:val="110"/>
        </w:rPr>
        <w:t xml:space="preserve"> </w:t>
      </w:r>
      <w:r>
        <w:rPr>
          <w:color w:val="231F20"/>
          <w:w w:val="110"/>
        </w:rPr>
        <w:t>Pentagon,</w:t>
      </w:r>
      <w:r>
        <w:rPr>
          <w:color w:val="231F20"/>
          <w:spacing w:val="-16"/>
          <w:w w:val="110"/>
        </w:rPr>
        <w:t xml:space="preserve"> </w:t>
      </w:r>
      <w:r>
        <w:rPr>
          <w:color w:val="231F20"/>
          <w:w w:val="110"/>
        </w:rPr>
        <w:t>said, on</w:t>
      </w:r>
      <w:r>
        <w:rPr>
          <w:color w:val="231F20"/>
          <w:spacing w:val="-31"/>
          <w:w w:val="110"/>
        </w:rPr>
        <w:t xml:space="preserve"> </w:t>
      </w:r>
      <w:r>
        <w:rPr>
          <w:color w:val="231F20"/>
          <w:w w:val="110"/>
        </w:rPr>
        <w:t>Wednesday</w:t>
      </w:r>
      <w:r>
        <w:rPr>
          <w:color w:val="231F20"/>
          <w:spacing w:val="-31"/>
          <w:w w:val="110"/>
        </w:rPr>
        <w:t xml:space="preserve"> </w:t>
      </w:r>
      <w:r>
        <w:rPr>
          <w:color w:val="231F20"/>
          <w:w w:val="110"/>
        </w:rPr>
        <w:t>in</w:t>
      </w:r>
      <w:r>
        <w:rPr>
          <w:color w:val="231F20"/>
          <w:spacing w:val="-31"/>
          <w:w w:val="110"/>
        </w:rPr>
        <w:t xml:space="preserve"> </w:t>
      </w:r>
      <w:r>
        <w:rPr>
          <w:color w:val="231F20"/>
          <w:w w:val="110"/>
        </w:rPr>
        <w:t>Washington,</w:t>
      </w:r>
      <w:r>
        <w:rPr>
          <w:color w:val="231F20"/>
          <w:spacing w:val="-31"/>
          <w:w w:val="110"/>
        </w:rPr>
        <w:t xml:space="preserve"> </w:t>
      </w:r>
      <w:r>
        <w:rPr>
          <w:color w:val="231F20"/>
          <w:w w:val="110"/>
        </w:rPr>
        <w:t>“For</w:t>
      </w:r>
      <w:r>
        <w:rPr>
          <w:color w:val="231F20"/>
          <w:spacing w:val="-31"/>
          <w:w w:val="110"/>
        </w:rPr>
        <w:t xml:space="preserve"> </w:t>
      </w:r>
      <w:r>
        <w:rPr>
          <w:color w:val="231F20"/>
          <w:w w:val="110"/>
        </w:rPr>
        <w:t>the</w:t>
      </w:r>
      <w:r>
        <w:rPr>
          <w:color w:val="231F20"/>
          <w:spacing w:val="-31"/>
          <w:w w:val="110"/>
        </w:rPr>
        <w:t xml:space="preserve"> </w:t>
      </w:r>
      <w:r>
        <w:rPr>
          <w:color w:val="231F20"/>
          <w:spacing w:val="1"/>
          <w:w w:val="110"/>
        </w:rPr>
        <w:t>U.S.</w:t>
      </w:r>
      <w:r>
        <w:rPr>
          <w:color w:val="231F20"/>
          <w:spacing w:val="-31"/>
          <w:w w:val="110"/>
        </w:rPr>
        <w:t xml:space="preserve"> </w:t>
      </w:r>
      <w:r>
        <w:rPr>
          <w:color w:val="231F20"/>
          <w:spacing w:val="1"/>
          <w:w w:val="110"/>
        </w:rPr>
        <w:t>Air</w:t>
      </w:r>
      <w:r>
        <w:rPr>
          <w:color w:val="231F20"/>
          <w:spacing w:val="-31"/>
          <w:w w:val="110"/>
        </w:rPr>
        <w:t xml:space="preserve"> </w:t>
      </w:r>
      <w:r>
        <w:rPr>
          <w:color w:val="231F20"/>
          <w:w w:val="110"/>
        </w:rPr>
        <w:t>Force,</w:t>
      </w:r>
      <w:r>
        <w:rPr>
          <w:color w:val="231F20"/>
          <w:spacing w:val="-31"/>
          <w:w w:val="110"/>
        </w:rPr>
        <w:t xml:space="preserve"> </w:t>
      </w:r>
      <w:r>
        <w:rPr>
          <w:color w:val="231F20"/>
          <w:w w:val="110"/>
        </w:rPr>
        <w:t>no</w:t>
      </w:r>
      <w:r>
        <w:rPr>
          <w:color w:val="231F20"/>
          <w:spacing w:val="-31"/>
          <w:w w:val="110"/>
        </w:rPr>
        <w:t xml:space="preserve"> </w:t>
      </w:r>
      <w:r>
        <w:rPr>
          <w:color w:val="231F20"/>
          <w:w w:val="110"/>
        </w:rPr>
        <w:t>target</w:t>
      </w:r>
      <w:r>
        <w:rPr>
          <w:color w:val="231F20"/>
          <w:spacing w:val="-31"/>
          <w:w w:val="110"/>
        </w:rPr>
        <w:t xml:space="preserve"> </w:t>
      </w:r>
      <w:r>
        <w:rPr>
          <w:color w:val="231F20"/>
          <w:w w:val="110"/>
        </w:rPr>
        <w:t>north or</w:t>
      </w:r>
      <w:r>
        <w:rPr>
          <w:color w:val="231F20"/>
          <w:spacing w:val="-29"/>
          <w:w w:val="110"/>
        </w:rPr>
        <w:t xml:space="preserve"> </w:t>
      </w:r>
      <w:r>
        <w:rPr>
          <w:color w:val="231F20"/>
          <w:w w:val="110"/>
        </w:rPr>
        <w:t>south</w:t>
      </w:r>
      <w:r>
        <w:rPr>
          <w:color w:val="231F20"/>
          <w:spacing w:val="-29"/>
          <w:w w:val="110"/>
        </w:rPr>
        <w:t xml:space="preserve"> </w:t>
      </w:r>
      <w:r>
        <w:rPr>
          <w:color w:val="231F20"/>
          <w:w w:val="110"/>
        </w:rPr>
        <w:t>of</w:t>
      </w:r>
      <w:r>
        <w:rPr>
          <w:color w:val="231F20"/>
          <w:spacing w:val="-29"/>
          <w:w w:val="110"/>
        </w:rPr>
        <w:t xml:space="preserve"> </w:t>
      </w:r>
      <w:r>
        <w:rPr>
          <w:color w:val="231F20"/>
          <w:w w:val="110"/>
        </w:rPr>
        <w:t>the</w:t>
      </w:r>
      <w:r>
        <w:rPr>
          <w:color w:val="231F20"/>
          <w:spacing w:val="-29"/>
          <w:w w:val="110"/>
        </w:rPr>
        <w:t xml:space="preserve"> </w:t>
      </w:r>
      <w:r>
        <w:rPr>
          <w:color w:val="231F20"/>
          <w:w w:val="110"/>
        </w:rPr>
        <w:t>17th</w:t>
      </w:r>
      <w:r>
        <w:rPr>
          <w:color w:val="231F20"/>
          <w:spacing w:val="-29"/>
          <w:w w:val="110"/>
        </w:rPr>
        <w:t xml:space="preserve"> </w:t>
      </w:r>
      <w:r>
        <w:rPr>
          <w:color w:val="231F20"/>
          <w:w w:val="110"/>
        </w:rPr>
        <w:t>parallel</w:t>
      </w:r>
      <w:r>
        <w:rPr>
          <w:color w:val="231F20"/>
          <w:spacing w:val="-29"/>
          <w:w w:val="110"/>
        </w:rPr>
        <w:t xml:space="preserve"> </w:t>
      </w:r>
      <w:r>
        <w:rPr>
          <w:color w:val="231F20"/>
          <w:w w:val="110"/>
        </w:rPr>
        <w:t>in</w:t>
      </w:r>
      <w:r>
        <w:rPr>
          <w:color w:val="231F20"/>
          <w:spacing w:val="-29"/>
          <w:w w:val="110"/>
        </w:rPr>
        <w:t xml:space="preserve"> </w:t>
      </w:r>
      <w:r>
        <w:rPr>
          <w:color w:val="231F20"/>
          <w:w w:val="110"/>
        </w:rPr>
        <w:t>Vietnam</w:t>
      </w:r>
      <w:r>
        <w:rPr>
          <w:color w:val="231F20"/>
          <w:spacing w:val="-29"/>
          <w:w w:val="110"/>
        </w:rPr>
        <w:t xml:space="preserve"> </w:t>
      </w:r>
      <w:r>
        <w:rPr>
          <w:color w:val="231F20"/>
          <w:w w:val="110"/>
        </w:rPr>
        <w:t>will</w:t>
      </w:r>
      <w:r>
        <w:rPr>
          <w:color w:val="231F20"/>
          <w:spacing w:val="-29"/>
          <w:w w:val="110"/>
        </w:rPr>
        <w:t xml:space="preserve"> </w:t>
      </w:r>
      <w:r>
        <w:rPr>
          <w:color w:val="231F20"/>
          <w:w w:val="110"/>
        </w:rPr>
        <w:t>be</w:t>
      </w:r>
      <w:r>
        <w:rPr>
          <w:color w:val="231F20"/>
          <w:spacing w:val="-29"/>
          <w:w w:val="110"/>
        </w:rPr>
        <w:t xml:space="preserve"> </w:t>
      </w:r>
      <w:r>
        <w:rPr>
          <w:color w:val="231F20"/>
          <w:w w:val="110"/>
        </w:rPr>
        <w:t>exempt</w:t>
      </w:r>
      <w:r>
        <w:rPr>
          <w:color w:val="231F20"/>
          <w:spacing w:val="-29"/>
          <w:w w:val="110"/>
        </w:rPr>
        <w:t xml:space="preserve"> </w:t>
      </w:r>
      <w:r>
        <w:rPr>
          <w:color w:val="231F20"/>
          <w:w w:val="110"/>
        </w:rPr>
        <w:t>from</w:t>
      </w:r>
      <w:r>
        <w:rPr>
          <w:color w:val="231F20"/>
          <w:spacing w:val="-29"/>
          <w:w w:val="110"/>
        </w:rPr>
        <w:t xml:space="preserve"> </w:t>
      </w:r>
      <w:r>
        <w:rPr>
          <w:color w:val="231F20"/>
          <w:w w:val="110"/>
        </w:rPr>
        <w:t>bombing attacks.”</w:t>
      </w:r>
      <w:r>
        <w:rPr>
          <w:color w:val="231F20"/>
          <w:spacing w:val="-7"/>
          <w:w w:val="110"/>
        </w:rPr>
        <w:t xml:space="preserve"> </w:t>
      </w:r>
      <w:r>
        <w:rPr>
          <w:color w:val="231F20"/>
          <w:w w:val="110"/>
        </w:rPr>
        <w:t>On</w:t>
      </w:r>
      <w:r>
        <w:rPr>
          <w:color w:val="231F20"/>
          <w:spacing w:val="-7"/>
          <w:w w:val="110"/>
        </w:rPr>
        <w:t xml:space="preserve"> </w:t>
      </w:r>
      <w:r>
        <w:rPr>
          <w:color w:val="231F20"/>
          <w:spacing w:val="-3"/>
          <w:w w:val="110"/>
        </w:rPr>
        <w:t>Monday,</w:t>
      </w:r>
      <w:r>
        <w:rPr>
          <w:color w:val="231F20"/>
          <w:spacing w:val="-7"/>
          <w:w w:val="110"/>
        </w:rPr>
        <w:t xml:space="preserve"> </w:t>
      </w:r>
      <w:r>
        <w:rPr>
          <w:color w:val="231F20"/>
          <w:w w:val="110"/>
        </w:rPr>
        <w:t>the</w:t>
      </w:r>
      <w:r>
        <w:rPr>
          <w:color w:val="231F20"/>
          <w:spacing w:val="-7"/>
          <w:w w:val="110"/>
        </w:rPr>
        <w:t xml:space="preserve"> </w:t>
      </w:r>
      <w:r>
        <w:rPr>
          <w:color w:val="231F20"/>
          <w:w w:val="110"/>
        </w:rPr>
        <w:t>Minister</w:t>
      </w:r>
      <w:r>
        <w:rPr>
          <w:color w:val="231F20"/>
          <w:spacing w:val="-7"/>
          <w:w w:val="110"/>
        </w:rPr>
        <w:t xml:space="preserve"> </w:t>
      </w:r>
      <w:r>
        <w:rPr>
          <w:color w:val="231F20"/>
          <w:w w:val="110"/>
        </w:rPr>
        <w:t>of</w:t>
      </w:r>
      <w:r>
        <w:rPr>
          <w:color w:val="231F20"/>
          <w:spacing w:val="-7"/>
          <w:w w:val="110"/>
        </w:rPr>
        <w:t xml:space="preserve"> </w:t>
      </w:r>
      <w:r>
        <w:rPr>
          <w:color w:val="231F20"/>
          <w:w w:val="110"/>
        </w:rPr>
        <w:t>Foreign</w:t>
      </w:r>
      <w:r>
        <w:rPr>
          <w:color w:val="231F20"/>
          <w:spacing w:val="-7"/>
          <w:w w:val="110"/>
        </w:rPr>
        <w:t xml:space="preserve"> </w:t>
      </w:r>
      <w:r>
        <w:rPr>
          <w:color w:val="231F20"/>
          <w:w w:val="110"/>
        </w:rPr>
        <w:t>Affairs</w:t>
      </w:r>
      <w:r>
        <w:rPr>
          <w:color w:val="231F20"/>
          <w:spacing w:val="-7"/>
          <w:w w:val="110"/>
        </w:rPr>
        <w:t xml:space="preserve"> </w:t>
      </w:r>
      <w:r>
        <w:rPr>
          <w:color w:val="231F20"/>
          <w:w w:val="110"/>
        </w:rPr>
        <w:t>in</w:t>
      </w:r>
      <w:r>
        <w:rPr>
          <w:color w:val="231F20"/>
          <w:spacing w:val="-7"/>
          <w:w w:val="110"/>
        </w:rPr>
        <w:t xml:space="preserve"> </w:t>
      </w:r>
      <w:r>
        <w:rPr>
          <w:color w:val="231F20"/>
          <w:w w:val="110"/>
        </w:rPr>
        <w:t>Hanoi</w:t>
      </w:r>
      <w:r>
        <w:rPr>
          <w:color w:val="231F20"/>
          <w:spacing w:val="-7"/>
          <w:w w:val="110"/>
        </w:rPr>
        <w:t xml:space="preserve"> </w:t>
      </w:r>
      <w:r>
        <w:rPr>
          <w:color w:val="231F20"/>
          <w:w w:val="110"/>
        </w:rPr>
        <w:t xml:space="preserve">again </w:t>
      </w:r>
      <w:r>
        <w:rPr>
          <w:color w:val="231F20"/>
          <w:w w:val="105"/>
        </w:rPr>
        <w:t>accused</w:t>
      </w:r>
      <w:r>
        <w:rPr>
          <w:color w:val="231F20"/>
          <w:spacing w:val="-22"/>
          <w:w w:val="105"/>
        </w:rPr>
        <w:t xml:space="preserve"> </w:t>
      </w:r>
      <w:r>
        <w:rPr>
          <w:color w:val="231F20"/>
          <w:w w:val="105"/>
        </w:rPr>
        <w:t>the</w:t>
      </w:r>
      <w:r>
        <w:rPr>
          <w:color w:val="231F20"/>
          <w:spacing w:val="-22"/>
          <w:w w:val="105"/>
        </w:rPr>
        <w:t xml:space="preserve"> </w:t>
      </w:r>
      <w:r>
        <w:rPr>
          <w:color w:val="231F20"/>
          <w:w w:val="105"/>
        </w:rPr>
        <w:t>United</w:t>
      </w:r>
      <w:r>
        <w:rPr>
          <w:color w:val="231F20"/>
          <w:spacing w:val="-22"/>
          <w:w w:val="105"/>
        </w:rPr>
        <w:t xml:space="preserve"> </w:t>
      </w:r>
      <w:r>
        <w:rPr>
          <w:color w:val="231F20"/>
          <w:w w:val="105"/>
        </w:rPr>
        <w:t>States</w:t>
      </w:r>
      <w:r>
        <w:rPr>
          <w:color w:val="231F20"/>
          <w:spacing w:val="-22"/>
          <w:w w:val="105"/>
        </w:rPr>
        <w:t xml:space="preserve"> </w:t>
      </w:r>
      <w:r>
        <w:rPr>
          <w:color w:val="231F20"/>
          <w:w w:val="105"/>
        </w:rPr>
        <w:t>of</w:t>
      </w:r>
      <w:r>
        <w:rPr>
          <w:color w:val="231F20"/>
          <w:spacing w:val="-22"/>
          <w:w w:val="105"/>
        </w:rPr>
        <w:t xml:space="preserve"> </w:t>
      </w:r>
      <w:r>
        <w:rPr>
          <w:color w:val="231F20"/>
          <w:w w:val="105"/>
        </w:rPr>
        <w:t>bombing</w:t>
      </w:r>
      <w:r>
        <w:rPr>
          <w:color w:val="231F20"/>
          <w:spacing w:val="-22"/>
          <w:w w:val="105"/>
        </w:rPr>
        <w:t xml:space="preserve"> </w:t>
      </w:r>
      <w:r>
        <w:rPr>
          <w:color w:val="231F20"/>
          <w:w w:val="105"/>
        </w:rPr>
        <w:t>densely</w:t>
      </w:r>
      <w:r>
        <w:rPr>
          <w:color w:val="231F20"/>
          <w:spacing w:val="-22"/>
          <w:w w:val="105"/>
        </w:rPr>
        <w:t xml:space="preserve"> </w:t>
      </w:r>
      <w:r>
        <w:rPr>
          <w:color w:val="231F20"/>
          <w:w w:val="105"/>
        </w:rPr>
        <w:t>populated</w:t>
      </w:r>
      <w:r>
        <w:rPr>
          <w:color w:val="231F20"/>
          <w:spacing w:val="-22"/>
          <w:w w:val="105"/>
        </w:rPr>
        <w:t xml:space="preserve"> </w:t>
      </w:r>
      <w:r>
        <w:rPr>
          <w:color w:val="231F20"/>
          <w:w w:val="105"/>
        </w:rPr>
        <w:t>areas</w:t>
      </w:r>
      <w:r>
        <w:rPr>
          <w:color w:val="231F20"/>
          <w:spacing w:val="-22"/>
          <w:w w:val="105"/>
        </w:rPr>
        <w:t xml:space="preserve"> </w:t>
      </w:r>
      <w:r>
        <w:rPr>
          <w:color w:val="231F20"/>
          <w:w w:val="105"/>
        </w:rPr>
        <w:t>of</w:t>
      </w:r>
      <w:r>
        <w:rPr>
          <w:color w:val="231F20"/>
          <w:spacing w:val="-22"/>
          <w:w w:val="105"/>
        </w:rPr>
        <w:t xml:space="preserve"> </w:t>
      </w:r>
      <w:r>
        <w:rPr>
          <w:color w:val="231F20"/>
          <w:w w:val="105"/>
        </w:rPr>
        <w:t>North Vietnam.</w:t>
      </w:r>
      <w:r>
        <w:rPr>
          <w:color w:val="231F20"/>
          <w:spacing w:val="-20"/>
          <w:w w:val="105"/>
        </w:rPr>
        <w:t xml:space="preserve"> </w:t>
      </w:r>
      <w:r>
        <w:rPr>
          <w:color w:val="231F20"/>
          <w:spacing w:val="1"/>
          <w:w w:val="105"/>
        </w:rPr>
        <w:t>In</w:t>
      </w:r>
      <w:r>
        <w:rPr>
          <w:color w:val="231F20"/>
          <w:spacing w:val="-20"/>
          <w:w w:val="105"/>
        </w:rPr>
        <w:t xml:space="preserve"> </w:t>
      </w:r>
      <w:r>
        <w:rPr>
          <w:color w:val="231F20"/>
          <w:w w:val="105"/>
        </w:rPr>
        <w:t>the</w:t>
      </w:r>
      <w:r>
        <w:rPr>
          <w:color w:val="231F20"/>
          <w:spacing w:val="-20"/>
          <w:w w:val="105"/>
        </w:rPr>
        <w:t xml:space="preserve"> </w:t>
      </w:r>
      <w:r>
        <w:rPr>
          <w:color w:val="231F20"/>
          <w:w w:val="105"/>
        </w:rPr>
        <w:t>last</w:t>
      </w:r>
      <w:r>
        <w:rPr>
          <w:color w:val="231F20"/>
          <w:spacing w:val="-19"/>
          <w:w w:val="105"/>
        </w:rPr>
        <w:t xml:space="preserve"> </w:t>
      </w:r>
      <w:r>
        <w:rPr>
          <w:color w:val="231F20"/>
          <w:w w:val="105"/>
        </w:rPr>
        <w:t>7</w:t>
      </w:r>
      <w:r>
        <w:rPr>
          <w:color w:val="231F20"/>
          <w:spacing w:val="-20"/>
          <w:w w:val="105"/>
        </w:rPr>
        <w:t xml:space="preserve"> </w:t>
      </w:r>
      <w:r>
        <w:rPr>
          <w:color w:val="231F20"/>
          <w:w w:val="105"/>
        </w:rPr>
        <w:t>weeks,</w:t>
      </w:r>
      <w:r>
        <w:rPr>
          <w:color w:val="231F20"/>
          <w:spacing w:val="-20"/>
          <w:w w:val="105"/>
        </w:rPr>
        <w:t xml:space="preserve"> </w:t>
      </w:r>
      <w:r>
        <w:rPr>
          <w:color w:val="231F20"/>
          <w:w w:val="105"/>
        </w:rPr>
        <w:t>the</w:t>
      </w:r>
      <w:r>
        <w:rPr>
          <w:color w:val="231F20"/>
          <w:spacing w:val="-20"/>
          <w:w w:val="105"/>
        </w:rPr>
        <w:t xml:space="preserve"> </w:t>
      </w:r>
      <w:r>
        <w:rPr>
          <w:color w:val="231F20"/>
          <w:w w:val="105"/>
        </w:rPr>
        <w:t>American</w:t>
      </w:r>
      <w:r>
        <w:rPr>
          <w:color w:val="231F20"/>
          <w:spacing w:val="-20"/>
          <w:w w:val="105"/>
        </w:rPr>
        <w:t xml:space="preserve"> </w:t>
      </w:r>
      <w:r>
        <w:rPr>
          <w:color w:val="231F20"/>
          <w:spacing w:val="1"/>
          <w:w w:val="105"/>
        </w:rPr>
        <w:t>Air</w:t>
      </w:r>
      <w:r>
        <w:rPr>
          <w:color w:val="231F20"/>
          <w:spacing w:val="-20"/>
          <w:w w:val="105"/>
        </w:rPr>
        <w:t xml:space="preserve"> </w:t>
      </w:r>
      <w:r>
        <w:rPr>
          <w:color w:val="231F20"/>
          <w:w w:val="105"/>
        </w:rPr>
        <w:t>Force</w:t>
      </w:r>
      <w:r>
        <w:rPr>
          <w:color w:val="231F20"/>
          <w:spacing w:val="-20"/>
          <w:w w:val="105"/>
        </w:rPr>
        <w:t xml:space="preserve"> </w:t>
      </w:r>
      <w:r>
        <w:rPr>
          <w:color w:val="231F20"/>
          <w:w w:val="105"/>
        </w:rPr>
        <w:t>has</w:t>
      </w:r>
      <w:r>
        <w:rPr>
          <w:color w:val="231F20"/>
          <w:spacing w:val="-20"/>
          <w:w w:val="105"/>
        </w:rPr>
        <w:t xml:space="preserve"> </w:t>
      </w:r>
      <w:r>
        <w:rPr>
          <w:color w:val="231F20"/>
          <w:w w:val="105"/>
        </w:rPr>
        <w:t>dropped</w:t>
      </w:r>
      <w:r>
        <w:rPr>
          <w:color w:val="231F20"/>
          <w:spacing w:val="-20"/>
          <w:w w:val="105"/>
        </w:rPr>
        <w:t xml:space="preserve"> </w:t>
      </w:r>
      <w:r>
        <w:rPr>
          <w:color w:val="231F20"/>
          <w:w w:val="105"/>
        </w:rPr>
        <w:t xml:space="preserve">more bombs on Vietnam than were dropped on Germany and Japan during </w:t>
      </w:r>
      <w:r>
        <w:rPr>
          <w:color w:val="231F20"/>
          <w:spacing w:val="-4"/>
          <w:w w:val="110"/>
        </w:rPr>
        <w:t>World</w:t>
      </w:r>
      <w:r>
        <w:rPr>
          <w:color w:val="231F20"/>
          <w:spacing w:val="-20"/>
          <w:w w:val="110"/>
        </w:rPr>
        <w:t xml:space="preserve"> </w:t>
      </w:r>
      <w:r>
        <w:rPr>
          <w:color w:val="231F20"/>
          <w:spacing w:val="-3"/>
          <w:w w:val="110"/>
        </w:rPr>
        <w:t>War</w:t>
      </w:r>
      <w:r>
        <w:rPr>
          <w:color w:val="231F20"/>
          <w:spacing w:val="-20"/>
          <w:w w:val="110"/>
        </w:rPr>
        <w:t xml:space="preserve"> </w:t>
      </w:r>
      <w:r>
        <w:rPr>
          <w:color w:val="231F20"/>
          <w:spacing w:val="2"/>
          <w:w w:val="110"/>
        </w:rPr>
        <w:t>II.</w:t>
      </w:r>
      <w:r>
        <w:rPr>
          <w:color w:val="231F20"/>
          <w:spacing w:val="-20"/>
          <w:w w:val="110"/>
        </w:rPr>
        <w:t xml:space="preserve"> </w:t>
      </w:r>
      <w:r>
        <w:rPr>
          <w:color w:val="231F20"/>
          <w:w w:val="110"/>
        </w:rPr>
        <w:t>Many</w:t>
      </w:r>
      <w:r>
        <w:rPr>
          <w:color w:val="231F20"/>
          <w:spacing w:val="-20"/>
          <w:w w:val="110"/>
        </w:rPr>
        <w:t xml:space="preserve"> </w:t>
      </w:r>
      <w:r>
        <w:rPr>
          <w:color w:val="231F20"/>
          <w:w w:val="110"/>
        </w:rPr>
        <w:t>millions</w:t>
      </w:r>
      <w:r>
        <w:rPr>
          <w:color w:val="231F20"/>
          <w:spacing w:val="-20"/>
          <w:w w:val="110"/>
        </w:rPr>
        <w:t xml:space="preserve"> </w:t>
      </w:r>
      <w:r>
        <w:rPr>
          <w:color w:val="231F20"/>
          <w:w w:val="110"/>
        </w:rPr>
        <w:t>of</w:t>
      </w:r>
      <w:r>
        <w:rPr>
          <w:color w:val="231F20"/>
          <w:spacing w:val="-20"/>
          <w:w w:val="110"/>
        </w:rPr>
        <w:t xml:space="preserve"> </w:t>
      </w:r>
      <w:r>
        <w:rPr>
          <w:color w:val="231F20"/>
          <w:w w:val="110"/>
        </w:rPr>
        <w:t>additional</w:t>
      </w:r>
      <w:r>
        <w:rPr>
          <w:color w:val="231F20"/>
          <w:spacing w:val="-20"/>
          <w:w w:val="110"/>
        </w:rPr>
        <w:t xml:space="preserve"> </w:t>
      </w:r>
      <w:r>
        <w:rPr>
          <w:color w:val="231F20"/>
          <w:w w:val="110"/>
        </w:rPr>
        <w:t>bombs</w:t>
      </w:r>
      <w:r>
        <w:rPr>
          <w:color w:val="231F20"/>
          <w:spacing w:val="-20"/>
          <w:w w:val="110"/>
        </w:rPr>
        <w:t xml:space="preserve"> </w:t>
      </w:r>
      <w:r>
        <w:rPr>
          <w:color w:val="231F20"/>
          <w:w w:val="110"/>
        </w:rPr>
        <w:t>is</w:t>
      </w:r>
      <w:r>
        <w:rPr>
          <w:color w:val="231F20"/>
          <w:spacing w:val="-20"/>
          <w:w w:val="110"/>
        </w:rPr>
        <w:t xml:space="preserve"> </w:t>
      </w:r>
      <w:r>
        <w:rPr>
          <w:color w:val="231F20"/>
          <w:w w:val="110"/>
        </w:rPr>
        <w:t>the</w:t>
      </w:r>
      <w:r>
        <w:rPr>
          <w:color w:val="231F20"/>
          <w:spacing w:val="-20"/>
          <w:w w:val="110"/>
        </w:rPr>
        <w:t xml:space="preserve"> </w:t>
      </w:r>
      <w:r>
        <w:rPr>
          <w:color w:val="231F20"/>
          <w:w w:val="110"/>
        </w:rPr>
        <w:t>response</w:t>
      </w:r>
      <w:r>
        <w:rPr>
          <w:color w:val="231F20"/>
          <w:spacing w:val="-20"/>
          <w:w w:val="110"/>
        </w:rPr>
        <w:t xml:space="preserve"> </w:t>
      </w:r>
      <w:r>
        <w:rPr>
          <w:color w:val="231F20"/>
          <w:w w:val="110"/>
        </w:rPr>
        <w:t xml:space="preserve">the </w:t>
      </w:r>
      <w:r>
        <w:rPr>
          <w:color w:val="231F20"/>
          <w:w w:val="105"/>
        </w:rPr>
        <w:t xml:space="preserve">Pentagon intends to use to stop the North Vietnamese offensive. This </w:t>
      </w:r>
      <w:r>
        <w:rPr>
          <w:color w:val="231F20"/>
          <w:w w:val="110"/>
        </w:rPr>
        <w:t>is</w:t>
      </w:r>
      <w:r>
        <w:rPr>
          <w:color w:val="231F20"/>
          <w:spacing w:val="-30"/>
          <w:w w:val="110"/>
        </w:rPr>
        <w:t xml:space="preserve"> </w:t>
      </w:r>
      <w:r>
        <w:rPr>
          <w:color w:val="231F20"/>
          <w:w w:val="110"/>
        </w:rPr>
        <w:t>genocide,</w:t>
      </w:r>
      <w:r>
        <w:rPr>
          <w:color w:val="231F20"/>
          <w:spacing w:val="-30"/>
          <w:w w:val="110"/>
        </w:rPr>
        <w:t xml:space="preserve"> </w:t>
      </w:r>
      <w:r>
        <w:rPr>
          <w:color w:val="231F20"/>
          <w:w w:val="110"/>
        </w:rPr>
        <w:t>the</w:t>
      </w:r>
      <w:r>
        <w:rPr>
          <w:color w:val="231F20"/>
          <w:spacing w:val="-30"/>
          <w:w w:val="110"/>
        </w:rPr>
        <w:t xml:space="preserve"> </w:t>
      </w:r>
      <w:r>
        <w:rPr>
          <w:color w:val="231F20"/>
          <w:w w:val="110"/>
        </w:rPr>
        <w:t>slaughter</w:t>
      </w:r>
      <w:r>
        <w:rPr>
          <w:color w:val="231F20"/>
          <w:spacing w:val="-30"/>
          <w:w w:val="110"/>
        </w:rPr>
        <w:t xml:space="preserve"> </w:t>
      </w:r>
      <w:r>
        <w:rPr>
          <w:color w:val="231F20"/>
          <w:w w:val="110"/>
        </w:rPr>
        <w:t>of</w:t>
      </w:r>
      <w:r>
        <w:rPr>
          <w:color w:val="231F20"/>
          <w:spacing w:val="-30"/>
          <w:w w:val="110"/>
        </w:rPr>
        <w:t xml:space="preserve"> </w:t>
      </w:r>
      <w:r>
        <w:rPr>
          <w:color w:val="231F20"/>
          <w:w w:val="110"/>
        </w:rPr>
        <w:t>a</w:t>
      </w:r>
      <w:r>
        <w:rPr>
          <w:color w:val="231F20"/>
          <w:spacing w:val="-30"/>
          <w:w w:val="110"/>
        </w:rPr>
        <w:t xml:space="preserve"> </w:t>
      </w:r>
      <w:r>
        <w:rPr>
          <w:color w:val="231F20"/>
          <w:w w:val="110"/>
        </w:rPr>
        <w:t>people;</w:t>
      </w:r>
      <w:r>
        <w:rPr>
          <w:color w:val="231F20"/>
          <w:spacing w:val="-30"/>
          <w:w w:val="110"/>
        </w:rPr>
        <w:t xml:space="preserve"> </w:t>
      </w:r>
      <w:r>
        <w:rPr>
          <w:color w:val="231F20"/>
          <w:w w:val="110"/>
        </w:rPr>
        <w:t>this</w:t>
      </w:r>
      <w:r>
        <w:rPr>
          <w:color w:val="231F20"/>
          <w:spacing w:val="-30"/>
          <w:w w:val="110"/>
        </w:rPr>
        <w:t xml:space="preserve"> </w:t>
      </w:r>
      <w:r>
        <w:rPr>
          <w:color w:val="231F20"/>
          <w:w w:val="110"/>
        </w:rPr>
        <w:t>is</w:t>
      </w:r>
      <w:r>
        <w:rPr>
          <w:color w:val="231F20"/>
          <w:spacing w:val="-30"/>
          <w:w w:val="110"/>
        </w:rPr>
        <w:t xml:space="preserve"> </w:t>
      </w:r>
      <w:r>
        <w:rPr>
          <w:color w:val="231F20"/>
          <w:w w:val="110"/>
        </w:rPr>
        <w:t>“the</w:t>
      </w:r>
      <w:r>
        <w:rPr>
          <w:color w:val="231F20"/>
          <w:spacing w:val="-30"/>
          <w:w w:val="110"/>
        </w:rPr>
        <w:t xml:space="preserve"> </w:t>
      </w:r>
      <w:r>
        <w:rPr>
          <w:color w:val="231F20"/>
          <w:w w:val="110"/>
        </w:rPr>
        <w:t>final</w:t>
      </w:r>
      <w:r>
        <w:rPr>
          <w:color w:val="231F20"/>
          <w:spacing w:val="-30"/>
          <w:w w:val="110"/>
        </w:rPr>
        <w:t xml:space="preserve"> </w:t>
      </w:r>
      <w:r>
        <w:rPr>
          <w:color w:val="231F20"/>
          <w:spacing w:val="-4"/>
          <w:w w:val="110"/>
        </w:rPr>
        <w:t>solution”;</w:t>
      </w:r>
      <w:r>
        <w:rPr>
          <w:color w:val="231F20"/>
          <w:spacing w:val="-30"/>
          <w:w w:val="110"/>
        </w:rPr>
        <w:t xml:space="preserve"> </w:t>
      </w:r>
      <w:r>
        <w:rPr>
          <w:color w:val="231F20"/>
          <w:w w:val="110"/>
        </w:rPr>
        <w:t>this</w:t>
      </w:r>
      <w:r>
        <w:rPr>
          <w:color w:val="231F20"/>
          <w:spacing w:val="-30"/>
          <w:w w:val="110"/>
        </w:rPr>
        <w:t xml:space="preserve"> </w:t>
      </w:r>
      <w:r>
        <w:rPr>
          <w:color w:val="231F20"/>
          <w:w w:val="110"/>
        </w:rPr>
        <w:t>is Auschwitz.</w:t>
      </w:r>
    </w:p>
    <w:p w14:paraId="1629DB81" w14:textId="77777777" w:rsidR="002653E8" w:rsidRDefault="003115E3">
      <w:pPr>
        <w:pStyle w:val="a3"/>
        <w:spacing w:line="219" w:lineRule="exact"/>
        <w:ind w:left="1358"/>
      </w:pPr>
      <w:r>
        <w:rPr>
          <w:color w:val="231F20"/>
        </w:rPr>
        <w:t>The people of the Federal Republic don’t support the security service</w:t>
      </w:r>
    </w:p>
    <w:p w14:paraId="5ED69889" w14:textId="77777777" w:rsidR="002653E8" w:rsidRDefault="003115E3">
      <w:pPr>
        <w:pStyle w:val="a3"/>
        <w:spacing w:before="23" w:line="264" w:lineRule="auto"/>
        <w:ind w:left="1148" w:right="1326"/>
        <w:jc w:val="both"/>
      </w:pPr>
      <w:r>
        <w:rPr>
          <w:color w:val="231F20"/>
        </w:rPr>
        <w:t>in its search for the bombers, because they want nothing to do with the crimes of American imperialism and the support it receives from the ruling class here, because they haven’t forgotten Auschwitz, Dresden, and Hamburg, because they know that the bomb attacks against those who commit mass murder in Vietnam are just, and because they know from experience that demonstrations and words are of no use against the crimes of imperialism.</w:t>
      </w:r>
    </w:p>
    <w:p w14:paraId="69A6B435" w14:textId="77777777" w:rsidR="002653E8" w:rsidRDefault="003115E3">
      <w:pPr>
        <w:pStyle w:val="a3"/>
        <w:spacing w:before="119" w:line="261" w:lineRule="auto"/>
        <w:ind w:left="1147" w:right="1580"/>
      </w:pPr>
      <w:r>
        <w:rPr>
          <w:color w:val="231F20"/>
          <w:w w:val="115"/>
        </w:rPr>
        <w:t>WE DEMAND AN END TO BOMB ATTACKS ON VIETNAM! WE DEMAND A HALT TO THE MINE BLOCKADE AGAINST NORTH VIETNAM!</w:t>
      </w:r>
    </w:p>
    <w:p w14:paraId="3B5C396F" w14:textId="77777777" w:rsidR="002653E8" w:rsidRDefault="003115E3">
      <w:pPr>
        <w:pStyle w:val="a3"/>
        <w:spacing w:before="2" w:line="261" w:lineRule="auto"/>
        <w:ind w:left="1147" w:right="1580"/>
      </w:pPr>
      <w:r>
        <w:rPr>
          <w:color w:val="231F20"/>
          <w:w w:val="115"/>
        </w:rPr>
        <w:t>WE DEMAND THE WITHDRAWAL OF AMERICAN TROOPS FROM INDOCHINA!</w:t>
      </w:r>
    </w:p>
    <w:p w14:paraId="5C142B8B" w14:textId="77777777" w:rsidR="002653E8" w:rsidRDefault="003115E3">
      <w:pPr>
        <w:pStyle w:val="a3"/>
        <w:spacing w:before="129"/>
        <w:ind w:left="1212" w:right="1325"/>
        <w:jc w:val="right"/>
      </w:pPr>
      <w:r>
        <w:rPr>
          <w:color w:val="231F20"/>
          <w:w w:val="105"/>
        </w:rPr>
        <w:t>July 15th Commando</w:t>
      </w:r>
    </w:p>
    <w:p w14:paraId="0CD753A2" w14:textId="77777777" w:rsidR="002653E8" w:rsidRDefault="003115E3">
      <w:pPr>
        <w:pStyle w:val="a3"/>
        <w:spacing w:before="21"/>
        <w:ind w:left="1212" w:right="1325"/>
        <w:jc w:val="right"/>
      </w:pPr>
      <w:r>
        <w:rPr>
          <w:color w:val="231F20"/>
          <w:w w:val="105"/>
        </w:rPr>
        <w:t>May 25, 1972</w:t>
      </w:r>
    </w:p>
    <w:p w14:paraId="3BB0230D" w14:textId="77777777" w:rsidR="002653E8" w:rsidRDefault="002653E8">
      <w:pPr>
        <w:jc w:val="right"/>
        <w:sectPr w:rsidR="002653E8">
          <w:pgSz w:w="8640" w:h="12960"/>
          <w:pgMar w:top="1220" w:right="0" w:bottom="1040" w:left="0" w:header="0" w:footer="850" w:gutter="0"/>
          <w:cols w:space="720"/>
        </w:sectPr>
      </w:pPr>
    </w:p>
    <w:p w14:paraId="6F3D8236" w14:textId="77777777" w:rsidR="002653E8" w:rsidRDefault="003115E3">
      <w:pPr>
        <w:pStyle w:val="4"/>
        <w:ind w:left="2886"/>
      </w:pPr>
      <w:bookmarkStart w:id="78" w:name="To_the_News_Editors_of_the_West_German_P"/>
      <w:bookmarkStart w:id="79" w:name="_bookmark27"/>
      <w:bookmarkEnd w:id="78"/>
      <w:bookmarkEnd w:id="79"/>
      <w:r>
        <w:rPr>
          <w:color w:val="231F20"/>
          <w:spacing w:val="-5"/>
        </w:rPr>
        <w:lastRenderedPageBreak/>
        <w:t xml:space="preserve">To </w:t>
      </w:r>
      <w:r>
        <w:rPr>
          <w:color w:val="231F20"/>
        </w:rPr>
        <w:t>the News</w:t>
      </w:r>
      <w:r>
        <w:rPr>
          <w:color w:val="231F20"/>
          <w:spacing w:val="65"/>
        </w:rPr>
        <w:t xml:space="preserve"> </w:t>
      </w:r>
      <w:r>
        <w:rPr>
          <w:color w:val="231F20"/>
        </w:rPr>
        <w:t>Editors</w:t>
      </w:r>
    </w:p>
    <w:p w14:paraId="25B93F50" w14:textId="77777777" w:rsidR="002653E8" w:rsidRDefault="003115E3">
      <w:pPr>
        <w:spacing w:before="48"/>
        <w:ind w:left="2430"/>
        <w:rPr>
          <w:rFonts w:ascii="Bookman Old Style"/>
          <w:sz w:val="30"/>
        </w:rPr>
      </w:pPr>
      <w:r>
        <w:rPr>
          <w:rFonts w:ascii="Bookman Old Style"/>
          <w:color w:val="231F20"/>
          <w:w w:val="105"/>
          <w:sz w:val="30"/>
        </w:rPr>
        <w:t>of the West German Press</w:t>
      </w:r>
    </w:p>
    <w:p w14:paraId="4EBEB6E7" w14:textId="77777777" w:rsidR="002653E8" w:rsidRDefault="002653E8">
      <w:pPr>
        <w:pStyle w:val="a3"/>
        <w:spacing w:before="5"/>
        <w:rPr>
          <w:rFonts w:ascii="Bookman Old Style"/>
          <w:sz w:val="31"/>
        </w:rPr>
      </w:pPr>
    </w:p>
    <w:p w14:paraId="057BA9C4" w14:textId="77777777" w:rsidR="002653E8" w:rsidRDefault="003115E3">
      <w:pPr>
        <w:pStyle w:val="a3"/>
        <w:spacing w:line="264" w:lineRule="auto"/>
        <w:ind w:left="1327" w:right="1146"/>
        <w:jc w:val="both"/>
      </w:pPr>
      <w:r>
        <w:rPr>
          <w:color w:val="231F20"/>
        </w:rPr>
        <w:t>On May 26, Willy Brandt said in his television broadcast that the bombings of recent weeks have no logical political basis, and that they have endangered innocent lives.</w:t>
      </w:r>
    </w:p>
    <w:p w14:paraId="742C829E" w14:textId="77777777" w:rsidR="002653E8" w:rsidRDefault="003115E3">
      <w:pPr>
        <w:pStyle w:val="a3"/>
        <w:spacing w:line="264" w:lineRule="auto"/>
        <w:ind w:left="1327" w:right="1147" w:firstLine="210"/>
        <w:jc w:val="both"/>
      </w:pPr>
      <w:r>
        <w:rPr>
          <w:color w:val="231F20"/>
        </w:rPr>
        <w:t>The Federal Chancellor can deceive the people with these assertions because the West German press has almost completely suppressed the communiqués of the urban guerilla commandos.</w:t>
      </w:r>
    </w:p>
    <w:p w14:paraId="6A9BCD00" w14:textId="77777777" w:rsidR="002653E8" w:rsidRDefault="003115E3">
      <w:pPr>
        <w:pStyle w:val="a3"/>
        <w:spacing w:line="264" w:lineRule="auto"/>
        <w:ind w:left="1327" w:right="1145" w:firstLine="210"/>
        <w:jc w:val="both"/>
      </w:pPr>
      <w:r>
        <w:rPr>
          <w:color w:val="231F20"/>
        </w:rPr>
        <w:t xml:space="preserve">Instead the </w:t>
      </w:r>
      <w:r>
        <w:rPr>
          <w:i/>
          <w:color w:val="231F20"/>
        </w:rPr>
        <w:t xml:space="preserve">Frankfurter Rundschau </w:t>
      </w:r>
      <w:r>
        <w:rPr>
          <w:color w:val="231F20"/>
        </w:rPr>
        <w:t xml:space="preserve">published a letter created out of cut out letters—which, when compared to authentic </w:t>
      </w:r>
      <w:r w:rsidR="00C507A5">
        <w:rPr>
          <w:color w:val="231F20"/>
        </w:rPr>
        <w:t>red army faction</w:t>
      </w:r>
      <w:r>
        <w:rPr>
          <w:color w:val="231F20"/>
        </w:rPr>
        <w:t xml:space="preserve"> communiqués, can clearly be seen to be a fake—to create the impression that the bombers are brainless twits who act chaotically in an effort to create fear amongst the people.</w:t>
      </w:r>
    </w:p>
    <w:p w14:paraId="76145E86" w14:textId="77777777" w:rsidR="002653E8" w:rsidRDefault="003115E3">
      <w:pPr>
        <w:pStyle w:val="a3"/>
        <w:spacing w:line="264" w:lineRule="auto"/>
        <w:ind w:left="1328" w:right="1146" w:firstLine="210"/>
        <w:jc w:val="both"/>
      </w:pPr>
      <w:r>
        <w:rPr>
          <w:color w:val="231F20"/>
        </w:rPr>
        <w:t>The Chancellor’s statement does not differ from similar statements  by General Franco, General Patakos, von Howeida, the followers of Salazar, or the Turkish military dictator: the reasons for the actions are ignored, and only the condemnation of the Chancellor and the pundits  is</w:t>
      </w:r>
      <w:r>
        <w:rPr>
          <w:color w:val="231F20"/>
          <w:spacing w:val="8"/>
        </w:rPr>
        <w:t xml:space="preserve"> </w:t>
      </w:r>
      <w:r>
        <w:rPr>
          <w:color w:val="231F20"/>
        </w:rPr>
        <w:t>presented.</w:t>
      </w:r>
      <w:r>
        <w:rPr>
          <w:color w:val="231F20"/>
          <w:spacing w:val="8"/>
        </w:rPr>
        <w:t xml:space="preserve"> </w:t>
      </w:r>
      <w:r>
        <w:rPr>
          <w:color w:val="231F20"/>
        </w:rPr>
        <w:t>The</w:t>
      </w:r>
      <w:r>
        <w:rPr>
          <w:color w:val="231F20"/>
          <w:spacing w:val="8"/>
        </w:rPr>
        <w:t xml:space="preserve"> </w:t>
      </w:r>
      <w:r>
        <w:rPr>
          <w:color w:val="231F20"/>
        </w:rPr>
        <w:t>reasons</w:t>
      </w:r>
      <w:r>
        <w:rPr>
          <w:color w:val="231F20"/>
          <w:spacing w:val="8"/>
        </w:rPr>
        <w:t xml:space="preserve"> </w:t>
      </w:r>
      <w:r>
        <w:rPr>
          <w:color w:val="231F20"/>
        </w:rPr>
        <w:t>for</w:t>
      </w:r>
      <w:r>
        <w:rPr>
          <w:color w:val="231F20"/>
          <w:spacing w:val="8"/>
        </w:rPr>
        <w:t xml:space="preserve"> </w:t>
      </w:r>
      <w:r>
        <w:rPr>
          <w:color w:val="231F20"/>
        </w:rPr>
        <w:t>this</w:t>
      </w:r>
      <w:r>
        <w:rPr>
          <w:color w:val="231F20"/>
          <w:spacing w:val="8"/>
        </w:rPr>
        <w:t xml:space="preserve"> </w:t>
      </w:r>
      <w:r>
        <w:rPr>
          <w:color w:val="231F20"/>
        </w:rPr>
        <w:t>conduct</w:t>
      </w:r>
      <w:r>
        <w:rPr>
          <w:color w:val="231F20"/>
          <w:spacing w:val="8"/>
        </w:rPr>
        <w:t xml:space="preserve"> </w:t>
      </w:r>
      <w:r>
        <w:rPr>
          <w:color w:val="231F20"/>
        </w:rPr>
        <w:t>are</w:t>
      </w:r>
      <w:r>
        <w:rPr>
          <w:color w:val="231F20"/>
          <w:spacing w:val="8"/>
        </w:rPr>
        <w:t xml:space="preserve"> </w:t>
      </w:r>
      <w:r>
        <w:rPr>
          <w:color w:val="231F20"/>
        </w:rPr>
        <w:t>obvious:</w:t>
      </w:r>
    </w:p>
    <w:p w14:paraId="067B3F9B" w14:textId="77777777" w:rsidR="002653E8" w:rsidRDefault="003115E3">
      <w:pPr>
        <w:pStyle w:val="a4"/>
        <w:numPr>
          <w:ilvl w:val="1"/>
          <w:numId w:val="136"/>
        </w:numPr>
        <w:tabs>
          <w:tab w:val="left" w:pos="1825"/>
        </w:tabs>
        <w:spacing w:before="110" w:line="261" w:lineRule="auto"/>
        <w:ind w:right="1230" w:hanging="240"/>
        <w:rPr>
          <w:sz w:val="20"/>
        </w:rPr>
      </w:pPr>
      <w:r>
        <w:rPr>
          <w:color w:val="231F20"/>
          <w:sz w:val="20"/>
        </w:rPr>
        <w:t>The communiqué of the Thomas Weissbecker Commando was intended to bring every individual police officer to the point where he must think about whether or not he wants to be an active</w:t>
      </w:r>
      <w:r>
        <w:rPr>
          <w:color w:val="231F20"/>
          <w:spacing w:val="10"/>
          <w:sz w:val="20"/>
        </w:rPr>
        <w:t xml:space="preserve"> </w:t>
      </w:r>
      <w:r>
        <w:rPr>
          <w:color w:val="231F20"/>
          <w:sz w:val="20"/>
        </w:rPr>
        <w:t>part</w:t>
      </w:r>
      <w:r>
        <w:rPr>
          <w:color w:val="231F20"/>
          <w:spacing w:val="10"/>
          <w:sz w:val="20"/>
        </w:rPr>
        <w:t xml:space="preserve"> </w:t>
      </w:r>
      <w:r>
        <w:rPr>
          <w:color w:val="231F20"/>
          <w:sz w:val="20"/>
        </w:rPr>
        <w:t>of</w:t>
      </w:r>
      <w:r>
        <w:rPr>
          <w:color w:val="231F20"/>
          <w:spacing w:val="10"/>
          <w:sz w:val="20"/>
        </w:rPr>
        <w:t xml:space="preserve"> </w:t>
      </w:r>
      <w:r>
        <w:rPr>
          <w:color w:val="231F20"/>
          <w:sz w:val="20"/>
        </w:rPr>
        <w:t>the</w:t>
      </w:r>
      <w:r>
        <w:rPr>
          <w:color w:val="231F20"/>
          <w:spacing w:val="10"/>
          <w:sz w:val="20"/>
        </w:rPr>
        <w:t xml:space="preserve"> </w:t>
      </w:r>
      <w:r>
        <w:rPr>
          <w:color w:val="231F20"/>
          <w:sz w:val="20"/>
        </w:rPr>
        <w:t>hunt</w:t>
      </w:r>
      <w:r>
        <w:rPr>
          <w:color w:val="231F20"/>
          <w:spacing w:val="10"/>
          <w:sz w:val="20"/>
        </w:rPr>
        <w:t xml:space="preserve"> </w:t>
      </w:r>
      <w:r>
        <w:rPr>
          <w:color w:val="231F20"/>
          <w:sz w:val="20"/>
        </w:rPr>
        <w:t>for</w:t>
      </w:r>
      <w:r>
        <w:rPr>
          <w:color w:val="231F20"/>
          <w:spacing w:val="10"/>
          <w:sz w:val="20"/>
        </w:rPr>
        <w:t xml:space="preserve"> </w:t>
      </w:r>
      <w:r>
        <w:rPr>
          <w:color w:val="231F20"/>
          <w:sz w:val="20"/>
        </w:rPr>
        <w:t>the</w:t>
      </w:r>
      <w:r>
        <w:rPr>
          <w:color w:val="231F20"/>
          <w:spacing w:val="11"/>
          <w:sz w:val="20"/>
        </w:rPr>
        <w:t xml:space="preserve"> </w:t>
      </w:r>
      <w:r w:rsidR="00C507A5">
        <w:rPr>
          <w:color w:val="231F20"/>
          <w:spacing w:val="2"/>
          <w:sz w:val="20"/>
        </w:rPr>
        <w:t>red army faction</w:t>
      </w:r>
      <w:r>
        <w:rPr>
          <w:color w:val="231F20"/>
          <w:spacing w:val="2"/>
          <w:sz w:val="20"/>
        </w:rPr>
        <w:t>;</w:t>
      </w:r>
    </w:p>
    <w:p w14:paraId="4143D9C7" w14:textId="77777777" w:rsidR="002653E8" w:rsidRDefault="003115E3">
      <w:pPr>
        <w:pStyle w:val="a4"/>
        <w:numPr>
          <w:ilvl w:val="1"/>
          <w:numId w:val="136"/>
        </w:numPr>
        <w:tabs>
          <w:tab w:val="left" w:pos="1825"/>
        </w:tabs>
        <w:spacing w:before="2" w:line="261" w:lineRule="auto"/>
        <w:ind w:right="1316" w:hanging="240"/>
        <w:rPr>
          <w:sz w:val="20"/>
        </w:rPr>
      </w:pPr>
      <w:r>
        <w:rPr>
          <w:color w:val="231F20"/>
          <w:spacing w:val="2"/>
          <w:sz w:val="20"/>
        </w:rPr>
        <w:t xml:space="preserve">An </w:t>
      </w:r>
      <w:r>
        <w:rPr>
          <w:color w:val="231F20"/>
          <w:sz w:val="20"/>
        </w:rPr>
        <w:t>investigation would have proven that the 2nd of June Commando warned the Springer Corporation on time and that Springer, as always, has lied;</w:t>
      </w:r>
    </w:p>
    <w:p w14:paraId="6306712C" w14:textId="77777777" w:rsidR="002653E8" w:rsidRDefault="003115E3">
      <w:pPr>
        <w:pStyle w:val="a4"/>
        <w:numPr>
          <w:ilvl w:val="1"/>
          <w:numId w:val="136"/>
        </w:numPr>
        <w:tabs>
          <w:tab w:val="left" w:pos="1824"/>
        </w:tabs>
        <w:spacing w:before="1" w:line="261" w:lineRule="auto"/>
        <w:ind w:right="1240" w:hanging="240"/>
        <w:rPr>
          <w:sz w:val="20"/>
        </w:rPr>
      </w:pPr>
      <w:r>
        <w:rPr>
          <w:color w:val="231F20"/>
          <w:sz w:val="20"/>
        </w:rPr>
        <w:t>The people, who know from their own experience all about genocide and the terrorist bombing of civilian populations, can draw their own conclusions about the bomb attacks against  those who commit mass murder in Vietnam and against the fascism of the Springer</w:t>
      </w:r>
      <w:r>
        <w:rPr>
          <w:color w:val="231F20"/>
          <w:spacing w:val="1"/>
          <w:sz w:val="20"/>
        </w:rPr>
        <w:t xml:space="preserve"> </w:t>
      </w:r>
      <w:r>
        <w:rPr>
          <w:color w:val="231F20"/>
          <w:sz w:val="20"/>
        </w:rPr>
        <w:t>Corporation;</w:t>
      </w:r>
    </w:p>
    <w:p w14:paraId="09308293" w14:textId="77777777" w:rsidR="002653E8" w:rsidRDefault="003115E3">
      <w:pPr>
        <w:pStyle w:val="a4"/>
        <w:numPr>
          <w:ilvl w:val="1"/>
          <w:numId w:val="136"/>
        </w:numPr>
        <w:tabs>
          <w:tab w:val="left" w:pos="1824"/>
        </w:tabs>
        <w:spacing w:before="2" w:line="261" w:lineRule="auto"/>
        <w:ind w:right="1283" w:hanging="240"/>
        <w:rPr>
          <w:sz w:val="20"/>
        </w:rPr>
      </w:pPr>
      <w:r>
        <w:rPr>
          <w:color w:val="231F20"/>
          <w:sz w:val="20"/>
        </w:rPr>
        <w:t>And because of this, there can be no doubt that the bomb attacks were directed solely against the enemies of the people, the enemies of the working class, the enemies of the Vietnamese people, the</w:t>
      </w:r>
      <w:r>
        <w:rPr>
          <w:color w:val="231F20"/>
          <w:spacing w:val="21"/>
          <w:sz w:val="20"/>
        </w:rPr>
        <w:t xml:space="preserve"> </w:t>
      </w:r>
      <w:r>
        <w:rPr>
          <w:color w:val="231F20"/>
          <w:sz w:val="20"/>
        </w:rPr>
        <w:t>imperialists.</w:t>
      </w:r>
    </w:p>
    <w:p w14:paraId="250DEFDC" w14:textId="77777777" w:rsidR="002653E8" w:rsidRDefault="003115E3">
      <w:pPr>
        <w:pStyle w:val="a3"/>
        <w:spacing w:before="145" w:line="264" w:lineRule="auto"/>
        <w:ind w:left="1327" w:right="1145"/>
      </w:pPr>
      <w:r>
        <w:rPr>
          <w:color w:val="231F20"/>
        </w:rPr>
        <w:t>“We’re all in the same boat” has always been the motto of the exploiters and fascists.</w:t>
      </w:r>
    </w:p>
    <w:p w14:paraId="22B79614" w14:textId="77777777" w:rsidR="002653E8" w:rsidRDefault="002653E8">
      <w:pPr>
        <w:spacing w:line="264" w:lineRule="auto"/>
        <w:sectPr w:rsidR="002653E8">
          <w:footerReference w:type="even" r:id="rId154"/>
          <w:footerReference w:type="default" r:id="rId155"/>
          <w:pgSz w:w="8640" w:h="12960"/>
          <w:pgMar w:top="1220" w:right="0" w:bottom="1040" w:left="0" w:header="0" w:footer="850" w:gutter="0"/>
          <w:cols w:space="720"/>
        </w:sectPr>
      </w:pPr>
    </w:p>
    <w:p w14:paraId="780537DB" w14:textId="77777777" w:rsidR="002653E8" w:rsidRDefault="003115E3">
      <w:pPr>
        <w:pStyle w:val="a3"/>
        <w:spacing w:before="86" w:line="264" w:lineRule="auto"/>
        <w:ind w:left="1147" w:right="1326" w:firstLine="210"/>
        <w:jc w:val="both"/>
      </w:pPr>
      <w:r>
        <w:rPr>
          <w:color w:val="231F20"/>
        </w:rPr>
        <w:lastRenderedPageBreak/>
        <w:t>Springer has, under threat of further bomb attacks, published the demands made of him, albeit in a mutilated form.</w:t>
      </w:r>
    </w:p>
    <w:p w14:paraId="7B3CCE68" w14:textId="77777777" w:rsidR="002653E8" w:rsidRDefault="003115E3">
      <w:pPr>
        <w:pStyle w:val="a3"/>
        <w:spacing w:line="264" w:lineRule="auto"/>
        <w:ind w:left="1147" w:right="1326" w:firstLine="210"/>
        <w:jc w:val="both"/>
      </w:pPr>
      <w:r>
        <w:rPr>
          <w:color w:val="231F20"/>
        </w:rPr>
        <w:t xml:space="preserve">The rest of the press must understand that they themselves will be provoking actions against Springer if </w:t>
      </w:r>
      <w:r>
        <w:rPr>
          <w:color w:val="231F20"/>
          <w:spacing w:val="-3"/>
        </w:rPr>
        <w:t xml:space="preserve">they, </w:t>
      </w:r>
      <w:r>
        <w:rPr>
          <w:color w:val="231F20"/>
        </w:rPr>
        <w:t xml:space="preserve">as a result of economic pressure coming from Springer, submit voluntarily and opportunistically to this practice of censorship. </w:t>
      </w:r>
      <w:r>
        <w:rPr>
          <w:color w:val="231F20"/>
          <w:spacing w:val="-5"/>
        </w:rPr>
        <w:t xml:space="preserve">We </w:t>
      </w:r>
      <w:r>
        <w:rPr>
          <w:color w:val="231F20"/>
        </w:rPr>
        <w:t xml:space="preserve">therefore demand that they no longer deceive the people about the political reasons behind the bomb attacks, that is to </w:t>
      </w:r>
      <w:r>
        <w:rPr>
          <w:color w:val="231F20"/>
          <w:spacing w:val="-4"/>
        </w:rPr>
        <w:t xml:space="preserve">say, </w:t>
      </w:r>
      <w:r>
        <w:rPr>
          <w:color w:val="231F20"/>
        </w:rPr>
        <w:t xml:space="preserve">that they not aggravate the situation unnecessarily. </w:t>
      </w:r>
      <w:r>
        <w:rPr>
          <w:color w:val="231F20"/>
          <w:spacing w:val="-5"/>
        </w:rPr>
        <w:t xml:space="preserve">We </w:t>
      </w:r>
      <w:r>
        <w:rPr>
          <w:color w:val="231F20"/>
        </w:rPr>
        <w:t xml:space="preserve">demand that they print in </w:t>
      </w:r>
      <w:r>
        <w:rPr>
          <w:color w:val="231F20"/>
          <w:spacing w:val="1"/>
        </w:rPr>
        <w:t xml:space="preserve">full </w:t>
      </w:r>
      <w:r>
        <w:rPr>
          <w:color w:val="231F20"/>
        </w:rPr>
        <w:t xml:space="preserve">the following communiqués: the communiqué of the  Thomas  Weissbecker  Commando,  the  communiqué  of the 2nd of June Commando and the communiqué of the July </w:t>
      </w:r>
      <w:r>
        <w:rPr>
          <w:color w:val="231F20"/>
          <w:spacing w:val="-4"/>
        </w:rPr>
        <w:t xml:space="preserve">15th </w:t>
      </w:r>
      <w:r>
        <w:rPr>
          <w:color w:val="231F20"/>
        </w:rPr>
        <w:t>Commando.</w:t>
      </w:r>
    </w:p>
    <w:p w14:paraId="66C763BD" w14:textId="77777777" w:rsidR="002653E8" w:rsidRDefault="003115E3">
      <w:pPr>
        <w:pStyle w:val="a3"/>
        <w:spacing w:before="115" w:line="261" w:lineRule="auto"/>
        <w:ind w:left="1147" w:right="4206"/>
      </w:pPr>
      <w:r>
        <w:rPr>
          <w:color w:val="231F20"/>
          <w:w w:val="110"/>
        </w:rPr>
        <w:t>SERVE THE PEOPLE! ExPROPRIATE SPRINGER!</w:t>
      </w:r>
    </w:p>
    <w:p w14:paraId="0A4A4286" w14:textId="77777777" w:rsidR="002653E8" w:rsidRDefault="00C507A5">
      <w:pPr>
        <w:pStyle w:val="a3"/>
        <w:spacing w:before="128" w:line="261" w:lineRule="auto"/>
        <w:ind w:left="6032" w:right="1317" w:firstLine="800"/>
        <w:jc w:val="right"/>
      </w:pPr>
      <w:r>
        <w:rPr>
          <w:color w:val="231F20"/>
          <w:w w:val="110"/>
        </w:rPr>
        <w:t>red army faction</w:t>
      </w:r>
      <w:r w:rsidR="003115E3">
        <w:rPr>
          <w:color w:val="231F20"/>
          <w:w w:val="110"/>
        </w:rPr>
        <w:t xml:space="preserve"> May 28, 1972</w:t>
      </w:r>
    </w:p>
    <w:p w14:paraId="5DE6C1A1" w14:textId="77777777" w:rsidR="002653E8" w:rsidRDefault="002653E8">
      <w:pPr>
        <w:spacing w:line="261" w:lineRule="auto"/>
        <w:jc w:val="right"/>
        <w:sectPr w:rsidR="002653E8">
          <w:pgSz w:w="8640" w:h="12960"/>
          <w:pgMar w:top="1060" w:right="0" w:bottom="1040" w:left="0" w:header="0" w:footer="850" w:gutter="0"/>
          <w:cols w:space="720"/>
        </w:sectPr>
      </w:pPr>
    </w:p>
    <w:p w14:paraId="789F2B1B" w14:textId="77777777" w:rsidR="002653E8" w:rsidRDefault="003115E3">
      <w:pPr>
        <w:pStyle w:val="4"/>
        <w:spacing w:line="273" w:lineRule="auto"/>
        <w:ind w:left="1988" w:right="1789" w:firstLine="781"/>
      </w:pPr>
      <w:bookmarkStart w:id="80" w:name="Regarding_the_Fascist_Bomb_Threats_Again"/>
      <w:bookmarkStart w:id="81" w:name="_bookmark28"/>
      <w:bookmarkEnd w:id="80"/>
      <w:bookmarkEnd w:id="81"/>
      <w:r>
        <w:rPr>
          <w:color w:val="231F20"/>
          <w:w w:val="105"/>
        </w:rPr>
        <w:lastRenderedPageBreak/>
        <w:t>Regarding the Fascist Bomb Threats</w:t>
      </w:r>
      <w:r>
        <w:rPr>
          <w:color w:val="231F20"/>
          <w:spacing w:val="-78"/>
          <w:w w:val="105"/>
        </w:rPr>
        <w:t xml:space="preserve"> </w:t>
      </w:r>
      <w:r>
        <w:rPr>
          <w:color w:val="231F20"/>
          <w:w w:val="105"/>
        </w:rPr>
        <w:t>Against Stuttgart</w:t>
      </w:r>
    </w:p>
    <w:p w14:paraId="0D45A10D" w14:textId="77777777" w:rsidR="002653E8" w:rsidRDefault="002653E8">
      <w:pPr>
        <w:pStyle w:val="a3"/>
        <w:spacing w:before="2"/>
        <w:rPr>
          <w:rFonts w:ascii="Bookman Old Style"/>
          <w:sz w:val="27"/>
        </w:rPr>
      </w:pPr>
    </w:p>
    <w:p w14:paraId="4340151D" w14:textId="77777777" w:rsidR="002653E8" w:rsidRDefault="003115E3">
      <w:pPr>
        <w:pStyle w:val="a3"/>
        <w:spacing w:line="264" w:lineRule="auto"/>
        <w:ind w:left="1327" w:right="1137"/>
        <w:jc w:val="both"/>
      </w:pPr>
      <w:r>
        <w:rPr>
          <w:color w:val="231F20"/>
        </w:rPr>
        <w:t xml:space="preserve">The two bomb threats pasted together out of letters cut from newspapers for next Friday, June 2, in Stuttgart don’t come from the Red Army Faction. Genuine communiqués of the urban guerilla commandos can easily be authenticated by comparing their contents with other </w:t>
      </w:r>
      <w:r w:rsidR="00C507A5">
        <w:rPr>
          <w:color w:val="231F20"/>
        </w:rPr>
        <w:t>red army faction</w:t>
      </w:r>
      <w:r>
        <w:rPr>
          <w:color w:val="231F20"/>
        </w:rPr>
        <w:t xml:space="preserve">  communiqués. And they are typewritten, as the cops well know.</w:t>
      </w:r>
    </w:p>
    <w:p w14:paraId="0C76C584" w14:textId="77777777" w:rsidR="002653E8" w:rsidRDefault="003115E3">
      <w:pPr>
        <w:pStyle w:val="a3"/>
        <w:spacing w:line="264" w:lineRule="auto"/>
        <w:ind w:left="1328" w:right="1145" w:firstLine="210"/>
        <w:jc w:val="both"/>
      </w:pPr>
      <w:r>
        <w:rPr>
          <w:color w:val="231F20"/>
        </w:rPr>
        <w:t>The fake communiqués, given their contents, their purpose, their essence, and their style, more likely come from the cops themselves.</w:t>
      </w:r>
    </w:p>
    <w:p w14:paraId="43841379" w14:textId="77777777" w:rsidR="002653E8" w:rsidRDefault="003115E3">
      <w:pPr>
        <w:pStyle w:val="a3"/>
        <w:spacing w:line="264" w:lineRule="auto"/>
        <w:ind w:left="1328" w:right="1145" w:firstLine="210"/>
        <w:jc w:val="both"/>
      </w:pPr>
      <w:r>
        <w:rPr>
          <w:color w:val="231F20"/>
        </w:rPr>
        <w:t>The cops know this. The Springer journalists, who have published   the false communiqués without reservation, know this. Filbinger,</w:t>
      </w:r>
      <w:r>
        <w:rPr>
          <w:color w:val="231F20"/>
          <w:position w:val="7"/>
          <w:sz w:val="11"/>
        </w:rPr>
        <w:t xml:space="preserve">1 </w:t>
      </w:r>
      <w:r>
        <w:rPr>
          <w:color w:val="231F20"/>
        </w:rPr>
        <w:t>Krause,</w:t>
      </w:r>
      <w:r>
        <w:rPr>
          <w:color w:val="231F20"/>
          <w:position w:val="7"/>
          <w:sz w:val="11"/>
        </w:rPr>
        <w:t xml:space="preserve">2 </w:t>
      </w:r>
      <w:r>
        <w:rPr>
          <w:color w:val="231F20"/>
        </w:rPr>
        <w:t xml:space="preserve">and </w:t>
      </w:r>
      <w:r>
        <w:rPr>
          <w:color w:val="231F20"/>
          <w:spacing w:val="1"/>
        </w:rPr>
        <w:t>Klett</w:t>
      </w:r>
      <w:r>
        <w:rPr>
          <w:color w:val="231F20"/>
          <w:spacing w:val="1"/>
          <w:position w:val="7"/>
          <w:sz w:val="11"/>
        </w:rPr>
        <w:t xml:space="preserve">3 </w:t>
      </w:r>
      <w:r>
        <w:rPr>
          <w:color w:val="231F20"/>
        </w:rPr>
        <w:t>know this. They are taking precautions only as a pretext to prepare new police actions and to drive the war of nerves to the</w:t>
      </w:r>
      <w:r>
        <w:rPr>
          <w:color w:val="231F20"/>
          <w:spacing w:val="10"/>
        </w:rPr>
        <w:t xml:space="preserve"> </w:t>
      </w:r>
      <w:r>
        <w:rPr>
          <w:color w:val="231F20"/>
        </w:rPr>
        <w:t>extreme.</w:t>
      </w:r>
    </w:p>
    <w:p w14:paraId="3CEBDD7A" w14:textId="77777777" w:rsidR="002653E8" w:rsidRDefault="00000000">
      <w:pPr>
        <w:pStyle w:val="a3"/>
        <w:spacing w:line="264" w:lineRule="auto"/>
        <w:ind w:left="1328" w:right="4059" w:firstLine="210"/>
        <w:jc w:val="both"/>
      </w:pPr>
      <w:r>
        <w:rPr>
          <w:noProof w:val="0"/>
        </w:rPr>
        <w:pict w14:anchorId="669A531B">
          <v:group id="_x0000_s2496" style="position:absolute;left:0;text-align:left;margin-left:238.9pt;margin-top:3.65pt;width:135.75pt;height:190.15pt;z-index:5032;mso-position-horizontal-relative:page" coordorigin="4778,73" coordsize="2715,3803">
            <v:shape id="_x0000_s2498" type="#_x0000_t75" style="position:absolute;left:4797;top:188;width:2619;height:3611">
              <v:imagedata r:id="rId156" o:title=""/>
            </v:shape>
            <v:rect id="_x0000_s2497" style="position:absolute;left:4787;top:83;width:2695;height:3784" filled="f" strokecolor="#231f20" strokeweight=".97pt"/>
            <w10:wrap anchorx="page"/>
          </v:group>
        </w:pict>
      </w:r>
      <w:r w:rsidR="003115E3">
        <w:rPr>
          <w:color w:val="231F20"/>
        </w:rPr>
        <w:t xml:space="preserve">Because the authorities leading the manhunt are receiving no help from the people, they are seizing upon fascist provocation. It is possible that if by Friday they </w:t>
      </w:r>
      <w:r w:rsidR="003115E3">
        <w:rPr>
          <w:color w:val="231F20"/>
          <w:spacing w:val="-3"/>
        </w:rPr>
        <w:t xml:space="preserve">haven’t </w:t>
      </w:r>
      <w:r w:rsidR="003115E3">
        <w:rPr>
          <w:color w:val="231F20"/>
        </w:rPr>
        <w:t xml:space="preserve">had any success in their hunt—if they </w:t>
      </w:r>
      <w:r w:rsidR="003115E3">
        <w:rPr>
          <w:color w:val="231F20"/>
          <w:spacing w:val="-3"/>
        </w:rPr>
        <w:t xml:space="preserve">haven’t  </w:t>
      </w:r>
      <w:r w:rsidR="003115E3">
        <w:rPr>
          <w:color w:val="231F20"/>
        </w:rPr>
        <w:t xml:space="preserve">met their kill quota—they will </w:t>
      </w:r>
      <w:r w:rsidR="003115E3">
        <w:rPr>
          <w:color w:val="231F20"/>
          <w:spacing w:val="1"/>
        </w:rPr>
        <w:t xml:space="preserve">carry </w:t>
      </w:r>
      <w:r w:rsidR="003115E3">
        <w:rPr>
          <w:color w:val="231F20"/>
        </w:rPr>
        <w:t>through on the crimes they have threatened. Just as Springer didn’t allow his building to be evacuated, although he himself said he could foresee the attacks coming. Just as the Nazis set the Reichstag on fire and attacked the Gleiwitz transmitter. One must assume that they intend</w:t>
      </w:r>
      <w:r w:rsidR="003115E3">
        <w:rPr>
          <w:color w:val="231F20"/>
          <w:spacing w:val="20"/>
        </w:rPr>
        <w:t xml:space="preserve"> </w:t>
      </w:r>
      <w:r w:rsidR="003115E3">
        <w:rPr>
          <w:color w:val="231F20"/>
        </w:rPr>
        <w:t>simi-</w:t>
      </w:r>
    </w:p>
    <w:p w14:paraId="3F9C66F7" w14:textId="77777777" w:rsidR="002653E8" w:rsidRDefault="002653E8">
      <w:pPr>
        <w:spacing w:line="264" w:lineRule="auto"/>
        <w:jc w:val="both"/>
        <w:sectPr w:rsidR="002653E8">
          <w:footerReference w:type="even" r:id="rId157"/>
          <w:footerReference w:type="default" r:id="rId158"/>
          <w:pgSz w:w="8640" w:h="12960"/>
          <w:pgMar w:top="1220" w:right="0" w:bottom="1040" w:left="0" w:header="0" w:footer="850" w:gutter="0"/>
          <w:pgNumType w:start="181"/>
          <w:cols w:space="720"/>
        </w:sectPr>
      </w:pPr>
    </w:p>
    <w:p w14:paraId="6E26DCCE" w14:textId="77777777" w:rsidR="002653E8" w:rsidRDefault="003115E3">
      <w:pPr>
        <w:pStyle w:val="a3"/>
        <w:spacing w:line="205" w:lineRule="exact"/>
        <w:ind w:left="1328"/>
      </w:pPr>
      <w:r>
        <w:rPr>
          <w:color w:val="231F20"/>
        </w:rPr>
        <w:t>lar communiqués and attacks in the</w:t>
      </w:r>
    </w:p>
    <w:p w14:paraId="63F1CB30" w14:textId="77777777" w:rsidR="002653E8" w:rsidRDefault="003115E3">
      <w:pPr>
        <w:pStyle w:val="a3"/>
        <w:spacing w:before="22"/>
        <w:ind w:left="1328"/>
      </w:pPr>
      <w:r>
        <w:rPr>
          <w:color w:val="231F20"/>
          <w:w w:val="105"/>
        </w:rPr>
        <w:t>future.</w:t>
      </w:r>
    </w:p>
    <w:p w14:paraId="4E0CD01F" w14:textId="77777777" w:rsidR="002653E8" w:rsidRDefault="003115E3">
      <w:pPr>
        <w:spacing w:before="29" w:line="244" w:lineRule="auto"/>
        <w:ind w:left="291" w:right="842" w:firstLine="17"/>
        <w:rPr>
          <w:i/>
          <w:sz w:val="18"/>
        </w:rPr>
      </w:pPr>
      <w:r>
        <w:br w:type="column"/>
      </w:r>
      <w:r>
        <w:rPr>
          <w:i/>
          <w:color w:val="231F20"/>
          <w:sz w:val="18"/>
        </w:rPr>
        <w:t>Fake communiqué threatening random bombings in Stuttgart.</w:t>
      </w:r>
    </w:p>
    <w:p w14:paraId="5C990D60" w14:textId="77777777" w:rsidR="002653E8" w:rsidRDefault="002653E8">
      <w:pPr>
        <w:spacing w:line="244" w:lineRule="auto"/>
        <w:rPr>
          <w:sz w:val="18"/>
        </w:rPr>
        <w:sectPr w:rsidR="002653E8">
          <w:type w:val="continuous"/>
          <w:pgSz w:w="8640" w:h="12960"/>
          <w:pgMar w:top="0" w:right="0" w:bottom="0" w:left="0" w:header="720" w:footer="720" w:gutter="0"/>
          <w:cols w:num="2" w:space="720" w:equalWidth="0">
            <w:col w:w="4577" w:space="40"/>
            <w:col w:w="4023"/>
          </w:cols>
        </w:sectPr>
      </w:pPr>
    </w:p>
    <w:p w14:paraId="76A30D17" w14:textId="77777777" w:rsidR="002653E8" w:rsidRDefault="002653E8">
      <w:pPr>
        <w:pStyle w:val="a3"/>
        <w:rPr>
          <w:i/>
        </w:rPr>
      </w:pPr>
    </w:p>
    <w:p w14:paraId="683A16CD" w14:textId="77777777" w:rsidR="002653E8" w:rsidRDefault="002653E8">
      <w:pPr>
        <w:pStyle w:val="a3"/>
        <w:spacing w:before="8"/>
        <w:rPr>
          <w:i/>
          <w:sz w:val="13"/>
        </w:rPr>
      </w:pPr>
    </w:p>
    <w:p w14:paraId="1789A299" w14:textId="77777777" w:rsidR="002653E8" w:rsidRDefault="00000000">
      <w:pPr>
        <w:pStyle w:val="a3"/>
        <w:spacing w:line="20" w:lineRule="exact"/>
        <w:ind w:left="1322"/>
        <w:rPr>
          <w:sz w:val="2"/>
        </w:rPr>
      </w:pPr>
      <w:r>
        <w:rPr>
          <w:sz w:val="2"/>
        </w:rPr>
      </w:r>
      <w:r>
        <w:rPr>
          <w:sz w:val="2"/>
        </w:rPr>
        <w:pict w14:anchorId="605C8F95">
          <v:group id="_x0000_s2494" style="width:1in;height:.5pt;mso-position-horizontal-relative:char;mso-position-vertical-relative:line" coordsize="1440,10">
            <v:line id="_x0000_s2495" style="position:absolute" from="0,5" to="1440,5" strokecolor="#231f20" strokeweight=".5pt"/>
            <w10:anchorlock/>
          </v:group>
        </w:pict>
      </w:r>
    </w:p>
    <w:p w14:paraId="162F7F2F" w14:textId="77777777" w:rsidR="002653E8" w:rsidRDefault="003115E3">
      <w:pPr>
        <w:pStyle w:val="a4"/>
        <w:numPr>
          <w:ilvl w:val="0"/>
          <w:numId w:val="135"/>
        </w:numPr>
        <w:tabs>
          <w:tab w:val="left" w:pos="1467"/>
        </w:tabs>
        <w:spacing w:before="72" w:line="254" w:lineRule="auto"/>
        <w:ind w:right="1999" w:firstLine="0"/>
        <w:rPr>
          <w:sz w:val="16"/>
        </w:rPr>
      </w:pPr>
      <w:r>
        <w:rPr>
          <w:color w:val="231F20"/>
          <w:w w:val="105"/>
          <w:sz w:val="16"/>
        </w:rPr>
        <w:t xml:space="preserve">Hans Filbinger (CDU) was, at this time, the </w:t>
      </w:r>
      <w:r>
        <w:rPr>
          <w:i/>
          <w:color w:val="231F20"/>
          <w:spacing w:val="2"/>
          <w:w w:val="105"/>
          <w:sz w:val="16"/>
        </w:rPr>
        <w:t xml:space="preserve">Land </w:t>
      </w:r>
      <w:r>
        <w:rPr>
          <w:color w:val="231F20"/>
          <w:w w:val="105"/>
          <w:sz w:val="16"/>
        </w:rPr>
        <w:t xml:space="preserve">Chairman of BadenWürttemberg, of which </w:t>
      </w:r>
      <w:r>
        <w:rPr>
          <w:color w:val="231F20"/>
          <w:spacing w:val="1"/>
          <w:w w:val="105"/>
          <w:sz w:val="16"/>
        </w:rPr>
        <w:t xml:space="preserve">Stuttgart </w:t>
      </w:r>
      <w:r>
        <w:rPr>
          <w:color w:val="231F20"/>
          <w:w w:val="105"/>
          <w:sz w:val="16"/>
        </w:rPr>
        <w:t>is the</w:t>
      </w:r>
      <w:r>
        <w:rPr>
          <w:color w:val="231F20"/>
          <w:spacing w:val="13"/>
          <w:w w:val="105"/>
          <w:sz w:val="16"/>
        </w:rPr>
        <w:t xml:space="preserve"> </w:t>
      </w:r>
      <w:r>
        <w:rPr>
          <w:color w:val="231F20"/>
          <w:w w:val="105"/>
          <w:sz w:val="16"/>
        </w:rPr>
        <w:t>capital.</w:t>
      </w:r>
    </w:p>
    <w:p w14:paraId="372ED902" w14:textId="77777777" w:rsidR="002653E8" w:rsidRDefault="003115E3">
      <w:pPr>
        <w:pStyle w:val="a4"/>
        <w:numPr>
          <w:ilvl w:val="0"/>
          <w:numId w:val="135"/>
        </w:numPr>
        <w:tabs>
          <w:tab w:val="left" w:pos="1467"/>
        </w:tabs>
        <w:spacing w:line="254" w:lineRule="auto"/>
        <w:ind w:right="1529" w:firstLine="0"/>
        <w:rPr>
          <w:sz w:val="16"/>
        </w:rPr>
      </w:pPr>
      <w:r>
        <w:rPr>
          <w:color w:val="231F20"/>
          <w:w w:val="105"/>
          <w:sz w:val="16"/>
        </w:rPr>
        <w:t>Walter Krause (SPD) was, at this time, the Minister of the Interior and acting President of</w:t>
      </w:r>
      <w:r>
        <w:rPr>
          <w:color w:val="231F20"/>
          <w:spacing w:val="15"/>
          <w:w w:val="105"/>
          <w:sz w:val="16"/>
        </w:rPr>
        <w:t xml:space="preserve"> </w:t>
      </w:r>
      <w:r>
        <w:rPr>
          <w:color w:val="231F20"/>
          <w:w w:val="105"/>
          <w:sz w:val="16"/>
        </w:rPr>
        <w:t>Baden-Württemberg.</w:t>
      </w:r>
    </w:p>
    <w:p w14:paraId="1B47FEA4" w14:textId="77777777" w:rsidR="002653E8" w:rsidRDefault="003115E3">
      <w:pPr>
        <w:pStyle w:val="a4"/>
        <w:numPr>
          <w:ilvl w:val="0"/>
          <w:numId w:val="135"/>
        </w:numPr>
        <w:tabs>
          <w:tab w:val="left" w:pos="1467"/>
        </w:tabs>
        <w:spacing w:before="40"/>
        <w:ind w:firstLine="0"/>
        <w:rPr>
          <w:sz w:val="16"/>
        </w:rPr>
      </w:pPr>
      <w:r>
        <w:rPr>
          <w:color w:val="231F20"/>
          <w:w w:val="105"/>
          <w:sz w:val="16"/>
        </w:rPr>
        <w:t>Arnulf</w:t>
      </w:r>
      <w:r>
        <w:rPr>
          <w:color w:val="231F20"/>
          <w:spacing w:val="8"/>
          <w:w w:val="105"/>
          <w:sz w:val="16"/>
        </w:rPr>
        <w:t xml:space="preserve"> </w:t>
      </w:r>
      <w:r>
        <w:rPr>
          <w:color w:val="231F20"/>
          <w:spacing w:val="1"/>
          <w:w w:val="105"/>
          <w:sz w:val="16"/>
        </w:rPr>
        <w:t>Klett</w:t>
      </w:r>
      <w:r>
        <w:rPr>
          <w:color w:val="231F20"/>
          <w:spacing w:val="8"/>
          <w:w w:val="105"/>
          <w:sz w:val="16"/>
        </w:rPr>
        <w:t xml:space="preserve"> </w:t>
      </w:r>
      <w:r>
        <w:rPr>
          <w:color w:val="231F20"/>
          <w:w w:val="105"/>
          <w:sz w:val="16"/>
        </w:rPr>
        <w:t>was,</w:t>
      </w:r>
      <w:r>
        <w:rPr>
          <w:color w:val="231F20"/>
          <w:spacing w:val="8"/>
          <w:w w:val="105"/>
          <w:sz w:val="16"/>
        </w:rPr>
        <w:t xml:space="preserve"> </w:t>
      </w:r>
      <w:r>
        <w:rPr>
          <w:color w:val="231F20"/>
          <w:w w:val="105"/>
          <w:sz w:val="16"/>
        </w:rPr>
        <w:t>at</w:t>
      </w:r>
      <w:r>
        <w:rPr>
          <w:color w:val="231F20"/>
          <w:spacing w:val="8"/>
          <w:w w:val="105"/>
          <w:sz w:val="16"/>
        </w:rPr>
        <w:t xml:space="preserve"> </w:t>
      </w:r>
      <w:r>
        <w:rPr>
          <w:color w:val="231F20"/>
          <w:w w:val="105"/>
          <w:sz w:val="16"/>
        </w:rPr>
        <w:t>this</w:t>
      </w:r>
      <w:r>
        <w:rPr>
          <w:color w:val="231F20"/>
          <w:spacing w:val="8"/>
          <w:w w:val="105"/>
          <w:sz w:val="16"/>
        </w:rPr>
        <w:t xml:space="preserve"> </w:t>
      </w:r>
      <w:r>
        <w:rPr>
          <w:color w:val="231F20"/>
          <w:w w:val="105"/>
          <w:sz w:val="16"/>
        </w:rPr>
        <w:t>time,</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Mayor</w:t>
      </w:r>
      <w:r>
        <w:rPr>
          <w:color w:val="231F20"/>
          <w:spacing w:val="8"/>
          <w:w w:val="105"/>
          <w:sz w:val="16"/>
        </w:rPr>
        <w:t xml:space="preserve"> </w:t>
      </w:r>
      <w:r>
        <w:rPr>
          <w:color w:val="231F20"/>
          <w:w w:val="105"/>
          <w:sz w:val="16"/>
        </w:rPr>
        <w:t>of</w:t>
      </w:r>
      <w:r>
        <w:rPr>
          <w:color w:val="231F20"/>
          <w:spacing w:val="8"/>
          <w:w w:val="105"/>
          <w:sz w:val="16"/>
        </w:rPr>
        <w:t xml:space="preserve"> </w:t>
      </w:r>
      <w:r>
        <w:rPr>
          <w:color w:val="231F20"/>
          <w:spacing w:val="1"/>
          <w:w w:val="105"/>
          <w:sz w:val="16"/>
        </w:rPr>
        <w:t>Stuttgart.</w:t>
      </w:r>
    </w:p>
    <w:p w14:paraId="3400960C" w14:textId="77777777" w:rsidR="002653E8" w:rsidRDefault="002653E8">
      <w:pPr>
        <w:rPr>
          <w:sz w:val="16"/>
        </w:rPr>
        <w:sectPr w:rsidR="002653E8">
          <w:type w:val="continuous"/>
          <w:pgSz w:w="8640" w:h="12960"/>
          <w:pgMar w:top="0" w:right="0" w:bottom="0" w:left="0" w:header="720" w:footer="720" w:gutter="0"/>
          <w:cols w:space="720"/>
        </w:sectPr>
      </w:pPr>
    </w:p>
    <w:p w14:paraId="1589143E" w14:textId="77777777" w:rsidR="002653E8" w:rsidRDefault="003115E3">
      <w:pPr>
        <w:pStyle w:val="a3"/>
        <w:spacing w:before="86"/>
        <w:ind w:left="1357"/>
      </w:pPr>
      <w:r>
        <w:rPr>
          <w:color w:val="231F20"/>
        </w:rPr>
        <w:lastRenderedPageBreak/>
        <w:t>We are not responsible for the crimes of fascists.</w:t>
      </w:r>
    </w:p>
    <w:p w14:paraId="46DA45BF" w14:textId="77777777" w:rsidR="002653E8" w:rsidRDefault="003115E3">
      <w:pPr>
        <w:pStyle w:val="a3"/>
        <w:spacing w:before="23" w:line="264" w:lineRule="auto"/>
        <w:ind w:left="1147" w:right="1325" w:firstLine="210"/>
        <w:jc w:val="both"/>
      </w:pPr>
      <w:r>
        <w:rPr>
          <w:color w:val="231F20"/>
        </w:rPr>
        <w:t>The actions of the urban guerilla are directed against the institutions of the class state, imperialism, and capital. They are never directed against working people or against people who have nothing to do with the crimes of imperialism. They are directed against those who plan vicious attacks against the people, such as those announced in the false communiqués, and those carried out daily by U.S. imperialism against the Vietnamese people.</w:t>
      </w:r>
    </w:p>
    <w:p w14:paraId="3EB28535" w14:textId="77777777" w:rsidR="002653E8" w:rsidRDefault="003115E3">
      <w:pPr>
        <w:pStyle w:val="a3"/>
        <w:spacing w:before="119"/>
        <w:ind w:left="1147"/>
      </w:pPr>
      <w:r>
        <w:rPr>
          <w:color w:val="231F20"/>
          <w:w w:val="110"/>
        </w:rPr>
        <w:t>FIGHT FASCISM!</w:t>
      </w:r>
    </w:p>
    <w:p w14:paraId="61AD0D68" w14:textId="77777777" w:rsidR="002653E8" w:rsidRDefault="003115E3">
      <w:pPr>
        <w:pStyle w:val="a3"/>
        <w:spacing w:before="22" w:line="261" w:lineRule="auto"/>
        <w:ind w:left="1147" w:right="1513"/>
      </w:pPr>
      <w:r>
        <w:rPr>
          <w:color w:val="231F20"/>
          <w:w w:val="115"/>
        </w:rPr>
        <w:t>DESTROy AND OBLITERATE THE POWER OF IMPERIALISM! ExPROPRIATE SPRINGER!</w:t>
      </w:r>
    </w:p>
    <w:p w14:paraId="46E82FBD" w14:textId="77777777" w:rsidR="002653E8" w:rsidRDefault="00C507A5">
      <w:pPr>
        <w:pStyle w:val="a3"/>
        <w:spacing w:before="129" w:line="261" w:lineRule="auto"/>
        <w:ind w:left="6033" w:right="1317" w:firstLine="798"/>
        <w:jc w:val="right"/>
      </w:pPr>
      <w:r>
        <w:rPr>
          <w:color w:val="231F20"/>
          <w:w w:val="110"/>
        </w:rPr>
        <w:t>red army faction</w:t>
      </w:r>
      <w:r w:rsidR="003115E3">
        <w:rPr>
          <w:color w:val="231F20"/>
          <w:w w:val="110"/>
        </w:rPr>
        <w:t xml:space="preserve"> May 29, 1972</w:t>
      </w:r>
    </w:p>
    <w:p w14:paraId="547C4126" w14:textId="77777777" w:rsidR="002653E8" w:rsidRDefault="002653E8">
      <w:pPr>
        <w:spacing w:line="261" w:lineRule="auto"/>
        <w:jc w:val="right"/>
        <w:sectPr w:rsidR="002653E8">
          <w:pgSz w:w="8640" w:h="12960"/>
          <w:pgMar w:top="1060" w:right="0" w:bottom="1040" w:left="0" w:header="0" w:footer="850" w:gutter="0"/>
          <w:cols w:space="720"/>
        </w:sectPr>
      </w:pPr>
    </w:p>
    <w:p w14:paraId="3DDC2054" w14:textId="77777777" w:rsidR="002653E8" w:rsidRDefault="003115E3">
      <w:pPr>
        <w:pStyle w:val="4"/>
        <w:ind w:left="1812"/>
      </w:pPr>
      <w:bookmarkStart w:id="82" w:name="Statement_to_the_Red_Aid_Teach-In_(May_3"/>
      <w:bookmarkStart w:id="83" w:name="_bookmark29"/>
      <w:bookmarkEnd w:id="82"/>
      <w:bookmarkEnd w:id="83"/>
      <w:r>
        <w:rPr>
          <w:color w:val="231F20"/>
        </w:rPr>
        <w:lastRenderedPageBreak/>
        <w:t>Statement to the Red Aid</w:t>
      </w:r>
      <w:r>
        <w:rPr>
          <w:color w:val="231F20"/>
          <w:spacing w:val="95"/>
        </w:rPr>
        <w:t xml:space="preserve"> </w:t>
      </w:r>
      <w:r>
        <w:rPr>
          <w:color w:val="231F20"/>
          <w:spacing w:val="-3"/>
        </w:rPr>
        <w:t>Teach-In</w:t>
      </w:r>
    </w:p>
    <w:p w14:paraId="40D101F8" w14:textId="77777777" w:rsidR="002653E8" w:rsidRDefault="003115E3">
      <w:pPr>
        <w:pStyle w:val="a3"/>
        <w:spacing w:before="256" w:line="264" w:lineRule="auto"/>
        <w:ind w:left="1327" w:right="1145"/>
      </w:pPr>
      <w:r>
        <w:rPr>
          <w:color w:val="231F20"/>
        </w:rPr>
        <w:t>Comrades, some of you still believe that you don’t have any reason to dialogue with the Red Army Faction.</w:t>
      </w:r>
    </w:p>
    <w:p w14:paraId="2D455D90" w14:textId="77777777" w:rsidR="002653E8" w:rsidRDefault="003115E3">
      <w:pPr>
        <w:pStyle w:val="a3"/>
        <w:spacing w:line="264" w:lineRule="auto"/>
        <w:ind w:left="1327" w:right="1145" w:firstLine="210"/>
        <w:jc w:val="both"/>
      </w:pPr>
      <w:r>
        <w:rPr>
          <w:color w:val="231F20"/>
        </w:rPr>
        <w:t xml:space="preserve">Some of you still believe that the cops will soon have a handle on     the armed struggle in the metropole. Some of you still believe what you read in the newspapers: that the </w:t>
      </w:r>
      <w:r w:rsidR="00C507A5">
        <w:rPr>
          <w:color w:val="231F20"/>
          <w:spacing w:val="5"/>
        </w:rPr>
        <w:t>red army faction</w:t>
      </w:r>
      <w:r>
        <w:rPr>
          <w:color w:val="231F20"/>
          <w:spacing w:val="5"/>
        </w:rPr>
        <w:t xml:space="preserve"> </w:t>
      </w:r>
      <w:r>
        <w:rPr>
          <w:color w:val="231F20"/>
        </w:rPr>
        <w:t xml:space="preserve">is on the run, that there are splits in the </w:t>
      </w:r>
      <w:r w:rsidR="00C507A5">
        <w:rPr>
          <w:color w:val="231F20"/>
        </w:rPr>
        <w:t>red army faction</w:t>
      </w:r>
      <w:r>
        <w:rPr>
          <w:color w:val="231F20"/>
        </w:rPr>
        <w:t xml:space="preserve">, that the </w:t>
      </w:r>
      <w:r w:rsidR="00C507A5">
        <w:rPr>
          <w:color w:val="231F20"/>
          <w:spacing w:val="5"/>
        </w:rPr>
        <w:t>red army faction</w:t>
      </w:r>
      <w:r>
        <w:rPr>
          <w:color w:val="231F20"/>
          <w:spacing w:val="5"/>
        </w:rPr>
        <w:t xml:space="preserve"> </w:t>
      </w:r>
      <w:r>
        <w:rPr>
          <w:color w:val="231F20"/>
        </w:rPr>
        <w:t xml:space="preserve">has a hierarchical structure, that the </w:t>
      </w:r>
      <w:r w:rsidR="00C507A5">
        <w:rPr>
          <w:color w:val="231F20"/>
          <w:spacing w:val="5"/>
        </w:rPr>
        <w:t>red army faction</w:t>
      </w:r>
      <w:r>
        <w:rPr>
          <w:color w:val="231F20"/>
          <w:spacing w:val="5"/>
        </w:rPr>
        <w:t xml:space="preserve"> </w:t>
      </w:r>
      <w:r>
        <w:rPr>
          <w:color w:val="231F20"/>
        </w:rPr>
        <w:t xml:space="preserve">is isolated. </w:t>
      </w:r>
      <w:r>
        <w:rPr>
          <w:color w:val="231F20"/>
          <w:spacing w:val="-7"/>
        </w:rPr>
        <w:t xml:space="preserve">you </w:t>
      </w:r>
      <w:r>
        <w:rPr>
          <w:color w:val="231F20"/>
        </w:rPr>
        <w:t>aren’t seeing</w:t>
      </w:r>
      <w:r>
        <w:rPr>
          <w:color w:val="231F20"/>
          <w:spacing w:val="15"/>
        </w:rPr>
        <w:t xml:space="preserve"> </w:t>
      </w:r>
      <w:r>
        <w:rPr>
          <w:color w:val="231F20"/>
        </w:rPr>
        <w:t>reality.</w:t>
      </w:r>
    </w:p>
    <w:p w14:paraId="59232851" w14:textId="77777777" w:rsidR="002653E8" w:rsidRDefault="003115E3">
      <w:pPr>
        <w:pStyle w:val="a3"/>
        <w:spacing w:line="264" w:lineRule="auto"/>
        <w:ind w:left="1328" w:right="1145" w:firstLine="209"/>
        <w:jc w:val="both"/>
      </w:pPr>
      <w:r>
        <w:rPr>
          <w:color w:val="231F20"/>
        </w:rPr>
        <w:t xml:space="preserve">The </w:t>
      </w:r>
      <w:r>
        <w:rPr>
          <w:color w:val="231F20"/>
          <w:spacing w:val="2"/>
        </w:rPr>
        <w:t xml:space="preserve">KB </w:t>
      </w:r>
      <w:r>
        <w:rPr>
          <w:color w:val="231F20"/>
        </w:rPr>
        <w:t xml:space="preserve">in Hamburg believed that the attack against the Springer Corporation was the work of right-wing extremists. Instead of engaging us in debate, they assure the police that they themselves are not guilty. And the Frankfurt KSV Frankfurt asserts, in agreement with the </w:t>
      </w:r>
      <w:r>
        <w:rPr>
          <w:i/>
          <w:color w:val="231F20"/>
        </w:rPr>
        <w:t>Rundshau</w:t>
      </w:r>
      <w:r>
        <w:rPr>
          <w:color w:val="231F20"/>
        </w:rPr>
        <w:t xml:space="preserve">, that the recent bomb attacks have nothing to do with the class struggle in </w:t>
      </w:r>
      <w:r>
        <w:rPr>
          <w:color w:val="231F20"/>
          <w:spacing w:val="-3"/>
        </w:rPr>
        <w:t xml:space="preserve">West </w:t>
      </w:r>
      <w:r>
        <w:rPr>
          <w:color w:val="231F20"/>
        </w:rPr>
        <w:t>Germany and Berlin. These comrades no longer understand what’s going</w:t>
      </w:r>
      <w:r>
        <w:rPr>
          <w:color w:val="231F20"/>
          <w:spacing w:val="32"/>
        </w:rPr>
        <w:t xml:space="preserve"> </w:t>
      </w:r>
      <w:r>
        <w:rPr>
          <w:color w:val="231F20"/>
        </w:rPr>
        <w:t>on.</w:t>
      </w:r>
    </w:p>
    <w:p w14:paraId="34CE7E73" w14:textId="77777777" w:rsidR="002653E8" w:rsidRDefault="003115E3">
      <w:pPr>
        <w:pStyle w:val="a3"/>
        <w:spacing w:line="264" w:lineRule="auto"/>
        <w:ind w:left="1328" w:right="1145" w:firstLine="209"/>
        <w:jc w:val="both"/>
      </w:pPr>
      <w:r>
        <w:rPr>
          <w:color w:val="231F20"/>
        </w:rPr>
        <w:t xml:space="preserve">Although they now understand that Genscher didn’t call out the police for show, that the murders of Petra, Georg, and Thomas were not mistakes on the part of the system, that the </w:t>
      </w:r>
      <w:r>
        <w:rPr>
          <w:i/>
          <w:color w:val="231F20"/>
        </w:rPr>
        <w:t xml:space="preserve">Kripo </w:t>
      </w:r>
      <w:r>
        <w:rPr>
          <w:color w:val="231F20"/>
        </w:rPr>
        <w:t>was responsible for the destruction of strike centrals during the strikes last year, that the Emergency Laws weren’t adopted just for the fun of it, that the banning of foreigners’ organizations isn’t just for show and that over sixty prisoners are being abused in prison—although they know all of this full  well, they still believe it is too early to begin to resist.</w:t>
      </w:r>
    </w:p>
    <w:p w14:paraId="70D5BF24" w14:textId="77777777" w:rsidR="002653E8" w:rsidRDefault="003115E3">
      <w:pPr>
        <w:pStyle w:val="a3"/>
        <w:spacing w:line="264" w:lineRule="auto"/>
        <w:ind w:left="1328" w:right="1145" w:firstLine="210"/>
        <w:jc w:val="both"/>
      </w:pPr>
      <w:r>
        <w:rPr>
          <w:color w:val="231F20"/>
        </w:rPr>
        <w:t xml:space="preserve">They protest the death penalty in Persia and in  </w:t>
      </w:r>
      <w:r>
        <w:rPr>
          <w:color w:val="231F20"/>
          <w:spacing w:val="-3"/>
        </w:rPr>
        <w:t xml:space="preserve">Turkey;  </w:t>
      </w:r>
      <w:r>
        <w:rPr>
          <w:color w:val="231F20"/>
        </w:rPr>
        <w:t>they wish  the Palestinian resistance success; they protest the terror in Greece and Spain; they protest the complicity of the system with fascist regimes— but they are afraid to intervene or to act. They are clearly afraid to arrive at the obvious conclusion. They hide behind the masses and present their</w:t>
      </w:r>
      <w:r>
        <w:rPr>
          <w:color w:val="231F20"/>
          <w:spacing w:val="8"/>
        </w:rPr>
        <w:t xml:space="preserve"> </w:t>
      </w:r>
      <w:r>
        <w:rPr>
          <w:color w:val="231F20"/>
        </w:rPr>
        <w:t>problem</w:t>
      </w:r>
      <w:r>
        <w:rPr>
          <w:color w:val="231F20"/>
          <w:spacing w:val="8"/>
        </w:rPr>
        <w:t xml:space="preserve"> </w:t>
      </w:r>
      <w:r>
        <w:rPr>
          <w:color w:val="231F20"/>
        </w:rPr>
        <w:t>as</w:t>
      </w:r>
      <w:r>
        <w:rPr>
          <w:color w:val="231F20"/>
          <w:spacing w:val="8"/>
        </w:rPr>
        <w:t xml:space="preserve"> </w:t>
      </w:r>
      <w:r>
        <w:rPr>
          <w:color w:val="231F20"/>
        </w:rPr>
        <w:t>one</w:t>
      </w:r>
      <w:r>
        <w:rPr>
          <w:color w:val="231F20"/>
          <w:spacing w:val="8"/>
        </w:rPr>
        <w:t xml:space="preserve"> </w:t>
      </w:r>
      <w:r>
        <w:rPr>
          <w:color w:val="231F20"/>
        </w:rPr>
        <w:t>located</w:t>
      </w:r>
      <w:r>
        <w:rPr>
          <w:color w:val="231F20"/>
          <w:spacing w:val="8"/>
        </w:rPr>
        <w:t xml:space="preserve"> </w:t>
      </w:r>
      <w:r>
        <w:rPr>
          <w:color w:val="231F20"/>
        </w:rPr>
        <w:t>outside</w:t>
      </w:r>
      <w:r>
        <w:rPr>
          <w:color w:val="231F20"/>
          <w:spacing w:val="8"/>
        </w:rPr>
        <w:t xml:space="preserve"> </w:t>
      </w:r>
      <w:r>
        <w:rPr>
          <w:color w:val="231F20"/>
        </w:rPr>
        <w:t>of</w:t>
      </w:r>
      <w:r>
        <w:rPr>
          <w:color w:val="231F20"/>
          <w:spacing w:val="8"/>
        </w:rPr>
        <w:t xml:space="preserve"> </w:t>
      </w:r>
      <w:r>
        <w:rPr>
          <w:color w:val="231F20"/>
        </w:rPr>
        <w:t>themselves.</w:t>
      </w:r>
    </w:p>
    <w:p w14:paraId="5312BF37" w14:textId="77777777" w:rsidR="002653E8" w:rsidRDefault="003115E3">
      <w:pPr>
        <w:pStyle w:val="a3"/>
        <w:spacing w:line="264" w:lineRule="auto"/>
        <w:ind w:left="1328" w:right="1145" w:firstLine="210"/>
        <w:jc w:val="both"/>
      </w:pPr>
      <w:r>
        <w:rPr>
          <w:color w:val="231F20"/>
          <w:spacing w:val="-5"/>
        </w:rPr>
        <w:t xml:space="preserve">We </w:t>
      </w:r>
      <w:r>
        <w:rPr>
          <w:color w:val="231F20"/>
        </w:rPr>
        <w:t xml:space="preserve">see things differently than these comrades. </w:t>
      </w:r>
      <w:r>
        <w:rPr>
          <w:color w:val="231F20"/>
          <w:spacing w:val="-5"/>
        </w:rPr>
        <w:t xml:space="preserve">We </w:t>
      </w:r>
      <w:r>
        <w:rPr>
          <w:color w:val="231F20"/>
        </w:rPr>
        <w:t>are of the opin ion that the hateful assembly-lines and piecework in the factories have gotten so bad that hardly anyone has any illusions any more about the fact that corporate profits require irreparable damage to the health of the workers. The masses already know that in the Federal  Republic they must work themselves to death because that is the source of their employers’ profits, that the factory workers already know who they’re working</w:t>
      </w:r>
      <w:r>
        <w:rPr>
          <w:color w:val="231F20"/>
          <w:spacing w:val="10"/>
        </w:rPr>
        <w:t xml:space="preserve"> </w:t>
      </w:r>
      <w:r>
        <w:rPr>
          <w:color w:val="231F20"/>
        </w:rPr>
        <w:t>for—soon</w:t>
      </w:r>
      <w:r>
        <w:rPr>
          <w:color w:val="231F20"/>
          <w:spacing w:val="10"/>
        </w:rPr>
        <w:t xml:space="preserve"> </w:t>
      </w:r>
      <w:r>
        <w:rPr>
          <w:color w:val="231F20"/>
        </w:rPr>
        <w:t>it</w:t>
      </w:r>
      <w:r>
        <w:rPr>
          <w:color w:val="231F20"/>
          <w:spacing w:val="10"/>
        </w:rPr>
        <w:t xml:space="preserve"> </w:t>
      </w:r>
      <w:r>
        <w:rPr>
          <w:color w:val="231F20"/>
        </w:rPr>
        <w:t>will</w:t>
      </w:r>
      <w:r>
        <w:rPr>
          <w:color w:val="231F20"/>
          <w:spacing w:val="10"/>
        </w:rPr>
        <w:t xml:space="preserve"> </w:t>
      </w:r>
      <w:r>
        <w:rPr>
          <w:color w:val="231F20"/>
        </w:rPr>
        <w:t>be</w:t>
      </w:r>
      <w:r>
        <w:rPr>
          <w:color w:val="231F20"/>
          <w:spacing w:val="10"/>
        </w:rPr>
        <w:t xml:space="preserve"> </w:t>
      </w:r>
      <w:r>
        <w:rPr>
          <w:color w:val="231F20"/>
        </w:rPr>
        <w:t>for</w:t>
      </w:r>
      <w:r>
        <w:rPr>
          <w:color w:val="231F20"/>
          <w:spacing w:val="10"/>
        </w:rPr>
        <w:t xml:space="preserve"> </w:t>
      </w:r>
      <w:r>
        <w:rPr>
          <w:color w:val="231F20"/>
        </w:rPr>
        <w:t>themselves.</w:t>
      </w:r>
    </w:p>
    <w:p w14:paraId="113E73A1" w14:textId="77777777" w:rsidR="002653E8" w:rsidRDefault="002653E8">
      <w:pPr>
        <w:spacing w:line="264" w:lineRule="auto"/>
        <w:jc w:val="both"/>
        <w:sectPr w:rsidR="002653E8">
          <w:footerReference w:type="even" r:id="rId159"/>
          <w:footerReference w:type="default" r:id="rId160"/>
          <w:pgSz w:w="8640" w:h="12960"/>
          <w:pgMar w:top="1220" w:right="0" w:bottom="1040" w:left="0" w:header="0" w:footer="850" w:gutter="0"/>
          <w:pgNumType w:start="183"/>
          <w:cols w:space="720"/>
        </w:sectPr>
      </w:pPr>
    </w:p>
    <w:p w14:paraId="23E6A861" w14:textId="77777777" w:rsidR="002653E8" w:rsidRDefault="003115E3">
      <w:pPr>
        <w:pStyle w:val="a3"/>
        <w:spacing w:before="86" w:line="264" w:lineRule="auto"/>
        <w:ind w:left="1147" w:right="1325" w:firstLine="210"/>
        <w:jc w:val="both"/>
      </w:pPr>
      <w:r>
        <w:rPr>
          <w:color w:val="231F20"/>
          <w:spacing w:val="-5"/>
        </w:rPr>
        <w:lastRenderedPageBreak/>
        <w:t xml:space="preserve">We </w:t>
      </w:r>
      <w:r>
        <w:rPr>
          <w:color w:val="231F20"/>
        </w:rPr>
        <w:t>are of the opinion that the problem these comrades see as lying elsewhere is their own subjective problem, that they project onto the masses their own lack of clarity. They want to identify their own inability—an inability to express solidarity with the masses because of their own privileged class position—as lying with the masses, to present it as an</w:t>
      </w:r>
      <w:r>
        <w:rPr>
          <w:color w:val="231F20"/>
          <w:spacing w:val="-3"/>
        </w:rPr>
        <w:t xml:space="preserve"> </w:t>
      </w:r>
      <w:r>
        <w:rPr>
          <w:color w:val="231F20"/>
        </w:rPr>
        <w:t>objective</w:t>
      </w:r>
      <w:r>
        <w:rPr>
          <w:color w:val="231F20"/>
          <w:spacing w:val="-3"/>
        </w:rPr>
        <w:t xml:space="preserve"> </w:t>
      </w:r>
      <w:r>
        <w:rPr>
          <w:color w:val="231F20"/>
        </w:rPr>
        <w:t>problem</w:t>
      </w:r>
      <w:r>
        <w:rPr>
          <w:color w:val="231F20"/>
          <w:spacing w:val="-3"/>
        </w:rPr>
        <w:t xml:space="preserve"> </w:t>
      </w:r>
      <w:r>
        <w:rPr>
          <w:color w:val="231F20"/>
        </w:rPr>
        <w:t>based</w:t>
      </w:r>
      <w:r>
        <w:rPr>
          <w:color w:val="231F20"/>
          <w:spacing w:val="-3"/>
        </w:rPr>
        <w:t xml:space="preserve"> </w:t>
      </w:r>
      <w:r>
        <w:rPr>
          <w:color w:val="231F20"/>
        </w:rPr>
        <w:t>in</w:t>
      </w:r>
      <w:r>
        <w:rPr>
          <w:color w:val="231F20"/>
          <w:spacing w:val="-3"/>
        </w:rPr>
        <w:t xml:space="preserve"> </w:t>
      </w:r>
      <w:r>
        <w:rPr>
          <w:color w:val="231F20"/>
        </w:rPr>
        <w:t>the</w:t>
      </w:r>
      <w:r>
        <w:rPr>
          <w:color w:val="231F20"/>
          <w:spacing w:val="-3"/>
        </w:rPr>
        <w:t xml:space="preserve"> </w:t>
      </w:r>
      <w:r>
        <w:rPr>
          <w:color w:val="231F20"/>
        </w:rPr>
        <w:t>masses’</w:t>
      </w:r>
      <w:r>
        <w:rPr>
          <w:color w:val="231F20"/>
          <w:spacing w:val="-3"/>
        </w:rPr>
        <w:t xml:space="preserve"> </w:t>
      </w:r>
      <w:r>
        <w:rPr>
          <w:color w:val="231F20"/>
        </w:rPr>
        <w:t>need</w:t>
      </w:r>
      <w:r>
        <w:rPr>
          <w:color w:val="231F20"/>
          <w:spacing w:val="-3"/>
        </w:rPr>
        <w:t xml:space="preserve"> </w:t>
      </w:r>
      <w:r>
        <w:rPr>
          <w:color w:val="231F20"/>
        </w:rPr>
        <w:t>to</w:t>
      </w:r>
      <w:r>
        <w:rPr>
          <w:color w:val="231F20"/>
          <w:spacing w:val="-3"/>
        </w:rPr>
        <w:t xml:space="preserve"> </w:t>
      </w:r>
      <w:r>
        <w:rPr>
          <w:color w:val="231F20"/>
        </w:rPr>
        <w:t>develop</w:t>
      </w:r>
      <w:r>
        <w:rPr>
          <w:color w:val="231F20"/>
          <w:spacing w:val="-3"/>
        </w:rPr>
        <w:t xml:space="preserve"> </w:t>
      </w:r>
      <w:r>
        <w:rPr>
          <w:color w:val="231F20"/>
        </w:rPr>
        <w:t>a</w:t>
      </w:r>
      <w:r>
        <w:rPr>
          <w:color w:val="231F20"/>
          <w:spacing w:val="-3"/>
        </w:rPr>
        <w:t xml:space="preserve"> </w:t>
      </w:r>
      <w:r>
        <w:rPr>
          <w:color w:val="231F20"/>
        </w:rPr>
        <w:t>higher</w:t>
      </w:r>
      <w:r>
        <w:rPr>
          <w:color w:val="231F20"/>
          <w:spacing w:val="-3"/>
        </w:rPr>
        <w:t xml:space="preserve"> </w:t>
      </w:r>
      <w:r>
        <w:rPr>
          <w:color w:val="231F20"/>
        </w:rPr>
        <w:t>level of</w:t>
      </w:r>
      <w:r>
        <w:rPr>
          <w:color w:val="231F20"/>
          <w:spacing w:val="10"/>
        </w:rPr>
        <w:t xml:space="preserve"> </w:t>
      </w:r>
      <w:r>
        <w:rPr>
          <w:color w:val="231F20"/>
        </w:rPr>
        <w:t>consciousness.</w:t>
      </w:r>
    </w:p>
    <w:p w14:paraId="62D65040" w14:textId="77777777" w:rsidR="002653E8" w:rsidRDefault="003115E3">
      <w:pPr>
        <w:pStyle w:val="a3"/>
        <w:spacing w:line="264" w:lineRule="auto"/>
        <w:ind w:left="1147" w:right="1326" w:firstLine="210"/>
        <w:jc w:val="both"/>
      </w:pPr>
      <w:r>
        <w:rPr>
          <w:color w:val="231F20"/>
        </w:rPr>
        <w:t xml:space="preserve">If, as occurred recently in Frankfurt, some women comrades </w:t>
      </w:r>
      <w:r>
        <w:rPr>
          <w:color w:val="231F20"/>
          <w:spacing w:val="-4"/>
        </w:rPr>
        <w:t xml:space="preserve">say, </w:t>
      </w:r>
      <w:r>
        <w:rPr>
          <w:color w:val="231F20"/>
        </w:rPr>
        <w:t>for example, that they want to take to the streets if another one of us is murdered, then that indicates it would be easy to spontaneously intervene. Which is to say: the problem of agency is, as Springer journalists put it in a headline, one of marketing and competition. Political con tent as the commodity, the masses as the market. So they are ready to moan about imperialist crimes, but not to prevent them with clubs and bombs. For the imperialists, the assembly lines are still not going fast enough and the time required must be further reduced. They will consume</w:t>
      </w:r>
      <w:r>
        <w:rPr>
          <w:color w:val="231F20"/>
          <w:spacing w:val="10"/>
        </w:rPr>
        <w:t xml:space="preserve"> </w:t>
      </w:r>
      <w:r>
        <w:rPr>
          <w:color w:val="231F20"/>
        </w:rPr>
        <w:t>as</w:t>
      </w:r>
      <w:r>
        <w:rPr>
          <w:color w:val="231F20"/>
          <w:spacing w:val="10"/>
        </w:rPr>
        <w:t xml:space="preserve"> </w:t>
      </w:r>
      <w:r>
        <w:rPr>
          <w:color w:val="231F20"/>
        </w:rPr>
        <w:t>much</w:t>
      </w:r>
      <w:r>
        <w:rPr>
          <w:color w:val="231F20"/>
          <w:spacing w:val="10"/>
        </w:rPr>
        <w:t xml:space="preserve"> </w:t>
      </w:r>
      <w:r>
        <w:rPr>
          <w:color w:val="231F20"/>
        </w:rPr>
        <w:t>as</w:t>
      </w:r>
      <w:r>
        <w:rPr>
          <w:color w:val="231F20"/>
          <w:spacing w:val="10"/>
        </w:rPr>
        <w:t xml:space="preserve"> </w:t>
      </w:r>
      <w:r>
        <w:rPr>
          <w:color w:val="231F20"/>
        </w:rPr>
        <w:t>they</w:t>
      </w:r>
      <w:r>
        <w:rPr>
          <w:color w:val="231F20"/>
          <w:spacing w:val="10"/>
        </w:rPr>
        <w:t xml:space="preserve"> </w:t>
      </w:r>
      <w:r>
        <w:rPr>
          <w:color w:val="231F20"/>
        </w:rPr>
        <w:t>can</w:t>
      </w:r>
      <w:r>
        <w:rPr>
          <w:color w:val="231F20"/>
          <w:spacing w:val="10"/>
        </w:rPr>
        <w:t xml:space="preserve"> </w:t>
      </w:r>
      <w:r>
        <w:rPr>
          <w:color w:val="231F20"/>
        </w:rPr>
        <w:t>extract.</w:t>
      </w:r>
    </w:p>
    <w:p w14:paraId="52D19E3C" w14:textId="77777777" w:rsidR="002653E8" w:rsidRDefault="003115E3">
      <w:pPr>
        <w:pStyle w:val="a3"/>
        <w:spacing w:line="264" w:lineRule="auto"/>
        <w:ind w:left="1135" w:right="1325" w:firstLine="210"/>
        <w:jc w:val="right"/>
      </w:pPr>
      <w:r>
        <w:rPr>
          <w:color w:val="231F20"/>
        </w:rPr>
        <w:t>There is no reason for further delay in addressing the problem of</w:t>
      </w:r>
      <w:r>
        <w:rPr>
          <w:color w:val="231F20"/>
          <w:w w:val="109"/>
        </w:rPr>
        <w:t xml:space="preserve"> </w:t>
      </w:r>
      <w:r>
        <w:rPr>
          <w:color w:val="231F20"/>
        </w:rPr>
        <w:t>armed struggle and resistance. Reduced hours, lay-offs, strikes, two</w:t>
      </w:r>
      <w:r>
        <w:rPr>
          <w:color w:val="231F20"/>
          <w:w w:val="104"/>
        </w:rPr>
        <w:t xml:space="preserve"> </w:t>
      </w:r>
      <w:r>
        <w:rPr>
          <w:color w:val="231F20"/>
        </w:rPr>
        <w:t>million foreign workers, “</w:t>
      </w:r>
      <w:r>
        <w:rPr>
          <w:i/>
          <w:color w:val="231F20"/>
        </w:rPr>
        <w:t xml:space="preserve">Bild </w:t>
      </w:r>
      <w:r>
        <w:rPr>
          <w:color w:val="231F20"/>
        </w:rPr>
        <w:t>fights for you!”, “the extortionist of the</w:t>
      </w:r>
      <w:r>
        <w:rPr>
          <w:color w:val="231F20"/>
          <w:w w:val="91"/>
        </w:rPr>
        <w:t xml:space="preserve"> </w:t>
      </w:r>
      <w:r>
        <w:rPr>
          <w:color w:val="231F20"/>
        </w:rPr>
        <w:t xml:space="preserve">week” in </w:t>
      </w:r>
      <w:r>
        <w:rPr>
          <w:i/>
          <w:color w:val="231F20"/>
        </w:rPr>
        <w:t>Stern</w:t>
      </w:r>
      <w:r>
        <w:rPr>
          <w:color w:val="231F20"/>
        </w:rPr>
        <w:t>, Citizens Initiatives, squatted houses—there is hardly</w:t>
      </w:r>
      <w:r>
        <w:rPr>
          <w:color w:val="231F20"/>
          <w:w w:val="99"/>
        </w:rPr>
        <w:t xml:space="preserve"> </w:t>
      </w:r>
      <w:r>
        <w:rPr>
          <w:color w:val="231F20"/>
        </w:rPr>
        <w:t>any area in which the system can maintain its facade. The people’s desires must be unified and transformed into an organized leap forward.</w:t>
      </w:r>
      <w:r>
        <w:rPr>
          <w:color w:val="231F20"/>
          <w:w w:val="135"/>
        </w:rPr>
        <w:t xml:space="preserve"> </w:t>
      </w:r>
      <w:r>
        <w:rPr>
          <w:color w:val="231F20"/>
        </w:rPr>
        <w:t>This greed-driven system is ravaging the cities. Teachers must learn to muzzle themselves or they are fired. The mass media has been purged of  decent critical journalists. Riot police are mobilized against strike</w:t>
      </w:r>
      <w:r>
        <w:rPr>
          <w:color w:val="231F20"/>
          <w:w w:val="91"/>
        </w:rPr>
        <w:t xml:space="preserve"> </w:t>
      </w:r>
      <w:r>
        <w:rPr>
          <w:color w:val="231F20"/>
        </w:rPr>
        <w:t>centrals. Rulings of the Federal Labor Court prepare the way to criminalize future strikes. The BKA hopes to eliminate the remaining press</w:t>
      </w:r>
      <w:r>
        <w:rPr>
          <w:color w:val="231F20"/>
          <w:w w:val="90"/>
        </w:rPr>
        <w:t xml:space="preserve"> </w:t>
      </w:r>
      <w:r>
        <w:rPr>
          <w:color w:val="231F20"/>
        </w:rPr>
        <w:t>freedoms. They are not waiting for the legal left to take up the armed struggle before proceeding with this. It’s happening now; it has begun.</w:t>
      </w:r>
    </w:p>
    <w:p w14:paraId="4EB04EB8" w14:textId="77777777" w:rsidR="002653E8" w:rsidRDefault="003115E3">
      <w:pPr>
        <w:pStyle w:val="a3"/>
        <w:spacing w:line="221" w:lineRule="exact"/>
        <w:ind w:left="1147"/>
      </w:pPr>
      <w:r>
        <w:rPr>
          <w:color w:val="231F20"/>
        </w:rPr>
        <w:t>Is this the point when you will start to resist—or are you still waiting</w:t>
      </w:r>
    </w:p>
    <w:p w14:paraId="5CC8CA66" w14:textId="77777777" w:rsidR="002653E8" w:rsidRDefault="003115E3">
      <w:pPr>
        <w:pStyle w:val="a3"/>
        <w:spacing w:before="4"/>
        <w:ind w:left="1147"/>
      </w:pPr>
      <w:r>
        <w:rPr>
          <w:color w:val="231F20"/>
        </w:rPr>
        <w:t>for something?</w:t>
      </w:r>
    </w:p>
    <w:p w14:paraId="1E0997EE" w14:textId="77777777" w:rsidR="002653E8" w:rsidRDefault="003115E3">
      <w:pPr>
        <w:pStyle w:val="a3"/>
        <w:spacing w:before="22" w:line="264" w:lineRule="auto"/>
        <w:ind w:left="1147" w:right="1326" w:firstLine="210"/>
        <w:jc w:val="both"/>
      </w:pPr>
      <w:r>
        <w:rPr>
          <w:color w:val="231F20"/>
        </w:rPr>
        <w:t>Comrades, stop hiding behind the masses! Stop shifting the question of resistance to the masses! Stop rationalizing your fear of the system’s excessive violence as a problem of agency! Stop presenting your confusion as erudition and your helplessness as a broad perspective!</w:t>
      </w:r>
    </w:p>
    <w:p w14:paraId="71163603" w14:textId="77777777" w:rsidR="002653E8" w:rsidRDefault="003115E3">
      <w:pPr>
        <w:pStyle w:val="a3"/>
        <w:spacing w:line="264" w:lineRule="auto"/>
        <w:ind w:left="1147" w:right="1326" w:firstLine="210"/>
        <w:jc w:val="both"/>
      </w:pPr>
      <w:r>
        <w:rPr>
          <w:color w:val="231F20"/>
        </w:rPr>
        <w:t>The system is now producing contradictions at such a rate that they can no longer be integrated, and the masses no longer believe talk of reforms. It is equally true that the guerilla can only be anchored in the people to the degree that we carry out appropriate actions and you</w:t>
      </w:r>
    </w:p>
    <w:p w14:paraId="7C2305E6" w14:textId="77777777" w:rsidR="002653E8" w:rsidRDefault="002653E8">
      <w:pPr>
        <w:spacing w:line="264" w:lineRule="auto"/>
        <w:jc w:val="both"/>
        <w:sectPr w:rsidR="002653E8">
          <w:pgSz w:w="8640" w:h="12960"/>
          <w:pgMar w:top="1060" w:right="0" w:bottom="1040" w:left="0" w:header="0" w:footer="850" w:gutter="0"/>
          <w:cols w:space="720"/>
        </w:sectPr>
      </w:pPr>
    </w:p>
    <w:p w14:paraId="66A64FA6" w14:textId="77777777" w:rsidR="002653E8" w:rsidRDefault="003115E3">
      <w:pPr>
        <w:pStyle w:val="a3"/>
        <w:spacing w:before="86" w:line="264" w:lineRule="auto"/>
        <w:ind w:left="1328" w:right="1145" w:hanging="1"/>
        <w:jc w:val="both"/>
      </w:pPr>
      <w:r>
        <w:rPr>
          <w:color w:val="231F20"/>
        </w:rPr>
        <w:lastRenderedPageBreak/>
        <w:t>make effective propaganda. For this to happen, the revolutionary process and revolutionary consciousness must be developed further; the consciousness that action is justified—and possible!</w:t>
      </w:r>
    </w:p>
    <w:p w14:paraId="154A8054" w14:textId="77777777" w:rsidR="002653E8" w:rsidRDefault="003115E3">
      <w:pPr>
        <w:pStyle w:val="a3"/>
        <w:spacing w:line="264" w:lineRule="auto"/>
        <w:ind w:left="1327" w:right="1145" w:firstLine="210"/>
        <w:jc w:val="both"/>
      </w:pPr>
      <w:r>
        <w:rPr>
          <w:color w:val="231F20"/>
          <w:w w:val="105"/>
        </w:rPr>
        <w:t>When</w:t>
      </w:r>
      <w:r>
        <w:rPr>
          <w:color w:val="231F20"/>
          <w:spacing w:val="-16"/>
          <w:w w:val="105"/>
        </w:rPr>
        <w:t xml:space="preserve"> </w:t>
      </w:r>
      <w:r>
        <w:rPr>
          <w:color w:val="231F20"/>
          <w:w w:val="105"/>
        </w:rPr>
        <w:t>we</w:t>
      </w:r>
      <w:r>
        <w:rPr>
          <w:color w:val="231F20"/>
          <w:spacing w:val="-16"/>
          <w:w w:val="105"/>
        </w:rPr>
        <w:t xml:space="preserve"> </w:t>
      </w:r>
      <w:r>
        <w:rPr>
          <w:color w:val="231F20"/>
          <w:w w:val="105"/>
        </w:rPr>
        <w:t>build</w:t>
      </w:r>
      <w:r>
        <w:rPr>
          <w:color w:val="231F20"/>
          <w:spacing w:val="-16"/>
          <w:w w:val="105"/>
        </w:rPr>
        <w:t xml:space="preserve"> </w:t>
      </w:r>
      <w:r>
        <w:rPr>
          <w:color w:val="231F20"/>
          <w:w w:val="105"/>
        </w:rPr>
        <w:t>the</w:t>
      </w:r>
      <w:r>
        <w:rPr>
          <w:color w:val="231F20"/>
          <w:spacing w:val="-16"/>
          <w:w w:val="105"/>
        </w:rPr>
        <w:t xml:space="preserve"> </w:t>
      </w:r>
      <w:r>
        <w:rPr>
          <w:color w:val="231F20"/>
          <w:w w:val="105"/>
        </w:rPr>
        <w:t>revolutionary</w:t>
      </w:r>
      <w:r>
        <w:rPr>
          <w:color w:val="231F20"/>
          <w:spacing w:val="-16"/>
          <w:w w:val="105"/>
        </w:rPr>
        <w:t xml:space="preserve"> </w:t>
      </w:r>
      <w:r>
        <w:rPr>
          <w:color w:val="231F20"/>
          <w:w w:val="105"/>
        </w:rPr>
        <w:t>guerilla,</w:t>
      </w:r>
      <w:r>
        <w:rPr>
          <w:color w:val="231F20"/>
          <w:spacing w:val="-16"/>
          <w:w w:val="105"/>
        </w:rPr>
        <w:t xml:space="preserve"> </w:t>
      </w:r>
      <w:r>
        <w:rPr>
          <w:color w:val="231F20"/>
          <w:w w:val="105"/>
        </w:rPr>
        <w:t>we</w:t>
      </w:r>
      <w:r>
        <w:rPr>
          <w:color w:val="231F20"/>
          <w:spacing w:val="-16"/>
          <w:w w:val="105"/>
        </w:rPr>
        <w:t xml:space="preserve"> </w:t>
      </w:r>
      <w:r>
        <w:rPr>
          <w:color w:val="231F20"/>
          <w:w w:val="105"/>
        </w:rPr>
        <w:t>are</w:t>
      </w:r>
      <w:r>
        <w:rPr>
          <w:color w:val="231F20"/>
          <w:spacing w:val="-16"/>
          <w:w w:val="105"/>
        </w:rPr>
        <w:t xml:space="preserve"> </w:t>
      </w:r>
      <w:r>
        <w:rPr>
          <w:color w:val="231F20"/>
          <w:w w:val="105"/>
        </w:rPr>
        <w:t>creating</w:t>
      </w:r>
      <w:r>
        <w:rPr>
          <w:color w:val="231F20"/>
          <w:spacing w:val="-16"/>
          <w:w w:val="105"/>
        </w:rPr>
        <w:t xml:space="preserve"> </w:t>
      </w:r>
      <w:r>
        <w:rPr>
          <w:color w:val="231F20"/>
          <w:w w:val="105"/>
        </w:rPr>
        <w:t>an</w:t>
      </w:r>
      <w:r>
        <w:rPr>
          <w:color w:val="231F20"/>
          <w:spacing w:val="-16"/>
          <w:w w:val="105"/>
        </w:rPr>
        <w:t xml:space="preserve"> </w:t>
      </w:r>
      <w:r>
        <w:rPr>
          <w:color w:val="231F20"/>
          <w:w w:val="105"/>
        </w:rPr>
        <w:t>instrument</w:t>
      </w:r>
      <w:r>
        <w:rPr>
          <w:color w:val="231F20"/>
          <w:spacing w:val="-14"/>
          <w:w w:val="105"/>
        </w:rPr>
        <w:t xml:space="preserve"> </w:t>
      </w:r>
      <w:r>
        <w:rPr>
          <w:color w:val="231F20"/>
          <w:w w:val="105"/>
        </w:rPr>
        <w:t>that</w:t>
      </w:r>
      <w:r>
        <w:rPr>
          <w:color w:val="231F20"/>
          <w:spacing w:val="-14"/>
          <w:w w:val="105"/>
        </w:rPr>
        <w:t xml:space="preserve"> </w:t>
      </w:r>
      <w:r>
        <w:rPr>
          <w:color w:val="231F20"/>
          <w:w w:val="105"/>
        </w:rPr>
        <w:t>is</w:t>
      </w:r>
      <w:r>
        <w:rPr>
          <w:color w:val="231F20"/>
          <w:spacing w:val="-14"/>
          <w:w w:val="105"/>
        </w:rPr>
        <w:t xml:space="preserve"> </w:t>
      </w:r>
      <w:r>
        <w:rPr>
          <w:color w:val="231F20"/>
          <w:w w:val="105"/>
        </w:rPr>
        <w:t>beyond</w:t>
      </w:r>
      <w:r>
        <w:rPr>
          <w:color w:val="231F20"/>
          <w:spacing w:val="-14"/>
          <w:w w:val="105"/>
        </w:rPr>
        <w:t xml:space="preserve"> </w:t>
      </w:r>
      <w:r>
        <w:rPr>
          <w:color w:val="231F20"/>
          <w:w w:val="105"/>
        </w:rPr>
        <w:t>the</w:t>
      </w:r>
      <w:r>
        <w:rPr>
          <w:color w:val="231F20"/>
          <w:spacing w:val="-14"/>
          <w:w w:val="105"/>
        </w:rPr>
        <w:t xml:space="preserve"> </w:t>
      </w:r>
      <w:r>
        <w:rPr>
          <w:color w:val="231F20"/>
          <w:w w:val="105"/>
        </w:rPr>
        <w:t>reach</w:t>
      </w:r>
      <w:r>
        <w:rPr>
          <w:color w:val="231F20"/>
          <w:spacing w:val="-14"/>
          <w:w w:val="105"/>
        </w:rPr>
        <w:t xml:space="preserve"> </w:t>
      </w:r>
      <w:r>
        <w:rPr>
          <w:color w:val="231F20"/>
          <w:w w:val="105"/>
        </w:rPr>
        <w:t>of</w:t>
      </w:r>
      <w:r>
        <w:rPr>
          <w:color w:val="231F20"/>
          <w:spacing w:val="-14"/>
          <w:w w:val="105"/>
        </w:rPr>
        <w:t xml:space="preserve"> </w:t>
      </w:r>
      <w:r>
        <w:rPr>
          <w:color w:val="231F20"/>
          <w:w w:val="105"/>
        </w:rPr>
        <w:t>the</w:t>
      </w:r>
      <w:r>
        <w:rPr>
          <w:color w:val="231F20"/>
          <w:spacing w:val="-14"/>
          <w:w w:val="105"/>
        </w:rPr>
        <w:t xml:space="preserve"> </w:t>
      </w:r>
      <w:r>
        <w:rPr>
          <w:color w:val="231F20"/>
          <w:w w:val="105"/>
        </w:rPr>
        <w:t>system’s</w:t>
      </w:r>
      <w:r>
        <w:rPr>
          <w:color w:val="231F20"/>
          <w:spacing w:val="-14"/>
          <w:w w:val="105"/>
        </w:rPr>
        <w:t xml:space="preserve"> </w:t>
      </w:r>
      <w:r>
        <w:rPr>
          <w:color w:val="231F20"/>
          <w:w w:val="105"/>
        </w:rPr>
        <w:t>repression,</w:t>
      </w:r>
      <w:r>
        <w:rPr>
          <w:color w:val="231F20"/>
          <w:spacing w:val="-14"/>
          <w:w w:val="105"/>
        </w:rPr>
        <w:t xml:space="preserve"> </w:t>
      </w:r>
      <w:r>
        <w:rPr>
          <w:color w:val="231F20"/>
          <w:w w:val="105"/>
        </w:rPr>
        <w:t>that</w:t>
      </w:r>
      <w:r>
        <w:rPr>
          <w:color w:val="231F20"/>
          <w:spacing w:val="-14"/>
          <w:w w:val="105"/>
        </w:rPr>
        <w:t xml:space="preserve"> </w:t>
      </w:r>
      <w:r>
        <w:rPr>
          <w:color w:val="231F20"/>
          <w:w w:val="105"/>
        </w:rPr>
        <w:t>does</w:t>
      </w:r>
      <w:r>
        <w:rPr>
          <w:color w:val="231F20"/>
          <w:spacing w:val="-14"/>
          <w:w w:val="105"/>
        </w:rPr>
        <w:t xml:space="preserve"> </w:t>
      </w:r>
      <w:r>
        <w:rPr>
          <w:color w:val="231F20"/>
          <w:w w:val="105"/>
        </w:rPr>
        <w:t>not depend on the system’s tolerance for its capacity to act, that does not have</w:t>
      </w:r>
      <w:r>
        <w:rPr>
          <w:color w:val="231F20"/>
          <w:spacing w:val="-13"/>
          <w:w w:val="105"/>
        </w:rPr>
        <w:t xml:space="preserve"> </w:t>
      </w:r>
      <w:r>
        <w:rPr>
          <w:color w:val="231F20"/>
          <w:w w:val="105"/>
        </w:rPr>
        <w:t>its</w:t>
      </w:r>
      <w:r>
        <w:rPr>
          <w:color w:val="231F20"/>
          <w:spacing w:val="-13"/>
          <w:w w:val="105"/>
        </w:rPr>
        <w:t xml:space="preserve"> </w:t>
      </w:r>
      <w:r>
        <w:rPr>
          <w:color w:val="231F20"/>
          <w:w w:val="105"/>
        </w:rPr>
        <w:t>room</w:t>
      </w:r>
      <w:r>
        <w:rPr>
          <w:color w:val="231F20"/>
          <w:spacing w:val="-13"/>
          <w:w w:val="105"/>
        </w:rPr>
        <w:t xml:space="preserve"> </w:t>
      </w:r>
      <w:r>
        <w:rPr>
          <w:color w:val="231F20"/>
          <w:w w:val="105"/>
        </w:rPr>
        <w:t>to</w:t>
      </w:r>
      <w:r>
        <w:rPr>
          <w:color w:val="231F20"/>
          <w:spacing w:val="-13"/>
          <w:w w:val="105"/>
        </w:rPr>
        <w:t xml:space="preserve"> </w:t>
      </w:r>
      <w:r>
        <w:rPr>
          <w:color w:val="231F20"/>
          <w:w w:val="105"/>
        </w:rPr>
        <w:t>maneuver</w:t>
      </w:r>
      <w:r>
        <w:rPr>
          <w:color w:val="231F20"/>
          <w:spacing w:val="-13"/>
          <w:w w:val="105"/>
        </w:rPr>
        <w:t xml:space="preserve"> </w:t>
      </w:r>
      <w:r>
        <w:rPr>
          <w:color w:val="231F20"/>
          <w:w w:val="105"/>
        </w:rPr>
        <w:t>determined</w:t>
      </w:r>
      <w:r>
        <w:rPr>
          <w:color w:val="231F20"/>
          <w:spacing w:val="-13"/>
          <w:w w:val="105"/>
        </w:rPr>
        <w:t xml:space="preserve"> </w:t>
      </w:r>
      <w:r>
        <w:rPr>
          <w:color w:val="231F20"/>
          <w:w w:val="105"/>
        </w:rPr>
        <w:t>by</w:t>
      </w:r>
      <w:r>
        <w:rPr>
          <w:color w:val="231F20"/>
          <w:spacing w:val="-13"/>
          <w:w w:val="105"/>
        </w:rPr>
        <w:t xml:space="preserve"> </w:t>
      </w:r>
      <w:r>
        <w:rPr>
          <w:color w:val="231F20"/>
          <w:w w:val="105"/>
        </w:rPr>
        <w:t>the</w:t>
      </w:r>
      <w:r>
        <w:rPr>
          <w:color w:val="231F20"/>
          <w:spacing w:val="-13"/>
          <w:w w:val="105"/>
        </w:rPr>
        <w:t xml:space="preserve"> </w:t>
      </w:r>
      <w:r>
        <w:rPr>
          <w:i/>
          <w:color w:val="231F20"/>
          <w:w w:val="105"/>
        </w:rPr>
        <w:t>Verfassungsshutz</w:t>
      </w:r>
      <w:r>
        <w:rPr>
          <w:color w:val="231F20"/>
          <w:w w:val="105"/>
        </w:rPr>
        <w:t>.</w:t>
      </w:r>
      <w:r>
        <w:rPr>
          <w:color w:val="231F20"/>
          <w:spacing w:val="-13"/>
          <w:w w:val="105"/>
        </w:rPr>
        <w:t xml:space="preserve"> </w:t>
      </w:r>
      <w:r>
        <w:rPr>
          <w:color w:val="231F20"/>
          <w:spacing w:val="1"/>
          <w:w w:val="105"/>
        </w:rPr>
        <w:t>If</w:t>
      </w:r>
      <w:r>
        <w:rPr>
          <w:color w:val="231F20"/>
          <w:spacing w:val="-13"/>
          <w:w w:val="105"/>
        </w:rPr>
        <w:t xml:space="preserve"> </w:t>
      </w:r>
      <w:r>
        <w:rPr>
          <w:color w:val="231F20"/>
          <w:w w:val="105"/>
        </w:rPr>
        <w:t>you are</w:t>
      </w:r>
      <w:r>
        <w:rPr>
          <w:color w:val="231F20"/>
          <w:spacing w:val="-16"/>
          <w:w w:val="105"/>
        </w:rPr>
        <w:t xml:space="preserve"> </w:t>
      </w:r>
      <w:r>
        <w:rPr>
          <w:color w:val="231F20"/>
          <w:w w:val="105"/>
        </w:rPr>
        <w:t>domesticated</w:t>
      </w:r>
      <w:r>
        <w:rPr>
          <w:color w:val="231F20"/>
          <w:spacing w:val="-16"/>
          <w:w w:val="105"/>
        </w:rPr>
        <w:t xml:space="preserve"> </w:t>
      </w:r>
      <w:r>
        <w:rPr>
          <w:color w:val="231F20"/>
          <w:w w:val="105"/>
        </w:rPr>
        <w:t>like</w:t>
      </w:r>
      <w:r>
        <w:rPr>
          <w:color w:val="231F20"/>
          <w:spacing w:val="-16"/>
          <w:w w:val="105"/>
        </w:rPr>
        <w:t xml:space="preserve"> </w:t>
      </w:r>
      <w:r>
        <w:rPr>
          <w:color w:val="231F20"/>
          <w:w w:val="105"/>
        </w:rPr>
        <w:t>Müller’s</w:t>
      </w:r>
      <w:r>
        <w:rPr>
          <w:color w:val="231F20"/>
          <w:w w:val="105"/>
          <w:position w:val="7"/>
          <w:sz w:val="11"/>
        </w:rPr>
        <w:t>1</w:t>
      </w:r>
      <w:r>
        <w:rPr>
          <w:color w:val="231F20"/>
          <w:spacing w:val="-8"/>
          <w:w w:val="105"/>
          <w:position w:val="7"/>
          <w:sz w:val="11"/>
        </w:rPr>
        <w:t xml:space="preserve"> </w:t>
      </w:r>
      <w:r>
        <w:rPr>
          <w:color w:val="231F20"/>
          <w:w w:val="105"/>
        </w:rPr>
        <w:t>demonstrators</w:t>
      </w:r>
      <w:r>
        <w:rPr>
          <w:color w:val="231F20"/>
          <w:spacing w:val="-16"/>
          <w:w w:val="105"/>
        </w:rPr>
        <w:t xml:space="preserve"> </w:t>
      </w:r>
      <w:r>
        <w:rPr>
          <w:color w:val="231F20"/>
          <w:w w:val="105"/>
        </w:rPr>
        <w:t>in</w:t>
      </w:r>
      <w:r>
        <w:rPr>
          <w:color w:val="231F20"/>
          <w:spacing w:val="-16"/>
          <w:w w:val="105"/>
        </w:rPr>
        <w:t xml:space="preserve"> </w:t>
      </w:r>
      <w:r>
        <w:rPr>
          <w:color w:val="231F20"/>
          <w:w w:val="105"/>
        </w:rPr>
        <w:t>Frankfurt</w:t>
      </w:r>
      <w:r>
        <w:rPr>
          <w:color w:val="231F20"/>
          <w:spacing w:val="-16"/>
          <w:w w:val="105"/>
        </w:rPr>
        <w:t xml:space="preserve"> </w:t>
      </w:r>
      <w:r>
        <w:rPr>
          <w:color w:val="231F20"/>
          <w:w w:val="105"/>
        </w:rPr>
        <w:t>on</w:t>
      </w:r>
      <w:r>
        <w:rPr>
          <w:color w:val="231F20"/>
          <w:spacing w:val="-16"/>
          <w:w w:val="105"/>
        </w:rPr>
        <w:t xml:space="preserve"> </w:t>
      </w:r>
      <w:r>
        <w:rPr>
          <w:color w:val="231F20"/>
          <w:w w:val="105"/>
        </w:rPr>
        <w:t>May</w:t>
      </w:r>
      <w:r>
        <w:rPr>
          <w:color w:val="231F20"/>
          <w:spacing w:val="-15"/>
          <w:w w:val="105"/>
        </w:rPr>
        <w:t xml:space="preserve"> </w:t>
      </w:r>
      <w:r>
        <w:rPr>
          <w:color w:val="231F20"/>
          <w:spacing w:val="-4"/>
          <w:w w:val="105"/>
        </w:rPr>
        <w:t xml:space="preserve">18, </w:t>
      </w:r>
      <w:r>
        <w:rPr>
          <w:color w:val="231F20"/>
          <w:w w:val="105"/>
        </w:rPr>
        <w:t>you can continue to demonstrate for some time to come, and you can celebrate</w:t>
      </w:r>
      <w:r>
        <w:rPr>
          <w:color w:val="231F20"/>
          <w:spacing w:val="-7"/>
          <w:w w:val="105"/>
        </w:rPr>
        <w:t xml:space="preserve"> </w:t>
      </w:r>
      <w:r>
        <w:rPr>
          <w:color w:val="231F20"/>
          <w:w w:val="105"/>
        </w:rPr>
        <w:t>it</w:t>
      </w:r>
      <w:r>
        <w:rPr>
          <w:color w:val="231F20"/>
          <w:spacing w:val="-7"/>
          <w:w w:val="105"/>
        </w:rPr>
        <w:t xml:space="preserve"> </w:t>
      </w:r>
      <w:r>
        <w:rPr>
          <w:color w:val="231F20"/>
          <w:w w:val="105"/>
        </w:rPr>
        <w:t>along</w:t>
      </w:r>
      <w:r>
        <w:rPr>
          <w:color w:val="231F20"/>
          <w:spacing w:val="-7"/>
          <w:w w:val="105"/>
        </w:rPr>
        <w:t xml:space="preserve"> </w:t>
      </w:r>
      <w:r>
        <w:rPr>
          <w:color w:val="231F20"/>
          <w:w w:val="105"/>
        </w:rPr>
        <w:t>with</w:t>
      </w:r>
      <w:r>
        <w:rPr>
          <w:color w:val="231F20"/>
          <w:spacing w:val="-7"/>
          <w:w w:val="105"/>
        </w:rPr>
        <w:t xml:space="preserve"> </w:t>
      </w:r>
      <w:r>
        <w:rPr>
          <w:color w:val="231F20"/>
          <w:w w:val="105"/>
        </w:rPr>
        <w:t>the</w:t>
      </w:r>
      <w:r>
        <w:rPr>
          <w:color w:val="231F20"/>
          <w:spacing w:val="-7"/>
          <w:w w:val="105"/>
        </w:rPr>
        <w:t xml:space="preserve"> </w:t>
      </w:r>
      <w:r>
        <w:rPr>
          <w:color w:val="231F20"/>
          <w:w w:val="105"/>
        </w:rPr>
        <w:t>KSV</w:t>
      </w:r>
      <w:r>
        <w:rPr>
          <w:color w:val="231F20"/>
          <w:spacing w:val="-7"/>
          <w:w w:val="105"/>
        </w:rPr>
        <w:t xml:space="preserve"> </w:t>
      </w:r>
      <w:r>
        <w:rPr>
          <w:color w:val="231F20"/>
          <w:w w:val="105"/>
        </w:rPr>
        <w:t>as</w:t>
      </w:r>
      <w:r>
        <w:rPr>
          <w:color w:val="231F20"/>
          <w:spacing w:val="-7"/>
          <w:w w:val="105"/>
        </w:rPr>
        <w:t xml:space="preserve"> </w:t>
      </w:r>
      <w:r>
        <w:rPr>
          <w:color w:val="231F20"/>
          <w:w w:val="105"/>
        </w:rPr>
        <w:t>the</w:t>
      </w:r>
      <w:r>
        <w:rPr>
          <w:color w:val="231F20"/>
          <w:spacing w:val="-7"/>
          <w:w w:val="105"/>
        </w:rPr>
        <w:t xml:space="preserve"> </w:t>
      </w:r>
      <w:r>
        <w:rPr>
          <w:color w:val="231F20"/>
          <w:w w:val="105"/>
        </w:rPr>
        <w:t>most</w:t>
      </w:r>
      <w:r>
        <w:rPr>
          <w:color w:val="231F20"/>
          <w:spacing w:val="-7"/>
          <w:w w:val="105"/>
        </w:rPr>
        <w:t xml:space="preserve"> </w:t>
      </w:r>
      <w:r>
        <w:rPr>
          <w:color w:val="231F20"/>
          <w:w w:val="105"/>
        </w:rPr>
        <w:t>powerful</w:t>
      </w:r>
      <w:r>
        <w:rPr>
          <w:color w:val="231F20"/>
          <w:spacing w:val="-7"/>
          <w:w w:val="105"/>
        </w:rPr>
        <w:t xml:space="preserve"> </w:t>
      </w:r>
      <w:r>
        <w:rPr>
          <w:color w:val="231F20"/>
          <w:w w:val="105"/>
        </w:rPr>
        <w:t>and</w:t>
      </w:r>
      <w:r>
        <w:rPr>
          <w:color w:val="231F20"/>
          <w:spacing w:val="-7"/>
          <w:w w:val="105"/>
        </w:rPr>
        <w:t xml:space="preserve"> </w:t>
      </w:r>
      <w:r>
        <w:rPr>
          <w:color w:val="231F20"/>
          <w:w w:val="105"/>
        </w:rPr>
        <w:t>most</w:t>
      </w:r>
      <w:r>
        <w:rPr>
          <w:color w:val="231F20"/>
          <w:spacing w:val="-7"/>
          <w:w w:val="105"/>
        </w:rPr>
        <w:t xml:space="preserve"> </w:t>
      </w:r>
      <w:r>
        <w:rPr>
          <w:color w:val="231F20"/>
          <w:w w:val="105"/>
        </w:rPr>
        <w:t>insular demonstration</w:t>
      </w:r>
      <w:r>
        <w:rPr>
          <w:color w:val="231F20"/>
          <w:spacing w:val="-11"/>
          <w:w w:val="105"/>
        </w:rPr>
        <w:t xml:space="preserve"> </w:t>
      </w:r>
      <w:r>
        <w:rPr>
          <w:color w:val="231F20"/>
          <w:w w:val="105"/>
        </w:rPr>
        <w:t>in</w:t>
      </w:r>
      <w:r>
        <w:rPr>
          <w:color w:val="231F20"/>
          <w:spacing w:val="-11"/>
          <w:w w:val="105"/>
        </w:rPr>
        <w:t xml:space="preserve"> </w:t>
      </w:r>
      <w:r>
        <w:rPr>
          <w:color w:val="231F20"/>
          <w:w w:val="105"/>
        </w:rPr>
        <w:t>a</w:t>
      </w:r>
      <w:r>
        <w:rPr>
          <w:color w:val="231F20"/>
          <w:spacing w:val="-11"/>
          <w:w w:val="105"/>
        </w:rPr>
        <w:t xml:space="preserve"> </w:t>
      </w:r>
      <w:r>
        <w:rPr>
          <w:color w:val="231F20"/>
          <w:w w:val="105"/>
        </w:rPr>
        <w:t>long</w:t>
      </w:r>
      <w:r>
        <w:rPr>
          <w:color w:val="231F20"/>
          <w:spacing w:val="-11"/>
          <w:w w:val="105"/>
        </w:rPr>
        <w:t xml:space="preserve"> </w:t>
      </w:r>
      <w:r>
        <w:rPr>
          <w:color w:val="231F20"/>
          <w:w w:val="105"/>
        </w:rPr>
        <w:t>time.</w:t>
      </w:r>
      <w:r>
        <w:rPr>
          <w:color w:val="231F20"/>
          <w:spacing w:val="-11"/>
          <w:w w:val="105"/>
        </w:rPr>
        <w:t xml:space="preserve"> </w:t>
      </w:r>
      <w:r>
        <w:rPr>
          <w:color w:val="231F20"/>
          <w:w w:val="105"/>
        </w:rPr>
        <w:t>Under</w:t>
      </w:r>
      <w:r>
        <w:rPr>
          <w:color w:val="231F20"/>
          <w:spacing w:val="-11"/>
          <w:w w:val="105"/>
        </w:rPr>
        <w:t xml:space="preserve"> </w:t>
      </w:r>
      <w:r>
        <w:rPr>
          <w:color w:val="231F20"/>
          <w:w w:val="105"/>
        </w:rPr>
        <w:t>the</w:t>
      </w:r>
      <w:r>
        <w:rPr>
          <w:color w:val="231F20"/>
          <w:spacing w:val="-11"/>
          <w:w w:val="105"/>
        </w:rPr>
        <w:t xml:space="preserve"> </w:t>
      </w:r>
      <w:r>
        <w:rPr>
          <w:color w:val="231F20"/>
          <w:w w:val="105"/>
        </w:rPr>
        <w:t>watchful</w:t>
      </w:r>
      <w:r>
        <w:rPr>
          <w:color w:val="231F20"/>
          <w:spacing w:val="-11"/>
          <w:w w:val="105"/>
        </w:rPr>
        <w:t xml:space="preserve"> </w:t>
      </w:r>
      <w:r>
        <w:rPr>
          <w:color w:val="231F20"/>
          <w:w w:val="105"/>
        </w:rPr>
        <w:t>eye</w:t>
      </w:r>
      <w:r>
        <w:rPr>
          <w:color w:val="231F20"/>
          <w:spacing w:val="-11"/>
          <w:w w:val="105"/>
        </w:rPr>
        <w:t xml:space="preserve"> </w:t>
      </w:r>
      <w:r>
        <w:rPr>
          <w:color w:val="231F20"/>
          <w:w w:val="105"/>
        </w:rPr>
        <w:t>of</w:t>
      </w:r>
      <w:r>
        <w:rPr>
          <w:color w:val="231F20"/>
          <w:spacing w:val="-11"/>
          <w:w w:val="105"/>
        </w:rPr>
        <w:t xml:space="preserve"> </w:t>
      </w:r>
      <w:r>
        <w:rPr>
          <w:color w:val="231F20"/>
          <w:w w:val="105"/>
        </w:rPr>
        <w:t>the</w:t>
      </w:r>
      <w:r>
        <w:rPr>
          <w:color w:val="231F20"/>
          <w:spacing w:val="-11"/>
          <w:w w:val="105"/>
        </w:rPr>
        <w:t xml:space="preserve"> </w:t>
      </w:r>
      <w:r>
        <w:rPr>
          <w:color w:val="231F20"/>
          <w:w w:val="105"/>
        </w:rPr>
        <w:t>police</w:t>
      </w:r>
      <w:r>
        <w:rPr>
          <w:color w:val="231F20"/>
          <w:spacing w:val="-11"/>
          <w:w w:val="105"/>
        </w:rPr>
        <w:t xml:space="preserve"> </w:t>
      </w:r>
      <w:r>
        <w:rPr>
          <w:color w:val="231F20"/>
          <w:w w:val="105"/>
        </w:rPr>
        <w:t>and funneled between two water cannons and rows of batons, you can</w:t>
      </w:r>
      <w:r>
        <w:rPr>
          <w:color w:val="231F20"/>
          <w:spacing w:val="-17"/>
          <w:w w:val="105"/>
        </w:rPr>
        <w:t xml:space="preserve"> </w:t>
      </w:r>
      <w:r>
        <w:rPr>
          <w:color w:val="231F20"/>
          <w:w w:val="105"/>
        </w:rPr>
        <w:t>go on</w:t>
      </w:r>
      <w:r>
        <w:rPr>
          <w:color w:val="231F20"/>
          <w:spacing w:val="-16"/>
          <w:w w:val="105"/>
        </w:rPr>
        <w:t xml:space="preserve"> </w:t>
      </w:r>
      <w:r>
        <w:rPr>
          <w:color w:val="231F20"/>
          <w:w w:val="105"/>
        </w:rPr>
        <w:t>celebrating</w:t>
      </w:r>
      <w:r>
        <w:rPr>
          <w:color w:val="231F20"/>
          <w:spacing w:val="-16"/>
          <w:w w:val="105"/>
        </w:rPr>
        <w:t xml:space="preserve"> </w:t>
      </w:r>
      <w:r>
        <w:rPr>
          <w:color w:val="231F20"/>
          <w:w w:val="105"/>
        </w:rPr>
        <w:t>successes</w:t>
      </w:r>
      <w:r>
        <w:rPr>
          <w:color w:val="231F20"/>
          <w:spacing w:val="-16"/>
          <w:w w:val="105"/>
        </w:rPr>
        <w:t xml:space="preserve"> </w:t>
      </w:r>
      <w:r>
        <w:rPr>
          <w:color w:val="231F20"/>
          <w:w w:val="105"/>
        </w:rPr>
        <w:t>long</w:t>
      </w:r>
      <w:r>
        <w:rPr>
          <w:color w:val="231F20"/>
          <w:spacing w:val="-16"/>
          <w:w w:val="105"/>
        </w:rPr>
        <w:t xml:space="preserve"> </w:t>
      </w:r>
      <w:r>
        <w:rPr>
          <w:color w:val="231F20"/>
          <w:w w:val="105"/>
        </w:rPr>
        <w:t>into</w:t>
      </w:r>
      <w:r>
        <w:rPr>
          <w:color w:val="231F20"/>
          <w:spacing w:val="-16"/>
          <w:w w:val="105"/>
        </w:rPr>
        <w:t xml:space="preserve"> </w:t>
      </w:r>
      <w:r>
        <w:rPr>
          <w:color w:val="231F20"/>
          <w:w w:val="105"/>
        </w:rPr>
        <w:t>the</w:t>
      </w:r>
      <w:r>
        <w:rPr>
          <w:color w:val="231F20"/>
          <w:spacing w:val="-16"/>
          <w:w w:val="105"/>
        </w:rPr>
        <w:t xml:space="preserve"> </w:t>
      </w:r>
      <w:r>
        <w:rPr>
          <w:color w:val="231F20"/>
          <w:w w:val="105"/>
        </w:rPr>
        <w:t>future.</w:t>
      </w:r>
      <w:r>
        <w:rPr>
          <w:color w:val="231F20"/>
          <w:spacing w:val="-16"/>
          <w:w w:val="105"/>
        </w:rPr>
        <w:t xml:space="preserve"> </w:t>
      </w:r>
      <w:r>
        <w:rPr>
          <w:color w:val="231F20"/>
          <w:w w:val="105"/>
        </w:rPr>
        <w:t>But</w:t>
      </w:r>
      <w:r>
        <w:rPr>
          <w:color w:val="231F20"/>
          <w:spacing w:val="-16"/>
          <w:w w:val="105"/>
        </w:rPr>
        <w:t xml:space="preserve"> </w:t>
      </w:r>
      <w:r>
        <w:rPr>
          <w:color w:val="231F20"/>
          <w:w w:val="105"/>
        </w:rPr>
        <w:t>the</w:t>
      </w:r>
      <w:r>
        <w:rPr>
          <w:color w:val="231F20"/>
          <w:spacing w:val="-16"/>
          <w:w w:val="105"/>
        </w:rPr>
        <w:t xml:space="preserve"> </w:t>
      </w:r>
      <w:r>
        <w:rPr>
          <w:color w:val="231F20"/>
          <w:w w:val="105"/>
        </w:rPr>
        <w:t>price</w:t>
      </w:r>
      <w:r>
        <w:rPr>
          <w:color w:val="231F20"/>
          <w:spacing w:val="-16"/>
          <w:w w:val="105"/>
        </w:rPr>
        <w:t xml:space="preserve"> </w:t>
      </w:r>
      <w:r>
        <w:rPr>
          <w:color w:val="231F20"/>
          <w:w w:val="105"/>
        </w:rPr>
        <w:t>to</w:t>
      </w:r>
      <w:r>
        <w:rPr>
          <w:color w:val="231F20"/>
          <w:spacing w:val="-16"/>
          <w:w w:val="105"/>
        </w:rPr>
        <w:t xml:space="preserve"> </w:t>
      </w:r>
      <w:r>
        <w:rPr>
          <w:color w:val="231F20"/>
          <w:w w:val="105"/>
        </w:rPr>
        <w:t>be</w:t>
      </w:r>
      <w:r>
        <w:rPr>
          <w:color w:val="231F20"/>
          <w:spacing w:val="-16"/>
          <w:w w:val="105"/>
        </w:rPr>
        <w:t xml:space="preserve"> </w:t>
      </w:r>
      <w:r>
        <w:rPr>
          <w:color w:val="231F20"/>
          <w:w w:val="105"/>
        </w:rPr>
        <w:t>paid</w:t>
      </w:r>
      <w:r>
        <w:rPr>
          <w:color w:val="231F20"/>
          <w:spacing w:val="-16"/>
          <w:w w:val="105"/>
        </w:rPr>
        <w:t xml:space="preserve"> </w:t>
      </w:r>
      <w:r>
        <w:rPr>
          <w:color w:val="231F20"/>
          <w:w w:val="105"/>
        </w:rPr>
        <w:t>is the</w:t>
      </w:r>
      <w:r>
        <w:rPr>
          <w:color w:val="231F20"/>
          <w:spacing w:val="-16"/>
          <w:w w:val="105"/>
        </w:rPr>
        <w:t xml:space="preserve"> </w:t>
      </w:r>
      <w:r>
        <w:rPr>
          <w:color w:val="231F20"/>
          <w:w w:val="105"/>
        </w:rPr>
        <w:t>distance</w:t>
      </w:r>
      <w:r>
        <w:rPr>
          <w:color w:val="231F20"/>
          <w:spacing w:val="-16"/>
          <w:w w:val="105"/>
        </w:rPr>
        <w:t xml:space="preserve"> </w:t>
      </w:r>
      <w:r>
        <w:rPr>
          <w:color w:val="231F20"/>
          <w:w w:val="105"/>
        </w:rPr>
        <w:t>people</w:t>
      </w:r>
      <w:r>
        <w:rPr>
          <w:color w:val="231F20"/>
          <w:spacing w:val="-16"/>
          <w:w w:val="105"/>
        </w:rPr>
        <w:t xml:space="preserve"> </w:t>
      </w:r>
      <w:r>
        <w:rPr>
          <w:color w:val="231F20"/>
          <w:w w:val="105"/>
        </w:rPr>
        <w:t>took</w:t>
      </w:r>
      <w:r>
        <w:rPr>
          <w:color w:val="231F20"/>
          <w:spacing w:val="-16"/>
          <w:w w:val="105"/>
        </w:rPr>
        <w:t xml:space="preserve"> </w:t>
      </w:r>
      <w:r>
        <w:rPr>
          <w:color w:val="231F20"/>
          <w:w w:val="105"/>
        </w:rPr>
        <w:t>from</w:t>
      </w:r>
      <w:r>
        <w:rPr>
          <w:color w:val="231F20"/>
          <w:spacing w:val="-16"/>
          <w:w w:val="105"/>
        </w:rPr>
        <w:t xml:space="preserve"> </w:t>
      </w:r>
      <w:r>
        <w:rPr>
          <w:color w:val="231F20"/>
          <w:spacing w:val="-4"/>
          <w:w w:val="105"/>
        </w:rPr>
        <w:t>Tuesday’s</w:t>
      </w:r>
      <w:r>
        <w:rPr>
          <w:color w:val="231F20"/>
          <w:spacing w:val="-16"/>
          <w:w w:val="105"/>
        </w:rPr>
        <w:t xml:space="preserve"> </w:t>
      </w:r>
      <w:r>
        <w:rPr>
          <w:color w:val="231F20"/>
          <w:w w:val="105"/>
        </w:rPr>
        <w:t>demonstration,</w:t>
      </w:r>
      <w:r>
        <w:rPr>
          <w:color w:val="231F20"/>
          <w:spacing w:val="-16"/>
          <w:w w:val="105"/>
        </w:rPr>
        <w:t xml:space="preserve"> </w:t>
      </w:r>
      <w:r>
        <w:rPr>
          <w:color w:val="231F20"/>
          <w:w w:val="105"/>
        </w:rPr>
        <w:t>the</w:t>
      </w:r>
      <w:r>
        <w:rPr>
          <w:color w:val="231F20"/>
          <w:spacing w:val="-16"/>
          <w:w w:val="105"/>
        </w:rPr>
        <w:t xml:space="preserve"> </w:t>
      </w:r>
      <w:r>
        <w:rPr>
          <w:color w:val="231F20"/>
          <w:w w:val="105"/>
        </w:rPr>
        <w:t>denunciation</w:t>
      </w:r>
      <w:r>
        <w:rPr>
          <w:color w:val="231F20"/>
          <w:spacing w:val="-5"/>
          <w:w w:val="105"/>
        </w:rPr>
        <w:t xml:space="preserve"> </w:t>
      </w:r>
      <w:r>
        <w:rPr>
          <w:color w:val="231F20"/>
          <w:w w:val="105"/>
        </w:rPr>
        <w:t>of</w:t>
      </w:r>
      <w:r>
        <w:rPr>
          <w:color w:val="231F20"/>
          <w:spacing w:val="-5"/>
          <w:w w:val="105"/>
        </w:rPr>
        <w:t xml:space="preserve"> </w:t>
      </w:r>
      <w:r>
        <w:rPr>
          <w:color w:val="231F20"/>
          <w:w w:val="105"/>
        </w:rPr>
        <w:t>the</w:t>
      </w:r>
      <w:r>
        <w:rPr>
          <w:color w:val="231F20"/>
          <w:spacing w:val="-5"/>
          <w:w w:val="105"/>
        </w:rPr>
        <w:t xml:space="preserve"> </w:t>
      </w:r>
      <w:r>
        <w:rPr>
          <w:color w:val="231F20"/>
          <w:w w:val="105"/>
        </w:rPr>
        <w:t>comrades</w:t>
      </w:r>
      <w:r>
        <w:rPr>
          <w:color w:val="231F20"/>
          <w:spacing w:val="-5"/>
          <w:w w:val="105"/>
        </w:rPr>
        <w:t xml:space="preserve"> </w:t>
      </w:r>
      <w:r>
        <w:rPr>
          <w:color w:val="231F20"/>
          <w:w w:val="105"/>
        </w:rPr>
        <w:t>who</w:t>
      </w:r>
      <w:r>
        <w:rPr>
          <w:color w:val="231F20"/>
          <w:spacing w:val="-5"/>
          <w:w w:val="105"/>
        </w:rPr>
        <w:t xml:space="preserve"> </w:t>
      </w:r>
      <w:r>
        <w:rPr>
          <w:color w:val="231F20"/>
          <w:w w:val="105"/>
        </w:rPr>
        <w:t>broke</w:t>
      </w:r>
      <w:r>
        <w:rPr>
          <w:color w:val="231F20"/>
          <w:spacing w:val="-5"/>
          <w:w w:val="105"/>
        </w:rPr>
        <w:t xml:space="preserve"> </w:t>
      </w:r>
      <w:r>
        <w:rPr>
          <w:color w:val="231F20"/>
          <w:w w:val="105"/>
        </w:rPr>
        <w:t>free</w:t>
      </w:r>
      <w:r>
        <w:rPr>
          <w:color w:val="231F20"/>
          <w:spacing w:val="-5"/>
          <w:w w:val="105"/>
        </w:rPr>
        <w:t xml:space="preserve"> </w:t>
      </w:r>
      <w:r>
        <w:rPr>
          <w:color w:val="231F20"/>
          <w:w w:val="105"/>
        </w:rPr>
        <w:t>from</w:t>
      </w:r>
      <w:r>
        <w:rPr>
          <w:color w:val="231F20"/>
          <w:spacing w:val="-5"/>
          <w:w w:val="105"/>
        </w:rPr>
        <w:t xml:space="preserve"> </w:t>
      </w:r>
      <w:r>
        <w:rPr>
          <w:color w:val="231F20"/>
          <w:w w:val="105"/>
        </w:rPr>
        <w:t>the</w:t>
      </w:r>
      <w:r>
        <w:rPr>
          <w:color w:val="231F20"/>
          <w:spacing w:val="-5"/>
          <w:w w:val="105"/>
        </w:rPr>
        <w:t xml:space="preserve"> </w:t>
      </w:r>
      <w:r>
        <w:rPr>
          <w:color w:val="231F20"/>
          <w:w w:val="105"/>
        </w:rPr>
        <w:t>Hauptwache;</w:t>
      </w:r>
      <w:r>
        <w:rPr>
          <w:color w:val="231F20"/>
          <w:w w:val="105"/>
          <w:position w:val="7"/>
          <w:sz w:val="11"/>
        </w:rPr>
        <w:t>2</w:t>
      </w:r>
      <w:r>
        <w:rPr>
          <w:color w:val="231F20"/>
          <w:spacing w:val="-2"/>
          <w:w w:val="105"/>
          <w:position w:val="7"/>
          <w:sz w:val="11"/>
        </w:rPr>
        <w:t xml:space="preserve"> </w:t>
      </w:r>
      <w:r>
        <w:rPr>
          <w:color w:val="231F20"/>
          <w:w w:val="105"/>
        </w:rPr>
        <w:t>the</w:t>
      </w:r>
      <w:r>
        <w:rPr>
          <w:color w:val="231F20"/>
          <w:spacing w:val="-5"/>
          <w:w w:val="105"/>
        </w:rPr>
        <w:t xml:space="preserve"> </w:t>
      </w:r>
      <w:r>
        <w:rPr>
          <w:color w:val="231F20"/>
          <w:w w:val="105"/>
        </w:rPr>
        <w:t>price in</w:t>
      </w:r>
      <w:r>
        <w:rPr>
          <w:color w:val="231F20"/>
          <w:spacing w:val="-14"/>
          <w:w w:val="105"/>
        </w:rPr>
        <w:t xml:space="preserve"> </w:t>
      </w:r>
      <w:r>
        <w:rPr>
          <w:color w:val="231F20"/>
          <w:w w:val="105"/>
        </w:rPr>
        <w:t>the</w:t>
      </w:r>
      <w:r>
        <w:rPr>
          <w:color w:val="231F20"/>
          <w:spacing w:val="-14"/>
          <w:w w:val="105"/>
        </w:rPr>
        <w:t xml:space="preserve"> </w:t>
      </w:r>
      <w:r>
        <w:rPr>
          <w:color w:val="231F20"/>
          <w:w w:val="105"/>
        </w:rPr>
        <w:t>end</w:t>
      </w:r>
      <w:r>
        <w:rPr>
          <w:color w:val="231F20"/>
          <w:spacing w:val="-14"/>
          <w:w w:val="105"/>
        </w:rPr>
        <w:t xml:space="preserve"> </w:t>
      </w:r>
      <w:r>
        <w:rPr>
          <w:color w:val="231F20"/>
          <w:w w:val="105"/>
        </w:rPr>
        <w:t>was</w:t>
      </w:r>
      <w:r>
        <w:rPr>
          <w:color w:val="231F20"/>
          <w:spacing w:val="-14"/>
          <w:w w:val="105"/>
        </w:rPr>
        <w:t xml:space="preserve"> </w:t>
      </w:r>
      <w:r>
        <w:rPr>
          <w:color w:val="231F20"/>
          <w:w w:val="105"/>
        </w:rPr>
        <w:t>betrayal</w:t>
      </w:r>
      <w:r>
        <w:rPr>
          <w:color w:val="231F20"/>
          <w:spacing w:val="-14"/>
          <w:w w:val="105"/>
        </w:rPr>
        <w:t xml:space="preserve"> </w:t>
      </w:r>
      <w:r>
        <w:rPr>
          <w:color w:val="231F20"/>
          <w:w w:val="105"/>
        </w:rPr>
        <w:t>of</w:t>
      </w:r>
      <w:r>
        <w:rPr>
          <w:color w:val="231F20"/>
          <w:spacing w:val="-14"/>
          <w:w w:val="105"/>
        </w:rPr>
        <w:t xml:space="preserve"> </w:t>
      </w:r>
      <w:r>
        <w:rPr>
          <w:color w:val="231F20"/>
          <w:w w:val="105"/>
        </w:rPr>
        <w:t>the</w:t>
      </w:r>
      <w:r>
        <w:rPr>
          <w:color w:val="231F20"/>
          <w:spacing w:val="-14"/>
          <w:w w:val="105"/>
        </w:rPr>
        <w:t xml:space="preserve"> </w:t>
      </w:r>
      <w:r>
        <w:rPr>
          <w:color w:val="231F20"/>
          <w:w w:val="105"/>
        </w:rPr>
        <w:t>goals</w:t>
      </w:r>
      <w:r>
        <w:rPr>
          <w:color w:val="231F20"/>
          <w:spacing w:val="-14"/>
          <w:w w:val="105"/>
        </w:rPr>
        <w:t xml:space="preserve"> </w:t>
      </w:r>
      <w:r>
        <w:rPr>
          <w:color w:val="231F20"/>
          <w:w w:val="105"/>
        </w:rPr>
        <w:t>in</w:t>
      </w:r>
      <w:r>
        <w:rPr>
          <w:color w:val="231F20"/>
          <w:spacing w:val="-14"/>
          <w:w w:val="105"/>
        </w:rPr>
        <w:t xml:space="preserve"> </w:t>
      </w:r>
      <w:r>
        <w:rPr>
          <w:color w:val="231F20"/>
          <w:w w:val="105"/>
        </w:rPr>
        <w:t>exchange</w:t>
      </w:r>
      <w:r>
        <w:rPr>
          <w:color w:val="231F20"/>
          <w:spacing w:val="-14"/>
          <w:w w:val="105"/>
        </w:rPr>
        <w:t xml:space="preserve"> </w:t>
      </w:r>
      <w:r>
        <w:rPr>
          <w:color w:val="231F20"/>
          <w:w w:val="105"/>
        </w:rPr>
        <w:t>for</w:t>
      </w:r>
      <w:r>
        <w:rPr>
          <w:color w:val="231F20"/>
          <w:spacing w:val="-14"/>
          <w:w w:val="105"/>
        </w:rPr>
        <w:t xml:space="preserve"> </w:t>
      </w:r>
      <w:r>
        <w:rPr>
          <w:color w:val="231F20"/>
          <w:w w:val="105"/>
        </w:rPr>
        <w:t>permission</w:t>
      </w:r>
      <w:r>
        <w:rPr>
          <w:color w:val="231F20"/>
          <w:spacing w:val="-14"/>
          <w:w w:val="105"/>
        </w:rPr>
        <w:t xml:space="preserve"> </w:t>
      </w:r>
      <w:r>
        <w:rPr>
          <w:color w:val="231F20"/>
          <w:w w:val="105"/>
        </w:rPr>
        <w:t>to</w:t>
      </w:r>
      <w:r>
        <w:rPr>
          <w:color w:val="231F20"/>
          <w:spacing w:val="-14"/>
          <w:w w:val="105"/>
        </w:rPr>
        <w:t xml:space="preserve"> </w:t>
      </w:r>
      <w:r>
        <w:rPr>
          <w:color w:val="231F20"/>
          <w:w w:val="105"/>
        </w:rPr>
        <w:t>walk in the</w:t>
      </w:r>
      <w:r>
        <w:rPr>
          <w:color w:val="231F20"/>
          <w:spacing w:val="15"/>
          <w:w w:val="105"/>
        </w:rPr>
        <w:t xml:space="preserve"> </w:t>
      </w:r>
      <w:r>
        <w:rPr>
          <w:color w:val="231F20"/>
          <w:w w:val="105"/>
        </w:rPr>
        <w:t>streets.</w:t>
      </w:r>
    </w:p>
    <w:p w14:paraId="6629D501" w14:textId="77777777" w:rsidR="002653E8" w:rsidRDefault="003115E3">
      <w:pPr>
        <w:pStyle w:val="a3"/>
        <w:spacing w:line="219" w:lineRule="exact"/>
        <w:ind w:left="1537"/>
      </w:pPr>
      <w:r>
        <w:rPr>
          <w:color w:val="231F20"/>
        </w:rPr>
        <w:t>Today, everyone understands our actions against the extermination</w:t>
      </w:r>
    </w:p>
    <w:p w14:paraId="6DDD73EF" w14:textId="77777777" w:rsidR="002653E8" w:rsidRDefault="003115E3">
      <w:pPr>
        <w:pStyle w:val="a3"/>
        <w:spacing w:before="19" w:line="264" w:lineRule="auto"/>
        <w:ind w:left="1327" w:right="1137"/>
        <w:jc w:val="both"/>
      </w:pPr>
      <w:r>
        <w:rPr>
          <w:color w:val="231F20"/>
        </w:rPr>
        <w:t xml:space="preserve">strategy in Vietnam. Everybody should be able to understand our actions to defend the lives and health of the prisoners and of the </w:t>
      </w:r>
      <w:r w:rsidR="00C507A5">
        <w:rPr>
          <w:color w:val="231F20"/>
        </w:rPr>
        <w:t>red army faction</w:t>
      </w:r>
      <w:r>
        <w:rPr>
          <w:color w:val="231F20"/>
        </w:rPr>
        <w:t xml:space="preserve"> comrades still at large. That the media no longer publishes our communiqués about our bomb attacks, but publishes false statements of fascist origin, that they downplay attacks on U.S. imperialism and play up fascist provocations such as that against the citizens of Stuttgart, demonstrates how things really are, demonstrates what they are afraid of and how far they’ll go to hide the truth from the masses, to prop up their facade.</w:t>
      </w:r>
    </w:p>
    <w:p w14:paraId="63B5793B" w14:textId="77777777" w:rsidR="002653E8" w:rsidRDefault="003115E3">
      <w:pPr>
        <w:pStyle w:val="a3"/>
        <w:spacing w:line="264" w:lineRule="auto"/>
        <w:ind w:left="1328" w:right="1145" w:firstLine="210"/>
        <w:jc w:val="both"/>
      </w:pPr>
      <w:r>
        <w:rPr>
          <w:color w:val="231F20"/>
        </w:rPr>
        <w:t>Dare to struggle; dare to win! Attack and smash the power of imperialism! It is the duty of every revolutionary to make the revolution! We call on all militants in the Federal Republic to make all American establishments targets of their attacks in their struggle against U.S. imperialism!</w:t>
      </w:r>
    </w:p>
    <w:p w14:paraId="43F8AB5E" w14:textId="77777777" w:rsidR="002653E8" w:rsidRDefault="003115E3">
      <w:pPr>
        <w:pStyle w:val="a3"/>
        <w:spacing w:line="229" w:lineRule="exact"/>
        <w:ind w:left="1538"/>
      </w:pPr>
      <w:r>
        <w:rPr>
          <w:color w:val="231F20"/>
          <w:w w:val="105"/>
        </w:rPr>
        <w:t xml:space="preserve">Long live the </w:t>
      </w:r>
      <w:r w:rsidR="00C507A5">
        <w:rPr>
          <w:color w:val="231F20"/>
          <w:w w:val="105"/>
        </w:rPr>
        <w:t>red army faction</w:t>
      </w:r>
      <w:r>
        <w:rPr>
          <w:color w:val="231F20"/>
          <w:w w:val="105"/>
        </w:rPr>
        <w:t>!</w:t>
      </w:r>
    </w:p>
    <w:p w14:paraId="35D3144F" w14:textId="77777777" w:rsidR="002653E8" w:rsidRDefault="003115E3">
      <w:pPr>
        <w:pStyle w:val="a3"/>
        <w:spacing w:before="12" w:line="261" w:lineRule="auto"/>
        <w:ind w:left="6283" w:right="1137" w:hanging="147"/>
        <w:jc w:val="right"/>
      </w:pPr>
      <w:r>
        <w:rPr>
          <w:color w:val="231F20"/>
          <w:w w:val="105"/>
        </w:rPr>
        <w:t>Ulrike Meinhof</w:t>
      </w:r>
      <w:r>
        <w:rPr>
          <w:color w:val="231F20"/>
          <w:w w:val="109"/>
        </w:rPr>
        <w:t xml:space="preserve"> </w:t>
      </w:r>
      <w:r>
        <w:rPr>
          <w:color w:val="231F20"/>
          <w:w w:val="105"/>
        </w:rPr>
        <w:t xml:space="preserve">for the </w:t>
      </w:r>
      <w:r w:rsidR="00C507A5">
        <w:rPr>
          <w:color w:val="231F20"/>
          <w:w w:val="105"/>
        </w:rPr>
        <w:t>red army faction</w:t>
      </w:r>
      <w:r>
        <w:rPr>
          <w:color w:val="231F20"/>
          <w:w w:val="110"/>
        </w:rPr>
        <w:t xml:space="preserve"> </w:t>
      </w:r>
      <w:r>
        <w:rPr>
          <w:color w:val="231F20"/>
          <w:w w:val="105"/>
        </w:rPr>
        <w:t>May 31, 1972</w:t>
      </w:r>
    </w:p>
    <w:p w14:paraId="7DBEE865" w14:textId="77777777" w:rsidR="002653E8" w:rsidRDefault="002653E8">
      <w:pPr>
        <w:pStyle w:val="a3"/>
      </w:pPr>
    </w:p>
    <w:p w14:paraId="1FE678C2" w14:textId="77777777" w:rsidR="002653E8" w:rsidRDefault="00000000">
      <w:pPr>
        <w:pStyle w:val="a3"/>
        <w:spacing w:before="4"/>
        <w:rPr>
          <w:sz w:val="19"/>
        </w:rPr>
      </w:pPr>
      <w:r>
        <w:rPr>
          <w:noProof w:val="0"/>
        </w:rPr>
        <w:pict w14:anchorId="59FD3D84">
          <v:line id="_x0000_s2493" style="position:absolute;z-index:5056;mso-wrap-distance-left:0;mso-wrap-distance-right:0;mso-position-horizontal-relative:page" from="66.4pt,13.6pt" to="138.4pt,13.6pt" strokecolor="#231f20" strokeweight=".5pt">
            <w10:wrap type="topAndBottom" anchorx="page"/>
          </v:line>
        </w:pict>
      </w:r>
    </w:p>
    <w:p w14:paraId="67B36CF0" w14:textId="77777777" w:rsidR="002653E8" w:rsidRDefault="003115E3">
      <w:pPr>
        <w:pStyle w:val="a4"/>
        <w:numPr>
          <w:ilvl w:val="0"/>
          <w:numId w:val="134"/>
        </w:numPr>
        <w:tabs>
          <w:tab w:val="left" w:pos="1467"/>
        </w:tabs>
        <w:spacing w:before="53"/>
        <w:rPr>
          <w:sz w:val="16"/>
        </w:rPr>
      </w:pPr>
      <w:r>
        <w:rPr>
          <w:color w:val="231F20"/>
          <w:spacing w:val="1"/>
          <w:w w:val="105"/>
          <w:sz w:val="16"/>
        </w:rPr>
        <w:t xml:space="preserve">Frankfurt </w:t>
      </w:r>
      <w:r>
        <w:rPr>
          <w:color w:val="231F20"/>
          <w:w w:val="105"/>
          <w:sz w:val="16"/>
        </w:rPr>
        <w:t>police chief at the</w:t>
      </w:r>
      <w:r>
        <w:rPr>
          <w:color w:val="231F20"/>
          <w:spacing w:val="1"/>
          <w:w w:val="105"/>
          <w:sz w:val="16"/>
        </w:rPr>
        <w:t xml:space="preserve"> </w:t>
      </w:r>
      <w:r>
        <w:rPr>
          <w:color w:val="231F20"/>
          <w:w w:val="105"/>
          <w:sz w:val="16"/>
        </w:rPr>
        <w:t>time.</w:t>
      </w:r>
    </w:p>
    <w:p w14:paraId="69671172" w14:textId="77777777" w:rsidR="002653E8" w:rsidRDefault="003115E3">
      <w:pPr>
        <w:pStyle w:val="a4"/>
        <w:numPr>
          <w:ilvl w:val="0"/>
          <w:numId w:val="134"/>
        </w:numPr>
        <w:tabs>
          <w:tab w:val="left" w:pos="1467"/>
        </w:tabs>
        <w:spacing w:before="51"/>
        <w:rPr>
          <w:sz w:val="16"/>
        </w:rPr>
      </w:pPr>
      <w:r>
        <w:rPr>
          <w:color w:val="231F20"/>
          <w:w w:val="105"/>
          <w:sz w:val="16"/>
        </w:rPr>
        <w:t>The</w:t>
      </w:r>
      <w:r>
        <w:rPr>
          <w:color w:val="231F20"/>
          <w:spacing w:val="8"/>
          <w:w w:val="105"/>
          <w:sz w:val="16"/>
        </w:rPr>
        <w:t xml:space="preserve"> </w:t>
      </w:r>
      <w:r>
        <w:rPr>
          <w:color w:val="231F20"/>
          <w:w w:val="105"/>
          <w:sz w:val="16"/>
        </w:rPr>
        <w:t>Hauptwache</w:t>
      </w:r>
      <w:r>
        <w:rPr>
          <w:color w:val="231F20"/>
          <w:spacing w:val="8"/>
          <w:w w:val="105"/>
          <w:sz w:val="16"/>
        </w:rPr>
        <w:t xml:space="preserve"> </w:t>
      </w:r>
      <w:r>
        <w:rPr>
          <w:color w:val="231F20"/>
          <w:w w:val="105"/>
          <w:sz w:val="16"/>
        </w:rPr>
        <w:t>is</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central</w:t>
      </w:r>
      <w:r>
        <w:rPr>
          <w:color w:val="231F20"/>
          <w:spacing w:val="8"/>
          <w:w w:val="105"/>
          <w:sz w:val="16"/>
        </w:rPr>
        <w:t xml:space="preserve"> </w:t>
      </w:r>
      <w:r>
        <w:rPr>
          <w:color w:val="231F20"/>
          <w:w w:val="105"/>
          <w:sz w:val="16"/>
        </w:rPr>
        <w:t>point</w:t>
      </w:r>
      <w:r>
        <w:rPr>
          <w:color w:val="231F20"/>
          <w:spacing w:val="8"/>
          <w:w w:val="105"/>
          <w:sz w:val="16"/>
        </w:rPr>
        <w:t xml:space="preserve"> </w:t>
      </w:r>
      <w:r>
        <w:rPr>
          <w:color w:val="231F20"/>
          <w:w w:val="105"/>
          <w:sz w:val="16"/>
        </w:rPr>
        <w:t>on</w:t>
      </w:r>
      <w:r>
        <w:rPr>
          <w:color w:val="231F20"/>
          <w:spacing w:val="8"/>
          <w:w w:val="105"/>
          <w:sz w:val="16"/>
        </w:rPr>
        <w:t xml:space="preserve"> </w:t>
      </w:r>
      <w:r>
        <w:rPr>
          <w:color w:val="231F20"/>
          <w:w w:val="105"/>
          <w:sz w:val="16"/>
        </w:rPr>
        <w:t>a</w:t>
      </w:r>
      <w:r>
        <w:rPr>
          <w:color w:val="231F20"/>
          <w:spacing w:val="8"/>
          <w:w w:val="105"/>
          <w:sz w:val="16"/>
        </w:rPr>
        <w:t xml:space="preserve"> </w:t>
      </w:r>
      <w:r>
        <w:rPr>
          <w:color w:val="231F20"/>
          <w:w w:val="105"/>
          <w:sz w:val="16"/>
        </w:rPr>
        <w:t>major</w:t>
      </w:r>
      <w:r>
        <w:rPr>
          <w:color w:val="231F20"/>
          <w:spacing w:val="8"/>
          <w:w w:val="105"/>
          <w:sz w:val="16"/>
        </w:rPr>
        <w:t xml:space="preserve"> </w:t>
      </w:r>
      <w:r>
        <w:rPr>
          <w:color w:val="231F20"/>
          <w:w w:val="105"/>
          <w:sz w:val="16"/>
        </w:rPr>
        <w:t>pedestrian</w:t>
      </w:r>
      <w:r>
        <w:rPr>
          <w:color w:val="231F20"/>
          <w:spacing w:val="8"/>
          <w:w w:val="105"/>
          <w:sz w:val="16"/>
        </w:rPr>
        <w:t xml:space="preserve"> </w:t>
      </w:r>
      <w:r>
        <w:rPr>
          <w:color w:val="231F20"/>
          <w:w w:val="105"/>
          <w:sz w:val="16"/>
        </w:rPr>
        <w:t>mall</w:t>
      </w:r>
      <w:r>
        <w:rPr>
          <w:color w:val="231F20"/>
          <w:spacing w:val="8"/>
          <w:w w:val="105"/>
          <w:sz w:val="16"/>
        </w:rPr>
        <w:t xml:space="preserve"> </w:t>
      </w:r>
      <w:r>
        <w:rPr>
          <w:color w:val="231F20"/>
          <w:w w:val="105"/>
          <w:sz w:val="16"/>
        </w:rPr>
        <w:t>in</w:t>
      </w:r>
      <w:r>
        <w:rPr>
          <w:color w:val="231F20"/>
          <w:spacing w:val="8"/>
          <w:w w:val="105"/>
          <w:sz w:val="16"/>
        </w:rPr>
        <w:t xml:space="preserve"> </w:t>
      </w:r>
      <w:r>
        <w:rPr>
          <w:color w:val="231F20"/>
          <w:spacing w:val="1"/>
          <w:w w:val="105"/>
          <w:sz w:val="16"/>
        </w:rPr>
        <w:t>Frankfurt.</w:t>
      </w:r>
    </w:p>
    <w:p w14:paraId="32152F96" w14:textId="77777777" w:rsidR="002653E8" w:rsidRDefault="002653E8">
      <w:pPr>
        <w:rPr>
          <w:sz w:val="16"/>
        </w:rPr>
        <w:sectPr w:rsidR="002653E8">
          <w:pgSz w:w="8640" w:h="12960"/>
          <w:pgMar w:top="1060" w:right="0" w:bottom="1040" w:left="0" w:header="0" w:footer="850" w:gutter="0"/>
          <w:cols w:space="720"/>
        </w:sectPr>
      </w:pPr>
    </w:p>
    <w:p w14:paraId="71CF59EB" w14:textId="77777777" w:rsidR="002653E8" w:rsidRDefault="002653E8">
      <w:pPr>
        <w:pStyle w:val="a3"/>
      </w:pPr>
    </w:p>
    <w:p w14:paraId="3AB970B3" w14:textId="77777777" w:rsidR="002653E8" w:rsidRDefault="002653E8">
      <w:pPr>
        <w:pStyle w:val="a3"/>
      </w:pPr>
    </w:p>
    <w:p w14:paraId="77256541" w14:textId="77777777" w:rsidR="002653E8" w:rsidRDefault="002653E8">
      <w:pPr>
        <w:pStyle w:val="a3"/>
      </w:pPr>
    </w:p>
    <w:p w14:paraId="70AA73D5" w14:textId="77777777" w:rsidR="002653E8" w:rsidRDefault="002653E8">
      <w:pPr>
        <w:pStyle w:val="a3"/>
      </w:pPr>
    </w:p>
    <w:p w14:paraId="562AB115" w14:textId="77777777" w:rsidR="002653E8" w:rsidRDefault="002653E8">
      <w:pPr>
        <w:pStyle w:val="a3"/>
      </w:pPr>
    </w:p>
    <w:p w14:paraId="3ED85276" w14:textId="77777777" w:rsidR="002653E8" w:rsidRDefault="002653E8">
      <w:pPr>
        <w:pStyle w:val="a3"/>
      </w:pPr>
    </w:p>
    <w:p w14:paraId="0BE05EEC" w14:textId="77777777" w:rsidR="002653E8" w:rsidRDefault="002653E8">
      <w:pPr>
        <w:pStyle w:val="a3"/>
      </w:pPr>
    </w:p>
    <w:p w14:paraId="39A64659" w14:textId="77777777" w:rsidR="002653E8" w:rsidRDefault="002653E8">
      <w:pPr>
        <w:pStyle w:val="a3"/>
      </w:pPr>
    </w:p>
    <w:p w14:paraId="3AE58A2A" w14:textId="77777777" w:rsidR="002653E8" w:rsidRDefault="002653E8">
      <w:pPr>
        <w:pStyle w:val="a3"/>
      </w:pPr>
    </w:p>
    <w:p w14:paraId="12F25230" w14:textId="77777777" w:rsidR="002653E8" w:rsidRDefault="002653E8">
      <w:pPr>
        <w:pStyle w:val="a3"/>
      </w:pPr>
    </w:p>
    <w:p w14:paraId="7547C89C" w14:textId="77777777" w:rsidR="002653E8" w:rsidRDefault="002653E8">
      <w:pPr>
        <w:pStyle w:val="a3"/>
      </w:pPr>
    </w:p>
    <w:p w14:paraId="5DE80C52" w14:textId="77777777" w:rsidR="002653E8" w:rsidRDefault="002653E8">
      <w:pPr>
        <w:pStyle w:val="a3"/>
      </w:pPr>
    </w:p>
    <w:p w14:paraId="2A2D852D" w14:textId="77777777" w:rsidR="002653E8" w:rsidRDefault="002653E8">
      <w:pPr>
        <w:pStyle w:val="a3"/>
      </w:pPr>
    </w:p>
    <w:p w14:paraId="2F5ACB97" w14:textId="77777777" w:rsidR="002653E8" w:rsidRDefault="002653E8">
      <w:pPr>
        <w:pStyle w:val="a3"/>
      </w:pPr>
    </w:p>
    <w:p w14:paraId="49413B31" w14:textId="77777777" w:rsidR="002653E8" w:rsidRDefault="002653E8">
      <w:pPr>
        <w:pStyle w:val="a3"/>
      </w:pPr>
    </w:p>
    <w:p w14:paraId="6688B0BF" w14:textId="77777777" w:rsidR="002653E8" w:rsidRDefault="002653E8">
      <w:pPr>
        <w:pStyle w:val="a3"/>
      </w:pPr>
    </w:p>
    <w:p w14:paraId="24F18972" w14:textId="77777777" w:rsidR="002653E8" w:rsidRDefault="002653E8">
      <w:pPr>
        <w:pStyle w:val="a3"/>
      </w:pPr>
    </w:p>
    <w:p w14:paraId="6132B021" w14:textId="77777777" w:rsidR="002653E8" w:rsidRDefault="002653E8">
      <w:pPr>
        <w:pStyle w:val="a3"/>
      </w:pPr>
    </w:p>
    <w:p w14:paraId="709BDA65" w14:textId="77777777" w:rsidR="002653E8" w:rsidRDefault="002653E8">
      <w:pPr>
        <w:pStyle w:val="a3"/>
      </w:pPr>
    </w:p>
    <w:p w14:paraId="261650ED" w14:textId="77777777" w:rsidR="002653E8" w:rsidRDefault="002653E8">
      <w:pPr>
        <w:pStyle w:val="a3"/>
      </w:pPr>
    </w:p>
    <w:p w14:paraId="412B4DDE" w14:textId="77777777" w:rsidR="002653E8" w:rsidRDefault="002653E8">
      <w:pPr>
        <w:pStyle w:val="a3"/>
      </w:pPr>
    </w:p>
    <w:p w14:paraId="35571936" w14:textId="77777777" w:rsidR="002653E8" w:rsidRDefault="002653E8">
      <w:pPr>
        <w:pStyle w:val="a3"/>
      </w:pPr>
    </w:p>
    <w:p w14:paraId="696F051B" w14:textId="77777777" w:rsidR="002653E8" w:rsidRDefault="002653E8">
      <w:pPr>
        <w:pStyle w:val="a3"/>
      </w:pPr>
    </w:p>
    <w:p w14:paraId="6323CA80" w14:textId="77777777" w:rsidR="002653E8" w:rsidRDefault="002653E8">
      <w:pPr>
        <w:pStyle w:val="a3"/>
      </w:pPr>
    </w:p>
    <w:p w14:paraId="6F1C8DB4" w14:textId="77777777" w:rsidR="002653E8" w:rsidRDefault="002653E8">
      <w:pPr>
        <w:pStyle w:val="a3"/>
      </w:pPr>
    </w:p>
    <w:p w14:paraId="3575203D" w14:textId="77777777" w:rsidR="002653E8" w:rsidRDefault="002653E8">
      <w:pPr>
        <w:pStyle w:val="a3"/>
      </w:pPr>
    </w:p>
    <w:p w14:paraId="696282B9" w14:textId="77777777" w:rsidR="002653E8" w:rsidRDefault="002653E8">
      <w:pPr>
        <w:pStyle w:val="a3"/>
      </w:pPr>
    </w:p>
    <w:p w14:paraId="033DE6C0" w14:textId="77777777" w:rsidR="002653E8" w:rsidRDefault="002653E8">
      <w:pPr>
        <w:pStyle w:val="a3"/>
      </w:pPr>
    </w:p>
    <w:p w14:paraId="78CA0AAB" w14:textId="77777777" w:rsidR="002653E8" w:rsidRDefault="002653E8">
      <w:pPr>
        <w:pStyle w:val="a3"/>
      </w:pPr>
    </w:p>
    <w:p w14:paraId="7A0847CB" w14:textId="77777777" w:rsidR="002653E8" w:rsidRDefault="002653E8">
      <w:pPr>
        <w:pStyle w:val="a3"/>
      </w:pPr>
    </w:p>
    <w:p w14:paraId="2AB72977" w14:textId="77777777" w:rsidR="002653E8" w:rsidRDefault="002653E8">
      <w:pPr>
        <w:pStyle w:val="a3"/>
      </w:pPr>
    </w:p>
    <w:p w14:paraId="4FBE714D" w14:textId="77777777" w:rsidR="002653E8" w:rsidRDefault="002653E8">
      <w:pPr>
        <w:pStyle w:val="a3"/>
      </w:pPr>
    </w:p>
    <w:p w14:paraId="580D8438" w14:textId="77777777" w:rsidR="002653E8" w:rsidRDefault="002653E8">
      <w:pPr>
        <w:pStyle w:val="a3"/>
      </w:pPr>
    </w:p>
    <w:p w14:paraId="19962BBE" w14:textId="77777777" w:rsidR="002653E8" w:rsidRDefault="002653E8">
      <w:pPr>
        <w:pStyle w:val="a3"/>
      </w:pPr>
    </w:p>
    <w:p w14:paraId="3118D1DF" w14:textId="77777777" w:rsidR="002653E8" w:rsidRDefault="002653E8">
      <w:pPr>
        <w:pStyle w:val="a3"/>
      </w:pPr>
    </w:p>
    <w:p w14:paraId="2038142E" w14:textId="77777777" w:rsidR="002653E8" w:rsidRDefault="002653E8">
      <w:pPr>
        <w:pStyle w:val="a3"/>
      </w:pPr>
    </w:p>
    <w:p w14:paraId="226AFD15" w14:textId="77777777" w:rsidR="002653E8" w:rsidRDefault="002653E8">
      <w:pPr>
        <w:pStyle w:val="a3"/>
      </w:pPr>
    </w:p>
    <w:p w14:paraId="7D7BD655" w14:textId="77777777" w:rsidR="002653E8" w:rsidRDefault="002653E8">
      <w:pPr>
        <w:pStyle w:val="a3"/>
      </w:pPr>
    </w:p>
    <w:p w14:paraId="12DA7491" w14:textId="77777777" w:rsidR="002653E8" w:rsidRDefault="002653E8">
      <w:pPr>
        <w:pStyle w:val="a3"/>
      </w:pPr>
    </w:p>
    <w:p w14:paraId="61B6918D" w14:textId="77777777" w:rsidR="002653E8" w:rsidRDefault="002653E8">
      <w:pPr>
        <w:pStyle w:val="a3"/>
      </w:pPr>
    </w:p>
    <w:p w14:paraId="33FAB4E0" w14:textId="77777777" w:rsidR="002653E8" w:rsidRDefault="002653E8">
      <w:pPr>
        <w:pStyle w:val="a3"/>
      </w:pPr>
    </w:p>
    <w:p w14:paraId="33F9C95F" w14:textId="77777777" w:rsidR="002653E8" w:rsidRDefault="002653E8">
      <w:pPr>
        <w:pStyle w:val="a3"/>
      </w:pPr>
    </w:p>
    <w:p w14:paraId="10AF0CBE" w14:textId="77777777" w:rsidR="002653E8" w:rsidRDefault="002653E8">
      <w:pPr>
        <w:pStyle w:val="a3"/>
      </w:pPr>
    </w:p>
    <w:p w14:paraId="26889696" w14:textId="77777777" w:rsidR="002653E8" w:rsidRDefault="002653E8">
      <w:pPr>
        <w:pStyle w:val="a3"/>
      </w:pPr>
    </w:p>
    <w:p w14:paraId="6105CFDB" w14:textId="77777777" w:rsidR="002653E8" w:rsidRDefault="002653E8">
      <w:pPr>
        <w:pStyle w:val="a3"/>
        <w:spacing w:before="3"/>
        <w:rPr>
          <w:sz w:val="23"/>
        </w:rPr>
      </w:pPr>
    </w:p>
    <w:p w14:paraId="3703FCD2" w14:textId="77777777" w:rsidR="002653E8" w:rsidRDefault="003115E3">
      <w:pPr>
        <w:spacing w:before="99"/>
        <w:ind w:left="1147"/>
        <w:rPr>
          <w:sz w:val="18"/>
        </w:rPr>
      </w:pPr>
      <w:r>
        <w:rPr>
          <w:color w:val="231F20"/>
          <w:sz w:val="18"/>
        </w:rPr>
        <w:t xml:space="preserve">186 </w:t>
      </w:r>
    </w:p>
    <w:p w14:paraId="2F06CC39" w14:textId="77777777" w:rsidR="002653E8" w:rsidRDefault="002653E8">
      <w:pPr>
        <w:rPr>
          <w:sz w:val="18"/>
        </w:rPr>
        <w:sectPr w:rsidR="002653E8">
          <w:footerReference w:type="default" r:id="rId161"/>
          <w:pgSz w:w="8640" w:h="12960"/>
          <w:pgMar w:top="1220" w:right="0" w:bottom="280" w:left="0" w:header="0" w:footer="0" w:gutter="0"/>
          <w:cols w:space="720"/>
        </w:sectPr>
      </w:pPr>
    </w:p>
    <w:p w14:paraId="32D56892" w14:textId="77777777" w:rsidR="002653E8" w:rsidRDefault="002653E8">
      <w:pPr>
        <w:pStyle w:val="a3"/>
      </w:pPr>
    </w:p>
    <w:p w14:paraId="401975EA" w14:textId="77777777" w:rsidR="002653E8" w:rsidRDefault="002653E8">
      <w:pPr>
        <w:pStyle w:val="a3"/>
      </w:pPr>
    </w:p>
    <w:p w14:paraId="2BCD79C9" w14:textId="77777777" w:rsidR="002653E8" w:rsidRDefault="002653E8">
      <w:pPr>
        <w:pStyle w:val="a3"/>
      </w:pPr>
    </w:p>
    <w:p w14:paraId="04C5DD74" w14:textId="77777777" w:rsidR="002653E8" w:rsidRDefault="002653E8">
      <w:pPr>
        <w:pStyle w:val="a3"/>
      </w:pPr>
    </w:p>
    <w:p w14:paraId="35CD5EEB" w14:textId="77777777" w:rsidR="002653E8" w:rsidRDefault="002653E8">
      <w:pPr>
        <w:pStyle w:val="a3"/>
        <w:spacing w:before="2"/>
        <w:rPr>
          <w:sz w:val="29"/>
        </w:rPr>
      </w:pPr>
    </w:p>
    <w:p w14:paraId="22BF248E" w14:textId="77777777" w:rsidR="002653E8" w:rsidRDefault="003115E3">
      <w:pPr>
        <w:pStyle w:val="4"/>
        <w:tabs>
          <w:tab w:val="left" w:pos="7039"/>
          <w:tab w:val="left" w:pos="7491"/>
        </w:tabs>
        <w:spacing w:before="86"/>
        <w:rPr>
          <w:rFonts w:ascii="Lucida Sans"/>
          <w:b/>
        </w:rPr>
      </w:pPr>
      <w:bookmarkStart w:id="84" w:name="6_Black_September:_A_Statement_from_Behi"/>
      <w:bookmarkStart w:id="85" w:name="_bookmark30"/>
      <w:bookmarkEnd w:id="84"/>
      <w:bookmarkEnd w:id="85"/>
      <w:r>
        <w:rPr>
          <w:rFonts w:ascii="Lucida Sans"/>
          <w:b/>
          <w:color w:val="FFFFFF"/>
          <w:w w:val="87"/>
          <w:shd w:val="clear" w:color="auto" w:fill="231F20"/>
        </w:rPr>
        <w:t xml:space="preserve"> </w:t>
      </w:r>
      <w:r>
        <w:rPr>
          <w:rFonts w:ascii="Lucida Sans"/>
          <w:b/>
          <w:color w:val="FFFFFF"/>
          <w:shd w:val="clear" w:color="auto" w:fill="231F20"/>
        </w:rPr>
        <w:tab/>
      </w:r>
      <w:r>
        <w:rPr>
          <w:rFonts w:ascii="Lucida Sans"/>
          <w:b/>
          <w:color w:val="FFFFFF"/>
          <w:w w:val="95"/>
          <w:shd w:val="clear" w:color="auto" w:fill="231F20"/>
        </w:rPr>
        <w:t>6</w:t>
      </w:r>
      <w:r>
        <w:rPr>
          <w:rFonts w:ascii="Lucida Sans"/>
          <w:b/>
          <w:color w:val="FFFFFF"/>
          <w:shd w:val="clear" w:color="auto" w:fill="231F20"/>
        </w:rPr>
        <w:tab/>
      </w:r>
    </w:p>
    <w:p w14:paraId="19EA247E" w14:textId="77777777" w:rsidR="002653E8" w:rsidRDefault="002653E8">
      <w:pPr>
        <w:pStyle w:val="a3"/>
        <w:rPr>
          <w:rFonts w:ascii="Lucida Sans"/>
          <w:b/>
          <w:sz w:val="36"/>
        </w:rPr>
      </w:pPr>
    </w:p>
    <w:p w14:paraId="4686C57F" w14:textId="77777777" w:rsidR="002653E8" w:rsidRDefault="002653E8">
      <w:pPr>
        <w:pStyle w:val="a3"/>
        <w:spacing w:before="1"/>
        <w:rPr>
          <w:rFonts w:ascii="Lucida Sans"/>
          <w:b/>
          <w:sz w:val="38"/>
        </w:rPr>
      </w:pPr>
    </w:p>
    <w:p w14:paraId="3B537D2B" w14:textId="77777777" w:rsidR="002653E8" w:rsidRDefault="003115E3">
      <w:pPr>
        <w:spacing w:line="244" w:lineRule="auto"/>
        <w:ind w:left="2537" w:right="1078" w:firstLine="2080"/>
        <w:rPr>
          <w:rFonts w:ascii="Lucida Sans"/>
          <w:b/>
          <w:sz w:val="36"/>
        </w:rPr>
      </w:pPr>
      <w:r>
        <w:rPr>
          <w:rFonts w:ascii="Lucida Sans"/>
          <w:b/>
          <w:color w:val="231F20"/>
          <w:w w:val="90"/>
          <w:sz w:val="36"/>
        </w:rPr>
        <w:t>Black september: A statement from Behind Bars</w:t>
      </w:r>
    </w:p>
    <w:p w14:paraId="0CF5A0E8" w14:textId="77777777" w:rsidR="002653E8" w:rsidRDefault="002653E8">
      <w:pPr>
        <w:pStyle w:val="a3"/>
        <w:rPr>
          <w:rFonts w:ascii="Lucida Sans"/>
          <w:b/>
          <w:sz w:val="42"/>
        </w:rPr>
      </w:pPr>
    </w:p>
    <w:p w14:paraId="462AA64B" w14:textId="77777777" w:rsidR="002653E8" w:rsidRPr="005850FE" w:rsidRDefault="003115E3" w:rsidP="005850FE">
      <w:pPr>
        <w:spacing w:before="364" w:line="211" w:lineRule="auto"/>
        <w:ind w:left="1327" w:right="1146"/>
        <w:jc w:val="both"/>
        <w:rPr>
          <w:i/>
          <w:sz w:val="20"/>
        </w:rPr>
      </w:pPr>
      <w:r>
        <w:rPr>
          <w:rFonts w:ascii="Verdana"/>
          <w:color w:val="231F20"/>
          <w:spacing w:val="-6"/>
          <w:sz w:val="48"/>
        </w:rPr>
        <w:t>I</w:t>
      </w:r>
      <w:r>
        <w:rPr>
          <w:color w:val="231F20"/>
          <w:w w:val="109"/>
          <w:sz w:val="20"/>
        </w:rPr>
        <w:t>n</w:t>
      </w:r>
      <w:r>
        <w:rPr>
          <w:color w:val="231F20"/>
          <w:spacing w:val="-1"/>
          <w:sz w:val="20"/>
        </w:rPr>
        <w:t xml:space="preserve"> </w:t>
      </w:r>
      <w:r>
        <w:rPr>
          <w:color w:val="231F20"/>
          <w:spacing w:val="6"/>
          <w:w w:val="147"/>
          <w:sz w:val="20"/>
        </w:rPr>
        <w:t>t</w:t>
      </w:r>
      <w:r>
        <w:rPr>
          <w:color w:val="231F20"/>
          <w:spacing w:val="5"/>
          <w:w w:val="120"/>
          <w:sz w:val="20"/>
        </w:rPr>
        <w:t>h</w:t>
      </w:r>
      <w:r>
        <w:rPr>
          <w:color w:val="231F20"/>
          <w:w w:val="102"/>
          <w:sz w:val="20"/>
        </w:rPr>
        <w:t>e</w:t>
      </w:r>
      <w:r>
        <w:rPr>
          <w:color w:val="231F20"/>
          <w:spacing w:val="-1"/>
          <w:sz w:val="20"/>
        </w:rPr>
        <w:t xml:space="preserve"> </w:t>
      </w:r>
      <w:r>
        <w:rPr>
          <w:color w:val="231F20"/>
          <w:spacing w:val="-7"/>
          <w:w w:val="165"/>
          <w:sz w:val="20"/>
        </w:rPr>
        <w:t>f</w:t>
      </w:r>
      <w:r>
        <w:rPr>
          <w:color w:val="231F20"/>
          <w:spacing w:val="5"/>
          <w:w w:val="113"/>
          <w:sz w:val="20"/>
        </w:rPr>
        <w:t>a</w:t>
      </w:r>
      <w:r>
        <w:rPr>
          <w:color w:val="231F20"/>
          <w:spacing w:val="2"/>
          <w:w w:val="184"/>
          <w:sz w:val="20"/>
        </w:rPr>
        <w:t>l</w:t>
      </w:r>
      <w:r>
        <w:rPr>
          <w:color w:val="231F20"/>
          <w:w w:val="184"/>
          <w:sz w:val="20"/>
        </w:rPr>
        <w:t>l</w:t>
      </w:r>
      <w:r>
        <w:rPr>
          <w:color w:val="231F20"/>
          <w:spacing w:val="-1"/>
          <w:sz w:val="20"/>
        </w:rPr>
        <w:t xml:space="preserve"> </w:t>
      </w:r>
      <w:r>
        <w:rPr>
          <w:color w:val="231F20"/>
          <w:spacing w:val="-3"/>
          <w:w w:val="125"/>
          <w:sz w:val="20"/>
        </w:rPr>
        <w:t>o</w:t>
      </w:r>
      <w:r>
        <w:rPr>
          <w:color w:val="231F20"/>
          <w:w w:val="165"/>
          <w:sz w:val="20"/>
        </w:rPr>
        <w:t>f</w:t>
      </w:r>
      <w:r>
        <w:rPr>
          <w:color w:val="231F20"/>
          <w:spacing w:val="-1"/>
          <w:sz w:val="20"/>
        </w:rPr>
        <w:t xml:space="preserve"> </w:t>
      </w:r>
      <w:r>
        <w:rPr>
          <w:color w:val="231F20"/>
          <w:spacing w:val="-10"/>
          <w:sz w:val="20"/>
        </w:rPr>
        <w:t>1</w:t>
      </w:r>
      <w:r>
        <w:rPr>
          <w:color w:val="231F20"/>
          <w:spacing w:val="-1"/>
          <w:sz w:val="20"/>
        </w:rPr>
        <w:t>9</w:t>
      </w:r>
      <w:r>
        <w:rPr>
          <w:color w:val="231F20"/>
          <w:spacing w:val="-4"/>
          <w:sz w:val="20"/>
        </w:rPr>
        <w:t>7</w:t>
      </w:r>
      <w:r>
        <w:rPr>
          <w:color w:val="231F20"/>
          <w:spacing w:val="2"/>
          <w:sz w:val="20"/>
        </w:rPr>
        <w:t>2</w:t>
      </w:r>
      <w:r>
        <w:rPr>
          <w:color w:val="231F20"/>
          <w:w w:val="135"/>
          <w:sz w:val="20"/>
        </w:rPr>
        <w:t>,</w:t>
      </w:r>
      <w:r>
        <w:rPr>
          <w:color w:val="231F20"/>
          <w:spacing w:val="-2"/>
          <w:sz w:val="20"/>
        </w:rPr>
        <w:t xml:space="preserve"> </w:t>
      </w:r>
      <w:r>
        <w:rPr>
          <w:color w:val="231F20"/>
          <w:spacing w:val="-2"/>
          <w:w w:val="104"/>
          <w:sz w:val="20"/>
        </w:rPr>
        <w:t>o</w:t>
      </w:r>
      <w:r>
        <w:rPr>
          <w:color w:val="231F20"/>
          <w:spacing w:val="1"/>
          <w:w w:val="99"/>
          <w:sz w:val="20"/>
        </w:rPr>
        <w:t>p</w:t>
      </w:r>
      <w:r>
        <w:rPr>
          <w:color w:val="231F20"/>
          <w:w w:val="92"/>
          <w:sz w:val="20"/>
        </w:rPr>
        <w:t>e</w:t>
      </w:r>
      <w:r>
        <w:rPr>
          <w:color w:val="231F20"/>
          <w:spacing w:val="-1"/>
          <w:w w:val="92"/>
          <w:sz w:val="20"/>
        </w:rPr>
        <w:t>r</w:t>
      </w:r>
      <w:r>
        <w:rPr>
          <w:color w:val="231F20"/>
          <w:spacing w:val="-2"/>
          <w:w w:val="102"/>
          <w:sz w:val="20"/>
        </w:rPr>
        <w:t>a</w:t>
      </w:r>
      <w:r>
        <w:rPr>
          <w:color w:val="231F20"/>
          <w:spacing w:val="2"/>
          <w:w w:val="98"/>
          <w:sz w:val="20"/>
        </w:rPr>
        <w:t>t</w:t>
      </w:r>
      <w:r>
        <w:rPr>
          <w:color w:val="231F20"/>
          <w:spacing w:val="-2"/>
          <w:sz w:val="20"/>
        </w:rPr>
        <w:t>i</w:t>
      </w:r>
      <w:r>
        <w:rPr>
          <w:color w:val="231F20"/>
          <w:spacing w:val="-1"/>
          <w:w w:val="104"/>
          <w:sz w:val="20"/>
        </w:rPr>
        <w:t>o</w:t>
      </w:r>
      <w:r>
        <w:rPr>
          <w:color w:val="231F20"/>
          <w:spacing w:val="1"/>
          <w:w w:val="99"/>
          <w:sz w:val="20"/>
        </w:rPr>
        <w:t>n</w:t>
      </w:r>
      <w:r>
        <w:rPr>
          <w:color w:val="231F20"/>
          <w:spacing w:val="2"/>
          <w:w w:val="102"/>
          <w:sz w:val="20"/>
        </w:rPr>
        <w:t>al</w:t>
      </w:r>
      <w:r>
        <w:rPr>
          <w:color w:val="231F20"/>
          <w:spacing w:val="-2"/>
          <w:w w:val="102"/>
          <w:sz w:val="20"/>
        </w:rPr>
        <w:t>l</w:t>
      </w:r>
      <w:r>
        <w:rPr>
          <w:color w:val="231F20"/>
          <w:w w:val="99"/>
          <w:sz w:val="20"/>
        </w:rPr>
        <w:t>y</w:t>
      </w:r>
      <w:r>
        <w:rPr>
          <w:color w:val="231F20"/>
          <w:spacing w:val="-1"/>
          <w:sz w:val="20"/>
        </w:rPr>
        <w:t xml:space="preserve"> </w:t>
      </w:r>
      <w:r>
        <w:rPr>
          <w:color w:val="231F20"/>
          <w:sz w:val="20"/>
        </w:rPr>
        <w:t>d</w:t>
      </w:r>
      <w:r>
        <w:rPr>
          <w:color w:val="231F20"/>
          <w:w w:val="91"/>
          <w:sz w:val="20"/>
        </w:rPr>
        <w:t>e</w:t>
      </w:r>
      <w:r>
        <w:rPr>
          <w:color w:val="231F20"/>
          <w:spacing w:val="-3"/>
          <w:w w:val="99"/>
          <w:sz w:val="20"/>
        </w:rPr>
        <w:t>v</w:t>
      </w:r>
      <w:r>
        <w:rPr>
          <w:color w:val="231F20"/>
          <w:w w:val="102"/>
          <w:sz w:val="20"/>
        </w:rPr>
        <w:t>a</w:t>
      </w:r>
      <w:r>
        <w:rPr>
          <w:color w:val="231F20"/>
          <w:w w:val="90"/>
          <w:sz w:val="20"/>
        </w:rPr>
        <w:t>s</w:t>
      </w:r>
      <w:r>
        <w:rPr>
          <w:color w:val="231F20"/>
          <w:spacing w:val="2"/>
          <w:w w:val="98"/>
          <w:sz w:val="20"/>
        </w:rPr>
        <w:t>t</w:t>
      </w:r>
      <w:r>
        <w:rPr>
          <w:color w:val="231F20"/>
          <w:spacing w:val="-2"/>
          <w:w w:val="102"/>
          <w:sz w:val="20"/>
        </w:rPr>
        <w:t>a</w:t>
      </w:r>
      <w:r>
        <w:rPr>
          <w:color w:val="231F20"/>
          <w:w w:val="98"/>
          <w:sz w:val="20"/>
        </w:rPr>
        <w:t>t</w:t>
      </w:r>
      <w:r>
        <w:rPr>
          <w:color w:val="231F20"/>
          <w:w w:val="91"/>
          <w:sz w:val="20"/>
        </w:rPr>
        <w:t>e</w:t>
      </w:r>
      <w:r>
        <w:rPr>
          <w:color w:val="231F20"/>
          <w:spacing w:val="2"/>
          <w:sz w:val="20"/>
        </w:rPr>
        <w:t>d</w:t>
      </w:r>
      <w:r>
        <w:rPr>
          <w:color w:val="231F20"/>
          <w:w w:val="135"/>
          <w:sz w:val="20"/>
        </w:rPr>
        <w:t>,</w:t>
      </w:r>
      <w:r>
        <w:rPr>
          <w:color w:val="231F20"/>
          <w:spacing w:val="-1"/>
          <w:sz w:val="20"/>
        </w:rPr>
        <w:t xml:space="preserve"> </w:t>
      </w:r>
      <w:r>
        <w:rPr>
          <w:color w:val="231F20"/>
          <w:spacing w:val="2"/>
          <w:w w:val="98"/>
          <w:sz w:val="20"/>
        </w:rPr>
        <w:t>t</w:t>
      </w:r>
      <w:r>
        <w:rPr>
          <w:color w:val="231F20"/>
          <w:spacing w:val="-1"/>
          <w:sz w:val="20"/>
        </w:rPr>
        <w:t>h</w:t>
      </w:r>
      <w:r>
        <w:rPr>
          <w:color w:val="231F20"/>
          <w:w w:val="91"/>
          <w:sz w:val="20"/>
        </w:rPr>
        <w:t>e</w:t>
      </w:r>
      <w:r>
        <w:rPr>
          <w:color w:val="231F20"/>
          <w:spacing w:val="-1"/>
          <w:sz w:val="20"/>
        </w:rPr>
        <w:t xml:space="preserve"> </w:t>
      </w:r>
      <w:r w:rsidR="00C507A5">
        <w:rPr>
          <w:color w:val="231F20"/>
          <w:spacing w:val="8"/>
          <w:w w:val="116"/>
          <w:sz w:val="20"/>
        </w:rPr>
        <w:t>red army faction</w:t>
      </w:r>
      <w:r>
        <w:rPr>
          <w:color w:val="231F20"/>
          <w:spacing w:val="-1"/>
          <w:sz w:val="20"/>
        </w:rPr>
        <w:t xml:space="preserve"> </w:t>
      </w:r>
      <w:r>
        <w:rPr>
          <w:color w:val="231F20"/>
          <w:sz w:val="20"/>
        </w:rPr>
        <w:t>i</w:t>
      </w:r>
      <w:r>
        <w:rPr>
          <w:color w:val="231F20"/>
          <w:spacing w:val="1"/>
          <w:w w:val="90"/>
          <w:sz w:val="20"/>
        </w:rPr>
        <w:t>s</w:t>
      </w:r>
      <w:r>
        <w:rPr>
          <w:color w:val="231F20"/>
          <w:spacing w:val="-1"/>
          <w:w w:val="90"/>
          <w:sz w:val="20"/>
        </w:rPr>
        <w:t>s</w:t>
      </w:r>
      <w:r>
        <w:rPr>
          <w:color w:val="231F20"/>
          <w:sz w:val="20"/>
        </w:rPr>
        <w:t>u</w:t>
      </w:r>
      <w:r>
        <w:rPr>
          <w:color w:val="231F20"/>
          <w:w w:val="91"/>
          <w:sz w:val="20"/>
        </w:rPr>
        <w:t>e</w:t>
      </w:r>
      <w:r>
        <w:rPr>
          <w:color w:val="231F20"/>
          <w:sz w:val="20"/>
        </w:rPr>
        <w:t>d</w:t>
      </w:r>
      <w:r>
        <w:rPr>
          <w:color w:val="231F20"/>
          <w:spacing w:val="-1"/>
          <w:sz w:val="20"/>
        </w:rPr>
        <w:t xml:space="preserve"> </w:t>
      </w:r>
      <w:r>
        <w:rPr>
          <w:color w:val="231F20"/>
          <w:spacing w:val="-2"/>
          <w:sz w:val="20"/>
        </w:rPr>
        <w:t>i</w:t>
      </w:r>
      <w:r>
        <w:rPr>
          <w:color w:val="231F20"/>
          <w:spacing w:val="2"/>
          <w:w w:val="98"/>
          <w:sz w:val="20"/>
        </w:rPr>
        <w:t>t</w:t>
      </w:r>
      <w:r>
        <w:rPr>
          <w:color w:val="231F20"/>
          <w:w w:val="90"/>
          <w:sz w:val="20"/>
        </w:rPr>
        <w:t>s</w:t>
      </w:r>
      <w:r>
        <w:rPr>
          <w:color w:val="231F20"/>
          <w:spacing w:val="-1"/>
          <w:sz w:val="20"/>
        </w:rPr>
        <w:t xml:space="preserve"> </w:t>
      </w:r>
      <w:r>
        <w:rPr>
          <w:color w:val="231F20"/>
          <w:w w:val="95"/>
          <w:sz w:val="20"/>
        </w:rPr>
        <w:t>f</w:t>
      </w:r>
      <w:r>
        <w:rPr>
          <w:color w:val="231F20"/>
          <w:spacing w:val="5"/>
          <w:w w:val="95"/>
          <w:sz w:val="20"/>
        </w:rPr>
        <w:t>i</w:t>
      </w:r>
      <w:r>
        <w:rPr>
          <w:color w:val="231F20"/>
          <w:w w:val="94"/>
          <w:sz w:val="20"/>
        </w:rPr>
        <w:t>r</w:t>
      </w:r>
      <w:r>
        <w:rPr>
          <w:color w:val="231F20"/>
          <w:w w:val="90"/>
          <w:sz w:val="20"/>
        </w:rPr>
        <w:t>s</w:t>
      </w:r>
      <w:r>
        <w:rPr>
          <w:color w:val="231F20"/>
          <w:w w:val="98"/>
          <w:sz w:val="20"/>
        </w:rPr>
        <w:t xml:space="preserve">t </w:t>
      </w:r>
      <w:r>
        <w:rPr>
          <w:color w:val="231F20"/>
          <w:w w:val="110"/>
          <w:sz w:val="20"/>
        </w:rPr>
        <w:t>document</w:t>
      </w:r>
      <w:r>
        <w:rPr>
          <w:color w:val="231F20"/>
          <w:spacing w:val="-19"/>
          <w:w w:val="110"/>
          <w:sz w:val="20"/>
        </w:rPr>
        <w:t xml:space="preserve"> </w:t>
      </w:r>
      <w:r>
        <w:rPr>
          <w:color w:val="231F20"/>
          <w:w w:val="110"/>
          <w:sz w:val="20"/>
        </w:rPr>
        <w:t>from</w:t>
      </w:r>
      <w:r>
        <w:rPr>
          <w:color w:val="231F20"/>
          <w:spacing w:val="-19"/>
          <w:w w:val="110"/>
          <w:sz w:val="20"/>
        </w:rPr>
        <w:t xml:space="preserve"> </w:t>
      </w:r>
      <w:r>
        <w:rPr>
          <w:color w:val="231F20"/>
          <w:w w:val="110"/>
          <w:sz w:val="20"/>
        </w:rPr>
        <w:t>behind</w:t>
      </w:r>
      <w:r>
        <w:rPr>
          <w:color w:val="231F20"/>
          <w:spacing w:val="-19"/>
          <w:w w:val="110"/>
          <w:sz w:val="20"/>
        </w:rPr>
        <w:t xml:space="preserve"> </w:t>
      </w:r>
      <w:r>
        <w:rPr>
          <w:color w:val="231F20"/>
          <w:w w:val="110"/>
          <w:sz w:val="20"/>
        </w:rPr>
        <w:t>bars:</w:t>
      </w:r>
      <w:r>
        <w:rPr>
          <w:color w:val="231F20"/>
          <w:spacing w:val="-18"/>
          <w:w w:val="110"/>
          <w:sz w:val="20"/>
        </w:rPr>
        <w:t xml:space="preserve"> </w:t>
      </w:r>
      <w:r>
        <w:rPr>
          <w:i/>
          <w:color w:val="231F20"/>
          <w:w w:val="110"/>
          <w:sz w:val="20"/>
        </w:rPr>
        <w:t>The</w:t>
      </w:r>
      <w:r>
        <w:rPr>
          <w:i/>
          <w:color w:val="231F20"/>
          <w:spacing w:val="-19"/>
          <w:w w:val="110"/>
          <w:sz w:val="20"/>
        </w:rPr>
        <w:t xml:space="preserve"> </w:t>
      </w:r>
      <w:r>
        <w:rPr>
          <w:i/>
          <w:color w:val="231F20"/>
          <w:w w:val="110"/>
          <w:sz w:val="20"/>
        </w:rPr>
        <w:t>Black</w:t>
      </w:r>
      <w:r>
        <w:rPr>
          <w:i/>
          <w:color w:val="231F20"/>
          <w:spacing w:val="-19"/>
          <w:w w:val="110"/>
          <w:sz w:val="20"/>
        </w:rPr>
        <w:t xml:space="preserve"> </w:t>
      </w:r>
      <w:r>
        <w:rPr>
          <w:i/>
          <w:color w:val="231F20"/>
          <w:spacing w:val="1"/>
          <w:w w:val="110"/>
          <w:sz w:val="20"/>
        </w:rPr>
        <w:t>September</w:t>
      </w:r>
      <w:r>
        <w:rPr>
          <w:i/>
          <w:color w:val="231F20"/>
          <w:spacing w:val="-19"/>
          <w:w w:val="110"/>
          <w:sz w:val="20"/>
        </w:rPr>
        <w:t xml:space="preserve"> </w:t>
      </w:r>
      <w:r>
        <w:rPr>
          <w:i/>
          <w:color w:val="231F20"/>
          <w:w w:val="110"/>
          <w:sz w:val="20"/>
        </w:rPr>
        <w:t>Action</w:t>
      </w:r>
      <w:r>
        <w:rPr>
          <w:i/>
          <w:color w:val="231F20"/>
          <w:spacing w:val="-19"/>
          <w:w w:val="110"/>
          <w:sz w:val="20"/>
        </w:rPr>
        <w:t xml:space="preserve"> </w:t>
      </w:r>
      <w:r>
        <w:rPr>
          <w:i/>
          <w:color w:val="231F20"/>
          <w:w w:val="110"/>
          <w:sz w:val="20"/>
        </w:rPr>
        <w:t>in</w:t>
      </w:r>
      <w:r>
        <w:rPr>
          <w:i/>
          <w:color w:val="231F20"/>
          <w:spacing w:val="-19"/>
          <w:w w:val="110"/>
          <w:sz w:val="20"/>
        </w:rPr>
        <w:t xml:space="preserve"> </w:t>
      </w:r>
      <w:r>
        <w:rPr>
          <w:i/>
          <w:color w:val="231F20"/>
          <w:w w:val="110"/>
          <w:sz w:val="20"/>
        </w:rPr>
        <w:t>Munich:</w:t>
      </w:r>
      <w:r w:rsidR="005850FE">
        <w:rPr>
          <w:i/>
          <w:color w:val="231F20"/>
          <w:w w:val="110"/>
          <w:sz w:val="20"/>
        </w:rPr>
        <w:t xml:space="preserve"> </w:t>
      </w:r>
      <w:r>
        <w:rPr>
          <w:i/>
          <w:color w:val="231F20"/>
          <w:w w:val="105"/>
        </w:rPr>
        <w:t>Regarding the Strategy for Anti-Imperialist Struggle</w:t>
      </w:r>
      <w:r>
        <w:rPr>
          <w:color w:val="231F20"/>
          <w:w w:val="105"/>
        </w:rPr>
        <w:t>. Written by one or</w:t>
      </w:r>
      <w:r>
        <w:rPr>
          <w:color w:val="231F20"/>
          <w:spacing w:val="-17"/>
          <w:w w:val="105"/>
        </w:rPr>
        <w:t xml:space="preserve"> </w:t>
      </w:r>
      <w:r>
        <w:rPr>
          <w:color w:val="231F20"/>
          <w:w w:val="105"/>
        </w:rPr>
        <w:t>several</w:t>
      </w:r>
      <w:r>
        <w:rPr>
          <w:color w:val="231F20"/>
          <w:spacing w:val="-17"/>
          <w:w w:val="105"/>
        </w:rPr>
        <w:t xml:space="preserve"> </w:t>
      </w:r>
      <w:r>
        <w:rPr>
          <w:color w:val="231F20"/>
          <w:w w:val="105"/>
        </w:rPr>
        <w:t>of</w:t>
      </w:r>
      <w:r>
        <w:rPr>
          <w:color w:val="231F20"/>
          <w:spacing w:val="-17"/>
          <w:w w:val="105"/>
        </w:rPr>
        <w:t xml:space="preserve"> </w:t>
      </w:r>
      <w:r>
        <w:rPr>
          <w:color w:val="231F20"/>
          <w:w w:val="105"/>
        </w:rPr>
        <w:t>the</w:t>
      </w:r>
      <w:r>
        <w:rPr>
          <w:color w:val="231F20"/>
          <w:spacing w:val="-17"/>
          <w:w w:val="105"/>
        </w:rPr>
        <w:t xml:space="preserve"> </w:t>
      </w:r>
      <w:r>
        <w:rPr>
          <w:color w:val="231F20"/>
          <w:w w:val="105"/>
        </w:rPr>
        <w:t>captured</w:t>
      </w:r>
      <w:r>
        <w:rPr>
          <w:color w:val="231F20"/>
          <w:spacing w:val="-17"/>
          <w:w w:val="105"/>
        </w:rPr>
        <w:t xml:space="preserve"> </w:t>
      </w:r>
      <w:r>
        <w:rPr>
          <w:color w:val="231F20"/>
          <w:w w:val="105"/>
        </w:rPr>
        <w:t>combatants,</w:t>
      </w:r>
      <w:r>
        <w:rPr>
          <w:color w:val="231F20"/>
          <w:spacing w:val="-17"/>
          <w:w w:val="105"/>
        </w:rPr>
        <w:t xml:space="preserve"> </w:t>
      </w:r>
      <w:r>
        <w:rPr>
          <w:color w:val="231F20"/>
          <w:w w:val="105"/>
        </w:rPr>
        <w:t>the</w:t>
      </w:r>
      <w:r>
        <w:rPr>
          <w:color w:val="231F20"/>
          <w:spacing w:val="-17"/>
          <w:w w:val="105"/>
        </w:rPr>
        <w:t xml:space="preserve"> </w:t>
      </w:r>
      <w:r>
        <w:rPr>
          <w:color w:val="231F20"/>
          <w:w w:val="105"/>
        </w:rPr>
        <w:t>text</w:t>
      </w:r>
      <w:r>
        <w:rPr>
          <w:color w:val="231F20"/>
          <w:spacing w:val="-17"/>
          <w:w w:val="105"/>
        </w:rPr>
        <w:t xml:space="preserve"> </w:t>
      </w:r>
      <w:r>
        <w:rPr>
          <w:color w:val="231F20"/>
          <w:w w:val="105"/>
        </w:rPr>
        <w:t>was</w:t>
      </w:r>
      <w:r>
        <w:rPr>
          <w:color w:val="231F20"/>
          <w:spacing w:val="-17"/>
          <w:w w:val="105"/>
        </w:rPr>
        <w:t xml:space="preserve"> </w:t>
      </w:r>
      <w:r>
        <w:rPr>
          <w:color w:val="231F20"/>
          <w:w w:val="105"/>
        </w:rPr>
        <w:t>first</w:t>
      </w:r>
      <w:r>
        <w:rPr>
          <w:color w:val="231F20"/>
          <w:spacing w:val="-17"/>
          <w:w w:val="105"/>
        </w:rPr>
        <w:t xml:space="preserve"> </w:t>
      </w:r>
      <w:r>
        <w:rPr>
          <w:color w:val="231F20"/>
          <w:w w:val="105"/>
        </w:rPr>
        <w:t>made</w:t>
      </w:r>
      <w:r>
        <w:rPr>
          <w:color w:val="231F20"/>
          <w:spacing w:val="-17"/>
          <w:w w:val="105"/>
        </w:rPr>
        <w:t xml:space="preserve"> </w:t>
      </w:r>
      <w:r>
        <w:rPr>
          <w:color w:val="231F20"/>
          <w:w w:val="105"/>
        </w:rPr>
        <w:t>public</w:t>
      </w:r>
      <w:r>
        <w:rPr>
          <w:color w:val="231F20"/>
          <w:spacing w:val="-17"/>
          <w:w w:val="105"/>
        </w:rPr>
        <w:t xml:space="preserve"> </w:t>
      </w:r>
      <w:r>
        <w:rPr>
          <w:color w:val="231F20"/>
          <w:w w:val="105"/>
        </w:rPr>
        <w:t xml:space="preserve">in </w:t>
      </w:r>
      <w:r>
        <w:rPr>
          <w:color w:val="231F20"/>
          <w:spacing w:val="-3"/>
          <w:w w:val="105"/>
        </w:rPr>
        <w:t>West</w:t>
      </w:r>
      <w:r>
        <w:rPr>
          <w:color w:val="231F20"/>
          <w:spacing w:val="-25"/>
          <w:w w:val="105"/>
        </w:rPr>
        <w:t xml:space="preserve"> </w:t>
      </w:r>
      <w:r>
        <w:rPr>
          <w:color w:val="231F20"/>
          <w:w w:val="105"/>
        </w:rPr>
        <w:t>Berlin</w:t>
      </w:r>
      <w:r>
        <w:rPr>
          <w:color w:val="231F20"/>
          <w:spacing w:val="-25"/>
          <w:w w:val="105"/>
        </w:rPr>
        <w:t xml:space="preserve"> </w:t>
      </w:r>
      <w:r>
        <w:rPr>
          <w:color w:val="231F20"/>
          <w:w w:val="105"/>
        </w:rPr>
        <w:t>at</w:t>
      </w:r>
      <w:r>
        <w:rPr>
          <w:color w:val="231F20"/>
          <w:spacing w:val="-25"/>
          <w:w w:val="105"/>
        </w:rPr>
        <w:t xml:space="preserve"> </w:t>
      </w:r>
      <w:r>
        <w:rPr>
          <w:color w:val="231F20"/>
          <w:w w:val="105"/>
        </w:rPr>
        <w:t>Mahler’s</w:t>
      </w:r>
      <w:r>
        <w:rPr>
          <w:color w:val="231F20"/>
          <w:spacing w:val="-25"/>
          <w:w w:val="105"/>
        </w:rPr>
        <w:t xml:space="preserve"> </w:t>
      </w:r>
      <w:r>
        <w:rPr>
          <w:color w:val="231F20"/>
          <w:w w:val="105"/>
        </w:rPr>
        <w:t>second</w:t>
      </w:r>
      <w:r>
        <w:rPr>
          <w:color w:val="231F20"/>
          <w:spacing w:val="-25"/>
          <w:w w:val="105"/>
        </w:rPr>
        <w:t xml:space="preserve"> </w:t>
      </w:r>
      <w:r w:rsidR="00C507A5">
        <w:rPr>
          <w:color w:val="231F20"/>
          <w:spacing w:val="5"/>
          <w:w w:val="105"/>
        </w:rPr>
        <w:t>red army faction</w:t>
      </w:r>
      <w:r>
        <w:rPr>
          <w:color w:val="231F20"/>
          <w:spacing w:val="-25"/>
          <w:w w:val="105"/>
        </w:rPr>
        <w:t xml:space="preserve"> </w:t>
      </w:r>
      <w:r>
        <w:rPr>
          <w:color w:val="231F20"/>
          <w:w w:val="105"/>
        </w:rPr>
        <w:t>trial,</w:t>
      </w:r>
      <w:r>
        <w:rPr>
          <w:color w:val="231F20"/>
          <w:spacing w:val="-25"/>
          <w:w w:val="105"/>
        </w:rPr>
        <w:t xml:space="preserve"> </w:t>
      </w:r>
      <w:r>
        <w:rPr>
          <w:color w:val="231F20"/>
          <w:w w:val="105"/>
        </w:rPr>
        <w:t>during</w:t>
      </w:r>
      <w:r>
        <w:rPr>
          <w:color w:val="231F20"/>
          <w:spacing w:val="-25"/>
          <w:w w:val="105"/>
        </w:rPr>
        <w:t xml:space="preserve"> </w:t>
      </w:r>
      <w:r>
        <w:rPr>
          <w:color w:val="231F20"/>
          <w:w w:val="105"/>
        </w:rPr>
        <w:t>which</w:t>
      </w:r>
      <w:r>
        <w:rPr>
          <w:color w:val="231F20"/>
          <w:spacing w:val="-25"/>
          <w:w w:val="105"/>
        </w:rPr>
        <w:t xml:space="preserve"> </w:t>
      </w:r>
      <w:r>
        <w:rPr>
          <w:color w:val="231F20"/>
          <w:w w:val="105"/>
        </w:rPr>
        <w:t>he</w:t>
      </w:r>
      <w:r>
        <w:rPr>
          <w:color w:val="231F20"/>
          <w:spacing w:val="-25"/>
          <w:w w:val="105"/>
        </w:rPr>
        <w:t xml:space="preserve"> </w:t>
      </w:r>
      <w:r>
        <w:rPr>
          <w:color w:val="231F20"/>
          <w:w w:val="105"/>
        </w:rPr>
        <w:t>faced</w:t>
      </w:r>
      <w:r>
        <w:rPr>
          <w:color w:val="231F20"/>
          <w:spacing w:val="-25"/>
          <w:w w:val="105"/>
        </w:rPr>
        <w:t xml:space="preserve"> </w:t>
      </w:r>
      <w:r>
        <w:rPr>
          <w:color w:val="231F20"/>
          <w:w w:val="105"/>
        </w:rPr>
        <w:t>charges of</w:t>
      </w:r>
      <w:r>
        <w:rPr>
          <w:color w:val="231F20"/>
          <w:spacing w:val="-27"/>
          <w:w w:val="105"/>
        </w:rPr>
        <w:t xml:space="preserve"> </w:t>
      </w:r>
      <w:r>
        <w:rPr>
          <w:color w:val="231F20"/>
          <w:w w:val="105"/>
        </w:rPr>
        <w:t>conspiracy</w:t>
      </w:r>
      <w:r>
        <w:rPr>
          <w:color w:val="231F20"/>
          <w:spacing w:val="-27"/>
          <w:w w:val="105"/>
        </w:rPr>
        <w:t xml:space="preserve"> </w:t>
      </w:r>
      <w:r>
        <w:rPr>
          <w:color w:val="231F20"/>
          <w:w w:val="105"/>
        </w:rPr>
        <w:t>and</w:t>
      </w:r>
      <w:r>
        <w:rPr>
          <w:color w:val="231F20"/>
          <w:spacing w:val="-27"/>
          <w:w w:val="105"/>
        </w:rPr>
        <w:t xml:space="preserve"> </w:t>
      </w:r>
      <w:r>
        <w:rPr>
          <w:color w:val="231F20"/>
          <w:w w:val="105"/>
        </w:rPr>
        <w:t>establishing</w:t>
      </w:r>
      <w:r>
        <w:rPr>
          <w:color w:val="231F20"/>
          <w:spacing w:val="-27"/>
          <w:w w:val="105"/>
        </w:rPr>
        <w:t xml:space="preserve"> </w:t>
      </w:r>
      <w:r>
        <w:rPr>
          <w:color w:val="231F20"/>
          <w:w w:val="105"/>
        </w:rPr>
        <w:t>a</w:t>
      </w:r>
      <w:r>
        <w:rPr>
          <w:color w:val="231F20"/>
          <w:spacing w:val="-27"/>
          <w:w w:val="105"/>
        </w:rPr>
        <w:t xml:space="preserve"> </w:t>
      </w:r>
      <w:r>
        <w:rPr>
          <w:color w:val="231F20"/>
          <w:w w:val="105"/>
        </w:rPr>
        <w:t>terrorist</w:t>
      </w:r>
      <w:r>
        <w:rPr>
          <w:color w:val="231F20"/>
          <w:spacing w:val="-27"/>
          <w:w w:val="105"/>
        </w:rPr>
        <w:t xml:space="preserve"> </w:t>
      </w:r>
      <w:r>
        <w:rPr>
          <w:color w:val="231F20"/>
          <w:w w:val="105"/>
        </w:rPr>
        <w:t>organization.</w:t>
      </w:r>
      <w:r>
        <w:rPr>
          <w:color w:val="231F20"/>
          <w:spacing w:val="-27"/>
          <w:w w:val="105"/>
        </w:rPr>
        <w:t xml:space="preserve"> </w:t>
      </w:r>
      <w:r>
        <w:rPr>
          <w:color w:val="231F20"/>
          <w:w w:val="105"/>
        </w:rPr>
        <w:t>The</w:t>
      </w:r>
      <w:r>
        <w:rPr>
          <w:color w:val="231F20"/>
          <w:spacing w:val="-27"/>
          <w:w w:val="105"/>
        </w:rPr>
        <w:t xml:space="preserve"> </w:t>
      </w:r>
      <w:r>
        <w:rPr>
          <w:color w:val="231F20"/>
          <w:w w:val="105"/>
        </w:rPr>
        <w:t>former</w:t>
      </w:r>
      <w:r>
        <w:rPr>
          <w:color w:val="231F20"/>
          <w:spacing w:val="-27"/>
          <w:w w:val="105"/>
        </w:rPr>
        <w:t xml:space="preserve"> </w:t>
      </w:r>
      <w:r>
        <w:rPr>
          <w:color w:val="231F20"/>
          <w:w w:val="105"/>
        </w:rPr>
        <w:t>lawyer</w:t>
      </w:r>
      <w:r>
        <w:rPr>
          <w:color w:val="231F20"/>
          <w:spacing w:val="-18"/>
          <w:w w:val="105"/>
        </w:rPr>
        <w:t xml:space="preserve"> </w:t>
      </w:r>
      <w:r>
        <w:rPr>
          <w:color w:val="231F20"/>
          <w:w w:val="105"/>
        </w:rPr>
        <w:t>worked</w:t>
      </w:r>
      <w:r>
        <w:rPr>
          <w:color w:val="231F20"/>
          <w:spacing w:val="-18"/>
          <w:w w:val="105"/>
        </w:rPr>
        <w:t xml:space="preserve"> </w:t>
      </w:r>
      <w:r>
        <w:rPr>
          <w:color w:val="231F20"/>
          <w:w w:val="105"/>
        </w:rPr>
        <w:t>it</w:t>
      </w:r>
      <w:r>
        <w:rPr>
          <w:color w:val="231F20"/>
          <w:spacing w:val="-18"/>
          <w:w w:val="105"/>
        </w:rPr>
        <w:t xml:space="preserve"> </w:t>
      </w:r>
      <w:r>
        <w:rPr>
          <w:color w:val="231F20"/>
          <w:w w:val="105"/>
        </w:rPr>
        <w:t>into</w:t>
      </w:r>
      <w:r>
        <w:rPr>
          <w:color w:val="231F20"/>
          <w:spacing w:val="-18"/>
          <w:w w:val="105"/>
        </w:rPr>
        <w:t xml:space="preserve"> </w:t>
      </w:r>
      <w:r>
        <w:rPr>
          <w:color w:val="231F20"/>
          <w:w w:val="105"/>
        </w:rPr>
        <w:t>the</w:t>
      </w:r>
      <w:r>
        <w:rPr>
          <w:color w:val="231F20"/>
          <w:spacing w:val="-18"/>
          <w:w w:val="105"/>
        </w:rPr>
        <w:t xml:space="preserve"> </w:t>
      </w:r>
      <w:r>
        <w:rPr>
          <w:color w:val="231F20"/>
          <w:w w:val="105"/>
        </w:rPr>
        <w:t>court</w:t>
      </w:r>
      <w:r>
        <w:rPr>
          <w:color w:val="231F20"/>
          <w:spacing w:val="-18"/>
          <w:w w:val="105"/>
        </w:rPr>
        <w:t xml:space="preserve"> </w:t>
      </w:r>
      <w:r>
        <w:rPr>
          <w:color w:val="231F20"/>
          <w:w w:val="105"/>
        </w:rPr>
        <w:t>record</w:t>
      </w:r>
      <w:r>
        <w:rPr>
          <w:color w:val="231F20"/>
          <w:spacing w:val="-18"/>
          <w:w w:val="105"/>
        </w:rPr>
        <w:t xml:space="preserve"> </w:t>
      </w:r>
      <w:r>
        <w:rPr>
          <w:color w:val="231F20"/>
          <w:w w:val="105"/>
        </w:rPr>
        <w:t>by</w:t>
      </w:r>
      <w:r>
        <w:rPr>
          <w:color w:val="231F20"/>
          <w:spacing w:val="-18"/>
          <w:w w:val="105"/>
        </w:rPr>
        <w:t xml:space="preserve"> </w:t>
      </w:r>
      <w:r>
        <w:rPr>
          <w:color w:val="231F20"/>
          <w:w w:val="105"/>
        </w:rPr>
        <w:t>using</w:t>
      </w:r>
      <w:r>
        <w:rPr>
          <w:color w:val="231F20"/>
          <w:spacing w:val="-18"/>
          <w:w w:val="105"/>
        </w:rPr>
        <w:t xml:space="preserve"> </w:t>
      </w:r>
      <w:r>
        <w:rPr>
          <w:color w:val="231F20"/>
          <w:w w:val="105"/>
        </w:rPr>
        <w:t>it</w:t>
      </w:r>
      <w:r>
        <w:rPr>
          <w:color w:val="231F20"/>
          <w:spacing w:val="-18"/>
          <w:w w:val="105"/>
        </w:rPr>
        <w:t xml:space="preserve"> </w:t>
      </w:r>
      <w:r>
        <w:rPr>
          <w:color w:val="231F20"/>
          <w:w w:val="105"/>
        </w:rPr>
        <w:t>as</w:t>
      </w:r>
      <w:r>
        <w:rPr>
          <w:color w:val="231F20"/>
          <w:spacing w:val="-18"/>
          <w:w w:val="105"/>
        </w:rPr>
        <w:t xml:space="preserve"> </w:t>
      </w:r>
      <w:r>
        <w:rPr>
          <w:color w:val="231F20"/>
          <w:w w:val="105"/>
        </w:rPr>
        <w:t>the</w:t>
      </w:r>
      <w:r>
        <w:rPr>
          <w:color w:val="231F20"/>
          <w:spacing w:val="-18"/>
          <w:w w:val="105"/>
        </w:rPr>
        <w:t xml:space="preserve"> </w:t>
      </w:r>
      <w:r>
        <w:rPr>
          <w:color w:val="231F20"/>
          <w:w w:val="105"/>
        </w:rPr>
        <w:t>basis</w:t>
      </w:r>
      <w:r>
        <w:rPr>
          <w:color w:val="231F20"/>
          <w:spacing w:val="-18"/>
          <w:w w:val="105"/>
        </w:rPr>
        <w:t xml:space="preserve"> </w:t>
      </w:r>
      <w:r>
        <w:rPr>
          <w:color w:val="231F20"/>
          <w:w w:val="105"/>
        </w:rPr>
        <w:t>for</w:t>
      </w:r>
      <w:r>
        <w:rPr>
          <w:color w:val="231F20"/>
          <w:spacing w:val="-18"/>
          <w:w w:val="105"/>
        </w:rPr>
        <w:t xml:space="preserve"> </w:t>
      </w:r>
      <w:r>
        <w:rPr>
          <w:color w:val="231F20"/>
          <w:w w:val="105"/>
        </w:rPr>
        <w:t>questions to Ulrike Meinhof, whom he had called as a witness. By November, it was</w:t>
      </w:r>
      <w:r>
        <w:rPr>
          <w:color w:val="231F20"/>
          <w:spacing w:val="-17"/>
          <w:w w:val="105"/>
        </w:rPr>
        <w:t xml:space="preserve"> </w:t>
      </w:r>
      <w:r>
        <w:rPr>
          <w:color w:val="231F20"/>
          <w:w w:val="105"/>
        </w:rPr>
        <w:t>being</w:t>
      </w:r>
      <w:r>
        <w:rPr>
          <w:color w:val="231F20"/>
          <w:spacing w:val="-17"/>
          <w:w w:val="105"/>
        </w:rPr>
        <w:t xml:space="preserve"> </w:t>
      </w:r>
      <w:r>
        <w:rPr>
          <w:color w:val="231F20"/>
          <w:w w:val="105"/>
        </w:rPr>
        <w:t>distributed</w:t>
      </w:r>
      <w:r>
        <w:rPr>
          <w:color w:val="231F20"/>
          <w:spacing w:val="-17"/>
          <w:w w:val="105"/>
        </w:rPr>
        <w:t xml:space="preserve"> </w:t>
      </w:r>
      <w:r>
        <w:rPr>
          <w:color w:val="231F20"/>
          <w:w w:val="105"/>
        </w:rPr>
        <w:t>by</w:t>
      </w:r>
      <w:r>
        <w:rPr>
          <w:color w:val="231F20"/>
          <w:spacing w:val="-17"/>
          <w:w w:val="105"/>
        </w:rPr>
        <w:t xml:space="preserve"> </w:t>
      </w:r>
      <w:r>
        <w:rPr>
          <w:color w:val="231F20"/>
          <w:w w:val="105"/>
        </w:rPr>
        <w:t>outside</w:t>
      </w:r>
      <w:r>
        <w:rPr>
          <w:color w:val="231F20"/>
          <w:spacing w:val="-17"/>
          <w:w w:val="105"/>
        </w:rPr>
        <w:t xml:space="preserve"> </w:t>
      </w:r>
      <w:r>
        <w:rPr>
          <w:color w:val="231F20"/>
          <w:w w:val="105"/>
        </w:rPr>
        <w:t>supporters</w:t>
      </w:r>
      <w:r>
        <w:rPr>
          <w:color w:val="231F20"/>
          <w:spacing w:val="-17"/>
          <w:w w:val="105"/>
        </w:rPr>
        <w:t xml:space="preserve"> </w:t>
      </w:r>
      <w:r>
        <w:rPr>
          <w:color w:val="231F20"/>
          <w:w w:val="105"/>
        </w:rPr>
        <w:t>in</w:t>
      </w:r>
      <w:r>
        <w:rPr>
          <w:color w:val="231F20"/>
          <w:spacing w:val="-17"/>
          <w:w w:val="105"/>
        </w:rPr>
        <w:t xml:space="preserve"> </w:t>
      </w:r>
      <w:r>
        <w:rPr>
          <w:color w:val="231F20"/>
          <w:w w:val="105"/>
        </w:rPr>
        <w:t>magazine</w:t>
      </w:r>
      <w:r>
        <w:rPr>
          <w:color w:val="231F20"/>
          <w:spacing w:val="-17"/>
          <w:w w:val="105"/>
        </w:rPr>
        <w:t xml:space="preserve"> </w:t>
      </w:r>
      <w:r>
        <w:rPr>
          <w:color w:val="231F20"/>
          <w:w w:val="105"/>
        </w:rPr>
        <w:t>format</w:t>
      </w:r>
      <w:r>
        <w:rPr>
          <w:color w:val="231F20"/>
          <w:spacing w:val="-17"/>
          <w:w w:val="105"/>
        </w:rPr>
        <w:t xml:space="preserve"> </w:t>
      </w:r>
      <w:r>
        <w:rPr>
          <w:color w:val="231F20"/>
          <w:w w:val="105"/>
        </w:rPr>
        <w:t>as</w:t>
      </w:r>
      <w:r>
        <w:rPr>
          <w:color w:val="231F20"/>
          <w:spacing w:val="-17"/>
          <w:w w:val="105"/>
        </w:rPr>
        <w:t xml:space="preserve"> </w:t>
      </w:r>
      <w:r>
        <w:rPr>
          <w:color w:val="231F20"/>
          <w:w w:val="105"/>
        </w:rPr>
        <w:t xml:space="preserve">the </w:t>
      </w:r>
      <w:r w:rsidR="00C507A5">
        <w:rPr>
          <w:color w:val="231F20"/>
          <w:spacing w:val="1"/>
          <w:w w:val="105"/>
        </w:rPr>
        <w:t>red army faction</w:t>
      </w:r>
      <w:r>
        <w:rPr>
          <w:color w:val="231F20"/>
          <w:spacing w:val="1"/>
          <w:w w:val="105"/>
        </w:rPr>
        <w:t xml:space="preserve">’s </w:t>
      </w:r>
      <w:r>
        <w:rPr>
          <w:color w:val="231F20"/>
          <w:w w:val="105"/>
        </w:rPr>
        <w:t>third major</w:t>
      </w:r>
      <w:r>
        <w:rPr>
          <w:color w:val="231F20"/>
          <w:spacing w:val="21"/>
          <w:w w:val="105"/>
        </w:rPr>
        <w:t xml:space="preserve"> </w:t>
      </w:r>
      <w:r>
        <w:rPr>
          <w:color w:val="231F20"/>
          <w:w w:val="105"/>
        </w:rPr>
        <w:t>publication.</w:t>
      </w:r>
    </w:p>
    <w:p w14:paraId="6D3A660F" w14:textId="77777777" w:rsidR="002653E8" w:rsidRDefault="00000000">
      <w:pPr>
        <w:pStyle w:val="a3"/>
        <w:spacing w:line="264" w:lineRule="auto"/>
        <w:ind w:left="1327" w:right="3449" w:firstLine="210"/>
        <w:jc w:val="both"/>
      </w:pPr>
      <w:r>
        <w:rPr>
          <w:noProof w:val="0"/>
        </w:rPr>
        <w:pict w14:anchorId="632DCA7E">
          <v:group id="_x0000_s2490" style="position:absolute;left:0;text-align:left;margin-left:269.45pt;margin-top:3.1pt;width:105.2pt;height:147.7pt;z-index:5080;mso-position-horizontal-relative:page" coordorigin="5389,62" coordsize="2104,2954">
            <v:shape id="_x0000_s2492" type="#_x0000_t75" style="position:absolute;left:5591;top:293;width:1698;height:2414">
              <v:imagedata r:id="rId162" o:title=""/>
            </v:shape>
            <v:rect id="_x0000_s2491" style="position:absolute;left:5398;top:70;width:2085;height:2936" filled="f" strokecolor="#231f20" strokeweight=".32878mm"/>
            <w10:wrap anchorx="page"/>
          </v:group>
        </w:pict>
      </w:r>
      <w:r w:rsidR="003115E3">
        <w:rPr>
          <w:color w:val="231F20"/>
          <w:spacing w:val="1"/>
        </w:rPr>
        <w:t xml:space="preserve">In </w:t>
      </w:r>
      <w:r w:rsidR="003115E3">
        <w:rPr>
          <w:color w:val="231F20"/>
        </w:rPr>
        <w:t xml:space="preserve">this paper, the </w:t>
      </w:r>
      <w:r w:rsidR="00C507A5">
        <w:rPr>
          <w:color w:val="231F20"/>
          <w:spacing w:val="5"/>
        </w:rPr>
        <w:t>red army faction</w:t>
      </w:r>
      <w:r w:rsidR="003115E3">
        <w:rPr>
          <w:color w:val="231F20"/>
          <w:spacing w:val="5"/>
        </w:rPr>
        <w:t xml:space="preserve"> </w:t>
      </w:r>
      <w:r w:rsidR="003115E3">
        <w:rPr>
          <w:color w:val="231F20"/>
        </w:rPr>
        <w:t xml:space="preserve">re-examined the geopolitics of anti-imperialism and the class base for revolution in the First </w:t>
      </w:r>
      <w:r w:rsidR="003115E3">
        <w:rPr>
          <w:color w:val="231F20"/>
          <w:spacing w:val="-4"/>
        </w:rPr>
        <w:t xml:space="preserve">World </w:t>
      </w:r>
      <w:r w:rsidR="003115E3">
        <w:rPr>
          <w:color w:val="231F20"/>
        </w:rPr>
        <w:t xml:space="preserve">while responding angrily to Frankfurt School intellectual Oskar Negt, who had recently emerged as a vocal critic of armed struggle  in the FRG. What caught people’s attention most was the </w:t>
      </w:r>
      <w:r w:rsidR="00C507A5">
        <w:rPr>
          <w:color w:val="231F20"/>
          <w:spacing w:val="1"/>
        </w:rPr>
        <w:t>red army faction</w:t>
      </w:r>
      <w:r w:rsidR="003115E3">
        <w:rPr>
          <w:color w:val="231F20"/>
          <w:spacing w:val="1"/>
        </w:rPr>
        <w:t xml:space="preserve">’s </w:t>
      </w:r>
      <w:r w:rsidR="003115E3">
        <w:rPr>
          <w:color w:val="231F20"/>
        </w:rPr>
        <w:t>expression of warm solidarity with the Palestinian group Black September, which had carried out a daring, and ultimately tragic, hostage-taking during the</w:t>
      </w:r>
      <w:r w:rsidR="003115E3">
        <w:rPr>
          <w:color w:val="231F20"/>
          <w:spacing w:val="15"/>
        </w:rPr>
        <w:t xml:space="preserve"> </w:t>
      </w:r>
      <w:r w:rsidR="003115E3">
        <w:rPr>
          <w:color w:val="231F20"/>
        </w:rPr>
        <w:t>Munich</w:t>
      </w:r>
      <w:r w:rsidR="003115E3">
        <w:rPr>
          <w:color w:val="231F20"/>
          <w:spacing w:val="15"/>
        </w:rPr>
        <w:t xml:space="preserve"> </w:t>
      </w:r>
      <w:r w:rsidR="003115E3">
        <w:rPr>
          <w:color w:val="231F20"/>
        </w:rPr>
        <w:t>Olympics</w:t>
      </w:r>
      <w:r w:rsidR="003115E3">
        <w:rPr>
          <w:color w:val="231F20"/>
          <w:spacing w:val="15"/>
        </w:rPr>
        <w:t xml:space="preserve"> </w:t>
      </w:r>
      <w:r w:rsidR="003115E3">
        <w:rPr>
          <w:color w:val="231F20"/>
        </w:rPr>
        <w:t>just</w:t>
      </w:r>
      <w:r w:rsidR="003115E3">
        <w:rPr>
          <w:color w:val="231F20"/>
          <w:spacing w:val="15"/>
        </w:rPr>
        <w:t xml:space="preserve"> </w:t>
      </w:r>
      <w:r w:rsidR="003115E3">
        <w:rPr>
          <w:color w:val="231F20"/>
        </w:rPr>
        <w:t>months</w:t>
      </w:r>
      <w:r w:rsidR="003115E3">
        <w:rPr>
          <w:color w:val="231F20"/>
          <w:spacing w:val="15"/>
        </w:rPr>
        <w:t xml:space="preserve"> </w:t>
      </w:r>
      <w:r w:rsidR="003115E3">
        <w:rPr>
          <w:color w:val="231F20"/>
        </w:rPr>
        <w:t>earlier.</w:t>
      </w:r>
    </w:p>
    <w:p w14:paraId="746A2CFB" w14:textId="77777777" w:rsidR="002653E8" w:rsidRDefault="002653E8">
      <w:pPr>
        <w:spacing w:line="264" w:lineRule="auto"/>
        <w:jc w:val="both"/>
        <w:sectPr w:rsidR="002653E8">
          <w:footerReference w:type="even" r:id="rId163"/>
          <w:footerReference w:type="default" r:id="rId164"/>
          <w:pgSz w:w="8640" w:h="12960"/>
          <w:pgMar w:top="1220" w:right="0" w:bottom="1040" w:left="0" w:header="0" w:footer="850" w:gutter="0"/>
          <w:pgNumType w:start="187"/>
          <w:cols w:space="720"/>
        </w:sectPr>
      </w:pPr>
    </w:p>
    <w:p w14:paraId="284C89CD" w14:textId="77777777" w:rsidR="002653E8" w:rsidRDefault="003115E3">
      <w:pPr>
        <w:pStyle w:val="a3"/>
        <w:spacing w:before="86" w:line="264" w:lineRule="auto"/>
        <w:ind w:left="1147" w:right="1327" w:firstLine="210"/>
        <w:jc w:val="both"/>
        <w:rPr>
          <w:sz w:val="11"/>
        </w:rPr>
      </w:pPr>
      <w:r>
        <w:rPr>
          <w:color w:val="231F20"/>
        </w:rPr>
        <w:lastRenderedPageBreak/>
        <w:t>“The guerillas took part in a courageous action,” Mahler explained,  “in which they were ready to sacrifice themselves. The only fault the Black September guerillas can be reproached for is that they did not take</w:t>
      </w:r>
      <w:r>
        <w:rPr>
          <w:color w:val="231F20"/>
          <w:spacing w:val="15"/>
        </w:rPr>
        <w:t xml:space="preserve"> </w:t>
      </w:r>
      <w:r>
        <w:rPr>
          <w:color w:val="231F20"/>
        </w:rPr>
        <w:t>Interior</w:t>
      </w:r>
      <w:r>
        <w:rPr>
          <w:color w:val="231F20"/>
          <w:spacing w:val="15"/>
        </w:rPr>
        <w:t xml:space="preserve"> </w:t>
      </w:r>
      <w:r>
        <w:rPr>
          <w:color w:val="231F20"/>
        </w:rPr>
        <w:t>Minister</w:t>
      </w:r>
      <w:r>
        <w:rPr>
          <w:color w:val="231F20"/>
          <w:spacing w:val="15"/>
        </w:rPr>
        <w:t xml:space="preserve"> </w:t>
      </w:r>
      <w:r>
        <w:rPr>
          <w:color w:val="231F20"/>
        </w:rPr>
        <w:t>Hans-Dietrich</w:t>
      </w:r>
      <w:r>
        <w:rPr>
          <w:color w:val="231F20"/>
          <w:spacing w:val="16"/>
        </w:rPr>
        <w:t xml:space="preserve"> </w:t>
      </w:r>
      <w:r>
        <w:rPr>
          <w:color w:val="231F20"/>
        </w:rPr>
        <w:t>Genscher</w:t>
      </w:r>
      <w:r>
        <w:rPr>
          <w:color w:val="231F20"/>
          <w:spacing w:val="15"/>
        </w:rPr>
        <w:t xml:space="preserve"> </w:t>
      </w:r>
      <w:r>
        <w:rPr>
          <w:color w:val="231F20"/>
        </w:rPr>
        <w:t>as</w:t>
      </w:r>
      <w:r>
        <w:rPr>
          <w:color w:val="231F20"/>
          <w:spacing w:val="15"/>
        </w:rPr>
        <w:t xml:space="preserve"> </w:t>
      </w:r>
      <w:r>
        <w:rPr>
          <w:color w:val="231F20"/>
        </w:rPr>
        <w:t>a</w:t>
      </w:r>
      <w:r>
        <w:rPr>
          <w:color w:val="231F20"/>
          <w:spacing w:val="15"/>
        </w:rPr>
        <w:t xml:space="preserve"> </w:t>
      </w:r>
      <w:r>
        <w:rPr>
          <w:color w:val="231F20"/>
        </w:rPr>
        <w:t>hostage.”</w:t>
      </w:r>
      <w:r>
        <w:rPr>
          <w:color w:val="231F20"/>
          <w:position w:val="7"/>
          <w:sz w:val="11"/>
        </w:rPr>
        <w:t>1</w:t>
      </w:r>
    </w:p>
    <w:p w14:paraId="1B4F579D" w14:textId="77777777" w:rsidR="002653E8" w:rsidRDefault="003115E3">
      <w:pPr>
        <w:pStyle w:val="a3"/>
        <w:spacing w:line="264" w:lineRule="auto"/>
        <w:ind w:left="1147" w:right="1327" w:firstLine="210"/>
        <w:jc w:val="both"/>
      </w:pPr>
      <w:r>
        <w:rPr>
          <w:color w:val="231F20"/>
        </w:rPr>
        <w:t>At this point, the courtroom full of left-wing supporters erupted into cheers, prompting the judge to order it cleared.</w:t>
      </w:r>
    </w:p>
    <w:p w14:paraId="4DE0E937" w14:textId="77777777" w:rsidR="002653E8" w:rsidRDefault="003115E3">
      <w:pPr>
        <w:pStyle w:val="a3"/>
        <w:spacing w:line="264" w:lineRule="auto"/>
        <w:ind w:left="1148" w:right="1325" w:firstLine="209"/>
        <w:jc w:val="both"/>
      </w:pPr>
      <w:r>
        <w:rPr>
          <w:color w:val="231F20"/>
        </w:rPr>
        <w:t xml:space="preserve">There is no indication that the </w:t>
      </w:r>
      <w:r w:rsidR="00C507A5">
        <w:rPr>
          <w:color w:val="231F20"/>
          <w:spacing w:val="5"/>
        </w:rPr>
        <w:t>red army faction</w:t>
      </w:r>
      <w:r>
        <w:rPr>
          <w:color w:val="231F20"/>
          <w:spacing w:val="5"/>
        </w:rPr>
        <w:t xml:space="preserve"> </w:t>
      </w:r>
      <w:r>
        <w:rPr>
          <w:color w:val="231F20"/>
        </w:rPr>
        <w:t xml:space="preserve">played any part in the Black September operation; it was effectively out of action at the time, gut ted by the arrests it had suffered following the May Offensive. Even      so, given the </w:t>
      </w:r>
      <w:r>
        <w:rPr>
          <w:color w:val="231F20"/>
          <w:spacing w:val="-3"/>
        </w:rPr>
        <w:t xml:space="preserve">group’s </w:t>
      </w:r>
      <w:r>
        <w:rPr>
          <w:color w:val="231F20"/>
        </w:rPr>
        <w:t xml:space="preserve">public statement of solidarity, it may be best to revisit the events at the Munich Olympics that year. (For more about  the relationship between the </w:t>
      </w:r>
      <w:r>
        <w:rPr>
          <w:color w:val="231F20"/>
          <w:spacing w:val="-3"/>
        </w:rPr>
        <w:t xml:space="preserve">West </w:t>
      </w:r>
      <w:r>
        <w:rPr>
          <w:color w:val="231F20"/>
        </w:rPr>
        <w:t xml:space="preserve">Germany and Israel, and how this affected the New </w:t>
      </w:r>
      <w:r>
        <w:rPr>
          <w:color w:val="231F20"/>
          <w:spacing w:val="1"/>
        </w:rPr>
        <w:t xml:space="preserve">Left, </w:t>
      </w:r>
      <w:r>
        <w:rPr>
          <w:color w:val="231F20"/>
        </w:rPr>
        <w:t xml:space="preserve">see Appendix </w:t>
      </w:r>
      <w:r>
        <w:rPr>
          <w:color w:val="231F20"/>
          <w:spacing w:val="1"/>
        </w:rPr>
        <w:t xml:space="preserve">III—The </w:t>
      </w:r>
      <w:r>
        <w:rPr>
          <w:color w:val="231F20"/>
        </w:rPr>
        <w:t>FRG and the State of  Israel, pages</w:t>
      </w:r>
      <w:r>
        <w:rPr>
          <w:color w:val="231F20"/>
          <w:spacing w:val="20"/>
        </w:rPr>
        <w:t xml:space="preserve"> </w:t>
      </w:r>
      <w:r>
        <w:rPr>
          <w:color w:val="231F20"/>
          <w:spacing w:val="-7"/>
        </w:rPr>
        <w:t>550-53.)</w:t>
      </w:r>
    </w:p>
    <w:p w14:paraId="485FD240" w14:textId="77777777" w:rsidR="002653E8" w:rsidRDefault="003115E3">
      <w:pPr>
        <w:pStyle w:val="a3"/>
        <w:spacing w:line="264" w:lineRule="auto"/>
        <w:ind w:left="1147" w:right="1325" w:firstLine="210"/>
        <w:jc w:val="both"/>
        <w:rPr>
          <w:sz w:val="11"/>
        </w:rPr>
      </w:pPr>
      <w:r>
        <w:rPr>
          <w:color w:val="231F20"/>
        </w:rPr>
        <w:t xml:space="preserve">Black September had its origin in the aftermath of the civil war between Palestinian forces and the Jordanian state in September </w:t>
      </w:r>
      <w:r>
        <w:rPr>
          <w:color w:val="231F20"/>
          <w:spacing w:val="-4"/>
        </w:rPr>
        <w:t xml:space="preserve">1970. </w:t>
      </w:r>
      <w:r>
        <w:rPr>
          <w:color w:val="231F20"/>
        </w:rPr>
        <w:t xml:space="preserve">Formed by militants within Arafat’s </w:t>
      </w:r>
      <w:r>
        <w:rPr>
          <w:color w:val="231F20"/>
          <w:spacing w:val="1"/>
        </w:rPr>
        <w:t xml:space="preserve">Al </w:t>
      </w:r>
      <w:r>
        <w:rPr>
          <w:color w:val="231F20"/>
        </w:rPr>
        <w:t xml:space="preserve">Fatah, its first action had been the assassination, on November 28, </w:t>
      </w:r>
      <w:r>
        <w:rPr>
          <w:color w:val="231F20"/>
          <w:spacing w:val="-4"/>
        </w:rPr>
        <w:t xml:space="preserve">1971, </w:t>
      </w:r>
      <w:r>
        <w:rPr>
          <w:color w:val="231F20"/>
        </w:rPr>
        <w:t xml:space="preserve">of </w:t>
      </w:r>
      <w:r>
        <w:rPr>
          <w:color w:val="231F20"/>
          <w:spacing w:val="-3"/>
        </w:rPr>
        <w:t xml:space="preserve">Jordan’s </w:t>
      </w:r>
      <w:r>
        <w:rPr>
          <w:color w:val="231F20"/>
        </w:rPr>
        <w:t>Prime Minister Wasfi Tel.</w:t>
      </w:r>
      <w:r>
        <w:rPr>
          <w:color w:val="231F20"/>
          <w:position w:val="7"/>
          <w:sz w:val="11"/>
        </w:rPr>
        <w:t xml:space="preserve">2 </w:t>
      </w:r>
      <w:r>
        <w:rPr>
          <w:color w:val="231F20"/>
        </w:rPr>
        <w:t xml:space="preserve">Not one month later, the group had attempted its second assassination, wounding Zaid el Rifai,  </w:t>
      </w:r>
      <w:r>
        <w:rPr>
          <w:color w:val="231F20"/>
          <w:spacing w:val="-3"/>
        </w:rPr>
        <w:t xml:space="preserve">Jordan’s  </w:t>
      </w:r>
      <w:r>
        <w:rPr>
          <w:color w:val="231F20"/>
        </w:rPr>
        <w:t>ambassador  to  England, as he drove through the streets of London.</w:t>
      </w:r>
      <w:r>
        <w:rPr>
          <w:color w:val="231F20"/>
          <w:position w:val="7"/>
          <w:sz w:val="11"/>
        </w:rPr>
        <w:t xml:space="preserve">3 </w:t>
      </w:r>
      <w:r>
        <w:rPr>
          <w:color w:val="231F20"/>
        </w:rPr>
        <w:t xml:space="preserve">By September of </w:t>
      </w:r>
      <w:r>
        <w:rPr>
          <w:color w:val="231F20"/>
          <w:spacing w:val="-3"/>
        </w:rPr>
        <w:t xml:space="preserve">1972, </w:t>
      </w:r>
      <w:r>
        <w:rPr>
          <w:color w:val="231F20"/>
        </w:rPr>
        <w:t xml:space="preserve">Black September had carried out a number of operations in Europe, including skyjacking a Sabena Belgian </w:t>
      </w:r>
      <w:r>
        <w:rPr>
          <w:color w:val="231F20"/>
          <w:spacing w:val="-4"/>
        </w:rPr>
        <w:t xml:space="preserve">World </w:t>
      </w:r>
      <w:r>
        <w:rPr>
          <w:color w:val="231F20"/>
        </w:rPr>
        <w:t xml:space="preserve">Airlines plane en route from Vienna to </w:t>
      </w:r>
      <w:r>
        <w:rPr>
          <w:color w:val="231F20"/>
          <w:spacing w:val="-5"/>
        </w:rPr>
        <w:t xml:space="preserve">Tel Aviv. </w:t>
      </w:r>
      <w:r>
        <w:rPr>
          <w:color w:val="231F20"/>
        </w:rPr>
        <w:t xml:space="preserve">The plane was flown to Lod airport, where Israeli Defense Minister Moshe Dayan sent in a squad of paratroopers disguised as maintenance workers, who carried out a successful assault. </w:t>
      </w:r>
      <w:r>
        <w:rPr>
          <w:color w:val="231F20"/>
          <w:spacing w:val="-7"/>
        </w:rPr>
        <w:t xml:space="preserve">Two </w:t>
      </w:r>
      <w:r>
        <w:rPr>
          <w:color w:val="231F20"/>
        </w:rPr>
        <w:t>of the hijackers were killed and two others</w:t>
      </w:r>
      <w:r>
        <w:rPr>
          <w:color w:val="231F20"/>
          <w:spacing w:val="18"/>
        </w:rPr>
        <w:t xml:space="preserve"> </w:t>
      </w:r>
      <w:r>
        <w:rPr>
          <w:color w:val="231F20"/>
        </w:rPr>
        <w:t>captured.</w:t>
      </w:r>
      <w:r>
        <w:rPr>
          <w:color w:val="231F20"/>
          <w:position w:val="7"/>
          <w:sz w:val="11"/>
        </w:rPr>
        <w:t>4</w:t>
      </w:r>
    </w:p>
    <w:p w14:paraId="1F11B0FA" w14:textId="77777777" w:rsidR="002653E8" w:rsidRDefault="003115E3">
      <w:pPr>
        <w:pStyle w:val="a3"/>
        <w:spacing w:line="221" w:lineRule="exact"/>
        <w:ind w:left="1357"/>
      </w:pPr>
      <w:r>
        <w:rPr>
          <w:color w:val="231F20"/>
          <w:w w:val="105"/>
        </w:rPr>
        <w:t>Meanwhile, opening on August 26, the 1972 Olympic Games were</w:t>
      </w:r>
    </w:p>
    <w:p w14:paraId="04BF247E" w14:textId="77777777" w:rsidR="002653E8" w:rsidRDefault="00000000">
      <w:pPr>
        <w:pStyle w:val="a3"/>
        <w:spacing w:before="7" w:line="264" w:lineRule="auto"/>
        <w:ind w:left="1148" w:right="1325" w:hanging="1"/>
        <w:jc w:val="both"/>
      </w:pPr>
      <w:r>
        <w:rPr>
          <w:noProof w:val="0"/>
        </w:rPr>
        <w:pict w14:anchorId="6EBE1FEF">
          <v:line id="_x0000_s2489" style="position:absolute;left:0;text-align:left;z-index:5104;mso-wrap-distance-left:0;mso-wrap-distance-right:0;mso-position-horizontal-relative:page" from="57.4pt,84.3pt" to="129.4pt,84.3pt" strokecolor="#231f20" strokeweight=".5pt">
            <w10:wrap type="topAndBottom" anchorx="page"/>
          </v:line>
        </w:pict>
      </w:r>
      <w:r w:rsidR="003115E3">
        <w:rPr>
          <w:color w:val="231F20"/>
        </w:rPr>
        <w:t xml:space="preserve">supposed to be a symbolic  graduation  ceremony  for  the  FRG.  The  last time the Olympics were held on German soil had been the </w:t>
      </w:r>
      <w:r w:rsidR="003115E3">
        <w:rPr>
          <w:color w:val="231F20"/>
          <w:spacing w:val="-7"/>
        </w:rPr>
        <w:t>1936</w:t>
      </w:r>
      <w:r w:rsidR="003115E3">
        <w:rPr>
          <w:color w:val="231F20"/>
          <w:spacing w:val="30"/>
        </w:rPr>
        <w:t xml:space="preserve"> </w:t>
      </w:r>
      <w:r w:rsidR="003115E3">
        <w:rPr>
          <w:color w:val="231F20"/>
        </w:rPr>
        <w:t xml:space="preserve">Berlin games, which became a propaganda vehicle for the Hitler regime. Commentators were not shy to admit that the </w:t>
      </w:r>
      <w:r w:rsidR="003115E3">
        <w:rPr>
          <w:color w:val="231F20"/>
          <w:spacing w:val="-4"/>
        </w:rPr>
        <w:t xml:space="preserve">1972 </w:t>
      </w:r>
      <w:r w:rsidR="003115E3">
        <w:rPr>
          <w:color w:val="231F20"/>
        </w:rPr>
        <w:t xml:space="preserve">Munich Olympics were meant to signal a moving on, a testament to how well </w:t>
      </w:r>
      <w:r w:rsidR="003115E3">
        <w:rPr>
          <w:color w:val="231F20"/>
          <w:spacing w:val="-3"/>
        </w:rPr>
        <w:t xml:space="preserve">West </w:t>
      </w:r>
      <w:r w:rsidR="003115E3">
        <w:rPr>
          <w:color w:val="231F20"/>
        </w:rPr>
        <w:t>Germany had gotten over its fascist</w:t>
      </w:r>
      <w:r w:rsidR="003115E3">
        <w:rPr>
          <w:color w:val="231F20"/>
          <w:spacing w:val="41"/>
        </w:rPr>
        <w:t xml:space="preserve"> </w:t>
      </w:r>
      <w:r w:rsidR="003115E3">
        <w:rPr>
          <w:color w:val="231F20"/>
        </w:rPr>
        <w:t>past.</w:t>
      </w:r>
    </w:p>
    <w:p w14:paraId="33E795B2" w14:textId="77777777" w:rsidR="002653E8" w:rsidRDefault="003115E3">
      <w:pPr>
        <w:pStyle w:val="a4"/>
        <w:numPr>
          <w:ilvl w:val="0"/>
          <w:numId w:val="133"/>
        </w:numPr>
        <w:tabs>
          <w:tab w:val="left" w:pos="1287"/>
        </w:tabs>
        <w:spacing w:before="53" w:line="254" w:lineRule="auto"/>
        <w:ind w:right="1391" w:firstLine="0"/>
        <w:rPr>
          <w:sz w:val="16"/>
        </w:rPr>
      </w:pPr>
      <w:r>
        <w:rPr>
          <w:color w:val="231F20"/>
          <w:w w:val="110"/>
          <w:sz w:val="16"/>
        </w:rPr>
        <w:t>United</w:t>
      </w:r>
      <w:r>
        <w:rPr>
          <w:color w:val="231F20"/>
          <w:spacing w:val="-13"/>
          <w:w w:val="110"/>
          <w:sz w:val="16"/>
        </w:rPr>
        <w:t xml:space="preserve"> </w:t>
      </w:r>
      <w:r>
        <w:rPr>
          <w:color w:val="231F20"/>
          <w:w w:val="110"/>
          <w:sz w:val="16"/>
        </w:rPr>
        <w:t>Press</w:t>
      </w:r>
      <w:r>
        <w:rPr>
          <w:color w:val="231F20"/>
          <w:spacing w:val="-13"/>
          <w:w w:val="110"/>
          <w:sz w:val="16"/>
        </w:rPr>
        <w:t xml:space="preserve"> </w:t>
      </w:r>
      <w:r>
        <w:rPr>
          <w:color w:val="231F20"/>
          <w:w w:val="110"/>
          <w:sz w:val="16"/>
        </w:rPr>
        <w:t>International,</w:t>
      </w:r>
      <w:r>
        <w:rPr>
          <w:color w:val="231F20"/>
          <w:spacing w:val="-13"/>
          <w:w w:val="110"/>
          <w:sz w:val="16"/>
        </w:rPr>
        <w:t xml:space="preserve"> </w:t>
      </w:r>
      <w:r>
        <w:rPr>
          <w:color w:val="231F20"/>
          <w:w w:val="110"/>
          <w:sz w:val="16"/>
        </w:rPr>
        <w:t>“Baader-Meinhof</w:t>
      </w:r>
      <w:r>
        <w:rPr>
          <w:color w:val="231F20"/>
          <w:spacing w:val="-13"/>
          <w:w w:val="110"/>
          <w:sz w:val="16"/>
        </w:rPr>
        <w:t xml:space="preserve"> </w:t>
      </w:r>
      <w:r>
        <w:rPr>
          <w:color w:val="231F20"/>
          <w:w w:val="110"/>
          <w:sz w:val="16"/>
        </w:rPr>
        <w:t>lawyer</w:t>
      </w:r>
      <w:r>
        <w:rPr>
          <w:color w:val="231F20"/>
          <w:spacing w:val="-13"/>
          <w:w w:val="110"/>
          <w:sz w:val="16"/>
        </w:rPr>
        <w:t xml:space="preserve"> </w:t>
      </w:r>
      <w:r>
        <w:rPr>
          <w:color w:val="231F20"/>
          <w:w w:val="110"/>
          <w:sz w:val="16"/>
        </w:rPr>
        <w:t>praises</w:t>
      </w:r>
      <w:r>
        <w:rPr>
          <w:color w:val="231F20"/>
          <w:spacing w:val="-13"/>
          <w:w w:val="110"/>
          <w:sz w:val="16"/>
        </w:rPr>
        <w:t xml:space="preserve"> </w:t>
      </w:r>
      <w:r>
        <w:rPr>
          <w:color w:val="231F20"/>
          <w:w w:val="110"/>
          <w:sz w:val="16"/>
        </w:rPr>
        <w:t>guerillas,”</w:t>
      </w:r>
      <w:r>
        <w:rPr>
          <w:color w:val="231F20"/>
          <w:spacing w:val="-12"/>
          <w:w w:val="110"/>
          <w:sz w:val="16"/>
        </w:rPr>
        <w:t xml:space="preserve"> </w:t>
      </w:r>
      <w:r>
        <w:rPr>
          <w:i/>
          <w:color w:val="231F20"/>
          <w:w w:val="110"/>
          <w:sz w:val="16"/>
        </w:rPr>
        <w:t>European Stars</w:t>
      </w:r>
      <w:r>
        <w:rPr>
          <w:i/>
          <w:color w:val="231F20"/>
          <w:spacing w:val="-3"/>
          <w:w w:val="110"/>
          <w:sz w:val="16"/>
        </w:rPr>
        <w:t xml:space="preserve"> </w:t>
      </w:r>
      <w:r>
        <w:rPr>
          <w:i/>
          <w:color w:val="231F20"/>
          <w:spacing w:val="1"/>
          <w:w w:val="110"/>
          <w:sz w:val="16"/>
        </w:rPr>
        <w:t>and</w:t>
      </w:r>
      <w:r>
        <w:rPr>
          <w:i/>
          <w:color w:val="231F20"/>
          <w:spacing w:val="-3"/>
          <w:w w:val="110"/>
          <w:sz w:val="16"/>
        </w:rPr>
        <w:t xml:space="preserve"> </w:t>
      </w:r>
      <w:r>
        <w:rPr>
          <w:i/>
          <w:color w:val="231F20"/>
          <w:w w:val="110"/>
          <w:sz w:val="16"/>
        </w:rPr>
        <w:t>Stripes,</w:t>
      </w:r>
      <w:r>
        <w:rPr>
          <w:i/>
          <w:color w:val="231F20"/>
          <w:spacing w:val="-2"/>
          <w:w w:val="110"/>
          <w:sz w:val="16"/>
        </w:rPr>
        <w:t xml:space="preserve"> </w:t>
      </w:r>
      <w:r>
        <w:rPr>
          <w:color w:val="231F20"/>
          <w:w w:val="110"/>
          <w:sz w:val="16"/>
        </w:rPr>
        <w:t>October</w:t>
      </w:r>
      <w:r>
        <w:rPr>
          <w:color w:val="231F20"/>
          <w:spacing w:val="-3"/>
          <w:w w:val="110"/>
          <w:sz w:val="16"/>
        </w:rPr>
        <w:t xml:space="preserve"> </w:t>
      </w:r>
      <w:r>
        <w:rPr>
          <w:color w:val="231F20"/>
          <w:w w:val="110"/>
          <w:sz w:val="16"/>
        </w:rPr>
        <w:t>10,</w:t>
      </w:r>
      <w:r>
        <w:rPr>
          <w:color w:val="231F20"/>
          <w:spacing w:val="-3"/>
          <w:w w:val="110"/>
          <w:sz w:val="16"/>
        </w:rPr>
        <w:t xml:space="preserve"> </w:t>
      </w:r>
      <w:r>
        <w:rPr>
          <w:color w:val="231F20"/>
          <w:w w:val="110"/>
          <w:sz w:val="16"/>
        </w:rPr>
        <w:t>1972.</w:t>
      </w:r>
      <w:r>
        <w:rPr>
          <w:color w:val="231F20"/>
          <w:spacing w:val="-3"/>
          <w:w w:val="110"/>
          <w:sz w:val="16"/>
        </w:rPr>
        <w:t xml:space="preserve"> </w:t>
      </w:r>
      <w:r>
        <w:rPr>
          <w:color w:val="231F20"/>
          <w:spacing w:val="1"/>
          <w:w w:val="110"/>
          <w:sz w:val="16"/>
        </w:rPr>
        <w:t>As</w:t>
      </w:r>
      <w:r>
        <w:rPr>
          <w:color w:val="231F20"/>
          <w:spacing w:val="-3"/>
          <w:w w:val="110"/>
          <w:sz w:val="16"/>
        </w:rPr>
        <w:t xml:space="preserve"> </w:t>
      </w:r>
      <w:r>
        <w:rPr>
          <w:color w:val="231F20"/>
          <w:w w:val="110"/>
          <w:sz w:val="16"/>
        </w:rPr>
        <w:t>we</w:t>
      </w:r>
      <w:r>
        <w:rPr>
          <w:color w:val="231F20"/>
          <w:spacing w:val="-3"/>
          <w:w w:val="110"/>
          <w:sz w:val="16"/>
        </w:rPr>
        <w:t xml:space="preserve"> </w:t>
      </w:r>
      <w:r>
        <w:rPr>
          <w:color w:val="231F20"/>
          <w:w w:val="110"/>
          <w:sz w:val="16"/>
        </w:rPr>
        <w:t>shall</w:t>
      </w:r>
      <w:r>
        <w:rPr>
          <w:color w:val="231F20"/>
          <w:spacing w:val="-3"/>
          <w:w w:val="110"/>
          <w:sz w:val="16"/>
        </w:rPr>
        <w:t xml:space="preserve"> </w:t>
      </w:r>
      <w:r>
        <w:rPr>
          <w:color w:val="231F20"/>
          <w:w w:val="110"/>
          <w:sz w:val="16"/>
        </w:rPr>
        <w:t>see,</w:t>
      </w:r>
      <w:r>
        <w:rPr>
          <w:color w:val="231F20"/>
          <w:spacing w:val="-3"/>
          <w:w w:val="110"/>
          <w:sz w:val="16"/>
        </w:rPr>
        <w:t xml:space="preserve"> </w:t>
      </w:r>
      <w:r>
        <w:rPr>
          <w:color w:val="231F20"/>
          <w:w w:val="110"/>
          <w:sz w:val="16"/>
        </w:rPr>
        <w:t>this</w:t>
      </w:r>
      <w:r>
        <w:rPr>
          <w:color w:val="231F20"/>
          <w:spacing w:val="-3"/>
          <w:w w:val="110"/>
          <w:sz w:val="16"/>
        </w:rPr>
        <w:t xml:space="preserve"> </w:t>
      </w:r>
      <w:r>
        <w:rPr>
          <w:color w:val="231F20"/>
          <w:w w:val="110"/>
          <w:sz w:val="16"/>
        </w:rPr>
        <w:t>was</w:t>
      </w:r>
      <w:r>
        <w:rPr>
          <w:color w:val="231F20"/>
          <w:spacing w:val="-3"/>
          <w:w w:val="110"/>
          <w:sz w:val="16"/>
        </w:rPr>
        <w:t xml:space="preserve"> </w:t>
      </w:r>
      <w:r>
        <w:rPr>
          <w:color w:val="231F20"/>
          <w:w w:val="110"/>
          <w:sz w:val="16"/>
        </w:rPr>
        <w:t>not</w:t>
      </w:r>
      <w:r>
        <w:rPr>
          <w:color w:val="231F20"/>
          <w:spacing w:val="-3"/>
          <w:w w:val="110"/>
          <w:sz w:val="16"/>
        </w:rPr>
        <w:t xml:space="preserve"> </w:t>
      </w:r>
      <w:r>
        <w:rPr>
          <w:color w:val="231F20"/>
          <w:w w:val="110"/>
          <w:sz w:val="16"/>
        </w:rPr>
        <w:t>moot</w:t>
      </w:r>
      <w:r>
        <w:rPr>
          <w:color w:val="231F20"/>
          <w:spacing w:val="-3"/>
          <w:w w:val="110"/>
          <w:sz w:val="16"/>
        </w:rPr>
        <w:t xml:space="preserve"> </w:t>
      </w:r>
      <w:r>
        <w:rPr>
          <w:color w:val="231F20"/>
          <w:w w:val="110"/>
          <w:sz w:val="16"/>
        </w:rPr>
        <w:t>criticism.</w:t>
      </w:r>
    </w:p>
    <w:p w14:paraId="56668FAD" w14:textId="77777777" w:rsidR="002653E8" w:rsidRDefault="003115E3">
      <w:pPr>
        <w:pStyle w:val="a4"/>
        <w:numPr>
          <w:ilvl w:val="0"/>
          <w:numId w:val="133"/>
        </w:numPr>
        <w:tabs>
          <w:tab w:val="left" w:pos="1287"/>
        </w:tabs>
        <w:spacing w:line="254" w:lineRule="auto"/>
        <w:ind w:right="1614" w:firstLine="0"/>
        <w:rPr>
          <w:sz w:val="16"/>
        </w:rPr>
      </w:pPr>
      <w:r>
        <w:rPr>
          <w:color w:val="231F20"/>
          <w:w w:val="110"/>
          <w:sz w:val="16"/>
        </w:rPr>
        <w:t xml:space="preserve">Christopher Dobson, </w:t>
      </w:r>
      <w:r>
        <w:rPr>
          <w:i/>
          <w:color w:val="231F20"/>
          <w:w w:val="110"/>
          <w:sz w:val="16"/>
        </w:rPr>
        <w:t xml:space="preserve">Black </w:t>
      </w:r>
      <w:r>
        <w:rPr>
          <w:i/>
          <w:color w:val="231F20"/>
          <w:spacing w:val="1"/>
          <w:w w:val="110"/>
          <w:sz w:val="16"/>
        </w:rPr>
        <w:t xml:space="preserve">September: </w:t>
      </w:r>
      <w:r>
        <w:rPr>
          <w:i/>
          <w:color w:val="231F20"/>
          <w:w w:val="110"/>
          <w:sz w:val="16"/>
        </w:rPr>
        <w:t xml:space="preserve">Its </w:t>
      </w:r>
      <w:r>
        <w:rPr>
          <w:i/>
          <w:color w:val="231F20"/>
          <w:spacing w:val="1"/>
          <w:w w:val="110"/>
          <w:sz w:val="16"/>
        </w:rPr>
        <w:t xml:space="preserve">Short, </w:t>
      </w:r>
      <w:r>
        <w:rPr>
          <w:i/>
          <w:color w:val="231F20"/>
          <w:w w:val="110"/>
          <w:sz w:val="16"/>
        </w:rPr>
        <w:t xml:space="preserve">Violent History </w:t>
      </w:r>
      <w:r>
        <w:rPr>
          <w:color w:val="231F20"/>
          <w:w w:val="110"/>
          <w:sz w:val="16"/>
        </w:rPr>
        <w:t xml:space="preserve">(New </w:t>
      </w:r>
      <w:r>
        <w:rPr>
          <w:color w:val="231F20"/>
          <w:spacing w:val="-3"/>
          <w:w w:val="110"/>
          <w:sz w:val="16"/>
        </w:rPr>
        <w:t xml:space="preserve">york: </w:t>
      </w:r>
      <w:r>
        <w:rPr>
          <w:color w:val="231F20"/>
          <w:w w:val="110"/>
          <w:sz w:val="16"/>
        </w:rPr>
        <w:t xml:space="preserve">Macmillan, </w:t>
      </w:r>
      <w:r>
        <w:rPr>
          <w:color w:val="231F20"/>
          <w:spacing w:val="-4"/>
          <w:w w:val="110"/>
          <w:sz w:val="16"/>
        </w:rPr>
        <w:t>1974),</w:t>
      </w:r>
      <w:r>
        <w:rPr>
          <w:color w:val="231F20"/>
          <w:spacing w:val="13"/>
          <w:w w:val="110"/>
          <w:sz w:val="16"/>
        </w:rPr>
        <w:t xml:space="preserve"> </w:t>
      </w:r>
      <w:r>
        <w:rPr>
          <w:color w:val="231F20"/>
          <w:w w:val="110"/>
          <w:sz w:val="16"/>
        </w:rPr>
        <w:t>1.</w:t>
      </w:r>
    </w:p>
    <w:p w14:paraId="37A2BAA9" w14:textId="77777777" w:rsidR="002653E8" w:rsidRDefault="003115E3">
      <w:pPr>
        <w:spacing w:before="40"/>
        <w:ind w:left="1148"/>
        <w:rPr>
          <w:sz w:val="16"/>
        </w:rPr>
      </w:pPr>
      <w:r>
        <w:rPr>
          <w:color w:val="231F20"/>
          <w:w w:val="115"/>
          <w:sz w:val="16"/>
        </w:rPr>
        <w:t>3 Ibid., 12.</w:t>
      </w:r>
    </w:p>
    <w:p w14:paraId="78DFC4ED" w14:textId="77777777" w:rsidR="002653E8" w:rsidRDefault="003115E3">
      <w:pPr>
        <w:spacing w:before="52"/>
        <w:ind w:left="1148"/>
        <w:rPr>
          <w:sz w:val="16"/>
        </w:rPr>
      </w:pPr>
      <w:r>
        <w:rPr>
          <w:color w:val="231F20"/>
          <w:w w:val="110"/>
          <w:sz w:val="16"/>
        </w:rPr>
        <w:t>4 Ibid., 65-79.</w:t>
      </w:r>
    </w:p>
    <w:p w14:paraId="3B92A8A4" w14:textId="77777777" w:rsidR="002653E8" w:rsidRDefault="002653E8">
      <w:pPr>
        <w:rPr>
          <w:sz w:val="16"/>
        </w:rPr>
        <w:sectPr w:rsidR="002653E8">
          <w:pgSz w:w="8640" w:h="12960"/>
          <w:pgMar w:top="1060" w:right="0" w:bottom="1040" w:left="0" w:header="0" w:footer="850" w:gutter="0"/>
          <w:cols w:space="720"/>
        </w:sectPr>
      </w:pPr>
    </w:p>
    <w:p w14:paraId="045C6ED4" w14:textId="77777777" w:rsidR="002653E8" w:rsidRDefault="003115E3">
      <w:pPr>
        <w:pStyle w:val="a3"/>
        <w:spacing w:before="86" w:line="264" w:lineRule="auto"/>
        <w:ind w:left="1327" w:right="1146" w:firstLine="210"/>
        <w:jc w:val="both"/>
        <w:rPr>
          <w:sz w:val="11"/>
        </w:rPr>
      </w:pPr>
      <w:r>
        <w:rPr>
          <w:color w:val="231F20"/>
        </w:rPr>
        <w:lastRenderedPageBreak/>
        <w:t>As an unrecognized portent of things to come, that June,</w:t>
      </w:r>
      <w:r>
        <w:rPr>
          <w:color w:val="231F20"/>
          <w:spacing w:val="16"/>
        </w:rPr>
        <w:t xml:space="preserve"> </w:t>
      </w:r>
      <w:r>
        <w:rPr>
          <w:color w:val="231F20"/>
        </w:rPr>
        <w:t>the International</w:t>
      </w:r>
      <w:r>
        <w:rPr>
          <w:color w:val="231F20"/>
          <w:spacing w:val="-8"/>
        </w:rPr>
        <w:t xml:space="preserve"> </w:t>
      </w:r>
      <w:r>
        <w:rPr>
          <w:color w:val="231F20"/>
        </w:rPr>
        <w:t>Olympic</w:t>
      </w:r>
      <w:r>
        <w:rPr>
          <w:color w:val="231F20"/>
          <w:spacing w:val="-8"/>
        </w:rPr>
        <w:t xml:space="preserve"> </w:t>
      </w:r>
      <w:r>
        <w:rPr>
          <w:color w:val="231F20"/>
        </w:rPr>
        <w:t>Committee</w:t>
      </w:r>
      <w:r>
        <w:rPr>
          <w:color w:val="231F20"/>
          <w:spacing w:val="-8"/>
        </w:rPr>
        <w:t xml:space="preserve"> </w:t>
      </w:r>
      <w:r>
        <w:rPr>
          <w:color w:val="231F20"/>
        </w:rPr>
        <w:t>refused</w:t>
      </w:r>
      <w:r>
        <w:rPr>
          <w:color w:val="231F20"/>
          <w:spacing w:val="-8"/>
        </w:rPr>
        <w:t xml:space="preserve"> </w:t>
      </w:r>
      <w:r>
        <w:rPr>
          <w:color w:val="231F20"/>
        </w:rPr>
        <w:t>requests</w:t>
      </w:r>
      <w:r>
        <w:rPr>
          <w:color w:val="231F20"/>
          <w:spacing w:val="-8"/>
        </w:rPr>
        <w:t xml:space="preserve"> </w:t>
      </w:r>
      <w:r>
        <w:rPr>
          <w:color w:val="231F20"/>
        </w:rPr>
        <w:t>to</w:t>
      </w:r>
      <w:r>
        <w:rPr>
          <w:color w:val="231F20"/>
          <w:spacing w:val="-8"/>
        </w:rPr>
        <w:t xml:space="preserve"> </w:t>
      </w:r>
      <w:r>
        <w:rPr>
          <w:color w:val="231F20"/>
        </w:rPr>
        <w:t>allow</w:t>
      </w:r>
      <w:r>
        <w:rPr>
          <w:color w:val="231F20"/>
          <w:spacing w:val="-8"/>
        </w:rPr>
        <w:t xml:space="preserve"> </w:t>
      </w:r>
      <w:r>
        <w:rPr>
          <w:color w:val="231F20"/>
        </w:rPr>
        <w:t>a</w:t>
      </w:r>
      <w:r>
        <w:rPr>
          <w:color w:val="231F20"/>
          <w:spacing w:val="-8"/>
        </w:rPr>
        <w:t xml:space="preserve"> </w:t>
      </w:r>
      <w:r>
        <w:rPr>
          <w:color w:val="231F20"/>
        </w:rPr>
        <w:t>Palestinian team to participate in the</w:t>
      </w:r>
      <w:r>
        <w:rPr>
          <w:color w:val="231F20"/>
          <w:spacing w:val="11"/>
        </w:rPr>
        <w:t xml:space="preserve"> </w:t>
      </w:r>
      <w:r>
        <w:rPr>
          <w:color w:val="231F20"/>
        </w:rPr>
        <w:t>games.</w:t>
      </w:r>
      <w:r>
        <w:rPr>
          <w:color w:val="231F20"/>
          <w:position w:val="7"/>
          <w:sz w:val="11"/>
        </w:rPr>
        <w:t>5</w:t>
      </w:r>
    </w:p>
    <w:p w14:paraId="691466EC" w14:textId="77777777" w:rsidR="002653E8" w:rsidRDefault="003115E3">
      <w:pPr>
        <w:pStyle w:val="a3"/>
        <w:spacing w:line="264" w:lineRule="auto"/>
        <w:ind w:left="1327" w:right="1146" w:firstLine="210"/>
        <w:jc w:val="both"/>
        <w:rPr>
          <w:sz w:val="11"/>
        </w:rPr>
      </w:pPr>
      <w:r>
        <w:rPr>
          <w:color w:val="231F20"/>
        </w:rPr>
        <w:t xml:space="preserve">Early on September </w:t>
      </w:r>
      <w:r>
        <w:rPr>
          <w:color w:val="231F20"/>
          <w:spacing w:val="-4"/>
        </w:rPr>
        <w:t xml:space="preserve">5, </w:t>
      </w:r>
      <w:r>
        <w:rPr>
          <w:color w:val="231F20"/>
        </w:rPr>
        <w:t>midway through the games, an eight-man Black September commando entered the “Olympic Village” housing athletes from around the world. The commando made directly for the Israeli dorms, which they secured, in the process killing two sportsmen who tried to resist. They seized nine other Israeli athletes as hostages and</w:t>
      </w:r>
      <w:r>
        <w:rPr>
          <w:color w:val="231F20"/>
          <w:spacing w:val="-5"/>
        </w:rPr>
        <w:t xml:space="preserve"> </w:t>
      </w:r>
      <w:r>
        <w:rPr>
          <w:color w:val="231F20"/>
        </w:rPr>
        <w:t>issued</w:t>
      </w:r>
      <w:r>
        <w:rPr>
          <w:color w:val="231F20"/>
          <w:spacing w:val="-5"/>
        </w:rPr>
        <w:t xml:space="preserve"> </w:t>
      </w:r>
      <w:r>
        <w:rPr>
          <w:color w:val="231F20"/>
        </w:rPr>
        <w:t>their</w:t>
      </w:r>
      <w:r>
        <w:rPr>
          <w:color w:val="231F20"/>
          <w:spacing w:val="-5"/>
        </w:rPr>
        <w:t xml:space="preserve"> </w:t>
      </w:r>
      <w:r>
        <w:rPr>
          <w:color w:val="231F20"/>
        </w:rPr>
        <w:t>demands:</w:t>
      </w:r>
      <w:r>
        <w:rPr>
          <w:color w:val="231F20"/>
          <w:spacing w:val="-5"/>
        </w:rPr>
        <w:t xml:space="preserve"> </w:t>
      </w:r>
      <w:r>
        <w:rPr>
          <w:color w:val="231F20"/>
        </w:rPr>
        <w:t>the</w:t>
      </w:r>
      <w:r>
        <w:rPr>
          <w:color w:val="231F20"/>
          <w:spacing w:val="-5"/>
        </w:rPr>
        <w:t xml:space="preserve"> </w:t>
      </w:r>
      <w:r>
        <w:rPr>
          <w:color w:val="231F20"/>
        </w:rPr>
        <w:t>release</w:t>
      </w:r>
      <w:r>
        <w:rPr>
          <w:color w:val="231F20"/>
          <w:spacing w:val="-5"/>
        </w:rPr>
        <w:t xml:space="preserve"> </w:t>
      </w:r>
      <w:r>
        <w:rPr>
          <w:color w:val="231F20"/>
        </w:rPr>
        <w:t>of</w:t>
      </w:r>
      <w:r>
        <w:rPr>
          <w:color w:val="231F20"/>
          <w:spacing w:val="-5"/>
        </w:rPr>
        <w:t xml:space="preserve"> </w:t>
      </w:r>
      <w:r>
        <w:rPr>
          <w:color w:val="231F20"/>
          <w:spacing w:val="-3"/>
        </w:rPr>
        <w:t>234</w:t>
      </w:r>
      <w:r>
        <w:rPr>
          <w:color w:val="231F20"/>
          <w:spacing w:val="-5"/>
        </w:rPr>
        <w:t xml:space="preserve"> </w:t>
      </w:r>
      <w:r>
        <w:rPr>
          <w:color w:val="231F20"/>
        </w:rPr>
        <w:t>Palestinians</w:t>
      </w:r>
      <w:r>
        <w:rPr>
          <w:color w:val="231F20"/>
          <w:spacing w:val="-5"/>
        </w:rPr>
        <w:t xml:space="preserve"> </w:t>
      </w:r>
      <w:r>
        <w:rPr>
          <w:color w:val="231F20"/>
        </w:rPr>
        <w:t>and</w:t>
      </w:r>
      <w:r>
        <w:rPr>
          <w:color w:val="231F20"/>
          <w:spacing w:val="-5"/>
        </w:rPr>
        <w:t xml:space="preserve"> </w:t>
      </w:r>
      <w:r>
        <w:rPr>
          <w:color w:val="231F20"/>
        </w:rPr>
        <w:t>non-Arabs from Israeli prisons, the release of Andreas Baader and Ulrike Meinhof in</w:t>
      </w:r>
      <w:r>
        <w:rPr>
          <w:color w:val="231F20"/>
          <w:spacing w:val="12"/>
        </w:rPr>
        <w:t xml:space="preserve"> </w:t>
      </w:r>
      <w:r>
        <w:rPr>
          <w:color w:val="231F20"/>
        </w:rPr>
        <w:t>the</w:t>
      </w:r>
      <w:r>
        <w:rPr>
          <w:color w:val="231F20"/>
          <w:spacing w:val="13"/>
        </w:rPr>
        <w:t xml:space="preserve"> </w:t>
      </w:r>
      <w:r>
        <w:rPr>
          <w:color w:val="231F20"/>
        </w:rPr>
        <w:t>FRG,</w:t>
      </w:r>
      <w:r>
        <w:rPr>
          <w:color w:val="231F20"/>
          <w:spacing w:val="12"/>
        </w:rPr>
        <w:t xml:space="preserve"> </w:t>
      </w:r>
      <w:r>
        <w:rPr>
          <w:color w:val="231F20"/>
        </w:rPr>
        <w:t>and</w:t>
      </w:r>
      <w:r>
        <w:rPr>
          <w:color w:val="231F20"/>
          <w:spacing w:val="12"/>
        </w:rPr>
        <w:t xml:space="preserve"> </w:t>
      </w:r>
      <w:r>
        <w:rPr>
          <w:color w:val="231F20"/>
        </w:rPr>
        <w:t>safe</w:t>
      </w:r>
      <w:r>
        <w:rPr>
          <w:color w:val="231F20"/>
          <w:spacing w:val="12"/>
        </w:rPr>
        <w:t xml:space="preserve"> </w:t>
      </w:r>
      <w:r>
        <w:rPr>
          <w:color w:val="231F20"/>
        </w:rPr>
        <w:t>passage</w:t>
      </w:r>
      <w:r>
        <w:rPr>
          <w:color w:val="231F20"/>
          <w:spacing w:val="12"/>
        </w:rPr>
        <w:t xml:space="preserve"> </w:t>
      </w:r>
      <w:r>
        <w:rPr>
          <w:color w:val="231F20"/>
        </w:rPr>
        <w:t>to</w:t>
      </w:r>
      <w:r>
        <w:rPr>
          <w:color w:val="231F20"/>
          <w:spacing w:val="12"/>
        </w:rPr>
        <w:t xml:space="preserve"> </w:t>
      </w:r>
      <w:r>
        <w:rPr>
          <w:color w:val="231F20"/>
          <w:spacing w:val="1"/>
        </w:rPr>
        <w:t>Egypt</w:t>
      </w:r>
      <w:r>
        <w:rPr>
          <w:color w:val="231F20"/>
          <w:spacing w:val="12"/>
        </w:rPr>
        <w:t xml:space="preserve"> </w:t>
      </w:r>
      <w:r>
        <w:rPr>
          <w:color w:val="231F20"/>
        </w:rPr>
        <w:t>for</w:t>
      </w:r>
      <w:r>
        <w:rPr>
          <w:color w:val="231F20"/>
          <w:spacing w:val="12"/>
        </w:rPr>
        <w:t xml:space="preserve"> </w:t>
      </w:r>
      <w:r>
        <w:rPr>
          <w:color w:val="231F20"/>
        </w:rPr>
        <w:t>all</w:t>
      </w:r>
      <w:r>
        <w:rPr>
          <w:color w:val="231F20"/>
          <w:spacing w:val="12"/>
        </w:rPr>
        <w:t xml:space="preserve"> </w:t>
      </w:r>
      <w:r>
        <w:rPr>
          <w:color w:val="231F20"/>
        </w:rPr>
        <w:t>concerned.</w:t>
      </w:r>
      <w:r>
        <w:rPr>
          <w:color w:val="231F20"/>
          <w:position w:val="7"/>
          <w:sz w:val="11"/>
        </w:rPr>
        <w:t>6</w:t>
      </w:r>
    </w:p>
    <w:p w14:paraId="4EBD5682" w14:textId="77777777" w:rsidR="002653E8" w:rsidRDefault="003115E3">
      <w:pPr>
        <w:pStyle w:val="a3"/>
        <w:spacing w:line="264" w:lineRule="auto"/>
        <w:ind w:left="1327" w:right="1146" w:firstLine="210"/>
        <w:jc w:val="both"/>
        <w:rPr>
          <w:sz w:val="11"/>
        </w:rPr>
      </w:pPr>
      <w:r>
        <w:rPr>
          <w:color w:val="231F20"/>
          <w:w w:val="105"/>
        </w:rPr>
        <w:t>Black September named this its “Operation Iqrith and Kafr Bir’im.”</w:t>
      </w:r>
      <w:r>
        <w:rPr>
          <w:color w:val="231F20"/>
          <w:w w:val="105"/>
          <w:position w:val="7"/>
          <w:sz w:val="11"/>
        </w:rPr>
        <w:t>7</w:t>
      </w:r>
    </w:p>
    <w:p w14:paraId="50AC8CD9" w14:textId="77777777" w:rsidR="002653E8" w:rsidRDefault="003115E3">
      <w:pPr>
        <w:pStyle w:val="a3"/>
        <w:spacing w:line="264" w:lineRule="auto"/>
        <w:ind w:left="1327" w:right="1146" w:firstLine="210"/>
        <w:jc w:val="both"/>
      </w:pPr>
      <w:r>
        <w:rPr>
          <w:color w:val="231F20"/>
        </w:rPr>
        <w:t xml:space="preserve">Golda Meir, the Israeli Prime Minister, informed the </w:t>
      </w:r>
      <w:r>
        <w:rPr>
          <w:color w:val="231F20"/>
          <w:spacing w:val="-3"/>
        </w:rPr>
        <w:t xml:space="preserve">West </w:t>
      </w:r>
      <w:r>
        <w:rPr>
          <w:color w:val="231F20"/>
        </w:rPr>
        <w:t xml:space="preserve">German authorities that Israel would not release any of the prisoners. At that point, the </w:t>
      </w:r>
      <w:r>
        <w:rPr>
          <w:color w:val="231F20"/>
          <w:spacing w:val="-3"/>
        </w:rPr>
        <w:t xml:space="preserve">West </w:t>
      </w:r>
      <w:r>
        <w:rPr>
          <w:color w:val="231F20"/>
        </w:rPr>
        <w:t>Germans developed a plan to pretend to arrange for the safe passage of the commando and the hostages out of the FRG, while   in fact preparing an ambush.</w:t>
      </w:r>
    </w:p>
    <w:p w14:paraId="06A42F96" w14:textId="77777777" w:rsidR="002653E8" w:rsidRDefault="003115E3">
      <w:pPr>
        <w:pStyle w:val="a3"/>
        <w:spacing w:line="264" w:lineRule="auto"/>
        <w:ind w:left="1327" w:right="1146" w:firstLine="210"/>
        <w:jc w:val="both"/>
      </w:pPr>
      <w:r>
        <w:rPr>
          <w:color w:val="231F20"/>
        </w:rPr>
        <w:t>At</w:t>
      </w:r>
      <w:r>
        <w:rPr>
          <w:color w:val="231F20"/>
          <w:spacing w:val="-9"/>
        </w:rPr>
        <w:t xml:space="preserve"> </w:t>
      </w:r>
      <w:r>
        <w:rPr>
          <w:color w:val="231F20"/>
        </w:rPr>
        <w:t>10:20</w:t>
      </w:r>
      <w:r>
        <w:rPr>
          <w:color w:val="231F20"/>
          <w:spacing w:val="-13"/>
        </w:rPr>
        <w:t xml:space="preserve"> </w:t>
      </w:r>
      <w:r>
        <w:rPr>
          <w:color w:val="231F20"/>
        </w:rPr>
        <w:t>pm,</w:t>
      </w:r>
      <w:r>
        <w:rPr>
          <w:color w:val="231F20"/>
          <w:spacing w:val="-9"/>
        </w:rPr>
        <w:t xml:space="preserve"> </w:t>
      </w:r>
      <w:r>
        <w:rPr>
          <w:color w:val="231F20"/>
        </w:rPr>
        <w:t>the</w:t>
      </w:r>
      <w:r>
        <w:rPr>
          <w:color w:val="231F20"/>
          <w:spacing w:val="-9"/>
        </w:rPr>
        <w:t xml:space="preserve"> </w:t>
      </w:r>
      <w:r>
        <w:rPr>
          <w:color w:val="231F20"/>
        </w:rPr>
        <w:t>guerillas</w:t>
      </w:r>
      <w:r>
        <w:rPr>
          <w:color w:val="231F20"/>
          <w:spacing w:val="-9"/>
        </w:rPr>
        <w:t xml:space="preserve"> </w:t>
      </w:r>
      <w:r>
        <w:rPr>
          <w:color w:val="231F20"/>
        </w:rPr>
        <w:t>and</w:t>
      </w:r>
      <w:r>
        <w:rPr>
          <w:color w:val="231F20"/>
          <w:spacing w:val="-9"/>
        </w:rPr>
        <w:t xml:space="preserve"> </w:t>
      </w:r>
      <w:r>
        <w:rPr>
          <w:color w:val="231F20"/>
        </w:rPr>
        <w:t>their</w:t>
      </w:r>
      <w:r>
        <w:rPr>
          <w:color w:val="231F20"/>
          <w:spacing w:val="-9"/>
        </w:rPr>
        <w:t xml:space="preserve"> </w:t>
      </w:r>
      <w:r>
        <w:rPr>
          <w:color w:val="231F20"/>
        </w:rPr>
        <w:t>captives</w:t>
      </w:r>
      <w:r>
        <w:rPr>
          <w:color w:val="231F20"/>
          <w:spacing w:val="-9"/>
        </w:rPr>
        <w:t xml:space="preserve"> </w:t>
      </w:r>
      <w:r>
        <w:rPr>
          <w:color w:val="231F20"/>
        </w:rPr>
        <w:t>were</w:t>
      </w:r>
      <w:r>
        <w:rPr>
          <w:color w:val="231F20"/>
          <w:spacing w:val="-9"/>
        </w:rPr>
        <w:t xml:space="preserve"> </w:t>
      </w:r>
      <w:r>
        <w:rPr>
          <w:color w:val="231F20"/>
        </w:rPr>
        <w:t>flown</w:t>
      </w:r>
      <w:r>
        <w:rPr>
          <w:color w:val="231F20"/>
          <w:spacing w:val="-9"/>
        </w:rPr>
        <w:t xml:space="preserve"> </w:t>
      </w:r>
      <w:r>
        <w:rPr>
          <w:color w:val="231F20"/>
        </w:rPr>
        <w:t>to</w:t>
      </w:r>
      <w:r>
        <w:rPr>
          <w:color w:val="231F20"/>
          <w:spacing w:val="-9"/>
        </w:rPr>
        <w:t xml:space="preserve"> </w:t>
      </w:r>
      <w:r>
        <w:rPr>
          <w:color w:val="231F20"/>
        </w:rPr>
        <w:t>the</w:t>
      </w:r>
      <w:r>
        <w:rPr>
          <w:color w:val="231F20"/>
          <w:spacing w:val="-9"/>
        </w:rPr>
        <w:t xml:space="preserve"> </w:t>
      </w:r>
      <w:r>
        <w:rPr>
          <w:color w:val="231F20"/>
        </w:rPr>
        <w:t xml:space="preserve">military airfield at Fürstenfeldbruck, halfway between Munich and Augsburg. A Lufthansa Boeing </w:t>
      </w:r>
      <w:r>
        <w:rPr>
          <w:color w:val="231F20"/>
          <w:spacing w:val="-4"/>
        </w:rPr>
        <w:t xml:space="preserve">727 </w:t>
      </w:r>
      <w:r>
        <w:rPr>
          <w:color w:val="231F20"/>
        </w:rPr>
        <w:t>waited on the tarmac, ostensibly to fly the group to Tunis. But the area was crawling with cops, and five snipers had been positioned with orders to take the “terrorists” out as soon as the signal was</w:t>
      </w:r>
      <w:r>
        <w:rPr>
          <w:color w:val="231F20"/>
          <w:spacing w:val="10"/>
        </w:rPr>
        <w:t xml:space="preserve"> </w:t>
      </w:r>
      <w:r>
        <w:rPr>
          <w:color w:val="231F20"/>
        </w:rPr>
        <w:t>given.</w:t>
      </w:r>
    </w:p>
    <w:p w14:paraId="63C23D4B" w14:textId="77777777" w:rsidR="002653E8" w:rsidRDefault="003115E3">
      <w:pPr>
        <w:pStyle w:val="a3"/>
        <w:spacing w:line="264" w:lineRule="auto"/>
        <w:ind w:left="1327" w:right="1146" w:firstLine="210"/>
        <w:jc w:val="both"/>
      </w:pPr>
      <w:r>
        <w:rPr>
          <w:color w:val="231F20"/>
          <w:spacing w:val="-7"/>
        </w:rPr>
        <w:t>Two</w:t>
      </w:r>
      <w:r>
        <w:rPr>
          <w:color w:val="231F20"/>
          <w:spacing w:val="30"/>
        </w:rPr>
        <w:t xml:space="preserve"> </w:t>
      </w:r>
      <w:r>
        <w:rPr>
          <w:color w:val="231F20"/>
        </w:rPr>
        <w:t>members of the commando checked out the Boeing to  make sure that all was as had been promised. They then started back to the helicopters</w:t>
      </w:r>
      <w:r>
        <w:rPr>
          <w:color w:val="231F20"/>
          <w:spacing w:val="7"/>
        </w:rPr>
        <w:t xml:space="preserve"> </w:t>
      </w:r>
      <w:r>
        <w:rPr>
          <w:color w:val="231F20"/>
        </w:rPr>
        <w:t>where</w:t>
      </w:r>
      <w:r>
        <w:rPr>
          <w:color w:val="231F20"/>
          <w:spacing w:val="7"/>
        </w:rPr>
        <w:t xml:space="preserve"> </w:t>
      </w:r>
      <w:r>
        <w:rPr>
          <w:color w:val="231F20"/>
        </w:rPr>
        <w:t>the</w:t>
      </w:r>
      <w:r>
        <w:rPr>
          <w:color w:val="231F20"/>
          <w:spacing w:val="7"/>
        </w:rPr>
        <w:t xml:space="preserve"> </w:t>
      </w:r>
      <w:r>
        <w:rPr>
          <w:color w:val="231F20"/>
        </w:rPr>
        <w:t>hostages</w:t>
      </w:r>
      <w:r>
        <w:rPr>
          <w:color w:val="231F20"/>
          <w:spacing w:val="7"/>
        </w:rPr>
        <w:t xml:space="preserve"> </w:t>
      </w:r>
      <w:r>
        <w:rPr>
          <w:color w:val="231F20"/>
        </w:rPr>
        <w:t>and</w:t>
      </w:r>
      <w:r>
        <w:rPr>
          <w:color w:val="231F20"/>
          <w:spacing w:val="7"/>
        </w:rPr>
        <w:t xml:space="preserve"> </w:t>
      </w:r>
      <w:r>
        <w:rPr>
          <w:color w:val="231F20"/>
        </w:rPr>
        <w:t>the</w:t>
      </w:r>
      <w:r>
        <w:rPr>
          <w:color w:val="231F20"/>
          <w:spacing w:val="7"/>
        </w:rPr>
        <w:t xml:space="preserve"> </w:t>
      </w:r>
      <w:r>
        <w:rPr>
          <w:color w:val="231F20"/>
        </w:rPr>
        <w:t>other</w:t>
      </w:r>
      <w:r>
        <w:rPr>
          <w:color w:val="231F20"/>
          <w:spacing w:val="7"/>
        </w:rPr>
        <w:t xml:space="preserve"> </w:t>
      </w:r>
      <w:r>
        <w:rPr>
          <w:color w:val="231F20"/>
        </w:rPr>
        <w:t>commando</w:t>
      </w:r>
      <w:r>
        <w:rPr>
          <w:color w:val="231F20"/>
          <w:spacing w:val="7"/>
        </w:rPr>
        <w:t xml:space="preserve"> </w:t>
      </w:r>
      <w:r>
        <w:rPr>
          <w:color w:val="231F20"/>
        </w:rPr>
        <w:t>members</w:t>
      </w:r>
      <w:r>
        <w:rPr>
          <w:color w:val="231F20"/>
          <w:spacing w:val="7"/>
        </w:rPr>
        <w:t xml:space="preserve"> </w:t>
      </w:r>
      <w:r>
        <w:rPr>
          <w:color w:val="231F20"/>
        </w:rPr>
        <w:t>had</w:t>
      </w:r>
    </w:p>
    <w:p w14:paraId="2DB6621B" w14:textId="77777777" w:rsidR="002653E8" w:rsidRDefault="00000000">
      <w:pPr>
        <w:pStyle w:val="a3"/>
        <w:spacing w:before="4"/>
        <w:rPr>
          <w:sz w:val="9"/>
        </w:rPr>
      </w:pPr>
      <w:r>
        <w:rPr>
          <w:noProof w:val="0"/>
        </w:rPr>
        <w:pict w14:anchorId="0EDBFDB4">
          <v:line id="_x0000_s2488" style="position:absolute;z-index:5128;mso-wrap-distance-left:0;mso-wrap-distance-right:0;mso-position-horizontal-relative:page" from="66.4pt,7.7pt" to="138.4pt,7.7pt" strokecolor="#231f20" strokeweight=".5pt">
            <w10:wrap type="topAndBottom" anchorx="page"/>
          </v:line>
        </w:pict>
      </w:r>
    </w:p>
    <w:p w14:paraId="48DE62F3" w14:textId="77777777" w:rsidR="002653E8" w:rsidRDefault="003115E3">
      <w:pPr>
        <w:pStyle w:val="a4"/>
        <w:numPr>
          <w:ilvl w:val="1"/>
          <w:numId w:val="133"/>
        </w:numPr>
        <w:tabs>
          <w:tab w:val="left" w:pos="1467"/>
        </w:tabs>
        <w:spacing w:before="53" w:line="254" w:lineRule="auto"/>
        <w:ind w:right="1780" w:firstLine="0"/>
        <w:rPr>
          <w:sz w:val="16"/>
        </w:rPr>
      </w:pPr>
      <w:r>
        <w:rPr>
          <w:color w:val="231F20"/>
          <w:w w:val="105"/>
          <w:sz w:val="16"/>
        </w:rPr>
        <w:t xml:space="preserve">Simon Reeve, </w:t>
      </w:r>
      <w:r>
        <w:rPr>
          <w:i/>
          <w:color w:val="231F20"/>
          <w:spacing w:val="2"/>
          <w:w w:val="105"/>
          <w:sz w:val="16"/>
        </w:rPr>
        <w:t xml:space="preserve">One </w:t>
      </w:r>
      <w:r>
        <w:rPr>
          <w:i/>
          <w:color w:val="231F20"/>
          <w:w w:val="105"/>
          <w:sz w:val="16"/>
        </w:rPr>
        <w:t xml:space="preserve">Day in </w:t>
      </w:r>
      <w:r>
        <w:rPr>
          <w:i/>
          <w:color w:val="231F20"/>
          <w:spacing w:val="1"/>
          <w:w w:val="105"/>
          <w:sz w:val="16"/>
        </w:rPr>
        <w:t xml:space="preserve">September: </w:t>
      </w:r>
      <w:r>
        <w:rPr>
          <w:i/>
          <w:color w:val="231F20"/>
          <w:w w:val="105"/>
          <w:sz w:val="16"/>
        </w:rPr>
        <w:t xml:space="preserve">The Full </w:t>
      </w:r>
      <w:r>
        <w:rPr>
          <w:i/>
          <w:color w:val="231F20"/>
          <w:spacing w:val="1"/>
          <w:w w:val="105"/>
          <w:sz w:val="16"/>
        </w:rPr>
        <w:t xml:space="preserve">Story </w:t>
      </w:r>
      <w:r>
        <w:rPr>
          <w:i/>
          <w:color w:val="231F20"/>
          <w:w w:val="105"/>
          <w:sz w:val="16"/>
        </w:rPr>
        <w:t xml:space="preserve">of the 1972 </w:t>
      </w:r>
      <w:r>
        <w:rPr>
          <w:i/>
          <w:color w:val="231F20"/>
          <w:spacing w:val="1"/>
          <w:w w:val="105"/>
          <w:sz w:val="16"/>
        </w:rPr>
        <w:t xml:space="preserve">Munich </w:t>
      </w:r>
      <w:r>
        <w:rPr>
          <w:i/>
          <w:color w:val="231F20"/>
          <w:w w:val="105"/>
          <w:sz w:val="16"/>
        </w:rPr>
        <w:t>Olympics</w:t>
      </w:r>
      <w:r>
        <w:rPr>
          <w:i/>
          <w:color w:val="231F20"/>
          <w:spacing w:val="15"/>
          <w:w w:val="105"/>
          <w:sz w:val="16"/>
        </w:rPr>
        <w:t xml:space="preserve"> </w:t>
      </w:r>
      <w:r>
        <w:rPr>
          <w:i/>
          <w:color w:val="231F20"/>
          <w:spacing w:val="1"/>
          <w:w w:val="105"/>
          <w:sz w:val="16"/>
        </w:rPr>
        <w:t>Massacre</w:t>
      </w:r>
      <w:r>
        <w:rPr>
          <w:i/>
          <w:color w:val="231F20"/>
          <w:spacing w:val="15"/>
          <w:w w:val="105"/>
          <w:sz w:val="16"/>
        </w:rPr>
        <w:t xml:space="preserve"> </w:t>
      </w:r>
      <w:r>
        <w:rPr>
          <w:color w:val="231F20"/>
          <w:w w:val="105"/>
          <w:sz w:val="16"/>
        </w:rPr>
        <w:t>(New</w:t>
      </w:r>
      <w:r>
        <w:rPr>
          <w:color w:val="231F20"/>
          <w:spacing w:val="15"/>
          <w:w w:val="105"/>
          <w:sz w:val="16"/>
        </w:rPr>
        <w:t xml:space="preserve"> </w:t>
      </w:r>
      <w:r>
        <w:rPr>
          <w:color w:val="231F20"/>
          <w:spacing w:val="-3"/>
          <w:w w:val="105"/>
          <w:sz w:val="16"/>
        </w:rPr>
        <w:t>york:</w:t>
      </w:r>
      <w:r>
        <w:rPr>
          <w:color w:val="231F20"/>
          <w:spacing w:val="15"/>
          <w:w w:val="105"/>
          <w:sz w:val="16"/>
        </w:rPr>
        <w:t xml:space="preserve"> </w:t>
      </w:r>
      <w:r>
        <w:rPr>
          <w:color w:val="231F20"/>
          <w:w w:val="105"/>
          <w:sz w:val="16"/>
        </w:rPr>
        <w:t>Arcade</w:t>
      </w:r>
      <w:r>
        <w:rPr>
          <w:color w:val="231F20"/>
          <w:spacing w:val="15"/>
          <w:w w:val="105"/>
          <w:sz w:val="16"/>
        </w:rPr>
        <w:t xml:space="preserve"> </w:t>
      </w:r>
      <w:r>
        <w:rPr>
          <w:color w:val="231F20"/>
          <w:w w:val="105"/>
          <w:sz w:val="16"/>
        </w:rPr>
        <w:t>Publishing,</w:t>
      </w:r>
      <w:r>
        <w:rPr>
          <w:color w:val="231F20"/>
          <w:spacing w:val="15"/>
          <w:w w:val="105"/>
          <w:sz w:val="16"/>
        </w:rPr>
        <w:t xml:space="preserve"> </w:t>
      </w:r>
      <w:r>
        <w:rPr>
          <w:color w:val="231F20"/>
          <w:w w:val="105"/>
          <w:sz w:val="16"/>
        </w:rPr>
        <w:t>2000),</w:t>
      </w:r>
      <w:r>
        <w:rPr>
          <w:color w:val="231F20"/>
          <w:spacing w:val="15"/>
          <w:w w:val="105"/>
          <w:sz w:val="16"/>
        </w:rPr>
        <w:t xml:space="preserve"> </w:t>
      </w:r>
      <w:r>
        <w:rPr>
          <w:color w:val="231F20"/>
          <w:w w:val="105"/>
          <w:sz w:val="16"/>
        </w:rPr>
        <w:t>40.</w:t>
      </w:r>
    </w:p>
    <w:p w14:paraId="1686E683" w14:textId="77777777" w:rsidR="002653E8" w:rsidRDefault="003115E3">
      <w:pPr>
        <w:pStyle w:val="a4"/>
        <w:numPr>
          <w:ilvl w:val="1"/>
          <w:numId w:val="133"/>
        </w:numPr>
        <w:tabs>
          <w:tab w:val="left" w:pos="1467"/>
        </w:tabs>
        <w:spacing w:line="254" w:lineRule="auto"/>
        <w:ind w:left="1328" w:right="1209" w:firstLine="0"/>
        <w:rPr>
          <w:sz w:val="16"/>
        </w:rPr>
      </w:pPr>
      <w:r>
        <w:rPr>
          <w:color w:val="231F20"/>
          <w:w w:val="105"/>
          <w:sz w:val="16"/>
        </w:rPr>
        <w:t>Black September would later tell Voice of Palestine radio that they had demanded the release of five “revolutionary German girls belonging to the Baader-Meinhof organization,” which five being left open to conjecture. (United Press International, “Other</w:t>
      </w:r>
      <w:r>
        <w:rPr>
          <w:color w:val="231F20"/>
          <w:spacing w:val="25"/>
          <w:w w:val="105"/>
          <w:sz w:val="16"/>
        </w:rPr>
        <w:t xml:space="preserve"> </w:t>
      </w:r>
      <w:r>
        <w:rPr>
          <w:color w:val="231F20"/>
          <w:w w:val="105"/>
          <w:sz w:val="16"/>
        </w:rPr>
        <w:t>Arab</w:t>
      </w:r>
      <w:r>
        <w:rPr>
          <w:color w:val="231F20"/>
          <w:spacing w:val="25"/>
          <w:w w:val="105"/>
          <w:sz w:val="16"/>
        </w:rPr>
        <w:t xml:space="preserve"> </w:t>
      </w:r>
      <w:r>
        <w:rPr>
          <w:color w:val="231F20"/>
          <w:w w:val="105"/>
          <w:sz w:val="16"/>
        </w:rPr>
        <w:t>guerrilla</w:t>
      </w:r>
      <w:r>
        <w:rPr>
          <w:color w:val="231F20"/>
          <w:spacing w:val="25"/>
          <w:w w:val="105"/>
          <w:sz w:val="16"/>
        </w:rPr>
        <w:t xml:space="preserve"> </w:t>
      </w:r>
      <w:r>
        <w:rPr>
          <w:color w:val="231F20"/>
          <w:w w:val="105"/>
          <w:sz w:val="16"/>
        </w:rPr>
        <w:t>demand</w:t>
      </w:r>
      <w:r>
        <w:rPr>
          <w:color w:val="231F20"/>
          <w:spacing w:val="25"/>
          <w:w w:val="105"/>
          <w:sz w:val="16"/>
        </w:rPr>
        <w:t xml:space="preserve"> </w:t>
      </w:r>
      <w:r>
        <w:rPr>
          <w:color w:val="231F20"/>
          <w:w w:val="105"/>
          <w:sz w:val="16"/>
        </w:rPr>
        <w:t>told,”</w:t>
      </w:r>
      <w:r>
        <w:rPr>
          <w:color w:val="231F20"/>
          <w:spacing w:val="25"/>
          <w:w w:val="105"/>
          <w:sz w:val="16"/>
        </w:rPr>
        <w:t xml:space="preserve"> </w:t>
      </w:r>
      <w:r>
        <w:rPr>
          <w:i/>
          <w:color w:val="231F20"/>
          <w:w w:val="105"/>
          <w:sz w:val="16"/>
        </w:rPr>
        <w:t>Hayward</w:t>
      </w:r>
      <w:r>
        <w:rPr>
          <w:i/>
          <w:color w:val="231F20"/>
          <w:spacing w:val="25"/>
          <w:w w:val="105"/>
          <w:sz w:val="16"/>
        </w:rPr>
        <w:t xml:space="preserve"> </w:t>
      </w:r>
      <w:r>
        <w:rPr>
          <w:i/>
          <w:color w:val="231F20"/>
          <w:w w:val="105"/>
          <w:sz w:val="16"/>
        </w:rPr>
        <w:t>Daily</w:t>
      </w:r>
      <w:r>
        <w:rPr>
          <w:i/>
          <w:color w:val="231F20"/>
          <w:spacing w:val="25"/>
          <w:w w:val="105"/>
          <w:sz w:val="16"/>
        </w:rPr>
        <w:t xml:space="preserve"> </w:t>
      </w:r>
      <w:r>
        <w:rPr>
          <w:i/>
          <w:color w:val="231F20"/>
          <w:spacing w:val="1"/>
          <w:w w:val="105"/>
          <w:sz w:val="16"/>
        </w:rPr>
        <w:t>Review,</w:t>
      </w:r>
      <w:r>
        <w:rPr>
          <w:i/>
          <w:color w:val="231F20"/>
          <w:spacing w:val="27"/>
          <w:w w:val="105"/>
          <w:sz w:val="16"/>
        </w:rPr>
        <w:t xml:space="preserve"> </w:t>
      </w:r>
      <w:r>
        <w:rPr>
          <w:color w:val="231F20"/>
          <w:w w:val="105"/>
          <w:sz w:val="16"/>
        </w:rPr>
        <w:t>September</w:t>
      </w:r>
      <w:r>
        <w:rPr>
          <w:color w:val="231F20"/>
          <w:spacing w:val="25"/>
          <w:w w:val="105"/>
          <w:sz w:val="16"/>
        </w:rPr>
        <w:t xml:space="preserve"> </w:t>
      </w:r>
      <w:r>
        <w:rPr>
          <w:color w:val="231F20"/>
          <w:w w:val="105"/>
          <w:sz w:val="16"/>
        </w:rPr>
        <w:t>8,</w:t>
      </w:r>
      <w:r>
        <w:rPr>
          <w:color w:val="231F20"/>
          <w:spacing w:val="25"/>
          <w:w w:val="105"/>
          <w:sz w:val="16"/>
        </w:rPr>
        <w:t xml:space="preserve"> </w:t>
      </w:r>
      <w:r>
        <w:rPr>
          <w:color w:val="231F20"/>
          <w:spacing w:val="-2"/>
          <w:w w:val="105"/>
          <w:sz w:val="16"/>
        </w:rPr>
        <w:t>1972.)</w:t>
      </w:r>
    </w:p>
    <w:p w14:paraId="5045E816" w14:textId="77777777" w:rsidR="002653E8" w:rsidRDefault="003115E3">
      <w:pPr>
        <w:pStyle w:val="a4"/>
        <w:numPr>
          <w:ilvl w:val="1"/>
          <w:numId w:val="133"/>
        </w:numPr>
        <w:tabs>
          <w:tab w:val="left" w:pos="1467"/>
        </w:tabs>
        <w:spacing w:line="254" w:lineRule="auto"/>
        <w:ind w:left="1328" w:right="1368" w:firstLine="0"/>
        <w:rPr>
          <w:sz w:val="16"/>
        </w:rPr>
      </w:pPr>
      <w:r>
        <w:rPr>
          <w:color w:val="231F20"/>
          <w:w w:val="105"/>
          <w:sz w:val="16"/>
        </w:rPr>
        <w:t xml:space="preserve">Iqrith (also spelled Ikrit) and Bir’im were two Christian villages in the upper Galilee. </w:t>
      </w:r>
      <w:r>
        <w:rPr>
          <w:color w:val="231F20"/>
          <w:spacing w:val="1"/>
          <w:w w:val="105"/>
          <w:sz w:val="16"/>
        </w:rPr>
        <w:t xml:space="preserve">In </w:t>
      </w:r>
      <w:r>
        <w:rPr>
          <w:color w:val="231F20"/>
          <w:spacing w:val="-3"/>
          <w:w w:val="105"/>
          <w:sz w:val="16"/>
        </w:rPr>
        <w:t xml:space="preserve">1948, </w:t>
      </w:r>
      <w:r>
        <w:rPr>
          <w:color w:val="231F20"/>
          <w:w w:val="105"/>
          <w:sz w:val="16"/>
        </w:rPr>
        <w:t xml:space="preserve">shock troops from the Zionist </w:t>
      </w:r>
      <w:r>
        <w:rPr>
          <w:i/>
          <w:color w:val="231F20"/>
          <w:w w:val="105"/>
          <w:sz w:val="16"/>
        </w:rPr>
        <w:t xml:space="preserve">Hagana </w:t>
      </w:r>
      <w:r>
        <w:rPr>
          <w:color w:val="231F20"/>
          <w:w w:val="105"/>
          <w:sz w:val="16"/>
        </w:rPr>
        <w:t>expelled the towns’ inhabitants at gunpoint. “The  pogrom-like  expulsion  was  carried  out  without the Israeli government approval,” writes Palestinian journalist Khalid Amayreh. “However,</w:t>
      </w:r>
      <w:r>
        <w:rPr>
          <w:color w:val="231F20"/>
          <w:spacing w:val="10"/>
          <w:w w:val="105"/>
          <w:sz w:val="16"/>
        </w:rPr>
        <w:t xml:space="preserve"> </w:t>
      </w:r>
      <w:r>
        <w:rPr>
          <w:color w:val="231F20"/>
          <w:w w:val="105"/>
          <w:sz w:val="16"/>
        </w:rPr>
        <w:t>the</w:t>
      </w:r>
      <w:r>
        <w:rPr>
          <w:color w:val="231F20"/>
          <w:spacing w:val="10"/>
          <w:w w:val="105"/>
          <w:sz w:val="16"/>
        </w:rPr>
        <w:t xml:space="preserve"> </w:t>
      </w:r>
      <w:r>
        <w:rPr>
          <w:color w:val="231F20"/>
          <w:w w:val="105"/>
          <w:sz w:val="16"/>
        </w:rPr>
        <w:t>democratic</w:t>
      </w:r>
      <w:r>
        <w:rPr>
          <w:color w:val="231F20"/>
          <w:spacing w:val="10"/>
          <w:w w:val="105"/>
          <w:sz w:val="16"/>
        </w:rPr>
        <w:t xml:space="preserve"> </w:t>
      </w:r>
      <w:r>
        <w:rPr>
          <w:color w:val="231F20"/>
          <w:w w:val="105"/>
          <w:sz w:val="16"/>
        </w:rPr>
        <w:t>Israeli</w:t>
      </w:r>
      <w:r>
        <w:rPr>
          <w:color w:val="231F20"/>
          <w:spacing w:val="10"/>
          <w:w w:val="105"/>
          <w:sz w:val="16"/>
        </w:rPr>
        <w:t xml:space="preserve"> </w:t>
      </w:r>
      <w:r>
        <w:rPr>
          <w:color w:val="231F20"/>
          <w:w w:val="105"/>
          <w:sz w:val="16"/>
        </w:rPr>
        <w:t>state</w:t>
      </w:r>
      <w:r>
        <w:rPr>
          <w:color w:val="231F20"/>
          <w:spacing w:val="10"/>
          <w:w w:val="105"/>
          <w:sz w:val="16"/>
        </w:rPr>
        <w:t xml:space="preserve"> </w:t>
      </w:r>
      <w:r>
        <w:rPr>
          <w:color w:val="231F20"/>
          <w:w w:val="105"/>
          <w:sz w:val="16"/>
        </w:rPr>
        <w:t>never</w:t>
      </w:r>
      <w:r>
        <w:rPr>
          <w:color w:val="231F20"/>
          <w:spacing w:val="10"/>
          <w:w w:val="105"/>
          <w:sz w:val="16"/>
        </w:rPr>
        <w:t xml:space="preserve"> </w:t>
      </w:r>
      <w:r>
        <w:rPr>
          <w:color w:val="231F20"/>
          <w:w w:val="105"/>
          <w:sz w:val="16"/>
        </w:rPr>
        <w:t>allowed</w:t>
      </w:r>
      <w:r>
        <w:rPr>
          <w:color w:val="231F20"/>
          <w:spacing w:val="10"/>
          <w:w w:val="105"/>
          <w:sz w:val="16"/>
        </w:rPr>
        <w:t xml:space="preserve"> </w:t>
      </w:r>
      <w:r>
        <w:rPr>
          <w:color w:val="231F20"/>
          <w:w w:val="105"/>
          <w:sz w:val="16"/>
        </w:rPr>
        <w:t>the</w:t>
      </w:r>
      <w:r>
        <w:rPr>
          <w:color w:val="231F20"/>
          <w:spacing w:val="10"/>
          <w:w w:val="105"/>
          <w:sz w:val="16"/>
        </w:rPr>
        <w:t xml:space="preserve"> </w:t>
      </w:r>
      <w:r>
        <w:rPr>
          <w:color w:val="231F20"/>
          <w:w w:val="105"/>
          <w:sz w:val="16"/>
        </w:rPr>
        <w:t>Christian</w:t>
      </w:r>
      <w:r>
        <w:rPr>
          <w:color w:val="231F20"/>
          <w:spacing w:val="10"/>
          <w:w w:val="105"/>
          <w:sz w:val="16"/>
        </w:rPr>
        <w:t xml:space="preserve"> </w:t>
      </w:r>
      <w:r>
        <w:rPr>
          <w:color w:val="231F20"/>
          <w:w w:val="105"/>
          <w:sz w:val="16"/>
        </w:rPr>
        <w:t>inhabitants</w:t>
      </w:r>
      <w:r>
        <w:rPr>
          <w:color w:val="231F20"/>
          <w:spacing w:val="10"/>
          <w:w w:val="105"/>
          <w:sz w:val="16"/>
        </w:rPr>
        <w:t xml:space="preserve"> </w:t>
      </w:r>
      <w:r>
        <w:rPr>
          <w:color w:val="231F20"/>
          <w:w w:val="105"/>
          <w:sz w:val="16"/>
        </w:rPr>
        <w:t>to</w:t>
      </w:r>
    </w:p>
    <w:p w14:paraId="24E56C2F" w14:textId="77777777" w:rsidR="002653E8" w:rsidRDefault="003115E3">
      <w:pPr>
        <w:spacing w:before="2" w:line="254" w:lineRule="auto"/>
        <w:ind w:left="1328" w:right="1348"/>
        <w:rPr>
          <w:sz w:val="16"/>
        </w:rPr>
      </w:pPr>
      <w:r>
        <w:rPr>
          <w:color w:val="231F20"/>
          <w:w w:val="105"/>
          <w:sz w:val="16"/>
        </w:rPr>
        <w:t xml:space="preserve">return, despite several rulings to the contrary by the Israeli High Court.” (Khaled </w:t>
      </w:r>
      <w:r>
        <w:rPr>
          <w:color w:val="231F20"/>
          <w:w w:val="120"/>
          <w:sz w:val="16"/>
        </w:rPr>
        <w:t>A</w:t>
      </w:r>
      <w:r>
        <w:rPr>
          <w:color w:val="231F20"/>
          <w:w w:val="103"/>
          <w:sz w:val="16"/>
        </w:rPr>
        <w:t>m</w:t>
      </w:r>
      <w:r>
        <w:rPr>
          <w:color w:val="231F20"/>
          <w:w w:val="106"/>
          <w:sz w:val="16"/>
        </w:rPr>
        <w:t>a</w:t>
      </w:r>
      <w:r>
        <w:rPr>
          <w:color w:val="231F20"/>
          <w:w w:val="102"/>
          <w:sz w:val="16"/>
        </w:rPr>
        <w:t>y</w:t>
      </w:r>
      <w:r>
        <w:rPr>
          <w:color w:val="231F20"/>
          <w:w w:val="97"/>
          <w:sz w:val="16"/>
        </w:rPr>
        <w:t>r</w:t>
      </w:r>
      <w:r>
        <w:rPr>
          <w:color w:val="231F20"/>
          <w:w w:val="94"/>
          <w:sz w:val="16"/>
        </w:rPr>
        <w:t>e</w:t>
      </w:r>
      <w:r>
        <w:rPr>
          <w:color w:val="231F20"/>
          <w:w w:val="104"/>
          <w:sz w:val="16"/>
        </w:rPr>
        <w:t>h</w:t>
      </w:r>
      <w:r>
        <w:rPr>
          <w:color w:val="231F20"/>
          <w:w w:val="140"/>
          <w:sz w:val="16"/>
        </w:rPr>
        <w:t>,</w:t>
      </w:r>
      <w:r>
        <w:rPr>
          <w:color w:val="231F20"/>
          <w:sz w:val="16"/>
        </w:rPr>
        <w:t xml:space="preserve"> </w:t>
      </w:r>
      <w:r>
        <w:rPr>
          <w:color w:val="231F20"/>
          <w:w w:val="153"/>
          <w:sz w:val="16"/>
        </w:rPr>
        <w:t>“</w:t>
      </w:r>
      <w:r>
        <w:rPr>
          <w:color w:val="231F20"/>
          <w:w w:val="133"/>
          <w:sz w:val="16"/>
        </w:rPr>
        <w:t>C</w:t>
      </w:r>
      <w:r>
        <w:rPr>
          <w:color w:val="231F20"/>
          <w:w w:val="104"/>
          <w:sz w:val="16"/>
        </w:rPr>
        <w:t>h</w:t>
      </w:r>
      <w:r>
        <w:rPr>
          <w:color w:val="231F20"/>
          <w:w w:val="97"/>
          <w:sz w:val="16"/>
        </w:rPr>
        <w:t>r</w:t>
      </w:r>
      <w:r>
        <w:rPr>
          <w:color w:val="231F20"/>
          <w:w w:val="103"/>
          <w:sz w:val="16"/>
        </w:rPr>
        <w:t>i</w:t>
      </w:r>
      <w:r>
        <w:rPr>
          <w:color w:val="231F20"/>
          <w:w w:val="93"/>
          <w:sz w:val="16"/>
        </w:rPr>
        <w:t>s</w:t>
      </w:r>
      <w:r>
        <w:rPr>
          <w:color w:val="231F20"/>
          <w:w w:val="102"/>
          <w:sz w:val="16"/>
        </w:rPr>
        <w:t>t</w:t>
      </w:r>
      <w:r>
        <w:rPr>
          <w:color w:val="231F20"/>
          <w:w w:val="103"/>
          <w:sz w:val="16"/>
        </w:rPr>
        <w:t>i</w:t>
      </w:r>
      <w:r>
        <w:rPr>
          <w:color w:val="231F20"/>
          <w:w w:val="106"/>
          <w:sz w:val="16"/>
        </w:rPr>
        <w:t>a</w:t>
      </w:r>
      <w:r>
        <w:rPr>
          <w:color w:val="231F20"/>
          <w:w w:val="103"/>
          <w:sz w:val="16"/>
        </w:rPr>
        <w:t>n</w:t>
      </w:r>
      <w:r>
        <w:rPr>
          <w:color w:val="231F20"/>
          <w:w w:val="93"/>
          <w:sz w:val="16"/>
        </w:rPr>
        <w:t>s</w:t>
      </w:r>
      <w:r>
        <w:rPr>
          <w:color w:val="231F20"/>
          <w:w w:val="140"/>
          <w:sz w:val="16"/>
        </w:rPr>
        <w:t>,</w:t>
      </w:r>
      <w:r>
        <w:rPr>
          <w:color w:val="231F20"/>
          <w:sz w:val="16"/>
        </w:rPr>
        <w:t xml:space="preserve"> </w:t>
      </w:r>
      <w:r>
        <w:rPr>
          <w:color w:val="231F20"/>
          <w:w w:val="102"/>
          <w:sz w:val="16"/>
        </w:rPr>
        <w:t>t</w:t>
      </w:r>
      <w:r>
        <w:rPr>
          <w:color w:val="231F20"/>
          <w:w w:val="108"/>
          <w:sz w:val="16"/>
        </w:rPr>
        <w:t>oo</w:t>
      </w:r>
      <w:r>
        <w:rPr>
          <w:color w:val="231F20"/>
          <w:w w:val="140"/>
          <w:sz w:val="16"/>
        </w:rPr>
        <w:t>,</w:t>
      </w:r>
      <w:r>
        <w:rPr>
          <w:color w:val="231F20"/>
          <w:sz w:val="16"/>
        </w:rPr>
        <w:t xml:space="preserve"> </w:t>
      </w:r>
      <w:r>
        <w:rPr>
          <w:color w:val="231F20"/>
          <w:w w:val="93"/>
          <w:sz w:val="16"/>
        </w:rPr>
        <w:t>s</w:t>
      </w:r>
      <w:r>
        <w:rPr>
          <w:color w:val="231F20"/>
          <w:w w:val="104"/>
          <w:sz w:val="16"/>
        </w:rPr>
        <w:t>u</w:t>
      </w:r>
      <w:r>
        <w:rPr>
          <w:color w:val="231F20"/>
          <w:w w:val="114"/>
          <w:sz w:val="16"/>
        </w:rPr>
        <w:t>ff</w:t>
      </w:r>
      <w:r>
        <w:rPr>
          <w:color w:val="231F20"/>
          <w:w w:val="94"/>
          <w:sz w:val="16"/>
        </w:rPr>
        <w:t>e</w:t>
      </w:r>
      <w:r>
        <w:rPr>
          <w:color w:val="231F20"/>
          <w:w w:val="97"/>
          <w:sz w:val="16"/>
        </w:rPr>
        <w:t>r</w:t>
      </w:r>
      <w:r>
        <w:rPr>
          <w:color w:val="231F20"/>
          <w:sz w:val="16"/>
        </w:rPr>
        <w:t xml:space="preserve"> </w:t>
      </w:r>
      <w:r>
        <w:rPr>
          <w:color w:val="231F20"/>
          <w:w w:val="102"/>
          <w:sz w:val="16"/>
        </w:rPr>
        <w:t>t</w:t>
      </w:r>
      <w:r>
        <w:rPr>
          <w:color w:val="231F20"/>
          <w:w w:val="104"/>
          <w:sz w:val="16"/>
        </w:rPr>
        <w:t>h</w:t>
      </w:r>
      <w:r>
        <w:rPr>
          <w:color w:val="231F20"/>
          <w:w w:val="94"/>
          <w:sz w:val="16"/>
        </w:rPr>
        <w:t>e</w:t>
      </w:r>
      <w:r>
        <w:rPr>
          <w:color w:val="231F20"/>
          <w:sz w:val="16"/>
        </w:rPr>
        <w:t xml:space="preserve"> </w:t>
      </w:r>
      <w:r>
        <w:rPr>
          <w:color w:val="231F20"/>
          <w:w w:val="94"/>
          <w:sz w:val="16"/>
        </w:rPr>
        <w:t>e</w:t>
      </w:r>
      <w:r>
        <w:rPr>
          <w:color w:val="231F20"/>
          <w:w w:val="102"/>
          <w:sz w:val="16"/>
        </w:rPr>
        <w:t>v</w:t>
      </w:r>
      <w:r>
        <w:rPr>
          <w:color w:val="231F20"/>
          <w:w w:val="103"/>
          <w:sz w:val="16"/>
        </w:rPr>
        <w:t>i</w:t>
      </w:r>
      <w:r>
        <w:rPr>
          <w:color w:val="231F20"/>
          <w:w w:val="106"/>
          <w:sz w:val="16"/>
        </w:rPr>
        <w:t>l</w:t>
      </w:r>
      <w:r>
        <w:rPr>
          <w:color w:val="231F20"/>
          <w:w w:val="103"/>
          <w:sz w:val="16"/>
        </w:rPr>
        <w:t>n</w:t>
      </w:r>
      <w:r>
        <w:rPr>
          <w:color w:val="231F20"/>
          <w:w w:val="94"/>
          <w:sz w:val="16"/>
        </w:rPr>
        <w:t>e</w:t>
      </w:r>
      <w:r>
        <w:rPr>
          <w:color w:val="231F20"/>
          <w:w w:val="93"/>
          <w:sz w:val="16"/>
        </w:rPr>
        <w:t>ss</w:t>
      </w:r>
      <w:r>
        <w:rPr>
          <w:color w:val="231F20"/>
          <w:sz w:val="16"/>
        </w:rPr>
        <w:t xml:space="preserve"> </w:t>
      </w:r>
      <w:r>
        <w:rPr>
          <w:color w:val="231F20"/>
          <w:w w:val="108"/>
          <w:sz w:val="16"/>
        </w:rPr>
        <w:t>o</w:t>
      </w:r>
      <w:r>
        <w:rPr>
          <w:color w:val="231F20"/>
          <w:w w:val="114"/>
          <w:sz w:val="16"/>
        </w:rPr>
        <w:t>f</w:t>
      </w:r>
      <w:r>
        <w:rPr>
          <w:color w:val="231F20"/>
          <w:sz w:val="16"/>
        </w:rPr>
        <w:t xml:space="preserve"> </w:t>
      </w:r>
      <w:r>
        <w:rPr>
          <w:color w:val="231F20"/>
          <w:w w:val="102"/>
          <w:sz w:val="16"/>
        </w:rPr>
        <w:t>t</w:t>
      </w:r>
      <w:r>
        <w:rPr>
          <w:color w:val="231F20"/>
          <w:w w:val="104"/>
          <w:sz w:val="16"/>
        </w:rPr>
        <w:t>h</w:t>
      </w:r>
      <w:r>
        <w:rPr>
          <w:color w:val="231F20"/>
          <w:w w:val="94"/>
          <w:sz w:val="16"/>
        </w:rPr>
        <w:t>e</w:t>
      </w:r>
      <w:r>
        <w:rPr>
          <w:color w:val="231F20"/>
          <w:sz w:val="16"/>
        </w:rPr>
        <w:t xml:space="preserve"> </w:t>
      </w:r>
      <w:r>
        <w:rPr>
          <w:color w:val="231F20"/>
          <w:w w:val="108"/>
          <w:sz w:val="16"/>
        </w:rPr>
        <w:t>o</w:t>
      </w:r>
      <w:r>
        <w:rPr>
          <w:color w:val="231F20"/>
          <w:w w:val="104"/>
          <w:sz w:val="16"/>
        </w:rPr>
        <w:t>ccu</w:t>
      </w:r>
      <w:r>
        <w:rPr>
          <w:color w:val="231F20"/>
          <w:w w:val="103"/>
          <w:sz w:val="16"/>
        </w:rPr>
        <w:t>p</w:t>
      </w:r>
      <w:r>
        <w:rPr>
          <w:color w:val="231F20"/>
          <w:w w:val="106"/>
          <w:sz w:val="16"/>
        </w:rPr>
        <w:t>a</w:t>
      </w:r>
      <w:r>
        <w:rPr>
          <w:color w:val="231F20"/>
          <w:w w:val="102"/>
          <w:sz w:val="16"/>
        </w:rPr>
        <w:t>t</w:t>
      </w:r>
      <w:r>
        <w:rPr>
          <w:color w:val="231F20"/>
          <w:w w:val="107"/>
          <w:sz w:val="16"/>
        </w:rPr>
        <w:t>io</w:t>
      </w:r>
      <w:r>
        <w:rPr>
          <w:color w:val="231F20"/>
          <w:w w:val="103"/>
          <w:sz w:val="16"/>
        </w:rPr>
        <w:t>n</w:t>
      </w:r>
      <w:r>
        <w:rPr>
          <w:color w:val="231F20"/>
          <w:w w:val="140"/>
          <w:sz w:val="16"/>
        </w:rPr>
        <w:t>,</w:t>
      </w:r>
      <w:r>
        <w:rPr>
          <w:color w:val="231F20"/>
          <w:w w:val="153"/>
          <w:sz w:val="16"/>
        </w:rPr>
        <w:t>”</w:t>
      </w:r>
      <w:r>
        <w:rPr>
          <w:color w:val="231F20"/>
          <w:sz w:val="16"/>
        </w:rPr>
        <w:t xml:space="preserve"> </w:t>
      </w:r>
      <w:r>
        <w:rPr>
          <w:color w:val="231F20"/>
          <w:w w:val="106"/>
          <w:sz w:val="16"/>
        </w:rPr>
        <w:t>a</w:t>
      </w:r>
      <w:r>
        <w:rPr>
          <w:color w:val="231F20"/>
          <w:w w:val="102"/>
          <w:sz w:val="16"/>
        </w:rPr>
        <w:t>t</w:t>
      </w:r>
      <w:r>
        <w:rPr>
          <w:color w:val="231F20"/>
          <w:sz w:val="16"/>
        </w:rPr>
        <w:t xml:space="preserve"> </w:t>
      </w:r>
      <w:hyperlink r:id="rId165">
        <w:r>
          <w:rPr>
            <w:color w:val="231F20"/>
            <w:w w:val="103"/>
            <w:sz w:val="16"/>
          </w:rPr>
          <w:t>ht</w:t>
        </w:r>
        <w:r>
          <w:rPr>
            <w:color w:val="231F20"/>
            <w:w w:val="102"/>
            <w:sz w:val="16"/>
          </w:rPr>
          <w:t>t</w:t>
        </w:r>
        <w:r>
          <w:rPr>
            <w:color w:val="231F20"/>
            <w:w w:val="103"/>
            <w:sz w:val="16"/>
          </w:rPr>
          <w:t>p</w:t>
        </w:r>
        <w:r>
          <w:rPr>
            <w:color w:val="231F20"/>
            <w:w w:val="109"/>
            <w:sz w:val="16"/>
          </w:rPr>
          <w:t>:</w:t>
        </w:r>
        <w:r>
          <w:rPr>
            <w:color w:val="231F20"/>
            <w:w w:val="58"/>
            <w:sz w:val="16"/>
          </w:rPr>
          <w:t>//</w:t>
        </w:r>
        <w:r>
          <w:rPr>
            <w:color w:val="231F20"/>
            <w:w w:val="104"/>
            <w:sz w:val="16"/>
          </w:rPr>
          <w:t>www</w:t>
        </w:r>
        <w:r>
          <w:rPr>
            <w:color w:val="231F20"/>
            <w:w w:val="140"/>
            <w:sz w:val="16"/>
          </w:rPr>
          <w:t>.</w:t>
        </w:r>
      </w:hyperlink>
      <w:r>
        <w:rPr>
          <w:color w:val="231F20"/>
          <w:w w:val="140"/>
          <w:sz w:val="16"/>
        </w:rPr>
        <w:t xml:space="preserve"> </w:t>
      </w:r>
      <w:r>
        <w:rPr>
          <w:color w:val="231F20"/>
          <w:w w:val="102"/>
          <w:sz w:val="16"/>
        </w:rPr>
        <w:t>t</w:t>
      </w:r>
      <w:r>
        <w:rPr>
          <w:color w:val="231F20"/>
          <w:w w:val="104"/>
          <w:sz w:val="16"/>
        </w:rPr>
        <w:t>h</w:t>
      </w:r>
      <w:r>
        <w:rPr>
          <w:color w:val="231F20"/>
          <w:w w:val="94"/>
          <w:sz w:val="16"/>
        </w:rPr>
        <w:t>e</w:t>
      </w:r>
      <w:r>
        <w:rPr>
          <w:color w:val="231F20"/>
          <w:w w:val="103"/>
          <w:sz w:val="16"/>
        </w:rPr>
        <w:t>p</w:t>
      </w:r>
      <w:r>
        <w:rPr>
          <w:color w:val="231F20"/>
          <w:w w:val="94"/>
          <w:sz w:val="16"/>
        </w:rPr>
        <w:t>e</w:t>
      </w:r>
      <w:r>
        <w:rPr>
          <w:color w:val="231F20"/>
          <w:w w:val="106"/>
          <w:sz w:val="16"/>
        </w:rPr>
        <w:t>opl</w:t>
      </w:r>
      <w:r>
        <w:rPr>
          <w:color w:val="231F20"/>
          <w:w w:val="94"/>
          <w:sz w:val="16"/>
        </w:rPr>
        <w:t>e</w:t>
      </w:r>
      <w:r>
        <w:rPr>
          <w:color w:val="231F20"/>
          <w:w w:val="93"/>
          <w:sz w:val="16"/>
        </w:rPr>
        <w:t>s</w:t>
      </w:r>
      <w:r>
        <w:rPr>
          <w:color w:val="231F20"/>
          <w:w w:val="102"/>
          <w:sz w:val="16"/>
        </w:rPr>
        <w:t>v</w:t>
      </w:r>
      <w:r>
        <w:rPr>
          <w:color w:val="231F20"/>
          <w:w w:val="108"/>
          <w:sz w:val="16"/>
        </w:rPr>
        <w:t>o</w:t>
      </w:r>
      <w:r>
        <w:rPr>
          <w:color w:val="231F20"/>
          <w:w w:val="103"/>
          <w:sz w:val="16"/>
        </w:rPr>
        <w:t>i</w:t>
      </w:r>
      <w:r>
        <w:rPr>
          <w:color w:val="231F20"/>
          <w:w w:val="104"/>
          <w:sz w:val="16"/>
        </w:rPr>
        <w:t>c</w:t>
      </w:r>
      <w:r>
        <w:rPr>
          <w:color w:val="231F20"/>
          <w:w w:val="94"/>
          <w:sz w:val="16"/>
        </w:rPr>
        <w:t>e</w:t>
      </w:r>
      <w:r>
        <w:rPr>
          <w:color w:val="231F20"/>
          <w:w w:val="140"/>
          <w:sz w:val="16"/>
        </w:rPr>
        <w:t>.</w:t>
      </w:r>
      <w:r>
        <w:rPr>
          <w:color w:val="231F20"/>
          <w:w w:val="108"/>
          <w:sz w:val="16"/>
        </w:rPr>
        <w:t>o</w:t>
      </w:r>
      <w:r>
        <w:rPr>
          <w:color w:val="231F20"/>
          <w:w w:val="97"/>
          <w:sz w:val="16"/>
        </w:rPr>
        <w:t>r</w:t>
      </w:r>
      <w:r>
        <w:rPr>
          <w:color w:val="231F20"/>
          <w:w w:val="104"/>
          <w:sz w:val="16"/>
        </w:rPr>
        <w:t>g</w:t>
      </w:r>
      <w:r>
        <w:rPr>
          <w:color w:val="231F20"/>
          <w:w w:val="58"/>
          <w:sz w:val="16"/>
        </w:rPr>
        <w:t>/</w:t>
      </w:r>
      <w:r>
        <w:rPr>
          <w:color w:val="231F20"/>
          <w:w w:val="104"/>
          <w:sz w:val="16"/>
        </w:rPr>
        <w:t>cg</w:t>
      </w:r>
      <w:r>
        <w:rPr>
          <w:color w:val="231F20"/>
          <w:w w:val="103"/>
          <w:sz w:val="16"/>
        </w:rPr>
        <w:t>i</w:t>
      </w:r>
      <w:r>
        <w:rPr>
          <w:color w:val="231F20"/>
          <w:w w:val="104"/>
          <w:sz w:val="16"/>
        </w:rPr>
        <w:t>-</w:t>
      </w:r>
      <w:r>
        <w:rPr>
          <w:color w:val="231F20"/>
          <w:w w:val="105"/>
          <w:sz w:val="16"/>
        </w:rPr>
        <w:t>b</w:t>
      </w:r>
      <w:r>
        <w:rPr>
          <w:color w:val="231F20"/>
          <w:w w:val="103"/>
          <w:sz w:val="16"/>
        </w:rPr>
        <w:t>in</w:t>
      </w:r>
      <w:r>
        <w:rPr>
          <w:color w:val="231F20"/>
          <w:w w:val="58"/>
          <w:sz w:val="16"/>
        </w:rPr>
        <w:t>/</w:t>
      </w:r>
      <w:r>
        <w:rPr>
          <w:color w:val="231F20"/>
          <w:w w:val="105"/>
          <w:sz w:val="16"/>
        </w:rPr>
        <w:t>bl</w:t>
      </w:r>
      <w:r>
        <w:rPr>
          <w:color w:val="231F20"/>
          <w:w w:val="108"/>
          <w:sz w:val="16"/>
        </w:rPr>
        <w:t>o</w:t>
      </w:r>
      <w:r>
        <w:rPr>
          <w:color w:val="231F20"/>
          <w:w w:val="104"/>
          <w:sz w:val="16"/>
        </w:rPr>
        <w:t>g</w:t>
      </w:r>
      <w:r>
        <w:rPr>
          <w:color w:val="231F20"/>
          <w:w w:val="93"/>
          <w:sz w:val="16"/>
        </w:rPr>
        <w:t>s</w:t>
      </w:r>
      <w:r>
        <w:rPr>
          <w:color w:val="231F20"/>
          <w:w w:val="58"/>
          <w:sz w:val="16"/>
        </w:rPr>
        <w:t>/</w:t>
      </w:r>
      <w:r>
        <w:rPr>
          <w:color w:val="231F20"/>
          <w:w w:val="102"/>
          <w:sz w:val="16"/>
        </w:rPr>
        <w:t>v</w:t>
      </w:r>
      <w:r>
        <w:rPr>
          <w:color w:val="231F20"/>
          <w:w w:val="108"/>
          <w:sz w:val="16"/>
        </w:rPr>
        <w:t>o</w:t>
      </w:r>
      <w:r>
        <w:rPr>
          <w:color w:val="231F20"/>
          <w:w w:val="103"/>
          <w:sz w:val="16"/>
        </w:rPr>
        <w:t>i</w:t>
      </w:r>
      <w:r>
        <w:rPr>
          <w:color w:val="231F20"/>
          <w:w w:val="104"/>
          <w:sz w:val="16"/>
        </w:rPr>
        <w:t>c</w:t>
      </w:r>
      <w:r>
        <w:rPr>
          <w:color w:val="231F20"/>
          <w:w w:val="94"/>
          <w:sz w:val="16"/>
        </w:rPr>
        <w:t>e</w:t>
      </w:r>
      <w:r>
        <w:rPr>
          <w:color w:val="231F20"/>
          <w:w w:val="93"/>
          <w:sz w:val="16"/>
        </w:rPr>
        <w:t>s</w:t>
      </w:r>
      <w:r>
        <w:rPr>
          <w:color w:val="231F20"/>
          <w:w w:val="140"/>
          <w:sz w:val="16"/>
        </w:rPr>
        <w:t>.</w:t>
      </w:r>
      <w:r>
        <w:rPr>
          <w:color w:val="231F20"/>
          <w:w w:val="103"/>
          <w:sz w:val="16"/>
        </w:rPr>
        <w:t>p</w:t>
      </w:r>
      <w:r>
        <w:rPr>
          <w:color w:val="231F20"/>
          <w:w w:val="104"/>
          <w:sz w:val="16"/>
        </w:rPr>
        <w:t>h</w:t>
      </w:r>
      <w:r>
        <w:rPr>
          <w:color w:val="231F20"/>
          <w:w w:val="103"/>
          <w:sz w:val="16"/>
        </w:rPr>
        <w:t>p</w:t>
      </w:r>
      <w:r>
        <w:rPr>
          <w:color w:val="231F20"/>
          <w:w w:val="58"/>
          <w:sz w:val="16"/>
        </w:rPr>
        <w:t>/</w:t>
      </w:r>
      <w:r>
        <w:rPr>
          <w:color w:val="231F20"/>
          <w:w w:val="104"/>
          <w:sz w:val="16"/>
        </w:rPr>
        <w:t>2007</w:t>
      </w:r>
      <w:r>
        <w:rPr>
          <w:color w:val="231F20"/>
          <w:w w:val="58"/>
          <w:sz w:val="16"/>
        </w:rPr>
        <w:t>/</w:t>
      </w:r>
      <w:r>
        <w:rPr>
          <w:color w:val="231F20"/>
          <w:w w:val="104"/>
          <w:sz w:val="16"/>
        </w:rPr>
        <w:t>12</w:t>
      </w:r>
      <w:r>
        <w:rPr>
          <w:color w:val="231F20"/>
          <w:w w:val="58"/>
          <w:sz w:val="16"/>
        </w:rPr>
        <w:t>/</w:t>
      </w:r>
      <w:r>
        <w:rPr>
          <w:color w:val="231F20"/>
          <w:w w:val="104"/>
          <w:sz w:val="16"/>
        </w:rPr>
        <w:t>26</w:t>
      </w:r>
      <w:r>
        <w:rPr>
          <w:color w:val="231F20"/>
          <w:w w:val="58"/>
          <w:sz w:val="16"/>
        </w:rPr>
        <w:t>/</w:t>
      </w:r>
      <w:r>
        <w:rPr>
          <w:color w:val="231F20"/>
          <w:w w:val="104"/>
          <w:sz w:val="16"/>
        </w:rPr>
        <w:t>ch</w:t>
      </w:r>
      <w:r>
        <w:rPr>
          <w:color w:val="231F20"/>
          <w:w w:val="97"/>
          <w:sz w:val="16"/>
        </w:rPr>
        <w:t>r</w:t>
      </w:r>
      <w:r>
        <w:rPr>
          <w:color w:val="231F20"/>
          <w:w w:val="103"/>
          <w:sz w:val="16"/>
        </w:rPr>
        <w:t>i</w:t>
      </w:r>
      <w:r>
        <w:rPr>
          <w:color w:val="231F20"/>
          <w:w w:val="93"/>
          <w:sz w:val="16"/>
        </w:rPr>
        <w:t>s</w:t>
      </w:r>
      <w:r>
        <w:rPr>
          <w:color w:val="231F20"/>
          <w:w w:val="102"/>
          <w:sz w:val="16"/>
        </w:rPr>
        <w:t>t</w:t>
      </w:r>
      <w:r>
        <w:rPr>
          <w:color w:val="231F20"/>
          <w:w w:val="103"/>
          <w:sz w:val="16"/>
        </w:rPr>
        <w:t>i</w:t>
      </w:r>
      <w:r>
        <w:rPr>
          <w:color w:val="231F20"/>
          <w:w w:val="106"/>
          <w:sz w:val="16"/>
        </w:rPr>
        <w:t>a</w:t>
      </w:r>
      <w:r>
        <w:rPr>
          <w:color w:val="231F20"/>
          <w:w w:val="103"/>
          <w:sz w:val="16"/>
        </w:rPr>
        <w:t>n</w:t>
      </w:r>
      <w:r>
        <w:rPr>
          <w:color w:val="231F20"/>
          <w:w w:val="93"/>
          <w:sz w:val="16"/>
        </w:rPr>
        <w:t>s</w:t>
      </w:r>
      <w:r>
        <w:rPr>
          <w:color w:val="231F20"/>
          <w:w w:val="139"/>
          <w:sz w:val="16"/>
        </w:rPr>
        <w:t>_</w:t>
      </w:r>
      <w:r>
        <w:rPr>
          <w:color w:val="231F20"/>
          <w:w w:val="102"/>
          <w:sz w:val="16"/>
        </w:rPr>
        <w:t>t</w:t>
      </w:r>
      <w:r>
        <w:rPr>
          <w:color w:val="231F20"/>
          <w:w w:val="108"/>
          <w:sz w:val="16"/>
        </w:rPr>
        <w:t>oo</w:t>
      </w:r>
      <w:r>
        <w:rPr>
          <w:color w:val="231F20"/>
          <w:w w:val="139"/>
          <w:sz w:val="16"/>
        </w:rPr>
        <w:t>_</w:t>
      </w:r>
      <w:r>
        <w:rPr>
          <w:color w:val="231F20"/>
          <w:w w:val="99"/>
          <w:sz w:val="16"/>
        </w:rPr>
        <w:t>su</w:t>
      </w:r>
      <w:r>
        <w:rPr>
          <w:color w:val="231F20"/>
          <w:w w:val="114"/>
          <w:sz w:val="16"/>
        </w:rPr>
        <w:t>ff</w:t>
      </w:r>
      <w:r>
        <w:rPr>
          <w:color w:val="231F20"/>
          <w:w w:val="94"/>
          <w:sz w:val="16"/>
        </w:rPr>
        <w:t>e</w:t>
      </w:r>
      <w:r>
        <w:rPr>
          <w:color w:val="231F20"/>
          <w:w w:val="117"/>
          <w:sz w:val="16"/>
        </w:rPr>
        <w:t xml:space="preserve">r_ </w:t>
      </w:r>
      <w:r>
        <w:rPr>
          <w:color w:val="231F20"/>
          <w:w w:val="105"/>
          <w:sz w:val="16"/>
        </w:rPr>
        <w:t>the_evilness_of_th).</w:t>
      </w:r>
    </w:p>
    <w:p w14:paraId="107418E6" w14:textId="77777777" w:rsidR="002653E8" w:rsidRDefault="002653E8">
      <w:pPr>
        <w:spacing w:line="254" w:lineRule="auto"/>
        <w:rPr>
          <w:sz w:val="16"/>
        </w:rPr>
        <w:sectPr w:rsidR="002653E8">
          <w:footerReference w:type="even" r:id="rId166"/>
          <w:footerReference w:type="default" r:id="rId167"/>
          <w:pgSz w:w="8640" w:h="12960"/>
          <w:pgMar w:top="1060" w:right="0" w:bottom="1040" w:left="0" w:header="0" w:footer="850" w:gutter="0"/>
          <w:cols w:space="720"/>
        </w:sectPr>
      </w:pPr>
    </w:p>
    <w:p w14:paraId="50EBF084" w14:textId="77777777" w:rsidR="002653E8" w:rsidRDefault="003115E3">
      <w:pPr>
        <w:pStyle w:val="a3"/>
        <w:spacing w:before="86" w:line="264" w:lineRule="auto"/>
        <w:ind w:left="1147" w:right="1326"/>
        <w:jc w:val="both"/>
      </w:pPr>
      <w:r>
        <w:rPr>
          <w:color w:val="231F20"/>
        </w:rPr>
        <w:lastRenderedPageBreak/>
        <w:t xml:space="preserve">remained. At this point, the police sharpshooters opened fire: they missed, and there ensued intermittent volleys of bullets lasting over    an hour. Finally, unable to subdue the Palestinians with </w:t>
      </w:r>
      <w:r>
        <w:rPr>
          <w:color w:val="231F20"/>
          <w:spacing w:val="1"/>
        </w:rPr>
        <w:t xml:space="preserve">gunfire, </w:t>
      </w:r>
      <w:r>
        <w:rPr>
          <w:color w:val="231F20"/>
        </w:rPr>
        <w:t xml:space="preserve">just after midnight police in armored vehicles moved in to </w:t>
      </w:r>
      <w:r>
        <w:rPr>
          <w:color w:val="231F20"/>
          <w:spacing w:val="1"/>
        </w:rPr>
        <w:t xml:space="preserve">try </w:t>
      </w:r>
      <w:r>
        <w:rPr>
          <w:color w:val="231F20"/>
        </w:rPr>
        <w:t>and storm the helicopters.</w:t>
      </w:r>
    </w:p>
    <w:p w14:paraId="0676E44E" w14:textId="77777777" w:rsidR="002653E8" w:rsidRDefault="003115E3">
      <w:pPr>
        <w:pStyle w:val="a3"/>
        <w:spacing w:line="229" w:lineRule="exact"/>
        <w:ind w:left="1357"/>
      </w:pPr>
      <w:r>
        <w:rPr>
          <w:color w:val="231F20"/>
        </w:rPr>
        <w:t>Seeing this, the commando executed the nine hostages.</w:t>
      </w:r>
    </w:p>
    <w:p w14:paraId="1A212A7A" w14:textId="77777777" w:rsidR="002653E8" w:rsidRDefault="003115E3">
      <w:pPr>
        <w:pStyle w:val="a3"/>
        <w:spacing w:before="23" w:line="264" w:lineRule="auto"/>
        <w:ind w:left="1147" w:right="1327" w:firstLine="210"/>
        <w:jc w:val="both"/>
      </w:pPr>
      <w:r>
        <w:rPr>
          <w:color w:val="231F20"/>
        </w:rPr>
        <w:t>By the time the cops were in control, five members of the Palestinian commando and a police officer also lay dead. The entire hostage-taking had lasted barely twenty hours.</w:t>
      </w:r>
    </w:p>
    <w:p w14:paraId="05674F42" w14:textId="77777777" w:rsidR="002653E8" w:rsidRDefault="003115E3">
      <w:pPr>
        <w:pStyle w:val="a3"/>
        <w:spacing w:line="264" w:lineRule="auto"/>
        <w:ind w:left="1147" w:right="1325" w:firstLine="210"/>
        <w:jc w:val="both"/>
        <w:rPr>
          <w:sz w:val="11"/>
        </w:rPr>
      </w:pPr>
      <w:r>
        <w:rPr>
          <w:color w:val="231F20"/>
        </w:rPr>
        <w:t xml:space="preserve">It was later revealed that the Bavarian police had seriously bungled their ambush. A team that had been designated to overpower the commando inside the Boeing had voted </w:t>
      </w:r>
      <w:r>
        <w:rPr>
          <w:color w:val="231F20"/>
          <w:spacing w:val="-4"/>
        </w:rPr>
        <w:t xml:space="preserve">(!) </w:t>
      </w:r>
      <w:r>
        <w:rPr>
          <w:color w:val="231F20"/>
        </w:rPr>
        <w:t>to desert their posts just twenty minutes before the helicopters landed at Fürstenfeldbruck—they considered the proposed ambush “suicidal.”</w:t>
      </w:r>
      <w:r>
        <w:rPr>
          <w:color w:val="231F20"/>
          <w:position w:val="7"/>
          <w:sz w:val="11"/>
        </w:rPr>
        <w:t xml:space="preserve">1 </w:t>
      </w:r>
      <w:r>
        <w:rPr>
          <w:color w:val="231F20"/>
        </w:rPr>
        <w:t>This put all the pressure on  the marksmen, and yet there were only five deployed, they were not equipped with the recommended rifles for such an operation, nor had they received infrared sights, bulletproof vests, or walkie talkies.</w:t>
      </w:r>
      <w:r>
        <w:rPr>
          <w:color w:val="231F20"/>
          <w:position w:val="7"/>
          <w:sz w:val="11"/>
        </w:rPr>
        <w:t xml:space="preserve">2 </w:t>
      </w:r>
      <w:r>
        <w:rPr>
          <w:color w:val="231F20"/>
        </w:rPr>
        <w:t>They were not even informed of each other’s positions, which led to one police sniper shooting another, whom he mistook for a member of the commando!</w:t>
      </w:r>
      <w:r>
        <w:rPr>
          <w:color w:val="231F20"/>
          <w:position w:val="7"/>
          <w:sz w:val="11"/>
        </w:rPr>
        <w:t>3</w:t>
      </w:r>
    </w:p>
    <w:p w14:paraId="67584EA5" w14:textId="77777777" w:rsidR="002653E8" w:rsidRDefault="003115E3">
      <w:pPr>
        <w:pStyle w:val="a3"/>
        <w:spacing w:line="264" w:lineRule="auto"/>
        <w:ind w:left="1147" w:right="1326" w:firstLine="210"/>
        <w:jc w:val="both"/>
        <w:rPr>
          <w:sz w:val="11"/>
        </w:rPr>
      </w:pPr>
      <w:r>
        <w:rPr>
          <w:color w:val="231F20"/>
        </w:rPr>
        <w:t>The</w:t>
      </w:r>
      <w:r>
        <w:rPr>
          <w:color w:val="231F20"/>
          <w:spacing w:val="-11"/>
        </w:rPr>
        <w:t xml:space="preserve"> </w:t>
      </w:r>
      <w:r>
        <w:rPr>
          <w:color w:val="231F20"/>
        </w:rPr>
        <w:t>authorities</w:t>
      </w:r>
      <w:r>
        <w:rPr>
          <w:color w:val="231F20"/>
          <w:spacing w:val="-11"/>
        </w:rPr>
        <w:t xml:space="preserve"> </w:t>
      </w:r>
      <w:r>
        <w:rPr>
          <w:color w:val="231F20"/>
        </w:rPr>
        <w:t>had</w:t>
      </w:r>
      <w:r>
        <w:rPr>
          <w:color w:val="231F20"/>
          <w:spacing w:val="-11"/>
        </w:rPr>
        <w:t xml:space="preserve"> </w:t>
      </w:r>
      <w:r>
        <w:rPr>
          <w:color w:val="231F20"/>
        </w:rPr>
        <w:t>obviously</w:t>
      </w:r>
      <w:r>
        <w:rPr>
          <w:color w:val="231F20"/>
          <w:spacing w:val="-11"/>
        </w:rPr>
        <w:t xml:space="preserve"> </w:t>
      </w:r>
      <w:r>
        <w:rPr>
          <w:color w:val="231F20"/>
        </w:rPr>
        <w:t>underestimated</w:t>
      </w:r>
      <w:r>
        <w:rPr>
          <w:color w:val="231F20"/>
          <w:spacing w:val="-11"/>
        </w:rPr>
        <w:t xml:space="preserve"> </w:t>
      </w:r>
      <w:r>
        <w:rPr>
          <w:color w:val="231F20"/>
        </w:rPr>
        <w:t>the</w:t>
      </w:r>
      <w:r>
        <w:rPr>
          <w:color w:val="231F20"/>
          <w:spacing w:val="-11"/>
        </w:rPr>
        <w:t xml:space="preserve"> </w:t>
      </w:r>
      <w:r>
        <w:rPr>
          <w:color w:val="231F20"/>
        </w:rPr>
        <w:t>Palestinian</w:t>
      </w:r>
      <w:r>
        <w:rPr>
          <w:color w:val="231F20"/>
          <w:spacing w:val="-11"/>
        </w:rPr>
        <w:t xml:space="preserve"> </w:t>
      </w:r>
      <w:r>
        <w:rPr>
          <w:color w:val="231F20"/>
        </w:rPr>
        <w:t xml:space="preserve">guerilla. </w:t>
      </w:r>
      <w:r>
        <w:rPr>
          <w:color w:val="231F20"/>
          <w:spacing w:val="-6"/>
        </w:rPr>
        <w:t xml:space="preserve">“At </w:t>
      </w:r>
      <w:r>
        <w:rPr>
          <w:color w:val="231F20"/>
        </w:rPr>
        <w:t xml:space="preserve">the moment we fired there were not enough terrorists exposed,” explained Bruno Merck, the Bavarian Minister of the Interior. </w:t>
      </w:r>
      <w:r>
        <w:rPr>
          <w:color w:val="231F20"/>
          <w:spacing w:val="-3"/>
        </w:rPr>
        <w:t xml:space="preserve">“We </w:t>
      </w:r>
      <w:r>
        <w:rPr>
          <w:color w:val="231F20"/>
        </w:rPr>
        <w:t xml:space="preserve">had expected, nevertheless, that those who had not been shot would surrender in the shock of the gun battle. That didn’t happen… </w:t>
      </w:r>
      <w:r>
        <w:rPr>
          <w:color w:val="231F20"/>
          <w:spacing w:val="1"/>
        </w:rPr>
        <w:t xml:space="preserve">All </w:t>
      </w:r>
      <w:r>
        <w:rPr>
          <w:color w:val="231F20"/>
        </w:rPr>
        <w:t>we could do was</w:t>
      </w:r>
      <w:r>
        <w:rPr>
          <w:color w:val="231F20"/>
          <w:spacing w:val="10"/>
        </w:rPr>
        <w:t xml:space="preserve"> </w:t>
      </w:r>
      <w:r>
        <w:rPr>
          <w:color w:val="231F20"/>
        </w:rPr>
        <w:t>hope</w:t>
      </w:r>
      <w:r>
        <w:rPr>
          <w:color w:val="231F20"/>
          <w:spacing w:val="10"/>
        </w:rPr>
        <w:t xml:space="preserve"> </w:t>
      </w:r>
      <w:r>
        <w:rPr>
          <w:color w:val="231F20"/>
        </w:rPr>
        <w:t>for</w:t>
      </w:r>
      <w:r>
        <w:rPr>
          <w:color w:val="231F20"/>
          <w:spacing w:val="10"/>
        </w:rPr>
        <w:t xml:space="preserve"> </w:t>
      </w:r>
      <w:r>
        <w:rPr>
          <w:color w:val="231F20"/>
        </w:rPr>
        <w:t>a</w:t>
      </w:r>
      <w:r>
        <w:rPr>
          <w:color w:val="231F20"/>
          <w:spacing w:val="10"/>
        </w:rPr>
        <w:t xml:space="preserve"> </w:t>
      </w:r>
      <w:r>
        <w:rPr>
          <w:color w:val="231F20"/>
        </w:rPr>
        <w:t>mistake.</w:t>
      </w:r>
      <w:r>
        <w:rPr>
          <w:color w:val="231F20"/>
          <w:spacing w:val="10"/>
        </w:rPr>
        <w:t xml:space="preserve"> </w:t>
      </w:r>
      <w:r>
        <w:rPr>
          <w:color w:val="231F20"/>
        </w:rPr>
        <w:t>But</w:t>
      </w:r>
      <w:r>
        <w:rPr>
          <w:color w:val="231F20"/>
          <w:spacing w:val="10"/>
        </w:rPr>
        <w:t xml:space="preserve"> </w:t>
      </w:r>
      <w:r>
        <w:rPr>
          <w:color w:val="231F20"/>
        </w:rPr>
        <w:t>these</w:t>
      </w:r>
      <w:r>
        <w:rPr>
          <w:color w:val="231F20"/>
          <w:spacing w:val="10"/>
        </w:rPr>
        <w:t xml:space="preserve"> </w:t>
      </w:r>
      <w:r>
        <w:rPr>
          <w:color w:val="231F20"/>
        </w:rPr>
        <w:t>people</w:t>
      </w:r>
      <w:r>
        <w:rPr>
          <w:color w:val="231F20"/>
          <w:spacing w:val="10"/>
        </w:rPr>
        <w:t xml:space="preserve"> </w:t>
      </w:r>
      <w:r>
        <w:rPr>
          <w:color w:val="231F20"/>
        </w:rPr>
        <w:t>are</w:t>
      </w:r>
      <w:r>
        <w:rPr>
          <w:color w:val="231F20"/>
          <w:spacing w:val="10"/>
        </w:rPr>
        <w:t xml:space="preserve"> </w:t>
      </w:r>
      <w:r>
        <w:rPr>
          <w:color w:val="231F20"/>
        </w:rPr>
        <w:t>not</w:t>
      </w:r>
      <w:r>
        <w:rPr>
          <w:color w:val="231F20"/>
          <w:spacing w:val="10"/>
        </w:rPr>
        <w:t xml:space="preserve"> </w:t>
      </w:r>
      <w:r>
        <w:rPr>
          <w:color w:val="231F20"/>
          <w:spacing w:val="-3"/>
        </w:rPr>
        <w:t>amateurs.”</w:t>
      </w:r>
      <w:r>
        <w:rPr>
          <w:color w:val="231F20"/>
          <w:spacing w:val="-3"/>
          <w:position w:val="7"/>
          <w:sz w:val="11"/>
        </w:rPr>
        <w:t>4</w:t>
      </w:r>
    </w:p>
    <w:p w14:paraId="41CE0E92" w14:textId="77777777" w:rsidR="002653E8" w:rsidRDefault="003115E3">
      <w:pPr>
        <w:pStyle w:val="a3"/>
        <w:spacing w:line="264" w:lineRule="auto"/>
        <w:ind w:left="1147" w:right="1325" w:firstLine="210"/>
        <w:jc w:val="both"/>
        <w:rPr>
          <w:sz w:val="11"/>
        </w:rPr>
      </w:pPr>
      <w:r>
        <w:rPr>
          <w:color w:val="231F20"/>
        </w:rPr>
        <w:t>The</w:t>
      </w:r>
      <w:r>
        <w:rPr>
          <w:color w:val="231F20"/>
          <w:spacing w:val="-8"/>
        </w:rPr>
        <w:t xml:space="preserve"> </w:t>
      </w:r>
      <w:r>
        <w:rPr>
          <w:color w:val="231F20"/>
        </w:rPr>
        <w:t>distinction</w:t>
      </w:r>
      <w:r>
        <w:rPr>
          <w:color w:val="231F20"/>
          <w:spacing w:val="-8"/>
        </w:rPr>
        <w:t xml:space="preserve"> </w:t>
      </w:r>
      <w:r>
        <w:rPr>
          <w:color w:val="231F20"/>
        </w:rPr>
        <w:t>between</w:t>
      </w:r>
      <w:r>
        <w:rPr>
          <w:color w:val="231F20"/>
          <w:spacing w:val="-8"/>
        </w:rPr>
        <w:t xml:space="preserve"> </w:t>
      </w:r>
      <w:r>
        <w:rPr>
          <w:color w:val="231F20"/>
        </w:rPr>
        <w:t>“amateurs”</w:t>
      </w:r>
      <w:r>
        <w:rPr>
          <w:color w:val="231F20"/>
          <w:spacing w:val="-8"/>
        </w:rPr>
        <w:t xml:space="preserve"> </w:t>
      </w:r>
      <w:r>
        <w:rPr>
          <w:color w:val="231F20"/>
        </w:rPr>
        <w:t>and</w:t>
      </w:r>
      <w:r>
        <w:rPr>
          <w:color w:val="231F20"/>
          <w:spacing w:val="-8"/>
        </w:rPr>
        <w:t xml:space="preserve"> </w:t>
      </w:r>
      <w:r>
        <w:rPr>
          <w:color w:val="231F20"/>
        </w:rPr>
        <w:t>“professionals”</w:t>
      </w:r>
      <w:r>
        <w:rPr>
          <w:color w:val="231F20"/>
          <w:spacing w:val="-8"/>
        </w:rPr>
        <w:t xml:space="preserve"> </w:t>
      </w:r>
      <w:r>
        <w:rPr>
          <w:color w:val="231F20"/>
        </w:rPr>
        <w:t>is</w:t>
      </w:r>
      <w:r>
        <w:rPr>
          <w:color w:val="231F20"/>
          <w:spacing w:val="-8"/>
        </w:rPr>
        <w:t xml:space="preserve"> </w:t>
      </w:r>
      <w:r>
        <w:rPr>
          <w:color w:val="231F20"/>
        </w:rPr>
        <w:t>an</w:t>
      </w:r>
      <w:r>
        <w:rPr>
          <w:color w:val="231F20"/>
          <w:spacing w:val="-8"/>
        </w:rPr>
        <w:t xml:space="preserve"> </w:t>
      </w:r>
      <w:r>
        <w:rPr>
          <w:color w:val="231F20"/>
        </w:rPr>
        <w:t>odd</w:t>
      </w:r>
      <w:r>
        <w:rPr>
          <w:color w:val="231F20"/>
          <w:spacing w:val="-8"/>
        </w:rPr>
        <w:t xml:space="preserve"> </w:t>
      </w:r>
      <w:r>
        <w:rPr>
          <w:color w:val="231F20"/>
        </w:rPr>
        <w:t xml:space="preserve">one. </w:t>
      </w:r>
      <w:r>
        <w:rPr>
          <w:color w:val="231F20"/>
          <w:spacing w:val="-7"/>
        </w:rPr>
        <w:t xml:space="preserve">Two </w:t>
      </w:r>
      <w:r>
        <w:rPr>
          <w:color w:val="231F20"/>
        </w:rPr>
        <w:t>of the commando members were teenagers, and the others mostly in their early twenties; obviously, none had participated in other actions of this sort. Their determination most likely came from their own personal experiences. They had all grown up in refugee camps, their families</w:t>
      </w:r>
      <w:r>
        <w:rPr>
          <w:color w:val="231F20"/>
          <w:spacing w:val="-6"/>
        </w:rPr>
        <w:t xml:space="preserve"> </w:t>
      </w:r>
      <w:r>
        <w:rPr>
          <w:color w:val="231F20"/>
        </w:rPr>
        <w:t>forced</w:t>
      </w:r>
      <w:r>
        <w:rPr>
          <w:color w:val="231F20"/>
          <w:spacing w:val="-6"/>
        </w:rPr>
        <w:t xml:space="preserve"> </w:t>
      </w:r>
      <w:r>
        <w:rPr>
          <w:color w:val="231F20"/>
        </w:rPr>
        <w:t>to</w:t>
      </w:r>
      <w:r>
        <w:rPr>
          <w:color w:val="231F20"/>
          <w:spacing w:val="-6"/>
        </w:rPr>
        <w:t xml:space="preserve"> </w:t>
      </w:r>
      <w:r>
        <w:rPr>
          <w:color w:val="231F20"/>
        </w:rPr>
        <w:t>endure</w:t>
      </w:r>
      <w:r>
        <w:rPr>
          <w:color w:val="231F20"/>
          <w:spacing w:val="-6"/>
        </w:rPr>
        <w:t xml:space="preserve"> </w:t>
      </w:r>
      <w:r>
        <w:rPr>
          <w:color w:val="231F20"/>
        </w:rPr>
        <w:t>extreme</w:t>
      </w:r>
      <w:r>
        <w:rPr>
          <w:color w:val="231F20"/>
          <w:spacing w:val="-6"/>
        </w:rPr>
        <w:t xml:space="preserve"> </w:t>
      </w:r>
      <w:r>
        <w:rPr>
          <w:color w:val="231F20"/>
        </w:rPr>
        <w:t>poverty,</w:t>
      </w:r>
      <w:r>
        <w:rPr>
          <w:color w:val="231F20"/>
          <w:spacing w:val="-6"/>
        </w:rPr>
        <w:t xml:space="preserve"> </w:t>
      </w:r>
      <w:r>
        <w:rPr>
          <w:color w:val="231F20"/>
        </w:rPr>
        <w:t>hunger,</w:t>
      </w:r>
      <w:r>
        <w:rPr>
          <w:color w:val="231F20"/>
          <w:spacing w:val="-6"/>
        </w:rPr>
        <w:t xml:space="preserve"> </w:t>
      </w:r>
      <w:r>
        <w:rPr>
          <w:color w:val="231F20"/>
        </w:rPr>
        <w:t>and</w:t>
      </w:r>
      <w:r>
        <w:rPr>
          <w:color w:val="231F20"/>
          <w:spacing w:val="-6"/>
        </w:rPr>
        <w:t xml:space="preserve"> </w:t>
      </w:r>
      <w:r>
        <w:rPr>
          <w:color w:val="231F20"/>
        </w:rPr>
        <w:t>the</w:t>
      </w:r>
      <w:r>
        <w:rPr>
          <w:color w:val="231F20"/>
          <w:spacing w:val="-6"/>
        </w:rPr>
        <w:t xml:space="preserve"> </w:t>
      </w:r>
      <w:r>
        <w:rPr>
          <w:color w:val="231F20"/>
        </w:rPr>
        <w:t>constant</w:t>
      </w:r>
      <w:r>
        <w:rPr>
          <w:color w:val="231F20"/>
          <w:spacing w:val="-6"/>
        </w:rPr>
        <w:t xml:space="preserve"> </w:t>
      </w:r>
      <w:r>
        <w:rPr>
          <w:color w:val="231F20"/>
        </w:rPr>
        <w:t>threat</w:t>
      </w:r>
      <w:r>
        <w:rPr>
          <w:color w:val="231F20"/>
          <w:spacing w:val="-6"/>
        </w:rPr>
        <w:t xml:space="preserve"> </w:t>
      </w:r>
      <w:r>
        <w:rPr>
          <w:color w:val="231F20"/>
        </w:rPr>
        <w:t>of Israeli</w:t>
      </w:r>
      <w:r>
        <w:rPr>
          <w:color w:val="231F20"/>
          <w:spacing w:val="-7"/>
        </w:rPr>
        <w:t xml:space="preserve"> </w:t>
      </w:r>
      <w:r>
        <w:rPr>
          <w:color w:val="231F20"/>
        </w:rPr>
        <w:t>violence,</w:t>
      </w:r>
      <w:r>
        <w:rPr>
          <w:color w:val="231F20"/>
          <w:spacing w:val="-7"/>
        </w:rPr>
        <w:t xml:space="preserve"> </w:t>
      </w:r>
      <w:r>
        <w:rPr>
          <w:color w:val="231F20"/>
        </w:rPr>
        <w:t>while</w:t>
      </w:r>
      <w:r>
        <w:rPr>
          <w:color w:val="231F20"/>
          <w:spacing w:val="-7"/>
        </w:rPr>
        <w:t xml:space="preserve"> </w:t>
      </w:r>
      <w:r>
        <w:rPr>
          <w:color w:val="231F20"/>
        </w:rPr>
        <w:t>most</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world</w:t>
      </w:r>
      <w:r>
        <w:rPr>
          <w:color w:val="231F20"/>
          <w:spacing w:val="-7"/>
        </w:rPr>
        <w:t xml:space="preserve"> </w:t>
      </w:r>
      <w:r>
        <w:rPr>
          <w:color w:val="231F20"/>
        </w:rPr>
        <w:t>happily</w:t>
      </w:r>
      <w:r>
        <w:rPr>
          <w:color w:val="231F20"/>
          <w:spacing w:val="-7"/>
        </w:rPr>
        <w:t xml:space="preserve"> </w:t>
      </w:r>
      <w:r>
        <w:rPr>
          <w:color w:val="231F20"/>
        </w:rPr>
        <w:t>ignored</w:t>
      </w:r>
      <w:r>
        <w:rPr>
          <w:color w:val="231F20"/>
          <w:spacing w:val="-7"/>
        </w:rPr>
        <w:t xml:space="preserve"> </w:t>
      </w:r>
      <w:r>
        <w:rPr>
          <w:color w:val="231F20"/>
        </w:rPr>
        <w:t>their</w:t>
      </w:r>
      <w:r>
        <w:rPr>
          <w:color w:val="231F20"/>
          <w:spacing w:val="-7"/>
        </w:rPr>
        <w:t xml:space="preserve"> </w:t>
      </w:r>
      <w:r>
        <w:rPr>
          <w:color w:val="231F20"/>
        </w:rPr>
        <w:t>existence.</w:t>
      </w:r>
      <w:r>
        <w:rPr>
          <w:color w:val="231F20"/>
          <w:position w:val="7"/>
          <w:sz w:val="11"/>
        </w:rPr>
        <w:t>5</w:t>
      </w:r>
    </w:p>
    <w:p w14:paraId="1911CFD5" w14:textId="77777777" w:rsidR="002653E8" w:rsidRDefault="002653E8">
      <w:pPr>
        <w:pStyle w:val="a3"/>
        <w:spacing w:before="3"/>
        <w:rPr>
          <w:sz w:val="26"/>
        </w:rPr>
      </w:pPr>
    </w:p>
    <w:p w14:paraId="5B5EDB38" w14:textId="77777777" w:rsidR="002653E8" w:rsidRDefault="003115E3">
      <w:pPr>
        <w:pStyle w:val="a4"/>
        <w:numPr>
          <w:ilvl w:val="0"/>
          <w:numId w:val="132"/>
        </w:numPr>
        <w:tabs>
          <w:tab w:val="left" w:pos="1287"/>
        </w:tabs>
        <w:spacing w:before="104" w:line="254" w:lineRule="auto"/>
        <w:ind w:right="1443" w:firstLine="0"/>
        <w:rPr>
          <w:sz w:val="16"/>
        </w:rPr>
      </w:pPr>
      <w:r>
        <w:rPr>
          <w:color w:val="231F20"/>
          <w:w w:val="110"/>
          <w:sz w:val="16"/>
        </w:rPr>
        <w:t xml:space="preserve">Aaron J. Klein, </w:t>
      </w:r>
      <w:r>
        <w:rPr>
          <w:i/>
          <w:color w:val="231F20"/>
          <w:w w:val="110"/>
          <w:sz w:val="16"/>
        </w:rPr>
        <w:t xml:space="preserve">Striking Back: the 1972 </w:t>
      </w:r>
      <w:r>
        <w:rPr>
          <w:i/>
          <w:color w:val="231F20"/>
          <w:spacing w:val="1"/>
          <w:w w:val="110"/>
          <w:sz w:val="16"/>
        </w:rPr>
        <w:t xml:space="preserve">Munich </w:t>
      </w:r>
      <w:r>
        <w:rPr>
          <w:i/>
          <w:color w:val="231F20"/>
          <w:w w:val="110"/>
          <w:sz w:val="16"/>
        </w:rPr>
        <w:t xml:space="preserve">Olympics </w:t>
      </w:r>
      <w:r>
        <w:rPr>
          <w:i/>
          <w:color w:val="231F20"/>
          <w:spacing w:val="1"/>
          <w:w w:val="110"/>
          <w:sz w:val="16"/>
        </w:rPr>
        <w:t xml:space="preserve">Massacre and </w:t>
      </w:r>
      <w:r>
        <w:rPr>
          <w:i/>
          <w:color w:val="231F20"/>
          <w:w w:val="110"/>
          <w:sz w:val="16"/>
        </w:rPr>
        <w:t xml:space="preserve">Israel’s deadly response </w:t>
      </w:r>
      <w:r>
        <w:rPr>
          <w:color w:val="231F20"/>
          <w:w w:val="110"/>
          <w:sz w:val="16"/>
        </w:rPr>
        <w:t xml:space="preserve">(New </w:t>
      </w:r>
      <w:r>
        <w:rPr>
          <w:color w:val="231F20"/>
          <w:spacing w:val="-3"/>
          <w:w w:val="110"/>
          <w:sz w:val="16"/>
        </w:rPr>
        <w:t xml:space="preserve">york: </w:t>
      </w:r>
      <w:r>
        <w:rPr>
          <w:color w:val="231F20"/>
          <w:w w:val="110"/>
          <w:sz w:val="16"/>
        </w:rPr>
        <w:t>Random House, 2005),</w:t>
      </w:r>
      <w:r>
        <w:rPr>
          <w:color w:val="231F20"/>
          <w:spacing w:val="5"/>
          <w:w w:val="110"/>
          <w:sz w:val="16"/>
        </w:rPr>
        <w:t xml:space="preserve"> </w:t>
      </w:r>
      <w:r>
        <w:rPr>
          <w:color w:val="231F20"/>
          <w:w w:val="110"/>
          <w:sz w:val="16"/>
        </w:rPr>
        <w:t>72-73.</w:t>
      </w:r>
    </w:p>
    <w:p w14:paraId="610CE010" w14:textId="77777777" w:rsidR="002653E8" w:rsidRDefault="003115E3">
      <w:pPr>
        <w:pStyle w:val="a4"/>
        <w:numPr>
          <w:ilvl w:val="0"/>
          <w:numId w:val="132"/>
        </w:numPr>
        <w:tabs>
          <w:tab w:val="left" w:pos="1287"/>
        </w:tabs>
        <w:ind w:left="1286"/>
        <w:rPr>
          <w:sz w:val="16"/>
        </w:rPr>
      </w:pPr>
      <w:r>
        <w:rPr>
          <w:color w:val="231F20"/>
          <w:w w:val="110"/>
          <w:sz w:val="16"/>
        </w:rPr>
        <w:t>Reeve,</w:t>
      </w:r>
      <w:r>
        <w:rPr>
          <w:color w:val="231F20"/>
          <w:spacing w:val="6"/>
          <w:w w:val="110"/>
          <w:sz w:val="16"/>
        </w:rPr>
        <w:t xml:space="preserve"> </w:t>
      </w:r>
      <w:r>
        <w:rPr>
          <w:color w:val="231F20"/>
          <w:spacing w:val="-4"/>
          <w:w w:val="110"/>
          <w:sz w:val="16"/>
        </w:rPr>
        <w:t>116.</w:t>
      </w:r>
    </w:p>
    <w:p w14:paraId="45FCB528" w14:textId="77777777" w:rsidR="002653E8" w:rsidRDefault="003115E3">
      <w:pPr>
        <w:spacing w:before="52"/>
        <w:ind w:left="1147"/>
        <w:rPr>
          <w:sz w:val="16"/>
        </w:rPr>
      </w:pPr>
      <w:r>
        <w:rPr>
          <w:color w:val="231F20"/>
          <w:w w:val="110"/>
          <w:sz w:val="16"/>
        </w:rPr>
        <w:t>3 Ibid., 121-122.</w:t>
      </w:r>
    </w:p>
    <w:p w14:paraId="0ABE963A" w14:textId="77777777" w:rsidR="002653E8" w:rsidRDefault="003115E3">
      <w:pPr>
        <w:spacing w:before="51"/>
        <w:ind w:left="1147"/>
        <w:rPr>
          <w:sz w:val="16"/>
        </w:rPr>
      </w:pPr>
      <w:r>
        <w:rPr>
          <w:color w:val="231F20"/>
          <w:w w:val="110"/>
          <w:sz w:val="16"/>
        </w:rPr>
        <w:t>4 Dobson, 85.</w:t>
      </w:r>
    </w:p>
    <w:p w14:paraId="4C95E89D" w14:textId="77777777" w:rsidR="002653E8" w:rsidRDefault="003115E3">
      <w:pPr>
        <w:spacing w:before="52"/>
        <w:ind w:left="1147"/>
        <w:rPr>
          <w:sz w:val="16"/>
        </w:rPr>
      </w:pPr>
      <w:r>
        <w:rPr>
          <w:color w:val="231F20"/>
          <w:w w:val="105"/>
          <w:sz w:val="16"/>
        </w:rPr>
        <w:lastRenderedPageBreak/>
        <w:t>5 Reeve, 41-42.</w:t>
      </w:r>
    </w:p>
    <w:p w14:paraId="2E09BC0F" w14:textId="77777777" w:rsidR="002653E8" w:rsidRDefault="002653E8">
      <w:pPr>
        <w:rPr>
          <w:sz w:val="16"/>
        </w:rPr>
        <w:sectPr w:rsidR="002653E8">
          <w:pgSz w:w="8640" w:h="12960"/>
          <w:pgMar w:top="1060" w:right="0" w:bottom="1460" w:left="0" w:header="0" w:footer="1270" w:gutter="0"/>
          <w:cols w:space="720"/>
        </w:sectPr>
      </w:pPr>
    </w:p>
    <w:p w14:paraId="468049F0" w14:textId="77777777" w:rsidR="002653E8" w:rsidRDefault="003115E3">
      <w:pPr>
        <w:pStyle w:val="a3"/>
        <w:spacing w:before="86" w:line="264" w:lineRule="auto"/>
        <w:ind w:left="1327" w:right="1145" w:hanging="1"/>
        <w:jc w:val="both"/>
        <w:rPr>
          <w:sz w:val="11"/>
        </w:rPr>
      </w:pPr>
      <w:r>
        <w:rPr>
          <w:color w:val="231F20"/>
        </w:rPr>
        <w:lastRenderedPageBreak/>
        <w:t>In the words of Abu Daoud, who claims to have organized the operation, “They were people who had left their homes in ’48, forced to flee, and then languished in the Lebanese camps since then. They were people whose houses were now the homes of Polish, French and American Jews who had replaced them in their own country, living as citizens there without any right to.”</w:t>
      </w:r>
      <w:r>
        <w:rPr>
          <w:color w:val="231F20"/>
          <w:position w:val="7"/>
          <w:sz w:val="11"/>
        </w:rPr>
        <w:t>6</w:t>
      </w:r>
    </w:p>
    <w:p w14:paraId="42A168C2" w14:textId="77777777" w:rsidR="002653E8" w:rsidRDefault="003115E3">
      <w:pPr>
        <w:pStyle w:val="a3"/>
        <w:spacing w:line="264" w:lineRule="auto"/>
        <w:ind w:left="1327" w:right="1146" w:firstLine="210"/>
        <w:jc w:val="both"/>
        <w:rPr>
          <w:sz w:val="11"/>
        </w:rPr>
      </w:pPr>
      <w:r>
        <w:rPr>
          <w:color w:val="231F20"/>
        </w:rPr>
        <w:t>The three survivors from the commando—Sammar ‘Adnan ‘</w:t>
      </w:r>
      <w:r w:rsidR="00000262">
        <w:rPr>
          <w:color w:val="231F20"/>
        </w:rPr>
        <w:t xml:space="preserve"> </w:t>
      </w:r>
      <w:r>
        <w:rPr>
          <w:color w:val="231F20"/>
        </w:rPr>
        <w:t>abd al</w:t>
      </w:r>
      <w:r w:rsidR="00000262">
        <w:rPr>
          <w:color w:val="231F20"/>
        </w:rPr>
        <w:t>-</w:t>
      </w:r>
      <w:r>
        <w:rPr>
          <w:color w:val="231F20"/>
        </w:rPr>
        <w:t>Ghani al-Jishshi,</w:t>
      </w:r>
      <w:r>
        <w:rPr>
          <w:color w:val="231F20"/>
          <w:position w:val="7"/>
          <w:sz w:val="11"/>
        </w:rPr>
        <w:t xml:space="preserve">7 </w:t>
      </w:r>
      <w:r>
        <w:rPr>
          <w:color w:val="231F20"/>
        </w:rPr>
        <w:t>‘Abd al-Qadir ad-Dinnawi, and Samer Muhammad ‘Abdallah</w:t>
      </w:r>
      <w:r>
        <w:rPr>
          <w:color w:val="231F20"/>
          <w:position w:val="7"/>
          <w:sz w:val="11"/>
        </w:rPr>
        <w:t>8</w:t>
      </w:r>
      <w:r>
        <w:rPr>
          <w:color w:val="231F20"/>
        </w:rPr>
        <w:t>—were taken into West German custody. Less than two months later, on October 29, a second Black September commando skyjacked a Lufthansa jet en route from Beirut to Ankara, threatening to blow up the plane if the three were not released. Still licking its wounds from the Fürstenfeldbruck fiasco, the West German government agreed: the Munich survivors were granted safe passage to Libya.</w:t>
      </w:r>
      <w:r>
        <w:rPr>
          <w:color w:val="231F20"/>
          <w:position w:val="7"/>
          <w:sz w:val="11"/>
        </w:rPr>
        <w:t>9</w:t>
      </w:r>
    </w:p>
    <w:p w14:paraId="453CBBE2" w14:textId="77777777" w:rsidR="002653E8" w:rsidRDefault="003115E3">
      <w:pPr>
        <w:pStyle w:val="a3"/>
        <w:spacing w:line="264" w:lineRule="auto"/>
        <w:ind w:left="1327" w:right="1146" w:firstLine="210"/>
        <w:jc w:val="both"/>
        <w:rPr>
          <w:sz w:val="11"/>
        </w:rPr>
      </w:pPr>
      <w:r>
        <w:rPr>
          <w:color w:val="231F20"/>
        </w:rPr>
        <w:t>Operation Iqrith and Kafr Bir’im sent shockwaves around the world. To Israel and its supporters, Black September had massacred innocents, and the Germans had been criminally incompetent. In the words of one Israeli diplomat, “The human mind fails to grasp the barbaric depravity of the cruel murderers of the Israeli athletes.”</w:t>
      </w:r>
      <w:r>
        <w:rPr>
          <w:color w:val="231F20"/>
          <w:position w:val="7"/>
          <w:sz w:val="11"/>
        </w:rPr>
        <w:t>10</w:t>
      </w:r>
    </w:p>
    <w:p w14:paraId="4600AC09" w14:textId="77777777" w:rsidR="002653E8" w:rsidRDefault="003115E3">
      <w:pPr>
        <w:pStyle w:val="a3"/>
        <w:spacing w:line="264" w:lineRule="auto"/>
        <w:ind w:left="1327" w:right="1148" w:firstLine="210"/>
        <w:jc w:val="both"/>
      </w:pPr>
      <w:r>
        <w:rPr>
          <w:color w:val="231F20"/>
        </w:rPr>
        <w:t>The response was not long in coming and took the form of collective punishment:</w:t>
      </w:r>
    </w:p>
    <w:p w14:paraId="22D4B46E" w14:textId="77777777" w:rsidR="002653E8" w:rsidRDefault="003115E3">
      <w:pPr>
        <w:spacing w:before="106" w:line="273" w:lineRule="auto"/>
        <w:ind w:left="1747" w:right="1565"/>
        <w:jc w:val="both"/>
        <w:rPr>
          <w:i/>
          <w:sz w:val="11"/>
        </w:rPr>
      </w:pPr>
      <w:r>
        <w:rPr>
          <w:i/>
          <w:color w:val="231F20"/>
          <w:w w:val="105"/>
          <w:sz w:val="19"/>
        </w:rPr>
        <w:t xml:space="preserve">[On September </w:t>
      </w:r>
      <w:r>
        <w:rPr>
          <w:rFonts w:ascii="Bookman Old Style" w:hAnsi="Bookman Old Style"/>
          <w:i/>
          <w:color w:val="231F20"/>
          <w:w w:val="105"/>
          <w:sz w:val="19"/>
        </w:rPr>
        <w:t>8</w:t>
      </w:r>
      <w:r>
        <w:rPr>
          <w:i/>
          <w:color w:val="231F20"/>
          <w:w w:val="105"/>
          <w:sz w:val="19"/>
        </w:rPr>
        <w:t>] Israeli Skyhawk planes attacked villages and refugee</w:t>
      </w:r>
      <w:r>
        <w:rPr>
          <w:i/>
          <w:color w:val="231F20"/>
          <w:spacing w:val="-7"/>
          <w:w w:val="105"/>
          <w:sz w:val="19"/>
        </w:rPr>
        <w:t xml:space="preserve"> </w:t>
      </w:r>
      <w:r>
        <w:rPr>
          <w:i/>
          <w:color w:val="231F20"/>
          <w:w w:val="105"/>
          <w:sz w:val="19"/>
        </w:rPr>
        <w:t>camps</w:t>
      </w:r>
      <w:r>
        <w:rPr>
          <w:i/>
          <w:color w:val="231F20"/>
          <w:spacing w:val="-7"/>
          <w:w w:val="105"/>
          <w:sz w:val="19"/>
        </w:rPr>
        <w:t xml:space="preserve"> </w:t>
      </w:r>
      <w:r>
        <w:rPr>
          <w:i/>
          <w:color w:val="231F20"/>
          <w:w w:val="105"/>
          <w:sz w:val="19"/>
        </w:rPr>
        <w:t>in</w:t>
      </w:r>
      <w:r>
        <w:rPr>
          <w:i/>
          <w:color w:val="231F20"/>
          <w:spacing w:val="-7"/>
          <w:w w:val="105"/>
          <w:sz w:val="19"/>
        </w:rPr>
        <w:t xml:space="preserve"> </w:t>
      </w:r>
      <w:r>
        <w:rPr>
          <w:i/>
          <w:color w:val="231F20"/>
          <w:w w:val="105"/>
          <w:sz w:val="19"/>
        </w:rPr>
        <w:t>Lebanon</w:t>
      </w:r>
      <w:r>
        <w:rPr>
          <w:i/>
          <w:color w:val="231F20"/>
          <w:spacing w:val="-7"/>
          <w:w w:val="105"/>
          <w:sz w:val="19"/>
        </w:rPr>
        <w:t xml:space="preserve"> </w:t>
      </w:r>
      <w:r>
        <w:rPr>
          <w:i/>
          <w:color w:val="231F20"/>
          <w:w w:val="105"/>
          <w:sz w:val="19"/>
        </w:rPr>
        <w:t>and</w:t>
      </w:r>
      <w:r>
        <w:rPr>
          <w:i/>
          <w:color w:val="231F20"/>
          <w:spacing w:val="-7"/>
          <w:w w:val="105"/>
          <w:sz w:val="19"/>
        </w:rPr>
        <w:t xml:space="preserve"> </w:t>
      </w:r>
      <w:r>
        <w:rPr>
          <w:i/>
          <w:color w:val="231F20"/>
          <w:w w:val="105"/>
          <w:sz w:val="19"/>
        </w:rPr>
        <w:t>Syria…</w:t>
      </w:r>
      <w:r>
        <w:rPr>
          <w:i/>
          <w:color w:val="231F20"/>
          <w:spacing w:val="-7"/>
          <w:w w:val="105"/>
          <w:sz w:val="19"/>
        </w:rPr>
        <w:t xml:space="preserve"> </w:t>
      </w:r>
      <w:r>
        <w:rPr>
          <w:i/>
          <w:color w:val="231F20"/>
          <w:w w:val="105"/>
          <w:sz w:val="19"/>
        </w:rPr>
        <w:t>killing</w:t>
      </w:r>
      <w:r>
        <w:rPr>
          <w:i/>
          <w:color w:val="231F20"/>
          <w:spacing w:val="-7"/>
          <w:w w:val="105"/>
          <w:sz w:val="19"/>
        </w:rPr>
        <w:t xml:space="preserve"> </w:t>
      </w:r>
      <w:r>
        <w:rPr>
          <w:i/>
          <w:color w:val="231F20"/>
          <w:w w:val="105"/>
          <w:sz w:val="19"/>
        </w:rPr>
        <w:t>a</w:t>
      </w:r>
      <w:r>
        <w:rPr>
          <w:i/>
          <w:color w:val="231F20"/>
          <w:spacing w:val="-7"/>
          <w:w w:val="105"/>
          <w:sz w:val="19"/>
        </w:rPr>
        <w:t xml:space="preserve"> </w:t>
      </w:r>
      <w:r>
        <w:rPr>
          <w:i/>
          <w:color w:val="231F20"/>
          <w:w w:val="105"/>
          <w:sz w:val="19"/>
        </w:rPr>
        <w:t>total</w:t>
      </w:r>
      <w:r>
        <w:rPr>
          <w:i/>
          <w:color w:val="231F20"/>
          <w:spacing w:val="-7"/>
          <w:w w:val="105"/>
          <w:sz w:val="19"/>
        </w:rPr>
        <w:t xml:space="preserve"> </w:t>
      </w:r>
      <w:r>
        <w:rPr>
          <w:i/>
          <w:color w:val="231F20"/>
          <w:w w:val="105"/>
          <w:sz w:val="19"/>
        </w:rPr>
        <w:t>of</w:t>
      </w:r>
      <w:r>
        <w:rPr>
          <w:i/>
          <w:color w:val="231F20"/>
          <w:spacing w:val="-7"/>
          <w:w w:val="105"/>
          <w:sz w:val="19"/>
        </w:rPr>
        <w:t xml:space="preserve"> </w:t>
      </w:r>
      <w:r>
        <w:rPr>
          <w:rFonts w:ascii="Bookman Old Style" w:hAnsi="Bookman Old Style"/>
          <w:i/>
          <w:color w:val="231F20"/>
          <w:w w:val="105"/>
          <w:sz w:val="19"/>
        </w:rPr>
        <w:t>59</w:t>
      </w:r>
      <w:r>
        <w:rPr>
          <w:rFonts w:ascii="Bookman Old Style" w:hAnsi="Bookman Old Style"/>
          <w:i/>
          <w:color w:val="231F20"/>
          <w:spacing w:val="-22"/>
          <w:w w:val="105"/>
          <w:sz w:val="19"/>
        </w:rPr>
        <w:t xml:space="preserve"> </w:t>
      </w:r>
      <w:r>
        <w:rPr>
          <w:i/>
          <w:color w:val="231F20"/>
          <w:w w:val="105"/>
          <w:sz w:val="19"/>
        </w:rPr>
        <w:t xml:space="preserve">people and wounding </w:t>
      </w:r>
      <w:r>
        <w:rPr>
          <w:rFonts w:ascii="Bookman Old Style" w:hAnsi="Bookman Old Style"/>
          <w:i/>
          <w:color w:val="231F20"/>
          <w:w w:val="105"/>
          <w:sz w:val="19"/>
        </w:rPr>
        <w:t xml:space="preserve">40 </w:t>
      </w:r>
      <w:r>
        <w:rPr>
          <w:i/>
          <w:color w:val="231F20"/>
          <w:w w:val="105"/>
          <w:sz w:val="19"/>
        </w:rPr>
        <w:t xml:space="preserve">others, all of whom were civilians. Among the victims were </w:t>
      </w:r>
      <w:r>
        <w:rPr>
          <w:rFonts w:ascii="Bookman Old Style" w:hAnsi="Bookman Old Style"/>
          <w:i/>
          <w:color w:val="231F20"/>
          <w:w w:val="105"/>
          <w:sz w:val="19"/>
        </w:rPr>
        <w:t>19</w:t>
      </w:r>
      <w:r>
        <w:rPr>
          <w:rFonts w:ascii="Bookman Old Style" w:hAnsi="Bookman Old Style"/>
          <w:i/>
          <w:color w:val="231F20"/>
          <w:spacing w:val="3"/>
          <w:w w:val="105"/>
          <w:sz w:val="19"/>
        </w:rPr>
        <w:t xml:space="preserve"> </w:t>
      </w:r>
      <w:r>
        <w:rPr>
          <w:i/>
          <w:color w:val="231F20"/>
          <w:w w:val="105"/>
          <w:sz w:val="19"/>
        </w:rPr>
        <w:t>children.</w:t>
      </w:r>
      <w:r>
        <w:rPr>
          <w:i/>
          <w:color w:val="231F20"/>
          <w:w w:val="105"/>
          <w:position w:val="6"/>
          <w:sz w:val="11"/>
        </w:rPr>
        <w:t>11</w:t>
      </w:r>
    </w:p>
    <w:p w14:paraId="551AADA9" w14:textId="77777777" w:rsidR="002653E8" w:rsidRDefault="003115E3">
      <w:pPr>
        <w:pStyle w:val="a3"/>
        <w:spacing w:before="133" w:line="264" w:lineRule="auto"/>
        <w:ind w:left="1327" w:right="1146"/>
        <w:jc w:val="both"/>
      </w:pPr>
      <w:r>
        <w:rPr>
          <w:color w:val="231F20"/>
        </w:rPr>
        <w:t>Eight days later, a second exercise in collective punishment was carried out:</w:t>
      </w:r>
    </w:p>
    <w:p w14:paraId="7B851418" w14:textId="77777777" w:rsidR="002653E8" w:rsidRDefault="003115E3">
      <w:pPr>
        <w:spacing w:before="126" w:line="276" w:lineRule="auto"/>
        <w:ind w:left="1747" w:right="1550"/>
        <w:rPr>
          <w:i/>
          <w:sz w:val="19"/>
        </w:rPr>
      </w:pPr>
      <w:r>
        <w:rPr>
          <w:i/>
          <w:color w:val="231F20"/>
          <w:w w:val="105"/>
          <w:sz w:val="19"/>
        </w:rPr>
        <w:t>The</w:t>
      </w:r>
      <w:r>
        <w:rPr>
          <w:i/>
          <w:color w:val="231F20"/>
          <w:spacing w:val="-21"/>
          <w:w w:val="105"/>
          <w:sz w:val="19"/>
        </w:rPr>
        <w:t xml:space="preserve"> </w:t>
      </w:r>
      <w:r>
        <w:rPr>
          <w:i/>
          <w:color w:val="231F20"/>
          <w:w w:val="105"/>
          <w:sz w:val="19"/>
        </w:rPr>
        <w:t>Israeli</w:t>
      </w:r>
      <w:r>
        <w:rPr>
          <w:i/>
          <w:color w:val="231F20"/>
          <w:spacing w:val="-21"/>
          <w:w w:val="105"/>
          <w:sz w:val="19"/>
        </w:rPr>
        <w:t xml:space="preserve"> </w:t>
      </w:r>
      <w:r>
        <w:rPr>
          <w:i/>
          <w:color w:val="231F20"/>
          <w:spacing w:val="-5"/>
          <w:w w:val="105"/>
          <w:sz w:val="19"/>
        </w:rPr>
        <w:t>army,</w:t>
      </w:r>
      <w:r>
        <w:rPr>
          <w:i/>
          <w:color w:val="231F20"/>
          <w:spacing w:val="-25"/>
          <w:w w:val="105"/>
          <w:sz w:val="19"/>
        </w:rPr>
        <w:t xml:space="preserve"> </w:t>
      </w:r>
      <w:r>
        <w:rPr>
          <w:i/>
          <w:color w:val="231F20"/>
          <w:w w:val="105"/>
          <w:sz w:val="19"/>
        </w:rPr>
        <w:t>supported</w:t>
      </w:r>
      <w:r>
        <w:rPr>
          <w:i/>
          <w:color w:val="231F20"/>
          <w:spacing w:val="-21"/>
          <w:w w:val="105"/>
          <w:sz w:val="19"/>
        </w:rPr>
        <w:t xml:space="preserve"> </w:t>
      </w:r>
      <w:r>
        <w:rPr>
          <w:i/>
          <w:color w:val="231F20"/>
          <w:w w:val="105"/>
          <w:sz w:val="19"/>
        </w:rPr>
        <w:t>by</w:t>
      </w:r>
      <w:r>
        <w:rPr>
          <w:i/>
          <w:color w:val="231F20"/>
          <w:spacing w:val="-21"/>
          <w:w w:val="105"/>
          <w:sz w:val="19"/>
        </w:rPr>
        <w:t xml:space="preserve"> </w:t>
      </w:r>
      <w:r>
        <w:rPr>
          <w:i/>
          <w:color w:val="231F20"/>
          <w:w w:val="105"/>
          <w:sz w:val="19"/>
        </w:rPr>
        <w:t>tanks,</w:t>
      </w:r>
      <w:r>
        <w:rPr>
          <w:i/>
          <w:color w:val="231F20"/>
          <w:spacing w:val="-25"/>
          <w:w w:val="105"/>
          <w:sz w:val="19"/>
        </w:rPr>
        <w:t xml:space="preserve"> </w:t>
      </w:r>
      <w:r>
        <w:rPr>
          <w:i/>
          <w:color w:val="231F20"/>
          <w:w w:val="105"/>
          <w:sz w:val="19"/>
        </w:rPr>
        <w:t>armored</w:t>
      </w:r>
      <w:r>
        <w:rPr>
          <w:i/>
          <w:color w:val="231F20"/>
          <w:spacing w:val="-21"/>
          <w:w w:val="105"/>
          <w:sz w:val="19"/>
        </w:rPr>
        <w:t xml:space="preserve"> </w:t>
      </w:r>
      <w:r>
        <w:rPr>
          <w:i/>
          <w:color w:val="231F20"/>
          <w:w w:val="105"/>
          <w:sz w:val="19"/>
        </w:rPr>
        <w:t>cars</w:t>
      </w:r>
      <w:r>
        <w:rPr>
          <w:i/>
          <w:color w:val="231F20"/>
          <w:spacing w:val="-21"/>
          <w:w w:val="105"/>
          <w:sz w:val="19"/>
        </w:rPr>
        <w:t xml:space="preserve"> </w:t>
      </w:r>
      <w:r>
        <w:rPr>
          <w:i/>
          <w:color w:val="231F20"/>
          <w:w w:val="105"/>
          <w:sz w:val="19"/>
        </w:rPr>
        <w:t>and</w:t>
      </w:r>
      <w:r>
        <w:rPr>
          <w:i/>
          <w:color w:val="231F20"/>
          <w:spacing w:val="-21"/>
          <w:w w:val="105"/>
          <w:sz w:val="19"/>
        </w:rPr>
        <w:t xml:space="preserve"> </w:t>
      </w:r>
      <w:r>
        <w:rPr>
          <w:i/>
          <w:color w:val="231F20"/>
          <w:w w:val="105"/>
          <w:sz w:val="19"/>
        </w:rPr>
        <w:t>jet</w:t>
      </w:r>
      <w:r>
        <w:rPr>
          <w:i/>
          <w:color w:val="231F20"/>
          <w:spacing w:val="-21"/>
          <w:w w:val="105"/>
          <w:sz w:val="19"/>
        </w:rPr>
        <w:t xml:space="preserve"> </w:t>
      </w:r>
      <w:r>
        <w:rPr>
          <w:i/>
          <w:color w:val="231F20"/>
          <w:w w:val="105"/>
          <w:sz w:val="19"/>
        </w:rPr>
        <w:t xml:space="preserve">aircraft, crossed into Lebanese territory, and for </w:t>
      </w:r>
      <w:r>
        <w:rPr>
          <w:rFonts w:ascii="Bookman Old Style"/>
          <w:i/>
          <w:color w:val="231F20"/>
          <w:w w:val="105"/>
          <w:sz w:val="19"/>
        </w:rPr>
        <w:t xml:space="preserve">36 </w:t>
      </w:r>
      <w:r>
        <w:rPr>
          <w:i/>
          <w:color w:val="231F20"/>
          <w:w w:val="105"/>
          <w:sz w:val="19"/>
        </w:rPr>
        <w:t>hours attacked</w:t>
      </w:r>
      <w:r>
        <w:rPr>
          <w:i/>
          <w:color w:val="231F20"/>
          <w:spacing w:val="15"/>
          <w:w w:val="105"/>
          <w:sz w:val="19"/>
        </w:rPr>
        <w:t xml:space="preserve"> </w:t>
      </w:r>
      <w:r>
        <w:rPr>
          <w:i/>
          <w:color w:val="231F20"/>
          <w:w w:val="105"/>
          <w:sz w:val="19"/>
        </w:rPr>
        <w:t>a</w:t>
      </w:r>
    </w:p>
    <w:p w14:paraId="3B60C58B" w14:textId="77777777" w:rsidR="002653E8" w:rsidRDefault="00000000">
      <w:pPr>
        <w:pStyle w:val="a3"/>
        <w:spacing w:before="9"/>
        <w:rPr>
          <w:i/>
          <w:sz w:val="26"/>
        </w:rPr>
      </w:pPr>
      <w:r>
        <w:rPr>
          <w:noProof w:val="0"/>
        </w:rPr>
        <w:pict w14:anchorId="28A088D5">
          <v:line id="_x0000_s2487" style="position:absolute;z-index:5152;mso-wrap-distance-left:0;mso-wrap-distance-right:0;mso-position-horizontal-relative:page" from="66.4pt,17.9pt" to="138.4pt,17.9pt" strokecolor="#231f20" strokeweight=".5pt">
            <w10:wrap type="topAndBottom" anchorx="page"/>
          </v:line>
        </w:pict>
      </w:r>
    </w:p>
    <w:p w14:paraId="0A8743D6" w14:textId="77777777" w:rsidR="002653E8" w:rsidRDefault="003115E3">
      <w:pPr>
        <w:pStyle w:val="a4"/>
        <w:numPr>
          <w:ilvl w:val="0"/>
          <w:numId w:val="23"/>
        </w:numPr>
        <w:tabs>
          <w:tab w:val="left" w:pos="1467"/>
        </w:tabs>
        <w:spacing w:before="53"/>
        <w:ind w:firstLine="0"/>
        <w:rPr>
          <w:sz w:val="16"/>
        </w:rPr>
      </w:pPr>
      <w:r>
        <w:rPr>
          <w:color w:val="231F20"/>
          <w:w w:val="115"/>
          <w:sz w:val="16"/>
        </w:rPr>
        <w:t>Ibid,</w:t>
      </w:r>
      <w:r>
        <w:rPr>
          <w:color w:val="231F20"/>
          <w:spacing w:val="3"/>
          <w:w w:val="115"/>
          <w:sz w:val="16"/>
        </w:rPr>
        <w:t xml:space="preserve"> </w:t>
      </w:r>
      <w:r>
        <w:rPr>
          <w:color w:val="231F20"/>
          <w:w w:val="115"/>
          <w:sz w:val="16"/>
        </w:rPr>
        <w:t>42.</w:t>
      </w:r>
    </w:p>
    <w:p w14:paraId="02421029" w14:textId="77777777" w:rsidR="002653E8" w:rsidRDefault="003115E3">
      <w:pPr>
        <w:pStyle w:val="a4"/>
        <w:numPr>
          <w:ilvl w:val="0"/>
          <w:numId w:val="23"/>
        </w:numPr>
        <w:tabs>
          <w:tab w:val="left" w:pos="1467"/>
        </w:tabs>
        <w:spacing w:before="51"/>
        <w:ind w:firstLine="0"/>
        <w:rPr>
          <w:sz w:val="16"/>
        </w:rPr>
      </w:pPr>
      <w:r>
        <w:rPr>
          <w:color w:val="231F20"/>
          <w:w w:val="105"/>
          <w:sz w:val="16"/>
        </w:rPr>
        <w:t>The</w:t>
      </w:r>
      <w:r>
        <w:rPr>
          <w:color w:val="231F20"/>
          <w:spacing w:val="7"/>
          <w:w w:val="105"/>
          <w:sz w:val="16"/>
        </w:rPr>
        <w:t xml:space="preserve"> </w:t>
      </w:r>
      <w:r>
        <w:rPr>
          <w:color w:val="231F20"/>
          <w:w w:val="105"/>
          <w:sz w:val="16"/>
        </w:rPr>
        <w:t>FRG</w:t>
      </w:r>
      <w:r>
        <w:rPr>
          <w:color w:val="231F20"/>
          <w:spacing w:val="8"/>
          <w:w w:val="105"/>
          <w:sz w:val="16"/>
        </w:rPr>
        <w:t xml:space="preserve"> </w:t>
      </w:r>
      <w:r>
        <w:rPr>
          <w:color w:val="231F20"/>
          <w:w w:val="105"/>
          <w:sz w:val="16"/>
        </w:rPr>
        <w:t>press</w:t>
      </w:r>
      <w:r>
        <w:rPr>
          <w:color w:val="231F20"/>
          <w:spacing w:val="7"/>
          <w:w w:val="105"/>
          <w:sz w:val="16"/>
        </w:rPr>
        <w:t xml:space="preserve"> </w:t>
      </w:r>
      <w:r>
        <w:rPr>
          <w:color w:val="231F20"/>
          <w:w w:val="105"/>
          <w:sz w:val="16"/>
        </w:rPr>
        <w:t>reported</w:t>
      </w:r>
      <w:r>
        <w:rPr>
          <w:color w:val="231F20"/>
          <w:spacing w:val="7"/>
          <w:w w:val="105"/>
          <w:sz w:val="16"/>
        </w:rPr>
        <w:t xml:space="preserve"> </w:t>
      </w:r>
      <w:r>
        <w:rPr>
          <w:color w:val="231F20"/>
          <w:w w:val="105"/>
          <w:sz w:val="16"/>
        </w:rPr>
        <w:t>his</w:t>
      </w:r>
      <w:r>
        <w:rPr>
          <w:color w:val="231F20"/>
          <w:spacing w:val="7"/>
          <w:w w:val="105"/>
          <w:sz w:val="16"/>
        </w:rPr>
        <w:t xml:space="preserve"> </w:t>
      </w:r>
      <w:r>
        <w:rPr>
          <w:color w:val="231F20"/>
          <w:w w:val="105"/>
          <w:sz w:val="16"/>
        </w:rPr>
        <w:t>name</w:t>
      </w:r>
      <w:r>
        <w:rPr>
          <w:color w:val="231F20"/>
          <w:spacing w:val="7"/>
          <w:w w:val="105"/>
          <w:sz w:val="16"/>
        </w:rPr>
        <w:t xml:space="preserve"> </w:t>
      </w:r>
      <w:r>
        <w:rPr>
          <w:color w:val="231F20"/>
          <w:w w:val="105"/>
          <w:sz w:val="16"/>
        </w:rPr>
        <w:t>as</w:t>
      </w:r>
      <w:r>
        <w:rPr>
          <w:color w:val="231F20"/>
          <w:spacing w:val="7"/>
          <w:w w:val="105"/>
          <w:sz w:val="16"/>
        </w:rPr>
        <w:t xml:space="preserve"> </w:t>
      </w:r>
      <w:r>
        <w:rPr>
          <w:color w:val="231F20"/>
          <w:w w:val="105"/>
          <w:sz w:val="16"/>
        </w:rPr>
        <w:t>Ibrahim</w:t>
      </w:r>
      <w:r>
        <w:rPr>
          <w:color w:val="231F20"/>
          <w:spacing w:val="7"/>
          <w:w w:val="105"/>
          <w:sz w:val="16"/>
        </w:rPr>
        <w:t xml:space="preserve"> </w:t>
      </w:r>
      <w:r>
        <w:rPr>
          <w:color w:val="231F20"/>
          <w:w w:val="105"/>
          <w:sz w:val="16"/>
        </w:rPr>
        <w:t>Badran.</w:t>
      </w:r>
    </w:p>
    <w:p w14:paraId="3B7296D6" w14:textId="77777777" w:rsidR="002653E8" w:rsidRDefault="003115E3">
      <w:pPr>
        <w:pStyle w:val="a4"/>
        <w:numPr>
          <w:ilvl w:val="0"/>
          <w:numId w:val="23"/>
        </w:numPr>
        <w:tabs>
          <w:tab w:val="left" w:pos="1467"/>
        </w:tabs>
        <w:spacing w:before="52" w:line="254" w:lineRule="auto"/>
        <w:ind w:right="1185" w:firstLine="0"/>
        <w:rPr>
          <w:sz w:val="16"/>
        </w:rPr>
      </w:pPr>
      <w:r>
        <w:rPr>
          <w:color w:val="231F20"/>
          <w:w w:val="105"/>
          <w:sz w:val="16"/>
        </w:rPr>
        <w:t xml:space="preserve">Mahmud Abdallah Kallam, </w:t>
      </w:r>
      <w:r>
        <w:rPr>
          <w:i/>
          <w:color w:val="231F20"/>
          <w:w w:val="105"/>
          <w:sz w:val="16"/>
        </w:rPr>
        <w:t xml:space="preserve">Sabra </w:t>
      </w:r>
      <w:r>
        <w:rPr>
          <w:i/>
          <w:color w:val="231F20"/>
          <w:spacing w:val="1"/>
          <w:w w:val="105"/>
          <w:sz w:val="16"/>
        </w:rPr>
        <w:t xml:space="preserve">wa-Shatila, </w:t>
      </w:r>
      <w:r>
        <w:rPr>
          <w:i/>
          <w:color w:val="231F20"/>
          <w:w w:val="105"/>
          <w:sz w:val="16"/>
        </w:rPr>
        <w:t xml:space="preserve">dhakirat </w:t>
      </w:r>
      <w:r>
        <w:rPr>
          <w:i/>
          <w:color w:val="231F20"/>
          <w:spacing w:val="1"/>
          <w:w w:val="105"/>
          <w:sz w:val="16"/>
        </w:rPr>
        <w:t xml:space="preserve">ad-Damm </w:t>
      </w:r>
      <w:r>
        <w:rPr>
          <w:color w:val="231F20"/>
          <w:w w:val="105"/>
          <w:sz w:val="16"/>
        </w:rPr>
        <w:t>(Beirut: Beisan Publishing),</w:t>
      </w:r>
      <w:r>
        <w:rPr>
          <w:color w:val="231F20"/>
          <w:spacing w:val="8"/>
          <w:w w:val="105"/>
          <w:sz w:val="16"/>
        </w:rPr>
        <w:t xml:space="preserve"> </w:t>
      </w:r>
      <w:r>
        <w:rPr>
          <w:color w:val="231F20"/>
          <w:w w:val="105"/>
          <w:sz w:val="16"/>
        </w:rPr>
        <w:t>40-41.</w:t>
      </w:r>
    </w:p>
    <w:p w14:paraId="36117473" w14:textId="77777777" w:rsidR="002653E8" w:rsidRDefault="003115E3">
      <w:pPr>
        <w:pStyle w:val="a4"/>
        <w:numPr>
          <w:ilvl w:val="0"/>
          <w:numId w:val="23"/>
        </w:numPr>
        <w:tabs>
          <w:tab w:val="left" w:pos="1467"/>
        </w:tabs>
        <w:spacing w:before="1" w:line="240" w:lineRule="exact"/>
        <w:ind w:right="1478" w:firstLine="0"/>
        <w:rPr>
          <w:i/>
          <w:sz w:val="16"/>
        </w:rPr>
      </w:pPr>
      <w:r>
        <w:rPr>
          <w:i/>
          <w:color w:val="231F20"/>
          <w:w w:val="110"/>
          <w:sz w:val="16"/>
        </w:rPr>
        <w:t xml:space="preserve">Time Magazine </w:t>
      </w:r>
      <w:r>
        <w:rPr>
          <w:color w:val="231F20"/>
          <w:w w:val="110"/>
          <w:sz w:val="16"/>
        </w:rPr>
        <w:t xml:space="preserve">[online], “Return of Black September,” November </w:t>
      </w:r>
      <w:r>
        <w:rPr>
          <w:color w:val="231F20"/>
          <w:spacing w:val="-4"/>
          <w:w w:val="110"/>
          <w:sz w:val="16"/>
        </w:rPr>
        <w:t xml:space="preserve">13, </w:t>
      </w:r>
      <w:r>
        <w:rPr>
          <w:color w:val="231F20"/>
          <w:w w:val="110"/>
          <w:sz w:val="16"/>
        </w:rPr>
        <w:t xml:space="preserve">1972. </w:t>
      </w:r>
      <w:r>
        <w:rPr>
          <w:color w:val="231F20"/>
          <w:spacing w:val="-3"/>
          <w:w w:val="110"/>
          <w:sz w:val="16"/>
        </w:rPr>
        <w:t xml:space="preserve">10 </w:t>
      </w:r>
      <w:r>
        <w:rPr>
          <w:color w:val="231F20"/>
          <w:w w:val="110"/>
          <w:sz w:val="16"/>
        </w:rPr>
        <w:t xml:space="preserve">Associated Press, “Bay Area service for slain Jews,” </w:t>
      </w:r>
      <w:r>
        <w:rPr>
          <w:i/>
          <w:color w:val="231F20"/>
          <w:w w:val="110"/>
          <w:sz w:val="16"/>
        </w:rPr>
        <w:t>Hayward Daily</w:t>
      </w:r>
      <w:r>
        <w:rPr>
          <w:i/>
          <w:color w:val="231F20"/>
          <w:spacing w:val="30"/>
          <w:w w:val="110"/>
          <w:sz w:val="16"/>
        </w:rPr>
        <w:t xml:space="preserve"> </w:t>
      </w:r>
      <w:r>
        <w:rPr>
          <w:i/>
          <w:color w:val="231F20"/>
          <w:spacing w:val="1"/>
          <w:w w:val="110"/>
          <w:sz w:val="16"/>
        </w:rPr>
        <w:t>Review,</w:t>
      </w:r>
    </w:p>
    <w:p w14:paraId="56AD2F0D" w14:textId="77777777" w:rsidR="002653E8" w:rsidRDefault="003115E3">
      <w:pPr>
        <w:spacing w:line="186" w:lineRule="exact"/>
        <w:ind w:left="1327"/>
        <w:rPr>
          <w:sz w:val="16"/>
        </w:rPr>
      </w:pPr>
      <w:r>
        <w:rPr>
          <w:color w:val="231F20"/>
          <w:w w:val="110"/>
          <w:sz w:val="16"/>
        </w:rPr>
        <w:t>September 8, 1972.</w:t>
      </w:r>
    </w:p>
    <w:p w14:paraId="4CF2E64E" w14:textId="77777777" w:rsidR="002653E8" w:rsidRDefault="003115E3">
      <w:pPr>
        <w:spacing w:before="52"/>
        <w:ind w:left="1327"/>
        <w:rPr>
          <w:i/>
          <w:sz w:val="16"/>
        </w:rPr>
      </w:pPr>
      <w:r>
        <w:rPr>
          <w:color w:val="231F20"/>
          <w:w w:val="110"/>
          <w:sz w:val="16"/>
        </w:rPr>
        <w:t xml:space="preserve">11 Sami Hadawi, </w:t>
      </w:r>
      <w:r>
        <w:rPr>
          <w:i/>
          <w:color w:val="231F20"/>
          <w:w w:val="110"/>
          <w:sz w:val="16"/>
        </w:rPr>
        <w:t>Crime and No Punishment: Zionist-Israeli Terrorism 1939-1972</w:t>
      </w:r>
    </w:p>
    <w:p w14:paraId="1D7A1D59" w14:textId="77777777" w:rsidR="002653E8" w:rsidRDefault="003115E3">
      <w:pPr>
        <w:spacing w:before="11"/>
        <w:ind w:left="1327"/>
        <w:rPr>
          <w:sz w:val="16"/>
        </w:rPr>
      </w:pPr>
      <w:r>
        <w:rPr>
          <w:color w:val="231F20"/>
          <w:w w:val="105"/>
          <w:sz w:val="16"/>
        </w:rPr>
        <w:t>(Beirut: Palestine Research Centre, 1972), 83.</w:t>
      </w:r>
    </w:p>
    <w:p w14:paraId="70C49F18" w14:textId="77777777" w:rsidR="002653E8" w:rsidRDefault="002653E8">
      <w:pPr>
        <w:rPr>
          <w:sz w:val="16"/>
        </w:rPr>
        <w:sectPr w:rsidR="002653E8">
          <w:footerReference w:type="even" r:id="rId168"/>
          <w:footerReference w:type="default" r:id="rId169"/>
          <w:pgSz w:w="8640" w:h="12960"/>
          <w:pgMar w:top="1060" w:right="0" w:bottom="1040" w:left="0" w:header="0" w:footer="850" w:gutter="0"/>
          <w:cols w:space="720"/>
        </w:sectPr>
      </w:pPr>
    </w:p>
    <w:p w14:paraId="42184BA9" w14:textId="77777777" w:rsidR="002653E8" w:rsidRDefault="003115E3">
      <w:pPr>
        <w:spacing w:before="75" w:line="273" w:lineRule="auto"/>
        <w:ind w:left="1568" w:right="1745" w:hanging="1"/>
        <w:jc w:val="both"/>
        <w:rPr>
          <w:i/>
          <w:sz w:val="19"/>
        </w:rPr>
      </w:pPr>
      <w:r>
        <w:rPr>
          <w:i/>
          <w:color w:val="231F20"/>
          <w:w w:val="105"/>
          <w:sz w:val="19"/>
        </w:rPr>
        <w:lastRenderedPageBreak/>
        <w:t xml:space="preserve">number of Lebanese villages within an area of some </w:t>
      </w:r>
      <w:r>
        <w:rPr>
          <w:rFonts w:ascii="Bookman Old Style" w:hAnsi="Bookman Old Style"/>
          <w:i/>
          <w:color w:val="231F20"/>
          <w:w w:val="105"/>
          <w:sz w:val="19"/>
        </w:rPr>
        <w:t xml:space="preserve">250 </w:t>
      </w:r>
      <w:r>
        <w:rPr>
          <w:i/>
          <w:color w:val="231F20"/>
          <w:w w:val="105"/>
          <w:sz w:val="19"/>
        </w:rPr>
        <w:t>square kilometers, killing people at random and destroying houses and blowing up bridges…</w:t>
      </w:r>
    </w:p>
    <w:p w14:paraId="391B7A9F" w14:textId="77777777" w:rsidR="002653E8" w:rsidRDefault="003115E3">
      <w:pPr>
        <w:spacing w:before="64" w:line="276" w:lineRule="auto"/>
        <w:ind w:left="1568" w:right="1746"/>
        <w:jc w:val="both"/>
        <w:rPr>
          <w:i/>
          <w:sz w:val="19"/>
        </w:rPr>
      </w:pPr>
      <w:r>
        <w:rPr>
          <w:i/>
          <w:color w:val="231F20"/>
          <w:w w:val="105"/>
          <w:sz w:val="19"/>
        </w:rPr>
        <w:t>The refugee camp at Nabatiya was attacked from the air by napalm bombs, wounding eight of its inmates…</w:t>
      </w:r>
    </w:p>
    <w:p w14:paraId="6E3BF2A3" w14:textId="77777777" w:rsidR="002653E8" w:rsidRDefault="003115E3">
      <w:pPr>
        <w:spacing w:before="60" w:line="273" w:lineRule="auto"/>
        <w:ind w:left="1568" w:right="1745"/>
        <w:jc w:val="both"/>
        <w:rPr>
          <w:i/>
          <w:sz w:val="11"/>
        </w:rPr>
      </w:pPr>
      <w:r>
        <w:rPr>
          <w:i/>
          <w:color w:val="231F20"/>
          <w:w w:val="105"/>
          <w:sz w:val="19"/>
        </w:rPr>
        <w:t>By</w:t>
      </w:r>
      <w:r>
        <w:rPr>
          <w:i/>
          <w:color w:val="231F20"/>
          <w:spacing w:val="-5"/>
          <w:w w:val="105"/>
          <w:sz w:val="19"/>
        </w:rPr>
        <w:t xml:space="preserve"> </w:t>
      </w:r>
      <w:r>
        <w:rPr>
          <w:i/>
          <w:color w:val="231F20"/>
          <w:w w:val="105"/>
          <w:sz w:val="19"/>
        </w:rPr>
        <w:t>the</w:t>
      </w:r>
      <w:r>
        <w:rPr>
          <w:i/>
          <w:color w:val="231F20"/>
          <w:spacing w:val="-5"/>
          <w:w w:val="105"/>
          <w:sz w:val="19"/>
        </w:rPr>
        <w:t xml:space="preserve"> </w:t>
      </w:r>
      <w:r>
        <w:rPr>
          <w:i/>
          <w:color w:val="231F20"/>
          <w:w w:val="105"/>
          <w:sz w:val="19"/>
        </w:rPr>
        <w:t>time</w:t>
      </w:r>
      <w:r>
        <w:rPr>
          <w:i/>
          <w:color w:val="231F20"/>
          <w:spacing w:val="-5"/>
          <w:w w:val="105"/>
          <w:sz w:val="19"/>
        </w:rPr>
        <w:t xml:space="preserve"> </w:t>
      </w:r>
      <w:r>
        <w:rPr>
          <w:i/>
          <w:color w:val="231F20"/>
          <w:w w:val="105"/>
          <w:sz w:val="19"/>
        </w:rPr>
        <w:t>the</w:t>
      </w:r>
      <w:r>
        <w:rPr>
          <w:i/>
          <w:color w:val="231F20"/>
          <w:spacing w:val="-5"/>
          <w:w w:val="105"/>
          <w:sz w:val="19"/>
        </w:rPr>
        <w:t xml:space="preserve"> </w:t>
      </w:r>
      <w:r>
        <w:rPr>
          <w:i/>
          <w:color w:val="231F20"/>
          <w:w w:val="105"/>
          <w:sz w:val="19"/>
        </w:rPr>
        <w:t>Israelis</w:t>
      </w:r>
      <w:r>
        <w:rPr>
          <w:i/>
          <w:color w:val="231F20"/>
          <w:spacing w:val="-5"/>
          <w:w w:val="105"/>
          <w:sz w:val="19"/>
        </w:rPr>
        <w:t xml:space="preserve"> </w:t>
      </w:r>
      <w:r>
        <w:rPr>
          <w:i/>
          <w:color w:val="231F20"/>
          <w:w w:val="105"/>
          <w:sz w:val="19"/>
        </w:rPr>
        <w:t>withdrew,</w:t>
      </w:r>
      <w:r>
        <w:rPr>
          <w:i/>
          <w:color w:val="231F20"/>
          <w:spacing w:val="-10"/>
          <w:w w:val="105"/>
          <w:sz w:val="19"/>
        </w:rPr>
        <w:t xml:space="preserve"> </w:t>
      </w:r>
      <w:r>
        <w:rPr>
          <w:i/>
          <w:color w:val="231F20"/>
          <w:w w:val="105"/>
          <w:sz w:val="19"/>
        </w:rPr>
        <w:t>they</w:t>
      </w:r>
      <w:r>
        <w:rPr>
          <w:i/>
          <w:color w:val="231F20"/>
          <w:spacing w:val="-5"/>
          <w:w w:val="105"/>
          <w:sz w:val="19"/>
        </w:rPr>
        <w:t xml:space="preserve"> </w:t>
      </w:r>
      <w:r>
        <w:rPr>
          <w:i/>
          <w:color w:val="231F20"/>
          <w:w w:val="105"/>
          <w:sz w:val="19"/>
        </w:rPr>
        <w:t>left</w:t>
      </w:r>
      <w:r>
        <w:rPr>
          <w:i/>
          <w:color w:val="231F20"/>
          <w:spacing w:val="-5"/>
          <w:w w:val="105"/>
          <w:sz w:val="19"/>
        </w:rPr>
        <w:t xml:space="preserve"> </w:t>
      </w:r>
      <w:r>
        <w:rPr>
          <w:i/>
          <w:color w:val="231F20"/>
          <w:w w:val="105"/>
          <w:sz w:val="19"/>
        </w:rPr>
        <w:t>behind</w:t>
      </w:r>
      <w:r>
        <w:rPr>
          <w:i/>
          <w:color w:val="231F20"/>
          <w:spacing w:val="-5"/>
          <w:w w:val="105"/>
          <w:sz w:val="19"/>
        </w:rPr>
        <w:t xml:space="preserve"> </w:t>
      </w:r>
      <w:r>
        <w:rPr>
          <w:i/>
          <w:color w:val="231F20"/>
          <w:w w:val="105"/>
          <w:sz w:val="19"/>
        </w:rPr>
        <w:t>a</w:t>
      </w:r>
      <w:r>
        <w:rPr>
          <w:i/>
          <w:color w:val="231F20"/>
          <w:spacing w:val="-5"/>
          <w:w w:val="105"/>
          <w:sz w:val="19"/>
        </w:rPr>
        <w:t xml:space="preserve"> </w:t>
      </w:r>
      <w:r>
        <w:rPr>
          <w:i/>
          <w:color w:val="231F20"/>
          <w:w w:val="105"/>
          <w:sz w:val="19"/>
        </w:rPr>
        <w:t>trail</w:t>
      </w:r>
      <w:r>
        <w:rPr>
          <w:i/>
          <w:color w:val="231F20"/>
          <w:spacing w:val="-5"/>
          <w:w w:val="105"/>
          <w:sz w:val="19"/>
        </w:rPr>
        <w:t xml:space="preserve"> </w:t>
      </w:r>
      <w:r>
        <w:rPr>
          <w:i/>
          <w:color w:val="231F20"/>
          <w:w w:val="105"/>
          <w:sz w:val="19"/>
        </w:rPr>
        <w:t>of</w:t>
      </w:r>
      <w:r>
        <w:rPr>
          <w:i/>
          <w:color w:val="231F20"/>
          <w:spacing w:val="-5"/>
          <w:w w:val="105"/>
          <w:sz w:val="19"/>
        </w:rPr>
        <w:t xml:space="preserve"> </w:t>
      </w:r>
      <w:r>
        <w:rPr>
          <w:i/>
          <w:color w:val="231F20"/>
          <w:w w:val="105"/>
          <w:sz w:val="19"/>
        </w:rPr>
        <w:t xml:space="preserve">death and destruction. About </w:t>
      </w:r>
      <w:r>
        <w:rPr>
          <w:rFonts w:ascii="Bookman Old Style"/>
          <w:i/>
          <w:color w:val="231F20"/>
          <w:w w:val="105"/>
          <w:sz w:val="19"/>
        </w:rPr>
        <w:t xml:space="preserve">200 </w:t>
      </w:r>
      <w:r>
        <w:rPr>
          <w:i/>
          <w:color w:val="231F20"/>
          <w:w w:val="105"/>
          <w:sz w:val="19"/>
        </w:rPr>
        <w:t>civilians, including women and children,</w:t>
      </w:r>
      <w:r>
        <w:rPr>
          <w:i/>
          <w:color w:val="231F20"/>
          <w:spacing w:val="-12"/>
          <w:w w:val="105"/>
          <w:sz w:val="19"/>
        </w:rPr>
        <w:t xml:space="preserve"> </w:t>
      </w:r>
      <w:r>
        <w:rPr>
          <w:i/>
          <w:color w:val="231F20"/>
          <w:w w:val="105"/>
          <w:sz w:val="19"/>
        </w:rPr>
        <w:t>were</w:t>
      </w:r>
      <w:r>
        <w:rPr>
          <w:i/>
          <w:color w:val="231F20"/>
          <w:spacing w:val="-7"/>
          <w:w w:val="105"/>
          <w:sz w:val="19"/>
        </w:rPr>
        <w:t xml:space="preserve"> </w:t>
      </w:r>
      <w:r>
        <w:rPr>
          <w:i/>
          <w:color w:val="231F20"/>
          <w:w w:val="105"/>
          <w:sz w:val="19"/>
        </w:rPr>
        <w:t>killed</w:t>
      </w:r>
      <w:r>
        <w:rPr>
          <w:i/>
          <w:color w:val="231F20"/>
          <w:spacing w:val="-7"/>
          <w:w w:val="105"/>
          <w:sz w:val="19"/>
        </w:rPr>
        <w:t xml:space="preserve"> </w:t>
      </w:r>
      <w:r>
        <w:rPr>
          <w:i/>
          <w:color w:val="231F20"/>
          <w:w w:val="105"/>
          <w:sz w:val="19"/>
        </w:rPr>
        <w:t>or</w:t>
      </w:r>
      <w:r>
        <w:rPr>
          <w:i/>
          <w:color w:val="231F20"/>
          <w:spacing w:val="-7"/>
          <w:w w:val="105"/>
          <w:sz w:val="19"/>
        </w:rPr>
        <w:t xml:space="preserve"> </w:t>
      </w:r>
      <w:r>
        <w:rPr>
          <w:i/>
          <w:color w:val="231F20"/>
          <w:w w:val="105"/>
          <w:sz w:val="19"/>
        </w:rPr>
        <w:t>wounded,</w:t>
      </w:r>
      <w:r>
        <w:rPr>
          <w:i/>
          <w:color w:val="231F20"/>
          <w:spacing w:val="-12"/>
          <w:w w:val="105"/>
          <w:sz w:val="19"/>
        </w:rPr>
        <w:t xml:space="preserve"> </w:t>
      </w:r>
      <w:r>
        <w:rPr>
          <w:i/>
          <w:color w:val="231F20"/>
          <w:w w:val="105"/>
          <w:sz w:val="19"/>
        </w:rPr>
        <w:t>and</w:t>
      </w:r>
      <w:r>
        <w:rPr>
          <w:i/>
          <w:color w:val="231F20"/>
          <w:spacing w:val="-7"/>
          <w:w w:val="105"/>
          <w:sz w:val="19"/>
        </w:rPr>
        <w:t xml:space="preserve"> </w:t>
      </w:r>
      <w:r>
        <w:rPr>
          <w:i/>
          <w:color w:val="231F20"/>
          <w:w w:val="105"/>
          <w:sz w:val="19"/>
        </w:rPr>
        <w:t>over</w:t>
      </w:r>
      <w:r>
        <w:rPr>
          <w:i/>
          <w:color w:val="231F20"/>
          <w:spacing w:val="-7"/>
          <w:w w:val="105"/>
          <w:sz w:val="19"/>
        </w:rPr>
        <w:t xml:space="preserve"> </w:t>
      </w:r>
      <w:r>
        <w:rPr>
          <w:rFonts w:ascii="Bookman Old Style"/>
          <w:i/>
          <w:color w:val="231F20"/>
          <w:w w:val="105"/>
          <w:sz w:val="19"/>
        </w:rPr>
        <w:t>200</w:t>
      </w:r>
      <w:r>
        <w:rPr>
          <w:rFonts w:ascii="Bookman Old Style"/>
          <w:i/>
          <w:color w:val="231F20"/>
          <w:spacing w:val="-23"/>
          <w:w w:val="105"/>
          <w:sz w:val="19"/>
        </w:rPr>
        <w:t xml:space="preserve"> </w:t>
      </w:r>
      <w:r>
        <w:rPr>
          <w:i/>
          <w:color w:val="231F20"/>
          <w:w w:val="105"/>
          <w:sz w:val="19"/>
        </w:rPr>
        <w:t>houses</w:t>
      </w:r>
      <w:r>
        <w:rPr>
          <w:i/>
          <w:color w:val="231F20"/>
          <w:spacing w:val="-7"/>
          <w:w w:val="105"/>
          <w:sz w:val="19"/>
        </w:rPr>
        <w:t xml:space="preserve"> </w:t>
      </w:r>
      <w:r>
        <w:rPr>
          <w:i/>
          <w:color w:val="231F20"/>
          <w:w w:val="105"/>
          <w:sz w:val="19"/>
        </w:rPr>
        <w:t xml:space="preserve">destroyed or damaged. In addition, </w:t>
      </w:r>
      <w:r>
        <w:rPr>
          <w:rFonts w:ascii="Bookman Old Style"/>
          <w:i/>
          <w:color w:val="231F20"/>
          <w:w w:val="105"/>
          <w:sz w:val="19"/>
        </w:rPr>
        <w:t xml:space="preserve">18 </w:t>
      </w:r>
      <w:r>
        <w:rPr>
          <w:i/>
          <w:color w:val="231F20"/>
          <w:w w:val="105"/>
          <w:sz w:val="19"/>
        </w:rPr>
        <w:t>Lebanese soldiers died in defense of their</w:t>
      </w:r>
      <w:r>
        <w:rPr>
          <w:i/>
          <w:color w:val="231F20"/>
          <w:spacing w:val="6"/>
          <w:w w:val="105"/>
          <w:sz w:val="19"/>
        </w:rPr>
        <w:t xml:space="preserve"> </w:t>
      </w:r>
      <w:r>
        <w:rPr>
          <w:i/>
          <w:color w:val="231F20"/>
          <w:w w:val="105"/>
          <w:sz w:val="19"/>
        </w:rPr>
        <w:t>homeland.</w:t>
      </w:r>
      <w:r>
        <w:rPr>
          <w:i/>
          <w:color w:val="231F20"/>
          <w:w w:val="105"/>
          <w:position w:val="6"/>
          <w:sz w:val="11"/>
        </w:rPr>
        <w:t>1</w:t>
      </w:r>
    </w:p>
    <w:p w14:paraId="0CD83EFE" w14:textId="77777777" w:rsidR="002653E8" w:rsidRDefault="003115E3">
      <w:pPr>
        <w:pStyle w:val="a3"/>
        <w:spacing w:before="141" w:line="264" w:lineRule="auto"/>
        <w:ind w:left="1147" w:right="1328"/>
        <w:jc w:val="both"/>
        <w:rPr>
          <w:sz w:val="11"/>
        </w:rPr>
      </w:pPr>
      <w:r>
        <w:rPr>
          <w:color w:val="231F20"/>
        </w:rPr>
        <w:t>The United States vetoed a United Nations resolution condemning these massacres, and in doing so put Israel’s policy of carrying out reprisals against Palestinian civilians on a firm international footing for decades to come.</w:t>
      </w:r>
      <w:r>
        <w:rPr>
          <w:color w:val="231F20"/>
          <w:position w:val="7"/>
          <w:sz w:val="11"/>
        </w:rPr>
        <w:t>2</w:t>
      </w:r>
    </w:p>
    <w:p w14:paraId="5EF55FC7" w14:textId="77777777" w:rsidR="002653E8" w:rsidRDefault="003115E3">
      <w:pPr>
        <w:pStyle w:val="a3"/>
        <w:spacing w:line="264" w:lineRule="auto"/>
        <w:ind w:left="1147" w:right="1325" w:firstLine="210"/>
        <w:jc w:val="both"/>
      </w:pPr>
      <w:r>
        <w:rPr>
          <w:color w:val="231F20"/>
        </w:rPr>
        <w:t>Not only did the Munich operation provoke attacks against Palestinian civilians, it also spelled the beginning of the end of Black September as an organization. On the one hand, Israeli secret services embarked on a bloody campaign of retribution, letter bombs and targeted assassinations, which would eventually claim dozens of lives.</w:t>
      </w:r>
      <w:r>
        <w:rPr>
          <w:color w:val="231F20"/>
          <w:position w:val="7"/>
          <w:sz w:val="11"/>
        </w:rPr>
        <w:t xml:space="preserve">3 </w:t>
      </w:r>
      <w:r>
        <w:rPr>
          <w:color w:val="231F20"/>
        </w:rPr>
        <w:t xml:space="preserve">At the same time, various Arab regimes which supported the PLO began to worry that the Palestinians’ struggle might endanger their relationship with the imperialist west. The final turning point for these regimes occurred just six months later when a Black September commando took over the Saudi embassy in Khartoum, Sudan during a farewell </w:t>
      </w:r>
      <w:r>
        <w:rPr>
          <w:color w:val="231F20"/>
          <w:spacing w:val="1"/>
        </w:rPr>
        <w:t xml:space="preserve">party </w:t>
      </w:r>
      <w:r>
        <w:rPr>
          <w:color w:val="231F20"/>
        </w:rPr>
        <w:t xml:space="preserve">for the </w:t>
      </w:r>
      <w:r>
        <w:rPr>
          <w:color w:val="231F20"/>
          <w:spacing w:val="1"/>
        </w:rPr>
        <w:t xml:space="preserve">U.S. </w:t>
      </w:r>
      <w:r>
        <w:rPr>
          <w:color w:val="231F20"/>
        </w:rPr>
        <w:t>Chargé d’Affaires</w:t>
      </w:r>
      <w:r>
        <w:rPr>
          <w:color w:val="231F20"/>
          <w:position w:val="7"/>
          <w:sz w:val="11"/>
        </w:rPr>
        <w:t>4</w:t>
      </w:r>
      <w:r>
        <w:rPr>
          <w:color w:val="231F20"/>
        </w:rPr>
        <w:t>—one Belgian and two American diplomats were executed before the commando surrendered.</w:t>
      </w:r>
      <w:r>
        <w:rPr>
          <w:color w:val="231F20"/>
          <w:position w:val="7"/>
          <w:sz w:val="11"/>
        </w:rPr>
        <w:t xml:space="preserve">5 </w:t>
      </w:r>
      <w:r>
        <w:rPr>
          <w:color w:val="231F20"/>
        </w:rPr>
        <w:t>The pressure from conservative Arab states increased, and the PLO and Fatah withdrew their</w:t>
      </w:r>
      <w:r>
        <w:rPr>
          <w:color w:val="231F20"/>
          <w:spacing w:val="35"/>
        </w:rPr>
        <w:t xml:space="preserve"> </w:t>
      </w:r>
      <w:r>
        <w:rPr>
          <w:color w:val="231F20"/>
        </w:rPr>
        <w:t>support</w:t>
      </w:r>
      <w:r>
        <w:rPr>
          <w:color w:val="231F20"/>
          <w:spacing w:val="35"/>
        </w:rPr>
        <w:t xml:space="preserve"> </w:t>
      </w:r>
      <w:r>
        <w:rPr>
          <w:color w:val="231F20"/>
        </w:rPr>
        <w:t>for</w:t>
      </w:r>
      <w:r>
        <w:rPr>
          <w:color w:val="231F20"/>
          <w:spacing w:val="35"/>
        </w:rPr>
        <w:t xml:space="preserve"> </w:t>
      </w:r>
      <w:r>
        <w:rPr>
          <w:color w:val="231F20"/>
        </w:rPr>
        <w:t>hijackings</w:t>
      </w:r>
      <w:r>
        <w:rPr>
          <w:color w:val="231F20"/>
          <w:spacing w:val="35"/>
        </w:rPr>
        <w:t xml:space="preserve"> </w:t>
      </w:r>
      <w:r>
        <w:rPr>
          <w:color w:val="231F20"/>
        </w:rPr>
        <w:t>and</w:t>
      </w:r>
      <w:r>
        <w:rPr>
          <w:color w:val="231F20"/>
          <w:spacing w:val="35"/>
        </w:rPr>
        <w:t xml:space="preserve"> </w:t>
      </w:r>
      <w:r>
        <w:rPr>
          <w:color w:val="231F20"/>
        </w:rPr>
        <w:t>hostage-takings,</w:t>
      </w:r>
      <w:r>
        <w:rPr>
          <w:color w:val="231F20"/>
          <w:spacing w:val="35"/>
        </w:rPr>
        <w:t xml:space="preserve"> </w:t>
      </w:r>
      <w:r>
        <w:rPr>
          <w:color w:val="231F20"/>
        </w:rPr>
        <w:t>which</w:t>
      </w:r>
      <w:r>
        <w:rPr>
          <w:color w:val="231F20"/>
          <w:spacing w:val="35"/>
        </w:rPr>
        <w:t xml:space="preserve"> </w:t>
      </w:r>
      <w:r>
        <w:rPr>
          <w:color w:val="231F20"/>
        </w:rPr>
        <w:t>caused</w:t>
      </w:r>
      <w:r>
        <w:rPr>
          <w:color w:val="231F20"/>
          <w:spacing w:val="35"/>
        </w:rPr>
        <w:t xml:space="preserve"> </w:t>
      </w:r>
      <w:r>
        <w:rPr>
          <w:color w:val="231F20"/>
        </w:rPr>
        <w:t>Black</w:t>
      </w:r>
    </w:p>
    <w:p w14:paraId="06683667" w14:textId="77777777" w:rsidR="002653E8" w:rsidRDefault="002653E8">
      <w:pPr>
        <w:pStyle w:val="a3"/>
      </w:pPr>
    </w:p>
    <w:p w14:paraId="66FBD07A" w14:textId="77777777" w:rsidR="002653E8" w:rsidRDefault="00000000">
      <w:pPr>
        <w:pStyle w:val="a3"/>
        <w:spacing w:before="6"/>
        <w:rPr>
          <w:sz w:val="24"/>
        </w:rPr>
      </w:pPr>
      <w:r>
        <w:rPr>
          <w:noProof w:val="0"/>
        </w:rPr>
        <w:pict w14:anchorId="31AE0DD3">
          <v:line id="_x0000_s2486" style="position:absolute;z-index:5176;mso-wrap-distance-left:0;mso-wrap-distance-right:0;mso-position-horizontal-relative:page" from="57.4pt,16.6pt" to="129.4pt,16.6pt" strokecolor="#231f20" strokeweight=".5pt">
            <w10:wrap type="topAndBottom" anchorx="page"/>
          </v:line>
        </w:pict>
      </w:r>
    </w:p>
    <w:p w14:paraId="6579C7F6" w14:textId="77777777" w:rsidR="002653E8" w:rsidRDefault="003115E3">
      <w:pPr>
        <w:spacing w:before="53"/>
        <w:ind w:left="1147"/>
        <w:rPr>
          <w:sz w:val="16"/>
        </w:rPr>
      </w:pPr>
      <w:r>
        <w:rPr>
          <w:color w:val="231F20"/>
          <w:w w:val="115"/>
          <w:sz w:val="16"/>
        </w:rPr>
        <w:t>1 Ibid., 84.</w:t>
      </w:r>
    </w:p>
    <w:p w14:paraId="0BF91AF0" w14:textId="77777777" w:rsidR="002653E8" w:rsidRDefault="003115E3">
      <w:pPr>
        <w:spacing w:line="240" w:lineRule="atLeast"/>
        <w:ind w:left="1147" w:right="1580"/>
        <w:rPr>
          <w:sz w:val="16"/>
        </w:rPr>
      </w:pPr>
      <w:r>
        <w:rPr>
          <w:color w:val="231F20"/>
          <w:w w:val="105"/>
          <w:sz w:val="16"/>
        </w:rPr>
        <w:t xml:space="preserve">2 </w:t>
      </w:r>
      <w:r>
        <w:rPr>
          <w:color w:val="231F20"/>
          <w:spacing w:val="1"/>
          <w:w w:val="105"/>
          <w:sz w:val="16"/>
        </w:rPr>
        <w:t xml:space="preserve">Henry Cattan, </w:t>
      </w:r>
      <w:r>
        <w:rPr>
          <w:i/>
          <w:color w:val="231F20"/>
          <w:w w:val="105"/>
          <w:sz w:val="16"/>
        </w:rPr>
        <w:t xml:space="preserve">The  Palestine  Question  </w:t>
      </w:r>
      <w:r>
        <w:rPr>
          <w:color w:val="231F20"/>
          <w:w w:val="105"/>
          <w:sz w:val="16"/>
        </w:rPr>
        <w:t xml:space="preserve">(London:  Croom  Helm,  </w:t>
      </w:r>
      <w:r>
        <w:rPr>
          <w:color w:val="231F20"/>
          <w:spacing w:val="-3"/>
          <w:w w:val="105"/>
          <w:sz w:val="16"/>
        </w:rPr>
        <w:t xml:space="preserve">1987),  122-123. </w:t>
      </w:r>
      <w:r>
        <w:rPr>
          <w:color w:val="231F20"/>
          <w:w w:val="105"/>
          <w:sz w:val="16"/>
        </w:rPr>
        <w:t xml:space="preserve">3 Reeve, </w:t>
      </w:r>
      <w:r>
        <w:rPr>
          <w:color w:val="231F20"/>
          <w:spacing w:val="-3"/>
          <w:w w:val="105"/>
          <w:sz w:val="16"/>
        </w:rPr>
        <w:t xml:space="preserve">160-169, </w:t>
      </w:r>
      <w:r>
        <w:rPr>
          <w:color w:val="231F20"/>
          <w:spacing w:val="-5"/>
          <w:w w:val="105"/>
          <w:sz w:val="16"/>
        </w:rPr>
        <w:t xml:space="preserve">175-195. </w:t>
      </w:r>
      <w:r>
        <w:rPr>
          <w:color w:val="231F20"/>
          <w:w w:val="105"/>
          <w:sz w:val="16"/>
        </w:rPr>
        <w:t>For more on Israel’s reaction, see Brad</w:t>
      </w:r>
      <w:r>
        <w:rPr>
          <w:color w:val="231F20"/>
          <w:spacing w:val="22"/>
          <w:w w:val="105"/>
          <w:sz w:val="16"/>
        </w:rPr>
        <w:t xml:space="preserve"> </w:t>
      </w:r>
      <w:r>
        <w:rPr>
          <w:color w:val="231F20"/>
          <w:spacing w:val="3"/>
          <w:w w:val="105"/>
          <w:sz w:val="16"/>
        </w:rPr>
        <w:t xml:space="preserve">E. </w:t>
      </w:r>
      <w:r>
        <w:rPr>
          <w:color w:val="231F20"/>
          <w:w w:val="105"/>
          <w:sz w:val="16"/>
        </w:rPr>
        <w:t>O’Neill,</w:t>
      </w:r>
    </w:p>
    <w:p w14:paraId="6E8B123F" w14:textId="77777777" w:rsidR="002653E8" w:rsidRDefault="003115E3">
      <w:pPr>
        <w:spacing w:before="10" w:line="254" w:lineRule="auto"/>
        <w:ind w:left="1147" w:right="1580"/>
        <w:rPr>
          <w:sz w:val="16"/>
        </w:rPr>
      </w:pPr>
      <w:r>
        <w:rPr>
          <w:i/>
          <w:color w:val="231F20"/>
          <w:w w:val="105"/>
          <w:sz w:val="16"/>
        </w:rPr>
        <w:t xml:space="preserve">Armed Struggle in Palestine: A Political-Military Analysis </w:t>
      </w:r>
      <w:r>
        <w:rPr>
          <w:color w:val="231F20"/>
          <w:w w:val="105"/>
          <w:sz w:val="16"/>
        </w:rPr>
        <w:t>(Boulder, Colorado: Westview Press, 1978), 87-88.</w:t>
      </w:r>
    </w:p>
    <w:p w14:paraId="6847E967" w14:textId="77777777" w:rsidR="002653E8" w:rsidRDefault="003115E3">
      <w:pPr>
        <w:pStyle w:val="a4"/>
        <w:numPr>
          <w:ilvl w:val="0"/>
          <w:numId w:val="131"/>
        </w:numPr>
        <w:tabs>
          <w:tab w:val="left" w:pos="1287"/>
        </w:tabs>
        <w:spacing w:line="254" w:lineRule="auto"/>
        <w:ind w:right="1572" w:firstLine="0"/>
        <w:jc w:val="left"/>
        <w:rPr>
          <w:sz w:val="16"/>
        </w:rPr>
      </w:pPr>
      <w:r>
        <w:rPr>
          <w:color w:val="231F20"/>
          <w:w w:val="105"/>
          <w:sz w:val="16"/>
        </w:rPr>
        <w:t>Black September was demanding the release of Sirhan Sirhan, who had assassinated Bobby Kennedy, a number of Palestinians held in Jordan, all Arab women</w:t>
      </w:r>
      <w:r>
        <w:rPr>
          <w:color w:val="231F20"/>
          <w:spacing w:val="13"/>
          <w:w w:val="105"/>
          <w:sz w:val="16"/>
        </w:rPr>
        <w:t xml:space="preserve"> </w:t>
      </w:r>
      <w:r>
        <w:rPr>
          <w:color w:val="231F20"/>
          <w:w w:val="105"/>
          <w:sz w:val="16"/>
        </w:rPr>
        <w:t>held</w:t>
      </w:r>
      <w:r>
        <w:rPr>
          <w:color w:val="231F20"/>
          <w:spacing w:val="13"/>
          <w:w w:val="105"/>
          <w:sz w:val="16"/>
        </w:rPr>
        <w:t xml:space="preserve"> </w:t>
      </w:r>
      <w:r>
        <w:rPr>
          <w:color w:val="231F20"/>
          <w:w w:val="105"/>
          <w:sz w:val="16"/>
        </w:rPr>
        <w:t>in</w:t>
      </w:r>
      <w:r>
        <w:rPr>
          <w:color w:val="231F20"/>
          <w:spacing w:val="13"/>
          <w:w w:val="105"/>
          <w:sz w:val="16"/>
        </w:rPr>
        <w:t xml:space="preserve"> </w:t>
      </w:r>
      <w:r>
        <w:rPr>
          <w:color w:val="231F20"/>
          <w:w w:val="105"/>
          <w:sz w:val="16"/>
        </w:rPr>
        <w:t>Israel,</w:t>
      </w:r>
      <w:r>
        <w:rPr>
          <w:color w:val="231F20"/>
          <w:spacing w:val="13"/>
          <w:w w:val="105"/>
          <w:sz w:val="16"/>
        </w:rPr>
        <w:t xml:space="preserve"> </w:t>
      </w:r>
      <w:r>
        <w:rPr>
          <w:color w:val="231F20"/>
          <w:w w:val="105"/>
          <w:sz w:val="16"/>
        </w:rPr>
        <w:t>as</w:t>
      </w:r>
      <w:r>
        <w:rPr>
          <w:color w:val="231F20"/>
          <w:spacing w:val="13"/>
          <w:w w:val="105"/>
          <w:sz w:val="16"/>
        </w:rPr>
        <w:t xml:space="preserve"> </w:t>
      </w:r>
      <w:r>
        <w:rPr>
          <w:color w:val="231F20"/>
          <w:w w:val="105"/>
          <w:sz w:val="16"/>
        </w:rPr>
        <w:t>well</w:t>
      </w:r>
      <w:r>
        <w:rPr>
          <w:color w:val="231F20"/>
          <w:spacing w:val="13"/>
          <w:w w:val="105"/>
          <w:sz w:val="16"/>
        </w:rPr>
        <w:t xml:space="preserve"> </w:t>
      </w:r>
      <w:r>
        <w:rPr>
          <w:color w:val="231F20"/>
          <w:w w:val="105"/>
          <w:sz w:val="16"/>
        </w:rPr>
        <w:t>as</w:t>
      </w:r>
      <w:r>
        <w:rPr>
          <w:color w:val="231F20"/>
          <w:spacing w:val="15"/>
          <w:w w:val="105"/>
          <w:sz w:val="16"/>
        </w:rPr>
        <w:t xml:space="preserve"> </w:t>
      </w:r>
      <w:r>
        <w:rPr>
          <w:color w:val="231F20"/>
          <w:w w:val="105"/>
          <w:sz w:val="16"/>
        </w:rPr>
        <w:t>Ulrike</w:t>
      </w:r>
      <w:r>
        <w:rPr>
          <w:color w:val="231F20"/>
          <w:spacing w:val="13"/>
          <w:w w:val="105"/>
          <w:sz w:val="16"/>
        </w:rPr>
        <w:t xml:space="preserve"> </w:t>
      </w:r>
      <w:r>
        <w:rPr>
          <w:color w:val="231F20"/>
          <w:w w:val="105"/>
          <w:sz w:val="16"/>
        </w:rPr>
        <w:t>Meinhof</w:t>
      </w:r>
      <w:r>
        <w:rPr>
          <w:color w:val="231F20"/>
          <w:spacing w:val="13"/>
          <w:w w:val="105"/>
          <w:sz w:val="16"/>
        </w:rPr>
        <w:t xml:space="preserve"> </w:t>
      </w:r>
      <w:r>
        <w:rPr>
          <w:color w:val="231F20"/>
          <w:w w:val="105"/>
          <w:sz w:val="16"/>
        </w:rPr>
        <w:t>and</w:t>
      </w:r>
      <w:r>
        <w:rPr>
          <w:color w:val="231F20"/>
          <w:spacing w:val="13"/>
          <w:w w:val="105"/>
          <w:sz w:val="16"/>
        </w:rPr>
        <w:t xml:space="preserve"> </w:t>
      </w:r>
      <w:r>
        <w:rPr>
          <w:color w:val="231F20"/>
          <w:w w:val="105"/>
          <w:sz w:val="16"/>
        </w:rPr>
        <w:t>Andreas</w:t>
      </w:r>
      <w:r>
        <w:rPr>
          <w:color w:val="231F20"/>
          <w:spacing w:val="13"/>
          <w:w w:val="105"/>
          <w:sz w:val="16"/>
        </w:rPr>
        <w:t xml:space="preserve"> </w:t>
      </w:r>
      <w:r>
        <w:rPr>
          <w:color w:val="231F20"/>
          <w:w w:val="105"/>
          <w:sz w:val="16"/>
        </w:rPr>
        <w:t>Baader</w:t>
      </w:r>
      <w:r>
        <w:rPr>
          <w:color w:val="231F20"/>
          <w:spacing w:val="13"/>
          <w:w w:val="105"/>
          <w:sz w:val="16"/>
        </w:rPr>
        <w:t xml:space="preserve"> </w:t>
      </w:r>
      <w:r>
        <w:rPr>
          <w:color w:val="231F20"/>
          <w:w w:val="105"/>
          <w:sz w:val="16"/>
        </w:rPr>
        <w:t>in</w:t>
      </w:r>
      <w:r>
        <w:rPr>
          <w:color w:val="231F20"/>
          <w:spacing w:val="13"/>
          <w:w w:val="105"/>
          <w:sz w:val="16"/>
        </w:rPr>
        <w:t xml:space="preserve"> </w:t>
      </w:r>
      <w:r>
        <w:rPr>
          <w:color w:val="231F20"/>
          <w:w w:val="105"/>
          <w:sz w:val="16"/>
        </w:rPr>
        <w:t>the</w:t>
      </w:r>
      <w:r>
        <w:rPr>
          <w:color w:val="231F20"/>
          <w:spacing w:val="15"/>
          <w:w w:val="105"/>
          <w:sz w:val="16"/>
        </w:rPr>
        <w:t xml:space="preserve"> </w:t>
      </w:r>
      <w:r>
        <w:rPr>
          <w:color w:val="231F20"/>
          <w:w w:val="105"/>
          <w:sz w:val="16"/>
        </w:rPr>
        <w:t>FRG.</w:t>
      </w:r>
    </w:p>
    <w:p w14:paraId="29D211A0" w14:textId="77777777" w:rsidR="002653E8" w:rsidRDefault="003115E3">
      <w:pPr>
        <w:pStyle w:val="a4"/>
        <w:numPr>
          <w:ilvl w:val="0"/>
          <w:numId w:val="131"/>
        </w:numPr>
        <w:tabs>
          <w:tab w:val="left" w:pos="1287"/>
        </w:tabs>
        <w:ind w:left="1286"/>
        <w:jc w:val="left"/>
        <w:rPr>
          <w:i/>
          <w:sz w:val="16"/>
        </w:rPr>
      </w:pPr>
      <w:r>
        <w:rPr>
          <w:color w:val="231F20"/>
          <w:w w:val="110"/>
          <w:sz w:val="16"/>
        </w:rPr>
        <w:t xml:space="preserve">Patricia McCarty, “The Terrorist </w:t>
      </w:r>
      <w:r>
        <w:rPr>
          <w:color w:val="231F20"/>
          <w:spacing w:val="-3"/>
          <w:w w:val="110"/>
          <w:sz w:val="16"/>
        </w:rPr>
        <w:t>War,”</w:t>
      </w:r>
      <w:r>
        <w:rPr>
          <w:color w:val="231F20"/>
          <w:spacing w:val="15"/>
          <w:w w:val="110"/>
          <w:sz w:val="16"/>
        </w:rPr>
        <w:t xml:space="preserve"> </w:t>
      </w:r>
      <w:r>
        <w:rPr>
          <w:i/>
          <w:color w:val="231F20"/>
          <w:w w:val="110"/>
          <w:sz w:val="16"/>
        </w:rPr>
        <w:t xml:space="preserve">European Stars </w:t>
      </w:r>
      <w:r>
        <w:rPr>
          <w:i/>
          <w:color w:val="231F20"/>
          <w:spacing w:val="1"/>
          <w:w w:val="110"/>
          <w:sz w:val="16"/>
        </w:rPr>
        <w:t xml:space="preserve">and </w:t>
      </w:r>
      <w:r>
        <w:rPr>
          <w:i/>
          <w:color w:val="231F20"/>
          <w:w w:val="110"/>
          <w:sz w:val="16"/>
        </w:rPr>
        <w:t>Stripes,</w:t>
      </w:r>
    </w:p>
    <w:p w14:paraId="7AFAEE9A" w14:textId="77777777" w:rsidR="002653E8" w:rsidRDefault="003115E3">
      <w:pPr>
        <w:spacing w:before="11"/>
        <w:ind w:left="1147"/>
        <w:rPr>
          <w:sz w:val="16"/>
        </w:rPr>
      </w:pPr>
      <w:r>
        <w:rPr>
          <w:color w:val="231F20"/>
          <w:w w:val="115"/>
          <w:sz w:val="16"/>
        </w:rPr>
        <w:t>August 9, 1973.</w:t>
      </w:r>
    </w:p>
    <w:p w14:paraId="07A09517" w14:textId="77777777" w:rsidR="002653E8" w:rsidRDefault="002653E8">
      <w:pPr>
        <w:rPr>
          <w:sz w:val="16"/>
        </w:rPr>
        <w:sectPr w:rsidR="002653E8">
          <w:pgSz w:w="8640" w:h="12960"/>
          <w:pgMar w:top="1080" w:right="0" w:bottom="1040" w:left="0" w:header="0" w:footer="850" w:gutter="0"/>
          <w:cols w:space="720"/>
        </w:sectPr>
      </w:pPr>
    </w:p>
    <w:p w14:paraId="368452AC" w14:textId="77777777" w:rsidR="002653E8" w:rsidRDefault="003115E3">
      <w:pPr>
        <w:pStyle w:val="a3"/>
        <w:spacing w:before="86" w:line="264" w:lineRule="auto"/>
        <w:ind w:left="1328" w:right="1145" w:hanging="1"/>
      </w:pPr>
      <w:r>
        <w:rPr>
          <w:color w:val="231F20"/>
        </w:rPr>
        <w:lastRenderedPageBreak/>
        <w:t>September operations to rapidly taper off.</w:t>
      </w:r>
      <w:r>
        <w:rPr>
          <w:color w:val="231F20"/>
          <w:position w:val="7"/>
          <w:sz w:val="11"/>
        </w:rPr>
        <w:t xml:space="preserve">6 </w:t>
      </w:r>
      <w:r>
        <w:rPr>
          <w:color w:val="231F20"/>
        </w:rPr>
        <w:t>Within a few years, the organization was no more.</w:t>
      </w:r>
    </w:p>
    <w:p w14:paraId="0D64569F" w14:textId="77777777" w:rsidR="002653E8" w:rsidRDefault="003115E3">
      <w:pPr>
        <w:pStyle w:val="a3"/>
        <w:spacing w:line="261" w:lineRule="auto"/>
        <w:ind w:left="1327" w:right="1145" w:firstLine="210"/>
        <w:jc w:val="both"/>
        <w:rPr>
          <w:sz w:val="11"/>
        </w:rPr>
      </w:pPr>
      <w:r>
        <w:rPr>
          <w:color w:val="231F20"/>
          <w:w w:val="105"/>
        </w:rPr>
        <w:t xml:space="preserve">As for the </w:t>
      </w:r>
      <w:r>
        <w:rPr>
          <w:color w:val="231F20"/>
          <w:spacing w:val="-3"/>
          <w:w w:val="105"/>
        </w:rPr>
        <w:t xml:space="preserve">West </w:t>
      </w:r>
      <w:r>
        <w:rPr>
          <w:color w:val="231F20"/>
          <w:w w:val="105"/>
        </w:rPr>
        <w:t>German reaction to the events at the Munich Olympics,</w:t>
      </w:r>
      <w:r>
        <w:rPr>
          <w:color w:val="231F20"/>
          <w:spacing w:val="-13"/>
          <w:w w:val="105"/>
        </w:rPr>
        <w:t xml:space="preserve"> </w:t>
      </w:r>
      <w:r>
        <w:rPr>
          <w:color w:val="231F20"/>
          <w:w w:val="105"/>
        </w:rPr>
        <w:t>the</w:t>
      </w:r>
      <w:r>
        <w:rPr>
          <w:color w:val="231F20"/>
          <w:spacing w:val="-13"/>
          <w:w w:val="105"/>
        </w:rPr>
        <w:t xml:space="preserve"> </w:t>
      </w:r>
      <w:r>
        <w:rPr>
          <w:color w:val="231F20"/>
          <w:w w:val="105"/>
        </w:rPr>
        <w:t>whole</w:t>
      </w:r>
      <w:r>
        <w:rPr>
          <w:color w:val="231F20"/>
          <w:spacing w:val="-13"/>
          <w:w w:val="105"/>
        </w:rPr>
        <w:t xml:space="preserve"> </w:t>
      </w:r>
      <w:r>
        <w:rPr>
          <w:color w:val="231F20"/>
          <w:w w:val="105"/>
        </w:rPr>
        <w:t>mess</w:t>
      </w:r>
      <w:r>
        <w:rPr>
          <w:color w:val="231F20"/>
          <w:spacing w:val="-13"/>
          <w:w w:val="105"/>
        </w:rPr>
        <w:t xml:space="preserve"> </w:t>
      </w:r>
      <w:r>
        <w:rPr>
          <w:color w:val="231F20"/>
          <w:w w:val="105"/>
        </w:rPr>
        <w:t>was</w:t>
      </w:r>
      <w:r>
        <w:rPr>
          <w:color w:val="231F20"/>
          <w:spacing w:val="-13"/>
          <w:w w:val="105"/>
        </w:rPr>
        <w:t xml:space="preserve"> </w:t>
      </w:r>
      <w:r>
        <w:rPr>
          <w:color w:val="231F20"/>
          <w:w w:val="105"/>
        </w:rPr>
        <w:t>seen</w:t>
      </w:r>
      <w:r>
        <w:rPr>
          <w:color w:val="231F20"/>
          <w:spacing w:val="-13"/>
          <w:w w:val="105"/>
        </w:rPr>
        <w:t xml:space="preserve"> </w:t>
      </w:r>
      <w:r>
        <w:rPr>
          <w:color w:val="231F20"/>
          <w:w w:val="105"/>
        </w:rPr>
        <w:t>as</w:t>
      </w:r>
      <w:r>
        <w:rPr>
          <w:color w:val="231F20"/>
          <w:spacing w:val="-13"/>
          <w:w w:val="105"/>
        </w:rPr>
        <w:t xml:space="preserve"> </w:t>
      </w:r>
      <w:r>
        <w:rPr>
          <w:color w:val="231F20"/>
          <w:w w:val="105"/>
        </w:rPr>
        <w:t>a</w:t>
      </w:r>
      <w:r>
        <w:rPr>
          <w:color w:val="231F20"/>
          <w:spacing w:val="-13"/>
          <w:w w:val="105"/>
        </w:rPr>
        <w:t xml:space="preserve"> </w:t>
      </w:r>
      <w:r>
        <w:rPr>
          <w:color w:val="231F20"/>
          <w:w w:val="105"/>
        </w:rPr>
        <w:t>great</w:t>
      </w:r>
      <w:r>
        <w:rPr>
          <w:color w:val="231F20"/>
          <w:spacing w:val="-13"/>
          <w:w w:val="105"/>
        </w:rPr>
        <w:t xml:space="preserve"> </w:t>
      </w:r>
      <w:r>
        <w:rPr>
          <w:color w:val="231F20"/>
          <w:w w:val="105"/>
        </w:rPr>
        <w:t>embarrassment.</w:t>
      </w:r>
      <w:r>
        <w:rPr>
          <w:color w:val="231F20"/>
          <w:spacing w:val="-13"/>
          <w:w w:val="105"/>
        </w:rPr>
        <w:t xml:space="preserve"> </w:t>
      </w:r>
      <w:r>
        <w:rPr>
          <w:color w:val="231F20"/>
          <w:w w:val="105"/>
        </w:rPr>
        <w:t>One</w:t>
      </w:r>
      <w:r>
        <w:rPr>
          <w:color w:val="231F20"/>
          <w:spacing w:val="-13"/>
          <w:w w:val="105"/>
        </w:rPr>
        <w:t xml:space="preserve"> </w:t>
      </w:r>
      <w:r>
        <w:rPr>
          <w:color w:val="231F20"/>
          <w:w w:val="105"/>
        </w:rPr>
        <w:t xml:space="preserve">result was the decision to establish a crack special operations unit, the </w:t>
      </w:r>
      <w:r>
        <w:rPr>
          <w:i/>
          <w:color w:val="231F20"/>
          <w:w w:val="105"/>
        </w:rPr>
        <w:t>Grenzschutzgruppe</w:t>
      </w:r>
      <w:r>
        <w:rPr>
          <w:i/>
          <w:color w:val="231F20"/>
          <w:spacing w:val="-15"/>
          <w:w w:val="105"/>
        </w:rPr>
        <w:t xml:space="preserve"> </w:t>
      </w:r>
      <w:r>
        <w:rPr>
          <w:rFonts w:ascii="Bookman Old Style" w:hAnsi="Bookman Old Style"/>
          <w:i/>
          <w:color w:val="231F20"/>
          <w:w w:val="105"/>
        </w:rPr>
        <w:t>9</w:t>
      </w:r>
      <w:r>
        <w:rPr>
          <w:rFonts w:ascii="Bookman Old Style" w:hAnsi="Bookman Old Style"/>
          <w:i/>
          <w:color w:val="231F20"/>
          <w:spacing w:val="-32"/>
          <w:w w:val="105"/>
        </w:rPr>
        <w:t xml:space="preserve"> </w:t>
      </w:r>
      <w:r>
        <w:rPr>
          <w:color w:val="231F20"/>
          <w:w w:val="105"/>
        </w:rPr>
        <w:t>(literally,</w:t>
      </w:r>
      <w:r>
        <w:rPr>
          <w:color w:val="231F20"/>
          <w:spacing w:val="-15"/>
          <w:w w:val="105"/>
        </w:rPr>
        <w:t xml:space="preserve"> </w:t>
      </w:r>
      <w:r>
        <w:rPr>
          <w:color w:val="231F20"/>
          <w:w w:val="105"/>
        </w:rPr>
        <w:t>“Border</w:t>
      </w:r>
      <w:r>
        <w:rPr>
          <w:color w:val="231F20"/>
          <w:spacing w:val="-15"/>
          <w:w w:val="105"/>
        </w:rPr>
        <w:t xml:space="preserve"> </w:t>
      </w:r>
      <w:r>
        <w:rPr>
          <w:color w:val="231F20"/>
          <w:w w:val="105"/>
        </w:rPr>
        <w:t>Protection</w:t>
      </w:r>
      <w:r>
        <w:rPr>
          <w:color w:val="231F20"/>
          <w:spacing w:val="-15"/>
          <w:w w:val="105"/>
        </w:rPr>
        <w:t xml:space="preserve"> </w:t>
      </w:r>
      <w:r>
        <w:rPr>
          <w:color w:val="231F20"/>
          <w:w w:val="105"/>
        </w:rPr>
        <w:t>Group</w:t>
      </w:r>
      <w:r>
        <w:rPr>
          <w:color w:val="231F20"/>
          <w:spacing w:val="-14"/>
          <w:w w:val="105"/>
        </w:rPr>
        <w:t xml:space="preserve"> </w:t>
      </w:r>
      <w:r>
        <w:rPr>
          <w:color w:val="231F20"/>
          <w:spacing w:val="-6"/>
          <w:w w:val="105"/>
        </w:rPr>
        <w:t>9”</w:t>
      </w:r>
      <w:r>
        <w:rPr>
          <w:color w:val="231F20"/>
          <w:spacing w:val="-15"/>
          <w:w w:val="105"/>
        </w:rPr>
        <w:t xml:space="preserve"> </w:t>
      </w:r>
      <w:r>
        <w:rPr>
          <w:color w:val="231F20"/>
          <w:w w:val="105"/>
        </w:rPr>
        <w:t>but</w:t>
      </w:r>
      <w:r>
        <w:rPr>
          <w:color w:val="231F20"/>
          <w:spacing w:val="-15"/>
          <w:w w:val="105"/>
        </w:rPr>
        <w:t xml:space="preserve"> </w:t>
      </w:r>
      <w:r>
        <w:rPr>
          <w:color w:val="231F20"/>
          <w:w w:val="105"/>
        </w:rPr>
        <w:t>shortened</w:t>
      </w:r>
      <w:r>
        <w:rPr>
          <w:color w:val="231F20"/>
          <w:spacing w:val="-22"/>
          <w:w w:val="105"/>
        </w:rPr>
        <w:t xml:space="preserve"> </w:t>
      </w:r>
      <w:r>
        <w:rPr>
          <w:color w:val="231F20"/>
          <w:w w:val="105"/>
        </w:rPr>
        <w:t>to</w:t>
      </w:r>
      <w:r>
        <w:rPr>
          <w:color w:val="231F20"/>
          <w:spacing w:val="-22"/>
          <w:w w:val="105"/>
        </w:rPr>
        <w:t xml:space="preserve"> </w:t>
      </w:r>
      <w:r>
        <w:rPr>
          <w:color w:val="231F20"/>
          <w:w w:val="105"/>
        </w:rPr>
        <w:t>GSG-9),</w:t>
      </w:r>
      <w:r>
        <w:rPr>
          <w:color w:val="231F20"/>
          <w:spacing w:val="-22"/>
          <w:w w:val="105"/>
        </w:rPr>
        <w:t xml:space="preserve"> </w:t>
      </w:r>
      <w:r>
        <w:rPr>
          <w:color w:val="231F20"/>
          <w:w w:val="105"/>
        </w:rPr>
        <w:t>announced</w:t>
      </w:r>
      <w:r>
        <w:rPr>
          <w:color w:val="231F20"/>
          <w:spacing w:val="-22"/>
          <w:w w:val="105"/>
        </w:rPr>
        <w:t xml:space="preserve"> </w:t>
      </w:r>
      <w:r>
        <w:rPr>
          <w:color w:val="231F20"/>
          <w:w w:val="105"/>
        </w:rPr>
        <w:t>within</w:t>
      </w:r>
      <w:r>
        <w:rPr>
          <w:color w:val="231F20"/>
          <w:spacing w:val="-22"/>
          <w:w w:val="105"/>
        </w:rPr>
        <w:t xml:space="preserve"> </w:t>
      </w:r>
      <w:r>
        <w:rPr>
          <w:color w:val="231F20"/>
          <w:w w:val="105"/>
        </w:rPr>
        <w:t>weeks</w:t>
      </w:r>
      <w:r>
        <w:rPr>
          <w:color w:val="231F20"/>
          <w:spacing w:val="-22"/>
          <w:w w:val="105"/>
        </w:rPr>
        <w:t xml:space="preserve"> </w:t>
      </w:r>
      <w:r>
        <w:rPr>
          <w:color w:val="231F20"/>
          <w:w w:val="105"/>
        </w:rPr>
        <w:t>of</w:t>
      </w:r>
      <w:r>
        <w:rPr>
          <w:color w:val="231F20"/>
          <w:spacing w:val="-22"/>
          <w:w w:val="105"/>
        </w:rPr>
        <w:t xml:space="preserve"> </w:t>
      </w:r>
      <w:r>
        <w:rPr>
          <w:color w:val="231F20"/>
          <w:w w:val="105"/>
        </w:rPr>
        <w:t>the</w:t>
      </w:r>
      <w:r>
        <w:rPr>
          <w:color w:val="231F20"/>
          <w:spacing w:val="-22"/>
          <w:w w:val="105"/>
        </w:rPr>
        <w:t xml:space="preserve"> </w:t>
      </w:r>
      <w:r>
        <w:rPr>
          <w:color w:val="231F20"/>
          <w:w w:val="105"/>
        </w:rPr>
        <w:t>Fürstenfeldbruck</w:t>
      </w:r>
      <w:r>
        <w:rPr>
          <w:color w:val="231F20"/>
          <w:spacing w:val="-22"/>
          <w:w w:val="105"/>
        </w:rPr>
        <w:t xml:space="preserve"> </w:t>
      </w:r>
      <w:r>
        <w:rPr>
          <w:color w:val="231F20"/>
          <w:w w:val="105"/>
        </w:rPr>
        <w:t xml:space="preserve">blunder. Led by Ulrich </w:t>
      </w:r>
      <w:r>
        <w:rPr>
          <w:color w:val="231F20"/>
          <w:spacing w:val="-3"/>
          <w:w w:val="105"/>
        </w:rPr>
        <w:t xml:space="preserve">Wegener, </w:t>
      </w:r>
      <w:r>
        <w:rPr>
          <w:color w:val="231F20"/>
          <w:w w:val="105"/>
        </w:rPr>
        <w:t xml:space="preserve">Genscher’s liaison officer with the </w:t>
      </w:r>
      <w:r>
        <w:rPr>
          <w:color w:val="231F20"/>
          <w:spacing w:val="2"/>
          <w:w w:val="105"/>
        </w:rPr>
        <w:t xml:space="preserve">BGS, </w:t>
      </w:r>
      <w:r>
        <w:rPr>
          <w:color w:val="231F20"/>
          <w:w w:val="105"/>
        </w:rPr>
        <w:t>who</w:t>
      </w:r>
      <w:r>
        <w:rPr>
          <w:color w:val="231F20"/>
          <w:spacing w:val="-4"/>
          <w:w w:val="105"/>
        </w:rPr>
        <w:t xml:space="preserve"> </w:t>
      </w:r>
      <w:r>
        <w:rPr>
          <w:color w:val="231F20"/>
          <w:w w:val="105"/>
        </w:rPr>
        <w:t>had</w:t>
      </w:r>
      <w:r>
        <w:rPr>
          <w:color w:val="231F20"/>
          <w:spacing w:val="-4"/>
          <w:w w:val="105"/>
        </w:rPr>
        <w:t xml:space="preserve"> </w:t>
      </w:r>
      <w:r>
        <w:rPr>
          <w:color w:val="231F20"/>
          <w:w w:val="105"/>
        </w:rPr>
        <w:t>been</w:t>
      </w:r>
      <w:r>
        <w:rPr>
          <w:color w:val="231F20"/>
          <w:spacing w:val="-4"/>
          <w:w w:val="105"/>
        </w:rPr>
        <w:t xml:space="preserve"> </w:t>
      </w:r>
      <w:r>
        <w:rPr>
          <w:color w:val="231F20"/>
          <w:w w:val="105"/>
        </w:rPr>
        <w:t>present</w:t>
      </w:r>
      <w:r>
        <w:rPr>
          <w:color w:val="231F20"/>
          <w:spacing w:val="-4"/>
          <w:w w:val="105"/>
        </w:rPr>
        <w:t xml:space="preserve"> </w:t>
      </w:r>
      <w:r>
        <w:rPr>
          <w:color w:val="231F20"/>
          <w:w w:val="105"/>
        </w:rPr>
        <w:t>on</w:t>
      </w:r>
      <w:r>
        <w:rPr>
          <w:color w:val="231F20"/>
          <w:spacing w:val="-4"/>
          <w:w w:val="105"/>
        </w:rPr>
        <w:t xml:space="preserve"> </w:t>
      </w:r>
      <w:r>
        <w:rPr>
          <w:color w:val="231F20"/>
          <w:w w:val="105"/>
        </w:rPr>
        <w:t>the</w:t>
      </w:r>
      <w:r>
        <w:rPr>
          <w:color w:val="231F20"/>
          <w:spacing w:val="-4"/>
          <w:w w:val="105"/>
        </w:rPr>
        <w:t xml:space="preserve"> </w:t>
      </w:r>
      <w:r>
        <w:rPr>
          <w:color w:val="231F20"/>
          <w:w w:val="105"/>
        </w:rPr>
        <w:t>scene</w:t>
      </w:r>
      <w:r>
        <w:rPr>
          <w:color w:val="231F20"/>
          <w:spacing w:val="-4"/>
          <w:w w:val="105"/>
        </w:rPr>
        <w:t xml:space="preserve"> </w:t>
      </w:r>
      <w:r>
        <w:rPr>
          <w:color w:val="231F20"/>
          <w:w w:val="105"/>
        </w:rPr>
        <w:t>at</w:t>
      </w:r>
      <w:r>
        <w:rPr>
          <w:color w:val="231F20"/>
          <w:spacing w:val="-4"/>
          <w:w w:val="105"/>
        </w:rPr>
        <w:t xml:space="preserve"> </w:t>
      </w:r>
      <w:r>
        <w:rPr>
          <w:color w:val="231F20"/>
          <w:w w:val="105"/>
        </w:rPr>
        <w:t>the</w:t>
      </w:r>
      <w:r>
        <w:rPr>
          <w:color w:val="231F20"/>
          <w:spacing w:val="-4"/>
          <w:w w:val="105"/>
        </w:rPr>
        <w:t xml:space="preserve"> </w:t>
      </w:r>
      <w:r>
        <w:rPr>
          <w:color w:val="231F20"/>
          <w:w w:val="105"/>
        </w:rPr>
        <w:t>airfield,</w:t>
      </w:r>
      <w:r>
        <w:rPr>
          <w:color w:val="231F20"/>
          <w:spacing w:val="-4"/>
          <w:w w:val="105"/>
        </w:rPr>
        <w:t xml:space="preserve"> </w:t>
      </w:r>
      <w:r>
        <w:rPr>
          <w:color w:val="231F20"/>
          <w:w w:val="105"/>
        </w:rPr>
        <w:t>it</w:t>
      </w:r>
      <w:r>
        <w:rPr>
          <w:color w:val="231F20"/>
          <w:spacing w:val="-4"/>
          <w:w w:val="105"/>
        </w:rPr>
        <w:t xml:space="preserve"> </w:t>
      </w:r>
      <w:r>
        <w:rPr>
          <w:color w:val="231F20"/>
          <w:w w:val="105"/>
        </w:rPr>
        <w:t>would</w:t>
      </w:r>
      <w:r>
        <w:rPr>
          <w:color w:val="231F20"/>
          <w:spacing w:val="-4"/>
          <w:w w:val="105"/>
        </w:rPr>
        <w:t xml:space="preserve"> </w:t>
      </w:r>
      <w:r>
        <w:rPr>
          <w:color w:val="231F20"/>
          <w:w w:val="105"/>
        </w:rPr>
        <w:t>receive</w:t>
      </w:r>
      <w:r>
        <w:rPr>
          <w:color w:val="231F20"/>
          <w:spacing w:val="-4"/>
          <w:w w:val="105"/>
        </w:rPr>
        <w:t xml:space="preserve"> </w:t>
      </w:r>
      <w:r>
        <w:rPr>
          <w:color w:val="231F20"/>
          <w:w w:val="105"/>
        </w:rPr>
        <w:t xml:space="preserve">its initial training from Britain’s SAS and Israel’s </w:t>
      </w:r>
      <w:r>
        <w:rPr>
          <w:i/>
          <w:color w:val="231F20"/>
          <w:w w:val="105"/>
        </w:rPr>
        <w:t>Sayeret Mat’kal</w:t>
      </w:r>
      <w:r>
        <w:rPr>
          <w:color w:val="231F20"/>
          <w:w w:val="105"/>
        </w:rPr>
        <w:t xml:space="preserve">. As its name implies, the </w:t>
      </w:r>
      <w:r>
        <w:rPr>
          <w:color w:val="231F20"/>
          <w:spacing w:val="1"/>
          <w:w w:val="105"/>
        </w:rPr>
        <w:t xml:space="preserve">GSG-9 </w:t>
      </w:r>
      <w:r>
        <w:rPr>
          <w:color w:val="231F20"/>
          <w:w w:val="105"/>
        </w:rPr>
        <w:t xml:space="preserve">fell under the umbrella of the Border Police, not the armed forces, legally enabling it to attempt long-term </w:t>
      </w:r>
      <w:r>
        <w:rPr>
          <w:color w:val="231F20"/>
          <w:spacing w:val="-3"/>
          <w:w w:val="105"/>
        </w:rPr>
        <w:t xml:space="preserve">“deep </w:t>
      </w:r>
      <w:r>
        <w:rPr>
          <w:color w:val="231F20"/>
          <w:w w:val="105"/>
        </w:rPr>
        <w:t xml:space="preserve">cover” infiltration of the radical scene. The </w:t>
      </w:r>
      <w:r>
        <w:rPr>
          <w:color w:val="231F20"/>
          <w:spacing w:val="1"/>
          <w:w w:val="105"/>
        </w:rPr>
        <w:t xml:space="preserve">GSG-9 </w:t>
      </w:r>
      <w:r>
        <w:rPr>
          <w:color w:val="231F20"/>
          <w:w w:val="105"/>
        </w:rPr>
        <w:t xml:space="preserve">would eventually win international recognition as one of the most fearsome “counterterrorism” units in the world, some of its operatives receiving additional training in </w:t>
      </w:r>
      <w:r>
        <w:rPr>
          <w:color w:val="231F20"/>
          <w:spacing w:val="-4"/>
          <w:w w:val="105"/>
        </w:rPr>
        <w:t xml:space="preserve">NATO’s </w:t>
      </w:r>
      <w:r>
        <w:rPr>
          <w:color w:val="231F20"/>
          <w:w w:val="105"/>
        </w:rPr>
        <w:t xml:space="preserve">International Long Range Reconnaissance Patrol </w:t>
      </w:r>
      <w:r>
        <w:rPr>
          <w:color w:val="231F20"/>
          <w:spacing w:val="1"/>
          <w:w w:val="105"/>
        </w:rPr>
        <w:t>(LRRP)</w:t>
      </w:r>
      <w:r>
        <w:rPr>
          <w:color w:val="231F20"/>
          <w:spacing w:val="15"/>
          <w:w w:val="105"/>
        </w:rPr>
        <w:t xml:space="preserve"> </w:t>
      </w:r>
      <w:r>
        <w:rPr>
          <w:color w:val="231F20"/>
          <w:w w:val="105"/>
        </w:rPr>
        <w:t>School.</w:t>
      </w:r>
      <w:r>
        <w:rPr>
          <w:color w:val="231F20"/>
          <w:w w:val="105"/>
          <w:position w:val="7"/>
          <w:sz w:val="11"/>
        </w:rPr>
        <w:t>7</w:t>
      </w:r>
    </w:p>
    <w:p w14:paraId="5D5BC5D6" w14:textId="77777777" w:rsidR="002653E8" w:rsidRDefault="003115E3">
      <w:pPr>
        <w:pStyle w:val="a3"/>
        <w:spacing w:before="15" w:line="264" w:lineRule="auto"/>
        <w:ind w:left="1327" w:right="1146" w:firstLine="210"/>
        <w:jc w:val="both"/>
      </w:pPr>
      <w:r>
        <w:rPr>
          <w:color w:val="231F20"/>
          <w:w w:val="105"/>
        </w:rPr>
        <w:t>Of more immediate consequence was the crackdown against the FRG’s small Arab population.</w:t>
      </w:r>
    </w:p>
    <w:p w14:paraId="24C185CD" w14:textId="77777777" w:rsidR="002653E8" w:rsidRDefault="003115E3">
      <w:pPr>
        <w:pStyle w:val="a3"/>
        <w:spacing w:line="264" w:lineRule="auto"/>
        <w:ind w:left="1327" w:right="1145" w:firstLine="209"/>
        <w:jc w:val="both"/>
        <w:rPr>
          <w:sz w:val="11"/>
        </w:rPr>
      </w:pPr>
      <w:r>
        <w:rPr>
          <w:color w:val="231F20"/>
          <w:w w:val="105"/>
        </w:rPr>
        <w:t>Earlier</w:t>
      </w:r>
      <w:r>
        <w:rPr>
          <w:color w:val="231F20"/>
          <w:spacing w:val="-8"/>
          <w:w w:val="105"/>
        </w:rPr>
        <w:t xml:space="preserve"> </w:t>
      </w:r>
      <w:r>
        <w:rPr>
          <w:color w:val="231F20"/>
          <w:w w:val="105"/>
        </w:rPr>
        <w:t>that</w:t>
      </w:r>
      <w:r>
        <w:rPr>
          <w:color w:val="231F20"/>
          <w:spacing w:val="-8"/>
          <w:w w:val="105"/>
        </w:rPr>
        <w:t xml:space="preserve"> </w:t>
      </w:r>
      <w:r>
        <w:rPr>
          <w:color w:val="231F20"/>
          <w:w w:val="105"/>
        </w:rPr>
        <w:t>year,</w:t>
      </w:r>
      <w:r>
        <w:rPr>
          <w:color w:val="231F20"/>
          <w:spacing w:val="-7"/>
          <w:w w:val="105"/>
        </w:rPr>
        <w:t xml:space="preserve"> </w:t>
      </w:r>
      <w:r>
        <w:rPr>
          <w:color w:val="231F20"/>
          <w:w w:val="105"/>
        </w:rPr>
        <w:t>Black</w:t>
      </w:r>
      <w:r>
        <w:rPr>
          <w:color w:val="231F20"/>
          <w:spacing w:val="-8"/>
          <w:w w:val="105"/>
        </w:rPr>
        <w:t xml:space="preserve"> </w:t>
      </w:r>
      <w:r>
        <w:rPr>
          <w:color w:val="231F20"/>
          <w:w w:val="105"/>
        </w:rPr>
        <w:t>September</w:t>
      </w:r>
      <w:r>
        <w:rPr>
          <w:color w:val="231F20"/>
          <w:spacing w:val="-8"/>
          <w:w w:val="105"/>
        </w:rPr>
        <w:t xml:space="preserve"> </w:t>
      </w:r>
      <w:r>
        <w:rPr>
          <w:color w:val="231F20"/>
          <w:w w:val="105"/>
        </w:rPr>
        <w:t>had</w:t>
      </w:r>
      <w:r>
        <w:rPr>
          <w:color w:val="231F20"/>
          <w:spacing w:val="-8"/>
          <w:w w:val="105"/>
        </w:rPr>
        <w:t xml:space="preserve"> </w:t>
      </w:r>
      <w:r>
        <w:rPr>
          <w:color w:val="231F20"/>
          <w:w w:val="105"/>
        </w:rPr>
        <w:t>already</w:t>
      </w:r>
      <w:r>
        <w:rPr>
          <w:color w:val="231F20"/>
          <w:spacing w:val="-8"/>
          <w:w w:val="105"/>
        </w:rPr>
        <w:t xml:space="preserve"> </w:t>
      </w:r>
      <w:r>
        <w:rPr>
          <w:color w:val="231F20"/>
          <w:w w:val="105"/>
        </w:rPr>
        <w:t>carried</w:t>
      </w:r>
      <w:r>
        <w:rPr>
          <w:color w:val="231F20"/>
          <w:spacing w:val="-8"/>
          <w:w w:val="105"/>
        </w:rPr>
        <w:t xml:space="preserve"> </w:t>
      </w:r>
      <w:r>
        <w:rPr>
          <w:color w:val="231F20"/>
          <w:w w:val="105"/>
        </w:rPr>
        <w:t>out</w:t>
      </w:r>
      <w:r>
        <w:rPr>
          <w:color w:val="231F20"/>
          <w:spacing w:val="-8"/>
          <w:w w:val="105"/>
        </w:rPr>
        <w:t xml:space="preserve"> </w:t>
      </w:r>
      <w:r>
        <w:rPr>
          <w:color w:val="231F20"/>
          <w:w w:val="105"/>
        </w:rPr>
        <w:t>less</w:t>
      </w:r>
      <w:r>
        <w:rPr>
          <w:color w:val="231F20"/>
          <w:spacing w:val="-8"/>
          <w:w w:val="105"/>
        </w:rPr>
        <w:t xml:space="preserve"> </w:t>
      </w:r>
      <w:r>
        <w:rPr>
          <w:color w:val="231F20"/>
          <w:w w:val="105"/>
        </w:rPr>
        <w:t>dramatic</w:t>
      </w:r>
      <w:r>
        <w:rPr>
          <w:color w:val="231F20"/>
          <w:spacing w:val="-7"/>
          <w:w w:val="105"/>
        </w:rPr>
        <w:t xml:space="preserve"> </w:t>
      </w:r>
      <w:r>
        <w:rPr>
          <w:color w:val="231F20"/>
          <w:w w:val="105"/>
        </w:rPr>
        <w:t>attacks</w:t>
      </w:r>
      <w:r>
        <w:rPr>
          <w:color w:val="231F20"/>
          <w:spacing w:val="-7"/>
          <w:w w:val="105"/>
        </w:rPr>
        <w:t xml:space="preserve"> </w:t>
      </w:r>
      <w:r>
        <w:rPr>
          <w:color w:val="231F20"/>
          <w:w w:val="105"/>
        </w:rPr>
        <w:t>in</w:t>
      </w:r>
      <w:r>
        <w:rPr>
          <w:color w:val="231F20"/>
          <w:spacing w:val="-7"/>
          <w:w w:val="105"/>
        </w:rPr>
        <w:t xml:space="preserve"> </w:t>
      </w:r>
      <w:r>
        <w:rPr>
          <w:color w:val="231F20"/>
          <w:spacing w:val="-3"/>
          <w:w w:val="105"/>
        </w:rPr>
        <w:t>West</w:t>
      </w:r>
      <w:r>
        <w:rPr>
          <w:color w:val="231F20"/>
          <w:spacing w:val="-7"/>
          <w:w w:val="105"/>
        </w:rPr>
        <w:t xml:space="preserve"> </w:t>
      </w:r>
      <w:r>
        <w:rPr>
          <w:color w:val="231F20"/>
          <w:w w:val="105"/>
        </w:rPr>
        <w:t>Germany.</w:t>
      </w:r>
      <w:r>
        <w:rPr>
          <w:color w:val="231F20"/>
          <w:spacing w:val="-7"/>
          <w:w w:val="105"/>
        </w:rPr>
        <w:t xml:space="preserve"> </w:t>
      </w:r>
      <w:r>
        <w:rPr>
          <w:color w:val="231F20"/>
          <w:w w:val="105"/>
        </w:rPr>
        <w:t>On</w:t>
      </w:r>
      <w:r>
        <w:rPr>
          <w:color w:val="231F20"/>
          <w:spacing w:val="-7"/>
          <w:w w:val="105"/>
        </w:rPr>
        <w:t xml:space="preserve"> </w:t>
      </w:r>
      <w:r>
        <w:rPr>
          <w:color w:val="231F20"/>
          <w:w w:val="105"/>
        </w:rPr>
        <w:t>February</w:t>
      </w:r>
      <w:r>
        <w:rPr>
          <w:color w:val="231F20"/>
          <w:spacing w:val="-7"/>
          <w:w w:val="105"/>
        </w:rPr>
        <w:t xml:space="preserve"> </w:t>
      </w:r>
      <w:r>
        <w:rPr>
          <w:color w:val="231F20"/>
          <w:w w:val="105"/>
        </w:rPr>
        <w:t>6,</w:t>
      </w:r>
      <w:r>
        <w:rPr>
          <w:color w:val="231F20"/>
          <w:spacing w:val="-7"/>
          <w:w w:val="105"/>
        </w:rPr>
        <w:t xml:space="preserve"> </w:t>
      </w:r>
      <w:r>
        <w:rPr>
          <w:color w:val="231F20"/>
          <w:w w:val="105"/>
        </w:rPr>
        <w:t>the</w:t>
      </w:r>
      <w:r>
        <w:rPr>
          <w:color w:val="231F20"/>
          <w:spacing w:val="-7"/>
          <w:w w:val="105"/>
        </w:rPr>
        <w:t xml:space="preserve"> </w:t>
      </w:r>
      <w:r>
        <w:rPr>
          <w:color w:val="231F20"/>
          <w:w w:val="105"/>
        </w:rPr>
        <w:t>group</w:t>
      </w:r>
      <w:r>
        <w:rPr>
          <w:color w:val="231F20"/>
          <w:spacing w:val="-7"/>
          <w:w w:val="105"/>
        </w:rPr>
        <w:t xml:space="preserve"> </w:t>
      </w:r>
      <w:r>
        <w:rPr>
          <w:color w:val="231F20"/>
          <w:w w:val="105"/>
        </w:rPr>
        <w:t>had</w:t>
      </w:r>
      <w:r>
        <w:rPr>
          <w:color w:val="231F20"/>
          <w:spacing w:val="-7"/>
          <w:w w:val="105"/>
        </w:rPr>
        <w:t xml:space="preserve"> </w:t>
      </w:r>
      <w:r>
        <w:rPr>
          <w:color w:val="231F20"/>
          <w:w w:val="105"/>
        </w:rPr>
        <w:t>assassinated</w:t>
      </w:r>
      <w:r>
        <w:rPr>
          <w:color w:val="231F20"/>
          <w:spacing w:val="-19"/>
          <w:w w:val="105"/>
        </w:rPr>
        <w:t xml:space="preserve"> </w:t>
      </w:r>
      <w:r>
        <w:rPr>
          <w:color w:val="231F20"/>
          <w:w w:val="105"/>
        </w:rPr>
        <w:t>five</w:t>
      </w:r>
      <w:r>
        <w:rPr>
          <w:color w:val="231F20"/>
          <w:spacing w:val="-19"/>
          <w:w w:val="105"/>
        </w:rPr>
        <w:t xml:space="preserve"> </w:t>
      </w:r>
      <w:r>
        <w:rPr>
          <w:color w:val="231F20"/>
          <w:w w:val="105"/>
        </w:rPr>
        <w:t>Jordanians,</w:t>
      </w:r>
      <w:r>
        <w:rPr>
          <w:color w:val="231F20"/>
          <w:spacing w:val="-19"/>
          <w:w w:val="105"/>
        </w:rPr>
        <w:t xml:space="preserve"> </w:t>
      </w:r>
      <w:r>
        <w:rPr>
          <w:color w:val="231F20"/>
          <w:w w:val="105"/>
        </w:rPr>
        <w:t>believed</w:t>
      </w:r>
      <w:r>
        <w:rPr>
          <w:color w:val="231F20"/>
          <w:spacing w:val="-19"/>
          <w:w w:val="105"/>
        </w:rPr>
        <w:t xml:space="preserve"> </w:t>
      </w:r>
      <w:r>
        <w:rPr>
          <w:color w:val="231F20"/>
          <w:w w:val="105"/>
        </w:rPr>
        <w:t>to</w:t>
      </w:r>
      <w:r>
        <w:rPr>
          <w:color w:val="231F20"/>
          <w:spacing w:val="-19"/>
          <w:w w:val="105"/>
        </w:rPr>
        <w:t xml:space="preserve"> </w:t>
      </w:r>
      <w:r>
        <w:rPr>
          <w:color w:val="231F20"/>
          <w:w w:val="105"/>
        </w:rPr>
        <w:t>be</w:t>
      </w:r>
      <w:r>
        <w:rPr>
          <w:color w:val="231F20"/>
          <w:spacing w:val="-19"/>
          <w:w w:val="105"/>
        </w:rPr>
        <w:t xml:space="preserve"> </w:t>
      </w:r>
      <w:r>
        <w:rPr>
          <w:color w:val="231F20"/>
          <w:w w:val="105"/>
        </w:rPr>
        <w:t>intelligence</w:t>
      </w:r>
      <w:r>
        <w:rPr>
          <w:color w:val="231F20"/>
          <w:spacing w:val="-19"/>
          <w:w w:val="105"/>
        </w:rPr>
        <w:t xml:space="preserve"> </w:t>
      </w:r>
      <w:r>
        <w:rPr>
          <w:color w:val="231F20"/>
          <w:w w:val="105"/>
        </w:rPr>
        <w:t>officers</w:t>
      </w:r>
      <w:r>
        <w:rPr>
          <w:color w:val="231F20"/>
          <w:spacing w:val="-19"/>
          <w:w w:val="105"/>
        </w:rPr>
        <w:t xml:space="preserve"> </w:t>
      </w:r>
      <w:r>
        <w:rPr>
          <w:color w:val="231F20"/>
          <w:w w:val="105"/>
        </w:rPr>
        <w:t>who</w:t>
      </w:r>
      <w:r>
        <w:rPr>
          <w:color w:val="231F20"/>
          <w:spacing w:val="-19"/>
          <w:w w:val="105"/>
        </w:rPr>
        <w:t xml:space="preserve"> </w:t>
      </w:r>
      <w:r>
        <w:rPr>
          <w:color w:val="231F20"/>
          <w:w w:val="105"/>
        </w:rPr>
        <w:t>had</w:t>
      </w:r>
      <w:r>
        <w:rPr>
          <w:color w:val="231F20"/>
          <w:spacing w:val="-19"/>
          <w:w w:val="105"/>
        </w:rPr>
        <w:t xml:space="preserve"> </w:t>
      </w:r>
      <w:r>
        <w:rPr>
          <w:color w:val="231F20"/>
          <w:w w:val="105"/>
        </w:rPr>
        <w:t>been active in the civil war, near Cologne.</w:t>
      </w:r>
      <w:r>
        <w:rPr>
          <w:color w:val="231F20"/>
          <w:w w:val="105"/>
          <w:position w:val="7"/>
          <w:sz w:val="11"/>
        </w:rPr>
        <w:t xml:space="preserve">8 </w:t>
      </w:r>
      <w:r>
        <w:rPr>
          <w:color w:val="231F20"/>
          <w:w w:val="105"/>
        </w:rPr>
        <w:t>Then, on February 8, a bomb had gone off in a factory belonging to the Strüver Corporation near Hamburg. The factory produced electrical generators for Israeli aircraft.</w:t>
      </w:r>
      <w:r>
        <w:rPr>
          <w:color w:val="231F20"/>
          <w:w w:val="105"/>
          <w:position w:val="7"/>
          <w:sz w:val="11"/>
        </w:rPr>
        <w:t xml:space="preserve">9 </w:t>
      </w:r>
      <w:r>
        <w:rPr>
          <w:color w:val="231F20"/>
          <w:w w:val="105"/>
        </w:rPr>
        <w:t>On February 22, the Esso Oil pipeline near Hamburg had been similarly</w:t>
      </w:r>
      <w:r>
        <w:rPr>
          <w:color w:val="231F20"/>
          <w:spacing w:val="6"/>
          <w:w w:val="105"/>
        </w:rPr>
        <w:t xml:space="preserve"> </w:t>
      </w:r>
      <w:r>
        <w:rPr>
          <w:color w:val="231F20"/>
          <w:w w:val="105"/>
        </w:rPr>
        <w:t>damaged.</w:t>
      </w:r>
      <w:r>
        <w:rPr>
          <w:color w:val="231F20"/>
          <w:w w:val="105"/>
          <w:position w:val="7"/>
          <w:sz w:val="11"/>
        </w:rPr>
        <w:t>10</w:t>
      </w:r>
    </w:p>
    <w:p w14:paraId="2F36C1E5" w14:textId="77777777" w:rsidR="002653E8" w:rsidRDefault="003115E3">
      <w:pPr>
        <w:pStyle w:val="a3"/>
        <w:spacing w:line="264" w:lineRule="auto"/>
        <w:ind w:left="1327" w:right="1146" w:firstLine="210"/>
        <w:jc w:val="both"/>
      </w:pPr>
      <w:r>
        <w:rPr>
          <w:color w:val="231F20"/>
          <w:spacing w:val="-4"/>
        </w:rPr>
        <w:t xml:space="preserve">Now, </w:t>
      </w:r>
      <w:r>
        <w:rPr>
          <w:color w:val="231F20"/>
        </w:rPr>
        <w:t xml:space="preserve">with the Munich attack passing under the glare of the Olympic spotlight, the state moved into action; raids were carried out, and the </w:t>
      </w:r>
      <w:r>
        <w:rPr>
          <w:color w:val="231F20"/>
          <w:spacing w:val="-3"/>
        </w:rPr>
        <w:t xml:space="preserve">FRG’s </w:t>
      </w:r>
      <w:r>
        <w:rPr>
          <w:color w:val="231F20"/>
        </w:rPr>
        <w:t xml:space="preserve">4,000 Arab students and </w:t>
      </w:r>
      <w:r>
        <w:rPr>
          <w:color w:val="231F20"/>
          <w:spacing w:val="-3"/>
        </w:rPr>
        <w:t xml:space="preserve">37,000 </w:t>
      </w:r>
      <w:r>
        <w:rPr>
          <w:color w:val="231F20"/>
        </w:rPr>
        <w:t xml:space="preserve">Arab “guest workers” came  under intense scrutiny. </w:t>
      </w:r>
      <w:r>
        <w:rPr>
          <w:color w:val="231F20"/>
          <w:spacing w:val="1"/>
        </w:rPr>
        <w:t xml:space="preserve">In </w:t>
      </w:r>
      <w:r>
        <w:rPr>
          <w:color w:val="231F20"/>
        </w:rPr>
        <w:t>short order, approximately one hundred Palestinian activists were expelled, and two Fatah front</w:t>
      </w:r>
      <w:r>
        <w:rPr>
          <w:color w:val="231F20"/>
          <w:spacing w:val="-1"/>
        </w:rPr>
        <w:t xml:space="preserve"> </w:t>
      </w:r>
      <w:r>
        <w:rPr>
          <w:color w:val="231F20"/>
        </w:rPr>
        <w:t>groups—the</w:t>
      </w:r>
    </w:p>
    <w:p w14:paraId="62B93F69" w14:textId="77777777" w:rsidR="002653E8" w:rsidRDefault="00000000">
      <w:pPr>
        <w:pStyle w:val="a3"/>
        <w:rPr>
          <w:sz w:val="13"/>
        </w:rPr>
      </w:pPr>
      <w:r>
        <w:rPr>
          <w:noProof w:val="0"/>
        </w:rPr>
        <w:pict w14:anchorId="7D552533">
          <v:line id="_x0000_s2485" style="position:absolute;z-index:5200;mso-wrap-distance-left:0;mso-wrap-distance-right:0;mso-position-horizontal-relative:page" from="66.4pt,9.85pt" to="138.4pt,9.85pt" strokecolor="#231f20" strokeweight=".5pt">
            <w10:wrap type="topAndBottom" anchorx="page"/>
          </v:line>
        </w:pict>
      </w:r>
    </w:p>
    <w:p w14:paraId="77C29B73" w14:textId="77777777" w:rsidR="002653E8" w:rsidRDefault="003115E3">
      <w:pPr>
        <w:pStyle w:val="a4"/>
        <w:numPr>
          <w:ilvl w:val="0"/>
          <w:numId w:val="131"/>
        </w:numPr>
        <w:tabs>
          <w:tab w:val="left" w:pos="1467"/>
        </w:tabs>
        <w:spacing w:before="53"/>
        <w:ind w:left="1466"/>
        <w:jc w:val="left"/>
        <w:rPr>
          <w:sz w:val="16"/>
        </w:rPr>
      </w:pPr>
      <w:r>
        <w:rPr>
          <w:color w:val="231F20"/>
          <w:w w:val="115"/>
          <w:sz w:val="16"/>
        </w:rPr>
        <w:t>O’Neill,</w:t>
      </w:r>
      <w:r>
        <w:rPr>
          <w:color w:val="231F20"/>
          <w:spacing w:val="5"/>
          <w:w w:val="115"/>
          <w:sz w:val="16"/>
        </w:rPr>
        <w:t xml:space="preserve"> </w:t>
      </w:r>
      <w:r>
        <w:rPr>
          <w:color w:val="231F20"/>
          <w:spacing w:val="-5"/>
          <w:w w:val="115"/>
          <w:sz w:val="16"/>
        </w:rPr>
        <w:t>151.</w:t>
      </w:r>
    </w:p>
    <w:p w14:paraId="7FD271BA" w14:textId="77777777" w:rsidR="002653E8" w:rsidRDefault="003115E3">
      <w:pPr>
        <w:pStyle w:val="a4"/>
        <w:numPr>
          <w:ilvl w:val="0"/>
          <w:numId w:val="131"/>
        </w:numPr>
        <w:tabs>
          <w:tab w:val="left" w:pos="1467"/>
        </w:tabs>
        <w:spacing w:before="51" w:line="254" w:lineRule="auto"/>
        <w:ind w:left="1327" w:right="1855" w:firstLine="1"/>
        <w:jc w:val="left"/>
        <w:rPr>
          <w:sz w:val="16"/>
        </w:rPr>
      </w:pPr>
      <w:r>
        <w:rPr>
          <w:color w:val="231F20"/>
          <w:w w:val="105"/>
          <w:sz w:val="16"/>
        </w:rPr>
        <w:t>“Terrorism 101—Counter-Terrorism Organizations: Germany GSG-9,”</w:t>
      </w:r>
      <w:hyperlink r:id="rId170">
        <w:r>
          <w:rPr>
            <w:color w:val="231F20"/>
            <w:w w:val="105"/>
            <w:sz w:val="16"/>
          </w:rPr>
          <w:t xml:space="preserve"> </w:t>
        </w:r>
        <w:r>
          <w:rPr>
            <w:color w:val="231F20"/>
            <w:w w:val="104"/>
            <w:sz w:val="16"/>
          </w:rPr>
          <w:t>h</w:t>
        </w:r>
        <w:r>
          <w:rPr>
            <w:color w:val="231F20"/>
            <w:spacing w:val="5"/>
            <w:w w:val="102"/>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w w:val="140"/>
            <w:sz w:val="16"/>
          </w:rPr>
          <w:t>.</w:t>
        </w:r>
        <w:r>
          <w:rPr>
            <w:color w:val="231F20"/>
            <w:spacing w:val="1"/>
            <w:w w:val="102"/>
            <w:sz w:val="16"/>
          </w:rPr>
          <w:t>t</w:t>
        </w:r>
        <w:r>
          <w:rPr>
            <w:color w:val="231F20"/>
            <w:w w:val="94"/>
            <w:sz w:val="16"/>
          </w:rPr>
          <w:t>e</w:t>
        </w:r>
        <w:r>
          <w:rPr>
            <w:color w:val="231F20"/>
            <w:spacing w:val="2"/>
            <w:w w:val="97"/>
            <w:sz w:val="16"/>
          </w:rPr>
          <w:t>r</w:t>
        </w:r>
        <w:r>
          <w:rPr>
            <w:color w:val="231F20"/>
            <w:w w:val="97"/>
            <w:sz w:val="16"/>
          </w:rPr>
          <w:t>r</w:t>
        </w:r>
        <w:r>
          <w:rPr>
            <w:color w:val="231F20"/>
            <w:w w:val="108"/>
            <w:sz w:val="16"/>
          </w:rPr>
          <w:t>o</w:t>
        </w:r>
        <w:r>
          <w:rPr>
            <w:color w:val="231F20"/>
            <w:spacing w:val="2"/>
            <w:sz w:val="16"/>
          </w:rPr>
          <w:t>r</w:t>
        </w:r>
        <w:r>
          <w:rPr>
            <w:color w:val="231F20"/>
            <w:spacing w:val="1"/>
            <w:sz w:val="16"/>
          </w:rPr>
          <w:t>i</w:t>
        </w:r>
        <w:r>
          <w:rPr>
            <w:color w:val="231F20"/>
            <w:w w:val="93"/>
            <w:sz w:val="16"/>
          </w:rPr>
          <w:t>s</w:t>
        </w:r>
        <w:r>
          <w:rPr>
            <w:color w:val="231F20"/>
            <w:w w:val="103"/>
            <w:sz w:val="16"/>
          </w:rPr>
          <w:t>m</w:t>
        </w:r>
        <w:r>
          <w:rPr>
            <w:color w:val="231F20"/>
            <w:spacing w:val="-6"/>
            <w:w w:val="104"/>
            <w:sz w:val="16"/>
          </w:rPr>
          <w:t>10</w:t>
        </w:r>
        <w:r>
          <w:rPr>
            <w:color w:val="231F20"/>
            <w:spacing w:val="-3"/>
            <w:w w:val="104"/>
            <w:sz w:val="16"/>
          </w:rPr>
          <w:t>1</w:t>
        </w:r>
        <w:r>
          <w:rPr>
            <w:color w:val="231F20"/>
            <w:w w:val="140"/>
            <w:sz w:val="16"/>
          </w:rPr>
          <w:t>.</w:t>
        </w:r>
        <w:r>
          <w:rPr>
            <w:color w:val="231F20"/>
            <w:w w:val="108"/>
            <w:sz w:val="16"/>
          </w:rPr>
          <w:t>o</w:t>
        </w:r>
        <w:r>
          <w:rPr>
            <w:color w:val="231F20"/>
            <w:spacing w:val="1"/>
            <w:w w:val="97"/>
            <w:sz w:val="16"/>
          </w:rPr>
          <w:t>r</w:t>
        </w:r>
        <w:r>
          <w:rPr>
            <w:color w:val="231F20"/>
            <w:spacing w:val="8"/>
            <w:w w:val="104"/>
            <w:sz w:val="16"/>
          </w:rPr>
          <w:t>g</w:t>
        </w:r>
        <w:r>
          <w:rPr>
            <w:color w:val="231F20"/>
            <w:spacing w:val="-2"/>
            <w:w w:val="58"/>
            <w:sz w:val="16"/>
          </w:rPr>
          <w:t>/</w:t>
        </w:r>
        <w:r>
          <w:rPr>
            <w:color w:val="231F20"/>
            <w:w w:val="104"/>
            <w:sz w:val="16"/>
          </w:rPr>
          <w:t>c</w:t>
        </w:r>
        <w:r>
          <w:rPr>
            <w:color w:val="231F20"/>
            <w:w w:val="108"/>
            <w:sz w:val="16"/>
          </w:rPr>
          <w:t>o</w:t>
        </w:r>
        <w:r>
          <w:rPr>
            <w:color w:val="231F20"/>
            <w:spacing w:val="3"/>
            <w:w w:val="104"/>
            <w:sz w:val="16"/>
          </w:rPr>
          <w:t>u</w:t>
        </w:r>
        <w:r>
          <w:rPr>
            <w:color w:val="231F20"/>
            <w:w w:val="102"/>
            <w:sz w:val="16"/>
          </w:rPr>
          <w:t>n</w:t>
        </w:r>
        <w:r>
          <w:rPr>
            <w:color w:val="231F20"/>
            <w:spacing w:val="1"/>
            <w:w w:val="102"/>
            <w:sz w:val="16"/>
          </w:rPr>
          <w:t>t</w:t>
        </w:r>
        <w:r>
          <w:rPr>
            <w:color w:val="231F20"/>
            <w:w w:val="94"/>
            <w:sz w:val="16"/>
          </w:rPr>
          <w:t>e</w:t>
        </w:r>
        <w:r>
          <w:rPr>
            <w:color w:val="231F20"/>
            <w:spacing w:val="1"/>
            <w:w w:val="97"/>
            <w:sz w:val="16"/>
          </w:rPr>
          <w:t>r</w:t>
        </w:r>
        <w:r>
          <w:rPr>
            <w:color w:val="231F20"/>
            <w:w w:val="58"/>
            <w:sz w:val="16"/>
          </w:rPr>
          <w:t>/</w:t>
        </w:r>
        <w:r>
          <w:rPr>
            <w:color w:val="231F20"/>
            <w:spacing w:val="5"/>
            <w:w w:val="132"/>
            <w:sz w:val="16"/>
          </w:rPr>
          <w:t>G</w:t>
        </w:r>
        <w:r>
          <w:rPr>
            <w:color w:val="231F20"/>
            <w:w w:val="94"/>
            <w:sz w:val="16"/>
          </w:rPr>
          <w:t>e</w:t>
        </w:r>
        <w:r>
          <w:rPr>
            <w:color w:val="231F20"/>
            <w:spacing w:val="2"/>
            <w:w w:val="97"/>
            <w:sz w:val="16"/>
          </w:rPr>
          <w:t>r</w:t>
        </w:r>
        <w:r>
          <w:rPr>
            <w:color w:val="231F20"/>
            <w:spacing w:val="2"/>
            <w:w w:val="103"/>
            <w:sz w:val="16"/>
          </w:rPr>
          <w:t>m</w:t>
        </w:r>
        <w:r>
          <w:rPr>
            <w:color w:val="231F20"/>
            <w:spacing w:val="3"/>
            <w:w w:val="106"/>
            <w:sz w:val="16"/>
          </w:rPr>
          <w:t>a</w:t>
        </w:r>
        <w:r>
          <w:rPr>
            <w:color w:val="231F20"/>
            <w:spacing w:val="-1"/>
            <w:w w:val="103"/>
            <w:sz w:val="16"/>
          </w:rPr>
          <w:t>n</w:t>
        </w:r>
        <w:r>
          <w:rPr>
            <w:color w:val="231F20"/>
            <w:spacing w:val="-10"/>
            <w:w w:val="102"/>
            <w:sz w:val="16"/>
          </w:rPr>
          <w:t>y</w:t>
        </w:r>
        <w:r>
          <w:rPr>
            <w:color w:val="231F20"/>
            <w:spacing w:val="1"/>
            <w:w w:val="140"/>
            <w:sz w:val="16"/>
          </w:rPr>
          <w:t>.</w:t>
        </w:r>
        <w:r>
          <w:rPr>
            <w:color w:val="231F20"/>
            <w:w w:val="103"/>
            <w:sz w:val="16"/>
          </w:rPr>
          <w:t>h</w:t>
        </w:r>
        <w:r>
          <w:rPr>
            <w:color w:val="231F20"/>
            <w:spacing w:val="3"/>
            <w:w w:val="103"/>
            <w:sz w:val="16"/>
          </w:rPr>
          <w:t>tm</w:t>
        </w:r>
        <w:r>
          <w:rPr>
            <w:color w:val="231F20"/>
            <w:w w:val="106"/>
            <w:sz w:val="16"/>
          </w:rPr>
          <w:t>l</w:t>
        </w:r>
        <w:r>
          <w:rPr>
            <w:color w:val="231F20"/>
            <w:w w:val="140"/>
            <w:sz w:val="16"/>
          </w:rPr>
          <w:t>.</w:t>
        </w:r>
      </w:hyperlink>
    </w:p>
    <w:p w14:paraId="4761DC97" w14:textId="77777777" w:rsidR="002653E8" w:rsidRDefault="003115E3">
      <w:pPr>
        <w:pStyle w:val="a4"/>
        <w:numPr>
          <w:ilvl w:val="0"/>
          <w:numId w:val="131"/>
        </w:numPr>
        <w:tabs>
          <w:tab w:val="left" w:pos="1467"/>
        </w:tabs>
        <w:ind w:left="1466"/>
        <w:jc w:val="left"/>
        <w:rPr>
          <w:sz w:val="16"/>
        </w:rPr>
      </w:pPr>
      <w:r>
        <w:rPr>
          <w:color w:val="231F20"/>
          <w:w w:val="110"/>
          <w:sz w:val="16"/>
        </w:rPr>
        <w:t>Edgar</w:t>
      </w:r>
      <w:r>
        <w:rPr>
          <w:color w:val="231F20"/>
          <w:spacing w:val="5"/>
          <w:w w:val="110"/>
          <w:sz w:val="16"/>
        </w:rPr>
        <w:t xml:space="preserve"> </w:t>
      </w:r>
      <w:r>
        <w:rPr>
          <w:color w:val="231F20"/>
          <w:w w:val="110"/>
          <w:sz w:val="16"/>
        </w:rPr>
        <w:t>O’Balance,</w:t>
      </w:r>
      <w:r>
        <w:rPr>
          <w:color w:val="231F20"/>
          <w:spacing w:val="5"/>
          <w:w w:val="110"/>
          <w:sz w:val="16"/>
        </w:rPr>
        <w:t xml:space="preserve"> </w:t>
      </w:r>
      <w:r>
        <w:rPr>
          <w:i/>
          <w:color w:val="231F20"/>
          <w:w w:val="110"/>
          <w:sz w:val="16"/>
        </w:rPr>
        <w:t>Arab</w:t>
      </w:r>
      <w:r>
        <w:rPr>
          <w:i/>
          <w:color w:val="231F20"/>
          <w:spacing w:val="5"/>
          <w:w w:val="110"/>
          <w:sz w:val="16"/>
        </w:rPr>
        <w:t xml:space="preserve"> </w:t>
      </w:r>
      <w:r>
        <w:rPr>
          <w:i/>
          <w:color w:val="231F20"/>
          <w:spacing w:val="1"/>
          <w:w w:val="110"/>
          <w:sz w:val="16"/>
        </w:rPr>
        <w:t>Guerilla</w:t>
      </w:r>
      <w:r>
        <w:rPr>
          <w:i/>
          <w:color w:val="231F20"/>
          <w:spacing w:val="5"/>
          <w:w w:val="110"/>
          <w:sz w:val="16"/>
        </w:rPr>
        <w:t xml:space="preserve"> </w:t>
      </w:r>
      <w:r>
        <w:rPr>
          <w:i/>
          <w:color w:val="231F20"/>
          <w:w w:val="110"/>
          <w:sz w:val="16"/>
        </w:rPr>
        <w:t>Power</w:t>
      </w:r>
      <w:r>
        <w:rPr>
          <w:i/>
          <w:color w:val="231F20"/>
          <w:spacing w:val="5"/>
          <w:w w:val="110"/>
          <w:sz w:val="16"/>
        </w:rPr>
        <w:t xml:space="preserve"> </w:t>
      </w:r>
      <w:r>
        <w:rPr>
          <w:color w:val="231F20"/>
          <w:w w:val="110"/>
          <w:sz w:val="16"/>
        </w:rPr>
        <w:t>(London:</w:t>
      </w:r>
      <w:r>
        <w:rPr>
          <w:color w:val="231F20"/>
          <w:spacing w:val="5"/>
          <w:w w:val="110"/>
          <w:sz w:val="16"/>
        </w:rPr>
        <w:t xml:space="preserve"> </w:t>
      </w:r>
      <w:r>
        <w:rPr>
          <w:color w:val="231F20"/>
          <w:w w:val="110"/>
          <w:sz w:val="16"/>
        </w:rPr>
        <w:t>Faber</w:t>
      </w:r>
      <w:r>
        <w:rPr>
          <w:color w:val="231F20"/>
          <w:spacing w:val="5"/>
          <w:w w:val="110"/>
          <w:sz w:val="16"/>
        </w:rPr>
        <w:t xml:space="preserve"> </w:t>
      </w:r>
      <w:r>
        <w:rPr>
          <w:color w:val="231F20"/>
          <w:w w:val="110"/>
          <w:sz w:val="16"/>
        </w:rPr>
        <w:t>and</w:t>
      </w:r>
      <w:r>
        <w:rPr>
          <w:color w:val="231F20"/>
          <w:spacing w:val="5"/>
          <w:w w:val="110"/>
          <w:sz w:val="16"/>
        </w:rPr>
        <w:t xml:space="preserve"> </w:t>
      </w:r>
      <w:r>
        <w:rPr>
          <w:color w:val="231F20"/>
          <w:w w:val="110"/>
          <w:sz w:val="16"/>
        </w:rPr>
        <w:t>Faber,</w:t>
      </w:r>
      <w:r>
        <w:rPr>
          <w:color w:val="231F20"/>
          <w:spacing w:val="5"/>
          <w:w w:val="110"/>
          <w:sz w:val="16"/>
        </w:rPr>
        <w:t xml:space="preserve"> </w:t>
      </w:r>
      <w:r>
        <w:rPr>
          <w:color w:val="231F20"/>
          <w:spacing w:val="-4"/>
          <w:w w:val="110"/>
          <w:sz w:val="16"/>
        </w:rPr>
        <w:t>1974),</w:t>
      </w:r>
      <w:r>
        <w:rPr>
          <w:color w:val="231F20"/>
          <w:spacing w:val="5"/>
          <w:w w:val="110"/>
          <w:sz w:val="16"/>
        </w:rPr>
        <w:t xml:space="preserve"> </w:t>
      </w:r>
      <w:r>
        <w:rPr>
          <w:color w:val="231F20"/>
          <w:spacing w:val="-5"/>
          <w:w w:val="110"/>
          <w:sz w:val="16"/>
        </w:rPr>
        <w:t>215.</w:t>
      </w:r>
    </w:p>
    <w:p w14:paraId="1058559D" w14:textId="77777777" w:rsidR="002653E8" w:rsidRDefault="003115E3">
      <w:pPr>
        <w:pStyle w:val="a4"/>
        <w:numPr>
          <w:ilvl w:val="0"/>
          <w:numId w:val="131"/>
        </w:numPr>
        <w:tabs>
          <w:tab w:val="left" w:pos="1467"/>
        </w:tabs>
        <w:spacing w:before="52" w:line="254" w:lineRule="auto"/>
        <w:ind w:left="1327" w:right="1417" w:firstLine="0"/>
        <w:jc w:val="left"/>
        <w:rPr>
          <w:sz w:val="16"/>
        </w:rPr>
      </w:pPr>
      <w:r>
        <w:rPr>
          <w:color w:val="231F20"/>
          <w:spacing w:val="3"/>
          <w:w w:val="105"/>
          <w:sz w:val="16"/>
        </w:rPr>
        <w:t xml:space="preserve">MIPT </w:t>
      </w:r>
      <w:r>
        <w:rPr>
          <w:color w:val="231F20"/>
          <w:w w:val="105"/>
          <w:sz w:val="16"/>
        </w:rPr>
        <w:t xml:space="preserve">Terrorism Knowledge Base, “Black September Attacked Business Target (Feb. 8, 1972, Federal Republic of Germany),” </w:t>
      </w:r>
      <w:hyperlink r:id="rId171">
        <w:r>
          <w:rPr>
            <w:color w:val="231F20"/>
            <w:w w:val="103"/>
            <w:sz w:val="16"/>
          </w:rPr>
          <w:t>h</w:t>
        </w:r>
        <w:r>
          <w:rPr>
            <w:color w:val="231F20"/>
            <w:spacing w:val="5"/>
            <w:w w:val="103"/>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w w:val="140"/>
            <w:sz w:val="16"/>
          </w:rPr>
          <w:t>.</w:t>
        </w:r>
        <w:r>
          <w:rPr>
            <w:color w:val="231F20"/>
            <w:spacing w:val="3"/>
            <w:w w:val="102"/>
            <w:sz w:val="16"/>
          </w:rPr>
          <w:t>t</w:t>
        </w:r>
        <w:r>
          <w:rPr>
            <w:color w:val="231F20"/>
            <w:w w:val="109"/>
            <w:sz w:val="16"/>
          </w:rPr>
          <w:t>k</w:t>
        </w:r>
        <w:r>
          <w:rPr>
            <w:color w:val="231F20"/>
            <w:spacing w:val="-1"/>
            <w:w w:val="105"/>
            <w:sz w:val="16"/>
          </w:rPr>
          <w:t>b</w:t>
        </w:r>
        <w:r>
          <w:rPr>
            <w:color w:val="231F20"/>
            <w:w w:val="140"/>
            <w:sz w:val="16"/>
          </w:rPr>
          <w:t>.</w:t>
        </w:r>
        <w:r>
          <w:rPr>
            <w:color w:val="231F20"/>
            <w:w w:val="108"/>
            <w:sz w:val="16"/>
          </w:rPr>
          <w:t>o</w:t>
        </w:r>
        <w:r>
          <w:rPr>
            <w:color w:val="231F20"/>
            <w:spacing w:val="1"/>
            <w:w w:val="97"/>
            <w:sz w:val="16"/>
          </w:rPr>
          <w:t>r</w:t>
        </w:r>
        <w:r>
          <w:rPr>
            <w:color w:val="231F20"/>
            <w:spacing w:val="8"/>
            <w:w w:val="104"/>
            <w:sz w:val="16"/>
          </w:rPr>
          <w:t>g</w:t>
        </w:r>
        <w:r>
          <w:rPr>
            <w:color w:val="231F20"/>
            <w:spacing w:val="10"/>
            <w:w w:val="58"/>
            <w:sz w:val="16"/>
          </w:rPr>
          <w:t>/</w:t>
        </w:r>
        <w:r>
          <w:rPr>
            <w:color w:val="231F20"/>
            <w:spacing w:val="5"/>
            <w:w w:val="106"/>
            <w:sz w:val="16"/>
          </w:rPr>
          <w:t>I</w:t>
        </w:r>
        <w:r>
          <w:rPr>
            <w:color w:val="231F20"/>
            <w:w w:val="103"/>
            <w:sz w:val="16"/>
          </w:rPr>
          <w:t>n</w:t>
        </w:r>
        <w:r>
          <w:rPr>
            <w:color w:val="231F20"/>
            <w:spacing w:val="1"/>
            <w:w w:val="104"/>
            <w:sz w:val="16"/>
          </w:rPr>
          <w:t>c</w:t>
        </w:r>
        <w:r>
          <w:rPr>
            <w:color w:val="231F20"/>
            <w:w w:val="103"/>
            <w:sz w:val="16"/>
          </w:rPr>
          <w:t>id</w:t>
        </w:r>
        <w:r>
          <w:rPr>
            <w:color w:val="231F20"/>
            <w:w w:val="94"/>
            <w:sz w:val="16"/>
          </w:rPr>
          <w:t>e</w:t>
        </w:r>
        <w:r>
          <w:rPr>
            <w:color w:val="231F20"/>
            <w:w w:val="102"/>
            <w:sz w:val="16"/>
          </w:rPr>
          <w:t>n</w:t>
        </w:r>
        <w:r>
          <w:rPr>
            <w:color w:val="231F20"/>
            <w:spacing w:val="2"/>
            <w:w w:val="102"/>
            <w:sz w:val="16"/>
          </w:rPr>
          <w:t>t</w:t>
        </w:r>
        <w:r>
          <w:rPr>
            <w:color w:val="231F20"/>
            <w:spacing w:val="-1"/>
            <w:w w:val="140"/>
            <w:sz w:val="16"/>
          </w:rPr>
          <w:t>.</w:t>
        </w:r>
        <w:r>
          <w:rPr>
            <w:color w:val="231F20"/>
            <w:w w:val="108"/>
            <w:sz w:val="16"/>
          </w:rPr>
          <w:t>j</w:t>
        </w:r>
        <w:r>
          <w:rPr>
            <w:color w:val="231F20"/>
            <w:w w:val="93"/>
            <w:sz w:val="16"/>
          </w:rPr>
          <w:t>s</w:t>
        </w:r>
        <w:r>
          <w:rPr>
            <w:color w:val="231F20"/>
            <w:spacing w:val="-2"/>
            <w:w w:val="103"/>
            <w:sz w:val="16"/>
          </w:rPr>
          <w:t>p</w:t>
        </w:r>
        <w:r>
          <w:rPr>
            <w:color w:val="231F20"/>
            <w:w w:val="109"/>
            <w:sz w:val="16"/>
          </w:rPr>
          <w:t>?</w:t>
        </w:r>
        <w:r>
          <w:rPr>
            <w:color w:val="231F20"/>
            <w:spacing w:val="3"/>
            <w:w w:val="103"/>
            <w:sz w:val="16"/>
          </w:rPr>
          <w:t>i</w:t>
        </w:r>
        <w:r>
          <w:rPr>
            <w:color w:val="231F20"/>
            <w:w w:val="103"/>
            <w:sz w:val="16"/>
          </w:rPr>
          <w:t>n</w:t>
        </w:r>
        <w:r>
          <w:rPr>
            <w:color w:val="231F20"/>
            <w:spacing w:val="2"/>
            <w:w w:val="104"/>
            <w:sz w:val="16"/>
          </w:rPr>
          <w:t>c</w:t>
        </w:r>
        <w:r>
          <w:rPr>
            <w:color w:val="231F20"/>
            <w:spacing w:val="6"/>
            <w:w w:val="116"/>
            <w:sz w:val="16"/>
          </w:rPr>
          <w:t>I</w:t>
        </w:r>
        <w:r>
          <w:rPr>
            <w:color w:val="231F20"/>
            <w:spacing w:val="5"/>
            <w:w w:val="116"/>
            <w:sz w:val="16"/>
          </w:rPr>
          <w:t>D</w:t>
        </w:r>
        <w:r>
          <w:rPr>
            <w:color w:val="231F20"/>
            <w:spacing w:val="2"/>
            <w:w w:val="104"/>
            <w:sz w:val="16"/>
          </w:rPr>
          <w:t>=</w:t>
        </w:r>
        <w:r>
          <w:rPr>
            <w:color w:val="231F20"/>
            <w:spacing w:val="-2"/>
            <w:w w:val="104"/>
            <w:sz w:val="16"/>
          </w:rPr>
          <w:t>7</w:t>
        </w:r>
        <w:r>
          <w:rPr>
            <w:color w:val="231F20"/>
            <w:spacing w:val="1"/>
            <w:w w:val="104"/>
            <w:sz w:val="16"/>
          </w:rPr>
          <w:t>9</w:t>
        </w:r>
        <w:r>
          <w:rPr>
            <w:color w:val="231F20"/>
            <w:spacing w:val="-1"/>
            <w:w w:val="104"/>
            <w:sz w:val="16"/>
          </w:rPr>
          <w:t>0</w:t>
        </w:r>
        <w:r>
          <w:rPr>
            <w:color w:val="231F20"/>
            <w:w w:val="140"/>
            <w:sz w:val="16"/>
          </w:rPr>
          <w:t>.</w:t>
        </w:r>
      </w:hyperlink>
    </w:p>
    <w:p w14:paraId="27D929D3" w14:textId="77777777" w:rsidR="002653E8" w:rsidRDefault="003115E3">
      <w:pPr>
        <w:pStyle w:val="a4"/>
        <w:numPr>
          <w:ilvl w:val="0"/>
          <w:numId w:val="131"/>
        </w:numPr>
        <w:tabs>
          <w:tab w:val="left" w:pos="1555"/>
        </w:tabs>
        <w:ind w:left="1554" w:hanging="227"/>
        <w:jc w:val="left"/>
        <w:rPr>
          <w:sz w:val="16"/>
        </w:rPr>
      </w:pPr>
      <w:r>
        <w:rPr>
          <w:color w:val="231F20"/>
          <w:w w:val="115"/>
          <w:sz w:val="16"/>
        </w:rPr>
        <w:t>Dobson,</w:t>
      </w:r>
      <w:r>
        <w:rPr>
          <w:color w:val="231F20"/>
          <w:spacing w:val="5"/>
          <w:w w:val="115"/>
          <w:sz w:val="16"/>
        </w:rPr>
        <w:t xml:space="preserve"> </w:t>
      </w:r>
      <w:r>
        <w:rPr>
          <w:color w:val="231F20"/>
          <w:spacing w:val="-4"/>
          <w:w w:val="115"/>
          <w:sz w:val="16"/>
        </w:rPr>
        <w:t>65.</w:t>
      </w:r>
    </w:p>
    <w:p w14:paraId="5126498F" w14:textId="77777777" w:rsidR="002653E8" w:rsidRDefault="002653E8">
      <w:pPr>
        <w:rPr>
          <w:sz w:val="16"/>
        </w:rPr>
        <w:sectPr w:rsidR="002653E8">
          <w:footerReference w:type="even" r:id="rId172"/>
          <w:footerReference w:type="default" r:id="rId173"/>
          <w:pgSz w:w="8640" w:h="12960"/>
          <w:pgMar w:top="1060" w:right="0" w:bottom="1040" w:left="0" w:header="0" w:footer="850" w:gutter="0"/>
          <w:pgNumType w:start="193"/>
          <w:cols w:space="720"/>
        </w:sectPr>
      </w:pPr>
    </w:p>
    <w:p w14:paraId="44E0DED9" w14:textId="77777777" w:rsidR="002653E8" w:rsidRDefault="003115E3">
      <w:pPr>
        <w:pStyle w:val="a3"/>
        <w:spacing w:before="86" w:line="264" w:lineRule="auto"/>
        <w:ind w:left="1147" w:right="1580" w:hanging="1"/>
        <w:rPr>
          <w:sz w:val="11"/>
        </w:rPr>
      </w:pPr>
      <w:r>
        <w:rPr>
          <w:color w:val="231F20"/>
        </w:rPr>
        <w:lastRenderedPageBreak/>
        <w:t>General Union of Palestinian Students and the General Union of Palestinian Workers—found themselves banned.</w:t>
      </w:r>
      <w:r>
        <w:rPr>
          <w:color w:val="231F20"/>
          <w:position w:val="7"/>
          <w:sz w:val="11"/>
        </w:rPr>
        <w:t>1</w:t>
      </w:r>
    </w:p>
    <w:p w14:paraId="01D1F3E4" w14:textId="77777777" w:rsidR="002653E8" w:rsidRDefault="003115E3">
      <w:pPr>
        <w:pStyle w:val="a3"/>
        <w:spacing w:line="264" w:lineRule="auto"/>
        <w:ind w:left="1147" w:right="1326" w:firstLine="210"/>
        <w:jc w:val="both"/>
      </w:pPr>
      <w:r>
        <w:rPr>
          <w:color w:val="231F20"/>
        </w:rPr>
        <w:t xml:space="preserve">At the same time, within the radical left, some saw the events of September 5 quite differently. </w:t>
      </w:r>
      <w:r>
        <w:rPr>
          <w:color w:val="231F20"/>
          <w:spacing w:val="-8"/>
        </w:rPr>
        <w:t xml:space="preserve">To </w:t>
      </w:r>
      <w:r>
        <w:rPr>
          <w:color w:val="231F20"/>
        </w:rPr>
        <w:t>anti-imperialists and others who sympathized with Black September, the operation had been a legitimate one, even if it had ended in tragedy. Some would even argue that the operation had been a success, for although no prisoners had been freed and so many people had died, the world could no longer pretend it did not know about the plight of the Palestinians.</w:t>
      </w:r>
      <w:r>
        <w:rPr>
          <w:color w:val="231F20"/>
          <w:position w:val="7"/>
          <w:sz w:val="11"/>
        </w:rPr>
        <w:t xml:space="preserve">2 </w:t>
      </w:r>
      <w:r>
        <w:rPr>
          <w:color w:val="231F20"/>
        </w:rPr>
        <w:t xml:space="preserve">Furthermore, it was argued that blame for the Israeli athletes’ death lay squarely with the </w:t>
      </w:r>
      <w:r>
        <w:rPr>
          <w:color w:val="231F20"/>
          <w:spacing w:val="-3"/>
        </w:rPr>
        <w:t xml:space="preserve">West </w:t>
      </w:r>
      <w:r>
        <w:rPr>
          <w:color w:val="231F20"/>
        </w:rPr>
        <w:t>German police, who had attempted a double-cross which simply blew up in their</w:t>
      </w:r>
      <w:r>
        <w:rPr>
          <w:color w:val="231F20"/>
          <w:spacing w:val="32"/>
        </w:rPr>
        <w:t xml:space="preserve"> </w:t>
      </w:r>
      <w:r>
        <w:rPr>
          <w:color w:val="231F20"/>
        </w:rPr>
        <w:t>faces.</w:t>
      </w:r>
    </w:p>
    <w:p w14:paraId="6E86291F" w14:textId="77777777" w:rsidR="002653E8" w:rsidRDefault="003115E3">
      <w:pPr>
        <w:pStyle w:val="a3"/>
        <w:spacing w:line="264" w:lineRule="auto"/>
        <w:ind w:left="1147" w:right="1325" w:firstLine="210"/>
        <w:jc w:val="both"/>
        <w:rPr>
          <w:sz w:val="11"/>
        </w:rPr>
      </w:pPr>
      <w:r>
        <w:rPr>
          <w:color w:val="231F20"/>
        </w:rPr>
        <w:t xml:space="preserve">Sympathetic observers pointed out that the Palestinians had certainly not wanted to kill their hostages. They hoped rather to free their own comrades. This argument was more difficult to dismiss in </w:t>
      </w:r>
      <w:r>
        <w:rPr>
          <w:color w:val="231F20"/>
          <w:spacing w:val="-4"/>
        </w:rPr>
        <w:t xml:space="preserve">1972 </w:t>
      </w:r>
      <w:r>
        <w:rPr>
          <w:color w:val="231F20"/>
        </w:rPr>
        <w:t xml:space="preserve">than it would be </w:t>
      </w:r>
      <w:r>
        <w:rPr>
          <w:color w:val="231F20"/>
          <w:spacing w:val="-3"/>
        </w:rPr>
        <w:t xml:space="preserve">today, </w:t>
      </w:r>
      <w:r>
        <w:rPr>
          <w:color w:val="231F20"/>
        </w:rPr>
        <w:t xml:space="preserve">as skyjackings and exchanging hostages for prisoners had not yet exhausted their utility for guerillas at that time, and often did meet with success </w:t>
      </w:r>
      <w:r>
        <w:rPr>
          <w:color w:val="231F20"/>
          <w:spacing w:val="-3"/>
        </w:rPr>
        <w:t xml:space="preserve">(as </w:t>
      </w:r>
      <w:r>
        <w:rPr>
          <w:color w:val="231F20"/>
        </w:rPr>
        <w:t>the October 29 skyjacking would demonstrate).</w:t>
      </w:r>
      <w:r>
        <w:rPr>
          <w:color w:val="231F20"/>
          <w:position w:val="7"/>
          <w:sz w:val="11"/>
        </w:rPr>
        <w:t>3</w:t>
      </w:r>
    </w:p>
    <w:p w14:paraId="2BE48C6B" w14:textId="77777777" w:rsidR="002653E8" w:rsidRDefault="003115E3">
      <w:pPr>
        <w:pStyle w:val="a3"/>
        <w:spacing w:line="264" w:lineRule="auto"/>
        <w:ind w:left="1147" w:right="1326" w:firstLine="210"/>
        <w:jc w:val="both"/>
      </w:pPr>
      <w:r>
        <w:rPr>
          <w:color w:val="231F20"/>
        </w:rPr>
        <w:t>Furthermore, although the athletes were noncombatants, they were nonetheless representatives of a colonial state, one which was for all intents and purposes waging war against the Palestinian people. Certainly, far bloodier actions had been carried out in anticolonial campaigns around the world. No less than Carlos Marighella, the Brazilian</w:t>
      </w:r>
    </w:p>
    <w:p w14:paraId="79EB9C8A" w14:textId="77777777" w:rsidR="002653E8" w:rsidRDefault="00000000">
      <w:pPr>
        <w:pStyle w:val="a3"/>
        <w:spacing w:before="4"/>
        <w:rPr>
          <w:sz w:val="24"/>
        </w:rPr>
      </w:pPr>
      <w:r>
        <w:rPr>
          <w:noProof w:val="0"/>
        </w:rPr>
        <w:pict w14:anchorId="468115A8">
          <v:line id="_x0000_s2484" style="position:absolute;z-index:5224;mso-wrap-distance-left:0;mso-wrap-distance-right:0;mso-position-horizontal-relative:page" from="57.4pt,16.5pt" to="129.4pt,16.5pt" strokecolor="#231f20" strokeweight=".5pt">
            <w10:wrap type="topAndBottom" anchorx="page"/>
          </v:line>
        </w:pict>
      </w:r>
    </w:p>
    <w:p w14:paraId="5EE158C3" w14:textId="77777777" w:rsidR="002653E8" w:rsidRDefault="003115E3">
      <w:pPr>
        <w:spacing w:before="53"/>
        <w:ind w:left="1147"/>
        <w:rPr>
          <w:sz w:val="16"/>
        </w:rPr>
      </w:pPr>
      <w:r>
        <w:rPr>
          <w:color w:val="231F20"/>
          <w:w w:val="115"/>
          <w:sz w:val="16"/>
        </w:rPr>
        <w:t>1 Ibid., 132.</w:t>
      </w:r>
    </w:p>
    <w:p w14:paraId="061709C9" w14:textId="77777777" w:rsidR="002653E8" w:rsidRDefault="003115E3">
      <w:pPr>
        <w:pStyle w:val="a4"/>
        <w:numPr>
          <w:ilvl w:val="0"/>
          <w:numId w:val="130"/>
        </w:numPr>
        <w:tabs>
          <w:tab w:val="left" w:pos="1287"/>
        </w:tabs>
        <w:spacing w:before="51" w:line="254" w:lineRule="auto"/>
        <w:ind w:right="1504" w:firstLine="0"/>
        <w:jc w:val="left"/>
        <w:rPr>
          <w:sz w:val="16"/>
        </w:rPr>
      </w:pPr>
      <w:r>
        <w:rPr>
          <w:color w:val="231F20"/>
          <w:w w:val="105"/>
          <w:sz w:val="16"/>
        </w:rPr>
        <w:t xml:space="preserve">Decades later, Abu Daoud remained adamant on this point. </w:t>
      </w:r>
      <w:r>
        <w:rPr>
          <w:color w:val="231F20"/>
          <w:w w:val="110"/>
          <w:sz w:val="16"/>
        </w:rPr>
        <w:t xml:space="preserve">“I </w:t>
      </w:r>
      <w:r>
        <w:rPr>
          <w:color w:val="231F20"/>
          <w:w w:val="105"/>
          <w:sz w:val="16"/>
        </w:rPr>
        <w:t xml:space="preserve">would be against any operation like Munich ever again,” he told  </w:t>
      </w:r>
      <w:r>
        <w:rPr>
          <w:i/>
          <w:color w:val="231F20"/>
          <w:spacing w:val="1"/>
          <w:w w:val="105"/>
          <w:sz w:val="16"/>
        </w:rPr>
        <w:t xml:space="preserve">Sports </w:t>
      </w:r>
      <w:r>
        <w:rPr>
          <w:i/>
          <w:color w:val="231F20"/>
          <w:w w:val="105"/>
          <w:sz w:val="16"/>
        </w:rPr>
        <w:t xml:space="preserve">Illustrated  </w:t>
      </w:r>
      <w:r>
        <w:rPr>
          <w:color w:val="231F20"/>
          <w:w w:val="105"/>
          <w:sz w:val="16"/>
        </w:rPr>
        <w:t xml:space="preserve">magazine  in 2002. However, </w:t>
      </w:r>
      <w:r>
        <w:rPr>
          <w:color w:val="231F20"/>
          <w:spacing w:val="-3"/>
          <w:w w:val="105"/>
          <w:sz w:val="16"/>
        </w:rPr>
        <w:t xml:space="preserve">“[a]t </w:t>
      </w:r>
      <w:r>
        <w:rPr>
          <w:color w:val="231F20"/>
          <w:w w:val="105"/>
          <w:sz w:val="16"/>
        </w:rPr>
        <w:t xml:space="preserve">the time, it was the  correct  thing  to  do  for  our  cause.  </w:t>
      </w:r>
      <w:r>
        <w:rPr>
          <w:color w:val="231F20"/>
          <w:w w:val="110"/>
          <w:sz w:val="16"/>
        </w:rPr>
        <w:t xml:space="preserve">… </w:t>
      </w:r>
      <w:r>
        <w:rPr>
          <w:color w:val="231F20"/>
          <w:w w:val="105"/>
          <w:sz w:val="16"/>
        </w:rPr>
        <w:t>The operation brought the Palestinian issue into the homes of 500 million people who</w:t>
      </w:r>
      <w:r>
        <w:rPr>
          <w:color w:val="231F20"/>
          <w:spacing w:val="5"/>
          <w:w w:val="105"/>
          <w:sz w:val="16"/>
        </w:rPr>
        <w:t xml:space="preserve"> </w:t>
      </w:r>
      <w:r>
        <w:rPr>
          <w:color w:val="231F20"/>
          <w:w w:val="105"/>
          <w:sz w:val="16"/>
        </w:rPr>
        <w:t>never</w:t>
      </w:r>
      <w:r>
        <w:rPr>
          <w:color w:val="231F20"/>
          <w:spacing w:val="5"/>
          <w:w w:val="105"/>
          <w:sz w:val="16"/>
        </w:rPr>
        <w:t xml:space="preserve"> </w:t>
      </w:r>
      <w:r>
        <w:rPr>
          <w:color w:val="231F20"/>
          <w:w w:val="105"/>
          <w:sz w:val="16"/>
        </w:rPr>
        <w:t>previously</w:t>
      </w:r>
      <w:r>
        <w:rPr>
          <w:color w:val="231F20"/>
          <w:spacing w:val="5"/>
          <w:w w:val="105"/>
          <w:sz w:val="16"/>
        </w:rPr>
        <w:t xml:space="preserve"> </w:t>
      </w:r>
      <w:r>
        <w:rPr>
          <w:color w:val="231F20"/>
          <w:w w:val="105"/>
          <w:sz w:val="16"/>
        </w:rPr>
        <w:t>cared</w:t>
      </w:r>
      <w:r>
        <w:rPr>
          <w:color w:val="231F20"/>
          <w:spacing w:val="5"/>
          <w:w w:val="105"/>
          <w:sz w:val="16"/>
        </w:rPr>
        <w:t xml:space="preserve"> </w:t>
      </w:r>
      <w:r>
        <w:rPr>
          <w:color w:val="231F20"/>
          <w:w w:val="105"/>
          <w:sz w:val="16"/>
        </w:rPr>
        <w:t>about</w:t>
      </w:r>
      <w:r>
        <w:rPr>
          <w:color w:val="231F20"/>
          <w:spacing w:val="5"/>
          <w:w w:val="105"/>
          <w:sz w:val="16"/>
        </w:rPr>
        <w:t xml:space="preserve"> </w:t>
      </w:r>
      <w:r>
        <w:rPr>
          <w:color w:val="231F20"/>
          <w:w w:val="105"/>
          <w:sz w:val="16"/>
        </w:rPr>
        <w:t>Palestinian</w:t>
      </w:r>
      <w:r>
        <w:rPr>
          <w:color w:val="231F20"/>
          <w:spacing w:val="5"/>
          <w:w w:val="105"/>
          <w:sz w:val="16"/>
        </w:rPr>
        <w:t xml:space="preserve"> </w:t>
      </w:r>
      <w:r>
        <w:rPr>
          <w:color w:val="231F20"/>
          <w:w w:val="105"/>
          <w:sz w:val="16"/>
        </w:rPr>
        <w:t>victims</w:t>
      </w:r>
      <w:r>
        <w:rPr>
          <w:color w:val="231F20"/>
          <w:spacing w:val="5"/>
          <w:w w:val="105"/>
          <w:sz w:val="16"/>
        </w:rPr>
        <w:t xml:space="preserve"> </w:t>
      </w:r>
      <w:r>
        <w:rPr>
          <w:color w:val="231F20"/>
          <w:w w:val="105"/>
          <w:sz w:val="16"/>
        </w:rPr>
        <w:t>at</w:t>
      </w:r>
      <w:r>
        <w:rPr>
          <w:color w:val="231F20"/>
          <w:spacing w:val="5"/>
          <w:w w:val="105"/>
          <w:sz w:val="16"/>
        </w:rPr>
        <w:t xml:space="preserve"> </w:t>
      </w:r>
      <w:r>
        <w:rPr>
          <w:color w:val="231F20"/>
          <w:w w:val="105"/>
          <w:sz w:val="16"/>
        </w:rPr>
        <w:t>the</w:t>
      </w:r>
      <w:r>
        <w:rPr>
          <w:color w:val="231F20"/>
          <w:spacing w:val="5"/>
          <w:w w:val="105"/>
          <w:sz w:val="16"/>
        </w:rPr>
        <w:t xml:space="preserve"> </w:t>
      </w:r>
      <w:r>
        <w:rPr>
          <w:color w:val="231F20"/>
          <w:w w:val="105"/>
          <w:sz w:val="16"/>
        </w:rPr>
        <w:t>hands</w:t>
      </w:r>
      <w:r>
        <w:rPr>
          <w:color w:val="231F20"/>
          <w:spacing w:val="5"/>
          <w:w w:val="105"/>
          <w:sz w:val="16"/>
        </w:rPr>
        <w:t xml:space="preserve"> </w:t>
      </w:r>
      <w:r>
        <w:rPr>
          <w:color w:val="231F20"/>
          <w:w w:val="105"/>
          <w:sz w:val="16"/>
        </w:rPr>
        <w:t>of</w:t>
      </w:r>
      <w:r>
        <w:rPr>
          <w:color w:val="231F20"/>
          <w:spacing w:val="5"/>
          <w:w w:val="105"/>
          <w:sz w:val="16"/>
        </w:rPr>
        <w:t xml:space="preserve"> </w:t>
      </w:r>
      <w:r>
        <w:rPr>
          <w:color w:val="231F20"/>
          <w:w w:val="105"/>
          <w:sz w:val="16"/>
        </w:rPr>
        <w:t>the</w:t>
      </w:r>
      <w:r>
        <w:rPr>
          <w:color w:val="231F20"/>
          <w:spacing w:val="5"/>
          <w:w w:val="105"/>
          <w:sz w:val="16"/>
        </w:rPr>
        <w:t xml:space="preserve"> </w:t>
      </w:r>
      <w:r>
        <w:rPr>
          <w:color w:val="231F20"/>
          <w:w w:val="105"/>
          <w:sz w:val="16"/>
        </w:rPr>
        <w:t>Israelis.”</w:t>
      </w:r>
    </w:p>
    <w:p w14:paraId="3CDF086F" w14:textId="77777777" w:rsidR="002653E8" w:rsidRDefault="003115E3">
      <w:pPr>
        <w:spacing w:before="2" w:line="254" w:lineRule="auto"/>
        <w:ind w:left="1147" w:right="1145"/>
        <w:rPr>
          <w:sz w:val="16"/>
        </w:rPr>
      </w:pPr>
      <w:r>
        <w:rPr>
          <w:color w:val="231F20"/>
          <w:w w:val="110"/>
          <w:sz w:val="16"/>
        </w:rPr>
        <w:t xml:space="preserve">(Alexander Wolff, “Thirty years after he helped plan the terror strike, Abu Daoud remains in hiding -and unrepentant,” </w:t>
      </w:r>
      <w:r>
        <w:rPr>
          <w:i/>
          <w:color w:val="231F20"/>
          <w:w w:val="110"/>
          <w:sz w:val="16"/>
        </w:rPr>
        <w:t xml:space="preserve">Sports Illustrated, </w:t>
      </w:r>
      <w:r>
        <w:rPr>
          <w:color w:val="231F20"/>
          <w:w w:val="110"/>
          <w:sz w:val="16"/>
        </w:rPr>
        <w:t>August 26, 2002.)</w:t>
      </w:r>
    </w:p>
    <w:p w14:paraId="53536ECD" w14:textId="77777777" w:rsidR="002653E8" w:rsidRDefault="003115E3">
      <w:pPr>
        <w:pStyle w:val="a4"/>
        <w:numPr>
          <w:ilvl w:val="0"/>
          <w:numId w:val="130"/>
        </w:numPr>
        <w:tabs>
          <w:tab w:val="left" w:pos="1287"/>
        </w:tabs>
        <w:spacing w:line="254" w:lineRule="auto"/>
        <w:ind w:right="1361" w:firstLine="0"/>
        <w:jc w:val="left"/>
        <w:rPr>
          <w:sz w:val="16"/>
        </w:rPr>
      </w:pPr>
      <w:r>
        <w:rPr>
          <w:color w:val="231F20"/>
          <w:w w:val="105"/>
          <w:sz w:val="16"/>
        </w:rPr>
        <w:t xml:space="preserve">Indeed, the years </w:t>
      </w:r>
      <w:r>
        <w:rPr>
          <w:color w:val="231F20"/>
          <w:spacing w:val="-3"/>
          <w:w w:val="105"/>
          <w:sz w:val="16"/>
        </w:rPr>
        <w:t xml:space="preserve">1969-1972 </w:t>
      </w:r>
      <w:r>
        <w:rPr>
          <w:color w:val="231F20"/>
          <w:w w:val="105"/>
          <w:sz w:val="16"/>
        </w:rPr>
        <w:t xml:space="preserve">can be considered the golden age of political hostage takings. </w:t>
      </w:r>
      <w:r>
        <w:rPr>
          <w:color w:val="231F20"/>
          <w:spacing w:val="1"/>
          <w:w w:val="105"/>
          <w:sz w:val="16"/>
        </w:rPr>
        <w:t xml:space="preserve">While </w:t>
      </w:r>
      <w:r>
        <w:rPr>
          <w:color w:val="231F20"/>
          <w:w w:val="105"/>
          <w:sz w:val="16"/>
        </w:rPr>
        <w:t xml:space="preserve">kidnappings were a particularly prevalent tactic for the South American guerilla, skyjackings in this period were pioneered by various Palestinian organizations. Whereas there had been only twenty-seven aircraft hijacked between </w:t>
      </w:r>
      <w:r>
        <w:rPr>
          <w:color w:val="231F20"/>
          <w:spacing w:val="-4"/>
          <w:w w:val="105"/>
          <w:sz w:val="16"/>
        </w:rPr>
        <w:t xml:space="preserve">1961 </w:t>
      </w:r>
      <w:r>
        <w:rPr>
          <w:color w:val="231F20"/>
          <w:w w:val="105"/>
          <w:sz w:val="16"/>
        </w:rPr>
        <w:t>and 1968, and most of these had been non-political acts, between 1969 and 1972,</w:t>
      </w:r>
      <w:r>
        <w:rPr>
          <w:color w:val="231F20"/>
          <w:spacing w:val="5"/>
          <w:w w:val="105"/>
          <w:sz w:val="16"/>
        </w:rPr>
        <w:t xml:space="preserve"> </w:t>
      </w:r>
      <w:r>
        <w:rPr>
          <w:color w:val="231F20"/>
          <w:w w:val="105"/>
          <w:sz w:val="16"/>
        </w:rPr>
        <w:t>two</w:t>
      </w:r>
      <w:r>
        <w:rPr>
          <w:color w:val="231F20"/>
          <w:spacing w:val="5"/>
          <w:w w:val="105"/>
          <w:sz w:val="16"/>
        </w:rPr>
        <w:t xml:space="preserve"> </w:t>
      </w:r>
      <w:r>
        <w:rPr>
          <w:color w:val="231F20"/>
          <w:w w:val="105"/>
          <w:sz w:val="16"/>
        </w:rPr>
        <w:t>hundred</w:t>
      </w:r>
      <w:r>
        <w:rPr>
          <w:color w:val="231F20"/>
          <w:spacing w:val="5"/>
          <w:w w:val="105"/>
          <w:sz w:val="16"/>
        </w:rPr>
        <w:t xml:space="preserve"> </w:t>
      </w:r>
      <w:r>
        <w:rPr>
          <w:color w:val="231F20"/>
          <w:w w:val="105"/>
          <w:sz w:val="16"/>
        </w:rPr>
        <w:t>seventy-seven</w:t>
      </w:r>
      <w:r>
        <w:rPr>
          <w:color w:val="231F20"/>
          <w:spacing w:val="5"/>
          <w:w w:val="105"/>
          <w:sz w:val="16"/>
        </w:rPr>
        <w:t xml:space="preserve"> </w:t>
      </w:r>
      <w:r>
        <w:rPr>
          <w:color w:val="231F20"/>
          <w:w w:val="105"/>
          <w:sz w:val="16"/>
        </w:rPr>
        <w:t>aircraft</w:t>
      </w:r>
      <w:r>
        <w:rPr>
          <w:color w:val="231F20"/>
          <w:spacing w:val="5"/>
          <w:w w:val="105"/>
          <w:sz w:val="16"/>
        </w:rPr>
        <w:t xml:space="preserve"> </w:t>
      </w:r>
      <w:r>
        <w:rPr>
          <w:color w:val="231F20"/>
          <w:w w:val="105"/>
          <w:sz w:val="16"/>
        </w:rPr>
        <w:t>were</w:t>
      </w:r>
      <w:r>
        <w:rPr>
          <w:color w:val="231F20"/>
          <w:spacing w:val="5"/>
          <w:w w:val="105"/>
          <w:sz w:val="16"/>
        </w:rPr>
        <w:t xml:space="preserve"> </w:t>
      </w:r>
      <w:r>
        <w:rPr>
          <w:color w:val="231F20"/>
          <w:w w:val="105"/>
          <w:sz w:val="16"/>
        </w:rPr>
        <w:t>hijacked,</w:t>
      </w:r>
      <w:r>
        <w:rPr>
          <w:color w:val="231F20"/>
          <w:spacing w:val="5"/>
          <w:w w:val="105"/>
          <w:sz w:val="16"/>
        </w:rPr>
        <w:t xml:space="preserve"> </w:t>
      </w:r>
      <w:r>
        <w:rPr>
          <w:color w:val="231F20"/>
          <w:w w:val="105"/>
          <w:sz w:val="16"/>
        </w:rPr>
        <w:t>many</w:t>
      </w:r>
      <w:r>
        <w:rPr>
          <w:color w:val="231F20"/>
          <w:spacing w:val="5"/>
          <w:w w:val="105"/>
          <w:sz w:val="16"/>
        </w:rPr>
        <w:t xml:space="preserve"> </w:t>
      </w:r>
      <w:r>
        <w:rPr>
          <w:color w:val="231F20"/>
          <w:w w:val="105"/>
          <w:sz w:val="16"/>
        </w:rPr>
        <w:t>of</w:t>
      </w:r>
      <w:r>
        <w:rPr>
          <w:color w:val="231F20"/>
          <w:spacing w:val="5"/>
          <w:w w:val="105"/>
          <w:sz w:val="16"/>
        </w:rPr>
        <w:t xml:space="preserve"> </w:t>
      </w:r>
      <w:r>
        <w:rPr>
          <w:color w:val="231F20"/>
          <w:w w:val="105"/>
          <w:sz w:val="16"/>
        </w:rPr>
        <w:t>them</w:t>
      </w:r>
      <w:r>
        <w:rPr>
          <w:color w:val="231F20"/>
          <w:spacing w:val="5"/>
          <w:w w:val="105"/>
          <w:sz w:val="16"/>
        </w:rPr>
        <w:t xml:space="preserve"> </w:t>
      </w:r>
      <w:r>
        <w:rPr>
          <w:color w:val="231F20"/>
          <w:w w:val="105"/>
          <w:sz w:val="16"/>
        </w:rPr>
        <w:t>successfully,</w:t>
      </w:r>
    </w:p>
    <w:p w14:paraId="42CE9E91" w14:textId="77777777" w:rsidR="002653E8" w:rsidRDefault="003115E3">
      <w:pPr>
        <w:spacing w:before="2" w:line="254" w:lineRule="auto"/>
        <w:ind w:left="1147" w:right="1494"/>
        <w:rPr>
          <w:sz w:val="16"/>
        </w:rPr>
      </w:pPr>
      <w:r>
        <w:rPr>
          <w:color w:val="231F20"/>
          <w:w w:val="105"/>
          <w:sz w:val="16"/>
        </w:rPr>
        <w:t xml:space="preserve">i.e. the hijackers got away and their demands were met. During this period, seventy-eight political prisoners were released as demanded by various skyjackers. [Alona E. Evans, “Aircraft Hijacking: What is Being Done?” </w:t>
      </w:r>
      <w:r>
        <w:rPr>
          <w:i/>
          <w:color w:val="231F20"/>
          <w:w w:val="105"/>
          <w:sz w:val="16"/>
        </w:rPr>
        <w:t xml:space="preserve">American Journal of International Law </w:t>
      </w:r>
      <w:r>
        <w:rPr>
          <w:color w:val="231F20"/>
          <w:w w:val="105"/>
          <w:sz w:val="16"/>
        </w:rPr>
        <w:t>67 (1973): 641-645].</w:t>
      </w:r>
    </w:p>
    <w:p w14:paraId="0BA5F054" w14:textId="77777777" w:rsidR="002653E8" w:rsidRDefault="002653E8">
      <w:pPr>
        <w:spacing w:line="254" w:lineRule="auto"/>
        <w:rPr>
          <w:sz w:val="16"/>
        </w:rPr>
        <w:sectPr w:rsidR="002653E8">
          <w:pgSz w:w="8640" w:h="12960"/>
          <w:pgMar w:top="1060" w:right="0" w:bottom="1040" w:left="0" w:header="0" w:footer="850" w:gutter="0"/>
          <w:cols w:space="720"/>
        </w:sectPr>
      </w:pPr>
    </w:p>
    <w:p w14:paraId="78017D36" w14:textId="77777777" w:rsidR="002653E8" w:rsidRDefault="003115E3">
      <w:pPr>
        <w:pStyle w:val="a3"/>
        <w:spacing w:before="86" w:line="264" w:lineRule="auto"/>
        <w:ind w:left="1327" w:right="1146" w:hanging="1"/>
        <w:jc w:val="both"/>
      </w:pPr>
      <w:r>
        <w:rPr>
          <w:color w:val="231F20"/>
          <w:w w:val="105"/>
        </w:rPr>
        <w:lastRenderedPageBreak/>
        <w:t>guerilla</w:t>
      </w:r>
      <w:r>
        <w:rPr>
          <w:color w:val="231F20"/>
          <w:spacing w:val="-12"/>
          <w:w w:val="105"/>
        </w:rPr>
        <w:t xml:space="preserve"> </w:t>
      </w:r>
      <w:r>
        <w:rPr>
          <w:color w:val="231F20"/>
          <w:w w:val="105"/>
        </w:rPr>
        <w:t>leader,</w:t>
      </w:r>
      <w:r>
        <w:rPr>
          <w:color w:val="231F20"/>
          <w:spacing w:val="-12"/>
          <w:w w:val="105"/>
        </w:rPr>
        <w:t xml:space="preserve"> </w:t>
      </w:r>
      <w:r>
        <w:rPr>
          <w:color w:val="231F20"/>
          <w:w w:val="105"/>
        </w:rPr>
        <w:t>had</w:t>
      </w:r>
      <w:r>
        <w:rPr>
          <w:color w:val="231F20"/>
          <w:spacing w:val="-12"/>
          <w:w w:val="105"/>
        </w:rPr>
        <w:t xml:space="preserve"> </w:t>
      </w:r>
      <w:r>
        <w:rPr>
          <w:color w:val="231F20"/>
          <w:w w:val="105"/>
        </w:rPr>
        <w:t>argued</w:t>
      </w:r>
      <w:r>
        <w:rPr>
          <w:color w:val="231F20"/>
          <w:spacing w:val="-12"/>
          <w:w w:val="105"/>
        </w:rPr>
        <w:t xml:space="preserve"> </w:t>
      </w:r>
      <w:r>
        <w:rPr>
          <w:color w:val="231F20"/>
          <w:w w:val="105"/>
        </w:rPr>
        <w:t>in</w:t>
      </w:r>
      <w:r>
        <w:rPr>
          <w:color w:val="231F20"/>
          <w:spacing w:val="-12"/>
          <w:w w:val="105"/>
        </w:rPr>
        <w:t xml:space="preserve"> </w:t>
      </w:r>
      <w:r>
        <w:rPr>
          <w:color w:val="231F20"/>
          <w:w w:val="105"/>
        </w:rPr>
        <w:t>his</w:t>
      </w:r>
      <w:r>
        <w:rPr>
          <w:color w:val="231F20"/>
          <w:spacing w:val="-12"/>
          <w:w w:val="105"/>
        </w:rPr>
        <w:t xml:space="preserve"> </w:t>
      </w:r>
      <w:r>
        <w:rPr>
          <w:color w:val="231F20"/>
          <w:w w:val="105"/>
        </w:rPr>
        <w:t>famous</w:t>
      </w:r>
      <w:r>
        <w:rPr>
          <w:color w:val="231F20"/>
          <w:spacing w:val="-12"/>
          <w:w w:val="105"/>
        </w:rPr>
        <w:t xml:space="preserve"> </w:t>
      </w:r>
      <w:r>
        <w:rPr>
          <w:i/>
          <w:color w:val="231F20"/>
          <w:spacing w:val="1"/>
          <w:w w:val="105"/>
        </w:rPr>
        <w:t>Minimanual</w:t>
      </w:r>
      <w:r>
        <w:rPr>
          <w:i/>
          <w:color w:val="231F20"/>
          <w:spacing w:val="-12"/>
          <w:w w:val="105"/>
        </w:rPr>
        <w:t xml:space="preserve"> </w:t>
      </w:r>
      <w:r>
        <w:rPr>
          <w:color w:val="231F20"/>
          <w:w w:val="105"/>
        </w:rPr>
        <w:t>that</w:t>
      </w:r>
      <w:r>
        <w:rPr>
          <w:color w:val="231F20"/>
          <w:spacing w:val="-12"/>
          <w:w w:val="105"/>
        </w:rPr>
        <w:t xml:space="preserve"> </w:t>
      </w:r>
      <w:r>
        <w:rPr>
          <w:color w:val="231F20"/>
          <w:w w:val="105"/>
        </w:rPr>
        <w:t>“non-political” celebrities could constitute legitimate</w:t>
      </w:r>
      <w:r>
        <w:rPr>
          <w:color w:val="231F20"/>
          <w:spacing w:val="16"/>
          <w:w w:val="105"/>
        </w:rPr>
        <w:t xml:space="preserve"> </w:t>
      </w:r>
      <w:r>
        <w:rPr>
          <w:color w:val="231F20"/>
          <w:w w:val="105"/>
        </w:rPr>
        <w:t>targets:</w:t>
      </w:r>
    </w:p>
    <w:p w14:paraId="6C2D7162" w14:textId="77777777" w:rsidR="002653E8" w:rsidRDefault="003115E3">
      <w:pPr>
        <w:spacing w:before="127" w:line="276" w:lineRule="auto"/>
        <w:ind w:left="1747" w:right="1559"/>
        <w:jc w:val="both"/>
        <w:rPr>
          <w:i/>
          <w:sz w:val="11"/>
        </w:rPr>
      </w:pPr>
      <w:r>
        <w:rPr>
          <w:i/>
          <w:color w:val="231F20"/>
          <w:w w:val="105"/>
          <w:sz w:val="19"/>
        </w:rPr>
        <w:t>The kidnapping of personalities who are well-known artists, sports figures or who are outstanding in some other field, but who have evidenced no political interest, can be a useful form of propaganda for the guerrillas, provided it occurs under special circumstances, and is handled so the public understands and sympathizes with it.</w:t>
      </w:r>
      <w:r>
        <w:rPr>
          <w:i/>
          <w:color w:val="231F20"/>
          <w:w w:val="105"/>
          <w:position w:val="6"/>
          <w:sz w:val="11"/>
        </w:rPr>
        <w:t>4</w:t>
      </w:r>
    </w:p>
    <w:p w14:paraId="2663A4AE" w14:textId="77777777" w:rsidR="002653E8" w:rsidRDefault="003115E3">
      <w:pPr>
        <w:pStyle w:val="a3"/>
        <w:spacing w:before="132" w:line="264" w:lineRule="auto"/>
        <w:ind w:left="1327" w:right="1140"/>
        <w:jc w:val="both"/>
        <w:rPr>
          <w:sz w:val="11"/>
        </w:rPr>
      </w:pPr>
      <w:r>
        <w:rPr>
          <w:color w:val="231F20"/>
        </w:rPr>
        <w:t xml:space="preserve">Whether the operation was understood or enjoyed public sympathy depended very much on who one thought of as constituting the </w:t>
      </w:r>
      <w:r>
        <w:rPr>
          <w:color w:val="231F20"/>
          <w:spacing w:val="-3"/>
        </w:rPr>
        <w:t xml:space="preserve">“public.” </w:t>
      </w:r>
      <w:r>
        <w:rPr>
          <w:color w:val="231F20"/>
        </w:rPr>
        <w:t xml:space="preserve">Certainly, in the Arab world, the action was widely understood, and   met with a large measure of sympathy. When the bodies of the slain commando members were brought to Libya, for instance, over 30,000 mourners followed their funeral procession from </w:t>
      </w:r>
      <w:r>
        <w:rPr>
          <w:color w:val="231F20"/>
          <w:spacing w:val="-3"/>
        </w:rPr>
        <w:t xml:space="preserve">Tripoli’s </w:t>
      </w:r>
      <w:r>
        <w:rPr>
          <w:color w:val="231F20"/>
        </w:rPr>
        <w:t>Martyr’s Square to the Sidi Munaidess</w:t>
      </w:r>
      <w:r>
        <w:rPr>
          <w:color w:val="231F20"/>
          <w:spacing w:val="15"/>
        </w:rPr>
        <w:t xml:space="preserve"> </w:t>
      </w:r>
      <w:r>
        <w:rPr>
          <w:color w:val="231F20"/>
        </w:rPr>
        <w:t>Cemetery.</w:t>
      </w:r>
      <w:r>
        <w:rPr>
          <w:color w:val="231F20"/>
          <w:position w:val="7"/>
          <w:sz w:val="11"/>
        </w:rPr>
        <w:t>5</w:t>
      </w:r>
    </w:p>
    <w:p w14:paraId="57B16639" w14:textId="77777777" w:rsidR="002653E8" w:rsidRDefault="003115E3">
      <w:pPr>
        <w:pStyle w:val="a3"/>
        <w:spacing w:line="264" w:lineRule="auto"/>
        <w:ind w:left="1327" w:right="1145" w:firstLine="210"/>
        <w:jc w:val="both"/>
      </w:pPr>
      <w:r>
        <w:rPr>
          <w:color w:val="231F20"/>
        </w:rPr>
        <w:t>It is equally true that in the imperialist countries, most people neither understood nor sympathized with the aims of the Palestinians. The commando’s public testament, released shortly afterwards, met with simple</w:t>
      </w:r>
      <w:r>
        <w:rPr>
          <w:color w:val="231F20"/>
          <w:spacing w:val="-4"/>
        </w:rPr>
        <w:t xml:space="preserve"> </w:t>
      </w:r>
      <w:r>
        <w:rPr>
          <w:color w:val="231F20"/>
        </w:rPr>
        <w:t>incomprehension.</w:t>
      </w:r>
      <w:r>
        <w:rPr>
          <w:color w:val="231F20"/>
          <w:spacing w:val="-4"/>
        </w:rPr>
        <w:t xml:space="preserve"> </w:t>
      </w:r>
      <w:r>
        <w:rPr>
          <w:color w:val="231F20"/>
        </w:rPr>
        <w:t>Thus</w:t>
      </w:r>
      <w:r>
        <w:rPr>
          <w:color w:val="231F20"/>
          <w:spacing w:val="-4"/>
        </w:rPr>
        <w:t xml:space="preserve"> </w:t>
      </w:r>
      <w:r>
        <w:rPr>
          <w:color w:val="231F20"/>
        </w:rPr>
        <w:t>the</w:t>
      </w:r>
      <w:r>
        <w:rPr>
          <w:color w:val="231F20"/>
          <w:spacing w:val="-4"/>
        </w:rPr>
        <w:t xml:space="preserve"> </w:t>
      </w:r>
      <w:r>
        <w:rPr>
          <w:color w:val="231F20"/>
        </w:rPr>
        <w:t>outrage,</w:t>
      </w:r>
      <w:r>
        <w:rPr>
          <w:color w:val="231F20"/>
          <w:spacing w:val="-4"/>
        </w:rPr>
        <w:t xml:space="preserve"> </w:t>
      </w:r>
      <w:r>
        <w:rPr>
          <w:color w:val="231F20"/>
        </w:rPr>
        <w:t>not</w:t>
      </w:r>
      <w:r>
        <w:rPr>
          <w:color w:val="231F20"/>
          <w:spacing w:val="-4"/>
        </w:rPr>
        <w:t xml:space="preserve"> </w:t>
      </w:r>
      <w:r>
        <w:rPr>
          <w:color w:val="231F20"/>
        </w:rPr>
        <w:t>only</w:t>
      </w:r>
      <w:r>
        <w:rPr>
          <w:color w:val="231F20"/>
          <w:spacing w:val="-4"/>
        </w:rPr>
        <w:t xml:space="preserve"> </w:t>
      </w:r>
      <w:r>
        <w:rPr>
          <w:color w:val="231F20"/>
        </w:rPr>
        <w:t>at</w:t>
      </w:r>
      <w:r>
        <w:rPr>
          <w:color w:val="231F20"/>
          <w:spacing w:val="-4"/>
        </w:rPr>
        <w:t xml:space="preserve"> </w:t>
      </w:r>
      <w:r>
        <w:rPr>
          <w:color w:val="231F20"/>
        </w:rPr>
        <w:t>Black</w:t>
      </w:r>
      <w:r>
        <w:rPr>
          <w:color w:val="231F20"/>
          <w:spacing w:val="-4"/>
        </w:rPr>
        <w:t xml:space="preserve"> </w:t>
      </w:r>
      <w:r>
        <w:rPr>
          <w:color w:val="231F20"/>
        </w:rPr>
        <w:t>September, but also at anyone who dared to speak up in defense of the Palestinian guerilla</w:t>
      </w:r>
      <w:r>
        <w:rPr>
          <w:color w:val="231F20"/>
          <w:spacing w:val="10"/>
        </w:rPr>
        <w:t xml:space="preserve"> </w:t>
      </w:r>
      <w:r>
        <w:rPr>
          <w:color w:val="231F20"/>
        </w:rPr>
        <w:t>action.</w:t>
      </w:r>
    </w:p>
    <w:p w14:paraId="4BAB8FB1" w14:textId="77777777" w:rsidR="002653E8" w:rsidRDefault="003115E3">
      <w:pPr>
        <w:pStyle w:val="a3"/>
        <w:spacing w:line="264" w:lineRule="auto"/>
        <w:ind w:left="1327" w:right="1148" w:firstLine="210"/>
        <w:jc w:val="both"/>
      </w:pPr>
      <w:r>
        <w:rPr>
          <w:color w:val="231F20"/>
        </w:rPr>
        <w:t>If it has been necessary to our study to consider these events in such detail, it is precisely because of this outrage.</w:t>
      </w:r>
    </w:p>
    <w:p w14:paraId="0FB4643A" w14:textId="77777777" w:rsidR="002653E8" w:rsidRDefault="003115E3">
      <w:pPr>
        <w:pStyle w:val="a3"/>
        <w:spacing w:line="264" w:lineRule="auto"/>
        <w:ind w:left="1328" w:right="1145" w:firstLine="209"/>
        <w:jc w:val="both"/>
      </w:pPr>
      <w:r>
        <w:rPr>
          <w:color w:val="231F20"/>
        </w:rPr>
        <w:t xml:space="preserve">Critics of the </w:t>
      </w:r>
      <w:r w:rsidR="00C507A5">
        <w:rPr>
          <w:color w:val="231F20"/>
          <w:spacing w:val="5"/>
        </w:rPr>
        <w:t>red army faction</w:t>
      </w:r>
      <w:r>
        <w:rPr>
          <w:color w:val="231F20"/>
          <w:spacing w:val="5"/>
        </w:rPr>
        <w:t xml:space="preserve"> </w:t>
      </w:r>
      <w:r>
        <w:rPr>
          <w:color w:val="231F20"/>
        </w:rPr>
        <w:t xml:space="preserve">have zeroed in on the </w:t>
      </w:r>
      <w:r>
        <w:rPr>
          <w:i/>
          <w:color w:val="231F20"/>
        </w:rPr>
        <w:t xml:space="preserve">Black </w:t>
      </w:r>
      <w:r>
        <w:rPr>
          <w:i/>
          <w:color w:val="231F20"/>
          <w:spacing w:val="1"/>
        </w:rPr>
        <w:t xml:space="preserve">September  </w:t>
      </w:r>
      <w:r>
        <w:rPr>
          <w:color w:val="231F20"/>
        </w:rPr>
        <w:t xml:space="preserve">document, scandalized at this support for the Munich operation. The guerilla’s penchant for purposefully shocking formulations (i.e. “Israel burned their own athletes just as  the  Nazis  had  burned  the  </w:t>
      </w:r>
      <w:r>
        <w:rPr>
          <w:color w:val="231F20"/>
          <w:spacing w:val="-3"/>
        </w:rPr>
        <w:t xml:space="preserve">Jews”)  </w:t>
      </w:r>
      <w:r>
        <w:rPr>
          <w:color w:val="231F20"/>
        </w:rPr>
        <w:t xml:space="preserve">did not help matters. Likewise, a strong argument could be made that the </w:t>
      </w:r>
      <w:r w:rsidR="00C507A5">
        <w:rPr>
          <w:color w:val="231F20"/>
        </w:rPr>
        <w:t>red army faction</w:t>
      </w:r>
      <w:r>
        <w:rPr>
          <w:color w:val="231F20"/>
        </w:rPr>
        <w:t>, like much of the revolutionary left, did a poor job at acknowledging and analyzing the specifically antisemitic dimensions of German</w:t>
      </w:r>
      <w:r>
        <w:rPr>
          <w:color w:val="231F20"/>
          <w:spacing w:val="10"/>
        </w:rPr>
        <w:t xml:space="preserve"> </w:t>
      </w:r>
      <w:r>
        <w:rPr>
          <w:color w:val="231F20"/>
        </w:rPr>
        <w:t>fascism.</w:t>
      </w:r>
    </w:p>
    <w:p w14:paraId="1675C044" w14:textId="77777777" w:rsidR="002653E8" w:rsidRDefault="003115E3">
      <w:pPr>
        <w:pStyle w:val="a3"/>
        <w:spacing w:line="264" w:lineRule="auto"/>
        <w:ind w:left="1328" w:right="1146" w:firstLine="210"/>
        <w:jc w:val="both"/>
      </w:pPr>
      <w:r>
        <w:rPr>
          <w:color w:val="231F20"/>
        </w:rPr>
        <w:t xml:space="preserve">What is important to stress in the context of our study is that this       is not why the </w:t>
      </w:r>
      <w:r w:rsidR="00C507A5">
        <w:rPr>
          <w:color w:val="231F20"/>
          <w:spacing w:val="5"/>
        </w:rPr>
        <w:t>red army faction</w:t>
      </w:r>
      <w:r>
        <w:rPr>
          <w:color w:val="231F20"/>
          <w:spacing w:val="5"/>
        </w:rPr>
        <w:t xml:space="preserve"> </w:t>
      </w:r>
      <w:r>
        <w:rPr>
          <w:color w:val="231F20"/>
        </w:rPr>
        <w:t>was criticized. Rather, the fact that the captured combatants</w:t>
      </w:r>
      <w:r>
        <w:rPr>
          <w:color w:val="231F20"/>
          <w:spacing w:val="5"/>
        </w:rPr>
        <w:t xml:space="preserve"> </w:t>
      </w:r>
      <w:r>
        <w:rPr>
          <w:color w:val="231F20"/>
        </w:rPr>
        <w:t>dared</w:t>
      </w:r>
      <w:r>
        <w:rPr>
          <w:color w:val="231F20"/>
          <w:spacing w:val="5"/>
        </w:rPr>
        <w:t xml:space="preserve"> </w:t>
      </w:r>
      <w:r>
        <w:rPr>
          <w:color w:val="231F20"/>
        </w:rPr>
        <w:t>to</w:t>
      </w:r>
      <w:r>
        <w:rPr>
          <w:color w:val="231F20"/>
          <w:spacing w:val="5"/>
        </w:rPr>
        <w:t xml:space="preserve"> </w:t>
      </w:r>
      <w:r>
        <w:rPr>
          <w:color w:val="231F20"/>
        </w:rPr>
        <w:t>stand</w:t>
      </w:r>
      <w:r>
        <w:rPr>
          <w:color w:val="231F20"/>
          <w:spacing w:val="5"/>
        </w:rPr>
        <w:t xml:space="preserve"> </w:t>
      </w:r>
      <w:r>
        <w:rPr>
          <w:color w:val="231F20"/>
        </w:rPr>
        <w:t>in</w:t>
      </w:r>
      <w:r>
        <w:rPr>
          <w:color w:val="231F20"/>
          <w:spacing w:val="5"/>
        </w:rPr>
        <w:t xml:space="preserve"> </w:t>
      </w:r>
      <w:r>
        <w:rPr>
          <w:color w:val="231F20"/>
        </w:rPr>
        <w:t>solidarity</w:t>
      </w:r>
      <w:r>
        <w:rPr>
          <w:color w:val="231F20"/>
          <w:spacing w:val="5"/>
        </w:rPr>
        <w:t xml:space="preserve"> </w:t>
      </w:r>
      <w:r>
        <w:rPr>
          <w:color w:val="231F20"/>
        </w:rPr>
        <w:t>with</w:t>
      </w:r>
      <w:r>
        <w:rPr>
          <w:color w:val="231F20"/>
          <w:spacing w:val="5"/>
        </w:rPr>
        <w:t xml:space="preserve"> </w:t>
      </w:r>
      <w:r>
        <w:rPr>
          <w:color w:val="231F20"/>
        </w:rPr>
        <w:t>Black</w:t>
      </w:r>
      <w:r>
        <w:rPr>
          <w:color w:val="231F20"/>
          <w:spacing w:val="5"/>
        </w:rPr>
        <w:t xml:space="preserve"> </w:t>
      </w:r>
      <w:r>
        <w:rPr>
          <w:color w:val="231F20"/>
        </w:rPr>
        <w:t>September</w:t>
      </w:r>
      <w:r>
        <w:rPr>
          <w:color w:val="231F20"/>
          <w:spacing w:val="5"/>
        </w:rPr>
        <w:t xml:space="preserve"> </w:t>
      </w:r>
      <w:r>
        <w:rPr>
          <w:color w:val="231F20"/>
        </w:rPr>
        <w:t>has</w:t>
      </w:r>
      <w:r>
        <w:rPr>
          <w:color w:val="231F20"/>
          <w:spacing w:val="5"/>
        </w:rPr>
        <w:t xml:space="preserve"> </w:t>
      </w:r>
      <w:r>
        <w:rPr>
          <w:color w:val="231F20"/>
        </w:rPr>
        <w:t>been</w:t>
      </w:r>
    </w:p>
    <w:p w14:paraId="3E5DB736" w14:textId="77777777" w:rsidR="002653E8" w:rsidRDefault="00000000">
      <w:pPr>
        <w:pStyle w:val="a3"/>
        <w:spacing w:before="6"/>
        <w:rPr>
          <w:sz w:val="24"/>
        </w:rPr>
      </w:pPr>
      <w:r>
        <w:rPr>
          <w:noProof w:val="0"/>
        </w:rPr>
        <w:pict w14:anchorId="612898E2">
          <v:line id="_x0000_s2483" style="position:absolute;z-index:5248;mso-wrap-distance-left:0;mso-wrap-distance-right:0;mso-position-horizontal-relative:page" from="66.4pt,16.55pt" to="138.4pt,16.55pt" strokecolor="#231f20" strokeweight=".5pt">
            <w10:wrap type="topAndBottom" anchorx="page"/>
          </v:line>
        </w:pict>
      </w:r>
    </w:p>
    <w:p w14:paraId="2C4A6989" w14:textId="77777777" w:rsidR="002653E8" w:rsidRDefault="003115E3">
      <w:pPr>
        <w:pStyle w:val="a4"/>
        <w:numPr>
          <w:ilvl w:val="0"/>
          <w:numId w:val="130"/>
        </w:numPr>
        <w:tabs>
          <w:tab w:val="left" w:pos="1467"/>
        </w:tabs>
        <w:spacing w:before="53" w:line="254" w:lineRule="auto"/>
        <w:ind w:left="1327" w:right="1430" w:firstLine="0"/>
        <w:jc w:val="left"/>
        <w:rPr>
          <w:sz w:val="16"/>
        </w:rPr>
      </w:pPr>
      <w:r>
        <w:rPr>
          <w:color w:val="231F20"/>
          <w:w w:val="105"/>
          <w:sz w:val="16"/>
        </w:rPr>
        <w:t xml:space="preserve">Carlos Marighella, “Kidnapping,” </w:t>
      </w:r>
      <w:r>
        <w:rPr>
          <w:color w:val="231F20"/>
          <w:spacing w:val="1"/>
          <w:w w:val="105"/>
          <w:sz w:val="16"/>
        </w:rPr>
        <w:t xml:space="preserve">Minimanual </w:t>
      </w:r>
      <w:r>
        <w:rPr>
          <w:color w:val="231F20"/>
          <w:w w:val="105"/>
          <w:sz w:val="16"/>
        </w:rPr>
        <w:t>of the Urban Guerilla,</w:t>
      </w:r>
      <w:hyperlink r:id="rId174">
        <w:r>
          <w:rPr>
            <w:color w:val="231F20"/>
            <w:w w:val="105"/>
            <w:sz w:val="16"/>
          </w:rPr>
          <w:t xml:space="preserve"> </w:t>
        </w:r>
        <w:r>
          <w:rPr>
            <w:color w:val="231F20"/>
            <w:w w:val="104"/>
            <w:sz w:val="16"/>
          </w:rPr>
          <w:t>h</w:t>
        </w:r>
        <w:r>
          <w:rPr>
            <w:color w:val="231F20"/>
            <w:spacing w:val="5"/>
            <w:w w:val="102"/>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spacing w:val="1"/>
            <w:w w:val="140"/>
            <w:sz w:val="16"/>
          </w:rPr>
          <w:t>.</w:t>
        </w:r>
        <w:r>
          <w:rPr>
            <w:color w:val="231F20"/>
            <w:spacing w:val="2"/>
            <w:w w:val="103"/>
            <w:sz w:val="16"/>
          </w:rPr>
          <w:t>m</w:t>
        </w:r>
        <w:r>
          <w:rPr>
            <w:color w:val="231F20"/>
            <w:spacing w:val="3"/>
            <w:w w:val="102"/>
            <w:sz w:val="16"/>
          </w:rPr>
          <w:t>ar</w:t>
        </w:r>
        <w:r>
          <w:rPr>
            <w:color w:val="231F20"/>
            <w:spacing w:val="5"/>
            <w:w w:val="119"/>
            <w:sz w:val="16"/>
          </w:rPr>
          <w:t>x</w:t>
        </w:r>
        <w:r>
          <w:rPr>
            <w:color w:val="231F20"/>
            <w:spacing w:val="1"/>
            <w:w w:val="103"/>
            <w:sz w:val="16"/>
          </w:rPr>
          <w:t>i</w:t>
        </w:r>
        <w:r>
          <w:rPr>
            <w:color w:val="231F20"/>
            <w:spacing w:val="1"/>
            <w:w w:val="93"/>
            <w:sz w:val="16"/>
          </w:rPr>
          <w:t>s</w:t>
        </w:r>
        <w:r>
          <w:rPr>
            <w:color w:val="231F20"/>
            <w:spacing w:val="2"/>
            <w:w w:val="102"/>
            <w:sz w:val="16"/>
          </w:rPr>
          <w:t>t</w:t>
        </w:r>
        <w:r>
          <w:rPr>
            <w:color w:val="231F20"/>
            <w:spacing w:val="1"/>
            <w:w w:val="93"/>
            <w:sz w:val="16"/>
          </w:rPr>
          <w:t>s</w:t>
        </w:r>
        <w:r>
          <w:rPr>
            <w:color w:val="231F20"/>
            <w:w w:val="140"/>
            <w:sz w:val="16"/>
          </w:rPr>
          <w:t>.</w:t>
        </w:r>
        <w:r>
          <w:rPr>
            <w:color w:val="231F20"/>
            <w:w w:val="108"/>
            <w:sz w:val="16"/>
          </w:rPr>
          <w:t>o</w:t>
        </w:r>
        <w:r>
          <w:rPr>
            <w:color w:val="231F20"/>
            <w:spacing w:val="1"/>
            <w:w w:val="97"/>
            <w:sz w:val="16"/>
          </w:rPr>
          <w:t>r</w:t>
        </w:r>
        <w:r>
          <w:rPr>
            <w:color w:val="231F20"/>
            <w:spacing w:val="8"/>
            <w:w w:val="104"/>
            <w:sz w:val="16"/>
          </w:rPr>
          <w:t>g</w:t>
        </w:r>
        <w:r>
          <w:rPr>
            <w:color w:val="231F20"/>
            <w:spacing w:val="-3"/>
            <w:w w:val="58"/>
            <w:sz w:val="16"/>
          </w:rPr>
          <w:t>/</w:t>
        </w:r>
        <w:r>
          <w:rPr>
            <w:color w:val="231F20"/>
            <w:spacing w:val="3"/>
            <w:w w:val="102"/>
            <w:sz w:val="16"/>
          </w:rPr>
          <w:t>a</w:t>
        </w:r>
        <w:r>
          <w:rPr>
            <w:color w:val="231F20"/>
            <w:w w:val="102"/>
            <w:sz w:val="16"/>
          </w:rPr>
          <w:t>r</w:t>
        </w:r>
        <w:r>
          <w:rPr>
            <w:color w:val="231F20"/>
            <w:w w:val="104"/>
            <w:sz w:val="16"/>
          </w:rPr>
          <w:t>c</w:t>
        </w:r>
        <w:r>
          <w:rPr>
            <w:color w:val="231F20"/>
            <w:spacing w:val="3"/>
            <w:w w:val="104"/>
            <w:sz w:val="16"/>
          </w:rPr>
          <w:t>h</w:t>
        </w:r>
        <w:r>
          <w:rPr>
            <w:color w:val="231F20"/>
            <w:spacing w:val="-1"/>
            <w:w w:val="104"/>
            <w:sz w:val="16"/>
          </w:rPr>
          <w:t>i</w:t>
        </w:r>
        <w:r>
          <w:rPr>
            <w:color w:val="231F20"/>
            <w:spacing w:val="-1"/>
            <w:w w:val="102"/>
            <w:sz w:val="16"/>
          </w:rPr>
          <w:t>v</w:t>
        </w:r>
        <w:r>
          <w:rPr>
            <w:color w:val="231F20"/>
            <w:spacing w:val="5"/>
            <w:w w:val="94"/>
            <w:sz w:val="16"/>
          </w:rPr>
          <w:t>e</w:t>
        </w:r>
        <w:r>
          <w:rPr>
            <w:color w:val="231F20"/>
            <w:w w:val="58"/>
            <w:sz w:val="16"/>
          </w:rPr>
          <w:t>/</w:t>
        </w:r>
        <w:r>
          <w:rPr>
            <w:color w:val="231F20"/>
            <w:spacing w:val="2"/>
            <w:w w:val="103"/>
            <w:sz w:val="16"/>
          </w:rPr>
          <w:t>m</w:t>
        </w:r>
        <w:r>
          <w:rPr>
            <w:color w:val="231F20"/>
            <w:spacing w:val="3"/>
            <w:w w:val="102"/>
            <w:sz w:val="16"/>
          </w:rPr>
          <w:t>a</w:t>
        </w:r>
        <w:r>
          <w:rPr>
            <w:color w:val="231F20"/>
            <w:spacing w:val="2"/>
            <w:w w:val="102"/>
            <w:sz w:val="16"/>
          </w:rPr>
          <w:t>r</w:t>
        </w:r>
        <w:r>
          <w:rPr>
            <w:color w:val="231F20"/>
            <w:w w:val="103"/>
            <w:sz w:val="16"/>
          </w:rPr>
          <w:t>i</w:t>
        </w:r>
        <w:r>
          <w:rPr>
            <w:color w:val="231F20"/>
            <w:spacing w:val="5"/>
            <w:w w:val="104"/>
            <w:sz w:val="16"/>
          </w:rPr>
          <w:t>g</w:t>
        </w:r>
        <w:r>
          <w:rPr>
            <w:color w:val="231F20"/>
            <w:w w:val="104"/>
            <w:sz w:val="16"/>
          </w:rPr>
          <w:t>h</w:t>
        </w:r>
        <w:r>
          <w:rPr>
            <w:color w:val="231F20"/>
            <w:w w:val="94"/>
            <w:sz w:val="16"/>
          </w:rPr>
          <w:t>e</w:t>
        </w:r>
        <w:r>
          <w:rPr>
            <w:color w:val="231F20"/>
            <w:spacing w:val="2"/>
            <w:w w:val="106"/>
            <w:sz w:val="16"/>
          </w:rPr>
          <w:t>l</w:t>
        </w:r>
        <w:r>
          <w:rPr>
            <w:color w:val="231F20"/>
            <w:spacing w:val="1"/>
            <w:w w:val="106"/>
            <w:sz w:val="16"/>
          </w:rPr>
          <w:t>l</w:t>
        </w:r>
        <w:r>
          <w:rPr>
            <w:color w:val="231F20"/>
            <w:w w:val="106"/>
            <w:sz w:val="16"/>
          </w:rPr>
          <w:t>a</w:t>
        </w:r>
        <w:r>
          <w:rPr>
            <w:color w:val="231F20"/>
            <w:spacing w:val="5"/>
            <w:w w:val="104"/>
            <w:sz w:val="16"/>
          </w:rPr>
          <w:t>-</w:t>
        </w:r>
        <w:r>
          <w:rPr>
            <w:color w:val="231F20"/>
            <w:spacing w:val="2"/>
            <w:w w:val="104"/>
            <w:sz w:val="16"/>
          </w:rPr>
          <w:t>c</w:t>
        </w:r>
        <w:r>
          <w:rPr>
            <w:color w:val="231F20"/>
            <w:spacing w:val="3"/>
            <w:w w:val="102"/>
            <w:sz w:val="16"/>
          </w:rPr>
          <w:t>a</w:t>
        </w:r>
        <w:r>
          <w:rPr>
            <w:color w:val="231F20"/>
            <w:spacing w:val="-1"/>
            <w:w w:val="102"/>
            <w:sz w:val="16"/>
          </w:rPr>
          <w:t>r</w:t>
        </w:r>
        <w:r>
          <w:rPr>
            <w:color w:val="231F20"/>
            <w:w w:val="106"/>
            <w:sz w:val="16"/>
          </w:rPr>
          <w:t>l</w:t>
        </w:r>
        <w:r>
          <w:rPr>
            <w:color w:val="231F20"/>
            <w:spacing w:val="1"/>
            <w:w w:val="108"/>
            <w:sz w:val="16"/>
          </w:rPr>
          <w:t>o</w:t>
        </w:r>
        <w:r>
          <w:rPr>
            <w:color w:val="231F20"/>
            <w:spacing w:val="5"/>
            <w:w w:val="93"/>
            <w:sz w:val="16"/>
          </w:rPr>
          <w:t>s</w:t>
        </w:r>
        <w:r>
          <w:rPr>
            <w:color w:val="231F20"/>
            <w:spacing w:val="-3"/>
            <w:w w:val="58"/>
            <w:sz w:val="16"/>
          </w:rPr>
          <w:t>/</w:t>
        </w:r>
        <w:r>
          <w:rPr>
            <w:color w:val="231F20"/>
            <w:spacing w:val="-6"/>
            <w:w w:val="104"/>
            <w:sz w:val="16"/>
          </w:rPr>
          <w:t>1</w:t>
        </w:r>
        <w:r>
          <w:rPr>
            <w:color w:val="231F20"/>
            <w:spacing w:val="-1"/>
            <w:w w:val="104"/>
            <w:sz w:val="16"/>
          </w:rPr>
          <w:t>9</w:t>
        </w:r>
        <w:r>
          <w:rPr>
            <w:color w:val="231F20"/>
            <w:w w:val="104"/>
            <w:sz w:val="16"/>
          </w:rPr>
          <w:t>6</w:t>
        </w:r>
        <w:r>
          <w:rPr>
            <w:color w:val="231F20"/>
            <w:spacing w:val="1"/>
            <w:w w:val="104"/>
            <w:sz w:val="16"/>
          </w:rPr>
          <w:t>9</w:t>
        </w:r>
        <w:r>
          <w:rPr>
            <w:color w:val="231F20"/>
            <w:spacing w:val="-2"/>
            <w:w w:val="58"/>
            <w:sz w:val="16"/>
          </w:rPr>
          <w:t>/</w:t>
        </w:r>
        <w:r>
          <w:rPr>
            <w:color w:val="231F20"/>
            <w:spacing w:val="1"/>
            <w:w w:val="104"/>
            <w:sz w:val="16"/>
          </w:rPr>
          <w:t>0</w:t>
        </w:r>
        <w:r>
          <w:rPr>
            <w:color w:val="231F20"/>
            <w:spacing w:val="3"/>
            <w:w w:val="104"/>
            <w:sz w:val="16"/>
          </w:rPr>
          <w:t>6</w:t>
        </w:r>
        <w:r>
          <w:rPr>
            <w:color w:val="231F20"/>
            <w:w w:val="58"/>
            <w:sz w:val="16"/>
          </w:rPr>
          <w:t>/</w:t>
        </w:r>
        <w:r>
          <w:rPr>
            <w:color w:val="231F20"/>
            <w:spacing w:val="3"/>
            <w:w w:val="103"/>
            <w:sz w:val="16"/>
          </w:rPr>
          <w:t>mini</w:t>
        </w:r>
        <w:r>
          <w:rPr>
            <w:color w:val="231F20"/>
            <w:spacing w:val="2"/>
            <w:w w:val="103"/>
            <w:sz w:val="16"/>
          </w:rPr>
          <w:t>m</w:t>
        </w:r>
        <w:r>
          <w:rPr>
            <w:color w:val="231F20"/>
            <w:spacing w:val="3"/>
            <w:w w:val="106"/>
            <w:sz w:val="16"/>
          </w:rPr>
          <w:t>a</w:t>
        </w:r>
        <w:r>
          <w:rPr>
            <w:color w:val="231F20"/>
            <w:spacing w:val="-2"/>
            <w:w w:val="103"/>
            <w:sz w:val="16"/>
          </w:rPr>
          <w:t>n</w:t>
        </w:r>
        <w:r>
          <w:rPr>
            <w:color w:val="231F20"/>
            <w:spacing w:val="2"/>
            <w:w w:val="104"/>
            <w:sz w:val="16"/>
          </w:rPr>
          <w:t>u</w:t>
        </w:r>
        <w:r>
          <w:rPr>
            <w:color w:val="231F20"/>
            <w:spacing w:val="2"/>
            <w:w w:val="106"/>
            <w:sz w:val="16"/>
          </w:rPr>
          <w:t>a</w:t>
        </w:r>
        <w:r>
          <w:rPr>
            <w:color w:val="231F20"/>
            <w:w w:val="105"/>
            <w:sz w:val="16"/>
          </w:rPr>
          <w:t>l</w:t>
        </w:r>
        <w:r>
          <w:rPr>
            <w:color w:val="231F20"/>
            <w:spacing w:val="1"/>
            <w:w w:val="105"/>
            <w:sz w:val="16"/>
          </w:rPr>
          <w:t>-</w:t>
        </w:r>
        <w:r>
          <w:rPr>
            <w:color w:val="231F20"/>
            <w:spacing w:val="5"/>
            <w:w w:val="104"/>
            <w:sz w:val="16"/>
          </w:rPr>
          <w:t>u</w:t>
        </w:r>
        <w:r>
          <w:rPr>
            <w:color w:val="231F20"/>
            <w:spacing w:val="-1"/>
            <w:w w:val="97"/>
            <w:sz w:val="16"/>
          </w:rPr>
          <w:t>r</w:t>
        </w:r>
        <w:r>
          <w:rPr>
            <w:color w:val="231F20"/>
            <w:w w:val="105"/>
            <w:sz w:val="16"/>
          </w:rPr>
          <w:t>b</w:t>
        </w:r>
        <w:r>
          <w:rPr>
            <w:color w:val="231F20"/>
            <w:spacing w:val="3"/>
            <w:w w:val="106"/>
            <w:sz w:val="16"/>
          </w:rPr>
          <w:t>a</w:t>
        </w:r>
        <w:r>
          <w:rPr>
            <w:color w:val="231F20"/>
            <w:w w:val="103"/>
            <w:sz w:val="16"/>
          </w:rPr>
          <w:t>n-</w:t>
        </w:r>
      </w:hyperlink>
      <w:r>
        <w:rPr>
          <w:color w:val="231F20"/>
          <w:w w:val="103"/>
          <w:sz w:val="16"/>
        </w:rPr>
        <w:t xml:space="preserve"> </w:t>
      </w:r>
      <w:r>
        <w:rPr>
          <w:color w:val="231F20"/>
          <w:spacing w:val="3"/>
          <w:w w:val="104"/>
          <w:sz w:val="16"/>
        </w:rPr>
        <w:t>g</w:t>
      </w:r>
      <w:r>
        <w:rPr>
          <w:color w:val="231F20"/>
          <w:w w:val="99"/>
          <w:sz w:val="16"/>
        </w:rPr>
        <w:t>ue</w:t>
      </w:r>
      <w:r>
        <w:rPr>
          <w:color w:val="231F20"/>
          <w:spacing w:val="2"/>
          <w:w w:val="97"/>
          <w:sz w:val="16"/>
        </w:rPr>
        <w:t>rr</w:t>
      </w:r>
      <w:r>
        <w:rPr>
          <w:color w:val="231F20"/>
          <w:spacing w:val="2"/>
          <w:w w:val="103"/>
          <w:sz w:val="16"/>
        </w:rPr>
        <w:t>i</w:t>
      </w:r>
      <w:r>
        <w:rPr>
          <w:color w:val="231F20"/>
          <w:spacing w:val="2"/>
          <w:w w:val="106"/>
          <w:sz w:val="16"/>
        </w:rPr>
        <w:t>l</w:t>
      </w:r>
      <w:r>
        <w:rPr>
          <w:color w:val="231F20"/>
          <w:spacing w:val="1"/>
          <w:w w:val="106"/>
          <w:sz w:val="16"/>
        </w:rPr>
        <w:t>l</w:t>
      </w:r>
      <w:r>
        <w:rPr>
          <w:color w:val="231F20"/>
          <w:spacing w:val="6"/>
          <w:w w:val="106"/>
          <w:sz w:val="16"/>
        </w:rPr>
        <w:t>a</w:t>
      </w:r>
      <w:r>
        <w:rPr>
          <w:color w:val="231F20"/>
          <w:spacing w:val="-2"/>
          <w:w w:val="58"/>
          <w:sz w:val="16"/>
        </w:rPr>
        <w:t>/</w:t>
      </w:r>
      <w:r>
        <w:rPr>
          <w:color w:val="231F20"/>
          <w:w w:val="104"/>
          <w:sz w:val="16"/>
        </w:rPr>
        <w:t>c</w:t>
      </w:r>
      <w:r>
        <w:rPr>
          <w:color w:val="231F20"/>
          <w:spacing w:val="1"/>
          <w:w w:val="104"/>
          <w:sz w:val="16"/>
        </w:rPr>
        <w:t>h</w:t>
      </w:r>
      <w:r>
        <w:rPr>
          <w:color w:val="231F20"/>
          <w:w w:val="104"/>
          <w:sz w:val="16"/>
        </w:rPr>
        <w:t>2</w:t>
      </w:r>
      <w:r>
        <w:rPr>
          <w:color w:val="231F20"/>
          <w:spacing w:val="-3"/>
          <w:w w:val="104"/>
          <w:sz w:val="16"/>
        </w:rPr>
        <w:t>8</w:t>
      </w:r>
      <w:r>
        <w:rPr>
          <w:color w:val="231F20"/>
          <w:spacing w:val="1"/>
          <w:w w:val="140"/>
          <w:sz w:val="16"/>
        </w:rPr>
        <w:t>.</w:t>
      </w:r>
      <w:r>
        <w:rPr>
          <w:color w:val="231F20"/>
          <w:w w:val="103"/>
          <w:sz w:val="16"/>
        </w:rPr>
        <w:t>h</w:t>
      </w:r>
      <w:r>
        <w:rPr>
          <w:color w:val="231F20"/>
          <w:spacing w:val="3"/>
          <w:w w:val="103"/>
          <w:sz w:val="16"/>
        </w:rPr>
        <w:t>t</w:t>
      </w:r>
      <w:r>
        <w:rPr>
          <w:color w:val="231F20"/>
          <w:spacing w:val="1"/>
          <w:w w:val="103"/>
          <w:sz w:val="16"/>
        </w:rPr>
        <w:t>m</w:t>
      </w:r>
      <w:r>
        <w:rPr>
          <w:color w:val="231F20"/>
          <w:w w:val="140"/>
          <w:sz w:val="16"/>
        </w:rPr>
        <w:t>.</w:t>
      </w:r>
    </w:p>
    <w:p w14:paraId="3DBF7B38" w14:textId="77777777" w:rsidR="002653E8" w:rsidRDefault="003115E3">
      <w:pPr>
        <w:pStyle w:val="a4"/>
        <w:numPr>
          <w:ilvl w:val="0"/>
          <w:numId w:val="130"/>
        </w:numPr>
        <w:tabs>
          <w:tab w:val="left" w:pos="1467"/>
        </w:tabs>
        <w:ind w:left="1466"/>
        <w:jc w:val="left"/>
        <w:rPr>
          <w:sz w:val="16"/>
        </w:rPr>
      </w:pPr>
      <w:r>
        <w:rPr>
          <w:color w:val="231F20"/>
          <w:w w:val="110"/>
          <w:sz w:val="16"/>
        </w:rPr>
        <w:t>Reeve,</w:t>
      </w:r>
      <w:r>
        <w:rPr>
          <w:color w:val="231F20"/>
          <w:spacing w:val="6"/>
          <w:w w:val="110"/>
          <w:sz w:val="16"/>
        </w:rPr>
        <w:t xml:space="preserve"> </w:t>
      </w:r>
      <w:r>
        <w:rPr>
          <w:color w:val="231F20"/>
          <w:spacing w:val="-5"/>
          <w:w w:val="110"/>
          <w:sz w:val="16"/>
        </w:rPr>
        <w:t>147.</w:t>
      </w:r>
    </w:p>
    <w:p w14:paraId="75E6F400" w14:textId="77777777" w:rsidR="002653E8" w:rsidRDefault="002653E8">
      <w:pPr>
        <w:rPr>
          <w:sz w:val="16"/>
        </w:rPr>
        <w:sectPr w:rsidR="002653E8">
          <w:pgSz w:w="8640" w:h="12960"/>
          <w:pgMar w:top="1060" w:right="0" w:bottom="1040" w:left="0" w:header="0" w:footer="850" w:gutter="0"/>
          <w:cols w:space="720"/>
        </w:sectPr>
      </w:pPr>
    </w:p>
    <w:p w14:paraId="382B89FA" w14:textId="77777777" w:rsidR="002653E8" w:rsidRDefault="003115E3">
      <w:pPr>
        <w:pStyle w:val="a3"/>
        <w:spacing w:before="86" w:line="264" w:lineRule="auto"/>
        <w:ind w:left="1148" w:right="1325" w:hanging="1"/>
        <w:jc w:val="both"/>
      </w:pPr>
      <w:r>
        <w:rPr>
          <w:color w:val="231F20"/>
          <w:w w:val="105"/>
        </w:rPr>
        <w:lastRenderedPageBreak/>
        <w:t>construed</w:t>
      </w:r>
      <w:r>
        <w:rPr>
          <w:color w:val="231F20"/>
          <w:spacing w:val="-23"/>
          <w:w w:val="105"/>
        </w:rPr>
        <w:t xml:space="preserve"> </w:t>
      </w:r>
      <w:r>
        <w:rPr>
          <w:color w:val="231F20"/>
          <w:w w:val="105"/>
        </w:rPr>
        <w:t>as</w:t>
      </w:r>
      <w:r>
        <w:rPr>
          <w:color w:val="231F20"/>
          <w:spacing w:val="-23"/>
          <w:w w:val="105"/>
        </w:rPr>
        <w:t xml:space="preserve"> </w:t>
      </w:r>
      <w:r>
        <w:rPr>
          <w:color w:val="231F20"/>
          <w:w w:val="105"/>
        </w:rPr>
        <w:t>“proof”</w:t>
      </w:r>
      <w:r>
        <w:rPr>
          <w:color w:val="231F20"/>
          <w:spacing w:val="-23"/>
          <w:w w:val="105"/>
        </w:rPr>
        <w:t xml:space="preserve"> </w:t>
      </w:r>
      <w:r>
        <w:rPr>
          <w:color w:val="231F20"/>
          <w:w w:val="105"/>
        </w:rPr>
        <w:t>that</w:t>
      </w:r>
      <w:r>
        <w:rPr>
          <w:color w:val="231F20"/>
          <w:spacing w:val="-24"/>
          <w:w w:val="105"/>
        </w:rPr>
        <w:t xml:space="preserve"> </w:t>
      </w:r>
      <w:r>
        <w:rPr>
          <w:color w:val="231F20"/>
          <w:w w:val="105"/>
        </w:rPr>
        <w:t>they</w:t>
      </w:r>
      <w:r>
        <w:rPr>
          <w:color w:val="231F20"/>
          <w:spacing w:val="-23"/>
          <w:w w:val="105"/>
        </w:rPr>
        <w:t xml:space="preserve"> </w:t>
      </w:r>
      <w:r>
        <w:rPr>
          <w:color w:val="231F20"/>
          <w:w w:val="105"/>
        </w:rPr>
        <w:t>were</w:t>
      </w:r>
      <w:r>
        <w:rPr>
          <w:color w:val="231F20"/>
          <w:spacing w:val="-23"/>
          <w:w w:val="105"/>
        </w:rPr>
        <w:t xml:space="preserve"> </w:t>
      </w:r>
      <w:r>
        <w:rPr>
          <w:color w:val="231F20"/>
          <w:w w:val="105"/>
        </w:rPr>
        <w:t>antisemites,</w:t>
      </w:r>
      <w:r>
        <w:rPr>
          <w:color w:val="231F20"/>
          <w:spacing w:val="-23"/>
          <w:w w:val="105"/>
        </w:rPr>
        <w:t xml:space="preserve"> </w:t>
      </w:r>
      <w:r>
        <w:rPr>
          <w:color w:val="231F20"/>
          <w:w w:val="105"/>
        </w:rPr>
        <w:t>not</w:t>
      </w:r>
      <w:r>
        <w:rPr>
          <w:color w:val="231F20"/>
          <w:spacing w:val="-23"/>
          <w:w w:val="105"/>
        </w:rPr>
        <w:t xml:space="preserve"> </w:t>
      </w:r>
      <w:r>
        <w:rPr>
          <w:color w:val="231F20"/>
          <w:w w:val="105"/>
        </w:rPr>
        <w:t>in</w:t>
      </w:r>
      <w:r>
        <w:rPr>
          <w:color w:val="231F20"/>
          <w:spacing w:val="-23"/>
          <w:w w:val="105"/>
        </w:rPr>
        <w:t xml:space="preserve"> </w:t>
      </w:r>
      <w:r>
        <w:rPr>
          <w:color w:val="231F20"/>
          <w:w w:val="105"/>
        </w:rPr>
        <w:t>the</w:t>
      </w:r>
      <w:r>
        <w:rPr>
          <w:color w:val="231F20"/>
          <w:spacing w:val="-23"/>
          <w:w w:val="105"/>
        </w:rPr>
        <w:t xml:space="preserve"> </w:t>
      </w:r>
      <w:r>
        <w:rPr>
          <w:color w:val="231F20"/>
          <w:w w:val="105"/>
        </w:rPr>
        <w:t>sense</w:t>
      </w:r>
      <w:r>
        <w:rPr>
          <w:color w:val="231F20"/>
          <w:spacing w:val="-23"/>
          <w:w w:val="105"/>
        </w:rPr>
        <w:t xml:space="preserve"> </w:t>
      </w:r>
      <w:r>
        <w:rPr>
          <w:color w:val="231F20"/>
          <w:w w:val="105"/>
        </w:rPr>
        <w:t>of</w:t>
      </w:r>
      <w:r>
        <w:rPr>
          <w:color w:val="231F20"/>
          <w:spacing w:val="-23"/>
          <w:w w:val="105"/>
        </w:rPr>
        <w:t xml:space="preserve"> </w:t>
      </w:r>
      <w:r>
        <w:rPr>
          <w:color w:val="231F20"/>
          <w:w w:val="105"/>
        </w:rPr>
        <w:t>having</w:t>
      </w:r>
      <w:r>
        <w:rPr>
          <w:color w:val="231F20"/>
          <w:spacing w:val="-21"/>
          <w:w w:val="105"/>
        </w:rPr>
        <w:t xml:space="preserve"> </w:t>
      </w:r>
      <w:r>
        <w:rPr>
          <w:color w:val="231F20"/>
          <w:w w:val="105"/>
        </w:rPr>
        <w:t>a</w:t>
      </w:r>
      <w:r>
        <w:rPr>
          <w:color w:val="231F20"/>
          <w:spacing w:val="-21"/>
          <w:w w:val="105"/>
        </w:rPr>
        <w:t xml:space="preserve"> </w:t>
      </w:r>
      <w:r>
        <w:rPr>
          <w:color w:val="231F20"/>
          <w:w w:val="105"/>
        </w:rPr>
        <w:t>weak</w:t>
      </w:r>
      <w:r>
        <w:rPr>
          <w:color w:val="231F20"/>
          <w:spacing w:val="-21"/>
          <w:w w:val="105"/>
        </w:rPr>
        <w:t xml:space="preserve"> </w:t>
      </w:r>
      <w:r>
        <w:rPr>
          <w:color w:val="231F20"/>
          <w:w w:val="105"/>
        </w:rPr>
        <w:t>analysis</w:t>
      </w:r>
      <w:r>
        <w:rPr>
          <w:color w:val="231F20"/>
          <w:spacing w:val="-21"/>
          <w:w w:val="105"/>
        </w:rPr>
        <w:t xml:space="preserve"> </w:t>
      </w:r>
      <w:r>
        <w:rPr>
          <w:color w:val="231F20"/>
          <w:w w:val="105"/>
        </w:rPr>
        <w:t>or</w:t>
      </w:r>
      <w:r>
        <w:rPr>
          <w:color w:val="231F20"/>
          <w:spacing w:val="-21"/>
          <w:w w:val="105"/>
        </w:rPr>
        <w:t xml:space="preserve"> </w:t>
      </w:r>
      <w:r>
        <w:rPr>
          <w:color w:val="231F20"/>
          <w:w w:val="105"/>
        </w:rPr>
        <w:t>oppressive</w:t>
      </w:r>
      <w:r>
        <w:rPr>
          <w:color w:val="231F20"/>
          <w:spacing w:val="-21"/>
          <w:w w:val="105"/>
        </w:rPr>
        <w:t xml:space="preserve"> </w:t>
      </w:r>
      <w:r>
        <w:rPr>
          <w:color w:val="231F20"/>
          <w:w w:val="105"/>
        </w:rPr>
        <w:t>blindspots,</w:t>
      </w:r>
      <w:r>
        <w:rPr>
          <w:color w:val="231F20"/>
          <w:spacing w:val="-21"/>
          <w:w w:val="105"/>
        </w:rPr>
        <w:t xml:space="preserve"> </w:t>
      </w:r>
      <w:r>
        <w:rPr>
          <w:color w:val="231F20"/>
          <w:w w:val="105"/>
        </w:rPr>
        <w:t>but</w:t>
      </w:r>
      <w:r>
        <w:rPr>
          <w:color w:val="231F20"/>
          <w:spacing w:val="-21"/>
          <w:w w:val="105"/>
        </w:rPr>
        <w:t xml:space="preserve"> </w:t>
      </w:r>
      <w:r>
        <w:rPr>
          <w:color w:val="231F20"/>
          <w:w w:val="105"/>
        </w:rPr>
        <w:t>in</w:t>
      </w:r>
      <w:r>
        <w:rPr>
          <w:color w:val="231F20"/>
          <w:spacing w:val="-21"/>
          <w:w w:val="105"/>
        </w:rPr>
        <w:t xml:space="preserve"> </w:t>
      </w:r>
      <w:r>
        <w:rPr>
          <w:color w:val="231F20"/>
          <w:w w:val="105"/>
        </w:rPr>
        <w:t>the</w:t>
      </w:r>
      <w:r>
        <w:rPr>
          <w:color w:val="231F20"/>
          <w:spacing w:val="-21"/>
          <w:w w:val="105"/>
        </w:rPr>
        <w:t xml:space="preserve"> </w:t>
      </w:r>
      <w:r>
        <w:rPr>
          <w:color w:val="231F20"/>
          <w:w w:val="105"/>
        </w:rPr>
        <w:t>sense</w:t>
      </w:r>
      <w:r>
        <w:rPr>
          <w:color w:val="231F20"/>
          <w:spacing w:val="-21"/>
          <w:w w:val="105"/>
        </w:rPr>
        <w:t xml:space="preserve"> </w:t>
      </w:r>
      <w:r>
        <w:rPr>
          <w:color w:val="231F20"/>
          <w:w w:val="105"/>
        </w:rPr>
        <w:t>of</w:t>
      </w:r>
      <w:r>
        <w:rPr>
          <w:color w:val="231F20"/>
          <w:spacing w:val="-21"/>
          <w:w w:val="105"/>
        </w:rPr>
        <w:t xml:space="preserve"> </w:t>
      </w:r>
      <w:r>
        <w:rPr>
          <w:color w:val="231F20"/>
          <w:w w:val="105"/>
        </w:rPr>
        <w:t xml:space="preserve">“hating </w:t>
      </w:r>
      <w:r>
        <w:rPr>
          <w:color w:val="231F20"/>
          <w:spacing w:val="-3"/>
          <w:w w:val="105"/>
        </w:rPr>
        <w:t xml:space="preserve">Jews.” </w:t>
      </w:r>
      <w:r>
        <w:rPr>
          <w:color w:val="231F20"/>
          <w:w w:val="105"/>
        </w:rPr>
        <w:t xml:space="preserve">According to the state, various “terrorism experts,” and some right-wing and liberal pundits, it was in this sense that the </w:t>
      </w:r>
      <w:r w:rsidR="00C507A5">
        <w:rPr>
          <w:color w:val="231F20"/>
          <w:spacing w:val="5"/>
          <w:w w:val="105"/>
        </w:rPr>
        <w:t>red army faction</w:t>
      </w:r>
      <w:r>
        <w:rPr>
          <w:color w:val="231F20"/>
          <w:spacing w:val="5"/>
          <w:w w:val="105"/>
        </w:rPr>
        <w:t xml:space="preserve"> </w:t>
      </w:r>
      <w:r>
        <w:rPr>
          <w:color w:val="231F20"/>
          <w:w w:val="105"/>
        </w:rPr>
        <w:t>was accused of being an antisemitic</w:t>
      </w:r>
      <w:r>
        <w:rPr>
          <w:color w:val="231F20"/>
          <w:spacing w:val="27"/>
          <w:w w:val="105"/>
        </w:rPr>
        <w:t xml:space="preserve"> </w:t>
      </w:r>
      <w:r>
        <w:rPr>
          <w:color w:val="231F20"/>
          <w:w w:val="105"/>
        </w:rPr>
        <w:t>organization.</w:t>
      </w:r>
    </w:p>
    <w:p w14:paraId="79591DE6" w14:textId="77777777" w:rsidR="002653E8" w:rsidRDefault="003115E3">
      <w:pPr>
        <w:pStyle w:val="a3"/>
        <w:spacing w:line="264" w:lineRule="auto"/>
        <w:ind w:left="1148" w:right="1325" w:firstLine="209"/>
        <w:jc w:val="both"/>
      </w:pPr>
      <w:r>
        <w:rPr>
          <w:color w:val="231F20"/>
          <w:spacing w:val="-5"/>
        </w:rPr>
        <w:t xml:space="preserve">yet </w:t>
      </w:r>
      <w:r>
        <w:rPr>
          <w:color w:val="231F20"/>
        </w:rPr>
        <w:t>regardless of whether one finds it to have been correct or ill-conceived, justified or egregious, it is plainly evident that the Munich hostage taking had nothing to do with antisemitism. It was simply part of the struggle of the Palestinian people against colonial oppression. There may be plenty of moral and political arguments with which to object     to the targeting of the Olympic athletes, but opposition to antisemitism is not one of them. Indeed, while anti-Jewish racism may well have led some bigots to applaud the action, anti-Arab racism seems to have led far more to automatically condemn it, and with it all those who would not</w:t>
      </w:r>
      <w:r>
        <w:rPr>
          <w:color w:val="231F20"/>
          <w:spacing w:val="10"/>
        </w:rPr>
        <w:t xml:space="preserve"> </w:t>
      </w:r>
      <w:r>
        <w:rPr>
          <w:color w:val="231F20"/>
          <w:spacing w:val="1"/>
        </w:rPr>
        <w:t>turn</w:t>
      </w:r>
      <w:r>
        <w:rPr>
          <w:color w:val="231F20"/>
          <w:spacing w:val="10"/>
        </w:rPr>
        <w:t xml:space="preserve"> </w:t>
      </w:r>
      <w:r>
        <w:rPr>
          <w:color w:val="231F20"/>
        </w:rPr>
        <w:t>their</w:t>
      </w:r>
      <w:r>
        <w:rPr>
          <w:color w:val="231F20"/>
          <w:spacing w:val="10"/>
        </w:rPr>
        <w:t xml:space="preserve"> </w:t>
      </w:r>
      <w:r>
        <w:rPr>
          <w:color w:val="231F20"/>
        </w:rPr>
        <w:t>backs</w:t>
      </w:r>
      <w:r>
        <w:rPr>
          <w:color w:val="231F20"/>
          <w:spacing w:val="10"/>
        </w:rPr>
        <w:t xml:space="preserve"> </w:t>
      </w:r>
      <w:r>
        <w:rPr>
          <w:color w:val="231F20"/>
        </w:rPr>
        <w:t>on</w:t>
      </w:r>
      <w:r>
        <w:rPr>
          <w:color w:val="231F20"/>
          <w:spacing w:val="10"/>
        </w:rPr>
        <w:t xml:space="preserve"> </w:t>
      </w:r>
      <w:r>
        <w:rPr>
          <w:color w:val="231F20"/>
        </w:rPr>
        <w:t>the</w:t>
      </w:r>
      <w:r>
        <w:rPr>
          <w:color w:val="231F20"/>
          <w:spacing w:val="10"/>
        </w:rPr>
        <w:t xml:space="preserve"> </w:t>
      </w:r>
      <w:r>
        <w:rPr>
          <w:color w:val="231F20"/>
        </w:rPr>
        <w:t>Palestinian</w:t>
      </w:r>
      <w:r>
        <w:rPr>
          <w:color w:val="231F20"/>
          <w:spacing w:val="10"/>
        </w:rPr>
        <w:t xml:space="preserve"> </w:t>
      </w:r>
      <w:r>
        <w:rPr>
          <w:color w:val="231F20"/>
        </w:rPr>
        <w:t>people.</w:t>
      </w:r>
    </w:p>
    <w:p w14:paraId="6ADCF7D7" w14:textId="77777777" w:rsidR="002653E8" w:rsidRDefault="003115E3">
      <w:pPr>
        <w:pStyle w:val="a3"/>
        <w:spacing w:line="264" w:lineRule="auto"/>
        <w:ind w:left="1147" w:right="1326" w:firstLine="210"/>
        <w:jc w:val="both"/>
      </w:pPr>
      <w:r>
        <w:rPr>
          <w:color w:val="231F20"/>
        </w:rPr>
        <w:t xml:space="preserve">yet the accusation did not stop there: some liberal and right-wing critics have gone further, accusing Meinhof of making antisemitic comments as the </w:t>
      </w:r>
      <w:r w:rsidR="00C507A5">
        <w:rPr>
          <w:color w:val="231F20"/>
        </w:rPr>
        <w:t>red army faction</w:t>
      </w:r>
      <w:r>
        <w:rPr>
          <w:color w:val="231F20"/>
        </w:rPr>
        <w:t xml:space="preserve"> text was being delivered. This story has gained some currency in recent years, especially on the internet, so it is worth extending this already lengthy examination in order to establish the facts of the matter.</w:t>
      </w:r>
    </w:p>
    <w:p w14:paraId="3A1CD38A" w14:textId="77777777" w:rsidR="002653E8" w:rsidRDefault="003115E3">
      <w:pPr>
        <w:pStyle w:val="a3"/>
        <w:spacing w:line="264" w:lineRule="auto"/>
        <w:ind w:left="1147" w:right="1325" w:firstLine="210"/>
        <w:jc w:val="both"/>
      </w:pPr>
      <w:r>
        <w:rPr>
          <w:color w:val="231F20"/>
        </w:rPr>
        <w:t xml:space="preserve">As already mentioned, the </w:t>
      </w:r>
      <w:r>
        <w:rPr>
          <w:i/>
          <w:color w:val="231F20"/>
        </w:rPr>
        <w:t xml:space="preserve">Black </w:t>
      </w:r>
      <w:r>
        <w:rPr>
          <w:i/>
          <w:color w:val="231F20"/>
          <w:spacing w:val="1"/>
        </w:rPr>
        <w:t xml:space="preserve">September </w:t>
      </w:r>
      <w:r>
        <w:rPr>
          <w:color w:val="231F20"/>
        </w:rPr>
        <w:t xml:space="preserve">document was read out  in court by Horst Mahler, taking the form of a “cross examination” of Ulrike Meinhof, who had been called to the witness stand. At one point, Meinhof interrupted the reading with an impromptu observation of her own, specifically regarding the nature of German antisemitism and the Holocaust. The only record of what Meinhof said is in an article from  the </w:t>
      </w:r>
      <w:r>
        <w:rPr>
          <w:i/>
          <w:color w:val="231F20"/>
        </w:rPr>
        <w:t>Frankfurter Allgemeine Zeitung</w:t>
      </w:r>
      <w:r>
        <w:rPr>
          <w:color w:val="231F20"/>
        </w:rPr>
        <w:t>, in which many of her words were paraphrased.</w:t>
      </w:r>
      <w:r>
        <w:rPr>
          <w:color w:val="231F20"/>
          <w:spacing w:val="15"/>
        </w:rPr>
        <w:t xml:space="preserve"> </w:t>
      </w:r>
      <w:r>
        <w:rPr>
          <w:color w:val="231F20"/>
        </w:rPr>
        <w:t>Here</w:t>
      </w:r>
      <w:r>
        <w:rPr>
          <w:color w:val="231F20"/>
          <w:spacing w:val="15"/>
        </w:rPr>
        <w:t xml:space="preserve"> </w:t>
      </w:r>
      <w:r>
        <w:rPr>
          <w:color w:val="231F20"/>
        </w:rPr>
        <w:t>is</w:t>
      </w:r>
      <w:r>
        <w:rPr>
          <w:color w:val="231F20"/>
          <w:spacing w:val="15"/>
        </w:rPr>
        <w:t xml:space="preserve"> </w:t>
      </w:r>
      <w:r>
        <w:rPr>
          <w:color w:val="231F20"/>
        </w:rPr>
        <w:t>what</w:t>
      </w:r>
      <w:r>
        <w:rPr>
          <w:color w:val="231F20"/>
          <w:spacing w:val="15"/>
        </w:rPr>
        <w:t xml:space="preserve"> </w:t>
      </w:r>
      <w:r>
        <w:rPr>
          <w:color w:val="231F20"/>
        </w:rPr>
        <w:t>the</w:t>
      </w:r>
      <w:r>
        <w:rPr>
          <w:color w:val="231F20"/>
          <w:spacing w:val="15"/>
        </w:rPr>
        <w:t xml:space="preserve"> </w:t>
      </w:r>
      <w:r>
        <w:rPr>
          <w:i/>
          <w:color w:val="231F20"/>
        </w:rPr>
        <w:t>FAZ</w:t>
      </w:r>
      <w:r>
        <w:rPr>
          <w:i/>
          <w:color w:val="231F20"/>
          <w:spacing w:val="15"/>
        </w:rPr>
        <w:t xml:space="preserve"> </w:t>
      </w:r>
      <w:r>
        <w:rPr>
          <w:color w:val="231F20"/>
        </w:rPr>
        <w:t>reported</w:t>
      </w:r>
      <w:r>
        <w:rPr>
          <w:color w:val="231F20"/>
          <w:spacing w:val="15"/>
        </w:rPr>
        <w:t xml:space="preserve"> </w:t>
      </w:r>
      <w:r>
        <w:rPr>
          <w:color w:val="231F20"/>
        </w:rPr>
        <w:t>Meinhof</w:t>
      </w:r>
      <w:r>
        <w:rPr>
          <w:color w:val="231F20"/>
          <w:spacing w:val="15"/>
        </w:rPr>
        <w:t xml:space="preserve"> </w:t>
      </w:r>
      <w:r>
        <w:rPr>
          <w:color w:val="231F20"/>
        </w:rPr>
        <w:t>as</w:t>
      </w:r>
      <w:r>
        <w:rPr>
          <w:color w:val="231F20"/>
          <w:spacing w:val="15"/>
        </w:rPr>
        <w:t xml:space="preserve"> </w:t>
      </w:r>
      <w:r>
        <w:rPr>
          <w:color w:val="231F20"/>
        </w:rPr>
        <w:t>saying:</w:t>
      </w:r>
    </w:p>
    <w:p w14:paraId="7EEC2647" w14:textId="77777777" w:rsidR="002653E8" w:rsidRDefault="003115E3">
      <w:pPr>
        <w:spacing w:before="98" w:line="276" w:lineRule="auto"/>
        <w:ind w:left="1567" w:right="1739"/>
        <w:jc w:val="both"/>
        <w:rPr>
          <w:i/>
          <w:sz w:val="11"/>
        </w:rPr>
      </w:pPr>
      <w:r>
        <w:rPr>
          <w:i/>
          <w:color w:val="231F20"/>
          <w:spacing w:val="-3"/>
          <w:w w:val="105"/>
          <w:sz w:val="19"/>
        </w:rPr>
        <w:t xml:space="preserve">“Auschwitz </w:t>
      </w:r>
      <w:r>
        <w:rPr>
          <w:i/>
          <w:color w:val="231F20"/>
          <w:w w:val="105"/>
          <w:sz w:val="19"/>
        </w:rPr>
        <w:t xml:space="preserve">meant that six million Jews were murdered and carted off to Europe’s garbage heap, dispensed with as money </w:t>
      </w:r>
      <w:r>
        <w:rPr>
          <w:i/>
          <w:color w:val="231F20"/>
          <w:spacing w:val="-6"/>
          <w:w w:val="105"/>
          <w:sz w:val="19"/>
        </w:rPr>
        <w:t xml:space="preserve">Jews.” </w:t>
      </w:r>
      <w:r>
        <w:rPr>
          <w:i/>
          <w:color w:val="231F20"/>
          <w:w w:val="105"/>
          <w:sz w:val="19"/>
        </w:rPr>
        <w:t>Finance capital and banks, “the hard core of the system”  of</w:t>
      </w:r>
      <w:r>
        <w:rPr>
          <w:i/>
          <w:color w:val="231F20"/>
          <w:spacing w:val="-5"/>
          <w:w w:val="105"/>
          <w:sz w:val="19"/>
        </w:rPr>
        <w:t xml:space="preserve"> </w:t>
      </w:r>
      <w:r>
        <w:rPr>
          <w:i/>
          <w:color w:val="231F20"/>
          <w:w w:val="105"/>
          <w:sz w:val="19"/>
        </w:rPr>
        <w:t>imperialism</w:t>
      </w:r>
      <w:r>
        <w:rPr>
          <w:i/>
          <w:color w:val="231F20"/>
          <w:spacing w:val="-5"/>
          <w:w w:val="105"/>
          <w:sz w:val="19"/>
        </w:rPr>
        <w:t xml:space="preserve"> </w:t>
      </w:r>
      <w:r>
        <w:rPr>
          <w:i/>
          <w:color w:val="231F20"/>
          <w:w w:val="105"/>
          <w:sz w:val="19"/>
        </w:rPr>
        <w:t>and</w:t>
      </w:r>
      <w:r>
        <w:rPr>
          <w:i/>
          <w:color w:val="231F20"/>
          <w:spacing w:val="-5"/>
          <w:w w:val="105"/>
          <w:sz w:val="19"/>
        </w:rPr>
        <w:t xml:space="preserve"> </w:t>
      </w:r>
      <w:r>
        <w:rPr>
          <w:i/>
          <w:color w:val="231F20"/>
          <w:w w:val="105"/>
          <w:sz w:val="19"/>
        </w:rPr>
        <w:t>capitalism</w:t>
      </w:r>
      <w:r>
        <w:rPr>
          <w:i/>
          <w:color w:val="231F20"/>
          <w:spacing w:val="-5"/>
          <w:w w:val="105"/>
          <w:sz w:val="19"/>
        </w:rPr>
        <w:t xml:space="preserve"> </w:t>
      </w:r>
      <w:r>
        <w:rPr>
          <w:i/>
          <w:color w:val="231F20"/>
          <w:w w:val="105"/>
          <w:sz w:val="19"/>
        </w:rPr>
        <w:t>deflected</w:t>
      </w:r>
      <w:r>
        <w:rPr>
          <w:i/>
          <w:color w:val="231F20"/>
          <w:spacing w:val="-5"/>
          <w:w w:val="105"/>
          <w:sz w:val="19"/>
        </w:rPr>
        <w:t xml:space="preserve"> </w:t>
      </w:r>
      <w:r>
        <w:rPr>
          <w:i/>
          <w:color w:val="231F20"/>
          <w:w w:val="105"/>
          <w:sz w:val="19"/>
        </w:rPr>
        <w:t>the</w:t>
      </w:r>
      <w:r>
        <w:rPr>
          <w:i/>
          <w:color w:val="231F20"/>
          <w:spacing w:val="-5"/>
          <w:w w:val="105"/>
          <w:sz w:val="19"/>
        </w:rPr>
        <w:t xml:space="preserve"> </w:t>
      </w:r>
      <w:r>
        <w:rPr>
          <w:i/>
          <w:color w:val="231F20"/>
          <w:w w:val="105"/>
          <w:sz w:val="19"/>
        </w:rPr>
        <w:t>hate</w:t>
      </w:r>
      <w:r>
        <w:rPr>
          <w:i/>
          <w:color w:val="231F20"/>
          <w:spacing w:val="-5"/>
          <w:w w:val="105"/>
          <w:sz w:val="19"/>
        </w:rPr>
        <w:t xml:space="preserve"> </w:t>
      </w:r>
      <w:r>
        <w:rPr>
          <w:i/>
          <w:color w:val="231F20"/>
          <w:w w:val="105"/>
          <w:sz w:val="19"/>
        </w:rPr>
        <w:t>of</w:t>
      </w:r>
      <w:r>
        <w:rPr>
          <w:i/>
          <w:color w:val="231F20"/>
          <w:spacing w:val="-5"/>
          <w:w w:val="105"/>
          <w:sz w:val="19"/>
        </w:rPr>
        <w:t xml:space="preserve"> </w:t>
      </w:r>
      <w:r>
        <w:rPr>
          <w:i/>
          <w:color w:val="231F20"/>
          <w:w w:val="105"/>
          <w:sz w:val="19"/>
        </w:rPr>
        <w:t>the</w:t>
      </w:r>
      <w:r>
        <w:rPr>
          <w:i/>
          <w:color w:val="231F20"/>
          <w:spacing w:val="-5"/>
          <w:w w:val="105"/>
          <w:sz w:val="19"/>
        </w:rPr>
        <w:t xml:space="preserve"> </w:t>
      </w:r>
      <w:r>
        <w:rPr>
          <w:i/>
          <w:color w:val="231F20"/>
          <w:w w:val="105"/>
          <w:sz w:val="19"/>
        </w:rPr>
        <w:t>people</w:t>
      </w:r>
      <w:r>
        <w:rPr>
          <w:i/>
          <w:color w:val="231F20"/>
          <w:spacing w:val="-5"/>
          <w:w w:val="105"/>
          <w:sz w:val="19"/>
        </w:rPr>
        <w:t xml:space="preserve"> </w:t>
      </w:r>
      <w:r>
        <w:rPr>
          <w:i/>
          <w:color w:val="231F20"/>
          <w:w w:val="105"/>
          <w:sz w:val="19"/>
        </w:rPr>
        <w:t>for money and oppression from itself and transferred it to the</w:t>
      </w:r>
      <w:r>
        <w:rPr>
          <w:i/>
          <w:color w:val="231F20"/>
          <w:spacing w:val="-20"/>
          <w:w w:val="105"/>
          <w:sz w:val="19"/>
        </w:rPr>
        <w:t xml:space="preserve"> </w:t>
      </w:r>
      <w:r>
        <w:rPr>
          <w:i/>
          <w:color w:val="231F20"/>
          <w:w w:val="105"/>
          <w:sz w:val="19"/>
        </w:rPr>
        <w:t>Jews.</w:t>
      </w:r>
      <w:r>
        <w:rPr>
          <w:i/>
          <w:color w:val="231F20"/>
          <w:w w:val="105"/>
          <w:position w:val="6"/>
          <w:sz w:val="11"/>
        </w:rPr>
        <w:t>1</w:t>
      </w:r>
    </w:p>
    <w:p w14:paraId="44856721" w14:textId="77777777" w:rsidR="002653E8" w:rsidRDefault="00000000">
      <w:pPr>
        <w:pStyle w:val="a3"/>
        <w:spacing w:before="6"/>
        <w:rPr>
          <w:i/>
          <w:sz w:val="24"/>
        </w:rPr>
      </w:pPr>
      <w:r>
        <w:rPr>
          <w:noProof w:val="0"/>
        </w:rPr>
        <w:pict w14:anchorId="6D7E018C">
          <v:line id="_x0000_s2482" style="position:absolute;z-index:5272;mso-wrap-distance-left:0;mso-wrap-distance-right:0;mso-position-horizontal-relative:page" from="57.4pt,16.55pt" to="129.4pt,16.55pt" strokecolor="#231f20" strokeweight=".5pt">
            <w10:wrap type="topAndBottom" anchorx="page"/>
          </v:line>
        </w:pict>
      </w:r>
    </w:p>
    <w:p w14:paraId="4CD24836" w14:textId="77777777" w:rsidR="002653E8" w:rsidRDefault="003115E3">
      <w:pPr>
        <w:spacing w:before="53" w:line="254" w:lineRule="auto"/>
        <w:ind w:left="1147" w:right="1457"/>
        <w:rPr>
          <w:sz w:val="16"/>
        </w:rPr>
      </w:pPr>
      <w:r w:rsidRPr="00C507A5">
        <w:rPr>
          <w:color w:val="231F20"/>
          <w:w w:val="105"/>
          <w:sz w:val="16"/>
          <w:lang w:val="de-DE"/>
        </w:rPr>
        <w:t xml:space="preserve">1 Peter Jochen Winters, “Ulrike Meinhof läßt sich nur die Stichwort geben,” </w:t>
      </w:r>
      <w:r w:rsidRPr="00C507A5">
        <w:rPr>
          <w:i/>
          <w:color w:val="231F20"/>
          <w:spacing w:val="1"/>
          <w:w w:val="105"/>
          <w:sz w:val="16"/>
          <w:lang w:val="de-DE"/>
        </w:rPr>
        <w:t xml:space="preserve">Frankfurter Allgemeine Zeitung, </w:t>
      </w:r>
      <w:r w:rsidRPr="00C507A5">
        <w:rPr>
          <w:color w:val="231F20"/>
          <w:w w:val="105"/>
          <w:sz w:val="16"/>
          <w:lang w:val="de-DE"/>
        </w:rPr>
        <w:t xml:space="preserve">December </w:t>
      </w:r>
      <w:r w:rsidRPr="00C507A5">
        <w:rPr>
          <w:color w:val="231F20"/>
          <w:spacing w:val="-6"/>
          <w:w w:val="105"/>
          <w:sz w:val="16"/>
          <w:lang w:val="de-DE"/>
        </w:rPr>
        <w:t xml:space="preserve">15, </w:t>
      </w:r>
      <w:r w:rsidRPr="00C507A5">
        <w:rPr>
          <w:color w:val="231F20"/>
          <w:w w:val="105"/>
          <w:sz w:val="16"/>
          <w:lang w:val="de-DE"/>
        </w:rPr>
        <w:t xml:space="preserve">1972. </w:t>
      </w:r>
      <w:r>
        <w:rPr>
          <w:color w:val="231F20"/>
          <w:spacing w:val="1"/>
          <w:w w:val="105"/>
          <w:sz w:val="16"/>
        </w:rPr>
        <w:t xml:space="preserve">Our </w:t>
      </w:r>
      <w:r>
        <w:rPr>
          <w:color w:val="231F20"/>
          <w:w w:val="105"/>
          <w:sz w:val="16"/>
        </w:rPr>
        <w:t xml:space="preserve">translation. Note  that those sections not in quotes consist of the </w:t>
      </w:r>
      <w:r>
        <w:rPr>
          <w:color w:val="231F20"/>
          <w:spacing w:val="1"/>
          <w:w w:val="105"/>
          <w:sz w:val="16"/>
        </w:rPr>
        <w:t xml:space="preserve">summary </w:t>
      </w:r>
      <w:r>
        <w:rPr>
          <w:color w:val="231F20"/>
          <w:w w:val="105"/>
          <w:sz w:val="16"/>
        </w:rPr>
        <w:t xml:space="preserve">by Winters. The entire relevant portion of the FAZ article is reproduced in German and  English  in  Appendix  </w:t>
      </w:r>
      <w:r>
        <w:rPr>
          <w:color w:val="231F20"/>
          <w:spacing w:val="1"/>
          <w:w w:val="105"/>
          <w:sz w:val="16"/>
        </w:rPr>
        <w:t xml:space="preserve">I, </w:t>
      </w:r>
      <w:r>
        <w:rPr>
          <w:color w:val="231F20"/>
          <w:w w:val="105"/>
          <w:sz w:val="16"/>
        </w:rPr>
        <w:t>pages</w:t>
      </w:r>
      <w:r>
        <w:rPr>
          <w:color w:val="231F20"/>
          <w:spacing w:val="8"/>
          <w:w w:val="105"/>
          <w:sz w:val="16"/>
        </w:rPr>
        <w:t xml:space="preserve"> </w:t>
      </w:r>
      <w:r>
        <w:rPr>
          <w:color w:val="231F20"/>
          <w:spacing w:val="-4"/>
          <w:w w:val="105"/>
          <w:sz w:val="16"/>
        </w:rPr>
        <w:t>544-47.</w:t>
      </w:r>
    </w:p>
    <w:p w14:paraId="3A2916AF" w14:textId="77777777" w:rsidR="002653E8" w:rsidRDefault="002653E8">
      <w:pPr>
        <w:spacing w:line="254" w:lineRule="auto"/>
        <w:rPr>
          <w:sz w:val="16"/>
        </w:rPr>
        <w:sectPr w:rsidR="002653E8">
          <w:pgSz w:w="8640" w:h="12960"/>
          <w:pgMar w:top="1060" w:right="0" w:bottom="1040" w:left="0" w:header="0" w:footer="850" w:gutter="0"/>
          <w:cols w:space="720"/>
        </w:sectPr>
      </w:pPr>
    </w:p>
    <w:p w14:paraId="555813F6" w14:textId="77777777" w:rsidR="002653E8" w:rsidRDefault="003115E3">
      <w:pPr>
        <w:pStyle w:val="a3"/>
        <w:spacing w:before="86" w:line="264" w:lineRule="auto"/>
        <w:ind w:left="1328" w:right="1145" w:hanging="1"/>
        <w:jc w:val="both"/>
      </w:pPr>
      <w:r>
        <w:rPr>
          <w:color w:val="231F20"/>
        </w:rPr>
        <w:lastRenderedPageBreak/>
        <w:t xml:space="preserve">The </w:t>
      </w:r>
      <w:r>
        <w:rPr>
          <w:i/>
          <w:color w:val="231F20"/>
        </w:rPr>
        <w:t>FAZ</w:t>
      </w:r>
      <w:r>
        <w:rPr>
          <w:color w:val="231F20"/>
        </w:rPr>
        <w:t>, like all initial observers, seems to have understood Meinhof    as saying that the Nazis took advantage of anticapitalist sentiment,  using stereotypes about “rich Jews” to mobilize gentiles behind a program of genocide. That Meinhof saw herself as opposed to this, and therefore</w:t>
      </w:r>
      <w:r>
        <w:rPr>
          <w:color w:val="231F20"/>
          <w:spacing w:val="10"/>
        </w:rPr>
        <w:t xml:space="preserve"> </w:t>
      </w:r>
      <w:r>
        <w:rPr>
          <w:color w:val="231F20"/>
        </w:rPr>
        <w:t>opposed</w:t>
      </w:r>
      <w:r>
        <w:rPr>
          <w:color w:val="231F20"/>
          <w:spacing w:val="10"/>
        </w:rPr>
        <w:t xml:space="preserve"> </w:t>
      </w:r>
      <w:r>
        <w:rPr>
          <w:color w:val="231F20"/>
        </w:rPr>
        <w:t>to</w:t>
      </w:r>
      <w:r>
        <w:rPr>
          <w:color w:val="231F20"/>
          <w:spacing w:val="10"/>
        </w:rPr>
        <w:t xml:space="preserve"> </w:t>
      </w:r>
      <w:r>
        <w:rPr>
          <w:color w:val="231F20"/>
        </w:rPr>
        <w:t>antisemitism,</w:t>
      </w:r>
      <w:r>
        <w:rPr>
          <w:color w:val="231F20"/>
          <w:spacing w:val="10"/>
        </w:rPr>
        <w:t xml:space="preserve"> </w:t>
      </w:r>
      <w:r>
        <w:rPr>
          <w:color w:val="231F20"/>
        </w:rPr>
        <w:t>was</w:t>
      </w:r>
      <w:r>
        <w:rPr>
          <w:color w:val="231F20"/>
          <w:spacing w:val="10"/>
        </w:rPr>
        <w:t xml:space="preserve"> </w:t>
      </w:r>
      <w:r>
        <w:rPr>
          <w:color w:val="231F20"/>
        </w:rPr>
        <w:t>taken</w:t>
      </w:r>
      <w:r>
        <w:rPr>
          <w:color w:val="231F20"/>
          <w:spacing w:val="10"/>
        </w:rPr>
        <w:t xml:space="preserve"> </w:t>
      </w:r>
      <w:r>
        <w:rPr>
          <w:color w:val="231F20"/>
        </w:rPr>
        <w:t>for</w:t>
      </w:r>
      <w:r>
        <w:rPr>
          <w:color w:val="231F20"/>
          <w:spacing w:val="10"/>
        </w:rPr>
        <w:t xml:space="preserve"> </w:t>
      </w:r>
      <w:r>
        <w:rPr>
          <w:color w:val="231F20"/>
        </w:rPr>
        <w:t>granted.</w:t>
      </w:r>
    </w:p>
    <w:p w14:paraId="2F029CC9" w14:textId="77777777" w:rsidR="002653E8" w:rsidRDefault="003115E3">
      <w:pPr>
        <w:pStyle w:val="a3"/>
        <w:spacing w:line="264" w:lineRule="auto"/>
        <w:ind w:left="1328" w:right="1145" w:firstLine="210"/>
        <w:jc w:val="both"/>
      </w:pPr>
      <w:r>
        <w:rPr>
          <w:color w:val="231F20"/>
        </w:rPr>
        <w:t xml:space="preserve">Such an analysis of Nazism may be criticized for being facile, economistic, or simply incorrect. Nevertheless, it has an established place on the left, and is not in and of itself in any </w:t>
      </w:r>
      <w:r>
        <w:rPr>
          <w:color w:val="231F20"/>
          <w:spacing w:val="-2"/>
        </w:rPr>
        <w:t xml:space="preserve">way </w:t>
      </w:r>
      <w:r>
        <w:rPr>
          <w:color w:val="231F20"/>
        </w:rPr>
        <w:t>anti-Jewish. Rather, it can trace its lineage directly back to the early 20th century social democrat, August Bebel, who famously described antisemitism as “the socialism   of</w:t>
      </w:r>
      <w:r>
        <w:rPr>
          <w:color w:val="231F20"/>
          <w:spacing w:val="10"/>
        </w:rPr>
        <w:t xml:space="preserve"> </w:t>
      </w:r>
      <w:r>
        <w:rPr>
          <w:color w:val="231F20"/>
          <w:spacing w:val="-3"/>
        </w:rPr>
        <w:t>fools.”</w:t>
      </w:r>
    </w:p>
    <w:p w14:paraId="12458B63" w14:textId="77777777" w:rsidR="002653E8" w:rsidRDefault="003115E3">
      <w:pPr>
        <w:pStyle w:val="a3"/>
        <w:spacing w:line="264" w:lineRule="auto"/>
        <w:ind w:left="1327" w:right="1145" w:firstLine="210"/>
        <w:jc w:val="both"/>
      </w:pPr>
      <w:r>
        <w:rPr>
          <w:color w:val="231F20"/>
        </w:rPr>
        <w:t xml:space="preserve">Even so, Meinhof’s words were to be turned against her, especially    in the English-speaking world. One of the first translations of the </w:t>
      </w:r>
      <w:r>
        <w:rPr>
          <w:i/>
          <w:color w:val="231F20"/>
        </w:rPr>
        <w:t xml:space="preserve">FAZ </w:t>
      </w:r>
      <w:r>
        <w:rPr>
          <w:color w:val="231F20"/>
        </w:rPr>
        <w:t xml:space="preserve">quote into English appeared in an article by one George Watson in the British literary magazine </w:t>
      </w:r>
      <w:r>
        <w:rPr>
          <w:i/>
          <w:color w:val="231F20"/>
        </w:rPr>
        <w:t>Encounter</w:t>
      </w:r>
      <w:r>
        <w:rPr>
          <w:color w:val="231F20"/>
        </w:rPr>
        <w:t>, a CIA-funded publication, which had as its aim the winning over of “progressive” intellectuals to the American side in the Cold War.</w:t>
      </w:r>
      <w:r>
        <w:rPr>
          <w:color w:val="231F20"/>
          <w:position w:val="7"/>
          <w:sz w:val="11"/>
        </w:rPr>
        <w:t xml:space="preserve">2 </w:t>
      </w:r>
      <w:r>
        <w:rPr>
          <w:color w:val="231F20"/>
        </w:rPr>
        <w:t xml:space="preserve">This translation had a curious wording, though, one which seemed to give new meaning to what Meinhof had said. According to Watson, the guerilla leader had stated that “Auschwitz means that 6 million Jews were  killed,  and  thrown  onto the waste heap of Europe, </w:t>
      </w:r>
      <w:r>
        <w:rPr>
          <w:i/>
          <w:color w:val="231F20"/>
        </w:rPr>
        <w:t>for what they were</w:t>
      </w:r>
      <w:r>
        <w:rPr>
          <w:color w:val="231F20"/>
        </w:rPr>
        <w:t xml:space="preserve">: </w:t>
      </w:r>
      <w:r>
        <w:rPr>
          <w:color w:val="231F20"/>
          <w:spacing w:val="-3"/>
        </w:rPr>
        <w:t>money-Jews.”</w:t>
      </w:r>
      <w:r>
        <w:rPr>
          <w:color w:val="231F20"/>
          <w:spacing w:val="-3"/>
          <w:position w:val="7"/>
          <w:sz w:val="11"/>
        </w:rPr>
        <w:t xml:space="preserve">3 </w:t>
      </w:r>
      <w:r>
        <w:rPr>
          <w:color w:val="231F20"/>
        </w:rPr>
        <w:t xml:space="preserve">(emphasis </w:t>
      </w:r>
      <w:r>
        <w:rPr>
          <w:color w:val="231F20"/>
          <w:spacing w:val="-3"/>
        </w:rPr>
        <w:t>added)</w:t>
      </w:r>
    </w:p>
    <w:p w14:paraId="11010991" w14:textId="77777777" w:rsidR="002653E8" w:rsidRDefault="003115E3">
      <w:pPr>
        <w:pStyle w:val="a3"/>
        <w:spacing w:line="264" w:lineRule="auto"/>
        <w:ind w:left="1327" w:right="1145" w:firstLine="210"/>
        <w:jc w:val="both"/>
        <w:rPr>
          <w:sz w:val="11"/>
        </w:rPr>
      </w:pPr>
      <w:r>
        <w:rPr>
          <w:color w:val="231F20"/>
        </w:rPr>
        <w:t>The</w:t>
      </w:r>
      <w:r>
        <w:rPr>
          <w:color w:val="231F20"/>
          <w:spacing w:val="-6"/>
        </w:rPr>
        <w:t xml:space="preserve"> </w:t>
      </w:r>
      <w:r>
        <w:rPr>
          <w:color w:val="231F20"/>
        </w:rPr>
        <w:t>clear</w:t>
      </w:r>
      <w:r>
        <w:rPr>
          <w:color w:val="231F20"/>
          <w:spacing w:val="-6"/>
        </w:rPr>
        <w:t xml:space="preserve"> </w:t>
      </w:r>
      <w:r>
        <w:rPr>
          <w:color w:val="231F20"/>
        </w:rPr>
        <w:t>implication</w:t>
      </w:r>
      <w:r>
        <w:rPr>
          <w:color w:val="231F20"/>
          <w:spacing w:val="-6"/>
        </w:rPr>
        <w:t xml:space="preserve"> </w:t>
      </w:r>
      <w:r>
        <w:rPr>
          <w:color w:val="231F20"/>
        </w:rPr>
        <w:t>here</w:t>
      </w:r>
      <w:r>
        <w:rPr>
          <w:color w:val="231F20"/>
          <w:spacing w:val="-6"/>
        </w:rPr>
        <w:t xml:space="preserve"> </w:t>
      </w:r>
      <w:r>
        <w:rPr>
          <w:color w:val="231F20"/>
        </w:rPr>
        <w:t>is</w:t>
      </w:r>
      <w:r>
        <w:rPr>
          <w:color w:val="231F20"/>
          <w:spacing w:val="-6"/>
        </w:rPr>
        <w:t xml:space="preserve"> </w:t>
      </w:r>
      <w:r>
        <w:rPr>
          <w:color w:val="231F20"/>
        </w:rPr>
        <w:t>that</w:t>
      </w:r>
      <w:r>
        <w:rPr>
          <w:color w:val="231F20"/>
          <w:spacing w:val="-6"/>
        </w:rPr>
        <w:t xml:space="preserve"> </w:t>
      </w:r>
      <w:r>
        <w:rPr>
          <w:color w:val="231F20"/>
        </w:rPr>
        <w:t>Meinhof</w:t>
      </w:r>
      <w:r>
        <w:rPr>
          <w:color w:val="231F20"/>
          <w:spacing w:val="-6"/>
        </w:rPr>
        <w:t xml:space="preserve"> </w:t>
      </w:r>
      <w:r>
        <w:rPr>
          <w:color w:val="231F20"/>
        </w:rPr>
        <w:t>approved</w:t>
      </w:r>
      <w:r>
        <w:rPr>
          <w:color w:val="231F20"/>
          <w:spacing w:val="-6"/>
        </w:rPr>
        <w:t xml:space="preserve"> </w:t>
      </w:r>
      <w:r>
        <w:rPr>
          <w:color w:val="231F20"/>
        </w:rPr>
        <w:t>of</w:t>
      </w:r>
      <w:r>
        <w:rPr>
          <w:color w:val="231F20"/>
          <w:spacing w:val="-6"/>
        </w:rPr>
        <w:t xml:space="preserve"> </w:t>
      </w:r>
      <w:r>
        <w:rPr>
          <w:color w:val="231F20"/>
        </w:rPr>
        <w:t>their</w:t>
      </w:r>
      <w:r>
        <w:rPr>
          <w:color w:val="231F20"/>
          <w:spacing w:val="-6"/>
        </w:rPr>
        <w:t xml:space="preserve"> </w:t>
      </w:r>
      <w:r>
        <w:rPr>
          <w:color w:val="231F20"/>
        </w:rPr>
        <w:t xml:space="preserve">murder— that she approved of the Holocaust and Nazism and also Auschwitz.  This would flatly contradict everything Meinhof and the </w:t>
      </w:r>
      <w:r w:rsidR="00C507A5">
        <w:rPr>
          <w:color w:val="231F20"/>
          <w:spacing w:val="5"/>
        </w:rPr>
        <w:t>red army faction</w:t>
      </w:r>
      <w:r>
        <w:rPr>
          <w:color w:val="231F20"/>
          <w:spacing w:val="5"/>
        </w:rPr>
        <w:t xml:space="preserve">  </w:t>
      </w:r>
      <w:r>
        <w:rPr>
          <w:color w:val="231F20"/>
        </w:rPr>
        <w:t xml:space="preserve">had  stated both before and after this point, and this fact alone should suffice to cast doubt on </w:t>
      </w:r>
      <w:r>
        <w:rPr>
          <w:color w:val="231F20"/>
          <w:spacing w:val="-4"/>
        </w:rPr>
        <w:t xml:space="preserve">Watson’s </w:t>
      </w:r>
      <w:r>
        <w:rPr>
          <w:color w:val="231F20"/>
        </w:rPr>
        <w:t xml:space="preserve">translation. As should the fact that those who have gone back to the original German </w:t>
      </w:r>
      <w:r>
        <w:rPr>
          <w:i/>
          <w:color w:val="231F20"/>
        </w:rPr>
        <w:t xml:space="preserve">FAZ </w:t>
      </w:r>
      <w:r>
        <w:rPr>
          <w:color w:val="231F20"/>
        </w:rPr>
        <w:t xml:space="preserve">article have disputed </w:t>
      </w:r>
      <w:r>
        <w:rPr>
          <w:color w:val="231F20"/>
          <w:spacing w:val="-4"/>
        </w:rPr>
        <w:t xml:space="preserve">Watson’s </w:t>
      </w:r>
      <w:r>
        <w:rPr>
          <w:color w:val="231F20"/>
        </w:rPr>
        <w:t>interpretation with apparent</w:t>
      </w:r>
      <w:r>
        <w:rPr>
          <w:color w:val="231F20"/>
          <w:spacing w:val="10"/>
        </w:rPr>
        <w:t xml:space="preserve"> </w:t>
      </w:r>
      <w:r>
        <w:rPr>
          <w:color w:val="231F20"/>
        </w:rPr>
        <w:t>unanimity.</w:t>
      </w:r>
      <w:r>
        <w:rPr>
          <w:color w:val="231F20"/>
          <w:position w:val="7"/>
          <w:sz w:val="11"/>
        </w:rPr>
        <w:t>4</w:t>
      </w:r>
    </w:p>
    <w:p w14:paraId="6FD8C6C8" w14:textId="77777777" w:rsidR="002653E8" w:rsidRDefault="00000000">
      <w:pPr>
        <w:pStyle w:val="a3"/>
        <w:spacing w:before="4"/>
        <w:rPr>
          <w:sz w:val="16"/>
        </w:rPr>
      </w:pPr>
      <w:r>
        <w:rPr>
          <w:noProof w:val="0"/>
        </w:rPr>
        <w:pict w14:anchorId="160E43D5">
          <v:line id="_x0000_s2481" style="position:absolute;z-index:5296;mso-wrap-distance-left:0;mso-wrap-distance-right:0;mso-position-horizontal-relative:page" from="66.4pt,11.8pt" to="138.4pt,11.8pt" strokecolor="#231f20" strokeweight=".5pt">
            <w10:wrap type="topAndBottom" anchorx="page"/>
          </v:line>
        </w:pict>
      </w:r>
    </w:p>
    <w:p w14:paraId="6A4ECEF4" w14:textId="77777777" w:rsidR="002653E8" w:rsidRDefault="003115E3">
      <w:pPr>
        <w:pStyle w:val="a4"/>
        <w:numPr>
          <w:ilvl w:val="0"/>
          <w:numId w:val="22"/>
        </w:numPr>
        <w:tabs>
          <w:tab w:val="left" w:pos="1467"/>
        </w:tabs>
        <w:spacing w:before="53" w:line="254" w:lineRule="auto"/>
        <w:ind w:right="1158" w:firstLine="0"/>
        <w:rPr>
          <w:sz w:val="16"/>
        </w:rPr>
      </w:pPr>
      <w:bookmarkStart w:id="86" w:name="_Hlk71126724"/>
      <w:r>
        <w:rPr>
          <w:color w:val="231F20"/>
          <w:spacing w:val="1"/>
          <w:w w:val="105"/>
          <w:sz w:val="16"/>
        </w:rPr>
        <w:t xml:space="preserve">In </w:t>
      </w:r>
      <w:r>
        <w:rPr>
          <w:color w:val="231F20"/>
          <w:w w:val="105"/>
          <w:sz w:val="16"/>
        </w:rPr>
        <w:t xml:space="preserve">the words of </w:t>
      </w:r>
      <w:r>
        <w:rPr>
          <w:color w:val="231F20"/>
          <w:spacing w:val="1"/>
          <w:w w:val="105"/>
          <w:sz w:val="16"/>
        </w:rPr>
        <w:t xml:space="preserve">Andrew </w:t>
      </w:r>
      <w:r>
        <w:rPr>
          <w:color w:val="231F20"/>
          <w:w w:val="105"/>
          <w:sz w:val="16"/>
        </w:rPr>
        <w:t>Roth, a friend of the magazine’s editor Melvin Lasky: “</w:t>
      </w:r>
      <w:r>
        <w:rPr>
          <w:i/>
          <w:color w:val="231F20"/>
          <w:w w:val="105"/>
          <w:sz w:val="16"/>
        </w:rPr>
        <w:t>Encounter</w:t>
      </w:r>
      <w:r>
        <w:rPr>
          <w:color w:val="231F20"/>
          <w:w w:val="105"/>
          <w:sz w:val="16"/>
        </w:rPr>
        <w:t xml:space="preserve">’s function was to combat anti-Americanism by brainwashing  the uncertain with pro-American articles. These were paid for at several times the rate paid by the </w:t>
      </w:r>
      <w:r>
        <w:rPr>
          <w:i/>
          <w:color w:val="231F20"/>
          <w:w w:val="105"/>
          <w:sz w:val="16"/>
        </w:rPr>
        <w:t xml:space="preserve">New </w:t>
      </w:r>
      <w:r>
        <w:rPr>
          <w:i/>
          <w:color w:val="231F20"/>
          <w:spacing w:val="1"/>
          <w:w w:val="105"/>
          <w:sz w:val="16"/>
        </w:rPr>
        <w:t xml:space="preserve">Statesman </w:t>
      </w:r>
      <w:r>
        <w:rPr>
          <w:color w:val="231F20"/>
          <w:w w:val="105"/>
          <w:sz w:val="16"/>
        </w:rPr>
        <w:t xml:space="preserve">and offered British academics and intellectuals free </w:t>
      </w:r>
      <w:r>
        <w:rPr>
          <w:color w:val="231F20"/>
          <w:spacing w:val="1"/>
          <w:w w:val="105"/>
          <w:sz w:val="16"/>
        </w:rPr>
        <w:t xml:space="preserve">U.S. </w:t>
      </w:r>
      <w:r>
        <w:rPr>
          <w:color w:val="231F20"/>
          <w:w w:val="105"/>
          <w:sz w:val="16"/>
        </w:rPr>
        <w:t xml:space="preserve">trips and expenses-paid lecture tours. There was no room for the objective-minded   in this cold war to capture intellectuals.” (Andrew  Roth,  “Melvin  Lasky,  Cold Warrior who Edited Encounter Magazine,” </w:t>
      </w:r>
      <w:r>
        <w:rPr>
          <w:i/>
          <w:color w:val="231F20"/>
          <w:w w:val="105"/>
          <w:sz w:val="16"/>
        </w:rPr>
        <w:t xml:space="preserve">The </w:t>
      </w:r>
      <w:r>
        <w:rPr>
          <w:i/>
          <w:color w:val="231F20"/>
          <w:spacing w:val="1"/>
          <w:w w:val="105"/>
          <w:sz w:val="16"/>
        </w:rPr>
        <w:t xml:space="preserve">Manchester Guardian </w:t>
      </w:r>
      <w:r>
        <w:rPr>
          <w:color w:val="231F20"/>
          <w:w w:val="105"/>
          <w:sz w:val="16"/>
        </w:rPr>
        <w:t>[online], Obituaries, May 22,</w:t>
      </w:r>
      <w:r>
        <w:rPr>
          <w:color w:val="231F20"/>
          <w:spacing w:val="26"/>
          <w:w w:val="105"/>
          <w:sz w:val="16"/>
        </w:rPr>
        <w:t xml:space="preserve"> </w:t>
      </w:r>
      <w:r>
        <w:rPr>
          <w:color w:val="231F20"/>
          <w:w w:val="105"/>
          <w:sz w:val="16"/>
        </w:rPr>
        <w:t>2004.)</w:t>
      </w:r>
    </w:p>
    <w:p w14:paraId="6C6660D9" w14:textId="77777777" w:rsidR="002653E8" w:rsidRDefault="003115E3">
      <w:pPr>
        <w:pStyle w:val="a4"/>
        <w:numPr>
          <w:ilvl w:val="0"/>
          <w:numId w:val="22"/>
        </w:numPr>
        <w:tabs>
          <w:tab w:val="left" w:pos="1467"/>
        </w:tabs>
        <w:spacing w:before="43"/>
        <w:ind w:firstLine="0"/>
        <w:rPr>
          <w:sz w:val="16"/>
        </w:rPr>
      </w:pPr>
      <w:r>
        <w:rPr>
          <w:color w:val="231F20"/>
          <w:w w:val="110"/>
          <w:sz w:val="16"/>
        </w:rPr>
        <w:t>George</w:t>
      </w:r>
      <w:r>
        <w:rPr>
          <w:color w:val="231F20"/>
          <w:spacing w:val="5"/>
          <w:w w:val="110"/>
          <w:sz w:val="16"/>
        </w:rPr>
        <w:t xml:space="preserve"> </w:t>
      </w:r>
      <w:r>
        <w:rPr>
          <w:color w:val="231F20"/>
          <w:w w:val="110"/>
          <w:sz w:val="16"/>
        </w:rPr>
        <w:t>Watson,</w:t>
      </w:r>
      <w:r>
        <w:rPr>
          <w:color w:val="231F20"/>
          <w:spacing w:val="5"/>
          <w:w w:val="110"/>
          <w:sz w:val="16"/>
        </w:rPr>
        <w:t xml:space="preserve"> </w:t>
      </w:r>
      <w:r>
        <w:rPr>
          <w:color w:val="231F20"/>
          <w:w w:val="110"/>
          <w:sz w:val="16"/>
        </w:rPr>
        <w:t>“Race</w:t>
      </w:r>
      <w:r>
        <w:rPr>
          <w:color w:val="231F20"/>
          <w:spacing w:val="5"/>
          <w:w w:val="110"/>
          <w:sz w:val="16"/>
        </w:rPr>
        <w:t xml:space="preserve"> </w:t>
      </w:r>
      <w:r>
        <w:rPr>
          <w:color w:val="231F20"/>
          <w:w w:val="110"/>
          <w:sz w:val="16"/>
        </w:rPr>
        <w:t>and</w:t>
      </w:r>
      <w:r>
        <w:rPr>
          <w:color w:val="231F20"/>
          <w:spacing w:val="5"/>
          <w:w w:val="110"/>
          <w:sz w:val="16"/>
        </w:rPr>
        <w:t xml:space="preserve"> </w:t>
      </w:r>
      <w:r>
        <w:rPr>
          <w:color w:val="231F20"/>
          <w:w w:val="110"/>
          <w:sz w:val="16"/>
        </w:rPr>
        <w:t>the</w:t>
      </w:r>
      <w:r>
        <w:rPr>
          <w:color w:val="231F20"/>
          <w:spacing w:val="5"/>
          <w:w w:val="110"/>
          <w:sz w:val="16"/>
        </w:rPr>
        <w:t xml:space="preserve"> </w:t>
      </w:r>
      <w:r>
        <w:rPr>
          <w:color w:val="231F20"/>
          <w:w w:val="110"/>
          <w:sz w:val="16"/>
        </w:rPr>
        <w:t>Socialists,”</w:t>
      </w:r>
      <w:r>
        <w:rPr>
          <w:color w:val="231F20"/>
          <w:spacing w:val="5"/>
          <w:w w:val="110"/>
          <w:sz w:val="16"/>
        </w:rPr>
        <w:t xml:space="preserve"> </w:t>
      </w:r>
      <w:r>
        <w:rPr>
          <w:i/>
          <w:color w:val="231F20"/>
          <w:spacing w:val="1"/>
          <w:w w:val="110"/>
          <w:sz w:val="16"/>
        </w:rPr>
        <w:t>Encounter</w:t>
      </w:r>
      <w:r>
        <w:rPr>
          <w:i/>
          <w:color w:val="231F20"/>
          <w:spacing w:val="5"/>
          <w:w w:val="110"/>
          <w:sz w:val="16"/>
        </w:rPr>
        <w:t xml:space="preserve"> </w:t>
      </w:r>
      <w:r>
        <w:rPr>
          <w:color w:val="231F20"/>
          <w:spacing w:val="-3"/>
          <w:w w:val="110"/>
          <w:sz w:val="16"/>
        </w:rPr>
        <w:t>47</w:t>
      </w:r>
      <w:r>
        <w:rPr>
          <w:color w:val="231F20"/>
          <w:spacing w:val="5"/>
          <w:w w:val="110"/>
          <w:sz w:val="16"/>
        </w:rPr>
        <w:t xml:space="preserve"> </w:t>
      </w:r>
      <w:r>
        <w:rPr>
          <w:color w:val="231F20"/>
          <w:w w:val="110"/>
          <w:sz w:val="16"/>
        </w:rPr>
        <w:t>(Nov.</w:t>
      </w:r>
      <w:r>
        <w:rPr>
          <w:color w:val="231F20"/>
          <w:spacing w:val="5"/>
          <w:w w:val="110"/>
          <w:sz w:val="16"/>
        </w:rPr>
        <w:t xml:space="preserve"> </w:t>
      </w:r>
      <w:r>
        <w:rPr>
          <w:color w:val="231F20"/>
          <w:w w:val="110"/>
          <w:sz w:val="16"/>
        </w:rPr>
        <w:t>1976):</w:t>
      </w:r>
      <w:r>
        <w:rPr>
          <w:color w:val="231F20"/>
          <w:spacing w:val="5"/>
          <w:w w:val="110"/>
          <w:sz w:val="16"/>
        </w:rPr>
        <w:t xml:space="preserve"> </w:t>
      </w:r>
      <w:r>
        <w:rPr>
          <w:color w:val="231F20"/>
          <w:w w:val="110"/>
          <w:sz w:val="16"/>
        </w:rPr>
        <w:t>23.</w:t>
      </w:r>
    </w:p>
    <w:p w14:paraId="2E9E487D" w14:textId="77777777" w:rsidR="002653E8" w:rsidRDefault="003115E3">
      <w:pPr>
        <w:pStyle w:val="a4"/>
        <w:numPr>
          <w:ilvl w:val="0"/>
          <w:numId w:val="22"/>
        </w:numPr>
        <w:tabs>
          <w:tab w:val="left" w:pos="1467"/>
        </w:tabs>
        <w:spacing w:before="51" w:line="254" w:lineRule="auto"/>
        <w:ind w:left="1328" w:right="1218" w:firstLine="0"/>
        <w:jc w:val="both"/>
        <w:rPr>
          <w:sz w:val="16"/>
        </w:rPr>
      </w:pPr>
      <w:r>
        <w:rPr>
          <w:color w:val="231F20"/>
          <w:w w:val="105"/>
          <w:sz w:val="16"/>
        </w:rPr>
        <w:t>Scholar Diane Paule, for instance states: “Watson’s translation and analysis make Meinhof’s point appear to be much clearer than in fact it is, and his charge that she ‘spoke</w:t>
      </w:r>
      <w:r>
        <w:rPr>
          <w:color w:val="231F20"/>
          <w:spacing w:val="12"/>
          <w:w w:val="105"/>
          <w:sz w:val="16"/>
        </w:rPr>
        <w:t xml:space="preserve"> </w:t>
      </w:r>
      <w:r>
        <w:rPr>
          <w:color w:val="231F20"/>
          <w:w w:val="105"/>
          <w:sz w:val="16"/>
        </w:rPr>
        <w:t>up</w:t>
      </w:r>
      <w:r>
        <w:rPr>
          <w:color w:val="231F20"/>
          <w:spacing w:val="12"/>
          <w:w w:val="105"/>
          <w:sz w:val="16"/>
        </w:rPr>
        <w:t xml:space="preserve"> </w:t>
      </w:r>
      <w:r>
        <w:rPr>
          <w:color w:val="231F20"/>
          <w:w w:val="105"/>
          <w:sz w:val="16"/>
        </w:rPr>
        <w:t>publicly</w:t>
      </w:r>
      <w:r>
        <w:rPr>
          <w:color w:val="231F20"/>
          <w:spacing w:val="12"/>
          <w:w w:val="105"/>
          <w:sz w:val="16"/>
        </w:rPr>
        <w:t xml:space="preserve"> </w:t>
      </w:r>
      <w:r>
        <w:rPr>
          <w:color w:val="231F20"/>
          <w:w w:val="105"/>
          <w:sz w:val="16"/>
        </w:rPr>
        <w:t>in</w:t>
      </w:r>
      <w:r>
        <w:rPr>
          <w:color w:val="231F20"/>
          <w:spacing w:val="12"/>
          <w:w w:val="105"/>
          <w:sz w:val="16"/>
        </w:rPr>
        <w:t xml:space="preserve"> </w:t>
      </w:r>
      <w:r>
        <w:rPr>
          <w:color w:val="231F20"/>
          <w:w w:val="105"/>
          <w:sz w:val="16"/>
        </w:rPr>
        <w:t>the</w:t>
      </w:r>
      <w:r>
        <w:rPr>
          <w:color w:val="231F20"/>
          <w:spacing w:val="12"/>
          <w:w w:val="105"/>
          <w:sz w:val="16"/>
        </w:rPr>
        <w:t xml:space="preserve"> </w:t>
      </w:r>
      <w:r>
        <w:rPr>
          <w:color w:val="231F20"/>
          <w:w w:val="105"/>
          <w:sz w:val="16"/>
        </w:rPr>
        <w:t>Good</w:t>
      </w:r>
      <w:r>
        <w:rPr>
          <w:color w:val="231F20"/>
          <w:spacing w:val="12"/>
          <w:w w:val="105"/>
          <w:sz w:val="16"/>
        </w:rPr>
        <w:t xml:space="preserve"> </w:t>
      </w:r>
      <w:r>
        <w:rPr>
          <w:color w:val="231F20"/>
          <w:w w:val="105"/>
          <w:sz w:val="16"/>
        </w:rPr>
        <w:t>Old</w:t>
      </w:r>
      <w:r>
        <w:rPr>
          <w:color w:val="231F20"/>
          <w:spacing w:val="12"/>
          <w:w w:val="105"/>
          <w:sz w:val="16"/>
        </w:rPr>
        <w:t xml:space="preserve"> </w:t>
      </w:r>
      <w:r>
        <w:rPr>
          <w:color w:val="231F20"/>
          <w:w w:val="105"/>
          <w:sz w:val="16"/>
        </w:rPr>
        <w:t>Cause</w:t>
      </w:r>
      <w:r>
        <w:rPr>
          <w:color w:val="231F20"/>
          <w:spacing w:val="12"/>
          <w:w w:val="105"/>
          <w:sz w:val="16"/>
        </w:rPr>
        <w:t xml:space="preserve"> </w:t>
      </w:r>
      <w:r>
        <w:rPr>
          <w:color w:val="231F20"/>
          <w:w w:val="105"/>
          <w:sz w:val="16"/>
        </w:rPr>
        <w:t>of</w:t>
      </w:r>
      <w:r>
        <w:rPr>
          <w:color w:val="231F20"/>
          <w:spacing w:val="12"/>
          <w:w w:val="105"/>
          <w:sz w:val="16"/>
        </w:rPr>
        <w:t xml:space="preserve"> </w:t>
      </w:r>
      <w:r>
        <w:rPr>
          <w:color w:val="231F20"/>
          <w:w w:val="105"/>
          <w:sz w:val="16"/>
        </w:rPr>
        <w:t>revolutionary</w:t>
      </w:r>
      <w:r>
        <w:rPr>
          <w:color w:val="231F20"/>
          <w:spacing w:val="12"/>
          <w:w w:val="105"/>
          <w:sz w:val="16"/>
        </w:rPr>
        <w:t xml:space="preserve"> </w:t>
      </w:r>
      <w:r>
        <w:rPr>
          <w:color w:val="231F20"/>
          <w:w w:val="105"/>
          <w:sz w:val="16"/>
        </w:rPr>
        <w:t>extermination’</w:t>
      </w:r>
      <w:r>
        <w:rPr>
          <w:color w:val="231F20"/>
          <w:spacing w:val="12"/>
          <w:w w:val="105"/>
          <w:sz w:val="16"/>
        </w:rPr>
        <w:t xml:space="preserve"> </w:t>
      </w:r>
      <w:r>
        <w:rPr>
          <w:color w:val="231F20"/>
          <w:w w:val="105"/>
          <w:sz w:val="16"/>
        </w:rPr>
        <w:t>is</w:t>
      </w:r>
      <w:r>
        <w:rPr>
          <w:color w:val="231F20"/>
          <w:spacing w:val="12"/>
          <w:w w:val="105"/>
          <w:sz w:val="16"/>
        </w:rPr>
        <w:t xml:space="preserve"> </w:t>
      </w:r>
      <w:r>
        <w:rPr>
          <w:color w:val="231F20"/>
          <w:w w:val="105"/>
          <w:sz w:val="16"/>
        </w:rPr>
        <w:t>not</w:t>
      </w:r>
    </w:p>
    <w:bookmarkEnd w:id="86"/>
    <w:p w14:paraId="094FAD5E" w14:textId="77777777" w:rsidR="002653E8" w:rsidRDefault="002653E8">
      <w:pPr>
        <w:spacing w:line="254" w:lineRule="auto"/>
        <w:jc w:val="both"/>
        <w:rPr>
          <w:sz w:val="16"/>
        </w:rPr>
        <w:sectPr w:rsidR="002653E8">
          <w:pgSz w:w="8640" w:h="12960"/>
          <w:pgMar w:top="1060" w:right="0" w:bottom="1040" w:left="0" w:header="0" w:footer="850" w:gutter="0"/>
          <w:cols w:space="720"/>
        </w:sectPr>
      </w:pPr>
    </w:p>
    <w:p w14:paraId="50BAAD57" w14:textId="77777777" w:rsidR="002653E8" w:rsidRDefault="003115E3">
      <w:pPr>
        <w:pStyle w:val="a3"/>
        <w:spacing w:before="86" w:line="264" w:lineRule="auto"/>
        <w:ind w:left="1147" w:right="1325" w:firstLine="210"/>
        <w:jc w:val="both"/>
      </w:pPr>
      <w:r>
        <w:rPr>
          <w:color w:val="231F20"/>
        </w:rPr>
        <w:lastRenderedPageBreak/>
        <w:t xml:space="preserve">However, most people do not return to the original, and this conveniently damning translation has  subsequently  found  its  </w:t>
      </w:r>
      <w:r>
        <w:rPr>
          <w:color w:val="231F20"/>
          <w:spacing w:val="-2"/>
        </w:rPr>
        <w:t>way</w:t>
      </w:r>
      <w:r>
        <w:rPr>
          <w:color w:val="231F20"/>
          <w:spacing w:val="40"/>
        </w:rPr>
        <w:t xml:space="preserve"> </w:t>
      </w:r>
      <w:r>
        <w:rPr>
          <w:color w:val="231F20"/>
        </w:rPr>
        <w:t xml:space="preserve">into  all sorts of studies and discussions, not  only  of  the  </w:t>
      </w:r>
      <w:r w:rsidR="00C507A5">
        <w:rPr>
          <w:color w:val="231F20"/>
        </w:rPr>
        <w:t>red army faction</w:t>
      </w:r>
      <w:r>
        <w:rPr>
          <w:color w:val="231F20"/>
        </w:rPr>
        <w:t xml:space="preserve">,  but  of  the left in general. Saul Bellow quoted it as he accepted the Nobel Prize       in Literature in </w:t>
      </w:r>
      <w:r>
        <w:rPr>
          <w:color w:val="231F20"/>
          <w:spacing w:val="-4"/>
        </w:rPr>
        <w:t>1976,</w:t>
      </w:r>
      <w:r>
        <w:rPr>
          <w:color w:val="231F20"/>
          <w:spacing w:val="-4"/>
          <w:position w:val="7"/>
          <w:sz w:val="11"/>
        </w:rPr>
        <w:t xml:space="preserve">1 </w:t>
      </w:r>
      <w:r>
        <w:rPr>
          <w:color w:val="231F20"/>
        </w:rPr>
        <w:t>and it has  been  featured  in  books  “proving”  that revolutionary anticapitalism is  antisemitic.</w:t>
      </w:r>
      <w:r>
        <w:rPr>
          <w:color w:val="231F20"/>
          <w:position w:val="7"/>
          <w:sz w:val="11"/>
        </w:rPr>
        <w:t xml:space="preserve">2  </w:t>
      </w:r>
      <w:r>
        <w:rPr>
          <w:color w:val="231F20"/>
          <w:spacing w:val="1"/>
        </w:rPr>
        <w:t xml:space="preserve">All </w:t>
      </w:r>
      <w:r>
        <w:rPr>
          <w:color w:val="231F20"/>
        </w:rPr>
        <w:t xml:space="preserve">over  the  internet it appears as “evidence” that not only the </w:t>
      </w:r>
      <w:r w:rsidR="00C507A5">
        <w:rPr>
          <w:color w:val="231F20"/>
        </w:rPr>
        <w:t>red army faction</w:t>
      </w:r>
      <w:r>
        <w:rPr>
          <w:color w:val="231F20"/>
        </w:rPr>
        <w:t>, but indeed the entire German</w:t>
      </w:r>
      <w:r>
        <w:rPr>
          <w:color w:val="231F20"/>
          <w:spacing w:val="15"/>
        </w:rPr>
        <w:t xml:space="preserve"> </w:t>
      </w:r>
      <w:r>
        <w:rPr>
          <w:color w:val="231F20"/>
        </w:rPr>
        <w:t>New</w:t>
      </w:r>
      <w:r>
        <w:rPr>
          <w:color w:val="231F20"/>
          <w:spacing w:val="15"/>
        </w:rPr>
        <w:t xml:space="preserve"> </w:t>
      </w:r>
      <w:r>
        <w:rPr>
          <w:color w:val="231F20"/>
          <w:spacing w:val="1"/>
        </w:rPr>
        <w:t>Left,</w:t>
      </w:r>
      <w:r>
        <w:rPr>
          <w:color w:val="231F20"/>
          <w:spacing w:val="15"/>
        </w:rPr>
        <w:t xml:space="preserve"> </w:t>
      </w:r>
      <w:r>
        <w:rPr>
          <w:color w:val="231F20"/>
        </w:rPr>
        <w:t>was</w:t>
      </w:r>
      <w:r>
        <w:rPr>
          <w:color w:val="231F20"/>
          <w:spacing w:val="15"/>
        </w:rPr>
        <w:t xml:space="preserve"> </w:t>
      </w:r>
      <w:r>
        <w:rPr>
          <w:color w:val="231F20"/>
        </w:rPr>
        <w:t>anti-Jewish,</w:t>
      </w:r>
      <w:r>
        <w:rPr>
          <w:color w:val="231F20"/>
          <w:spacing w:val="15"/>
        </w:rPr>
        <w:t xml:space="preserve"> </w:t>
      </w:r>
      <w:r>
        <w:rPr>
          <w:color w:val="231F20"/>
        </w:rPr>
        <w:t>if</w:t>
      </w:r>
      <w:r>
        <w:rPr>
          <w:color w:val="231F20"/>
          <w:spacing w:val="15"/>
        </w:rPr>
        <w:t xml:space="preserve"> </w:t>
      </w:r>
      <w:r>
        <w:rPr>
          <w:color w:val="231F20"/>
        </w:rPr>
        <w:t>not</w:t>
      </w:r>
      <w:r>
        <w:rPr>
          <w:color w:val="231F20"/>
          <w:spacing w:val="15"/>
        </w:rPr>
        <w:t xml:space="preserve"> </w:t>
      </w:r>
      <w:r>
        <w:rPr>
          <w:color w:val="231F20"/>
        </w:rPr>
        <w:t>crypto-Nazi.</w:t>
      </w:r>
    </w:p>
    <w:p w14:paraId="2498B34E" w14:textId="77777777" w:rsidR="002653E8" w:rsidRDefault="003115E3">
      <w:pPr>
        <w:pStyle w:val="a3"/>
        <w:spacing w:line="264" w:lineRule="auto"/>
        <w:ind w:left="1147" w:right="1325" w:firstLine="210"/>
        <w:jc w:val="both"/>
      </w:pPr>
      <w:r>
        <w:rPr>
          <w:color w:val="231F20"/>
          <w:spacing w:val="-5"/>
        </w:rPr>
        <w:t xml:space="preserve">We </w:t>
      </w:r>
      <w:r>
        <w:rPr>
          <w:color w:val="231F20"/>
        </w:rPr>
        <w:t xml:space="preserve">are not claiming that there are no legitimate criticisms to be made of how the </w:t>
      </w:r>
      <w:r>
        <w:rPr>
          <w:color w:val="231F20"/>
          <w:spacing w:val="-3"/>
        </w:rPr>
        <w:t xml:space="preserve">West </w:t>
      </w:r>
      <w:r>
        <w:rPr>
          <w:color w:val="231F20"/>
        </w:rPr>
        <w:t xml:space="preserve">German left dealt </w:t>
      </w:r>
      <w:r>
        <w:rPr>
          <w:color w:val="231F20"/>
          <w:spacing w:val="1"/>
        </w:rPr>
        <w:t xml:space="preserve">with—or </w:t>
      </w:r>
      <w:r>
        <w:rPr>
          <w:color w:val="231F20"/>
        </w:rPr>
        <w:t xml:space="preserve">failed to deal with—the question of antisemitism. It has been noted that many radicals’ fierce antifascism rested on an analysis which saw the persecution of Jews     as merely incidental to Nazism. Some radicals,  including  the  </w:t>
      </w:r>
      <w:r w:rsidR="00C507A5">
        <w:rPr>
          <w:color w:val="231F20"/>
        </w:rPr>
        <w:t>red army faction</w:t>
      </w:r>
      <w:r>
        <w:rPr>
          <w:color w:val="231F20"/>
        </w:rPr>
        <w:t>,  often did seem to view the Third Reich as nothing more than a case       of hyper-capitalism, the solution to which could be as simple as hyperanticapitalism.</w:t>
      </w:r>
    </w:p>
    <w:p w14:paraId="112382DE" w14:textId="77777777" w:rsidR="002653E8" w:rsidRDefault="003115E3">
      <w:pPr>
        <w:pStyle w:val="a3"/>
        <w:spacing w:line="264" w:lineRule="auto"/>
        <w:ind w:left="1147" w:right="1325" w:firstLine="210"/>
        <w:jc w:val="both"/>
      </w:pPr>
      <w:r>
        <w:rPr>
          <w:color w:val="231F20"/>
        </w:rPr>
        <w:t>Combined with a persisting lack of clarity regarding the status of Germany—imperialist?</w:t>
      </w:r>
      <w:r>
        <w:rPr>
          <w:color w:val="231F20"/>
          <w:spacing w:val="-7"/>
        </w:rPr>
        <w:t xml:space="preserve"> </w:t>
      </w:r>
      <w:r>
        <w:rPr>
          <w:color w:val="231F20"/>
        </w:rPr>
        <w:t>or</w:t>
      </w:r>
      <w:r>
        <w:rPr>
          <w:color w:val="231F20"/>
          <w:spacing w:val="-7"/>
        </w:rPr>
        <w:t xml:space="preserve"> </w:t>
      </w:r>
      <w:r>
        <w:rPr>
          <w:color w:val="231F20"/>
        </w:rPr>
        <w:t>colonized?</w:t>
      </w:r>
      <w:r>
        <w:rPr>
          <w:color w:val="231F20"/>
          <w:position w:val="7"/>
          <w:sz w:val="11"/>
        </w:rPr>
        <w:t>3</w:t>
      </w:r>
      <w:r>
        <w:rPr>
          <w:color w:val="231F20"/>
        </w:rPr>
        <w:t>—and</w:t>
      </w:r>
      <w:r>
        <w:rPr>
          <w:color w:val="231F20"/>
          <w:spacing w:val="-7"/>
        </w:rPr>
        <w:t xml:space="preserve"> </w:t>
      </w:r>
      <w:r>
        <w:rPr>
          <w:color w:val="231F20"/>
        </w:rPr>
        <w:t>a</w:t>
      </w:r>
      <w:r>
        <w:rPr>
          <w:color w:val="231F20"/>
          <w:spacing w:val="-7"/>
        </w:rPr>
        <w:t xml:space="preserve"> </w:t>
      </w:r>
      <w:r>
        <w:rPr>
          <w:color w:val="231F20"/>
        </w:rPr>
        <w:t>keen</w:t>
      </w:r>
      <w:r>
        <w:rPr>
          <w:color w:val="231F20"/>
          <w:spacing w:val="-7"/>
        </w:rPr>
        <w:t xml:space="preserve"> </w:t>
      </w:r>
      <w:r>
        <w:rPr>
          <w:color w:val="231F20"/>
        </w:rPr>
        <w:t>awareness</w:t>
      </w:r>
      <w:r>
        <w:rPr>
          <w:color w:val="231F20"/>
          <w:spacing w:val="-7"/>
        </w:rPr>
        <w:t xml:space="preserve"> </w:t>
      </w:r>
      <w:r>
        <w:rPr>
          <w:color w:val="231F20"/>
        </w:rPr>
        <w:t>of</w:t>
      </w:r>
      <w:r>
        <w:rPr>
          <w:color w:val="231F20"/>
          <w:spacing w:val="-7"/>
        </w:rPr>
        <w:t xml:space="preserve"> </w:t>
      </w:r>
      <w:r>
        <w:rPr>
          <w:color w:val="231F20"/>
        </w:rPr>
        <w:t>Israel’s role in world imperialism, these weaknesses pushed sections of the left to occasionally espouse positions which belied a certain antisemitism. This was a serious error at times in the 1970s, and coming to grips   with it would eventually acquire some importance for some individuals within both the K-groups and the undogmatic left.</w:t>
      </w:r>
    </w:p>
    <w:p w14:paraId="1A6035B9" w14:textId="77777777" w:rsidR="002653E8" w:rsidRDefault="003115E3">
      <w:pPr>
        <w:pStyle w:val="a3"/>
        <w:spacing w:line="264" w:lineRule="auto"/>
        <w:ind w:left="1147" w:right="1325" w:firstLine="210"/>
        <w:jc w:val="both"/>
      </w:pPr>
      <w:r>
        <w:rPr>
          <w:color w:val="231F20"/>
        </w:rPr>
        <w:t xml:space="preserve">Despite these facts, being a left-wing German anti-Zionist was in no </w:t>
      </w:r>
      <w:r>
        <w:rPr>
          <w:color w:val="231F20"/>
          <w:spacing w:val="-2"/>
        </w:rPr>
        <w:t xml:space="preserve">way </w:t>
      </w:r>
      <w:r>
        <w:rPr>
          <w:color w:val="231F20"/>
        </w:rPr>
        <w:t xml:space="preserve">tantamount to being an antisemite. Far from it. </w:t>
      </w:r>
      <w:r>
        <w:rPr>
          <w:color w:val="231F20"/>
          <w:spacing w:val="1"/>
        </w:rPr>
        <w:t xml:space="preserve">In </w:t>
      </w:r>
      <w:r>
        <w:rPr>
          <w:color w:val="231F20"/>
        </w:rPr>
        <w:t xml:space="preserve">the precise case of the </w:t>
      </w:r>
      <w:r w:rsidR="00C507A5">
        <w:rPr>
          <w:color w:val="231F20"/>
        </w:rPr>
        <w:t>red army faction</w:t>
      </w:r>
      <w:r>
        <w:rPr>
          <w:color w:val="231F20"/>
        </w:rPr>
        <w:t>, those who would accuse the group of antisemitism have yet to make their</w:t>
      </w:r>
      <w:r>
        <w:rPr>
          <w:color w:val="231F20"/>
          <w:spacing w:val="32"/>
        </w:rPr>
        <w:t xml:space="preserve"> </w:t>
      </w:r>
      <w:r>
        <w:rPr>
          <w:color w:val="231F20"/>
        </w:rPr>
        <w:t>case.</w:t>
      </w:r>
    </w:p>
    <w:p w14:paraId="77F9C116" w14:textId="77777777" w:rsidR="002653E8" w:rsidRDefault="003115E3">
      <w:pPr>
        <w:pStyle w:val="a3"/>
        <w:spacing w:line="264" w:lineRule="auto"/>
        <w:ind w:left="1147" w:right="1325" w:firstLine="210"/>
        <w:jc w:val="both"/>
      </w:pPr>
      <w:r>
        <w:rPr>
          <w:color w:val="231F20"/>
        </w:rPr>
        <w:t>As to Ulrike Meinhof’s words in question, Watson’s translation is simply wrong. Whether this was an “honest mistake,” or whether it had something to do with the CIA funding the magazine for which he wrote is a question readers had best ponder for themselves. Certainly, the timing is suspect: his article appeared in November 1976. As detailed in</w:t>
      </w:r>
    </w:p>
    <w:p w14:paraId="437162C0" w14:textId="77777777" w:rsidR="002653E8" w:rsidRDefault="00000000">
      <w:pPr>
        <w:pStyle w:val="a3"/>
        <w:spacing w:before="10"/>
        <w:rPr>
          <w:sz w:val="17"/>
        </w:rPr>
      </w:pPr>
      <w:r>
        <w:rPr>
          <w:noProof w:val="0"/>
        </w:rPr>
        <w:pict w14:anchorId="3C4D127A">
          <v:line id="_x0000_s2480" style="position:absolute;z-index:5320;mso-wrap-distance-left:0;mso-wrap-distance-right:0;mso-position-horizontal-relative:page" from="57.4pt,12.95pt" to="345.4pt,12.95pt" strokecolor="#231f20" strokeweight="1pt">
            <w10:wrap type="topAndBottom" anchorx="page"/>
          </v:line>
        </w:pict>
      </w:r>
    </w:p>
    <w:p w14:paraId="6FE64008" w14:textId="77777777" w:rsidR="002653E8" w:rsidRDefault="003115E3">
      <w:pPr>
        <w:spacing w:before="8" w:line="254" w:lineRule="auto"/>
        <w:ind w:left="1147" w:right="1421"/>
        <w:rPr>
          <w:sz w:val="16"/>
        </w:rPr>
      </w:pPr>
      <w:r>
        <w:rPr>
          <w:color w:val="231F20"/>
          <w:w w:val="110"/>
          <w:sz w:val="16"/>
        </w:rPr>
        <w:t>obviously</w:t>
      </w:r>
      <w:r>
        <w:rPr>
          <w:color w:val="231F20"/>
          <w:spacing w:val="-5"/>
          <w:w w:val="110"/>
          <w:sz w:val="16"/>
        </w:rPr>
        <w:t xml:space="preserve"> </w:t>
      </w:r>
      <w:r>
        <w:rPr>
          <w:color w:val="231F20"/>
          <w:w w:val="110"/>
          <w:sz w:val="16"/>
        </w:rPr>
        <w:t>supported</w:t>
      </w:r>
      <w:r>
        <w:rPr>
          <w:color w:val="231F20"/>
          <w:spacing w:val="-5"/>
          <w:w w:val="110"/>
          <w:sz w:val="16"/>
        </w:rPr>
        <w:t xml:space="preserve"> </w:t>
      </w:r>
      <w:r>
        <w:rPr>
          <w:color w:val="231F20"/>
          <w:w w:val="110"/>
          <w:sz w:val="16"/>
        </w:rPr>
        <w:t>by</w:t>
      </w:r>
      <w:r>
        <w:rPr>
          <w:color w:val="231F20"/>
          <w:spacing w:val="-5"/>
          <w:w w:val="110"/>
          <w:sz w:val="16"/>
        </w:rPr>
        <w:t xml:space="preserve"> </w:t>
      </w:r>
      <w:r>
        <w:rPr>
          <w:color w:val="231F20"/>
          <w:w w:val="110"/>
          <w:sz w:val="16"/>
        </w:rPr>
        <w:t>the</w:t>
      </w:r>
      <w:r>
        <w:rPr>
          <w:color w:val="231F20"/>
          <w:spacing w:val="-5"/>
          <w:w w:val="110"/>
          <w:sz w:val="16"/>
        </w:rPr>
        <w:t xml:space="preserve"> </w:t>
      </w:r>
      <w:r>
        <w:rPr>
          <w:color w:val="231F20"/>
          <w:w w:val="110"/>
          <w:sz w:val="16"/>
        </w:rPr>
        <w:t>text.”</w:t>
      </w:r>
      <w:bookmarkStart w:id="87" w:name="_Hlk71128934"/>
      <w:r>
        <w:rPr>
          <w:color w:val="231F20"/>
          <w:spacing w:val="-5"/>
          <w:w w:val="110"/>
          <w:sz w:val="16"/>
        </w:rPr>
        <w:t xml:space="preserve"> </w:t>
      </w:r>
      <w:r>
        <w:rPr>
          <w:color w:val="231F20"/>
          <w:w w:val="110"/>
          <w:sz w:val="16"/>
        </w:rPr>
        <w:t>[“‘In</w:t>
      </w:r>
      <w:r>
        <w:rPr>
          <w:color w:val="231F20"/>
          <w:spacing w:val="-5"/>
          <w:w w:val="110"/>
          <w:sz w:val="16"/>
        </w:rPr>
        <w:t xml:space="preserve"> </w:t>
      </w:r>
      <w:r>
        <w:rPr>
          <w:color w:val="231F20"/>
          <w:w w:val="110"/>
          <w:sz w:val="16"/>
        </w:rPr>
        <w:t>the</w:t>
      </w:r>
      <w:r>
        <w:rPr>
          <w:color w:val="231F20"/>
          <w:spacing w:val="-5"/>
          <w:w w:val="110"/>
          <w:sz w:val="16"/>
        </w:rPr>
        <w:t xml:space="preserve"> </w:t>
      </w:r>
      <w:r>
        <w:rPr>
          <w:color w:val="231F20"/>
          <w:w w:val="110"/>
          <w:sz w:val="16"/>
        </w:rPr>
        <w:t>Interests</w:t>
      </w:r>
      <w:r>
        <w:rPr>
          <w:color w:val="231F20"/>
          <w:spacing w:val="-5"/>
          <w:w w:val="110"/>
          <w:sz w:val="16"/>
        </w:rPr>
        <w:t xml:space="preserve"> </w:t>
      </w:r>
      <w:r>
        <w:rPr>
          <w:color w:val="231F20"/>
          <w:w w:val="110"/>
          <w:sz w:val="16"/>
        </w:rPr>
        <w:t>of</w:t>
      </w:r>
      <w:r>
        <w:rPr>
          <w:color w:val="231F20"/>
          <w:spacing w:val="-5"/>
          <w:w w:val="110"/>
          <w:sz w:val="16"/>
        </w:rPr>
        <w:t xml:space="preserve"> </w:t>
      </w:r>
      <w:r>
        <w:rPr>
          <w:color w:val="231F20"/>
          <w:w w:val="110"/>
          <w:sz w:val="16"/>
        </w:rPr>
        <w:t>Civilization’:</w:t>
      </w:r>
      <w:r>
        <w:rPr>
          <w:color w:val="231F20"/>
          <w:spacing w:val="-5"/>
          <w:w w:val="110"/>
          <w:sz w:val="16"/>
        </w:rPr>
        <w:t xml:space="preserve"> </w:t>
      </w:r>
      <w:r>
        <w:rPr>
          <w:color w:val="231F20"/>
          <w:spacing w:val="1"/>
          <w:w w:val="110"/>
          <w:sz w:val="16"/>
        </w:rPr>
        <w:t>Marxist</w:t>
      </w:r>
      <w:r>
        <w:rPr>
          <w:color w:val="231F20"/>
          <w:spacing w:val="-5"/>
          <w:w w:val="110"/>
          <w:sz w:val="16"/>
        </w:rPr>
        <w:t xml:space="preserve"> </w:t>
      </w:r>
      <w:r>
        <w:rPr>
          <w:color w:val="231F20"/>
          <w:w w:val="110"/>
          <w:sz w:val="16"/>
        </w:rPr>
        <w:t xml:space="preserve">Views of Race and Culture in the Nineteenth Century,” </w:t>
      </w:r>
      <w:r>
        <w:rPr>
          <w:i/>
          <w:color w:val="231F20"/>
          <w:w w:val="110"/>
          <w:sz w:val="16"/>
        </w:rPr>
        <w:t xml:space="preserve">Journal of the History of </w:t>
      </w:r>
      <w:r>
        <w:rPr>
          <w:i/>
          <w:color w:val="231F20"/>
          <w:spacing w:val="1"/>
          <w:w w:val="110"/>
          <w:sz w:val="16"/>
        </w:rPr>
        <w:t xml:space="preserve">Ideas  </w:t>
      </w:r>
      <w:r>
        <w:rPr>
          <w:color w:val="231F20"/>
          <w:w w:val="110"/>
          <w:sz w:val="16"/>
        </w:rPr>
        <w:t xml:space="preserve">42, no. 1. (January-March, </w:t>
      </w:r>
      <w:r>
        <w:rPr>
          <w:color w:val="231F20"/>
          <w:spacing w:val="-4"/>
          <w:w w:val="110"/>
          <w:sz w:val="16"/>
        </w:rPr>
        <w:t>1981): 128.]</w:t>
      </w:r>
      <w:bookmarkEnd w:id="87"/>
    </w:p>
    <w:p w14:paraId="6F335C67" w14:textId="77777777" w:rsidR="002653E8" w:rsidRDefault="003115E3">
      <w:pPr>
        <w:pStyle w:val="a4"/>
        <w:numPr>
          <w:ilvl w:val="0"/>
          <w:numId w:val="129"/>
        </w:numPr>
        <w:tabs>
          <w:tab w:val="left" w:pos="1287"/>
        </w:tabs>
        <w:spacing w:line="254" w:lineRule="auto"/>
        <w:ind w:right="1599" w:firstLine="0"/>
        <w:jc w:val="left"/>
        <w:rPr>
          <w:sz w:val="16"/>
        </w:rPr>
      </w:pPr>
      <w:bookmarkStart w:id="88" w:name="_Hlk71128972"/>
      <w:r>
        <w:rPr>
          <w:color w:val="231F20"/>
          <w:w w:val="105"/>
          <w:sz w:val="16"/>
        </w:rPr>
        <w:t>Nobel Foundation “Saul Bellow—Nobel Lecture,”</w:t>
      </w:r>
      <w:hyperlink r:id="rId175">
        <w:r>
          <w:rPr>
            <w:color w:val="231F20"/>
            <w:w w:val="105"/>
            <w:sz w:val="16"/>
          </w:rPr>
          <w:t xml:space="preserve"> </w:t>
        </w:r>
        <w:r>
          <w:rPr>
            <w:color w:val="231F20"/>
            <w:w w:val="104"/>
            <w:sz w:val="16"/>
          </w:rPr>
          <w:t>h</w:t>
        </w:r>
        <w:r>
          <w:rPr>
            <w:color w:val="231F20"/>
            <w:spacing w:val="5"/>
            <w:w w:val="102"/>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w w:val="58"/>
            <w:sz w:val="16"/>
          </w:rPr>
          <w:t>/</w:t>
        </w:r>
        <w:r>
          <w:rPr>
            <w:color w:val="231F20"/>
            <w:w w:val="103"/>
            <w:sz w:val="16"/>
          </w:rPr>
          <w:t>n</w:t>
        </w:r>
        <w:r>
          <w:rPr>
            <w:color w:val="231F20"/>
            <w:w w:val="108"/>
            <w:sz w:val="16"/>
          </w:rPr>
          <w:t>o</w:t>
        </w:r>
        <w:r>
          <w:rPr>
            <w:color w:val="231F20"/>
            <w:spacing w:val="2"/>
            <w:sz w:val="16"/>
          </w:rPr>
          <w:t>b</w:t>
        </w:r>
        <w:r>
          <w:rPr>
            <w:color w:val="231F20"/>
            <w:sz w:val="16"/>
          </w:rPr>
          <w:t>e</w:t>
        </w:r>
        <w:r>
          <w:rPr>
            <w:color w:val="231F20"/>
            <w:spacing w:val="-2"/>
            <w:w w:val="106"/>
            <w:sz w:val="16"/>
          </w:rPr>
          <w:t>l</w:t>
        </w:r>
        <w:r>
          <w:rPr>
            <w:color w:val="231F20"/>
            <w:w w:val="103"/>
            <w:sz w:val="16"/>
          </w:rPr>
          <w:t>p</w:t>
        </w:r>
        <w:r>
          <w:rPr>
            <w:color w:val="231F20"/>
            <w:spacing w:val="2"/>
            <w:sz w:val="16"/>
          </w:rPr>
          <w:t>r</w:t>
        </w:r>
        <w:r>
          <w:rPr>
            <w:color w:val="231F20"/>
            <w:spacing w:val="3"/>
            <w:sz w:val="16"/>
          </w:rPr>
          <w:t>i</w:t>
        </w:r>
        <w:r>
          <w:rPr>
            <w:color w:val="231F20"/>
            <w:spacing w:val="2"/>
            <w:w w:val="97"/>
            <w:sz w:val="16"/>
          </w:rPr>
          <w:t>z</w:t>
        </w:r>
        <w:r>
          <w:rPr>
            <w:color w:val="231F20"/>
            <w:spacing w:val="1"/>
            <w:w w:val="97"/>
            <w:sz w:val="16"/>
          </w:rPr>
          <w:t>e</w:t>
        </w:r>
        <w:r>
          <w:rPr>
            <w:color w:val="231F20"/>
            <w:w w:val="140"/>
            <w:sz w:val="16"/>
          </w:rPr>
          <w:t>.</w:t>
        </w:r>
        <w:r>
          <w:rPr>
            <w:color w:val="231F20"/>
            <w:w w:val="108"/>
            <w:sz w:val="16"/>
          </w:rPr>
          <w:t>o</w:t>
        </w:r>
        <w:r>
          <w:rPr>
            <w:color w:val="231F20"/>
            <w:spacing w:val="1"/>
            <w:w w:val="97"/>
            <w:sz w:val="16"/>
          </w:rPr>
          <w:t>r</w:t>
        </w:r>
        <w:r>
          <w:rPr>
            <w:color w:val="231F20"/>
            <w:spacing w:val="8"/>
            <w:w w:val="104"/>
            <w:sz w:val="16"/>
          </w:rPr>
          <w:t>g</w:t>
        </w:r>
        <w:r>
          <w:rPr>
            <w:color w:val="231F20"/>
            <w:w w:val="58"/>
            <w:sz w:val="16"/>
          </w:rPr>
          <w:t>/</w:t>
        </w:r>
        <w:r>
          <w:rPr>
            <w:color w:val="231F20"/>
            <w:w w:val="103"/>
            <w:sz w:val="16"/>
          </w:rPr>
          <w:t>n</w:t>
        </w:r>
        <w:r>
          <w:rPr>
            <w:color w:val="231F20"/>
            <w:w w:val="108"/>
            <w:sz w:val="16"/>
          </w:rPr>
          <w:t>o</w:t>
        </w:r>
        <w:r>
          <w:rPr>
            <w:color w:val="231F20"/>
            <w:spacing w:val="2"/>
            <w:sz w:val="16"/>
          </w:rPr>
          <w:t>b</w:t>
        </w:r>
        <w:r>
          <w:rPr>
            <w:color w:val="231F20"/>
            <w:sz w:val="16"/>
          </w:rPr>
          <w:t>e</w:t>
        </w:r>
        <w:r>
          <w:rPr>
            <w:color w:val="231F20"/>
            <w:spacing w:val="5"/>
            <w:w w:val="106"/>
            <w:sz w:val="16"/>
          </w:rPr>
          <w:t>l</w:t>
        </w:r>
        <w:r>
          <w:rPr>
            <w:color w:val="231F20"/>
            <w:spacing w:val="5"/>
            <w:w w:val="139"/>
            <w:sz w:val="16"/>
          </w:rPr>
          <w:t>_</w:t>
        </w:r>
        <w:r>
          <w:rPr>
            <w:color w:val="231F20"/>
            <w:w w:val="103"/>
            <w:sz w:val="16"/>
          </w:rPr>
          <w:t>p</w:t>
        </w:r>
        <w:r>
          <w:rPr>
            <w:color w:val="231F20"/>
            <w:spacing w:val="2"/>
            <w:sz w:val="16"/>
          </w:rPr>
          <w:t>r</w:t>
        </w:r>
        <w:r>
          <w:rPr>
            <w:color w:val="231F20"/>
            <w:spacing w:val="3"/>
            <w:sz w:val="16"/>
          </w:rPr>
          <w:t>i</w:t>
        </w:r>
        <w:r>
          <w:rPr>
            <w:color w:val="231F20"/>
            <w:spacing w:val="2"/>
            <w:w w:val="97"/>
            <w:sz w:val="16"/>
          </w:rPr>
          <w:t>ze</w:t>
        </w:r>
        <w:r>
          <w:rPr>
            <w:color w:val="231F20"/>
            <w:spacing w:val="5"/>
            <w:w w:val="93"/>
            <w:sz w:val="16"/>
          </w:rPr>
          <w:t>s</w:t>
        </w:r>
        <w:r>
          <w:rPr>
            <w:color w:val="231F20"/>
            <w:spacing w:val="6"/>
            <w:w w:val="58"/>
            <w:sz w:val="16"/>
          </w:rPr>
          <w:t>/</w:t>
        </w:r>
        <w:r>
          <w:rPr>
            <w:color w:val="231F20"/>
            <w:spacing w:val="2"/>
            <w:w w:val="106"/>
            <w:sz w:val="16"/>
          </w:rPr>
          <w:t>l</w:t>
        </w:r>
        <w:r>
          <w:rPr>
            <w:color w:val="231F20"/>
            <w:spacing w:val="-1"/>
            <w:w w:val="103"/>
            <w:sz w:val="16"/>
          </w:rPr>
          <w:t>i</w:t>
        </w:r>
        <w:r>
          <w:rPr>
            <w:color w:val="231F20"/>
            <w:spacing w:val="1"/>
            <w:w w:val="102"/>
            <w:sz w:val="16"/>
          </w:rPr>
          <w:t>t</w:t>
        </w:r>
        <w:r>
          <w:rPr>
            <w:color w:val="231F20"/>
            <w:w w:val="94"/>
            <w:sz w:val="16"/>
          </w:rPr>
          <w:t>e</w:t>
        </w:r>
        <w:r>
          <w:rPr>
            <w:color w:val="231F20"/>
            <w:w w:val="97"/>
            <w:sz w:val="16"/>
          </w:rPr>
          <w:t>r</w:t>
        </w:r>
        <w:r>
          <w:rPr>
            <w:color w:val="231F20"/>
            <w:spacing w:val="-1"/>
            <w:w w:val="106"/>
            <w:sz w:val="16"/>
          </w:rPr>
          <w:t>a</w:t>
        </w:r>
        <w:r>
          <w:rPr>
            <w:color w:val="231F20"/>
            <w:spacing w:val="3"/>
            <w:w w:val="102"/>
            <w:sz w:val="16"/>
          </w:rPr>
          <w:t>t</w:t>
        </w:r>
        <w:r>
          <w:rPr>
            <w:color w:val="231F20"/>
            <w:spacing w:val="5"/>
            <w:w w:val="104"/>
            <w:sz w:val="16"/>
          </w:rPr>
          <w:t>u</w:t>
        </w:r>
        <w:r>
          <w:rPr>
            <w:color w:val="231F20"/>
            <w:w w:val="97"/>
            <w:sz w:val="16"/>
          </w:rPr>
          <w:t>r</w:t>
        </w:r>
        <w:r>
          <w:rPr>
            <w:color w:val="231F20"/>
            <w:spacing w:val="5"/>
            <w:w w:val="94"/>
            <w:sz w:val="16"/>
          </w:rPr>
          <w:t>e</w:t>
        </w:r>
        <w:r>
          <w:rPr>
            <w:color w:val="231F20"/>
            <w:spacing w:val="6"/>
            <w:w w:val="58"/>
            <w:sz w:val="16"/>
          </w:rPr>
          <w:t>/</w:t>
        </w:r>
        <w:r>
          <w:rPr>
            <w:color w:val="231F20"/>
            <w:spacing w:val="1"/>
            <w:w w:val="106"/>
            <w:sz w:val="16"/>
          </w:rPr>
          <w:t>l</w:t>
        </w:r>
        <w:r>
          <w:rPr>
            <w:color w:val="231F20"/>
            <w:spacing w:val="-2"/>
            <w:w w:val="106"/>
            <w:sz w:val="16"/>
          </w:rPr>
          <w:t>a</w:t>
        </w:r>
        <w:r>
          <w:rPr>
            <w:color w:val="231F20"/>
            <w:spacing w:val="5"/>
            <w:w w:val="104"/>
            <w:sz w:val="16"/>
          </w:rPr>
          <w:t>u</w:t>
        </w:r>
        <w:r>
          <w:rPr>
            <w:color w:val="231F20"/>
            <w:w w:val="97"/>
            <w:sz w:val="16"/>
          </w:rPr>
          <w:t>r</w:t>
        </w:r>
        <w:r>
          <w:rPr>
            <w:color w:val="231F20"/>
            <w:spacing w:val="2"/>
            <w:w w:val="94"/>
            <w:sz w:val="16"/>
          </w:rPr>
          <w:t>e</w:t>
        </w:r>
        <w:r>
          <w:rPr>
            <w:color w:val="231F20"/>
            <w:spacing w:val="-1"/>
            <w:w w:val="106"/>
            <w:sz w:val="16"/>
          </w:rPr>
          <w:t>a</w:t>
        </w:r>
        <w:r>
          <w:rPr>
            <w:color w:val="231F20"/>
            <w:w w:val="102"/>
            <w:sz w:val="16"/>
          </w:rPr>
          <w:t>t</w:t>
        </w:r>
        <w:r>
          <w:rPr>
            <w:color w:val="231F20"/>
            <w:spacing w:val="2"/>
            <w:w w:val="94"/>
            <w:sz w:val="16"/>
          </w:rPr>
          <w:t>e</w:t>
        </w:r>
        <w:r>
          <w:rPr>
            <w:color w:val="231F20"/>
            <w:spacing w:val="5"/>
            <w:w w:val="93"/>
            <w:sz w:val="16"/>
          </w:rPr>
          <w:t>s</w:t>
        </w:r>
        <w:r>
          <w:rPr>
            <w:color w:val="231F20"/>
            <w:spacing w:val="-3"/>
            <w:w w:val="58"/>
            <w:sz w:val="16"/>
          </w:rPr>
          <w:t>/</w:t>
        </w:r>
        <w:r>
          <w:rPr>
            <w:color w:val="231F20"/>
            <w:spacing w:val="-6"/>
            <w:w w:val="104"/>
            <w:sz w:val="16"/>
          </w:rPr>
          <w:t>1</w:t>
        </w:r>
        <w:r>
          <w:rPr>
            <w:color w:val="231F20"/>
            <w:w w:val="104"/>
            <w:sz w:val="16"/>
          </w:rPr>
          <w:t>9</w:t>
        </w:r>
        <w:r>
          <w:rPr>
            <w:color w:val="231F20"/>
            <w:spacing w:val="-4"/>
            <w:w w:val="104"/>
            <w:sz w:val="16"/>
          </w:rPr>
          <w:t>7</w:t>
        </w:r>
        <w:r>
          <w:rPr>
            <w:color w:val="231F20"/>
            <w:spacing w:val="2"/>
            <w:w w:val="104"/>
            <w:sz w:val="16"/>
          </w:rPr>
          <w:t>6</w:t>
        </w:r>
        <w:r>
          <w:rPr>
            <w:color w:val="231F20"/>
            <w:spacing w:val="6"/>
            <w:w w:val="58"/>
            <w:sz w:val="16"/>
          </w:rPr>
          <w:t>/</w:t>
        </w:r>
        <w:r>
          <w:rPr>
            <w:color w:val="231F20"/>
            <w:spacing w:val="2"/>
            <w:w w:val="105"/>
            <w:sz w:val="16"/>
          </w:rPr>
          <w:t>b</w:t>
        </w:r>
        <w:r>
          <w:rPr>
            <w:color w:val="231F20"/>
            <w:w w:val="94"/>
            <w:sz w:val="16"/>
          </w:rPr>
          <w:t>e</w:t>
        </w:r>
        <w:r>
          <w:rPr>
            <w:color w:val="231F20"/>
            <w:spacing w:val="2"/>
            <w:w w:val="106"/>
            <w:sz w:val="16"/>
          </w:rPr>
          <w:t>l</w:t>
        </w:r>
        <w:r>
          <w:rPr>
            <w:color w:val="231F20"/>
            <w:w w:val="107"/>
            <w:sz w:val="16"/>
          </w:rPr>
          <w:t>l</w:t>
        </w:r>
        <w:r>
          <w:rPr>
            <w:color w:val="231F20"/>
            <w:spacing w:val="-1"/>
            <w:w w:val="107"/>
            <w:sz w:val="16"/>
          </w:rPr>
          <w:t>o</w:t>
        </w:r>
        <w:r>
          <w:rPr>
            <w:color w:val="231F20"/>
            <w:spacing w:val="-1"/>
            <w:w w:val="104"/>
            <w:sz w:val="16"/>
          </w:rPr>
          <w:t>w</w:t>
        </w:r>
        <w:r>
          <w:rPr>
            <w:color w:val="231F20"/>
            <w:w w:val="104"/>
            <w:sz w:val="16"/>
          </w:rPr>
          <w:t>-</w:t>
        </w:r>
        <w:r>
          <w:rPr>
            <w:color w:val="231F20"/>
            <w:w w:val="106"/>
            <w:sz w:val="16"/>
          </w:rPr>
          <w:t>l</w:t>
        </w:r>
        <w:r>
          <w:rPr>
            <w:color w:val="231F20"/>
            <w:spacing w:val="2"/>
            <w:w w:val="94"/>
            <w:sz w:val="16"/>
          </w:rPr>
          <w:t>e</w:t>
        </w:r>
        <w:r>
          <w:rPr>
            <w:color w:val="231F20"/>
            <w:spacing w:val="3"/>
            <w:w w:val="104"/>
            <w:sz w:val="16"/>
          </w:rPr>
          <w:t>c</w:t>
        </w:r>
        <w:r>
          <w:rPr>
            <w:color w:val="231F20"/>
            <w:spacing w:val="3"/>
            <w:w w:val="102"/>
            <w:sz w:val="16"/>
          </w:rPr>
          <w:t>t</w:t>
        </w:r>
        <w:r>
          <w:rPr>
            <w:color w:val="231F20"/>
            <w:spacing w:val="5"/>
            <w:w w:val="104"/>
            <w:sz w:val="16"/>
          </w:rPr>
          <w:t>u</w:t>
        </w:r>
        <w:r>
          <w:rPr>
            <w:color w:val="231F20"/>
            <w:w w:val="97"/>
            <w:sz w:val="16"/>
          </w:rPr>
          <w:t>r</w:t>
        </w:r>
        <w:r>
          <w:rPr>
            <w:color w:val="231F20"/>
            <w:spacing w:val="1"/>
            <w:w w:val="94"/>
            <w:sz w:val="16"/>
          </w:rPr>
          <w:t>e</w:t>
        </w:r>
        <w:r>
          <w:rPr>
            <w:color w:val="231F20"/>
            <w:spacing w:val="1"/>
            <w:w w:val="140"/>
            <w:sz w:val="16"/>
          </w:rPr>
          <w:t>.</w:t>
        </w:r>
        <w:r>
          <w:rPr>
            <w:color w:val="231F20"/>
            <w:w w:val="103"/>
            <w:sz w:val="16"/>
          </w:rPr>
          <w:t>h</w:t>
        </w:r>
        <w:r>
          <w:rPr>
            <w:color w:val="231F20"/>
            <w:spacing w:val="3"/>
            <w:w w:val="103"/>
            <w:sz w:val="16"/>
          </w:rPr>
          <w:t>tm</w:t>
        </w:r>
        <w:r>
          <w:rPr>
            <w:color w:val="231F20"/>
            <w:w w:val="106"/>
            <w:sz w:val="16"/>
          </w:rPr>
          <w:t>l</w:t>
        </w:r>
        <w:r>
          <w:rPr>
            <w:color w:val="231F20"/>
            <w:w w:val="140"/>
            <w:sz w:val="16"/>
          </w:rPr>
          <w:t>.</w:t>
        </w:r>
      </w:hyperlink>
    </w:p>
    <w:p w14:paraId="206CD208" w14:textId="77777777" w:rsidR="002653E8" w:rsidRDefault="003115E3">
      <w:pPr>
        <w:pStyle w:val="a4"/>
        <w:numPr>
          <w:ilvl w:val="0"/>
          <w:numId w:val="129"/>
        </w:numPr>
        <w:tabs>
          <w:tab w:val="left" w:pos="1287"/>
        </w:tabs>
        <w:spacing w:line="254" w:lineRule="auto"/>
        <w:ind w:right="1688" w:firstLine="0"/>
        <w:jc w:val="left"/>
        <w:rPr>
          <w:sz w:val="16"/>
        </w:rPr>
      </w:pPr>
      <w:r>
        <w:rPr>
          <w:color w:val="231F20"/>
          <w:w w:val="105"/>
          <w:sz w:val="16"/>
        </w:rPr>
        <w:t xml:space="preserve">Paul Lawrence Rose, </w:t>
      </w:r>
      <w:r>
        <w:rPr>
          <w:i/>
          <w:color w:val="231F20"/>
          <w:spacing w:val="1"/>
          <w:w w:val="105"/>
          <w:sz w:val="16"/>
        </w:rPr>
        <w:t xml:space="preserve">Revolutionary anti-Semitism </w:t>
      </w:r>
      <w:r>
        <w:rPr>
          <w:i/>
          <w:color w:val="231F20"/>
          <w:w w:val="105"/>
          <w:sz w:val="16"/>
        </w:rPr>
        <w:t xml:space="preserve">in </w:t>
      </w:r>
      <w:r>
        <w:rPr>
          <w:i/>
          <w:color w:val="231F20"/>
          <w:spacing w:val="2"/>
          <w:w w:val="105"/>
          <w:sz w:val="16"/>
        </w:rPr>
        <w:t xml:space="preserve">Germany </w:t>
      </w:r>
      <w:r>
        <w:rPr>
          <w:i/>
          <w:color w:val="231F20"/>
          <w:w w:val="105"/>
          <w:sz w:val="16"/>
        </w:rPr>
        <w:t xml:space="preserve">from Kant to Wagner </w:t>
      </w:r>
      <w:r>
        <w:rPr>
          <w:color w:val="231F20"/>
          <w:w w:val="105"/>
          <w:sz w:val="16"/>
        </w:rPr>
        <w:t>(Princeton: Princeton University Press,</w:t>
      </w:r>
      <w:r>
        <w:rPr>
          <w:color w:val="231F20"/>
          <w:spacing w:val="3"/>
          <w:w w:val="105"/>
          <w:sz w:val="16"/>
        </w:rPr>
        <w:t xml:space="preserve"> </w:t>
      </w:r>
      <w:r>
        <w:rPr>
          <w:color w:val="231F20"/>
          <w:spacing w:val="-3"/>
          <w:w w:val="105"/>
          <w:sz w:val="16"/>
        </w:rPr>
        <w:t>1990).</w:t>
      </w:r>
    </w:p>
    <w:p w14:paraId="09C24511" w14:textId="77777777" w:rsidR="002653E8" w:rsidRDefault="003115E3">
      <w:pPr>
        <w:pStyle w:val="a4"/>
        <w:numPr>
          <w:ilvl w:val="0"/>
          <w:numId w:val="129"/>
        </w:numPr>
        <w:tabs>
          <w:tab w:val="left" w:pos="1287"/>
        </w:tabs>
        <w:spacing w:before="40"/>
        <w:ind w:left="1286"/>
        <w:jc w:val="left"/>
        <w:rPr>
          <w:sz w:val="16"/>
        </w:rPr>
      </w:pPr>
      <w:r>
        <w:rPr>
          <w:color w:val="231F20"/>
          <w:w w:val="105"/>
          <w:sz w:val="16"/>
        </w:rPr>
        <w:t>For</w:t>
      </w:r>
      <w:r>
        <w:rPr>
          <w:color w:val="231F20"/>
          <w:spacing w:val="8"/>
          <w:w w:val="105"/>
          <w:sz w:val="16"/>
        </w:rPr>
        <w:t xml:space="preserve"> </w:t>
      </w:r>
      <w:r>
        <w:rPr>
          <w:color w:val="231F20"/>
          <w:w w:val="105"/>
          <w:sz w:val="16"/>
        </w:rPr>
        <w:t>more</w:t>
      </w:r>
      <w:r>
        <w:rPr>
          <w:color w:val="231F20"/>
          <w:spacing w:val="8"/>
          <w:w w:val="105"/>
          <w:sz w:val="16"/>
        </w:rPr>
        <w:t xml:space="preserve"> </w:t>
      </w:r>
      <w:r>
        <w:rPr>
          <w:color w:val="231F20"/>
          <w:w w:val="105"/>
          <w:sz w:val="16"/>
        </w:rPr>
        <w:t>on</w:t>
      </w:r>
      <w:r>
        <w:rPr>
          <w:color w:val="231F20"/>
          <w:spacing w:val="8"/>
          <w:w w:val="105"/>
          <w:sz w:val="16"/>
        </w:rPr>
        <w:t xml:space="preserve"> </w:t>
      </w:r>
      <w:r>
        <w:rPr>
          <w:color w:val="231F20"/>
          <w:w w:val="105"/>
          <w:sz w:val="16"/>
        </w:rPr>
        <w:t>this,</w:t>
      </w:r>
      <w:r>
        <w:rPr>
          <w:color w:val="231F20"/>
          <w:spacing w:val="8"/>
          <w:w w:val="105"/>
          <w:sz w:val="16"/>
        </w:rPr>
        <w:t xml:space="preserve"> </w:t>
      </w:r>
      <w:r>
        <w:rPr>
          <w:color w:val="231F20"/>
          <w:w w:val="105"/>
          <w:sz w:val="16"/>
        </w:rPr>
        <w:t>see</w:t>
      </w:r>
      <w:r>
        <w:rPr>
          <w:color w:val="231F20"/>
          <w:spacing w:val="8"/>
          <w:w w:val="105"/>
          <w:sz w:val="16"/>
        </w:rPr>
        <w:t xml:space="preserve"> </w:t>
      </w:r>
      <w:r>
        <w:rPr>
          <w:color w:val="231F20"/>
          <w:w w:val="105"/>
          <w:sz w:val="16"/>
        </w:rPr>
        <w:t>Not</w:t>
      </w:r>
      <w:r>
        <w:rPr>
          <w:color w:val="231F20"/>
          <w:spacing w:val="8"/>
          <w:w w:val="105"/>
          <w:sz w:val="16"/>
        </w:rPr>
        <w:t xml:space="preserve"> </w:t>
      </w:r>
      <w:r>
        <w:rPr>
          <w:color w:val="231F20"/>
          <w:w w:val="105"/>
          <w:sz w:val="16"/>
        </w:rPr>
        <w:t>Wanted</w:t>
      </w:r>
      <w:r>
        <w:rPr>
          <w:color w:val="231F20"/>
          <w:spacing w:val="8"/>
          <w:w w:val="105"/>
          <w:sz w:val="16"/>
        </w:rPr>
        <w:t xml:space="preserve"> </w:t>
      </w:r>
      <w:r>
        <w:rPr>
          <w:color w:val="231F20"/>
          <w:w w:val="105"/>
          <w:sz w:val="16"/>
        </w:rPr>
        <w:t>in</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Model:</w:t>
      </w:r>
      <w:r>
        <w:rPr>
          <w:color w:val="231F20"/>
          <w:spacing w:val="8"/>
          <w:w w:val="105"/>
          <w:sz w:val="16"/>
        </w:rPr>
        <w:t xml:space="preserve"> </w:t>
      </w:r>
      <w:r>
        <w:rPr>
          <w:color w:val="231F20"/>
          <w:w w:val="105"/>
          <w:sz w:val="16"/>
        </w:rPr>
        <w:t>the</w:t>
      </w:r>
      <w:r>
        <w:rPr>
          <w:color w:val="231F20"/>
          <w:spacing w:val="10"/>
          <w:w w:val="105"/>
          <w:sz w:val="16"/>
        </w:rPr>
        <w:t xml:space="preserve"> </w:t>
      </w:r>
      <w:r>
        <w:rPr>
          <w:color w:val="231F20"/>
          <w:w w:val="105"/>
          <w:sz w:val="16"/>
        </w:rPr>
        <w:t>KPD,</w:t>
      </w:r>
      <w:r>
        <w:rPr>
          <w:color w:val="231F20"/>
          <w:spacing w:val="8"/>
          <w:w w:val="105"/>
          <w:sz w:val="16"/>
        </w:rPr>
        <w:t xml:space="preserve"> </w:t>
      </w:r>
      <w:r>
        <w:rPr>
          <w:color w:val="231F20"/>
          <w:w w:val="105"/>
          <w:sz w:val="16"/>
        </w:rPr>
        <w:t>pages</w:t>
      </w:r>
      <w:r>
        <w:rPr>
          <w:color w:val="231F20"/>
          <w:spacing w:val="10"/>
          <w:w w:val="105"/>
          <w:sz w:val="16"/>
        </w:rPr>
        <w:t xml:space="preserve"> </w:t>
      </w:r>
      <w:r>
        <w:rPr>
          <w:color w:val="231F20"/>
          <w:spacing w:val="-4"/>
          <w:w w:val="105"/>
          <w:sz w:val="16"/>
        </w:rPr>
        <w:t>17-18.</w:t>
      </w:r>
    </w:p>
    <w:bookmarkEnd w:id="88"/>
    <w:p w14:paraId="7CE04D93" w14:textId="77777777" w:rsidR="002653E8" w:rsidRDefault="002653E8">
      <w:pPr>
        <w:rPr>
          <w:sz w:val="16"/>
        </w:rPr>
        <w:sectPr w:rsidR="002653E8">
          <w:pgSz w:w="8640" w:h="12960"/>
          <w:pgMar w:top="1060" w:right="0" w:bottom="1040" w:left="0" w:header="0" w:footer="850" w:gutter="0"/>
          <w:cols w:space="720"/>
        </w:sectPr>
      </w:pPr>
    </w:p>
    <w:p w14:paraId="440D0DA4" w14:textId="77777777" w:rsidR="002653E8" w:rsidRDefault="003115E3">
      <w:pPr>
        <w:pStyle w:val="a3"/>
        <w:spacing w:before="86" w:line="264" w:lineRule="auto"/>
        <w:ind w:left="1328" w:right="1146" w:hanging="1"/>
        <w:jc w:val="both"/>
      </w:pPr>
      <w:r>
        <w:rPr>
          <w:color w:val="231F20"/>
        </w:rPr>
        <w:lastRenderedPageBreak/>
        <w:t xml:space="preserve">Section 10, Meinhof had been found dead—with convincing evidence pointing to murder—in her prison cell earlier that year, and this had elicited much sympathy for the </w:t>
      </w:r>
      <w:r w:rsidR="00C507A5">
        <w:rPr>
          <w:color w:val="231F20"/>
        </w:rPr>
        <w:t>red army faction</w:t>
      </w:r>
      <w:r>
        <w:rPr>
          <w:color w:val="231F20"/>
        </w:rPr>
        <w:t xml:space="preserve"> within the left. In this context, discrediting the guerilla leader took on great importance for the state and counterinsurgency forces.</w:t>
      </w:r>
    </w:p>
    <w:p w14:paraId="43D1358E" w14:textId="77777777" w:rsidR="002653E8" w:rsidRDefault="003115E3">
      <w:pPr>
        <w:pStyle w:val="a3"/>
        <w:spacing w:line="264" w:lineRule="auto"/>
        <w:ind w:left="1327" w:right="1146" w:firstLine="289"/>
        <w:jc w:val="both"/>
      </w:pPr>
      <w:bookmarkStart w:id="89" w:name="_Hlk71128775"/>
      <w:r>
        <w:rPr>
          <w:color w:val="231F20"/>
        </w:rPr>
        <w:t xml:space="preserve">(For more on the original </w:t>
      </w:r>
      <w:r>
        <w:rPr>
          <w:i/>
          <w:color w:val="231F20"/>
        </w:rPr>
        <w:t xml:space="preserve">FAZ </w:t>
      </w:r>
      <w:r>
        <w:rPr>
          <w:color w:val="231F20"/>
        </w:rPr>
        <w:t xml:space="preserve">article, </w:t>
      </w:r>
      <w:r>
        <w:rPr>
          <w:color w:val="231F20"/>
          <w:spacing w:val="-4"/>
        </w:rPr>
        <w:t xml:space="preserve">Watson’s </w:t>
      </w:r>
      <w:r>
        <w:rPr>
          <w:color w:val="231F20"/>
        </w:rPr>
        <w:t>loose translation style, and our own translation, see Appendix I—Excerpts from the Frankfurter Allgemeine Zeitung, pages</w:t>
      </w:r>
      <w:r>
        <w:rPr>
          <w:color w:val="231F20"/>
          <w:spacing w:val="7"/>
        </w:rPr>
        <w:t xml:space="preserve"> </w:t>
      </w:r>
      <w:r>
        <w:rPr>
          <w:color w:val="231F20"/>
          <w:spacing w:val="-7"/>
        </w:rPr>
        <w:t>544-47.)</w:t>
      </w:r>
    </w:p>
    <w:bookmarkEnd w:id="89"/>
    <w:p w14:paraId="4C004E6B" w14:textId="77777777" w:rsidR="002653E8" w:rsidRDefault="003115E3">
      <w:pPr>
        <w:pStyle w:val="a3"/>
        <w:spacing w:line="264" w:lineRule="auto"/>
        <w:ind w:left="1327" w:right="1145" w:firstLine="210"/>
        <w:jc w:val="both"/>
      </w:pPr>
      <w:r>
        <w:rPr>
          <w:color w:val="231F20"/>
        </w:rPr>
        <w:t xml:space="preserve">As has already been mentioned, the </w:t>
      </w:r>
      <w:r w:rsidR="00C507A5">
        <w:rPr>
          <w:color w:val="231F20"/>
          <w:spacing w:val="5"/>
        </w:rPr>
        <w:t>red army faction</w:t>
      </w:r>
      <w:r>
        <w:rPr>
          <w:color w:val="231F20"/>
          <w:spacing w:val="5"/>
        </w:rPr>
        <w:t xml:space="preserve"> </w:t>
      </w:r>
      <w:r>
        <w:rPr>
          <w:color w:val="231F20"/>
        </w:rPr>
        <w:t xml:space="preserve">did not limit itself to dealing with the Munich events in its </w:t>
      </w:r>
      <w:r>
        <w:rPr>
          <w:i/>
          <w:color w:val="231F20"/>
        </w:rPr>
        <w:t xml:space="preserve">Black </w:t>
      </w:r>
      <w:r>
        <w:rPr>
          <w:i/>
          <w:color w:val="231F20"/>
          <w:spacing w:val="1"/>
        </w:rPr>
        <w:t xml:space="preserve">September </w:t>
      </w:r>
      <w:r>
        <w:rPr>
          <w:color w:val="231F20"/>
        </w:rPr>
        <w:t xml:space="preserve">document. For the </w:t>
      </w:r>
      <w:r w:rsidR="00C507A5">
        <w:rPr>
          <w:color w:val="231F20"/>
        </w:rPr>
        <w:t>red army faction</w:t>
      </w:r>
      <w:r>
        <w:rPr>
          <w:color w:val="231F20"/>
        </w:rPr>
        <w:t>, these merely provided a starting point from which to launch into   a discussion of imperialism and anti-imperialism in the Arab world, including the possible use of petroleum as a weapon. This was a year before the OPEC nations carried out their partial oil embargo as retaliation</w:t>
      </w:r>
      <w:r>
        <w:rPr>
          <w:color w:val="231F20"/>
          <w:spacing w:val="12"/>
        </w:rPr>
        <w:t xml:space="preserve"> </w:t>
      </w:r>
      <w:r>
        <w:rPr>
          <w:color w:val="231F20"/>
        </w:rPr>
        <w:t>against</w:t>
      </w:r>
      <w:r>
        <w:rPr>
          <w:color w:val="231F20"/>
          <w:spacing w:val="12"/>
        </w:rPr>
        <w:t xml:space="preserve"> </w:t>
      </w:r>
      <w:r>
        <w:rPr>
          <w:color w:val="231F20"/>
        </w:rPr>
        <w:t>western</w:t>
      </w:r>
      <w:r>
        <w:rPr>
          <w:color w:val="231F20"/>
          <w:spacing w:val="12"/>
        </w:rPr>
        <w:t xml:space="preserve"> </w:t>
      </w:r>
      <w:r>
        <w:rPr>
          <w:color w:val="231F20"/>
        </w:rPr>
        <w:t>support</w:t>
      </w:r>
      <w:r>
        <w:rPr>
          <w:color w:val="231F20"/>
          <w:spacing w:val="12"/>
        </w:rPr>
        <w:t xml:space="preserve"> </w:t>
      </w:r>
      <w:r>
        <w:rPr>
          <w:color w:val="231F20"/>
        </w:rPr>
        <w:t>for</w:t>
      </w:r>
      <w:r>
        <w:rPr>
          <w:color w:val="231F20"/>
          <w:spacing w:val="13"/>
        </w:rPr>
        <w:t xml:space="preserve"> </w:t>
      </w:r>
      <w:r>
        <w:rPr>
          <w:color w:val="231F20"/>
        </w:rPr>
        <w:t>Israel</w:t>
      </w:r>
      <w:r>
        <w:rPr>
          <w:color w:val="231F20"/>
          <w:spacing w:val="12"/>
        </w:rPr>
        <w:t xml:space="preserve"> </w:t>
      </w:r>
      <w:r>
        <w:rPr>
          <w:color w:val="231F20"/>
        </w:rPr>
        <w:t>in</w:t>
      </w:r>
      <w:r>
        <w:rPr>
          <w:color w:val="231F20"/>
          <w:spacing w:val="12"/>
        </w:rPr>
        <w:t xml:space="preserve"> </w:t>
      </w:r>
      <w:r>
        <w:rPr>
          <w:color w:val="231F20"/>
        </w:rPr>
        <w:t>the</w:t>
      </w:r>
      <w:r>
        <w:rPr>
          <w:color w:val="231F20"/>
          <w:spacing w:val="12"/>
        </w:rPr>
        <w:t xml:space="preserve"> </w:t>
      </w:r>
      <w:r>
        <w:rPr>
          <w:color w:val="231F20"/>
          <w:spacing w:val="-5"/>
        </w:rPr>
        <w:t>1973</w:t>
      </w:r>
      <w:r>
        <w:rPr>
          <w:color w:val="231F20"/>
          <w:spacing w:val="12"/>
        </w:rPr>
        <w:t xml:space="preserve"> </w:t>
      </w:r>
      <w:r>
        <w:rPr>
          <w:color w:val="231F20"/>
          <w:spacing w:val="-6"/>
        </w:rPr>
        <w:t>yom</w:t>
      </w:r>
      <w:r>
        <w:rPr>
          <w:color w:val="231F20"/>
          <w:spacing w:val="12"/>
        </w:rPr>
        <w:t xml:space="preserve"> </w:t>
      </w:r>
      <w:r>
        <w:rPr>
          <w:color w:val="231F20"/>
        </w:rPr>
        <w:t>Kippur</w:t>
      </w:r>
      <w:r>
        <w:rPr>
          <w:color w:val="231F20"/>
          <w:spacing w:val="12"/>
        </w:rPr>
        <w:t xml:space="preserve"> </w:t>
      </w:r>
      <w:r>
        <w:rPr>
          <w:color w:val="231F20"/>
        </w:rPr>
        <w:t>war.</w:t>
      </w:r>
    </w:p>
    <w:p w14:paraId="42CD43CD" w14:textId="77777777" w:rsidR="002653E8" w:rsidRDefault="003115E3">
      <w:pPr>
        <w:pStyle w:val="a3"/>
        <w:spacing w:line="264" w:lineRule="auto"/>
        <w:ind w:left="1328" w:right="1145" w:firstLine="209"/>
        <w:jc w:val="both"/>
      </w:pPr>
      <w:r>
        <w:rPr>
          <w:color w:val="231F20"/>
        </w:rPr>
        <w:t xml:space="preserve">From the question of oil, the </w:t>
      </w:r>
      <w:r w:rsidR="00C507A5">
        <w:rPr>
          <w:color w:val="231F20"/>
          <w:spacing w:val="5"/>
        </w:rPr>
        <w:t>red army faction</w:t>
      </w:r>
      <w:r>
        <w:rPr>
          <w:color w:val="231F20"/>
          <w:spacing w:val="5"/>
        </w:rPr>
        <w:t xml:space="preserve"> </w:t>
      </w:r>
      <w:r>
        <w:rPr>
          <w:color w:val="231F20"/>
        </w:rPr>
        <w:t>went  on  to  consider  the  problem of opportunism within the imperialist countries, the “metropole.” This discussion focused on Oskar Negt, a former assistant of Jürgen Habermas and a professor of sociology at the Technical University in Hannover, who following the May Offensive had publicly called on socialists</w:t>
      </w:r>
      <w:r>
        <w:rPr>
          <w:color w:val="231F20"/>
          <w:spacing w:val="11"/>
        </w:rPr>
        <w:t xml:space="preserve"> </w:t>
      </w:r>
      <w:r>
        <w:rPr>
          <w:color w:val="231F20"/>
        </w:rPr>
        <w:t>to</w:t>
      </w:r>
      <w:r>
        <w:rPr>
          <w:color w:val="231F20"/>
          <w:spacing w:val="11"/>
        </w:rPr>
        <w:t xml:space="preserve"> </w:t>
      </w:r>
      <w:r>
        <w:rPr>
          <w:color w:val="231F20"/>
        </w:rPr>
        <w:t>deny</w:t>
      </w:r>
      <w:r>
        <w:rPr>
          <w:color w:val="231F20"/>
          <w:spacing w:val="11"/>
        </w:rPr>
        <w:t xml:space="preserve"> </w:t>
      </w:r>
      <w:r>
        <w:rPr>
          <w:color w:val="231F20"/>
        </w:rPr>
        <w:t>the</w:t>
      </w:r>
      <w:r>
        <w:rPr>
          <w:color w:val="231F20"/>
          <w:spacing w:val="11"/>
        </w:rPr>
        <w:t xml:space="preserve"> </w:t>
      </w:r>
      <w:r w:rsidR="00C507A5">
        <w:rPr>
          <w:color w:val="231F20"/>
          <w:spacing w:val="5"/>
        </w:rPr>
        <w:t>red army faction</w:t>
      </w:r>
      <w:r>
        <w:rPr>
          <w:color w:val="231F20"/>
          <w:spacing w:val="11"/>
        </w:rPr>
        <w:t xml:space="preserve"> </w:t>
      </w:r>
      <w:r>
        <w:rPr>
          <w:color w:val="231F20"/>
        </w:rPr>
        <w:t>any</w:t>
      </w:r>
      <w:r>
        <w:rPr>
          <w:color w:val="231F20"/>
          <w:spacing w:val="11"/>
        </w:rPr>
        <w:t xml:space="preserve"> </w:t>
      </w:r>
      <w:r>
        <w:rPr>
          <w:color w:val="231F20"/>
        </w:rPr>
        <w:t>solidarity</w:t>
      </w:r>
      <w:r>
        <w:rPr>
          <w:color w:val="231F20"/>
          <w:spacing w:val="11"/>
        </w:rPr>
        <w:t xml:space="preserve"> </w:t>
      </w:r>
      <w:r>
        <w:rPr>
          <w:color w:val="231F20"/>
        </w:rPr>
        <w:t>or</w:t>
      </w:r>
      <w:r>
        <w:rPr>
          <w:color w:val="231F20"/>
          <w:spacing w:val="11"/>
        </w:rPr>
        <w:t xml:space="preserve"> </w:t>
      </w:r>
      <w:r>
        <w:rPr>
          <w:color w:val="231F20"/>
        </w:rPr>
        <w:t>support.</w:t>
      </w:r>
    </w:p>
    <w:p w14:paraId="57AEDCA6" w14:textId="77777777" w:rsidR="002653E8" w:rsidRDefault="003115E3">
      <w:pPr>
        <w:pStyle w:val="a3"/>
        <w:spacing w:line="264" w:lineRule="auto"/>
        <w:ind w:left="1327" w:right="1145" w:firstLine="210"/>
        <w:jc w:val="both"/>
      </w:pPr>
      <w:r>
        <w:rPr>
          <w:color w:val="231F20"/>
          <w:spacing w:val="1"/>
        </w:rPr>
        <w:t xml:space="preserve">In </w:t>
      </w:r>
      <w:r>
        <w:rPr>
          <w:color w:val="231F20"/>
        </w:rPr>
        <w:t xml:space="preserve">the early seventies, Negt was considered a leading left-wing intellectual. </w:t>
      </w:r>
      <w:r>
        <w:rPr>
          <w:color w:val="231F20"/>
          <w:spacing w:val="1"/>
        </w:rPr>
        <w:t xml:space="preserve">In </w:t>
      </w:r>
      <w:r>
        <w:rPr>
          <w:color w:val="231F20"/>
          <w:spacing w:val="-5"/>
        </w:rPr>
        <w:t xml:space="preserve">1973, </w:t>
      </w:r>
      <w:r>
        <w:rPr>
          <w:color w:val="231F20"/>
        </w:rPr>
        <w:t xml:space="preserve">for instance, in the first issue of </w:t>
      </w:r>
      <w:r>
        <w:rPr>
          <w:i/>
          <w:color w:val="231F20"/>
        </w:rPr>
        <w:t xml:space="preserve">New </w:t>
      </w:r>
      <w:r>
        <w:rPr>
          <w:i/>
          <w:color w:val="231F20"/>
          <w:spacing w:val="1"/>
        </w:rPr>
        <w:t xml:space="preserve">German </w:t>
      </w:r>
      <w:r>
        <w:rPr>
          <w:i/>
          <w:color w:val="231F20"/>
        </w:rPr>
        <w:t>Critique</w:t>
      </w:r>
      <w:r>
        <w:rPr>
          <w:color w:val="231F20"/>
        </w:rPr>
        <w:t xml:space="preserve">, he would be described as “the most innovative theorist in Germany </w:t>
      </w:r>
      <w:r>
        <w:rPr>
          <w:color w:val="231F20"/>
          <w:spacing w:val="-6"/>
        </w:rPr>
        <w:t>today.”</w:t>
      </w:r>
      <w:r>
        <w:rPr>
          <w:color w:val="231F20"/>
          <w:spacing w:val="-6"/>
          <w:position w:val="7"/>
          <w:sz w:val="11"/>
        </w:rPr>
        <w:t xml:space="preserve">4  </w:t>
      </w:r>
      <w:r>
        <w:rPr>
          <w:color w:val="231F20"/>
        </w:rPr>
        <w:t xml:space="preserve">He was particularly prominent in the </w:t>
      </w:r>
      <w:r>
        <w:rPr>
          <w:color w:val="231F20"/>
          <w:spacing w:val="-3"/>
        </w:rPr>
        <w:t xml:space="preserve">West  </w:t>
      </w:r>
      <w:r>
        <w:rPr>
          <w:color w:val="231F20"/>
        </w:rPr>
        <w:t xml:space="preserve">German campaign   to provide solidarity for the Black Liberation Movement militant Angela Davis. Accused of complicity in a failed hostage taking which had been meant to free imprisoned Black revolutionaries (the Soledad Brothers), Davis was incarcerated in the United States for eighteen months between </w:t>
      </w:r>
      <w:r>
        <w:rPr>
          <w:color w:val="231F20"/>
          <w:spacing w:val="-4"/>
        </w:rPr>
        <w:t xml:space="preserve">1970 </w:t>
      </w:r>
      <w:r>
        <w:rPr>
          <w:color w:val="231F20"/>
        </w:rPr>
        <w:t xml:space="preserve">and </w:t>
      </w:r>
      <w:r>
        <w:rPr>
          <w:color w:val="231F20"/>
          <w:spacing w:val="-3"/>
        </w:rPr>
        <w:t xml:space="preserve">1972. </w:t>
      </w:r>
      <w:r>
        <w:rPr>
          <w:color w:val="231F20"/>
        </w:rPr>
        <w:t>For Negt, the connection was both political and personal, as he had gotten to know Davis when she had spent time studying in Frankfurt in the 1960s.</w:t>
      </w:r>
      <w:r>
        <w:rPr>
          <w:color w:val="231F20"/>
          <w:position w:val="7"/>
          <w:sz w:val="11"/>
        </w:rPr>
        <w:t xml:space="preserve">5 </w:t>
      </w:r>
      <w:r>
        <w:rPr>
          <w:color w:val="231F20"/>
        </w:rPr>
        <w:t>It was only natural for him to now support her as a political</w:t>
      </w:r>
      <w:r>
        <w:rPr>
          <w:color w:val="231F20"/>
          <w:spacing w:val="8"/>
        </w:rPr>
        <w:t xml:space="preserve"> </w:t>
      </w:r>
      <w:r>
        <w:rPr>
          <w:color w:val="231F20"/>
        </w:rPr>
        <w:t>prisoner.</w:t>
      </w:r>
    </w:p>
    <w:p w14:paraId="6A53A997" w14:textId="77777777" w:rsidR="002653E8" w:rsidRDefault="003115E3">
      <w:pPr>
        <w:pStyle w:val="a3"/>
        <w:spacing w:line="221" w:lineRule="exact"/>
        <w:ind w:left="1538"/>
      </w:pPr>
      <w:r>
        <w:rPr>
          <w:color w:val="231F20"/>
          <w:w w:val="105"/>
        </w:rPr>
        <w:t>Davis’ trial wound up in San Jose, California, in the late spring of</w:t>
      </w:r>
    </w:p>
    <w:p w14:paraId="269DE52B" w14:textId="77777777" w:rsidR="002653E8" w:rsidRDefault="003115E3">
      <w:pPr>
        <w:pStyle w:val="a3"/>
        <w:spacing w:line="264" w:lineRule="auto"/>
        <w:ind w:left="1328" w:right="1145" w:hanging="1"/>
        <w:jc w:val="both"/>
      </w:pPr>
      <w:r>
        <w:rPr>
          <w:color w:val="231F20"/>
        </w:rPr>
        <w:t>1972, and the jury began its deliberations on Friday, June 2. That same weekend, as a show of solidarity, an Angela Davis Congress had been</w:t>
      </w:r>
    </w:p>
    <w:p w14:paraId="126D57E6" w14:textId="77777777" w:rsidR="002653E8" w:rsidRDefault="00000000">
      <w:pPr>
        <w:pStyle w:val="a3"/>
        <w:spacing w:before="9"/>
        <w:rPr>
          <w:sz w:val="21"/>
        </w:rPr>
      </w:pPr>
      <w:r>
        <w:rPr>
          <w:noProof w:val="0"/>
        </w:rPr>
        <w:pict w14:anchorId="73CAB2D3">
          <v:line id="_x0000_s2479" style="position:absolute;z-index:5344;mso-wrap-distance-left:0;mso-wrap-distance-right:0;mso-position-horizontal-relative:page" from="66.4pt,15pt" to="138.4pt,15pt" strokecolor="#231f20" strokeweight=".5pt">
            <w10:wrap type="topAndBottom" anchorx="page"/>
          </v:line>
        </w:pict>
      </w:r>
    </w:p>
    <w:p w14:paraId="07D1CBA7" w14:textId="77777777" w:rsidR="002653E8" w:rsidRDefault="003115E3">
      <w:pPr>
        <w:pStyle w:val="a4"/>
        <w:numPr>
          <w:ilvl w:val="0"/>
          <w:numId w:val="129"/>
        </w:numPr>
        <w:tabs>
          <w:tab w:val="left" w:pos="1467"/>
        </w:tabs>
        <w:spacing w:before="53" w:line="254" w:lineRule="auto"/>
        <w:ind w:left="1327" w:right="2288" w:firstLine="0"/>
        <w:jc w:val="left"/>
        <w:rPr>
          <w:sz w:val="16"/>
        </w:rPr>
      </w:pPr>
      <w:bookmarkStart w:id="90" w:name="_Hlk71129181"/>
      <w:r>
        <w:rPr>
          <w:color w:val="231F20"/>
          <w:w w:val="110"/>
          <w:sz w:val="16"/>
        </w:rPr>
        <w:t xml:space="preserve">Horst Mewes, “The German New Left,” </w:t>
      </w:r>
      <w:r>
        <w:rPr>
          <w:i/>
          <w:color w:val="231F20"/>
          <w:w w:val="110"/>
          <w:sz w:val="16"/>
        </w:rPr>
        <w:t xml:space="preserve">New </w:t>
      </w:r>
      <w:r>
        <w:rPr>
          <w:i/>
          <w:color w:val="231F20"/>
          <w:spacing w:val="2"/>
          <w:w w:val="110"/>
          <w:sz w:val="16"/>
        </w:rPr>
        <w:t xml:space="preserve">German </w:t>
      </w:r>
      <w:r>
        <w:rPr>
          <w:i/>
          <w:color w:val="231F20"/>
          <w:w w:val="110"/>
          <w:sz w:val="16"/>
        </w:rPr>
        <w:t xml:space="preserve">Critique </w:t>
      </w:r>
      <w:r>
        <w:rPr>
          <w:color w:val="231F20"/>
          <w:w w:val="110"/>
          <w:sz w:val="16"/>
        </w:rPr>
        <w:t xml:space="preserve">1, (Winter </w:t>
      </w:r>
      <w:r>
        <w:rPr>
          <w:color w:val="231F20"/>
          <w:spacing w:val="-4"/>
          <w:w w:val="110"/>
          <w:sz w:val="16"/>
        </w:rPr>
        <w:t>1973):</w:t>
      </w:r>
      <w:r>
        <w:rPr>
          <w:color w:val="231F20"/>
          <w:spacing w:val="10"/>
          <w:w w:val="110"/>
          <w:sz w:val="16"/>
        </w:rPr>
        <w:t xml:space="preserve"> </w:t>
      </w:r>
      <w:r>
        <w:rPr>
          <w:color w:val="231F20"/>
          <w:spacing w:val="-4"/>
          <w:w w:val="110"/>
          <w:sz w:val="16"/>
        </w:rPr>
        <w:t>39.</w:t>
      </w:r>
    </w:p>
    <w:p w14:paraId="167E88E2" w14:textId="77777777" w:rsidR="002653E8" w:rsidRDefault="003115E3">
      <w:pPr>
        <w:pStyle w:val="a4"/>
        <w:numPr>
          <w:ilvl w:val="0"/>
          <w:numId w:val="129"/>
        </w:numPr>
        <w:tabs>
          <w:tab w:val="left" w:pos="1467"/>
        </w:tabs>
        <w:ind w:left="1466"/>
        <w:jc w:val="left"/>
        <w:rPr>
          <w:sz w:val="16"/>
        </w:rPr>
      </w:pPr>
      <w:r>
        <w:rPr>
          <w:color w:val="231F20"/>
          <w:w w:val="110"/>
          <w:sz w:val="16"/>
        </w:rPr>
        <w:t>“The</w:t>
      </w:r>
      <w:r>
        <w:rPr>
          <w:color w:val="231F20"/>
          <w:spacing w:val="5"/>
          <w:w w:val="110"/>
          <w:sz w:val="16"/>
        </w:rPr>
        <w:t xml:space="preserve"> </w:t>
      </w:r>
      <w:r>
        <w:rPr>
          <w:color w:val="231F20"/>
          <w:w w:val="110"/>
          <w:sz w:val="16"/>
        </w:rPr>
        <w:t>Angela</w:t>
      </w:r>
      <w:r>
        <w:rPr>
          <w:color w:val="231F20"/>
          <w:spacing w:val="5"/>
          <w:w w:val="110"/>
          <w:sz w:val="16"/>
        </w:rPr>
        <w:t xml:space="preserve"> </w:t>
      </w:r>
      <w:r>
        <w:rPr>
          <w:color w:val="231F20"/>
          <w:w w:val="110"/>
          <w:sz w:val="16"/>
        </w:rPr>
        <w:t>Davis</w:t>
      </w:r>
      <w:r>
        <w:rPr>
          <w:color w:val="231F20"/>
          <w:spacing w:val="5"/>
          <w:w w:val="110"/>
          <w:sz w:val="16"/>
        </w:rPr>
        <w:t xml:space="preserve"> </w:t>
      </w:r>
      <w:r>
        <w:rPr>
          <w:color w:val="231F20"/>
          <w:w w:val="110"/>
          <w:sz w:val="16"/>
        </w:rPr>
        <w:t>Case,”</w:t>
      </w:r>
      <w:r>
        <w:rPr>
          <w:color w:val="231F20"/>
          <w:spacing w:val="6"/>
          <w:w w:val="110"/>
          <w:sz w:val="16"/>
        </w:rPr>
        <w:t xml:space="preserve"> </w:t>
      </w:r>
      <w:r>
        <w:rPr>
          <w:i/>
          <w:color w:val="231F20"/>
          <w:w w:val="110"/>
          <w:sz w:val="16"/>
        </w:rPr>
        <w:t>Newsweek</w:t>
      </w:r>
      <w:r>
        <w:rPr>
          <w:i/>
          <w:color w:val="231F20"/>
          <w:spacing w:val="5"/>
          <w:w w:val="110"/>
          <w:sz w:val="16"/>
        </w:rPr>
        <w:t xml:space="preserve"> </w:t>
      </w:r>
      <w:r>
        <w:rPr>
          <w:color w:val="231F20"/>
          <w:w w:val="110"/>
          <w:sz w:val="16"/>
        </w:rPr>
        <w:t>[online],</w:t>
      </w:r>
      <w:r>
        <w:rPr>
          <w:color w:val="231F20"/>
          <w:spacing w:val="5"/>
          <w:w w:val="110"/>
          <w:sz w:val="16"/>
        </w:rPr>
        <w:t xml:space="preserve"> </w:t>
      </w:r>
      <w:r>
        <w:rPr>
          <w:color w:val="231F20"/>
          <w:w w:val="110"/>
          <w:sz w:val="16"/>
        </w:rPr>
        <w:t>October</w:t>
      </w:r>
      <w:r>
        <w:rPr>
          <w:color w:val="231F20"/>
          <w:spacing w:val="5"/>
          <w:w w:val="110"/>
          <w:sz w:val="16"/>
        </w:rPr>
        <w:t xml:space="preserve"> </w:t>
      </w:r>
      <w:r>
        <w:rPr>
          <w:color w:val="231F20"/>
          <w:w w:val="110"/>
          <w:sz w:val="16"/>
        </w:rPr>
        <w:t>26,</w:t>
      </w:r>
      <w:r>
        <w:rPr>
          <w:color w:val="231F20"/>
          <w:spacing w:val="5"/>
          <w:w w:val="110"/>
          <w:sz w:val="16"/>
        </w:rPr>
        <w:t xml:space="preserve"> </w:t>
      </w:r>
      <w:r>
        <w:rPr>
          <w:color w:val="231F20"/>
          <w:w w:val="110"/>
          <w:sz w:val="16"/>
        </w:rPr>
        <w:t>1970,</w:t>
      </w:r>
      <w:r>
        <w:rPr>
          <w:color w:val="231F20"/>
          <w:spacing w:val="5"/>
          <w:w w:val="110"/>
          <w:sz w:val="16"/>
        </w:rPr>
        <w:t xml:space="preserve"> </w:t>
      </w:r>
      <w:r>
        <w:rPr>
          <w:color w:val="231F20"/>
          <w:w w:val="110"/>
          <w:sz w:val="16"/>
        </w:rPr>
        <w:t>20.</w:t>
      </w:r>
    </w:p>
    <w:bookmarkEnd w:id="90"/>
    <w:p w14:paraId="0F55F6F5" w14:textId="77777777" w:rsidR="002653E8" w:rsidRDefault="002653E8">
      <w:pPr>
        <w:rPr>
          <w:sz w:val="16"/>
        </w:rPr>
        <w:sectPr w:rsidR="002653E8">
          <w:pgSz w:w="8640" w:h="12960"/>
          <w:pgMar w:top="1060" w:right="0" w:bottom="1040" w:left="0" w:header="0" w:footer="850" w:gutter="0"/>
          <w:cols w:space="720"/>
        </w:sectPr>
      </w:pPr>
    </w:p>
    <w:p w14:paraId="6FEFD8F6" w14:textId="77777777" w:rsidR="002653E8" w:rsidRDefault="003115E3">
      <w:pPr>
        <w:pStyle w:val="a3"/>
        <w:spacing w:before="86" w:line="264" w:lineRule="auto"/>
        <w:ind w:left="1147" w:right="1325"/>
        <w:jc w:val="both"/>
        <w:rPr>
          <w:sz w:val="11"/>
        </w:rPr>
      </w:pPr>
      <w:r>
        <w:rPr>
          <w:color w:val="231F20"/>
        </w:rPr>
        <w:lastRenderedPageBreak/>
        <w:t xml:space="preserve">organized in Frankfurt by the </w:t>
      </w:r>
      <w:r>
        <w:rPr>
          <w:i/>
          <w:color w:val="231F20"/>
        </w:rPr>
        <w:t>Sozialistisches Büro</w:t>
      </w:r>
      <w:r>
        <w:rPr>
          <w:color w:val="231F20"/>
        </w:rPr>
        <w:t xml:space="preserve">, a loose network that had emerged out of the </w:t>
      </w:r>
      <w:r>
        <w:rPr>
          <w:color w:val="231F20"/>
          <w:spacing w:val="1"/>
        </w:rPr>
        <w:t xml:space="preserve">APO </w:t>
      </w:r>
      <w:r>
        <w:rPr>
          <w:color w:val="231F20"/>
        </w:rPr>
        <w:t xml:space="preserve">in </w:t>
      </w:r>
      <w:r>
        <w:rPr>
          <w:color w:val="231F20"/>
          <w:spacing w:val="-4"/>
        </w:rPr>
        <w:t xml:space="preserve">1969, </w:t>
      </w:r>
      <w:r>
        <w:rPr>
          <w:color w:val="231F20"/>
        </w:rPr>
        <w:t>and had since established itself as an important force within the undogmatic left.</w:t>
      </w:r>
      <w:r>
        <w:rPr>
          <w:color w:val="231F20"/>
          <w:position w:val="7"/>
          <w:sz w:val="11"/>
        </w:rPr>
        <w:t xml:space="preserve">1 </w:t>
      </w:r>
      <w:r>
        <w:rPr>
          <w:color w:val="231F20"/>
        </w:rPr>
        <w:t>Keynote speakers included Frankfurt School personalities Herbert Marcuse and Wolfgang Abendroth, and, of course, Oskar Negt. Close to ten thousand people attended,</w:t>
      </w:r>
      <w:r>
        <w:rPr>
          <w:color w:val="231F20"/>
          <w:spacing w:val="-9"/>
        </w:rPr>
        <w:t xml:space="preserve"> </w:t>
      </w:r>
      <w:r>
        <w:rPr>
          <w:color w:val="231F20"/>
        </w:rPr>
        <w:t>and</w:t>
      </w:r>
      <w:r>
        <w:rPr>
          <w:color w:val="231F20"/>
          <w:spacing w:val="-9"/>
        </w:rPr>
        <w:t xml:space="preserve"> </w:t>
      </w:r>
      <w:r>
        <w:rPr>
          <w:color w:val="231F20"/>
        </w:rPr>
        <w:t>one</w:t>
      </w:r>
      <w:r>
        <w:rPr>
          <w:color w:val="231F20"/>
          <w:spacing w:val="-9"/>
        </w:rPr>
        <w:t xml:space="preserve"> </w:t>
      </w:r>
      <w:r>
        <w:rPr>
          <w:color w:val="231F20"/>
        </w:rPr>
        <w:t>can</w:t>
      </w:r>
      <w:r>
        <w:rPr>
          <w:color w:val="231F20"/>
          <w:spacing w:val="-9"/>
        </w:rPr>
        <w:t xml:space="preserve"> </w:t>
      </w:r>
      <w:r>
        <w:rPr>
          <w:color w:val="231F20"/>
        </w:rPr>
        <w:t>only</w:t>
      </w:r>
      <w:r>
        <w:rPr>
          <w:color w:val="231F20"/>
          <w:spacing w:val="-9"/>
        </w:rPr>
        <w:t xml:space="preserve"> </w:t>
      </w:r>
      <w:r>
        <w:rPr>
          <w:color w:val="231F20"/>
        </w:rPr>
        <w:t>imagine</w:t>
      </w:r>
      <w:r>
        <w:rPr>
          <w:color w:val="231F20"/>
          <w:spacing w:val="-9"/>
        </w:rPr>
        <w:t xml:space="preserve"> </w:t>
      </w:r>
      <w:r>
        <w:rPr>
          <w:color w:val="231F20"/>
        </w:rPr>
        <w:t>what</w:t>
      </w:r>
      <w:r>
        <w:rPr>
          <w:color w:val="231F20"/>
          <w:spacing w:val="-9"/>
        </w:rPr>
        <w:t xml:space="preserve"> </w:t>
      </w:r>
      <w:r>
        <w:rPr>
          <w:color w:val="231F20"/>
        </w:rPr>
        <w:t>the</w:t>
      </w:r>
      <w:r>
        <w:rPr>
          <w:color w:val="231F20"/>
          <w:spacing w:val="-9"/>
        </w:rPr>
        <w:t xml:space="preserve"> </w:t>
      </w:r>
      <w:r>
        <w:rPr>
          <w:color w:val="231F20"/>
        </w:rPr>
        <w:t>scene</w:t>
      </w:r>
      <w:r>
        <w:rPr>
          <w:color w:val="231F20"/>
          <w:spacing w:val="-9"/>
        </w:rPr>
        <w:t xml:space="preserve"> </w:t>
      </w:r>
      <w:r>
        <w:rPr>
          <w:color w:val="231F20"/>
        </w:rPr>
        <w:t>must</w:t>
      </w:r>
      <w:r>
        <w:rPr>
          <w:color w:val="231F20"/>
          <w:spacing w:val="-9"/>
        </w:rPr>
        <w:t xml:space="preserve"> </w:t>
      </w:r>
      <w:r>
        <w:rPr>
          <w:color w:val="231F20"/>
        </w:rPr>
        <w:t>have</w:t>
      </w:r>
      <w:r>
        <w:rPr>
          <w:color w:val="231F20"/>
          <w:spacing w:val="-9"/>
        </w:rPr>
        <w:t xml:space="preserve"> </w:t>
      </w:r>
      <w:r>
        <w:rPr>
          <w:color w:val="231F20"/>
        </w:rPr>
        <w:t>been</w:t>
      </w:r>
      <w:r>
        <w:rPr>
          <w:color w:val="231F20"/>
          <w:spacing w:val="-9"/>
        </w:rPr>
        <w:t xml:space="preserve"> </w:t>
      </w:r>
      <w:r>
        <w:rPr>
          <w:color w:val="231F20"/>
        </w:rPr>
        <w:t>when news</w:t>
      </w:r>
      <w:r>
        <w:rPr>
          <w:color w:val="231F20"/>
          <w:spacing w:val="11"/>
        </w:rPr>
        <w:t xml:space="preserve"> </w:t>
      </w:r>
      <w:r>
        <w:rPr>
          <w:color w:val="231F20"/>
        </w:rPr>
        <w:t>arrived</w:t>
      </w:r>
      <w:r>
        <w:rPr>
          <w:color w:val="231F20"/>
          <w:spacing w:val="11"/>
        </w:rPr>
        <w:t xml:space="preserve"> </w:t>
      </w:r>
      <w:r>
        <w:rPr>
          <w:color w:val="231F20"/>
        </w:rPr>
        <w:t>on</w:t>
      </w:r>
      <w:r>
        <w:rPr>
          <w:color w:val="231F20"/>
          <w:spacing w:val="11"/>
        </w:rPr>
        <w:t xml:space="preserve"> </w:t>
      </w:r>
      <w:r>
        <w:rPr>
          <w:color w:val="231F20"/>
        </w:rPr>
        <w:t>the</w:t>
      </w:r>
      <w:r>
        <w:rPr>
          <w:color w:val="231F20"/>
          <w:spacing w:val="11"/>
        </w:rPr>
        <w:t xml:space="preserve"> </w:t>
      </w:r>
      <w:r>
        <w:rPr>
          <w:color w:val="231F20"/>
        </w:rPr>
        <w:t>Sunday</w:t>
      </w:r>
      <w:r>
        <w:rPr>
          <w:color w:val="231F20"/>
          <w:spacing w:val="11"/>
        </w:rPr>
        <w:t xml:space="preserve"> </w:t>
      </w:r>
      <w:r>
        <w:rPr>
          <w:color w:val="231F20"/>
        </w:rPr>
        <w:t>that</w:t>
      </w:r>
      <w:r>
        <w:rPr>
          <w:color w:val="231F20"/>
          <w:spacing w:val="11"/>
        </w:rPr>
        <w:t xml:space="preserve"> </w:t>
      </w:r>
      <w:r>
        <w:rPr>
          <w:color w:val="231F20"/>
        </w:rPr>
        <w:t>Davis</w:t>
      </w:r>
      <w:r>
        <w:rPr>
          <w:color w:val="231F20"/>
          <w:spacing w:val="11"/>
        </w:rPr>
        <w:t xml:space="preserve"> </w:t>
      </w:r>
      <w:r>
        <w:rPr>
          <w:color w:val="231F20"/>
        </w:rPr>
        <w:t>had</w:t>
      </w:r>
      <w:r>
        <w:rPr>
          <w:color w:val="231F20"/>
          <w:spacing w:val="11"/>
        </w:rPr>
        <w:t xml:space="preserve"> </w:t>
      </w:r>
      <w:r>
        <w:rPr>
          <w:color w:val="231F20"/>
        </w:rPr>
        <w:t>been</w:t>
      </w:r>
      <w:r>
        <w:rPr>
          <w:color w:val="231F20"/>
          <w:spacing w:val="11"/>
        </w:rPr>
        <w:t xml:space="preserve"> </w:t>
      </w:r>
      <w:r>
        <w:rPr>
          <w:color w:val="231F20"/>
        </w:rPr>
        <w:t>found</w:t>
      </w:r>
      <w:r>
        <w:rPr>
          <w:color w:val="231F20"/>
          <w:spacing w:val="11"/>
        </w:rPr>
        <w:t xml:space="preserve"> </w:t>
      </w:r>
      <w:r>
        <w:rPr>
          <w:color w:val="231F20"/>
        </w:rPr>
        <w:t>not</w:t>
      </w:r>
      <w:r>
        <w:rPr>
          <w:color w:val="231F20"/>
          <w:spacing w:val="11"/>
        </w:rPr>
        <w:t xml:space="preserve"> </w:t>
      </w:r>
      <w:r>
        <w:rPr>
          <w:color w:val="231F20"/>
        </w:rPr>
        <w:t>guilty.</w:t>
      </w:r>
      <w:r>
        <w:rPr>
          <w:color w:val="231F20"/>
          <w:position w:val="7"/>
          <w:sz w:val="11"/>
        </w:rPr>
        <w:t>2</w:t>
      </w:r>
    </w:p>
    <w:p w14:paraId="5F634BE7" w14:textId="77777777" w:rsidR="002653E8" w:rsidRDefault="003115E3">
      <w:pPr>
        <w:pStyle w:val="a3"/>
        <w:spacing w:line="264" w:lineRule="auto"/>
        <w:ind w:left="1147" w:right="1326" w:firstLine="210"/>
        <w:jc w:val="both"/>
      </w:pPr>
      <w:r>
        <w:rPr>
          <w:color w:val="231F20"/>
        </w:rPr>
        <w:t>While</w:t>
      </w:r>
      <w:r>
        <w:rPr>
          <w:color w:val="231F20"/>
          <w:spacing w:val="-11"/>
        </w:rPr>
        <w:t xml:space="preserve"> </w:t>
      </w:r>
      <w:r>
        <w:rPr>
          <w:color w:val="231F20"/>
        </w:rPr>
        <w:t>the</w:t>
      </w:r>
      <w:r>
        <w:rPr>
          <w:color w:val="231F20"/>
          <w:spacing w:val="-11"/>
        </w:rPr>
        <w:t xml:space="preserve"> </w:t>
      </w:r>
      <w:r>
        <w:rPr>
          <w:color w:val="231F20"/>
        </w:rPr>
        <w:t>conference</w:t>
      </w:r>
      <w:r>
        <w:rPr>
          <w:color w:val="231F20"/>
          <w:spacing w:val="-11"/>
        </w:rPr>
        <w:t xml:space="preserve"> </w:t>
      </w:r>
      <w:r>
        <w:rPr>
          <w:color w:val="231F20"/>
        </w:rPr>
        <w:t>was</w:t>
      </w:r>
      <w:r>
        <w:rPr>
          <w:color w:val="231F20"/>
          <w:spacing w:val="-11"/>
        </w:rPr>
        <w:t xml:space="preserve"> </w:t>
      </w:r>
      <w:r>
        <w:rPr>
          <w:color w:val="231F20"/>
        </w:rPr>
        <w:t>scheduled</w:t>
      </w:r>
      <w:r>
        <w:rPr>
          <w:color w:val="231F20"/>
          <w:spacing w:val="-11"/>
        </w:rPr>
        <w:t xml:space="preserve"> </w:t>
      </w:r>
      <w:r>
        <w:rPr>
          <w:color w:val="231F20"/>
        </w:rPr>
        <w:t>perfectly</w:t>
      </w:r>
      <w:r>
        <w:rPr>
          <w:color w:val="231F20"/>
          <w:spacing w:val="-11"/>
        </w:rPr>
        <w:t xml:space="preserve"> </w:t>
      </w:r>
      <w:r>
        <w:rPr>
          <w:color w:val="231F20"/>
        </w:rPr>
        <w:t>to</w:t>
      </w:r>
      <w:r>
        <w:rPr>
          <w:color w:val="231F20"/>
          <w:spacing w:val="-11"/>
        </w:rPr>
        <w:t xml:space="preserve"> </w:t>
      </w:r>
      <w:r>
        <w:rPr>
          <w:color w:val="231F20"/>
        </w:rPr>
        <w:t>coincide</w:t>
      </w:r>
      <w:r>
        <w:rPr>
          <w:color w:val="231F20"/>
          <w:spacing w:val="-11"/>
        </w:rPr>
        <w:t xml:space="preserve"> </w:t>
      </w:r>
      <w:r>
        <w:rPr>
          <w:color w:val="231F20"/>
        </w:rPr>
        <w:t>with</w:t>
      </w:r>
      <w:r>
        <w:rPr>
          <w:color w:val="231F20"/>
          <w:spacing w:val="-11"/>
        </w:rPr>
        <w:t xml:space="preserve"> </w:t>
      </w:r>
      <w:r>
        <w:rPr>
          <w:color w:val="231F20"/>
        </w:rPr>
        <w:t>this</w:t>
      </w:r>
      <w:r>
        <w:rPr>
          <w:color w:val="231F20"/>
          <w:spacing w:val="-11"/>
        </w:rPr>
        <w:t xml:space="preserve"> </w:t>
      </w:r>
      <w:r>
        <w:rPr>
          <w:color w:val="231F20"/>
        </w:rPr>
        <w:t xml:space="preserve">victory across the Atlantic, it also occurred at a very particular moment in the FRG. As we have seen, the entire month of May had been filled with bombings carried out by the </w:t>
      </w:r>
      <w:r w:rsidR="00C507A5">
        <w:rPr>
          <w:color w:val="231F20"/>
        </w:rPr>
        <w:t>red army faction</w:t>
      </w:r>
      <w:r>
        <w:rPr>
          <w:color w:val="231F20"/>
        </w:rPr>
        <w:t xml:space="preserve">. Just days before the Congress opened, also in Frankfurt, Red Aid had held a Teach-In Against Repression at which a tape-recorded statement from Ulrike Meinhof had been played. The very next </w:t>
      </w:r>
      <w:r>
        <w:rPr>
          <w:color w:val="231F20"/>
          <w:spacing w:val="-4"/>
        </w:rPr>
        <w:t xml:space="preserve">day, </w:t>
      </w:r>
      <w:r>
        <w:rPr>
          <w:color w:val="231F20"/>
        </w:rPr>
        <w:t>the first of the arrests came: Andreas Baader, Holger Meins,</w:t>
      </w:r>
      <w:r>
        <w:rPr>
          <w:color w:val="231F20"/>
          <w:spacing w:val="15"/>
        </w:rPr>
        <w:t xml:space="preserve"> </w:t>
      </w:r>
      <w:r>
        <w:rPr>
          <w:color w:val="231F20"/>
        </w:rPr>
        <w:t>and</w:t>
      </w:r>
      <w:r>
        <w:rPr>
          <w:color w:val="231F20"/>
          <w:spacing w:val="15"/>
        </w:rPr>
        <w:t xml:space="preserve"> </w:t>
      </w:r>
      <w:r>
        <w:rPr>
          <w:color w:val="231F20"/>
        </w:rPr>
        <w:t>Jan-Carl</w:t>
      </w:r>
      <w:r>
        <w:rPr>
          <w:color w:val="231F20"/>
          <w:spacing w:val="15"/>
        </w:rPr>
        <w:t xml:space="preserve"> </w:t>
      </w:r>
      <w:r>
        <w:rPr>
          <w:color w:val="231F20"/>
        </w:rPr>
        <w:t>Raspe</w:t>
      </w:r>
      <w:r>
        <w:rPr>
          <w:color w:val="231F20"/>
          <w:spacing w:val="15"/>
        </w:rPr>
        <w:t xml:space="preserve"> </w:t>
      </w:r>
      <w:r>
        <w:rPr>
          <w:color w:val="231F20"/>
        </w:rPr>
        <w:t>were</w:t>
      </w:r>
      <w:r>
        <w:rPr>
          <w:color w:val="231F20"/>
          <w:spacing w:val="15"/>
        </w:rPr>
        <w:t xml:space="preserve"> </w:t>
      </w:r>
      <w:r>
        <w:rPr>
          <w:color w:val="231F20"/>
        </w:rPr>
        <w:t>captured</w:t>
      </w:r>
      <w:r>
        <w:rPr>
          <w:color w:val="231F20"/>
          <w:spacing w:val="15"/>
        </w:rPr>
        <w:t xml:space="preserve"> </w:t>
      </w:r>
      <w:r>
        <w:rPr>
          <w:color w:val="231F20"/>
        </w:rPr>
        <w:t>in</w:t>
      </w:r>
      <w:r>
        <w:rPr>
          <w:color w:val="231F20"/>
          <w:spacing w:val="15"/>
        </w:rPr>
        <w:t xml:space="preserve"> </w:t>
      </w:r>
      <w:r>
        <w:rPr>
          <w:color w:val="231F20"/>
        </w:rPr>
        <w:t>Munich.</w:t>
      </w:r>
    </w:p>
    <w:p w14:paraId="7F63C48A" w14:textId="77777777" w:rsidR="002653E8" w:rsidRDefault="003115E3">
      <w:pPr>
        <w:pStyle w:val="a3"/>
        <w:spacing w:line="264" w:lineRule="auto"/>
        <w:ind w:left="1147" w:right="1326" w:firstLine="210"/>
        <w:jc w:val="both"/>
      </w:pPr>
      <w:r>
        <w:rPr>
          <w:color w:val="231F20"/>
        </w:rPr>
        <w:t xml:space="preserve">At this critical juncture, at what should have  been  an  ideal  occasion to make the connection between revolutionary movements in </w:t>
      </w:r>
      <w:r>
        <w:rPr>
          <w:color w:val="231F20"/>
          <w:spacing w:val="-3"/>
        </w:rPr>
        <w:t xml:space="preserve">West </w:t>
      </w:r>
      <w:r>
        <w:rPr>
          <w:color w:val="231F20"/>
        </w:rPr>
        <w:t xml:space="preserve">Germany and the United States, Negt dropped his own bombshell. His address at the Congress took aim not at imperialism or racism or state repression, but at the </w:t>
      </w:r>
      <w:r w:rsidR="00C507A5">
        <w:rPr>
          <w:color w:val="231F20"/>
        </w:rPr>
        <w:t>red army faction</w:t>
      </w:r>
      <w:r>
        <w:rPr>
          <w:color w:val="231F20"/>
        </w:rPr>
        <w:t>, and at those who supported its strategy of armed struggle in the</w:t>
      </w:r>
      <w:r>
        <w:rPr>
          <w:color w:val="231F20"/>
          <w:spacing w:val="2"/>
        </w:rPr>
        <w:t xml:space="preserve"> </w:t>
      </w:r>
      <w:r>
        <w:rPr>
          <w:color w:val="231F20"/>
        </w:rPr>
        <w:t>FRG.</w:t>
      </w:r>
    </w:p>
    <w:p w14:paraId="3177EA5B" w14:textId="77777777" w:rsidR="002653E8" w:rsidRDefault="003115E3">
      <w:pPr>
        <w:pStyle w:val="a3"/>
        <w:spacing w:line="264" w:lineRule="auto"/>
        <w:ind w:left="1147" w:right="1325" w:firstLine="210"/>
        <w:jc w:val="both"/>
      </w:pPr>
      <w:r>
        <w:rPr>
          <w:color w:val="231F20"/>
        </w:rPr>
        <w:t xml:space="preserve">According to Negt, the </w:t>
      </w:r>
      <w:r w:rsidR="00C507A5">
        <w:rPr>
          <w:color w:val="231F20"/>
          <w:spacing w:val="1"/>
        </w:rPr>
        <w:t>red army faction</w:t>
      </w:r>
      <w:r>
        <w:rPr>
          <w:color w:val="231F20"/>
          <w:spacing w:val="1"/>
        </w:rPr>
        <w:t xml:space="preserve">’s </w:t>
      </w:r>
      <w:r>
        <w:rPr>
          <w:color w:val="231F20"/>
        </w:rPr>
        <w:t>politics were disconnected from the experiences of most citizens of the FRG, and for that reason could only be self-defeating. Whereas he believed the Black Liberation Movement was justified in using political violence in the United  States,  and  he fully supported the Black Panther Party and similar groups, he argued that people were not particularly oppressed in the FRG, and, as such,  the guerilla could only alienate the working class there. Armed politics in such a context were  vanguardist,  counterproductive,  and  doomed to fail, as anyone who robbed banks  or  planted  bombs  would  only  cut themselves off from the very people whose support they should be seeking.</w:t>
      </w:r>
    </w:p>
    <w:p w14:paraId="60666139" w14:textId="77777777" w:rsidR="002653E8" w:rsidRDefault="003115E3">
      <w:pPr>
        <w:pStyle w:val="a3"/>
        <w:spacing w:line="264" w:lineRule="auto"/>
        <w:ind w:left="1147" w:right="1326" w:firstLine="210"/>
        <w:jc w:val="both"/>
      </w:pPr>
      <w:r>
        <w:rPr>
          <w:color w:val="231F20"/>
        </w:rPr>
        <w:t xml:space="preserve">Perhaps worst of all, Negt accused the </w:t>
      </w:r>
      <w:r w:rsidR="00C507A5">
        <w:rPr>
          <w:color w:val="231F20"/>
        </w:rPr>
        <w:t>red army faction</w:t>
      </w:r>
      <w:r>
        <w:rPr>
          <w:color w:val="231F20"/>
        </w:rPr>
        <w:t xml:space="preserve"> of being simple “desperadoes” trying to put a political veneer on apolitical crimes. Arguing that “uncritical solidarity” ran contrary to socialist organizing principles,</w:t>
      </w:r>
    </w:p>
    <w:p w14:paraId="52ACC270" w14:textId="77777777" w:rsidR="002653E8" w:rsidRDefault="00000000">
      <w:pPr>
        <w:pStyle w:val="a3"/>
        <w:spacing w:before="8"/>
        <w:rPr>
          <w:sz w:val="23"/>
        </w:rPr>
      </w:pPr>
      <w:r>
        <w:rPr>
          <w:noProof w:val="0"/>
        </w:rPr>
        <w:pict w14:anchorId="423B470E">
          <v:line id="_x0000_s2478" style="position:absolute;z-index:5368;mso-wrap-distance-left:0;mso-wrap-distance-right:0;mso-position-horizontal-relative:page" from="57.4pt,16.1pt" to="129.4pt,16.1pt" strokecolor="#231f20" strokeweight=".5pt">
            <w10:wrap type="topAndBottom" anchorx="page"/>
          </v:line>
        </w:pict>
      </w:r>
    </w:p>
    <w:p w14:paraId="48AC30C2" w14:textId="77777777" w:rsidR="002653E8" w:rsidRPr="00C507A5" w:rsidRDefault="003115E3">
      <w:pPr>
        <w:spacing w:before="53"/>
        <w:ind w:left="1147"/>
        <w:rPr>
          <w:sz w:val="16"/>
          <w:lang w:val="de-DE"/>
        </w:rPr>
      </w:pPr>
      <w:bookmarkStart w:id="91" w:name="_Hlk71130368"/>
      <w:r w:rsidRPr="00C507A5">
        <w:rPr>
          <w:color w:val="231F20"/>
          <w:w w:val="110"/>
          <w:sz w:val="16"/>
          <w:lang w:val="de-DE"/>
        </w:rPr>
        <w:t>1 Mewes, 32-35.</w:t>
      </w:r>
    </w:p>
    <w:p w14:paraId="10D755CD" w14:textId="77777777" w:rsidR="002653E8" w:rsidRPr="00C507A5" w:rsidRDefault="003115E3">
      <w:pPr>
        <w:spacing w:before="51" w:line="254" w:lineRule="auto"/>
        <w:ind w:left="1147" w:right="1580"/>
        <w:rPr>
          <w:sz w:val="16"/>
          <w:lang w:val="de-DE"/>
        </w:rPr>
      </w:pPr>
      <w:r w:rsidRPr="00C507A5">
        <w:rPr>
          <w:color w:val="231F20"/>
          <w:w w:val="105"/>
          <w:sz w:val="16"/>
          <w:lang w:val="de-DE"/>
        </w:rPr>
        <w:t xml:space="preserve">2 Jürgen Schröder,“USA Black Panther Party (BPP) und Angela Davis Materialien </w:t>
      </w:r>
      <w:r w:rsidRPr="00C507A5">
        <w:rPr>
          <w:color w:val="231F20"/>
          <w:w w:val="101"/>
          <w:sz w:val="16"/>
          <w:lang w:val="de-DE"/>
        </w:rPr>
        <w:t>z</w:t>
      </w:r>
      <w:r w:rsidRPr="00C507A5">
        <w:rPr>
          <w:color w:val="231F20"/>
          <w:w w:val="104"/>
          <w:sz w:val="16"/>
          <w:lang w:val="de-DE"/>
        </w:rPr>
        <w:t>u</w:t>
      </w:r>
      <w:r w:rsidRPr="00C507A5">
        <w:rPr>
          <w:color w:val="231F20"/>
          <w:w w:val="97"/>
          <w:sz w:val="16"/>
          <w:lang w:val="de-DE"/>
        </w:rPr>
        <w:t>r</w:t>
      </w:r>
      <w:r w:rsidRPr="00C507A5">
        <w:rPr>
          <w:color w:val="231F20"/>
          <w:sz w:val="16"/>
          <w:lang w:val="de-DE"/>
        </w:rPr>
        <w:t xml:space="preserve"> </w:t>
      </w:r>
      <w:r w:rsidRPr="00C507A5">
        <w:rPr>
          <w:color w:val="231F20"/>
          <w:w w:val="120"/>
          <w:sz w:val="16"/>
          <w:lang w:val="de-DE"/>
        </w:rPr>
        <w:t>A</w:t>
      </w:r>
      <w:r w:rsidRPr="00C507A5">
        <w:rPr>
          <w:color w:val="231F20"/>
          <w:w w:val="103"/>
          <w:sz w:val="16"/>
          <w:lang w:val="de-DE"/>
        </w:rPr>
        <w:t>n</w:t>
      </w:r>
      <w:r w:rsidRPr="00C507A5">
        <w:rPr>
          <w:color w:val="231F20"/>
          <w:w w:val="106"/>
          <w:sz w:val="16"/>
          <w:lang w:val="de-DE"/>
        </w:rPr>
        <w:t>a</w:t>
      </w:r>
      <w:r w:rsidRPr="00C507A5">
        <w:rPr>
          <w:color w:val="231F20"/>
          <w:w w:val="104"/>
          <w:sz w:val="16"/>
          <w:lang w:val="de-DE"/>
        </w:rPr>
        <w:t>ly</w:t>
      </w:r>
      <w:r w:rsidRPr="00C507A5">
        <w:rPr>
          <w:color w:val="231F20"/>
          <w:w w:val="93"/>
          <w:sz w:val="16"/>
          <w:lang w:val="de-DE"/>
        </w:rPr>
        <w:t>s</w:t>
      </w:r>
      <w:r w:rsidRPr="00C507A5">
        <w:rPr>
          <w:color w:val="231F20"/>
          <w:w w:val="94"/>
          <w:sz w:val="16"/>
          <w:lang w:val="de-DE"/>
        </w:rPr>
        <w:t>e</w:t>
      </w:r>
      <w:r w:rsidRPr="00C507A5">
        <w:rPr>
          <w:color w:val="231F20"/>
          <w:sz w:val="16"/>
          <w:lang w:val="de-DE"/>
        </w:rPr>
        <w:t xml:space="preserve"> </w:t>
      </w:r>
      <w:r w:rsidRPr="00C507A5">
        <w:rPr>
          <w:color w:val="231F20"/>
          <w:w w:val="102"/>
          <w:sz w:val="16"/>
          <w:lang w:val="de-DE"/>
        </w:rPr>
        <w:t>v</w:t>
      </w:r>
      <w:r w:rsidRPr="00C507A5">
        <w:rPr>
          <w:color w:val="231F20"/>
          <w:w w:val="108"/>
          <w:sz w:val="16"/>
          <w:lang w:val="de-DE"/>
        </w:rPr>
        <w:t>o</w:t>
      </w:r>
      <w:r w:rsidRPr="00C507A5">
        <w:rPr>
          <w:color w:val="231F20"/>
          <w:w w:val="103"/>
          <w:sz w:val="16"/>
          <w:lang w:val="de-DE"/>
        </w:rPr>
        <w:t>n</w:t>
      </w:r>
      <w:r w:rsidRPr="00C507A5">
        <w:rPr>
          <w:color w:val="231F20"/>
          <w:sz w:val="16"/>
          <w:lang w:val="de-DE"/>
        </w:rPr>
        <w:t xml:space="preserve"> </w:t>
      </w:r>
      <w:r w:rsidRPr="00C507A5">
        <w:rPr>
          <w:color w:val="231F20"/>
          <w:w w:val="132"/>
          <w:sz w:val="16"/>
          <w:lang w:val="de-DE"/>
        </w:rPr>
        <w:t>O</w:t>
      </w:r>
      <w:r w:rsidRPr="00C507A5">
        <w:rPr>
          <w:color w:val="231F20"/>
          <w:w w:val="103"/>
          <w:sz w:val="16"/>
          <w:lang w:val="de-DE"/>
        </w:rPr>
        <w:t>pp</w:t>
      </w:r>
      <w:r w:rsidRPr="00C507A5">
        <w:rPr>
          <w:color w:val="231F20"/>
          <w:w w:val="108"/>
          <w:sz w:val="16"/>
          <w:lang w:val="de-DE"/>
        </w:rPr>
        <w:t>o</w:t>
      </w:r>
      <w:r w:rsidRPr="00C507A5">
        <w:rPr>
          <w:color w:val="231F20"/>
          <w:w w:val="93"/>
          <w:sz w:val="16"/>
          <w:lang w:val="de-DE"/>
        </w:rPr>
        <w:t>s</w:t>
      </w:r>
      <w:r w:rsidRPr="00C507A5">
        <w:rPr>
          <w:color w:val="231F20"/>
          <w:w w:val="103"/>
          <w:sz w:val="16"/>
          <w:lang w:val="de-DE"/>
        </w:rPr>
        <w:t>i</w:t>
      </w:r>
      <w:r w:rsidRPr="00C507A5">
        <w:rPr>
          <w:color w:val="231F20"/>
          <w:w w:val="102"/>
          <w:sz w:val="16"/>
          <w:lang w:val="de-DE"/>
        </w:rPr>
        <w:t>t</w:t>
      </w:r>
      <w:r w:rsidRPr="00C507A5">
        <w:rPr>
          <w:color w:val="231F20"/>
          <w:w w:val="107"/>
          <w:sz w:val="16"/>
          <w:lang w:val="de-DE"/>
        </w:rPr>
        <w:t>io</w:t>
      </w:r>
      <w:r w:rsidRPr="00C507A5">
        <w:rPr>
          <w:color w:val="231F20"/>
          <w:w w:val="103"/>
          <w:sz w:val="16"/>
          <w:lang w:val="de-DE"/>
        </w:rPr>
        <w:t>n</w:t>
      </w:r>
      <w:r w:rsidRPr="00C507A5">
        <w:rPr>
          <w:color w:val="231F20"/>
          <w:w w:val="140"/>
          <w:sz w:val="16"/>
          <w:lang w:val="de-DE"/>
        </w:rPr>
        <w:t>,</w:t>
      </w:r>
      <w:r w:rsidRPr="00C507A5">
        <w:rPr>
          <w:color w:val="231F20"/>
          <w:w w:val="153"/>
          <w:sz w:val="16"/>
          <w:lang w:val="de-DE"/>
        </w:rPr>
        <w:t>”</w:t>
      </w:r>
      <w:r w:rsidRPr="00C507A5">
        <w:rPr>
          <w:color w:val="231F20"/>
          <w:sz w:val="16"/>
          <w:lang w:val="de-DE"/>
        </w:rPr>
        <w:t xml:space="preserve"> </w:t>
      </w:r>
      <w:hyperlink r:id="rId176">
        <w:r w:rsidRPr="00C507A5">
          <w:rPr>
            <w:color w:val="231F20"/>
            <w:w w:val="103"/>
            <w:sz w:val="16"/>
            <w:lang w:val="de-DE"/>
          </w:rPr>
          <w:t>ht</w:t>
        </w:r>
        <w:r w:rsidRPr="00C507A5">
          <w:rPr>
            <w:color w:val="231F20"/>
            <w:w w:val="102"/>
            <w:sz w:val="16"/>
            <w:lang w:val="de-DE"/>
          </w:rPr>
          <w:t>t</w:t>
        </w:r>
        <w:r w:rsidRPr="00C507A5">
          <w:rPr>
            <w:color w:val="231F20"/>
            <w:w w:val="103"/>
            <w:sz w:val="16"/>
            <w:lang w:val="de-DE"/>
          </w:rPr>
          <w:t>p</w:t>
        </w:r>
        <w:r w:rsidRPr="00C507A5">
          <w:rPr>
            <w:color w:val="231F20"/>
            <w:w w:val="109"/>
            <w:sz w:val="16"/>
            <w:lang w:val="de-DE"/>
          </w:rPr>
          <w:t>:</w:t>
        </w:r>
        <w:r w:rsidRPr="00C507A5">
          <w:rPr>
            <w:color w:val="231F20"/>
            <w:w w:val="58"/>
            <w:sz w:val="16"/>
            <w:lang w:val="de-DE"/>
          </w:rPr>
          <w:t>//</w:t>
        </w:r>
        <w:r w:rsidRPr="00C507A5">
          <w:rPr>
            <w:color w:val="231F20"/>
            <w:w w:val="104"/>
            <w:sz w:val="16"/>
            <w:lang w:val="de-DE"/>
          </w:rPr>
          <w:t>www</w:t>
        </w:r>
        <w:r w:rsidRPr="00C507A5">
          <w:rPr>
            <w:color w:val="231F20"/>
            <w:w w:val="140"/>
            <w:sz w:val="16"/>
            <w:lang w:val="de-DE"/>
          </w:rPr>
          <w:t>.</w:t>
        </w:r>
        <w:r w:rsidRPr="00C507A5">
          <w:rPr>
            <w:color w:val="231F20"/>
            <w:w w:val="103"/>
            <w:sz w:val="16"/>
            <w:lang w:val="de-DE"/>
          </w:rPr>
          <w:t>m</w:t>
        </w:r>
        <w:r w:rsidRPr="00C507A5">
          <w:rPr>
            <w:color w:val="231F20"/>
            <w:w w:val="106"/>
            <w:sz w:val="16"/>
            <w:lang w:val="de-DE"/>
          </w:rPr>
          <w:t>a</w:t>
        </w:r>
        <w:r w:rsidRPr="00C507A5">
          <w:rPr>
            <w:color w:val="231F20"/>
            <w:w w:val="108"/>
            <w:sz w:val="16"/>
            <w:lang w:val="de-DE"/>
          </w:rPr>
          <w:t>o</w:t>
        </w:r>
        <w:r w:rsidRPr="00C507A5">
          <w:rPr>
            <w:color w:val="231F20"/>
            <w:w w:val="104"/>
            <w:sz w:val="16"/>
            <w:lang w:val="de-DE"/>
          </w:rPr>
          <w:t>-</w:t>
        </w:r>
        <w:r w:rsidRPr="00C507A5">
          <w:rPr>
            <w:color w:val="231F20"/>
            <w:w w:val="103"/>
            <w:sz w:val="16"/>
            <w:lang w:val="de-DE"/>
          </w:rPr>
          <w:t>p</w:t>
        </w:r>
        <w:r w:rsidRPr="00C507A5">
          <w:rPr>
            <w:color w:val="231F20"/>
            <w:w w:val="97"/>
            <w:sz w:val="16"/>
            <w:lang w:val="de-DE"/>
          </w:rPr>
          <w:t>r</w:t>
        </w:r>
        <w:r w:rsidRPr="00C507A5">
          <w:rPr>
            <w:color w:val="231F20"/>
            <w:w w:val="108"/>
            <w:sz w:val="16"/>
            <w:lang w:val="de-DE"/>
          </w:rPr>
          <w:t>oj</w:t>
        </w:r>
        <w:r w:rsidRPr="00C507A5">
          <w:rPr>
            <w:color w:val="231F20"/>
            <w:w w:val="94"/>
            <w:sz w:val="16"/>
            <w:lang w:val="de-DE"/>
          </w:rPr>
          <w:t>e</w:t>
        </w:r>
        <w:r w:rsidRPr="00C507A5">
          <w:rPr>
            <w:color w:val="231F20"/>
            <w:w w:val="109"/>
            <w:sz w:val="16"/>
            <w:lang w:val="de-DE"/>
          </w:rPr>
          <w:t>k</w:t>
        </w:r>
        <w:r w:rsidRPr="00C507A5">
          <w:rPr>
            <w:color w:val="231F20"/>
            <w:w w:val="102"/>
            <w:sz w:val="16"/>
            <w:lang w:val="de-DE"/>
          </w:rPr>
          <w:t>t</w:t>
        </w:r>
        <w:r w:rsidRPr="00C507A5">
          <w:rPr>
            <w:color w:val="231F20"/>
            <w:w w:val="140"/>
            <w:sz w:val="16"/>
            <w:lang w:val="de-DE"/>
          </w:rPr>
          <w:t>.</w:t>
        </w:r>
        <w:r w:rsidRPr="00C507A5">
          <w:rPr>
            <w:color w:val="231F20"/>
            <w:w w:val="103"/>
            <w:sz w:val="16"/>
            <w:lang w:val="de-DE"/>
          </w:rPr>
          <w:t>d</w:t>
        </w:r>
        <w:r w:rsidRPr="00C507A5">
          <w:rPr>
            <w:color w:val="231F20"/>
            <w:w w:val="94"/>
            <w:sz w:val="16"/>
            <w:lang w:val="de-DE"/>
          </w:rPr>
          <w:t>e</w:t>
        </w:r>
        <w:r w:rsidRPr="00C507A5">
          <w:rPr>
            <w:color w:val="231F20"/>
            <w:w w:val="58"/>
            <w:sz w:val="16"/>
            <w:lang w:val="de-DE"/>
          </w:rPr>
          <w:t>/</w:t>
        </w:r>
        <w:r w:rsidRPr="00C507A5">
          <w:rPr>
            <w:color w:val="231F20"/>
            <w:w w:val="120"/>
            <w:sz w:val="16"/>
            <w:lang w:val="de-DE"/>
          </w:rPr>
          <w:t>IN</w:t>
        </w:r>
        <w:r w:rsidRPr="00C507A5">
          <w:rPr>
            <w:color w:val="231F20"/>
            <w:w w:val="116"/>
            <w:sz w:val="16"/>
            <w:lang w:val="de-DE"/>
          </w:rPr>
          <w:t>T</w:t>
        </w:r>
        <w:r w:rsidRPr="00C507A5">
          <w:rPr>
            <w:color w:val="231F20"/>
            <w:w w:val="58"/>
            <w:sz w:val="16"/>
            <w:lang w:val="de-DE"/>
          </w:rPr>
          <w:t>/</w:t>
        </w:r>
        <w:r w:rsidRPr="00C507A5">
          <w:rPr>
            <w:color w:val="231F20"/>
            <w:w w:val="126"/>
            <w:sz w:val="16"/>
            <w:lang w:val="de-DE"/>
          </w:rPr>
          <w:t>N</w:t>
        </w:r>
        <w:r w:rsidRPr="00C507A5">
          <w:rPr>
            <w:color w:val="231F20"/>
            <w:w w:val="120"/>
            <w:sz w:val="16"/>
            <w:lang w:val="de-DE"/>
          </w:rPr>
          <w:t>A</w:t>
        </w:r>
        <w:r w:rsidRPr="00C507A5">
          <w:rPr>
            <w:color w:val="231F20"/>
            <w:w w:val="58"/>
            <w:sz w:val="16"/>
            <w:lang w:val="de-DE"/>
          </w:rPr>
          <w:t>/</w:t>
        </w:r>
        <w:r w:rsidRPr="00C507A5">
          <w:rPr>
            <w:color w:val="231F20"/>
            <w:w w:val="115"/>
            <w:sz w:val="16"/>
            <w:lang w:val="de-DE"/>
          </w:rPr>
          <w:t>U</w:t>
        </w:r>
        <w:r w:rsidRPr="00C507A5">
          <w:rPr>
            <w:color w:val="231F20"/>
            <w:w w:val="113"/>
            <w:sz w:val="16"/>
            <w:lang w:val="de-DE"/>
          </w:rPr>
          <w:t>SA</w:t>
        </w:r>
        <w:r w:rsidRPr="00C507A5">
          <w:rPr>
            <w:color w:val="231F20"/>
            <w:w w:val="58"/>
            <w:sz w:val="16"/>
            <w:lang w:val="de-DE"/>
          </w:rPr>
          <w:t>/</w:t>
        </w:r>
        <w:r w:rsidRPr="00C507A5">
          <w:rPr>
            <w:color w:val="231F20"/>
            <w:w w:val="115"/>
            <w:sz w:val="16"/>
            <w:lang w:val="de-DE"/>
          </w:rPr>
          <w:t>U</w:t>
        </w:r>
        <w:r w:rsidRPr="00C507A5">
          <w:rPr>
            <w:color w:val="231F20"/>
            <w:w w:val="113"/>
            <w:sz w:val="16"/>
            <w:lang w:val="de-DE"/>
          </w:rPr>
          <w:t>SA</w:t>
        </w:r>
        <w:r w:rsidRPr="00C507A5">
          <w:rPr>
            <w:color w:val="231F20"/>
            <w:w w:val="139"/>
            <w:sz w:val="16"/>
            <w:lang w:val="de-DE"/>
          </w:rPr>
          <w:t>_</w:t>
        </w:r>
      </w:hyperlink>
      <w:r w:rsidRPr="00C507A5">
        <w:rPr>
          <w:color w:val="231F20"/>
          <w:w w:val="139"/>
          <w:sz w:val="16"/>
          <w:lang w:val="de-DE"/>
        </w:rPr>
        <w:t xml:space="preserve"> </w:t>
      </w:r>
      <w:r w:rsidRPr="00C507A5">
        <w:rPr>
          <w:color w:val="231F20"/>
          <w:w w:val="105"/>
          <w:sz w:val="16"/>
          <w:lang w:val="de-DE"/>
        </w:rPr>
        <w:t>Black_Panther_Party_und_Angela_Davis.html.</w:t>
      </w:r>
    </w:p>
    <w:bookmarkEnd w:id="91"/>
    <w:p w14:paraId="30034C5A" w14:textId="77777777" w:rsidR="002653E8" w:rsidRPr="00C507A5" w:rsidRDefault="002653E8">
      <w:pPr>
        <w:spacing w:line="254" w:lineRule="auto"/>
        <w:rPr>
          <w:sz w:val="16"/>
          <w:lang w:val="de-DE"/>
        </w:rPr>
        <w:sectPr w:rsidR="002653E8" w:rsidRPr="00C507A5">
          <w:pgSz w:w="8640" w:h="12960"/>
          <w:pgMar w:top="1060" w:right="0" w:bottom="1040" w:left="0" w:header="0" w:footer="850" w:gutter="0"/>
          <w:cols w:space="720"/>
        </w:sectPr>
      </w:pPr>
    </w:p>
    <w:p w14:paraId="0994D8FD" w14:textId="77777777" w:rsidR="002653E8" w:rsidRDefault="003115E3">
      <w:pPr>
        <w:pStyle w:val="a3"/>
        <w:spacing w:before="86" w:line="264" w:lineRule="auto"/>
        <w:ind w:left="1327" w:right="1145"/>
        <w:jc w:val="both"/>
        <w:rPr>
          <w:sz w:val="11"/>
        </w:rPr>
      </w:pPr>
      <w:r>
        <w:rPr>
          <w:color w:val="231F20"/>
        </w:rPr>
        <w:lastRenderedPageBreak/>
        <w:t xml:space="preserve">Negt called on leftists to refuse the </w:t>
      </w:r>
      <w:r w:rsidR="00C507A5">
        <w:rPr>
          <w:color w:val="231F20"/>
        </w:rPr>
        <w:t>red army faction</w:t>
      </w:r>
      <w:r>
        <w:rPr>
          <w:color w:val="231F20"/>
        </w:rPr>
        <w:t xml:space="preserve"> any support—be it safehouses or IDs or whatnot—smugly adding that if this was done, the guerilla would simply not be able to survive.</w:t>
      </w:r>
      <w:r>
        <w:rPr>
          <w:color w:val="231F20"/>
          <w:position w:val="7"/>
          <w:sz w:val="11"/>
        </w:rPr>
        <w:t>3</w:t>
      </w:r>
    </w:p>
    <w:p w14:paraId="2E550F8B" w14:textId="77777777" w:rsidR="002653E8" w:rsidRDefault="003115E3">
      <w:pPr>
        <w:pStyle w:val="a3"/>
        <w:spacing w:line="264" w:lineRule="auto"/>
        <w:ind w:left="1327" w:right="1145" w:firstLine="210"/>
        <w:jc w:val="both"/>
        <w:rPr>
          <w:sz w:val="11"/>
        </w:rPr>
      </w:pPr>
      <w:r>
        <w:rPr>
          <w:color w:val="231F20"/>
        </w:rPr>
        <w:t xml:space="preserve">It has been reported that his words did not go over so well with everyone at the Congress, and he was vigorously denounced by many in attendance, notably members of Frankfurt’s </w:t>
      </w:r>
      <w:r>
        <w:rPr>
          <w:i/>
          <w:color w:val="231F20"/>
        </w:rPr>
        <w:t xml:space="preserve">sponti </w:t>
      </w:r>
      <w:r>
        <w:rPr>
          <w:color w:val="231F20"/>
        </w:rPr>
        <w:t>scene.</w:t>
      </w:r>
      <w:r>
        <w:rPr>
          <w:color w:val="231F20"/>
          <w:position w:val="7"/>
          <w:sz w:val="11"/>
        </w:rPr>
        <w:t>4</w:t>
      </w:r>
    </w:p>
    <w:p w14:paraId="104212BA" w14:textId="77777777" w:rsidR="002653E8" w:rsidRDefault="003115E3">
      <w:pPr>
        <w:pStyle w:val="a3"/>
        <w:spacing w:line="264" w:lineRule="auto"/>
        <w:ind w:left="1327" w:right="1147" w:firstLine="210"/>
        <w:jc w:val="both"/>
      </w:pPr>
      <w:r>
        <w:rPr>
          <w:color w:val="231F20"/>
        </w:rPr>
        <w:t xml:space="preserve">It might have been enough that he speak out against the guerilla in order for the </w:t>
      </w:r>
      <w:r w:rsidR="00C507A5">
        <w:rPr>
          <w:color w:val="231F20"/>
        </w:rPr>
        <w:t>red army faction</w:t>
      </w:r>
      <w:r>
        <w:rPr>
          <w:color w:val="231F20"/>
        </w:rPr>
        <w:t xml:space="preserve"> to take him to task, but Negt would be accused of doing far more than that.</w:t>
      </w:r>
    </w:p>
    <w:p w14:paraId="51D52B22" w14:textId="77777777" w:rsidR="002653E8" w:rsidRDefault="003115E3">
      <w:pPr>
        <w:pStyle w:val="a3"/>
        <w:spacing w:line="264" w:lineRule="auto"/>
        <w:ind w:left="1327" w:right="1146" w:firstLine="210"/>
        <w:jc w:val="both"/>
        <w:rPr>
          <w:sz w:val="11"/>
        </w:rPr>
      </w:pPr>
      <w:r>
        <w:rPr>
          <w:color w:val="231F20"/>
        </w:rPr>
        <w:t>Apparently the Hannover sociology professor was friends with Fritz Rodewald—the same Fritz Rodewald who set Ulrike Meinhof and Gerhard Müller up to be captured within a few weeks of the Frankfurt conference. According to Meinhof’s biographer Jutta Ditfurth,  Rodewald, uneasy about his prior decision to aid the fugitives, had turned to Negt for advice. Negt repeated his position that nobody owed anyone “mechanical” or “automatic” solidarity, and as a result, the  police were</w:t>
      </w:r>
      <w:r>
        <w:rPr>
          <w:color w:val="231F20"/>
          <w:spacing w:val="21"/>
        </w:rPr>
        <w:t xml:space="preserve"> </w:t>
      </w:r>
      <w:r>
        <w:rPr>
          <w:color w:val="231F20"/>
        </w:rPr>
        <w:t>contacted.</w:t>
      </w:r>
      <w:r>
        <w:rPr>
          <w:color w:val="231F20"/>
          <w:position w:val="7"/>
          <w:sz w:val="11"/>
        </w:rPr>
        <w:t>5</w:t>
      </w:r>
    </w:p>
    <w:p w14:paraId="79E48EB7" w14:textId="77777777" w:rsidR="002653E8" w:rsidRDefault="003115E3">
      <w:pPr>
        <w:pStyle w:val="a3"/>
        <w:spacing w:line="264" w:lineRule="auto"/>
        <w:ind w:left="1327" w:right="1145" w:firstLine="210"/>
        <w:jc w:val="both"/>
      </w:pPr>
      <w:r>
        <w:rPr>
          <w:color w:val="231F20"/>
          <w:spacing w:val="1"/>
        </w:rPr>
        <w:t xml:space="preserve">In </w:t>
      </w:r>
      <w:r>
        <w:rPr>
          <w:color w:val="231F20"/>
        </w:rPr>
        <w:t xml:space="preserve">Negt’s hard line, one can discern the first clear rejection of the guerilla by a section of the undogmatic left. While this position can’t have done the guerilla any good, the evidence seems to indicate that in </w:t>
      </w:r>
      <w:r>
        <w:rPr>
          <w:color w:val="231F20"/>
          <w:spacing w:val="-3"/>
        </w:rPr>
        <w:t xml:space="preserve">1972, </w:t>
      </w:r>
      <w:r>
        <w:rPr>
          <w:color w:val="231F20"/>
        </w:rPr>
        <w:t xml:space="preserve">and for several years thereafter, it failed to achieve </w:t>
      </w:r>
      <w:r>
        <w:rPr>
          <w:color w:val="231F20"/>
          <w:spacing w:val="-3"/>
        </w:rPr>
        <w:t xml:space="preserve">hegemony. </w:t>
      </w:r>
      <w:r>
        <w:rPr>
          <w:color w:val="231F20"/>
        </w:rPr>
        <w:t>Which is not to say that the undogmatic left was pro-guerilla, but rather that different</w:t>
      </w:r>
      <w:r>
        <w:rPr>
          <w:color w:val="231F20"/>
          <w:spacing w:val="-5"/>
        </w:rPr>
        <w:t xml:space="preserve"> </w:t>
      </w:r>
      <w:r>
        <w:rPr>
          <w:color w:val="231F20"/>
        </w:rPr>
        <w:t>people</w:t>
      </w:r>
      <w:r>
        <w:rPr>
          <w:color w:val="231F20"/>
          <w:spacing w:val="-5"/>
        </w:rPr>
        <w:t xml:space="preserve"> </w:t>
      </w:r>
      <w:r>
        <w:rPr>
          <w:color w:val="231F20"/>
        </w:rPr>
        <w:t>held</w:t>
      </w:r>
      <w:r>
        <w:rPr>
          <w:color w:val="231F20"/>
          <w:spacing w:val="-5"/>
        </w:rPr>
        <w:t xml:space="preserve"> </w:t>
      </w:r>
      <w:r>
        <w:rPr>
          <w:color w:val="231F20"/>
        </w:rPr>
        <w:t>different</w:t>
      </w:r>
      <w:r>
        <w:rPr>
          <w:color w:val="231F20"/>
          <w:spacing w:val="-5"/>
        </w:rPr>
        <w:t xml:space="preserve"> </w:t>
      </w:r>
      <w:r>
        <w:rPr>
          <w:color w:val="231F20"/>
        </w:rPr>
        <w:t>opinions,</w:t>
      </w:r>
      <w:r>
        <w:rPr>
          <w:color w:val="231F20"/>
          <w:spacing w:val="-5"/>
        </w:rPr>
        <w:t xml:space="preserve"> </w:t>
      </w:r>
      <w:r>
        <w:rPr>
          <w:color w:val="231F20"/>
        </w:rPr>
        <w:t>and</w:t>
      </w:r>
      <w:r>
        <w:rPr>
          <w:color w:val="231F20"/>
          <w:spacing w:val="-5"/>
        </w:rPr>
        <w:t xml:space="preserve"> </w:t>
      </w:r>
      <w:r>
        <w:rPr>
          <w:color w:val="231F20"/>
        </w:rPr>
        <w:t>it</w:t>
      </w:r>
      <w:r>
        <w:rPr>
          <w:color w:val="231F20"/>
          <w:spacing w:val="-5"/>
        </w:rPr>
        <w:t xml:space="preserve"> </w:t>
      </w:r>
      <w:r>
        <w:rPr>
          <w:color w:val="231F20"/>
        </w:rPr>
        <w:t>would</w:t>
      </w:r>
      <w:r>
        <w:rPr>
          <w:color w:val="231F20"/>
          <w:spacing w:val="-5"/>
        </w:rPr>
        <w:t xml:space="preserve"> </w:t>
      </w:r>
      <w:r>
        <w:rPr>
          <w:color w:val="231F20"/>
        </w:rPr>
        <w:t>have</w:t>
      </w:r>
      <w:r>
        <w:rPr>
          <w:color w:val="231F20"/>
          <w:spacing w:val="-5"/>
        </w:rPr>
        <w:t xml:space="preserve"> </w:t>
      </w:r>
      <w:r>
        <w:rPr>
          <w:color w:val="231F20"/>
        </w:rPr>
        <w:t>taken</w:t>
      </w:r>
      <w:r>
        <w:rPr>
          <w:color w:val="231F20"/>
          <w:spacing w:val="-5"/>
        </w:rPr>
        <w:t xml:space="preserve"> </w:t>
      </w:r>
      <w:r>
        <w:rPr>
          <w:color w:val="231F20"/>
        </w:rPr>
        <w:t>more</w:t>
      </w:r>
      <w:r>
        <w:rPr>
          <w:color w:val="231F20"/>
          <w:spacing w:val="-5"/>
        </w:rPr>
        <w:t xml:space="preserve"> </w:t>
      </w:r>
      <w:r>
        <w:rPr>
          <w:color w:val="231F20"/>
        </w:rPr>
        <w:t xml:space="preserve">than the ravings of one left-wing intellectual to cause a definite repudiation. When such a move </w:t>
      </w:r>
      <w:r>
        <w:rPr>
          <w:color w:val="231F20"/>
          <w:spacing w:val="-3"/>
        </w:rPr>
        <w:t xml:space="preserve">away </w:t>
      </w:r>
      <w:r>
        <w:rPr>
          <w:color w:val="231F20"/>
        </w:rPr>
        <w:t>from political violence did eventually occur, it would be as a result of former street fighters, guerillas, and semi-legal activists re-examining the question. It would take militants like Daniel Cohn-Bendit and Joschka Fischer, and former combatants like Bommi Baumann</w:t>
      </w:r>
      <w:r>
        <w:rPr>
          <w:color w:val="231F20"/>
          <w:spacing w:val="18"/>
        </w:rPr>
        <w:t xml:space="preserve"> </w:t>
      </w:r>
      <w:r>
        <w:rPr>
          <w:color w:val="231F20"/>
        </w:rPr>
        <w:t>and</w:t>
      </w:r>
      <w:r>
        <w:rPr>
          <w:color w:val="231F20"/>
          <w:spacing w:val="18"/>
        </w:rPr>
        <w:t xml:space="preserve"> </w:t>
      </w:r>
      <w:r>
        <w:rPr>
          <w:color w:val="231F20"/>
        </w:rPr>
        <w:t>Hans-Joachim</w:t>
      </w:r>
      <w:r>
        <w:rPr>
          <w:color w:val="231F20"/>
          <w:spacing w:val="18"/>
        </w:rPr>
        <w:t xml:space="preserve"> </w:t>
      </w:r>
      <w:r>
        <w:rPr>
          <w:color w:val="231F20"/>
        </w:rPr>
        <w:t>Klein,</w:t>
      </w:r>
      <w:r>
        <w:rPr>
          <w:color w:val="231F20"/>
          <w:spacing w:val="18"/>
        </w:rPr>
        <w:t xml:space="preserve"> </w:t>
      </w:r>
      <w:r>
        <w:rPr>
          <w:color w:val="231F20"/>
        </w:rPr>
        <w:t>to</w:t>
      </w:r>
      <w:r>
        <w:rPr>
          <w:color w:val="231F20"/>
          <w:spacing w:val="18"/>
        </w:rPr>
        <w:t xml:space="preserve"> </w:t>
      </w:r>
      <w:r>
        <w:rPr>
          <w:color w:val="231F20"/>
        </w:rPr>
        <w:t>do</w:t>
      </w:r>
      <w:r>
        <w:rPr>
          <w:color w:val="231F20"/>
          <w:spacing w:val="18"/>
        </w:rPr>
        <w:t xml:space="preserve"> </w:t>
      </w:r>
      <w:r>
        <w:rPr>
          <w:color w:val="231F20"/>
        </w:rPr>
        <w:t>what</w:t>
      </w:r>
      <w:r>
        <w:rPr>
          <w:color w:val="231F20"/>
          <w:spacing w:val="18"/>
        </w:rPr>
        <w:t xml:space="preserve"> </w:t>
      </w:r>
      <w:r>
        <w:rPr>
          <w:color w:val="231F20"/>
        </w:rPr>
        <w:t>Negt</w:t>
      </w:r>
      <w:r>
        <w:rPr>
          <w:color w:val="231F20"/>
          <w:spacing w:val="18"/>
        </w:rPr>
        <w:t xml:space="preserve"> </w:t>
      </w:r>
      <w:r>
        <w:rPr>
          <w:color w:val="231F20"/>
        </w:rPr>
        <w:t>could</w:t>
      </w:r>
      <w:r>
        <w:rPr>
          <w:color w:val="231F20"/>
          <w:spacing w:val="18"/>
        </w:rPr>
        <w:t xml:space="preserve"> </w:t>
      </w:r>
      <w:r>
        <w:rPr>
          <w:color w:val="231F20"/>
        </w:rPr>
        <w:t>not.</w:t>
      </w:r>
    </w:p>
    <w:p w14:paraId="5043FABD" w14:textId="77777777" w:rsidR="002653E8" w:rsidRDefault="003115E3">
      <w:pPr>
        <w:pStyle w:val="a3"/>
        <w:spacing w:line="221" w:lineRule="exact"/>
        <w:ind w:left="1537"/>
      </w:pPr>
      <w:r>
        <w:rPr>
          <w:color w:val="231F20"/>
        </w:rPr>
        <w:t xml:space="preserve">If the </w:t>
      </w:r>
      <w:r w:rsidR="00C507A5">
        <w:rPr>
          <w:color w:val="231F20"/>
        </w:rPr>
        <w:t>red army faction</w:t>
      </w:r>
      <w:r>
        <w:rPr>
          <w:color w:val="231F20"/>
        </w:rPr>
        <w:t xml:space="preserve"> saw a thread connecting its negative evaluation of Negt to</w:t>
      </w:r>
    </w:p>
    <w:p w14:paraId="5AF71307" w14:textId="77777777" w:rsidR="002653E8" w:rsidRDefault="003115E3">
      <w:pPr>
        <w:pStyle w:val="a3"/>
        <w:spacing w:before="4" w:line="264" w:lineRule="auto"/>
        <w:ind w:left="1327" w:right="1146"/>
        <w:jc w:val="both"/>
      </w:pPr>
      <w:r>
        <w:rPr>
          <w:color w:val="231F20"/>
        </w:rPr>
        <w:t>its</w:t>
      </w:r>
      <w:r>
        <w:rPr>
          <w:color w:val="231F20"/>
          <w:spacing w:val="-5"/>
        </w:rPr>
        <w:t xml:space="preserve"> </w:t>
      </w:r>
      <w:r>
        <w:rPr>
          <w:color w:val="231F20"/>
        </w:rPr>
        <w:t>glowing</w:t>
      </w:r>
      <w:r>
        <w:rPr>
          <w:color w:val="231F20"/>
          <w:spacing w:val="-5"/>
        </w:rPr>
        <w:t xml:space="preserve"> </w:t>
      </w:r>
      <w:r>
        <w:rPr>
          <w:color w:val="231F20"/>
        </w:rPr>
        <w:t>appraisal</w:t>
      </w:r>
      <w:r>
        <w:rPr>
          <w:color w:val="231F20"/>
          <w:spacing w:val="-5"/>
        </w:rPr>
        <w:t xml:space="preserve"> </w:t>
      </w:r>
      <w:r>
        <w:rPr>
          <w:color w:val="231F20"/>
        </w:rPr>
        <w:t>of</w:t>
      </w:r>
      <w:r>
        <w:rPr>
          <w:color w:val="231F20"/>
          <w:spacing w:val="-5"/>
        </w:rPr>
        <w:t xml:space="preserve"> </w:t>
      </w:r>
      <w:r>
        <w:rPr>
          <w:color w:val="231F20"/>
        </w:rPr>
        <w:t>Black</w:t>
      </w:r>
      <w:r>
        <w:rPr>
          <w:color w:val="231F20"/>
          <w:spacing w:val="-5"/>
        </w:rPr>
        <w:t xml:space="preserve"> </w:t>
      </w:r>
      <w:r>
        <w:rPr>
          <w:color w:val="231F20"/>
        </w:rPr>
        <w:t>September,</w:t>
      </w:r>
      <w:r>
        <w:rPr>
          <w:color w:val="231F20"/>
          <w:spacing w:val="-5"/>
        </w:rPr>
        <w:t xml:space="preserve"> </w:t>
      </w:r>
      <w:r>
        <w:rPr>
          <w:color w:val="231F20"/>
        </w:rPr>
        <w:t>it</w:t>
      </w:r>
      <w:r>
        <w:rPr>
          <w:color w:val="231F20"/>
          <w:spacing w:val="-5"/>
        </w:rPr>
        <w:t xml:space="preserve"> </w:t>
      </w:r>
      <w:r>
        <w:rPr>
          <w:color w:val="231F20"/>
        </w:rPr>
        <w:t>was</w:t>
      </w:r>
      <w:r>
        <w:rPr>
          <w:color w:val="231F20"/>
          <w:spacing w:val="-5"/>
        </w:rPr>
        <w:t xml:space="preserve"> </w:t>
      </w:r>
      <w:r>
        <w:rPr>
          <w:color w:val="231F20"/>
        </w:rPr>
        <w:t>the</w:t>
      </w:r>
      <w:r>
        <w:rPr>
          <w:color w:val="231F20"/>
          <w:spacing w:val="-5"/>
        </w:rPr>
        <w:t xml:space="preserve"> </w:t>
      </w:r>
      <w:r>
        <w:rPr>
          <w:color w:val="231F20"/>
        </w:rPr>
        <w:t>question</w:t>
      </w:r>
      <w:r>
        <w:rPr>
          <w:color w:val="231F20"/>
          <w:spacing w:val="-5"/>
        </w:rPr>
        <w:t xml:space="preserve"> </w:t>
      </w:r>
      <w:r>
        <w:rPr>
          <w:color w:val="231F20"/>
        </w:rPr>
        <w:t>of</w:t>
      </w:r>
      <w:r>
        <w:rPr>
          <w:color w:val="231F20"/>
          <w:spacing w:val="-5"/>
        </w:rPr>
        <w:t xml:space="preserve"> </w:t>
      </w:r>
      <w:r>
        <w:rPr>
          <w:color w:val="231F20"/>
        </w:rPr>
        <w:t>the</w:t>
      </w:r>
      <w:r>
        <w:rPr>
          <w:color w:val="231F20"/>
          <w:spacing w:val="-4"/>
        </w:rPr>
        <w:t xml:space="preserve"> </w:t>
      </w:r>
      <w:r>
        <w:rPr>
          <w:color w:val="231F20"/>
        </w:rPr>
        <w:t xml:space="preserve">labor aristocracy. It is surely no accident that the </w:t>
      </w:r>
      <w:r>
        <w:rPr>
          <w:i/>
          <w:color w:val="231F20"/>
        </w:rPr>
        <w:t xml:space="preserve">Black </w:t>
      </w:r>
      <w:r>
        <w:rPr>
          <w:i/>
          <w:color w:val="231F20"/>
          <w:spacing w:val="1"/>
        </w:rPr>
        <w:t xml:space="preserve">September </w:t>
      </w:r>
      <w:r>
        <w:rPr>
          <w:color w:val="231F20"/>
        </w:rPr>
        <w:t>document provides</w:t>
      </w:r>
      <w:r>
        <w:rPr>
          <w:color w:val="231F20"/>
          <w:spacing w:val="10"/>
        </w:rPr>
        <w:t xml:space="preserve"> </w:t>
      </w:r>
      <w:r>
        <w:rPr>
          <w:color w:val="231F20"/>
        </w:rPr>
        <w:t>the</w:t>
      </w:r>
      <w:r>
        <w:rPr>
          <w:color w:val="231F20"/>
          <w:spacing w:val="10"/>
        </w:rPr>
        <w:t xml:space="preserve"> </w:t>
      </w:r>
      <w:r>
        <w:rPr>
          <w:color w:val="231F20"/>
        </w:rPr>
        <w:t>guerilla’s</w:t>
      </w:r>
      <w:r>
        <w:rPr>
          <w:color w:val="231F20"/>
          <w:spacing w:val="10"/>
        </w:rPr>
        <w:t xml:space="preserve"> </w:t>
      </w:r>
      <w:r>
        <w:rPr>
          <w:color w:val="231F20"/>
        </w:rPr>
        <w:t>most</w:t>
      </w:r>
      <w:r>
        <w:rPr>
          <w:color w:val="231F20"/>
          <w:spacing w:val="10"/>
        </w:rPr>
        <w:t xml:space="preserve"> </w:t>
      </w:r>
      <w:r>
        <w:rPr>
          <w:color w:val="231F20"/>
        </w:rPr>
        <w:t>detailed</w:t>
      </w:r>
      <w:r>
        <w:rPr>
          <w:color w:val="231F20"/>
          <w:spacing w:val="10"/>
        </w:rPr>
        <w:t xml:space="preserve"> </w:t>
      </w:r>
      <w:r>
        <w:rPr>
          <w:color w:val="231F20"/>
        </w:rPr>
        <w:t>examination</w:t>
      </w:r>
      <w:r>
        <w:rPr>
          <w:color w:val="231F20"/>
          <w:spacing w:val="10"/>
        </w:rPr>
        <w:t xml:space="preserve"> </w:t>
      </w:r>
      <w:r>
        <w:rPr>
          <w:color w:val="231F20"/>
        </w:rPr>
        <w:t>of</w:t>
      </w:r>
      <w:r>
        <w:rPr>
          <w:color w:val="231F20"/>
          <w:spacing w:val="10"/>
        </w:rPr>
        <w:t xml:space="preserve"> </w:t>
      </w:r>
      <w:r>
        <w:rPr>
          <w:color w:val="231F20"/>
        </w:rPr>
        <w:t>this</w:t>
      </w:r>
      <w:r>
        <w:rPr>
          <w:color w:val="231F20"/>
          <w:spacing w:val="10"/>
        </w:rPr>
        <w:t xml:space="preserve"> </w:t>
      </w:r>
      <w:r>
        <w:rPr>
          <w:color w:val="231F20"/>
        </w:rPr>
        <w:t>concept.</w:t>
      </w:r>
    </w:p>
    <w:p w14:paraId="53A1E2BC" w14:textId="77777777" w:rsidR="002653E8" w:rsidRDefault="003115E3">
      <w:pPr>
        <w:pStyle w:val="a3"/>
        <w:spacing w:line="264" w:lineRule="auto"/>
        <w:ind w:left="1327" w:right="1146" w:firstLine="210"/>
        <w:jc w:val="both"/>
      </w:pPr>
      <w:r>
        <w:rPr>
          <w:color w:val="231F20"/>
        </w:rPr>
        <w:t>Specifically, the “labor aristocracy” refers to those more well-to-do layers of the working class, people who no longer have any material</w:t>
      </w:r>
    </w:p>
    <w:p w14:paraId="0484356B" w14:textId="77777777" w:rsidR="002653E8" w:rsidRDefault="00000000">
      <w:pPr>
        <w:pStyle w:val="a3"/>
        <w:rPr>
          <w:sz w:val="23"/>
        </w:rPr>
      </w:pPr>
      <w:r>
        <w:rPr>
          <w:noProof w:val="0"/>
        </w:rPr>
        <w:pict w14:anchorId="7721CE68">
          <v:line id="_x0000_s2477" style="position:absolute;z-index:5392;mso-wrap-distance-left:0;mso-wrap-distance-right:0;mso-position-horizontal-relative:page" from="66.4pt,15.7pt" to="138.4pt,15.7pt" strokecolor="#231f20" strokeweight=".5pt">
            <w10:wrap type="topAndBottom" anchorx="page"/>
          </v:line>
        </w:pict>
      </w:r>
    </w:p>
    <w:p w14:paraId="5F020BA8" w14:textId="77777777" w:rsidR="002653E8" w:rsidRPr="00C507A5" w:rsidRDefault="003115E3">
      <w:pPr>
        <w:pStyle w:val="a4"/>
        <w:numPr>
          <w:ilvl w:val="0"/>
          <w:numId w:val="21"/>
        </w:numPr>
        <w:tabs>
          <w:tab w:val="left" w:pos="1467"/>
        </w:tabs>
        <w:spacing w:before="53" w:line="254" w:lineRule="auto"/>
        <w:ind w:right="1563" w:firstLine="0"/>
        <w:rPr>
          <w:sz w:val="16"/>
          <w:lang w:val="de-DE"/>
        </w:rPr>
      </w:pPr>
      <w:bookmarkStart w:id="92" w:name="_Hlk71131107"/>
      <w:r w:rsidRPr="00C507A5">
        <w:rPr>
          <w:color w:val="231F20"/>
          <w:spacing w:val="3"/>
          <w:w w:val="118"/>
          <w:sz w:val="16"/>
          <w:lang w:val="de-DE"/>
        </w:rPr>
        <w:t>L</w:t>
      </w:r>
      <w:r w:rsidRPr="00C507A5">
        <w:rPr>
          <w:color w:val="231F20"/>
          <w:spacing w:val="3"/>
          <w:w w:val="103"/>
          <w:sz w:val="16"/>
          <w:lang w:val="de-DE"/>
        </w:rPr>
        <w:t>in</w:t>
      </w:r>
      <w:r w:rsidRPr="00C507A5">
        <w:rPr>
          <w:color w:val="231F20"/>
          <w:spacing w:val="2"/>
          <w:w w:val="109"/>
          <w:sz w:val="16"/>
          <w:lang w:val="de-DE"/>
        </w:rPr>
        <w:t>k</w:t>
      </w:r>
      <w:r w:rsidRPr="00C507A5">
        <w:rPr>
          <w:color w:val="231F20"/>
          <w:w w:val="93"/>
          <w:sz w:val="16"/>
          <w:lang w:val="de-DE"/>
        </w:rPr>
        <w:t>s</w:t>
      </w:r>
      <w:r w:rsidRPr="00C507A5">
        <w:rPr>
          <w:color w:val="231F20"/>
          <w:w w:val="103"/>
          <w:sz w:val="16"/>
          <w:lang w:val="de-DE"/>
        </w:rPr>
        <w:t>n</w:t>
      </w:r>
      <w:r w:rsidRPr="00C507A5">
        <w:rPr>
          <w:color w:val="231F20"/>
          <w:spacing w:val="2"/>
          <w:w w:val="94"/>
          <w:sz w:val="16"/>
          <w:lang w:val="de-DE"/>
        </w:rPr>
        <w:t>e</w:t>
      </w:r>
      <w:r w:rsidRPr="00C507A5">
        <w:rPr>
          <w:color w:val="231F20"/>
          <w:w w:val="102"/>
          <w:sz w:val="16"/>
          <w:lang w:val="de-DE"/>
        </w:rPr>
        <w:t>t</w:t>
      </w:r>
      <w:r w:rsidRPr="00C507A5">
        <w:rPr>
          <w:color w:val="231F20"/>
          <w:spacing w:val="10"/>
          <w:sz w:val="16"/>
          <w:lang w:val="de-DE"/>
        </w:rPr>
        <w:t xml:space="preserve"> </w:t>
      </w:r>
      <w:r w:rsidRPr="00C507A5">
        <w:rPr>
          <w:color w:val="231F20"/>
          <w:w w:val="153"/>
          <w:sz w:val="16"/>
          <w:lang w:val="de-DE"/>
        </w:rPr>
        <w:t>“</w:t>
      </w:r>
      <w:r w:rsidRPr="00C507A5">
        <w:rPr>
          <w:color w:val="231F20"/>
          <w:spacing w:val="1"/>
          <w:w w:val="120"/>
          <w:sz w:val="16"/>
          <w:lang w:val="de-DE"/>
        </w:rPr>
        <w:t>R</w:t>
      </w:r>
      <w:r w:rsidRPr="00C507A5">
        <w:rPr>
          <w:color w:val="231F20"/>
          <w:spacing w:val="1"/>
          <w:w w:val="94"/>
          <w:sz w:val="16"/>
          <w:lang w:val="de-DE"/>
        </w:rPr>
        <w:t>e</w:t>
      </w:r>
      <w:r w:rsidRPr="00C507A5">
        <w:rPr>
          <w:color w:val="231F20"/>
          <w:w w:val="103"/>
          <w:sz w:val="16"/>
          <w:lang w:val="de-DE"/>
        </w:rPr>
        <w:t>d</w:t>
      </w:r>
      <w:r w:rsidRPr="00C507A5">
        <w:rPr>
          <w:color w:val="231F20"/>
          <w:w w:val="94"/>
          <w:sz w:val="16"/>
          <w:lang w:val="de-DE"/>
        </w:rPr>
        <w:t>e</w:t>
      </w:r>
      <w:r w:rsidRPr="00C507A5">
        <w:rPr>
          <w:color w:val="231F20"/>
          <w:spacing w:val="10"/>
          <w:sz w:val="16"/>
          <w:lang w:val="de-DE"/>
        </w:rPr>
        <w:t xml:space="preserve"> </w:t>
      </w:r>
      <w:r w:rsidRPr="00C507A5">
        <w:rPr>
          <w:color w:val="231F20"/>
          <w:spacing w:val="2"/>
          <w:w w:val="101"/>
          <w:sz w:val="16"/>
          <w:lang w:val="de-DE"/>
        </w:rPr>
        <w:t>z</w:t>
      </w:r>
      <w:r w:rsidRPr="00C507A5">
        <w:rPr>
          <w:color w:val="231F20"/>
          <w:spacing w:val="5"/>
          <w:w w:val="104"/>
          <w:sz w:val="16"/>
          <w:lang w:val="de-DE"/>
        </w:rPr>
        <w:t>u</w:t>
      </w:r>
      <w:r w:rsidRPr="00C507A5">
        <w:rPr>
          <w:color w:val="231F20"/>
          <w:w w:val="103"/>
          <w:sz w:val="16"/>
          <w:lang w:val="de-DE"/>
        </w:rPr>
        <w:t>m</w:t>
      </w:r>
      <w:r w:rsidRPr="00C507A5">
        <w:rPr>
          <w:color w:val="231F20"/>
          <w:spacing w:val="10"/>
          <w:sz w:val="16"/>
          <w:lang w:val="de-DE"/>
        </w:rPr>
        <w:t xml:space="preserve"> </w:t>
      </w:r>
      <w:r w:rsidRPr="00C507A5">
        <w:rPr>
          <w:color w:val="231F20"/>
          <w:spacing w:val="6"/>
          <w:w w:val="120"/>
          <w:sz w:val="16"/>
          <w:lang w:val="de-DE"/>
        </w:rPr>
        <w:t>A</w:t>
      </w:r>
      <w:r w:rsidRPr="00C507A5">
        <w:rPr>
          <w:color w:val="231F20"/>
          <w:w w:val="103"/>
          <w:sz w:val="16"/>
          <w:lang w:val="de-DE"/>
        </w:rPr>
        <w:t>n</w:t>
      </w:r>
      <w:r w:rsidRPr="00C507A5">
        <w:rPr>
          <w:color w:val="231F20"/>
          <w:w w:val="104"/>
          <w:sz w:val="16"/>
          <w:lang w:val="de-DE"/>
        </w:rPr>
        <w:t>g</w:t>
      </w:r>
      <w:r w:rsidRPr="00C507A5">
        <w:rPr>
          <w:color w:val="231F20"/>
          <w:w w:val="94"/>
          <w:sz w:val="16"/>
          <w:lang w:val="de-DE"/>
        </w:rPr>
        <w:t>e</w:t>
      </w:r>
      <w:r w:rsidRPr="00C507A5">
        <w:rPr>
          <w:color w:val="231F20"/>
          <w:spacing w:val="1"/>
          <w:w w:val="106"/>
          <w:sz w:val="16"/>
          <w:lang w:val="de-DE"/>
        </w:rPr>
        <w:t>l</w:t>
      </w:r>
      <w:r w:rsidRPr="00C507A5">
        <w:rPr>
          <w:color w:val="231F20"/>
          <w:w w:val="106"/>
          <w:sz w:val="16"/>
          <w:lang w:val="de-DE"/>
        </w:rPr>
        <w:t>a</w:t>
      </w:r>
      <w:r w:rsidRPr="00C507A5">
        <w:rPr>
          <w:color w:val="231F20"/>
          <w:spacing w:val="3"/>
          <w:w w:val="104"/>
          <w:sz w:val="16"/>
          <w:lang w:val="de-DE"/>
        </w:rPr>
        <w:t>-</w:t>
      </w:r>
      <w:r w:rsidRPr="00C507A5">
        <w:rPr>
          <w:color w:val="231F20"/>
          <w:spacing w:val="1"/>
          <w:w w:val="121"/>
          <w:sz w:val="16"/>
          <w:lang w:val="de-DE"/>
        </w:rPr>
        <w:t>D</w:t>
      </w:r>
      <w:r w:rsidRPr="00C507A5">
        <w:rPr>
          <w:color w:val="231F20"/>
          <w:spacing w:val="-2"/>
          <w:w w:val="106"/>
          <w:sz w:val="16"/>
          <w:lang w:val="de-DE"/>
        </w:rPr>
        <w:t>a</w:t>
      </w:r>
      <w:r w:rsidRPr="00C507A5">
        <w:rPr>
          <w:color w:val="231F20"/>
          <w:spacing w:val="2"/>
          <w:w w:val="102"/>
          <w:sz w:val="16"/>
          <w:lang w:val="de-DE"/>
        </w:rPr>
        <w:t>v</w:t>
      </w:r>
      <w:r w:rsidRPr="00C507A5">
        <w:rPr>
          <w:color w:val="231F20"/>
          <w:spacing w:val="1"/>
          <w:w w:val="103"/>
          <w:sz w:val="16"/>
          <w:lang w:val="de-DE"/>
        </w:rPr>
        <w:t>i</w:t>
      </w:r>
      <w:r w:rsidRPr="00C507A5">
        <w:rPr>
          <w:color w:val="231F20"/>
          <w:spacing w:val="2"/>
          <w:w w:val="93"/>
          <w:sz w:val="16"/>
          <w:lang w:val="de-DE"/>
        </w:rPr>
        <w:t>s</w:t>
      </w:r>
      <w:r w:rsidRPr="00C507A5">
        <w:rPr>
          <w:color w:val="231F20"/>
          <w:spacing w:val="3"/>
          <w:w w:val="104"/>
          <w:sz w:val="16"/>
          <w:lang w:val="de-DE"/>
        </w:rPr>
        <w:t>-</w:t>
      </w:r>
      <w:r w:rsidRPr="00C507A5">
        <w:rPr>
          <w:color w:val="231F20"/>
          <w:spacing w:val="-1"/>
          <w:w w:val="119"/>
          <w:sz w:val="16"/>
          <w:lang w:val="de-DE"/>
        </w:rPr>
        <w:t>K</w:t>
      </w:r>
      <w:r w:rsidRPr="00C507A5">
        <w:rPr>
          <w:color w:val="231F20"/>
          <w:w w:val="108"/>
          <w:sz w:val="16"/>
          <w:lang w:val="de-DE"/>
        </w:rPr>
        <w:t>o</w:t>
      </w:r>
      <w:r w:rsidRPr="00C507A5">
        <w:rPr>
          <w:color w:val="231F20"/>
          <w:w w:val="103"/>
          <w:sz w:val="16"/>
          <w:lang w:val="de-DE"/>
        </w:rPr>
        <w:t>n</w:t>
      </w:r>
      <w:r w:rsidRPr="00C507A5">
        <w:rPr>
          <w:color w:val="231F20"/>
          <w:spacing w:val="5"/>
          <w:w w:val="104"/>
          <w:sz w:val="16"/>
          <w:lang w:val="de-DE"/>
        </w:rPr>
        <w:t>g</w:t>
      </w:r>
      <w:r w:rsidRPr="00C507A5">
        <w:rPr>
          <w:color w:val="231F20"/>
          <w:w w:val="97"/>
          <w:sz w:val="16"/>
          <w:lang w:val="de-DE"/>
        </w:rPr>
        <w:t>r</w:t>
      </w:r>
      <w:r w:rsidRPr="00C507A5">
        <w:rPr>
          <w:color w:val="231F20"/>
          <w:spacing w:val="2"/>
          <w:w w:val="94"/>
          <w:sz w:val="16"/>
          <w:lang w:val="de-DE"/>
        </w:rPr>
        <w:t>e</w:t>
      </w:r>
      <w:r w:rsidRPr="00C507A5">
        <w:rPr>
          <w:color w:val="231F20"/>
          <w:spacing w:val="1"/>
          <w:w w:val="93"/>
          <w:sz w:val="16"/>
          <w:lang w:val="de-DE"/>
        </w:rPr>
        <w:t>s</w:t>
      </w:r>
      <w:r w:rsidRPr="00C507A5">
        <w:rPr>
          <w:color w:val="231F20"/>
          <w:w w:val="93"/>
          <w:sz w:val="16"/>
          <w:lang w:val="de-DE"/>
        </w:rPr>
        <w:t>s</w:t>
      </w:r>
      <w:r w:rsidRPr="00C507A5">
        <w:rPr>
          <w:color w:val="231F20"/>
          <w:spacing w:val="10"/>
          <w:sz w:val="16"/>
          <w:lang w:val="de-DE"/>
        </w:rPr>
        <w:t xml:space="preserve"> </w:t>
      </w:r>
      <w:r w:rsidRPr="00C507A5">
        <w:rPr>
          <w:color w:val="231F20"/>
          <w:spacing w:val="-6"/>
          <w:w w:val="104"/>
          <w:sz w:val="16"/>
          <w:lang w:val="de-DE"/>
        </w:rPr>
        <w:t>1</w:t>
      </w:r>
      <w:r w:rsidRPr="00C507A5">
        <w:rPr>
          <w:color w:val="231F20"/>
          <w:w w:val="104"/>
          <w:sz w:val="16"/>
          <w:lang w:val="de-DE"/>
        </w:rPr>
        <w:t>9</w:t>
      </w:r>
      <w:r w:rsidRPr="00C507A5">
        <w:rPr>
          <w:color w:val="231F20"/>
          <w:spacing w:val="-2"/>
          <w:w w:val="104"/>
          <w:sz w:val="16"/>
          <w:lang w:val="de-DE"/>
        </w:rPr>
        <w:t>7</w:t>
      </w:r>
      <w:r w:rsidRPr="00C507A5">
        <w:rPr>
          <w:color w:val="231F20"/>
          <w:spacing w:val="2"/>
          <w:w w:val="104"/>
          <w:sz w:val="16"/>
          <w:lang w:val="de-DE"/>
        </w:rPr>
        <w:t>2</w:t>
      </w:r>
      <w:r w:rsidRPr="00C507A5">
        <w:rPr>
          <w:color w:val="231F20"/>
          <w:spacing w:val="-9"/>
          <w:w w:val="140"/>
          <w:sz w:val="16"/>
          <w:lang w:val="de-DE"/>
        </w:rPr>
        <w:t>,</w:t>
      </w:r>
      <w:r w:rsidRPr="00C507A5">
        <w:rPr>
          <w:color w:val="231F20"/>
          <w:w w:val="153"/>
          <w:sz w:val="16"/>
          <w:lang w:val="de-DE"/>
        </w:rPr>
        <w:t>”</w:t>
      </w:r>
      <w:r w:rsidRPr="00C507A5">
        <w:rPr>
          <w:color w:val="231F20"/>
          <w:spacing w:val="10"/>
          <w:sz w:val="16"/>
          <w:lang w:val="de-DE"/>
        </w:rPr>
        <w:t xml:space="preserve"> </w:t>
      </w:r>
      <w:hyperlink r:id="rId177">
        <w:r w:rsidRPr="00C507A5">
          <w:rPr>
            <w:color w:val="231F20"/>
            <w:w w:val="103"/>
            <w:sz w:val="16"/>
            <w:lang w:val="de-DE"/>
          </w:rPr>
          <w:t>h</w:t>
        </w:r>
        <w:r w:rsidRPr="00C507A5">
          <w:rPr>
            <w:color w:val="231F20"/>
            <w:spacing w:val="5"/>
            <w:w w:val="103"/>
            <w:sz w:val="16"/>
            <w:lang w:val="de-DE"/>
          </w:rPr>
          <w:t>t</w:t>
        </w:r>
        <w:r w:rsidRPr="00C507A5">
          <w:rPr>
            <w:color w:val="231F20"/>
            <w:spacing w:val="3"/>
            <w:w w:val="102"/>
            <w:sz w:val="16"/>
            <w:lang w:val="de-DE"/>
          </w:rPr>
          <w:t>t</w:t>
        </w:r>
        <w:r w:rsidRPr="00C507A5">
          <w:rPr>
            <w:color w:val="231F20"/>
            <w:w w:val="103"/>
            <w:sz w:val="16"/>
            <w:lang w:val="de-DE"/>
          </w:rPr>
          <w:t>p</w:t>
        </w:r>
        <w:r w:rsidRPr="00C507A5">
          <w:rPr>
            <w:color w:val="231F20"/>
            <w:spacing w:val="5"/>
            <w:w w:val="109"/>
            <w:sz w:val="16"/>
            <w:lang w:val="de-DE"/>
          </w:rPr>
          <w:t>:</w:t>
        </w:r>
        <w:r w:rsidRPr="00C507A5">
          <w:rPr>
            <w:color w:val="231F20"/>
            <w:spacing w:val="-1"/>
            <w:w w:val="58"/>
            <w:sz w:val="16"/>
            <w:lang w:val="de-DE"/>
          </w:rPr>
          <w:t>/</w:t>
        </w:r>
        <w:r w:rsidRPr="00C507A5">
          <w:rPr>
            <w:color w:val="231F20"/>
            <w:spacing w:val="2"/>
            <w:w w:val="58"/>
            <w:sz w:val="16"/>
            <w:lang w:val="de-DE"/>
          </w:rPr>
          <w:t>/</w:t>
        </w:r>
        <w:r w:rsidRPr="00C507A5">
          <w:rPr>
            <w:color w:val="231F20"/>
            <w:spacing w:val="6"/>
            <w:w w:val="104"/>
            <w:sz w:val="16"/>
            <w:lang w:val="de-DE"/>
          </w:rPr>
          <w:t>ww</w:t>
        </w:r>
        <w:r w:rsidRPr="00C507A5">
          <w:rPr>
            <w:color w:val="231F20"/>
            <w:spacing w:val="-9"/>
            <w:w w:val="104"/>
            <w:sz w:val="16"/>
            <w:lang w:val="de-DE"/>
          </w:rPr>
          <w:t>w</w:t>
        </w:r>
        <w:r w:rsidRPr="00C507A5">
          <w:rPr>
            <w:color w:val="231F20"/>
            <w:w w:val="140"/>
            <w:sz w:val="16"/>
            <w:lang w:val="de-DE"/>
          </w:rPr>
          <w:t>.</w:t>
        </w:r>
        <w:r w:rsidRPr="00C507A5">
          <w:rPr>
            <w:color w:val="231F20"/>
            <w:spacing w:val="2"/>
            <w:w w:val="106"/>
            <w:sz w:val="16"/>
            <w:lang w:val="de-DE"/>
          </w:rPr>
          <w:t>l</w:t>
        </w:r>
        <w:r w:rsidRPr="00C507A5">
          <w:rPr>
            <w:color w:val="231F20"/>
            <w:spacing w:val="3"/>
            <w:w w:val="103"/>
            <w:sz w:val="16"/>
            <w:lang w:val="de-DE"/>
          </w:rPr>
          <w:t>in</w:t>
        </w:r>
        <w:r w:rsidRPr="00C507A5">
          <w:rPr>
            <w:color w:val="231F20"/>
            <w:spacing w:val="2"/>
            <w:w w:val="109"/>
            <w:sz w:val="16"/>
            <w:lang w:val="de-DE"/>
          </w:rPr>
          <w:t>k</w:t>
        </w:r>
        <w:r w:rsidRPr="00C507A5">
          <w:rPr>
            <w:color w:val="231F20"/>
            <w:w w:val="93"/>
            <w:sz w:val="16"/>
            <w:lang w:val="de-DE"/>
          </w:rPr>
          <w:t>s</w:t>
        </w:r>
        <w:r w:rsidRPr="00C507A5">
          <w:rPr>
            <w:color w:val="231F20"/>
            <w:w w:val="103"/>
            <w:sz w:val="16"/>
            <w:lang w:val="de-DE"/>
          </w:rPr>
          <w:t>n</w:t>
        </w:r>
        <w:r w:rsidRPr="00C507A5">
          <w:rPr>
            <w:color w:val="231F20"/>
            <w:spacing w:val="2"/>
            <w:w w:val="94"/>
            <w:sz w:val="16"/>
            <w:lang w:val="de-DE"/>
          </w:rPr>
          <w:t>e</w:t>
        </w:r>
        <w:r w:rsidRPr="00C507A5">
          <w:rPr>
            <w:color w:val="231F20"/>
            <w:spacing w:val="2"/>
            <w:w w:val="102"/>
            <w:sz w:val="16"/>
            <w:lang w:val="de-DE"/>
          </w:rPr>
          <w:t>t</w:t>
        </w:r>
        <w:r w:rsidRPr="00C507A5">
          <w:rPr>
            <w:color w:val="231F20"/>
            <w:w w:val="140"/>
            <w:sz w:val="16"/>
            <w:lang w:val="de-DE"/>
          </w:rPr>
          <w:t>.</w:t>
        </w:r>
        <w:r w:rsidRPr="00C507A5">
          <w:rPr>
            <w:color w:val="231F20"/>
            <w:w w:val="103"/>
            <w:sz w:val="16"/>
            <w:lang w:val="de-DE"/>
          </w:rPr>
          <w:t>d</w:t>
        </w:r>
        <w:r w:rsidRPr="00C507A5">
          <w:rPr>
            <w:color w:val="231F20"/>
            <w:spacing w:val="5"/>
            <w:w w:val="94"/>
            <w:sz w:val="16"/>
            <w:lang w:val="de-DE"/>
          </w:rPr>
          <w:t>e</w:t>
        </w:r>
        <w:r w:rsidRPr="00C507A5">
          <w:rPr>
            <w:color w:val="231F20"/>
            <w:w w:val="58"/>
            <w:sz w:val="16"/>
            <w:lang w:val="de-DE"/>
          </w:rPr>
          <w:t>/</w:t>
        </w:r>
      </w:hyperlink>
      <w:r w:rsidRPr="00C507A5">
        <w:rPr>
          <w:color w:val="231F20"/>
          <w:w w:val="58"/>
          <w:sz w:val="16"/>
          <w:lang w:val="de-DE"/>
        </w:rPr>
        <w:t xml:space="preserve"> </w:t>
      </w:r>
      <w:r w:rsidRPr="00C507A5">
        <w:rPr>
          <w:color w:val="231F20"/>
          <w:w w:val="105"/>
          <w:sz w:val="16"/>
          <w:lang w:val="de-DE"/>
        </w:rPr>
        <w:t>artikel.php?id=374.</w:t>
      </w:r>
    </w:p>
    <w:p w14:paraId="6C86184D" w14:textId="77777777" w:rsidR="002653E8" w:rsidRDefault="003115E3">
      <w:pPr>
        <w:pStyle w:val="a4"/>
        <w:numPr>
          <w:ilvl w:val="0"/>
          <w:numId w:val="21"/>
        </w:numPr>
        <w:tabs>
          <w:tab w:val="left" w:pos="1467"/>
        </w:tabs>
        <w:ind w:left="1466"/>
        <w:rPr>
          <w:sz w:val="16"/>
        </w:rPr>
      </w:pPr>
      <w:r>
        <w:rPr>
          <w:color w:val="231F20"/>
          <w:w w:val="110"/>
          <w:sz w:val="16"/>
        </w:rPr>
        <w:t>Schröder, ”USA Black Panther</w:t>
      </w:r>
      <w:r>
        <w:rPr>
          <w:color w:val="231F20"/>
          <w:spacing w:val="23"/>
          <w:w w:val="110"/>
          <w:sz w:val="16"/>
        </w:rPr>
        <w:t xml:space="preserve"> </w:t>
      </w:r>
      <w:r>
        <w:rPr>
          <w:color w:val="231F20"/>
          <w:w w:val="110"/>
          <w:sz w:val="16"/>
        </w:rPr>
        <w:t>Party.”</w:t>
      </w:r>
    </w:p>
    <w:p w14:paraId="6F5F2DDE" w14:textId="77777777" w:rsidR="002653E8" w:rsidRPr="00C507A5" w:rsidRDefault="003115E3">
      <w:pPr>
        <w:pStyle w:val="a4"/>
        <w:numPr>
          <w:ilvl w:val="0"/>
          <w:numId w:val="21"/>
        </w:numPr>
        <w:tabs>
          <w:tab w:val="left" w:pos="1467"/>
        </w:tabs>
        <w:spacing w:before="51"/>
        <w:ind w:left="1466" w:hanging="138"/>
        <w:rPr>
          <w:sz w:val="16"/>
          <w:lang w:val="de-DE"/>
        </w:rPr>
      </w:pPr>
      <w:r w:rsidRPr="00C507A5">
        <w:rPr>
          <w:color w:val="231F20"/>
          <w:w w:val="105"/>
          <w:sz w:val="16"/>
          <w:lang w:val="de-DE"/>
        </w:rPr>
        <w:t>Jutta</w:t>
      </w:r>
      <w:r w:rsidRPr="00C507A5">
        <w:rPr>
          <w:color w:val="231F20"/>
          <w:spacing w:val="10"/>
          <w:w w:val="105"/>
          <w:sz w:val="16"/>
          <w:lang w:val="de-DE"/>
        </w:rPr>
        <w:t xml:space="preserve"> </w:t>
      </w:r>
      <w:r w:rsidRPr="00C507A5">
        <w:rPr>
          <w:color w:val="231F20"/>
          <w:spacing w:val="1"/>
          <w:w w:val="105"/>
          <w:sz w:val="16"/>
          <w:lang w:val="de-DE"/>
        </w:rPr>
        <w:t>Ditfurth,</w:t>
      </w:r>
      <w:r w:rsidRPr="00C507A5">
        <w:rPr>
          <w:color w:val="231F20"/>
          <w:spacing w:val="10"/>
          <w:w w:val="105"/>
          <w:sz w:val="16"/>
          <w:lang w:val="de-DE"/>
        </w:rPr>
        <w:t xml:space="preserve"> </w:t>
      </w:r>
      <w:r w:rsidRPr="00C507A5">
        <w:rPr>
          <w:color w:val="231F20"/>
          <w:w w:val="105"/>
          <w:sz w:val="16"/>
          <w:lang w:val="de-DE"/>
        </w:rPr>
        <w:t>interview</w:t>
      </w:r>
      <w:r w:rsidRPr="00C507A5">
        <w:rPr>
          <w:color w:val="231F20"/>
          <w:spacing w:val="10"/>
          <w:w w:val="105"/>
          <w:sz w:val="16"/>
          <w:lang w:val="de-DE"/>
        </w:rPr>
        <w:t xml:space="preserve"> </w:t>
      </w:r>
      <w:r w:rsidRPr="00C507A5">
        <w:rPr>
          <w:color w:val="231F20"/>
          <w:w w:val="105"/>
          <w:sz w:val="16"/>
          <w:lang w:val="de-DE"/>
        </w:rPr>
        <w:t>by</w:t>
      </w:r>
      <w:r w:rsidRPr="00C507A5">
        <w:rPr>
          <w:color w:val="231F20"/>
          <w:spacing w:val="10"/>
          <w:w w:val="105"/>
          <w:sz w:val="16"/>
          <w:lang w:val="de-DE"/>
        </w:rPr>
        <w:t xml:space="preserve"> </w:t>
      </w:r>
      <w:r w:rsidRPr="00C507A5">
        <w:rPr>
          <w:color w:val="231F20"/>
          <w:spacing w:val="1"/>
          <w:w w:val="105"/>
          <w:sz w:val="16"/>
          <w:lang w:val="de-DE"/>
        </w:rPr>
        <w:t>Arno</w:t>
      </w:r>
      <w:r w:rsidRPr="00C507A5">
        <w:rPr>
          <w:color w:val="231F20"/>
          <w:spacing w:val="10"/>
          <w:w w:val="105"/>
          <w:sz w:val="16"/>
          <w:lang w:val="de-DE"/>
        </w:rPr>
        <w:t xml:space="preserve"> </w:t>
      </w:r>
      <w:r w:rsidRPr="00C507A5">
        <w:rPr>
          <w:color w:val="231F20"/>
          <w:w w:val="105"/>
          <w:sz w:val="16"/>
          <w:lang w:val="de-DE"/>
        </w:rPr>
        <w:t>Luik,</w:t>
      </w:r>
      <w:r w:rsidRPr="00C507A5">
        <w:rPr>
          <w:color w:val="231F20"/>
          <w:spacing w:val="10"/>
          <w:w w:val="105"/>
          <w:sz w:val="16"/>
          <w:lang w:val="de-DE"/>
        </w:rPr>
        <w:t xml:space="preserve"> </w:t>
      </w:r>
      <w:r w:rsidRPr="00C507A5">
        <w:rPr>
          <w:color w:val="231F20"/>
          <w:w w:val="105"/>
          <w:sz w:val="16"/>
          <w:lang w:val="de-DE"/>
        </w:rPr>
        <w:t>“Sie</w:t>
      </w:r>
      <w:r w:rsidRPr="00C507A5">
        <w:rPr>
          <w:color w:val="231F20"/>
          <w:spacing w:val="10"/>
          <w:w w:val="105"/>
          <w:sz w:val="16"/>
          <w:lang w:val="de-DE"/>
        </w:rPr>
        <w:t xml:space="preserve"> </w:t>
      </w:r>
      <w:r w:rsidRPr="00C507A5">
        <w:rPr>
          <w:color w:val="231F20"/>
          <w:w w:val="105"/>
          <w:sz w:val="16"/>
          <w:lang w:val="de-DE"/>
        </w:rPr>
        <w:t>war</w:t>
      </w:r>
      <w:r w:rsidRPr="00C507A5">
        <w:rPr>
          <w:color w:val="231F20"/>
          <w:spacing w:val="10"/>
          <w:w w:val="105"/>
          <w:sz w:val="16"/>
          <w:lang w:val="de-DE"/>
        </w:rPr>
        <w:t xml:space="preserve"> </w:t>
      </w:r>
      <w:r w:rsidRPr="00C507A5">
        <w:rPr>
          <w:color w:val="231F20"/>
          <w:w w:val="105"/>
          <w:sz w:val="16"/>
          <w:lang w:val="de-DE"/>
        </w:rPr>
        <w:t>die</w:t>
      </w:r>
      <w:r w:rsidRPr="00C507A5">
        <w:rPr>
          <w:color w:val="231F20"/>
          <w:spacing w:val="10"/>
          <w:w w:val="105"/>
          <w:sz w:val="16"/>
          <w:lang w:val="de-DE"/>
        </w:rPr>
        <w:t xml:space="preserve"> </w:t>
      </w:r>
      <w:r w:rsidRPr="00C507A5">
        <w:rPr>
          <w:color w:val="231F20"/>
          <w:w w:val="105"/>
          <w:sz w:val="16"/>
          <w:lang w:val="de-DE"/>
        </w:rPr>
        <w:t>große</w:t>
      </w:r>
      <w:r w:rsidRPr="00C507A5">
        <w:rPr>
          <w:color w:val="231F20"/>
          <w:spacing w:val="10"/>
          <w:w w:val="105"/>
          <w:sz w:val="16"/>
          <w:lang w:val="de-DE"/>
        </w:rPr>
        <w:t xml:space="preserve"> </w:t>
      </w:r>
      <w:r w:rsidRPr="00C507A5">
        <w:rPr>
          <w:color w:val="231F20"/>
          <w:w w:val="105"/>
          <w:sz w:val="16"/>
          <w:lang w:val="de-DE"/>
        </w:rPr>
        <w:t>Schwester</w:t>
      </w:r>
      <w:r w:rsidRPr="00C507A5">
        <w:rPr>
          <w:color w:val="231F20"/>
          <w:spacing w:val="10"/>
          <w:w w:val="105"/>
          <w:sz w:val="16"/>
          <w:lang w:val="de-DE"/>
        </w:rPr>
        <w:t xml:space="preserve"> </w:t>
      </w:r>
      <w:r w:rsidRPr="00C507A5">
        <w:rPr>
          <w:color w:val="231F20"/>
          <w:w w:val="105"/>
          <w:sz w:val="16"/>
          <w:lang w:val="de-DE"/>
        </w:rPr>
        <w:t>der</w:t>
      </w:r>
      <w:r w:rsidRPr="00C507A5">
        <w:rPr>
          <w:color w:val="231F20"/>
          <w:spacing w:val="10"/>
          <w:w w:val="105"/>
          <w:sz w:val="16"/>
          <w:lang w:val="de-DE"/>
        </w:rPr>
        <w:t xml:space="preserve"> </w:t>
      </w:r>
      <w:r w:rsidRPr="00C507A5">
        <w:rPr>
          <w:color w:val="231F20"/>
          <w:spacing w:val="-5"/>
          <w:w w:val="105"/>
          <w:sz w:val="16"/>
          <w:lang w:val="de-DE"/>
        </w:rPr>
        <w:t>68er.</w:t>
      </w:r>
      <w:bookmarkEnd w:id="92"/>
      <w:r w:rsidRPr="00C507A5">
        <w:rPr>
          <w:color w:val="231F20"/>
          <w:spacing w:val="-5"/>
          <w:w w:val="105"/>
          <w:sz w:val="16"/>
          <w:lang w:val="de-DE"/>
        </w:rPr>
        <w:t>”</w:t>
      </w:r>
    </w:p>
    <w:p w14:paraId="316F8D11" w14:textId="77777777" w:rsidR="002653E8" w:rsidRPr="00C507A5" w:rsidRDefault="002653E8">
      <w:pPr>
        <w:rPr>
          <w:sz w:val="16"/>
          <w:lang w:val="de-DE"/>
        </w:rPr>
        <w:sectPr w:rsidR="002653E8" w:rsidRPr="00C507A5">
          <w:pgSz w:w="8640" w:h="12960"/>
          <w:pgMar w:top="1060" w:right="0" w:bottom="1040" w:left="0" w:header="0" w:footer="850" w:gutter="0"/>
          <w:cols w:space="720"/>
        </w:sectPr>
      </w:pPr>
    </w:p>
    <w:p w14:paraId="1F83A2EA" w14:textId="77777777" w:rsidR="002653E8" w:rsidRDefault="003115E3">
      <w:pPr>
        <w:pStyle w:val="a3"/>
        <w:spacing w:before="86" w:line="264" w:lineRule="auto"/>
        <w:ind w:left="1147" w:right="1326"/>
        <w:jc w:val="both"/>
      </w:pPr>
      <w:r>
        <w:rPr>
          <w:color w:val="231F20"/>
        </w:rPr>
        <w:lastRenderedPageBreak/>
        <w:t>incentive to engage in the dangerous, grueling task of carrying out a revolution against capitalism. Lenin had argued that the labor aristocracy was a product of imperialism, as the profits earned from exploitation in the developing countries were used to pay for the elevated position of certain sections of the working class in the metropole. This concept has been accepted by almost all strains of the Marxist-Leninist tradition, though often accorded little actual importance in practice.</w:t>
      </w:r>
    </w:p>
    <w:p w14:paraId="180DA767" w14:textId="77777777" w:rsidR="002653E8" w:rsidRDefault="003115E3">
      <w:pPr>
        <w:pStyle w:val="a3"/>
        <w:spacing w:line="264" w:lineRule="auto"/>
        <w:ind w:left="1147" w:right="1325" w:firstLine="210"/>
        <w:jc w:val="both"/>
      </w:pPr>
      <w:r>
        <w:rPr>
          <w:color w:val="231F20"/>
          <w:spacing w:val="-8"/>
        </w:rPr>
        <w:t xml:space="preserve">To </w:t>
      </w:r>
      <w:r>
        <w:rPr>
          <w:color w:val="231F20"/>
        </w:rPr>
        <w:t xml:space="preserve">the first wave of the </w:t>
      </w:r>
      <w:r w:rsidR="00C507A5">
        <w:rPr>
          <w:color w:val="231F20"/>
        </w:rPr>
        <w:t>red army faction</w:t>
      </w:r>
      <w:r>
        <w:rPr>
          <w:color w:val="231F20"/>
        </w:rPr>
        <w:t xml:space="preserve">, however, the question of the labor aristocracy had by this point become central. The labor aristocracy was not seen simply as a section of the </w:t>
      </w:r>
      <w:r>
        <w:rPr>
          <w:color w:val="231F20"/>
          <w:spacing w:val="-3"/>
        </w:rPr>
        <w:t xml:space="preserve">West </w:t>
      </w:r>
      <w:r>
        <w:rPr>
          <w:color w:val="231F20"/>
        </w:rPr>
        <w:t>German working class, but as the dominant section, almost to the exclusion of any classical proletariat.   As such, the idea of using popular support in the FRG as a barometer of political legitimacy—which is what Negt seemed to propose—was not simply wrong, it reeked of</w:t>
      </w:r>
      <w:r>
        <w:rPr>
          <w:color w:val="231F20"/>
          <w:spacing w:val="11"/>
        </w:rPr>
        <w:t xml:space="preserve"> </w:t>
      </w:r>
      <w:r>
        <w:rPr>
          <w:color w:val="231F20"/>
        </w:rPr>
        <w:t>opportunism.</w:t>
      </w:r>
    </w:p>
    <w:p w14:paraId="5EDBDD54" w14:textId="77777777" w:rsidR="002653E8" w:rsidRDefault="003115E3">
      <w:pPr>
        <w:spacing w:line="264" w:lineRule="auto"/>
        <w:ind w:left="1147" w:right="1326" w:firstLine="210"/>
        <w:jc w:val="both"/>
        <w:rPr>
          <w:sz w:val="20"/>
        </w:rPr>
      </w:pPr>
      <w:r>
        <w:rPr>
          <w:color w:val="231F20"/>
          <w:sz w:val="20"/>
        </w:rPr>
        <w:t xml:space="preserve">This analysis was hinted at in </w:t>
      </w:r>
      <w:r>
        <w:rPr>
          <w:i/>
          <w:color w:val="231F20"/>
          <w:sz w:val="20"/>
        </w:rPr>
        <w:t xml:space="preserve">Serve the People </w:t>
      </w:r>
      <w:r>
        <w:rPr>
          <w:color w:val="231F20"/>
          <w:sz w:val="20"/>
        </w:rPr>
        <w:t xml:space="preserve">earlier in 1972, but </w:t>
      </w:r>
      <w:r>
        <w:rPr>
          <w:i/>
          <w:color w:val="231F20"/>
          <w:sz w:val="20"/>
        </w:rPr>
        <w:t xml:space="preserve">Black September </w:t>
      </w:r>
      <w:r>
        <w:rPr>
          <w:color w:val="231F20"/>
          <w:sz w:val="20"/>
        </w:rPr>
        <w:t>spelled it out clearly, while also exploring what this might imply.</w:t>
      </w:r>
    </w:p>
    <w:p w14:paraId="33C6C139" w14:textId="77777777" w:rsidR="002653E8" w:rsidRDefault="003115E3">
      <w:pPr>
        <w:pStyle w:val="a3"/>
        <w:spacing w:line="264" w:lineRule="auto"/>
        <w:ind w:left="1147" w:right="1325" w:firstLine="209"/>
        <w:jc w:val="both"/>
      </w:pPr>
      <w:r>
        <w:rPr>
          <w:color w:val="231F20"/>
          <w:spacing w:val="1"/>
        </w:rPr>
        <w:t xml:space="preserve">In </w:t>
      </w:r>
      <w:r>
        <w:rPr>
          <w:color w:val="231F20"/>
        </w:rPr>
        <w:t xml:space="preserve">the </w:t>
      </w:r>
      <w:r w:rsidR="00C507A5">
        <w:rPr>
          <w:color w:val="231F20"/>
          <w:spacing w:val="1"/>
        </w:rPr>
        <w:t>red army faction</w:t>
      </w:r>
      <w:r>
        <w:rPr>
          <w:color w:val="231F20"/>
          <w:spacing w:val="1"/>
        </w:rPr>
        <w:t xml:space="preserve">’s </w:t>
      </w:r>
      <w:r>
        <w:rPr>
          <w:color w:val="231F20"/>
        </w:rPr>
        <w:t xml:space="preserve">view, in </w:t>
      </w:r>
      <w:r>
        <w:rPr>
          <w:color w:val="231F20"/>
          <w:spacing w:val="-3"/>
        </w:rPr>
        <w:t xml:space="preserve">1972, </w:t>
      </w:r>
      <w:r>
        <w:rPr>
          <w:color w:val="231F20"/>
        </w:rPr>
        <w:t xml:space="preserve">there was no material basis for revolution in the FRG: the crumbs from the imperialist table were enough to win most people’s loyalty for the system. </w:t>
      </w:r>
      <w:r>
        <w:rPr>
          <w:color w:val="231F20"/>
          <w:spacing w:val="-5"/>
        </w:rPr>
        <w:t xml:space="preserve">yet  </w:t>
      </w:r>
      <w:r>
        <w:rPr>
          <w:color w:val="231F20"/>
        </w:rPr>
        <w:t xml:space="preserve">the </w:t>
      </w:r>
      <w:r w:rsidR="00C507A5">
        <w:rPr>
          <w:color w:val="231F20"/>
          <w:spacing w:val="5"/>
        </w:rPr>
        <w:t>red army faction</w:t>
      </w:r>
      <w:r>
        <w:rPr>
          <w:color w:val="231F20"/>
          <w:spacing w:val="5"/>
        </w:rPr>
        <w:t xml:space="preserve"> </w:t>
      </w:r>
      <w:r>
        <w:rPr>
          <w:color w:val="231F20"/>
        </w:rPr>
        <w:t>did not see this   as a reason to give up on revolutionary politics, or to abandon armed struggle; instead, they argued that “the situation is ‘ripe’ to take up the anti-imperialist struggle in the metropole—not ‘ripe’ for revolution, but ‘ripe’ for the anti-imperialist</w:t>
      </w:r>
      <w:r>
        <w:rPr>
          <w:color w:val="231F20"/>
          <w:spacing w:val="1"/>
        </w:rPr>
        <w:t xml:space="preserve"> </w:t>
      </w:r>
      <w:r>
        <w:rPr>
          <w:color w:val="231F20"/>
        </w:rPr>
        <w:t>offensive.”</w:t>
      </w:r>
    </w:p>
    <w:p w14:paraId="6AEF7C26" w14:textId="77777777" w:rsidR="002653E8" w:rsidRDefault="003115E3">
      <w:pPr>
        <w:pStyle w:val="a3"/>
        <w:spacing w:line="264" w:lineRule="auto"/>
        <w:ind w:left="1148" w:right="1325" w:firstLine="209"/>
        <w:jc w:val="both"/>
      </w:pPr>
      <w:r>
        <w:rPr>
          <w:color w:val="231F20"/>
        </w:rPr>
        <w:t xml:space="preserve">The </w:t>
      </w:r>
      <w:r w:rsidR="00C507A5">
        <w:rPr>
          <w:color w:val="231F20"/>
        </w:rPr>
        <w:t>red army faction</w:t>
      </w:r>
      <w:r>
        <w:rPr>
          <w:color w:val="231F20"/>
        </w:rPr>
        <w:t xml:space="preserve"> emphasized the alienation which persisted even in an affluent consumer society, zeroing in on people’s individual dissatisfaction and misery in the midst of plenty. Much was made of the way in which consumerism distorted and manipulated people’s desires, “the exploitation of their feelings and thoughts, wishes, and utopian dreams.”</w:t>
      </w:r>
    </w:p>
    <w:p w14:paraId="007AB2D9" w14:textId="77777777" w:rsidR="002653E8" w:rsidRDefault="003115E3">
      <w:pPr>
        <w:pStyle w:val="a3"/>
        <w:spacing w:line="264" w:lineRule="auto"/>
        <w:ind w:left="1148" w:right="1325" w:firstLine="210"/>
        <w:jc w:val="both"/>
      </w:pPr>
      <w:r>
        <w:rPr>
          <w:color w:val="231F20"/>
        </w:rPr>
        <w:t>This psychological misery—insufficient, perhaps to carry out a revolution, but enough to establish a revolutionary tradition—was seen as providing a subjective basis for armed resistance to imperialism within the metropole. As the capitalist system would find itself increasingly besieged by the liberation struggles in the Third World—or so the theory went—this base could grow, and then, “the masses here will eventually find their political identity on the side of the liberation struggles, and will eventually free themselves from the grip of the system, with its lies, its glitziness, its election promises, and its lotteries.”</w:t>
      </w:r>
    </w:p>
    <w:p w14:paraId="7E2BD7D0" w14:textId="77777777" w:rsidR="002653E8" w:rsidRDefault="003115E3">
      <w:pPr>
        <w:pStyle w:val="a3"/>
        <w:spacing w:line="264" w:lineRule="auto"/>
        <w:ind w:left="1148" w:right="1326" w:firstLine="210"/>
        <w:jc w:val="both"/>
      </w:pPr>
      <w:r>
        <w:rPr>
          <w:i/>
          <w:color w:val="231F20"/>
        </w:rPr>
        <w:t xml:space="preserve">Black September </w:t>
      </w:r>
      <w:r>
        <w:rPr>
          <w:color w:val="231F20"/>
        </w:rPr>
        <w:t xml:space="preserve">provides the </w:t>
      </w:r>
      <w:r w:rsidR="00C507A5">
        <w:rPr>
          <w:color w:val="231F20"/>
        </w:rPr>
        <w:t>red army faction</w:t>
      </w:r>
      <w:r>
        <w:rPr>
          <w:color w:val="231F20"/>
        </w:rPr>
        <w:t xml:space="preserve">’s most explicit </w:t>
      </w:r>
      <w:r>
        <w:rPr>
          <w:color w:val="231F20"/>
        </w:rPr>
        <w:lastRenderedPageBreak/>
        <w:t>attempt to link the concepts of imperialism, the labor aristocracy, and the subjective basis</w:t>
      </w:r>
    </w:p>
    <w:p w14:paraId="7303547A" w14:textId="77777777" w:rsidR="002653E8" w:rsidRDefault="002653E8">
      <w:pPr>
        <w:spacing w:line="264" w:lineRule="auto"/>
        <w:jc w:val="both"/>
        <w:sectPr w:rsidR="002653E8">
          <w:pgSz w:w="8640" w:h="12960"/>
          <w:pgMar w:top="1060" w:right="0" w:bottom="1040" w:left="0" w:header="0" w:footer="850" w:gutter="0"/>
          <w:cols w:space="720"/>
        </w:sectPr>
      </w:pPr>
    </w:p>
    <w:p w14:paraId="61CCB2BF" w14:textId="77777777" w:rsidR="002653E8" w:rsidRDefault="003115E3">
      <w:pPr>
        <w:pStyle w:val="a3"/>
        <w:spacing w:before="86" w:line="264" w:lineRule="auto"/>
        <w:ind w:left="1327" w:right="1146"/>
        <w:jc w:val="both"/>
      </w:pPr>
      <w:r>
        <w:rPr>
          <w:color w:val="231F20"/>
        </w:rPr>
        <w:lastRenderedPageBreak/>
        <w:t xml:space="preserve">for revolt in the metropole. </w:t>
      </w:r>
      <w:r>
        <w:rPr>
          <w:color w:val="231F20"/>
          <w:spacing w:val="1"/>
        </w:rPr>
        <w:t xml:space="preserve">In </w:t>
      </w:r>
      <w:r>
        <w:rPr>
          <w:color w:val="231F20"/>
        </w:rPr>
        <w:t xml:space="preserve">hindsight, it is clear that the optimistic notion that the </w:t>
      </w:r>
      <w:r>
        <w:rPr>
          <w:color w:val="231F20"/>
          <w:spacing w:val="-3"/>
        </w:rPr>
        <w:t xml:space="preserve">West </w:t>
      </w:r>
      <w:r>
        <w:rPr>
          <w:color w:val="231F20"/>
        </w:rPr>
        <w:t xml:space="preserve">German masses might rally to an anti-imperialist position has not been borne out. Nevertheless, this should not detract from the fact that the </w:t>
      </w:r>
      <w:r w:rsidR="00C507A5">
        <w:rPr>
          <w:color w:val="231F20"/>
          <w:spacing w:val="5"/>
        </w:rPr>
        <w:t>red army faction</w:t>
      </w:r>
      <w:r>
        <w:rPr>
          <w:color w:val="231F20"/>
          <w:spacing w:val="5"/>
        </w:rPr>
        <w:t xml:space="preserve"> </w:t>
      </w:r>
      <w:r>
        <w:rPr>
          <w:color w:val="231F20"/>
        </w:rPr>
        <w:t>was at least trying to deal with questions  that most leftists in imperialist societies preferred—and still prefer—to ignore.</w:t>
      </w:r>
    </w:p>
    <w:p w14:paraId="04F22EEB" w14:textId="77777777" w:rsidR="002653E8" w:rsidRDefault="003115E3">
      <w:pPr>
        <w:pStyle w:val="a3"/>
        <w:spacing w:line="264" w:lineRule="auto"/>
        <w:ind w:left="1327" w:right="1145" w:firstLine="210"/>
        <w:jc w:val="both"/>
      </w:pPr>
      <w:r>
        <w:rPr>
          <w:color w:val="231F20"/>
        </w:rPr>
        <w:t>As we have seen, Black September was a document firmly embedded in the context of its time. Perhaps for this reason, it did not “age” well, and would be increasingly ignored by those sympathetic to the guerilla in years to come. yet it was an important document, and the relationship to the national liberation struggles in the Third World and to the working class in Germany as elaborated here would not be revisited by subsequent waves of guerilla fighters for years to come.</w:t>
      </w:r>
    </w:p>
    <w:p w14:paraId="59FEA591" w14:textId="77777777" w:rsidR="002653E8" w:rsidRDefault="002653E8">
      <w:pPr>
        <w:spacing w:line="264" w:lineRule="auto"/>
        <w:jc w:val="both"/>
        <w:sectPr w:rsidR="002653E8">
          <w:pgSz w:w="8640" w:h="12960"/>
          <w:pgMar w:top="1060" w:right="0" w:bottom="1040" w:left="0" w:header="0" w:footer="850" w:gutter="0"/>
          <w:cols w:space="720"/>
        </w:sectPr>
      </w:pPr>
    </w:p>
    <w:p w14:paraId="19228E5C" w14:textId="77777777" w:rsidR="002653E8" w:rsidRDefault="00000000">
      <w:pPr>
        <w:pStyle w:val="a3"/>
        <w:spacing w:before="4"/>
        <w:rPr>
          <w:sz w:val="16"/>
        </w:rPr>
      </w:pPr>
      <w:r>
        <w:rPr>
          <w:noProof w:val="0"/>
        </w:rPr>
        <w:lastRenderedPageBreak/>
        <w:pict w14:anchorId="66F86251">
          <v:group id="_x0000_s2470" style="position:absolute;margin-left:57.4pt;margin-top:54pt;width:308.2pt;height:513.7pt;z-index:-459232;mso-position-horizontal-relative:page;mso-position-vertical-relative:page" coordorigin="1148,1080" coordsize="6164,10274">
            <v:rect id="_x0000_s2476" style="position:absolute;left:1148;top:1080;width:6164;height:10274" fillcolor="#e6e7e8" stroked="f"/>
            <v:line id="_x0000_s2475" style="position:absolute" from="1155,1140" to="1155,11308" strokecolor="#231f20">
              <v:stroke dashstyle="3 1"/>
            </v:line>
            <v:line id="_x0000_s2474" style="position:absolute" from="1208,11346" to="7267,11346" strokecolor="#231f20">
              <v:stroke dashstyle="3 1"/>
            </v:line>
            <v:line id="_x0000_s2473" style="position:absolute" from="7305,11293" to="7305,1125" strokecolor="#231f20">
              <v:stroke dashstyle="3 1"/>
            </v:line>
            <v:line id="_x0000_s2472" style="position:absolute" from="7252,1088" to="1193,1088" strokecolor="#231f20">
              <v:stroke dashstyle="3 1"/>
            </v:line>
            <v:shape id="_x0000_s2471" style="position:absolute;top:2724;width:6149;height:10259" coordorigin=",2724" coordsize="6149,10259" o:spt="100" adj="0,,0" path="m1155,11323r,23l1178,11346t6104,l7304,11346r,-23m7304,1110r,-22l7282,1088t-6104,l1155,1088r,22e" filled="f" strokecolor="#231f20">
              <v:stroke joinstyle="round"/>
              <v:formulas/>
              <v:path arrowok="t" o:connecttype="segments"/>
            </v:shape>
            <w10:wrap anchorx="page" anchory="page"/>
          </v:group>
        </w:pict>
      </w:r>
    </w:p>
    <w:p w14:paraId="5DBC1B5D" w14:textId="77777777" w:rsidR="002653E8" w:rsidRDefault="003115E3">
      <w:pPr>
        <w:spacing w:before="88"/>
        <w:ind w:left="2303"/>
        <w:rPr>
          <w:rFonts w:ascii="Lucida Sans"/>
          <w:b/>
          <w:sz w:val="24"/>
        </w:rPr>
      </w:pPr>
      <w:bookmarkStart w:id="93" w:name="the_appeal_of_the_fedayeen:_to_all_the_f"/>
      <w:bookmarkStart w:id="94" w:name="_bookmark31"/>
      <w:bookmarkEnd w:id="93"/>
      <w:bookmarkEnd w:id="94"/>
      <w:r>
        <w:rPr>
          <w:rFonts w:ascii="Lucida Sans"/>
          <w:b/>
          <w:color w:val="231F20"/>
          <w:sz w:val="24"/>
        </w:rPr>
        <w:t>the Appeal of the Fedayeen:</w:t>
      </w:r>
    </w:p>
    <w:p w14:paraId="1472A49E" w14:textId="77777777" w:rsidR="002653E8" w:rsidRDefault="003115E3">
      <w:pPr>
        <w:spacing w:before="6"/>
        <w:ind w:left="1832"/>
        <w:rPr>
          <w:rFonts w:ascii="Lucida Sans"/>
          <w:b/>
          <w:sz w:val="24"/>
        </w:rPr>
      </w:pPr>
      <w:r>
        <w:rPr>
          <w:rFonts w:ascii="Lucida Sans"/>
          <w:b/>
          <w:color w:val="231F20"/>
          <w:sz w:val="24"/>
        </w:rPr>
        <w:t xml:space="preserve">to </w:t>
      </w:r>
      <w:r>
        <w:rPr>
          <w:rFonts w:ascii="Lucida Sans"/>
          <w:b/>
          <w:color w:val="231F20"/>
          <w:spacing w:val="15"/>
          <w:sz w:val="24"/>
        </w:rPr>
        <w:t xml:space="preserve">All </w:t>
      </w:r>
      <w:r>
        <w:rPr>
          <w:rFonts w:ascii="Lucida Sans"/>
          <w:b/>
          <w:color w:val="231F20"/>
          <w:spacing w:val="13"/>
          <w:sz w:val="24"/>
        </w:rPr>
        <w:t xml:space="preserve">the </w:t>
      </w:r>
      <w:r>
        <w:rPr>
          <w:rFonts w:ascii="Lucida Sans"/>
          <w:b/>
          <w:color w:val="231F20"/>
          <w:spacing w:val="15"/>
          <w:sz w:val="24"/>
        </w:rPr>
        <w:t xml:space="preserve">Free </w:t>
      </w:r>
      <w:r>
        <w:rPr>
          <w:rFonts w:ascii="Lucida Sans"/>
          <w:b/>
          <w:color w:val="231F20"/>
          <w:spacing w:val="17"/>
          <w:sz w:val="24"/>
        </w:rPr>
        <w:t xml:space="preserve">People </w:t>
      </w:r>
      <w:r>
        <w:rPr>
          <w:rFonts w:ascii="Lucida Sans"/>
          <w:b/>
          <w:color w:val="231F20"/>
          <w:spacing w:val="10"/>
          <w:sz w:val="24"/>
        </w:rPr>
        <w:t xml:space="preserve">of </w:t>
      </w:r>
      <w:r>
        <w:rPr>
          <w:rFonts w:ascii="Lucida Sans"/>
          <w:b/>
          <w:color w:val="231F20"/>
          <w:spacing w:val="13"/>
          <w:sz w:val="24"/>
        </w:rPr>
        <w:t>the</w:t>
      </w:r>
      <w:r>
        <w:rPr>
          <w:rFonts w:ascii="Lucida Sans"/>
          <w:b/>
          <w:color w:val="231F20"/>
          <w:spacing w:val="92"/>
          <w:sz w:val="24"/>
        </w:rPr>
        <w:t xml:space="preserve"> </w:t>
      </w:r>
      <w:r>
        <w:rPr>
          <w:rFonts w:ascii="Lucida Sans"/>
          <w:b/>
          <w:color w:val="231F20"/>
          <w:spacing w:val="15"/>
          <w:sz w:val="24"/>
        </w:rPr>
        <w:t>World</w:t>
      </w:r>
    </w:p>
    <w:p w14:paraId="0D21EF1C" w14:textId="77777777" w:rsidR="002653E8" w:rsidRDefault="002653E8">
      <w:pPr>
        <w:pStyle w:val="a3"/>
        <w:spacing w:before="7"/>
        <w:rPr>
          <w:rFonts w:ascii="Lucida Sans"/>
          <w:b/>
          <w:sz w:val="21"/>
        </w:rPr>
      </w:pPr>
    </w:p>
    <w:p w14:paraId="69DEB101" w14:textId="77777777" w:rsidR="002653E8" w:rsidRDefault="003115E3">
      <w:pPr>
        <w:spacing w:line="283" w:lineRule="auto"/>
        <w:ind w:left="1762" w:right="2448"/>
        <w:rPr>
          <w:rFonts w:ascii="Arial"/>
          <w:i/>
          <w:sz w:val="19"/>
        </w:rPr>
      </w:pPr>
      <w:r>
        <w:rPr>
          <w:rFonts w:ascii="Arial"/>
          <w:i/>
          <w:color w:val="231F20"/>
          <w:sz w:val="19"/>
        </w:rPr>
        <w:t>On Monday, September 11, 1972, the Palestinian Press Agency published a group statement from the</w:t>
      </w:r>
    </w:p>
    <w:p w14:paraId="1F39572C" w14:textId="77777777" w:rsidR="002653E8" w:rsidRDefault="003115E3">
      <w:pPr>
        <w:spacing w:line="283" w:lineRule="auto"/>
        <w:ind w:left="1762" w:right="2067"/>
        <w:rPr>
          <w:rFonts w:ascii="Arial"/>
          <w:i/>
          <w:sz w:val="19"/>
        </w:rPr>
      </w:pPr>
      <w:r>
        <w:rPr>
          <w:rFonts w:ascii="Arial"/>
          <w:i/>
          <w:color w:val="231F20"/>
          <w:w w:val="105"/>
          <w:sz w:val="19"/>
        </w:rPr>
        <w:t>Black</w:t>
      </w:r>
      <w:r>
        <w:rPr>
          <w:rFonts w:ascii="Arial"/>
          <w:i/>
          <w:color w:val="231F20"/>
          <w:spacing w:val="-24"/>
          <w:w w:val="105"/>
          <w:sz w:val="19"/>
        </w:rPr>
        <w:t xml:space="preserve"> </w:t>
      </w:r>
      <w:r>
        <w:rPr>
          <w:rFonts w:ascii="Arial"/>
          <w:i/>
          <w:color w:val="231F20"/>
          <w:w w:val="105"/>
          <w:sz w:val="19"/>
        </w:rPr>
        <w:t>September</w:t>
      </w:r>
      <w:r>
        <w:rPr>
          <w:rFonts w:ascii="Arial"/>
          <w:i/>
          <w:color w:val="231F20"/>
          <w:spacing w:val="-24"/>
          <w:w w:val="105"/>
          <w:sz w:val="19"/>
        </w:rPr>
        <w:t xml:space="preserve"> </w:t>
      </w:r>
      <w:r>
        <w:rPr>
          <w:rFonts w:ascii="Arial"/>
          <w:i/>
          <w:color w:val="231F20"/>
          <w:w w:val="105"/>
          <w:sz w:val="19"/>
        </w:rPr>
        <w:t>members</w:t>
      </w:r>
      <w:r>
        <w:rPr>
          <w:rFonts w:ascii="Arial"/>
          <w:i/>
          <w:color w:val="231F20"/>
          <w:spacing w:val="-24"/>
          <w:w w:val="105"/>
          <w:sz w:val="19"/>
        </w:rPr>
        <w:t xml:space="preserve"> </w:t>
      </w:r>
      <w:r>
        <w:rPr>
          <w:rFonts w:ascii="Arial"/>
          <w:i/>
          <w:color w:val="231F20"/>
          <w:w w:val="105"/>
          <w:sz w:val="19"/>
        </w:rPr>
        <w:t>who</w:t>
      </w:r>
      <w:r>
        <w:rPr>
          <w:rFonts w:ascii="Arial"/>
          <w:i/>
          <w:color w:val="231F20"/>
          <w:spacing w:val="-24"/>
          <w:w w:val="105"/>
          <w:sz w:val="19"/>
        </w:rPr>
        <w:t xml:space="preserve"> </w:t>
      </w:r>
      <w:r>
        <w:rPr>
          <w:rFonts w:ascii="Arial"/>
          <w:i/>
          <w:color w:val="231F20"/>
          <w:w w:val="105"/>
          <w:sz w:val="19"/>
        </w:rPr>
        <w:t>were</w:t>
      </w:r>
      <w:r>
        <w:rPr>
          <w:rFonts w:ascii="Arial"/>
          <w:i/>
          <w:color w:val="231F20"/>
          <w:spacing w:val="-24"/>
          <w:w w:val="105"/>
          <w:sz w:val="19"/>
        </w:rPr>
        <w:t xml:space="preserve"> </w:t>
      </w:r>
      <w:r>
        <w:rPr>
          <w:rFonts w:ascii="Arial"/>
          <w:i/>
          <w:color w:val="231F20"/>
          <w:w w:val="105"/>
          <w:sz w:val="19"/>
        </w:rPr>
        <w:t>killed</w:t>
      </w:r>
      <w:r>
        <w:rPr>
          <w:rFonts w:ascii="Arial"/>
          <w:i/>
          <w:color w:val="231F20"/>
          <w:spacing w:val="-24"/>
          <w:w w:val="105"/>
          <w:sz w:val="19"/>
        </w:rPr>
        <w:t xml:space="preserve"> </w:t>
      </w:r>
      <w:r>
        <w:rPr>
          <w:rFonts w:ascii="Arial"/>
          <w:i/>
          <w:color w:val="231F20"/>
          <w:w w:val="105"/>
          <w:sz w:val="19"/>
        </w:rPr>
        <w:t>in</w:t>
      </w:r>
      <w:r>
        <w:rPr>
          <w:rFonts w:ascii="Arial"/>
          <w:i/>
          <w:color w:val="231F20"/>
          <w:spacing w:val="-24"/>
          <w:w w:val="105"/>
          <w:sz w:val="19"/>
        </w:rPr>
        <w:t xml:space="preserve"> </w:t>
      </w:r>
      <w:r>
        <w:rPr>
          <w:rFonts w:ascii="Arial"/>
          <w:i/>
          <w:color w:val="231F20"/>
          <w:w w:val="105"/>
          <w:sz w:val="19"/>
        </w:rPr>
        <w:t>Munich. This statement was drafted before the operation in Munich</w:t>
      </w:r>
      <w:r>
        <w:rPr>
          <w:rFonts w:ascii="Arial"/>
          <w:i/>
          <w:color w:val="231F20"/>
          <w:spacing w:val="-5"/>
          <w:w w:val="105"/>
          <w:sz w:val="19"/>
        </w:rPr>
        <w:t xml:space="preserve"> </w:t>
      </w:r>
      <w:r>
        <w:rPr>
          <w:rFonts w:ascii="Arial"/>
          <w:i/>
          <w:color w:val="231F20"/>
          <w:w w:val="105"/>
          <w:sz w:val="19"/>
        </w:rPr>
        <w:t>began.</w:t>
      </w:r>
      <w:r>
        <w:rPr>
          <w:rFonts w:ascii="Arial"/>
          <w:i/>
          <w:color w:val="231F20"/>
          <w:spacing w:val="-5"/>
          <w:w w:val="105"/>
          <w:sz w:val="19"/>
        </w:rPr>
        <w:t xml:space="preserve"> </w:t>
      </w:r>
      <w:r>
        <w:rPr>
          <w:rFonts w:ascii="Arial"/>
          <w:i/>
          <w:color w:val="231F20"/>
          <w:w w:val="105"/>
          <w:sz w:val="19"/>
        </w:rPr>
        <w:t>(M.</w:t>
      </w:r>
      <w:r>
        <w:rPr>
          <w:rFonts w:ascii="Arial"/>
          <w:i/>
          <w:color w:val="231F20"/>
          <w:spacing w:val="-26"/>
          <w:w w:val="105"/>
          <w:sz w:val="19"/>
        </w:rPr>
        <w:t xml:space="preserve"> </w:t>
      </w:r>
      <w:r>
        <w:rPr>
          <w:rFonts w:ascii="Arial"/>
          <w:i/>
          <w:color w:val="231F20"/>
          <w:w w:val="105"/>
          <w:sz w:val="19"/>
        </w:rPr>
        <w:t>&amp;</w:t>
      </w:r>
      <w:r>
        <w:rPr>
          <w:rFonts w:ascii="Arial"/>
          <w:i/>
          <w:color w:val="231F20"/>
          <w:spacing w:val="-26"/>
          <w:w w:val="105"/>
          <w:sz w:val="19"/>
        </w:rPr>
        <w:t xml:space="preserve"> </w:t>
      </w:r>
      <w:r>
        <w:rPr>
          <w:rFonts w:ascii="Arial"/>
          <w:i/>
          <w:color w:val="231F20"/>
          <w:w w:val="105"/>
          <w:sz w:val="19"/>
        </w:rPr>
        <w:t>S.)</w:t>
      </w:r>
    </w:p>
    <w:p w14:paraId="75D1E45C" w14:textId="77777777" w:rsidR="002653E8" w:rsidRDefault="002653E8">
      <w:pPr>
        <w:pStyle w:val="a3"/>
        <w:spacing w:before="8"/>
        <w:rPr>
          <w:rFonts w:ascii="Arial"/>
          <w:i/>
          <w:sz w:val="21"/>
        </w:rPr>
      </w:pPr>
    </w:p>
    <w:p w14:paraId="1032922A" w14:textId="77777777" w:rsidR="002653E8" w:rsidRDefault="003115E3">
      <w:pPr>
        <w:spacing w:before="1"/>
        <w:ind w:left="1343"/>
        <w:rPr>
          <w:rFonts w:ascii="Calibri"/>
          <w:sz w:val="19"/>
        </w:rPr>
      </w:pPr>
      <w:r>
        <w:rPr>
          <w:rFonts w:ascii="Calibri"/>
          <w:color w:val="231F20"/>
          <w:w w:val="105"/>
          <w:sz w:val="19"/>
        </w:rPr>
        <w:t>We do not intend to kill any innocent people with our action.</w:t>
      </w:r>
    </w:p>
    <w:p w14:paraId="7F1E08BB" w14:textId="77777777" w:rsidR="002653E8" w:rsidRDefault="003115E3">
      <w:pPr>
        <w:spacing w:before="24" w:line="266" w:lineRule="auto"/>
        <w:ind w:left="1343" w:right="1681"/>
        <w:rPr>
          <w:rFonts w:ascii="Calibri" w:hAnsi="Calibri"/>
          <w:sz w:val="19"/>
        </w:rPr>
      </w:pPr>
      <w:r>
        <w:rPr>
          <w:rFonts w:ascii="Calibri" w:hAnsi="Calibri"/>
          <w:color w:val="231F20"/>
          <w:w w:val="105"/>
          <w:sz w:val="19"/>
        </w:rPr>
        <w:t>We are struggling above all against injustice. We do not want to disturb the peace, rather we want to draw the world’s attention to the filthy Zionist occupation and the real tragedy our people are suffering.</w:t>
      </w:r>
    </w:p>
    <w:p w14:paraId="3E41E5F8" w14:textId="77777777" w:rsidR="002653E8" w:rsidRDefault="003115E3">
      <w:pPr>
        <w:spacing w:line="266" w:lineRule="auto"/>
        <w:ind w:left="1343" w:right="1605" w:firstLine="209"/>
        <w:rPr>
          <w:rFonts w:ascii="Calibri" w:hAnsi="Calibri"/>
          <w:sz w:val="19"/>
        </w:rPr>
      </w:pPr>
      <w:r>
        <w:rPr>
          <w:rFonts w:ascii="Calibri" w:hAnsi="Calibri"/>
          <w:color w:val="231F20"/>
          <w:w w:val="105"/>
          <w:sz w:val="19"/>
        </w:rPr>
        <w:t>We ask that the free people of the world understand our action, the goal of which is to thwart imperialism’s international interests,   to expose the relationship between  imperialism  and  Zionism,  and to</w:t>
      </w:r>
      <w:r>
        <w:rPr>
          <w:rFonts w:ascii="Calibri" w:hAnsi="Calibri"/>
          <w:color w:val="231F20"/>
          <w:spacing w:val="15"/>
          <w:w w:val="105"/>
          <w:sz w:val="19"/>
        </w:rPr>
        <w:t xml:space="preserve"> </w:t>
      </w:r>
      <w:r>
        <w:rPr>
          <w:rFonts w:ascii="Calibri" w:hAnsi="Calibri"/>
          <w:color w:val="231F20"/>
          <w:w w:val="105"/>
          <w:sz w:val="19"/>
        </w:rPr>
        <w:t>clarify</w:t>
      </w:r>
      <w:r>
        <w:rPr>
          <w:rFonts w:ascii="Calibri" w:hAnsi="Calibri"/>
          <w:color w:val="231F20"/>
          <w:spacing w:val="15"/>
          <w:w w:val="105"/>
          <w:sz w:val="19"/>
        </w:rPr>
        <w:t xml:space="preserve"> </w:t>
      </w:r>
      <w:r>
        <w:rPr>
          <w:rFonts w:ascii="Calibri" w:hAnsi="Calibri"/>
          <w:color w:val="231F20"/>
          <w:w w:val="105"/>
          <w:sz w:val="19"/>
        </w:rPr>
        <w:t>for</w:t>
      </w:r>
      <w:r>
        <w:rPr>
          <w:rFonts w:ascii="Calibri" w:hAnsi="Calibri"/>
          <w:color w:val="231F20"/>
          <w:spacing w:val="15"/>
          <w:w w:val="105"/>
          <w:sz w:val="19"/>
        </w:rPr>
        <w:t xml:space="preserve"> </w:t>
      </w:r>
      <w:r>
        <w:rPr>
          <w:rFonts w:ascii="Calibri" w:hAnsi="Calibri"/>
          <w:color w:val="231F20"/>
          <w:w w:val="105"/>
          <w:sz w:val="19"/>
        </w:rPr>
        <w:t>our</w:t>
      </w:r>
      <w:r>
        <w:rPr>
          <w:rFonts w:ascii="Calibri" w:hAnsi="Calibri"/>
          <w:color w:val="231F20"/>
          <w:spacing w:val="15"/>
          <w:w w:val="105"/>
          <w:sz w:val="19"/>
        </w:rPr>
        <w:t xml:space="preserve"> </w:t>
      </w:r>
      <w:r>
        <w:rPr>
          <w:rFonts w:ascii="Calibri" w:hAnsi="Calibri"/>
          <w:color w:val="231F20"/>
          <w:w w:val="105"/>
          <w:sz w:val="19"/>
        </w:rPr>
        <w:t>Arab</w:t>
      </w:r>
      <w:r>
        <w:rPr>
          <w:rFonts w:ascii="Calibri" w:hAnsi="Calibri"/>
          <w:color w:val="231F20"/>
          <w:spacing w:val="15"/>
          <w:w w:val="105"/>
          <w:sz w:val="19"/>
        </w:rPr>
        <w:t xml:space="preserve"> </w:t>
      </w:r>
      <w:r>
        <w:rPr>
          <w:rFonts w:ascii="Calibri" w:hAnsi="Calibri"/>
          <w:color w:val="231F20"/>
          <w:w w:val="105"/>
          <w:sz w:val="19"/>
        </w:rPr>
        <w:t>nation</w:t>
      </w:r>
      <w:r>
        <w:rPr>
          <w:rFonts w:ascii="Calibri" w:hAnsi="Calibri"/>
          <w:color w:val="231F20"/>
          <w:spacing w:val="15"/>
          <w:w w:val="105"/>
          <w:sz w:val="19"/>
        </w:rPr>
        <w:t xml:space="preserve"> </w:t>
      </w:r>
      <w:r>
        <w:rPr>
          <w:rFonts w:ascii="Calibri" w:hAnsi="Calibri"/>
          <w:color w:val="231F20"/>
          <w:w w:val="105"/>
          <w:sz w:val="19"/>
        </w:rPr>
        <w:t>what</w:t>
      </w:r>
      <w:r>
        <w:rPr>
          <w:rFonts w:ascii="Calibri" w:hAnsi="Calibri"/>
          <w:color w:val="231F20"/>
          <w:spacing w:val="15"/>
          <w:w w:val="105"/>
          <w:sz w:val="19"/>
        </w:rPr>
        <w:t xml:space="preserve"> </w:t>
      </w:r>
      <w:r>
        <w:rPr>
          <w:rFonts w:ascii="Calibri" w:hAnsi="Calibri"/>
          <w:color w:val="231F20"/>
          <w:w w:val="105"/>
          <w:sz w:val="19"/>
        </w:rPr>
        <w:t>“Israel”</w:t>
      </w:r>
      <w:r>
        <w:rPr>
          <w:rFonts w:ascii="Calibri" w:hAnsi="Calibri"/>
          <w:color w:val="231F20"/>
          <w:spacing w:val="15"/>
          <w:w w:val="105"/>
          <w:sz w:val="19"/>
        </w:rPr>
        <w:t xml:space="preserve"> </w:t>
      </w:r>
      <w:r>
        <w:rPr>
          <w:rFonts w:ascii="Calibri" w:hAnsi="Calibri"/>
          <w:color w:val="231F20"/>
          <w:w w:val="105"/>
          <w:sz w:val="19"/>
        </w:rPr>
        <w:t>is</w:t>
      </w:r>
      <w:r>
        <w:rPr>
          <w:rFonts w:ascii="Calibri" w:hAnsi="Calibri"/>
          <w:color w:val="231F20"/>
          <w:spacing w:val="15"/>
          <w:w w:val="105"/>
          <w:sz w:val="19"/>
        </w:rPr>
        <w:t xml:space="preserve"> </w:t>
      </w:r>
      <w:r>
        <w:rPr>
          <w:rFonts w:ascii="Calibri" w:hAnsi="Calibri"/>
          <w:color w:val="231F20"/>
          <w:w w:val="105"/>
          <w:sz w:val="19"/>
        </w:rPr>
        <w:t>and</w:t>
      </w:r>
      <w:r>
        <w:rPr>
          <w:rFonts w:ascii="Calibri" w:hAnsi="Calibri"/>
          <w:color w:val="231F20"/>
          <w:spacing w:val="15"/>
          <w:w w:val="105"/>
          <w:sz w:val="19"/>
        </w:rPr>
        <w:t xml:space="preserve"> </w:t>
      </w:r>
      <w:r>
        <w:rPr>
          <w:rFonts w:ascii="Calibri" w:hAnsi="Calibri"/>
          <w:color w:val="231F20"/>
          <w:w w:val="105"/>
          <w:sz w:val="19"/>
        </w:rPr>
        <w:t>who</w:t>
      </w:r>
      <w:r>
        <w:rPr>
          <w:rFonts w:ascii="Calibri" w:hAnsi="Calibri"/>
          <w:color w:val="231F20"/>
          <w:spacing w:val="15"/>
          <w:w w:val="105"/>
          <w:sz w:val="19"/>
        </w:rPr>
        <w:t xml:space="preserve"> </w:t>
      </w:r>
      <w:r>
        <w:rPr>
          <w:rFonts w:ascii="Calibri" w:hAnsi="Calibri"/>
          <w:color w:val="231F20"/>
          <w:w w:val="105"/>
          <w:sz w:val="19"/>
        </w:rPr>
        <w:t>its</w:t>
      </w:r>
      <w:r>
        <w:rPr>
          <w:rFonts w:ascii="Calibri" w:hAnsi="Calibri"/>
          <w:color w:val="231F20"/>
          <w:spacing w:val="15"/>
          <w:w w:val="105"/>
          <w:sz w:val="19"/>
        </w:rPr>
        <w:t xml:space="preserve"> </w:t>
      </w:r>
      <w:r>
        <w:rPr>
          <w:rFonts w:ascii="Calibri" w:hAnsi="Calibri"/>
          <w:color w:val="231F20"/>
          <w:w w:val="105"/>
          <w:sz w:val="19"/>
        </w:rPr>
        <w:t>allies</w:t>
      </w:r>
      <w:r>
        <w:rPr>
          <w:rFonts w:ascii="Calibri" w:hAnsi="Calibri"/>
          <w:color w:val="231F20"/>
          <w:spacing w:val="15"/>
          <w:w w:val="105"/>
          <w:sz w:val="19"/>
        </w:rPr>
        <w:t xml:space="preserve"> </w:t>
      </w:r>
      <w:r>
        <w:rPr>
          <w:rFonts w:ascii="Calibri" w:hAnsi="Calibri"/>
          <w:color w:val="231F20"/>
          <w:w w:val="105"/>
          <w:sz w:val="19"/>
        </w:rPr>
        <w:t>are.</w:t>
      </w:r>
    </w:p>
    <w:p w14:paraId="012034A3" w14:textId="77777777" w:rsidR="002653E8" w:rsidRDefault="003115E3">
      <w:pPr>
        <w:spacing w:line="266" w:lineRule="auto"/>
        <w:ind w:left="1343" w:right="1681" w:firstLine="209"/>
        <w:rPr>
          <w:rFonts w:ascii="Calibri" w:hAnsi="Calibri"/>
          <w:sz w:val="19"/>
        </w:rPr>
      </w:pPr>
      <w:r>
        <w:rPr>
          <w:rFonts w:ascii="Calibri" w:hAnsi="Calibri"/>
          <w:color w:val="231F20"/>
          <w:w w:val="105"/>
          <w:sz w:val="19"/>
        </w:rPr>
        <w:t xml:space="preserve">We are a significant element in the armed Palestinian   revolutionary movement, which is itself </w:t>
      </w:r>
      <w:r>
        <w:rPr>
          <w:rFonts w:ascii="Calibri" w:hAnsi="Calibri"/>
          <w:color w:val="231F20"/>
          <w:spacing w:val="1"/>
          <w:w w:val="105"/>
          <w:sz w:val="19"/>
        </w:rPr>
        <w:t xml:space="preserve">part </w:t>
      </w:r>
      <w:r>
        <w:rPr>
          <w:rFonts w:ascii="Calibri" w:hAnsi="Calibri"/>
          <w:color w:val="231F20"/>
          <w:w w:val="105"/>
          <w:sz w:val="19"/>
        </w:rPr>
        <w:t xml:space="preserve">of the Arab revolution. We ask you, in spite of the enemy’s conspiracy and the difficulties presented by the struggle, not to  lay  down  your  weapons.  The </w:t>
      </w:r>
      <w:r>
        <w:rPr>
          <w:rFonts w:ascii="Calibri" w:hAnsi="Calibri"/>
          <w:color w:val="231F20"/>
          <w:spacing w:val="1"/>
          <w:w w:val="105"/>
          <w:sz w:val="19"/>
        </w:rPr>
        <w:t xml:space="preserve">earth </w:t>
      </w:r>
      <w:r>
        <w:rPr>
          <w:rFonts w:ascii="Calibri" w:hAnsi="Calibri"/>
          <w:color w:val="231F20"/>
          <w:w w:val="105"/>
          <w:sz w:val="19"/>
        </w:rPr>
        <w:t>can only be freed with</w:t>
      </w:r>
      <w:r>
        <w:rPr>
          <w:rFonts w:ascii="Calibri" w:hAnsi="Calibri"/>
          <w:color w:val="231F20"/>
          <w:spacing w:val="5"/>
          <w:w w:val="105"/>
          <w:sz w:val="19"/>
        </w:rPr>
        <w:t xml:space="preserve"> </w:t>
      </w:r>
      <w:r>
        <w:rPr>
          <w:rFonts w:ascii="Calibri" w:hAnsi="Calibri"/>
          <w:color w:val="231F20"/>
          <w:w w:val="105"/>
          <w:sz w:val="19"/>
        </w:rPr>
        <w:t>blood.</w:t>
      </w:r>
    </w:p>
    <w:p w14:paraId="4B900703" w14:textId="77777777" w:rsidR="002653E8" w:rsidRDefault="003115E3">
      <w:pPr>
        <w:spacing w:line="266" w:lineRule="auto"/>
        <w:ind w:left="1343" w:right="1580" w:firstLine="209"/>
        <w:rPr>
          <w:rFonts w:ascii="Calibri"/>
          <w:sz w:val="19"/>
        </w:rPr>
      </w:pPr>
      <w:r>
        <w:rPr>
          <w:rFonts w:ascii="Calibri"/>
          <w:color w:val="231F20"/>
          <w:w w:val="110"/>
          <w:sz w:val="19"/>
        </w:rPr>
        <w:t>The world only respects the strong. Our strength does not lie in speeches, but in action.</w:t>
      </w:r>
    </w:p>
    <w:p w14:paraId="6F69E7F6" w14:textId="77777777" w:rsidR="002653E8" w:rsidRDefault="003115E3">
      <w:pPr>
        <w:spacing w:line="266" w:lineRule="auto"/>
        <w:ind w:left="1343" w:right="1848" w:firstLine="209"/>
        <w:rPr>
          <w:rFonts w:ascii="Calibri"/>
          <w:sz w:val="19"/>
        </w:rPr>
      </w:pPr>
      <w:r>
        <w:rPr>
          <w:rFonts w:ascii="Calibri"/>
          <w:color w:val="231F20"/>
          <w:w w:val="105"/>
          <w:sz w:val="19"/>
        </w:rPr>
        <w:t xml:space="preserve">We apologize to the young athletes of the world if their sensibilities are disturbed by our undertaking. But they  should know that there is a people whose homeland has been occupied   for </w:t>
      </w:r>
      <w:r>
        <w:rPr>
          <w:rFonts w:ascii="Arial"/>
          <w:color w:val="231F20"/>
          <w:spacing w:val="-3"/>
          <w:w w:val="105"/>
          <w:sz w:val="19"/>
        </w:rPr>
        <w:t xml:space="preserve">24 </w:t>
      </w:r>
      <w:r>
        <w:rPr>
          <w:rFonts w:ascii="Calibri"/>
          <w:color w:val="231F20"/>
          <w:w w:val="105"/>
          <w:sz w:val="19"/>
        </w:rPr>
        <w:t>years. This people has suffered anguish at the hands of an enemy that moves amongst them in</w:t>
      </w:r>
      <w:r>
        <w:rPr>
          <w:rFonts w:ascii="Calibri"/>
          <w:color w:val="231F20"/>
          <w:spacing w:val="11"/>
          <w:w w:val="105"/>
          <w:sz w:val="19"/>
        </w:rPr>
        <w:t xml:space="preserve"> </w:t>
      </w:r>
      <w:r>
        <w:rPr>
          <w:rFonts w:ascii="Calibri"/>
          <w:color w:val="231F20"/>
          <w:w w:val="105"/>
          <w:sz w:val="19"/>
        </w:rPr>
        <w:t>Munich.</w:t>
      </w:r>
    </w:p>
    <w:p w14:paraId="4CF4C6EC" w14:textId="77777777" w:rsidR="002653E8" w:rsidRDefault="003115E3">
      <w:pPr>
        <w:spacing w:line="266" w:lineRule="auto"/>
        <w:ind w:left="1343" w:right="1681" w:firstLine="209"/>
        <w:rPr>
          <w:rFonts w:ascii="Calibri" w:hAnsi="Calibri"/>
          <w:sz w:val="19"/>
        </w:rPr>
      </w:pPr>
      <w:r>
        <w:rPr>
          <w:rFonts w:ascii="Calibri" w:hAnsi="Calibri"/>
          <w:color w:val="231F20"/>
          <w:w w:val="105"/>
          <w:sz w:val="19"/>
        </w:rPr>
        <w:t xml:space="preserve">It is irrelevant where we are buried; the enemy can defile our corpses. What we hope is that Arab youth are ready to die in the service of the people and the fatherland. We call upon the “Black September” fedayeen and the Palestinian  revolutionary  movement to </w:t>
      </w:r>
      <w:r>
        <w:rPr>
          <w:rFonts w:ascii="Calibri" w:hAnsi="Calibri"/>
          <w:color w:val="231F20"/>
          <w:spacing w:val="2"/>
          <w:w w:val="105"/>
          <w:sz w:val="19"/>
        </w:rPr>
        <w:t xml:space="preserve">carry </w:t>
      </w:r>
      <w:r>
        <w:rPr>
          <w:rFonts w:ascii="Calibri" w:hAnsi="Calibri"/>
          <w:color w:val="231F20"/>
          <w:w w:val="105"/>
          <w:sz w:val="19"/>
        </w:rPr>
        <w:t>the struggle</w:t>
      </w:r>
      <w:r>
        <w:rPr>
          <w:rFonts w:ascii="Calibri" w:hAnsi="Calibri"/>
          <w:color w:val="231F20"/>
          <w:spacing w:val="28"/>
          <w:w w:val="105"/>
          <w:sz w:val="19"/>
        </w:rPr>
        <w:t xml:space="preserve"> </w:t>
      </w:r>
      <w:r>
        <w:rPr>
          <w:rFonts w:ascii="Calibri" w:hAnsi="Calibri"/>
          <w:color w:val="231F20"/>
          <w:w w:val="105"/>
          <w:sz w:val="19"/>
        </w:rPr>
        <w:t>forward.</w:t>
      </w:r>
    </w:p>
    <w:p w14:paraId="65801DA1" w14:textId="77777777" w:rsidR="002653E8" w:rsidRDefault="002653E8">
      <w:pPr>
        <w:pStyle w:val="a3"/>
        <w:spacing w:before="11"/>
        <w:rPr>
          <w:rFonts w:ascii="Calibri"/>
          <w:sz w:val="19"/>
        </w:rPr>
      </w:pPr>
    </w:p>
    <w:p w14:paraId="7EFD97C7" w14:textId="77777777" w:rsidR="002653E8" w:rsidRDefault="003115E3">
      <w:pPr>
        <w:ind w:left="1343"/>
        <w:rPr>
          <w:rFonts w:ascii="Calibri"/>
          <w:sz w:val="19"/>
        </w:rPr>
      </w:pPr>
      <w:r>
        <w:rPr>
          <w:rFonts w:ascii="Calibri"/>
          <w:color w:val="231F20"/>
          <w:w w:val="115"/>
          <w:sz w:val="19"/>
        </w:rPr>
        <w:t>LONG LIvE OUR PEOPLE!</w:t>
      </w:r>
    </w:p>
    <w:p w14:paraId="61B4BBE1" w14:textId="77777777" w:rsidR="002653E8" w:rsidRDefault="003115E3">
      <w:pPr>
        <w:spacing w:before="25"/>
        <w:ind w:left="1343"/>
        <w:rPr>
          <w:rFonts w:ascii="Calibri"/>
          <w:sz w:val="19"/>
        </w:rPr>
      </w:pPr>
      <w:r>
        <w:rPr>
          <w:rFonts w:ascii="Calibri"/>
          <w:color w:val="231F20"/>
          <w:w w:val="120"/>
          <w:sz w:val="19"/>
        </w:rPr>
        <w:t>LONG LIvE THE WORLdWIdE REvOLUTION FOR FREEdOM!</w:t>
      </w:r>
    </w:p>
    <w:p w14:paraId="6D989A0D" w14:textId="77777777" w:rsidR="002653E8" w:rsidRDefault="002653E8">
      <w:pPr>
        <w:rPr>
          <w:rFonts w:ascii="Calibri"/>
          <w:sz w:val="19"/>
        </w:rPr>
        <w:sectPr w:rsidR="002653E8">
          <w:pgSz w:w="8640" w:h="12960"/>
          <w:pgMar w:top="1080" w:right="0" w:bottom="1040" w:left="0" w:header="0" w:footer="850" w:gutter="0"/>
          <w:cols w:space="720"/>
        </w:sectPr>
      </w:pPr>
    </w:p>
    <w:p w14:paraId="125AD378" w14:textId="77777777" w:rsidR="002653E8" w:rsidRDefault="003115E3">
      <w:pPr>
        <w:pStyle w:val="4"/>
        <w:spacing w:line="273" w:lineRule="auto"/>
        <w:ind w:left="760" w:right="568"/>
        <w:jc w:val="center"/>
      </w:pPr>
      <w:bookmarkStart w:id="95" w:name="The_Black_September_Action_in_Munich:_Re"/>
      <w:bookmarkStart w:id="96" w:name="_bookmark32"/>
      <w:bookmarkEnd w:id="95"/>
      <w:bookmarkEnd w:id="96"/>
      <w:r>
        <w:rPr>
          <w:color w:val="231F20"/>
          <w:w w:val="105"/>
        </w:rPr>
        <w:lastRenderedPageBreak/>
        <w:t>The</w:t>
      </w:r>
      <w:r>
        <w:rPr>
          <w:color w:val="231F20"/>
          <w:spacing w:val="-27"/>
          <w:w w:val="105"/>
        </w:rPr>
        <w:t xml:space="preserve"> </w:t>
      </w:r>
      <w:r>
        <w:rPr>
          <w:color w:val="231F20"/>
          <w:w w:val="105"/>
        </w:rPr>
        <w:t>Black</w:t>
      </w:r>
      <w:r>
        <w:rPr>
          <w:color w:val="231F20"/>
          <w:spacing w:val="-27"/>
          <w:w w:val="105"/>
        </w:rPr>
        <w:t xml:space="preserve"> </w:t>
      </w:r>
      <w:r>
        <w:rPr>
          <w:color w:val="231F20"/>
          <w:w w:val="105"/>
        </w:rPr>
        <w:t>September</w:t>
      </w:r>
      <w:r>
        <w:rPr>
          <w:color w:val="231F20"/>
          <w:spacing w:val="-33"/>
          <w:w w:val="105"/>
        </w:rPr>
        <w:t xml:space="preserve"> </w:t>
      </w:r>
      <w:r>
        <w:rPr>
          <w:color w:val="231F20"/>
          <w:w w:val="105"/>
        </w:rPr>
        <w:t>Action</w:t>
      </w:r>
      <w:r>
        <w:rPr>
          <w:color w:val="231F20"/>
          <w:spacing w:val="-27"/>
          <w:w w:val="105"/>
        </w:rPr>
        <w:t xml:space="preserve"> </w:t>
      </w:r>
      <w:r>
        <w:rPr>
          <w:color w:val="231F20"/>
          <w:w w:val="105"/>
        </w:rPr>
        <w:t>in</w:t>
      </w:r>
      <w:r>
        <w:rPr>
          <w:color w:val="231F20"/>
          <w:spacing w:val="-27"/>
          <w:w w:val="105"/>
        </w:rPr>
        <w:t xml:space="preserve"> </w:t>
      </w:r>
      <w:r>
        <w:rPr>
          <w:color w:val="231F20"/>
          <w:w w:val="105"/>
        </w:rPr>
        <w:t>Munich:</w:t>
      </w:r>
      <w:r>
        <w:rPr>
          <w:color w:val="231F20"/>
          <w:w w:val="102"/>
        </w:rPr>
        <w:t xml:space="preserve"> </w:t>
      </w:r>
      <w:r>
        <w:rPr>
          <w:color w:val="231F20"/>
          <w:w w:val="105"/>
        </w:rPr>
        <w:t>Regarding the Strategy</w:t>
      </w:r>
      <w:r>
        <w:rPr>
          <w:color w:val="231F20"/>
          <w:spacing w:val="40"/>
          <w:w w:val="105"/>
        </w:rPr>
        <w:t xml:space="preserve"> </w:t>
      </w:r>
      <w:r>
        <w:rPr>
          <w:color w:val="231F20"/>
          <w:spacing w:val="-5"/>
          <w:w w:val="105"/>
        </w:rPr>
        <w:t>for</w:t>
      </w:r>
    </w:p>
    <w:p w14:paraId="416F680D" w14:textId="77777777" w:rsidR="002653E8" w:rsidRDefault="003115E3">
      <w:pPr>
        <w:spacing w:line="349" w:lineRule="exact"/>
        <w:ind w:left="2539"/>
        <w:rPr>
          <w:rFonts w:ascii="Bookman Old Style"/>
          <w:sz w:val="30"/>
        </w:rPr>
      </w:pPr>
      <w:r>
        <w:rPr>
          <w:rFonts w:ascii="Bookman Old Style"/>
          <w:color w:val="231F20"/>
          <w:w w:val="105"/>
          <w:sz w:val="30"/>
        </w:rPr>
        <w:t>Anti-Imperialist Struggle</w:t>
      </w:r>
    </w:p>
    <w:p w14:paraId="69F7A32C" w14:textId="77777777" w:rsidR="002653E8" w:rsidRDefault="002653E8">
      <w:pPr>
        <w:pStyle w:val="a3"/>
        <w:rPr>
          <w:rFonts w:ascii="Bookman Old Style"/>
          <w:sz w:val="34"/>
        </w:rPr>
      </w:pPr>
    </w:p>
    <w:p w14:paraId="5C3BB0C4" w14:textId="77777777" w:rsidR="002653E8" w:rsidRDefault="002653E8">
      <w:pPr>
        <w:pStyle w:val="a3"/>
        <w:spacing w:before="10"/>
        <w:rPr>
          <w:rFonts w:ascii="Bookman Old Style"/>
          <w:sz w:val="29"/>
        </w:rPr>
      </w:pPr>
    </w:p>
    <w:p w14:paraId="78F92A9D" w14:textId="77777777" w:rsidR="002653E8" w:rsidRDefault="003115E3">
      <w:pPr>
        <w:spacing w:line="276" w:lineRule="auto"/>
        <w:ind w:left="1747" w:right="1559"/>
        <w:jc w:val="both"/>
        <w:rPr>
          <w:i/>
          <w:sz w:val="11"/>
        </w:rPr>
      </w:pPr>
      <w:r>
        <w:rPr>
          <w:i/>
          <w:color w:val="231F20"/>
          <w:sz w:val="19"/>
        </w:rPr>
        <w:t xml:space="preserve">Proletarian Revolutions… are constantly self-critical, repeatedly come to a standstill, return to past undertakings to begin them </w:t>
      </w:r>
      <w:r>
        <w:rPr>
          <w:i/>
          <w:color w:val="231F20"/>
          <w:spacing w:val="-4"/>
          <w:sz w:val="19"/>
        </w:rPr>
        <w:t xml:space="preserve">anew, </w:t>
      </w:r>
      <w:r>
        <w:rPr>
          <w:i/>
          <w:color w:val="231F20"/>
          <w:sz w:val="19"/>
        </w:rPr>
        <w:t xml:space="preserve">pitilessly and thoroughly mocking their own half-measures, and the weakness and shabbiness of their own preliminary efforts. They seem to throw down their adversary only in order that he may </w:t>
      </w:r>
      <w:r>
        <w:rPr>
          <w:i/>
          <w:color w:val="231F20"/>
          <w:spacing w:val="-3"/>
          <w:sz w:val="19"/>
        </w:rPr>
        <w:t xml:space="preserve">draw </w:t>
      </w:r>
      <w:r>
        <w:rPr>
          <w:i/>
          <w:color w:val="231F20"/>
          <w:sz w:val="19"/>
        </w:rPr>
        <w:t>new strength from the earth and rise again, more gigantic, before them. They shrink time and again from the unimaginable enormity of their own goals, until they reach a time which makes all turning back impossible, and the conditions themselves  call  out: hic rhodus, hic</w:t>
      </w:r>
      <w:r>
        <w:rPr>
          <w:i/>
          <w:color w:val="231F20"/>
          <w:spacing w:val="36"/>
          <w:sz w:val="19"/>
        </w:rPr>
        <w:t xml:space="preserve"> </w:t>
      </w:r>
      <w:r>
        <w:rPr>
          <w:i/>
          <w:color w:val="231F20"/>
          <w:sz w:val="19"/>
        </w:rPr>
        <w:t>salta.</w:t>
      </w:r>
      <w:r>
        <w:rPr>
          <w:i/>
          <w:color w:val="231F20"/>
          <w:position w:val="6"/>
          <w:sz w:val="11"/>
        </w:rPr>
        <w:t>1</w:t>
      </w:r>
    </w:p>
    <w:p w14:paraId="09E4B9F5" w14:textId="77777777" w:rsidR="002653E8" w:rsidRDefault="003115E3">
      <w:pPr>
        <w:spacing w:line="222" w:lineRule="exact"/>
        <w:ind w:left="6195"/>
        <w:rPr>
          <w:sz w:val="19"/>
        </w:rPr>
      </w:pPr>
      <w:r>
        <w:rPr>
          <w:color w:val="231F20"/>
          <w:w w:val="110"/>
          <w:sz w:val="19"/>
        </w:rPr>
        <w:t>Karl Marx</w:t>
      </w:r>
    </w:p>
    <w:p w14:paraId="26BE954B" w14:textId="77777777" w:rsidR="002653E8" w:rsidRDefault="002653E8">
      <w:pPr>
        <w:pStyle w:val="a3"/>
        <w:rPr>
          <w:sz w:val="22"/>
        </w:rPr>
      </w:pPr>
    </w:p>
    <w:p w14:paraId="787214F1" w14:textId="77777777" w:rsidR="002653E8" w:rsidRDefault="002653E8">
      <w:pPr>
        <w:pStyle w:val="a3"/>
        <w:rPr>
          <w:sz w:val="22"/>
        </w:rPr>
      </w:pPr>
    </w:p>
    <w:p w14:paraId="4B9A5251" w14:textId="77777777" w:rsidR="002653E8" w:rsidRDefault="002653E8">
      <w:pPr>
        <w:pStyle w:val="a3"/>
        <w:spacing w:before="6"/>
        <w:rPr>
          <w:sz w:val="23"/>
        </w:rPr>
      </w:pPr>
    </w:p>
    <w:p w14:paraId="7A54D57F" w14:textId="77777777" w:rsidR="002653E8" w:rsidRDefault="003115E3">
      <w:pPr>
        <w:pStyle w:val="a3"/>
        <w:spacing w:line="261" w:lineRule="auto"/>
        <w:ind w:left="4223" w:right="1145" w:hanging="843"/>
      </w:pPr>
      <w:r>
        <w:rPr>
          <w:color w:val="231F20"/>
          <w:w w:val="115"/>
        </w:rPr>
        <w:t>THE STONES yOU HAVE THROWN AT US WILL FALL AT yOUR OWN FEET.</w:t>
      </w:r>
    </w:p>
    <w:p w14:paraId="238F74CE" w14:textId="77777777" w:rsidR="002653E8" w:rsidRDefault="002653E8">
      <w:pPr>
        <w:pStyle w:val="a3"/>
        <w:rPr>
          <w:sz w:val="22"/>
        </w:rPr>
      </w:pPr>
    </w:p>
    <w:p w14:paraId="5180CC7D" w14:textId="77777777" w:rsidR="002653E8" w:rsidRDefault="002653E8">
      <w:pPr>
        <w:pStyle w:val="a3"/>
        <w:rPr>
          <w:sz w:val="23"/>
        </w:rPr>
      </w:pPr>
    </w:p>
    <w:p w14:paraId="5531C674" w14:textId="77777777" w:rsidR="002653E8" w:rsidRDefault="003115E3">
      <w:pPr>
        <w:pStyle w:val="a3"/>
        <w:spacing w:line="264" w:lineRule="auto"/>
        <w:ind w:left="1327" w:right="1146"/>
        <w:jc w:val="both"/>
      </w:pPr>
      <w:r>
        <w:rPr>
          <w:color w:val="231F20"/>
        </w:rPr>
        <w:t xml:space="preserve">The Black September action in Munich has simultaneously clarified  both the nature of the imperialist ruling class and of the anti-imperialist struggle, in a </w:t>
      </w:r>
      <w:r>
        <w:rPr>
          <w:color w:val="231F20"/>
          <w:spacing w:val="-2"/>
        </w:rPr>
        <w:t xml:space="preserve">way  </w:t>
      </w:r>
      <w:r>
        <w:rPr>
          <w:color w:val="231F20"/>
        </w:rPr>
        <w:t xml:space="preserve">that no revolutionary action in </w:t>
      </w:r>
      <w:r>
        <w:rPr>
          <w:color w:val="231F20"/>
          <w:spacing w:val="-3"/>
        </w:rPr>
        <w:t xml:space="preserve">West  </w:t>
      </w:r>
      <w:r>
        <w:rPr>
          <w:color w:val="231F20"/>
        </w:rPr>
        <w:t xml:space="preserve">Germany  or </w:t>
      </w:r>
      <w:r>
        <w:rPr>
          <w:color w:val="231F20"/>
          <w:spacing w:val="-3"/>
        </w:rPr>
        <w:t xml:space="preserve">West </w:t>
      </w:r>
      <w:r>
        <w:rPr>
          <w:color w:val="231F20"/>
        </w:rPr>
        <w:t xml:space="preserve">Berlin has. It was simultaneously anti-imperialist, antifascist, and internationalist. It indicated an understanding of historical and political connections, that are  always  the  province  of  the  people—that is to </w:t>
      </w:r>
      <w:r>
        <w:rPr>
          <w:color w:val="231F20"/>
          <w:spacing w:val="-4"/>
        </w:rPr>
        <w:t xml:space="preserve">say, </w:t>
      </w:r>
      <w:r>
        <w:rPr>
          <w:color w:val="231F20"/>
        </w:rPr>
        <w:t>those from whom profit is sucked, those who are free from complicity with the system, those who have no reason to believe the illusions fostered by their oppressors, no reason to accept the fantasy their oppressors pass off as history, no reason to pay the slightest attention to their version of reality. It revealed the rage and the strength that these</w:t>
      </w:r>
      <w:r>
        <w:rPr>
          <w:color w:val="231F20"/>
          <w:spacing w:val="10"/>
        </w:rPr>
        <w:t xml:space="preserve"> </w:t>
      </w:r>
      <w:r>
        <w:rPr>
          <w:color w:val="231F20"/>
        </w:rPr>
        <w:t>revolutionaries</w:t>
      </w:r>
      <w:r>
        <w:rPr>
          <w:color w:val="231F20"/>
          <w:spacing w:val="10"/>
        </w:rPr>
        <w:t xml:space="preserve"> </w:t>
      </w:r>
      <w:r>
        <w:rPr>
          <w:color w:val="231F20"/>
        </w:rPr>
        <w:t>get</w:t>
      </w:r>
      <w:r>
        <w:rPr>
          <w:color w:val="231F20"/>
          <w:spacing w:val="10"/>
        </w:rPr>
        <w:t xml:space="preserve"> </w:t>
      </w:r>
      <w:r>
        <w:rPr>
          <w:color w:val="231F20"/>
        </w:rPr>
        <w:t>from</w:t>
      </w:r>
      <w:r>
        <w:rPr>
          <w:color w:val="231F20"/>
          <w:spacing w:val="10"/>
        </w:rPr>
        <w:t xml:space="preserve"> </w:t>
      </w:r>
      <w:r>
        <w:rPr>
          <w:color w:val="231F20"/>
        </w:rPr>
        <w:t>their</w:t>
      </w:r>
      <w:r>
        <w:rPr>
          <w:color w:val="231F20"/>
          <w:spacing w:val="10"/>
        </w:rPr>
        <w:t xml:space="preserve"> </w:t>
      </w:r>
      <w:r>
        <w:rPr>
          <w:color w:val="231F20"/>
        </w:rPr>
        <w:t>close</w:t>
      </w:r>
      <w:r>
        <w:rPr>
          <w:color w:val="231F20"/>
          <w:spacing w:val="10"/>
        </w:rPr>
        <w:t xml:space="preserve"> </w:t>
      </w:r>
      <w:r>
        <w:rPr>
          <w:color w:val="231F20"/>
        </w:rPr>
        <w:t>connection</w:t>
      </w:r>
      <w:r>
        <w:rPr>
          <w:color w:val="231F20"/>
          <w:spacing w:val="10"/>
        </w:rPr>
        <w:t xml:space="preserve"> </w:t>
      </w:r>
      <w:r>
        <w:rPr>
          <w:color w:val="231F20"/>
        </w:rPr>
        <w:t>to</w:t>
      </w:r>
      <w:r>
        <w:rPr>
          <w:color w:val="231F20"/>
          <w:spacing w:val="10"/>
        </w:rPr>
        <w:t xml:space="preserve"> </w:t>
      </w:r>
      <w:r>
        <w:rPr>
          <w:color w:val="231F20"/>
        </w:rPr>
        <w:t>the</w:t>
      </w:r>
      <w:r>
        <w:rPr>
          <w:color w:val="231F20"/>
          <w:spacing w:val="10"/>
        </w:rPr>
        <w:t xml:space="preserve"> </w:t>
      </w:r>
      <w:r>
        <w:rPr>
          <w:color w:val="231F20"/>
        </w:rPr>
        <w:t>Palestinian</w:t>
      </w:r>
    </w:p>
    <w:p w14:paraId="71973152" w14:textId="77777777" w:rsidR="002653E8" w:rsidRDefault="00000000">
      <w:pPr>
        <w:pStyle w:val="a3"/>
        <w:spacing w:before="5"/>
        <w:rPr>
          <w:sz w:val="14"/>
        </w:rPr>
      </w:pPr>
      <w:r>
        <w:rPr>
          <w:noProof w:val="0"/>
        </w:rPr>
        <w:pict w14:anchorId="61E0A50D">
          <v:line id="_x0000_s2469" style="position:absolute;z-index:5440;mso-wrap-distance-left:0;mso-wrap-distance-right:0;mso-position-horizontal-relative:page" from="66.4pt,10.7pt" to="138.4pt,10.7pt" strokecolor="#231f20" strokeweight=".5pt">
            <w10:wrap type="topAndBottom" anchorx="page"/>
          </v:line>
        </w:pict>
      </w:r>
    </w:p>
    <w:p w14:paraId="504C072E" w14:textId="77777777" w:rsidR="002653E8" w:rsidRDefault="003115E3">
      <w:pPr>
        <w:spacing w:before="53"/>
        <w:ind w:left="1327"/>
        <w:rPr>
          <w:i/>
          <w:sz w:val="16"/>
        </w:rPr>
      </w:pPr>
      <w:r>
        <w:rPr>
          <w:color w:val="231F20"/>
          <w:w w:val="110"/>
          <w:sz w:val="16"/>
        </w:rPr>
        <w:t xml:space="preserve">1 A quote from Karl Marx’s </w:t>
      </w:r>
      <w:r>
        <w:rPr>
          <w:i/>
          <w:color w:val="231F20"/>
          <w:w w:val="110"/>
          <w:sz w:val="16"/>
        </w:rPr>
        <w:t>The Eighteenth Brumaire of Napoleon Bonaparte.</w:t>
      </w:r>
    </w:p>
    <w:p w14:paraId="0FBC5B3C" w14:textId="77777777" w:rsidR="002653E8" w:rsidRDefault="002653E8">
      <w:pPr>
        <w:rPr>
          <w:sz w:val="16"/>
        </w:rPr>
        <w:sectPr w:rsidR="002653E8">
          <w:footerReference w:type="even" r:id="rId178"/>
          <w:footerReference w:type="default" r:id="rId179"/>
          <w:pgSz w:w="8640" w:h="12960"/>
          <w:pgMar w:top="1220" w:right="0" w:bottom="1040" w:left="0" w:header="0" w:footer="850" w:gutter="0"/>
          <w:pgNumType w:start="205"/>
          <w:cols w:space="720"/>
        </w:sectPr>
      </w:pPr>
    </w:p>
    <w:p w14:paraId="4804D960" w14:textId="77777777" w:rsidR="002653E8" w:rsidRDefault="003115E3">
      <w:pPr>
        <w:pStyle w:val="a3"/>
        <w:spacing w:before="86" w:line="264" w:lineRule="auto"/>
        <w:ind w:left="1147" w:right="1326"/>
        <w:jc w:val="both"/>
      </w:pPr>
      <w:r>
        <w:rPr>
          <w:color w:val="231F20"/>
        </w:rPr>
        <w:lastRenderedPageBreak/>
        <w:t>people, a connection resulting in a class consciousness that makes their historical mission to act as a vanguard perfectly clear. Their humanity   is firmly based in their knowledge that they must resist this ruling class, a class which as the historical endpoint of this system of class rule is also the most cunning and the most bloodthirsty that has ever existed.  It is based in the knowledge that they must resist this system’s character and its tendency towards total imperialist fascism—a form which has many fine representatives: Nixon and Brandt, Moshe Dayan and Genscher, Golda Meir and</w:t>
      </w:r>
      <w:r>
        <w:rPr>
          <w:color w:val="231F20"/>
          <w:spacing w:val="12"/>
        </w:rPr>
        <w:t xml:space="preserve"> </w:t>
      </w:r>
      <w:r>
        <w:rPr>
          <w:color w:val="231F20"/>
        </w:rPr>
        <w:t>McGovern.</w:t>
      </w:r>
    </w:p>
    <w:p w14:paraId="7D1403C6" w14:textId="77777777" w:rsidR="002653E8" w:rsidRDefault="003115E3">
      <w:pPr>
        <w:pStyle w:val="a3"/>
        <w:spacing w:line="264" w:lineRule="auto"/>
        <w:ind w:left="1147" w:right="1326" w:firstLine="210"/>
        <w:jc w:val="both"/>
      </w:pPr>
      <w:r>
        <w:rPr>
          <w:color w:val="231F20"/>
        </w:rPr>
        <w:t xml:space="preserve">The </w:t>
      </w:r>
      <w:r>
        <w:rPr>
          <w:color w:val="231F20"/>
          <w:spacing w:val="-3"/>
        </w:rPr>
        <w:t xml:space="preserve">West </w:t>
      </w:r>
      <w:r>
        <w:rPr>
          <w:color w:val="231F20"/>
        </w:rPr>
        <w:t>German left can reclaim their political identity—antifascism—antiauthoritarianism—anti-imperialist   action—if   they   cease to embrace the Springer Press and opportunism, if they begin to once again address Auschwitz, Vietnam, and the systemic indifference of the masses</w:t>
      </w:r>
      <w:r>
        <w:rPr>
          <w:color w:val="231F20"/>
          <w:spacing w:val="10"/>
        </w:rPr>
        <w:t xml:space="preserve"> </w:t>
      </w:r>
      <w:r>
        <w:rPr>
          <w:color w:val="231F20"/>
        </w:rPr>
        <w:t>here.</w:t>
      </w:r>
    </w:p>
    <w:p w14:paraId="03E1C336" w14:textId="77777777" w:rsidR="002653E8" w:rsidRDefault="002653E8">
      <w:pPr>
        <w:pStyle w:val="a3"/>
        <w:spacing w:before="7"/>
      </w:pPr>
    </w:p>
    <w:p w14:paraId="070AA0E6" w14:textId="77777777" w:rsidR="002653E8" w:rsidRDefault="003115E3">
      <w:pPr>
        <w:pStyle w:val="a3"/>
        <w:spacing w:before="1" w:line="264" w:lineRule="auto"/>
        <w:ind w:left="1147" w:right="1580"/>
      </w:pPr>
      <w:r>
        <w:rPr>
          <w:color w:val="231F20"/>
          <w:w w:val="115"/>
        </w:rPr>
        <w:t>BLACK SEPTEMBER’S STRATEGy IS THE REVOLUTIONARy STRATEGy FOR ANTI-IMPERIALIST STRUGGLE, BOTH IN THE THIRD WORLD AND IN THE METROPOLE, GIVEN THE IMPERIALIST CONDITIONS CREATED By MULTINATIONAL CORPORATIONS.</w:t>
      </w:r>
    </w:p>
    <w:p w14:paraId="3DCB4676" w14:textId="77777777" w:rsidR="002653E8" w:rsidRDefault="002653E8">
      <w:pPr>
        <w:pStyle w:val="a3"/>
        <w:rPr>
          <w:sz w:val="22"/>
        </w:rPr>
      </w:pPr>
    </w:p>
    <w:p w14:paraId="3A5AEB78" w14:textId="77777777" w:rsidR="002653E8" w:rsidRDefault="002653E8">
      <w:pPr>
        <w:pStyle w:val="a3"/>
        <w:spacing w:before="6"/>
        <w:rPr>
          <w:sz w:val="19"/>
        </w:rPr>
      </w:pPr>
    </w:p>
    <w:p w14:paraId="4D0822D3" w14:textId="77777777" w:rsidR="002653E8" w:rsidRDefault="003115E3">
      <w:pPr>
        <w:numPr>
          <w:ilvl w:val="0"/>
          <w:numId w:val="128"/>
        </w:numPr>
        <w:tabs>
          <w:tab w:val="left" w:pos="1471"/>
        </w:tabs>
        <w:jc w:val="left"/>
      </w:pPr>
      <w:r>
        <w:rPr>
          <w:color w:val="231F20"/>
          <w:spacing w:val="20"/>
          <w:w w:val="115"/>
        </w:rPr>
        <w:t>imperialism</w:t>
      </w:r>
    </w:p>
    <w:p w14:paraId="4C2CD663" w14:textId="77777777" w:rsidR="002653E8" w:rsidRDefault="003115E3">
      <w:pPr>
        <w:spacing w:before="17"/>
        <w:ind w:left="1147"/>
        <w:rPr>
          <w:i/>
          <w:sz w:val="20"/>
        </w:rPr>
      </w:pPr>
      <w:r>
        <w:rPr>
          <w:i/>
          <w:color w:val="231F20"/>
          <w:w w:val="105"/>
          <w:sz w:val="20"/>
        </w:rPr>
        <w:t>Anti Imperialist Struggle</w:t>
      </w:r>
    </w:p>
    <w:p w14:paraId="6F2976B8" w14:textId="77777777" w:rsidR="002653E8" w:rsidRDefault="003115E3">
      <w:pPr>
        <w:pStyle w:val="a3"/>
        <w:spacing w:before="21"/>
        <w:ind w:left="1147"/>
      </w:pPr>
      <w:r>
        <w:rPr>
          <w:color w:val="231F20"/>
          <w:u w:val="single" w:color="231F20"/>
        </w:rPr>
        <w:t>The action was anti-imperialist.</w:t>
      </w:r>
    </w:p>
    <w:p w14:paraId="24BC5A1F" w14:textId="77777777" w:rsidR="002653E8" w:rsidRDefault="003115E3">
      <w:pPr>
        <w:pStyle w:val="a3"/>
        <w:spacing w:before="27" w:line="264" w:lineRule="auto"/>
        <w:ind w:left="1147" w:right="1321"/>
        <w:jc w:val="both"/>
      </w:pPr>
      <w:r>
        <w:rPr>
          <w:color w:val="231F20"/>
        </w:rPr>
        <w:t xml:space="preserve">The comrades from Black September, who had their own Black September in </w:t>
      </w:r>
      <w:r>
        <w:rPr>
          <w:color w:val="231F20"/>
          <w:spacing w:val="-4"/>
        </w:rPr>
        <w:t xml:space="preserve">1970 </w:t>
      </w:r>
      <w:r>
        <w:rPr>
          <w:color w:val="231F20"/>
        </w:rPr>
        <w:t xml:space="preserve">when the Jordanian army massacred </w:t>
      </w:r>
      <w:r>
        <w:rPr>
          <w:color w:val="231F20"/>
          <w:spacing w:val="1"/>
        </w:rPr>
        <w:t xml:space="preserve">20,000 </w:t>
      </w:r>
      <w:r>
        <w:rPr>
          <w:color w:val="231F20"/>
        </w:rPr>
        <w:t>Palestinians,</w:t>
      </w:r>
      <w:r>
        <w:rPr>
          <w:color w:val="231F20"/>
          <w:position w:val="7"/>
          <w:sz w:val="11"/>
        </w:rPr>
        <w:t xml:space="preserve">1 </w:t>
      </w:r>
      <w:r>
        <w:rPr>
          <w:color w:val="231F20"/>
        </w:rPr>
        <w:t xml:space="preserve">went back to the place that is the origin of this massacre: </w:t>
      </w:r>
      <w:r>
        <w:rPr>
          <w:color w:val="231F20"/>
          <w:spacing w:val="-3"/>
        </w:rPr>
        <w:t xml:space="preserve">West </w:t>
      </w:r>
      <w:r>
        <w:rPr>
          <w:color w:val="231F20"/>
        </w:rPr>
        <w:t xml:space="preserve">Germany—formerly Nazi Germany—now at the centre of imperialism. Back to the site of the power that forced the Jews of both </w:t>
      </w:r>
      <w:r>
        <w:rPr>
          <w:color w:val="231F20"/>
          <w:spacing w:val="-3"/>
        </w:rPr>
        <w:t xml:space="preserve">West </w:t>
      </w:r>
      <w:r>
        <w:rPr>
          <w:color w:val="231F20"/>
        </w:rPr>
        <w:t xml:space="preserve">and East Europe to emigrate to Israel. Back to those who had hoped      to profit from the theft of Palestinian land. Back to where Israel got its reparation payments and, until </w:t>
      </w:r>
      <w:r>
        <w:rPr>
          <w:color w:val="231F20"/>
          <w:spacing w:val="-6"/>
        </w:rPr>
        <w:t xml:space="preserve">1965, </w:t>
      </w:r>
      <w:r>
        <w:rPr>
          <w:color w:val="231F20"/>
        </w:rPr>
        <w:t>officially, its weapons. Back</w:t>
      </w:r>
      <w:r>
        <w:rPr>
          <w:color w:val="231F20"/>
          <w:spacing w:val="20"/>
        </w:rPr>
        <w:t xml:space="preserve"> </w:t>
      </w:r>
      <w:r>
        <w:rPr>
          <w:color w:val="231F20"/>
        </w:rPr>
        <w:t>to</w:t>
      </w:r>
    </w:p>
    <w:p w14:paraId="68DA12AD" w14:textId="77777777" w:rsidR="002653E8" w:rsidRDefault="00000000">
      <w:pPr>
        <w:pStyle w:val="a3"/>
        <w:spacing w:before="4"/>
        <w:rPr>
          <w:sz w:val="22"/>
        </w:rPr>
      </w:pPr>
      <w:r>
        <w:rPr>
          <w:noProof w:val="0"/>
        </w:rPr>
        <w:pict w14:anchorId="0228C595">
          <v:line id="_x0000_s2468" style="position:absolute;z-index:5464;mso-wrap-distance-left:0;mso-wrap-distance-right:0;mso-position-horizontal-relative:page" from="57.4pt,15.35pt" to="129.4pt,15.35pt" strokecolor="#231f20" strokeweight=".5pt">
            <w10:wrap type="topAndBottom" anchorx="page"/>
          </v:line>
        </w:pict>
      </w:r>
    </w:p>
    <w:p w14:paraId="110B78A0" w14:textId="77777777" w:rsidR="002653E8" w:rsidRDefault="003115E3">
      <w:pPr>
        <w:spacing w:before="53" w:line="254" w:lineRule="auto"/>
        <w:ind w:left="1148" w:right="1848" w:hanging="1"/>
        <w:rPr>
          <w:sz w:val="16"/>
        </w:rPr>
      </w:pPr>
      <w:r>
        <w:rPr>
          <w:color w:val="231F20"/>
          <w:w w:val="105"/>
          <w:sz w:val="16"/>
        </w:rPr>
        <w:t>1 In the wake of the 1967 Six Day War, hundreds of thousands of Palestinians had fled to Jordan, where they lived in ramshackle refugee camps. On</w:t>
      </w:r>
    </w:p>
    <w:p w14:paraId="001F5CAF" w14:textId="77777777" w:rsidR="002653E8" w:rsidRDefault="003115E3">
      <w:pPr>
        <w:spacing w:before="1" w:line="254" w:lineRule="auto"/>
        <w:ind w:left="1147" w:right="1513"/>
        <w:rPr>
          <w:sz w:val="16"/>
        </w:rPr>
      </w:pPr>
      <w:r>
        <w:rPr>
          <w:color w:val="231F20"/>
          <w:w w:val="105"/>
          <w:sz w:val="16"/>
        </w:rPr>
        <w:t>September 16, 1970, alarmed at the growing power of Palestinian revolutionaries, King Hussein declared martial law, and the Jordanian armed forces attacked suspected militant strongholds: according to most sources, between four and ten thousand Palestinians, including many non-combatants, were slaughtered. This is the source of the group’s name.</w:t>
      </w:r>
    </w:p>
    <w:p w14:paraId="4E334EC9" w14:textId="77777777" w:rsidR="002653E8" w:rsidRDefault="002653E8">
      <w:pPr>
        <w:spacing w:line="254" w:lineRule="auto"/>
        <w:rPr>
          <w:sz w:val="16"/>
        </w:rPr>
        <w:sectPr w:rsidR="002653E8">
          <w:pgSz w:w="8640" w:h="12960"/>
          <w:pgMar w:top="1060" w:right="0" w:bottom="1040" w:left="0" w:header="0" w:footer="850" w:gutter="0"/>
          <w:cols w:space="720"/>
        </w:sectPr>
      </w:pPr>
    </w:p>
    <w:p w14:paraId="21624B1E" w14:textId="77777777" w:rsidR="002653E8" w:rsidRDefault="003115E3">
      <w:pPr>
        <w:pStyle w:val="a3"/>
        <w:spacing w:before="86" w:line="264" w:lineRule="auto"/>
        <w:ind w:left="1327" w:right="1145"/>
        <w:jc w:val="both"/>
      </w:pPr>
      <w:r>
        <w:rPr>
          <w:color w:val="231F20"/>
        </w:rPr>
        <w:lastRenderedPageBreak/>
        <w:t xml:space="preserve">where the Springer Corporation celebrated Israel’s </w:t>
      </w:r>
      <w:r>
        <w:rPr>
          <w:color w:val="231F20"/>
          <w:spacing w:val="-4"/>
        </w:rPr>
        <w:t xml:space="preserve">1967 </w:t>
      </w:r>
      <w:r>
        <w:rPr>
          <w:color w:val="231F20"/>
        </w:rPr>
        <w:t xml:space="preserve">Blitzkrieg in  an anticommunist orgy. Back to the supplier who provided Hussein’s army with panzers, assault rifles,  machine-pistols,  and  munitions.  Back to where everything possible was done—using development aid, oil deals, investments, weapons, and diplomatic relationships—to pit Arab regimes against each other, and to </w:t>
      </w:r>
      <w:r>
        <w:rPr>
          <w:color w:val="231F20"/>
          <w:spacing w:val="1"/>
        </w:rPr>
        <w:t xml:space="preserve">turn </w:t>
      </w:r>
      <w:r>
        <w:rPr>
          <w:color w:val="231F20"/>
        </w:rPr>
        <w:t xml:space="preserve">all of them against the Palestinian liberation movement. Back to the place from which imperialism launches its bombers when other means of repressing the Arab liberation movement fail: </w:t>
      </w:r>
      <w:r>
        <w:rPr>
          <w:color w:val="231F20"/>
          <w:spacing w:val="-3"/>
        </w:rPr>
        <w:t xml:space="preserve">West  </w:t>
      </w:r>
      <w:r>
        <w:rPr>
          <w:color w:val="231F20"/>
        </w:rPr>
        <w:t xml:space="preserve">Germany—Munich—the  </w:t>
      </w:r>
      <w:r>
        <w:rPr>
          <w:color w:val="231F20"/>
          <w:spacing w:val="-3"/>
        </w:rPr>
        <w:t xml:space="preserve">NATO  </w:t>
      </w:r>
      <w:r>
        <w:rPr>
          <w:color w:val="231F20"/>
        </w:rPr>
        <w:t>airport at</w:t>
      </w:r>
      <w:r>
        <w:rPr>
          <w:color w:val="231F20"/>
          <w:spacing w:val="21"/>
        </w:rPr>
        <w:t xml:space="preserve"> </w:t>
      </w:r>
      <w:r>
        <w:rPr>
          <w:color w:val="231F20"/>
        </w:rPr>
        <w:t>Fürstenfeldbruck.</w:t>
      </w:r>
    </w:p>
    <w:p w14:paraId="52E87472" w14:textId="77777777" w:rsidR="002653E8" w:rsidRDefault="002653E8">
      <w:pPr>
        <w:pStyle w:val="a3"/>
        <w:spacing w:before="10"/>
      </w:pPr>
    </w:p>
    <w:p w14:paraId="3AC81C3F" w14:textId="77777777" w:rsidR="002653E8" w:rsidRDefault="003115E3">
      <w:pPr>
        <w:pStyle w:val="a3"/>
        <w:ind w:left="1328"/>
      </w:pPr>
      <w:r>
        <w:rPr>
          <w:color w:val="231F20"/>
          <w:u w:val="single" w:color="231F20"/>
        </w:rPr>
        <w:t>Vietnam</w:t>
      </w:r>
    </w:p>
    <w:p w14:paraId="29F066C5" w14:textId="77777777" w:rsidR="002653E8" w:rsidRDefault="003115E3">
      <w:pPr>
        <w:pStyle w:val="a3"/>
        <w:spacing w:before="24" w:line="264" w:lineRule="auto"/>
        <w:ind w:left="1328" w:right="1145"/>
        <w:jc w:val="both"/>
      </w:pPr>
      <w:r>
        <w:rPr>
          <w:color w:val="231F20"/>
        </w:rPr>
        <w:t xml:space="preserve">Do people think Vietnam is a joke? Guatemala, Santo Domingo, Indonesia, Angola are all just jokes? Vietnam is an atrocious example  for the people of the Third </w:t>
      </w:r>
      <w:r>
        <w:rPr>
          <w:color w:val="231F20"/>
          <w:spacing w:val="-3"/>
        </w:rPr>
        <w:t xml:space="preserve">World, </w:t>
      </w:r>
      <w:r>
        <w:rPr>
          <w:color w:val="231F20"/>
        </w:rPr>
        <w:t xml:space="preserve">an example of how determined imperialism is to commit genocide against them if nothing else achieves the desired results—if they </w:t>
      </w:r>
      <w:r>
        <w:rPr>
          <w:color w:val="231F20"/>
          <w:spacing w:val="-3"/>
        </w:rPr>
        <w:t xml:space="preserve">don’t </w:t>
      </w:r>
      <w:r>
        <w:rPr>
          <w:color w:val="231F20"/>
        </w:rPr>
        <w:t>agree to being markets, military bases, sources of raw materials and cheap</w:t>
      </w:r>
      <w:r>
        <w:rPr>
          <w:color w:val="231F20"/>
          <w:spacing w:val="20"/>
        </w:rPr>
        <w:t xml:space="preserve"> </w:t>
      </w:r>
      <w:r>
        <w:rPr>
          <w:color w:val="231F20"/>
        </w:rPr>
        <w:t>labor.</w:t>
      </w:r>
    </w:p>
    <w:p w14:paraId="06A34ACB" w14:textId="77777777" w:rsidR="002653E8" w:rsidRDefault="003115E3">
      <w:pPr>
        <w:pStyle w:val="a3"/>
        <w:spacing w:line="264" w:lineRule="auto"/>
        <w:ind w:left="1327" w:right="1145" w:firstLine="210"/>
        <w:jc w:val="both"/>
      </w:pPr>
      <w:r>
        <w:rPr>
          <w:color w:val="231F20"/>
        </w:rPr>
        <w:t xml:space="preserve">And the opportunistic left in the metropole behaves idiotically—being the labor aristocracy of imperialism (Lenin) who benefit from this theft, they sit on their arses. They only take to the streets if something affects them, if the war escalates, if some of them are shot—like during Easter </w:t>
      </w:r>
      <w:r>
        <w:rPr>
          <w:color w:val="231F20"/>
          <w:spacing w:val="-4"/>
        </w:rPr>
        <w:t xml:space="preserve">1968 </w:t>
      </w:r>
      <w:r>
        <w:rPr>
          <w:color w:val="231F20"/>
        </w:rPr>
        <w:t xml:space="preserve">in Berlin or May </w:t>
      </w:r>
      <w:r>
        <w:rPr>
          <w:color w:val="231F20"/>
          <w:spacing w:val="-4"/>
        </w:rPr>
        <w:t xml:space="preserve">1970 </w:t>
      </w:r>
      <w:r>
        <w:rPr>
          <w:color w:val="231F20"/>
        </w:rPr>
        <w:t>at Kent State.</w:t>
      </w:r>
      <w:r>
        <w:rPr>
          <w:color w:val="231F20"/>
          <w:position w:val="7"/>
          <w:sz w:val="11"/>
        </w:rPr>
        <w:t xml:space="preserve">2 </w:t>
      </w:r>
      <w:r>
        <w:rPr>
          <w:color w:val="231F20"/>
          <w:spacing w:val="1"/>
        </w:rPr>
        <w:t xml:space="preserve">If </w:t>
      </w:r>
      <w:r>
        <w:rPr>
          <w:color w:val="231F20"/>
        </w:rPr>
        <w:t xml:space="preserve">the system does something against them like what is always being done in the Third </w:t>
      </w:r>
      <w:r>
        <w:rPr>
          <w:color w:val="231F20"/>
          <w:spacing w:val="-3"/>
        </w:rPr>
        <w:t xml:space="preserve">World, </w:t>
      </w:r>
      <w:r>
        <w:rPr>
          <w:color w:val="231F20"/>
        </w:rPr>
        <w:t>all of a sudden they get upset, they run to the police, they chase after that rat-catcher McGovern, they run for a post on the labor council</w:t>
      </w:r>
      <w:r>
        <w:rPr>
          <w:color w:val="231F20"/>
          <w:spacing w:val="10"/>
        </w:rPr>
        <w:t xml:space="preserve"> </w:t>
      </w:r>
      <w:r>
        <w:rPr>
          <w:color w:val="231F20"/>
        </w:rPr>
        <w:t>and</w:t>
      </w:r>
      <w:r>
        <w:rPr>
          <w:color w:val="231F20"/>
          <w:spacing w:val="10"/>
        </w:rPr>
        <w:t xml:space="preserve"> </w:t>
      </w:r>
      <w:r>
        <w:rPr>
          <w:color w:val="231F20"/>
        </w:rPr>
        <w:t>they</w:t>
      </w:r>
      <w:r>
        <w:rPr>
          <w:color w:val="231F20"/>
          <w:spacing w:val="10"/>
        </w:rPr>
        <w:t xml:space="preserve"> </w:t>
      </w:r>
      <w:r>
        <w:rPr>
          <w:color w:val="231F20"/>
        </w:rPr>
        <w:t>write</w:t>
      </w:r>
      <w:r>
        <w:rPr>
          <w:color w:val="231F20"/>
          <w:spacing w:val="10"/>
        </w:rPr>
        <w:t xml:space="preserve"> </w:t>
      </w:r>
      <w:r>
        <w:rPr>
          <w:color w:val="231F20"/>
        </w:rPr>
        <w:t>a</w:t>
      </w:r>
      <w:r>
        <w:rPr>
          <w:color w:val="231F20"/>
          <w:spacing w:val="10"/>
        </w:rPr>
        <w:t xml:space="preserve"> </w:t>
      </w:r>
      <w:r>
        <w:rPr>
          <w:color w:val="231F20"/>
        </w:rPr>
        <w:t>bunch</w:t>
      </w:r>
      <w:r>
        <w:rPr>
          <w:color w:val="231F20"/>
          <w:spacing w:val="10"/>
        </w:rPr>
        <w:t xml:space="preserve"> </w:t>
      </w:r>
      <w:r>
        <w:rPr>
          <w:color w:val="231F20"/>
        </w:rPr>
        <w:t>of</w:t>
      </w:r>
      <w:r>
        <w:rPr>
          <w:color w:val="231F20"/>
          <w:spacing w:val="10"/>
        </w:rPr>
        <w:t xml:space="preserve"> </w:t>
      </w:r>
      <w:r>
        <w:rPr>
          <w:color w:val="231F20"/>
        </w:rPr>
        <w:t>poems</w:t>
      </w:r>
      <w:r>
        <w:rPr>
          <w:color w:val="231F20"/>
          <w:spacing w:val="10"/>
        </w:rPr>
        <w:t xml:space="preserve"> </w:t>
      </w:r>
      <w:r>
        <w:rPr>
          <w:color w:val="231F20"/>
        </w:rPr>
        <w:t>against</w:t>
      </w:r>
      <w:r>
        <w:rPr>
          <w:color w:val="231F20"/>
          <w:spacing w:val="10"/>
        </w:rPr>
        <w:t xml:space="preserve"> </w:t>
      </w:r>
      <w:r>
        <w:rPr>
          <w:color w:val="231F20"/>
        </w:rPr>
        <w:t>the</w:t>
      </w:r>
      <w:r>
        <w:rPr>
          <w:color w:val="231F20"/>
          <w:spacing w:val="10"/>
        </w:rPr>
        <w:t xml:space="preserve"> </w:t>
      </w:r>
      <w:r>
        <w:rPr>
          <w:color w:val="231F20"/>
        </w:rPr>
        <w:t>war.</w:t>
      </w:r>
    </w:p>
    <w:p w14:paraId="4178FC34" w14:textId="77777777" w:rsidR="002653E8" w:rsidRDefault="002653E8">
      <w:pPr>
        <w:pStyle w:val="a3"/>
        <w:spacing w:before="4"/>
      </w:pPr>
    </w:p>
    <w:p w14:paraId="5970220B" w14:textId="77777777" w:rsidR="002653E8" w:rsidRDefault="003115E3">
      <w:pPr>
        <w:pStyle w:val="a3"/>
        <w:spacing w:before="1"/>
        <w:ind w:left="1327"/>
      </w:pPr>
      <w:r>
        <w:rPr>
          <w:color w:val="231F20"/>
          <w:u w:val="single" w:color="231F20"/>
        </w:rPr>
        <w:t>The Imperialist Centre</w:t>
      </w:r>
    </w:p>
    <w:p w14:paraId="3DD6E0F4" w14:textId="77777777" w:rsidR="002653E8" w:rsidRDefault="003115E3">
      <w:pPr>
        <w:pStyle w:val="a3"/>
        <w:spacing w:before="24" w:line="264" w:lineRule="auto"/>
        <w:ind w:left="1327" w:right="1146"/>
        <w:jc w:val="both"/>
      </w:pPr>
      <w:r>
        <w:rPr>
          <w:color w:val="231F20"/>
          <w:w w:val="105"/>
        </w:rPr>
        <w:t>Black</w:t>
      </w:r>
      <w:r>
        <w:rPr>
          <w:color w:val="231F20"/>
          <w:spacing w:val="-16"/>
          <w:w w:val="105"/>
        </w:rPr>
        <w:t xml:space="preserve"> </w:t>
      </w:r>
      <w:r>
        <w:rPr>
          <w:color w:val="231F20"/>
          <w:w w:val="105"/>
        </w:rPr>
        <w:t>September</w:t>
      </w:r>
      <w:r>
        <w:rPr>
          <w:color w:val="231F20"/>
          <w:spacing w:val="-16"/>
          <w:w w:val="105"/>
        </w:rPr>
        <w:t xml:space="preserve"> </w:t>
      </w:r>
      <w:r>
        <w:rPr>
          <w:color w:val="231F20"/>
          <w:w w:val="105"/>
        </w:rPr>
        <w:t>has</w:t>
      </w:r>
      <w:r>
        <w:rPr>
          <w:color w:val="231F20"/>
          <w:spacing w:val="-16"/>
          <w:w w:val="105"/>
        </w:rPr>
        <w:t xml:space="preserve"> </w:t>
      </w:r>
      <w:r>
        <w:rPr>
          <w:color w:val="231F20"/>
          <w:w w:val="105"/>
        </w:rPr>
        <w:t>brought</w:t>
      </w:r>
      <w:r>
        <w:rPr>
          <w:color w:val="231F20"/>
          <w:spacing w:val="-16"/>
          <w:w w:val="105"/>
        </w:rPr>
        <w:t xml:space="preserve"> </w:t>
      </w:r>
      <w:r>
        <w:rPr>
          <w:color w:val="231F20"/>
          <w:w w:val="105"/>
        </w:rPr>
        <w:t>its</w:t>
      </w:r>
      <w:r>
        <w:rPr>
          <w:color w:val="231F20"/>
          <w:spacing w:val="-16"/>
          <w:w w:val="105"/>
        </w:rPr>
        <w:t xml:space="preserve"> </w:t>
      </w:r>
      <w:r>
        <w:rPr>
          <w:color w:val="231F20"/>
          <w:w w:val="105"/>
        </w:rPr>
        <w:t>war</w:t>
      </w:r>
      <w:r>
        <w:rPr>
          <w:color w:val="231F20"/>
          <w:spacing w:val="-16"/>
          <w:w w:val="105"/>
        </w:rPr>
        <w:t xml:space="preserve"> </w:t>
      </w:r>
      <w:r>
        <w:rPr>
          <w:color w:val="231F20"/>
          <w:w w:val="105"/>
        </w:rPr>
        <w:t>from</w:t>
      </w:r>
      <w:r>
        <w:rPr>
          <w:color w:val="231F20"/>
          <w:spacing w:val="-16"/>
          <w:w w:val="105"/>
        </w:rPr>
        <w:t xml:space="preserve"> </w:t>
      </w:r>
      <w:r>
        <w:rPr>
          <w:color w:val="231F20"/>
          <w:w w:val="105"/>
        </w:rPr>
        <w:t>the</w:t>
      </w:r>
      <w:r>
        <w:rPr>
          <w:color w:val="231F20"/>
          <w:spacing w:val="-16"/>
          <w:w w:val="105"/>
        </w:rPr>
        <w:t xml:space="preserve"> </w:t>
      </w:r>
      <w:r>
        <w:rPr>
          <w:color w:val="231F20"/>
          <w:w w:val="105"/>
        </w:rPr>
        <w:t>Arab</w:t>
      </w:r>
      <w:r>
        <w:rPr>
          <w:color w:val="231F20"/>
          <w:spacing w:val="-16"/>
          <w:w w:val="105"/>
        </w:rPr>
        <w:t xml:space="preserve"> </w:t>
      </w:r>
      <w:r>
        <w:rPr>
          <w:color w:val="231F20"/>
          <w:w w:val="105"/>
        </w:rPr>
        <w:t>periphery</w:t>
      </w:r>
      <w:r>
        <w:rPr>
          <w:color w:val="231F20"/>
          <w:spacing w:val="-16"/>
          <w:w w:val="105"/>
        </w:rPr>
        <w:t xml:space="preserve"> </w:t>
      </w:r>
      <w:r>
        <w:rPr>
          <w:color w:val="231F20"/>
          <w:w w:val="105"/>
        </w:rPr>
        <w:t>of</w:t>
      </w:r>
      <w:r>
        <w:rPr>
          <w:color w:val="231F20"/>
          <w:spacing w:val="-16"/>
          <w:w w:val="105"/>
        </w:rPr>
        <w:t xml:space="preserve"> </w:t>
      </w:r>
      <w:r>
        <w:rPr>
          <w:color w:val="231F20"/>
          <w:w w:val="105"/>
        </w:rPr>
        <w:t>imperialism</w:t>
      </w:r>
      <w:r>
        <w:rPr>
          <w:color w:val="231F20"/>
          <w:spacing w:val="-8"/>
          <w:w w:val="105"/>
        </w:rPr>
        <w:t xml:space="preserve"> </w:t>
      </w:r>
      <w:r>
        <w:rPr>
          <w:color w:val="231F20"/>
          <w:w w:val="105"/>
        </w:rPr>
        <w:t>into</w:t>
      </w:r>
      <w:r>
        <w:rPr>
          <w:color w:val="231F20"/>
          <w:spacing w:val="-8"/>
          <w:w w:val="105"/>
        </w:rPr>
        <w:t xml:space="preserve"> </w:t>
      </w:r>
      <w:r>
        <w:rPr>
          <w:color w:val="231F20"/>
          <w:w w:val="105"/>
        </w:rPr>
        <w:t>the</w:t>
      </w:r>
      <w:r>
        <w:rPr>
          <w:color w:val="231F20"/>
          <w:spacing w:val="-8"/>
          <w:w w:val="105"/>
        </w:rPr>
        <w:t xml:space="preserve"> </w:t>
      </w:r>
      <w:r>
        <w:rPr>
          <w:color w:val="231F20"/>
          <w:w w:val="105"/>
        </w:rPr>
        <w:t>centre.</w:t>
      </w:r>
      <w:r>
        <w:rPr>
          <w:color w:val="231F20"/>
          <w:spacing w:val="-8"/>
          <w:w w:val="105"/>
        </w:rPr>
        <w:t xml:space="preserve"> </w:t>
      </w:r>
      <w:r>
        <w:rPr>
          <w:color w:val="231F20"/>
          <w:w w:val="105"/>
        </w:rPr>
        <w:t>The</w:t>
      </w:r>
      <w:r>
        <w:rPr>
          <w:color w:val="231F20"/>
          <w:spacing w:val="-8"/>
          <w:w w:val="105"/>
        </w:rPr>
        <w:t xml:space="preserve"> </w:t>
      </w:r>
      <w:r>
        <w:rPr>
          <w:color w:val="231F20"/>
          <w:w w:val="105"/>
        </w:rPr>
        <w:t>centre</w:t>
      </w:r>
      <w:r>
        <w:rPr>
          <w:color w:val="231F20"/>
          <w:spacing w:val="-8"/>
          <w:w w:val="105"/>
        </w:rPr>
        <w:t xml:space="preserve"> </w:t>
      </w:r>
      <w:r>
        <w:rPr>
          <w:color w:val="231F20"/>
          <w:w w:val="105"/>
        </w:rPr>
        <w:t>means:</w:t>
      </w:r>
      <w:r>
        <w:rPr>
          <w:color w:val="231F20"/>
          <w:spacing w:val="-8"/>
          <w:w w:val="105"/>
        </w:rPr>
        <w:t xml:space="preserve"> </w:t>
      </w:r>
      <w:r>
        <w:rPr>
          <w:color w:val="231F20"/>
          <w:w w:val="105"/>
        </w:rPr>
        <w:t>central</w:t>
      </w:r>
      <w:r>
        <w:rPr>
          <w:color w:val="231F20"/>
          <w:spacing w:val="-8"/>
          <w:w w:val="105"/>
        </w:rPr>
        <w:t xml:space="preserve"> </w:t>
      </w:r>
      <w:r>
        <w:rPr>
          <w:color w:val="231F20"/>
          <w:w w:val="105"/>
        </w:rPr>
        <w:t>to</w:t>
      </w:r>
      <w:r>
        <w:rPr>
          <w:color w:val="231F20"/>
          <w:spacing w:val="-8"/>
          <w:w w:val="105"/>
        </w:rPr>
        <w:t xml:space="preserve"> </w:t>
      </w:r>
      <w:r>
        <w:rPr>
          <w:color w:val="231F20"/>
          <w:w w:val="105"/>
        </w:rPr>
        <w:t>the</w:t>
      </w:r>
      <w:r>
        <w:rPr>
          <w:color w:val="231F20"/>
          <w:spacing w:val="-8"/>
          <w:w w:val="105"/>
        </w:rPr>
        <w:t xml:space="preserve"> </w:t>
      </w:r>
      <w:r>
        <w:rPr>
          <w:color w:val="231F20"/>
          <w:w w:val="105"/>
        </w:rPr>
        <w:t>multinational corporations,</w:t>
      </w:r>
      <w:r>
        <w:rPr>
          <w:color w:val="231F20"/>
          <w:spacing w:val="-23"/>
          <w:w w:val="105"/>
        </w:rPr>
        <w:t xml:space="preserve"> </w:t>
      </w:r>
      <w:r>
        <w:rPr>
          <w:color w:val="231F20"/>
          <w:w w:val="105"/>
        </w:rPr>
        <w:t>the</w:t>
      </w:r>
      <w:r>
        <w:rPr>
          <w:color w:val="231F20"/>
          <w:spacing w:val="-23"/>
          <w:w w:val="105"/>
        </w:rPr>
        <w:t xml:space="preserve"> </w:t>
      </w:r>
      <w:r>
        <w:rPr>
          <w:color w:val="231F20"/>
          <w:w w:val="105"/>
        </w:rPr>
        <w:t>market’s</w:t>
      </w:r>
      <w:r>
        <w:rPr>
          <w:color w:val="231F20"/>
          <w:spacing w:val="-23"/>
          <w:w w:val="105"/>
        </w:rPr>
        <w:t xml:space="preserve"> </w:t>
      </w:r>
      <w:r>
        <w:rPr>
          <w:color w:val="231F20"/>
          <w:w w:val="105"/>
        </w:rPr>
        <w:t>command</w:t>
      </w:r>
      <w:r>
        <w:rPr>
          <w:color w:val="231F20"/>
          <w:spacing w:val="-23"/>
          <w:w w:val="105"/>
        </w:rPr>
        <w:t xml:space="preserve"> </w:t>
      </w:r>
      <w:r>
        <w:rPr>
          <w:color w:val="231F20"/>
          <w:w w:val="105"/>
        </w:rPr>
        <w:t>centre,</w:t>
      </w:r>
      <w:r>
        <w:rPr>
          <w:color w:val="231F20"/>
          <w:spacing w:val="-23"/>
          <w:w w:val="105"/>
        </w:rPr>
        <w:t xml:space="preserve"> </w:t>
      </w:r>
      <w:r>
        <w:rPr>
          <w:color w:val="231F20"/>
          <w:w w:val="105"/>
        </w:rPr>
        <w:t>where</w:t>
      </w:r>
      <w:r>
        <w:rPr>
          <w:color w:val="231F20"/>
          <w:spacing w:val="-23"/>
          <w:w w:val="105"/>
        </w:rPr>
        <w:t xml:space="preserve"> </w:t>
      </w:r>
      <w:r>
        <w:rPr>
          <w:color w:val="231F20"/>
          <w:w w:val="105"/>
        </w:rPr>
        <w:t>they</w:t>
      </w:r>
      <w:r>
        <w:rPr>
          <w:color w:val="231F20"/>
          <w:spacing w:val="-23"/>
          <w:w w:val="105"/>
        </w:rPr>
        <w:t xml:space="preserve"> </w:t>
      </w:r>
      <w:r>
        <w:rPr>
          <w:color w:val="231F20"/>
          <w:w w:val="105"/>
        </w:rPr>
        <w:t>determine</w:t>
      </w:r>
      <w:r>
        <w:rPr>
          <w:color w:val="231F20"/>
          <w:spacing w:val="-23"/>
          <w:w w:val="105"/>
        </w:rPr>
        <w:t xml:space="preserve"> </w:t>
      </w:r>
      <w:r>
        <w:rPr>
          <w:color w:val="231F20"/>
          <w:w w:val="105"/>
        </w:rPr>
        <w:t>the laws</w:t>
      </w:r>
      <w:r>
        <w:rPr>
          <w:color w:val="231F20"/>
          <w:spacing w:val="-9"/>
          <w:w w:val="105"/>
        </w:rPr>
        <w:t xml:space="preserve"> </w:t>
      </w:r>
      <w:r>
        <w:rPr>
          <w:color w:val="231F20"/>
          <w:w w:val="105"/>
        </w:rPr>
        <w:t>of</w:t>
      </w:r>
      <w:r>
        <w:rPr>
          <w:color w:val="231F20"/>
          <w:spacing w:val="-9"/>
          <w:w w:val="105"/>
        </w:rPr>
        <w:t xml:space="preserve"> </w:t>
      </w:r>
      <w:r>
        <w:rPr>
          <w:color w:val="231F20"/>
          <w:w w:val="105"/>
        </w:rPr>
        <w:t>economic,</w:t>
      </w:r>
      <w:r>
        <w:rPr>
          <w:color w:val="231F20"/>
          <w:spacing w:val="-9"/>
          <w:w w:val="105"/>
        </w:rPr>
        <w:t xml:space="preserve"> </w:t>
      </w:r>
      <w:r>
        <w:rPr>
          <w:color w:val="231F20"/>
          <w:w w:val="105"/>
        </w:rPr>
        <w:t>political,</w:t>
      </w:r>
      <w:r>
        <w:rPr>
          <w:color w:val="231F20"/>
          <w:spacing w:val="-9"/>
          <w:w w:val="105"/>
        </w:rPr>
        <w:t xml:space="preserve"> </w:t>
      </w:r>
      <w:r>
        <w:rPr>
          <w:color w:val="231F20"/>
          <w:w w:val="105"/>
        </w:rPr>
        <w:t>military,</w:t>
      </w:r>
      <w:r>
        <w:rPr>
          <w:color w:val="231F20"/>
          <w:spacing w:val="-9"/>
          <w:w w:val="105"/>
        </w:rPr>
        <w:t xml:space="preserve"> </w:t>
      </w:r>
      <w:r>
        <w:rPr>
          <w:color w:val="231F20"/>
          <w:w w:val="105"/>
        </w:rPr>
        <w:t>cultural,</w:t>
      </w:r>
      <w:r>
        <w:rPr>
          <w:color w:val="231F20"/>
          <w:spacing w:val="-9"/>
          <w:w w:val="105"/>
        </w:rPr>
        <w:t xml:space="preserve"> </w:t>
      </w:r>
      <w:r>
        <w:rPr>
          <w:color w:val="231F20"/>
          <w:w w:val="105"/>
        </w:rPr>
        <w:t>and</w:t>
      </w:r>
      <w:r>
        <w:rPr>
          <w:color w:val="231F20"/>
          <w:spacing w:val="-9"/>
          <w:w w:val="105"/>
        </w:rPr>
        <w:t xml:space="preserve"> </w:t>
      </w:r>
      <w:r>
        <w:rPr>
          <w:color w:val="231F20"/>
          <w:w w:val="105"/>
        </w:rPr>
        <w:t>technological</w:t>
      </w:r>
      <w:r>
        <w:rPr>
          <w:color w:val="231F20"/>
          <w:spacing w:val="-9"/>
          <w:w w:val="105"/>
        </w:rPr>
        <w:t xml:space="preserve"> </w:t>
      </w:r>
      <w:r>
        <w:rPr>
          <w:color w:val="231F20"/>
          <w:w w:val="105"/>
        </w:rPr>
        <w:t xml:space="preserve">development for all countries within their market. The centre is the </w:t>
      </w:r>
      <w:r>
        <w:rPr>
          <w:color w:val="231F20"/>
          <w:spacing w:val="1"/>
          <w:w w:val="105"/>
        </w:rPr>
        <w:t xml:space="preserve">U.S.A., </w:t>
      </w:r>
      <w:r>
        <w:rPr>
          <w:color w:val="231F20"/>
          <w:w w:val="105"/>
        </w:rPr>
        <w:t xml:space="preserve">Japan, and </w:t>
      </w:r>
      <w:r>
        <w:rPr>
          <w:color w:val="231F20"/>
          <w:spacing w:val="-3"/>
          <w:w w:val="105"/>
        </w:rPr>
        <w:t xml:space="preserve">West </w:t>
      </w:r>
      <w:r>
        <w:rPr>
          <w:color w:val="231F20"/>
          <w:w w:val="105"/>
        </w:rPr>
        <w:t>Europe under the leadership of the FRG. The</w:t>
      </w:r>
      <w:r>
        <w:rPr>
          <w:color w:val="231F20"/>
          <w:spacing w:val="-9"/>
          <w:w w:val="105"/>
        </w:rPr>
        <w:t xml:space="preserve"> </w:t>
      </w:r>
      <w:r>
        <w:rPr>
          <w:color w:val="231F20"/>
          <w:w w:val="105"/>
        </w:rPr>
        <w:t>volume</w:t>
      </w:r>
    </w:p>
    <w:p w14:paraId="7780CC20" w14:textId="77777777" w:rsidR="002653E8" w:rsidRDefault="00000000">
      <w:pPr>
        <w:pStyle w:val="a3"/>
        <w:spacing w:before="1"/>
        <w:rPr>
          <w:sz w:val="28"/>
        </w:rPr>
      </w:pPr>
      <w:r>
        <w:rPr>
          <w:noProof w:val="0"/>
        </w:rPr>
        <w:pict w14:anchorId="7130A125">
          <v:line id="_x0000_s2467" style="position:absolute;z-index:5488;mso-wrap-distance-left:0;mso-wrap-distance-right:0;mso-position-horizontal-relative:page" from="66.4pt,18.7pt" to="138.4pt,18.7pt" strokecolor="#231f20" strokeweight=".5pt">
            <w10:wrap type="topAndBottom" anchorx="page"/>
          </v:line>
        </w:pict>
      </w:r>
    </w:p>
    <w:p w14:paraId="2323DF83" w14:textId="77777777" w:rsidR="002653E8" w:rsidRDefault="003115E3">
      <w:pPr>
        <w:spacing w:before="53" w:line="254" w:lineRule="auto"/>
        <w:ind w:left="1327" w:right="1580" w:hanging="1"/>
        <w:rPr>
          <w:sz w:val="16"/>
        </w:rPr>
      </w:pPr>
      <w:r>
        <w:rPr>
          <w:color w:val="231F20"/>
          <w:w w:val="105"/>
          <w:sz w:val="16"/>
        </w:rPr>
        <w:t>2 On May 4, 1970, the National Guard opened fire on students demonstrating at Kent State University in Ohio against the escalation of the war in Vietnam. Four students were killed and nine others were wounded. Of the wounded, one was permanently paralyzed, and several were seriously maimed.</w:t>
      </w:r>
    </w:p>
    <w:p w14:paraId="3242700B" w14:textId="77777777" w:rsidR="002653E8" w:rsidRDefault="002653E8">
      <w:pPr>
        <w:spacing w:line="254" w:lineRule="auto"/>
        <w:rPr>
          <w:sz w:val="16"/>
        </w:rPr>
        <w:sectPr w:rsidR="002653E8">
          <w:pgSz w:w="8640" w:h="12960"/>
          <w:pgMar w:top="1060" w:right="0" w:bottom="1040" w:left="0" w:header="0" w:footer="850" w:gutter="0"/>
          <w:cols w:space="720"/>
        </w:sectPr>
      </w:pPr>
    </w:p>
    <w:p w14:paraId="39D12C77" w14:textId="77777777" w:rsidR="002653E8" w:rsidRDefault="003115E3">
      <w:pPr>
        <w:pStyle w:val="a3"/>
        <w:spacing w:before="86" w:line="264" w:lineRule="auto"/>
        <w:ind w:left="1147" w:right="1326"/>
        <w:jc w:val="both"/>
      </w:pPr>
      <w:r>
        <w:rPr>
          <w:color w:val="231F20"/>
        </w:rPr>
        <w:lastRenderedPageBreak/>
        <w:t>of business, the numbers employed by the corporations, these are only the formal, quantitative data—their weapons production is only one of the sectors of their productive capacity that is directed against the liberation</w:t>
      </w:r>
      <w:r>
        <w:rPr>
          <w:color w:val="231F20"/>
          <w:spacing w:val="-5"/>
        </w:rPr>
        <w:t xml:space="preserve"> </w:t>
      </w:r>
      <w:r>
        <w:rPr>
          <w:color w:val="231F20"/>
        </w:rPr>
        <w:t>movements,</w:t>
      </w:r>
      <w:r>
        <w:rPr>
          <w:color w:val="231F20"/>
          <w:spacing w:val="-5"/>
        </w:rPr>
        <w:t xml:space="preserve"> </w:t>
      </w:r>
      <w:r>
        <w:rPr>
          <w:color w:val="231F20"/>
        </w:rPr>
        <w:t>their</w:t>
      </w:r>
      <w:r>
        <w:rPr>
          <w:color w:val="231F20"/>
          <w:spacing w:val="-5"/>
        </w:rPr>
        <w:t xml:space="preserve"> </w:t>
      </w:r>
      <w:r>
        <w:rPr>
          <w:color w:val="231F20"/>
        </w:rPr>
        <w:t>price</w:t>
      </w:r>
      <w:r>
        <w:rPr>
          <w:color w:val="231F20"/>
          <w:spacing w:val="-5"/>
        </w:rPr>
        <w:t xml:space="preserve"> </w:t>
      </w:r>
      <w:r>
        <w:rPr>
          <w:color w:val="231F20"/>
        </w:rPr>
        <w:t>controls</w:t>
      </w:r>
      <w:r>
        <w:rPr>
          <w:color w:val="231F20"/>
          <w:spacing w:val="-5"/>
        </w:rPr>
        <w:t xml:space="preserve"> </w:t>
      </w:r>
      <w:r>
        <w:rPr>
          <w:color w:val="231F20"/>
        </w:rPr>
        <w:t>for</w:t>
      </w:r>
      <w:r>
        <w:rPr>
          <w:color w:val="231F20"/>
          <w:spacing w:val="-5"/>
        </w:rPr>
        <w:t xml:space="preserve"> </w:t>
      </w:r>
      <w:r>
        <w:rPr>
          <w:color w:val="231F20"/>
        </w:rPr>
        <w:t>raw</w:t>
      </w:r>
      <w:r>
        <w:rPr>
          <w:color w:val="231F20"/>
          <w:spacing w:val="-5"/>
        </w:rPr>
        <w:t xml:space="preserve"> </w:t>
      </w:r>
      <w:r>
        <w:rPr>
          <w:color w:val="231F20"/>
        </w:rPr>
        <w:t>materials</w:t>
      </w:r>
      <w:r>
        <w:rPr>
          <w:color w:val="231F20"/>
          <w:spacing w:val="-5"/>
        </w:rPr>
        <w:t xml:space="preserve"> </w:t>
      </w:r>
      <w:r>
        <w:rPr>
          <w:color w:val="231F20"/>
        </w:rPr>
        <w:t>constitute</w:t>
      </w:r>
      <w:r>
        <w:rPr>
          <w:color w:val="231F20"/>
          <w:spacing w:val="-5"/>
        </w:rPr>
        <w:t xml:space="preserve"> </w:t>
      </w:r>
      <w:r>
        <w:rPr>
          <w:color w:val="231F20"/>
        </w:rPr>
        <w:t>just one</w:t>
      </w:r>
      <w:r>
        <w:rPr>
          <w:color w:val="231F20"/>
          <w:spacing w:val="8"/>
        </w:rPr>
        <w:t xml:space="preserve"> </w:t>
      </w:r>
      <w:r>
        <w:rPr>
          <w:color w:val="231F20"/>
        </w:rPr>
        <w:t>of</w:t>
      </w:r>
      <w:r>
        <w:rPr>
          <w:color w:val="231F20"/>
          <w:spacing w:val="8"/>
        </w:rPr>
        <w:t xml:space="preserve"> </w:t>
      </w:r>
      <w:r>
        <w:rPr>
          <w:color w:val="231F20"/>
        </w:rPr>
        <w:t>the</w:t>
      </w:r>
      <w:r>
        <w:rPr>
          <w:color w:val="231F20"/>
          <w:spacing w:val="8"/>
        </w:rPr>
        <w:t xml:space="preserve"> </w:t>
      </w:r>
      <w:r>
        <w:rPr>
          <w:color w:val="231F20"/>
        </w:rPr>
        <w:t>many</w:t>
      </w:r>
      <w:r>
        <w:rPr>
          <w:color w:val="231F20"/>
          <w:spacing w:val="8"/>
        </w:rPr>
        <w:t xml:space="preserve"> </w:t>
      </w:r>
      <w:r>
        <w:rPr>
          <w:color w:val="231F20"/>
        </w:rPr>
        <w:t>ways</w:t>
      </w:r>
      <w:r>
        <w:rPr>
          <w:color w:val="231F20"/>
          <w:spacing w:val="8"/>
        </w:rPr>
        <w:t xml:space="preserve"> </w:t>
      </w:r>
      <w:r>
        <w:rPr>
          <w:color w:val="231F20"/>
        </w:rPr>
        <w:t>they</w:t>
      </w:r>
      <w:r>
        <w:rPr>
          <w:color w:val="231F20"/>
          <w:spacing w:val="8"/>
        </w:rPr>
        <w:t xml:space="preserve"> </w:t>
      </w:r>
      <w:r>
        <w:rPr>
          <w:color w:val="231F20"/>
        </w:rPr>
        <w:t>ensure</w:t>
      </w:r>
      <w:r>
        <w:rPr>
          <w:color w:val="231F20"/>
          <w:spacing w:val="8"/>
        </w:rPr>
        <w:t xml:space="preserve"> </w:t>
      </w:r>
      <w:r>
        <w:rPr>
          <w:color w:val="231F20"/>
        </w:rPr>
        <w:t>their</w:t>
      </w:r>
      <w:r>
        <w:rPr>
          <w:color w:val="231F20"/>
          <w:spacing w:val="8"/>
        </w:rPr>
        <w:t xml:space="preserve"> </w:t>
      </w:r>
      <w:r>
        <w:rPr>
          <w:color w:val="231F20"/>
        </w:rPr>
        <w:t>rule</w:t>
      </w:r>
      <w:r>
        <w:rPr>
          <w:color w:val="231F20"/>
          <w:spacing w:val="8"/>
        </w:rPr>
        <w:t xml:space="preserve"> </w:t>
      </w:r>
      <w:r>
        <w:rPr>
          <w:color w:val="231F20"/>
        </w:rPr>
        <w:t>over</w:t>
      </w:r>
      <w:r>
        <w:rPr>
          <w:color w:val="231F20"/>
          <w:spacing w:val="8"/>
        </w:rPr>
        <w:t xml:space="preserve"> </w:t>
      </w:r>
      <w:r>
        <w:rPr>
          <w:color w:val="231F20"/>
        </w:rPr>
        <w:t>the</w:t>
      </w:r>
      <w:r>
        <w:rPr>
          <w:color w:val="231F20"/>
          <w:spacing w:val="8"/>
        </w:rPr>
        <w:t xml:space="preserve"> </w:t>
      </w:r>
      <w:r>
        <w:rPr>
          <w:color w:val="231F20"/>
        </w:rPr>
        <w:t>Third</w:t>
      </w:r>
      <w:r>
        <w:rPr>
          <w:color w:val="231F20"/>
          <w:spacing w:val="8"/>
        </w:rPr>
        <w:t xml:space="preserve"> </w:t>
      </w:r>
      <w:r>
        <w:rPr>
          <w:color w:val="231F20"/>
          <w:spacing w:val="-3"/>
        </w:rPr>
        <w:t>World.</w:t>
      </w:r>
    </w:p>
    <w:p w14:paraId="28A39C3C" w14:textId="77777777" w:rsidR="002653E8" w:rsidRDefault="002653E8">
      <w:pPr>
        <w:pStyle w:val="a3"/>
        <w:spacing w:before="5"/>
        <w:rPr>
          <w:sz w:val="21"/>
        </w:rPr>
      </w:pPr>
    </w:p>
    <w:p w14:paraId="27AD7CD2" w14:textId="77777777" w:rsidR="002653E8" w:rsidRDefault="003115E3">
      <w:pPr>
        <w:spacing w:before="1"/>
        <w:ind w:left="1147"/>
        <w:rPr>
          <w:i/>
          <w:sz w:val="20"/>
        </w:rPr>
      </w:pPr>
      <w:r>
        <w:rPr>
          <w:i/>
          <w:color w:val="231F20"/>
          <w:w w:val="105"/>
          <w:sz w:val="20"/>
        </w:rPr>
        <w:t>The Aggressive Character of Imperialist Investment Policy</w:t>
      </w:r>
    </w:p>
    <w:p w14:paraId="459A41A8" w14:textId="77777777" w:rsidR="002653E8" w:rsidRDefault="003115E3">
      <w:pPr>
        <w:pStyle w:val="a3"/>
        <w:spacing w:before="22" w:line="264" w:lineRule="auto"/>
        <w:ind w:left="1147" w:right="1326"/>
        <w:jc w:val="both"/>
      </w:pPr>
      <w:r>
        <w:rPr>
          <w:color w:val="231F20"/>
        </w:rPr>
        <w:t>Marx analyzed machinery as a weapon that led workers in the 19th century to destroy machines. Marx:</w:t>
      </w:r>
    </w:p>
    <w:p w14:paraId="49D59ACE" w14:textId="77777777" w:rsidR="002653E8" w:rsidRDefault="003115E3">
      <w:pPr>
        <w:spacing w:before="127" w:line="276" w:lineRule="auto"/>
        <w:ind w:left="1567" w:right="1738"/>
        <w:jc w:val="both"/>
        <w:rPr>
          <w:i/>
          <w:sz w:val="19"/>
        </w:rPr>
      </w:pPr>
      <w:r>
        <w:rPr>
          <w:i/>
          <w:color w:val="231F20"/>
          <w:w w:val="105"/>
          <w:sz w:val="19"/>
        </w:rPr>
        <w:t>Machinery is the most powerful weapon for repressing strikes, those</w:t>
      </w:r>
      <w:r>
        <w:rPr>
          <w:i/>
          <w:color w:val="231F20"/>
          <w:spacing w:val="-17"/>
          <w:w w:val="105"/>
          <w:sz w:val="19"/>
        </w:rPr>
        <w:t xml:space="preserve"> </w:t>
      </w:r>
      <w:r>
        <w:rPr>
          <w:i/>
          <w:color w:val="231F20"/>
          <w:w w:val="105"/>
          <w:sz w:val="19"/>
        </w:rPr>
        <w:t>periodical</w:t>
      </w:r>
      <w:r>
        <w:rPr>
          <w:i/>
          <w:color w:val="231F20"/>
          <w:spacing w:val="-17"/>
          <w:w w:val="105"/>
          <w:sz w:val="19"/>
        </w:rPr>
        <w:t xml:space="preserve"> </w:t>
      </w:r>
      <w:r>
        <w:rPr>
          <w:i/>
          <w:color w:val="231F20"/>
          <w:w w:val="105"/>
          <w:sz w:val="19"/>
        </w:rPr>
        <w:t>revolts</w:t>
      </w:r>
      <w:r>
        <w:rPr>
          <w:i/>
          <w:color w:val="231F20"/>
          <w:spacing w:val="-17"/>
          <w:w w:val="105"/>
          <w:sz w:val="19"/>
        </w:rPr>
        <w:t xml:space="preserve"> </w:t>
      </w:r>
      <w:r>
        <w:rPr>
          <w:i/>
          <w:color w:val="231F20"/>
          <w:w w:val="105"/>
          <w:sz w:val="19"/>
        </w:rPr>
        <w:t>of</w:t>
      </w:r>
      <w:r>
        <w:rPr>
          <w:i/>
          <w:color w:val="231F20"/>
          <w:spacing w:val="-17"/>
          <w:w w:val="105"/>
          <w:sz w:val="19"/>
        </w:rPr>
        <w:t xml:space="preserve"> </w:t>
      </w:r>
      <w:r>
        <w:rPr>
          <w:i/>
          <w:color w:val="231F20"/>
          <w:w w:val="105"/>
          <w:sz w:val="19"/>
        </w:rPr>
        <w:t>the</w:t>
      </w:r>
      <w:r>
        <w:rPr>
          <w:i/>
          <w:color w:val="231F20"/>
          <w:spacing w:val="-17"/>
          <w:w w:val="105"/>
          <w:sz w:val="19"/>
        </w:rPr>
        <w:t xml:space="preserve"> </w:t>
      </w:r>
      <w:r>
        <w:rPr>
          <w:i/>
          <w:color w:val="231F20"/>
          <w:w w:val="105"/>
          <w:sz w:val="19"/>
        </w:rPr>
        <w:t>working</w:t>
      </w:r>
      <w:r>
        <w:rPr>
          <w:i/>
          <w:color w:val="231F20"/>
          <w:spacing w:val="-17"/>
          <w:w w:val="105"/>
          <w:sz w:val="19"/>
        </w:rPr>
        <w:t xml:space="preserve"> </w:t>
      </w:r>
      <w:r>
        <w:rPr>
          <w:i/>
          <w:color w:val="231F20"/>
          <w:w w:val="105"/>
          <w:sz w:val="19"/>
        </w:rPr>
        <w:t>class</w:t>
      </w:r>
      <w:r>
        <w:rPr>
          <w:i/>
          <w:color w:val="231F20"/>
          <w:spacing w:val="-17"/>
          <w:w w:val="105"/>
          <w:sz w:val="19"/>
        </w:rPr>
        <w:t xml:space="preserve"> </w:t>
      </w:r>
      <w:r>
        <w:rPr>
          <w:i/>
          <w:color w:val="231F20"/>
          <w:w w:val="105"/>
          <w:sz w:val="19"/>
        </w:rPr>
        <w:t>against</w:t>
      </w:r>
      <w:r>
        <w:rPr>
          <w:i/>
          <w:color w:val="231F20"/>
          <w:spacing w:val="-17"/>
          <w:w w:val="105"/>
          <w:sz w:val="19"/>
        </w:rPr>
        <w:t xml:space="preserve"> </w:t>
      </w:r>
      <w:r>
        <w:rPr>
          <w:i/>
          <w:color w:val="231F20"/>
          <w:w w:val="105"/>
          <w:sz w:val="19"/>
        </w:rPr>
        <w:t>the</w:t>
      </w:r>
      <w:r>
        <w:rPr>
          <w:i/>
          <w:color w:val="231F20"/>
          <w:spacing w:val="-17"/>
          <w:w w:val="105"/>
          <w:sz w:val="19"/>
        </w:rPr>
        <w:t xml:space="preserve"> </w:t>
      </w:r>
      <w:r>
        <w:rPr>
          <w:i/>
          <w:color w:val="231F20"/>
          <w:w w:val="105"/>
          <w:sz w:val="19"/>
        </w:rPr>
        <w:t xml:space="preserve">autocracy of capital. It would be possible to write quite a history of the inventions made since </w:t>
      </w:r>
      <w:r>
        <w:rPr>
          <w:rFonts w:ascii="Bookman Old Style"/>
          <w:i/>
          <w:color w:val="231F20"/>
          <w:w w:val="105"/>
          <w:sz w:val="19"/>
        </w:rPr>
        <w:t>1880</w:t>
      </w:r>
      <w:r>
        <w:rPr>
          <w:i/>
          <w:color w:val="231F20"/>
          <w:w w:val="105"/>
          <w:position w:val="6"/>
          <w:sz w:val="11"/>
        </w:rPr>
        <w:t xml:space="preserve">1 </w:t>
      </w:r>
      <w:r>
        <w:rPr>
          <w:i/>
          <w:color w:val="231F20"/>
          <w:w w:val="105"/>
          <w:sz w:val="19"/>
        </w:rPr>
        <w:t>for the sole purpose of supplying capital with weapons against the revolts of the working</w:t>
      </w:r>
      <w:r>
        <w:rPr>
          <w:i/>
          <w:color w:val="231F20"/>
          <w:spacing w:val="-11"/>
          <w:w w:val="105"/>
          <w:sz w:val="19"/>
        </w:rPr>
        <w:t xml:space="preserve"> </w:t>
      </w:r>
      <w:r>
        <w:rPr>
          <w:i/>
          <w:color w:val="231F20"/>
          <w:w w:val="105"/>
          <w:sz w:val="19"/>
        </w:rPr>
        <w:t>class.</w:t>
      </w:r>
    </w:p>
    <w:p w14:paraId="22A0A356" w14:textId="77777777" w:rsidR="002653E8" w:rsidRDefault="003115E3">
      <w:pPr>
        <w:pStyle w:val="a3"/>
        <w:spacing w:before="129" w:line="264" w:lineRule="auto"/>
        <w:ind w:left="1147" w:right="1326"/>
        <w:jc w:val="both"/>
      </w:pPr>
      <w:r>
        <w:rPr>
          <w:color w:val="231F20"/>
        </w:rPr>
        <w:t>This was the machinery that created unemployment for the working class, that created the wageworker, at the same time offering the proletariat no choice but starvation or overthrowing the dictatorship of capital.</w:t>
      </w:r>
    </w:p>
    <w:p w14:paraId="07A6CD32" w14:textId="77777777" w:rsidR="002653E8" w:rsidRDefault="003115E3">
      <w:pPr>
        <w:pStyle w:val="a3"/>
        <w:spacing w:line="264" w:lineRule="auto"/>
        <w:ind w:left="1147" w:right="1326" w:firstLine="210"/>
        <w:jc w:val="both"/>
      </w:pPr>
      <w:r>
        <w:rPr>
          <w:color w:val="231F20"/>
        </w:rPr>
        <w:t>It is now time for someone to write a history of the imperialist investment strategy and in their analysis to demonstrate that it was “made for the sole purpose” of eliminating the liberation movements in the Third World.</w:t>
      </w:r>
    </w:p>
    <w:p w14:paraId="251ABE6C" w14:textId="77777777" w:rsidR="002653E8" w:rsidRDefault="002653E8">
      <w:pPr>
        <w:pStyle w:val="a3"/>
        <w:spacing w:before="2"/>
        <w:rPr>
          <w:sz w:val="21"/>
        </w:rPr>
      </w:pPr>
    </w:p>
    <w:p w14:paraId="0E08051C" w14:textId="77777777" w:rsidR="002653E8" w:rsidRDefault="003115E3">
      <w:pPr>
        <w:ind w:left="1147"/>
        <w:rPr>
          <w:i/>
          <w:sz w:val="20"/>
        </w:rPr>
      </w:pPr>
      <w:r>
        <w:rPr>
          <w:i/>
          <w:color w:val="231F20"/>
          <w:w w:val="105"/>
          <w:sz w:val="20"/>
        </w:rPr>
        <w:t>Multinational Corporations</w:t>
      </w:r>
    </w:p>
    <w:p w14:paraId="64B8CEC6" w14:textId="77777777" w:rsidR="002653E8" w:rsidRDefault="003115E3">
      <w:pPr>
        <w:pStyle w:val="a3"/>
        <w:spacing w:before="22" w:line="264" w:lineRule="auto"/>
        <w:ind w:left="1147" w:right="1326"/>
        <w:jc w:val="both"/>
      </w:pPr>
      <w:r>
        <w:rPr>
          <w:color w:val="231F20"/>
        </w:rPr>
        <w:t xml:space="preserve">The multinational corporations control everything in the countries that imperialism has deprived of the opportunity to develop. They use this control against them. At one and the same time, capital creates divisions, skims profits, and then uses these same projects, investments, and profits to play the countries dependent on them off against each other—they use the very raw materials they rely upon the Third </w:t>
      </w:r>
      <w:r>
        <w:rPr>
          <w:color w:val="231F20"/>
          <w:spacing w:val="-4"/>
        </w:rPr>
        <w:t xml:space="preserve">World </w:t>
      </w:r>
      <w:r>
        <w:rPr>
          <w:color w:val="231F20"/>
        </w:rPr>
        <w:t>for</w:t>
      </w:r>
      <w:r>
        <w:rPr>
          <w:color w:val="231F20"/>
          <w:spacing w:val="10"/>
        </w:rPr>
        <w:t xml:space="preserve"> </w:t>
      </w:r>
      <w:r>
        <w:rPr>
          <w:color w:val="231F20"/>
        </w:rPr>
        <w:t>to</w:t>
      </w:r>
      <w:r>
        <w:rPr>
          <w:color w:val="231F20"/>
          <w:spacing w:val="10"/>
        </w:rPr>
        <w:t xml:space="preserve"> </w:t>
      </w:r>
      <w:r>
        <w:rPr>
          <w:color w:val="231F20"/>
        </w:rPr>
        <w:t>oppress</w:t>
      </w:r>
      <w:r>
        <w:rPr>
          <w:color w:val="231F20"/>
          <w:spacing w:val="10"/>
        </w:rPr>
        <w:t xml:space="preserve"> </w:t>
      </w:r>
      <w:r>
        <w:rPr>
          <w:color w:val="231F20"/>
        </w:rPr>
        <w:t>the</w:t>
      </w:r>
      <w:r>
        <w:rPr>
          <w:color w:val="231F20"/>
          <w:spacing w:val="10"/>
        </w:rPr>
        <w:t xml:space="preserve"> </w:t>
      </w:r>
      <w:r>
        <w:rPr>
          <w:color w:val="231F20"/>
        </w:rPr>
        <w:t>people</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Third</w:t>
      </w:r>
      <w:r>
        <w:rPr>
          <w:color w:val="231F20"/>
          <w:spacing w:val="10"/>
        </w:rPr>
        <w:t xml:space="preserve"> </w:t>
      </w:r>
      <w:r>
        <w:rPr>
          <w:color w:val="231F20"/>
          <w:spacing w:val="-3"/>
        </w:rPr>
        <w:t>World.</w:t>
      </w:r>
    </w:p>
    <w:p w14:paraId="20E16656" w14:textId="77777777" w:rsidR="002653E8" w:rsidRDefault="002653E8">
      <w:pPr>
        <w:pStyle w:val="a3"/>
        <w:spacing w:before="3"/>
        <w:rPr>
          <w:sz w:val="21"/>
        </w:rPr>
      </w:pPr>
    </w:p>
    <w:p w14:paraId="021FB402" w14:textId="77777777" w:rsidR="002653E8" w:rsidRDefault="003115E3">
      <w:pPr>
        <w:ind w:left="1147"/>
        <w:rPr>
          <w:i/>
          <w:sz w:val="20"/>
        </w:rPr>
      </w:pPr>
      <w:r>
        <w:rPr>
          <w:i/>
          <w:color w:val="231F20"/>
          <w:w w:val="105"/>
          <w:sz w:val="20"/>
        </w:rPr>
        <w:t>Weapons</w:t>
      </w:r>
    </w:p>
    <w:p w14:paraId="15495E23" w14:textId="77777777" w:rsidR="002653E8" w:rsidRDefault="003115E3">
      <w:pPr>
        <w:pStyle w:val="a3"/>
        <w:spacing w:before="22" w:line="264" w:lineRule="auto"/>
        <w:ind w:left="1147" w:right="1326"/>
        <w:jc w:val="both"/>
      </w:pPr>
      <w:r>
        <w:rPr>
          <w:color w:val="231F20"/>
        </w:rPr>
        <w:t>Their weapons consist of the potential of capital,  technology,  the  means</w:t>
      </w:r>
      <w:r>
        <w:rPr>
          <w:color w:val="231F20"/>
          <w:spacing w:val="26"/>
        </w:rPr>
        <w:t xml:space="preserve"> </w:t>
      </w:r>
      <w:r>
        <w:rPr>
          <w:color w:val="231F20"/>
        </w:rPr>
        <w:t>of</w:t>
      </w:r>
      <w:r>
        <w:rPr>
          <w:color w:val="231F20"/>
          <w:spacing w:val="26"/>
        </w:rPr>
        <w:t xml:space="preserve"> </w:t>
      </w:r>
      <w:r>
        <w:rPr>
          <w:color w:val="231F20"/>
        </w:rPr>
        <w:t>communication</w:t>
      </w:r>
      <w:r>
        <w:rPr>
          <w:color w:val="231F20"/>
          <w:spacing w:val="26"/>
        </w:rPr>
        <w:t xml:space="preserve"> </w:t>
      </w:r>
      <w:r>
        <w:rPr>
          <w:color w:val="231F20"/>
        </w:rPr>
        <w:t>and</w:t>
      </w:r>
      <w:r>
        <w:rPr>
          <w:color w:val="231F20"/>
          <w:spacing w:val="26"/>
        </w:rPr>
        <w:t xml:space="preserve"> </w:t>
      </w:r>
      <w:r>
        <w:rPr>
          <w:color w:val="231F20"/>
        </w:rPr>
        <w:t>information</w:t>
      </w:r>
      <w:r>
        <w:rPr>
          <w:color w:val="231F20"/>
          <w:spacing w:val="26"/>
        </w:rPr>
        <w:t xml:space="preserve"> </w:t>
      </w:r>
      <w:r>
        <w:rPr>
          <w:color w:val="231F20"/>
        </w:rPr>
        <w:t>control,</w:t>
      </w:r>
      <w:r>
        <w:rPr>
          <w:color w:val="231F20"/>
          <w:spacing w:val="26"/>
        </w:rPr>
        <w:t xml:space="preserve"> </w:t>
      </w:r>
      <w:r>
        <w:rPr>
          <w:color w:val="231F20"/>
        </w:rPr>
        <w:t>and</w:t>
      </w:r>
      <w:r>
        <w:rPr>
          <w:color w:val="231F20"/>
          <w:spacing w:val="26"/>
        </w:rPr>
        <w:t xml:space="preserve"> </w:t>
      </w:r>
      <w:r>
        <w:rPr>
          <w:color w:val="231F20"/>
        </w:rPr>
        <w:t>the</w:t>
      </w:r>
      <w:r>
        <w:rPr>
          <w:color w:val="231F20"/>
          <w:spacing w:val="26"/>
        </w:rPr>
        <w:t xml:space="preserve"> </w:t>
      </w:r>
      <w:r>
        <w:rPr>
          <w:color w:val="231F20"/>
        </w:rPr>
        <w:t>means</w:t>
      </w:r>
    </w:p>
    <w:p w14:paraId="3AAD1B0A" w14:textId="77777777" w:rsidR="002653E8" w:rsidRDefault="00000000">
      <w:pPr>
        <w:pStyle w:val="a3"/>
        <w:spacing w:before="3"/>
        <w:rPr>
          <w:sz w:val="25"/>
        </w:rPr>
      </w:pPr>
      <w:r>
        <w:rPr>
          <w:noProof w:val="0"/>
        </w:rPr>
        <w:pict w14:anchorId="71A2F53D">
          <v:line id="_x0000_s2466" style="position:absolute;z-index:5512;mso-wrap-distance-left:0;mso-wrap-distance-right:0;mso-position-horizontal-relative:page" from="57.4pt,17.05pt" to="129.4pt,17.05pt" strokecolor="#231f20" strokeweight=".5pt">
            <w10:wrap type="topAndBottom" anchorx="page"/>
          </v:line>
        </w:pict>
      </w:r>
    </w:p>
    <w:p w14:paraId="1DF33390" w14:textId="77777777" w:rsidR="002653E8" w:rsidRDefault="003115E3">
      <w:pPr>
        <w:spacing w:before="53" w:line="254" w:lineRule="auto"/>
        <w:ind w:left="1147" w:right="1513"/>
        <w:rPr>
          <w:sz w:val="16"/>
        </w:rPr>
      </w:pPr>
      <w:r>
        <w:rPr>
          <w:color w:val="231F20"/>
          <w:w w:val="105"/>
          <w:sz w:val="16"/>
        </w:rPr>
        <w:t>1 In the correct version of this quote (</w:t>
      </w:r>
      <w:r>
        <w:rPr>
          <w:i/>
          <w:color w:val="231F20"/>
          <w:w w:val="105"/>
          <w:sz w:val="16"/>
        </w:rPr>
        <w:t xml:space="preserve">Capital </w:t>
      </w:r>
      <w:r>
        <w:rPr>
          <w:color w:val="231F20"/>
          <w:w w:val="105"/>
          <w:sz w:val="16"/>
        </w:rPr>
        <w:t xml:space="preserve">Volume I, chapter 15, volume 5), this year is 1830. An error was made either as this document was being written by the </w:t>
      </w:r>
      <w:r w:rsidR="00C507A5">
        <w:rPr>
          <w:color w:val="231F20"/>
          <w:w w:val="105"/>
          <w:sz w:val="16"/>
        </w:rPr>
        <w:t>red army faction</w:t>
      </w:r>
      <w:r>
        <w:rPr>
          <w:color w:val="231F20"/>
          <w:w w:val="105"/>
          <w:sz w:val="16"/>
        </w:rPr>
        <w:t xml:space="preserve"> or when it was transcribed by supporters, and the year became 1880.</w:t>
      </w:r>
    </w:p>
    <w:p w14:paraId="160DE87E" w14:textId="77777777" w:rsidR="002653E8" w:rsidRDefault="002653E8">
      <w:pPr>
        <w:spacing w:line="254" w:lineRule="auto"/>
        <w:rPr>
          <w:sz w:val="16"/>
        </w:rPr>
        <w:sectPr w:rsidR="002653E8">
          <w:pgSz w:w="8640" w:h="12960"/>
          <w:pgMar w:top="1060" w:right="0" w:bottom="1040" w:left="0" w:header="0" w:footer="850" w:gutter="0"/>
          <w:cols w:space="720"/>
        </w:sectPr>
      </w:pPr>
    </w:p>
    <w:p w14:paraId="2E9CE0B3" w14:textId="77777777" w:rsidR="002653E8" w:rsidRDefault="003115E3">
      <w:pPr>
        <w:pStyle w:val="a3"/>
        <w:spacing w:before="86" w:line="264" w:lineRule="auto"/>
        <w:ind w:left="1328" w:right="1145" w:hanging="1"/>
        <w:jc w:val="both"/>
      </w:pPr>
      <w:r>
        <w:rPr>
          <w:color w:val="231F20"/>
        </w:rPr>
        <w:lastRenderedPageBreak/>
        <w:t>of transportation. Their strategy for conquest is based on  invest ments, transfer of profits, information policy, diversification, marketing, sales planning, and stockpiling. Their occupier or colonial ideol ogy means controlling currency and creating work. Their goal is to assimilate, repress, and rob—the alternative offered is starvation and extermination.</w:t>
      </w:r>
    </w:p>
    <w:p w14:paraId="5364EBF9" w14:textId="77777777" w:rsidR="002653E8" w:rsidRDefault="002653E8">
      <w:pPr>
        <w:pStyle w:val="a3"/>
        <w:spacing w:before="4"/>
        <w:rPr>
          <w:sz w:val="21"/>
        </w:rPr>
      </w:pPr>
    </w:p>
    <w:p w14:paraId="61BD8B18" w14:textId="77777777" w:rsidR="002653E8" w:rsidRDefault="003115E3">
      <w:pPr>
        <w:ind w:left="1328"/>
        <w:jc w:val="both"/>
        <w:rPr>
          <w:i/>
          <w:sz w:val="20"/>
        </w:rPr>
      </w:pPr>
      <w:r>
        <w:rPr>
          <w:i/>
          <w:color w:val="231F20"/>
          <w:w w:val="110"/>
          <w:sz w:val="20"/>
        </w:rPr>
        <w:t>Oil Investments</w:t>
      </w:r>
    </w:p>
    <w:p w14:paraId="3F8DF72E" w14:textId="77777777" w:rsidR="002653E8" w:rsidRDefault="003115E3">
      <w:pPr>
        <w:pStyle w:val="a3"/>
        <w:spacing w:before="23" w:line="264" w:lineRule="auto"/>
        <w:ind w:left="1327" w:right="1146"/>
        <w:jc w:val="both"/>
      </w:pPr>
      <w:r>
        <w:rPr>
          <w:color w:val="231F20"/>
        </w:rPr>
        <w:t xml:space="preserve">Oil is the primary issue in the states that support the Palestinian liberation movement. </w:t>
      </w:r>
      <w:r>
        <w:rPr>
          <w:color w:val="231F20"/>
          <w:spacing w:val="-3"/>
        </w:rPr>
        <w:t>70</w:t>
      </w:r>
      <w:r>
        <w:rPr>
          <w:color w:val="231F20"/>
          <w:spacing w:val="-3"/>
          <w:sz w:val="16"/>
        </w:rPr>
        <w:t xml:space="preserve">% </w:t>
      </w:r>
      <w:r>
        <w:rPr>
          <w:color w:val="231F20"/>
        </w:rPr>
        <w:t xml:space="preserve">of  Western  Europe’s  oil  imports  come  from there. Western Europe’s demand for oil will double by  </w:t>
      </w:r>
      <w:r>
        <w:rPr>
          <w:color w:val="231F20"/>
          <w:spacing w:val="-9"/>
        </w:rPr>
        <w:t xml:space="preserve">1985  </w:t>
      </w:r>
      <w:r>
        <w:rPr>
          <w:color w:val="231F20"/>
          <w:spacing w:val="-5"/>
        </w:rPr>
        <w:t xml:space="preserve">(1970: </w:t>
      </w:r>
      <w:r>
        <w:rPr>
          <w:color w:val="231F20"/>
          <w:spacing w:val="-4"/>
        </w:rPr>
        <w:t xml:space="preserve">647 </w:t>
      </w:r>
      <w:r>
        <w:rPr>
          <w:color w:val="231F20"/>
        </w:rPr>
        <w:t xml:space="preserve">million </w:t>
      </w:r>
      <w:r>
        <w:rPr>
          <w:color w:val="231F20"/>
          <w:spacing w:val="-3"/>
        </w:rPr>
        <w:t xml:space="preserve">tons). </w:t>
      </w:r>
      <w:r>
        <w:rPr>
          <w:color w:val="231F20"/>
        </w:rPr>
        <w:t xml:space="preserve">The corporations and their governments are determining their oil policy based on the spectre of revolutionary Arab regimes using this demand for oil to </w:t>
      </w:r>
      <w:r>
        <w:rPr>
          <w:color w:val="231F20"/>
          <w:spacing w:val="1"/>
        </w:rPr>
        <w:t xml:space="preserve">carry </w:t>
      </w:r>
      <w:r>
        <w:rPr>
          <w:color w:val="231F20"/>
        </w:rPr>
        <w:t>through their own industrialization. This would mark the end of oil corporations making profits    of more than</w:t>
      </w:r>
      <w:r>
        <w:rPr>
          <w:color w:val="231F20"/>
          <w:spacing w:val="33"/>
        </w:rPr>
        <w:t xml:space="preserve"> </w:t>
      </w:r>
      <w:r>
        <w:rPr>
          <w:color w:val="231F20"/>
        </w:rPr>
        <w:t>100</w:t>
      </w:r>
      <w:r>
        <w:rPr>
          <w:color w:val="231F20"/>
          <w:sz w:val="16"/>
        </w:rPr>
        <w:t>%</w:t>
      </w:r>
      <w:r>
        <w:rPr>
          <w:color w:val="231F20"/>
        </w:rPr>
        <w:t>.</w:t>
      </w:r>
    </w:p>
    <w:p w14:paraId="445062EC" w14:textId="77777777" w:rsidR="002653E8" w:rsidRDefault="002653E8">
      <w:pPr>
        <w:pStyle w:val="a3"/>
        <w:spacing w:before="2"/>
        <w:rPr>
          <w:sz w:val="21"/>
        </w:rPr>
      </w:pPr>
    </w:p>
    <w:p w14:paraId="5AEFCEF3" w14:textId="77777777" w:rsidR="002653E8" w:rsidRDefault="003115E3">
      <w:pPr>
        <w:ind w:left="1327"/>
        <w:jc w:val="both"/>
        <w:rPr>
          <w:i/>
          <w:sz w:val="20"/>
        </w:rPr>
      </w:pPr>
      <w:r>
        <w:rPr>
          <w:i/>
          <w:color w:val="231F20"/>
          <w:w w:val="105"/>
          <w:sz w:val="20"/>
        </w:rPr>
        <w:t>Algeria’s Natural Gas</w:t>
      </w:r>
    </w:p>
    <w:p w14:paraId="3CE32A9A" w14:textId="77777777" w:rsidR="002653E8" w:rsidRDefault="003115E3">
      <w:pPr>
        <w:pStyle w:val="a3"/>
        <w:spacing w:before="22" w:line="264" w:lineRule="auto"/>
        <w:ind w:left="1327" w:right="1145"/>
        <w:jc w:val="both"/>
      </w:pPr>
      <w:r>
        <w:rPr>
          <w:color w:val="231F20"/>
        </w:rPr>
        <w:t>American corporations are investing millions of dollars in profit liquefying Algerian natural gas and shipping it by sea, so as to play Algerian natural gas off against that of Libya and against Arab  oil:  Kuwait,  Libya, Syria, Iraq, Saudi</w:t>
      </w:r>
      <w:r>
        <w:rPr>
          <w:color w:val="231F20"/>
          <w:spacing w:val="6"/>
        </w:rPr>
        <w:t xml:space="preserve"> </w:t>
      </w:r>
      <w:r>
        <w:rPr>
          <w:color w:val="231F20"/>
        </w:rPr>
        <w:t>Arabia.</w:t>
      </w:r>
    </w:p>
    <w:p w14:paraId="71E6261E" w14:textId="77777777" w:rsidR="002653E8" w:rsidRDefault="002653E8">
      <w:pPr>
        <w:pStyle w:val="a3"/>
        <w:spacing w:before="6"/>
        <w:rPr>
          <w:sz w:val="21"/>
        </w:rPr>
      </w:pPr>
    </w:p>
    <w:p w14:paraId="25513460" w14:textId="77777777" w:rsidR="002653E8" w:rsidRDefault="003115E3">
      <w:pPr>
        <w:ind w:left="1327"/>
        <w:jc w:val="both"/>
        <w:rPr>
          <w:i/>
          <w:sz w:val="20"/>
        </w:rPr>
      </w:pPr>
      <w:r>
        <w:rPr>
          <w:i/>
          <w:color w:val="231F20"/>
          <w:w w:val="105"/>
          <w:sz w:val="20"/>
        </w:rPr>
        <w:t>Pipelines</w:t>
      </w:r>
    </w:p>
    <w:p w14:paraId="37531ADF" w14:textId="77777777" w:rsidR="002653E8" w:rsidRDefault="003115E3">
      <w:pPr>
        <w:pStyle w:val="a3"/>
        <w:spacing w:before="23" w:line="264" w:lineRule="auto"/>
        <w:ind w:left="1327" w:right="1145"/>
        <w:jc w:val="both"/>
      </w:pPr>
      <w:r>
        <w:rPr>
          <w:color w:val="231F20"/>
        </w:rPr>
        <w:t>West European consortiums (Bayerngas—Saarferngas—Gasversorgung Süddeutschland) invest billion-dm sums to build pipelines (1 km costs between 1 and 2 million dm)</w:t>
      </w:r>
      <w:r>
        <w:rPr>
          <w:color w:val="231F20"/>
          <w:position w:val="7"/>
          <w:sz w:val="11"/>
        </w:rPr>
        <w:t xml:space="preserve">2 </w:t>
      </w:r>
      <w:r>
        <w:rPr>
          <w:color w:val="231F20"/>
        </w:rPr>
        <w:t>to transport Algerian natural gas so as to partially reduce their dependence on Middle Eastern oil.</w:t>
      </w:r>
    </w:p>
    <w:p w14:paraId="0A3AA83E" w14:textId="77777777" w:rsidR="002653E8" w:rsidRDefault="002653E8">
      <w:pPr>
        <w:pStyle w:val="a3"/>
        <w:spacing w:before="6"/>
        <w:rPr>
          <w:sz w:val="21"/>
        </w:rPr>
      </w:pPr>
    </w:p>
    <w:p w14:paraId="07551417" w14:textId="77777777" w:rsidR="002653E8" w:rsidRDefault="003115E3">
      <w:pPr>
        <w:ind w:left="1328"/>
        <w:jc w:val="both"/>
        <w:rPr>
          <w:i/>
          <w:sz w:val="20"/>
        </w:rPr>
      </w:pPr>
      <w:r>
        <w:rPr>
          <w:i/>
          <w:color w:val="231F20"/>
          <w:w w:val="105"/>
          <w:sz w:val="20"/>
        </w:rPr>
        <w:t>North Sea Oil</w:t>
      </w:r>
    </w:p>
    <w:p w14:paraId="65F0675B" w14:textId="77777777" w:rsidR="002653E8" w:rsidRDefault="003115E3">
      <w:pPr>
        <w:pStyle w:val="a3"/>
        <w:spacing w:before="22" w:line="264" w:lineRule="auto"/>
        <w:ind w:left="1327" w:right="1145"/>
        <w:jc w:val="both"/>
      </w:pPr>
      <w:r>
        <w:rPr>
          <w:color w:val="231F20"/>
        </w:rPr>
        <w:t>Oil companies and governments invest billions in oil and natural gas extraction in the North Sea. With regards to development costs, North Sea oil is ten times as expensive as oil from the Persian Gulf—only every sixth drill point is successful, construction and installation expenses for platforms, underwater pipelines. (North Sea oil makes up an estimated 1</w:t>
      </w:r>
      <w:r>
        <w:rPr>
          <w:color w:val="231F20"/>
          <w:sz w:val="16"/>
        </w:rPr>
        <w:t xml:space="preserve">% </w:t>
      </w:r>
      <w:r>
        <w:rPr>
          <w:color w:val="231F20"/>
        </w:rPr>
        <w:t>of the world reserves; reserves in the Middle East make up 60</w:t>
      </w:r>
      <w:r>
        <w:rPr>
          <w:color w:val="231F20"/>
          <w:sz w:val="16"/>
        </w:rPr>
        <w:t>%</w:t>
      </w:r>
      <w:r>
        <w:rPr>
          <w:color w:val="231F20"/>
        </w:rPr>
        <w:t>.) This is considered preferable to having a flexible approach to the Middle East. According to the European Economic Community (EEC) Europe</w:t>
      </w:r>
    </w:p>
    <w:p w14:paraId="52BA0651" w14:textId="77777777" w:rsidR="002653E8" w:rsidRDefault="00000000">
      <w:pPr>
        <w:pStyle w:val="a3"/>
        <w:spacing w:before="10"/>
        <w:rPr>
          <w:sz w:val="14"/>
        </w:rPr>
      </w:pPr>
      <w:r>
        <w:rPr>
          <w:noProof w:val="0"/>
        </w:rPr>
        <w:pict w14:anchorId="13A70C31">
          <v:line id="_x0000_s2465" style="position:absolute;z-index:5536;mso-wrap-distance-left:0;mso-wrap-distance-right:0;mso-position-horizontal-relative:page" from="66.4pt,10.9pt" to="138.4pt,10.9pt" strokecolor="#231f20" strokeweight=".5pt">
            <w10:wrap type="topAndBottom" anchorx="page"/>
          </v:line>
        </w:pict>
      </w:r>
    </w:p>
    <w:p w14:paraId="45913FB8" w14:textId="77777777" w:rsidR="002653E8" w:rsidRDefault="003115E3">
      <w:pPr>
        <w:spacing w:before="53"/>
        <w:ind w:left="1327"/>
        <w:rPr>
          <w:sz w:val="16"/>
        </w:rPr>
      </w:pPr>
      <w:r>
        <w:rPr>
          <w:color w:val="231F20"/>
          <w:w w:val="110"/>
          <w:sz w:val="16"/>
        </w:rPr>
        <w:t>2 Roughly between $364,000 and $728,000.</w:t>
      </w:r>
    </w:p>
    <w:p w14:paraId="70465E11" w14:textId="77777777" w:rsidR="002653E8" w:rsidRDefault="002653E8">
      <w:pPr>
        <w:rPr>
          <w:sz w:val="16"/>
        </w:rPr>
        <w:sectPr w:rsidR="002653E8">
          <w:pgSz w:w="8640" w:h="12960"/>
          <w:pgMar w:top="1060" w:right="0" w:bottom="1040" w:left="0" w:header="0" w:footer="850" w:gutter="0"/>
          <w:cols w:space="720"/>
        </w:sectPr>
      </w:pPr>
    </w:p>
    <w:p w14:paraId="5693A56A" w14:textId="77777777" w:rsidR="002653E8" w:rsidRDefault="003115E3">
      <w:pPr>
        <w:pStyle w:val="a3"/>
        <w:spacing w:before="86" w:line="264" w:lineRule="auto"/>
        <w:ind w:left="1147" w:right="1325"/>
        <w:jc w:val="both"/>
      </w:pPr>
      <w:r>
        <w:rPr>
          <w:color w:val="231F20"/>
        </w:rPr>
        <w:lastRenderedPageBreak/>
        <w:t>Committee, “The increasing pressure on Western societies from some oil countries could lead to supply problems in the case of a political crisis”—meaning the problems that corporations will have maintaining their current high rates of</w:t>
      </w:r>
      <w:r>
        <w:rPr>
          <w:color w:val="231F20"/>
          <w:spacing w:val="8"/>
        </w:rPr>
        <w:t xml:space="preserve"> </w:t>
      </w:r>
      <w:r>
        <w:rPr>
          <w:color w:val="231F20"/>
        </w:rPr>
        <w:t>profit.</w:t>
      </w:r>
    </w:p>
    <w:p w14:paraId="793DBB6E" w14:textId="77777777" w:rsidR="002653E8" w:rsidRDefault="002653E8">
      <w:pPr>
        <w:pStyle w:val="a3"/>
        <w:spacing w:before="6"/>
        <w:rPr>
          <w:sz w:val="21"/>
        </w:rPr>
      </w:pPr>
    </w:p>
    <w:p w14:paraId="504C68B1" w14:textId="77777777" w:rsidR="002653E8" w:rsidRDefault="003115E3">
      <w:pPr>
        <w:spacing w:before="1"/>
        <w:ind w:left="1147"/>
        <w:rPr>
          <w:i/>
          <w:sz w:val="20"/>
        </w:rPr>
      </w:pPr>
      <w:r>
        <w:rPr>
          <w:i/>
          <w:color w:val="231F20"/>
          <w:w w:val="105"/>
          <w:sz w:val="20"/>
        </w:rPr>
        <w:t>Australia and Canada</w:t>
      </w:r>
    </w:p>
    <w:p w14:paraId="1E59205A" w14:textId="77777777" w:rsidR="002653E8" w:rsidRDefault="003115E3">
      <w:pPr>
        <w:pStyle w:val="a3"/>
        <w:spacing w:before="22" w:line="264" w:lineRule="auto"/>
        <w:ind w:left="1147" w:right="1325"/>
        <w:jc w:val="both"/>
      </w:pPr>
      <w:r>
        <w:rPr>
          <w:color w:val="231F20"/>
        </w:rPr>
        <w:t xml:space="preserve">Regarding raw materials available in Australia and Canada, the economic edition of </w:t>
      </w:r>
      <w:r>
        <w:rPr>
          <w:i/>
          <w:color w:val="231F20"/>
        </w:rPr>
        <w:t xml:space="preserve">FAZ </w:t>
      </w:r>
      <w:r>
        <w:rPr>
          <w:color w:val="231F20"/>
        </w:rPr>
        <w:t>wrote with cynical, capitalist bluntness, “The developing countries’ position has deteriorated as a result of the discovery of enormous natural resource reserves in Canada and Australia. The geologically favorable sites in these countries, with their stable governments, lower taxes, and developed industry, have attracted the attention of multinationals from all over the world.”</w:t>
      </w:r>
    </w:p>
    <w:p w14:paraId="5C3ACC33" w14:textId="77777777" w:rsidR="002653E8" w:rsidRDefault="002653E8">
      <w:pPr>
        <w:pStyle w:val="a3"/>
        <w:spacing w:before="3"/>
        <w:rPr>
          <w:sz w:val="21"/>
        </w:rPr>
      </w:pPr>
    </w:p>
    <w:p w14:paraId="56B8A082" w14:textId="77777777" w:rsidR="002653E8" w:rsidRDefault="003115E3">
      <w:pPr>
        <w:ind w:left="1148"/>
        <w:rPr>
          <w:i/>
          <w:sz w:val="20"/>
        </w:rPr>
      </w:pPr>
      <w:r>
        <w:rPr>
          <w:i/>
          <w:color w:val="231F20"/>
          <w:w w:val="105"/>
          <w:sz w:val="20"/>
        </w:rPr>
        <w:t>The Conference in Santiago de Chile</w:t>
      </w:r>
    </w:p>
    <w:p w14:paraId="03F28F38" w14:textId="77777777" w:rsidR="002653E8" w:rsidRDefault="003115E3">
      <w:pPr>
        <w:pStyle w:val="a3"/>
        <w:spacing w:before="22" w:line="264" w:lineRule="auto"/>
        <w:ind w:left="1148" w:right="1325"/>
        <w:jc w:val="both"/>
      </w:pPr>
      <w:r>
        <w:rPr>
          <w:color w:val="231F20"/>
          <w:spacing w:val="1"/>
        </w:rPr>
        <w:t xml:space="preserve">In </w:t>
      </w:r>
      <w:r>
        <w:rPr>
          <w:color w:val="231F20"/>
        </w:rPr>
        <w:t xml:space="preserve">April and May </w:t>
      </w:r>
      <w:r>
        <w:rPr>
          <w:color w:val="231F20"/>
          <w:spacing w:val="-3"/>
        </w:rPr>
        <w:t xml:space="preserve">1972, </w:t>
      </w:r>
      <w:r>
        <w:rPr>
          <w:color w:val="231F20"/>
        </w:rPr>
        <w:t xml:space="preserve">at the conference in Santiago de Chile, the “developing countries” attempted to establish fixed prices for raw materials. </w:t>
      </w:r>
      <w:r>
        <w:rPr>
          <w:color w:val="231F20"/>
          <w:spacing w:val="1"/>
        </w:rPr>
        <w:t xml:space="preserve">In </w:t>
      </w:r>
      <w:r>
        <w:rPr>
          <w:color w:val="231F20"/>
        </w:rPr>
        <w:t xml:space="preserve">response to their powerlessness, the </w:t>
      </w:r>
      <w:r>
        <w:rPr>
          <w:i/>
          <w:color w:val="231F20"/>
        </w:rPr>
        <w:t xml:space="preserve">FAZ </w:t>
      </w:r>
      <w:r>
        <w:rPr>
          <w:color w:val="231F20"/>
        </w:rPr>
        <w:t xml:space="preserve">writes, with the condescension and consciousness of a corporate bulletin, “The developing countries overlook the fact that natural resource reserves alone do not constitute wealth. </w:t>
      </w:r>
      <w:r>
        <w:rPr>
          <w:color w:val="231F20"/>
          <w:spacing w:val="1"/>
        </w:rPr>
        <w:t xml:space="preserve">In </w:t>
      </w:r>
      <w:r>
        <w:rPr>
          <w:color w:val="231F20"/>
        </w:rPr>
        <w:t xml:space="preserve">the final analysis, development, transport, and technical research are more important, and we control an ample share of the </w:t>
      </w:r>
      <w:r>
        <w:rPr>
          <w:color w:val="231F20"/>
          <w:spacing w:val="-4"/>
        </w:rPr>
        <w:t xml:space="preserve">world’s </w:t>
      </w:r>
      <w:r>
        <w:rPr>
          <w:color w:val="231F20"/>
        </w:rPr>
        <w:t>reserves of those. It is no accident that the powerful multinational corporations, with their restrictive policies, exercise substantial</w:t>
      </w:r>
      <w:r>
        <w:rPr>
          <w:color w:val="231F20"/>
          <w:spacing w:val="7"/>
        </w:rPr>
        <w:t xml:space="preserve"> </w:t>
      </w:r>
      <w:r>
        <w:rPr>
          <w:color w:val="231F20"/>
        </w:rPr>
        <w:t>restraint</w:t>
      </w:r>
      <w:r>
        <w:rPr>
          <w:color w:val="231F20"/>
          <w:spacing w:val="7"/>
        </w:rPr>
        <w:t xml:space="preserve"> </w:t>
      </w:r>
      <w:r>
        <w:rPr>
          <w:color w:val="231F20"/>
        </w:rPr>
        <w:t>in</w:t>
      </w:r>
      <w:r>
        <w:rPr>
          <w:color w:val="231F20"/>
          <w:spacing w:val="7"/>
        </w:rPr>
        <w:t xml:space="preserve"> </w:t>
      </w:r>
      <w:r>
        <w:rPr>
          <w:color w:val="231F20"/>
        </w:rPr>
        <w:t>their</w:t>
      </w:r>
      <w:r>
        <w:rPr>
          <w:color w:val="231F20"/>
          <w:spacing w:val="7"/>
        </w:rPr>
        <w:t xml:space="preserve"> </w:t>
      </w:r>
      <w:r>
        <w:rPr>
          <w:color w:val="231F20"/>
        </w:rPr>
        <w:t>investments</w:t>
      </w:r>
      <w:r>
        <w:rPr>
          <w:color w:val="231F20"/>
          <w:spacing w:val="7"/>
        </w:rPr>
        <w:t xml:space="preserve"> </w:t>
      </w:r>
      <w:r>
        <w:rPr>
          <w:color w:val="231F20"/>
        </w:rPr>
        <w:t>in</w:t>
      </w:r>
      <w:r>
        <w:rPr>
          <w:color w:val="231F20"/>
          <w:spacing w:val="7"/>
        </w:rPr>
        <w:t xml:space="preserve"> </w:t>
      </w:r>
      <w:r>
        <w:rPr>
          <w:color w:val="231F20"/>
        </w:rPr>
        <w:t>the</w:t>
      </w:r>
      <w:r>
        <w:rPr>
          <w:color w:val="231F20"/>
          <w:spacing w:val="7"/>
        </w:rPr>
        <w:t xml:space="preserve"> </w:t>
      </w:r>
      <w:r>
        <w:rPr>
          <w:color w:val="231F20"/>
        </w:rPr>
        <w:t>developing</w:t>
      </w:r>
      <w:r>
        <w:rPr>
          <w:color w:val="231F20"/>
          <w:spacing w:val="7"/>
        </w:rPr>
        <w:t xml:space="preserve"> </w:t>
      </w:r>
      <w:r>
        <w:rPr>
          <w:color w:val="231F20"/>
        </w:rPr>
        <w:t>countries.”</w:t>
      </w:r>
    </w:p>
    <w:p w14:paraId="0B6D11B7" w14:textId="77777777" w:rsidR="002653E8" w:rsidRDefault="002653E8">
      <w:pPr>
        <w:pStyle w:val="a3"/>
        <w:rPr>
          <w:sz w:val="21"/>
        </w:rPr>
      </w:pPr>
    </w:p>
    <w:p w14:paraId="724D600F" w14:textId="77777777" w:rsidR="002653E8" w:rsidRDefault="003115E3">
      <w:pPr>
        <w:ind w:left="1148"/>
        <w:rPr>
          <w:i/>
          <w:sz w:val="20"/>
        </w:rPr>
      </w:pPr>
      <w:r>
        <w:rPr>
          <w:i/>
          <w:color w:val="231F20"/>
          <w:w w:val="105"/>
          <w:sz w:val="20"/>
        </w:rPr>
        <w:t>Overexploitation and Stockpiling</w:t>
      </w:r>
    </w:p>
    <w:p w14:paraId="1D6B23B3" w14:textId="77777777" w:rsidR="002653E8" w:rsidRDefault="003115E3">
      <w:pPr>
        <w:pStyle w:val="a3"/>
        <w:spacing w:before="22" w:line="264" w:lineRule="auto"/>
        <w:ind w:left="1148" w:right="1325"/>
        <w:jc w:val="both"/>
      </w:pPr>
      <w:r>
        <w:rPr>
          <w:color w:val="231F20"/>
        </w:rPr>
        <w:t xml:space="preserve">For one thing, the corporations over-exploit the raw materials of the Third </w:t>
      </w:r>
      <w:r>
        <w:rPr>
          <w:color w:val="231F20"/>
          <w:spacing w:val="-3"/>
        </w:rPr>
        <w:t xml:space="preserve">World. </w:t>
      </w:r>
      <w:r>
        <w:rPr>
          <w:color w:val="231F20"/>
          <w:spacing w:val="1"/>
        </w:rPr>
        <w:t xml:space="preserve">In </w:t>
      </w:r>
      <w:r>
        <w:rPr>
          <w:color w:val="231F20"/>
        </w:rPr>
        <w:t xml:space="preserve">Kuwait, for example, the fear is that in  </w:t>
      </w:r>
      <w:r>
        <w:rPr>
          <w:color w:val="231F20"/>
          <w:spacing w:val="-6"/>
        </w:rPr>
        <w:t xml:space="preserve">16  </w:t>
      </w:r>
      <w:r>
        <w:rPr>
          <w:color w:val="231F20"/>
        </w:rPr>
        <w:t xml:space="preserve">years—the  oil boom in Kuwait began in 1934—the oil could be exhausted. </w:t>
      </w:r>
      <w:r>
        <w:rPr>
          <w:color w:val="231F20"/>
          <w:spacing w:val="-5"/>
        </w:rPr>
        <w:t>95</w:t>
      </w:r>
      <w:r>
        <w:rPr>
          <w:color w:val="231F20"/>
          <w:spacing w:val="-5"/>
          <w:sz w:val="16"/>
        </w:rPr>
        <w:t xml:space="preserve">%          </w:t>
      </w:r>
      <w:r>
        <w:rPr>
          <w:color w:val="231F20"/>
        </w:rPr>
        <w:t xml:space="preserve">of Kuwait’s income comes from oil—800 million dollars per year for 740,000 residents. Kuwait, with </w:t>
      </w:r>
      <w:r>
        <w:rPr>
          <w:color w:val="231F20"/>
          <w:spacing w:val="-3"/>
        </w:rPr>
        <w:t>12.8</w:t>
      </w:r>
      <w:r>
        <w:rPr>
          <w:color w:val="231F20"/>
          <w:spacing w:val="-3"/>
          <w:sz w:val="16"/>
        </w:rPr>
        <w:t xml:space="preserve">% </w:t>
      </w:r>
      <w:r>
        <w:rPr>
          <w:color w:val="231F20"/>
        </w:rPr>
        <w:t xml:space="preserve">of the </w:t>
      </w:r>
      <w:r>
        <w:rPr>
          <w:color w:val="231F20"/>
          <w:spacing w:val="-4"/>
        </w:rPr>
        <w:t xml:space="preserve">world’s </w:t>
      </w:r>
      <w:r>
        <w:rPr>
          <w:color w:val="231F20"/>
        </w:rPr>
        <w:t>annual oil  income, has built up the royal treasury—a sort of nest egg. What will    they do when the oil and the money is all used up, return to herding sheep? Libya and Venezuela have already reduced their oil production to safeguard their</w:t>
      </w:r>
      <w:r>
        <w:rPr>
          <w:color w:val="231F20"/>
          <w:spacing w:val="30"/>
        </w:rPr>
        <w:t xml:space="preserve"> </w:t>
      </w:r>
      <w:r>
        <w:rPr>
          <w:color w:val="231F20"/>
        </w:rPr>
        <w:t>reserves.</w:t>
      </w:r>
    </w:p>
    <w:p w14:paraId="3245546F" w14:textId="77777777" w:rsidR="002653E8" w:rsidRDefault="003115E3">
      <w:pPr>
        <w:pStyle w:val="a3"/>
        <w:spacing w:line="264" w:lineRule="auto"/>
        <w:ind w:left="1147" w:right="1326" w:firstLine="210"/>
        <w:jc w:val="both"/>
      </w:pPr>
      <w:r>
        <w:rPr>
          <w:color w:val="231F20"/>
        </w:rPr>
        <w:t xml:space="preserve">At the same time, a policy of stockpiling has been developed in the EEC and the FRG, increasing stocks from </w:t>
      </w:r>
      <w:r>
        <w:rPr>
          <w:color w:val="231F20"/>
          <w:spacing w:val="-6"/>
        </w:rPr>
        <w:t xml:space="preserve">85 </w:t>
      </w:r>
      <w:r>
        <w:rPr>
          <w:color w:val="231F20"/>
        </w:rPr>
        <w:t xml:space="preserve">to 90 days—Iran’s portion of that is </w:t>
      </w:r>
      <w:r>
        <w:rPr>
          <w:color w:val="231F20"/>
          <w:spacing w:val="-5"/>
        </w:rPr>
        <w:t xml:space="preserve">10 </w:t>
      </w:r>
      <w:r>
        <w:rPr>
          <w:color w:val="231F20"/>
        </w:rPr>
        <w:t xml:space="preserve">million tons—the FRG needs approximately </w:t>
      </w:r>
      <w:r>
        <w:rPr>
          <w:color w:val="231F20"/>
          <w:spacing w:val="-9"/>
        </w:rPr>
        <w:t xml:space="preserve">133 </w:t>
      </w:r>
      <w:r>
        <w:rPr>
          <w:color w:val="231F20"/>
        </w:rPr>
        <w:t>million  tons of oil per</w:t>
      </w:r>
      <w:r>
        <w:rPr>
          <w:color w:val="231F20"/>
          <w:spacing w:val="42"/>
        </w:rPr>
        <w:t xml:space="preserve"> </w:t>
      </w:r>
      <w:r>
        <w:rPr>
          <w:color w:val="231F20"/>
        </w:rPr>
        <w:t>year.</w:t>
      </w:r>
    </w:p>
    <w:p w14:paraId="28C4E7F7" w14:textId="77777777" w:rsidR="002653E8" w:rsidRDefault="002653E8">
      <w:pPr>
        <w:spacing w:line="264" w:lineRule="auto"/>
        <w:jc w:val="both"/>
        <w:sectPr w:rsidR="002653E8">
          <w:footerReference w:type="even" r:id="rId180"/>
          <w:footerReference w:type="default" r:id="rId181"/>
          <w:pgSz w:w="8640" w:h="12960"/>
          <w:pgMar w:top="1060" w:right="0" w:bottom="1040" w:left="0" w:header="0" w:footer="850" w:gutter="0"/>
          <w:cols w:space="720"/>
        </w:sectPr>
      </w:pPr>
    </w:p>
    <w:p w14:paraId="2503A6B4" w14:textId="77777777" w:rsidR="002653E8" w:rsidRDefault="003115E3">
      <w:pPr>
        <w:pStyle w:val="a3"/>
        <w:spacing w:before="86" w:line="264" w:lineRule="auto"/>
        <w:ind w:left="1327" w:right="1145" w:firstLine="210"/>
        <w:jc w:val="both"/>
      </w:pPr>
      <w:r>
        <w:rPr>
          <w:color w:val="231F20"/>
        </w:rPr>
        <w:lastRenderedPageBreak/>
        <w:t xml:space="preserve">The </w:t>
      </w:r>
      <w:r>
        <w:rPr>
          <w:color w:val="231F20"/>
          <w:spacing w:val="2"/>
        </w:rPr>
        <w:t xml:space="preserve">U.S.A. </w:t>
      </w:r>
      <w:r>
        <w:rPr>
          <w:color w:val="231F20"/>
        </w:rPr>
        <w:t xml:space="preserve">has undertaken a massive conservation program—by </w:t>
      </w:r>
      <w:r>
        <w:rPr>
          <w:color w:val="231F20"/>
          <w:spacing w:val="-3"/>
        </w:rPr>
        <w:t xml:space="preserve">1980, </w:t>
      </w:r>
      <w:r>
        <w:rPr>
          <w:color w:val="231F20"/>
          <w:spacing w:val="-6"/>
        </w:rPr>
        <w:t xml:space="preserve">365 </w:t>
      </w:r>
      <w:r>
        <w:rPr>
          <w:color w:val="231F20"/>
        </w:rPr>
        <w:t>million tons of oil will have been saved—however 770 million tons will still be required. The conservation measures will include shifting commercial transportation from trucks to the railroad, passenger traffic from the air to the ground, and city traffic from automobiles to mass</w:t>
      </w:r>
      <w:r>
        <w:rPr>
          <w:color w:val="231F20"/>
          <w:spacing w:val="21"/>
        </w:rPr>
        <w:t xml:space="preserve"> </w:t>
      </w:r>
      <w:r>
        <w:rPr>
          <w:color w:val="231F20"/>
        </w:rPr>
        <w:t>transit.</w:t>
      </w:r>
    </w:p>
    <w:p w14:paraId="181F152B" w14:textId="77777777" w:rsidR="002653E8" w:rsidRDefault="002653E8">
      <w:pPr>
        <w:pStyle w:val="a3"/>
        <w:spacing w:before="4"/>
        <w:rPr>
          <w:sz w:val="21"/>
        </w:rPr>
      </w:pPr>
    </w:p>
    <w:p w14:paraId="7B7BDAEC" w14:textId="77777777" w:rsidR="002653E8" w:rsidRDefault="003115E3">
      <w:pPr>
        <w:ind w:left="1328"/>
        <w:rPr>
          <w:i/>
          <w:sz w:val="20"/>
        </w:rPr>
      </w:pPr>
      <w:r>
        <w:rPr>
          <w:i/>
          <w:color w:val="231F20"/>
          <w:w w:val="105"/>
          <w:sz w:val="20"/>
        </w:rPr>
        <w:t>Oil and Traffic-Related Deaths</w:t>
      </w:r>
    </w:p>
    <w:p w14:paraId="598A9ACD" w14:textId="77777777" w:rsidR="002653E8" w:rsidRDefault="003115E3">
      <w:pPr>
        <w:pStyle w:val="a3"/>
        <w:spacing w:before="23" w:line="264" w:lineRule="auto"/>
        <w:ind w:left="1327" w:right="1145"/>
        <w:jc w:val="both"/>
      </w:pPr>
      <w:r>
        <w:rPr>
          <w:color w:val="231F20"/>
          <w:spacing w:val="1"/>
          <w:w w:val="105"/>
        </w:rPr>
        <w:t xml:space="preserve">In </w:t>
      </w:r>
      <w:r>
        <w:rPr>
          <w:color w:val="231F20"/>
          <w:w w:val="105"/>
        </w:rPr>
        <w:t>the FRG, to give one example, the automobile industry has demanded a tribute of 170,000 traffic-related deaths over the past ten years—in</w:t>
      </w:r>
      <w:r>
        <w:rPr>
          <w:color w:val="231F20"/>
          <w:spacing w:val="-5"/>
          <w:w w:val="105"/>
        </w:rPr>
        <w:t xml:space="preserve"> </w:t>
      </w:r>
      <w:r>
        <w:rPr>
          <w:color w:val="231F20"/>
          <w:w w:val="105"/>
        </w:rPr>
        <w:t>the</w:t>
      </w:r>
      <w:r>
        <w:rPr>
          <w:color w:val="231F20"/>
          <w:spacing w:val="-5"/>
          <w:w w:val="105"/>
        </w:rPr>
        <w:t xml:space="preserve"> </w:t>
      </w:r>
      <w:r>
        <w:rPr>
          <w:color w:val="231F20"/>
          <w:spacing w:val="1"/>
          <w:w w:val="105"/>
        </w:rPr>
        <w:t>U.S.A.,</w:t>
      </w:r>
      <w:r>
        <w:rPr>
          <w:color w:val="231F20"/>
          <w:spacing w:val="-4"/>
          <w:w w:val="105"/>
        </w:rPr>
        <w:t xml:space="preserve"> </w:t>
      </w:r>
      <w:r>
        <w:rPr>
          <w:color w:val="231F20"/>
          <w:w w:val="105"/>
        </w:rPr>
        <w:t>56,000</w:t>
      </w:r>
      <w:r>
        <w:rPr>
          <w:color w:val="231F20"/>
          <w:spacing w:val="-5"/>
          <w:w w:val="105"/>
        </w:rPr>
        <w:t xml:space="preserve"> </w:t>
      </w:r>
      <w:r>
        <w:rPr>
          <w:color w:val="231F20"/>
          <w:w w:val="105"/>
        </w:rPr>
        <w:t>deaths</w:t>
      </w:r>
      <w:r>
        <w:rPr>
          <w:color w:val="231F20"/>
          <w:spacing w:val="-5"/>
          <w:w w:val="105"/>
        </w:rPr>
        <w:t xml:space="preserve"> </w:t>
      </w:r>
      <w:r>
        <w:rPr>
          <w:color w:val="231F20"/>
          <w:w w:val="105"/>
        </w:rPr>
        <w:t>are</w:t>
      </w:r>
      <w:r>
        <w:rPr>
          <w:color w:val="231F20"/>
          <w:spacing w:val="-5"/>
          <w:w w:val="105"/>
        </w:rPr>
        <w:t xml:space="preserve"> </w:t>
      </w:r>
      <w:r>
        <w:rPr>
          <w:color w:val="231F20"/>
          <w:w w:val="105"/>
        </w:rPr>
        <w:t>projected</w:t>
      </w:r>
      <w:r>
        <w:rPr>
          <w:color w:val="231F20"/>
          <w:spacing w:val="-5"/>
          <w:w w:val="105"/>
        </w:rPr>
        <w:t xml:space="preserve"> </w:t>
      </w:r>
      <w:r>
        <w:rPr>
          <w:color w:val="231F20"/>
          <w:w w:val="105"/>
        </w:rPr>
        <w:t>for</w:t>
      </w:r>
      <w:r>
        <w:rPr>
          <w:color w:val="231F20"/>
          <w:spacing w:val="-5"/>
          <w:w w:val="105"/>
        </w:rPr>
        <w:t xml:space="preserve"> </w:t>
      </w:r>
      <w:r>
        <w:rPr>
          <w:color w:val="231F20"/>
          <w:spacing w:val="-3"/>
          <w:w w:val="105"/>
        </w:rPr>
        <w:t>1972,</w:t>
      </w:r>
      <w:r>
        <w:rPr>
          <w:color w:val="231F20"/>
          <w:spacing w:val="-5"/>
          <w:w w:val="105"/>
        </w:rPr>
        <w:t xml:space="preserve"> </w:t>
      </w:r>
      <w:r>
        <w:rPr>
          <w:color w:val="231F20"/>
          <w:w w:val="105"/>
        </w:rPr>
        <w:t>in</w:t>
      </w:r>
      <w:r>
        <w:rPr>
          <w:color w:val="231F20"/>
          <w:spacing w:val="-5"/>
          <w:w w:val="105"/>
        </w:rPr>
        <w:t xml:space="preserve"> </w:t>
      </w:r>
      <w:r>
        <w:rPr>
          <w:color w:val="231F20"/>
          <w:w w:val="105"/>
        </w:rPr>
        <w:t>the</w:t>
      </w:r>
      <w:r>
        <w:rPr>
          <w:color w:val="231F20"/>
          <w:spacing w:val="-4"/>
          <w:w w:val="105"/>
        </w:rPr>
        <w:t xml:space="preserve"> </w:t>
      </w:r>
      <w:r>
        <w:rPr>
          <w:color w:val="231F20"/>
          <w:spacing w:val="-3"/>
          <w:w w:val="105"/>
        </w:rPr>
        <w:t>FRG it’s</w:t>
      </w:r>
      <w:r>
        <w:rPr>
          <w:color w:val="231F20"/>
          <w:spacing w:val="-7"/>
          <w:w w:val="105"/>
        </w:rPr>
        <w:t xml:space="preserve"> </w:t>
      </w:r>
      <w:r>
        <w:rPr>
          <w:color w:val="231F20"/>
          <w:spacing w:val="2"/>
          <w:w w:val="105"/>
        </w:rPr>
        <w:t>20,000—all</w:t>
      </w:r>
      <w:r>
        <w:rPr>
          <w:color w:val="231F20"/>
          <w:spacing w:val="-7"/>
          <w:w w:val="105"/>
        </w:rPr>
        <w:t xml:space="preserve"> </w:t>
      </w:r>
      <w:r>
        <w:rPr>
          <w:color w:val="231F20"/>
          <w:w w:val="105"/>
        </w:rPr>
        <w:t>in</w:t>
      </w:r>
      <w:r>
        <w:rPr>
          <w:color w:val="231F20"/>
          <w:spacing w:val="-7"/>
          <w:w w:val="105"/>
        </w:rPr>
        <w:t xml:space="preserve"> </w:t>
      </w:r>
      <w:r>
        <w:rPr>
          <w:color w:val="231F20"/>
          <w:w w:val="105"/>
        </w:rPr>
        <w:t>the</w:t>
      </w:r>
      <w:r>
        <w:rPr>
          <w:color w:val="231F20"/>
          <w:spacing w:val="-7"/>
          <w:w w:val="105"/>
        </w:rPr>
        <w:t xml:space="preserve"> </w:t>
      </w:r>
      <w:r>
        <w:rPr>
          <w:color w:val="231F20"/>
          <w:w w:val="105"/>
        </w:rPr>
        <w:t>service</w:t>
      </w:r>
      <w:r>
        <w:rPr>
          <w:color w:val="231F20"/>
          <w:spacing w:val="-7"/>
          <w:w w:val="105"/>
        </w:rPr>
        <w:t xml:space="preserve"> </w:t>
      </w:r>
      <w:r>
        <w:rPr>
          <w:color w:val="231F20"/>
          <w:w w:val="105"/>
        </w:rPr>
        <w:t>of</w:t>
      </w:r>
      <w:r>
        <w:rPr>
          <w:color w:val="231F20"/>
          <w:spacing w:val="-7"/>
          <w:w w:val="105"/>
        </w:rPr>
        <w:t xml:space="preserve"> </w:t>
      </w:r>
      <w:r>
        <w:rPr>
          <w:color w:val="231F20"/>
          <w:w w:val="105"/>
        </w:rPr>
        <w:t>greater</w:t>
      </w:r>
      <w:r>
        <w:rPr>
          <w:color w:val="231F20"/>
          <w:spacing w:val="-7"/>
          <w:w w:val="105"/>
        </w:rPr>
        <w:t xml:space="preserve"> </w:t>
      </w:r>
      <w:r>
        <w:rPr>
          <w:color w:val="231F20"/>
          <w:w w:val="105"/>
        </w:rPr>
        <w:t>profits</w:t>
      </w:r>
      <w:r>
        <w:rPr>
          <w:color w:val="231F20"/>
          <w:spacing w:val="-7"/>
          <w:w w:val="105"/>
        </w:rPr>
        <w:t xml:space="preserve"> </w:t>
      </w:r>
      <w:r>
        <w:rPr>
          <w:color w:val="231F20"/>
          <w:w w:val="105"/>
        </w:rPr>
        <w:t>for</w:t>
      </w:r>
      <w:r>
        <w:rPr>
          <w:color w:val="231F20"/>
          <w:spacing w:val="-7"/>
          <w:w w:val="105"/>
        </w:rPr>
        <w:t xml:space="preserve"> </w:t>
      </w:r>
      <w:r>
        <w:rPr>
          <w:color w:val="231F20"/>
          <w:w w:val="105"/>
        </w:rPr>
        <w:t>oil</w:t>
      </w:r>
      <w:r>
        <w:rPr>
          <w:color w:val="231F20"/>
          <w:spacing w:val="-7"/>
          <w:w w:val="105"/>
        </w:rPr>
        <w:t xml:space="preserve"> </w:t>
      </w:r>
      <w:r>
        <w:rPr>
          <w:color w:val="231F20"/>
          <w:w w:val="105"/>
        </w:rPr>
        <w:t>and</w:t>
      </w:r>
      <w:r>
        <w:rPr>
          <w:color w:val="231F20"/>
          <w:spacing w:val="-7"/>
          <w:w w:val="105"/>
        </w:rPr>
        <w:t xml:space="preserve"> </w:t>
      </w:r>
      <w:r>
        <w:rPr>
          <w:color w:val="231F20"/>
          <w:w w:val="105"/>
        </w:rPr>
        <w:t>automobile corporations.</w:t>
      </w:r>
    </w:p>
    <w:p w14:paraId="3561891C" w14:textId="77777777" w:rsidR="002653E8" w:rsidRDefault="003115E3">
      <w:pPr>
        <w:pStyle w:val="a3"/>
        <w:spacing w:line="264" w:lineRule="auto"/>
        <w:ind w:left="1327" w:right="1146" w:firstLine="210"/>
        <w:jc w:val="both"/>
      </w:pPr>
      <w:r>
        <w:rPr>
          <w:color w:val="231F20"/>
        </w:rPr>
        <w:t xml:space="preserve">This idiotic automobile production will be reduced to create a situation suitable to corporate interests: the wiping out of the liberation movements in the Third </w:t>
      </w:r>
      <w:r>
        <w:rPr>
          <w:color w:val="231F20"/>
          <w:spacing w:val="-3"/>
        </w:rPr>
        <w:t xml:space="preserve">World. </w:t>
      </w:r>
      <w:r>
        <w:rPr>
          <w:color w:val="231F20"/>
          <w:spacing w:val="1"/>
        </w:rPr>
        <w:t xml:space="preserve">In </w:t>
      </w:r>
      <w:r>
        <w:rPr>
          <w:color w:val="231F20"/>
        </w:rPr>
        <w:t xml:space="preserve">this </w:t>
      </w:r>
      <w:r>
        <w:rPr>
          <w:color w:val="231F20"/>
          <w:spacing w:val="-2"/>
        </w:rPr>
        <w:t xml:space="preserve">way </w:t>
      </w:r>
      <w:r>
        <w:rPr>
          <w:color w:val="231F20"/>
        </w:rPr>
        <w:t xml:space="preserve">the obstacle presented by the people of the Third </w:t>
      </w:r>
      <w:r>
        <w:rPr>
          <w:color w:val="231F20"/>
          <w:spacing w:val="-4"/>
        </w:rPr>
        <w:t xml:space="preserve">World </w:t>
      </w:r>
      <w:r>
        <w:rPr>
          <w:color w:val="231F20"/>
        </w:rPr>
        <w:t>will be</w:t>
      </w:r>
      <w:r>
        <w:rPr>
          <w:color w:val="231F20"/>
          <w:spacing w:val="16"/>
        </w:rPr>
        <w:t xml:space="preserve"> </w:t>
      </w:r>
      <w:r>
        <w:rPr>
          <w:color w:val="231F20"/>
        </w:rPr>
        <w:t>eliminated.</w:t>
      </w:r>
    </w:p>
    <w:p w14:paraId="79D5BA74" w14:textId="77777777" w:rsidR="002653E8" w:rsidRDefault="003115E3">
      <w:pPr>
        <w:pStyle w:val="a3"/>
        <w:spacing w:line="264" w:lineRule="auto"/>
        <w:ind w:left="1327" w:right="1146" w:firstLine="210"/>
        <w:jc w:val="both"/>
      </w:pPr>
      <w:r>
        <w:rPr>
          <w:color w:val="231F20"/>
        </w:rPr>
        <w:t xml:space="preserve">The fear and the circular logic of consumption—the anarchy of capitalist commodity production, which is governed by the market and not the needs of the people—can exceed the limits of the human psyche, especially with the drivel about “quality of life,” for instance. </w:t>
      </w:r>
      <w:r>
        <w:rPr>
          <w:color w:val="231F20"/>
          <w:spacing w:val="1"/>
        </w:rPr>
        <w:t xml:space="preserve">In </w:t>
      </w:r>
      <w:r>
        <w:rPr>
          <w:color w:val="231F20"/>
        </w:rPr>
        <w:t xml:space="preserve">a situation where everything has been reduced to consumption—“shitty products”—the decline of the masses’ loyalty has already begun. The mass mortality in the streets through the alienation and brutalization   of the people is hitting the system in the pocketbook in a </w:t>
      </w:r>
      <w:r>
        <w:rPr>
          <w:color w:val="231F20"/>
          <w:spacing w:val="-2"/>
        </w:rPr>
        <w:t xml:space="preserve">way  </w:t>
      </w:r>
      <w:r>
        <w:rPr>
          <w:color w:val="231F20"/>
        </w:rPr>
        <w:t xml:space="preserve">they  </w:t>
      </w:r>
      <w:r>
        <w:rPr>
          <w:color w:val="231F20"/>
          <w:spacing w:val="-3"/>
        </w:rPr>
        <w:t>don’t</w:t>
      </w:r>
      <w:r>
        <w:rPr>
          <w:color w:val="231F20"/>
          <w:spacing w:val="10"/>
        </w:rPr>
        <w:t xml:space="preserve"> </w:t>
      </w:r>
      <w:r>
        <w:rPr>
          <w:color w:val="231F20"/>
        </w:rPr>
        <w:t>like.</w:t>
      </w:r>
    </w:p>
    <w:p w14:paraId="175EF8B1" w14:textId="77777777" w:rsidR="002653E8" w:rsidRDefault="002653E8">
      <w:pPr>
        <w:pStyle w:val="a3"/>
        <w:spacing w:before="2"/>
      </w:pPr>
    </w:p>
    <w:p w14:paraId="31775E37" w14:textId="77777777" w:rsidR="002653E8" w:rsidRDefault="003115E3">
      <w:pPr>
        <w:ind w:left="1327"/>
        <w:rPr>
          <w:i/>
          <w:sz w:val="20"/>
        </w:rPr>
      </w:pPr>
      <w:r>
        <w:rPr>
          <w:i/>
          <w:color w:val="231F20"/>
          <w:w w:val="105"/>
          <w:sz w:val="20"/>
        </w:rPr>
        <w:t>Boycott</w:t>
      </w:r>
    </w:p>
    <w:p w14:paraId="4B663B7F" w14:textId="77777777" w:rsidR="002653E8" w:rsidRDefault="003115E3">
      <w:pPr>
        <w:pStyle w:val="a3"/>
        <w:spacing w:before="23" w:line="264" w:lineRule="auto"/>
        <w:ind w:left="1327" w:right="1145"/>
        <w:jc w:val="both"/>
      </w:pPr>
      <w:r>
        <w:rPr>
          <w:color w:val="231F20"/>
        </w:rPr>
        <w:t xml:space="preserve">The goal is another oil boycott like that of the early 50s against </w:t>
      </w:r>
      <w:r>
        <w:rPr>
          <w:color w:val="231F20"/>
          <w:spacing w:val="-2"/>
        </w:rPr>
        <w:t>Mossadegh’s</w:t>
      </w:r>
      <w:r>
        <w:rPr>
          <w:color w:val="231F20"/>
          <w:spacing w:val="-2"/>
          <w:position w:val="7"/>
          <w:sz w:val="11"/>
        </w:rPr>
        <w:t xml:space="preserve">1 </w:t>
      </w:r>
      <w:r>
        <w:rPr>
          <w:color w:val="231F20"/>
        </w:rPr>
        <w:t xml:space="preserve">nationalization of Persian oil, which cleared the </w:t>
      </w:r>
      <w:r>
        <w:rPr>
          <w:color w:val="231F20"/>
          <w:spacing w:val="-2"/>
        </w:rPr>
        <w:t xml:space="preserve">way </w:t>
      </w:r>
      <w:r>
        <w:rPr>
          <w:color w:val="231F20"/>
        </w:rPr>
        <w:t xml:space="preserve">for the Shah, that puppet of </w:t>
      </w:r>
      <w:r>
        <w:rPr>
          <w:color w:val="231F20"/>
          <w:spacing w:val="1"/>
        </w:rPr>
        <w:t xml:space="preserve">U.S. </w:t>
      </w:r>
      <w:r>
        <w:rPr>
          <w:color w:val="231F20"/>
        </w:rPr>
        <w:t xml:space="preserve">imperialism. </w:t>
      </w:r>
      <w:r>
        <w:rPr>
          <w:color w:val="231F20"/>
          <w:spacing w:val="1"/>
        </w:rPr>
        <w:t xml:space="preserve">In </w:t>
      </w:r>
      <w:r>
        <w:rPr>
          <w:color w:val="231F20"/>
        </w:rPr>
        <w:t xml:space="preserve">response to the nationalization measures in Iraq at that time, Iran quickly stated its willingness to increase annual production from </w:t>
      </w:r>
      <w:r>
        <w:rPr>
          <w:color w:val="231F20"/>
          <w:spacing w:val="-4"/>
        </w:rPr>
        <w:t xml:space="preserve">271 </w:t>
      </w:r>
      <w:r>
        <w:rPr>
          <w:color w:val="231F20"/>
        </w:rPr>
        <w:t>million tons to 400  million tons.</w:t>
      </w:r>
      <w:r>
        <w:rPr>
          <w:color w:val="231F20"/>
          <w:spacing w:val="10"/>
        </w:rPr>
        <w:t xml:space="preserve"> </w:t>
      </w:r>
      <w:r>
        <w:rPr>
          <w:color w:val="231F20"/>
        </w:rPr>
        <w:t>This</w:t>
      </w:r>
      <w:r>
        <w:rPr>
          <w:color w:val="231F20"/>
          <w:spacing w:val="10"/>
        </w:rPr>
        <w:t xml:space="preserve"> </w:t>
      </w:r>
      <w:r>
        <w:rPr>
          <w:color w:val="231F20"/>
        </w:rPr>
        <w:t>is</w:t>
      </w:r>
      <w:r>
        <w:rPr>
          <w:color w:val="231F20"/>
          <w:spacing w:val="10"/>
        </w:rPr>
        <w:t xml:space="preserve"> </w:t>
      </w:r>
      <w:r>
        <w:rPr>
          <w:color w:val="231F20"/>
        </w:rPr>
        <w:t>the</w:t>
      </w:r>
      <w:r>
        <w:rPr>
          <w:color w:val="231F20"/>
          <w:spacing w:val="10"/>
        </w:rPr>
        <w:t xml:space="preserve"> </w:t>
      </w:r>
      <w:r>
        <w:rPr>
          <w:color w:val="231F20"/>
        </w:rPr>
        <w:t>kind</w:t>
      </w:r>
      <w:r>
        <w:rPr>
          <w:color w:val="231F20"/>
          <w:spacing w:val="10"/>
        </w:rPr>
        <w:t xml:space="preserve"> </w:t>
      </w:r>
      <w:r>
        <w:rPr>
          <w:color w:val="231F20"/>
        </w:rPr>
        <w:t>of</w:t>
      </w:r>
      <w:r>
        <w:rPr>
          <w:color w:val="231F20"/>
          <w:spacing w:val="10"/>
        </w:rPr>
        <w:t xml:space="preserve"> </w:t>
      </w:r>
      <w:r>
        <w:rPr>
          <w:color w:val="231F20"/>
        </w:rPr>
        <w:t>government</w:t>
      </w:r>
      <w:r>
        <w:rPr>
          <w:color w:val="231F20"/>
          <w:spacing w:val="10"/>
        </w:rPr>
        <w:t xml:space="preserve"> </w:t>
      </w:r>
      <w:r>
        <w:rPr>
          <w:color w:val="231F20"/>
        </w:rPr>
        <w:t>that</w:t>
      </w:r>
      <w:r>
        <w:rPr>
          <w:color w:val="231F20"/>
          <w:spacing w:val="10"/>
        </w:rPr>
        <w:t xml:space="preserve"> </w:t>
      </w:r>
      <w:r>
        <w:rPr>
          <w:color w:val="231F20"/>
        </w:rPr>
        <w:t>suits</w:t>
      </w:r>
      <w:r>
        <w:rPr>
          <w:color w:val="231F20"/>
          <w:spacing w:val="10"/>
        </w:rPr>
        <w:t xml:space="preserve"> </w:t>
      </w:r>
      <w:r>
        <w:rPr>
          <w:color w:val="231F20"/>
        </w:rPr>
        <w:t>imperialism.</w:t>
      </w:r>
    </w:p>
    <w:p w14:paraId="2C0556F9" w14:textId="77777777" w:rsidR="002653E8" w:rsidRDefault="00000000">
      <w:pPr>
        <w:pStyle w:val="a3"/>
        <w:spacing w:line="264" w:lineRule="auto"/>
        <w:ind w:left="1328" w:right="1145" w:firstLine="210"/>
        <w:jc w:val="both"/>
      </w:pPr>
      <w:r>
        <w:rPr>
          <w:noProof w:val="0"/>
        </w:rPr>
        <w:pict w14:anchorId="0A8B5DFD">
          <v:line id="_x0000_s2464" style="position:absolute;left:0;text-align:left;z-index:5560;mso-wrap-distance-left:0;mso-wrap-distance-right:0;mso-position-horizontal-relative:page" from="66.4pt,32.8pt" to="138.4pt,32.8pt" strokecolor="#231f20" strokeweight=".5pt">
            <w10:wrap type="topAndBottom" anchorx="page"/>
          </v:line>
        </w:pict>
      </w:r>
      <w:r w:rsidR="003115E3">
        <w:rPr>
          <w:color w:val="231F20"/>
        </w:rPr>
        <w:t>In the 60s, it was hoped that atomic energy would allow for the gradual reduction of dependence on oil as the most important source of</w:t>
      </w:r>
    </w:p>
    <w:p w14:paraId="63E64E25" w14:textId="77777777" w:rsidR="002653E8" w:rsidRDefault="003115E3">
      <w:pPr>
        <w:spacing w:before="53" w:line="254" w:lineRule="auto"/>
        <w:ind w:left="1327" w:right="1513"/>
        <w:rPr>
          <w:sz w:val="16"/>
        </w:rPr>
      </w:pPr>
      <w:r>
        <w:rPr>
          <w:color w:val="231F20"/>
          <w:w w:val="105"/>
          <w:sz w:val="16"/>
        </w:rPr>
        <w:t xml:space="preserve">1 Mohammed Mossadegh was elected Prime Minister of Iran in </w:t>
      </w:r>
      <w:r>
        <w:rPr>
          <w:color w:val="231F20"/>
          <w:spacing w:val="-4"/>
          <w:w w:val="105"/>
          <w:sz w:val="16"/>
        </w:rPr>
        <w:t xml:space="preserve">1951. </w:t>
      </w:r>
      <w:r>
        <w:rPr>
          <w:color w:val="231F20"/>
          <w:w w:val="105"/>
          <w:sz w:val="16"/>
        </w:rPr>
        <w:t xml:space="preserve">He quickly began to nationalize </w:t>
      </w:r>
      <w:r>
        <w:rPr>
          <w:color w:val="231F20"/>
          <w:spacing w:val="1"/>
          <w:w w:val="105"/>
          <w:sz w:val="16"/>
        </w:rPr>
        <w:t xml:space="preserve">Iranian </w:t>
      </w:r>
      <w:r>
        <w:rPr>
          <w:color w:val="231F20"/>
          <w:w w:val="105"/>
          <w:sz w:val="16"/>
        </w:rPr>
        <w:t xml:space="preserve">assets including oil. </w:t>
      </w:r>
      <w:r>
        <w:rPr>
          <w:color w:val="231F20"/>
          <w:spacing w:val="1"/>
          <w:w w:val="105"/>
          <w:sz w:val="16"/>
        </w:rPr>
        <w:t xml:space="preserve">In </w:t>
      </w:r>
      <w:r>
        <w:rPr>
          <w:color w:val="231F20"/>
          <w:spacing w:val="-5"/>
          <w:w w:val="105"/>
          <w:sz w:val="16"/>
        </w:rPr>
        <w:t xml:space="preserve">1953, </w:t>
      </w:r>
      <w:r>
        <w:rPr>
          <w:color w:val="231F20"/>
          <w:w w:val="105"/>
          <w:sz w:val="16"/>
        </w:rPr>
        <w:t>he was removed from power by the Shah of Iran Mohammad Reza Pahlavi, in a  CIA-backed coup. He   died in prison in</w:t>
      </w:r>
      <w:r>
        <w:rPr>
          <w:color w:val="231F20"/>
          <w:spacing w:val="32"/>
          <w:w w:val="105"/>
          <w:sz w:val="16"/>
        </w:rPr>
        <w:t xml:space="preserve"> </w:t>
      </w:r>
      <w:r>
        <w:rPr>
          <w:color w:val="231F20"/>
          <w:spacing w:val="-5"/>
          <w:w w:val="105"/>
          <w:sz w:val="16"/>
        </w:rPr>
        <w:t>1967.</w:t>
      </w:r>
    </w:p>
    <w:p w14:paraId="1550CA6B" w14:textId="77777777" w:rsidR="002653E8" w:rsidRDefault="002653E8">
      <w:pPr>
        <w:spacing w:line="254" w:lineRule="auto"/>
        <w:rPr>
          <w:sz w:val="16"/>
        </w:rPr>
        <w:sectPr w:rsidR="002653E8">
          <w:pgSz w:w="8640" w:h="12960"/>
          <w:pgMar w:top="1060" w:right="0" w:bottom="1040" w:left="0" w:header="0" w:footer="850" w:gutter="0"/>
          <w:cols w:space="720"/>
        </w:sectPr>
      </w:pPr>
    </w:p>
    <w:p w14:paraId="577230B4" w14:textId="77777777" w:rsidR="002653E8" w:rsidRDefault="003115E3">
      <w:pPr>
        <w:pStyle w:val="a3"/>
        <w:spacing w:before="86" w:line="264" w:lineRule="auto"/>
        <w:ind w:left="1147" w:right="1325"/>
        <w:jc w:val="both"/>
      </w:pPr>
      <w:r>
        <w:rPr>
          <w:color w:val="231F20"/>
        </w:rPr>
        <w:lastRenderedPageBreak/>
        <w:t>energy. By that time—or so it was hoped—high temperature ovens with which coal could be converted to oil would also exist—which was the basis for the talk of the comeback of coal.</w:t>
      </w:r>
    </w:p>
    <w:p w14:paraId="52C34E51" w14:textId="77777777" w:rsidR="002653E8" w:rsidRDefault="003115E3">
      <w:pPr>
        <w:pStyle w:val="a3"/>
        <w:spacing w:line="264" w:lineRule="auto"/>
        <w:ind w:left="1147" w:right="1326" w:firstLine="210"/>
        <w:jc w:val="both"/>
      </w:pPr>
      <w:r>
        <w:rPr>
          <w:color w:val="231F20"/>
        </w:rPr>
        <w:t>The objective of imperialist energy policy is not only to guarantee   the continuing theft of oil from the oil-producing nations for all time     to come, but also to prevent them from industrializing and establishing their political</w:t>
      </w:r>
      <w:r>
        <w:rPr>
          <w:color w:val="231F20"/>
          <w:spacing w:val="20"/>
        </w:rPr>
        <w:t xml:space="preserve"> </w:t>
      </w:r>
      <w:r>
        <w:rPr>
          <w:color w:val="231F20"/>
        </w:rPr>
        <w:t>independence.</w:t>
      </w:r>
    </w:p>
    <w:p w14:paraId="29A06CF8" w14:textId="77777777" w:rsidR="002653E8" w:rsidRDefault="002653E8">
      <w:pPr>
        <w:pStyle w:val="a3"/>
        <w:spacing w:before="3"/>
        <w:rPr>
          <w:sz w:val="21"/>
        </w:rPr>
      </w:pPr>
    </w:p>
    <w:p w14:paraId="0A811D05" w14:textId="77777777" w:rsidR="002653E8" w:rsidRDefault="003115E3">
      <w:pPr>
        <w:ind w:left="1147"/>
        <w:rPr>
          <w:i/>
          <w:sz w:val="20"/>
        </w:rPr>
      </w:pPr>
      <w:r>
        <w:rPr>
          <w:i/>
          <w:color w:val="231F20"/>
          <w:w w:val="105"/>
          <w:sz w:val="20"/>
        </w:rPr>
        <w:t>Encirclement Policy</w:t>
      </w:r>
    </w:p>
    <w:p w14:paraId="164301C4" w14:textId="77777777" w:rsidR="002653E8" w:rsidRDefault="003115E3">
      <w:pPr>
        <w:pStyle w:val="a3"/>
        <w:spacing w:before="23" w:line="264" w:lineRule="auto"/>
        <w:ind w:left="1147" w:right="1326"/>
        <w:jc w:val="both"/>
      </w:pPr>
      <w:r>
        <w:rPr>
          <w:color w:val="231F20"/>
        </w:rPr>
        <w:t>Regarding the rest of the Middle East, imperialism is hoping its policy   of quiet encirclement will</w:t>
      </w:r>
      <w:r>
        <w:rPr>
          <w:color w:val="231F20"/>
          <w:spacing w:val="42"/>
        </w:rPr>
        <w:t xml:space="preserve"> </w:t>
      </w:r>
      <w:r>
        <w:rPr>
          <w:color w:val="231F20"/>
        </w:rPr>
        <w:t>succeed.</w:t>
      </w:r>
    </w:p>
    <w:p w14:paraId="23A7717B" w14:textId="77777777" w:rsidR="002653E8" w:rsidRDefault="003115E3">
      <w:pPr>
        <w:pStyle w:val="a3"/>
        <w:spacing w:line="264" w:lineRule="auto"/>
        <w:ind w:left="1147" w:right="1325" w:firstLine="210"/>
        <w:jc w:val="both"/>
      </w:pPr>
      <w:r>
        <w:rPr>
          <w:color w:val="231F20"/>
        </w:rPr>
        <w:t>In the West, they are thoroughly implanted in the Maghreb—Algeria, Tunisia, and Morocco. West German corporations have invested in mining (raw materials), in the clothing industry (cheap labor), in dam projects (electrical power), and in the automobile industry. Tunisia and Morocco are the main recipients of West German development aid among the Arab states—both countries also receive West German military aid.</w:t>
      </w:r>
    </w:p>
    <w:p w14:paraId="69B934C7" w14:textId="77777777" w:rsidR="002653E8" w:rsidRDefault="003115E3">
      <w:pPr>
        <w:pStyle w:val="a3"/>
        <w:spacing w:line="264" w:lineRule="auto"/>
        <w:ind w:left="1147" w:right="1325" w:firstLine="210"/>
        <w:jc w:val="both"/>
      </w:pPr>
      <w:r>
        <w:rPr>
          <w:color w:val="231F20"/>
          <w:spacing w:val="1"/>
        </w:rPr>
        <w:t xml:space="preserve">In </w:t>
      </w:r>
      <w:r>
        <w:rPr>
          <w:color w:val="231F20"/>
        </w:rPr>
        <w:t xml:space="preserve">the East and the North, </w:t>
      </w:r>
      <w:r>
        <w:rPr>
          <w:color w:val="231F20"/>
          <w:spacing w:val="-3"/>
        </w:rPr>
        <w:t xml:space="preserve">it’s Turkey </w:t>
      </w:r>
      <w:r>
        <w:rPr>
          <w:color w:val="231F20"/>
        </w:rPr>
        <w:t xml:space="preserve">and Iran. Both countries are  also the sites of  American  military  bases.  </w:t>
      </w:r>
      <w:r>
        <w:rPr>
          <w:color w:val="231F20"/>
          <w:spacing w:val="1"/>
        </w:rPr>
        <w:t xml:space="preserve">In  </w:t>
      </w:r>
      <w:r>
        <w:rPr>
          <w:color w:val="231F20"/>
        </w:rPr>
        <w:t xml:space="preserve">the  context  of  </w:t>
      </w:r>
      <w:r>
        <w:rPr>
          <w:color w:val="231F20"/>
          <w:spacing w:val="-3"/>
        </w:rPr>
        <w:t xml:space="preserve">NATO,  </w:t>
      </w:r>
      <w:r>
        <w:rPr>
          <w:color w:val="231F20"/>
        </w:rPr>
        <w:t xml:space="preserve">the FRG supplies weapons to  </w:t>
      </w:r>
      <w:r>
        <w:rPr>
          <w:color w:val="231F20"/>
          <w:spacing w:val="-5"/>
        </w:rPr>
        <w:t xml:space="preserve">Turkey.  </w:t>
      </w:r>
      <w:r>
        <w:rPr>
          <w:color w:val="231F20"/>
          <w:spacing w:val="1"/>
        </w:rPr>
        <w:t xml:space="preserve">In </w:t>
      </w:r>
      <w:r>
        <w:rPr>
          <w:color w:val="231F20"/>
        </w:rPr>
        <w:t xml:space="preserve">the context of the free mar  ket </w:t>
      </w:r>
      <w:r>
        <w:rPr>
          <w:color w:val="231F20"/>
          <w:spacing w:val="-3"/>
        </w:rPr>
        <w:t xml:space="preserve">economy, </w:t>
      </w:r>
      <w:r>
        <w:rPr>
          <w:color w:val="231F20"/>
        </w:rPr>
        <w:t xml:space="preserve">Siemens has recently been supplying television relay stations, with which the government’s message—“This is the criminal police  speaking”—can  reach  Eastern  </w:t>
      </w:r>
      <w:r>
        <w:rPr>
          <w:color w:val="231F20"/>
          <w:spacing w:val="-5"/>
        </w:rPr>
        <w:t>Turkey.</w:t>
      </w:r>
      <w:r>
        <w:rPr>
          <w:color w:val="231F20"/>
          <w:spacing w:val="-5"/>
          <w:position w:val="7"/>
          <w:sz w:val="11"/>
        </w:rPr>
        <w:t xml:space="preserve">1  </w:t>
      </w:r>
      <w:r>
        <w:rPr>
          <w:color w:val="231F20"/>
        </w:rPr>
        <w:t xml:space="preserve">The   German   enclave in Tehran is well known—the quantity of weapons being provided by </w:t>
      </w:r>
      <w:r>
        <w:rPr>
          <w:color w:val="231F20"/>
          <w:spacing w:val="-3"/>
        </w:rPr>
        <w:t xml:space="preserve">West </w:t>
      </w:r>
      <w:r>
        <w:rPr>
          <w:color w:val="231F20"/>
        </w:rPr>
        <w:t>Germany is</w:t>
      </w:r>
      <w:r>
        <w:rPr>
          <w:color w:val="231F20"/>
          <w:spacing w:val="-4"/>
        </w:rPr>
        <w:t xml:space="preserve"> </w:t>
      </w:r>
      <w:r>
        <w:rPr>
          <w:color w:val="231F20"/>
        </w:rPr>
        <w:t>not.</w:t>
      </w:r>
    </w:p>
    <w:p w14:paraId="012A9FDF" w14:textId="77777777" w:rsidR="002653E8" w:rsidRDefault="002653E8">
      <w:pPr>
        <w:pStyle w:val="a3"/>
        <w:spacing w:before="3"/>
      </w:pPr>
    </w:p>
    <w:p w14:paraId="5B43DEDD" w14:textId="77777777" w:rsidR="002653E8" w:rsidRDefault="003115E3">
      <w:pPr>
        <w:spacing w:before="1"/>
        <w:ind w:left="1147"/>
        <w:rPr>
          <w:i/>
          <w:sz w:val="20"/>
        </w:rPr>
      </w:pPr>
      <w:r>
        <w:rPr>
          <w:i/>
          <w:color w:val="231F20"/>
          <w:sz w:val="20"/>
        </w:rPr>
        <w:t>Military Bases</w:t>
      </w:r>
    </w:p>
    <w:p w14:paraId="55C9AE9C" w14:textId="77777777" w:rsidR="002653E8" w:rsidRDefault="003115E3">
      <w:pPr>
        <w:pStyle w:val="a3"/>
        <w:spacing w:before="22" w:line="264" w:lineRule="auto"/>
        <w:ind w:left="1147" w:right="1326"/>
        <w:jc w:val="both"/>
      </w:pPr>
      <w:r>
        <w:rPr>
          <w:color w:val="231F20"/>
        </w:rPr>
        <w:t>There should be no illusions about the desire to transform the Maghreb in the West and Turkey and Iran in the East from markets into military bases.</w:t>
      </w:r>
    </w:p>
    <w:p w14:paraId="353C724F" w14:textId="77777777" w:rsidR="002653E8" w:rsidRDefault="003115E3">
      <w:pPr>
        <w:pStyle w:val="a3"/>
        <w:spacing w:line="264" w:lineRule="auto"/>
        <w:ind w:left="1147" w:right="1326" w:firstLine="210"/>
        <w:jc w:val="both"/>
      </w:pPr>
      <w:r>
        <w:rPr>
          <w:color w:val="231F20"/>
        </w:rPr>
        <w:t>And there should certainly be no illusions about what conditions will be like in Algeria in three years if natural gas development by American corporations—that is to say, by big money—has begun and Algeria still attempts to maintain its principled solidarity with the other Arab states. It could only end in disaster.</w:t>
      </w:r>
    </w:p>
    <w:p w14:paraId="6AFA2028" w14:textId="77777777" w:rsidR="002653E8" w:rsidRDefault="002653E8">
      <w:pPr>
        <w:pStyle w:val="a3"/>
      </w:pPr>
    </w:p>
    <w:p w14:paraId="18B0881C" w14:textId="77777777" w:rsidR="002653E8" w:rsidRDefault="00000000">
      <w:pPr>
        <w:pStyle w:val="a3"/>
        <w:spacing w:before="7"/>
        <w:rPr>
          <w:sz w:val="21"/>
        </w:rPr>
      </w:pPr>
      <w:r>
        <w:rPr>
          <w:noProof w:val="0"/>
        </w:rPr>
        <w:pict w14:anchorId="1FA17081">
          <v:line id="_x0000_s2463" style="position:absolute;z-index:5584;mso-wrap-distance-left:0;mso-wrap-distance-right:0;mso-position-horizontal-relative:page" from="57.4pt,14.9pt" to="129.4pt,14.9pt" strokecolor="#231f20" strokeweight=".5pt">
            <w10:wrap type="topAndBottom" anchorx="page"/>
          </v:line>
        </w:pict>
      </w:r>
    </w:p>
    <w:p w14:paraId="47624B1A" w14:textId="77777777" w:rsidR="002653E8" w:rsidRDefault="003115E3">
      <w:pPr>
        <w:spacing w:before="53" w:line="254" w:lineRule="auto"/>
        <w:ind w:left="1147" w:right="1580" w:hanging="1"/>
        <w:rPr>
          <w:sz w:val="16"/>
        </w:rPr>
      </w:pPr>
      <w:r>
        <w:rPr>
          <w:color w:val="231F20"/>
          <w:w w:val="105"/>
          <w:sz w:val="16"/>
        </w:rPr>
        <w:t>1 Turkey’s East is home to the oppressed Kurdish minority, and also bordered on the Soviet Union.</w:t>
      </w:r>
    </w:p>
    <w:p w14:paraId="20E7EF60" w14:textId="77777777" w:rsidR="002653E8" w:rsidRDefault="002653E8">
      <w:pPr>
        <w:spacing w:line="254" w:lineRule="auto"/>
        <w:rPr>
          <w:sz w:val="16"/>
        </w:rPr>
        <w:sectPr w:rsidR="002653E8">
          <w:footerReference w:type="even" r:id="rId182"/>
          <w:footerReference w:type="default" r:id="rId183"/>
          <w:pgSz w:w="8640" w:h="12960"/>
          <w:pgMar w:top="1060" w:right="0" w:bottom="1040" w:left="0" w:header="0" w:footer="850" w:gutter="0"/>
          <w:pgNumType w:start="212"/>
          <w:cols w:space="720"/>
        </w:sectPr>
      </w:pPr>
    </w:p>
    <w:p w14:paraId="7CD701ED" w14:textId="77777777" w:rsidR="002653E8" w:rsidRDefault="003115E3">
      <w:pPr>
        <w:spacing w:before="66"/>
        <w:ind w:left="1327"/>
        <w:rPr>
          <w:i/>
          <w:sz w:val="20"/>
        </w:rPr>
      </w:pPr>
      <w:r>
        <w:rPr>
          <w:i/>
          <w:color w:val="231F20"/>
          <w:sz w:val="20"/>
        </w:rPr>
        <w:lastRenderedPageBreak/>
        <w:t>Imperialism is the Weapon</w:t>
      </w:r>
    </w:p>
    <w:p w14:paraId="5F71C8F2" w14:textId="77777777" w:rsidR="002653E8" w:rsidRDefault="003115E3">
      <w:pPr>
        <w:pStyle w:val="a3"/>
        <w:spacing w:before="23" w:line="264" w:lineRule="auto"/>
        <w:ind w:left="1327" w:right="1146"/>
        <w:jc w:val="both"/>
      </w:pPr>
      <w:r>
        <w:rPr>
          <w:color w:val="231F20"/>
        </w:rPr>
        <w:t>Imperialism is the weapon that the multinational corporations use to address the contradictions between developed countries and the desire for development in the countries they plunder, between states with elected governments and states with CIA-backed governments, between rich and poor countries. Imperialism unifies North and South as the centre</w:t>
      </w:r>
      <w:r>
        <w:rPr>
          <w:color w:val="231F20"/>
          <w:spacing w:val="8"/>
        </w:rPr>
        <w:t xml:space="preserve"> </w:t>
      </w:r>
      <w:r>
        <w:rPr>
          <w:color w:val="231F20"/>
        </w:rPr>
        <w:t>and</w:t>
      </w:r>
      <w:r>
        <w:rPr>
          <w:color w:val="231F20"/>
          <w:spacing w:val="8"/>
        </w:rPr>
        <w:t xml:space="preserve"> </w:t>
      </w:r>
      <w:r>
        <w:rPr>
          <w:color w:val="231F20"/>
        </w:rPr>
        <w:t>the</w:t>
      </w:r>
      <w:r>
        <w:rPr>
          <w:color w:val="231F20"/>
          <w:spacing w:val="8"/>
        </w:rPr>
        <w:t xml:space="preserve"> </w:t>
      </w:r>
      <w:r>
        <w:rPr>
          <w:color w:val="231F20"/>
        </w:rPr>
        <w:t>periphery</w:t>
      </w:r>
      <w:r>
        <w:rPr>
          <w:color w:val="231F20"/>
          <w:spacing w:val="8"/>
        </w:rPr>
        <w:t xml:space="preserve"> </w:t>
      </w:r>
      <w:r>
        <w:rPr>
          <w:color w:val="231F20"/>
        </w:rPr>
        <w:t>of</w:t>
      </w:r>
      <w:r>
        <w:rPr>
          <w:color w:val="231F20"/>
          <w:spacing w:val="8"/>
        </w:rPr>
        <w:t xml:space="preserve"> </w:t>
      </w:r>
      <w:r>
        <w:rPr>
          <w:color w:val="231F20"/>
        </w:rPr>
        <w:t>a</w:t>
      </w:r>
      <w:r>
        <w:rPr>
          <w:color w:val="231F20"/>
          <w:spacing w:val="8"/>
        </w:rPr>
        <w:t xml:space="preserve"> </w:t>
      </w:r>
      <w:r>
        <w:rPr>
          <w:color w:val="231F20"/>
        </w:rPr>
        <w:t>single</w:t>
      </w:r>
      <w:r>
        <w:rPr>
          <w:color w:val="231F20"/>
          <w:spacing w:val="8"/>
        </w:rPr>
        <w:t xml:space="preserve"> </w:t>
      </w:r>
      <w:r>
        <w:rPr>
          <w:color w:val="231F20"/>
        </w:rPr>
        <w:t>system.</w:t>
      </w:r>
    </w:p>
    <w:p w14:paraId="2B36E2D4" w14:textId="77777777" w:rsidR="002653E8" w:rsidRDefault="003115E3">
      <w:pPr>
        <w:pStyle w:val="a3"/>
        <w:spacing w:line="264" w:lineRule="auto"/>
        <w:ind w:left="1328" w:right="1145" w:firstLine="210"/>
        <w:jc w:val="both"/>
      </w:pPr>
      <w:r>
        <w:rPr>
          <w:color w:val="231F20"/>
        </w:rPr>
        <w:t>It is a system that allows the constitutional state to function in much the same way as fascism. It doesn’t eliminate the contradictions, it simply coordinates them, plays them off against one another, integrates them as various interrelated profit-making conditions for their various subsidiaries.</w:t>
      </w:r>
    </w:p>
    <w:p w14:paraId="73A89C9B" w14:textId="77777777" w:rsidR="002653E8" w:rsidRDefault="002653E8">
      <w:pPr>
        <w:pStyle w:val="a3"/>
        <w:spacing w:before="10"/>
      </w:pPr>
    </w:p>
    <w:p w14:paraId="268CCBFD" w14:textId="77777777" w:rsidR="002653E8" w:rsidRDefault="003115E3">
      <w:pPr>
        <w:ind w:left="1328"/>
        <w:rPr>
          <w:i/>
          <w:sz w:val="20"/>
        </w:rPr>
      </w:pPr>
      <w:r>
        <w:rPr>
          <w:i/>
          <w:color w:val="231F20"/>
          <w:w w:val="110"/>
          <w:sz w:val="20"/>
        </w:rPr>
        <w:t>“Slaves of the System”</w:t>
      </w:r>
    </w:p>
    <w:p w14:paraId="027A6F1F" w14:textId="77777777" w:rsidR="002653E8" w:rsidRDefault="003115E3">
      <w:pPr>
        <w:pStyle w:val="a3"/>
        <w:spacing w:before="22" w:line="264" w:lineRule="auto"/>
        <w:ind w:left="1328" w:right="1145"/>
        <w:jc w:val="both"/>
      </w:pPr>
      <w:r>
        <w:rPr>
          <w:color w:val="231F20"/>
        </w:rPr>
        <w:t>Outwardly, they adjust to the existing conditions—making use of them where possible—creating domestic capital reserves, surrendering middle management to the local population, learning the local language, respecting local laws, all the time using their normative power to establish their control of the market.</w:t>
      </w:r>
    </w:p>
    <w:p w14:paraId="2E05B34E" w14:textId="77777777" w:rsidR="002653E8" w:rsidRDefault="003115E3">
      <w:pPr>
        <w:pStyle w:val="a3"/>
        <w:spacing w:line="264" w:lineRule="auto"/>
        <w:ind w:left="1328" w:right="1145" w:firstLine="209"/>
        <w:jc w:val="both"/>
      </w:pPr>
      <w:r>
        <w:rPr>
          <w:color w:val="231F20"/>
        </w:rPr>
        <w:t xml:space="preserve">The </w:t>
      </w:r>
      <w:r>
        <w:rPr>
          <w:i/>
          <w:color w:val="231F20"/>
        </w:rPr>
        <w:t xml:space="preserve">FAZ </w:t>
      </w:r>
      <w:r>
        <w:rPr>
          <w:color w:val="231F20"/>
        </w:rPr>
        <w:t>condescendingly informs “developing countries” that are attempting to protect their mineral resources by reducing mining that they misjudge the marketplace. It informs them that they are actually establishing themselves as slaves of the system if they fail to take note</w:t>
      </w:r>
      <w:r>
        <w:rPr>
          <w:color w:val="231F20"/>
          <w:spacing w:val="-31"/>
        </w:rPr>
        <w:t xml:space="preserve"> </w:t>
      </w:r>
      <w:r>
        <w:rPr>
          <w:color w:val="231F20"/>
        </w:rPr>
        <w:t>of the “dilemma” created by their own foreign currency needs, on the one hand, and the necessity to protect their natural resources, on the other: “The developing countries, in implementing policies against international</w:t>
      </w:r>
      <w:r>
        <w:rPr>
          <w:color w:val="231F20"/>
          <w:spacing w:val="12"/>
        </w:rPr>
        <w:t xml:space="preserve"> </w:t>
      </w:r>
      <w:r>
        <w:rPr>
          <w:color w:val="231F20"/>
        </w:rPr>
        <w:t>natural</w:t>
      </w:r>
      <w:r>
        <w:rPr>
          <w:color w:val="231F20"/>
          <w:spacing w:val="12"/>
        </w:rPr>
        <w:t xml:space="preserve"> </w:t>
      </w:r>
      <w:r>
        <w:rPr>
          <w:color w:val="231F20"/>
        </w:rPr>
        <w:t>resource</w:t>
      </w:r>
      <w:r>
        <w:rPr>
          <w:color w:val="231F20"/>
          <w:spacing w:val="12"/>
        </w:rPr>
        <w:t xml:space="preserve"> </w:t>
      </w:r>
      <w:r>
        <w:rPr>
          <w:color w:val="231F20"/>
        </w:rPr>
        <w:t>companies,</w:t>
      </w:r>
      <w:r>
        <w:rPr>
          <w:color w:val="231F20"/>
          <w:spacing w:val="12"/>
        </w:rPr>
        <w:t xml:space="preserve"> </w:t>
      </w:r>
      <w:r>
        <w:rPr>
          <w:color w:val="231F20"/>
        </w:rPr>
        <w:t>are</w:t>
      </w:r>
      <w:r>
        <w:rPr>
          <w:color w:val="231F20"/>
          <w:spacing w:val="12"/>
        </w:rPr>
        <w:t xml:space="preserve"> </w:t>
      </w:r>
      <w:r>
        <w:rPr>
          <w:color w:val="231F20"/>
        </w:rPr>
        <w:t>tying</w:t>
      </w:r>
      <w:r>
        <w:rPr>
          <w:color w:val="231F20"/>
          <w:spacing w:val="12"/>
        </w:rPr>
        <w:t xml:space="preserve"> </w:t>
      </w:r>
      <w:r>
        <w:rPr>
          <w:color w:val="231F20"/>
        </w:rPr>
        <w:t>their</w:t>
      </w:r>
      <w:r>
        <w:rPr>
          <w:color w:val="231F20"/>
          <w:spacing w:val="12"/>
        </w:rPr>
        <w:t xml:space="preserve"> </w:t>
      </w:r>
      <w:r>
        <w:rPr>
          <w:color w:val="231F20"/>
        </w:rPr>
        <w:t>own</w:t>
      </w:r>
      <w:r>
        <w:rPr>
          <w:color w:val="231F20"/>
          <w:spacing w:val="12"/>
        </w:rPr>
        <w:t xml:space="preserve"> </w:t>
      </w:r>
      <w:r>
        <w:rPr>
          <w:color w:val="231F20"/>
        </w:rPr>
        <w:t>hands.”</w:t>
      </w:r>
    </w:p>
    <w:p w14:paraId="2BBC9646" w14:textId="77777777" w:rsidR="002653E8" w:rsidRDefault="003115E3">
      <w:pPr>
        <w:pStyle w:val="a3"/>
        <w:spacing w:line="264" w:lineRule="auto"/>
        <w:ind w:left="1328" w:right="1146" w:firstLine="210"/>
        <w:jc w:val="both"/>
      </w:pPr>
      <w:r>
        <w:rPr>
          <w:color w:val="231F20"/>
        </w:rPr>
        <w:t>This imperialism avoids provocation. Where possible, they absorb Third World governments into the facade of their system. They operate within the “confines of their means”—and they have more means at their disposal than any ruling class before them.</w:t>
      </w:r>
    </w:p>
    <w:p w14:paraId="7CDDCB3A" w14:textId="77777777" w:rsidR="002653E8" w:rsidRDefault="002653E8">
      <w:pPr>
        <w:pStyle w:val="a3"/>
        <w:spacing w:before="4"/>
      </w:pPr>
    </w:p>
    <w:p w14:paraId="63CA5B11" w14:textId="77777777" w:rsidR="002653E8" w:rsidRDefault="003115E3">
      <w:pPr>
        <w:ind w:left="1328"/>
        <w:rPr>
          <w:i/>
          <w:sz w:val="20"/>
        </w:rPr>
      </w:pPr>
      <w:r>
        <w:rPr>
          <w:i/>
          <w:color w:val="231F20"/>
          <w:w w:val="105"/>
          <w:sz w:val="20"/>
        </w:rPr>
        <w:t>The Means at Their Disposal</w:t>
      </w:r>
    </w:p>
    <w:p w14:paraId="651483B3" w14:textId="77777777" w:rsidR="002653E8" w:rsidRDefault="003115E3">
      <w:pPr>
        <w:pStyle w:val="a3"/>
        <w:spacing w:before="22" w:line="264" w:lineRule="auto"/>
        <w:ind w:left="1328" w:right="1145"/>
        <w:jc w:val="both"/>
      </w:pPr>
      <w:r>
        <w:rPr>
          <w:color w:val="231F20"/>
        </w:rPr>
        <w:t xml:space="preserve">They use illiteracy and hunger to control the people of  the  Third  </w:t>
      </w:r>
      <w:r>
        <w:rPr>
          <w:color w:val="231F20"/>
          <w:spacing w:val="-3"/>
        </w:rPr>
        <w:t xml:space="preserve">World; </w:t>
      </w:r>
      <w:r>
        <w:rPr>
          <w:color w:val="231F20"/>
        </w:rPr>
        <w:t xml:space="preserve">in the metropole, people are made  stupid  and  alienated  and are brutalized by television, Springer, and automobile accidents. they saw to the liquidation of the  McGovern left. They use torture against  the Persian, Turkish, and Palestinian comrades; against the antiimperialist left in </w:t>
      </w:r>
      <w:r>
        <w:rPr>
          <w:color w:val="231F20"/>
          <w:spacing w:val="-3"/>
        </w:rPr>
        <w:t xml:space="preserve">West  </w:t>
      </w:r>
      <w:r>
        <w:rPr>
          <w:color w:val="231F20"/>
        </w:rPr>
        <w:t xml:space="preserve">Germany and </w:t>
      </w:r>
      <w:r>
        <w:rPr>
          <w:color w:val="231F20"/>
          <w:spacing w:val="-3"/>
        </w:rPr>
        <w:t xml:space="preserve">West  </w:t>
      </w:r>
      <w:r>
        <w:rPr>
          <w:color w:val="231F20"/>
        </w:rPr>
        <w:t xml:space="preserve">Berlin, they use the  </w:t>
      </w:r>
      <w:r>
        <w:rPr>
          <w:color w:val="231F20"/>
          <w:spacing w:val="-8"/>
        </w:rPr>
        <w:t xml:space="preserve">BAW.   </w:t>
      </w:r>
      <w:r>
        <w:rPr>
          <w:color w:val="231F20"/>
          <w:spacing w:val="1"/>
        </w:rPr>
        <w:t>In</w:t>
      </w:r>
      <w:r>
        <w:rPr>
          <w:color w:val="231F20"/>
          <w:spacing w:val="2"/>
        </w:rPr>
        <w:t xml:space="preserve"> </w:t>
      </w:r>
      <w:r>
        <w:rPr>
          <w:color w:val="231F20"/>
        </w:rPr>
        <w:t>November,</w:t>
      </w:r>
      <w:r>
        <w:rPr>
          <w:color w:val="231F20"/>
          <w:spacing w:val="5"/>
        </w:rPr>
        <w:t xml:space="preserve"> </w:t>
      </w:r>
      <w:r>
        <w:rPr>
          <w:color w:val="231F20"/>
        </w:rPr>
        <w:t>following</w:t>
      </w:r>
      <w:r>
        <w:rPr>
          <w:color w:val="231F20"/>
          <w:spacing w:val="5"/>
        </w:rPr>
        <w:t xml:space="preserve"> </w:t>
      </w:r>
      <w:r>
        <w:rPr>
          <w:color w:val="231F20"/>
        </w:rPr>
        <w:t>on</w:t>
      </w:r>
      <w:r>
        <w:rPr>
          <w:color w:val="231F20"/>
          <w:spacing w:val="5"/>
        </w:rPr>
        <w:t xml:space="preserve"> </w:t>
      </w:r>
      <w:r>
        <w:rPr>
          <w:color w:val="231F20"/>
        </w:rPr>
        <w:t>the</w:t>
      </w:r>
      <w:r>
        <w:rPr>
          <w:color w:val="231F20"/>
          <w:spacing w:val="5"/>
        </w:rPr>
        <w:t xml:space="preserve"> </w:t>
      </w:r>
      <w:r>
        <w:rPr>
          <w:color w:val="231F20"/>
        </w:rPr>
        <w:t>heels</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September</w:t>
      </w:r>
      <w:r>
        <w:rPr>
          <w:color w:val="231F20"/>
          <w:spacing w:val="5"/>
        </w:rPr>
        <w:t xml:space="preserve"> </w:t>
      </w:r>
      <w:r>
        <w:rPr>
          <w:color w:val="231F20"/>
        </w:rPr>
        <w:t>massacre</w:t>
      </w:r>
      <w:r>
        <w:rPr>
          <w:color w:val="231F20"/>
          <w:spacing w:val="5"/>
        </w:rPr>
        <w:t xml:space="preserve"> </w:t>
      </w:r>
      <w:r>
        <w:rPr>
          <w:color w:val="231F20"/>
        </w:rPr>
        <w:t>of</w:t>
      </w:r>
    </w:p>
    <w:p w14:paraId="5F0D52C7" w14:textId="77777777" w:rsidR="002653E8" w:rsidRDefault="002653E8">
      <w:pPr>
        <w:spacing w:line="264" w:lineRule="auto"/>
        <w:jc w:val="both"/>
        <w:sectPr w:rsidR="002653E8">
          <w:pgSz w:w="8640" w:h="12960"/>
          <w:pgMar w:top="1080" w:right="0" w:bottom="1040" w:left="0" w:header="0" w:footer="850" w:gutter="0"/>
          <w:cols w:space="720"/>
        </w:sectPr>
      </w:pPr>
    </w:p>
    <w:p w14:paraId="1D2D7396" w14:textId="77777777" w:rsidR="002653E8" w:rsidRDefault="003115E3">
      <w:pPr>
        <w:pStyle w:val="a3"/>
        <w:spacing w:before="86" w:line="264" w:lineRule="auto"/>
        <w:ind w:left="1147" w:right="1326"/>
        <w:jc w:val="both"/>
      </w:pPr>
      <w:r>
        <w:rPr>
          <w:color w:val="231F20"/>
        </w:rPr>
        <w:lastRenderedPageBreak/>
        <w:t>Palestinian freedom fighters, they will hold free elections here, having used the spectacle of the Olympic Games to divert attention away from the horror.</w:t>
      </w:r>
    </w:p>
    <w:p w14:paraId="73B80C6B" w14:textId="77777777" w:rsidR="002653E8" w:rsidRDefault="003115E3">
      <w:pPr>
        <w:pStyle w:val="a3"/>
        <w:spacing w:line="264" w:lineRule="auto"/>
        <w:ind w:left="1147" w:right="1325" w:firstLine="210"/>
        <w:jc w:val="both"/>
      </w:pPr>
      <w:r>
        <w:rPr>
          <w:color w:val="231F20"/>
        </w:rPr>
        <w:t>This imperialism only reveals its fascist character when it encounters resistance—it has no need for a late capitalist seizure of power. Its historical tendency is towards fascism, towards exploitation and oppression, annihilation, waste, defoliation, the destruction of  people,  and the plundering of natural resources. It has a greater potential for destruction than any ruling class in history, the potential to leave a wasteland in its wake—wherever there is nothing more to be gained, where everything is devastated, the country and the people—shattered and</w:t>
      </w:r>
      <w:r>
        <w:rPr>
          <w:color w:val="231F20"/>
          <w:spacing w:val="10"/>
        </w:rPr>
        <w:t xml:space="preserve"> </w:t>
      </w:r>
      <w:r>
        <w:rPr>
          <w:color w:val="231F20"/>
        </w:rPr>
        <w:t>crippled—Vietnam.</w:t>
      </w:r>
    </w:p>
    <w:p w14:paraId="76C15749" w14:textId="77777777" w:rsidR="002653E8" w:rsidRDefault="002653E8">
      <w:pPr>
        <w:pStyle w:val="a3"/>
        <w:spacing w:before="9"/>
      </w:pPr>
    </w:p>
    <w:p w14:paraId="723E7371" w14:textId="77777777" w:rsidR="002653E8" w:rsidRDefault="003115E3">
      <w:pPr>
        <w:ind w:left="1148"/>
        <w:rPr>
          <w:i/>
          <w:sz w:val="20"/>
        </w:rPr>
      </w:pPr>
      <w:r>
        <w:rPr>
          <w:i/>
          <w:color w:val="231F20"/>
          <w:sz w:val="20"/>
        </w:rPr>
        <w:t>Black September’s Strategy</w:t>
      </w:r>
    </w:p>
    <w:p w14:paraId="60DFB3DB" w14:textId="77777777" w:rsidR="002653E8" w:rsidRDefault="003115E3">
      <w:pPr>
        <w:pStyle w:val="a3"/>
        <w:spacing w:before="23" w:line="264" w:lineRule="auto"/>
        <w:ind w:left="1148" w:right="1325"/>
        <w:jc w:val="both"/>
      </w:pPr>
      <w:r>
        <w:rPr>
          <w:color w:val="231F20"/>
        </w:rPr>
        <w:t>The bomb attack on the Strüver Corporation in Hamburg was an at tack on one of Israel’s military</w:t>
      </w:r>
      <w:r>
        <w:rPr>
          <w:color w:val="231F20"/>
          <w:spacing w:val="20"/>
        </w:rPr>
        <w:t xml:space="preserve"> </w:t>
      </w:r>
      <w:r>
        <w:rPr>
          <w:color w:val="231F20"/>
        </w:rPr>
        <w:t>suppliers.</w:t>
      </w:r>
    </w:p>
    <w:p w14:paraId="0103B181" w14:textId="77777777" w:rsidR="002653E8" w:rsidRDefault="003115E3">
      <w:pPr>
        <w:pStyle w:val="a3"/>
        <w:spacing w:line="264" w:lineRule="auto"/>
        <w:ind w:left="1147" w:right="1325" w:firstLine="210"/>
        <w:jc w:val="both"/>
      </w:pPr>
      <w:r>
        <w:rPr>
          <w:color w:val="231F20"/>
        </w:rPr>
        <w:t>With their action at the Olympic Village, they brought the conflict between the imperialist metropole of Israel and the Palestinians from the periphery of the system into its centre—they tore off the FRG’s “constitutional” mask and revealed the true objective nature of imperialism’s facade: that they are waging war against the liberation movements of the Third World and that their final objective is strategic extermination and fascism.</w:t>
      </w:r>
    </w:p>
    <w:p w14:paraId="05BD4648" w14:textId="77777777" w:rsidR="002653E8" w:rsidRDefault="003115E3">
      <w:pPr>
        <w:pStyle w:val="a3"/>
        <w:spacing w:line="264" w:lineRule="auto"/>
        <w:ind w:left="1147" w:right="1326" w:firstLine="210"/>
        <w:jc w:val="both"/>
      </w:pPr>
      <w:r>
        <w:rPr>
          <w:color w:val="231F20"/>
        </w:rPr>
        <w:t>Through this action, the Arab people were mobilized for anti-imperialist struggle. They celebrated the revolutionaries as heroes, and their will to struggle received an enormous boost.</w:t>
      </w:r>
    </w:p>
    <w:p w14:paraId="493DF646" w14:textId="77777777" w:rsidR="002653E8" w:rsidRDefault="003115E3">
      <w:pPr>
        <w:pStyle w:val="a3"/>
        <w:spacing w:line="264" w:lineRule="auto"/>
        <w:ind w:left="1147" w:right="1325" w:firstLine="210"/>
        <w:jc w:val="both"/>
      </w:pPr>
      <w:r>
        <w:rPr>
          <w:color w:val="231F20"/>
        </w:rPr>
        <w:t xml:space="preserve">That it would have been better to take Genscher hostage is something that Black September itself knows </w:t>
      </w:r>
      <w:r>
        <w:rPr>
          <w:color w:val="231F20"/>
          <w:spacing w:val="1"/>
        </w:rPr>
        <w:t xml:space="preserve">full </w:t>
      </w:r>
      <w:r>
        <w:rPr>
          <w:color w:val="231F20"/>
        </w:rPr>
        <w:t>well.</w:t>
      </w:r>
      <w:r>
        <w:rPr>
          <w:color w:val="231F20"/>
          <w:position w:val="7"/>
          <w:sz w:val="11"/>
        </w:rPr>
        <w:t xml:space="preserve">1 </w:t>
      </w:r>
      <w:r>
        <w:rPr>
          <w:color w:val="231F20"/>
        </w:rPr>
        <w:t>Functioning  as  it does at a very high level of Marxist theory combined with revolution</w:t>
      </w:r>
      <w:r>
        <w:rPr>
          <w:color w:val="231F20"/>
          <w:spacing w:val="1"/>
        </w:rPr>
        <w:t xml:space="preserve">ary </w:t>
      </w:r>
      <w:r>
        <w:rPr>
          <w:color w:val="231F20"/>
        </w:rPr>
        <w:t xml:space="preserve">practice, Black September  doesn’t  need  to  be  told  this.  The  fact is that it would have been better to exchange the Israeli athletes for people who make up the facade of the Social-Liberal Coalition, as this would have destroyed the complicity between Israeli and </w:t>
      </w:r>
      <w:r>
        <w:rPr>
          <w:color w:val="231F20"/>
          <w:spacing w:val="-3"/>
        </w:rPr>
        <w:t xml:space="preserve">West </w:t>
      </w:r>
      <w:r>
        <w:rPr>
          <w:color w:val="231F20"/>
        </w:rPr>
        <w:t>German imperialism and isolated Israel. It would have forced the contradiction between</w:t>
      </w:r>
      <w:r>
        <w:rPr>
          <w:color w:val="231F20"/>
          <w:spacing w:val="33"/>
        </w:rPr>
        <w:t xml:space="preserve"> </w:t>
      </w:r>
      <w:r>
        <w:rPr>
          <w:color w:val="231F20"/>
        </w:rPr>
        <w:t>the</w:t>
      </w:r>
      <w:r>
        <w:rPr>
          <w:color w:val="231F20"/>
          <w:spacing w:val="33"/>
        </w:rPr>
        <w:t xml:space="preserve"> </w:t>
      </w:r>
      <w:r>
        <w:rPr>
          <w:color w:val="231F20"/>
        </w:rPr>
        <w:t>fascism</w:t>
      </w:r>
      <w:r>
        <w:rPr>
          <w:color w:val="231F20"/>
          <w:spacing w:val="33"/>
        </w:rPr>
        <w:t xml:space="preserve"> </w:t>
      </w:r>
      <w:r>
        <w:rPr>
          <w:color w:val="231F20"/>
        </w:rPr>
        <w:t>of</w:t>
      </w:r>
      <w:r>
        <w:rPr>
          <w:color w:val="231F20"/>
          <w:spacing w:val="33"/>
        </w:rPr>
        <w:t xml:space="preserve"> </w:t>
      </w:r>
      <w:r>
        <w:rPr>
          <w:color w:val="231F20"/>
        </w:rPr>
        <w:t>the</w:t>
      </w:r>
      <w:r>
        <w:rPr>
          <w:color w:val="231F20"/>
          <w:spacing w:val="33"/>
        </w:rPr>
        <w:t xml:space="preserve"> </w:t>
      </w:r>
      <w:r>
        <w:rPr>
          <w:color w:val="231F20"/>
        </w:rPr>
        <w:t>developing</w:t>
      </w:r>
      <w:r>
        <w:rPr>
          <w:color w:val="231F20"/>
          <w:spacing w:val="33"/>
        </w:rPr>
        <w:t xml:space="preserve"> </w:t>
      </w:r>
      <w:r>
        <w:rPr>
          <w:color w:val="231F20"/>
        </w:rPr>
        <w:t>imperialist</w:t>
      </w:r>
      <w:r>
        <w:rPr>
          <w:color w:val="231F20"/>
          <w:spacing w:val="33"/>
        </w:rPr>
        <w:t xml:space="preserve"> </w:t>
      </w:r>
      <w:r>
        <w:rPr>
          <w:color w:val="231F20"/>
        </w:rPr>
        <w:t>system</w:t>
      </w:r>
      <w:r>
        <w:rPr>
          <w:color w:val="231F20"/>
          <w:spacing w:val="33"/>
        </w:rPr>
        <w:t xml:space="preserve"> </w:t>
      </w:r>
      <w:r>
        <w:rPr>
          <w:color w:val="231F20"/>
        </w:rPr>
        <w:t>and</w:t>
      </w:r>
      <w:r>
        <w:rPr>
          <w:color w:val="231F20"/>
          <w:spacing w:val="33"/>
        </w:rPr>
        <w:t xml:space="preserve"> </w:t>
      </w:r>
      <w:r>
        <w:rPr>
          <w:color w:val="231F20"/>
        </w:rPr>
        <w:t>Israeli</w:t>
      </w:r>
    </w:p>
    <w:p w14:paraId="691DB0A7" w14:textId="77777777" w:rsidR="002653E8" w:rsidRDefault="00000000">
      <w:pPr>
        <w:pStyle w:val="a3"/>
        <w:spacing w:before="4"/>
        <w:rPr>
          <w:sz w:val="11"/>
        </w:rPr>
      </w:pPr>
      <w:r>
        <w:rPr>
          <w:noProof w:val="0"/>
        </w:rPr>
        <w:pict w14:anchorId="0F65C42E">
          <v:line id="_x0000_s2462" style="position:absolute;z-index:5608;mso-wrap-distance-left:0;mso-wrap-distance-right:0;mso-position-horizontal-relative:page" from="57.4pt,8.9pt" to="129.4pt,8.9pt" strokecolor="#231f20" strokeweight=".5pt">
            <w10:wrap type="topAndBottom" anchorx="page"/>
          </v:line>
        </w:pict>
      </w:r>
    </w:p>
    <w:p w14:paraId="330EF3B9" w14:textId="77777777" w:rsidR="002653E8" w:rsidRDefault="003115E3">
      <w:pPr>
        <w:spacing w:before="53" w:line="254" w:lineRule="auto"/>
        <w:ind w:left="1147" w:right="1522"/>
        <w:rPr>
          <w:sz w:val="16"/>
        </w:rPr>
      </w:pPr>
      <w:r>
        <w:rPr>
          <w:color w:val="231F20"/>
          <w:w w:val="105"/>
          <w:sz w:val="16"/>
        </w:rPr>
        <w:t xml:space="preserve">1 During negotiations with the Palestinian commando, Minister of the Interior Hans-Dietrich Genscher is reported to have offered himself as a hostage in exchange for the Israeli athletes. The commando is said to have refused this offer. Given Horst Mahler’s comments at his October 1972 trial (see page </w:t>
      </w:r>
      <w:r>
        <w:rPr>
          <w:color w:val="231F20"/>
          <w:spacing w:val="-4"/>
          <w:w w:val="105"/>
          <w:sz w:val="16"/>
        </w:rPr>
        <w:t xml:space="preserve">188), </w:t>
      </w:r>
      <w:r>
        <w:rPr>
          <w:color w:val="231F20"/>
          <w:w w:val="105"/>
          <w:sz w:val="16"/>
        </w:rPr>
        <w:t>it seems likely</w:t>
      </w:r>
      <w:r>
        <w:rPr>
          <w:color w:val="231F20"/>
          <w:spacing w:val="8"/>
          <w:w w:val="105"/>
          <w:sz w:val="16"/>
        </w:rPr>
        <w:t xml:space="preserve"> </w:t>
      </w:r>
      <w:r>
        <w:rPr>
          <w:color w:val="231F20"/>
          <w:w w:val="105"/>
          <w:sz w:val="16"/>
        </w:rPr>
        <w:t>that</w:t>
      </w:r>
      <w:r>
        <w:rPr>
          <w:color w:val="231F20"/>
          <w:spacing w:val="8"/>
          <w:w w:val="105"/>
          <w:sz w:val="16"/>
        </w:rPr>
        <w:t xml:space="preserve"> </w:t>
      </w:r>
      <w:r>
        <w:rPr>
          <w:color w:val="231F20"/>
          <w:w w:val="105"/>
          <w:sz w:val="16"/>
        </w:rPr>
        <w:t>the</w:t>
      </w:r>
      <w:r>
        <w:rPr>
          <w:color w:val="231F20"/>
          <w:spacing w:val="8"/>
          <w:w w:val="105"/>
          <w:sz w:val="16"/>
        </w:rPr>
        <w:t xml:space="preserve"> </w:t>
      </w:r>
      <w:r w:rsidR="00C507A5">
        <w:rPr>
          <w:color w:val="231F20"/>
          <w:spacing w:val="3"/>
          <w:w w:val="105"/>
          <w:sz w:val="16"/>
        </w:rPr>
        <w:t>red army faction</w:t>
      </w:r>
      <w:r>
        <w:rPr>
          <w:color w:val="231F20"/>
          <w:spacing w:val="8"/>
          <w:w w:val="105"/>
          <w:sz w:val="16"/>
        </w:rPr>
        <w:t xml:space="preserve"> </w:t>
      </w:r>
      <w:r>
        <w:rPr>
          <w:color w:val="231F20"/>
          <w:w w:val="105"/>
          <w:sz w:val="16"/>
        </w:rPr>
        <w:t>was</w:t>
      </w:r>
      <w:r>
        <w:rPr>
          <w:color w:val="231F20"/>
          <w:spacing w:val="8"/>
          <w:w w:val="105"/>
          <w:sz w:val="16"/>
        </w:rPr>
        <w:t xml:space="preserve"> </w:t>
      </w:r>
      <w:r>
        <w:rPr>
          <w:color w:val="231F20"/>
          <w:w w:val="105"/>
          <w:sz w:val="16"/>
        </w:rPr>
        <w:t>attempting</w:t>
      </w:r>
      <w:r>
        <w:rPr>
          <w:color w:val="231F20"/>
          <w:spacing w:val="8"/>
          <w:w w:val="105"/>
          <w:sz w:val="16"/>
        </w:rPr>
        <w:t xml:space="preserve"> </w:t>
      </w:r>
      <w:r>
        <w:rPr>
          <w:color w:val="231F20"/>
          <w:w w:val="105"/>
          <w:sz w:val="16"/>
        </w:rPr>
        <w:t>an</w:t>
      </w:r>
      <w:r>
        <w:rPr>
          <w:color w:val="231F20"/>
          <w:spacing w:val="8"/>
          <w:w w:val="105"/>
          <w:sz w:val="16"/>
        </w:rPr>
        <w:t xml:space="preserve"> </w:t>
      </w:r>
      <w:r>
        <w:rPr>
          <w:color w:val="231F20"/>
          <w:w w:val="105"/>
          <w:sz w:val="16"/>
        </w:rPr>
        <w:t>oblique</w:t>
      </w:r>
      <w:r>
        <w:rPr>
          <w:color w:val="231F20"/>
          <w:spacing w:val="8"/>
          <w:w w:val="105"/>
          <w:sz w:val="16"/>
        </w:rPr>
        <w:t xml:space="preserve"> </w:t>
      </w:r>
      <w:r>
        <w:rPr>
          <w:color w:val="231F20"/>
          <w:w w:val="105"/>
          <w:sz w:val="16"/>
        </w:rPr>
        <w:t>criticism</w:t>
      </w:r>
      <w:r>
        <w:rPr>
          <w:color w:val="231F20"/>
          <w:spacing w:val="8"/>
          <w:w w:val="105"/>
          <w:sz w:val="16"/>
        </w:rPr>
        <w:t xml:space="preserve"> </w:t>
      </w:r>
      <w:r>
        <w:rPr>
          <w:color w:val="231F20"/>
          <w:w w:val="105"/>
          <w:sz w:val="16"/>
        </w:rPr>
        <w:t>of</w:t>
      </w:r>
      <w:r>
        <w:rPr>
          <w:color w:val="231F20"/>
          <w:spacing w:val="8"/>
          <w:w w:val="105"/>
          <w:sz w:val="16"/>
        </w:rPr>
        <w:t xml:space="preserve"> </w:t>
      </w:r>
      <w:r>
        <w:rPr>
          <w:color w:val="231F20"/>
          <w:w w:val="105"/>
          <w:sz w:val="16"/>
        </w:rPr>
        <w:t>this</w:t>
      </w:r>
      <w:r>
        <w:rPr>
          <w:color w:val="231F20"/>
          <w:spacing w:val="8"/>
          <w:w w:val="105"/>
          <w:sz w:val="16"/>
        </w:rPr>
        <w:t xml:space="preserve"> </w:t>
      </w:r>
      <w:r>
        <w:rPr>
          <w:color w:val="231F20"/>
          <w:w w:val="105"/>
          <w:sz w:val="16"/>
        </w:rPr>
        <w:t>decision.</w:t>
      </w:r>
    </w:p>
    <w:p w14:paraId="5FA8E01D" w14:textId="77777777" w:rsidR="002653E8" w:rsidRDefault="002653E8">
      <w:pPr>
        <w:spacing w:line="254" w:lineRule="auto"/>
        <w:rPr>
          <w:sz w:val="16"/>
        </w:rPr>
        <w:sectPr w:rsidR="002653E8">
          <w:pgSz w:w="8640" w:h="12960"/>
          <w:pgMar w:top="1060" w:right="0" w:bottom="1040" w:left="0" w:header="0" w:footer="850" w:gutter="0"/>
          <w:cols w:space="720"/>
        </w:sectPr>
      </w:pPr>
    </w:p>
    <w:p w14:paraId="6CAAA58E" w14:textId="77777777" w:rsidR="002653E8" w:rsidRDefault="003115E3">
      <w:pPr>
        <w:pStyle w:val="a3"/>
        <w:spacing w:before="86" w:line="264" w:lineRule="auto"/>
        <w:ind w:left="1327" w:right="1146"/>
        <w:jc w:val="both"/>
      </w:pPr>
      <w:r>
        <w:rPr>
          <w:color w:val="231F20"/>
        </w:rPr>
        <w:lastRenderedPageBreak/>
        <w:t>Nazi fascism (see the chapter on National Socialism) into the open. It would have made use of the system’s contradictions to split the imperialist forces!</w:t>
      </w:r>
    </w:p>
    <w:p w14:paraId="699E1D70" w14:textId="77777777" w:rsidR="002653E8" w:rsidRDefault="003115E3">
      <w:pPr>
        <w:pStyle w:val="a3"/>
        <w:spacing w:line="264" w:lineRule="auto"/>
        <w:ind w:left="1327" w:right="1146" w:firstLine="210"/>
        <w:jc w:val="both"/>
      </w:pPr>
      <w:r>
        <w:rPr>
          <w:color w:val="231F20"/>
        </w:rPr>
        <w:t>These observations are not meant as a criticism of the action, but rather as an expression of our appreciation of the action. These observations are an excellent example of how practice leads to theoretical development and how theory leads to developments in practice—of the dialectic of theory and practice.</w:t>
      </w:r>
    </w:p>
    <w:p w14:paraId="71DC3E68" w14:textId="77777777" w:rsidR="002653E8" w:rsidRDefault="002653E8">
      <w:pPr>
        <w:pStyle w:val="a3"/>
        <w:rPr>
          <w:sz w:val="22"/>
        </w:rPr>
      </w:pPr>
    </w:p>
    <w:p w14:paraId="29530B20" w14:textId="77777777" w:rsidR="002653E8" w:rsidRDefault="002653E8">
      <w:pPr>
        <w:pStyle w:val="a3"/>
        <w:spacing w:before="3"/>
        <w:rPr>
          <w:sz w:val="19"/>
        </w:rPr>
      </w:pPr>
    </w:p>
    <w:p w14:paraId="71DEA177" w14:textId="77777777" w:rsidR="002653E8" w:rsidRDefault="003115E3">
      <w:pPr>
        <w:numPr>
          <w:ilvl w:val="0"/>
          <w:numId w:val="128"/>
        </w:numPr>
        <w:tabs>
          <w:tab w:val="left" w:pos="1658"/>
        </w:tabs>
        <w:ind w:left="1657" w:hanging="330"/>
        <w:jc w:val="left"/>
      </w:pPr>
      <w:r>
        <w:rPr>
          <w:color w:val="231F20"/>
          <w:w w:val="120"/>
        </w:rPr>
        <w:t>.</w:t>
      </w:r>
      <w:r>
        <w:rPr>
          <w:color w:val="231F20"/>
          <w:spacing w:val="3"/>
          <w:w w:val="120"/>
        </w:rPr>
        <w:t xml:space="preserve"> </w:t>
      </w:r>
      <w:r>
        <w:rPr>
          <w:color w:val="231F20"/>
          <w:spacing w:val="18"/>
          <w:w w:val="120"/>
        </w:rPr>
        <w:t>opportunism</w:t>
      </w:r>
    </w:p>
    <w:p w14:paraId="04E54014" w14:textId="77777777" w:rsidR="002653E8" w:rsidRDefault="003115E3">
      <w:pPr>
        <w:spacing w:before="17"/>
        <w:ind w:left="1327"/>
        <w:rPr>
          <w:i/>
          <w:sz w:val="20"/>
        </w:rPr>
      </w:pPr>
      <w:r>
        <w:rPr>
          <w:i/>
          <w:color w:val="231F20"/>
          <w:w w:val="105"/>
          <w:sz w:val="20"/>
        </w:rPr>
        <w:t>Opportunism in the Metropole</w:t>
      </w:r>
    </w:p>
    <w:p w14:paraId="69D7FDD4" w14:textId="77777777" w:rsidR="002653E8" w:rsidRDefault="003115E3">
      <w:pPr>
        <w:pStyle w:val="a3"/>
        <w:spacing w:before="26" w:line="264" w:lineRule="auto"/>
        <w:ind w:left="1327" w:right="1146"/>
        <w:jc w:val="both"/>
      </w:pPr>
      <w:r>
        <w:rPr>
          <w:color w:val="231F20"/>
        </w:rPr>
        <w:t xml:space="preserve">The Marxist bible thumper—equipped with quotes and not  thinking any </w:t>
      </w:r>
      <w:r>
        <w:rPr>
          <w:color w:val="231F20"/>
          <w:spacing w:val="1"/>
        </w:rPr>
        <w:t xml:space="preserve">further—will </w:t>
      </w:r>
      <w:r>
        <w:rPr>
          <w:color w:val="231F20"/>
        </w:rPr>
        <w:t xml:space="preserve">argue that Marx himself said that smashing machines was </w:t>
      </w:r>
      <w:r>
        <w:rPr>
          <w:color w:val="231F20"/>
          <w:spacing w:val="-3"/>
        </w:rPr>
        <w:t>“stupid.”</w:t>
      </w:r>
      <w:r>
        <w:rPr>
          <w:color w:val="231F20"/>
          <w:spacing w:val="25"/>
        </w:rPr>
        <w:t xml:space="preserve"> </w:t>
      </w:r>
      <w:r>
        <w:rPr>
          <w:color w:val="231F20"/>
        </w:rPr>
        <w:t>Marx:</w:t>
      </w:r>
    </w:p>
    <w:p w14:paraId="1E31A18F" w14:textId="77777777" w:rsidR="002653E8" w:rsidRDefault="003115E3">
      <w:pPr>
        <w:spacing w:before="126" w:line="276" w:lineRule="auto"/>
        <w:ind w:left="1747" w:right="1559"/>
        <w:jc w:val="both"/>
        <w:rPr>
          <w:i/>
          <w:sz w:val="11"/>
        </w:rPr>
      </w:pPr>
      <w:r>
        <w:rPr>
          <w:i/>
          <w:color w:val="231F20"/>
          <w:spacing w:val="-3"/>
          <w:w w:val="105"/>
          <w:sz w:val="19"/>
        </w:rPr>
        <w:t xml:space="preserve">Machinery, </w:t>
      </w:r>
      <w:r>
        <w:rPr>
          <w:i/>
          <w:color w:val="231F20"/>
          <w:w w:val="105"/>
          <w:sz w:val="19"/>
        </w:rPr>
        <w:t xml:space="preserve">considered alone, shortens the hours of </w:t>
      </w:r>
      <w:r>
        <w:rPr>
          <w:i/>
          <w:color w:val="231F20"/>
          <w:spacing w:val="-4"/>
          <w:w w:val="105"/>
          <w:sz w:val="19"/>
        </w:rPr>
        <w:t xml:space="preserve">labor, </w:t>
      </w:r>
      <w:r>
        <w:rPr>
          <w:i/>
          <w:color w:val="231F20"/>
          <w:w w:val="105"/>
          <w:sz w:val="19"/>
        </w:rPr>
        <w:t xml:space="preserve">but, when in the service of capital, lengthens them; since in itself it lightens </w:t>
      </w:r>
      <w:r>
        <w:rPr>
          <w:i/>
          <w:color w:val="231F20"/>
          <w:spacing w:val="-4"/>
          <w:w w:val="105"/>
          <w:sz w:val="19"/>
        </w:rPr>
        <w:t xml:space="preserve">labor, </w:t>
      </w:r>
      <w:r>
        <w:rPr>
          <w:i/>
          <w:color w:val="231F20"/>
          <w:w w:val="105"/>
          <w:sz w:val="19"/>
        </w:rPr>
        <w:t>but when employed by capital, heightens the intensity of labor; since in itself it is a victory of man over the forces of Nature, but in the hands of capital, makes man the slave of those forces; since in itself it increases the wealth of the producers, but in the hands of capital, makes them</w:t>
      </w:r>
      <w:r>
        <w:rPr>
          <w:i/>
          <w:color w:val="231F20"/>
          <w:spacing w:val="16"/>
          <w:w w:val="105"/>
          <w:sz w:val="19"/>
        </w:rPr>
        <w:t xml:space="preserve"> </w:t>
      </w:r>
      <w:r>
        <w:rPr>
          <w:i/>
          <w:color w:val="231F20"/>
          <w:w w:val="105"/>
          <w:sz w:val="19"/>
        </w:rPr>
        <w:t>paupers…</w:t>
      </w:r>
      <w:r>
        <w:rPr>
          <w:i/>
          <w:color w:val="231F20"/>
          <w:w w:val="105"/>
          <w:position w:val="6"/>
          <w:sz w:val="11"/>
        </w:rPr>
        <w:t>2</w:t>
      </w:r>
    </w:p>
    <w:p w14:paraId="710FA1DE" w14:textId="77777777" w:rsidR="002653E8" w:rsidRDefault="003115E3">
      <w:pPr>
        <w:pStyle w:val="a3"/>
        <w:spacing w:before="132" w:line="264" w:lineRule="auto"/>
        <w:ind w:left="1327" w:right="1147"/>
        <w:jc w:val="both"/>
      </w:pPr>
      <w:r>
        <w:rPr>
          <w:color w:val="231F20"/>
        </w:rPr>
        <w:t>So it is not machinery that should be resisted, but its capitalist application.</w:t>
      </w:r>
    </w:p>
    <w:p w14:paraId="7FC1C751" w14:textId="77777777" w:rsidR="002653E8" w:rsidRDefault="003115E3">
      <w:pPr>
        <w:pStyle w:val="a3"/>
        <w:spacing w:line="264" w:lineRule="auto"/>
        <w:ind w:left="1327" w:right="1146" w:firstLine="210"/>
        <w:jc w:val="both"/>
      </w:pPr>
      <w:r>
        <w:rPr>
          <w:color w:val="231F20"/>
        </w:rPr>
        <w:t xml:space="preserve">On the face of it, it is not clear that everything about imperialist investment policy is intended to eliminate of the Third </w:t>
      </w:r>
      <w:r>
        <w:rPr>
          <w:color w:val="231F20"/>
          <w:spacing w:val="-4"/>
        </w:rPr>
        <w:t xml:space="preserve">World </w:t>
      </w:r>
      <w:r>
        <w:rPr>
          <w:color w:val="231F20"/>
        </w:rPr>
        <w:t xml:space="preserve">liberation movements. “Considered alone” and not as a waste of raw materials  and labor power, or as a means of war, one might even speak of military production as being a part of the civilian sector. However, it is meant to reinforce the unequal development between the imperialist centre and the countries of the Third </w:t>
      </w:r>
      <w:r>
        <w:rPr>
          <w:color w:val="231F20"/>
          <w:spacing w:val="-3"/>
        </w:rPr>
        <w:t xml:space="preserve">World, </w:t>
      </w:r>
      <w:r>
        <w:rPr>
          <w:color w:val="231F20"/>
        </w:rPr>
        <w:t xml:space="preserve">which is to </w:t>
      </w:r>
      <w:r>
        <w:rPr>
          <w:color w:val="231F20"/>
          <w:spacing w:val="-4"/>
        </w:rPr>
        <w:t xml:space="preserve">say, </w:t>
      </w:r>
      <w:r>
        <w:rPr>
          <w:color w:val="231F20"/>
        </w:rPr>
        <w:t>to reinforce the ongoing rule of the imperialist</w:t>
      </w:r>
      <w:r>
        <w:rPr>
          <w:color w:val="231F20"/>
          <w:spacing w:val="10"/>
        </w:rPr>
        <w:t xml:space="preserve"> </w:t>
      </w:r>
      <w:r>
        <w:rPr>
          <w:color w:val="231F20"/>
        </w:rPr>
        <w:t>system.</w:t>
      </w:r>
    </w:p>
    <w:p w14:paraId="4808706D" w14:textId="77777777" w:rsidR="002653E8" w:rsidRDefault="002653E8">
      <w:pPr>
        <w:pStyle w:val="a3"/>
        <w:rPr>
          <w:sz w:val="21"/>
        </w:rPr>
      </w:pPr>
    </w:p>
    <w:p w14:paraId="06CDE523" w14:textId="77777777" w:rsidR="002653E8" w:rsidRDefault="003115E3">
      <w:pPr>
        <w:ind w:left="1327"/>
        <w:rPr>
          <w:i/>
          <w:sz w:val="20"/>
        </w:rPr>
      </w:pPr>
      <w:r>
        <w:rPr>
          <w:i/>
          <w:color w:val="231F20"/>
          <w:sz w:val="20"/>
        </w:rPr>
        <w:t>Sabotage</w:t>
      </w:r>
    </w:p>
    <w:p w14:paraId="23DC1388" w14:textId="77777777" w:rsidR="002653E8" w:rsidRDefault="003115E3">
      <w:pPr>
        <w:pStyle w:val="a3"/>
        <w:spacing w:before="22" w:line="264" w:lineRule="auto"/>
        <w:ind w:left="1327" w:right="1146"/>
        <w:jc w:val="both"/>
      </w:pPr>
      <w:r>
        <w:rPr>
          <w:color w:val="231F20"/>
        </w:rPr>
        <w:t>The rejection of sabotage in the metropole, based on the argument that it</w:t>
      </w:r>
      <w:r>
        <w:rPr>
          <w:color w:val="231F20"/>
          <w:spacing w:val="35"/>
        </w:rPr>
        <w:t xml:space="preserve"> </w:t>
      </w:r>
      <w:r>
        <w:rPr>
          <w:color w:val="231F20"/>
        </w:rPr>
        <w:t>would</w:t>
      </w:r>
      <w:r>
        <w:rPr>
          <w:color w:val="231F20"/>
          <w:spacing w:val="35"/>
        </w:rPr>
        <w:t xml:space="preserve"> </w:t>
      </w:r>
      <w:r>
        <w:rPr>
          <w:color w:val="231F20"/>
        </w:rPr>
        <w:t>be</w:t>
      </w:r>
      <w:r>
        <w:rPr>
          <w:color w:val="231F20"/>
          <w:spacing w:val="35"/>
        </w:rPr>
        <w:t xml:space="preserve"> </w:t>
      </w:r>
      <w:r>
        <w:rPr>
          <w:color w:val="231F20"/>
        </w:rPr>
        <w:t>better</w:t>
      </w:r>
      <w:r>
        <w:rPr>
          <w:color w:val="231F20"/>
          <w:spacing w:val="35"/>
        </w:rPr>
        <w:t xml:space="preserve"> </w:t>
      </w:r>
      <w:r>
        <w:rPr>
          <w:color w:val="231F20"/>
        </w:rPr>
        <w:t>to</w:t>
      </w:r>
      <w:r>
        <w:rPr>
          <w:color w:val="231F20"/>
          <w:spacing w:val="35"/>
        </w:rPr>
        <w:t xml:space="preserve"> </w:t>
      </w:r>
      <w:r>
        <w:rPr>
          <w:color w:val="231F20"/>
        </w:rPr>
        <w:t>take</w:t>
      </w:r>
      <w:r>
        <w:rPr>
          <w:color w:val="231F20"/>
          <w:spacing w:val="35"/>
        </w:rPr>
        <w:t xml:space="preserve"> </w:t>
      </w:r>
      <w:r>
        <w:rPr>
          <w:color w:val="231F20"/>
        </w:rPr>
        <w:t>things</w:t>
      </w:r>
      <w:r>
        <w:rPr>
          <w:color w:val="231F20"/>
          <w:spacing w:val="35"/>
        </w:rPr>
        <w:t xml:space="preserve"> </w:t>
      </w:r>
      <w:r>
        <w:rPr>
          <w:color w:val="231F20"/>
        </w:rPr>
        <w:t>over</w:t>
      </w:r>
      <w:r>
        <w:rPr>
          <w:color w:val="231F20"/>
          <w:spacing w:val="35"/>
        </w:rPr>
        <w:t xml:space="preserve"> </w:t>
      </w:r>
      <w:r>
        <w:rPr>
          <w:color w:val="231F20"/>
        </w:rPr>
        <w:t>instead</w:t>
      </w:r>
      <w:r>
        <w:rPr>
          <w:color w:val="231F20"/>
          <w:spacing w:val="35"/>
        </w:rPr>
        <w:t xml:space="preserve"> </w:t>
      </w:r>
      <w:r>
        <w:rPr>
          <w:color w:val="231F20"/>
        </w:rPr>
        <w:t>of</w:t>
      </w:r>
      <w:r>
        <w:rPr>
          <w:color w:val="231F20"/>
          <w:spacing w:val="35"/>
        </w:rPr>
        <w:t xml:space="preserve"> </w:t>
      </w:r>
      <w:r>
        <w:rPr>
          <w:color w:val="231F20"/>
        </w:rPr>
        <w:t>destroying</w:t>
      </w:r>
      <w:r>
        <w:rPr>
          <w:color w:val="231F20"/>
          <w:spacing w:val="35"/>
        </w:rPr>
        <w:t xml:space="preserve"> </w:t>
      </w:r>
      <w:r>
        <w:rPr>
          <w:color w:val="231F20"/>
        </w:rPr>
        <w:t>them,</w:t>
      </w:r>
      <w:r>
        <w:rPr>
          <w:color w:val="231F20"/>
          <w:spacing w:val="35"/>
        </w:rPr>
        <w:t xml:space="preserve"> </w:t>
      </w:r>
      <w:r>
        <w:rPr>
          <w:color w:val="231F20"/>
        </w:rPr>
        <w:t>is</w:t>
      </w:r>
    </w:p>
    <w:p w14:paraId="4CE61B80" w14:textId="77777777" w:rsidR="002653E8" w:rsidRDefault="00000000">
      <w:pPr>
        <w:pStyle w:val="a3"/>
        <w:spacing w:before="4"/>
      </w:pPr>
      <w:r>
        <w:rPr>
          <w:noProof w:val="0"/>
        </w:rPr>
        <w:pict w14:anchorId="4E23DED8">
          <v:line id="_x0000_s2461" style="position:absolute;z-index:5632;mso-wrap-distance-left:0;mso-wrap-distance-right:0;mso-position-horizontal-relative:page" from="66.4pt,14.15pt" to="138.4pt,14.15pt" strokecolor="#231f20" strokeweight=".5pt">
            <w10:wrap type="topAndBottom" anchorx="page"/>
          </v:line>
        </w:pict>
      </w:r>
    </w:p>
    <w:p w14:paraId="32B9E833" w14:textId="77777777" w:rsidR="002653E8" w:rsidRDefault="003115E3">
      <w:pPr>
        <w:spacing w:before="53" w:line="254" w:lineRule="auto"/>
        <w:ind w:left="1328" w:right="2281" w:hanging="1"/>
        <w:rPr>
          <w:sz w:val="16"/>
        </w:rPr>
      </w:pPr>
      <w:r>
        <w:rPr>
          <w:color w:val="231F20"/>
          <w:w w:val="110"/>
          <w:sz w:val="16"/>
        </w:rPr>
        <w:t xml:space="preserve">2 Karl Marx, </w:t>
      </w:r>
      <w:r>
        <w:rPr>
          <w:i/>
          <w:color w:val="231F20"/>
          <w:w w:val="110"/>
          <w:sz w:val="16"/>
        </w:rPr>
        <w:t xml:space="preserve">Capital </w:t>
      </w:r>
      <w:r>
        <w:rPr>
          <w:color w:val="231F20"/>
          <w:w w:val="110"/>
          <w:sz w:val="16"/>
        </w:rPr>
        <w:t>Volume I, chapter 15, volume 5.</w:t>
      </w:r>
      <w:hyperlink r:id="rId184" w:anchor="S5">
        <w:r>
          <w:rPr>
            <w:color w:val="231F20"/>
            <w:w w:val="110"/>
            <w:sz w:val="16"/>
          </w:rPr>
          <w:t xml:space="preserve"> </w:t>
        </w:r>
        <w:r>
          <w:rPr>
            <w:color w:val="231F20"/>
            <w:w w:val="104"/>
            <w:sz w:val="16"/>
          </w:rPr>
          <w:t>h</w:t>
        </w:r>
        <w:r>
          <w:rPr>
            <w:color w:val="231F20"/>
            <w:w w:val="102"/>
            <w:sz w:val="16"/>
          </w:rPr>
          <w:t>tt</w:t>
        </w:r>
        <w:r>
          <w:rPr>
            <w:color w:val="231F20"/>
            <w:w w:val="103"/>
            <w:sz w:val="16"/>
          </w:rPr>
          <w:t>p</w:t>
        </w:r>
        <w:r>
          <w:rPr>
            <w:color w:val="231F20"/>
            <w:w w:val="109"/>
            <w:sz w:val="16"/>
          </w:rPr>
          <w:t>:</w:t>
        </w:r>
        <w:r>
          <w:rPr>
            <w:color w:val="231F20"/>
            <w:w w:val="58"/>
            <w:sz w:val="16"/>
          </w:rPr>
          <w:t>/</w:t>
        </w:r>
        <w:r>
          <w:rPr>
            <w:color w:val="231F20"/>
            <w:w w:val="86"/>
            <w:sz w:val="16"/>
          </w:rPr>
          <w:t>/w</w:t>
        </w:r>
        <w:r>
          <w:rPr>
            <w:color w:val="231F20"/>
            <w:w w:val="104"/>
            <w:sz w:val="16"/>
          </w:rPr>
          <w:t>ww</w:t>
        </w:r>
        <w:r>
          <w:rPr>
            <w:color w:val="231F20"/>
            <w:w w:val="140"/>
            <w:sz w:val="16"/>
          </w:rPr>
          <w:t>.</w:t>
        </w:r>
        <w:r>
          <w:rPr>
            <w:color w:val="231F20"/>
            <w:w w:val="104"/>
            <w:sz w:val="16"/>
          </w:rPr>
          <w:t>ma</w:t>
        </w:r>
        <w:r>
          <w:rPr>
            <w:color w:val="231F20"/>
            <w:w w:val="97"/>
            <w:sz w:val="16"/>
          </w:rPr>
          <w:t>r</w:t>
        </w:r>
        <w:r>
          <w:rPr>
            <w:color w:val="231F20"/>
            <w:w w:val="119"/>
            <w:sz w:val="16"/>
          </w:rPr>
          <w:t>x</w:t>
        </w:r>
        <w:r>
          <w:rPr>
            <w:color w:val="231F20"/>
            <w:w w:val="103"/>
            <w:sz w:val="16"/>
          </w:rPr>
          <w:t>i</w:t>
        </w:r>
        <w:r>
          <w:rPr>
            <w:color w:val="231F20"/>
            <w:w w:val="93"/>
            <w:sz w:val="16"/>
          </w:rPr>
          <w:t>s</w:t>
        </w:r>
        <w:r>
          <w:rPr>
            <w:color w:val="231F20"/>
            <w:w w:val="102"/>
            <w:sz w:val="16"/>
          </w:rPr>
          <w:t>t</w:t>
        </w:r>
        <w:r>
          <w:rPr>
            <w:color w:val="231F20"/>
            <w:w w:val="93"/>
            <w:sz w:val="16"/>
          </w:rPr>
          <w:t>s</w:t>
        </w:r>
        <w:r>
          <w:rPr>
            <w:color w:val="231F20"/>
            <w:w w:val="140"/>
            <w:sz w:val="16"/>
          </w:rPr>
          <w:t>.</w:t>
        </w:r>
        <w:r>
          <w:rPr>
            <w:color w:val="231F20"/>
            <w:w w:val="108"/>
            <w:sz w:val="16"/>
          </w:rPr>
          <w:t>o</w:t>
        </w:r>
        <w:r>
          <w:rPr>
            <w:color w:val="231F20"/>
            <w:w w:val="97"/>
            <w:sz w:val="16"/>
          </w:rPr>
          <w:t>r</w:t>
        </w:r>
        <w:r>
          <w:rPr>
            <w:color w:val="231F20"/>
            <w:w w:val="104"/>
            <w:sz w:val="16"/>
          </w:rPr>
          <w:t>g</w:t>
        </w:r>
        <w:r>
          <w:rPr>
            <w:color w:val="231F20"/>
            <w:w w:val="58"/>
            <w:sz w:val="16"/>
          </w:rPr>
          <w:t>/</w:t>
        </w:r>
        <w:r>
          <w:rPr>
            <w:color w:val="231F20"/>
            <w:w w:val="106"/>
            <w:sz w:val="16"/>
          </w:rPr>
          <w:t>a</w:t>
        </w:r>
        <w:r>
          <w:rPr>
            <w:color w:val="231F20"/>
            <w:w w:val="97"/>
            <w:sz w:val="16"/>
          </w:rPr>
          <w:t>r</w:t>
        </w:r>
        <w:r>
          <w:rPr>
            <w:color w:val="231F20"/>
            <w:w w:val="104"/>
            <w:sz w:val="16"/>
          </w:rPr>
          <w:t>ch</w:t>
        </w:r>
        <w:r>
          <w:rPr>
            <w:color w:val="231F20"/>
            <w:w w:val="103"/>
            <w:sz w:val="16"/>
          </w:rPr>
          <w:t>i</w:t>
        </w:r>
        <w:r>
          <w:rPr>
            <w:color w:val="231F20"/>
            <w:w w:val="102"/>
            <w:sz w:val="16"/>
          </w:rPr>
          <w:t>v</w:t>
        </w:r>
        <w:r>
          <w:rPr>
            <w:color w:val="231F20"/>
            <w:w w:val="94"/>
            <w:sz w:val="16"/>
          </w:rPr>
          <w:t>e</w:t>
        </w:r>
        <w:r>
          <w:rPr>
            <w:color w:val="231F20"/>
            <w:w w:val="58"/>
            <w:sz w:val="16"/>
          </w:rPr>
          <w:t>/</w:t>
        </w:r>
        <w:r>
          <w:rPr>
            <w:color w:val="231F20"/>
            <w:w w:val="104"/>
            <w:sz w:val="16"/>
          </w:rPr>
          <w:t>ma</w:t>
        </w:r>
        <w:r>
          <w:rPr>
            <w:color w:val="231F20"/>
            <w:w w:val="97"/>
            <w:sz w:val="16"/>
          </w:rPr>
          <w:t>r</w:t>
        </w:r>
        <w:r>
          <w:rPr>
            <w:color w:val="231F20"/>
            <w:w w:val="119"/>
            <w:sz w:val="16"/>
          </w:rPr>
          <w:t>x</w:t>
        </w:r>
        <w:r>
          <w:rPr>
            <w:color w:val="231F20"/>
            <w:w w:val="86"/>
            <w:sz w:val="16"/>
          </w:rPr>
          <w:t>/w</w:t>
        </w:r>
        <w:r>
          <w:rPr>
            <w:color w:val="231F20"/>
            <w:w w:val="108"/>
            <w:sz w:val="16"/>
          </w:rPr>
          <w:t>o</w:t>
        </w:r>
        <w:r>
          <w:rPr>
            <w:color w:val="231F20"/>
            <w:w w:val="97"/>
            <w:sz w:val="16"/>
          </w:rPr>
          <w:t>r</w:t>
        </w:r>
        <w:r>
          <w:rPr>
            <w:color w:val="231F20"/>
            <w:w w:val="109"/>
            <w:sz w:val="16"/>
          </w:rPr>
          <w:t>k</w:t>
        </w:r>
        <w:r>
          <w:rPr>
            <w:color w:val="231F20"/>
            <w:w w:val="93"/>
            <w:sz w:val="16"/>
          </w:rPr>
          <w:t>s</w:t>
        </w:r>
        <w:r>
          <w:rPr>
            <w:color w:val="231F20"/>
            <w:w w:val="58"/>
            <w:sz w:val="16"/>
          </w:rPr>
          <w:t>/</w:t>
        </w:r>
        <w:r>
          <w:rPr>
            <w:color w:val="231F20"/>
            <w:w w:val="104"/>
            <w:sz w:val="16"/>
          </w:rPr>
          <w:t>1867-c1</w:t>
        </w:r>
        <w:r>
          <w:rPr>
            <w:color w:val="231F20"/>
            <w:w w:val="80"/>
            <w:sz w:val="16"/>
          </w:rPr>
          <w:t>/c</w:t>
        </w:r>
        <w:r>
          <w:rPr>
            <w:color w:val="231F20"/>
            <w:w w:val="104"/>
            <w:sz w:val="16"/>
          </w:rPr>
          <w:t>h15</w:t>
        </w:r>
        <w:r>
          <w:rPr>
            <w:color w:val="231F20"/>
            <w:w w:val="140"/>
            <w:sz w:val="16"/>
          </w:rPr>
          <w:t>.</w:t>
        </w:r>
        <w:r>
          <w:rPr>
            <w:color w:val="231F20"/>
            <w:w w:val="103"/>
            <w:sz w:val="16"/>
          </w:rPr>
          <w:t>htm</w:t>
        </w:r>
        <w:r>
          <w:rPr>
            <w:color w:val="231F20"/>
            <w:w w:val="93"/>
            <w:sz w:val="16"/>
          </w:rPr>
          <w:t>#</w:t>
        </w:r>
        <w:r>
          <w:rPr>
            <w:color w:val="231F20"/>
            <w:w w:val="104"/>
            <w:sz w:val="16"/>
          </w:rPr>
          <w:t>S5</w:t>
        </w:r>
        <w:r>
          <w:rPr>
            <w:color w:val="231F20"/>
            <w:w w:val="140"/>
            <w:sz w:val="16"/>
          </w:rPr>
          <w:t>.</w:t>
        </w:r>
      </w:hyperlink>
    </w:p>
    <w:p w14:paraId="210DB92E" w14:textId="77777777" w:rsidR="002653E8" w:rsidRDefault="002653E8">
      <w:pPr>
        <w:spacing w:line="254" w:lineRule="auto"/>
        <w:rPr>
          <w:sz w:val="16"/>
        </w:rPr>
        <w:sectPr w:rsidR="002653E8">
          <w:pgSz w:w="8640" w:h="12960"/>
          <w:pgMar w:top="1060" w:right="0" w:bottom="1040" w:left="0" w:header="0" w:footer="850" w:gutter="0"/>
          <w:cols w:space="720"/>
        </w:sectPr>
      </w:pPr>
    </w:p>
    <w:p w14:paraId="2685EC95" w14:textId="77777777" w:rsidR="002653E8" w:rsidRDefault="003115E3">
      <w:pPr>
        <w:pStyle w:val="a3"/>
        <w:spacing w:before="86" w:line="264" w:lineRule="auto"/>
        <w:ind w:left="1147" w:right="1327"/>
        <w:jc w:val="both"/>
      </w:pPr>
      <w:r>
        <w:rPr>
          <w:color w:val="231F20"/>
        </w:rPr>
        <w:lastRenderedPageBreak/>
        <w:t xml:space="preserve">based on the dictum: the people of the Third </w:t>
      </w:r>
      <w:r>
        <w:rPr>
          <w:color w:val="231F20"/>
          <w:spacing w:val="-4"/>
        </w:rPr>
        <w:t xml:space="preserve">World  </w:t>
      </w:r>
      <w:r>
        <w:rPr>
          <w:color w:val="231F20"/>
        </w:rPr>
        <w:t>should wait for  their</w:t>
      </w:r>
      <w:r>
        <w:rPr>
          <w:color w:val="231F20"/>
          <w:spacing w:val="8"/>
        </w:rPr>
        <w:t xml:space="preserve"> </w:t>
      </w:r>
      <w:r>
        <w:rPr>
          <w:color w:val="231F20"/>
        </w:rPr>
        <w:t>revolution</w:t>
      </w:r>
      <w:r>
        <w:rPr>
          <w:color w:val="231F20"/>
          <w:spacing w:val="8"/>
        </w:rPr>
        <w:t xml:space="preserve"> </w:t>
      </w:r>
      <w:r>
        <w:rPr>
          <w:color w:val="231F20"/>
        </w:rPr>
        <w:t>until</w:t>
      </w:r>
      <w:r>
        <w:rPr>
          <w:color w:val="231F20"/>
          <w:spacing w:val="8"/>
        </w:rPr>
        <w:t xml:space="preserve"> </w:t>
      </w:r>
      <w:r>
        <w:rPr>
          <w:color w:val="231F20"/>
        </w:rPr>
        <w:t>the</w:t>
      </w:r>
      <w:r>
        <w:rPr>
          <w:color w:val="231F20"/>
          <w:spacing w:val="8"/>
        </w:rPr>
        <w:t xml:space="preserve"> </w:t>
      </w:r>
      <w:r>
        <w:rPr>
          <w:color w:val="231F20"/>
        </w:rPr>
        <w:t>masses</w:t>
      </w:r>
      <w:r>
        <w:rPr>
          <w:color w:val="231F20"/>
          <w:spacing w:val="8"/>
        </w:rPr>
        <w:t xml:space="preserve"> </w:t>
      </w:r>
      <w:r>
        <w:rPr>
          <w:color w:val="231F20"/>
        </w:rPr>
        <w:t>in</w:t>
      </w:r>
      <w:r>
        <w:rPr>
          <w:color w:val="231F20"/>
          <w:spacing w:val="8"/>
        </w:rPr>
        <w:t xml:space="preserve"> </w:t>
      </w:r>
      <w:r>
        <w:rPr>
          <w:color w:val="231F20"/>
        </w:rPr>
        <w:t>the</w:t>
      </w:r>
      <w:r>
        <w:rPr>
          <w:color w:val="231F20"/>
          <w:spacing w:val="8"/>
        </w:rPr>
        <w:t xml:space="preserve"> </w:t>
      </w:r>
      <w:r>
        <w:rPr>
          <w:color w:val="231F20"/>
        </w:rPr>
        <w:t>metropole</w:t>
      </w:r>
      <w:r>
        <w:rPr>
          <w:color w:val="231F20"/>
          <w:spacing w:val="8"/>
        </w:rPr>
        <w:t xml:space="preserve"> </w:t>
      </w:r>
      <w:r>
        <w:rPr>
          <w:color w:val="231F20"/>
        </w:rPr>
        <w:t>catch</w:t>
      </w:r>
      <w:r>
        <w:rPr>
          <w:color w:val="231F20"/>
          <w:spacing w:val="8"/>
        </w:rPr>
        <w:t xml:space="preserve"> </w:t>
      </w:r>
      <w:r>
        <w:rPr>
          <w:color w:val="231F20"/>
        </w:rPr>
        <w:t>up.</w:t>
      </w:r>
    </w:p>
    <w:p w14:paraId="7AD1E5EB" w14:textId="77777777" w:rsidR="002653E8" w:rsidRDefault="003115E3">
      <w:pPr>
        <w:pStyle w:val="a3"/>
        <w:spacing w:line="264" w:lineRule="auto"/>
        <w:ind w:left="1147" w:right="1326" w:firstLine="210"/>
        <w:jc w:val="both"/>
      </w:pPr>
      <w:r>
        <w:rPr>
          <w:color w:val="231F20"/>
        </w:rPr>
        <w:t xml:space="preserve">This ignores the problem of the labor aristocracy within imperialism, first addressed by Lenin. Furthermore, this demands that the people     of the Third </w:t>
      </w:r>
      <w:r>
        <w:rPr>
          <w:color w:val="231F20"/>
          <w:spacing w:val="-4"/>
        </w:rPr>
        <w:t xml:space="preserve">World </w:t>
      </w:r>
      <w:r>
        <w:rPr>
          <w:color w:val="231F20"/>
        </w:rPr>
        <w:t>allow all sectors of the world proletariat—most of whom form part of the backbone of the imperialist system—to ride on their</w:t>
      </w:r>
      <w:r>
        <w:rPr>
          <w:color w:val="231F20"/>
          <w:spacing w:val="11"/>
        </w:rPr>
        <w:t xml:space="preserve"> </w:t>
      </w:r>
      <w:r>
        <w:rPr>
          <w:color w:val="231F20"/>
        </w:rPr>
        <w:t>coattails.</w:t>
      </w:r>
      <w:r>
        <w:rPr>
          <w:color w:val="231F20"/>
          <w:spacing w:val="11"/>
        </w:rPr>
        <w:t xml:space="preserve"> </w:t>
      </w:r>
      <w:r>
        <w:rPr>
          <w:color w:val="231F20"/>
        </w:rPr>
        <w:t>It</w:t>
      </w:r>
      <w:r>
        <w:rPr>
          <w:color w:val="231F20"/>
          <w:spacing w:val="11"/>
        </w:rPr>
        <w:t xml:space="preserve"> </w:t>
      </w:r>
      <w:r>
        <w:rPr>
          <w:color w:val="231F20"/>
        </w:rPr>
        <w:t>is</w:t>
      </w:r>
      <w:r>
        <w:rPr>
          <w:color w:val="231F20"/>
          <w:spacing w:val="11"/>
        </w:rPr>
        <w:t xml:space="preserve"> </w:t>
      </w:r>
      <w:r>
        <w:rPr>
          <w:color w:val="231F20"/>
        </w:rPr>
        <w:t>the</w:t>
      </w:r>
      <w:r>
        <w:rPr>
          <w:color w:val="231F20"/>
          <w:spacing w:val="11"/>
        </w:rPr>
        <w:t xml:space="preserve"> </w:t>
      </w:r>
      <w:r>
        <w:rPr>
          <w:color w:val="231F20"/>
        </w:rPr>
        <w:t>rallying</w:t>
      </w:r>
      <w:r>
        <w:rPr>
          <w:color w:val="231F20"/>
          <w:spacing w:val="11"/>
        </w:rPr>
        <w:t xml:space="preserve"> </w:t>
      </w:r>
      <w:r>
        <w:rPr>
          <w:color w:val="231F20"/>
        </w:rPr>
        <w:t>cry</w:t>
      </w:r>
      <w:r>
        <w:rPr>
          <w:color w:val="231F20"/>
          <w:spacing w:val="11"/>
        </w:rPr>
        <w:t xml:space="preserve"> </w:t>
      </w:r>
      <w:r>
        <w:rPr>
          <w:color w:val="231F20"/>
        </w:rPr>
        <w:t>of</w:t>
      </w:r>
      <w:r>
        <w:rPr>
          <w:color w:val="231F20"/>
          <w:spacing w:val="11"/>
        </w:rPr>
        <w:t xml:space="preserve"> </w:t>
      </w:r>
      <w:r>
        <w:rPr>
          <w:color w:val="231F20"/>
        </w:rPr>
        <w:t>opportunism.</w:t>
      </w:r>
    </w:p>
    <w:p w14:paraId="616E67BF" w14:textId="77777777" w:rsidR="002653E8" w:rsidRDefault="002653E8">
      <w:pPr>
        <w:pStyle w:val="a3"/>
        <w:spacing w:before="3"/>
        <w:rPr>
          <w:sz w:val="21"/>
        </w:rPr>
      </w:pPr>
    </w:p>
    <w:p w14:paraId="638F027F" w14:textId="77777777" w:rsidR="002653E8" w:rsidRDefault="003115E3">
      <w:pPr>
        <w:ind w:left="1147"/>
        <w:rPr>
          <w:i/>
          <w:sz w:val="20"/>
        </w:rPr>
      </w:pPr>
      <w:r>
        <w:rPr>
          <w:i/>
          <w:color w:val="231F20"/>
          <w:w w:val="105"/>
          <w:sz w:val="20"/>
        </w:rPr>
        <w:t>The Opportunistic Concept of Solidarity</w:t>
      </w:r>
    </w:p>
    <w:p w14:paraId="005FA280" w14:textId="77777777" w:rsidR="002653E8" w:rsidRDefault="003115E3">
      <w:pPr>
        <w:pStyle w:val="a3"/>
        <w:spacing w:before="23" w:line="264" w:lineRule="auto"/>
        <w:ind w:left="1147" w:right="1326"/>
        <w:jc w:val="both"/>
      </w:pPr>
      <w:r>
        <w:rPr>
          <w:color w:val="231F20"/>
          <w:spacing w:val="-3"/>
        </w:rPr>
        <w:t xml:space="preserve">It’s </w:t>
      </w:r>
      <w:r>
        <w:rPr>
          <w:color w:val="231F20"/>
        </w:rPr>
        <w:t xml:space="preserve">no surprise that the opportunists no longer know what to do with the concept of solidarity—they betray their claim to leadership with an incorrect analysis of imperialism. They must exclude a section of the disempowered from their concept of solidarity. This is the section that rejects their leadership, and instead turns to the people of the Third </w:t>
      </w:r>
      <w:r>
        <w:rPr>
          <w:color w:val="231F20"/>
          <w:spacing w:val="-3"/>
        </w:rPr>
        <w:t xml:space="preserve">World. </w:t>
      </w:r>
      <w:r>
        <w:rPr>
          <w:color w:val="231F20"/>
        </w:rPr>
        <w:t>They must exclude anyone who by “serve the people” doesn’t mean</w:t>
      </w:r>
      <w:r>
        <w:rPr>
          <w:color w:val="231F20"/>
          <w:spacing w:val="-6"/>
        </w:rPr>
        <w:t xml:space="preserve"> </w:t>
      </w:r>
      <w:r>
        <w:rPr>
          <w:color w:val="231F20"/>
        </w:rPr>
        <w:t>sucking</w:t>
      </w:r>
      <w:r>
        <w:rPr>
          <w:color w:val="231F20"/>
          <w:spacing w:val="-6"/>
        </w:rPr>
        <w:t xml:space="preserve"> </w:t>
      </w:r>
      <w:r>
        <w:rPr>
          <w:color w:val="231F20"/>
        </w:rPr>
        <w:t>up</w:t>
      </w:r>
      <w:r>
        <w:rPr>
          <w:color w:val="231F20"/>
          <w:spacing w:val="-6"/>
        </w:rPr>
        <w:t xml:space="preserve"> </w:t>
      </w:r>
      <w:r>
        <w:rPr>
          <w:color w:val="231F20"/>
        </w:rPr>
        <w:t>to</w:t>
      </w:r>
      <w:r>
        <w:rPr>
          <w:color w:val="231F20"/>
          <w:spacing w:val="-6"/>
        </w:rPr>
        <w:t xml:space="preserve"> </w:t>
      </w:r>
      <w:r>
        <w:rPr>
          <w:color w:val="231F20"/>
        </w:rPr>
        <w:t>the</w:t>
      </w:r>
      <w:r>
        <w:rPr>
          <w:color w:val="231F20"/>
          <w:spacing w:val="-6"/>
        </w:rPr>
        <w:t xml:space="preserve"> </w:t>
      </w:r>
      <w:r>
        <w:rPr>
          <w:color w:val="231F20"/>
        </w:rPr>
        <w:t>people</w:t>
      </w:r>
      <w:r>
        <w:rPr>
          <w:color w:val="231F20"/>
          <w:spacing w:val="-6"/>
        </w:rPr>
        <w:t xml:space="preserve"> </w:t>
      </w:r>
      <w:r>
        <w:rPr>
          <w:color w:val="231F20"/>
        </w:rPr>
        <w:t>disempowered</w:t>
      </w:r>
      <w:r>
        <w:rPr>
          <w:color w:val="231F20"/>
          <w:spacing w:val="-6"/>
        </w:rPr>
        <w:t xml:space="preserve"> </w:t>
      </w:r>
      <w:r>
        <w:rPr>
          <w:color w:val="231F20"/>
        </w:rPr>
        <w:t>by</w:t>
      </w:r>
      <w:r>
        <w:rPr>
          <w:color w:val="231F20"/>
          <w:spacing w:val="-6"/>
        </w:rPr>
        <w:t xml:space="preserve"> </w:t>
      </w:r>
      <w:r>
        <w:rPr>
          <w:color w:val="231F20"/>
        </w:rPr>
        <w:t>imperialism,</w:t>
      </w:r>
      <w:r>
        <w:rPr>
          <w:color w:val="231F20"/>
          <w:spacing w:val="-6"/>
        </w:rPr>
        <w:t xml:space="preserve"> </w:t>
      </w:r>
      <w:r>
        <w:rPr>
          <w:color w:val="231F20"/>
        </w:rPr>
        <w:t>but</w:t>
      </w:r>
      <w:r>
        <w:rPr>
          <w:color w:val="231F20"/>
          <w:spacing w:val="-6"/>
        </w:rPr>
        <w:t xml:space="preserve"> </w:t>
      </w:r>
      <w:r>
        <w:rPr>
          <w:color w:val="231F20"/>
        </w:rPr>
        <w:t>rather means by this that one must struggle against the imperialism which is disempowering</w:t>
      </w:r>
      <w:r>
        <w:rPr>
          <w:color w:val="231F20"/>
          <w:spacing w:val="10"/>
        </w:rPr>
        <w:t xml:space="preserve"> </w:t>
      </w:r>
      <w:r>
        <w:rPr>
          <w:color w:val="231F20"/>
        </w:rPr>
        <w:t>people.</w:t>
      </w:r>
    </w:p>
    <w:p w14:paraId="6FE9AC3D" w14:textId="77777777" w:rsidR="002653E8" w:rsidRDefault="002653E8">
      <w:pPr>
        <w:pStyle w:val="a3"/>
        <w:rPr>
          <w:sz w:val="21"/>
        </w:rPr>
      </w:pPr>
    </w:p>
    <w:p w14:paraId="728192A6" w14:textId="77777777" w:rsidR="002653E8" w:rsidRDefault="003115E3">
      <w:pPr>
        <w:ind w:left="1147"/>
        <w:rPr>
          <w:i/>
          <w:sz w:val="20"/>
        </w:rPr>
      </w:pPr>
      <w:r>
        <w:rPr>
          <w:i/>
          <w:color w:val="231F20"/>
          <w:w w:val="105"/>
          <w:sz w:val="20"/>
        </w:rPr>
        <w:t>Negt—The Pig</w:t>
      </w:r>
    </w:p>
    <w:p w14:paraId="6FE3E782" w14:textId="77777777" w:rsidR="002653E8" w:rsidRDefault="003115E3">
      <w:pPr>
        <w:pStyle w:val="a3"/>
        <w:spacing w:before="23" w:line="264" w:lineRule="auto"/>
        <w:ind w:left="1147" w:right="1325"/>
        <w:jc w:val="both"/>
      </w:pPr>
      <w:r>
        <w:rPr>
          <w:color w:val="231F20"/>
        </w:rPr>
        <w:t>Negt, who in Frankfurt resurrected Noske’s</w:t>
      </w:r>
      <w:r>
        <w:rPr>
          <w:color w:val="231F20"/>
          <w:position w:val="7"/>
          <w:sz w:val="11"/>
        </w:rPr>
        <w:t xml:space="preserve">1 </w:t>
      </w:r>
      <w:r>
        <w:rPr>
          <w:color w:val="231F20"/>
        </w:rPr>
        <w:t>axiom “One must be a bloodhound,” thereby formulated the opportunistic position, with  all the jargon, all the contempt for the masses, all the appeals to “the politicians,” and all the pleas for sound, common sense that are fundamental to it. However—like Bernstein</w:t>
      </w:r>
      <w:r>
        <w:rPr>
          <w:color w:val="231F20"/>
          <w:position w:val="7"/>
          <w:sz w:val="11"/>
        </w:rPr>
        <w:t>2</w:t>
      </w:r>
      <w:r>
        <w:rPr>
          <w:color w:val="231F20"/>
        </w:rPr>
        <w:t>—without the slightest hint of an economic analysis.</w:t>
      </w:r>
    </w:p>
    <w:p w14:paraId="15355426" w14:textId="77777777" w:rsidR="002653E8" w:rsidRDefault="003115E3">
      <w:pPr>
        <w:pStyle w:val="a3"/>
        <w:spacing w:line="264" w:lineRule="auto"/>
        <w:ind w:left="1147" w:right="1326" w:firstLine="210"/>
        <w:jc w:val="both"/>
      </w:pPr>
      <w:r>
        <w:rPr>
          <w:color w:val="231F20"/>
        </w:rPr>
        <w:t>Given, however, that the problem of opportunism is not objectively a question of the theoretical level he has expressed, it is necessary to engage him in debate. Objectively, it is the result of unequal development within the system, of the inequality in forms of oppression employed by the system and of the inequality of experiences of exploitation under this</w:t>
      </w:r>
      <w:r>
        <w:rPr>
          <w:color w:val="231F20"/>
          <w:spacing w:val="10"/>
        </w:rPr>
        <w:t xml:space="preserve"> </w:t>
      </w:r>
      <w:r>
        <w:rPr>
          <w:color w:val="231F20"/>
        </w:rPr>
        <w:t>system.</w:t>
      </w:r>
    </w:p>
    <w:p w14:paraId="39E9FB44" w14:textId="77777777" w:rsidR="002653E8" w:rsidRDefault="003115E3">
      <w:pPr>
        <w:pStyle w:val="a3"/>
        <w:spacing w:line="264" w:lineRule="auto"/>
        <w:ind w:left="1147" w:right="1326" w:firstLine="210"/>
        <w:jc w:val="both"/>
      </w:pPr>
      <w:r>
        <w:rPr>
          <w:color w:val="231F20"/>
        </w:rPr>
        <w:t>That Negt has generally been applauded, in spite of the feeble theoretical level of his work, is an objective indication of the pressure that exists here for people to take an opportunistic position. We are dealing</w:t>
      </w:r>
    </w:p>
    <w:p w14:paraId="605921CA" w14:textId="77777777" w:rsidR="002653E8" w:rsidRDefault="002653E8">
      <w:pPr>
        <w:pStyle w:val="a3"/>
        <w:spacing w:before="9"/>
        <w:rPr>
          <w:sz w:val="10"/>
        </w:rPr>
      </w:pPr>
    </w:p>
    <w:p w14:paraId="5672242A" w14:textId="77777777" w:rsidR="002653E8" w:rsidRDefault="003115E3">
      <w:pPr>
        <w:pStyle w:val="a4"/>
        <w:numPr>
          <w:ilvl w:val="0"/>
          <w:numId w:val="127"/>
        </w:numPr>
        <w:tabs>
          <w:tab w:val="left" w:pos="1287"/>
        </w:tabs>
        <w:spacing w:before="105" w:line="254" w:lineRule="auto"/>
        <w:ind w:right="1444" w:hanging="1"/>
        <w:jc w:val="left"/>
        <w:rPr>
          <w:sz w:val="16"/>
        </w:rPr>
      </w:pPr>
      <w:r>
        <w:rPr>
          <w:color w:val="231F20"/>
          <w:w w:val="105"/>
          <w:sz w:val="16"/>
        </w:rPr>
        <w:t xml:space="preserve">Gustav Noske, the SPD Minister responsible for the </w:t>
      </w:r>
      <w:r>
        <w:rPr>
          <w:color w:val="231F20"/>
          <w:spacing w:val="1"/>
          <w:w w:val="105"/>
          <w:sz w:val="16"/>
        </w:rPr>
        <w:t xml:space="preserve">military </w:t>
      </w:r>
      <w:r>
        <w:rPr>
          <w:color w:val="231F20"/>
          <w:w w:val="105"/>
          <w:sz w:val="16"/>
        </w:rPr>
        <w:t xml:space="preserve">during bloody suppression of the November Revolution of </w:t>
      </w:r>
      <w:r>
        <w:rPr>
          <w:color w:val="231F20"/>
          <w:spacing w:val="-4"/>
          <w:w w:val="105"/>
          <w:sz w:val="16"/>
        </w:rPr>
        <w:t xml:space="preserve">1918, </w:t>
      </w:r>
      <w:r>
        <w:rPr>
          <w:color w:val="231F20"/>
          <w:w w:val="105"/>
          <w:sz w:val="16"/>
        </w:rPr>
        <w:t>during which communist leaders Karl Liebknecht and</w:t>
      </w:r>
      <w:r>
        <w:rPr>
          <w:color w:val="231F20"/>
          <w:spacing w:val="20"/>
          <w:w w:val="105"/>
          <w:sz w:val="16"/>
        </w:rPr>
        <w:t xml:space="preserve"> </w:t>
      </w:r>
      <w:r>
        <w:rPr>
          <w:color w:val="231F20"/>
          <w:w w:val="105"/>
          <w:sz w:val="16"/>
        </w:rPr>
        <w:t>Rosa Luxemburg were killed.</w:t>
      </w:r>
    </w:p>
    <w:p w14:paraId="73E23AAB" w14:textId="77777777" w:rsidR="002653E8" w:rsidRDefault="003115E3">
      <w:pPr>
        <w:pStyle w:val="a4"/>
        <w:numPr>
          <w:ilvl w:val="0"/>
          <w:numId w:val="127"/>
        </w:numPr>
        <w:tabs>
          <w:tab w:val="left" w:pos="1287"/>
        </w:tabs>
        <w:spacing w:line="254" w:lineRule="auto"/>
        <w:ind w:right="1552" w:firstLine="0"/>
        <w:jc w:val="left"/>
        <w:rPr>
          <w:sz w:val="16"/>
        </w:rPr>
      </w:pPr>
      <w:r>
        <w:rPr>
          <w:color w:val="231F20"/>
          <w:w w:val="105"/>
          <w:sz w:val="16"/>
        </w:rPr>
        <w:t xml:space="preserve">Eduard Bernstein, a leader of the German Social Democratic Party, who helped </w:t>
      </w:r>
      <w:r>
        <w:rPr>
          <w:color w:val="231F20"/>
          <w:w w:val="105"/>
          <w:sz w:val="16"/>
        </w:rPr>
        <w:lastRenderedPageBreak/>
        <w:t>instigate</w:t>
      </w:r>
      <w:r>
        <w:rPr>
          <w:color w:val="231F20"/>
          <w:spacing w:val="8"/>
          <w:w w:val="105"/>
          <w:sz w:val="16"/>
        </w:rPr>
        <w:t xml:space="preserve"> </w:t>
      </w:r>
      <w:r>
        <w:rPr>
          <w:color w:val="231F20"/>
          <w:w w:val="105"/>
          <w:sz w:val="16"/>
        </w:rPr>
        <w:t>that</w:t>
      </w:r>
      <w:r>
        <w:rPr>
          <w:color w:val="231F20"/>
          <w:spacing w:val="8"/>
          <w:w w:val="105"/>
          <w:sz w:val="16"/>
        </w:rPr>
        <w:t xml:space="preserve"> </w:t>
      </w:r>
      <w:r>
        <w:rPr>
          <w:color w:val="231F20"/>
          <w:w w:val="105"/>
          <w:sz w:val="16"/>
        </w:rPr>
        <w:t>party’s</w:t>
      </w:r>
      <w:r>
        <w:rPr>
          <w:color w:val="231F20"/>
          <w:spacing w:val="8"/>
          <w:w w:val="105"/>
          <w:sz w:val="16"/>
        </w:rPr>
        <w:t xml:space="preserve"> </w:t>
      </w:r>
      <w:r>
        <w:rPr>
          <w:color w:val="231F20"/>
          <w:w w:val="105"/>
          <w:sz w:val="16"/>
        </w:rPr>
        <w:t>rejection</w:t>
      </w:r>
      <w:r>
        <w:rPr>
          <w:color w:val="231F20"/>
          <w:spacing w:val="8"/>
          <w:w w:val="105"/>
          <w:sz w:val="16"/>
        </w:rPr>
        <w:t xml:space="preserve"> </w:t>
      </w:r>
      <w:r>
        <w:rPr>
          <w:color w:val="231F20"/>
          <w:w w:val="105"/>
          <w:sz w:val="16"/>
        </w:rPr>
        <w:t>of</w:t>
      </w:r>
      <w:r>
        <w:rPr>
          <w:color w:val="231F20"/>
          <w:spacing w:val="8"/>
          <w:w w:val="105"/>
          <w:sz w:val="16"/>
        </w:rPr>
        <w:t xml:space="preserve"> </w:t>
      </w:r>
      <w:r>
        <w:rPr>
          <w:color w:val="231F20"/>
          <w:w w:val="105"/>
          <w:sz w:val="16"/>
        </w:rPr>
        <w:t>revolutionary</w:t>
      </w:r>
      <w:r>
        <w:rPr>
          <w:color w:val="231F20"/>
          <w:spacing w:val="8"/>
          <w:w w:val="105"/>
          <w:sz w:val="16"/>
        </w:rPr>
        <w:t xml:space="preserve"> </w:t>
      </w:r>
      <w:r>
        <w:rPr>
          <w:color w:val="231F20"/>
          <w:spacing w:val="1"/>
          <w:w w:val="105"/>
          <w:sz w:val="16"/>
        </w:rPr>
        <w:t>Marxism</w:t>
      </w:r>
      <w:r>
        <w:rPr>
          <w:color w:val="231F20"/>
          <w:spacing w:val="8"/>
          <w:w w:val="105"/>
          <w:sz w:val="16"/>
        </w:rPr>
        <w:t xml:space="preserve"> </w:t>
      </w:r>
      <w:r>
        <w:rPr>
          <w:color w:val="231F20"/>
          <w:w w:val="105"/>
          <w:sz w:val="16"/>
        </w:rPr>
        <w:t>in</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late</w:t>
      </w:r>
      <w:r>
        <w:rPr>
          <w:color w:val="231F20"/>
          <w:spacing w:val="10"/>
          <w:w w:val="105"/>
          <w:sz w:val="16"/>
        </w:rPr>
        <w:t xml:space="preserve"> </w:t>
      </w:r>
      <w:r>
        <w:rPr>
          <w:color w:val="231F20"/>
          <w:w w:val="105"/>
          <w:sz w:val="16"/>
        </w:rPr>
        <w:t>19th</w:t>
      </w:r>
      <w:r>
        <w:rPr>
          <w:color w:val="231F20"/>
          <w:spacing w:val="8"/>
          <w:w w:val="105"/>
          <w:sz w:val="16"/>
        </w:rPr>
        <w:t xml:space="preserve"> </w:t>
      </w:r>
      <w:r>
        <w:rPr>
          <w:color w:val="231F20"/>
          <w:w w:val="105"/>
          <w:sz w:val="16"/>
        </w:rPr>
        <w:t>century.</w:t>
      </w:r>
    </w:p>
    <w:p w14:paraId="48F1A30A" w14:textId="77777777" w:rsidR="002653E8" w:rsidRDefault="002653E8">
      <w:pPr>
        <w:spacing w:line="254" w:lineRule="auto"/>
        <w:rPr>
          <w:sz w:val="16"/>
        </w:rPr>
        <w:sectPr w:rsidR="002653E8">
          <w:footerReference w:type="even" r:id="rId185"/>
          <w:footerReference w:type="default" r:id="rId186"/>
          <w:pgSz w:w="8640" w:h="12960"/>
          <w:pgMar w:top="1060" w:right="0" w:bottom="1460" w:left="0" w:header="0" w:footer="1270" w:gutter="0"/>
          <w:cols w:space="720"/>
        </w:sectPr>
      </w:pPr>
    </w:p>
    <w:p w14:paraId="79088647" w14:textId="77777777" w:rsidR="002653E8" w:rsidRDefault="003115E3">
      <w:pPr>
        <w:pStyle w:val="a3"/>
        <w:spacing w:before="86" w:line="264" w:lineRule="auto"/>
        <w:ind w:left="1327" w:right="1147"/>
        <w:jc w:val="both"/>
      </w:pPr>
      <w:r>
        <w:rPr>
          <w:color w:val="231F20"/>
        </w:rPr>
        <w:lastRenderedPageBreak/>
        <w:t>with Negt in the hope that his supporters will see what a crock of shit they’re being fed.</w:t>
      </w:r>
    </w:p>
    <w:p w14:paraId="57145537" w14:textId="77777777" w:rsidR="002653E8" w:rsidRDefault="002653E8">
      <w:pPr>
        <w:pStyle w:val="a3"/>
        <w:spacing w:before="9"/>
        <w:rPr>
          <w:sz w:val="21"/>
        </w:rPr>
      </w:pPr>
    </w:p>
    <w:p w14:paraId="42160FE6" w14:textId="77777777" w:rsidR="002653E8" w:rsidRDefault="003115E3">
      <w:pPr>
        <w:ind w:left="1327"/>
        <w:rPr>
          <w:i/>
          <w:sz w:val="20"/>
        </w:rPr>
      </w:pPr>
      <w:r>
        <w:rPr>
          <w:i/>
          <w:color w:val="231F20"/>
          <w:w w:val="105"/>
          <w:sz w:val="20"/>
        </w:rPr>
        <w:t>Negt on Solidarity</w:t>
      </w:r>
    </w:p>
    <w:p w14:paraId="636CBA20" w14:textId="77777777" w:rsidR="002653E8" w:rsidRDefault="003115E3">
      <w:pPr>
        <w:pStyle w:val="a3"/>
        <w:spacing w:before="22" w:line="264" w:lineRule="auto"/>
        <w:ind w:left="1327" w:right="1146"/>
        <w:jc w:val="both"/>
      </w:pPr>
      <w:r>
        <w:rPr>
          <w:color w:val="231F20"/>
        </w:rPr>
        <w:t>Negt: “Mechanical solidarity will destroy socialist politics. It is  the  worst</w:t>
      </w:r>
      <w:r>
        <w:rPr>
          <w:color w:val="231F20"/>
          <w:spacing w:val="10"/>
        </w:rPr>
        <w:t xml:space="preserve"> </w:t>
      </w:r>
      <w:r>
        <w:rPr>
          <w:color w:val="231F20"/>
        </w:rPr>
        <w:t>aspect</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legacy</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protest</w:t>
      </w:r>
      <w:r>
        <w:rPr>
          <w:color w:val="231F20"/>
          <w:spacing w:val="10"/>
        </w:rPr>
        <w:t xml:space="preserve"> </w:t>
      </w:r>
      <w:r>
        <w:rPr>
          <w:color w:val="231F20"/>
          <w:spacing w:val="-3"/>
        </w:rPr>
        <w:t>movement.”</w:t>
      </w:r>
    </w:p>
    <w:p w14:paraId="5D2D5A14" w14:textId="77777777" w:rsidR="002653E8" w:rsidRDefault="003115E3">
      <w:pPr>
        <w:pStyle w:val="a3"/>
        <w:spacing w:line="264" w:lineRule="auto"/>
        <w:ind w:left="1327" w:right="1146" w:firstLine="210"/>
        <w:jc w:val="both"/>
      </w:pPr>
      <w:r>
        <w:rPr>
          <w:color w:val="231F20"/>
        </w:rPr>
        <w:t>People like to “mechanically” paw for their wallets if they come  across someone playing harmonica on the Hauptwache,</w:t>
      </w:r>
      <w:r>
        <w:rPr>
          <w:color w:val="231F20"/>
          <w:position w:val="7"/>
          <w:sz w:val="11"/>
        </w:rPr>
        <w:t xml:space="preserve">3 </w:t>
      </w:r>
      <w:r>
        <w:rPr>
          <w:color w:val="231F20"/>
        </w:rPr>
        <w:t>and Bertold Beitz</w:t>
      </w:r>
      <w:r>
        <w:rPr>
          <w:color w:val="231F20"/>
          <w:position w:val="7"/>
          <w:sz w:val="11"/>
        </w:rPr>
        <w:t xml:space="preserve">4 </w:t>
      </w:r>
      <w:r>
        <w:rPr>
          <w:color w:val="231F20"/>
        </w:rPr>
        <w:t xml:space="preserve">feels good about writing a cheque for the </w:t>
      </w:r>
      <w:r>
        <w:rPr>
          <w:i/>
          <w:color w:val="231F20"/>
        </w:rPr>
        <w:t xml:space="preserve">Bodelschwinghschen </w:t>
      </w:r>
      <w:r>
        <w:rPr>
          <w:i/>
          <w:color w:val="231F20"/>
          <w:spacing w:val="1"/>
        </w:rPr>
        <w:t xml:space="preserve">Anstalten </w:t>
      </w:r>
      <w:r>
        <w:rPr>
          <w:i/>
          <w:color w:val="231F20"/>
        </w:rPr>
        <w:t>in Bethel.</w:t>
      </w:r>
      <w:r>
        <w:rPr>
          <w:color w:val="231F20"/>
          <w:position w:val="7"/>
          <w:sz w:val="11"/>
        </w:rPr>
        <w:t xml:space="preserve">5 </w:t>
      </w:r>
      <w:r>
        <w:rPr>
          <w:color w:val="231F20"/>
        </w:rPr>
        <w:t xml:space="preserve">Solidarity is not a reflex  action,  as  anyone  who has ever acted in solidarity knows. Or does Negt, with his concept of “mechanics,” also intend to address in a backhanded </w:t>
      </w:r>
      <w:r>
        <w:rPr>
          <w:color w:val="231F20"/>
          <w:spacing w:val="-2"/>
        </w:rPr>
        <w:t xml:space="preserve">way  </w:t>
      </w:r>
      <w:r>
        <w:rPr>
          <w:color w:val="231F20"/>
        </w:rPr>
        <w:t>the concept  of spontaneity?—“spontaneous</w:t>
      </w:r>
      <w:r>
        <w:rPr>
          <w:color w:val="231F20"/>
          <w:spacing w:val="25"/>
        </w:rPr>
        <w:t xml:space="preserve"> </w:t>
      </w:r>
      <w:r>
        <w:rPr>
          <w:color w:val="231F20"/>
        </w:rPr>
        <w:t>solidarity”…?</w:t>
      </w:r>
    </w:p>
    <w:p w14:paraId="2FE5A628" w14:textId="77777777" w:rsidR="002653E8" w:rsidRDefault="003115E3">
      <w:pPr>
        <w:pStyle w:val="a3"/>
        <w:spacing w:line="264" w:lineRule="auto"/>
        <w:ind w:left="1327" w:right="1146" w:firstLine="210"/>
        <w:jc w:val="both"/>
      </w:pPr>
      <w:r>
        <w:rPr>
          <w:color w:val="231F20"/>
        </w:rPr>
        <w:t>One cannot surpass Negt when it comes to dragging the concept of solidarity through the mud, while at the same time expressing solidarity for all of those who, lacking the necessary courage and psychological stamina, out of fear for themselves, fail to act in solidarity.</w:t>
      </w:r>
    </w:p>
    <w:p w14:paraId="18240DCC" w14:textId="77777777" w:rsidR="002653E8" w:rsidRDefault="002653E8">
      <w:pPr>
        <w:pStyle w:val="a3"/>
        <w:spacing w:before="8"/>
      </w:pPr>
    </w:p>
    <w:p w14:paraId="3A32069A" w14:textId="77777777" w:rsidR="002653E8" w:rsidRDefault="003115E3">
      <w:pPr>
        <w:ind w:left="1327"/>
        <w:rPr>
          <w:i/>
          <w:sz w:val="20"/>
        </w:rPr>
      </w:pPr>
      <w:r>
        <w:rPr>
          <w:i/>
          <w:color w:val="231F20"/>
          <w:w w:val="105"/>
          <w:sz w:val="20"/>
        </w:rPr>
        <w:t>Negt’s Fairy Tale</w:t>
      </w:r>
    </w:p>
    <w:p w14:paraId="2C342454" w14:textId="77777777" w:rsidR="002653E8" w:rsidRDefault="003115E3">
      <w:pPr>
        <w:pStyle w:val="a3"/>
        <w:spacing w:before="23" w:line="264" w:lineRule="auto"/>
        <w:ind w:left="1327" w:right="1145"/>
        <w:jc w:val="both"/>
      </w:pPr>
      <w:r>
        <w:rPr>
          <w:color w:val="231F20"/>
        </w:rPr>
        <w:t xml:space="preserve">“Unbidden and often  anonymous”  they  stood  at  the  door—a  total  lie, nobody ever stood at Negt’s  door,  at  least  not  without  having  sent their business card in advance or having used the phone to fill a </w:t>
      </w:r>
      <w:r>
        <w:rPr>
          <w:i/>
          <w:color w:val="231F20"/>
        </w:rPr>
        <w:t xml:space="preserve">Verfassungsschutz </w:t>
      </w:r>
      <w:r>
        <w:rPr>
          <w:color w:val="231F20"/>
        </w:rPr>
        <w:t>tape with babble. There they stood completely unshaven, and then they came in and made a mess of the bathroom. Is that what</w:t>
      </w:r>
      <w:r>
        <w:rPr>
          <w:color w:val="231F20"/>
          <w:spacing w:val="10"/>
        </w:rPr>
        <w:t xml:space="preserve"> </w:t>
      </w:r>
      <w:r>
        <w:rPr>
          <w:color w:val="231F20"/>
        </w:rPr>
        <w:t>being</w:t>
      </w:r>
      <w:r>
        <w:rPr>
          <w:color w:val="231F20"/>
          <w:spacing w:val="10"/>
        </w:rPr>
        <w:t xml:space="preserve"> </w:t>
      </w:r>
      <w:r>
        <w:rPr>
          <w:color w:val="231F20"/>
        </w:rPr>
        <w:t>revolutionary</w:t>
      </w:r>
      <w:r>
        <w:rPr>
          <w:color w:val="231F20"/>
          <w:spacing w:val="10"/>
        </w:rPr>
        <w:t xml:space="preserve"> </w:t>
      </w:r>
      <w:r>
        <w:rPr>
          <w:color w:val="231F20"/>
        </w:rPr>
        <w:t>means?</w:t>
      </w:r>
      <w:r>
        <w:rPr>
          <w:color w:val="231F20"/>
          <w:spacing w:val="10"/>
        </w:rPr>
        <w:t xml:space="preserve"> </w:t>
      </w:r>
      <w:r>
        <w:rPr>
          <w:color w:val="231F20"/>
        </w:rPr>
        <w:t>Where</w:t>
      </w:r>
      <w:r>
        <w:rPr>
          <w:color w:val="231F20"/>
          <w:spacing w:val="10"/>
        </w:rPr>
        <w:t xml:space="preserve"> </w:t>
      </w:r>
      <w:r>
        <w:rPr>
          <w:color w:val="231F20"/>
        </w:rPr>
        <w:t>do</w:t>
      </w:r>
      <w:r>
        <w:rPr>
          <w:color w:val="231F20"/>
          <w:spacing w:val="10"/>
        </w:rPr>
        <w:t xml:space="preserve"> </w:t>
      </w:r>
      <w:r>
        <w:rPr>
          <w:color w:val="231F20"/>
        </w:rPr>
        <w:t>we</w:t>
      </w:r>
      <w:r>
        <w:rPr>
          <w:color w:val="231F20"/>
          <w:spacing w:val="10"/>
        </w:rPr>
        <w:t xml:space="preserve"> </w:t>
      </w:r>
      <w:r>
        <w:rPr>
          <w:color w:val="231F20"/>
        </w:rPr>
        <w:t>fit</w:t>
      </w:r>
      <w:r>
        <w:rPr>
          <w:color w:val="231F20"/>
          <w:spacing w:val="10"/>
        </w:rPr>
        <w:t xml:space="preserve"> </w:t>
      </w:r>
      <w:r>
        <w:rPr>
          <w:color w:val="231F20"/>
        </w:rPr>
        <w:t>in?</w:t>
      </w:r>
    </w:p>
    <w:p w14:paraId="676270F2" w14:textId="77777777" w:rsidR="002653E8" w:rsidRDefault="002653E8">
      <w:pPr>
        <w:pStyle w:val="a3"/>
        <w:spacing w:before="3"/>
        <w:rPr>
          <w:sz w:val="21"/>
        </w:rPr>
      </w:pPr>
    </w:p>
    <w:p w14:paraId="4693EA3A" w14:textId="77777777" w:rsidR="002653E8" w:rsidRDefault="003115E3">
      <w:pPr>
        <w:ind w:left="1328"/>
        <w:rPr>
          <w:i/>
          <w:sz w:val="20"/>
        </w:rPr>
      </w:pPr>
      <w:r>
        <w:rPr>
          <w:i/>
          <w:color w:val="231F20"/>
          <w:w w:val="105"/>
          <w:sz w:val="20"/>
        </w:rPr>
        <w:t>Opportunistic Arrogance</w:t>
      </w:r>
    </w:p>
    <w:p w14:paraId="338D85A4" w14:textId="77777777" w:rsidR="002653E8" w:rsidRDefault="003115E3">
      <w:pPr>
        <w:pStyle w:val="a3"/>
        <w:spacing w:before="23" w:line="264" w:lineRule="auto"/>
        <w:ind w:left="1328" w:right="1145"/>
        <w:jc w:val="both"/>
      </w:pPr>
      <w:r>
        <w:rPr>
          <w:color w:val="231F20"/>
        </w:rPr>
        <w:t xml:space="preserve">Instead of offering an analysis of the connection between wealth here and poverty there—that is to </w:t>
      </w:r>
      <w:r>
        <w:rPr>
          <w:color w:val="231F20"/>
          <w:spacing w:val="-4"/>
        </w:rPr>
        <w:t xml:space="preserve">say, </w:t>
      </w:r>
      <w:r>
        <w:rPr>
          <w:color w:val="231F20"/>
        </w:rPr>
        <w:t xml:space="preserve">an analysis of the system as a unitary whole—Negt renders a judgment based on the alleged power structure, in which he proclaims: </w:t>
      </w:r>
      <w:r>
        <w:rPr>
          <w:color w:val="231F20"/>
          <w:spacing w:val="-4"/>
        </w:rPr>
        <w:t xml:space="preserve">“…that </w:t>
      </w:r>
      <w:r>
        <w:rPr>
          <w:color w:val="231F20"/>
        </w:rPr>
        <w:t xml:space="preserve">political morality is indivisible”—  oh, you </w:t>
      </w:r>
      <w:r>
        <w:rPr>
          <w:color w:val="231F20"/>
          <w:spacing w:val="-3"/>
        </w:rPr>
        <w:t xml:space="preserve">don’t  </w:t>
      </w:r>
      <w:r>
        <w:rPr>
          <w:color w:val="231F20"/>
        </w:rPr>
        <w:t>say—“that those who tolerate or condone the genocide    in Vietnam lose the right to speak in the name of democracy”—the Federal Constitutional Court read him the riot act for that one—that should clear that up for</w:t>
      </w:r>
      <w:r>
        <w:rPr>
          <w:color w:val="231F20"/>
          <w:spacing w:val="11"/>
        </w:rPr>
        <w:t xml:space="preserve"> </w:t>
      </w:r>
      <w:r>
        <w:rPr>
          <w:color w:val="231F20"/>
        </w:rPr>
        <w:t>him.</w:t>
      </w:r>
    </w:p>
    <w:p w14:paraId="574CC4DC" w14:textId="77777777" w:rsidR="002653E8" w:rsidRDefault="00000000">
      <w:pPr>
        <w:pStyle w:val="a3"/>
        <w:spacing w:before="9"/>
        <w:rPr>
          <w:sz w:val="22"/>
        </w:rPr>
      </w:pPr>
      <w:r>
        <w:rPr>
          <w:noProof w:val="0"/>
        </w:rPr>
        <w:pict w14:anchorId="5128DEE8">
          <v:line id="_x0000_s2460" style="position:absolute;z-index:5656;mso-wrap-distance-left:0;mso-wrap-distance-right:0;mso-position-horizontal-relative:page" from="66.4pt,15.55pt" to="138.4pt,15.55pt" strokecolor="#231f20" strokeweight=".5pt">
            <w10:wrap type="topAndBottom" anchorx="page"/>
          </v:line>
        </w:pict>
      </w:r>
    </w:p>
    <w:p w14:paraId="3729156C" w14:textId="77777777" w:rsidR="002653E8" w:rsidRDefault="003115E3">
      <w:pPr>
        <w:pStyle w:val="a4"/>
        <w:numPr>
          <w:ilvl w:val="0"/>
          <w:numId w:val="127"/>
        </w:numPr>
        <w:tabs>
          <w:tab w:val="left" w:pos="1467"/>
        </w:tabs>
        <w:spacing w:before="53"/>
        <w:ind w:left="1466"/>
        <w:jc w:val="left"/>
        <w:rPr>
          <w:sz w:val="16"/>
        </w:rPr>
      </w:pPr>
      <w:r>
        <w:rPr>
          <w:color w:val="231F20"/>
          <w:w w:val="105"/>
          <w:sz w:val="16"/>
        </w:rPr>
        <w:t>The</w:t>
      </w:r>
      <w:r>
        <w:rPr>
          <w:color w:val="231F20"/>
          <w:spacing w:val="8"/>
          <w:w w:val="105"/>
          <w:sz w:val="16"/>
        </w:rPr>
        <w:t xml:space="preserve"> </w:t>
      </w:r>
      <w:r>
        <w:rPr>
          <w:color w:val="231F20"/>
          <w:w w:val="105"/>
          <w:sz w:val="16"/>
        </w:rPr>
        <w:t>Hauptwache</w:t>
      </w:r>
      <w:r>
        <w:rPr>
          <w:color w:val="231F20"/>
          <w:spacing w:val="8"/>
          <w:w w:val="105"/>
          <w:sz w:val="16"/>
        </w:rPr>
        <w:t xml:space="preserve"> </w:t>
      </w:r>
      <w:r>
        <w:rPr>
          <w:color w:val="231F20"/>
          <w:w w:val="105"/>
          <w:sz w:val="16"/>
        </w:rPr>
        <w:t>is</w:t>
      </w:r>
      <w:r>
        <w:rPr>
          <w:color w:val="231F20"/>
          <w:spacing w:val="8"/>
          <w:w w:val="105"/>
          <w:sz w:val="16"/>
        </w:rPr>
        <w:t xml:space="preserve"> </w:t>
      </w:r>
      <w:r>
        <w:rPr>
          <w:color w:val="231F20"/>
          <w:w w:val="105"/>
          <w:sz w:val="16"/>
        </w:rPr>
        <w:t>a</w:t>
      </w:r>
      <w:r>
        <w:rPr>
          <w:color w:val="231F20"/>
          <w:spacing w:val="8"/>
          <w:w w:val="105"/>
          <w:sz w:val="16"/>
        </w:rPr>
        <w:t xml:space="preserve"> </w:t>
      </w:r>
      <w:r>
        <w:rPr>
          <w:color w:val="231F20"/>
          <w:w w:val="105"/>
          <w:sz w:val="16"/>
        </w:rPr>
        <w:t>popular</w:t>
      </w:r>
      <w:r>
        <w:rPr>
          <w:color w:val="231F20"/>
          <w:spacing w:val="8"/>
          <w:w w:val="105"/>
          <w:sz w:val="16"/>
        </w:rPr>
        <w:t xml:space="preserve"> </w:t>
      </w:r>
      <w:r>
        <w:rPr>
          <w:color w:val="231F20"/>
          <w:w w:val="105"/>
          <w:sz w:val="16"/>
        </w:rPr>
        <w:t>pedestrian</w:t>
      </w:r>
      <w:r>
        <w:rPr>
          <w:color w:val="231F20"/>
          <w:spacing w:val="8"/>
          <w:w w:val="105"/>
          <w:sz w:val="16"/>
        </w:rPr>
        <w:t xml:space="preserve"> </w:t>
      </w:r>
      <w:r>
        <w:rPr>
          <w:color w:val="231F20"/>
          <w:w w:val="105"/>
          <w:sz w:val="16"/>
        </w:rPr>
        <w:t>mall</w:t>
      </w:r>
      <w:r>
        <w:rPr>
          <w:color w:val="231F20"/>
          <w:spacing w:val="8"/>
          <w:w w:val="105"/>
          <w:sz w:val="16"/>
        </w:rPr>
        <w:t xml:space="preserve"> </w:t>
      </w:r>
      <w:r>
        <w:rPr>
          <w:color w:val="231F20"/>
          <w:w w:val="105"/>
          <w:sz w:val="16"/>
        </w:rPr>
        <w:t>in</w:t>
      </w:r>
      <w:r>
        <w:rPr>
          <w:color w:val="231F20"/>
          <w:spacing w:val="8"/>
          <w:w w:val="105"/>
          <w:sz w:val="16"/>
        </w:rPr>
        <w:t xml:space="preserve"> </w:t>
      </w:r>
      <w:r>
        <w:rPr>
          <w:color w:val="231F20"/>
          <w:spacing w:val="1"/>
          <w:w w:val="105"/>
          <w:sz w:val="16"/>
        </w:rPr>
        <w:t>Frankfurt.</w:t>
      </w:r>
    </w:p>
    <w:p w14:paraId="3E27A07C" w14:textId="77777777" w:rsidR="002653E8" w:rsidRDefault="003115E3">
      <w:pPr>
        <w:pStyle w:val="a4"/>
        <w:numPr>
          <w:ilvl w:val="0"/>
          <w:numId w:val="127"/>
        </w:numPr>
        <w:tabs>
          <w:tab w:val="left" w:pos="1467"/>
        </w:tabs>
        <w:spacing w:before="51" w:line="254" w:lineRule="auto"/>
        <w:ind w:left="1327" w:right="1402" w:firstLine="0"/>
        <w:jc w:val="left"/>
        <w:rPr>
          <w:sz w:val="16"/>
        </w:rPr>
      </w:pPr>
      <w:r>
        <w:rPr>
          <w:color w:val="231F20"/>
          <w:w w:val="105"/>
          <w:sz w:val="16"/>
        </w:rPr>
        <w:t>Bertold Beitz, Krupp manager and a member of the National and International Olympic</w:t>
      </w:r>
      <w:r>
        <w:rPr>
          <w:color w:val="231F20"/>
          <w:spacing w:val="7"/>
          <w:w w:val="105"/>
          <w:sz w:val="16"/>
        </w:rPr>
        <w:t xml:space="preserve"> </w:t>
      </w:r>
      <w:r>
        <w:rPr>
          <w:color w:val="231F20"/>
          <w:w w:val="105"/>
          <w:sz w:val="16"/>
        </w:rPr>
        <w:t>Committee.</w:t>
      </w:r>
    </w:p>
    <w:p w14:paraId="11447D22" w14:textId="77777777" w:rsidR="002653E8" w:rsidRDefault="003115E3">
      <w:pPr>
        <w:pStyle w:val="a4"/>
        <w:numPr>
          <w:ilvl w:val="0"/>
          <w:numId w:val="127"/>
        </w:numPr>
        <w:tabs>
          <w:tab w:val="left" w:pos="1467"/>
        </w:tabs>
        <w:ind w:left="1466"/>
        <w:jc w:val="left"/>
        <w:rPr>
          <w:sz w:val="16"/>
        </w:rPr>
      </w:pPr>
      <w:r>
        <w:rPr>
          <w:i/>
          <w:color w:val="231F20"/>
          <w:w w:val="105"/>
          <w:sz w:val="16"/>
        </w:rPr>
        <w:t xml:space="preserve">Bodelschwinghschen </w:t>
      </w:r>
      <w:r>
        <w:rPr>
          <w:i/>
          <w:color w:val="231F20"/>
          <w:spacing w:val="1"/>
          <w:w w:val="105"/>
          <w:sz w:val="16"/>
        </w:rPr>
        <w:t xml:space="preserve">Anstalten </w:t>
      </w:r>
      <w:r>
        <w:rPr>
          <w:i/>
          <w:color w:val="231F20"/>
          <w:w w:val="105"/>
          <w:sz w:val="16"/>
        </w:rPr>
        <w:t xml:space="preserve">in Bethel </w:t>
      </w:r>
      <w:r>
        <w:rPr>
          <w:color w:val="231F20"/>
          <w:w w:val="105"/>
          <w:sz w:val="16"/>
        </w:rPr>
        <w:t>is a large Bielefeld-based</w:t>
      </w:r>
      <w:r>
        <w:rPr>
          <w:color w:val="231F20"/>
          <w:spacing w:val="8"/>
          <w:w w:val="105"/>
          <w:sz w:val="16"/>
        </w:rPr>
        <w:t xml:space="preserve"> </w:t>
      </w:r>
      <w:r>
        <w:rPr>
          <w:color w:val="231F20"/>
          <w:w w:val="105"/>
          <w:sz w:val="16"/>
        </w:rPr>
        <w:t>charity.</w:t>
      </w:r>
    </w:p>
    <w:p w14:paraId="0B812ACA" w14:textId="77777777" w:rsidR="002653E8" w:rsidRDefault="002653E8">
      <w:pPr>
        <w:rPr>
          <w:sz w:val="16"/>
        </w:rPr>
        <w:sectPr w:rsidR="002653E8">
          <w:pgSz w:w="8640" w:h="12960"/>
          <w:pgMar w:top="1060" w:right="0" w:bottom="1040" w:left="0" w:header="0" w:footer="850" w:gutter="0"/>
          <w:cols w:space="720"/>
        </w:sectPr>
      </w:pPr>
    </w:p>
    <w:p w14:paraId="75534C04" w14:textId="77777777" w:rsidR="002653E8" w:rsidRDefault="003115E3">
      <w:pPr>
        <w:spacing w:before="66"/>
        <w:ind w:left="1147"/>
        <w:rPr>
          <w:i/>
          <w:sz w:val="20"/>
        </w:rPr>
      </w:pPr>
      <w:r>
        <w:rPr>
          <w:i/>
          <w:color w:val="231F20"/>
          <w:w w:val="105"/>
          <w:sz w:val="20"/>
        </w:rPr>
        <w:lastRenderedPageBreak/>
        <w:t>The Principle of Separation</w:t>
      </w:r>
    </w:p>
    <w:p w14:paraId="17981DFB" w14:textId="77777777" w:rsidR="002653E8" w:rsidRDefault="003115E3">
      <w:pPr>
        <w:pStyle w:val="a3"/>
        <w:spacing w:before="23" w:line="264" w:lineRule="auto"/>
        <w:ind w:left="1147" w:right="1325"/>
        <w:jc w:val="both"/>
      </w:pPr>
      <w:r>
        <w:rPr>
          <w:color w:val="231F20"/>
        </w:rPr>
        <w:t>Negt makes it his primary task to prevent any awareness of the connection between poverty here and poverty there—to prevent solidarity based on an awareness of this connection. Localizing conflicts is an objective that the system pursues in every way it can.</w:t>
      </w:r>
    </w:p>
    <w:p w14:paraId="41C2E8A5" w14:textId="77777777" w:rsidR="002653E8" w:rsidRDefault="003115E3">
      <w:pPr>
        <w:spacing w:line="276" w:lineRule="auto"/>
        <w:ind w:left="1147" w:right="1319" w:firstLine="210"/>
        <w:jc w:val="both"/>
        <w:rPr>
          <w:sz w:val="19"/>
        </w:rPr>
      </w:pPr>
      <w:r>
        <w:rPr>
          <w:color w:val="231F20"/>
          <w:sz w:val="20"/>
        </w:rPr>
        <w:t>Negt: “</w:t>
      </w:r>
      <w:r>
        <w:rPr>
          <w:color w:val="231F20"/>
          <w:sz w:val="19"/>
        </w:rPr>
        <w:t>The politicized masses that make up the solidarity movement, the university students, the high school students, and the young workers who have broken with family drudgery and the enforced discipline of the work world and the educational institutions”—(not are emancipated, not are in the process of breaking free, not are going forward, not of wanting more, but “have broken with”)—“gradually lose the ability to have their own experiences”—(the gall of a social worker)—“always putting themselves in a position to be in touch with the most radical positions, thereby establishing</w:t>
      </w:r>
      <w:r>
        <w:rPr>
          <w:color w:val="231F20"/>
          <w:spacing w:val="-5"/>
          <w:sz w:val="19"/>
        </w:rPr>
        <w:t xml:space="preserve"> </w:t>
      </w:r>
      <w:r>
        <w:rPr>
          <w:color w:val="231F20"/>
          <w:sz w:val="19"/>
        </w:rPr>
        <w:t>a</w:t>
      </w:r>
      <w:r>
        <w:rPr>
          <w:color w:val="231F20"/>
          <w:spacing w:val="-5"/>
          <w:sz w:val="19"/>
        </w:rPr>
        <w:t xml:space="preserve"> </w:t>
      </w:r>
      <w:r>
        <w:rPr>
          <w:color w:val="231F20"/>
          <w:sz w:val="19"/>
        </w:rPr>
        <w:t>fragile</w:t>
      </w:r>
      <w:r>
        <w:rPr>
          <w:color w:val="231F20"/>
          <w:spacing w:val="-5"/>
          <w:sz w:val="19"/>
        </w:rPr>
        <w:t xml:space="preserve"> </w:t>
      </w:r>
      <w:r>
        <w:rPr>
          <w:color w:val="231F20"/>
          <w:sz w:val="19"/>
        </w:rPr>
        <w:t>and</w:t>
      </w:r>
      <w:r>
        <w:rPr>
          <w:color w:val="231F20"/>
          <w:spacing w:val="-5"/>
          <w:sz w:val="19"/>
        </w:rPr>
        <w:t xml:space="preserve"> </w:t>
      </w:r>
      <w:r>
        <w:rPr>
          <w:color w:val="231F20"/>
          <w:sz w:val="19"/>
        </w:rPr>
        <w:t>superficial</w:t>
      </w:r>
      <w:r>
        <w:rPr>
          <w:color w:val="231F20"/>
          <w:spacing w:val="-5"/>
          <w:sz w:val="19"/>
        </w:rPr>
        <w:t xml:space="preserve"> </w:t>
      </w:r>
      <w:r>
        <w:rPr>
          <w:color w:val="231F20"/>
          <w:sz w:val="19"/>
        </w:rPr>
        <w:t>identity”—(where</w:t>
      </w:r>
      <w:r>
        <w:rPr>
          <w:color w:val="231F20"/>
          <w:spacing w:val="-5"/>
          <w:sz w:val="19"/>
        </w:rPr>
        <w:t xml:space="preserve"> </w:t>
      </w:r>
      <w:r>
        <w:rPr>
          <w:color w:val="231F20"/>
          <w:sz w:val="19"/>
        </w:rPr>
        <w:t>does</w:t>
      </w:r>
      <w:r>
        <w:rPr>
          <w:color w:val="231F20"/>
          <w:spacing w:val="-5"/>
          <w:sz w:val="19"/>
        </w:rPr>
        <w:t xml:space="preserve"> </w:t>
      </w:r>
      <w:r>
        <w:rPr>
          <w:color w:val="231F20"/>
          <w:sz w:val="19"/>
        </w:rPr>
        <w:t>he</w:t>
      </w:r>
      <w:r>
        <w:rPr>
          <w:color w:val="231F20"/>
          <w:spacing w:val="-5"/>
          <w:sz w:val="19"/>
        </w:rPr>
        <w:t xml:space="preserve"> </w:t>
      </w:r>
      <w:r>
        <w:rPr>
          <w:color w:val="231F20"/>
          <w:sz w:val="19"/>
        </w:rPr>
        <w:t>get</w:t>
      </w:r>
      <w:r>
        <w:rPr>
          <w:color w:val="231F20"/>
          <w:spacing w:val="-5"/>
          <w:sz w:val="19"/>
        </w:rPr>
        <w:t xml:space="preserve"> </w:t>
      </w:r>
      <w:r>
        <w:rPr>
          <w:color w:val="231F20"/>
          <w:sz w:val="19"/>
        </w:rPr>
        <w:t>off</w:t>
      </w:r>
      <w:r>
        <w:rPr>
          <w:color w:val="231F20"/>
          <w:spacing w:val="-5"/>
          <w:sz w:val="19"/>
        </w:rPr>
        <w:t xml:space="preserve"> </w:t>
      </w:r>
      <w:r>
        <w:rPr>
          <w:color w:val="231F20"/>
          <w:sz w:val="19"/>
        </w:rPr>
        <w:t>attacking</w:t>
      </w:r>
      <w:r>
        <w:rPr>
          <w:color w:val="231F20"/>
          <w:spacing w:val="-5"/>
          <w:sz w:val="19"/>
        </w:rPr>
        <w:t xml:space="preserve"> </w:t>
      </w:r>
      <w:r>
        <w:rPr>
          <w:color w:val="231F20"/>
          <w:sz w:val="19"/>
        </w:rPr>
        <w:t xml:space="preserve">those he is talking about with socio-psychological, </w:t>
      </w:r>
      <w:r>
        <w:rPr>
          <w:color w:val="231F20"/>
          <w:spacing w:val="-4"/>
          <w:sz w:val="19"/>
        </w:rPr>
        <w:t xml:space="preserve">youth </w:t>
      </w:r>
      <w:r>
        <w:rPr>
          <w:color w:val="231F20"/>
          <w:sz w:val="19"/>
        </w:rPr>
        <w:t>Authority jargon?)— “based</w:t>
      </w:r>
      <w:r>
        <w:rPr>
          <w:color w:val="231F20"/>
          <w:spacing w:val="8"/>
          <w:sz w:val="19"/>
        </w:rPr>
        <w:t xml:space="preserve"> </w:t>
      </w:r>
      <w:r>
        <w:rPr>
          <w:color w:val="231F20"/>
          <w:sz w:val="19"/>
        </w:rPr>
        <w:t>on</w:t>
      </w:r>
      <w:r>
        <w:rPr>
          <w:color w:val="231F20"/>
          <w:spacing w:val="8"/>
          <w:sz w:val="19"/>
        </w:rPr>
        <w:t xml:space="preserve"> </w:t>
      </w:r>
      <w:r>
        <w:rPr>
          <w:color w:val="231F20"/>
          <w:sz w:val="19"/>
        </w:rPr>
        <w:t>a</w:t>
      </w:r>
      <w:r>
        <w:rPr>
          <w:color w:val="231F20"/>
          <w:spacing w:val="8"/>
          <w:sz w:val="19"/>
        </w:rPr>
        <w:t xml:space="preserve"> </w:t>
      </w:r>
      <w:r>
        <w:rPr>
          <w:color w:val="231F20"/>
          <w:sz w:val="19"/>
        </w:rPr>
        <w:t>shameless</w:t>
      </w:r>
      <w:r>
        <w:rPr>
          <w:color w:val="231F20"/>
          <w:spacing w:val="8"/>
          <w:sz w:val="19"/>
        </w:rPr>
        <w:t xml:space="preserve"> </w:t>
      </w:r>
      <w:r>
        <w:rPr>
          <w:color w:val="231F20"/>
          <w:sz w:val="19"/>
        </w:rPr>
        <w:t>identification</w:t>
      </w:r>
      <w:r>
        <w:rPr>
          <w:color w:val="231F20"/>
          <w:spacing w:val="8"/>
          <w:sz w:val="19"/>
        </w:rPr>
        <w:t xml:space="preserve"> </w:t>
      </w:r>
      <w:r>
        <w:rPr>
          <w:color w:val="231F20"/>
          <w:sz w:val="19"/>
        </w:rPr>
        <w:t>with</w:t>
      </w:r>
      <w:r>
        <w:rPr>
          <w:color w:val="231F20"/>
          <w:spacing w:val="8"/>
          <w:sz w:val="19"/>
        </w:rPr>
        <w:t xml:space="preserve"> </w:t>
      </w:r>
      <w:r>
        <w:rPr>
          <w:color w:val="231F20"/>
          <w:sz w:val="19"/>
        </w:rPr>
        <w:t>the</w:t>
      </w:r>
      <w:r>
        <w:rPr>
          <w:color w:val="231F20"/>
          <w:spacing w:val="8"/>
          <w:sz w:val="19"/>
        </w:rPr>
        <w:t xml:space="preserve"> </w:t>
      </w:r>
      <w:r>
        <w:rPr>
          <w:color w:val="231F20"/>
          <w:sz w:val="19"/>
        </w:rPr>
        <w:t>experiences</w:t>
      </w:r>
      <w:r>
        <w:rPr>
          <w:color w:val="231F20"/>
          <w:spacing w:val="8"/>
          <w:sz w:val="19"/>
        </w:rPr>
        <w:t xml:space="preserve"> </w:t>
      </w:r>
      <w:r>
        <w:rPr>
          <w:color w:val="231F20"/>
          <w:sz w:val="19"/>
        </w:rPr>
        <w:t>of</w:t>
      </w:r>
      <w:r>
        <w:rPr>
          <w:color w:val="231F20"/>
          <w:spacing w:val="8"/>
          <w:sz w:val="19"/>
        </w:rPr>
        <w:t xml:space="preserve"> </w:t>
      </w:r>
      <w:r>
        <w:rPr>
          <w:color w:val="231F20"/>
          <w:spacing w:val="-3"/>
          <w:sz w:val="19"/>
        </w:rPr>
        <w:t>others.”</w:t>
      </w:r>
    </w:p>
    <w:p w14:paraId="6D63E033" w14:textId="77777777" w:rsidR="002653E8" w:rsidRDefault="003115E3">
      <w:pPr>
        <w:pStyle w:val="a3"/>
        <w:spacing w:line="264" w:lineRule="auto"/>
        <w:ind w:left="1147" w:right="1326" w:firstLine="210"/>
        <w:jc w:val="both"/>
      </w:pPr>
      <w:r>
        <w:rPr>
          <w:color w:val="231F20"/>
        </w:rPr>
        <w:t xml:space="preserve">So, the people at </w:t>
      </w:r>
      <w:r>
        <w:rPr>
          <w:i/>
          <w:color w:val="231F20"/>
        </w:rPr>
        <w:t xml:space="preserve">Bild Zeitung </w:t>
      </w:r>
      <w:r>
        <w:rPr>
          <w:color w:val="231F20"/>
        </w:rPr>
        <w:t>should only report on what they themselves feel, and only the Viet Cong should celebrate Viet Cong victories. The validity of bombs against the U.S. Headquarters depends on who lays them—or what?</w:t>
      </w:r>
    </w:p>
    <w:p w14:paraId="2B9CF1B3" w14:textId="77777777" w:rsidR="002653E8" w:rsidRDefault="002653E8">
      <w:pPr>
        <w:pStyle w:val="a3"/>
        <w:spacing w:before="7"/>
      </w:pPr>
    </w:p>
    <w:p w14:paraId="3EF12C88" w14:textId="77777777" w:rsidR="002653E8" w:rsidRDefault="003115E3">
      <w:pPr>
        <w:ind w:left="1147"/>
        <w:rPr>
          <w:i/>
          <w:sz w:val="20"/>
        </w:rPr>
      </w:pPr>
      <w:r>
        <w:rPr>
          <w:i/>
          <w:color w:val="231F20"/>
          <w:w w:val="105"/>
          <w:sz w:val="20"/>
        </w:rPr>
        <w:t>“The Self-Proclaimed Vanguard”</w:t>
      </w:r>
    </w:p>
    <w:p w14:paraId="45462257" w14:textId="77777777" w:rsidR="002653E8" w:rsidRDefault="003115E3">
      <w:pPr>
        <w:spacing w:before="23" w:line="276" w:lineRule="auto"/>
        <w:ind w:left="1148" w:right="1318" w:hanging="1"/>
        <w:jc w:val="both"/>
        <w:rPr>
          <w:sz w:val="19"/>
        </w:rPr>
      </w:pPr>
      <w:r>
        <w:rPr>
          <w:color w:val="231F20"/>
          <w:sz w:val="20"/>
        </w:rPr>
        <w:t>Negt: “</w:t>
      </w:r>
      <w:r>
        <w:rPr>
          <w:color w:val="231F20"/>
          <w:sz w:val="19"/>
        </w:rPr>
        <w:t>Self-proclaimed vanguards”—(not appointed by the Minister of Culture, not a legitimate market niche—or what?)—“lay claim  to  social  and historical experiences”—(so the anti-imperialist struggle is not in fact occurring)—“that individual high school students, workers, apprentices, and university students can neither reconcile with their own work environments</w:t>
      </w:r>
      <w:r>
        <w:rPr>
          <w:color w:val="231F20"/>
          <w:spacing w:val="8"/>
          <w:sz w:val="19"/>
        </w:rPr>
        <w:t xml:space="preserve"> </w:t>
      </w:r>
      <w:r>
        <w:rPr>
          <w:color w:val="231F20"/>
          <w:sz w:val="19"/>
        </w:rPr>
        <w:t>nor</w:t>
      </w:r>
      <w:r>
        <w:rPr>
          <w:color w:val="231F20"/>
          <w:spacing w:val="8"/>
          <w:sz w:val="19"/>
        </w:rPr>
        <w:t xml:space="preserve"> </w:t>
      </w:r>
      <w:r>
        <w:rPr>
          <w:color w:val="231F20"/>
          <w:sz w:val="19"/>
        </w:rPr>
        <w:t>use</w:t>
      </w:r>
      <w:r>
        <w:rPr>
          <w:color w:val="231F20"/>
          <w:spacing w:val="8"/>
          <w:sz w:val="19"/>
        </w:rPr>
        <w:t xml:space="preserve"> </w:t>
      </w:r>
      <w:r>
        <w:rPr>
          <w:color w:val="231F20"/>
          <w:sz w:val="19"/>
        </w:rPr>
        <w:t>as</w:t>
      </w:r>
      <w:r>
        <w:rPr>
          <w:color w:val="231F20"/>
          <w:spacing w:val="8"/>
          <w:sz w:val="19"/>
        </w:rPr>
        <w:t xml:space="preserve"> </w:t>
      </w:r>
      <w:r>
        <w:rPr>
          <w:color w:val="231F20"/>
          <w:sz w:val="19"/>
        </w:rPr>
        <w:t>the</w:t>
      </w:r>
      <w:r>
        <w:rPr>
          <w:color w:val="231F20"/>
          <w:spacing w:val="8"/>
          <w:sz w:val="19"/>
        </w:rPr>
        <w:t xml:space="preserve"> </w:t>
      </w:r>
      <w:r>
        <w:rPr>
          <w:color w:val="231F20"/>
          <w:sz w:val="19"/>
        </w:rPr>
        <w:t>basis</w:t>
      </w:r>
      <w:r>
        <w:rPr>
          <w:color w:val="231F20"/>
          <w:spacing w:val="8"/>
          <w:sz w:val="19"/>
        </w:rPr>
        <w:t xml:space="preserve"> </w:t>
      </w:r>
      <w:r>
        <w:rPr>
          <w:color w:val="231F20"/>
          <w:sz w:val="19"/>
        </w:rPr>
        <w:t>for</w:t>
      </w:r>
      <w:r>
        <w:rPr>
          <w:color w:val="231F20"/>
          <w:spacing w:val="8"/>
          <w:sz w:val="19"/>
        </w:rPr>
        <w:t xml:space="preserve"> </w:t>
      </w:r>
      <w:r>
        <w:rPr>
          <w:color w:val="231F20"/>
          <w:sz w:val="19"/>
        </w:rPr>
        <w:t>political</w:t>
      </w:r>
      <w:r>
        <w:rPr>
          <w:color w:val="231F20"/>
          <w:spacing w:val="8"/>
          <w:sz w:val="19"/>
        </w:rPr>
        <w:t xml:space="preserve"> </w:t>
      </w:r>
      <w:r>
        <w:rPr>
          <w:color w:val="231F20"/>
          <w:sz w:val="19"/>
        </w:rPr>
        <w:t>decisions.”</w:t>
      </w:r>
    </w:p>
    <w:p w14:paraId="2EA041A4" w14:textId="77777777" w:rsidR="002653E8" w:rsidRDefault="003115E3">
      <w:pPr>
        <w:pStyle w:val="a3"/>
        <w:spacing w:line="264" w:lineRule="auto"/>
        <w:ind w:left="1147" w:right="1326" w:firstLine="210"/>
        <w:jc w:val="both"/>
      </w:pPr>
      <w:r>
        <w:rPr>
          <w:color w:val="231F20"/>
        </w:rPr>
        <w:t>How then are they supposed to develop an identity? Does Negt believe that ideas develop on their own within the mind? Apparently.</w:t>
      </w:r>
    </w:p>
    <w:p w14:paraId="550308D8" w14:textId="77777777" w:rsidR="002653E8" w:rsidRDefault="002653E8">
      <w:pPr>
        <w:pStyle w:val="a3"/>
        <w:spacing w:before="10"/>
      </w:pPr>
    </w:p>
    <w:p w14:paraId="70771F42" w14:textId="77777777" w:rsidR="002653E8" w:rsidRDefault="003115E3">
      <w:pPr>
        <w:ind w:left="1147"/>
        <w:rPr>
          <w:i/>
          <w:sz w:val="20"/>
        </w:rPr>
      </w:pPr>
      <w:r>
        <w:rPr>
          <w:i/>
          <w:color w:val="231F20"/>
          <w:sz w:val="20"/>
        </w:rPr>
        <w:t>Dialectical Materialism</w:t>
      </w:r>
    </w:p>
    <w:p w14:paraId="24F70A2F" w14:textId="77777777" w:rsidR="002653E8" w:rsidRDefault="003115E3">
      <w:pPr>
        <w:pStyle w:val="a3"/>
        <w:spacing w:before="23"/>
        <w:ind w:left="1147"/>
      </w:pPr>
      <w:r>
        <w:rPr>
          <w:color w:val="231F20"/>
          <w:w w:val="110"/>
        </w:rPr>
        <w:t>Mao:</w:t>
      </w:r>
    </w:p>
    <w:p w14:paraId="344E736F" w14:textId="77777777" w:rsidR="002653E8" w:rsidRDefault="003115E3">
      <w:pPr>
        <w:spacing w:before="151" w:line="276" w:lineRule="auto"/>
        <w:ind w:left="1567" w:right="1745"/>
        <w:jc w:val="both"/>
        <w:rPr>
          <w:i/>
          <w:sz w:val="19"/>
        </w:rPr>
      </w:pPr>
      <w:r>
        <w:rPr>
          <w:i/>
          <w:color w:val="231F20"/>
          <w:sz w:val="19"/>
        </w:rPr>
        <w:t xml:space="preserve">Dialectical materialism regards external reality as the condition  for change and internal reality as its basis—and in this </w:t>
      </w:r>
      <w:r>
        <w:rPr>
          <w:i/>
          <w:color w:val="231F20"/>
          <w:spacing w:val="-3"/>
          <w:sz w:val="19"/>
        </w:rPr>
        <w:t xml:space="preserve">way </w:t>
      </w:r>
      <w:r>
        <w:rPr>
          <w:i/>
          <w:color w:val="231F20"/>
          <w:sz w:val="19"/>
        </w:rPr>
        <w:t>external reality conditions internal</w:t>
      </w:r>
      <w:r>
        <w:rPr>
          <w:i/>
          <w:color w:val="231F20"/>
          <w:spacing w:val="2"/>
          <w:sz w:val="19"/>
        </w:rPr>
        <w:t xml:space="preserve"> </w:t>
      </w:r>
      <w:r>
        <w:rPr>
          <w:i/>
          <w:color w:val="231F20"/>
          <w:sz w:val="19"/>
        </w:rPr>
        <w:t>activity.</w:t>
      </w:r>
    </w:p>
    <w:p w14:paraId="40AF324E" w14:textId="77777777" w:rsidR="002653E8" w:rsidRDefault="003115E3">
      <w:pPr>
        <w:pStyle w:val="a3"/>
        <w:spacing w:before="130" w:line="264" w:lineRule="auto"/>
        <w:ind w:left="1147" w:right="1326"/>
        <w:jc w:val="both"/>
      </w:pPr>
      <w:r>
        <w:rPr>
          <w:color w:val="231F20"/>
        </w:rPr>
        <w:t>Meaning: Negt—as external reality—gained applause for his idiotic blather in Frankfurt, because opportunism has deep roots in the metropole. People want “Freedom for Angela Davis”—but they don’t carry</w:t>
      </w:r>
    </w:p>
    <w:p w14:paraId="1C29B108" w14:textId="77777777" w:rsidR="002653E8" w:rsidRDefault="002653E8">
      <w:pPr>
        <w:spacing w:line="264" w:lineRule="auto"/>
        <w:jc w:val="both"/>
        <w:sectPr w:rsidR="002653E8">
          <w:footerReference w:type="even" r:id="rId187"/>
          <w:footerReference w:type="default" r:id="rId188"/>
          <w:pgSz w:w="8640" w:h="12960"/>
          <w:pgMar w:top="1080" w:right="0" w:bottom="1040" w:left="0" w:header="0" w:footer="850" w:gutter="0"/>
          <w:cols w:space="720"/>
        </w:sectPr>
      </w:pPr>
    </w:p>
    <w:p w14:paraId="06793974" w14:textId="77777777" w:rsidR="002653E8" w:rsidRDefault="003115E3">
      <w:pPr>
        <w:pStyle w:val="a3"/>
        <w:spacing w:before="86" w:line="264" w:lineRule="auto"/>
        <w:ind w:left="1327" w:right="1146" w:hanging="1"/>
        <w:jc w:val="both"/>
      </w:pPr>
      <w:r>
        <w:rPr>
          <w:color w:val="231F20"/>
        </w:rPr>
        <w:lastRenderedPageBreak/>
        <w:t>out</w:t>
      </w:r>
      <w:r>
        <w:rPr>
          <w:color w:val="231F20"/>
          <w:spacing w:val="-6"/>
        </w:rPr>
        <w:t xml:space="preserve"> </w:t>
      </w:r>
      <w:r>
        <w:rPr>
          <w:color w:val="231F20"/>
        </w:rPr>
        <w:t>the</w:t>
      </w:r>
      <w:r>
        <w:rPr>
          <w:color w:val="231F20"/>
          <w:spacing w:val="-6"/>
        </w:rPr>
        <w:t xml:space="preserve"> </w:t>
      </w:r>
      <w:r>
        <w:rPr>
          <w:color w:val="231F20"/>
        </w:rPr>
        <w:t>struggle</w:t>
      </w:r>
      <w:r>
        <w:rPr>
          <w:color w:val="231F20"/>
          <w:spacing w:val="-6"/>
        </w:rPr>
        <w:t xml:space="preserve"> </w:t>
      </w:r>
      <w:r>
        <w:rPr>
          <w:color w:val="231F20"/>
        </w:rPr>
        <w:t>as</w:t>
      </w:r>
      <w:r>
        <w:rPr>
          <w:color w:val="231F20"/>
          <w:spacing w:val="-6"/>
        </w:rPr>
        <w:t xml:space="preserve"> </w:t>
      </w:r>
      <w:r>
        <w:rPr>
          <w:color w:val="231F20"/>
        </w:rPr>
        <w:t>relentlessly</w:t>
      </w:r>
      <w:r>
        <w:rPr>
          <w:color w:val="231F20"/>
          <w:spacing w:val="-6"/>
        </w:rPr>
        <w:t xml:space="preserve"> </w:t>
      </w:r>
      <w:r>
        <w:rPr>
          <w:color w:val="231F20"/>
        </w:rPr>
        <w:t>as</w:t>
      </w:r>
      <w:r>
        <w:rPr>
          <w:color w:val="231F20"/>
          <w:spacing w:val="-6"/>
        </w:rPr>
        <w:t xml:space="preserve"> </w:t>
      </w:r>
      <w:r>
        <w:rPr>
          <w:color w:val="231F20"/>
        </w:rPr>
        <w:t>the</w:t>
      </w:r>
      <w:r>
        <w:rPr>
          <w:color w:val="231F20"/>
          <w:spacing w:val="-5"/>
        </w:rPr>
        <w:t xml:space="preserve"> </w:t>
      </w:r>
      <w:r>
        <w:rPr>
          <w:color w:val="231F20"/>
        </w:rPr>
        <w:t>Viet</w:t>
      </w:r>
      <w:r>
        <w:rPr>
          <w:color w:val="231F20"/>
          <w:spacing w:val="-6"/>
        </w:rPr>
        <w:t xml:space="preserve"> </w:t>
      </w:r>
      <w:r>
        <w:rPr>
          <w:color w:val="231F20"/>
        </w:rPr>
        <w:t>Cong,</w:t>
      </w:r>
      <w:r>
        <w:rPr>
          <w:color w:val="231F20"/>
          <w:spacing w:val="-6"/>
        </w:rPr>
        <w:t xml:space="preserve"> </w:t>
      </w:r>
      <w:r>
        <w:rPr>
          <w:color w:val="231F20"/>
        </w:rPr>
        <w:t>or</w:t>
      </w:r>
      <w:r>
        <w:rPr>
          <w:color w:val="231F20"/>
          <w:spacing w:val="-6"/>
        </w:rPr>
        <w:t xml:space="preserve"> </w:t>
      </w:r>
      <w:r>
        <w:rPr>
          <w:color w:val="231F20"/>
        </w:rPr>
        <w:t>as</w:t>
      </w:r>
      <w:r>
        <w:rPr>
          <w:color w:val="231F20"/>
          <w:spacing w:val="-5"/>
        </w:rPr>
        <w:t xml:space="preserve"> </w:t>
      </w:r>
      <w:r>
        <w:rPr>
          <w:color w:val="231F20"/>
        </w:rPr>
        <w:t>Black</w:t>
      </w:r>
      <w:r>
        <w:rPr>
          <w:color w:val="231F20"/>
          <w:spacing w:val="-6"/>
        </w:rPr>
        <w:t xml:space="preserve"> </w:t>
      </w:r>
      <w:r>
        <w:rPr>
          <w:color w:val="231F20"/>
        </w:rPr>
        <w:t xml:space="preserve">September— never that—so great is their despair about the system, so uncertain are they about their cause, that they abandon the cause and embrace hopelessness. Enter Negt, saying that none of that is necessary; </w:t>
      </w:r>
      <w:r>
        <w:rPr>
          <w:color w:val="231F20"/>
          <w:spacing w:val="-3"/>
        </w:rPr>
        <w:t xml:space="preserve">we’re </w:t>
      </w:r>
      <w:r>
        <w:rPr>
          <w:color w:val="231F20"/>
        </w:rPr>
        <w:t>already doing</w:t>
      </w:r>
      <w:r>
        <w:rPr>
          <w:color w:val="231F20"/>
          <w:spacing w:val="8"/>
        </w:rPr>
        <w:t xml:space="preserve"> </w:t>
      </w:r>
      <w:r>
        <w:rPr>
          <w:color w:val="231F20"/>
        </w:rPr>
        <w:t>what</w:t>
      </w:r>
      <w:r>
        <w:rPr>
          <w:color w:val="231F20"/>
          <w:spacing w:val="8"/>
        </w:rPr>
        <w:t xml:space="preserve"> </w:t>
      </w:r>
      <w:r>
        <w:rPr>
          <w:color w:val="231F20"/>
        </w:rPr>
        <w:t>needs</w:t>
      </w:r>
      <w:r>
        <w:rPr>
          <w:color w:val="231F20"/>
          <w:spacing w:val="8"/>
        </w:rPr>
        <w:t xml:space="preserve"> </w:t>
      </w:r>
      <w:r>
        <w:rPr>
          <w:color w:val="231F20"/>
        </w:rPr>
        <w:t>to</w:t>
      </w:r>
      <w:r>
        <w:rPr>
          <w:color w:val="231F20"/>
          <w:spacing w:val="8"/>
        </w:rPr>
        <w:t xml:space="preserve"> </w:t>
      </w:r>
      <w:r>
        <w:rPr>
          <w:color w:val="231F20"/>
        </w:rPr>
        <w:t>be</w:t>
      </w:r>
      <w:r>
        <w:rPr>
          <w:color w:val="231F20"/>
          <w:spacing w:val="8"/>
        </w:rPr>
        <w:t xml:space="preserve"> </w:t>
      </w:r>
      <w:r>
        <w:rPr>
          <w:color w:val="231F20"/>
        </w:rPr>
        <w:t>done—they</w:t>
      </w:r>
      <w:r>
        <w:rPr>
          <w:color w:val="231F20"/>
          <w:spacing w:val="8"/>
        </w:rPr>
        <w:t xml:space="preserve"> </w:t>
      </w:r>
      <w:r>
        <w:rPr>
          <w:color w:val="231F20"/>
        </w:rPr>
        <w:t>are</w:t>
      </w:r>
      <w:r>
        <w:rPr>
          <w:color w:val="231F20"/>
          <w:spacing w:val="8"/>
        </w:rPr>
        <w:t xml:space="preserve"> </w:t>
      </w:r>
      <w:r>
        <w:rPr>
          <w:color w:val="231F20"/>
        </w:rPr>
        <w:t>relieved,</w:t>
      </w:r>
      <w:r>
        <w:rPr>
          <w:color w:val="231F20"/>
          <w:spacing w:val="8"/>
        </w:rPr>
        <w:t xml:space="preserve"> </w:t>
      </w:r>
      <w:r>
        <w:rPr>
          <w:color w:val="231F20"/>
        </w:rPr>
        <w:t>they</w:t>
      </w:r>
      <w:r>
        <w:rPr>
          <w:color w:val="231F20"/>
          <w:spacing w:val="8"/>
        </w:rPr>
        <w:t xml:space="preserve"> </w:t>
      </w:r>
      <w:r>
        <w:rPr>
          <w:color w:val="231F20"/>
        </w:rPr>
        <w:t>applaud.</w:t>
      </w:r>
    </w:p>
    <w:p w14:paraId="739DDDCC" w14:textId="77777777" w:rsidR="002653E8" w:rsidRDefault="003115E3">
      <w:pPr>
        <w:pStyle w:val="a3"/>
        <w:spacing w:line="264" w:lineRule="auto"/>
        <w:ind w:left="1328" w:right="1145" w:firstLine="209"/>
        <w:jc w:val="both"/>
      </w:pPr>
      <w:r>
        <w:rPr>
          <w:color w:val="231F20"/>
        </w:rPr>
        <w:t xml:space="preserve">In opposition to this stands the </w:t>
      </w:r>
      <w:r w:rsidR="00C507A5">
        <w:rPr>
          <w:color w:val="231F20"/>
        </w:rPr>
        <w:t>red army faction</w:t>
      </w:r>
      <w:r>
        <w:rPr>
          <w:color w:val="231F20"/>
        </w:rPr>
        <w:t>—as sure of our cause as the people of the Third World, because they accept their leadership role, because they know that the struggle must be carried out relentlessly, and that is how they carry it out.</w:t>
      </w:r>
    </w:p>
    <w:p w14:paraId="0A52BFF7" w14:textId="77777777" w:rsidR="002653E8" w:rsidRDefault="003115E3">
      <w:pPr>
        <w:pStyle w:val="a3"/>
        <w:spacing w:line="264" w:lineRule="auto"/>
        <w:ind w:left="1327" w:right="1146" w:firstLine="210"/>
        <w:jc w:val="both"/>
      </w:pPr>
      <w:r>
        <w:rPr>
          <w:color w:val="231F20"/>
        </w:rPr>
        <w:t xml:space="preserve">The </w:t>
      </w:r>
      <w:r w:rsidR="00C507A5">
        <w:rPr>
          <w:color w:val="231F20"/>
          <w:spacing w:val="3"/>
        </w:rPr>
        <w:t>red army faction</w:t>
      </w:r>
      <w:r>
        <w:rPr>
          <w:color w:val="231F20"/>
          <w:spacing w:val="3"/>
        </w:rPr>
        <w:t xml:space="preserve">—as </w:t>
      </w:r>
      <w:r>
        <w:rPr>
          <w:color w:val="231F20"/>
        </w:rPr>
        <w:t>external reality—has found increasing support among high school students, university students, and apprentices. Negt has seen this, even biased “polls” have noted it; the leaflets, slogans, demonstrations, teach-ins,</w:t>
      </w:r>
      <w:r>
        <w:rPr>
          <w:color w:val="231F20"/>
          <w:spacing w:val="21"/>
        </w:rPr>
        <w:t xml:space="preserve"> </w:t>
      </w:r>
      <w:r>
        <w:rPr>
          <w:color w:val="231F20"/>
        </w:rPr>
        <w:t>etc.</w:t>
      </w:r>
    </w:p>
    <w:p w14:paraId="239B2D17" w14:textId="77777777" w:rsidR="002653E8" w:rsidRDefault="003115E3">
      <w:pPr>
        <w:pStyle w:val="a3"/>
        <w:spacing w:line="264" w:lineRule="auto"/>
        <w:ind w:left="1327" w:right="1147" w:firstLine="210"/>
        <w:jc w:val="both"/>
      </w:pPr>
      <w:r>
        <w:rPr>
          <w:color w:val="231F20"/>
        </w:rPr>
        <w:t xml:space="preserve">How could this occur, other than through “internal reality”? </w:t>
      </w:r>
      <w:r>
        <w:rPr>
          <w:color w:val="231F20"/>
          <w:spacing w:val="1"/>
        </w:rPr>
        <w:t xml:space="preserve">If </w:t>
      </w:r>
      <w:r>
        <w:rPr>
          <w:color w:val="231F20"/>
        </w:rPr>
        <w:t xml:space="preserve">not their own everyday working and living conditions, what else could make them see that only with this perseverance, the same perseverance with which the people of the Third </w:t>
      </w:r>
      <w:r>
        <w:rPr>
          <w:color w:val="231F20"/>
          <w:spacing w:val="-4"/>
        </w:rPr>
        <w:t xml:space="preserve">World </w:t>
      </w:r>
      <w:r>
        <w:rPr>
          <w:color w:val="231F20"/>
        </w:rPr>
        <w:t>conduct their struggle, can they achieve the goal—their</w:t>
      </w:r>
      <w:r>
        <w:rPr>
          <w:color w:val="231F20"/>
          <w:spacing w:val="41"/>
        </w:rPr>
        <w:t xml:space="preserve"> </w:t>
      </w:r>
      <w:r>
        <w:rPr>
          <w:color w:val="231F20"/>
        </w:rPr>
        <w:t>freedom?</w:t>
      </w:r>
    </w:p>
    <w:p w14:paraId="131D9457" w14:textId="77777777" w:rsidR="002653E8" w:rsidRDefault="003115E3">
      <w:pPr>
        <w:pStyle w:val="a3"/>
        <w:spacing w:line="264" w:lineRule="auto"/>
        <w:ind w:left="1327" w:right="1146" w:firstLine="210"/>
        <w:jc w:val="both"/>
      </w:pPr>
      <w:r>
        <w:rPr>
          <w:color w:val="231F20"/>
        </w:rPr>
        <w:t xml:space="preserve">Negt’s scolding proves the opposite of what he asserts; precisely because their experience of living and working conditions—internal reality—leads high school students, apprentices, and university students to begin to understand the situation of the people of the Third World, they identify with the struggle the </w:t>
      </w:r>
      <w:r w:rsidR="00C507A5">
        <w:rPr>
          <w:color w:val="231F20"/>
        </w:rPr>
        <w:t>red army faction</w:t>
      </w:r>
      <w:r>
        <w:rPr>
          <w:color w:val="231F20"/>
        </w:rPr>
        <w:t xml:space="preserve"> has conducted in the metropole on their behalf—as external reality.</w:t>
      </w:r>
    </w:p>
    <w:p w14:paraId="70D07DEE" w14:textId="77777777" w:rsidR="002653E8" w:rsidRDefault="003115E3">
      <w:pPr>
        <w:pStyle w:val="a3"/>
        <w:spacing w:line="264" w:lineRule="auto"/>
        <w:ind w:left="1327" w:right="1145" w:firstLine="210"/>
        <w:jc w:val="both"/>
      </w:pPr>
      <w:r>
        <w:rPr>
          <w:color w:val="231F20"/>
          <w:spacing w:val="-3"/>
        </w:rPr>
        <w:t xml:space="preserve">Were </w:t>
      </w:r>
      <w:r>
        <w:rPr>
          <w:color w:val="231F20"/>
        </w:rPr>
        <w:t xml:space="preserve">it otherwise, one would not have heard a peep about the </w:t>
      </w:r>
      <w:r w:rsidR="00C507A5">
        <w:rPr>
          <w:color w:val="231F20"/>
        </w:rPr>
        <w:t>red army faction</w:t>
      </w:r>
      <w:r>
        <w:rPr>
          <w:color w:val="231F20"/>
        </w:rPr>
        <w:t>, not from Genscher or Ruhnau,</w:t>
      </w:r>
      <w:r>
        <w:rPr>
          <w:color w:val="231F20"/>
          <w:position w:val="7"/>
          <w:sz w:val="11"/>
        </w:rPr>
        <w:t xml:space="preserve">1 </w:t>
      </w:r>
      <w:r>
        <w:rPr>
          <w:color w:val="231F20"/>
        </w:rPr>
        <w:t xml:space="preserve">and Negt would have had to be satis fied in Frankfurt with taking a cheap shot out of the side of his mouth   at the </w:t>
      </w:r>
      <w:r w:rsidR="00C507A5">
        <w:rPr>
          <w:color w:val="231F20"/>
          <w:spacing w:val="5"/>
        </w:rPr>
        <w:t>red army faction</w:t>
      </w:r>
      <w:r>
        <w:rPr>
          <w:color w:val="231F20"/>
          <w:spacing w:val="5"/>
        </w:rPr>
        <w:t xml:space="preserve">—or </w:t>
      </w:r>
      <w:r>
        <w:rPr>
          <w:color w:val="231F20"/>
        </w:rPr>
        <w:t>being and consciousness have nothing to do with each other</w:t>
      </w:r>
      <w:r>
        <w:rPr>
          <w:color w:val="231F20"/>
          <w:spacing w:val="10"/>
        </w:rPr>
        <w:t xml:space="preserve"> </w:t>
      </w:r>
      <w:r>
        <w:rPr>
          <w:color w:val="231F20"/>
        </w:rPr>
        <w:t>and</w:t>
      </w:r>
      <w:r>
        <w:rPr>
          <w:color w:val="231F20"/>
          <w:spacing w:val="10"/>
        </w:rPr>
        <w:t xml:space="preserve"> </w:t>
      </w:r>
      <w:r>
        <w:rPr>
          <w:color w:val="231F20"/>
        </w:rPr>
        <w:t>dialectical</w:t>
      </w:r>
      <w:r>
        <w:rPr>
          <w:color w:val="231F20"/>
          <w:spacing w:val="10"/>
        </w:rPr>
        <w:t xml:space="preserve"> </w:t>
      </w:r>
      <w:r>
        <w:rPr>
          <w:color w:val="231F20"/>
        </w:rPr>
        <w:t>materialism</w:t>
      </w:r>
      <w:r>
        <w:rPr>
          <w:color w:val="231F20"/>
          <w:spacing w:val="10"/>
        </w:rPr>
        <w:t xml:space="preserve"> </w:t>
      </w:r>
      <w:r>
        <w:rPr>
          <w:color w:val="231F20"/>
        </w:rPr>
        <w:t>is</w:t>
      </w:r>
      <w:r>
        <w:rPr>
          <w:color w:val="231F20"/>
          <w:spacing w:val="10"/>
        </w:rPr>
        <w:t xml:space="preserve"> </w:t>
      </w:r>
      <w:r>
        <w:rPr>
          <w:color w:val="231F20"/>
        </w:rPr>
        <w:t>a</w:t>
      </w:r>
      <w:r>
        <w:rPr>
          <w:color w:val="231F20"/>
          <w:spacing w:val="10"/>
        </w:rPr>
        <w:t xml:space="preserve"> </w:t>
      </w:r>
      <w:r>
        <w:rPr>
          <w:color w:val="231F20"/>
        </w:rPr>
        <w:t>pipe</w:t>
      </w:r>
      <w:r>
        <w:rPr>
          <w:color w:val="231F20"/>
          <w:spacing w:val="10"/>
        </w:rPr>
        <w:t xml:space="preserve"> </w:t>
      </w:r>
      <w:r>
        <w:rPr>
          <w:color w:val="231F20"/>
        </w:rPr>
        <w:t>dream.</w:t>
      </w:r>
    </w:p>
    <w:p w14:paraId="097C19BC" w14:textId="77777777" w:rsidR="002653E8" w:rsidRDefault="003115E3">
      <w:pPr>
        <w:pStyle w:val="a3"/>
        <w:spacing w:line="264" w:lineRule="auto"/>
        <w:ind w:left="1327" w:right="1146" w:firstLine="210"/>
        <w:jc w:val="both"/>
      </w:pPr>
      <w:r>
        <w:rPr>
          <w:color w:val="231F20"/>
          <w:spacing w:val="-5"/>
        </w:rPr>
        <w:t xml:space="preserve">We </w:t>
      </w:r>
      <w:r>
        <w:rPr>
          <w:color w:val="231F20"/>
        </w:rPr>
        <w:t xml:space="preserve">know that it will be an extremely </w:t>
      </w:r>
      <w:r>
        <w:rPr>
          <w:color w:val="231F20"/>
          <w:spacing w:val="-4"/>
        </w:rPr>
        <w:t xml:space="preserve">slow, </w:t>
      </w:r>
      <w:r>
        <w:rPr>
          <w:color w:val="231F20"/>
        </w:rPr>
        <w:t>difficult and exhausting process to get things underway in even a few places. That they are, however, in motion indicates that the situation is “ripe” to take up the anti-imperialist struggle in the metropole—not “ripe” for  revolution, but “ripe” for the anti-imperialist</w:t>
      </w:r>
      <w:r>
        <w:rPr>
          <w:color w:val="231F20"/>
          <w:spacing w:val="15"/>
        </w:rPr>
        <w:t xml:space="preserve"> </w:t>
      </w:r>
      <w:r>
        <w:rPr>
          <w:color w:val="231F20"/>
        </w:rPr>
        <w:t>offensive.</w:t>
      </w:r>
    </w:p>
    <w:p w14:paraId="78F407F3" w14:textId="77777777" w:rsidR="002653E8" w:rsidRDefault="003115E3">
      <w:pPr>
        <w:pStyle w:val="a3"/>
        <w:spacing w:line="264" w:lineRule="auto"/>
        <w:ind w:left="1327" w:right="1146" w:firstLine="210"/>
        <w:jc w:val="both"/>
      </w:pPr>
      <w:r>
        <w:rPr>
          <w:color w:val="231F20"/>
        </w:rPr>
        <w:t>Already, at this early stage of “ripeness,” there are comrades who disgrace</w:t>
      </w:r>
      <w:r>
        <w:rPr>
          <w:color w:val="231F20"/>
          <w:spacing w:val="-6"/>
        </w:rPr>
        <w:t xml:space="preserve"> </w:t>
      </w:r>
      <w:r>
        <w:rPr>
          <w:color w:val="231F20"/>
        </w:rPr>
        <w:t>themselves</w:t>
      </w:r>
      <w:r>
        <w:rPr>
          <w:color w:val="231F20"/>
          <w:spacing w:val="-6"/>
        </w:rPr>
        <w:t xml:space="preserve"> </w:t>
      </w:r>
      <w:r>
        <w:rPr>
          <w:color w:val="231F20"/>
        </w:rPr>
        <w:t>by</w:t>
      </w:r>
      <w:r>
        <w:rPr>
          <w:color w:val="231F20"/>
          <w:spacing w:val="-6"/>
        </w:rPr>
        <w:t xml:space="preserve"> </w:t>
      </w:r>
      <w:r>
        <w:rPr>
          <w:color w:val="231F20"/>
        </w:rPr>
        <w:t>losing</w:t>
      </w:r>
      <w:r>
        <w:rPr>
          <w:color w:val="231F20"/>
          <w:spacing w:val="-6"/>
        </w:rPr>
        <w:t xml:space="preserve"> </w:t>
      </w:r>
      <w:r>
        <w:rPr>
          <w:color w:val="231F20"/>
        </w:rPr>
        <w:t>sight</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realities</w:t>
      </w:r>
      <w:r>
        <w:rPr>
          <w:color w:val="231F20"/>
          <w:spacing w:val="-6"/>
        </w:rPr>
        <w:t xml:space="preserve"> </w:t>
      </w:r>
      <w:r>
        <w:rPr>
          <w:color w:val="231F20"/>
        </w:rPr>
        <w:t>of</w:t>
      </w:r>
      <w:r>
        <w:rPr>
          <w:color w:val="231F20"/>
          <w:spacing w:val="-6"/>
        </w:rPr>
        <w:t xml:space="preserve"> </w:t>
      </w:r>
      <w:r>
        <w:rPr>
          <w:color w:val="231F20"/>
        </w:rPr>
        <w:t>their</w:t>
      </w:r>
      <w:r>
        <w:rPr>
          <w:color w:val="231F20"/>
          <w:spacing w:val="-6"/>
        </w:rPr>
        <w:t xml:space="preserve"> </w:t>
      </w:r>
      <w:r>
        <w:rPr>
          <w:color w:val="231F20"/>
        </w:rPr>
        <w:t>lives</w:t>
      </w:r>
      <w:r>
        <w:rPr>
          <w:color w:val="231F20"/>
          <w:spacing w:val="-6"/>
        </w:rPr>
        <w:t xml:space="preserve"> </w:t>
      </w:r>
      <w:r>
        <w:rPr>
          <w:color w:val="231F20"/>
        </w:rPr>
        <w:t>and</w:t>
      </w:r>
      <w:r>
        <w:rPr>
          <w:color w:val="231F20"/>
          <w:spacing w:val="-6"/>
        </w:rPr>
        <w:t xml:space="preserve"> </w:t>
      </w:r>
      <w:r>
        <w:rPr>
          <w:color w:val="231F20"/>
        </w:rPr>
        <w:t>their liberation. Seeing this process at work, we see the system’s continuing appeal</w:t>
      </w:r>
      <w:r>
        <w:rPr>
          <w:color w:val="231F20"/>
          <w:spacing w:val="16"/>
        </w:rPr>
        <w:t xml:space="preserve"> </w:t>
      </w:r>
      <w:r>
        <w:rPr>
          <w:color w:val="231F20"/>
        </w:rPr>
        <w:t>in</w:t>
      </w:r>
      <w:r>
        <w:rPr>
          <w:color w:val="231F20"/>
          <w:spacing w:val="16"/>
        </w:rPr>
        <w:t xml:space="preserve"> </w:t>
      </w:r>
      <w:r>
        <w:rPr>
          <w:color w:val="231F20"/>
        </w:rPr>
        <w:t>the</w:t>
      </w:r>
      <w:r>
        <w:rPr>
          <w:color w:val="231F20"/>
          <w:spacing w:val="16"/>
        </w:rPr>
        <w:t xml:space="preserve"> </w:t>
      </w:r>
      <w:r>
        <w:rPr>
          <w:color w:val="231F20"/>
        </w:rPr>
        <w:t>metropole.</w:t>
      </w:r>
      <w:r>
        <w:rPr>
          <w:color w:val="231F20"/>
          <w:spacing w:val="16"/>
        </w:rPr>
        <w:t xml:space="preserve"> </w:t>
      </w:r>
      <w:r>
        <w:rPr>
          <w:color w:val="231F20"/>
        </w:rPr>
        <w:t>That</w:t>
      </w:r>
      <w:r>
        <w:rPr>
          <w:color w:val="231F20"/>
          <w:spacing w:val="16"/>
        </w:rPr>
        <w:t xml:space="preserve"> </w:t>
      </w:r>
      <w:r>
        <w:rPr>
          <w:color w:val="231F20"/>
        </w:rPr>
        <w:t>there</w:t>
      </w:r>
      <w:r>
        <w:rPr>
          <w:color w:val="231F20"/>
          <w:spacing w:val="16"/>
        </w:rPr>
        <w:t xml:space="preserve"> </w:t>
      </w:r>
      <w:r>
        <w:rPr>
          <w:color w:val="231F20"/>
        </w:rPr>
        <w:t>are</w:t>
      </w:r>
      <w:r>
        <w:rPr>
          <w:color w:val="231F20"/>
          <w:spacing w:val="16"/>
        </w:rPr>
        <w:t xml:space="preserve"> </w:t>
      </w:r>
      <w:r>
        <w:rPr>
          <w:color w:val="231F20"/>
        </w:rPr>
        <w:t>comrades</w:t>
      </w:r>
      <w:r>
        <w:rPr>
          <w:color w:val="231F20"/>
          <w:spacing w:val="16"/>
        </w:rPr>
        <w:t xml:space="preserve"> </w:t>
      </w:r>
      <w:r>
        <w:rPr>
          <w:color w:val="231F20"/>
        </w:rPr>
        <w:t>who</w:t>
      </w:r>
      <w:r>
        <w:rPr>
          <w:color w:val="231F20"/>
          <w:spacing w:val="16"/>
        </w:rPr>
        <w:t xml:space="preserve"> </w:t>
      </w:r>
      <w:r>
        <w:rPr>
          <w:color w:val="231F20"/>
        </w:rPr>
        <w:t>cannot</w:t>
      </w:r>
      <w:r>
        <w:rPr>
          <w:color w:val="231F20"/>
          <w:spacing w:val="16"/>
        </w:rPr>
        <w:t xml:space="preserve"> </w:t>
      </w:r>
      <w:r>
        <w:rPr>
          <w:color w:val="231F20"/>
        </w:rPr>
        <w:t>see</w:t>
      </w:r>
      <w:r>
        <w:rPr>
          <w:color w:val="231F20"/>
          <w:spacing w:val="16"/>
        </w:rPr>
        <w:t xml:space="preserve"> </w:t>
      </w:r>
      <w:r>
        <w:rPr>
          <w:color w:val="231F20"/>
        </w:rPr>
        <w:t>any</w:t>
      </w:r>
    </w:p>
    <w:p w14:paraId="44E2007F" w14:textId="77777777" w:rsidR="002653E8" w:rsidRDefault="00000000">
      <w:pPr>
        <w:pStyle w:val="a3"/>
        <w:spacing w:before="1"/>
        <w:rPr>
          <w:sz w:val="12"/>
        </w:rPr>
      </w:pPr>
      <w:r>
        <w:rPr>
          <w:noProof w:val="0"/>
        </w:rPr>
        <w:pict w14:anchorId="27FC4D57">
          <v:line id="_x0000_s2459" style="position:absolute;z-index:5680;mso-wrap-distance-left:0;mso-wrap-distance-right:0;mso-position-horizontal-relative:page" from="66.4pt,9.3pt" to="138.4pt,9.3pt" strokecolor="#231f20" strokeweight=".5pt">
            <w10:wrap type="topAndBottom" anchorx="page"/>
          </v:line>
        </w:pict>
      </w:r>
    </w:p>
    <w:p w14:paraId="2D39CE7F" w14:textId="77777777" w:rsidR="002653E8" w:rsidRDefault="003115E3">
      <w:pPr>
        <w:spacing w:before="53"/>
        <w:ind w:left="1327"/>
        <w:rPr>
          <w:sz w:val="16"/>
        </w:rPr>
      </w:pPr>
      <w:r>
        <w:rPr>
          <w:color w:val="231F20"/>
          <w:w w:val="105"/>
          <w:sz w:val="16"/>
        </w:rPr>
        <w:t>1 Heinz Runau, SPD Senator for Internal Affairs in Hamburg at the time.</w:t>
      </w:r>
    </w:p>
    <w:p w14:paraId="1DB3A71F" w14:textId="77777777" w:rsidR="002653E8" w:rsidRDefault="002653E8">
      <w:pPr>
        <w:rPr>
          <w:sz w:val="16"/>
        </w:rPr>
        <w:sectPr w:rsidR="002653E8">
          <w:pgSz w:w="8640" w:h="12960"/>
          <w:pgMar w:top="1060" w:right="0" w:bottom="1040" w:left="0" w:header="0" w:footer="850" w:gutter="0"/>
          <w:cols w:space="720"/>
        </w:sectPr>
      </w:pPr>
    </w:p>
    <w:p w14:paraId="101F0098" w14:textId="77777777" w:rsidR="002653E8" w:rsidRDefault="003115E3">
      <w:pPr>
        <w:pStyle w:val="a3"/>
        <w:spacing w:before="86" w:line="264" w:lineRule="auto"/>
        <w:ind w:left="1147" w:right="1326"/>
        <w:jc w:val="both"/>
      </w:pPr>
      <w:r>
        <w:rPr>
          <w:color w:val="231F20"/>
        </w:rPr>
        <w:lastRenderedPageBreak/>
        <w:t xml:space="preserve">purpose to life outside of the liberation struggle attests to how great   the appeal of revolution is. Insofar as there is not a single idea, not a thought that does not have its origin in life and in society—positive thoughts, ideas, and people have been thoroughly locked </w:t>
      </w:r>
      <w:r>
        <w:rPr>
          <w:color w:val="231F20"/>
          <w:spacing w:val="-5"/>
        </w:rPr>
        <w:t xml:space="preserve">away, </w:t>
      </w:r>
      <w:r>
        <w:rPr>
          <w:color w:val="231F20"/>
        </w:rPr>
        <w:t>cast aside, excluded and treated as</w:t>
      </w:r>
      <w:r>
        <w:rPr>
          <w:color w:val="231F20"/>
          <w:spacing w:val="8"/>
        </w:rPr>
        <w:t xml:space="preserve"> </w:t>
      </w:r>
      <w:r>
        <w:rPr>
          <w:color w:val="231F20"/>
        </w:rPr>
        <w:t>insane.</w:t>
      </w:r>
    </w:p>
    <w:p w14:paraId="106680C4" w14:textId="77777777" w:rsidR="002653E8" w:rsidRDefault="003115E3">
      <w:pPr>
        <w:pStyle w:val="a3"/>
        <w:spacing w:line="264" w:lineRule="auto"/>
        <w:ind w:left="1147" w:right="1326" w:firstLine="210"/>
        <w:jc w:val="both"/>
      </w:pPr>
      <w:r>
        <w:rPr>
          <w:color w:val="231F20"/>
        </w:rPr>
        <w:t>The metropolitan left is beginning to split into a revolutionary, antiimperialist wing and an opportunistic wing. This is not because opportunism has won the struggle on the ground, but because they’ve lost it. They still hope to win this struggle on the ground, even as the left wing gains in strength. Negt’s attacks were a rearguard action. Given that    the argument he mounted can only be described as disgraceful, he has helped</w:t>
      </w:r>
      <w:r>
        <w:rPr>
          <w:color w:val="231F20"/>
          <w:spacing w:val="10"/>
        </w:rPr>
        <w:t xml:space="preserve"> </w:t>
      </w:r>
      <w:r>
        <w:rPr>
          <w:color w:val="231F20"/>
        </w:rPr>
        <w:t>to</w:t>
      </w:r>
      <w:r>
        <w:rPr>
          <w:color w:val="231F20"/>
          <w:spacing w:val="10"/>
        </w:rPr>
        <w:t xml:space="preserve"> </w:t>
      </w:r>
      <w:r>
        <w:rPr>
          <w:color w:val="231F20"/>
        </w:rPr>
        <w:t>unmask</w:t>
      </w:r>
      <w:r>
        <w:rPr>
          <w:color w:val="231F20"/>
          <w:spacing w:val="10"/>
        </w:rPr>
        <w:t xml:space="preserve"> </w:t>
      </w:r>
      <w:r>
        <w:rPr>
          <w:color w:val="231F20"/>
        </w:rPr>
        <w:t>opportunism.</w:t>
      </w:r>
      <w:r>
        <w:rPr>
          <w:color w:val="231F20"/>
          <w:spacing w:val="10"/>
        </w:rPr>
        <w:t xml:space="preserve"> </w:t>
      </w:r>
      <w:r>
        <w:rPr>
          <w:color w:val="231F20"/>
        </w:rPr>
        <w:t>He</w:t>
      </w:r>
      <w:r>
        <w:rPr>
          <w:color w:val="231F20"/>
          <w:spacing w:val="10"/>
        </w:rPr>
        <w:t xml:space="preserve"> </w:t>
      </w:r>
      <w:r>
        <w:rPr>
          <w:color w:val="231F20"/>
        </w:rPr>
        <w:t>has</w:t>
      </w:r>
      <w:r>
        <w:rPr>
          <w:color w:val="231F20"/>
          <w:spacing w:val="10"/>
        </w:rPr>
        <w:t xml:space="preserve"> </w:t>
      </w:r>
      <w:r>
        <w:rPr>
          <w:color w:val="231F20"/>
        </w:rPr>
        <w:t>made</w:t>
      </w:r>
      <w:r>
        <w:rPr>
          <w:color w:val="231F20"/>
          <w:spacing w:val="10"/>
        </w:rPr>
        <w:t xml:space="preserve"> </w:t>
      </w:r>
      <w:r>
        <w:rPr>
          <w:color w:val="231F20"/>
        </w:rPr>
        <w:t>our</w:t>
      </w:r>
      <w:r>
        <w:rPr>
          <w:color w:val="231F20"/>
          <w:spacing w:val="10"/>
        </w:rPr>
        <w:t xml:space="preserve"> </w:t>
      </w:r>
      <w:r>
        <w:rPr>
          <w:color w:val="231F20"/>
        </w:rPr>
        <w:t>work</w:t>
      </w:r>
      <w:r>
        <w:rPr>
          <w:color w:val="231F20"/>
          <w:spacing w:val="10"/>
        </w:rPr>
        <w:t xml:space="preserve"> </w:t>
      </w:r>
      <w:r>
        <w:rPr>
          <w:color w:val="231F20"/>
        </w:rPr>
        <w:t>easier.</w:t>
      </w:r>
    </w:p>
    <w:p w14:paraId="4766A5DC" w14:textId="77777777" w:rsidR="002653E8" w:rsidRDefault="002653E8">
      <w:pPr>
        <w:pStyle w:val="a3"/>
        <w:spacing w:before="9"/>
      </w:pPr>
    </w:p>
    <w:p w14:paraId="47F5CDC6" w14:textId="77777777" w:rsidR="002653E8" w:rsidRDefault="003115E3">
      <w:pPr>
        <w:ind w:left="1147"/>
        <w:jc w:val="both"/>
        <w:rPr>
          <w:i/>
          <w:sz w:val="20"/>
        </w:rPr>
      </w:pPr>
      <w:r>
        <w:rPr>
          <w:i/>
          <w:color w:val="231F20"/>
          <w:w w:val="105"/>
          <w:sz w:val="20"/>
        </w:rPr>
        <w:t>Negt as Alexander the Great</w:t>
      </w:r>
    </w:p>
    <w:p w14:paraId="3BE41180" w14:textId="77777777" w:rsidR="002653E8" w:rsidRDefault="003115E3">
      <w:pPr>
        <w:pStyle w:val="a3"/>
        <w:spacing w:before="23" w:line="264" w:lineRule="auto"/>
        <w:ind w:left="1147" w:right="1326"/>
        <w:jc w:val="both"/>
      </w:pPr>
      <w:r>
        <w:rPr>
          <w:color w:val="231F20"/>
          <w:w w:val="105"/>
        </w:rPr>
        <w:t>“The knots” of “mechanical solidarity,” “inferiority complexes,” “fear of isolation,” “overblown perceptions of reality,” and “self-delusion” “must be cut” (he’s right about that)—and can no longer be resolved “through polite engagement.”</w:t>
      </w:r>
    </w:p>
    <w:p w14:paraId="37803CE8" w14:textId="77777777" w:rsidR="002653E8" w:rsidRDefault="003115E3">
      <w:pPr>
        <w:pStyle w:val="a3"/>
        <w:spacing w:line="264" w:lineRule="auto"/>
        <w:ind w:left="1147" w:right="1326" w:firstLine="210"/>
        <w:jc w:val="both"/>
      </w:pPr>
      <w:r>
        <w:rPr>
          <w:color w:val="231F20"/>
        </w:rPr>
        <w:t>Which means: allowing the fascists to liquidate the growing left wing of the socialist movement. Which means: Marxist theory and serious discussions constitute “polite engagement”—one is spared socialist discussion with Negt’s fatherly advice and his seminar pedagogy.</w:t>
      </w:r>
    </w:p>
    <w:p w14:paraId="4DAD6F37" w14:textId="77777777" w:rsidR="002653E8" w:rsidRDefault="003115E3">
      <w:pPr>
        <w:pStyle w:val="a3"/>
        <w:spacing w:line="264" w:lineRule="auto"/>
        <w:ind w:left="1357" w:right="1580"/>
      </w:pPr>
      <w:r>
        <w:rPr>
          <w:color w:val="231F20"/>
        </w:rPr>
        <w:t>Marx and Freud could only say in response to all this: Pardon me?      A</w:t>
      </w:r>
      <w:r>
        <w:rPr>
          <w:color w:val="231F20"/>
          <w:spacing w:val="21"/>
        </w:rPr>
        <w:t xml:space="preserve"> </w:t>
      </w:r>
      <w:r>
        <w:rPr>
          <w:color w:val="231F20"/>
        </w:rPr>
        <w:t>complete</w:t>
      </w:r>
      <w:r>
        <w:rPr>
          <w:color w:val="231F20"/>
          <w:spacing w:val="21"/>
        </w:rPr>
        <w:t xml:space="preserve"> </w:t>
      </w:r>
      <w:r>
        <w:rPr>
          <w:color w:val="231F20"/>
        </w:rPr>
        <w:t>nut,</w:t>
      </w:r>
      <w:r>
        <w:rPr>
          <w:color w:val="231F20"/>
          <w:spacing w:val="21"/>
        </w:rPr>
        <w:t xml:space="preserve"> </w:t>
      </w:r>
      <w:r>
        <w:rPr>
          <w:color w:val="231F20"/>
        </w:rPr>
        <w:t>a</w:t>
      </w:r>
      <w:r>
        <w:rPr>
          <w:color w:val="231F20"/>
          <w:spacing w:val="21"/>
        </w:rPr>
        <w:t xml:space="preserve"> </w:t>
      </w:r>
      <w:r>
        <w:rPr>
          <w:color w:val="231F20"/>
        </w:rPr>
        <w:t>truculent,</w:t>
      </w:r>
      <w:r>
        <w:rPr>
          <w:color w:val="231F20"/>
          <w:spacing w:val="21"/>
        </w:rPr>
        <w:t xml:space="preserve"> </w:t>
      </w:r>
      <w:r>
        <w:rPr>
          <w:color w:val="231F20"/>
        </w:rPr>
        <w:t>self-confessed</w:t>
      </w:r>
      <w:r>
        <w:rPr>
          <w:color w:val="231F20"/>
          <w:spacing w:val="21"/>
        </w:rPr>
        <w:t xml:space="preserve"> </w:t>
      </w:r>
      <w:r>
        <w:rPr>
          <w:color w:val="231F20"/>
        </w:rPr>
        <w:t>petit</w:t>
      </w:r>
      <w:r>
        <w:rPr>
          <w:color w:val="231F20"/>
          <w:spacing w:val="21"/>
        </w:rPr>
        <w:t xml:space="preserve"> </w:t>
      </w:r>
      <w:r>
        <w:rPr>
          <w:color w:val="231F20"/>
        </w:rPr>
        <w:t>bourgeois—this</w:t>
      </w:r>
    </w:p>
    <w:p w14:paraId="11907024" w14:textId="77777777" w:rsidR="002653E8" w:rsidRDefault="003115E3">
      <w:pPr>
        <w:pStyle w:val="a3"/>
        <w:spacing w:line="264" w:lineRule="auto"/>
        <w:ind w:left="1147" w:right="1326"/>
        <w:jc w:val="both"/>
      </w:pPr>
      <w:r>
        <w:rPr>
          <w:color w:val="231F20"/>
        </w:rPr>
        <w:t>Negt. If one did not know that being determines consciousness, one might begin to think that through these thoroughly corrupted rats “corruption has claimed the day.”</w:t>
      </w:r>
    </w:p>
    <w:p w14:paraId="6D2AE2C7" w14:textId="77777777" w:rsidR="002653E8" w:rsidRDefault="002653E8">
      <w:pPr>
        <w:pStyle w:val="a3"/>
        <w:spacing w:before="7"/>
      </w:pPr>
    </w:p>
    <w:p w14:paraId="214AD3FF" w14:textId="77777777" w:rsidR="002653E8" w:rsidRDefault="003115E3">
      <w:pPr>
        <w:spacing w:before="1"/>
        <w:ind w:left="1147"/>
        <w:jc w:val="both"/>
        <w:rPr>
          <w:i/>
          <w:sz w:val="20"/>
        </w:rPr>
      </w:pPr>
      <w:r>
        <w:rPr>
          <w:i/>
          <w:color w:val="231F20"/>
          <w:w w:val="105"/>
          <w:sz w:val="20"/>
        </w:rPr>
        <w:t>The Objective Role of the Opportunists</w:t>
      </w:r>
    </w:p>
    <w:p w14:paraId="4EB3A019" w14:textId="77777777" w:rsidR="002653E8" w:rsidRDefault="003115E3">
      <w:pPr>
        <w:pStyle w:val="a3"/>
        <w:spacing w:before="22" w:line="264" w:lineRule="auto"/>
        <w:ind w:left="1147" w:right="1325"/>
        <w:jc w:val="both"/>
      </w:pPr>
      <w:r>
        <w:rPr>
          <w:color w:val="231F20"/>
        </w:rPr>
        <w:t xml:space="preserve">Regarding his own profession, Negt—bluntly—stated: “One should beware of attempts to push left professors and teachers out of the high schools and universities” they being the only ones who, “through routine overtime and small organized groups,” keep this catastrophic institution “running.” The students of the </w:t>
      </w:r>
      <w:r>
        <w:rPr>
          <w:i/>
          <w:color w:val="231F20"/>
        </w:rPr>
        <w:t>Berliner Gegenuniversität</w:t>
      </w:r>
      <w:r>
        <w:rPr>
          <w:color w:val="231F20"/>
          <w:position w:val="7"/>
          <w:sz w:val="11"/>
        </w:rPr>
        <w:t xml:space="preserve">1  </w:t>
      </w:r>
      <w:r>
        <w:rPr>
          <w:color w:val="231F20"/>
        </w:rPr>
        <w:t xml:space="preserve">fought tooth and nail against exactly this system-stabilizing integration of their work as “overtime”—in this </w:t>
      </w:r>
      <w:r>
        <w:rPr>
          <w:color w:val="231F20"/>
          <w:spacing w:val="-2"/>
        </w:rPr>
        <w:t xml:space="preserve">way </w:t>
      </w:r>
      <w:r>
        <w:rPr>
          <w:color w:val="231F20"/>
        </w:rPr>
        <w:t>the opportunistic cat comes out of the seminar Marxist</w:t>
      </w:r>
      <w:r>
        <w:rPr>
          <w:color w:val="231F20"/>
          <w:spacing w:val="15"/>
        </w:rPr>
        <w:t xml:space="preserve"> </w:t>
      </w:r>
      <w:r>
        <w:rPr>
          <w:color w:val="231F20"/>
        </w:rPr>
        <w:t>bag.</w:t>
      </w:r>
    </w:p>
    <w:p w14:paraId="5C11BD57" w14:textId="77777777" w:rsidR="002653E8" w:rsidRDefault="00000000">
      <w:pPr>
        <w:pStyle w:val="a3"/>
        <w:spacing w:before="9"/>
        <w:rPr>
          <w:sz w:val="19"/>
        </w:rPr>
      </w:pPr>
      <w:r>
        <w:rPr>
          <w:noProof w:val="0"/>
        </w:rPr>
        <w:pict w14:anchorId="152FBB08">
          <v:line id="_x0000_s2458" style="position:absolute;z-index:5704;mso-wrap-distance-left:0;mso-wrap-distance-right:0;mso-position-horizontal-relative:page" from="57.4pt,13.8pt" to="129.4pt,13.8pt" strokecolor="#231f20" strokeweight=".5pt">
            <w10:wrap type="topAndBottom" anchorx="page"/>
          </v:line>
        </w:pict>
      </w:r>
    </w:p>
    <w:p w14:paraId="2F999FC7" w14:textId="77777777" w:rsidR="002653E8" w:rsidRDefault="003115E3">
      <w:pPr>
        <w:spacing w:before="53" w:line="254" w:lineRule="auto"/>
        <w:ind w:left="1147" w:right="1580"/>
        <w:rPr>
          <w:sz w:val="16"/>
        </w:rPr>
      </w:pPr>
      <w:r>
        <w:rPr>
          <w:color w:val="231F20"/>
          <w:w w:val="105"/>
          <w:sz w:val="16"/>
        </w:rPr>
        <w:t xml:space="preserve">1 </w:t>
      </w:r>
      <w:r>
        <w:rPr>
          <w:i/>
          <w:color w:val="231F20"/>
          <w:w w:val="105"/>
          <w:sz w:val="16"/>
        </w:rPr>
        <w:t xml:space="preserve">Berliner Gegenunivesitaät, </w:t>
      </w:r>
      <w:r>
        <w:rPr>
          <w:color w:val="231F20"/>
          <w:w w:val="105"/>
          <w:sz w:val="16"/>
        </w:rPr>
        <w:t>literally Berlin Counter-University, refers to presentations organized by students independent of formal lectures.</w:t>
      </w:r>
    </w:p>
    <w:p w14:paraId="339361B9" w14:textId="77777777" w:rsidR="002653E8" w:rsidRDefault="002653E8">
      <w:pPr>
        <w:spacing w:line="254" w:lineRule="auto"/>
        <w:rPr>
          <w:sz w:val="16"/>
        </w:rPr>
        <w:sectPr w:rsidR="002653E8">
          <w:footerReference w:type="even" r:id="rId189"/>
          <w:footerReference w:type="default" r:id="rId190"/>
          <w:pgSz w:w="8640" w:h="12960"/>
          <w:pgMar w:top="1060" w:right="0" w:bottom="1040" w:left="0" w:header="0" w:footer="850" w:gutter="0"/>
          <w:cols w:space="720"/>
        </w:sectPr>
      </w:pPr>
    </w:p>
    <w:p w14:paraId="3818B42C" w14:textId="77777777" w:rsidR="002653E8" w:rsidRDefault="003115E3">
      <w:pPr>
        <w:spacing w:before="66"/>
        <w:ind w:left="1327"/>
        <w:rPr>
          <w:i/>
          <w:sz w:val="20"/>
        </w:rPr>
      </w:pPr>
      <w:r>
        <w:rPr>
          <w:i/>
          <w:color w:val="231F20"/>
          <w:w w:val="105"/>
          <w:sz w:val="20"/>
        </w:rPr>
        <w:lastRenderedPageBreak/>
        <w:t>The Core: Scholarship for the Bourgeoisie</w:t>
      </w:r>
    </w:p>
    <w:p w14:paraId="26C4DE24" w14:textId="77777777" w:rsidR="002653E8" w:rsidRDefault="003115E3">
      <w:pPr>
        <w:pStyle w:val="a3"/>
        <w:spacing w:before="23" w:line="264" w:lineRule="auto"/>
        <w:ind w:left="1327" w:right="1146"/>
        <w:jc w:val="both"/>
      </w:pPr>
      <w:r>
        <w:rPr>
          <w:color w:val="231F20"/>
        </w:rPr>
        <w:t>Bourgeois scholarship still remains the practical core: “If a fraction of the money spent fighting crime was used to fight the causes of crime, one could count on a long-term impact; a society that cannot guarantee this minimum has lost its authority”—(leave it to Negt and everything will soon be running smoothly).</w:t>
      </w:r>
    </w:p>
    <w:p w14:paraId="698AE2F8" w14:textId="77777777" w:rsidR="002653E8" w:rsidRDefault="003115E3">
      <w:pPr>
        <w:pStyle w:val="a3"/>
        <w:spacing w:line="264" w:lineRule="auto"/>
        <w:ind w:left="1327" w:right="1078" w:firstLine="210"/>
      </w:pPr>
      <w:r>
        <w:rPr>
          <w:color w:val="231F20"/>
        </w:rPr>
        <w:t>The investment strategy of multinational corporations is based on this kind of long-term use of money rather than on military adventures.</w:t>
      </w:r>
    </w:p>
    <w:p w14:paraId="10322069" w14:textId="77777777" w:rsidR="002653E8" w:rsidRDefault="003115E3">
      <w:pPr>
        <w:pStyle w:val="a3"/>
        <w:spacing w:line="264" w:lineRule="auto"/>
        <w:ind w:left="1327" w:right="1146" w:firstLine="210"/>
        <w:jc w:val="both"/>
      </w:pPr>
      <w:r>
        <w:rPr>
          <w:color w:val="231F20"/>
        </w:rPr>
        <w:t>And to finally accomplish his true goal, Negt tosses the entirety of Marxism-Leninism overboard: “There is no clear and objective criteria for the distinction between right and left.” Why is this stupid pig still called a “socialist”?</w:t>
      </w:r>
    </w:p>
    <w:p w14:paraId="6E12073A" w14:textId="77777777" w:rsidR="002653E8" w:rsidRPr="00C507A5" w:rsidRDefault="003115E3">
      <w:pPr>
        <w:pStyle w:val="a3"/>
        <w:spacing w:line="230" w:lineRule="exact"/>
        <w:ind w:left="1537"/>
        <w:rPr>
          <w:lang w:val="de-DE"/>
        </w:rPr>
      </w:pPr>
      <w:r w:rsidRPr="00C507A5">
        <w:rPr>
          <w:color w:val="231F20"/>
          <w:lang w:val="de-DE"/>
        </w:rPr>
        <w:t>Rosa Luxemburg on Bernstein:</w:t>
      </w:r>
    </w:p>
    <w:p w14:paraId="44AC26EB" w14:textId="77777777" w:rsidR="002653E8" w:rsidRDefault="003115E3">
      <w:pPr>
        <w:spacing w:before="143" w:line="276" w:lineRule="auto"/>
        <w:ind w:left="1747" w:right="1565"/>
        <w:jc w:val="both"/>
        <w:rPr>
          <w:i/>
          <w:sz w:val="11"/>
        </w:rPr>
      </w:pPr>
      <w:r w:rsidRPr="00C507A5">
        <w:rPr>
          <w:i/>
          <w:color w:val="231F20"/>
          <w:w w:val="105"/>
          <w:sz w:val="19"/>
          <w:lang w:val="de-DE"/>
        </w:rPr>
        <w:t xml:space="preserve">What? </w:t>
      </w:r>
      <w:r>
        <w:rPr>
          <w:i/>
          <w:color w:val="231F20"/>
          <w:w w:val="105"/>
          <w:sz w:val="19"/>
        </w:rPr>
        <w:t>Is that all you have to say? Not the shadow of an original thought!</w:t>
      </w:r>
      <w:r>
        <w:rPr>
          <w:i/>
          <w:color w:val="231F20"/>
          <w:spacing w:val="-3"/>
          <w:w w:val="105"/>
          <w:sz w:val="19"/>
        </w:rPr>
        <w:t xml:space="preserve"> </w:t>
      </w:r>
      <w:r>
        <w:rPr>
          <w:i/>
          <w:color w:val="231F20"/>
          <w:w w:val="105"/>
          <w:sz w:val="19"/>
        </w:rPr>
        <w:t>Not</w:t>
      </w:r>
      <w:r>
        <w:rPr>
          <w:i/>
          <w:color w:val="231F20"/>
          <w:spacing w:val="-3"/>
          <w:w w:val="105"/>
          <w:sz w:val="19"/>
        </w:rPr>
        <w:t xml:space="preserve"> </w:t>
      </w:r>
      <w:r>
        <w:rPr>
          <w:i/>
          <w:color w:val="231F20"/>
          <w:w w:val="105"/>
          <w:sz w:val="19"/>
        </w:rPr>
        <w:t>a</w:t>
      </w:r>
      <w:r>
        <w:rPr>
          <w:i/>
          <w:color w:val="231F20"/>
          <w:spacing w:val="-3"/>
          <w:w w:val="105"/>
          <w:sz w:val="19"/>
        </w:rPr>
        <w:t xml:space="preserve"> </w:t>
      </w:r>
      <w:r>
        <w:rPr>
          <w:i/>
          <w:color w:val="231F20"/>
          <w:w w:val="105"/>
          <w:sz w:val="19"/>
        </w:rPr>
        <w:t>single</w:t>
      </w:r>
      <w:r>
        <w:rPr>
          <w:i/>
          <w:color w:val="231F20"/>
          <w:spacing w:val="-3"/>
          <w:w w:val="105"/>
          <w:sz w:val="19"/>
        </w:rPr>
        <w:t xml:space="preserve"> </w:t>
      </w:r>
      <w:r>
        <w:rPr>
          <w:i/>
          <w:color w:val="231F20"/>
          <w:w w:val="105"/>
          <w:sz w:val="19"/>
        </w:rPr>
        <w:t>idea</w:t>
      </w:r>
      <w:r>
        <w:rPr>
          <w:i/>
          <w:color w:val="231F20"/>
          <w:spacing w:val="-3"/>
          <w:w w:val="105"/>
          <w:sz w:val="19"/>
        </w:rPr>
        <w:t xml:space="preserve"> </w:t>
      </w:r>
      <w:r>
        <w:rPr>
          <w:i/>
          <w:color w:val="231F20"/>
          <w:w w:val="105"/>
          <w:sz w:val="19"/>
        </w:rPr>
        <w:t>that</w:t>
      </w:r>
      <w:r>
        <w:rPr>
          <w:i/>
          <w:color w:val="231F20"/>
          <w:spacing w:val="-3"/>
          <w:w w:val="105"/>
          <w:sz w:val="19"/>
        </w:rPr>
        <w:t xml:space="preserve"> </w:t>
      </w:r>
      <w:r>
        <w:rPr>
          <w:i/>
          <w:color w:val="231F20"/>
          <w:w w:val="105"/>
          <w:sz w:val="19"/>
        </w:rPr>
        <w:t>was</w:t>
      </w:r>
      <w:r>
        <w:rPr>
          <w:i/>
          <w:color w:val="231F20"/>
          <w:spacing w:val="-3"/>
          <w:w w:val="105"/>
          <w:sz w:val="19"/>
        </w:rPr>
        <w:t xml:space="preserve"> </w:t>
      </w:r>
      <w:r>
        <w:rPr>
          <w:i/>
          <w:color w:val="231F20"/>
          <w:w w:val="105"/>
          <w:sz w:val="19"/>
        </w:rPr>
        <w:t>not</w:t>
      </w:r>
      <w:r>
        <w:rPr>
          <w:i/>
          <w:color w:val="231F20"/>
          <w:spacing w:val="-3"/>
          <w:w w:val="105"/>
          <w:sz w:val="19"/>
        </w:rPr>
        <w:t xml:space="preserve"> </w:t>
      </w:r>
      <w:r>
        <w:rPr>
          <w:i/>
          <w:color w:val="231F20"/>
          <w:w w:val="105"/>
          <w:sz w:val="19"/>
        </w:rPr>
        <w:t>refuted,</w:t>
      </w:r>
      <w:r>
        <w:rPr>
          <w:i/>
          <w:color w:val="231F20"/>
          <w:spacing w:val="-9"/>
          <w:w w:val="105"/>
          <w:sz w:val="19"/>
        </w:rPr>
        <w:t xml:space="preserve"> </w:t>
      </w:r>
      <w:r>
        <w:rPr>
          <w:i/>
          <w:color w:val="231F20"/>
          <w:w w:val="105"/>
          <w:sz w:val="19"/>
        </w:rPr>
        <w:t>crushed,</w:t>
      </w:r>
      <w:r>
        <w:rPr>
          <w:i/>
          <w:color w:val="231F20"/>
          <w:spacing w:val="-9"/>
          <w:w w:val="105"/>
          <w:sz w:val="19"/>
        </w:rPr>
        <w:t xml:space="preserve"> </w:t>
      </w:r>
      <w:r>
        <w:rPr>
          <w:i/>
          <w:color w:val="231F20"/>
          <w:w w:val="105"/>
          <w:sz w:val="19"/>
        </w:rPr>
        <w:t>reduced into dust by Marxism several decades ago! It was enough for opportunism to speak out to prove it had nothing to</w:t>
      </w:r>
      <w:r>
        <w:rPr>
          <w:i/>
          <w:color w:val="231F20"/>
          <w:spacing w:val="7"/>
          <w:w w:val="105"/>
          <w:sz w:val="19"/>
        </w:rPr>
        <w:t xml:space="preserve"> </w:t>
      </w:r>
      <w:r>
        <w:rPr>
          <w:i/>
          <w:color w:val="231F20"/>
          <w:spacing w:val="-5"/>
          <w:w w:val="105"/>
          <w:sz w:val="19"/>
        </w:rPr>
        <w:t>say.</w:t>
      </w:r>
      <w:r>
        <w:rPr>
          <w:i/>
          <w:color w:val="231F20"/>
          <w:spacing w:val="-5"/>
          <w:w w:val="105"/>
          <w:position w:val="6"/>
          <w:sz w:val="11"/>
        </w:rPr>
        <w:t>2</w:t>
      </w:r>
    </w:p>
    <w:p w14:paraId="1B5DE01D" w14:textId="77777777" w:rsidR="002653E8" w:rsidRDefault="003115E3">
      <w:pPr>
        <w:pStyle w:val="a3"/>
        <w:spacing w:before="131" w:line="264" w:lineRule="auto"/>
        <w:ind w:left="1327" w:right="1146"/>
        <w:jc w:val="both"/>
      </w:pPr>
      <w:r>
        <w:rPr>
          <w:color w:val="231F20"/>
        </w:rPr>
        <w:t xml:space="preserve">Negt need only come out into the open for all to see that he is in bed with the fascists—his “qualification,” most probably an “unqualified </w:t>
      </w:r>
      <w:r>
        <w:rPr>
          <w:color w:val="231F20"/>
          <w:spacing w:val="-3"/>
        </w:rPr>
        <w:t>tool.”</w:t>
      </w:r>
      <w:r>
        <w:rPr>
          <w:color w:val="231F20"/>
          <w:spacing w:val="11"/>
        </w:rPr>
        <w:t xml:space="preserve"> </w:t>
      </w:r>
      <w:r>
        <w:rPr>
          <w:color w:val="231F20"/>
        </w:rPr>
        <w:t>(R.L.)</w:t>
      </w:r>
    </w:p>
    <w:p w14:paraId="7B6B6ABC" w14:textId="77777777" w:rsidR="002653E8" w:rsidRDefault="003115E3">
      <w:pPr>
        <w:pStyle w:val="a3"/>
        <w:spacing w:line="231" w:lineRule="exact"/>
        <w:ind w:left="1537"/>
      </w:pPr>
      <w:r>
        <w:rPr>
          <w:color w:val="231F20"/>
        </w:rPr>
        <w:t>Lenin:</w:t>
      </w:r>
    </w:p>
    <w:p w14:paraId="62EAA2F5" w14:textId="77777777" w:rsidR="002653E8" w:rsidRDefault="003115E3">
      <w:pPr>
        <w:spacing w:before="151" w:line="276" w:lineRule="auto"/>
        <w:ind w:left="1747" w:right="1565"/>
        <w:jc w:val="both"/>
        <w:rPr>
          <w:i/>
          <w:sz w:val="19"/>
        </w:rPr>
      </w:pPr>
      <w:r>
        <w:rPr>
          <w:i/>
          <w:color w:val="231F20"/>
          <w:sz w:val="19"/>
        </w:rPr>
        <w:t>The most dangerous people are those who do not want to understand that the struggle against imperialism is empty and meaningless if it is not unreservedly connected to the struggle against opportunism.</w:t>
      </w:r>
    </w:p>
    <w:p w14:paraId="5E7A8A29" w14:textId="77777777" w:rsidR="002653E8" w:rsidRDefault="003115E3">
      <w:pPr>
        <w:pStyle w:val="a3"/>
        <w:spacing w:before="131" w:line="264" w:lineRule="auto"/>
        <w:ind w:left="1327" w:right="1146"/>
        <w:jc w:val="both"/>
      </w:pPr>
      <w:r>
        <w:rPr>
          <w:color w:val="231F20"/>
        </w:rPr>
        <w:t>Just as the oppressed themselves could smash this entire “catastrophic institution,” the system could well collapse under the weight of its own contradictions. The consciousness that says we’re all in the same boat, ties opportunism and the system together. They prattle on about socialism, but they mean the system. They ask no questions; they miss the answers. Setbacks for revolutionaries fill them with glee; once again they’ve backed the right horse.</w:t>
      </w:r>
    </w:p>
    <w:p w14:paraId="1E133C16" w14:textId="77777777" w:rsidR="002653E8" w:rsidRDefault="002653E8">
      <w:pPr>
        <w:pStyle w:val="a3"/>
      </w:pPr>
    </w:p>
    <w:p w14:paraId="62F4CEC3" w14:textId="77777777" w:rsidR="002653E8" w:rsidRDefault="002653E8">
      <w:pPr>
        <w:pStyle w:val="a3"/>
      </w:pPr>
    </w:p>
    <w:p w14:paraId="64AD0693" w14:textId="77777777" w:rsidR="002653E8" w:rsidRDefault="00000000">
      <w:pPr>
        <w:pStyle w:val="a3"/>
        <w:spacing w:before="6"/>
        <w:rPr>
          <w:sz w:val="28"/>
        </w:rPr>
      </w:pPr>
      <w:r>
        <w:rPr>
          <w:noProof w:val="0"/>
        </w:rPr>
        <w:pict w14:anchorId="6326CCC3">
          <v:line id="_x0000_s2457" style="position:absolute;z-index:5728;mso-wrap-distance-left:0;mso-wrap-distance-right:0;mso-position-horizontal-relative:page" from="66.4pt,18.95pt" to="138.4pt,18.95pt" strokecolor="#231f20" strokeweight=".5pt">
            <w10:wrap type="topAndBottom" anchorx="page"/>
          </v:line>
        </w:pict>
      </w:r>
    </w:p>
    <w:p w14:paraId="5CE21948" w14:textId="77777777" w:rsidR="002653E8" w:rsidRDefault="003115E3">
      <w:pPr>
        <w:spacing w:before="53" w:line="254" w:lineRule="auto"/>
        <w:ind w:left="1327" w:right="1650"/>
        <w:rPr>
          <w:sz w:val="16"/>
        </w:rPr>
      </w:pPr>
      <w:r>
        <w:rPr>
          <w:color w:val="231F20"/>
          <w:w w:val="110"/>
          <w:sz w:val="16"/>
        </w:rPr>
        <w:t xml:space="preserve">2 This quote is from Rosa Luxemburg’s 1900 text, </w:t>
      </w:r>
      <w:r>
        <w:rPr>
          <w:i/>
          <w:color w:val="231F20"/>
          <w:w w:val="110"/>
          <w:sz w:val="16"/>
        </w:rPr>
        <w:t xml:space="preserve">Reform or Revolution, </w:t>
      </w:r>
      <w:r>
        <w:rPr>
          <w:color w:val="231F20"/>
          <w:w w:val="133"/>
          <w:sz w:val="16"/>
        </w:rPr>
        <w:t>C</w:t>
      </w:r>
      <w:r>
        <w:rPr>
          <w:color w:val="231F20"/>
          <w:w w:val="104"/>
          <w:sz w:val="16"/>
        </w:rPr>
        <w:t>h</w:t>
      </w:r>
      <w:r>
        <w:rPr>
          <w:color w:val="231F20"/>
          <w:w w:val="106"/>
          <w:sz w:val="16"/>
        </w:rPr>
        <w:t>a</w:t>
      </w:r>
      <w:r>
        <w:rPr>
          <w:color w:val="231F20"/>
          <w:w w:val="103"/>
          <w:sz w:val="16"/>
        </w:rPr>
        <w:t>p</w:t>
      </w:r>
      <w:r>
        <w:rPr>
          <w:color w:val="231F20"/>
          <w:w w:val="102"/>
          <w:sz w:val="16"/>
        </w:rPr>
        <w:t>t</w:t>
      </w:r>
      <w:r>
        <w:rPr>
          <w:color w:val="231F20"/>
          <w:w w:val="94"/>
          <w:sz w:val="16"/>
        </w:rPr>
        <w:t>e</w:t>
      </w:r>
      <w:r>
        <w:rPr>
          <w:color w:val="231F20"/>
          <w:w w:val="97"/>
          <w:sz w:val="16"/>
        </w:rPr>
        <w:t>r</w:t>
      </w:r>
      <w:r>
        <w:rPr>
          <w:color w:val="231F20"/>
          <w:sz w:val="16"/>
        </w:rPr>
        <w:t xml:space="preserve"> </w:t>
      </w:r>
      <w:r>
        <w:rPr>
          <w:color w:val="231F20"/>
          <w:w w:val="166"/>
          <w:sz w:val="16"/>
        </w:rPr>
        <w:t>x</w:t>
      </w:r>
      <w:r>
        <w:rPr>
          <w:color w:val="231F20"/>
          <w:w w:val="109"/>
          <w:sz w:val="16"/>
        </w:rPr>
        <w:t>:</w:t>
      </w:r>
      <w:r>
        <w:rPr>
          <w:color w:val="231F20"/>
          <w:sz w:val="16"/>
        </w:rPr>
        <w:t xml:space="preserve"> </w:t>
      </w:r>
      <w:r>
        <w:rPr>
          <w:color w:val="231F20"/>
          <w:w w:val="132"/>
          <w:sz w:val="16"/>
        </w:rPr>
        <w:t>O</w:t>
      </w:r>
      <w:r>
        <w:rPr>
          <w:color w:val="231F20"/>
          <w:w w:val="103"/>
          <w:sz w:val="16"/>
        </w:rPr>
        <w:t>pp</w:t>
      </w:r>
      <w:r>
        <w:rPr>
          <w:color w:val="231F20"/>
          <w:w w:val="108"/>
          <w:sz w:val="16"/>
        </w:rPr>
        <w:t>o</w:t>
      </w:r>
      <w:r>
        <w:rPr>
          <w:color w:val="231F20"/>
          <w:w w:val="97"/>
          <w:sz w:val="16"/>
        </w:rPr>
        <w:t>r</w:t>
      </w:r>
      <w:r>
        <w:rPr>
          <w:color w:val="231F20"/>
          <w:w w:val="102"/>
          <w:sz w:val="16"/>
        </w:rPr>
        <w:t>t</w:t>
      </w:r>
      <w:r>
        <w:rPr>
          <w:color w:val="231F20"/>
          <w:w w:val="104"/>
          <w:sz w:val="16"/>
        </w:rPr>
        <w:t>u</w:t>
      </w:r>
      <w:r>
        <w:rPr>
          <w:color w:val="231F20"/>
          <w:w w:val="103"/>
          <w:sz w:val="16"/>
        </w:rPr>
        <w:t>ni</w:t>
      </w:r>
      <w:r>
        <w:rPr>
          <w:color w:val="231F20"/>
          <w:w w:val="93"/>
          <w:sz w:val="16"/>
        </w:rPr>
        <w:t>s</w:t>
      </w:r>
      <w:r>
        <w:rPr>
          <w:color w:val="231F20"/>
          <w:w w:val="103"/>
          <w:sz w:val="16"/>
        </w:rPr>
        <w:t>m</w:t>
      </w:r>
      <w:r>
        <w:rPr>
          <w:color w:val="231F20"/>
          <w:sz w:val="16"/>
        </w:rPr>
        <w:t xml:space="preserve"> </w:t>
      </w:r>
      <w:r>
        <w:rPr>
          <w:color w:val="231F20"/>
          <w:w w:val="106"/>
          <w:sz w:val="16"/>
        </w:rPr>
        <w:t>a</w:t>
      </w:r>
      <w:r>
        <w:rPr>
          <w:color w:val="231F20"/>
          <w:w w:val="103"/>
          <w:sz w:val="16"/>
        </w:rPr>
        <w:t>nd</w:t>
      </w:r>
      <w:r>
        <w:rPr>
          <w:color w:val="231F20"/>
          <w:sz w:val="16"/>
        </w:rPr>
        <w:t xml:space="preserve"> </w:t>
      </w:r>
      <w:r>
        <w:rPr>
          <w:color w:val="231F20"/>
          <w:w w:val="116"/>
          <w:sz w:val="16"/>
        </w:rPr>
        <w:t>T</w:t>
      </w:r>
      <w:r>
        <w:rPr>
          <w:color w:val="231F20"/>
          <w:w w:val="104"/>
          <w:sz w:val="16"/>
        </w:rPr>
        <w:t>h</w:t>
      </w:r>
      <w:r>
        <w:rPr>
          <w:color w:val="231F20"/>
          <w:w w:val="94"/>
          <w:sz w:val="16"/>
        </w:rPr>
        <w:t>e</w:t>
      </w:r>
      <w:r>
        <w:rPr>
          <w:color w:val="231F20"/>
          <w:w w:val="108"/>
          <w:sz w:val="16"/>
        </w:rPr>
        <w:t>o</w:t>
      </w:r>
      <w:r>
        <w:rPr>
          <w:color w:val="231F20"/>
          <w:w w:val="97"/>
          <w:sz w:val="16"/>
        </w:rPr>
        <w:t>r</w:t>
      </w:r>
      <w:r>
        <w:rPr>
          <w:color w:val="231F20"/>
          <w:w w:val="102"/>
          <w:sz w:val="16"/>
        </w:rPr>
        <w:t>y</w:t>
      </w:r>
      <w:r>
        <w:rPr>
          <w:color w:val="231F20"/>
          <w:sz w:val="16"/>
        </w:rPr>
        <w:t xml:space="preserve"> </w:t>
      </w:r>
      <w:r>
        <w:rPr>
          <w:color w:val="231F20"/>
          <w:w w:val="103"/>
          <w:sz w:val="16"/>
        </w:rPr>
        <w:t>in</w:t>
      </w:r>
      <w:r>
        <w:rPr>
          <w:color w:val="231F20"/>
          <w:sz w:val="16"/>
        </w:rPr>
        <w:t xml:space="preserve"> </w:t>
      </w:r>
      <w:r>
        <w:rPr>
          <w:color w:val="231F20"/>
          <w:w w:val="101"/>
          <w:sz w:val="16"/>
        </w:rPr>
        <w:t>P</w:t>
      </w:r>
      <w:r>
        <w:rPr>
          <w:color w:val="231F20"/>
          <w:w w:val="97"/>
          <w:sz w:val="16"/>
        </w:rPr>
        <w:t>r</w:t>
      </w:r>
      <w:r>
        <w:rPr>
          <w:color w:val="231F20"/>
          <w:w w:val="106"/>
          <w:sz w:val="16"/>
        </w:rPr>
        <w:t>a</w:t>
      </w:r>
      <w:r>
        <w:rPr>
          <w:color w:val="231F20"/>
          <w:w w:val="104"/>
          <w:sz w:val="16"/>
        </w:rPr>
        <w:t>c</w:t>
      </w:r>
      <w:r>
        <w:rPr>
          <w:color w:val="231F20"/>
          <w:w w:val="102"/>
          <w:sz w:val="16"/>
        </w:rPr>
        <w:t>t</w:t>
      </w:r>
      <w:r>
        <w:rPr>
          <w:color w:val="231F20"/>
          <w:w w:val="103"/>
          <w:sz w:val="16"/>
        </w:rPr>
        <w:t>i</w:t>
      </w:r>
      <w:r>
        <w:rPr>
          <w:color w:val="231F20"/>
          <w:w w:val="104"/>
          <w:sz w:val="16"/>
        </w:rPr>
        <w:t>c</w:t>
      </w:r>
      <w:r>
        <w:rPr>
          <w:color w:val="231F20"/>
          <w:w w:val="94"/>
          <w:sz w:val="16"/>
        </w:rPr>
        <w:t>e</w:t>
      </w:r>
      <w:r>
        <w:rPr>
          <w:color w:val="231F20"/>
          <w:w w:val="140"/>
          <w:sz w:val="16"/>
        </w:rPr>
        <w:t>,</w:t>
      </w:r>
      <w:r>
        <w:rPr>
          <w:color w:val="231F20"/>
          <w:sz w:val="16"/>
        </w:rPr>
        <w:t xml:space="preserve"> </w:t>
      </w:r>
      <w:r>
        <w:rPr>
          <w:color w:val="231F20"/>
          <w:w w:val="106"/>
          <w:sz w:val="16"/>
        </w:rPr>
        <w:t>a</w:t>
      </w:r>
      <w:r>
        <w:rPr>
          <w:color w:val="231F20"/>
          <w:w w:val="102"/>
          <w:sz w:val="16"/>
        </w:rPr>
        <w:t>v</w:t>
      </w:r>
      <w:r>
        <w:rPr>
          <w:color w:val="231F20"/>
          <w:w w:val="106"/>
          <w:sz w:val="16"/>
        </w:rPr>
        <w:t>a</w:t>
      </w:r>
      <w:r>
        <w:rPr>
          <w:color w:val="231F20"/>
          <w:w w:val="103"/>
          <w:sz w:val="16"/>
        </w:rPr>
        <w:t>i</w:t>
      </w:r>
      <w:r>
        <w:rPr>
          <w:color w:val="231F20"/>
          <w:w w:val="106"/>
          <w:sz w:val="16"/>
        </w:rPr>
        <w:t>la</w:t>
      </w:r>
      <w:r>
        <w:rPr>
          <w:color w:val="231F20"/>
          <w:w w:val="105"/>
          <w:sz w:val="16"/>
        </w:rPr>
        <w:t>b</w:t>
      </w:r>
      <w:r>
        <w:rPr>
          <w:color w:val="231F20"/>
          <w:w w:val="106"/>
          <w:sz w:val="16"/>
        </w:rPr>
        <w:t>l</w:t>
      </w:r>
      <w:r>
        <w:rPr>
          <w:color w:val="231F20"/>
          <w:w w:val="94"/>
          <w:sz w:val="16"/>
        </w:rPr>
        <w:t>e</w:t>
      </w:r>
      <w:r>
        <w:rPr>
          <w:color w:val="231F20"/>
          <w:sz w:val="16"/>
        </w:rPr>
        <w:t xml:space="preserve"> </w:t>
      </w:r>
      <w:r>
        <w:rPr>
          <w:color w:val="231F20"/>
          <w:w w:val="114"/>
          <w:sz w:val="16"/>
        </w:rPr>
        <w:t>f</w:t>
      </w:r>
      <w:r>
        <w:rPr>
          <w:color w:val="231F20"/>
          <w:w w:val="97"/>
          <w:sz w:val="16"/>
        </w:rPr>
        <w:t>r</w:t>
      </w:r>
      <w:r>
        <w:rPr>
          <w:color w:val="231F20"/>
          <w:w w:val="108"/>
          <w:sz w:val="16"/>
        </w:rPr>
        <w:t>o</w:t>
      </w:r>
      <w:r>
        <w:rPr>
          <w:color w:val="231F20"/>
          <w:w w:val="103"/>
          <w:sz w:val="16"/>
        </w:rPr>
        <w:t>m</w:t>
      </w:r>
      <w:r>
        <w:rPr>
          <w:color w:val="231F20"/>
          <w:sz w:val="16"/>
        </w:rPr>
        <w:t xml:space="preserve"> </w:t>
      </w:r>
      <w:hyperlink r:id="rId191">
        <w:r>
          <w:rPr>
            <w:color w:val="231F20"/>
            <w:w w:val="103"/>
            <w:sz w:val="16"/>
          </w:rPr>
          <w:t>ht</w:t>
        </w:r>
        <w:r>
          <w:rPr>
            <w:color w:val="231F20"/>
            <w:w w:val="102"/>
            <w:sz w:val="16"/>
          </w:rPr>
          <w:t>t</w:t>
        </w:r>
        <w:r>
          <w:rPr>
            <w:color w:val="231F20"/>
            <w:w w:val="103"/>
            <w:sz w:val="16"/>
          </w:rPr>
          <w:t>p</w:t>
        </w:r>
        <w:r>
          <w:rPr>
            <w:color w:val="231F20"/>
            <w:w w:val="109"/>
            <w:sz w:val="16"/>
          </w:rPr>
          <w:t>:</w:t>
        </w:r>
        <w:r>
          <w:rPr>
            <w:color w:val="231F20"/>
            <w:w w:val="58"/>
            <w:sz w:val="16"/>
          </w:rPr>
          <w:t>//</w:t>
        </w:r>
        <w:r>
          <w:rPr>
            <w:color w:val="231F20"/>
            <w:w w:val="104"/>
            <w:sz w:val="16"/>
          </w:rPr>
          <w:t>www</w:t>
        </w:r>
        <w:r>
          <w:rPr>
            <w:color w:val="231F20"/>
            <w:w w:val="140"/>
            <w:sz w:val="16"/>
          </w:rPr>
          <w:t>.</w:t>
        </w:r>
      </w:hyperlink>
      <w:r>
        <w:rPr>
          <w:color w:val="231F20"/>
          <w:w w:val="140"/>
          <w:sz w:val="16"/>
        </w:rPr>
        <w:t xml:space="preserve"> </w:t>
      </w:r>
      <w:r>
        <w:rPr>
          <w:color w:val="231F20"/>
          <w:w w:val="103"/>
          <w:sz w:val="16"/>
        </w:rPr>
        <w:t>m</w:t>
      </w:r>
      <w:r>
        <w:rPr>
          <w:color w:val="231F20"/>
          <w:w w:val="102"/>
          <w:sz w:val="16"/>
        </w:rPr>
        <w:t>ar</w:t>
      </w:r>
      <w:r>
        <w:rPr>
          <w:color w:val="231F20"/>
          <w:w w:val="119"/>
          <w:sz w:val="16"/>
        </w:rPr>
        <w:t>x</w:t>
      </w:r>
      <w:r>
        <w:rPr>
          <w:color w:val="231F20"/>
          <w:w w:val="103"/>
          <w:sz w:val="16"/>
        </w:rPr>
        <w:t>i</w:t>
      </w:r>
      <w:r>
        <w:rPr>
          <w:color w:val="231F20"/>
          <w:w w:val="93"/>
          <w:sz w:val="16"/>
        </w:rPr>
        <w:t>s</w:t>
      </w:r>
      <w:r>
        <w:rPr>
          <w:color w:val="231F20"/>
          <w:w w:val="102"/>
          <w:sz w:val="16"/>
        </w:rPr>
        <w:t>t</w:t>
      </w:r>
      <w:r>
        <w:rPr>
          <w:color w:val="231F20"/>
          <w:w w:val="93"/>
          <w:sz w:val="16"/>
        </w:rPr>
        <w:t>s</w:t>
      </w:r>
      <w:r>
        <w:rPr>
          <w:color w:val="231F20"/>
          <w:w w:val="140"/>
          <w:sz w:val="16"/>
        </w:rPr>
        <w:t>.</w:t>
      </w:r>
      <w:r>
        <w:rPr>
          <w:color w:val="231F20"/>
          <w:w w:val="108"/>
          <w:sz w:val="16"/>
        </w:rPr>
        <w:t>o</w:t>
      </w:r>
      <w:r>
        <w:rPr>
          <w:color w:val="231F20"/>
          <w:w w:val="97"/>
          <w:sz w:val="16"/>
        </w:rPr>
        <w:t>r</w:t>
      </w:r>
      <w:r>
        <w:rPr>
          <w:color w:val="231F20"/>
          <w:w w:val="104"/>
          <w:sz w:val="16"/>
        </w:rPr>
        <w:t>g</w:t>
      </w:r>
      <w:r>
        <w:rPr>
          <w:color w:val="231F20"/>
          <w:w w:val="58"/>
          <w:sz w:val="16"/>
        </w:rPr>
        <w:t>/</w:t>
      </w:r>
      <w:r>
        <w:rPr>
          <w:color w:val="231F20"/>
          <w:w w:val="102"/>
          <w:sz w:val="16"/>
        </w:rPr>
        <w:t>ar</w:t>
      </w:r>
      <w:r>
        <w:rPr>
          <w:color w:val="231F20"/>
          <w:w w:val="104"/>
          <w:sz w:val="16"/>
        </w:rPr>
        <w:t>chi</w:t>
      </w:r>
      <w:r>
        <w:rPr>
          <w:color w:val="231F20"/>
          <w:w w:val="102"/>
          <w:sz w:val="16"/>
        </w:rPr>
        <w:t>v</w:t>
      </w:r>
      <w:r>
        <w:rPr>
          <w:color w:val="231F20"/>
          <w:w w:val="94"/>
          <w:sz w:val="16"/>
        </w:rPr>
        <w:t>e</w:t>
      </w:r>
      <w:r>
        <w:rPr>
          <w:color w:val="231F20"/>
          <w:w w:val="58"/>
          <w:sz w:val="16"/>
        </w:rPr>
        <w:t>/</w:t>
      </w:r>
      <w:r>
        <w:rPr>
          <w:color w:val="231F20"/>
          <w:w w:val="106"/>
          <w:sz w:val="16"/>
        </w:rPr>
        <w:t>l</w:t>
      </w:r>
      <w:r>
        <w:rPr>
          <w:color w:val="231F20"/>
          <w:w w:val="104"/>
          <w:sz w:val="16"/>
        </w:rPr>
        <w:t>u</w:t>
      </w:r>
      <w:r>
        <w:rPr>
          <w:color w:val="231F20"/>
          <w:w w:val="119"/>
          <w:sz w:val="16"/>
        </w:rPr>
        <w:t>x</w:t>
      </w:r>
      <w:r>
        <w:rPr>
          <w:color w:val="231F20"/>
          <w:w w:val="94"/>
          <w:sz w:val="16"/>
        </w:rPr>
        <w:t>e</w:t>
      </w:r>
      <w:r>
        <w:rPr>
          <w:color w:val="231F20"/>
          <w:w w:val="103"/>
          <w:sz w:val="16"/>
        </w:rPr>
        <w:t>m</w:t>
      </w:r>
      <w:r>
        <w:rPr>
          <w:color w:val="231F20"/>
          <w:w w:val="105"/>
          <w:sz w:val="16"/>
        </w:rPr>
        <w:t>b</w:t>
      </w:r>
      <w:r>
        <w:rPr>
          <w:color w:val="231F20"/>
          <w:w w:val="104"/>
          <w:sz w:val="16"/>
        </w:rPr>
        <w:t>u</w:t>
      </w:r>
      <w:r>
        <w:rPr>
          <w:color w:val="231F20"/>
          <w:w w:val="97"/>
          <w:sz w:val="16"/>
        </w:rPr>
        <w:t>r</w:t>
      </w:r>
      <w:r>
        <w:rPr>
          <w:color w:val="231F20"/>
          <w:w w:val="104"/>
          <w:sz w:val="16"/>
        </w:rPr>
        <w:t>g</w:t>
      </w:r>
      <w:r>
        <w:rPr>
          <w:color w:val="231F20"/>
          <w:w w:val="58"/>
          <w:sz w:val="16"/>
        </w:rPr>
        <w:t>/</w:t>
      </w:r>
      <w:r>
        <w:rPr>
          <w:color w:val="231F20"/>
          <w:w w:val="104"/>
          <w:sz w:val="16"/>
        </w:rPr>
        <w:t>1900</w:t>
      </w:r>
      <w:r>
        <w:rPr>
          <w:color w:val="231F20"/>
          <w:w w:val="58"/>
          <w:sz w:val="16"/>
        </w:rPr>
        <w:t>/</w:t>
      </w:r>
      <w:r>
        <w:rPr>
          <w:color w:val="231F20"/>
          <w:w w:val="97"/>
          <w:sz w:val="16"/>
        </w:rPr>
        <w:t>r</w:t>
      </w:r>
      <w:r>
        <w:rPr>
          <w:color w:val="231F20"/>
          <w:w w:val="94"/>
          <w:sz w:val="16"/>
        </w:rPr>
        <w:t>e</w:t>
      </w:r>
      <w:r>
        <w:rPr>
          <w:color w:val="231F20"/>
          <w:w w:val="114"/>
          <w:sz w:val="16"/>
        </w:rPr>
        <w:t>f</w:t>
      </w:r>
      <w:r>
        <w:rPr>
          <w:color w:val="231F20"/>
          <w:w w:val="108"/>
          <w:sz w:val="16"/>
        </w:rPr>
        <w:t>o</w:t>
      </w:r>
      <w:r>
        <w:rPr>
          <w:color w:val="231F20"/>
          <w:w w:val="97"/>
          <w:sz w:val="16"/>
        </w:rPr>
        <w:t>r</w:t>
      </w:r>
      <w:r>
        <w:rPr>
          <w:color w:val="231F20"/>
          <w:w w:val="103"/>
          <w:sz w:val="16"/>
        </w:rPr>
        <w:t>m</w:t>
      </w:r>
      <w:r>
        <w:rPr>
          <w:color w:val="231F20"/>
          <w:w w:val="104"/>
          <w:sz w:val="16"/>
        </w:rPr>
        <w:t>-</w:t>
      </w:r>
      <w:r>
        <w:rPr>
          <w:color w:val="231F20"/>
          <w:w w:val="97"/>
          <w:sz w:val="16"/>
        </w:rPr>
        <w:t>r</w:t>
      </w:r>
      <w:r>
        <w:rPr>
          <w:color w:val="231F20"/>
          <w:w w:val="94"/>
          <w:sz w:val="16"/>
        </w:rPr>
        <w:t>e</w:t>
      </w:r>
      <w:r>
        <w:rPr>
          <w:color w:val="231F20"/>
          <w:w w:val="105"/>
          <w:sz w:val="16"/>
        </w:rPr>
        <w:t>volu</w:t>
      </w:r>
      <w:r>
        <w:rPr>
          <w:color w:val="231F20"/>
          <w:w w:val="102"/>
          <w:sz w:val="16"/>
        </w:rPr>
        <w:t>t</w:t>
      </w:r>
      <w:r>
        <w:rPr>
          <w:color w:val="231F20"/>
          <w:w w:val="103"/>
          <w:sz w:val="16"/>
        </w:rPr>
        <w:t>i</w:t>
      </w:r>
      <w:r>
        <w:rPr>
          <w:color w:val="231F20"/>
          <w:w w:val="108"/>
          <w:sz w:val="16"/>
        </w:rPr>
        <w:t>o</w:t>
      </w:r>
      <w:r>
        <w:rPr>
          <w:color w:val="231F20"/>
          <w:w w:val="103"/>
          <w:sz w:val="16"/>
        </w:rPr>
        <w:t>n</w:t>
      </w:r>
      <w:r>
        <w:rPr>
          <w:color w:val="231F20"/>
          <w:w w:val="58"/>
          <w:sz w:val="16"/>
        </w:rPr>
        <w:t>/</w:t>
      </w:r>
      <w:r>
        <w:rPr>
          <w:color w:val="231F20"/>
          <w:w w:val="104"/>
          <w:sz w:val="16"/>
        </w:rPr>
        <w:t>ch10</w:t>
      </w:r>
      <w:r>
        <w:rPr>
          <w:color w:val="231F20"/>
          <w:w w:val="140"/>
          <w:sz w:val="16"/>
        </w:rPr>
        <w:t>.</w:t>
      </w:r>
      <w:r>
        <w:rPr>
          <w:color w:val="231F20"/>
          <w:w w:val="103"/>
          <w:sz w:val="16"/>
        </w:rPr>
        <w:t>htm</w:t>
      </w:r>
      <w:r>
        <w:rPr>
          <w:color w:val="231F20"/>
          <w:w w:val="140"/>
          <w:sz w:val="16"/>
        </w:rPr>
        <w:t>.</w:t>
      </w:r>
    </w:p>
    <w:p w14:paraId="68F0BDDD" w14:textId="77777777" w:rsidR="002653E8" w:rsidRDefault="002653E8">
      <w:pPr>
        <w:spacing w:line="254" w:lineRule="auto"/>
        <w:rPr>
          <w:sz w:val="16"/>
        </w:rPr>
        <w:sectPr w:rsidR="002653E8">
          <w:pgSz w:w="8640" w:h="12960"/>
          <w:pgMar w:top="1080" w:right="0" w:bottom="1040" w:left="0" w:header="0" w:footer="850" w:gutter="0"/>
          <w:cols w:space="720"/>
        </w:sectPr>
      </w:pPr>
    </w:p>
    <w:p w14:paraId="76B0B7E6" w14:textId="77777777" w:rsidR="002653E8" w:rsidRDefault="003115E3">
      <w:pPr>
        <w:spacing w:before="66"/>
        <w:ind w:left="1147"/>
        <w:rPr>
          <w:i/>
          <w:sz w:val="20"/>
        </w:rPr>
      </w:pPr>
      <w:r>
        <w:rPr>
          <w:i/>
          <w:color w:val="231F20"/>
          <w:w w:val="105"/>
          <w:sz w:val="20"/>
        </w:rPr>
        <w:lastRenderedPageBreak/>
        <w:t>The Revolutionary Subject</w:t>
      </w:r>
    </w:p>
    <w:p w14:paraId="748BF2FB" w14:textId="77777777" w:rsidR="002653E8" w:rsidRDefault="003115E3">
      <w:pPr>
        <w:pStyle w:val="a3"/>
        <w:spacing w:before="23" w:line="264" w:lineRule="auto"/>
        <w:ind w:left="1147" w:right="1326"/>
        <w:jc w:val="both"/>
      </w:pPr>
      <w:r>
        <w:rPr>
          <w:color w:val="231F20"/>
        </w:rPr>
        <w:t xml:space="preserve">The problem with opportunism is that by making use of it Negt reveals things about himself, but nothing about  the  world.  Having  analyzed the system, the revolutionary subject bases his identity on the knowledge that the people of the Third </w:t>
      </w:r>
      <w:r>
        <w:rPr>
          <w:color w:val="231F20"/>
          <w:spacing w:val="-4"/>
        </w:rPr>
        <w:t xml:space="preserve">World </w:t>
      </w:r>
      <w:r>
        <w:rPr>
          <w:color w:val="231F20"/>
        </w:rPr>
        <w:t>are the vanguard, and on an acceptance that Lenin’s concept of the  “labor  aristocracy”  regarding the masses in the metropole cannot be discounted or dismissed. On the contrary: everything starts from that</w:t>
      </w:r>
      <w:r>
        <w:rPr>
          <w:color w:val="231F20"/>
          <w:spacing w:val="12"/>
        </w:rPr>
        <w:t xml:space="preserve"> </w:t>
      </w:r>
      <w:r>
        <w:rPr>
          <w:color w:val="231F20"/>
        </w:rPr>
        <w:t>point.</w:t>
      </w:r>
    </w:p>
    <w:p w14:paraId="37F56DE9" w14:textId="77777777" w:rsidR="002653E8" w:rsidRDefault="003115E3">
      <w:pPr>
        <w:pStyle w:val="a3"/>
        <w:spacing w:line="264" w:lineRule="auto"/>
        <w:ind w:left="1147" w:right="1326" w:firstLine="210"/>
        <w:jc w:val="both"/>
      </w:pPr>
      <w:r>
        <w:rPr>
          <w:color w:val="231F20"/>
        </w:rPr>
        <w:t>The exploitation of the masses in the metropole has nothing to do with Marx’s concept of wage labourers from whom surplus value is extracted.</w:t>
      </w:r>
    </w:p>
    <w:p w14:paraId="5D865EAE" w14:textId="77777777" w:rsidR="002653E8" w:rsidRDefault="003115E3">
      <w:pPr>
        <w:pStyle w:val="a3"/>
        <w:spacing w:line="264" w:lineRule="auto"/>
        <w:ind w:left="1147" w:right="1326" w:firstLine="210"/>
        <w:jc w:val="both"/>
      </w:pPr>
      <w:r>
        <w:rPr>
          <w:color w:val="231F20"/>
        </w:rPr>
        <w:t>It is a fact that with the increasing division of labor, there has been     a tremendous intensification and spread of exploitation in the area of production, and work has become a greater burden,  both  physically and</w:t>
      </w:r>
      <w:r>
        <w:rPr>
          <w:color w:val="231F20"/>
          <w:spacing w:val="10"/>
        </w:rPr>
        <w:t xml:space="preserve"> </w:t>
      </w:r>
      <w:r>
        <w:rPr>
          <w:color w:val="231F20"/>
        </w:rPr>
        <w:t>psychologically.</w:t>
      </w:r>
    </w:p>
    <w:p w14:paraId="06EB2DA7" w14:textId="77777777" w:rsidR="002653E8" w:rsidRDefault="003115E3">
      <w:pPr>
        <w:pStyle w:val="a3"/>
        <w:spacing w:line="264" w:lineRule="auto"/>
        <w:ind w:left="1147" w:right="1326" w:firstLine="210"/>
        <w:jc w:val="both"/>
      </w:pPr>
      <w:r>
        <w:rPr>
          <w:color w:val="231F20"/>
        </w:rPr>
        <w:t xml:space="preserve">It is also a fact that with the introduction of the 8-hour workday—the precondition for increasing the intensity of work—the system usurped all of the free time people had. </w:t>
      </w:r>
      <w:r>
        <w:rPr>
          <w:color w:val="231F20"/>
          <w:spacing w:val="-8"/>
        </w:rPr>
        <w:t xml:space="preserve">To </w:t>
      </w:r>
      <w:r>
        <w:rPr>
          <w:color w:val="231F20"/>
        </w:rPr>
        <w:t>physical exploitation in the factory was added the exploitation of their feelings and thoughts, wishes, and utopian dreams—to capitalist despotism in the factory was added capitalist despotism in all areas of life, through mass consumption and the mass</w:t>
      </w:r>
      <w:r>
        <w:rPr>
          <w:color w:val="231F20"/>
          <w:spacing w:val="10"/>
        </w:rPr>
        <w:t xml:space="preserve"> </w:t>
      </w:r>
      <w:r>
        <w:rPr>
          <w:color w:val="231F20"/>
        </w:rPr>
        <w:t>media.</w:t>
      </w:r>
    </w:p>
    <w:p w14:paraId="07431D7D" w14:textId="77777777" w:rsidR="002653E8" w:rsidRDefault="003115E3">
      <w:pPr>
        <w:pStyle w:val="a3"/>
        <w:spacing w:line="264" w:lineRule="auto"/>
        <w:ind w:left="1147" w:right="1325" w:firstLine="210"/>
        <w:jc w:val="both"/>
      </w:pPr>
      <w:r>
        <w:rPr>
          <w:color w:val="231F20"/>
        </w:rPr>
        <w:t xml:space="preserve">With the introduction of the 8-hour </w:t>
      </w:r>
      <w:r>
        <w:rPr>
          <w:color w:val="231F20"/>
          <w:spacing w:val="-3"/>
        </w:rPr>
        <w:t xml:space="preserve">workday, </w:t>
      </w:r>
      <w:r>
        <w:rPr>
          <w:color w:val="231F20"/>
        </w:rPr>
        <w:t>the system’s 24-houra-day domination of the working class began its triumphal march— with the establishment of mass purchasing power and “peak income” the system began its triumphal march over the plans, desires, alternatives, fantasies, and spontaneity of the people; in short, over the people themselves!</w:t>
      </w:r>
    </w:p>
    <w:p w14:paraId="34CEF244" w14:textId="77777777" w:rsidR="002653E8" w:rsidRDefault="003115E3">
      <w:pPr>
        <w:pStyle w:val="a3"/>
        <w:spacing w:line="264" w:lineRule="auto"/>
        <w:ind w:left="1147" w:right="1326" w:firstLine="210"/>
        <w:jc w:val="both"/>
      </w:pPr>
      <w:r>
        <w:rPr>
          <w:color w:val="231F20"/>
        </w:rPr>
        <w:t xml:space="preserve">The system in the metropole has managed to drag the masses so far down into their own </w:t>
      </w:r>
      <w:r>
        <w:rPr>
          <w:color w:val="231F20"/>
          <w:spacing w:val="1"/>
        </w:rPr>
        <w:t xml:space="preserve">dirt </w:t>
      </w:r>
      <w:r>
        <w:rPr>
          <w:color w:val="231F20"/>
        </w:rPr>
        <w:t xml:space="preserve">that they seem to have largely lost any sense  of the oppressive and exploitative nature of their situation, of their situation as objects of the imperialist system. So that for a car, a pair of jeans, life insurance, and a loan, they will easily accept any outrage on the part of the system. </w:t>
      </w:r>
      <w:r>
        <w:rPr>
          <w:color w:val="231F20"/>
          <w:spacing w:val="1"/>
        </w:rPr>
        <w:t xml:space="preserve">In </w:t>
      </w:r>
      <w:r>
        <w:rPr>
          <w:color w:val="231F20"/>
        </w:rPr>
        <w:t>fact, they can no longer imagine or wish for anything</w:t>
      </w:r>
      <w:r>
        <w:rPr>
          <w:color w:val="231F20"/>
          <w:spacing w:val="12"/>
        </w:rPr>
        <w:t xml:space="preserve"> </w:t>
      </w:r>
      <w:r>
        <w:rPr>
          <w:color w:val="231F20"/>
        </w:rPr>
        <w:t>beyond</w:t>
      </w:r>
      <w:r>
        <w:rPr>
          <w:color w:val="231F20"/>
          <w:spacing w:val="12"/>
        </w:rPr>
        <w:t xml:space="preserve"> </w:t>
      </w:r>
      <w:r>
        <w:rPr>
          <w:color w:val="231F20"/>
        </w:rPr>
        <w:t>a</w:t>
      </w:r>
      <w:r>
        <w:rPr>
          <w:color w:val="231F20"/>
          <w:spacing w:val="12"/>
        </w:rPr>
        <w:t xml:space="preserve"> </w:t>
      </w:r>
      <w:r>
        <w:rPr>
          <w:color w:val="231F20"/>
        </w:rPr>
        <w:t>car,</w:t>
      </w:r>
      <w:r>
        <w:rPr>
          <w:color w:val="231F20"/>
          <w:spacing w:val="12"/>
        </w:rPr>
        <w:t xml:space="preserve"> </w:t>
      </w:r>
      <w:r>
        <w:rPr>
          <w:color w:val="231F20"/>
        </w:rPr>
        <w:t>a</w:t>
      </w:r>
      <w:r>
        <w:rPr>
          <w:color w:val="231F20"/>
          <w:spacing w:val="12"/>
        </w:rPr>
        <w:t xml:space="preserve"> </w:t>
      </w:r>
      <w:r>
        <w:rPr>
          <w:color w:val="231F20"/>
        </w:rPr>
        <w:t>vacation,</w:t>
      </w:r>
      <w:r>
        <w:rPr>
          <w:color w:val="231F20"/>
          <w:spacing w:val="12"/>
        </w:rPr>
        <w:t xml:space="preserve"> </w:t>
      </w:r>
      <w:r>
        <w:rPr>
          <w:color w:val="231F20"/>
        </w:rPr>
        <w:t>and</w:t>
      </w:r>
      <w:r>
        <w:rPr>
          <w:color w:val="231F20"/>
          <w:spacing w:val="12"/>
        </w:rPr>
        <w:t xml:space="preserve"> </w:t>
      </w:r>
      <w:r>
        <w:rPr>
          <w:color w:val="231F20"/>
        </w:rPr>
        <w:t>a</w:t>
      </w:r>
      <w:r>
        <w:rPr>
          <w:color w:val="231F20"/>
          <w:spacing w:val="12"/>
        </w:rPr>
        <w:t xml:space="preserve"> </w:t>
      </w:r>
      <w:r>
        <w:rPr>
          <w:color w:val="231F20"/>
        </w:rPr>
        <w:t>tiled</w:t>
      </w:r>
      <w:r>
        <w:rPr>
          <w:color w:val="231F20"/>
          <w:spacing w:val="12"/>
        </w:rPr>
        <w:t xml:space="preserve"> </w:t>
      </w:r>
      <w:r>
        <w:rPr>
          <w:color w:val="231F20"/>
        </w:rPr>
        <w:t>bathroom.</w:t>
      </w:r>
    </w:p>
    <w:p w14:paraId="0230FAD7" w14:textId="77777777" w:rsidR="002653E8" w:rsidRDefault="003115E3">
      <w:pPr>
        <w:pStyle w:val="a3"/>
        <w:spacing w:line="264" w:lineRule="auto"/>
        <w:ind w:left="1147" w:right="1326" w:firstLine="210"/>
        <w:jc w:val="both"/>
      </w:pPr>
      <w:r>
        <w:rPr>
          <w:color w:val="231F20"/>
        </w:rPr>
        <w:t>It follows, however, that the revolutionary subject is anyone that breaks free from these compulsions and refuses to take part in this system’s crimes. All those who find their identity in the liberation struggles of the people of the Third World, all those who refuse, all those who no longer participate; these are all revolutionary subjects—comrades.</w:t>
      </w:r>
    </w:p>
    <w:p w14:paraId="2C13BF4E" w14:textId="77777777" w:rsidR="002653E8" w:rsidRDefault="002653E8">
      <w:pPr>
        <w:spacing w:line="264" w:lineRule="auto"/>
        <w:jc w:val="both"/>
        <w:sectPr w:rsidR="002653E8">
          <w:footerReference w:type="even" r:id="rId192"/>
          <w:footerReference w:type="default" r:id="rId193"/>
          <w:pgSz w:w="8640" w:h="12960"/>
          <w:pgMar w:top="1080" w:right="0" w:bottom="1040" w:left="0" w:header="0" w:footer="850" w:gutter="0"/>
          <w:pgNumType w:start="222"/>
          <w:cols w:space="720"/>
        </w:sectPr>
      </w:pPr>
    </w:p>
    <w:p w14:paraId="0C9EEBD5" w14:textId="77777777" w:rsidR="002653E8" w:rsidRDefault="003115E3">
      <w:pPr>
        <w:pStyle w:val="a3"/>
        <w:spacing w:before="86" w:line="264" w:lineRule="auto"/>
        <w:ind w:left="1327" w:right="1146" w:firstLine="209"/>
        <w:jc w:val="both"/>
      </w:pPr>
      <w:r>
        <w:rPr>
          <w:color w:val="231F20"/>
        </w:rPr>
        <w:lastRenderedPageBreak/>
        <w:t>This is the reason we have analyzed the 24-hour-a-day imperialist system, why we have addressed all of the living and working conditions in this society, the role that the production of surplus value plays in  each of them and the connection to factory exploitation, which in any case is really the point. With the supposition: the revolutionary subject in the imperialist metropole is the person who recognizes that a life under the mandatory 24-hour-day is a life under the system’s control— here we have only sketched the outline of the parameters necessary for a class analysis—we are not claiming that this supposition constitutes such an</w:t>
      </w:r>
      <w:r>
        <w:rPr>
          <w:color w:val="231F20"/>
          <w:spacing w:val="21"/>
        </w:rPr>
        <w:t xml:space="preserve"> </w:t>
      </w:r>
      <w:r>
        <w:rPr>
          <w:color w:val="231F20"/>
        </w:rPr>
        <w:t>analysis.</w:t>
      </w:r>
    </w:p>
    <w:p w14:paraId="47CA025A" w14:textId="77777777" w:rsidR="002653E8" w:rsidRDefault="003115E3">
      <w:pPr>
        <w:pStyle w:val="a3"/>
        <w:spacing w:line="264" w:lineRule="auto"/>
        <w:ind w:left="1328" w:right="1145" w:firstLine="210"/>
        <w:jc w:val="both"/>
      </w:pPr>
      <w:r>
        <w:rPr>
          <w:color w:val="231F20"/>
        </w:rPr>
        <w:t xml:space="preserve">The fact is that neither Marx nor Lenin nor  Rosa  Luxemburg  nor Mao had to deal with </w:t>
      </w:r>
      <w:r>
        <w:rPr>
          <w:i/>
          <w:color w:val="231F20"/>
        </w:rPr>
        <w:t xml:space="preserve">Bild </w:t>
      </w:r>
      <w:r>
        <w:rPr>
          <w:color w:val="231F20"/>
        </w:rPr>
        <w:t>readers, television viewers, car drivers, the psychological conditioning of young students, high school reforms, advertising, the radio, mail order sales, loan contracts, “quality of life,”   etc.</w:t>
      </w:r>
      <w:r>
        <w:rPr>
          <w:color w:val="231F20"/>
          <w:spacing w:val="-10"/>
        </w:rPr>
        <w:t xml:space="preserve"> </w:t>
      </w:r>
      <w:r>
        <w:rPr>
          <w:color w:val="231F20"/>
        </w:rPr>
        <w:t>The</w:t>
      </w:r>
      <w:r>
        <w:rPr>
          <w:color w:val="231F20"/>
          <w:spacing w:val="-10"/>
        </w:rPr>
        <w:t xml:space="preserve"> </w:t>
      </w:r>
      <w:r>
        <w:rPr>
          <w:color w:val="231F20"/>
        </w:rPr>
        <w:t>fact</w:t>
      </w:r>
      <w:r>
        <w:rPr>
          <w:color w:val="231F20"/>
          <w:spacing w:val="-10"/>
        </w:rPr>
        <w:t xml:space="preserve"> </w:t>
      </w:r>
      <w:r>
        <w:rPr>
          <w:color w:val="231F20"/>
        </w:rPr>
        <w:t>is</w:t>
      </w:r>
      <w:r>
        <w:rPr>
          <w:color w:val="231F20"/>
          <w:spacing w:val="-10"/>
        </w:rPr>
        <w:t xml:space="preserve"> </w:t>
      </w:r>
      <w:r>
        <w:rPr>
          <w:color w:val="231F20"/>
        </w:rPr>
        <w:t>that</w:t>
      </w:r>
      <w:r>
        <w:rPr>
          <w:color w:val="231F20"/>
          <w:spacing w:val="-10"/>
        </w:rPr>
        <w:t xml:space="preserve"> </w:t>
      </w:r>
      <w:r>
        <w:rPr>
          <w:color w:val="231F20"/>
        </w:rPr>
        <w:t>the</w:t>
      </w:r>
      <w:r>
        <w:rPr>
          <w:color w:val="231F20"/>
          <w:spacing w:val="-10"/>
        </w:rPr>
        <w:t xml:space="preserve"> </w:t>
      </w:r>
      <w:r>
        <w:rPr>
          <w:color w:val="231F20"/>
        </w:rPr>
        <w:t>system</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metropole</w:t>
      </w:r>
      <w:r>
        <w:rPr>
          <w:color w:val="231F20"/>
          <w:spacing w:val="-10"/>
        </w:rPr>
        <w:t xml:space="preserve"> </w:t>
      </w:r>
      <w:r>
        <w:rPr>
          <w:color w:val="231F20"/>
        </w:rPr>
        <w:t>reproduces</w:t>
      </w:r>
      <w:r>
        <w:rPr>
          <w:color w:val="231F20"/>
          <w:spacing w:val="-10"/>
        </w:rPr>
        <w:t xml:space="preserve"> </w:t>
      </w:r>
      <w:r>
        <w:rPr>
          <w:color w:val="231F20"/>
        </w:rPr>
        <w:t>itself</w:t>
      </w:r>
      <w:r>
        <w:rPr>
          <w:color w:val="231F20"/>
          <w:spacing w:val="-10"/>
        </w:rPr>
        <w:t xml:space="preserve"> </w:t>
      </w:r>
      <w:r>
        <w:rPr>
          <w:color w:val="231F20"/>
        </w:rPr>
        <w:t xml:space="preserve">through an ongoing offensive against the people’s psyche, not in an openly fascist </w:t>
      </w:r>
      <w:r>
        <w:rPr>
          <w:color w:val="231F20"/>
          <w:spacing w:val="-5"/>
        </w:rPr>
        <w:t xml:space="preserve">way, </w:t>
      </w:r>
      <w:r>
        <w:rPr>
          <w:color w:val="231F20"/>
        </w:rPr>
        <w:t>but rather through the</w:t>
      </w:r>
      <w:r>
        <w:rPr>
          <w:color w:val="231F20"/>
          <w:spacing w:val="32"/>
        </w:rPr>
        <w:t xml:space="preserve"> </w:t>
      </w:r>
      <w:r>
        <w:rPr>
          <w:color w:val="231F20"/>
        </w:rPr>
        <w:t>market.</w:t>
      </w:r>
    </w:p>
    <w:p w14:paraId="2BC90479" w14:textId="77777777" w:rsidR="002653E8" w:rsidRDefault="003115E3">
      <w:pPr>
        <w:pStyle w:val="a3"/>
        <w:spacing w:line="264" w:lineRule="auto"/>
        <w:ind w:left="1328" w:right="1145" w:firstLine="210"/>
        <w:jc w:val="both"/>
      </w:pPr>
      <w:r>
        <w:rPr>
          <w:color w:val="231F20"/>
        </w:rPr>
        <w:t>Therefore, to write off entire sections of the population as an impediment to anti-imperialist struggle, simply because they don’t fit into Marx’s analysis of capitalism, is as insane and sectarian as it is unMarxist.</w:t>
      </w:r>
    </w:p>
    <w:p w14:paraId="59BD5E43" w14:textId="77777777" w:rsidR="002653E8" w:rsidRDefault="003115E3">
      <w:pPr>
        <w:pStyle w:val="a3"/>
        <w:spacing w:line="264" w:lineRule="auto"/>
        <w:ind w:left="1327" w:right="1146" w:firstLine="210"/>
        <w:jc w:val="both"/>
      </w:pPr>
      <w:r>
        <w:rPr>
          <w:color w:val="231F20"/>
        </w:rPr>
        <w:t xml:space="preserve">Only by integrating the 24-hour workday into our understanding of imperialism and anti-imperialism can we get a picture of the actual problems facing the people, so that they will not only understand our actions—and thereby understand the </w:t>
      </w:r>
      <w:r w:rsidR="00C507A5">
        <w:rPr>
          <w:color w:val="231F20"/>
        </w:rPr>
        <w:t>red army faction</w:t>
      </w:r>
      <w:r>
        <w:rPr>
          <w:color w:val="231F20"/>
        </w:rPr>
        <w:t>—but also our propaganda, our speech, our words. Serve the people!</w:t>
      </w:r>
    </w:p>
    <w:p w14:paraId="50D6150B" w14:textId="77777777" w:rsidR="002653E8" w:rsidRDefault="003115E3">
      <w:pPr>
        <w:pStyle w:val="a3"/>
        <w:spacing w:line="264" w:lineRule="auto"/>
        <w:ind w:left="1327" w:right="1146" w:firstLine="210"/>
        <w:jc w:val="both"/>
      </w:pPr>
      <w:r>
        <w:rPr>
          <w:color w:val="231F20"/>
        </w:rPr>
        <w:t>If the people of the Third World are the vanguard of the anti-imperialist revolution, then that means that they objectively represent the greatest hope for people in the metropole to achieve their own freedom. If this is the case, then it is our duty to establish a connection between the liberation struggle of the peoples of the Third World and the longing for freedom in the metropole wherever it emerges. This means in grade schools, in high schools, in factories, in families, in prisons, in office cubicles, in hospitals, in head offices, in political parties, in unions—wherever. Against everything that openly negates, suppresses, and destroys this connection: consumerism, the media, comanagement, opportunism, dogmatism, authority, paternalism, brutality, and alienation.</w:t>
      </w:r>
    </w:p>
    <w:p w14:paraId="3FF225A1" w14:textId="77777777" w:rsidR="002653E8" w:rsidRDefault="003115E3">
      <w:pPr>
        <w:pStyle w:val="a3"/>
        <w:spacing w:line="221" w:lineRule="exact"/>
        <w:ind w:left="1537"/>
      </w:pPr>
      <w:r>
        <w:rPr>
          <w:color w:val="231F20"/>
        </w:rPr>
        <w:t>“This means us!” We are revolutionary subjects.</w:t>
      </w:r>
    </w:p>
    <w:p w14:paraId="479A7B23" w14:textId="77777777" w:rsidR="002653E8" w:rsidRDefault="003115E3">
      <w:pPr>
        <w:pStyle w:val="a3"/>
        <w:ind w:left="1537"/>
      </w:pPr>
      <w:r>
        <w:rPr>
          <w:color w:val="231F20"/>
        </w:rPr>
        <w:t>Whoever begins to struggle and to resist is one of us.</w:t>
      </w:r>
    </w:p>
    <w:p w14:paraId="0C72CBE7" w14:textId="77777777" w:rsidR="002653E8" w:rsidRDefault="002653E8">
      <w:pPr>
        <w:sectPr w:rsidR="002653E8">
          <w:pgSz w:w="8640" w:h="12960"/>
          <w:pgMar w:top="1060" w:right="0" w:bottom="1040" w:left="0" w:header="0" w:footer="850" w:gutter="0"/>
          <w:cols w:space="720"/>
        </w:sectPr>
      </w:pPr>
    </w:p>
    <w:p w14:paraId="2B051CC2" w14:textId="77777777" w:rsidR="002653E8" w:rsidRDefault="003115E3">
      <w:pPr>
        <w:pStyle w:val="a3"/>
        <w:spacing w:before="86" w:line="264" w:lineRule="auto"/>
        <w:ind w:left="1147" w:right="1326" w:firstLine="210"/>
        <w:jc w:val="both"/>
      </w:pPr>
      <w:r>
        <w:rPr>
          <w:color w:val="231F20"/>
        </w:rPr>
        <w:lastRenderedPageBreak/>
        <w:t>The answer to the question of how and at what level to struggle against the system, where best to apply pressure when one is at one’s weakest point—we’ve answered this question—is not to be found in a stream of slogans, but rather in the dialectic of theory and practice.</w:t>
      </w:r>
    </w:p>
    <w:p w14:paraId="7E2D0F05" w14:textId="77777777" w:rsidR="002653E8" w:rsidRDefault="002653E8">
      <w:pPr>
        <w:pStyle w:val="a3"/>
        <w:rPr>
          <w:sz w:val="22"/>
        </w:rPr>
      </w:pPr>
    </w:p>
    <w:p w14:paraId="21A63D23" w14:textId="77777777" w:rsidR="002653E8" w:rsidRDefault="002653E8">
      <w:pPr>
        <w:pStyle w:val="a3"/>
        <w:spacing w:before="7"/>
        <w:rPr>
          <w:sz w:val="19"/>
        </w:rPr>
      </w:pPr>
    </w:p>
    <w:p w14:paraId="0184272F" w14:textId="77777777" w:rsidR="002653E8" w:rsidRDefault="003115E3">
      <w:pPr>
        <w:numPr>
          <w:ilvl w:val="0"/>
          <w:numId w:val="128"/>
        </w:numPr>
        <w:tabs>
          <w:tab w:val="left" w:pos="1470"/>
        </w:tabs>
        <w:spacing w:before="1"/>
        <w:ind w:left="1469" w:hanging="322"/>
        <w:jc w:val="left"/>
      </w:pPr>
      <w:r>
        <w:rPr>
          <w:color w:val="231F20"/>
          <w:spacing w:val="15"/>
          <w:w w:val="115"/>
        </w:rPr>
        <w:t>fascism</w:t>
      </w:r>
    </w:p>
    <w:p w14:paraId="45DFE3C8" w14:textId="77777777" w:rsidR="002653E8" w:rsidRDefault="003115E3">
      <w:pPr>
        <w:spacing w:before="17"/>
        <w:ind w:left="1147"/>
        <w:rPr>
          <w:i/>
          <w:sz w:val="20"/>
        </w:rPr>
      </w:pPr>
      <w:r>
        <w:rPr>
          <w:i/>
          <w:color w:val="231F20"/>
          <w:w w:val="105"/>
          <w:sz w:val="20"/>
        </w:rPr>
        <w:t>The Black September action was antifascist.</w:t>
      </w:r>
    </w:p>
    <w:p w14:paraId="393241DB" w14:textId="77777777" w:rsidR="002653E8" w:rsidRDefault="003115E3">
      <w:pPr>
        <w:pStyle w:val="a3"/>
        <w:spacing w:before="25" w:line="264" w:lineRule="auto"/>
        <w:ind w:left="1147" w:right="1580"/>
      </w:pPr>
      <w:r>
        <w:rPr>
          <w:color w:val="231F20"/>
        </w:rPr>
        <w:t>They established the connection between Nazi fascism and the direction in which imperialism is developing.</w:t>
      </w:r>
    </w:p>
    <w:p w14:paraId="58153776" w14:textId="77777777" w:rsidR="002653E8" w:rsidRDefault="002653E8">
      <w:pPr>
        <w:pStyle w:val="a3"/>
        <w:spacing w:before="9"/>
        <w:rPr>
          <w:sz w:val="21"/>
        </w:rPr>
      </w:pPr>
    </w:p>
    <w:p w14:paraId="40FD9FF4" w14:textId="77777777" w:rsidR="002653E8" w:rsidRDefault="003115E3">
      <w:pPr>
        <w:ind w:left="1147"/>
        <w:rPr>
          <w:i/>
          <w:sz w:val="20"/>
        </w:rPr>
      </w:pPr>
      <w:r>
        <w:rPr>
          <w:i/>
          <w:color w:val="231F20"/>
          <w:w w:val="110"/>
          <w:sz w:val="20"/>
        </w:rPr>
        <w:t>The Olympic Games</w:t>
      </w:r>
    </w:p>
    <w:p w14:paraId="5CEE37AB" w14:textId="77777777" w:rsidR="002653E8" w:rsidRDefault="003115E3">
      <w:pPr>
        <w:pStyle w:val="a3"/>
        <w:spacing w:before="22" w:line="264" w:lineRule="auto"/>
        <w:ind w:left="1147" w:right="1325"/>
        <w:jc w:val="both"/>
      </w:pPr>
      <w:r>
        <w:rPr>
          <w:color w:val="231F20"/>
        </w:rPr>
        <w:t xml:space="preserve">They clearly established this connection by attacking the Olympic Games, from which all reminders of </w:t>
      </w:r>
      <w:r>
        <w:rPr>
          <w:color w:val="231F20"/>
          <w:spacing w:val="-6"/>
        </w:rPr>
        <w:t xml:space="preserve">1936, </w:t>
      </w:r>
      <w:r>
        <w:rPr>
          <w:color w:val="231F20"/>
        </w:rPr>
        <w:t>Auschwitz, and Kristallnacht</w:t>
      </w:r>
      <w:r>
        <w:rPr>
          <w:color w:val="231F20"/>
          <w:position w:val="7"/>
          <w:sz w:val="11"/>
        </w:rPr>
        <w:t xml:space="preserve">1 </w:t>
      </w:r>
      <w:r>
        <w:rPr>
          <w:color w:val="231F20"/>
        </w:rPr>
        <w:t xml:space="preserve">were to be excluded. The games were meant to serve as a spectacle distracting attention from what is currently going on in Vietnam, in Palestine, in Israel’s prisons, in </w:t>
      </w:r>
      <w:r>
        <w:rPr>
          <w:color w:val="231F20"/>
          <w:spacing w:val="-5"/>
        </w:rPr>
        <w:t xml:space="preserve">Turkey, </w:t>
      </w:r>
      <w:r>
        <w:rPr>
          <w:color w:val="231F20"/>
        </w:rPr>
        <w:t xml:space="preserve">in Uruguay, in Brazil, in Greece, and in Persia. Insofar as these grueling contests have only winners and losers, they are the opposite of liberation struggles, of acts of solidar </w:t>
      </w:r>
      <w:r>
        <w:rPr>
          <w:color w:val="231F20"/>
          <w:spacing w:val="-3"/>
        </w:rPr>
        <w:t xml:space="preserve">ity. </w:t>
      </w:r>
      <w:r>
        <w:rPr>
          <w:color w:val="231F20"/>
        </w:rPr>
        <w:t>Instead they are competitions/struggles to reinforce imperialist consciousness in the industrialized nations—games of</w:t>
      </w:r>
      <w:r>
        <w:rPr>
          <w:color w:val="231F20"/>
          <w:spacing w:val="17"/>
        </w:rPr>
        <w:t xml:space="preserve"> </w:t>
      </w:r>
      <w:r>
        <w:rPr>
          <w:color w:val="231F20"/>
        </w:rPr>
        <w:t>aggression.</w:t>
      </w:r>
    </w:p>
    <w:p w14:paraId="39DA87C5" w14:textId="77777777" w:rsidR="002653E8" w:rsidRDefault="002653E8">
      <w:pPr>
        <w:pStyle w:val="a3"/>
        <w:spacing w:before="1"/>
        <w:rPr>
          <w:sz w:val="21"/>
        </w:rPr>
      </w:pPr>
    </w:p>
    <w:p w14:paraId="0F975295" w14:textId="77777777" w:rsidR="002653E8" w:rsidRDefault="003115E3">
      <w:pPr>
        <w:ind w:left="1148"/>
        <w:rPr>
          <w:i/>
          <w:sz w:val="20"/>
        </w:rPr>
      </w:pPr>
      <w:r>
        <w:rPr>
          <w:i/>
          <w:color w:val="231F20"/>
          <w:w w:val="105"/>
          <w:sz w:val="20"/>
        </w:rPr>
        <w:t>Bild</w:t>
      </w:r>
    </w:p>
    <w:p w14:paraId="3B47D294" w14:textId="77777777" w:rsidR="002653E8" w:rsidRDefault="003115E3">
      <w:pPr>
        <w:pStyle w:val="a3"/>
        <w:spacing w:before="23" w:line="264" w:lineRule="auto"/>
        <w:ind w:left="1147" w:right="1326"/>
        <w:jc w:val="both"/>
      </w:pPr>
      <w:r>
        <w:rPr>
          <w:color w:val="231F20"/>
          <w:spacing w:val="1"/>
          <w:w w:val="105"/>
        </w:rPr>
        <w:t xml:space="preserve">“GOLD-GOLD-GOLD,” </w:t>
      </w:r>
      <w:r>
        <w:rPr>
          <w:i/>
          <w:color w:val="231F20"/>
          <w:w w:val="105"/>
        </w:rPr>
        <w:t xml:space="preserve">Bild </w:t>
      </w:r>
      <w:r>
        <w:rPr>
          <w:color w:val="231F20"/>
          <w:w w:val="105"/>
        </w:rPr>
        <w:t xml:space="preserve">panted, badgered, wheezed, and nagged during the first days of the Olympic Games. “I saw you fade </w:t>
      </w:r>
      <w:r>
        <w:rPr>
          <w:color w:val="231F20"/>
          <w:spacing w:val="-3"/>
          <w:w w:val="105"/>
        </w:rPr>
        <w:t xml:space="preserve">away    </w:t>
      </w:r>
      <w:r>
        <w:rPr>
          <w:color w:val="231F20"/>
          <w:spacing w:val="40"/>
          <w:w w:val="105"/>
        </w:rPr>
        <w:t xml:space="preserve"> </w:t>
      </w:r>
      <w:r>
        <w:rPr>
          <w:color w:val="231F20"/>
          <w:w w:val="105"/>
        </w:rPr>
        <w:t xml:space="preserve">at 11:00 pm—how will the games continue,” was </w:t>
      </w:r>
      <w:r>
        <w:rPr>
          <w:i/>
          <w:color w:val="231F20"/>
          <w:w w:val="105"/>
        </w:rPr>
        <w:t>Bild</w:t>
      </w:r>
      <w:r>
        <w:rPr>
          <w:color w:val="231F20"/>
          <w:w w:val="105"/>
        </w:rPr>
        <w:t>’s headline on September</w:t>
      </w:r>
      <w:r>
        <w:rPr>
          <w:color w:val="231F20"/>
          <w:spacing w:val="7"/>
          <w:w w:val="105"/>
        </w:rPr>
        <w:t xml:space="preserve"> </w:t>
      </w:r>
      <w:r>
        <w:rPr>
          <w:color w:val="231F20"/>
          <w:spacing w:val="-9"/>
          <w:w w:val="105"/>
        </w:rPr>
        <w:t>7.</w:t>
      </w:r>
    </w:p>
    <w:p w14:paraId="4D66574C" w14:textId="77777777" w:rsidR="002653E8" w:rsidRDefault="003115E3">
      <w:pPr>
        <w:pStyle w:val="a3"/>
        <w:spacing w:line="230" w:lineRule="exact"/>
        <w:ind w:left="1357"/>
      </w:pPr>
      <w:r>
        <w:rPr>
          <w:color w:val="231F20"/>
        </w:rPr>
        <w:t>Do you want total victory—yesssss!</w:t>
      </w:r>
    </w:p>
    <w:p w14:paraId="6A2FEF26" w14:textId="77777777" w:rsidR="002653E8" w:rsidRDefault="002653E8">
      <w:pPr>
        <w:pStyle w:val="a3"/>
        <w:spacing w:before="9"/>
        <w:rPr>
          <w:sz w:val="23"/>
        </w:rPr>
      </w:pPr>
    </w:p>
    <w:p w14:paraId="4BF67E43" w14:textId="77777777" w:rsidR="002653E8" w:rsidRDefault="003115E3">
      <w:pPr>
        <w:ind w:left="1147"/>
        <w:rPr>
          <w:i/>
          <w:sz w:val="20"/>
        </w:rPr>
      </w:pPr>
      <w:r>
        <w:rPr>
          <w:i/>
          <w:color w:val="231F20"/>
          <w:w w:val="105"/>
          <w:sz w:val="20"/>
        </w:rPr>
        <w:t>The Athletes</w:t>
      </w:r>
    </w:p>
    <w:p w14:paraId="4A56BB0A" w14:textId="77777777" w:rsidR="002653E8" w:rsidRDefault="003115E3">
      <w:pPr>
        <w:pStyle w:val="a3"/>
        <w:spacing w:before="22" w:line="264" w:lineRule="auto"/>
        <w:ind w:left="1147" w:right="1325"/>
        <w:jc w:val="both"/>
      </w:pPr>
      <w:r>
        <w:rPr>
          <w:color w:val="231F20"/>
        </w:rPr>
        <w:t>This is not directed against the athletes. Those who hope to win the competitions have trained for years. They are not the ones who give   the Olympic Games the character of an imperialist event. They are connected to the games like a wage laborer to capitalism—without  them</w:t>
      </w:r>
      <w:r>
        <w:rPr>
          <w:color w:val="231F20"/>
          <w:spacing w:val="32"/>
        </w:rPr>
        <w:t xml:space="preserve"> </w:t>
      </w:r>
      <w:r>
        <w:rPr>
          <w:color w:val="231F20"/>
        </w:rPr>
        <w:t>nothing</w:t>
      </w:r>
      <w:r>
        <w:rPr>
          <w:color w:val="231F20"/>
          <w:spacing w:val="32"/>
        </w:rPr>
        <w:t xml:space="preserve"> </w:t>
      </w:r>
      <w:r>
        <w:rPr>
          <w:color w:val="231F20"/>
        </w:rPr>
        <w:t>happens,</w:t>
      </w:r>
      <w:r>
        <w:rPr>
          <w:color w:val="231F20"/>
          <w:spacing w:val="32"/>
        </w:rPr>
        <w:t xml:space="preserve"> </w:t>
      </w:r>
      <w:r>
        <w:rPr>
          <w:color w:val="231F20"/>
        </w:rPr>
        <w:t>but</w:t>
      </w:r>
      <w:r>
        <w:rPr>
          <w:color w:val="231F20"/>
          <w:spacing w:val="32"/>
        </w:rPr>
        <w:t xml:space="preserve"> </w:t>
      </w:r>
      <w:r>
        <w:rPr>
          <w:color w:val="231F20"/>
        </w:rPr>
        <w:t>they</w:t>
      </w:r>
      <w:r>
        <w:rPr>
          <w:color w:val="231F20"/>
          <w:spacing w:val="32"/>
        </w:rPr>
        <w:t xml:space="preserve"> </w:t>
      </w:r>
      <w:r>
        <w:rPr>
          <w:color w:val="231F20"/>
        </w:rPr>
        <w:t>are</w:t>
      </w:r>
      <w:r>
        <w:rPr>
          <w:color w:val="231F20"/>
          <w:spacing w:val="32"/>
        </w:rPr>
        <w:t xml:space="preserve"> </w:t>
      </w:r>
      <w:r>
        <w:rPr>
          <w:color w:val="231F20"/>
        </w:rPr>
        <w:t>objects</w:t>
      </w:r>
      <w:r>
        <w:rPr>
          <w:color w:val="231F20"/>
          <w:spacing w:val="32"/>
        </w:rPr>
        <w:t xml:space="preserve"> </w:t>
      </w:r>
      <w:r>
        <w:rPr>
          <w:color w:val="231F20"/>
        </w:rPr>
        <w:t>in</w:t>
      </w:r>
      <w:r>
        <w:rPr>
          <w:color w:val="231F20"/>
          <w:spacing w:val="32"/>
        </w:rPr>
        <w:t xml:space="preserve"> </w:t>
      </w:r>
      <w:r>
        <w:rPr>
          <w:color w:val="231F20"/>
        </w:rPr>
        <w:t>a</w:t>
      </w:r>
      <w:r>
        <w:rPr>
          <w:color w:val="231F20"/>
          <w:spacing w:val="32"/>
        </w:rPr>
        <w:t xml:space="preserve"> </w:t>
      </w:r>
      <w:r>
        <w:rPr>
          <w:color w:val="231F20"/>
        </w:rPr>
        <w:t>spectacle,</w:t>
      </w:r>
      <w:r>
        <w:rPr>
          <w:color w:val="231F20"/>
          <w:spacing w:val="32"/>
        </w:rPr>
        <w:t xml:space="preserve"> </w:t>
      </w:r>
      <w:r>
        <w:rPr>
          <w:color w:val="231F20"/>
        </w:rPr>
        <w:t>objects</w:t>
      </w:r>
      <w:r>
        <w:rPr>
          <w:color w:val="231F20"/>
          <w:spacing w:val="32"/>
        </w:rPr>
        <w:t xml:space="preserve"> </w:t>
      </w:r>
      <w:r>
        <w:rPr>
          <w:color w:val="231F20"/>
        </w:rPr>
        <w:t>of</w:t>
      </w:r>
    </w:p>
    <w:p w14:paraId="7C523B48" w14:textId="77777777" w:rsidR="002653E8" w:rsidRDefault="002653E8">
      <w:pPr>
        <w:pStyle w:val="a3"/>
      </w:pPr>
    </w:p>
    <w:p w14:paraId="79B93263" w14:textId="77777777" w:rsidR="002653E8" w:rsidRDefault="00000000">
      <w:pPr>
        <w:pStyle w:val="a3"/>
        <w:spacing w:before="10"/>
        <w:rPr>
          <w:sz w:val="26"/>
        </w:rPr>
      </w:pPr>
      <w:r>
        <w:rPr>
          <w:noProof w:val="0"/>
        </w:rPr>
        <w:pict w14:anchorId="628A5125">
          <v:line id="_x0000_s2456" style="position:absolute;z-index:5752;mso-wrap-distance-left:0;mso-wrap-distance-right:0;mso-position-horizontal-relative:page" from="57.4pt,17.95pt" to="129.4pt,17.95pt" strokecolor="#231f20" strokeweight=".5pt">
            <w10:wrap type="topAndBottom" anchorx="page"/>
          </v:line>
        </w:pict>
      </w:r>
    </w:p>
    <w:p w14:paraId="50CEFC45" w14:textId="77777777" w:rsidR="002653E8" w:rsidRDefault="003115E3">
      <w:pPr>
        <w:spacing w:before="53" w:line="254" w:lineRule="auto"/>
        <w:ind w:left="1147" w:right="1580"/>
        <w:rPr>
          <w:sz w:val="16"/>
        </w:rPr>
      </w:pPr>
      <w:r>
        <w:rPr>
          <w:color w:val="231F20"/>
          <w:w w:val="105"/>
          <w:sz w:val="16"/>
        </w:rPr>
        <w:t xml:space="preserve">1 Kristallnacht, or the Night of Broken Glass, was an enormous pogrom against German Jews on the part of the Nazis and their supporters on the night of </w:t>
      </w:r>
      <w:r>
        <w:rPr>
          <w:color w:val="231F20"/>
          <w:w w:val="126"/>
          <w:sz w:val="16"/>
        </w:rPr>
        <w:t>N</w:t>
      </w:r>
      <w:r>
        <w:rPr>
          <w:color w:val="231F20"/>
          <w:w w:val="105"/>
          <w:sz w:val="16"/>
        </w:rPr>
        <w:t>ov</w:t>
      </w:r>
      <w:r>
        <w:rPr>
          <w:color w:val="231F20"/>
          <w:w w:val="94"/>
          <w:sz w:val="16"/>
        </w:rPr>
        <w:t>e</w:t>
      </w:r>
      <w:r>
        <w:rPr>
          <w:color w:val="231F20"/>
          <w:w w:val="103"/>
          <w:sz w:val="16"/>
        </w:rPr>
        <w:t>m</w:t>
      </w:r>
      <w:r>
        <w:rPr>
          <w:color w:val="231F20"/>
          <w:w w:val="105"/>
          <w:sz w:val="16"/>
        </w:rPr>
        <w:t>b</w:t>
      </w:r>
      <w:r>
        <w:rPr>
          <w:color w:val="231F20"/>
          <w:w w:val="94"/>
          <w:sz w:val="16"/>
        </w:rPr>
        <w:t>e</w:t>
      </w:r>
      <w:r>
        <w:rPr>
          <w:color w:val="231F20"/>
          <w:w w:val="97"/>
          <w:sz w:val="16"/>
        </w:rPr>
        <w:t>r</w:t>
      </w:r>
      <w:r>
        <w:rPr>
          <w:color w:val="231F20"/>
          <w:sz w:val="16"/>
        </w:rPr>
        <w:t xml:space="preserve"> </w:t>
      </w:r>
      <w:r>
        <w:rPr>
          <w:color w:val="231F20"/>
          <w:w w:val="104"/>
          <w:sz w:val="16"/>
        </w:rPr>
        <w:t>9</w:t>
      </w:r>
      <w:r>
        <w:rPr>
          <w:color w:val="231F20"/>
          <w:w w:val="58"/>
          <w:sz w:val="16"/>
        </w:rPr>
        <w:t>/</w:t>
      </w:r>
      <w:r>
        <w:rPr>
          <w:color w:val="231F20"/>
          <w:w w:val="104"/>
          <w:sz w:val="16"/>
        </w:rPr>
        <w:t>10</w:t>
      </w:r>
      <w:r>
        <w:rPr>
          <w:color w:val="231F20"/>
          <w:w w:val="140"/>
          <w:sz w:val="16"/>
        </w:rPr>
        <w:t>,</w:t>
      </w:r>
      <w:r>
        <w:rPr>
          <w:color w:val="231F20"/>
          <w:sz w:val="16"/>
        </w:rPr>
        <w:t xml:space="preserve"> </w:t>
      </w:r>
      <w:r>
        <w:rPr>
          <w:color w:val="231F20"/>
          <w:w w:val="104"/>
          <w:sz w:val="16"/>
        </w:rPr>
        <w:t>1938</w:t>
      </w:r>
      <w:r>
        <w:rPr>
          <w:color w:val="231F20"/>
          <w:w w:val="140"/>
          <w:sz w:val="16"/>
        </w:rPr>
        <w:t>.</w:t>
      </w:r>
    </w:p>
    <w:p w14:paraId="2FB0CA18" w14:textId="77777777" w:rsidR="002653E8" w:rsidRDefault="002653E8">
      <w:pPr>
        <w:spacing w:line="254" w:lineRule="auto"/>
        <w:rPr>
          <w:sz w:val="16"/>
        </w:rPr>
        <w:sectPr w:rsidR="002653E8">
          <w:pgSz w:w="8640" w:h="12960"/>
          <w:pgMar w:top="1060" w:right="0" w:bottom="1040" w:left="0" w:header="0" w:footer="850" w:gutter="0"/>
          <w:cols w:space="720"/>
        </w:sectPr>
      </w:pPr>
    </w:p>
    <w:p w14:paraId="2C45CB31" w14:textId="77777777" w:rsidR="002653E8" w:rsidRDefault="003115E3">
      <w:pPr>
        <w:pStyle w:val="a3"/>
        <w:spacing w:before="86" w:line="264" w:lineRule="auto"/>
        <w:ind w:left="1328" w:right="1145" w:hanging="1"/>
      </w:pPr>
      <w:r>
        <w:rPr>
          <w:color w:val="231F20"/>
        </w:rPr>
        <w:lastRenderedPageBreak/>
        <w:t xml:space="preserve">Neckermann’s </w:t>
      </w:r>
      <w:r>
        <w:rPr>
          <w:i/>
          <w:color w:val="231F20"/>
        </w:rPr>
        <w:t>Sporthilfe.</w:t>
      </w:r>
      <w:r>
        <w:rPr>
          <w:color w:val="231F20"/>
          <w:position w:val="7"/>
          <w:sz w:val="11"/>
        </w:rPr>
        <w:t xml:space="preserve">2 </w:t>
      </w:r>
      <w:r>
        <w:rPr>
          <w:color w:val="231F20"/>
        </w:rPr>
        <w:t>That the athletes enjoy what they’re doing changes nothing.</w:t>
      </w:r>
    </w:p>
    <w:p w14:paraId="0C90F3CA" w14:textId="77777777" w:rsidR="002653E8" w:rsidRDefault="002653E8">
      <w:pPr>
        <w:pStyle w:val="a3"/>
        <w:spacing w:before="9"/>
        <w:rPr>
          <w:sz w:val="21"/>
        </w:rPr>
      </w:pPr>
    </w:p>
    <w:p w14:paraId="2FE54FD2" w14:textId="77777777" w:rsidR="002653E8" w:rsidRDefault="003115E3">
      <w:pPr>
        <w:ind w:left="1328"/>
        <w:rPr>
          <w:i/>
          <w:sz w:val="20"/>
        </w:rPr>
      </w:pPr>
      <w:r>
        <w:rPr>
          <w:i/>
          <w:color w:val="231F20"/>
          <w:w w:val="105"/>
          <w:sz w:val="20"/>
        </w:rPr>
        <w:t>National Socialism</w:t>
      </w:r>
    </w:p>
    <w:p w14:paraId="0B33F10D" w14:textId="77777777" w:rsidR="002653E8" w:rsidRDefault="003115E3">
      <w:pPr>
        <w:pStyle w:val="a3"/>
        <w:spacing w:before="22" w:line="264" w:lineRule="auto"/>
        <w:ind w:left="1328" w:right="1145"/>
      </w:pPr>
      <w:r>
        <w:rPr>
          <w:color w:val="231F20"/>
        </w:rPr>
        <w:t>National Socialism was nothing other than the political and military precursor to the imperialist system of the multinational corporations.</w:t>
      </w:r>
    </w:p>
    <w:p w14:paraId="62B33751" w14:textId="77777777" w:rsidR="002653E8" w:rsidRDefault="003115E3">
      <w:pPr>
        <w:pStyle w:val="a3"/>
        <w:spacing w:line="264" w:lineRule="auto"/>
        <w:ind w:left="1327" w:right="1145" w:firstLine="210"/>
        <w:jc w:val="both"/>
      </w:pPr>
      <w:r>
        <w:rPr>
          <w:color w:val="231F20"/>
        </w:rPr>
        <w:t>The ruling class—and especially the German ruling class—is so rapacious that, lead by the Flick, Thyssen, Krupp, and IG Farben corporations,</w:t>
      </w:r>
      <w:r>
        <w:rPr>
          <w:color w:val="231F20"/>
          <w:position w:val="7"/>
          <w:sz w:val="11"/>
        </w:rPr>
        <w:t xml:space="preserve">3 </w:t>
      </w:r>
      <w:r>
        <w:rPr>
          <w:color w:val="231F20"/>
        </w:rPr>
        <w:t xml:space="preserve">it hoped to achieve, in conditions  that  were  not  yet  ripe, that which they managed to achieve later </w:t>
      </w:r>
      <w:r>
        <w:rPr>
          <w:color w:val="231F20"/>
          <w:spacing w:val="-3"/>
        </w:rPr>
        <w:t xml:space="preserve">anyway.  </w:t>
      </w:r>
      <w:r>
        <w:rPr>
          <w:color w:val="231F20"/>
        </w:rPr>
        <w:t xml:space="preserve">They formed   an uneasy alliance with the old, declining petit bourgeoisie, and they bought into the irrational and deadly antisemitism. Instead of relying  on their shareholders, as should have been the case, they developed the imperialist middle class to meet the corporations’ extreme demand for capital—they formed an alliance with the retrograde and ideologically backwards Nazi Party. Instead of waiting to grow strong enough to subjugate peoples and countries without military adventures, they started the Second </w:t>
      </w:r>
      <w:r>
        <w:rPr>
          <w:color w:val="231F20"/>
          <w:spacing w:val="-4"/>
        </w:rPr>
        <w:t xml:space="preserve">World War. </w:t>
      </w:r>
      <w:r>
        <w:rPr>
          <w:color w:val="231F20"/>
        </w:rPr>
        <w:t>Antisemitism and war compromised German fascism in the long run, once again completely unmasking the ruling class in the eyes of the masses—and making possible an antifascist alliance</w:t>
      </w:r>
      <w:r>
        <w:rPr>
          <w:color w:val="231F20"/>
          <w:spacing w:val="10"/>
        </w:rPr>
        <w:t xml:space="preserve"> </w:t>
      </w:r>
      <w:r>
        <w:rPr>
          <w:color w:val="231F20"/>
        </w:rPr>
        <w:t>between</w:t>
      </w:r>
      <w:r>
        <w:rPr>
          <w:color w:val="231F20"/>
          <w:spacing w:val="10"/>
        </w:rPr>
        <w:t xml:space="preserve"> </w:t>
      </w:r>
      <w:r>
        <w:rPr>
          <w:color w:val="231F20"/>
        </w:rPr>
        <w:t>communists</w:t>
      </w:r>
      <w:r>
        <w:rPr>
          <w:color w:val="231F20"/>
          <w:spacing w:val="10"/>
        </w:rPr>
        <w:t xml:space="preserve"> </w:t>
      </w:r>
      <w:r>
        <w:rPr>
          <w:color w:val="231F20"/>
        </w:rPr>
        <w:t>and</w:t>
      </w:r>
      <w:r>
        <w:rPr>
          <w:color w:val="231F20"/>
          <w:spacing w:val="10"/>
        </w:rPr>
        <w:t xml:space="preserve"> </w:t>
      </w:r>
      <w:r>
        <w:rPr>
          <w:color w:val="231F20"/>
        </w:rPr>
        <w:t>a</w:t>
      </w:r>
      <w:r>
        <w:rPr>
          <w:color w:val="231F20"/>
          <w:spacing w:val="10"/>
        </w:rPr>
        <w:t xml:space="preserve"> </w:t>
      </w:r>
      <w:r>
        <w:rPr>
          <w:color w:val="231F20"/>
        </w:rPr>
        <w:t>section</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bourgeoisie.</w:t>
      </w:r>
    </w:p>
    <w:p w14:paraId="105E1617" w14:textId="77777777" w:rsidR="002653E8" w:rsidRDefault="002653E8">
      <w:pPr>
        <w:pStyle w:val="a3"/>
        <w:spacing w:before="4"/>
      </w:pPr>
    </w:p>
    <w:p w14:paraId="048226E8" w14:textId="77777777" w:rsidR="002653E8" w:rsidRDefault="003115E3">
      <w:pPr>
        <w:ind w:left="1328"/>
        <w:rPr>
          <w:i/>
          <w:sz w:val="20"/>
        </w:rPr>
      </w:pPr>
      <w:r>
        <w:rPr>
          <w:i/>
          <w:color w:val="231F20"/>
          <w:w w:val="105"/>
          <w:sz w:val="20"/>
        </w:rPr>
        <w:t>Antifascism</w:t>
      </w:r>
    </w:p>
    <w:p w14:paraId="101B4EC0" w14:textId="77777777" w:rsidR="002653E8" w:rsidRDefault="003115E3">
      <w:pPr>
        <w:pStyle w:val="a3"/>
        <w:spacing w:before="22" w:line="264" w:lineRule="auto"/>
        <w:ind w:left="1328" w:right="1146"/>
        <w:jc w:val="both"/>
      </w:pPr>
      <w:r>
        <w:rPr>
          <w:color w:val="231F20"/>
        </w:rPr>
        <w:t xml:space="preserve">It was this domestic and foreign antifascism that effectively prevented the expansion of </w:t>
      </w:r>
      <w:r>
        <w:rPr>
          <w:color w:val="231F20"/>
          <w:spacing w:val="-3"/>
        </w:rPr>
        <w:t xml:space="preserve">West </w:t>
      </w:r>
      <w:r>
        <w:rPr>
          <w:color w:val="231F20"/>
        </w:rPr>
        <w:t>German imperialism. It is antifascist sensitivity  to injustice, transgression, state brutality and executive arrogance that has</w:t>
      </w:r>
      <w:r>
        <w:rPr>
          <w:color w:val="231F20"/>
          <w:spacing w:val="11"/>
        </w:rPr>
        <w:t xml:space="preserve"> </w:t>
      </w:r>
      <w:r>
        <w:rPr>
          <w:color w:val="231F20"/>
        </w:rPr>
        <w:t>forced</w:t>
      </w:r>
      <w:r>
        <w:rPr>
          <w:color w:val="231F20"/>
          <w:spacing w:val="11"/>
        </w:rPr>
        <w:t xml:space="preserve"> </w:t>
      </w:r>
      <w:r>
        <w:rPr>
          <w:color w:val="231F20"/>
        </w:rPr>
        <w:t>this</w:t>
      </w:r>
      <w:r>
        <w:rPr>
          <w:color w:val="231F20"/>
          <w:spacing w:val="11"/>
        </w:rPr>
        <w:t xml:space="preserve"> </w:t>
      </w:r>
      <w:r>
        <w:rPr>
          <w:color w:val="231F20"/>
        </w:rPr>
        <w:t>state</w:t>
      </w:r>
      <w:r>
        <w:rPr>
          <w:color w:val="231F20"/>
          <w:spacing w:val="11"/>
        </w:rPr>
        <w:t xml:space="preserve"> </w:t>
      </w:r>
      <w:r>
        <w:rPr>
          <w:color w:val="231F20"/>
        </w:rPr>
        <w:t>to</w:t>
      </w:r>
      <w:r>
        <w:rPr>
          <w:color w:val="231F20"/>
          <w:spacing w:val="11"/>
        </w:rPr>
        <w:t xml:space="preserve"> </w:t>
      </w:r>
      <w:r>
        <w:rPr>
          <w:color w:val="231F20"/>
        </w:rPr>
        <w:t>maintain</w:t>
      </w:r>
      <w:r>
        <w:rPr>
          <w:color w:val="231F20"/>
          <w:spacing w:val="11"/>
        </w:rPr>
        <w:t xml:space="preserve"> </w:t>
      </w:r>
      <w:r>
        <w:rPr>
          <w:color w:val="231F20"/>
        </w:rPr>
        <w:t>a</w:t>
      </w:r>
      <w:r>
        <w:rPr>
          <w:color w:val="231F20"/>
          <w:spacing w:val="11"/>
        </w:rPr>
        <w:t xml:space="preserve"> </w:t>
      </w:r>
      <w:r>
        <w:rPr>
          <w:color w:val="231F20"/>
        </w:rPr>
        <w:t>constitutional</w:t>
      </w:r>
      <w:r>
        <w:rPr>
          <w:color w:val="231F20"/>
          <w:spacing w:val="11"/>
        </w:rPr>
        <w:t xml:space="preserve"> </w:t>
      </w:r>
      <w:r>
        <w:rPr>
          <w:color w:val="231F20"/>
        </w:rPr>
        <w:t>form.</w:t>
      </w:r>
    </w:p>
    <w:p w14:paraId="02A8E5A2" w14:textId="77777777" w:rsidR="002653E8" w:rsidRDefault="003115E3">
      <w:pPr>
        <w:pStyle w:val="a3"/>
        <w:spacing w:line="264" w:lineRule="auto"/>
        <w:ind w:left="1328" w:right="1147" w:firstLine="210"/>
        <w:jc w:val="both"/>
      </w:pPr>
      <w:r>
        <w:rPr>
          <w:color w:val="231F20"/>
        </w:rPr>
        <w:t>Just as imperialism has a fascist tendency, antifascism has an antiimperialist tendency.</w:t>
      </w:r>
    </w:p>
    <w:p w14:paraId="247E2F13" w14:textId="77777777" w:rsidR="002653E8" w:rsidRDefault="003115E3">
      <w:pPr>
        <w:pStyle w:val="a3"/>
        <w:spacing w:line="264" w:lineRule="auto"/>
        <w:ind w:left="1327" w:right="1137" w:firstLine="210"/>
        <w:jc w:val="both"/>
      </w:pPr>
      <w:r>
        <w:rPr>
          <w:color w:val="231F20"/>
        </w:rPr>
        <w:t xml:space="preserve">For a section of antifascist sympathizers, the </w:t>
      </w:r>
      <w:r w:rsidR="00C507A5">
        <w:rPr>
          <w:color w:val="231F20"/>
          <w:spacing w:val="5"/>
        </w:rPr>
        <w:t>red army faction</w:t>
      </w:r>
      <w:r>
        <w:rPr>
          <w:color w:val="231F20"/>
          <w:spacing w:val="5"/>
        </w:rPr>
        <w:t xml:space="preserve"> </w:t>
      </w:r>
      <w:r>
        <w:rPr>
          <w:color w:val="231F20"/>
        </w:rPr>
        <w:t xml:space="preserve">has brought the anti-imperialist struggle up to date. The </w:t>
      </w:r>
      <w:r>
        <w:rPr>
          <w:color w:val="231F20"/>
          <w:spacing w:val="-4"/>
          <w:sz w:val="18"/>
        </w:rPr>
        <w:t>§</w:t>
      </w:r>
      <w:r>
        <w:rPr>
          <w:color w:val="231F20"/>
          <w:spacing w:val="-4"/>
        </w:rPr>
        <w:t xml:space="preserve">129  </w:t>
      </w:r>
      <w:r>
        <w:rPr>
          <w:color w:val="231F20"/>
        </w:rPr>
        <w:t xml:space="preserve">trials at the beginning      of the 50s and the ban on the </w:t>
      </w:r>
      <w:r>
        <w:rPr>
          <w:color w:val="231F20"/>
          <w:spacing w:val="1"/>
        </w:rPr>
        <w:t xml:space="preserve">KPD </w:t>
      </w:r>
      <w:r>
        <w:rPr>
          <w:color w:val="231F20"/>
        </w:rPr>
        <w:t xml:space="preserve">had the effect of separating the </w:t>
      </w:r>
      <w:r>
        <w:rPr>
          <w:color w:val="231F20"/>
          <w:spacing w:val="6"/>
        </w:rPr>
        <w:t xml:space="preserve">KP </w:t>
      </w:r>
      <w:r>
        <w:rPr>
          <w:color w:val="231F20"/>
        </w:rPr>
        <w:t>from their own antifascism and of dismantling their alliance with a section of the bourgeoisie. Liquidating what remained of antifascism in the SPD</w:t>
      </w:r>
      <w:r>
        <w:rPr>
          <w:color w:val="231F20"/>
          <w:spacing w:val="25"/>
        </w:rPr>
        <w:t xml:space="preserve"> </w:t>
      </w:r>
      <w:r>
        <w:rPr>
          <w:color w:val="231F20"/>
        </w:rPr>
        <w:t>and</w:t>
      </w:r>
      <w:r>
        <w:rPr>
          <w:color w:val="231F20"/>
          <w:spacing w:val="23"/>
        </w:rPr>
        <w:t xml:space="preserve"> </w:t>
      </w:r>
      <w:r>
        <w:rPr>
          <w:color w:val="231F20"/>
        </w:rPr>
        <w:t>amongst</w:t>
      </w:r>
      <w:r>
        <w:rPr>
          <w:color w:val="231F20"/>
          <w:spacing w:val="23"/>
        </w:rPr>
        <w:t xml:space="preserve"> </w:t>
      </w:r>
      <w:r>
        <w:rPr>
          <w:color w:val="231F20"/>
        </w:rPr>
        <w:t>the</w:t>
      </w:r>
      <w:r>
        <w:rPr>
          <w:color w:val="231F20"/>
          <w:spacing w:val="23"/>
        </w:rPr>
        <w:t xml:space="preserve"> </w:t>
      </w:r>
      <w:r>
        <w:rPr>
          <w:color w:val="231F20"/>
        </w:rPr>
        <w:t>intelligentsia</w:t>
      </w:r>
      <w:r>
        <w:rPr>
          <w:color w:val="231F20"/>
          <w:spacing w:val="23"/>
        </w:rPr>
        <w:t xml:space="preserve"> </w:t>
      </w:r>
      <w:r>
        <w:rPr>
          <w:color w:val="231F20"/>
        </w:rPr>
        <w:t>was</w:t>
      </w:r>
      <w:r>
        <w:rPr>
          <w:color w:val="231F20"/>
          <w:spacing w:val="23"/>
        </w:rPr>
        <w:t xml:space="preserve"> </w:t>
      </w:r>
      <w:r>
        <w:rPr>
          <w:color w:val="231F20"/>
        </w:rPr>
        <w:t>a</w:t>
      </w:r>
      <w:r>
        <w:rPr>
          <w:color w:val="231F20"/>
          <w:spacing w:val="23"/>
        </w:rPr>
        <w:t xml:space="preserve"> </w:t>
      </w:r>
      <w:r>
        <w:rPr>
          <w:color w:val="231F20"/>
        </w:rPr>
        <w:t>significant</w:t>
      </w:r>
      <w:r>
        <w:rPr>
          <w:color w:val="231F20"/>
          <w:spacing w:val="23"/>
        </w:rPr>
        <w:t xml:space="preserve"> </w:t>
      </w:r>
      <w:r>
        <w:rPr>
          <w:color w:val="231F20"/>
        </w:rPr>
        <w:t>challenge</w:t>
      </w:r>
      <w:r>
        <w:rPr>
          <w:color w:val="231F20"/>
          <w:spacing w:val="23"/>
        </w:rPr>
        <w:t xml:space="preserve"> </w:t>
      </w:r>
      <w:r>
        <w:rPr>
          <w:color w:val="231F20"/>
        </w:rPr>
        <w:t>for</w:t>
      </w:r>
      <w:r>
        <w:rPr>
          <w:color w:val="231F20"/>
          <w:spacing w:val="23"/>
        </w:rPr>
        <w:t xml:space="preserve"> </w:t>
      </w:r>
      <w:r>
        <w:rPr>
          <w:color w:val="231F20"/>
        </w:rPr>
        <w:t>the</w:t>
      </w:r>
    </w:p>
    <w:p w14:paraId="17E0C0BA" w14:textId="77777777" w:rsidR="002653E8" w:rsidRDefault="00000000">
      <w:pPr>
        <w:pStyle w:val="a3"/>
        <w:spacing w:before="10"/>
        <w:rPr>
          <w:sz w:val="8"/>
        </w:rPr>
      </w:pPr>
      <w:r>
        <w:rPr>
          <w:noProof w:val="0"/>
        </w:rPr>
        <w:pict w14:anchorId="6F57DF64">
          <v:line id="_x0000_s2455" style="position:absolute;z-index:5776;mso-wrap-distance-left:0;mso-wrap-distance-right:0;mso-position-horizontal-relative:page" from="66.4pt,7.4pt" to="138.4pt,7.4pt" strokecolor="#231f20" strokeweight=".5pt">
            <w10:wrap type="topAndBottom" anchorx="page"/>
          </v:line>
        </w:pict>
      </w:r>
    </w:p>
    <w:p w14:paraId="244E5B5D" w14:textId="77777777" w:rsidR="002653E8" w:rsidRDefault="003115E3">
      <w:pPr>
        <w:pStyle w:val="a4"/>
        <w:numPr>
          <w:ilvl w:val="0"/>
          <w:numId w:val="20"/>
        </w:numPr>
        <w:tabs>
          <w:tab w:val="left" w:pos="1467"/>
        </w:tabs>
        <w:spacing w:before="53" w:line="254" w:lineRule="auto"/>
        <w:ind w:right="1219" w:firstLine="0"/>
        <w:rPr>
          <w:sz w:val="16"/>
        </w:rPr>
      </w:pPr>
      <w:r>
        <w:rPr>
          <w:color w:val="231F20"/>
          <w:w w:val="105"/>
          <w:sz w:val="16"/>
        </w:rPr>
        <w:t xml:space="preserve">Josef Neckermann was a successful Frankfurt-based businessman and horse trainer and founder of the </w:t>
      </w:r>
      <w:r>
        <w:rPr>
          <w:i/>
          <w:color w:val="231F20"/>
          <w:w w:val="105"/>
          <w:sz w:val="16"/>
        </w:rPr>
        <w:t xml:space="preserve">Stiftung Deutsche Sporthilfe </w:t>
      </w:r>
      <w:r>
        <w:rPr>
          <w:color w:val="231F20"/>
          <w:w w:val="105"/>
          <w:sz w:val="16"/>
        </w:rPr>
        <w:t>(German Benevolent Sports Association).</w:t>
      </w:r>
    </w:p>
    <w:p w14:paraId="6D13D6AC" w14:textId="77777777" w:rsidR="002653E8" w:rsidRDefault="003115E3">
      <w:pPr>
        <w:pStyle w:val="a4"/>
        <w:numPr>
          <w:ilvl w:val="0"/>
          <w:numId w:val="20"/>
        </w:numPr>
        <w:tabs>
          <w:tab w:val="left" w:pos="1467"/>
        </w:tabs>
        <w:spacing w:line="254" w:lineRule="auto"/>
        <w:ind w:left="1328" w:right="1732" w:firstLine="0"/>
        <w:rPr>
          <w:sz w:val="16"/>
        </w:rPr>
      </w:pPr>
      <w:r>
        <w:rPr>
          <w:color w:val="231F20"/>
          <w:spacing w:val="1"/>
          <w:w w:val="105"/>
          <w:sz w:val="16"/>
        </w:rPr>
        <w:t xml:space="preserve">All </w:t>
      </w:r>
      <w:r>
        <w:rPr>
          <w:color w:val="231F20"/>
          <w:w w:val="105"/>
          <w:sz w:val="16"/>
        </w:rPr>
        <w:t>are major corporations that participated in and profited from National Socialism’s</w:t>
      </w:r>
      <w:r>
        <w:rPr>
          <w:color w:val="231F20"/>
          <w:spacing w:val="8"/>
          <w:w w:val="105"/>
          <w:sz w:val="16"/>
        </w:rPr>
        <w:t xml:space="preserve"> </w:t>
      </w:r>
      <w:r>
        <w:rPr>
          <w:color w:val="231F20"/>
          <w:w w:val="105"/>
          <w:sz w:val="16"/>
        </w:rPr>
        <w:t>reign</w:t>
      </w:r>
      <w:r>
        <w:rPr>
          <w:color w:val="231F20"/>
          <w:spacing w:val="8"/>
          <w:w w:val="105"/>
          <w:sz w:val="16"/>
        </w:rPr>
        <w:t xml:space="preserve"> </w:t>
      </w:r>
      <w:r>
        <w:rPr>
          <w:color w:val="231F20"/>
          <w:w w:val="105"/>
          <w:sz w:val="16"/>
        </w:rPr>
        <w:t>in</w:t>
      </w:r>
      <w:r>
        <w:rPr>
          <w:color w:val="231F20"/>
          <w:spacing w:val="8"/>
          <w:w w:val="105"/>
          <w:sz w:val="16"/>
        </w:rPr>
        <w:t xml:space="preserve"> </w:t>
      </w:r>
      <w:r>
        <w:rPr>
          <w:color w:val="231F20"/>
          <w:w w:val="105"/>
          <w:sz w:val="16"/>
        </w:rPr>
        <w:t>Germany.</w:t>
      </w:r>
      <w:r>
        <w:rPr>
          <w:color w:val="231F20"/>
          <w:spacing w:val="8"/>
          <w:w w:val="105"/>
          <w:sz w:val="16"/>
        </w:rPr>
        <w:t xml:space="preserve"> </w:t>
      </w:r>
      <w:r>
        <w:rPr>
          <w:color w:val="231F20"/>
          <w:spacing w:val="1"/>
          <w:w w:val="105"/>
          <w:sz w:val="16"/>
        </w:rPr>
        <w:t>All</w:t>
      </w:r>
      <w:r>
        <w:rPr>
          <w:color w:val="231F20"/>
          <w:spacing w:val="8"/>
          <w:w w:val="105"/>
          <w:sz w:val="16"/>
        </w:rPr>
        <w:t xml:space="preserve"> </w:t>
      </w:r>
      <w:r>
        <w:rPr>
          <w:color w:val="231F20"/>
          <w:w w:val="105"/>
          <w:sz w:val="16"/>
        </w:rPr>
        <w:t>of</w:t>
      </w:r>
      <w:r>
        <w:rPr>
          <w:color w:val="231F20"/>
          <w:spacing w:val="8"/>
          <w:w w:val="105"/>
          <w:sz w:val="16"/>
        </w:rPr>
        <w:t xml:space="preserve"> </w:t>
      </w:r>
      <w:r>
        <w:rPr>
          <w:color w:val="231F20"/>
          <w:w w:val="105"/>
          <w:sz w:val="16"/>
        </w:rPr>
        <w:t>them</w:t>
      </w:r>
      <w:r>
        <w:rPr>
          <w:color w:val="231F20"/>
          <w:spacing w:val="8"/>
          <w:w w:val="105"/>
          <w:sz w:val="16"/>
        </w:rPr>
        <w:t xml:space="preserve"> </w:t>
      </w:r>
      <w:r>
        <w:rPr>
          <w:color w:val="231F20"/>
          <w:w w:val="105"/>
          <w:sz w:val="16"/>
        </w:rPr>
        <w:t>continue</w:t>
      </w:r>
      <w:r>
        <w:rPr>
          <w:color w:val="231F20"/>
          <w:spacing w:val="8"/>
          <w:w w:val="105"/>
          <w:sz w:val="16"/>
        </w:rPr>
        <w:t xml:space="preserve"> </w:t>
      </w:r>
      <w:r>
        <w:rPr>
          <w:color w:val="231F20"/>
          <w:w w:val="105"/>
          <w:sz w:val="16"/>
        </w:rPr>
        <w:t>to</w:t>
      </w:r>
      <w:r>
        <w:rPr>
          <w:color w:val="231F20"/>
          <w:spacing w:val="8"/>
          <w:w w:val="105"/>
          <w:sz w:val="16"/>
        </w:rPr>
        <w:t xml:space="preserve"> </w:t>
      </w:r>
      <w:r>
        <w:rPr>
          <w:color w:val="231F20"/>
          <w:w w:val="105"/>
          <w:sz w:val="16"/>
        </w:rPr>
        <w:t>flourish.</w:t>
      </w:r>
    </w:p>
    <w:p w14:paraId="2D1F8729" w14:textId="77777777" w:rsidR="002653E8" w:rsidRDefault="002653E8">
      <w:pPr>
        <w:spacing w:line="254" w:lineRule="auto"/>
        <w:rPr>
          <w:sz w:val="16"/>
        </w:rPr>
        <w:sectPr w:rsidR="002653E8">
          <w:pgSz w:w="8640" w:h="12960"/>
          <w:pgMar w:top="1060" w:right="0" w:bottom="1040" w:left="0" w:header="0" w:footer="850" w:gutter="0"/>
          <w:cols w:space="720"/>
        </w:sectPr>
      </w:pPr>
    </w:p>
    <w:p w14:paraId="2D910158" w14:textId="77777777" w:rsidR="002653E8" w:rsidRDefault="003115E3">
      <w:pPr>
        <w:pStyle w:val="a3"/>
        <w:spacing w:before="86" w:line="264" w:lineRule="auto"/>
        <w:ind w:left="1147" w:right="1326"/>
        <w:jc w:val="both"/>
      </w:pPr>
      <w:r>
        <w:rPr>
          <w:color w:val="231F20"/>
          <w:spacing w:val="1"/>
          <w:w w:val="99"/>
        </w:rPr>
        <w:lastRenderedPageBreak/>
        <w:t>B</w:t>
      </w:r>
      <w:r>
        <w:rPr>
          <w:color w:val="231F20"/>
          <w:spacing w:val="-1"/>
          <w:w w:val="94"/>
        </w:rPr>
        <w:t>r</w:t>
      </w:r>
      <w:r>
        <w:rPr>
          <w:color w:val="231F20"/>
          <w:spacing w:val="2"/>
          <w:w w:val="102"/>
        </w:rPr>
        <w:t>a</w:t>
      </w:r>
      <w:r>
        <w:rPr>
          <w:color w:val="231F20"/>
          <w:spacing w:val="-1"/>
          <w:w w:val="99"/>
        </w:rPr>
        <w:t>n</w:t>
      </w:r>
      <w:r>
        <w:rPr>
          <w:color w:val="231F20"/>
          <w:spacing w:val="-1"/>
        </w:rPr>
        <w:t>d</w:t>
      </w:r>
      <w:r>
        <w:rPr>
          <w:color w:val="231F20"/>
          <w:spacing w:val="7"/>
          <w:w w:val="98"/>
        </w:rPr>
        <w:t>t</w:t>
      </w:r>
      <w:r>
        <w:rPr>
          <w:color w:val="231F20"/>
          <w:spacing w:val="2"/>
          <w:w w:val="56"/>
        </w:rPr>
        <w:t>/</w:t>
      </w:r>
      <w:r>
        <w:rPr>
          <w:color w:val="231F20"/>
          <w:spacing w:val="5"/>
        </w:rPr>
        <w:t>S</w:t>
      </w:r>
      <w:r>
        <w:rPr>
          <w:color w:val="231F20"/>
        </w:rPr>
        <w:t>c</w:t>
      </w:r>
      <w:r>
        <w:rPr>
          <w:color w:val="231F20"/>
          <w:spacing w:val="-1"/>
        </w:rPr>
        <w:t>h</w:t>
      </w:r>
      <w:r>
        <w:rPr>
          <w:color w:val="231F20"/>
          <w:spacing w:val="1"/>
          <w:w w:val="91"/>
        </w:rPr>
        <w:t>e</w:t>
      </w:r>
      <w:r>
        <w:rPr>
          <w:color w:val="231F20"/>
          <w:spacing w:val="-1"/>
          <w:w w:val="91"/>
        </w:rPr>
        <w:t>e</w:t>
      </w:r>
      <w:r>
        <w:rPr>
          <w:color w:val="231F20"/>
          <w:spacing w:val="8"/>
          <w:w w:val="102"/>
        </w:rPr>
        <w:t>l</w:t>
      </w:r>
      <w:r>
        <w:rPr>
          <w:color w:val="231F20"/>
          <w:spacing w:val="10"/>
          <w:w w:val="56"/>
        </w:rPr>
        <w:t>/</w:t>
      </w:r>
      <w:r>
        <w:rPr>
          <w:color w:val="231F20"/>
          <w:w w:val="121"/>
        </w:rPr>
        <w:t>H</w:t>
      </w:r>
      <w:r>
        <w:rPr>
          <w:color w:val="231F20"/>
          <w:spacing w:val="-1"/>
          <w:w w:val="91"/>
        </w:rPr>
        <w:t>e</w:t>
      </w:r>
      <w:r>
        <w:rPr>
          <w:color w:val="231F20"/>
          <w:spacing w:val="2"/>
        </w:rPr>
        <w:t>i</w:t>
      </w:r>
      <w:r>
        <w:rPr>
          <w:color w:val="231F20"/>
          <w:spacing w:val="-1"/>
          <w:w w:val="99"/>
        </w:rPr>
        <w:t>n</w:t>
      </w:r>
      <w:r>
        <w:rPr>
          <w:color w:val="231F20"/>
          <w:w w:val="91"/>
        </w:rPr>
        <w:t>e</w:t>
      </w:r>
      <w:r>
        <w:rPr>
          <w:color w:val="231F20"/>
          <w:spacing w:val="1"/>
          <w:w w:val="99"/>
        </w:rPr>
        <w:t>m</w:t>
      </w:r>
      <w:r>
        <w:rPr>
          <w:color w:val="231F20"/>
          <w:spacing w:val="2"/>
          <w:w w:val="102"/>
        </w:rPr>
        <w:t>a</w:t>
      </w:r>
      <w:r>
        <w:rPr>
          <w:color w:val="231F20"/>
          <w:spacing w:val="3"/>
          <w:w w:val="99"/>
        </w:rPr>
        <w:t>n</w:t>
      </w:r>
      <w:r>
        <w:rPr>
          <w:color w:val="231F20"/>
          <w:w w:val="99"/>
        </w:rPr>
        <w:t>n</w:t>
      </w:r>
      <w:r>
        <w:rPr>
          <w:color w:val="231F20"/>
          <w:spacing w:val="16"/>
        </w:rPr>
        <w:t xml:space="preserve"> </w:t>
      </w:r>
      <w:r>
        <w:rPr>
          <w:color w:val="231F20"/>
          <w:spacing w:val="-2"/>
          <w:w w:val="102"/>
        </w:rPr>
        <w:t>a</w:t>
      </w:r>
      <w:r>
        <w:rPr>
          <w:color w:val="231F20"/>
          <w:spacing w:val="3"/>
        </w:rPr>
        <w:t>d</w:t>
      </w:r>
      <w:r>
        <w:rPr>
          <w:color w:val="231F20"/>
          <w:spacing w:val="3"/>
          <w:w w:val="99"/>
        </w:rPr>
        <w:t>m</w:t>
      </w:r>
      <w:r>
        <w:rPr>
          <w:color w:val="231F20"/>
          <w:spacing w:val="2"/>
        </w:rPr>
        <w:t>i</w:t>
      </w:r>
      <w:r>
        <w:rPr>
          <w:color w:val="231F20"/>
          <w:spacing w:val="3"/>
          <w:w w:val="99"/>
        </w:rPr>
        <w:t>n</w:t>
      </w:r>
      <w:r>
        <w:rPr>
          <w:color w:val="231F20"/>
        </w:rPr>
        <w:t>i</w:t>
      </w:r>
      <w:r>
        <w:rPr>
          <w:color w:val="231F20"/>
          <w:w w:val="90"/>
        </w:rPr>
        <w:t>s</w:t>
      </w:r>
      <w:r>
        <w:rPr>
          <w:color w:val="231F20"/>
          <w:spacing w:val="3"/>
          <w:w w:val="98"/>
        </w:rPr>
        <w:t>t</w:t>
      </w:r>
      <w:r>
        <w:rPr>
          <w:color w:val="231F20"/>
          <w:spacing w:val="-1"/>
          <w:w w:val="94"/>
        </w:rPr>
        <w:t>r</w:t>
      </w:r>
      <w:r>
        <w:rPr>
          <w:color w:val="231F20"/>
          <w:spacing w:val="-2"/>
          <w:w w:val="102"/>
        </w:rPr>
        <w:t>a</w:t>
      </w:r>
      <w:r>
        <w:rPr>
          <w:color w:val="231F20"/>
          <w:spacing w:val="2"/>
          <w:w w:val="98"/>
        </w:rPr>
        <w:t>t</w:t>
      </w:r>
      <w:r>
        <w:rPr>
          <w:color w:val="231F20"/>
          <w:spacing w:val="-2"/>
        </w:rPr>
        <w:t>i</w:t>
      </w:r>
      <w:r>
        <w:rPr>
          <w:color w:val="231F20"/>
          <w:spacing w:val="-1"/>
          <w:w w:val="104"/>
        </w:rPr>
        <w:t>o</w:t>
      </w:r>
      <w:r>
        <w:rPr>
          <w:color w:val="231F20"/>
          <w:w w:val="99"/>
        </w:rPr>
        <w:t>n</w:t>
      </w:r>
      <w:r>
        <w:rPr>
          <w:color w:val="231F20"/>
          <w:w w:val="135"/>
        </w:rPr>
        <w:t>.</w:t>
      </w:r>
      <w:r>
        <w:rPr>
          <w:color w:val="231F20"/>
          <w:spacing w:val="16"/>
        </w:rPr>
        <w:t xml:space="preserve"> </w:t>
      </w:r>
      <w:r>
        <w:rPr>
          <w:color w:val="231F20"/>
          <w:spacing w:val="6"/>
          <w:w w:val="115"/>
        </w:rPr>
        <w:t>A</w:t>
      </w:r>
      <w:r>
        <w:rPr>
          <w:color w:val="231F20"/>
          <w:spacing w:val="-2"/>
          <w:w w:val="99"/>
        </w:rPr>
        <w:t>n</w:t>
      </w:r>
      <w:r>
        <w:rPr>
          <w:color w:val="231F20"/>
          <w:spacing w:val="2"/>
          <w:w w:val="98"/>
        </w:rPr>
        <w:t>t</w:t>
      </w:r>
      <w:r>
        <w:rPr>
          <w:color w:val="231F20"/>
          <w:spacing w:val="2"/>
        </w:rPr>
        <w:t>i</w:t>
      </w:r>
      <w:r>
        <w:rPr>
          <w:color w:val="231F20"/>
          <w:w w:val="105"/>
        </w:rPr>
        <w:t>fa</w:t>
      </w:r>
      <w:r>
        <w:rPr>
          <w:color w:val="231F20"/>
          <w:spacing w:val="1"/>
          <w:w w:val="90"/>
        </w:rPr>
        <w:t>s</w:t>
      </w:r>
      <w:r>
        <w:rPr>
          <w:color w:val="231F20"/>
        </w:rPr>
        <w:t>ci</w:t>
      </w:r>
      <w:r>
        <w:rPr>
          <w:color w:val="231F20"/>
          <w:w w:val="90"/>
        </w:rPr>
        <w:t>s</w:t>
      </w:r>
      <w:r>
        <w:rPr>
          <w:color w:val="231F20"/>
          <w:w w:val="99"/>
        </w:rPr>
        <w:t>m</w:t>
      </w:r>
      <w:r>
        <w:rPr>
          <w:color w:val="231F20"/>
          <w:spacing w:val="16"/>
          <w:w w:val="99"/>
        </w:rPr>
        <w:t xml:space="preserve"> </w:t>
      </w:r>
      <w:r>
        <w:rPr>
          <w:color w:val="231F20"/>
          <w:spacing w:val="-2"/>
        </w:rPr>
        <w:t>w</w:t>
      </w:r>
      <w:r>
        <w:rPr>
          <w:color w:val="231F20"/>
          <w:w w:val="102"/>
        </w:rPr>
        <w:t>a</w:t>
      </w:r>
      <w:r>
        <w:rPr>
          <w:color w:val="231F20"/>
          <w:w w:val="90"/>
        </w:rPr>
        <w:t>s</w:t>
      </w:r>
      <w:r>
        <w:rPr>
          <w:color w:val="231F20"/>
          <w:spacing w:val="16"/>
        </w:rPr>
        <w:t xml:space="preserve"> </w:t>
      </w:r>
      <w:r>
        <w:rPr>
          <w:color w:val="231F20"/>
          <w:w w:val="90"/>
        </w:rPr>
        <w:t>s</w:t>
      </w:r>
      <w:r>
        <w:rPr>
          <w:color w:val="231F20"/>
          <w:spacing w:val="2"/>
          <w:w w:val="98"/>
        </w:rPr>
        <w:t>t</w:t>
      </w:r>
      <w:r>
        <w:rPr>
          <w:color w:val="231F20"/>
          <w:spacing w:val="2"/>
        </w:rPr>
        <w:t>i</w:t>
      </w:r>
      <w:r>
        <w:rPr>
          <w:color w:val="231F20"/>
          <w:spacing w:val="2"/>
          <w:w w:val="102"/>
        </w:rPr>
        <w:t>l</w:t>
      </w:r>
      <w:r>
        <w:rPr>
          <w:color w:val="231F20"/>
          <w:w w:val="102"/>
        </w:rPr>
        <w:t>l</w:t>
      </w:r>
      <w:r>
        <w:rPr>
          <w:color w:val="231F20"/>
          <w:spacing w:val="16"/>
        </w:rPr>
        <w:t xml:space="preserve"> </w:t>
      </w:r>
      <w:r>
        <w:rPr>
          <w:color w:val="231F20"/>
          <w:w w:val="102"/>
        </w:rPr>
        <w:t>a</w:t>
      </w:r>
      <w:r>
        <w:rPr>
          <w:color w:val="231F20"/>
          <w:spacing w:val="16"/>
        </w:rPr>
        <w:t xml:space="preserve"> </w:t>
      </w:r>
      <w:r>
        <w:rPr>
          <w:color w:val="231F20"/>
          <w:w w:val="99"/>
        </w:rPr>
        <w:t>p</w:t>
      </w:r>
      <w:r>
        <w:rPr>
          <w:color w:val="231F20"/>
          <w:spacing w:val="3"/>
          <w:w w:val="102"/>
        </w:rPr>
        <w:t>a</w:t>
      </w:r>
      <w:r>
        <w:rPr>
          <w:color w:val="231F20"/>
          <w:spacing w:val="5"/>
          <w:w w:val="94"/>
        </w:rPr>
        <w:t>r</w:t>
      </w:r>
      <w:r>
        <w:rPr>
          <w:color w:val="231F20"/>
          <w:w w:val="98"/>
        </w:rPr>
        <w:t xml:space="preserve">t </w:t>
      </w:r>
      <w:r>
        <w:rPr>
          <w:color w:val="231F20"/>
        </w:rPr>
        <w:t xml:space="preserve">of the </w:t>
      </w:r>
      <w:r>
        <w:rPr>
          <w:color w:val="231F20"/>
          <w:spacing w:val="-5"/>
        </w:rPr>
        <w:t xml:space="preserve">1967-1968  </w:t>
      </w:r>
      <w:r>
        <w:rPr>
          <w:color w:val="231F20"/>
        </w:rPr>
        <w:t>APO, and was supported by the student movement,   in the Republican Clubs, at Vietnam demonstrations, and in the movement</w:t>
      </w:r>
      <w:r>
        <w:rPr>
          <w:color w:val="231F20"/>
          <w:spacing w:val="7"/>
        </w:rPr>
        <w:t xml:space="preserve"> </w:t>
      </w:r>
      <w:r>
        <w:rPr>
          <w:color w:val="231F20"/>
        </w:rPr>
        <w:t>against</w:t>
      </w:r>
      <w:r>
        <w:rPr>
          <w:color w:val="231F20"/>
          <w:spacing w:val="7"/>
        </w:rPr>
        <w:t xml:space="preserve"> </w:t>
      </w:r>
      <w:r>
        <w:rPr>
          <w:color w:val="231F20"/>
        </w:rPr>
        <w:t>the</w:t>
      </w:r>
      <w:r>
        <w:rPr>
          <w:color w:val="231F20"/>
          <w:spacing w:val="7"/>
        </w:rPr>
        <w:t xml:space="preserve"> </w:t>
      </w:r>
      <w:r>
        <w:rPr>
          <w:color w:val="231F20"/>
        </w:rPr>
        <w:t>Emergency</w:t>
      </w:r>
      <w:r>
        <w:rPr>
          <w:color w:val="231F20"/>
          <w:spacing w:val="7"/>
        </w:rPr>
        <w:t xml:space="preserve"> </w:t>
      </w:r>
      <w:r>
        <w:rPr>
          <w:color w:val="231F20"/>
        </w:rPr>
        <w:t>Powers</w:t>
      </w:r>
      <w:r>
        <w:rPr>
          <w:color w:val="231F20"/>
          <w:spacing w:val="7"/>
        </w:rPr>
        <w:t xml:space="preserve"> </w:t>
      </w:r>
      <w:r>
        <w:rPr>
          <w:color w:val="231F20"/>
        </w:rPr>
        <w:t>legislation</w:t>
      </w:r>
      <w:r>
        <w:rPr>
          <w:color w:val="231F20"/>
          <w:spacing w:val="7"/>
        </w:rPr>
        <w:t xml:space="preserve"> </w:t>
      </w:r>
      <w:r>
        <w:rPr>
          <w:color w:val="231F20"/>
        </w:rPr>
        <w:t>and</w:t>
      </w:r>
      <w:r>
        <w:rPr>
          <w:color w:val="231F20"/>
          <w:spacing w:val="7"/>
        </w:rPr>
        <w:t xml:space="preserve"> </w:t>
      </w:r>
      <w:r>
        <w:rPr>
          <w:color w:val="231F20"/>
        </w:rPr>
        <w:t>police</w:t>
      </w:r>
      <w:r>
        <w:rPr>
          <w:color w:val="231F20"/>
          <w:spacing w:val="7"/>
        </w:rPr>
        <w:t xml:space="preserve"> </w:t>
      </w:r>
      <w:r>
        <w:rPr>
          <w:color w:val="231F20"/>
        </w:rPr>
        <w:t>terror.</w:t>
      </w:r>
    </w:p>
    <w:p w14:paraId="2EED5174" w14:textId="77777777" w:rsidR="002653E8" w:rsidRDefault="002653E8">
      <w:pPr>
        <w:pStyle w:val="a3"/>
        <w:spacing w:before="6"/>
        <w:rPr>
          <w:sz w:val="21"/>
        </w:rPr>
      </w:pPr>
    </w:p>
    <w:p w14:paraId="615AA9BA" w14:textId="77777777" w:rsidR="002653E8" w:rsidRDefault="003115E3">
      <w:pPr>
        <w:spacing w:before="1"/>
        <w:ind w:left="1147"/>
        <w:rPr>
          <w:i/>
          <w:sz w:val="20"/>
        </w:rPr>
      </w:pPr>
      <w:r>
        <w:rPr>
          <w:i/>
          <w:color w:val="231F20"/>
          <w:w w:val="105"/>
          <w:sz w:val="20"/>
        </w:rPr>
        <w:t>The Antiauthoritarian Position</w:t>
      </w:r>
    </w:p>
    <w:p w14:paraId="6E2E358F" w14:textId="77777777" w:rsidR="002653E8" w:rsidRDefault="003115E3">
      <w:pPr>
        <w:pStyle w:val="a3"/>
        <w:spacing w:before="22" w:line="264" w:lineRule="auto"/>
        <w:ind w:left="1147" w:right="1326"/>
        <w:jc w:val="both"/>
      </w:pPr>
      <w:r>
        <w:rPr>
          <w:color w:val="231F20"/>
        </w:rPr>
        <w:t>That the leaders of the student movement are themselves shying away from their anti-imperialist consciousness is a reflection of their revisionism. The positions of the antiauthoritarian movement were clearly anti-imperialist: June 2, Vietnam, Springer, and opposition to the development of West German imperialism, of which the final step in the postwar FRG was the formation of the Grand Coalition.</w:t>
      </w:r>
    </w:p>
    <w:p w14:paraId="7DC9ABDA" w14:textId="77777777" w:rsidR="002653E8" w:rsidRDefault="003115E3">
      <w:pPr>
        <w:pStyle w:val="a3"/>
        <w:spacing w:line="264" w:lineRule="auto"/>
        <w:ind w:left="1147" w:right="1326" w:firstLine="210"/>
        <w:jc w:val="both"/>
        <w:rPr>
          <w:sz w:val="11"/>
        </w:rPr>
      </w:pPr>
      <w:r>
        <w:rPr>
          <w:color w:val="231F20"/>
        </w:rPr>
        <w:t>This movement proved itself to be primarily petit bourgeois when it stripped its political theory of anti-imperialist consciousness, as soon as the first shots were fired. Shots which were not just fired by a single private fascist (Kurras), but rather were the result of systematic</w:t>
      </w:r>
      <w:r>
        <w:rPr>
          <w:color w:val="231F20"/>
          <w:spacing w:val="-29"/>
        </w:rPr>
        <w:t xml:space="preserve"> </w:t>
      </w:r>
      <w:r>
        <w:rPr>
          <w:color w:val="231F20"/>
        </w:rPr>
        <w:t>imperialist terror—directed at Dutschke, cheered on by</w:t>
      </w:r>
      <w:r>
        <w:rPr>
          <w:color w:val="231F20"/>
          <w:spacing w:val="20"/>
        </w:rPr>
        <w:t xml:space="preserve"> </w:t>
      </w:r>
      <w:r>
        <w:rPr>
          <w:color w:val="231F20"/>
        </w:rPr>
        <w:t>Springer.</w:t>
      </w:r>
      <w:r>
        <w:rPr>
          <w:color w:val="231F20"/>
          <w:position w:val="7"/>
          <w:sz w:val="11"/>
        </w:rPr>
        <w:t>1</w:t>
      </w:r>
    </w:p>
    <w:p w14:paraId="3CD2C29B" w14:textId="77777777" w:rsidR="002653E8" w:rsidRDefault="003115E3">
      <w:pPr>
        <w:pStyle w:val="a3"/>
        <w:spacing w:line="264" w:lineRule="auto"/>
        <w:ind w:left="1147" w:right="1325" w:firstLine="210"/>
        <w:jc w:val="both"/>
      </w:pPr>
      <w:r>
        <w:rPr>
          <w:color w:val="231F20"/>
          <w:w w:val="105"/>
        </w:rPr>
        <w:t>They</w:t>
      </w:r>
      <w:r>
        <w:rPr>
          <w:color w:val="231F20"/>
          <w:spacing w:val="-16"/>
          <w:w w:val="105"/>
        </w:rPr>
        <w:t xml:space="preserve"> </w:t>
      </w:r>
      <w:r>
        <w:rPr>
          <w:color w:val="231F20"/>
          <w:w w:val="105"/>
        </w:rPr>
        <w:t>began</w:t>
      </w:r>
      <w:r>
        <w:rPr>
          <w:color w:val="231F20"/>
          <w:spacing w:val="-16"/>
          <w:w w:val="105"/>
        </w:rPr>
        <w:t xml:space="preserve"> </w:t>
      </w:r>
      <w:r>
        <w:rPr>
          <w:color w:val="231F20"/>
          <w:w w:val="105"/>
        </w:rPr>
        <w:t>to</w:t>
      </w:r>
      <w:r>
        <w:rPr>
          <w:color w:val="231F20"/>
          <w:spacing w:val="-16"/>
          <w:w w:val="105"/>
        </w:rPr>
        <w:t xml:space="preserve"> </w:t>
      </w:r>
      <w:r>
        <w:rPr>
          <w:color w:val="231F20"/>
          <w:w w:val="105"/>
        </w:rPr>
        <w:t>compensate</w:t>
      </w:r>
      <w:r>
        <w:rPr>
          <w:color w:val="231F20"/>
          <w:spacing w:val="-16"/>
          <w:w w:val="105"/>
        </w:rPr>
        <w:t xml:space="preserve"> </w:t>
      </w:r>
      <w:r>
        <w:rPr>
          <w:color w:val="231F20"/>
          <w:w w:val="105"/>
        </w:rPr>
        <w:t>for</w:t>
      </w:r>
      <w:r>
        <w:rPr>
          <w:color w:val="231F20"/>
          <w:spacing w:val="-16"/>
          <w:w w:val="105"/>
        </w:rPr>
        <w:t xml:space="preserve"> </w:t>
      </w:r>
      <w:r>
        <w:rPr>
          <w:color w:val="231F20"/>
          <w:w w:val="105"/>
        </w:rPr>
        <w:t>their</w:t>
      </w:r>
      <w:r>
        <w:rPr>
          <w:color w:val="231F20"/>
          <w:spacing w:val="-16"/>
          <w:w w:val="105"/>
        </w:rPr>
        <w:t xml:space="preserve"> </w:t>
      </w:r>
      <w:r>
        <w:rPr>
          <w:color w:val="231F20"/>
          <w:w w:val="105"/>
        </w:rPr>
        <w:t>obvious</w:t>
      </w:r>
      <w:r>
        <w:rPr>
          <w:color w:val="231F20"/>
          <w:spacing w:val="-16"/>
          <w:w w:val="105"/>
        </w:rPr>
        <w:t xml:space="preserve"> </w:t>
      </w:r>
      <w:r>
        <w:rPr>
          <w:color w:val="231F20"/>
          <w:w w:val="105"/>
        </w:rPr>
        <w:t>powerlessness</w:t>
      </w:r>
      <w:r>
        <w:rPr>
          <w:color w:val="231F20"/>
          <w:spacing w:val="-16"/>
          <w:w w:val="105"/>
        </w:rPr>
        <w:t xml:space="preserve"> </w:t>
      </w:r>
      <w:r>
        <w:rPr>
          <w:color w:val="231F20"/>
          <w:w w:val="105"/>
        </w:rPr>
        <w:t>through organizational</w:t>
      </w:r>
      <w:r>
        <w:rPr>
          <w:color w:val="231F20"/>
          <w:spacing w:val="-19"/>
          <w:w w:val="105"/>
        </w:rPr>
        <w:t xml:space="preserve"> </w:t>
      </w:r>
      <w:r>
        <w:rPr>
          <w:color w:val="231F20"/>
          <w:w w:val="105"/>
        </w:rPr>
        <w:t>fetishism—their</w:t>
      </w:r>
      <w:r>
        <w:rPr>
          <w:color w:val="231F20"/>
          <w:spacing w:val="-19"/>
          <w:w w:val="105"/>
        </w:rPr>
        <w:t xml:space="preserve"> </w:t>
      </w:r>
      <w:r>
        <w:rPr>
          <w:color w:val="231F20"/>
          <w:w w:val="105"/>
        </w:rPr>
        <w:t>decline</w:t>
      </w:r>
      <w:r>
        <w:rPr>
          <w:color w:val="231F20"/>
          <w:spacing w:val="-19"/>
          <w:w w:val="105"/>
        </w:rPr>
        <w:t xml:space="preserve"> </w:t>
      </w:r>
      <w:r>
        <w:rPr>
          <w:color w:val="231F20"/>
          <w:w w:val="105"/>
        </w:rPr>
        <w:t>into</w:t>
      </w:r>
      <w:r>
        <w:rPr>
          <w:color w:val="231F20"/>
          <w:spacing w:val="-19"/>
          <w:w w:val="105"/>
        </w:rPr>
        <w:t xml:space="preserve"> </w:t>
      </w:r>
      <w:r>
        <w:rPr>
          <w:color w:val="231F20"/>
          <w:w w:val="105"/>
        </w:rPr>
        <w:t>a</w:t>
      </w:r>
      <w:r>
        <w:rPr>
          <w:color w:val="231F20"/>
          <w:spacing w:val="-19"/>
          <w:w w:val="105"/>
        </w:rPr>
        <w:t xml:space="preserve"> </w:t>
      </w:r>
      <w:r>
        <w:rPr>
          <w:color w:val="231F20"/>
          <w:w w:val="105"/>
        </w:rPr>
        <w:t>dogmatic</w:t>
      </w:r>
      <w:r>
        <w:rPr>
          <w:color w:val="231F20"/>
          <w:spacing w:val="-19"/>
          <w:w w:val="105"/>
        </w:rPr>
        <w:t xml:space="preserve"> </w:t>
      </w:r>
      <w:r>
        <w:rPr>
          <w:color w:val="231F20"/>
          <w:w w:val="105"/>
        </w:rPr>
        <w:t>and</w:t>
      </w:r>
      <w:r>
        <w:rPr>
          <w:color w:val="231F20"/>
          <w:spacing w:val="-19"/>
          <w:w w:val="105"/>
        </w:rPr>
        <w:t xml:space="preserve"> </w:t>
      </w:r>
      <w:r>
        <w:rPr>
          <w:color w:val="231F20"/>
          <w:w w:val="105"/>
        </w:rPr>
        <w:t>pathologically competitive closed circle that only reproduced the structures of the</w:t>
      </w:r>
      <w:r>
        <w:rPr>
          <w:color w:val="231F20"/>
          <w:spacing w:val="-18"/>
          <w:w w:val="105"/>
        </w:rPr>
        <w:t xml:space="preserve"> </w:t>
      </w:r>
      <w:r>
        <w:rPr>
          <w:color w:val="231F20"/>
          <w:w w:val="105"/>
        </w:rPr>
        <w:t>ruling</w:t>
      </w:r>
      <w:r>
        <w:rPr>
          <w:color w:val="231F20"/>
          <w:spacing w:val="-18"/>
          <w:w w:val="105"/>
        </w:rPr>
        <w:t xml:space="preserve"> </w:t>
      </w:r>
      <w:r>
        <w:rPr>
          <w:color w:val="231F20"/>
          <w:w w:val="105"/>
        </w:rPr>
        <w:t>system,</w:t>
      </w:r>
      <w:r>
        <w:rPr>
          <w:color w:val="231F20"/>
          <w:spacing w:val="-18"/>
          <w:w w:val="105"/>
        </w:rPr>
        <w:t xml:space="preserve"> </w:t>
      </w:r>
      <w:r>
        <w:rPr>
          <w:color w:val="231F20"/>
          <w:w w:val="105"/>
        </w:rPr>
        <w:t>alienation,</w:t>
      </w:r>
      <w:r>
        <w:rPr>
          <w:color w:val="231F20"/>
          <w:spacing w:val="-18"/>
          <w:w w:val="105"/>
        </w:rPr>
        <w:t xml:space="preserve"> </w:t>
      </w:r>
      <w:r>
        <w:rPr>
          <w:color w:val="231F20"/>
          <w:w w:val="105"/>
        </w:rPr>
        <w:t>a</w:t>
      </w:r>
      <w:r>
        <w:rPr>
          <w:color w:val="231F20"/>
          <w:spacing w:val="-18"/>
          <w:w w:val="105"/>
        </w:rPr>
        <w:t xml:space="preserve"> </w:t>
      </w:r>
      <w:r>
        <w:rPr>
          <w:color w:val="231F20"/>
          <w:w w:val="105"/>
        </w:rPr>
        <w:t>know-it-all</w:t>
      </w:r>
      <w:r>
        <w:rPr>
          <w:color w:val="231F20"/>
          <w:spacing w:val="-18"/>
          <w:w w:val="105"/>
        </w:rPr>
        <w:t xml:space="preserve"> </w:t>
      </w:r>
      <w:r>
        <w:rPr>
          <w:color w:val="231F20"/>
          <w:w w:val="105"/>
        </w:rPr>
        <w:t>attitude,</w:t>
      </w:r>
      <w:r>
        <w:rPr>
          <w:color w:val="231F20"/>
          <w:spacing w:val="-18"/>
          <w:w w:val="105"/>
        </w:rPr>
        <w:t xml:space="preserve"> </w:t>
      </w:r>
      <w:r>
        <w:rPr>
          <w:color w:val="231F20"/>
          <w:w w:val="105"/>
        </w:rPr>
        <w:t>and</w:t>
      </w:r>
      <w:r>
        <w:rPr>
          <w:color w:val="231F20"/>
          <w:spacing w:val="-18"/>
          <w:w w:val="105"/>
        </w:rPr>
        <w:t xml:space="preserve"> </w:t>
      </w:r>
      <w:r>
        <w:rPr>
          <w:color w:val="231F20"/>
          <w:w w:val="105"/>
        </w:rPr>
        <w:t>indifference</w:t>
      </w:r>
      <w:r>
        <w:rPr>
          <w:color w:val="231F20"/>
          <w:spacing w:val="-18"/>
          <w:w w:val="105"/>
        </w:rPr>
        <w:t xml:space="preserve"> </w:t>
      </w:r>
      <w:r>
        <w:rPr>
          <w:color w:val="231F20"/>
          <w:w w:val="105"/>
        </w:rPr>
        <w:t>to oppression. They express a hatred of spontaneity equal to that of the system itself, and with their “party chairmen”—Marxism’s guardians of</w:t>
      </w:r>
      <w:r>
        <w:rPr>
          <w:color w:val="231F20"/>
          <w:spacing w:val="-17"/>
          <w:w w:val="105"/>
        </w:rPr>
        <w:t xml:space="preserve"> </w:t>
      </w:r>
      <w:r>
        <w:rPr>
          <w:color w:val="231F20"/>
          <w:w w:val="105"/>
        </w:rPr>
        <w:t>the</w:t>
      </w:r>
      <w:r>
        <w:rPr>
          <w:color w:val="231F20"/>
          <w:spacing w:val="-17"/>
          <w:w w:val="105"/>
        </w:rPr>
        <w:t xml:space="preserve"> </w:t>
      </w:r>
      <w:r>
        <w:rPr>
          <w:color w:val="231F20"/>
          <w:w w:val="105"/>
        </w:rPr>
        <w:t>grail—they</w:t>
      </w:r>
      <w:r>
        <w:rPr>
          <w:color w:val="231F20"/>
          <w:spacing w:val="-17"/>
          <w:w w:val="105"/>
        </w:rPr>
        <w:t xml:space="preserve"> </w:t>
      </w:r>
      <w:r>
        <w:rPr>
          <w:color w:val="231F20"/>
          <w:spacing w:val="1"/>
          <w:w w:val="105"/>
        </w:rPr>
        <w:t>turn</w:t>
      </w:r>
      <w:r>
        <w:rPr>
          <w:color w:val="231F20"/>
          <w:spacing w:val="-17"/>
          <w:w w:val="105"/>
        </w:rPr>
        <w:t xml:space="preserve"> </w:t>
      </w:r>
      <w:r>
        <w:rPr>
          <w:color w:val="231F20"/>
          <w:w w:val="105"/>
        </w:rPr>
        <w:t>the</w:t>
      </w:r>
      <w:r>
        <w:rPr>
          <w:color w:val="231F20"/>
          <w:spacing w:val="-17"/>
          <w:w w:val="105"/>
        </w:rPr>
        <w:t xml:space="preserve"> </w:t>
      </w:r>
      <w:r>
        <w:rPr>
          <w:color w:val="231F20"/>
          <w:w w:val="105"/>
        </w:rPr>
        <w:t>proletariat</w:t>
      </w:r>
      <w:r>
        <w:rPr>
          <w:color w:val="231F20"/>
          <w:spacing w:val="-17"/>
          <w:w w:val="105"/>
        </w:rPr>
        <w:t xml:space="preserve"> </w:t>
      </w:r>
      <w:r>
        <w:rPr>
          <w:color w:val="231F20"/>
          <w:w w:val="105"/>
        </w:rPr>
        <w:t>into</w:t>
      </w:r>
      <w:r>
        <w:rPr>
          <w:color w:val="231F20"/>
          <w:spacing w:val="-17"/>
          <w:w w:val="105"/>
        </w:rPr>
        <w:t xml:space="preserve"> </w:t>
      </w:r>
      <w:r>
        <w:rPr>
          <w:color w:val="231F20"/>
          <w:w w:val="105"/>
        </w:rPr>
        <w:t>an</w:t>
      </w:r>
      <w:r>
        <w:rPr>
          <w:color w:val="231F20"/>
          <w:spacing w:val="-17"/>
          <w:w w:val="105"/>
        </w:rPr>
        <w:t xml:space="preserve"> </w:t>
      </w:r>
      <w:r>
        <w:rPr>
          <w:color w:val="231F20"/>
          <w:w w:val="105"/>
        </w:rPr>
        <w:t>object</w:t>
      </w:r>
      <w:r>
        <w:rPr>
          <w:color w:val="231F20"/>
          <w:spacing w:val="-17"/>
          <w:w w:val="105"/>
        </w:rPr>
        <w:t xml:space="preserve"> </w:t>
      </w:r>
      <w:r>
        <w:rPr>
          <w:color w:val="231F20"/>
          <w:w w:val="105"/>
        </w:rPr>
        <w:t>of</w:t>
      </w:r>
      <w:r>
        <w:rPr>
          <w:color w:val="231F20"/>
          <w:spacing w:val="-17"/>
          <w:w w:val="105"/>
        </w:rPr>
        <w:t xml:space="preserve"> </w:t>
      </w:r>
      <w:r>
        <w:rPr>
          <w:color w:val="231F20"/>
          <w:w w:val="105"/>
        </w:rPr>
        <w:t>their</w:t>
      </w:r>
      <w:r>
        <w:rPr>
          <w:color w:val="231F20"/>
          <w:spacing w:val="-17"/>
          <w:w w:val="105"/>
        </w:rPr>
        <w:t xml:space="preserve"> </w:t>
      </w:r>
      <w:r>
        <w:rPr>
          <w:color w:val="231F20"/>
          <w:w w:val="105"/>
        </w:rPr>
        <w:t>leadership aspirations. They see in the masses nothing but what the system has made</w:t>
      </w:r>
      <w:r>
        <w:rPr>
          <w:color w:val="231F20"/>
          <w:spacing w:val="-22"/>
          <w:w w:val="105"/>
        </w:rPr>
        <w:t xml:space="preserve"> </w:t>
      </w:r>
      <w:r>
        <w:rPr>
          <w:color w:val="231F20"/>
          <w:w w:val="105"/>
        </w:rPr>
        <w:t>them:</w:t>
      </w:r>
      <w:r>
        <w:rPr>
          <w:color w:val="231F20"/>
          <w:spacing w:val="-21"/>
          <w:w w:val="105"/>
        </w:rPr>
        <w:t xml:space="preserve"> </w:t>
      </w:r>
      <w:r>
        <w:rPr>
          <w:i/>
          <w:color w:val="231F20"/>
          <w:w w:val="105"/>
        </w:rPr>
        <w:t>Bild</w:t>
      </w:r>
      <w:r>
        <w:rPr>
          <w:i/>
          <w:color w:val="231F20"/>
          <w:spacing w:val="-21"/>
          <w:w w:val="105"/>
        </w:rPr>
        <w:t xml:space="preserve"> </w:t>
      </w:r>
      <w:r>
        <w:rPr>
          <w:color w:val="231F20"/>
          <w:w w:val="105"/>
        </w:rPr>
        <w:t>readers,</w:t>
      </w:r>
      <w:r>
        <w:rPr>
          <w:color w:val="231F20"/>
          <w:spacing w:val="-22"/>
          <w:w w:val="105"/>
        </w:rPr>
        <w:t xml:space="preserve"> </w:t>
      </w:r>
      <w:r>
        <w:rPr>
          <w:color w:val="231F20"/>
          <w:w w:val="105"/>
        </w:rPr>
        <w:t>television</w:t>
      </w:r>
      <w:r>
        <w:rPr>
          <w:color w:val="231F20"/>
          <w:spacing w:val="-22"/>
          <w:w w:val="105"/>
        </w:rPr>
        <w:t xml:space="preserve"> </w:t>
      </w:r>
      <w:r>
        <w:rPr>
          <w:color w:val="231F20"/>
          <w:w w:val="105"/>
        </w:rPr>
        <w:t>viewers,</w:t>
      </w:r>
      <w:r>
        <w:rPr>
          <w:color w:val="231F20"/>
          <w:spacing w:val="-22"/>
          <w:w w:val="105"/>
        </w:rPr>
        <w:t xml:space="preserve"> </w:t>
      </w:r>
      <w:r>
        <w:rPr>
          <w:color w:val="231F20"/>
          <w:w w:val="105"/>
        </w:rPr>
        <w:t>car</w:t>
      </w:r>
      <w:r>
        <w:rPr>
          <w:color w:val="231F20"/>
          <w:spacing w:val="-22"/>
          <w:w w:val="105"/>
        </w:rPr>
        <w:t xml:space="preserve"> </w:t>
      </w:r>
      <w:r>
        <w:rPr>
          <w:color w:val="231F20"/>
          <w:w w:val="105"/>
        </w:rPr>
        <w:t>nuts,</w:t>
      </w:r>
      <w:r>
        <w:rPr>
          <w:color w:val="231F20"/>
          <w:spacing w:val="-22"/>
          <w:w w:val="105"/>
        </w:rPr>
        <w:t xml:space="preserve"> </w:t>
      </w:r>
      <w:r>
        <w:rPr>
          <w:color w:val="231F20"/>
          <w:w w:val="105"/>
        </w:rPr>
        <w:t>tourists,</w:t>
      </w:r>
      <w:r>
        <w:rPr>
          <w:color w:val="231F20"/>
          <w:spacing w:val="-21"/>
          <w:w w:val="105"/>
        </w:rPr>
        <w:t xml:space="preserve"> </w:t>
      </w:r>
      <w:r>
        <w:rPr>
          <w:color w:val="231F20"/>
          <w:w w:val="105"/>
        </w:rPr>
        <w:t>SPD</w:t>
      </w:r>
      <w:r>
        <w:rPr>
          <w:color w:val="231F20"/>
          <w:spacing w:val="-21"/>
          <w:w w:val="105"/>
        </w:rPr>
        <w:t xml:space="preserve"> </w:t>
      </w:r>
      <w:r>
        <w:rPr>
          <w:color w:val="231F20"/>
          <w:w w:val="105"/>
        </w:rPr>
        <w:t>voters,</w:t>
      </w:r>
      <w:r>
        <w:rPr>
          <w:color w:val="231F20"/>
          <w:spacing w:val="-14"/>
          <w:w w:val="105"/>
        </w:rPr>
        <w:t xml:space="preserve"> </w:t>
      </w:r>
      <w:r>
        <w:rPr>
          <w:color w:val="231F20"/>
          <w:spacing w:val="1"/>
          <w:w w:val="105"/>
        </w:rPr>
        <w:t>Germans—as</w:t>
      </w:r>
      <w:r>
        <w:rPr>
          <w:color w:val="231F20"/>
          <w:spacing w:val="-14"/>
          <w:w w:val="105"/>
        </w:rPr>
        <w:t xml:space="preserve"> </w:t>
      </w:r>
      <w:r>
        <w:rPr>
          <w:color w:val="231F20"/>
          <w:w w:val="105"/>
        </w:rPr>
        <w:t>the</w:t>
      </w:r>
      <w:r>
        <w:rPr>
          <w:color w:val="231F20"/>
          <w:spacing w:val="-14"/>
          <w:w w:val="105"/>
        </w:rPr>
        <w:t xml:space="preserve"> </w:t>
      </w:r>
      <w:r>
        <w:rPr>
          <w:color w:val="231F20"/>
          <w:w w:val="105"/>
        </w:rPr>
        <w:t>squares</w:t>
      </w:r>
      <w:r>
        <w:rPr>
          <w:color w:val="231F20"/>
          <w:spacing w:val="-14"/>
          <w:w w:val="105"/>
        </w:rPr>
        <w:t xml:space="preserve"> </w:t>
      </w:r>
      <w:r>
        <w:rPr>
          <w:color w:val="231F20"/>
          <w:w w:val="105"/>
        </w:rPr>
        <w:t>(already</w:t>
      </w:r>
      <w:r>
        <w:rPr>
          <w:color w:val="231F20"/>
          <w:spacing w:val="-14"/>
          <w:w w:val="105"/>
        </w:rPr>
        <w:t xml:space="preserve"> </w:t>
      </w:r>
      <w:r>
        <w:rPr>
          <w:color w:val="231F20"/>
          <w:w w:val="105"/>
        </w:rPr>
        <w:t>a</w:t>
      </w:r>
      <w:r>
        <w:rPr>
          <w:color w:val="231F20"/>
          <w:spacing w:val="-14"/>
          <w:w w:val="105"/>
        </w:rPr>
        <w:t xml:space="preserve"> </w:t>
      </w:r>
      <w:r>
        <w:rPr>
          <w:color w:val="231F20"/>
          <w:w w:val="105"/>
        </w:rPr>
        <w:t>classic)</w:t>
      </w:r>
      <w:r>
        <w:rPr>
          <w:color w:val="231F20"/>
          <w:spacing w:val="-14"/>
          <w:w w:val="105"/>
        </w:rPr>
        <w:t xml:space="preserve"> </w:t>
      </w:r>
      <w:r>
        <w:rPr>
          <w:color w:val="231F20"/>
          <w:w w:val="105"/>
        </w:rPr>
        <w:t>always</w:t>
      </w:r>
      <w:r>
        <w:rPr>
          <w:color w:val="231F20"/>
          <w:spacing w:val="-14"/>
          <w:w w:val="105"/>
        </w:rPr>
        <w:t xml:space="preserve"> </w:t>
      </w:r>
      <w:r>
        <w:rPr>
          <w:color w:val="231F20"/>
          <w:w w:val="105"/>
        </w:rPr>
        <w:t>ask:</w:t>
      </w:r>
      <w:r>
        <w:rPr>
          <w:color w:val="231F20"/>
          <w:spacing w:val="-14"/>
          <w:w w:val="105"/>
        </w:rPr>
        <w:t xml:space="preserve"> </w:t>
      </w:r>
      <w:r>
        <w:rPr>
          <w:color w:val="231F20"/>
          <w:w w:val="105"/>
        </w:rPr>
        <w:t>“What</w:t>
      </w:r>
      <w:r>
        <w:rPr>
          <w:color w:val="231F20"/>
          <w:spacing w:val="-14"/>
          <w:w w:val="105"/>
        </w:rPr>
        <w:t xml:space="preserve"> </w:t>
      </w:r>
      <w:r>
        <w:rPr>
          <w:color w:val="231F20"/>
          <w:w w:val="105"/>
        </w:rPr>
        <w:t>do the people</w:t>
      </w:r>
      <w:r>
        <w:rPr>
          <w:color w:val="231F20"/>
          <w:spacing w:val="15"/>
          <w:w w:val="105"/>
        </w:rPr>
        <w:t xml:space="preserve"> </w:t>
      </w:r>
      <w:r>
        <w:rPr>
          <w:color w:val="231F20"/>
          <w:spacing w:val="-3"/>
          <w:w w:val="105"/>
        </w:rPr>
        <w:t>say?”</w:t>
      </w:r>
    </w:p>
    <w:p w14:paraId="7C808A3F" w14:textId="77777777" w:rsidR="002653E8" w:rsidRDefault="003115E3">
      <w:pPr>
        <w:pStyle w:val="a3"/>
        <w:spacing w:line="264" w:lineRule="auto"/>
        <w:ind w:left="1148" w:right="1325" w:firstLine="210"/>
        <w:jc w:val="both"/>
      </w:pPr>
      <w:r>
        <w:rPr>
          <w:color w:val="231F20"/>
        </w:rPr>
        <w:t xml:space="preserve">The narrow-minded nation-state perspective of the opportunist left is petit bourgeois. It fails to recognize or acknowledge that the people of the Third </w:t>
      </w:r>
      <w:r>
        <w:rPr>
          <w:color w:val="231F20"/>
          <w:spacing w:val="-4"/>
        </w:rPr>
        <w:t xml:space="preserve">World </w:t>
      </w:r>
      <w:r>
        <w:rPr>
          <w:color w:val="231F20"/>
        </w:rPr>
        <w:t xml:space="preserve">are the vanguard and that the struggle in the metropole is the struggle of international brigades of the people’s war in Quang   </w:t>
      </w:r>
      <w:r>
        <w:rPr>
          <w:color w:val="231F20"/>
          <w:spacing w:val="-3"/>
        </w:rPr>
        <w:t xml:space="preserve">Tri </w:t>
      </w:r>
      <w:r>
        <w:rPr>
          <w:color w:val="231F20"/>
        </w:rPr>
        <w:t>and Hue,</w:t>
      </w:r>
      <w:r>
        <w:rPr>
          <w:color w:val="231F20"/>
          <w:position w:val="7"/>
          <w:sz w:val="11"/>
        </w:rPr>
        <w:t xml:space="preserve">2 </w:t>
      </w:r>
      <w:r>
        <w:rPr>
          <w:color w:val="231F20"/>
        </w:rPr>
        <w:t xml:space="preserve">Palestine, Lebanon, Angola, Mozambique, and </w:t>
      </w:r>
      <w:r>
        <w:rPr>
          <w:color w:val="231F20"/>
          <w:spacing w:val="-5"/>
        </w:rPr>
        <w:t xml:space="preserve">Turkey, </w:t>
      </w:r>
      <w:r>
        <w:rPr>
          <w:color w:val="231F20"/>
        </w:rPr>
        <w:t>without</w:t>
      </w:r>
      <w:r>
        <w:rPr>
          <w:color w:val="231F20"/>
          <w:spacing w:val="13"/>
        </w:rPr>
        <w:t xml:space="preserve"> </w:t>
      </w:r>
      <w:r>
        <w:rPr>
          <w:color w:val="231F20"/>
        </w:rPr>
        <w:t>which</w:t>
      </w:r>
      <w:r>
        <w:rPr>
          <w:color w:val="231F20"/>
          <w:spacing w:val="13"/>
        </w:rPr>
        <w:t xml:space="preserve"> </w:t>
      </w:r>
      <w:r>
        <w:rPr>
          <w:color w:val="231F20"/>
        </w:rPr>
        <w:t>no</w:t>
      </w:r>
      <w:r>
        <w:rPr>
          <w:color w:val="231F20"/>
          <w:spacing w:val="13"/>
        </w:rPr>
        <w:t xml:space="preserve"> </w:t>
      </w:r>
      <w:r>
        <w:rPr>
          <w:color w:val="231F20"/>
        </w:rPr>
        <w:t>advances</w:t>
      </w:r>
      <w:r>
        <w:rPr>
          <w:color w:val="231F20"/>
          <w:spacing w:val="13"/>
        </w:rPr>
        <w:t xml:space="preserve"> </w:t>
      </w:r>
      <w:r>
        <w:rPr>
          <w:color w:val="231F20"/>
        </w:rPr>
        <w:t>will</w:t>
      </w:r>
      <w:r>
        <w:rPr>
          <w:color w:val="231F20"/>
          <w:spacing w:val="13"/>
        </w:rPr>
        <w:t xml:space="preserve"> </w:t>
      </w:r>
      <w:r>
        <w:rPr>
          <w:color w:val="231F20"/>
        </w:rPr>
        <w:t>be</w:t>
      </w:r>
      <w:r>
        <w:rPr>
          <w:color w:val="231F20"/>
          <w:spacing w:val="13"/>
        </w:rPr>
        <w:t xml:space="preserve"> </w:t>
      </w:r>
      <w:r>
        <w:rPr>
          <w:color w:val="231F20"/>
        </w:rPr>
        <w:t>made.</w:t>
      </w:r>
      <w:r>
        <w:rPr>
          <w:color w:val="231F20"/>
          <w:spacing w:val="13"/>
        </w:rPr>
        <w:t xml:space="preserve"> </w:t>
      </w:r>
      <w:r>
        <w:rPr>
          <w:color w:val="231F20"/>
        </w:rPr>
        <w:t>It</w:t>
      </w:r>
      <w:r>
        <w:rPr>
          <w:color w:val="231F20"/>
          <w:spacing w:val="13"/>
        </w:rPr>
        <w:t xml:space="preserve"> </w:t>
      </w:r>
      <w:r>
        <w:rPr>
          <w:color w:val="231F20"/>
        </w:rPr>
        <w:t>is</w:t>
      </w:r>
      <w:r>
        <w:rPr>
          <w:color w:val="231F20"/>
          <w:spacing w:val="13"/>
        </w:rPr>
        <w:t xml:space="preserve"> </w:t>
      </w:r>
      <w:r>
        <w:rPr>
          <w:color w:val="231F20"/>
        </w:rPr>
        <w:t>also</w:t>
      </w:r>
      <w:r>
        <w:rPr>
          <w:color w:val="231F20"/>
          <w:spacing w:val="13"/>
        </w:rPr>
        <w:t xml:space="preserve"> </w:t>
      </w:r>
      <w:r>
        <w:rPr>
          <w:color w:val="231F20"/>
        </w:rPr>
        <w:t>petit</w:t>
      </w:r>
      <w:r>
        <w:rPr>
          <w:color w:val="231F20"/>
          <w:spacing w:val="13"/>
        </w:rPr>
        <w:t xml:space="preserve"> </w:t>
      </w:r>
      <w:r>
        <w:rPr>
          <w:color w:val="231F20"/>
        </w:rPr>
        <w:t>bourgeois</w:t>
      </w:r>
      <w:r>
        <w:rPr>
          <w:color w:val="231F20"/>
          <w:spacing w:val="13"/>
        </w:rPr>
        <w:t xml:space="preserve"> </w:t>
      </w:r>
      <w:r>
        <w:rPr>
          <w:color w:val="231F20"/>
        </w:rPr>
        <w:t>and</w:t>
      </w:r>
    </w:p>
    <w:p w14:paraId="6A44A033" w14:textId="77777777" w:rsidR="002653E8" w:rsidRDefault="00000000">
      <w:pPr>
        <w:pStyle w:val="a3"/>
        <w:spacing w:before="2"/>
        <w:rPr>
          <w:sz w:val="12"/>
        </w:rPr>
      </w:pPr>
      <w:r>
        <w:rPr>
          <w:noProof w:val="0"/>
        </w:rPr>
        <w:pict w14:anchorId="1921EF33">
          <v:line id="_x0000_s2454" style="position:absolute;z-index:5800;mso-wrap-distance-left:0;mso-wrap-distance-right:0;mso-position-horizontal-relative:page" from="57.4pt,9.4pt" to="129.4pt,9.4pt" strokecolor="#231f20" strokeweight=".5pt">
            <w10:wrap type="topAndBottom" anchorx="page"/>
          </v:line>
        </w:pict>
      </w:r>
    </w:p>
    <w:p w14:paraId="65C2B48B" w14:textId="77777777" w:rsidR="002653E8" w:rsidRDefault="003115E3">
      <w:pPr>
        <w:pStyle w:val="a4"/>
        <w:numPr>
          <w:ilvl w:val="0"/>
          <w:numId w:val="126"/>
        </w:numPr>
        <w:tabs>
          <w:tab w:val="left" w:pos="1287"/>
        </w:tabs>
        <w:spacing w:before="53" w:line="254" w:lineRule="auto"/>
        <w:ind w:right="1790" w:firstLine="0"/>
        <w:jc w:val="left"/>
        <w:rPr>
          <w:sz w:val="16"/>
        </w:rPr>
      </w:pPr>
      <w:r>
        <w:rPr>
          <w:color w:val="231F20"/>
          <w:spacing w:val="1"/>
          <w:w w:val="105"/>
          <w:sz w:val="16"/>
        </w:rPr>
        <w:t xml:space="preserve">This </w:t>
      </w:r>
      <w:r>
        <w:rPr>
          <w:color w:val="231F20"/>
          <w:w w:val="105"/>
          <w:sz w:val="16"/>
        </w:rPr>
        <w:t xml:space="preserve">is a retort to </w:t>
      </w:r>
      <w:r>
        <w:rPr>
          <w:color w:val="231F20"/>
          <w:spacing w:val="1"/>
          <w:w w:val="105"/>
          <w:sz w:val="16"/>
        </w:rPr>
        <w:t xml:space="preserve">Negt, </w:t>
      </w:r>
      <w:r>
        <w:rPr>
          <w:color w:val="231F20"/>
          <w:w w:val="105"/>
          <w:sz w:val="16"/>
        </w:rPr>
        <w:t xml:space="preserve">who at the Angela Davis Congress in </w:t>
      </w:r>
      <w:r>
        <w:rPr>
          <w:color w:val="231F20"/>
          <w:spacing w:val="1"/>
          <w:w w:val="105"/>
          <w:sz w:val="16"/>
        </w:rPr>
        <w:t xml:space="preserve">Frankfurt </w:t>
      </w:r>
      <w:r>
        <w:rPr>
          <w:color w:val="231F20"/>
          <w:w w:val="105"/>
          <w:sz w:val="16"/>
        </w:rPr>
        <w:t xml:space="preserve">had referred to Kurras as a lone gun-nut, and to the June 2, </w:t>
      </w:r>
      <w:r>
        <w:rPr>
          <w:color w:val="231F20"/>
          <w:spacing w:val="-4"/>
          <w:w w:val="105"/>
          <w:sz w:val="16"/>
        </w:rPr>
        <w:t xml:space="preserve">1967, </w:t>
      </w:r>
      <w:r>
        <w:rPr>
          <w:color w:val="231F20"/>
          <w:w w:val="105"/>
          <w:sz w:val="16"/>
        </w:rPr>
        <w:t>shooting as an isolated tragedy that did not represent state</w:t>
      </w:r>
      <w:r>
        <w:rPr>
          <w:color w:val="231F20"/>
          <w:spacing w:val="13"/>
          <w:w w:val="105"/>
          <w:sz w:val="16"/>
        </w:rPr>
        <w:t xml:space="preserve"> </w:t>
      </w:r>
      <w:r>
        <w:rPr>
          <w:color w:val="231F20"/>
          <w:w w:val="105"/>
          <w:sz w:val="16"/>
        </w:rPr>
        <w:t>policy.</w:t>
      </w:r>
    </w:p>
    <w:p w14:paraId="79952789" w14:textId="77777777" w:rsidR="002653E8" w:rsidRDefault="003115E3">
      <w:pPr>
        <w:pStyle w:val="a4"/>
        <w:numPr>
          <w:ilvl w:val="0"/>
          <w:numId w:val="126"/>
        </w:numPr>
        <w:tabs>
          <w:tab w:val="left" w:pos="1287"/>
        </w:tabs>
        <w:spacing w:line="254" w:lineRule="auto"/>
        <w:ind w:right="1545" w:firstLine="0"/>
        <w:jc w:val="left"/>
        <w:rPr>
          <w:sz w:val="16"/>
        </w:rPr>
      </w:pPr>
      <w:r>
        <w:rPr>
          <w:color w:val="231F20"/>
          <w:w w:val="105"/>
          <w:sz w:val="16"/>
        </w:rPr>
        <w:t>Refers to areas in the far North of the former Republic of Vietnam (South Vietnam) that became important staging points for communist guerillas from the North during the Vietnam</w:t>
      </w:r>
      <w:r>
        <w:rPr>
          <w:color w:val="231F20"/>
          <w:spacing w:val="35"/>
          <w:w w:val="105"/>
          <w:sz w:val="16"/>
        </w:rPr>
        <w:t xml:space="preserve"> </w:t>
      </w:r>
      <w:r>
        <w:rPr>
          <w:color w:val="231F20"/>
          <w:w w:val="105"/>
          <w:sz w:val="16"/>
        </w:rPr>
        <w:t>War.</w:t>
      </w:r>
    </w:p>
    <w:p w14:paraId="6A1ABA50" w14:textId="77777777" w:rsidR="002653E8" w:rsidRDefault="002653E8">
      <w:pPr>
        <w:spacing w:line="254" w:lineRule="auto"/>
        <w:rPr>
          <w:sz w:val="16"/>
        </w:rPr>
        <w:sectPr w:rsidR="002653E8">
          <w:pgSz w:w="8640" w:h="12960"/>
          <w:pgMar w:top="1060" w:right="0" w:bottom="1040" w:left="0" w:header="0" w:footer="850" w:gutter="0"/>
          <w:cols w:space="720"/>
        </w:sectPr>
      </w:pPr>
    </w:p>
    <w:p w14:paraId="1E6A7F88" w14:textId="77777777" w:rsidR="002653E8" w:rsidRDefault="003115E3">
      <w:pPr>
        <w:pStyle w:val="a3"/>
        <w:spacing w:before="86" w:line="264" w:lineRule="auto"/>
        <w:ind w:left="1327" w:right="1146"/>
        <w:jc w:val="both"/>
      </w:pPr>
      <w:r>
        <w:rPr>
          <w:color w:val="231F20"/>
        </w:rPr>
        <w:lastRenderedPageBreak/>
        <w:t>un-Marxist to not recognize that the masses here will eventually find their political identity on the side of the liberation struggles, and will eventually free themselves from the grip of the system, with its lies, its glitziness, its election promises, and its lotteries.</w:t>
      </w:r>
    </w:p>
    <w:p w14:paraId="76AB5088" w14:textId="77777777" w:rsidR="002653E8" w:rsidRDefault="003115E3">
      <w:pPr>
        <w:pStyle w:val="a3"/>
        <w:spacing w:line="264" w:lineRule="auto"/>
        <w:ind w:left="1327" w:right="1146" w:firstLine="210"/>
        <w:jc w:val="both"/>
      </w:pPr>
      <w:r>
        <w:rPr>
          <w:color w:val="231F20"/>
        </w:rPr>
        <w:t>Petit</w:t>
      </w:r>
      <w:r>
        <w:rPr>
          <w:color w:val="231F20"/>
          <w:spacing w:val="-5"/>
        </w:rPr>
        <w:t xml:space="preserve"> </w:t>
      </w:r>
      <w:r>
        <w:rPr>
          <w:color w:val="231F20"/>
        </w:rPr>
        <w:t>bourgeois</w:t>
      </w:r>
      <w:r>
        <w:rPr>
          <w:color w:val="231F20"/>
          <w:spacing w:val="-5"/>
        </w:rPr>
        <w:t xml:space="preserve"> </w:t>
      </w:r>
      <w:r>
        <w:rPr>
          <w:color w:val="231F20"/>
        </w:rPr>
        <w:t>impatience</w:t>
      </w:r>
      <w:r>
        <w:rPr>
          <w:color w:val="231F20"/>
          <w:spacing w:val="-5"/>
        </w:rPr>
        <w:t xml:space="preserve"> </w:t>
      </w:r>
      <w:r>
        <w:rPr>
          <w:color w:val="231F20"/>
        </w:rPr>
        <w:t>led</w:t>
      </w:r>
      <w:r>
        <w:rPr>
          <w:color w:val="231F20"/>
          <w:spacing w:val="-5"/>
        </w:rPr>
        <w:t xml:space="preserve"> </w:t>
      </w:r>
      <w:r>
        <w:rPr>
          <w:color w:val="231F20"/>
        </w:rPr>
        <w:t>to</w:t>
      </w:r>
      <w:r>
        <w:rPr>
          <w:color w:val="231F20"/>
          <w:spacing w:val="-5"/>
        </w:rPr>
        <w:t xml:space="preserve"> </w:t>
      </w:r>
      <w:r>
        <w:rPr>
          <w:color w:val="231F20"/>
        </w:rPr>
        <w:t>them</w:t>
      </w:r>
      <w:r>
        <w:rPr>
          <w:color w:val="231F20"/>
          <w:spacing w:val="-5"/>
        </w:rPr>
        <w:t xml:space="preserve"> </w:t>
      </w:r>
      <w:r>
        <w:rPr>
          <w:color w:val="231F20"/>
        </w:rPr>
        <w:t>giving</w:t>
      </w:r>
      <w:r>
        <w:rPr>
          <w:color w:val="231F20"/>
          <w:spacing w:val="-5"/>
        </w:rPr>
        <w:t xml:space="preserve"> </w:t>
      </w:r>
      <w:r>
        <w:rPr>
          <w:color w:val="231F20"/>
        </w:rPr>
        <w:t>up</w:t>
      </w:r>
      <w:r>
        <w:rPr>
          <w:color w:val="231F20"/>
          <w:spacing w:val="-5"/>
        </w:rPr>
        <w:t xml:space="preserve"> </w:t>
      </w:r>
      <w:r>
        <w:rPr>
          <w:color w:val="231F20"/>
        </w:rPr>
        <w:t>their</w:t>
      </w:r>
      <w:r>
        <w:rPr>
          <w:color w:val="231F20"/>
          <w:spacing w:val="-5"/>
        </w:rPr>
        <w:t xml:space="preserve"> </w:t>
      </w:r>
      <w:r>
        <w:rPr>
          <w:color w:val="231F20"/>
        </w:rPr>
        <w:t>anti-imperialist position after one disappointing year in which the student movement failed to win the support of the proletariat and discovered that Springer could</w:t>
      </w:r>
      <w:r>
        <w:rPr>
          <w:color w:val="231F20"/>
          <w:spacing w:val="11"/>
        </w:rPr>
        <w:t xml:space="preserve"> </w:t>
      </w:r>
      <w:r>
        <w:rPr>
          <w:color w:val="231F20"/>
        </w:rPr>
        <w:t>not</w:t>
      </w:r>
      <w:r>
        <w:rPr>
          <w:color w:val="231F20"/>
          <w:spacing w:val="11"/>
        </w:rPr>
        <w:t xml:space="preserve"> </w:t>
      </w:r>
      <w:r>
        <w:rPr>
          <w:color w:val="231F20"/>
        </w:rPr>
        <w:t>be</w:t>
      </w:r>
      <w:r>
        <w:rPr>
          <w:color w:val="231F20"/>
          <w:spacing w:val="11"/>
        </w:rPr>
        <w:t xml:space="preserve"> </w:t>
      </w:r>
      <w:r>
        <w:rPr>
          <w:color w:val="231F20"/>
        </w:rPr>
        <w:t>expropriated</w:t>
      </w:r>
      <w:r>
        <w:rPr>
          <w:color w:val="231F20"/>
          <w:spacing w:val="11"/>
        </w:rPr>
        <w:t xml:space="preserve"> </w:t>
      </w:r>
      <w:r>
        <w:rPr>
          <w:color w:val="231F20"/>
        </w:rPr>
        <w:t>quickly</w:t>
      </w:r>
      <w:r>
        <w:rPr>
          <w:color w:val="231F20"/>
          <w:spacing w:val="11"/>
        </w:rPr>
        <w:t xml:space="preserve"> </w:t>
      </w:r>
      <w:r>
        <w:rPr>
          <w:color w:val="231F20"/>
        </w:rPr>
        <w:t>and</w:t>
      </w:r>
      <w:r>
        <w:rPr>
          <w:color w:val="231F20"/>
          <w:spacing w:val="11"/>
        </w:rPr>
        <w:t xml:space="preserve"> </w:t>
      </w:r>
      <w:r>
        <w:rPr>
          <w:color w:val="231F20"/>
        </w:rPr>
        <w:t>without</w:t>
      </w:r>
      <w:r>
        <w:rPr>
          <w:color w:val="231F20"/>
          <w:spacing w:val="11"/>
        </w:rPr>
        <w:t xml:space="preserve"> </w:t>
      </w:r>
      <w:r>
        <w:rPr>
          <w:color w:val="231F20"/>
        </w:rPr>
        <w:t>further</w:t>
      </w:r>
      <w:r>
        <w:rPr>
          <w:color w:val="231F20"/>
          <w:spacing w:val="11"/>
        </w:rPr>
        <w:t xml:space="preserve"> </w:t>
      </w:r>
      <w:r>
        <w:rPr>
          <w:color w:val="231F20"/>
        </w:rPr>
        <w:t>ado.</w:t>
      </w:r>
    </w:p>
    <w:p w14:paraId="253D603A" w14:textId="77777777" w:rsidR="002653E8" w:rsidRDefault="002653E8">
      <w:pPr>
        <w:pStyle w:val="a3"/>
        <w:spacing w:before="2"/>
        <w:rPr>
          <w:sz w:val="21"/>
        </w:rPr>
      </w:pPr>
    </w:p>
    <w:p w14:paraId="3EA15D6C" w14:textId="77777777" w:rsidR="002653E8" w:rsidRDefault="003115E3">
      <w:pPr>
        <w:ind w:left="1327"/>
        <w:rPr>
          <w:i/>
          <w:sz w:val="20"/>
        </w:rPr>
      </w:pPr>
      <w:r>
        <w:rPr>
          <w:i/>
          <w:color w:val="231F20"/>
          <w:w w:val="105"/>
          <w:sz w:val="20"/>
        </w:rPr>
        <w:t>Anarchism—A Reproach</w:t>
      </w:r>
    </w:p>
    <w:p w14:paraId="4F89D598" w14:textId="77777777" w:rsidR="002653E8" w:rsidRDefault="003115E3">
      <w:pPr>
        <w:pStyle w:val="a3"/>
        <w:spacing w:before="23" w:line="264" w:lineRule="auto"/>
        <w:ind w:left="1327" w:right="1146"/>
        <w:jc w:val="both"/>
        <w:rPr>
          <w:sz w:val="11"/>
        </w:rPr>
      </w:pPr>
      <w:r>
        <w:rPr>
          <w:color w:val="231F20"/>
        </w:rPr>
        <w:t>Some dismiss the antiauthoritarian movement as anarchist and the international anti-imperialist struggle as anarchist internationalism. In doing</w:t>
      </w:r>
      <w:r w:rsidR="00912B26">
        <w:rPr>
          <w:color w:val="231F20"/>
        </w:rPr>
        <w:t xml:space="preserve"> </w:t>
      </w:r>
      <w:r w:rsidR="00912B26" w:rsidRPr="00912B26">
        <w:rPr>
          <w:color w:val="231F20"/>
        </w:rPr>
        <w:t>so</w:t>
      </w:r>
      <w:r>
        <w:rPr>
          <w:color w:val="231F20"/>
        </w:rPr>
        <w:t xml:space="preserve"> the system’s only objective is denunciation—when people mount this sort of dogmatic argument, they are not drawing their conclusions from an analysis of the system and its process of development, but from a chemical analysis of explosives—from historical analogies based on nothing—a case in point: Harich.</w:t>
      </w:r>
      <w:r>
        <w:rPr>
          <w:color w:val="231F20"/>
          <w:position w:val="7"/>
          <w:sz w:val="11"/>
        </w:rPr>
        <w:t>3</w:t>
      </w:r>
    </w:p>
    <w:p w14:paraId="75D40E7E" w14:textId="77777777" w:rsidR="002653E8" w:rsidRDefault="003115E3">
      <w:pPr>
        <w:pStyle w:val="a3"/>
        <w:spacing w:line="264" w:lineRule="auto"/>
        <w:ind w:left="1327" w:right="1146" w:firstLine="210"/>
        <w:jc w:val="both"/>
      </w:pPr>
      <w:r>
        <w:rPr>
          <w:color w:val="231F20"/>
        </w:rPr>
        <w:t>Neither the actual socio-economic conditions nor the conception of the state held by earlier anarchists—from Blanqui to Kropotkin—(the Makhno movement</w:t>
      </w:r>
      <w:r>
        <w:rPr>
          <w:color w:val="231F20"/>
          <w:position w:val="7"/>
          <w:sz w:val="11"/>
        </w:rPr>
        <w:t xml:space="preserve">4 </w:t>
      </w:r>
      <w:r>
        <w:rPr>
          <w:color w:val="231F20"/>
        </w:rPr>
        <w:t xml:space="preserve">and Spanish anarcho-syndicalism are not targeted as such in this critique) have the slightest thing to do with the objective conditions or subjective positions of the antiauthoritarian movement or the </w:t>
      </w:r>
      <w:r w:rsidR="00C507A5">
        <w:rPr>
          <w:color w:val="231F20"/>
        </w:rPr>
        <w:t>red army faction</w:t>
      </w:r>
      <w:r>
        <w:rPr>
          <w:color w:val="231F20"/>
        </w:rPr>
        <w:t>. And this is equally true in the case of comrades who refer to themselves as anarchists. They are clearly anti-imperialist—overflowing with distrust for all the “Marxists” who patronize them and hope     to subjugate them on the basis of nothing more than bourgeois educational advantages. Their antiauthoritarian characteristics allow them to keep their distance from this</w:t>
      </w:r>
      <w:r>
        <w:rPr>
          <w:color w:val="231F20"/>
          <w:spacing w:val="10"/>
        </w:rPr>
        <w:t xml:space="preserve"> </w:t>
      </w:r>
      <w:r>
        <w:rPr>
          <w:color w:val="231F20"/>
        </w:rPr>
        <w:t>paternalism.</w:t>
      </w:r>
    </w:p>
    <w:p w14:paraId="633CF5A7" w14:textId="77777777" w:rsidR="002653E8" w:rsidRDefault="003115E3">
      <w:pPr>
        <w:pStyle w:val="a3"/>
        <w:spacing w:line="264" w:lineRule="auto"/>
        <w:ind w:left="1327" w:right="1146" w:firstLine="210"/>
        <w:jc w:val="both"/>
      </w:pPr>
      <w:r>
        <w:rPr>
          <w:color w:val="231F20"/>
        </w:rPr>
        <w:t xml:space="preserve">The old anarchist concepts are no longer useful—not in the form they had when </w:t>
      </w:r>
      <w:r>
        <w:rPr>
          <w:color w:val="231F20"/>
          <w:spacing w:val="1"/>
        </w:rPr>
        <w:t xml:space="preserve">Marx, </w:t>
      </w:r>
      <w:r>
        <w:rPr>
          <w:color w:val="231F20"/>
        </w:rPr>
        <w:t>Engels, Lenin, and Rosa Luxemburg  purged  them  from the Social Democratic movement—and correctly so. Not in the form that Blanqui, Bakunin, Most, and Kropotkin developed them— immature ideas in an unripe</w:t>
      </w:r>
      <w:r>
        <w:rPr>
          <w:color w:val="231F20"/>
          <w:spacing w:val="10"/>
        </w:rPr>
        <w:t xml:space="preserve"> </w:t>
      </w:r>
      <w:r>
        <w:rPr>
          <w:color w:val="231F20"/>
        </w:rPr>
        <w:t>situation.</w:t>
      </w:r>
    </w:p>
    <w:p w14:paraId="34A8E781" w14:textId="77777777" w:rsidR="002653E8" w:rsidRDefault="003115E3">
      <w:pPr>
        <w:pStyle w:val="a3"/>
        <w:spacing w:line="264" w:lineRule="auto"/>
        <w:ind w:left="1327" w:right="1146" w:firstLine="210"/>
        <w:jc w:val="both"/>
      </w:pPr>
      <w:r>
        <w:rPr>
          <w:color w:val="231F20"/>
        </w:rPr>
        <w:t>The legal left completely lacks any critical self-awareness if it compares its tiny mass base to the mass base behind the anti-imperialist</w:t>
      </w:r>
    </w:p>
    <w:p w14:paraId="4EC5FF8D" w14:textId="77777777" w:rsidR="002653E8" w:rsidRDefault="00000000">
      <w:pPr>
        <w:pStyle w:val="a3"/>
        <w:spacing w:before="6"/>
        <w:rPr>
          <w:sz w:val="24"/>
        </w:rPr>
      </w:pPr>
      <w:r>
        <w:rPr>
          <w:noProof w:val="0"/>
        </w:rPr>
        <w:pict w14:anchorId="45E23259">
          <v:line id="_x0000_s2453" style="position:absolute;z-index:5824;mso-wrap-distance-left:0;mso-wrap-distance-right:0;mso-position-horizontal-relative:page" from="66.4pt,16.6pt" to="138.4pt,16.6pt" strokecolor="#231f20" strokeweight=".5pt">
            <w10:wrap type="topAndBottom" anchorx="page"/>
          </v:line>
        </w:pict>
      </w:r>
    </w:p>
    <w:p w14:paraId="1CE9AD33" w14:textId="77777777" w:rsidR="002653E8" w:rsidRDefault="003115E3">
      <w:pPr>
        <w:pStyle w:val="a4"/>
        <w:numPr>
          <w:ilvl w:val="0"/>
          <w:numId w:val="126"/>
        </w:numPr>
        <w:tabs>
          <w:tab w:val="left" w:pos="1467"/>
        </w:tabs>
        <w:spacing w:before="53" w:line="254" w:lineRule="auto"/>
        <w:ind w:left="1327" w:right="1161" w:firstLine="0"/>
        <w:jc w:val="left"/>
        <w:rPr>
          <w:sz w:val="16"/>
        </w:rPr>
      </w:pPr>
      <w:r>
        <w:rPr>
          <w:color w:val="231F20"/>
          <w:w w:val="105"/>
          <w:sz w:val="16"/>
        </w:rPr>
        <w:t xml:space="preserve">Wolfgang Harich, an academic from the GDR, who for a time in the late 70s lived   </w:t>
      </w:r>
      <w:r>
        <w:rPr>
          <w:color w:val="231F20"/>
          <w:spacing w:val="35"/>
          <w:w w:val="105"/>
          <w:sz w:val="16"/>
        </w:rPr>
        <w:t xml:space="preserve"> </w:t>
      </w:r>
      <w:r>
        <w:rPr>
          <w:color w:val="231F20"/>
          <w:w w:val="105"/>
          <w:sz w:val="16"/>
        </w:rPr>
        <w:t xml:space="preserve">in Austria and the FRG, where he worked with the Green </w:t>
      </w:r>
      <w:r>
        <w:rPr>
          <w:color w:val="231F20"/>
          <w:spacing w:val="1"/>
          <w:w w:val="105"/>
          <w:sz w:val="16"/>
        </w:rPr>
        <w:t xml:space="preserve">Party </w:t>
      </w:r>
      <w:r>
        <w:rPr>
          <w:color w:val="231F20"/>
          <w:w w:val="105"/>
          <w:sz w:val="16"/>
        </w:rPr>
        <w:t xml:space="preserve">before </w:t>
      </w:r>
      <w:r>
        <w:rPr>
          <w:color w:val="231F20"/>
          <w:spacing w:val="1"/>
          <w:w w:val="105"/>
          <w:sz w:val="16"/>
        </w:rPr>
        <w:t xml:space="preserve">returning </w:t>
      </w:r>
      <w:r>
        <w:rPr>
          <w:color w:val="231F20"/>
          <w:w w:val="105"/>
          <w:sz w:val="16"/>
        </w:rPr>
        <w:t>to the</w:t>
      </w:r>
      <w:r>
        <w:rPr>
          <w:color w:val="231F20"/>
          <w:spacing w:val="7"/>
          <w:w w:val="105"/>
          <w:sz w:val="16"/>
        </w:rPr>
        <w:t xml:space="preserve"> </w:t>
      </w:r>
      <w:r>
        <w:rPr>
          <w:color w:val="231F20"/>
          <w:w w:val="105"/>
          <w:sz w:val="16"/>
        </w:rPr>
        <w:t>GDR.</w:t>
      </w:r>
    </w:p>
    <w:p w14:paraId="4BA6435C" w14:textId="77777777" w:rsidR="002653E8" w:rsidRDefault="003115E3">
      <w:pPr>
        <w:pStyle w:val="a4"/>
        <w:numPr>
          <w:ilvl w:val="0"/>
          <w:numId w:val="126"/>
        </w:numPr>
        <w:tabs>
          <w:tab w:val="left" w:pos="1467"/>
        </w:tabs>
        <w:ind w:left="1466"/>
        <w:jc w:val="left"/>
        <w:rPr>
          <w:sz w:val="16"/>
        </w:rPr>
      </w:pPr>
      <w:r>
        <w:rPr>
          <w:color w:val="231F20"/>
          <w:spacing w:val="2"/>
          <w:w w:val="105"/>
          <w:sz w:val="16"/>
        </w:rPr>
        <w:t>An</w:t>
      </w:r>
      <w:r>
        <w:rPr>
          <w:color w:val="231F20"/>
          <w:spacing w:val="8"/>
          <w:w w:val="105"/>
          <w:sz w:val="16"/>
        </w:rPr>
        <w:t xml:space="preserve"> </w:t>
      </w:r>
      <w:r>
        <w:rPr>
          <w:color w:val="231F20"/>
          <w:w w:val="105"/>
          <w:sz w:val="16"/>
        </w:rPr>
        <w:t>early</w:t>
      </w:r>
      <w:r>
        <w:rPr>
          <w:color w:val="231F20"/>
          <w:spacing w:val="8"/>
          <w:w w:val="105"/>
          <w:sz w:val="16"/>
        </w:rPr>
        <w:t xml:space="preserve"> </w:t>
      </w:r>
      <w:r>
        <w:rPr>
          <w:color w:val="231F20"/>
          <w:w w:val="105"/>
          <w:sz w:val="16"/>
        </w:rPr>
        <w:t>twentieth</w:t>
      </w:r>
      <w:r>
        <w:rPr>
          <w:color w:val="231F20"/>
          <w:spacing w:val="8"/>
          <w:w w:val="105"/>
          <w:sz w:val="16"/>
        </w:rPr>
        <w:t xml:space="preserve"> </w:t>
      </w:r>
      <w:r>
        <w:rPr>
          <w:color w:val="231F20"/>
          <w:spacing w:val="1"/>
          <w:w w:val="105"/>
          <w:sz w:val="16"/>
        </w:rPr>
        <w:t>century</w:t>
      </w:r>
      <w:r>
        <w:rPr>
          <w:color w:val="231F20"/>
          <w:spacing w:val="8"/>
          <w:w w:val="105"/>
          <w:sz w:val="16"/>
        </w:rPr>
        <w:t xml:space="preserve"> </w:t>
      </w:r>
      <w:r>
        <w:rPr>
          <w:color w:val="231F20"/>
          <w:w w:val="105"/>
          <w:sz w:val="16"/>
        </w:rPr>
        <w:t>anti-Soviet,</w:t>
      </w:r>
      <w:r>
        <w:rPr>
          <w:color w:val="231F20"/>
          <w:spacing w:val="8"/>
          <w:w w:val="105"/>
          <w:sz w:val="16"/>
        </w:rPr>
        <w:t xml:space="preserve"> </w:t>
      </w:r>
      <w:r>
        <w:rPr>
          <w:color w:val="231F20"/>
          <w:w w:val="105"/>
          <w:sz w:val="16"/>
        </w:rPr>
        <w:t>anarchist</w:t>
      </w:r>
      <w:r>
        <w:rPr>
          <w:color w:val="231F20"/>
          <w:spacing w:val="8"/>
          <w:w w:val="105"/>
          <w:sz w:val="16"/>
        </w:rPr>
        <w:t xml:space="preserve"> </w:t>
      </w:r>
      <w:r>
        <w:rPr>
          <w:color w:val="231F20"/>
          <w:w w:val="105"/>
          <w:sz w:val="16"/>
        </w:rPr>
        <w:t>guerilla</w:t>
      </w:r>
      <w:r>
        <w:rPr>
          <w:color w:val="231F20"/>
          <w:spacing w:val="8"/>
          <w:w w:val="105"/>
          <w:sz w:val="16"/>
        </w:rPr>
        <w:t xml:space="preserve"> </w:t>
      </w:r>
      <w:r>
        <w:rPr>
          <w:color w:val="231F20"/>
          <w:w w:val="105"/>
          <w:sz w:val="16"/>
        </w:rPr>
        <w:t>army</w:t>
      </w:r>
      <w:r>
        <w:rPr>
          <w:color w:val="231F20"/>
          <w:spacing w:val="8"/>
          <w:w w:val="105"/>
          <w:sz w:val="16"/>
        </w:rPr>
        <w:t xml:space="preserve"> </w:t>
      </w:r>
      <w:r>
        <w:rPr>
          <w:color w:val="231F20"/>
          <w:w w:val="105"/>
          <w:sz w:val="16"/>
        </w:rPr>
        <w:t>active</w:t>
      </w:r>
      <w:r>
        <w:rPr>
          <w:color w:val="231F20"/>
          <w:spacing w:val="8"/>
          <w:w w:val="105"/>
          <w:sz w:val="16"/>
        </w:rPr>
        <w:t xml:space="preserve"> </w:t>
      </w:r>
      <w:r>
        <w:rPr>
          <w:color w:val="231F20"/>
          <w:w w:val="105"/>
          <w:sz w:val="16"/>
        </w:rPr>
        <w:t>in</w:t>
      </w:r>
      <w:r>
        <w:rPr>
          <w:color w:val="231F20"/>
          <w:spacing w:val="8"/>
          <w:w w:val="105"/>
          <w:sz w:val="16"/>
        </w:rPr>
        <w:t xml:space="preserve"> </w:t>
      </w:r>
      <w:r>
        <w:rPr>
          <w:color w:val="231F20"/>
          <w:w w:val="105"/>
          <w:sz w:val="16"/>
        </w:rPr>
        <w:t>Ukraine.</w:t>
      </w:r>
    </w:p>
    <w:p w14:paraId="4473055A" w14:textId="77777777" w:rsidR="002653E8" w:rsidRDefault="002653E8">
      <w:pPr>
        <w:rPr>
          <w:sz w:val="16"/>
        </w:rPr>
        <w:sectPr w:rsidR="002653E8">
          <w:pgSz w:w="8640" w:h="12960"/>
          <w:pgMar w:top="1060" w:right="0" w:bottom="1040" w:left="0" w:header="0" w:footer="850" w:gutter="0"/>
          <w:cols w:space="720"/>
        </w:sectPr>
      </w:pPr>
    </w:p>
    <w:p w14:paraId="0BA11AE0" w14:textId="77777777" w:rsidR="002653E8" w:rsidRDefault="003115E3">
      <w:pPr>
        <w:pStyle w:val="a3"/>
        <w:spacing w:before="86" w:line="264" w:lineRule="auto"/>
        <w:ind w:left="1147" w:right="1326"/>
        <w:jc w:val="both"/>
      </w:pPr>
      <w:r>
        <w:rPr>
          <w:color w:val="231F20"/>
        </w:rPr>
        <w:lastRenderedPageBreak/>
        <w:t xml:space="preserve">struggle. No progress can be made this </w:t>
      </w:r>
      <w:r>
        <w:rPr>
          <w:color w:val="231F20"/>
          <w:spacing w:val="-5"/>
        </w:rPr>
        <w:t xml:space="preserve">way.  </w:t>
      </w:r>
      <w:r>
        <w:rPr>
          <w:color w:val="231F20"/>
        </w:rPr>
        <w:t>They hope to force us into  a discussion by raising the issue of anarchism, but with the problems we have</w:t>
      </w:r>
      <w:r>
        <w:rPr>
          <w:color w:val="231F20"/>
          <w:spacing w:val="10"/>
        </w:rPr>
        <w:t xml:space="preserve"> </w:t>
      </w:r>
      <w:r>
        <w:rPr>
          <w:color w:val="231F20"/>
        </w:rPr>
        <w:t>before</w:t>
      </w:r>
      <w:r>
        <w:rPr>
          <w:color w:val="231F20"/>
          <w:spacing w:val="10"/>
        </w:rPr>
        <w:t xml:space="preserve"> </w:t>
      </w:r>
      <w:r>
        <w:rPr>
          <w:color w:val="231F20"/>
        </w:rPr>
        <w:t>us,</w:t>
      </w:r>
      <w:r>
        <w:rPr>
          <w:color w:val="231F20"/>
          <w:spacing w:val="10"/>
        </w:rPr>
        <w:t xml:space="preserve"> </w:t>
      </w:r>
      <w:r>
        <w:rPr>
          <w:color w:val="231F20"/>
        </w:rPr>
        <w:t>this</w:t>
      </w:r>
      <w:r>
        <w:rPr>
          <w:color w:val="231F20"/>
          <w:spacing w:val="10"/>
        </w:rPr>
        <w:t xml:space="preserve"> </w:t>
      </w:r>
      <w:r>
        <w:rPr>
          <w:color w:val="231F20"/>
        </w:rPr>
        <w:t>is</w:t>
      </w:r>
      <w:r>
        <w:rPr>
          <w:color w:val="231F20"/>
          <w:spacing w:val="10"/>
        </w:rPr>
        <w:t xml:space="preserve"> </w:t>
      </w:r>
      <w:r>
        <w:rPr>
          <w:color w:val="231F20"/>
        </w:rPr>
        <w:t>just</w:t>
      </w:r>
      <w:r>
        <w:rPr>
          <w:color w:val="231F20"/>
          <w:spacing w:val="10"/>
        </w:rPr>
        <w:t xml:space="preserve"> </w:t>
      </w:r>
      <w:r>
        <w:rPr>
          <w:color w:val="231F20"/>
        </w:rPr>
        <w:t>a</w:t>
      </w:r>
      <w:r>
        <w:rPr>
          <w:color w:val="231F20"/>
          <w:spacing w:val="10"/>
        </w:rPr>
        <w:t xml:space="preserve"> </w:t>
      </w:r>
      <w:r>
        <w:rPr>
          <w:color w:val="231F20"/>
        </w:rPr>
        <w:t>distraction.</w:t>
      </w:r>
    </w:p>
    <w:p w14:paraId="3E90BA4C" w14:textId="77777777" w:rsidR="002653E8" w:rsidRDefault="003115E3">
      <w:pPr>
        <w:pStyle w:val="a3"/>
        <w:spacing w:line="264" w:lineRule="auto"/>
        <w:ind w:left="1147" w:right="1326" w:firstLine="210"/>
        <w:jc w:val="both"/>
      </w:pPr>
      <w:r>
        <w:rPr>
          <w:color w:val="231F20"/>
        </w:rPr>
        <w:t>Whether the old anarchists’ understanding of the authority structure anticipated capital’s rule over the people that first developed with imperialism—their understanding of work certainly anticipated the concept of freedom put forward in the anti-imperialist struggle—should be subject to analysis—it could be the case.</w:t>
      </w:r>
    </w:p>
    <w:p w14:paraId="5147D4EB" w14:textId="77777777" w:rsidR="002653E8" w:rsidRDefault="002653E8">
      <w:pPr>
        <w:pStyle w:val="a3"/>
        <w:spacing w:before="2"/>
        <w:rPr>
          <w:sz w:val="21"/>
        </w:rPr>
      </w:pPr>
    </w:p>
    <w:p w14:paraId="4BC01702" w14:textId="77777777" w:rsidR="002653E8" w:rsidRDefault="003115E3">
      <w:pPr>
        <w:ind w:left="1147"/>
        <w:rPr>
          <w:i/>
          <w:sz w:val="20"/>
        </w:rPr>
      </w:pPr>
      <w:r>
        <w:rPr>
          <w:i/>
          <w:color w:val="231F20"/>
          <w:sz w:val="20"/>
        </w:rPr>
        <w:t>Integration</w:t>
      </w:r>
    </w:p>
    <w:p w14:paraId="233F8730" w14:textId="77777777" w:rsidR="002653E8" w:rsidRDefault="003115E3">
      <w:pPr>
        <w:pStyle w:val="a3"/>
        <w:spacing w:before="23" w:line="264" w:lineRule="auto"/>
        <w:ind w:left="1148" w:right="1325" w:hanging="1"/>
        <w:jc w:val="both"/>
      </w:pPr>
      <w:r>
        <w:rPr>
          <w:color w:val="231F20"/>
        </w:rPr>
        <w:t>To integrate the KP, it was necessary only to ban them, and for the integration of the bourgeois antifascists, the Moscow and Warsaw Treaties sufficed—the student movement required only an amnesty—a cheap bribe.</w:t>
      </w:r>
    </w:p>
    <w:p w14:paraId="5731FFA6" w14:textId="77777777" w:rsidR="002653E8" w:rsidRDefault="002653E8">
      <w:pPr>
        <w:pStyle w:val="a3"/>
        <w:spacing w:before="6"/>
        <w:rPr>
          <w:sz w:val="21"/>
        </w:rPr>
      </w:pPr>
    </w:p>
    <w:p w14:paraId="34295A86" w14:textId="77777777" w:rsidR="002653E8" w:rsidRDefault="003115E3">
      <w:pPr>
        <w:ind w:left="1148"/>
        <w:rPr>
          <w:i/>
          <w:sz w:val="20"/>
        </w:rPr>
      </w:pPr>
      <w:r>
        <w:rPr>
          <w:i/>
          <w:color w:val="231F20"/>
          <w:w w:val="105"/>
          <w:sz w:val="20"/>
        </w:rPr>
        <w:t>The Foolishness of the Left</w:t>
      </w:r>
    </w:p>
    <w:p w14:paraId="31828AA4" w14:textId="77777777" w:rsidR="002653E8" w:rsidRDefault="003115E3">
      <w:pPr>
        <w:pStyle w:val="a3"/>
        <w:spacing w:before="22" w:line="264" w:lineRule="auto"/>
        <w:ind w:left="1148" w:right="1325"/>
        <w:jc w:val="both"/>
      </w:pPr>
      <w:r>
        <w:rPr>
          <w:color w:val="231F20"/>
        </w:rPr>
        <w:t>The petit bourgeois, spiteful, nit-picking blather that comrades are engaging in about Munich is an example of this foolishness, and Genscher will turn it against them. So it goes. What is expressed here is not the political consciousness of Marxists, but rather the pique of bit players— “It’s all about me!”</w:t>
      </w:r>
    </w:p>
    <w:p w14:paraId="780D85C0" w14:textId="77777777" w:rsidR="002653E8" w:rsidRDefault="002653E8">
      <w:pPr>
        <w:pStyle w:val="a3"/>
        <w:spacing w:before="5"/>
        <w:rPr>
          <w:sz w:val="21"/>
        </w:rPr>
      </w:pPr>
    </w:p>
    <w:p w14:paraId="39D0FE3A" w14:textId="77777777" w:rsidR="002653E8" w:rsidRDefault="003115E3">
      <w:pPr>
        <w:ind w:left="1148"/>
        <w:rPr>
          <w:i/>
          <w:sz w:val="20"/>
        </w:rPr>
      </w:pPr>
      <w:r>
        <w:rPr>
          <w:i/>
          <w:color w:val="231F20"/>
          <w:w w:val="105"/>
          <w:sz w:val="20"/>
        </w:rPr>
        <w:t>Fürstenfeldbruck and the Moscow and Warsaw Treaties</w:t>
      </w:r>
    </w:p>
    <w:p w14:paraId="21B5CB11" w14:textId="77777777" w:rsidR="002653E8" w:rsidRDefault="003115E3">
      <w:pPr>
        <w:pStyle w:val="a3"/>
        <w:spacing w:before="23" w:line="264" w:lineRule="auto"/>
        <w:ind w:left="1148" w:right="1325"/>
        <w:jc w:val="both"/>
      </w:pPr>
      <w:r>
        <w:rPr>
          <w:color w:val="231F20"/>
        </w:rPr>
        <w:t xml:space="preserve">The Fürstenfeldbruck massacre would not have been possible without the Moscow and Warsaw Treaties, without the complete demoralization of the old antifascists and extreme opportunism in those sections  of the New </w:t>
      </w:r>
      <w:r>
        <w:rPr>
          <w:color w:val="231F20"/>
          <w:spacing w:val="1"/>
        </w:rPr>
        <w:t xml:space="preserve">Left </w:t>
      </w:r>
      <w:r>
        <w:rPr>
          <w:color w:val="231F20"/>
        </w:rPr>
        <w:t xml:space="preserve">that let themselves be sidetracked by the </w:t>
      </w:r>
      <w:r>
        <w:rPr>
          <w:color w:val="231F20"/>
          <w:spacing w:val="2"/>
        </w:rPr>
        <w:t xml:space="preserve">ML </w:t>
      </w:r>
      <w:r>
        <w:rPr>
          <w:color w:val="231F20"/>
        </w:rPr>
        <w:t xml:space="preserve">and </w:t>
      </w:r>
      <w:r>
        <w:rPr>
          <w:color w:val="231F20"/>
          <w:spacing w:val="-5"/>
        </w:rPr>
        <w:t>AO</w:t>
      </w:r>
      <w:r>
        <w:rPr>
          <w:color w:val="231F20"/>
          <w:spacing w:val="-5"/>
          <w:position w:val="7"/>
          <w:sz w:val="11"/>
        </w:rPr>
        <w:t xml:space="preserve">1 </w:t>
      </w:r>
      <w:r>
        <w:rPr>
          <w:color w:val="231F20"/>
        </w:rPr>
        <w:t xml:space="preserve">deviation—completely blind </w:t>
      </w:r>
      <w:r>
        <w:rPr>
          <w:color w:val="231F20"/>
          <w:spacing w:val="-4"/>
        </w:rPr>
        <w:t xml:space="preserve">now, </w:t>
      </w:r>
      <w:r>
        <w:rPr>
          <w:color w:val="231F20"/>
        </w:rPr>
        <w:t xml:space="preserve">as compared to their terrible clarity </w:t>
      </w:r>
      <w:r>
        <w:rPr>
          <w:color w:val="231F20"/>
          <w:spacing w:val="2"/>
        </w:rPr>
        <w:t>i</w:t>
      </w:r>
      <w:r>
        <w:rPr>
          <w:color w:val="231F20"/>
          <w:w w:val="99"/>
        </w:rPr>
        <w:t>n</w:t>
      </w:r>
      <w:r>
        <w:rPr>
          <w:color w:val="231F20"/>
          <w:spacing w:val="10"/>
        </w:rPr>
        <w:t xml:space="preserve"> </w:t>
      </w:r>
      <w:r>
        <w:rPr>
          <w:color w:val="231F20"/>
          <w:spacing w:val="-10"/>
        </w:rPr>
        <w:t>1</w:t>
      </w:r>
      <w:r>
        <w:rPr>
          <w:color w:val="231F20"/>
          <w:spacing w:val="-3"/>
        </w:rPr>
        <w:t>96</w:t>
      </w:r>
      <w:r>
        <w:rPr>
          <w:color w:val="231F20"/>
          <w:spacing w:val="-4"/>
        </w:rPr>
        <w:t>7</w:t>
      </w:r>
      <w:r>
        <w:rPr>
          <w:color w:val="231F20"/>
          <w:spacing w:val="-8"/>
          <w:w w:val="56"/>
        </w:rPr>
        <w:t>/</w:t>
      </w:r>
      <w:r>
        <w:rPr>
          <w:color w:val="231F20"/>
          <w:spacing w:val="-2"/>
        </w:rPr>
        <w:t>6</w:t>
      </w:r>
      <w:r>
        <w:rPr>
          <w:color w:val="231F20"/>
          <w:spacing w:val="-5"/>
        </w:rPr>
        <w:t>8</w:t>
      </w:r>
      <w:r>
        <w:rPr>
          <w:color w:val="231F20"/>
          <w:w w:val="135"/>
        </w:rPr>
        <w:t>.</w:t>
      </w:r>
    </w:p>
    <w:p w14:paraId="563C1667" w14:textId="77777777" w:rsidR="002653E8" w:rsidRDefault="003115E3">
      <w:pPr>
        <w:pStyle w:val="a3"/>
        <w:spacing w:line="264" w:lineRule="auto"/>
        <w:ind w:left="1148" w:right="1325" w:firstLine="210"/>
        <w:jc w:val="both"/>
      </w:pPr>
      <w:r>
        <w:rPr>
          <w:color w:val="231F20"/>
        </w:rPr>
        <w:t>Not even Strauß, but only Schmidt,</w:t>
      </w:r>
      <w:r>
        <w:rPr>
          <w:color w:val="231F20"/>
          <w:position w:val="7"/>
          <w:sz w:val="11"/>
        </w:rPr>
        <w:t xml:space="preserve">2 </w:t>
      </w:r>
      <w:r>
        <w:rPr>
          <w:color w:val="231F20"/>
        </w:rPr>
        <w:t>could have committed the crimes at Fürstenfeldbruck: sending the fire brigade of West German imperialism onto an American NATO base to offer Israel support—for their</w:t>
      </w:r>
    </w:p>
    <w:p w14:paraId="5A345558" w14:textId="77777777" w:rsidR="002653E8" w:rsidRDefault="00000000">
      <w:pPr>
        <w:pStyle w:val="a3"/>
        <w:spacing w:before="9"/>
        <w:rPr>
          <w:sz w:val="23"/>
        </w:rPr>
      </w:pPr>
      <w:r>
        <w:rPr>
          <w:noProof w:val="0"/>
        </w:rPr>
        <w:pict w14:anchorId="11B24A5D">
          <v:line id="_x0000_s2452" style="position:absolute;z-index:5848;mso-wrap-distance-left:0;mso-wrap-distance-right:0;mso-position-horizontal-relative:page" from="57.4pt,16.15pt" to="129.4pt,16.15pt" strokecolor="#231f20" strokeweight=".5pt">
            <w10:wrap type="topAndBottom" anchorx="page"/>
          </v:line>
        </w:pict>
      </w:r>
    </w:p>
    <w:p w14:paraId="24BAE856" w14:textId="77777777" w:rsidR="002653E8" w:rsidRDefault="003115E3">
      <w:pPr>
        <w:pStyle w:val="a4"/>
        <w:numPr>
          <w:ilvl w:val="0"/>
          <w:numId w:val="125"/>
        </w:numPr>
        <w:tabs>
          <w:tab w:val="left" w:pos="1287"/>
        </w:tabs>
        <w:spacing w:before="53" w:line="254" w:lineRule="auto"/>
        <w:ind w:right="1562" w:firstLine="0"/>
        <w:jc w:val="left"/>
        <w:rPr>
          <w:sz w:val="16"/>
        </w:rPr>
      </w:pPr>
      <w:r>
        <w:rPr>
          <w:color w:val="231F20"/>
          <w:spacing w:val="-3"/>
          <w:w w:val="105"/>
          <w:sz w:val="16"/>
        </w:rPr>
        <w:t xml:space="preserve">AO </w:t>
      </w:r>
      <w:r>
        <w:rPr>
          <w:color w:val="231F20"/>
          <w:w w:val="105"/>
          <w:sz w:val="16"/>
        </w:rPr>
        <w:t xml:space="preserve">is an acronym for </w:t>
      </w:r>
      <w:r>
        <w:rPr>
          <w:i/>
          <w:color w:val="231F20"/>
          <w:w w:val="105"/>
          <w:sz w:val="16"/>
        </w:rPr>
        <w:t xml:space="preserve">AusBildung Organisation, </w:t>
      </w:r>
      <w:r>
        <w:rPr>
          <w:color w:val="231F20"/>
          <w:w w:val="105"/>
          <w:sz w:val="16"/>
        </w:rPr>
        <w:t xml:space="preserve">roughly  translating  as “formation organization,” and was used by </w:t>
      </w:r>
      <w:r>
        <w:rPr>
          <w:color w:val="231F20"/>
          <w:spacing w:val="1"/>
          <w:w w:val="105"/>
          <w:sz w:val="16"/>
        </w:rPr>
        <w:t xml:space="preserve">Marxist-Leninist </w:t>
      </w:r>
      <w:r>
        <w:rPr>
          <w:color w:val="231F20"/>
          <w:w w:val="105"/>
          <w:sz w:val="16"/>
        </w:rPr>
        <w:t xml:space="preserve">organizations in Germany that did not yet consider themselves to be parties, but held the goal of eventually forming a party. </w:t>
      </w:r>
      <w:r>
        <w:rPr>
          <w:color w:val="231F20"/>
          <w:spacing w:val="1"/>
          <w:w w:val="105"/>
          <w:sz w:val="16"/>
        </w:rPr>
        <w:t xml:space="preserve">In </w:t>
      </w:r>
      <w:r>
        <w:rPr>
          <w:color w:val="231F20"/>
          <w:w w:val="105"/>
          <w:sz w:val="16"/>
        </w:rPr>
        <w:t>North America, such groups were called pre-party formations.</w:t>
      </w:r>
    </w:p>
    <w:p w14:paraId="316FFD24" w14:textId="77777777" w:rsidR="002653E8" w:rsidRDefault="003115E3">
      <w:pPr>
        <w:pStyle w:val="a4"/>
        <w:numPr>
          <w:ilvl w:val="0"/>
          <w:numId w:val="125"/>
        </w:numPr>
        <w:tabs>
          <w:tab w:val="left" w:pos="1287"/>
        </w:tabs>
        <w:spacing w:before="42" w:line="254" w:lineRule="auto"/>
        <w:ind w:left="1148" w:right="1404" w:hanging="1"/>
        <w:jc w:val="both"/>
        <w:rPr>
          <w:sz w:val="16"/>
        </w:rPr>
      </w:pPr>
      <w:r>
        <w:rPr>
          <w:color w:val="231F20"/>
          <w:w w:val="105"/>
          <w:sz w:val="16"/>
        </w:rPr>
        <w:t xml:space="preserve">Franz Josef Strauß was head of the right-wing </w:t>
      </w:r>
      <w:r>
        <w:rPr>
          <w:color w:val="231F20"/>
          <w:spacing w:val="1"/>
          <w:w w:val="105"/>
          <w:sz w:val="16"/>
        </w:rPr>
        <w:t xml:space="preserve">CSU </w:t>
      </w:r>
      <w:r>
        <w:rPr>
          <w:color w:val="231F20"/>
          <w:w w:val="105"/>
          <w:sz w:val="16"/>
        </w:rPr>
        <w:t xml:space="preserve">in Bavaria, where the Munich events took place. Helmut Schmidt, who would become Chancellor in </w:t>
      </w:r>
      <w:r>
        <w:rPr>
          <w:color w:val="231F20"/>
          <w:spacing w:val="-4"/>
          <w:w w:val="105"/>
          <w:sz w:val="16"/>
        </w:rPr>
        <w:t xml:space="preserve">1974, </w:t>
      </w:r>
      <w:r>
        <w:rPr>
          <w:color w:val="231F20"/>
          <w:w w:val="105"/>
          <w:sz w:val="16"/>
        </w:rPr>
        <w:t>was at this point the SPD Minister of</w:t>
      </w:r>
      <w:r>
        <w:rPr>
          <w:color w:val="231F20"/>
          <w:spacing w:val="16"/>
          <w:w w:val="105"/>
          <w:sz w:val="16"/>
        </w:rPr>
        <w:t xml:space="preserve"> </w:t>
      </w:r>
      <w:r>
        <w:rPr>
          <w:color w:val="231F20"/>
          <w:w w:val="105"/>
          <w:sz w:val="16"/>
        </w:rPr>
        <w:t>Defense.</w:t>
      </w:r>
    </w:p>
    <w:p w14:paraId="304F1603" w14:textId="77777777" w:rsidR="002653E8" w:rsidRDefault="002653E8">
      <w:pPr>
        <w:spacing w:line="254" w:lineRule="auto"/>
        <w:jc w:val="both"/>
        <w:rPr>
          <w:sz w:val="16"/>
        </w:rPr>
        <w:sectPr w:rsidR="002653E8">
          <w:pgSz w:w="8640" w:h="12960"/>
          <w:pgMar w:top="1060" w:right="0" w:bottom="1040" w:left="0" w:header="0" w:footer="850" w:gutter="0"/>
          <w:cols w:space="720"/>
        </w:sectPr>
      </w:pPr>
    </w:p>
    <w:p w14:paraId="650C32F3" w14:textId="77777777" w:rsidR="002653E8" w:rsidRDefault="003115E3">
      <w:pPr>
        <w:pStyle w:val="a3"/>
        <w:spacing w:before="86" w:line="264" w:lineRule="auto"/>
        <w:ind w:left="1327" w:right="1148"/>
        <w:jc w:val="both"/>
      </w:pPr>
      <w:r>
        <w:rPr>
          <w:color w:val="231F20"/>
        </w:rPr>
        <w:lastRenderedPageBreak/>
        <w:t>torture, their murders, the oppression, the napalm, the land stolen from the Palestinian people.</w:t>
      </w:r>
    </w:p>
    <w:p w14:paraId="200B8785" w14:textId="77777777" w:rsidR="002653E8" w:rsidRDefault="003115E3">
      <w:pPr>
        <w:pStyle w:val="a3"/>
        <w:spacing w:line="264" w:lineRule="auto"/>
        <w:ind w:left="1328" w:right="1145" w:firstLine="209"/>
        <w:jc w:val="both"/>
      </w:pPr>
      <w:r>
        <w:rPr>
          <w:color w:val="231F20"/>
        </w:rPr>
        <w:t xml:space="preserve">Not even Dregger, but  only  Scheel’s  </w:t>
      </w:r>
      <w:r>
        <w:rPr>
          <w:color w:val="231F20"/>
          <w:spacing w:val="1"/>
        </w:rPr>
        <w:t xml:space="preserve">party  </w:t>
      </w:r>
      <w:r>
        <w:rPr>
          <w:color w:val="231F20"/>
        </w:rPr>
        <w:t>comrade  Genscher,</w:t>
      </w:r>
      <w:r>
        <w:rPr>
          <w:color w:val="231F20"/>
          <w:position w:val="7"/>
          <w:sz w:val="11"/>
        </w:rPr>
        <w:t xml:space="preserve">3 </w:t>
      </w:r>
      <w:r>
        <w:rPr>
          <w:color w:val="231F20"/>
        </w:rPr>
        <w:t>could arrange for the mass expulsion of Palestinians from the FRG; Palestinians who are here because of the nationalist extermination pol</w:t>
      </w:r>
      <w:r>
        <w:rPr>
          <w:color w:val="231F20"/>
          <w:spacing w:val="-3"/>
        </w:rPr>
        <w:t xml:space="preserve">icy, </w:t>
      </w:r>
      <w:r>
        <w:rPr>
          <w:color w:val="231F20"/>
        </w:rPr>
        <w:t>which has become the Israeli extermination policy. A public policy couldn’t be more clearly morally bankrupt, devoid as it is of historical content, acquiescing without once reflecting upon how extreme the hate will</w:t>
      </w:r>
      <w:r>
        <w:rPr>
          <w:color w:val="231F20"/>
          <w:spacing w:val="12"/>
        </w:rPr>
        <w:t xml:space="preserve"> </w:t>
      </w:r>
      <w:r>
        <w:rPr>
          <w:color w:val="231F20"/>
        </w:rPr>
        <w:t>be</w:t>
      </w:r>
      <w:r>
        <w:rPr>
          <w:color w:val="231F20"/>
          <w:spacing w:val="12"/>
        </w:rPr>
        <w:t xml:space="preserve"> </w:t>
      </w:r>
      <w:r>
        <w:rPr>
          <w:color w:val="231F20"/>
        </w:rPr>
        <w:t>on</w:t>
      </w:r>
      <w:r>
        <w:rPr>
          <w:color w:val="231F20"/>
          <w:spacing w:val="12"/>
        </w:rPr>
        <w:t xml:space="preserve"> </w:t>
      </w:r>
      <w:r>
        <w:rPr>
          <w:color w:val="231F20"/>
        </w:rPr>
        <w:t>the</w:t>
      </w:r>
      <w:r>
        <w:rPr>
          <w:color w:val="231F20"/>
          <w:spacing w:val="12"/>
        </w:rPr>
        <w:t xml:space="preserve"> </w:t>
      </w:r>
      <w:r>
        <w:rPr>
          <w:color w:val="231F20"/>
        </w:rPr>
        <w:t>part</w:t>
      </w:r>
      <w:r>
        <w:rPr>
          <w:color w:val="231F20"/>
          <w:spacing w:val="12"/>
        </w:rPr>
        <w:t xml:space="preserve"> </w:t>
      </w:r>
      <w:r>
        <w:rPr>
          <w:color w:val="231F20"/>
        </w:rPr>
        <w:t>of</w:t>
      </w:r>
      <w:r>
        <w:rPr>
          <w:color w:val="231F20"/>
          <w:spacing w:val="12"/>
        </w:rPr>
        <w:t xml:space="preserve"> </w:t>
      </w:r>
      <w:r>
        <w:rPr>
          <w:color w:val="231F20"/>
        </w:rPr>
        <w:t>those</w:t>
      </w:r>
      <w:r>
        <w:rPr>
          <w:color w:val="231F20"/>
          <w:spacing w:val="12"/>
        </w:rPr>
        <w:t xml:space="preserve"> </w:t>
      </w:r>
      <w:r>
        <w:rPr>
          <w:color w:val="231F20"/>
        </w:rPr>
        <w:t>who</w:t>
      </w:r>
      <w:r>
        <w:rPr>
          <w:color w:val="231F20"/>
          <w:spacing w:val="12"/>
        </w:rPr>
        <w:t xml:space="preserve"> </w:t>
      </w:r>
      <w:r>
        <w:rPr>
          <w:color w:val="231F20"/>
        </w:rPr>
        <w:t>once</w:t>
      </w:r>
      <w:r>
        <w:rPr>
          <w:color w:val="231F20"/>
          <w:spacing w:val="12"/>
        </w:rPr>
        <w:t xml:space="preserve"> </w:t>
      </w:r>
      <w:r>
        <w:rPr>
          <w:color w:val="231F20"/>
        </w:rPr>
        <w:t>again</w:t>
      </w:r>
      <w:r>
        <w:rPr>
          <w:color w:val="231F20"/>
          <w:spacing w:val="12"/>
        </w:rPr>
        <w:t xml:space="preserve"> </w:t>
      </w:r>
      <w:r>
        <w:rPr>
          <w:color w:val="231F20"/>
        </w:rPr>
        <w:t>must</w:t>
      </w:r>
      <w:r>
        <w:rPr>
          <w:color w:val="231F20"/>
          <w:spacing w:val="12"/>
        </w:rPr>
        <w:t xml:space="preserve"> </w:t>
      </w:r>
      <w:r>
        <w:rPr>
          <w:color w:val="231F20"/>
        </w:rPr>
        <w:t>suffer</w:t>
      </w:r>
      <w:r>
        <w:rPr>
          <w:color w:val="231F20"/>
          <w:spacing w:val="12"/>
        </w:rPr>
        <w:t xml:space="preserve"> </w:t>
      </w:r>
      <w:r>
        <w:rPr>
          <w:color w:val="231F20"/>
        </w:rPr>
        <w:t>the</w:t>
      </w:r>
      <w:r>
        <w:rPr>
          <w:color w:val="231F20"/>
          <w:spacing w:val="12"/>
        </w:rPr>
        <w:t xml:space="preserve"> </w:t>
      </w:r>
      <w:r>
        <w:rPr>
          <w:color w:val="231F20"/>
        </w:rPr>
        <w:t>retaliation.</w:t>
      </w:r>
    </w:p>
    <w:p w14:paraId="755ABABA" w14:textId="77777777" w:rsidR="002653E8" w:rsidRDefault="002653E8">
      <w:pPr>
        <w:pStyle w:val="a3"/>
        <w:spacing w:before="1"/>
        <w:rPr>
          <w:sz w:val="21"/>
        </w:rPr>
      </w:pPr>
    </w:p>
    <w:p w14:paraId="34BA615D" w14:textId="77777777" w:rsidR="002653E8" w:rsidRDefault="003115E3">
      <w:pPr>
        <w:ind w:left="1328"/>
        <w:rPr>
          <w:i/>
          <w:sz w:val="20"/>
        </w:rPr>
      </w:pPr>
      <w:r>
        <w:rPr>
          <w:i/>
          <w:color w:val="231F20"/>
          <w:w w:val="105"/>
          <w:sz w:val="20"/>
        </w:rPr>
        <w:t>The Social-Liberal Coalition and Strauß</w:t>
      </w:r>
    </w:p>
    <w:p w14:paraId="6D3606EC" w14:textId="77777777" w:rsidR="002653E8" w:rsidRDefault="003115E3">
      <w:pPr>
        <w:pStyle w:val="a3"/>
        <w:spacing w:before="23" w:line="264" w:lineRule="auto"/>
        <w:ind w:left="1327" w:right="1145"/>
        <w:jc w:val="both"/>
      </w:pPr>
      <w:r>
        <w:rPr>
          <w:color w:val="231F20"/>
          <w:w w:val="105"/>
        </w:rPr>
        <w:t>Since</w:t>
      </w:r>
      <w:r>
        <w:rPr>
          <w:color w:val="231F20"/>
          <w:spacing w:val="-26"/>
          <w:w w:val="105"/>
        </w:rPr>
        <w:t xml:space="preserve"> </w:t>
      </w:r>
      <w:r>
        <w:rPr>
          <w:color w:val="231F20"/>
          <w:w w:val="105"/>
        </w:rPr>
        <w:t>the</w:t>
      </w:r>
      <w:r>
        <w:rPr>
          <w:color w:val="231F20"/>
          <w:spacing w:val="-26"/>
          <w:w w:val="105"/>
        </w:rPr>
        <w:t xml:space="preserve"> </w:t>
      </w:r>
      <w:r>
        <w:rPr>
          <w:color w:val="231F20"/>
          <w:w w:val="105"/>
        </w:rPr>
        <w:t>SPD</w:t>
      </w:r>
      <w:r>
        <w:rPr>
          <w:color w:val="231F20"/>
          <w:spacing w:val="-26"/>
          <w:w w:val="105"/>
        </w:rPr>
        <w:t xml:space="preserve"> </w:t>
      </w:r>
      <w:r>
        <w:rPr>
          <w:color w:val="231F20"/>
          <w:w w:val="105"/>
        </w:rPr>
        <w:t>entered</w:t>
      </w:r>
      <w:r>
        <w:rPr>
          <w:color w:val="231F20"/>
          <w:spacing w:val="-26"/>
          <w:w w:val="105"/>
        </w:rPr>
        <w:t xml:space="preserve"> </w:t>
      </w:r>
      <w:r>
        <w:rPr>
          <w:color w:val="231F20"/>
          <w:w w:val="105"/>
        </w:rPr>
        <w:t>the</w:t>
      </w:r>
      <w:r>
        <w:rPr>
          <w:color w:val="231F20"/>
          <w:spacing w:val="-26"/>
          <w:w w:val="105"/>
        </w:rPr>
        <w:t xml:space="preserve"> </w:t>
      </w:r>
      <w:r>
        <w:rPr>
          <w:color w:val="231F20"/>
          <w:w w:val="105"/>
        </w:rPr>
        <w:t>government</w:t>
      </w:r>
      <w:r>
        <w:rPr>
          <w:color w:val="231F20"/>
          <w:spacing w:val="-26"/>
          <w:w w:val="105"/>
        </w:rPr>
        <w:t xml:space="preserve"> </w:t>
      </w:r>
      <w:r>
        <w:rPr>
          <w:color w:val="231F20"/>
          <w:w w:val="105"/>
        </w:rPr>
        <w:t>coalition</w:t>
      </w:r>
      <w:r>
        <w:rPr>
          <w:color w:val="231F20"/>
          <w:spacing w:val="-26"/>
          <w:w w:val="105"/>
        </w:rPr>
        <w:t xml:space="preserve"> </w:t>
      </w:r>
      <w:r>
        <w:rPr>
          <w:color w:val="231F20"/>
          <w:w w:val="105"/>
        </w:rPr>
        <w:t>in</w:t>
      </w:r>
      <w:r>
        <w:rPr>
          <w:color w:val="231F20"/>
          <w:spacing w:val="-26"/>
          <w:w w:val="105"/>
        </w:rPr>
        <w:t xml:space="preserve"> </w:t>
      </w:r>
      <w:r>
        <w:rPr>
          <w:color w:val="231F20"/>
          <w:spacing w:val="-3"/>
          <w:w w:val="105"/>
        </w:rPr>
        <w:t>1966,</w:t>
      </w:r>
      <w:r>
        <w:rPr>
          <w:color w:val="231F20"/>
          <w:spacing w:val="-26"/>
          <w:w w:val="105"/>
        </w:rPr>
        <w:t xml:space="preserve"> </w:t>
      </w:r>
      <w:r>
        <w:rPr>
          <w:color w:val="231F20"/>
          <w:w w:val="105"/>
        </w:rPr>
        <w:t>more</w:t>
      </w:r>
      <w:r>
        <w:rPr>
          <w:color w:val="231F20"/>
          <w:spacing w:val="-26"/>
          <w:w w:val="105"/>
        </w:rPr>
        <w:t xml:space="preserve"> </w:t>
      </w:r>
      <w:r>
        <w:rPr>
          <w:color w:val="231F20"/>
          <w:w w:val="105"/>
        </w:rPr>
        <w:t>elements of “democracy” have been eliminated than under all of the CDU governments</w:t>
      </w:r>
      <w:r>
        <w:rPr>
          <w:color w:val="231F20"/>
          <w:spacing w:val="-29"/>
          <w:w w:val="105"/>
        </w:rPr>
        <w:t xml:space="preserve"> </w:t>
      </w:r>
      <w:r>
        <w:rPr>
          <w:color w:val="231F20"/>
          <w:w w:val="105"/>
        </w:rPr>
        <w:t>of</w:t>
      </w:r>
      <w:r>
        <w:rPr>
          <w:color w:val="231F20"/>
          <w:spacing w:val="-29"/>
          <w:w w:val="105"/>
        </w:rPr>
        <w:t xml:space="preserve"> </w:t>
      </w:r>
      <w:r>
        <w:rPr>
          <w:color w:val="231F20"/>
          <w:w w:val="105"/>
        </w:rPr>
        <w:t>the</w:t>
      </w:r>
      <w:r>
        <w:rPr>
          <w:color w:val="231F20"/>
          <w:spacing w:val="-29"/>
          <w:w w:val="105"/>
        </w:rPr>
        <w:t xml:space="preserve"> </w:t>
      </w:r>
      <w:r>
        <w:rPr>
          <w:color w:val="231F20"/>
          <w:w w:val="105"/>
        </w:rPr>
        <w:t>previous</w:t>
      </w:r>
      <w:r>
        <w:rPr>
          <w:color w:val="231F20"/>
          <w:spacing w:val="-29"/>
          <w:w w:val="105"/>
        </w:rPr>
        <w:t xml:space="preserve"> </w:t>
      </w:r>
      <w:r>
        <w:rPr>
          <w:color w:val="231F20"/>
          <w:spacing w:val="-3"/>
          <w:w w:val="105"/>
        </w:rPr>
        <w:t>17</w:t>
      </w:r>
      <w:r>
        <w:rPr>
          <w:color w:val="231F20"/>
          <w:spacing w:val="-29"/>
          <w:w w:val="105"/>
        </w:rPr>
        <w:t xml:space="preserve"> </w:t>
      </w:r>
      <w:r>
        <w:rPr>
          <w:color w:val="231F20"/>
          <w:w w:val="105"/>
        </w:rPr>
        <w:t>years;</w:t>
      </w:r>
      <w:r>
        <w:rPr>
          <w:color w:val="231F20"/>
          <w:spacing w:val="-29"/>
          <w:w w:val="105"/>
        </w:rPr>
        <w:t xml:space="preserve"> </w:t>
      </w:r>
      <w:r>
        <w:rPr>
          <w:color w:val="231F20"/>
          <w:w w:val="105"/>
        </w:rPr>
        <w:t>the</w:t>
      </w:r>
      <w:r>
        <w:rPr>
          <w:color w:val="231F20"/>
          <w:spacing w:val="-29"/>
          <w:w w:val="105"/>
        </w:rPr>
        <w:t xml:space="preserve"> </w:t>
      </w:r>
      <w:r>
        <w:rPr>
          <w:color w:val="231F20"/>
          <w:w w:val="105"/>
        </w:rPr>
        <w:t>Emergency</w:t>
      </w:r>
      <w:r>
        <w:rPr>
          <w:color w:val="231F20"/>
          <w:spacing w:val="-29"/>
          <w:w w:val="105"/>
        </w:rPr>
        <w:t xml:space="preserve"> </w:t>
      </w:r>
      <w:r>
        <w:rPr>
          <w:color w:val="231F20"/>
          <w:w w:val="105"/>
        </w:rPr>
        <w:t>Powers</w:t>
      </w:r>
      <w:r>
        <w:rPr>
          <w:color w:val="231F20"/>
          <w:spacing w:val="-29"/>
          <w:w w:val="105"/>
        </w:rPr>
        <w:t xml:space="preserve"> </w:t>
      </w:r>
      <w:r>
        <w:rPr>
          <w:color w:val="231F20"/>
          <w:w w:val="105"/>
        </w:rPr>
        <w:t>Act,</w:t>
      </w:r>
      <w:r>
        <w:rPr>
          <w:color w:val="231F20"/>
          <w:spacing w:val="-29"/>
          <w:w w:val="105"/>
        </w:rPr>
        <w:t xml:space="preserve"> </w:t>
      </w:r>
      <w:r>
        <w:rPr>
          <w:color w:val="231F20"/>
          <w:w w:val="105"/>
        </w:rPr>
        <w:t>the</w:t>
      </w:r>
      <w:r>
        <w:rPr>
          <w:color w:val="231F20"/>
          <w:spacing w:val="-29"/>
          <w:w w:val="105"/>
        </w:rPr>
        <w:t xml:space="preserve"> </w:t>
      </w:r>
      <w:r>
        <w:rPr>
          <w:color w:val="231F20"/>
          <w:w w:val="105"/>
        </w:rPr>
        <w:t xml:space="preserve">Hand Grenade </w:t>
      </w:r>
      <w:r>
        <w:rPr>
          <w:color w:val="231F20"/>
          <w:spacing w:val="-3"/>
          <w:w w:val="105"/>
        </w:rPr>
        <w:t xml:space="preserve">Law, </w:t>
      </w:r>
      <w:r>
        <w:rPr>
          <w:color w:val="231F20"/>
          <w:w w:val="105"/>
        </w:rPr>
        <w:t xml:space="preserve">the </w:t>
      </w:r>
      <w:r>
        <w:rPr>
          <w:i/>
          <w:color w:val="231F20"/>
          <w:w w:val="105"/>
        </w:rPr>
        <w:t>Verfassungsschutzgesetz,</w:t>
      </w:r>
      <w:r>
        <w:rPr>
          <w:color w:val="231F20"/>
          <w:w w:val="105"/>
          <w:position w:val="7"/>
          <w:sz w:val="11"/>
        </w:rPr>
        <w:t xml:space="preserve">4 </w:t>
      </w:r>
      <w:r>
        <w:rPr>
          <w:color w:val="231F20"/>
          <w:w w:val="105"/>
        </w:rPr>
        <w:t>the Presidential Decree,</w:t>
      </w:r>
      <w:r>
        <w:rPr>
          <w:color w:val="231F20"/>
          <w:w w:val="105"/>
          <w:position w:val="7"/>
          <w:sz w:val="11"/>
        </w:rPr>
        <w:t xml:space="preserve">5 </w:t>
      </w:r>
      <w:r>
        <w:rPr>
          <w:color w:val="231F20"/>
          <w:w w:val="105"/>
        </w:rPr>
        <w:t>Federal Labor Court rulings against strikes, and the Federal Border Patrol</w:t>
      </w:r>
      <w:r>
        <w:rPr>
          <w:color w:val="231F20"/>
          <w:spacing w:val="7"/>
          <w:w w:val="105"/>
        </w:rPr>
        <w:t xml:space="preserve"> </w:t>
      </w:r>
      <w:r>
        <w:rPr>
          <w:color w:val="231F20"/>
          <w:spacing w:val="-4"/>
          <w:w w:val="105"/>
        </w:rPr>
        <w:t>Law.</w:t>
      </w:r>
    </w:p>
    <w:p w14:paraId="4CB47947" w14:textId="77777777" w:rsidR="002653E8" w:rsidRDefault="003115E3">
      <w:pPr>
        <w:pStyle w:val="a3"/>
        <w:spacing w:line="264" w:lineRule="auto"/>
        <w:ind w:left="1328" w:right="1145" w:firstLine="210"/>
        <w:jc w:val="both"/>
      </w:pPr>
      <w:r>
        <w:rPr>
          <w:color w:val="231F20"/>
        </w:rPr>
        <w:t>Disoriented by their fear of Strauß, a section of the left will only realize that they have already had their vocal cords—which they require for whining—ripped out should Strauß take over these instruments which have in fact been crafted by the Social-Liberal coalition.</w:t>
      </w:r>
    </w:p>
    <w:p w14:paraId="429D8836" w14:textId="77777777" w:rsidR="002653E8" w:rsidRDefault="003115E3">
      <w:pPr>
        <w:pStyle w:val="a3"/>
        <w:spacing w:line="264" w:lineRule="auto"/>
        <w:ind w:left="1327" w:right="1145" w:firstLine="210"/>
        <w:jc w:val="both"/>
      </w:pPr>
      <w:r>
        <w:rPr>
          <w:color w:val="231F20"/>
        </w:rPr>
        <w:t>But Strauß couldn’t knock off more people than the comrades</w:t>
      </w:r>
      <w:r>
        <w:rPr>
          <w:color w:val="231F20"/>
          <w:position w:val="7"/>
          <w:sz w:val="11"/>
        </w:rPr>
        <w:t xml:space="preserve">6 </w:t>
      </w:r>
      <w:r>
        <w:rPr>
          <w:color w:val="231F20"/>
        </w:rPr>
        <w:t>have: McLeod’s liquidation, the deportation of Arabs, Prinzregentenstraße,</w:t>
      </w:r>
      <w:r>
        <w:rPr>
          <w:color w:val="231F20"/>
          <w:position w:val="7"/>
          <w:sz w:val="11"/>
        </w:rPr>
        <w:t xml:space="preserve">7 </w:t>
      </w:r>
      <w:r>
        <w:rPr>
          <w:color w:val="231F20"/>
        </w:rPr>
        <w:t xml:space="preserve">Löwenthal, </w:t>
      </w:r>
      <w:r>
        <w:rPr>
          <w:i/>
          <w:color w:val="231F20"/>
        </w:rPr>
        <w:t>Bild</w:t>
      </w:r>
      <w:r>
        <w:rPr>
          <w:color w:val="231F20"/>
        </w:rPr>
        <w:t>, show trials, police operations. The policies of the Social-Liberal Coalition are the policies of the corporations; their opinion is the opinion of the Springer corporation; their foreign policy is the foreign policy of Wolff von Amerongen, Beitz, Messerschmidt, BölkowBlohm, Siemens, Hochtief, Schickedanz, and Gelsenberg AG; their</w:t>
      </w:r>
    </w:p>
    <w:p w14:paraId="307F5D47" w14:textId="77777777" w:rsidR="002653E8" w:rsidRDefault="00000000">
      <w:pPr>
        <w:pStyle w:val="a3"/>
        <w:spacing w:before="5"/>
        <w:rPr>
          <w:sz w:val="15"/>
        </w:rPr>
      </w:pPr>
      <w:r>
        <w:rPr>
          <w:noProof w:val="0"/>
        </w:rPr>
        <w:pict w14:anchorId="7FDB96F1">
          <v:line id="_x0000_s2451" style="position:absolute;z-index:5872;mso-wrap-distance-left:0;mso-wrap-distance-right:0;mso-position-horizontal-relative:page" from="66.4pt,11.3pt" to="138.4pt,11.3pt" strokecolor="#231f20" strokeweight=".5pt">
            <w10:wrap type="topAndBottom" anchorx="page"/>
          </v:line>
        </w:pict>
      </w:r>
    </w:p>
    <w:p w14:paraId="212A4895" w14:textId="77777777" w:rsidR="002653E8" w:rsidRDefault="003115E3">
      <w:pPr>
        <w:pStyle w:val="a4"/>
        <w:numPr>
          <w:ilvl w:val="0"/>
          <w:numId w:val="125"/>
        </w:numPr>
        <w:tabs>
          <w:tab w:val="left" w:pos="1467"/>
        </w:tabs>
        <w:spacing w:before="53" w:line="254" w:lineRule="auto"/>
        <w:ind w:left="1327" w:right="1183" w:firstLine="0"/>
        <w:jc w:val="left"/>
        <w:rPr>
          <w:sz w:val="16"/>
        </w:rPr>
      </w:pPr>
      <w:bookmarkStart w:id="97" w:name="_Hlk71332411"/>
      <w:r>
        <w:rPr>
          <w:color w:val="231F20"/>
          <w:sz w:val="16"/>
        </w:rPr>
        <w:t>Alfred  Dregger  was  a  CDU  politician  from  the   conservative   and   nationalist section of the party. At the time, Genscher was the Minister of the Interior from the    small liberal</w:t>
      </w:r>
      <w:r>
        <w:rPr>
          <w:color w:val="231F20"/>
          <w:spacing w:val="-13"/>
          <w:sz w:val="16"/>
        </w:rPr>
        <w:t xml:space="preserve"> </w:t>
      </w:r>
      <w:r>
        <w:rPr>
          <w:color w:val="231F20"/>
          <w:sz w:val="16"/>
        </w:rPr>
        <w:t>FDP.</w:t>
      </w:r>
    </w:p>
    <w:p w14:paraId="6E2F4329" w14:textId="77777777" w:rsidR="002653E8" w:rsidRDefault="003115E3">
      <w:pPr>
        <w:pStyle w:val="a4"/>
        <w:numPr>
          <w:ilvl w:val="0"/>
          <w:numId w:val="125"/>
        </w:numPr>
        <w:tabs>
          <w:tab w:val="left" w:pos="1467"/>
        </w:tabs>
        <w:spacing w:line="254" w:lineRule="auto"/>
        <w:ind w:left="1328" w:right="1183" w:firstLine="0"/>
        <w:jc w:val="both"/>
        <w:rPr>
          <w:sz w:val="16"/>
        </w:rPr>
      </w:pPr>
      <w:r>
        <w:rPr>
          <w:color w:val="231F20"/>
          <w:w w:val="105"/>
          <w:sz w:val="16"/>
        </w:rPr>
        <w:t xml:space="preserve">The </w:t>
      </w:r>
      <w:r>
        <w:rPr>
          <w:i/>
          <w:color w:val="231F20"/>
          <w:w w:val="105"/>
          <w:sz w:val="16"/>
        </w:rPr>
        <w:t xml:space="preserve">Verfassungsschutzgesetz  </w:t>
      </w:r>
      <w:r>
        <w:rPr>
          <w:color w:val="231F20"/>
          <w:w w:val="105"/>
          <w:sz w:val="16"/>
        </w:rPr>
        <w:t xml:space="preserve">was a law passed by the  </w:t>
      </w:r>
      <w:r>
        <w:rPr>
          <w:color w:val="231F20"/>
          <w:spacing w:val="1"/>
          <w:w w:val="105"/>
          <w:sz w:val="16"/>
        </w:rPr>
        <w:t xml:space="preserve">SPD-FDP </w:t>
      </w:r>
      <w:r>
        <w:rPr>
          <w:color w:val="231F20"/>
          <w:w w:val="105"/>
          <w:sz w:val="16"/>
        </w:rPr>
        <w:t xml:space="preserve">coalition in 1972;  it extended the purview of the </w:t>
      </w:r>
      <w:r>
        <w:rPr>
          <w:i/>
          <w:color w:val="231F20"/>
          <w:w w:val="105"/>
          <w:sz w:val="16"/>
        </w:rPr>
        <w:t>Verfassungsschutz</w:t>
      </w:r>
      <w:r>
        <w:rPr>
          <w:color w:val="231F20"/>
          <w:w w:val="105"/>
          <w:sz w:val="16"/>
        </w:rPr>
        <w:t>, the police organization central to the struggle against the</w:t>
      </w:r>
      <w:r>
        <w:rPr>
          <w:color w:val="231F20"/>
          <w:spacing w:val="32"/>
          <w:w w:val="105"/>
          <w:sz w:val="16"/>
        </w:rPr>
        <w:t xml:space="preserve"> </w:t>
      </w:r>
      <w:r>
        <w:rPr>
          <w:color w:val="231F20"/>
          <w:w w:val="105"/>
          <w:sz w:val="16"/>
        </w:rPr>
        <w:t>guerilla.</w:t>
      </w:r>
    </w:p>
    <w:p w14:paraId="26305D3A" w14:textId="77777777" w:rsidR="002653E8" w:rsidRDefault="003115E3">
      <w:pPr>
        <w:pStyle w:val="a4"/>
        <w:numPr>
          <w:ilvl w:val="0"/>
          <w:numId w:val="125"/>
        </w:numPr>
        <w:tabs>
          <w:tab w:val="left" w:pos="1467"/>
        </w:tabs>
        <w:ind w:left="1466" w:hanging="138"/>
        <w:jc w:val="left"/>
        <w:rPr>
          <w:sz w:val="16"/>
        </w:rPr>
      </w:pPr>
      <w:r>
        <w:rPr>
          <w:color w:val="231F20"/>
          <w:sz w:val="16"/>
        </w:rPr>
        <w:t>The</w:t>
      </w:r>
      <w:r>
        <w:rPr>
          <w:color w:val="231F20"/>
          <w:spacing w:val="11"/>
          <w:sz w:val="16"/>
        </w:rPr>
        <w:t xml:space="preserve"> </w:t>
      </w:r>
      <w:r>
        <w:rPr>
          <w:color w:val="231F20"/>
          <w:sz w:val="16"/>
        </w:rPr>
        <w:t>Presidential</w:t>
      </w:r>
      <w:r>
        <w:rPr>
          <w:color w:val="231F20"/>
          <w:spacing w:val="11"/>
          <w:sz w:val="16"/>
        </w:rPr>
        <w:t xml:space="preserve"> </w:t>
      </w:r>
      <w:r>
        <w:rPr>
          <w:color w:val="231F20"/>
          <w:sz w:val="16"/>
        </w:rPr>
        <w:t>Decree</w:t>
      </w:r>
      <w:r>
        <w:rPr>
          <w:color w:val="231F20"/>
          <w:spacing w:val="11"/>
          <w:sz w:val="16"/>
        </w:rPr>
        <w:t xml:space="preserve"> </w:t>
      </w:r>
      <w:r>
        <w:rPr>
          <w:color w:val="231F20"/>
          <w:sz w:val="16"/>
        </w:rPr>
        <w:t>here</w:t>
      </w:r>
      <w:r>
        <w:rPr>
          <w:color w:val="231F20"/>
          <w:spacing w:val="11"/>
          <w:sz w:val="16"/>
        </w:rPr>
        <w:t xml:space="preserve"> </w:t>
      </w:r>
      <w:r>
        <w:rPr>
          <w:color w:val="231F20"/>
          <w:sz w:val="16"/>
        </w:rPr>
        <w:t>referred</w:t>
      </w:r>
      <w:r>
        <w:rPr>
          <w:color w:val="231F20"/>
          <w:spacing w:val="11"/>
          <w:sz w:val="16"/>
        </w:rPr>
        <w:t xml:space="preserve"> </w:t>
      </w:r>
      <w:r>
        <w:rPr>
          <w:color w:val="231F20"/>
          <w:sz w:val="16"/>
        </w:rPr>
        <w:t>to</w:t>
      </w:r>
      <w:r>
        <w:rPr>
          <w:color w:val="231F20"/>
          <w:spacing w:val="11"/>
          <w:sz w:val="16"/>
        </w:rPr>
        <w:t xml:space="preserve"> </w:t>
      </w:r>
      <w:r>
        <w:rPr>
          <w:color w:val="231F20"/>
          <w:sz w:val="16"/>
        </w:rPr>
        <w:t>here</w:t>
      </w:r>
      <w:r>
        <w:rPr>
          <w:color w:val="231F20"/>
          <w:spacing w:val="11"/>
          <w:sz w:val="16"/>
        </w:rPr>
        <w:t xml:space="preserve"> </w:t>
      </w:r>
      <w:r>
        <w:rPr>
          <w:color w:val="231F20"/>
          <w:sz w:val="16"/>
        </w:rPr>
        <w:t>is</w:t>
      </w:r>
      <w:r>
        <w:rPr>
          <w:color w:val="231F20"/>
          <w:spacing w:val="11"/>
          <w:sz w:val="16"/>
        </w:rPr>
        <w:t xml:space="preserve"> </w:t>
      </w:r>
      <w:r>
        <w:rPr>
          <w:color w:val="231F20"/>
          <w:sz w:val="16"/>
        </w:rPr>
        <w:t>the</w:t>
      </w:r>
      <w:r>
        <w:rPr>
          <w:color w:val="231F20"/>
          <w:spacing w:val="11"/>
          <w:sz w:val="16"/>
        </w:rPr>
        <w:t xml:space="preserve"> </w:t>
      </w:r>
      <w:r>
        <w:rPr>
          <w:color w:val="231F20"/>
          <w:sz w:val="16"/>
        </w:rPr>
        <w:t>statute</w:t>
      </w:r>
      <w:r>
        <w:rPr>
          <w:color w:val="231F20"/>
          <w:spacing w:val="11"/>
          <w:sz w:val="16"/>
        </w:rPr>
        <w:t xml:space="preserve"> </w:t>
      </w:r>
      <w:r>
        <w:rPr>
          <w:color w:val="231F20"/>
          <w:sz w:val="16"/>
        </w:rPr>
        <w:t>that</w:t>
      </w:r>
      <w:r>
        <w:rPr>
          <w:color w:val="231F20"/>
          <w:spacing w:val="11"/>
          <w:sz w:val="16"/>
        </w:rPr>
        <w:t xml:space="preserve"> </w:t>
      </w:r>
      <w:r>
        <w:rPr>
          <w:color w:val="231F20"/>
          <w:sz w:val="16"/>
        </w:rPr>
        <w:t>established</w:t>
      </w:r>
      <w:r>
        <w:rPr>
          <w:color w:val="231F20"/>
          <w:spacing w:val="11"/>
          <w:sz w:val="16"/>
        </w:rPr>
        <w:t xml:space="preserve"> </w:t>
      </w:r>
      <w:r>
        <w:rPr>
          <w:color w:val="231F20"/>
          <w:sz w:val="16"/>
        </w:rPr>
        <w:t>the</w:t>
      </w:r>
    </w:p>
    <w:p w14:paraId="2875521D" w14:textId="77777777" w:rsidR="002653E8" w:rsidRDefault="003115E3">
      <w:pPr>
        <w:spacing w:before="12"/>
        <w:ind w:left="1328"/>
        <w:rPr>
          <w:sz w:val="16"/>
        </w:rPr>
      </w:pPr>
      <w:r>
        <w:rPr>
          <w:i/>
          <w:color w:val="231F20"/>
          <w:w w:val="110"/>
          <w:sz w:val="16"/>
        </w:rPr>
        <w:t>Berufsverbot</w:t>
      </w:r>
      <w:r>
        <w:rPr>
          <w:color w:val="231F20"/>
          <w:w w:val="110"/>
          <w:sz w:val="16"/>
        </w:rPr>
        <w:t>.</w:t>
      </w:r>
    </w:p>
    <w:p w14:paraId="37DBE66C" w14:textId="77777777" w:rsidR="002653E8" w:rsidRDefault="003115E3">
      <w:pPr>
        <w:pStyle w:val="a4"/>
        <w:numPr>
          <w:ilvl w:val="0"/>
          <w:numId w:val="125"/>
        </w:numPr>
        <w:tabs>
          <w:tab w:val="left" w:pos="1467"/>
        </w:tabs>
        <w:spacing w:before="51" w:line="254" w:lineRule="auto"/>
        <w:ind w:left="1327" w:right="1200" w:firstLine="1"/>
        <w:jc w:val="left"/>
        <w:rPr>
          <w:sz w:val="16"/>
        </w:rPr>
      </w:pPr>
      <w:r>
        <w:rPr>
          <w:color w:val="231F20"/>
          <w:sz w:val="16"/>
        </w:rPr>
        <w:t>A sarcastic reference to the SPD, which was the leading government in parliament when</w:t>
      </w:r>
      <w:r>
        <w:rPr>
          <w:color w:val="231F20"/>
          <w:spacing w:val="10"/>
          <w:sz w:val="16"/>
        </w:rPr>
        <w:t xml:space="preserve"> </w:t>
      </w:r>
      <w:r>
        <w:rPr>
          <w:color w:val="231F20"/>
          <w:sz w:val="16"/>
        </w:rPr>
        <w:t>each</w:t>
      </w:r>
      <w:r>
        <w:rPr>
          <w:color w:val="231F20"/>
          <w:spacing w:val="10"/>
          <w:sz w:val="16"/>
        </w:rPr>
        <w:t xml:space="preserve"> </w:t>
      </w:r>
      <w:r>
        <w:rPr>
          <w:color w:val="231F20"/>
          <w:sz w:val="16"/>
        </w:rPr>
        <w:t>of</w:t>
      </w:r>
      <w:r>
        <w:rPr>
          <w:color w:val="231F20"/>
          <w:spacing w:val="10"/>
          <w:sz w:val="16"/>
        </w:rPr>
        <w:t xml:space="preserve"> </w:t>
      </w:r>
      <w:r>
        <w:rPr>
          <w:color w:val="231F20"/>
          <w:sz w:val="16"/>
        </w:rPr>
        <w:t>the</w:t>
      </w:r>
      <w:r>
        <w:rPr>
          <w:color w:val="231F20"/>
          <w:spacing w:val="10"/>
          <w:sz w:val="16"/>
        </w:rPr>
        <w:t xml:space="preserve"> </w:t>
      </w:r>
      <w:r>
        <w:rPr>
          <w:color w:val="231F20"/>
          <w:sz w:val="16"/>
        </w:rPr>
        <w:t>events</w:t>
      </w:r>
      <w:r>
        <w:rPr>
          <w:color w:val="231F20"/>
          <w:spacing w:val="10"/>
          <w:sz w:val="16"/>
        </w:rPr>
        <w:t xml:space="preserve"> </w:t>
      </w:r>
      <w:r>
        <w:rPr>
          <w:color w:val="231F20"/>
          <w:sz w:val="16"/>
        </w:rPr>
        <w:t>listed</w:t>
      </w:r>
      <w:r>
        <w:rPr>
          <w:color w:val="231F20"/>
          <w:spacing w:val="10"/>
          <w:sz w:val="16"/>
        </w:rPr>
        <w:t xml:space="preserve"> </w:t>
      </w:r>
      <w:r>
        <w:rPr>
          <w:color w:val="231F20"/>
          <w:sz w:val="16"/>
        </w:rPr>
        <w:t>occurred.</w:t>
      </w:r>
    </w:p>
    <w:p w14:paraId="0A238671" w14:textId="77777777" w:rsidR="002653E8" w:rsidRDefault="003115E3">
      <w:pPr>
        <w:pStyle w:val="a4"/>
        <w:numPr>
          <w:ilvl w:val="0"/>
          <w:numId w:val="125"/>
        </w:numPr>
        <w:tabs>
          <w:tab w:val="left" w:pos="1467"/>
        </w:tabs>
        <w:spacing w:line="254" w:lineRule="auto"/>
        <w:ind w:left="1327" w:right="1392" w:firstLine="0"/>
        <w:jc w:val="left"/>
        <w:rPr>
          <w:sz w:val="16"/>
        </w:rPr>
      </w:pPr>
      <w:r>
        <w:rPr>
          <w:color w:val="231F20"/>
          <w:spacing w:val="1"/>
          <w:sz w:val="16"/>
        </w:rPr>
        <w:t xml:space="preserve">In </w:t>
      </w:r>
      <w:r>
        <w:rPr>
          <w:color w:val="231F20"/>
          <w:sz w:val="16"/>
        </w:rPr>
        <w:t xml:space="preserve">1971, police opened fire on bank robbers holding hostages at a bank on Prinzegerntenstraße in Munich. </w:t>
      </w:r>
      <w:r>
        <w:rPr>
          <w:color w:val="231F20"/>
          <w:spacing w:val="-5"/>
          <w:sz w:val="16"/>
        </w:rPr>
        <w:t xml:space="preserve">Two </w:t>
      </w:r>
      <w:r>
        <w:rPr>
          <w:color w:val="231F20"/>
          <w:sz w:val="16"/>
        </w:rPr>
        <w:t>hostages were killed. Strauß was personally present when this</w:t>
      </w:r>
      <w:r>
        <w:rPr>
          <w:color w:val="231F20"/>
          <w:spacing w:val="31"/>
          <w:sz w:val="16"/>
        </w:rPr>
        <w:t xml:space="preserve"> </w:t>
      </w:r>
      <w:r>
        <w:rPr>
          <w:color w:val="231F20"/>
          <w:sz w:val="16"/>
        </w:rPr>
        <w:t>occurred.</w:t>
      </w:r>
    </w:p>
    <w:bookmarkEnd w:id="97"/>
    <w:p w14:paraId="0FE9624A" w14:textId="77777777" w:rsidR="002653E8" w:rsidRDefault="002653E8">
      <w:pPr>
        <w:spacing w:line="254" w:lineRule="auto"/>
        <w:rPr>
          <w:sz w:val="16"/>
        </w:rPr>
        <w:sectPr w:rsidR="002653E8">
          <w:pgSz w:w="8640" w:h="12960"/>
          <w:pgMar w:top="1060" w:right="0" w:bottom="1040" w:left="0" w:header="0" w:footer="850" w:gutter="0"/>
          <w:cols w:space="720"/>
        </w:sectPr>
      </w:pPr>
    </w:p>
    <w:p w14:paraId="076C5E11" w14:textId="77777777" w:rsidR="002653E8" w:rsidRDefault="003115E3">
      <w:pPr>
        <w:pStyle w:val="a3"/>
        <w:spacing w:before="86" w:line="264" w:lineRule="auto"/>
        <w:ind w:left="1147" w:right="1326"/>
        <w:jc w:val="both"/>
        <w:rPr>
          <w:sz w:val="11"/>
        </w:rPr>
      </w:pPr>
      <w:r>
        <w:rPr>
          <w:color w:val="231F20"/>
        </w:rPr>
        <w:lastRenderedPageBreak/>
        <w:t>domestic policy is the domestic policy of Daimler-Benz, Glanzstoff, Klöckner, Bayer in Leverkusen; their high school education policy  comes from</w:t>
      </w:r>
      <w:r>
        <w:rPr>
          <w:color w:val="231F20"/>
          <w:spacing w:val="21"/>
        </w:rPr>
        <w:t xml:space="preserve"> </w:t>
      </w:r>
      <w:r>
        <w:rPr>
          <w:color w:val="231F20"/>
        </w:rPr>
        <w:t>BASF.</w:t>
      </w:r>
      <w:r>
        <w:rPr>
          <w:color w:val="231F20"/>
          <w:position w:val="7"/>
          <w:sz w:val="11"/>
        </w:rPr>
        <w:t>1</w:t>
      </w:r>
    </w:p>
    <w:p w14:paraId="636179F5" w14:textId="77777777" w:rsidR="002653E8" w:rsidRDefault="003115E3">
      <w:pPr>
        <w:pStyle w:val="a3"/>
        <w:spacing w:line="264" w:lineRule="auto"/>
        <w:ind w:left="1147" w:right="1326" w:firstLine="210"/>
        <w:jc w:val="both"/>
      </w:pPr>
      <w:r>
        <w:rPr>
          <w:color w:val="231F20"/>
        </w:rPr>
        <w:t>It’s not a question of parliamentary democracy (Brandt) on one side and fascism (Strauß) on the other, but rather it is a question of the imperialist centre on one side and on the other side the revolutionary liberation struggle of the people of the Third World along with the antiimperialist struggle in the metropole—not to give this or any other government a kick in the ass, but rather to serve the people.</w:t>
      </w:r>
    </w:p>
    <w:p w14:paraId="2D90864B" w14:textId="77777777" w:rsidR="002653E8" w:rsidRDefault="002653E8">
      <w:pPr>
        <w:pStyle w:val="a3"/>
        <w:spacing w:before="1"/>
        <w:rPr>
          <w:sz w:val="21"/>
        </w:rPr>
      </w:pPr>
    </w:p>
    <w:p w14:paraId="1C7CC05E" w14:textId="77777777" w:rsidR="002653E8" w:rsidRDefault="003115E3">
      <w:pPr>
        <w:ind w:left="1147"/>
        <w:rPr>
          <w:i/>
          <w:sz w:val="20"/>
        </w:rPr>
      </w:pPr>
      <w:r>
        <w:rPr>
          <w:i/>
          <w:color w:val="231F20"/>
          <w:w w:val="105"/>
          <w:sz w:val="20"/>
        </w:rPr>
        <w:t>Acceptable Imperialism</w:t>
      </w:r>
    </w:p>
    <w:p w14:paraId="78EC96CF" w14:textId="77777777" w:rsidR="002653E8" w:rsidRDefault="003115E3">
      <w:pPr>
        <w:pStyle w:val="a3"/>
        <w:spacing w:before="22" w:line="264" w:lineRule="auto"/>
        <w:ind w:left="1147" w:right="1326"/>
        <w:jc w:val="both"/>
      </w:pPr>
      <w:r>
        <w:rPr>
          <w:color w:val="231F20"/>
        </w:rPr>
        <w:t xml:space="preserve">The Social-Liberal Coalition has made </w:t>
      </w:r>
      <w:r>
        <w:rPr>
          <w:color w:val="231F20"/>
          <w:spacing w:val="-3"/>
        </w:rPr>
        <w:t xml:space="preserve">West </w:t>
      </w:r>
      <w:r>
        <w:rPr>
          <w:color w:val="231F20"/>
        </w:rPr>
        <w:t xml:space="preserve">German imperialism acceptable for the bourgeois left,  with  its  obsession  with  form—they  see the application of imperialist policy as responding to the people’s wishes—they work within “reasonable parameters,” they speak the national language, they make use of parliamentary debate in the same  </w:t>
      </w:r>
      <w:r>
        <w:rPr>
          <w:color w:val="231F20"/>
          <w:spacing w:val="-2"/>
        </w:rPr>
        <w:t xml:space="preserve">way </w:t>
      </w:r>
      <w:r>
        <w:rPr>
          <w:color w:val="231F20"/>
        </w:rPr>
        <w:t xml:space="preserve">that they make use of BGS terror troops—they use constitutional means in the same </w:t>
      </w:r>
      <w:r>
        <w:rPr>
          <w:color w:val="231F20"/>
          <w:spacing w:val="-2"/>
        </w:rPr>
        <w:t xml:space="preserve">way </w:t>
      </w:r>
      <w:r>
        <w:rPr>
          <w:color w:val="231F20"/>
        </w:rPr>
        <w:t>that they use fascism.</w:t>
      </w:r>
    </w:p>
    <w:p w14:paraId="27627A0A" w14:textId="77777777" w:rsidR="002653E8" w:rsidRDefault="003115E3">
      <w:pPr>
        <w:pStyle w:val="a3"/>
        <w:spacing w:line="264" w:lineRule="auto"/>
        <w:ind w:left="1147" w:right="1326" w:firstLine="210"/>
        <w:jc w:val="both"/>
      </w:pPr>
      <w:r>
        <w:rPr>
          <w:color w:val="231F20"/>
        </w:rPr>
        <w:t xml:space="preserve">The anti-imperialist left had it easier with Strauß. He at least wore the disconcerting garb of colonial and Nazi imperialism, not the friendly mask of the corporate manager. He had the fucked relationship to power of Thyssen, Flick, and Krupp in </w:t>
      </w:r>
      <w:r>
        <w:rPr>
          <w:color w:val="231F20"/>
          <w:spacing w:val="-5"/>
        </w:rPr>
        <w:t>1933,</w:t>
      </w:r>
      <w:r>
        <w:rPr>
          <w:color w:val="231F20"/>
          <w:spacing w:val="-5"/>
          <w:position w:val="7"/>
          <w:sz w:val="11"/>
        </w:rPr>
        <w:t xml:space="preserve">2 </w:t>
      </w:r>
      <w:r>
        <w:rPr>
          <w:color w:val="231F20"/>
        </w:rPr>
        <w:t>not the evolved self-consciousness of a multinational corporation. He would have been heckled had</w:t>
      </w:r>
      <w:r>
        <w:rPr>
          <w:color w:val="231F20"/>
          <w:spacing w:val="8"/>
        </w:rPr>
        <w:t xml:space="preserve"> </w:t>
      </w:r>
      <w:r>
        <w:rPr>
          <w:color w:val="231F20"/>
        </w:rPr>
        <w:t>he</w:t>
      </w:r>
      <w:r>
        <w:rPr>
          <w:color w:val="231F20"/>
          <w:spacing w:val="8"/>
        </w:rPr>
        <w:t xml:space="preserve"> </w:t>
      </w:r>
      <w:r>
        <w:rPr>
          <w:color w:val="231F20"/>
        </w:rPr>
        <w:t>entered</w:t>
      </w:r>
      <w:r>
        <w:rPr>
          <w:color w:val="231F20"/>
          <w:spacing w:val="8"/>
        </w:rPr>
        <w:t xml:space="preserve"> </w:t>
      </w:r>
      <w:r>
        <w:rPr>
          <w:color w:val="231F20"/>
        </w:rPr>
        <w:t>the</w:t>
      </w:r>
      <w:r>
        <w:rPr>
          <w:color w:val="231F20"/>
          <w:spacing w:val="8"/>
        </w:rPr>
        <w:t xml:space="preserve"> </w:t>
      </w:r>
      <w:r>
        <w:rPr>
          <w:color w:val="231F20"/>
        </w:rPr>
        <w:t>factories.</w:t>
      </w:r>
      <w:r>
        <w:rPr>
          <w:color w:val="231F20"/>
          <w:spacing w:val="8"/>
        </w:rPr>
        <w:t xml:space="preserve"> </w:t>
      </w:r>
      <w:r>
        <w:rPr>
          <w:color w:val="231F20"/>
        </w:rPr>
        <w:t>He</w:t>
      </w:r>
      <w:r>
        <w:rPr>
          <w:color w:val="231F20"/>
          <w:spacing w:val="8"/>
        </w:rPr>
        <w:t xml:space="preserve"> </w:t>
      </w:r>
      <w:r>
        <w:rPr>
          <w:color w:val="231F20"/>
        </w:rPr>
        <w:t>not</w:t>
      </w:r>
      <w:r>
        <w:rPr>
          <w:color w:val="231F20"/>
          <w:spacing w:val="8"/>
        </w:rPr>
        <w:t xml:space="preserve"> </w:t>
      </w:r>
      <w:r>
        <w:rPr>
          <w:color w:val="231F20"/>
        </w:rPr>
        <w:t>only</w:t>
      </w:r>
      <w:r>
        <w:rPr>
          <w:color w:val="231F20"/>
          <w:spacing w:val="8"/>
        </w:rPr>
        <w:t xml:space="preserve"> </w:t>
      </w:r>
      <w:r>
        <w:rPr>
          <w:color w:val="231F20"/>
        </w:rPr>
        <w:t>sowed</w:t>
      </w:r>
      <w:r>
        <w:rPr>
          <w:color w:val="231F20"/>
          <w:spacing w:val="8"/>
        </w:rPr>
        <w:t xml:space="preserve"> </w:t>
      </w:r>
      <w:r>
        <w:rPr>
          <w:color w:val="231F20"/>
        </w:rPr>
        <w:t>hatred,</w:t>
      </w:r>
      <w:r>
        <w:rPr>
          <w:color w:val="231F20"/>
          <w:spacing w:val="8"/>
        </w:rPr>
        <w:t xml:space="preserve"> </w:t>
      </w:r>
      <w:r>
        <w:rPr>
          <w:color w:val="231F20"/>
        </w:rPr>
        <w:t>he</w:t>
      </w:r>
      <w:r>
        <w:rPr>
          <w:color w:val="231F20"/>
          <w:spacing w:val="8"/>
        </w:rPr>
        <w:t xml:space="preserve"> </w:t>
      </w:r>
      <w:r>
        <w:rPr>
          <w:color w:val="231F20"/>
        </w:rPr>
        <w:t>reaped</w:t>
      </w:r>
      <w:r>
        <w:rPr>
          <w:color w:val="231F20"/>
          <w:spacing w:val="8"/>
        </w:rPr>
        <w:t xml:space="preserve"> </w:t>
      </w:r>
      <w:r>
        <w:rPr>
          <w:color w:val="231F20"/>
        </w:rPr>
        <w:t>it.</w:t>
      </w:r>
    </w:p>
    <w:p w14:paraId="07F08869" w14:textId="77777777" w:rsidR="002653E8" w:rsidRDefault="002653E8">
      <w:pPr>
        <w:pStyle w:val="a3"/>
        <w:spacing w:before="2"/>
        <w:rPr>
          <w:sz w:val="19"/>
        </w:rPr>
      </w:pPr>
    </w:p>
    <w:p w14:paraId="31ADCF28" w14:textId="77777777" w:rsidR="002653E8" w:rsidRDefault="003115E3">
      <w:pPr>
        <w:ind w:left="1147"/>
        <w:rPr>
          <w:sz w:val="18"/>
        </w:rPr>
      </w:pPr>
      <w:r>
        <w:rPr>
          <w:color w:val="231F20"/>
          <w:w w:val="120"/>
        </w:rPr>
        <w:t xml:space="preserve">the </w:t>
      </w:r>
      <w:r>
        <w:rPr>
          <w:color w:val="231F20"/>
          <w:w w:val="120"/>
          <w:sz w:val="18"/>
        </w:rPr>
        <w:t>“</w:t>
      </w:r>
      <w:r>
        <w:rPr>
          <w:color w:val="231F20"/>
          <w:w w:val="120"/>
        </w:rPr>
        <w:t>right-wing takeover</w:t>
      </w:r>
      <w:r>
        <w:rPr>
          <w:color w:val="231F20"/>
          <w:w w:val="120"/>
          <w:sz w:val="18"/>
        </w:rPr>
        <w:t>”</w:t>
      </w:r>
    </w:p>
    <w:p w14:paraId="73F0EF0B" w14:textId="77777777" w:rsidR="002653E8" w:rsidRDefault="003115E3">
      <w:pPr>
        <w:pStyle w:val="a3"/>
        <w:spacing w:before="18" w:line="264" w:lineRule="auto"/>
        <w:ind w:left="1147" w:right="1326"/>
        <w:jc w:val="both"/>
      </w:pPr>
      <w:r>
        <w:rPr>
          <w:color w:val="231F20"/>
        </w:rPr>
        <w:t xml:space="preserve">The “right-wing takeover” is a bugaboo created out of thin air by the   left of the SPD, the chant of brainless opportunists devoid of theory, directed against the anti-imperialist left—their </w:t>
      </w:r>
      <w:r>
        <w:rPr>
          <w:color w:val="231F20"/>
          <w:spacing w:val="-2"/>
        </w:rPr>
        <w:t xml:space="preserve">way </w:t>
      </w:r>
      <w:r>
        <w:rPr>
          <w:color w:val="231F20"/>
        </w:rPr>
        <w:t>of covering up the fact that Brandt and Strauß are simply two different masks on the same imperialist</w:t>
      </w:r>
      <w:r>
        <w:rPr>
          <w:color w:val="231F20"/>
          <w:spacing w:val="10"/>
        </w:rPr>
        <w:t xml:space="preserve"> </w:t>
      </w:r>
      <w:r>
        <w:rPr>
          <w:color w:val="231F20"/>
        </w:rPr>
        <w:t>system.</w:t>
      </w:r>
    </w:p>
    <w:p w14:paraId="7D0F7E11" w14:textId="77777777" w:rsidR="002653E8" w:rsidRDefault="003115E3">
      <w:pPr>
        <w:pStyle w:val="a3"/>
        <w:spacing w:line="264" w:lineRule="auto"/>
        <w:ind w:left="1147" w:right="1326" w:firstLine="210"/>
        <w:jc w:val="both"/>
      </w:pPr>
      <w:r>
        <w:rPr>
          <w:color w:val="231F20"/>
        </w:rPr>
        <w:t xml:space="preserve">The flipside of this is the ideology that considers the masses to be hopeless and stupid—the best example being the filthy journalism of  the Springer corporation and the organization of the newsstands, which is to </w:t>
      </w:r>
      <w:r>
        <w:rPr>
          <w:color w:val="231F20"/>
          <w:spacing w:val="-4"/>
        </w:rPr>
        <w:t xml:space="preserve">say, </w:t>
      </w:r>
      <w:r>
        <w:rPr>
          <w:color w:val="231F20"/>
        </w:rPr>
        <w:t>the concentration of the</w:t>
      </w:r>
      <w:r>
        <w:rPr>
          <w:color w:val="231F20"/>
          <w:spacing w:val="41"/>
        </w:rPr>
        <w:t xml:space="preserve"> </w:t>
      </w:r>
      <w:r>
        <w:rPr>
          <w:color w:val="231F20"/>
        </w:rPr>
        <w:t>media.</w:t>
      </w:r>
    </w:p>
    <w:p w14:paraId="566442CB" w14:textId="77777777" w:rsidR="002653E8" w:rsidRDefault="002653E8">
      <w:pPr>
        <w:pStyle w:val="a3"/>
      </w:pPr>
    </w:p>
    <w:p w14:paraId="5F633FE2" w14:textId="77777777" w:rsidR="002653E8" w:rsidRDefault="002653E8">
      <w:pPr>
        <w:pStyle w:val="a3"/>
      </w:pPr>
    </w:p>
    <w:p w14:paraId="7D96AEA5" w14:textId="77777777" w:rsidR="002653E8" w:rsidRDefault="00000000">
      <w:pPr>
        <w:pStyle w:val="a3"/>
      </w:pPr>
      <w:r>
        <w:rPr>
          <w:noProof w:val="0"/>
        </w:rPr>
        <w:pict w14:anchorId="263A8E7E">
          <v:line id="_x0000_s2450" style="position:absolute;z-index:5896;mso-wrap-distance-left:0;mso-wrap-distance-right:0;mso-position-horizontal-relative:page" from="57.4pt,13.95pt" to="129.4pt,13.95pt" strokecolor="#231f20" strokeweight=".5pt">
            <w10:wrap type="topAndBottom" anchorx="page"/>
          </v:line>
        </w:pict>
      </w:r>
    </w:p>
    <w:p w14:paraId="18B6DF36" w14:textId="77777777" w:rsidR="002653E8" w:rsidRDefault="003115E3">
      <w:pPr>
        <w:spacing w:before="53" w:line="307" w:lineRule="auto"/>
        <w:ind w:left="1147" w:right="1580"/>
        <w:rPr>
          <w:sz w:val="16"/>
        </w:rPr>
      </w:pPr>
      <w:r>
        <w:rPr>
          <w:color w:val="231F20"/>
          <w:w w:val="105"/>
          <w:sz w:val="16"/>
        </w:rPr>
        <w:t xml:space="preserve">1 </w:t>
      </w:r>
      <w:r>
        <w:rPr>
          <w:color w:val="231F20"/>
          <w:spacing w:val="1"/>
          <w:w w:val="105"/>
          <w:sz w:val="16"/>
        </w:rPr>
        <w:t xml:space="preserve">All </w:t>
      </w:r>
      <w:r>
        <w:rPr>
          <w:color w:val="231F20"/>
          <w:w w:val="105"/>
          <w:sz w:val="16"/>
        </w:rPr>
        <w:t>the companies mentioned in this paragraph are major German corporations.   2</w:t>
      </w:r>
      <w:r>
        <w:rPr>
          <w:color w:val="231F20"/>
          <w:spacing w:val="10"/>
          <w:w w:val="105"/>
          <w:sz w:val="16"/>
        </w:rPr>
        <w:t xml:space="preserve"> </w:t>
      </w:r>
      <w:r>
        <w:rPr>
          <w:color w:val="231F20"/>
          <w:w w:val="105"/>
          <w:sz w:val="16"/>
        </w:rPr>
        <w:t>Major</w:t>
      </w:r>
      <w:r>
        <w:rPr>
          <w:color w:val="231F20"/>
          <w:spacing w:val="10"/>
          <w:w w:val="105"/>
          <w:sz w:val="16"/>
        </w:rPr>
        <w:t xml:space="preserve"> </w:t>
      </w:r>
      <w:r>
        <w:rPr>
          <w:color w:val="231F20"/>
          <w:w w:val="105"/>
          <w:sz w:val="16"/>
        </w:rPr>
        <w:t>German</w:t>
      </w:r>
      <w:r>
        <w:rPr>
          <w:color w:val="231F20"/>
          <w:spacing w:val="10"/>
          <w:w w:val="105"/>
          <w:sz w:val="16"/>
        </w:rPr>
        <w:t xml:space="preserve"> </w:t>
      </w:r>
      <w:r>
        <w:rPr>
          <w:color w:val="231F20"/>
          <w:w w:val="105"/>
          <w:sz w:val="16"/>
        </w:rPr>
        <w:t>corporations</w:t>
      </w:r>
      <w:r>
        <w:rPr>
          <w:color w:val="231F20"/>
          <w:spacing w:val="10"/>
          <w:w w:val="105"/>
          <w:sz w:val="16"/>
        </w:rPr>
        <w:t xml:space="preserve"> </w:t>
      </w:r>
      <w:r>
        <w:rPr>
          <w:color w:val="231F20"/>
          <w:w w:val="105"/>
          <w:sz w:val="16"/>
        </w:rPr>
        <w:t>that</w:t>
      </w:r>
      <w:r>
        <w:rPr>
          <w:color w:val="231F20"/>
          <w:spacing w:val="10"/>
          <w:w w:val="105"/>
          <w:sz w:val="16"/>
        </w:rPr>
        <w:t xml:space="preserve"> </w:t>
      </w:r>
      <w:r>
        <w:rPr>
          <w:color w:val="231F20"/>
          <w:w w:val="105"/>
          <w:sz w:val="16"/>
        </w:rPr>
        <w:t>supported</w:t>
      </w:r>
      <w:r>
        <w:rPr>
          <w:color w:val="231F20"/>
          <w:spacing w:val="10"/>
          <w:w w:val="105"/>
          <w:sz w:val="16"/>
        </w:rPr>
        <w:t xml:space="preserve"> </w:t>
      </w:r>
      <w:r>
        <w:rPr>
          <w:color w:val="231F20"/>
          <w:w w:val="105"/>
          <w:sz w:val="16"/>
        </w:rPr>
        <w:t>the</w:t>
      </w:r>
      <w:r>
        <w:rPr>
          <w:color w:val="231F20"/>
          <w:spacing w:val="10"/>
          <w:w w:val="105"/>
          <w:sz w:val="16"/>
        </w:rPr>
        <w:t xml:space="preserve"> </w:t>
      </w:r>
      <w:r>
        <w:rPr>
          <w:color w:val="231F20"/>
          <w:w w:val="105"/>
          <w:sz w:val="16"/>
        </w:rPr>
        <w:t>Nazi</w:t>
      </w:r>
      <w:r>
        <w:rPr>
          <w:color w:val="231F20"/>
          <w:spacing w:val="10"/>
          <w:w w:val="105"/>
          <w:sz w:val="16"/>
        </w:rPr>
        <w:t xml:space="preserve"> </w:t>
      </w:r>
      <w:r>
        <w:rPr>
          <w:color w:val="231F20"/>
          <w:w w:val="105"/>
          <w:sz w:val="16"/>
        </w:rPr>
        <w:t>rise</w:t>
      </w:r>
      <w:r>
        <w:rPr>
          <w:color w:val="231F20"/>
          <w:spacing w:val="10"/>
          <w:w w:val="105"/>
          <w:sz w:val="16"/>
        </w:rPr>
        <w:t xml:space="preserve"> </w:t>
      </w:r>
      <w:r>
        <w:rPr>
          <w:color w:val="231F20"/>
          <w:w w:val="105"/>
          <w:sz w:val="16"/>
        </w:rPr>
        <w:t>to</w:t>
      </w:r>
      <w:r>
        <w:rPr>
          <w:color w:val="231F20"/>
          <w:spacing w:val="10"/>
          <w:w w:val="105"/>
          <w:sz w:val="16"/>
        </w:rPr>
        <w:t xml:space="preserve"> </w:t>
      </w:r>
      <w:r>
        <w:rPr>
          <w:color w:val="231F20"/>
          <w:w w:val="105"/>
          <w:sz w:val="16"/>
        </w:rPr>
        <w:t>power.</w:t>
      </w:r>
    </w:p>
    <w:p w14:paraId="3A9DEA6B" w14:textId="77777777" w:rsidR="002653E8" w:rsidRDefault="002653E8">
      <w:pPr>
        <w:spacing w:line="307" w:lineRule="auto"/>
        <w:rPr>
          <w:sz w:val="16"/>
        </w:rPr>
        <w:sectPr w:rsidR="002653E8">
          <w:footerReference w:type="even" r:id="rId194"/>
          <w:footerReference w:type="default" r:id="rId195"/>
          <w:pgSz w:w="8640" w:h="12960"/>
          <w:pgMar w:top="1060" w:right="0" w:bottom="1040" w:left="0" w:header="0" w:footer="850" w:gutter="0"/>
          <w:cols w:space="720"/>
        </w:sectPr>
      </w:pPr>
    </w:p>
    <w:p w14:paraId="5736CF81" w14:textId="77777777" w:rsidR="002653E8" w:rsidRDefault="003115E3">
      <w:pPr>
        <w:numPr>
          <w:ilvl w:val="0"/>
          <w:numId w:val="128"/>
        </w:numPr>
        <w:tabs>
          <w:tab w:val="left" w:pos="1656"/>
        </w:tabs>
        <w:spacing w:before="87"/>
        <w:ind w:left="1655" w:hanging="328"/>
        <w:jc w:val="left"/>
      </w:pPr>
      <w:r>
        <w:rPr>
          <w:color w:val="231F20"/>
          <w:spacing w:val="30"/>
          <w:w w:val="113"/>
        </w:rPr>
        <w:lastRenderedPageBreak/>
        <w:t>a</w:t>
      </w:r>
      <w:r>
        <w:rPr>
          <w:color w:val="231F20"/>
          <w:spacing w:val="28"/>
          <w:w w:val="109"/>
        </w:rPr>
        <w:t>n</w:t>
      </w:r>
      <w:r>
        <w:rPr>
          <w:color w:val="231F20"/>
          <w:spacing w:val="26"/>
          <w:w w:val="147"/>
        </w:rPr>
        <w:t>t</w:t>
      </w:r>
      <w:r>
        <w:rPr>
          <w:color w:val="231F20"/>
          <w:spacing w:val="18"/>
          <w:w w:val="119"/>
        </w:rPr>
        <w:t>i</w:t>
      </w:r>
      <w:r>
        <w:rPr>
          <w:color w:val="231F20"/>
          <w:spacing w:val="18"/>
          <w:w w:val="109"/>
        </w:rPr>
        <w:t>-</w:t>
      </w:r>
      <w:r>
        <w:rPr>
          <w:color w:val="231F20"/>
          <w:spacing w:val="25"/>
          <w:w w:val="109"/>
        </w:rPr>
        <w:t>i</w:t>
      </w:r>
      <w:r>
        <w:rPr>
          <w:color w:val="231F20"/>
          <w:spacing w:val="25"/>
          <w:w w:val="93"/>
        </w:rPr>
        <w:t>m</w:t>
      </w:r>
      <w:r>
        <w:rPr>
          <w:color w:val="231F20"/>
          <w:spacing w:val="22"/>
          <w:w w:val="89"/>
        </w:rPr>
        <w:t>p</w:t>
      </w:r>
      <w:r>
        <w:rPr>
          <w:color w:val="231F20"/>
          <w:spacing w:val="25"/>
          <w:w w:val="102"/>
        </w:rPr>
        <w:t>e</w:t>
      </w:r>
      <w:r>
        <w:rPr>
          <w:color w:val="231F20"/>
          <w:spacing w:val="26"/>
          <w:w w:val="134"/>
        </w:rPr>
        <w:t>r</w:t>
      </w:r>
      <w:r>
        <w:rPr>
          <w:color w:val="231F20"/>
          <w:spacing w:val="27"/>
          <w:w w:val="119"/>
        </w:rPr>
        <w:t>i</w:t>
      </w:r>
      <w:r>
        <w:rPr>
          <w:color w:val="231F20"/>
          <w:spacing w:val="25"/>
          <w:w w:val="113"/>
        </w:rPr>
        <w:t>a</w:t>
      </w:r>
      <w:r>
        <w:rPr>
          <w:color w:val="231F20"/>
          <w:spacing w:val="25"/>
          <w:w w:val="184"/>
        </w:rPr>
        <w:t>l</w:t>
      </w:r>
      <w:r>
        <w:rPr>
          <w:color w:val="231F20"/>
          <w:spacing w:val="20"/>
          <w:w w:val="119"/>
        </w:rPr>
        <w:t>i</w:t>
      </w:r>
      <w:r>
        <w:rPr>
          <w:color w:val="231F20"/>
          <w:spacing w:val="21"/>
          <w:w w:val="103"/>
        </w:rPr>
        <w:t>s</w:t>
      </w:r>
      <w:r>
        <w:rPr>
          <w:color w:val="231F20"/>
          <w:w w:val="147"/>
        </w:rPr>
        <w:t>t</w:t>
      </w:r>
      <w:r>
        <w:rPr>
          <w:color w:val="231F20"/>
        </w:rPr>
        <w:t xml:space="preserve">  </w:t>
      </w:r>
      <w:r>
        <w:rPr>
          <w:color w:val="231F20"/>
          <w:spacing w:val="-22"/>
        </w:rPr>
        <w:t xml:space="preserve"> </w:t>
      </w:r>
      <w:r>
        <w:rPr>
          <w:color w:val="231F20"/>
          <w:spacing w:val="17"/>
          <w:w w:val="113"/>
        </w:rPr>
        <w:t>a</w:t>
      </w:r>
      <w:r>
        <w:rPr>
          <w:color w:val="231F20"/>
          <w:spacing w:val="26"/>
          <w:w w:val="126"/>
        </w:rPr>
        <w:t>c</w:t>
      </w:r>
      <w:r>
        <w:rPr>
          <w:color w:val="231F20"/>
          <w:spacing w:val="26"/>
          <w:w w:val="147"/>
        </w:rPr>
        <w:t>t</w:t>
      </w:r>
      <w:r>
        <w:rPr>
          <w:color w:val="231F20"/>
          <w:spacing w:val="16"/>
          <w:w w:val="119"/>
        </w:rPr>
        <w:t>i</w:t>
      </w:r>
      <w:r>
        <w:rPr>
          <w:color w:val="231F20"/>
          <w:spacing w:val="17"/>
          <w:w w:val="125"/>
        </w:rPr>
        <w:t>o</w:t>
      </w:r>
      <w:r>
        <w:rPr>
          <w:color w:val="231F20"/>
          <w:w w:val="109"/>
        </w:rPr>
        <w:t>n</w:t>
      </w:r>
    </w:p>
    <w:p w14:paraId="6CC37063" w14:textId="77777777" w:rsidR="002653E8" w:rsidRDefault="003115E3">
      <w:pPr>
        <w:spacing w:before="17"/>
        <w:ind w:left="1327"/>
        <w:rPr>
          <w:i/>
          <w:sz w:val="20"/>
        </w:rPr>
      </w:pPr>
      <w:r>
        <w:rPr>
          <w:i/>
          <w:color w:val="231F20"/>
          <w:w w:val="105"/>
          <w:sz w:val="20"/>
        </w:rPr>
        <w:t>The Massacre</w:t>
      </w:r>
    </w:p>
    <w:p w14:paraId="20BB6EB8" w14:textId="77777777" w:rsidR="002653E8" w:rsidRDefault="003115E3">
      <w:pPr>
        <w:pStyle w:val="a3"/>
        <w:spacing w:before="24" w:line="264" w:lineRule="auto"/>
        <w:ind w:left="1328" w:right="1146" w:hanging="1"/>
        <w:jc w:val="both"/>
        <w:rPr>
          <w:sz w:val="11"/>
        </w:rPr>
      </w:pPr>
      <w:r>
        <w:rPr>
          <w:color w:val="231F20"/>
        </w:rPr>
        <w:t xml:space="preserve">Brandt, Genscher, Merck, Schreiber, </w:t>
      </w:r>
      <w:r>
        <w:rPr>
          <w:color w:val="231F20"/>
          <w:spacing w:val="-3"/>
        </w:rPr>
        <w:t xml:space="preserve">Vogel, </w:t>
      </w:r>
      <w:r>
        <w:rPr>
          <w:color w:val="231F20"/>
        </w:rPr>
        <w:t>Daume, Brundage,</w:t>
      </w:r>
      <w:r>
        <w:rPr>
          <w:color w:val="231F20"/>
          <w:position w:val="7"/>
          <w:sz w:val="11"/>
        </w:rPr>
        <w:t xml:space="preserve">3  </w:t>
      </w:r>
      <w:r>
        <w:rPr>
          <w:color w:val="231F20"/>
        </w:rPr>
        <w:t>and all the others who make up imperialism’s cast of characters didn’t pause for a moment to consider agreeing to the revolutionaries’ demand for the release of prisoners. Even before Golda Meir was informed and had taken a position, they had already on their own considered how best to massacre</w:t>
      </w:r>
      <w:r>
        <w:rPr>
          <w:color w:val="231F20"/>
          <w:spacing w:val="-5"/>
        </w:rPr>
        <w:t xml:space="preserve"> </w:t>
      </w:r>
      <w:r>
        <w:rPr>
          <w:color w:val="231F20"/>
        </w:rPr>
        <w:t>the</w:t>
      </w:r>
      <w:r>
        <w:rPr>
          <w:color w:val="231F20"/>
          <w:spacing w:val="-5"/>
        </w:rPr>
        <w:t xml:space="preserve"> </w:t>
      </w:r>
      <w:r>
        <w:rPr>
          <w:color w:val="231F20"/>
        </w:rPr>
        <w:t>revolutionaries—with</w:t>
      </w:r>
      <w:r>
        <w:rPr>
          <w:color w:val="231F20"/>
          <w:spacing w:val="-5"/>
        </w:rPr>
        <w:t xml:space="preserve"> </w:t>
      </w:r>
      <w:r>
        <w:rPr>
          <w:color w:val="231F20"/>
        </w:rPr>
        <w:t>gas</w:t>
      </w:r>
      <w:r>
        <w:rPr>
          <w:color w:val="231F20"/>
          <w:spacing w:val="-5"/>
        </w:rPr>
        <w:t xml:space="preserve"> </w:t>
      </w:r>
      <w:r>
        <w:rPr>
          <w:color w:val="231F20"/>
        </w:rPr>
        <w:t>or</w:t>
      </w:r>
      <w:r>
        <w:rPr>
          <w:color w:val="231F20"/>
          <w:spacing w:val="-5"/>
        </w:rPr>
        <w:t xml:space="preserve"> </w:t>
      </w:r>
      <w:r>
        <w:rPr>
          <w:color w:val="231F20"/>
        </w:rPr>
        <w:t>storm</w:t>
      </w:r>
      <w:r>
        <w:rPr>
          <w:color w:val="231F20"/>
          <w:spacing w:val="-5"/>
        </w:rPr>
        <w:t xml:space="preserve"> </w:t>
      </w:r>
      <w:r>
        <w:rPr>
          <w:color w:val="231F20"/>
        </w:rPr>
        <w:t>troopers</w:t>
      </w:r>
      <w:r>
        <w:rPr>
          <w:color w:val="231F20"/>
          <w:spacing w:val="-5"/>
        </w:rPr>
        <w:t xml:space="preserve"> </w:t>
      </w:r>
      <w:r>
        <w:rPr>
          <w:color w:val="231F20"/>
        </w:rPr>
        <w:t>or</w:t>
      </w:r>
      <w:r>
        <w:rPr>
          <w:color w:val="231F20"/>
          <w:spacing w:val="-5"/>
        </w:rPr>
        <w:t xml:space="preserve"> </w:t>
      </w:r>
      <w:r>
        <w:rPr>
          <w:color w:val="231F20"/>
        </w:rPr>
        <w:t>a</w:t>
      </w:r>
      <w:r>
        <w:rPr>
          <w:color w:val="231F20"/>
          <w:spacing w:val="-5"/>
        </w:rPr>
        <w:t xml:space="preserve"> </w:t>
      </w:r>
      <w:r>
        <w:rPr>
          <w:color w:val="231F20"/>
        </w:rPr>
        <w:t>precision strike or whatever</w:t>
      </w:r>
      <w:r>
        <w:rPr>
          <w:color w:val="231F20"/>
          <w:spacing w:val="30"/>
        </w:rPr>
        <w:t xml:space="preserve"> </w:t>
      </w:r>
      <w:r>
        <w:rPr>
          <w:color w:val="231F20"/>
        </w:rPr>
        <w:t>else.</w:t>
      </w:r>
      <w:r>
        <w:rPr>
          <w:color w:val="231F20"/>
          <w:position w:val="7"/>
          <w:sz w:val="11"/>
        </w:rPr>
        <w:t>4</w:t>
      </w:r>
    </w:p>
    <w:p w14:paraId="519339EC" w14:textId="77777777" w:rsidR="002653E8" w:rsidRDefault="003115E3">
      <w:pPr>
        <w:pStyle w:val="a3"/>
        <w:spacing w:line="264" w:lineRule="auto"/>
        <w:ind w:left="1327" w:right="1145" w:firstLine="210"/>
        <w:jc w:val="both"/>
      </w:pPr>
      <w:r>
        <w:rPr>
          <w:color w:val="231F20"/>
          <w:spacing w:val="1"/>
        </w:rPr>
        <w:t xml:space="preserve">All </w:t>
      </w:r>
      <w:r>
        <w:rPr>
          <w:color w:val="231F20"/>
        </w:rPr>
        <w:t xml:space="preserve">delays to the ultimatum, reached through lies and false promises, served to allow them to reach their sole objective, to win time to plan the massacre. They had only one goal, not to prove in any </w:t>
      </w:r>
      <w:r>
        <w:rPr>
          <w:color w:val="231F20"/>
          <w:spacing w:val="-2"/>
        </w:rPr>
        <w:t xml:space="preserve">way </w:t>
      </w:r>
      <w:r>
        <w:rPr>
          <w:color w:val="231F20"/>
        </w:rPr>
        <w:t>inferior to</w:t>
      </w:r>
      <w:r>
        <w:rPr>
          <w:color w:val="231F20"/>
          <w:spacing w:val="12"/>
        </w:rPr>
        <w:t xml:space="preserve"> </w:t>
      </w:r>
      <w:r>
        <w:rPr>
          <w:color w:val="231F20"/>
        </w:rPr>
        <w:t>the</w:t>
      </w:r>
      <w:r>
        <w:rPr>
          <w:color w:val="231F20"/>
          <w:spacing w:val="12"/>
        </w:rPr>
        <w:t xml:space="preserve"> </w:t>
      </w:r>
      <w:r>
        <w:rPr>
          <w:color w:val="231F20"/>
        </w:rPr>
        <w:t>fascism</w:t>
      </w:r>
      <w:r>
        <w:rPr>
          <w:color w:val="231F20"/>
          <w:spacing w:val="12"/>
        </w:rPr>
        <w:t xml:space="preserve"> </w:t>
      </w:r>
      <w:r>
        <w:rPr>
          <w:color w:val="231F20"/>
        </w:rPr>
        <w:t>of</w:t>
      </w:r>
      <w:r>
        <w:rPr>
          <w:color w:val="231F20"/>
          <w:spacing w:val="12"/>
        </w:rPr>
        <w:t xml:space="preserve"> </w:t>
      </w:r>
      <w:r>
        <w:rPr>
          <w:color w:val="231F20"/>
        </w:rPr>
        <w:t>Moshe</w:t>
      </w:r>
      <w:r>
        <w:rPr>
          <w:color w:val="231F20"/>
          <w:spacing w:val="12"/>
        </w:rPr>
        <w:t xml:space="preserve"> </w:t>
      </w:r>
      <w:r>
        <w:rPr>
          <w:color w:val="231F20"/>
        </w:rPr>
        <w:t>Dayan—Israel’s</w:t>
      </w:r>
      <w:r>
        <w:rPr>
          <w:color w:val="231F20"/>
          <w:spacing w:val="12"/>
        </w:rPr>
        <w:t xml:space="preserve"> </w:t>
      </w:r>
      <w:r>
        <w:rPr>
          <w:color w:val="231F20"/>
        </w:rPr>
        <w:t>Himmler.</w:t>
      </w:r>
    </w:p>
    <w:p w14:paraId="1821EB9A" w14:textId="77777777" w:rsidR="002653E8" w:rsidRDefault="003115E3">
      <w:pPr>
        <w:pStyle w:val="a3"/>
        <w:spacing w:line="264" w:lineRule="auto"/>
        <w:ind w:left="1327" w:right="1146" w:firstLine="210"/>
        <w:jc w:val="both"/>
      </w:pPr>
      <w:r>
        <w:rPr>
          <w:color w:val="231F20"/>
        </w:rPr>
        <w:t xml:space="preserve">The September 7 reports from the Bavarian </w:t>
      </w:r>
      <w:r>
        <w:rPr>
          <w:color w:val="231F20"/>
          <w:spacing w:val="1"/>
        </w:rPr>
        <w:t xml:space="preserve">Ministry </w:t>
      </w:r>
      <w:r>
        <w:rPr>
          <w:color w:val="231F20"/>
        </w:rPr>
        <w:t xml:space="preserve">of the Interior— the first reports were less clear than what followed—consisted of nothing but rhetoric and assertions that it is in fact possible to be a pig      just like Moshe Dayan, that everything was planned to resemble his underhanded action against the hijackers in </w:t>
      </w:r>
      <w:r>
        <w:rPr>
          <w:color w:val="231F20"/>
          <w:spacing w:val="-5"/>
        </w:rPr>
        <w:t xml:space="preserve">Tel </w:t>
      </w:r>
      <w:r>
        <w:rPr>
          <w:color w:val="231F20"/>
          <w:spacing w:val="-3"/>
        </w:rPr>
        <w:t>Aviv,</w:t>
      </w:r>
      <w:r>
        <w:rPr>
          <w:color w:val="231F20"/>
          <w:spacing w:val="-3"/>
          <w:position w:val="7"/>
          <w:sz w:val="11"/>
        </w:rPr>
        <w:t xml:space="preserve">5 </w:t>
      </w:r>
      <w:r>
        <w:rPr>
          <w:color w:val="231F20"/>
        </w:rPr>
        <w:t>that everything had been done to spring the same kind of brutal trap on the revolutionaries—truly tragic,</w:t>
      </w:r>
      <w:r>
        <w:rPr>
          <w:color w:val="231F20"/>
          <w:spacing w:val="23"/>
        </w:rPr>
        <w:t xml:space="preserve"> </w:t>
      </w:r>
      <w:r>
        <w:rPr>
          <w:color w:val="231F20"/>
        </w:rPr>
        <w:t>tragic…</w:t>
      </w:r>
    </w:p>
    <w:p w14:paraId="685836C1" w14:textId="77777777" w:rsidR="002653E8" w:rsidRDefault="003115E3">
      <w:pPr>
        <w:pStyle w:val="a3"/>
        <w:spacing w:line="264" w:lineRule="auto"/>
        <w:ind w:left="1327" w:right="1146" w:firstLine="210"/>
        <w:jc w:val="both"/>
      </w:pPr>
      <w:r>
        <w:rPr>
          <w:color w:val="231F20"/>
        </w:rPr>
        <w:t xml:space="preserve">That Genscher went so far as to guarantee the exchange  of  hos tages on September 6 at 8 in the morning in Cairo is concealed in the </w:t>
      </w:r>
      <w:r>
        <w:rPr>
          <w:color w:val="231F20"/>
          <w:spacing w:val="-3"/>
        </w:rPr>
        <w:t xml:space="preserve">West </w:t>
      </w:r>
      <w:r>
        <w:rPr>
          <w:color w:val="231F20"/>
        </w:rPr>
        <w:t>German reports—this was first made public by the leader of the Egyptian Olympic</w:t>
      </w:r>
      <w:r>
        <w:rPr>
          <w:color w:val="231F20"/>
          <w:spacing w:val="23"/>
        </w:rPr>
        <w:t xml:space="preserve"> </w:t>
      </w:r>
      <w:r>
        <w:rPr>
          <w:color w:val="231F20"/>
        </w:rPr>
        <w:t>delegation.</w:t>
      </w:r>
    </w:p>
    <w:p w14:paraId="1B3972B7" w14:textId="77777777" w:rsidR="002653E8" w:rsidRDefault="003115E3">
      <w:pPr>
        <w:pStyle w:val="a3"/>
        <w:spacing w:line="264" w:lineRule="auto"/>
        <w:ind w:left="1327" w:right="1146" w:firstLine="210"/>
        <w:jc w:val="both"/>
      </w:pPr>
      <w:r>
        <w:rPr>
          <w:color w:val="231F20"/>
        </w:rPr>
        <w:t>Foreign imperialist countries were horrified by the Germans’ incompetence. Once again they had failed to liquidate the communists without also liquidating the Jews.</w:t>
      </w:r>
    </w:p>
    <w:p w14:paraId="05F29FD7" w14:textId="77777777" w:rsidR="002653E8" w:rsidRDefault="003115E3">
      <w:pPr>
        <w:pStyle w:val="a3"/>
        <w:spacing w:line="264" w:lineRule="auto"/>
        <w:ind w:left="1327" w:right="1146" w:firstLine="210"/>
        <w:jc w:val="both"/>
      </w:pPr>
      <w:r>
        <w:rPr>
          <w:color w:val="231F20"/>
        </w:rPr>
        <w:t xml:space="preserve">Israel cried crocodile tears. Isreal burned their own athletes just as the Nazis had burned the Jews—kindling for the imperialist policy of extermination. They </w:t>
      </w:r>
      <w:r>
        <w:rPr>
          <w:color w:val="231F20"/>
          <w:spacing w:val="-4"/>
        </w:rPr>
        <w:t xml:space="preserve">won’t </w:t>
      </w:r>
      <w:r>
        <w:rPr>
          <w:color w:val="231F20"/>
        </w:rPr>
        <w:t>even bother to use Munich as a pretext if  they</w:t>
      </w:r>
      <w:r>
        <w:rPr>
          <w:color w:val="231F20"/>
          <w:spacing w:val="15"/>
        </w:rPr>
        <w:t xml:space="preserve"> </w:t>
      </w:r>
      <w:r>
        <w:rPr>
          <w:color w:val="231F20"/>
        </w:rPr>
        <w:t>now</w:t>
      </w:r>
      <w:r>
        <w:rPr>
          <w:color w:val="231F20"/>
          <w:spacing w:val="15"/>
        </w:rPr>
        <w:t xml:space="preserve"> </w:t>
      </w:r>
      <w:r>
        <w:rPr>
          <w:color w:val="231F20"/>
        </w:rPr>
        <w:t>bomb</w:t>
      </w:r>
      <w:r>
        <w:rPr>
          <w:color w:val="231F20"/>
          <w:spacing w:val="15"/>
        </w:rPr>
        <w:t xml:space="preserve"> </w:t>
      </w:r>
      <w:r>
        <w:rPr>
          <w:color w:val="231F20"/>
        </w:rPr>
        <w:t>Palestinian</w:t>
      </w:r>
      <w:r>
        <w:rPr>
          <w:color w:val="231F20"/>
          <w:spacing w:val="15"/>
        </w:rPr>
        <w:t xml:space="preserve"> </w:t>
      </w:r>
      <w:r>
        <w:rPr>
          <w:color w:val="231F20"/>
        </w:rPr>
        <w:t>villages—they</w:t>
      </w:r>
      <w:r>
        <w:rPr>
          <w:color w:val="231F20"/>
          <w:spacing w:val="15"/>
        </w:rPr>
        <w:t xml:space="preserve"> </w:t>
      </w:r>
      <w:r>
        <w:rPr>
          <w:color w:val="231F20"/>
        </w:rPr>
        <w:t>will</w:t>
      </w:r>
      <w:r>
        <w:rPr>
          <w:color w:val="231F20"/>
          <w:spacing w:val="15"/>
        </w:rPr>
        <w:t xml:space="preserve"> </w:t>
      </w:r>
      <w:r>
        <w:rPr>
          <w:color w:val="231F20"/>
        </w:rPr>
        <w:t>do</w:t>
      </w:r>
      <w:r>
        <w:rPr>
          <w:color w:val="231F20"/>
          <w:spacing w:val="15"/>
        </w:rPr>
        <w:t xml:space="preserve"> </w:t>
      </w:r>
      <w:r>
        <w:rPr>
          <w:color w:val="231F20"/>
        </w:rPr>
        <w:t>what</w:t>
      </w:r>
      <w:r>
        <w:rPr>
          <w:color w:val="231F20"/>
          <w:spacing w:val="15"/>
        </w:rPr>
        <w:t xml:space="preserve"> </w:t>
      </w:r>
      <w:r>
        <w:rPr>
          <w:color w:val="231F20"/>
        </w:rPr>
        <w:t>the</w:t>
      </w:r>
      <w:r>
        <w:rPr>
          <w:color w:val="231F20"/>
          <w:spacing w:val="15"/>
        </w:rPr>
        <w:t xml:space="preserve"> </w:t>
      </w:r>
      <w:r>
        <w:rPr>
          <w:color w:val="231F20"/>
        </w:rPr>
        <w:t>imperialist</w:t>
      </w:r>
    </w:p>
    <w:p w14:paraId="47EAA7EA" w14:textId="77777777" w:rsidR="002653E8" w:rsidRDefault="00000000">
      <w:pPr>
        <w:pStyle w:val="a3"/>
        <w:spacing w:before="5"/>
        <w:rPr>
          <w:sz w:val="23"/>
        </w:rPr>
      </w:pPr>
      <w:r>
        <w:rPr>
          <w:noProof w:val="0"/>
        </w:rPr>
        <w:pict w14:anchorId="2F7943D4">
          <v:line id="_x0000_s2449" style="position:absolute;z-index:5920;mso-wrap-distance-left:0;mso-wrap-distance-right:0;mso-position-horizontal-relative:page" from="66.4pt,15.95pt" to="138.4pt,15.95pt" strokecolor="#231f20" strokeweight=".5pt">
            <w10:wrap type="topAndBottom" anchorx="page"/>
          </v:line>
        </w:pict>
      </w:r>
    </w:p>
    <w:p w14:paraId="10388750" w14:textId="77777777" w:rsidR="002653E8" w:rsidRDefault="003115E3">
      <w:pPr>
        <w:pStyle w:val="a4"/>
        <w:numPr>
          <w:ilvl w:val="0"/>
          <w:numId w:val="19"/>
        </w:numPr>
        <w:tabs>
          <w:tab w:val="left" w:pos="1467"/>
        </w:tabs>
        <w:spacing w:before="53" w:line="254" w:lineRule="auto"/>
        <w:ind w:right="1381" w:firstLine="0"/>
        <w:rPr>
          <w:sz w:val="16"/>
        </w:rPr>
      </w:pPr>
      <w:r>
        <w:rPr>
          <w:color w:val="231F20"/>
          <w:w w:val="105"/>
          <w:sz w:val="16"/>
        </w:rPr>
        <w:t>Leading politicians and police representatives who participated in the decisions that</w:t>
      </w:r>
      <w:r>
        <w:rPr>
          <w:color w:val="231F20"/>
          <w:spacing w:val="7"/>
          <w:w w:val="105"/>
          <w:sz w:val="16"/>
        </w:rPr>
        <w:t xml:space="preserve"> </w:t>
      </w:r>
      <w:r>
        <w:rPr>
          <w:color w:val="231F20"/>
          <w:w w:val="105"/>
          <w:sz w:val="16"/>
        </w:rPr>
        <w:t>led</w:t>
      </w:r>
      <w:r>
        <w:rPr>
          <w:color w:val="231F20"/>
          <w:spacing w:val="7"/>
          <w:w w:val="105"/>
          <w:sz w:val="16"/>
        </w:rPr>
        <w:t xml:space="preserve"> </w:t>
      </w:r>
      <w:r>
        <w:rPr>
          <w:color w:val="231F20"/>
          <w:w w:val="105"/>
          <w:sz w:val="16"/>
        </w:rPr>
        <w:t>to</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massacre</w:t>
      </w:r>
      <w:r>
        <w:rPr>
          <w:color w:val="231F20"/>
          <w:spacing w:val="7"/>
          <w:w w:val="105"/>
          <w:sz w:val="16"/>
        </w:rPr>
        <w:t xml:space="preserve"> </w:t>
      </w:r>
      <w:r>
        <w:rPr>
          <w:color w:val="231F20"/>
          <w:w w:val="105"/>
          <w:sz w:val="16"/>
        </w:rPr>
        <w:t>at</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Fürstenfeldbruck</w:t>
      </w:r>
      <w:r>
        <w:rPr>
          <w:color w:val="231F20"/>
          <w:spacing w:val="7"/>
          <w:w w:val="105"/>
          <w:sz w:val="16"/>
        </w:rPr>
        <w:t xml:space="preserve"> </w:t>
      </w:r>
      <w:r>
        <w:rPr>
          <w:color w:val="231F20"/>
          <w:w w:val="105"/>
          <w:sz w:val="16"/>
        </w:rPr>
        <w:t>airport.</w:t>
      </w:r>
    </w:p>
    <w:p w14:paraId="63ABD097" w14:textId="77777777" w:rsidR="002653E8" w:rsidRDefault="003115E3">
      <w:pPr>
        <w:pStyle w:val="a4"/>
        <w:numPr>
          <w:ilvl w:val="0"/>
          <w:numId w:val="19"/>
        </w:numPr>
        <w:tabs>
          <w:tab w:val="left" w:pos="1467"/>
        </w:tabs>
        <w:spacing w:line="254" w:lineRule="auto"/>
        <w:ind w:right="1204" w:firstLine="0"/>
        <w:rPr>
          <w:sz w:val="16"/>
        </w:rPr>
      </w:pPr>
      <w:r>
        <w:rPr>
          <w:color w:val="231F20"/>
          <w:w w:val="105"/>
          <w:sz w:val="16"/>
        </w:rPr>
        <w:t>Genscher in consultation with police chief Schreiber had considered sending in  tear gas through the Olympic Village air conditioning, and also storming the Israeli dorms</w:t>
      </w:r>
      <w:r>
        <w:rPr>
          <w:color w:val="231F20"/>
          <w:spacing w:val="6"/>
          <w:w w:val="105"/>
          <w:sz w:val="16"/>
        </w:rPr>
        <w:t xml:space="preserve"> </w:t>
      </w:r>
      <w:r>
        <w:rPr>
          <w:color w:val="231F20"/>
          <w:w w:val="105"/>
          <w:sz w:val="16"/>
        </w:rPr>
        <w:t>with</w:t>
      </w:r>
      <w:r>
        <w:rPr>
          <w:color w:val="231F20"/>
          <w:spacing w:val="6"/>
          <w:w w:val="105"/>
          <w:sz w:val="16"/>
        </w:rPr>
        <w:t xml:space="preserve"> </w:t>
      </w:r>
      <w:r>
        <w:rPr>
          <w:color w:val="231F20"/>
          <w:w w:val="105"/>
          <w:sz w:val="16"/>
        </w:rPr>
        <w:t>regular</w:t>
      </w:r>
      <w:r>
        <w:rPr>
          <w:color w:val="231F20"/>
          <w:spacing w:val="6"/>
          <w:w w:val="105"/>
          <w:sz w:val="16"/>
        </w:rPr>
        <w:t xml:space="preserve"> </w:t>
      </w:r>
      <w:r>
        <w:rPr>
          <w:color w:val="231F20"/>
          <w:w w:val="105"/>
          <w:sz w:val="16"/>
        </w:rPr>
        <w:t>police</w:t>
      </w:r>
      <w:r>
        <w:rPr>
          <w:color w:val="231F20"/>
          <w:spacing w:val="6"/>
          <w:w w:val="105"/>
          <w:sz w:val="16"/>
        </w:rPr>
        <w:t xml:space="preserve"> </w:t>
      </w:r>
      <w:r>
        <w:rPr>
          <w:color w:val="231F20"/>
          <w:w w:val="105"/>
          <w:sz w:val="16"/>
        </w:rPr>
        <w:t>officers.</w:t>
      </w:r>
      <w:r>
        <w:rPr>
          <w:color w:val="231F20"/>
          <w:spacing w:val="6"/>
          <w:w w:val="105"/>
          <w:sz w:val="16"/>
        </w:rPr>
        <w:t xml:space="preserve"> </w:t>
      </w:r>
      <w:r>
        <w:rPr>
          <w:color w:val="231F20"/>
          <w:w w:val="105"/>
          <w:sz w:val="16"/>
        </w:rPr>
        <w:t>Both</w:t>
      </w:r>
      <w:r>
        <w:rPr>
          <w:color w:val="231F20"/>
          <w:spacing w:val="6"/>
          <w:w w:val="105"/>
          <w:sz w:val="16"/>
        </w:rPr>
        <w:t xml:space="preserve"> </w:t>
      </w:r>
      <w:r>
        <w:rPr>
          <w:color w:val="231F20"/>
          <w:w w:val="105"/>
          <w:sz w:val="16"/>
        </w:rPr>
        <w:t>plans</w:t>
      </w:r>
      <w:r>
        <w:rPr>
          <w:color w:val="231F20"/>
          <w:spacing w:val="6"/>
          <w:w w:val="105"/>
          <w:sz w:val="16"/>
        </w:rPr>
        <w:t xml:space="preserve"> </w:t>
      </w:r>
      <w:r>
        <w:rPr>
          <w:color w:val="231F20"/>
          <w:w w:val="105"/>
          <w:sz w:val="16"/>
        </w:rPr>
        <w:t>were</w:t>
      </w:r>
      <w:r>
        <w:rPr>
          <w:color w:val="231F20"/>
          <w:spacing w:val="6"/>
          <w:w w:val="105"/>
          <w:sz w:val="16"/>
        </w:rPr>
        <w:t xml:space="preserve"> </w:t>
      </w:r>
      <w:r>
        <w:rPr>
          <w:color w:val="231F20"/>
          <w:w w:val="105"/>
          <w:sz w:val="16"/>
        </w:rPr>
        <w:t>rejected</w:t>
      </w:r>
      <w:r>
        <w:rPr>
          <w:color w:val="231F20"/>
          <w:spacing w:val="6"/>
          <w:w w:val="105"/>
          <w:sz w:val="16"/>
        </w:rPr>
        <w:t xml:space="preserve"> </w:t>
      </w:r>
      <w:r>
        <w:rPr>
          <w:color w:val="231F20"/>
          <w:w w:val="105"/>
          <w:sz w:val="16"/>
        </w:rPr>
        <w:t>as</w:t>
      </w:r>
      <w:r>
        <w:rPr>
          <w:color w:val="231F20"/>
          <w:spacing w:val="6"/>
          <w:w w:val="105"/>
          <w:sz w:val="16"/>
        </w:rPr>
        <w:t xml:space="preserve"> </w:t>
      </w:r>
      <w:r>
        <w:rPr>
          <w:color w:val="231F20"/>
          <w:w w:val="105"/>
          <w:sz w:val="16"/>
        </w:rPr>
        <w:t>unlikely</w:t>
      </w:r>
      <w:r>
        <w:rPr>
          <w:color w:val="231F20"/>
          <w:spacing w:val="6"/>
          <w:w w:val="105"/>
          <w:sz w:val="16"/>
        </w:rPr>
        <w:t xml:space="preserve"> </w:t>
      </w:r>
      <w:r>
        <w:rPr>
          <w:color w:val="231F20"/>
          <w:w w:val="105"/>
          <w:sz w:val="16"/>
        </w:rPr>
        <w:t>to</w:t>
      </w:r>
      <w:r>
        <w:rPr>
          <w:color w:val="231F20"/>
          <w:spacing w:val="6"/>
          <w:w w:val="105"/>
          <w:sz w:val="16"/>
        </w:rPr>
        <w:t xml:space="preserve"> </w:t>
      </w:r>
      <w:r>
        <w:rPr>
          <w:color w:val="231F20"/>
          <w:w w:val="105"/>
          <w:sz w:val="16"/>
        </w:rPr>
        <w:t>succeed.</w:t>
      </w:r>
    </w:p>
    <w:p w14:paraId="516E2A77" w14:textId="77777777" w:rsidR="002653E8" w:rsidRDefault="003115E3">
      <w:pPr>
        <w:pStyle w:val="a4"/>
        <w:numPr>
          <w:ilvl w:val="0"/>
          <w:numId w:val="19"/>
        </w:numPr>
        <w:tabs>
          <w:tab w:val="left" w:pos="1467"/>
        </w:tabs>
        <w:spacing w:line="254" w:lineRule="auto"/>
        <w:ind w:right="1196" w:firstLine="0"/>
        <w:rPr>
          <w:sz w:val="16"/>
        </w:rPr>
      </w:pPr>
      <w:r>
        <w:rPr>
          <w:color w:val="231F20"/>
          <w:w w:val="105"/>
          <w:sz w:val="16"/>
        </w:rPr>
        <w:t xml:space="preserve">A reference to the fact that the paratroopers Dayan had led in May at Lod airport had been disguised as maintenance workers, whereas the assault team which had been ordered to take out the commando at Fürstenfeldbruck (see page 234, fn </w:t>
      </w:r>
      <w:r>
        <w:rPr>
          <w:color w:val="231F20"/>
          <w:spacing w:val="-4"/>
          <w:w w:val="105"/>
          <w:sz w:val="16"/>
        </w:rPr>
        <w:t xml:space="preserve">1) </w:t>
      </w:r>
      <w:r>
        <w:rPr>
          <w:color w:val="231F20"/>
          <w:w w:val="105"/>
          <w:sz w:val="16"/>
        </w:rPr>
        <w:t>were to be disguised as flight</w:t>
      </w:r>
      <w:r>
        <w:rPr>
          <w:color w:val="231F20"/>
          <w:spacing w:val="10"/>
          <w:w w:val="105"/>
          <w:sz w:val="16"/>
        </w:rPr>
        <w:t xml:space="preserve"> </w:t>
      </w:r>
      <w:r>
        <w:rPr>
          <w:color w:val="231F20"/>
          <w:w w:val="105"/>
          <w:sz w:val="16"/>
        </w:rPr>
        <w:t>attendants.</w:t>
      </w:r>
    </w:p>
    <w:p w14:paraId="0A5FE981" w14:textId="77777777" w:rsidR="002653E8" w:rsidRDefault="002653E8">
      <w:pPr>
        <w:spacing w:line="254" w:lineRule="auto"/>
        <w:rPr>
          <w:sz w:val="16"/>
        </w:rPr>
        <w:sectPr w:rsidR="002653E8">
          <w:pgSz w:w="8640" w:h="12960"/>
          <w:pgMar w:top="1040" w:right="0" w:bottom="1040" w:left="0" w:header="0" w:footer="850" w:gutter="0"/>
          <w:cols w:space="720"/>
        </w:sectPr>
      </w:pPr>
    </w:p>
    <w:p w14:paraId="1C8DBE46" w14:textId="77777777" w:rsidR="002653E8" w:rsidRDefault="003115E3">
      <w:pPr>
        <w:pStyle w:val="a3"/>
        <w:spacing w:before="86" w:line="264" w:lineRule="auto"/>
        <w:ind w:left="1147" w:right="1326"/>
        <w:jc w:val="both"/>
      </w:pPr>
      <w:r>
        <w:rPr>
          <w:color w:val="231F20"/>
        </w:rPr>
        <w:lastRenderedPageBreak/>
        <w:t xml:space="preserve">system always does: they will bomb the liberation movement. They bomb because the Arab people have embraced the Black September action, because the masses understand the action; their enemy is not only Israel, their enemy is imperialism. It is not only Israel that is bloodthirsty, nor is it only the </w:t>
      </w:r>
      <w:r>
        <w:rPr>
          <w:color w:val="231F20"/>
          <w:spacing w:val="1"/>
        </w:rPr>
        <w:t xml:space="preserve">U.S. </w:t>
      </w:r>
      <w:r>
        <w:rPr>
          <w:color w:val="231F20"/>
        </w:rPr>
        <w:t>in the case of Vietnam, but rather it is        all of imperialism against all of the liberation movements. They understand that without an anti-imperialist struggle there can be no victory for the people’s</w:t>
      </w:r>
      <w:r>
        <w:rPr>
          <w:color w:val="231F20"/>
          <w:spacing w:val="31"/>
        </w:rPr>
        <w:t xml:space="preserve"> </w:t>
      </w:r>
      <w:r>
        <w:rPr>
          <w:color w:val="231F20"/>
        </w:rPr>
        <w:t>war.</w:t>
      </w:r>
    </w:p>
    <w:p w14:paraId="04C9570E" w14:textId="77777777" w:rsidR="002653E8" w:rsidRDefault="002653E8">
      <w:pPr>
        <w:pStyle w:val="a3"/>
        <w:spacing w:before="2"/>
        <w:rPr>
          <w:sz w:val="21"/>
        </w:rPr>
      </w:pPr>
    </w:p>
    <w:p w14:paraId="3B1D5C79" w14:textId="77777777" w:rsidR="002653E8" w:rsidRDefault="003115E3">
      <w:pPr>
        <w:ind w:left="1147"/>
        <w:rPr>
          <w:i/>
          <w:sz w:val="20"/>
        </w:rPr>
      </w:pPr>
      <w:r>
        <w:rPr>
          <w:i/>
          <w:color w:val="231F20"/>
          <w:w w:val="105"/>
          <w:sz w:val="20"/>
        </w:rPr>
        <w:t>The Establishment Unmasked</w:t>
      </w:r>
    </w:p>
    <w:p w14:paraId="7071641F" w14:textId="77777777" w:rsidR="002653E8" w:rsidRDefault="003115E3">
      <w:pPr>
        <w:pStyle w:val="a3"/>
        <w:spacing w:before="23" w:line="264" w:lineRule="auto"/>
        <w:ind w:left="1147" w:right="1326"/>
        <w:jc w:val="both"/>
      </w:pPr>
      <w:r>
        <w:rPr>
          <w:color w:val="231F20"/>
        </w:rPr>
        <w:t xml:space="preserve">The </w:t>
      </w:r>
      <w:r>
        <w:rPr>
          <w:color w:val="231F20"/>
          <w:spacing w:val="-3"/>
        </w:rPr>
        <w:t xml:space="preserve">West </w:t>
      </w:r>
      <w:r>
        <w:rPr>
          <w:color w:val="231F20"/>
        </w:rPr>
        <w:t>German establishment has unmasked itself—the more they assert themselves, the more the system’s inherent contradictions have proven</w:t>
      </w:r>
      <w:r>
        <w:rPr>
          <w:color w:val="231F20"/>
          <w:spacing w:val="-4"/>
        </w:rPr>
        <w:t xml:space="preserve"> </w:t>
      </w:r>
      <w:r>
        <w:rPr>
          <w:color w:val="231F20"/>
        </w:rPr>
        <w:t>what</w:t>
      </w:r>
      <w:r>
        <w:rPr>
          <w:color w:val="231F20"/>
          <w:spacing w:val="-4"/>
        </w:rPr>
        <w:t xml:space="preserve"> </w:t>
      </w:r>
      <w:r>
        <w:rPr>
          <w:color w:val="231F20"/>
        </w:rPr>
        <w:t>this</w:t>
      </w:r>
      <w:r>
        <w:rPr>
          <w:color w:val="231F20"/>
          <w:spacing w:val="-4"/>
        </w:rPr>
        <w:t xml:space="preserve"> </w:t>
      </w:r>
      <w:r>
        <w:rPr>
          <w:color w:val="231F20"/>
        </w:rPr>
        <w:t>means</w:t>
      </w:r>
      <w:r>
        <w:rPr>
          <w:color w:val="231F20"/>
          <w:spacing w:val="-4"/>
        </w:rPr>
        <w:t xml:space="preserve"> </w:t>
      </w:r>
      <w:r>
        <w:rPr>
          <w:color w:val="231F20"/>
        </w:rPr>
        <w:t>in</w:t>
      </w:r>
      <w:r>
        <w:rPr>
          <w:color w:val="231F20"/>
          <w:spacing w:val="-4"/>
        </w:rPr>
        <w:t xml:space="preserve"> </w:t>
      </w:r>
      <w:r>
        <w:rPr>
          <w:color w:val="231F20"/>
        </w:rPr>
        <w:t>the</w:t>
      </w:r>
      <w:r>
        <w:rPr>
          <w:color w:val="231F20"/>
          <w:spacing w:val="-4"/>
        </w:rPr>
        <w:t xml:space="preserve"> </w:t>
      </w:r>
      <w:r>
        <w:rPr>
          <w:color w:val="231F20"/>
        </w:rPr>
        <w:t>context</w:t>
      </w:r>
      <w:r>
        <w:rPr>
          <w:color w:val="231F20"/>
          <w:spacing w:val="-4"/>
        </w:rPr>
        <w:t xml:space="preserve"> </w:t>
      </w:r>
      <w:r>
        <w:rPr>
          <w:color w:val="231F20"/>
        </w:rPr>
        <w:t>of</w:t>
      </w:r>
      <w:r>
        <w:rPr>
          <w:color w:val="231F20"/>
          <w:spacing w:val="-4"/>
        </w:rPr>
        <w:t xml:space="preserve"> </w:t>
      </w:r>
      <w:r>
        <w:rPr>
          <w:color w:val="231F20"/>
        </w:rPr>
        <w:t>developing</w:t>
      </w:r>
      <w:r>
        <w:rPr>
          <w:color w:val="231F20"/>
          <w:spacing w:val="-4"/>
        </w:rPr>
        <w:t xml:space="preserve"> </w:t>
      </w:r>
      <w:r>
        <w:rPr>
          <w:color w:val="231F20"/>
        </w:rPr>
        <w:t>imperialism:</w:t>
      </w:r>
      <w:r>
        <w:rPr>
          <w:color w:val="231F20"/>
          <w:spacing w:val="-4"/>
        </w:rPr>
        <w:t xml:space="preserve"> </w:t>
      </w:r>
      <w:r>
        <w:rPr>
          <w:color w:val="231F20"/>
        </w:rPr>
        <w:t>phony campaigns,</w:t>
      </w:r>
      <w:r>
        <w:rPr>
          <w:color w:val="231F20"/>
          <w:spacing w:val="15"/>
        </w:rPr>
        <w:t xml:space="preserve"> </w:t>
      </w:r>
      <w:r>
        <w:rPr>
          <w:color w:val="231F20"/>
        </w:rPr>
        <w:t>the</w:t>
      </w:r>
      <w:r>
        <w:rPr>
          <w:color w:val="231F20"/>
          <w:spacing w:val="15"/>
        </w:rPr>
        <w:t xml:space="preserve"> </w:t>
      </w:r>
      <w:r>
        <w:rPr>
          <w:color w:val="231F20"/>
        </w:rPr>
        <w:t>social</w:t>
      </w:r>
      <w:r>
        <w:rPr>
          <w:color w:val="231F20"/>
          <w:spacing w:val="15"/>
        </w:rPr>
        <w:t xml:space="preserve"> </w:t>
      </w:r>
      <w:r>
        <w:rPr>
          <w:color w:val="231F20"/>
        </w:rPr>
        <w:t>substance</w:t>
      </w:r>
      <w:r>
        <w:rPr>
          <w:color w:val="231F20"/>
          <w:spacing w:val="15"/>
        </w:rPr>
        <w:t xml:space="preserve"> </w:t>
      </w:r>
      <w:r>
        <w:rPr>
          <w:color w:val="231F20"/>
        </w:rPr>
        <w:t>of</w:t>
      </w:r>
      <w:r>
        <w:rPr>
          <w:color w:val="231F20"/>
          <w:spacing w:val="15"/>
        </w:rPr>
        <w:t xml:space="preserve"> </w:t>
      </w:r>
      <w:r>
        <w:rPr>
          <w:color w:val="231F20"/>
        </w:rPr>
        <w:t>which</w:t>
      </w:r>
      <w:r>
        <w:rPr>
          <w:color w:val="231F20"/>
          <w:spacing w:val="15"/>
        </w:rPr>
        <w:t xml:space="preserve"> </w:t>
      </w:r>
      <w:r>
        <w:rPr>
          <w:color w:val="231F20"/>
        </w:rPr>
        <w:t>is</w:t>
      </w:r>
      <w:r>
        <w:rPr>
          <w:color w:val="231F20"/>
          <w:spacing w:val="15"/>
        </w:rPr>
        <w:t xml:space="preserve"> </w:t>
      </w:r>
      <w:r>
        <w:rPr>
          <w:color w:val="231F20"/>
        </w:rPr>
        <w:t>a</w:t>
      </w:r>
      <w:r>
        <w:rPr>
          <w:color w:val="231F20"/>
          <w:spacing w:val="15"/>
        </w:rPr>
        <w:t xml:space="preserve"> </w:t>
      </w:r>
      <w:r>
        <w:rPr>
          <w:color w:val="231F20"/>
        </w:rPr>
        <w:t>lot</w:t>
      </w:r>
      <w:r>
        <w:rPr>
          <w:color w:val="231F20"/>
          <w:spacing w:val="15"/>
        </w:rPr>
        <w:t xml:space="preserve"> </w:t>
      </w:r>
      <w:r>
        <w:rPr>
          <w:color w:val="231F20"/>
        </w:rPr>
        <w:t>of</w:t>
      </w:r>
      <w:r>
        <w:rPr>
          <w:color w:val="231F20"/>
          <w:spacing w:val="15"/>
        </w:rPr>
        <w:t xml:space="preserve"> </w:t>
      </w:r>
      <w:r>
        <w:rPr>
          <w:color w:val="231F20"/>
        </w:rPr>
        <w:t>blah</w:t>
      </w:r>
      <w:r>
        <w:rPr>
          <w:color w:val="231F20"/>
          <w:spacing w:val="15"/>
        </w:rPr>
        <w:t xml:space="preserve"> </w:t>
      </w:r>
      <w:r>
        <w:rPr>
          <w:color w:val="231F20"/>
        </w:rPr>
        <w:t>blah</w:t>
      </w:r>
      <w:r>
        <w:rPr>
          <w:color w:val="231F20"/>
          <w:spacing w:val="15"/>
        </w:rPr>
        <w:t xml:space="preserve"> </w:t>
      </w:r>
      <w:r>
        <w:rPr>
          <w:color w:val="231F20"/>
        </w:rPr>
        <w:t>blah.</w:t>
      </w:r>
    </w:p>
    <w:p w14:paraId="491AF51E" w14:textId="77777777" w:rsidR="002653E8" w:rsidRDefault="003115E3">
      <w:pPr>
        <w:pStyle w:val="a3"/>
        <w:spacing w:line="264" w:lineRule="auto"/>
        <w:ind w:left="1147" w:right="1325" w:firstLine="210"/>
        <w:jc w:val="both"/>
      </w:pPr>
      <w:r>
        <w:rPr>
          <w:color w:val="231F20"/>
        </w:rPr>
        <w:t xml:space="preserve">The </w:t>
      </w:r>
      <w:r>
        <w:rPr>
          <w:i/>
          <w:color w:val="231F20"/>
        </w:rPr>
        <w:t xml:space="preserve">Rundschau </w:t>
      </w:r>
      <w:r>
        <w:rPr>
          <w:color w:val="231F20"/>
        </w:rPr>
        <w:t xml:space="preserve">demands the immediate dissolution of all Palestinian organizations in the FRG and the expulsion of all members, again making liberal use of old </w:t>
      </w:r>
      <w:r>
        <w:rPr>
          <w:i/>
          <w:color w:val="231F20"/>
        </w:rPr>
        <w:t xml:space="preserve">Bild </w:t>
      </w:r>
      <w:r>
        <w:rPr>
          <w:color w:val="231F20"/>
        </w:rPr>
        <w:t xml:space="preserve">arguments from the days of the student movement—“our taxes.” The formulation from the </w:t>
      </w:r>
      <w:r>
        <w:rPr>
          <w:i/>
          <w:color w:val="231F20"/>
        </w:rPr>
        <w:t xml:space="preserve">FAZ </w:t>
      </w:r>
      <w:r>
        <w:rPr>
          <w:color w:val="231F20"/>
        </w:rPr>
        <w:t>references to Habash</w:t>
      </w:r>
      <w:r>
        <w:rPr>
          <w:color w:val="231F20"/>
          <w:position w:val="7"/>
          <w:sz w:val="11"/>
        </w:rPr>
        <w:t>1</w:t>
      </w:r>
      <w:r>
        <w:rPr>
          <w:color w:val="231F20"/>
        </w:rPr>
        <w:t xml:space="preserve">—frothing at the mouth—in the style of the </w:t>
      </w:r>
      <w:r>
        <w:rPr>
          <w:i/>
          <w:color w:val="231F20"/>
          <w:spacing w:val="1"/>
        </w:rPr>
        <w:t xml:space="preserve">Mainzer Baader </w:t>
      </w:r>
      <w:r>
        <w:rPr>
          <w:i/>
          <w:color w:val="231F20"/>
        </w:rPr>
        <w:t xml:space="preserve">Meinhof </w:t>
      </w:r>
      <w:r>
        <w:rPr>
          <w:i/>
          <w:color w:val="231F20"/>
          <w:spacing w:val="2"/>
        </w:rPr>
        <w:t>Report</w:t>
      </w:r>
      <w:r>
        <w:rPr>
          <w:color w:val="231F20"/>
          <w:spacing w:val="2"/>
          <w:position w:val="7"/>
          <w:sz w:val="11"/>
        </w:rPr>
        <w:t>2</w:t>
      </w:r>
      <w:r>
        <w:rPr>
          <w:i/>
          <w:color w:val="231F20"/>
          <w:spacing w:val="2"/>
        </w:rPr>
        <w:t>—</w:t>
      </w:r>
      <w:r>
        <w:rPr>
          <w:color w:val="231F20"/>
          <w:spacing w:val="2"/>
        </w:rPr>
        <w:t xml:space="preserve">he </w:t>
      </w:r>
      <w:r>
        <w:rPr>
          <w:color w:val="231F20"/>
        </w:rPr>
        <w:t>is obviously a cynical man suffering from an inferiority complex. Wischnewski</w:t>
      </w:r>
      <w:r>
        <w:rPr>
          <w:color w:val="231F20"/>
          <w:position w:val="7"/>
          <w:sz w:val="11"/>
        </w:rPr>
        <w:t xml:space="preserve">3 </w:t>
      </w:r>
      <w:r>
        <w:rPr>
          <w:color w:val="231F20"/>
        </w:rPr>
        <w:t>wants to expel “all Arabs” whose governments support the Palestinians. Augstein</w:t>
      </w:r>
      <w:r>
        <w:rPr>
          <w:color w:val="231F20"/>
          <w:position w:val="7"/>
          <w:sz w:val="11"/>
        </w:rPr>
        <w:t xml:space="preserve">4 </w:t>
      </w:r>
      <w:r>
        <w:rPr>
          <w:color w:val="231F20"/>
        </w:rPr>
        <w:t xml:space="preserve">demands </w:t>
      </w:r>
      <w:r>
        <w:rPr>
          <w:color w:val="231F20"/>
          <w:spacing w:val="1"/>
        </w:rPr>
        <w:t xml:space="preserve">painful </w:t>
      </w:r>
      <w:r>
        <w:rPr>
          <w:color w:val="231F20"/>
        </w:rPr>
        <w:t>“sanctions.” Nannen</w:t>
      </w:r>
      <w:r>
        <w:rPr>
          <w:color w:val="231F20"/>
          <w:position w:val="7"/>
          <w:sz w:val="11"/>
        </w:rPr>
        <w:t xml:space="preserve">5 </w:t>
      </w:r>
      <w:r>
        <w:rPr>
          <w:color w:val="231F20"/>
        </w:rPr>
        <w:t xml:space="preserve">presents </w:t>
      </w:r>
      <w:r>
        <w:rPr>
          <w:i/>
          <w:color w:val="231F20"/>
          <w:spacing w:val="1"/>
        </w:rPr>
        <w:t xml:space="preserve">Stern </w:t>
      </w:r>
      <w:r>
        <w:rPr>
          <w:color w:val="231F20"/>
        </w:rPr>
        <w:t xml:space="preserve">readers with the order of the day: immediate expulsion, a Lufthansa boycott of Arab airports, “not a penny” of development aid or trade credit. Scheel speaks for the “civilized section”  of humanity. Heinemann demands that Arab governments act as representatives of the </w:t>
      </w:r>
      <w:r>
        <w:rPr>
          <w:color w:val="231F20"/>
          <w:spacing w:val="-4"/>
        </w:rPr>
        <w:t>World</w:t>
      </w:r>
      <w:r>
        <w:rPr>
          <w:color w:val="231F20"/>
          <w:spacing w:val="5"/>
        </w:rPr>
        <w:t xml:space="preserve"> </w:t>
      </w:r>
      <w:r>
        <w:rPr>
          <w:color w:val="231F20"/>
        </w:rPr>
        <w:t>Court.</w:t>
      </w:r>
    </w:p>
    <w:p w14:paraId="2A3A637B" w14:textId="77777777" w:rsidR="002653E8" w:rsidRDefault="003115E3">
      <w:pPr>
        <w:pStyle w:val="a3"/>
        <w:spacing w:line="221" w:lineRule="exact"/>
        <w:ind w:left="1358"/>
      </w:pPr>
      <w:r>
        <w:rPr>
          <w:color w:val="231F20"/>
        </w:rPr>
        <w:t>In the long run, this overblown outburst in the Springer Press will</w:t>
      </w:r>
    </w:p>
    <w:p w14:paraId="1D072886" w14:textId="77777777" w:rsidR="002653E8" w:rsidRDefault="003115E3">
      <w:pPr>
        <w:pStyle w:val="a3"/>
        <w:spacing w:before="17"/>
        <w:ind w:left="1148"/>
        <w:jc w:val="both"/>
      </w:pPr>
      <w:r>
        <w:rPr>
          <w:color w:val="231F20"/>
        </w:rPr>
        <w:t>prove to be as useless as the authorities’ information strategy before</w:t>
      </w:r>
    </w:p>
    <w:p w14:paraId="36AA510E" w14:textId="77777777" w:rsidR="002653E8" w:rsidRDefault="00000000">
      <w:pPr>
        <w:pStyle w:val="a3"/>
        <w:spacing w:before="1"/>
        <w:rPr>
          <w:sz w:val="14"/>
        </w:rPr>
      </w:pPr>
      <w:r>
        <w:rPr>
          <w:noProof w:val="0"/>
        </w:rPr>
        <w:pict w14:anchorId="5A2BDD80">
          <v:line id="_x0000_s2448" style="position:absolute;z-index:5944;mso-wrap-distance-left:0;mso-wrap-distance-right:0;mso-position-horizontal-relative:page" from="57.4pt,10.5pt" to="129.4pt,10.5pt" strokecolor="#231f20" strokeweight=".5pt">
            <w10:wrap type="topAndBottom" anchorx="page"/>
          </v:line>
        </w:pict>
      </w:r>
    </w:p>
    <w:p w14:paraId="3EF45EA7" w14:textId="77777777" w:rsidR="002653E8" w:rsidRDefault="003115E3">
      <w:pPr>
        <w:pStyle w:val="a4"/>
        <w:numPr>
          <w:ilvl w:val="0"/>
          <w:numId w:val="124"/>
        </w:numPr>
        <w:tabs>
          <w:tab w:val="left" w:pos="1287"/>
        </w:tabs>
        <w:spacing w:before="53" w:line="254" w:lineRule="auto"/>
        <w:ind w:right="1742" w:firstLine="0"/>
        <w:rPr>
          <w:sz w:val="16"/>
        </w:rPr>
      </w:pPr>
      <w:r>
        <w:rPr>
          <w:color w:val="231F20"/>
          <w:w w:val="105"/>
          <w:sz w:val="16"/>
        </w:rPr>
        <w:t xml:space="preserve">George Habash, </w:t>
      </w:r>
      <w:r>
        <w:rPr>
          <w:color w:val="231F20"/>
          <w:spacing w:val="1"/>
          <w:w w:val="105"/>
          <w:sz w:val="16"/>
        </w:rPr>
        <w:t xml:space="preserve">Secretary </w:t>
      </w:r>
      <w:r>
        <w:rPr>
          <w:color w:val="231F20"/>
          <w:w w:val="105"/>
          <w:sz w:val="16"/>
        </w:rPr>
        <w:t>General of the Popular Front for the Liberation of Palestine (PFLP) at the</w:t>
      </w:r>
      <w:r>
        <w:rPr>
          <w:color w:val="231F20"/>
          <w:spacing w:val="31"/>
          <w:w w:val="105"/>
          <w:sz w:val="16"/>
        </w:rPr>
        <w:t xml:space="preserve"> </w:t>
      </w:r>
      <w:r>
        <w:rPr>
          <w:color w:val="231F20"/>
          <w:w w:val="105"/>
          <w:sz w:val="16"/>
        </w:rPr>
        <w:t>time.</w:t>
      </w:r>
    </w:p>
    <w:p w14:paraId="3FDFFAF8" w14:textId="77777777" w:rsidR="002653E8" w:rsidRDefault="003115E3">
      <w:pPr>
        <w:pStyle w:val="a4"/>
        <w:numPr>
          <w:ilvl w:val="0"/>
          <w:numId w:val="124"/>
        </w:numPr>
        <w:tabs>
          <w:tab w:val="left" w:pos="1287"/>
        </w:tabs>
        <w:spacing w:line="254" w:lineRule="auto"/>
        <w:ind w:right="1873" w:firstLine="0"/>
        <w:rPr>
          <w:sz w:val="16"/>
        </w:rPr>
      </w:pPr>
      <w:r>
        <w:rPr>
          <w:color w:val="231F20"/>
          <w:w w:val="105"/>
          <w:sz w:val="16"/>
        </w:rPr>
        <w:t xml:space="preserve">A farcically hysterical “study” of the </w:t>
      </w:r>
      <w:r w:rsidR="00C507A5">
        <w:rPr>
          <w:color w:val="231F20"/>
          <w:spacing w:val="3"/>
          <w:w w:val="105"/>
          <w:sz w:val="16"/>
        </w:rPr>
        <w:t>red army faction</w:t>
      </w:r>
      <w:r>
        <w:rPr>
          <w:color w:val="231F20"/>
          <w:spacing w:val="3"/>
          <w:w w:val="105"/>
          <w:sz w:val="16"/>
        </w:rPr>
        <w:t xml:space="preserve"> </w:t>
      </w:r>
      <w:r>
        <w:rPr>
          <w:color w:val="231F20"/>
          <w:w w:val="105"/>
          <w:sz w:val="16"/>
        </w:rPr>
        <w:t xml:space="preserve">produced in 1972 by the </w:t>
      </w:r>
      <w:r>
        <w:rPr>
          <w:color w:val="231F20"/>
          <w:spacing w:val="2"/>
          <w:w w:val="105"/>
          <w:sz w:val="16"/>
        </w:rPr>
        <w:t xml:space="preserve">BKA,     </w:t>
      </w:r>
      <w:r>
        <w:rPr>
          <w:color w:val="231F20"/>
          <w:w w:val="105"/>
          <w:sz w:val="16"/>
        </w:rPr>
        <w:t xml:space="preserve">the Bonn </w:t>
      </w:r>
      <w:r>
        <w:rPr>
          <w:color w:val="231F20"/>
          <w:spacing w:val="1"/>
          <w:w w:val="105"/>
          <w:sz w:val="16"/>
        </w:rPr>
        <w:t xml:space="preserve">Security </w:t>
      </w:r>
      <w:r>
        <w:rPr>
          <w:color w:val="231F20"/>
          <w:w w:val="105"/>
          <w:sz w:val="16"/>
        </w:rPr>
        <w:t xml:space="preserve">Group, and the Baader-Meinhof Special Commission. The </w:t>
      </w:r>
      <w:r>
        <w:rPr>
          <w:i/>
          <w:color w:val="231F20"/>
          <w:spacing w:val="1"/>
          <w:w w:val="105"/>
          <w:sz w:val="16"/>
        </w:rPr>
        <w:t xml:space="preserve">Allgemeinen </w:t>
      </w:r>
      <w:r>
        <w:rPr>
          <w:i/>
          <w:color w:val="231F20"/>
          <w:w w:val="105"/>
          <w:sz w:val="16"/>
        </w:rPr>
        <w:t xml:space="preserve">Zeitung </w:t>
      </w:r>
      <w:r>
        <w:rPr>
          <w:i/>
          <w:color w:val="231F20"/>
          <w:spacing w:val="1"/>
          <w:w w:val="105"/>
          <w:sz w:val="16"/>
        </w:rPr>
        <w:t xml:space="preserve">Mainz, </w:t>
      </w:r>
      <w:r>
        <w:rPr>
          <w:color w:val="231F20"/>
          <w:w w:val="105"/>
          <w:sz w:val="16"/>
        </w:rPr>
        <w:t xml:space="preserve">a German regional newspaper based in </w:t>
      </w:r>
      <w:r>
        <w:rPr>
          <w:color w:val="231F20"/>
          <w:spacing w:val="2"/>
          <w:w w:val="105"/>
          <w:sz w:val="16"/>
        </w:rPr>
        <w:t xml:space="preserve">Mainz, </w:t>
      </w:r>
      <w:r>
        <w:rPr>
          <w:color w:val="231F20"/>
          <w:w w:val="105"/>
          <w:sz w:val="16"/>
        </w:rPr>
        <w:t>serialized it in its</w:t>
      </w:r>
      <w:r>
        <w:rPr>
          <w:color w:val="231F20"/>
          <w:spacing w:val="31"/>
          <w:w w:val="105"/>
          <w:sz w:val="16"/>
        </w:rPr>
        <w:t xml:space="preserve"> </w:t>
      </w:r>
      <w:r>
        <w:rPr>
          <w:color w:val="231F20"/>
          <w:w w:val="105"/>
          <w:sz w:val="16"/>
        </w:rPr>
        <w:t>pages.</w:t>
      </w:r>
    </w:p>
    <w:p w14:paraId="0EABCED1" w14:textId="77777777" w:rsidR="002653E8" w:rsidRDefault="003115E3">
      <w:pPr>
        <w:pStyle w:val="a4"/>
        <w:numPr>
          <w:ilvl w:val="0"/>
          <w:numId w:val="124"/>
        </w:numPr>
        <w:tabs>
          <w:tab w:val="left" w:pos="1287"/>
        </w:tabs>
        <w:spacing w:line="254" w:lineRule="auto"/>
        <w:ind w:left="1148" w:right="1461" w:hanging="1"/>
        <w:rPr>
          <w:sz w:val="16"/>
        </w:rPr>
      </w:pPr>
      <w:r>
        <w:rPr>
          <w:color w:val="231F20"/>
          <w:w w:val="105"/>
          <w:sz w:val="16"/>
        </w:rPr>
        <w:t>Hans Jürgen Wischnewski was a long-time SPD politician, known for his good relations with many Arab leaders, one result of his having firmly supported the Algerian National Liberation Front at a time when Adenauer had firmly supported the</w:t>
      </w:r>
      <w:r>
        <w:rPr>
          <w:color w:val="231F20"/>
          <w:spacing w:val="7"/>
          <w:w w:val="105"/>
          <w:sz w:val="16"/>
        </w:rPr>
        <w:t xml:space="preserve"> </w:t>
      </w:r>
      <w:r>
        <w:rPr>
          <w:color w:val="231F20"/>
          <w:w w:val="105"/>
          <w:sz w:val="16"/>
        </w:rPr>
        <w:t>French.</w:t>
      </w:r>
    </w:p>
    <w:p w14:paraId="7029EFC8" w14:textId="77777777" w:rsidR="002653E8" w:rsidRDefault="003115E3">
      <w:pPr>
        <w:pStyle w:val="a4"/>
        <w:numPr>
          <w:ilvl w:val="0"/>
          <w:numId w:val="124"/>
        </w:numPr>
        <w:tabs>
          <w:tab w:val="left" w:pos="1287"/>
        </w:tabs>
        <w:spacing w:before="42" w:line="307" w:lineRule="auto"/>
        <w:ind w:left="1148" w:right="3026" w:firstLine="0"/>
        <w:rPr>
          <w:i/>
          <w:sz w:val="16"/>
        </w:rPr>
      </w:pPr>
      <w:r>
        <w:rPr>
          <w:color w:val="231F20"/>
          <w:w w:val="105"/>
          <w:sz w:val="16"/>
        </w:rPr>
        <w:t xml:space="preserve">Rudolph Augstein, founder and editor of </w:t>
      </w:r>
      <w:r>
        <w:rPr>
          <w:i/>
          <w:color w:val="231F20"/>
          <w:w w:val="105"/>
          <w:sz w:val="16"/>
        </w:rPr>
        <w:t xml:space="preserve">Spiegel </w:t>
      </w:r>
      <w:r>
        <w:rPr>
          <w:color w:val="231F20"/>
          <w:w w:val="105"/>
          <w:sz w:val="16"/>
        </w:rPr>
        <w:t>magazine.  5</w:t>
      </w:r>
      <w:r>
        <w:rPr>
          <w:color w:val="231F20"/>
          <w:spacing w:val="12"/>
          <w:w w:val="105"/>
          <w:sz w:val="16"/>
        </w:rPr>
        <w:t xml:space="preserve"> </w:t>
      </w:r>
      <w:r>
        <w:rPr>
          <w:color w:val="231F20"/>
          <w:w w:val="105"/>
          <w:sz w:val="16"/>
        </w:rPr>
        <w:t>Henri</w:t>
      </w:r>
      <w:r>
        <w:rPr>
          <w:color w:val="231F20"/>
          <w:spacing w:val="12"/>
          <w:w w:val="105"/>
          <w:sz w:val="16"/>
        </w:rPr>
        <w:t xml:space="preserve"> </w:t>
      </w:r>
      <w:r>
        <w:rPr>
          <w:color w:val="231F20"/>
          <w:w w:val="105"/>
          <w:sz w:val="16"/>
        </w:rPr>
        <w:t>Nannen,</w:t>
      </w:r>
      <w:r>
        <w:rPr>
          <w:color w:val="231F20"/>
          <w:spacing w:val="12"/>
          <w:w w:val="105"/>
          <w:sz w:val="16"/>
        </w:rPr>
        <w:t xml:space="preserve"> </w:t>
      </w:r>
      <w:r>
        <w:rPr>
          <w:color w:val="231F20"/>
          <w:w w:val="105"/>
          <w:sz w:val="16"/>
        </w:rPr>
        <w:t>editor</w:t>
      </w:r>
      <w:r>
        <w:rPr>
          <w:color w:val="231F20"/>
          <w:spacing w:val="12"/>
          <w:w w:val="105"/>
          <w:sz w:val="16"/>
        </w:rPr>
        <w:t xml:space="preserve"> </w:t>
      </w:r>
      <w:r>
        <w:rPr>
          <w:color w:val="231F20"/>
          <w:w w:val="105"/>
          <w:sz w:val="16"/>
        </w:rPr>
        <w:t>of</w:t>
      </w:r>
      <w:r>
        <w:rPr>
          <w:color w:val="231F20"/>
          <w:spacing w:val="12"/>
          <w:w w:val="105"/>
          <w:sz w:val="16"/>
        </w:rPr>
        <w:t xml:space="preserve"> </w:t>
      </w:r>
      <w:r>
        <w:rPr>
          <w:color w:val="231F20"/>
          <w:w w:val="105"/>
          <w:sz w:val="16"/>
        </w:rPr>
        <w:t>the</w:t>
      </w:r>
      <w:r>
        <w:rPr>
          <w:color w:val="231F20"/>
          <w:spacing w:val="12"/>
          <w:w w:val="105"/>
          <w:sz w:val="16"/>
        </w:rPr>
        <w:t xml:space="preserve"> </w:t>
      </w:r>
      <w:r>
        <w:rPr>
          <w:color w:val="231F20"/>
          <w:w w:val="105"/>
          <w:sz w:val="16"/>
        </w:rPr>
        <w:t>German</w:t>
      </w:r>
      <w:r>
        <w:rPr>
          <w:color w:val="231F20"/>
          <w:spacing w:val="12"/>
          <w:w w:val="105"/>
          <w:sz w:val="16"/>
        </w:rPr>
        <w:t xml:space="preserve"> </w:t>
      </w:r>
      <w:r>
        <w:rPr>
          <w:color w:val="231F20"/>
          <w:w w:val="105"/>
          <w:sz w:val="16"/>
        </w:rPr>
        <w:t>newsweekly</w:t>
      </w:r>
      <w:r>
        <w:rPr>
          <w:color w:val="231F20"/>
          <w:spacing w:val="13"/>
          <w:w w:val="105"/>
          <w:sz w:val="16"/>
        </w:rPr>
        <w:t xml:space="preserve"> </w:t>
      </w:r>
      <w:r>
        <w:rPr>
          <w:i/>
          <w:color w:val="231F20"/>
          <w:spacing w:val="2"/>
          <w:w w:val="105"/>
          <w:sz w:val="16"/>
        </w:rPr>
        <w:t>Stern.</w:t>
      </w:r>
    </w:p>
    <w:p w14:paraId="13E0ACEB" w14:textId="77777777" w:rsidR="002653E8" w:rsidRDefault="002653E8">
      <w:pPr>
        <w:spacing w:line="307" w:lineRule="auto"/>
        <w:rPr>
          <w:sz w:val="16"/>
        </w:rPr>
        <w:sectPr w:rsidR="002653E8">
          <w:footerReference w:type="even" r:id="rId196"/>
          <w:footerReference w:type="default" r:id="rId197"/>
          <w:pgSz w:w="8640" w:h="12960"/>
          <w:pgMar w:top="1060" w:right="0" w:bottom="1040" w:left="0" w:header="0" w:footer="850" w:gutter="0"/>
          <w:pgNumType w:start="232"/>
          <w:cols w:space="720"/>
        </w:sectPr>
      </w:pPr>
    </w:p>
    <w:p w14:paraId="2D565E28" w14:textId="77777777" w:rsidR="002653E8" w:rsidRDefault="003115E3">
      <w:pPr>
        <w:pStyle w:val="a3"/>
        <w:spacing w:before="86" w:line="264" w:lineRule="auto"/>
        <w:ind w:left="1327" w:right="1146"/>
        <w:jc w:val="both"/>
        <w:rPr>
          <w:sz w:val="11"/>
        </w:rPr>
      </w:pPr>
      <w:r>
        <w:rPr>
          <w:color w:val="231F20"/>
        </w:rPr>
        <w:lastRenderedPageBreak/>
        <w:t>and in the first hours following the massacre.</w:t>
      </w:r>
      <w:r>
        <w:rPr>
          <w:color w:val="231F20"/>
          <w:position w:val="7"/>
          <w:sz w:val="11"/>
        </w:rPr>
        <w:t xml:space="preserve">6 </w:t>
      </w:r>
      <w:r>
        <w:rPr>
          <w:color w:val="231F20"/>
        </w:rPr>
        <w:t>When Brandt telephoned Sidki, the Egyptian President, he still believed he could screw around with the revolutionaries in the same way he does with the West German left. He didn’t understand what they wanted. He claimed he didn’t need to know, as everyone must surely agree that they were criminals, anarchists, subhumans, sick, or whatever else. They would be disposed of with no questions asked. Sidki hung up.</w:t>
      </w:r>
      <w:r>
        <w:rPr>
          <w:color w:val="231F20"/>
          <w:position w:val="7"/>
          <w:sz w:val="11"/>
        </w:rPr>
        <w:t>7</w:t>
      </w:r>
    </w:p>
    <w:p w14:paraId="6566F381" w14:textId="77777777" w:rsidR="002653E8" w:rsidRDefault="003115E3">
      <w:pPr>
        <w:pStyle w:val="a3"/>
        <w:spacing w:line="264" w:lineRule="auto"/>
        <w:ind w:left="1327" w:right="1145" w:firstLine="210"/>
        <w:jc w:val="both"/>
      </w:pPr>
      <w:r>
        <w:rPr>
          <w:color w:val="231F20"/>
        </w:rPr>
        <w:t>Genscher, Merck, Schreiber did not think they would have to admit the embarrassing truth, that they themselves caused the death of the hostages. They thought they would have time to make up a story and people would quickly lose interest, as was  ultimately  the  case  with  the self-defense version of the assassinations of Petra Schelm, Georg  von Rauch, and Thomas</w:t>
      </w:r>
      <w:r>
        <w:rPr>
          <w:color w:val="231F20"/>
          <w:spacing w:val="1"/>
        </w:rPr>
        <w:t xml:space="preserve"> </w:t>
      </w:r>
      <w:r>
        <w:rPr>
          <w:color w:val="231F20"/>
        </w:rPr>
        <w:t>Weissbecker.</w:t>
      </w:r>
    </w:p>
    <w:p w14:paraId="399886F0" w14:textId="77777777" w:rsidR="002653E8" w:rsidRDefault="003115E3">
      <w:pPr>
        <w:pStyle w:val="a3"/>
        <w:spacing w:line="264" w:lineRule="auto"/>
        <w:ind w:left="1327" w:right="1146" w:firstLine="210"/>
        <w:jc w:val="both"/>
      </w:pPr>
      <w:r>
        <w:rPr>
          <w:color w:val="231F20"/>
        </w:rPr>
        <w:t>Right from the start, Genscher thought he could shift the blame to the Bavarians, repeating the approach used to shift the blame for McLeod’s death onto the Stuttgart cops.</w:t>
      </w:r>
    </w:p>
    <w:p w14:paraId="2B7D6E52" w14:textId="77777777" w:rsidR="002653E8" w:rsidRDefault="003115E3">
      <w:pPr>
        <w:pStyle w:val="a3"/>
        <w:spacing w:line="264" w:lineRule="auto"/>
        <w:ind w:left="1327" w:right="1146" w:firstLine="210"/>
        <w:jc w:val="both"/>
      </w:pPr>
      <w:r>
        <w:rPr>
          <w:color w:val="231F20"/>
        </w:rPr>
        <w:t xml:space="preserve">The Munich Prosecutors Office thought they would be able to raise a smokescreen to block investigations and deny journalists information. They intended to draw upon the counterpropaganda they’ve been using against the </w:t>
      </w:r>
      <w:r w:rsidR="00C507A5">
        <w:rPr>
          <w:color w:val="231F20"/>
        </w:rPr>
        <w:t>red army faction</w:t>
      </w:r>
      <w:r>
        <w:rPr>
          <w:color w:val="231F20"/>
        </w:rPr>
        <w:t xml:space="preserve"> for two years, claiming that there really is no antiimperialist struggle, that it is only an illusion—to the left of the SocialLiberal Coalition, there is nothing but crackpots, anarchists, criminals, and sick people.</w:t>
      </w:r>
    </w:p>
    <w:p w14:paraId="05FDFE0F" w14:textId="77777777" w:rsidR="002653E8" w:rsidRDefault="002653E8">
      <w:pPr>
        <w:pStyle w:val="a3"/>
        <w:spacing w:before="9"/>
        <w:rPr>
          <w:sz w:val="19"/>
        </w:rPr>
      </w:pPr>
    </w:p>
    <w:p w14:paraId="7C0836C0" w14:textId="77777777" w:rsidR="002653E8" w:rsidRDefault="003115E3">
      <w:pPr>
        <w:ind w:left="1328"/>
        <w:rPr>
          <w:i/>
          <w:sz w:val="11"/>
        </w:rPr>
      </w:pPr>
      <w:r>
        <w:rPr>
          <w:i/>
          <w:color w:val="231F20"/>
          <w:w w:val="105"/>
          <w:sz w:val="20"/>
        </w:rPr>
        <w:t>Eppler</w:t>
      </w:r>
      <w:r>
        <w:rPr>
          <w:i/>
          <w:color w:val="231F20"/>
          <w:w w:val="105"/>
          <w:position w:val="7"/>
          <w:sz w:val="11"/>
        </w:rPr>
        <w:t>8</w:t>
      </w:r>
    </w:p>
    <w:p w14:paraId="62295185" w14:textId="77777777" w:rsidR="002653E8" w:rsidRDefault="003115E3">
      <w:pPr>
        <w:pStyle w:val="a3"/>
        <w:spacing w:before="23" w:line="264" w:lineRule="auto"/>
        <w:ind w:left="1327" w:right="1145"/>
        <w:jc w:val="both"/>
      </w:pPr>
      <w:r>
        <w:rPr>
          <w:color w:val="231F20"/>
        </w:rPr>
        <w:t>The tactically appropriate position, the position required to serve the immediate interests of the FRG, was developed by Eppler: no blanket judgment, no sanctions, continuing development aid,  though  only  in the Maghreb in keeping with the imperialist policy of encirclement, undermining through investments, etc. Those who are prepared to allow</w:t>
      </w:r>
    </w:p>
    <w:p w14:paraId="66293933" w14:textId="77777777" w:rsidR="002653E8" w:rsidRDefault="00000000">
      <w:pPr>
        <w:pStyle w:val="a3"/>
        <w:spacing w:before="7"/>
        <w:rPr>
          <w:sz w:val="13"/>
        </w:rPr>
      </w:pPr>
      <w:r>
        <w:rPr>
          <w:noProof w:val="0"/>
        </w:rPr>
        <w:pict w14:anchorId="5FDD6E42">
          <v:line id="_x0000_s2447" style="position:absolute;z-index:5968;mso-wrap-distance-left:0;mso-wrap-distance-right:0;mso-position-horizontal-relative:page" from="66.4pt,10.2pt" to="138.4pt,10.2pt" strokecolor="#231f20" strokeweight=".5pt">
            <w10:wrap type="topAndBottom" anchorx="page"/>
          </v:line>
        </w:pict>
      </w:r>
    </w:p>
    <w:p w14:paraId="56844A38" w14:textId="77777777" w:rsidR="002653E8" w:rsidRDefault="003115E3">
      <w:pPr>
        <w:pStyle w:val="a4"/>
        <w:numPr>
          <w:ilvl w:val="1"/>
          <w:numId w:val="124"/>
        </w:numPr>
        <w:tabs>
          <w:tab w:val="left" w:pos="1467"/>
        </w:tabs>
        <w:spacing w:before="53" w:line="254" w:lineRule="auto"/>
        <w:ind w:right="1634" w:firstLine="0"/>
        <w:rPr>
          <w:sz w:val="16"/>
        </w:rPr>
      </w:pPr>
      <w:r>
        <w:rPr>
          <w:color w:val="231F20"/>
          <w:w w:val="105"/>
          <w:sz w:val="16"/>
        </w:rPr>
        <w:t xml:space="preserve">Immediately following the Fürstenfeldbruck showdown, the government announced that all of the Israeli athletes had been rescued unharmed. </w:t>
      </w:r>
      <w:r>
        <w:rPr>
          <w:color w:val="231F20"/>
          <w:spacing w:val="1"/>
          <w:w w:val="105"/>
          <w:sz w:val="16"/>
        </w:rPr>
        <w:t xml:space="preserve">This </w:t>
      </w:r>
      <w:r>
        <w:rPr>
          <w:color w:val="231F20"/>
          <w:w w:val="105"/>
          <w:sz w:val="16"/>
        </w:rPr>
        <w:t>news was then broadcast around the world. The rationale for this escapes our comprehension.</w:t>
      </w:r>
    </w:p>
    <w:p w14:paraId="2C202761" w14:textId="77777777" w:rsidR="002653E8" w:rsidRDefault="003115E3">
      <w:pPr>
        <w:pStyle w:val="a4"/>
        <w:numPr>
          <w:ilvl w:val="1"/>
          <w:numId w:val="124"/>
        </w:numPr>
        <w:tabs>
          <w:tab w:val="left" w:pos="1467"/>
        </w:tabs>
        <w:spacing w:line="254" w:lineRule="auto"/>
        <w:ind w:right="1164" w:firstLine="0"/>
        <w:rPr>
          <w:sz w:val="16"/>
        </w:rPr>
      </w:pPr>
      <w:r>
        <w:rPr>
          <w:color w:val="231F20"/>
          <w:sz w:val="16"/>
        </w:rPr>
        <w:t xml:space="preserve">Sidki had been contacted to see if the </w:t>
      </w:r>
      <w:r>
        <w:rPr>
          <w:color w:val="231F20"/>
          <w:spacing w:val="1"/>
          <w:sz w:val="16"/>
        </w:rPr>
        <w:t xml:space="preserve">Egyptian </w:t>
      </w:r>
      <w:r>
        <w:rPr>
          <w:color w:val="231F20"/>
          <w:sz w:val="16"/>
        </w:rPr>
        <w:t>government would agree to receive     the</w:t>
      </w:r>
      <w:r>
        <w:rPr>
          <w:color w:val="231F20"/>
          <w:spacing w:val="21"/>
          <w:sz w:val="16"/>
        </w:rPr>
        <w:t xml:space="preserve"> </w:t>
      </w:r>
      <w:r>
        <w:rPr>
          <w:color w:val="231F20"/>
          <w:sz w:val="16"/>
        </w:rPr>
        <w:t>hostages</w:t>
      </w:r>
      <w:r>
        <w:rPr>
          <w:color w:val="231F20"/>
          <w:spacing w:val="21"/>
          <w:sz w:val="16"/>
        </w:rPr>
        <w:t xml:space="preserve"> </w:t>
      </w:r>
      <w:r>
        <w:rPr>
          <w:color w:val="231F20"/>
          <w:sz w:val="16"/>
        </w:rPr>
        <w:t>and</w:t>
      </w:r>
      <w:r>
        <w:rPr>
          <w:color w:val="231F20"/>
          <w:spacing w:val="21"/>
          <w:sz w:val="16"/>
        </w:rPr>
        <w:t xml:space="preserve"> </w:t>
      </w:r>
      <w:r>
        <w:rPr>
          <w:color w:val="231F20"/>
          <w:sz w:val="16"/>
        </w:rPr>
        <w:t>the</w:t>
      </w:r>
      <w:r>
        <w:rPr>
          <w:color w:val="231F20"/>
          <w:spacing w:val="21"/>
          <w:sz w:val="16"/>
        </w:rPr>
        <w:t xml:space="preserve"> </w:t>
      </w:r>
      <w:r>
        <w:rPr>
          <w:color w:val="231F20"/>
          <w:sz w:val="16"/>
        </w:rPr>
        <w:t>Palestinian</w:t>
      </w:r>
      <w:r>
        <w:rPr>
          <w:color w:val="231F20"/>
          <w:spacing w:val="21"/>
          <w:sz w:val="16"/>
        </w:rPr>
        <w:t xml:space="preserve"> </w:t>
      </w:r>
      <w:r>
        <w:rPr>
          <w:color w:val="231F20"/>
          <w:sz w:val="16"/>
        </w:rPr>
        <w:t>commando,</w:t>
      </w:r>
      <w:r>
        <w:rPr>
          <w:color w:val="231F20"/>
          <w:spacing w:val="21"/>
          <w:sz w:val="16"/>
        </w:rPr>
        <w:t xml:space="preserve"> </w:t>
      </w:r>
      <w:r>
        <w:rPr>
          <w:color w:val="231F20"/>
          <w:sz w:val="16"/>
        </w:rPr>
        <w:t>the</w:t>
      </w:r>
      <w:r>
        <w:rPr>
          <w:color w:val="231F20"/>
          <w:spacing w:val="21"/>
          <w:sz w:val="16"/>
        </w:rPr>
        <w:t xml:space="preserve"> </w:t>
      </w:r>
      <w:r>
        <w:rPr>
          <w:color w:val="231F20"/>
          <w:sz w:val="16"/>
        </w:rPr>
        <w:t>FRG’s</w:t>
      </w:r>
      <w:r>
        <w:rPr>
          <w:color w:val="231F20"/>
          <w:spacing w:val="21"/>
          <w:sz w:val="16"/>
        </w:rPr>
        <w:t xml:space="preserve"> </w:t>
      </w:r>
      <w:r>
        <w:rPr>
          <w:color w:val="231F20"/>
          <w:sz w:val="16"/>
        </w:rPr>
        <w:t>goal</w:t>
      </w:r>
      <w:r>
        <w:rPr>
          <w:color w:val="231F20"/>
          <w:spacing w:val="21"/>
          <w:sz w:val="16"/>
        </w:rPr>
        <w:t xml:space="preserve"> </w:t>
      </w:r>
      <w:r>
        <w:rPr>
          <w:color w:val="231F20"/>
          <w:sz w:val="16"/>
        </w:rPr>
        <w:t>being</w:t>
      </w:r>
      <w:r>
        <w:rPr>
          <w:color w:val="231F20"/>
          <w:spacing w:val="21"/>
          <w:sz w:val="16"/>
        </w:rPr>
        <w:t xml:space="preserve"> </w:t>
      </w:r>
      <w:r>
        <w:rPr>
          <w:color w:val="231F20"/>
          <w:sz w:val="16"/>
        </w:rPr>
        <w:t>to</w:t>
      </w:r>
      <w:r>
        <w:rPr>
          <w:color w:val="231F20"/>
          <w:spacing w:val="21"/>
          <w:sz w:val="16"/>
        </w:rPr>
        <w:t xml:space="preserve"> </w:t>
      </w:r>
      <w:r>
        <w:rPr>
          <w:color w:val="231F20"/>
          <w:sz w:val="16"/>
        </w:rPr>
        <w:t>get</w:t>
      </w:r>
      <w:r>
        <w:rPr>
          <w:color w:val="231F20"/>
          <w:spacing w:val="21"/>
          <w:sz w:val="16"/>
        </w:rPr>
        <w:t xml:space="preserve"> </w:t>
      </w:r>
      <w:r>
        <w:rPr>
          <w:color w:val="231F20"/>
          <w:sz w:val="16"/>
        </w:rPr>
        <w:t>them</w:t>
      </w:r>
    </w:p>
    <w:p w14:paraId="68937054" w14:textId="77777777" w:rsidR="002653E8" w:rsidRDefault="003115E3">
      <w:pPr>
        <w:spacing w:before="1" w:line="254" w:lineRule="auto"/>
        <w:ind w:left="1327" w:right="1325"/>
        <w:rPr>
          <w:sz w:val="16"/>
        </w:rPr>
      </w:pPr>
      <w:r>
        <w:rPr>
          <w:color w:val="231F20"/>
          <w:w w:val="105"/>
          <w:sz w:val="16"/>
        </w:rPr>
        <w:t>out of the country. Sadat’s government later explained that to do so would have done nothing to resolve the crisis, and would have meant simply making it Egypt’s problem.</w:t>
      </w:r>
    </w:p>
    <w:p w14:paraId="7B493A47" w14:textId="77777777" w:rsidR="002653E8" w:rsidRDefault="003115E3">
      <w:pPr>
        <w:pStyle w:val="a4"/>
        <w:numPr>
          <w:ilvl w:val="1"/>
          <w:numId w:val="124"/>
        </w:numPr>
        <w:tabs>
          <w:tab w:val="left" w:pos="1467"/>
        </w:tabs>
        <w:spacing w:line="254" w:lineRule="auto"/>
        <w:ind w:right="1677" w:firstLine="0"/>
        <w:rPr>
          <w:sz w:val="16"/>
        </w:rPr>
      </w:pPr>
      <w:r>
        <w:rPr>
          <w:color w:val="231F20"/>
          <w:w w:val="105"/>
          <w:sz w:val="16"/>
        </w:rPr>
        <w:t xml:space="preserve">Erhard Eppler, SPD member and left-leaning Federal Minister of Economic Cooperation from 1968 until </w:t>
      </w:r>
      <w:r>
        <w:rPr>
          <w:color w:val="231F20"/>
          <w:spacing w:val="-4"/>
          <w:w w:val="105"/>
          <w:sz w:val="16"/>
        </w:rPr>
        <w:t>1974.</w:t>
      </w:r>
    </w:p>
    <w:p w14:paraId="434DA7FC" w14:textId="77777777" w:rsidR="002653E8" w:rsidRDefault="002653E8">
      <w:pPr>
        <w:spacing w:line="254" w:lineRule="auto"/>
        <w:rPr>
          <w:sz w:val="16"/>
        </w:rPr>
        <w:sectPr w:rsidR="002653E8">
          <w:pgSz w:w="8640" w:h="12960"/>
          <w:pgMar w:top="1060" w:right="0" w:bottom="1040" w:left="0" w:header="0" w:footer="850" w:gutter="0"/>
          <w:cols w:space="720"/>
        </w:sectPr>
      </w:pPr>
    </w:p>
    <w:p w14:paraId="1532417F" w14:textId="77777777" w:rsidR="002653E8" w:rsidRDefault="003115E3">
      <w:pPr>
        <w:pStyle w:val="a3"/>
        <w:spacing w:before="86" w:line="264" w:lineRule="auto"/>
        <w:ind w:left="1147" w:right="1326"/>
        <w:jc w:val="both"/>
      </w:pPr>
      <w:r>
        <w:rPr>
          <w:color w:val="231F20"/>
        </w:rPr>
        <w:lastRenderedPageBreak/>
        <w:t>the theft of their oil, their mineral resources, and their labor force, will benefit from friendship between nations and partnership.</w:t>
      </w:r>
    </w:p>
    <w:p w14:paraId="44075B89" w14:textId="77777777" w:rsidR="002653E8" w:rsidRDefault="002653E8">
      <w:pPr>
        <w:pStyle w:val="a3"/>
        <w:spacing w:before="9"/>
        <w:rPr>
          <w:sz w:val="21"/>
        </w:rPr>
      </w:pPr>
    </w:p>
    <w:p w14:paraId="694F6BA9" w14:textId="77777777" w:rsidR="002653E8" w:rsidRDefault="003115E3">
      <w:pPr>
        <w:ind w:left="1147"/>
        <w:rPr>
          <w:i/>
          <w:sz w:val="20"/>
        </w:rPr>
      </w:pPr>
      <w:r>
        <w:rPr>
          <w:i/>
          <w:color w:val="231F20"/>
          <w:w w:val="105"/>
          <w:sz w:val="20"/>
        </w:rPr>
        <w:t>Their Unmasking</w:t>
      </w:r>
    </w:p>
    <w:p w14:paraId="26E22AE2" w14:textId="77777777" w:rsidR="002653E8" w:rsidRDefault="003115E3">
      <w:pPr>
        <w:pStyle w:val="a3"/>
        <w:spacing w:before="22" w:line="264" w:lineRule="auto"/>
        <w:ind w:left="1147" w:right="1326"/>
        <w:jc w:val="both"/>
      </w:pPr>
      <w:r>
        <w:rPr>
          <w:color w:val="231F20"/>
        </w:rPr>
        <w:t xml:space="preserve">Black September stripped the mask off of the Social-Liberal Coalition and their propagandists by forcing the system’s real, rather than the purported, contradiction out into the open. The contradiction between imperialism and the people of the Third </w:t>
      </w:r>
      <w:r>
        <w:rPr>
          <w:color w:val="231F20"/>
          <w:spacing w:val="-4"/>
        </w:rPr>
        <w:t xml:space="preserve">World </w:t>
      </w:r>
      <w:r>
        <w:rPr>
          <w:color w:val="231F20"/>
        </w:rPr>
        <w:t xml:space="preserve">forced them at a certain point to abandon their original goals and intentions, because they could clearly no longer be achieved. The cops wouldn’t play along, refusing    to </w:t>
      </w:r>
      <w:r>
        <w:rPr>
          <w:color w:val="231F20"/>
          <w:spacing w:val="1"/>
        </w:rPr>
        <w:t xml:space="preserve">carry </w:t>
      </w:r>
      <w:r>
        <w:rPr>
          <w:color w:val="231F20"/>
        </w:rPr>
        <w:t>out the massacre on the plane.</w:t>
      </w:r>
      <w:r>
        <w:rPr>
          <w:color w:val="231F20"/>
          <w:position w:val="7"/>
          <w:sz w:val="11"/>
        </w:rPr>
        <w:t xml:space="preserve">1 </w:t>
      </w:r>
      <w:r>
        <w:rPr>
          <w:color w:val="231F20"/>
        </w:rPr>
        <w:t xml:space="preserve">The news media wouldn’t play along. Foreign powers wouldn’t play along. The </w:t>
      </w:r>
      <w:r>
        <w:rPr>
          <w:color w:val="231F20"/>
          <w:spacing w:val="-3"/>
        </w:rPr>
        <w:t xml:space="preserve">West </w:t>
      </w:r>
      <w:r>
        <w:rPr>
          <w:color w:val="231F20"/>
        </w:rPr>
        <w:t xml:space="preserve">German masses </w:t>
      </w:r>
      <w:r>
        <w:rPr>
          <w:color w:val="231F20"/>
          <w:spacing w:val="-3"/>
        </w:rPr>
        <w:t xml:space="preserve">weren’t </w:t>
      </w:r>
      <w:r>
        <w:rPr>
          <w:color w:val="231F20"/>
        </w:rPr>
        <w:t xml:space="preserve">consulted. The Arab people for the most part grasped  what </w:t>
      </w:r>
      <w:r>
        <w:rPr>
          <w:color w:val="231F20"/>
          <w:spacing w:val="-3"/>
        </w:rPr>
        <w:t xml:space="preserve">West </w:t>
      </w:r>
      <w:r>
        <w:rPr>
          <w:color w:val="231F20"/>
        </w:rPr>
        <w:t>Germany represented: the imperialist policy of</w:t>
      </w:r>
      <w:r>
        <w:rPr>
          <w:color w:val="231F20"/>
          <w:spacing w:val="6"/>
        </w:rPr>
        <w:t xml:space="preserve"> </w:t>
      </w:r>
      <w:r>
        <w:rPr>
          <w:color w:val="231F20"/>
        </w:rPr>
        <w:t>extermination.</w:t>
      </w:r>
    </w:p>
    <w:p w14:paraId="4D93D693" w14:textId="77777777" w:rsidR="002653E8" w:rsidRDefault="003115E3">
      <w:pPr>
        <w:pStyle w:val="a3"/>
        <w:spacing w:line="264" w:lineRule="auto"/>
        <w:ind w:left="1147" w:right="1326" w:firstLine="210"/>
        <w:jc w:val="both"/>
      </w:pPr>
      <w:r>
        <w:rPr>
          <w:color w:val="231F20"/>
        </w:rPr>
        <w:t xml:space="preserve">Unmasking them means forcing them to take the step after next before they have time to take the next one, forcing them to abandon their goals, so that everyone can see what has been going on for a long time </w:t>
      </w:r>
      <w:r>
        <w:rPr>
          <w:color w:val="231F20"/>
          <w:spacing w:val="-5"/>
        </w:rPr>
        <w:t xml:space="preserve">now. </w:t>
      </w:r>
      <w:r>
        <w:rPr>
          <w:color w:val="231F20"/>
        </w:rPr>
        <w:t>Pressure must be brought to bear while the revolutionary left is still</w:t>
      </w:r>
      <w:r>
        <w:rPr>
          <w:color w:val="231F20"/>
          <w:spacing w:val="-9"/>
        </w:rPr>
        <w:t xml:space="preserve"> </w:t>
      </w:r>
      <w:r>
        <w:rPr>
          <w:color w:val="231F20"/>
        </w:rPr>
        <w:t>able</w:t>
      </w:r>
      <w:r>
        <w:rPr>
          <w:color w:val="231F20"/>
          <w:spacing w:val="-9"/>
        </w:rPr>
        <w:t xml:space="preserve"> </w:t>
      </w:r>
      <w:r>
        <w:rPr>
          <w:color w:val="231F20"/>
        </w:rPr>
        <w:t>to</w:t>
      </w:r>
      <w:r>
        <w:rPr>
          <w:color w:val="231F20"/>
          <w:spacing w:val="-9"/>
        </w:rPr>
        <w:t xml:space="preserve"> </w:t>
      </w:r>
      <w:r>
        <w:rPr>
          <w:color w:val="231F20"/>
        </w:rPr>
        <w:t>mount</w:t>
      </w:r>
      <w:r>
        <w:rPr>
          <w:color w:val="231F20"/>
          <w:spacing w:val="-9"/>
        </w:rPr>
        <w:t xml:space="preserve"> </w:t>
      </w:r>
      <w:r>
        <w:rPr>
          <w:color w:val="231F20"/>
        </w:rPr>
        <w:t>a</w:t>
      </w:r>
      <w:r>
        <w:rPr>
          <w:color w:val="231F20"/>
          <w:spacing w:val="-9"/>
        </w:rPr>
        <w:t xml:space="preserve"> </w:t>
      </w:r>
      <w:r>
        <w:rPr>
          <w:color w:val="231F20"/>
        </w:rPr>
        <w:t>counterstrategy,</w:t>
      </w:r>
      <w:r>
        <w:rPr>
          <w:color w:val="231F20"/>
          <w:spacing w:val="-9"/>
        </w:rPr>
        <w:t xml:space="preserve"> </w:t>
      </w:r>
      <w:r>
        <w:rPr>
          <w:color w:val="231F20"/>
        </w:rPr>
        <w:t>not</w:t>
      </w:r>
      <w:r>
        <w:rPr>
          <w:color w:val="231F20"/>
          <w:spacing w:val="-9"/>
        </w:rPr>
        <w:t xml:space="preserve"> </w:t>
      </w:r>
      <w:r>
        <w:rPr>
          <w:color w:val="231F20"/>
        </w:rPr>
        <w:t>after</w:t>
      </w:r>
      <w:r>
        <w:rPr>
          <w:color w:val="231F20"/>
          <w:spacing w:val="-9"/>
        </w:rPr>
        <w:t xml:space="preserve"> </w:t>
      </w:r>
      <w:r>
        <w:rPr>
          <w:color w:val="231F20"/>
        </w:rPr>
        <w:t>everyone</w:t>
      </w:r>
      <w:r>
        <w:rPr>
          <w:color w:val="231F20"/>
          <w:spacing w:val="-9"/>
        </w:rPr>
        <w:t xml:space="preserve"> </w:t>
      </w:r>
      <w:r>
        <w:rPr>
          <w:color w:val="231F20"/>
        </w:rPr>
        <w:t>has</w:t>
      </w:r>
      <w:r>
        <w:rPr>
          <w:color w:val="231F20"/>
          <w:spacing w:val="-9"/>
        </w:rPr>
        <w:t xml:space="preserve"> </w:t>
      </w:r>
      <w:r>
        <w:rPr>
          <w:color w:val="231F20"/>
        </w:rPr>
        <w:t>been</w:t>
      </w:r>
      <w:r>
        <w:rPr>
          <w:color w:val="231F20"/>
          <w:spacing w:val="-9"/>
        </w:rPr>
        <w:t xml:space="preserve"> </w:t>
      </w:r>
      <w:r>
        <w:rPr>
          <w:color w:val="231F20"/>
        </w:rPr>
        <w:t xml:space="preserve">banned and fired and is sitting in prison. Unmasking them means forcing the contradictions out into the open, clarifying laws governing trade, seizing the initiative while </w:t>
      </w:r>
      <w:r>
        <w:rPr>
          <w:color w:val="231F20"/>
          <w:spacing w:val="-3"/>
        </w:rPr>
        <w:t xml:space="preserve">it’s </w:t>
      </w:r>
      <w:r>
        <w:rPr>
          <w:color w:val="231F20"/>
        </w:rPr>
        <w:t>still possible, not waiting until it becomes impossible.</w:t>
      </w:r>
    </w:p>
    <w:p w14:paraId="3B9BA144" w14:textId="77777777" w:rsidR="002653E8" w:rsidRDefault="003115E3">
      <w:pPr>
        <w:pStyle w:val="a3"/>
        <w:spacing w:line="264" w:lineRule="auto"/>
        <w:ind w:left="1147" w:right="1326" w:firstLine="210"/>
        <w:jc w:val="both"/>
      </w:pPr>
      <w:r>
        <w:rPr>
          <w:color w:val="231F20"/>
        </w:rPr>
        <w:t>It is childish to imagine or to assert that the system can once again use ruling class control of the press and the fundamental unity of the establishment to hide behind a smokescreen, and that lacking a smokescreen it might actually collapse, and that therefore whoever contributes to the smokescreen contributes to the system’s preservation. The anti-imperialist struggle doesn’t take place at the level of election campaigns and detergent</w:t>
      </w:r>
      <w:r>
        <w:rPr>
          <w:color w:val="231F20"/>
          <w:spacing w:val="31"/>
        </w:rPr>
        <w:t xml:space="preserve"> </w:t>
      </w:r>
      <w:r>
        <w:rPr>
          <w:color w:val="231F20"/>
        </w:rPr>
        <w:t>ads.</w:t>
      </w:r>
    </w:p>
    <w:p w14:paraId="5C867BB4" w14:textId="77777777" w:rsidR="002653E8" w:rsidRDefault="002653E8">
      <w:pPr>
        <w:pStyle w:val="a3"/>
        <w:spacing w:before="5"/>
        <w:rPr>
          <w:sz w:val="19"/>
        </w:rPr>
      </w:pPr>
    </w:p>
    <w:p w14:paraId="2E44859A" w14:textId="77777777" w:rsidR="002653E8" w:rsidRDefault="003115E3">
      <w:pPr>
        <w:ind w:left="1147"/>
        <w:rPr>
          <w:i/>
          <w:sz w:val="20"/>
        </w:rPr>
      </w:pPr>
      <w:r>
        <w:rPr>
          <w:i/>
          <w:color w:val="231F20"/>
          <w:w w:val="105"/>
          <w:sz w:val="20"/>
        </w:rPr>
        <w:t>Anti-Imperialist Consciousness</w:t>
      </w:r>
    </w:p>
    <w:p w14:paraId="15C63D4A" w14:textId="77777777" w:rsidR="002653E8" w:rsidRDefault="003115E3">
      <w:pPr>
        <w:pStyle w:val="a3"/>
        <w:spacing w:before="23" w:line="264" w:lineRule="auto"/>
        <w:ind w:left="1147" w:right="1326"/>
        <w:jc w:val="both"/>
      </w:pPr>
      <w:r>
        <w:rPr>
          <w:color w:val="231F20"/>
        </w:rPr>
        <w:t>The propaganda target of anti-imperialist action is the dialectical relationship between being and consciousness, because the masses’ loyalty to the system is based on their accepting its pretty exterior, its promises, and its lies. Their loyalty to the system is based on its capacity</w:t>
      </w:r>
    </w:p>
    <w:p w14:paraId="7129F946" w14:textId="77777777" w:rsidR="002653E8" w:rsidRDefault="00000000">
      <w:pPr>
        <w:pStyle w:val="a3"/>
        <w:rPr>
          <w:sz w:val="25"/>
        </w:rPr>
      </w:pPr>
      <w:r>
        <w:rPr>
          <w:noProof w:val="0"/>
        </w:rPr>
        <w:pict w14:anchorId="4CDBD65B">
          <v:line id="_x0000_s2446" style="position:absolute;z-index:5992;mso-wrap-distance-left:0;mso-wrap-distance-right:0;mso-position-horizontal-relative:page" from="57.4pt,16.9pt" to="129.4pt,16.9pt" strokecolor="#231f20" strokeweight=".5pt">
            <w10:wrap type="topAndBottom" anchorx="page"/>
          </v:line>
        </w:pict>
      </w:r>
    </w:p>
    <w:p w14:paraId="724CF7E0" w14:textId="77777777" w:rsidR="002653E8" w:rsidRDefault="003115E3">
      <w:pPr>
        <w:spacing w:before="53" w:line="254" w:lineRule="auto"/>
        <w:ind w:left="1147" w:right="1325"/>
        <w:rPr>
          <w:sz w:val="16"/>
        </w:rPr>
      </w:pPr>
      <w:r>
        <w:rPr>
          <w:color w:val="231F20"/>
          <w:w w:val="105"/>
          <w:sz w:val="16"/>
        </w:rPr>
        <w:t>1 Twenty minutes before the Palestinian commando arrived at Fürstenfeldbruck, police abandoned their posts inside the Boeing plane, claiming that the mission they had been given was suicidal.</w:t>
      </w:r>
    </w:p>
    <w:p w14:paraId="0DCE398D" w14:textId="77777777" w:rsidR="002653E8" w:rsidRDefault="002653E8">
      <w:pPr>
        <w:spacing w:line="254" w:lineRule="auto"/>
        <w:rPr>
          <w:sz w:val="16"/>
        </w:rPr>
        <w:sectPr w:rsidR="002653E8">
          <w:pgSz w:w="8640" w:h="12960"/>
          <w:pgMar w:top="1060" w:right="0" w:bottom="1040" w:left="0" w:header="0" w:footer="850" w:gutter="0"/>
          <w:cols w:space="720"/>
        </w:sectPr>
      </w:pPr>
    </w:p>
    <w:p w14:paraId="3B827C5D" w14:textId="77777777" w:rsidR="002653E8" w:rsidRDefault="003115E3">
      <w:pPr>
        <w:pStyle w:val="a3"/>
        <w:spacing w:before="86" w:line="264" w:lineRule="auto"/>
        <w:ind w:left="1327" w:right="1146"/>
        <w:jc w:val="both"/>
      </w:pPr>
      <w:r>
        <w:rPr>
          <w:color w:val="231F20"/>
        </w:rPr>
        <w:lastRenderedPageBreak/>
        <w:t xml:space="preserve">to discourage all spontaneity in its quest to completely assimilate the masses into the “the silent bondage of the relationship” (Marx), which   it forces the masses to accept as if it were only natural. Anti-imperialist action rips apart the system’s facade and manipulation, along with the loyalty of the masses, and forces it to admit the truth, about which the masses </w:t>
      </w:r>
      <w:r>
        <w:rPr>
          <w:color w:val="231F20"/>
          <w:spacing w:val="-4"/>
        </w:rPr>
        <w:t xml:space="preserve">say, </w:t>
      </w:r>
      <w:r>
        <w:rPr>
          <w:color w:val="231F20"/>
        </w:rPr>
        <w:t>as always, “This is not what we wanted.” That they would then act to put an end to the horror of the system, which has long been apparent,</w:t>
      </w:r>
      <w:r>
        <w:rPr>
          <w:color w:val="231F20"/>
          <w:spacing w:val="10"/>
        </w:rPr>
        <w:t xml:space="preserve"> </w:t>
      </w:r>
      <w:r>
        <w:rPr>
          <w:color w:val="231F20"/>
        </w:rPr>
        <w:t>is</w:t>
      </w:r>
      <w:r>
        <w:rPr>
          <w:color w:val="231F20"/>
          <w:spacing w:val="10"/>
        </w:rPr>
        <w:t xml:space="preserve"> </w:t>
      </w:r>
      <w:r>
        <w:rPr>
          <w:color w:val="231F20"/>
        </w:rPr>
        <w:t>not</w:t>
      </w:r>
      <w:r>
        <w:rPr>
          <w:color w:val="231F20"/>
          <w:spacing w:val="10"/>
        </w:rPr>
        <w:t xml:space="preserve"> </w:t>
      </w:r>
      <w:r>
        <w:rPr>
          <w:color w:val="231F20"/>
        </w:rPr>
        <w:t>the</w:t>
      </w:r>
      <w:r>
        <w:rPr>
          <w:color w:val="231F20"/>
          <w:spacing w:val="10"/>
        </w:rPr>
        <w:t xml:space="preserve"> </w:t>
      </w:r>
      <w:r>
        <w:rPr>
          <w:color w:val="231F20"/>
        </w:rPr>
        <w:t>madness</w:t>
      </w:r>
      <w:r>
        <w:rPr>
          <w:color w:val="231F20"/>
          <w:spacing w:val="10"/>
        </w:rPr>
        <w:t xml:space="preserve"> </w:t>
      </w:r>
      <w:r>
        <w:rPr>
          <w:color w:val="231F20"/>
        </w:rPr>
        <w:t>the</w:t>
      </w:r>
      <w:r>
        <w:rPr>
          <w:color w:val="231F20"/>
          <w:spacing w:val="10"/>
        </w:rPr>
        <w:t xml:space="preserve"> </w:t>
      </w:r>
      <w:r>
        <w:rPr>
          <w:color w:val="231F20"/>
        </w:rPr>
        <w:t>opportunists</w:t>
      </w:r>
      <w:r>
        <w:rPr>
          <w:color w:val="231F20"/>
          <w:spacing w:val="10"/>
        </w:rPr>
        <w:t xml:space="preserve"> </w:t>
      </w:r>
      <w:r>
        <w:rPr>
          <w:color w:val="231F20"/>
        </w:rPr>
        <w:t>make</w:t>
      </w:r>
      <w:r>
        <w:rPr>
          <w:color w:val="231F20"/>
          <w:spacing w:val="10"/>
        </w:rPr>
        <w:t xml:space="preserve"> </w:t>
      </w:r>
      <w:r>
        <w:rPr>
          <w:color w:val="231F20"/>
        </w:rPr>
        <w:t>it</w:t>
      </w:r>
      <w:r>
        <w:rPr>
          <w:color w:val="231F20"/>
          <w:spacing w:val="10"/>
        </w:rPr>
        <w:t xml:space="preserve"> </w:t>
      </w:r>
      <w:r>
        <w:rPr>
          <w:color w:val="231F20"/>
        </w:rPr>
        <w:t>out</w:t>
      </w:r>
      <w:r>
        <w:rPr>
          <w:color w:val="231F20"/>
          <w:spacing w:val="10"/>
        </w:rPr>
        <w:t xml:space="preserve"> </w:t>
      </w:r>
      <w:r>
        <w:rPr>
          <w:color w:val="231F20"/>
        </w:rPr>
        <w:t>to</w:t>
      </w:r>
      <w:r>
        <w:rPr>
          <w:color w:val="231F20"/>
          <w:spacing w:val="10"/>
        </w:rPr>
        <w:t xml:space="preserve"> </w:t>
      </w:r>
      <w:r>
        <w:rPr>
          <w:color w:val="231F20"/>
        </w:rPr>
        <w:t>be.</w:t>
      </w:r>
    </w:p>
    <w:p w14:paraId="17E9C0B9" w14:textId="77777777" w:rsidR="002653E8" w:rsidRDefault="003115E3">
      <w:pPr>
        <w:pStyle w:val="a3"/>
        <w:spacing w:line="264" w:lineRule="auto"/>
        <w:ind w:left="1327" w:right="1145" w:firstLine="210"/>
        <w:jc w:val="both"/>
      </w:pPr>
      <w:r>
        <w:rPr>
          <w:color w:val="231F20"/>
        </w:rPr>
        <w:t xml:space="preserve">Who wanted the Fürstenfeldbruck massacre? The athletes who were dragged </w:t>
      </w:r>
      <w:r>
        <w:rPr>
          <w:color w:val="231F20"/>
          <w:spacing w:val="-3"/>
        </w:rPr>
        <w:t xml:space="preserve">away </w:t>
      </w:r>
      <w:r>
        <w:rPr>
          <w:color w:val="231F20"/>
        </w:rPr>
        <w:t xml:space="preserve">from the Olympics didn’t want it. The aggrieved and frightened people who experienced the aftermath and who felt the enormous cold-bloodedness of the IOC and the Springer Press didn’t want   it. It would be idiotic to believe that the revolutionaries wanted it. They wanted the release of the prisoners. They wanted what millions in this country still want: not to be tortured—just as political prisoners here </w:t>
      </w:r>
      <w:r>
        <w:rPr>
          <w:color w:val="231F20"/>
          <w:spacing w:val="-3"/>
        </w:rPr>
        <w:t xml:space="preserve">don’t </w:t>
      </w:r>
      <w:r>
        <w:rPr>
          <w:color w:val="231F20"/>
        </w:rPr>
        <w:t>want to be tortured—and an end to the theft of land, the murder, the napalming and the bombing terror Israel carries out against the Palestinian refugees. And that is why they were massacred. Because success would have meant an unimaginably higher level of identification with them and their revolution—with their “humanity,” their rage, their</w:t>
      </w:r>
      <w:r>
        <w:rPr>
          <w:color w:val="231F20"/>
          <w:spacing w:val="10"/>
        </w:rPr>
        <w:t xml:space="preserve"> </w:t>
      </w:r>
      <w:r>
        <w:rPr>
          <w:color w:val="231F20"/>
        </w:rPr>
        <w:t>solidarity—which</w:t>
      </w:r>
      <w:r>
        <w:rPr>
          <w:color w:val="231F20"/>
          <w:spacing w:val="10"/>
        </w:rPr>
        <w:t xml:space="preserve"> </w:t>
      </w:r>
      <w:r>
        <w:rPr>
          <w:color w:val="231F20"/>
        </w:rPr>
        <w:t>would</w:t>
      </w:r>
      <w:r>
        <w:rPr>
          <w:color w:val="231F20"/>
          <w:spacing w:val="10"/>
        </w:rPr>
        <w:t xml:space="preserve"> </w:t>
      </w:r>
      <w:r>
        <w:rPr>
          <w:color w:val="231F20"/>
        </w:rPr>
        <w:t>have</w:t>
      </w:r>
      <w:r>
        <w:rPr>
          <w:color w:val="231F20"/>
          <w:spacing w:val="10"/>
        </w:rPr>
        <w:t xml:space="preserve"> </w:t>
      </w:r>
      <w:r>
        <w:rPr>
          <w:color w:val="231F20"/>
        </w:rPr>
        <w:t>been</w:t>
      </w:r>
      <w:r>
        <w:rPr>
          <w:color w:val="231F20"/>
          <w:spacing w:val="10"/>
        </w:rPr>
        <w:t xml:space="preserve"> </w:t>
      </w:r>
      <w:r>
        <w:rPr>
          <w:color w:val="231F20"/>
        </w:rPr>
        <w:t>a</w:t>
      </w:r>
      <w:r>
        <w:rPr>
          <w:color w:val="231F20"/>
          <w:spacing w:val="10"/>
        </w:rPr>
        <w:t xml:space="preserve"> </w:t>
      </w:r>
      <w:r>
        <w:rPr>
          <w:color w:val="231F20"/>
        </w:rPr>
        <w:t>setback.</w:t>
      </w:r>
    </w:p>
    <w:p w14:paraId="7D9330E0" w14:textId="77777777" w:rsidR="002653E8" w:rsidRDefault="003115E3">
      <w:pPr>
        <w:pStyle w:val="a3"/>
        <w:spacing w:line="220" w:lineRule="exact"/>
        <w:ind w:left="1538"/>
      </w:pPr>
      <w:r>
        <w:rPr>
          <w:color w:val="231F20"/>
        </w:rPr>
        <w:t>Anti-imperialist consciousness attempts to prevent the perfection of</w:t>
      </w:r>
    </w:p>
    <w:p w14:paraId="12C70002" w14:textId="77777777" w:rsidR="002653E8" w:rsidRDefault="003115E3">
      <w:pPr>
        <w:pStyle w:val="a3"/>
        <w:spacing w:before="14" w:line="264" w:lineRule="auto"/>
        <w:ind w:left="1328" w:right="1146"/>
        <w:jc w:val="both"/>
      </w:pPr>
      <w:r>
        <w:rPr>
          <w:color w:val="231F20"/>
        </w:rPr>
        <w:t xml:space="preserve">imperialist rule from being firmly established. The masses are assaulted by </w:t>
      </w:r>
      <w:r>
        <w:rPr>
          <w:i/>
          <w:color w:val="231F20"/>
        </w:rPr>
        <w:t xml:space="preserve">Bild </w:t>
      </w:r>
      <w:r>
        <w:rPr>
          <w:color w:val="231F20"/>
        </w:rPr>
        <w:t>everyday. They are swamped on every side with prefabricated positions and postulations, making it difficult for them to express their actual pain and suffering.</w:t>
      </w:r>
    </w:p>
    <w:p w14:paraId="7757FF4D" w14:textId="77777777" w:rsidR="002653E8" w:rsidRDefault="002653E8">
      <w:pPr>
        <w:pStyle w:val="a3"/>
        <w:spacing w:before="6"/>
        <w:rPr>
          <w:sz w:val="21"/>
        </w:rPr>
      </w:pPr>
    </w:p>
    <w:p w14:paraId="05EA1E1E" w14:textId="77777777" w:rsidR="002653E8" w:rsidRDefault="003115E3">
      <w:pPr>
        <w:ind w:left="1328"/>
        <w:rPr>
          <w:i/>
          <w:sz w:val="20"/>
        </w:rPr>
      </w:pPr>
      <w:r>
        <w:rPr>
          <w:i/>
          <w:color w:val="231F20"/>
          <w:w w:val="115"/>
          <w:sz w:val="20"/>
        </w:rPr>
        <w:t>“Terror”</w:t>
      </w:r>
    </w:p>
    <w:p w14:paraId="0192232B" w14:textId="77777777" w:rsidR="002653E8" w:rsidRDefault="003115E3">
      <w:pPr>
        <w:pStyle w:val="a3"/>
        <w:spacing w:before="23" w:line="264" w:lineRule="auto"/>
        <w:ind w:left="1328" w:right="1145"/>
        <w:jc w:val="both"/>
      </w:pPr>
      <w:r>
        <w:rPr>
          <w:color w:val="231F20"/>
        </w:rPr>
        <w:t xml:space="preserve">The </w:t>
      </w:r>
      <w:r w:rsidR="00C507A5">
        <w:rPr>
          <w:color w:val="231F20"/>
        </w:rPr>
        <w:t>red army faction</w:t>
      </w:r>
      <w:r>
        <w:rPr>
          <w:color w:val="231F20"/>
        </w:rPr>
        <w:t>’s actions are directed towards developing anti-imperialist consciousness. The system’s cast of characters understand that. They have understood that this form of struggle gradually builds a mass base, because resistance that grows slowly more powerful and more courageous cannot easily be defeated.</w:t>
      </w:r>
    </w:p>
    <w:p w14:paraId="5E5BD9EC" w14:textId="77777777" w:rsidR="002653E8" w:rsidRDefault="003115E3">
      <w:pPr>
        <w:pStyle w:val="a3"/>
        <w:spacing w:line="264" w:lineRule="auto"/>
        <w:ind w:left="1327" w:right="1146" w:firstLine="210"/>
        <w:jc w:val="both"/>
      </w:pPr>
      <w:r>
        <w:rPr>
          <w:color w:val="231F20"/>
        </w:rPr>
        <w:t xml:space="preserve">With the tactic of phony bomb threats—used against Stuttgart—they have turned their </w:t>
      </w:r>
      <w:r>
        <w:rPr>
          <w:color w:val="231F20"/>
          <w:spacing w:val="1"/>
        </w:rPr>
        <w:t xml:space="preserve">full </w:t>
      </w:r>
      <w:r>
        <w:rPr>
          <w:color w:val="231F20"/>
        </w:rPr>
        <w:t xml:space="preserve">attention to addressing this problem.  They  do this after failing to achieve any breakthroughs, even though they have raided hundreds of houses, scoured thousands of kilometres of streets, and released a million media appeals directed at </w:t>
      </w:r>
      <w:r w:rsidR="00C507A5">
        <w:rPr>
          <w:color w:val="231F20"/>
          <w:spacing w:val="5"/>
        </w:rPr>
        <w:t>red army faction</w:t>
      </w:r>
      <w:r>
        <w:rPr>
          <w:color w:val="231F20"/>
          <w:spacing w:val="5"/>
        </w:rPr>
        <w:t xml:space="preserve"> </w:t>
      </w:r>
      <w:r>
        <w:rPr>
          <w:color w:val="231F20"/>
        </w:rPr>
        <w:t xml:space="preserve">sympathizers. With the tactic of phony bomb threats and the simultaneous banning of statements from </w:t>
      </w:r>
      <w:r w:rsidR="00C507A5">
        <w:rPr>
          <w:color w:val="231F20"/>
          <w:spacing w:val="5"/>
        </w:rPr>
        <w:t>red army faction</w:t>
      </w:r>
      <w:r>
        <w:rPr>
          <w:color w:val="231F20"/>
          <w:spacing w:val="5"/>
        </w:rPr>
        <w:t xml:space="preserve"> </w:t>
      </w:r>
      <w:r>
        <w:rPr>
          <w:color w:val="231F20"/>
        </w:rPr>
        <w:t>prisoners from the media, the cops themselves</w:t>
      </w:r>
      <w:r>
        <w:rPr>
          <w:color w:val="231F20"/>
          <w:spacing w:val="-30"/>
        </w:rPr>
        <w:t xml:space="preserve"> </w:t>
      </w:r>
      <w:r>
        <w:rPr>
          <w:color w:val="231F20"/>
        </w:rPr>
        <w:t>are</w:t>
      </w:r>
    </w:p>
    <w:p w14:paraId="04C42082" w14:textId="77777777" w:rsidR="002653E8" w:rsidRDefault="002653E8">
      <w:pPr>
        <w:spacing w:line="264" w:lineRule="auto"/>
        <w:jc w:val="both"/>
        <w:sectPr w:rsidR="002653E8">
          <w:pgSz w:w="8640" w:h="12960"/>
          <w:pgMar w:top="1060" w:right="0" w:bottom="1040" w:left="0" w:header="0" w:footer="850" w:gutter="0"/>
          <w:cols w:space="720"/>
        </w:sectPr>
      </w:pPr>
    </w:p>
    <w:p w14:paraId="731FDE22" w14:textId="77777777" w:rsidR="002653E8" w:rsidRDefault="003115E3">
      <w:pPr>
        <w:pStyle w:val="a3"/>
        <w:spacing w:before="86" w:line="264" w:lineRule="auto"/>
        <w:ind w:left="1147" w:right="1326"/>
        <w:jc w:val="both"/>
      </w:pPr>
      <w:r>
        <w:rPr>
          <w:color w:val="231F20"/>
        </w:rPr>
        <w:lastRenderedPageBreak/>
        <w:t>trying to create chaos, which is intended to lead to calls for greater law and order. The socialist left proved incapable of telling the difference between genuine and false bomb threats, although all of the genuine ones were directed against the ruling class and aimed to clear buildings and disrupt the ruling class’s establishments, cultural venues, communication structures, and media outlets—only the Stuttgart threat was directed against the people and was openly fascist and hostile to the masses.</w:t>
      </w:r>
    </w:p>
    <w:p w14:paraId="2899C66C" w14:textId="77777777" w:rsidR="002653E8" w:rsidRDefault="003115E3">
      <w:pPr>
        <w:pStyle w:val="a3"/>
        <w:spacing w:line="264" w:lineRule="auto"/>
        <w:ind w:left="1147" w:right="1326" w:firstLine="210"/>
        <w:jc w:val="both"/>
      </w:pPr>
      <w:r>
        <w:rPr>
          <w:color w:val="231F20"/>
        </w:rPr>
        <w:t>The anti-imperialist war turns the system’s weapons against the system itself—the counterrevolutionary terrorizes the people. The legal left—confused by the police actions—has ceded the issue to the opportunists (Negt).</w:t>
      </w:r>
    </w:p>
    <w:p w14:paraId="2E5DF1AE" w14:textId="77777777" w:rsidR="002653E8" w:rsidRDefault="003115E3">
      <w:pPr>
        <w:pStyle w:val="a3"/>
        <w:spacing w:line="264" w:lineRule="auto"/>
        <w:ind w:left="1147" w:right="1328" w:firstLine="210"/>
        <w:jc w:val="both"/>
      </w:pPr>
      <w:r>
        <w:rPr>
          <w:color w:val="231F20"/>
        </w:rPr>
        <w:t>(What needs to be said in detail about the June and July arrests, the imprisoned comrades must say themselves.)</w:t>
      </w:r>
    </w:p>
    <w:p w14:paraId="650D6EE2" w14:textId="77777777" w:rsidR="002653E8" w:rsidRDefault="002653E8">
      <w:pPr>
        <w:pStyle w:val="a3"/>
        <w:spacing w:before="7"/>
      </w:pPr>
    </w:p>
    <w:p w14:paraId="4F63C9AA" w14:textId="77777777" w:rsidR="002653E8" w:rsidRDefault="003115E3">
      <w:pPr>
        <w:ind w:left="1147"/>
        <w:rPr>
          <w:i/>
          <w:sz w:val="20"/>
        </w:rPr>
      </w:pPr>
      <w:r>
        <w:rPr>
          <w:i/>
          <w:color w:val="231F20"/>
          <w:w w:val="105"/>
          <w:sz w:val="20"/>
        </w:rPr>
        <w:t>Black September</w:t>
      </w:r>
    </w:p>
    <w:p w14:paraId="423C585F" w14:textId="77777777" w:rsidR="002653E8" w:rsidRDefault="003115E3">
      <w:pPr>
        <w:pStyle w:val="a3"/>
        <w:spacing w:before="23" w:line="264" w:lineRule="auto"/>
        <w:ind w:left="1147" w:right="1326"/>
        <w:jc w:val="both"/>
      </w:pPr>
      <w:r>
        <w:rPr>
          <w:color w:val="231F20"/>
        </w:rPr>
        <w:t xml:space="preserve">The Black September action in Munich leaves no room for misunderstanding. They took hostages from a people who are carrying out an extermination policy against them. They put their lives on the line to free their comrades. They didn’t want to die. They put off their ultimatum. </w:t>
      </w:r>
      <w:r>
        <w:rPr>
          <w:color w:val="231F20"/>
          <w:spacing w:val="1"/>
        </w:rPr>
        <w:t xml:space="preserve">In </w:t>
      </w:r>
      <w:r>
        <w:rPr>
          <w:color w:val="231F20"/>
        </w:rPr>
        <w:t>the face of the uncompromising attitude advocated by Israel, they held the Israeli hostages prisoner. The Israeli hostages understood that this was a last resort. They were betrayed by the German authorities just as the revolutionaries were. The German police massacred the hostages and the</w:t>
      </w:r>
      <w:r>
        <w:rPr>
          <w:color w:val="231F20"/>
          <w:spacing w:val="30"/>
        </w:rPr>
        <w:t xml:space="preserve"> </w:t>
      </w:r>
      <w:r>
        <w:rPr>
          <w:color w:val="231F20"/>
        </w:rPr>
        <w:t>revolutionaries.</w:t>
      </w:r>
    </w:p>
    <w:p w14:paraId="201717A5" w14:textId="77777777" w:rsidR="002653E8" w:rsidRDefault="003115E3">
      <w:pPr>
        <w:pStyle w:val="a3"/>
        <w:spacing w:line="264" w:lineRule="auto"/>
        <w:ind w:left="1147" w:right="1327" w:firstLine="210"/>
        <w:jc w:val="both"/>
      </w:pPr>
      <w:r>
        <w:rPr>
          <w:color w:val="231F20"/>
        </w:rPr>
        <w:t>The Black September action in Munich will live on in the memory of the anti-imperialist struggle.</w:t>
      </w:r>
    </w:p>
    <w:p w14:paraId="30F2D455" w14:textId="77777777" w:rsidR="002653E8" w:rsidRDefault="003115E3">
      <w:pPr>
        <w:pStyle w:val="a3"/>
        <w:spacing w:line="232" w:lineRule="exact"/>
        <w:ind w:left="1357"/>
      </w:pPr>
      <w:r>
        <w:rPr>
          <w:color w:val="231F20"/>
        </w:rPr>
        <w:t>The death of the Arab comrades weighs as heavily as Mount Tai.</w:t>
      </w:r>
    </w:p>
    <w:p w14:paraId="6EC88DFA" w14:textId="77777777" w:rsidR="002653E8" w:rsidRDefault="002653E8">
      <w:pPr>
        <w:pStyle w:val="a3"/>
        <w:spacing w:before="5"/>
        <w:rPr>
          <w:sz w:val="14"/>
        </w:rPr>
      </w:pPr>
    </w:p>
    <w:p w14:paraId="1EFBAC81" w14:textId="77777777" w:rsidR="002653E8" w:rsidRDefault="003115E3">
      <w:pPr>
        <w:pStyle w:val="a3"/>
        <w:spacing w:before="99"/>
        <w:ind w:left="1147"/>
      </w:pPr>
      <w:r>
        <w:rPr>
          <w:color w:val="231F20"/>
          <w:w w:val="110"/>
        </w:rPr>
        <w:t>THE STONES THAT THESE BEASTS THREW AT</w:t>
      </w:r>
    </w:p>
    <w:p w14:paraId="38158DEE" w14:textId="77777777" w:rsidR="002653E8" w:rsidRDefault="003115E3">
      <w:pPr>
        <w:pStyle w:val="a3"/>
        <w:spacing w:before="21"/>
        <w:ind w:left="1147"/>
      </w:pPr>
      <w:r>
        <w:rPr>
          <w:color w:val="231F20"/>
          <w:w w:val="115"/>
        </w:rPr>
        <w:t>FüRSTENFELDBRUCK WILL FALL AT THEIR OWN FEET!</w:t>
      </w:r>
    </w:p>
    <w:p w14:paraId="2DF2BEBA" w14:textId="77777777" w:rsidR="002653E8" w:rsidRDefault="003115E3">
      <w:pPr>
        <w:pStyle w:val="a3"/>
        <w:spacing w:before="150" w:line="261" w:lineRule="auto"/>
        <w:ind w:left="1147" w:right="2448"/>
      </w:pPr>
      <w:r>
        <w:rPr>
          <w:color w:val="231F20"/>
          <w:w w:val="115"/>
        </w:rPr>
        <w:t>SOLIDARITy WITH THE LIBERATION STRUGGLE OF THE PALESTINIAN PEOPLE!</w:t>
      </w:r>
    </w:p>
    <w:p w14:paraId="548BA230" w14:textId="77777777" w:rsidR="002653E8" w:rsidRDefault="003115E3">
      <w:pPr>
        <w:pStyle w:val="a3"/>
        <w:spacing w:before="129" w:line="393" w:lineRule="auto"/>
        <w:ind w:left="1147" w:right="1580"/>
      </w:pPr>
      <w:r>
        <w:rPr>
          <w:color w:val="231F20"/>
          <w:w w:val="115"/>
        </w:rPr>
        <w:t>SOLIDARITy WITH THE VIETNAMESE REVOLUTION! REVOLUTIONARIES OF ALL COUNTRIES UNITE!</w:t>
      </w:r>
    </w:p>
    <w:p w14:paraId="0BD9E342" w14:textId="77777777" w:rsidR="002653E8" w:rsidRDefault="00C507A5">
      <w:pPr>
        <w:pStyle w:val="a3"/>
        <w:spacing w:line="233" w:lineRule="exact"/>
        <w:ind w:left="1212" w:right="1317"/>
        <w:jc w:val="right"/>
      </w:pPr>
      <w:r>
        <w:rPr>
          <w:color w:val="231F20"/>
          <w:w w:val="110"/>
        </w:rPr>
        <w:t>red army faction</w:t>
      </w:r>
    </w:p>
    <w:p w14:paraId="40F009F5" w14:textId="77777777" w:rsidR="002653E8" w:rsidRDefault="003115E3">
      <w:pPr>
        <w:pStyle w:val="a3"/>
        <w:spacing w:before="21"/>
        <w:ind w:left="1212" w:right="1325"/>
        <w:jc w:val="right"/>
      </w:pPr>
      <w:r>
        <w:rPr>
          <w:color w:val="231F20"/>
        </w:rPr>
        <w:t>November 1972</w:t>
      </w:r>
    </w:p>
    <w:p w14:paraId="53BAD192" w14:textId="77777777" w:rsidR="002653E8" w:rsidRDefault="002653E8">
      <w:pPr>
        <w:jc w:val="right"/>
        <w:sectPr w:rsidR="002653E8">
          <w:pgSz w:w="8640" w:h="12960"/>
          <w:pgMar w:top="1060" w:right="0" w:bottom="1040" w:left="0" w:header="0" w:footer="850" w:gutter="0"/>
          <w:cols w:space="720"/>
        </w:sectPr>
      </w:pPr>
    </w:p>
    <w:p w14:paraId="4106B883" w14:textId="77777777" w:rsidR="002653E8" w:rsidRDefault="002653E8">
      <w:pPr>
        <w:pStyle w:val="a3"/>
      </w:pPr>
    </w:p>
    <w:p w14:paraId="39E157B3" w14:textId="77777777" w:rsidR="002653E8" w:rsidRDefault="002653E8">
      <w:pPr>
        <w:pStyle w:val="a3"/>
      </w:pPr>
    </w:p>
    <w:p w14:paraId="14EE4D44" w14:textId="77777777" w:rsidR="002653E8" w:rsidRDefault="002653E8">
      <w:pPr>
        <w:pStyle w:val="a3"/>
      </w:pPr>
    </w:p>
    <w:p w14:paraId="1516D803" w14:textId="77777777" w:rsidR="002653E8" w:rsidRDefault="002653E8">
      <w:pPr>
        <w:pStyle w:val="a3"/>
      </w:pPr>
    </w:p>
    <w:p w14:paraId="2869A84F" w14:textId="77777777" w:rsidR="002653E8" w:rsidRDefault="002653E8">
      <w:pPr>
        <w:pStyle w:val="a3"/>
        <w:spacing w:before="2"/>
        <w:rPr>
          <w:sz w:val="29"/>
        </w:rPr>
      </w:pPr>
    </w:p>
    <w:p w14:paraId="786AA188" w14:textId="77777777" w:rsidR="002653E8" w:rsidRDefault="003115E3">
      <w:pPr>
        <w:pStyle w:val="4"/>
        <w:tabs>
          <w:tab w:val="left" w:pos="7039"/>
          <w:tab w:val="left" w:pos="7491"/>
        </w:tabs>
        <w:spacing w:before="86"/>
        <w:rPr>
          <w:rFonts w:ascii="Lucida Sans"/>
          <w:b/>
        </w:rPr>
      </w:pPr>
      <w:bookmarkStart w:id="98" w:name="7_Staying_Alive:_Sensory_Deprivation,_To"/>
      <w:bookmarkStart w:id="99" w:name="_bookmark33"/>
      <w:bookmarkEnd w:id="98"/>
      <w:bookmarkEnd w:id="99"/>
      <w:r>
        <w:rPr>
          <w:rFonts w:ascii="Lucida Sans"/>
          <w:b/>
          <w:color w:val="FFFFFF"/>
          <w:w w:val="87"/>
          <w:shd w:val="clear" w:color="auto" w:fill="231F20"/>
        </w:rPr>
        <w:t xml:space="preserve"> </w:t>
      </w:r>
      <w:r>
        <w:rPr>
          <w:rFonts w:ascii="Lucida Sans"/>
          <w:b/>
          <w:color w:val="FFFFFF"/>
          <w:shd w:val="clear" w:color="auto" w:fill="231F20"/>
        </w:rPr>
        <w:tab/>
      </w:r>
      <w:r>
        <w:rPr>
          <w:rFonts w:ascii="Lucida Sans"/>
          <w:b/>
          <w:color w:val="FFFFFF"/>
          <w:w w:val="95"/>
          <w:shd w:val="clear" w:color="auto" w:fill="231F20"/>
        </w:rPr>
        <w:t>7</w:t>
      </w:r>
      <w:r>
        <w:rPr>
          <w:rFonts w:ascii="Lucida Sans"/>
          <w:b/>
          <w:color w:val="FFFFFF"/>
          <w:shd w:val="clear" w:color="auto" w:fill="231F20"/>
        </w:rPr>
        <w:tab/>
      </w:r>
    </w:p>
    <w:p w14:paraId="2DC3DF82" w14:textId="77777777" w:rsidR="002653E8" w:rsidRDefault="002653E8">
      <w:pPr>
        <w:pStyle w:val="a3"/>
        <w:rPr>
          <w:rFonts w:ascii="Lucida Sans"/>
          <w:b/>
          <w:sz w:val="36"/>
        </w:rPr>
      </w:pPr>
    </w:p>
    <w:p w14:paraId="4E6256DE" w14:textId="77777777" w:rsidR="002653E8" w:rsidRDefault="002653E8">
      <w:pPr>
        <w:pStyle w:val="a3"/>
        <w:spacing w:before="1"/>
        <w:rPr>
          <w:rFonts w:ascii="Lucida Sans"/>
          <w:b/>
          <w:sz w:val="38"/>
        </w:rPr>
      </w:pPr>
    </w:p>
    <w:p w14:paraId="2DAB57EB" w14:textId="77777777" w:rsidR="002653E8" w:rsidRDefault="003115E3">
      <w:pPr>
        <w:spacing w:line="244" w:lineRule="auto"/>
        <w:ind w:left="2717" w:right="1145" w:firstLine="2561"/>
        <w:jc w:val="both"/>
        <w:rPr>
          <w:rFonts w:ascii="Lucida Sans"/>
          <w:b/>
          <w:sz w:val="36"/>
        </w:rPr>
      </w:pPr>
      <w:r>
        <w:rPr>
          <w:rFonts w:ascii="Lucida Sans"/>
          <w:b/>
          <w:color w:val="231F20"/>
          <w:w w:val="90"/>
          <w:sz w:val="36"/>
        </w:rPr>
        <w:t>staying</w:t>
      </w:r>
      <w:r>
        <w:rPr>
          <w:rFonts w:ascii="Lucida Sans"/>
          <w:b/>
          <w:color w:val="231F20"/>
          <w:spacing w:val="-27"/>
          <w:w w:val="90"/>
          <w:sz w:val="36"/>
        </w:rPr>
        <w:t xml:space="preserve"> </w:t>
      </w:r>
      <w:r>
        <w:rPr>
          <w:rFonts w:ascii="Lucida Sans"/>
          <w:b/>
          <w:color w:val="231F20"/>
          <w:w w:val="90"/>
          <w:sz w:val="36"/>
        </w:rPr>
        <w:t xml:space="preserve">Alive: sensory Deprivation, </w:t>
      </w:r>
      <w:r>
        <w:rPr>
          <w:rFonts w:ascii="Lucida Sans"/>
          <w:b/>
          <w:color w:val="231F20"/>
          <w:spacing w:val="-6"/>
          <w:w w:val="90"/>
          <w:sz w:val="36"/>
        </w:rPr>
        <w:t xml:space="preserve">torture, </w:t>
      </w:r>
      <w:r>
        <w:rPr>
          <w:rFonts w:ascii="Lucida Sans"/>
          <w:b/>
          <w:color w:val="231F20"/>
          <w:w w:val="90"/>
          <w:sz w:val="36"/>
        </w:rPr>
        <w:t>and the struggle Behind</w:t>
      </w:r>
      <w:r>
        <w:rPr>
          <w:rFonts w:ascii="Lucida Sans"/>
          <w:b/>
          <w:color w:val="231F20"/>
          <w:spacing w:val="-54"/>
          <w:w w:val="90"/>
          <w:sz w:val="36"/>
        </w:rPr>
        <w:t xml:space="preserve"> </w:t>
      </w:r>
      <w:r>
        <w:rPr>
          <w:rFonts w:ascii="Lucida Sans"/>
          <w:b/>
          <w:color w:val="231F20"/>
          <w:w w:val="90"/>
          <w:sz w:val="36"/>
        </w:rPr>
        <w:t>Bars</w:t>
      </w:r>
    </w:p>
    <w:p w14:paraId="2158A0F9" w14:textId="77777777" w:rsidR="002653E8" w:rsidRDefault="002653E8">
      <w:pPr>
        <w:pStyle w:val="a3"/>
        <w:spacing w:before="9"/>
        <w:rPr>
          <w:rFonts w:ascii="Lucida Sans"/>
          <w:b/>
          <w:sz w:val="56"/>
        </w:rPr>
      </w:pPr>
    </w:p>
    <w:p w14:paraId="602438B0" w14:textId="77777777" w:rsidR="002653E8" w:rsidRDefault="003115E3">
      <w:pPr>
        <w:spacing w:before="1" w:line="276" w:lineRule="auto"/>
        <w:ind w:left="1748" w:right="1565" w:hanging="1"/>
        <w:jc w:val="both"/>
        <w:rPr>
          <w:i/>
          <w:sz w:val="19"/>
        </w:rPr>
      </w:pPr>
      <w:r>
        <w:rPr>
          <w:i/>
          <w:color w:val="231F20"/>
          <w:sz w:val="19"/>
        </w:rPr>
        <w:t xml:space="preserve">By </w:t>
      </w:r>
      <w:r>
        <w:rPr>
          <w:rFonts w:ascii="Bookman Old Style"/>
          <w:i/>
          <w:color w:val="231F20"/>
          <w:sz w:val="19"/>
        </w:rPr>
        <w:t>1972</w:t>
      </w:r>
      <w:r>
        <w:rPr>
          <w:i/>
          <w:color w:val="231F20"/>
          <w:sz w:val="19"/>
        </w:rPr>
        <w:t xml:space="preserve">, practically the whole founding generation of the </w:t>
      </w:r>
      <w:r w:rsidR="00C507A5">
        <w:rPr>
          <w:i/>
          <w:color w:val="231F20"/>
          <w:sz w:val="19"/>
        </w:rPr>
        <w:t>red army faction</w:t>
      </w:r>
      <w:r>
        <w:rPr>
          <w:i/>
          <w:color w:val="231F20"/>
          <w:sz w:val="19"/>
        </w:rPr>
        <w:t xml:space="preserve"> were behind bars. Yet there was still a second generation and a third generation. Why? Primarily because of the conditions of imprisonment and state-organized terror.</w:t>
      </w:r>
    </w:p>
    <w:p w14:paraId="689F95AC" w14:textId="77777777" w:rsidR="002653E8" w:rsidRDefault="003115E3">
      <w:pPr>
        <w:spacing w:line="276" w:lineRule="auto"/>
        <w:ind w:left="5005" w:right="1513" w:firstLine="473"/>
        <w:rPr>
          <w:sz w:val="11"/>
        </w:rPr>
      </w:pPr>
      <w:r>
        <w:rPr>
          <w:color w:val="231F20"/>
          <w:sz w:val="19"/>
        </w:rPr>
        <w:t xml:space="preserve">Dieter Kunzelmann </w:t>
      </w:r>
      <w:r>
        <w:rPr>
          <w:color w:val="231F20"/>
          <w:w w:val="105"/>
          <w:sz w:val="19"/>
        </w:rPr>
        <w:t>former K.1 Communard</w:t>
      </w:r>
      <w:r>
        <w:rPr>
          <w:color w:val="231F20"/>
          <w:w w:val="105"/>
          <w:position w:val="6"/>
          <w:sz w:val="11"/>
        </w:rPr>
        <w:t>1</w:t>
      </w:r>
    </w:p>
    <w:p w14:paraId="4D3DCA3D" w14:textId="77777777" w:rsidR="002653E8" w:rsidRDefault="003115E3" w:rsidP="0003020B">
      <w:pPr>
        <w:pStyle w:val="a3"/>
        <w:spacing w:before="15" w:line="211" w:lineRule="auto"/>
        <w:ind w:left="1328" w:right="1145" w:hanging="1"/>
        <w:jc w:val="both"/>
      </w:pPr>
      <w:r>
        <w:rPr>
          <w:rFonts w:ascii="Verdana"/>
          <w:color w:val="231F20"/>
          <w:spacing w:val="-12"/>
          <w:w w:val="99"/>
          <w:sz w:val="48"/>
        </w:rPr>
        <w:t>H</w:t>
      </w:r>
      <w:r>
        <w:rPr>
          <w:color w:val="231F20"/>
          <w:spacing w:val="-10"/>
          <w:w w:val="113"/>
        </w:rPr>
        <w:t>a</w:t>
      </w:r>
      <w:r>
        <w:rPr>
          <w:color w:val="231F20"/>
          <w:spacing w:val="5"/>
          <w:w w:val="110"/>
        </w:rPr>
        <w:t>v</w:t>
      </w:r>
      <w:r>
        <w:rPr>
          <w:color w:val="231F20"/>
          <w:spacing w:val="5"/>
          <w:w w:val="119"/>
        </w:rPr>
        <w:t>i</w:t>
      </w:r>
      <w:r>
        <w:rPr>
          <w:color w:val="231F20"/>
          <w:spacing w:val="-2"/>
          <w:w w:val="109"/>
        </w:rPr>
        <w:t>n</w:t>
      </w:r>
      <w:r>
        <w:rPr>
          <w:color w:val="231F20"/>
          <w:w w:val="123"/>
        </w:rPr>
        <w:t>g</w:t>
      </w:r>
      <w:r>
        <w:rPr>
          <w:color w:val="231F20"/>
        </w:rPr>
        <w:t xml:space="preserve"> </w:t>
      </w:r>
      <w:r>
        <w:rPr>
          <w:color w:val="231F20"/>
          <w:spacing w:val="-21"/>
        </w:rPr>
        <w:t xml:space="preserve"> </w:t>
      </w:r>
      <w:r>
        <w:rPr>
          <w:color w:val="231F20"/>
          <w:spacing w:val="5"/>
          <w:w w:val="126"/>
        </w:rPr>
        <w:t>c</w:t>
      </w:r>
      <w:r>
        <w:rPr>
          <w:color w:val="231F20"/>
          <w:spacing w:val="6"/>
          <w:w w:val="113"/>
        </w:rPr>
        <w:t>a</w:t>
      </w:r>
      <w:r>
        <w:rPr>
          <w:color w:val="231F20"/>
          <w:spacing w:val="6"/>
          <w:w w:val="89"/>
        </w:rPr>
        <w:t>p</w:t>
      </w:r>
      <w:r>
        <w:rPr>
          <w:color w:val="231F20"/>
          <w:spacing w:val="6"/>
          <w:w w:val="147"/>
        </w:rPr>
        <w:t>t</w:t>
      </w:r>
      <w:r>
        <w:rPr>
          <w:color w:val="231F20"/>
          <w:spacing w:val="5"/>
          <w:w w:val="110"/>
        </w:rPr>
        <w:t>u</w:t>
      </w:r>
      <w:r>
        <w:rPr>
          <w:color w:val="231F20"/>
          <w:spacing w:val="7"/>
          <w:w w:val="134"/>
        </w:rPr>
        <w:t>r</w:t>
      </w:r>
      <w:r>
        <w:rPr>
          <w:color w:val="231F20"/>
          <w:spacing w:val="2"/>
          <w:w w:val="102"/>
        </w:rPr>
        <w:t>e</w:t>
      </w:r>
      <w:r>
        <w:rPr>
          <w:color w:val="231F20"/>
          <w:w w:val="120"/>
        </w:rPr>
        <w:t>d</w:t>
      </w:r>
      <w:r>
        <w:rPr>
          <w:color w:val="231F20"/>
        </w:rPr>
        <w:t xml:space="preserve"> </w:t>
      </w:r>
      <w:r>
        <w:rPr>
          <w:color w:val="231F20"/>
          <w:spacing w:val="-21"/>
        </w:rPr>
        <w:t xml:space="preserve"> </w:t>
      </w:r>
      <w:r>
        <w:rPr>
          <w:color w:val="231F20"/>
          <w:spacing w:val="6"/>
          <w:w w:val="147"/>
        </w:rPr>
        <w:t>t</w:t>
      </w:r>
      <w:r>
        <w:rPr>
          <w:color w:val="231F20"/>
          <w:spacing w:val="5"/>
          <w:w w:val="120"/>
        </w:rPr>
        <w:t>h</w:t>
      </w:r>
      <w:r>
        <w:rPr>
          <w:color w:val="231F20"/>
          <w:w w:val="102"/>
        </w:rPr>
        <w:t>e</w:t>
      </w:r>
      <w:r>
        <w:rPr>
          <w:color w:val="231F20"/>
        </w:rPr>
        <w:t xml:space="preserve"> </w:t>
      </w:r>
      <w:r>
        <w:rPr>
          <w:color w:val="231F20"/>
          <w:spacing w:val="-21"/>
        </w:rPr>
        <w:t xml:space="preserve"> </w:t>
      </w:r>
      <w:r>
        <w:rPr>
          <w:color w:val="231F20"/>
          <w:spacing w:val="2"/>
          <w:w w:val="119"/>
        </w:rPr>
        <w:t>i</w:t>
      </w:r>
      <w:r>
        <w:rPr>
          <w:color w:val="231F20"/>
          <w:spacing w:val="-2"/>
          <w:w w:val="120"/>
        </w:rPr>
        <w:t>d</w:t>
      </w:r>
      <w:r>
        <w:rPr>
          <w:color w:val="231F20"/>
          <w:spacing w:val="1"/>
          <w:w w:val="102"/>
        </w:rPr>
        <w:t>e</w:t>
      </w:r>
      <w:r>
        <w:rPr>
          <w:color w:val="231F20"/>
          <w:spacing w:val="-4"/>
          <w:w w:val="125"/>
        </w:rPr>
        <w:t>o</w:t>
      </w:r>
      <w:r>
        <w:rPr>
          <w:color w:val="231F20"/>
          <w:spacing w:val="3"/>
          <w:w w:val="184"/>
        </w:rPr>
        <w:t>l</w:t>
      </w:r>
      <w:r>
        <w:rPr>
          <w:color w:val="231F20"/>
          <w:w w:val="125"/>
        </w:rPr>
        <w:t>o</w:t>
      </w:r>
      <w:r>
        <w:rPr>
          <w:color w:val="231F20"/>
          <w:w w:val="123"/>
        </w:rPr>
        <w:t>g</w:t>
      </w:r>
      <w:r>
        <w:rPr>
          <w:color w:val="231F20"/>
          <w:spacing w:val="-2"/>
          <w:w w:val="119"/>
        </w:rPr>
        <w:t>i</w:t>
      </w:r>
      <w:r>
        <w:rPr>
          <w:color w:val="231F20"/>
          <w:spacing w:val="5"/>
          <w:w w:val="126"/>
        </w:rPr>
        <w:t>c</w:t>
      </w:r>
      <w:r>
        <w:rPr>
          <w:color w:val="231F20"/>
          <w:spacing w:val="5"/>
          <w:w w:val="113"/>
        </w:rPr>
        <w:t>a</w:t>
      </w:r>
      <w:r>
        <w:rPr>
          <w:color w:val="231F20"/>
          <w:w w:val="184"/>
        </w:rPr>
        <w:t>l</w:t>
      </w:r>
      <w:r>
        <w:rPr>
          <w:color w:val="231F20"/>
        </w:rPr>
        <w:t xml:space="preserve"> </w:t>
      </w:r>
      <w:r>
        <w:rPr>
          <w:color w:val="231F20"/>
          <w:spacing w:val="-21"/>
        </w:rPr>
        <w:t xml:space="preserve"> </w:t>
      </w:r>
      <w:r>
        <w:rPr>
          <w:color w:val="231F20"/>
          <w:spacing w:val="5"/>
          <w:w w:val="184"/>
        </w:rPr>
        <w:t>l</w:t>
      </w:r>
      <w:r>
        <w:rPr>
          <w:color w:val="231F20"/>
          <w:spacing w:val="6"/>
          <w:w w:val="102"/>
        </w:rPr>
        <w:t>e</w:t>
      </w:r>
      <w:r>
        <w:rPr>
          <w:color w:val="231F20"/>
          <w:spacing w:val="6"/>
          <w:w w:val="113"/>
        </w:rPr>
        <w:t>a</w:t>
      </w:r>
      <w:r>
        <w:rPr>
          <w:color w:val="231F20"/>
          <w:spacing w:val="-2"/>
          <w:w w:val="120"/>
        </w:rPr>
        <w:t>d</w:t>
      </w:r>
      <w:r>
        <w:rPr>
          <w:color w:val="231F20"/>
          <w:spacing w:val="5"/>
          <w:w w:val="102"/>
        </w:rPr>
        <w:t>e</w:t>
      </w:r>
      <w:r>
        <w:rPr>
          <w:color w:val="231F20"/>
          <w:spacing w:val="3"/>
          <w:w w:val="134"/>
        </w:rPr>
        <w:t>r</w:t>
      </w:r>
      <w:r>
        <w:rPr>
          <w:color w:val="231F20"/>
          <w:spacing w:val="-1"/>
          <w:w w:val="103"/>
        </w:rPr>
        <w:t>s</w:t>
      </w:r>
      <w:r>
        <w:rPr>
          <w:color w:val="231F20"/>
          <w:spacing w:val="3"/>
          <w:w w:val="120"/>
        </w:rPr>
        <w:t>h</w:t>
      </w:r>
      <w:r>
        <w:rPr>
          <w:color w:val="231F20"/>
          <w:spacing w:val="2"/>
          <w:w w:val="119"/>
        </w:rPr>
        <w:t>i</w:t>
      </w:r>
      <w:r>
        <w:rPr>
          <w:color w:val="231F20"/>
          <w:w w:val="89"/>
        </w:rPr>
        <w:t>p</w:t>
      </w:r>
      <w:r>
        <w:rPr>
          <w:color w:val="231F20"/>
        </w:rPr>
        <w:t xml:space="preserve"> </w:t>
      </w:r>
      <w:r>
        <w:rPr>
          <w:color w:val="231F20"/>
          <w:spacing w:val="-21"/>
        </w:rPr>
        <w:t xml:space="preserve"> </w:t>
      </w:r>
      <w:r>
        <w:rPr>
          <w:color w:val="231F20"/>
          <w:spacing w:val="-2"/>
          <w:w w:val="104"/>
        </w:rPr>
        <w:t>o</w:t>
      </w:r>
      <w:r>
        <w:rPr>
          <w:color w:val="231F20"/>
          <w:w w:val="109"/>
        </w:rPr>
        <w:t>f</w:t>
      </w:r>
      <w:r>
        <w:rPr>
          <w:color w:val="231F20"/>
        </w:rPr>
        <w:t xml:space="preserve"> </w:t>
      </w:r>
      <w:r>
        <w:rPr>
          <w:color w:val="231F20"/>
          <w:spacing w:val="-21"/>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21"/>
        </w:rPr>
        <w:t xml:space="preserve"> </w:t>
      </w:r>
      <w:r w:rsidR="00C507A5">
        <w:rPr>
          <w:color w:val="231F20"/>
          <w:spacing w:val="8"/>
          <w:w w:val="116"/>
        </w:rPr>
        <w:t>red army faction</w:t>
      </w:r>
      <w:r>
        <w:rPr>
          <w:color w:val="231F20"/>
          <w:w w:val="135"/>
        </w:rPr>
        <w:t>,</w:t>
      </w:r>
      <w:r>
        <w:rPr>
          <w:color w:val="231F20"/>
        </w:rPr>
        <w:t xml:space="preserve"> </w:t>
      </w:r>
      <w:r>
        <w:rPr>
          <w:color w:val="231F20"/>
          <w:spacing w:val="-21"/>
        </w:rPr>
        <w:t xml:space="preserve"> </w:t>
      </w:r>
      <w:r>
        <w:rPr>
          <w:color w:val="231F20"/>
          <w:spacing w:val="2"/>
          <w:w w:val="98"/>
        </w:rPr>
        <w:t>t</w:t>
      </w:r>
      <w:r>
        <w:rPr>
          <w:color w:val="231F20"/>
          <w:spacing w:val="-1"/>
        </w:rPr>
        <w:t>h</w:t>
      </w:r>
      <w:r>
        <w:rPr>
          <w:color w:val="231F20"/>
          <w:w w:val="91"/>
        </w:rPr>
        <w:t xml:space="preserve">e </w:t>
      </w:r>
      <w:r>
        <w:rPr>
          <w:color w:val="231F20"/>
          <w:spacing w:val="-3"/>
          <w:w w:val="105"/>
        </w:rPr>
        <w:t>West</w:t>
      </w:r>
      <w:r>
        <w:rPr>
          <w:color w:val="231F20"/>
          <w:spacing w:val="-6"/>
          <w:w w:val="105"/>
        </w:rPr>
        <w:t xml:space="preserve"> </w:t>
      </w:r>
      <w:r>
        <w:rPr>
          <w:color w:val="231F20"/>
          <w:w w:val="105"/>
        </w:rPr>
        <w:t>German</w:t>
      </w:r>
      <w:r>
        <w:rPr>
          <w:color w:val="231F20"/>
          <w:spacing w:val="-6"/>
          <w:w w:val="105"/>
        </w:rPr>
        <w:t xml:space="preserve"> </w:t>
      </w:r>
      <w:r>
        <w:rPr>
          <w:color w:val="231F20"/>
          <w:w w:val="105"/>
        </w:rPr>
        <w:t>state</w:t>
      </w:r>
      <w:r>
        <w:rPr>
          <w:color w:val="231F20"/>
          <w:spacing w:val="-6"/>
          <w:w w:val="105"/>
        </w:rPr>
        <w:t xml:space="preserve"> </w:t>
      </w:r>
      <w:r>
        <w:rPr>
          <w:color w:val="231F20"/>
          <w:w w:val="105"/>
        </w:rPr>
        <w:t>set</w:t>
      </w:r>
      <w:r>
        <w:rPr>
          <w:color w:val="231F20"/>
          <w:spacing w:val="-6"/>
          <w:w w:val="105"/>
        </w:rPr>
        <w:t xml:space="preserve"> </w:t>
      </w:r>
      <w:r>
        <w:rPr>
          <w:color w:val="231F20"/>
          <w:w w:val="105"/>
        </w:rPr>
        <w:t>in</w:t>
      </w:r>
      <w:r>
        <w:rPr>
          <w:color w:val="231F20"/>
          <w:spacing w:val="-6"/>
          <w:w w:val="105"/>
        </w:rPr>
        <w:t xml:space="preserve"> </w:t>
      </w:r>
      <w:r>
        <w:rPr>
          <w:color w:val="231F20"/>
          <w:w w:val="105"/>
        </w:rPr>
        <w:t>motion</w:t>
      </w:r>
      <w:r>
        <w:rPr>
          <w:color w:val="231F20"/>
          <w:spacing w:val="-6"/>
          <w:w w:val="105"/>
        </w:rPr>
        <w:t xml:space="preserve"> </w:t>
      </w:r>
      <w:r>
        <w:rPr>
          <w:color w:val="231F20"/>
          <w:w w:val="105"/>
        </w:rPr>
        <w:t>the</w:t>
      </w:r>
      <w:r>
        <w:rPr>
          <w:color w:val="231F20"/>
          <w:spacing w:val="-6"/>
          <w:w w:val="105"/>
        </w:rPr>
        <w:t xml:space="preserve"> </w:t>
      </w:r>
      <w:r>
        <w:rPr>
          <w:color w:val="231F20"/>
          <w:w w:val="105"/>
        </w:rPr>
        <w:t>second</w:t>
      </w:r>
      <w:r>
        <w:rPr>
          <w:color w:val="231F20"/>
          <w:spacing w:val="-6"/>
          <w:w w:val="105"/>
        </w:rPr>
        <w:t xml:space="preserve"> </w:t>
      </w:r>
      <w:r>
        <w:rPr>
          <w:color w:val="231F20"/>
          <w:w w:val="105"/>
        </w:rPr>
        <w:t>element</w:t>
      </w:r>
      <w:r>
        <w:rPr>
          <w:color w:val="231F20"/>
          <w:spacing w:val="-6"/>
          <w:w w:val="105"/>
        </w:rPr>
        <w:t xml:space="preserve"> </w:t>
      </w:r>
      <w:r>
        <w:rPr>
          <w:color w:val="231F20"/>
          <w:w w:val="105"/>
        </w:rPr>
        <w:t>of</w:t>
      </w:r>
      <w:r>
        <w:rPr>
          <w:color w:val="231F20"/>
          <w:spacing w:val="-6"/>
          <w:w w:val="105"/>
        </w:rPr>
        <w:t xml:space="preserve"> </w:t>
      </w:r>
      <w:r>
        <w:rPr>
          <w:color w:val="231F20"/>
          <w:w w:val="105"/>
        </w:rPr>
        <w:t>their</w:t>
      </w:r>
      <w:r>
        <w:rPr>
          <w:color w:val="231F20"/>
          <w:spacing w:val="-6"/>
          <w:w w:val="105"/>
        </w:rPr>
        <w:t xml:space="preserve"> </w:t>
      </w:r>
      <w:r>
        <w:rPr>
          <w:color w:val="231F20"/>
          <w:w w:val="105"/>
        </w:rPr>
        <w:t>counter-</w:t>
      </w:r>
      <w:r>
        <w:rPr>
          <w:color w:val="231F20"/>
        </w:rPr>
        <w:t>insurgency project: one which would eventually become known as the “Stammheim Model.” The mere incarceration of the guerilla was insufficient. Those captured were to be rendered ineffective not only as combatants, but also as spokespeople for the anti-imperialist resistance. If at all possible, they were to be deconstructed as human beings and reconstructed as representatives of the counterinsurgency project. If this was not possible, at a bare minimum, they were to be destroyed.</w:t>
      </w:r>
    </w:p>
    <w:p w14:paraId="56846F6F" w14:textId="77777777" w:rsidR="002653E8" w:rsidRDefault="003115E3">
      <w:pPr>
        <w:pStyle w:val="a3"/>
        <w:spacing w:line="264" w:lineRule="auto"/>
        <w:ind w:left="1328" w:right="1145" w:firstLine="210"/>
      </w:pPr>
      <w:r>
        <w:rPr>
          <w:color w:val="231F20"/>
        </w:rPr>
        <w:t>The state’s weapon on this terrain was complete and total isolation of the prisoners, both from each other and from the outside world.</w:t>
      </w:r>
    </w:p>
    <w:p w14:paraId="31B3D708" w14:textId="77777777" w:rsidR="002653E8" w:rsidRDefault="003115E3">
      <w:pPr>
        <w:pStyle w:val="a3"/>
        <w:spacing w:line="264" w:lineRule="auto"/>
        <w:ind w:left="1328" w:right="1479" w:firstLine="210"/>
      </w:pPr>
      <w:r>
        <w:rPr>
          <w:color w:val="231F20"/>
        </w:rPr>
        <w:t xml:space="preserve">As early as June </w:t>
      </w:r>
      <w:r>
        <w:rPr>
          <w:color w:val="231F20"/>
          <w:spacing w:val="-8"/>
        </w:rPr>
        <w:t xml:space="preserve">7, </w:t>
      </w:r>
      <w:r>
        <w:rPr>
          <w:color w:val="231F20"/>
          <w:spacing w:val="-3"/>
        </w:rPr>
        <w:t xml:space="preserve">1972, </w:t>
      </w:r>
      <w:r>
        <w:rPr>
          <w:color w:val="231F20"/>
        </w:rPr>
        <w:t>the importance of  isolation  was  enunciated by Horst Ehmke, the SPD minister responsible for</w:t>
      </w:r>
      <w:r>
        <w:rPr>
          <w:color w:val="231F20"/>
          <w:spacing w:val="3"/>
        </w:rPr>
        <w:t xml:space="preserve"> </w:t>
      </w:r>
      <w:r>
        <w:rPr>
          <w:color w:val="231F20"/>
        </w:rPr>
        <w:t>coordinating</w:t>
      </w:r>
    </w:p>
    <w:p w14:paraId="5B4D2259" w14:textId="77777777" w:rsidR="002653E8" w:rsidRDefault="00000000">
      <w:pPr>
        <w:pStyle w:val="a3"/>
        <w:spacing w:before="6"/>
        <w:rPr>
          <w:sz w:val="14"/>
        </w:rPr>
      </w:pPr>
      <w:r>
        <w:rPr>
          <w:noProof w:val="0"/>
        </w:rPr>
        <w:pict w14:anchorId="28BB4EFB">
          <v:line id="_x0000_s2445" style="position:absolute;z-index:6016;mso-wrap-distance-left:0;mso-wrap-distance-right:0;mso-position-horizontal-relative:page" from="66.4pt,10.7pt" to="138.4pt,10.7pt" strokecolor="#231f20" strokeweight=".5pt">
            <w10:wrap type="topAndBottom" anchorx="page"/>
          </v:line>
        </w:pict>
      </w:r>
    </w:p>
    <w:p w14:paraId="392BA55F" w14:textId="77777777" w:rsidR="002653E8" w:rsidRDefault="003115E3">
      <w:pPr>
        <w:spacing w:before="53"/>
        <w:ind w:left="1327"/>
        <w:rPr>
          <w:i/>
          <w:sz w:val="16"/>
        </w:rPr>
      </w:pPr>
      <w:r>
        <w:rPr>
          <w:color w:val="231F20"/>
          <w:w w:val="110"/>
          <w:sz w:val="16"/>
        </w:rPr>
        <w:t xml:space="preserve">1 </w:t>
      </w:r>
      <w:r>
        <w:rPr>
          <w:i/>
          <w:color w:val="231F20"/>
          <w:w w:val="110"/>
          <w:sz w:val="16"/>
        </w:rPr>
        <w:t>Baader Meinhof: In Love With Terror.</w:t>
      </w:r>
    </w:p>
    <w:p w14:paraId="5A73FCB6" w14:textId="77777777" w:rsidR="002653E8" w:rsidRDefault="002653E8">
      <w:pPr>
        <w:rPr>
          <w:sz w:val="16"/>
        </w:rPr>
        <w:sectPr w:rsidR="002653E8">
          <w:footerReference w:type="even" r:id="rId198"/>
          <w:footerReference w:type="default" r:id="rId199"/>
          <w:pgSz w:w="8640" w:h="12960"/>
          <w:pgMar w:top="1220" w:right="0" w:bottom="1040" w:left="0" w:header="0" w:footer="850" w:gutter="0"/>
          <w:pgNumType w:start="237"/>
          <w:cols w:space="720"/>
        </w:sectPr>
      </w:pPr>
    </w:p>
    <w:p w14:paraId="2EB2ABBC" w14:textId="77777777" w:rsidR="002653E8" w:rsidRDefault="003115E3">
      <w:pPr>
        <w:pStyle w:val="a3"/>
        <w:spacing w:before="86" w:line="264" w:lineRule="auto"/>
        <w:ind w:left="1148" w:right="1325" w:hanging="1"/>
        <w:jc w:val="both"/>
        <w:rPr>
          <w:sz w:val="11"/>
        </w:rPr>
      </w:pPr>
      <w:r>
        <w:rPr>
          <w:color w:val="231F20"/>
        </w:rPr>
        <w:lastRenderedPageBreak/>
        <w:t xml:space="preserve">intelligence operations. </w:t>
      </w:r>
      <w:r>
        <w:rPr>
          <w:color w:val="231F20"/>
          <w:spacing w:val="-3"/>
        </w:rPr>
        <w:t xml:space="preserve">“We </w:t>
      </w:r>
      <w:r>
        <w:rPr>
          <w:color w:val="231F20"/>
        </w:rPr>
        <w:t xml:space="preserve">all… have an interest in completely breaking all solidarity [with the </w:t>
      </w:r>
      <w:r w:rsidR="00C507A5">
        <w:rPr>
          <w:color w:val="231F20"/>
          <w:spacing w:val="3"/>
        </w:rPr>
        <w:t>red army faction</w:t>
      </w:r>
      <w:r>
        <w:rPr>
          <w:color w:val="231F20"/>
          <w:spacing w:val="3"/>
        </w:rPr>
        <w:t xml:space="preserve">], </w:t>
      </w:r>
      <w:r>
        <w:rPr>
          <w:color w:val="231F20"/>
        </w:rPr>
        <w:t xml:space="preserve">to isolate them from all others with radical opinions in this country,” Ehmke told the </w:t>
      </w:r>
      <w:r>
        <w:rPr>
          <w:i/>
          <w:color w:val="231F20"/>
        </w:rPr>
        <w:t>Bundestag</w:t>
      </w:r>
      <w:r>
        <w:rPr>
          <w:color w:val="231F20"/>
        </w:rPr>
        <w:t>. “That is   the most important</w:t>
      </w:r>
      <w:r>
        <w:rPr>
          <w:color w:val="231F20"/>
          <w:spacing w:val="35"/>
        </w:rPr>
        <w:t xml:space="preserve"> </w:t>
      </w:r>
      <w:r>
        <w:rPr>
          <w:color w:val="231F20"/>
          <w:spacing w:val="-3"/>
        </w:rPr>
        <w:t>task.”</w:t>
      </w:r>
      <w:r>
        <w:rPr>
          <w:color w:val="231F20"/>
          <w:spacing w:val="-3"/>
          <w:position w:val="7"/>
          <w:sz w:val="11"/>
        </w:rPr>
        <w:t>1</w:t>
      </w:r>
    </w:p>
    <w:p w14:paraId="17730811" w14:textId="77777777" w:rsidR="002653E8" w:rsidRDefault="003115E3">
      <w:pPr>
        <w:pStyle w:val="a3"/>
        <w:spacing w:line="264" w:lineRule="auto"/>
        <w:ind w:left="1147" w:right="1326" w:firstLine="210"/>
        <w:jc w:val="both"/>
      </w:pPr>
      <w:r>
        <w:rPr>
          <w:color w:val="231F20"/>
        </w:rPr>
        <w:t>The prisoners were scattered around the country.</w:t>
      </w:r>
      <w:r>
        <w:rPr>
          <w:color w:val="231F20"/>
          <w:position w:val="7"/>
          <w:sz w:val="11"/>
        </w:rPr>
        <w:t xml:space="preserve">2 </w:t>
      </w:r>
      <w:r>
        <w:rPr>
          <w:color w:val="231F20"/>
        </w:rPr>
        <w:t>While they would all be targeted by the state, particular pains were taken to attack those who were considered the five ringleaders: Andreas Baader, Ulrike Meinhof, Gudrun Ensslin, Holger Meins, and Jan-Carl Raspe.</w:t>
      </w:r>
    </w:p>
    <w:p w14:paraId="33093391" w14:textId="77777777" w:rsidR="002653E8" w:rsidRDefault="003115E3">
      <w:pPr>
        <w:pStyle w:val="a3"/>
        <w:spacing w:line="264" w:lineRule="auto"/>
        <w:ind w:left="1147" w:right="1326" w:firstLine="210"/>
        <w:jc w:val="both"/>
      </w:pPr>
      <w:r>
        <w:rPr>
          <w:color w:val="231F20"/>
        </w:rPr>
        <w:t xml:space="preserve">Andreas Baader was held in total isolation from the day of his arrest on June 1, </w:t>
      </w:r>
      <w:r>
        <w:rPr>
          <w:color w:val="231F20"/>
          <w:spacing w:val="-3"/>
        </w:rPr>
        <w:t xml:space="preserve">1972, </w:t>
      </w:r>
      <w:r>
        <w:rPr>
          <w:color w:val="231F20"/>
        </w:rPr>
        <w:t xml:space="preserve">until November </w:t>
      </w:r>
      <w:r>
        <w:rPr>
          <w:color w:val="231F20"/>
          <w:spacing w:val="-4"/>
        </w:rPr>
        <w:t xml:space="preserve">11,  </w:t>
      </w:r>
      <w:r>
        <w:rPr>
          <w:color w:val="231F20"/>
          <w:spacing w:val="-6"/>
        </w:rPr>
        <w:t xml:space="preserve">1974.  </w:t>
      </w:r>
      <w:r>
        <w:rPr>
          <w:color w:val="231F20"/>
          <w:spacing w:val="1"/>
        </w:rPr>
        <w:t xml:space="preserve">In </w:t>
      </w:r>
      <w:r>
        <w:rPr>
          <w:color w:val="231F20"/>
        </w:rPr>
        <w:t>that entire time, he did  not see another</w:t>
      </w:r>
      <w:r>
        <w:rPr>
          <w:color w:val="231F20"/>
          <w:spacing w:val="30"/>
        </w:rPr>
        <w:t xml:space="preserve"> </w:t>
      </w:r>
      <w:r>
        <w:rPr>
          <w:color w:val="231F20"/>
        </w:rPr>
        <w:t>prisoner.</w:t>
      </w:r>
    </w:p>
    <w:p w14:paraId="030C0EC8" w14:textId="77777777" w:rsidR="002653E8" w:rsidRDefault="003115E3">
      <w:pPr>
        <w:pStyle w:val="a3"/>
        <w:spacing w:line="264" w:lineRule="auto"/>
        <w:ind w:left="1147" w:right="1325" w:firstLine="210"/>
        <w:jc w:val="both"/>
      </w:pPr>
      <w:r>
        <w:rPr>
          <w:color w:val="231F20"/>
        </w:rPr>
        <w:t xml:space="preserve">As of April </w:t>
      </w:r>
      <w:r>
        <w:rPr>
          <w:color w:val="231F20"/>
          <w:spacing w:val="-4"/>
        </w:rPr>
        <w:t xml:space="preserve">11, </w:t>
      </w:r>
      <w:r>
        <w:rPr>
          <w:color w:val="231F20"/>
          <w:spacing w:val="-5"/>
        </w:rPr>
        <w:t xml:space="preserve">1973, </w:t>
      </w:r>
      <w:r>
        <w:rPr>
          <w:color w:val="231F20"/>
        </w:rPr>
        <w:t xml:space="preserve">Holger Meins was held in Wittlich prison in solitary isolation, with the cells above, </w:t>
      </w:r>
      <w:r>
        <w:rPr>
          <w:color w:val="231F20"/>
          <w:spacing w:val="-3"/>
        </w:rPr>
        <w:t xml:space="preserve">below, </w:t>
      </w:r>
      <w:r>
        <w:rPr>
          <w:color w:val="231F20"/>
        </w:rPr>
        <w:t>to the left, and  to  the right of him kept empty. His cell was searched daily, he was denied all group activities, including church services,</w:t>
      </w:r>
      <w:r>
        <w:rPr>
          <w:color w:val="231F20"/>
          <w:position w:val="7"/>
          <w:sz w:val="11"/>
        </w:rPr>
        <w:t xml:space="preserve">3 </w:t>
      </w:r>
      <w:r>
        <w:rPr>
          <w:color w:val="231F20"/>
        </w:rPr>
        <w:t>and he was shackled whenever he left his</w:t>
      </w:r>
      <w:r>
        <w:rPr>
          <w:color w:val="231F20"/>
          <w:spacing w:val="42"/>
        </w:rPr>
        <w:t xml:space="preserve"> </w:t>
      </w:r>
      <w:r>
        <w:rPr>
          <w:color w:val="231F20"/>
        </w:rPr>
        <w:t>cell.</w:t>
      </w:r>
    </w:p>
    <w:p w14:paraId="009FBE9D" w14:textId="77777777" w:rsidR="002653E8" w:rsidRDefault="003115E3">
      <w:pPr>
        <w:pStyle w:val="a3"/>
        <w:spacing w:line="264" w:lineRule="auto"/>
        <w:ind w:left="1148" w:right="1326" w:firstLine="210"/>
        <w:jc w:val="both"/>
      </w:pPr>
      <w:r>
        <w:rPr>
          <w:color w:val="231F20"/>
        </w:rPr>
        <w:t xml:space="preserve">Ulrike Meinhof was put in the so-called </w:t>
      </w:r>
      <w:r>
        <w:rPr>
          <w:color w:val="231F20"/>
          <w:spacing w:val="-3"/>
        </w:rPr>
        <w:t xml:space="preserve">“dead </w:t>
      </w:r>
      <w:r>
        <w:rPr>
          <w:color w:val="231F20"/>
        </w:rPr>
        <w:t>wing” at CologneOssendorf prison,</w:t>
      </w:r>
      <w:r>
        <w:rPr>
          <w:color w:val="231F20"/>
          <w:position w:val="7"/>
          <w:sz w:val="11"/>
        </w:rPr>
        <w:t xml:space="preserve">4 </w:t>
      </w:r>
      <w:r>
        <w:rPr>
          <w:color w:val="231F20"/>
        </w:rPr>
        <w:t xml:space="preserve">where Astrid Proll had previously been held. </w:t>
      </w:r>
      <w:r>
        <w:rPr>
          <w:color w:val="231F20"/>
          <w:spacing w:val="1"/>
        </w:rPr>
        <w:t xml:space="preserve">In  </w:t>
      </w:r>
      <w:r>
        <w:rPr>
          <w:color w:val="231F20"/>
        </w:rPr>
        <w:t xml:space="preserve">order to ensure the women remained separate, Proll was transferred to the </w:t>
      </w:r>
      <w:r>
        <w:rPr>
          <w:color w:val="231F20"/>
          <w:spacing w:val="-4"/>
        </w:rPr>
        <w:t>men’s</w:t>
      </w:r>
      <w:r>
        <w:rPr>
          <w:color w:val="231F20"/>
          <w:spacing w:val="21"/>
        </w:rPr>
        <w:t xml:space="preserve"> </w:t>
      </w:r>
      <w:r>
        <w:rPr>
          <w:color w:val="231F20"/>
        </w:rPr>
        <w:t>wing.</w:t>
      </w:r>
    </w:p>
    <w:p w14:paraId="0B604A1C" w14:textId="77777777" w:rsidR="002653E8" w:rsidRDefault="003115E3">
      <w:pPr>
        <w:pStyle w:val="a3"/>
        <w:spacing w:line="264" w:lineRule="auto"/>
        <w:ind w:left="1148" w:right="1325" w:firstLine="210"/>
        <w:jc w:val="both"/>
      </w:pPr>
      <w:r>
        <w:rPr>
          <w:color w:val="231F20"/>
        </w:rPr>
        <w:t xml:space="preserve">The </w:t>
      </w:r>
      <w:r>
        <w:rPr>
          <w:color w:val="231F20"/>
          <w:spacing w:val="-3"/>
        </w:rPr>
        <w:t xml:space="preserve">“dead  </w:t>
      </w:r>
      <w:r>
        <w:rPr>
          <w:color w:val="231F20"/>
        </w:rPr>
        <w:t xml:space="preserve">wing” was intended not only to isolate, but also to induce  a breakdown through sensory deprivation torture. It consisted of a specially soundproofed cell painted bright white with a single grated window covered with fine mesh, so that even the sky could not be viewed </w:t>
      </w:r>
      <w:r>
        <w:rPr>
          <w:color w:val="231F20"/>
          <w:spacing w:val="-3"/>
        </w:rPr>
        <w:t xml:space="preserve">properly. </w:t>
      </w:r>
      <w:r>
        <w:rPr>
          <w:color w:val="231F20"/>
        </w:rPr>
        <w:t>The cell was lit twenty-four hours a day with a single bald neon light. It was forbidden for the prisoner to hang photographs, posters,</w:t>
      </w:r>
      <w:r>
        <w:rPr>
          <w:color w:val="231F20"/>
          <w:spacing w:val="12"/>
        </w:rPr>
        <w:t xml:space="preserve"> </w:t>
      </w:r>
      <w:r>
        <w:rPr>
          <w:color w:val="231F20"/>
        </w:rPr>
        <w:t>or</w:t>
      </w:r>
      <w:r>
        <w:rPr>
          <w:color w:val="231F20"/>
          <w:spacing w:val="12"/>
        </w:rPr>
        <w:t xml:space="preserve"> </w:t>
      </w:r>
      <w:r>
        <w:rPr>
          <w:color w:val="231F20"/>
        </w:rPr>
        <w:t>anything</w:t>
      </w:r>
      <w:r>
        <w:rPr>
          <w:color w:val="231F20"/>
          <w:spacing w:val="12"/>
        </w:rPr>
        <w:t xml:space="preserve"> </w:t>
      </w:r>
      <w:r>
        <w:rPr>
          <w:color w:val="231F20"/>
        </w:rPr>
        <w:t>else</w:t>
      </w:r>
      <w:r>
        <w:rPr>
          <w:color w:val="231F20"/>
          <w:spacing w:val="12"/>
        </w:rPr>
        <w:t xml:space="preserve"> </w:t>
      </w:r>
      <w:r>
        <w:rPr>
          <w:color w:val="231F20"/>
        </w:rPr>
        <w:t>on</w:t>
      </w:r>
      <w:r>
        <w:rPr>
          <w:color w:val="231F20"/>
          <w:spacing w:val="12"/>
        </w:rPr>
        <w:t xml:space="preserve"> </w:t>
      </w:r>
      <w:r>
        <w:rPr>
          <w:color w:val="231F20"/>
        </w:rPr>
        <w:t>the</w:t>
      </w:r>
      <w:r>
        <w:rPr>
          <w:color w:val="231F20"/>
          <w:spacing w:val="12"/>
        </w:rPr>
        <w:t xml:space="preserve"> </w:t>
      </w:r>
      <w:r>
        <w:rPr>
          <w:color w:val="231F20"/>
        </w:rPr>
        <w:t>walls.</w:t>
      </w:r>
      <w:r>
        <w:rPr>
          <w:color w:val="231F20"/>
          <w:spacing w:val="12"/>
        </w:rPr>
        <w:t xml:space="preserve"> </w:t>
      </w:r>
      <w:r>
        <w:rPr>
          <w:color w:val="231F20"/>
          <w:spacing w:val="1"/>
        </w:rPr>
        <w:t>All</w:t>
      </w:r>
      <w:r>
        <w:rPr>
          <w:color w:val="231F20"/>
          <w:spacing w:val="12"/>
        </w:rPr>
        <w:t xml:space="preserve"> </w:t>
      </w:r>
      <w:r>
        <w:rPr>
          <w:color w:val="231F20"/>
        </w:rPr>
        <w:t>other</w:t>
      </w:r>
      <w:r>
        <w:rPr>
          <w:color w:val="231F20"/>
          <w:spacing w:val="12"/>
        </w:rPr>
        <w:t xml:space="preserve"> </w:t>
      </w:r>
      <w:r>
        <w:rPr>
          <w:color w:val="231F20"/>
        </w:rPr>
        <w:t>cells</w:t>
      </w:r>
      <w:r>
        <w:rPr>
          <w:color w:val="231F20"/>
          <w:spacing w:val="12"/>
        </w:rPr>
        <w:t xml:space="preserve"> </w:t>
      </w:r>
      <w:r>
        <w:rPr>
          <w:color w:val="231F20"/>
        </w:rPr>
        <w:t>in</w:t>
      </w:r>
      <w:r>
        <w:rPr>
          <w:color w:val="231F20"/>
          <w:spacing w:val="12"/>
        </w:rPr>
        <w:t xml:space="preserve"> </w:t>
      </w:r>
      <w:r>
        <w:rPr>
          <w:color w:val="231F20"/>
        </w:rPr>
        <w:t>the</w:t>
      </w:r>
      <w:r>
        <w:rPr>
          <w:color w:val="231F20"/>
          <w:spacing w:val="12"/>
        </w:rPr>
        <w:t xml:space="preserve"> </w:t>
      </w:r>
      <w:r>
        <w:rPr>
          <w:color w:val="231F20"/>
        </w:rPr>
        <w:t>wing</w:t>
      </w:r>
      <w:r>
        <w:rPr>
          <w:color w:val="231F20"/>
          <w:spacing w:val="12"/>
        </w:rPr>
        <w:t xml:space="preserve"> </w:t>
      </w:r>
      <w:r>
        <w:rPr>
          <w:color w:val="231F20"/>
        </w:rPr>
        <w:t>were</w:t>
      </w:r>
      <w:r>
        <w:rPr>
          <w:color w:val="231F20"/>
          <w:spacing w:val="12"/>
        </w:rPr>
        <w:t xml:space="preserve"> </w:t>
      </w:r>
      <w:r>
        <w:rPr>
          <w:color w:val="231F20"/>
        </w:rPr>
        <w:t>kept</w:t>
      </w:r>
    </w:p>
    <w:p w14:paraId="0807B9B5" w14:textId="77777777" w:rsidR="002653E8" w:rsidRDefault="00000000">
      <w:pPr>
        <w:pStyle w:val="a3"/>
        <w:spacing w:before="11"/>
        <w:rPr>
          <w:sz w:val="22"/>
        </w:rPr>
      </w:pPr>
      <w:r>
        <w:rPr>
          <w:noProof w:val="0"/>
        </w:rPr>
        <w:pict w14:anchorId="34D1B891">
          <v:line id="_x0000_s2444" style="position:absolute;z-index:6040;mso-wrap-distance-left:0;mso-wrap-distance-right:0;mso-position-horizontal-relative:page" from="57.4pt,15.65pt" to="129.4pt,15.65pt" strokecolor="#231f20" strokeweight=".5pt">
            <w10:wrap type="topAndBottom" anchorx="page"/>
          </v:line>
        </w:pict>
      </w:r>
    </w:p>
    <w:p w14:paraId="2B6C1B8B" w14:textId="77777777" w:rsidR="002653E8" w:rsidRDefault="003115E3">
      <w:pPr>
        <w:pStyle w:val="a4"/>
        <w:numPr>
          <w:ilvl w:val="0"/>
          <w:numId w:val="123"/>
        </w:numPr>
        <w:tabs>
          <w:tab w:val="left" w:pos="1287"/>
        </w:tabs>
        <w:spacing w:before="53" w:line="254" w:lineRule="auto"/>
        <w:ind w:right="1817" w:firstLine="0"/>
        <w:jc w:val="left"/>
        <w:rPr>
          <w:sz w:val="16"/>
        </w:rPr>
      </w:pPr>
      <w:r>
        <w:rPr>
          <w:color w:val="231F20"/>
          <w:w w:val="105"/>
          <w:sz w:val="16"/>
        </w:rPr>
        <w:t xml:space="preserve">Statement to Bundestag, June </w:t>
      </w:r>
      <w:r>
        <w:rPr>
          <w:color w:val="231F20"/>
          <w:spacing w:val="-6"/>
          <w:w w:val="105"/>
          <w:sz w:val="16"/>
        </w:rPr>
        <w:t xml:space="preserve">7, </w:t>
      </w:r>
      <w:r>
        <w:rPr>
          <w:color w:val="231F20"/>
          <w:w w:val="105"/>
          <w:sz w:val="16"/>
        </w:rPr>
        <w:t xml:space="preserve">1972, quoted in </w:t>
      </w:r>
      <w:r>
        <w:rPr>
          <w:i/>
          <w:color w:val="231F20"/>
          <w:w w:val="105"/>
          <w:sz w:val="16"/>
        </w:rPr>
        <w:t xml:space="preserve">Texte des prisonniers de </w:t>
      </w:r>
      <w:r>
        <w:rPr>
          <w:i/>
          <w:color w:val="231F20"/>
          <w:spacing w:val="1"/>
          <w:w w:val="105"/>
          <w:sz w:val="16"/>
        </w:rPr>
        <w:t xml:space="preserve">la </w:t>
      </w:r>
      <w:r>
        <w:rPr>
          <w:i/>
          <w:color w:val="231F20"/>
          <w:w w:val="105"/>
          <w:sz w:val="16"/>
        </w:rPr>
        <w:t xml:space="preserve">“fraction </w:t>
      </w:r>
      <w:r>
        <w:rPr>
          <w:i/>
          <w:color w:val="231F20"/>
          <w:spacing w:val="1"/>
          <w:w w:val="105"/>
          <w:sz w:val="16"/>
        </w:rPr>
        <w:t xml:space="preserve">armée </w:t>
      </w:r>
      <w:r>
        <w:rPr>
          <w:i/>
          <w:color w:val="231F20"/>
          <w:w w:val="105"/>
          <w:sz w:val="16"/>
        </w:rPr>
        <w:t xml:space="preserve">rouge” et </w:t>
      </w:r>
      <w:r>
        <w:rPr>
          <w:i/>
          <w:color w:val="231F20"/>
          <w:spacing w:val="1"/>
          <w:w w:val="105"/>
          <w:sz w:val="16"/>
        </w:rPr>
        <w:t xml:space="preserve">dernières </w:t>
      </w:r>
      <w:r>
        <w:rPr>
          <w:i/>
          <w:color w:val="231F20"/>
          <w:w w:val="105"/>
          <w:sz w:val="16"/>
        </w:rPr>
        <w:t xml:space="preserve">lettres d’Ulrike Meinhof, </w:t>
      </w:r>
      <w:r>
        <w:rPr>
          <w:color w:val="231F20"/>
          <w:w w:val="105"/>
          <w:sz w:val="16"/>
        </w:rPr>
        <w:t xml:space="preserve">Draft Version, Cahiers Libres </w:t>
      </w:r>
      <w:r>
        <w:rPr>
          <w:color w:val="231F20"/>
          <w:spacing w:val="-5"/>
          <w:w w:val="105"/>
          <w:sz w:val="16"/>
        </w:rPr>
        <w:t xml:space="preserve">337 </w:t>
      </w:r>
      <w:r>
        <w:rPr>
          <w:color w:val="231F20"/>
          <w:w w:val="105"/>
          <w:sz w:val="16"/>
        </w:rPr>
        <w:t>(Paris: François</w:t>
      </w:r>
      <w:r>
        <w:rPr>
          <w:color w:val="231F20"/>
          <w:spacing w:val="15"/>
          <w:w w:val="105"/>
          <w:sz w:val="16"/>
        </w:rPr>
        <w:t xml:space="preserve"> </w:t>
      </w:r>
      <w:r>
        <w:rPr>
          <w:color w:val="231F20"/>
          <w:w w:val="105"/>
          <w:sz w:val="16"/>
        </w:rPr>
        <w:t>Maspero).</w:t>
      </w:r>
    </w:p>
    <w:p w14:paraId="6D6977C5" w14:textId="77777777" w:rsidR="002653E8" w:rsidRDefault="003115E3">
      <w:pPr>
        <w:pStyle w:val="a4"/>
        <w:numPr>
          <w:ilvl w:val="0"/>
          <w:numId w:val="123"/>
        </w:numPr>
        <w:tabs>
          <w:tab w:val="left" w:pos="1287"/>
        </w:tabs>
        <w:spacing w:line="254" w:lineRule="auto"/>
        <w:ind w:right="1402" w:firstLine="0"/>
        <w:jc w:val="left"/>
        <w:rPr>
          <w:sz w:val="16"/>
        </w:rPr>
      </w:pPr>
      <w:r w:rsidRPr="00C507A5">
        <w:rPr>
          <w:color w:val="231F20"/>
          <w:w w:val="105"/>
          <w:sz w:val="16"/>
          <w:lang w:val="de-DE"/>
        </w:rPr>
        <w:t xml:space="preserve">For instance, Andreas Baader was in Schwalmstadt (Düsseldorf), </w:t>
      </w:r>
      <w:r w:rsidRPr="00C507A5">
        <w:rPr>
          <w:color w:val="231F20"/>
          <w:spacing w:val="1"/>
          <w:w w:val="105"/>
          <w:sz w:val="16"/>
          <w:lang w:val="de-DE"/>
        </w:rPr>
        <w:t xml:space="preserve">Gudrun </w:t>
      </w:r>
      <w:r w:rsidRPr="00C507A5">
        <w:rPr>
          <w:color w:val="231F20"/>
          <w:w w:val="105"/>
          <w:sz w:val="16"/>
          <w:lang w:val="de-DE"/>
        </w:rPr>
        <w:t xml:space="preserve">Ensslin in Essen, Holger Meins in Wittlich (Cologne), Irmgard Möller in Rastatt (Baden), Gerhard Müller in Hamburg, Jan-Carl Raspe in  Cologne,  and  Horst  Mahler  in Moabit (West Berlin). </w:t>
      </w:r>
      <w:r>
        <w:rPr>
          <w:color w:val="231F20"/>
          <w:w w:val="105"/>
          <w:sz w:val="16"/>
        </w:rPr>
        <w:t>(Aust,</w:t>
      </w:r>
      <w:r>
        <w:rPr>
          <w:color w:val="231F20"/>
          <w:spacing w:val="35"/>
          <w:w w:val="105"/>
          <w:sz w:val="16"/>
        </w:rPr>
        <w:t xml:space="preserve"> </w:t>
      </w:r>
      <w:r>
        <w:rPr>
          <w:color w:val="231F20"/>
          <w:spacing w:val="-4"/>
          <w:w w:val="105"/>
          <w:sz w:val="16"/>
        </w:rPr>
        <w:t>231.)</w:t>
      </w:r>
    </w:p>
    <w:p w14:paraId="0224AF8A" w14:textId="77777777" w:rsidR="002653E8" w:rsidRDefault="00C507A5">
      <w:pPr>
        <w:pStyle w:val="a4"/>
        <w:numPr>
          <w:ilvl w:val="0"/>
          <w:numId w:val="123"/>
        </w:numPr>
        <w:tabs>
          <w:tab w:val="left" w:pos="1287"/>
        </w:tabs>
        <w:spacing w:line="254" w:lineRule="auto"/>
        <w:ind w:right="1531" w:firstLine="0"/>
        <w:jc w:val="left"/>
        <w:rPr>
          <w:sz w:val="16"/>
        </w:rPr>
      </w:pPr>
      <w:r>
        <w:rPr>
          <w:color w:val="231F20"/>
          <w:spacing w:val="3"/>
          <w:w w:val="105"/>
          <w:sz w:val="16"/>
        </w:rPr>
        <w:t>red army faction</w:t>
      </w:r>
      <w:r w:rsidR="003115E3">
        <w:rPr>
          <w:color w:val="231F20"/>
          <w:spacing w:val="3"/>
          <w:w w:val="105"/>
          <w:sz w:val="16"/>
        </w:rPr>
        <w:t xml:space="preserve"> </w:t>
      </w:r>
      <w:r w:rsidR="003115E3">
        <w:rPr>
          <w:color w:val="231F20"/>
          <w:w w:val="105"/>
          <w:sz w:val="16"/>
        </w:rPr>
        <w:t>members’ desire to attend church services was not due to any religiosity, although in their youth Meinhof, Ensslin, and Meins had all been quite devout. Rather, these services provided one of the only places where they could meet with and be amongst other</w:t>
      </w:r>
      <w:r w:rsidR="003115E3">
        <w:rPr>
          <w:color w:val="231F20"/>
          <w:spacing w:val="31"/>
          <w:w w:val="105"/>
          <w:sz w:val="16"/>
        </w:rPr>
        <w:t xml:space="preserve"> </w:t>
      </w:r>
      <w:r w:rsidR="003115E3">
        <w:rPr>
          <w:color w:val="231F20"/>
          <w:w w:val="105"/>
          <w:sz w:val="16"/>
        </w:rPr>
        <w:t>prisoners.</w:t>
      </w:r>
    </w:p>
    <w:p w14:paraId="546EF50F" w14:textId="77777777" w:rsidR="002653E8" w:rsidRDefault="003115E3">
      <w:pPr>
        <w:pStyle w:val="a4"/>
        <w:numPr>
          <w:ilvl w:val="0"/>
          <w:numId w:val="123"/>
        </w:numPr>
        <w:tabs>
          <w:tab w:val="left" w:pos="1287"/>
        </w:tabs>
        <w:spacing w:before="42" w:line="254" w:lineRule="auto"/>
        <w:ind w:right="1439" w:firstLine="0"/>
        <w:jc w:val="left"/>
        <w:rPr>
          <w:sz w:val="16"/>
        </w:rPr>
      </w:pPr>
      <w:r>
        <w:rPr>
          <w:color w:val="231F20"/>
          <w:w w:val="105"/>
          <w:sz w:val="16"/>
        </w:rPr>
        <w:t>The formulation used in Germany is to put the city  name  first,  and  then  the name of the prison. So Cologne-Ossendorf refers to Ossendorf prison in the city of Cologne.</w:t>
      </w:r>
    </w:p>
    <w:p w14:paraId="3FBC1592" w14:textId="77777777" w:rsidR="002653E8" w:rsidRDefault="002653E8">
      <w:pPr>
        <w:spacing w:line="254" w:lineRule="auto"/>
        <w:rPr>
          <w:sz w:val="16"/>
        </w:rPr>
        <w:sectPr w:rsidR="002653E8">
          <w:pgSz w:w="8640" w:h="12960"/>
          <w:pgMar w:top="1060" w:right="0" w:bottom="1040" w:left="0" w:header="0" w:footer="850" w:gutter="0"/>
          <w:cols w:space="720"/>
        </w:sectPr>
      </w:pPr>
    </w:p>
    <w:p w14:paraId="2D9459B5" w14:textId="77777777" w:rsidR="002653E8" w:rsidRDefault="003115E3">
      <w:pPr>
        <w:pStyle w:val="a3"/>
        <w:spacing w:before="86" w:line="264" w:lineRule="auto"/>
        <w:ind w:left="1327" w:right="1146"/>
        <w:jc w:val="both"/>
      </w:pPr>
      <w:r>
        <w:rPr>
          <w:color w:val="231F20"/>
        </w:rPr>
        <w:lastRenderedPageBreak/>
        <w:t>vacant, and when other prisoners were moved through the prison—for instance, to the exercise yard—they were obliged to take a circuitous route so that even their voices could not be heard. The only minimal contact with another human being was when food was delivered; other than that, the prisoner spent twenty-four hours a day in a world with  no</w:t>
      </w:r>
      <w:r>
        <w:rPr>
          <w:color w:val="231F20"/>
          <w:spacing w:val="10"/>
        </w:rPr>
        <w:t xml:space="preserve"> </w:t>
      </w:r>
      <w:r>
        <w:rPr>
          <w:color w:val="231F20"/>
        </w:rPr>
        <w:t>variation.</w:t>
      </w:r>
    </w:p>
    <w:p w14:paraId="2F423C29" w14:textId="77777777" w:rsidR="002653E8" w:rsidRDefault="003115E3">
      <w:pPr>
        <w:pStyle w:val="a3"/>
        <w:spacing w:line="264" w:lineRule="auto"/>
        <w:ind w:left="1327" w:right="1146" w:firstLine="210"/>
        <w:jc w:val="both"/>
        <w:rPr>
          <w:sz w:val="11"/>
        </w:rPr>
      </w:pPr>
      <w:r>
        <w:rPr>
          <w:color w:val="231F20"/>
        </w:rPr>
        <w:t xml:space="preserve">The use of sensory deprivation had been studied by doctors in Canada and the United States since the late </w:t>
      </w:r>
      <w:r>
        <w:rPr>
          <w:color w:val="231F20"/>
          <w:spacing w:val="-4"/>
        </w:rPr>
        <w:t xml:space="preserve">1950s, </w:t>
      </w:r>
      <w:r>
        <w:rPr>
          <w:color w:val="231F20"/>
        </w:rPr>
        <w:t xml:space="preserve">the line of research being taken up in the FRG by </w:t>
      </w:r>
      <w:r>
        <w:rPr>
          <w:color w:val="231F20"/>
          <w:spacing w:val="-3"/>
        </w:rPr>
        <w:t xml:space="preserve">Dr. </w:t>
      </w:r>
      <w:r>
        <w:rPr>
          <w:color w:val="231F20"/>
        </w:rPr>
        <w:t>Jan Gross of Hamburg’s Eppendorf University Hospital. Studies carried out by Gross found that sensory deprivation consistently caused feelings of unease ranging from fear     to panic attacks, which could progress to an inability to concentrate, problems of perception (including hallucinations), vegetative disorders including feelings of intense hunger, chest pains, disequilibrium, trouble sleeping, trembling, and even convulsions.</w:t>
      </w:r>
      <w:r>
        <w:rPr>
          <w:color w:val="231F20"/>
          <w:position w:val="7"/>
          <w:sz w:val="11"/>
        </w:rPr>
        <w:t>5</w:t>
      </w:r>
    </w:p>
    <w:p w14:paraId="1B0ACEB5" w14:textId="77777777" w:rsidR="002653E8" w:rsidRDefault="003115E3">
      <w:pPr>
        <w:pStyle w:val="a3"/>
        <w:spacing w:line="264" w:lineRule="auto"/>
        <w:ind w:left="1327" w:right="1146" w:firstLine="210"/>
        <w:jc w:val="both"/>
        <w:rPr>
          <w:sz w:val="11"/>
        </w:rPr>
      </w:pPr>
      <w:r>
        <w:rPr>
          <w:color w:val="231F20"/>
        </w:rPr>
        <w:t>(It is worth noting that just as research into isolation was not limited to the FRG, many prisoners in the United States today are also subjected to various forms of isolation clearly intended as a form of torture.)</w:t>
      </w:r>
      <w:r>
        <w:rPr>
          <w:color w:val="231F20"/>
          <w:position w:val="7"/>
          <w:sz w:val="11"/>
        </w:rPr>
        <w:t>6</w:t>
      </w:r>
    </w:p>
    <w:p w14:paraId="08A8B91E" w14:textId="77777777" w:rsidR="002653E8" w:rsidRDefault="003115E3">
      <w:pPr>
        <w:pStyle w:val="a3"/>
        <w:spacing w:line="264" w:lineRule="auto"/>
        <w:ind w:left="1327" w:right="1145" w:firstLine="210"/>
        <w:jc w:val="both"/>
      </w:pPr>
      <w:r>
        <w:rPr>
          <w:color w:val="231F20"/>
        </w:rPr>
        <w:t>Astrid Proll had been held in the dead wing for two periods, from November 1971 to January 1972 and from April 1972 to June 1972. She would later describe this experience:</w:t>
      </w:r>
    </w:p>
    <w:p w14:paraId="4BD272B0" w14:textId="77777777" w:rsidR="002653E8" w:rsidRDefault="00000000">
      <w:pPr>
        <w:spacing w:before="106" w:line="276" w:lineRule="auto"/>
        <w:ind w:left="1747" w:right="1559"/>
        <w:jc w:val="both"/>
        <w:rPr>
          <w:i/>
          <w:sz w:val="11"/>
        </w:rPr>
      </w:pPr>
      <w:r>
        <w:rPr>
          <w:noProof w:val="0"/>
        </w:rPr>
        <w:pict w14:anchorId="6CA27428">
          <v:line id="_x0000_s2443" style="position:absolute;left:0;text-align:left;z-index:6064;mso-wrap-distance-left:0;mso-wrap-distance-right:0;mso-position-horizontal-relative:page" from="66.4pt,114.95pt" to="138.4pt,114.95pt" strokecolor="#231f20" strokeweight=".5pt">
            <w10:wrap type="topAndBottom" anchorx="page"/>
          </v:line>
        </w:pict>
      </w:r>
      <w:r w:rsidR="003115E3">
        <w:rPr>
          <w:i/>
          <w:color w:val="231F20"/>
          <w:w w:val="105"/>
          <w:sz w:val="19"/>
        </w:rPr>
        <w:t>…I was taken to an empty wing, a dead wing, where I was the only</w:t>
      </w:r>
      <w:r w:rsidR="003115E3">
        <w:rPr>
          <w:i/>
          <w:color w:val="231F20"/>
          <w:spacing w:val="-3"/>
          <w:w w:val="105"/>
          <w:sz w:val="19"/>
        </w:rPr>
        <w:t xml:space="preserve"> prisoner.</w:t>
      </w:r>
      <w:r w:rsidR="003115E3">
        <w:rPr>
          <w:i/>
          <w:color w:val="231F20"/>
          <w:spacing w:val="-10"/>
          <w:w w:val="105"/>
          <w:sz w:val="19"/>
        </w:rPr>
        <w:t xml:space="preserve"> </w:t>
      </w:r>
      <w:r w:rsidR="003115E3">
        <w:rPr>
          <w:i/>
          <w:color w:val="231F20"/>
          <w:w w:val="105"/>
          <w:sz w:val="19"/>
        </w:rPr>
        <w:t>Ulrike</w:t>
      </w:r>
      <w:r w:rsidR="003115E3">
        <w:rPr>
          <w:i/>
          <w:color w:val="231F20"/>
          <w:spacing w:val="-3"/>
          <w:w w:val="105"/>
          <w:sz w:val="19"/>
        </w:rPr>
        <w:t xml:space="preserve"> </w:t>
      </w:r>
      <w:r w:rsidR="003115E3">
        <w:rPr>
          <w:i/>
          <w:color w:val="231F20"/>
          <w:w w:val="105"/>
          <w:sz w:val="19"/>
        </w:rPr>
        <w:t>Meinhof</w:t>
      </w:r>
      <w:r w:rsidR="003115E3">
        <w:rPr>
          <w:i/>
          <w:color w:val="231F20"/>
          <w:spacing w:val="-3"/>
          <w:w w:val="105"/>
          <w:sz w:val="19"/>
        </w:rPr>
        <w:t xml:space="preserve"> </w:t>
      </w:r>
      <w:r w:rsidR="003115E3">
        <w:rPr>
          <w:i/>
          <w:color w:val="231F20"/>
          <w:w w:val="105"/>
          <w:sz w:val="19"/>
        </w:rPr>
        <w:t>later</w:t>
      </w:r>
      <w:r w:rsidR="003115E3">
        <w:rPr>
          <w:i/>
          <w:color w:val="231F20"/>
          <w:spacing w:val="-3"/>
          <w:w w:val="105"/>
          <w:sz w:val="19"/>
        </w:rPr>
        <w:t xml:space="preserve"> </w:t>
      </w:r>
      <w:r w:rsidR="003115E3">
        <w:rPr>
          <w:i/>
          <w:color w:val="231F20"/>
          <w:w w:val="105"/>
          <w:sz w:val="19"/>
        </w:rPr>
        <w:t>called</w:t>
      </w:r>
      <w:r w:rsidR="003115E3">
        <w:rPr>
          <w:i/>
          <w:color w:val="231F20"/>
          <w:spacing w:val="-3"/>
          <w:w w:val="105"/>
          <w:sz w:val="19"/>
        </w:rPr>
        <w:t xml:space="preserve"> </w:t>
      </w:r>
      <w:r w:rsidR="003115E3">
        <w:rPr>
          <w:i/>
          <w:color w:val="231F20"/>
          <w:w w:val="105"/>
          <w:sz w:val="19"/>
        </w:rPr>
        <w:t>it</w:t>
      </w:r>
      <w:r w:rsidR="003115E3">
        <w:rPr>
          <w:i/>
          <w:color w:val="231F20"/>
          <w:spacing w:val="-3"/>
          <w:w w:val="105"/>
          <w:sz w:val="19"/>
        </w:rPr>
        <w:t xml:space="preserve"> </w:t>
      </w:r>
      <w:r w:rsidR="003115E3">
        <w:rPr>
          <w:i/>
          <w:color w:val="231F20"/>
          <w:w w:val="105"/>
          <w:sz w:val="19"/>
        </w:rPr>
        <w:t>the</w:t>
      </w:r>
      <w:r w:rsidR="003115E3">
        <w:rPr>
          <w:i/>
          <w:color w:val="231F20"/>
          <w:spacing w:val="-10"/>
          <w:w w:val="105"/>
          <w:sz w:val="19"/>
        </w:rPr>
        <w:t xml:space="preserve"> </w:t>
      </w:r>
      <w:r w:rsidR="003115E3">
        <w:rPr>
          <w:i/>
          <w:color w:val="231F20"/>
          <w:w w:val="105"/>
          <w:sz w:val="19"/>
        </w:rPr>
        <w:t>“Silent</w:t>
      </w:r>
      <w:r w:rsidR="003115E3">
        <w:rPr>
          <w:i/>
          <w:color w:val="231F20"/>
          <w:spacing w:val="-10"/>
          <w:w w:val="105"/>
          <w:sz w:val="19"/>
        </w:rPr>
        <w:t xml:space="preserve"> </w:t>
      </w:r>
      <w:r w:rsidR="003115E3">
        <w:rPr>
          <w:i/>
          <w:color w:val="231F20"/>
          <w:w w:val="105"/>
          <w:sz w:val="19"/>
        </w:rPr>
        <w:t>Wing”.</w:t>
      </w:r>
      <w:r w:rsidR="003115E3">
        <w:rPr>
          <w:i/>
          <w:color w:val="231F20"/>
          <w:spacing w:val="-18"/>
          <w:w w:val="105"/>
          <w:sz w:val="19"/>
        </w:rPr>
        <w:t xml:space="preserve"> </w:t>
      </w:r>
      <w:r w:rsidR="003115E3">
        <w:rPr>
          <w:i/>
          <w:color w:val="231F20"/>
          <w:w w:val="105"/>
          <w:sz w:val="19"/>
        </w:rPr>
        <w:t>The shocking experience was that I could not hear any noises apart from the ones that I generated myself. Nothing. Absolute silence. I went through states of excitement, I was haunted by visual  and acoustic hallucinations. There were extreme disturbances of concentration and attacks of weakness. I had no idea how long this</w:t>
      </w:r>
      <w:r w:rsidR="003115E3">
        <w:rPr>
          <w:i/>
          <w:color w:val="231F20"/>
          <w:spacing w:val="5"/>
          <w:w w:val="105"/>
          <w:sz w:val="19"/>
        </w:rPr>
        <w:t xml:space="preserve"> </w:t>
      </w:r>
      <w:r w:rsidR="003115E3">
        <w:rPr>
          <w:i/>
          <w:color w:val="231F20"/>
          <w:w w:val="105"/>
          <w:sz w:val="19"/>
        </w:rPr>
        <w:t>would</w:t>
      </w:r>
      <w:r w:rsidR="003115E3">
        <w:rPr>
          <w:i/>
          <w:color w:val="231F20"/>
          <w:spacing w:val="5"/>
          <w:w w:val="105"/>
          <w:sz w:val="19"/>
        </w:rPr>
        <w:t xml:space="preserve"> </w:t>
      </w:r>
      <w:r w:rsidR="003115E3">
        <w:rPr>
          <w:i/>
          <w:color w:val="231F20"/>
          <w:w w:val="105"/>
          <w:sz w:val="19"/>
        </w:rPr>
        <w:t>go</w:t>
      </w:r>
      <w:r w:rsidR="003115E3">
        <w:rPr>
          <w:i/>
          <w:color w:val="231F20"/>
          <w:spacing w:val="5"/>
          <w:w w:val="105"/>
          <w:sz w:val="19"/>
        </w:rPr>
        <w:t xml:space="preserve"> </w:t>
      </w:r>
      <w:r w:rsidR="003115E3">
        <w:rPr>
          <w:i/>
          <w:color w:val="231F20"/>
          <w:w w:val="105"/>
          <w:sz w:val="19"/>
        </w:rPr>
        <w:t>on</w:t>
      </w:r>
      <w:r w:rsidR="003115E3">
        <w:rPr>
          <w:i/>
          <w:color w:val="231F20"/>
          <w:spacing w:val="5"/>
          <w:w w:val="105"/>
          <w:sz w:val="19"/>
        </w:rPr>
        <w:t xml:space="preserve"> </w:t>
      </w:r>
      <w:r w:rsidR="003115E3">
        <w:rPr>
          <w:i/>
          <w:color w:val="231F20"/>
          <w:spacing w:val="-6"/>
          <w:w w:val="105"/>
          <w:sz w:val="19"/>
        </w:rPr>
        <w:t>for.</w:t>
      </w:r>
      <w:r w:rsidR="003115E3">
        <w:rPr>
          <w:i/>
          <w:color w:val="231F20"/>
          <w:spacing w:val="-1"/>
          <w:w w:val="105"/>
          <w:sz w:val="19"/>
        </w:rPr>
        <w:t xml:space="preserve"> </w:t>
      </w:r>
      <w:r w:rsidR="003115E3">
        <w:rPr>
          <w:i/>
          <w:color w:val="231F20"/>
          <w:w w:val="105"/>
          <w:sz w:val="19"/>
        </w:rPr>
        <w:t>I</w:t>
      </w:r>
      <w:r w:rsidR="003115E3">
        <w:rPr>
          <w:i/>
          <w:color w:val="231F20"/>
          <w:spacing w:val="5"/>
          <w:w w:val="105"/>
          <w:sz w:val="19"/>
        </w:rPr>
        <w:t xml:space="preserve"> </w:t>
      </w:r>
      <w:r w:rsidR="003115E3">
        <w:rPr>
          <w:i/>
          <w:color w:val="231F20"/>
          <w:w w:val="105"/>
          <w:sz w:val="19"/>
        </w:rPr>
        <w:t>was</w:t>
      </w:r>
      <w:r w:rsidR="003115E3">
        <w:rPr>
          <w:i/>
          <w:color w:val="231F20"/>
          <w:spacing w:val="5"/>
          <w:w w:val="105"/>
          <w:sz w:val="19"/>
        </w:rPr>
        <w:t xml:space="preserve"> </w:t>
      </w:r>
      <w:r w:rsidR="003115E3">
        <w:rPr>
          <w:i/>
          <w:color w:val="231F20"/>
          <w:w w:val="105"/>
          <w:sz w:val="19"/>
        </w:rPr>
        <w:t>terrified</w:t>
      </w:r>
      <w:r w:rsidR="003115E3">
        <w:rPr>
          <w:i/>
          <w:color w:val="231F20"/>
          <w:spacing w:val="5"/>
          <w:w w:val="105"/>
          <w:sz w:val="19"/>
        </w:rPr>
        <w:t xml:space="preserve"> </w:t>
      </w:r>
      <w:r w:rsidR="003115E3">
        <w:rPr>
          <w:i/>
          <w:color w:val="231F20"/>
          <w:w w:val="105"/>
          <w:sz w:val="19"/>
        </w:rPr>
        <w:t>that</w:t>
      </w:r>
      <w:r w:rsidR="003115E3">
        <w:rPr>
          <w:i/>
          <w:color w:val="231F20"/>
          <w:spacing w:val="5"/>
          <w:w w:val="105"/>
          <w:sz w:val="19"/>
        </w:rPr>
        <w:t xml:space="preserve"> </w:t>
      </w:r>
      <w:r w:rsidR="003115E3">
        <w:rPr>
          <w:i/>
          <w:color w:val="231F20"/>
          <w:w w:val="105"/>
          <w:sz w:val="19"/>
        </w:rPr>
        <w:t>I</w:t>
      </w:r>
      <w:r w:rsidR="003115E3">
        <w:rPr>
          <w:i/>
          <w:color w:val="231F20"/>
          <w:spacing w:val="5"/>
          <w:w w:val="105"/>
          <w:sz w:val="19"/>
        </w:rPr>
        <w:t xml:space="preserve"> </w:t>
      </w:r>
      <w:r w:rsidR="003115E3">
        <w:rPr>
          <w:i/>
          <w:color w:val="231F20"/>
          <w:w w:val="105"/>
          <w:sz w:val="19"/>
        </w:rPr>
        <w:t>would</w:t>
      </w:r>
      <w:r w:rsidR="003115E3">
        <w:rPr>
          <w:i/>
          <w:color w:val="231F20"/>
          <w:spacing w:val="5"/>
          <w:w w:val="105"/>
          <w:sz w:val="19"/>
        </w:rPr>
        <w:t xml:space="preserve"> </w:t>
      </w:r>
      <w:r w:rsidR="003115E3">
        <w:rPr>
          <w:i/>
          <w:color w:val="231F20"/>
          <w:w w:val="105"/>
          <w:sz w:val="19"/>
        </w:rPr>
        <w:t>go</w:t>
      </w:r>
      <w:r w:rsidR="003115E3">
        <w:rPr>
          <w:i/>
          <w:color w:val="231F20"/>
          <w:spacing w:val="5"/>
          <w:w w:val="105"/>
          <w:sz w:val="19"/>
        </w:rPr>
        <w:t xml:space="preserve"> </w:t>
      </w:r>
      <w:r w:rsidR="003115E3">
        <w:rPr>
          <w:i/>
          <w:color w:val="231F20"/>
          <w:w w:val="105"/>
          <w:sz w:val="19"/>
        </w:rPr>
        <w:t>mad.</w:t>
      </w:r>
      <w:r w:rsidR="003115E3">
        <w:rPr>
          <w:i/>
          <w:color w:val="231F20"/>
          <w:w w:val="105"/>
          <w:position w:val="6"/>
          <w:sz w:val="11"/>
        </w:rPr>
        <w:t>7</w:t>
      </w:r>
    </w:p>
    <w:p w14:paraId="6386AC04" w14:textId="77777777" w:rsidR="002653E8" w:rsidRDefault="003115E3">
      <w:pPr>
        <w:pStyle w:val="a4"/>
        <w:numPr>
          <w:ilvl w:val="0"/>
          <w:numId w:val="123"/>
        </w:numPr>
        <w:tabs>
          <w:tab w:val="left" w:pos="1467"/>
        </w:tabs>
        <w:spacing w:before="53" w:line="254" w:lineRule="auto"/>
        <w:ind w:left="1327" w:right="1212" w:firstLine="0"/>
        <w:jc w:val="left"/>
        <w:rPr>
          <w:sz w:val="16"/>
        </w:rPr>
      </w:pPr>
      <w:r>
        <w:rPr>
          <w:color w:val="231F20"/>
          <w:w w:val="110"/>
          <w:sz w:val="16"/>
        </w:rPr>
        <w:t>Sjef</w:t>
      </w:r>
      <w:r>
        <w:rPr>
          <w:color w:val="231F20"/>
          <w:spacing w:val="-4"/>
          <w:w w:val="110"/>
          <w:sz w:val="16"/>
        </w:rPr>
        <w:t xml:space="preserve"> </w:t>
      </w:r>
      <w:r>
        <w:rPr>
          <w:color w:val="231F20"/>
          <w:w w:val="110"/>
          <w:sz w:val="16"/>
        </w:rPr>
        <w:t>Teuns,</w:t>
      </w:r>
      <w:r>
        <w:rPr>
          <w:color w:val="231F20"/>
          <w:spacing w:val="-4"/>
          <w:w w:val="110"/>
          <w:sz w:val="16"/>
        </w:rPr>
        <w:t xml:space="preserve"> </w:t>
      </w:r>
      <w:r>
        <w:rPr>
          <w:color w:val="231F20"/>
          <w:w w:val="110"/>
          <w:sz w:val="16"/>
        </w:rPr>
        <w:t>“La</w:t>
      </w:r>
      <w:r>
        <w:rPr>
          <w:color w:val="231F20"/>
          <w:spacing w:val="-4"/>
          <w:w w:val="110"/>
          <w:sz w:val="16"/>
        </w:rPr>
        <w:t xml:space="preserve"> </w:t>
      </w:r>
      <w:r>
        <w:rPr>
          <w:color w:val="231F20"/>
          <w:w w:val="110"/>
          <w:sz w:val="16"/>
        </w:rPr>
        <w:t>Torture</w:t>
      </w:r>
      <w:r>
        <w:rPr>
          <w:color w:val="231F20"/>
          <w:spacing w:val="-4"/>
          <w:w w:val="110"/>
          <w:sz w:val="16"/>
        </w:rPr>
        <w:t xml:space="preserve"> </w:t>
      </w:r>
      <w:r>
        <w:rPr>
          <w:color w:val="231F20"/>
          <w:w w:val="110"/>
          <w:sz w:val="16"/>
        </w:rPr>
        <w:t>par</w:t>
      </w:r>
      <w:r>
        <w:rPr>
          <w:color w:val="231F20"/>
          <w:spacing w:val="-4"/>
          <w:w w:val="110"/>
          <w:sz w:val="16"/>
        </w:rPr>
        <w:t xml:space="preserve"> </w:t>
      </w:r>
      <w:r>
        <w:rPr>
          <w:color w:val="231F20"/>
          <w:w w:val="110"/>
          <w:sz w:val="16"/>
        </w:rPr>
        <w:t>Privation</w:t>
      </w:r>
      <w:r>
        <w:rPr>
          <w:color w:val="231F20"/>
          <w:spacing w:val="-4"/>
          <w:w w:val="110"/>
          <w:sz w:val="16"/>
        </w:rPr>
        <w:t xml:space="preserve"> </w:t>
      </w:r>
      <w:r>
        <w:rPr>
          <w:color w:val="231F20"/>
          <w:w w:val="110"/>
          <w:sz w:val="16"/>
        </w:rPr>
        <w:t>Sensorielle,”</w:t>
      </w:r>
      <w:r>
        <w:rPr>
          <w:color w:val="231F20"/>
          <w:spacing w:val="-4"/>
          <w:w w:val="110"/>
          <w:sz w:val="16"/>
        </w:rPr>
        <w:t xml:space="preserve"> </w:t>
      </w:r>
      <w:r>
        <w:rPr>
          <w:color w:val="231F20"/>
          <w:w w:val="110"/>
          <w:sz w:val="16"/>
        </w:rPr>
        <w:t>in</w:t>
      </w:r>
      <w:r>
        <w:rPr>
          <w:color w:val="231F20"/>
          <w:spacing w:val="-4"/>
          <w:w w:val="110"/>
          <w:sz w:val="16"/>
        </w:rPr>
        <w:t xml:space="preserve"> </w:t>
      </w:r>
      <w:r>
        <w:rPr>
          <w:i/>
          <w:color w:val="231F20"/>
          <w:w w:val="110"/>
          <w:sz w:val="16"/>
        </w:rPr>
        <w:t>à</w:t>
      </w:r>
      <w:r>
        <w:rPr>
          <w:i/>
          <w:color w:val="231F20"/>
          <w:spacing w:val="-4"/>
          <w:w w:val="110"/>
          <w:sz w:val="16"/>
        </w:rPr>
        <w:t xml:space="preserve"> </w:t>
      </w:r>
      <w:r>
        <w:rPr>
          <w:i/>
          <w:color w:val="231F20"/>
          <w:w w:val="110"/>
          <w:sz w:val="16"/>
        </w:rPr>
        <w:t>propos</w:t>
      </w:r>
      <w:r>
        <w:rPr>
          <w:i/>
          <w:color w:val="231F20"/>
          <w:spacing w:val="-4"/>
          <w:w w:val="110"/>
          <w:sz w:val="16"/>
        </w:rPr>
        <w:t xml:space="preserve"> </w:t>
      </w:r>
      <w:r>
        <w:rPr>
          <w:i/>
          <w:color w:val="231F20"/>
          <w:w w:val="110"/>
          <w:sz w:val="16"/>
        </w:rPr>
        <w:t>du</w:t>
      </w:r>
      <w:r>
        <w:rPr>
          <w:i/>
          <w:color w:val="231F20"/>
          <w:spacing w:val="-4"/>
          <w:w w:val="110"/>
          <w:sz w:val="16"/>
        </w:rPr>
        <w:t xml:space="preserve"> </w:t>
      </w:r>
      <w:r>
        <w:rPr>
          <w:i/>
          <w:color w:val="231F20"/>
          <w:w w:val="110"/>
          <w:sz w:val="16"/>
        </w:rPr>
        <w:t>procès</w:t>
      </w:r>
      <w:r>
        <w:rPr>
          <w:i/>
          <w:color w:val="231F20"/>
          <w:spacing w:val="-4"/>
          <w:w w:val="110"/>
          <w:sz w:val="16"/>
        </w:rPr>
        <w:t xml:space="preserve"> </w:t>
      </w:r>
      <w:r>
        <w:rPr>
          <w:i/>
          <w:color w:val="231F20"/>
          <w:spacing w:val="2"/>
          <w:w w:val="110"/>
          <w:sz w:val="16"/>
        </w:rPr>
        <w:t>Baader</w:t>
      </w:r>
      <w:r>
        <w:rPr>
          <w:i/>
          <w:color w:val="231F20"/>
          <w:w w:val="110"/>
          <w:sz w:val="16"/>
        </w:rPr>
        <w:t xml:space="preserve">Meinhof, Fraction </w:t>
      </w:r>
      <w:r>
        <w:rPr>
          <w:i/>
          <w:color w:val="231F20"/>
          <w:spacing w:val="1"/>
          <w:w w:val="110"/>
          <w:sz w:val="16"/>
        </w:rPr>
        <w:t xml:space="preserve">Armée </w:t>
      </w:r>
      <w:r>
        <w:rPr>
          <w:i/>
          <w:color w:val="231F20"/>
          <w:w w:val="110"/>
          <w:sz w:val="16"/>
        </w:rPr>
        <w:t xml:space="preserve">Rouge : de </w:t>
      </w:r>
      <w:r>
        <w:rPr>
          <w:i/>
          <w:color w:val="231F20"/>
          <w:spacing w:val="1"/>
          <w:w w:val="110"/>
          <w:sz w:val="16"/>
        </w:rPr>
        <w:t xml:space="preserve">la </w:t>
      </w:r>
      <w:r>
        <w:rPr>
          <w:i/>
          <w:color w:val="231F20"/>
          <w:w w:val="110"/>
          <w:sz w:val="16"/>
        </w:rPr>
        <w:t xml:space="preserve">torture </w:t>
      </w:r>
      <w:r>
        <w:rPr>
          <w:i/>
          <w:color w:val="231F20"/>
          <w:spacing w:val="2"/>
          <w:w w:val="110"/>
          <w:sz w:val="16"/>
        </w:rPr>
        <w:t xml:space="preserve">dans </w:t>
      </w:r>
      <w:r>
        <w:rPr>
          <w:i/>
          <w:color w:val="231F20"/>
          <w:w w:val="110"/>
          <w:sz w:val="16"/>
        </w:rPr>
        <w:t xml:space="preserve">les </w:t>
      </w:r>
      <w:r>
        <w:rPr>
          <w:i/>
          <w:color w:val="231F20"/>
          <w:spacing w:val="1"/>
          <w:w w:val="110"/>
          <w:sz w:val="16"/>
        </w:rPr>
        <w:t xml:space="preserve">prisons </w:t>
      </w:r>
      <w:r>
        <w:rPr>
          <w:i/>
          <w:color w:val="231F20"/>
          <w:w w:val="110"/>
          <w:sz w:val="16"/>
        </w:rPr>
        <w:t xml:space="preserve">de </w:t>
      </w:r>
      <w:r>
        <w:rPr>
          <w:i/>
          <w:color w:val="231F20"/>
          <w:spacing w:val="1"/>
          <w:w w:val="110"/>
          <w:sz w:val="16"/>
        </w:rPr>
        <w:t xml:space="preserve">la </w:t>
      </w:r>
      <w:r>
        <w:rPr>
          <w:i/>
          <w:color w:val="231F20"/>
          <w:spacing w:val="2"/>
          <w:w w:val="110"/>
          <w:sz w:val="16"/>
        </w:rPr>
        <w:t xml:space="preserve">RFA, </w:t>
      </w:r>
      <w:r>
        <w:rPr>
          <w:color w:val="231F20"/>
          <w:w w:val="110"/>
          <w:sz w:val="16"/>
        </w:rPr>
        <w:t xml:space="preserve">Klaus Croissant (ed.) (Paris : Christian Bourgeois Éditeur, </w:t>
      </w:r>
      <w:r>
        <w:rPr>
          <w:color w:val="231F20"/>
          <w:spacing w:val="-5"/>
          <w:w w:val="110"/>
          <w:sz w:val="16"/>
        </w:rPr>
        <w:t>1975),</w:t>
      </w:r>
      <w:r>
        <w:rPr>
          <w:color w:val="231F20"/>
          <w:spacing w:val="16"/>
          <w:w w:val="110"/>
          <w:sz w:val="16"/>
        </w:rPr>
        <w:t xml:space="preserve"> </w:t>
      </w:r>
      <w:r>
        <w:rPr>
          <w:color w:val="231F20"/>
          <w:w w:val="110"/>
          <w:sz w:val="16"/>
        </w:rPr>
        <w:t>65-66.</w:t>
      </w:r>
    </w:p>
    <w:p w14:paraId="40820CBD" w14:textId="77777777" w:rsidR="002653E8" w:rsidRDefault="003115E3">
      <w:pPr>
        <w:pStyle w:val="a4"/>
        <w:numPr>
          <w:ilvl w:val="0"/>
          <w:numId w:val="123"/>
        </w:numPr>
        <w:tabs>
          <w:tab w:val="left" w:pos="1467"/>
        </w:tabs>
        <w:spacing w:line="254" w:lineRule="auto"/>
        <w:ind w:left="1328" w:right="1298" w:firstLine="0"/>
        <w:jc w:val="left"/>
        <w:rPr>
          <w:i/>
          <w:sz w:val="16"/>
        </w:rPr>
      </w:pPr>
      <w:r>
        <w:rPr>
          <w:color w:val="231F20"/>
          <w:w w:val="105"/>
          <w:sz w:val="16"/>
        </w:rPr>
        <w:t xml:space="preserve">Committee to End  the  Marion  Lockdown,  “The  People’s  Tribunal  to  Expose the Crimes of the Control Units”; Dr. Mutulu Shakur et al., “Genocide Waged </w:t>
      </w:r>
      <w:r>
        <w:rPr>
          <w:color w:val="231F20"/>
          <w:spacing w:val="2"/>
          <w:w w:val="120"/>
          <w:sz w:val="16"/>
        </w:rPr>
        <w:t>A</w:t>
      </w:r>
      <w:r>
        <w:rPr>
          <w:color w:val="231F20"/>
          <w:spacing w:val="1"/>
          <w:w w:val="104"/>
          <w:sz w:val="16"/>
        </w:rPr>
        <w:t>g</w:t>
      </w:r>
      <w:r>
        <w:rPr>
          <w:color w:val="231F20"/>
          <w:spacing w:val="2"/>
          <w:w w:val="106"/>
          <w:sz w:val="16"/>
        </w:rPr>
        <w:t>a</w:t>
      </w:r>
      <w:r>
        <w:rPr>
          <w:color w:val="231F20"/>
          <w:spacing w:val="3"/>
          <w:w w:val="103"/>
          <w:sz w:val="16"/>
        </w:rPr>
        <w:t>i</w:t>
      </w:r>
      <w:r>
        <w:rPr>
          <w:color w:val="231F20"/>
          <w:spacing w:val="2"/>
          <w:w w:val="103"/>
          <w:sz w:val="16"/>
        </w:rPr>
        <w:t>n</w:t>
      </w:r>
      <w:r>
        <w:rPr>
          <w:color w:val="231F20"/>
          <w:spacing w:val="1"/>
          <w:w w:val="93"/>
          <w:sz w:val="16"/>
        </w:rPr>
        <w:t>s</w:t>
      </w:r>
      <w:r>
        <w:rPr>
          <w:color w:val="231F20"/>
          <w:w w:val="102"/>
          <w:sz w:val="16"/>
        </w:rPr>
        <w:t>t</w:t>
      </w:r>
      <w:r>
        <w:rPr>
          <w:color w:val="231F20"/>
          <w:spacing w:val="10"/>
          <w:sz w:val="16"/>
        </w:rPr>
        <w:t xml:space="preserve"> </w:t>
      </w:r>
      <w:r>
        <w:rPr>
          <w:color w:val="231F20"/>
          <w:spacing w:val="3"/>
          <w:w w:val="102"/>
          <w:sz w:val="16"/>
        </w:rPr>
        <w:t>t</w:t>
      </w:r>
      <w:r>
        <w:rPr>
          <w:color w:val="231F20"/>
          <w:w w:val="104"/>
          <w:sz w:val="16"/>
        </w:rPr>
        <w:t>h</w:t>
      </w:r>
      <w:r>
        <w:rPr>
          <w:color w:val="231F20"/>
          <w:w w:val="94"/>
          <w:sz w:val="16"/>
        </w:rPr>
        <w:t>e</w:t>
      </w:r>
      <w:r>
        <w:rPr>
          <w:color w:val="231F20"/>
          <w:spacing w:val="10"/>
          <w:sz w:val="16"/>
        </w:rPr>
        <w:t xml:space="preserve"> </w:t>
      </w:r>
      <w:r>
        <w:rPr>
          <w:color w:val="231F20"/>
          <w:spacing w:val="1"/>
          <w:w w:val="103"/>
          <w:sz w:val="16"/>
        </w:rPr>
        <w:t>B</w:t>
      </w:r>
      <w:r>
        <w:rPr>
          <w:color w:val="231F20"/>
          <w:spacing w:val="1"/>
          <w:w w:val="106"/>
          <w:sz w:val="16"/>
        </w:rPr>
        <w:t>l</w:t>
      </w:r>
      <w:r>
        <w:rPr>
          <w:color w:val="231F20"/>
          <w:w w:val="106"/>
          <w:sz w:val="16"/>
        </w:rPr>
        <w:t>a</w:t>
      </w:r>
      <w:r>
        <w:rPr>
          <w:color w:val="231F20"/>
          <w:w w:val="104"/>
          <w:sz w:val="16"/>
        </w:rPr>
        <w:t>c</w:t>
      </w:r>
      <w:r>
        <w:rPr>
          <w:color w:val="231F20"/>
          <w:w w:val="109"/>
          <w:sz w:val="16"/>
        </w:rPr>
        <w:t>k</w:t>
      </w:r>
      <w:r>
        <w:rPr>
          <w:color w:val="231F20"/>
          <w:spacing w:val="10"/>
          <w:sz w:val="16"/>
        </w:rPr>
        <w:t xml:space="preserve"> </w:t>
      </w:r>
      <w:r>
        <w:rPr>
          <w:color w:val="231F20"/>
          <w:w w:val="126"/>
          <w:sz w:val="16"/>
        </w:rPr>
        <w:t>N</w:t>
      </w:r>
      <w:r>
        <w:rPr>
          <w:color w:val="231F20"/>
          <w:spacing w:val="-1"/>
          <w:w w:val="106"/>
          <w:sz w:val="16"/>
        </w:rPr>
        <w:t>a</w:t>
      </w:r>
      <w:r>
        <w:rPr>
          <w:color w:val="231F20"/>
          <w:spacing w:val="2"/>
          <w:w w:val="102"/>
          <w:sz w:val="16"/>
        </w:rPr>
        <w:t>t</w:t>
      </w:r>
      <w:r>
        <w:rPr>
          <w:color w:val="231F20"/>
          <w:w w:val="107"/>
          <w:sz w:val="16"/>
        </w:rPr>
        <w:t>io</w:t>
      </w:r>
      <w:r>
        <w:rPr>
          <w:color w:val="231F20"/>
          <w:w w:val="103"/>
          <w:sz w:val="16"/>
        </w:rPr>
        <w:t>n</w:t>
      </w:r>
      <w:r>
        <w:rPr>
          <w:color w:val="231F20"/>
          <w:spacing w:val="10"/>
          <w:sz w:val="16"/>
        </w:rPr>
        <w:t xml:space="preserve"> </w:t>
      </w:r>
      <w:r>
        <w:rPr>
          <w:color w:val="231F20"/>
          <w:spacing w:val="5"/>
          <w:w w:val="116"/>
          <w:sz w:val="16"/>
        </w:rPr>
        <w:t>T</w:t>
      </w:r>
      <w:r>
        <w:rPr>
          <w:color w:val="231F20"/>
          <w:spacing w:val="5"/>
          <w:w w:val="104"/>
          <w:sz w:val="16"/>
        </w:rPr>
        <w:t>h</w:t>
      </w:r>
      <w:r>
        <w:rPr>
          <w:color w:val="231F20"/>
          <w:w w:val="97"/>
          <w:sz w:val="16"/>
        </w:rPr>
        <w:t>r</w:t>
      </w:r>
      <w:r>
        <w:rPr>
          <w:color w:val="231F20"/>
          <w:w w:val="108"/>
          <w:sz w:val="16"/>
        </w:rPr>
        <w:t>o</w:t>
      </w:r>
      <w:r>
        <w:rPr>
          <w:color w:val="231F20"/>
          <w:spacing w:val="1"/>
          <w:w w:val="104"/>
          <w:sz w:val="16"/>
        </w:rPr>
        <w:t>u</w:t>
      </w:r>
      <w:r>
        <w:rPr>
          <w:color w:val="231F20"/>
          <w:spacing w:val="5"/>
          <w:w w:val="104"/>
          <w:sz w:val="16"/>
        </w:rPr>
        <w:t>g</w:t>
      </w:r>
      <w:r>
        <w:rPr>
          <w:color w:val="231F20"/>
          <w:w w:val="104"/>
          <w:sz w:val="16"/>
        </w:rPr>
        <w:t>h</w:t>
      </w:r>
      <w:r>
        <w:rPr>
          <w:color w:val="231F20"/>
          <w:spacing w:val="10"/>
          <w:sz w:val="16"/>
        </w:rPr>
        <w:t xml:space="preserve"> </w:t>
      </w:r>
      <w:r>
        <w:rPr>
          <w:color w:val="231F20"/>
          <w:spacing w:val="5"/>
          <w:w w:val="103"/>
          <w:sz w:val="16"/>
        </w:rPr>
        <w:t>B</w:t>
      </w:r>
      <w:r>
        <w:rPr>
          <w:color w:val="231F20"/>
          <w:w w:val="94"/>
          <w:sz w:val="16"/>
        </w:rPr>
        <w:t>e</w:t>
      </w:r>
      <w:r>
        <w:rPr>
          <w:color w:val="231F20"/>
          <w:spacing w:val="1"/>
          <w:w w:val="104"/>
          <w:sz w:val="16"/>
        </w:rPr>
        <w:t>h</w:t>
      </w:r>
      <w:r>
        <w:rPr>
          <w:color w:val="231F20"/>
          <w:spacing w:val="-2"/>
          <w:w w:val="106"/>
          <w:sz w:val="16"/>
        </w:rPr>
        <w:t>a</w:t>
      </w:r>
      <w:r>
        <w:rPr>
          <w:color w:val="231F20"/>
          <w:spacing w:val="2"/>
          <w:w w:val="102"/>
          <w:sz w:val="16"/>
        </w:rPr>
        <w:t>v</w:t>
      </w:r>
      <w:r>
        <w:rPr>
          <w:color w:val="231F20"/>
          <w:w w:val="107"/>
          <w:sz w:val="16"/>
        </w:rPr>
        <w:t>io</w:t>
      </w:r>
      <w:r>
        <w:rPr>
          <w:color w:val="231F20"/>
          <w:w w:val="97"/>
          <w:sz w:val="16"/>
        </w:rPr>
        <w:t>r</w:t>
      </w:r>
      <w:r>
        <w:rPr>
          <w:color w:val="231F20"/>
          <w:spacing w:val="10"/>
          <w:sz w:val="16"/>
        </w:rPr>
        <w:t xml:space="preserve"> </w:t>
      </w:r>
      <w:r>
        <w:rPr>
          <w:color w:val="231F20"/>
          <w:w w:val="127"/>
          <w:sz w:val="16"/>
        </w:rPr>
        <w:t>M</w:t>
      </w:r>
      <w:r>
        <w:rPr>
          <w:color w:val="231F20"/>
          <w:spacing w:val="1"/>
          <w:w w:val="108"/>
          <w:sz w:val="16"/>
        </w:rPr>
        <w:t>o</w:t>
      </w:r>
      <w:r>
        <w:rPr>
          <w:color w:val="231F20"/>
          <w:spacing w:val="3"/>
          <w:w w:val="103"/>
          <w:sz w:val="16"/>
        </w:rPr>
        <w:t>d</w:t>
      </w:r>
      <w:r>
        <w:rPr>
          <w:color w:val="231F20"/>
          <w:spacing w:val="5"/>
          <w:w w:val="103"/>
          <w:sz w:val="16"/>
        </w:rPr>
        <w:t>i</w:t>
      </w:r>
      <w:r>
        <w:rPr>
          <w:color w:val="231F20"/>
          <w:w w:val="99"/>
          <w:sz w:val="16"/>
        </w:rPr>
        <w:t>f</w:t>
      </w:r>
      <w:r>
        <w:rPr>
          <w:color w:val="231F20"/>
          <w:spacing w:val="2"/>
          <w:w w:val="99"/>
          <w:sz w:val="16"/>
        </w:rPr>
        <w:t>i</w:t>
      </w:r>
      <w:r>
        <w:rPr>
          <w:color w:val="231F20"/>
          <w:spacing w:val="2"/>
          <w:w w:val="104"/>
          <w:sz w:val="16"/>
        </w:rPr>
        <w:t>c</w:t>
      </w:r>
      <w:r>
        <w:rPr>
          <w:color w:val="231F20"/>
          <w:spacing w:val="-1"/>
          <w:w w:val="106"/>
          <w:sz w:val="16"/>
        </w:rPr>
        <w:t>a</w:t>
      </w:r>
      <w:r>
        <w:rPr>
          <w:color w:val="231F20"/>
          <w:spacing w:val="2"/>
          <w:w w:val="102"/>
          <w:sz w:val="16"/>
        </w:rPr>
        <w:t>t</w:t>
      </w:r>
      <w:r>
        <w:rPr>
          <w:color w:val="231F20"/>
          <w:w w:val="107"/>
          <w:sz w:val="16"/>
        </w:rPr>
        <w:t>io</w:t>
      </w:r>
      <w:r>
        <w:rPr>
          <w:color w:val="231F20"/>
          <w:spacing w:val="8"/>
          <w:w w:val="103"/>
          <w:sz w:val="16"/>
        </w:rPr>
        <w:t>n</w:t>
      </w:r>
      <w:r>
        <w:rPr>
          <w:color w:val="231F20"/>
          <w:w w:val="58"/>
          <w:sz w:val="16"/>
        </w:rPr>
        <w:t>/</w:t>
      </w:r>
      <w:r>
        <w:rPr>
          <w:color w:val="231F20"/>
          <w:spacing w:val="1"/>
          <w:w w:val="132"/>
          <w:sz w:val="16"/>
        </w:rPr>
        <w:t>O</w:t>
      </w:r>
      <w:r>
        <w:rPr>
          <w:color w:val="231F20"/>
          <w:w w:val="97"/>
          <w:sz w:val="16"/>
        </w:rPr>
        <w:t>r</w:t>
      </w:r>
      <w:r>
        <w:rPr>
          <w:color w:val="231F20"/>
          <w:w w:val="104"/>
          <w:sz w:val="16"/>
        </w:rPr>
        <w:t>ch</w:t>
      </w:r>
      <w:r>
        <w:rPr>
          <w:color w:val="231F20"/>
          <w:spacing w:val="2"/>
          <w:w w:val="94"/>
          <w:sz w:val="16"/>
        </w:rPr>
        <w:t>e</w:t>
      </w:r>
      <w:r>
        <w:rPr>
          <w:color w:val="231F20"/>
          <w:spacing w:val="1"/>
          <w:w w:val="93"/>
          <w:sz w:val="16"/>
        </w:rPr>
        <w:t>s</w:t>
      </w:r>
      <w:r>
        <w:rPr>
          <w:color w:val="231F20"/>
          <w:spacing w:val="3"/>
          <w:w w:val="102"/>
          <w:sz w:val="16"/>
        </w:rPr>
        <w:t>t</w:t>
      </w:r>
      <w:r>
        <w:rPr>
          <w:color w:val="231F20"/>
          <w:w w:val="97"/>
          <w:sz w:val="16"/>
        </w:rPr>
        <w:t>r</w:t>
      </w:r>
      <w:r>
        <w:rPr>
          <w:color w:val="231F20"/>
          <w:spacing w:val="-1"/>
          <w:w w:val="106"/>
          <w:sz w:val="16"/>
        </w:rPr>
        <w:t>a</w:t>
      </w:r>
      <w:r>
        <w:rPr>
          <w:color w:val="231F20"/>
          <w:spacing w:val="1"/>
          <w:w w:val="102"/>
          <w:sz w:val="16"/>
        </w:rPr>
        <w:t>t</w:t>
      </w:r>
      <w:r>
        <w:rPr>
          <w:color w:val="231F20"/>
          <w:spacing w:val="1"/>
          <w:w w:val="94"/>
          <w:sz w:val="16"/>
        </w:rPr>
        <w:t>e</w:t>
      </w:r>
      <w:r>
        <w:rPr>
          <w:color w:val="231F20"/>
          <w:w w:val="103"/>
          <w:sz w:val="16"/>
        </w:rPr>
        <w:t>d</w:t>
      </w:r>
      <w:r>
        <w:rPr>
          <w:color w:val="231F20"/>
          <w:spacing w:val="10"/>
          <w:sz w:val="16"/>
        </w:rPr>
        <w:t xml:space="preserve"> </w:t>
      </w:r>
      <w:r>
        <w:rPr>
          <w:color w:val="231F20"/>
          <w:w w:val="105"/>
          <w:sz w:val="16"/>
        </w:rPr>
        <w:t>b</w:t>
      </w:r>
      <w:r>
        <w:rPr>
          <w:color w:val="231F20"/>
          <w:w w:val="102"/>
          <w:sz w:val="16"/>
        </w:rPr>
        <w:t xml:space="preserve">y </w:t>
      </w:r>
      <w:r>
        <w:rPr>
          <w:color w:val="231F20"/>
          <w:w w:val="105"/>
          <w:sz w:val="16"/>
        </w:rPr>
        <w:t xml:space="preserve">Counterinsurgency and Low-Intensity Warfare in the </w:t>
      </w:r>
      <w:r>
        <w:rPr>
          <w:color w:val="231F20"/>
          <w:spacing w:val="1"/>
          <w:w w:val="105"/>
          <w:sz w:val="16"/>
        </w:rPr>
        <w:t xml:space="preserve">U.S. </w:t>
      </w:r>
      <w:r>
        <w:rPr>
          <w:color w:val="231F20"/>
          <w:w w:val="105"/>
          <w:sz w:val="16"/>
        </w:rPr>
        <w:t xml:space="preserve">Penal System.” Both reprinted in Matt Meyer, ed. </w:t>
      </w:r>
      <w:r>
        <w:rPr>
          <w:i/>
          <w:color w:val="231F20"/>
          <w:spacing w:val="1"/>
          <w:w w:val="105"/>
          <w:sz w:val="16"/>
        </w:rPr>
        <w:t xml:space="preserve">Let </w:t>
      </w:r>
      <w:r>
        <w:rPr>
          <w:i/>
          <w:color w:val="231F20"/>
          <w:w w:val="105"/>
          <w:sz w:val="16"/>
        </w:rPr>
        <w:t xml:space="preserve">Freedom Ring: A Collection of </w:t>
      </w:r>
      <w:r>
        <w:rPr>
          <w:i/>
          <w:color w:val="231F20"/>
          <w:spacing w:val="1"/>
          <w:w w:val="105"/>
          <w:sz w:val="16"/>
        </w:rPr>
        <w:t>Documents</w:t>
      </w:r>
      <w:r>
        <w:rPr>
          <w:i/>
          <w:color w:val="231F20"/>
          <w:spacing w:val="-2"/>
          <w:w w:val="105"/>
          <w:sz w:val="16"/>
        </w:rPr>
        <w:t xml:space="preserve"> </w:t>
      </w:r>
      <w:r>
        <w:rPr>
          <w:i/>
          <w:color w:val="231F20"/>
          <w:w w:val="105"/>
          <w:sz w:val="16"/>
        </w:rPr>
        <w:t>from</w:t>
      </w:r>
    </w:p>
    <w:p w14:paraId="582F8F17" w14:textId="77777777" w:rsidR="002653E8" w:rsidRDefault="003115E3">
      <w:pPr>
        <w:spacing w:before="2" w:line="254" w:lineRule="auto"/>
        <w:ind w:left="1327" w:right="1145"/>
        <w:rPr>
          <w:sz w:val="16"/>
        </w:rPr>
      </w:pPr>
      <w:r>
        <w:rPr>
          <w:i/>
          <w:color w:val="231F20"/>
          <w:sz w:val="16"/>
        </w:rPr>
        <w:t>t</w:t>
      </w:r>
      <w:r>
        <w:rPr>
          <w:i/>
          <w:color w:val="231F20"/>
          <w:w w:val="105"/>
          <w:sz w:val="16"/>
        </w:rPr>
        <w:t>he</w:t>
      </w:r>
      <w:r>
        <w:rPr>
          <w:i/>
          <w:color w:val="231F20"/>
          <w:sz w:val="16"/>
        </w:rPr>
        <w:t xml:space="preserve"> </w:t>
      </w:r>
      <w:r>
        <w:rPr>
          <w:i/>
          <w:color w:val="231F20"/>
          <w:w w:val="123"/>
          <w:sz w:val="16"/>
        </w:rPr>
        <w:t>M</w:t>
      </w:r>
      <w:r>
        <w:rPr>
          <w:i/>
          <w:color w:val="231F20"/>
          <w:w w:val="113"/>
          <w:sz w:val="16"/>
        </w:rPr>
        <w:t>o</w:t>
      </w:r>
      <w:r>
        <w:rPr>
          <w:i/>
          <w:color w:val="231F20"/>
          <w:w w:val="112"/>
          <w:sz w:val="16"/>
        </w:rPr>
        <w:t>v</w:t>
      </w:r>
      <w:r>
        <w:rPr>
          <w:i/>
          <w:color w:val="231F20"/>
          <w:sz w:val="16"/>
        </w:rPr>
        <w:t>e</w:t>
      </w:r>
      <w:r>
        <w:rPr>
          <w:i/>
          <w:color w:val="231F20"/>
          <w:w w:val="108"/>
          <w:sz w:val="16"/>
        </w:rPr>
        <w:t>m</w:t>
      </w:r>
      <w:r>
        <w:rPr>
          <w:i/>
          <w:color w:val="231F20"/>
          <w:sz w:val="16"/>
        </w:rPr>
        <w:t>e</w:t>
      </w:r>
      <w:r>
        <w:rPr>
          <w:i/>
          <w:color w:val="231F20"/>
          <w:w w:val="107"/>
          <w:sz w:val="16"/>
        </w:rPr>
        <w:t>n</w:t>
      </w:r>
      <w:r>
        <w:rPr>
          <w:i/>
          <w:color w:val="231F20"/>
          <w:sz w:val="16"/>
        </w:rPr>
        <w:t>t</w:t>
      </w:r>
      <w:r>
        <w:rPr>
          <w:i/>
          <w:color w:val="231F20"/>
          <w:w w:val="105"/>
          <w:sz w:val="16"/>
        </w:rPr>
        <w:t>s</w:t>
      </w:r>
      <w:r>
        <w:rPr>
          <w:i/>
          <w:color w:val="231F20"/>
          <w:sz w:val="16"/>
        </w:rPr>
        <w:t xml:space="preserve"> t</w:t>
      </w:r>
      <w:r>
        <w:rPr>
          <w:i/>
          <w:color w:val="231F20"/>
          <w:w w:val="113"/>
          <w:sz w:val="16"/>
        </w:rPr>
        <w:t>o</w:t>
      </w:r>
      <w:r>
        <w:rPr>
          <w:i/>
          <w:color w:val="231F20"/>
          <w:sz w:val="16"/>
        </w:rPr>
        <w:t xml:space="preserve"> </w:t>
      </w:r>
      <w:r>
        <w:rPr>
          <w:i/>
          <w:color w:val="231F20"/>
          <w:w w:val="109"/>
          <w:sz w:val="16"/>
        </w:rPr>
        <w:t>F</w:t>
      </w:r>
      <w:r>
        <w:rPr>
          <w:i/>
          <w:color w:val="231F20"/>
          <w:w w:val="99"/>
          <w:sz w:val="16"/>
        </w:rPr>
        <w:t>r</w:t>
      </w:r>
      <w:r>
        <w:rPr>
          <w:i/>
          <w:color w:val="231F20"/>
          <w:sz w:val="16"/>
        </w:rPr>
        <w:t xml:space="preserve">ee </w:t>
      </w:r>
      <w:r>
        <w:rPr>
          <w:i/>
          <w:color w:val="231F20"/>
          <w:w w:val="127"/>
          <w:sz w:val="16"/>
        </w:rPr>
        <w:t>U</w:t>
      </w:r>
      <w:r>
        <w:rPr>
          <w:i/>
          <w:color w:val="231F20"/>
          <w:w w:val="144"/>
          <w:sz w:val="16"/>
        </w:rPr>
        <w:t>.</w:t>
      </w:r>
      <w:r>
        <w:rPr>
          <w:i/>
          <w:color w:val="231F20"/>
          <w:w w:val="107"/>
          <w:sz w:val="16"/>
        </w:rPr>
        <w:t>S</w:t>
      </w:r>
      <w:r>
        <w:rPr>
          <w:i/>
          <w:color w:val="231F20"/>
          <w:w w:val="144"/>
          <w:sz w:val="16"/>
        </w:rPr>
        <w:t>.</w:t>
      </w:r>
      <w:r>
        <w:rPr>
          <w:i/>
          <w:color w:val="231F20"/>
          <w:sz w:val="16"/>
        </w:rPr>
        <w:t xml:space="preserve"> </w:t>
      </w:r>
      <w:r>
        <w:rPr>
          <w:i/>
          <w:color w:val="231F20"/>
          <w:w w:val="114"/>
          <w:sz w:val="16"/>
        </w:rPr>
        <w:t>P</w:t>
      </w:r>
      <w:r>
        <w:rPr>
          <w:i/>
          <w:color w:val="231F20"/>
          <w:w w:val="113"/>
          <w:sz w:val="16"/>
        </w:rPr>
        <w:t>o</w:t>
      </w:r>
      <w:r>
        <w:rPr>
          <w:i/>
          <w:color w:val="231F20"/>
          <w:w w:val="108"/>
          <w:sz w:val="16"/>
        </w:rPr>
        <w:t>l</w:t>
      </w:r>
      <w:r>
        <w:rPr>
          <w:i/>
          <w:color w:val="231F20"/>
          <w:w w:val="106"/>
          <w:sz w:val="16"/>
        </w:rPr>
        <w:t>i</w:t>
      </w:r>
      <w:r>
        <w:rPr>
          <w:i/>
          <w:color w:val="231F20"/>
          <w:sz w:val="16"/>
        </w:rPr>
        <w:t>t</w:t>
      </w:r>
      <w:r>
        <w:rPr>
          <w:i/>
          <w:color w:val="231F20"/>
          <w:w w:val="106"/>
          <w:sz w:val="16"/>
        </w:rPr>
        <w:t>ic</w:t>
      </w:r>
      <w:r>
        <w:rPr>
          <w:i/>
          <w:color w:val="231F20"/>
          <w:w w:val="98"/>
          <w:sz w:val="16"/>
        </w:rPr>
        <w:t>a</w:t>
      </w:r>
      <w:r>
        <w:rPr>
          <w:i/>
          <w:color w:val="231F20"/>
          <w:w w:val="108"/>
          <w:sz w:val="16"/>
        </w:rPr>
        <w:t>l</w:t>
      </w:r>
      <w:r>
        <w:rPr>
          <w:i/>
          <w:color w:val="231F20"/>
          <w:sz w:val="16"/>
        </w:rPr>
        <w:t xml:space="preserve"> </w:t>
      </w:r>
      <w:r>
        <w:rPr>
          <w:i/>
          <w:color w:val="231F20"/>
          <w:w w:val="114"/>
          <w:sz w:val="16"/>
        </w:rPr>
        <w:t>P</w:t>
      </w:r>
      <w:r>
        <w:rPr>
          <w:i/>
          <w:color w:val="231F20"/>
          <w:w w:val="99"/>
          <w:sz w:val="16"/>
        </w:rPr>
        <w:t>r</w:t>
      </w:r>
      <w:r>
        <w:rPr>
          <w:i/>
          <w:color w:val="231F20"/>
          <w:w w:val="106"/>
          <w:sz w:val="16"/>
        </w:rPr>
        <w:t>i</w:t>
      </w:r>
      <w:r>
        <w:rPr>
          <w:i/>
          <w:color w:val="231F20"/>
          <w:w w:val="105"/>
          <w:sz w:val="16"/>
        </w:rPr>
        <w:t>s</w:t>
      </w:r>
      <w:r>
        <w:rPr>
          <w:i/>
          <w:color w:val="231F20"/>
          <w:w w:val="113"/>
          <w:sz w:val="16"/>
        </w:rPr>
        <w:t>o</w:t>
      </w:r>
      <w:r>
        <w:rPr>
          <w:i/>
          <w:color w:val="231F20"/>
          <w:w w:val="107"/>
          <w:sz w:val="16"/>
        </w:rPr>
        <w:t>n</w:t>
      </w:r>
      <w:r>
        <w:rPr>
          <w:i/>
          <w:color w:val="231F20"/>
          <w:sz w:val="16"/>
        </w:rPr>
        <w:t>e</w:t>
      </w:r>
      <w:r>
        <w:rPr>
          <w:i/>
          <w:color w:val="231F20"/>
          <w:w w:val="99"/>
          <w:sz w:val="16"/>
        </w:rPr>
        <w:t>r</w:t>
      </w:r>
      <w:r>
        <w:rPr>
          <w:i/>
          <w:color w:val="231F20"/>
          <w:w w:val="105"/>
          <w:sz w:val="16"/>
        </w:rPr>
        <w:t>s</w:t>
      </w:r>
      <w:r>
        <w:rPr>
          <w:i/>
          <w:color w:val="231F20"/>
          <w:sz w:val="16"/>
        </w:rPr>
        <w:t xml:space="preserve"> </w:t>
      </w:r>
      <w:r>
        <w:rPr>
          <w:color w:val="231F20"/>
          <w:w w:val="90"/>
          <w:sz w:val="16"/>
        </w:rPr>
        <w:t>(</w:t>
      </w:r>
      <w:r>
        <w:rPr>
          <w:color w:val="231F20"/>
          <w:w w:val="127"/>
          <w:sz w:val="16"/>
        </w:rPr>
        <w:t>M</w:t>
      </w:r>
      <w:r>
        <w:rPr>
          <w:color w:val="231F20"/>
          <w:w w:val="108"/>
          <w:sz w:val="16"/>
        </w:rPr>
        <w:t>o</w:t>
      </w:r>
      <w:r>
        <w:rPr>
          <w:color w:val="231F20"/>
          <w:w w:val="102"/>
          <w:sz w:val="16"/>
        </w:rPr>
        <w:t>nt</w:t>
      </w:r>
      <w:r>
        <w:rPr>
          <w:color w:val="231F20"/>
          <w:w w:val="97"/>
          <w:sz w:val="16"/>
        </w:rPr>
        <w:t>r</w:t>
      </w:r>
      <w:r>
        <w:rPr>
          <w:color w:val="231F20"/>
          <w:w w:val="94"/>
          <w:sz w:val="16"/>
        </w:rPr>
        <w:t>e</w:t>
      </w:r>
      <w:r>
        <w:rPr>
          <w:color w:val="231F20"/>
          <w:w w:val="106"/>
          <w:sz w:val="16"/>
        </w:rPr>
        <w:t>al</w:t>
      </w:r>
      <w:r>
        <w:rPr>
          <w:color w:val="231F20"/>
          <w:w w:val="58"/>
          <w:sz w:val="16"/>
        </w:rPr>
        <w:t>/</w:t>
      </w:r>
      <w:r>
        <w:rPr>
          <w:color w:val="231F20"/>
          <w:w w:val="132"/>
          <w:sz w:val="16"/>
        </w:rPr>
        <w:t>O</w:t>
      </w:r>
      <w:r>
        <w:rPr>
          <w:color w:val="231F20"/>
          <w:w w:val="106"/>
          <w:sz w:val="16"/>
        </w:rPr>
        <w:t>a</w:t>
      </w:r>
      <w:r>
        <w:rPr>
          <w:color w:val="231F20"/>
          <w:w w:val="109"/>
          <w:sz w:val="16"/>
        </w:rPr>
        <w:t>k</w:t>
      </w:r>
      <w:r>
        <w:rPr>
          <w:color w:val="231F20"/>
          <w:w w:val="106"/>
          <w:sz w:val="16"/>
        </w:rPr>
        <w:t>la</w:t>
      </w:r>
      <w:r>
        <w:rPr>
          <w:color w:val="231F20"/>
          <w:w w:val="103"/>
          <w:sz w:val="16"/>
        </w:rPr>
        <w:t>nd</w:t>
      </w:r>
      <w:r>
        <w:rPr>
          <w:color w:val="231F20"/>
          <w:w w:val="109"/>
          <w:sz w:val="16"/>
        </w:rPr>
        <w:t>:</w:t>
      </w:r>
      <w:r>
        <w:rPr>
          <w:color w:val="231F20"/>
          <w:sz w:val="16"/>
        </w:rPr>
        <w:t xml:space="preserve"> </w:t>
      </w:r>
      <w:r>
        <w:rPr>
          <w:color w:val="231F20"/>
          <w:w w:val="119"/>
          <w:sz w:val="16"/>
        </w:rPr>
        <w:t>K</w:t>
      </w:r>
      <w:r>
        <w:rPr>
          <w:color w:val="231F20"/>
          <w:w w:val="94"/>
          <w:sz w:val="16"/>
        </w:rPr>
        <w:t>e</w:t>
      </w:r>
      <w:r>
        <w:rPr>
          <w:color w:val="231F20"/>
          <w:w w:val="97"/>
          <w:sz w:val="16"/>
        </w:rPr>
        <w:t>r</w:t>
      </w:r>
      <w:r>
        <w:rPr>
          <w:color w:val="231F20"/>
          <w:w w:val="93"/>
          <w:sz w:val="16"/>
        </w:rPr>
        <w:t>s</w:t>
      </w:r>
      <w:r>
        <w:rPr>
          <w:color w:val="231F20"/>
          <w:w w:val="103"/>
          <w:sz w:val="16"/>
        </w:rPr>
        <w:t>p</w:t>
      </w:r>
      <w:r>
        <w:rPr>
          <w:color w:val="231F20"/>
          <w:w w:val="106"/>
          <w:sz w:val="16"/>
        </w:rPr>
        <w:t>l</w:t>
      </w:r>
      <w:r>
        <w:rPr>
          <w:color w:val="231F20"/>
          <w:w w:val="94"/>
          <w:sz w:val="16"/>
        </w:rPr>
        <w:t>e</w:t>
      </w:r>
      <w:r>
        <w:rPr>
          <w:color w:val="231F20"/>
          <w:w w:val="105"/>
          <w:sz w:val="16"/>
        </w:rPr>
        <w:t>b</w:t>
      </w:r>
      <w:r>
        <w:rPr>
          <w:color w:val="231F20"/>
          <w:w w:val="94"/>
          <w:sz w:val="16"/>
        </w:rPr>
        <w:t>e</w:t>
      </w:r>
      <w:r>
        <w:rPr>
          <w:color w:val="231F20"/>
          <w:w w:val="103"/>
          <w:sz w:val="16"/>
        </w:rPr>
        <w:t>d</w:t>
      </w:r>
      <w:r>
        <w:rPr>
          <w:color w:val="231F20"/>
          <w:w w:val="94"/>
          <w:sz w:val="16"/>
        </w:rPr>
        <w:t>e</w:t>
      </w:r>
      <w:r>
        <w:rPr>
          <w:color w:val="231F20"/>
          <w:w w:val="105"/>
          <w:sz w:val="16"/>
        </w:rPr>
        <w:t xml:space="preserve">bPM Press, 2008.) Also: Russell Maroon Shoatz, </w:t>
      </w:r>
      <w:r>
        <w:rPr>
          <w:i/>
          <w:color w:val="231F20"/>
          <w:w w:val="105"/>
          <w:sz w:val="16"/>
        </w:rPr>
        <w:t xml:space="preserve">Death by Regulation: Pennsylvania Control Unit Abuses </w:t>
      </w:r>
      <w:r>
        <w:rPr>
          <w:color w:val="231F20"/>
          <w:w w:val="105"/>
          <w:sz w:val="16"/>
        </w:rPr>
        <w:t>(Montreal: Kersplebedeb 2008).</w:t>
      </w:r>
    </w:p>
    <w:p w14:paraId="33915CCB" w14:textId="77777777" w:rsidR="002653E8" w:rsidRDefault="003115E3">
      <w:pPr>
        <w:pStyle w:val="a4"/>
        <w:numPr>
          <w:ilvl w:val="0"/>
          <w:numId w:val="123"/>
        </w:numPr>
        <w:tabs>
          <w:tab w:val="left" w:pos="1467"/>
        </w:tabs>
        <w:ind w:left="1466"/>
        <w:jc w:val="left"/>
        <w:rPr>
          <w:sz w:val="16"/>
        </w:rPr>
      </w:pPr>
      <w:r>
        <w:rPr>
          <w:color w:val="231F20"/>
          <w:w w:val="115"/>
          <w:sz w:val="16"/>
        </w:rPr>
        <w:t>Proll,</w:t>
      </w:r>
      <w:r>
        <w:rPr>
          <w:color w:val="231F20"/>
          <w:spacing w:val="5"/>
          <w:w w:val="115"/>
          <w:sz w:val="16"/>
        </w:rPr>
        <w:t xml:space="preserve"> </w:t>
      </w:r>
      <w:r>
        <w:rPr>
          <w:color w:val="231F20"/>
          <w:spacing w:val="-3"/>
          <w:w w:val="115"/>
          <w:sz w:val="16"/>
        </w:rPr>
        <w:t>11.</w:t>
      </w:r>
    </w:p>
    <w:p w14:paraId="6AA19FC0" w14:textId="77777777" w:rsidR="002653E8" w:rsidRDefault="002653E8">
      <w:pPr>
        <w:rPr>
          <w:sz w:val="16"/>
        </w:rPr>
        <w:sectPr w:rsidR="002653E8">
          <w:footerReference w:type="even" r:id="rId200"/>
          <w:footerReference w:type="default" r:id="rId201"/>
          <w:pgSz w:w="8640" w:h="12960"/>
          <w:pgMar w:top="1060" w:right="0" w:bottom="1040" w:left="0" w:header="0" w:footer="850" w:gutter="0"/>
          <w:cols w:space="720"/>
        </w:sectPr>
      </w:pPr>
    </w:p>
    <w:p w14:paraId="557A77F1" w14:textId="77777777" w:rsidR="002653E8" w:rsidRDefault="003115E3">
      <w:pPr>
        <w:pStyle w:val="a3"/>
        <w:spacing w:before="86" w:line="264" w:lineRule="auto"/>
        <w:ind w:left="1147" w:right="1325"/>
        <w:jc w:val="both"/>
      </w:pPr>
      <w:r>
        <w:rPr>
          <w:color w:val="231F20"/>
        </w:rPr>
        <w:lastRenderedPageBreak/>
        <w:t xml:space="preserve">After four and a half months of this torture, Proll’s physical and mental health were so badly damaged that she could hardly walk. When she was brought to trial in September </w:t>
      </w:r>
      <w:r>
        <w:rPr>
          <w:color w:val="231F20"/>
          <w:spacing w:val="-5"/>
        </w:rPr>
        <w:t xml:space="preserve">1973, </w:t>
      </w:r>
      <w:r>
        <w:rPr>
          <w:color w:val="231F20"/>
        </w:rPr>
        <w:t xml:space="preserve">the court ordered her examined by a heart specialist, a man who happened to be a former </w:t>
      </w:r>
      <w:r>
        <w:rPr>
          <w:color w:val="231F20"/>
          <w:spacing w:val="-3"/>
        </w:rPr>
        <w:t xml:space="preserve">POW </w:t>
      </w:r>
      <w:r>
        <w:rPr>
          <w:color w:val="231F20"/>
        </w:rPr>
        <w:t>from Russia: he testified that her condition reminded him of the prisoners interned in Siberia.</w:t>
      </w:r>
      <w:r>
        <w:rPr>
          <w:color w:val="231F20"/>
          <w:position w:val="7"/>
          <w:sz w:val="11"/>
        </w:rPr>
        <w:t xml:space="preserve">1 </w:t>
      </w:r>
      <w:r>
        <w:rPr>
          <w:color w:val="231F20"/>
        </w:rPr>
        <w:t xml:space="preserve">The state was obliged to release her to a sanitarium in the Black Forest where she stayed for a year and then escaped, making her </w:t>
      </w:r>
      <w:r>
        <w:rPr>
          <w:color w:val="231F20"/>
          <w:spacing w:val="-2"/>
        </w:rPr>
        <w:t xml:space="preserve">way </w:t>
      </w:r>
      <w:r>
        <w:rPr>
          <w:color w:val="231F20"/>
        </w:rPr>
        <w:t>to</w:t>
      </w:r>
      <w:r>
        <w:rPr>
          <w:color w:val="231F20"/>
          <w:spacing w:val="5"/>
        </w:rPr>
        <w:t xml:space="preserve"> </w:t>
      </w:r>
      <w:r>
        <w:rPr>
          <w:color w:val="231F20"/>
        </w:rPr>
        <w:t>England.</w:t>
      </w:r>
    </w:p>
    <w:p w14:paraId="565847AB" w14:textId="77777777" w:rsidR="002653E8" w:rsidRDefault="003115E3">
      <w:pPr>
        <w:pStyle w:val="a3"/>
        <w:spacing w:line="264" w:lineRule="auto"/>
        <w:ind w:left="1147" w:right="1513" w:firstLine="210"/>
      </w:pPr>
      <w:r>
        <w:rPr>
          <w:color w:val="231F20"/>
        </w:rPr>
        <w:t>Even when recaptured years later, she remained scarred by her ordeal, as she wrote in 1978:</w:t>
      </w:r>
    </w:p>
    <w:p w14:paraId="13C25346" w14:textId="77777777" w:rsidR="002653E8" w:rsidRDefault="003115E3">
      <w:pPr>
        <w:spacing w:before="118" w:line="276" w:lineRule="auto"/>
        <w:ind w:left="1567" w:right="1738"/>
        <w:jc w:val="both"/>
        <w:rPr>
          <w:i/>
          <w:sz w:val="11"/>
        </w:rPr>
      </w:pPr>
      <w:r>
        <w:rPr>
          <w:i/>
          <w:color w:val="231F20"/>
          <w:w w:val="105"/>
          <w:sz w:val="19"/>
        </w:rPr>
        <w:t xml:space="preserve">During the </w:t>
      </w:r>
      <w:r>
        <w:rPr>
          <w:rFonts w:ascii="Bookman Old Style" w:hAnsi="Bookman Old Style"/>
          <w:i/>
          <w:color w:val="231F20"/>
          <w:w w:val="105"/>
          <w:sz w:val="19"/>
        </w:rPr>
        <w:t>2</w:t>
      </w:r>
      <w:r>
        <w:rPr>
          <w:i/>
          <w:color w:val="231F20"/>
          <w:w w:val="105"/>
          <w:sz w:val="19"/>
        </w:rPr>
        <w:t xml:space="preserve">½ years of remand I was </w:t>
      </w:r>
      <w:r>
        <w:rPr>
          <w:rFonts w:ascii="Bookman Old Style" w:hAnsi="Bookman Old Style"/>
          <w:i/>
          <w:color w:val="231F20"/>
          <w:w w:val="105"/>
          <w:sz w:val="19"/>
        </w:rPr>
        <w:t>4</w:t>
      </w:r>
      <w:r>
        <w:rPr>
          <w:i/>
          <w:color w:val="231F20"/>
          <w:w w:val="105"/>
          <w:sz w:val="19"/>
        </w:rPr>
        <w:t xml:space="preserve">½ months completely isolated in the Dead Wing of Cologne-Ossendorf. Not even </w:t>
      </w:r>
      <w:r>
        <w:rPr>
          <w:i/>
          <w:color w:val="231F20"/>
          <w:spacing w:val="-4"/>
          <w:w w:val="105"/>
          <w:sz w:val="19"/>
        </w:rPr>
        <w:t xml:space="preserve">today, </w:t>
      </w:r>
      <w:r>
        <w:rPr>
          <w:i/>
          <w:color w:val="231F20"/>
          <w:w w:val="105"/>
          <w:sz w:val="19"/>
        </w:rPr>
        <w:t>six</w:t>
      </w:r>
      <w:r>
        <w:rPr>
          <w:i/>
          <w:color w:val="231F20"/>
          <w:spacing w:val="-13"/>
          <w:w w:val="105"/>
          <w:sz w:val="19"/>
        </w:rPr>
        <w:t xml:space="preserve"> </w:t>
      </w:r>
      <w:r>
        <w:rPr>
          <w:i/>
          <w:color w:val="231F20"/>
          <w:w w:val="105"/>
          <w:sz w:val="19"/>
        </w:rPr>
        <w:t>years</w:t>
      </w:r>
      <w:r>
        <w:rPr>
          <w:i/>
          <w:color w:val="231F20"/>
          <w:spacing w:val="-13"/>
          <w:w w:val="105"/>
          <w:sz w:val="19"/>
        </w:rPr>
        <w:t xml:space="preserve"> </w:t>
      </w:r>
      <w:r>
        <w:rPr>
          <w:i/>
          <w:color w:val="231F20"/>
          <w:spacing w:val="-4"/>
          <w:w w:val="105"/>
          <w:sz w:val="19"/>
        </w:rPr>
        <w:t>later,</w:t>
      </w:r>
      <w:r>
        <w:rPr>
          <w:i/>
          <w:color w:val="231F20"/>
          <w:spacing w:val="-18"/>
          <w:w w:val="105"/>
          <w:sz w:val="19"/>
        </w:rPr>
        <w:t xml:space="preserve"> </w:t>
      </w:r>
      <w:r>
        <w:rPr>
          <w:i/>
          <w:color w:val="231F20"/>
          <w:w w:val="105"/>
          <w:sz w:val="19"/>
        </w:rPr>
        <w:t>have</w:t>
      </w:r>
      <w:r>
        <w:rPr>
          <w:i/>
          <w:color w:val="231F20"/>
          <w:spacing w:val="-13"/>
          <w:w w:val="105"/>
          <w:sz w:val="19"/>
        </w:rPr>
        <w:t xml:space="preserve"> </w:t>
      </w:r>
      <w:r>
        <w:rPr>
          <w:i/>
          <w:color w:val="231F20"/>
          <w:w w:val="105"/>
          <w:sz w:val="19"/>
        </w:rPr>
        <w:t>I</w:t>
      </w:r>
      <w:r>
        <w:rPr>
          <w:i/>
          <w:color w:val="231F20"/>
          <w:spacing w:val="-13"/>
          <w:w w:val="105"/>
          <w:sz w:val="19"/>
        </w:rPr>
        <w:t xml:space="preserve"> </w:t>
      </w:r>
      <w:r>
        <w:rPr>
          <w:i/>
          <w:color w:val="231F20"/>
          <w:w w:val="105"/>
          <w:sz w:val="19"/>
        </w:rPr>
        <w:t>completely</w:t>
      </w:r>
      <w:r>
        <w:rPr>
          <w:i/>
          <w:color w:val="231F20"/>
          <w:spacing w:val="-13"/>
          <w:w w:val="105"/>
          <w:sz w:val="19"/>
        </w:rPr>
        <w:t xml:space="preserve"> </w:t>
      </w:r>
      <w:r>
        <w:rPr>
          <w:i/>
          <w:color w:val="231F20"/>
          <w:w w:val="105"/>
          <w:sz w:val="19"/>
        </w:rPr>
        <w:t>recovered</w:t>
      </w:r>
      <w:r>
        <w:rPr>
          <w:i/>
          <w:color w:val="231F20"/>
          <w:spacing w:val="-13"/>
          <w:w w:val="105"/>
          <w:sz w:val="19"/>
        </w:rPr>
        <w:t xml:space="preserve"> </w:t>
      </w:r>
      <w:r>
        <w:rPr>
          <w:i/>
          <w:color w:val="231F20"/>
          <w:w w:val="105"/>
          <w:sz w:val="19"/>
        </w:rPr>
        <w:t>from</w:t>
      </w:r>
      <w:r>
        <w:rPr>
          <w:i/>
          <w:color w:val="231F20"/>
          <w:spacing w:val="-13"/>
          <w:w w:val="105"/>
          <w:sz w:val="19"/>
        </w:rPr>
        <w:t xml:space="preserve"> </w:t>
      </w:r>
      <w:r>
        <w:rPr>
          <w:i/>
          <w:color w:val="231F20"/>
          <w:w w:val="105"/>
          <w:sz w:val="19"/>
        </w:rPr>
        <w:t>that.</w:t>
      </w:r>
      <w:r>
        <w:rPr>
          <w:i/>
          <w:color w:val="231F20"/>
          <w:spacing w:val="-18"/>
          <w:w w:val="105"/>
          <w:sz w:val="19"/>
        </w:rPr>
        <w:t xml:space="preserve"> </w:t>
      </w:r>
      <w:r>
        <w:rPr>
          <w:i/>
          <w:color w:val="231F20"/>
          <w:w w:val="105"/>
          <w:sz w:val="19"/>
        </w:rPr>
        <w:t>I</w:t>
      </w:r>
      <w:r>
        <w:rPr>
          <w:i/>
          <w:color w:val="231F20"/>
          <w:spacing w:val="-13"/>
          <w:w w:val="105"/>
          <w:sz w:val="19"/>
        </w:rPr>
        <w:t xml:space="preserve"> </w:t>
      </w:r>
      <w:r>
        <w:rPr>
          <w:i/>
          <w:color w:val="231F20"/>
          <w:w w:val="105"/>
          <w:sz w:val="19"/>
        </w:rPr>
        <w:t>can’t</w:t>
      </w:r>
      <w:r>
        <w:rPr>
          <w:i/>
          <w:color w:val="231F20"/>
          <w:spacing w:val="-13"/>
          <w:w w:val="105"/>
          <w:sz w:val="19"/>
        </w:rPr>
        <w:t xml:space="preserve"> </w:t>
      </w:r>
      <w:r>
        <w:rPr>
          <w:i/>
          <w:color w:val="231F20"/>
          <w:w w:val="105"/>
          <w:sz w:val="19"/>
        </w:rPr>
        <w:t>stand rooms which are painted white because they remind me of my cell. Silence in a wood can terrify me, it reminds me of the</w:t>
      </w:r>
      <w:r>
        <w:rPr>
          <w:i/>
          <w:color w:val="231F20"/>
          <w:spacing w:val="-14"/>
          <w:w w:val="105"/>
          <w:sz w:val="19"/>
        </w:rPr>
        <w:t xml:space="preserve"> </w:t>
      </w:r>
      <w:r>
        <w:rPr>
          <w:i/>
          <w:color w:val="231F20"/>
          <w:w w:val="105"/>
          <w:sz w:val="19"/>
        </w:rPr>
        <w:t xml:space="preserve">silence in the isolated cell. Darkness makes me so depressive as if my  life were taken </w:t>
      </w:r>
      <w:r>
        <w:rPr>
          <w:i/>
          <w:color w:val="231F20"/>
          <w:spacing w:val="-6"/>
          <w:w w:val="105"/>
          <w:sz w:val="19"/>
        </w:rPr>
        <w:t xml:space="preserve">away. </w:t>
      </w:r>
      <w:r>
        <w:rPr>
          <w:i/>
          <w:color w:val="231F20"/>
          <w:w w:val="105"/>
          <w:sz w:val="19"/>
        </w:rPr>
        <w:t>Solitude causes me as much fear as crowds. Even today I have the feeling occasionally as if I can’t</w:t>
      </w:r>
      <w:r>
        <w:rPr>
          <w:i/>
          <w:color w:val="231F20"/>
          <w:spacing w:val="41"/>
          <w:w w:val="105"/>
          <w:sz w:val="19"/>
        </w:rPr>
        <w:t xml:space="preserve"> </w:t>
      </w:r>
      <w:r>
        <w:rPr>
          <w:i/>
          <w:color w:val="231F20"/>
          <w:w w:val="105"/>
          <w:sz w:val="19"/>
        </w:rPr>
        <w:t>move.</w:t>
      </w:r>
      <w:r>
        <w:rPr>
          <w:i/>
          <w:color w:val="231F20"/>
          <w:w w:val="105"/>
          <w:position w:val="6"/>
          <w:sz w:val="11"/>
        </w:rPr>
        <w:t>2</w:t>
      </w:r>
    </w:p>
    <w:p w14:paraId="21016A57" w14:textId="77777777" w:rsidR="002653E8" w:rsidRDefault="003115E3">
      <w:pPr>
        <w:pStyle w:val="a3"/>
        <w:spacing w:before="132" w:line="264" w:lineRule="auto"/>
        <w:ind w:left="1147" w:right="1326"/>
        <w:jc w:val="both"/>
      </w:pPr>
      <w:r>
        <w:rPr>
          <w:color w:val="231F20"/>
        </w:rPr>
        <w:t>Ulrike Meinhof was held in these conditions for 237 days following her arrest on June 15, 1972, and for shorter periods in December 1973 and February 1975. After eight months of this torture, she wrote:</w:t>
      </w:r>
    </w:p>
    <w:p w14:paraId="4E595123" w14:textId="77777777" w:rsidR="002653E8" w:rsidRDefault="003115E3">
      <w:pPr>
        <w:spacing w:before="125" w:line="276" w:lineRule="auto"/>
        <w:ind w:left="1567" w:right="1745"/>
        <w:jc w:val="both"/>
        <w:rPr>
          <w:i/>
          <w:sz w:val="11"/>
        </w:rPr>
      </w:pPr>
      <w:r>
        <w:rPr>
          <w:i/>
          <w:color w:val="231F20"/>
          <w:w w:val="105"/>
          <w:sz w:val="19"/>
        </w:rPr>
        <w:t xml:space="preserve">I finally realized I had to pull myself out of this, I myself had no right to let these frightful things keep affecting me—it was my duty to fight my </w:t>
      </w:r>
      <w:r>
        <w:rPr>
          <w:i/>
          <w:color w:val="231F20"/>
          <w:spacing w:val="-3"/>
          <w:w w:val="105"/>
          <w:sz w:val="19"/>
        </w:rPr>
        <w:t xml:space="preserve">way </w:t>
      </w:r>
      <w:r>
        <w:rPr>
          <w:i/>
          <w:color w:val="231F20"/>
          <w:w w:val="105"/>
          <w:sz w:val="19"/>
        </w:rPr>
        <w:t xml:space="preserve">out of it. By whatever means there are of doing that in prison: daubing the walls, coming to blows with     a cop, wrecking the fitments, hunger strike. I wanted to make them at least put me under arrest, because then you get to hear something—you don’t have a radio babbling </w:t>
      </w:r>
      <w:r>
        <w:rPr>
          <w:i/>
          <w:color w:val="231F20"/>
          <w:spacing w:val="-6"/>
          <w:w w:val="105"/>
          <w:sz w:val="19"/>
        </w:rPr>
        <w:t xml:space="preserve">away, </w:t>
      </w:r>
      <w:r>
        <w:rPr>
          <w:i/>
          <w:color w:val="231F20"/>
          <w:w w:val="105"/>
          <w:sz w:val="19"/>
        </w:rPr>
        <w:t>only the</w:t>
      </w:r>
      <w:r>
        <w:rPr>
          <w:i/>
          <w:color w:val="231F20"/>
          <w:spacing w:val="-24"/>
          <w:w w:val="105"/>
          <w:sz w:val="19"/>
        </w:rPr>
        <w:t xml:space="preserve"> </w:t>
      </w:r>
      <w:r>
        <w:rPr>
          <w:i/>
          <w:color w:val="231F20"/>
          <w:w w:val="105"/>
          <w:sz w:val="19"/>
        </w:rPr>
        <w:t>bible to</w:t>
      </w:r>
      <w:r>
        <w:rPr>
          <w:i/>
          <w:color w:val="231F20"/>
          <w:spacing w:val="-15"/>
          <w:w w:val="105"/>
          <w:sz w:val="19"/>
        </w:rPr>
        <w:t xml:space="preserve"> </w:t>
      </w:r>
      <w:r>
        <w:rPr>
          <w:i/>
          <w:color w:val="231F20"/>
          <w:w w:val="105"/>
          <w:sz w:val="19"/>
        </w:rPr>
        <w:t>read,</w:t>
      </w:r>
      <w:r>
        <w:rPr>
          <w:i/>
          <w:color w:val="231F20"/>
          <w:spacing w:val="-20"/>
          <w:w w:val="105"/>
          <w:sz w:val="19"/>
        </w:rPr>
        <w:t xml:space="preserve"> </w:t>
      </w:r>
      <w:r>
        <w:rPr>
          <w:i/>
          <w:color w:val="231F20"/>
          <w:w w:val="105"/>
          <w:sz w:val="19"/>
        </w:rPr>
        <w:t>maybe</w:t>
      </w:r>
      <w:r>
        <w:rPr>
          <w:i/>
          <w:color w:val="231F20"/>
          <w:spacing w:val="-15"/>
          <w:w w:val="105"/>
          <w:sz w:val="19"/>
        </w:rPr>
        <w:t xml:space="preserve"> </w:t>
      </w:r>
      <w:r>
        <w:rPr>
          <w:i/>
          <w:color w:val="231F20"/>
          <w:w w:val="105"/>
          <w:sz w:val="19"/>
        </w:rPr>
        <w:t>no</w:t>
      </w:r>
      <w:r>
        <w:rPr>
          <w:i/>
          <w:color w:val="231F20"/>
          <w:spacing w:val="-15"/>
          <w:w w:val="105"/>
          <w:sz w:val="19"/>
        </w:rPr>
        <w:t xml:space="preserve"> </w:t>
      </w:r>
      <w:r>
        <w:rPr>
          <w:i/>
          <w:color w:val="231F20"/>
          <w:w w:val="105"/>
          <w:sz w:val="19"/>
        </w:rPr>
        <w:t>mattress,</w:t>
      </w:r>
      <w:r>
        <w:rPr>
          <w:i/>
          <w:color w:val="231F20"/>
          <w:spacing w:val="-20"/>
          <w:w w:val="105"/>
          <w:sz w:val="19"/>
        </w:rPr>
        <w:t xml:space="preserve"> </w:t>
      </w:r>
      <w:r>
        <w:rPr>
          <w:i/>
          <w:color w:val="231F20"/>
          <w:w w:val="105"/>
          <w:sz w:val="19"/>
        </w:rPr>
        <w:t>no</w:t>
      </w:r>
      <w:r>
        <w:rPr>
          <w:i/>
          <w:color w:val="231F20"/>
          <w:spacing w:val="-15"/>
          <w:w w:val="105"/>
          <w:sz w:val="19"/>
        </w:rPr>
        <w:t xml:space="preserve"> </w:t>
      </w:r>
      <w:r>
        <w:rPr>
          <w:i/>
          <w:color w:val="231F20"/>
          <w:spacing w:val="-3"/>
          <w:w w:val="105"/>
          <w:sz w:val="19"/>
        </w:rPr>
        <w:t>window,</w:t>
      </w:r>
      <w:r>
        <w:rPr>
          <w:i/>
          <w:color w:val="231F20"/>
          <w:spacing w:val="-20"/>
          <w:w w:val="105"/>
          <w:sz w:val="19"/>
        </w:rPr>
        <w:t xml:space="preserve"> </w:t>
      </w:r>
      <w:r>
        <w:rPr>
          <w:i/>
          <w:color w:val="231F20"/>
          <w:w w:val="105"/>
          <w:sz w:val="19"/>
        </w:rPr>
        <w:t>etc.—but</w:t>
      </w:r>
      <w:r>
        <w:rPr>
          <w:i/>
          <w:color w:val="231F20"/>
          <w:spacing w:val="-15"/>
          <w:w w:val="105"/>
          <w:sz w:val="19"/>
        </w:rPr>
        <w:t xml:space="preserve"> </w:t>
      </w:r>
      <w:r>
        <w:rPr>
          <w:i/>
          <w:color w:val="231F20"/>
          <w:spacing w:val="-3"/>
          <w:w w:val="105"/>
          <w:sz w:val="19"/>
        </w:rPr>
        <w:t>that’s</w:t>
      </w:r>
      <w:r>
        <w:rPr>
          <w:i/>
          <w:color w:val="231F20"/>
          <w:spacing w:val="-15"/>
          <w:w w:val="105"/>
          <w:sz w:val="19"/>
        </w:rPr>
        <w:t xml:space="preserve"> </w:t>
      </w:r>
      <w:r>
        <w:rPr>
          <w:i/>
          <w:color w:val="231F20"/>
          <w:w w:val="105"/>
          <w:sz w:val="19"/>
        </w:rPr>
        <w:t>a</w:t>
      </w:r>
      <w:r>
        <w:rPr>
          <w:i/>
          <w:color w:val="231F20"/>
          <w:spacing w:val="-15"/>
          <w:w w:val="105"/>
          <w:sz w:val="19"/>
        </w:rPr>
        <w:t xml:space="preserve"> </w:t>
      </w:r>
      <w:r>
        <w:rPr>
          <w:i/>
          <w:color w:val="231F20"/>
          <w:w w:val="105"/>
          <w:sz w:val="19"/>
        </w:rPr>
        <w:t>different kind</w:t>
      </w:r>
      <w:r>
        <w:rPr>
          <w:i/>
          <w:color w:val="231F20"/>
          <w:spacing w:val="-9"/>
          <w:w w:val="105"/>
          <w:sz w:val="19"/>
        </w:rPr>
        <w:t xml:space="preserve"> </w:t>
      </w:r>
      <w:r>
        <w:rPr>
          <w:i/>
          <w:color w:val="231F20"/>
          <w:w w:val="105"/>
          <w:sz w:val="19"/>
        </w:rPr>
        <w:t>of</w:t>
      </w:r>
      <w:r>
        <w:rPr>
          <w:i/>
          <w:color w:val="231F20"/>
          <w:spacing w:val="-9"/>
          <w:w w:val="105"/>
          <w:sz w:val="19"/>
        </w:rPr>
        <w:t xml:space="preserve"> </w:t>
      </w:r>
      <w:r>
        <w:rPr>
          <w:i/>
          <w:color w:val="231F20"/>
          <w:w w:val="105"/>
          <w:sz w:val="19"/>
        </w:rPr>
        <w:t>torture</w:t>
      </w:r>
      <w:r>
        <w:rPr>
          <w:i/>
          <w:color w:val="231F20"/>
          <w:spacing w:val="-9"/>
          <w:w w:val="105"/>
          <w:sz w:val="19"/>
        </w:rPr>
        <w:t xml:space="preserve"> </w:t>
      </w:r>
      <w:r>
        <w:rPr>
          <w:i/>
          <w:color w:val="231F20"/>
          <w:w w:val="105"/>
          <w:sz w:val="19"/>
        </w:rPr>
        <w:t>from</w:t>
      </w:r>
      <w:r>
        <w:rPr>
          <w:i/>
          <w:color w:val="231F20"/>
          <w:spacing w:val="-9"/>
          <w:w w:val="105"/>
          <w:sz w:val="19"/>
        </w:rPr>
        <w:t xml:space="preserve"> </w:t>
      </w:r>
      <w:r>
        <w:rPr>
          <w:i/>
          <w:color w:val="231F20"/>
          <w:w w:val="105"/>
          <w:sz w:val="19"/>
        </w:rPr>
        <w:t>not</w:t>
      </w:r>
      <w:r>
        <w:rPr>
          <w:i/>
          <w:color w:val="231F20"/>
          <w:spacing w:val="-9"/>
          <w:w w:val="105"/>
          <w:sz w:val="19"/>
        </w:rPr>
        <w:t xml:space="preserve"> </w:t>
      </w:r>
      <w:r>
        <w:rPr>
          <w:i/>
          <w:color w:val="231F20"/>
          <w:w w:val="105"/>
          <w:sz w:val="19"/>
        </w:rPr>
        <w:t>hearing</w:t>
      </w:r>
      <w:r>
        <w:rPr>
          <w:i/>
          <w:color w:val="231F20"/>
          <w:spacing w:val="-9"/>
          <w:w w:val="105"/>
          <w:sz w:val="19"/>
        </w:rPr>
        <w:t xml:space="preserve"> </w:t>
      </w:r>
      <w:r>
        <w:rPr>
          <w:i/>
          <w:color w:val="231F20"/>
          <w:w w:val="105"/>
          <w:sz w:val="19"/>
        </w:rPr>
        <w:t>anything.</w:t>
      </w:r>
      <w:r>
        <w:rPr>
          <w:i/>
          <w:color w:val="231F20"/>
          <w:spacing w:val="-21"/>
          <w:w w:val="105"/>
          <w:sz w:val="19"/>
        </w:rPr>
        <w:t xml:space="preserve"> </w:t>
      </w:r>
      <w:r>
        <w:rPr>
          <w:i/>
          <w:color w:val="231F20"/>
          <w:w w:val="105"/>
          <w:sz w:val="19"/>
        </w:rPr>
        <w:t>And</w:t>
      </w:r>
      <w:r>
        <w:rPr>
          <w:i/>
          <w:color w:val="231F20"/>
          <w:spacing w:val="-9"/>
          <w:w w:val="105"/>
          <w:sz w:val="19"/>
        </w:rPr>
        <w:t xml:space="preserve"> </w:t>
      </w:r>
      <w:r>
        <w:rPr>
          <w:i/>
          <w:color w:val="231F20"/>
          <w:w w:val="105"/>
          <w:sz w:val="19"/>
        </w:rPr>
        <w:t>obviously</w:t>
      </w:r>
      <w:r>
        <w:rPr>
          <w:i/>
          <w:color w:val="231F20"/>
          <w:spacing w:val="-9"/>
          <w:w w:val="105"/>
          <w:sz w:val="19"/>
        </w:rPr>
        <w:t xml:space="preserve"> </w:t>
      </w:r>
      <w:r>
        <w:rPr>
          <w:i/>
          <w:color w:val="231F20"/>
          <w:w w:val="105"/>
          <w:sz w:val="19"/>
        </w:rPr>
        <w:t>it</w:t>
      </w:r>
      <w:r>
        <w:rPr>
          <w:i/>
          <w:color w:val="231F20"/>
          <w:spacing w:val="-9"/>
          <w:w w:val="105"/>
          <w:sz w:val="19"/>
        </w:rPr>
        <w:t xml:space="preserve"> </w:t>
      </w:r>
      <w:r>
        <w:rPr>
          <w:i/>
          <w:color w:val="231F20"/>
          <w:w w:val="105"/>
          <w:sz w:val="19"/>
        </w:rPr>
        <w:t>would have been a relief to</w:t>
      </w:r>
      <w:r>
        <w:rPr>
          <w:i/>
          <w:color w:val="231F20"/>
          <w:spacing w:val="37"/>
          <w:w w:val="105"/>
          <w:sz w:val="19"/>
        </w:rPr>
        <w:t xml:space="preserve"> </w:t>
      </w:r>
      <w:r>
        <w:rPr>
          <w:i/>
          <w:color w:val="231F20"/>
          <w:w w:val="105"/>
          <w:sz w:val="19"/>
        </w:rPr>
        <w:t>me…</w:t>
      </w:r>
      <w:r>
        <w:rPr>
          <w:i/>
          <w:color w:val="231F20"/>
          <w:w w:val="105"/>
          <w:position w:val="6"/>
          <w:sz w:val="11"/>
        </w:rPr>
        <w:t>3</w:t>
      </w:r>
    </w:p>
    <w:p w14:paraId="538A9B22" w14:textId="77777777" w:rsidR="002653E8" w:rsidRDefault="003115E3">
      <w:pPr>
        <w:pStyle w:val="a3"/>
        <w:spacing w:before="135"/>
        <w:ind w:left="1147"/>
        <w:jc w:val="both"/>
      </w:pPr>
      <w:r>
        <w:rPr>
          <w:color w:val="231F20"/>
          <w:w w:val="105"/>
        </w:rPr>
        <w:t>Through it all, she would remain unbroken.</w:t>
      </w:r>
    </w:p>
    <w:p w14:paraId="076E4504" w14:textId="77777777" w:rsidR="002653E8" w:rsidRDefault="00000000">
      <w:pPr>
        <w:pStyle w:val="a3"/>
        <w:spacing w:before="4"/>
        <w:rPr>
          <w:sz w:val="13"/>
        </w:rPr>
      </w:pPr>
      <w:r>
        <w:rPr>
          <w:noProof w:val="0"/>
        </w:rPr>
        <w:pict w14:anchorId="2F4F086F">
          <v:line id="_x0000_s2442" style="position:absolute;z-index:6088;mso-wrap-distance-left:0;mso-wrap-distance-right:0;mso-position-horizontal-relative:page" from="57.4pt,10.05pt" to="129.4pt,10.05pt" strokecolor="#231f20" strokeweight=".5pt">
            <w10:wrap type="topAndBottom" anchorx="page"/>
          </v:line>
        </w:pict>
      </w:r>
    </w:p>
    <w:p w14:paraId="2C5A5FE1" w14:textId="77777777" w:rsidR="002653E8" w:rsidRDefault="003115E3">
      <w:pPr>
        <w:spacing w:before="53"/>
        <w:ind w:left="1147"/>
        <w:rPr>
          <w:sz w:val="16"/>
        </w:rPr>
      </w:pPr>
      <w:r>
        <w:rPr>
          <w:color w:val="231F20"/>
          <w:w w:val="115"/>
          <w:sz w:val="16"/>
        </w:rPr>
        <w:t>1 Ibid., 12.</w:t>
      </w:r>
    </w:p>
    <w:p w14:paraId="221D01C6" w14:textId="77777777" w:rsidR="002653E8" w:rsidRDefault="003115E3">
      <w:pPr>
        <w:spacing w:before="51" w:line="254" w:lineRule="auto"/>
        <w:ind w:left="1147" w:right="1580"/>
        <w:rPr>
          <w:sz w:val="16"/>
        </w:rPr>
      </w:pPr>
      <w:r>
        <w:rPr>
          <w:color w:val="231F20"/>
          <w:sz w:val="16"/>
        </w:rPr>
        <w:t xml:space="preserve">2 Friends of Astrid Proll, </w:t>
      </w:r>
      <w:r>
        <w:rPr>
          <w:i/>
          <w:color w:val="231F20"/>
          <w:spacing w:val="1"/>
          <w:sz w:val="16"/>
        </w:rPr>
        <w:t xml:space="preserve">Astrid </w:t>
      </w:r>
      <w:r>
        <w:rPr>
          <w:i/>
          <w:color w:val="231F20"/>
          <w:sz w:val="16"/>
        </w:rPr>
        <w:t xml:space="preserve">Proll: The  </w:t>
      </w:r>
      <w:r>
        <w:rPr>
          <w:i/>
          <w:color w:val="231F20"/>
          <w:spacing w:val="2"/>
          <w:sz w:val="16"/>
        </w:rPr>
        <w:t xml:space="preserve">Case  </w:t>
      </w:r>
      <w:r>
        <w:rPr>
          <w:i/>
          <w:color w:val="231F20"/>
          <w:sz w:val="16"/>
        </w:rPr>
        <w:t xml:space="preserve">Against  Her  Extradition  </w:t>
      </w:r>
      <w:r>
        <w:rPr>
          <w:color w:val="231F20"/>
          <w:sz w:val="16"/>
        </w:rPr>
        <w:t xml:space="preserve">(London:  </w:t>
      </w:r>
      <w:r>
        <w:rPr>
          <w:color w:val="231F20"/>
          <w:spacing w:val="-3"/>
          <w:sz w:val="16"/>
        </w:rPr>
        <w:t xml:space="preserve">1978), </w:t>
      </w:r>
      <w:r>
        <w:rPr>
          <w:color w:val="231F20"/>
          <w:sz w:val="16"/>
        </w:rPr>
        <w:t>8. It is worth  remembering  that  she  was  being  charged  with  attempted murder for shooting at police, an incident that the state already knew  had  not happened,</w:t>
      </w:r>
      <w:r>
        <w:rPr>
          <w:color w:val="231F20"/>
          <w:spacing w:val="27"/>
          <w:sz w:val="16"/>
        </w:rPr>
        <w:t xml:space="preserve"> </w:t>
      </w:r>
      <w:r>
        <w:rPr>
          <w:color w:val="231F20"/>
          <w:sz w:val="16"/>
        </w:rPr>
        <w:t>thanks</w:t>
      </w:r>
      <w:r>
        <w:rPr>
          <w:color w:val="231F20"/>
          <w:spacing w:val="27"/>
          <w:sz w:val="16"/>
        </w:rPr>
        <w:t xml:space="preserve"> </w:t>
      </w:r>
      <w:r>
        <w:rPr>
          <w:color w:val="231F20"/>
          <w:sz w:val="16"/>
        </w:rPr>
        <w:t>to</w:t>
      </w:r>
      <w:r>
        <w:rPr>
          <w:color w:val="231F20"/>
          <w:spacing w:val="27"/>
          <w:sz w:val="16"/>
        </w:rPr>
        <w:t xml:space="preserve"> </w:t>
      </w:r>
      <w:r>
        <w:rPr>
          <w:color w:val="231F20"/>
          <w:sz w:val="16"/>
        </w:rPr>
        <w:t>the</w:t>
      </w:r>
      <w:r>
        <w:rPr>
          <w:color w:val="231F20"/>
          <w:spacing w:val="27"/>
          <w:sz w:val="16"/>
        </w:rPr>
        <w:t xml:space="preserve"> </w:t>
      </w:r>
      <w:r>
        <w:rPr>
          <w:color w:val="231F20"/>
          <w:sz w:val="16"/>
        </w:rPr>
        <w:t>surveillance</w:t>
      </w:r>
      <w:r>
        <w:rPr>
          <w:color w:val="231F20"/>
          <w:spacing w:val="27"/>
          <w:sz w:val="16"/>
        </w:rPr>
        <w:t xml:space="preserve"> </w:t>
      </w:r>
      <w:r>
        <w:rPr>
          <w:color w:val="231F20"/>
          <w:sz w:val="16"/>
        </w:rPr>
        <w:t>reports</w:t>
      </w:r>
      <w:r>
        <w:rPr>
          <w:color w:val="231F20"/>
          <w:spacing w:val="27"/>
          <w:sz w:val="16"/>
        </w:rPr>
        <w:t xml:space="preserve"> </w:t>
      </w:r>
      <w:r>
        <w:rPr>
          <w:color w:val="231F20"/>
          <w:sz w:val="16"/>
        </w:rPr>
        <w:t>of</w:t>
      </w:r>
      <w:r>
        <w:rPr>
          <w:color w:val="231F20"/>
          <w:spacing w:val="27"/>
          <w:sz w:val="16"/>
        </w:rPr>
        <w:t xml:space="preserve"> </w:t>
      </w:r>
      <w:r>
        <w:rPr>
          <w:color w:val="231F20"/>
          <w:sz w:val="16"/>
        </w:rPr>
        <w:t>its</w:t>
      </w:r>
      <w:r>
        <w:rPr>
          <w:color w:val="231F20"/>
          <w:spacing w:val="27"/>
          <w:sz w:val="16"/>
        </w:rPr>
        <w:t xml:space="preserve"> </w:t>
      </w:r>
      <w:r>
        <w:rPr>
          <w:color w:val="231F20"/>
          <w:sz w:val="16"/>
        </w:rPr>
        <w:t>own</w:t>
      </w:r>
      <w:r>
        <w:rPr>
          <w:color w:val="231F20"/>
          <w:spacing w:val="27"/>
          <w:sz w:val="16"/>
        </w:rPr>
        <w:t xml:space="preserve"> </w:t>
      </w:r>
      <w:r>
        <w:rPr>
          <w:color w:val="231F20"/>
          <w:sz w:val="16"/>
        </w:rPr>
        <w:t>intelligence</w:t>
      </w:r>
      <w:r>
        <w:rPr>
          <w:color w:val="231F20"/>
          <w:spacing w:val="27"/>
          <w:sz w:val="16"/>
        </w:rPr>
        <w:t xml:space="preserve"> </w:t>
      </w:r>
      <w:r>
        <w:rPr>
          <w:color w:val="231F20"/>
          <w:sz w:val="16"/>
        </w:rPr>
        <w:t>agents.</w:t>
      </w:r>
      <w:r>
        <w:rPr>
          <w:color w:val="231F20"/>
          <w:spacing w:val="27"/>
          <w:sz w:val="16"/>
        </w:rPr>
        <w:t xml:space="preserve"> </w:t>
      </w:r>
      <w:r>
        <w:rPr>
          <w:color w:val="231F20"/>
          <w:sz w:val="16"/>
        </w:rPr>
        <w:t>Cf</w:t>
      </w:r>
      <w:r>
        <w:rPr>
          <w:color w:val="231F20"/>
          <w:spacing w:val="28"/>
          <w:sz w:val="16"/>
        </w:rPr>
        <w:t xml:space="preserve"> </w:t>
      </w:r>
      <w:r>
        <w:rPr>
          <w:color w:val="231F20"/>
          <w:sz w:val="16"/>
        </w:rPr>
        <w:t>60.</w:t>
      </w:r>
    </w:p>
    <w:p w14:paraId="4DD9C3E6" w14:textId="77777777" w:rsidR="002653E8" w:rsidRDefault="003115E3">
      <w:pPr>
        <w:spacing w:before="42"/>
        <w:ind w:left="1147"/>
        <w:rPr>
          <w:sz w:val="16"/>
        </w:rPr>
      </w:pPr>
      <w:r>
        <w:rPr>
          <w:color w:val="231F20"/>
          <w:w w:val="110"/>
          <w:sz w:val="16"/>
        </w:rPr>
        <w:t>3 Aust, 246.</w:t>
      </w:r>
    </w:p>
    <w:p w14:paraId="363D2685" w14:textId="77777777" w:rsidR="002653E8" w:rsidRDefault="002653E8">
      <w:pPr>
        <w:rPr>
          <w:sz w:val="16"/>
        </w:rPr>
        <w:sectPr w:rsidR="002653E8">
          <w:pgSz w:w="8640" w:h="12960"/>
          <w:pgMar w:top="1060" w:right="0" w:bottom="1040" w:left="0" w:header="0" w:footer="850" w:gutter="0"/>
          <w:cols w:space="720"/>
        </w:sectPr>
      </w:pPr>
    </w:p>
    <w:p w14:paraId="62FB9F98" w14:textId="77777777" w:rsidR="002653E8" w:rsidRDefault="003115E3">
      <w:pPr>
        <w:pStyle w:val="a3"/>
        <w:spacing w:before="86" w:line="264" w:lineRule="auto"/>
        <w:ind w:left="1327" w:right="1146" w:firstLine="210"/>
        <w:jc w:val="both"/>
      </w:pPr>
      <w:r>
        <w:rPr>
          <w:color w:val="231F20"/>
        </w:rPr>
        <w:lastRenderedPageBreak/>
        <w:t xml:space="preserve">Having failed to destroy Meinhof through such severe isolation, the state moved to directly and medically attack her brain. On the basis of an operation she had undergone in </w:t>
      </w:r>
      <w:r>
        <w:rPr>
          <w:color w:val="231F20"/>
          <w:spacing w:val="-5"/>
        </w:rPr>
        <w:t xml:space="preserve">1962 </w:t>
      </w:r>
      <w:r>
        <w:rPr>
          <w:color w:val="231F20"/>
        </w:rPr>
        <w:t>to correct a swollen blood vessel in her brain, Federal Prosecutor Peter Zeis theorized that her political</w:t>
      </w:r>
      <w:r>
        <w:rPr>
          <w:color w:val="231F20"/>
          <w:spacing w:val="10"/>
        </w:rPr>
        <w:t xml:space="preserve"> </w:t>
      </w:r>
      <w:r>
        <w:rPr>
          <w:color w:val="231F20"/>
        </w:rPr>
        <w:t>behavior</w:t>
      </w:r>
      <w:r>
        <w:rPr>
          <w:color w:val="231F20"/>
          <w:spacing w:val="10"/>
        </w:rPr>
        <w:t xml:space="preserve"> </w:t>
      </w:r>
      <w:r>
        <w:rPr>
          <w:color w:val="231F20"/>
        </w:rPr>
        <w:t>might</w:t>
      </w:r>
      <w:r>
        <w:rPr>
          <w:color w:val="231F20"/>
          <w:spacing w:val="10"/>
        </w:rPr>
        <w:t xml:space="preserve"> </w:t>
      </w:r>
      <w:r>
        <w:rPr>
          <w:color w:val="231F20"/>
        </w:rPr>
        <w:t>be</w:t>
      </w:r>
      <w:r>
        <w:rPr>
          <w:color w:val="231F20"/>
          <w:spacing w:val="10"/>
        </w:rPr>
        <w:t xml:space="preserve"> </w:t>
      </w:r>
      <w:r>
        <w:rPr>
          <w:color w:val="231F20"/>
        </w:rPr>
        <w:t>the</w:t>
      </w:r>
      <w:r>
        <w:rPr>
          <w:color w:val="231F20"/>
          <w:spacing w:val="10"/>
        </w:rPr>
        <w:t xml:space="preserve"> </w:t>
      </w:r>
      <w:r>
        <w:rPr>
          <w:color w:val="231F20"/>
        </w:rPr>
        <w:t>result</w:t>
      </w:r>
      <w:r>
        <w:rPr>
          <w:color w:val="231F20"/>
          <w:spacing w:val="10"/>
        </w:rPr>
        <w:t xml:space="preserve"> </w:t>
      </w:r>
      <w:r>
        <w:rPr>
          <w:color w:val="231F20"/>
        </w:rPr>
        <w:t>of</w:t>
      </w:r>
      <w:r>
        <w:rPr>
          <w:color w:val="231F20"/>
          <w:spacing w:val="10"/>
        </w:rPr>
        <w:t xml:space="preserve"> </w:t>
      </w:r>
      <w:r>
        <w:rPr>
          <w:color w:val="231F20"/>
        </w:rPr>
        <w:t>some</w:t>
      </w:r>
      <w:r>
        <w:rPr>
          <w:color w:val="231F20"/>
          <w:spacing w:val="10"/>
        </w:rPr>
        <w:t xml:space="preserve"> </w:t>
      </w:r>
      <w:r>
        <w:rPr>
          <w:color w:val="231F20"/>
        </w:rPr>
        <w:t>neurological</w:t>
      </w:r>
      <w:r>
        <w:rPr>
          <w:color w:val="231F20"/>
          <w:spacing w:val="10"/>
        </w:rPr>
        <w:t xml:space="preserve"> </w:t>
      </w:r>
      <w:r>
        <w:rPr>
          <w:color w:val="231F20"/>
        </w:rPr>
        <w:t>problem.</w:t>
      </w:r>
    </w:p>
    <w:p w14:paraId="6A267DE8" w14:textId="77777777" w:rsidR="002653E8" w:rsidRDefault="003115E3">
      <w:pPr>
        <w:pStyle w:val="a3"/>
        <w:spacing w:line="264" w:lineRule="auto"/>
        <w:ind w:left="1327" w:right="1146" w:firstLine="210"/>
        <w:jc w:val="both"/>
        <w:rPr>
          <w:sz w:val="11"/>
        </w:rPr>
      </w:pPr>
      <w:r>
        <w:rPr>
          <w:color w:val="231F20"/>
          <w:spacing w:val="1"/>
        </w:rPr>
        <w:t xml:space="preserve">In </w:t>
      </w:r>
      <w:r>
        <w:rPr>
          <w:color w:val="231F20"/>
        </w:rPr>
        <w:t xml:space="preserve">a letter dated April </w:t>
      </w:r>
      <w:r>
        <w:rPr>
          <w:color w:val="231F20"/>
          <w:spacing w:val="-4"/>
        </w:rPr>
        <w:t xml:space="preserve">18,  </w:t>
      </w:r>
      <w:r>
        <w:rPr>
          <w:color w:val="231F20"/>
          <w:spacing w:val="-5"/>
        </w:rPr>
        <w:t xml:space="preserve">1973,  </w:t>
      </w:r>
      <w:r>
        <w:rPr>
          <w:color w:val="231F20"/>
        </w:rPr>
        <w:t>Zeis asked the right-wing</w:t>
      </w:r>
      <w:r>
        <w:rPr>
          <w:color w:val="231F20"/>
          <w:position w:val="7"/>
          <w:sz w:val="11"/>
        </w:rPr>
        <w:t xml:space="preserve">4  </w:t>
      </w:r>
      <w:r>
        <w:rPr>
          <w:color w:val="231F20"/>
        </w:rPr>
        <w:t xml:space="preserve">director  of the University of Homburg-Saar’s Institute for Forensic  Medicine  and Psychiatry, </w:t>
      </w:r>
      <w:r>
        <w:rPr>
          <w:color w:val="231F20"/>
          <w:spacing w:val="-3"/>
        </w:rPr>
        <w:t xml:space="preserve">Dr. </w:t>
      </w:r>
      <w:r>
        <w:rPr>
          <w:color w:val="231F20"/>
        </w:rPr>
        <w:t xml:space="preserve">Hermann Witter, to ascertain what interventions might prove necessary. </w:t>
      </w:r>
      <w:r>
        <w:rPr>
          <w:color w:val="231F20"/>
          <w:spacing w:val="1"/>
        </w:rPr>
        <w:t xml:space="preserve">In </w:t>
      </w:r>
      <w:r>
        <w:rPr>
          <w:color w:val="231F20"/>
        </w:rPr>
        <w:t xml:space="preserve">a letter dated May </w:t>
      </w:r>
      <w:r>
        <w:rPr>
          <w:color w:val="231F20"/>
          <w:spacing w:val="-3"/>
        </w:rPr>
        <w:t xml:space="preserve">10, </w:t>
      </w:r>
      <w:r>
        <w:rPr>
          <w:color w:val="231F20"/>
        </w:rPr>
        <w:t xml:space="preserve">Witter responded that he felt both x-rays and a scintigraphy—a routine and normally harmless diagnostic test which involves the injection of radioisotopes—would be required to establish a diagnosis. On July </w:t>
      </w:r>
      <w:r>
        <w:rPr>
          <w:color w:val="231F20"/>
          <w:spacing w:val="-6"/>
        </w:rPr>
        <w:t xml:space="preserve">13, </w:t>
      </w:r>
      <w:r>
        <w:rPr>
          <w:color w:val="231F20"/>
        </w:rPr>
        <w:t>Federal Supreme Court Judge Knoblich ruled that the state could proceed with  these  tests,  even against Meinhof’s will, and with the use of constraining devices    or anesthesia if she resisted.</w:t>
      </w:r>
      <w:r>
        <w:rPr>
          <w:color w:val="231F20"/>
          <w:position w:val="7"/>
          <w:sz w:val="11"/>
        </w:rPr>
        <w:t xml:space="preserve">5 </w:t>
      </w:r>
      <w:r>
        <w:rPr>
          <w:color w:val="231F20"/>
        </w:rPr>
        <w:t>Correspondence between Witter and the Attorney General indicates that an appropriate diagnosis would have been used to mandate neurosurgery, regardless of the prisoner or her relatives’</w:t>
      </w:r>
      <w:r>
        <w:rPr>
          <w:color w:val="231F20"/>
          <w:spacing w:val="10"/>
        </w:rPr>
        <w:t xml:space="preserve"> </w:t>
      </w:r>
      <w:r>
        <w:rPr>
          <w:color w:val="231F20"/>
        </w:rPr>
        <w:t>wishes.</w:t>
      </w:r>
      <w:r>
        <w:rPr>
          <w:color w:val="231F20"/>
          <w:position w:val="7"/>
          <w:sz w:val="11"/>
        </w:rPr>
        <w:t>6</w:t>
      </w:r>
    </w:p>
    <w:p w14:paraId="61B91880" w14:textId="77777777" w:rsidR="002653E8" w:rsidRDefault="003115E3">
      <w:pPr>
        <w:pStyle w:val="a3"/>
        <w:spacing w:line="221" w:lineRule="exact"/>
        <w:ind w:left="1537"/>
      </w:pPr>
      <w:r>
        <w:rPr>
          <w:color w:val="231F20"/>
        </w:rPr>
        <w:t xml:space="preserve">All of this was a transparent attempt to discredit the </w:t>
      </w:r>
      <w:r w:rsidR="00C507A5">
        <w:rPr>
          <w:color w:val="231F20"/>
        </w:rPr>
        <w:t>red army faction</w:t>
      </w:r>
      <w:r>
        <w:rPr>
          <w:color w:val="231F20"/>
        </w:rPr>
        <w:t xml:space="preserve"> by patholo-</w:t>
      </w:r>
    </w:p>
    <w:p w14:paraId="14EDE3EF" w14:textId="77777777" w:rsidR="002653E8" w:rsidRDefault="003115E3">
      <w:pPr>
        <w:pStyle w:val="a3"/>
        <w:spacing w:before="17" w:line="264" w:lineRule="auto"/>
        <w:ind w:left="1328" w:right="1145"/>
        <w:rPr>
          <w:sz w:val="11"/>
        </w:rPr>
      </w:pPr>
      <w:r>
        <w:rPr>
          <w:color w:val="231F20"/>
          <w:w w:val="105"/>
        </w:rPr>
        <w:t>gizing</w:t>
      </w:r>
      <w:r>
        <w:rPr>
          <w:color w:val="231F20"/>
          <w:spacing w:val="-12"/>
          <w:w w:val="105"/>
        </w:rPr>
        <w:t xml:space="preserve"> </w:t>
      </w:r>
      <w:r>
        <w:rPr>
          <w:color w:val="231F20"/>
          <w:w w:val="105"/>
        </w:rPr>
        <w:t>Meinhof:</w:t>
      </w:r>
      <w:r>
        <w:rPr>
          <w:color w:val="231F20"/>
          <w:spacing w:val="-12"/>
          <w:w w:val="105"/>
        </w:rPr>
        <w:t xml:space="preserve"> </w:t>
      </w:r>
      <w:r>
        <w:rPr>
          <w:color w:val="231F20"/>
          <w:w w:val="105"/>
        </w:rPr>
        <w:t>“It</w:t>
      </w:r>
      <w:r>
        <w:rPr>
          <w:color w:val="231F20"/>
          <w:spacing w:val="-12"/>
          <w:w w:val="105"/>
        </w:rPr>
        <w:t xml:space="preserve"> </w:t>
      </w:r>
      <w:r>
        <w:rPr>
          <w:color w:val="231F20"/>
          <w:w w:val="105"/>
        </w:rPr>
        <w:t>would</w:t>
      </w:r>
      <w:r>
        <w:rPr>
          <w:color w:val="231F20"/>
          <w:spacing w:val="-12"/>
          <w:w w:val="105"/>
        </w:rPr>
        <w:t xml:space="preserve"> </w:t>
      </w:r>
      <w:r>
        <w:rPr>
          <w:color w:val="231F20"/>
          <w:w w:val="105"/>
        </w:rPr>
        <w:t>be</w:t>
      </w:r>
      <w:r>
        <w:rPr>
          <w:color w:val="231F20"/>
          <w:spacing w:val="-12"/>
          <w:w w:val="105"/>
        </w:rPr>
        <w:t xml:space="preserve"> </w:t>
      </w:r>
      <w:r>
        <w:rPr>
          <w:color w:val="231F20"/>
          <w:w w:val="105"/>
        </w:rPr>
        <w:t>so</w:t>
      </w:r>
      <w:r>
        <w:rPr>
          <w:color w:val="231F20"/>
          <w:spacing w:val="-12"/>
          <w:w w:val="105"/>
        </w:rPr>
        <w:t xml:space="preserve"> </w:t>
      </w:r>
      <w:r>
        <w:rPr>
          <w:color w:val="231F20"/>
          <w:w w:val="105"/>
        </w:rPr>
        <w:t>embarrassing,”</w:t>
      </w:r>
      <w:r>
        <w:rPr>
          <w:color w:val="231F20"/>
          <w:spacing w:val="-12"/>
          <w:w w:val="105"/>
        </w:rPr>
        <w:t xml:space="preserve"> </w:t>
      </w:r>
      <w:r>
        <w:rPr>
          <w:color w:val="231F20"/>
          <w:w w:val="105"/>
        </w:rPr>
        <w:t>Zeis</w:t>
      </w:r>
      <w:r>
        <w:rPr>
          <w:color w:val="231F20"/>
          <w:spacing w:val="-12"/>
          <w:w w:val="105"/>
        </w:rPr>
        <w:t xml:space="preserve"> </w:t>
      </w:r>
      <w:r>
        <w:rPr>
          <w:color w:val="231F20"/>
          <w:w w:val="105"/>
        </w:rPr>
        <w:t>mused</w:t>
      </w:r>
      <w:r>
        <w:rPr>
          <w:color w:val="231F20"/>
          <w:spacing w:val="-12"/>
          <w:w w:val="105"/>
        </w:rPr>
        <w:t xml:space="preserve"> </w:t>
      </w:r>
      <w:r>
        <w:rPr>
          <w:color w:val="231F20"/>
          <w:w w:val="105"/>
        </w:rPr>
        <w:t>at</w:t>
      </w:r>
      <w:r>
        <w:rPr>
          <w:color w:val="231F20"/>
          <w:spacing w:val="-12"/>
          <w:w w:val="105"/>
        </w:rPr>
        <w:t xml:space="preserve"> </w:t>
      </w:r>
      <w:r>
        <w:rPr>
          <w:color w:val="231F20"/>
          <w:w w:val="105"/>
        </w:rPr>
        <w:t>the</w:t>
      </w:r>
      <w:r>
        <w:rPr>
          <w:color w:val="231F20"/>
          <w:spacing w:val="-12"/>
          <w:w w:val="105"/>
        </w:rPr>
        <w:t xml:space="preserve"> </w:t>
      </w:r>
      <w:r>
        <w:rPr>
          <w:color w:val="231F20"/>
          <w:w w:val="105"/>
        </w:rPr>
        <w:t>time, “if it turned out that all the people began to follow a mad</w:t>
      </w:r>
      <w:r>
        <w:rPr>
          <w:color w:val="231F20"/>
          <w:spacing w:val="5"/>
          <w:w w:val="105"/>
        </w:rPr>
        <w:t xml:space="preserve"> </w:t>
      </w:r>
      <w:r>
        <w:rPr>
          <w:color w:val="231F20"/>
          <w:w w:val="105"/>
        </w:rPr>
        <w:t>woman.”</w:t>
      </w:r>
      <w:r>
        <w:rPr>
          <w:color w:val="231F20"/>
          <w:w w:val="105"/>
          <w:position w:val="7"/>
          <w:sz w:val="11"/>
        </w:rPr>
        <w:t>7</w:t>
      </w:r>
    </w:p>
    <w:p w14:paraId="054DFDDA" w14:textId="77777777" w:rsidR="002653E8" w:rsidRDefault="003115E3">
      <w:pPr>
        <w:pStyle w:val="a3"/>
        <w:spacing w:line="264" w:lineRule="auto"/>
        <w:ind w:left="1327" w:right="1146" w:firstLine="210"/>
        <w:jc w:val="both"/>
      </w:pPr>
      <w:r>
        <w:rPr>
          <w:color w:val="231F20"/>
        </w:rPr>
        <w:t>It was only through public protests organized by the prisoner support group Red Aid, which mobilized many doctors, that the  government was forced to drop its plan.</w:t>
      </w:r>
      <w:r>
        <w:rPr>
          <w:color w:val="231F20"/>
          <w:position w:val="7"/>
          <w:sz w:val="11"/>
        </w:rPr>
        <w:t xml:space="preserve">8 </w:t>
      </w:r>
      <w:r>
        <w:rPr>
          <w:color w:val="231F20"/>
          <w:spacing w:val="-5"/>
        </w:rPr>
        <w:t xml:space="preserve">yet </w:t>
      </w:r>
      <w:r>
        <w:rPr>
          <w:color w:val="231F20"/>
        </w:rPr>
        <w:t xml:space="preserve">as we shall see, this was not the last  time that the state would seek to score a propaganda victory by attacking and discrediting the woman who was routinely described as the </w:t>
      </w:r>
      <w:r w:rsidR="00C507A5">
        <w:rPr>
          <w:color w:val="231F20"/>
          <w:spacing w:val="1"/>
        </w:rPr>
        <w:t>red army faction</w:t>
      </w:r>
      <w:r>
        <w:rPr>
          <w:color w:val="231F20"/>
          <w:spacing w:val="1"/>
        </w:rPr>
        <w:t xml:space="preserve">’s </w:t>
      </w:r>
      <w:r>
        <w:rPr>
          <w:color w:val="231F20"/>
        </w:rPr>
        <w:t>chief</w:t>
      </w:r>
      <w:r>
        <w:rPr>
          <w:color w:val="231F20"/>
          <w:spacing w:val="20"/>
        </w:rPr>
        <w:t xml:space="preserve"> </w:t>
      </w:r>
      <w:r>
        <w:rPr>
          <w:color w:val="231F20"/>
        </w:rPr>
        <w:t>theoretician.</w:t>
      </w:r>
    </w:p>
    <w:p w14:paraId="1C104640" w14:textId="77777777" w:rsidR="002653E8" w:rsidRDefault="003115E3">
      <w:pPr>
        <w:pStyle w:val="a3"/>
        <w:spacing w:line="264" w:lineRule="auto"/>
        <w:ind w:left="1328" w:right="1145" w:firstLine="210"/>
        <w:jc w:val="both"/>
      </w:pPr>
      <w:r>
        <w:rPr>
          <w:color w:val="231F20"/>
        </w:rPr>
        <w:t>On top of imposing internal isolation, the state did all it could to cut the prisoners off from the outside world. They were limited to visits from lawyers and family members. Visits from family members were overseen by two state security employees who recorded all conversations, the contents of which could be introduced at trials, sometimes</w:t>
      </w:r>
    </w:p>
    <w:p w14:paraId="3763C59D" w14:textId="77777777" w:rsidR="002653E8" w:rsidRDefault="00000000">
      <w:pPr>
        <w:pStyle w:val="a3"/>
        <w:spacing w:before="2"/>
        <w:rPr>
          <w:sz w:val="13"/>
        </w:rPr>
      </w:pPr>
      <w:r>
        <w:rPr>
          <w:noProof w:val="0"/>
        </w:rPr>
        <w:pict w14:anchorId="0603655E">
          <v:line id="_x0000_s2441" style="position:absolute;z-index:6112;mso-wrap-distance-left:0;mso-wrap-distance-right:0;mso-position-horizontal-relative:page" from="66.4pt,9.95pt" to="138.4pt,9.95pt" strokecolor="#231f20" strokeweight=".5pt">
            <w10:wrap type="topAndBottom" anchorx="page"/>
          </v:line>
        </w:pict>
      </w:r>
    </w:p>
    <w:p w14:paraId="09A0F300" w14:textId="77777777" w:rsidR="002653E8" w:rsidRDefault="003115E3">
      <w:pPr>
        <w:pStyle w:val="a4"/>
        <w:numPr>
          <w:ilvl w:val="0"/>
          <w:numId w:val="18"/>
        </w:numPr>
        <w:tabs>
          <w:tab w:val="left" w:pos="1467"/>
        </w:tabs>
        <w:spacing w:before="53" w:line="254" w:lineRule="auto"/>
        <w:ind w:right="1682" w:firstLine="0"/>
        <w:rPr>
          <w:sz w:val="16"/>
        </w:rPr>
      </w:pPr>
      <w:r>
        <w:rPr>
          <w:color w:val="231F20"/>
          <w:w w:val="105"/>
          <w:sz w:val="16"/>
        </w:rPr>
        <w:t>Formerly associated with the Nazi regime, Witter had publicly opposed the payment</w:t>
      </w:r>
      <w:r>
        <w:rPr>
          <w:color w:val="231F20"/>
          <w:spacing w:val="8"/>
          <w:w w:val="105"/>
          <w:sz w:val="16"/>
        </w:rPr>
        <w:t xml:space="preserve"> </w:t>
      </w:r>
      <w:r>
        <w:rPr>
          <w:color w:val="231F20"/>
          <w:w w:val="105"/>
          <w:sz w:val="16"/>
        </w:rPr>
        <w:t>of</w:t>
      </w:r>
      <w:r>
        <w:rPr>
          <w:color w:val="231F20"/>
          <w:spacing w:val="8"/>
          <w:w w:val="105"/>
          <w:sz w:val="16"/>
        </w:rPr>
        <w:t xml:space="preserve"> </w:t>
      </w:r>
      <w:r>
        <w:rPr>
          <w:color w:val="231F20"/>
          <w:w w:val="105"/>
          <w:sz w:val="16"/>
        </w:rPr>
        <w:t>reparations</w:t>
      </w:r>
      <w:r>
        <w:rPr>
          <w:color w:val="231F20"/>
          <w:spacing w:val="8"/>
          <w:w w:val="105"/>
          <w:sz w:val="16"/>
        </w:rPr>
        <w:t xml:space="preserve"> </w:t>
      </w:r>
      <w:r>
        <w:rPr>
          <w:color w:val="231F20"/>
          <w:w w:val="105"/>
          <w:sz w:val="16"/>
        </w:rPr>
        <w:t>to</w:t>
      </w:r>
      <w:r>
        <w:rPr>
          <w:color w:val="231F20"/>
          <w:spacing w:val="8"/>
          <w:w w:val="105"/>
          <w:sz w:val="16"/>
        </w:rPr>
        <w:t xml:space="preserve"> </w:t>
      </w:r>
      <w:r>
        <w:rPr>
          <w:color w:val="231F20"/>
          <w:w w:val="105"/>
          <w:sz w:val="16"/>
        </w:rPr>
        <w:t>victims</w:t>
      </w:r>
      <w:r>
        <w:rPr>
          <w:color w:val="231F20"/>
          <w:spacing w:val="8"/>
          <w:w w:val="105"/>
          <w:sz w:val="16"/>
        </w:rPr>
        <w:t xml:space="preserve"> </w:t>
      </w:r>
      <w:r>
        <w:rPr>
          <w:color w:val="231F20"/>
          <w:w w:val="105"/>
          <w:sz w:val="16"/>
        </w:rPr>
        <w:t>of</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Holocaust.</w:t>
      </w:r>
    </w:p>
    <w:p w14:paraId="7E970E1A" w14:textId="77777777" w:rsidR="002653E8" w:rsidRDefault="003115E3">
      <w:pPr>
        <w:pStyle w:val="a4"/>
        <w:numPr>
          <w:ilvl w:val="0"/>
          <w:numId w:val="18"/>
        </w:numPr>
        <w:tabs>
          <w:tab w:val="left" w:pos="1467"/>
        </w:tabs>
        <w:spacing w:line="254" w:lineRule="auto"/>
        <w:ind w:right="1540" w:firstLine="0"/>
        <w:rPr>
          <w:sz w:val="16"/>
        </w:rPr>
      </w:pPr>
      <w:r>
        <w:rPr>
          <w:color w:val="231F20"/>
          <w:w w:val="105"/>
          <w:sz w:val="16"/>
        </w:rPr>
        <w:t xml:space="preserve">Commission internationale d’enquête sur la mort d’Ulrike Meinhof. </w:t>
      </w:r>
      <w:r>
        <w:rPr>
          <w:i/>
          <w:color w:val="231F20"/>
          <w:spacing w:val="2"/>
          <w:w w:val="105"/>
          <w:sz w:val="16"/>
        </w:rPr>
        <w:t xml:space="preserve">La </w:t>
      </w:r>
      <w:r>
        <w:rPr>
          <w:i/>
          <w:color w:val="231F20"/>
          <w:w w:val="105"/>
          <w:sz w:val="16"/>
        </w:rPr>
        <w:t xml:space="preserve">Mort d’Ulrike Meinhof: </w:t>
      </w:r>
      <w:r>
        <w:rPr>
          <w:i/>
          <w:color w:val="231F20"/>
          <w:spacing w:val="1"/>
          <w:w w:val="105"/>
          <w:sz w:val="16"/>
        </w:rPr>
        <w:t xml:space="preserve">Rapport </w:t>
      </w:r>
      <w:r>
        <w:rPr>
          <w:i/>
          <w:color w:val="231F20"/>
          <w:w w:val="105"/>
          <w:sz w:val="16"/>
        </w:rPr>
        <w:t xml:space="preserve">de </w:t>
      </w:r>
      <w:r>
        <w:rPr>
          <w:i/>
          <w:color w:val="231F20"/>
          <w:spacing w:val="1"/>
          <w:w w:val="105"/>
          <w:sz w:val="16"/>
        </w:rPr>
        <w:t xml:space="preserve">la </w:t>
      </w:r>
      <w:r>
        <w:rPr>
          <w:i/>
          <w:color w:val="231F20"/>
          <w:w w:val="105"/>
          <w:sz w:val="16"/>
        </w:rPr>
        <w:t xml:space="preserve">Commission </w:t>
      </w:r>
      <w:r>
        <w:rPr>
          <w:i/>
          <w:color w:val="231F20"/>
          <w:spacing w:val="1"/>
          <w:w w:val="105"/>
          <w:sz w:val="16"/>
        </w:rPr>
        <w:t xml:space="preserve">international </w:t>
      </w:r>
      <w:r>
        <w:rPr>
          <w:i/>
          <w:color w:val="231F20"/>
          <w:w w:val="105"/>
          <w:sz w:val="16"/>
        </w:rPr>
        <w:t xml:space="preserve">d’enquête </w:t>
      </w:r>
      <w:r>
        <w:rPr>
          <w:color w:val="231F20"/>
          <w:w w:val="105"/>
          <w:sz w:val="16"/>
        </w:rPr>
        <w:t xml:space="preserve">(Paris: Librairie François Maspero, </w:t>
      </w:r>
      <w:r>
        <w:rPr>
          <w:color w:val="231F20"/>
          <w:spacing w:val="-3"/>
          <w:w w:val="105"/>
          <w:sz w:val="16"/>
        </w:rPr>
        <w:t>1979),</w:t>
      </w:r>
      <w:r>
        <w:rPr>
          <w:color w:val="231F20"/>
          <w:spacing w:val="1"/>
          <w:w w:val="105"/>
          <w:sz w:val="16"/>
        </w:rPr>
        <w:t xml:space="preserve"> </w:t>
      </w:r>
      <w:r>
        <w:rPr>
          <w:color w:val="231F20"/>
          <w:w w:val="105"/>
          <w:sz w:val="16"/>
        </w:rPr>
        <w:t>78-79.</w:t>
      </w:r>
    </w:p>
    <w:p w14:paraId="04050A1D" w14:textId="77777777" w:rsidR="002653E8" w:rsidRDefault="003115E3">
      <w:pPr>
        <w:pStyle w:val="a4"/>
        <w:numPr>
          <w:ilvl w:val="0"/>
          <w:numId w:val="18"/>
        </w:numPr>
        <w:tabs>
          <w:tab w:val="left" w:pos="1467"/>
        </w:tabs>
        <w:spacing w:line="307" w:lineRule="auto"/>
        <w:ind w:right="1394" w:firstLine="0"/>
        <w:rPr>
          <w:sz w:val="16"/>
        </w:rPr>
      </w:pPr>
      <w:r>
        <w:rPr>
          <w:color w:val="231F20"/>
          <w:spacing w:val="1"/>
          <w:w w:val="110"/>
          <w:sz w:val="16"/>
        </w:rPr>
        <w:t>In</w:t>
      </w:r>
      <w:r>
        <w:rPr>
          <w:color w:val="231F20"/>
          <w:spacing w:val="-6"/>
          <w:w w:val="110"/>
          <w:sz w:val="16"/>
        </w:rPr>
        <w:t xml:space="preserve"> </w:t>
      </w:r>
      <w:r>
        <w:rPr>
          <w:color w:val="231F20"/>
          <w:w w:val="110"/>
          <w:sz w:val="16"/>
        </w:rPr>
        <w:t>this</w:t>
      </w:r>
      <w:r>
        <w:rPr>
          <w:color w:val="231F20"/>
          <w:spacing w:val="-6"/>
          <w:w w:val="110"/>
          <w:sz w:val="16"/>
        </w:rPr>
        <w:t xml:space="preserve"> </w:t>
      </w:r>
      <w:r>
        <w:rPr>
          <w:color w:val="231F20"/>
          <w:w w:val="110"/>
          <w:sz w:val="16"/>
        </w:rPr>
        <w:t>volume</w:t>
      </w:r>
      <w:r>
        <w:rPr>
          <w:color w:val="231F20"/>
          <w:spacing w:val="-6"/>
          <w:w w:val="110"/>
          <w:sz w:val="16"/>
        </w:rPr>
        <w:t xml:space="preserve"> </w:t>
      </w:r>
      <w:r>
        <w:rPr>
          <w:color w:val="231F20"/>
          <w:w w:val="110"/>
          <w:sz w:val="16"/>
        </w:rPr>
        <w:t>see</w:t>
      </w:r>
      <w:r>
        <w:rPr>
          <w:color w:val="231F20"/>
          <w:spacing w:val="-6"/>
          <w:w w:val="110"/>
          <w:sz w:val="16"/>
        </w:rPr>
        <w:t xml:space="preserve"> </w:t>
      </w:r>
      <w:r>
        <w:rPr>
          <w:color w:val="231F20"/>
          <w:w w:val="110"/>
          <w:sz w:val="16"/>
        </w:rPr>
        <w:t>the</w:t>
      </w:r>
      <w:r>
        <w:rPr>
          <w:color w:val="231F20"/>
          <w:spacing w:val="-6"/>
          <w:w w:val="110"/>
          <w:sz w:val="16"/>
        </w:rPr>
        <w:t xml:space="preserve"> </w:t>
      </w:r>
      <w:r>
        <w:rPr>
          <w:color w:val="231F20"/>
          <w:w w:val="110"/>
          <w:sz w:val="16"/>
        </w:rPr>
        <w:t>interview</w:t>
      </w:r>
      <w:r>
        <w:rPr>
          <w:color w:val="231F20"/>
          <w:spacing w:val="-6"/>
          <w:w w:val="110"/>
          <w:sz w:val="16"/>
        </w:rPr>
        <w:t xml:space="preserve"> </w:t>
      </w:r>
      <w:r>
        <w:rPr>
          <w:color w:val="231F20"/>
          <w:w w:val="110"/>
          <w:sz w:val="16"/>
        </w:rPr>
        <w:t>with</w:t>
      </w:r>
      <w:r>
        <w:rPr>
          <w:color w:val="231F20"/>
          <w:spacing w:val="-6"/>
          <w:w w:val="110"/>
          <w:sz w:val="16"/>
        </w:rPr>
        <w:t xml:space="preserve"> </w:t>
      </w:r>
      <w:r>
        <w:rPr>
          <w:i/>
          <w:color w:val="231F20"/>
          <w:spacing w:val="1"/>
          <w:w w:val="110"/>
          <w:sz w:val="16"/>
        </w:rPr>
        <w:t>Le</w:t>
      </w:r>
      <w:r>
        <w:rPr>
          <w:i/>
          <w:color w:val="231F20"/>
          <w:spacing w:val="-6"/>
          <w:w w:val="110"/>
          <w:sz w:val="16"/>
        </w:rPr>
        <w:t xml:space="preserve"> </w:t>
      </w:r>
      <w:r>
        <w:rPr>
          <w:i/>
          <w:color w:val="231F20"/>
          <w:spacing w:val="1"/>
          <w:w w:val="110"/>
          <w:sz w:val="16"/>
        </w:rPr>
        <w:t>Monde</w:t>
      </w:r>
      <w:r>
        <w:rPr>
          <w:i/>
          <w:color w:val="231F20"/>
          <w:spacing w:val="-6"/>
          <w:w w:val="110"/>
          <w:sz w:val="16"/>
        </w:rPr>
        <w:t xml:space="preserve"> </w:t>
      </w:r>
      <w:r>
        <w:rPr>
          <w:i/>
          <w:color w:val="231F20"/>
          <w:w w:val="110"/>
          <w:sz w:val="16"/>
        </w:rPr>
        <w:t>Diplomatique,</w:t>
      </w:r>
      <w:r>
        <w:rPr>
          <w:i/>
          <w:color w:val="231F20"/>
          <w:spacing w:val="-5"/>
          <w:w w:val="110"/>
          <w:sz w:val="16"/>
        </w:rPr>
        <w:t xml:space="preserve"> </w:t>
      </w:r>
      <w:r>
        <w:rPr>
          <w:color w:val="231F20"/>
          <w:w w:val="110"/>
          <w:sz w:val="16"/>
        </w:rPr>
        <w:t>pages</w:t>
      </w:r>
      <w:r>
        <w:rPr>
          <w:color w:val="231F20"/>
          <w:spacing w:val="-5"/>
          <w:w w:val="110"/>
          <w:sz w:val="16"/>
        </w:rPr>
        <w:t xml:space="preserve"> </w:t>
      </w:r>
      <w:r>
        <w:rPr>
          <w:color w:val="231F20"/>
          <w:w w:val="110"/>
          <w:sz w:val="16"/>
        </w:rPr>
        <w:t>410-412. 7</w:t>
      </w:r>
      <w:r>
        <w:rPr>
          <w:color w:val="231F20"/>
          <w:spacing w:val="5"/>
          <w:w w:val="110"/>
          <w:sz w:val="16"/>
        </w:rPr>
        <w:t xml:space="preserve"> </w:t>
      </w:r>
      <w:r>
        <w:rPr>
          <w:color w:val="231F20"/>
          <w:w w:val="110"/>
          <w:sz w:val="16"/>
        </w:rPr>
        <w:t>“Political</w:t>
      </w:r>
      <w:r>
        <w:rPr>
          <w:color w:val="231F20"/>
          <w:spacing w:val="5"/>
          <w:w w:val="110"/>
          <w:sz w:val="16"/>
        </w:rPr>
        <w:t xml:space="preserve"> </w:t>
      </w:r>
      <w:r>
        <w:rPr>
          <w:color w:val="231F20"/>
          <w:w w:val="110"/>
          <w:sz w:val="16"/>
        </w:rPr>
        <w:t>Internment</w:t>
      </w:r>
      <w:r>
        <w:rPr>
          <w:color w:val="231F20"/>
          <w:spacing w:val="5"/>
          <w:w w:val="110"/>
          <w:sz w:val="16"/>
        </w:rPr>
        <w:t xml:space="preserve"> </w:t>
      </w:r>
      <w:r>
        <w:rPr>
          <w:color w:val="231F20"/>
          <w:w w:val="110"/>
          <w:sz w:val="16"/>
        </w:rPr>
        <w:t>in</w:t>
      </w:r>
      <w:r>
        <w:rPr>
          <w:color w:val="231F20"/>
          <w:spacing w:val="5"/>
          <w:w w:val="110"/>
          <w:sz w:val="16"/>
        </w:rPr>
        <w:t xml:space="preserve"> </w:t>
      </w:r>
      <w:r>
        <w:rPr>
          <w:color w:val="231F20"/>
          <w:w w:val="110"/>
          <w:sz w:val="16"/>
        </w:rPr>
        <w:t>the</w:t>
      </w:r>
      <w:r>
        <w:rPr>
          <w:color w:val="231F20"/>
          <w:spacing w:val="5"/>
          <w:w w:val="110"/>
          <w:sz w:val="16"/>
        </w:rPr>
        <w:t xml:space="preserve"> </w:t>
      </w:r>
      <w:r>
        <w:rPr>
          <w:color w:val="231F20"/>
          <w:w w:val="110"/>
          <w:sz w:val="16"/>
        </w:rPr>
        <w:t>FRG,”</w:t>
      </w:r>
      <w:r>
        <w:rPr>
          <w:color w:val="231F20"/>
          <w:spacing w:val="5"/>
          <w:w w:val="110"/>
          <w:sz w:val="16"/>
        </w:rPr>
        <w:t xml:space="preserve"> </w:t>
      </w:r>
      <w:r>
        <w:rPr>
          <w:color w:val="231F20"/>
          <w:w w:val="110"/>
          <w:sz w:val="16"/>
        </w:rPr>
        <w:t>in</w:t>
      </w:r>
      <w:r>
        <w:rPr>
          <w:color w:val="231F20"/>
          <w:spacing w:val="5"/>
          <w:w w:val="110"/>
          <w:sz w:val="16"/>
        </w:rPr>
        <w:t xml:space="preserve"> </w:t>
      </w:r>
      <w:r>
        <w:rPr>
          <w:i/>
          <w:color w:val="231F20"/>
          <w:w w:val="110"/>
          <w:sz w:val="16"/>
        </w:rPr>
        <w:t>War</w:t>
      </w:r>
      <w:r>
        <w:rPr>
          <w:i/>
          <w:color w:val="231F20"/>
          <w:spacing w:val="5"/>
          <w:w w:val="110"/>
          <w:sz w:val="16"/>
        </w:rPr>
        <w:t xml:space="preserve"> </w:t>
      </w:r>
      <w:r>
        <w:rPr>
          <w:i/>
          <w:color w:val="231F20"/>
          <w:w w:val="110"/>
          <w:sz w:val="16"/>
        </w:rPr>
        <w:t>on</w:t>
      </w:r>
      <w:r>
        <w:rPr>
          <w:i/>
          <w:color w:val="231F20"/>
          <w:spacing w:val="5"/>
          <w:w w:val="110"/>
          <w:sz w:val="16"/>
        </w:rPr>
        <w:t xml:space="preserve"> </w:t>
      </w:r>
      <w:r>
        <w:rPr>
          <w:i/>
          <w:color w:val="231F20"/>
          <w:w w:val="110"/>
          <w:sz w:val="16"/>
        </w:rPr>
        <w:t>the</w:t>
      </w:r>
      <w:r>
        <w:rPr>
          <w:i/>
          <w:color w:val="231F20"/>
          <w:spacing w:val="5"/>
          <w:w w:val="110"/>
          <w:sz w:val="16"/>
        </w:rPr>
        <w:t xml:space="preserve"> </w:t>
      </w:r>
      <w:r>
        <w:rPr>
          <w:i/>
          <w:color w:val="231F20"/>
          <w:w w:val="110"/>
          <w:sz w:val="16"/>
        </w:rPr>
        <w:t>War</w:t>
      </w:r>
      <w:r>
        <w:rPr>
          <w:i/>
          <w:color w:val="231F20"/>
          <w:spacing w:val="5"/>
          <w:w w:val="110"/>
          <w:sz w:val="16"/>
        </w:rPr>
        <w:t xml:space="preserve"> </w:t>
      </w:r>
      <w:r>
        <w:rPr>
          <w:i/>
          <w:color w:val="231F20"/>
          <w:spacing w:val="1"/>
          <w:w w:val="110"/>
          <w:sz w:val="16"/>
        </w:rPr>
        <w:t>Makers,</w:t>
      </w:r>
      <w:r>
        <w:rPr>
          <w:i/>
          <w:color w:val="231F20"/>
          <w:spacing w:val="5"/>
          <w:w w:val="110"/>
          <w:sz w:val="16"/>
        </w:rPr>
        <w:t xml:space="preserve"> </w:t>
      </w:r>
      <w:r>
        <w:rPr>
          <w:color w:val="231F20"/>
          <w:spacing w:val="-7"/>
          <w:w w:val="110"/>
          <w:sz w:val="16"/>
        </w:rPr>
        <w:t>27.</w:t>
      </w:r>
    </w:p>
    <w:p w14:paraId="5061A804" w14:textId="77777777" w:rsidR="002653E8" w:rsidRDefault="003115E3">
      <w:pPr>
        <w:spacing w:line="186" w:lineRule="exact"/>
        <w:ind w:left="1328"/>
        <w:rPr>
          <w:sz w:val="16"/>
        </w:rPr>
      </w:pPr>
      <w:r>
        <w:rPr>
          <w:color w:val="231F20"/>
          <w:w w:val="105"/>
          <w:sz w:val="16"/>
        </w:rPr>
        <w:t>8 Komitees gegen Folter, 131, 133.</w:t>
      </w:r>
    </w:p>
    <w:p w14:paraId="4D77851B" w14:textId="77777777" w:rsidR="002653E8" w:rsidRDefault="002653E8">
      <w:pPr>
        <w:spacing w:line="186" w:lineRule="exact"/>
        <w:rPr>
          <w:sz w:val="16"/>
        </w:rPr>
        <w:sectPr w:rsidR="002653E8">
          <w:footerReference w:type="even" r:id="rId202"/>
          <w:footerReference w:type="default" r:id="rId203"/>
          <w:pgSz w:w="8640" w:h="12960"/>
          <w:pgMar w:top="1060" w:right="0" w:bottom="1040" w:left="0" w:header="0" w:footer="850" w:gutter="0"/>
          <w:cols w:space="720"/>
        </w:sectPr>
      </w:pPr>
    </w:p>
    <w:p w14:paraId="7D3A4CF9" w14:textId="77777777" w:rsidR="002653E8" w:rsidRDefault="003115E3">
      <w:pPr>
        <w:pStyle w:val="a3"/>
        <w:spacing w:before="86" w:line="264" w:lineRule="auto"/>
        <w:ind w:left="1147" w:right="1580"/>
      </w:pPr>
      <w:r>
        <w:rPr>
          <w:color w:val="231F20"/>
        </w:rPr>
        <w:lastRenderedPageBreak/>
        <w:t>followed by analysis from a psychologist. Political letters, books, and packages were routinely withheld.</w:t>
      </w:r>
    </w:p>
    <w:p w14:paraId="40A7E970" w14:textId="77777777" w:rsidR="002653E8" w:rsidRDefault="003115E3">
      <w:pPr>
        <w:pStyle w:val="a3"/>
        <w:spacing w:line="264" w:lineRule="auto"/>
        <w:ind w:left="1148" w:right="1325" w:firstLine="209"/>
        <w:jc w:val="both"/>
        <w:rPr>
          <w:sz w:val="11"/>
        </w:rPr>
      </w:pPr>
      <w:r>
        <w:rPr>
          <w:color w:val="231F20"/>
        </w:rPr>
        <w:t xml:space="preserve">Starting  in  </w:t>
      </w:r>
      <w:r>
        <w:rPr>
          <w:color w:val="231F20"/>
          <w:spacing w:val="-6"/>
        </w:rPr>
        <w:t>1975,</w:t>
      </w:r>
      <w:r>
        <w:rPr>
          <w:color w:val="231F20"/>
          <w:spacing w:val="31"/>
        </w:rPr>
        <w:t xml:space="preserve"> </w:t>
      </w:r>
      <w:r>
        <w:rPr>
          <w:color w:val="231F20"/>
        </w:rPr>
        <w:t xml:space="preserve">everyone  arrested  under  </w:t>
      </w:r>
      <w:r>
        <w:rPr>
          <w:color w:val="231F20"/>
          <w:spacing w:val="-4"/>
          <w:sz w:val="18"/>
        </w:rPr>
        <w:t>§</w:t>
      </w:r>
      <w:r>
        <w:rPr>
          <w:color w:val="231F20"/>
          <w:spacing w:val="-4"/>
        </w:rPr>
        <w:t xml:space="preserve">129  </w:t>
      </w:r>
      <w:r>
        <w:rPr>
          <w:color w:val="231F20"/>
        </w:rPr>
        <w:t xml:space="preserve">in  connection with “political crimes” would be held under the so-called “24-Point Program.” This formalized many of the conditions that had been imposed unevenly up until then, while also adding new restrictions. The program specified, among other things, that the prisoners were banned from all common activities. The prisoners now received one hour of solitary yard time each </w:t>
      </w:r>
      <w:r>
        <w:rPr>
          <w:color w:val="231F20"/>
          <w:spacing w:val="-4"/>
        </w:rPr>
        <w:t xml:space="preserve">day, </w:t>
      </w:r>
      <w:r>
        <w:rPr>
          <w:color w:val="231F20"/>
        </w:rPr>
        <w:t xml:space="preserve">which was immediately interrupted if they failed to heed an order, insulted a staff person, or caused any dam   age. The prisoners were permitted to keep twenty books in their cells. Visits were limited to people cleared by the authorities, and could only last a maximum of </w:t>
      </w:r>
      <w:r>
        <w:rPr>
          <w:color w:val="231F20"/>
          <w:spacing w:val="2"/>
        </w:rPr>
        <w:t xml:space="preserve">thirty </w:t>
      </w:r>
      <w:r>
        <w:rPr>
          <w:color w:val="231F20"/>
        </w:rPr>
        <w:t>minutes (the standard was two such visits a month). It was prohibited to discuss activities of the so-called “terrorist scene” or its support groups (the latter was a grab bag for all revolution</w:t>
      </w:r>
      <w:r>
        <w:rPr>
          <w:color w:val="231F20"/>
          <w:spacing w:val="1"/>
        </w:rPr>
        <w:t xml:space="preserve">ary </w:t>
      </w:r>
      <w:r>
        <w:rPr>
          <w:color w:val="231F20"/>
        </w:rPr>
        <w:t xml:space="preserve">organizations), prison revolts, or hunger strikes. </w:t>
      </w:r>
      <w:r>
        <w:rPr>
          <w:color w:val="231F20"/>
          <w:spacing w:val="1"/>
        </w:rPr>
        <w:t xml:space="preserve">All </w:t>
      </w:r>
      <w:r>
        <w:rPr>
          <w:color w:val="231F20"/>
        </w:rPr>
        <w:t>visitors were searched, and this included</w:t>
      </w:r>
      <w:r>
        <w:rPr>
          <w:color w:val="231F20"/>
          <w:spacing w:val="42"/>
        </w:rPr>
        <w:t xml:space="preserve"> </w:t>
      </w:r>
      <w:r>
        <w:rPr>
          <w:color w:val="231F20"/>
        </w:rPr>
        <w:t>lawyers.</w:t>
      </w:r>
      <w:r>
        <w:rPr>
          <w:color w:val="231F20"/>
          <w:position w:val="7"/>
          <w:sz w:val="11"/>
        </w:rPr>
        <w:t>1</w:t>
      </w:r>
    </w:p>
    <w:p w14:paraId="04B346A2" w14:textId="77777777" w:rsidR="002653E8" w:rsidRDefault="003115E3">
      <w:pPr>
        <w:pStyle w:val="a3"/>
        <w:spacing w:line="218" w:lineRule="exact"/>
        <w:ind w:left="1357"/>
      </w:pPr>
      <w:r>
        <w:rPr>
          <w:color w:val="231F20"/>
        </w:rPr>
        <w:t>In a statement regarding such isolation, Till Meyer and Andreas</w:t>
      </w:r>
    </w:p>
    <w:p w14:paraId="6CA95944" w14:textId="77777777" w:rsidR="002653E8" w:rsidRDefault="003115E3">
      <w:pPr>
        <w:pStyle w:val="a3"/>
        <w:spacing w:before="21" w:line="264" w:lineRule="auto"/>
        <w:ind w:left="1147" w:right="1580"/>
      </w:pPr>
      <w:r>
        <w:rPr>
          <w:color w:val="231F20"/>
        </w:rPr>
        <w:t>Vogel, both 2nd of June Movement prisoners who were subjected to these conditions for years, wrote:</w:t>
      </w:r>
    </w:p>
    <w:p w14:paraId="37D26A2F" w14:textId="77777777" w:rsidR="002653E8" w:rsidRDefault="003115E3">
      <w:pPr>
        <w:spacing w:before="126" w:line="276" w:lineRule="auto"/>
        <w:ind w:left="1567" w:right="1739"/>
        <w:jc w:val="both"/>
        <w:rPr>
          <w:i/>
          <w:sz w:val="11"/>
        </w:rPr>
      </w:pPr>
      <w:r>
        <w:rPr>
          <w:i/>
          <w:color w:val="231F20"/>
          <w:w w:val="105"/>
          <w:sz w:val="19"/>
        </w:rPr>
        <w:t>With the isolation wings, years of isolation have been carried to the</w:t>
      </w:r>
      <w:r>
        <w:rPr>
          <w:i/>
          <w:color w:val="231F20"/>
          <w:spacing w:val="-7"/>
          <w:w w:val="105"/>
          <w:sz w:val="19"/>
        </w:rPr>
        <w:t xml:space="preserve"> </w:t>
      </w:r>
      <w:r>
        <w:rPr>
          <w:i/>
          <w:color w:val="231F20"/>
          <w:w w:val="105"/>
          <w:sz w:val="19"/>
        </w:rPr>
        <w:t>extreme</w:t>
      </w:r>
      <w:r>
        <w:rPr>
          <w:i/>
          <w:color w:val="231F20"/>
          <w:spacing w:val="-7"/>
          <w:w w:val="105"/>
          <w:sz w:val="19"/>
        </w:rPr>
        <w:t xml:space="preserve"> </w:t>
      </w:r>
      <w:r>
        <w:rPr>
          <w:i/>
          <w:color w:val="231F20"/>
          <w:w w:val="105"/>
          <w:sz w:val="19"/>
        </w:rPr>
        <w:t>and</w:t>
      </w:r>
      <w:r>
        <w:rPr>
          <w:i/>
          <w:color w:val="231F20"/>
          <w:spacing w:val="-7"/>
          <w:w w:val="105"/>
          <w:sz w:val="19"/>
        </w:rPr>
        <w:t xml:space="preserve"> </w:t>
      </w:r>
      <w:r>
        <w:rPr>
          <w:i/>
          <w:color w:val="231F20"/>
          <w:w w:val="105"/>
          <w:sz w:val="19"/>
        </w:rPr>
        <w:t>the</w:t>
      </w:r>
      <w:r>
        <w:rPr>
          <w:i/>
          <w:color w:val="231F20"/>
          <w:spacing w:val="-7"/>
          <w:w w:val="105"/>
          <w:sz w:val="19"/>
        </w:rPr>
        <w:t xml:space="preserve"> </w:t>
      </w:r>
      <w:r>
        <w:rPr>
          <w:i/>
          <w:color w:val="231F20"/>
          <w:w w:val="105"/>
          <w:sz w:val="19"/>
        </w:rPr>
        <w:t>process</w:t>
      </w:r>
      <w:r>
        <w:rPr>
          <w:i/>
          <w:color w:val="231F20"/>
          <w:spacing w:val="-7"/>
          <w:w w:val="105"/>
          <w:sz w:val="19"/>
        </w:rPr>
        <w:t xml:space="preserve"> </w:t>
      </w:r>
      <w:r>
        <w:rPr>
          <w:i/>
          <w:color w:val="231F20"/>
          <w:w w:val="105"/>
          <w:sz w:val="19"/>
        </w:rPr>
        <w:t>of</w:t>
      </w:r>
      <w:r>
        <w:rPr>
          <w:i/>
          <w:color w:val="231F20"/>
          <w:spacing w:val="-7"/>
          <w:w w:val="105"/>
          <w:sz w:val="19"/>
        </w:rPr>
        <w:t xml:space="preserve"> </w:t>
      </w:r>
      <w:r>
        <w:rPr>
          <w:i/>
          <w:color w:val="231F20"/>
          <w:w w:val="105"/>
          <w:sz w:val="19"/>
        </w:rPr>
        <w:t>extermination</w:t>
      </w:r>
      <w:r>
        <w:rPr>
          <w:i/>
          <w:color w:val="231F20"/>
          <w:spacing w:val="-7"/>
          <w:w w:val="105"/>
          <w:sz w:val="19"/>
        </w:rPr>
        <w:t xml:space="preserve"> </w:t>
      </w:r>
      <w:r>
        <w:rPr>
          <w:i/>
          <w:color w:val="231F20"/>
          <w:w w:val="105"/>
          <w:sz w:val="19"/>
        </w:rPr>
        <w:t>has</w:t>
      </w:r>
      <w:r>
        <w:rPr>
          <w:i/>
          <w:color w:val="231F20"/>
          <w:spacing w:val="-7"/>
          <w:w w:val="105"/>
          <w:sz w:val="19"/>
        </w:rPr>
        <w:t xml:space="preserve"> </w:t>
      </w:r>
      <w:r>
        <w:rPr>
          <w:i/>
          <w:color w:val="231F20"/>
          <w:w w:val="105"/>
          <w:sz w:val="19"/>
        </w:rPr>
        <w:t>been</w:t>
      </w:r>
      <w:r>
        <w:rPr>
          <w:i/>
          <w:color w:val="231F20"/>
          <w:spacing w:val="-7"/>
          <w:w w:val="105"/>
          <w:sz w:val="19"/>
        </w:rPr>
        <w:t xml:space="preserve"> </w:t>
      </w:r>
      <w:r>
        <w:rPr>
          <w:i/>
          <w:color w:val="231F20"/>
          <w:w w:val="105"/>
          <w:sz w:val="19"/>
        </w:rPr>
        <w:t>perfected: the perfection of spatial limitation and the total isolation, electronic observation with cameras and microphones (openly</w:t>
      </w:r>
      <w:r>
        <w:rPr>
          <w:i/>
          <w:color w:val="231F20"/>
          <w:spacing w:val="-31"/>
          <w:w w:val="105"/>
          <w:sz w:val="19"/>
        </w:rPr>
        <w:t xml:space="preserve"> </w:t>
      </w:r>
      <w:r>
        <w:rPr>
          <w:i/>
          <w:color w:val="231F20"/>
          <w:w w:val="105"/>
          <w:sz w:val="19"/>
        </w:rPr>
        <w:t>in each cell)—and we are guarded by special corps (corps who are trained in psychology and conditioned through BKA</w:t>
      </w:r>
      <w:r>
        <w:rPr>
          <w:i/>
          <w:color w:val="231F20"/>
          <w:spacing w:val="-1"/>
          <w:w w:val="105"/>
          <w:sz w:val="19"/>
        </w:rPr>
        <w:t xml:space="preserve"> </w:t>
      </w:r>
      <w:r>
        <w:rPr>
          <w:i/>
          <w:color w:val="231F20"/>
          <w:w w:val="105"/>
          <w:sz w:val="19"/>
        </w:rPr>
        <w:t>training).</w:t>
      </w:r>
      <w:r>
        <w:rPr>
          <w:i/>
          <w:color w:val="231F20"/>
          <w:w w:val="105"/>
          <w:position w:val="6"/>
          <w:sz w:val="11"/>
        </w:rPr>
        <w:t>2</w:t>
      </w:r>
    </w:p>
    <w:p w14:paraId="1E4056E2" w14:textId="77777777" w:rsidR="002653E8" w:rsidRDefault="00C507A5">
      <w:pPr>
        <w:pStyle w:val="a3"/>
        <w:spacing w:before="132"/>
        <w:ind w:left="1147"/>
      </w:pPr>
      <w:r>
        <w:rPr>
          <w:color w:val="231F20"/>
        </w:rPr>
        <w:t>red army faction</w:t>
      </w:r>
      <w:r w:rsidR="003115E3">
        <w:rPr>
          <w:color w:val="231F20"/>
        </w:rPr>
        <w:t xml:space="preserve"> prisoner Helmut Pohl would express himself similarly:</w:t>
      </w:r>
    </w:p>
    <w:p w14:paraId="2551CC5B" w14:textId="77777777" w:rsidR="002653E8" w:rsidRDefault="003115E3">
      <w:pPr>
        <w:spacing w:before="151" w:line="276" w:lineRule="auto"/>
        <w:ind w:left="1567" w:right="1739"/>
        <w:jc w:val="both"/>
        <w:rPr>
          <w:i/>
          <w:sz w:val="11"/>
        </w:rPr>
      </w:pPr>
      <w:r>
        <w:rPr>
          <w:i/>
          <w:color w:val="231F20"/>
          <w:sz w:val="19"/>
        </w:rPr>
        <w:t xml:space="preserve">Isolation represents a more intense version of the situation which dominates on the outside, which led us to engage in clandestine armed struggle in the first place. Isolation represents its pure state, its naked </w:t>
      </w:r>
      <w:r>
        <w:rPr>
          <w:i/>
          <w:color w:val="231F20"/>
          <w:spacing w:val="-3"/>
          <w:sz w:val="19"/>
        </w:rPr>
        <w:t xml:space="preserve">reality. </w:t>
      </w:r>
      <w:r>
        <w:rPr>
          <w:i/>
          <w:color w:val="231F20"/>
          <w:sz w:val="19"/>
        </w:rPr>
        <w:t xml:space="preserve">Whoever doesn’t find a </w:t>
      </w:r>
      <w:r>
        <w:rPr>
          <w:i/>
          <w:color w:val="231F20"/>
          <w:spacing w:val="-3"/>
          <w:sz w:val="19"/>
        </w:rPr>
        <w:t xml:space="preserve">way </w:t>
      </w:r>
      <w:r>
        <w:rPr>
          <w:i/>
          <w:color w:val="231F20"/>
          <w:sz w:val="19"/>
        </w:rPr>
        <w:t xml:space="preserve">to struggle against this situation is destroyed—the situation controls him and not the other </w:t>
      </w:r>
      <w:r>
        <w:rPr>
          <w:i/>
          <w:color w:val="231F20"/>
          <w:spacing w:val="-3"/>
          <w:sz w:val="19"/>
        </w:rPr>
        <w:t>way</w:t>
      </w:r>
      <w:r>
        <w:rPr>
          <w:i/>
          <w:color w:val="231F20"/>
          <w:spacing w:val="20"/>
          <w:sz w:val="19"/>
        </w:rPr>
        <w:t xml:space="preserve"> </w:t>
      </w:r>
      <w:r>
        <w:rPr>
          <w:i/>
          <w:color w:val="231F20"/>
          <w:sz w:val="19"/>
        </w:rPr>
        <w:t>around.</w:t>
      </w:r>
      <w:r>
        <w:rPr>
          <w:i/>
          <w:color w:val="231F20"/>
          <w:position w:val="6"/>
          <w:sz w:val="11"/>
        </w:rPr>
        <w:t>3</w:t>
      </w:r>
    </w:p>
    <w:p w14:paraId="4E1997FF" w14:textId="77777777" w:rsidR="002653E8" w:rsidRDefault="00000000">
      <w:pPr>
        <w:pStyle w:val="a3"/>
        <w:spacing w:before="9"/>
        <w:rPr>
          <w:i/>
          <w:sz w:val="17"/>
        </w:rPr>
      </w:pPr>
      <w:r>
        <w:rPr>
          <w:noProof w:val="0"/>
        </w:rPr>
        <w:pict w14:anchorId="4B546EDC">
          <v:line id="_x0000_s2440" style="position:absolute;z-index:6136;mso-wrap-distance-left:0;mso-wrap-distance-right:0;mso-position-horizontal-relative:page" from="57.4pt,12.65pt" to="129.4pt,12.65pt" strokecolor="#231f20" strokeweight=".5pt">
            <w10:wrap type="topAndBottom" anchorx="page"/>
          </v:line>
        </w:pict>
      </w:r>
    </w:p>
    <w:p w14:paraId="46E902C7" w14:textId="77777777" w:rsidR="002653E8" w:rsidRDefault="003115E3">
      <w:pPr>
        <w:pStyle w:val="a4"/>
        <w:numPr>
          <w:ilvl w:val="0"/>
          <w:numId w:val="122"/>
        </w:numPr>
        <w:tabs>
          <w:tab w:val="left" w:pos="1287"/>
        </w:tabs>
        <w:spacing w:before="53" w:line="254" w:lineRule="auto"/>
        <w:ind w:right="2625" w:firstLine="0"/>
        <w:jc w:val="left"/>
        <w:rPr>
          <w:sz w:val="16"/>
        </w:rPr>
      </w:pPr>
      <w:r>
        <w:rPr>
          <w:color w:val="231F20"/>
          <w:spacing w:val="-8"/>
          <w:w w:val="153"/>
          <w:sz w:val="16"/>
        </w:rPr>
        <w:t>“</w:t>
      </w:r>
      <w:r>
        <w:rPr>
          <w:color w:val="231F20"/>
          <w:spacing w:val="3"/>
          <w:w w:val="104"/>
          <w:sz w:val="16"/>
        </w:rPr>
        <w:t>2</w:t>
      </w:r>
      <w:r>
        <w:rPr>
          <w:color w:val="231F20"/>
          <w:spacing w:val="-1"/>
          <w:w w:val="104"/>
          <w:sz w:val="16"/>
        </w:rPr>
        <w:t>4</w:t>
      </w:r>
      <w:r>
        <w:rPr>
          <w:color w:val="231F20"/>
          <w:spacing w:val="3"/>
          <w:w w:val="104"/>
          <w:sz w:val="16"/>
        </w:rPr>
        <w:t>-</w:t>
      </w:r>
      <w:r>
        <w:rPr>
          <w:color w:val="231F20"/>
          <w:spacing w:val="3"/>
          <w:w w:val="101"/>
          <w:sz w:val="16"/>
        </w:rPr>
        <w:t>P</w:t>
      </w:r>
      <w:r>
        <w:rPr>
          <w:color w:val="231F20"/>
          <w:spacing w:val="3"/>
          <w:w w:val="104"/>
          <w:sz w:val="16"/>
        </w:rPr>
        <w:t>u</w:t>
      </w:r>
      <w:r>
        <w:rPr>
          <w:color w:val="231F20"/>
          <w:spacing w:val="3"/>
          <w:w w:val="103"/>
          <w:sz w:val="16"/>
        </w:rPr>
        <w:t>n</w:t>
      </w:r>
      <w:r>
        <w:rPr>
          <w:color w:val="231F20"/>
          <w:spacing w:val="2"/>
          <w:w w:val="109"/>
          <w:sz w:val="16"/>
        </w:rPr>
        <w:t>k</w:t>
      </w:r>
      <w:r>
        <w:rPr>
          <w:color w:val="231F20"/>
          <w:spacing w:val="-1"/>
          <w:w w:val="102"/>
          <w:sz w:val="16"/>
        </w:rPr>
        <w:t>t</w:t>
      </w:r>
      <w:r>
        <w:rPr>
          <w:color w:val="231F20"/>
          <w:spacing w:val="3"/>
          <w:w w:val="104"/>
          <w:sz w:val="16"/>
        </w:rPr>
        <w:t>-</w:t>
      </w:r>
      <w:r>
        <w:rPr>
          <w:color w:val="231F20"/>
          <w:spacing w:val="3"/>
          <w:w w:val="117"/>
          <w:sz w:val="16"/>
        </w:rPr>
        <w:t>H</w:t>
      </w:r>
      <w:r>
        <w:rPr>
          <w:color w:val="231F20"/>
          <w:spacing w:val="2"/>
          <w:w w:val="117"/>
          <w:sz w:val="16"/>
        </w:rPr>
        <w:t>a</w:t>
      </w:r>
      <w:r>
        <w:rPr>
          <w:color w:val="231F20"/>
          <w:spacing w:val="5"/>
          <w:w w:val="114"/>
          <w:sz w:val="16"/>
        </w:rPr>
        <w:t>f</w:t>
      </w:r>
      <w:r>
        <w:rPr>
          <w:color w:val="231F20"/>
          <w:spacing w:val="2"/>
          <w:w w:val="102"/>
          <w:sz w:val="16"/>
        </w:rPr>
        <w:t>t</w:t>
      </w:r>
      <w:r>
        <w:rPr>
          <w:color w:val="231F20"/>
          <w:spacing w:val="1"/>
          <w:w w:val="93"/>
          <w:sz w:val="16"/>
        </w:rPr>
        <w:t>s</w:t>
      </w:r>
      <w:r>
        <w:rPr>
          <w:color w:val="231F20"/>
          <w:spacing w:val="3"/>
          <w:w w:val="102"/>
          <w:sz w:val="16"/>
        </w:rPr>
        <w:t>t</w:t>
      </w:r>
      <w:r>
        <w:rPr>
          <w:color w:val="231F20"/>
          <w:spacing w:val="-1"/>
          <w:w w:val="106"/>
          <w:sz w:val="16"/>
        </w:rPr>
        <w:t>a</w:t>
      </w:r>
      <w:r>
        <w:rPr>
          <w:color w:val="231F20"/>
          <w:spacing w:val="3"/>
          <w:w w:val="102"/>
          <w:sz w:val="16"/>
        </w:rPr>
        <w:t>t</w:t>
      </w:r>
      <w:r>
        <w:rPr>
          <w:color w:val="231F20"/>
          <w:w w:val="104"/>
          <w:sz w:val="16"/>
        </w:rPr>
        <w:t>u</w:t>
      </w:r>
      <w:r>
        <w:rPr>
          <w:color w:val="231F20"/>
          <w:spacing w:val="2"/>
          <w:w w:val="102"/>
          <w:sz w:val="16"/>
        </w:rPr>
        <w:t>t</w:t>
      </w:r>
      <w:r>
        <w:rPr>
          <w:color w:val="231F20"/>
          <w:spacing w:val="-10"/>
          <w:w w:val="140"/>
          <w:sz w:val="16"/>
        </w:rPr>
        <w:t>.</w:t>
      </w:r>
      <w:r>
        <w:rPr>
          <w:color w:val="231F20"/>
          <w:w w:val="153"/>
          <w:sz w:val="16"/>
        </w:rPr>
        <w:t>”</w:t>
      </w:r>
      <w:r>
        <w:rPr>
          <w:color w:val="231F20"/>
          <w:spacing w:val="10"/>
          <w:sz w:val="16"/>
        </w:rPr>
        <w:t xml:space="preserve"> </w:t>
      </w:r>
      <w:hyperlink r:id="rId204">
        <w:r>
          <w:rPr>
            <w:color w:val="231F20"/>
            <w:w w:val="104"/>
            <w:sz w:val="16"/>
          </w:rPr>
          <w:t>h</w:t>
        </w:r>
        <w:r>
          <w:rPr>
            <w:color w:val="231F20"/>
            <w:spacing w:val="5"/>
            <w:w w:val="102"/>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spacing w:val="1"/>
            <w:w w:val="140"/>
            <w:sz w:val="16"/>
          </w:rPr>
          <w:t>.</w:t>
        </w:r>
        <w:r>
          <w:rPr>
            <w:color w:val="231F20"/>
            <w:spacing w:val="1"/>
            <w:w w:val="103"/>
            <w:sz w:val="16"/>
          </w:rPr>
          <w:t>n</w:t>
        </w:r>
        <w:r>
          <w:rPr>
            <w:color w:val="231F20"/>
            <w:spacing w:val="-1"/>
            <w:w w:val="106"/>
            <w:sz w:val="16"/>
          </w:rPr>
          <w:t>a</w:t>
        </w:r>
        <w:r>
          <w:rPr>
            <w:color w:val="231F20"/>
            <w:spacing w:val="3"/>
            <w:w w:val="101"/>
            <w:sz w:val="16"/>
          </w:rPr>
          <w:t>di</w:t>
        </w:r>
        <w:r>
          <w:rPr>
            <w:color w:val="231F20"/>
            <w:spacing w:val="-4"/>
            <w:w w:val="101"/>
            <w:sz w:val="16"/>
          </w:rPr>
          <w:t>r</w:t>
        </w:r>
        <w:r>
          <w:rPr>
            <w:color w:val="231F20"/>
            <w:w w:val="140"/>
            <w:sz w:val="16"/>
          </w:rPr>
          <w:t>.</w:t>
        </w:r>
        <w:r>
          <w:rPr>
            <w:color w:val="231F20"/>
            <w:w w:val="108"/>
            <w:sz w:val="16"/>
          </w:rPr>
          <w:t>o</w:t>
        </w:r>
        <w:r>
          <w:rPr>
            <w:color w:val="231F20"/>
            <w:spacing w:val="1"/>
            <w:w w:val="97"/>
            <w:sz w:val="16"/>
          </w:rPr>
          <w:t>r</w:t>
        </w:r>
        <w:r>
          <w:rPr>
            <w:color w:val="231F20"/>
            <w:spacing w:val="8"/>
            <w:w w:val="104"/>
            <w:sz w:val="16"/>
          </w:rPr>
          <w:t>g</w:t>
        </w:r>
        <w:r>
          <w:rPr>
            <w:color w:val="231F20"/>
            <w:w w:val="58"/>
            <w:sz w:val="16"/>
          </w:rPr>
          <w:t>/</w:t>
        </w:r>
        <w:r>
          <w:rPr>
            <w:color w:val="231F20"/>
            <w:spacing w:val="1"/>
            <w:w w:val="103"/>
            <w:sz w:val="16"/>
          </w:rPr>
          <w:t>n</w:t>
        </w:r>
        <w:r>
          <w:rPr>
            <w:color w:val="231F20"/>
            <w:w w:val="106"/>
            <w:sz w:val="16"/>
          </w:rPr>
          <w:t>a</w:t>
        </w:r>
        <w:r>
          <w:rPr>
            <w:color w:val="231F20"/>
            <w:spacing w:val="3"/>
            <w:w w:val="101"/>
            <w:sz w:val="16"/>
          </w:rPr>
          <w:t>di</w:t>
        </w:r>
        <w:r>
          <w:rPr>
            <w:color w:val="231F20"/>
            <w:spacing w:val="1"/>
            <w:w w:val="101"/>
            <w:sz w:val="16"/>
          </w:rPr>
          <w:t>r</w:t>
        </w:r>
        <w:r>
          <w:rPr>
            <w:color w:val="231F20"/>
            <w:spacing w:val="-3"/>
            <w:w w:val="58"/>
            <w:sz w:val="16"/>
          </w:rPr>
          <w:t>/</w:t>
        </w:r>
        <w:r>
          <w:rPr>
            <w:color w:val="231F20"/>
            <w:spacing w:val="3"/>
            <w:w w:val="102"/>
            <w:sz w:val="16"/>
          </w:rPr>
          <w:t>a</w:t>
        </w:r>
        <w:r>
          <w:rPr>
            <w:color w:val="231F20"/>
            <w:w w:val="102"/>
            <w:sz w:val="16"/>
          </w:rPr>
          <w:t>r</w:t>
        </w:r>
        <w:r>
          <w:rPr>
            <w:color w:val="231F20"/>
            <w:w w:val="104"/>
            <w:sz w:val="16"/>
          </w:rPr>
          <w:t>c</w:t>
        </w:r>
        <w:r>
          <w:rPr>
            <w:color w:val="231F20"/>
            <w:spacing w:val="3"/>
            <w:w w:val="104"/>
            <w:sz w:val="16"/>
          </w:rPr>
          <w:t>h</w:t>
        </w:r>
        <w:r>
          <w:rPr>
            <w:color w:val="231F20"/>
            <w:spacing w:val="-1"/>
            <w:w w:val="104"/>
            <w:sz w:val="16"/>
          </w:rPr>
          <w:t>i</w:t>
        </w:r>
        <w:r>
          <w:rPr>
            <w:color w:val="231F20"/>
            <w:spacing w:val="-1"/>
            <w:w w:val="102"/>
            <w:sz w:val="16"/>
          </w:rPr>
          <w:t>v</w:t>
        </w:r>
        <w:r>
          <w:rPr>
            <w:color w:val="231F20"/>
            <w:w w:val="58"/>
            <w:sz w:val="16"/>
          </w:rPr>
          <w:t>/</w:t>
        </w:r>
      </w:hyperlink>
      <w:r>
        <w:rPr>
          <w:color w:val="231F20"/>
          <w:w w:val="58"/>
          <w:sz w:val="16"/>
        </w:rPr>
        <w:t xml:space="preserve"> </w:t>
      </w:r>
      <w:r>
        <w:rPr>
          <w:color w:val="231F20"/>
          <w:spacing w:val="-2"/>
          <w:w w:val="101"/>
          <w:sz w:val="16"/>
        </w:rPr>
        <w:t>P</w:t>
      </w:r>
      <w:r>
        <w:rPr>
          <w:color w:val="231F20"/>
          <w:w w:val="108"/>
          <w:sz w:val="16"/>
        </w:rPr>
        <w:t>o</w:t>
      </w:r>
      <w:r>
        <w:rPr>
          <w:color w:val="231F20"/>
          <w:spacing w:val="2"/>
          <w:w w:val="105"/>
          <w:sz w:val="16"/>
        </w:rPr>
        <w:t>l</w:t>
      </w:r>
      <w:r>
        <w:rPr>
          <w:color w:val="231F20"/>
          <w:spacing w:val="-1"/>
          <w:w w:val="105"/>
          <w:sz w:val="16"/>
        </w:rPr>
        <w:t>i</w:t>
      </w:r>
      <w:r>
        <w:rPr>
          <w:color w:val="231F20"/>
          <w:spacing w:val="2"/>
          <w:w w:val="102"/>
          <w:sz w:val="16"/>
        </w:rPr>
        <w:t>t</w:t>
      </w:r>
      <w:r>
        <w:rPr>
          <w:color w:val="231F20"/>
          <w:spacing w:val="1"/>
          <w:w w:val="102"/>
          <w:sz w:val="16"/>
        </w:rPr>
        <w:t>i</w:t>
      </w:r>
      <w:r>
        <w:rPr>
          <w:color w:val="231F20"/>
          <w:spacing w:val="2"/>
          <w:w w:val="93"/>
          <w:sz w:val="16"/>
        </w:rPr>
        <w:t>s</w:t>
      </w:r>
      <w:r>
        <w:rPr>
          <w:color w:val="231F20"/>
          <w:w w:val="104"/>
          <w:sz w:val="16"/>
        </w:rPr>
        <w:t>ch</w:t>
      </w:r>
      <w:r>
        <w:rPr>
          <w:color w:val="231F20"/>
          <w:spacing w:val="2"/>
          <w:w w:val="94"/>
          <w:sz w:val="16"/>
        </w:rPr>
        <w:t>e</w:t>
      </w:r>
      <w:r>
        <w:rPr>
          <w:color w:val="231F20"/>
          <w:spacing w:val="1"/>
          <w:w w:val="104"/>
          <w:sz w:val="16"/>
        </w:rPr>
        <w:t>S</w:t>
      </w:r>
      <w:r>
        <w:rPr>
          <w:color w:val="231F20"/>
          <w:spacing w:val="3"/>
          <w:w w:val="102"/>
          <w:sz w:val="16"/>
        </w:rPr>
        <w:t>t</w:t>
      </w:r>
      <w:r>
        <w:rPr>
          <w:color w:val="231F20"/>
          <w:w w:val="97"/>
          <w:sz w:val="16"/>
        </w:rPr>
        <w:t>r</w:t>
      </w:r>
      <w:r>
        <w:rPr>
          <w:color w:val="231F20"/>
          <w:spacing w:val="2"/>
          <w:w w:val="108"/>
          <w:sz w:val="16"/>
        </w:rPr>
        <w:t>o</w:t>
      </w:r>
      <w:r>
        <w:rPr>
          <w:color w:val="231F20"/>
          <w:w w:val="94"/>
          <w:sz w:val="16"/>
        </w:rPr>
        <w:t>e</w:t>
      </w:r>
      <w:r>
        <w:rPr>
          <w:color w:val="231F20"/>
          <w:spacing w:val="-1"/>
          <w:w w:val="103"/>
          <w:sz w:val="16"/>
        </w:rPr>
        <w:t>m</w:t>
      </w:r>
      <w:r>
        <w:rPr>
          <w:color w:val="231F20"/>
          <w:spacing w:val="3"/>
          <w:w w:val="104"/>
          <w:sz w:val="16"/>
        </w:rPr>
        <w:t>u</w:t>
      </w:r>
      <w:r>
        <w:rPr>
          <w:color w:val="231F20"/>
          <w:w w:val="103"/>
          <w:sz w:val="16"/>
        </w:rPr>
        <w:t>n</w:t>
      </w:r>
      <w:r>
        <w:rPr>
          <w:color w:val="231F20"/>
          <w:w w:val="104"/>
          <w:sz w:val="16"/>
        </w:rPr>
        <w:t>g</w:t>
      </w:r>
      <w:r>
        <w:rPr>
          <w:color w:val="231F20"/>
          <w:w w:val="94"/>
          <w:sz w:val="16"/>
        </w:rPr>
        <w:t>e</w:t>
      </w:r>
      <w:r>
        <w:rPr>
          <w:color w:val="231F20"/>
          <w:spacing w:val="8"/>
          <w:w w:val="103"/>
          <w:sz w:val="16"/>
        </w:rPr>
        <w:t>n</w:t>
      </w:r>
      <w:r>
        <w:rPr>
          <w:color w:val="231F20"/>
          <w:spacing w:val="3"/>
          <w:w w:val="58"/>
          <w:sz w:val="16"/>
        </w:rPr>
        <w:t>/</w:t>
      </w:r>
      <w:r>
        <w:rPr>
          <w:color w:val="231F20"/>
          <w:spacing w:val="1"/>
          <w:w w:val="104"/>
          <w:sz w:val="16"/>
        </w:rPr>
        <w:t>S</w:t>
      </w:r>
      <w:r>
        <w:rPr>
          <w:color w:val="231F20"/>
          <w:spacing w:val="3"/>
          <w:w w:val="102"/>
          <w:sz w:val="16"/>
        </w:rPr>
        <w:t>t</w:t>
      </w:r>
      <w:r>
        <w:rPr>
          <w:color w:val="231F20"/>
          <w:spacing w:val="-1"/>
          <w:w w:val="106"/>
          <w:sz w:val="16"/>
        </w:rPr>
        <w:t>a</w:t>
      </w:r>
      <w:r>
        <w:rPr>
          <w:color w:val="231F20"/>
          <w:w w:val="103"/>
          <w:sz w:val="16"/>
        </w:rPr>
        <w:t>d</w:t>
      </w:r>
      <w:r>
        <w:rPr>
          <w:color w:val="231F20"/>
          <w:spacing w:val="2"/>
          <w:w w:val="102"/>
          <w:sz w:val="16"/>
        </w:rPr>
        <w:t>t</w:t>
      </w:r>
      <w:r>
        <w:rPr>
          <w:color w:val="231F20"/>
          <w:spacing w:val="3"/>
          <w:w w:val="104"/>
          <w:sz w:val="16"/>
        </w:rPr>
        <w:t>g</w:t>
      </w:r>
      <w:r>
        <w:rPr>
          <w:color w:val="231F20"/>
          <w:w w:val="104"/>
          <w:sz w:val="16"/>
        </w:rPr>
        <w:t>u</w:t>
      </w:r>
      <w:r>
        <w:rPr>
          <w:color w:val="231F20"/>
          <w:w w:val="94"/>
          <w:sz w:val="16"/>
        </w:rPr>
        <w:t>e</w:t>
      </w:r>
      <w:r>
        <w:rPr>
          <w:color w:val="231F20"/>
          <w:spacing w:val="2"/>
          <w:w w:val="97"/>
          <w:sz w:val="16"/>
        </w:rPr>
        <w:t>r</w:t>
      </w:r>
      <w:r>
        <w:rPr>
          <w:color w:val="231F20"/>
          <w:spacing w:val="2"/>
          <w:w w:val="105"/>
          <w:sz w:val="16"/>
        </w:rPr>
        <w:t>il</w:t>
      </w:r>
      <w:r>
        <w:rPr>
          <w:color w:val="231F20"/>
          <w:spacing w:val="1"/>
          <w:w w:val="105"/>
          <w:sz w:val="16"/>
        </w:rPr>
        <w:t>l</w:t>
      </w:r>
      <w:r>
        <w:rPr>
          <w:color w:val="231F20"/>
          <w:spacing w:val="-4"/>
          <w:w w:val="106"/>
          <w:sz w:val="16"/>
        </w:rPr>
        <w:t>a</w:t>
      </w:r>
      <w:r>
        <w:rPr>
          <w:color w:val="231F20"/>
          <w:w w:val="104"/>
          <w:sz w:val="16"/>
        </w:rPr>
        <w:t>+</w:t>
      </w:r>
      <w:r w:rsidR="00C507A5">
        <w:rPr>
          <w:color w:val="231F20"/>
          <w:spacing w:val="8"/>
          <w:w w:val="120"/>
          <w:sz w:val="16"/>
        </w:rPr>
        <w:t>red army faction</w:t>
      </w:r>
      <w:r>
        <w:rPr>
          <w:color w:val="231F20"/>
          <w:spacing w:val="8"/>
          <w:w w:val="58"/>
          <w:sz w:val="16"/>
        </w:rPr>
        <w:t>/</w:t>
      </w:r>
      <w:r w:rsidR="00C507A5">
        <w:rPr>
          <w:color w:val="231F20"/>
          <w:spacing w:val="8"/>
          <w:w w:val="120"/>
          <w:sz w:val="16"/>
        </w:rPr>
        <w:t>red army faction</w:t>
      </w:r>
      <w:r>
        <w:rPr>
          <w:color w:val="231F20"/>
          <w:spacing w:val="6"/>
          <w:w w:val="58"/>
          <w:sz w:val="16"/>
        </w:rPr>
        <w:t>/</w:t>
      </w:r>
      <w:r>
        <w:rPr>
          <w:color w:val="231F20"/>
          <w:w w:val="105"/>
          <w:sz w:val="16"/>
        </w:rPr>
        <w:t>b</w:t>
      </w:r>
      <w:r>
        <w:rPr>
          <w:color w:val="231F20"/>
          <w:spacing w:val="-1"/>
          <w:w w:val="97"/>
          <w:sz w:val="16"/>
        </w:rPr>
        <w:t>r</w:t>
      </w:r>
      <w:r>
        <w:rPr>
          <w:color w:val="231F20"/>
          <w:spacing w:val="-2"/>
          <w:w w:val="103"/>
          <w:sz w:val="16"/>
        </w:rPr>
        <w:t>d</w:t>
      </w:r>
      <w:r>
        <w:rPr>
          <w:color w:val="231F20"/>
          <w:spacing w:val="-2"/>
          <w:w w:val="101"/>
          <w:sz w:val="16"/>
        </w:rPr>
        <w:t>+</w:t>
      </w:r>
      <w:r>
        <w:rPr>
          <w:color w:val="231F20"/>
          <w:w w:val="101"/>
          <w:sz w:val="16"/>
        </w:rPr>
        <w:t>r</w:t>
      </w:r>
      <w:r>
        <w:rPr>
          <w:color w:val="231F20"/>
          <w:spacing w:val="2"/>
          <w:w w:val="106"/>
          <w:sz w:val="16"/>
        </w:rPr>
        <w:t>a</w:t>
      </w:r>
      <w:r>
        <w:rPr>
          <w:color w:val="231F20"/>
          <w:spacing w:val="6"/>
          <w:w w:val="114"/>
          <w:sz w:val="16"/>
        </w:rPr>
        <w:t>f</w:t>
      </w:r>
      <w:r>
        <w:rPr>
          <w:color w:val="231F20"/>
          <w:spacing w:val="-2"/>
          <w:w w:val="58"/>
          <w:sz w:val="16"/>
        </w:rPr>
        <w:t>/</w:t>
      </w:r>
      <w:r>
        <w:rPr>
          <w:color w:val="231F20"/>
          <w:spacing w:val="-3"/>
          <w:w w:val="104"/>
          <w:sz w:val="16"/>
        </w:rPr>
        <w:t>0</w:t>
      </w:r>
      <w:r>
        <w:rPr>
          <w:color w:val="231F20"/>
          <w:spacing w:val="-6"/>
          <w:w w:val="104"/>
          <w:sz w:val="16"/>
        </w:rPr>
        <w:t>5</w:t>
      </w:r>
      <w:r>
        <w:rPr>
          <w:color w:val="231F20"/>
          <w:spacing w:val="-3"/>
          <w:w w:val="104"/>
          <w:sz w:val="16"/>
        </w:rPr>
        <w:t>3</w:t>
      </w:r>
      <w:r>
        <w:rPr>
          <w:color w:val="231F20"/>
          <w:spacing w:val="1"/>
          <w:w w:val="140"/>
          <w:sz w:val="16"/>
        </w:rPr>
        <w:t>.</w:t>
      </w:r>
      <w:r>
        <w:rPr>
          <w:color w:val="231F20"/>
          <w:w w:val="103"/>
          <w:sz w:val="16"/>
        </w:rPr>
        <w:t>h</w:t>
      </w:r>
      <w:r>
        <w:rPr>
          <w:color w:val="231F20"/>
          <w:spacing w:val="3"/>
          <w:w w:val="103"/>
          <w:sz w:val="16"/>
        </w:rPr>
        <w:t>tm</w:t>
      </w:r>
      <w:r>
        <w:rPr>
          <w:color w:val="231F20"/>
          <w:w w:val="106"/>
          <w:sz w:val="16"/>
        </w:rPr>
        <w:t>l</w:t>
      </w:r>
      <w:r>
        <w:rPr>
          <w:color w:val="231F20"/>
          <w:w w:val="140"/>
          <w:sz w:val="16"/>
        </w:rPr>
        <w:t>.</w:t>
      </w:r>
    </w:p>
    <w:p w14:paraId="741C70C5" w14:textId="77777777" w:rsidR="002653E8" w:rsidRDefault="003115E3">
      <w:pPr>
        <w:pStyle w:val="a4"/>
        <w:numPr>
          <w:ilvl w:val="0"/>
          <w:numId w:val="122"/>
        </w:numPr>
        <w:tabs>
          <w:tab w:val="left" w:pos="1287"/>
        </w:tabs>
        <w:spacing w:line="254" w:lineRule="auto"/>
        <w:ind w:right="1660" w:firstLine="0"/>
        <w:jc w:val="left"/>
        <w:rPr>
          <w:sz w:val="16"/>
        </w:rPr>
      </w:pPr>
      <w:r w:rsidRPr="00C507A5">
        <w:rPr>
          <w:color w:val="231F20"/>
          <w:w w:val="110"/>
          <w:sz w:val="16"/>
          <w:lang w:val="de-DE"/>
        </w:rPr>
        <w:t xml:space="preserve">Bewegung 2. Juni (2nd of June Movement), </w:t>
      </w:r>
      <w:r w:rsidRPr="00C507A5">
        <w:rPr>
          <w:i/>
          <w:color w:val="231F20"/>
          <w:spacing w:val="1"/>
          <w:w w:val="110"/>
          <w:sz w:val="16"/>
          <w:lang w:val="de-DE"/>
        </w:rPr>
        <w:t xml:space="preserve">Der </w:t>
      </w:r>
      <w:r w:rsidRPr="00C507A5">
        <w:rPr>
          <w:i/>
          <w:color w:val="231F20"/>
          <w:w w:val="110"/>
          <w:sz w:val="16"/>
          <w:lang w:val="de-DE"/>
        </w:rPr>
        <w:t xml:space="preserve">Blues: Gesammelte Texte </w:t>
      </w:r>
      <w:r w:rsidRPr="00C507A5">
        <w:rPr>
          <w:i/>
          <w:color w:val="231F20"/>
          <w:spacing w:val="1"/>
          <w:w w:val="110"/>
          <w:sz w:val="16"/>
          <w:lang w:val="de-DE"/>
        </w:rPr>
        <w:t xml:space="preserve">der </w:t>
      </w:r>
      <w:r w:rsidRPr="00C507A5">
        <w:rPr>
          <w:i/>
          <w:color w:val="231F20"/>
          <w:w w:val="110"/>
          <w:sz w:val="16"/>
          <w:lang w:val="de-DE"/>
        </w:rPr>
        <w:t>Bewgung</w:t>
      </w:r>
      <w:r w:rsidRPr="00C507A5">
        <w:rPr>
          <w:i/>
          <w:color w:val="231F20"/>
          <w:spacing w:val="5"/>
          <w:w w:val="110"/>
          <w:sz w:val="16"/>
          <w:lang w:val="de-DE"/>
        </w:rPr>
        <w:t xml:space="preserve"> </w:t>
      </w:r>
      <w:r w:rsidRPr="00C507A5">
        <w:rPr>
          <w:i/>
          <w:color w:val="231F20"/>
          <w:spacing w:val="3"/>
          <w:w w:val="110"/>
          <w:sz w:val="16"/>
          <w:lang w:val="de-DE"/>
        </w:rPr>
        <w:t>2.</w:t>
      </w:r>
      <w:r w:rsidRPr="00C507A5">
        <w:rPr>
          <w:i/>
          <w:color w:val="231F20"/>
          <w:spacing w:val="5"/>
          <w:w w:val="110"/>
          <w:sz w:val="16"/>
          <w:lang w:val="de-DE"/>
        </w:rPr>
        <w:t xml:space="preserve"> </w:t>
      </w:r>
      <w:r>
        <w:rPr>
          <w:i/>
          <w:color w:val="231F20"/>
          <w:w w:val="110"/>
          <w:sz w:val="16"/>
        </w:rPr>
        <w:t>Juni,</w:t>
      </w:r>
      <w:r>
        <w:rPr>
          <w:i/>
          <w:color w:val="231F20"/>
          <w:spacing w:val="5"/>
          <w:w w:val="110"/>
          <w:sz w:val="16"/>
        </w:rPr>
        <w:t xml:space="preserve"> </w:t>
      </w:r>
      <w:r>
        <w:rPr>
          <w:i/>
          <w:color w:val="231F20"/>
          <w:w w:val="110"/>
          <w:sz w:val="16"/>
        </w:rPr>
        <w:t>Vol.</w:t>
      </w:r>
      <w:r>
        <w:rPr>
          <w:i/>
          <w:color w:val="231F20"/>
          <w:spacing w:val="5"/>
          <w:w w:val="110"/>
          <w:sz w:val="16"/>
        </w:rPr>
        <w:t xml:space="preserve"> </w:t>
      </w:r>
      <w:r>
        <w:rPr>
          <w:i/>
          <w:color w:val="231F20"/>
          <w:spacing w:val="1"/>
          <w:w w:val="110"/>
          <w:sz w:val="16"/>
        </w:rPr>
        <w:t>2</w:t>
      </w:r>
      <w:r>
        <w:rPr>
          <w:color w:val="231F20"/>
          <w:spacing w:val="1"/>
          <w:w w:val="110"/>
          <w:sz w:val="16"/>
        </w:rPr>
        <w:t>,</w:t>
      </w:r>
      <w:r>
        <w:rPr>
          <w:color w:val="231F20"/>
          <w:spacing w:val="5"/>
          <w:w w:val="110"/>
          <w:sz w:val="16"/>
        </w:rPr>
        <w:t xml:space="preserve"> </w:t>
      </w:r>
      <w:r>
        <w:rPr>
          <w:color w:val="231F20"/>
          <w:w w:val="110"/>
          <w:sz w:val="16"/>
        </w:rPr>
        <w:t>self-published</w:t>
      </w:r>
      <w:r>
        <w:rPr>
          <w:color w:val="231F20"/>
          <w:spacing w:val="5"/>
          <w:w w:val="110"/>
          <w:sz w:val="16"/>
        </w:rPr>
        <w:t xml:space="preserve"> </w:t>
      </w:r>
      <w:r>
        <w:rPr>
          <w:color w:val="231F20"/>
          <w:w w:val="110"/>
          <w:sz w:val="16"/>
        </w:rPr>
        <w:t>illegally</w:t>
      </w:r>
      <w:r>
        <w:rPr>
          <w:color w:val="231F20"/>
          <w:spacing w:val="5"/>
          <w:w w:val="110"/>
          <w:sz w:val="16"/>
        </w:rPr>
        <w:t xml:space="preserve"> </w:t>
      </w:r>
      <w:r>
        <w:rPr>
          <w:color w:val="231F20"/>
          <w:w w:val="110"/>
          <w:sz w:val="16"/>
        </w:rPr>
        <w:t>in</w:t>
      </w:r>
      <w:r>
        <w:rPr>
          <w:color w:val="231F20"/>
          <w:spacing w:val="5"/>
          <w:w w:val="110"/>
          <w:sz w:val="16"/>
        </w:rPr>
        <w:t xml:space="preserve"> </w:t>
      </w:r>
      <w:r>
        <w:rPr>
          <w:color w:val="231F20"/>
          <w:w w:val="110"/>
          <w:sz w:val="16"/>
        </w:rPr>
        <w:t>the</w:t>
      </w:r>
      <w:r>
        <w:rPr>
          <w:color w:val="231F20"/>
          <w:spacing w:val="5"/>
          <w:w w:val="110"/>
          <w:sz w:val="16"/>
        </w:rPr>
        <w:t xml:space="preserve"> </w:t>
      </w:r>
      <w:r>
        <w:rPr>
          <w:color w:val="231F20"/>
          <w:w w:val="110"/>
          <w:sz w:val="16"/>
        </w:rPr>
        <w:t>FRG,</w:t>
      </w:r>
      <w:r>
        <w:rPr>
          <w:color w:val="231F20"/>
          <w:spacing w:val="5"/>
          <w:w w:val="110"/>
          <w:sz w:val="16"/>
        </w:rPr>
        <w:t xml:space="preserve"> </w:t>
      </w:r>
      <w:r>
        <w:rPr>
          <w:color w:val="231F20"/>
          <w:w w:val="110"/>
          <w:sz w:val="16"/>
        </w:rPr>
        <w:t>n.d.</w:t>
      </w:r>
      <w:r>
        <w:rPr>
          <w:color w:val="231F20"/>
          <w:spacing w:val="5"/>
          <w:w w:val="110"/>
          <w:sz w:val="16"/>
        </w:rPr>
        <w:t xml:space="preserve"> </w:t>
      </w:r>
      <w:r>
        <w:rPr>
          <w:color w:val="231F20"/>
          <w:spacing w:val="-4"/>
          <w:w w:val="110"/>
          <w:sz w:val="16"/>
        </w:rPr>
        <w:t>(1982?),</w:t>
      </w:r>
      <w:r>
        <w:rPr>
          <w:color w:val="231F20"/>
          <w:spacing w:val="5"/>
          <w:w w:val="110"/>
          <w:sz w:val="16"/>
        </w:rPr>
        <w:t xml:space="preserve"> </w:t>
      </w:r>
      <w:r>
        <w:rPr>
          <w:color w:val="231F20"/>
          <w:w w:val="110"/>
          <w:sz w:val="16"/>
        </w:rPr>
        <w:t>680.</w:t>
      </w:r>
    </w:p>
    <w:p w14:paraId="021F25AA" w14:textId="77777777" w:rsidR="002653E8" w:rsidRDefault="003115E3">
      <w:pPr>
        <w:pStyle w:val="a4"/>
        <w:numPr>
          <w:ilvl w:val="0"/>
          <w:numId w:val="122"/>
        </w:numPr>
        <w:tabs>
          <w:tab w:val="left" w:pos="1287"/>
        </w:tabs>
        <w:spacing w:before="40"/>
        <w:ind w:firstLine="0"/>
        <w:jc w:val="left"/>
        <w:rPr>
          <w:sz w:val="16"/>
        </w:rPr>
      </w:pPr>
      <w:r>
        <w:rPr>
          <w:color w:val="231F20"/>
          <w:w w:val="105"/>
          <w:sz w:val="16"/>
        </w:rPr>
        <w:t>Helmut</w:t>
      </w:r>
      <w:r>
        <w:rPr>
          <w:color w:val="231F20"/>
          <w:spacing w:val="7"/>
          <w:w w:val="105"/>
          <w:sz w:val="16"/>
        </w:rPr>
        <w:t xml:space="preserve"> </w:t>
      </w:r>
      <w:r>
        <w:rPr>
          <w:color w:val="231F20"/>
          <w:w w:val="105"/>
          <w:sz w:val="16"/>
        </w:rPr>
        <w:t>Pohl’s</w:t>
      </w:r>
      <w:r>
        <w:rPr>
          <w:color w:val="231F20"/>
          <w:spacing w:val="7"/>
          <w:w w:val="105"/>
          <w:sz w:val="16"/>
        </w:rPr>
        <w:t xml:space="preserve"> </w:t>
      </w:r>
      <w:r>
        <w:rPr>
          <w:color w:val="231F20"/>
          <w:w w:val="105"/>
          <w:sz w:val="16"/>
        </w:rPr>
        <w:t>Testimony</w:t>
      </w:r>
      <w:r>
        <w:rPr>
          <w:color w:val="231F20"/>
          <w:spacing w:val="7"/>
          <w:w w:val="105"/>
          <w:sz w:val="16"/>
        </w:rPr>
        <w:t xml:space="preserve"> </w:t>
      </w:r>
      <w:r>
        <w:rPr>
          <w:color w:val="231F20"/>
          <w:w w:val="105"/>
          <w:sz w:val="16"/>
        </w:rPr>
        <w:t>at</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spacing w:val="1"/>
          <w:w w:val="105"/>
          <w:sz w:val="16"/>
        </w:rPr>
        <w:t>Stammheim</w:t>
      </w:r>
      <w:r>
        <w:rPr>
          <w:color w:val="231F20"/>
          <w:spacing w:val="7"/>
          <w:w w:val="105"/>
          <w:sz w:val="16"/>
        </w:rPr>
        <w:t xml:space="preserve"> </w:t>
      </w:r>
      <w:r>
        <w:rPr>
          <w:color w:val="231F20"/>
          <w:w w:val="105"/>
          <w:sz w:val="16"/>
        </w:rPr>
        <w:t>trial,</w:t>
      </w:r>
      <w:r>
        <w:rPr>
          <w:color w:val="231F20"/>
          <w:spacing w:val="7"/>
          <w:w w:val="105"/>
          <w:sz w:val="16"/>
        </w:rPr>
        <w:t xml:space="preserve"> </w:t>
      </w:r>
      <w:r>
        <w:rPr>
          <w:color w:val="231F20"/>
          <w:w w:val="105"/>
          <w:sz w:val="16"/>
        </w:rPr>
        <w:t>July</w:t>
      </w:r>
      <w:r>
        <w:rPr>
          <w:color w:val="231F20"/>
          <w:spacing w:val="8"/>
          <w:w w:val="105"/>
          <w:sz w:val="16"/>
        </w:rPr>
        <w:t xml:space="preserve"> </w:t>
      </w:r>
      <w:r>
        <w:rPr>
          <w:color w:val="231F20"/>
          <w:w w:val="105"/>
          <w:sz w:val="16"/>
        </w:rPr>
        <w:t>29,</w:t>
      </w:r>
      <w:r>
        <w:rPr>
          <w:color w:val="231F20"/>
          <w:spacing w:val="7"/>
          <w:w w:val="105"/>
          <w:sz w:val="16"/>
        </w:rPr>
        <w:t xml:space="preserve"> </w:t>
      </w:r>
      <w:r>
        <w:rPr>
          <w:color w:val="231F20"/>
          <w:spacing w:val="-3"/>
          <w:w w:val="105"/>
          <w:sz w:val="16"/>
        </w:rPr>
        <w:t>1976.</w:t>
      </w:r>
    </w:p>
    <w:p w14:paraId="7FF4940A" w14:textId="77777777" w:rsidR="002653E8" w:rsidRDefault="002653E8">
      <w:pPr>
        <w:rPr>
          <w:sz w:val="16"/>
        </w:rPr>
        <w:sectPr w:rsidR="002653E8">
          <w:pgSz w:w="8640" w:h="12960"/>
          <w:pgMar w:top="1060" w:right="0" w:bottom="1040" w:left="0" w:header="0" w:footer="850" w:gutter="0"/>
          <w:cols w:space="720"/>
        </w:sectPr>
      </w:pPr>
    </w:p>
    <w:p w14:paraId="64E0470F" w14:textId="77777777" w:rsidR="002653E8" w:rsidRDefault="003115E3">
      <w:pPr>
        <w:pStyle w:val="a3"/>
        <w:spacing w:before="86"/>
        <w:ind w:left="1327"/>
      </w:pPr>
      <w:r>
        <w:rPr>
          <w:color w:val="231F20"/>
        </w:rPr>
        <w:lastRenderedPageBreak/>
        <w:t>As Andreas Baader described it:</w:t>
      </w:r>
    </w:p>
    <w:p w14:paraId="0B12EBEF" w14:textId="77777777" w:rsidR="002653E8" w:rsidRDefault="003115E3">
      <w:pPr>
        <w:spacing w:before="152" w:line="276" w:lineRule="auto"/>
        <w:ind w:left="1747" w:right="1565"/>
        <w:jc w:val="both"/>
        <w:rPr>
          <w:i/>
          <w:sz w:val="11"/>
        </w:rPr>
      </w:pPr>
      <w:r>
        <w:rPr>
          <w:i/>
          <w:color w:val="231F20"/>
          <w:sz w:val="19"/>
        </w:rPr>
        <w:t>Isolation aims at alienating prisoners from every social</w:t>
      </w:r>
      <w:r>
        <w:rPr>
          <w:i/>
          <w:color w:val="231F20"/>
          <w:spacing w:val="-12"/>
          <w:sz w:val="19"/>
        </w:rPr>
        <w:t xml:space="preserve"> </w:t>
      </w:r>
      <w:r>
        <w:rPr>
          <w:i/>
          <w:color w:val="231F20"/>
          <w:sz w:val="19"/>
        </w:rPr>
        <w:t xml:space="preserve">relationship including their </w:t>
      </w:r>
      <w:r>
        <w:rPr>
          <w:i/>
          <w:color w:val="231F20"/>
          <w:spacing w:val="-3"/>
          <w:sz w:val="19"/>
        </w:rPr>
        <w:t xml:space="preserve">history, </w:t>
      </w:r>
      <w:r>
        <w:rPr>
          <w:i/>
          <w:color w:val="231F20"/>
          <w:sz w:val="19"/>
        </w:rPr>
        <w:t>their history above all… It makes the prisoner</w:t>
      </w:r>
      <w:r>
        <w:rPr>
          <w:i/>
          <w:color w:val="231F20"/>
          <w:spacing w:val="11"/>
          <w:sz w:val="19"/>
        </w:rPr>
        <w:t xml:space="preserve"> </w:t>
      </w:r>
      <w:r>
        <w:rPr>
          <w:i/>
          <w:color w:val="231F20"/>
          <w:sz w:val="19"/>
        </w:rPr>
        <w:t>unconscious</w:t>
      </w:r>
      <w:r>
        <w:rPr>
          <w:i/>
          <w:color w:val="231F20"/>
          <w:spacing w:val="11"/>
          <w:sz w:val="19"/>
        </w:rPr>
        <w:t xml:space="preserve"> </w:t>
      </w:r>
      <w:r>
        <w:rPr>
          <w:i/>
          <w:color w:val="231F20"/>
          <w:sz w:val="19"/>
        </w:rPr>
        <w:t>or</w:t>
      </w:r>
      <w:r>
        <w:rPr>
          <w:i/>
          <w:color w:val="231F20"/>
          <w:spacing w:val="11"/>
          <w:sz w:val="19"/>
        </w:rPr>
        <w:t xml:space="preserve"> </w:t>
      </w:r>
      <w:r>
        <w:rPr>
          <w:i/>
          <w:color w:val="231F20"/>
          <w:sz w:val="19"/>
        </w:rPr>
        <w:t>kills</w:t>
      </w:r>
      <w:r>
        <w:rPr>
          <w:i/>
          <w:color w:val="231F20"/>
          <w:spacing w:val="11"/>
          <w:sz w:val="19"/>
        </w:rPr>
        <w:t xml:space="preserve"> </w:t>
      </w:r>
      <w:r>
        <w:rPr>
          <w:i/>
          <w:color w:val="231F20"/>
          <w:sz w:val="19"/>
        </w:rPr>
        <w:t>him</w:t>
      </w:r>
      <w:r>
        <w:rPr>
          <w:i/>
          <w:color w:val="231F20"/>
          <w:spacing w:val="11"/>
          <w:sz w:val="19"/>
        </w:rPr>
        <w:t xml:space="preserve"> </w:t>
      </w:r>
      <w:r>
        <w:rPr>
          <w:i/>
          <w:color w:val="231F20"/>
          <w:sz w:val="19"/>
        </w:rPr>
        <w:t>or</w:t>
      </w:r>
      <w:r>
        <w:rPr>
          <w:i/>
          <w:color w:val="231F20"/>
          <w:spacing w:val="11"/>
          <w:sz w:val="19"/>
        </w:rPr>
        <w:t xml:space="preserve"> </w:t>
      </w:r>
      <w:r>
        <w:rPr>
          <w:i/>
          <w:color w:val="231F20"/>
          <w:spacing w:val="-5"/>
          <w:sz w:val="19"/>
        </w:rPr>
        <w:t>her.</w:t>
      </w:r>
      <w:r>
        <w:rPr>
          <w:i/>
          <w:color w:val="231F20"/>
          <w:spacing w:val="-5"/>
          <w:position w:val="6"/>
          <w:sz w:val="11"/>
        </w:rPr>
        <w:t>4</w:t>
      </w:r>
    </w:p>
    <w:p w14:paraId="6FF1EF5C" w14:textId="77777777" w:rsidR="002653E8" w:rsidRDefault="003115E3">
      <w:pPr>
        <w:pStyle w:val="a3"/>
        <w:spacing w:before="130" w:line="264" w:lineRule="auto"/>
        <w:ind w:left="1327" w:right="1137"/>
        <w:jc w:val="both"/>
      </w:pPr>
      <w:r>
        <w:rPr>
          <w:color w:val="231F20"/>
        </w:rPr>
        <w:t xml:space="preserve">Professor Wilfried Rasch of the Institute of Forensic Psychiatry at the Free University of Berlin, who was called upon to examine the </w:t>
      </w:r>
      <w:r w:rsidR="00C507A5">
        <w:rPr>
          <w:color w:val="231F20"/>
        </w:rPr>
        <w:t>red army faction</w:t>
      </w:r>
      <w:r>
        <w:rPr>
          <w:color w:val="231F20"/>
        </w:rPr>
        <w:t xml:space="preserve"> prisoners, had this to say about the isolation conditions in which they were held:</w:t>
      </w:r>
    </w:p>
    <w:p w14:paraId="2F789DD3" w14:textId="77777777" w:rsidR="002653E8" w:rsidRDefault="003115E3">
      <w:pPr>
        <w:spacing w:before="124" w:line="276" w:lineRule="auto"/>
        <w:ind w:left="1747" w:right="1559"/>
        <w:jc w:val="both"/>
        <w:rPr>
          <w:i/>
          <w:sz w:val="11"/>
        </w:rPr>
      </w:pPr>
      <w:r>
        <w:rPr>
          <w:i/>
          <w:color w:val="231F20"/>
          <w:w w:val="105"/>
          <w:sz w:val="19"/>
        </w:rPr>
        <w:t xml:space="preserve">The high security wing has simply the quality of torture, that is to </w:t>
      </w:r>
      <w:r>
        <w:rPr>
          <w:i/>
          <w:color w:val="231F20"/>
          <w:spacing w:val="-6"/>
          <w:w w:val="105"/>
          <w:sz w:val="19"/>
        </w:rPr>
        <w:t xml:space="preserve">say, </w:t>
      </w:r>
      <w:r>
        <w:rPr>
          <w:i/>
          <w:color w:val="231F20"/>
          <w:w w:val="105"/>
          <w:sz w:val="19"/>
        </w:rPr>
        <w:t>an attempt to use special measures to achieve something amongst</w:t>
      </w:r>
      <w:r>
        <w:rPr>
          <w:i/>
          <w:color w:val="231F20"/>
          <w:spacing w:val="-13"/>
          <w:w w:val="105"/>
          <w:sz w:val="19"/>
        </w:rPr>
        <w:t xml:space="preserve"> </w:t>
      </w:r>
      <w:r>
        <w:rPr>
          <w:i/>
          <w:color w:val="231F20"/>
          <w:w w:val="105"/>
          <w:sz w:val="19"/>
        </w:rPr>
        <w:t>the</w:t>
      </w:r>
      <w:r>
        <w:rPr>
          <w:i/>
          <w:color w:val="231F20"/>
          <w:spacing w:val="-13"/>
          <w:w w:val="105"/>
          <w:sz w:val="19"/>
        </w:rPr>
        <w:t xml:space="preserve"> </w:t>
      </w:r>
      <w:r>
        <w:rPr>
          <w:i/>
          <w:color w:val="231F20"/>
          <w:w w:val="105"/>
          <w:sz w:val="19"/>
        </w:rPr>
        <w:t>prisoners</w:t>
      </w:r>
      <w:r>
        <w:rPr>
          <w:i/>
          <w:color w:val="231F20"/>
          <w:spacing w:val="-13"/>
          <w:w w:val="105"/>
          <w:sz w:val="19"/>
        </w:rPr>
        <w:t xml:space="preserve"> </w:t>
      </w:r>
      <w:r>
        <w:rPr>
          <w:i/>
          <w:color w:val="231F20"/>
          <w:w w:val="105"/>
          <w:sz w:val="19"/>
        </w:rPr>
        <w:t>through</w:t>
      </w:r>
      <w:r>
        <w:rPr>
          <w:i/>
          <w:color w:val="231F20"/>
          <w:spacing w:val="-13"/>
          <w:w w:val="105"/>
          <w:sz w:val="19"/>
        </w:rPr>
        <w:t xml:space="preserve"> </w:t>
      </w:r>
      <w:r>
        <w:rPr>
          <w:i/>
          <w:color w:val="231F20"/>
          <w:w w:val="105"/>
          <w:sz w:val="19"/>
        </w:rPr>
        <w:t>difficult</w:t>
      </w:r>
      <w:r>
        <w:rPr>
          <w:i/>
          <w:color w:val="231F20"/>
          <w:spacing w:val="-13"/>
          <w:w w:val="105"/>
          <w:sz w:val="19"/>
        </w:rPr>
        <w:t xml:space="preserve"> </w:t>
      </w:r>
      <w:r>
        <w:rPr>
          <w:i/>
          <w:color w:val="231F20"/>
          <w:w w:val="105"/>
          <w:sz w:val="19"/>
        </w:rPr>
        <w:t>or</w:t>
      </w:r>
      <w:r>
        <w:rPr>
          <w:i/>
          <w:color w:val="231F20"/>
          <w:spacing w:val="-13"/>
          <w:w w:val="105"/>
          <w:sz w:val="19"/>
        </w:rPr>
        <w:t xml:space="preserve"> </w:t>
      </w:r>
      <w:r>
        <w:rPr>
          <w:i/>
          <w:color w:val="231F20"/>
          <w:w w:val="105"/>
          <w:sz w:val="19"/>
        </w:rPr>
        <w:t>unbearable</w:t>
      </w:r>
      <w:r>
        <w:rPr>
          <w:i/>
          <w:color w:val="231F20"/>
          <w:spacing w:val="-13"/>
          <w:w w:val="105"/>
          <w:sz w:val="19"/>
        </w:rPr>
        <w:t xml:space="preserve"> </w:t>
      </w:r>
      <w:r>
        <w:rPr>
          <w:i/>
          <w:color w:val="231F20"/>
          <w:w w:val="105"/>
          <w:sz w:val="19"/>
        </w:rPr>
        <w:t>conditions, specifically, a change of heart, a</w:t>
      </w:r>
      <w:r>
        <w:rPr>
          <w:i/>
          <w:color w:val="231F20"/>
          <w:spacing w:val="20"/>
          <w:w w:val="105"/>
          <w:sz w:val="19"/>
        </w:rPr>
        <w:t xml:space="preserve"> </w:t>
      </w:r>
      <w:r>
        <w:rPr>
          <w:i/>
          <w:color w:val="231F20"/>
          <w:w w:val="105"/>
          <w:sz w:val="19"/>
        </w:rPr>
        <w:t>defection.</w:t>
      </w:r>
      <w:r>
        <w:rPr>
          <w:i/>
          <w:color w:val="231F20"/>
          <w:w w:val="105"/>
          <w:position w:val="6"/>
          <w:sz w:val="11"/>
        </w:rPr>
        <w:t>5</w:t>
      </w:r>
    </w:p>
    <w:p w14:paraId="414B75CE" w14:textId="77777777" w:rsidR="002653E8" w:rsidRDefault="003115E3">
      <w:pPr>
        <w:pStyle w:val="a3"/>
        <w:spacing w:before="131" w:line="264" w:lineRule="auto"/>
        <w:ind w:left="1327" w:right="1146"/>
        <w:jc w:val="both"/>
      </w:pPr>
      <w:r>
        <w:rPr>
          <w:color w:val="231F20"/>
        </w:rPr>
        <w:t>Even those visits that were permitted were designed to add to the prisoners’ stress-level. Eberhard Dreher, held on charges of supporting the 2nd of June Movement, described the closed visiting conditions:</w:t>
      </w:r>
    </w:p>
    <w:p w14:paraId="06F324A0" w14:textId="77777777" w:rsidR="002653E8" w:rsidRDefault="003115E3">
      <w:pPr>
        <w:spacing w:before="125" w:line="276" w:lineRule="auto"/>
        <w:ind w:left="1747" w:right="1565"/>
        <w:jc w:val="both"/>
        <w:rPr>
          <w:i/>
          <w:sz w:val="11"/>
        </w:rPr>
      </w:pPr>
      <w:r>
        <w:rPr>
          <w:i/>
          <w:color w:val="231F20"/>
          <w:w w:val="105"/>
          <w:sz w:val="19"/>
        </w:rPr>
        <w:t>[T]he screen offers a pretense of contact, simultaneously</w:t>
      </w:r>
      <w:r>
        <w:rPr>
          <w:i/>
          <w:color w:val="231F20"/>
          <w:spacing w:val="-18"/>
          <w:w w:val="105"/>
          <w:sz w:val="19"/>
        </w:rPr>
        <w:t xml:space="preserve"> </w:t>
      </w:r>
      <w:r>
        <w:rPr>
          <w:i/>
          <w:color w:val="231F20"/>
          <w:w w:val="105"/>
          <w:sz w:val="19"/>
        </w:rPr>
        <w:t xml:space="preserve">limiting the contact to visual contact and making the contact unfamiliar due to the reflective quality of the glass… Further pain is created by the lack of air and the particular acoustics. The construction of ventilators would rectify this problem… </w:t>
      </w:r>
      <w:r>
        <w:rPr>
          <w:i/>
          <w:color w:val="231F20"/>
          <w:spacing w:val="-9"/>
          <w:w w:val="105"/>
          <w:sz w:val="19"/>
        </w:rPr>
        <w:t xml:space="preserve">To </w:t>
      </w:r>
      <w:r>
        <w:rPr>
          <w:i/>
          <w:color w:val="231F20"/>
          <w:w w:val="105"/>
          <w:sz w:val="19"/>
        </w:rPr>
        <w:t xml:space="preserve">make oneself understood, one must speak very </w:t>
      </w:r>
      <w:r>
        <w:rPr>
          <w:i/>
          <w:color w:val="231F20"/>
          <w:spacing w:val="-4"/>
          <w:w w:val="105"/>
          <w:sz w:val="19"/>
        </w:rPr>
        <w:t xml:space="preserve">loudly. </w:t>
      </w:r>
      <w:r>
        <w:rPr>
          <w:i/>
          <w:color w:val="231F20"/>
          <w:spacing w:val="-3"/>
          <w:w w:val="105"/>
          <w:sz w:val="19"/>
        </w:rPr>
        <w:t xml:space="preserve">One’s </w:t>
      </w:r>
      <w:r>
        <w:rPr>
          <w:i/>
          <w:color w:val="231F20"/>
          <w:w w:val="105"/>
          <w:sz w:val="19"/>
        </w:rPr>
        <w:t>own voice within the</w:t>
      </w:r>
      <w:r>
        <w:rPr>
          <w:i/>
          <w:color w:val="231F20"/>
          <w:spacing w:val="-6"/>
          <w:w w:val="105"/>
          <w:sz w:val="19"/>
        </w:rPr>
        <w:t xml:space="preserve"> </w:t>
      </w:r>
      <w:r>
        <w:rPr>
          <w:i/>
          <w:color w:val="231F20"/>
          <w:w w:val="105"/>
          <w:sz w:val="19"/>
        </w:rPr>
        <w:t>aquarium-like</w:t>
      </w:r>
      <w:r>
        <w:rPr>
          <w:i/>
          <w:color w:val="231F20"/>
          <w:spacing w:val="-6"/>
          <w:w w:val="105"/>
          <w:sz w:val="19"/>
        </w:rPr>
        <w:t xml:space="preserve"> </w:t>
      </w:r>
      <w:r>
        <w:rPr>
          <w:i/>
          <w:color w:val="231F20"/>
          <w:w w:val="105"/>
          <w:sz w:val="19"/>
        </w:rPr>
        <w:t>cabinet</w:t>
      </w:r>
      <w:r>
        <w:rPr>
          <w:i/>
          <w:color w:val="231F20"/>
          <w:spacing w:val="-6"/>
          <w:w w:val="105"/>
          <w:sz w:val="19"/>
        </w:rPr>
        <w:t xml:space="preserve"> </w:t>
      </w:r>
      <w:r>
        <w:rPr>
          <w:i/>
          <w:color w:val="231F20"/>
          <w:w w:val="105"/>
          <w:sz w:val="19"/>
        </w:rPr>
        <w:t>is</w:t>
      </w:r>
      <w:r>
        <w:rPr>
          <w:i/>
          <w:color w:val="231F20"/>
          <w:spacing w:val="-6"/>
          <w:w w:val="105"/>
          <w:sz w:val="19"/>
        </w:rPr>
        <w:t xml:space="preserve"> </w:t>
      </w:r>
      <w:r>
        <w:rPr>
          <w:i/>
          <w:color w:val="231F20"/>
          <w:w w:val="105"/>
          <w:sz w:val="19"/>
        </w:rPr>
        <w:t>amplified</w:t>
      </w:r>
      <w:r>
        <w:rPr>
          <w:i/>
          <w:color w:val="231F20"/>
          <w:spacing w:val="-6"/>
          <w:w w:val="105"/>
          <w:sz w:val="19"/>
        </w:rPr>
        <w:t xml:space="preserve"> </w:t>
      </w:r>
      <w:r>
        <w:rPr>
          <w:i/>
          <w:color w:val="231F20"/>
          <w:w w:val="105"/>
          <w:sz w:val="19"/>
        </w:rPr>
        <w:t>into</w:t>
      </w:r>
      <w:r>
        <w:rPr>
          <w:i/>
          <w:color w:val="231F20"/>
          <w:spacing w:val="-6"/>
          <w:w w:val="105"/>
          <w:sz w:val="19"/>
        </w:rPr>
        <w:t xml:space="preserve"> </w:t>
      </w:r>
      <w:r>
        <w:rPr>
          <w:i/>
          <w:color w:val="231F20"/>
          <w:w w:val="105"/>
          <w:sz w:val="19"/>
        </w:rPr>
        <w:t>an</w:t>
      </w:r>
      <w:r>
        <w:rPr>
          <w:i/>
          <w:color w:val="231F20"/>
          <w:spacing w:val="-6"/>
          <w:w w:val="105"/>
          <w:sz w:val="19"/>
        </w:rPr>
        <w:t xml:space="preserve"> </w:t>
      </w:r>
      <w:r>
        <w:rPr>
          <w:i/>
          <w:color w:val="231F20"/>
          <w:w w:val="105"/>
          <w:sz w:val="19"/>
        </w:rPr>
        <w:t>acoustic</w:t>
      </w:r>
      <w:r>
        <w:rPr>
          <w:i/>
          <w:color w:val="231F20"/>
          <w:spacing w:val="-6"/>
          <w:w w:val="105"/>
          <w:sz w:val="19"/>
        </w:rPr>
        <w:t xml:space="preserve"> </w:t>
      </w:r>
      <w:r>
        <w:rPr>
          <w:i/>
          <w:color w:val="231F20"/>
          <w:w w:val="105"/>
          <w:sz w:val="19"/>
        </w:rPr>
        <w:t xml:space="preserve">mountain crashing down directly onto </w:t>
      </w:r>
      <w:r>
        <w:rPr>
          <w:i/>
          <w:color w:val="231F20"/>
          <w:spacing w:val="-3"/>
          <w:w w:val="105"/>
          <w:sz w:val="19"/>
        </w:rPr>
        <w:t xml:space="preserve">one’s </w:t>
      </w:r>
      <w:r>
        <w:rPr>
          <w:i/>
          <w:color w:val="231F20"/>
          <w:w w:val="105"/>
          <w:sz w:val="19"/>
        </w:rPr>
        <w:t>own</w:t>
      </w:r>
      <w:r>
        <w:rPr>
          <w:i/>
          <w:color w:val="231F20"/>
          <w:spacing w:val="41"/>
          <w:w w:val="105"/>
          <w:sz w:val="19"/>
        </w:rPr>
        <w:t xml:space="preserve"> </w:t>
      </w:r>
      <w:r>
        <w:rPr>
          <w:i/>
          <w:color w:val="231F20"/>
          <w:w w:val="105"/>
          <w:sz w:val="19"/>
        </w:rPr>
        <w:t>head.</w:t>
      </w:r>
      <w:r>
        <w:rPr>
          <w:i/>
          <w:color w:val="231F20"/>
          <w:w w:val="105"/>
          <w:position w:val="6"/>
          <w:sz w:val="11"/>
        </w:rPr>
        <w:t>6</w:t>
      </w:r>
    </w:p>
    <w:p w14:paraId="38D0B7DC" w14:textId="77777777" w:rsidR="002653E8" w:rsidRDefault="003115E3">
      <w:pPr>
        <w:pStyle w:val="a3"/>
        <w:spacing w:before="134" w:line="264" w:lineRule="auto"/>
        <w:ind w:left="1327" w:right="1148"/>
        <w:jc w:val="both"/>
      </w:pPr>
      <w:r>
        <w:rPr>
          <w:color w:val="231F20"/>
        </w:rPr>
        <w:t>Dreher further described the effect of one such visit with his lawyer as follows:</w:t>
      </w:r>
    </w:p>
    <w:p w14:paraId="3A2A536E" w14:textId="77777777" w:rsidR="002653E8" w:rsidRDefault="003115E3">
      <w:pPr>
        <w:spacing w:before="126" w:line="276" w:lineRule="auto"/>
        <w:ind w:left="1747" w:right="1560"/>
        <w:jc w:val="both"/>
        <w:rPr>
          <w:i/>
          <w:sz w:val="11"/>
        </w:rPr>
      </w:pPr>
      <w:r>
        <w:rPr>
          <w:i/>
          <w:color w:val="231F20"/>
          <w:sz w:val="19"/>
        </w:rPr>
        <w:t>After… forty minutes, I had a splitting headache and, with the consent of my lawyer, had to break off the visit. I had a headache, needed air, was fed-up, wanted to be in my cell in peace.</w:t>
      </w:r>
      <w:r>
        <w:rPr>
          <w:i/>
          <w:color w:val="231F20"/>
          <w:position w:val="6"/>
          <w:sz w:val="11"/>
        </w:rPr>
        <w:t>7</w:t>
      </w:r>
    </w:p>
    <w:p w14:paraId="04CF7B01" w14:textId="77777777" w:rsidR="002653E8" w:rsidRDefault="002653E8">
      <w:pPr>
        <w:pStyle w:val="a3"/>
        <w:rPr>
          <w:i/>
        </w:rPr>
      </w:pPr>
    </w:p>
    <w:p w14:paraId="26AE9940" w14:textId="77777777" w:rsidR="002653E8" w:rsidRDefault="002653E8">
      <w:pPr>
        <w:pStyle w:val="a3"/>
        <w:rPr>
          <w:i/>
        </w:rPr>
      </w:pPr>
    </w:p>
    <w:p w14:paraId="1339F575" w14:textId="77777777" w:rsidR="002653E8" w:rsidRDefault="00000000">
      <w:pPr>
        <w:pStyle w:val="a3"/>
        <w:spacing w:before="11"/>
        <w:rPr>
          <w:i/>
          <w:sz w:val="22"/>
        </w:rPr>
      </w:pPr>
      <w:r>
        <w:rPr>
          <w:noProof w:val="0"/>
        </w:rPr>
        <w:pict w14:anchorId="012DD21B">
          <v:line id="_x0000_s2439" style="position:absolute;z-index:6160;mso-wrap-distance-left:0;mso-wrap-distance-right:0;mso-position-horizontal-relative:page" from="66.4pt,15.65pt" to="138.4pt,15.65pt" strokecolor="#231f20" strokeweight=".5pt">
            <w10:wrap type="topAndBottom" anchorx="page"/>
          </v:line>
        </w:pict>
      </w:r>
    </w:p>
    <w:p w14:paraId="318A4EBD" w14:textId="77777777" w:rsidR="002653E8" w:rsidRPr="00C507A5" w:rsidRDefault="003115E3">
      <w:pPr>
        <w:pStyle w:val="a4"/>
        <w:numPr>
          <w:ilvl w:val="0"/>
          <w:numId w:val="122"/>
        </w:numPr>
        <w:tabs>
          <w:tab w:val="left" w:pos="1467"/>
        </w:tabs>
        <w:spacing w:before="53" w:line="254" w:lineRule="auto"/>
        <w:ind w:left="1328" w:right="1419" w:hanging="1"/>
        <w:jc w:val="left"/>
        <w:rPr>
          <w:sz w:val="16"/>
          <w:lang w:val="de-DE"/>
        </w:rPr>
      </w:pPr>
      <w:r w:rsidRPr="00C507A5">
        <w:rPr>
          <w:color w:val="231F20"/>
          <w:w w:val="115"/>
          <w:sz w:val="16"/>
          <w:lang w:val="de-DE"/>
        </w:rPr>
        <w:t>Bakker</w:t>
      </w:r>
      <w:r w:rsidRPr="00C507A5">
        <w:rPr>
          <w:color w:val="231F20"/>
          <w:spacing w:val="-20"/>
          <w:w w:val="115"/>
          <w:sz w:val="16"/>
          <w:lang w:val="de-DE"/>
        </w:rPr>
        <w:t xml:space="preserve"> </w:t>
      </w:r>
      <w:r w:rsidRPr="00C507A5">
        <w:rPr>
          <w:color w:val="231F20"/>
          <w:w w:val="115"/>
          <w:sz w:val="16"/>
          <w:lang w:val="de-DE"/>
        </w:rPr>
        <w:t>Schut</w:t>
      </w:r>
      <w:r w:rsidRPr="00C507A5">
        <w:rPr>
          <w:color w:val="231F20"/>
          <w:spacing w:val="-20"/>
          <w:w w:val="115"/>
          <w:sz w:val="16"/>
          <w:lang w:val="de-DE"/>
        </w:rPr>
        <w:t xml:space="preserve"> </w:t>
      </w:r>
      <w:r w:rsidRPr="00C507A5">
        <w:rPr>
          <w:color w:val="231F20"/>
          <w:w w:val="115"/>
          <w:sz w:val="16"/>
          <w:lang w:val="de-DE"/>
        </w:rPr>
        <w:t>(ed.),</w:t>
      </w:r>
      <w:r w:rsidRPr="00C507A5">
        <w:rPr>
          <w:color w:val="231F20"/>
          <w:spacing w:val="-19"/>
          <w:w w:val="115"/>
          <w:sz w:val="16"/>
          <w:lang w:val="de-DE"/>
        </w:rPr>
        <w:t xml:space="preserve"> </w:t>
      </w:r>
      <w:r w:rsidRPr="00C507A5">
        <w:rPr>
          <w:i/>
          <w:color w:val="231F20"/>
          <w:w w:val="115"/>
          <w:sz w:val="16"/>
          <w:lang w:val="de-DE"/>
        </w:rPr>
        <w:t>Das</w:t>
      </w:r>
      <w:r w:rsidRPr="00C507A5">
        <w:rPr>
          <w:i/>
          <w:color w:val="231F20"/>
          <w:spacing w:val="-20"/>
          <w:w w:val="115"/>
          <w:sz w:val="16"/>
          <w:lang w:val="de-DE"/>
        </w:rPr>
        <w:t xml:space="preserve"> </w:t>
      </w:r>
      <w:r w:rsidRPr="00C507A5">
        <w:rPr>
          <w:i/>
          <w:color w:val="231F20"/>
          <w:w w:val="115"/>
          <w:sz w:val="16"/>
          <w:lang w:val="de-DE"/>
        </w:rPr>
        <w:t>Info:</w:t>
      </w:r>
      <w:r w:rsidRPr="00C507A5">
        <w:rPr>
          <w:i/>
          <w:color w:val="231F20"/>
          <w:spacing w:val="-20"/>
          <w:w w:val="115"/>
          <w:sz w:val="16"/>
          <w:lang w:val="de-DE"/>
        </w:rPr>
        <w:t xml:space="preserve"> </w:t>
      </w:r>
      <w:r w:rsidRPr="00C507A5">
        <w:rPr>
          <w:i/>
          <w:color w:val="231F20"/>
          <w:w w:val="115"/>
          <w:sz w:val="16"/>
          <w:lang w:val="de-DE"/>
        </w:rPr>
        <w:t>brief</w:t>
      </w:r>
      <w:r w:rsidRPr="00C507A5">
        <w:rPr>
          <w:i/>
          <w:color w:val="231F20"/>
          <w:spacing w:val="-20"/>
          <w:w w:val="115"/>
          <w:sz w:val="16"/>
          <w:lang w:val="de-DE"/>
        </w:rPr>
        <w:t xml:space="preserve"> </w:t>
      </w:r>
      <w:r w:rsidRPr="00C507A5">
        <w:rPr>
          <w:i/>
          <w:color w:val="231F20"/>
          <w:w w:val="115"/>
          <w:sz w:val="16"/>
          <w:lang w:val="de-DE"/>
        </w:rPr>
        <w:t>von</w:t>
      </w:r>
      <w:r w:rsidRPr="00C507A5">
        <w:rPr>
          <w:i/>
          <w:color w:val="231F20"/>
          <w:spacing w:val="-20"/>
          <w:w w:val="115"/>
          <w:sz w:val="16"/>
          <w:lang w:val="de-DE"/>
        </w:rPr>
        <w:t xml:space="preserve"> </w:t>
      </w:r>
      <w:r w:rsidRPr="00C507A5">
        <w:rPr>
          <w:i/>
          <w:color w:val="231F20"/>
          <w:w w:val="115"/>
          <w:sz w:val="16"/>
          <w:lang w:val="de-DE"/>
        </w:rPr>
        <w:t>gefangen</w:t>
      </w:r>
      <w:r w:rsidRPr="00C507A5">
        <w:rPr>
          <w:i/>
          <w:color w:val="231F20"/>
          <w:spacing w:val="-20"/>
          <w:w w:val="115"/>
          <w:sz w:val="16"/>
          <w:lang w:val="de-DE"/>
        </w:rPr>
        <w:t xml:space="preserve"> </w:t>
      </w:r>
      <w:r w:rsidRPr="00C507A5">
        <w:rPr>
          <w:i/>
          <w:color w:val="231F20"/>
          <w:spacing w:val="1"/>
          <w:w w:val="115"/>
          <w:sz w:val="16"/>
          <w:lang w:val="de-DE"/>
        </w:rPr>
        <w:t>aus</w:t>
      </w:r>
      <w:r w:rsidRPr="00C507A5">
        <w:rPr>
          <w:i/>
          <w:color w:val="231F20"/>
          <w:spacing w:val="-20"/>
          <w:w w:val="115"/>
          <w:sz w:val="16"/>
          <w:lang w:val="de-DE"/>
        </w:rPr>
        <w:t xml:space="preserve"> </w:t>
      </w:r>
      <w:r w:rsidRPr="00C507A5">
        <w:rPr>
          <w:i/>
          <w:color w:val="231F20"/>
          <w:spacing w:val="1"/>
          <w:w w:val="115"/>
          <w:sz w:val="16"/>
          <w:lang w:val="de-DE"/>
        </w:rPr>
        <w:t>der</w:t>
      </w:r>
      <w:r w:rsidRPr="00C507A5">
        <w:rPr>
          <w:i/>
          <w:color w:val="231F20"/>
          <w:spacing w:val="-20"/>
          <w:w w:val="115"/>
          <w:sz w:val="16"/>
          <w:lang w:val="de-DE"/>
        </w:rPr>
        <w:t xml:space="preserve"> </w:t>
      </w:r>
      <w:r w:rsidRPr="00C507A5">
        <w:rPr>
          <w:i/>
          <w:color w:val="231F20"/>
          <w:w w:val="115"/>
          <w:sz w:val="16"/>
          <w:lang w:val="de-DE"/>
        </w:rPr>
        <w:t>raf</w:t>
      </w:r>
      <w:r w:rsidRPr="00C507A5">
        <w:rPr>
          <w:i/>
          <w:color w:val="231F20"/>
          <w:spacing w:val="-20"/>
          <w:w w:val="115"/>
          <w:sz w:val="16"/>
          <w:lang w:val="de-DE"/>
        </w:rPr>
        <w:t xml:space="preserve"> </w:t>
      </w:r>
      <w:r w:rsidRPr="00C507A5">
        <w:rPr>
          <w:i/>
          <w:color w:val="231F20"/>
          <w:spacing w:val="1"/>
          <w:w w:val="115"/>
          <w:sz w:val="16"/>
          <w:lang w:val="de-DE"/>
        </w:rPr>
        <w:t>aus</w:t>
      </w:r>
      <w:r w:rsidRPr="00C507A5">
        <w:rPr>
          <w:i/>
          <w:color w:val="231F20"/>
          <w:spacing w:val="-20"/>
          <w:w w:val="115"/>
          <w:sz w:val="16"/>
          <w:lang w:val="de-DE"/>
        </w:rPr>
        <w:t xml:space="preserve"> </w:t>
      </w:r>
      <w:r w:rsidRPr="00C507A5">
        <w:rPr>
          <w:i/>
          <w:color w:val="231F20"/>
          <w:spacing w:val="1"/>
          <w:w w:val="115"/>
          <w:sz w:val="16"/>
          <w:lang w:val="de-DE"/>
        </w:rPr>
        <w:t>der</w:t>
      </w:r>
      <w:r w:rsidRPr="00C507A5">
        <w:rPr>
          <w:i/>
          <w:color w:val="231F20"/>
          <w:spacing w:val="-20"/>
          <w:w w:val="115"/>
          <w:sz w:val="16"/>
          <w:lang w:val="de-DE"/>
        </w:rPr>
        <w:t xml:space="preserve"> </w:t>
      </w:r>
      <w:r w:rsidRPr="00C507A5">
        <w:rPr>
          <w:i/>
          <w:color w:val="231F20"/>
          <w:w w:val="115"/>
          <w:sz w:val="16"/>
          <w:lang w:val="de-DE"/>
        </w:rPr>
        <w:t xml:space="preserve">discussion 1973-1977 </w:t>
      </w:r>
      <w:r w:rsidRPr="00C507A5">
        <w:rPr>
          <w:color w:val="231F20"/>
          <w:w w:val="115"/>
          <w:sz w:val="16"/>
          <w:lang w:val="de-DE"/>
        </w:rPr>
        <w:t xml:space="preserve">(Neue Malik Verlag, Plambeck &amp; Neuss, </w:t>
      </w:r>
      <w:r w:rsidRPr="00C507A5">
        <w:rPr>
          <w:color w:val="231F20"/>
          <w:spacing w:val="-3"/>
          <w:w w:val="115"/>
          <w:sz w:val="16"/>
          <w:lang w:val="de-DE"/>
        </w:rPr>
        <w:t>1987),</w:t>
      </w:r>
      <w:r w:rsidRPr="00C507A5">
        <w:rPr>
          <w:color w:val="231F20"/>
          <w:spacing w:val="-7"/>
          <w:w w:val="115"/>
          <w:sz w:val="16"/>
          <w:lang w:val="de-DE"/>
        </w:rPr>
        <w:t xml:space="preserve"> </w:t>
      </w:r>
      <w:r w:rsidRPr="00C507A5">
        <w:rPr>
          <w:color w:val="231F20"/>
          <w:spacing w:val="-3"/>
          <w:w w:val="115"/>
          <w:sz w:val="16"/>
          <w:lang w:val="de-DE"/>
        </w:rPr>
        <w:t>218.</w:t>
      </w:r>
    </w:p>
    <w:p w14:paraId="21FB7C35" w14:textId="77777777" w:rsidR="002653E8" w:rsidRDefault="003115E3">
      <w:pPr>
        <w:pStyle w:val="a4"/>
        <w:numPr>
          <w:ilvl w:val="0"/>
          <w:numId w:val="122"/>
        </w:numPr>
        <w:tabs>
          <w:tab w:val="left" w:pos="1467"/>
        </w:tabs>
        <w:spacing w:line="254" w:lineRule="auto"/>
        <w:ind w:left="1328" w:right="1480" w:firstLine="0"/>
        <w:jc w:val="left"/>
        <w:rPr>
          <w:sz w:val="16"/>
        </w:rPr>
      </w:pPr>
      <w:r w:rsidRPr="00C507A5">
        <w:rPr>
          <w:color w:val="231F20"/>
          <w:w w:val="110"/>
          <w:sz w:val="16"/>
          <w:lang w:val="de-DE"/>
        </w:rPr>
        <w:t xml:space="preserve">Bewegung 2. Juni (2nd of June Movement), </w:t>
      </w:r>
      <w:r w:rsidRPr="00C507A5">
        <w:rPr>
          <w:i/>
          <w:color w:val="231F20"/>
          <w:spacing w:val="1"/>
          <w:w w:val="110"/>
          <w:sz w:val="16"/>
          <w:lang w:val="de-DE"/>
        </w:rPr>
        <w:t xml:space="preserve">Der </w:t>
      </w:r>
      <w:r w:rsidRPr="00C507A5">
        <w:rPr>
          <w:i/>
          <w:color w:val="231F20"/>
          <w:w w:val="110"/>
          <w:sz w:val="16"/>
          <w:lang w:val="de-DE"/>
        </w:rPr>
        <w:t xml:space="preserve">Blues: Gesammelte Texte </w:t>
      </w:r>
      <w:r w:rsidRPr="00C507A5">
        <w:rPr>
          <w:i/>
          <w:color w:val="231F20"/>
          <w:spacing w:val="1"/>
          <w:w w:val="110"/>
          <w:sz w:val="16"/>
          <w:lang w:val="de-DE"/>
        </w:rPr>
        <w:t xml:space="preserve">der </w:t>
      </w:r>
      <w:r w:rsidRPr="00C507A5">
        <w:rPr>
          <w:i/>
          <w:color w:val="231F20"/>
          <w:w w:val="110"/>
          <w:sz w:val="16"/>
          <w:lang w:val="de-DE"/>
        </w:rPr>
        <w:t>Bewgung</w:t>
      </w:r>
      <w:r w:rsidRPr="00C507A5">
        <w:rPr>
          <w:i/>
          <w:color w:val="231F20"/>
          <w:spacing w:val="5"/>
          <w:w w:val="110"/>
          <w:sz w:val="16"/>
          <w:lang w:val="de-DE"/>
        </w:rPr>
        <w:t xml:space="preserve"> </w:t>
      </w:r>
      <w:r w:rsidRPr="00C507A5">
        <w:rPr>
          <w:i/>
          <w:color w:val="231F20"/>
          <w:spacing w:val="3"/>
          <w:w w:val="110"/>
          <w:sz w:val="16"/>
          <w:lang w:val="de-DE"/>
        </w:rPr>
        <w:t>2.</w:t>
      </w:r>
      <w:r w:rsidRPr="00C507A5">
        <w:rPr>
          <w:i/>
          <w:color w:val="231F20"/>
          <w:spacing w:val="5"/>
          <w:w w:val="110"/>
          <w:sz w:val="16"/>
          <w:lang w:val="de-DE"/>
        </w:rPr>
        <w:t xml:space="preserve"> </w:t>
      </w:r>
      <w:r>
        <w:rPr>
          <w:i/>
          <w:color w:val="231F20"/>
          <w:w w:val="110"/>
          <w:sz w:val="16"/>
        </w:rPr>
        <w:t>Juni,</w:t>
      </w:r>
      <w:r>
        <w:rPr>
          <w:i/>
          <w:color w:val="231F20"/>
          <w:spacing w:val="5"/>
          <w:w w:val="110"/>
          <w:sz w:val="16"/>
        </w:rPr>
        <w:t xml:space="preserve"> </w:t>
      </w:r>
      <w:r>
        <w:rPr>
          <w:i/>
          <w:color w:val="231F20"/>
          <w:w w:val="110"/>
          <w:sz w:val="16"/>
        </w:rPr>
        <w:t>Vol.</w:t>
      </w:r>
      <w:r>
        <w:rPr>
          <w:i/>
          <w:color w:val="231F20"/>
          <w:spacing w:val="5"/>
          <w:w w:val="110"/>
          <w:sz w:val="16"/>
        </w:rPr>
        <w:t xml:space="preserve"> </w:t>
      </w:r>
      <w:r>
        <w:rPr>
          <w:i/>
          <w:color w:val="231F20"/>
          <w:w w:val="110"/>
          <w:sz w:val="16"/>
        </w:rPr>
        <w:t>1,</w:t>
      </w:r>
      <w:r>
        <w:rPr>
          <w:i/>
          <w:color w:val="231F20"/>
          <w:spacing w:val="6"/>
          <w:w w:val="110"/>
          <w:sz w:val="16"/>
        </w:rPr>
        <w:t xml:space="preserve"> </w:t>
      </w:r>
      <w:r>
        <w:rPr>
          <w:color w:val="231F20"/>
          <w:w w:val="110"/>
          <w:sz w:val="16"/>
        </w:rPr>
        <w:t>self-published</w:t>
      </w:r>
      <w:r>
        <w:rPr>
          <w:color w:val="231F20"/>
          <w:spacing w:val="5"/>
          <w:w w:val="110"/>
          <w:sz w:val="16"/>
        </w:rPr>
        <w:t xml:space="preserve"> </w:t>
      </w:r>
      <w:r>
        <w:rPr>
          <w:color w:val="231F20"/>
          <w:w w:val="110"/>
          <w:sz w:val="16"/>
        </w:rPr>
        <w:t>illegally</w:t>
      </w:r>
      <w:r>
        <w:rPr>
          <w:color w:val="231F20"/>
          <w:spacing w:val="5"/>
          <w:w w:val="110"/>
          <w:sz w:val="16"/>
        </w:rPr>
        <w:t xml:space="preserve"> </w:t>
      </w:r>
      <w:r>
        <w:rPr>
          <w:color w:val="231F20"/>
          <w:w w:val="110"/>
          <w:sz w:val="16"/>
        </w:rPr>
        <w:t>in</w:t>
      </w:r>
      <w:r>
        <w:rPr>
          <w:color w:val="231F20"/>
          <w:spacing w:val="5"/>
          <w:w w:val="110"/>
          <w:sz w:val="16"/>
        </w:rPr>
        <w:t xml:space="preserve"> </w:t>
      </w:r>
      <w:r>
        <w:rPr>
          <w:color w:val="231F20"/>
          <w:w w:val="110"/>
          <w:sz w:val="16"/>
        </w:rPr>
        <w:t>the</w:t>
      </w:r>
      <w:r>
        <w:rPr>
          <w:color w:val="231F20"/>
          <w:spacing w:val="5"/>
          <w:w w:val="110"/>
          <w:sz w:val="16"/>
        </w:rPr>
        <w:t xml:space="preserve"> </w:t>
      </w:r>
      <w:r>
        <w:rPr>
          <w:color w:val="231F20"/>
          <w:w w:val="110"/>
          <w:sz w:val="16"/>
        </w:rPr>
        <w:t>FRG,</w:t>
      </w:r>
      <w:r>
        <w:rPr>
          <w:color w:val="231F20"/>
          <w:spacing w:val="5"/>
          <w:w w:val="110"/>
          <w:sz w:val="16"/>
        </w:rPr>
        <w:t xml:space="preserve"> </w:t>
      </w:r>
      <w:r>
        <w:rPr>
          <w:color w:val="231F20"/>
          <w:w w:val="110"/>
          <w:sz w:val="16"/>
        </w:rPr>
        <w:t>n.d.</w:t>
      </w:r>
      <w:r>
        <w:rPr>
          <w:color w:val="231F20"/>
          <w:spacing w:val="5"/>
          <w:w w:val="110"/>
          <w:sz w:val="16"/>
        </w:rPr>
        <w:t xml:space="preserve"> </w:t>
      </w:r>
      <w:r>
        <w:rPr>
          <w:color w:val="231F20"/>
          <w:spacing w:val="-4"/>
          <w:w w:val="110"/>
          <w:sz w:val="16"/>
        </w:rPr>
        <w:t>(1982?),</w:t>
      </w:r>
      <w:r>
        <w:rPr>
          <w:color w:val="231F20"/>
          <w:spacing w:val="5"/>
          <w:w w:val="110"/>
          <w:sz w:val="16"/>
        </w:rPr>
        <w:t xml:space="preserve"> </w:t>
      </w:r>
      <w:r>
        <w:rPr>
          <w:color w:val="231F20"/>
          <w:w w:val="110"/>
          <w:sz w:val="16"/>
        </w:rPr>
        <w:t>341.</w:t>
      </w:r>
    </w:p>
    <w:p w14:paraId="47D8C509" w14:textId="77777777" w:rsidR="002653E8" w:rsidRDefault="003115E3">
      <w:pPr>
        <w:spacing w:before="40"/>
        <w:ind w:left="1327"/>
        <w:rPr>
          <w:sz w:val="16"/>
        </w:rPr>
      </w:pPr>
      <w:r>
        <w:rPr>
          <w:color w:val="231F20"/>
          <w:w w:val="115"/>
          <w:sz w:val="16"/>
        </w:rPr>
        <w:t>6 Ibid., 320.</w:t>
      </w:r>
    </w:p>
    <w:p w14:paraId="620BC48E" w14:textId="77777777" w:rsidR="002653E8" w:rsidRDefault="003115E3">
      <w:pPr>
        <w:spacing w:before="52"/>
        <w:ind w:left="1327"/>
        <w:rPr>
          <w:sz w:val="16"/>
        </w:rPr>
      </w:pPr>
      <w:r>
        <w:rPr>
          <w:color w:val="231F20"/>
          <w:w w:val="115"/>
          <w:sz w:val="16"/>
        </w:rPr>
        <w:t>7 Ibid., 321.</w:t>
      </w:r>
    </w:p>
    <w:p w14:paraId="78807711" w14:textId="77777777" w:rsidR="002653E8" w:rsidRDefault="002653E8">
      <w:pPr>
        <w:rPr>
          <w:sz w:val="16"/>
        </w:rPr>
        <w:sectPr w:rsidR="002653E8">
          <w:footerReference w:type="even" r:id="rId205"/>
          <w:footerReference w:type="default" r:id="rId206"/>
          <w:pgSz w:w="8640" w:h="12960"/>
          <w:pgMar w:top="1060" w:right="0" w:bottom="1040" w:left="0" w:header="0" w:footer="850" w:gutter="0"/>
          <w:pgNumType w:start="243"/>
          <w:cols w:space="720"/>
        </w:sectPr>
      </w:pPr>
    </w:p>
    <w:p w14:paraId="7364AE33" w14:textId="77777777" w:rsidR="002653E8" w:rsidRDefault="003115E3">
      <w:pPr>
        <w:pStyle w:val="a3"/>
        <w:spacing w:before="86" w:line="264" w:lineRule="auto"/>
        <w:ind w:left="1148" w:right="1325" w:hanging="1"/>
        <w:jc w:val="both"/>
        <w:rPr>
          <w:sz w:val="11"/>
        </w:rPr>
      </w:pPr>
      <w:r>
        <w:rPr>
          <w:color w:val="231F20"/>
          <w:spacing w:val="1"/>
        </w:rPr>
        <w:lastRenderedPageBreak/>
        <w:t xml:space="preserve">In </w:t>
      </w:r>
      <w:r>
        <w:rPr>
          <w:color w:val="231F20"/>
          <w:spacing w:val="-4"/>
        </w:rPr>
        <w:t xml:space="preserve">1978, </w:t>
      </w:r>
      <w:r>
        <w:rPr>
          <w:color w:val="231F20"/>
        </w:rPr>
        <w:t>the European Commission of Human Rights would  observe that their prison and trial conditions had contributed to Gudrun  Ensslin, Jan-Carl Raspe, and Andreas Baader all developing “problems  of concentration, marked fatigue, difficulties of expression or articulation, reduced physical and mental performance, instability, diminished spontaneity</w:t>
      </w:r>
      <w:r>
        <w:rPr>
          <w:color w:val="231F20"/>
          <w:spacing w:val="11"/>
        </w:rPr>
        <w:t xml:space="preserve"> </w:t>
      </w:r>
      <w:r>
        <w:rPr>
          <w:color w:val="231F20"/>
        </w:rPr>
        <w:t>and</w:t>
      </w:r>
      <w:r>
        <w:rPr>
          <w:color w:val="231F20"/>
          <w:spacing w:val="11"/>
        </w:rPr>
        <w:t xml:space="preserve"> </w:t>
      </w:r>
      <w:r>
        <w:rPr>
          <w:color w:val="231F20"/>
        </w:rPr>
        <w:t>ability</w:t>
      </w:r>
      <w:r>
        <w:rPr>
          <w:color w:val="231F20"/>
          <w:spacing w:val="11"/>
        </w:rPr>
        <w:t xml:space="preserve"> </w:t>
      </w:r>
      <w:r>
        <w:rPr>
          <w:color w:val="231F20"/>
        </w:rPr>
        <w:t>to</w:t>
      </w:r>
      <w:r>
        <w:rPr>
          <w:color w:val="231F20"/>
          <w:spacing w:val="11"/>
        </w:rPr>
        <w:t xml:space="preserve"> </w:t>
      </w:r>
      <w:r>
        <w:rPr>
          <w:color w:val="231F20"/>
        </w:rPr>
        <w:t>make</w:t>
      </w:r>
      <w:r>
        <w:rPr>
          <w:color w:val="231F20"/>
          <w:spacing w:val="11"/>
        </w:rPr>
        <w:t xml:space="preserve"> </w:t>
      </w:r>
      <w:r>
        <w:rPr>
          <w:color w:val="231F20"/>
        </w:rPr>
        <w:t>contacts,</w:t>
      </w:r>
      <w:r>
        <w:rPr>
          <w:color w:val="231F20"/>
          <w:spacing w:val="11"/>
        </w:rPr>
        <w:t xml:space="preserve"> </w:t>
      </w:r>
      <w:r>
        <w:rPr>
          <w:color w:val="231F20"/>
        </w:rPr>
        <w:t>depression.”</w:t>
      </w:r>
      <w:r>
        <w:rPr>
          <w:color w:val="231F20"/>
          <w:position w:val="7"/>
          <w:sz w:val="11"/>
        </w:rPr>
        <w:t>1</w:t>
      </w:r>
    </w:p>
    <w:p w14:paraId="787BD16F" w14:textId="77777777" w:rsidR="002653E8" w:rsidRDefault="003115E3">
      <w:pPr>
        <w:pStyle w:val="a3"/>
        <w:spacing w:line="264" w:lineRule="auto"/>
        <w:ind w:left="1147" w:right="1326" w:firstLine="210"/>
        <w:jc w:val="both"/>
      </w:pPr>
      <w:r>
        <w:rPr>
          <w:color w:val="231F20"/>
        </w:rPr>
        <w:t>If the results of imprisonment in the isolation wing were horrifying, isolation combined with sensory deprivation was even more destructive, as is indicated in Ulrike Meinhof’s harrowing description of her ordeal in Cologne-Ossendorf (see Ulrike Meinhof on the Dead Wing, pages 271-73).</w:t>
      </w:r>
    </w:p>
    <w:p w14:paraId="411E99B8" w14:textId="77777777" w:rsidR="002653E8" w:rsidRDefault="003115E3">
      <w:pPr>
        <w:pStyle w:val="a3"/>
        <w:spacing w:line="264" w:lineRule="auto"/>
        <w:ind w:left="1147" w:right="1326" w:firstLine="210"/>
        <w:jc w:val="both"/>
        <w:rPr>
          <w:sz w:val="11"/>
        </w:rPr>
      </w:pPr>
      <w:r>
        <w:rPr>
          <w:color w:val="231F20"/>
          <w:w w:val="105"/>
        </w:rPr>
        <w:t xml:space="preserve">Early on, it became clear to the prisoners that their only hope lay in resistance, and so on January </w:t>
      </w:r>
      <w:r>
        <w:rPr>
          <w:color w:val="231F20"/>
          <w:spacing w:val="-7"/>
          <w:w w:val="105"/>
        </w:rPr>
        <w:t xml:space="preserve">17, </w:t>
      </w:r>
      <w:r>
        <w:rPr>
          <w:color w:val="231F20"/>
          <w:spacing w:val="-5"/>
          <w:w w:val="105"/>
        </w:rPr>
        <w:t xml:space="preserve">1973, </w:t>
      </w:r>
      <w:r>
        <w:rPr>
          <w:color w:val="231F20"/>
          <w:w w:val="105"/>
        </w:rPr>
        <w:t xml:space="preserve">forty captured combat ants from the </w:t>
      </w:r>
      <w:r w:rsidR="00C507A5">
        <w:rPr>
          <w:color w:val="231F20"/>
          <w:spacing w:val="5"/>
          <w:w w:val="105"/>
        </w:rPr>
        <w:t>red army faction</w:t>
      </w:r>
      <w:r>
        <w:rPr>
          <w:color w:val="231F20"/>
          <w:spacing w:val="5"/>
          <w:w w:val="105"/>
        </w:rPr>
        <w:t xml:space="preserve"> </w:t>
      </w:r>
      <w:r>
        <w:rPr>
          <w:color w:val="231F20"/>
          <w:w w:val="105"/>
        </w:rPr>
        <w:t>and other guerilla groups began a hunger strike, demanding</w:t>
      </w:r>
      <w:r>
        <w:rPr>
          <w:color w:val="231F20"/>
          <w:spacing w:val="-6"/>
          <w:w w:val="105"/>
        </w:rPr>
        <w:t xml:space="preserve"> </w:t>
      </w:r>
      <w:r>
        <w:rPr>
          <w:color w:val="231F20"/>
          <w:w w:val="105"/>
        </w:rPr>
        <w:t>access</w:t>
      </w:r>
      <w:r>
        <w:rPr>
          <w:color w:val="231F20"/>
          <w:spacing w:val="-6"/>
          <w:w w:val="105"/>
        </w:rPr>
        <w:t xml:space="preserve"> </w:t>
      </w:r>
      <w:r>
        <w:rPr>
          <w:color w:val="231F20"/>
          <w:w w:val="105"/>
        </w:rPr>
        <w:t>to</w:t>
      </w:r>
      <w:r>
        <w:rPr>
          <w:color w:val="231F20"/>
          <w:spacing w:val="-6"/>
          <w:w w:val="105"/>
        </w:rPr>
        <w:t xml:space="preserve"> </w:t>
      </w:r>
      <w:r>
        <w:rPr>
          <w:color w:val="231F20"/>
          <w:w w:val="105"/>
        </w:rPr>
        <w:t>independent</w:t>
      </w:r>
      <w:r>
        <w:rPr>
          <w:color w:val="231F20"/>
          <w:spacing w:val="-6"/>
          <w:w w:val="105"/>
        </w:rPr>
        <w:t xml:space="preserve"> </w:t>
      </w:r>
      <w:r>
        <w:rPr>
          <w:color w:val="231F20"/>
          <w:w w:val="105"/>
        </w:rPr>
        <w:t>doctors</w:t>
      </w:r>
      <w:r>
        <w:rPr>
          <w:color w:val="231F20"/>
          <w:spacing w:val="-6"/>
          <w:w w:val="105"/>
        </w:rPr>
        <w:t xml:space="preserve"> </w:t>
      </w:r>
      <w:r>
        <w:rPr>
          <w:color w:val="231F20"/>
          <w:w w:val="105"/>
        </w:rPr>
        <w:t>and</w:t>
      </w:r>
      <w:r>
        <w:rPr>
          <w:color w:val="231F20"/>
          <w:spacing w:val="-6"/>
          <w:w w:val="105"/>
        </w:rPr>
        <w:t xml:space="preserve"> </w:t>
      </w:r>
      <w:r>
        <w:rPr>
          <w:color w:val="231F20"/>
          <w:w w:val="105"/>
        </w:rPr>
        <w:t>transfer</w:t>
      </w:r>
      <w:r>
        <w:rPr>
          <w:color w:val="231F20"/>
          <w:spacing w:val="-6"/>
          <w:w w:val="105"/>
        </w:rPr>
        <w:t xml:space="preserve"> </w:t>
      </w:r>
      <w:r>
        <w:rPr>
          <w:color w:val="231F20"/>
          <w:w w:val="105"/>
        </w:rPr>
        <w:t>to</w:t>
      </w:r>
      <w:r>
        <w:rPr>
          <w:color w:val="231F20"/>
          <w:spacing w:val="-6"/>
          <w:w w:val="105"/>
        </w:rPr>
        <w:t xml:space="preserve"> </w:t>
      </w:r>
      <w:r>
        <w:rPr>
          <w:color w:val="231F20"/>
          <w:w w:val="105"/>
        </w:rPr>
        <w:t>the</w:t>
      </w:r>
      <w:r>
        <w:rPr>
          <w:color w:val="231F20"/>
          <w:spacing w:val="-6"/>
          <w:w w:val="105"/>
        </w:rPr>
        <w:t xml:space="preserve"> </w:t>
      </w:r>
      <w:r>
        <w:rPr>
          <w:color w:val="231F20"/>
          <w:w w:val="105"/>
        </w:rPr>
        <w:t>general population.</w:t>
      </w:r>
      <w:r>
        <w:rPr>
          <w:color w:val="231F20"/>
          <w:w w:val="105"/>
          <w:position w:val="7"/>
          <w:sz w:val="11"/>
        </w:rPr>
        <w:t>2</w:t>
      </w:r>
    </w:p>
    <w:p w14:paraId="4DFBEE33" w14:textId="77777777" w:rsidR="002653E8" w:rsidRDefault="003115E3">
      <w:pPr>
        <w:pStyle w:val="a3"/>
        <w:spacing w:line="264" w:lineRule="auto"/>
        <w:ind w:left="1148" w:right="1325" w:firstLine="210"/>
        <w:jc w:val="both"/>
        <w:rPr>
          <w:sz w:val="11"/>
        </w:rPr>
      </w:pPr>
      <w:r>
        <w:rPr>
          <w:color w:val="231F20"/>
        </w:rPr>
        <w:t>This first hunger strike lasted four and a half weeks, and was only called off when Attorney General Ludwig Martin agreed to move Meinhof out of the dead wing—a promise which was not kept, and was likely never meant as anything but a ploy.</w:t>
      </w:r>
      <w:r>
        <w:rPr>
          <w:color w:val="231F20"/>
          <w:position w:val="7"/>
          <w:sz w:val="11"/>
        </w:rPr>
        <w:t>3</w:t>
      </w:r>
    </w:p>
    <w:p w14:paraId="54EE09DF" w14:textId="77777777" w:rsidR="002653E8" w:rsidRDefault="003115E3">
      <w:pPr>
        <w:pStyle w:val="a3"/>
        <w:spacing w:line="264" w:lineRule="auto"/>
        <w:ind w:left="1147" w:right="1326" w:firstLine="210"/>
        <w:jc w:val="both"/>
      </w:pPr>
      <w:r>
        <w:rPr>
          <w:color w:val="231F20"/>
        </w:rPr>
        <w:t xml:space="preserve">Nevertheless, even though the hunger strike did not achieve any immediate victory, it did manage to break through the wall of silence surrounding prison conditions, galvanizing support from a section of the far left. </w:t>
      </w:r>
      <w:r>
        <w:rPr>
          <w:color w:val="231F20"/>
          <w:spacing w:val="1"/>
        </w:rPr>
        <w:t xml:space="preserve">In </w:t>
      </w:r>
      <w:r>
        <w:rPr>
          <w:color w:val="231F20"/>
        </w:rPr>
        <w:t xml:space="preserve">a </w:t>
      </w:r>
      <w:r>
        <w:rPr>
          <w:color w:val="231F20"/>
          <w:spacing w:val="-2"/>
        </w:rPr>
        <w:t xml:space="preserve">way </w:t>
      </w:r>
      <w:r>
        <w:rPr>
          <w:color w:val="231F20"/>
        </w:rPr>
        <w:t>that was perhaps impossible to foresee, it marked the beginning</w:t>
      </w:r>
      <w:r>
        <w:rPr>
          <w:color w:val="231F20"/>
          <w:spacing w:val="13"/>
        </w:rPr>
        <w:t xml:space="preserve"> </w:t>
      </w:r>
      <w:r>
        <w:rPr>
          <w:color w:val="231F20"/>
        </w:rPr>
        <w:t>of</w:t>
      </w:r>
      <w:r>
        <w:rPr>
          <w:color w:val="231F20"/>
          <w:spacing w:val="13"/>
        </w:rPr>
        <w:t xml:space="preserve"> </w:t>
      </w:r>
      <w:r>
        <w:rPr>
          <w:color w:val="231F20"/>
        </w:rPr>
        <w:t>a</w:t>
      </w:r>
      <w:r>
        <w:rPr>
          <w:color w:val="231F20"/>
          <w:spacing w:val="13"/>
        </w:rPr>
        <w:t xml:space="preserve"> </w:t>
      </w:r>
      <w:r>
        <w:rPr>
          <w:color w:val="231F20"/>
        </w:rPr>
        <w:t>strategy</w:t>
      </w:r>
      <w:r>
        <w:rPr>
          <w:color w:val="231F20"/>
          <w:spacing w:val="13"/>
        </w:rPr>
        <w:t xml:space="preserve"> </w:t>
      </w:r>
      <w:r>
        <w:rPr>
          <w:color w:val="231F20"/>
        </w:rPr>
        <w:t>which</w:t>
      </w:r>
      <w:r>
        <w:rPr>
          <w:color w:val="231F20"/>
          <w:spacing w:val="13"/>
        </w:rPr>
        <w:t xml:space="preserve"> </w:t>
      </w:r>
      <w:r>
        <w:rPr>
          <w:color w:val="231F20"/>
        </w:rPr>
        <w:t>would</w:t>
      </w:r>
      <w:r>
        <w:rPr>
          <w:color w:val="231F20"/>
          <w:spacing w:val="13"/>
        </w:rPr>
        <w:t xml:space="preserve"> </w:t>
      </w:r>
      <w:r>
        <w:rPr>
          <w:color w:val="231F20"/>
        </w:rPr>
        <w:t>give</w:t>
      </w:r>
      <w:r>
        <w:rPr>
          <w:color w:val="231F20"/>
          <w:spacing w:val="13"/>
        </w:rPr>
        <w:t xml:space="preserve"> </w:t>
      </w:r>
      <w:r>
        <w:rPr>
          <w:color w:val="231F20"/>
        </w:rPr>
        <w:t>the</w:t>
      </w:r>
      <w:r>
        <w:rPr>
          <w:color w:val="231F20"/>
          <w:spacing w:val="15"/>
        </w:rPr>
        <w:t xml:space="preserve"> </w:t>
      </w:r>
      <w:r w:rsidR="00C507A5">
        <w:rPr>
          <w:color w:val="231F20"/>
          <w:spacing w:val="5"/>
        </w:rPr>
        <w:t>red army faction</w:t>
      </w:r>
      <w:r>
        <w:rPr>
          <w:color w:val="231F20"/>
          <w:spacing w:val="13"/>
        </w:rPr>
        <w:t xml:space="preserve"> </w:t>
      </w:r>
      <w:r>
        <w:rPr>
          <w:color w:val="231F20"/>
        </w:rPr>
        <w:t>a</w:t>
      </w:r>
      <w:r>
        <w:rPr>
          <w:color w:val="231F20"/>
          <w:spacing w:val="13"/>
        </w:rPr>
        <w:t xml:space="preserve"> </w:t>
      </w:r>
      <w:r>
        <w:rPr>
          <w:color w:val="231F20"/>
        </w:rPr>
        <w:t>new</w:t>
      </w:r>
      <w:r>
        <w:rPr>
          <w:color w:val="231F20"/>
          <w:spacing w:val="13"/>
        </w:rPr>
        <w:t xml:space="preserve"> </w:t>
      </w:r>
      <w:r>
        <w:rPr>
          <w:color w:val="231F20"/>
        </w:rPr>
        <w:t>lease</w:t>
      </w:r>
      <w:r>
        <w:rPr>
          <w:color w:val="231F20"/>
          <w:spacing w:val="13"/>
        </w:rPr>
        <w:t xml:space="preserve"> </w:t>
      </w:r>
      <w:r>
        <w:rPr>
          <w:color w:val="231F20"/>
        </w:rPr>
        <w:t>on</w:t>
      </w:r>
      <w:r>
        <w:rPr>
          <w:color w:val="231F20"/>
          <w:spacing w:val="13"/>
        </w:rPr>
        <w:t xml:space="preserve"> </w:t>
      </w:r>
      <w:r>
        <w:rPr>
          <w:color w:val="231F20"/>
        </w:rPr>
        <w:t>life.</w:t>
      </w:r>
    </w:p>
    <w:p w14:paraId="4AFD86B4" w14:textId="77777777" w:rsidR="002653E8" w:rsidRDefault="003115E3">
      <w:pPr>
        <w:pStyle w:val="a3"/>
        <w:spacing w:line="264" w:lineRule="auto"/>
        <w:ind w:left="1147" w:right="1325" w:firstLine="210"/>
        <w:jc w:val="both"/>
      </w:pPr>
      <w:r>
        <w:rPr>
          <w:color w:val="231F20"/>
        </w:rPr>
        <w:t xml:space="preserve">Support had so far come mainly from the Red Aid network, a situation which was less than satisfactory in the eyes of the prisoners, as Red Aid offered solidarity while remaining critical of the </w:t>
      </w:r>
      <w:r w:rsidR="00C507A5">
        <w:rPr>
          <w:color w:val="231F20"/>
          <w:spacing w:val="1"/>
        </w:rPr>
        <w:t>red army faction</w:t>
      </w:r>
      <w:r>
        <w:rPr>
          <w:color w:val="231F20"/>
          <w:spacing w:val="1"/>
        </w:rPr>
        <w:t xml:space="preserve">’s </w:t>
      </w:r>
      <w:r>
        <w:rPr>
          <w:color w:val="231F20"/>
        </w:rPr>
        <w:t xml:space="preserve">poli tics. Furthermore, within Red Aid, the focus on the </w:t>
      </w:r>
      <w:r w:rsidR="00C507A5">
        <w:rPr>
          <w:color w:val="231F20"/>
          <w:spacing w:val="5"/>
        </w:rPr>
        <w:t>red army faction</w:t>
      </w:r>
      <w:r>
        <w:rPr>
          <w:color w:val="231F20"/>
          <w:spacing w:val="5"/>
        </w:rPr>
        <w:t xml:space="preserve"> </w:t>
      </w:r>
      <w:r>
        <w:rPr>
          <w:color w:val="231F20"/>
        </w:rPr>
        <w:t>prisoners had begun causing dissension, especially in Munich, as Bavaria held a large number of prisoners from the antiauthoritarian scene, and it was felt that they were being neglected, too much energy being spent defending the Marxist-Leninist</w:t>
      </w:r>
      <w:r>
        <w:rPr>
          <w:color w:val="231F20"/>
          <w:spacing w:val="25"/>
        </w:rPr>
        <w:t xml:space="preserve"> </w:t>
      </w:r>
      <w:r w:rsidR="00C507A5">
        <w:rPr>
          <w:color w:val="231F20"/>
        </w:rPr>
        <w:t>red army faction</w:t>
      </w:r>
      <w:r>
        <w:rPr>
          <w:color w:val="231F20"/>
        </w:rPr>
        <w:t>.</w:t>
      </w:r>
    </w:p>
    <w:p w14:paraId="7B25874C" w14:textId="77777777" w:rsidR="002653E8" w:rsidRDefault="003115E3">
      <w:pPr>
        <w:pStyle w:val="a3"/>
        <w:spacing w:line="264" w:lineRule="auto"/>
        <w:ind w:left="1148" w:right="1326" w:firstLine="210"/>
        <w:jc w:val="both"/>
      </w:pPr>
      <w:r>
        <w:rPr>
          <w:color w:val="231F20"/>
        </w:rPr>
        <w:t xml:space="preserve">Thus, following the first hunger strike in April 1973, several lawyers came together with some of the </w:t>
      </w:r>
      <w:r w:rsidR="00C507A5">
        <w:rPr>
          <w:color w:val="231F20"/>
        </w:rPr>
        <w:t>red army faction</w:t>
      </w:r>
      <w:r>
        <w:rPr>
          <w:color w:val="231F20"/>
        </w:rPr>
        <w:t>’s closest political sympathizers to</w:t>
      </w:r>
    </w:p>
    <w:p w14:paraId="69C45BA1" w14:textId="77777777" w:rsidR="002653E8" w:rsidRDefault="00000000">
      <w:pPr>
        <w:pStyle w:val="a3"/>
        <w:spacing w:before="3"/>
      </w:pPr>
      <w:r>
        <w:rPr>
          <w:noProof w:val="0"/>
        </w:rPr>
        <w:pict w14:anchorId="55E203AA">
          <v:line id="_x0000_s2438" style="position:absolute;z-index:6184;mso-wrap-distance-left:0;mso-wrap-distance-right:0;mso-position-horizontal-relative:page" from="57.4pt,14.1pt" to="129.4pt,14.1pt" strokecolor="#231f20" strokeweight=".5pt">
            <w10:wrap type="topAndBottom" anchorx="page"/>
          </v:line>
        </w:pict>
      </w:r>
    </w:p>
    <w:p w14:paraId="2CFC146B" w14:textId="77777777" w:rsidR="002653E8" w:rsidRDefault="003115E3">
      <w:pPr>
        <w:pStyle w:val="a4"/>
        <w:numPr>
          <w:ilvl w:val="0"/>
          <w:numId w:val="121"/>
        </w:numPr>
        <w:tabs>
          <w:tab w:val="left" w:pos="1287"/>
        </w:tabs>
        <w:spacing w:before="53" w:line="254" w:lineRule="auto"/>
        <w:ind w:right="1414" w:firstLine="0"/>
        <w:jc w:val="left"/>
        <w:rPr>
          <w:sz w:val="16"/>
        </w:rPr>
      </w:pPr>
      <w:bookmarkStart w:id="100" w:name="_Hlk103426454"/>
      <w:r>
        <w:rPr>
          <w:color w:val="231F20"/>
          <w:w w:val="105"/>
          <w:sz w:val="16"/>
        </w:rPr>
        <w:t xml:space="preserve">European Commission of Human </w:t>
      </w:r>
      <w:r>
        <w:rPr>
          <w:color w:val="231F20"/>
          <w:spacing w:val="1"/>
          <w:w w:val="105"/>
          <w:sz w:val="16"/>
        </w:rPr>
        <w:t xml:space="preserve">Rights, </w:t>
      </w:r>
      <w:r>
        <w:rPr>
          <w:i/>
          <w:color w:val="231F20"/>
          <w:w w:val="105"/>
          <w:sz w:val="16"/>
        </w:rPr>
        <w:t xml:space="preserve">Decisions </w:t>
      </w:r>
      <w:r>
        <w:rPr>
          <w:i/>
          <w:color w:val="231F20"/>
          <w:spacing w:val="1"/>
          <w:w w:val="105"/>
          <w:sz w:val="16"/>
        </w:rPr>
        <w:t xml:space="preserve">and Reports </w:t>
      </w:r>
      <w:r>
        <w:rPr>
          <w:i/>
          <w:color w:val="231F20"/>
          <w:w w:val="105"/>
          <w:sz w:val="16"/>
        </w:rPr>
        <w:t xml:space="preserve">14, </w:t>
      </w:r>
      <w:r>
        <w:rPr>
          <w:color w:val="231F20"/>
          <w:w w:val="105"/>
          <w:sz w:val="16"/>
        </w:rPr>
        <w:t>Strasbourg, June 1979,</w:t>
      </w:r>
      <w:r>
        <w:rPr>
          <w:color w:val="231F20"/>
          <w:spacing w:val="15"/>
          <w:w w:val="105"/>
          <w:sz w:val="16"/>
        </w:rPr>
        <w:t xml:space="preserve"> </w:t>
      </w:r>
      <w:r>
        <w:rPr>
          <w:color w:val="231F20"/>
          <w:w w:val="105"/>
          <w:sz w:val="16"/>
        </w:rPr>
        <w:t>96-97.</w:t>
      </w:r>
    </w:p>
    <w:p w14:paraId="5DA81A0C" w14:textId="77777777" w:rsidR="002653E8" w:rsidRDefault="003115E3">
      <w:pPr>
        <w:pStyle w:val="a4"/>
        <w:numPr>
          <w:ilvl w:val="0"/>
          <w:numId w:val="121"/>
        </w:numPr>
        <w:tabs>
          <w:tab w:val="left" w:pos="1287"/>
        </w:tabs>
        <w:ind w:firstLine="0"/>
        <w:jc w:val="left"/>
        <w:rPr>
          <w:sz w:val="16"/>
        </w:rPr>
      </w:pPr>
      <w:r>
        <w:rPr>
          <w:color w:val="231F20"/>
          <w:w w:val="110"/>
          <w:sz w:val="16"/>
        </w:rPr>
        <w:t>Rote Armee Fraktion,</w:t>
      </w:r>
      <w:r>
        <w:rPr>
          <w:color w:val="231F20"/>
          <w:spacing w:val="18"/>
          <w:w w:val="110"/>
          <w:sz w:val="16"/>
        </w:rPr>
        <w:t xml:space="preserve"> </w:t>
      </w:r>
      <w:r>
        <w:rPr>
          <w:color w:val="231F20"/>
          <w:spacing w:val="-4"/>
          <w:w w:val="110"/>
          <w:sz w:val="16"/>
        </w:rPr>
        <w:t>181.</w:t>
      </w:r>
    </w:p>
    <w:p w14:paraId="14FC1BA6" w14:textId="77777777" w:rsidR="002653E8" w:rsidRDefault="003115E3">
      <w:pPr>
        <w:pStyle w:val="a4"/>
        <w:numPr>
          <w:ilvl w:val="0"/>
          <w:numId w:val="121"/>
        </w:numPr>
        <w:tabs>
          <w:tab w:val="left" w:pos="1287"/>
        </w:tabs>
        <w:spacing w:before="51"/>
        <w:ind w:left="1286"/>
        <w:jc w:val="left"/>
        <w:rPr>
          <w:sz w:val="16"/>
        </w:rPr>
      </w:pPr>
      <w:r>
        <w:rPr>
          <w:color w:val="231F20"/>
          <w:w w:val="115"/>
          <w:sz w:val="16"/>
        </w:rPr>
        <w:t>Vague,</w:t>
      </w:r>
      <w:r>
        <w:rPr>
          <w:color w:val="231F20"/>
          <w:spacing w:val="5"/>
          <w:w w:val="115"/>
          <w:sz w:val="16"/>
        </w:rPr>
        <w:t xml:space="preserve"> </w:t>
      </w:r>
      <w:r>
        <w:rPr>
          <w:color w:val="231F20"/>
          <w:w w:val="115"/>
          <w:sz w:val="16"/>
        </w:rPr>
        <w:t>50.</w:t>
      </w:r>
    </w:p>
    <w:bookmarkEnd w:id="100"/>
    <w:p w14:paraId="26BD6841" w14:textId="77777777" w:rsidR="002653E8" w:rsidRDefault="002653E8">
      <w:pPr>
        <w:rPr>
          <w:sz w:val="16"/>
        </w:rPr>
        <w:sectPr w:rsidR="002653E8">
          <w:pgSz w:w="8640" w:h="12960"/>
          <w:pgMar w:top="1060" w:right="0" w:bottom="1040" w:left="0" w:header="0" w:footer="850" w:gutter="0"/>
          <w:cols w:space="720"/>
        </w:sectPr>
      </w:pPr>
    </w:p>
    <w:p w14:paraId="4B553AE3" w14:textId="77777777" w:rsidR="002653E8" w:rsidRDefault="003115E3">
      <w:pPr>
        <w:pStyle w:val="a3"/>
        <w:spacing w:before="86" w:line="264" w:lineRule="auto"/>
        <w:ind w:left="1328" w:right="1145" w:hanging="1"/>
        <w:jc w:val="both"/>
        <w:rPr>
          <w:sz w:val="11"/>
        </w:rPr>
      </w:pPr>
      <w:r>
        <w:rPr>
          <w:color w:val="231F20"/>
        </w:rPr>
        <w:lastRenderedPageBreak/>
        <w:t xml:space="preserve">set up the </w:t>
      </w:r>
      <w:r>
        <w:rPr>
          <w:i/>
          <w:color w:val="231F20"/>
        </w:rPr>
        <w:t xml:space="preserve">Komitees gegen Folter </w:t>
      </w:r>
      <w:r>
        <w:rPr>
          <w:color w:val="231F20"/>
        </w:rPr>
        <w:t xml:space="preserve">(Committees Against Torture) that would take over support work for the prisoners in the future, while promoting the </w:t>
      </w:r>
      <w:r w:rsidR="00C507A5">
        <w:rPr>
          <w:color w:val="231F20"/>
        </w:rPr>
        <w:t>red army faction</w:t>
      </w:r>
      <w:r>
        <w:rPr>
          <w:color w:val="231F20"/>
        </w:rPr>
        <w:t>’s particular brand of anti-imperialist politics. This political orientation was no great liability for the legal left, as even many liberals were not yet ready to completely repudiate those who engaged in armed struggle.</w:t>
      </w:r>
      <w:r>
        <w:rPr>
          <w:color w:val="231F20"/>
          <w:position w:val="7"/>
          <w:sz w:val="11"/>
        </w:rPr>
        <w:t>4</w:t>
      </w:r>
    </w:p>
    <w:p w14:paraId="1FC0F5ED" w14:textId="77777777" w:rsidR="002653E8" w:rsidRDefault="003115E3">
      <w:pPr>
        <w:pStyle w:val="a3"/>
        <w:spacing w:line="264" w:lineRule="auto"/>
        <w:ind w:left="1327" w:right="1146" w:firstLine="210"/>
        <w:jc w:val="both"/>
        <w:rPr>
          <w:sz w:val="11"/>
        </w:rPr>
      </w:pPr>
      <w:r>
        <w:rPr>
          <w:color w:val="231F20"/>
        </w:rPr>
        <w:t>Several lawyers took leading roles in the Committees, Hans-Christian Ströbele, Klaus Croissant, Otto Schily, Siegfried Haag and Kurt Groenewold being their most prominent members. It was Groenewold who took the lead in establishing the Committees, their Hamburg headquarters being a block away from his office.</w:t>
      </w:r>
      <w:r>
        <w:rPr>
          <w:color w:val="231F20"/>
          <w:position w:val="7"/>
          <w:sz w:val="11"/>
        </w:rPr>
        <w:t>5</w:t>
      </w:r>
    </w:p>
    <w:p w14:paraId="48A7484F" w14:textId="77777777" w:rsidR="002653E8" w:rsidRDefault="003115E3">
      <w:pPr>
        <w:pStyle w:val="a3"/>
        <w:spacing w:line="264" w:lineRule="auto"/>
        <w:ind w:left="1327" w:right="1146" w:firstLine="210"/>
        <w:jc w:val="both"/>
      </w:pPr>
      <w:r>
        <w:rPr>
          <w:color w:val="231F20"/>
        </w:rPr>
        <w:t xml:space="preserve">As it turned out, the decision to set up the Committees proved fortuitous. Due in part to ongoing tensions between antiauthoritarians </w:t>
      </w:r>
      <w:r>
        <w:rPr>
          <w:color w:val="231F20"/>
          <w:spacing w:val="2"/>
          <w:w w:val="102"/>
        </w:rPr>
        <w:t>a</w:t>
      </w:r>
      <w:r>
        <w:rPr>
          <w:color w:val="231F20"/>
          <w:spacing w:val="-1"/>
          <w:w w:val="99"/>
        </w:rPr>
        <w:t>n</w:t>
      </w:r>
      <w:r>
        <w:rPr>
          <w:color w:val="231F20"/>
        </w:rPr>
        <w:t xml:space="preserve">d </w:t>
      </w:r>
      <w:r>
        <w:rPr>
          <w:color w:val="231F20"/>
          <w:spacing w:val="-21"/>
        </w:rPr>
        <w:t xml:space="preserve"> </w:t>
      </w:r>
      <w:r>
        <w:rPr>
          <w:color w:val="231F20"/>
          <w:spacing w:val="-1"/>
          <w:w w:val="104"/>
        </w:rPr>
        <w:t>o</w:t>
      </w:r>
      <w:r>
        <w:rPr>
          <w:color w:val="231F20"/>
          <w:spacing w:val="2"/>
          <w:w w:val="98"/>
        </w:rPr>
        <w:t>t</w:t>
      </w:r>
      <w:r>
        <w:rPr>
          <w:color w:val="231F20"/>
          <w:spacing w:val="-1"/>
        </w:rPr>
        <w:t>h</w:t>
      </w:r>
      <w:r>
        <w:rPr>
          <w:color w:val="231F20"/>
          <w:w w:val="92"/>
        </w:rPr>
        <w:t>er</w:t>
      </w:r>
      <w:r>
        <w:rPr>
          <w:color w:val="231F20"/>
          <w:spacing w:val="2"/>
          <w:w w:val="90"/>
        </w:rPr>
        <w:t>s</w:t>
      </w:r>
      <w:r>
        <w:rPr>
          <w:color w:val="231F20"/>
          <w:w w:val="135"/>
        </w:rPr>
        <w:t>,</w:t>
      </w:r>
      <w:r>
        <w:rPr>
          <w:color w:val="231F20"/>
        </w:rPr>
        <w:t xml:space="preserve"> </w:t>
      </w:r>
      <w:r>
        <w:rPr>
          <w:color w:val="231F20"/>
          <w:spacing w:val="-21"/>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21"/>
        </w:rPr>
        <w:t xml:space="preserve"> </w:t>
      </w:r>
      <w:r>
        <w:rPr>
          <w:color w:val="231F20"/>
          <w:spacing w:val="3"/>
          <w:w w:val="122"/>
        </w:rPr>
        <w:t>M</w:t>
      </w:r>
      <w:r>
        <w:rPr>
          <w:color w:val="231F20"/>
          <w:spacing w:val="-3"/>
          <w:w w:val="102"/>
        </w:rPr>
        <w:t>a</w:t>
      </w:r>
      <w:r>
        <w:rPr>
          <w:color w:val="231F20"/>
          <w:spacing w:val="-1"/>
          <w:w w:val="104"/>
        </w:rPr>
        <w:t>o</w:t>
      </w:r>
      <w:r>
        <w:rPr>
          <w:color w:val="231F20"/>
        </w:rPr>
        <w:t>i</w:t>
      </w:r>
      <w:r>
        <w:rPr>
          <w:color w:val="231F20"/>
          <w:w w:val="90"/>
        </w:rPr>
        <w:t>s</w:t>
      </w:r>
      <w:r>
        <w:rPr>
          <w:color w:val="231F20"/>
          <w:w w:val="98"/>
        </w:rPr>
        <w:t>t</w:t>
      </w:r>
      <w:r>
        <w:rPr>
          <w:color w:val="231F20"/>
        </w:rPr>
        <w:t xml:space="preserve"> </w:t>
      </w:r>
      <w:r>
        <w:rPr>
          <w:color w:val="231F20"/>
          <w:spacing w:val="-20"/>
        </w:rPr>
        <w:t xml:space="preserve"> </w:t>
      </w:r>
      <w:r>
        <w:rPr>
          <w:color w:val="231F20"/>
          <w:spacing w:val="7"/>
          <w:w w:val="114"/>
        </w:rPr>
        <w:t>K</w:t>
      </w:r>
      <w:r>
        <w:rPr>
          <w:color w:val="231F20"/>
          <w:w w:val="108"/>
        </w:rPr>
        <w:t>PD</w:t>
      </w:r>
      <w:r>
        <w:rPr>
          <w:color w:val="231F20"/>
          <w:spacing w:val="6"/>
          <w:w w:val="56"/>
        </w:rPr>
        <w:t>/</w:t>
      </w:r>
      <w:r>
        <w:rPr>
          <w:color w:val="231F20"/>
          <w:spacing w:val="6"/>
          <w:w w:val="119"/>
        </w:rPr>
        <w:t>M</w:t>
      </w:r>
      <w:r>
        <w:rPr>
          <w:color w:val="231F20"/>
          <w:w w:val="119"/>
        </w:rPr>
        <w:t>L</w:t>
      </w:r>
      <w:r>
        <w:rPr>
          <w:color w:val="231F20"/>
        </w:rPr>
        <w:t xml:space="preserve"> </w:t>
      </w:r>
      <w:r>
        <w:rPr>
          <w:color w:val="231F20"/>
          <w:spacing w:val="-21"/>
        </w:rPr>
        <w:t xml:space="preserve"> </w:t>
      </w:r>
      <w:r>
        <w:rPr>
          <w:color w:val="231F20"/>
          <w:spacing w:val="1"/>
        </w:rPr>
        <w:t>m</w:t>
      </w:r>
      <w:r>
        <w:rPr>
          <w:color w:val="231F20"/>
          <w:spacing w:val="2"/>
          <w:w w:val="102"/>
        </w:rPr>
        <w:t>a</w:t>
      </w:r>
      <w:r>
        <w:rPr>
          <w:color w:val="231F20"/>
          <w:spacing w:val="1"/>
          <w:w w:val="99"/>
        </w:rPr>
        <w:t>n</w:t>
      </w:r>
      <w:r>
        <w:rPr>
          <w:color w:val="231F20"/>
          <w:w w:val="102"/>
        </w:rPr>
        <w:t>a</w:t>
      </w:r>
      <w:r>
        <w:rPr>
          <w:color w:val="231F20"/>
          <w:spacing w:val="-1"/>
          <w:w w:val="101"/>
        </w:rPr>
        <w:t>g</w:t>
      </w:r>
      <w:r>
        <w:rPr>
          <w:color w:val="231F20"/>
          <w:w w:val="91"/>
        </w:rPr>
        <w:t>e</w:t>
      </w:r>
      <w:r>
        <w:rPr>
          <w:color w:val="231F20"/>
        </w:rPr>
        <w:t xml:space="preserve">d </w:t>
      </w:r>
      <w:r>
        <w:rPr>
          <w:color w:val="231F20"/>
          <w:spacing w:val="-21"/>
        </w:rPr>
        <w:t xml:space="preserve"> </w:t>
      </w:r>
      <w:r>
        <w:rPr>
          <w:color w:val="231F20"/>
          <w:spacing w:val="-2"/>
          <w:w w:val="98"/>
        </w:rPr>
        <w:t>t</w:t>
      </w:r>
      <w:r>
        <w:rPr>
          <w:color w:val="231F20"/>
          <w:w w:val="104"/>
        </w:rPr>
        <w:t>o</w:t>
      </w:r>
      <w:r>
        <w:rPr>
          <w:color w:val="231F20"/>
        </w:rPr>
        <w:t xml:space="preserve"> </w:t>
      </w:r>
      <w:r>
        <w:rPr>
          <w:color w:val="231F20"/>
          <w:spacing w:val="-21"/>
        </w:rPr>
        <w:t xml:space="preserve"> </w:t>
      </w:r>
      <w:r>
        <w:rPr>
          <w:color w:val="231F20"/>
          <w:spacing w:val="2"/>
          <w:w w:val="98"/>
        </w:rPr>
        <w:t>t</w:t>
      </w:r>
      <w:r>
        <w:rPr>
          <w:color w:val="231F20"/>
          <w:spacing w:val="2"/>
          <w:w w:val="102"/>
        </w:rPr>
        <w:t>a</w:t>
      </w:r>
      <w:r>
        <w:rPr>
          <w:color w:val="231F20"/>
          <w:spacing w:val="-2"/>
          <w:w w:val="106"/>
        </w:rPr>
        <w:t>k</w:t>
      </w:r>
      <w:r>
        <w:rPr>
          <w:color w:val="231F20"/>
          <w:w w:val="91"/>
        </w:rPr>
        <w:t>e</w:t>
      </w:r>
      <w:r>
        <w:rPr>
          <w:color w:val="231F20"/>
        </w:rPr>
        <w:t xml:space="preserve"> </w:t>
      </w:r>
      <w:r>
        <w:rPr>
          <w:color w:val="231F20"/>
          <w:spacing w:val="-21"/>
        </w:rPr>
        <w:t xml:space="preserve"> </w:t>
      </w:r>
      <w:r>
        <w:rPr>
          <w:color w:val="231F20"/>
        </w:rPr>
        <w:t>c</w:t>
      </w:r>
      <w:r>
        <w:rPr>
          <w:color w:val="231F20"/>
          <w:spacing w:val="-1"/>
          <w:w w:val="104"/>
        </w:rPr>
        <w:t>o</w:t>
      </w:r>
      <w:r>
        <w:rPr>
          <w:color w:val="231F20"/>
          <w:spacing w:val="-2"/>
          <w:w w:val="99"/>
        </w:rPr>
        <w:t>n</w:t>
      </w:r>
      <w:r>
        <w:rPr>
          <w:color w:val="231F20"/>
          <w:spacing w:val="3"/>
          <w:w w:val="98"/>
        </w:rPr>
        <w:t>t</w:t>
      </w:r>
      <w:r>
        <w:rPr>
          <w:color w:val="231F20"/>
          <w:spacing w:val="-2"/>
          <w:w w:val="94"/>
        </w:rPr>
        <w:t>r</w:t>
      </w:r>
      <w:r>
        <w:rPr>
          <w:color w:val="231F20"/>
          <w:spacing w:val="-2"/>
          <w:w w:val="104"/>
        </w:rPr>
        <w:t>o</w:t>
      </w:r>
      <w:r>
        <w:rPr>
          <w:color w:val="231F20"/>
          <w:w w:val="102"/>
        </w:rPr>
        <w:t>l</w:t>
      </w:r>
      <w:r>
        <w:rPr>
          <w:color w:val="231F20"/>
        </w:rPr>
        <w:t xml:space="preserve"> </w:t>
      </w:r>
      <w:r>
        <w:rPr>
          <w:color w:val="231F20"/>
          <w:spacing w:val="-21"/>
        </w:rPr>
        <w:t xml:space="preserve"> </w:t>
      </w:r>
      <w:r>
        <w:rPr>
          <w:color w:val="231F20"/>
          <w:spacing w:val="-2"/>
          <w:w w:val="104"/>
        </w:rPr>
        <w:t>o</w:t>
      </w:r>
      <w:r>
        <w:rPr>
          <w:color w:val="231F20"/>
          <w:w w:val="109"/>
        </w:rPr>
        <w:t>f</w:t>
      </w:r>
      <w:r>
        <w:rPr>
          <w:color w:val="231F20"/>
        </w:rPr>
        <w:t xml:space="preserve"> </w:t>
      </w:r>
      <w:r>
        <w:rPr>
          <w:color w:val="231F20"/>
          <w:spacing w:val="-21"/>
        </w:rPr>
        <w:t xml:space="preserve"> </w:t>
      </w:r>
      <w:r>
        <w:rPr>
          <w:color w:val="231F20"/>
          <w:w w:val="116"/>
        </w:rPr>
        <w:t>R</w:t>
      </w:r>
      <w:r>
        <w:rPr>
          <w:color w:val="231F20"/>
          <w:w w:val="91"/>
        </w:rPr>
        <w:t>e</w:t>
      </w:r>
      <w:r>
        <w:rPr>
          <w:color w:val="231F20"/>
        </w:rPr>
        <w:t xml:space="preserve">d </w:t>
      </w:r>
      <w:r>
        <w:rPr>
          <w:color w:val="231F20"/>
          <w:spacing w:val="-21"/>
        </w:rPr>
        <w:t xml:space="preserve"> </w:t>
      </w:r>
      <w:r>
        <w:rPr>
          <w:color w:val="231F20"/>
          <w:spacing w:val="5"/>
          <w:w w:val="115"/>
        </w:rPr>
        <w:t>A</w:t>
      </w:r>
      <w:r>
        <w:rPr>
          <w:color w:val="231F20"/>
          <w:spacing w:val="-2"/>
        </w:rPr>
        <w:t>i</w:t>
      </w:r>
      <w:r>
        <w:rPr>
          <w:color w:val="231F20"/>
        </w:rPr>
        <w:t xml:space="preserve">d at a national conference in April </w:t>
      </w:r>
      <w:r>
        <w:rPr>
          <w:color w:val="231F20"/>
          <w:spacing w:val="-6"/>
        </w:rPr>
        <w:t xml:space="preserve">1974. </w:t>
      </w:r>
      <w:r>
        <w:rPr>
          <w:color w:val="231F20"/>
        </w:rPr>
        <w:t xml:space="preserve">This was the second successful </w:t>
      </w:r>
      <w:r>
        <w:rPr>
          <w:color w:val="231F20"/>
          <w:spacing w:val="-2"/>
          <w:w w:val="102"/>
        </w:rPr>
        <w:t>a</w:t>
      </w:r>
      <w:r>
        <w:rPr>
          <w:color w:val="231F20"/>
          <w:spacing w:val="5"/>
          <w:w w:val="98"/>
        </w:rPr>
        <w:t>t</w:t>
      </w:r>
      <w:r>
        <w:rPr>
          <w:color w:val="231F20"/>
          <w:w w:val="98"/>
        </w:rPr>
        <w:t>t</w:t>
      </w:r>
      <w:r>
        <w:rPr>
          <w:color w:val="231F20"/>
          <w:w w:val="91"/>
        </w:rPr>
        <w:t>e</w:t>
      </w:r>
      <w:r>
        <w:rPr>
          <w:color w:val="231F20"/>
          <w:spacing w:val="-2"/>
          <w:w w:val="99"/>
        </w:rPr>
        <w:t>m</w:t>
      </w:r>
      <w:r>
        <w:rPr>
          <w:color w:val="231F20"/>
          <w:w w:val="99"/>
        </w:rPr>
        <w:t>pt</w:t>
      </w:r>
      <w:r>
        <w:rPr>
          <w:color w:val="231F20"/>
        </w:rPr>
        <w:t xml:space="preserve"> </w:t>
      </w:r>
      <w:r>
        <w:rPr>
          <w:color w:val="231F20"/>
          <w:spacing w:val="-4"/>
        </w:rPr>
        <w:t xml:space="preserve"> </w:t>
      </w:r>
      <w:r>
        <w:rPr>
          <w:color w:val="231F20"/>
          <w:spacing w:val="-1"/>
          <w:w w:val="101"/>
        </w:rPr>
        <w:t>b</w:t>
      </w:r>
      <w:r>
        <w:rPr>
          <w:color w:val="231F20"/>
          <w:w w:val="99"/>
        </w:rPr>
        <w:t>y</w:t>
      </w:r>
      <w:r>
        <w:rPr>
          <w:color w:val="231F20"/>
        </w:rPr>
        <w:t xml:space="preserve"> </w:t>
      </w:r>
      <w:r>
        <w:rPr>
          <w:color w:val="231F20"/>
          <w:spacing w:val="-4"/>
        </w:rPr>
        <w:t xml:space="preserve"> </w:t>
      </w:r>
      <w:r>
        <w:rPr>
          <w:color w:val="231F20"/>
          <w:w w:val="102"/>
        </w:rPr>
        <w:t>a</w:t>
      </w:r>
      <w:r>
        <w:rPr>
          <w:color w:val="231F20"/>
        </w:rPr>
        <w:t xml:space="preserve"> </w:t>
      </w:r>
      <w:r>
        <w:rPr>
          <w:color w:val="231F20"/>
          <w:spacing w:val="-4"/>
        </w:rPr>
        <w:t xml:space="preserve"> </w:t>
      </w:r>
      <w:r>
        <w:rPr>
          <w:color w:val="231F20"/>
          <w:spacing w:val="-9"/>
          <w:w w:val="114"/>
        </w:rPr>
        <w:t>K</w:t>
      </w:r>
      <w:r>
        <w:rPr>
          <w:color w:val="231F20"/>
          <w:spacing w:val="3"/>
        </w:rPr>
        <w:t>-</w:t>
      </w:r>
      <w:r>
        <w:rPr>
          <w:color w:val="231F20"/>
          <w:spacing w:val="5"/>
          <w:w w:val="101"/>
        </w:rPr>
        <w:t>g</w:t>
      </w:r>
      <w:r>
        <w:rPr>
          <w:color w:val="231F20"/>
          <w:spacing w:val="-2"/>
          <w:w w:val="94"/>
        </w:rPr>
        <w:t>r</w:t>
      </w:r>
      <w:r>
        <w:rPr>
          <w:color w:val="231F20"/>
          <w:spacing w:val="-2"/>
          <w:w w:val="104"/>
        </w:rPr>
        <w:t>o</w:t>
      </w:r>
      <w:r>
        <w:rPr>
          <w:color w:val="231F20"/>
          <w:spacing w:val="-3"/>
        </w:rPr>
        <w:t>u</w:t>
      </w:r>
      <w:r>
        <w:rPr>
          <w:color w:val="231F20"/>
          <w:w w:val="99"/>
        </w:rPr>
        <w:t>p</w:t>
      </w:r>
      <w:r>
        <w:rPr>
          <w:color w:val="231F20"/>
        </w:rPr>
        <w:t xml:space="preserve"> </w:t>
      </w:r>
      <w:r>
        <w:rPr>
          <w:color w:val="231F20"/>
          <w:spacing w:val="-4"/>
        </w:rPr>
        <w:t xml:space="preserve"> </w:t>
      </w:r>
      <w:r>
        <w:rPr>
          <w:color w:val="231F20"/>
          <w:spacing w:val="-2"/>
          <w:w w:val="98"/>
        </w:rPr>
        <w:t>t</w:t>
      </w:r>
      <w:r>
        <w:rPr>
          <w:color w:val="231F20"/>
          <w:w w:val="104"/>
        </w:rPr>
        <w:t>o</w:t>
      </w:r>
      <w:r>
        <w:rPr>
          <w:color w:val="231F20"/>
        </w:rPr>
        <w:t xml:space="preserve"> </w:t>
      </w:r>
      <w:r>
        <w:rPr>
          <w:color w:val="231F20"/>
          <w:spacing w:val="-4"/>
        </w:rPr>
        <w:t xml:space="preserve"> </w:t>
      </w:r>
      <w:r>
        <w:rPr>
          <w:color w:val="231F20"/>
          <w:spacing w:val="-1"/>
        </w:rPr>
        <w:t>m</w:t>
      </w:r>
      <w:r>
        <w:rPr>
          <w:color w:val="231F20"/>
          <w:spacing w:val="-3"/>
          <w:w w:val="104"/>
        </w:rPr>
        <w:t>o</w:t>
      </w:r>
      <w:r>
        <w:rPr>
          <w:color w:val="231F20"/>
          <w:spacing w:val="-2"/>
          <w:w w:val="99"/>
        </w:rPr>
        <w:t>v</w:t>
      </w:r>
      <w:r>
        <w:rPr>
          <w:color w:val="231F20"/>
          <w:w w:val="91"/>
        </w:rPr>
        <w:t>e</w:t>
      </w:r>
      <w:r>
        <w:rPr>
          <w:color w:val="231F20"/>
        </w:rPr>
        <w:t xml:space="preserve"> </w:t>
      </w:r>
      <w:r>
        <w:rPr>
          <w:color w:val="231F20"/>
          <w:spacing w:val="-4"/>
        </w:rPr>
        <w:t xml:space="preserve"> </w:t>
      </w:r>
      <w:r>
        <w:rPr>
          <w:color w:val="231F20"/>
          <w:spacing w:val="3"/>
        </w:rPr>
        <w:t>i</w:t>
      </w:r>
      <w:r>
        <w:rPr>
          <w:color w:val="231F20"/>
          <w:w w:val="99"/>
        </w:rPr>
        <w:t>n</w:t>
      </w:r>
      <w:r>
        <w:rPr>
          <w:color w:val="231F20"/>
        </w:rPr>
        <w:t xml:space="preserve"> </w:t>
      </w:r>
      <w:r>
        <w:rPr>
          <w:color w:val="231F20"/>
          <w:spacing w:val="-4"/>
        </w:rPr>
        <w:t xml:space="preserve"> </w:t>
      </w:r>
      <w:r>
        <w:rPr>
          <w:color w:val="231F20"/>
          <w:spacing w:val="-1"/>
          <w:w w:val="104"/>
        </w:rPr>
        <w:t>o</w:t>
      </w:r>
      <w:r>
        <w:rPr>
          <w:color w:val="231F20"/>
          <w:w w:val="99"/>
        </w:rPr>
        <w:t>n</w:t>
      </w:r>
      <w:r>
        <w:rPr>
          <w:color w:val="231F20"/>
        </w:rPr>
        <w:t xml:space="preserve"> </w:t>
      </w:r>
      <w:r>
        <w:rPr>
          <w:color w:val="231F20"/>
          <w:spacing w:val="-4"/>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4"/>
        </w:rPr>
        <w:t xml:space="preserve"> </w:t>
      </w:r>
      <w:r>
        <w:rPr>
          <w:color w:val="231F20"/>
          <w:spacing w:val="-1"/>
          <w:w w:val="99"/>
        </w:rPr>
        <w:t>n</w:t>
      </w:r>
      <w:r>
        <w:rPr>
          <w:color w:val="231F20"/>
          <w:spacing w:val="1"/>
          <w:w w:val="91"/>
        </w:rPr>
        <w:t>e</w:t>
      </w:r>
      <w:r>
        <w:rPr>
          <w:color w:val="231F20"/>
          <w:spacing w:val="5"/>
          <w:w w:val="98"/>
        </w:rPr>
        <w:t>t</w:t>
      </w:r>
      <w:r>
        <w:rPr>
          <w:color w:val="231F20"/>
          <w:spacing w:val="-3"/>
        </w:rPr>
        <w:t>w</w:t>
      </w:r>
      <w:r>
        <w:rPr>
          <w:color w:val="231F20"/>
          <w:spacing w:val="-1"/>
          <w:w w:val="104"/>
        </w:rPr>
        <w:t>o</w:t>
      </w:r>
      <w:r>
        <w:rPr>
          <w:color w:val="231F20"/>
          <w:spacing w:val="-2"/>
          <w:w w:val="94"/>
        </w:rPr>
        <w:t>r</w:t>
      </w:r>
      <w:r>
        <w:rPr>
          <w:color w:val="231F20"/>
          <w:w w:val="106"/>
        </w:rPr>
        <w:t>k</w:t>
      </w:r>
      <w:r>
        <w:rPr>
          <w:color w:val="231F20"/>
          <w:w w:val="105"/>
        </w:rPr>
        <w:t>:</w:t>
      </w:r>
      <w:r>
        <w:rPr>
          <w:color w:val="231F20"/>
        </w:rPr>
        <w:t xml:space="preserve"> </w:t>
      </w:r>
      <w:r>
        <w:rPr>
          <w:color w:val="231F20"/>
          <w:spacing w:val="-4"/>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4"/>
        </w:rPr>
        <w:t xml:space="preserve"> </w:t>
      </w:r>
      <w:r>
        <w:rPr>
          <w:color w:val="231F20"/>
          <w:spacing w:val="7"/>
          <w:w w:val="114"/>
        </w:rPr>
        <w:t>K</w:t>
      </w:r>
      <w:r>
        <w:rPr>
          <w:color w:val="231F20"/>
          <w:w w:val="108"/>
        </w:rPr>
        <w:t>PD</w:t>
      </w:r>
      <w:r>
        <w:rPr>
          <w:color w:val="231F20"/>
          <w:spacing w:val="-8"/>
          <w:w w:val="56"/>
        </w:rPr>
        <w:t>/</w:t>
      </w:r>
      <w:r>
        <w:rPr>
          <w:color w:val="231F20"/>
          <w:spacing w:val="-8"/>
          <w:w w:val="121"/>
        </w:rPr>
        <w:t>A</w:t>
      </w:r>
      <w:r>
        <w:rPr>
          <w:color w:val="231F20"/>
          <w:w w:val="121"/>
        </w:rPr>
        <w:t>O</w:t>
      </w:r>
      <w:r>
        <w:rPr>
          <w:color w:val="231F20"/>
        </w:rPr>
        <w:t xml:space="preserve"> </w:t>
      </w:r>
      <w:r>
        <w:rPr>
          <w:color w:val="231F20"/>
          <w:spacing w:val="-4"/>
        </w:rPr>
        <w:t xml:space="preserve"> </w:t>
      </w:r>
      <w:r>
        <w:rPr>
          <w:color w:val="231F20"/>
          <w:spacing w:val="1"/>
        </w:rPr>
        <w:t>h</w:t>
      </w:r>
      <w:r>
        <w:rPr>
          <w:color w:val="231F20"/>
          <w:spacing w:val="-2"/>
          <w:w w:val="102"/>
        </w:rPr>
        <w:t>a</w:t>
      </w:r>
      <w:r>
        <w:rPr>
          <w:color w:val="231F20"/>
        </w:rPr>
        <w:t xml:space="preserve">d already formed a rival “Red Aid registered association” to capitalize </w:t>
      </w:r>
      <w:r>
        <w:rPr>
          <w:color w:val="231F20"/>
          <w:spacing w:val="-1"/>
          <w:w w:val="104"/>
        </w:rPr>
        <w:t>o</w:t>
      </w:r>
      <w:r>
        <w:rPr>
          <w:color w:val="231F20"/>
          <w:w w:val="99"/>
        </w:rPr>
        <w:t>n</w:t>
      </w:r>
      <w:r>
        <w:rPr>
          <w:color w:val="231F20"/>
        </w:rPr>
        <w:t xml:space="preserve"> </w:t>
      </w:r>
      <w:r>
        <w:rPr>
          <w:color w:val="231F20"/>
          <w:spacing w:val="1"/>
        </w:rPr>
        <w:t xml:space="preserve"> </w:t>
      </w:r>
      <w:r>
        <w:rPr>
          <w:color w:val="231F20"/>
          <w:spacing w:val="-2"/>
        </w:rPr>
        <w:t>i</w:t>
      </w:r>
      <w:r>
        <w:rPr>
          <w:color w:val="231F20"/>
          <w:spacing w:val="2"/>
          <w:w w:val="98"/>
        </w:rPr>
        <w:t>t</w:t>
      </w:r>
      <w:r>
        <w:rPr>
          <w:color w:val="231F20"/>
          <w:w w:val="90"/>
        </w:rPr>
        <w:t>s</w:t>
      </w:r>
      <w:r>
        <w:rPr>
          <w:color w:val="231F20"/>
        </w:rPr>
        <w:t xml:space="preserve"> </w:t>
      </w:r>
      <w:r>
        <w:rPr>
          <w:color w:val="231F20"/>
          <w:spacing w:val="1"/>
        </w:rPr>
        <w:t xml:space="preserve"> </w:t>
      </w:r>
      <w:r>
        <w:rPr>
          <w:color w:val="231F20"/>
          <w:spacing w:val="-1"/>
          <w:w w:val="94"/>
        </w:rPr>
        <w:t>r</w:t>
      </w:r>
      <w:r>
        <w:rPr>
          <w:color w:val="231F20"/>
          <w:w w:val="91"/>
        </w:rPr>
        <w:t>e</w:t>
      </w:r>
      <w:r>
        <w:rPr>
          <w:color w:val="231F20"/>
          <w:spacing w:val="-2"/>
          <w:w w:val="99"/>
        </w:rPr>
        <w:t>p</w:t>
      </w:r>
      <w:r>
        <w:rPr>
          <w:color w:val="231F20"/>
          <w:spacing w:val="-2"/>
        </w:rPr>
        <w:t>u</w:t>
      </w:r>
      <w:r>
        <w:rPr>
          <w:color w:val="231F20"/>
          <w:spacing w:val="2"/>
          <w:w w:val="98"/>
        </w:rPr>
        <w:t>t</w:t>
      </w:r>
      <w:r>
        <w:rPr>
          <w:color w:val="231F20"/>
          <w:spacing w:val="-2"/>
          <w:w w:val="102"/>
        </w:rPr>
        <w:t>a</w:t>
      </w:r>
      <w:r>
        <w:rPr>
          <w:color w:val="231F20"/>
          <w:spacing w:val="2"/>
          <w:w w:val="98"/>
        </w:rPr>
        <w:t>t</w:t>
      </w:r>
      <w:r>
        <w:rPr>
          <w:color w:val="231F20"/>
          <w:spacing w:val="-2"/>
        </w:rPr>
        <w:t>i</w:t>
      </w:r>
      <w:r>
        <w:rPr>
          <w:color w:val="231F20"/>
          <w:spacing w:val="-1"/>
          <w:w w:val="104"/>
        </w:rPr>
        <w:t>o</w:t>
      </w:r>
      <w:r>
        <w:rPr>
          <w:color w:val="231F20"/>
          <w:w w:val="99"/>
        </w:rPr>
        <w:t>n</w:t>
      </w:r>
      <w:r>
        <w:rPr>
          <w:color w:val="231F20"/>
          <w:w w:val="135"/>
        </w:rPr>
        <w:t>.</w:t>
      </w:r>
      <w:r>
        <w:rPr>
          <w:color w:val="231F20"/>
        </w:rPr>
        <w:t xml:space="preserve"> </w:t>
      </w:r>
      <w:r>
        <w:rPr>
          <w:color w:val="231F20"/>
          <w:spacing w:val="1"/>
        </w:rPr>
        <w:t xml:space="preserve"> </w:t>
      </w:r>
      <w:r>
        <w:rPr>
          <w:color w:val="231F20"/>
          <w:spacing w:val="6"/>
          <w:w w:val="108"/>
        </w:rPr>
        <w:t>W</w:t>
      </w:r>
      <w:r>
        <w:rPr>
          <w:color w:val="231F20"/>
          <w:spacing w:val="3"/>
        </w:rPr>
        <w:t>h</w:t>
      </w:r>
      <w:r>
        <w:rPr>
          <w:color w:val="231F20"/>
          <w:spacing w:val="2"/>
        </w:rPr>
        <w:t>i</w:t>
      </w:r>
      <w:r>
        <w:rPr>
          <w:color w:val="231F20"/>
          <w:spacing w:val="-1"/>
          <w:w w:val="102"/>
        </w:rPr>
        <w:t>l</w:t>
      </w:r>
      <w:r>
        <w:rPr>
          <w:color w:val="231F20"/>
          <w:w w:val="91"/>
        </w:rPr>
        <w:t>e</w:t>
      </w:r>
      <w:r>
        <w:rPr>
          <w:color w:val="231F20"/>
        </w:rPr>
        <w:t xml:space="preserve"> </w:t>
      </w:r>
      <w:r>
        <w:rPr>
          <w:color w:val="231F20"/>
          <w:spacing w:val="1"/>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2"/>
        </w:rPr>
        <w:t xml:space="preserve"> </w:t>
      </w:r>
      <w:r>
        <w:rPr>
          <w:color w:val="231F20"/>
          <w:spacing w:val="7"/>
          <w:w w:val="114"/>
        </w:rPr>
        <w:t>K</w:t>
      </w:r>
      <w:r>
        <w:rPr>
          <w:color w:val="231F20"/>
          <w:w w:val="108"/>
        </w:rPr>
        <w:t>PD</w:t>
      </w:r>
      <w:r>
        <w:rPr>
          <w:color w:val="231F20"/>
          <w:spacing w:val="6"/>
          <w:w w:val="56"/>
        </w:rPr>
        <w:t>/</w:t>
      </w:r>
      <w:r>
        <w:rPr>
          <w:color w:val="231F20"/>
          <w:spacing w:val="6"/>
          <w:w w:val="119"/>
        </w:rPr>
        <w:t>M</w:t>
      </w:r>
      <w:r>
        <w:rPr>
          <w:color w:val="231F20"/>
          <w:w w:val="119"/>
        </w:rPr>
        <w:t>L</w:t>
      </w:r>
      <w:r>
        <w:rPr>
          <w:color w:val="231F20"/>
        </w:rPr>
        <w:t xml:space="preserve"> </w:t>
      </w:r>
      <w:r>
        <w:rPr>
          <w:color w:val="231F20"/>
          <w:spacing w:val="1"/>
        </w:rPr>
        <w:t xml:space="preserve"> </w:t>
      </w:r>
      <w:r>
        <w:rPr>
          <w:color w:val="231F20"/>
          <w:spacing w:val="2"/>
          <w:w w:val="102"/>
        </w:rPr>
        <w:t>a</w:t>
      </w:r>
      <w:r>
        <w:rPr>
          <w:color w:val="231F20"/>
          <w:spacing w:val="-1"/>
          <w:w w:val="99"/>
        </w:rPr>
        <w:t>n</w:t>
      </w:r>
      <w:r>
        <w:rPr>
          <w:color w:val="231F20"/>
        </w:rPr>
        <w:t xml:space="preserve">d </w:t>
      </w:r>
      <w:r>
        <w:rPr>
          <w:color w:val="231F20"/>
          <w:spacing w:val="1"/>
        </w:rPr>
        <w:t xml:space="preserve"> </w:t>
      </w:r>
      <w:r>
        <w:rPr>
          <w:color w:val="231F20"/>
          <w:spacing w:val="7"/>
          <w:w w:val="114"/>
        </w:rPr>
        <w:t>K</w:t>
      </w:r>
      <w:r>
        <w:rPr>
          <w:color w:val="231F20"/>
          <w:w w:val="108"/>
        </w:rPr>
        <w:t>PD</w:t>
      </w:r>
      <w:r>
        <w:rPr>
          <w:color w:val="231F20"/>
          <w:spacing w:val="-8"/>
          <w:w w:val="56"/>
        </w:rPr>
        <w:t>/</w:t>
      </w:r>
      <w:r>
        <w:rPr>
          <w:color w:val="231F20"/>
          <w:spacing w:val="-8"/>
          <w:w w:val="121"/>
        </w:rPr>
        <w:t>A</w:t>
      </w:r>
      <w:r>
        <w:rPr>
          <w:color w:val="231F20"/>
          <w:w w:val="121"/>
        </w:rPr>
        <w:t>O</w:t>
      </w:r>
      <w:r>
        <w:rPr>
          <w:color w:val="231F20"/>
        </w:rPr>
        <w:t xml:space="preserve"> </w:t>
      </w:r>
      <w:r>
        <w:rPr>
          <w:color w:val="231F20"/>
          <w:spacing w:val="1"/>
        </w:rPr>
        <w:t xml:space="preserve"> m</w:t>
      </w:r>
      <w:r>
        <w:rPr>
          <w:color w:val="231F20"/>
          <w:spacing w:val="-4"/>
          <w:w w:val="102"/>
        </w:rPr>
        <w:t>a</w:t>
      </w:r>
      <w:r>
        <w:rPr>
          <w:color w:val="231F20"/>
          <w:w w:val="99"/>
        </w:rPr>
        <w:t>y</w:t>
      </w:r>
      <w:r>
        <w:rPr>
          <w:color w:val="231F20"/>
        </w:rPr>
        <w:t xml:space="preserve"> </w:t>
      </w:r>
      <w:r>
        <w:rPr>
          <w:color w:val="231F20"/>
          <w:spacing w:val="1"/>
        </w:rPr>
        <w:t xml:space="preserve"> h</w:t>
      </w:r>
      <w:r>
        <w:rPr>
          <w:color w:val="231F20"/>
          <w:spacing w:val="-4"/>
          <w:w w:val="102"/>
        </w:rPr>
        <w:t>a</w:t>
      </w:r>
      <w:r>
        <w:rPr>
          <w:color w:val="231F20"/>
          <w:spacing w:val="-2"/>
          <w:w w:val="99"/>
        </w:rPr>
        <w:t>v</w:t>
      </w:r>
      <w:r>
        <w:rPr>
          <w:color w:val="231F20"/>
          <w:w w:val="91"/>
        </w:rPr>
        <w:t>e</w:t>
      </w:r>
      <w:r>
        <w:rPr>
          <w:color w:val="231F20"/>
        </w:rPr>
        <w:t xml:space="preserve"> </w:t>
      </w:r>
      <w:r>
        <w:rPr>
          <w:color w:val="231F20"/>
          <w:spacing w:val="1"/>
        </w:rPr>
        <w:t xml:space="preserve"> </w:t>
      </w:r>
      <w:r>
        <w:rPr>
          <w:color w:val="231F20"/>
          <w:spacing w:val="1"/>
          <w:w w:val="101"/>
        </w:rPr>
        <w:t>b</w:t>
      </w:r>
      <w:r>
        <w:rPr>
          <w:color w:val="231F20"/>
          <w:spacing w:val="1"/>
          <w:w w:val="91"/>
        </w:rPr>
        <w:t>e</w:t>
      </w:r>
      <w:r>
        <w:rPr>
          <w:color w:val="231F20"/>
          <w:w w:val="91"/>
        </w:rPr>
        <w:t>e</w:t>
      </w:r>
      <w:r>
        <w:rPr>
          <w:color w:val="231F20"/>
          <w:w w:val="99"/>
        </w:rPr>
        <w:t xml:space="preserve">n </w:t>
      </w:r>
      <w:r>
        <w:rPr>
          <w:color w:val="231F20"/>
        </w:rPr>
        <w:t xml:space="preserve">occasionally sympathetic to the </w:t>
      </w:r>
      <w:r w:rsidR="00C507A5">
        <w:rPr>
          <w:color w:val="231F20"/>
          <w:spacing w:val="5"/>
        </w:rPr>
        <w:t>red army faction</w:t>
      </w:r>
      <w:r>
        <w:rPr>
          <w:color w:val="231F20"/>
          <w:spacing w:val="5"/>
        </w:rPr>
        <w:t xml:space="preserve"> </w:t>
      </w:r>
      <w:r>
        <w:rPr>
          <w:color w:val="231F20"/>
        </w:rPr>
        <w:t xml:space="preserve">prisoners, they were definitely hostile to their politics, and so the </w:t>
      </w:r>
      <w:r w:rsidR="00C507A5">
        <w:rPr>
          <w:color w:val="231F20"/>
          <w:spacing w:val="5"/>
        </w:rPr>
        <w:t>red army faction</w:t>
      </w:r>
      <w:r>
        <w:rPr>
          <w:color w:val="231F20"/>
          <w:spacing w:val="5"/>
        </w:rPr>
        <w:t xml:space="preserve"> </w:t>
      </w:r>
      <w:r>
        <w:rPr>
          <w:color w:val="231F20"/>
        </w:rPr>
        <w:t>would have been at a disadvantage had they remained dependent on either Red Aid network for</w:t>
      </w:r>
      <w:r>
        <w:rPr>
          <w:color w:val="231F20"/>
          <w:spacing w:val="10"/>
        </w:rPr>
        <w:t xml:space="preserve"> </w:t>
      </w:r>
      <w:r>
        <w:rPr>
          <w:color w:val="231F20"/>
        </w:rPr>
        <w:t>support.</w:t>
      </w:r>
    </w:p>
    <w:p w14:paraId="548DD5EA" w14:textId="77777777" w:rsidR="002653E8" w:rsidRDefault="003115E3">
      <w:pPr>
        <w:pStyle w:val="a3"/>
        <w:spacing w:line="264" w:lineRule="auto"/>
        <w:ind w:left="1327" w:right="1145" w:firstLine="210"/>
        <w:jc w:val="both"/>
      </w:pPr>
      <w:r>
        <w:rPr>
          <w:color w:val="231F20"/>
        </w:rPr>
        <w:t xml:space="preserve">Committees Against Torture were established </w:t>
      </w:r>
      <w:r>
        <w:rPr>
          <w:color w:val="231F20"/>
          <w:spacing w:val="-3"/>
        </w:rPr>
        <w:t xml:space="preserve">West </w:t>
      </w:r>
      <w:r>
        <w:rPr>
          <w:color w:val="231F20"/>
        </w:rPr>
        <w:t>Berlin, Frankfurt, Hamburg,  Kassel,  Cologne,  Munich,  Münster,  Stuttgart,  Tübingen,  and Heidelberg</w:t>
      </w:r>
      <w:r>
        <w:rPr>
          <w:color w:val="231F20"/>
          <w:position w:val="7"/>
          <w:sz w:val="11"/>
        </w:rPr>
        <w:t>6</w:t>
      </w:r>
      <w:r>
        <w:rPr>
          <w:color w:val="231F20"/>
        </w:rPr>
        <w:t>—the latter in particular being a magnet  for  former SPK members.</w:t>
      </w:r>
      <w:r>
        <w:rPr>
          <w:color w:val="231F20"/>
          <w:position w:val="7"/>
          <w:sz w:val="11"/>
        </w:rPr>
        <w:t xml:space="preserve">7 </w:t>
      </w:r>
      <w:r>
        <w:rPr>
          <w:color w:val="231F20"/>
        </w:rPr>
        <w:t>Backed by many progressive intellectuals, they worked to focus public attention on the prisoners’ struggle and the destructive conditions in which they were held, setting up information tables, issuing leaflets, and holding teach-ins.</w:t>
      </w:r>
      <w:r>
        <w:rPr>
          <w:color w:val="231F20"/>
          <w:position w:val="7"/>
          <w:sz w:val="11"/>
        </w:rPr>
        <w:t xml:space="preserve">8  </w:t>
      </w:r>
      <w:r>
        <w:rPr>
          <w:color w:val="231F20"/>
        </w:rPr>
        <w:t xml:space="preserve">The hope was to win the support     of people with their roots in the sixties antiwar movement, people who shared much of the </w:t>
      </w:r>
      <w:r w:rsidR="00C507A5">
        <w:rPr>
          <w:color w:val="231F20"/>
          <w:spacing w:val="1"/>
        </w:rPr>
        <w:t>red army faction</w:t>
      </w:r>
      <w:r>
        <w:rPr>
          <w:color w:val="231F20"/>
          <w:spacing w:val="1"/>
        </w:rPr>
        <w:t xml:space="preserve">’s </w:t>
      </w:r>
      <w:r>
        <w:rPr>
          <w:color w:val="231F20"/>
        </w:rPr>
        <w:t>analysis and could be expected to express political solidarity, particularly for the idea that the captured combatants were political prisoners who had acted in the context of an international anti-imperialist</w:t>
      </w:r>
      <w:r>
        <w:rPr>
          <w:color w:val="231F20"/>
          <w:spacing w:val="21"/>
        </w:rPr>
        <w:t xml:space="preserve"> </w:t>
      </w:r>
      <w:r>
        <w:rPr>
          <w:color w:val="231F20"/>
        </w:rPr>
        <w:t>movement.</w:t>
      </w:r>
    </w:p>
    <w:p w14:paraId="60545C54" w14:textId="77777777" w:rsidR="002653E8" w:rsidRDefault="00000000">
      <w:pPr>
        <w:pStyle w:val="a3"/>
        <w:spacing w:before="5"/>
        <w:rPr>
          <w:sz w:val="18"/>
        </w:rPr>
      </w:pPr>
      <w:r>
        <w:rPr>
          <w:noProof w:val="0"/>
        </w:rPr>
        <w:pict w14:anchorId="5AB370E4">
          <v:line id="_x0000_s2437" style="position:absolute;z-index:6208;mso-wrap-distance-left:0;mso-wrap-distance-right:0;mso-position-horizontal-relative:page" from="66.4pt,13.05pt" to="138.4pt,13.05pt" strokecolor="#231f20" strokeweight=".5pt">
            <w10:wrap type="topAndBottom" anchorx="page"/>
          </v:line>
        </w:pict>
      </w:r>
    </w:p>
    <w:p w14:paraId="1F66F90E" w14:textId="77777777" w:rsidR="002653E8" w:rsidRDefault="003115E3">
      <w:pPr>
        <w:pStyle w:val="a4"/>
        <w:numPr>
          <w:ilvl w:val="0"/>
          <w:numId w:val="121"/>
        </w:numPr>
        <w:tabs>
          <w:tab w:val="left" w:pos="1467"/>
        </w:tabs>
        <w:spacing w:before="53"/>
        <w:ind w:left="1466"/>
        <w:jc w:val="left"/>
        <w:rPr>
          <w:sz w:val="16"/>
        </w:rPr>
      </w:pPr>
      <w:bookmarkStart w:id="101" w:name="_Hlk103426445"/>
      <w:bookmarkStart w:id="102" w:name="_Hlk103426476"/>
      <w:r>
        <w:rPr>
          <w:color w:val="231F20"/>
          <w:w w:val="115"/>
          <w:sz w:val="16"/>
        </w:rPr>
        <w:t>Dellwo,</w:t>
      </w:r>
      <w:r>
        <w:rPr>
          <w:color w:val="231F20"/>
          <w:spacing w:val="3"/>
          <w:w w:val="115"/>
          <w:sz w:val="16"/>
        </w:rPr>
        <w:t xml:space="preserve"> </w:t>
      </w:r>
      <w:r>
        <w:rPr>
          <w:color w:val="231F20"/>
          <w:spacing w:val="-4"/>
          <w:w w:val="115"/>
          <w:sz w:val="16"/>
        </w:rPr>
        <w:t>95.</w:t>
      </w:r>
      <w:bookmarkEnd w:id="101"/>
    </w:p>
    <w:bookmarkEnd w:id="102"/>
    <w:p w14:paraId="4C6D4F33" w14:textId="77777777" w:rsidR="002653E8" w:rsidRDefault="003115E3">
      <w:pPr>
        <w:spacing w:before="51"/>
        <w:ind w:left="1327"/>
        <w:rPr>
          <w:sz w:val="16"/>
        </w:rPr>
      </w:pPr>
      <w:r>
        <w:rPr>
          <w:color w:val="231F20"/>
          <w:w w:val="110"/>
          <w:sz w:val="16"/>
        </w:rPr>
        <w:t>5 Ibid., 93-94.</w:t>
      </w:r>
    </w:p>
    <w:p w14:paraId="18842B73" w14:textId="77777777" w:rsidR="002653E8" w:rsidRDefault="003115E3">
      <w:pPr>
        <w:pStyle w:val="a4"/>
        <w:numPr>
          <w:ilvl w:val="0"/>
          <w:numId w:val="120"/>
        </w:numPr>
        <w:tabs>
          <w:tab w:val="left" w:pos="1467"/>
        </w:tabs>
        <w:spacing w:before="52"/>
        <w:rPr>
          <w:sz w:val="16"/>
        </w:rPr>
      </w:pPr>
      <w:r>
        <w:rPr>
          <w:color w:val="231F20"/>
          <w:w w:val="110"/>
          <w:sz w:val="16"/>
        </w:rPr>
        <w:t>Komitees gegen Folter,</w:t>
      </w:r>
      <w:r>
        <w:rPr>
          <w:color w:val="231F20"/>
          <w:spacing w:val="16"/>
          <w:w w:val="110"/>
          <w:sz w:val="16"/>
        </w:rPr>
        <w:t xml:space="preserve"> </w:t>
      </w:r>
      <w:r>
        <w:rPr>
          <w:color w:val="231F20"/>
          <w:spacing w:val="-5"/>
          <w:w w:val="110"/>
          <w:sz w:val="16"/>
        </w:rPr>
        <w:t>97.</w:t>
      </w:r>
    </w:p>
    <w:p w14:paraId="21839F0A" w14:textId="77777777" w:rsidR="002653E8" w:rsidRDefault="003115E3">
      <w:pPr>
        <w:pStyle w:val="a4"/>
        <w:numPr>
          <w:ilvl w:val="0"/>
          <w:numId w:val="120"/>
        </w:numPr>
        <w:tabs>
          <w:tab w:val="left" w:pos="1467"/>
        </w:tabs>
        <w:spacing w:before="52"/>
        <w:rPr>
          <w:sz w:val="16"/>
        </w:rPr>
      </w:pPr>
      <w:r>
        <w:rPr>
          <w:color w:val="231F20"/>
          <w:w w:val="115"/>
          <w:sz w:val="16"/>
        </w:rPr>
        <w:t>Dellwo,</w:t>
      </w:r>
      <w:r>
        <w:rPr>
          <w:color w:val="231F20"/>
          <w:spacing w:val="3"/>
          <w:w w:val="115"/>
          <w:sz w:val="16"/>
        </w:rPr>
        <w:t xml:space="preserve"> </w:t>
      </w:r>
      <w:r>
        <w:rPr>
          <w:color w:val="231F20"/>
          <w:w w:val="115"/>
          <w:sz w:val="16"/>
        </w:rPr>
        <w:t>94.</w:t>
      </w:r>
    </w:p>
    <w:p w14:paraId="51790851" w14:textId="77777777" w:rsidR="002653E8" w:rsidRDefault="003115E3">
      <w:pPr>
        <w:pStyle w:val="a4"/>
        <w:numPr>
          <w:ilvl w:val="0"/>
          <w:numId w:val="120"/>
        </w:numPr>
        <w:tabs>
          <w:tab w:val="left" w:pos="1467"/>
        </w:tabs>
        <w:spacing w:before="51"/>
        <w:rPr>
          <w:sz w:val="16"/>
        </w:rPr>
      </w:pPr>
      <w:r>
        <w:rPr>
          <w:color w:val="231F20"/>
          <w:w w:val="105"/>
          <w:sz w:val="16"/>
        </w:rPr>
        <w:t>Komitees gegen Folter,</w:t>
      </w:r>
      <w:r>
        <w:rPr>
          <w:color w:val="231F20"/>
          <w:spacing w:val="23"/>
          <w:w w:val="105"/>
          <w:sz w:val="16"/>
        </w:rPr>
        <w:t xml:space="preserve"> </w:t>
      </w:r>
      <w:r>
        <w:rPr>
          <w:color w:val="231F20"/>
          <w:w w:val="105"/>
          <w:sz w:val="16"/>
        </w:rPr>
        <w:t>97-98.</w:t>
      </w:r>
    </w:p>
    <w:p w14:paraId="2B40E26B" w14:textId="77777777" w:rsidR="002653E8" w:rsidRDefault="002653E8">
      <w:pPr>
        <w:rPr>
          <w:sz w:val="16"/>
        </w:rPr>
        <w:sectPr w:rsidR="002653E8">
          <w:pgSz w:w="8640" w:h="12960"/>
          <w:pgMar w:top="1060" w:right="0" w:bottom="1040" w:left="0" w:header="0" w:footer="850" w:gutter="0"/>
          <w:cols w:space="720"/>
        </w:sectPr>
      </w:pPr>
    </w:p>
    <w:p w14:paraId="733AF849" w14:textId="77777777" w:rsidR="002653E8" w:rsidRDefault="00000000">
      <w:pPr>
        <w:pStyle w:val="a3"/>
        <w:spacing w:before="4"/>
        <w:rPr>
          <w:sz w:val="16"/>
        </w:rPr>
      </w:pPr>
      <w:r>
        <w:rPr>
          <w:noProof w:val="0"/>
        </w:rPr>
        <w:lastRenderedPageBreak/>
        <w:pict w14:anchorId="30FEC1DB">
          <v:group id="_x0000_s2428" style="position:absolute;margin-left:57.4pt;margin-top:54pt;width:308.25pt;height:513.7pt;z-index:-458416;mso-position-horizontal-relative:page;mso-position-vertical-relative:page" coordorigin="1148,1080" coordsize="6165,10274">
            <v:rect id="_x0000_s2436" style="position:absolute;left:1147;top:1080;width:6164;height:10274" fillcolor="#e6e7e8" stroked="f"/>
            <v:line id="_x0000_s2435" style="position:absolute" from="1403,10680" to="2843,10680" strokecolor="#231f20" strokeweight=".5pt"/>
            <v:line id="_x0000_s2434" style="position:absolute" from="1155,1140" to="1155,11308" strokecolor="#231f20">
              <v:stroke dashstyle="3 1"/>
            </v:line>
            <v:line id="_x0000_s2433" style="position:absolute" from="1208,11346" to="7267,11346" strokecolor="#231f20">
              <v:stroke dashstyle="3 1"/>
            </v:line>
            <v:line id="_x0000_s2432" style="position:absolute" from="7304,11293" to="7304,1125" strokecolor="#231f20">
              <v:stroke dashstyle="3 1"/>
            </v:line>
            <v:line id="_x0000_s2431" style="position:absolute" from="7252,1087" to="1193,1087" strokecolor="#231f20">
              <v:stroke dashstyle="3 1"/>
            </v:line>
            <v:shape id="_x0000_s2430" style="position:absolute;top:2724;width:6149;height:10259" coordorigin=",2724" coordsize="6149,10259" o:spt="100" adj="0,,0" path="m1155,11323r,23l1178,11346t6104,l7304,11346r,-23m7304,1110r,-23l7282,1087t-6104,l1155,1087r,23e" filled="f" strokecolor="#231f20">
              <v:stroke joinstyle="round"/>
              <v:formulas/>
              <v:path arrowok="t" o:connecttype="segments"/>
            </v:shape>
            <v:shape id="_x0000_s2429" type="#_x0000_t75" style="position:absolute;left:1873;top:6866;width:4713;height:3069">
              <v:imagedata r:id="rId207" o:title=""/>
            </v:shape>
            <w10:wrap anchorx="page" anchory="page"/>
          </v:group>
        </w:pict>
      </w:r>
    </w:p>
    <w:p w14:paraId="38540B6C" w14:textId="77777777" w:rsidR="002653E8" w:rsidRDefault="003115E3">
      <w:pPr>
        <w:spacing w:before="88"/>
        <w:ind w:left="3419"/>
        <w:rPr>
          <w:rFonts w:ascii="Lucida Sans"/>
          <w:b/>
          <w:sz w:val="24"/>
        </w:rPr>
      </w:pPr>
      <w:bookmarkStart w:id="103" w:name="the_lawyers_"/>
      <w:bookmarkStart w:id="104" w:name="_bookmark34"/>
      <w:bookmarkEnd w:id="103"/>
      <w:bookmarkEnd w:id="104"/>
      <w:r>
        <w:rPr>
          <w:rFonts w:ascii="Lucida Sans"/>
          <w:b/>
          <w:color w:val="231F20"/>
          <w:sz w:val="24"/>
        </w:rPr>
        <w:t>the Lawyers</w:t>
      </w:r>
    </w:p>
    <w:p w14:paraId="0B46EE4D" w14:textId="77777777" w:rsidR="002653E8" w:rsidRDefault="002653E8">
      <w:pPr>
        <w:pStyle w:val="a3"/>
        <w:spacing w:before="1"/>
        <w:rPr>
          <w:rFonts w:ascii="Lucida Sans"/>
          <w:b/>
          <w:sz w:val="24"/>
        </w:rPr>
      </w:pPr>
    </w:p>
    <w:p w14:paraId="3B30BF10" w14:textId="77777777" w:rsidR="002653E8" w:rsidRDefault="003115E3">
      <w:pPr>
        <w:spacing w:line="266" w:lineRule="auto"/>
        <w:ind w:left="1402" w:right="1536"/>
        <w:rPr>
          <w:rFonts w:ascii="Calibri" w:hAnsi="Calibri"/>
          <w:sz w:val="19"/>
        </w:rPr>
      </w:pPr>
      <w:r>
        <w:rPr>
          <w:rFonts w:ascii="Calibri" w:hAnsi="Calibri"/>
          <w:color w:val="231F20"/>
          <w:w w:val="110"/>
          <w:sz w:val="19"/>
        </w:rPr>
        <w:t xml:space="preserve">Hans-Christian Ströbele had helped to found the West Berlin Socialist Lawyers Collective along with Horst Mahler in </w:t>
      </w:r>
      <w:r>
        <w:rPr>
          <w:rFonts w:ascii="Arial" w:hAnsi="Arial"/>
          <w:color w:val="231F20"/>
          <w:w w:val="110"/>
          <w:sz w:val="19"/>
        </w:rPr>
        <w:t>1968</w:t>
      </w:r>
      <w:r>
        <w:rPr>
          <w:rFonts w:ascii="Calibri" w:hAnsi="Calibri"/>
          <w:color w:val="231F20"/>
          <w:w w:val="110"/>
          <w:sz w:val="19"/>
        </w:rPr>
        <w:t>.</w:t>
      </w:r>
      <w:r>
        <w:rPr>
          <w:rFonts w:ascii="Calibri" w:hAnsi="Calibri"/>
          <w:color w:val="231F20"/>
          <w:w w:val="110"/>
          <w:position w:val="6"/>
          <w:sz w:val="11"/>
        </w:rPr>
        <w:t xml:space="preserve">1 </w:t>
      </w:r>
      <w:r>
        <w:rPr>
          <w:rFonts w:ascii="Calibri" w:hAnsi="Calibri"/>
          <w:color w:val="231F20"/>
          <w:w w:val="110"/>
          <w:sz w:val="19"/>
        </w:rPr>
        <w:t xml:space="preserve">He was an SPd member in the early seventies, and, in </w:t>
      </w:r>
      <w:r>
        <w:rPr>
          <w:rFonts w:ascii="Arial" w:hAnsi="Arial"/>
          <w:color w:val="231F20"/>
          <w:w w:val="110"/>
          <w:sz w:val="19"/>
        </w:rPr>
        <w:t>1978</w:t>
      </w:r>
      <w:r>
        <w:rPr>
          <w:rFonts w:ascii="Calibri" w:hAnsi="Calibri"/>
          <w:color w:val="231F20"/>
          <w:w w:val="110"/>
          <w:sz w:val="19"/>
        </w:rPr>
        <w:t xml:space="preserve">, would be a founding member of the Alternative List, a forerunner to the left wing of the Green Party, in which he would also be active as an elected member of the </w:t>
      </w:r>
      <w:r>
        <w:rPr>
          <w:rFonts w:ascii="Lucida Sans" w:hAnsi="Lucida Sans"/>
          <w:i/>
          <w:color w:val="231F20"/>
          <w:w w:val="110"/>
          <w:sz w:val="19"/>
        </w:rPr>
        <w:t xml:space="preserve">Bundestag </w:t>
      </w:r>
      <w:r>
        <w:rPr>
          <w:rFonts w:ascii="Calibri" w:hAnsi="Calibri"/>
          <w:color w:val="231F20"/>
          <w:w w:val="110"/>
          <w:sz w:val="19"/>
        </w:rPr>
        <w:t xml:space="preserve">from </w:t>
      </w:r>
      <w:r>
        <w:rPr>
          <w:rFonts w:ascii="Arial" w:hAnsi="Arial"/>
          <w:color w:val="231F20"/>
          <w:w w:val="110"/>
          <w:sz w:val="19"/>
        </w:rPr>
        <w:t xml:space="preserve">1985 </w:t>
      </w:r>
      <w:r>
        <w:rPr>
          <w:rFonts w:ascii="Calibri" w:hAnsi="Calibri"/>
          <w:color w:val="231F20"/>
          <w:w w:val="110"/>
          <w:sz w:val="19"/>
        </w:rPr>
        <w:t xml:space="preserve">to </w:t>
      </w:r>
      <w:r>
        <w:rPr>
          <w:rFonts w:ascii="Arial" w:hAnsi="Arial"/>
          <w:color w:val="231F20"/>
          <w:w w:val="110"/>
          <w:sz w:val="19"/>
        </w:rPr>
        <w:t xml:space="preserve">1987 </w:t>
      </w:r>
      <w:r>
        <w:rPr>
          <w:rFonts w:ascii="Calibri" w:hAnsi="Calibri"/>
          <w:color w:val="231F20"/>
          <w:w w:val="110"/>
          <w:sz w:val="19"/>
        </w:rPr>
        <w:t xml:space="preserve">and again from </w:t>
      </w:r>
      <w:r>
        <w:rPr>
          <w:rFonts w:ascii="Arial" w:hAnsi="Arial"/>
          <w:color w:val="231F20"/>
          <w:w w:val="110"/>
          <w:sz w:val="19"/>
        </w:rPr>
        <w:t xml:space="preserve">1992 </w:t>
      </w:r>
      <w:r>
        <w:rPr>
          <w:rFonts w:ascii="Calibri" w:hAnsi="Calibri"/>
          <w:color w:val="231F20"/>
          <w:w w:val="110"/>
          <w:sz w:val="19"/>
        </w:rPr>
        <w:t>on.</w:t>
      </w:r>
    </w:p>
    <w:p w14:paraId="581EA067" w14:textId="77777777" w:rsidR="002653E8" w:rsidRDefault="003115E3">
      <w:pPr>
        <w:spacing w:line="264" w:lineRule="auto"/>
        <w:ind w:left="1402" w:right="1595" w:firstLine="210"/>
        <w:rPr>
          <w:rFonts w:ascii="Calibri" w:hAnsi="Calibri"/>
          <w:sz w:val="19"/>
        </w:rPr>
      </w:pPr>
      <w:r>
        <w:rPr>
          <w:rFonts w:ascii="Calibri" w:hAnsi="Calibri"/>
          <w:color w:val="231F20"/>
          <w:w w:val="110"/>
          <w:sz w:val="19"/>
        </w:rPr>
        <w:t xml:space="preserve">klaus Croissant was a member of the Stuttgart Socialist   Lawyers Collective; he had been under surveillance by the state from at least May </w:t>
      </w:r>
      <w:r>
        <w:rPr>
          <w:rFonts w:ascii="Arial" w:hAnsi="Arial"/>
          <w:color w:val="231F20"/>
          <w:spacing w:val="-5"/>
          <w:w w:val="110"/>
          <w:sz w:val="19"/>
        </w:rPr>
        <w:t>1972</w:t>
      </w:r>
      <w:r>
        <w:rPr>
          <w:rFonts w:ascii="Calibri" w:hAnsi="Calibri"/>
          <w:color w:val="231F20"/>
          <w:spacing w:val="-5"/>
          <w:w w:val="110"/>
          <w:sz w:val="19"/>
        </w:rPr>
        <w:t xml:space="preserve">, </w:t>
      </w:r>
      <w:r>
        <w:rPr>
          <w:rFonts w:ascii="Calibri" w:hAnsi="Calibri"/>
          <w:color w:val="231F20"/>
          <w:w w:val="110"/>
          <w:sz w:val="19"/>
        </w:rPr>
        <w:t xml:space="preserve">suspected of having himself located safehouses for the </w:t>
      </w:r>
      <w:r w:rsidR="00C507A5">
        <w:rPr>
          <w:rFonts w:ascii="Calibri" w:hAnsi="Calibri"/>
          <w:color w:val="231F20"/>
          <w:w w:val="110"/>
          <w:sz w:val="19"/>
        </w:rPr>
        <w:t>red army faction</w:t>
      </w:r>
      <w:r>
        <w:rPr>
          <w:rFonts w:ascii="Calibri" w:hAnsi="Calibri"/>
          <w:color w:val="231F20"/>
          <w:w w:val="110"/>
          <w:sz w:val="19"/>
        </w:rPr>
        <w:t>.</w:t>
      </w:r>
      <w:r>
        <w:rPr>
          <w:rFonts w:ascii="Calibri" w:hAnsi="Calibri"/>
          <w:color w:val="231F20"/>
          <w:w w:val="110"/>
          <w:position w:val="6"/>
          <w:sz w:val="11"/>
        </w:rPr>
        <w:t xml:space="preserve">2 </w:t>
      </w:r>
      <w:r>
        <w:rPr>
          <w:rFonts w:ascii="Calibri" w:hAnsi="Calibri"/>
          <w:color w:val="231F20"/>
          <w:w w:val="110"/>
          <w:sz w:val="19"/>
        </w:rPr>
        <w:t xml:space="preserve">Over the years, he became one of the prisoners’ most ardent and notorious advocates—disgusted at what he saw of West German “justice,” he would eventually begin working with the East German </w:t>
      </w:r>
      <w:r>
        <w:rPr>
          <w:rFonts w:ascii="Lucida Sans" w:hAnsi="Lucida Sans"/>
          <w:i/>
          <w:color w:val="231F20"/>
          <w:w w:val="110"/>
          <w:sz w:val="19"/>
        </w:rPr>
        <w:t xml:space="preserve">Stasi </w:t>
      </w:r>
      <w:r>
        <w:rPr>
          <w:rFonts w:ascii="Calibri" w:hAnsi="Calibri"/>
          <w:color w:val="231F20"/>
          <w:w w:val="110"/>
          <w:sz w:val="19"/>
        </w:rPr>
        <w:t xml:space="preserve">in the </w:t>
      </w:r>
      <w:r>
        <w:rPr>
          <w:rFonts w:ascii="Arial" w:hAnsi="Arial"/>
          <w:color w:val="231F20"/>
          <w:w w:val="110"/>
          <w:sz w:val="19"/>
        </w:rPr>
        <w:t>1980</w:t>
      </w:r>
      <w:r>
        <w:rPr>
          <w:rFonts w:ascii="Calibri" w:hAnsi="Calibri"/>
          <w:color w:val="231F20"/>
          <w:w w:val="110"/>
          <w:sz w:val="19"/>
        </w:rPr>
        <w:t>s. He would unsuccessfully run for mayor of Berlin-kreuzberg on the Alternative</w:t>
      </w:r>
      <w:r>
        <w:rPr>
          <w:rFonts w:ascii="Calibri" w:hAnsi="Calibri"/>
          <w:color w:val="231F20"/>
          <w:spacing w:val="-27"/>
          <w:w w:val="110"/>
          <w:sz w:val="19"/>
        </w:rPr>
        <w:t xml:space="preserve"> </w:t>
      </w:r>
      <w:r>
        <w:rPr>
          <w:rFonts w:ascii="Calibri" w:hAnsi="Calibri"/>
          <w:color w:val="231F20"/>
          <w:w w:val="110"/>
          <w:sz w:val="19"/>
        </w:rPr>
        <w:t>List</w:t>
      </w:r>
      <w:r>
        <w:rPr>
          <w:rFonts w:ascii="Calibri" w:hAnsi="Calibri"/>
          <w:color w:val="231F20"/>
          <w:spacing w:val="-27"/>
          <w:w w:val="110"/>
          <w:sz w:val="19"/>
        </w:rPr>
        <w:t xml:space="preserve"> </w:t>
      </w:r>
      <w:r>
        <w:rPr>
          <w:rFonts w:ascii="Calibri" w:hAnsi="Calibri"/>
          <w:color w:val="231F20"/>
          <w:w w:val="110"/>
          <w:sz w:val="19"/>
        </w:rPr>
        <w:t>ticket,</w:t>
      </w:r>
      <w:r>
        <w:rPr>
          <w:rFonts w:ascii="Calibri" w:hAnsi="Calibri"/>
          <w:color w:val="231F20"/>
          <w:spacing w:val="-27"/>
          <w:w w:val="110"/>
          <w:sz w:val="19"/>
        </w:rPr>
        <w:t xml:space="preserve"> </w:t>
      </w:r>
      <w:r>
        <w:rPr>
          <w:rFonts w:ascii="Calibri" w:hAnsi="Calibri"/>
          <w:color w:val="231F20"/>
          <w:w w:val="110"/>
          <w:sz w:val="19"/>
        </w:rPr>
        <w:t>before</w:t>
      </w:r>
      <w:r>
        <w:rPr>
          <w:rFonts w:ascii="Calibri" w:hAnsi="Calibri"/>
          <w:color w:val="231F20"/>
          <w:spacing w:val="-27"/>
          <w:w w:val="110"/>
          <w:sz w:val="19"/>
        </w:rPr>
        <w:t xml:space="preserve"> </w:t>
      </w:r>
      <w:r>
        <w:rPr>
          <w:rFonts w:ascii="Calibri" w:hAnsi="Calibri"/>
          <w:color w:val="231F20"/>
          <w:w w:val="110"/>
          <w:sz w:val="19"/>
        </w:rPr>
        <w:t>joining</w:t>
      </w:r>
      <w:r>
        <w:rPr>
          <w:rFonts w:ascii="Calibri" w:hAnsi="Calibri"/>
          <w:color w:val="231F20"/>
          <w:spacing w:val="-27"/>
          <w:w w:val="110"/>
          <w:sz w:val="19"/>
        </w:rPr>
        <w:t xml:space="preserve"> </w:t>
      </w:r>
      <w:r>
        <w:rPr>
          <w:rFonts w:ascii="Calibri" w:hAnsi="Calibri"/>
          <w:color w:val="231F20"/>
          <w:w w:val="110"/>
          <w:sz w:val="19"/>
        </w:rPr>
        <w:t>the</w:t>
      </w:r>
      <w:r>
        <w:rPr>
          <w:rFonts w:ascii="Calibri" w:hAnsi="Calibri"/>
          <w:color w:val="231F20"/>
          <w:spacing w:val="-27"/>
          <w:w w:val="110"/>
          <w:sz w:val="19"/>
        </w:rPr>
        <w:t xml:space="preserve"> </w:t>
      </w:r>
      <w:r>
        <w:rPr>
          <w:rFonts w:ascii="Lucida Sans" w:hAnsi="Lucida Sans"/>
          <w:i/>
          <w:color w:val="231F20"/>
          <w:w w:val="110"/>
          <w:sz w:val="19"/>
        </w:rPr>
        <w:t>partei</w:t>
      </w:r>
      <w:r>
        <w:rPr>
          <w:rFonts w:ascii="Lucida Sans" w:hAnsi="Lucida Sans"/>
          <w:i/>
          <w:color w:val="231F20"/>
          <w:spacing w:val="-45"/>
          <w:w w:val="110"/>
          <w:sz w:val="19"/>
        </w:rPr>
        <w:t xml:space="preserve"> </w:t>
      </w:r>
      <w:r>
        <w:rPr>
          <w:rFonts w:ascii="Lucida Sans" w:hAnsi="Lucida Sans"/>
          <w:i/>
          <w:color w:val="231F20"/>
          <w:w w:val="110"/>
          <w:sz w:val="19"/>
        </w:rPr>
        <w:t>des</w:t>
      </w:r>
      <w:r>
        <w:rPr>
          <w:rFonts w:ascii="Lucida Sans" w:hAnsi="Lucida Sans"/>
          <w:i/>
          <w:color w:val="231F20"/>
          <w:spacing w:val="-45"/>
          <w:w w:val="110"/>
          <w:sz w:val="19"/>
        </w:rPr>
        <w:t xml:space="preserve"> </w:t>
      </w:r>
      <w:r>
        <w:rPr>
          <w:rFonts w:ascii="Lucida Sans" w:hAnsi="Lucida Sans"/>
          <w:i/>
          <w:color w:val="231F20"/>
          <w:w w:val="110"/>
          <w:sz w:val="19"/>
        </w:rPr>
        <w:t xml:space="preserve">Demokratischen Sozialismus </w:t>
      </w:r>
      <w:r>
        <w:rPr>
          <w:rFonts w:ascii="Calibri" w:hAnsi="Calibri"/>
          <w:color w:val="231F20"/>
          <w:spacing w:val="1"/>
          <w:w w:val="110"/>
          <w:sz w:val="19"/>
        </w:rPr>
        <w:t xml:space="preserve">(Party </w:t>
      </w:r>
      <w:r>
        <w:rPr>
          <w:rFonts w:ascii="Calibri" w:hAnsi="Calibri"/>
          <w:color w:val="231F20"/>
          <w:w w:val="110"/>
          <w:sz w:val="19"/>
        </w:rPr>
        <w:t xml:space="preserve">of democratic Socialism)—the successor to East Germany’s </w:t>
      </w:r>
      <w:r>
        <w:rPr>
          <w:rFonts w:ascii="Calibri" w:hAnsi="Calibri"/>
          <w:color w:val="231F20"/>
          <w:spacing w:val="1"/>
          <w:w w:val="110"/>
          <w:sz w:val="19"/>
        </w:rPr>
        <w:t>SEd—in</w:t>
      </w:r>
      <w:r>
        <w:rPr>
          <w:rFonts w:ascii="Calibri" w:hAnsi="Calibri"/>
          <w:color w:val="231F20"/>
          <w:spacing w:val="15"/>
          <w:w w:val="110"/>
          <w:sz w:val="19"/>
        </w:rPr>
        <w:t xml:space="preserve"> </w:t>
      </w:r>
      <w:r>
        <w:rPr>
          <w:rFonts w:ascii="Arial" w:hAnsi="Arial"/>
          <w:color w:val="231F20"/>
          <w:spacing w:val="-3"/>
          <w:w w:val="110"/>
          <w:sz w:val="19"/>
        </w:rPr>
        <w:t>1990</w:t>
      </w:r>
      <w:r>
        <w:rPr>
          <w:rFonts w:ascii="Calibri" w:hAnsi="Calibri"/>
          <w:color w:val="231F20"/>
          <w:spacing w:val="-3"/>
          <w:w w:val="110"/>
          <w:sz w:val="19"/>
        </w:rPr>
        <w:t>.</w:t>
      </w:r>
    </w:p>
    <w:p w14:paraId="29FC7639" w14:textId="77777777" w:rsidR="002653E8" w:rsidRDefault="002653E8">
      <w:pPr>
        <w:pStyle w:val="a3"/>
        <w:rPr>
          <w:rFonts w:ascii="Calibri"/>
        </w:rPr>
      </w:pPr>
    </w:p>
    <w:p w14:paraId="55502446" w14:textId="77777777" w:rsidR="002653E8" w:rsidRDefault="002653E8">
      <w:pPr>
        <w:pStyle w:val="a3"/>
        <w:rPr>
          <w:rFonts w:ascii="Calibri"/>
        </w:rPr>
      </w:pPr>
    </w:p>
    <w:p w14:paraId="7E8C7AC6" w14:textId="77777777" w:rsidR="002653E8" w:rsidRDefault="002653E8">
      <w:pPr>
        <w:pStyle w:val="a3"/>
        <w:rPr>
          <w:rFonts w:ascii="Calibri"/>
        </w:rPr>
      </w:pPr>
    </w:p>
    <w:p w14:paraId="6E4F0CF7" w14:textId="77777777" w:rsidR="002653E8" w:rsidRDefault="002653E8">
      <w:pPr>
        <w:pStyle w:val="a3"/>
        <w:rPr>
          <w:rFonts w:ascii="Calibri"/>
        </w:rPr>
      </w:pPr>
    </w:p>
    <w:p w14:paraId="69B1567D" w14:textId="77777777" w:rsidR="002653E8" w:rsidRDefault="002653E8">
      <w:pPr>
        <w:pStyle w:val="a3"/>
        <w:rPr>
          <w:rFonts w:ascii="Calibri"/>
        </w:rPr>
      </w:pPr>
    </w:p>
    <w:p w14:paraId="534FF5DD" w14:textId="77777777" w:rsidR="002653E8" w:rsidRDefault="002653E8">
      <w:pPr>
        <w:pStyle w:val="a3"/>
        <w:rPr>
          <w:rFonts w:ascii="Calibri"/>
        </w:rPr>
      </w:pPr>
    </w:p>
    <w:p w14:paraId="3D98142C" w14:textId="77777777" w:rsidR="002653E8" w:rsidRDefault="002653E8">
      <w:pPr>
        <w:pStyle w:val="a3"/>
        <w:rPr>
          <w:rFonts w:ascii="Calibri"/>
        </w:rPr>
      </w:pPr>
    </w:p>
    <w:p w14:paraId="0E4AC39D" w14:textId="77777777" w:rsidR="002653E8" w:rsidRDefault="002653E8">
      <w:pPr>
        <w:pStyle w:val="a3"/>
        <w:rPr>
          <w:rFonts w:ascii="Calibri"/>
        </w:rPr>
      </w:pPr>
    </w:p>
    <w:p w14:paraId="653F1987" w14:textId="77777777" w:rsidR="002653E8" w:rsidRDefault="002653E8">
      <w:pPr>
        <w:pStyle w:val="a3"/>
        <w:rPr>
          <w:rFonts w:ascii="Calibri"/>
        </w:rPr>
      </w:pPr>
    </w:p>
    <w:p w14:paraId="40C3326D" w14:textId="77777777" w:rsidR="002653E8" w:rsidRDefault="002653E8">
      <w:pPr>
        <w:pStyle w:val="a3"/>
        <w:rPr>
          <w:rFonts w:ascii="Calibri"/>
        </w:rPr>
      </w:pPr>
    </w:p>
    <w:p w14:paraId="1B724608" w14:textId="77777777" w:rsidR="002653E8" w:rsidRDefault="002653E8">
      <w:pPr>
        <w:pStyle w:val="a3"/>
        <w:rPr>
          <w:rFonts w:ascii="Calibri"/>
        </w:rPr>
      </w:pPr>
    </w:p>
    <w:p w14:paraId="09F570DC" w14:textId="77777777" w:rsidR="002653E8" w:rsidRDefault="002653E8">
      <w:pPr>
        <w:pStyle w:val="a3"/>
        <w:rPr>
          <w:rFonts w:ascii="Calibri"/>
        </w:rPr>
      </w:pPr>
    </w:p>
    <w:p w14:paraId="27F75422" w14:textId="77777777" w:rsidR="002653E8" w:rsidRDefault="002653E8">
      <w:pPr>
        <w:pStyle w:val="a3"/>
        <w:rPr>
          <w:rFonts w:ascii="Calibri"/>
        </w:rPr>
      </w:pPr>
    </w:p>
    <w:p w14:paraId="56635645" w14:textId="77777777" w:rsidR="002653E8" w:rsidRDefault="002653E8">
      <w:pPr>
        <w:pStyle w:val="a3"/>
        <w:spacing w:before="11"/>
        <w:rPr>
          <w:rFonts w:ascii="Calibri"/>
          <w:sz w:val="21"/>
        </w:rPr>
      </w:pPr>
    </w:p>
    <w:p w14:paraId="3BF17E91" w14:textId="77777777" w:rsidR="002653E8" w:rsidRDefault="003115E3">
      <w:pPr>
        <w:spacing w:line="244" w:lineRule="auto"/>
        <w:ind w:left="2055" w:right="2233" w:firstLine="460"/>
        <w:rPr>
          <w:i/>
          <w:sz w:val="18"/>
        </w:rPr>
      </w:pPr>
      <w:r>
        <w:rPr>
          <w:i/>
          <w:color w:val="231F20"/>
          <w:w w:val="105"/>
          <w:sz w:val="18"/>
        </w:rPr>
        <w:t>Lawyers Klaus Croissant, Otto Schily, and Hans-Christian Ströbele at a press conference in 1974.</w:t>
      </w:r>
    </w:p>
    <w:p w14:paraId="3A9150ED" w14:textId="77777777" w:rsidR="002653E8" w:rsidRDefault="002653E8">
      <w:pPr>
        <w:pStyle w:val="a3"/>
        <w:spacing w:before="10"/>
        <w:rPr>
          <w:i/>
        </w:rPr>
      </w:pPr>
    </w:p>
    <w:p w14:paraId="73DA5C2D" w14:textId="77777777" w:rsidR="002653E8" w:rsidRDefault="003115E3">
      <w:pPr>
        <w:spacing w:before="105"/>
        <w:ind w:left="1402"/>
        <w:rPr>
          <w:sz w:val="16"/>
        </w:rPr>
      </w:pPr>
      <w:r>
        <w:rPr>
          <w:color w:val="231F20"/>
          <w:w w:val="110"/>
          <w:position w:val="6"/>
          <w:sz w:val="9"/>
        </w:rPr>
        <w:t xml:space="preserve">1 </w:t>
      </w:r>
      <w:r>
        <w:rPr>
          <w:color w:val="231F20"/>
          <w:w w:val="110"/>
          <w:sz w:val="16"/>
        </w:rPr>
        <w:t>Aust, 66.</w:t>
      </w:r>
    </w:p>
    <w:p w14:paraId="1B0F2083" w14:textId="77777777" w:rsidR="002653E8" w:rsidRDefault="003115E3">
      <w:pPr>
        <w:spacing w:before="52"/>
        <w:ind w:left="1402"/>
        <w:rPr>
          <w:sz w:val="16"/>
        </w:rPr>
      </w:pPr>
      <w:r>
        <w:rPr>
          <w:color w:val="231F20"/>
          <w:w w:val="110"/>
          <w:position w:val="6"/>
          <w:sz w:val="9"/>
        </w:rPr>
        <w:t xml:space="preserve">2 </w:t>
      </w:r>
      <w:r>
        <w:rPr>
          <w:color w:val="231F20"/>
          <w:w w:val="110"/>
          <w:sz w:val="16"/>
        </w:rPr>
        <w:t>Aust, 207; Becker, 306.</w:t>
      </w:r>
    </w:p>
    <w:p w14:paraId="2E5F064D" w14:textId="77777777" w:rsidR="002653E8" w:rsidRDefault="002653E8">
      <w:pPr>
        <w:rPr>
          <w:sz w:val="16"/>
        </w:rPr>
        <w:sectPr w:rsidR="002653E8">
          <w:pgSz w:w="8640" w:h="12960"/>
          <w:pgMar w:top="1080" w:right="0" w:bottom="1040" w:left="0" w:header="0" w:footer="850" w:gutter="0"/>
          <w:cols w:space="720"/>
        </w:sectPr>
      </w:pPr>
    </w:p>
    <w:p w14:paraId="0E81811B" w14:textId="77777777" w:rsidR="002653E8" w:rsidRDefault="00000000">
      <w:pPr>
        <w:pStyle w:val="a3"/>
        <w:spacing w:before="4"/>
      </w:pPr>
      <w:r>
        <w:rPr>
          <w:noProof w:val="0"/>
        </w:rPr>
        <w:lastRenderedPageBreak/>
        <w:pict w14:anchorId="385FBF08">
          <v:group id="_x0000_s2420" style="position:absolute;margin-left:66.4pt;margin-top:54pt;width:308.25pt;height:513.7pt;z-index:-458392;mso-position-horizontal-relative:page;mso-position-vertical-relative:page" coordorigin="1328,1080" coordsize="6165,10274">
            <v:rect id="_x0000_s2427" style="position:absolute;left:1327;top:1080;width:6164;height:10274" fillcolor="#e6e7e8" stroked="f"/>
            <v:line id="_x0000_s2426" style="position:absolute" from="1583,10242" to="3023,10242" strokecolor="#231f20" strokeweight=".5pt"/>
            <v:line id="_x0000_s2425" style="position:absolute" from="1335,1140" to="1335,11308" strokecolor="#231f20">
              <v:stroke dashstyle="3 1"/>
            </v:line>
            <v:line id="_x0000_s2424" style="position:absolute" from="1388,11346" to="7447,11346" strokecolor="#231f20">
              <v:stroke dashstyle="3 1"/>
            </v:line>
            <v:line id="_x0000_s2423" style="position:absolute" from="7484,11293" to="7484,1125" strokecolor="#231f20">
              <v:stroke dashstyle="3 1"/>
            </v:line>
            <v:line id="_x0000_s2422" style="position:absolute" from="7432,1087" to="1373,1087" strokecolor="#231f20">
              <v:stroke dashstyle="3 1"/>
            </v:line>
            <v:shape id="_x0000_s2421" style="position:absolute;top:2724;width:6149;height:10259" coordorigin=",2724" coordsize="6149,10259" o:spt="100" adj="0,,0" path="m1335,11323r,23l1358,11346t6104,l7484,11346r,-23m7484,1110r,-23l7462,1087t-6104,l1335,1087r,23e" filled="f" strokecolor="#231f20">
              <v:stroke joinstyle="round"/>
              <v:formulas/>
              <v:path arrowok="t" o:connecttype="segments"/>
            </v:shape>
            <w10:wrap anchorx="page" anchory="page"/>
          </v:group>
        </w:pict>
      </w:r>
    </w:p>
    <w:p w14:paraId="1942A714" w14:textId="77777777" w:rsidR="002653E8" w:rsidRDefault="003115E3">
      <w:pPr>
        <w:spacing w:before="94" w:line="266" w:lineRule="auto"/>
        <w:ind w:left="1582" w:right="1145" w:firstLine="210"/>
        <w:rPr>
          <w:rFonts w:ascii="Calibri"/>
          <w:sz w:val="19"/>
        </w:rPr>
      </w:pPr>
      <w:r>
        <w:rPr>
          <w:rFonts w:ascii="Calibri"/>
          <w:color w:val="231F20"/>
          <w:w w:val="110"/>
          <w:sz w:val="19"/>
        </w:rPr>
        <w:t>Otto Schily was a committed civil libertarian, deeply concerned about the rule of law. He had befriended Rudi dutschke while studying in West Berlin, and had been active in circles around</w:t>
      </w:r>
    </w:p>
    <w:p w14:paraId="2D105B92" w14:textId="77777777" w:rsidR="002653E8" w:rsidRDefault="003115E3">
      <w:pPr>
        <w:spacing w:line="266" w:lineRule="auto"/>
        <w:ind w:left="1582" w:right="1572"/>
        <w:rPr>
          <w:rFonts w:ascii="Calibri" w:hAnsi="Calibri"/>
          <w:sz w:val="19"/>
        </w:rPr>
      </w:pPr>
      <w:r>
        <w:rPr>
          <w:rFonts w:ascii="Calibri" w:hAnsi="Calibri"/>
          <w:color w:val="231F20"/>
          <w:w w:val="110"/>
          <w:sz w:val="19"/>
        </w:rPr>
        <w:t>the SdS.</w:t>
      </w:r>
      <w:r>
        <w:rPr>
          <w:rFonts w:ascii="Calibri" w:hAnsi="Calibri"/>
          <w:color w:val="231F20"/>
          <w:w w:val="110"/>
          <w:position w:val="6"/>
          <w:sz w:val="11"/>
        </w:rPr>
        <w:t xml:space="preserve">3 </w:t>
      </w:r>
      <w:r>
        <w:rPr>
          <w:rFonts w:ascii="Calibri" w:hAnsi="Calibri"/>
          <w:color w:val="231F20"/>
          <w:w w:val="110"/>
          <w:sz w:val="19"/>
        </w:rPr>
        <w:t xml:space="preserve">Probably the only one of the lawyers to take pride in referring to himself as “bourgeois,” Schily would join Ströbele   in the Green </w:t>
      </w:r>
      <w:r>
        <w:rPr>
          <w:rFonts w:ascii="Calibri" w:hAnsi="Calibri"/>
          <w:color w:val="231F20"/>
          <w:spacing w:val="2"/>
          <w:w w:val="110"/>
          <w:sz w:val="19"/>
        </w:rPr>
        <w:t xml:space="preserve">Party </w:t>
      </w:r>
      <w:r>
        <w:rPr>
          <w:rFonts w:ascii="Calibri" w:hAnsi="Calibri"/>
          <w:color w:val="231F20"/>
          <w:w w:val="110"/>
          <w:sz w:val="19"/>
        </w:rPr>
        <w:t xml:space="preserve">in the </w:t>
      </w:r>
      <w:r>
        <w:rPr>
          <w:rFonts w:ascii="Arial" w:hAnsi="Arial"/>
          <w:color w:val="231F20"/>
          <w:w w:val="110"/>
          <w:sz w:val="19"/>
        </w:rPr>
        <w:t>1980</w:t>
      </w:r>
      <w:r>
        <w:rPr>
          <w:rFonts w:ascii="Calibri" w:hAnsi="Calibri"/>
          <w:color w:val="231F20"/>
          <w:w w:val="110"/>
          <w:sz w:val="19"/>
        </w:rPr>
        <w:t xml:space="preserve">s, before crossing over to the Social democrats in </w:t>
      </w:r>
      <w:r>
        <w:rPr>
          <w:rFonts w:ascii="Arial" w:hAnsi="Arial"/>
          <w:color w:val="231F20"/>
          <w:spacing w:val="-6"/>
          <w:w w:val="110"/>
          <w:sz w:val="19"/>
        </w:rPr>
        <w:t>1989</w:t>
      </w:r>
      <w:r>
        <w:rPr>
          <w:rFonts w:ascii="Calibri" w:hAnsi="Calibri"/>
          <w:color w:val="231F20"/>
          <w:spacing w:val="-6"/>
          <w:w w:val="110"/>
          <w:sz w:val="19"/>
        </w:rPr>
        <w:t xml:space="preserve">. </w:t>
      </w:r>
      <w:r>
        <w:rPr>
          <w:rFonts w:ascii="Calibri" w:hAnsi="Calibri"/>
          <w:color w:val="231F20"/>
          <w:w w:val="110"/>
          <w:sz w:val="19"/>
        </w:rPr>
        <w:t xml:space="preserve">In </w:t>
      </w:r>
      <w:r>
        <w:rPr>
          <w:rFonts w:ascii="Arial" w:hAnsi="Arial"/>
          <w:color w:val="231F20"/>
          <w:spacing w:val="-3"/>
          <w:w w:val="110"/>
          <w:sz w:val="19"/>
        </w:rPr>
        <w:t>1998</w:t>
      </w:r>
      <w:r>
        <w:rPr>
          <w:rFonts w:ascii="Calibri" w:hAnsi="Calibri"/>
          <w:color w:val="231F20"/>
          <w:spacing w:val="-3"/>
          <w:w w:val="110"/>
          <w:sz w:val="19"/>
        </w:rPr>
        <w:t xml:space="preserve">, </w:t>
      </w:r>
      <w:r>
        <w:rPr>
          <w:rFonts w:ascii="Calibri" w:hAnsi="Calibri"/>
          <w:color w:val="231F20"/>
          <w:w w:val="110"/>
          <w:sz w:val="19"/>
        </w:rPr>
        <w:t xml:space="preserve">years after he had left our story, Schily was appointed Minister of the Interior, the former civil libertarian now in charge of domestic repression. </w:t>
      </w:r>
      <w:r>
        <w:rPr>
          <w:rFonts w:ascii="Calibri" w:hAnsi="Calibri"/>
          <w:color w:val="231F20"/>
          <w:spacing w:val="1"/>
          <w:w w:val="110"/>
          <w:sz w:val="19"/>
        </w:rPr>
        <w:t xml:space="preserve">As </w:t>
      </w:r>
      <w:r>
        <w:rPr>
          <w:rFonts w:ascii="Calibri" w:hAnsi="Calibri"/>
          <w:color w:val="231F20"/>
          <w:w w:val="110"/>
          <w:sz w:val="19"/>
        </w:rPr>
        <w:t xml:space="preserve">such, he was personally responsible for the highly repressive “antiterrorist” legislation that was passed in the FRG in the wake of September </w:t>
      </w:r>
      <w:r>
        <w:rPr>
          <w:rFonts w:ascii="Arial" w:hAnsi="Arial"/>
          <w:color w:val="231F20"/>
          <w:spacing w:val="-11"/>
          <w:w w:val="110"/>
          <w:sz w:val="19"/>
        </w:rPr>
        <w:t>11</w:t>
      </w:r>
      <w:r>
        <w:rPr>
          <w:rFonts w:ascii="Calibri" w:hAnsi="Calibri"/>
          <w:color w:val="231F20"/>
          <w:spacing w:val="-11"/>
          <w:w w:val="110"/>
          <w:sz w:val="19"/>
        </w:rPr>
        <w:t xml:space="preserve">, </w:t>
      </w:r>
      <w:r>
        <w:rPr>
          <w:rFonts w:ascii="Arial" w:hAnsi="Arial"/>
          <w:color w:val="231F20"/>
          <w:spacing w:val="-3"/>
          <w:w w:val="110"/>
          <w:sz w:val="19"/>
        </w:rPr>
        <w:t>2001</w:t>
      </w:r>
      <w:r>
        <w:rPr>
          <w:rFonts w:ascii="Calibri" w:hAnsi="Calibri"/>
          <w:color w:val="231F20"/>
          <w:spacing w:val="-3"/>
          <w:w w:val="110"/>
          <w:sz w:val="19"/>
        </w:rPr>
        <w:t>.</w:t>
      </w:r>
      <w:r>
        <w:rPr>
          <w:rFonts w:ascii="Calibri" w:hAnsi="Calibri"/>
          <w:color w:val="231F20"/>
          <w:spacing w:val="-3"/>
          <w:w w:val="110"/>
          <w:position w:val="6"/>
          <w:sz w:val="11"/>
        </w:rPr>
        <w:t xml:space="preserve">4 </w:t>
      </w:r>
      <w:r>
        <w:rPr>
          <w:rFonts w:ascii="Calibri" w:hAnsi="Calibri"/>
          <w:color w:val="231F20"/>
          <w:w w:val="110"/>
          <w:sz w:val="19"/>
        </w:rPr>
        <w:t xml:space="preserve">The legislation earned him a “Big Brother </w:t>
      </w:r>
      <w:r>
        <w:rPr>
          <w:rFonts w:ascii="Calibri" w:hAnsi="Calibri"/>
          <w:color w:val="231F20"/>
          <w:spacing w:val="-4"/>
          <w:w w:val="110"/>
          <w:sz w:val="19"/>
        </w:rPr>
        <w:t xml:space="preserve">Award”, </w:t>
      </w:r>
      <w:r>
        <w:rPr>
          <w:rFonts w:ascii="Calibri" w:hAnsi="Calibri"/>
          <w:color w:val="231F20"/>
          <w:w w:val="110"/>
          <w:sz w:val="19"/>
        </w:rPr>
        <w:t>a negative prize presented to those who excel in rolling back civil</w:t>
      </w:r>
      <w:r>
        <w:rPr>
          <w:rFonts w:ascii="Calibri" w:hAnsi="Calibri"/>
          <w:color w:val="231F20"/>
          <w:spacing w:val="8"/>
          <w:w w:val="110"/>
          <w:sz w:val="19"/>
        </w:rPr>
        <w:t xml:space="preserve"> </w:t>
      </w:r>
      <w:r>
        <w:rPr>
          <w:rFonts w:ascii="Calibri" w:hAnsi="Calibri"/>
          <w:color w:val="231F20"/>
          <w:w w:val="110"/>
          <w:sz w:val="19"/>
        </w:rPr>
        <w:t>liberties.</w:t>
      </w:r>
    </w:p>
    <w:p w14:paraId="6795B772" w14:textId="77777777" w:rsidR="002653E8" w:rsidRDefault="003115E3">
      <w:pPr>
        <w:spacing w:line="266" w:lineRule="auto"/>
        <w:ind w:left="1583" w:right="1479" w:firstLine="209"/>
        <w:rPr>
          <w:rFonts w:ascii="Calibri" w:hAnsi="Calibri"/>
          <w:sz w:val="19"/>
        </w:rPr>
      </w:pPr>
      <w:r>
        <w:rPr>
          <w:rFonts w:ascii="Calibri" w:hAnsi="Calibri"/>
          <w:color w:val="231F20"/>
          <w:w w:val="110"/>
          <w:sz w:val="19"/>
        </w:rPr>
        <w:t>Siegfried Haag was a court-appointed attorney. While he had not been prominent in the APO or the political left previously, he was so moved by the prisoners’ plight that he would eventually make their struggle his own.</w:t>
      </w:r>
    </w:p>
    <w:p w14:paraId="75AB6E39" w14:textId="77777777" w:rsidR="002653E8" w:rsidRDefault="003115E3">
      <w:pPr>
        <w:spacing w:line="266" w:lineRule="auto"/>
        <w:ind w:left="1582" w:right="1513" w:firstLine="210"/>
        <w:rPr>
          <w:rFonts w:ascii="Calibri" w:hAnsi="Calibri"/>
          <w:sz w:val="19"/>
        </w:rPr>
      </w:pPr>
      <w:r>
        <w:rPr>
          <w:rFonts w:ascii="Calibri" w:hAnsi="Calibri"/>
          <w:color w:val="231F20"/>
          <w:spacing w:val="1"/>
          <w:w w:val="105"/>
          <w:sz w:val="19"/>
        </w:rPr>
        <w:t xml:space="preserve">kurt </w:t>
      </w:r>
      <w:r>
        <w:rPr>
          <w:rFonts w:ascii="Calibri" w:hAnsi="Calibri"/>
          <w:color w:val="231F20"/>
          <w:w w:val="105"/>
          <w:sz w:val="19"/>
        </w:rPr>
        <w:t xml:space="preserve">Groenewold, the son of a wealthy </w:t>
      </w:r>
      <w:r>
        <w:rPr>
          <w:rFonts w:ascii="Calibri" w:hAnsi="Calibri"/>
          <w:color w:val="231F20"/>
          <w:spacing w:val="1"/>
          <w:w w:val="105"/>
          <w:sz w:val="19"/>
        </w:rPr>
        <w:t xml:space="preserve">property </w:t>
      </w:r>
      <w:r>
        <w:rPr>
          <w:rFonts w:ascii="Calibri" w:hAnsi="Calibri"/>
          <w:color w:val="231F20"/>
          <w:w w:val="105"/>
          <w:sz w:val="19"/>
        </w:rPr>
        <w:t xml:space="preserve">owner, had previously represented Ulrike Meinhof in her divorce from klaus Rainer Röhl in </w:t>
      </w:r>
      <w:r>
        <w:rPr>
          <w:rFonts w:ascii="Arial" w:hAnsi="Arial"/>
          <w:color w:val="231F20"/>
          <w:spacing w:val="-4"/>
          <w:w w:val="105"/>
          <w:sz w:val="19"/>
        </w:rPr>
        <w:t>1968</w:t>
      </w:r>
      <w:r>
        <w:rPr>
          <w:rFonts w:ascii="Calibri" w:hAnsi="Calibri"/>
          <w:color w:val="231F20"/>
          <w:spacing w:val="-4"/>
          <w:w w:val="105"/>
          <w:sz w:val="19"/>
        </w:rPr>
        <w:t xml:space="preserve">. </w:t>
      </w:r>
      <w:r>
        <w:rPr>
          <w:rFonts w:ascii="Calibri" w:hAnsi="Calibri"/>
          <w:color w:val="231F20"/>
          <w:w w:val="105"/>
          <w:sz w:val="19"/>
        </w:rPr>
        <w:t xml:space="preserve">He was active  in  the  Hamburg  Socialist Lawyers Collective, defending cultural radicals like the composers Ernst Schnabel and Hans-Werner Henze for their oratorio to Che Guevara, </w:t>
      </w:r>
      <w:r>
        <w:rPr>
          <w:rFonts w:ascii="Lucida Sans" w:hAnsi="Lucida Sans"/>
          <w:i/>
          <w:color w:val="231F20"/>
          <w:w w:val="105"/>
          <w:sz w:val="19"/>
        </w:rPr>
        <w:t>Floß der Medusa</w:t>
      </w:r>
      <w:r>
        <w:rPr>
          <w:rFonts w:ascii="Calibri" w:hAnsi="Calibri"/>
          <w:color w:val="231F20"/>
          <w:w w:val="105"/>
          <w:sz w:val="19"/>
        </w:rPr>
        <w:t xml:space="preserve">. He also defended  the  poet  Erich Fried, who was accused of slandering the West Berlin police when   he described the shooting of Georg von Rauch as a “preventive murder” in a letter to </w:t>
      </w:r>
      <w:r>
        <w:rPr>
          <w:rFonts w:ascii="Lucida Sans" w:hAnsi="Lucida Sans"/>
          <w:i/>
          <w:color w:val="231F20"/>
          <w:w w:val="105"/>
          <w:sz w:val="19"/>
        </w:rPr>
        <w:t>Spiegel</w:t>
      </w:r>
      <w:r>
        <w:rPr>
          <w:rFonts w:ascii="Calibri" w:hAnsi="Calibri"/>
          <w:color w:val="231F20"/>
          <w:w w:val="105"/>
          <w:sz w:val="19"/>
        </w:rPr>
        <w:t>.</w:t>
      </w:r>
      <w:r>
        <w:rPr>
          <w:rFonts w:ascii="Calibri" w:hAnsi="Calibri"/>
          <w:color w:val="231F20"/>
          <w:w w:val="105"/>
          <w:position w:val="6"/>
          <w:sz w:val="11"/>
        </w:rPr>
        <w:t xml:space="preserve">5 </w:t>
      </w:r>
      <w:r>
        <w:rPr>
          <w:rFonts w:ascii="Calibri" w:hAnsi="Calibri"/>
          <w:color w:val="231F20"/>
          <w:w w:val="105"/>
          <w:sz w:val="19"/>
        </w:rPr>
        <w:t xml:space="preserve">In recent years, Groenwold has written extensively about the legal and civil rights ramifications of  the state’s response to  the  armed  movements  in  West  Germany in the </w:t>
      </w:r>
      <w:r>
        <w:rPr>
          <w:rFonts w:ascii="Arial" w:hAnsi="Arial"/>
          <w:color w:val="231F20"/>
          <w:w w:val="105"/>
          <w:sz w:val="19"/>
        </w:rPr>
        <w:t>70</w:t>
      </w:r>
      <w:r>
        <w:rPr>
          <w:rFonts w:ascii="Calibri" w:hAnsi="Calibri"/>
          <w:color w:val="231F20"/>
          <w:w w:val="105"/>
          <w:sz w:val="19"/>
        </w:rPr>
        <w:t>s and</w:t>
      </w:r>
      <w:r>
        <w:rPr>
          <w:rFonts w:ascii="Calibri" w:hAnsi="Calibri"/>
          <w:color w:val="231F20"/>
          <w:spacing w:val="27"/>
          <w:w w:val="105"/>
          <w:sz w:val="19"/>
        </w:rPr>
        <w:t xml:space="preserve"> </w:t>
      </w:r>
      <w:r>
        <w:rPr>
          <w:rFonts w:ascii="Arial" w:hAnsi="Arial"/>
          <w:color w:val="231F20"/>
          <w:w w:val="105"/>
          <w:sz w:val="19"/>
        </w:rPr>
        <w:t>80</w:t>
      </w:r>
      <w:r>
        <w:rPr>
          <w:rFonts w:ascii="Calibri" w:hAnsi="Calibri"/>
          <w:color w:val="231F20"/>
          <w:w w:val="105"/>
          <w:sz w:val="19"/>
        </w:rPr>
        <w:t>s.</w:t>
      </w:r>
    </w:p>
    <w:p w14:paraId="4CB06A6E" w14:textId="77777777" w:rsidR="002653E8" w:rsidRDefault="002653E8">
      <w:pPr>
        <w:pStyle w:val="a3"/>
        <w:rPr>
          <w:rFonts w:ascii="Calibri"/>
        </w:rPr>
      </w:pPr>
    </w:p>
    <w:p w14:paraId="26EFE331" w14:textId="77777777" w:rsidR="002653E8" w:rsidRDefault="002653E8">
      <w:pPr>
        <w:pStyle w:val="a3"/>
        <w:rPr>
          <w:rFonts w:ascii="Calibri"/>
        </w:rPr>
      </w:pPr>
    </w:p>
    <w:p w14:paraId="5BEB917C" w14:textId="77777777" w:rsidR="002653E8" w:rsidRDefault="002653E8">
      <w:pPr>
        <w:pStyle w:val="a3"/>
        <w:rPr>
          <w:rFonts w:ascii="Calibri"/>
        </w:rPr>
      </w:pPr>
    </w:p>
    <w:p w14:paraId="77393535" w14:textId="77777777" w:rsidR="002653E8" w:rsidRDefault="002653E8">
      <w:pPr>
        <w:pStyle w:val="a3"/>
        <w:spacing w:before="8"/>
        <w:rPr>
          <w:rFonts w:ascii="Calibri"/>
          <w:sz w:val="28"/>
        </w:rPr>
      </w:pPr>
    </w:p>
    <w:p w14:paraId="68BB396C" w14:textId="77777777" w:rsidR="002653E8" w:rsidRPr="00C507A5" w:rsidRDefault="003115E3">
      <w:pPr>
        <w:spacing w:before="105"/>
        <w:ind w:left="1582"/>
        <w:rPr>
          <w:sz w:val="16"/>
          <w:lang w:val="de-DE"/>
        </w:rPr>
      </w:pPr>
      <w:r w:rsidRPr="00C507A5">
        <w:rPr>
          <w:color w:val="231F20"/>
          <w:w w:val="110"/>
          <w:position w:val="6"/>
          <w:sz w:val="9"/>
          <w:lang w:val="de-DE"/>
        </w:rPr>
        <w:t xml:space="preserve">3 </w:t>
      </w:r>
      <w:r w:rsidRPr="00C507A5">
        <w:rPr>
          <w:color w:val="231F20"/>
          <w:w w:val="110"/>
          <w:sz w:val="16"/>
          <w:lang w:val="de-DE"/>
        </w:rPr>
        <w:t>Hockenos, 119.</w:t>
      </w:r>
    </w:p>
    <w:p w14:paraId="7196D825" w14:textId="77777777" w:rsidR="002653E8" w:rsidRPr="00C507A5" w:rsidRDefault="003115E3">
      <w:pPr>
        <w:spacing w:before="51"/>
        <w:ind w:left="1582"/>
        <w:rPr>
          <w:sz w:val="16"/>
          <w:lang w:val="de-DE"/>
        </w:rPr>
      </w:pPr>
      <w:r w:rsidRPr="00C507A5">
        <w:rPr>
          <w:color w:val="231F20"/>
          <w:w w:val="115"/>
          <w:position w:val="6"/>
          <w:sz w:val="9"/>
          <w:lang w:val="de-DE"/>
        </w:rPr>
        <w:t xml:space="preserve">4 </w:t>
      </w:r>
      <w:r w:rsidRPr="00C507A5">
        <w:rPr>
          <w:color w:val="231F20"/>
          <w:w w:val="115"/>
          <w:sz w:val="16"/>
          <w:lang w:val="de-DE"/>
        </w:rPr>
        <w:t>Ibid., 290.</w:t>
      </w:r>
    </w:p>
    <w:p w14:paraId="42EF0392" w14:textId="77777777" w:rsidR="002653E8" w:rsidRPr="00C507A5" w:rsidRDefault="003115E3">
      <w:pPr>
        <w:spacing w:before="52" w:line="254" w:lineRule="auto"/>
        <w:ind w:left="1582" w:right="1580" w:hanging="1"/>
        <w:rPr>
          <w:sz w:val="16"/>
          <w:lang w:val="de-DE"/>
        </w:rPr>
      </w:pPr>
      <w:r w:rsidRPr="00C507A5">
        <w:rPr>
          <w:color w:val="231F20"/>
          <w:w w:val="107"/>
          <w:position w:val="6"/>
          <w:sz w:val="9"/>
          <w:lang w:val="de-DE"/>
        </w:rPr>
        <w:t>5</w:t>
      </w:r>
      <w:r w:rsidRPr="00C507A5">
        <w:rPr>
          <w:color w:val="231F20"/>
          <w:spacing w:val="6"/>
          <w:position w:val="6"/>
          <w:sz w:val="9"/>
          <w:lang w:val="de-DE"/>
        </w:rPr>
        <w:t xml:space="preserve"> </w:t>
      </w:r>
      <w:r w:rsidRPr="00C507A5">
        <w:rPr>
          <w:color w:val="231F20"/>
          <w:w w:val="153"/>
          <w:sz w:val="16"/>
          <w:lang w:val="de-DE"/>
        </w:rPr>
        <w:t>“</w:t>
      </w:r>
      <w:r w:rsidRPr="00C507A5">
        <w:rPr>
          <w:color w:val="231F20"/>
          <w:w w:val="119"/>
          <w:sz w:val="16"/>
          <w:lang w:val="de-DE"/>
        </w:rPr>
        <w:t>K</w:t>
      </w:r>
      <w:r w:rsidRPr="00C507A5">
        <w:rPr>
          <w:color w:val="231F20"/>
          <w:spacing w:val="5"/>
          <w:w w:val="104"/>
          <w:sz w:val="16"/>
          <w:lang w:val="de-DE"/>
        </w:rPr>
        <w:t>u</w:t>
      </w:r>
      <w:r w:rsidRPr="00C507A5">
        <w:rPr>
          <w:color w:val="231F20"/>
          <w:spacing w:val="5"/>
          <w:w w:val="97"/>
          <w:sz w:val="16"/>
          <w:lang w:val="de-DE"/>
        </w:rPr>
        <w:t>r</w:t>
      </w:r>
      <w:r w:rsidRPr="00C507A5">
        <w:rPr>
          <w:color w:val="231F20"/>
          <w:w w:val="102"/>
          <w:sz w:val="16"/>
          <w:lang w:val="de-DE"/>
        </w:rPr>
        <w:t>t</w:t>
      </w:r>
      <w:r w:rsidRPr="00C507A5">
        <w:rPr>
          <w:color w:val="231F20"/>
          <w:spacing w:val="10"/>
          <w:sz w:val="16"/>
          <w:lang w:val="de-DE"/>
        </w:rPr>
        <w:t xml:space="preserve"> </w:t>
      </w:r>
      <w:r w:rsidRPr="00C507A5">
        <w:rPr>
          <w:color w:val="231F20"/>
          <w:spacing w:val="2"/>
          <w:w w:val="132"/>
          <w:sz w:val="16"/>
          <w:lang w:val="de-DE"/>
        </w:rPr>
        <w:t>G</w:t>
      </w:r>
      <w:r w:rsidRPr="00C507A5">
        <w:rPr>
          <w:color w:val="231F20"/>
          <w:w w:val="97"/>
          <w:sz w:val="16"/>
          <w:lang w:val="de-DE"/>
        </w:rPr>
        <w:t>r</w:t>
      </w:r>
      <w:r w:rsidRPr="00C507A5">
        <w:rPr>
          <w:color w:val="231F20"/>
          <w:spacing w:val="2"/>
          <w:w w:val="108"/>
          <w:sz w:val="16"/>
          <w:lang w:val="de-DE"/>
        </w:rPr>
        <w:t>o</w:t>
      </w:r>
      <w:r w:rsidRPr="00C507A5">
        <w:rPr>
          <w:color w:val="231F20"/>
          <w:w w:val="94"/>
          <w:sz w:val="16"/>
          <w:lang w:val="de-DE"/>
        </w:rPr>
        <w:t>e</w:t>
      </w:r>
      <w:r w:rsidRPr="00C507A5">
        <w:rPr>
          <w:color w:val="231F20"/>
          <w:w w:val="103"/>
          <w:sz w:val="16"/>
          <w:lang w:val="de-DE"/>
        </w:rPr>
        <w:t>n</w:t>
      </w:r>
      <w:r w:rsidRPr="00C507A5">
        <w:rPr>
          <w:color w:val="231F20"/>
          <w:spacing w:val="1"/>
          <w:w w:val="94"/>
          <w:sz w:val="16"/>
          <w:lang w:val="de-DE"/>
        </w:rPr>
        <w:t>e</w:t>
      </w:r>
      <w:r w:rsidRPr="00C507A5">
        <w:rPr>
          <w:color w:val="231F20"/>
          <w:spacing w:val="-1"/>
          <w:w w:val="104"/>
          <w:sz w:val="16"/>
          <w:lang w:val="de-DE"/>
        </w:rPr>
        <w:t>w</w:t>
      </w:r>
      <w:r w:rsidRPr="00C507A5">
        <w:rPr>
          <w:color w:val="231F20"/>
          <w:w w:val="108"/>
          <w:sz w:val="16"/>
          <w:lang w:val="de-DE"/>
        </w:rPr>
        <w:t>o</w:t>
      </w:r>
      <w:r w:rsidRPr="00C507A5">
        <w:rPr>
          <w:color w:val="231F20"/>
          <w:w w:val="104"/>
          <w:sz w:val="16"/>
          <w:lang w:val="de-DE"/>
        </w:rPr>
        <w:t>l</w:t>
      </w:r>
      <w:r w:rsidRPr="00C507A5">
        <w:rPr>
          <w:color w:val="231F20"/>
          <w:spacing w:val="3"/>
          <w:w w:val="104"/>
          <w:sz w:val="16"/>
          <w:lang w:val="de-DE"/>
        </w:rPr>
        <w:t>d</w:t>
      </w:r>
      <w:r w:rsidRPr="00C507A5">
        <w:rPr>
          <w:color w:val="231F20"/>
          <w:spacing w:val="-9"/>
          <w:w w:val="140"/>
          <w:sz w:val="16"/>
          <w:lang w:val="de-DE"/>
        </w:rPr>
        <w:t>,</w:t>
      </w:r>
      <w:r w:rsidRPr="00C507A5">
        <w:rPr>
          <w:color w:val="231F20"/>
          <w:w w:val="153"/>
          <w:sz w:val="16"/>
          <w:lang w:val="de-DE"/>
        </w:rPr>
        <w:t>”</w:t>
      </w:r>
      <w:r w:rsidRPr="00C507A5">
        <w:rPr>
          <w:color w:val="231F20"/>
          <w:spacing w:val="10"/>
          <w:sz w:val="16"/>
          <w:lang w:val="de-DE"/>
        </w:rPr>
        <w:t xml:space="preserve"> </w:t>
      </w:r>
      <w:hyperlink r:id="rId208">
        <w:r w:rsidRPr="00C507A5">
          <w:rPr>
            <w:color w:val="231F20"/>
            <w:w w:val="103"/>
            <w:sz w:val="16"/>
            <w:lang w:val="de-DE"/>
          </w:rPr>
          <w:t>h</w:t>
        </w:r>
        <w:r w:rsidRPr="00C507A5">
          <w:rPr>
            <w:color w:val="231F20"/>
            <w:spacing w:val="5"/>
            <w:w w:val="103"/>
            <w:sz w:val="16"/>
            <w:lang w:val="de-DE"/>
          </w:rPr>
          <w:t>t</w:t>
        </w:r>
        <w:r w:rsidRPr="00C507A5">
          <w:rPr>
            <w:color w:val="231F20"/>
            <w:spacing w:val="3"/>
            <w:w w:val="102"/>
            <w:sz w:val="16"/>
            <w:lang w:val="de-DE"/>
          </w:rPr>
          <w:t>t</w:t>
        </w:r>
        <w:r w:rsidRPr="00C507A5">
          <w:rPr>
            <w:color w:val="231F20"/>
            <w:w w:val="103"/>
            <w:sz w:val="16"/>
            <w:lang w:val="de-DE"/>
          </w:rPr>
          <w:t>p</w:t>
        </w:r>
        <w:r w:rsidRPr="00C507A5">
          <w:rPr>
            <w:color w:val="231F20"/>
            <w:spacing w:val="5"/>
            <w:w w:val="109"/>
            <w:sz w:val="16"/>
            <w:lang w:val="de-DE"/>
          </w:rPr>
          <w:t>:</w:t>
        </w:r>
        <w:r w:rsidRPr="00C507A5">
          <w:rPr>
            <w:color w:val="231F20"/>
            <w:spacing w:val="-1"/>
            <w:w w:val="58"/>
            <w:sz w:val="16"/>
            <w:lang w:val="de-DE"/>
          </w:rPr>
          <w:t>/</w:t>
        </w:r>
        <w:r w:rsidRPr="00C507A5">
          <w:rPr>
            <w:color w:val="231F20"/>
            <w:spacing w:val="2"/>
            <w:w w:val="58"/>
            <w:sz w:val="16"/>
            <w:lang w:val="de-DE"/>
          </w:rPr>
          <w:t>/</w:t>
        </w:r>
        <w:r w:rsidRPr="00C507A5">
          <w:rPr>
            <w:color w:val="231F20"/>
            <w:spacing w:val="6"/>
            <w:w w:val="104"/>
            <w:sz w:val="16"/>
            <w:lang w:val="de-DE"/>
          </w:rPr>
          <w:t>ww</w:t>
        </w:r>
        <w:r w:rsidRPr="00C507A5">
          <w:rPr>
            <w:color w:val="231F20"/>
            <w:spacing w:val="-9"/>
            <w:w w:val="104"/>
            <w:sz w:val="16"/>
            <w:lang w:val="de-DE"/>
          </w:rPr>
          <w:t>w</w:t>
        </w:r>
        <w:r w:rsidRPr="00C507A5">
          <w:rPr>
            <w:color w:val="231F20"/>
            <w:w w:val="140"/>
            <w:sz w:val="16"/>
            <w:lang w:val="de-DE"/>
          </w:rPr>
          <w:t>.</w:t>
        </w:r>
        <w:r w:rsidRPr="00C507A5">
          <w:rPr>
            <w:color w:val="231F20"/>
            <w:spacing w:val="2"/>
            <w:w w:val="106"/>
            <w:sz w:val="16"/>
            <w:lang w:val="de-DE"/>
          </w:rPr>
          <w:t>l</w:t>
        </w:r>
        <w:r w:rsidRPr="00C507A5">
          <w:rPr>
            <w:color w:val="231F20"/>
            <w:spacing w:val="-1"/>
            <w:w w:val="103"/>
            <w:sz w:val="16"/>
            <w:lang w:val="de-DE"/>
          </w:rPr>
          <w:t>i</w:t>
        </w:r>
        <w:r w:rsidRPr="00C507A5">
          <w:rPr>
            <w:color w:val="231F20"/>
            <w:spacing w:val="1"/>
            <w:w w:val="102"/>
            <w:sz w:val="16"/>
            <w:lang w:val="de-DE"/>
          </w:rPr>
          <w:t>t</w:t>
        </w:r>
        <w:r w:rsidRPr="00C507A5">
          <w:rPr>
            <w:color w:val="231F20"/>
            <w:w w:val="94"/>
            <w:sz w:val="16"/>
            <w:lang w:val="de-DE"/>
          </w:rPr>
          <w:t>e</w:t>
        </w:r>
        <w:r w:rsidRPr="00C507A5">
          <w:rPr>
            <w:color w:val="231F20"/>
            <w:w w:val="97"/>
            <w:sz w:val="16"/>
            <w:lang w:val="de-DE"/>
          </w:rPr>
          <w:t>r</w:t>
        </w:r>
        <w:r w:rsidRPr="00C507A5">
          <w:rPr>
            <w:color w:val="231F20"/>
            <w:spacing w:val="-1"/>
            <w:w w:val="106"/>
            <w:sz w:val="16"/>
            <w:lang w:val="de-DE"/>
          </w:rPr>
          <w:t>a</w:t>
        </w:r>
        <w:r w:rsidRPr="00C507A5">
          <w:rPr>
            <w:color w:val="231F20"/>
            <w:spacing w:val="3"/>
            <w:w w:val="102"/>
            <w:sz w:val="16"/>
            <w:lang w:val="de-DE"/>
          </w:rPr>
          <w:t>t</w:t>
        </w:r>
        <w:r w:rsidRPr="00C507A5">
          <w:rPr>
            <w:color w:val="231F20"/>
            <w:spacing w:val="5"/>
            <w:w w:val="104"/>
            <w:sz w:val="16"/>
            <w:lang w:val="de-DE"/>
          </w:rPr>
          <w:t>u</w:t>
        </w:r>
        <w:r w:rsidRPr="00C507A5">
          <w:rPr>
            <w:color w:val="231F20"/>
            <w:w w:val="101"/>
            <w:sz w:val="16"/>
            <w:lang w:val="de-DE"/>
          </w:rPr>
          <w:t>r</w:t>
        </w:r>
        <w:r w:rsidRPr="00C507A5">
          <w:rPr>
            <w:color w:val="231F20"/>
            <w:spacing w:val="1"/>
            <w:w w:val="101"/>
            <w:sz w:val="16"/>
            <w:lang w:val="de-DE"/>
          </w:rPr>
          <w:t>h</w:t>
        </w:r>
        <w:r w:rsidRPr="00C507A5">
          <w:rPr>
            <w:color w:val="231F20"/>
            <w:spacing w:val="-2"/>
            <w:w w:val="106"/>
            <w:sz w:val="16"/>
            <w:lang w:val="de-DE"/>
          </w:rPr>
          <w:t>a</w:t>
        </w:r>
        <w:r w:rsidRPr="00C507A5">
          <w:rPr>
            <w:color w:val="231F20"/>
            <w:spacing w:val="2"/>
            <w:w w:val="104"/>
            <w:sz w:val="16"/>
            <w:lang w:val="de-DE"/>
          </w:rPr>
          <w:t>u</w:t>
        </w:r>
        <w:r w:rsidRPr="00C507A5">
          <w:rPr>
            <w:color w:val="231F20"/>
            <w:spacing w:val="1"/>
            <w:w w:val="93"/>
            <w:sz w:val="16"/>
            <w:lang w:val="de-DE"/>
          </w:rPr>
          <w:t>s</w:t>
        </w:r>
        <w:r w:rsidRPr="00C507A5">
          <w:rPr>
            <w:color w:val="231F20"/>
            <w:spacing w:val="2"/>
            <w:w w:val="140"/>
            <w:sz w:val="16"/>
            <w:lang w:val="de-DE"/>
          </w:rPr>
          <w:t>.</w:t>
        </w:r>
        <w:r w:rsidRPr="00C507A5">
          <w:rPr>
            <w:color w:val="231F20"/>
            <w:spacing w:val="-1"/>
            <w:w w:val="106"/>
            <w:sz w:val="16"/>
            <w:lang w:val="de-DE"/>
          </w:rPr>
          <w:t>a</w:t>
        </w:r>
        <w:r w:rsidRPr="00C507A5">
          <w:rPr>
            <w:color w:val="231F20"/>
            <w:spacing w:val="7"/>
            <w:w w:val="102"/>
            <w:sz w:val="16"/>
            <w:lang w:val="de-DE"/>
          </w:rPr>
          <w:t>t</w:t>
        </w:r>
        <w:r w:rsidRPr="00C507A5">
          <w:rPr>
            <w:color w:val="231F20"/>
            <w:spacing w:val="-3"/>
            <w:w w:val="58"/>
            <w:sz w:val="16"/>
            <w:lang w:val="de-DE"/>
          </w:rPr>
          <w:t>/</w:t>
        </w:r>
        <w:r w:rsidRPr="00C507A5">
          <w:rPr>
            <w:color w:val="231F20"/>
            <w:spacing w:val="-2"/>
            <w:w w:val="106"/>
            <w:sz w:val="16"/>
            <w:lang w:val="de-DE"/>
          </w:rPr>
          <w:t>a</w:t>
        </w:r>
        <w:r w:rsidRPr="00C507A5">
          <w:rPr>
            <w:color w:val="231F20"/>
            <w:w w:val="104"/>
            <w:sz w:val="16"/>
            <w:lang w:val="de-DE"/>
          </w:rPr>
          <w:t>u</w:t>
        </w:r>
        <w:r w:rsidRPr="00C507A5">
          <w:rPr>
            <w:color w:val="231F20"/>
            <w:w w:val="102"/>
            <w:sz w:val="16"/>
            <w:lang w:val="de-DE"/>
          </w:rPr>
          <w:t>t</w:t>
        </w:r>
        <w:r w:rsidRPr="00C507A5">
          <w:rPr>
            <w:color w:val="231F20"/>
            <w:w w:val="108"/>
            <w:sz w:val="16"/>
            <w:lang w:val="de-DE"/>
          </w:rPr>
          <w:t>o</w:t>
        </w:r>
        <w:r w:rsidRPr="00C507A5">
          <w:rPr>
            <w:color w:val="231F20"/>
            <w:w w:val="97"/>
            <w:sz w:val="16"/>
            <w:lang w:val="de-DE"/>
          </w:rPr>
          <w:t>r</w:t>
        </w:r>
        <w:r w:rsidRPr="00C507A5">
          <w:rPr>
            <w:color w:val="231F20"/>
            <w:w w:val="94"/>
            <w:sz w:val="16"/>
            <w:lang w:val="de-DE"/>
          </w:rPr>
          <w:t>e</w:t>
        </w:r>
        <w:r w:rsidRPr="00C507A5">
          <w:rPr>
            <w:color w:val="231F20"/>
            <w:spacing w:val="8"/>
            <w:w w:val="103"/>
            <w:sz w:val="16"/>
            <w:lang w:val="de-DE"/>
          </w:rPr>
          <w:t>n</w:t>
        </w:r>
        <w:r w:rsidRPr="00C507A5">
          <w:rPr>
            <w:color w:val="231F20"/>
            <w:spacing w:val="8"/>
            <w:w w:val="58"/>
            <w:sz w:val="16"/>
            <w:lang w:val="de-DE"/>
          </w:rPr>
          <w:t>/</w:t>
        </w:r>
        <w:r w:rsidRPr="00C507A5">
          <w:rPr>
            <w:color w:val="231F20"/>
            <w:spacing w:val="1"/>
            <w:w w:val="107"/>
            <w:sz w:val="16"/>
            <w:lang w:val="de-DE"/>
          </w:rPr>
          <w:t>F</w:t>
        </w:r>
        <w:r w:rsidRPr="00C507A5">
          <w:rPr>
            <w:color w:val="231F20"/>
            <w:w w:val="58"/>
            <w:sz w:val="16"/>
            <w:lang w:val="de-DE"/>
          </w:rPr>
          <w:t>/</w:t>
        </w:r>
        <w:r w:rsidRPr="00C507A5">
          <w:rPr>
            <w:color w:val="231F20"/>
            <w:spacing w:val="3"/>
            <w:w w:val="114"/>
            <w:sz w:val="16"/>
            <w:lang w:val="de-DE"/>
          </w:rPr>
          <w:t>f</w:t>
        </w:r>
        <w:r w:rsidRPr="00C507A5">
          <w:rPr>
            <w:color w:val="231F20"/>
            <w:spacing w:val="2"/>
            <w:w w:val="97"/>
            <w:sz w:val="16"/>
            <w:lang w:val="de-DE"/>
          </w:rPr>
          <w:t>r</w:t>
        </w:r>
        <w:r w:rsidRPr="00C507A5">
          <w:rPr>
            <w:color w:val="231F20"/>
            <w:w w:val="103"/>
            <w:sz w:val="16"/>
            <w:lang w:val="de-DE"/>
          </w:rPr>
          <w:t>i</w:t>
        </w:r>
        <w:r w:rsidRPr="00C507A5">
          <w:rPr>
            <w:color w:val="231F20"/>
            <w:spacing w:val="1"/>
            <w:w w:val="94"/>
            <w:sz w:val="16"/>
            <w:lang w:val="de-DE"/>
          </w:rPr>
          <w:t>e</w:t>
        </w:r>
        <w:r w:rsidRPr="00C507A5">
          <w:rPr>
            <w:color w:val="231F20"/>
            <w:spacing w:val="7"/>
            <w:w w:val="103"/>
            <w:sz w:val="16"/>
            <w:lang w:val="de-DE"/>
          </w:rPr>
          <w:t>d</w:t>
        </w:r>
        <w:r w:rsidRPr="00C507A5">
          <w:rPr>
            <w:color w:val="231F20"/>
            <w:w w:val="58"/>
            <w:sz w:val="16"/>
            <w:lang w:val="de-DE"/>
          </w:rPr>
          <w:t>/</w:t>
        </w:r>
      </w:hyperlink>
      <w:r w:rsidRPr="00C507A5">
        <w:rPr>
          <w:color w:val="231F20"/>
          <w:w w:val="58"/>
          <w:sz w:val="16"/>
          <w:lang w:val="de-DE"/>
        </w:rPr>
        <w:t xml:space="preserve"> </w:t>
      </w:r>
      <w:r w:rsidRPr="00C507A5">
        <w:rPr>
          <w:color w:val="231F20"/>
          <w:w w:val="99"/>
          <w:sz w:val="16"/>
          <w:lang w:val="de-DE"/>
        </w:rPr>
        <w:t>g</w:t>
      </w:r>
      <w:r w:rsidRPr="00C507A5">
        <w:rPr>
          <w:color w:val="231F20"/>
          <w:spacing w:val="2"/>
          <w:w w:val="99"/>
          <w:sz w:val="16"/>
          <w:lang w:val="de-DE"/>
        </w:rPr>
        <w:t>e</w:t>
      </w:r>
      <w:r w:rsidRPr="00C507A5">
        <w:rPr>
          <w:color w:val="231F20"/>
          <w:spacing w:val="1"/>
          <w:w w:val="93"/>
          <w:sz w:val="16"/>
          <w:lang w:val="de-DE"/>
        </w:rPr>
        <w:t>s</w:t>
      </w:r>
      <w:r w:rsidRPr="00C507A5">
        <w:rPr>
          <w:color w:val="231F20"/>
          <w:w w:val="94"/>
          <w:sz w:val="16"/>
          <w:lang w:val="de-DE"/>
        </w:rPr>
        <w:t>e</w:t>
      </w:r>
      <w:r w:rsidRPr="00C507A5">
        <w:rPr>
          <w:color w:val="231F20"/>
          <w:spacing w:val="2"/>
          <w:w w:val="106"/>
          <w:sz w:val="16"/>
          <w:lang w:val="de-DE"/>
        </w:rPr>
        <w:t>l</w:t>
      </w:r>
      <w:r w:rsidRPr="00C507A5">
        <w:rPr>
          <w:color w:val="231F20"/>
          <w:spacing w:val="1"/>
          <w:w w:val="106"/>
          <w:sz w:val="16"/>
          <w:lang w:val="de-DE"/>
        </w:rPr>
        <w:t>l</w:t>
      </w:r>
      <w:r w:rsidRPr="00C507A5">
        <w:rPr>
          <w:color w:val="231F20"/>
          <w:spacing w:val="2"/>
          <w:w w:val="93"/>
          <w:sz w:val="16"/>
          <w:lang w:val="de-DE"/>
        </w:rPr>
        <w:t>s</w:t>
      </w:r>
      <w:r w:rsidRPr="00C507A5">
        <w:rPr>
          <w:color w:val="231F20"/>
          <w:w w:val="104"/>
          <w:sz w:val="16"/>
          <w:lang w:val="de-DE"/>
        </w:rPr>
        <w:t>c</w:t>
      </w:r>
      <w:r w:rsidRPr="00C507A5">
        <w:rPr>
          <w:color w:val="231F20"/>
          <w:spacing w:val="1"/>
          <w:w w:val="104"/>
          <w:sz w:val="16"/>
          <w:lang w:val="de-DE"/>
        </w:rPr>
        <w:t>h</w:t>
      </w:r>
      <w:r w:rsidRPr="00C507A5">
        <w:rPr>
          <w:color w:val="231F20"/>
          <w:spacing w:val="2"/>
          <w:w w:val="106"/>
          <w:sz w:val="16"/>
          <w:lang w:val="de-DE"/>
        </w:rPr>
        <w:t>a</w:t>
      </w:r>
      <w:r w:rsidRPr="00C507A5">
        <w:rPr>
          <w:color w:val="231F20"/>
          <w:spacing w:val="5"/>
          <w:w w:val="114"/>
          <w:sz w:val="16"/>
          <w:lang w:val="de-DE"/>
        </w:rPr>
        <w:t>f</w:t>
      </w:r>
      <w:r w:rsidRPr="00C507A5">
        <w:rPr>
          <w:color w:val="231F20"/>
          <w:spacing w:val="7"/>
          <w:w w:val="102"/>
          <w:sz w:val="16"/>
          <w:lang w:val="de-DE"/>
        </w:rPr>
        <w:t>t</w:t>
      </w:r>
      <w:r w:rsidRPr="00C507A5">
        <w:rPr>
          <w:color w:val="231F20"/>
          <w:w w:val="58"/>
          <w:sz w:val="16"/>
          <w:lang w:val="de-DE"/>
        </w:rPr>
        <w:t>/</w:t>
      </w:r>
      <w:r w:rsidRPr="00C507A5">
        <w:rPr>
          <w:color w:val="231F20"/>
          <w:spacing w:val="3"/>
          <w:w w:val="103"/>
          <w:sz w:val="16"/>
          <w:lang w:val="de-DE"/>
        </w:rPr>
        <w:t>m</w:t>
      </w:r>
      <w:r w:rsidRPr="00C507A5">
        <w:rPr>
          <w:color w:val="231F20"/>
          <w:spacing w:val="-1"/>
          <w:w w:val="103"/>
          <w:sz w:val="16"/>
          <w:lang w:val="de-DE"/>
        </w:rPr>
        <w:t>i</w:t>
      </w:r>
      <w:r w:rsidRPr="00C507A5">
        <w:rPr>
          <w:color w:val="231F20"/>
          <w:spacing w:val="2"/>
          <w:w w:val="102"/>
          <w:sz w:val="16"/>
          <w:lang w:val="de-DE"/>
        </w:rPr>
        <w:t>t</w:t>
      </w:r>
      <w:r w:rsidRPr="00C507A5">
        <w:rPr>
          <w:color w:val="231F20"/>
          <w:spacing w:val="3"/>
          <w:w w:val="104"/>
          <w:sz w:val="16"/>
          <w:lang w:val="de-DE"/>
        </w:rPr>
        <w:t>g</w:t>
      </w:r>
      <w:r w:rsidRPr="00C507A5">
        <w:rPr>
          <w:color w:val="231F20"/>
          <w:spacing w:val="2"/>
          <w:w w:val="106"/>
          <w:sz w:val="16"/>
          <w:lang w:val="de-DE"/>
        </w:rPr>
        <w:t>l</w:t>
      </w:r>
      <w:r w:rsidRPr="00C507A5">
        <w:rPr>
          <w:color w:val="231F20"/>
          <w:w w:val="97"/>
          <w:sz w:val="16"/>
          <w:lang w:val="de-DE"/>
        </w:rPr>
        <w:t>i</w:t>
      </w:r>
      <w:r w:rsidRPr="00C507A5">
        <w:rPr>
          <w:color w:val="231F20"/>
          <w:spacing w:val="1"/>
          <w:w w:val="97"/>
          <w:sz w:val="16"/>
          <w:lang w:val="de-DE"/>
        </w:rPr>
        <w:t>e</w:t>
      </w:r>
      <w:r w:rsidRPr="00C507A5">
        <w:rPr>
          <w:color w:val="231F20"/>
          <w:w w:val="103"/>
          <w:sz w:val="16"/>
          <w:lang w:val="de-DE"/>
        </w:rPr>
        <w:t>d</w:t>
      </w:r>
      <w:r w:rsidRPr="00C507A5">
        <w:rPr>
          <w:color w:val="231F20"/>
          <w:w w:val="94"/>
          <w:sz w:val="16"/>
          <w:lang w:val="de-DE"/>
        </w:rPr>
        <w:t>e</w:t>
      </w:r>
      <w:r w:rsidRPr="00C507A5">
        <w:rPr>
          <w:color w:val="231F20"/>
          <w:spacing w:val="1"/>
          <w:w w:val="97"/>
          <w:sz w:val="16"/>
          <w:lang w:val="de-DE"/>
        </w:rPr>
        <w:t>r</w:t>
      </w:r>
      <w:r w:rsidRPr="00C507A5">
        <w:rPr>
          <w:color w:val="231F20"/>
          <w:spacing w:val="-2"/>
          <w:w w:val="58"/>
          <w:sz w:val="16"/>
          <w:lang w:val="de-DE"/>
        </w:rPr>
        <w:t>/</w:t>
      </w:r>
      <w:r w:rsidRPr="00C507A5">
        <w:rPr>
          <w:color w:val="231F20"/>
          <w:spacing w:val="5"/>
          <w:w w:val="104"/>
          <w:sz w:val="16"/>
          <w:lang w:val="de-DE"/>
        </w:rPr>
        <w:t>g</w:t>
      </w:r>
      <w:r w:rsidRPr="00C507A5">
        <w:rPr>
          <w:color w:val="231F20"/>
          <w:w w:val="97"/>
          <w:sz w:val="16"/>
          <w:lang w:val="de-DE"/>
        </w:rPr>
        <w:t>r</w:t>
      </w:r>
      <w:r w:rsidRPr="00C507A5">
        <w:rPr>
          <w:color w:val="231F20"/>
          <w:spacing w:val="2"/>
          <w:w w:val="108"/>
          <w:sz w:val="16"/>
          <w:lang w:val="de-DE"/>
        </w:rPr>
        <w:t>o</w:t>
      </w:r>
      <w:r w:rsidRPr="00C507A5">
        <w:rPr>
          <w:color w:val="231F20"/>
          <w:w w:val="94"/>
          <w:sz w:val="16"/>
          <w:lang w:val="de-DE"/>
        </w:rPr>
        <w:t>e</w:t>
      </w:r>
      <w:r w:rsidRPr="00C507A5">
        <w:rPr>
          <w:color w:val="231F20"/>
          <w:w w:val="99"/>
          <w:sz w:val="16"/>
          <w:lang w:val="de-DE"/>
        </w:rPr>
        <w:t>n</w:t>
      </w:r>
      <w:r w:rsidRPr="00C507A5">
        <w:rPr>
          <w:color w:val="231F20"/>
          <w:spacing w:val="1"/>
          <w:w w:val="99"/>
          <w:sz w:val="16"/>
          <w:lang w:val="de-DE"/>
        </w:rPr>
        <w:t>e</w:t>
      </w:r>
      <w:r w:rsidRPr="00C507A5">
        <w:rPr>
          <w:color w:val="231F20"/>
          <w:spacing w:val="-1"/>
          <w:w w:val="104"/>
          <w:sz w:val="16"/>
          <w:lang w:val="de-DE"/>
        </w:rPr>
        <w:t>w</w:t>
      </w:r>
      <w:r w:rsidRPr="00C507A5">
        <w:rPr>
          <w:color w:val="231F20"/>
          <w:w w:val="108"/>
          <w:sz w:val="16"/>
          <w:lang w:val="de-DE"/>
        </w:rPr>
        <w:t>o</w:t>
      </w:r>
      <w:r w:rsidRPr="00C507A5">
        <w:rPr>
          <w:color w:val="231F20"/>
          <w:w w:val="106"/>
          <w:sz w:val="16"/>
          <w:lang w:val="de-DE"/>
        </w:rPr>
        <w:t>l</w:t>
      </w:r>
      <w:r w:rsidRPr="00C507A5">
        <w:rPr>
          <w:color w:val="231F20"/>
          <w:spacing w:val="7"/>
          <w:w w:val="103"/>
          <w:sz w:val="16"/>
          <w:lang w:val="de-DE"/>
        </w:rPr>
        <w:t>d</w:t>
      </w:r>
      <w:r w:rsidRPr="00C507A5">
        <w:rPr>
          <w:color w:val="231F20"/>
          <w:spacing w:val="-9"/>
          <w:w w:val="58"/>
          <w:sz w:val="16"/>
          <w:lang w:val="de-DE"/>
        </w:rPr>
        <w:t>/</w:t>
      </w:r>
      <w:r w:rsidRPr="00C507A5">
        <w:rPr>
          <w:color w:val="231F20"/>
          <w:w w:val="140"/>
          <w:sz w:val="16"/>
          <w:lang w:val="de-DE"/>
        </w:rPr>
        <w:t>.</w:t>
      </w:r>
    </w:p>
    <w:p w14:paraId="6668C2E4" w14:textId="77777777" w:rsidR="002653E8" w:rsidRPr="00C507A5" w:rsidRDefault="002653E8">
      <w:pPr>
        <w:spacing w:line="254" w:lineRule="auto"/>
        <w:rPr>
          <w:sz w:val="16"/>
          <w:lang w:val="de-DE"/>
        </w:rPr>
        <w:sectPr w:rsidR="002653E8" w:rsidRPr="00C507A5">
          <w:pgSz w:w="8640" w:h="12960"/>
          <w:pgMar w:top="1080" w:right="0" w:bottom="1040" w:left="0" w:header="0" w:footer="850" w:gutter="0"/>
          <w:cols w:space="720"/>
        </w:sectPr>
      </w:pPr>
    </w:p>
    <w:p w14:paraId="5C099046" w14:textId="77777777" w:rsidR="002653E8" w:rsidRDefault="003115E3">
      <w:pPr>
        <w:pStyle w:val="a3"/>
        <w:spacing w:before="86" w:line="264" w:lineRule="auto"/>
        <w:ind w:left="1147" w:right="1326" w:firstLine="210"/>
        <w:jc w:val="both"/>
        <w:rPr>
          <w:sz w:val="11"/>
        </w:rPr>
      </w:pPr>
      <w:r>
        <w:rPr>
          <w:color w:val="231F20"/>
        </w:rPr>
        <w:lastRenderedPageBreak/>
        <w:t xml:space="preserve">While the Committees welcomed support from many intellectuals and celebrities who still rejected the prisoners’ politics, by and large militants were expected to toe the </w:t>
      </w:r>
      <w:r w:rsidR="00C507A5">
        <w:rPr>
          <w:color w:val="231F20"/>
          <w:spacing w:val="5"/>
        </w:rPr>
        <w:t>red army faction</w:t>
      </w:r>
      <w:r>
        <w:rPr>
          <w:color w:val="231F20"/>
          <w:spacing w:val="5"/>
        </w:rPr>
        <w:t xml:space="preserve"> </w:t>
      </w:r>
      <w:r>
        <w:rPr>
          <w:color w:val="231F20"/>
        </w:rPr>
        <w:t xml:space="preserve">line. While some involved did have their own quiet reservations in this regard, it is equally clear that many others were sincerely won over to the guerilla’s politics. The state certainly contributed to this process, as activists would find themselves the object of police surveillance, raids, and even in some cases criminal charges, simply for disseminating information about the conditions in </w:t>
      </w:r>
      <w:r>
        <w:rPr>
          <w:color w:val="231F20"/>
          <w:spacing w:val="-3"/>
        </w:rPr>
        <w:t xml:space="preserve">West </w:t>
      </w:r>
      <w:r>
        <w:rPr>
          <w:color w:val="231F20"/>
        </w:rPr>
        <w:t>German</w:t>
      </w:r>
      <w:r>
        <w:rPr>
          <w:color w:val="231F20"/>
          <w:spacing w:val="-16"/>
        </w:rPr>
        <w:t xml:space="preserve"> </w:t>
      </w:r>
      <w:r>
        <w:rPr>
          <w:color w:val="231F20"/>
        </w:rPr>
        <w:t>prisons.</w:t>
      </w:r>
      <w:r>
        <w:rPr>
          <w:color w:val="231F20"/>
          <w:position w:val="7"/>
          <w:sz w:val="11"/>
        </w:rPr>
        <w:t>1</w:t>
      </w:r>
    </w:p>
    <w:p w14:paraId="75F0B966" w14:textId="77777777" w:rsidR="002653E8" w:rsidRDefault="003115E3">
      <w:pPr>
        <w:pStyle w:val="a3"/>
        <w:spacing w:line="264" w:lineRule="auto"/>
        <w:ind w:left="1147" w:right="1326" w:firstLine="210"/>
        <w:jc w:val="both"/>
      </w:pPr>
      <w:r>
        <w:rPr>
          <w:color w:val="231F20"/>
          <w:spacing w:val="1"/>
        </w:rPr>
        <w:t xml:space="preserve">In </w:t>
      </w:r>
      <w:r>
        <w:rPr>
          <w:color w:val="231F20"/>
        </w:rPr>
        <w:t xml:space="preserve">subsequent years, the underground would include several veterans of this prisoners’ support scene, and even some from their legal team, a fact which the state would exploit time and again to attack the </w:t>
      </w:r>
      <w:r w:rsidR="00C507A5">
        <w:rPr>
          <w:color w:val="231F20"/>
          <w:spacing w:val="1"/>
        </w:rPr>
        <w:t>red army faction</w:t>
      </w:r>
      <w:r>
        <w:rPr>
          <w:color w:val="231F20"/>
          <w:spacing w:val="1"/>
        </w:rPr>
        <w:t xml:space="preserve">’s </w:t>
      </w:r>
      <w:r>
        <w:rPr>
          <w:color w:val="231F20"/>
        </w:rPr>
        <w:t xml:space="preserve">lawyers. While most of the legal  support  team  never  did  join the guerilla despite their increasing horror at the Kafkaesque trials and inhumane prison conditions, it is clear in retrospect that work in the Committees did constitute a rite of passage into the </w:t>
      </w:r>
      <w:r w:rsidR="00C507A5">
        <w:rPr>
          <w:color w:val="231F20"/>
          <w:spacing w:val="5"/>
        </w:rPr>
        <w:t>red army faction</w:t>
      </w:r>
      <w:r>
        <w:rPr>
          <w:color w:val="231F20"/>
          <w:spacing w:val="5"/>
        </w:rPr>
        <w:t xml:space="preserve"> </w:t>
      </w:r>
      <w:r>
        <w:rPr>
          <w:color w:val="231F20"/>
        </w:rPr>
        <w:t>for an astonishing number of future guerillas.</w:t>
      </w:r>
    </w:p>
    <w:p w14:paraId="2F057471" w14:textId="77777777" w:rsidR="002653E8" w:rsidRDefault="003115E3">
      <w:pPr>
        <w:pStyle w:val="a3"/>
        <w:spacing w:line="264" w:lineRule="auto"/>
        <w:ind w:left="1147" w:right="1327" w:firstLine="210"/>
        <w:jc w:val="both"/>
      </w:pPr>
      <w:r>
        <w:rPr>
          <w:color w:val="231F20"/>
        </w:rPr>
        <w:t>It is, of course, equally true that the overwhelming majority of those who were active in this scene never joined the guerilla, and while they remained operational, the Committees Against Torture always limited themselves to nonviolent forms of protest and popular education.</w:t>
      </w:r>
    </w:p>
    <w:p w14:paraId="7F50EC96" w14:textId="77777777" w:rsidR="002653E8" w:rsidRDefault="003115E3">
      <w:pPr>
        <w:pStyle w:val="a3"/>
        <w:spacing w:line="264" w:lineRule="auto"/>
        <w:ind w:left="1147" w:right="1326" w:firstLine="210"/>
        <w:jc w:val="both"/>
        <w:rPr>
          <w:sz w:val="11"/>
        </w:rPr>
      </w:pPr>
      <w:r>
        <w:rPr>
          <w:color w:val="231F20"/>
        </w:rPr>
        <w:t xml:space="preserve">Before long, they got their first opportunity for such public activity: on May 8, 1973—the anniversary of the defeat of the Third Reich— </w:t>
      </w:r>
      <w:r>
        <w:rPr>
          <w:color w:val="231F20"/>
          <w:spacing w:val="1"/>
        </w:rPr>
        <w:t xml:space="preserve">sixty </w:t>
      </w:r>
      <w:r>
        <w:rPr>
          <w:color w:val="231F20"/>
        </w:rPr>
        <w:t>prisoners throughout the Federal Republic began a second hunger strike. The Committees stepped up their activities, organizing for lawyers to engage in a solidarity hunger strike and holding a demonstration outside the Federal Court in</w:t>
      </w:r>
      <w:r>
        <w:rPr>
          <w:color w:val="231F20"/>
          <w:spacing w:val="13"/>
        </w:rPr>
        <w:t xml:space="preserve"> </w:t>
      </w:r>
      <w:r>
        <w:rPr>
          <w:color w:val="231F20"/>
        </w:rPr>
        <w:t>Karlsruhe.</w:t>
      </w:r>
      <w:r>
        <w:rPr>
          <w:color w:val="231F20"/>
          <w:position w:val="7"/>
          <w:sz w:val="11"/>
        </w:rPr>
        <w:t>2</w:t>
      </w:r>
    </w:p>
    <w:p w14:paraId="5E913904" w14:textId="77777777" w:rsidR="002653E8" w:rsidRDefault="003115E3">
      <w:pPr>
        <w:pStyle w:val="a3"/>
        <w:spacing w:line="264" w:lineRule="auto"/>
        <w:ind w:left="1147" w:right="1322" w:firstLine="210"/>
        <w:jc w:val="both"/>
      </w:pPr>
      <w:r>
        <w:rPr>
          <w:color w:val="231F20"/>
        </w:rPr>
        <w:t>The Committees’ most significant event occurred on May 11, when they held a teach-in where several high-profile supporters spoke out against isolation torture. Heinz Brandt, an official from the IG Metall</w:t>
      </w:r>
    </w:p>
    <w:p w14:paraId="0445387B" w14:textId="77777777" w:rsidR="002653E8" w:rsidRDefault="00000000">
      <w:pPr>
        <w:pStyle w:val="a3"/>
        <w:spacing w:before="9"/>
        <w:rPr>
          <w:sz w:val="14"/>
        </w:rPr>
      </w:pPr>
      <w:r>
        <w:rPr>
          <w:noProof w:val="0"/>
        </w:rPr>
        <w:pict w14:anchorId="4C3072E4">
          <v:line id="_x0000_s2419" style="position:absolute;z-index:6280;mso-wrap-distance-left:0;mso-wrap-distance-right:0;mso-position-horizontal-relative:page" from="57.4pt,10.85pt" to="129.4pt,10.85pt" strokecolor="#231f20" strokeweight=".5pt">
            <w10:wrap type="topAndBottom" anchorx="page"/>
          </v:line>
        </w:pict>
      </w:r>
    </w:p>
    <w:p w14:paraId="6E947AFB" w14:textId="77777777" w:rsidR="002653E8" w:rsidRDefault="003115E3">
      <w:pPr>
        <w:pStyle w:val="a4"/>
        <w:numPr>
          <w:ilvl w:val="0"/>
          <w:numId w:val="119"/>
        </w:numPr>
        <w:tabs>
          <w:tab w:val="left" w:pos="1287"/>
        </w:tabs>
        <w:spacing w:before="53" w:line="254" w:lineRule="auto"/>
        <w:ind w:right="1377" w:firstLine="0"/>
        <w:jc w:val="left"/>
        <w:rPr>
          <w:sz w:val="16"/>
        </w:rPr>
      </w:pPr>
      <w:r>
        <w:rPr>
          <w:color w:val="231F20"/>
          <w:spacing w:val="1"/>
          <w:w w:val="105"/>
          <w:sz w:val="16"/>
        </w:rPr>
        <w:t xml:space="preserve">In </w:t>
      </w:r>
      <w:r>
        <w:rPr>
          <w:color w:val="231F20"/>
          <w:spacing w:val="-4"/>
          <w:w w:val="105"/>
          <w:sz w:val="16"/>
        </w:rPr>
        <w:t xml:space="preserve">1975, </w:t>
      </w:r>
      <w:r>
        <w:rPr>
          <w:color w:val="231F20"/>
          <w:w w:val="105"/>
          <w:sz w:val="16"/>
        </w:rPr>
        <w:t xml:space="preserve">for instance, two activists received respective sentences of six and nine months in prison under </w:t>
      </w:r>
      <w:r>
        <w:rPr>
          <w:color w:val="231F20"/>
          <w:w w:val="105"/>
          <w:sz w:val="14"/>
        </w:rPr>
        <w:t>§</w:t>
      </w:r>
      <w:r>
        <w:rPr>
          <w:color w:val="231F20"/>
          <w:w w:val="105"/>
          <w:sz w:val="16"/>
        </w:rPr>
        <w:t xml:space="preserve">129, simply for handing out pamphlets with information about isolation conditions. The Supreme Court’s decision made clear the object of such prosecutions: “The accused did not limit themselves to speaking to individuals in private, but by means of the leaflets sought to make contact with large numbers   of people, and principally with young people, who are  easily  influenced  in  this </w:t>
      </w:r>
      <w:r>
        <w:rPr>
          <w:color w:val="231F20"/>
          <w:spacing w:val="-4"/>
          <w:w w:val="105"/>
          <w:sz w:val="16"/>
        </w:rPr>
        <w:t>way…</w:t>
      </w:r>
      <w:r>
        <w:rPr>
          <w:color w:val="231F20"/>
          <w:spacing w:val="11"/>
          <w:w w:val="105"/>
          <w:sz w:val="16"/>
        </w:rPr>
        <w:t xml:space="preserve"> </w:t>
      </w:r>
      <w:r>
        <w:rPr>
          <w:color w:val="231F20"/>
          <w:w w:val="105"/>
          <w:sz w:val="16"/>
        </w:rPr>
        <w:t>Nor</w:t>
      </w:r>
      <w:r>
        <w:rPr>
          <w:color w:val="231F20"/>
          <w:spacing w:val="11"/>
          <w:w w:val="105"/>
          <w:sz w:val="16"/>
        </w:rPr>
        <w:t xml:space="preserve"> </w:t>
      </w:r>
      <w:r>
        <w:rPr>
          <w:color w:val="231F20"/>
          <w:w w:val="105"/>
          <w:sz w:val="16"/>
        </w:rPr>
        <w:t>should</w:t>
      </w:r>
      <w:r>
        <w:rPr>
          <w:color w:val="231F20"/>
          <w:spacing w:val="11"/>
          <w:w w:val="105"/>
          <w:sz w:val="16"/>
        </w:rPr>
        <w:t xml:space="preserve"> </w:t>
      </w:r>
      <w:r>
        <w:rPr>
          <w:color w:val="231F20"/>
          <w:w w:val="105"/>
          <w:sz w:val="16"/>
        </w:rPr>
        <w:t>the</w:t>
      </w:r>
      <w:r>
        <w:rPr>
          <w:color w:val="231F20"/>
          <w:spacing w:val="11"/>
          <w:w w:val="105"/>
          <w:sz w:val="16"/>
        </w:rPr>
        <w:t xml:space="preserve"> </w:t>
      </w:r>
      <w:r>
        <w:rPr>
          <w:color w:val="231F20"/>
          <w:w w:val="105"/>
          <w:sz w:val="16"/>
        </w:rPr>
        <w:t>possibility</w:t>
      </w:r>
      <w:r>
        <w:rPr>
          <w:color w:val="231F20"/>
          <w:spacing w:val="11"/>
          <w:w w:val="105"/>
          <w:sz w:val="16"/>
        </w:rPr>
        <w:t xml:space="preserve"> </w:t>
      </w:r>
      <w:r>
        <w:rPr>
          <w:color w:val="231F20"/>
          <w:w w:val="105"/>
          <w:sz w:val="16"/>
        </w:rPr>
        <w:t>of</w:t>
      </w:r>
      <w:r>
        <w:rPr>
          <w:color w:val="231F20"/>
          <w:spacing w:val="11"/>
          <w:w w:val="105"/>
          <w:sz w:val="16"/>
        </w:rPr>
        <w:t xml:space="preserve"> </w:t>
      </w:r>
      <w:r>
        <w:rPr>
          <w:color w:val="231F20"/>
          <w:w w:val="105"/>
          <w:sz w:val="16"/>
        </w:rPr>
        <w:t>imitation</w:t>
      </w:r>
      <w:r>
        <w:rPr>
          <w:color w:val="231F20"/>
          <w:spacing w:val="11"/>
          <w:w w:val="105"/>
          <w:sz w:val="16"/>
        </w:rPr>
        <w:t xml:space="preserve"> </w:t>
      </w:r>
      <w:r>
        <w:rPr>
          <w:color w:val="231F20"/>
          <w:w w:val="105"/>
          <w:sz w:val="16"/>
        </w:rPr>
        <w:t>by</w:t>
      </w:r>
      <w:r>
        <w:rPr>
          <w:color w:val="231F20"/>
          <w:spacing w:val="11"/>
          <w:w w:val="105"/>
          <w:sz w:val="16"/>
        </w:rPr>
        <w:t xml:space="preserve"> </w:t>
      </w:r>
      <w:r>
        <w:rPr>
          <w:color w:val="231F20"/>
          <w:w w:val="105"/>
          <w:sz w:val="16"/>
        </w:rPr>
        <w:t>potential</w:t>
      </w:r>
      <w:r>
        <w:rPr>
          <w:color w:val="231F20"/>
          <w:spacing w:val="11"/>
          <w:w w:val="105"/>
          <w:sz w:val="16"/>
        </w:rPr>
        <w:t xml:space="preserve"> </w:t>
      </w:r>
      <w:r>
        <w:rPr>
          <w:color w:val="231F20"/>
          <w:w w:val="105"/>
          <w:sz w:val="16"/>
        </w:rPr>
        <w:t>criminals</w:t>
      </w:r>
      <w:r>
        <w:rPr>
          <w:color w:val="231F20"/>
          <w:spacing w:val="11"/>
          <w:w w:val="105"/>
          <w:sz w:val="16"/>
        </w:rPr>
        <w:t xml:space="preserve"> </w:t>
      </w:r>
      <w:r>
        <w:rPr>
          <w:color w:val="231F20"/>
          <w:w w:val="105"/>
          <w:sz w:val="16"/>
        </w:rPr>
        <w:t>be</w:t>
      </w:r>
      <w:r>
        <w:rPr>
          <w:color w:val="231F20"/>
          <w:spacing w:val="11"/>
          <w:w w:val="105"/>
          <w:sz w:val="16"/>
        </w:rPr>
        <w:t xml:space="preserve"> </w:t>
      </w:r>
      <w:r>
        <w:rPr>
          <w:color w:val="231F20"/>
          <w:w w:val="105"/>
          <w:sz w:val="16"/>
        </w:rPr>
        <w:t>ignored.</w:t>
      </w:r>
    </w:p>
    <w:p w14:paraId="513EE725" w14:textId="77777777" w:rsidR="002653E8" w:rsidRDefault="003115E3">
      <w:pPr>
        <w:spacing w:before="2" w:line="254" w:lineRule="auto"/>
        <w:ind w:left="1147" w:right="1145"/>
        <w:rPr>
          <w:sz w:val="16"/>
        </w:rPr>
      </w:pPr>
      <w:r>
        <w:rPr>
          <w:color w:val="231F20"/>
          <w:w w:val="105"/>
          <w:sz w:val="16"/>
        </w:rPr>
        <w:t>Whether the sentence on the accused will remain largely unknown is not important; what is important is the effect it will inevitably have on people who do know of it.” (Cobler, 114-115)</w:t>
      </w:r>
    </w:p>
    <w:p w14:paraId="753648EF" w14:textId="77777777" w:rsidR="002653E8" w:rsidRDefault="003115E3">
      <w:pPr>
        <w:pStyle w:val="a4"/>
        <w:numPr>
          <w:ilvl w:val="0"/>
          <w:numId w:val="119"/>
        </w:numPr>
        <w:tabs>
          <w:tab w:val="left" w:pos="1287"/>
        </w:tabs>
        <w:spacing w:before="42"/>
        <w:ind w:left="1286"/>
        <w:jc w:val="left"/>
        <w:rPr>
          <w:sz w:val="16"/>
        </w:rPr>
      </w:pPr>
      <w:r>
        <w:rPr>
          <w:color w:val="231F20"/>
          <w:w w:val="105"/>
          <w:sz w:val="16"/>
        </w:rPr>
        <w:t>Komitees gegen Folter,</w:t>
      </w:r>
      <w:r>
        <w:rPr>
          <w:color w:val="231F20"/>
          <w:spacing w:val="23"/>
          <w:w w:val="105"/>
          <w:sz w:val="16"/>
        </w:rPr>
        <w:t xml:space="preserve"> </w:t>
      </w:r>
      <w:r>
        <w:rPr>
          <w:color w:val="231F20"/>
          <w:spacing w:val="-3"/>
          <w:w w:val="105"/>
          <w:sz w:val="16"/>
        </w:rPr>
        <w:t>86-87.</w:t>
      </w:r>
    </w:p>
    <w:p w14:paraId="3E98F881" w14:textId="77777777" w:rsidR="002653E8" w:rsidRDefault="002653E8">
      <w:pPr>
        <w:rPr>
          <w:sz w:val="16"/>
        </w:rPr>
        <w:sectPr w:rsidR="002653E8">
          <w:pgSz w:w="8640" w:h="12960"/>
          <w:pgMar w:top="1060" w:right="0" w:bottom="1040" w:left="0" w:header="0" w:footer="850" w:gutter="0"/>
          <w:cols w:space="720"/>
        </w:sectPr>
      </w:pPr>
    </w:p>
    <w:p w14:paraId="0D823420" w14:textId="77777777" w:rsidR="002653E8" w:rsidRDefault="003115E3">
      <w:pPr>
        <w:pStyle w:val="a3"/>
        <w:spacing w:before="86" w:line="264" w:lineRule="auto"/>
        <w:ind w:left="1327" w:right="1147"/>
        <w:jc w:val="both"/>
      </w:pPr>
      <w:r>
        <w:rPr>
          <w:color w:val="231F20"/>
        </w:rPr>
        <w:lastRenderedPageBreak/>
        <w:t>trade union, described the isolation conditions that the prisoners were subjected to as even worse than what he had suffered during four years in a Nazi concentration camp:</w:t>
      </w:r>
    </w:p>
    <w:p w14:paraId="57165922" w14:textId="77777777" w:rsidR="002653E8" w:rsidRDefault="003115E3">
      <w:pPr>
        <w:spacing w:before="126" w:line="276" w:lineRule="auto"/>
        <w:ind w:left="1747" w:right="1565"/>
        <w:jc w:val="both"/>
        <w:rPr>
          <w:i/>
          <w:sz w:val="11"/>
        </w:rPr>
      </w:pPr>
      <w:r>
        <w:rPr>
          <w:i/>
          <w:color w:val="231F20"/>
          <w:w w:val="105"/>
          <w:sz w:val="19"/>
        </w:rPr>
        <w:t xml:space="preserve">As crass and paradoxical as it may sound, my experiences with strict, radical isolation were worse than my time… in a Nazi concentration camp… [I]n the camp, I still had the bases for human life, </w:t>
      </w:r>
      <w:r>
        <w:rPr>
          <w:i/>
          <w:color w:val="231F20"/>
          <w:spacing w:val="-4"/>
          <w:w w:val="105"/>
          <w:sz w:val="19"/>
        </w:rPr>
        <w:t xml:space="preserve">namely, </w:t>
      </w:r>
      <w:r>
        <w:rPr>
          <w:i/>
          <w:color w:val="231F20"/>
          <w:w w:val="105"/>
          <w:sz w:val="19"/>
        </w:rPr>
        <w:t xml:space="preserve">communication with my fellow inmates… </w:t>
      </w:r>
      <w:r>
        <w:rPr>
          <w:i/>
          <w:color w:val="231F20"/>
          <w:spacing w:val="-6"/>
          <w:w w:val="105"/>
          <w:sz w:val="19"/>
        </w:rPr>
        <w:t xml:space="preserve">We </w:t>
      </w:r>
      <w:r>
        <w:rPr>
          <w:i/>
          <w:color w:val="231F20"/>
          <w:w w:val="105"/>
          <w:sz w:val="19"/>
        </w:rPr>
        <w:t>were able in the camps to see, not only outrageously fascistic and sadistic mistreatment, but also the possibilities of resistance and collective life among the prisoners, and, with this, for the fulfillment of the fundamental need of a human being: social existence.</w:t>
      </w:r>
      <w:r>
        <w:rPr>
          <w:i/>
          <w:color w:val="231F20"/>
          <w:w w:val="105"/>
          <w:position w:val="6"/>
          <w:sz w:val="11"/>
        </w:rPr>
        <w:t>3</w:t>
      </w:r>
    </w:p>
    <w:p w14:paraId="0F665F52" w14:textId="77777777" w:rsidR="002653E8" w:rsidRDefault="003115E3">
      <w:pPr>
        <w:pStyle w:val="a3"/>
        <w:spacing w:before="134" w:line="264" w:lineRule="auto"/>
        <w:ind w:left="1327" w:right="1146"/>
        <w:jc w:val="both"/>
      </w:pPr>
      <w:r>
        <w:rPr>
          <w:color w:val="231F20"/>
        </w:rPr>
        <w:t>Dutch psychologist Dr. Sjef Teuns described isolation and sensory deprivation as programmed torture. Dr. Christian Sigrist, who had worked alongside anticolonial freedom fighters in Africa, described the West German torture system as part of the worldwide counterstrategy against anti-imperialist combatants.</w:t>
      </w:r>
    </w:p>
    <w:p w14:paraId="65638AD4" w14:textId="77777777" w:rsidR="002653E8" w:rsidRDefault="003115E3">
      <w:pPr>
        <w:pStyle w:val="a3"/>
        <w:spacing w:line="264" w:lineRule="auto"/>
        <w:ind w:left="1327" w:right="1145" w:firstLine="210"/>
        <w:jc w:val="both"/>
        <w:rPr>
          <w:sz w:val="11"/>
        </w:rPr>
      </w:pPr>
      <w:r>
        <w:rPr>
          <w:color w:val="231F20"/>
        </w:rPr>
        <w:t xml:space="preserve">This last point was certainly as important to the prisoners as the former two. The </w:t>
      </w:r>
      <w:r w:rsidR="00C507A5">
        <w:rPr>
          <w:color w:val="231F20"/>
        </w:rPr>
        <w:t>red army faction</w:t>
      </w:r>
      <w:r>
        <w:rPr>
          <w:color w:val="231F20"/>
        </w:rPr>
        <w:t xml:space="preserve"> viewed human rights campaigns as being worse than useless; indeed, they viewed such humanitarianism as an attack on their fundamental principles. When Red Aid had put out leaflets accusing the state of denying the prisoners’ basic human rights, Baader had angrily objected that, “Because our comrades are half-dead they can’t think we’re anything else ourselves. They’re twisting the thing the same way the pigs twist it worldwide: Violence is taboo…”</w:t>
      </w:r>
      <w:r>
        <w:rPr>
          <w:color w:val="231F20"/>
          <w:position w:val="7"/>
          <w:sz w:val="11"/>
        </w:rPr>
        <w:t>4</w:t>
      </w:r>
    </w:p>
    <w:p w14:paraId="36D1D024" w14:textId="77777777" w:rsidR="002653E8" w:rsidRDefault="003115E3">
      <w:pPr>
        <w:pStyle w:val="a3"/>
        <w:spacing w:line="264" w:lineRule="auto"/>
        <w:ind w:left="1327" w:right="1146" w:firstLine="210"/>
        <w:jc w:val="both"/>
      </w:pPr>
      <w:r>
        <w:rPr>
          <w:color w:val="231F20"/>
        </w:rPr>
        <w:t>Similarly, Baader would later find it necessary to criticize defense attorney Otto Schily in this regard:</w:t>
      </w:r>
    </w:p>
    <w:p w14:paraId="2A2AC8DA" w14:textId="77777777" w:rsidR="002653E8" w:rsidRDefault="00000000">
      <w:pPr>
        <w:spacing w:before="113" w:line="276" w:lineRule="auto"/>
        <w:ind w:left="1747" w:right="1558"/>
        <w:jc w:val="both"/>
        <w:rPr>
          <w:i/>
          <w:sz w:val="11"/>
        </w:rPr>
      </w:pPr>
      <w:r>
        <w:rPr>
          <w:noProof w:val="0"/>
        </w:rPr>
        <w:pict w14:anchorId="79B47EA0">
          <v:line id="_x0000_s2418" style="position:absolute;left:0;text-align:left;z-index:6304;mso-wrap-distance-left:0;mso-wrap-distance-right:0;mso-position-horizontal-relative:page" from="66.4pt,115.05pt" to="138.4pt,115.05pt" strokecolor="#231f20" strokeweight=".5pt">
            <w10:wrap type="topAndBottom" anchorx="page"/>
          </v:line>
        </w:pict>
      </w:r>
      <w:r w:rsidR="003115E3">
        <w:rPr>
          <w:i/>
          <w:color w:val="231F20"/>
          <w:spacing w:val="-6"/>
          <w:w w:val="105"/>
          <w:sz w:val="19"/>
        </w:rPr>
        <w:t xml:space="preserve">We </w:t>
      </w:r>
      <w:r w:rsidR="003115E3">
        <w:rPr>
          <w:i/>
          <w:color w:val="231F20"/>
          <w:w w:val="105"/>
          <w:sz w:val="19"/>
        </w:rPr>
        <w:t>certainly can’t agree with the argument regarding torture  as it is developed by Schily in his petition […] In reacting to revolutionary politics, the state does not know what to do except torture, and in doing so it exposes itself as an imperialist state. The indignation of degenerate bourgeois antifascism only masks this.</w:t>
      </w:r>
      <w:r w:rsidR="003115E3">
        <w:rPr>
          <w:i/>
          <w:color w:val="231F20"/>
          <w:spacing w:val="-16"/>
          <w:w w:val="105"/>
          <w:sz w:val="19"/>
        </w:rPr>
        <w:t xml:space="preserve"> </w:t>
      </w:r>
      <w:r w:rsidR="003115E3">
        <w:rPr>
          <w:i/>
          <w:color w:val="231F20"/>
          <w:w w:val="105"/>
          <w:sz w:val="19"/>
        </w:rPr>
        <w:t>The</w:t>
      </w:r>
      <w:r w:rsidR="003115E3">
        <w:rPr>
          <w:i/>
          <w:color w:val="231F20"/>
          <w:spacing w:val="-5"/>
          <w:w w:val="105"/>
          <w:sz w:val="19"/>
        </w:rPr>
        <w:t xml:space="preserve"> </w:t>
      </w:r>
      <w:r w:rsidR="003115E3">
        <w:rPr>
          <w:i/>
          <w:color w:val="231F20"/>
          <w:w w:val="105"/>
          <w:sz w:val="19"/>
        </w:rPr>
        <w:t>latter</w:t>
      </w:r>
      <w:r w:rsidR="003115E3">
        <w:rPr>
          <w:i/>
          <w:color w:val="231F20"/>
          <w:spacing w:val="-5"/>
          <w:w w:val="105"/>
          <w:sz w:val="19"/>
        </w:rPr>
        <w:t xml:space="preserve"> </w:t>
      </w:r>
      <w:r w:rsidR="003115E3">
        <w:rPr>
          <w:i/>
          <w:color w:val="231F20"/>
          <w:w w:val="105"/>
          <w:sz w:val="19"/>
        </w:rPr>
        <w:t>is</w:t>
      </w:r>
      <w:r w:rsidR="003115E3">
        <w:rPr>
          <w:i/>
          <w:color w:val="231F20"/>
          <w:spacing w:val="-5"/>
          <w:w w:val="105"/>
          <w:sz w:val="19"/>
        </w:rPr>
        <w:t xml:space="preserve"> </w:t>
      </w:r>
      <w:r w:rsidR="003115E3">
        <w:rPr>
          <w:i/>
          <w:color w:val="231F20"/>
          <w:w w:val="105"/>
          <w:sz w:val="19"/>
        </w:rPr>
        <w:t>already</w:t>
      </w:r>
      <w:r w:rsidR="003115E3">
        <w:rPr>
          <w:i/>
          <w:color w:val="231F20"/>
          <w:spacing w:val="-5"/>
          <w:w w:val="105"/>
          <w:sz w:val="19"/>
        </w:rPr>
        <w:t xml:space="preserve"> </w:t>
      </w:r>
      <w:r w:rsidR="003115E3">
        <w:rPr>
          <w:i/>
          <w:color w:val="231F20"/>
          <w:w w:val="105"/>
          <w:sz w:val="19"/>
        </w:rPr>
        <w:t>so</w:t>
      </w:r>
      <w:r w:rsidR="003115E3">
        <w:rPr>
          <w:i/>
          <w:color w:val="231F20"/>
          <w:spacing w:val="-5"/>
          <w:w w:val="105"/>
          <w:sz w:val="19"/>
        </w:rPr>
        <w:t xml:space="preserve"> </w:t>
      </w:r>
      <w:r w:rsidR="003115E3">
        <w:rPr>
          <w:i/>
          <w:color w:val="231F20"/>
          <w:w w:val="105"/>
          <w:sz w:val="19"/>
        </w:rPr>
        <w:t>weak,</w:t>
      </w:r>
      <w:r w:rsidR="003115E3">
        <w:rPr>
          <w:i/>
          <w:color w:val="231F20"/>
          <w:spacing w:val="-11"/>
          <w:w w:val="105"/>
          <w:sz w:val="19"/>
        </w:rPr>
        <w:t xml:space="preserve"> </w:t>
      </w:r>
      <w:r w:rsidR="003115E3">
        <w:rPr>
          <w:i/>
          <w:color w:val="231F20"/>
          <w:w w:val="105"/>
          <w:sz w:val="19"/>
        </w:rPr>
        <w:t>corrupted</w:t>
      </w:r>
      <w:r w:rsidR="003115E3">
        <w:rPr>
          <w:i/>
          <w:color w:val="231F20"/>
          <w:spacing w:val="-5"/>
          <w:w w:val="105"/>
          <w:sz w:val="19"/>
        </w:rPr>
        <w:t xml:space="preserve"> </w:t>
      </w:r>
      <w:r w:rsidR="003115E3">
        <w:rPr>
          <w:i/>
          <w:color w:val="231F20"/>
          <w:w w:val="105"/>
          <w:sz w:val="19"/>
        </w:rPr>
        <w:t>by</w:t>
      </w:r>
      <w:r w:rsidR="003115E3">
        <w:rPr>
          <w:i/>
          <w:color w:val="231F20"/>
          <w:spacing w:val="-5"/>
          <w:w w:val="105"/>
          <w:sz w:val="19"/>
        </w:rPr>
        <w:t xml:space="preserve"> </w:t>
      </w:r>
      <w:r w:rsidR="003115E3">
        <w:rPr>
          <w:i/>
          <w:color w:val="231F20"/>
          <w:w w:val="105"/>
          <w:sz w:val="19"/>
        </w:rPr>
        <w:t>social</w:t>
      </w:r>
      <w:r w:rsidR="003115E3">
        <w:rPr>
          <w:i/>
          <w:color w:val="231F20"/>
          <w:spacing w:val="-5"/>
          <w:w w:val="105"/>
          <w:sz w:val="19"/>
        </w:rPr>
        <w:t xml:space="preserve"> </w:t>
      </w:r>
      <w:r w:rsidR="003115E3">
        <w:rPr>
          <w:i/>
          <w:color w:val="231F20"/>
          <w:spacing w:val="-4"/>
          <w:w w:val="105"/>
          <w:sz w:val="19"/>
        </w:rPr>
        <w:t xml:space="preserve">democracy, </w:t>
      </w:r>
      <w:r w:rsidR="003115E3">
        <w:rPr>
          <w:i/>
          <w:color w:val="231F20"/>
          <w:w w:val="105"/>
          <w:sz w:val="19"/>
        </w:rPr>
        <w:t>and locked in revisionism, that it can no longer express itself in a meaningful</w:t>
      </w:r>
      <w:r w:rsidR="003115E3">
        <w:rPr>
          <w:i/>
          <w:color w:val="231F20"/>
          <w:spacing w:val="6"/>
          <w:w w:val="105"/>
          <w:sz w:val="19"/>
        </w:rPr>
        <w:t xml:space="preserve"> </w:t>
      </w:r>
      <w:r w:rsidR="003115E3">
        <w:rPr>
          <w:i/>
          <w:color w:val="231F20"/>
          <w:spacing w:val="-6"/>
          <w:w w:val="105"/>
          <w:sz w:val="19"/>
        </w:rPr>
        <w:t>way.</w:t>
      </w:r>
      <w:r w:rsidR="003115E3">
        <w:rPr>
          <w:i/>
          <w:color w:val="231F20"/>
          <w:spacing w:val="-6"/>
          <w:w w:val="105"/>
          <w:position w:val="6"/>
          <w:sz w:val="11"/>
        </w:rPr>
        <w:t>5</w:t>
      </w:r>
    </w:p>
    <w:p w14:paraId="46680985" w14:textId="77777777" w:rsidR="002653E8" w:rsidRDefault="003115E3">
      <w:pPr>
        <w:pStyle w:val="a4"/>
        <w:numPr>
          <w:ilvl w:val="0"/>
          <w:numId w:val="119"/>
        </w:numPr>
        <w:tabs>
          <w:tab w:val="left" w:pos="1467"/>
        </w:tabs>
        <w:spacing w:before="53"/>
        <w:ind w:left="1466"/>
        <w:jc w:val="left"/>
        <w:rPr>
          <w:sz w:val="16"/>
        </w:rPr>
      </w:pPr>
      <w:r>
        <w:rPr>
          <w:color w:val="231F20"/>
          <w:w w:val="115"/>
          <w:sz w:val="16"/>
        </w:rPr>
        <w:t>Varon,</w:t>
      </w:r>
      <w:r>
        <w:rPr>
          <w:color w:val="231F20"/>
          <w:spacing w:val="5"/>
          <w:w w:val="115"/>
          <w:sz w:val="16"/>
        </w:rPr>
        <w:t xml:space="preserve"> </w:t>
      </w:r>
      <w:r>
        <w:rPr>
          <w:color w:val="231F20"/>
          <w:spacing w:val="-3"/>
          <w:w w:val="115"/>
          <w:sz w:val="16"/>
        </w:rPr>
        <w:t>218.</w:t>
      </w:r>
    </w:p>
    <w:p w14:paraId="2042013E" w14:textId="77777777" w:rsidR="002653E8" w:rsidRDefault="003115E3">
      <w:pPr>
        <w:spacing w:before="51"/>
        <w:ind w:left="1327"/>
        <w:rPr>
          <w:sz w:val="16"/>
        </w:rPr>
      </w:pPr>
      <w:r>
        <w:rPr>
          <w:color w:val="231F20"/>
          <w:w w:val="110"/>
          <w:sz w:val="16"/>
        </w:rPr>
        <w:t>4 Aust, 242.</w:t>
      </w:r>
    </w:p>
    <w:p w14:paraId="1F367DC5" w14:textId="77777777" w:rsidR="002653E8" w:rsidRDefault="003115E3">
      <w:pPr>
        <w:spacing w:before="52"/>
        <w:ind w:left="1327"/>
        <w:rPr>
          <w:sz w:val="16"/>
        </w:rPr>
      </w:pPr>
      <w:r>
        <w:rPr>
          <w:color w:val="231F20"/>
          <w:w w:val="105"/>
          <w:sz w:val="16"/>
        </w:rPr>
        <w:t>5 Andreas Baader Regarding Torture, reprinted in this volume on pages 319-323.</w:t>
      </w:r>
    </w:p>
    <w:p w14:paraId="0883A4AB" w14:textId="77777777" w:rsidR="002653E8" w:rsidRDefault="002653E8">
      <w:pPr>
        <w:rPr>
          <w:sz w:val="16"/>
        </w:rPr>
        <w:sectPr w:rsidR="002653E8">
          <w:pgSz w:w="8640" w:h="12960"/>
          <w:pgMar w:top="1060" w:right="0" w:bottom="1040" w:left="0" w:header="0" w:footer="850" w:gutter="0"/>
          <w:cols w:space="720"/>
        </w:sectPr>
      </w:pPr>
    </w:p>
    <w:p w14:paraId="3D50ED24" w14:textId="77777777" w:rsidR="002653E8" w:rsidRDefault="003115E3">
      <w:pPr>
        <w:pStyle w:val="a3"/>
        <w:spacing w:before="86" w:line="264" w:lineRule="auto"/>
        <w:ind w:left="1148" w:right="1325" w:hanging="1"/>
        <w:jc w:val="both"/>
        <w:rPr>
          <w:sz w:val="11"/>
        </w:rPr>
      </w:pPr>
      <w:r>
        <w:rPr>
          <w:color w:val="231F20"/>
        </w:rPr>
        <w:lastRenderedPageBreak/>
        <w:t xml:space="preserve">On May 24, </w:t>
      </w:r>
      <w:r>
        <w:rPr>
          <w:color w:val="231F20"/>
          <w:spacing w:val="-5"/>
        </w:rPr>
        <w:t xml:space="preserve">1973, </w:t>
      </w:r>
      <w:r>
        <w:rPr>
          <w:color w:val="231F20"/>
        </w:rPr>
        <w:t>fourteen days into the second hunger strike,  the prison</w:t>
      </w:r>
      <w:r>
        <w:rPr>
          <w:color w:val="231F20"/>
          <w:spacing w:val="-6"/>
        </w:rPr>
        <w:t xml:space="preserve"> </w:t>
      </w:r>
      <w:r>
        <w:rPr>
          <w:color w:val="231F20"/>
        </w:rPr>
        <w:t>authorities</w:t>
      </w:r>
      <w:r>
        <w:rPr>
          <w:color w:val="231F20"/>
          <w:spacing w:val="-6"/>
        </w:rPr>
        <w:t xml:space="preserve"> </w:t>
      </w:r>
      <w:r>
        <w:rPr>
          <w:color w:val="231F20"/>
        </w:rPr>
        <w:t>began</w:t>
      </w:r>
      <w:r>
        <w:rPr>
          <w:color w:val="231F20"/>
          <w:spacing w:val="-6"/>
        </w:rPr>
        <w:t xml:space="preserve"> </w:t>
      </w:r>
      <w:r>
        <w:rPr>
          <w:color w:val="231F20"/>
        </w:rPr>
        <w:t>withholding</w:t>
      </w:r>
      <w:r>
        <w:rPr>
          <w:color w:val="231F20"/>
          <w:spacing w:val="-6"/>
        </w:rPr>
        <w:t xml:space="preserve"> </w:t>
      </w:r>
      <w:r>
        <w:rPr>
          <w:color w:val="231F20"/>
        </w:rPr>
        <w:t>water</w:t>
      </w:r>
      <w:r>
        <w:rPr>
          <w:color w:val="231F20"/>
          <w:spacing w:val="-6"/>
        </w:rPr>
        <w:t xml:space="preserve"> </w:t>
      </w:r>
      <w:r>
        <w:rPr>
          <w:color w:val="231F20"/>
        </w:rPr>
        <w:t>from</w:t>
      </w:r>
      <w:r>
        <w:rPr>
          <w:color w:val="231F20"/>
          <w:spacing w:val="-6"/>
        </w:rPr>
        <w:t xml:space="preserve"> </w:t>
      </w:r>
      <w:r>
        <w:rPr>
          <w:color w:val="231F20"/>
        </w:rPr>
        <w:t>Baader,</w:t>
      </w:r>
      <w:r>
        <w:rPr>
          <w:color w:val="231F20"/>
          <w:spacing w:val="-6"/>
        </w:rPr>
        <w:t xml:space="preserve"> </w:t>
      </w:r>
      <w:r>
        <w:rPr>
          <w:color w:val="231F20"/>
        </w:rPr>
        <w:t>despite</w:t>
      </w:r>
      <w:r>
        <w:rPr>
          <w:color w:val="231F20"/>
          <w:spacing w:val="-6"/>
        </w:rPr>
        <w:t xml:space="preserve"> </w:t>
      </w:r>
      <w:r>
        <w:rPr>
          <w:color w:val="231F20"/>
        </w:rPr>
        <w:t>a</w:t>
      </w:r>
      <w:r>
        <w:rPr>
          <w:color w:val="231F20"/>
          <w:spacing w:val="-6"/>
        </w:rPr>
        <w:t xml:space="preserve"> </w:t>
      </w:r>
      <w:r>
        <w:rPr>
          <w:color w:val="231F20"/>
        </w:rPr>
        <w:t xml:space="preserve">court decision two days earlier forbidding such tactics, as even short term water deprivation under a doctor’s supervision can seriously damage </w:t>
      </w:r>
      <w:r>
        <w:rPr>
          <w:color w:val="231F20"/>
          <w:spacing w:val="-3"/>
        </w:rPr>
        <w:t xml:space="preserve">one’s </w:t>
      </w:r>
      <w:r>
        <w:rPr>
          <w:color w:val="231F20"/>
        </w:rPr>
        <w:t>health.</w:t>
      </w:r>
      <w:r>
        <w:rPr>
          <w:color w:val="231F20"/>
          <w:position w:val="7"/>
          <w:sz w:val="11"/>
        </w:rPr>
        <w:t xml:space="preserve">1 </w:t>
      </w:r>
      <w:r>
        <w:rPr>
          <w:color w:val="231F20"/>
        </w:rPr>
        <w:t>Indeed, after several days without water and in critical condition—suffering kidney pains, a sore throat, and difficulty seeing— Baader was forced to end his hunger strike. Apparently pleased with their success, the authorities targeted Bernhard Braun next, attempting to have him placed in the so-called “dry cell,” but his lawyer managed   to intervene and have this</w:t>
      </w:r>
      <w:r>
        <w:rPr>
          <w:color w:val="231F20"/>
          <w:spacing w:val="10"/>
        </w:rPr>
        <w:t xml:space="preserve"> </w:t>
      </w:r>
      <w:r>
        <w:rPr>
          <w:color w:val="231F20"/>
        </w:rPr>
        <w:t>blocked.</w:t>
      </w:r>
      <w:r>
        <w:rPr>
          <w:color w:val="231F20"/>
          <w:position w:val="7"/>
          <w:sz w:val="11"/>
        </w:rPr>
        <w:t>2</w:t>
      </w:r>
    </w:p>
    <w:p w14:paraId="64A660AF" w14:textId="77777777" w:rsidR="002653E8" w:rsidRDefault="003115E3">
      <w:pPr>
        <w:pStyle w:val="a3"/>
        <w:spacing w:line="264" w:lineRule="auto"/>
        <w:ind w:left="1147" w:right="1325" w:firstLine="210"/>
        <w:jc w:val="both"/>
        <w:rPr>
          <w:sz w:val="11"/>
        </w:rPr>
      </w:pPr>
      <w:r>
        <w:rPr>
          <w:color w:val="231F20"/>
        </w:rPr>
        <w:t>The hunger strike continued until June 29, when the District Court in Karlsruhe</w:t>
      </w:r>
      <w:r>
        <w:rPr>
          <w:color w:val="231F20"/>
          <w:spacing w:val="-14"/>
        </w:rPr>
        <w:t xml:space="preserve"> </w:t>
      </w:r>
      <w:r>
        <w:rPr>
          <w:color w:val="231F20"/>
        </w:rPr>
        <w:t>ordered</w:t>
      </w:r>
      <w:r>
        <w:rPr>
          <w:color w:val="231F20"/>
          <w:spacing w:val="-14"/>
        </w:rPr>
        <w:t xml:space="preserve"> </w:t>
      </w:r>
      <w:r>
        <w:rPr>
          <w:color w:val="231F20"/>
        </w:rPr>
        <w:t>the</w:t>
      </w:r>
      <w:r>
        <w:rPr>
          <w:color w:val="231F20"/>
          <w:spacing w:val="-14"/>
        </w:rPr>
        <w:t xml:space="preserve"> </w:t>
      </w:r>
      <w:r>
        <w:rPr>
          <w:color w:val="231F20"/>
        </w:rPr>
        <w:t>release</w:t>
      </w:r>
      <w:r>
        <w:rPr>
          <w:color w:val="231F20"/>
          <w:spacing w:val="-14"/>
        </w:rPr>
        <w:t xml:space="preserve"> </w:t>
      </w:r>
      <w:r>
        <w:rPr>
          <w:color w:val="231F20"/>
        </w:rPr>
        <w:t>from</w:t>
      </w:r>
      <w:r>
        <w:rPr>
          <w:color w:val="231F20"/>
          <w:spacing w:val="-14"/>
        </w:rPr>
        <w:t xml:space="preserve"> </w:t>
      </w:r>
      <w:r>
        <w:rPr>
          <w:color w:val="231F20"/>
        </w:rPr>
        <w:t>isolation</w:t>
      </w:r>
      <w:r>
        <w:rPr>
          <w:color w:val="231F20"/>
          <w:spacing w:val="-14"/>
        </w:rPr>
        <w:t xml:space="preserve"> </w:t>
      </w:r>
      <w:r>
        <w:rPr>
          <w:color w:val="231F20"/>
        </w:rPr>
        <w:t>of</w:t>
      </w:r>
      <w:r>
        <w:rPr>
          <w:color w:val="231F20"/>
          <w:spacing w:val="-14"/>
        </w:rPr>
        <w:t xml:space="preserve"> </w:t>
      </w:r>
      <w:r>
        <w:rPr>
          <w:color w:val="231F20"/>
        </w:rPr>
        <w:t>two</w:t>
      </w:r>
      <w:r>
        <w:rPr>
          <w:color w:val="231F20"/>
          <w:spacing w:val="-14"/>
        </w:rPr>
        <w:t xml:space="preserve"> </w:t>
      </w:r>
      <w:r>
        <w:rPr>
          <w:color w:val="231F20"/>
        </w:rPr>
        <w:t>prisoners.</w:t>
      </w:r>
      <w:r>
        <w:rPr>
          <w:color w:val="231F20"/>
          <w:position w:val="7"/>
          <w:sz w:val="11"/>
        </w:rPr>
        <w:t>3</w:t>
      </w:r>
      <w:r>
        <w:rPr>
          <w:color w:val="231F20"/>
          <w:spacing w:val="-7"/>
          <w:position w:val="7"/>
          <w:sz w:val="11"/>
        </w:rPr>
        <w:t xml:space="preserve"> </w:t>
      </w:r>
      <w:r>
        <w:rPr>
          <w:color w:val="231F20"/>
        </w:rPr>
        <w:t>(Although accounts are vague on this point, there is some indication that the two were</w:t>
      </w:r>
      <w:r>
        <w:rPr>
          <w:color w:val="231F20"/>
          <w:spacing w:val="11"/>
        </w:rPr>
        <w:t xml:space="preserve"> </w:t>
      </w:r>
      <w:r>
        <w:rPr>
          <w:color w:val="231F20"/>
        </w:rPr>
        <w:t>former</w:t>
      </w:r>
      <w:r>
        <w:rPr>
          <w:color w:val="231F20"/>
          <w:spacing w:val="11"/>
        </w:rPr>
        <w:t xml:space="preserve"> </w:t>
      </w:r>
      <w:r>
        <w:rPr>
          <w:color w:val="231F20"/>
        </w:rPr>
        <w:t>SPK</w:t>
      </w:r>
      <w:r>
        <w:rPr>
          <w:color w:val="231F20"/>
          <w:spacing w:val="11"/>
        </w:rPr>
        <w:t xml:space="preserve"> </w:t>
      </w:r>
      <w:r>
        <w:rPr>
          <w:color w:val="231F20"/>
        </w:rPr>
        <w:t>members</w:t>
      </w:r>
      <w:r>
        <w:rPr>
          <w:color w:val="231F20"/>
          <w:spacing w:val="11"/>
        </w:rPr>
        <w:t xml:space="preserve"> </w:t>
      </w:r>
      <w:r>
        <w:rPr>
          <w:color w:val="231F20"/>
        </w:rPr>
        <w:t>Carmen</w:t>
      </w:r>
      <w:r>
        <w:rPr>
          <w:color w:val="231F20"/>
          <w:spacing w:val="11"/>
        </w:rPr>
        <w:t xml:space="preserve"> </w:t>
      </w:r>
      <w:r>
        <w:rPr>
          <w:color w:val="231F20"/>
        </w:rPr>
        <w:t>Roll</w:t>
      </w:r>
      <w:r>
        <w:rPr>
          <w:color w:val="231F20"/>
          <w:spacing w:val="11"/>
        </w:rPr>
        <w:t xml:space="preserve"> </w:t>
      </w:r>
      <w:r>
        <w:rPr>
          <w:color w:val="231F20"/>
        </w:rPr>
        <w:t>and</w:t>
      </w:r>
      <w:r>
        <w:rPr>
          <w:color w:val="231F20"/>
          <w:spacing w:val="11"/>
        </w:rPr>
        <w:t xml:space="preserve"> </w:t>
      </w:r>
      <w:r>
        <w:rPr>
          <w:color w:val="231F20"/>
        </w:rPr>
        <w:t>Siegfried</w:t>
      </w:r>
      <w:r>
        <w:rPr>
          <w:color w:val="231F20"/>
          <w:spacing w:val="11"/>
        </w:rPr>
        <w:t xml:space="preserve"> </w:t>
      </w:r>
      <w:r>
        <w:rPr>
          <w:color w:val="231F20"/>
        </w:rPr>
        <w:t>Hausner.)</w:t>
      </w:r>
      <w:r>
        <w:rPr>
          <w:color w:val="231F20"/>
          <w:position w:val="7"/>
          <w:sz w:val="11"/>
        </w:rPr>
        <w:t>4</w:t>
      </w:r>
    </w:p>
    <w:p w14:paraId="5DD7F4E9" w14:textId="77777777" w:rsidR="002653E8" w:rsidRDefault="003115E3">
      <w:pPr>
        <w:pStyle w:val="a3"/>
        <w:spacing w:line="264" w:lineRule="auto"/>
        <w:ind w:left="1147" w:right="1326" w:firstLine="210"/>
        <w:jc w:val="both"/>
      </w:pPr>
      <w:r>
        <w:rPr>
          <w:color w:val="231F20"/>
        </w:rPr>
        <w:t xml:space="preserve">yet, soon after these two prisoners had their conditions relaxed for health reasons, another </w:t>
      </w:r>
      <w:r w:rsidR="00C507A5">
        <w:rPr>
          <w:color w:val="231F20"/>
        </w:rPr>
        <w:t>red army faction</w:t>
      </w:r>
      <w:r>
        <w:rPr>
          <w:color w:val="231F20"/>
        </w:rPr>
        <w:t xml:space="preserve"> prisoner was effectively sentenced to death by medical neglect.</w:t>
      </w:r>
    </w:p>
    <w:p w14:paraId="40DB7898" w14:textId="77777777" w:rsidR="002653E8" w:rsidRDefault="003115E3">
      <w:pPr>
        <w:pStyle w:val="a3"/>
        <w:spacing w:line="264" w:lineRule="auto"/>
        <w:ind w:left="1147" w:right="1326" w:firstLine="210"/>
        <w:jc w:val="both"/>
      </w:pPr>
      <w:r>
        <w:rPr>
          <w:color w:val="231F20"/>
        </w:rPr>
        <w:t xml:space="preserve">Katharina Hammerschmidt had fled to France in </w:t>
      </w:r>
      <w:r>
        <w:rPr>
          <w:color w:val="231F20"/>
          <w:spacing w:val="-4"/>
        </w:rPr>
        <w:t xml:space="preserve">1971, </w:t>
      </w:r>
      <w:r>
        <w:rPr>
          <w:color w:val="231F20"/>
        </w:rPr>
        <w:t xml:space="preserve">but when the May Offensive had ended in a wave of arrests, she had turned herself   in, returning to face the relatively minor charges relating to her having located safehouses for the guerilla. Despite the fact that she had surrendered voluntarily, she was remanded to the </w:t>
      </w:r>
      <w:r>
        <w:rPr>
          <w:color w:val="231F20"/>
          <w:spacing w:val="-3"/>
        </w:rPr>
        <w:t xml:space="preserve">West </w:t>
      </w:r>
      <w:r>
        <w:rPr>
          <w:color w:val="231F20"/>
        </w:rPr>
        <w:t xml:space="preserve">Berlin </w:t>
      </w:r>
      <w:r>
        <w:rPr>
          <w:color w:val="231F20"/>
          <w:spacing w:val="-4"/>
        </w:rPr>
        <w:t xml:space="preserve">Women’s </w:t>
      </w:r>
      <w:r>
        <w:rPr>
          <w:color w:val="231F20"/>
        </w:rPr>
        <w:t>Prison while awaiting her</w:t>
      </w:r>
      <w:r>
        <w:rPr>
          <w:color w:val="231F20"/>
          <w:spacing w:val="32"/>
        </w:rPr>
        <w:t xml:space="preserve"> </w:t>
      </w:r>
      <w:r>
        <w:rPr>
          <w:color w:val="231F20"/>
        </w:rPr>
        <w:t>trial.</w:t>
      </w:r>
    </w:p>
    <w:p w14:paraId="3EAE32EA" w14:textId="77777777" w:rsidR="002653E8" w:rsidRDefault="003115E3">
      <w:pPr>
        <w:pStyle w:val="a3"/>
        <w:spacing w:line="264" w:lineRule="auto"/>
        <w:ind w:left="1147" w:right="1326" w:firstLine="210"/>
        <w:jc w:val="both"/>
        <w:rPr>
          <w:sz w:val="11"/>
        </w:rPr>
      </w:pPr>
      <w:r>
        <w:rPr>
          <w:color w:val="231F20"/>
          <w:spacing w:val="1"/>
        </w:rPr>
        <w:t xml:space="preserve">In </w:t>
      </w:r>
      <w:r>
        <w:rPr>
          <w:color w:val="231F20"/>
        </w:rPr>
        <w:t xml:space="preserve">August </w:t>
      </w:r>
      <w:r>
        <w:rPr>
          <w:color w:val="231F20"/>
          <w:spacing w:val="-5"/>
        </w:rPr>
        <w:t xml:space="preserve">1973, </w:t>
      </w:r>
      <w:r>
        <w:rPr>
          <w:color w:val="231F20"/>
        </w:rPr>
        <w:t xml:space="preserve">Hammerschmidt underwent a routine medical exam, which included some x-rays. These revealed an abnormal growth in her chest, but the prison doctors took no steps to evaluate whether this   was benign or malignant. </w:t>
      </w:r>
      <w:r>
        <w:rPr>
          <w:color w:val="231F20"/>
          <w:spacing w:val="1"/>
        </w:rPr>
        <w:t xml:space="preserve">In </w:t>
      </w:r>
      <w:r>
        <w:rPr>
          <w:color w:val="231F20"/>
        </w:rPr>
        <w:t>fact, they did not even inform her of the results.</w:t>
      </w:r>
      <w:r>
        <w:rPr>
          <w:color w:val="231F20"/>
          <w:position w:val="7"/>
          <w:sz w:val="11"/>
        </w:rPr>
        <w:t>5</w:t>
      </w:r>
    </w:p>
    <w:p w14:paraId="3BE410BA" w14:textId="77777777" w:rsidR="002653E8" w:rsidRDefault="003115E3">
      <w:pPr>
        <w:pStyle w:val="a3"/>
        <w:spacing w:line="264" w:lineRule="auto"/>
        <w:ind w:left="1147" w:right="1326" w:firstLine="210"/>
        <w:jc w:val="both"/>
      </w:pPr>
      <w:r>
        <w:rPr>
          <w:color w:val="231F20"/>
        </w:rPr>
        <w:t>In September, Hammerschmidt began to complain of intense pain in her chest and throat. She had difficulty breathing and it hurt to swallow, yet the prison doctors simply told her that if the symptoms continued, more x-rays would be taken in another three months.</w:t>
      </w:r>
    </w:p>
    <w:p w14:paraId="3762819E" w14:textId="77777777" w:rsidR="002653E8" w:rsidRDefault="00000000">
      <w:pPr>
        <w:pStyle w:val="a3"/>
        <w:spacing w:before="5"/>
        <w:rPr>
          <w:sz w:val="11"/>
        </w:rPr>
      </w:pPr>
      <w:r>
        <w:rPr>
          <w:noProof w:val="0"/>
        </w:rPr>
        <w:pict w14:anchorId="1C6AAC40">
          <v:line id="_x0000_s2417" style="position:absolute;z-index:6328;mso-wrap-distance-left:0;mso-wrap-distance-right:0;mso-position-horizontal-relative:page" from="57.4pt,8.95pt" to="129.4pt,8.95pt" strokecolor="#231f20" strokeweight=".5pt">
            <w10:wrap type="topAndBottom" anchorx="page"/>
          </v:line>
        </w:pict>
      </w:r>
    </w:p>
    <w:p w14:paraId="59136044" w14:textId="77777777" w:rsidR="002653E8" w:rsidRDefault="003115E3">
      <w:pPr>
        <w:spacing w:before="53" w:line="307" w:lineRule="auto"/>
        <w:ind w:left="1147" w:right="1430"/>
        <w:rPr>
          <w:sz w:val="16"/>
        </w:rPr>
      </w:pPr>
      <w:r>
        <w:rPr>
          <w:color w:val="231F20"/>
          <w:w w:val="110"/>
          <w:sz w:val="16"/>
        </w:rPr>
        <w:t>1</w:t>
      </w:r>
      <w:bookmarkStart w:id="105" w:name="_Hlk103436021"/>
      <w:r>
        <w:rPr>
          <w:color w:val="231F20"/>
          <w:w w:val="110"/>
          <w:sz w:val="16"/>
        </w:rPr>
        <w:t xml:space="preserve"> Klaus Croissant, “La justice et la torture par l’isolement,” in Croissant, 120-121. 2 Ibid., 120.</w:t>
      </w:r>
    </w:p>
    <w:p w14:paraId="5760F0AF" w14:textId="77777777" w:rsidR="002653E8" w:rsidRDefault="003115E3">
      <w:pPr>
        <w:pStyle w:val="a4"/>
        <w:numPr>
          <w:ilvl w:val="0"/>
          <w:numId w:val="118"/>
        </w:numPr>
        <w:tabs>
          <w:tab w:val="left" w:pos="1287"/>
        </w:tabs>
        <w:spacing w:before="0" w:line="186" w:lineRule="exact"/>
        <w:ind w:firstLine="0"/>
        <w:rPr>
          <w:sz w:val="16"/>
        </w:rPr>
      </w:pPr>
      <w:r>
        <w:rPr>
          <w:color w:val="231F20"/>
          <w:w w:val="110"/>
          <w:sz w:val="16"/>
        </w:rPr>
        <w:t>Rote Armee Fraktion,</w:t>
      </w:r>
      <w:r>
        <w:rPr>
          <w:color w:val="231F20"/>
          <w:spacing w:val="17"/>
          <w:w w:val="110"/>
          <w:sz w:val="16"/>
        </w:rPr>
        <w:t xml:space="preserve"> </w:t>
      </w:r>
      <w:r>
        <w:rPr>
          <w:color w:val="231F20"/>
          <w:spacing w:val="-4"/>
          <w:w w:val="110"/>
          <w:sz w:val="16"/>
        </w:rPr>
        <w:t>181.</w:t>
      </w:r>
    </w:p>
    <w:p w14:paraId="3CFE5D90" w14:textId="77777777" w:rsidR="002653E8" w:rsidRDefault="003115E3">
      <w:pPr>
        <w:pStyle w:val="a4"/>
        <w:numPr>
          <w:ilvl w:val="0"/>
          <w:numId w:val="118"/>
        </w:numPr>
        <w:tabs>
          <w:tab w:val="left" w:pos="1287"/>
        </w:tabs>
        <w:spacing w:before="51" w:line="254" w:lineRule="auto"/>
        <w:ind w:right="1646" w:firstLine="0"/>
        <w:jc w:val="both"/>
        <w:rPr>
          <w:sz w:val="16"/>
        </w:rPr>
      </w:pPr>
      <w:r>
        <w:rPr>
          <w:color w:val="231F20"/>
          <w:sz w:val="16"/>
        </w:rPr>
        <w:t xml:space="preserve">Hausner had been arrested in 1972 for building bombs and sentenced to three years in a youth facility; he was released from prison in </w:t>
      </w:r>
      <w:r>
        <w:rPr>
          <w:color w:val="231F20"/>
          <w:spacing w:val="-4"/>
          <w:sz w:val="16"/>
        </w:rPr>
        <w:t xml:space="preserve">1974,  </w:t>
      </w:r>
      <w:r>
        <w:rPr>
          <w:color w:val="231F20"/>
          <w:sz w:val="16"/>
        </w:rPr>
        <w:t>at which point he  made contact with other former SPK members and returned to the underground  with the</w:t>
      </w:r>
      <w:r>
        <w:rPr>
          <w:color w:val="231F20"/>
          <w:spacing w:val="-14"/>
          <w:sz w:val="16"/>
        </w:rPr>
        <w:t xml:space="preserve"> </w:t>
      </w:r>
      <w:r w:rsidR="00C507A5">
        <w:rPr>
          <w:color w:val="231F20"/>
          <w:sz w:val="16"/>
        </w:rPr>
        <w:t>red army faction</w:t>
      </w:r>
      <w:r>
        <w:rPr>
          <w:color w:val="231F20"/>
          <w:sz w:val="16"/>
        </w:rPr>
        <w:t>.</w:t>
      </w:r>
    </w:p>
    <w:p w14:paraId="05583E0D" w14:textId="77777777" w:rsidR="002653E8" w:rsidRDefault="003115E3">
      <w:pPr>
        <w:pStyle w:val="a4"/>
        <w:numPr>
          <w:ilvl w:val="0"/>
          <w:numId w:val="118"/>
        </w:numPr>
        <w:tabs>
          <w:tab w:val="left" w:pos="1287"/>
        </w:tabs>
        <w:spacing w:before="42"/>
        <w:ind w:left="1286" w:hanging="138"/>
        <w:jc w:val="both"/>
        <w:rPr>
          <w:sz w:val="16"/>
        </w:rPr>
      </w:pPr>
      <w:r>
        <w:rPr>
          <w:color w:val="231F20"/>
          <w:w w:val="110"/>
          <w:sz w:val="16"/>
        </w:rPr>
        <w:t>“Des medecins portent plainte,” in Croissant,</w:t>
      </w:r>
      <w:r>
        <w:rPr>
          <w:color w:val="231F20"/>
          <w:spacing w:val="32"/>
          <w:w w:val="110"/>
          <w:sz w:val="16"/>
        </w:rPr>
        <w:t xml:space="preserve"> </w:t>
      </w:r>
      <w:r>
        <w:rPr>
          <w:color w:val="231F20"/>
          <w:spacing w:val="-5"/>
          <w:w w:val="110"/>
          <w:sz w:val="16"/>
        </w:rPr>
        <w:t>104-107.</w:t>
      </w:r>
    </w:p>
    <w:bookmarkEnd w:id="105"/>
    <w:p w14:paraId="255118F2" w14:textId="77777777" w:rsidR="002653E8" w:rsidRDefault="002653E8">
      <w:pPr>
        <w:jc w:val="both"/>
        <w:rPr>
          <w:sz w:val="16"/>
        </w:rPr>
        <w:sectPr w:rsidR="002653E8">
          <w:footerReference w:type="even" r:id="rId209"/>
          <w:footerReference w:type="default" r:id="rId210"/>
          <w:pgSz w:w="8640" w:h="12960"/>
          <w:pgMar w:top="1060" w:right="0" w:bottom="1040" w:left="0" w:header="0" w:footer="850" w:gutter="0"/>
          <w:cols w:space="720"/>
        </w:sectPr>
      </w:pPr>
    </w:p>
    <w:p w14:paraId="3336B370" w14:textId="77777777" w:rsidR="002653E8" w:rsidRDefault="00000000">
      <w:pPr>
        <w:pStyle w:val="a3"/>
        <w:spacing w:before="7"/>
        <w:rPr>
          <w:sz w:val="14"/>
        </w:rPr>
      </w:pPr>
      <w:r>
        <w:rPr>
          <w:noProof w:val="0"/>
        </w:rPr>
        <w:lastRenderedPageBreak/>
        <w:pict w14:anchorId="435ECAEC">
          <v:group id="_x0000_s2409" style="position:absolute;margin-left:67.4pt;margin-top:55.15pt;width:306.2pt;height:511.35pt;z-index:-458296;mso-position-horizontal-relative:page;mso-position-vertical-relative:page" coordorigin="1348,1103" coordsize="6124,10227">
            <v:rect id="_x0000_s2416" style="position:absolute;left:1348;top:1103;width:6124;height:10227" fillcolor="#e6e7e8" stroked="f"/>
            <v:line id="_x0000_s2415" style="position:absolute" from="1543,10896" to="2983,10896" strokecolor="#231f20" strokeweight=".5pt"/>
            <v:line id="_x0000_s2414" style="position:absolute" from="1355,1163" to="1355,11285" strokecolor="#231f20">
              <v:stroke dashstyle="3 1"/>
            </v:line>
            <v:line id="_x0000_s2413" style="position:absolute" from="1408,11323" to="7427,11323" strokecolor="#231f20">
              <v:stroke dashstyle="3 1"/>
            </v:line>
            <v:line id="_x0000_s2412" style="position:absolute" from="7465,11270" to="7465,1148" strokecolor="#231f20">
              <v:stroke dashstyle="3 1"/>
            </v:line>
            <v:line id="_x0000_s2411" style="position:absolute" from="7412,1111" to="1393,1111" strokecolor="#231f20">
              <v:stroke dashstyle="3 1"/>
            </v:line>
            <v:shape id="_x0000_s2410" style="position:absolute;top:2770;width:6109;height:10212" coordorigin=",2771" coordsize="6109,10212" o:spt="100" adj="0,,0" path="m1355,11300r,23l1378,11323t6064,l7464,11323r,-23m7464,1133r,-22l7442,1111t-6064,l1355,1111r,22e" filled="f" strokecolor="#231f20">
              <v:stroke joinstyle="round"/>
              <v:formulas/>
              <v:path arrowok="t" o:connecttype="segments"/>
            </v:shape>
            <w10:wrap anchorx="page" anchory="page"/>
          </v:group>
        </w:pict>
      </w:r>
    </w:p>
    <w:p w14:paraId="548E9A04" w14:textId="77777777" w:rsidR="002653E8" w:rsidRDefault="003115E3">
      <w:pPr>
        <w:spacing w:before="89"/>
        <w:ind w:left="1958"/>
        <w:rPr>
          <w:rFonts w:ascii="Lucida Sans" w:hAnsi="Lucida Sans"/>
          <w:b/>
          <w:sz w:val="24"/>
        </w:rPr>
      </w:pPr>
      <w:r>
        <w:rPr>
          <w:rFonts w:ascii="Lucida Sans" w:hAnsi="Lucida Sans"/>
          <w:b/>
          <w:color w:val="231F20"/>
          <w:sz w:val="24"/>
        </w:rPr>
        <w:t>Press Release from Baader’s Law yers</w:t>
      </w:r>
    </w:p>
    <w:p w14:paraId="7DB76C7B" w14:textId="77777777" w:rsidR="002653E8" w:rsidRDefault="002653E8">
      <w:pPr>
        <w:pStyle w:val="a3"/>
        <w:rPr>
          <w:rFonts w:ascii="Lucida Sans"/>
          <w:b/>
          <w:sz w:val="24"/>
        </w:rPr>
      </w:pPr>
    </w:p>
    <w:p w14:paraId="00C9B382" w14:textId="77777777" w:rsidR="002653E8" w:rsidRDefault="003115E3">
      <w:pPr>
        <w:spacing w:before="1" w:line="266" w:lineRule="auto"/>
        <w:ind w:left="1543" w:right="1145"/>
        <w:rPr>
          <w:rFonts w:ascii="Calibri"/>
          <w:sz w:val="19"/>
        </w:rPr>
      </w:pPr>
      <w:r>
        <w:rPr>
          <w:rFonts w:ascii="Calibri"/>
          <w:color w:val="231F20"/>
          <w:w w:val="110"/>
          <w:sz w:val="19"/>
        </w:rPr>
        <w:t>Even though Baader was doing well, at noon on May 22, 1973, the prison doctor, dr. degenhardt from kassel, came to his cell with</w:t>
      </w:r>
    </w:p>
    <w:p w14:paraId="54F8296A" w14:textId="77777777" w:rsidR="002653E8" w:rsidRDefault="003115E3">
      <w:pPr>
        <w:spacing w:line="266" w:lineRule="auto"/>
        <w:ind w:left="1542" w:right="1419"/>
        <w:rPr>
          <w:rFonts w:ascii="Calibri" w:hAnsi="Calibri"/>
          <w:sz w:val="19"/>
        </w:rPr>
      </w:pPr>
      <w:r>
        <w:rPr>
          <w:rFonts w:ascii="Calibri" w:hAnsi="Calibri"/>
          <w:color w:val="231F20"/>
          <w:w w:val="110"/>
          <w:sz w:val="19"/>
        </w:rPr>
        <w:t xml:space="preserve">a squad of ten guards in order to force him to swallow a solution through a tube as thick as of one’s thumb. Three times Baader requested a spoon so that he could take the solution on his own. despite this fact, the doctor ordered the guards to hold him down. Pinching his nose, he then forced the tube into his mouth, down  his throat and into his digestive tract. Baader vomited and almost suffocated. The tube opened up his throat and his digestive </w:t>
      </w:r>
      <w:r>
        <w:rPr>
          <w:rFonts w:ascii="Calibri" w:hAnsi="Calibri"/>
          <w:color w:val="231F20"/>
          <w:spacing w:val="1"/>
          <w:w w:val="110"/>
          <w:sz w:val="19"/>
        </w:rPr>
        <w:t xml:space="preserve">tract </w:t>
      </w:r>
      <w:r>
        <w:rPr>
          <w:rFonts w:ascii="Calibri" w:hAnsi="Calibri"/>
          <w:color w:val="231F20"/>
          <w:w w:val="110"/>
          <w:sz w:val="19"/>
        </w:rPr>
        <w:t xml:space="preserve">and he vomited blood. After this torture </w:t>
      </w:r>
      <w:r>
        <w:rPr>
          <w:rFonts w:ascii="Calibri" w:hAnsi="Calibri"/>
          <w:color w:val="231F20"/>
          <w:spacing w:val="-4"/>
          <w:w w:val="110"/>
          <w:sz w:val="19"/>
        </w:rPr>
        <w:t xml:space="preserve">dr. </w:t>
      </w:r>
      <w:r>
        <w:rPr>
          <w:rFonts w:ascii="Calibri" w:hAnsi="Calibri"/>
          <w:color w:val="231F20"/>
          <w:w w:val="110"/>
          <w:sz w:val="19"/>
        </w:rPr>
        <w:t>degenhardt gave him three intravenous injections and he then lost consciousness for eight</w:t>
      </w:r>
      <w:r>
        <w:rPr>
          <w:rFonts w:ascii="Calibri" w:hAnsi="Calibri"/>
          <w:color w:val="231F20"/>
          <w:spacing w:val="3"/>
          <w:w w:val="110"/>
          <w:sz w:val="19"/>
        </w:rPr>
        <w:t xml:space="preserve"> </w:t>
      </w:r>
      <w:r>
        <w:rPr>
          <w:rFonts w:ascii="Calibri" w:hAnsi="Calibri"/>
          <w:color w:val="231F20"/>
          <w:w w:val="110"/>
          <w:sz w:val="19"/>
        </w:rPr>
        <w:t>hours.</w:t>
      </w:r>
    </w:p>
    <w:p w14:paraId="4F59A146" w14:textId="77777777" w:rsidR="002653E8" w:rsidRDefault="003115E3">
      <w:pPr>
        <w:spacing w:line="266" w:lineRule="auto"/>
        <w:ind w:left="1542" w:right="1513" w:firstLine="209"/>
        <w:rPr>
          <w:rFonts w:ascii="Calibri" w:hAnsi="Calibri"/>
          <w:sz w:val="19"/>
        </w:rPr>
      </w:pPr>
      <w:r>
        <w:rPr>
          <w:rFonts w:ascii="Calibri" w:hAnsi="Calibri"/>
          <w:color w:val="231F20"/>
          <w:w w:val="110"/>
          <w:sz w:val="19"/>
        </w:rPr>
        <w:t>On the morning of May 22, Baader had been visited by one of his lawyers, koch, from the Frankfurt Legal Collective. The lawyer was able to see that Baader’s state of health was relatively good. When he came back that afternoon to continue his visit, a guard told koch that the doctor had instructed that Baader should remain in bed. It was not possible for him to visit with his lawyer. The lawyer asked to see the warden Metz, but this was refused.</w:t>
      </w:r>
    </w:p>
    <w:p w14:paraId="3C8CD099" w14:textId="77777777" w:rsidR="002653E8" w:rsidRDefault="003115E3">
      <w:pPr>
        <w:spacing w:line="266" w:lineRule="auto"/>
        <w:ind w:left="1542" w:right="1457" w:firstLine="209"/>
        <w:rPr>
          <w:rFonts w:ascii="Calibri"/>
          <w:sz w:val="19"/>
        </w:rPr>
      </w:pPr>
      <w:r>
        <w:rPr>
          <w:rFonts w:ascii="Calibri"/>
          <w:color w:val="231F20"/>
          <w:w w:val="110"/>
          <w:sz w:val="19"/>
        </w:rPr>
        <w:t>As attorneys of Andreas Baader we note: Andreas Baader is not only subjected to psychological torture in the Ziegenhain prison (Hessen), but he is also being tortured physically by methods which are carbon copies of those practiced in Greece, Spain, Portugal, Turkey, and Brazil. Force-feeding, when the prisoner has agreed to feed himself, is a form of torture.</w:t>
      </w:r>
    </w:p>
    <w:p w14:paraId="012B5314" w14:textId="77777777" w:rsidR="002653E8" w:rsidRDefault="003115E3">
      <w:pPr>
        <w:spacing w:line="229" w:lineRule="exact"/>
        <w:ind w:left="1752"/>
        <w:rPr>
          <w:rFonts w:ascii="Calibri"/>
          <w:sz w:val="19"/>
        </w:rPr>
      </w:pPr>
      <w:r>
        <w:rPr>
          <w:rFonts w:ascii="Calibri"/>
          <w:color w:val="231F20"/>
          <w:w w:val="110"/>
          <w:sz w:val="19"/>
        </w:rPr>
        <w:t>We demand that dr. degenhardt and his helpers be punished.</w:t>
      </w:r>
    </w:p>
    <w:p w14:paraId="761EE367" w14:textId="77777777" w:rsidR="002653E8" w:rsidRDefault="003115E3">
      <w:pPr>
        <w:spacing w:before="133" w:line="264" w:lineRule="auto"/>
        <w:ind w:left="4071" w:right="1361" w:firstLine="1013"/>
        <w:jc w:val="right"/>
        <w:rPr>
          <w:rFonts w:ascii="Calibri" w:hAnsi="Calibri"/>
          <w:sz w:val="19"/>
        </w:rPr>
      </w:pPr>
      <w:r>
        <w:rPr>
          <w:rFonts w:ascii="Calibri" w:hAnsi="Calibri"/>
          <w:color w:val="231F20"/>
          <w:w w:val="110"/>
          <w:sz w:val="19"/>
        </w:rPr>
        <w:t>Andreas Baader’s lawyers</w:t>
      </w:r>
      <w:r>
        <w:rPr>
          <w:rFonts w:ascii="Calibri" w:hAnsi="Calibri"/>
          <w:color w:val="231F20"/>
          <w:w w:val="108"/>
          <w:sz w:val="19"/>
        </w:rPr>
        <w:t xml:space="preserve"> </w:t>
      </w:r>
      <w:bookmarkStart w:id="106" w:name="_Hlk103437018"/>
      <w:r>
        <w:rPr>
          <w:rFonts w:ascii="Calibri" w:hAnsi="Calibri"/>
          <w:color w:val="231F20"/>
          <w:w w:val="110"/>
          <w:sz w:val="19"/>
        </w:rPr>
        <w:t>Golzem, von Plonitz, Riedel and  koch</w:t>
      </w:r>
      <w:bookmarkEnd w:id="106"/>
    </w:p>
    <w:p w14:paraId="1A06EF04" w14:textId="77777777" w:rsidR="002653E8" w:rsidRDefault="003115E3">
      <w:pPr>
        <w:spacing w:before="2"/>
        <w:ind w:left="1212" w:right="1361"/>
        <w:jc w:val="right"/>
        <w:rPr>
          <w:rFonts w:ascii="Calibri"/>
          <w:sz w:val="19"/>
        </w:rPr>
      </w:pPr>
      <w:r>
        <w:rPr>
          <w:rFonts w:ascii="Calibri"/>
          <w:color w:val="231F20"/>
          <w:w w:val="110"/>
          <w:sz w:val="19"/>
        </w:rPr>
        <w:t>May 23 1973</w:t>
      </w:r>
    </w:p>
    <w:p w14:paraId="170C3091" w14:textId="77777777" w:rsidR="002653E8" w:rsidRDefault="002653E8">
      <w:pPr>
        <w:pStyle w:val="a3"/>
        <w:rPr>
          <w:rFonts w:ascii="Calibri"/>
        </w:rPr>
      </w:pPr>
    </w:p>
    <w:p w14:paraId="49AFE26C" w14:textId="77777777" w:rsidR="002653E8" w:rsidRDefault="002653E8">
      <w:pPr>
        <w:pStyle w:val="a3"/>
        <w:rPr>
          <w:rFonts w:ascii="Calibri"/>
        </w:rPr>
      </w:pPr>
    </w:p>
    <w:p w14:paraId="7B8E2877" w14:textId="77777777" w:rsidR="002653E8" w:rsidRDefault="002653E8">
      <w:pPr>
        <w:pStyle w:val="a3"/>
        <w:rPr>
          <w:rFonts w:ascii="Calibri"/>
        </w:rPr>
      </w:pPr>
    </w:p>
    <w:p w14:paraId="17B35844" w14:textId="77777777" w:rsidR="002653E8" w:rsidRDefault="002653E8">
      <w:pPr>
        <w:pStyle w:val="a3"/>
        <w:rPr>
          <w:rFonts w:ascii="Calibri"/>
        </w:rPr>
      </w:pPr>
    </w:p>
    <w:p w14:paraId="564DE612" w14:textId="77777777" w:rsidR="002653E8" w:rsidRDefault="002653E8">
      <w:pPr>
        <w:pStyle w:val="a3"/>
        <w:rPr>
          <w:rFonts w:ascii="Calibri"/>
        </w:rPr>
      </w:pPr>
    </w:p>
    <w:p w14:paraId="05801151" w14:textId="77777777" w:rsidR="002653E8" w:rsidRDefault="002653E8">
      <w:pPr>
        <w:pStyle w:val="a3"/>
        <w:spacing w:before="6"/>
        <w:rPr>
          <w:rFonts w:ascii="Calibri"/>
          <w:sz w:val="15"/>
        </w:rPr>
      </w:pPr>
    </w:p>
    <w:p w14:paraId="1D24FC90" w14:textId="77777777" w:rsidR="002653E8" w:rsidRDefault="003115E3">
      <w:pPr>
        <w:spacing w:before="105"/>
        <w:ind w:left="1543"/>
        <w:rPr>
          <w:sz w:val="16"/>
        </w:rPr>
      </w:pPr>
      <w:r>
        <w:rPr>
          <w:color w:val="231F20"/>
          <w:w w:val="110"/>
          <w:sz w:val="16"/>
        </w:rPr>
        <w:t>Klaus Croissant, “La justice et la torture par l’isolement,” in Croissant, 119.</w:t>
      </w:r>
    </w:p>
    <w:p w14:paraId="2EF9D344" w14:textId="77777777" w:rsidR="002653E8" w:rsidRDefault="002653E8">
      <w:pPr>
        <w:rPr>
          <w:sz w:val="16"/>
        </w:rPr>
        <w:sectPr w:rsidR="002653E8">
          <w:pgSz w:w="8640" w:h="12960"/>
          <w:pgMar w:top="1100" w:right="0" w:bottom="1040" w:left="0" w:header="0" w:footer="850" w:gutter="0"/>
          <w:cols w:space="720"/>
        </w:sectPr>
      </w:pPr>
    </w:p>
    <w:p w14:paraId="412A9EF6" w14:textId="77777777" w:rsidR="002653E8" w:rsidRDefault="003115E3">
      <w:pPr>
        <w:pStyle w:val="a3"/>
        <w:spacing w:before="86" w:line="264" w:lineRule="auto"/>
        <w:ind w:left="1147" w:right="1326" w:firstLine="210"/>
        <w:jc w:val="both"/>
        <w:rPr>
          <w:sz w:val="11"/>
        </w:rPr>
      </w:pPr>
      <w:r>
        <w:rPr>
          <w:color w:val="231F20"/>
          <w:spacing w:val="1"/>
        </w:rPr>
        <w:lastRenderedPageBreak/>
        <w:t xml:space="preserve">In </w:t>
      </w:r>
      <w:r>
        <w:rPr>
          <w:color w:val="231F20"/>
        </w:rPr>
        <w:t>October, the pain was so great that Hammerschmidt could not sleep; she was told by medical staff that her throat hurt from  “too  much yelling.” As her condition deteriorated to the point that her tumors became visible to the naked eye, the doctors simply prescribed water</w:t>
      </w:r>
      <w:r>
        <w:rPr>
          <w:color w:val="231F20"/>
          <w:spacing w:val="10"/>
        </w:rPr>
        <w:t xml:space="preserve"> </w:t>
      </w:r>
      <w:r>
        <w:rPr>
          <w:color w:val="231F20"/>
        </w:rPr>
        <w:t>pills.</w:t>
      </w:r>
      <w:r>
        <w:rPr>
          <w:color w:val="231F20"/>
          <w:position w:val="7"/>
          <w:sz w:val="11"/>
        </w:rPr>
        <w:t>1</w:t>
      </w:r>
    </w:p>
    <w:p w14:paraId="1B21133E" w14:textId="77777777" w:rsidR="002653E8" w:rsidRDefault="003115E3">
      <w:pPr>
        <w:pStyle w:val="a3"/>
        <w:spacing w:line="264" w:lineRule="auto"/>
        <w:ind w:left="1147" w:right="1326" w:firstLine="210"/>
        <w:jc w:val="both"/>
      </w:pPr>
      <w:r>
        <w:rPr>
          <w:color w:val="231F20"/>
          <w:spacing w:val="1"/>
        </w:rPr>
        <w:t xml:space="preserve">In  </w:t>
      </w:r>
      <w:r>
        <w:rPr>
          <w:color w:val="231F20"/>
        </w:rPr>
        <w:t>November,  her  lawyers  finally  won  a  court   judgment   forcing the prison authorities to allow her to be seen by an independent physician. This specialist immediately issued a letter indicating that Hammerschmidt needed follow-up tests as soon as possible. These were not</w:t>
      </w:r>
      <w:r>
        <w:rPr>
          <w:color w:val="231F20"/>
          <w:spacing w:val="10"/>
        </w:rPr>
        <w:t xml:space="preserve"> </w:t>
      </w:r>
      <w:r>
        <w:rPr>
          <w:color w:val="231F20"/>
        </w:rPr>
        <w:t>carried</w:t>
      </w:r>
      <w:r>
        <w:rPr>
          <w:color w:val="231F20"/>
          <w:spacing w:val="10"/>
        </w:rPr>
        <w:t xml:space="preserve"> </w:t>
      </w:r>
      <w:r>
        <w:rPr>
          <w:color w:val="231F20"/>
        </w:rPr>
        <w:t>out,</w:t>
      </w:r>
      <w:r>
        <w:rPr>
          <w:color w:val="231F20"/>
          <w:spacing w:val="10"/>
        </w:rPr>
        <w:t xml:space="preserve"> </w:t>
      </w:r>
      <w:r>
        <w:rPr>
          <w:color w:val="231F20"/>
        </w:rPr>
        <w:t>and</w:t>
      </w:r>
      <w:r>
        <w:rPr>
          <w:color w:val="231F20"/>
          <w:spacing w:val="10"/>
        </w:rPr>
        <w:t xml:space="preserve"> </w:t>
      </w:r>
      <w:r>
        <w:rPr>
          <w:color w:val="231F20"/>
        </w:rPr>
        <w:t>she</w:t>
      </w:r>
      <w:r>
        <w:rPr>
          <w:color w:val="231F20"/>
          <w:spacing w:val="10"/>
        </w:rPr>
        <w:t xml:space="preserve"> </w:t>
      </w:r>
      <w:r>
        <w:rPr>
          <w:color w:val="231F20"/>
        </w:rPr>
        <w:t>was</w:t>
      </w:r>
      <w:r>
        <w:rPr>
          <w:color w:val="231F20"/>
          <w:spacing w:val="10"/>
        </w:rPr>
        <w:t xml:space="preserve"> </w:t>
      </w:r>
      <w:r>
        <w:rPr>
          <w:color w:val="231F20"/>
        </w:rPr>
        <w:t>returned</w:t>
      </w:r>
      <w:r>
        <w:rPr>
          <w:color w:val="231F20"/>
          <w:spacing w:val="10"/>
        </w:rPr>
        <w:t xml:space="preserve"> </w:t>
      </w:r>
      <w:r>
        <w:rPr>
          <w:color w:val="231F20"/>
        </w:rPr>
        <w:t>to</w:t>
      </w:r>
      <w:r>
        <w:rPr>
          <w:color w:val="231F20"/>
          <w:spacing w:val="10"/>
        </w:rPr>
        <w:t xml:space="preserve"> </w:t>
      </w:r>
      <w:r>
        <w:rPr>
          <w:color w:val="231F20"/>
        </w:rPr>
        <w:t>prison.</w:t>
      </w:r>
    </w:p>
    <w:p w14:paraId="5EEBFD20" w14:textId="77777777" w:rsidR="002653E8" w:rsidRDefault="003115E3">
      <w:pPr>
        <w:pStyle w:val="a3"/>
        <w:spacing w:line="264" w:lineRule="auto"/>
        <w:ind w:left="1147" w:right="1325" w:firstLine="210"/>
        <w:jc w:val="both"/>
        <w:rPr>
          <w:sz w:val="11"/>
        </w:rPr>
      </w:pPr>
      <w:r>
        <w:rPr>
          <w:color w:val="231F20"/>
          <w:w w:val="112"/>
        </w:rPr>
        <w:t>T</w:t>
      </w:r>
      <w:r>
        <w:rPr>
          <w:color w:val="231F20"/>
        </w:rPr>
        <w:t>w</w:t>
      </w:r>
      <w:r>
        <w:rPr>
          <w:color w:val="231F20"/>
          <w:w w:val="104"/>
        </w:rPr>
        <w:t>o</w:t>
      </w:r>
      <w:r>
        <w:rPr>
          <w:color w:val="231F20"/>
        </w:rPr>
        <w:t xml:space="preserve"> w</w:t>
      </w:r>
      <w:r>
        <w:rPr>
          <w:color w:val="231F20"/>
          <w:w w:val="91"/>
        </w:rPr>
        <w:t>ee</w:t>
      </w:r>
      <w:r>
        <w:rPr>
          <w:color w:val="231F20"/>
          <w:w w:val="106"/>
        </w:rPr>
        <w:t>k</w:t>
      </w:r>
      <w:r>
        <w:rPr>
          <w:color w:val="231F20"/>
          <w:w w:val="90"/>
        </w:rPr>
        <w:t>s</w:t>
      </w:r>
      <w:r>
        <w:rPr>
          <w:color w:val="231F20"/>
        </w:rPr>
        <w:t xml:space="preserve"> </w:t>
      </w:r>
      <w:r>
        <w:rPr>
          <w:color w:val="231F20"/>
          <w:w w:val="102"/>
        </w:rPr>
        <w:t>la</w:t>
      </w:r>
      <w:r>
        <w:rPr>
          <w:color w:val="231F20"/>
          <w:w w:val="98"/>
        </w:rPr>
        <w:t>t</w:t>
      </w:r>
      <w:r>
        <w:rPr>
          <w:color w:val="231F20"/>
          <w:w w:val="92"/>
        </w:rPr>
        <w:t>er</w:t>
      </w:r>
      <w:r>
        <w:rPr>
          <w:color w:val="231F20"/>
          <w:w w:val="135"/>
        </w:rPr>
        <w:t>,</w:t>
      </w:r>
      <w:r>
        <w:rPr>
          <w:color w:val="231F20"/>
        </w:rPr>
        <w:t xml:space="preserve"> </w:t>
      </w:r>
      <w:r>
        <w:rPr>
          <w:color w:val="231F20"/>
          <w:w w:val="104"/>
        </w:rPr>
        <w:t>o</w:t>
      </w:r>
      <w:r>
        <w:rPr>
          <w:color w:val="231F20"/>
          <w:w w:val="99"/>
        </w:rPr>
        <w:t>n</w:t>
      </w:r>
      <w:r>
        <w:rPr>
          <w:color w:val="231F20"/>
        </w:rPr>
        <w:t xml:space="preserve"> </w:t>
      </w:r>
      <w:r>
        <w:rPr>
          <w:color w:val="231F20"/>
          <w:w w:val="98"/>
        </w:rPr>
        <w:t>t</w:t>
      </w:r>
      <w:r>
        <w:rPr>
          <w:color w:val="231F20"/>
        </w:rPr>
        <w:t>h</w:t>
      </w:r>
      <w:r>
        <w:rPr>
          <w:color w:val="231F20"/>
          <w:w w:val="91"/>
        </w:rPr>
        <w:t>e</w:t>
      </w:r>
      <w:r>
        <w:rPr>
          <w:color w:val="231F20"/>
        </w:rPr>
        <w:t xml:space="preserve"> </w:t>
      </w:r>
      <w:r>
        <w:rPr>
          <w:color w:val="231F20"/>
          <w:w w:val="99"/>
        </w:rPr>
        <w:t>n</w:t>
      </w:r>
      <w:r>
        <w:rPr>
          <w:color w:val="231F20"/>
        </w:rPr>
        <w:t>i</w:t>
      </w:r>
      <w:r>
        <w:rPr>
          <w:color w:val="231F20"/>
          <w:w w:val="101"/>
        </w:rPr>
        <w:t>g</w:t>
      </w:r>
      <w:r>
        <w:rPr>
          <w:color w:val="231F20"/>
        </w:rPr>
        <w:t>h</w:t>
      </w:r>
      <w:r>
        <w:rPr>
          <w:color w:val="231F20"/>
          <w:w w:val="98"/>
        </w:rPr>
        <w:t>t</w:t>
      </w:r>
      <w:r>
        <w:rPr>
          <w:color w:val="231F20"/>
        </w:rPr>
        <w:t xml:space="preserve"> </w:t>
      </w:r>
      <w:r>
        <w:rPr>
          <w:color w:val="231F20"/>
          <w:w w:val="104"/>
        </w:rPr>
        <w:t>o</w:t>
      </w:r>
      <w:r>
        <w:rPr>
          <w:color w:val="231F20"/>
          <w:w w:val="109"/>
        </w:rPr>
        <w:t>f</w:t>
      </w:r>
      <w:r>
        <w:rPr>
          <w:color w:val="231F20"/>
        </w:rPr>
        <w:t xml:space="preserve"> </w:t>
      </w:r>
      <w:r>
        <w:rPr>
          <w:color w:val="231F20"/>
          <w:w w:val="122"/>
        </w:rPr>
        <w:t>N</w:t>
      </w:r>
      <w:r>
        <w:rPr>
          <w:color w:val="231F20"/>
          <w:w w:val="104"/>
        </w:rPr>
        <w:t>o</w:t>
      </w:r>
      <w:r>
        <w:rPr>
          <w:color w:val="231F20"/>
          <w:w w:val="99"/>
        </w:rPr>
        <w:t>v</w:t>
      </w:r>
      <w:r>
        <w:rPr>
          <w:color w:val="231F20"/>
          <w:w w:val="91"/>
        </w:rPr>
        <w:t>e</w:t>
      </w:r>
      <w:r>
        <w:rPr>
          <w:color w:val="231F20"/>
          <w:w w:val="99"/>
        </w:rPr>
        <w:t>m</w:t>
      </w:r>
      <w:r>
        <w:rPr>
          <w:color w:val="231F20"/>
          <w:w w:val="101"/>
        </w:rPr>
        <w:t>b</w:t>
      </w:r>
      <w:r>
        <w:rPr>
          <w:color w:val="231F20"/>
          <w:w w:val="92"/>
        </w:rPr>
        <w:t>er</w:t>
      </w:r>
      <w:r>
        <w:rPr>
          <w:color w:val="231F20"/>
        </w:rPr>
        <w:t xml:space="preserve"> 28</w:t>
      </w:r>
      <w:r>
        <w:rPr>
          <w:color w:val="231F20"/>
          <w:w w:val="56"/>
        </w:rPr>
        <w:t>/</w:t>
      </w:r>
      <w:r>
        <w:rPr>
          <w:color w:val="231F20"/>
        </w:rPr>
        <w:t>29</w:t>
      </w:r>
      <w:r>
        <w:rPr>
          <w:color w:val="231F20"/>
          <w:w w:val="135"/>
        </w:rPr>
        <w:t>,</w:t>
      </w:r>
      <w:r>
        <w:rPr>
          <w:color w:val="231F20"/>
        </w:rPr>
        <w:t xml:space="preserve"> </w:t>
      </w:r>
      <w:r>
        <w:rPr>
          <w:color w:val="231F20"/>
          <w:w w:val="121"/>
        </w:rPr>
        <w:t>H</w:t>
      </w:r>
      <w:r>
        <w:rPr>
          <w:color w:val="231F20"/>
          <w:w w:val="102"/>
        </w:rPr>
        <w:t>a</w:t>
      </w:r>
      <w:r>
        <w:rPr>
          <w:color w:val="231F20"/>
          <w:w w:val="99"/>
        </w:rPr>
        <w:t>mm</w:t>
      </w:r>
      <w:r>
        <w:rPr>
          <w:color w:val="231F20"/>
          <w:w w:val="92"/>
        </w:rPr>
        <w:t>er</w:t>
      </w:r>
      <w:r>
        <w:rPr>
          <w:color w:val="231F20"/>
          <w:w w:val="90"/>
        </w:rPr>
        <w:t>s</w:t>
      </w:r>
      <w:r>
        <w:rPr>
          <w:color w:val="231F20"/>
        </w:rPr>
        <w:t>ch</w:t>
      </w:r>
      <w:r>
        <w:rPr>
          <w:color w:val="231F20"/>
          <w:w w:val="99"/>
        </w:rPr>
        <w:t>m</w:t>
      </w:r>
      <w:r>
        <w:rPr>
          <w:color w:val="231F20"/>
        </w:rPr>
        <w:t>id</w:t>
      </w:r>
      <w:r>
        <w:rPr>
          <w:color w:val="231F20"/>
          <w:w w:val="98"/>
        </w:rPr>
        <w:t xml:space="preserve">t </w:t>
      </w:r>
      <w:r>
        <w:rPr>
          <w:color w:val="231F20"/>
        </w:rPr>
        <w:t>almost suffocated from difficulty breathing. She was brought directly to a hospital, where it was found she had a cancerous tumor as large as a child’s head in her chest. It was determined that the tumor was inoperable, although it was also stated that this might not have been the case just weeks earlier.</w:t>
      </w:r>
      <w:r>
        <w:rPr>
          <w:color w:val="231F20"/>
          <w:position w:val="7"/>
          <w:sz w:val="11"/>
        </w:rPr>
        <w:t>2</w:t>
      </w:r>
    </w:p>
    <w:p w14:paraId="1E5A9908" w14:textId="77777777" w:rsidR="002653E8" w:rsidRDefault="003115E3">
      <w:pPr>
        <w:pStyle w:val="a3"/>
        <w:spacing w:line="264" w:lineRule="auto"/>
        <w:ind w:left="1147" w:right="1326" w:firstLine="210"/>
        <w:jc w:val="both"/>
      </w:pPr>
      <w:r>
        <w:drawing>
          <wp:anchor distT="0" distB="0" distL="0" distR="0" simplePos="0" relativeHeight="267977207" behindDoc="1" locked="0" layoutInCell="1" allowOverlap="1" wp14:anchorId="269B9800" wp14:editId="3A2310CA">
            <wp:simplePos x="0" y="0"/>
            <wp:positionH relativeFrom="page">
              <wp:posOffset>3437462</wp:posOffset>
            </wp:positionH>
            <wp:positionV relativeFrom="paragraph">
              <wp:posOffset>902717</wp:posOffset>
            </wp:positionV>
            <wp:extent cx="1205733" cy="1488516"/>
            <wp:effectExtent l="0" t="0" r="0" b="0"/>
            <wp:wrapNone/>
            <wp:docPr id="3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png"/>
                    <pic:cNvPicPr/>
                  </pic:nvPicPr>
                  <pic:blipFill>
                    <a:blip r:embed="rId211" cstate="print"/>
                    <a:stretch>
                      <a:fillRect/>
                    </a:stretch>
                  </pic:blipFill>
                  <pic:spPr>
                    <a:xfrm>
                      <a:off x="0" y="0"/>
                      <a:ext cx="1205733" cy="1488516"/>
                    </a:xfrm>
                    <a:prstGeom prst="rect">
                      <a:avLst/>
                    </a:prstGeom>
                  </pic:spPr>
                </pic:pic>
              </a:graphicData>
            </a:graphic>
          </wp:anchor>
        </w:drawing>
      </w:r>
      <w:r>
        <w:rPr>
          <w:color w:val="231F20"/>
        </w:rPr>
        <w:t>An independent physician would later remark that the fact that Hammerschmidt had cancer should have been obvious from the x-rays taken in August, and yet six different prison doctors were all seemingly unable to notice that anything was wrong. Or perhaps they simply did not want to: in a public accusation signed by 131 doctors, it was suggested that she was denied necessary medical care</w:t>
      </w:r>
    </w:p>
    <w:p w14:paraId="14AD8AAC" w14:textId="77777777" w:rsidR="002653E8" w:rsidRDefault="003115E3">
      <w:pPr>
        <w:pStyle w:val="a3"/>
        <w:spacing w:line="264" w:lineRule="auto"/>
        <w:ind w:left="1147" w:right="3115"/>
      </w:pPr>
      <w:r>
        <w:rPr>
          <w:color w:val="231F20"/>
        </w:rPr>
        <w:t xml:space="preserve">because this would have required an end to the isolation conditions that she, like all other </w:t>
      </w:r>
      <w:r w:rsidR="00C507A5">
        <w:rPr>
          <w:color w:val="231F20"/>
        </w:rPr>
        <w:t>red army faction</w:t>
      </w:r>
      <w:r>
        <w:rPr>
          <w:color w:val="231F20"/>
        </w:rPr>
        <w:t xml:space="preserve"> prisoners, was being subjected to at the time.</w:t>
      </w:r>
    </w:p>
    <w:p w14:paraId="60AD95E4" w14:textId="77777777" w:rsidR="002653E8" w:rsidRDefault="003115E3">
      <w:pPr>
        <w:pStyle w:val="a3"/>
        <w:spacing w:line="264" w:lineRule="auto"/>
        <w:ind w:left="1148" w:right="3327" w:firstLine="209"/>
      </w:pPr>
      <w:r>
        <w:rPr>
          <w:color w:val="231F20"/>
        </w:rPr>
        <w:t xml:space="preserve">It was January </w:t>
      </w:r>
      <w:r>
        <w:rPr>
          <w:color w:val="231F20"/>
          <w:spacing w:val="-7"/>
        </w:rPr>
        <w:t>1974</w:t>
      </w:r>
      <w:r>
        <w:rPr>
          <w:color w:val="231F20"/>
          <w:spacing w:val="30"/>
        </w:rPr>
        <w:t xml:space="preserve"> </w:t>
      </w:r>
      <w:r>
        <w:rPr>
          <w:color w:val="231F20"/>
        </w:rPr>
        <w:t>before the court adjourned</w:t>
      </w:r>
      <w:r>
        <w:rPr>
          <w:color w:val="231F20"/>
          <w:spacing w:val="-7"/>
        </w:rPr>
        <w:t xml:space="preserve"> </w:t>
      </w:r>
      <w:r>
        <w:rPr>
          <w:color w:val="231F20"/>
        </w:rPr>
        <w:t>her</w:t>
      </w:r>
      <w:r>
        <w:rPr>
          <w:color w:val="231F20"/>
          <w:spacing w:val="-7"/>
        </w:rPr>
        <w:t xml:space="preserve"> </w:t>
      </w:r>
      <w:r>
        <w:rPr>
          <w:color w:val="231F20"/>
        </w:rPr>
        <w:t>trial,</w:t>
      </w:r>
      <w:r>
        <w:rPr>
          <w:color w:val="231F20"/>
          <w:spacing w:val="-7"/>
        </w:rPr>
        <w:t xml:space="preserve"> </w:t>
      </w:r>
      <w:r>
        <w:rPr>
          <w:color w:val="231F20"/>
        </w:rPr>
        <w:t>ruling</w:t>
      </w:r>
      <w:r>
        <w:rPr>
          <w:color w:val="231F20"/>
          <w:spacing w:val="-7"/>
        </w:rPr>
        <w:t xml:space="preserve"> </w:t>
      </w:r>
      <w:r>
        <w:rPr>
          <w:color w:val="231F20"/>
        </w:rPr>
        <w:t>that</w:t>
      </w:r>
      <w:r>
        <w:rPr>
          <w:color w:val="231F20"/>
          <w:spacing w:val="-7"/>
        </w:rPr>
        <w:t xml:space="preserve"> </w:t>
      </w:r>
      <w:r>
        <w:rPr>
          <w:color w:val="231F20"/>
        </w:rPr>
        <w:t>she</w:t>
      </w:r>
      <w:r>
        <w:rPr>
          <w:color w:val="231F20"/>
          <w:spacing w:val="-7"/>
        </w:rPr>
        <w:t xml:space="preserve"> </w:t>
      </w:r>
      <w:r>
        <w:rPr>
          <w:color w:val="231F20"/>
        </w:rPr>
        <w:t>was</w:t>
      </w:r>
      <w:r>
        <w:rPr>
          <w:color w:val="231F20"/>
          <w:spacing w:val="-7"/>
        </w:rPr>
        <w:t xml:space="preserve"> </w:t>
      </w:r>
      <w:r>
        <w:rPr>
          <w:color w:val="231F20"/>
        </w:rPr>
        <w:t>too</w:t>
      </w:r>
      <w:r>
        <w:rPr>
          <w:color w:val="231F20"/>
          <w:spacing w:val="-7"/>
        </w:rPr>
        <w:t xml:space="preserve"> </w:t>
      </w:r>
      <w:r>
        <w:rPr>
          <w:color w:val="231F20"/>
        </w:rPr>
        <w:t>sick</w:t>
      </w:r>
      <w:r>
        <w:rPr>
          <w:color w:val="231F20"/>
          <w:spacing w:val="-7"/>
        </w:rPr>
        <w:t xml:space="preserve"> </w:t>
      </w:r>
      <w:r>
        <w:rPr>
          <w:color w:val="231F20"/>
        </w:rPr>
        <w:t xml:space="preserve">and needed to be released to a clinic for treatment. </w:t>
      </w:r>
      <w:r>
        <w:rPr>
          <w:color w:val="231F20"/>
          <w:spacing w:val="1"/>
        </w:rPr>
        <w:t xml:space="preserve">If </w:t>
      </w:r>
      <w:r>
        <w:rPr>
          <w:color w:val="231F20"/>
        </w:rPr>
        <w:t>anything could have been done, it was now too late: Katharina Hammerschmidt struggled  on for the next year and a half, finally</w:t>
      </w:r>
      <w:r>
        <w:rPr>
          <w:color w:val="231F20"/>
          <w:spacing w:val="11"/>
        </w:rPr>
        <w:t xml:space="preserve"> </w:t>
      </w:r>
      <w:r>
        <w:rPr>
          <w:color w:val="231F20"/>
        </w:rPr>
        <w:t>succumbing</w:t>
      </w:r>
    </w:p>
    <w:p w14:paraId="7E5C2883" w14:textId="77777777" w:rsidR="002653E8" w:rsidRDefault="002653E8">
      <w:pPr>
        <w:spacing w:line="264" w:lineRule="auto"/>
        <w:sectPr w:rsidR="002653E8">
          <w:footerReference w:type="even" r:id="rId212"/>
          <w:footerReference w:type="default" r:id="rId213"/>
          <w:pgSz w:w="8640" w:h="12960"/>
          <w:pgMar w:top="1060" w:right="0" w:bottom="1040" w:left="0" w:header="0" w:footer="850" w:gutter="0"/>
          <w:cols w:space="720"/>
        </w:sectPr>
      </w:pPr>
    </w:p>
    <w:p w14:paraId="308B1DE1" w14:textId="77777777" w:rsidR="002653E8" w:rsidRDefault="003115E3">
      <w:pPr>
        <w:pStyle w:val="a3"/>
        <w:spacing w:line="201" w:lineRule="exact"/>
        <w:ind w:left="1148"/>
      </w:pPr>
      <w:r>
        <w:rPr>
          <w:color w:val="231F20"/>
        </w:rPr>
        <w:t>to her illness on June 29, 1975—three years to</w:t>
      </w:r>
    </w:p>
    <w:p w14:paraId="640616FB" w14:textId="77777777" w:rsidR="002653E8" w:rsidRDefault="003115E3">
      <w:pPr>
        <w:pStyle w:val="a3"/>
        <w:spacing w:before="22"/>
        <w:ind w:left="1147"/>
      </w:pPr>
      <w:r>
        <w:rPr>
          <w:color w:val="231F20"/>
        </w:rPr>
        <w:t>the day after she had turned herself in.</w:t>
      </w:r>
    </w:p>
    <w:p w14:paraId="58AC77A5" w14:textId="77777777" w:rsidR="002653E8" w:rsidRDefault="003115E3">
      <w:pPr>
        <w:spacing w:line="144" w:lineRule="exact"/>
        <w:ind w:left="455" w:right="1582"/>
        <w:jc w:val="center"/>
        <w:rPr>
          <w:i/>
          <w:sz w:val="18"/>
        </w:rPr>
      </w:pPr>
      <w:r>
        <w:br w:type="column"/>
      </w:r>
      <w:r>
        <w:rPr>
          <w:i/>
          <w:color w:val="231F20"/>
          <w:sz w:val="18"/>
        </w:rPr>
        <w:t>Katharina</w:t>
      </w:r>
    </w:p>
    <w:p w14:paraId="6B76D453" w14:textId="77777777" w:rsidR="002653E8" w:rsidRDefault="003115E3">
      <w:pPr>
        <w:spacing w:before="5"/>
        <w:ind w:left="455" w:right="1582"/>
        <w:jc w:val="center"/>
        <w:rPr>
          <w:i/>
          <w:sz w:val="18"/>
        </w:rPr>
      </w:pPr>
      <w:r>
        <w:rPr>
          <w:i/>
          <w:color w:val="231F20"/>
          <w:w w:val="105"/>
          <w:sz w:val="18"/>
        </w:rPr>
        <w:t>Hammerschmidt</w:t>
      </w:r>
    </w:p>
    <w:p w14:paraId="48BC56C2" w14:textId="77777777" w:rsidR="002653E8" w:rsidRDefault="002653E8">
      <w:pPr>
        <w:jc w:val="center"/>
        <w:rPr>
          <w:sz w:val="18"/>
        </w:rPr>
        <w:sectPr w:rsidR="002653E8">
          <w:type w:val="continuous"/>
          <w:pgSz w:w="8640" w:h="12960"/>
          <w:pgMar w:top="0" w:right="0" w:bottom="0" w:left="0" w:header="720" w:footer="720" w:gutter="0"/>
          <w:cols w:num="2" w:space="720" w:equalWidth="0">
            <w:col w:w="5210" w:space="40"/>
            <w:col w:w="3390"/>
          </w:cols>
        </w:sectPr>
      </w:pPr>
    </w:p>
    <w:p w14:paraId="7C592BD0" w14:textId="77777777" w:rsidR="002653E8" w:rsidRDefault="003115E3">
      <w:pPr>
        <w:pStyle w:val="a3"/>
        <w:spacing w:before="22" w:line="264" w:lineRule="auto"/>
        <w:ind w:left="1147" w:right="1145" w:firstLine="210"/>
      </w:pPr>
      <w:r>
        <w:rPr>
          <w:color w:val="231F20"/>
        </w:rPr>
        <w:t>Many observers considered Hammerschmidt’s death to be a case of “judicial murder.” Independent physicians who examined her upon her</w:t>
      </w:r>
    </w:p>
    <w:p w14:paraId="03F2B484" w14:textId="77777777" w:rsidR="002653E8" w:rsidRDefault="00000000">
      <w:pPr>
        <w:pStyle w:val="a3"/>
        <w:spacing w:before="9"/>
        <w:rPr>
          <w:sz w:val="9"/>
        </w:rPr>
      </w:pPr>
      <w:r>
        <w:rPr>
          <w:noProof w:val="0"/>
        </w:rPr>
        <w:pict w14:anchorId="6E47F896">
          <v:line id="_x0000_s2408" style="position:absolute;z-index:6376;mso-wrap-distance-left:0;mso-wrap-distance-right:0;mso-position-horizontal-relative:page" from="57.4pt,7.95pt" to="129.4pt,7.95pt" strokecolor="#231f20" strokeweight=".5pt">
            <w10:wrap type="topAndBottom" anchorx="page"/>
          </v:line>
        </w:pict>
      </w:r>
    </w:p>
    <w:p w14:paraId="1103D970" w14:textId="77777777" w:rsidR="002653E8" w:rsidRDefault="003115E3">
      <w:pPr>
        <w:pStyle w:val="a4"/>
        <w:numPr>
          <w:ilvl w:val="0"/>
          <w:numId w:val="117"/>
        </w:numPr>
        <w:tabs>
          <w:tab w:val="left" w:pos="1287"/>
        </w:tabs>
        <w:spacing w:before="53" w:line="254" w:lineRule="auto"/>
        <w:ind w:right="1350" w:hanging="1"/>
        <w:jc w:val="left"/>
        <w:rPr>
          <w:sz w:val="16"/>
        </w:rPr>
      </w:pPr>
      <w:bookmarkStart w:id="107" w:name="_Hlk103437897"/>
      <w:r>
        <w:rPr>
          <w:color w:val="231F20"/>
          <w:spacing w:val="3"/>
          <w:w w:val="104"/>
          <w:sz w:val="16"/>
        </w:rPr>
        <w:t>S</w:t>
      </w:r>
      <w:r>
        <w:rPr>
          <w:color w:val="231F20"/>
          <w:w w:val="108"/>
          <w:sz w:val="16"/>
        </w:rPr>
        <w:t>o</w:t>
      </w:r>
      <w:r>
        <w:rPr>
          <w:color w:val="231F20"/>
          <w:spacing w:val="2"/>
          <w:w w:val="106"/>
          <w:sz w:val="16"/>
        </w:rPr>
        <w:t>l</w:t>
      </w:r>
      <w:r>
        <w:rPr>
          <w:color w:val="231F20"/>
          <w:w w:val="103"/>
          <w:sz w:val="16"/>
        </w:rPr>
        <w:t>i</w:t>
      </w:r>
      <w:r>
        <w:rPr>
          <w:color w:val="231F20"/>
          <w:spacing w:val="5"/>
          <w:w w:val="104"/>
          <w:sz w:val="16"/>
        </w:rPr>
        <w:t>g</w:t>
      </w:r>
      <w:r>
        <w:rPr>
          <w:color w:val="231F20"/>
          <w:spacing w:val="3"/>
          <w:w w:val="97"/>
          <w:sz w:val="16"/>
        </w:rPr>
        <w:t>r</w:t>
      </w:r>
      <w:r>
        <w:rPr>
          <w:color w:val="231F20"/>
          <w:spacing w:val="-1"/>
          <w:w w:val="104"/>
          <w:sz w:val="16"/>
        </w:rPr>
        <w:t>u</w:t>
      </w:r>
      <w:r>
        <w:rPr>
          <w:color w:val="231F20"/>
          <w:w w:val="103"/>
          <w:sz w:val="16"/>
        </w:rPr>
        <w:t>p</w:t>
      </w:r>
      <w:r>
        <w:rPr>
          <w:color w:val="231F20"/>
          <w:spacing w:val="2"/>
          <w:w w:val="103"/>
          <w:sz w:val="16"/>
        </w:rPr>
        <w:t>p</w:t>
      </w:r>
      <w:r>
        <w:rPr>
          <w:color w:val="231F20"/>
          <w:w w:val="94"/>
          <w:sz w:val="16"/>
        </w:rPr>
        <w:t>e</w:t>
      </w:r>
      <w:r>
        <w:rPr>
          <w:color w:val="231F20"/>
          <w:spacing w:val="10"/>
          <w:sz w:val="16"/>
        </w:rPr>
        <w:t xml:space="preserve"> </w:t>
      </w:r>
      <w:r>
        <w:rPr>
          <w:color w:val="231F20"/>
          <w:spacing w:val="2"/>
          <w:w w:val="133"/>
          <w:sz w:val="16"/>
        </w:rPr>
        <w:t>C</w:t>
      </w:r>
      <w:r>
        <w:rPr>
          <w:color w:val="231F20"/>
          <w:spacing w:val="5"/>
          <w:w w:val="104"/>
          <w:sz w:val="16"/>
        </w:rPr>
        <w:t>h</w:t>
      </w:r>
      <w:r>
        <w:rPr>
          <w:color w:val="231F20"/>
          <w:spacing w:val="2"/>
          <w:w w:val="97"/>
          <w:sz w:val="16"/>
        </w:rPr>
        <w:t>r</w:t>
      </w:r>
      <w:r>
        <w:rPr>
          <w:color w:val="231F20"/>
          <w:spacing w:val="1"/>
          <w:w w:val="103"/>
          <w:sz w:val="16"/>
        </w:rPr>
        <w:t>i</w:t>
      </w:r>
      <w:r>
        <w:rPr>
          <w:color w:val="231F20"/>
          <w:spacing w:val="1"/>
          <w:w w:val="93"/>
          <w:sz w:val="16"/>
        </w:rPr>
        <w:t>s</w:t>
      </w:r>
      <w:r>
        <w:rPr>
          <w:color w:val="231F20"/>
          <w:spacing w:val="2"/>
          <w:w w:val="102"/>
          <w:sz w:val="16"/>
        </w:rPr>
        <w:t>t</w:t>
      </w:r>
      <w:r>
        <w:rPr>
          <w:color w:val="231F20"/>
          <w:spacing w:val="1"/>
          <w:w w:val="103"/>
          <w:sz w:val="16"/>
        </w:rPr>
        <w:t>i</w:t>
      </w:r>
      <w:r>
        <w:rPr>
          <w:color w:val="231F20"/>
          <w:spacing w:val="3"/>
          <w:w w:val="106"/>
          <w:sz w:val="16"/>
        </w:rPr>
        <w:t>a</w:t>
      </w:r>
      <w:r>
        <w:rPr>
          <w:color w:val="231F20"/>
          <w:w w:val="103"/>
          <w:sz w:val="16"/>
        </w:rPr>
        <w:t>n</w:t>
      </w:r>
      <w:r>
        <w:rPr>
          <w:color w:val="231F20"/>
          <w:spacing w:val="10"/>
          <w:sz w:val="16"/>
        </w:rPr>
        <w:t xml:space="preserve"> </w:t>
      </w:r>
      <w:r>
        <w:rPr>
          <w:color w:val="231F20"/>
          <w:spacing w:val="5"/>
          <w:w w:val="104"/>
          <w:sz w:val="16"/>
        </w:rPr>
        <w:t>S</w:t>
      </w:r>
      <w:r>
        <w:rPr>
          <w:color w:val="231F20"/>
          <w:w w:val="140"/>
          <w:sz w:val="16"/>
        </w:rPr>
        <w:t>.,</w:t>
      </w:r>
      <w:r>
        <w:rPr>
          <w:color w:val="231F20"/>
          <w:spacing w:val="10"/>
          <w:sz w:val="16"/>
        </w:rPr>
        <w:t xml:space="preserve"> </w:t>
      </w:r>
      <w:r>
        <w:rPr>
          <w:color w:val="231F20"/>
          <w:w w:val="153"/>
          <w:sz w:val="16"/>
        </w:rPr>
        <w:t>“</w:t>
      </w:r>
      <w:r>
        <w:rPr>
          <w:color w:val="231F20"/>
          <w:spacing w:val="2"/>
          <w:w w:val="121"/>
          <w:sz w:val="16"/>
        </w:rPr>
        <w:t>D</w:t>
      </w:r>
      <w:r>
        <w:rPr>
          <w:color w:val="231F20"/>
          <w:w w:val="94"/>
          <w:sz w:val="16"/>
        </w:rPr>
        <w:t>e</w:t>
      </w:r>
      <w:r>
        <w:rPr>
          <w:color w:val="231F20"/>
          <w:w w:val="97"/>
          <w:sz w:val="16"/>
        </w:rPr>
        <w:t>r</w:t>
      </w:r>
      <w:r>
        <w:rPr>
          <w:color w:val="231F20"/>
          <w:spacing w:val="10"/>
          <w:sz w:val="16"/>
        </w:rPr>
        <w:t xml:space="preserve"> </w:t>
      </w:r>
      <w:r>
        <w:rPr>
          <w:color w:val="231F20"/>
          <w:w w:val="104"/>
          <w:sz w:val="16"/>
        </w:rPr>
        <w:t>S</w:t>
      </w:r>
      <w:r>
        <w:rPr>
          <w:color w:val="231F20"/>
          <w:w w:val="103"/>
          <w:sz w:val="16"/>
        </w:rPr>
        <w:t>pi</w:t>
      </w:r>
      <w:r>
        <w:rPr>
          <w:color w:val="231F20"/>
          <w:spacing w:val="1"/>
          <w:w w:val="94"/>
          <w:sz w:val="16"/>
        </w:rPr>
        <w:t>e</w:t>
      </w:r>
      <w:r>
        <w:rPr>
          <w:color w:val="231F20"/>
          <w:w w:val="104"/>
          <w:sz w:val="16"/>
        </w:rPr>
        <w:t>g</w:t>
      </w:r>
      <w:r>
        <w:rPr>
          <w:color w:val="231F20"/>
          <w:w w:val="94"/>
          <w:sz w:val="16"/>
        </w:rPr>
        <w:t>e</w:t>
      </w:r>
      <w:r>
        <w:rPr>
          <w:color w:val="231F20"/>
          <w:spacing w:val="2"/>
          <w:w w:val="106"/>
          <w:sz w:val="16"/>
        </w:rPr>
        <w:t>l</w:t>
      </w:r>
      <w:r>
        <w:rPr>
          <w:color w:val="231F20"/>
          <w:w w:val="140"/>
          <w:sz w:val="16"/>
        </w:rPr>
        <w:t>,</w:t>
      </w:r>
      <w:r>
        <w:rPr>
          <w:color w:val="231F20"/>
          <w:spacing w:val="10"/>
          <w:sz w:val="16"/>
        </w:rPr>
        <w:t xml:space="preserve"> </w:t>
      </w:r>
      <w:r>
        <w:rPr>
          <w:color w:val="231F20"/>
          <w:spacing w:val="-6"/>
          <w:w w:val="104"/>
          <w:sz w:val="16"/>
        </w:rPr>
        <w:t>1</w:t>
      </w:r>
      <w:r>
        <w:rPr>
          <w:color w:val="231F20"/>
          <w:w w:val="104"/>
          <w:sz w:val="16"/>
        </w:rPr>
        <w:t>9</w:t>
      </w:r>
      <w:r>
        <w:rPr>
          <w:color w:val="231F20"/>
          <w:spacing w:val="-8"/>
          <w:w w:val="104"/>
          <w:sz w:val="16"/>
        </w:rPr>
        <w:t>7</w:t>
      </w:r>
      <w:r>
        <w:rPr>
          <w:color w:val="231F20"/>
          <w:spacing w:val="-4"/>
          <w:w w:val="104"/>
          <w:sz w:val="16"/>
        </w:rPr>
        <w:t>5</w:t>
      </w:r>
      <w:r>
        <w:rPr>
          <w:color w:val="231F20"/>
          <w:w w:val="140"/>
          <w:sz w:val="16"/>
        </w:rPr>
        <w:t>,</w:t>
      </w:r>
      <w:r>
        <w:rPr>
          <w:color w:val="231F20"/>
          <w:spacing w:val="10"/>
          <w:sz w:val="16"/>
        </w:rPr>
        <w:t xml:space="preserve"> </w:t>
      </w:r>
      <w:r>
        <w:rPr>
          <w:color w:val="231F20"/>
          <w:w w:val="103"/>
          <w:sz w:val="16"/>
        </w:rPr>
        <w:t>B</w:t>
      </w:r>
      <w:r>
        <w:rPr>
          <w:color w:val="231F20"/>
          <w:spacing w:val="8"/>
          <w:w w:val="120"/>
          <w:sz w:val="16"/>
        </w:rPr>
        <w:t>A</w:t>
      </w:r>
      <w:r>
        <w:rPr>
          <w:color w:val="231F20"/>
          <w:spacing w:val="7"/>
          <w:w w:val="120"/>
          <w:sz w:val="16"/>
        </w:rPr>
        <w:t>A</w:t>
      </w:r>
      <w:r>
        <w:rPr>
          <w:color w:val="231F20"/>
          <w:w w:val="116"/>
          <w:sz w:val="16"/>
        </w:rPr>
        <w:t>D</w:t>
      </w:r>
      <w:r>
        <w:rPr>
          <w:color w:val="231F20"/>
          <w:spacing w:val="5"/>
          <w:w w:val="116"/>
          <w:sz w:val="16"/>
        </w:rPr>
        <w:t>E</w:t>
      </w:r>
      <w:r>
        <w:rPr>
          <w:color w:val="231F20"/>
          <w:spacing w:val="10"/>
          <w:w w:val="120"/>
          <w:sz w:val="16"/>
        </w:rPr>
        <w:t>R</w:t>
      </w:r>
      <w:r>
        <w:rPr>
          <w:color w:val="231F20"/>
          <w:spacing w:val="6"/>
          <w:w w:val="58"/>
          <w:sz w:val="16"/>
        </w:rPr>
        <w:t>/</w:t>
      </w:r>
      <w:r>
        <w:rPr>
          <w:color w:val="231F20"/>
          <w:spacing w:val="6"/>
          <w:w w:val="127"/>
          <w:sz w:val="16"/>
        </w:rPr>
        <w:t>M</w:t>
      </w:r>
      <w:r>
        <w:rPr>
          <w:color w:val="231F20"/>
          <w:spacing w:val="5"/>
          <w:w w:val="110"/>
          <w:sz w:val="16"/>
        </w:rPr>
        <w:t>E</w:t>
      </w:r>
      <w:r>
        <w:rPr>
          <w:color w:val="231F20"/>
          <w:spacing w:val="7"/>
          <w:w w:val="106"/>
          <w:sz w:val="16"/>
        </w:rPr>
        <w:t>I</w:t>
      </w:r>
      <w:r>
        <w:rPr>
          <w:color w:val="231F20"/>
          <w:spacing w:val="7"/>
          <w:w w:val="126"/>
          <w:sz w:val="16"/>
        </w:rPr>
        <w:t>N</w:t>
      </w:r>
      <w:r>
        <w:rPr>
          <w:color w:val="231F20"/>
          <w:w w:val="126"/>
          <w:sz w:val="16"/>
        </w:rPr>
        <w:t>H</w:t>
      </w:r>
      <w:r>
        <w:rPr>
          <w:color w:val="231F20"/>
          <w:w w:val="121"/>
          <w:sz w:val="16"/>
        </w:rPr>
        <w:t>OF</w:t>
      </w:r>
      <w:r>
        <w:rPr>
          <w:color w:val="231F20"/>
          <w:spacing w:val="10"/>
          <w:sz w:val="16"/>
        </w:rPr>
        <w:t xml:space="preserve"> </w:t>
      </w:r>
      <w:r>
        <w:rPr>
          <w:color w:val="231F20"/>
          <w:w w:val="127"/>
          <w:sz w:val="16"/>
        </w:rPr>
        <w:t>M</w:t>
      </w:r>
      <w:r>
        <w:rPr>
          <w:color w:val="231F20"/>
          <w:w w:val="104"/>
          <w:sz w:val="16"/>
        </w:rPr>
        <w:t>ü</w:t>
      </w:r>
      <w:r>
        <w:rPr>
          <w:color w:val="231F20"/>
          <w:w w:val="103"/>
          <w:sz w:val="16"/>
        </w:rPr>
        <w:t>d</w:t>
      </w:r>
      <w:r>
        <w:rPr>
          <w:color w:val="231F20"/>
          <w:spacing w:val="2"/>
          <w:w w:val="94"/>
          <w:sz w:val="16"/>
        </w:rPr>
        <w:t>e</w:t>
      </w:r>
      <w:r>
        <w:rPr>
          <w:color w:val="231F20"/>
          <w:w w:val="93"/>
          <w:sz w:val="16"/>
        </w:rPr>
        <w:t>s</w:t>
      </w:r>
      <w:r>
        <w:rPr>
          <w:color w:val="231F20"/>
          <w:spacing w:val="10"/>
          <w:sz w:val="16"/>
        </w:rPr>
        <w:t xml:space="preserve"> </w:t>
      </w:r>
      <w:r>
        <w:rPr>
          <w:color w:val="231F20"/>
          <w:w w:val="120"/>
          <w:sz w:val="16"/>
        </w:rPr>
        <w:t>A</w:t>
      </w:r>
      <w:r>
        <w:rPr>
          <w:color w:val="231F20"/>
          <w:spacing w:val="1"/>
          <w:w w:val="104"/>
          <w:sz w:val="16"/>
        </w:rPr>
        <w:t>u</w:t>
      </w:r>
      <w:r>
        <w:rPr>
          <w:color w:val="231F20"/>
          <w:w w:val="104"/>
          <w:sz w:val="16"/>
        </w:rPr>
        <w:t>g</w:t>
      </w:r>
      <w:r>
        <w:rPr>
          <w:color w:val="231F20"/>
          <w:spacing w:val="2"/>
          <w:w w:val="94"/>
          <w:sz w:val="16"/>
        </w:rPr>
        <w:t>e</w:t>
      </w:r>
      <w:r>
        <w:rPr>
          <w:color w:val="231F20"/>
          <w:spacing w:val="-9"/>
          <w:w w:val="140"/>
          <w:sz w:val="16"/>
        </w:rPr>
        <w:t>,</w:t>
      </w:r>
      <w:r>
        <w:rPr>
          <w:color w:val="231F20"/>
          <w:w w:val="153"/>
          <w:sz w:val="16"/>
        </w:rPr>
        <w:t xml:space="preserve">” </w:t>
      </w:r>
      <w:hyperlink r:id="rId214">
        <w:r>
          <w:rPr>
            <w:color w:val="231F20"/>
            <w:w w:val="104"/>
            <w:sz w:val="16"/>
          </w:rPr>
          <w:t>h</w:t>
        </w:r>
        <w:r>
          <w:rPr>
            <w:color w:val="231F20"/>
            <w:spacing w:val="5"/>
            <w:w w:val="102"/>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2"/>
            <w:w w:val="104"/>
            <w:sz w:val="16"/>
          </w:rPr>
          <w:t>w</w:t>
        </w:r>
        <w:r>
          <w:rPr>
            <w:color w:val="231F20"/>
            <w:spacing w:val="-6"/>
            <w:w w:val="104"/>
            <w:sz w:val="16"/>
          </w:rPr>
          <w:t>3</w:t>
        </w:r>
        <w:r>
          <w:rPr>
            <w:color w:val="231F20"/>
            <w:spacing w:val="-1"/>
            <w:w w:val="104"/>
            <w:sz w:val="16"/>
          </w:rPr>
          <w:t>6</w:t>
        </w:r>
        <w:r>
          <w:rPr>
            <w:color w:val="231F20"/>
            <w:spacing w:val="-8"/>
            <w:w w:val="140"/>
            <w:sz w:val="16"/>
          </w:rPr>
          <w:t>.</w:t>
        </w:r>
        <w:r>
          <w:rPr>
            <w:color w:val="231F20"/>
            <w:w w:val="104"/>
            <w:sz w:val="16"/>
          </w:rPr>
          <w:t>w</w:t>
        </w:r>
        <w:r>
          <w:rPr>
            <w:color w:val="231F20"/>
            <w:w w:val="94"/>
            <w:sz w:val="16"/>
          </w:rPr>
          <w:t>e</w:t>
        </w:r>
        <w:r>
          <w:rPr>
            <w:color w:val="231F20"/>
            <w:spacing w:val="1"/>
            <w:w w:val="105"/>
            <w:sz w:val="16"/>
          </w:rPr>
          <w:t>b</w:t>
        </w:r>
        <w:r>
          <w:rPr>
            <w:color w:val="231F20"/>
            <w:spacing w:val="1"/>
            <w:w w:val="93"/>
            <w:sz w:val="16"/>
          </w:rPr>
          <w:t>s</w:t>
        </w:r>
        <w:r>
          <w:rPr>
            <w:color w:val="231F20"/>
            <w:spacing w:val="3"/>
            <w:w w:val="106"/>
            <w:sz w:val="16"/>
          </w:rPr>
          <w:t>a</w:t>
        </w:r>
        <w:r>
          <w:rPr>
            <w:color w:val="231F20"/>
            <w:w w:val="103"/>
            <w:sz w:val="16"/>
          </w:rPr>
          <w:t>m</w:t>
        </w:r>
        <w:r>
          <w:rPr>
            <w:color w:val="231F20"/>
            <w:w w:val="105"/>
            <w:sz w:val="16"/>
          </w:rPr>
          <w:t>b</w:t>
        </w:r>
        <w:r>
          <w:rPr>
            <w:color w:val="231F20"/>
            <w:spacing w:val="1"/>
            <w:w w:val="106"/>
            <w:sz w:val="16"/>
          </w:rPr>
          <w:t>a</w:t>
        </w:r>
        <w:r>
          <w:rPr>
            <w:color w:val="231F20"/>
            <w:w w:val="140"/>
            <w:sz w:val="16"/>
          </w:rPr>
          <w:t>.</w:t>
        </w:r>
        <w:r>
          <w:rPr>
            <w:color w:val="231F20"/>
            <w:w w:val="104"/>
            <w:sz w:val="16"/>
          </w:rPr>
          <w:t>c</w:t>
        </w:r>
        <w:r>
          <w:rPr>
            <w:color w:val="231F20"/>
            <w:w w:val="108"/>
            <w:sz w:val="16"/>
          </w:rPr>
          <w:t>o</w:t>
        </w:r>
        <w:r>
          <w:rPr>
            <w:color w:val="231F20"/>
            <w:spacing w:val="8"/>
            <w:w w:val="103"/>
            <w:sz w:val="16"/>
          </w:rPr>
          <w:t>m</w:t>
        </w:r>
        <w:r>
          <w:rPr>
            <w:color w:val="231F20"/>
            <w:spacing w:val="3"/>
            <w:w w:val="58"/>
            <w:sz w:val="16"/>
          </w:rPr>
          <w:t>/</w:t>
        </w:r>
        <w:r>
          <w:rPr>
            <w:color w:val="231F20"/>
            <w:spacing w:val="3"/>
            <w:w w:val="104"/>
            <w:sz w:val="16"/>
          </w:rPr>
          <w:t>S</w:t>
        </w:r>
        <w:r>
          <w:rPr>
            <w:color w:val="231F20"/>
            <w:w w:val="108"/>
            <w:sz w:val="16"/>
          </w:rPr>
          <w:t>o</w:t>
        </w:r>
        <w:r>
          <w:rPr>
            <w:color w:val="231F20"/>
            <w:spacing w:val="2"/>
            <w:w w:val="106"/>
            <w:sz w:val="16"/>
          </w:rPr>
          <w:t>l</w:t>
        </w:r>
        <w:r>
          <w:rPr>
            <w:color w:val="231F20"/>
            <w:w w:val="103"/>
            <w:sz w:val="16"/>
          </w:rPr>
          <w:t>i</w:t>
        </w:r>
        <w:r>
          <w:rPr>
            <w:color w:val="231F20"/>
            <w:spacing w:val="5"/>
            <w:w w:val="104"/>
            <w:sz w:val="16"/>
          </w:rPr>
          <w:t>g</w:t>
        </w:r>
        <w:r>
          <w:rPr>
            <w:color w:val="231F20"/>
            <w:spacing w:val="3"/>
            <w:w w:val="97"/>
            <w:sz w:val="16"/>
          </w:rPr>
          <w:t>r</w:t>
        </w:r>
        <w:r>
          <w:rPr>
            <w:color w:val="231F20"/>
            <w:spacing w:val="-1"/>
            <w:w w:val="104"/>
            <w:sz w:val="16"/>
          </w:rPr>
          <w:t>u</w:t>
        </w:r>
        <w:r>
          <w:rPr>
            <w:color w:val="231F20"/>
            <w:w w:val="103"/>
            <w:sz w:val="16"/>
          </w:rPr>
          <w:t>p</w:t>
        </w:r>
        <w:r>
          <w:rPr>
            <w:color w:val="231F20"/>
            <w:spacing w:val="2"/>
            <w:w w:val="103"/>
            <w:sz w:val="16"/>
          </w:rPr>
          <w:t>p</w:t>
        </w:r>
        <w:r>
          <w:rPr>
            <w:color w:val="231F20"/>
            <w:spacing w:val="5"/>
            <w:w w:val="94"/>
            <w:sz w:val="16"/>
          </w:rPr>
          <w:t>e</w:t>
        </w:r>
        <w:r>
          <w:rPr>
            <w:color w:val="231F20"/>
            <w:spacing w:val="-3"/>
            <w:w w:val="58"/>
            <w:sz w:val="16"/>
          </w:rPr>
          <w:t>/</w:t>
        </w:r>
        <w:r>
          <w:rPr>
            <w:color w:val="231F20"/>
            <w:spacing w:val="2"/>
            <w:w w:val="103"/>
            <w:sz w:val="16"/>
          </w:rPr>
          <w:t>d</w:t>
        </w:r>
        <w:r>
          <w:rPr>
            <w:color w:val="231F20"/>
            <w:spacing w:val="-1"/>
            <w:w w:val="106"/>
            <w:sz w:val="16"/>
          </w:rPr>
          <w:t>a</w:t>
        </w:r>
        <w:r>
          <w:rPr>
            <w:color w:val="231F20"/>
            <w:spacing w:val="3"/>
            <w:w w:val="102"/>
            <w:sz w:val="16"/>
          </w:rPr>
          <w:t>t</w:t>
        </w:r>
        <w:r>
          <w:rPr>
            <w:color w:val="231F20"/>
            <w:spacing w:val="6"/>
            <w:w w:val="106"/>
            <w:sz w:val="16"/>
          </w:rPr>
          <w:t>a</w:t>
        </w:r>
        <w:r>
          <w:rPr>
            <w:color w:val="231F20"/>
            <w:spacing w:val="-2"/>
            <w:w w:val="58"/>
            <w:sz w:val="16"/>
          </w:rPr>
          <w:t>/</w:t>
        </w:r>
        <w:r>
          <w:rPr>
            <w:color w:val="231F20"/>
            <w:sz w:val="16"/>
          </w:rPr>
          <w:t>spi</w:t>
        </w:r>
        <w:r>
          <w:rPr>
            <w:color w:val="231F20"/>
            <w:spacing w:val="1"/>
            <w:w w:val="94"/>
            <w:sz w:val="16"/>
          </w:rPr>
          <w:t>e</w:t>
        </w:r>
        <w:r>
          <w:rPr>
            <w:color w:val="231F20"/>
            <w:w w:val="104"/>
            <w:sz w:val="16"/>
          </w:rPr>
          <w:t>g</w:t>
        </w:r>
        <w:r>
          <w:rPr>
            <w:color w:val="231F20"/>
            <w:w w:val="98"/>
            <w:sz w:val="16"/>
          </w:rPr>
          <w:t>e</w:t>
        </w:r>
        <w:r>
          <w:rPr>
            <w:color w:val="231F20"/>
            <w:spacing w:val="-1"/>
            <w:w w:val="98"/>
            <w:sz w:val="16"/>
          </w:rPr>
          <w:t>l</w:t>
        </w:r>
        <w:r>
          <w:rPr>
            <w:color w:val="231F20"/>
            <w:spacing w:val="-6"/>
            <w:w w:val="104"/>
            <w:sz w:val="16"/>
          </w:rPr>
          <w:t>1</w:t>
        </w:r>
        <w:r>
          <w:rPr>
            <w:color w:val="231F20"/>
            <w:w w:val="104"/>
            <w:sz w:val="16"/>
          </w:rPr>
          <w:t>9</w:t>
        </w:r>
        <w:r>
          <w:rPr>
            <w:color w:val="231F20"/>
            <w:spacing w:val="-8"/>
            <w:w w:val="104"/>
            <w:sz w:val="16"/>
          </w:rPr>
          <w:t>7</w:t>
        </w:r>
        <w:r>
          <w:rPr>
            <w:color w:val="231F20"/>
            <w:spacing w:val="-5"/>
            <w:w w:val="104"/>
            <w:sz w:val="16"/>
          </w:rPr>
          <w:t>5</w:t>
        </w:r>
        <w:r>
          <w:rPr>
            <w:color w:val="231F20"/>
            <w:spacing w:val="1"/>
            <w:w w:val="140"/>
            <w:sz w:val="16"/>
          </w:rPr>
          <w:t>.</w:t>
        </w:r>
        <w:r>
          <w:rPr>
            <w:color w:val="231F20"/>
            <w:w w:val="103"/>
            <w:sz w:val="16"/>
          </w:rPr>
          <w:t>h</w:t>
        </w:r>
        <w:r>
          <w:rPr>
            <w:color w:val="231F20"/>
            <w:spacing w:val="3"/>
            <w:w w:val="103"/>
            <w:sz w:val="16"/>
          </w:rPr>
          <w:t>tm</w:t>
        </w:r>
        <w:r>
          <w:rPr>
            <w:color w:val="231F20"/>
            <w:w w:val="109"/>
            <w:sz w:val="16"/>
          </w:rPr>
          <w:t>;</w:t>
        </w:r>
        <w:r>
          <w:rPr>
            <w:color w:val="231F20"/>
            <w:spacing w:val="10"/>
            <w:sz w:val="16"/>
          </w:rPr>
          <w:t xml:space="preserve"> </w:t>
        </w:r>
      </w:hyperlink>
      <w:r>
        <w:rPr>
          <w:color w:val="231F20"/>
          <w:w w:val="153"/>
          <w:sz w:val="16"/>
        </w:rPr>
        <w:t>“</w:t>
      </w:r>
      <w:r>
        <w:rPr>
          <w:color w:val="231F20"/>
          <w:spacing w:val="5"/>
          <w:w w:val="118"/>
          <w:sz w:val="16"/>
        </w:rPr>
        <w:t>L</w:t>
      </w:r>
      <w:r>
        <w:rPr>
          <w:color w:val="231F20"/>
          <w:spacing w:val="2"/>
          <w:w w:val="94"/>
          <w:sz w:val="16"/>
        </w:rPr>
        <w:t>e</w:t>
      </w:r>
      <w:r>
        <w:rPr>
          <w:color w:val="231F20"/>
          <w:w w:val="93"/>
          <w:sz w:val="16"/>
        </w:rPr>
        <w:t>s</w:t>
      </w:r>
      <w:r>
        <w:rPr>
          <w:color w:val="231F20"/>
          <w:spacing w:val="10"/>
          <w:sz w:val="16"/>
        </w:rPr>
        <w:t xml:space="preserve"> </w:t>
      </w:r>
      <w:r>
        <w:rPr>
          <w:color w:val="231F20"/>
          <w:w w:val="103"/>
          <w:sz w:val="16"/>
        </w:rPr>
        <w:t>d</w:t>
      </w:r>
      <w:r>
        <w:rPr>
          <w:color w:val="231F20"/>
          <w:w w:val="94"/>
          <w:sz w:val="16"/>
        </w:rPr>
        <w:t>e</w:t>
      </w:r>
      <w:r>
        <w:rPr>
          <w:color w:val="231F20"/>
          <w:w w:val="103"/>
          <w:sz w:val="16"/>
        </w:rPr>
        <w:t>m</w:t>
      </w:r>
      <w:r>
        <w:rPr>
          <w:color w:val="231F20"/>
          <w:spacing w:val="2"/>
          <w:w w:val="108"/>
          <w:sz w:val="16"/>
        </w:rPr>
        <w:t>o</w:t>
      </w:r>
      <w:r>
        <w:rPr>
          <w:color w:val="231F20"/>
          <w:spacing w:val="1"/>
          <w:w w:val="104"/>
          <w:sz w:val="16"/>
        </w:rPr>
        <w:t>c</w:t>
      </w:r>
      <w:r>
        <w:rPr>
          <w:color w:val="231F20"/>
          <w:w w:val="97"/>
          <w:sz w:val="16"/>
        </w:rPr>
        <w:t>r</w:t>
      </w:r>
      <w:r>
        <w:rPr>
          <w:color w:val="231F20"/>
          <w:spacing w:val="-1"/>
          <w:w w:val="106"/>
          <w:sz w:val="16"/>
        </w:rPr>
        <w:t>a</w:t>
      </w:r>
      <w:r>
        <w:rPr>
          <w:color w:val="231F20"/>
          <w:spacing w:val="2"/>
          <w:w w:val="102"/>
          <w:sz w:val="16"/>
        </w:rPr>
        <w:t>t</w:t>
      </w:r>
      <w:r>
        <w:rPr>
          <w:color w:val="231F20"/>
          <w:w w:val="103"/>
          <w:sz w:val="16"/>
        </w:rPr>
        <w:t>i</w:t>
      </w:r>
      <w:r>
        <w:rPr>
          <w:color w:val="231F20"/>
          <w:spacing w:val="2"/>
          <w:w w:val="94"/>
          <w:sz w:val="16"/>
        </w:rPr>
        <w:t>e</w:t>
      </w:r>
      <w:r>
        <w:rPr>
          <w:color w:val="231F20"/>
          <w:w w:val="93"/>
          <w:sz w:val="16"/>
        </w:rPr>
        <w:t xml:space="preserve">s </w:t>
      </w:r>
      <w:r>
        <w:rPr>
          <w:color w:val="231F20"/>
          <w:w w:val="105"/>
          <w:sz w:val="16"/>
        </w:rPr>
        <w:t>face</w:t>
      </w:r>
      <w:r>
        <w:rPr>
          <w:color w:val="231F20"/>
          <w:spacing w:val="8"/>
          <w:w w:val="105"/>
          <w:sz w:val="16"/>
        </w:rPr>
        <w:t xml:space="preserve"> </w:t>
      </w:r>
      <w:r>
        <w:rPr>
          <w:color w:val="231F20"/>
          <w:w w:val="105"/>
          <w:sz w:val="16"/>
        </w:rPr>
        <w:t>à</w:t>
      </w:r>
      <w:r>
        <w:rPr>
          <w:color w:val="231F20"/>
          <w:spacing w:val="8"/>
          <w:w w:val="105"/>
          <w:sz w:val="16"/>
        </w:rPr>
        <w:t xml:space="preserve"> </w:t>
      </w:r>
      <w:r>
        <w:rPr>
          <w:color w:val="231F20"/>
          <w:w w:val="105"/>
          <w:sz w:val="16"/>
        </w:rPr>
        <w:t>la</w:t>
      </w:r>
      <w:r>
        <w:rPr>
          <w:color w:val="231F20"/>
          <w:spacing w:val="8"/>
          <w:w w:val="105"/>
          <w:sz w:val="16"/>
        </w:rPr>
        <w:t xml:space="preserve"> </w:t>
      </w:r>
      <w:r>
        <w:rPr>
          <w:color w:val="231F20"/>
          <w:w w:val="105"/>
          <w:sz w:val="16"/>
        </w:rPr>
        <w:t>violence”</w:t>
      </w:r>
      <w:r>
        <w:rPr>
          <w:color w:val="231F20"/>
          <w:spacing w:val="10"/>
          <w:w w:val="105"/>
          <w:sz w:val="16"/>
        </w:rPr>
        <w:t xml:space="preserve"> </w:t>
      </w:r>
      <w:r>
        <w:rPr>
          <w:i/>
          <w:color w:val="231F20"/>
          <w:spacing w:val="1"/>
          <w:w w:val="105"/>
          <w:sz w:val="16"/>
        </w:rPr>
        <w:t>la</w:t>
      </w:r>
      <w:r>
        <w:rPr>
          <w:i/>
          <w:color w:val="231F20"/>
          <w:spacing w:val="8"/>
          <w:w w:val="105"/>
          <w:sz w:val="16"/>
        </w:rPr>
        <w:t xml:space="preserve"> </w:t>
      </w:r>
      <w:r>
        <w:rPr>
          <w:i/>
          <w:color w:val="231F20"/>
          <w:spacing w:val="2"/>
          <w:w w:val="105"/>
          <w:sz w:val="16"/>
        </w:rPr>
        <w:t>Lanterne</w:t>
      </w:r>
      <w:r>
        <w:rPr>
          <w:i/>
          <w:color w:val="231F20"/>
          <w:spacing w:val="8"/>
          <w:w w:val="105"/>
          <w:sz w:val="16"/>
        </w:rPr>
        <w:t xml:space="preserve"> </w:t>
      </w:r>
      <w:r>
        <w:rPr>
          <w:i/>
          <w:color w:val="231F20"/>
          <w:w w:val="105"/>
          <w:sz w:val="16"/>
        </w:rPr>
        <w:t>Noire</w:t>
      </w:r>
      <w:r>
        <w:rPr>
          <w:i/>
          <w:color w:val="231F20"/>
          <w:spacing w:val="8"/>
          <w:w w:val="105"/>
          <w:sz w:val="16"/>
        </w:rPr>
        <w:t xml:space="preserve"> </w:t>
      </w:r>
      <w:r>
        <w:rPr>
          <w:color w:val="231F20"/>
          <w:w w:val="105"/>
          <w:sz w:val="16"/>
        </w:rPr>
        <w:t>5</w:t>
      </w:r>
      <w:r>
        <w:rPr>
          <w:color w:val="231F20"/>
          <w:spacing w:val="8"/>
          <w:w w:val="105"/>
          <w:sz w:val="16"/>
        </w:rPr>
        <w:t xml:space="preserve"> </w:t>
      </w:r>
      <w:r>
        <w:rPr>
          <w:color w:val="231F20"/>
          <w:w w:val="105"/>
          <w:sz w:val="16"/>
        </w:rPr>
        <w:t>(December</w:t>
      </w:r>
      <w:r>
        <w:rPr>
          <w:color w:val="231F20"/>
          <w:spacing w:val="8"/>
          <w:w w:val="105"/>
          <w:sz w:val="16"/>
        </w:rPr>
        <w:t xml:space="preserve"> </w:t>
      </w:r>
      <w:r>
        <w:rPr>
          <w:color w:val="231F20"/>
          <w:spacing w:val="-5"/>
          <w:w w:val="105"/>
          <w:sz w:val="16"/>
        </w:rPr>
        <w:t>1975).</w:t>
      </w:r>
    </w:p>
    <w:p w14:paraId="5BB95AFA" w14:textId="77777777" w:rsidR="002653E8" w:rsidRDefault="003115E3">
      <w:pPr>
        <w:pStyle w:val="a4"/>
        <w:numPr>
          <w:ilvl w:val="0"/>
          <w:numId w:val="117"/>
        </w:numPr>
        <w:tabs>
          <w:tab w:val="left" w:pos="1287"/>
        </w:tabs>
        <w:spacing w:line="254" w:lineRule="auto"/>
        <w:ind w:right="1737" w:firstLine="0"/>
        <w:jc w:val="left"/>
        <w:rPr>
          <w:sz w:val="16"/>
        </w:rPr>
      </w:pPr>
      <w:r>
        <w:rPr>
          <w:color w:val="231F20"/>
          <w:w w:val="105"/>
          <w:sz w:val="16"/>
        </w:rPr>
        <w:t>Viktor Kleinkrieg, “Les combattantes anti-impérialistes face à la torture,” in Croissant,</w:t>
      </w:r>
      <w:r>
        <w:rPr>
          <w:color w:val="231F20"/>
          <w:spacing w:val="8"/>
          <w:w w:val="105"/>
          <w:sz w:val="16"/>
        </w:rPr>
        <w:t xml:space="preserve"> </w:t>
      </w:r>
      <w:r>
        <w:rPr>
          <w:color w:val="231F20"/>
          <w:spacing w:val="-7"/>
          <w:w w:val="105"/>
          <w:sz w:val="16"/>
        </w:rPr>
        <w:t>47.</w:t>
      </w:r>
    </w:p>
    <w:bookmarkEnd w:id="107"/>
    <w:p w14:paraId="70E418FC" w14:textId="77777777" w:rsidR="002653E8" w:rsidRDefault="002653E8">
      <w:pPr>
        <w:spacing w:line="254" w:lineRule="auto"/>
        <w:rPr>
          <w:sz w:val="16"/>
        </w:rPr>
        <w:sectPr w:rsidR="002653E8">
          <w:type w:val="continuous"/>
          <w:pgSz w:w="8640" w:h="12960"/>
          <w:pgMar w:top="0" w:right="0" w:bottom="0" w:left="0" w:header="720" w:footer="720" w:gutter="0"/>
          <w:cols w:space="720"/>
        </w:sectPr>
      </w:pPr>
    </w:p>
    <w:p w14:paraId="799F7886" w14:textId="77777777" w:rsidR="002653E8" w:rsidRDefault="003115E3">
      <w:pPr>
        <w:pStyle w:val="a3"/>
        <w:spacing w:before="86" w:line="264" w:lineRule="auto"/>
        <w:ind w:left="1327" w:right="1146"/>
        <w:jc w:val="both"/>
        <w:rPr>
          <w:sz w:val="11"/>
        </w:rPr>
      </w:pPr>
      <w:r>
        <w:rPr>
          <w:color w:val="231F20"/>
          <w:w w:val="105"/>
        </w:rPr>
        <w:lastRenderedPageBreak/>
        <w:t>release</w:t>
      </w:r>
      <w:r>
        <w:rPr>
          <w:color w:val="231F20"/>
          <w:spacing w:val="-10"/>
          <w:w w:val="105"/>
        </w:rPr>
        <w:t xml:space="preserve"> </w:t>
      </w:r>
      <w:r>
        <w:rPr>
          <w:color w:val="231F20"/>
          <w:w w:val="105"/>
        </w:rPr>
        <w:t>declared</w:t>
      </w:r>
      <w:r>
        <w:rPr>
          <w:color w:val="231F20"/>
          <w:spacing w:val="-10"/>
          <w:w w:val="105"/>
        </w:rPr>
        <w:t xml:space="preserve"> </w:t>
      </w:r>
      <w:r>
        <w:rPr>
          <w:color w:val="231F20"/>
          <w:w w:val="105"/>
        </w:rPr>
        <w:t>that</w:t>
      </w:r>
      <w:r>
        <w:rPr>
          <w:color w:val="231F20"/>
          <w:spacing w:val="-10"/>
          <w:w w:val="105"/>
        </w:rPr>
        <w:t xml:space="preserve"> </w:t>
      </w:r>
      <w:r>
        <w:rPr>
          <w:color w:val="231F20"/>
          <w:w w:val="105"/>
        </w:rPr>
        <w:t>the</w:t>
      </w:r>
      <w:r>
        <w:rPr>
          <w:color w:val="231F20"/>
          <w:spacing w:val="-10"/>
          <w:w w:val="105"/>
        </w:rPr>
        <w:t xml:space="preserve"> </w:t>
      </w:r>
      <w:r>
        <w:rPr>
          <w:color w:val="231F20"/>
          <w:w w:val="105"/>
        </w:rPr>
        <w:t>prison</w:t>
      </w:r>
      <w:r>
        <w:rPr>
          <w:color w:val="231F20"/>
          <w:spacing w:val="-10"/>
          <w:w w:val="105"/>
        </w:rPr>
        <w:t xml:space="preserve"> </w:t>
      </w:r>
      <w:r>
        <w:rPr>
          <w:color w:val="231F20"/>
          <w:w w:val="105"/>
        </w:rPr>
        <w:t>doctors’</w:t>
      </w:r>
      <w:r>
        <w:rPr>
          <w:color w:val="231F20"/>
          <w:spacing w:val="-10"/>
          <w:w w:val="105"/>
        </w:rPr>
        <w:t xml:space="preserve"> </w:t>
      </w:r>
      <w:r>
        <w:rPr>
          <w:color w:val="231F20"/>
          <w:w w:val="105"/>
        </w:rPr>
        <w:t>findings</w:t>
      </w:r>
      <w:r>
        <w:rPr>
          <w:color w:val="231F20"/>
          <w:spacing w:val="-10"/>
          <w:w w:val="105"/>
        </w:rPr>
        <w:t xml:space="preserve"> </w:t>
      </w:r>
      <w:r>
        <w:rPr>
          <w:color w:val="231F20"/>
          <w:w w:val="105"/>
        </w:rPr>
        <w:t>had</w:t>
      </w:r>
      <w:r>
        <w:rPr>
          <w:color w:val="231F20"/>
          <w:spacing w:val="-10"/>
          <w:w w:val="105"/>
        </w:rPr>
        <w:t xml:space="preserve"> </w:t>
      </w:r>
      <w:r>
        <w:rPr>
          <w:color w:val="231F20"/>
          <w:w w:val="105"/>
        </w:rPr>
        <w:t>been</w:t>
      </w:r>
      <w:r>
        <w:rPr>
          <w:color w:val="231F20"/>
          <w:spacing w:val="-10"/>
          <w:w w:val="105"/>
        </w:rPr>
        <w:t xml:space="preserve"> </w:t>
      </w:r>
      <w:r>
        <w:rPr>
          <w:color w:val="231F20"/>
          <w:w w:val="105"/>
        </w:rPr>
        <w:t>“medically incomprehensible,”</w:t>
      </w:r>
      <w:r>
        <w:rPr>
          <w:color w:val="231F20"/>
          <w:spacing w:val="-12"/>
          <w:w w:val="105"/>
        </w:rPr>
        <w:t xml:space="preserve"> </w:t>
      </w:r>
      <w:r>
        <w:rPr>
          <w:color w:val="231F20"/>
          <w:w w:val="105"/>
        </w:rPr>
        <w:t>evidence</w:t>
      </w:r>
      <w:r>
        <w:rPr>
          <w:color w:val="231F20"/>
          <w:spacing w:val="-12"/>
          <w:w w:val="105"/>
        </w:rPr>
        <w:t xml:space="preserve"> </w:t>
      </w:r>
      <w:r>
        <w:rPr>
          <w:color w:val="231F20"/>
          <w:w w:val="105"/>
        </w:rPr>
        <w:t>of</w:t>
      </w:r>
      <w:r>
        <w:rPr>
          <w:color w:val="231F20"/>
          <w:spacing w:val="-12"/>
          <w:w w:val="105"/>
        </w:rPr>
        <w:t xml:space="preserve"> </w:t>
      </w:r>
      <w:r>
        <w:rPr>
          <w:color w:val="231F20"/>
          <w:w w:val="105"/>
        </w:rPr>
        <w:t>“incredible</w:t>
      </w:r>
      <w:r>
        <w:rPr>
          <w:color w:val="231F20"/>
          <w:spacing w:val="-12"/>
          <w:w w:val="105"/>
        </w:rPr>
        <w:t xml:space="preserve"> </w:t>
      </w:r>
      <w:r>
        <w:rPr>
          <w:color w:val="231F20"/>
          <w:w w:val="105"/>
        </w:rPr>
        <w:t>medical</w:t>
      </w:r>
      <w:r>
        <w:rPr>
          <w:color w:val="231F20"/>
          <w:spacing w:val="-12"/>
          <w:w w:val="105"/>
        </w:rPr>
        <w:t xml:space="preserve"> </w:t>
      </w:r>
      <w:r>
        <w:rPr>
          <w:color w:val="231F20"/>
          <w:w w:val="105"/>
        </w:rPr>
        <w:t>shortcomings.”</w:t>
      </w:r>
      <w:r>
        <w:rPr>
          <w:color w:val="231F20"/>
          <w:w w:val="105"/>
          <w:position w:val="7"/>
          <w:sz w:val="11"/>
        </w:rPr>
        <w:t>3</w:t>
      </w:r>
      <w:r>
        <w:rPr>
          <w:color w:val="231F20"/>
          <w:spacing w:val="-6"/>
          <w:w w:val="105"/>
          <w:position w:val="7"/>
          <w:sz w:val="11"/>
        </w:rPr>
        <w:t xml:space="preserve"> </w:t>
      </w:r>
      <w:r>
        <w:rPr>
          <w:color w:val="231F20"/>
          <w:w w:val="105"/>
        </w:rPr>
        <w:t>A court</w:t>
      </w:r>
      <w:r>
        <w:rPr>
          <w:color w:val="231F20"/>
          <w:spacing w:val="-8"/>
          <w:w w:val="105"/>
        </w:rPr>
        <w:t xml:space="preserve"> </w:t>
      </w:r>
      <w:r>
        <w:rPr>
          <w:color w:val="231F20"/>
          <w:w w:val="105"/>
        </w:rPr>
        <w:t>would</w:t>
      </w:r>
      <w:r>
        <w:rPr>
          <w:color w:val="231F20"/>
          <w:spacing w:val="-8"/>
          <w:w w:val="105"/>
        </w:rPr>
        <w:t xml:space="preserve"> </w:t>
      </w:r>
      <w:r>
        <w:rPr>
          <w:color w:val="231F20"/>
          <w:w w:val="105"/>
        </w:rPr>
        <w:t>eventually</w:t>
      </w:r>
      <w:r>
        <w:rPr>
          <w:color w:val="231F20"/>
          <w:spacing w:val="-8"/>
          <w:w w:val="105"/>
        </w:rPr>
        <w:t xml:space="preserve"> </w:t>
      </w:r>
      <w:r>
        <w:rPr>
          <w:color w:val="231F20"/>
          <w:w w:val="105"/>
        </w:rPr>
        <w:t>award</w:t>
      </w:r>
      <w:r>
        <w:rPr>
          <w:color w:val="231F20"/>
          <w:spacing w:val="-8"/>
          <w:w w:val="105"/>
        </w:rPr>
        <w:t xml:space="preserve"> </w:t>
      </w:r>
      <w:r>
        <w:rPr>
          <w:color w:val="231F20"/>
          <w:w w:val="105"/>
        </w:rPr>
        <w:t>her</w:t>
      </w:r>
      <w:r>
        <w:rPr>
          <w:color w:val="231F20"/>
          <w:spacing w:val="-8"/>
          <w:w w:val="105"/>
        </w:rPr>
        <w:t xml:space="preserve"> </w:t>
      </w:r>
      <w:r>
        <w:rPr>
          <w:color w:val="231F20"/>
          <w:w w:val="105"/>
        </w:rPr>
        <w:t>family</w:t>
      </w:r>
      <w:r>
        <w:rPr>
          <w:color w:val="231F20"/>
          <w:spacing w:val="-8"/>
          <w:w w:val="105"/>
        </w:rPr>
        <w:t xml:space="preserve"> </w:t>
      </w:r>
      <w:r>
        <w:rPr>
          <w:color w:val="231F20"/>
          <w:w w:val="105"/>
        </w:rPr>
        <w:t>the</w:t>
      </w:r>
      <w:r>
        <w:rPr>
          <w:color w:val="231F20"/>
          <w:spacing w:val="-8"/>
          <w:w w:val="105"/>
        </w:rPr>
        <w:t xml:space="preserve"> </w:t>
      </w:r>
      <w:r>
        <w:rPr>
          <w:color w:val="231F20"/>
          <w:w w:val="105"/>
        </w:rPr>
        <w:t>measly</w:t>
      </w:r>
      <w:r>
        <w:rPr>
          <w:color w:val="231F20"/>
          <w:spacing w:val="-8"/>
          <w:w w:val="105"/>
        </w:rPr>
        <w:t xml:space="preserve"> </w:t>
      </w:r>
      <w:r>
        <w:rPr>
          <w:color w:val="231F20"/>
          <w:w w:val="105"/>
        </w:rPr>
        <w:t>sum</w:t>
      </w:r>
      <w:r>
        <w:rPr>
          <w:color w:val="231F20"/>
          <w:spacing w:val="-8"/>
          <w:w w:val="105"/>
        </w:rPr>
        <w:t xml:space="preserve"> </w:t>
      </w:r>
      <w:r>
        <w:rPr>
          <w:color w:val="231F20"/>
          <w:w w:val="105"/>
        </w:rPr>
        <w:t>of</w:t>
      </w:r>
      <w:r>
        <w:rPr>
          <w:color w:val="231F20"/>
          <w:spacing w:val="-7"/>
          <w:w w:val="105"/>
        </w:rPr>
        <w:t xml:space="preserve"> </w:t>
      </w:r>
      <w:r>
        <w:rPr>
          <w:color w:val="231F20"/>
          <w:w w:val="105"/>
        </w:rPr>
        <w:t>5,000</w:t>
      </w:r>
      <w:r>
        <w:rPr>
          <w:color w:val="231F20"/>
          <w:spacing w:val="-26"/>
          <w:w w:val="105"/>
        </w:rPr>
        <w:t xml:space="preserve"> </w:t>
      </w:r>
      <w:r>
        <w:rPr>
          <w:color w:val="231F20"/>
          <w:w w:val="105"/>
        </w:rPr>
        <w:t>dm, admitting</w:t>
      </w:r>
      <w:r>
        <w:rPr>
          <w:color w:val="231F20"/>
          <w:spacing w:val="-7"/>
          <w:w w:val="105"/>
        </w:rPr>
        <w:t xml:space="preserve"> </w:t>
      </w:r>
      <w:r>
        <w:rPr>
          <w:color w:val="231F20"/>
          <w:w w:val="105"/>
        </w:rPr>
        <w:t>that</w:t>
      </w:r>
      <w:r>
        <w:rPr>
          <w:color w:val="231F20"/>
          <w:spacing w:val="-7"/>
          <w:w w:val="105"/>
        </w:rPr>
        <w:t xml:space="preserve"> </w:t>
      </w:r>
      <w:r>
        <w:rPr>
          <w:color w:val="231F20"/>
          <w:w w:val="105"/>
        </w:rPr>
        <w:t>the</w:t>
      </w:r>
      <w:r>
        <w:rPr>
          <w:color w:val="231F20"/>
          <w:spacing w:val="-7"/>
          <w:w w:val="105"/>
        </w:rPr>
        <w:t xml:space="preserve"> </w:t>
      </w:r>
      <w:r>
        <w:rPr>
          <w:color w:val="231F20"/>
          <w:w w:val="105"/>
        </w:rPr>
        <w:t>prison</w:t>
      </w:r>
      <w:r>
        <w:rPr>
          <w:color w:val="231F20"/>
          <w:spacing w:val="-7"/>
          <w:w w:val="105"/>
        </w:rPr>
        <w:t xml:space="preserve"> </w:t>
      </w:r>
      <w:r>
        <w:rPr>
          <w:color w:val="231F20"/>
          <w:w w:val="105"/>
        </w:rPr>
        <w:t>administration</w:t>
      </w:r>
      <w:r>
        <w:rPr>
          <w:color w:val="231F20"/>
          <w:spacing w:val="-7"/>
          <w:w w:val="105"/>
        </w:rPr>
        <w:t xml:space="preserve"> </w:t>
      </w:r>
      <w:r>
        <w:rPr>
          <w:color w:val="231F20"/>
          <w:w w:val="105"/>
        </w:rPr>
        <w:t>bore</w:t>
      </w:r>
      <w:r>
        <w:rPr>
          <w:color w:val="231F20"/>
          <w:spacing w:val="-7"/>
          <w:w w:val="105"/>
        </w:rPr>
        <w:t xml:space="preserve"> </w:t>
      </w:r>
      <w:r>
        <w:rPr>
          <w:color w:val="231F20"/>
          <w:w w:val="105"/>
        </w:rPr>
        <w:t>some</w:t>
      </w:r>
      <w:r>
        <w:rPr>
          <w:color w:val="231F20"/>
          <w:spacing w:val="-7"/>
          <w:w w:val="105"/>
        </w:rPr>
        <w:t xml:space="preserve"> </w:t>
      </w:r>
      <w:r>
        <w:rPr>
          <w:color w:val="231F20"/>
          <w:w w:val="105"/>
        </w:rPr>
        <w:t>responsibility</w:t>
      </w:r>
      <w:r>
        <w:rPr>
          <w:color w:val="231F20"/>
          <w:spacing w:val="-7"/>
          <w:w w:val="105"/>
        </w:rPr>
        <w:t xml:space="preserve"> </w:t>
      </w:r>
      <w:r>
        <w:rPr>
          <w:color w:val="231F20"/>
          <w:w w:val="105"/>
        </w:rPr>
        <w:t>for her</w:t>
      </w:r>
      <w:r>
        <w:rPr>
          <w:color w:val="231F20"/>
          <w:spacing w:val="7"/>
          <w:w w:val="105"/>
        </w:rPr>
        <w:t xml:space="preserve"> </w:t>
      </w:r>
      <w:r>
        <w:rPr>
          <w:color w:val="231F20"/>
          <w:w w:val="105"/>
        </w:rPr>
        <w:t>death.</w:t>
      </w:r>
      <w:r>
        <w:rPr>
          <w:color w:val="231F20"/>
          <w:w w:val="105"/>
          <w:position w:val="7"/>
          <w:sz w:val="11"/>
        </w:rPr>
        <w:t>4</w:t>
      </w:r>
    </w:p>
    <w:p w14:paraId="75DFABFB" w14:textId="77777777" w:rsidR="002653E8" w:rsidRDefault="003115E3">
      <w:pPr>
        <w:pStyle w:val="a3"/>
        <w:spacing w:line="264" w:lineRule="auto"/>
        <w:ind w:left="1327" w:right="1145" w:firstLine="210"/>
        <w:jc w:val="both"/>
      </w:pPr>
      <w:r>
        <w:rPr>
          <w:color w:val="231F20"/>
        </w:rPr>
        <w:t xml:space="preserve">The </w:t>
      </w:r>
      <w:r w:rsidR="00C507A5">
        <w:rPr>
          <w:color w:val="231F20"/>
          <w:spacing w:val="5"/>
        </w:rPr>
        <w:t>red army faction</w:t>
      </w:r>
      <w:r>
        <w:rPr>
          <w:color w:val="231F20"/>
          <w:spacing w:val="5"/>
        </w:rPr>
        <w:t xml:space="preserve"> </w:t>
      </w:r>
      <w:r>
        <w:rPr>
          <w:color w:val="231F20"/>
        </w:rPr>
        <w:t xml:space="preserve">and its supporters would lay Katharina Hammerschmidt’s death at the door of the </w:t>
      </w:r>
      <w:r>
        <w:rPr>
          <w:color w:val="231F20"/>
          <w:spacing w:val="-3"/>
        </w:rPr>
        <w:t xml:space="preserve">West </w:t>
      </w:r>
      <w:r>
        <w:rPr>
          <w:color w:val="231F20"/>
        </w:rPr>
        <w:t xml:space="preserve">German prison authorities. </w:t>
      </w:r>
      <w:r>
        <w:rPr>
          <w:color w:val="231F20"/>
          <w:spacing w:val="-3"/>
        </w:rPr>
        <w:t xml:space="preserve">yet, </w:t>
      </w:r>
      <w:r>
        <w:rPr>
          <w:color w:val="231F20"/>
        </w:rPr>
        <w:t xml:space="preserve">by the time she had died, hers was not the first such case of “judicial </w:t>
      </w:r>
      <w:r>
        <w:rPr>
          <w:color w:val="231F20"/>
          <w:spacing w:val="-3"/>
        </w:rPr>
        <w:t>murder.”</w:t>
      </w:r>
    </w:p>
    <w:p w14:paraId="20D5AD67" w14:textId="77777777" w:rsidR="002653E8" w:rsidRDefault="003115E3">
      <w:pPr>
        <w:pStyle w:val="a3"/>
        <w:spacing w:line="264" w:lineRule="auto"/>
        <w:ind w:left="1328" w:right="1145" w:firstLine="209"/>
        <w:jc w:val="both"/>
        <w:rPr>
          <w:sz w:val="11"/>
        </w:rPr>
      </w:pPr>
      <w:r>
        <w:rPr>
          <w:color w:val="231F20"/>
        </w:rPr>
        <w:t xml:space="preserve">On  September  </w:t>
      </w:r>
      <w:r>
        <w:rPr>
          <w:color w:val="231F20"/>
          <w:spacing w:val="-6"/>
        </w:rPr>
        <w:t>13,</w:t>
      </w:r>
      <w:r>
        <w:rPr>
          <w:color w:val="231F20"/>
          <w:spacing w:val="31"/>
        </w:rPr>
        <w:t xml:space="preserve"> </w:t>
      </w:r>
      <w:r>
        <w:rPr>
          <w:color w:val="231F20"/>
          <w:spacing w:val="-6"/>
        </w:rPr>
        <w:t>1974,</w:t>
      </w:r>
      <w:r>
        <w:rPr>
          <w:color w:val="231F20"/>
          <w:spacing w:val="31"/>
        </w:rPr>
        <w:t xml:space="preserve"> </w:t>
      </w:r>
      <w:r>
        <w:rPr>
          <w:color w:val="231F20"/>
        </w:rPr>
        <w:t xml:space="preserve">forty  prisoners  led  by  the  </w:t>
      </w:r>
      <w:r w:rsidR="00C507A5">
        <w:rPr>
          <w:color w:val="231F20"/>
          <w:spacing w:val="5"/>
        </w:rPr>
        <w:t>red army faction</w:t>
      </w:r>
      <w:r>
        <w:rPr>
          <w:color w:val="231F20"/>
          <w:spacing w:val="5"/>
        </w:rPr>
        <w:t xml:space="preserve">  </w:t>
      </w:r>
      <w:r>
        <w:rPr>
          <w:color w:val="231F20"/>
        </w:rPr>
        <w:t>had begun their third collective hunger strike against prison  conditions.</w:t>
      </w:r>
      <w:r>
        <w:rPr>
          <w:color w:val="231F20"/>
          <w:position w:val="7"/>
          <w:sz w:val="11"/>
        </w:rPr>
        <w:t xml:space="preserve">5 </w:t>
      </w:r>
      <w:r>
        <w:rPr>
          <w:color w:val="231F20"/>
        </w:rPr>
        <w:t xml:space="preserve">The Committees Against Torture sprang into action, and </w:t>
      </w:r>
      <w:r>
        <w:rPr>
          <w:color w:val="231F20"/>
          <w:spacing w:val="1"/>
        </w:rPr>
        <w:t xml:space="preserve">Amnesty </w:t>
      </w:r>
      <w:r>
        <w:rPr>
          <w:color w:val="231F20"/>
        </w:rPr>
        <w:t>International had its Hamburg offices occupied in an attempt to pressure the liberal organization to take a stand in support of the prisoners. (Notably, several of those involved in this occupation would join the guerilla within a few years.)</w:t>
      </w:r>
      <w:r>
        <w:rPr>
          <w:color w:val="231F20"/>
          <w:position w:val="7"/>
          <w:sz w:val="11"/>
        </w:rPr>
        <w:t>6</w:t>
      </w:r>
    </w:p>
    <w:p w14:paraId="406A0D94" w14:textId="77777777" w:rsidR="002653E8" w:rsidRDefault="00000000">
      <w:pPr>
        <w:pStyle w:val="a3"/>
        <w:spacing w:line="264" w:lineRule="auto"/>
        <w:ind w:left="1327" w:right="4432" w:firstLine="210"/>
        <w:jc w:val="both"/>
      </w:pPr>
      <w:r>
        <w:rPr>
          <w:noProof w:val="0"/>
        </w:rPr>
        <w:pict w14:anchorId="5A187F36">
          <v:group id="_x0000_s2405" style="position:absolute;left:0;text-align:left;margin-left:220.3pt;margin-top:3.85pt;width:154.3pt;height:214.7pt;z-index:6448;mso-position-horizontal-relative:page" coordorigin="4406,77" coordsize="3086,4294">
            <v:shape id="_x0000_s2407" type="#_x0000_t75" style="position:absolute;left:4406;top:76;width:3086;height:3969">
              <v:imagedata r:id="rId215" o:title=""/>
            </v:shape>
            <v:rect id="_x0000_s2406" style="position:absolute;left:4416;top:86;width:3066;height:4274" filled="f" strokecolor="#e6e7e8" strokeweight="1pt"/>
            <w10:wrap anchorx="page"/>
          </v:group>
        </w:pict>
      </w:r>
      <w:r w:rsidR="003115E3">
        <w:rPr>
          <w:color w:val="231F20"/>
        </w:rPr>
        <w:t xml:space="preserve">Not only had the previous hunger strikes failed to achieve integration of all </w:t>
      </w:r>
      <w:r w:rsidR="00C507A5">
        <w:rPr>
          <w:color w:val="231F20"/>
          <w:spacing w:val="5"/>
        </w:rPr>
        <w:t>red army faction</w:t>
      </w:r>
      <w:r w:rsidR="003115E3">
        <w:rPr>
          <w:color w:val="231F20"/>
          <w:spacing w:val="5"/>
        </w:rPr>
        <w:t xml:space="preserve"> </w:t>
      </w:r>
      <w:r w:rsidR="003115E3">
        <w:rPr>
          <w:color w:val="231F20"/>
        </w:rPr>
        <w:t xml:space="preserve">prisoners into the general population, in situations where they had been able to have contact with social prisoners, the latter often found themselves harassed or transferred. The prisoners had come to the conclusion that the demand for integration, while it had undeniable appeal given the high esteem in which the New </w:t>
      </w:r>
      <w:r w:rsidR="003115E3">
        <w:rPr>
          <w:color w:val="231F20"/>
          <w:spacing w:val="1"/>
        </w:rPr>
        <w:t xml:space="preserve">Left </w:t>
      </w:r>
      <w:r w:rsidR="003115E3">
        <w:rPr>
          <w:color w:val="231F20"/>
        </w:rPr>
        <w:t>held marginalized groups like social prisoners, was simply not going to work. As a result, integration</w:t>
      </w:r>
    </w:p>
    <w:p w14:paraId="3F97B358" w14:textId="77777777" w:rsidR="002653E8" w:rsidRDefault="00000000">
      <w:pPr>
        <w:pStyle w:val="a3"/>
        <w:spacing w:before="10"/>
        <w:rPr>
          <w:sz w:val="19"/>
        </w:rPr>
      </w:pPr>
      <w:r>
        <w:rPr>
          <w:noProof w:val="0"/>
        </w:rPr>
        <w:pict w14:anchorId="78D52A08">
          <v:line id="_x0000_s2404" style="position:absolute;z-index:6424;mso-wrap-distance-left:0;mso-wrap-distance-right:0;mso-position-horizontal-relative:page" from="66.4pt,13.9pt" to="138.4pt,13.9pt" strokecolor="#231f20" strokeweight=".5pt">
            <w10:wrap type="topAndBottom" anchorx="page"/>
          </v:line>
        </w:pict>
      </w:r>
    </w:p>
    <w:p w14:paraId="39C802DF" w14:textId="77777777" w:rsidR="002653E8" w:rsidRDefault="003115E3">
      <w:pPr>
        <w:pStyle w:val="a4"/>
        <w:numPr>
          <w:ilvl w:val="0"/>
          <w:numId w:val="117"/>
        </w:numPr>
        <w:tabs>
          <w:tab w:val="left" w:pos="1467"/>
        </w:tabs>
        <w:spacing w:before="53"/>
        <w:ind w:left="1466"/>
        <w:jc w:val="left"/>
        <w:rPr>
          <w:sz w:val="16"/>
        </w:rPr>
      </w:pPr>
      <w:bookmarkStart w:id="108" w:name="_Hlk103438985"/>
      <w:r>
        <w:rPr>
          <w:color w:val="231F20"/>
          <w:w w:val="110"/>
          <w:sz w:val="16"/>
        </w:rPr>
        <w:t>Ibid.</w:t>
      </w:r>
    </w:p>
    <w:p w14:paraId="4922FEED" w14:textId="77777777" w:rsidR="002653E8" w:rsidRPr="00C507A5" w:rsidRDefault="003115E3">
      <w:pPr>
        <w:pStyle w:val="a4"/>
        <w:numPr>
          <w:ilvl w:val="0"/>
          <w:numId w:val="117"/>
        </w:numPr>
        <w:tabs>
          <w:tab w:val="left" w:pos="1467"/>
        </w:tabs>
        <w:spacing w:before="51" w:line="254" w:lineRule="auto"/>
        <w:ind w:left="1327" w:right="1680" w:firstLine="0"/>
        <w:jc w:val="left"/>
        <w:rPr>
          <w:sz w:val="16"/>
          <w:lang w:val="de-DE"/>
        </w:rPr>
      </w:pPr>
      <w:r w:rsidRPr="00C507A5">
        <w:rPr>
          <w:color w:val="231F20"/>
          <w:w w:val="105"/>
          <w:sz w:val="16"/>
          <w:lang w:val="de-DE"/>
        </w:rPr>
        <w:t xml:space="preserve">Peters Butz, </w:t>
      </w:r>
      <w:r w:rsidR="00C507A5" w:rsidRPr="00C507A5">
        <w:rPr>
          <w:i/>
          <w:color w:val="231F20"/>
          <w:spacing w:val="5"/>
          <w:w w:val="105"/>
          <w:sz w:val="16"/>
          <w:lang w:val="de-DE"/>
        </w:rPr>
        <w:t>red army faction</w:t>
      </w:r>
      <w:r w:rsidRPr="00C507A5">
        <w:rPr>
          <w:i/>
          <w:color w:val="231F20"/>
          <w:spacing w:val="5"/>
          <w:w w:val="105"/>
          <w:sz w:val="16"/>
          <w:lang w:val="de-DE"/>
        </w:rPr>
        <w:t xml:space="preserve"> </w:t>
      </w:r>
      <w:r w:rsidRPr="00C507A5">
        <w:rPr>
          <w:i/>
          <w:color w:val="231F20"/>
          <w:w w:val="105"/>
          <w:sz w:val="16"/>
          <w:lang w:val="de-DE"/>
        </w:rPr>
        <w:t xml:space="preserve">Terrorismus in </w:t>
      </w:r>
      <w:r w:rsidRPr="00C507A5">
        <w:rPr>
          <w:i/>
          <w:color w:val="231F20"/>
          <w:spacing w:val="1"/>
          <w:w w:val="105"/>
          <w:sz w:val="16"/>
          <w:lang w:val="de-DE"/>
        </w:rPr>
        <w:t xml:space="preserve">Deutschland </w:t>
      </w:r>
      <w:r w:rsidRPr="00C507A5">
        <w:rPr>
          <w:color w:val="231F20"/>
          <w:w w:val="105"/>
          <w:sz w:val="16"/>
          <w:lang w:val="de-DE"/>
        </w:rPr>
        <w:t xml:space="preserve">(Stuttgart: Deutsche Verlags Anstalt, </w:t>
      </w:r>
      <w:r w:rsidRPr="00C507A5">
        <w:rPr>
          <w:color w:val="231F20"/>
          <w:spacing w:val="-4"/>
          <w:w w:val="105"/>
          <w:sz w:val="16"/>
          <w:lang w:val="de-DE"/>
        </w:rPr>
        <w:t xml:space="preserve">1991), </w:t>
      </w:r>
      <w:r w:rsidRPr="00C507A5">
        <w:rPr>
          <w:color w:val="231F20"/>
          <w:spacing w:val="-3"/>
          <w:w w:val="105"/>
          <w:sz w:val="16"/>
          <w:lang w:val="de-DE"/>
        </w:rPr>
        <w:t xml:space="preserve">454, </w:t>
      </w:r>
      <w:r w:rsidRPr="00C507A5">
        <w:rPr>
          <w:color w:val="231F20"/>
          <w:w w:val="105"/>
          <w:sz w:val="16"/>
          <w:lang w:val="de-DE"/>
        </w:rPr>
        <w:t>quoted in “Katharina Hammerschmidt,”</w:t>
      </w:r>
      <w:hyperlink r:id="rId216">
        <w:r w:rsidRPr="00C507A5">
          <w:rPr>
            <w:color w:val="231F20"/>
            <w:w w:val="105"/>
            <w:sz w:val="16"/>
            <w:lang w:val="de-DE"/>
          </w:rPr>
          <w:t xml:space="preserve"> </w:t>
        </w:r>
        <w:r w:rsidRPr="00C507A5">
          <w:rPr>
            <w:color w:val="231F20"/>
            <w:w w:val="104"/>
            <w:sz w:val="16"/>
            <w:lang w:val="de-DE"/>
          </w:rPr>
          <w:t>h</w:t>
        </w:r>
        <w:r w:rsidRPr="00C507A5">
          <w:rPr>
            <w:color w:val="231F20"/>
            <w:spacing w:val="5"/>
            <w:w w:val="102"/>
            <w:sz w:val="16"/>
            <w:lang w:val="de-DE"/>
          </w:rPr>
          <w:t>t</w:t>
        </w:r>
        <w:r w:rsidRPr="00C507A5">
          <w:rPr>
            <w:color w:val="231F20"/>
            <w:spacing w:val="3"/>
            <w:w w:val="102"/>
            <w:sz w:val="16"/>
            <w:lang w:val="de-DE"/>
          </w:rPr>
          <w:t>t</w:t>
        </w:r>
        <w:r w:rsidRPr="00C507A5">
          <w:rPr>
            <w:color w:val="231F20"/>
            <w:w w:val="103"/>
            <w:sz w:val="16"/>
            <w:lang w:val="de-DE"/>
          </w:rPr>
          <w:t>p</w:t>
        </w:r>
        <w:r w:rsidRPr="00C507A5">
          <w:rPr>
            <w:color w:val="231F20"/>
            <w:spacing w:val="5"/>
            <w:w w:val="109"/>
            <w:sz w:val="16"/>
            <w:lang w:val="de-DE"/>
          </w:rPr>
          <w:t>:</w:t>
        </w:r>
        <w:r w:rsidRPr="00C507A5">
          <w:rPr>
            <w:color w:val="231F20"/>
            <w:spacing w:val="-1"/>
            <w:w w:val="58"/>
            <w:sz w:val="16"/>
            <w:lang w:val="de-DE"/>
          </w:rPr>
          <w:t>/</w:t>
        </w:r>
        <w:r w:rsidRPr="00C507A5">
          <w:rPr>
            <w:color w:val="231F20"/>
            <w:spacing w:val="-3"/>
            <w:w w:val="58"/>
            <w:sz w:val="16"/>
            <w:lang w:val="de-DE"/>
          </w:rPr>
          <w:t>/</w:t>
        </w:r>
        <w:r w:rsidRPr="00C507A5">
          <w:rPr>
            <w:color w:val="231F20"/>
            <w:w w:val="103"/>
            <w:sz w:val="16"/>
            <w:lang w:val="de-DE"/>
          </w:rPr>
          <w:t>d</w:t>
        </w:r>
        <w:r w:rsidRPr="00C507A5">
          <w:rPr>
            <w:color w:val="231F20"/>
            <w:spacing w:val="1"/>
            <w:w w:val="94"/>
            <w:sz w:val="16"/>
            <w:lang w:val="de-DE"/>
          </w:rPr>
          <w:t>e</w:t>
        </w:r>
        <w:r w:rsidRPr="00C507A5">
          <w:rPr>
            <w:color w:val="231F20"/>
            <w:spacing w:val="-8"/>
            <w:w w:val="140"/>
            <w:sz w:val="16"/>
            <w:lang w:val="de-DE"/>
          </w:rPr>
          <w:t>.</w:t>
        </w:r>
        <w:r w:rsidRPr="00C507A5">
          <w:rPr>
            <w:color w:val="231F20"/>
            <w:spacing w:val="3"/>
            <w:w w:val="104"/>
            <w:sz w:val="16"/>
            <w:lang w:val="de-DE"/>
          </w:rPr>
          <w:t>wi</w:t>
        </w:r>
        <w:r w:rsidRPr="00C507A5">
          <w:rPr>
            <w:color w:val="231F20"/>
            <w:spacing w:val="3"/>
            <w:w w:val="107"/>
            <w:sz w:val="16"/>
            <w:lang w:val="de-DE"/>
          </w:rPr>
          <w:t>k</w:t>
        </w:r>
        <w:r w:rsidRPr="00C507A5">
          <w:rPr>
            <w:color w:val="231F20"/>
            <w:spacing w:val="-2"/>
            <w:w w:val="107"/>
            <w:sz w:val="16"/>
            <w:lang w:val="de-DE"/>
          </w:rPr>
          <w:t>i</w:t>
        </w:r>
        <w:r w:rsidRPr="00C507A5">
          <w:rPr>
            <w:color w:val="231F20"/>
            <w:spacing w:val="2"/>
            <w:w w:val="103"/>
            <w:sz w:val="16"/>
            <w:lang w:val="de-DE"/>
          </w:rPr>
          <w:t>p</w:t>
        </w:r>
        <w:r w:rsidRPr="00C507A5">
          <w:rPr>
            <w:color w:val="231F20"/>
            <w:spacing w:val="1"/>
            <w:w w:val="94"/>
            <w:sz w:val="16"/>
            <w:lang w:val="de-DE"/>
          </w:rPr>
          <w:t>e</w:t>
        </w:r>
        <w:r w:rsidRPr="00C507A5">
          <w:rPr>
            <w:color w:val="231F20"/>
            <w:spacing w:val="3"/>
            <w:w w:val="103"/>
            <w:sz w:val="16"/>
            <w:lang w:val="de-DE"/>
          </w:rPr>
          <w:t>d</w:t>
        </w:r>
        <w:r w:rsidRPr="00C507A5">
          <w:rPr>
            <w:color w:val="231F20"/>
            <w:spacing w:val="1"/>
            <w:w w:val="103"/>
            <w:sz w:val="16"/>
            <w:lang w:val="de-DE"/>
          </w:rPr>
          <w:t>i</w:t>
        </w:r>
        <w:r w:rsidRPr="00C507A5">
          <w:rPr>
            <w:color w:val="231F20"/>
            <w:spacing w:val="1"/>
            <w:w w:val="106"/>
            <w:sz w:val="16"/>
            <w:lang w:val="de-DE"/>
          </w:rPr>
          <w:t>a</w:t>
        </w:r>
        <w:r w:rsidRPr="00C507A5">
          <w:rPr>
            <w:color w:val="231F20"/>
            <w:w w:val="140"/>
            <w:sz w:val="16"/>
            <w:lang w:val="de-DE"/>
          </w:rPr>
          <w:t>.</w:t>
        </w:r>
        <w:r w:rsidRPr="00C507A5">
          <w:rPr>
            <w:color w:val="231F20"/>
            <w:w w:val="108"/>
            <w:sz w:val="16"/>
            <w:lang w:val="de-DE"/>
          </w:rPr>
          <w:t>o</w:t>
        </w:r>
        <w:r w:rsidRPr="00C507A5">
          <w:rPr>
            <w:color w:val="231F20"/>
            <w:spacing w:val="1"/>
            <w:w w:val="97"/>
            <w:sz w:val="16"/>
            <w:lang w:val="de-DE"/>
          </w:rPr>
          <w:t>r</w:t>
        </w:r>
        <w:r w:rsidRPr="00C507A5">
          <w:rPr>
            <w:color w:val="231F20"/>
            <w:spacing w:val="8"/>
            <w:w w:val="104"/>
            <w:sz w:val="16"/>
            <w:lang w:val="de-DE"/>
          </w:rPr>
          <w:t>g</w:t>
        </w:r>
        <w:r w:rsidRPr="00C507A5">
          <w:rPr>
            <w:color w:val="231F20"/>
            <w:spacing w:val="2"/>
            <w:w w:val="58"/>
            <w:sz w:val="16"/>
            <w:lang w:val="de-DE"/>
          </w:rPr>
          <w:t>/</w:t>
        </w:r>
        <w:r w:rsidRPr="00C507A5">
          <w:rPr>
            <w:color w:val="231F20"/>
            <w:spacing w:val="3"/>
            <w:w w:val="104"/>
            <w:sz w:val="16"/>
            <w:lang w:val="de-DE"/>
          </w:rPr>
          <w:t>wi</w:t>
        </w:r>
        <w:r w:rsidRPr="00C507A5">
          <w:rPr>
            <w:color w:val="231F20"/>
            <w:spacing w:val="3"/>
            <w:w w:val="107"/>
            <w:sz w:val="16"/>
            <w:lang w:val="de-DE"/>
          </w:rPr>
          <w:t>k</w:t>
        </w:r>
        <w:r w:rsidRPr="00C507A5">
          <w:rPr>
            <w:color w:val="231F20"/>
            <w:spacing w:val="7"/>
            <w:w w:val="107"/>
            <w:sz w:val="16"/>
            <w:lang w:val="de-DE"/>
          </w:rPr>
          <w:t>i</w:t>
        </w:r>
        <w:r w:rsidRPr="00C507A5">
          <w:rPr>
            <w:color w:val="231F20"/>
            <w:spacing w:val="10"/>
            <w:w w:val="58"/>
            <w:sz w:val="16"/>
            <w:lang w:val="de-DE"/>
          </w:rPr>
          <w:t>/</w:t>
        </w:r>
        <w:r w:rsidRPr="00C507A5">
          <w:rPr>
            <w:color w:val="231F20"/>
            <w:spacing w:val="3"/>
            <w:w w:val="113"/>
            <w:sz w:val="16"/>
            <w:lang w:val="de-DE"/>
          </w:rPr>
          <w:t>K</w:t>
        </w:r>
        <w:r w:rsidRPr="00C507A5">
          <w:rPr>
            <w:color w:val="231F20"/>
            <w:spacing w:val="-1"/>
            <w:w w:val="113"/>
            <w:sz w:val="16"/>
            <w:lang w:val="de-DE"/>
          </w:rPr>
          <w:t>a</w:t>
        </w:r>
        <w:r w:rsidRPr="00C507A5">
          <w:rPr>
            <w:color w:val="231F20"/>
            <w:spacing w:val="3"/>
            <w:w w:val="102"/>
            <w:sz w:val="16"/>
            <w:lang w:val="de-DE"/>
          </w:rPr>
          <w:t>t</w:t>
        </w:r>
        <w:r w:rsidRPr="00C507A5">
          <w:rPr>
            <w:color w:val="231F20"/>
            <w:spacing w:val="1"/>
            <w:w w:val="104"/>
            <w:sz w:val="16"/>
            <w:lang w:val="de-DE"/>
          </w:rPr>
          <w:t>h</w:t>
        </w:r>
        <w:r w:rsidRPr="00C507A5">
          <w:rPr>
            <w:color w:val="231F20"/>
            <w:spacing w:val="3"/>
            <w:w w:val="102"/>
            <w:sz w:val="16"/>
            <w:lang w:val="de-DE"/>
          </w:rPr>
          <w:t>a</w:t>
        </w:r>
        <w:r w:rsidRPr="00C507A5">
          <w:rPr>
            <w:color w:val="231F20"/>
            <w:spacing w:val="2"/>
            <w:w w:val="102"/>
            <w:sz w:val="16"/>
            <w:lang w:val="de-DE"/>
          </w:rPr>
          <w:t>r</w:t>
        </w:r>
        <w:r w:rsidRPr="00C507A5">
          <w:rPr>
            <w:color w:val="231F20"/>
            <w:spacing w:val="3"/>
            <w:w w:val="103"/>
            <w:sz w:val="16"/>
            <w:lang w:val="de-DE"/>
          </w:rPr>
          <w:t>i</w:t>
        </w:r>
        <w:r w:rsidRPr="00C507A5">
          <w:rPr>
            <w:color w:val="231F20"/>
            <w:spacing w:val="1"/>
            <w:w w:val="103"/>
            <w:sz w:val="16"/>
            <w:lang w:val="de-DE"/>
          </w:rPr>
          <w:t>n</w:t>
        </w:r>
        <w:r w:rsidRPr="00C507A5">
          <w:rPr>
            <w:color w:val="231F20"/>
            <w:spacing w:val="5"/>
            <w:w w:val="106"/>
            <w:sz w:val="16"/>
            <w:lang w:val="de-DE"/>
          </w:rPr>
          <w:t>a</w:t>
        </w:r>
        <w:r w:rsidRPr="00C507A5">
          <w:rPr>
            <w:color w:val="231F20"/>
            <w:spacing w:val="10"/>
            <w:w w:val="139"/>
            <w:sz w:val="16"/>
            <w:lang w:val="de-DE"/>
          </w:rPr>
          <w:t>_</w:t>
        </w:r>
        <w:r w:rsidRPr="00C507A5">
          <w:rPr>
            <w:color w:val="231F20"/>
            <w:spacing w:val="3"/>
            <w:w w:val="111"/>
            <w:sz w:val="16"/>
            <w:lang w:val="de-DE"/>
          </w:rPr>
          <w:t>Ha</w:t>
        </w:r>
        <w:r w:rsidRPr="00C507A5">
          <w:rPr>
            <w:color w:val="231F20"/>
            <w:spacing w:val="5"/>
            <w:w w:val="111"/>
            <w:sz w:val="16"/>
            <w:lang w:val="de-DE"/>
          </w:rPr>
          <w:t>m</w:t>
        </w:r>
        <w:r w:rsidRPr="00C507A5">
          <w:rPr>
            <w:color w:val="231F20"/>
            <w:w w:val="103"/>
            <w:sz w:val="16"/>
            <w:lang w:val="de-DE"/>
          </w:rPr>
          <w:t>m</w:t>
        </w:r>
        <w:r w:rsidRPr="00C507A5">
          <w:rPr>
            <w:color w:val="231F20"/>
            <w:w w:val="94"/>
            <w:sz w:val="16"/>
            <w:lang w:val="de-DE"/>
          </w:rPr>
          <w:t>e</w:t>
        </w:r>
        <w:r w:rsidRPr="00C507A5">
          <w:rPr>
            <w:color w:val="231F20"/>
            <w:spacing w:val="1"/>
            <w:w w:val="97"/>
            <w:sz w:val="16"/>
            <w:lang w:val="de-DE"/>
          </w:rPr>
          <w:t>r</w:t>
        </w:r>
        <w:r w:rsidRPr="00C507A5">
          <w:rPr>
            <w:color w:val="231F20"/>
            <w:spacing w:val="2"/>
            <w:w w:val="93"/>
            <w:sz w:val="16"/>
            <w:lang w:val="de-DE"/>
          </w:rPr>
          <w:t>s</w:t>
        </w:r>
        <w:r w:rsidRPr="00C507A5">
          <w:rPr>
            <w:color w:val="231F20"/>
            <w:w w:val="104"/>
            <w:sz w:val="16"/>
            <w:lang w:val="de-DE"/>
          </w:rPr>
          <w:t>c</w:t>
        </w:r>
        <w:r w:rsidRPr="00C507A5">
          <w:rPr>
            <w:color w:val="231F20"/>
            <w:spacing w:val="5"/>
            <w:w w:val="104"/>
            <w:sz w:val="16"/>
            <w:lang w:val="de-DE"/>
          </w:rPr>
          <w:t>h</w:t>
        </w:r>
        <w:r w:rsidRPr="00C507A5">
          <w:rPr>
            <w:color w:val="231F20"/>
            <w:spacing w:val="3"/>
            <w:w w:val="103"/>
            <w:sz w:val="16"/>
            <w:lang w:val="de-DE"/>
          </w:rPr>
          <w:t>m</w:t>
        </w:r>
        <w:r w:rsidRPr="00C507A5">
          <w:rPr>
            <w:color w:val="231F20"/>
            <w:w w:val="103"/>
            <w:sz w:val="16"/>
            <w:lang w:val="de-DE"/>
          </w:rPr>
          <w:t>id</w:t>
        </w:r>
        <w:r w:rsidRPr="00C507A5">
          <w:rPr>
            <w:color w:val="231F20"/>
            <w:spacing w:val="2"/>
            <w:w w:val="102"/>
            <w:sz w:val="16"/>
            <w:lang w:val="de-DE"/>
          </w:rPr>
          <w:t>t</w:t>
        </w:r>
        <w:r w:rsidRPr="00C507A5">
          <w:rPr>
            <w:color w:val="231F20"/>
            <w:w w:val="140"/>
            <w:sz w:val="16"/>
            <w:lang w:val="de-DE"/>
          </w:rPr>
          <w:t>.</w:t>
        </w:r>
      </w:hyperlink>
    </w:p>
    <w:p w14:paraId="5E9AA2BC" w14:textId="77777777" w:rsidR="002653E8" w:rsidRDefault="003115E3">
      <w:pPr>
        <w:pStyle w:val="a4"/>
        <w:numPr>
          <w:ilvl w:val="0"/>
          <w:numId w:val="117"/>
        </w:numPr>
        <w:tabs>
          <w:tab w:val="left" w:pos="1467"/>
        </w:tabs>
        <w:spacing w:before="42" w:line="254" w:lineRule="auto"/>
        <w:ind w:left="1327" w:right="1469" w:firstLine="0"/>
        <w:jc w:val="left"/>
        <w:rPr>
          <w:sz w:val="16"/>
        </w:rPr>
      </w:pPr>
      <w:r>
        <w:rPr>
          <w:color w:val="231F20"/>
          <w:w w:val="105"/>
          <w:sz w:val="16"/>
        </w:rPr>
        <w:t xml:space="preserve">Apart from the declaration included in this section on pages </w:t>
      </w:r>
      <w:r>
        <w:rPr>
          <w:color w:val="231F20"/>
          <w:spacing w:val="-3"/>
          <w:w w:val="105"/>
          <w:sz w:val="16"/>
        </w:rPr>
        <w:t xml:space="preserve">274-78, </w:t>
      </w:r>
      <w:r>
        <w:rPr>
          <w:color w:val="231F20"/>
          <w:w w:val="105"/>
          <w:sz w:val="16"/>
        </w:rPr>
        <w:t xml:space="preserve">Ulrike </w:t>
      </w:r>
      <w:r>
        <w:rPr>
          <w:color w:val="231F20"/>
          <w:w w:val="105"/>
          <w:sz w:val="16"/>
        </w:rPr>
        <w:lastRenderedPageBreak/>
        <w:t xml:space="preserve">Meinhof used the occasion of her testimony in court to announce the strike. </w:t>
      </w:r>
      <w:r>
        <w:rPr>
          <w:color w:val="231F20"/>
          <w:spacing w:val="1"/>
          <w:w w:val="105"/>
          <w:sz w:val="16"/>
        </w:rPr>
        <w:t xml:space="preserve">See </w:t>
      </w:r>
      <w:r>
        <w:rPr>
          <w:color w:val="231F20"/>
          <w:w w:val="105"/>
          <w:sz w:val="16"/>
        </w:rPr>
        <w:t>Ulrike</w:t>
      </w:r>
      <w:r>
        <w:rPr>
          <w:color w:val="231F20"/>
          <w:spacing w:val="11"/>
          <w:w w:val="105"/>
          <w:sz w:val="16"/>
        </w:rPr>
        <w:t xml:space="preserve"> </w:t>
      </w:r>
      <w:r>
        <w:rPr>
          <w:color w:val="231F20"/>
          <w:w w:val="105"/>
          <w:sz w:val="16"/>
        </w:rPr>
        <w:t>Meinhof</w:t>
      </w:r>
      <w:r>
        <w:rPr>
          <w:color w:val="231F20"/>
          <w:spacing w:val="11"/>
          <w:w w:val="105"/>
          <w:sz w:val="16"/>
        </w:rPr>
        <w:t xml:space="preserve"> </w:t>
      </w:r>
      <w:r>
        <w:rPr>
          <w:color w:val="231F20"/>
          <w:w w:val="105"/>
          <w:sz w:val="16"/>
        </w:rPr>
        <w:t>Regarding</w:t>
      </w:r>
      <w:r>
        <w:rPr>
          <w:color w:val="231F20"/>
          <w:spacing w:val="11"/>
          <w:w w:val="105"/>
          <w:sz w:val="16"/>
        </w:rPr>
        <w:t xml:space="preserve"> </w:t>
      </w:r>
      <w:r>
        <w:rPr>
          <w:color w:val="231F20"/>
          <w:w w:val="105"/>
          <w:sz w:val="16"/>
        </w:rPr>
        <w:t>the</w:t>
      </w:r>
      <w:r>
        <w:rPr>
          <w:color w:val="231F20"/>
          <w:spacing w:val="11"/>
          <w:w w:val="105"/>
          <w:sz w:val="16"/>
        </w:rPr>
        <w:t xml:space="preserve"> </w:t>
      </w:r>
      <w:r>
        <w:rPr>
          <w:color w:val="231F20"/>
          <w:w w:val="105"/>
          <w:sz w:val="16"/>
        </w:rPr>
        <w:t>Liberation</w:t>
      </w:r>
      <w:r>
        <w:rPr>
          <w:color w:val="231F20"/>
          <w:spacing w:val="11"/>
          <w:w w:val="105"/>
          <w:sz w:val="16"/>
        </w:rPr>
        <w:t xml:space="preserve"> </w:t>
      </w:r>
      <w:r>
        <w:rPr>
          <w:color w:val="231F20"/>
          <w:w w:val="105"/>
          <w:sz w:val="16"/>
        </w:rPr>
        <w:t>of</w:t>
      </w:r>
      <w:r>
        <w:rPr>
          <w:color w:val="231F20"/>
          <w:spacing w:val="11"/>
          <w:w w:val="105"/>
          <w:sz w:val="16"/>
        </w:rPr>
        <w:t xml:space="preserve"> </w:t>
      </w:r>
      <w:r>
        <w:rPr>
          <w:color w:val="231F20"/>
          <w:w w:val="105"/>
          <w:sz w:val="16"/>
        </w:rPr>
        <w:t>Andreas</w:t>
      </w:r>
      <w:r>
        <w:rPr>
          <w:color w:val="231F20"/>
          <w:spacing w:val="11"/>
          <w:w w:val="105"/>
          <w:sz w:val="16"/>
        </w:rPr>
        <w:t xml:space="preserve"> </w:t>
      </w:r>
      <w:r>
        <w:rPr>
          <w:color w:val="231F20"/>
          <w:w w:val="105"/>
          <w:sz w:val="16"/>
        </w:rPr>
        <w:t>Baader,</w:t>
      </w:r>
      <w:r>
        <w:rPr>
          <w:color w:val="231F20"/>
          <w:spacing w:val="11"/>
          <w:w w:val="105"/>
          <w:sz w:val="16"/>
        </w:rPr>
        <w:t xml:space="preserve"> </w:t>
      </w:r>
      <w:r>
        <w:rPr>
          <w:color w:val="231F20"/>
          <w:w w:val="105"/>
          <w:sz w:val="16"/>
        </w:rPr>
        <w:t>page</w:t>
      </w:r>
      <w:r>
        <w:rPr>
          <w:color w:val="231F20"/>
          <w:spacing w:val="11"/>
          <w:w w:val="105"/>
          <w:sz w:val="16"/>
        </w:rPr>
        <w:t xml:space="preserve"> </w:t>
      </w:r>
      <w:r>
        <w:rPr>
          <w:color w:val="231F20"/>
          <w:w w:val="105"/>
          <w:sz w:val="16"/>
        </w:rPr>
        <w:t>370.</w:t>
      </w:r>
    </w:p>
    <w:p w14:paraId="6D6201ED" w14:textId="77777777" w:rsidR="009B07F3" w:rsidRPr="009B07F3" w:rsidRDefault="003115E3" w:rsidP="009B07F3">
      <w:pPr>
        <w:pStyle w:val="a4"/>
        <w:numPr>
          <w:ilvl w:val="0"/>
          <w:numId w:val="117"/>
        </w:numPr>
        <w:tabs>
          <w:tab w:val="left" w:pos="1467"/>
        </w:tabs>
        <w:spacing w:before="86" w:line="264" w:lineRule="auto"/>
        <w:ind w:left="1147" w:right="1326" w:firstLine="0"/>
        <w:jc w:val="both"/>
      </w:pPr>
      <w:r w:rsidRPr="009B07F3">
        <w:rPr>
          <w:color w:val="231F20"/>
          <w:w w:val="105"/>
          <w:sz w:val="16"/>
          <w:lang w:val="de-DE"/>
        </w:rPr>
        <w:t>For instance: Susanne Albrecht, Karl-Heinz Dellwo, Lutz Taufer, Günter Sonnenberg,</w:t>
      </w:r>
      <w:r w:rsidRPr="009B07F3">
        <w:rPr>
          <w:color w:val="231F20"/>
          <w:spacing w:val="11"/>
          <w:w w:val="105"/>
          <w:sz w:val="16"/>
          <w:lang w:val="de-DE"/>
        </w:rPr>
        <w:t xml:space="preserve"> </w:t>
      </w:r>
      <w:r w:rsidRPr="009B07F3">
        <w:rPr>
          <w:color w:val="231F20"/>
          <w:w w:val="105"/>
          <w:sz w:val="16"/>
          <w:lang w:val="de-DE"/>
        </w:rPr>
        <w:t>Christian</w:t>
      </w:r>
      <w:r w:rsidRPr="009B07F3">
        <w:rPr>
          <w:color w:val="231F20"/>
          <w:spacing w:val="10"/>
          <w:w w:val="105"/>
          <w:sz w:val="16"/>
          <w:lang w:val="de-DE"/>
        </w:rPr>
        <w:t xml:space="preserve"> </w:t>
      </w:r>
      <w:r w:rsidRPr="009B07F3">
        <w:rPr>
          <w:color w:val="231F20"/>
          <w:w w:val="105"/>
          <w:sz w:val="16"/>
          <w:lang w:val="de-DE"/>
        </w:rPr>
        <w:t>Klar,</w:t>
      </w:r>
      <w:r w:rsidRPr="009B07F3">
        <w:rPr>
          <w:color w:val="231F20"/>
          <w:spacing w:val="10"/>
          <w:w w:val="105"/>
          <w:sz w:val="16"/>
          <w:lang w:val="de-DE"/>
        </w:rPr>
        <w:t xml:space="preserve"> </w:t>
      </w:r>
      <w:r w:rsidRPr="009B07F3">
        <w:rPr>
          <w:color w:val="231F20"/>
          <w:w w:val="105"/>
          <w:sz w:val="16"/>
          <w:lang w:val="de-DE"/>
        </w:rPr>
        <w:t>and</w:t>
      </w:r>
      <w:r w:rsidRPr="009B07F3">
        <w:rPr>
          <w:color w:val="231F20"/>
          <w:spacing w:val="11"/>
          <w:w w:val="105"/>
          <w:sz w:val="16"/>
          <w:lang w:val="de-DE"/>
        </w:rPr>
        <w:t xml:space="preserve"> </w:t>
      </w:r>
      <w:r w:rsidRPr="009B07F3">
        <w:rPr>
          <w:color w:val="231F20"/>
          <w:w w:val="105"/>
          <w:sz w:val="16"/>
          <w:lang w:val="de-DE"/>
        </w:rPr>
        <w:t>Knut</w:t>
      </w:r>
      <w:r w:rsidRPr="009B07F3">
        <w:rPr>
          <w:color w:val="231F20"/>
          <w:spacing w:val="10"/>
          <w:w w:val="105"/>
          <w:sz w:val="16"/>
          <w:lang w:val="de-DE"/>
        </w:rPr>
        <w:t xml:space="preserve"> </w:t>
      </w:r>
      <w:r w:rsidRPr="009B07F3">
        <w:rPr>
          <w:color w:val="231F20"/>
          <w:w w:val="105"/>
          <w:sz w:val="16"/>
          <w:lang w:val="de-DE"/>
        </w:rPr>
        <w:t>Folkerts.</w:t>
      </w:r>
      <w:r w:rsidRPr="009B07F3">
        <w:rPr>
          <w:color w:val="231F20"/>
          <w:spacing w:val="10"/>
          <w:w w:val="105"/>
          <w:sz w:val="16"/>
          <w:lang w:val="de-DE"/>
        </w:rPr>
        <w:t xml:space="preserve"> </w:t>
      </w:r>
      <w:r w:rsidRPr="009B07F3">
        <w:rPr>
          <w:color w:val="231F20"/>
          <w:w w:val="105"/>
          <w:sz w:val="16"/>
        </w:rPr>
        <w:t>(Becker,</w:t>
      </w:r>
      <w:r w:rsidRPr="009B07F3">
        <w:rPr>
          <w:color w:val="231F20"/>
          <w:spacing w:val="11"/>
          <w:w w:val="105"/>
          <w:sz w:val="16"/>
        </w:rPr>
        <w:t xml:space="preserve"> </w:t>
      </w:r>
      <w:r w:rsidRPr="009B07F3">
        <w:rPr>
          <w:color w:val="231F20"/>
          <w:w w:val="105"/>
          <w:sz w:val="16"/>
        </w:rPr>
        <w:t>340-341)</w:t>
      </w:r>
    </w:p>
    <w:bookmarkEnd w:id="108"/>
    <w:p w14:paraId="63F0D60F" w14:textId="77777777" w:rsidR="009B07F3" w:rsidRDefault="009B07F3" w:rsidP="009B07F3">
      <w:pPr>
        <w:pStyle w:val="a4"/>
        <w:tabs>
          <w:tab w:val="left" w:pos="1467"/>
        </w:tabs>
        <w:spacing w:before="86" w:line="264" w:lineRule="auto"/>
        <w:ind w:right="1326"/>
        <w:jc w:val="both"/>
        <w:rPr>
          <w:color w:val="231F20"/>
        </w:rPr>
      </w:pPr>
    </w:p>
    <w:p w14:paraId="2950EC1F" w14:textId="77777777" w:rsidR="002653E8" w:rsidRDefault="003115E3" w:rsidP="009B07F3">
      <w:pPr>
        <w:pStyle w:val="a4"/>
        <w:tabs>
          <w:tab w:val="left" w:pos="1467"/>
        </w:tabs>
        <w:spacing w:before="86" w:line="264" w:lineRule="auto"/>
        <w:ind w:right="1326"/>
        <w:jc w:val="both"/>
      </w:pPr>
      <w:r w:rsidRPr="009B07F3">
        <w:rPr>
          <w:color w:val="231F20"/>
        </w:rPr>
        <w:t>was dropped, and the struggle was now defined as one against isolation and for the association of political prisoners with each other.</w:t>
      </w:r>
    </w:p>
    <w:p w14:paraId="207F1F9B" w14:textId="77777777" w:rsidR="002653E8" w:rsidRDefault="003115E3">
      <w:pPr>
        <w:pStyle w:val="a3"/>
        <w:spacing w:line="264" w:lineRule="auto"/>
        <w:ind w:left="1147" w:right="1326" w:firstLine="210"/>
        <w:jc w:val="both"/>
      </w:pPr>
      <w:r>
        <w:rPr>
          <w:color w:val="231F20"/>
        </w:rPr>
        <w:t>As Karl-Heinz Dellwo, who was active in the Committees Against Torture at the time, explains:</w:t>
      </w:r>
    </w:p>
    <w:p w14:paraId="47EC3594" w14:textId="77777777" w:rsidR="002653E8" w:rsidRDefault="003115E3">
      <w:pPr>
        <w:spacing w:before="125" w:line="276" w:lineRule="auto"/>
        <w:ind w:left="1567" w:right="1739"/>
        <w:jc w:val="both"/>
        <w:rPr>
          <w:i/>
          <w:sz w:val="11"/>
        </w:rPr>
      </w:pPr>
      <w:r>
        <w:rPr>
          <w:i/>
          <w:color w:val="231F20"/>
          <w:w w:val="105"/>
          <w:sz w:val="19"/>
        </w:rPr>
        <w:t xml:space="preserve">Up until then the hunger strikes were carried out with the goal of achieving “equality” with the other prisoners. I had long been critical of this. I thought it absolutely could not work. Either one </w:t>
      </w:r>
      <w:r>
        <w:rPr>
          <w:i/>
          <w:color w:val="231F20"/>
          <w:spacing w:val="2"/>
          <w:w w:val="105"/>
          <w:sz w:val="19"/>
        </w:rPr>
        <w:t>wouldbe</w:t>
      </w:r>
      <w:r>
        <w:rPr>
          <w:i/>
          <w:color w:val="231F20"/>
          <w:spacing w:val="-33"/>
          <w:w w:val="105"/>
          <w:sz w:val="19"/>
        </w:rPr>
        <w:t xml:space="preserve"> </w:t>
      </w:r>
      <w:r>
        <w:rPr>
          <w:i/>
          <w:color w:val="231F20"/>
          <w:w w:val="105"/>
          <w:sz w:val="19"/>
        </w:rPr>
        <w:t>placed</w:t>
      </w:r>
      <w:r>
        <w:rPr>
          <w:i/>
          <w:color w:val="231F20"/>
          <w:spacing w:val="-33"/>
          <w:w w:val="105"/>
          <w:sz w:val="19"/>
        </w:rPr>
        <w:t xml:space="preserve"> </w:t>
      </w:r>
      <w:r>
        <w:rPr>
          <w:i/>
          <w:color w:val="231F20"/>
          <w:w w:val="105"/>
          <w:sz w:val="19"/>
        </w:rPr>
        <w:t>somewhere</w:t>
      </w:r>
      <w:r>
        <w:rPr>
          <w:i/>
          <w:color w:val="231F20"/>
          <w:spacing w:val="-33"/>
          <w:w w:val="105"/>
          <w:sz w:val="19"/>
        </w:rPr>
        <w:t xml:space="preserve"> </w:t>
      </w:r>
      <w:r>
        <w:rPr>
          <w:i/>
          <w:color w:val="231F20"/>
          <w:w w:val="105"/>
          <w:sz w:val="19"/>
        </w:rPr>
        <w:t>where</w:t>
      </w:r>
      <w:r>
        <w:rPr>
          <w:i/>
          <w:color w:val="231F20"/>
          <w:spacing w:val="-33"/>
          <w:w w:val="105"/>
          <w:sz w:val="19"/>
        </w:rPr>
        <w:t xml:space="preserve"> </w:t>
      </w:r>
      <w:r>
        <w:rPr>
          <w:i/>
          <w:color w:val="231F20"/>
          <w:w w:val="105"/>
          <w:sz w:val="19"/>
        </w:rPr>
        <w:t>the</w:t>
      </w:r>
      <w:r>
        <w:rPr>
          <w:i/>
          <w:color w:val="231F20"/>
          <w:spacing w:val="-33"/>
          <w:w w:val="105"/>
          <w:sz w:val="19"/>
        </w:rPr>
        <w:t xml:space="preserve"> </w:t>
      </w:r>
      <w:r>
        <w:rPr>
          <w:i/>
          <w:color w:val="231F20"/>
          <w:w w:val="105"/>
          <w:sz w:val="19"/>
        </w:rPr>
        <w:t>prisoners</w:t>
      </w:r>
      <w:r>
        <w:rPr>
          <w:i/>
          <w:color w:val="231F20"/>
          <w:spacing w:val="-33"/>
          <w:w w:val="105"/>
          <w:sz w:val="19"/>
        </w:rPr>
        <w:t xml:space="preserve"> </w:t>
      </w:r>
      <w:r>
        <w:rPr>
          <w:i/>
          <w:color w:val="231F20"/>
          <w:w w:val="105"/>
          <w:sz w:val="19"/>
        </w:rPr>
        <w:t>changed</w:t>
      </w:r>
      <w:r>
        <w:rPr>
          <w:i/>
          <w:color w:val="231F20"/>
          <w:spacing w:val="-33"/>
          <w:w w:val="105"/>
          <w:sz w:val="19"/>
        </w:rPr>
        <w:t xml:space="preserve"> </w:t>
      </w:r>
      <w:r>
        <w:rPr>
          <w:i/>
          <w:color w:val="231F20"/>
          <w:w w:val="105"/>
          <w:sz w:val="19"/>
        </w:rPr>
        <w:t>every</w:t>
      </w:r>
      <w:r>
        <w:rPr>
          <w:i/>
          <w:color w:val="231F20"/>
          <w:spacing w:val="-33"/>
          <w:w w:val="105"/>
          <w:sz w:val="19"/>
        </w:rPr>
        <w:t xml:space="preserve"> </w:t>
      </w:r>
      <w:r>
        <w:rPr>
          <w:i/>
          <w:color w:val="231F20"/>
          <w:spacing w:val="-6"/>
          <w:w w:val="105"/>
          <w:sz w:val="19"/>
        </w:rPr>
        <w:t xml:space="preserve">day, </w:t>
      </w:r>
      <w:r>
        <w:rPr>
          <w:i/>
          <w:color w:val="231F20"/>
          <w:w w:val="105"/>
          <w:sz w:val="19"/>
        </w:rPr>
        <w:t>or with prisoners with whom one could not, for various reasons, talk.</w:t>
      </w:r>
      <w:r>
        <w:rPr>
          <w:i/>
          <w:color w:val="231F20"/>
          <w:spacing w:val="-15"/>
          <w:w w:val="105"/>
          <w:sz w:val="19"/>
        </w:rPr>
        <w:t xml:space="preserve"> </w:t>
      </w:r>
      <w:r>
        <w:rPr>
          <w:i/>
          <w:color w:val="231F20"/>
          <w:w w:val="105"/>
          <w:sz w:val="19"/>
        </w:rPr>
        <w:t>I</w:t>
      </w:r>
      <w:r>
        <w:rPr>
          <w:i/>
          <w:color w:val="231F20"/>
          <w:spacing w:val="-9"/>
          <w:w w:val="105"/>
          <w:sz w:val="19"/>
        </w:rPr>
        <w:t xml:space="preserve"> </w:t>
      </w:r>
      <w:r>
        <w:rPr>
          <w:i/>
          <w:color w:val="231F20"/>
          <w:w w:val="105"/>
          <w:sz w:val="19"/>
        </w:rPr>
        <w:t>was</w:t>
      </w:r>
      <w:r>
        <w:rPr>
          <w:i/>
          <w:color w:val="231F20"/>
          <w:spacing w:val="-9"/>
          <w:w w:val="105"/>
          <w:sz w:val="19"/>
        </w:rPr>
        <w:t xml:space="preserve"> </w:t>
      </w:r>
      <w:r>
        <w:rPr>
          <w:i/>
          <w:color w:val="231F20"/>
          <w:w w:val="105"/>
          <w:sz w:val="19"/>
        </w:rPr>
        <w:t>pleased</w:t>
      </w:r>
      <w:r>
        <w:rPr>
          <w:i/>
          <w:color w:val="231F20"/>
          <w:spacing w:val="-9"/>
          <w:w w:val="105"/>
          <w:sz w:val="19"/>
        </w:rPr>
        <w:t xml:space="preserve"> </w:t>
      </w:r>
      <w:r>
        <w:rPr>
          <w:i/>
          <w:color w:val="231F20"/>
          <w:w w:val="105"/>
          <w:sz w:val="19"/>
        </w:rPr>
        <w:t>when</w:t>
      </w:r>
      <w:r>
        <w:rPr>
          <w:i/>
          <w:color w:val="231F20"/>
          <w:spacing w:val="-9"/>
          <w:w w:val="105"/>
          <w:sz w:val="19"/>
        </w:rPr>
        <w:t xml:space="preserve"> </w:t>
      </w:r>
      <w:r>
        <w:rPr>
          <w:i/>
          <w:color w:val="231F20"/>
          <w:w w:val="105"/>
          <w:sz w:val="19"/>
        </w:rPr>
        <w:t>the</w:t>
      </w:r>
      <w:r>
        <w:rPr>
          <w:i/>
          <w:color w:val="231F20"/>
          <w:spacing w:val="-9"/>
          <w:w w:val="105"/>
          <w:sz w:val="19"/>
        </w:rPr>
        <w:t xml:space="preserve"> </w:t>
      </w:r>
      <w:r w:rsidR="00C507A5">
        <w:rPr>
          <w:i/>
          <w:color w:val="231F20"/>
          <w:w w:val="105"/>
          <w:sz w:val="19"/>
        </w:rPr>
        <w:t>red army faction</w:t>
      </w:r>
      <w:r>
        <w:rPr>
          <w:i/>
          <w:color w:val="231F20"/>
          <w:spacing w:val="-10"/>
          <w:w w:val="105"/>
          <w:sz w:val="19"/>
        </w:rPr>
        <w:t xml:space="preserve"> </w:t>
      </w:r>
      <w:r>
        <w:rPr>
          <w:i/>
          <w:color w:val="231F20"/>
          <w:w w:val="105"/>
          <w:sz w:val="19"/>
        </w:rPr>
        <w:t>prisoners</w:t>
      </w:r>
      <w:r>
        <w:rPr>
          <w:i/>
          <w:color w:val="231F20"/>
          <w:spacing w:val="-9"/>
          <w:w w:val="105"/>
          <w:sz w:val="19"/>
        </w:rPr>
        <w:t xml:space="preserve"> </w:t>
      </w:r>
      <w:r>
        <w:rPr>
          <w:i/>
          <w:color w:val="231F20"/>
          <w:w w:val="105"/>
          <w:sz w:val="19"/>
        </w:rPr>
        <w:t>changed</w:t>
      </w:r>
      <w:r>
        <w:rPr>
          <w:i/>
          <w:color w:val="231F20"/>
          <w:spacing w:val="-9"/>
          <w:w w:val="105"/>
          <w:sz w:val="19"/>
        </w:rPr>
        <w:t xml:space="preserve"> </w:t>
      </w:r>
      <w:r>
        <w:rPr>
          <w:i/>
          <w:color w:val="231F20"/>
          <w:w w:val="105"/>
          <w:sz w:val="19"/>
        </w:rPr>
        <w:t>their</w:t>
      </w:r>
      <w:r>
        <w:rPr>
          <w:i/>
          <w:color w:val="231F20"/>
          <w:spacing w:val="-9"/>
          <w:w w:val="105"/>
          <w:sz w:val="19"/>
        </w:rPr>
        <w:t xml:space="preserve"> </w:t>
      </w:r>
      <w:r>
        <w:rPr>
          <w:i/>
          <w:color w:val="231F20"/>
          <w:w w:val="105"/>
          <w:sz w:val="19"/>
        </w:rPr>
        <w:t>line</w:t>
      </w:r>
      <w:r>
        <w:rPr>
          <w:i/>
          <w:color w:val="231F20"/>
          <w:spacing w:val="-9"/>
          <w:w w:val="105"/>
          <w:sz w:val="19"/>
        </w:rPr>
        <w:t xml:space="preserve"> </w:t>
      </w:r>
      <w:r>
        <w:rPr>
          <w:i/>
          <w:color w:val="231F20"/>
          <w:w w:val="105"/>
          <w:sz w:val="19"/>
        </w:rPr>
        <w:t>and chose</w:t>
      </w:r>
      <w:r>
        <w:rPr>
          <w:i/>
          <w:color w:val="231F20"/>
          <w:spacing w:val="-4"/>
          <w:w w:val="105"/>
          <w:sz w:val="19"/>
        </w:rPr>
        <w:t xml:space="preserve"> </w:t>
      </w:r>
      <w:r>
        <w:rPr>
          <w:i/>
          <w:color w:val="231F20"/>
          <w:w w:val="105"/>
          <w:sz w:val="19"/>
        </w:rPr>
        <w:t>the</w:t>
      </w:r>
      <w:r>
        <w:rPr>
          <w:i/>
          <w:color w:val="231F20"/>
          <w:spacing w:val="-4"/>
          <w:w w:val="105"/>
          <w:sz w:val="19"/>
        </w:rPr>
        <w:t xml:space="preserve"> </w:t>
      </w:r>
      <w:r>
        <w:rPr>
          <w:i/>
          <w:color w:val="231F20"/>
          <w:w w:val="105"/>
          <w:sz w:val="19"/>
        </w:rPr>
        <w:t>demand</w:t>
      </w:r>
      <w:r>
        <w:rPr>
          <w:i/>
          <w:color w:val="231F20"/>
          <w:spacing w:val="-4"/>
          <w:w w:val="105"/>
          <w:sz w:val="19"/>
        </w:rPr>
        <w:t xml:space="preserve"> </w:t>
      </w:r>
      <w:r>
        <w:rPr>
          <w:i/>
          <w:color w:val="231F20"/>
          <w:w w:val="105"/>
          <w:sz w:val="19"/>
        </w:rPr>
        <w:t>for</w:t>
      </w:r>
      <w:r>
        <w:rPr>
          <w:i/>
          <w:color w:val="231F20"/>
          <w:spacing w:val="-4"/>
          <w:w w:val="105"/>
          <w:sz w:val="19"/>
        </w:rPr>
        <w:t xml:space="preserve"> </w:t>
      </w:r>
      <w:r>
        <w:rPr>
          <w:i/>
          <w:color w:val="231F20"/>
          <w:w w:val="105"/>
          <w:sz w:val="19"/>
        </w:rPr>
        <w:t>association.</w:t>
      </w:r>
      <w:r>
        <w:rPr>
          <w:i/>
          <w:color w:val="231F20"/>
          <w:spacing w:val="-14"/>
          <w:w w:val="105"/>
          <w:sz w:val="19"/>
        </w:rPr>
        <w:t xml:space="preserve"> </w:t>
      </w:r>
      <w:r>
        <w:rPr>
          <w:i/>
          <w:color w:val="231F20"/>
          <w:w w:val="105"/>
          <w:sz w:val="19"/>
        </w:rPr>
        <w:t>That</w:t>
      </w:r>
      <w:r>
        <w:rPr>
          <w:i/>
          <w:color w:val="231F20"/>
          <w:spacing w:val="-4"/>
          <w:w w:val="105"/>
          <w:sz w:val="19"/>
        </w:rPr>
        <w:t xml:space="preserve"> </w:t>
      </w:r>
      <w:r>
        <w:rPr>
          <w:i/>
          <w:color w:val="231F20"/>
          <w:w w:val="105"/>
          <w:sz w:val="19"/>
        </w:rPr>
        <w:t>created</w:t>
      </w:r>
      <w:r>
        <w:rPr>
          <w:i/>
          <w:color w:val="231F20"/>
          <w:spacing w:val="-4"/>
          <w:w w:val="105"/>
          <w:sz w:val="19"/>
        </w:rPr>
        <w:t xml:space="preserve"> </w:t>
      </w:r>
      <w:r>
        <w:rPr>
          <w:i/>
          <w:color w:val="231F20"/>
          <w:w w:val="105"/>
          <w:sz w:val="19"/>
        </w:rPr>
        <w:t>some</w:t>
      </w:r>
      <w:r>
        <w:rPr>
          <w:i/>
          <w:color w:val="231F20"/>
          <w:spacing w:val="-4"/>
          <w:w w:val="105"/>
          <w:sz w:val="19"/>
        </w:rPr>
        <w:t xml:space="preserve"> </w:t>
      </w:r>
      <w:r>
        <w:rPr>
          <w:i/>
          <w:color w:val="231F20"/>
          <w:w w:val="105"/>
          <w:sz w:val="19"/>
        </w:rPr>
        <w:t>conflicts</w:t>
      </w:r>
      <w:r>
        <w:rPr>
          <w:i/>
          <w:color w:val="231F20"/>
          <w:spacing w:val="-4"/>
          <w:w w:val="105"/>
          <w:sz w:val="19"/>
        </w:rPr>
        <w:t xml:space="preserve"> </w:t>
      </w:r>
      <w:r>
        <w:rPr>
          <w:i/>
          <w:color w:val="231F20"/>
          <w:w w:val="105"/>
          <w:sz w:val="19"/>
        </w:rPr>
        <w:t>on the outside, for instance with the Frankfurt Committee,</w:t>
      </w:r>
      <w:r>
        <w:rPr>
          <w:i/>
          <w:color w:val="231F20"/>
          <w:w w:val="105"/>
          <w:position w:val="6"/>
          <w:sz w:val="11"/>
        </w:rPr>
        <w:t xml:space="preserve">1 </w:t>
      </w:r>
      <w:r>
        <w:rPr>
          <w:i/>
          <w:color w:val="231F20"/>
          <w:w w:val="105"/>
          <w:sz w:val="19"/>
        </w:rPr>
        <w:t>which had a social revolutionary line: they were of the opinion that all prisoners</w:t>
      </w:r>
      <w:r>
        <w:rPr>
          <w:i/>
          <w:color w:val="231F20"/>
          <w:spacing w:val="-7"/>
          <w:w w:val="105"/>
          <w:sz w:val="19"/>
        </w:rPr>
        <w:t xml:space="preserve"> </w:t>
      </w:r>
      <w:r>
        <w:rPr>
          <w:i/>
          <w:color w:val="231F20"/>
          <w:w w:val="105"/>
          <w:sz w:val="19"/>
        </w:rPr>
        <w:t>were</w:t>
      </w:r>
      <w:r>
        <w:rPr>
          <w:i/>
          <w:color w:val="231F20"/>
          <w:spacing w:val="-7"/>
          <w:w w:val="105"/>
          <w:sz w:val="19"/>
        </w:rPr>
        <w:t xml:space="preserve"> </w:t>
      </w:r>
      <w:r>
        <w:rPr>
          <w:i/>
          <w:color w:val="231F20"/>
          <w:w w:val="105"/>
          <w:sz w:val="19"/>
        </w:rPr>
        <w:t>frustrated</w:t>
      </w:r>
      <w:r>
        <w:rPr>
          <w:i/>
          <w:color w:val="231F20"/>
          <w:spacing w:val="-7"/>
          <w:w w:val="105"/>
          <w:sz w:val="19"/>
        </w:rPr>
        <w:t xml:space="preserve"> </w:t>
      </w:r>
      <w:r>
        <w:rPr>
          <w:i/>
          <w:color w:val="231F20"/>
          <w:w w:val="105"/>
          <w:sz w:val="19"/>
        </w:rPr>
        <w:t>social</w:t>
      </w:r>
      <w:r>
        <w:rPr>
          <w:i/>
          <w:color w:val="231F20"/>
          <w:spacing w:val="-7"/>
          <w:w w:val="105"/>
          <w:sz w:val="19"/>
        </w:rPr>
        <w:t xml:space="preserve"> </w:t>
      </w:r>
      <w:r>
        <w:rPr>
          <w:i/>
          <w:color w:val="231F20"/>
          <w:w w:val="105"/>
          <w:sz w:val="19"/>
        </w:rPr>
        <w:t>rebels.</w:t>
      </w:r>
      <w:r>
        <w:rPr>
          <w:i/>
          <w:color w:val="231F20"/>
          <w:spacing w:val="-12"/>
          <w:w w:val="105"/>
          <w:sz w:val="19"/>
        </w:rPr>
        <w:t xml:space="preserve"> </w:t>
      </w:r>
      <w:r>
        <w:rPr>
          <w:i/>
          <w:color w:val="231F20"/>
          <w:w w:val="105"/>
          <w:sz w:val="19"/>
        </w:rPr>
        <w:t>I</w:t>
      </w:r>
      <w:r>
        <w:rPr>
          <w:i/>
          <w:color w:val="231F20"/>
          <w:spacing w:val="-7"/>
          <w:w w:val="105"/>
          <w:sz w:val="19"/>
        </w:rPr>
        <w:t xml:space="preserve"> </w:t>
      </w:r>
      <w:r>
        <w:rPr>
          <w:i/>
          <w:color w:val="231F20"/>
          <w:w w:val="105"/>
          <w:sz w:val="19"/>
        </w:rPr>
        <w:t>seriously</w:t>
      </w:r>
      <w:r>
        <w:rPr>
          <w:i/>
          <w:color w:val="231F20"/>
          <w:spacing w:val="-7"/>
          <w:w w:val="105"/>
          <w:sz w:val="19"/>
        </w:rPr>
        <w:t xml:space="preserve"> </w:t>
      </w:r>
      <w:r>
        <w:rPr>
          <w:i/>
          <w:color w:val="231F20"/>
          <w:w w:val="105"/>
          <w:sz w:val="19"/>
        </w:rPr>
        <w:t>doubted</w:t>
      </w:r>
      <w:r>
        <w:rPr>
          <w:i/>
          <w:color w:val="231F20"/>
          <w:spacing w:val="-7"/>
          <w:w w:val="105"/>
          <w:sz w:val="19"/>
        </w:rPr>
        <w:t xml:space="preserve"> </w:t>
      </w:r>
      <w:r>
        <w:rPr>
          <w:i/>
          <w:color w:val="231F20"/>
          <w:w w:val="105"/>
          <w:sz w:val="19"/>
        </w:rPr>
        <w:t>that.</w:t>
      </w:r>
      <w:r>
        <w:rPr>
          <w:i/>
          <w:color w:val="231F20"/>
          <w:w w:val="105"/>
          <w:position w:val="6"/>
          <w:sz w:val="11"/>
        </w:rPr>
        <w:t>2</w:t>
      </w:r>
    </w:p>
    <w:p w14:paraId="4BD0586A" w14:textId="77777777" w:rsidR="002653E8" w:rsidRDefault="003115E3">
      <w:pPr>
        <w:pStyle w:val="a3"/>
        <w:spacing w:before="135" w:line="264" w:lineRule="auto"/>
        <w:ind w:left="1147" w:right="1326"/>
        <w:jc w:val="both"/>
      </w:pPr>
      <w:r>
        <w:rPr>
          <w:color w:val="231F20"/>
        </w:rPr>
        <w:t>This new demand for association became a rallying point for the prisoners and their supporters for the next two decades. years later, 2nd of June Movement prisoner Till Meyer, writing from the dead wing, would express the goal this way:</w:t>
      </w:r>
    </w:p>
    <w:p w14:paraId="12DCB8B2" w14:textId="77777777" w:rsidR="002653E8" w:rsidRDefault="003115E3">
      <w:pPr>
        <w:spacing w:before="124" w:line="276" w:lineRule="auto"/>
        <w:ind w:left="1567" w:right="1746"/>
        <w:jc w:val="both"/>
        <w:rPr>
          <w:i/>
          <w:sz w:val="11"/>
        </w:rPr>
      </w:pPr>
      <w:r>
        <w:rPr>
          <w:i/>
          <w:color w:val="231F20"/>
          <w:sz w:val="19"/>
        </w:rPr>
        <w:t>Our demand—association of all prisoners—is the opposite of what the pigs offer us. Association means, above all, survival, collective political imprisonment, political identity, self-organization—while the dead wing means annihilation.</w:t>
      </w:r>
      <w:r>
        <w:rPr>
          <w:i/>
          <w:color w:val="231F20"/>
          <w:position w:val="6"/>
          <w:sz w:val="11"/>
        </w:rPr>
        <w:t>3</w:t>
      </w:r>
    </w:p>
    <w:p w14:paraId="38A64481" w14:textId="77777777" w:rsidR="002653E8" w:rsidRDefault="003115E3">
      <w:pPr>
        <w:pStyle w:val="a3"/>
        <w:spacing w:before="131" w:line="264" w:lineRule="auto"/>
        <w:ind w:left="1147" w:right="1326"/>
        <w:jc w:val="both"/>
      </w:pPr>
      <w:r>
        <w:rPr>
          <w:color w:val="231F20"/>
          <w:spacing w:val="1"/>
        </w:rPr>
        <w:t xml:space="preserve">In </w:t>
      </w:r>
      <w:r>
        <w:rPr>
          <w:color w:val="231F20"/>
        </w:rPr>
        <w:t>practical terms, association meant bringing together political prisoners in groups large enough to be socially viable, fifteen being the minimum number normally suggested. Political prisoners in some other European countries, such as Italy and Northern Ireland, had already won such conditions for themselves, and so it was hoped that this might prove a realistic</w:t>
      </w:r>
      <w:r>
        <w:rPr>
          <w:color w:val="231F20"/>
          <w:spacing w:val="32"/>
        </w:rPr>
        <w:t xml:space="preserve"> </w:t>
      </w:r>
      <w:r>
        <w:rPr>
          <w:color w:val="231F20"/>
        </w:rPr>
        <w:t>goal.</w:t>
      </w:r>
    </w:p>
    <w:p w14:paraId="5D9ED969" w14:textId="77777777" w:rsidR="002653E8" w:rsidRDefault="003115E3">
      <w:pPr>
        <w:pStyle w:val="a3"/>
        <w:spacing w:line="264" w:lineRule="auto"/>
        <w:ind w:left="1147" w:right="1326" w:firstLine="210"/>
        <w:jc w:val="both"/>
      </w:pPr>
      <w:r>
        <w:rPr>
          <w:color w:val="231F20"/>
        </w:rPr>
        <w:t>As a brief aside, it should be noted that this reorientation, along with the third hunger strike, provided the occasion for a very public split amongst the prisoners, as Horst Mahler not only refused to participate,</w:t>
      </w:r>
    </w:p>
    <w:p w14:paraId="3207751A" w14:textId="77777777" w:rsidR="002653E8" w:rsidRDefault="002653E8">
      <w:pPr>
        <w:pStyle w:val="a3"/>
      </w:pPr>
    </w:p>
    <w:p w14:paraId="632425C2" w14:textId="77777777" w:rsidR="002653E8" w:rsidRDefault="002653E8">
      <w:pPr>
        <w:pStyle w:val="a3"/>
      </w:pPr>
    </w:p>
    <w:p w14:paraId="7CC96FF8" w14:textId="77777777" w:rsidR="002653E8" w:rsidRDefault="002653E8">
      <w:pPr>
        <w:pStyle w:val="a3"/>
        <w:spacing w:before="7"/>
      </w:pPr>
    </w:p>
    <w:p w14:paraId="56D97DE5" w14:textId="77777777" w:rsidR="002653E8" w:rsidRDefault="003115E3">
      <w:pPr>
        <w:pStyle w:val="a4"/>
        <w:numPr>
          <w:ilvl w:val="0"/>
          <w:numId w:val="116"/>
        </w:numPr>
        <w:tabs>
          <w:tab w:val="left" w:pos="1287"/>
        </w:tabs>
        <w:spacing w:before="1" w:line="254" w:lineRule="auto"/>
        <w:ind w:right="1382" w:firstLine="0"/>
        <w:jc w:val="left"/>
        <w:rPr>
          <w:sz w:val="16"/>
        </w:rPr>
      </w:pPr>
      <w:r>
        <w:rPr>
          <w:color w:val="231F20"/>
          <w:w w:val="105"/>
          <w:sz w:val="16"/>
        </w:rPr>
        <w:t xml:space="preserve">Throughout the 1970s, </w:t>
      </w:r>
      <w:r>
        <w:rPr>
          <w:color w:val="231F20"/>
          <w:spacing w:val="1"/>
          <w:w w:val="105"/>
          <w:sz w:val="16"/>
        </w:rPr>
        <w:t xml:space="preserve">Frankfurt </w:t>
      </w:r>
      <w:r>
        <w:rPr>
          <w:color w:val="231F20"/>
          <w:w w:val="105"/>
          <w:sz w:val="16"/>
        </w:rPr>
        <w:t xml:space="preserve">was the bastion of the </w:t>
      </w:r>
      <w:r>
        <w:rPr>
          <w:i/>
          <w:color w:val="231F20"/>
          <w:w w:val="105"/>
          <w:sz w:val="16"/>
        </w:rPr>
        <w:t>spontis</w:t>
      </w:r>
      <w:r>
        <w:rPr>
          <w:color w:val="231F20"/>
          <w:w w:val="105"/>
          <w:sz w:val="16"/>
        </w:rPr>
        <w:t>, who would have been</w:t>
      </w:r>
      <w:r>
        <w:rPr>
          <w:color w:val="231F20"/>
          <w:spacing w:val="7"/>
          <w:w w:val="105"/>
          <w:sz w:val="16"/>
        </w:rPr>
        <w:t xml:space="preserve"> </w:t>
      </w:r>
      <w:r>
        <w:rPr>
          <w:color w:val="231F20"/>
          <w:w w:val="105"/>
          <w:sz w:val="16"/>
        </w:rPr>
        <w:t>critical</w:t>
      </w:r>
      <w:r>
        <w:rPr>
          <w:color w:val="231F20"/>
          <w:spacing w:val="7"/>
          <w:w w:val="105"/>
          <w:sz w:val="16"/>
        </w:rPr>
        <w:t xml:space="preserve"> </w:t>
      </w:r>
      <w:r>
        <w:rPr>
          <w:color w:val="231F20"/>
          <w:w w:val="105"/>
          <w:sz w:val="16"/>
        </w:rPr>
        <w:t>of</w:t>
      </w:r>
      <w:r>
        <w:rPr>
          <w:color w:val="231F20"/>
          <w:spacing w:val="7"/>
          <w:w w:val="105"/>
          <w:sz w:val="16"/>
        </w:rPr>
        <w:t xml:space="preserve"> </w:t>
      </w:r>
      <w:r>
        <w:rPr>
          <w:color w:val="231F20"/>
          <w:w w:val="105"/>
          <w:sz w:val="16"/>
        </w:rPr>
        <w:t>such</w:t>
      </w:r>
      <w:r>
        <w:rPr>
          <w:color w:val="231F20"/>
          <w:spacing w:val="7"/>
          <w:w w:val="105"/>
          <w:sz w:val="16"/>
        </w:rPr>
        <w:t xml:space="preserve"> </w:t>
      </w:r>
      <w:r>
        <w:rPr>
          <w:color w:val="231F20"/>
          <w:w w:val="105"/>
          <w:sz w:val="16"/>
        </w:rPr>
        <w:t>a</w:t>
      </w:r>
      <w:r>
        <w:rPr>
          <w:color w:val="231F20"/>
          <w:spacing w:val="7"/>
          <w:w w:val="105"/>
          <w:sz w:val="16"/>
        </w:rPr>
        <w:t xml:space="preserve"> </w:t>
      </w:r>
      <w:r>
        <w:rPr>
          <w:color w:val="231F20"/>
          <w:w w:val="105"/>
          <w:sz w:val="16"/>
        </w:rPr>
        <w:t>separation</w:t>
      </w:r>
      <w:r>
        <w:rPr>
          <w:color w:val="231F20"/>
          <w:spacing w:val="7"/>
          <w:w w:val="105"/>
          <w:sz w:val="16"/>
        </w:rPr>
        <w:t xml:space="preserve"> </w:t>
      </w:r>
      <w:r>
        <w:rPr>
          <w:color w:val="231F20"/>
          <w:w w:val="105"/>
          <w:sz w:val="16"/>
        </w:rPr>
        <w:t>from</w:t>
      </w:r>
      <w:r>
        <w:rPr>
          <w:color w:val="231F20"/>
          <w:spacing w:val="7"/>
          <w:w w:val="105"/>
          <w:sz w:val="16"/>
        </w:rPr>
        <w:t xml:space="preserve"> </w:t>
      </w:r>
      <w:r>
        <w:rPr>
          <w:color w:val="231F20"/>
          <w:w w:val="105"/>
          <w:sz w:val="16"/>
        </w:rPr>
        <w:t>social</w:t>
      </w:r>
      <w:r>
        <w:rPr>
          <w:color w:val="231F20"/>
          <w:spacing w:val="7"/>
          <w:w w:val="105"/>
          <w:sz w:val="16"/>
        </w:rPr>
        <w:t xml:space="preserve"> </w:t>
      </w:r>
      <w:r>
        <w:rPr>
          <w:color w:val="231F20"/>
          <w:w w:val="105"/>
          <w:sz w:val="16"/>
        </w:rPr>
        <w:t>prisoners.</w:t>
      </w:r>
    </w:p>
    <w:p w14:paraId="70BF9D52" w14:textId="77777777" w:rsidR="002653E8" w:rsidRPr="00C507A5" w:rsidRDefault="003115E3">
      <w:pPr>
        <w:pStyle w:val="a4"/>
        <w:numPr>
          <w:ilvl w:val="0"/>
          <w:numId w:val="116"/>
        </w:numPr>
        <w:tabs>
          <w:tab w:val="left" w:pos="1287"/>
        </w:tabs>
        <w:spacing w:before="40"/>
        <w:ind w:left="1286"/>
        <w:jc w:val="left"/>
        <w:rPr>
          <w:sz w:val="16"/>
          <w:lang w:val="de-DE"/>
        </w:rPr>
      </w:pPr>
      <w:r w:rsidRPr="00C507A5">
        <w:rPr>
          <w:color w:val="231F20"/>
          <w:w w:val="110"/>
          <w:sz w:val="16"/>
          <w:lang w:val="de-DE"/>
        </w:rPr>
        <w:t>Karl-Heinz</w:t>
      </w:r>
      <w:r w:rsidRPr="00C507A5">
        <w:rPr>
          <w:color w:val="231F20"/>
          <w:spacing w:val="5"/>
          <w:w w:val="110"/>
          <w:sz w:val="16"/>
          <w:lang w:val="de-DE"/>
        </w:rPr>
        <w:t xml:space="preserve"> </w:t>
      </w:r>
      <w:r w:rsidRPr="00C507A5">
        <w:rPr>
          <w:color w:val="231F20"/>
          <w:w w:val="110"/>
          <w:sz w:val="16"/>
          <w:lang w:val="de-DE"/>
        </w:rPr>
        <w:t>Dellwo,</w:t>
      </w:r>
      <w:r w:rsidRPr="00C507A5">
        <w:rPr>
          <w:color w:val="231F20"/>
          <w:spacing w:val="6"/>
          <w:w w:val="110"/>
          <w:sz w:val="16"/>
          <w:lang w:val="de-DE"/>
        </w:rPr>
        <w:t xml:space="preserve"> </w:t>
      </w:r>
      <w:r w:rsidRPr="00C507A5">
        <w:rPr>
          <w:i/>
          <w:color w:val="231F20"/>
          <w:w w:val="110"/>
          <w:sz w:val="16"/>
          <w:lang w:val="de-DE"/>
        </w:rPr>
        <w:t>Das</w:t>
      </w:r>
      <w:r w:rsidRPr="00C507A5">
        <w:rPr>
          <w:i/>
          <w:color w:val="231F20"/>
          <w:spacing w:val="5"/>
          <w:w w:val="110"/>
          <w:sz w:val="16"/>
          <w:lang w:val="de-DE"/>
        </w:rPr>
        <w:t xml:space="preserve"> </w:t>
      </w:r>
      <w:r w:rsidRPr="00C507A5">
        <w:rPr>
          <w:i/>
          <w:color w:val="231F20"/>
          <w:w w:val="110"/>
          <w:sz w:val="16"/>
          <w:lang w:val="de-DE"/>
        </w:rPr>
        <w:t>Projektil</w:t>
      </w:r>
      <w:r w:rsidRPr="00C507A5">
        <w:rPr>
          <w:i/>
          <w:color w:val="231F20"/>
          <w:spacing w:val="5"/>
          <w:w w:val="110"/>
          <w:sz w:val="16"/>
          <w:lang w:val="de-DE"/>
        </w:rPr>
        <w:t xml:space="preserve"> </w:t>
      </w:r>
      <w:r w:rsidRPr="00C507A5">
        <w:rPr>
          <w:i/>
          <w:color w:val="231F20"/>
          <w:w w:val="110"/>
          <w:sz w:val="16"/>
          <w:lang w:val="de-DE"/>
        </w:rPr>
        <w:t>sind</w:t>
      </w:r>
      <w:r w:rsidRPr="00C507A5">
        <w:rPr>
          <w:i/>
          <w:color w:val="231F20"/>
          <w:spacing w:val="5"/>
          <w:w w:val="110"/>
          <w:sz w:val="16"/>
          <w:lang w:val="de-DE"/>
        </w:rPr>
        <w:t xml:space="preserve"> </w:t>
      </w:r>
      <w:r w:rsidRPr="00C507A5">
        <w:rPr>
          <w:i/>
          <w:color w:val="231F20"/>
          <w:w w:val="110"/>
          <w:sz w:val="16"/>
          <w:lang w:val="de-DE"/>
        </w:rPr>
        <w:t>wir</w:t>
      </w:r>
      <w:r w:rsidRPr="00C507A5">
        <w:rPr>
          <w:i/>
          <w:color w:val="231F20"/>
          <w:spacing w:val="6"/>
          <w:w w:val="110"/>
          <w:sz w:val="16"/>
          <w:lang w:val="de-DE"/>
        </w:rPr>
        <w:t xml:space="preserve"> </w:t>
      </w:r>
      <w:r w:rsidRPr="00C507A5">
        <w:rPr>
          <w:color w:val="231F20"/>
          <w:w w:val="110"/>
          <w:sz w:val="16"/>
          <w:lang w:val="de-DE"/>
        </w:rPr>
        <w:t>(Hamburg:</w:t>
      </w:r>
      <w:r w:rsidRPr="00C507A5">
        <w:rPr>
          <w:color w:val="231F20"/>
          <w:spacing w:val="5"/>
          <w:w w:val="110"/>
          <w:sz w:val="16"/>
          <w:lang w:val="de-DE"/>
        </w:rPr>
        <w:t xml:space="preserve"> </w:t>
      </w:r>
      <w:r w:rsidRPr="00C507A5">
        <w:rPr>
          <w:color w:val="231F20"/>
          <w:w w:val="110"/>
          <w:sz w:val="16"/>
          <w:lang w:val="de-DE"/>
        </w:rPr>
        <w:t>Nautilus,</w:t>
      </w:r>
      <w:r w:rsidRPr="00C507A5">
        <w:rPr>
          <w:color w:val="231F20"/>
          <w:spacing w:val="6"/>
          <w:w w:val="110"/>
          <w:sz w:val="16"/>
          <w:lang w:val="de-DE"/>
        </w:rPr>
        <w:t xml:space="preserve"> </w:t>
      </w:r>
      <w:r w:rsidRPr="00C507A5">
        <w:rPr>
          <w:color w:val="231F20"/>
          <w:w w:val="110"/>
          <w:sz w:val="16"/>
          <w:lang w:val="de-DE"/>
        </w:rPr>
        <w:t>2007),</w:t>
      </w:r>
      <w:r w:rsidRPr="00C507A5">
        <w:rPr>
          <w:color w:val="231F20"/>
          <w:spacing w:val="5"/>
          <w:w w:val="110"/>
          <w:sz w:val="16"/>
          <w:lang w:val="de-DE"/>
        </w:rPr>
        <w:t xml:space="preserve"> </w:t>
      </w:r>
      <w:r w:rsidRPr="00C507A5">
        <w:rPr>
          <w:color w:val="231F20"/>
          <w:w w:val="110"/>
          <w:sz w:val="16"/>
          <w:lang w:val="de-DE"/>
        </w:rPr>
        <w:t>98-99.</w:t>
      </w:r>
    </w:p>
    <w:p w14:paraId="0203388C" w14:textId="77777777" w:rsidR="002653E8" w:rsidRDefault="003115E3">
      <w:pPr>
        <w:pStyle w:val="a4"/>
        <w:numPr>
          <w:ilvl w:val="0"/>
          <w:numId w:val="116"/>
        </w:numPr>
        <w:tabs>
          <w:tab w:val="left" w:pos="1287"/>
        </w:tabs>
        <w:spacing w:before="52" w:line="254" w:lineRule="auto"/>
        <w:ind w:right="1661" w:firstLine="0"/>
        <w:jc w:val="left"/>
        <w:rPr>
          <w:sz w:val="16"/>
        </w:rPr>
      </w:pPr>
      <w:r w:rsidRPr="00C507A5">
        <w:rPr>
          <w:color w:val="231F20"/>
          <w:w w:val="110"/>
          <w:sz w:val="16"/>
          <w:lang w:val="de-DE"/>
        </w:rPr>
        <w:t xml:space="preserve">Bewegung 2. Juni (2nd of June Movement), </w:t>
      </w:r>
      <w:r w:rsidRPr="00C507A5">
        <w:rPr>
          <w:i/>
          <w:color w:val="231F20"/>
          <w:spacing w:val="1"/>
          <w:w w:val="110"/>
          <w:sz w:val="16"/>
          <w:lang w:val="de-DE"/>
        </w:rPr>
        <w:t xml:space="preserve">Der </w:t>
      </w:r>
      <w:r w:rsidRPr="00C507A5">
        <w:rPr>
          <w:i/>
          <w:color w:val="231F20"/>
          <w:w w:val="110"/>
          <w:sz w:val="16"/>
          <w:lang w:val="de-DE"/>
        </w:rPr>
        <w:t xml:space="preserve">Blues: Gesammelte Texte </w:t>
      </w:r>
      <w:r w:rsidRPr="00C507A5">
        <w:rPr>
          <w:i/>
          <w:color w:val="231F20"/>
          <w:spacing w:val="1"/>
          <w:w w:val="110"/>
          <w:sz w:val="16"/>
          <w:lang w:val="de-DE"/>
        </w:rPr>
        <w:t xml:space="preserve">der </w:t>
      </w:r>
      <w:r w:rsidRPr="00C507A5">
        <w:rPr>
          <w:i/>
          <w:color w:val="231F20"/>
          <w:w w:val="110"/>
          <w:sz w:val="16"/>
          <w:lang w:val="de-DE"/>
        </w:rPr>
        <w:t xml:space="preserve">Bewgung </w:t>
      </w:r>
      <w:r w:rsidRPr="00C507A5">
        <w:rPr>
          <w:i/>
          <w:color w:val="231F20"/>
          <w:spacing w:val="3"/>
          <w:w w:val="110"/>
          <w:sz w:val="16"/>
          <w:lang w:val="de-DE"/>
        </w:rPr>
        <w:t xml:space="preserve">2. </w:t>
      </w:r>
      <w:r>
        <w:rPr>
          <w:i/>
          <w:color w:val="231F20"/>
          <w:w w:val="110"/>
          <w:sz w:val="16"/>
        </w:rPr>
        <w:t xml:space="preserve">Juni, Vol. </w:t>
      </w:r>
      <w:r>
        <w:rPr>
          <w:i/>
          <w:color w:val="231F20"/>
          <w:spacing w:val="3"/>
          <w:w w:val="110"/>
          <w:sz w:val="16"/>
        </w:rPr>
        <w:t>2,</w:t>
      </w:r>
      <w:r>
        <w:rPr>
          <w:i/>
          <w:color w:val="231F20"/>
          <w:spacing w:val="32"/>
          <w:w w:val="110"/>
          <w:sz w:val="16"/>
        </w:rPr>
        <w:t xml:space="preserve"> </w:t>
      </w:r>
      <w:r>
        <w:rPr>
          <w:color w:val="231F20"/>
          <w:w w:val="110"/>
          <w:sz w:val="16"/>
        </w:rPr>
        <w:t>684.</w:t>
      </w:r>
    </w:p>
    <w:p w14:paraId="509CF9BF" w14:textId="77777777" w:rsidR="002653E8" w:rsidRDefault="002653E8">
      <w:pPr>
        <w:spacing w:line="254" w:lineRule="auto"/>
        <w:rPr>
          <w:sz w:val="16"/>
        </w:rPr>
        <w:sectPr w:rsidR="002653E8">
          <w:footerReference w:type="even" r:id="rId217"/>
          <w:footerReference w:type="default" r:id="rId218"/>
          <w:pgSz w:w="8640" w:h="12960"/>
          <w:pgMar w:top="1060" w:right="0" w:bottom="1460" w:left="0" w:header="0" w:footer="1270" w:gutter="0"/>
          <w:cols w:space="720"/>
        </w:sectPr>
      </w:pPr>
    </w:p>
    <w:p w14:paraId="3125F8A5" w14:textId="77777777" w:rsidR="002653E8" w:rsidRDefault="002653E8">
      <w:pPr>
        <w:pStyle w:val="a3"/>
      </w:pPr>
    </w:p>
    <w:p w14:paraId="18C09DC6" w14:textId="77777777" w:rsidR="002653E8" w:rsidRDefault="002653E8">
      <w:pPr>
        <w:pStyle w:val="a3"/>
      </w:pPr>
    </w:p>
    <w:p w14:paraId="30716183" w14:textId="77777777" w:rsidR="002653E8" w:rsidRDefault="002653E8">
      <w:pPr>
        <w:pStyle w:val="a3"/>
      </w:pPr>
    </w:p>
    <w:p w14:paraId="08B6BB5B" w14:textId="77777777" w:rsidR="002653E8" w:rsidRDefault="002653E8">
      <w:pPr>
        <w:pStyle w:val="a3"/>
      </w:pPr>
    </w:p>
    <w:p w14:paraId="653E4096" w14:textId="77777777" w:rsidR="002653E8" w:rsidRDefault="002653E8">
      <w:pPr>
        <w:pStyle w:val="a3"/>
      </w:pPr>
    </w:p>
    <w:p w14:paraId="2040B2FB" w14:textId="77777777" w:rsidR="002653E8" w:rsidRDefault="002653E8">
      <w:pPr>
        <w:pStyle w:val="a3"/>
      </w:pPr>
    </w:p>
    <w:p w14:paraId="6D1EFDA7" w14:textId="77777777" w:rsidR="002653E8" w:rsidRDefault="002653E8">
      <w:pPr>
        <w:pStyle w:val="a3"/>
      </w:pPr>
    </w:p>
    <w:p w14:paraId="58F5F1E4" w14:textId="77777777" w:rsidR="002653E8" w:rsidRDefault="002653E8">
      <w:pPr>
        <w:pStyle w:val="a3"/>
      </w:pPr>
    </w:p>
    <w:p w14:paraId="6E4DAC57" w14:textId="77777777" w:rsidR="002653E8" w:rsidRDefault="002653E8">
      <w:pPr>
        <w:pStyle w:val="a3"/>
      </w:pPr>
    </w:p>
    <w:p w14:paraId="34D970C1" w14:textId="77777777" w:rsidR="002653E8" w:rsidRDefault="002653E8">
      <w:pPr>
        <w:pStyle w:val="a3"/>
      </w:pPr>
    </w:p>
    <w:p w14:paraId="14C76C5D" w14:textId="77777777" w:rsidR="002653E8" w:rsidRDefault="002653E8">
      <w:pPr>
        <w:pStyle w:val="a3"/>
      </w:pPr>
    </w:p>
    <w:p w14:paraId="4194F3DE" w14:textId="77777777" w:rsidR="002653E8" w:rsidRDefault="002653E8">
      <w:pPr>
        <w:pStyle w:val="a3"/>
      </w:pPr>
    </w:p>
    <w:p w14:paraId="0A5C5B73" w14:textId="77777777" w:rsidR="002653E8" w:rsidRDefault="002653E8">
      <w:pPr>
        <w:pStyle w:val="a3"/>
      </w:pPr>
    </w:p>
    <w:p w14:paraId="142D0F6A" w14:textId="77777777" w:rsidR="002653E8" w:rsidRDefault="002653E8">
      <w:pPr>
        <w:pStyle w:val="a3"/>
      </w:pPr>
    </w:p>
    <w:p w14:paraId="1FB517AC" w14:textId="77777777" w:rsidR="002653E8" w:rsidRDefault="002653E8">
      <w:pPr>
        <w:pStyle w:val="a3"/>
      </w:pPr>
    </w:p>
    <w:p w14:paraId="0159E3E0" w14:textId="77777777" w:rsidR="002653E8" w:rsidRDefault="002653E8">
      <w:pPr>
        <w:pStyle w:val="a3"/>
      </w:pPr>
    </w:p>
    <w:p w14:paraId="7087B94D" w14:textId="77777777" w:rsidR="002653E8" w:rsidRDefault="002653E8">
      <w:pPr>
        <w:pStyle w:val="a3"/>
      </w:pPr>
    </w:p>
    <w:p w14:paraId="21DCB044" w14:textId="77777777" w:rsidR="002653E8" w:rsidRDefault="003115E3">
      <w:pPr>
        <w:spacing w:before="176" w:line="244" w:lineRule="auto"/>
        <w:ind w:left="1722" w:hanging="277"/>
        <w:rPr>
          <w:i/>
          <w:sz w:val="18"/>
        </w:rPr>
      </w:pPr>
      <w:r>
        <w:rPr>
          <w:i/>
          <w:color w:val="231F20"/>
          <w:w w:val="105"/>
          <w:sz w:val="18"/>
        </w:rPr>
        <w:t>Rote Hilfe e.v. poster demanding freedom for Horst Mahler</w:t>
      </w:r>
    </w:p>
    <w:p w14:paraId="2A62F84C" w14:textId="77777777" w:rsidR="002653E8" w:rsidRDefault="003115E3">
      <w:pPr>
        <w:pStyle w:val="a3"/>
        <w:spacing w:before="86" w:line="264" w:lineRule="auto"/>
        <w:ind w:left="288" w:right="1145"/>
        <w:jc w:val="both"/>
        <w:rPr>
          <w:sz w:val="11"/>
        </w:rPr>
      </w:pPr>
      <w:r>
        <w:br w:type="column"/>
      </w:r>
      <w:r>
        <w:rPr>
          <w:color w:val="231F20"/>
        </w:rPr>
        <w:t xml:space="preserve">but also took the opportunity to publicly repudiate armed struggle and break with the </w:t>
      </w:r>
      <w:r w:rsidR="00C507A5">
        <w:rPr>
          <w:color w:val="231F20"/>
        </w:rPr>
        <w:t>red army faction</w:t>
      </w:r>
      <w:r>
        <w:rPr>
          <w:color w:val="231F20"/>
        </w:rPr>
        <w:t>.  It  has been suggested that one reason for this was his refusal to abandon the demand for integration, though clearly he had had other disagreements with the rest of the guerilla for some time now.</w:t>
      </w:r>
      <w:r>
        <w:rPr>
          <w:color w:val="231F20"/>
          <w:position w:val="7"/>
          <w:sz w:val="11"/>
        </w:rPr>
        <w:t>4</w:t>
      </w:r>
    </w:p>
    <w:p w14:paraId="31DC3C0D" w14:textId="77777777" w:rsidR="002653E8" w:rsidRDefault="00000000">
      <w:pPr>
        <w:pStyle w:val="a3"/>
        <w:spacing w:line="264" w:lineRule="auto"/>
        <w:ind w:left="275" w:right="1145" w:firstLine="210"/>
        <w:jc w:val="both"/>
      </w:pPr>
      <w:r>
        <w:rPr>
          <w:noProof w:val="0"/>
        </w:rPr>
        <w:pict w14:anchorId="24BA78EF">
          <v:group id="_x0000_s2401" style="position:absolute;left:0;text-align:left;margin-left:66.9pt;margin-top:-111.7pt;width:142.65pt;height:197.7pt;z-index:6472;mso-position-horizontal-relative:page" coordorigin="1338,-2234" coordsize="2853,3954">
            <v:shape id="_x0000_s2403" type="#_x0000_t75" style="position:absolute;left:1346;top:-2234;width:2840;height:3954">
              <v:imagedata r:id="rId219" o:title=""/>
            </v:shape>
            <v:rect id="_x0000_s2402" style="position:absolute;left:1347;top:-2224;width:2833;height:3934" filled="f" strokecolor="#231f20" strokeweight="1pt"/>
            <w10:wrap anchorx="page"/>
          </v:group>
        </w:pict>
      </w:r>
      <w:r w:rsidR="003115E3">
        <w:rPr>
          <w:color w:val="231F20"/>
          <w:spacing w:val="1"/>
          <w:w w:val="105"/>
        </w:rPr>
        <w:t xml:space="preserve">In </w:t>
      </w:r>
      <w:r w:rsidR="003115E3">
        <w:rPr>
          <w:color w:val="231F20"/>
          <w:w w:val="105"/>
        </w:rPr>
        <w:t xml:space="preserve">point of fact, Mahler had joined Red Aid </w:t>
      </w:r>
      <w:r w:rsidR="003115E3">
        <w:rPr>
          <w:color w:val="231F20"/>
          <w:spacing w:val="-5"/>
          <w:w w:val="105"/>
        </w:rPr>
        <w:t xml:space="preserve">e.v., </w:t>
      </w:r>
      <w:r w:rsidR="003115E3">
        <w:rPr>
          <w:color w:val="231F20"/>
          <w:w w:val="105"/>
        </w:rPr>
        <w:t xml:space="preserve">the network </w:t>
      </w:r>
      <w:r w:rsidR="003115E3">
        <w:rPr>
          <w:color w:val="231F20"/>
          <w:spacing w:val="2"/>
          <w:w w:val="98"/>
        </w:rPr>
        <w:t>t</w:t>
      </w:r>
      <w:r w:rsidR="003115E3">
        <w:rPr>
          <w:color w:val="231F20"/>
          <w:spacing w:val="1"/>
        </w:rPr>
        <w:t>h</w:t>
      </w:r>
      <w:r w:rsidR="003115E3">
        <w:rPr>
          <w:color w:val="231F20"/>
          <w:spacing w:val="-2"/>
          <w:w w:val="102"/>
        </w:rPr>
        <w:t>a</w:t>
      </w:r>
      <w:r w:rsidR="003115E3">
        <w:rPr>
          <w:color w:val="231F20"/>
          <w:w w:val="98"/>
        </w:rPr>
        <w:t>t</w:t>
      </w:r>
      <w:r w:rsidR="003115E3">
        <w:rPr>
          <w:color w:val="231F20"/>
        </w:rPr>
        <w:t xml:space="preserve"> </w:t>
      </w:r>
      <w:r w:rsidR="003115E3">
        <w:rPr>
          <w:color w:val="231F20"/>
          <w:spacing w:val="1"/>
        </w:rPr>
        <w:t>h</w:t>
      </w:r>
      <w:r w:rsidR="003115E3">
        <w:rPr>
          <w:color w:val="231F20"/>
          <w:spacing w:val="-2"/>
          <w:w w:val="102"/>
        </w:rPr>
        <w:t>a</w:t>
      </w:r>
      <w:r w:rsidR="003115E3">
        <w:rPr>
          <w:color w:val="231F20"/>
        </w:rPr>
        <w:t xml:space="preserve">d </w:t>
      </w:r>
      <w:r w:rsidR="003115E3">
        <w:rPr>
          <w:color w:val="231F20"/>
          <w:spacing w:val="1"/>
          <w:w w:val="101"/>
        </w:rPr>
        <w:t>b</w:t>
      </w:r>
      <w:r w:rsidR="003115E3">
        <w:rPr>
          <w:color w:val="231F20"/>
          <w:spacing w:val="1"/>
          <w:w w:val="91"/>
        </w:rPr>
        <w:t>e</w:t>
      </w:r>
      <w:r w:rsidR="003115E3">
        <w:rPr>
          <w:color w:val="231F20"/>
          <w:w w:val="91"/>
        </w:rPr>
        <w:t>e</w:t>
      </w:r>
      <w:r w:rsidR="003115E3">
        <w:rPr>
          <w:color w:val="231F20"/>
          <w:w w:val="99"/>
        </w:rPr>
        <w:t>n</w:t>
      </w:r>
      <w:r w:rsidR="003115E3">
        <w:rPr>
          <w:color w:val="231F20"/>
        </w:rPr>
        <w:t xml:space="preserve"> </w:t>
      </w:r>
      <w:r w:rsidR="003115E3">
        <w:rPr>
          <w:color w:val="231F20"/>
          <w:spacing w:val="1"/>
          <w:w w:val="90"/>
        </w:rPr>
        <w:t>s</w:t>
      </w:r>
      <w:r w:rsidR="003115E3">
        <w:rPr>
          <w:color w:val="231F20"/>
          <w:spacing w:val="1"/>
          <w:w w:val="91"/>
        </w:rPr>
        <w:t>e</w:t>
      </w:r>
      <w:r w:rsidR="003115E3">
        <w:rPr>
          <w:color w:val="231F20"/>
          <w:w w:val="98"/>
        </w:rPr>
        <w:t>t</w:t>
      </w:r>
      <w:r w:rsidR="003115E3">
        <w:rPr>
          <w:color w:val="231F20"/>
        </w:rPr>
        <w:t xml:space="preserve"> </w:t>
      </w:r>
      <w:r w:rsidR="003115E3">
        <w:rPr>
          <w:color w:val="231F20"/>
          <w:spacing w:val="-3"/>
        </w:rPr>
        <w:t>u</w:t>
      </w:r>
      <w:r w:rsidR="003115E3">
        <w:rPr>
          <w:color w:val="231F20"/>
          <w:w w:val="99"/>
        </w:rPr>
        <w:t>p</w:t>
      </w:r>
      <w:r w:rsidR="003115E3">
        <w:rPr>
          <w:color w:val="231F20"/>
        </w:rPr>
        <w:t xml:space="preserve"> </w:t>
      </w:r>
      <w:r w:rsidR="003115E3">
        <w:rPr>
          <w:color w:val="231F20"/>
          <w:spacing w:val="-1"/>
          <w:w w:val="101"/>
        </w:rPr>
        <w:t>b</w:t>
      </w:r>
      <w:r w:rsidR="003115E3">
        <w:rPr>
          <w:color w:val="231F20"/>
          <w:w w:val="99"/>
        </w:rPr>
        <w:t>y</w:t>
      </w:r>
      <w:r w:rsidR="003115E3">
        <w:rPr>
          <w:color w:val="231F20"/>
        </w:rPr>
        <w:t xml:space="preserve"> </w:t>
      </w:r>
      <w:r w:rsidR="003115E3">
        <w:rPr>
          <w:color w:val="231F20"/>
          <w:spacing w:val="2"/>
          <w:w w:val="98"/>
        </w:rPr>
        <w:t>t</w:t>
      </w:r>
      <w:r w:rsidR="003115E3">
        <w:rPr>
          <w:color w:val="231F20"/>
          <w:spacing w:val="-1"/>
        </w:rPr>
        <w:t>h</w:t>
      </w:r>
      <w:r w:rsidR="003115E3">
        <w:rPr>
          <w:color w:val="231F20"/>
          <w:w w:val="91"/>
        </w:rPr>
        <w:t>e</w:t>
      </w:r>
      <w:r w:rsidR="003115E3">
        <w:rPr>
          <w:color w:val="231F20"/>
        </w:rPr>
        <w:t xml:space="preserve"> </w:t>
      </w:r>
      <w:r w:rsidR="003115E3">
        <w:rPr>
          <w:color w:val="231F20"/>
          <w:spacing w:val="7"/>
          <w:w w:val="114"/>
        </w:rPr>
        <w:t>K</w:t>
      </w:r>
      <w:r w:rsidR="003115E3">
        <w:rPr>
          <w:color w:val="231F20"/>
          <w:w w:val="108"/>
        </w:rPr>
        <w:t>PD</w:t>
      </w:r>
      <w:r w:rsidR="003115E3">
        <w:rPr>
          <w:color w:val="231F20"/>
          <w:spacing w:val="-8"/>
          <w:w w:val="56"/>
        </w:rPr>
        <w:t>/</w:t>
      </w:r>
      <w:r w:rsidR="003115E3">
        <w:rPr>
          <w:color w:val="231F20"/>
          <w:spacing w:val="-8"/>
          <w:w w:val="121"/>
        </w:rPr>
        <w:t xml:space="preserve">AO </w:t>
      </w:r>
      <w:r w:rsidR="003115E3">
        <w:rPr>
          <w:color w:val="231F20"/>
          <w:w w:val="105"/>
        </w:rPr>
        <w:t xml:space="preserve">in </w:t>
      </w:r>
      <w:r w:rsidR="003115E3">
        <w:rPr>
          <w:color w:val="231F20"/>
          <w:spacing w:val="-4"/>
          <w:w w:val="105"/>
        </w:rPr>
        <w:t xml:space="preserve">1970. </w:t>
      </w:r>
      <w:r w:rsidR="003115E3">
        <w:rPr>
          <w:color w:val="231F20"/>
          <w:w w:val="105"/>
        </w:rPr>
        <w:t xml:space="preserve">He would explain that  this was intended as an attempt to “close ranks and organize a criticism of the </w:t>
      </w:r>
      <w:r w:rsidR="00C507A5">
        <w:rPr>
          <w:color w:val="231F20"/>
          <w:spacing w:val="1"/>
          <w:w w:val="105"/>
        </w:rPr>
        <w:t>red army faction</w:t>
      </w:r>
      <w:r w:rsidR="003115E3">
        <w:rPr>
          <w:color w:val="231F20"/>
          <w:spacing w:val="1"/>
          <w:w w:val="105"/>
        </w:rPr>
        <w:t xml:space="preserve">’s </w:t>
      </w:r>
      <w:r w:rsidR="003115E3">
        <w:rPr>
          <w:color w:val="231F20"/>
          <w:w w:val="105"/>
        </w:rPr>
        <w:t xml:space="preserve">sectarian line in the spirit of </w:t>
      </w:r>
      <w:r w:rsidR="003115E3">
        <w:rPr>
          <w:color w:val="231F20"/>
          <w:spacing w:val="-3"/>
          <w:w w:val="105"/>
        </w:rPr>
        <w:t>solidarity.”</w:t>
      </w:r>
      <w:r w:rsidR="003115E3">
        <w:rPr>
          <w:color w:val="231F20"/>
          <w:spacing w:val="-3"/>
          <w:w w:val="105"/>
          <w:position w:val="7"/>
          <w:sz w:val="11"/>
        </w:rPr>
        <w:t xml:space="preserve">5 </w:t>
      </w:r>
      <w:r w:rsidR="003115E3">
        <w:rPr>
          <w:color w:val="231F20"/>
          <w:w w:val="105"/>
        </w:rPr>
        <w:t>Mahler’s move</w:t>
      </w:r>
      <w:r w:rsidR="003115E3">
        <w:rPr>
          <w:color w:val="231F20"/>
          <w:spacing w:val="-11"/>
          <w:w w:val="105"/>
        </w:rPr>
        <w:t xml:space="preserve"> </w:t>
      </w:r>
      <w:r w:rsidR="003115E3">
        <w:rPr>
          <w:color w:val="231F20"/>
          <w:w w:val="105"/>
        </w:rPr>
        <w:t>into</w:t>
      </w:r>
      <w:r w:rsidR="003115E3">
        <w:rPr>
          <w:color w:val="231F20"/>
          <w:spacing w:val="-11"/>
          <w:w w:val="105"/>
        </w:rPr>
        <w:t xml:space="preserve"> </w:t>
      </w:r>
      <w:r w:rsidR="003115E3">
        <w:rPr>
          <w:color w:val="231F20"/>
          <w:w w:val="105"/>
        </w:rPr>
        <w:t>orthodox</w:t>
      </w:r>
      <w:r w:rsidR="003115E3">
        <w:rPr>
          <w:color w:val="231F20"/>
          <w:spacing w:val="-11"/>
          <w:w w:val="105"/>
        </w:rPr>
        <w:t xml:space="preserve"> </w:t>
      </w:r>
      <w:r w:rsidR="003115E3">
        <w:rPr>
          <w:color w:val="231F20"/>
          <w:w w:val="105"/>
        </w:rPr>
        <w:t>Maoism</w:t>
      </w:r>
      <w:r w:rsidR="003115E3">
        <w:rPr>
          <w:color w:val="231F20"/>
          <w:spacing w:val="-11"/>
          <w:w w:val="105"/>
        </w:rPr>
        <w:t xml:space="preserve"> </w:t>
      </w:r>
      <w:r w:rsidR="003115E3">
        <w:rPr>
          <w:color w:val="231F20"/>
          <w:w w:val="105"/>
        </w:rPr>
        <w:t>would</w:t>
      </w:r>
    </w:p>
    <w:p w14:paraId="68F87A4A" w14:textId="77777777" w:rsidR="002653E8" w:rsidRDefault="002653E8">
      <w:pPr>
        <w:spacing w:line="264" w:lineRule="auto"/>
        <w:jc w:val="both"/>
        <w:sectPr w:rsidR="002653E8">
          <w:pgSz w:w="8640" w:h="12960"/>
          <w:pgMar w:top="1060" w:right="0" w:bottom="1460" w:left="0" w:header="0" w:footer="1270" w:gutter="0"/>
          <w:cols w:num="2" w:space="720" w:equalWidth="0">
            <w:col w:w="4076" w:space="40"/>
            <w:col w:w="4524"/>
          </w:cols>
        </w:sectPr>
      </w:pPr>
    </w:p>
    <w:p w14:paraId="1F78523C" w14:textId="77777777" w:rsidR="002653E8" w:rsidRDefault="003115E3">
      <w:pPr>
        <w:pStyle w:val="a3"/>
        <w:spacing w:line="216" w:lineRule="exact"/>
        <w:ind w:left="1327"/>
      </w:pPr>
      <w:r>
        <w:rPr>
          <w:color w:val="231F20"/>
          <w:w w:val="105"/>
        </w:rPr>
        <w:t>win him some support: that October, Red Aid e.v. organized a dem-</w:t>
      </w:r>
    </w:p>
    <w:p w14:paraId="65F78A1B" w14:textId="77777777" w:rsidR="002653E8" w:rsidRDefault="003115E3">
      <w:pPr>
        <w:pStyle w:val="a3"/>
        <w:spacing w:before="22" w:line="264" w:lineRule="auto"/>
        <w:ind w:left="1327" w:right="1141"/>
        <w:jc w:val="both"/>
        <w:rPr>
          <w:sz w:val="11"/>
        </w:rPr>
      </w:pPr>
      <w:r>
        <w:rPr>
          <w:color w:val="231F20"/>
          <w:w w:val="105"/>
        </w:rPr>
        <w:t xml:space="preserve">onstration, during which, according to the </w:t>
      </w:r>
      <w:r>
        <w:rPr>
          <w:i/>
          <w:color w:val="231F20"/>
          <w:w w:val="105"/>
        </w:rPr>
        <w:t>Verfassungsschutz</w:t>
      </w:r>
      <w:r>
        <w:rPr>
          <w:color w:val="231F20"/>
          <w:w w:val="105"/>
        </w:rPr>
        <w:t>, 5,000 people</w:t>
      </w:r>
      <w:r>
        <w:rPr>
          <w:color w:val="231F20"/>
          <w:spacing w:val="-15"/>
          <w:w w:val="105"/>
        </w:rPr>
        <w:t xml:space="preserve"> </w:t>
      </w:r>
      <w:r>
        <w:rPr>
          <w:color w:val="231F20"/>
          <w:w w:val="105"/>
        </w:rPr>
        <w:t>rallied</w:t>
      </w:r>
      <w:r>
        <w:rPr>
          <w:color w:val="231F20"/>
          <w:spacing w:val="-15"/>
          <w:w w:val="105"/>
        </w:rPr>
        <w:t xml:space="preserve"> </w:t>
      </w:r>
      <w:r>
        <w:rPr>
          <w:color w:val="231F20"/>
          <w:w w:val="105"/>
        </w:rPr>
        <w:t>to</w:t>
      </w:r>
      <w:r>
        <w:rPr>
          <w:color w:val="231F20"/>
          <w:spacing w:val="-15"/>
          <w:w w:val="105"/>
        </w:rPr>
        <w:t xml:space="preserve"> </w:t>
      </w:r>
      <w:r>
        <w:rPr>
          <w:color w:val="231F20"/>
          <w:w w:val="105"/>
        </w:rPr>
        <w:t>demand</w:t>
      </w:r>
      <w:r>
        <w:rPr>
          <w:color w:val="231F20"/>
          <w:spacing w:val="-15"/>
          <w:w w:val="105"/>
        </w:rPr>
        <w:t xml:space="preserve"> </w:t>
      </w:r>
      <w:r>
        <w:rPr>
          <w:color w:val="231F20"/>
          <w:w w:val="105"/>
        </w:rPr>
        <w:t>his</w:t>
      </w:r>
      <w:r>
        <w:rPr>
          <w:color w:val="231F20"/>
          <w:spacing w:val="-15"/>
          <w:w w:val="105"/>
        </w:rPr>
        <w:t xml:space="preserve"> </w:t>
      </w:r>
      <w:r>
        <w:rPr>
          <w:color w:val="231F20"/>
          <w:w w:val="105"/>
        </w:rPr>
        <w:t>freedom.</w:t>
      </w:r>
      <w:r>
        <w:rPr>
          <w:color w:val="231F20"/>
          <w:w w:val="105"/>
          <w:position w:val="7"/>
          <w:sz w:val="11"/>
        </w:rPr>
        <w:t>6</w:t>
      </w:r>
      <w:r>
        <w:rPr>
          <w:color w:val="231F20"/>
          <w:spacing w:val="-8"/>
          <w:w w:val="105"/>
          <w:position w:val="7"/>
          <w:sz w:val="11"/>
        </w:rPr>
        <w:t xml:space="preserve"> </w:t>
      </w:r>
      <w:r>
        <w:rPr>
          <w:color w:val="231F20"/>
          <w:w w:val="105"/>
        </w:rPr>
        <w:t>Nevertheless,</w:t>
      </w:r>
      <w:r>
        <w:rPr>
          <w:color w:val="231F20"/>
          <w:spacing w:val="-15"/>
          <w:w w:val="105"/>
        </w:rPr>
        <w:t xml:space="preserve"> </w:t>
      </w:r>
      <w:r>
        <w:rPr>
          <w:color w:val="231F20"/>
          <w:w w:val="105"/>
        </w:rPr>
        <w:t>it</w:t>
      </w:r>
      <w:r>
        <w:rPr>
          <w:color w:val="231F20"/>
          <w:spacing w:val="-15"/>
          <w:w w:val="105"/>
        </w:rPr>
        <w:t xml:space="preserve"> </w:t>
      </w:r>
      <w:r>
        <w:rPr>
          <w:color w:val="231F20"/>
          <w:w w:val="105"/>
        </w:rPr>
        <w:t>failed</w:t>
      </w:r>
      <w:r>
        <w:rPr>
          <w:color w:val="231F20"/>
          <w:spacing w:val="-15"/>
          <w:w w:val="105"/>
        </w:rPr>
        <w:t xml:space="preserve"> </w:t>
      </w:r>
      <w:r>
        <w:rPr>
          <w:color w:val="231F20"/>
          <w:w w:val="105"/>
        </w:rPr>
        <w:t>to</w:t>
      </w:r>
      <w:r>
        <w:rPr>
          <w:color w:val="231F20"/>
          <w:spacing w:val="-15"/>
          <w:w w:val="105"/>
        </w:rPr>
        <w:t xml:space="preserve"> </w:t>
      </w:r>
      <w:r>
        <w:rPr>
          <w:color w:val="231F20"/>
          <w:w w:val="105"/>
        </w:rPr>
        <w:t>do</w:t>
      </w:r>
      <w:r>
        <w:rPr>
          <w:color w:val="231F20"/>
          <w:spacing w:val="-15"/>
          <w:w w:val="105"/>
        </w:rPr>
        <w:t xml:space="preserve"> </w:t>
      </w:r>
      <w:r>
        <w:rPr>
          <w:color w:val="231F20"/>
          <w:w w:val="105"/>
        </w:rPr>
        <w:t xml:space="preserve">any good in court, where Mahler was now facing his third </w:t>
      </w:r>
      <w:r w:rsidR="00C507A5">
        <w:rPr>
          <w:color w:val="231F20"/>
          <w:w w:val="105"/>
        </w:rPr>
        <w:t>red army faction</w:t>
      </w:r>
      <w:r>
        <w:rPr>
          <w:color w:val="231F20"/>
          <w:w w:val="105"/>
        </w:rPr>
        <w:t>-related trial,</w:t>
      </w:r>
      <w:r>
        <w:rPr>
          <w:color w:val="231F20"/>
          <w:spacing w:val="-5"/>
          <w:w w:val="105"/>
        </w:rPr>
        <w:t xml:space="preserve"> </w:t>
      </w:r>
      <w:r>
        <w:rPr>
          <w:color w:val="231F20"/>
          <w:w w:val="105"/>
        </w:rPr>
        <w:t>the</w:t>
      </w:r>
      <w:r>
        <w:rPr>
          <w:color w:val="231F20"/>
          <w:spacing w:val="-5"/>
          <w:w w:val="105"/>
        </w:rPr>
        <w:t xml:space="preserve"> </w:t>
      </w:r>
      <w:r>
        <w:rPr>
          <w:color w:val="231F20"/>
          <w:w w:val="105"/>
        </w:rPr>
        <w:t>second</w:t>
      </w:r>
      <w:r>
        <w:rPr>
          <w:color w:val="231F20"/>
          <w:spacing w:val="-5"/>
          <w:w w:val="105"/>
        </w:rPr>
        <w:t xml:space="preserve"> </w:t>
      </w:r>
      <w:r>
        <w:rPr>
          <w:color w:val="231F20"/>
          <w:w w:val="105"/>
        </w:rPr>
        <w:t>time</w:t>
      </w:r>
      <w:r>
        <w:rPr>
          <w:color w:val="231F20"/>
          <w:spacing w:val="-5"/>
          <w:w w:val="105"/>
        </w:rPr>
        <w:t xml:space="preserve"> </w:t>
      </w:r>
      <w:r>
        <w:rPr>
          <w:color w:val="231F20"/>
          <w:w w:val="105"/>
        </w:rPr>
        <w:t>he</w:t>
      </w:r>
      <w:r>
        <w:rPr>
          <w:color w:val="231F20"/>
          <w:spacing w:val="-5"/>
          <w:w w:val="105"/>
        </w:rPr>
        <w:t xml:space="preserve"> </w:t>
      </w:r>
      <w:r>
        <w:rPr>
          <w:color w:val="231F20"/>
          <w:w w:val="105"/>
        </w:rPr>
        <w:t>would</w:t>
      </w:r>
      <w:r>
        <w:rPr>
          <w:color w:val="231F20"/>
          <w:spacing w:val="-5"/>
          <w:w w:val="105"/>
        </w:rPr>
        <w:t xml:space="preserve"> </w:t>
      </w:r>
      <w:r>
        <w:rPr>
          <w:color w:val="231F20"/>
          <w:w w:val="105"/>
        </w:rPr>
        <w:t>face</w:t>
      </w:r>
      <w:r>
        <w:rPr>
          <w:color w:val="231F20"/>
          <w:spacing w:val="-5"/>
          <w:w w:val="105"/>
        </w:rPr>
        <w:t xml:space="preserve"> </w:t>
      </w:r>
      <w:r>
        <w:rPr>
          <w:color w:val="231F20"/>
          <w:w w:val="105"/>
        </w:rPr>
        <w:t>charges</w:t>
      </w:r>
      <w:r>
        <w:rPr>
          <w:color w:val="231F20"/>
          <w:spacing w:val="-5"/>
          <w:w w:val="105"/>
        </w:rPr>
        <w:t xml:space="preserve"> </w:t>
      </w:r>
      <w:r>
        <w:rPr>
          <w:color w:val="231F20"/>
          <w:w w:val="105"/>
        </w:rPr>
        <w:t>relating</w:t>
      </w:r>
      <w:r>
        <w:rPr>
          <w:color w:val="231F20"/>
          <w:spacing w:val="-5"/>
          <w:w w:val="105"/>
        </w:rPr>
        <w:t xml:space="preserve"> </w:t>
      </w:r>
      <w:r>
        <w:rPr>
          <w:color w:val="231F20"/>
          <w:w w:val="105"/>
        </w:rPr>
        <w:t>to</w:t>
      </w:r>
      <w:r>
        <w:rPr>
          <w:color w:val="231F20"/>
          <w:spacing w:val="-5"/>
          <w:w w:val="105"/>
        </w:rPr>
        <w:t xml:space="preserve"> </w:t>
      </w:r>
      <w:r>
        <w:rPr>
          <w:color w:val="231F20"/>
          <w:w w:val="105"/>
        </w:rPr>
        <w:t>Baader’s</w:t>
      </w:r>
      <w:r>
        <w:rPr>
          <w:color w:val="231F20"/>
          <w:spacing w:val="-4"/>
          <w:w w:val="105"/>
        </w:rPr>
        <w:t xml:space="preserve"> 1970 </w:t>
      </w:r>
      <w:r>
        <w:rPr>
          <w:color w:val="231F20"/>
          <w:w w:val="105"/>
        </w:rPr>
        <w:t>jailbreak. Despite his break with the guerilla, he would eventually be sentenced</w:t>
      </w:r>
      <w:r>
        <w:rPr>
          <w:color w:val="231F20"/>
          <w:spacing w:val="-7"/>
          <w:w w:val="105"/>
        </w:rPr>
        <w:t xml:space="preserve"> </w:t>
      </w:r>
      <w:r>
        <w:rPr>
          <w:color w:val="231F20"/>
          <w:w w:val="105"/>
        </w:rPr>
        <w:t>to</w:t>
      </w:r>
      <w:r>
        <w:rPr>
          <w:color w:val="231F20"/>
          <w:spacing w:val="-7"/>
          <w:w w:val="105"/>
        </w:rPr>
        <w:t xml:space="preserve"> </w:t>
      </w:r>
      <w:r>
        <w:rPr>
          <w:color w:val="231F20"/>
          <w:w w:val="105"/>
        </w:rPr>
        <w:t>fourteen</w:t>
      </w:r>
      <w:r>
        <w:rPr>
          <w:color w:val="231F20"/>
          <w:spacing w:val="-7"/>
          <w:w w:val="105"/>
        </w:rPr>
        <w:t xml:space="preserve"> </w:t>
      </w:r>
      <w:r>
        <w:rPr>
          <w:color w:val="231F20"/>
          <w:w w:val="105"/>
        </w:rPr>
        <w:t>years</w:t>
      </w:r>
      <w:r>
        <w:rPr>
          <w:color w:val="231F20"/>
          <w:spacing w:val="-7"/>
          <w:w w:val="105"/>
        </w:rPr>
        <w:t xml:space="preserve"> </w:t>
      </w:r>
      <w:r>
        <w:rPr>
          <w:color w:val="231F20"/>
          <w:w w:val="105"/>
        </w:rPr>
        <w:t>in</w:t>
      </w:r>
      <w:r>
        <w:rPr>
          <w:color w:val="231F20"/>
          <w:spacing w:val="-7"/>
          <w:w w:val="105"/>
        </w:rPr>
        <w:t xml:space="preserve"> </w:t>
      </w:r>
      <w:r>
        <w:rPr>
          <w:color w:val="231F20"/>
          <w:w w:val="105"/>
        </w:rPr>
        <w:t>prison;</w:t>
      </w:r>
      <w:r>
        <w:rPr>
          <w:color w:val="231F20"/>
          <w:spacing w:val="-7"/>
          <w:w w:val="105"/>
        </w:rPr>
        <w:t xml:space="preserve"> </w:t>
      </w:r>
      <w:r>
        <w:rPr>
          <w:color w:val="231F20"/>
          <w:w w:val="105"/>
        </w:rPr>
        <w:t>Ulrike</w:t>
      </w:r>
      <w:r>
        <w:rPr>
          <w:color w:val="231F20"/>
          <w:spacing w:val="-7"/>
          <w:w w:val="105"/>
        </w:rPr>
        <w:t xml:space="preserve"> </w:t>
      </w:r>
      <w:r>
        <w:rPr>
          <w:color w:val="231F20"/>
          <w:w w:val="105"/>
        </w:rPr>
        <w:t>Meinhof,</w:t>
      </w:r>
      <w:r>
        <w:rPr>
          <w:color w:val="231F20"/>
          <w:spacing w:val="-7"/>
          <w:w w:val="105"/>
        </w:rPr>
        <w:t xml:space="preserve"> </w:t>
      </w:r>
      <w:r>
        <w:rPr>
          <w:color w:val="231F20"/>
          <w:w w:val="105"/>
        </w:rPr>
        <w:t>who</w:t>
      </w:r>
      <w:r>
        <w:rPr>
          <w:color w:val="231F20"/>
          <w:spacing w:val="-7"/>
          <w:w w:val="105"/>
        </w:rPr>
        <w:t xml:space="preserve"> </w:t>
      </w:r>
      <w:r>
        <w:rPr>
          <w:color w:val="231F20"/>
          <w:w w:val="105"/>
        </w:rPr>
        <w:t>also</w:t>
      </w:r>
      <w:r>
        <w:rPr>
          <w:color w:val="231F20"/>
          <w:spacing w:val="-7"/>
          <w:w w:val="105"/>
        </w:rPr>
        <w:t xml:space="preserve"> </w:t>
      </w:r>
      <w:r>
        <w:rPr>
          <w:color w:val="231F20"/>
          <w:w w:val="105"/>
        </w:rPr>
        <w:t>stood accused in these proceedings, would receive an eight-year sentence, while Hans-Jürgen Bäcker, who had testified against the guerilla, would be</w:t>
      </w:r>
      <w:r>
        <w:rPr>
          <w:color w:val="231F20"/>
          <w:spacing w:val="15"/>
          <w:w w:val="105"/>
        </w:rPr>
        <w:t xml:space="preserve"> </w:t>
      </w:r>
      <w:r>
        <w:rPr>
          <w:color w:val="231F20"/>
          <w:w w:val="105"/>
        </w:rPr>
        <w:t>acquitted.</w:t>
      </w:r>
      <w:r>
        <w:rPr>
          <w:color w:val="231F20"/>
          <w:w w:val="105"/>
          <w:position w:val="7"/>
          <w:sz w:val="11"/>
        </w:rPr>
        <w:t>7</w:t>
      </w:r>
    </w:p>
    <w:p w14:paraId="647A247E" w14:textId="77777777" w:rsidR="002653E8" w:rsidRDefault="003115E3">
      <w:pPr>
        <w:pStyle w:val="a3"/>
        <w:spacing w:line="264" w:lineRule="auto"/>
        <w:ind w:left="1327" w:right="1146" w:firstLine="210"/>
        <w:jc w:val="both"/>
      </w:pPr>
      <w:r>
        <w:rPr>
          <w:color w:val="231F20"/>
        </w:rPr>
        <w:t xml:space="preserve">The other prisoners considered Mahler’s  public  split  to  be  seri ous enough to warrant a public </w:t>
      </w:r>
      <w:r>
        <w:rPr>
          <w:color w:val="231F20"/>
          <w:spacing w:val="-3"/>
        </w:rPr>
        <w:t xml:space="preserve">reply, </w:t>
      </w:r>
      <w:r>
        <w:rPr>
          <w:color w:val="231F20"/>
        </w:rPr>
        <w:t xml:space="preserve">and on September </w:t>
      </w:r>
      <w:r>
        <w:rPr>
          <w:color w:val="231F20"/>
          <w:spacing w:val="-4"/>
        </w:rPr>
        <w:t xml:space="preserve">27 </w:t>
      </w:r>
      <w:r>
        <w:rPr>
          <w:color w:val="231F20"/>
        </w:rPr>
        <w:t>Monika Berberich</w:t>
      </w:r>
      <w:r>
        <w:rPr>
          <w:color w:val="231F20"/>
          <w:spacing w:val="10"/>
        </w:rPr>
        <w:t xml:space="preserve"> </w:t>
      </w:r>
      <w:r>
        <w:rPr>
          <w:color w:val="231F20"/>
        </w:rPr>
        <w:t>delivered</w:t>
      </w:r>
      <w:r>
        <w:rPr>
          <w:color w:val="231F20"/>
          <w:spacing w:val="10"/>
        </w:rPr>
        <w:t xml:space="preserve"> </w:t>
      </w:r>
      <w:r>
        <w:rPr>
          <w:color w:val="231F20"/>
        </w:rPr>
        <w:t>a</w:t>
      </w:r>
      <w:r>
        <w:rPr>
          <w:color w:val="231F20"/>
          <w:spacing w:val="10"/>
        </w:rPr>
        <w:t xml:space="preserve"> </w:t>
      </w:r>
      <w:r>
        <w:rPr>
          <w:color w:val="231F20"/>
        </w:rPr>
        <w:t>statement</w:t>
      </w:r>
      <w:r>
        <w:rPr>
          <w:color w:val="231F20"/>
          <w:spacing w:val="10"/>
        </w:rPr>
        <w:t xml:space="preserve"> </w:t>
      </w:r>
      <w:r>
        <w:rPr>
          <w:color w:val="231F20"/>
        </w:rPr>
        <w:t>at</w:t>
      </w:r>
      <w:r>
        <w:rPr>
          <w:color w:val="231F20"/>
          <w:spacing w:val="10"/>
        </w:rPr>
        <w:t xml:space="preserve"> </w:t>
      </w:r>
      <w:r>
        <w:rPr>
          <w:color w:val="231F20"/>
        </w:rPr>
        <w:t>the</w:t>
      </w:r>
      <w:r>
        <w:rPr>
          <w:color w:val="231F20"/>
          <w:spacing w:val="10"/>
        </w:rPr>
        <w:t xml:space="preserve"> </w:t>
      </w:r>
      <w:r>
        <w:rPr>
          <w:color w:val="231F20"/>
        </w:rPr>
        <w:t>Mahler-Meinhof-Bäcker</w:t>
      </w:r>
      <w:r>
        <w:rPr>
          <w:color w:val="231F20"/>
          <w:spacing w:val="10"/>
        </w:rPr>
        <w:t xml:space="preserve"> </w:t>
      </w:r>
      <w:r>
        <w:rPr>
          <w:color w:val="231F20"/>
        </w:rPr>
        <w:t>trial</w:t>
      </w:r>
    </w:p>
    <w:p w14:paraId="3CD6EB30" w14:textId="77777777" w:rsidR="002653E8" w:rsidRDefault="002653E8">
      <w:pPr>
        <w:pStyle w:val="a3"/>
        <w:spacing w:before="10"/>
        <w:rPr>
          <w:sz w:val="23"/>
        </w:rPr>
      </w:pPr>
    </w:p>
    <w:p w14:paraId="1C095C1E" w14:textId="77777777" w:rsidR="002653E8" w:rsidRDefault="003115E3">
      <w:pPr>
        <w:pStyle w:val="a4"/>
        <w:numPr>
          <w:ilvl w:val="0"/>
          <w:numId w:val="116"/>
        </w:numPr>
        <w:tabs>
          <w:tab w:val="left" w:pos="1467"/>
        </w:tabs>
        <w:spacing w:before="105" w:line="254" w:lineRule="auto"/>
        <w:ind w:left="1327" w:right="1415" w:firstLine="0"/>
        <w:jc w:val="left"/>
        <w:rPr>
          <w:sz w:val="16"/>
        </w:rPr>
      </w:pPr>
      <w:r>
        <w:rPr>
          <w:color w:val="231F20"/>
          <w:w w:val="110"/>
          <w:sz w:val="16"/>
        </w:rPr>
        <w:t xml:space="preserve">Otto Billig, “The Lawyer Terrorist and his Comrades,” </w:t>
      </w:r>
      <w:r>
        <w:rPr>
          <w:i/>
          <w:color w:val="231F20"/>
          <w:w w:val="110"/>
          <w:sz w:val="16"/>
        </w:rPr>
        <w:t xml:space="preserve">Political Psychology </w:t>
      </w:r>
      <w:r>
        <w:rPr>
          <w:color w:val="231F20"/>
          <w:w w:val="110"/>
          <w:sz w:val="16"/>
        </w:rPr>
        <w:t xml:space="preserve">6, no. 1 (March </w:t>
      </w:r>
      <w:r>
        <w:rPr>
          <w:color w:val="231F20"/>
          <w:spacing w:val="-5"/>
          <w:w w:val="110"/>
          <w:sz w:val="16"/>
        </w:rPr>
        <w:t>1985):</w:t>
      </w:r>
      <w:r>
        <w:rPr>
          <w:color w:val="231F20"/>
          <w:spacing w:val="23"/>
          <w:w w:val="110"/>
          <w:sz w:val="16"/>
        </w:rPr>
        <w:t xml:space="preserve"> </w:t>
      </w:r>
      <w:r>
        <w:rPr>
          <w:color w:val="231F20"/>
          <w:spacing w:val="-7"/>
          <w:w w:val="110"/>
          <w:sz w:val="16"/>
        </w:rPr>
        <w:t>35.</w:t>
      </w:r>
    </w:p>
    <w:p w14:paraId="2E1FAFE9" w14:textId="77777777" w:rsidR="002653E8" w:rsidRPr="00C507A5" w:rsidRDefault="003115E3">
      <w:pPr>
        <w:pStyle w:val="a4"/>
        <w:numPr>
          <w:ilvl w:val="0"/>
          <w:numId w:val="116"/>
        </w:numPr>
        <w:tabs>
          <w:tab w:val="left" w:pos="1467"/>
        </w:tabs>
        <w:ind w:left="1466" w:hanging="138"/>
        <w:jc w:val="left"/>
        <w:rPr>
          <w:sz w:val="16"/>
          <w:lang w:val="de-DE"/>
        </w:rPr>
      </w:pPr>
      <w:r w:rsidRPr="00C507A5">
        <w:rPr>
          <w:color w:val="231F20"/>
          <w:sz w:val="16"/>
          <w:lang w:val="de-DE"/>
        </w:rPr>
        <w:t>Rote</w:t>
      </w:r>
      <w:r w:rsidRPr="00C507A5">
        <w:rPr>
          <w:color w:val="231F20"/>
          <w:spacing w:val="18"/>
          <w:sz w:val="16"/>
          <w:lang w:val="de-DE"/>
        </w:rPr>
        <w:t xml:space="preserve"> </w:t>
      </w:r>
      <w:r w:rsidRPr="00C507A5">
        <w:rPr>
          <w:color w:val="231F20"/>
          <w:sz w:val="16"/>
          <w:lang w:val="de-DE"/>
        </w:rPr>
        <w:t>Hilfe</w:t>
      </w:r>
      <w:r w:rsidRPr="00C507A5">
        <w:rPr>
          <w:color w:val="231F20"/>
          <w:spacing w:val="18"/>
          <w:sz w:val="16"/>
          <w:lang w:val="de-DE"/>
        </w:rPr>
        <w:t xml:space="preserve"> </w:t>
      </w:r>
      <w:r w:rsidRPr="00C507A5">
        <w:rPr>
          <w:color w:val="231F20"/>
          <w:spacing w:val="-5"/>
          <w:sz w:val="16"/>
          <w:lang w:val="de-DE"/>
        </w:rPr>
        <w:t>e.v.</w:t>
      </w:r>
      <w:r w:rsidRPr="00C507A5">
        <w:rPr>
          <w:color w:val="231F20"/>
          <w:spacing w:val="18"/>
          <w:sz w:val="16"/>
          <w:lang w:val="de-DE"/>
        </w:rPr>
        <w:t xml:space="preserve"> </w:t>
      </w:r>
      <w:r w:rsidRPr="00C507A5">
        <w:rPr>
          <w:color w:val="231F20"/>
          <w:sz w:val="16"/>
          <w:lang w:val="de-DE"/>
        </w:rPr>
        <w:t>“Zwischen</w:t>
      </w:r>
      <w:r w:rsidRPr="00C507A5">
        <w:rPr>
          <w:color w:val="231F20"/>
          <w:spacing w:val="20"/>
          <w:sz w:val="16"/>
          <w:lang w:val="de-DE"/>
        </w:rPr>
        <w:t xml:space="preserve"> </w:t>
      </w:r>
      <w:r w:rsidR="00C507A5" w:rsidRPr="00C507A5">
        <w:rPr>
          <w:color w:val="231F20"/>
          <w:spacing w:val="1"/>
          <w:sz w:val="16"/>
          <w:lang w:val="de-DE"/>
        </w:rPr>
        <w:t>red army faction</w:t>
      </w:r>
      <w:r w:rsidRPr="00C507A5">
        <w:rPr>
          <w:color w:val="231F20"/>
          <w:spacing w:val="1"/>
          <w:sz w:val="16"/>
          <w:lang w:val="de-DE"/>
        </w:rPr>
        <w:t>-Solidarität</w:t>
      </w:r>
      <w:r w:rsidRPr="00C507A5">
        <w:rPr>
          <w:color w:val="231F20"/>
          <w:spacing w:val="18"/>
          <w:sz w:val="16"/>
          <w:lang w:val="de-DE"/>
        </w:rPr>
        <w:t xml:space="preserve"> </w:t>
      </w:r>
      <w:r w:rsidRPr="00C507A5">
        <w:rPr>
          <w:color w:val="231F20"/>
          <w:sz w:val="16"/>
          <w:lang w:val="de-DE"/>
        </w:rPr>
        <w:t>und</w:t>
      </w:r>
      <w:r w:rsidRPr="00C507A5">
        <w:rPr>
          <w:color w:val="231F20"/>
          <w:spacing w:val="18"/>
          <w:sz w:val="16"/>
          <w:lang w:val="de-DE"/>
        </w:rPr>
        <w:t xml:space="preserve"> </w:t>
      </w:r>
      <w:r w:rsidRPr="00C507A5">
        <w:rPr>
          <w:color w:val="231F20"/>
          <w:sz w:val="16"/>
          <w:lang w:val="de-DE"/>
        </w:rPr>
        <w:t>„linker</w:t>
      </w:r>
      <w:r w:rsidRPr="00C507A5">
        <w:rPr>
          <w:color w:val="231F20"/>
          <w:spacing w:val="18"/>
          <w:sz w:val="16"/>
          <w:lang w:val="de-DE"/>
        </w:rPr>
        <w:t xml:space="preserve"> </w:t>
      </w:r>
      <w:r w:rsidRPr="00C507A5">
        <w:rPr>
          <w:color w:val="231F20"/>
          <w:sz w:val="16"/>
          <w:lang w:val="de-DE"/>
        </w:rPr>
        <w:t>Caritas“</w:t>
      </w:r>
      <w:r w:rsidRPr="00C507A5">
        <w:rPr>
          <w:color w:val="231F20"/>
          <w:spacing w:val="18"/>
          <w:sz w:val="16"/>
          <w:lang w:val="de-DE"/>
        </w:rPr>
        <w:t xml:space="preserve"> </w:t>
      </w:r>
      <w:r w:rsidRPr="00C507A5">
        <w:rPr>
          <w:color w:val="231F20"/>
          <w:sz w:val="16"/>
          <w:lang w:val="de-DE"/>
        </w:rPr>
        <w:t>Teil</w:t>
      </w:r>
      <w:r w:rsidRPr="00C507A5">
        <w:rPr>
          <w:color w:val="231F20"/>
          <w:spacing w:val="20"/>
          <w:sz w:val="16"/>
          <w:lang w:val="de-DE"/>
        </w:rPr>
        <w:t xml:space="preserve"> </w:t>
      </w:r>
      <w:r w:rsidRPr="00C507A5">
        <w:rPr>
          <w:color w:val="231F20"/>
          <w:sz w:val="16"/>
          <w:lang w:val="de-DE"/>
        </w:rPr>
        <w:t>1</w:t>
      </w:r>
      <w:r w:rsidRPr="00C507A5">
        <w:rPr>
          <w:color w:val="231F20"/>
          <w:spacing w:val="18"/>
          <w:sz w:val="16"/>
          <w:lang w:val="de-DE"/>
        </w:rPr>
        <w:t xml:space="preserve"> </w:t>
      </w:r>
      <w:r w:rsidRPr="00C507A5">
        <w:rPr>
          <w:color w:val="231F20"/>
          <w:sz w:val="16"/>
          <w:lang w:val="de-DE"/>
        </w:rPr>
        <w:t>/</w:t>
      </w:r>
      <w:r w:rsidRPr="00C507A5">
        <w:rPr>
          <w:color w:val="231F20"/>
          <w:spacing w:val="18"/>
          <w:sz w:val="16"/>
          <w:lang w:val="de-DE"/>
        </w:rPr>
        <w:t xml:space="preserve"> </w:t>
      </w:r>
      <w:r w:rsidRPr="00C507A5">
        <w:rPr>
          <w:color w:val="231F20"/>
          <w:sz w:val="16"/>
          <w:lang w:val="de-DE"/>
        </w:rPr>
        <w:t>1</w:t>
      </w:r>
      <w:r w:rsidRPr="00C507A5">
        <w:rPr>
          <w:color w:val="231F20"/>
          <w:spacing w:val="18"/>
          <w:sz w:val="16"/>
          <w:lang w:val="de-DE"/>
        </w:rPr>
        <w:t xml:space="preserve"> </w:t>
      </w:r>
      <w:r w:rsidRPr="00C507A5">
        <w:rPr>
          <w:color w:val="231F20"/>
          <w:sz w:val="16"/>
          <w:lang w:val="de-DE"/>
        </w:rPr>
        <w:t>/</w:t>
      </w:r>
      <w:r w:rsidRPr="00C507A5">
        <w:rPr>
          <w:color w:val="231F20"/>
          <w:spacing w:val="18"/>
          <w:sz w:val="16"/>
          <w:lang w:val="de-DE"/>
        </w:rPr>
        <w:t xml:space="preserve"> </w:t>
      </w:r>
      <w:r w:rsidRPr="00C507A5">
        <w:rPr>
          <w:color w:val="231F20"/>
          <w:spacing w:val="2"/>
          <w:sz w:val="16"/>
          <w:lang w:val="de-DE"/>
        </w:rPr>
        <w:t>2007</w:t>
      </w:r>
    </w:p>
    <w:p w14:paraId="10AC3C4A" w14:textId="77777777" w:rsidR="002653E8" w:rsidRPr="00C507A5" w:rsidRDefault="003115E3">
      <w:pPr>
        <w:spacing w:before="11" w:line="254" w:lineRule="auto"/>
        <w:ind w:left="1328" w:right="1299"/>
        <w:rPr>
          <w:sz w:val="16"/>
          <w:lang w:val="de-DE"/>
        </w:rPr>
      </w:pPr>
      <w:r w:rsidRPr="00C507A5">
        <w:rPr>
          <w:color w:val="231F20"/>
          <w:sz w:val="16"/>
          <w:lang w:val="de-DE"/>
        </w:rPr>
        <w:t xml:space="preserve">/ </w:t>
      </w:r>
      <w:r w:rsidRPr="00C507A5">
        <w:rPr>
          <w:color w:val="231F20"/>
          <w:w w:val="105"/>
          <w:sz w:val="16"/>
          <w:lang w:val="de-DE"/>
        </w:rPr>
        <w:t xml:space="preserve">Die Rote Hilfe Zeitung </w:t>
      </w:r>
      <w:r w:rsidRPr="00C507A5">
        <w:rPr>
          <w:color w:val="231F20"/>
          <w:sz w:val="16"/>
          <w:lang w:val="de-DE"/>
        </w:rPr>
        <w:t xml:space="preserve">/ </w:t>
      </w:r>
      <w:r w:rsidRPr="00C507A5">
        <w:rPr>
          <w:color w:val="231F20"/>
          <w:w w:val="105"/>
          <w:sz w:val="16"/>
          <w:lang w:val="de-DE"/>
        </w:rPr>
        <w:t xml:space="preserve">Publikationen </w:t>
      </w:r>
      <w:r w:rsidRPr="00C507A5">
        <w:rPr>
          <w:color w:val="231F20"/>
          <w:sz w:val="16"/>
          <w:lang w:val="de-DE"/>
        </w:rPr>
        <w:t xml:space="preserve">/ </w:t>
      </w:r>
      <w:r w:rsidRPr="00C507A5">
        <w:rPr>
          <w:color w:val="231F20"/>
          <w:w w:val="105"/>
          <w:sz w:val="16"/>
          <w:lang w:val="de-DE"/>
        </w:rPr>
        <w:t xml:space="preserve">Rote Hilfe e.V. Rote Hilfe e.V.,” http:// </w:t>
      </w:r>
      <w:hyperlink r:id="rId220">
        <w:r w:rsidRPr="00C507A5">
          <w:rPr>
            <w:color w:val="231F20"/>
            <w:w w:val="104"/>
            <w:sz w:val="16"/>
            <w:lang w:val="de-DE"/>
          </w:rPr>
          <w:t>www</w:t>
        </w:r>
        <w:r w:rsidRPr="00C507A5">
          <w:rPr>
            <w:color w:val="231F20"/>
            <w:w w:val="140"/>
            <w:sz w:val="16"/>
            <w:lang w:val="de-DE"/>
          </w:rPr>
          <w:t>.</w:t>
        </w:r>
        <w:r w:rsidRPr="00C507A5">
          <w:rPr>
            <w:color w:val="231F20"/>
            <w:w w:val="97"/>
            <w:sz w:val="16"/>
            <w:lang w:val="de-DE"/>
          </w:rPr>
          <w:t>r</w:t>
        </w:r>
        <w:r w:rsidRPr="00C507A5">
          <w:rPr>
            <w:color w:val="231F20"/>
            <w:w w:val="108"/>
            <w:sz w:val="16"/>
            <w:lang w:val="de-DE"/>
          </w:rPr>
          <w:t>o</w:t>
        </w:r>
        <w:r w:rsidRPr="00C507A5">
          <w:rPr>
            <w:color w:val="231F20"/>
            <w:w w:val="102"/>
            <w:sz w:val="16"/>
            <w:lang w:val="de-DE"/>
          </w:rPr>
          <w:t>t</w:t>
        </w:r>
        <w:r w:rsidRPr="00C507A5">
          <w:rPr>
            <w:color w:val="231F20"/>
            <w:w w:val="94"/>
            <w:sz w:val="16"/>
            <w:lang w:val="de-DE"/>
          </w:rPr>
          <w:t>e</w:t>
        </w:r>
        <w:r w:rsidRPr="00C507A5">
          <w:rPr>
            <w:color w:val="231F20"/>
            <w:w w:val="104"/>
            <w:sz w:val="16"/>
            <w:lang w:val="de-DE"/>
          </w:rPr>
          <w:t>-h</w:t>
        </w:r>
        <w:r w:rsidRPr="00C507A5">
          <w:rPr>
            <w:color w:val="231F20"/>
            <w:w w:val="108"/>
            <w:sz w:val="16"/>
            <w:lang w:val="de-DE"/>
          </w:rPr>
          <w:t>ilf</w:t>
        </w:r>
        <w:r w:rsidRPr="00C507A5">
          <w:rPr>
            <w:color w:val="231F20"/>
            <w:w w:val="94"/>
            <w:sz w:val="16"/>
            <w:lang w:val="de-DE"/>
          </w:rPr>
          <w:t>e</w:t>
        </w:r>
        <w:r w:rsidRPr="00C507A5">
          <w:rPr>
            <w:color w:val="231F20"/>
            <w:w w:val="140"/>
            <w:sz w:val="16"/>
            <w:lang w:val="de-DE"/>
          </w:rPr>
          <w:t>.</w:t>
        </w:r>
        <w:r w:rsidRPr="00C507A5">
          <w:rPr>
            <w:color w:val="231F20"/>
            <w:w w:val="103"/>
            <w:sz w:val="16"/>
            <w:lang w:val="de-DE"/>
          </w:rPr>
          <w:t>d</w:t>
        </w:r>
        <w:r w:rsidRPr="00C507A5">
          <w:rPr>
            <w:color w:val="231F20"/>
            <w:w w:val="94"/>
            <w:sz w:val="16"/>
            <w:lang w:val="de-DE"/>
          </w:rPr>
          <w:t>e</w:t>
        </w:r>
        <w:r w:rsidRPr="00C507A5">
          <w:rPr>
            <w:color w:val="231F20"/>
            <w:w w:val="58"/>
            <w:sz w:val="16"/>
            <w:lang w:val="de-DE"/>
          </w:rPr>
          <w:t>/</w:t>
        </w:r>
        <w:r w:rsidRPr="00C507A5">
          <w:rPr>
            <w:color w:val="231F20"/>
            <w:w w:val="103"/>
            <w:sz w:val="16"/>
            <w:lang w:val="de-DE"/>
          </w:rPr>
          <w:t>p</w:t>
        </w:r>
        <w:r w:rsidRPr="00C507A5">
          <w:rPr>
            <w:color w:val="231F20"/>
            <w:w w:val="104"/>
            <w:sz w:val="16"/>
            <w:lang w:val="de-DE"/>
          </w:rPr>
          <w:t>u</w:t>
        </w:r>
        <w:r w:rsidRPr="00C507A5">
          <w:rPr>
            <w:color w:val="231F20"/>
            <w:w w:val="105"/>
            <w:sz w:val="16"/>
            <w:lang w:val="de-DE"/>
          </w:rPr>
          <w:t>bli</w:t>
        </w:r>
        <w:r w:rsidRPr="00C507A5">
          <w:rPr>
            <w:color w:val="231F20"/>
            <w:w w:val="109"/>
            <w:sz w:val="16"/>
            <w:lang w:val="de-DE"/>
          </w:rPr>
          <w:t>k</w:t>
        </w:r>
        <w:r w:rsidRPr="00C507A5">
          <w:rPr>
            <w:color w:val="231F20"/>
            <w:w w:val="106"/>
            <w:sz w:val="16"/>
            <w:lang w:val="de-DE"/>
          </w:rPr>
          <w:t>a</w:t>
        </w:r>
        <w:r w:rsidRPr="00C507A5">
          <w:rPr>
            <w:color w:val="231F20"/>
            <w:w w:val="102"/>
            <w:sz w:val="16"/>
            <w:lang w:val="de-DE"/>
          </w:rPr>
          <w:t>ti</w:t>
        </w:r>
        <w:r w:rsidRPr="00C507A5">
          <w:rPr>
            <w:color w:val="231F20"/>
            <w:w w:val="108"/>
            <w:sz w:val="16"/>
            <w:lang w:val="de-DE"/>
          </w:rPr>
          <w:t>o</w:t>
        </w:r>
        <w:r w:rsidRPr="00C507A5">
          <w:rPr>
            <w:color w:val="231F20"/>
            <w:w w:val="103"/>
            <w:sz w:val="16"/>
            <w:lang w:val="de-DE"/>
          </w:rPr>
          <w:t>n</w:t>
        </w:r>
        <w:r w:rsidRPr="00C507A5">
          <w:rPr>
            <w:color w:val="231F20"/>
            <w:w w:val="94"/>
            <w:sz w:val="16"/>
            <w:lang w:val="de-DE"/>
          </w:rPr>
          <w:t>e</w:t>
        </w:r>
        <w:r w:rsidRPr="00C507A5">
          <w:rPr>
            <w:color w:val="231F20"/>
            <w:w w:val="103"/>
            <w:sz w:val="16"/>
            <w:lang w:val="de-DE"/>
          </w:rPr>
          <w:t>n</w:t>
        </w:r>
        <w:r w:rsidRPr="00C507A5">
          <w:rPr>
            <w:color w:val="231F20"/>
            <w:w w:val="58"/>
            <w:sz w:val="16"/>
            <w:lang w:val="de-DE"/>
          </w:rPr>
          <w:t>/</w:t>
        </w:r>
        <w:r w:rsidRPr="00C507A5">
          <w:rPr>
            <w:color w:val="231F20"/>
            <w:w w:val="103"/>
            <w:sz w:val="16"/>
            <w:lang w:val="de-DE"/>
          </w:rPr>
          <w:t>di</w:t>
        </w:r>
        <w:r w:rsidRPr="00C507A5">
          <w:rPr>
            <w:color w:val="231F20"/>
            <w:w w:val="94"/>
            <w:sz w:val="16"/>
            <w:lang w:val="de-DE"/>
          </w:rPr>
          <w:t>e</w:t>
        </w:r>
        <w:r w:rsidRPr="00C507A5">
          <w:rPr>
            <w:color w:val="231F20"/>
            <w:w w:val="139"/>
            <w:sz w:val="16"/>
            <w:lang w:val="de-DE"/>
          </w:rPr>
          <w:t>_</w:t>
        </w:r>
        <w:r w:rsidRPr="00C507A5">
          <w:rPr>
            <w:color w:val="231F20"/>
            <w:w w:val="97"/>
            <w:sz w:val="16"/>
            <w:lang w:val="de-DE"/>
          </w:rPr>
          <w:t>r</w:t>
        </w:r>
        <w:r w:rsidRPr="00C507A5">
          <w:rPr>
            <w:color w:val="231F20"/>
            <w:w w:val="108"/>
            <w:sz w:val="16"/>
            <w:lang w:val="de-DE"/>
          </w:rPr>
          <w:t>o</w:t>
        </w:r>
        <w:r w:rsidRPr="00C507A5">
          <w:rPr>
            <w:color w:val="231F20"/>
            <w:w w:val="102"/>
            <w:sz w:val="16"/>
            <w:lang w:val="de-DE"/>
          </w:rPr>
          <w:t>t</w:t>
        </w:r>
        <w:r w:rsidRPr="00C507A5">
          <w:rPr>
            <w:color w:val="231F20"/>
            <w:w w:val="94"/>
            <w:sz w:val="16"/>
            <w:lang w:val="de-DE"/>
          </w:rPr>
          <w:t>e</w:t>
        </w:r>
        <w:r w:rsidRPr="00C507A5">
          <w:rPr>
            <w:color w:val="231F20"/>
            <w:w w:val="139"/>
            <w:sz w:val="16"/>
            <w:lang w:val="de-DE"/>
          </w:rPr>
          <w:t>_</w:t>
        </w:r>
        <w:r w:rsidRPr="00C507A5">
          <w:rPr>
            <w:color w:val="231F20"/>
            <w:w w:val="104"/>
            <w:sz w:val="16"/>
            <w:lang w:val="de-DE"/>
          </w:rPr>
          <w:t>h</w:t>
        </w:r>
        <w:r w:rsidRPr="00C507A5">
          <w:rPr>
            <w:color w:val="231F20"/>
            <w:w w:val="108"/>
            <w:sz w:val="16"/>
            <w:lang w:val="de-DE"/>
          </w:rPr>
          <w:t>ilf</w:t>
        </w:r>
        <w:r w:rsidRPr="00C507A5">
          <w:rPr>
            <w:color w:val="231F20"/>
            <w:w w:val="94"/>
            <w:sz w:val="16"/>
            <w:lang w:val="de-DE"/>
          </w:rPr>
          <w:t>e</w:t>
        </w:r>
        <w:r w:rsidRPr="00C507A5">
          <w:rPr>
            <w:color w:val="231F20"/>
            <w:w w:val="139"/>
            <w:sz w:val="16"/>
            <w:lang w:val="de-DE"/>
          </w:rPr>
          <w:t>_</w:t>
        </w:r>
        <w:r w:rsidRPr="00C507A5">
          <w:rPr>
            <w:color w:val="231F20"/>
            <w:w w:val="101"/>
            <w:sz w:val="16"/>
            <w:lang w:val="de-DE"/>
          </w:rPr>
          <w:t>z</w:t>
        </w:r>
        <w:r w:rsidRPr="00C507A5">
          <w:rPr>
            <w:color w:val="231F20"/>
            <w:w w:val="94"/>
            <w:sz w:val="16"/>
            <w:lang w:val="de-DE"/>
          </w:rPr>
          <w:t>e</w:t>
        </w:r>
        <w:r w:rsidRPr="00C507A5">
          <w:rPr>
            <w:color w:val="231F20"/>
            <w:w w:val="103"/>
            <w:sz w:val="16"/>
            <w:lang w:val="de-DE"/>
          </w:rPr>
          <w:t>i</w:t>
        </w:r>
        <w:r w:rsidRPr="00C507A5">
          <w:rPr>
            <w:color w:val="231F20"/>
            <w:w w:val="102"/>
            <w:sz w:val="16"/>
            <w:lang w:val="de-DE"/>
          </w:rPr>
          <w:t>t</w:t>
        </w:r>
        <w:r w:rsidRPr="00C507A5">
          <w:rPr>
            <w:color w:val="231F20"/>
            <w:w w:val="104"/>
            <w:sz w:val="16"/>
            <w:lang w:val="de-DE"/>
          </w:rPr>
          <w:t>u</w:t>
        </w:r>
        <w:r w:rsidRPr="00C507A5">
          <w:rPr>
            <w:color w:val="231F20"/>
            <w:w w:val="103"/>
            <w:sz w:val="16"/>
            <w:lang w:val="de-DE"/>
          </w:rPr>
          <w:t>n</w:t>
        </w:r>
        <w:r w:rsidRPr="00C507A5">
          <w:rPr>
            <w:color w:val="231F20"/>
            <w:w w:val="104"/>
            <w:sz w:val="16"/>
            <w:lang w:val="de-DE"/>
          </w:rPr>
          <w:t>g</w:t>
        </w:r>
        <w:r w:rsidRPr="00C507A5">
          <w:rPr>
            <w:color w:val="231F20"/>
            <w:w w:val="58"/>
            <w:sz w:val="16"/>
            <w:lang w:val="de-DE"/>
          </w:rPr>
          <w:t>/</w:t>
        </w:r>
        <w:r w:rsidRPr="00C507A5">
          <w:rPr>
            <w:color w:val="231F20"/>
            <w:w w:val="104"/>
            <w:sz w:val="16"/>
            <w:lang w:val="de-DE"/>
          </w:rPr>
          <w:t>2007</w:t>
        </w:r>
        <w:r w:rsidRPr="00C507A5">
          <w:rPr>
            <w:color w:val="231F20"/>
            <w:w w:val="58"/>
            <w:sz w:val="16"/>
            <w:lang w:val="de-DE"/>
          </w:rPr>
          <w:t>/</w:t>
        </w:r>
        <w:r w:rsidRPr="00C507A5">
          <w:rPr>
            <w:color w:val="231F20"/>
            <w:w w:val="104"/>
            <w:sz w:val="16"/>
            <w:lang w:val="de-DE"/>
          </w:rPr>
          <w:t>1</w:t>
        </w:r>
        <w:r w:rsidRPr="00C507A5">
          <w:rPr>
            <w:color w:val="231F20"/>
            <w:w w:val="58"/>
            <w:sz w:val="16"/>
            <w:lang w:val="de-DE"/>
          </w:rPr>
          <w:t>/</w:t>
        </w:r>
        <w:r w:rsidRPr="00C507A5">
          <w:rPr>
            <w:color w:val="231F20"/>
            <w:w w:val="101"/>
            <w:sz w:val="16"/>
            <w:lang w:val="de-DE"/>
          </w:rPr>
          <w:t>z</w:t>
        </w:r>
        <w:r w:rsidRPr="00C507A5">
          <w:rPr>
            <w:color w:val="231F20"/>
            <w:w w:val="104"/>
            <w:sz w:val="16"/>
            <w:lang w:val="de-DE"/>
          </w:rPr>
          <w:t>w</w:t>
        </w:r>
        <w:r w:rsidRPr="00C507A5">
          <w:rPr>
            <w:color w:val="231F20"/>
            <w:w w:val="103"/>
            <w:sz w:val="16"/>
            <w:lang w:val="de-DE"/>
          </w:rPr>
          <w:t>i</w:t>
        </w:r>
        <w:r w:rsidRPr="00C507A5">
          <w:rPr>
            <w:color w:val="231F20"/>
            <w:w w:val="93"/>
            <w:sz w:val="16"/>
            <w:lang w:val="de-DE"/>
          </w:rPr>
          <w:t>s</w:t>
        </w:r>
        <w:r w:rsidRPr="00C507A5">
          <w:rPr>
            <w:color w:val="231F20"/>
            <w:w w:val="104"/>
            <w:sz w:val="16"/>
            <w:lang w:val="de-DE"/>
          </w:rPr>
          <w:t>c</w:t>
        </w:r>
        <w:r w:rsidRPr="00C507A5">
          <w:rPr>
            <w:color w:val="231F20"/>
            <w:w w:val="99"/>
            <w:sz w:val="16"/>
            <w:lang w:val="de-DE"/>
          </w:rPr>
          <w:t>he</w:t>
        </w:r>
        <w:r w:rsidRPr="00C507A5">
          <w:rPr>
            <w:color w:val="231F20"/>
            <w:w w:val="103"/>
            <w:sz w:val="16"/>
            <w:lang w:val="de-DE"/>
          </w:rPr>
          <w:t>n</w:t>
        </w:r>
        <w:r w:rsidRPr="00C507A5">
          <w:rPr>
            <w:color w:val="231F20"/>
            <w:w w:val="139"/>
            <w:sz w:val="16"/>
            <w:lang w:val="de-DE"/>
          </w:rPr>
          <w:t>_</w:t>
        </w:r>
        <w:r w:rsidRPr="00C507A5">
          <w:rPr>
            <w:color w:val="231F20"/>
            <w:w w:val="102"/>
            <w:sz w:val="16"/>
            <w:lang w:val="de-DE"/>
          </w:rPr>
          <w:t>ra</w:t>
        </w:r>
        <w:r w:rsidRPr="00C507A5">
          <w:rPr>
            <w:color w:val="231F20"/>
            <w:w w:val="114"/>
            <w:sz w:val="16"/>
            <w:lang w:val="de-DE"/>
          </w:rPr>
          <w:t>f</w:t>
        </w:r>
        <w:r w:rsidRPr="00C507A5">
          <w:rPr>
            <w:color w:val="231F20"/>
            <w:w w:val="139"/>
            <w:sz w:val="16"/>
            <w:lang w:val="de-DE"/>
          </w:rPr>
          <w:t>_</w:t>
        </w:r>
      </w:hyperlink>
      <w:r w:rsidRPr="00C507A5">
        <w:rPr>
          <w:color w:val="231F20"/>
          <w:w w:val="139"/>
          <w:sz w:val="16"/>
          <w:lang w:val="de-DE"/>
        </w:rPr>
        <w:t xml:space="preserve"> </w:t>
      </w:r>
      <w:r w:rsidRPr="00C507A5">
        <w:rPr>
          <w:color w:val="231F20"/>
          <w:w w:val="105"/>
          <w:sz w:val="16"/>
          <w:lang w:val="de-DE"/>
        </w:rPr>
        <w:t>solidaritaet_und_linker_caritas_teil_1.</w:t>
      </w:r>
    </w:p>
    <w:p w14:paraId="3A9190AA" w14:textId="77777777" w:rsidR="002653E8" w:rsidRDefault="003115E3">
      <w:pPr>
        <w:pStyle w:val="a4"/>
        <w:numPr>
          <w:ilvl w:val="0"/>
          <w:numId w:val="116"/>
        </w:numPr>
        <w:tabs>
          <w:tab w:val="left" w:pos="1467"/>
        </w:tabs>
        <w:spacing w:before="42"/>
        <w:ind w:left="1466" w:hanging="138"/>
        <w:jc w:val="left"/>
        <w:rPr>
          <w:sz w:val="16"/>
        </w:rPr>
      </w:pPr>
      <w:r>
        <w:rPr>
          <w:color w:val="231F20"/>
          <w:w w:val="110"/>
          <w:sz w:val="16"/>
        </w:rPr>
        <w:t>Ibid.</w:t>
      </w:r>
    </w:p>
    <w:p w14:paraId="7D67A2EB" w14:textId="77777777" w:rsidR="002653E8" w:rsidRDefault="003115E3">
      <w:pPr>
        <w:pStyle w:val="a4"/>
        <w:numPr>
          <w:ilvl w:val="0"/>
          <w:numId w:val="116"/>
        </w:numPr>
        <w:tabs>
          <w:tab w:val="left" w:pos="1467"/>
        </w:tabs>
        <w:spacing w:before="51" w:line="254" w:lineRule="auto"/>
        <w:ind w:left="1328" w:right="1495" w:firstLine="0"/>
        <w:jc w:val="left"/>
        <w:rPr>
          <w:sz w:val="16"/>
        </w:rPr>
      </w:pPr>
      <w:r>
        <w:rPr>
          <w:i/>
          <w:color w:val="231F20"/>
          <w:w w:val="105"/>
          <w:sz w:val="16"/>
        </w:rPr>
        <w:lastRenderedPageBreak/>
        <w:t xml:space="preserve">European Stars </w:t>
      </w:r>
      <w:r>
        <w:rPr>
          <w:i/>
          <w:color w:val="231F20"/>
          <w:spacing w:val="1"/>
          <w:w w:val="105"/>
          <w:sz w:val="16"/>
        </w:rPr>
        <w:t xml:space="preserve">and </w:t>
      </w:r>
      <w:r>
        <w:rPr>
          <w:i/>
          <w:color w:val="231F20"/>
          <w:w w:val="105"/>
          <w:sz w:val="16"/>
        </w:rPr>
        <w:t xml:space="preserve">Stripes, </w:t>
      </w:r>
      <w:r>
        <w:rPr>
          <w:color w:val="231F20"/>
          <w:w w:val="105"/>
          <w:sz w:val="16"/>
        </w:rPr>
        <w:t>“Meinhof: Female German Guerrilla Leader gets 8-year</w:t>
      </w:r>
      <w:r>
        <w:rPr>
          <w:color w:val="231F20"/>
          <w:spacing w:val="7"/>
          <w:w w:val="105"/>
          <w:sz w:val="16"/>
        </w:rPr>
        <w:t xml:space="preserve"> </w:t>
      </w:r>
      <w:r>
        <w:rPr>
          <w:color w:val="231F20"/>
          <w:w w:val="105"/>
          <w:sz w:val="16"/>
        </w:rPr>
        <w:t>term</w:t>
      </w:r>
      <w:r>
        <w:rPr>
          <w:color w:val="231F20"/>
          <w:spacing w:val="7"/>
          <w:w w:val="105"/>
          <w:sz w:val="16"/>
        </w:rPr>
        <w:t xml:space="preserve"> </w:t>
      </w:r>
      <w:r>
        <w:rPr>
          <w:color w:val="231F20"/>
          <w:w w:val="105"/>
          <w:sz w:val="16"/>
        </w:rPr>
        <w:t>for</w:t>
      </w:r>
      <w:r>
        <w:rPr>
          <w:color w:val="231F20"/>
          <w:spacing w:val="7"/>
          <w:w w:val="105"/>
          <w:sz w:val="16"/>
        </w:rPr>
        <w:t xml:space="preserve"> </w:t>
      </w:r>
      <w:r>
        <w:rPr>
          <w:color w:val="231F20"/>
          <w:w w:val="105"/>
          <w:sz w:val="16"/>
        </w:rPr>
        <w:t>role</w:t>
      </w:r>
      <w:r>
        <w:rPr>
          <w:color w:val="231F20"/>
          <w:spacing w:val="7"/>
          <w:w w:val="105"/>
          <w:sz w:val="16"/>
        </w:rPr>
        <w:t xml:space="preserve"> </w:t>
      </w:r>
      <w:r>
        <w:rPr>
          <w:color w:val="231F20"/>
          <w:w w:val="105"/>
          <w:sz w:val="16"/>
        </w:rPr>
        <w:t>in</w:t>
      </w:r>
      <w:r>
        <w:rPr>
          <w:color w:val="231F20"/>
          <w:spacing w:val="7"/>
          <w:w w:val="105"/>
          <w:sz w:val="16"/>
        </w:rPr>
        <w:t xml:space="preserve"> </w:t>
      </w:r>
      <w:r>
        <w:rPr>
          <w:color w:val="231F20"/>
          <w:w w:val="105"/>
          <w:sz w:val="16"/>
        </w:rPr>
        <w:t>murder</w:t>
      </w:r>
      <w:r>
        <w:rPr>
          <w:color w:val="231F20"/>
          <w:spacing w:val="7"/>
          <w:w w:val="105"/>
          <w:sz w:val="16"/>
        </w:rPr>
        <w:t xml:space="preserve"> </w:t>
      </w:r>
      <w:r>
        <w:rPr>
          <w:color w:val="231F20"/>
          <w:w w:val="105"/>
          <w:sz w:val="16"/>
        </w:rPr>
        <w:t>plot,”</w:t>
      </w:r>
      <w:r>
        <w:rPr>
          <w:color w:val="231F20"/>
          <w:spacing w:val="7"/>
          <w:w w:val="105"/>
          <w:sz w:val="16"/>
        </w:rPr>
        <w:t xml:space="preserve"> </w:t>
      </w:r>
      <w:r>
        <w:rPr>
          <w:color w:val="231F20"/>
          <w:w w:val="105"/>
          <w:sz w:val="16"/>
        </w:rPr>
        <w:t>November</w:t>
      </w:r>
      <w:r>
        <w:rPr>
          <w:color w:val="231F20"/>
          <w:spacing w:val="7"/>
          <w:w w:val="105"/>
          <w:sz w:val="16"/>
        </w:rPr>
        <w:t xml:space="preserve"> </w:t>
      </w:r>
      <w:r>
        <w:rPr>
          <w:color w:val="231F20"/>
          <w:w w:val="105"/>
          <w:sz w:val="16"/>
        </w:rPr>
        <w:t>30,</w:t>
      </w:r>
      <w:r>
        <w:rPr>
          <w:color w:val="231F20"/>
          <w:spacing w:val="7"/>
          <w:w w:val="105"/>
          <w:sz w:val="16"/>
        </w:rPr>
        <w:t xml:space="preserve"> </w:t>
      </w:r>
      <w:r>
        <w:rPr>
          <w:color w:val="231F20"/>
          <w:spacing w:val="-4"/>
          <w:w w:val="105"/>
          <w:sz w:val="16"/>
        </w:rPr>
        <w:t>1974.</w:t>
      </w:r>
    </w:p>
    <w:p w14:paraId="0BE2176C" w14:textId="77777777" w:rsidR="002653E8" w:rsidRDefault="002653E8">
      <w:pPr>
        <w:spacing w:line="254" w:lineRule="auto"/>
        <w:rPr>
          <w:sz w:val="16"/>
        </w:rPr>
        <w:sectPr w:rsidR="002653E8">
          <w:type w:val="continuous"/>
          <w:pgSz w:w="8640" w:h="12960"/>
          <w:pgMar w:top="0" w:right="0" w:bottom="0" w:left="0" w:header="720" w:footer="720" w:gutter="0"/>
          <w:cols w:space="720"/>
        </w:sectPr>
      </w:pPr>
    </w:p>
    <w:p w14:paraId="7BA93C0F" w14:textId="77777777" w:rsidR="002653E8" w:rsidRDefault="00000000">
      <w:pPr>
        <w:pStyle w:val="a3"/>
        <w:spacing w:before="4"/>
        <w:rPr>
          <w:sz w:val="16"/>
        </w:rPr>
      </w:pPr>
      <w:r>
        <w:rPr>
          <w:noProof w:val="0"/>
        </w:rPr>
        <w:lastRenderedPageBreak/>
        <w:pict w14:anchorId="20BE1E66">
          <v:group id="_x0000_s2393" style="position:absolute;margin-left:58.4pt;margin-top:54pt;width:306.2pt;height:514.6pt;z-index:-458152;mso-position-horizontal-relative:page;mso-position-vertical-relative:page" coordorigin="1168,1080" coordsize="6124,10292">
            <v:rect id="_x0000_s2400" style="position:absolute;left:1168;top:1080;width:6124;height:10292" fillcolor="#e6e7e8" stroked="f"/>
            <v:line id="_x0000_s2399" style="position:absolute" from="1343,9463" to="2783,9463" strokecolor="#231f20" strokeweight=".5pt"/>
            <v:line id="_x0000_s2398" style="position:absolute" from="1175,1140" to="1175,11327" strokecolor="#231f20">
              <v:stroke dashstyle="3 1"/>
            </v:line>
            <v:line id="_x0000_s2397" style="position:absolute" from="1228,11364" to="7247,11364" strokecolor="#231f20">
              <v:stroke dashstyle="3 1"/>
            </v:line>
            <v:line id="_x0000_s2396" style="position:absolute" from="7285,11312" to="7285,1125" strokecolor="#231f20">
              <v:stroke dashstyle="3 1"/>
            </v:line>
            <v:line id="_x0000_s2395" style="position:absolute" from="7232,1087" to="1213,1087" strokecolor="#231f20">
              <v:stroke dashstyle="3 1"/>
            </v:line>
            <v:shape id="_x0000_s2394" style="position:absolute;top:2705;width:6109;height:10277" coordorigin=",2706" coordsize="6109,10277" o:spt="100" adj="0,,0" path="m1175,11342r,22l1198,11364t6064,l7284,11364r,-22m7284,1110r,-22l7262,1088t-6064,l1175,1088r,22e" filled="f" strokecolor="#231f20">
              <v:stroke joinstyle="round"/>
              <v:formulas/>
              <v:path arrowok="t" o:connecttype="segments"/>
            </v:shape>
            <w10:wrap anchorx="page" anchory="page"/>
          </v:group>
        </w:pict>
      </w:r>
    </w:p>
    <w:p w14:paraId="267203A3" w14:textId="77777777" w:rsidR="002653E8" w:rsidRDefault="003115E3">
      <w:pPr>
        <w:spacing w:before="88"/>
        <w:ind w:left="2385"/>
        <w:rPr>
          <w:rFonts w:ascii="Lucida Sans"/>
          <w:b/>
          <w:sz w:val="24"/>
        </w:rPr>
      </w:pPr>
      <w:bookmarkStart w:id="109" w:name="horst_mahler_after_the_raf_"/>
      <w:bookmarkStart w:id="110" w:name="_bookmark35"/>
      <w:bookmarkEnd w:id="109"/>
      <w:bookmarkEnd w:id="110"/>
      <w:r>
        <w:rPr>
          <w:rFonts w:ascii="Lucida Sans"/>
          <w:b/>
          <w:color w:val="231F20"/>
          <w:sz w:val="24"/>
        </w:rPr>
        <w:t>Horst Mahler After the RAF</w:t>
      </w:r>
    </w:p>
    <w:p w14:paraId="7F02452D" w14:textId="77777777" w:rsidR="002653E8" w:rsidRDefault="002653E8">
      <w:pPr>
        <w:pStyle w:val="a3"/>
        <w:spacing w:before="1"/>
        <w:rPr>
          <w:rFonts w:ascii="Lucida Sans"/>
          <w:b/>
          <w:sz w:val="24"/>
        </w:rPr>
      </w:pPr>
    </w:p>
    <w:p w14:paraId="1524BBB2" w14:textId="77777777" w:rsidR="002653E8" w:rsidRDefault="003115E3">
      <w:pPr>
        <w:spacing w:line="266" w:lineRule="auto"/>
        <w:ind w:left="1342" w:right="1938"/>
        <w:jc w:val="both"/>
        <w:rPr>
          <w:rFonts w:ascii="Calibri" w:hAnsi="Calibri"/>
          <w:sz w:val="19"/>
        </w:rPr>
      </w:pPr>
      <w:r>
        <w:rPr>
          <w:rFonts w:ascii="Calibri" w:hAnsi="Calibri"/>
          <w:color w:val="231F20"/>
          <w:w w:val="110"/>
          <w:sz w:val="19"/>
        </w:rPr>
        <w:t xml:space="preserve">Horst Mahler left the </w:t>
      </w:r>
      <w:r w:rsidR="00C507A5">
        <w:rPr>
          <w:rFonts w:ascii="Calibri" w:hAnsi="Calibri"/>
          <w:color w:val="231F20"/>
          <w:spacing w:val="1"/>
          <w:w w:val="110"/>
          <w:sz w:val="19"/>
        </w:rPr>
        <w:t>red army faction</w:t>
      </w:r>
      <w:r>
        <w:rPr>
          <w:rFonts w:ascii="Calibri" w:hAnsi="Calibri"/>
          <w:color w:val="231F20"/>
          <w:spacing w:val="1"/>
          <w:w w:val="110"/>
          <w:sz w:val="19"/>
        </w:rPr>
        <w:t xml:space="preserve"> </w:t>
      </w:r>
      <w:r>
        <w:rPr>
          <w:rFonts w:ascii="Calibri" w:hAnsi="Calibri"/>
          <w:color w:val="231F20"/>
          <w:w w:val="110"/>
          <w:sz w:val="19"/>
        </w:rPr>
        <w:t xml:space="preserve">for the kPd (previously the </w:t>
      </w:r>
      <w:r>
        <w:rPr>
          <w:rFonts w:ascii="Calibri" w:hAnsi="Calibri"/>
          <w:color w:val="231F20"/>
          <w:spacing w:val="-3"/>
          <w:w w:val="110"/>
          <w:sz w:val="19"/>
        </w:rPr>
        <w:t xml:space="preserve">kPd/AO) </w:t>
      </w:r>
      <w:r>
        <w:rPr>
          <w:rFonts w:ascii="Calibri" w:hAnsi="Calibri"/>
          <w:color w:val="231F20"/>
          <w:w w:val="110"/>
          <w:sz w:val="19"/>
        </w:rPr>
        <w:t>in</w:t>
      </w:r>
      <w:r>
        <w:rPr>
          <w:rFonts w:ascii="Calibri" w:hAnsi="Calibri"/>
          <w:color w:val="231F20"/>
          <w:spacing w:val="-8"/>
          <w:w w:val="110"/>
          <w:sz w:val="19"/>
        </w:rPr>
        <w:t xml:space="preserve"> </w:t>
      </w:r>
      <w:r>
        <w:rPr>
          <w:rFonts w:ascii="Arial" w:hAnsi="Arial"/>
          <w:color w:val="231F20"/>
          <w:spacing w:val="-7"/>
          <w:w w:val="110"/>
          <w:sz w:val="19"/>
        </w:rPr>
        <w:t>1974</w:t>
      </w:r>
      <w:r>
        <w:rPr>
          <w:rFonts w:ascii="Calibri" w:hAnsi="Calibri"/>
          <w:color w:val="231F20"/>
          <w:spacing w:val="-7"/>
          <w:w w:val="110"/>
          <w:sz w:val="19"/>
        </w:rPr>
        <w:t>,</w:t>
      </w:r>
      <w:r>
        <w:rPr>
          <w:rFonts w:ascii="Calibri" w:hAnsi="Calibri"/>
          <w:color w:val="231F20"/>
          <w:spacing w:val="-8"/>
          <w:w w:val="110"/>
          <w:sz w:val="19"/>
        </w:rPr>
        <w:t xml:space="preserve"> </w:t>
      </w:r>
      <w:r>
        <w:rPr>
          <w:rFonts w:ascii="Calibri" w:hAnsi="Calibri"/>
          <w:color w:val="231F20"/>
          <w:w w:val="110"/>
          <w:sz w:val="19"/>
        </w:rPr>
        <w:t>but</w:t>
      </w:r>
      <w:r>
        <w:rPr>
          <w:rFonts w:ascii="Calibri" w:hAnsi="Calibri"/>
          <w:color w:val="231F20"/>
          <w:spacing w:val="-8"/>
          <w:w w:val="110"/>
          <w:sz w:val="19"/>
        </w:rPr>
        <w:t xml:space="preserve"> </w:t>
      </w:r>
      <w:r>
        <w:rPr>
          <w:rFonts w:ascii="Calibri" w:hAnsi="Calibri"/>
          <w:color w:val="231F20"/>
          <w:w w:val="110"/>
          <w:sz w:val="19"/>
        </w:rPr>
        <w:t>remained</w:t>
      </w:r>
      <w:r>
        <w:rPr>
          <w:rFonts w:ascii="Calibri" w:hAnsi="Calibri"/>
          <w:color w:val="231F20"/>
          <w:spacing w:val="-8"/>
          <w:w w:val="110"/>
          <w:sz w:val="19"/>
        </w:rPr>
        <w:t xml:space="preserve"> </w:t>
      </w:r>
      <w:r>
        <w:rPr>
          <w:rFonts w:ascii="Calibri" w:hAnsi="Calibri"/>
          <w:color w:val="231F20"/>
          <w:w w:val="110"/>
          <w:sz w:val="19"/>
        </w:rPr>
        <w:t>a</w:t>
      </w:r>
      <w:r>
        <w:rPr>
          <w:rFonts w:ascii="Calibri" w:hAnsi="Calibri"/>
          <w:color w:val="231F20"/>
          <w:spacing w:val="-8"/>
          <w:w w:val="110"/>
          <w:sz w:val="19"/>
        </w:rPr>
        <w:t xml:space="preserve"> </w:t>
      </w:r>
      <w:r>
        <w:rPr>
          <w:rFonts w:ascii="Calibri" w:hAnsi="Calibri"/>
          <w:color w:val="231F20"/>
          <w:w w:val="110"/>
          <w:sz w:val="19"/>
        </w:rPr>
        <w:t>Maoist</w:t>
      </w:r>
      <w:r>
        <w:rPr>
          <w:rFonts w:ascii="Calibri" w:hAnsi="Calibri"/>
          <w:color w:val="231F20"/>
          <w:spacing w:val="-8"/>
          <w:w w:val="110"/>
          <w:sz w:val="19"/>
        </w:rPr>
        <w:t xml:space="preserve"> </w:t>
      </w:r>
      <w:r>
        <w:rPr>
          <w:rFonts w:ascii="Calibri" w:hAnsi="Calibri"/>
          <w:color w:val="231F20"/>
          <w:w w:val="110"/>
          <w:sz w:val="19"/>
        </w:rPr>
        <w:t>for</w:t>
      </w:r>
      <w:r>
        <w:rPr>
          <w:rFonts w:ascii="Calibri" w:hAnsi="Calibri"/>
          <w:color w:val="231F20"/>
          <w:spacing w:val="-8"/>
          <w:w w:val="110"/>
          <w:sz w:val="19"/>
        </w:rPr>
        <w:t xml:space="preserve"> </w:t>
      </w:r>
      <w:r>
        <w:rPr>
          <w:rFonts w:ascii="Calibri" w:hAnsi="Calibri"/>
          <w:color w:val="231F20"/>
          <w:w w:val="110"/>
          <w:sz w:val="19"/>
        </w:rPr>
        <w:t>only</w:t>
      </w:r>
      <w:r>
        <w:rPr>
          <w:rFonts w:ascii="Calibri" w:hAnsi="Calibri"/>
          <w:color w:val="231F20"/>
          <w:spacing w:val="-8"/>
          <w:w w:val="110"/>
          <w:sz w:val="19"/>
        </w:rPr>
        <w:t xml:space="preserve"> </w:t>
      </w:r>
      <w:r>
        <w:rPr>
          <w:rFonts w:ascii="Calibri" w:hAnsi="Calibri"/>
          <w:color w:val="231F20"/>
          <w:w w:val="110"/>
          <w:sz w:val="19"/>
        </w:rPr>
        <w:t>a</w:t>
      </w:r>
      <w:r>
        <w:rPr>
          <w:rFonts w:ascii="Calibri" w:hAnsi="Calibri"/>
          <w:color w:val="231F20"/>
          <w:spacing w:val="-8"/>
          <w:w w:val="110"/>
          <w:sz w:val="19"/>
        </w:rPr>
        <w:t xml:space="preserve"> </w:t>
      </w:r>
      <w:r>
        <w:rPr>
          <w:rFonts w:ascii="Calibri" w:hAnsi="Calibri"/>
          <w:color w:val="231F20"/>
          <w:w w:val="110"/>
          <w:sz w:val="19"/>
        </w:rPr>
        <w:t>few</w:t>
      </w:r>
      <w:r>
        <w:rPr>
          <w:rFonts w:ascii="Calibri" w:hAnsi="Calibri"/>
          <w:color w:val="231F20"/>
          <w:spacing w:val="-8"/>
          <w:w w:val="110"/>
          <w:sz w:val="19"/>
        </w:rPr>
        <w:t xml:space="preserve"> </w:t>
      </w:r>
      <w:r>
        <w:rPr>
          <w:rFonts w:ascii="Calibri" w:hAnsi="Calibri"/>
          <w:color w:val="231F20"/>
          <w:w w:val="110"/>
          <w:sz w:val="19"/>
        </w:rPr>
        <w:t>years:</w:t>
      </w:r>
      <w:r>
        <w:rPr>
          <w:rFonts w:ascii="Calibri" w:hAnsi="Calibri"/>
          <w:color w:val="231F20"/>
          <w:spacing w:val="-8"/>
          <w:w w:val="110"/>
          <w:sz w:val="19"/>
        </w:rPr>
        <w:t xml:space="preserve"> </w:t>
      </w:r>
      <w:r>
        <w:rPr>
          <w:rFonts w:ascii="Calibri" w:hAnsi="Calibri"/>
          <w:color w:val="231F20"/>
          <w:w w:val="110"/>
          <w:sz w:val="19"/>
        </w:rPr>
        <w:t>in</w:t>
      </w:r>
      <w:r>
        <w:rPr>
          <w:rFonts w:ascii="Calibri" w:hAnsi="Calibri"/>
          <w:color w:val="231F20"/>
          <w:spacing w:val="-8"/>
          <w:w w:val="110"/>
          <w:sz w:val="19"/>
        </w:rPr>
        <w:t xml:space="preserve"> </w:t>
      </w:r>
      <w:r>
        <w:rPr>
          <w:rFonts w:ascii="Arial" w:hAnsi="Arial"/>
          <w:color w:val="231F20"/>
          <w:spacing w:val="-5"/>
          <w:w w:val="110"/>
          <w:sz w:val="19"/>
        </w:rPr>
        <w:t>1977</w:t>
      </w:r>
      <w:r>
        <w:rPr>
          <w:rFonts w:ascii="Arial" w:hAnsi="Arial"/>
          <w:color w:val="231F20"/>
          <w:spacing w:val="-18"/>
          <w:w w:val="110"/>
          <w:sz w:val="19"/>
        </w:rPr>
        <w:t xml:space="preserve"> </w:t>
      </w:r>
      <w:r>
        <w:rPr>
          <w:rFonts w:ascii="Calibri" w:hAnsi="Calibri"/>
          <w:color w:val="231F20"/>
          <w:w w:val="110"/>
          <w:sz w:val="19"/>
        </w:rPr>
        <w:t>he publicly announced that he was now “internally freed from the dogmatic revolutionary theory of Marxism-Leninism.”</w:t>
      </w:r>
      <w:r>
        <w:rPr>
          <w:rFonts w:ascii="Calibri" w:hAnsi="Calibri"/>
          <w:color w:val="231F20"/>
          <w:w w:val="110"/>
          <w:position w:val="6"/>
          <w:sz w:val="11"/>
        </w:rPr>
        <w:t xml:space="preserve">1 </w:t>
      </w:r>
      <w:r>
        <w:rPr>
          <w:rFonts w:ascii="Calibri" w:hAnsi="Calibri"/>
          <w:color w:val="231F20"/>
          <w:spacing w:val="1"/>
          <w:w w:val="110"/>
          <w:sz w:val="19"/>
        </w:rPr>
        <w:t>As</w:t>
      </w:r>
      <w:r>
        <w:rPr>
          <w:rFonts w:ascii="Calibri" w:hAnsi="Calibri"/>
          <w:color w:val="231F20"/>
          <w:spacing w:val="10"/>
          <w:w w:val="110"/>
          <w:sz w:val="19"/>
        </w:rPr>
        <w:t xml:space="preserve"> </w:t>
      </w:r>
      <w:r>
        <w:rPr>
          <w:rFonts w:ascii="Calibri" w:hAnsi="Calibri"/>
          <w:color w:val="231F20"/>
          <w:w w:val="110"/>
          <w:sz w:val="19"/>
        </w:rPr>
        <w:t>a</w:t>
      </w:r>
    </w:p>
    <w:p w14:paraId="3D416851" w14:textId="77777777" w:rsidR="002653E8" w:rsidRDefault="003115E3">
      <w:pPr>
        <w:spacing w:line="264" w:lineRule="auto"/>
        <w:ind w:left="1342" w:right="1608"/>
        <w:jc w:val="both"/>
        <w:rPr>
          <w:rFonts w:ascii="Calibri" w:hAnsi="Calibri"/>
          <w:sz w:val="19"/>
        </w:rPr>
      </w:pPr>
      <w:r>
        <w:rPr>
          <w:rFonts w:ascii="Calibri" w:hAnsi="Calibri"/>
          <w:color w:val="231F20"/>
          <w:w w:val="105"/>
          <w:sz w:val="19"/>
        </w:rPr>
        <w:t xml:space="preserve">repentant guerilla, he was supported on humanitarian grounds by </w:t>
      </w:r>
      <w:r>
        <w:rPr>
          <w:rFonts w:ascii="Lucida Sans" w:hAnsi="Lucida Sans"/>
          <w:i/>
          <w:color w:val="231F20"/>
          <w:w w:val="105"/>
          <w:sz w:val="19"/>
        </w:rPr>
        <w:t xml:space="preserve">Jusos </w:t>
      </w:r>
      <w:r>
        <w:rPr>
          <w:rFonts w:ascii="Calibri" w:hAnsi="Calibri"/>
          <w:color w:val="231F20"/>
          <w:w w:val="105"/>
          <w:sz w:val="19"/>
        </w:rPr>
        <w:t>chairman Gerhard Schr</w:t>
      </w:r>
      <w:r>
        <w:rPr>
          <w:color w:val="231F20"/>
          <w:w w:val="105"/>
          <w:sz w:val="19"/>
        </w:rPr>
        <w:t>ö</w:t>
      </w:r>
      <w:r>
        <w:rPr>
          <w:rFonts w:ascii="Calibri" w:hAnsi="Calibri"/>
          <w:color w:val="231F20"/>
          <w:w w:val="105"/>
          <w:sz w:val="19"/>
        </w:rPr>
        <w:t>der, who began acting as his lawyer   in</w:t>
      </w:r>
      <w:r>
        <w:rPr>
          <w:rFonts w:ascii="Calibri" w:hAnsi="Calibri"/>
          <w:color w:val="231F20"/>
          <w:spacing w:val="5"/>
          <w:w w:val="105"/>
          <w:sz w:val="19"/>
        </w:rPr>
        <w:t xml:space="preserve"> </w:t>
      </w:r>
      <w:r>
        <w:rPr>
          <w:rFonts w:ascii="Arial" w:hAnsi="Arial"/>
          <w:color w:val="231F20"/>
          <w:spacing w:val="-5"/>
          <w:w w:val="105"/>
          <w:sz w:val="19"/>
        </w:rPr>
        <w:t>1978</w:t>
      </w:r>
      <w:r>
        <w:rPr>
          <w:rFonts w:ascii="Calibri" w:hAnsi="Calibri"/>
          <w:color w:val="231F20"/>
          <w:spacing w:val="-5"/>
          <w:w w:val="105"/>
          <w:sz w:val="19"/>
        </w:rPr>
        <w:t>.</w:t>
      </w:r>
    </w:p>
    <w:p w14:paraId="114BBE4D" w14:textId="77777777" w:rsidR="002653E8" w:rsidRDefault="003115E3">
      <w:pPr>
        <w:spacing w:line="266" w:lineRule="auto"/>
        <w:ind w:left="1342" w:right="1580" w:firstLine="209"/>
        <w:rPr>
          <w:rFonts w:ascii="Calibri"/>
          <w:sz w:val="11"/>
        </w:rPr>
      </w:pPr>
      <w:r>
        <w:rPr>
          <w:rFonts w:ascii="Calibri"/>
          <w:color w:val="231F20"/>
          <w:w w:val="110"/>
          <w:sz w:val="19"/>
        </w:rPr>
        <w:t xml:space="preserve">With time off for good behavior, Mahler was released from prison in </w:t>
      </w:r>
      <w:r>
        <w:rPr>
          <w:rFonts w:ascii="Arial"/>
          <w:color w:val="231F20"/>
          <w:w w:val="110"/>
          <w:sz w:val="19"/>
        </w:rPr>
        <w:t>1980</w:t>
      </w:r>
      <w:r>
        <w:rPr>
          <w:rFonts w:ascii="Calibri"/>
          <w:color w:val="231F20"/>
          <w:w w:val="110"/>
          <w:sz w:val="19"/>
        </w:rPr>
        <w:t>, at which point his only real political activity was to cooperate with government propaganda programs and appear before young people to condemn political violence.</w:t>
      </w:r>
      <w:r>
        <w:rPr>
          <w:rFonts w:ascii="Calibri"/>
          <w:color w:val="231F20"/>
          <w:w w:val="110"/>
          <w:position w:val="6"/>
          <w:sz w:val="11"/>
        </w:rPr>
        <w:t>2</w:t>
      </w:r>
    </w:p>
    <w:p w14:paraId="21D03F68" w14:textId="77777777" w:rsidR="002653E8" w:rsidRDefault="003115E3">
      <w:pPr>
        <w:spacing w:line="266" w:lineRule="auto"/>
        <w:ind w:left="1342" w:right="1681" w:firstLine="210"/>
        <w:rPr>
          <w:rFonts w:ascii="Calibri" w:hAnsi="Calibri"/>
          <w:sz w:val="19"/>
        </w:rPr>
      </w:pPr>
      <w:r>
        <w:rPr>
          <w:rFonts w:ascii="Calibri" w:hAnsi="Calibri"/>
          <w:color w:val="231F20"/>
          <w:w w:val="105"/>
          <w:sz w:val="19"/>
        </w:rPr>
        <w:t xml:space="preserve">In the </w:t>
      </w:r>
      <w:r>
        <w:rPr>
          <w:rFonts w:ascii="Arial" w:hAnsi="Arial"/>
          <w:color w:val="231F20"/>
          <w:w w:val="105"/>
          <w:sz w:val="19"/>
        </w:rPr>
        <w:t>1990</w:t>
      </w:r>
      <w:r>
        <w:rPr>
          <w:rFonts w:ascii="Calibri" w:hAnsi="Calibri"/>
          <w:color w:val="231F20"/>
          <w:w w:val="105"/>
          <w:sz w:val="19"/>
        </w:rPr>
        <w:t>s, however, a new Horst Mahler emerged as the   former guerilla-lawyer publicly repositioned himself on the far right   of the German political spectrum. Mahler had crossed the Rubicon, and has since earned international renown as a “third position” fascist, and legal defender of Holocaust  deniers  and  neo-nazis, racists</w:t>
      </w:r>
      <w:r>
        <w:rPr>
          <w:rFonts w:ascii="Calibri" w:hAnsi="Calibri"/>
          <w:color w:val="231F20"/>
          <w:spacing w:val="8"/>
          <w:w w:val="105"/>
          <w:sz w:val="19"/>
        </w:rPr>
        <w:t xml:space="preserve"> </w:t>
      </w:r>
      <w:r>
        <w:rPr>
          <w:rFonts w:ascii="Calibri" w:hAnsi="Calibri"/>
          <w:color w:val="231F20"/>
          <w:w w:val="105"/>
          <w:sz w:val="19"/>
        </w:rPr>
        <w:t>whose</w:t>
      </w:r>
      <w:r>
        <w:rPr>
          <w:rFonts w:ascii="Calibri" w:hAnsi="Calibri"/>
          <w:color w:val="231F20"/>
          <w:spacing w:val="8"/>
          <w:w w:val="105"/>
          <w:sz w:val="19"/>
        </w:rPr>
        <w:t xml:space="preserve"> </w:t>
      </w:r>
      <w:r>
        <w:rPr>
          <w:rFonts w:ascii="Calibri" w:hAnsi="Calibri"/>
          <w:color w:val="231F20"/>
          <w:w w:val="105"/>
          <w:sz w:val="19"/>
        </w:rPr>
        <w:t>opinions</w:t>
      </w:r>
      <w:r>
        <w:rPr>
          <w:rFonts w:ascii="Calibri" w:hAnsi="Calibri"/>
          <w:color w:val="231F20"/>
          <w:spacing w:val="8"/>
          <w:w w:val="105"/>
          <w:sz w:val="19"/>
        </w:rPr>
        <w:t xml:space="preserve"> </w:t>
      </w:r>
      <w:r>
        <w:rPr>
          <w:rFonts w:ascii="Calibri" w:hAnsi="Calibri"/>
          <w:color w:val="231F20"/>
          <w:w w:val="105"/>
          <w:sz w:val="19"/>
        </w:rPr>
        <w:t>the</w:t>
      </w:r>
      <w:r>
        <w:rPr>
          <w:rFonts w:ascii="Calibri" w:hAnsi="Calibri"/>
          <w:color w:val="231F20"/>
          <w:spacing w:val="8"/>
          <w:w w:val="105"/>
          <w:sz w:val="19"/>
        </w:rPr>
        <w:t xml:space="preserve"> </w:t>
      </w:r>
      <w:r>
        <w:rPr>
          <w:rFonts w:ascii="Calibri" w:hAnsi="Calibri"/>
          <w:color w:val="231F20"/>
          <w:w w:val="105"/>
          <w:sz w:val="19"/>
        </w:rPr>
        <w:t>former</w:t>
      </w:r>
      <w:r>
        <w:rPr>
          <w:rFonts w:ascii="Calibri" w:hAnsi="Calibri"/>
          <w:color w:val="231F20"/>
          <w:spacing w:val="8"/>
          <w:w w:val="105"/>
          <w:sz w:val="19"/>
        </w:rPr>
        <w:t xml:space="preserve"> </w:t>
      </w:r>
      <w:r>
        <w:rPr>
          <w:rFonts w:ascii="Calibri" w:hAnsi="Calibri"/>
          <w:color w:val="231F20"/>
          <w:w w:val="105"/>
          <w:sz w:val="19"/>
        </w:rPr>
        <w:t>communist</w:t>
      </w:r>
      <w:r>
        <w:rPr>
          <w:rFonts w:ascii="Calibri" w:hAnsi="Calibri"/>
          <w:color w:val="231F20"/>
          <w:spacing w:val="8"/>
          <w:w w:val="105"/>
          <w:sz w:val="19"/>
        </w:rPr>
        <w:t xml:space="preserve"> </w:t>
      </w:r>
      <w:r>
        <w:rPr>
          <w:rFonts w:ascii="Calibri" w:hAnsi="Calibri"/>
          <w:color w:val="231F20"/>
          <w:w w:val="105"/>
          <w:sz w:val="19"/>
        </w:rPr>
        <w:t>now</w:t>
      </w:r>
      <w:r>
        <w:rPr>
          <w:rFonts w:ascii="Calibri" w:hAnsi="Calibri"/>
          <w:color w:val="231F20"/>
          <w:spacing w:val="8"/>
          <w:w w:val="105"/>
          <w:sz w:val="19"/>
        </w:rPr>
        <w:t xml:space="preserve"> </w:t>
      </w:r>
      <w:r>
        <w:rPr>
          <w:rFonts w:ascii="Calibri" w:hAnsi="Calibri"/>
          <w:color w:val="231F20"/>
          <w:w w:val="105"/>
          <w:sz w:val="19"/>
        </w:rPr>
        <w:t>shares.</w:t>
      </w:r>
    </w:p>
    <w:p w14:paraId="4D1D2B6F" w14:textId="77777777" w:rsidR="002653E8" w:rsidRDefault="003115E3">
      <w:pPr>
        <w:spacing w:line="266" w:lineRule="auto"/>
        <w:ind w:left="1342" w:right="1580" w:firstLine="210"/>
        <w:rPr>
          <w:rFonts w:ascii="Calibri"/>
          <w:sz w:val="19"/>
        </w:rPr>
      </w:pPr>
      <w:r>
        <w:rPr>
          <w:rFonts w:ascii="Calibri"/>
          <w:color w:val="231F20"/>
          <w:w w:val="110"/>
          <w:sz w:val="19"/>
        </w:rPr>
        <w:t xml:space="preserve">His expulsion in </w:t>
      </w:r>
      <w:r>
        <w:rPr>
          <w:rFonts w:ascii="Arial"/>
          <w:color w:val="231F20"/>
          <w:w w:val="110"/>
          <w:sz w:val="19"/>
        </w:rPr>
        <w:t xml:space="preserve">1974 </w:t>
      </w:r>
      <w:r>
        <w:rPr>
          <w:rFonts w:ascii="Calibri"/>
          <w:color w:val="231F20"/>
          <w:w w:val="110"/>
          <w:sz w:val="19"/>
        </w:rPr>
        <w:t xml:space="preserve">does not stop journalists from routinely describing Mahler as a founding member of the </w:t>
      </w:r>
      <w:r w:rsidR="00C507A5">
        <w:rPr>
          <w:rFonts w:ascii="Calibri"/>
          <w:color w:val="231F20"/>
          <w:w w:val="110"/>
          <w:sz w:val="19"/>
        </w:rPr>
        <w:t>red army faction</w:t>
      </w:r>
      <w:r>
        <w:rPr>
          <w:rFonts w:ascii="Calibri"/>
          <w:color w:val="231F20"/>
          <w:w w:val="110"/>
          <w:sz w:val="19"/>
        </w:rPr>
        <w:t>, implying a connection between his previous views and those he holds today. Indeed, Mahler the neo-nazi has attempted to exploit this smear himself, arguing dishonestly that were Meinhof alive today, she, too, would have crossed over to the neofascist camp.</w:t>
      </w:r>
    </w:p>
    <w:p w14:paraId="73181311" w14:textId="77777777" w:rsidR="002653E8" w:rsidRDefault="003115E3">
      <w:pPr>
        <w:spacing w:line="266" w:lineRule="auto"/>
        <w:ind w:left="1342" w:right="1593" w:firstLine="209"/>
        <w:rPr>
          <w:rFonts w:ascii="Calibri"/>
          <w:sz w:val="19"/>
        </w:rPr>
      </w:pPr>
      <w:r>
        <w:rPr>
          <w:rFonts w:ascii="Calibri"/>
          <w:color w:val="231F20"/>
          <w:w w:val="110"/>
          <w:sz w:val="19"/>
        </w:rPr>
        <w:t xml:space="preserve">While several leading lights from the sixties APO generation  have indeed moved to the far right, these represent only a small minority. In the case of the </w:t>
      </w:r>
      <w:r w:rsidR="00C507A5">
        <w:rPr>
          <w:rFonts w:ascii="Calibri"/>
          <w:color w:val="231F20"/>
          <w:spacing w:val="1"/>
          <w:w w:val="110"/>
          <w:sz w:val="19"/>
        </w:rPr>
        <w:t>red army faction</w:t>
      </w:r>
      <w:r>
        <w:rPr>
          <w:rFonts w:ascii="Calibri"/>
          <w:color w:val="231F20"/>
          <w:spacing w:val="1"/>
          <w:w w:val="110"/>
          <w:sz w:val="19"/>
        </w:rPr>
        <w:t xml:space="preserve"> </w:t>
      </w:r>
      <w:r>
        <w:rPr>
          <w:rFonts w:ascii="Calibri"/>
          <w:color w:val="231F20"/>
          <w:w w:val="110"/>
          <w:sz w:val="19"/>
        </w:rPr>
        <w:t>itself, despite its degeneration and decline in the late eighties and early nineties,</w:t>
      </w:r>
      <w:bookmarkStart w:id="111" w:name="_Hlk103488833"/>
      <w:r>
        <w:rPr>
          <w:rFonts w:ascii="Calibri"/>
          <w:color w:val="231F20"/>
          <w:w w:val="110"/>
          <w:position w:val="6"/>
          <w:sz w:val="11"/>
        </w:rPr>
        <w:t>3</w:t>
      </w:r>
      <w:bookmarkEnd w:id="111"/>
      <w:r>
        <w:rPr>
          <w:rFonts w:ascii="Calibri"/>
          <w:color w:val="231F20"/>
          <w:w w:val="110"/>
          <w:position w:val="6"/>
          <w:sz w:val="11"/>
        </w:rPr>
        <w:t xml:space="preserve"> </w:t>
      </w:r>
      <w:r>
        <w:rPr>
          <w:rFonts w:ascii="Calibri"/>
          <w:color w:val="231F20"/>
          <w:w w:val="110"/>
          <w:sz w:val="19"/>
        </w:rPr>
        <w:t>Mahler is the only former member to have followed this sad</w:t>
      </w:r>
      <w:r>
        <w:rPr>
          <w:rFonts w:ascii="Calibri"/>
          <w:color w:val="231F20"/>
          <w:spacing w:val="16"/>
          <w:w w:val="110"/>
          <w:sz w:val="19"/>
        </w:rPr>
        <w:t xml:space="preserve"> </w:t>
      </w:r>
      <w:r>
        <w:rPr>
          <w:rFonts w:ascii="Calibri"/>
          <w:color w:val="231F20"/>
          <w:w w:val="110"/>
          <w:sz w:val="19"/>
        </w:rPr>
        <w:t>trajectory.</w:t>
      </w:r>
    </w:p>
    <w:p w14:paraId="7DA079E5" w14:textId="77777777" w:rsidR="002653E8" w:rsidRDefault="002653E8">
      <w:pPr>
        <w:pStyle w:val="a3"/>
        <w:spacing w:before="10"/>
        <w:rPr>
          <w:rFonts w:ascii="Calibri"/>
          <w:sz w:val="25"/>
        </w:rPr>
      </w:pPr>
    </w:p>
    <w:p w14:paraId="107136D0" w14:textId="77777777" w:rsidR="002653E8" w:rsidRDefault="003115E3">
      <w:pPr>
        <w:spacing w:before="105" w:line="254" w:lineRule="auto"/>
        <w:ind w:left="1343" w:right="1848" w:hanging="1"/>
        <w:rPr>
          <w:sz w:val="16"/>
        </w:rPr>
      </w:pPr>
      <w:r>
        <w:rPr>
          <w:color w:val="231F20"/>
          <w:w w:val="110"/>
          <w:position w:val="6"/>
          <w:sz w:val="9"/>
        </w:rPr>
        <w:t xml:space="preserve">1 </w:t>
      </w:r>
      <w:r>
        <w:rPr>
          <w:color w:val="231F20"/>
          <w:w w:val="110"/>
          <w:sz w:val="16"/>
        </w:rPr>
        <w:t xml:space="preserve">German Law Journal, “Federal Constitutional Court Issues Temporary Injunction in the NPD Party Ban Case,” </w:t>
      </w:r>
      <w:r>
        <w:rPr>
          <w:i/>
          <w:color w:val="231F20"/>
          <w:w w:val="110"/>
          <w:sz w:val="16"/>
        </w:rPr>
        <w:t xml:space="preserve">German Law Journal </w:t>
      </w:r>
      <w:r>
        <w:rPr>
          <w:color w:val="231F20"/>
          <w:w w:val="110"/>
          <w:sz w:val="16"/>
        </w:rPr>
        <w:t>[online] 2, no. 13, (August 1, 2001).</w:t>
      </w:r>
    </w:p>
    <w:p w14:paraId="62507D56" w14:textId="77777777" w:rsidR="002653E8" w:rsidRDefault="003115E3">
      <w:pPr>
        <w:spacing w:before="41"/>
        <w:ind w:left="1343"/>
        <w:rPr>
          <w:i/>
          <w:sz w:val="16"/>
        </w:rPr>
      </w:pPr>
      <w:r>
        <w:rPr>
          <w:color w:val="231F20"/>
          <w:w w:val="105"/>
          <w:position w:val="6"/>
          <w:sz w:val="9"/>
        </w:rPr>
        <w:t xml:space="preserve">2 </w:t>
      </w:r>
      <w:r>
        <w:rPr>
          <w:color w:val="231F20"/>
          <w:w w:val="105"/>
          <w:sz w:val="16"/>
        </w:rPr>
        <w:t xml:space="preserve">United Press International, “Parting shots,” </w:t>
      </w:r>
      <w:r>
        <w:rPr>
          <w:i/>
          <w:color w:val="231F20"/>
          <w:w w:val="105"/>
          <w:sz w:val="16"/>
        </w:rPr>
        <w:t>European Stars and Stripes,</w:t>
      </w:r>
    </w:p>
    <w:p w14:paraId="44E539CA" w14:textId="77777777" w:rsidR="002653E8" w:rsidRDefault="003115E3">
      <w:pPr>
        <w:spacing w:before="12"/>
        <w:ind w:left="1343"/>
        <w:rPr>
          <w:sz w:val="16"/>
        </w:rPr>
      </w:pPr>
      <w:r>
        <w:rPr>
          <w:color w:val="231F20"/>
          <w:w w:val="110"/>
          <w:sz w:val="16"/>
        </w:rPr>
        <w:t>October 4, 1980.</w:t>
      </w:r>
    </w:p>
    <w:p w14:paraId="28E6C34A" w14:textId="77777777" w:rsidR="002653E8" w:rsidRDefault="003115E3">
      <w:pPr>
        <w:spacing w:before="51" w:line="254" w:lineRule="auto"/>
        <w:ind w:left="1343" w:right="1848" w:hanging="1"/>
        <w:rPr>
          <w:i/>
          <w:sz w:val="16"/>
        </w:rPr>
      </w:pPr>
      <w:r>
        <w:rPr>
          <w:color w:val="231F20"/>
          <w:w w:val="110"/>
          <w:position w:val="6"/>
          <w:sz w:val="9"/>
        </w:rPr>
        <w:t xml:space="preserve">3 </w:t>
      </w:r>
      <w:r>
        <w:rPr>
          <w:color w:val="231F20"/>
          <w:w w:val="110"/>
          <w:sz w:val="16"/>
        </w:rPr>
        <w:t xml:space="preserve">As will be detailed in our second volume, </w:t>
      </w:r>
      <w:r>
        <w:rPr>
          <w:i/>
          <w:color w:val="231F20"/>
          <w:w w:val="110"/>
          <w:sz w:val="16"/>
        </w:rPr>
        <w:t>The Red Army Faction, a Documentary History, Volume II: Dancing with Imperialism: One Step Forward, Two Steps Back.</w:t>
      </w:r>
    </w:p>
    <w:p w14:paraId="37DEBD9B" w14:textId="77777777" w:rsidR="002653E8" w:rsidRDefault="002653E8">
      <w:pPr>
        <w:spacing w:line="254" w:lineRule="auto"/>
        <w:rPr>
          <w:sz w:val="16"/>
        </w:rPr>
        <w:sectPr w:rsidR="002653E8">
          <w:footerReference w:type="even" r:id="rId221"/>
          <w:footerReference w:type="default" r:id="rId222"/>
          <w:pgSz w:w="8640" w:h="12960"/>
          <w:pgMar w:top="1080" w:right="0" w:bottom="1040" w:left="0" w:header="0" w:footer="850" w:gutter="0"/>
          <w:pgNumType w:start="256"/>
          <w:cols w:space="720"/>
        </w:sectPr>
      </w:pPr>
    </w:p>
    <w:p w14:paraId="771CC756" w14:textId="77777777" w:rsidR="002653E8" w:rsidRDefault="003115E3">
      <w:pPr>
        <w:pStyle w:val="a3"/>
        <w:spacing w:before="86" w:line="264" w:lineRule="auto"/>
        <w:ind w:left="1327" w:right="1146"/>
        <w:jc w:val="both"/>
        <w:rPr>
          <w:sz w:val="11"/>
        </w:rPr>
      </w:pPr>
      <w:r>
        <w:rPr>
          <w:color w:val="231F20"/>
        </w:rPr>
        <w:lastRenderedPageBreak/>
        <w:t>formally expelling her former comrade, accusing him of being a “filthy, bourgeois chauvinist” who had attempted to “transfer his ruling class arrogance… into the proletarian movement.”</w:t>
      </w:r>
      <w:r>
        <w:rPr>
          <w:color w:val="231F20"/>
          <w:position w:val="7"/>
          <w:sz w:val="11"/>
        </w:rPr>
        <w:t>1</w:t>
      </w:r>
    </w:p>
    <w:p w14:paraId="26181AE4" w14:textId="77777777" w:rsidR="002653E8" w:rsidRDefault="00000000">
      <w:pPr>
        <w:pStyle w:val="a3"/>
        <w:spacing w:line="264" w:lineRule="auto"/>
        <w:ind w:left="1327" w:right="4109" w:firstLine="210"/>
        <w:jc w:val="both"/>
      </w:pPr>
      <w:r>
        <w:rPr>
          <w:noProof w:val="0"/>
        </w:rPr>
        <w:pict w14:anchorId="38A10406">
          <v:group id="_x0000_s2388" style="position:absolute;left:0;text-align:left;margin-left:237.4pt;margin-top:3.05pt;width:137.25pt;height:201.55pt;z-index:6544;mso-position-horizontal-relative:page" coordorigin="4748,61" coordsize="2745,4031">
            <v:shape id="_x0000_s2392" type="#_x0000_t75" style="position:absolute;left:4792;top:123;width:2655;height:3899">
              <v:imagedata r:id="rId223" o:title=""/>
            </v:shape>
            <v:rect id="_x0000_s2391" style="position:absolute;left:4757;top:71;width:2725;height:4011" filled="f" strokecolor="#231f20" strokeweight="1pt"/>
            <v:shape id="_x0000_s2390" type="#_x0000_t75" style="position:absolute;left:4852;top:1005;width:1670;height:1635">
              <v:imagedata r:id="rId224" o:title=""/>
            </v:shape>
            <v:shape id="_x0000_s2389" type="#_x0000_t75" style="position:absolute;left:6508;top:1549;width:557;height:600">
              <v:imagedata r:id="rId225" o:title=""/>
            </v:shape>
            <w10:wrap anchorx="page"/>
          </v:group>
        </w:pict>
      </w:r>
      <w:r w:rsidR="003115E3">
        <w:rPr>
          <w:color w:val="231F20"/>
        </w:rPr>
        <w:t xml:space="preserve">This split, and tensions around the new demand for association, may </w:t>
      </w:r>
      <w:r w:rsidR="003115E3">
        <w:rPr>
          <w:color w:val="231F20"/>
          <w:spacing w:val="-3"/>
        </w:rPr>
        <w:t>ex</w:t>
      </w:r>
      <w:r w:rsidR="003115E3">
        <w:rPr>
          <w:color w:val="231F20"/>
        </w:rPr>
        <w:t xml:space="preserve">plain the </w:t>
      </w:r>
      <w:r w:rsidR="00C507A5">
        <w:rPr>
          <w:color w:val="231F20"/>
          <w:spacing w:val="1"/>
        </w:rPr>
        <w:t>red army faction</w:t>
      </w:r>
      <w:r w:rsidR="003115E3">
        <w:rPr>
          <w:color w:val="231F20"/>
          <w:spacing w:val="1"/>
        </w:rPr>
        <w:t xml:space="preserve">’s </w:t>
      </w:r>
      <w:r w:rsidR="003115E3">
        <w:rPr>
          <w:color w:val="231F20"/>
        </w:rPr>
        <w:t xml:space="preserve">“Provisional Program of Struggle for the Political Rights of Imprisoned </w:t>
      </w:r>
      <w:r w:rsidR="003115E3">
        <w:rPr>
          <w:color w:val="231F20"/>
          <w:spacing w:val="-3"/>
        </w:rPr>
        <w:t xml:space="preserve">Workers,” </w:t>
      </w:r>
      <w:r w:rsidR="003115E3">
        <w:rPr>
          <w:color w:val="231F20"/>
        </w:rPr>
        <w:t xml:space="preserve">which  was also released that September. </w:t>
      </w:r>
      <w:r w:rsidR="003115E3">
        <w:rPr>
          <w:color w:val="231F20"/>
          <w:spacing w:val="2"/>
        </w:rPr>
        <w:t xml:space="preserve">An </w:t>
      </w:r>
      <w:r w:rsidR="003115E3">
        <w:rPr>
          <w:color w:val="231F20"/>
        </w:rPr>
        <w:t>attempt to explain how the struggle against isolation could relate to a wider radical prisoners’ movement, the Provisional Program left the door open to the possibility of struggle alongside other prisoners. While this strategy seems to have borne no</w:t>
      </w:r>
      <w:r w:rsidR="003115E3">
        <w:rPr>
          <w:color w:val="231F20"/>
          <w:spacing w:val="-33"/>
        </w:rPr>
        <w:t xml:space="preserve"> </w:t>
      </w:r>
      <w:r w:rsidR="003115E3">
        <w:rPr>
          <w:color w:val="231F20"/>
        </w:rPr>
        <w:t>fruit, it may have assuaged the dissatisfaction felt by some of those who were unhappy at the new orientation</w:t>
      </w:r>
      <w:r w:rsidR="003115E3">
        <w:rPr>
          <w:color w:val="231F20"/>
          <w:spacing w:val="5"/>
        </w:rPr>
        <w:t xml:space="preserve"> </w:t>
      </w:r>
      <w:r w:rsidR="003115E3">
        <w:rPr>
          <w:color w:val="231F20"/>
          <w:spacing w:val="-3"/>
        </w:rPr>
        <w:t>away</w:t>
      </w:r>
    </w:p>
    <w:p w14:paraId="05CC5EFE" w14:textId="77777777" w:rsidR="002653E8" w:rsidRDefault="002653E8">
      <w:pPr>
        <w:spacing w:line="264" w:lineRule="auto"/>
        <w:jc w:val="both"/>
        <w:sectPr w:rsidR="002653E8">
          <w:pgSz w:w="8640" w:h="12960"/>
          <w:pgMar w:top="1060" w:right="0" w:bottom="1040" w:left="0" w:header="0" w:footer="850" w:gutter="0"/>
          <w:cols w:space="720"/>
        </w:sectPr>
      </w:pPr>
    </w:p>
    <w:p w14:paraId="0C64F8AA" w14:textId="77777777" w:rsidR="002653E8" w:rsidRDefault="003115E3">
      <w:pPr>
        <w:pStyle w:val="a3"/>
        <w:spacing w:line="214" w:lineRule="exact"/>
        <w:ind w:left="1327"/>
      </w:pPr>
      <w:r>
        <w:rPr>
          <w:color w:val="231F20"/>
        </w:rPr>
        <w:t>from integration.</w:t>
      </w:r>
    </w:p>
    <w:p w14:paraId="18A442B0" w14:textId="77777777" w:rsidR="002653E8" w:rsidRDefault="003115E3">
      <w:pPr>
        <w:pStyle w:val="a3"/>
        <w:spacing w:before="22" w:line="264" w:lineRule="auto"/>
        <w:ind w:left="1327" w:firstLine="210"/>
        <w:jc w:val="both"/>
      </w:pPr>
      <w:r>
        <w:rPr>
          <w:color w:val="231F20"/>
        </w:rPr>
        <w:t xml:space="preserve">Despite this rocky beginning, the </w:t>
      </w:r>
      <w:r w:rsidR="00C507A5">
        <w:rPr>
          <w:color w:val="231F20"/>
        </w:rPr>
        <w:t>red army faction</w:t>
      </w:r>
      <w:r>
        <w:rPr>
          <w:color w:val="231F20"/>
        </w:rPr>
        <w:t>’s third hunger strike was a momentous event, rallying support in a way no previous hunger strike had and serving as a major radicalizing experience for various tendencies of the left.</w:t>
      </w:r>
    </w:p>
    <w:p w14:paraId="709F24DD" w14:textId="77777777" w:rsidR="002653E8" w:rsidRDefault="003115E3">
      <w:pPr>
        <w:spacing w:before="20" w:line="244" w:lineRule="auto"/>
        <w:ind w:left="536" w:right="1409"/>
        <w:jc w:val="center"/>
        <w:rPr>
          <w:i/>
          <w:sz w:val="18"/>
        </w:rPr>
      </w:pPr>
      <w:r>
        <w:br w:type="column"/>
      </w:r>
      <w:r>
        <w:rPr>
          <w:i/>
          <w:color w:val="231F20"/>
          <w:spacing w:val="1"/>
          <w:w w:val="105"/>
          <w:sz w:val="18"/>
        </w:rPr>
        <w:t xml:space="preserve">“Solidarity </w:t>
      </w:r>
      <w:r>
        <w:rPr>
          <w:i/>
          <w:color w:val="231F20"/>
          <w:w w:val="105"/>
          <w:sz w:val="18"/>
        </w:rPr>
        <w:t xml:space="preserve">with the </w:t>
      </w:r>
      <w:r w:rsidR="00C507A5">
        <w:rPr>
          <w:i/>
          <w:color w:val="231F20"/>
          <w:spacing w:val="5"/>
          <w:w w:val="105"/>
          <w:sz w:val="18"/>
        </w:rPr>
        <w:t>red army faction</w:t>
      </w:r>
      <w:r>
        <w:rPr>
          <w:i/>
          <w:color w:val="231F20"/>
          <w:spacing w:val="5"/>
          <w:w w:val="105"/>
          <w:sz w:val="18"/>
        </w:rPr>
        <w:t xml:space="preserve"> </w:t>
      </w:r>
      <w:r>
        <w:rPr>
          <w:i/>
          <w:color w:val="231F20"/>
          <w:w w:val="105"/>
          <w:sz w:val="18"/>
        </w:rPr>
        <w:t xml:space="preserve">Comrades’ Hunger Strike”: poster for a public meeting organized by the sponti </w:t>
      </w:r>
      <w:r>
        <w:rPr>
          <w:i/>
          <w:color w:val="231F20"/>
          <w:spacing w:val="2"/>
          <w:w w:val="105"/>
          <w:sz w:val="18"/>
        </w:rPr>
        <w:t xml:space="preserve">left, </w:t>
      </w:r>
      <w:r>
        <w:rPr>
          <w:i/>
          <w:color w:val="231F20"/>
          <w:w w:val="105"/>
          <w:sz w:val="18"/>
        </w:rPr>
        <w:t xml:space="preserve">with </w:t>
      </w:r>
      <w:r>
        <w:rPr>
          <w:i/>
          <w:color w:val="231F20"/>
          <w:spacing w:val="1"/>
          <w:w w:val="105"/>
          <w:sz w:val="18"/>
        </w:rPr>
        <w:t xml:space="preserve">Rudi </w:t>
      </w:r>
      <w:r>
        <w:rPr>
          <w:i/>
          <w:color w:val="231F20"/>
          <w:w w:val="105"/>
          <w:sz w:val="18"/>
        </w:rPr>
        <w:t xml:space="preserve">Dutschke, Johannes  </w:t>
      </w:r>
      <w:r>
        <w:rPr>
          <w:i/>
          <w:color w:val="231F20"/>
          <w:spacing w:val="1"/>
          <w:w w:val="105"/>
          <w:sz w:val="18"/>
        </w:rPr>
        <w:t xml:space="preserve">Agnoli, and  </w:t>
      </w:r>
      <w:r>
        <w:rPr>
          <w:i/>
          <w:color w:val="231F20"/>
          <w:w w:val="105"/>
          <w:sz w:val="18"/>
        </w:rPr>
        <w:t>Peter</w:t>
      </w:r>
      <w:r>
        <w:rPr>
          <w:i/>
          <w:color w:val="231F20"/>
          <w:spacing w:val="7"/>
          <w:w w:val="105"/>
          <w:sz w:val="18"/>
        </w:rPr>
        <w:t xml:space="preserve"> </w:t>
      </w:r>
      <w:r>
        <w:rPr>
          <w:i/>
          <w:color w:val="231F20"/>
          <w:w w:val="105"/>
          <w:sz w:val="18"/>
        </w:rPr>
        <w:t>Brückner.</w:t>
      </w:r>
    </w:p>
    <w:p w14:paraId="245624B4" w14:textId="77777777" w:rsidR="002653E8" w:rsidRDefault="003115E3">
      <w:pPr>
        <w:spacing w:before="5"/>
        <w:ind w:left="920" w:right="1791"/>
        <w:jc w:val="center"/>
        <w:rPr>
          <w:i/>
          <w:sz w:val="18"/>
        </w:rPr>
      </w:pPr>
      <w:r>
        <w:rPr>
          <w:i/>
          <w:color w:val="231F20"/>
          <w:w w:val="105"/>
          <w:sz w:val="18"/>
        </w:rPr>
        <w:t>September 1974.</w:t>
      </w:r>
    </w:p>
    <w:p w14:paraId="17CACEF5" w14:textId="77777777" w:rsidR="002653E8" w:rsidRDefault="002653E8">
      <w:pPr>
        <w:jc w:val="center"/>
        <w:rPr>
          <w:sz w:val="18"/>
        </w:rPr>
        <w:sectPr w:rsidR="002653E8">
          <w:type w:val="continuous"/>
          <w:pgSz w:w="8640" w:h="12960"/>
          <w:pgMar w:top="0" w:right="0" w:bottom="0" w:left="0" w:header="720" w:footer="720" w:gutter="0"/>
          <w:cols w:num="2" w:space="720" w:equalWidth="0">
            <w:col w:w="4528" w:space="40"/>
            <w:col w:w="4072"/>
          </w:cols>
        </w:sectPr>
      </w:pPr>
    </w:p>
    <w:p w14:paraId="5A723E01" w14:textId="77777777" w:rsidR="002653E8" w:rsidRDefault="003115E3">
      <w:pPr>
        <w:pStyle w:val="a3"/>
        <w:spacing w:line="264" w:lineRule="auto"/>
        <w:ind w:left="1327" w:right="1146" w:firstLine="210"/>
        <w:jc w:val="both"/>
        <w:rPr>
          <w:sz w:val="11"/>
        </w:rPr>
      </w:pPr>
      <w:r>
        <w:rPr>
          <w:color w:val="231F20"/>
        </w:rPr>
        <w:t xml:space="preserve">At first, however, little attention was paid to the striking prisoners, especially in the media, which barely mentioned the strike. The main solidarity activity remained public outreach. Students at the </w:t>
      </w:r>
      <w:r>
        <w:rPr>
          <w:color w:val="231F20"/>
          <w:spacing w:val="-3"/>
        </w:rPr>
        <w:t xml:space="preserve">West </w:t>
      </w:r>
      <w:r>
        <w:rPr>
          <w:color w:val="231F20"/>
        </w:rPr>
        <w:t>Berlin Technical University staged a solidarity hunger strike,</w:t>
      </w:r>
      <w:r>
        <w:rPr>
          <w:color w:val="231F20"/>
          <w:position w:val="7"/>
          <w:sz w:val="11"/>
        </w:rPr>
        <w:t xml:space="preserve">2 </w:t>
      </w:r>
      <w:r>
        <w:rPr>
          <w:color w:val="231F20"/>
        </w:rPr>
        <w:t xml:space="preserve">and supporters in that city occupied a Lutheran Church demanding an end to isolation, extermination imprisonment, and “clean torture”—they were greeted with support by the </w:t>
      </w:r>
      <w:r>
        <w:rPr>
          <w:color w:val="231F20"/>
          <w:spacing w:val="-3"/>
        </w:rPr>
        <w:t xml:space="preserve">Church’s </w:t>
      </w:r>
      <w:r>
        <w:rPr>
          <w:color w:val="231F20"/>
        </w:rPr>
        <w:t>superintendent and several</w:t>
      </w:r>
      <w:r>
        <w:rPr>
          <w:color w:val="231F20"/>
          <w:spacing w:val="36"/>
        </w:rPr>
        <w:t xml:space="preserve"> </w:t>
      </w:r>
      <w:r>
        <w:rPr>
          <w:color w:val="231F20"/>
        </w:rPr>
        <w:t>clergymen.</w:t>
      </w:r>
      <w:r>
        <w:rPr>
          <w:color w:val="231F20"/>
          <w:position w:val="7"/>
          <w:sz w:val="11"/>
        </w:rPr>
        <w:t>3</w:t>
      </w:r>
    </w:p>
    <w:p w14:paraId="6BC1A49F" w14:textId="77777777" w:rsidR="002653E8" w:rsidRDefault="00000000">
      <w:pPr>
        <w:pStyle w:val="a3"/>
        <w:spacing w:before="6"/>
        <w:rPr>
          <w:sz w:val="25"/>
        </w:rPr>
      </w:pPr>
      <w:r>
        <w:rPr>
          <w:noProof w:val="0"/>
        </w:rPr>
        <w:pict w14:anchorId="14243346">
          <v:line id="_x0000_s2387" style="position:absolute;z-index:6520;mso-wrap-distance-left:0;mso-wrap-distance-right:0;mso-position-horizontal-relative:page" from="66.4pt,17.2pt" to="138.4pt,17.2pt" strokecolor="#231f20" strokeweight=".5pt">
            <w10:wrap type="topAndBottom" anchorx="page"/>
          </v:line>
        </w:pict>
      </w:r>
    </w:p>
    <w:p w14:paraId="7ED5560D" w14:textId="77777777" w:rsidR="002653E8" w:rsidRDefault="003115E3">
      <w:pPr>
        <w:pStyle w:val="a4"/>
        <w:numPr>
          <w:ilvl w:val="0"/>
          <w:numId w:val="115"/>
        </w:numPr>
        <w:tabs>
          <w:tab w:val="left" w:pos="1467"/>
        </w:tabs>
        <w:spacing w:before="53"/>
        <w:ind w:hanging="1"/>
        <w:rPr>
          <w:sz w:val="16"/>
        </w:rPr>
      </w:pPr>
      <w:bookmarkStart w:id="112" w:name="_Hlk103490369"/>
      <w:r>
        <w:rPr>
          <w:color w:val="231F20"/>
          <w:w w:val="105"/>
          <w:sz w:val="16"/>
        </w:rPr>
        <w:t>The</w:t>
      </w:r>
      <w:r>
        <w:rPr>
          <w:color w:val="231F20"/>
          <w:spacing w:val="8"/>
          <w:w w:val="105"/>
          <w:sz w:val="16"/>
        </w:rPr>
        <w:t xml:space="preserve"> </w:t>
      </w:r>
      <w:r>
        <w:rPr>
          <w:color w:val="231F20"/>
          <w:w w:val="105"/>
          <w:sz w:val="16"/>
        </w:rPr>
        <w:t>Expulsion</w:t>
      </w:r>
      <w:r>
        <w:rPr>
          <w:color w:val="231F20"/>
          <w:spacing w:val="8"/>
          <w:w w:val="105"/>
          <w:sz w:val="16"/>
        </w:rPr>
        <w:t xml:space="preserve"> </w:t>
      </w:r>
      <w:r>
        <w:rPr>
          <w:color w:val="231F20"/>
          <w:w w:val="105"/>
          <w:sz w:val="16"/>
        </w:rPr>
        <w:t>of</w:t>
      </w:r>
      <w:r>
        <w:rPr>
          <w:color w:val="231F20"/>
          <w:spacing w:val="8"/>
          <w:w w:val="105"/>
          <w:sz w:val="16"/>
        </w:rPr>
        <w:t xml:space="preserve"> </w:t>
      </w:r>
      <w:r>
        <w:rPr>
          <w:color w:val="231F20"/>
          <w:w w:val="105"/>
          <w:sz w:val="16"/>
        </w:rPr>
        <w:t>Horst</w:t>
      </w:r>
      <w:r>
        <w:rPr>
          <w:color w:val="231F20"/>
          <w:spacing w:val="8"/>
          <w:w w:val="105"/>
          <w:sz w:val="16"/>
        </w:rPr>
        <w:t xml:space="preserve"> </w:t>
      </w:r>
      <w:r>
        <w:rPr>
          <w:color w:val="231F20"/>
          <w:w w:val="105"/>
          <w:sz w:val="16"/>
        </w:rPr>
        <w:t>Mahler,</w:t>
      </w:r>
      <w:r>
        <w:rPr>
          <w:color w:val="231F20"/>
          <w:spacing w:val="8"/>
          <w:w w:val="105"/>
          <w:sz w:val="16"/>
        </w:rPr>
        <w:t xml:space="preserve"> </w:t>
      </w:r>
      <w:r>
        <w:rPr>
          <w:color w:val="231F20"/>
          <w:w w:val="105"/>
          <w:sz w:val="16"/>
        </w:rPr>
        <w:t>see</w:t>
      </w:r>
      <w:r>
        <w:rPr>
          <w:color w:val="231F20"/>
          <w:spacing w:val="8"/>
          <w:w w:val="105"/>
          <w:sz w:val="16"/>
        </w:rPr>
        <w:t xml:space="preserve"> </w:t>
      </w:r>
      <w:r>
        <w:rPr>
          <w:color w:val="231F20"/>
          <w:w w:val="105"/>
          <w:sz w:val="16"/>
        </w:rPr>
        <w:t>pages</w:t>
      </w:r>
      <w:r>
        <w:rPr>
          <w:color w:val="231F20"/>
          <w:spacing w:val="10"/>
          <w:w w:val="105"/>
          <w:sz w:val="16"/>
        </w:rPr>
        <w:t xml:space="preserve"> </w:t>
      </w:r>
      <w:r>
        <w:rPr>
          <w:color w:val="231F20"/>
          <w:w w:val="105"/>
          <w:sz w:val="16"/>
        </w:rPr>
        <w:t>288-91.</w:t>
      </w:r>
    </w:p>
    <w:p w14:paraId="59533F4F" w14:textId="77777777" w:rsidR="002653E8" w:rsidRPr="00C507A5" w:rsidRDefault="003115E3">
      <w:pPr>
        <w:pStyle w:val="a4"/>
        <w:numPr>
          <w:ilvl w:val="0"/>
          <w:numId w:val="115"/>
        </w:numPr>
        <w:tabs>
          <w:tab w:val="left" w:pos="1467"/>
        </w:tabs>
        <w:spacing w:before="51"/>
        <w:ind w:left="1466" w:hanging="138"/>
        <w:rPr>
          <w:sz w:val="16"/>
          <w:lang w:val="de-DE"/>
        </w:rPr>
      </w:pPr>
      <w:r w:rsidRPr="00C507A5">
        <w:rPr>
          <w:color w:val="231F20"/>
          <w:w w:val="105"/>
          <w:sz w:val="16"/>
          <w:lang w:val="de-DE"/>
        </w:rPr>
        <w:t>Peter</w:t>
      </w:r>
      <w:r w:rsidRPr="00C507A5">
        <w:rPr>
          <w:color w:val="231F20"/>
          <w:spacing w:val="8"/>
          <w:w w:val="105"/>
          <w:sz w:val="16"/>
          <w:lang w:val="de-DE"/>
        </w:rPr>
        <w:t xml:space="preserve"> </w:t>
      </w:r>
      <w:r w:rsidRPr="00C507A5">
        <w:rPr>
          <w:color w:val="231F20"/>
          <w:w w:val="105"/>
          <w:sz w:val="16"/>
          <w:lang w:val="de-DE"/>
        </w:rPr>
        <w:t>Jochen</w:t>
      </w:r>
      <w:r w:rsidRPr="00C507A5">
        <w:rPr>
          <w:color w:val="231F20"/>
          <w:spacing w:val="8"/>
          <w:w w:val="105"/>
          <w:sz w:val="16"/>
          <w:lang w:val="de-DE"/>
        </w:rPr>
        <w:t xml:space="preserve"> </w:t>
      </w:r>
      <w:r w:rsidRPr="00C507A5">
        <w:rPr>
          <w:color w:val="231F20"/>
          <w:w w:val="105"/>
          <w:sz w:val="16"/>
          <w:lang w:val="de-DE"/>
        </w:rPr>
        <w:t>Winters,</w:t>
      </w:r>
      <w:r w:rsidRPr="00C507A5">
        <w:rPr>
          <w:color w:val="231F20"/>
          <w:spacing w:val="8"/>
          <w:w w:val="105"/>
          <w:sz w:val="16"/>
          <w:lang w:val="de-DE"/>
        </w:rPr>
        <w:t xml:space="preserve"> </w:t>
      </w:r>
      <w:r w:rsidRPr="00C507A5">
        <w:rPr>
          <w:color w:val="231F20"/>
          <w:w w:val="105"/>
          <w:sz w:val="16"/>
          <w:lang w:val="de-DE"/>
        </w:rPr>
        <w:t>“Unklarheit</w:t>
      </w:r>
      <w:r w:rsidRPr="00C507A5">
        <w:rPr>
          <w:color w:val="231F20"/>
          <w:spacing w:val="8"/>
          <w:w w:val="105"/>
          <w:sz w:val="16"/>
          <w:lang w:val="de-DE"/>
        </w:rPr>
        <w:t xml:space="preserve"> </w:t>
      </w:r>
      <w:r w:rsidRPr="00C507A5">
        <w:rPr>
          <w:color w:val="231F20"/>
          <w:w w:val="105"/>
          <w:sz w:val="16"/>
          <w:lang w:val="de-DE"/>
        </w:rPr>
        <w:t>über</w:t>
      </w:r>
      <w:r w:rsidRPr="00C507A5">
        <w:rPr>
          <w:color w:val="231F20"/>
          <w:spacing w:val="8"/>
          <w:w w:val="105"/>
          <w:sz w:val="16"/>
          <w:lang w:val="de-DE"/>
        </w:rPr>
        <w:t xml:space="preserve"> </w:t>
      </w:r>
      <w:r w:rsidRPr="00C507A5">
        <w:rPr>
          <w:color w:val="231F20"/>
          <w:w w:val="105"/>
          <w:sz w:val="16"/>
          <w:lang w:val="de-DE"/>
        </w:rPr>
        <w:t>die</w:t>
      </w:r>
      <w:r w:rsidRPr="00C507A5">
        <w:rPr>
          <w:color w:val="231F20"/>
          <w:spacing w:val="8"/>
          <w:w w:val="105"/>
          <w:sz w:val="16"/>
          <w:lang w:val="de-DE"/>
        </w:rPr>
        <w:t xml:space="preserve"> </w:t>
      </w:r>
      <w:r w:rsidRPr="00C507A5">
        <w:rPr>
          <w:color w:val="231F20"/>
          <w:w w:val="105"/>
          <w:sz w:val="16"/>
          <w:lang w:val="de-DE"/>
        </w:rPr>
        <w:t>Rolle</w:t>
      </w:r>
      <w:r w:rsidRPr="00C507A5">
        <w:rPr>
          <w:color w:val="231F20"/>
          <w:spacing w:val="8"/>
          <w:w w:val="105"/>
          <w:sz w:val="16"/>
          <w:lang w:val="de-DE"/>
        </w:rPr>
        <w:t xml:space="preserve"> </w:t>
      </w:r>
      <w:r w:rsidRPr="00C507A5">
        <w:rPr>
          <w:color w:val="231F20"/>
          <w:w w:val="105"/>
          <w:sz w:val="16"/>
          <w:lang w:val="de-DE"/>
        </w:rPr>
        <w:t>der</w:t>
      </w:r>
      <w:r w:rsidRPr="00C507A5">
        <w:rPr>
          <w:color w:val="231F20"/>
          <w:spacing w:val="8"/>
          <w:w w:val="105"/>
          <w:sz w:val="16"/>
          <w:lang w:val="de-DE"/>
        </w:rPr>
        <w:t xml:space="preserve"> </w:t>
      </w:r>
      <w:r w:rsidRPr="00C507A5">
        <w:rPr>
          <w:color w:val="231F20"/>
          <w:w w:val="105"/>
          <w:sz w:val="16"/>
          <w:lang w:val="de-DE"/>
        </w:rPr>
        <w:t>verhafteten</w:t>
      </w:r>
      <w:r w:rsidRPr="00C507A5">
        <w:rPr>
          <w:color w:val="231F20"/>
          <w:spacing w:val="8"/>
          <w:w w:val="105"/>
          <w:sz w:val="16"/>
          <w:lang w:val="de-DE"/>
        </w:rPr>
        <w:t xml:space="preserve"> </w:t>
      </w:r>
      <w:r w:rsidRPr="00C507A5">
        <w:rPr>
          <w:color w:val="231F20"/>
          <w:w w:val="105"/>
          <w:sz w:val="16"/>
          <w:lang w:val="de-DE"/>
        </w:rPr>
        <w:t>Pfarrersfrau,”</w:t>
      </w:r>
    </w:p>
    <w:p w14:paraId="69B0AD03" w14:textId="77777777" w:rsidR="002653E8" w:rsidRDefault="003115E3">
      <w:pPr>
        <w:spacing w:before="12"/>
        <w:ind w:left="1328"/>
        <w:rPr>
          <w:sz w:val="16"/>
        </w:rPr>
      </w:pPr>
      <w:r>
        <w:rPr>
          <w:i/>
          <w:color w:val="231F20"/>
          <w:w w:val="105"/>
          <w:sz w:val="16"/>
        </w:rPr>
        <w:t xml:space="preserve">Frankfurter Allgemeine Zeitung, </w:t>
      </w:r>
      <w:r>
        <w:rPr>
          <w:color w:val="231F20"/>
          <w:w w:val="105"/>
          <w:sz w:val="16"/>
        </w:rPr>
        <w:t>November 23, 1974.</w:t>
      </w:r>
    </w:p>
    <w:p w14:paraId="39EA3AD6" w14:textId="77777777" w:rsidR="002653E8" w:rsidRPr="00C507A5" w:rsidRDefault="003115E3">
      <w:pPr>
        <w:pStyle w:val="a4"/>
        <w:numPr>
          <w:ilvl w:val="0"/>
          <w:numId w:val="115"/>
        </w:numPr>
        <w:tabs>
          <w:tab w:val="left" w:pos="1467"/>
        </w:tabs>
        <w:spacing w:before="52" w:line="254" w:lineRule="auto"/>
        <w:ind w:right="1191" w:firstLine="0"/>
        <w:rPr>
          <w:sz w:val="16"/>
          <w:lang w:val="de-DE"/>
        </w:rPr>
      </w:pPr>
      <w:r w:rsidRPr="00C507A5">
        <w:rPr>
          <w:color w:val="231F20"/>
          <w:w w:val="105"/>
          <w:sz w:val="16"/>
          <w:lang w:val="de-DE"/>
        </w:rPr>
        <w:t xml:space="preserve">Peter Jochen Winters, “Die Verquickung in Machenschaften der Meinhof-Bande began mit einer Kirschenbetzung,” </w:t>
      </w:r>
      <w:r w:rsidRPr="00C507A5">
        <w:rPr>
          <w:i/>
          <w:color w:val="231F20"/>
          <w:spacing w:val="1"/>
          <w:w w:val="105"/>
          <w:sz w:val="16"/>
          <w:lang w:val="de-DE"/>
        </w:rPr>
        <w:t xml:space="preserve">Frankfurter Allgemeine Zeitung, </w:t>
      </w:r>
      <w:r w:rsidRPr="00C507A5">
        <w:rPr>
          <w:color w:val="231F20"/>
          <w:spacing w:val="-3"/>
          <w:w w:val="105"/>
          <w:sz w:val="16"/>
          <w:lang w:val="de-DE"/>
        </w:rPr>
        <w:t xml:space="preserve">Nov. </w:t>
      </w:r>
      <w:r w:rsidRPr="00C507A5">
        <w:rPr>
          <w:color w:val="231F20"/>
          <w:spacing w:val="-5"/>
          <w:w w:val="105"/>
          <w:sz w:val="16"/>
          <w:lang w:val="de-DE"/>
        </w:rPr>
        <w:t>25,</w:t>
      </w:r>
      <w:r w:rsidRPr="00C507A5">
        <w:rPr>
          <w:color w:val="231F20"/>
          <w:spacing w:val="11"/>
          <w:w w:val="105"/>
          <w:sz w:val="16"/>
          <w:lang w:val="de-DE"/>
        </w:rPr>
        <w:t xml:space="preserve"> </w:t>
      </w:r>
      <w:r w:rsidRPr="00C507A5">
        <w:rPr>
          <w:color w:val="231F20"/>
          <w:spacing w:val="-4"/>
          <w:w w:val="105"/>
          <w:sz w:val="16"/>
          <w:lang w:val="de-DE"/>
        </w:rPr>
        <w:t>1974.</w:t>
      </w:r>
    </w:p>
    <w:bookmarkEnd w:id="112"/>
    <w:p w14:paraId="69DFE90C" w14:textId="77777777" w:rsidR="002653E8" w:rsidRPr="00C507A5" w:rsidRDefault="002653E8">
      <w:pPr>
        <w:spacing w:line="254" w:lineRule="auto"/>
        <w:rPr>
          <w:sz w:val="16"/>
          <w:lang w:val="de-DE"/>
        </w:rPr>
        <w:sectPr w:rsidR="002653E8" w:rsidRPr="00C507A5">
          <w:type w:val="continuous"/>
          <w:pgSz w:w="8640" w:h="12960"/>
          <w:pgMar w:top="0" w:right="0" w:bottom="0" w:left="0" w:header="720" w:footer="720" w:gutter="0"/>
          <w:cols w:space="720"/>
        </w:sectPr>
      </w:pPr>
    </w:p>
    <w:p w14:paraId="4DFC723C" w14:textId="77777777" w:rsidR="002653E8" w:rsidRDefault="003115E3">
      <w:pPr>
        <w:pStyle w:val="a3"/>
        <w:spacing w:before="86" w:line="264" w:lineRule="auto"/>
        <w:ind w:left="1147" w:right="1326" w:firstLine="210"/>
        <w:jc w:val="both"/>
      </w:pPr>
      <w:r>
        <w:rPr>
          <w:color w:val="231F20"/>
        </w:rPr>
        <w:lastRenderedPageBreak/>
        <w:t xml:space="preserve">Notable among the prisoners’ Lutheran supporters were Undine Zühlke, a clergyman’s wife, and Vicar  Cornelius  Burghardt.  Both Zühlke and Burghardt organized a public assembly at their church on November 4, where they spoke alongside a number of the prisoners’ lawyers, and where resolutions were passed against isolation torture. Burghardt also publicly admitted having sheltered Meinhof in </w:t>
      </w:r>
      <w:r>
        <w:rPr>
          <w:color w:val="231F20"/>
          <w:spacing w:val="-4"/>
        </w:rPr>
        <w:t xml:space="preserve">1971, </w:t>
      </w:r>
      <w:r>
        <w:rPr>
          <w:color w:val="231F20"/>
        </w:rPr>
        <w:t>explaining that he did so in “the Christian tradition.”</w:t>
      </w:r>
      <w:r>
        <w:rPr>
          <w:color w:val="231F20"/>
          <w:position w:val="7"/>
          <w:sz w:val="11"/>
        </w:rPr>
        <w:t xml:space="preserve">1 </w:t>
      </w:r>
      <w:r>
        <w:rPr>
          <w:color w:val="231F20"/>
        </w:rPr>
        <w:t xml:space="preserve">(Zühlke and Burghardt were soon sentenced under </w:t>
      </w:r>
      <w:r>
        <w:rPr>
          <w:color w:val="231F20"/>
          <w:sz w:val="18"/>
        </w:rPr>
        <w:t>§</w:t>
      </w:r>
      <w:r>
        <w:rPr>
          <w:color w:val="231F20"/>
        </w:rPr>
        <w:t>129—he for sheltering Meinhof and</w:t>
      </w:r>
      <w:r>
        <w:rPr>
          <w:color w:val="231F20"/>
          <w:spacing w:val="-13"/>
        </w:rPr>
        <w:t xml:space="preserve"> </w:t>
      </w:r>
      <w:r>
        <w:rPr>
          <w:color w:val="231F20"/>
        </w:rPr>
        <w:t>she</w:t>
      </w:r>
      <w:r>
        <w:rPr>
          <w:color w:val="231F20"/>
          <w:spacing w:val="-13"/>
        </w:rPr>
        <w:t xml:space="preserve"> </w:t>
      </w:r>
      <w:r>
        <w:rPr>
          <w:color w:val="231F20"/>
        </w:rPr>
        <w:t>for</w:t>
      </w:r>
      <w:r>
        <w:rPr>
          <w:color w:val="231F20"/>
          <w:spacing w:val="-13"/>
        </w:rPr>
        <w:t xml:space="preserve"> </w:t>
      </w:r>
      <w:r>
        <w:rPr>
          <w:color w:val="231F20"/>
        </w:rPr>
        <w:t>smuggling</w:t>
      </w:r>
      <w:r>
        <w:rPr>
          <w:color w:val="231F20"/>
          <w:spacing w:val="-13"/>
        </w:rPr>
        <w:t xml:space="preserve"> </w:t>
      </w:r>
      <w:r>
        <w:rPr>
          <w:color w:val="231F20"/>
        </w:rPr>
        <w:t>a</w:t>
      </w:r>
      <w:r>
        <w:rPr>
          <w:color w:val="231F20"/>
          <w:spacing w:val="-13"/>
        </w:rPr>
        <w:t xml:space="preserve"> </w:t>
      </w:r>
      <w:r>
        <w:rPr>
          <w:color w:val="231F20"/>
        </w:rPr>
        <w:t>letter</w:t>
      </w:r>
      <w:r>
        <w:rPr>
          <w:color w:val="231F20"/>
          <w:spacing w:val="-13"/>
        </w:rPr>
        <w:t xml:space="preserve"> </w:t>
      </w:r>
      <w:r>
        <w:rPr>
          <w:color w:val="231F20"/>
        </w:rPr>
        <w:t>out</w:t>
      </w:r>
      <w:r>
        <w:rPr>
          <w:color w:val="231F20"/>
          <w:spacing w:val="-13"/>
        </w:rPr>
        <w:t xml:space="preserve"> </w:t>
      </w:r>
      <w:r>
        <w:rPr>
          <w:color w:val="231F20"/>
        </w:rPr>
        <w:t>from</w:t>
      </w:r>
      <w:r>
        <w:rPr>
          <w:color w:val="231F20"/>
          <w:spacing w:val="-13"/>
        </w:rPr>
        <w:t xml:space="preserve"> </w:t>
      </w:r>
      <w:r>
        <w:rPr>
          <w:color w:val="231F20"/>
          <w:spacing w:val="2"/>
        </w:rPr>
        <w:t>Meinhofin</w:t>
      </w:r>
      <w:r>
        <w:rPr>
          <w:color w:val="231F20"/>
          <w:spacing w:val="-13"/>
        </w:rPr>
        <w:t xml:space="preserve"> </w:t>
      </w:r>
      <w:r>
        <w:rPr>
          <w:color w:val="231F20"/>
        </w:rPr>
        <w:t>early</w:t>
      </w:r>
      <w:r>
        <w:rPr>
          <w:color w:val="231F20"/>
          <w:spacing w:val="-13"/>
        </w:rPr>
        <w:t xml:space="preserve"> </w:t>
      </w:r>
      <w:r>
        <w:rPr>
          <w:color w:val="231F20"/>
        </w:rPr>
        <w:t>November.</w:t>
      </w:r>
      <w:r>
        <w:rPr>
          <w:color w:val="231F20"/>
          <w:position w:val="7"/>
          <w:sz w:val="11"/>
        </w:rPr>
        <w:t>2</w:t>
      </w:r>
      <w:r>
        <w:rPr>
          <w:color w:val="231F20"/>
          <w:spacing w:val="-6"/>
          <w:position w:val="7"/>
          <w:sz w:val="11"/>
        </w:rPr>
        <w:t xml:space="preserve"> </w:t>
      </w:r>
      <w:r>
        <w:rPr>
          <w:color w:val="231F20"/>
        </w:rPr>
        <w:t xml:space="preserve">Later that month, the Lutheran Church Council attempted to clamp down on radical church members, issuing a “Statement Against </w:t>
      </w:r>
      <w:r>
        <w:rPr>
          <w:color w:val="231F20"/>
          <w:spacing w:val="-3"/>
        </w:rPr>
        <w:t xml:space="preserve">Terrorism” </w:t>
      </w:r>
      <w:r>
        <w:rPr>
          <w:color w:val="231F20"/>
        </w:rPr>
        <w:t>and calling</w:t>
      </w:r>
      <w:r>
        <w:rPr>
          <w:color w:val="231F20"/>
          <w:spacing w:val="13"/>
        </w:rPr>
        <w:t xml:space="preserve"> </w:t>
      </w:r>
      <w:r>
        <w:rPr>
          <w:color w:val="231F20"/>
        </w:rPr>
        <w:t>on</w:t>
      </w:r>
      <w:r>
        <w:rPr>
          <w:color w:val="231F20"/>
          <w:spacing w:val="13"/>
        </w:rPr>
        <w:t xml:space="preserve"> </w:t>
      </w:r>
      <w:r>
        <w:rPr>
          <w:color w:val="231F20"/>
        </w:rPr>
        <w:t>unnamed</w:t>
      </w:r>
      <w:r>
        <w:rPr>
          <w:color w:val="231F20"/>
          <w:spacing w:val="13"/>
        </w:rPr>
        <w:t xml:space="preserve"> </w:t>
      </w:r>
      <w:r>
        <w:rPr>
          <w:color w:val="231F20"/>
        </w:rPr>
        <w:t>clergymen</w:t>
      </w:r>
      <w:r>
        <w:rPr>
          <w:color w:val="231F20"/>
          <w:spacing w:val="13"/>
        </w:rPr>
        <w:t xml:space="preserve"> </w:t>
      </w:r>
      <w:r>
        <w:rPr>
          <w:color w:val="231F20"/>
        </w:rPr>
        <w:t>to</w:t>
      </w:r>
      <w:r>
        <w:rPr>
          <w:color w:val="231F20"/>
          <w:spacing w:val="13"/>
        </w:rPr>
        <w:t xml:space="preserve"> </w:t>
      </w:r>
      <w:r>
        <w:rPr>
          <w:color w:val="231F20"/>
        </w:rPr>
        <w:t>“reorient</w:t>
      </w:r>
      <w:r>
        <w:rPr>
          <w:color w:val="231F20"/>
          <w:spacing w:val="13"/>
        </w:rPr>
        <w:t xml:space="preserve"> </w:t>
      </w:r>
      <w:r>
        <w:rPr>
          <w:color w:val="231F20"/>
        </w:rPr>
        <w:t>themselves”</w:t>
      </w:r>
      <w:r>
        <w:rPr>
          <w:color w:val="231F20"/>
          <w:spacing w:val="13"/>
        </w:rPr>
        <w:t xml:space="preserve"> </w:t>
      </w:r>
      <w:r>
        <w:rPr>
          <w:color w:val="231F20"/>
        </w:rPr>
        <w:t>accordingly.</w:t>
      </w:r>
      <w:r>
        <w:rPr>
          <w:color w:val="231F20"/>
          <w:position w:val="7"/>
          <w:sz w:val="11"/>
        </w:rPr>
        <w:t>3</w:t>
      </w:r>
      <w:r>
        <w:rPr>
          <w:color w:val="231F20"/>
        </w:rPr>
        <w:t>)</w:t>
      </w:r>
    </w:p>
    <w:p w14:paraId="68B751D1" w14:textId="77777777" w:rsidR="002653E8" w:rsidRDefault="003115E3">
      <w:pPr>
        <w:pStyle w:val="a3"/>
        <w:spacing w:line="221" w:lineRule="exact"/>
        <w:ind w:left="1358"/>
      </w:pPr>
      <w:r>
        <w:rPr>
          <w:color w:val="231F20"/>
        </w:rPr>
        <w:t>At  the  same  time,  another  noteworthy  source  of  support  was the</w:t>
      </w:r>
    </w:p>
    <w:p w14:paraId="5BCABFF3" w14:textId="77777777" w:rsidR="002653E8" w:rsidRDefault="003115E3">
      <w:pPr>
        <w:pStyle w:val="a3"/>
        <w:spacing w:before="23" w:line="264" w:lineRule="auto"/>
        <w:ind w:left="1147" w:right="1325"/>
        <w:jc w:val="both"/>
      </w:pPr>
      <w:r>
        <w:rPr>
          <w:color w:val="231F20"/>
          <w:spacing w:val="7"/>
          <w:w w:val="114"/>
        </w:rPr>
        <w:t>K</w:t>
      </w:r>
      <w:r>
        <w:rPr>
          <w:color w:val="231F20"/>
          <w:w w:val="108"/>
        </w:rPr>
        <w:t>PD</w:t>
      </w:r>
      <w:r>
        <w:rPr>
          <w:color w:val="231F20"/>
          <w:spacing w:val="6"/>
          <w:w w:val="56"/>
        </w:rPr>
        <w:t>/</w:t>
      </w:r>
      <w:r>
        <w:rPr>
          <w:color w:val="231F20"/>
          <w:spacing w:val="6"/>
          <w:w w:val="119"/>
        </w:rPr>
        <w:t>M</w:t>
      </w:r>
      <w:r>
        <w:rPr>
          <w:color w:val="231F20"/>
          <w:spacing w:val="10"/>
          <w:w w:val="119"/>
        </w:rPr>
        <w:t>L</w:t>
      </w:r>
      <w:r>
        <w:rPr>
          <w:color w:val="231F20"/>
          <w:w w:val="135"/>
        </w:rPr>
        <w:t>,</w:t>
      </w:r>
      <w:r>
        <w:rPr>
          <w:color w:val="231F20"/>
        </w:rPr>
        <w:t xml:space="preserve"> </w:t>
      </w:r>
      <w:r>
        <w:rPr>
          <w:color w:val="231F20"/>
          <w:spacing w:val="-1"/>
        </w:rPr>
        <w:t>w</w:t>
      </w:r>
      <w:r>
        <w:rPr>
          <w:color w:val="231F20"/>
          <w:spacing w:val="3"/>
        </w:rPr>
        <w:t>h</w:t>
      </w:r>
      <w:r>
        <w:rPr>
          <w:color w:val="231F20"/>
        </w:rPr>
        <w:t xml:space="preserve">ich </w:t>
      </w:r>
      <w:r>
        <w:rPr>
          <w:color w:val="231F20"/>
          <w:spacing w:val="1"/>
        </w:rPr>
        <w:t>h</w:t>
      </w:r>
      <w:r>
        <w:rPr>
          <w:color w:val="231F20"/>
          <w:spacing w:val="-2"/>
          <w:w w:val="102"/>
        </w:rPr>
        <w:t>a</w:t>
      </w:r>
      <w:r>
        <w:rPr>
          <w:color w:val="231F20"/>
        </w:rPr>
        <w:t xml:space="preserve">d </w:t>
      </w:r>
      <w:r>
        <w:rPr>
          <w:color w:val="231F20"/>
          <w:spacing w:val="-1"/>
          <w:w w:val="90"/>
        </w:rPr>
        <w:t>s</w:t>
      </w:r>
      <w:r>
        <w:rPr>
          <w:color w:val="231F20"/>
        </w:rPr>
        <w:t>u</w:t>
      </w:r>
      <w:r>
        <w:rPr>
          <w:color w:val="231F20"/>
          <w:spacing w:val="2"/>
        </w:rPr>
        <w:t>c</w:t>
      </w:r>
      <w:r>
        <w:rPr>
          <w:color w:val="231F20"/>
          <w:spacing w:val="1"/>
        </w:rPr>
        <w:t>c</w:t>
      </w:r>
      <w:r>
        <w:rPr>
          <w:color w:val="231F20"/>
          <w:spacing w:val="1"/>
          <w:w w:val="91"/>
        </w:rPr>
        <w:t>e</w:t>
      </w:r>
      <w:r>
        <w:rPr>
          <w:color w:val="231F20"/>
          <w:spacing w:val="1"/>
          <w:w w:val="90"/>
        </w:rPr>
        <w:t>s</w:t>
      </w:r>
      <w:r>
        <w:rPr>
          <w:color w:val="231F20"/>
          <w:spacing w:val="-1"/>
          <w:w w:val="90"/>
        </w:rPr>
        <w:t>s</w:t>
      </w:r>
      <w:r>
        <w:rPr>
          <w:color w:val="231F20"/>
          <w:spacing w:val="5"/>
          <w:w w:val="109"/>
        </w:rPr>
        <w:t>f</w:t>
      </w:r>
      <w:r>
        <w:rPr>
          <w:color w:val="231F20"/>
          <w:spacing w:val="3"/>
        </w:rPr>
        <w:t>u</w:t>
      </w:r>
      <w:r>
        <w:rPr>
          <w:color w:val="231F20"/>
          <w:spacing w:val="2"/>
          <w:w w:val="102"/>
        </w:rPr>
        <w:t>l</w:t>
      </w:r>
      <w:r>
        <w:rPr>
          <w:color w:val="231F20"/>
          <w:spacing w:val="-2"/>
          <w:w w:val="102"/>
        </w:rPr>
        <w:t>l</w:t>
      </w:r>
      <w:r>
        <w:rPr>
          <w:color w:val="231F20"/>
          <w:w w:val="99"/>
        </w:rPr>
        <w:t>y</w:t>
      </w:r>
      <w:r>
        <w:rPr>
          <w:color w:val="231F20"/>
        </w:rPr>
        <w:t xml:space="preserve"> </w:t>
      </w:r>
      <w:r>
        <w:rPr>
          <w:color w:val="231F20"/>
          <w:spacing w:val="2"/>
          <w:w w:val="98"/>
        </w:rPr>
        <w:t>t</w:t>
      </w:r>
      <w:r>
        <w:rPr>
          <w:color w:val="231F20"/>
          <w:spacing w:val="2"/>
          <w:w w:val="102"/>
        </w:rPr>
        <w:t>a</w:t>
      </w:r>
      <w:r>
        <w:rPr>
          <w:color w:val="231F20"/>
          <w:spacing w:val="-2"/>
          <w:w w:val="106"/>
        </w:rPr>
        <w:t>k</w:t>
      </w:r>
      <w:r>
        <w:rPr>
          <w:color w:val="231F20"/>
          <w:w w:val="91"/>
        </w:rPr>
        <w:t>e</w:t>
      </w:r>
      <w:r>
        <w:rPr>
          <w:color w:val="231F20"/>
          <w:w w:val="99"/>
        </w:rPr>
        <w:t>n</w:t>
      </w:r>
      <w:r>
        <w:rPr>
          <w:color w:val="231F20"/>
        </w:rPr>
        <w:t xml:space="preserve"> </w:t>
      </w:r>
      <w:r>
        <w:rPr>
          <w:color w:val="231F20"/>
          <w:spacing w:val="-3"/>
          <w:w w:val="104"/>
        </w:rPr>
        <w:t>o</w:t>
      </w:r>
      <w:r>
        <w:rPr>
          <w:color w:val="231F20"/>
          <w:spacing w:val="-2"/>
          <w:w w:val="99"/>
        </w:rPr>
        <w:t>v</w:t>
      </w:r>
      <w:r>
        <w:rPr>
          <w:color w:val="231F20"/>
          <w:w w:val="92"/>
        </w:rPr>
        <w:t>er</w:t>
      </w:r>
      <w:r>
        <w:rPr>
          <w:color w:val="231F20"/>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1"/>
        </w:rPr>
        <w:t>m</w:t>
      </w:r>
      <w:r>
        <w:rPr>
          <w:color w:val="231F20"/>
          <w:spacing w:val="2"/>
          <w:w w:val="102"/>
        </w:rPr>
        <w:t>a</w:t>
      </w:r>
      <w:r>
        <w:rPr>
          <w:color w:val="231F20"/>
          <w:spacing w:val="2"/>
        </w:rPr>
        <w:t>i</w:t>
      </w:r>
      <w:r>
        <w:rPr>
          <w:color w:val="231F20"/>
          <w:w w:val="99"/>
        </w:rPr>
        <w:t>n</w:t>
      </w:r>
      <w:r>
        <w:rPr>
          <w:color w:val="231F20"/>
        </w:rPr>
        <w:t xml:space="preserve"> </w:t>
      </w:r>
      <w:r>
        <w:rPr>
          <w:color w:val="231F20"/>
          <w:w w:val="116"/>
        </w:rPr>
        <w:t>R</w:t>
      </w:r>
      <w:r>
        <w:rPr>
          <w:color w:val="231F20"/>
          <w:w w:val="91"/>
        </w:rPr>
        <w:t>e</w:t>
      </w:r>
      <w:r>
        <w:rPr>
          <w:color w:val="231F20"/>
        </w:rPr>
        <w:t xml:space="preserve">d </w:t>
      </w:r>
      <w:r>
        <w:rPr>
          <w:color w:val="231F20"/>
          <w:spacing w:val="5"/>
          <w:w w:val="115"/>
        </w:rPr>
        <w:t>A</w:t>
      </w:r>
      <w:r>
        <w:rPr>
          <w:color w:val="231F20"/>
          <w:spacing w:val="-2"/>
        </w:rPr>
        <w:t>i</w:t>
      </w:r>
      <w:r>
        <w:rPr>
          <w:color w:val="231F20"/>
        </w:rPr>
        <w:t xml:space="preserve">d </w:t>
      </w:r>
      <w:r>
        <w:rPr>
          <w:color w:val="231F20"/>
          <w:spacing w:val="-1"/>
          <w:w w:val="99"/>
        </w:rPr>
        <w:t>n</w:t>
      </w:r>
      <w:r>
        <w:rPr>
          <w:color w:val="231F20"/>
          <w:spacing w:val="1"/>
          <w:w w:val="91"/>
        </w:rPr>
        <w:t>e</w:t>
      </w:r>
      <w:r>
        <w:rPr>
          <w:color w:val="231F20"/>
          <w:spacing w:val="5"/>
          <w:w w:val="98"/>
        </w:rPr>
        <w:t>t</w:t>
      </w:r>
      <w:r>
        <w:rPr>
          <w:color w:val="231F20"/>
          <w:spacing w:val="-3"/>
        </w:rPr>
        <w:t>w</w:t>
      </w:r>
      <w:r>
        <w:rPr>
          <w:color w:val="231F20"/>
          <w:spacing w:val="-1"/>
          <w:w w:val="104"/>
        </w:rPr>
        <w:t>o</w:t>
      </w:r>
      <w:r>
        <w:rPr>
          <w:color w:val="231F20"/>
          <w:spacing w:val="-2"/>
          <w:w w:val="94"/>
        </w:rPr>
        <w:t>r</w:t>
      </w:r>
      <w:r>
        <w:rPr>
          <w:color w:val="231F20"/>
          <w:w w:val="106"/>
        </w:rPr>
        <w:t xml:space="preserve">k </w:t>
      </w:r>
      <w:r>
        <w:rPr>
          <w:color w:val="231F20"/>
          <w:spacing w:val="2"/>
        </w:rPr>
        <w:t>i</w:t>
      </w:r>
      <w:r>
        <w:rPr>
          <w:color w:val="231F20"/>
          <w:w w:val="99"/>
        </w:rPr>
        <w:t>n</w:t>
      </w:r>
      <w:r>
        <w:rPr>
          <w:color w:val="231F20"/>
          <w:spacing w:val="10"/>
        </w:rPr>
        <w:t xml:space="preserve"> </w:t>
      </w:r>
      <w:r>
        <w:rPr>
          <w:color w:val="231F20"/>
          <w:w w:val="108"/>
        </w:rPr>
        <w:t>A</w:t>
      </w:r>
      <w:r>
        <w:rPr>
          <w:color w:val="231F20"/>
          <w:spacing w:val="-1"/>
          <w:w w:val="108"/>
        </w:rPr>
        <w:t>p</w:t>
      </w:r>
      <w:r>
        <w:rPr>
          <w:color w:val="231F20"/>
          <w:spacing w:val="1"/>
          <w:w w:val="94"/>
        </w:rPr>
        <w:t>r</w:t>
      </w:r>
      <w:r>
        <w:rPr>
          <w:color w:val="231F20"/>
          <w:spacing w:val="2"/>
        </w:rPr>
        <w:t>i</w:t>
      </w:r>
      <w:r>
        <w:rPr>
          <w:color w:val="231F20"/>
          <w:w w:val="102"/>
        </w:rPr>
        <w:t>l</w:t>
      </w:r>
      <w:r>
        <w:rPr>
          <w:color w:val="231F20"/>
          <w:spacing w:val="10"/>
        </w:rPr>
        <w:t xml:space="preserve"> </w:t>
      </w:r>
      <w:r>
        <w:rPr>
          <w:color w:val="231F20"/>
          <w:spacing w:val="-2"/>
          <w:w w:val="104"/>
        </w:rPr>
        <w:t>o</w:t>
      </w:r>
      <w:r>
        <w:rPr>
          <w:color w:val="231F20"/>
          <w:w w:val="109"/>
        </w:rPr>
        <w:t>f</w:t>
      </w:r>
      <w:r>
        <w:rPr>
          <w:color w:val="231F20"/>
          <w:spacing w:val="10"/>
        </w:rPr>
        <w:t xml:space="preserve"> </w:t>
      </w:r>
      <w:r>
        <w:rPr>
          <w:color w:val="231F20"/>
          <w:spacing w:val="2"/>
          <w:w w:val="98"/>
        </w:rPr>
        <w:t>t</w:t>
      </w:r>
      <w:r>
        <w:rPr>
          <w:color w:val="231F20"/>
          <w:spacing w:val="1"/>
        </w:rPr>
        <w:t>h</w:t>
      </w:r>
      <w:r>
        <w:rPr>
          <w:color w:val="231F20"/>
          <w:spacing w:val="-2"/>
          <w:w w:val="102"/>
        </w:rPr>
        <w:t>a</w:t>
      </w:r>
      <w:r>
        <w:rPr>
          <w:color w:val="231F20"/>
          <w:w w:val="98"/>
        </w:rPr>
        <w:t>t</w:t>
      </w:r>
      <w:r>
        <w:rPr>
          <w:color w:val="231F20"/>
          <w:spacing w:val="10"/>
        </w:rPr>
        <w:t xml:space="preserve"> </w:t>
      </w:r>
      <w:r>
        <w:rPr>
          <w:color w:val="231F20"/>
          <w:spacing w:val="-2"/>
          <w:w w:val="99"/>
        </w:rPr>
        <w:t>y</w:t>
      </w:r>
      <w:r>
        <w:rPr>
          <w:color w:val="231F20"/>
          <w:spacing w:val="1"/>
          <w:w w:val="91"/>
        </w:rPr>
        <w:t>e</w:t>
      </w:r>
      <w:r>
        <w:rPr>
          <w:color w:val="231F20"/>
          <w:spacing w:val="3"/>
          <w:w w:val="102"/>
        </w:rPr>
        <w:t>a</w:t>
      </w:r>
      <w:r>
        <w:rPr>
          <w:color w:val="231F20"/>
          <w:spacing w:val="-7"/>
          <w:w w:val="94"/>
        </w:rPr>
        <w:t>r</w:t>
      </w:r>
      <w:r>
        <w:rPr>
          <w:color w:val="231F20"/>
          <w:w w:val="135"/>
        </w:rPr>
        <w:t>.</w:t>
      </w:r>
      <w:r>
        <w:rPr>
          <w:color w:val="231F20"/>
          <w:spacing w:val="10"/>
        </w:rPr>
        <w:t xml:space="preserve"> </w:t>
      </w:r>
      <w:r>
        <w:rPr>
          <w:color w:val="231F20"/>
          <w:spacing w:val="5"/>
          <w:w w:val="112"/>
        </w:rPr>
        <w:t>T</w:t>
      </w:r>
      <w:r>
        <w:rPr>
          <w:color w:val="231F20"/>
          <w:spacing w:val="-1"/>
        </w:rPr>
        <w:t>h</w:t>
      </w:r>
      <w:r>
        <w:rPr>
          <w:color w:val="231F20"/>
          <w:w w:val="91"/>
        </w:rPr>
        <w:t>e</w:t>
      </w:r>
      <w:r>
        <w:rPr>
          <w:color w:val="231F20"/>
          <w:spacing w:val="10"/>
        </w:rPr>
        <w:t xml:space="preserve"> </w:t>
      </w:r>
      <w:r>
        <w:rPr>
          <w:color w:val="231F20"/>
          <w:spacing w:val="7"/>
          <w:w w:val="114"/>
        </w:rPr>
        <w:t>K</w:t>
      </w:r>
      <w:r>
        <w:rPr>
          <w:color w:val="231F20"/>
          <w:w w:val="108"/>
        </w:rPr>
        <w:t>PD</w:t>
      </w:r>
      <w:r>
        <w:rPr>
          <w:color w:val="231F20"/>
          <w:spacing w:val="6"/>
          <w:w w:val="56"/>
        </w:rPr>
        <w:t>/</w:t>
      </w:r>
      <w:r>
        <w:rPr>
          <w:color w:val="231F20"/>
          <w:spacing w:val="6"/>
          <w:w w:val="119"/>
        </w:rPr>
        <w:t>M</w:t>
      </w:r>
      <w:r>
        <w:rPr>
          <w:color w:val="231F20"/>
          <w:w w:val="119"/>
        </w:rPr>
        <w:t>L</w:t>
      </w:r>
      <w:r>
        <w:rPr>
          <w:color w:val="231F20"/>
          <w:spacing w:val="10"/>
        </w:rPr>
        <w:t xml:space="preserve"> </w:t>
      </w:r>
      <w:r>
        <w:rPr>
          <w:color w:val="231F20"/>
          <w:spacing w:val="-1"/>
          <w:w w:val="94"/>
        </w:rPr>
        <w:t>r</w:t>
      </w:r>
      <w:r>
        <w:rPr>
          <w:color w:val="231F20"/>
          <w:w w:val="91"/>
        </w:rPr>
        <w:t>e</w:t>
      </w:r>
      <w:r>
        <w:rPr>
          <w:color w:val="231F20"/>
          <w:spacing w:val="1"/>
          <w:w w:val="99"/>
        </w:rPr>
        <w:t>m</w:t>
      </w:r>
      <w:r>
        <w:rPr>
          <w:color w:val="231F20"/>
          <w:spacing w:val="2"/>
          <w:w w:val="102"/>
        </w:rPr>
        <w:t>a</w:t>
      </w:r>
      <w:r>
        <w:rPr>
          <w:color w:val="231F20"/>
          <w:spacing w:val="2"/>
        </w:rPr>
        <w:t>i</w:t>
      </w:r>
      <w:r>
        <w:rPr>
          <w:color w:val="231F20"/>
          <w:spacing w:val="-1"/>
          <w:w w:val="99"/>
        </w:rPr>
        <w:t>n</w:t>
      </w:r>
      <w:r>
        <w:rPr>
          <w:color w:val="231F20"/>
          <w:w w:val="91"/>
        </w:rPr>
        <w:t>e</w:t>
      </w:r>
      <w:r>
        <w:rPr>
          <w:color w:val="231F20"/>
        </w:rPr>
        <w:t>d</w:t>
      </w:r>
      <w:r>
        <w:rPr>
          <w:color w:val="231F20"/>
          <w:spacing w:val="10"/>
        </w:rPr>
        <w:t xml:space="preserve"> </w:t>
      </w:r>
      <w:r>
        <w:rPr>
          <w:color w:val="231F20"/>
          <w:spacing w:val="-2"/>
        </w:rPr>
        <w:t>h</w:t>
      </w:r>
      <w:r>
        <w:rPr>
          <w:color w:val="231F20"/>
          <w:w w:val="104"/>
        </w:rPr>
        <w:t>o</w:t>
      </w:r>
      <w:r>
        <w:rPr>
          <w:color w:val="231F20"/>
          <w:w w:val="90"/>
        </w:rPr>
        <w:t>s</w:t>
      </w:r>
      <w:r>
        <w:rPr>
          <w:color w:val="231F20"/>
          <w:spacing w:val="2"/>
          <w:w w:val="98"/>
        </w:rPr>
        <w:t>t</w:t>
      </w:r>
      <w:r>
        <w:rPr>
          <w:color w:val="231F20"/>
          <w:spacing w:val="2"/>
        </w:rPr>
        <w:t>i</w:t>
      </w:r>
      <w:r>
        <w:rPr>
          <w:color w:val="231F20"/>
          <w:spacing w:val="-1"/>
          <w:w w:val="102"/>
        </w:rPr>
        <w:t>l</w:t>
      </w:r>
      <w:r>
        <w:rPr>
          <w:color w:val="231F20"/>
          <w:w w:val="91"/>
        </w:rPr>
        <w:t>e</w:t>
      </w:r>
      <w:r>
        <w:rPr>
          <w:color w:val="231F20"/>
          <w:spacing w:val="10"/>
        </w:rPr>
        <w:t xml:space="preserve"> </w:t>
      </w:r>
      <w:r>
        <w:rPr>
          <w:color w:val="231F20"/>
          <w:spacing w:val="-2"/>
          <w:w w:val="98"/>
        </w:rPr>
        <w:t>t</w:t>
      </w:r>
      <w:r>
        <w:rPr>
          <w:color w:val="231F20"/>
          <w:w w:val="104"/>
        </w:rPr>
        <w:t>o</w:t>
      </w:r>
      <w:r>
        <w:rPr>
          <w:color w:val="231F20"/>
          <w:spacing w:val="10"/>
        </w:rPr>
        <w:t xml:space="preserve"> </w:t>
      </w:r>
      <w:r>
        <w:rPr>
          <w:color w:val="231F20"/>
          <w:spacing w:val="2"/>
          <w:w w:val="98"/>
        </w:rPr>
        <w:t>t</w:t>
      </w:r>
      <w:r>
        <w:rPr>
          <w:color w:val="231F20"/>
          <w:spacing w:val="-1"/>
        </w:rPr>
        <w:t>h</w:t>
      </w:r>
      <w:r>
        <w:rPr>
          <w:color w:val="231F20"/>
          <w:w w:val="91"/>
        </w:rPr>
        <w:t>e</w:t>
      </w:r>
      <w:r>
        <w:rPr>
          <w:color w:val="231F20"/>
          <w:spacing w:val="10"/>
        </w:rPr>
        <w:t xml:space="preserve"> </w:t>
      </w:r>
      <w:r w:rsidR="00C507A5">
        <w:rPr>
          <w:color w:val="231F20"/>
          <w:spacing w:val="8"/>
          <w:w w:val="116"/>
        </w:rPr>
        <w:t>red army faction</w:t>
      </w:r>
      <w:r>
        <w:rPr>
          <w:color w:val="231F20"/>
          <w:spacing w:val="-11"/>
          <w:w w:val="125"/>
        </w:rPr>
        <w:t>’</w:t>
      </w:r>
      <w:r>
        <w:rPr>
          <w:color w:val="231F20"/>
          <w:w w:val="90"/>
        </w:rPr>
        <w:t>s</w:t>
      </w:r>
      <w:r>
        <w:rPr>
          <w:color w:val="231F20"/>
          <w:spacing w:val="10"/>
        </w:rPr>
        <w:t xml:space="preserve"> </w:t>
      </w:r>
      <w:r>
        <w:rPr>
          <w:color w:val="231F20"/>
          <w:w w:val="99"/>
        </w:rPr>
        <w:t>p</w:t>
      </w:r>
      <w:r>
        <w:rPr>
          <w:color w:val="231F20"/>
          <w:spacing w:val="-2"/>
          <w:w w:val="104"/>
        </w:rPr>
        <w:t>o</w:t>
      </w:r>
      <w:r>
        <w:rPr>
          <w:color w:val="231F20"/>
          <w:spacing w:val="2"/>
          <w:w w:val="102"/>
        </w:rPr>
        <w:t>l</w:t>
      </w:r>
      <w:r>
        <w:rPr>
          <w:color w:val="231F20"/>
        </w:rPr>
        <w:t xml:space="preserve">itics, especially to what it viewed as their soft line on the East German and Soviet revisionists. </w:t>
      </w:r>
      <w:r>
        <w:rPr>
          <w:color w:val="231F20"/>
          <w:spacing w:val="-3"/>
        </w:rPr>
        <w:t xml:space="preserve">yet,  </w:t>
      </w:r>
      <w:r>
        <w:rPr>
          <w:color w:val="231F20"/>
        </w:rPr>
        <w:t>on the basis of opposing state repression,    it and the Red Aid network would provide substantial support, issuing leaflets</w:t>
      </w:r>
      <w:r>
        <w:rPr>
          <w:color w:val="231F20"/>
          <w:spacing w:val="8"/>
        </w:rPr>
        <w:t xml:space="preserve"> </w:t>
      </w:r>
      <w:r>
        <w:rPr>
          <w:color w:val="231F20"/>
        </w:rPr>
        <w:t>and</w:t>
      </w:r>
      <w:r>
        <w:rPr>
          <w:color w:val="231F20"/>
          <w:spacing w:val="8"/>
        </w:rPr>
        <w:t xml:space="preserve"> </w:t>
      </w:r>
      <w:r>
        <w:rPr>
          <w:color w:val="231F20"/>
        </w:rPr>
        <w:t>organizing</w:t>
      </w:r>
      <w:r>
        <w:rPr>
          <w:color w:val="231F20"/>
          <w:spacing w:val="8"/>
        </w:rPr>
        <w:t xml:space="preserve"> </w:t>
      </w:r>
      <w:r>
        <w:rPr>
          <w:color w:val="231F20"/>
        </w:rPr>
        <w:t>demonstrations</w:t>
      </w:r>
      <w:r>
        <w:rPr>
          <w:color w:val="231F20"/>
          <w:spacing w:val="8"/>
        </w:rPr>
        <w:t xml:space="preserve"> </w:t>
      </w:r>
      <w:r>
        <w:rPr>
          <w:color w:val="231F20"/>
        </w:rPr>
        <w:t>throughout</w:t>
      </w:r>
      <w:r>
        <w:rPr>
          <w:color w:val="231F20"/>
          <w:spacing w:val="8"/>
        </w:rPr>
        <w:t xml:space="preserve"> </w:t>
      </w:r>
      <w:r>
        <w:rPr>
          <w:color w:val="231F20"/>
        </w:rPr>
        <w:t>the</w:t>
      </w:r>
      <w:r>
        <w:rPr>
          <w:color w:val="231F20"/>
          <w:spacing w:val="8"/>
        </w:rPr>
        <w:t xml:space="preserve"> </w:t>
      </w:r>
      <w:r>
        <w:rPr>
          <w:color w:val="231F20"/>
        </w:rPr>
        <w:t>hunger</w:t>
      </w:r>
      <w:r>
        <w:rPr>
          <w:color w:val="231F20"/>
          <w:spacing w:val="8"/>
        </w:rPr>
        <w:t xml:space="preserve"> </w:t>
      </w:r>
      <w:r>
        <w:rPr>
          <w:color w:val="231F20"/>
        </w:rPr>
        <w:t>strike.</w:t>
      </w:r>
    </w:p>
    <w:p w14:paraId="0C32C53E" w14:textId="77777777" w:rsidR="002653E8" w:rsidRDefault="003115E3">
      <w:pPr>
        <w:pStyle w:val="a3"/>
        <w:spacing w:line="264" w:lineRule="auto"/>
        <w:ind w:left="1147" w:right="1325" w:firstLine="210"/>
        <w:jc w:val="both"/>
        <w:rPr>
          <w:sz w:val="11"/>
        </w:rPr>
      </w:pPr>
      <w:r>
        <w:rPr>
          <w:color w:val="231F20"/>
        </w:rPr>
        <w:t xml:space="preserve">During the strike’s first month, two prisoners—Ronald Augustin and </w:t>
      </w:r>
      <w:r>
        <w:rPr>
          <w:color w:val="231F20"/>
          <w:spacing w:val="1"/>
        </w:rPr>
        <w:t xml:space="preserve">Ali </w:t>
      </w:r>
      <w:r>
        <w:rPr>
          <w:color w:val="231F20"/>
        </w:rPr>
        <w:t>Jansen—were both deprived of water for days at  a  time.</w:t>
      </w:r>
      <w:r>
        <w:rPr>
          <w:color w:val="231F20"/>
          <w:position w:val="7"/>
          <w:sz w:val="11"/>
        </w:rPr>
        <w:t xml:space="preserve">4  </w:t>
      </w:r>
      <w:r>
        <w:rPr>
          <w:color w:val="231F20"/>
        </w:rPr>
        <w:t xml:space="preserve">Jansen had been sentenced in </w:t>
      </w:r>
      <w:r>
        <w:rPr>
          <w:color w:val="231F20"/>
          <w:spacing w:val="-5"/>
        </w:rPr>
        <w:t xml:space="preserve">1973 </w:t>
      </w:r>
      <w:r>
        <w:rPr>
          <w:color w:val="231F20"/>
        </w:rPr>
        <w:t xml:space="preserve">to ten years in prison on two counts of attempted murder for having shot at cops when they caught him and other </w:t>
      </w:r>
      <w:r w:rsidR="00C507A5">
        <w:rPr>
          <w:color w:val="231F20"/>
          <w:spacing w:val="5"/>
        </w:rPr>
        <w:t>red army faction</w:t>
      </w:r>
      <w:r>
        <w:rPr>
          <w:color w:val="231F20"/>
          <w:spacing w:val="5"/>
        </w:rPr>
        <w:t xml:space="preserve"> </w:t>
      </w:r>
      <w:r>
        <w:rPr>
          <w:color w:val="231F20"/>
        </w:rPr>
        <w:t xml:space="preserve">members stealing a car in </w:t>
      </w:r>
      <w:r>
        <w:rPr>
          <w:color w:val="231F20"/>
          <w:spacing w:val="-4"/>
        </w:rPr>
        <w:t xml:space="preserve">1970. </w:t>
      </w:r>
      <w:r>
        <w:rPr>
          <w:color w:val="231F20"/>
        </w:rPr>
        <w:t xml:space="preserve">Augustin was a graphic artist from Amsterdam, who had joined the </w:t>
      </w:r>
      <w:r w:rsidR="00C507A5">
        <w:rPr>
          <w:color w:val="231F20"/>
          <w:spacing w:val="5"/>
        </w:rPr>
        <w:t>red army faction</w:t>
      </w:r>
      <w:r>
        <w:rPr>
          <w:color w:val="231F20"/>
          <w:spacing w:val="5"/>
        </w:rPr>
        <w:t xml:space="preserve"> </w:t>
      </w:r>
      <w:r>
        <w:rPr>
          <w:color w:val="231F20"/>
        </w:rPr>
        <w:t xml:space="preserve">after meeting members   in that city in </w:t>
      </w:r>
      <w:r>
        <w:rPr>
          <w:color w:val="231F20"/>
          <w:spacing w:val="-4"/>
        </w:rPr>
        <w:t xml:space="preserve">1971; </w:t>
      </w:r>
      <w:r>
        <w:rPr>
          <w:color w:val="231F20"/>
        </w:rPr>
        <w:t xml:space="preserve">he was arrested on July 24, </w:t>
      </w:r>
      <w:r>
        <w:rPr>
          <w:color w:val="231F20"/>
          <w:spacing w:val="-5"/>
        </w:rPr>
        <w:t xml:space="preserve">1973, </w:t>
      </w:r>
      <w:r>
        <w:rPr>
          <w:color w:val="231F20"/>
        </w:rPr>
        <w:t xml:space="preserve">attempting to  enter the FRG, and charged under </w:t>
      </w:r>
      <w:r>
        <w:rPr>
          <w:color w:val="231F20"/>
          <w:spacing w:val="-4"/>
          <w:sz w:val="18"/>
        </w:rPr>
        <w:t>§</w:t>
      </w:r>
      <w:r>
        <w:rPr>
          <w:color w:val="231F20"/>
          <w:spacing w:val="-4"/>
        </w:rPr>
        <w:t xml:space="preserve">129, </w:t>
      </w:r>
      <w:r>
        <w:rPr>
          <w:color w:val="231F20"/>
        </w:rPr>
        <w:t>as well as for resisting arrest and possession of false documents.</w:t>
      </w:r>
      <w:r>
        <w:rPr>
          <w:color w:val="231F20"/>
          <w:position w:val="7"/>
          <w:sz w:val="11"/>
        </w:rPr>
        <w:t>5</w:t>
      </w:r>
    </w:p>
    <w:p w14:paraId="12C58796" w14:textId="77777777" w:rsidR="002653E8" w:rsidRDefault="00000000">
      <w:pPr>
        <w:pStyle w:val="a3"/>
        <w:spacing w:before="8"/>
        <w:rPr>
          <w:sz w:val="15"/>
        </w:rPr>
      </w:pPr>
      <w:r>
        <w:rPr>
          <w:noProof w:val="0"/>
        </w:rPr>
        <w:pict w14:anchorId="4BCFB6C8">
          <v:line id="_x0000_s2386" style="position:absolute;z-index:6568;mso-wrap-distance-left:0;mso-wrap-distance-right:0;mso-position-horizontal-relative:page" from="57.4pt,11.4pt" to="129.4pt,11.4pt" strokecolor="#231f20" strokeweight=".5pt">
            <w10:wrap type="topAndBottom" anchorx="page"/>
          </v:line>
        </w:pict>
      </w:r>
    </w:p>
    <w:p w14:paraId="3EEF317A" w14:textId="77777777" w:rsidR="002653E8" w:rsidRPr="00C507A5" w:rsidRDefault="003115E3">
      <w:pPr>
        <w:pStyle w:val="a4"/>
        <w:numPr>
          <w:ilvl w:val="0"/>
          <w:numId w:val="114"/>
        </w:numPr>
        <w:tabs>
          <w:tab w:val="left" w:pos="1287"/>
        </w:tabs>
        <w:spacing w:before="53"/>
        <w:ind w:firstLine="0"/>
        <w:jc w:val="left"/>
        <w:rPr>
          <w:sz w:val="16"/>
          <w:lang w:val="de-DE"/>
        </w:rPr>
      </w:pPr>
      <w:r w:rsidRPr="00C507A5">
        <w:rPr>
          <w:color w:val="231F20"/>
          <w:w w:val="105"/>
          <w:sz w:val="16"/>
          <w:lang w:val="de-DE"/>
        </w:rPr>
        <w:t>Winters</w:t>
      </w:r>
      <w:r w:rsidRPr="00C507A5">
        <w:rPr>
          <w:color w:val="231F20"/>
          <w:spacing w:val="7"/>
          <w:w w:val="105"/>
          <w:sz w:val="16"/>
          <w:lang w:val="de-DE"/>
        </w:rPr>
        <w:t xml:space="preserve"> </w:t>
      </w:r>
      <w:r w:rsidRPr="00C507A5">
        <w:rPr>
          <w:color w:val="231F20"/>
          <w:w w:val="105"/>
          <w:sz w:val="16"/>
          <w:lang w:val="de-DE"/>
        </w:rPr>
        <w:t>“Unklarheit</w:t>
      </w:r>
      <w:r w:rsidRPr="00C507A5">
        <w:rPr>
          <w:color w:val="231F20"/>
          <w:spacing w:val="7"/>
          <w:w w:val="105"/>
          <w:sz w:val="16"/>
          <w:lang w:val="de-DE"/>
        </w:rPr>
        <w:t xml:space="preserve"> </w:t>
      </w:r>
      <w:r w:rsidRPr="00C507A5">
        <w:rPr>
          <w:color w:val="231F20"/>
          <w:w w:val="105"/>
          <w:sz w:val="16"/>
          <w:lang w:val="de-DE"/>
        </w:rPr>
        <w:t>über</w:t>
      </w:r>
      <w:r w:rsidRPr="00C507A5">
        <w:rPr>
          <w:color w:val="231F20"/>
          <w:spacing w:val="7"/>
          <w:w w:val="105"/>
          <w:sz w:val="16"/>
          <w:lang w:val="de-DE"/>
        </w:rPr>
        <w:t xml:space="preserve"> </w:t>
      </w:r>
      <w:r w:rsidRPr="00C507A5">
        <w:rPr>
          <w:color w:val="231F20"/>
          <w:w w:val="105"/>
          <w:sz w:val="16"/>
          <w:lang w:val="de-DE"/>
        </w:rPr>
        <w:t>die</w:t>
      </w:r>
      <w:r w:rsidRPr="00C507A5">
        <w:rPr>
          <w:color w:val="231F20"/>
          <w:spacing w:val="7"/>
          <w:w w:val="105"/>
          <w:sz w:val="16"/>
          <w:lang w:val="de-DE"/>
        </w:rPr>
        <w:t xml:space="preserve"> </w:t>
      </w:r>
      <w:r w:rsidRPr="00C507A5">
        <w:rPr>
          <w:color w:val="231F20"/>
          <w:w w:val="105"/>
          <w:sz w:val="16"/>
          <w:lang w:val="de-DE"/>
        </w:rPr>
        <w:t>Rolle</w:t>
      </w:r>
      <w:r w:rsidRPr="00C507A5">
        <w:rPr>
          <w:color w:val="231F20"/>
          <w:spacing w:val="7"/>
          <w:w w:val="105"/>
          <w:sz w:val="16"/>
          <w:lang w:val="de-DE"/>
        </w:rPr>
        <w:t xml:space="preserve"> </w:t>
      </w:r>
      <w:r w:rsidRPr="00C507A5">
        <w:rPr>
          <w:color w:val="231F20"/>
          <w:w w:val="105"/>
          <w:sz w:val="16"/>
          <w:lang w:val="de-DE"/>
        </w:rPr>
        <w:t>der</w:t>
      </w:r>
      <w:r w:rsidRPr="00C507A5">
        <w:rPr>
          <w:color w:val="231F20"/>
          <w:spacing w:val="7"/>
          <w:w w:val="105"/>
          <w:sz w:val="16"/>
          <w:lang w:val="de-DE"/>
        </w:rPr>
        <w:t xml:space="preserve"> </w:t>
      </w:r>
      <w:r w:rsidRPr="00C507A5">
        <w:rPr>
          <w:color w:val="231F20"/>
          <w:w w:val="105"/>
          <w:sz w:val="16"/>
          <w:lang w:val="de-DE"/>
        </w:rPr>
        <w:t>verhafteten</w:t>
      </w:r>
      <w:r w:rsidRPr="00C507A5">
        <w:rPr>
          <w:color w:val="231F20"/>
          <w:spacing w:val="7"/>
          <w:w w:val="105"/>
          <w:sz w:val="16"/>
          <w:lang w:val="de-DE"/>
        </w:rPr>
        <w:t xml:space="preserve"> </w:t>
      </w:r>
      <w:r w:rsidRPr="00C507A5">
        <w:rPr>
          <w:color w:val="231F20"/>
          <w:w w:val="105"/>
          <w:sz w:val="16"/>
          <w:lang w:val="de-DE"/>
        </w:rPr>
        <w:t>Pfarrersfrau.”</w:t>
      </w:r>
    </w:p>
    <w:p w14:paraId="7949E0B2" w14:textId="77777777" w:rsidR="002653E8" w:rsidRDefault="003115E3">
      <w:pPr>
        <w:pStyle w:val="a4"/>
        <w:numPr>
          <w:ilvl w:val="0"/>
          <w:numId w:val="114"/>
        </w:numPr>
        <w:tabs>
          <w:tab w:val="left" w:pos="1287"/>
        </w:tabs>
        <w:spacing w:before="51" w:line="254" w:lineRule="auto"/>
        <w:ind w:right="1437" w:firstLine="0"/>
        <w:jc w:val="left"/>
        <w:rPr>
          <w:sz w:val="16"/>
        </w:rPr>
      </w:pPr>
      <w:r w:rsidRPr="00C507A5">
        <w:rPr>
          <w:i/>
          <w:color w:val="231F20"/>
          <w:spacing w:val="1"/>
          <w:sz w:val="16"/>
          <w:lang w:val="de-DE"/>
        </w:rPr>
        <w:t xml:space="preserve">Frankfurter Allgemeine Zeitung, </w:t>
      </w:r>
      <w:r w:rsidRPr="00C507A5">
        <w:rPr>
          <w:color w:val="231F20"/>
          <w:sz w:val="16"/>
          <w:lang w:val="de-DE"/>
        </w:rPr>
        <w:t xml:space="preserve">“Verdacht der Unterstützung von Terroristen </w:t>
      </w:r>
      <w:r w:rsidRPr="00C507A5">
        <w:rPr>
          <w:color w:val="231F20"/>
          <w:spacing w:val="1"/>
          <w:sz w:val="16"/>
          <w:lang w:val="de-DE"/>
        </w:rPr>
        <w:t xml:space="preserve">beunruhigt </w:t>
      </w:r>
      <w:r w:rsidRPr="00C507A5">
        <w:rPr>
          <w:color w:val="231F20"/>
          <w:sz w:val="16"/>
          <w:lang w:val="de-DE"/>
        </w:rPr>
        <w:t xml:space="preserve">die Berliner evangelische Kirche,” November 12, </w:t>
      </w:r>
      <w:r w:rsidRPr="00C507A5">
        <w:rPr>
          <w:color w:val="231F20"/>
          <w:spacing w:val="-4"/>
          <w:sz w:val="16"/>
          <w:lang w:val="de-DE"/>
        </w:rPr>
        <w:t xml:space="preserve">1974. </w:t>
      </w:r>
      <w:r>
        <w:rPr>
          <w:color w:val="231F20"/>
          <w:sz w:val="16"/>
        </w:rPr>
        <w:t xml:space="preserve">The letter  in question, likely about prison conditions, was  in  fact  never  delivered—losing  her nerve, Zühlke destroyed it rather than pass it on  to  Burghardt.  </w:t>
      </w:r>
      <w:r>
        <w:rPr>
          <w:color w:val="231F20"/>
          <w:spacing w:val="1"/>
          <w:sz w:val="16"/>
        </w:rPr>
        <w:t xml:space="preserve">This </w:t>
      </w:r>
      <w:r>
        <w:rPr>
          <w:color w:val="231F20"/>
          <w:sz w:val="16"/>
        </w:rPr>
        <w:t>did  nothing  to help her following the Drenkmann action, when police accused her of acting  as  a courier of a letter which allegedly had to do with his killing, and she was unable to produce</w:t>
      </w:r>
      <w:r>
        <w:rPr>
          <w:color w:val="231F20"/>
          <w:spacing w:val="13"/>
          <w:sz w:val="16"/>
        </w:rPr>
        <w:t xml:space="preserve"> </w:t>
      </w:r>
      <w:r>
        <w:rPr>
          <w:color w:val="231F20"/>
          <w:sz w:val="16"/>
        </w:rPr>
        <w:t>said</w:t>
      </w:r>
      <w:r>
        <w:rPr>
          <w:color w:val="231F20"/>
          <w:spacing w:val="13"/>
          <w:sz w:val="16"/>
        </w:rPr>
        <w:t xml:space="preserve"> </w:t>
      </w:r>
      <w:r>
        <w:rPr>
          <w:color w:val="231F20"/>
          <w:sz w:val="16"/>
        </w:rPr>
        <w:t>letter</w:t>
      </w:r>
      <w:r>
        <w:rPr>
          <w:color w:val="231F20"/>
          <w:spacing w:val="13"/>
          <w:sz w:val="16"/>
        </w:rPr>
        <w:t xml:space="preserve"> </w:t>
      </w:r>
      <w:r>
        <w:rPr>
          <w:color w:val="231F20"/>
          <w:sz w:val="16"/>
        </w:rPr>
        <w:t>to</w:t>
      </w:r>
      <w:r>
        <w:rPr>
          <w:color w:val="231F20"/>
          <w:spacing w:val="13"/>
          <w:sz w:val="16"/>
        </w:rPr>
        <w:t xml:space="preserve"> </w:t>
      </w:r>
      <w:r>
        <w:rPr>
          <w:color w:val="231F20"/>
          <w:sz w:val="16"/>
        </w:rPr>
        <w:t>prove</w:t>
      </w:r>
      <w:r>
        <w:rPr>
          <w:color w:val="231F20"/>
          <w:spacing w:val="13"/>
          <w:sz w:val="16"/>
        </w:rPr>
        <w:t xml:space="preserve"> </w:t>
      </w:r>
      <w:r>
        <w:rPr>
          <w:color w:val="231F20"/>
          <w:sz w:val="16"/>
        </w:rPr>
        <w:t>that</w:t>
      </w:r>
      <w:r>
        <w:rPr>
          <w:color w:val="231F20"/>
          <w:spacing w:val="13"/>
          <w:sz w:val="16"/>
        </w:rPr>
        <w:t xml:space="preserve"> </w:t>
      </w:r>
      <w:r>
        <w:rPr>
          <w:color w:val="231F20"/>
          <w:sz w:val="16"/>
        </w:rPr>
        <w:t>it</w:t>
      </w:r>
      <w:r>
        <w:rPr>
          <w:color w:val="231F20"/>
          <w:spacing w:val="13"/>
          <w:sz w:val="16"/>
        </w:rPr>
        <w:t xml:space="preserve"> </w:t>
      </w:r>
      <w:r>
        <w:rPr>
          <w:color w:val="231F20"/>
          <w:sz w:val="16"/>
        </w:rPr>
        <w:t>was</w:t>
      </w:r>
      <w:r>
        <w:rPr>
          <w:color w:val="231F20"/>
          <w:spacing w:val="13"/>
          <w:sz w:val="16"/>
        </w:rPr>
        <w:t xml:space="preserve"> </w:t>
      </w:r>
      <w:r>
        <w:rPr>
          <w:color w:val="231F20"/>
          <w:sz w:val="16"/>
        </w:rPr>
        <w:t>about</w:t>
      </w:r>
      <w:r>
        <w:rPr>
          <w:color w:val="231F20"/>
          <w:spacing w:val="13"/>
          <w:sz w:val="16"/>
        </w:rPr>
        <w:t xml:space="preserve"> </w:t>
      </w:r>
      <w:r>
        <w:rPr>
          <w:color w:val="231F20"/>
          <w:sz w:val="16"/>
        </w:rPr>
        <w:t>nothing</w:t>
      </w:r>
      <w:r>
        <w:rPr>
          <w:color w:val="231F20"/>
          <w:spacing w:val="13"/>
          <w:sz w:val="16"/>
        </w:rPr>
        <w:t xml:space="preserve"> </w:t>
      </w:r>
      <w:r>
        <w:rPr>
          <w:color w:val="231F20"/>
          <w:sz w:val="16"/>
        </w:rPr>
        <w:t>of</w:t>
      </w:r>
      <w:r>
        <w:rPr>
          <w:color w:val="231F20"/>
          <w:spacing w:val="13"/>
          <w:sz w:val="16"/>
        </w:rPr>
        <w:t xml:space="preserve"> </w:t>
      </w:r>
      <w:r>
        <w:rPr>
          <w:color w:val="231F20"/>
          <w:sz w:val="16"/>
        </w:rPr>
        <w:t>the</w:t>
      </w:r>
      <w:r>
        <w:rPr>
          <w:color w:val="231F20"/>
          <w:spacing w:val="13"/>
          <w:sz w:val="16"/>
        </w:rPr>
        <w:t xml:space="preserve"> </w:t>
      </w:r>
      <w:r>
        <w:rPr>
          <w:color w:val="231F20"/>
          <w:sz w:val="16"/>
        </w:rPr>
        <w:t>sort.</w:t>
      </w:r>
    </w:p>
    <w:p w14:paraId="223E0287" w14:textId="77777777" w:rsidR="002653E8" w:rsidRPr="00C507A5" w:rsidRDefault="003115E3">
      <w:pPr>
        <w:pStyle w:val="a4"/>
        <w:numPr>
          <w:ilvl w:val="0"/>
          <w:numId w:val="114"/>
        </w:numPr>
        <w:tabs>
          <w:tab w:val="left" w:pos="1287"/>
        </w:tabs>
        <w:spacing w:before="43" w:line="254" w:lineRule="auto"/>
        <w:ind w:right="1782" w:firstLine="0"/>
        <w:jc w:val="left"/>
        <w:rPr>
          <w:sz w:val="16"/>
          <w:lang w:val="de-DE"/>
        </w:rPr>
      </w:pPr>
      <w:r w:rsidRPr="00C507A5">
        <w:rPr>
          <w:i/>
          <w:color w:val="231F20"/>
          <w:spacing w:val="1"/>
          <w:w w:val="110"/>
          <w:sz w:val="16"/>
          <w:lang w:val="de-DE"/>
        </w:rPr>
        <w:t>Frankfurter</w:t>
      </w:r>
      <w:r w:rsidRPr="00C507A5">
        <w:rPr>
          <w:i/>
          <w:color w:val="231F20"/>
          <w:spacing w:val="-8"/>
          <w:w w:val="110"/>
          <w:sz w:val="16"/>
          <w:lang w:val="de-DE"/>
        </w:rPr>
        <w:t xml:space="preserve"> </w:t>
      </w:r>
      <w:r w:rsidRPr="00C507A5">
        <w:rPr>
          <w:i/>
          <w:color w:val="231F20"/>
          <w:spacing w:val="1"/>
          <w:w w:val="110"/>
          <w:sz w:val="16"/>
          <w:lang w:val="de-DE"/>
        </w:rPr>
        <w:t>Allgemeine</w:t>
      </w:r>
      <w:r w:rsidRPr="00C507A5">
        <w:rPr>
          <w:i/>
          <w:color w:val="231F20"/>
          <w:spacing w:val="-8"/>
          <w:w w:val="110"/>
          <w:sz w:val="16"/>
          <w:lang w:val="de-DE"/>
        </w:rPr>
        <w:t xml:space="preserve"> </w:t>
      </w:r>
      <w:r w:rsidRPr="00C507A5">
        <w:rPr>
          <w:i/>
          <w:color w:val="231F20"/>
          <w:spacing w:val="1"/>
          <w:w w:val="110"/>
          <w:sz w:val="16"/>
          <w:lang w:val="de-DE"/>
        </w:rPr>
        <w:t>Zeitung,</w:t>
      </w:r>
      <w:r w:rsidRPr="00C507A5">
        <w:rPr>
          <w:i/>
          <w:color w:val="231F20"/>
          <w:spacing w:val="-7"/>
          <w:w w:val="110"/>
          <w:sz w:val="16"/>
          <w:lang w:val="de-DE"/>
        </w:rPr>
        <w:t xml:space="preserve"> </w:t>
      </w:r>
      <w:r w:rsidRPr="00C507A5">
        <w:rPr>
          <w:color w:val="231F20"/>
          <w:w w:val="110"/>
          <w:sz w:val="16"/>
          <w:lang w:val="de-DE"/>
        </w:rPr>
        <w:t>“Erklärung</w:t>
      </w:r>
      <w:r w:rsidRPr="00C507A5">
        <w:rPr>
          <w:color w:val="231F20"/>
          <w:spacing w:val="-8"/>
          <w:w w:val="110"/>
          <w:sz w:val="16"/>
          <w:lang w:val="de-DE"/>
        </w:rPr>
        <w:t xml:space="preserve"> </w:t>
      </w:r>
      <w:r w:rsidRPr="00C507A5">
        <w:rPr>
          <w:color w:val="231F20"/>
          <w:w w:val="110"/>
          <w:sz w:val="16"/>
          <w:lang w:val="de-DE"/>
        </w:rPr>
        <w:t>der</w:t>
      </w:r>
      <w:r w:rsidRPr="00C507A5">
        <w:rPr>
          <w:color w:val="231F20"/>
          <w:spacing w:val="-8"/>
          <w:w w:val="110"/>
          <w:sz w:val="16"/>
          <w:lang w:val="de-DE"/>
        </w:rPr>
        <w:t xml:space="preserve"> </w:t>
      </w:r>
      <w:r w:rsidRPr="00C507A5">
        <w:rPr>
          <w:color w:val="231F20"/>
          <w:w w:val="110"/>
          <w:sz w:val="16"/>
          <w:lang w:val="de-DE"/>
        </w:rPr>
        <w:t>Kirche</w:t>
      </w:r>
      <w:r w:rsidRPr="00C507A5">
        <w:rPr>
          <w:color w:val="231F20"/>
          <w:spacing w:val="-8"/>
          <w:w w:val="110"/>
          <w:sz w:val="16"/>
          <w:lang w:val="de-DE"/>
        </w:rPr>
        <w:t xml:space="preserve"> </w:t>
      </w:r>
      <w:r w:rsidRPr="00C507A5">
        <w:rPr>
          <w:color w:val="231F20"/>
          <w:w w:val="110"/>
          <w:sz w:val="16"/>
          <w:lang w:val="de-DE"/>
        </w:rPr>
        <w:t>gegen</w:t>
      </w:r>
      <w:r w:rsidRPr="00C507A5">
        <w:rPr>
          <w:color w:val="231F20"/>
          <w:spacing w:val="-8"/>
          <w:w w:val="110"/>
          <w:sz w:val="16"/>
          <w:lang w:val="de-DE"/>
        </w:rPr>
        <w:t xml:space="preserve"> </w:t>
      </w:r>
      <w:r w:rsidRPr="00C507A5">
        <w:rPr>
          <w:color w:val="231F20"/>
          <w:w w:val="110"/>
          <w:sz w:val="16"/>
          <w:lang w:val="de-DE"/>
        </w:rPr>
        <w:t>Terorismus,” November 29,</w:t>
      </w:r>
      <w:r w:rsidRPr="00C507A5">
        <w:rPr>
          <w:color w:val="231F20"/>
          <w:spacing w:val="11"/>
          <w:w w:val="110"/>
          <w:sz w:val="16"/>
          <w:lang w:val="de-DE"/>
        </w:rPr>
        <w:t xml:space="preserve"> </w:t>
      </w:r>
      <w:r w:rsidRPr="00C507A5">
        <w:rPr>
          <w:color w:val="231F20"/>
          <w:spacing w:val="-4"/>
          <w:w w:val="110"/>
          <w:sz w:val="16"/>
          <w:lang w:val="de-DE"/>
        </w:rPr>
        <w:t>1974.</w:t>
      </w:r>
    </w:p>
    <w:p w14:paraId="3FF3C43E" w14:textId="77777777" w:rsidR="002653E8" w:rsidRDefault="003115E3">
      <w:pPr>
        <w:pStyle w:val="a4"/>
        <w:numPr>
          <w:ilvl w:val="0"/>
          <w:numId w:val="114"/>
        </w:numPr>
        <w:tabs>
          <w:tab w:val="left" w:pos="1287"/>
        </w:tabs>
        <w:ind w:left="1286" w:hanging="138"/>
        <w:jc w:val="left"/>
        <w:rPr>
          <w:sz w:val="16"/>
        </w:rPr>
      </w:pPr>
      <w:r>
        <w:rPr>
          <w:color w:val="231F20"/>
          <w:w w:val="110"/>
          <w:sz w:val="16"/>
        </w:rPr>
        <w:t>Komitees gegen Folter, 28,</w:t>
      </w:r>
      <w:r>
        <w:rPr>
          <w:color w:val="231F20"/>
          <w:spacing w:val="21"/>
          <w:w w:val="110"/>
          <w:sz w:val="16"/>
        </w:rPr>
        <w:t xml:space="preserve"> </w:t>
      </w:r>
      <w:r>
        <w:rPr>
          <w:color w:val="231F20"/>
          <w:w w:val="110"/>
          <w:sz w:val="16"/>
        </w:rPr>
        <w:t>30.</w:t>
      </w:r>
    </w:p>
    <w:p w14:paraId="05BC5824" w14:textId="77777777" w:rsidR="002653E8" w:rsidRDefault="003115E3">
      <w:pPr>
        <w:pStyle w:val="a4"/>
        <w:numPr>
          <w:ilvl w:val="0"/>
          <w:numId w:val="114"/>
        </w:numPr>
        <w:tabs>
          <w:tab w:val="left" w:pos="1287"/>
        </w:tabs>
        <w:spacing w:before="51" w:line="254" w:lineRule="auto"/>
        <w:ind w:left="1148" w:right="1609" w:firstLine="0"/>
        <w:jc w:val="left"/>
        <w:rPr>
          <w:sz w:val="16"/>
        </w:rPr>
      </w:pPr>
      <w:r>
        <w:rPr>
          <w:color w:val="231F20"/>
          <w:w w:val="105"/>
          <w:sz w:val="16"/>
        </w:rPr>
        <w:t>He was sentenced to six years, and received another six months “coercive detention”</w:t>
      </w:r>
      <w:r>
        <w:rPr>
          <w:color w:val="231F20"/>
          <w:spacing w:val="8"/>
          <w:w w:val="105"/>
          <w:sz w:val="16"/>
        </w:rPr>
        <w:t xml:space="preserve"> </w:t>
      </w:r>
      <w:r>
        <w:rPr>
          <w:color w:val="231F20"/>
          <w:w w:val="105"/>
          <w:sz w:val="16"/>
        </w:rPr>
        <w:t>for</w:t>
      </w:r>
      <w:r>
        <w:rPr>
          <w:color w:val="231F20"/>
          <w:spacing w:val="8"/>
          <w:w w:val="105"/>
          <w:sz w:val="16"/>
        </w:rPr>
        <w:t xml:space="preserve"> </w:t>
      </w:r>
      <w:r>
        <w:rPr>
          <w:color w:val="231F20"/>
          <w:w w:val="105"/>
          <w:sz w:val="16"/>
        </w:rPr>
        <w:t>refusing</w:t>
      </w:r>
      <w:r>
        <w:rPr>
          <w:color w:val="231F20"/>
          <w:spacing w:val="8"/>
          <w:w w:val="105"/>
          <w:sz w:val="16"/>
        </w:rPr>
        <w:t xml:space="preserve"> </w:t>
      </w:r>
      <w:r>
        <w:rPr>
          <w:color w:val="231F20"/>
          <w:w w:val="105"/>
          <w:sz w:val="16"/>
        </w:rPr>
        <w:t>to</w:t>
      </w:r>
      <w:r>
        <w:rPr>
          <w:color w:val="231F20"/>
          <w:spacing w:val="8"/>
          <w:w w:val="105"/>
          <w:sz w:val="16"/>
        </w:rPr>
        <w:t xml:space="preserve"> </w:t>
      </w:r>
      <w:r>
        <w:rPr>
          <w:color w:val="231F20"/>
          <w:w w:val="105"/>
          <w:sz w:val="16"/>
        </w:rPr>
        <w:t>testify</w:t>
      </w:r>
      <w:r>
        <w:rPr>
          <w:color w:val="231F20"/>
          <w:spacing w:val="8"/>
          <w:w w:val="105"/>
          <w:sz w:val="16"/>
        </w:rPr>
        <w:t xml:space="preserve"> </w:t>
      </w:r>
      <w:r>
        <w:rPr>
          <w:color w:val="231F20"/>
          <w:w w:val="105"/>
          <w:sz w:val="16"/>
        </w:rPr>
        <w:t>in</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spacing w:val="1"/>
          <w:w w:val="105"/>
          <w:sz w:val="16"/>
        </w:rPr>
        <w:t>Stammheim</w:t>
      </w:r>
      <w:r>
        <w:rPr>
          <w:color w:val="231F20"/>
          <w:spacing w:val="8"/>
          <w:w w:val="105"/>
          <w:sz w:val="16"/>
        </w:rPr>
        <w:t xml:space="preserve"> </w:t>
      </w:r>
      <w:r>
        <w:rPr>
          <w:color w:val="231F20"/>
          <w:w w:val="105"/>
          <w:sz w:val="16"/>
        </w:rPr>
        <w:t>trial.</w:t>
      </w:r>
      <w:r>
        <w:rPr>
          <w:color w:val="231F20"/>
          <w:spacing w:val="10"/>
          <w:w w:val="105"/>
          <w:sz w:val="16"/>
        </w:rPr>
        <w:t xml:space="preserve"> </w:t>
      </w:r>
      <w:r>
        <w:rPr>
          <w:color w:val="231F20"/>
          <w:w w:val="105"/>
          <w:sz w:val="16"/>
        </w:rPr>
        <w:t>He</w:t>
      </w:r>
      <w:r>
        <w:rPr>
          <w:color w:val="231F20"/>
          <w:spacing w:val="8"/>
          <w:w w:val="105"/>
          <w:sz w:val="16"/>
        </w:rPr>
        <w:t xml:space="preserve"> </w:t>
      </w:r>
      <w:r>
        <w:rPr>
          <w:color w:val="231F20"/>
          <w:w w:val="105"/>
          <w:sz w:val="16"/>
        </w:rPr>
        <w:t>was</w:t>
      </w:r>
      <w:r>
        <w:rPr>
          <w:color w:val="231F20"/>
          <w:spacing w:val="8"/>
          <w:w w:val="105"/>
          <w:sz w:val="16"/>
        </w:rPr>
        <w:t xml:space="preserve"> </w:t>
      </w:r>
      <w:r>
        <w:rPr>
          <w:color w:val="231F20"/>
          <w:w w:val="105"/>
          <w:sz w:val="16"/>
        </w:rPr>
        <w:t>finally</w:t>
      </w:r>
      <w:r>
        <w:rPr>
          <w:color w:val="231F20"/>
          <w:spacing w:val="8"/>
          <w:w w:val="105"/>
          <w:sz w:val="16"/>
        </w:rPr>
        <w:t xml:space="preserve"> </w:t>
      </w:r>
      <w:r>
        <w:rPr>
          <w:color w:val="231F20"/>
          <w:w w:val="105"/>
          <w:sz w:val="16"/>
        </w:rPr>
        <w:t>released</w:t>
      </w:r>
    </w:p>
    <w:p w14:paraId="258E19D9" w14:textId="77777777" w:rsidR="002653E8" w:rsidRDefault="002653E8">
      <w:pPr>
        <w:spacing w:line="254" w:lineRule="auto"/>
        <w:rPr>
          <w:sz w:val="16"/>
        </w:rPr>
        <w:sectPr w:rsidR="002653E8">
          <w:pgSz w:w="8640" w:h="12960"/>
          <w:pgMar w:top="1060" w:right="0" w:bottom="1040" w:left="0" w:header="0" w:footer="850" w:gutter="0"/>
          <w:cols w:space="720"/>
        </w:sectPr>
      </w:pPr>
    </w:p>
    <w:p w14:paraId="57825938" w14:textId="77777777" w:rsidR="002653E8" w:rsidRDefault="003115E3">
      <w:pPr>
        <w:pStyle w:val="a3"/>
        <w:spacing w:before="86" w:line="264" w:lineRule="auto"/>
        <w:ind w:left="1327" w:right="1146" w:firstLine="210"/>
        <w:jc w:val="both"/>
      </w:pPr>
      <w:r>
        <w:rPr>
          <w:color w:val="231F20"/>
        </w:rPr>
        <w:lastRenderedPageBreak/>
        <w:t>While these two applications of the “dry cell” alarmed the prisoners and their supporters, the strike did not falter, and, in the end, this tactic was not repeated.</w:t>
      </w:r>
      <w:r>
        <w:rPr>
          <w:color w:val="231F20"/>
          <w:position w:val="7"/>
          <w:sz w:val="11"/>
        </w:rPr>
        <w:t xml:space="preserve">6  </w:t>
      </w:r>
      <w:r>
        <w:rPr>
          <w:color w:val="231F20"/>
        </w:rPr>
        <w:t>Rather, the state sought to keep things defused;  as part of this strategy, in early October, the president of the Federal Supreme Court, Theodor Prinzing, ruled in favor of force-feeding  Holger Meins, Jan-Carl Raspe, and Andreas Baader.  The  purview  of  this</w:t>
      </w:r>
      <w:r>
        <w:rPr>
          <w:color w:val="231F20"/>
          <w:spacing w:val="10"/>
        </w:rPr>
        <w:t xml:space="preserve"> </w:t>
      </w:r>
      <w:r>
        <w:rPr>
          <w:color w:val="231F20"/>
        </w:rPr>
        <w:t>ruling</w:t>
      </w:r>
      <w:r>
        <w:rPr>
          <w:color w:val="231F20"/>
          <w:spacing w:val="10"/>
        </w:rPr>
        <w:t xml:space="preserve"> </w:t>
      </w:r>
      <w:r>
        <w:rPr>
          <w:color w:val="231F20"/>
        </w:rPr>
        <w:t>was</w:t>
      </w:r>
      <w:r>
        <w:rPr>
          <w:color w:val="231F20"/>
          <w:spacing w:val="10"/>
        </w:rPr>
        <w:t xml:space="preserve"> </w:t>
      </w:r>
      <w:r>
        <w:rPr>
          <w:color w:val="231F20"/>
        </w:rPr>
        <w:t>soon</w:t>
      </w:r>
      <w:r>
        <w:rPr>
          <w:color w:val="231F20"/>
          <w:spacing w:val="10"/>
        </w:rPr>
        <w:t xml:space="preserve"> </w:t>
      </w:r>
      <w:r>
        <w:rPr>
          <w:color w:val="231F20"/>
        </w:rPr>
        <w:t>extended</w:t>
      </w:r>
      <w:r>
        <w:rPr>
          <w:color w:val="231F20"/>
          <w:spacing w:val="10"/>
        </w:rPr>
        <w:t xml:space="preserve"> </w:t>
      </w:r>
      <w:r>
        <w:rPr>
          <w:color w:val="231F20"/>
        </w:rPr>
        <w:t>to</w:t>
      </w:r>
      <w:r>
        <w:rPr>
          <w:color w:val="231F20"/>
          <w:spacing w:val="10"/>
        </w:rPr>
        <w:t xml:space="preserve"> </w:t>
      </w:r>
      <w:r>
        <w:rPr>
          <w:color w:val="231F20"/>
        </w:rPr>
        <w:t>the</w:t>
      </w:r>
      <w:r>
        <w:rPr>
          <w:color w:val="231F20"/>
          <w:spacing w:val="10"/>
        </w:rPr>
        <w:t xml:space="preserve"> </w:t>
      </w:r>
      <w:r>
        <w:rPr>
          <w:color w:val="231F20"/>
        </w:rPr>
        <w:t>other</w:t>
      </w:r>
      <w:r>
        <w:rPr>
          <w:color w:val="231F20"/>
          <w:spacing w:val="10"/>
        </w:rPr>
        <w:t xml:space="preserve"> </w:t>
      </w:r>
      <w:r>
        <w:rPr>
          <w:color w:val="231F20"/>
        </w:rPr>
        <w:t>prisoners.</w:t>
      </w:r>
    </w:p>
    <w:p w14:paraId="3EA5ACCF" w14:textId="77777777" w:rsidR="002653E8" w:rsidRDefault="003115E3">
      <w:pPr>
        <w:pStyle w:val="a3"/>
        <w:spacing w:line="264" w:lineRule="auto"/>
        <w:ind w:left="1327" w:right="1146" w:firstLine="210"/>
        <w:jc w:val="both"/>
      </w:pPr>
      <w:r>
        <w:rPr>
          <w:color w:val="231F20"/>
        </w:rPr>
        <w:t>Force-feeding has been used since at least the early twentieth century by governments and penal authorities wishing to break hunger strikes: not only does this countermeasure seem to diminish what is at stake,   as it suggests hunger strikers may no longer die from their protests,   but the entire ordeal is designed to be excruciatingly painful, in large part to discourage strikers from continuing. Holger  Meins  described the</w:t>
      </w:r>
      <w:r>
        <w:rPr>
          <w:color w:val="231F20"/>
          <w:spacing w:val="10"/>
        </w:rPr>
        <w:t xml:space="preserve"> </w:t>
      </w:r>
      <w:r>
        <w:rPr>
          <w:color w:val="231F20"/>
        </w:rPr>
        <w:t>procedure:</w:t>
      </w:r>
    </w:p>
    <w:p w14:paraId="74E35784" w14:textId="77777777" w:rsidR="002653E8" w:rsidRDefault="003115E3">
      <w:pPr>
        <w:spacing w:before="114" w:line="276" w:lineRule="auto"/>
        <w:ind w:left="1747" w:right="1565"/>
        <w:jc w:val="both"/>
        <w:rPr>
          <w:i/>
          <w:sz w:val="19"/>
        </w:rPr>
      </w:pPr>
      <w:r>
        <w:rPr>
          <w:i/>
          <w:color w:val="231F20"/>
          <w:w w:val="105"/>
          <w:sz w:val="19"/>
        </w:rPr>
        <w:t>A red stomach pipe (not a tube) is used, about the thickness of a middle</w:t>
      </w:r>
      <w:r>
        <w:rPr>
          <w:i/>
          <w:color w:val="231F20"/>
          <w:spacing w:val="-19"/>
          <w:w w:val="105"/>
          <w:sz w:val="19"/>
        </w:rPr>
        <w:t xml:space="preserve"> </w:t>
      </w:r>
      <w:r>
        <w:rPr>
          <w:i/>
          <w:color w:val="231F20"/>
          <w:w w:val="105"/>
          <w:sz w:val="19"/>
        </w:rPr>
        <w:t>finger…</w:t>
      </w:r>
      <w:r>
        <w:rPr>
          <w:i/>
          <w:color w:val="231F20"/>
          <w:spacing w:val="-24"/>
          <w:w w:val="105"/>
          <w:sz w:val="19"/>
        </w:rPr>
        <w:t xml:space="preserve"> </w:t>
      </w:r>
      <w:r>
        <w:rPr>
          <w:i/>
          <w:color w:val="231F20"/>
          <w:w w:val="105"/>
          <w:sz w:val="19"/>
        </w:rPr>
        <w:t>The</w:t>
      </w:r>
      <w:r>
        <w:rPr>
          <w:i/>
          <w:color w:val="231F20"/>
          <w:spacing w:val="-19"/>
          <w:w w:val="105"/>
          <w:sz w:val="19"/>
        </w:rPr>
        <w:t xml:space="preserve"> </w:t>
      </w:r>
      <w:r>
        <w:rPr>
          <w:i/>
          <w:color w:val="231F20"/>
          <w:w w:val="105"/>
          <w:sz w:val="19"/>
        </w:rPr>
        <w:t>slightest</w:t>
      </w:r>
      <w:r>
        <w:rPr>
          <w:i/>
          <w:color w:val="231F20"/>
          <w:spacing w:val="-19"/>
          <w:w w:val="105"/>
          <w:sz w:val="19"/>
        </w:rPr>
        <w:t xml:space="preserve"> </w:t>
      </w:r>
      <w:r>
        <w:rPr>
          <w:i/>
          <w:color w:val="231F20"/>
          <w:w w:val="105"/>
          <w:sz w:val="19"/>
        </w:rPr>
        <w:t>irritation</w:t>
      </w:r>
      <w:r>
        <w:rPr>
          <w:i/>
          <w:color w:val="231F20"/>
          <w:spacing w:val="-19"/>
          <w:w w:val="105"/>
          <w:sz w:val="19"/>
        </w:rPr>
        <w:t xml:space="preserve"> </w:t>
      </w:r>
      <w:r>
        <w:rPr>
          <w:i/>
          <w:color w:val="231F20"/>
          <w:w w:val="105"/>
          <w:sz w:val="19"/>
        </w:rPr>
        <w:t>when</w:t>
      </w:r>
      <w:r>
        <w:rPr>
          <w:i/>
          <w:color w:val="231F20"/>
          <w:spacing w:val="-19"/>
          <w:w w:val="105"/>
          <w:sz w:val="19"/>
        </w:rPr>
        <w:t xml:space="preserve"> </w:t>
      </w:r>
      <w:r>
        <w:rPr>
          <w:i/>
          <w:color w:val="231F20"/>
          <w:w w:val="105"/>
          <w:sz w:val="19"/>
        </w:rPr>
        <w:t>the</w:t>
      </w:r>
      <w:r>
        <w:rPr>
          <w:i/>
          <w:color w:val="231F20"/>
          <w:spacing w:val="-19"/>
          <w:w w:val="105"/>
          <w:sz w:val="19"/>
        </w:rPr>
        <w:t xml:space="preserve"> </w:t>
      </w:r>
      <w:r>
        <w:rPr>
          <w:i/>
          <w:color w:val="231F20"/>
          <w:w w:val="105"/>
          <w:sz w:val="19"/>
        </w:rPr>
        <w:t>pipe</w:t>
      </w:r>
      <w:r>
        <w:rPr>
          <w:i/>
          <w:color w:val="231F20"/>
          <w:spacing w:val="-19"/>
          <w:w w:val="105"/>
          <w:sz w:val="19"/>
        </w:rPr>
        <w:t xml:space="preserve"> </w:t>
      </w:r>
      <w:r>
        <w:rPr>
          <w:i/>
          <w:color w:val="231F20"/>
          <w:w w:val="105"/>
          <w:sz w:val="19"/>
        </w:rPr>
        <w:t>is</w:t>
      </w:r>
      <w:r>
        <w:rPr>
          <w:i/>
          <w:color w:val="231F20"/>
          <w:spacing w:val="-19"/>
          <w:w w:val="105"/>
          <w:sz w:val="19"/>
        </w:rPr>
        <w:t xml:space="preserve"> </w:t>
      </w:r>
      <w:r>
        <w:rPr>
          <w:i/>
          <w:color w:val="231F20"/>
          <w:w w:val="105"/>
          <w:sz w:val="19"/>
        </w:rPr>
        <w:t>introduced causes gagging and nausea and the cramping of the chest and stomach</w:t>
      </w:r>
      <w:r>
        <w:rPr>
          <w:i/>
          <w:color w:val="231F20"/>
          <w:spacing w:val="-9"/>
          <w:w w:val="105"/>
          <w:sz w:val="19"/>
        </w:rPr>
        <w:t xml:space="preserve"> </w:t>
      </w:r>
      <w:r>
        <w:rPr>
          <w:i/>
          <w:color w:val="231F20"/>
          <w:w w:val="105"/>
          <w:sz w:val="19"/>
        </w:rPr>
        <w:t>muscles,</w:t>
      </w:r>
      <w:r>
        <w:rPr>
          <w:i/>
          <w:color w:val="231F20"/>
          <w:spacing w:val="-14"/>
          <w:w w:val="105"/>
          <w:sz w:val="19"/>
        </w:rPr>
        <w:t xml:space="preserve"> </w:t>
      </w:r>
      <w:r>
        <w:rPr>
          <w:i/>
          <w:color w:val="231F20"/>
          <w:w w:val="105"/>
          <w:sz w:val="19"/>
        </w:rPr>
        <w:t>setting</w:t>
      </w:r>
      <w:r>
        <w:rPr>
          <w:i/>
          <w:color w:val="231F20"/>
          <w:spacing w:val="-9"/>
          <w:w w:val="105"/>
          <w:sz w:val="19"/>
        </w:rPr>
        <w:t xml:space="preserve"> </w:t>
      </w:r>
      <w:r>
        <w:rPr>
          <w:i/>
          <w:color w:val="231F20"/>
          <w:w w:val="105"/>
          <w:sz w:val="19"/>
        </w:rPr>
        <w:t>off</w:t>
      </w:r>
      <w:r>
        <w:rPr>
          <w:i/>
          <w:color w:val="231F20"/>
          <w:spacing w:val="-9"/>
          <w:w w:val="105"/>
          <w:sz w:val="19"/>
        </w:rPr>
        <w:t xml:space="preserve"> </w:t>
      </w:r>
      <w:r>
        <w:rPr>
          <w:i/>
          <w:color w:val="231F20"/>
          <w:w w:val="105"/>
          <w:sz w:val="19"/>
        </w:rPr>
        <w:t>a</w:t>
      </w:r>
      <w:r>
        <w:rPr>
          <w:i/>
          <w:color w:val="231F20"/>
          <w:spacing w:val="-9"/>
          <w:w w:val="105"/>
          <w:sz w:val="19"/>
        </w:rPr>
        <w:t xml:space="preserve"> </w:t>
      </w:r>
      <w:r>
        <w:rPr>
          <w:i/>
          <w:color w:val="231F20"/>
          <w:w w:val="105"/>
          <w:sz w:val="19"/>
        </w:rPr>
        <w:t>chain</w:t>
      </w:r>
      <w:r>
        <w:rPr>
          <w:i/>
          <w:color w:val="231F20"/>
          <w:spacing w:val="-9"/>
          <w:w w:val="105"/>
          <w:sz w:val="19"/>
        </w:rPr>
        <w:t xml:space="preserve"> </w:t>
      </w:r>
      <w:r>
        <w:rPr>
          <w:i/>
          <w:color w:val="231F20"/>
          <w:w w:val="105"/>
          <w:sz w:val="19"/>
        </w:rPr>
        <w:t>reaction</w:t>
      </w:r>
      <w:r>
        <w:rPr>
          <w:i/>
          <w:color w:val="231F20"/>
          <w:spacing w:val="-9"/>
          <w:w w:val="105"/>
          <w:sz w:val="19"/>
        </w:rPr>
        <w:t xml:space="preserve"> </w:t>
      </w:r>
      <w:r>
        <w:rPr>
          <w:i/>
          <w:color w:val="231F20"/>
          <w:w w:val="105"/>
          <w:sz w:val="19"/>
        </w:rPr>
        <w:t>of</w:t>
      </w:r>
      <w:r>
        <w:rPr>
          <w:i/>
          <w:color w:val="231F20"/>
          <w:spacing w:val="-9"/>
          <w:w w:val="105"/>
          <w:sz w:val="19"/>
        </w:rPr>
        <w:t xml:space="preserve"> </w:t>
      </w:r>
      <w:r>
        <w:rPr>
          <w:i/>
          <w:color w:val="231F20"/>
          <w:w w:val="105"/>
          <w:sz w:val="19"/>
        </w:rPr>
        <w:t>extremely</w:t>
      </w:r>
      <w:r>
        <w:rPr>
          <w:i/>
          <w:color w:val="231F20"/>
          <w:spacing w:val="-9"/>
          <w:w w:val="105"/>
          <w:sz w:val="19"/>
        </w:rPr>
        <w:t xml:space="preserve"> </w:t>
      </w:r>
      <w:r>
        <w:rPr>
          <w:i/>
          <w:color w:val="231F20"/>
          <w:w w:val="105"/>
          <w:sz w:val="19"/>
        </w:rPr>
        <w:t>intense convulsions</w:t>
      </w:r>
      <w:r>
        <w:rPr>
          <w:i/>
          <w:color w:val="231F20"/>
          <w:spacing w:val="-7"/>
          <w:w w:val="105"/>
          <w:sz w:val="19"/>
        </w:rPr>
        <w:t xml:space="preserve"> </w:t>
      </w:r>
      <w:r>
        <w:rPr>
          <w:i/>
          <w:color w:val="231F20"/>
          <w:w w:val="105"/>
          <w:sz w:val="19"/>
        </w:rPr>
        <w:t>throughout</w:t>
      </w:r>
      <w:r>
        <w:rPr>
          <w:i/>
          <w:color w:val="231F20"/>
          <w:spacing w:val="-7"/>
          <w:w w:val="105"/>
          <w:sz w:val="19"/>
        </w:rPr>
        <w:t xml:space="preserve"> </w:t>
      </w:r>
      <w:r>
        <w:rPr>
          <w:i/>
          <w:color w:val="231F20"/>
          <w:w w:val="105"/>
          <w:sz w:val="19"/>
        </w:rPr>
        <w:t>the</w:t>
      </w:r>
      <w:r>
        <w:rPr>
          <w:i/>
          <w:color w:val="231F20"/>
          <w:spacing w:val="-7"/>
          <w:w w:val="105"/>
          <w:sz w:val="19"/>
        </w:rPr>
        <w:t xml:space="preserve"> </w:t>
      </w:r>
      <w:r>
        <w:rPr>
          <w:i/>
          <w:color w:val="231F20"/>
          <w:spacing w:val="-5"/>
          <w:w w:val="105"/>
          <w:sz w:val="19"/>
        </w:rPr>
        <w:t>body,</w:t>
      </w:r>
      <w:r>
        <w:rPr>
          <w:i/>
          <w:color w:val="231F20"/>
          <w:spacing w:val="-12"/>
          <w:w w:val="105"/>
          <w:sz w:val="19"/>
        </w:rPr>
        <w:t xml:space="preserve"> </w:t>
      </w:r>
      <w:r>
        <w:rPr>
          <w:i/>
          <w:color w:val="231F20"/>
          <w:w w:val="105"/>
          <w:sz w:val="19"/>
        </w:rPr>
        <w:t>causing</w:t>
      </w:r>
      <w:r>
        <w:rPr>
          <w:i/>
          <w:color w:val="231F20"/>
          <w:spacing w:val="-7"/>
          <w:w w:val="105"/>
          <w:sz w:val="19"/>
        </w:rPr>
        <w:t xml:space="preserve"> </w:t>
      </w:r>
      <w:r>
        <w:rPr>
          <w:i/>
          <w:color w:val="231F20"/>
          <w:w w:val="105"/>
          <w:sz w:val="19"/>
        </w:rPr>
        <w:t>one</w:t>
      </w:r>
      <w:r>
        <w:rPr>
          <w:i/>
          <w:color w:val="231F20"/>
          <w:spacing w:val="-7"/>
          <w:w w:val="105"/>
          <w:sz w:val="19"/>
        </w:rPr>
        <w:t xml:space="preserve"> </w:t>
      </w:r>
      <w:r>
        <w:rPr>
          <w:i/>
          <w:color w:val="231F20"/>
          <w:w w:val="105"/>
          <w:sz w:val="19"/>
        </w:rPr>
        <w:t>to</w:t>
      </w:r>
      <w:r>
        <w:rPr>
          <w:i/>
          <w:color w:val="231F20"/>
          <w:spacing w:val="-7"/>
          <w:w w:val="105"/>
          <w:sz w:val="19"/>
        </w:rPr>
        <w:t xml:space="preserve"> </w:t>
      </w:r>
      <w:r>
        <w:rPr>
          <w:i/>
          <w:color w:val="231F20"/>
          <w:w w:val="105"/>
          <w:sz w:val="19"/>
        </w:rPr>
        <w:t>buck</w:t>
      </w:r>
      <w:r>
        <w:rPr>
          <w:i/>
          <w:color w:val="231F20"/>
          <w:spacing w:val="-7"/>
          <w:w w:val="105"/>
          <w:sz w:val="19"/>
        </w:rPr>
        <w:t xml:space="preserve"> </w:t>
      </w:r>
      <w:r>
        <w:rPr>
          <w:i/>
          <w:color w:val="231F20"/>
          <w:w w:val="105"/>
          <w:sz w:val="19"/>
        </w:rPr>
        <w:t>against</w:t>
      </w:r>
      <w:r>
        <w:rPr>
          <w:i/>
          <w:color w:val="231F20"/>
          <w:spacing w:val="-7"/>
          <w:w w:val="105"/>
          <w:sz w:val="19"/>
        </w:rPr>
        <w:t xml:space="preserve"> </w:t>
      </w:r>
      <w:r>
        <w:rPr>
          <w:i/>
          <w:color w:val="231F20"/>
          <w:w w:val="105"/>
          <w:sz w:val="19"/>
        </w:rPr>
        <w:t>the pipe…</w:t>
      </w:r>
    </w:p>
    <w:p w14:paraId="50A14662" w14:textId="77777777" w:rsidR="002653E8" w:rsidRDefault="003115E3">
      <w:pPr>
        <w:pStyle w:val="a3"/>
        <w:spacing w:before="132" w:line="264" w:lineRule="auto"/>
        <w:ind w:left="1327" w:right="1580"/>
        <w:rPr>
          <w:sz w:val="11"/>
        </w:rPr>
      </w:pPr>
      <w:r>
        <w:rPr>
          <w:color w:val="231F20"/>
        </w:rPr>
        <w:t>He concluded that, “The pipe  is,  regardless  of  circumstances,  torture.”</w:t>
      </w:r>
      <w:r>
        <w:rPr>
          <w:color w:val="231F20"/>
          <w:position w:val="7"/>
          <w:sz w:val="11"/>
        </w:rPr>
        <w:t>7</w:t>
      </w:r>
    </w:p>
    <w:p w14:paraId="5615F8F0" w14:textId="77777777" w:rsidR="002653E8" w:rsidRDefault="003115E3">
      <w:pPr>
        <w:pStyle w:val="a3"/>
        <w:spacing w:line="264" w:lineRule="auto"/>
        <w:ind w:left="1327" w:right="1146" w:firstLine="210"/>
        <w:jc w:val="both"/>
        <w:rPr>
          <w:sz w:val="11"/>
        </w:rPr>
      </w:pPr>
      <w:r>
        <w:rPr>
          <w:color w:val="231F20"/>
        </w:rPr>
        <w:t xml:space="preserve">Adelheid Schulz, a </w:t>
      </w:r>
      <w:r w:rsidR="00C507A5">
        <w:rPr>
          <w:color w:val="231F20"/>
        </w:rPr>
        <w:t>red army faction</w:t>
      </w:r>
      <w:r>
        <w:rPr>
          <w:color w:val="231F20"/>
        </w:rPr>
        <w:t xml:space="preserve"> member imprisoned in the 1980s, described the effects of force-feeding as hours of nausea, a racing heartbeat, pain, and effects similar to fever—“At times one experiences hot flashes; then one is freezing cold.”</w:t>
      </w:r>
      <w:r>
        <w:rPr>
          <w:color w:val="231F20"/>
          <w:position w:val="7"/>
          <w:sz w:val="11"/>
        </w:rPr>
        <w:t>8</w:t>
      </w:r>
    </w:p>
    <w:p w14:paraId="23FBF923" w14:textId="77777777" w:rsidR="002653E8" w:rsidRDefault="003115E3">
      <w:pPr>
        <w:pStyle w:val="a3"/>
        <w:spacing w:line="264" w:lineRule="auto"/>
        <w:ind w:left="1327" w:right="1146" w:firstLine="210"/>
        <w:jc w:val="both"/>
        <w:rPr>
          <w:sz w:val="11"/>
        </w:rPr>
      </w:pPr>
      <w:r>
        <w:rPr>
          <w:color w:val="231F20"/>
          <w:w w:val="105"/>
        </w:rPr>
        <w:t>In the words of Margrit Schiller: “I was force-fed every day for a month. Each time was like a rape. Each time, I felt totally humiliated and destroyed.”</w:t>
      </w:r>
      <w:r>
        <w:rPr>
          <w:color w:val="231F20"/>
          <w:w w:val="105"/>
          <w:position w:val="7"/>
          <w:sz w:val="11"/>
        </w:rPr>
        <w:t>9</w:t>
      </w:r>
    </w:p>
    <w:p w14:paraId="1491876A" w14:textId="77777777" w:rsidR="002653E8" w:rsidRDefault="003115E3">
      <w:pPr>
        <w:pStyle w:val="a3"/>
        <w:spacing w:line="264" w:lineRule="auto"/>
        <w:ind w:left="1327" w:right="1147" w:firstLine="210"/>
        <w:jc w:val="both"/>
      </w:pPr>
      <w:r>
        <w:rPr>
          <w:color w:val="231F20"/>
        </w:rPr>
        <w:t>The prisoners insisted that force-feeding was never meant for any purpose other than torture. Events soon convinced many that  they  were</w:t>
      </w:r>
      <w:r>
        <w:rPr>
          <w:color w:val="231F20"/>
          <w:spacing w:val="10"/>
        </w:rPr>
        <w:t xml:space="preserve"> </w:t>
      </w:r>
      <w:r>
        <w:rPr>
          <w:color w:val="231F20"/>
        </w:rPr>
        <w:t>right.</w:t>
      </w:r>
    </w:p>
    <w:p w14:paraId="2E049CDD" w14:textId="77777777" w:rsidR="002653E8" w:rsidRDefault="00000000">
      <w:pPr>
        <w:pStyle w:val="a3"/>
        <w:spacing w:before="4"/>
        <w:rPr>
          <w:sz w:val="11"/>
        </w:rPr>
      </w:pPr>
      <w:r>
        <w:rPr>
          <w:noProof w:val="0"/>
        </w:rPr>
        <w:pict w14:anchorId="7AA3F2E4">
          <v:line id="_x0000_s2385" style="position:absolute;z-index:6592;mso-wrap-distance-left:0;mso-wrap-distance-right:0;mso-position-horizontal-relative:page" from="66.4pt,9.15pt" to="354.4pt,9.15pt" strokecolor="#231f20" strokeweight="1pt">
            <w10:wrap type="topAndBottom" anchorx="page"/>
          </v:line>
        </w:pict>
      </w:r>
    </w:p>
    <w:p w14:paraId="02029C56" w14:textId="77777777" w:rsidR="002653E8" w:rsidRDefault="003115E3">
      <w:pPr>
        <w:spacing w:before="8"/>
        <w:ind w:left="1327"/>
        <w:rPr>
          <w:sz w:val="16"/>
        </w:rPr>
      </w:pPr>
      <w:r>
        <w:rPr>
          <w:color w:val="231F20"/>
          <w:w w:val="105"/>
          <w:sz w:val="16"/>
        </w:rPr>
        <w:t>and extradited back to Holland in 1980.</w:t>
      </w:r>
    </w:p>
    <w:p w14:paraId="39343EBF" w14:textId="77777777" w:rsidR="002653E8" w:rsidRDefault="003115E3">
      <w:pPr>
        <w:pStyle w:val="a4"/>
        <w:numPr>
          <w:ilvl w:val="0"/>
          <w:numId w:val="114"/>
        </w:numPr>
        <w:tabs>
          <w:tab w:val="left" w:pos="1467"/>
        </w:tabs>
        <w:spacing w:before="51" w:line="254" w:lineRule="auto"/>
        <w:ind w:left="1327" w:right="1328" w:firstLine="0"/>
        <w:jc w:val="left"/>
        <w:rPr>
          <w:sz w:val="16"/>
        </w:rPr>
      </w:pPr>
      <w:r>
        <w:rPr>
          <w:color w:val="231F20"/>
          <w:w w:val="105"/>
          <w:sz w:val="16"/>
        </w:rPr>
        <w:t xml:space="preserve">It is possible that this reticence to use water deprivation was at least partly due to the </w:t>
      </w:r>
      <w:r w:rsidR="00C507A5">
        <w:rPr>
          <w:color w:val="231F20"/>
          <w:spacing w:val="3"/>
          <w:w w:val="105"/>
          <w:sz w:val="16"/>
        </w:rPr>
        <w:t>red army faction</w:t>
      </w:r>
      <w:r>
        <w:rPr>
          <w:color w:val="231F20"/>
          <w:spacing w:val="3"/>
          <w:w w:val="105"/>
          <w:sz w:val="16"/>
        </w:rPr>
        <w:t xml:space="preserve"> </w:t>
      </w:r>
      <w:r>
        <w:rPr>
          <w:color w:val="231F20"/>
          <w:w w:val="105"/>
          <w:sz w:val="16"/>
        </w:rPr>
        <w:t>prisoners’ threat to escalate to a thirst strike if such measures were adopted.</w:t>
      </w:r>
      <w:r>
        <w:rPr>
          <w:color w:val="231F20"/>
          <w:spacing w:val="15"/>
          <w:w w:val="105"/>
          <w:sz w:val="16"/>
        </w:rPr>
        <w:t xml:space="preserve"> </w:t>
      </w:r>
      <w:r>
        <w:rPr>
          <w:color w:val="231F20"/>
          <w:spacing w:val="1"/>
          <w:w w:val="105"/>
          <w:sz w:val="16"/>
        </w:rPr>
        <w:t>See</w:t>
      </w:r>
      <w:r>
        <w:rPr>
          <w:color w:val="231F20"/>
          <w:spacing w:val="15"/>
          <w:w w:val="105"/>
          <w:sz w:val="16"/>
        </w:rPr>
        <w:t xml:space="preserve"> </w:t>
      </w:r>
      <w:r>
        <w:rPr>
          <w:color w:val="231F20"/>
          <w:w w:val="105"/>
          <w:sz w:val="16"/>
        </w:rPr>
        <w:t>Ulrike</w:t>
      </w:r>
      <w:r>
        <w:rPr>
          <w:color w:val="231F20"/>
          <w:spacing w:val="15"/>
          <w:w w:val="105"/>
          <w:sz w:val="16"/>
        </w:rPr>
        <w:t xml:space="preserve"> </w:t>
      </w:r>
      <w:r>
        <w:rPr>
          <w:color w:val="231F20"/>
          <w:w w:val="105"/>
          <w:sz w:val="16"/>
        </w:rPr>
        <w:t>Meinhof</w:t>
      </w:r>
      <w:r>
        <w:rPr>
          <w:color w:val="231F20"/>
          <w:spacing w:val="15"/>
          <w:w w:val="105"/>
          <w:sz w:val="16"/>
        </w:rPr>
        <w:t xml:space="preserve"> </w:t>
      </w:r>
      <w:r>
        <w:rPr>
          <w:color w:val="231F20"/>
          <w:w w:val="105"/>
          <w:sz w:val="16"/>
        </w:rPr>
        <w:t>Regarding</w:t>
      </w:r>
      <w:r>
        <w:rPr>
          <w:color w:val="231F20"/>
          <w:spacing w:val="15"/>
          <w:w w:val="105"/>
          <w:sz w:val="16"/>
        </w:rPr>
        <w:t xml:space="preserve"> </w:t>
      </w:r>
      <w:r>
        <w:rPr>
          <w:color w:val="231F20"/>
          <w:w w:val="105"/>
          <w:sz w:val="16"/>
        </w:rPr>
        <w:t>the</w:t>
      </w:r>
      <w:r>
        <w:rPr>
          <w:color w:val="231F20"/>
          <w:spacing w:val="15"/>
          <w:w w:val="105"/>
          <w:sz w:val="16"/>
        </w:rPr>
        <w:t xml:space="preserve"> </w:t>
      </w:r>
      <w:r>
        <w:rPr>
          <w:color w:val="231F20"/>
          <w:w w:val="105"/>
          <w:sz w:val="16"/>
        </w:rPr>
        <w:t>Liberation</w:t>
      </w:r>
      <w:r>
        <w:rPr>
          <w:color w:val="231F20"/>
          <w:spacing w:val="15"/>
          <w:w w:val="105"/>
          <w:sz w:val="16"/>
        </w:rPr>
        <w:t xml:space="preserve"> </w:t>
      </w:r>
      <w:r>
        <w:rPr>
          <w:color w:val="231F20"/>
          <w:w w:val="105"/>
          <w:sz w:val="16"/>
        </w:rPr>
        <w:t>of</w:t>
      </w:r>
      <w:r>
        <w:rPr>
          <w:color w:val="231F20"/>
          <w:spacing w:val="15"/>
          <w:w w:val="105"/>
          <w:sz w:val="16"/>
        </w:rPr>
        <w:t xml:space="preserve"> </w:t>
      </w:r>
      <w:r>
        <w:rPr>
          <w:color w:val="231F20"/>
          <w:w w:val="105"/>
          <w:sz w:val="16"/>
        </w:rPr>
        <w:t>Andreas</w:t>
      </w:r>
      <w:r>
        <w:rPr>
          <w:color w:val="231F20"/>
          <w:spacing w:val="15"/>
          <w:w w:val="105"/>
          <w:sz w:val="16"/>
        </w:rPr>
        <w:t xml:space="preserve"> </w:t>
      </w:r>
      <w:r>
        <w:rPr>
          <w:color w:val="231F20"/>
          <w:w w:val="105"/>
          <w:sz w:val="16"/>
        </w:rPr>
        <w:t>Baader,</w:t>
      </w:r>
      <w:r>
        <w:rPr>
          <w:color w:val="231F20"/>
          <w:spacing w:val="15"/>
          <w:w w:val="105"/>
          <w:sz w:val="16"/>
        </w:rPr>
        <w:t xml:space="preserve"> </w:t>
      </w:r>
      <w:r>
        <w:rPr>
          <w:color w:val="231F20"/>
          <w:w w:val="105"/>
          <w:sz w:val="16"/>
        </w:rPr>
        <w:t>cf</w:t>
      </w:r>
      <w:r>
        <w:rPr>
          <w:color w:val="231F20"/>
          <w:spacing w:val="16"/>
          <w:w w:val="105"/>
          <w:sz w:val="16"/>
        </w:rPr>
        <w:t xml:space="preserve"> </w:t>
      </w:r>
      <w:r>
        <w:rPr>
          <w:color w:val="231F20"/>
          <w:w w:val="105"/>
          <w:sz w:val="16"/>
        </w:rPr>
        <w:t>370.</w:t>
      </w:r>
    </w:p>
    <w:p w14:paraId="24580560" w14:textId="77777777" w:rsidR="002653E8" w:rsidRDefault="003115E3">
      <w:pPr>
        <w:pStyle w:val="a4"/>
        <w:numPr>
          <w:ilvl w:val="0"/>
          <w:numId w:val="114"/>
        </w:numPr>
        <w:tabs>
          <w:tab w:val="left" w:pos="1467"/>
        </w:tabs>
        <w:spacing w:before="42"/>
        <w:ind w:left="1466"/>
        <w:jc w:val="left"/>
        <w:rPr>
          <w:sz w:val="16"/>
        </w:rPr>
      </w:pPr>
      <w:r>
        <w:rPr>
          <w:color w:val="231F20"/>
          <w:w w:val="105"/>
          <w:sz w:val="16"/>
        </w:rPr>
        <w:t>Holger</w:t>
      </w:r>
      <w:r>
        <w:rPr>
          <w:color w:val="231F20"/>
          <w:spacing w:val="8"/>
          <w:w w:val="105"/>
          <w:sz w:val="16"/>
        </w:rPr>
        <w:t xml:space="preserve"> </w:t>
      </w:r>
      <w:r>
        <w:rPr>
          <w:color w:val="231F20"/>
          <w:w w:val="105"/>
          <w:sz w:val="16"/>
        </w:rPr>
        <w:t>Meins’</w:t>
      </w:r>
      <w:r>
        <w:rPr>
          <w:color w:val="231F20"/>
          <w:spacing w:val="8"/>
          <w:w w:val="105"/>
          <w:sz w:val="16"/>
        </w:rPr>
        <w:t xml:space="preserve"> </w:t>
      </w:r>
      <w:r>
        <w:rPr>
          <w:color w:val="231F20"/>
          <w:w w:val="105"/>
          <w:sz w:val="16"/>
        </w:rPr>
        <w:t>Report</w:t>
      </w:r>
      <w:r>
        <w:rPr>
          <w:color w:val="231F20"/>
          <w:spacing w:val="8"/>
          <w:w w:val="105"/>
          <w:sz w:val="16"/>
        </w:rPr>
        <w:t xml:space="preserve"> </w:t>
      </w:r>
      <w:r>
        <w:rPr>
          <w:color w:val="231F20"/>
          <w:w w:val="105"/>
          <w:sz w:val="16"/>
        </w:rPr>
        <w:t>on</w:t>
      </w:r>
      <w:r>
        <w:rPr>
          <w:color w:val="231F20"/>
          <w:spacing w:val="8"/>
          <w:w w:val="105"/>
          <w:sz w:val="16"/>
        </w:rPr>
        <w:t xml:space="preserve"> </w:t>
      </w:r>
      <w:r>
        <w:rPr>
          <w:color w:val="231F20"/>
          <w:w w:val="105"/>
          <w:sz w:val="16"/>
        </w:rPr>
        <w:t>Force-Feeding,</w:t>
      </w:r>
      <w:r>
        <w:rPr>
          <w:color w:val="231F20"/>
          <w:spacing w:val="8"/>
          <w:w w:val="105"/>
          <w:sz w:val="16"/>
        </w:rPr>
        <w:t xml:space="preserve"> </w:t>
      </w:r>
      <w:r>
        <w:rPr>
          <w:color w:val="231F20"/>
          <w:w w:val="105"/>
          <w:sz w:val="16"/>
        </w:rPr>
        <w:t>see</w:t>
      </w:r>
      <w:r>
        <w:rPr>
          <w:color w:val="231F20"/>
          <w:spacing w:val="8"/>
          <w:w w:val="105"/>
          <w:sz w:val="16"/>
        </w:rPr>
        <w:t xml:space="preserve"> </w:t>
      </w:r>
      <w:r>
        <w:rPr>
          <w:color w:val="231F20"/>
          <w:w w:val="105"/>
          <w:sz w:val="16"/>
        </w:rPr>
        <w:t>pages</w:t>
      </w:r>
      <w:r>
        <w:rPr>
          <w:color w:val="231F20"/>
          <w:spacing w:val="8"/>
          <w:w w:val="105"/>
          <w:sz w:val="16"/>
        </w:rPr>
        <w:t xml:space="preserve"> </w:t>
      </w:r>
      <w:r>
        <w:rPr>
          <w:color w:val="231F20"/>
          <w:spacing w:val="-3"/>
          <w:w w:val="105"/>
          <w:sz w:val="16"/>
        </w:rPr>
        <w:t>392-95.</w:t>
      </w:r>
    </w:p>
    <w:p w14:paraId="5FD2F224" w14:textId="77777777" w:rsidR="002653E8" w:rsidRDefault="003115E3">
      <w:pPr>
        <w:pStyle w:val="a4"/>
        <w:numPr>
          <w:ilvl w:val="0"/>
          <w:numId w:val="114"/>
        </w:numPr>
        <w:tabs>
          <w:tab w:val="left" w:pos="1467"/>
        </w:tabs>
        <w:spacing w:before="51" w:line="307" w:lineRule="auto"/>
        <w:ind w:left="1327" w:right="1331" w:firstLine="0"/>
        <w:jc w:val="left"/>
        <w:rPr>
          <w:i/>
          <w:sz w:val="16"/>
        </w:rPr>
      </w:pPr>
      <w:r w:rsidRPr="00C507A5">
        <w:rPr>
          <w:i/>
          <w:color w:val="231F20"/>
          <w:w w:val="110"/>
          <w:sz w:val="16"/>
          <w:lang w:val="de-DE"/>
        </w:rPr>
        <w:t xml:space="preserve">Von </w:t>
      </w:r>
      <w:r w:rsidRPr="00C507A5">
        <w:rPr>
          <w:i/>
          <w:color w:val="231F20"/>
          <w:spacing w:val="1"/>
          <w:w w:val="110"/>
          <w:sz w:val="16"/>
          <w:lang w:val="de-DE"/>
        </w:rPr>
        <w:t xml:space="preserve">der Zwangernährung </w:t>
      </w:r>
      <w:r w:rsidRPr="00C507A5">
        <w:rPr>
          <w:i/>
          <w:color w:val="231F20"/>
          <w:w w:val="110"/>
          <w:sz w:val="16"/>
          <w:lang w:val="de-DE"/>
        </w:rPr>
        <w:t xml:space="preserve">zur “Koma-Losung,” </w:t>
      </w:r>
      <w:r w:rsidRPr="00C507A5">
        <w:rPr>
          <w:color w:val="231F20"/>
          <w:w w:val="110"/>
          <w:sz w:val="16"/>
          <w:lang w:val="de-DE"/>
        </w:rPr>
        <w:t xml:space="preserve">West Germany, Sept. </w:t>
      </w:r>
      <w:r w:rsidRPr="00C507A5">
        <w:rPr>
          <w:color w:val="231F20"/>
          <w:spacing w:val="-4"/>
          <w:w w:val="110"/>
          <w:sz w:val="16"/>
          <w:lang w:val="de-DE"/>
        </w:rPr>
        <w:t xml:space="preserve">1985, </w:t>
      </w:r>
      <w:r w:rsidRPr="00C507A5">
        <w:rPr>
          <w:color w:val="231F20"/>
          <w:spacing w:val="-5"/>
          <w:w w:val="110"/>
          <w:sz w:val="16"/>
          <w:lang w:val="de-DE"/>
        </w:rPr>
        <w:t xml:space="preserve">25.  </w:t>
      </w:r>
      <w:r>
        <w:rPr>
          <w:color w:val="231F20"/>
          <w:w w:val="110"/>
          <w:sz w:val="16"/>
        </w:rPr>
        <w:t xml:space="preserve">9 </w:t>
      </w:r>
      <w:r>
        <w:rPr>
          <w:i/>
          <w:color w:val="231F20"/>
          <w:spacing w:val="2"/>
          <w:w w:val="110"/>
          <w:sz w:val="16"/>
        </w:rPr>
        <w:t xml:space="preserve">Baader </w:t>
      </w:r>
      <w:r>
        <w:rPr>
          <w:i/>
          <w:color w:val="231F20"/>
          <w:w w:val="110"/>
          <w:sz w:val="16"/>
        </w:rPr>
        <w:t>Meinhof: In Love With</w:t>
      </w:r>
      <w:r>
        <w:rPr>
          <w:i/>
          <w:color w:val="231F20"/>
          <w:spacing w:val="37"/>
          <w:w w:val="110"/>
          <w:sz w:val="16"/>
        </w:rPr>
        <w:t xml:space="preserve"> </w:t>
      </w:r>
      <w:r>
        <w:rPr>
          <w:i/>
          <w:color w:val="231F20"/>
          <w:w w:val="110"/>
          <w:sz w:val="16"/>
        </w:rPr>
        <w:t>Terror.</w:t>
      </w:r>
    </w:p>
    <w:p w14:paraId="3AA026BF" w14:textId="77777777" w:rsidR="002653E8" w:rsidRDefault="002653E8">
      <w:pPr>
        <w:spacing w:line="307" w:lineRule="auto"/>
        <w:rPr>
          <w:sz w:val="16"/>
        </w:rPr>
        <w:sectPr w:rsidR="002653E8">
          <w:pgSz w:w="8640" w:h="12960"/>
          <w:pgMar w:top="1060" w:right="0" w:bottom="1040" w:left="0" w:header="0" w:footer="850" w:gutter="0"/>
          <w:cols w:space="720"/>
        </w:sectPr>
      </w:pPr>
    </w:p>
    <w:p w14:paraId="2CFB34CB" w14:textId="77777777" w:rsidR="002653E8" w:rsidRDefault="003115E3">
      <w:pPr>
        <w:pStyle w:val="a3"/>
        <w:spacing w:before="86" w:line="264" w:lineRule="auto"/>
        <w:ind w:left="1147" w:right="1325" w:firstLine="210"/>
        <w:jc w:val="both"/>
      </w:pPr>
      <w:r>
        <w:rPr>
          <w:color w:val="231F20"/>
        </w:rPr>
        <w:lastRenderedPageBreak/>
        <w:t xml:space="preserve">On Saturday, November 9, Holger Meins died of starvation  in  Wittlich prison. Supporters and lawyers had already argued that this prison lacked the facilities for force-feeding to be of any medical benefit, yet the Bonn Security Group—the section of the </w:t>
      </w:r>
      <w:r>
        <w:rPr>
          <w:color w:val="231F20"/>
          <w:spacing w:val="2"/>
        </w:rPr>
        <w:t xml:space="preserve">BKA </w:t>
      </w:r>
      <w:r>
        <w:rPr>
          <w:color w:val="231F20"/>
        </w:rPr>
        <w:t>charged with protecting political figures (much like the American secret service) and also combating enemies of the state</w:t>
      </w:r>
      <w:r>
        <w:rPr>
          <w:color w:val="231F20"/>
          <w:position w:val="7"/>
          <w:sz w:val="11"/>
        </w:rPr>
        <w:t>1</w:t>
      </w:r>
      <w:r>
        <w:rPr>
          <w:color w:val="231F20"/>
        </w:rPr>
        <w:t>—had blocked Meins from being transferred anywhere</w:t>
      </w:r>
      <w:r>
        <w:rPr>
          <w:color w:val="231F20"/>
          <w:spacing w:val="20"/>
        </w:rPr>
        <w:t xml:space="preserve"> </w:t>
      </w:r>
      <w:r>
        <w:rPr>
          <w:color w:val="231F20"/>
        </w:rPr>
        <w:t>else.</w:t>
      </w:r>
    </w:p>
    <w:p w14:paraId="3C252D8F" w14:textId="77777777" w:rsidR="002653E8" w:rsidRDefault="003115E3">
      <w:pPr>
        <w:pStyle w:val="a3"/>
        <w:spacing w:line="264" w:lineRule="auto"/>
        <w:ind w:left="1147" w:right="1326" w:firstLine="210"/>
        <w:jc w:val="both"/>
        <w:rPr>
          <w:sz w:val="11"/>
        </w:rPr>
      </w:pPr>
      <w:r>
        <w:rPr>
          <w:color w:val="231F20"/>
        </w:rPr>
        <w:t>For the last two weeks of his life, Meins only received between 400 and 800 calories daily, and in the last four days of his life, never more than 400 calories a day.</w:t>
      </w:r>
      <w:r>
        <w:rPr>
          <w:color w:val="231F20"/>
          <w:position w:val="7"/>
          <w:sz w:val="11"/>
        </w:rPr>
        <w:t>2</w:t>
      </w:r>
    </w:p>
    <w:p w14:paraId="79518A4E" w14:textId="77777777" w:rsidR="002653E8" w:rsidRDefault="003115E3">
      <w:pPr>
        <w:pStyle w:val="a3"/>
        <w:spacing w:line="264" w:lineRule="auto"/>
        <w:ind w:left="1147" w:right="1326" w:firstLine="210"/>
        <w:jc w:val="both"/>
      </w:pPr>
      <w:r>
        <w:rPr>
          <w:color w:val="231F20"/>
        </w:rPr>
        <w:t>Meins was never hospitalized, despite a court decision ordering such a transfer, and the prison doctor had gone on vacation without leaving any replacement at his post.</w:t>
      </w:r>
      <w:r>
        <w:rPr>
          <w:color w:val="231F20"/>
          <w:position w:val="7"/>
          <w:sz w:val="11"/>
        </w:rPr>
        <w:t xml:space="preserve">3 </w:t>
      </w:r>
      <w:r>
        <w:rPr>
          <w:color w:val="231F20"/>
        </w:rPr>
        <w:t xml:space="preserve">Scandalously, before </w:t>
      </w:r>
      <w:r>
        <w:rPr>
          <w:color w:val="231F20"/>
          <w:spacing w:val="-3"/>
        </w:rPr>
        <w:t xml:space="preserve">Dr. </w:t>
      </w:r>
      <w:r>
        <w:rPr>
          <w:color w:val="231F20"/>
        </w:rPr>
        <w:t>Hutter left, he sought</w:t>
      </w:r>
      <w:r>
        <w:rPr>
          <w:color w:val="231F20"/>
          <w:spacing w:val="10"/>
        </w:rPr>
        <w:t xml:space="preserve"> </w:t>
      </w:r>
      <w:r>
        <w:rPr>
          <w:color w:val="231F20"/>
        </w:rPr>
        <w:t>assurances</w:t>
      </w:r>
      <w:r>
        <w:rPr>
          <w:color w:val="231F20"/>
          <w:spacing w:val="10"/>
        </w:rPr>
        <w:t xml:space="preserve"> </w:t>
      </w:r>
      <w:r>
        <w:rPr>
          <w:color w:val="231F20"/>
        </w:rPr>
        <w:t>that</w:t>
      </w:r>
      <w:r>
        <w:rPr>
          <w:color w:val="231F20"/>
          <w:spacing w:val="10"/>
        </w:rPr>
        <w:t xml:space="preserve"> </w:t>
      </w:r>
      <w:r>
        <w:rPr>
          <w:color w:val="231F20"/>
        </w:rPr>
        <w:t>he</w:t>
      </w:r>
      <w:r>
        <w:rPr>
          <w:color w:val="231F20"/>
          <w:spacing w:val="10"/>
        </w:rPr>
        <w:t xml:space="preserve"> </w:t>
      </w:r>
      <w:r>
        <w:rPr>
          <w:color w:val="231F20"/>
        </w:rPr>
        <w:t>would</w:t>
      </w:r>
      <w:r>
        <w:rPr>
          <w:color w:val="231F20"/>
          <w:spacing w:val="10"/>
        </w:rPr>
        <w:t xml:space="preserve"> </w:t>
      </w:r>
      <w:r>
        <w:rPr>
          <w:color w:val="231F20"/>
        </w:rPr>
        <w:t>not</w:t>
      </w:r>
      <w:r>
        <w:rPr>
          <w:color w:val="231F20"/>
          <w:spacing w:val="10"/>
        </w:rPr>
        <w:t xml:space="preserve"> </w:t>
      </w:r>
      <w:r>
        <w:rPr>
          <w:color w:val="231F20"/>
        </w:rPr>
        <w:t>be</w:t>
      </w:r>
      <w:r>
        <w:rPr>
          <w:color w:val="231F20"/>
          <w:spacing w:val="10"/>
        </w:rPr>
        <w:t xml:space="preserve"> </w:t>
      </w:r>
      <w:r>
        <w:rPr>
          <w:color w:val="231F20"/>
        </w:rPr>
        <w:t>disciplined</w:t>
      </w:r>
      <w:r>
        <w:rPr>
          <w:color w:val="231F20"/>
          <w:spacing w:val="10"/>
        </w:rPr>
        <w:t xml:space="preserve"> </w:t>
      </w:r>
      <w:r>
        <w:rPr>
          <w:color w:val="231F20"/>
        </w:rPr>
        <w:t>should</w:t>
      </w:r>
      <w:r>
        <w:rPr>
          <w:color w:val="231F20"/>
          <w:spacing w:val="10"/>
        </w:rPr>
        <w:t xml:space="preserve"> </w:t>
      </w:r>
      <w:r>
        <w:rPr>
          <w:color w:val="231F20"/>
        </w:rPr>
        <w:t>Meins</w:t>
      </w:r>
      <w:r>
        <w:rPr>
          <w:color w:val="231F20"/>
          <w:spacing w:val="10"/>
        </w:rPr>
        <w:t xml:space="preserve"> </w:t>
      </w:r>
      <w:r>
        <w:rPr>
          <w:color w:val="231F20"/>
        </w:rPr>
        <w:t>die.</w:t>
      </w:r>
    </w:p>
    <w:p w14:paraId="4833DDDA" w14:textId="77777777" w:rsidR="002653E8" w:rsidRDefault="003115E3">
      <w:pPr>
        <w:pStyle w:val="a3"/>
        <w:spacing w:line="264" w:lineRule="auto"/>
        <w:ind w:left="1147" w:right="1326" w:firstLine="209"/>
        <w:jc w:val="both"/>
      </w:pPr>
      <w:r>
        <w:rPr>
          <w:color w:val="231F20"/>
        </w:rPr>
        <w:t xml:space="preserve">Siegfried Haag, one of the </w:t>
      </w:r>
      <w:r w:rsidR="00C507A5">
        <w:rPr>
          <w:color w:val="231F20"/>
          <w:spacing w:val="1"/>
        </w:rPr>
        <w:t>red army faction</w:t>
      </w:r>
      <w:r>
        <w:rPr>
          <w:color w:val="231F20"/>
          <w:spacing w:val="1"/>
        </w:rPr>
        <w:t xml:space="preserve">’s </w:t>
      </w:r>
      <w:r>
        <w:rPr>
          <w:color w:val="231F20"/>
        </w:rPr>
        <w:t>court appointed  attorneys,  was  with</w:t>
      </w:r>
      <w:r>
        <w:rPr>
          <w:color w:val="231F20"/>
          <w:spacing w:val="12"/>
        </w:rPr>
        <w:t xml:space="preserve"> </w:t>
      </w:r>
      <w:r>
        <w:rPr>
          <w:color w:val="231F20"/>
        </w:rPr>
        <w:t>Meins</w:t>
      </w:r>
      <w:r>
        <w:rPr>
          <w:color w:val="231F20"/>
          <w:spacing w:val="12"/>
        </w:rPr>
        <w:t xml:space="preserve"> </w:t>
      </w:r>
      <w:r>
        <w:rPr>
          <w:color w:val="231F20"/>
        </w:rPr>
        <w:t>just</w:t>
      </w:r>
      <w:r>
        <w:rPr>
          <w:color w:val="231F20"/>
          <w:spacing w:val="12"/>
        </w:rPr>
        <w:t xml:space="preserve"> </w:t>
      </w:r>
      <w:r>
        <w:rPr>
          <w:color w:val="231F20"/>
        </w:rPr>
        <w:t>before</w:t>
      </w:r>
      <w:r>
        <w:rPr>
          <w:color w:val="231F20"/>
          <w:spacing w:val="12"/>
        </w:rPr>
        <w:t xml:space="preserve"> </w:t>
      </w:r>
      <w:r>
        <w:rPr>
          <w:color w:val="231F20"/>
        </w:rPr>
        <w:t>he</w:t>
      </w:r>
      <w:r>
        <w:rPr>
          <w:color w:val="231F20"/>
          <w:spacing w:val="12"/>
        </w:rPr>
        <w:t xml:space="preserve"> </w:t>
      </w:r>
      <w:r>
        <w:rPr>
          <w:color w:val="231F20"/>
        </w:rPr>
        <w:t>died.</w:t>
      </w:r>
      <w:r>
        <w:rPr>
          <w:color w:val="231F20"/>
          <w:spacing w:val="12"/>
        </w:rPr>
        <w:t xml:space="preserve"> </w:t>
      </w:r>
      <w:r>
        <w:rPr>
          <w:color w:val="231F20"/>
        </w:rPr>
        <w:t>The</w:t>
      </w:r>
      <w:r>
        <w:rPr>
          <w:color w:val="231F20"/>
          <w:spacing w:val="12"/>
        </w:rPr>
        <w:t xml:space="preserve"> </w:t>
      </w:r>
      <w:r>
        <w:rPr>
          <w:color w:val="231F20"/>
        </w:rPr>
        <w:t>prisoner</w:t>
      </w:r>
      <w:r>
        <w:rPr>
          <w:color w:val="231F20"/>
          <w:spacing w:val="12"/>
        </w:rPr>
        <w:t xml:space="preserve"> </w:t>
      </w:r>
      <w:r>
        <w:rPr>
          <w:color w:val="231F20"/>
        </w:rPr>
        <w:t>had</w:t>
      </w:r>
      <w:r>
        <w:rPr>
          <w:color w:val="231F20"/>
          <w:spacing w:val="12"/>
        </w:rPr>
        <w:t xml:space="preserve"> </w:t>
      </w:r>
      <w:r>
        <w:rPr>
          <w:color w:val="231F20"/>
        </w:rPr>
        <w:t>to</w:t>
      </w:r>
      <w:r>
        <w:rPr>
          <w:color w:val="231F20"/>
          <w:spacing w:val="12"/>
        </w:rPr>
        <w:t xml:space="preserve"> </w:t>
      </w:r>
      <w:r>
        <w:rPr>
          <w:color w:val="231F20"/>
        </w:rPr>
        <w:t>be</w:t>
      </w:r>
      <w:r>
        <w:rPr>
          <w:color w:val="231F20"/>
          <w:spacing w:val="12"/>
        </w:rPr>
        <w:t xml:space="preserve"> </w:t>
      </w:r>
      <w:r>
        <w:rPr>
          <w:color w:val="231F20"/>
        </w:rPr>
        <w:t>brought</w:t>
      </w:r>
      <w:r>
        <w:rPr>
          <w:color w:val="231F20"/>
          <w:spacing w:val="12"/>
        </w:rPr>
        <w:t xml:space="preserve"> </w:t>
      </w:r>
      <w:r>
        <w:rPr>
          <w:color w:val="231F20"/>
        </w:rPr>
        <w:t>in</w:t>
      </w:r>
      <w:r>
        <w:rPr>
          <w:color w:val="231F20"/>
          <w:spacing w:val="12"/>
        </w:rPr>
        <w:t xml:space="preserve"> </w:t>
      </w:r>
      <w:r>
        <w:rPr>
          <w:color w:val="231F20"/>
        </w:rPr>
        <w:t>on</w:t>
      </w:r>
      <w:r>
        <w:rPr>
          <w:color w:val="231F20"/>
          <w:spacing w:val="12"/>
        </w:rPr>
        <w:t xml:space="preserve"> </w:t>
      </w:r>
      <w:r>
        <w:rPr>
          <w:color w:val="231F20"/>
        </w:rPr>
        <w:t>a</w:t>
      </w:r>
    </w:p>
    <w:p w14:paraId="08D2D66E" w14:textId="77777777" w:rsidR="002653E8" w:rsidRDefault="002653E8">
      <w:pPr>
        <w:pStyle w:val="a3"/>
      </w:pPr>
    </w:p>
    <w:p w14:paraId="1B78F276" w14:textId="77777777" w:rsidR="002653E8" w:rsidRDefault="003115E3">
      <w:pPr>
        <w:pStyle w:val="a3"/>
        <w:spacing w:before="7"/>
        <w:rPr>
          <w:sz w:val="13"/>
        </w:rPr>
      </w:pPr>
      <w:r>
        <w:drawing>
          <wp:anchor distT="0" distB="0" distL="0" distR="0" simplePos="0" relativeHeight="6616" behindDoc="0" locked="0" layoutInCell="1" allowOverlap="1" wp14:anchorId="7EAA05AB" wp14:editId="5BA8603D">
            <wp:simplePos x="0" y="0"/>
            <wp:positionH relativeFrom="page">
              <wp:posOffset>815454</wp:posOffset>
            </wp:positionH>
            <wp:positionV relativeFrom="paragraph">
              <wp:posOffset>126002</wp:posOffset>
            </wp:positionV>
            <wp:extent cx="3731148" cy="2514600"/>
            <wp:effectExtent l="0" t="0" r="0" b="0"/>
            <wp:wrapTopAndBottom/>
            <wp:docPr id="3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8.png"/>
                    <pic:cNvPicPr/>
                  </pic:nvPicPr>
                  <pic:blipFill>
                    <a:blip r:embed="rId226" cstate="print"/>
                    <a:stretch>
                      <a:fillRect/>
                    </a:stretch>
                  </pic:blipFill>
                  <pic:spPr>
                    <a:xfrm>
                      <a:off x="0" y="0"/>
                      <a:ext cx="3731148" cy="2514600"/>
                    </a:xfrm>
                    <a:prstGeom prst="rect">
                      <a:avLst/>
                    </a:prstGeom>
                  </pic:spPr>
                </pic:pic>
              </a:graphicData>
            </a:graphic>
          </wp:anchor>
        </w:drawing>
      </w:r>
    </w:p>
    <w:p w14:paraId="09FA4AB3" w14:textId="77777777" w:rsidR="002653E8" w:rsidRDefault="003115E3">
      <w:pPr>
        <w:spacing w:before="59"/>
        <w:ind w:left="760" w:right="938"/>
        <w:jc w:val="center"/>
        <w:rPr>
          <w:i/>
          <w:sz w:val="18"/>
        </w:rPr>
      </w:pPr>
      <w:r>
        <w:rPr>
          <w:i/>
          <w:color w:val="231F20"/>
          <w:w w:val="105"/>
          <w:sz w:val="18"/>
        </w:rPr>
        <w:t>Over six feet tall, by the time he died</w:t>
      </w:r>
    </w:p>
    <w:p w14:paraId="6210607C" w14:textId="77777777" w:rsidR="002653E8" w:rsidRDefault="003115E3">
      <w:pPr>
        <w:spacing w:before="5"/>
        <w:ind w:left="760" w:right="938"/>
        <w:jc w:val="center"/>
        <w:rPr>
          <w:i/>
          <w:sz w:val="18"/>
        </w:rPr>
      </w:pPr>
      <w:r>
        <w:rPr>
          <w:i/>
          <w:color w:val="231F20"/>
          <w:w w:val="105"/>
          <w:sz w:val="18"/>
        </w:rPr>
        <w:t>Holger Meins weighed less than one hundred pounds.</w:t>
      </w:r>
    </w:p>
    <w:p w14:paraId="29525C60" w14:textId="77777777" w:rsidR="002653E8" w:rsidRDefault="00000000">
      <w:pPr>
        <w:pStyle w:val="a3"/>
        <w:spacing w:before="7"/>
        <w:rPr>
          <w:i/>
          <w:sz w:val="19"/>
        </w:rPr>
      </w:pPr>
      <w:r>
        <w:rPr>
          <w:noProof w:val="0"/>
        </w:rPr>
        <w:pict w14:anchorId="6580EC62">
          <v:line id="_x0000_s2384" style="position:absolute;z-index:6640;mso-wrap-distance-left:0;mso-wrap-distance-right:0;mso-position-horizontal-relative:page" from="57.4pt,13.7pt" to="129.4pt,13.7pt" strokecolor="#231f20" strokeweight=".5pt">
            <w10:wrap type="topAndBottom" anchorx="page"/>
          </v:line>
        </w:pict>
      </w:r>
    </w:p>
    <w:p w14:paraId="57AE94DB" w14:textId="77777777" w:rsidR="002653E8" w:rsidRDefault="003115E3">
      <w:pPr>
        <w:pStyle w:val="a4"/>
        <w:numPr>
          <w:ilvl w:val="0"/>
          <w:numId w:val="113"/>
        </w:numPr>
        <w:tabs>
          <w:tab w:val="left" w:pos="1287"/>
        </w:tabs>
        <w:spacing w:before="53" w:line="254" w:lineRule="auto"/>
        <w:ind w:right="1475" w:firstLine="0"/>
        <w:rPr>
          <w:sz w:val="16"/>
        </w:rPr>
      </w:pPr>
      <w:r>
        <w:rPr>
          <w:color w:val="231F20"/>
          <w:w w:val="105"/>
          <w:sz w:val="16"/>
        </w:rPr>
        <w:t>Cobler, 52. Many aspects of isolation were “suggested” to prison administrators by</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Bonn</w:t>
      </w:r>
      <w:r>
        <w:rPr>
          <w:color w:val="231F20"/>
          <w:spacing w:val="8"/>
          <w:w w:val="105"/>
          <w:sz w:val="16"/>
        </w:rPr>
        <w:t xml:space="preserve"> </w:t>
      </w:r>
      <w:r>
        <w:rPr>
          <w:color w:val="231F20"/>
          <w:spacing w:val="1"/>
          <w:w w:val="105"/>
          <w:sz w:val="16"/>
        </w:rPr>
        <w:t>Security</w:t>
      </w:r>
      <w:r>
        <w:rPr>
          <w:color w:val="231F20"/>
          <w:spacing w:val="8"/>
          <w:w w:val="105"/>
          <w:sz w:val="16"/>
        </w:rPr>
        <w:t xml:space="preserve"> </w:t>
      </w:r>
      <w:r>
        <w:rPr>
          <w:color w:val="231F20"/>
          <w:w w:val="105"/>
          <w:sz w:val="16"/>
        </w:rPr>
        <w:t>Group.</w:t>
      </w:r>
      <w:r>
        <w:rPr>
          <w:color w:val="231F20"/>
          <w:spacing w:val="8"/>
          <w:w w:val="105"/>
          <w:sz w:val="16"/>
        </w:rPr>
        <w:t xml:space="preserve"> </w:t>
      </w:r>
      <w:r>
        <w:rPr>
          <w:color w:val="231F20"/>
          <w:spacing w:val="1"/>
          <w:w w:val="105"/>
          <w:sz w:val="16"/>
        </w:rPr>
        <w:t>See,</w:t>
      </w:r>
      <w:r>
        <w:rPr>
          <w:color w:val="231F20"/>
          <w:spacing w:val="8"/>
          <w:w w:val="105"/>
          <w:sz w:val="16"/>
        </w:rPr>
        <w:t xml:space="preserve"> </w:t>
      </w:r>
      <w:r>
        <w:rPr>
          <w:color w:val="231F20"/>
          <w:w w:val="105"/>
          <w:sz w:val="16"/>
        </w:rPr>
        <w:t>for</w:t>
      </w:r>
      <w:r>
        <w:rPr>
          <w:color w:val="231F20"/>
          <w:spacing w:val="8"/>
          <w:w w:val="105"/>
          <w:sz w:val="16"/>
        </w:rPr>
        <w:t xml:space="preserve"> </w:t>
      </w:r>
      <w:r>
        <w:rPr>
          <w:color w:val="231F20"/>
          <w:w w:val="105"/>
          <w:sz w:val="16"/>
        </w:rPr>
        <w:t>instance,</w:t>
      </w:r>
      <w:r>
        <w:rPr>
          <w:color w:val="231F20"/>
          <w:spacing w:val="8"/>
          <w:w w:val="105"/>
          <w:sz w:val="16"/>
        </w:rPr>
        <w:t xml:space="preserve"> </w:t>
      </w:r>
      <w:r>
        <w:rPr>
          <w:color w:val="231F20"/>
          <w:w w:val="105"/>
          <w:sz w:val="16"/>
        </w:rPr>
        <w:t>Aust,</w:t>
      </w:r>
      <w:r>
        <w:rPr>
          <w:color w:val="231F20"/>
          <w:spacing w:val="10"/>
          <w:w w:val="105"/>
          <w:sz w:val="16"/>
        </w:rPr>
        <w:t xml:space="preserve"> </w:t>
      </w:r>
      <w:r>
        <w:rPr>
          <w:color w:val="231F20"/>
          <w:w w:val="105"/>
          <w:sz w:val="16"/>
        </w:rPr>
        <w:t>245-246.</w:t>
      </w:r>
    </w:p>
    <w:p w14:paraId="5F91886C" w14:textId="77777777" w:rsidR="002653E8" w:rsidRDefault="003115E3">
      <w:pPr>
        <w:pStyle w:val="a4"/>
        <w:numPr>
          <w:ilvl w:val="0"/>
          <w:numId w:val="113"/>
        </w:numPr>
        <w:tabs>
          <w:tab w:val="left" w:pos="1287"/>
        </w:tabs>
        <w:spacing w:line="307" w:lineRule="auto"/>
        <w:ind w:right="2073" w:firstLine="0"/>
        <w:rPr>
          <w:sz w:val="16"/>
        </w:rPr>
      </w:pPr>
      <w:r w:rsidRPr="00C507A5">
        <w:rPr>
          <w:color w:val="231F20"/>
          <w:w w:val="105"/>
          <w:sz w:val="16"/>
          <w:lang w:val="de-DE"/>
        </w:rPr>
        <w:t xml:space="preserve">Pieter Bakker Schut, </w:t>
      </w:r>
      <w:r w:rsidRPr="00C507A5">
        <w:rPr>
          <w:i/>
          <w:color w:val="231F20"/>
          <w:spacing w:val="1"/>
          <w:w w:val="105"/>
          <w:sz w:val="16"/>
          <w:lang w:val="de-DE"/>
        </w:rPr>
        <w:t xml:space="preserve">Stammheim </w:t>
      </w:r>
      <w:r w:rsidRPr="00C507A5">
        <w:rPr>
          <w:color w:val="231F20"/>
          <w:w w:val="105"/>
          <w:sz w:val="16"/>
          <w:lang w:val="de-DE"/>
        </w:rPr>
        <w:t xml:space="preserve">(Kiel: Neuer Malik Verlag, 1986), </w:t>
      </w:r>
      <w:r w:rsidRPr="00C507A5">
        <w:rPr>
          <w:color w:val="231F20"/>
          <w:spacing w:val="-4"/>
          <w:w w:val="105"/>
          <w:sz w:val="16"/>
          <w:lang w:val="de-DE"/>
        </w:rPr>
        <w:t xml:space="preserve">119.    </w:t>
      </w:r>
      <w:r>
        <w:rPr>
          <w:color w:val="231F20"/>
          <w:w w:val="105"/>
          <w:sz w:val="16"/>
        </w:rPr>
        <w:t>3 Aust,</w:t>
      </w:r>
      <w:r>
        <w:rPr>
          <w:color w:val="231F20"/>
          <w:spacing w:val="16"/>
          <w:w w:val="105"/>
          <w:sz w:val="16"/>
        </w:rPr>
        <w:t xml:space="preserve"> </w:t>
      </w:r>
      <w:r>
        <w:rPr>
          <w:color w:val="231F20"/>
          <w:spacing w:val="-3"/>
          <w:w w:val="105"/>
          <w:sz w:val="16"/>
        </w:rPr>
        <w:t>265.</w:t>
      </w:r>
    </w:p>
    <w:p w14:paraId="6D2B8287" w14:textId="77777777" w:rsidR="002653E8" w:rsidRDefault="002653E8">
      <w:pPr>
        <w:spacing w:line="307" w:lineRule="auto"/>
        <w:rPr>
          <w:sz w:val="16"/>
        </w:rPr>
        <w:sectPr w:rsidR="002653E8">
          <w:footerReference w:type="even" r:id="rId227"/>
          <w:footerReference w:type="default" r:id="rId228"/>
          <w:pgSz w:w="8640" w:h="12960"/>
          <w:pgMar w:top="1060" w:right="0" w:bottom="1040" w:left="0" w:header="0" w:footer="850" w:gutter="0"/>
          <w:cols w:space="720"/>
        </w:sectPr>
      </w:pPr>
    </w:p>
    <w:p w14:paraId="393B7971" w14:textId="77777777" w:rsidR="002653E8" w:rsidRDefault="003115E3">
      <w:pPr>
        <w:pStyle w:val="a3"/>
        <w:spacing w:before="86" w:line="264" w:lineRule="auto"/>
        <w:ind w:left="1327" w:right="1146"/>
        <w:jc w:val="both"/>
        <w:rPr>
          <w:sz w:val="11"/>
        </w:rPr>
      </w:pPr>
      <w:r>
        <w:rPr>
          <w:color w:val="231F20"/>
        </w:rPr>
        <w:lastRenderedPageBreak/>
        <w:t>stretcher as he could no longer walk. The visit lasted two hours, Haag explained, “because I realized this was his last conversation, and he knew it too.”</w:t>
      </w:r>
      <w:r>
        <w:rPr>
          <w:color w:val="231F20"/>
          <w:position w:val="7"/>
          <w:sz w:val="11"/>
        </w:rPr>
        <w:t>4</w:t>
      </w:r>
    </w:p>
    <w:p w14:paraId="39AEBC64" w14:textId="77777777" w:rsidR="002653E8" w:rsidRDefault="003115E3">
      <w:pPr>
        <w:pStyle w:val="a3"/>
        <w:spacing w:line="264" w:lineRule="auto"/>
        <w:ind w:left="1327" w:right="1146" w:firstLine="210"/>
        <w:jc w:val="both"/>
        <w:rPr>
          <w:sz w:val="11"/>
        </w:rPr>
      </w:pPr>
      <w:r>
        <w:rPr>
          <w:color w:val="231F20"/>
        </w:rPr>
        <w:t xml:space="preserve">The lawyer, who would himself be moved to join the guerilla, later recalled that, “I shall never be able to forget this experience all my life.    I was so intensely involved [with his situation] at the time and I felt that as a lawyer I could not defend him the </w:t>
      </w:r>
      <w:r>
        <w:rPr>
          <w:color w:val="231F20"/>
          <w:spacing w:val="-2"/>
        </w:rPr>
        <w:t xml:space="preserve">way </w:t>
      </w:r>
      <w:r>
        <w:rPr>
          <w:color w:val="231F20"/>
        </w:rPr>
        <w:t xml:space="preserve">he needed to be defended… </w:t>
      </w:r>
      <w:r>
        <w:rPr>
          <w:color w:val="231F20"/>
          <w:spacing w:val="-4"/>
        </w:rPr>
        <w:t xml:space="preserve">[nor] </w:t>
      </w:r>
      <w:r>
        <w:rPr>
          <w:color w:val="231F20"/>
        </w:rPr>
        <w:t>do anything to prevent [his]</w:t>
      </w:r>
      <w:r>
        <w:rPr>
          <w:color w:val="231F20"/>
          <w:spacing w:val="32"/>
        </w:rPr>
        <w:t xml:space="preserve"> </w:t>
      </w:r>
      <w:r>
        <w:rPr>
          <w:color w:val="231F20"/>
          <w:spacing w:val="-3"/>
        </w:rPr>
        <w:t>death.”</w:t>
      </w:r>
      <w:r>
        <w:rPr>
          <w:color w:val="231F20"/>
          <w:spacing w:val="-3"/>
          <w:position w:val="7"/>
          <w:sz w:val="11"/>
        </w:rPr>
        <w:t>5</w:t>
      </w:r>
    </w:p>
    <w:p w14:paraId="7F7E2815" w14:textId="77777777" w:rsidR="002653E8" w:rsidRDefault="003115E3">
      <w:pPr>
        <w:pStyle w:val="a3"/>
        <w:spacing w:line="264" w:lineRule="auto"/>
        <w:ind w:left="1327" w:right="1146" w:firstLine="210"/>
        <w:jc w:val="both"/>
        <w:rPr>
          <w:sz w:val="11"/>
        </w:rPr>
      </w:pPr>
      <w:r>
        <w:rPr>
          <w:color w:val="231F20"/>
        </w:rPr>
        <w:t xml:space="preserve">Over six feet tall, Meins weighed less than 100 pounds at the time      of his death: for the </w:t>
      </w:r>
      <w:r w:rsidR="00C507A5">
        <w:rPr>
          <w:color w:val="231F20"/>
          <w:spacing w:val="5"/>
        </w:rPr>
        <w:t>red army faction</w:t>
      </w:r>
      <w:r>
        <w:rPr>
          <w:color w:val="231F20"/>
          <w:spacing w:val="5"/>
        </w:rPr>
        <w:t xml:space="preserve"> </w:t>
      </w:r>
      <w:r>
        <w:rPr>
          <w:color w:val="231F20"/>
        </w:rPr>
        <w:t xml:space="preserve">and their supporters, this was quite simply       a murder in the context of a state security war against the prisoners. Indeed, long before the hunger strike, Meins himself had written in his will, “If I should die in prison, it was murder. Whatever the pigs </w:t>
      </w:r>
      <w:r>
        <w:rPr>
          <w:color w:val="231F20"/>
          <w:spacing w:val="-5"/>
        </w:rPr>
        <w:t xml:space="preserve">say… </w:t>
      </w:r>
      <w:r>
        <w:rPr>
          <w:color w:val="231F20"/>
          <w:spacing w:val="-3"/>
        </w:rPr>
        <w:t xml:space="preserve">Don’t </w:t>
      </w:r>
      <w:r>
        <w:rPr>
          <w:color w:val="231F20"/>
        </w:rPr>
        <w:t>believe the murderers’</w:t>
      </w:r>
      <w:r>
        <w:rPr>
          <w:color w:val="231F20"/>
          <w:spacing w:val="6"/>
        </w:rPr>
        <w:t xml:space="preserve"> </w:t>
      </w:r>
      <w:r>
        <w:rPr>
          <w:color w:val="231F20"/>
          <w:spacing w:val="-4"/>
        </w:rPr>
        <w:t>lies.”</w:t>
      </w:r>
      <w:r>
        <w:rPr>
          <w:color w:val="231F20"/>
          <w:spacing w:val="-4"/>
          <w:position w:val="7"/>
          <w:sz w:val="11"/>
        </w:rPr>
        <w:t>6</w:t>
      </w:r>
    </w:p>
    <w:p w14:paraId="25D4B314" w14:textId="77777777" w:rsidR="002653E8" w:rsidRDefault="003115E3">
      <w:pPr>
        <w:pStyle w:val="a3"/>
        <w:spacing w:line="264" w:lineRule="auto"/>
        <w:ind w:left="1327" w:right="1147" w:firstLine="210"/>
        <w:jc w:val="both"/>
      </w:pPr>
      <w:r>
        <w:rPr>
          <w:color w:val="231F20"/>
        </w:rPr>
        <w:t>As word spread that a prisoner had died, hundreds of people took to the</w:t>
      </w:r>
      <w:r>
        <w:rPr>
          <w:color w:val="231F20"/>
          <w:spacing w:val="-4"/>
        </w:rPr>
        <w:t xml:space="preserve"> </w:t>
      </w:r>
      <w:r>
        <w:rPr>
          <w:color w:val="231F20"/>
        </w:rPr>
        <w:t>streets</w:t>
      </w:r>
      <w:r>
        <w:rPr>
          <w:color w:val="231F20"/>
          <w:spacing w:val="-4"/>
        </w:rPr>
        <w:t xml:space="preserve"> </w:t>
      </w:r>
      <w:r>
        <w:rPr>
          <w:color w:val="231F20"/>
        </w:rPr>
        <w:t>of</w:t>
      </w:r>
      <w:r>
        <w:rPr>
          <w:color w:val="231F20"/>
          <w:spacing w:val="-4"/>
        </w:rPr>
        <w:t xml:space="preserve"> </w:t>
      </w:r>
      <w:r>
        <w:rPr>
          <w:color w:val="231F20"/>
          <w:spacing w:val="-3"/>
        </w:rPr>
        <w:t>West</w:t>
      </w:r>
      <w:r>
        <w:rPr>
          <w:color w:val="231F20"/>
          <w:spacing w:val="-4"/>
        </w:rPr>
        <w:t xml:space="preserve"> </w:t>
      </w:r>
      <w:r>
        <w:rPr>
          <w:color w:val="231F20"/>
        </w:rPr>
        <w:t>Berlin,</w:t>
      </w:r>
      <w:r>
        <w:rPr>
          <w:color w:val="231F20"/>
          <w:spacing w:val="-4"/>
        </w:rPr>
        <w:t xml:space="preserve"> </w:t>
      </w:r>
      <w:r>
        <w:rPr>
          <w:color w:val="231F20"/>
        </w:rPr>
        <w:t>engaging</w:t>
      </w:r>
      <w:r>
        <w:rPr>
          <w:color w:val="231F20"/>
          <w:spacing w:val="-4"/>
        </w:rPr>
        <w:t xml:space="preserve"> </w:t>
      </w:r>
      <w:r>
        <w:rPr>
          <w:color w:val="231F20"/>
        </w:rPr>
        <w:t>in</w:t>
      </w:r>
      <w:r>
        <w:rPr>
          <w:color w:val="231F20"/>
          <w:spacing w:val="-4"/>
        </w:rPr>
        <w:t xml:space="preserve"> </w:t>
      </w:r>
      <w:r>
        <w:rPr>
          <w:color w:val="231F20"/>
        </w:rPr>
        <w:t>clashes</w:t>
      </w:r>
      <w:r>
        <w:rPr>
          <w:color w:val="231F20"/>
          <w:spacing w:val="-4"/>
        </w:rPr>
        <w:t xml:space="preserve"> </w:t>
      </w:r>
      <w:r>
        <w:rPr>
          <w:color w:val="231F20"/>
        </w:rPr>
        <w:t>which</w:t>
      </w:r>
      <w:r>
        <w:rPr>
          <w:color w:val="231F20"/>
          <w:spacing w:val="-4"/>
        </w:rPr>
        <w:t xml:space="preserve"> </w:t>
      </w:r>
      <w:r>
        <w:rPr>
          <w:color w:val="231F20"/>
        </w:rPr>
        <w:t>sent</w:t>
      </w:r>
      <w:r>
        <w:rPr>
          <w:color w:val="231F20"/>
          <w:spacing w:val="-4"/>
        </w:rPr>
        <w:t xml:space="preserve"> </w:t>
      </w:r>
      <w:r>
        <w:rPr>
          <w:color w:val="231F20"/>
        </w:rPr>
        <w:t>five</w:t>
      </w:r>
      <w:r>
        <w:rPr>
          <w:color w:val="231F20"/>
          <w:spacing w:val="-4"/>
        </w:rPr>
        <w:t xml:space="preserve"> </w:t>
      </w:r>
      <w:r>
        <w:rPr>
          <w:color w:val="231F20"/>
        </w:rPr>
        <w:t>cops</w:t>
      </w:r>
      <w:r>
        <w:rPr>
          <w:color w:val="231F20"/>
          <w:spacing w:val="-4"/>
        </w:rPr>
        <w:t xml:space="preserve"> </w:t>
      </w:r>
      <w:r>
        <w:rPr>
          <w:color w:val="231F20"/>
        </w:rPr>
        <w:t>to</w:t>
      </w:r>
      <w:r>
        <w:rPr>
          <w:color w:val="231F20"/>
          <w:spacing w:val="-4"/>
        </w:rPr>
        <w:t xml:space="preserve"> </w:t>
      </w:r>
      <w:r>
        <w:rPr>
          <w:color w:val="231F20"/>
        </w:rPr>
        <w:t>the</w:t>
      </w:r>
    </w:p>
    <w:p w14:paraId="6BE6CD12" w14:textId="77777777" w:rsidR="002653E8" w:rsidRDefault="002653E8">
      <w:pPr>
        <w:spacing w:line="264" w:lineRule="auto"/>
        <w:jc w:val="both"/>
        <w:sectPr w:rsidR="002653E8">
          <w:pgSz w:w="8640" w:h="12960"/>
          <w:pgMar w:top="1060" w:right="0" w:bottom="1040" w:left="0" w:header="0" w:footer="850" w:gutter="0"/>
          <w:cols w:space="720"/>
        </w:sectPr>
      </w:pPr>
    </w:p>
    <w:p w14:paraId="10561E55" w14:textId="77777777" w:rsidR="002653E8" w:rsidRDefault="002653E8">
      <w:pPr>
        <w:pStyle w:val="a3"/>
      </w:pPr>
    </w:p>
    <w:p w14:paraId="52D660D8" w14:textId="77777777" w:rsidR="002653E8" w:rsidRDefault="002653E8">
      <w:pPr>
        <w:pStyle w:val="a3"/>
        <w:spacing w:before="11"/>
        <w:rPr>
          <w:sz w:val="11"/>
        </w:rPr>
      </w:pPr>
    </w:p>
    <w:p w14:paraId="054E20A1" w14:textId="77777777" w:rsidR="002653E8" w:rsidRDefault="003115E3">
      <w:pPr>
        <w:pStyle w:val="a3"/>
        <w:ind w:left="1756" w:right="-35"/>
      </w:pPr>
      <w:r>
        <w:drawing>
          <wp:inline distT="0" distB="0" distL="0" distR="0" wp14:anchorId="1DF95ED8" wp14:editId="02B845E3">
            <wp:extent cx="2054042" cy="2913697"/>
            <wp:effectExtent l="0" t="0" r="0" b="0"/>
            <wp:docPr id="3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9.png"/>
                    <pic:cNvPicPr/>
                  </pic:nvPicPr>
                  <pic:blipFill>
                    <a:blip r:embed="rId229" cstate="print"/>
                    <a:stretch>
                      <a:fillRect/>
                    </a:stretch>
                  </pic:blipFill>
                  <pic:spPr>
                    <a:xfrm>
                      <a:off x="0" y="0"/>
                      <a:ext cx="2054042" cy="2913697"/>
                    </a:xfrm>
                    <a:prstGeom prst="rect">
                      <a:avLst/>
                    </a:prstGeom>
                  </pic:spPr>
                </pic:pic>
              </a:graphicData>
            </a:graphic>
          </wp:inline>
        </w:drawing>
      </w:r>
    </w:p>
    <w:p w14:paraId="21467205" w14:textId="77777777" w:rsidR="002653E8" w:rsidRDefault="002653E8">
      <w:pPr>
        <w:pStyle w:val="a3"/>
      </w:pPr>
    </w:p>
    <w:p w14:paraId="2690DFC4" w14:textId="77777777" w:rsidR="002653E8" w:rsidRDefault="00000000">
      <w:pPr>
        <w:pStyle w:val="a3"/>
        <w:spacing w:before="10"/>
        <w:rPr>
          <w:sz w:val="11"/>
        </w:rPr>
      </w:pPr>
      <w:r>
        <w:rPr>
          <w:noProof w:val="0"/>
        </w:rPr>
        <w:pict w14:anchorId="725DB887">
          <v:line id="_x0000_s2383" style="position:absolute;z-index:6664;mso-wrap-distance-left:0;mso-wrap-distance-right:0;mso-position-horizontal-relative:page" from="66.4pt,9.15pt" to="138.4pt,9.15pt" strokecolor="#231f20" strokeweight=".5pt">
            <w10:wrap type="topAndBottom" anchorx="page"/>
          </v:line>
        </w:pict>
      </w:r>
    </w:p>
    <w:p w14:paraId="1EE533A7" w14:textId="77777777" w:rsidR="002653E8" w:rsidRDefault="003115E3">
      <w:pPr>
        <w:spacing w:before="53"/>
        <w:ind w:left="1327"/>
        <w:rPr>
          <w:sz w:val="16"/>
        </w:rPr>
      </w:pPr>
      <w:r>
        <w:rPr>
          <w:color w:val="231F20"/>
          <w:w w:val="115"/>
          <w:sz w:val="16"/>
        </w:rPr>
        <w:t>4 Ibid., 264.</w:t>
      </w:r>
    </w:p>
    <w:p w14:paraId="59FB5227" w14:textId="77777777" w:rsidR="002653E8" w:rsidRDefault="003115E3">
      <w:pPr>
        <w:spacing w:before="51"/>
        <w:ind w:left="1327"/>
        <w:rPr>
          <w:sz w:val="16"/>
        </w:rPr>
      </w:pPr>
      <w:r>
        <w:rPr>
          <w:color w:val="231F20"/>
          <w:w w:val="110"/>
          <w:sz w:val="16"/>
        </w:rPr>
        <w:t>5 Varon, 231.</w:t>
      </w:r>
    </w:p>
    <w:p w14:paraId="198B7CC2" w14:textId="77777777" w:rsidR="002653E8" w:rsidRDefault="003115E3">
      <w:pPr>
        <w:spacing w:before="52"/>
        <w:ind w:left="1327"/>
        <w:rPr>
          <w:sz w:val="16"/>
        </w:rPr>
      </w:pPr>
      <w:r>
        <w:rPr>
          <w:color w:val="231F20"/>
          <w:w w:val="110"/>
          <w:sz w:val="16"/>
        </w:rPr>
        <w:t>6 Aust, 265.</w:t>
      </w:r>
    </w:p>
    <w:p w14:paraId="173DE91C" w14:textId="77777777" w:rsidR="002653E8" w:rsidRDefault="003115E3">
      <w:pPr>
        <w:pStyle w:val="a3"/>
      </w:pPr>
      <w:r>
        <w:br w:type="column"/>
      </w:r>
    </w:p>
    <w:p w14:paraId="3D24875A" w14:textId="77777777" w:rsidR="002653E8" w:rsidRDefault="003115E3">
      <w:pPr>
        <w:spacing w:before="162" w:line="244" w:lineRule="auto"/>
        <w:ind w:left="27" w:right="1763"/>
        <w:rPr>
          <w:i/>
          <w:sz w:val="18"/>
        </w:rPr>
      </w:pPr>
      <w:r>
        <w:rPr>
          <w:i/>
          <w:color w:val="231F20"/>
          <w:w w:val="105"/>
          <w:sz w:val="18"/>
        </w:rPr>
        <w:t xml:space="preserve">Obituary: </w:t>
      </w:r>
      <w:r>
        <w:rPr>
          <w:i/>
          <w:color w:val="231F20"/>
          <w:spacing w:val="2"/>
          <w:w w:val="105"/>
          <w:sz w:val="18"/>
        </w:rPr>
        <w:t xml:space="preserve">After  </w:t>
      </w:r>
      <w:r>
        <w:rPr>
          <w:i/>
          <w:color w:val="231F20"/>
          <w:w w:val="105"/>
          <w:sz w:val="18"/>
        </w:rPr>
        <w:t xml:space="preserve">2 years of isolation, 6 weeks of hunger strike </w:t>
      </w:r>
      <w:r>
        <w:rPr>
          <w:i/>
          <w:color w:val="231F20"/>
          <w:spacing w:val="1"/>
          <w:w w:val="105"/>
          <w:sz w:val="18"/>
        </w:rPr>
        <w:t xml:space="preserve">and </w:t>
      </w:r>
      <w:r>
        <w:rPr>
          <w:i/>
          <w:color w:val="231F20"/>
          <w:w w:val="105"/>
          <w:sz w:val="18"/>
        </w:rPr>
        <w:t xml:space="preserve">2 weeks of forcefeeding, he died at the age of </w:t>
      </w:r>
      <w:r>
        <w:rPr>
          <w:i/>
          <w:color w:val="231F20"/>
          <w:spacing w:val="3"/>
          <w:w w:val="105"/>
          <w:sz w:val="18"/>
        </w:rPr>
        <w:t xml:space="preserve">33—we </w:t>
      </w:r>
      <w:r>
        <w:rPr>
          <w:i/>
          <w:color w:val="231F20"/>
          <w:w w:val="105"/>
          <w:sz w:val="18"/>
        </w:rPr>
        <w:t xml:space="preserve">will not forget him nor will we forget his </w:t>
      </w:r>
      <w:r>
        <w:rPr>
          <w:i/>
          <w:color w:val="231F20"/>
          <w:spacing w:val="1"/>
          <w:w w:val="105"/>
          <w:sz w:val="18"/>
        </w:rPr>
        <w:t xml:space="preserve">guards and </w:t>
      </w:r>
      <w:r>
        <w:rPr>
          <w:i/>
          <w:color w:val="231F20"/>
          <w:w w:val="105"/>
          <w:sz w:val="18"/>
        </w:rPr>
        <w:t>force-feeders.</w:t>
      </w:r>
    </w:p>
    <w:p w14:paraId="3D6959AB" w14:textId="77777777" w:rsidR="002653E8" w:rsidRDefault="002653E8">
      <w:pPr>
        <w:spacing w:line="244" w:lineRule="auto"/>
        <w:rPr>
          <w:sz w:val="18"/>
        </w:rPr>
        <w:sectPr w:rsidR="002653E8">
          <w:type w:val="continuous"/>
          <w:pgSz w:w="8640" w:h="12960"/>
          <w:pgMar w:top="0" w:right="0" w:bottom="0" w:left="0" w:header="720" w:footer="720" w:gutter="0"/>
          <w:cols w:num="2" w:space="720" w:equalWidth="0">
            <w:col w:w="4997" w:space="40"/>
            <w:col w:w="3603"/>
          </w:cols>
        </w:sectPr>
      </w:pPr>
    </w:p>
    <w:p w14:paraId="0DA1C406" w14:textId="77777777" w:rsidR="002653E8" w:rsidRDefault="003115E3">
      <w:pPr>
        <w:pStyle w:val="a3"/>
        <w:spacing w:before="86" w:line="264" w:lineRule="auto"/>
        <w:ind w:left="1147" w:right="1326"/>
        <w:jc w:val="both"/>
      </w:pPr>
      <w:r>
        <w:rPr>
          <w:color w:val="231F20"/>
        </w:rPr>
        <w:lastRenderedPageBreak/>
        <w:t>hospital.</w:t>
      </w:r>
      <w:r>
        <w:rPr>
          <w:color w:val="231F20"/>
          <w:position w:val="7"/>
          <w:sz w:val="11"/>
        </w:rPr>
        <w:t xml:space="preserve">1 </w:t>
      </w:r>
      <w:r>
        <w:rPr>
          <w:color w:val="231F20"/>
        </w:rPr>
        <w:t xml:space="preserve">Stefan Wisniewski, who would be moved by Meins’ death to eventually join the </w:t>
      </w:r>
      <w:r w:rsidR="00C507A5">
        <w:rPr>
          <w:color w:val="231F20"/>
        </w:rPr>
        <w:t>red army faction</w:t>
      </w:r>
      <w:r>
        <w:rPr>
          <w:color w:val="231F20"/>
        </w:rPr>
        <w:t>, remembers the day well:</w:t>
      </w:r>
    </w:p>
    <w:p w14:paraId="11E9D7EC" w14:textId="77777777" w:rsidR="002653E8" w:rsidRDefault="002653E8">
      <w:pPr>
        <w:pStyle w:val="a3"/>
        <w:spacing w:before="10"/>
        <w:rPr>
          <w:sz w:val="19"/>
        </w:rPr>
      </w:pPr>
    </w:p>
    <w:p w14:paraId="530D45FC" w14:textId="77777777" w:rsidR="002653E8" w:rsidRDefault="003115E3">
      <w:pPr>
        <w:spacing w:line="276" w:lineRule="auto"/>
        <w:ind w:left="1567" w:right="1745"/>
        <w:jc w:val="both"/>
        <w:rPr>
          <w:i/>
          <w:sz w:val="19"/>
        </w:rPr>
      </w:pPr>
      <w:r>
        <w:rPr>
          <w:i/>
          <w:color w:val="231F20"/>
          <w:sz w:val="19"/>
        </w:rPr>
        <w:t xml:space="preserve">Everything was about the hunger strike. </w:t>
      </w:r>
      <w:r>
        <w:rPr>
          <w:i/>
          <w:color w:val="231F20"/>
          <w:spacing w:val="-6"/>
          <w:sz w:val="19"/>
        </w:rPr>
        <w:t xml:space="preserve">We </w:t>
      </w:r>
      <w:r>
        <w:rPr>
          <w:i/>
          <w:color w:val="231F20"/>
          <w:sz w:val="19"/>
        </w:rPr>
        <w:t>had mobilized everyone from Amnesty International to  Father Albertz, everyone it seemed possible to mobilize. I was standing on a table in the youth</w:t>
      </w:r>
      <w:r>
        <w:rPr>
          <w:i/>
          <w:color w:val="231F20"/>
          <w:spacing w:val="16"/>
          <w:sz w:val="19"/>
        </w:rPr>
        <w:t xml:space="preserve"> </w:t>
      </w:r>
      <w:r>
        <w:rPr>
          <w:i/>
          <w:color w:val="231F20"/>
          <w:sz w:val="19"/>
        </w:rPr>
        <w:t>center—there</w:t>
      </w:r>
      <w:r>
        <w:rPr>
          <w:i/>
          <w:color w:val="231F20"/>
          <w:spacing w:val="16"/>
          <w:sz w:val="19"/>
        </w:rPr>
        <w:t xml:space="preserve"> </w:t>
      </w:r>
      <w:r>
        <w:rPr>
          <w:i/>
          <w:color w:val="231F20"/>
          <w:sz w:val="19"/>
        </w:rPr>
        <w:t>was</w:t>
      </w:r>
      <w:r>
        <w:rPr>
          <w:i/>
          <w:color w:val="231F20"/>
          <w:spacing w:val="16"/>
          <w:sz w:val="19"/>
        </w:rPr>
        <w:t xml:space="preserve"> </w:t>
      </w:r>
      <w:r>
        <w:rPr>
          <w:i/>
          <w:color w:val="231F20"/>
          <w:sz w:val="19"/>
        </w:rPr>
        <w:t>no</w:t>
      </w:r>
      <w:r>
        <w:rPr>
          <w:i/>
          <w:color w:val="231F20"/>
          <w:spacing w:val="16"/>
          <w:sz w:val="19"/>
        </w:rPr>
        <w:t xml:space="preserve"> </w:t>
      </w:r>
      <w:r>
        <w:rPr>
          <w:i/>
          <w:color w:val="231F20"/>
          <w:sz w:val="19"/>
        </w:rPr>
        <w:t>podium—and</w:t>
      </w:r>
      <w:r>
        <w:rPr>
          <w:i/>
          <w:color w:val="231F20"/>
          <w:spacing w:val="16"/>
          <w:sz w:val="19"/>
        </w:rPr>
        <w:t xml:space="preserve"> </w:t>
      </w:r>
      <w:r>
        <w:rPr>
          <w:i/>
          <w:color w:val="231F20"/>
          <w:sz w:val="19"/>
        </w:rPr>
        <w:t>was</w:t>
      </w:r>
      <w:r>
        <w:rPr>
          <w:i/>
          <w:color w:val="231F20"/>
          <w:spacing w:val="16"/>
          <w:sz w:val="19"/>
        </w:rPr>
        <w:t xml:space="preserve"> </w:t>
      </w:r>
      <w:r>
        <w:rPr>
          <w:i/>
          <w:color w:val="231F20"/>
          <w:sz w:val="19"/>
        </w:rPr>
        <w:t>giving</w:t>
      </w:r>
      <w:r>
        <w:rPr>
          <w:i/>
          <w:color w:val="231F20"/>
          <w:spacing w:val="16"/>
          <w:sz w:val="19"/>
        </w:rPr>
        <w:t xml:space="preserve"> </w:t>
      </w:r>
      <w:r>
        <w:rPr>
          <w:i/>
          <w:color w:val="231F20"/>
          <w:sz w:val="19"/>
        </w:rPr>
        <w:t>a</w:t>
      </w:r>
      <w:r>
        <w:rPr>
          <w:i/>
          <w:color w:val="231F20"/>
          <w:spacing w:val="16"/>
          <w:sz w:val="19"/>
        </w:rPr>
        <w:t xml:space="preserve"> </w:t>
      </w:r>
      <w:r>
        <w:rPr>
          <w:i/>
          <w:color w:val="231F20"/>
          <w:sz w:val="19"/>
        </w:rPr>
        <w:t>speech.</w:t>
      </w:r>
    </w:p>
    <w:p w14:paraId="3F42B8CD" w14:textId="77777777" w:rsidR="002653E8" w:rsidRDefault="003115E3">
      <w:pPr>
        <w:spacing w:before="39" w:line="276" w:lineRule="auto"/>
        <w:ind w:left="1567" w:right="1745"/>
        <w:jc w:val="both"/>
        <w:rPr>
          <w:i/>
          <w:sz w:val="11"/>
        </w:rPr>
      </w:pPr>
      <w:r>
        <w:rPr>
          <w:i/>
          <w:color w:val="231F20"/>
          <w:sz w:val="19"/>
        </w:rPr>
        <w:t xml:space="preserve">Suddenly someone came in and said,  “Holger  is  </w:t>
      </w:r>
      <w:r>
        <w:rPr>
          <w:i/>
          <w:color w:val="231F20"/>
          <w:spacing w:val="-5"/>
          <w:sz w:val="19"/>
        </w:rPr>
        <w:t xml:space="preserve">dead.”  </w:t>
      </w:r>
      <w:r>
        <w:rPr>
          <w:i/>
          <w:color w:val="231F20"/>
          <w:spacing w:val="-4"/>
          <w:sz w:val="19"/>
        </w:rPr>
        <w:t xml:space="preserve">Tears </w:t>
      </w:r>
      <w:r>
        <w:rPr>
          <w:i/>
          <w:color w:val="231F20"/>
          <w:sz w:val="19"/>
        </w:rPr>
        <w:t xml:space="preserve">welled up in my eyes—and I was not the only one. Some people  who had been critical of the </w:t>
      </w:r>
      <w:r w:rsidR="00C507A5">
        <w:rPr>
          <w:i/>
          <w:color w:val="231F20"/>
          <w:sz w:val="19"/>
        </w:rPr>
        <w:t>red army faction</w:t>
      </w:r>
      <w:r>
        <w:rPr>
          <w:i/>
          <w:color w:val="231F20"/>
          <w:sz w:val="19"/>
        </w:rPr>
        <w:t xml:space="preserve"> up to that point immediately began</w:t>
      </w:r>
      <w:r>
        <w:rPr>
          <w:i/>
          <w:color w:val="231F20"/>
          <w:spacing w:val="25"/>
          <w:sz w:val="19"/>
        </w:rPr>
        <w:t xml:space="preserve"> </w:t>
      </w:r>
      <w:r>
        <w:rPr>
          <w:i/>
          <w:color w:val="231F20"/>
          <w:sz w:val="19"/>
        </w:rPr>
        <w:t>to</w:t>
      </w:r>
      <w:r>
        <w:rPr>
          <w:i/>
          <w:color w:val="231F20"/>
          <w:spacing w:val="25"/>
          <w:sz w:val="19"/>
        </w:rPr>
        <w:t xml:space="preserve"> </w:t>
      </w:r>
      <w:r>
        <w:rPr>
          <w:i/>
          <w:color w:val="231F20"/>
          <w:sz w:val="19"/>
        </w:rPr>
        <w:t>assemble</w:t>
      </w:r>
      <w:r>
        <w:rPr>
          <w:i/>
          <w:color w:val="231F20"/>
          <w:spacing w:val="25"/>
          <w:sz w:val="19"/>
        </w:rPr>
        <w:t xml:space="preserve"> </w:t>
      </w:r>
      <w:r>
        <w:rPr>
          <w:i/>
          <w:color w:val="231F20"/>
          <w:sz w:val="19"/>
        </w:rPr>
        <w:t>molotov</w:t>
      </w:r>
      <w:r>
        <w:rPr>
          <w:i/>
          <w:color w:val="231F20"/>
          <w:spacing w:val="25"/>
          <w:sz w:val="19"/>
        </w:rPr>
        <w:t xml:space="preserve"> </w:t>
      </w:r>
      <w:r>
        <w:rPr>
          <w:i/>
          <w:color w:val="231F20"/>
          <w:sz w:val="19"/>
        </w:rPr>
        <w:t>cocktails</w:t>
      </w:r>
      <w:r>
        <w:rPr>
          <w:i/>
          <w:color w:val="231F20"/>
          <w:spacing w:val="25"/>
          <w:sz w:val="19"/>
        </w:rPr>
        <w:t xml:space="preserve"> </w:t>
      </w:r>
      <w:r>
        <w:rPr>
          <w:i/>
          <w:color w:val="231F20"/>
          <w:sz w:val="19"/>
        </w:rPr>
        <w:t>and</w:t>
      </w:r>
      <w:r>
        <w:rPr>
          <w:i/>
          <w:color w:val="231F20"/>
          <w:spacing w:val="25"/>
          <w:sz w:val="19"/>
        </w:rPr>
        <w:t xml:space="preserve"> </w:t>
      </w:r>
      <w:r>
        <w:rPr>
          <w:i/>
          <w:color w:val="231F20"/>
          <w:sz w:val="19"/>
        </w:rPr>
        <w:t>head</w:t>
      </w:r>
      <w:r>
        <w:rPr>
          <w:i/>
          <w:color w:val="231F20"/>
          <w:spacing w:val="25"/>
          <w:sz w:val="19"/>
        </w:rPr>
        <w:t xml:space="preserve"> </w:t>
      </w:r>
      <w:r>
        <w:rPr>
          <w:i/>
          <w:color w:val="231F20"/>
          <w:sz w:val="19"/>
        </w:rPr>
        <w:t>to</w:t>
      </w:r>
      <w:r>
        <w:rPr>
          <w:i/>
          <w:color w:val="231F20"/>
          <w:spacing w:val="25"/>
          <w:sz w:val="19"/>
        </w:rPr>
        <w:t xml:space="preserve"> </w:t>
      </w:r>
      <w:r>
        <w:rPr>
          <w:i/>
          <w:color w:val="231F20"/>
          <w:sz w:val="19"/>
        </w:rPr>
        <w:t>the</w:t>
      </w:r>
      <w:r>
        <w:rPr>
          <w:i/>
          <w:color w:val="231F20"/>
          <w:spacing w:val="25"/>
          <w:sz w:val="19"/>
        </w:rPr>
        <w:t xml:space="preserve"> </w:t>
      </w:r>
      <w:r>
        <w:rPr>
          <w:i/>
          <w:color w:val="231F20"/>
          <w:spacing w:val="-3"/>
          <w:sz w:val="19"/>
        </w:rPr>
        <w:t>Ku’damm.</w:t>
      </w:r>
      <w:r>
        <w:rPr>
          <w:i/>
          <w:color w:val="231F20"/>
          <w:spacing w:val="-3"/>
          <w:position w:val="6"/>
          <w:sz w:val="11"/>
        </w:rPr>
        <w:t>2</w:t>
      </w:r>
    </w:p>
    <w:p w14:paraId="7DB86BA8" w14:textId="77777777" w:rsidR="002653E8" w:rsidRDefault="002653E8">
      <w:pPr>
        <w:pStyle w:val="a3"/>
        <w:spacing w:before="11"/>
        <w:rPr>
          <w:i/>
        </w:rPr>
      </w:pPr>
    </w:p>
    <w:p w14:paraId="27070E69" w14:textId="77777777" w:rsidR="002653E8" w:rsidRDefault="003115E3">
      <w:pPr>
        <w:pStyle w:val="a3"/>
        <w:spacing w:line="264" w:lineRule="auto"/>
        <w:ind w:left="1147" w:right="1326"/>
        <w:jc w:val="both"/>
      </w:pPr>
      <w:r>
        <w:rPr>
          <w:color w:val="231F20"/>
        </w:rPr>
        <w:t xml:space="preserve">The next </w:t>
      </w:r>
      <w:r>
        <w:rPr>
          <w:color w:val="231F20"/>
          <w:spacing w:val="-4"/>
        </w:rPr>
        <w:t xml:space="preserve">day, </w:t>
      </w:r>
      <w:r>
        <w:rPr>
          <w:color w:val="231F20"/>
        </w:rPr>
        <w:t xml:space="preserve">November </w:t>
      </w:r>
      <w:r>
        <w:rPr>
          <w:color w:val="231F20"/>
          <w:spacing w:val="-3"/>
        </w:rPr>
        <w:t xml:space="preserve">10,  </w:t>
      </w:r>
      <w:r>
        <w:rPr>
          <w:color w:val="231F20"/>
        </w:rPr>
        <w:t xml:space="preserve">the  2nd  of  June  Movement  carried  out its own action in solidarity with the prisoners, attempting to kidnap Günter von Drenkmann, the president of the </w:t>
      </w:r>
      <w:r>
        <w:rPr>
          <w:color w:val="231F20"/>
          <w:spacing w:val="-3"/>
        </w:rPr>
        <w:t xml:space="preserve">West </w:t>
      </w:r>
      <w:r>
        <w:rPr>
          <w:color w:val="231F20"/>
        </w:rPr>
        <w:t>Berlin Supreme Court.</w:t>
      </w:r>
      <w:r>
        <w:rPr>
          <w:color w:val="231F20"/>
          <w:spacing w:val="10"/>
        </w:rPr>
        <w:t xml:space="preserve"> </w:t>
      </w:r>
      <w:r>
        <w:rPr>
          <w:color w:val="231F20"/>
        </w:rPr>
        <w:t>When</w:t>
      </w:r>
      <w:r>
        <w:rPr>
          <w:color w:val="231F20"/>
          <w:spacing w:val="10"/>
        </w:rPr>
        <w:t xml:space="preserve"> </w:t>
      </w:r>
      <w:r>
        <w:rPr>
          <w:color w:val="231F20"/>
        </w:rPr>
        <w:t>the</w:t>
      </w:r>
      <w:r>
        <w:rPr>
          <w:color w:val="231F20"/>
          <w:spacing w:val="10"/>
        </w:rPr>
        <w:t xml:space="preserve"> </w:t>
      </w:r>
      <w:r>
        <w:rPr>
          <w:color w:val="231F20"/>
        </w:rPr>
        <w:t>judge</w:t>
      </w:r>
      <w:r>
        <w:rPr>
          <w:color w:val="231F20"/>
          <w:spacing w:val="10"/>
        </w:rPr>
        <w:t xml:space="preserve"> </w:t>
      </w:r>
      <w:r>
        <w:rPr>
          <w:color w:val="231F20"/>
        </w:rPr>
        <w:t>resisted,</w:t>
      </w:r>
      <w:r>
        <w:rPr>
          <w:color w:val="231F20"/>
          <w:spacing w:val="10"/>
        </w:rPr>
        <w:t xml:space="preserve"> </w:t>
      </w:r>
      <w:r>
        <w:rPr>
          <w:color w:val="231F20"/>
        </w:rPr>
        <w:t>he</w:t>
      </w:r>
      <w:r>
        <w:rPr>
          <w:color w:val="231F20"/>
          <w:spacing w:val="10"/>
        </w:rPr>
        <w:t xml:space="preserve"> </w:t>
      </w:r>
      <w:r>
        <w:rPr>
          <w:color w:val="231F20"/>
        </w:rPr>
        <w:t>was</w:t>
      </w:r>
      <w:r>
        <w:rPr>
          <w:color w:val="231F20"/>
          <w:spacing w:val="10"/>
        </w:rPr>
        <w:t xml:space="preserve"> </w:t>
      </w:r>
      <w:r>
        <w:rPr>
          <w:color w:val="231F20"/>
        </w:rPr>
        <w:t>shot</w:t>
      </w:r>
      <w:r>
        <w:rPr>
          <w:color w:val="231F20"/>
          <w:spacing w:val="10"/>
        </w:rPr>
        <w:t xml:space="preserve"> </w:t>
      </w:r>
      <w:r>
        <w:rPr>
          <w:color w:val="231F20"/>
        </w:rPr>
        <w:t>dead.</w:t>
      </w:r>
    </w:p>
    <w:p w14:paraId="54C087B8" w14:textId="77777777" w:rsidR="002653E8" w:rsidRDefault="003115E3">
      <w:pPr>
        <w:pStyle w:val="a3"/>
        <w:spacing w:line="230" w:lineRule="exact"/>
        <w:ind w:left="1357"/>
      </w:pPr>
      <w:r>
        <w:rPr>
          <w:color w:val="231F20"/>
        </w:rPr>
        <w:t>As the 2JM explained in its communiqué for this action:</w:t>
      </w:r>
    </w:p>
    <w:p w14:paraId="792372CF" w14:textId="77777777" w:rsidR="002653E8" w:rsidRDefault="003115E3">
      <w:pPr>
        <w:spacing w:before="151" w:line="276" w:lineRule="auto"/>
        <w:ind w:left="1567" w:right="1738"/>
        <w:jc w:val="both"/>
        <w:rPr>
          <w:i/>
          <w:sz w:val="11"/>
        </w:rPr>
      </w:pPr>
      <w:r>
        <w:rPr>
          <w:i/>
          <w:color w:val="231F20"/>
          <w:w w:val="105"/>
          <w:sz w:val="19"/>
        </w:rPr>
        <w:t>When the prisoners’ hunger strike began, we said: if the system’s extermination strategy takes the life of another revolutionary, we will hold the system responsible and they will pay with their lives.</w:t>
      </w:r>
      <w:r>
        <w:rPr>
          <w:i/>
          <w:color w:val="231F20"/>
          <w:w w:val="105"/>
          <w:position w:val="6"/>
          <w:sz w:val="11"/>
        </w:rPr>
        <w:t>3</w:t>
      </w:r>
    </w:p>
    <w:p w14:paraId="5FF86EA7" w14:textId="77777777" w:rsidR="002653E8" w:rsidRDefault="003115E3">
      <w:pPr>
        <w:pStyle w:val="a3"/>
        <w:spacing w:before="131" w:line="264" w:lineRule="auto"/>
        <w:ind w:left="1147" w:right="1326"/>
        <w:jc w:val="both"/>
      </w:pPr>
      <w:r>
        <w:rPr>
          <w:color w:val="231F20"/>
        </w:rPr>
        <w:t>In the already tense context of Meins’ death, this action raised the struggle to a whole new level. Electrifying the radical left, it also outraged all those who identified with the state.</w:t>
      </w:r>
    </w:p>
    <w:p w14:paraId="58B9D575" w14:textId="77777777" w:rsidR="002653E8" w:rsidRDefault="00000000">
      <w:pPr>
        <w:pStyle w:val="a3"/>
        <w:spacing w:line="264" w:lineRule="auto"/>
        <w:ind w:left="1147" w:right="1326" w:firstLine="210"/>
        <w:jc w:val="both"/>
      </w:pPr>
      <w:r>
        <w:rPr>
          <w:noProof w:val="0"/>
        </w:rPr>
        <w:pict w14:anchorId="107D138D">
          <v:line id="_x0000_s2382" style="position:absolute;left:0;text-align:left;z-index:6688;mso-wrap-distance-left:0;mso-wrap-distance-right:0;mso-position-horizontal-relative:page" from="57.4pt,58.7pt" to="129.4pt,58.7pt" strokecolor="#231f20" strokeweight=".5pt">
            <w10:wrap type="topAndBottom" anchorx="page"/>
          </v:line>
        </w:pict>
      </w:r>
      <w:r w:rsidR="003115E3">
        <w:rPr>
          <w:color w:val="231F20"/>
        </w:rPr>
        <w:t>Security was immediately stepped up for prosecutors and judges throughout the country.</w:t>
      </w:r>
      <w:r w:rsidR="003115E3">
        <w:rPr>
          <w:color w:val="231F20"/>
          <w:position w:val="7"/>
          <w:sz w:val="11"/>
        </w:rPr>
        <w:t xml:space="preserve">4 </w:t>
      </w:r>
      <w:r w:rsidR="003115E3">
        <w:rPr>
          <w:color w:val="231F20"/>
        </w:rPr>
        <w:t>The CDU mayor announced a demonstration against “Terror and Violence,”</w:t>
      </w:r>
      <w:r w:rsidR="003115E3">
        <w:rPr>
          <w:color w:val="231F20"/>
          <w:position w:val="7"/>
          <w:sz w:val="11"/>
        </w:rPr>
        <w:t xml:space="preserve">5 </w:t>
      </w:r>
      <w:r w:rsidR="003115E3">
        <w:rPr>
          <w:color w:val="231F20"/>
        </w:rPr>
        <w:t>while the federal government offered a 50,000 dm reward for the killers.</w:t>
      </w:r>
      <w:r w:rsidR="003115E3">
        <w:rPr>
          <w:color w:val="231F20"/>
          <w:position w:val="7"/>
          <w:sz w:val="11"/>
        </w:rPr>
        <w:t xml:space="preserve">6 </w:t>
      </w:r>
      <w:r w:rsidR="003115E3">
        <w:rPr>
          <w:color w:val="231F20"/>
        </w:rPr>
        <w:t>Meanwhile, Beate Sturm was trotted</w:t>
      </w:r>
    </w:p>
    <w:p w14:paraId="6C3ECCB5" w14:textId="77777777" w:rsidR="002653E8" w:rsidRPr="00C507A5" w:rsidRDefault="003115E3">
      <w:pPr>
        <w:pStyle w:val="a4"/>
        <w:numPr>
          <w:ilvl w:val="0"/>
          <w:numId w:val="112"/>
        </w:numPr>
        <w:tabs>
          <w:tab w:val="left" w:pos="1287"/>
        </w:tabs>
        <w:spacing w:before="53" w:line="254" w:lineRule="auto"/>
        <w:ind w:right="1692" w:firstLine="0"/>
        <w:jc w:val="left"/>
        <w:rPr>
          <w:sz w:val="16"/>
          <w:lang w:val="de-DE"/>
        </w:rPr>
      </w:pPr>
      <w:r w:rsidRPr="00C507A5">
        <w:rPr>
          <w:i/>
          <w:color w:val="231F20"/>
          <w:spacing w:val="1"/>
          <w:w w:val="105"/>
          <w:sz w:val="16"/>
          <w:lang w:val="de-DE"/>
        </w:rPr>
        <w:t xml:space="preserve">Frankfurter Allgemeine Zeitung, </w:t>
      </w:r>
      <w:r w:rsidRPr="00C507A5">
        <w:rPr>
          <w:color w:val="231F20"/>
          <w:w w:val="105"/>
          <w:sz w:val="16"/>
          <w:lang w:val="de-DE"/>
        </w:rPr>
        <w:t xml:space="preserve">“Beshuldigungen nach dem </w:t>
      </w:r>
      <w:r w:rsidRPr="00C507A5">
        <w:rPr>
          <w:color w:val="231F20"/>
          <w:spacing w:val="-4"/>
          <w:w w:val="105"/>
          <w:sz w:val="16"/>
          <w:lang w:val="de-DE"/>
        </w:rPr>
        <w:t xml:space="preserve">Tod </w:t>
      </w:r>
      <w:r w:rsidRPr="00C507A5">
        <w:rPr>
          <w:color w:val="231F20"/>
          <w:w w:val="105"/>
          <w:sz w:val="16"/>
          <w:lang w:val="de-DE"/>
        </w:rPr>
        <w:t>von Holger Meins,” November 10,</w:t>
      </w:r>
      <w:r w:rsidRPr="00C507A5">
        <w:rPr>
          <w:color w:val="231F20"/>
          <w:spacing w:val="26"/>
          <w:w w:val="105"/>
          <w:sz w:val="16"/>
          <w:lang w:val="de-DE"/>
        </w:rPr>
        <w:t xml:space="preserve"> </w:t>
      </w:r>
      <w:r w:rsidRPr="00C507A5">
        <w:rPr>
          <w:color w:val="231F20"/>
          <w:spacing w:val="-4"/>
          <w:w w:val="105"/>
          <w:sz w:val="16"/>
          <w:lang w:val="de-DE"/>
        </w:rPr>
        <w:t>1974.</w:t>
      </w:r>
    </w:p>
    <w:p w14:paraId="4040287A" w14:textId="77777777" w:rsidR="002653E8" w:rsidRDefault="003115E3">
      <w:pPr>
        <w:pStyle w:val="a4"/>
        <w:numPr>
          <w:ilvl w:val="0"/>
          <w:numId w:val="112"/>
        </w:numPr>
        <w:tabs>
          <w:tab w:val="left" w:pos="1287"/>
        </w:tabs>
        <w:spacing w:line="254" w:lineRule="auto"/>
        <w:ind w:right="1529" w:firstLine="0"/>
        <w:jc w:val="left"/>
        <w:rPr>
          <w:sz w:val="16"/>
        </w:rPr>
      </w:pPr>
      <w:r>
        <w:rPr>
          <w:color w:val="231F20"/>
          <w:w w:val="110"/>
          <w:sz w:val="16"/>
        </w:rPr>
        <w:t xml:space="preserve">Stefan Wisniewski, </w:t>
      </w:r>
      <w:r>
        <w:rPr>
          <w:i/>
          <w:color w:val="231F20"/>
          <w:spacing w:val="-3"/>
          <w:w w:val="110"/>
          <w:sz w:val="16"/>
        </w:rPr>
        <w:t xml:space="preserve">We </w:t>
      </w:r>
      <w:r>
        <w:rPr>
          <w:i/>
          <w:color w:val="231F20"/>
          <w:w w:val="110"/>
          <w:sz w:val="16"/>
        </w:rPr>
        <w:t xml:space="preserve">were so </w:t>
      </w:r>
      <w:r>
        <w:rPr>
          <w:i/>
          <w:color w:val="231F20"/>
          <w:spacing w:val="1"/>
          <w:w w:val="110"/>
          <w:sz w:val="16"/>
        </w:rPr>
        <w:t xml:space="preserve">terribly consistent… </w:t>
      </w:r>
      <w:r>
        <w:rPr>
          <w:i/>
          <w:color w:val="231F20"/>
          <w:w w:val="110"/>
          <w:sz w:val="16"/>
        </w:rPr>
        <w:t xml:space="preserve">A Conversation About the History of the Red </w:t>
      </w:r>
      <w:r>
        <w:rPr>
          <w:i/>
          <w:color w:val="231F20"/>
          <w:spacing w:val="1"/>
          <w:w w:val="110"/>
          <w:sz w:val="16"/>
        </w:rPr>
        <w:t xml:space="preserve">Army </w:t>
      </w:r>
      <w:r>
        <w:rPr>
          <w:i/>
          <w:color w:val="231F20"/>
          <w:w w:val="110"/>
          <w:sz w:val="16"/>
        </w:rPr>
        <w:t xml:space="preserve">Faction </w:t>
      </w:r>
      <w:r>
        <w:rPr>
          <w:color w:val="231F20"/>
          <w:w w:val="110"/>
          <w:sz w:val="16"/>
        </w:rPr>
        <w:t>(Montreal: Kersplebedeb, 2008),</w:t>
      </w:r>
      <w:r>
        <w:rPr>
          <w:color w:val="231F20"/>
          <w:spacing w:val="2"/>
          <w:w w:val="110"/>
          <w:sz w:val="16"/>
        </w:rPr>
        <w:t xml:space="preserve"> </w:t>
      </w:r>
      <w:r>
        <w:rPr>
          <w:color w:val="231F20"/>
          <w:w w:val="110"/>
          <w:sz w:val="16"/>
        </w:rPr>
        <w:t>7-8.</w:t>
      </w:r>
    </w:p>
    <w:p w14:paraId="785D995F" w14:textId="77777777" w:rsidR="002653E8" w:rsidRPr="00C507A5" w:rsidRDefault="003115E3">
      <w:pPr>
        <w:pStyle w:val="a4"/>
        <w:numPr>
          <w:ilvl w:val="0"/>
          <w:numId w:val="112"/>
        </w:numPr>
        <w:tabs>
          <w:tab w:val="left" w:pos="1287"/>
        </w:tabs>
        <w:spacing w:before="40" w:line="254" w:lineRule="auto"/>
        <w:ind w:right="4226" w:firstLine="0"/>
        <w:jc w:val="left"/>
        <w:rPr>
          <w:sz w:val="16"/>
          <w:lang w:val="de-DE"/>
        </w:rPr>
      </w:pPr>
      <w:r w:rsidRPr="00C507A5">
        <w:rPr>
          <w:color w:val="231F20"/>
          <w:w w:val="105"/>
          <w:sz w:val="16"/>
          <w:lang w:val="de-DE"/>
        </w:rPr>
        <w:t>in bewegung bleiben “Wer Gewalt sät,”</w:t>
      </w:r>
      <w:hyperlink r:id="rId230">
        <w:r w:rsidRPr="00C507A5">
          <w:rPr>
            <w:color w:val="231F20"/>
            <w:w w:val="105"/>
            <w:sz w:val="16"/>
            <w:lang w:val="de-DE"/>
          </w:rPr>
          <w:t xml:space="preserve"> </w:t>
        </w:r>
        <w:r w:rsidRPr="00C507A5">
          <w:rPr>
            <w:color w:val="231F20"/>
            <w:w w:val="104"/>
            <w:sz w:val="16"/>
            <w:lang w:val="de-DE"/>
          </w:rPr>
          <w:t>h</w:t>
        </w:r>
        <w:r w:rsidRPr="00C507A5">
          <w:rPr>
            <w:color w:val="231F20"/>
            <w:spacing w:val="5"/>
            <w:w w:val="102"/>
            <w:sz w:val="16"/>
            <w:lang w:val="de-DE"/>
          </w:rPr>
          <w:t>t</w:t>
        </w:r>
        <w:r w:rsidRPr="00C507A5">
          <w:rPr>
            <w:color w:val="231F20"/>
            <w:spacing w:val="3"/>
            <w:w w:val="102"/>
            <w:sz w:val="16"/>
            <w:lang w:val="de-DE"/>
          </w:rPr>
          <w:t>t</w:t>
        </w:r>
        <w:r w:rsidRPr="00C507A5">
          <w:rPr>
            <w:color w:val="231F20"/>
            <w:w w:val="103"/>
            <w:sz w:val="16"/>
            <w:lang w:val="de-DE"/>
          </w:rPr>
          <w:t>p</w:t>
        </w:r>
        <w:r w:rsidRPr="00C507A5">
          <w:rPr>
            <w:color w:val="231F20"/>
            <w:spacing w:val="5"/>
            <w:w w:val="109"/>
            <w:sz w:val="16"/>
            <w:lang w:val="de-DE"/>
          </w:rPr>
          <w:t>:</w:t>
        </w:r>
        <w:r w:rsidRPr="00C507A5">
          <w:rPr>
            <w:color w:val="231F20"/>
            <w:spacing w:val="-1"/>
            <w:w w:val="58"/>
            <w:sz w:val="16"/>
            <w:lang w:val="de-DE"/>
          </w:rPr>
          <w:t>/</w:t>
        </w:r>
        <w:r w:rsidRPr="00C507A5">
          <w:rPr>
            <w:color w:val="231F20"/>
            <w:spacing w:val="2"/>
            <w:w w:val="58"/>
            <w:sz w:val="16"/>
            <w:lang w:val="de-DE"/>
          </w:rPr>
          <w:t>/</w:t>
        </w:r>
        <w:r w:rsidRPr="00C507A5">
          <w:rPr>
            <w:color w:val="231F20"/>
            <w:spacing w:val="6"/>
            <w:w w:val="104"/>
            <w:sz w:val="16"/>
            <w:lang w:val="de-DE"/>
          </w:rPr>
          <w:t>ww</w:t>
        </w:r>
        <w:r w:rsidRPr="00C507A5">
          <w:rPr>
            <w:color w:val="231F20"/>
            <w:spacing w:val="-9"/>
            <w:w w:val="104"/>
            <w:sz w:val="16"/>
            <w:lang w:val="de-DE"/>
          </w:rPr>
          <w:t>w</w:t>
        </w:r>
        <w:r w:rsidRPr="00C507A5">
          <w:rPr>
            <w:color w:val="231F20"/>
            <w:w w:val="140"/>
            <w:sz w:val="16"/>
            <w:lang w:val="de-DE"/>
          </w:rPr>
          <w:t>.</w:t>
        </w:r>
        <w:r w:rsidRPr="00C507A5">
          <w:rPr>
            <w:color w:val="231F20"/>
            <w:spacing w:val="2"/>
            <w:w w:val="105"/>
            <w:sz w:val="16"/>
            <w:lang w:val="de-DE"/>
          </w:rPr>
          <w:t>b</w:t>
        </w:r>
        <w:r w:rsidRPr="00C507A5">
          <w:rPr>
            <w:color w:val="231F20"/>
            <w:spacing w:val="1"/>
            <w:w w:val="94"/>
            <w:sz w:val="16"/>
            <w:lang w:val="de-DE"/>
          </w:rPr>
          <w:t>e</w:t>
        </w:r>
        <w:r w:rsidRPr="00C507A5">
          <w:rPr>
            <w:color w:val="231F20"/>
            <w:w w:val="104"/>
            <w:sz w:val="16"/>
            <w:lang w:val="de-DE"/>
          </w:rPr>
          <w:t>w</w:t>
        </w:r>
        <w:r w:rsidRPr="00C507A5">
          <w:rPr>
            <w:color w:val="231F20"/>
            <w:spacing w:val="1"/>
            <w:w w:val="94"/>
            <w:sz w:val="16"/>
            <w:lang w:val="de-DE"/>
          </w:rPr>
          <w:t>e</w:t>
        </w:r>
        <w:r w:rsidRPr="00C507A5">
          <w:rPr>
            <w:color w:val="231F20"/>
            <w:spacing w:val="3"/>
            <w:w w:val="104"/>
            <w:sz w:val="16"/>
            <w:lang w:val="de-DE"/>
          </w:rPr>
          <w:t>gu</w:t>
        </w:r>
        <w:r w:rsidRPr="00C507A5">
          <w:rPr>
            <w:color w:val="231F20"/>
            <w:w w:val="103"/>
            <w:sz w:val="16"/>
            <w:lang w:val="de-DE"/>
          </w:rPr>
          <w:t>n</w:t>
        </w:r>
        <w:r w:rsidRPr="00C507A5">
          <w:rPr>
            <w:color w:val="231F20"/>
            <w:spacing w:val="1"/>
            <w:w w:val="115"/>
            <w:sz w:val="16"/>
            <w:lang w:val="de-DE"/>
          </w:rPr>
          <w:t>g</w:t>
        </w:r>
        <w:r w:rsidRPr="00C507A5">
          <w:rPr>
            <w:color w:val="231F20"/>
            <w:w w:val="115"/>
            <w:sz w:val="16"/>
            <w:lang w:val="de-DE"/>
          </w:rPr>
          <w:t>.</w:t>
        </w:r>
        <w:r w:rsidRPr="00C507A5">
          <w:rPr>
            <w:color w:val="231F20"/>
            <w:spacing w:val="3"/>
            <w:w w:val="103"/>
            <w:sz w:val="16"/>
            <w:lang w:val="de-DE"/>
          </w:rPr>
          <w:t>i</w:t>
        </w:r>
        <w:r w:rsidRPr="00C507A5">
          <w:rPr>
            <w:color w:val="231F20"/>
            <w:spacing w:val="8"/>
            <w:w w:val="103"/>
            <w:sz w:val="16"/>
            <w:lang w:val="de-DE"/>
          </w:rPr>
          <w:t>n</w:t>
        </w:r>
        <w:r w:rsidRPr="00C507A5">
          <w:rPr>
            <w:color w:val="231F20"/>
            <w:w w:val="58"/>
            <w:sz w:val="16"/>
            <w:lang w:val="de-DE"/>
          </w:rPr>
          <w:t>/</w:t>
        </w:r>
        <w:r w:rsidRPr="00C507A5">
          <w:rPr>
            <w:color w:val="231F20"/>
            <w:spacing w:val="2"/>
            <w:w w:val="103"/>
            <w:sz w:val="16"/>
            <w:lang w:val="de-DE"/>
          </w:rPr>
          <w:t>m</w:t>
        </w:r>
        <w:r w:rsidRPr="00C507A5">
          <w:rPr>
            <w:color w:val="231F20"/>
            <w:spacing w:val="-1"/>
            <w:w w:val="106"/>
            <w:sz w:val="16"/>
            <w:lang w:val="de-DE"/>
          </w:rPr>
          <w:t>a</w:t>
        </w:r>
        <w:r w:rsidRPr="00C507A5">
          <w:rPr>
            <w:color w:val="231F20"/>
            <w:spacing w:val="1"/>
            <w:w w:val="97"/>
            <w:sz w:val="16"/>
            <w:lang w:val="de-DE"/>
          </w:rPr>
          <w:t>t</w:t>
        </w:r>
        <w:r w:rsidRPr="00C507A5">
          <w:rPr>
            <w:color w:val="231F20"/>
            <w:spacing w:val="5"/>
            <w:w w:val="97"/>
            <w:sz w:val="16"/>
            <w:lang w:val="de-DE"/>
          </w:rPr>
          <w:t>e</w:t>
        </w:r>
        <w:r w:rsidRPr="00C507A5">
          <w:rPr>
            <w:color w:val="231F20"/>
            <w:spacing w:val="7"/>
            <w:w w:val="139"/>
            <w:sz w:val="16"/>
            <w:lang w:val="de-DE"/>
          </w:rPr>
          <w:t>_</w:t>
        </w:r>
        <w:r w:rsidRPr="00C507A5">
          <w:rPr>
            <w:color w:val="231F20"/>
            <w:spacing w:val="1"/>
            <w:w w:val="93"/>
            <w:sz w:val="16"/>
            <w:lang w:val="de-DE"/>
          </w:rPr>
          <w:t>s</w:t>
        </w:r>
        <w:r w:rsidRPr="00C507A5">
          <w:rPr>
            <w:color w:val="231F20"/>
            <w:w w:val="106"/>
            <w:sz w:val="16"/>
            <w:lang w:val="de-DE"/>
          </w:rPr>
          <w:t>a</w:t>
        </w:r>
        <w:r w:rsidRPr="00C507A5">
          <w:rPr>
            <w:color w:val="231F20"/>
            <w:w w:val="94"/>
            <w:sz w:val="16"/>
            <w:lang w:val="de-DE"/>
          </w:rPr>
          <w:t>e</w:t>
        </w:r>
        <w:r w:rsidRPr="00C507A5">
          <w:rPr>
            <w:color w:val="231F20"/>
            <w:w w:val="104"/>
            <w:sz w:val="16"/>
            <w:lang w:val="de-DE"/>
          </w:rPr>
          <w:t>h</w:t>
        </w:r>
        <w:r w:rsidRPr="00C507A5">
          <w:rPr>
            <w:color w:val="231F20"/>
            <w:w w:val="94"/>
            <w:sz w:val="16"/>
            <w:lang w:val="de-DE"/>
          </w:rPr>
          <w:t>e</w:t>
        </w:r>
        <w:r w:rsidRPr="00C507A5">
          <w:rPr>
            <w:color w:val="231F20"/>
            <w:spacing w:val="1"/>
            <w:w w:val="103"/>
            <w:sz w:val="16"/>
            <w:lang w:val="de-DE"/>
          </w:rPr>
          <w:t>n</w:t>
        </w:r>
        <w:r w:rsidRPr="00C507A5">
          <w:rPr>
            <w:color w:val="231F20"/>
            <w:spacing w:val="1"/>
            <w:w w:val="140"/>
            <w:sz w:val="16"/>
            <w:lang w:val="de-DE"/>
          </w:rPr>
          <w:t>.</w:t>
        </w:r>
        <w:r w:rsidRPr="00C507A5">
          <w:rPr>
            <w:color w:val="231F20"/>
            <w:w w:val="104"/>
            <w:sz w:val="16"/>
            <w:lang w:val="de-DE"/>
          </w:rPr>
          <w:t>h</w:t>
        </w:r>
        <w:r w:rsidRPr="00C507A5">
          <w:rPr>
            <w:color w:val="231F20"/>
            <w:spacing w:val="3"/>
            <w:w w:val="102"/>
            <w:sz w:val="16"/>
            <w:lang w:val="de-DE"/>
          </w:rPr>
          <w:t>t</w:t>
        </w:r>
        <w:r w:rsidRPr="00C507A5">
          <w:rPr>
            <w:color w:val="231F20"/>
            <w:spacing w:val="3"/>
            <w:w w:val="103"/>
            <w:sz w:val="16"/>
            <w:lang w:val="de-DE"/>
          </w:rPr>
          <w:t>m</w:t>
        </w:r>
        <w:r w:rsidRPr="00C507A5">
          <w:rPr>
            <w:color w:val="231F20"/>
            <w:w w:val="106"/>
            <w:sz w:val="16"/>
            <w:lang w:val="de-DE"/>
          </w:rPr>
          <w:t>l</w:t>
        </w:r>
        <w:r w:rsidRPr="00C507A5">
          <w:rPr>
            <w:color w:val="231F20"/>
            <w:w w:val="140"/>
            <w:sz w:val="16"/>
            <w:lang w:val="de-DE"/>
          </w:rPr>
          <w:t>.</w:t>
        </w:r>
      </w:hyperlink>
    </w:p>
    <w:p w14:paraId="39D1D589" w14:textId="77777777" w:rsidR="002653E8" w:rsidRPr="00C507A5" w:rsidRDefault="003115E3">
      <w:pPr>
        <w:pStyle w:val="a4"/>
        <w:numPr>
          <w:ilvl w:val="0"/>
          <w:numId w:val="112"/>
        </w:numPr>
        <w:tabs>
          <w:tab w:val="left" w:pos="1287"/>
        </w:tabs>
        <w:spacing w:line="254" w:lineRule="auto"/>
        <w:ind w:right="2059" w:firstLine="0"/>
        <w:jc w:val="left"/>
        <w:rPr>
          <w:sz w:val="16"/>
          <w:lang w:val="de-DE"/>
        </w:rPr>
      </w:pPr>
      <w:r w:rsidRPr="00C507A5">
        <w:rPr>
          <w:i/>
          <w:color w:val="231F20"/>
          <w:spacing w:val="1"/>
          <w:w w:val="105"/>
          <w:sz w:val="16"/>
          <w:lang w:val="de-DE"/>
        </w:rPr>
        <w:t xml:space="preserve">Frankfurter Allgemeine Zeitung, </w:t>
      </w:r>
      <w:r w:rsidRPr="00C507A5">
        <w:rPr>
          <w:color w:val="231F20"/>
          <w:w w:val="105"/>
          <w:sz w:val="16"/>
          <w:lang w:val="de-DE"/>
        </w:rPr>
        <w:t>“Verstärkte Sicherheitsmaßnahmen im gesamtem Bundesgebeit,” November 12,</w:t>
      </w:r>
      <w:r w:rsidRPr="00C507A5">
        <w:rPr>
          <w:color w:val="231F20"/>
          <w:spacing w:val="35"/>
          <w:w w:val="105"/>
          <w:sz w:val="16"/>
          <w:lang w:val="de-DE"/>
        </w:rPr>
        <w:t xml:space="preserve"> </w:t>
      </w:r>
      <w:r w:rsidRPr="00C507A5">
        <w:rPr>
          <w:color w:val="231F20"/>
          <w:spacing w:val="-4"/>
          <w:w w:val="105"/>
          <w:sz w:val="16"/>
          <w:lang w:val="de-DE"/>
        </w:rPr>
        <w:t>1974.</w:t>
      </w:r>
    </w:p>
    <w:p w14:paraId="41F9C4B5" w14:textId="77777777" w:rsidR="002653E8" w:rsidRPr="00C507A5" w:rsidRDefault="003115E3">
      <w:pPr>
        <w:pStyle w:val="a4"/>
        <w:numPr>
          <w:ilvl w:val="0"/>
          <w:numId w:val="112"/>
        </w:numPr>
        <w:tabs>
          <w:tab w:val="left" w:pos="1287"/>
        </w:tabs>
        <w:spacing w:line="254" w:lineRule="auto"/>
        <w:ind w:right="1559" w:firstLine="0"/>
        <w:jc w:val="left"/>
        <w:rPr>
          <w:sz w:val="16"/>
          <w:lang w:val="de-DE"/>
        </w:rPr>
      </w:pPr>
      <w:r w:rsidRPr="00C507A5">
        <w:rPr>
          <w:i/>
          <w:color w:val="231F20"/>
          <w:spacing w:val="1"/>
          <w:w w:val="110"/>
          <w:sz w:val="16"/>
          <w:lang w:val="de-DE"/>
        </w:rPr>
        <w:t xml:space="preserve">Frankfurter Allgemeine Zeitung, </w:t>
      </w:r>
      <w:r w:rsidRPr="00C507A5">
        <w:rPr>
          <w:color w:val="231F20"/>
          <w:w w:val="110"/>
          <w:sz w:val="16"/>
          <w:lang w:val="de-DE"/>
        </w:rPr>
        <w:t xml:space="preserve">“Berliner CDU </w:t>
      </w:r>
      <w:r w:rsidRPr="00C507A5">
        <w:rPr>
          <w:color w:val="231F20"/>
          <w:spacing w:val="1"/>
          <w:w w:val="110"/>
          <w:sz w:val="16"/>
          <w:lang w:val="de-DE"/>
        </w:rPr>
        <w:t xml:space="preserve">ruft </w:t>
      </w:r>
      <w:r w:rsidRPr="00C507A5">
        <w:rPr>
          <w:color w:val="231F20"/>
          <w:w w:val="110"/>
          <w:sz w:val="16"/>
          <w:lang w:val="de-DE"/>
        </w:rPr>
        <w:t xml:space="preserve">zu einer Demonstration,” November </w:t>
      </w:r>
      <w:r w:rsidRPr="00C507A5">
        <w:rPr>
          <w:color w:val="231F20"/>
          <w:spacing w:val="-3"/>
          <w:w w:val="110"/>
          <w:sz w:val="16"/>
          <w:lang w:val="de-DE"/>
        </w:rPr>
        <w:t>16,</w:t>
      </w:r>
      <w:r w:rsidRPr="00C507A5">
        <w:rPr>
          <w:color w:val="231F20"/>
          <w:spacing w:val="11"/>
          <w:w w:val="110"/>
          <w:sz w:val="16"/>
          <w:lang w:val="de-DE"/>
        </w:rPr>
        <w:t xml:space="preserve"> </w:t>
      </w:r>
      <w:r w:rsidRPr="00C507A5">
        <w:rPr>
          <w:color w:val="231F20"/>
          <w:spacing w:val="-4"/>
          <w:w w:val="110"/>
          <w:sz w:val="16"/>
          <w:lang w:val="de-DE"/>
        </w:rPr>
        <w:t>1974.</w:t>
      </w:r>
    </w:p>
    <w:p w14:paraId="25FC28B9" w14:textId="77777777" w:rsidR="002653E8" w:rsidRPr="00C507A5" w:rsidRDefault="003115E3">
      <w:pPr>
        <w:pStyle w:val="a4"/>
        <w:numPr>
          <w:ilvl w:val="0"/>
          <w:numId w:val="112"/>
        </w:numPr>
        <w:tabs>
          <w:tab w:val="left" w:pos="1287"/>
        </w:tabs>
        <w:spacing w:line="254" w:lineRule="auto"/>
        <w:ind w:right="1509" w:firstLine="0"/>
        <w:jc w:val="left"/>
        <w:rPr>
          <w:sz w:val="16"/>
          <w:lang w:val="de-DE"/>
        </w:rPr>
      </w:pPr>
      <w:r w:rsidRPr="00C507A5">
        <w:rPr>
          <w:i/>
          <w:color w:val="231F20"/>
          <w:spacing w:val="1"/>
          <w:w w:val="105"/>
          <w:sz w:val="16"/>
          <w:lang w:val="de-DE"/>
        </w:rPr>
        <w:t xml:space="preserve">Frankfurter Allgemeine Zeitung, </w:t>
      </w:r>
      <w:r w:rsidRPr="00C507A5">
        <w:rPr>
          <w:color w:val="231F20"/>
          <w:w w:val="105"/>
          <w:sz w:val="16"/>
          <w:lang w:val="de-DE"/>
        </w:rPr>
        <w:t>“Empörung nach den tödlichen Schüsssen von Berlin,” November 12,</w:t>
      </w:r>
      <w:r w:rsidRPr="00C507A5">
        <w:rPr>
          <w:color w:val="231F20"/>
          <w:spacing w:val="25"/>
          <w:w w:val="105"/>
          <w:sz w:val="16"/>
          <w:lang w:val="de-DE"/>
        </w:rPr>
        <w:t xml:space="preserve"> </w:t>
      </w:r>
      <w:r w:rsidRPr="00C507A5">
        <w:rPr>
          <w:color w:val="231F20"/>
          <w:spacing w:val="-4"/>
          <w:w w:val="105"/>
          <w:sz w:val="16"/>
          <w:lang w:val="de-DE"/>
        </w:rPr>
        <w:t>1974.</w:t>
      </w:r>
    </w:p>
    <w:p w14:paraId="55B31A4C" w14:textId="77777777" w:rsidR="002653E8" w:rsidRPr="00C507A5" w:rsidRDefault="002653E8">
      <w:pPr>
        <w:spacing w:line="254" w:lineRule="auto"/>
        <w:rPr>
          <w:sz w:val="16"/>
          <w:lang w:val="de-DE"/>
        </w:rPr>
        <w:sectPr w:rsidR="002653E8" w:rsidRPr="00C507A5">
          <w:footerReference w:type="even" r:id="rId231"/>
          <w:footerReference w:type="default" r:id="rId232"/>
          <w:pgSz w:w="8640" w:h="12960"/>
          <w:pgMar w:top="1060" w:right="0" w:bottom="1040" w:left="0" w:header="0" w:footer="850" w:gutter="0"/>
          <w:pgNumType w:start="262"/>
          <w:cols w:space="720"/>
        </w:sectPr>
      </w:pPr>
    </w:p>
    <w:p w14:paraId="5304AE53" w14:textId="77777777" w:rsidR="002653E8" w:rsidRDefault="003115E3">
      <w:pPr>
        <w:pStyle w:val="a3"/>
        <w:spacing w:before="86" w:line="264" w:lineRule="auto"/>
        <w:ind w:left="1327" w:right="1145"/>
        <w:jc w:val="both"/>
        <w:rPr>
          <w:sz w:val="11"/>
        </w:rPr>
      </w:pPr>
      <w:r>
        <w:rPr>
          <w:color w:val="231F20"/>
        </w:rPr>
        <w:lastRenderedPageBreak/>
        <w:t>out to the media, whom she obligingly told about how Meins “had political ideas, but behind them lay the problems he had. He always wanted to be an authority figure. He was fascinated by Baader’s author</w:t>
      </w:r>
      <w:r>
        <w:rPr>
          <w:color w:val="231F20"/>
          <w:spacing w:val="-3"/>
        </w:rPr>
        <w:t xml:space="preserve">ity, </w:t>
      </w:r>
      <w:r>
        <w:rPr>
          <w:color w:val="231F20"/>
        </w:rPr>
        <w:t xml:space="preserve">but also intimidated by it—that’s why he always tagged </w:t>
      </w:r>
      <w:r>
        <w:rPr>
          <w:color w:val="231F20"/>
          <w:spacing w:val="-3"/>
        </w:rPr>
        <w:t xml:space="preserve">along.”  </w:t>
      </w:r>
      <w:r>
        <w:rPr>
          <w:color w:val="231F20"/>
          <w:spacing w:val="1"/>
        </w:rPr>
        <w:t xml:space="preserve">All  </w:t>
      </w:r>
      <w:r>
        <w:rPr>
          <w:color w:val="231F20"/>
        </w:rPr>
        <w:t>of this led one major newspaper to opine that the fallen guerilla “perhaps did not only die as a result of his own irrationality, but as a result of</w:t>
      </w:r>
      <w:r>
        <w:rPr>
          <w:color w:val="231F20"/>
          <w:spacing w:val="10"/>
        </w:rPr>
        <w:t xml:space="preserve"> </w:t>
      </w:r>
      <w:r>
        <w:rPr>
          <w:color w:val="231F20"/>
        </w:rPr>
        <w:t>manipulation</w:t>
      </w:r>
      <w:r>
        <w:rPr>
          <w:color w:val="231F20"/>
          <w:spacing w:val="10"/>
        </w:rPr>
        <w:t xml:space="preserve"> </w:t>
      </w:r>
      <w:r>
        <w:rPr>
          <w:color w:val="231F20"/>
        </w:rPr>
        <w:t>by</w:t>
      </w:r>
      <w:r>
        <w:rPr>
          <w:color w:val="231F20"/>
          <w:spacing w:val="10"/>
        </w:rPr>
        <w:t xml:space="preserve"> </w:t>
      </w:r>
      <w:r>
        <w:rPr>
          <w:color w:val="231F20"/>
        </w:rPr>
        <w:t>his</w:t>
      </w:r>
      <w:r>
        <w:rPr>
          <w:color w:val="231F20"/>
          <w:spacing w:val="10"/>
        </w:rPr>
        <w:t xml:space="preserve"> </w:t>
      </w:r>
      <w:r>
        <w:rPr>
          <w:color w:val="231F20"/>
        </w:rPr>
        <w:t>associates</w:t>
      </w:r>
      <w:r>
        <w:rPr>
          <w:color w:val="231F20"/>
          <w:spacing w:val="10"/>
        </w:rPr>
        <w:t xml:space="preserve"> </w:t>
      </w:r>
      <w:r>
        <w:rPr>
          <w:color w:val="231F20"/>
        </w:rPr>
        <w:t>as</w:t>
      </w:r>
      <w:r>
        <w:rPr>
          <w:color w:val="231F20"/>
          <w:spacing w:val="10"/>
        </w:rPr>
        <w:t xml:space="preserve"> </w:t>
      </w:r>
      <w:r>
        <w:rPr>
          <w:color w:val="231F20"/>
        </w:rPr>
        <w:t>well.”</w:t>
      </w:r>
      <w:r>
        <w:rPr>
          <w:color w:val="231F20"/>
          <w:position w:val="7"/>
          <w:sz w:val="11"/>
        </w:rPr>
        <w:t>7</w:t>
      </w:r>
    </w:p>
    <w:p w14:paraId="75A08263" w14:textId="77777777" w:rsidR="002653E8" w:rsidRDefault="003115E3">
      <w:pPr>
        <w:pStyle w:val="a3"/>
        <w:spacing w:line="264" w:lineRule="auto"/>
        <w:ind w:left="1327" w:right="1146" w:firstLine="210"/>
        <w:jc w:val="both"/>
      </w:pPr>
      <w:r>
        <w:rPr>
          <w:color w:val="231F20"/>
        </w:rPr>
        <w:t>After having pointedly ignored the strike in the period prior to November 9, the media now engaged in disinformation like this in an attempt to undercut the widespread sympathy that this death had garnered the prisoners. For instance, it was claimed that Meins was offered contact with other prisoners, but declined, as he “did not feel he was a criminal.”</w:t>
      </w:r>
      <w:r>
        <w:rPr>
          <w:color w:val="231F20"/>
          <w:position w:val="7"/>
          <w:sz w:val="11"/>
        </w:rPr>
        <w:t xml:space="preserve">8 </w:t>
      </w:r>
      <w:r>
        <w:rPr>
          <w:color w:val="231F20"/>
        </w:rPr>
        <w:t>While this claim was ludicrous considering that the demand of both the previous hunger strikes had been precisely such integration, it can also be viewed as a clever attempt to exploit divisions within the left regarding the strategies of association versus equality with social prisoners.</w:t>
      </w:r>
    </w:p>
    <w:p w14:paraId="29B700CF" w14:textId="77777777" w:rsidR="002653E8" w:rsidRDefault="003115E3">
      <w:pPr>
        <w:pStyle w:val="a3"/>
        <w:spacing w:line="264" w:lineRule="auto"/>
        <w:ind w:left="1327" w:right="1138" w:firstLine="210"/>
        <w:jc w:val="both"/>
      </w:pPr>
      <w:r>
        <w:rPr>
          <w:color w:val="231F20"/>
        </w:rPr>
        <w:t xml:space="preserve">Meanwhile, there was an explosion of actions and demonstrations     in support of the prisoners. A bomb went off (harmlessly) outside the Hamburg residence of another judge, </w:t>
      </w:r>
      <w:r>
        <w:rPr>
          <w:color w:val="231F20"/>
          <w:spacing w:val="1"/>
        </w:rPr>
        <w:t xml:space="preserve">Geert </w:t>
      </w:r>
      <w:r>
        <w:rPr>
          <w:color w:val="231F20"/>
        </w:rPr>
        <w:t>Ziegler,</w:t>
      </w:r>
      <w:r>
        <w:rPr>
          <w:color w:val="231F20"/>
          <w:position w:val="7"/>
          <w:sz w:val="11"/>
        </w:rPr>
        <w:t xml:space="preserve">9 </w:t>
      </w:r>
      <w:r>
        <w:rPr>
          <w:color w:val="231F20"/>
        </w:rPr>
        <w:t>and there were eight firebombings in the university town of Göttingen.</w:t>
      </w:r>
      <w:r>
        <w:rPr>
          <w:color w:val="231F20"/>
          <w:position w:val="7"/>
          <w:sz w:val="11"/>
        </w:rPr>
        <w:t xml:space="preserve">10 </w:t>
      </w:r>
      <w:r>
        <w:rPr>
          <w:color w:val="231F20"/>
        </w:rPr>
        <w:t xml:space="preserve">Within days, protests had spread to cities across the Federal Republic. </w:t>
      </w:r>
      <w:r>
        <w:rPr>
          <w:color w:val="231F20"/>
          <w:spacing w:val="1"/>
        </w:rPr>
        <w:t xml:space="preserve">In </w:t>
      </w:r>
      <w:r>
        <w:rPr>
          <w:color w:val="231F20"/>
        </w:rPr>
        <w:t xml:space="preserve">Frankfurt </w:t>
      </w:r>
      <w:r>
        <w:rPr>
          <w:color w:val="231F20"/>
          <w:spacing w:val="2"/>
          <w:w w:val="102"/>
        </w:rPr>
        <w:t>a</w:t>
      </w:r>
      <w:r>
        <w:rPr>
          <w:color w:val="231F20"/>
          <w:spacing w:val="-1"/>
          <w:w w:val="99"/>
        </w:rPr>
        <w:t>n</w:t>
      </w:r>
      <w:r>
        <w:rPr>
          <w:color w:val="231F20"/>
        </w:rPr>
        <w:t>d</w:t>
      </w:r>
      <w:r>
        <w:rPr>
          <w:color w:val="231F20"/>
          <w:spacing w:val="-8"/>
        </w:rPr>
        <w:t xml:space="preserve"> </w:t>
      </w:r>
      <w:r>
        <w:rPr>
          <w:color w:val="231F20"/>
          <w:spacing w:val="3"/>
          <w:w w:val="122"/>
        </w:rPr>
        <w:t>M</w:t>
      </w:r>
      <w:r>
        <w:rPr>
          <w:color w:val="231F20"/>
          <w:spacing w:val="2"/>
          <w:w w:val="102"/>
        </w:rPr>
        <w:t>a</w:t>
      </w:r>
      <w:r>
        <w:rPr>
          <w:color w:val="231F20"/>
          <w:spacing w:val="3"/>
          <w:w w:val="99"/>
        </w:rPr>
        <w:t>nn</w:t>
      </w:r>
      <w:r>
        <w:rPr>
          <w:color w:val="231F20"/>
          <w:spacing w:val="-1"/>
        </w:rPr>
        <w:t>h</w:t>
      </w:r>
      <w:r>
        <w:rPr>
          <w:color w:val="231F20"/>
          <w:spacing w:val="-1"/>
          <w:w w:val="91"/>
        </w:rPr>
        <w:t>e</w:t>
      </w:r>
      <w:r>
        <w:rPr>
          <w:color w:val="231F20"/>
          <w:spacing w:val="3"/>
        </w:rPr>
        <w:t>i</w:t>
      </w:r>
      <w:r>
        <w:rPr>
          <w:color w:val="231F20"/>
          <w:spacing w:val="3"/>
          <w:w w:val="99"/>
        </w:rPr>
        <w:t>m</w:t>
      </w:r>
      <w:r>
        <w:rPr>
          <w:color w:val="231F20"/>
          <w:w w:val="135"/>
        </w:rPr>
        <w:t>,</w:t>
      </w:r>
      <w:r>
        <w:rPr>
          <w:color w:val="231F20"/>
          <w:spacing w:val="-8"/>
        </w:rPr>
        <w:t xml:space="preserve"> </w:t>
      </w:r>
      <w:r>
        <w:rPr>
          <w:color w:val="231F20"/>
        </w:rPr>
        <w:t>c</w:t>
      </w:r>
      <w:r>
        <w:rPr>
          <w:color w:val="231F20"/>
          <w:spacing w:val="-2"/>
          <w:w w:val="104"/>
        </w:rPr>
        <w:t>o</w:t>
      </w:r>
      <w:r>
        <w:rPr>
          <w:color w:val="231F20"/>
          <w:spacing w:val="3"/>
        </w:rPr>
        <w:t>u</w:t>
      </w:r>
      <w:r>
        <w:rPr>
          <w:color w:val="231F20"/>
          <w:spacing w:val="5"/>
          <w:w w:val="94"/>
        </w:rPr>
        <w:t>r</w:t>
      </w:r>
      <w:r>
        <w:rPr>
          <w:color w:val="231F20"/>
          <w:spacing w:val="2"/>
          <w:w w:val="98"/>
        </w:rPr>
        <w:t>t</w:t>
      </w:r>
      <w:r>
        <w:rPr>
          <w:color w:val="231F20"/>
          <w:spacing w:val="-2"/>
        </w:rPr>
        <w:t>h</w:t>
      </w:r>
      <w:r>
        <w:rPr>
          <w:color w:val="231F20"/>
          <w:spacing w:val="-2"/>
          <w:w w:val="104"/>
        </w:rPr>
        <w:t>o</w:t>
      </w:r>
      <w:r>
        <w:rPr>
          <w:color w:val="231F20"/>
          <w:spacing w:val="1"/>
        </w:rPr>
        <w:t>u</w:t>
      </w:r>
      <w:r>
        <w:rPr>
          <w:color w:val="231F20"/>
          <w:w w:val="90"/>
        </w:rPr>
        <w:t>s</w:t>
      </w:r>
      <w:r>
        <w:rPr>
          <w:color w:val="231F20"/>
          <w:w w:val="91"/>
        </w:rPr>
        <w:t>e</w:t>
      </w:r>
      <w:r>
        <w:rPr>
          <w:color w:val="231F20"/>
          <w:spacing w:val="-8"/>
        </w:rPr>
        <w:t xml:space="preserve"> </w:t>
      </w:r>
      <w:r>
        <w:rPr>
          <w:color w:val="231F20"/>
          <w:spacing w:val="3"/>
        </w:rPr>
        <w:t>w</w:t>
      </w:r>
      <w:r>
        <w:rPr>
          <w:color w:val="231F20"/>
          <w:spacing w:val="2"/>
        </w:rPr>
        <w:t>i</w:t>
      </w:r>
      <w:r>
        <w:rPr>
          <w:color w:val="231F20"/>
          <w:spacing w:val="-1"/>
          <w:w w:val="99"/>
        </w:rPr>
        <w:t>n</w:t>
      </w:r>
      <w:r>
        <w:rPr>
          <w:color w:val="231F20"/>
          <w:spacing w:val="-1"/>
        </w:rPr>
        <w:t>d</w:t>
      </w:r>
      <w:r>
        <w:rPr>
          <w:color w:val="231F20"/>
          <w:spacing w:val="-3"/>
          <w:w w:val="104"/>
        </w:rPr>
        <w:t>o</w:t>
      </w:r>
      <w:r>
        <w:rPr>
          <w:color w:val="231F20"/>
        </w:rPr>
        <w:t>w</w:t>
      </w:r>
      <w:r>
        <w:rPr>
          <w:color w:val="231F20"/>
          <w:w w:val="90"/>
        </w:rPr>
        <w:t>s</w:t>
      </w:r>
      <w:r>
        <w:rPr>
          <w:color w:val="231F20"/>
          <w:spacing w:val="-8"/>
        </w:rPr>
        <w:t xml:space="preserve"> </w:t>
      </w:r>
      <w:r>
        <w:rPr>
          <w:color w:val="231F20"/>
          <w:spacing w:val="-2"/>
        </w:rPr>
        <w:t>w</w:t>
      </w:r>
      <w:r>
        <w:rPr>
          <w:color w:val="231F20"/>
          <w:w w:val="92"/>
        </w:rPr>
        <w:t>e</w:t>
      </w:r>
      <w:r>
        <w:rPr>
          <w:color w:val="231F20"/>
          <w:spacing w:val="-1"/>
          <w:w w:val="92"/>
        </w:rPr>
        <w:t>r</w:t>
      </w:r>
      <w:r>
        <w:rPr>
          <w:color w:val="231F20"/>
          <w:w w:val="91"/>
        </w:rPr>
        <w:t>e</w:t>
      </w:r>
      <w:r>
        <w:rPr>
          <w:color w:val="231F20"/>
          <w:spacing w:val="-8"/>
        </w:rPr>
        <w:t xml:space="preserve"> </w:t>
      </w:r>
      <w:r>
        <w:rPr>
          <w:color w:val="231F20"/>
          <w:w w:val="90"/>
        </w:rPr>
        <w:t>s</w:t>
      </w:r>
      <w:r>
        <w:rPr>
          <w:color w:val="231F20"/>
          <w:spacing w:val="1"/>
          <w:w w:val="99"/>
        </w:rPr>
        <w:t>m</w:t>
      </w:r>
      <w:r>
        <w:rPr>
          <w:color w:val="231F20"/>
          <w:w w:val="102"/>
        </w:rPr>
        <w:t>a</w:t>
      </w:r>
      <w:r>
        <w:rPr>
          <w:color w:val="231F20"/>
          <w:w w:val="96"/>
        </w:rPr>
        <w:t>s</w:t>
      </w:r>
      <w:r>
        <w:rPr>
          <w:color w:val="231F20"/>
          <w:spacing w:val="-1"/>
          <w:w w:val="96"/>
        </w:rPr>
        <w:t>h</w:t>
      </w:r>
      <w:r>
        <w:rPr>
          <w:color w:val="231F20"/>
          <w:w w:val="91"/>
        </w:rPr>
        <w:t>e</w:t>
      </w:r>
      <w:r>
        <w:rPr>
          <w:color w:val="231F20"/>
          <w:spacing w:val="2"/>
        </w:rPr>
        <w:t>d</w:t>
      </w:r>
      <w:r>
        <w:rPr>
          <w:color w:val="231F20"/>
          <w:w w:val="135"/>
        </w:rPr>
        <w:t>,</w:t>
      </w:r>
      <w:r>
        <w:rPr>
          <w:color w:val="231F20"/>
          <w:spacing w:val="-8"/>
        </w:rPr>
        <w:t xml:space="preserve"> </w:t>
      </w:r>
      <w:r>
        <w:rPr>
          <w:color w:val="231F20"/>
          <w:spacing w:val="-1"/>
        </w:rPr>
        <w:t>w</w:t>
      </w:r>
      <w:r>
        <w:rPr>
          <w:color w:val="231F20"/>
          <w:spacing w:val="3"/>
        </w:rPr>
        <w:t>h</w:t>
      </w:r>
      <w:r>
        <w:rPr>
          <w:color w:val="231F20"/>
          <w:spacing w:val="2"/>
        </w:rPr>
        <w:t>i</w:t>
      </w:r>
      <w:r>
        <w:rPr>
          <w:color w:val="231F20"/>
          <w:spacing w:val="-1"/>
          <w:w w:val="102"/>
        </w:rPr>
        <w:t>l</w:t>
      </w:r>
      <w:r>
        <w:rPr>
          <w:color w:val="231F20"/>
          <w:w w:val="91"/>
        </w:rPr>
        <w:t>e</w:t>
      </w:r>
      <w:r>
        <w:rPr>
          <w:color w:val="231F20"/>
          <w:spacing w:val="-8"/>
        </w:rPr>
        <w:t xml:space="preserve"> </w:t>
      </w:r>
      <w:r>
        <w:rPr>
          <w:color w:val="231F20"/>
          <w:spacing w:val="2"/>
          <w:w w:val="98"/>
        </w:rPr>
        <w:t>t</w:t>
      </w:r>
      <w:r>
        <w:rPr>
          <w:color w:val="231F20"/>
          <w:spacing w:val="-1"/>
        </w:rPr>
        <w:t>h</w:t>
      </w:r>
      <w:r>
        <w:rPr>
          <w:color w:val="231F20"/>
          <w:w w:val="91"/>
        </w:rPr>
        <w:t>e</w:t>
      </w:r>
      <w:r>
        <w:rPr>
          <w:color w:val="231F20"/>
          <w:spacing w:val="-7"/>
        </w:rPr>
        <w:t xml:space="preserve"> </w:t>
      </w:r>
      <w:r>
        <w:rPr>
          <w:color w:val="231F20"/>
          <w:spacing w:val="7"/>
          <w:w w:val="114"/>
        </w:rPr>
        <w:t>K</w:t>
      </w:r>
      <w:r>
        <w:rPr>
          <w:color w:val="231F20"/>
          <w:w w:val="108"/>
        </w:rPr>
        <w:t>PD</w:t>
      </w:r>
      <w:r>
        <w:rPr>
          <w:color w:val="231F20"/>
          <w:spacing w:val="6"/>
          <w:w w:val="56"/>
        </w:rPr>
        <w:t>/</w:t>
      </w:r>
      <w:r>
        <w:rPr>
          <w:color w:val="231F20"/>
          <w:spacing w:val="6"/>
          <w:w w:val="119"/>
        </w:rPr>
        <w:t xml:space="preserve">ML </w:t>
      </w:r>
      <w:r>
        <w:rPr>
          <w:color w:val="231F20"/>
        </w:rPr>
        <w:t xml:space="preserve">handed out fliers stating what everyone felt: “Holger Meins </w:t>
      </w:r>
      <w:r>
        <w:rPr>
          <w:color w:val="231F20"/>
          <w:spacing w:val="-3"/>
        </w:rPr>
        <w:t>Murdered.”</w:t>
      </w:r>
      <w:r>
        <w:rPr>
          <w:color w:val="231F20"/>
          <w:spacing w:val="-3"/>
          <w:position w:val="7"/>
          <w:sz w:val="11"/>
        </w:rPr>
        <w:t xml:space="preserve">11 </w:t>
      </w:r>
      <w:r>
        <w:rPr>
          <w:color w:val="231F20"/>
          <w:spacing w:val="1"/>
        </w:rPr>
        <w:t xml:space="preserve">In </w:t>
      </w:r>
      <w:r>
        <w:rPr>
          <w:color w:val="231F20"/>
          <w:spacing w:val="-3"/>
        </w:rPr>
        <w:t xml:space="preserve">West </w:t>
      </w:r>
      <w:r>
        <w:rPr>
          <w:color w:val="231F20"/>
        </w:rPr>
        <w:t xml:space="preserve">Berlin, a November  </w:t>
      </w:r>
      <w:r>
        <w:rPr>
          <w:color w:val="231F20"/>
          <w:spacing w:val="-4"/>
        </w:rPr>
        <w:t xml:space="preserve">11  </w:t>
      </w:r>
      <w:r>
        <w:rPr>
          <w:color w:val="231F20"/>
        </w:rPr>
        <w:t>Red  Aid  demonstration  was  banned by city authorities, which did not deter roughly one thousand people from taking to the streets, demanding that those responsible for Meins’ death</w:t>
      </w:r>
      <w:r>
        <w:rPr>
          <w:color w:val="231F20"/>
          <w:spacing w:val="13"/>
        </w:rPr>
        <w:t xml:space="preserve"> </w:t>
      </w:r>
      <w:r>
        <w:rPr>
          <w:color w:val="231F20"/>
        </w:rPr>
        <w:t>be</w:t>
      </w:r>
      <w:r>
        <w:rPr>
          <w:color w:val="231F20"/>
          <w:spacing w:val="13"/>
        </w:rPr>
        <w:t xml:space="preserve"> </w:t>
      </w:r>
      <w:r>
        <w:rPr>
          <w:color w:val="231F20"/>
        </w:rPr>
        <w:t>punished</w:t>
      </w:r>
      <w:r>
        <w:rPr>
          <w:color w:val="231F20"/>
          <w:spacing w:val="13"/>
        </w:rPr>
        <w:t xml:space="preserve"> </w:t>
      </w:r>
      <w:r>
        <w:rPr>
          <w:color w:val="231F20"/>
        </w:rPr>
        <w:t>and</w:t>
      </w:r>
      <w:r>
        <w:rPr>
          <w:color w:val="231F20"/>
          <w:spacing w:val="13"/>
        </w:rPr>
        <w:t xml:space="preserve"> </w:t>
      </w:r>
      <w:r>
        <w:rPr>
          <w:color w:val="231F20"/>
        </w:rPr>
        <w:t>that</w:t>
      </w:r>
      <w:r>
        <w:rPr>
          <w:color w:val="231F20"/>
          <w:spacing w:val="13"/>
        </w:rPr>
        <w:t xml:space="preserve"> </w:t>
      </w:r>
      <w:r>
        <w:rPr>
          <w:color w:val="231F20"/>
        </w:rPr>
        <w:t>all</w:t>
      </w:r>
      <w:r>
        <w:rPr>
          <w:color w:val="231F20"/>
          <w:spacing w:val="13"/>
        </w:rPr>
        <w:t xml:space="preserve"> </w:t>
      </w:r>
      <w:r>
        <w:rPr>
          <w:color w:val="231F20"/>
        </w:rPr>
        <w:t>political</w:t>
      </w:r>
      <w:r>
        <w:rPr>
          <w:color w:val="231F20"/>
          <w:spacing w:val="13"/>
        </w:rPr>
        <w:t xml:space="preserve"> </w:t>
      </w:r>
      <w:r>
        <w:rPr>
          <w:color w:val="231F20"/>
        </w:rPr>
        <w:t>prisoners</w:t>
      </w:r>
      <w:r>
        <w:rPr>
          <w:color w:val="231F20"/>
          <w:spacing w:val="13"/>
        </w:rPr>
        <w:t xml:space="preserve"> </w:t>
      </w:r>
      <w:r>
        <w:rPr>
          <w:color w:val="231F20"/>
        </w:rPr>
        <w:t>be</w:t>
      </w:r>
      <w:r>
        <w:rPr>
          <w:color w:val="231F20"/>
          <w:spacing w:val="13"/>
        </w:rPr>
        <w:t xml:space="preserve"> </w:t>
      </w:r>
      <w:r>
        <w:rPr>
          <w:color w:val="231F20"/>
        </w:rPr>
        <w:t>freed,</w:t>
      </w:r>
      <w:r>
        <w:rPr>
          <w:color w:val="231F20"/>
          <w:spacing w:val="13"/>
        </w:rPr>
        <w:t xml:space="preserve"> </w:t>
      </w:r>
      <w:r>
        <w:rPr>
          <w:color w:val="231F20"/>
        </w:rPr>
        <w:t>while</w:t>
      </w:r>
      <w:r>
        <w:rPr>
          <w:color w:val="231F20"/>
          <w:spacing w:val="13"/>
        </w:rPr>
        <w:t xml:space="preserve"> </w:t>
      </w:r>
      <w:r>
        <w:rPr>
          <w:color w:val="231F20"/>
        </w:rPr>
        <w:t>fight-</w:t>
      </w:r>
    </w:p>
    <w:p w14:paraId="6CA6CDF4" w14:textId="77777777" w:rsidR="002653E8" w:rsidRDefault="002653E8">
      <w:pPr>
        <w:pStyle w:val="a3"/>
      </w:pPr>
    </w:p>
    <w:p w14:paraId="5637F1CA" w14:textId="77777777" w:rsidR="002653E8" w:rsidRDefault="00000000">
      <w:pPr>
        <w:pStyle w:val="a3"/>
        <w:spacing w:before="6"/>
        <w:rPr>
          <w:sz w:val="28"/>
        </w:rPr>
      </w:pPr>
      <w:r>
        <w:rPr>
          <w:noProof w:val="0"/>
        </w:rPr>
        <w:pict w14:anchorId="2963C00C">
          <v:line id="_x0000_s2381" style="position:absolute;z-index:6712;mso-wrap-distance-left:0;mso-wrap-distance-right:0;mso-position-horizontal-relative:page" from="66.4pt,18.95pt" to="138.4pt,18.95pt" strokecolor="#231f20" strokeweight=".5pt">
            <w10:wrap type="topAndBottom" anchorx="page"/>
          </v:line>
        </w:pict>
      </w:r>
    </w:p>
    <w:p w14:paraId="3B43BECE" w14:textId="77777777" w:rsidR="002653E8" w:rsidRPr="00C507A5" w:rsidRDefault="003115E3">
      <w:pPr>
        <w:pStyle w:val="a4"/>
        <w:numPr>
          <w:ilvl w:val="0"/>
          <w:numId w:val="112"/>
        </w:numPr>
        <w:tabs>
          <w:tab w:val="left" w:pos="1467"/>
        </w:tabs>
        <w:spacing w:before="53" w:line="254" w:lineRule="auto"/>
        <w:ind w:left="1327" w:right="1714" w:firstLine="0"/>
        <w:jc w:val="left"/>
        <w:rPr>
          <w:sz w:val="16"/>
          <w:lang w:val="de-DE"/>
        </w:rPr>
      </w:pPr>
      <w:bookmarkStart w:id="113" w:name="_Hlk110901683"/>
      <w:r w:rsidRPr="00C507A5">
        <w:rPr>
          <w:color w:val="231F20"/>
          <w:w w:val="110"/>
          <w:sz w:val="16"/>
          <w:lang w:val="de-DE"/>
        </w:rPr>
        <w:t>Jürgen</w:t>
      </w:r>
      <w:r w:rsidRPr="00C507A5">
        <w:rPr>
          <w:color w:val="231F20"/>
          <w:spacing w:val="-5"/>
          <w:w w:val="110"/>
          <w:sz w:val="16"/>
          <w:lang w:val="de-DE"/>
        </w:rPr>
        <w:t xml:space="preserve"> </w:t>
      </w:r>
      <w:r w:rsidRPr="00C507A5">
        <w:rPr>
          <w:color w:val="231F20"/>
          <w:w w:val="110"/>
          <w:sz w:val="16"/>
          <w:lang w:val="de-DE"/>
        </w:rPr>
        <w:t>Busch,</w:t>
      </w:r>
      <w:r w:rsidRPr="00C507A5">
        <w:rPr>
          <w:color w:val="231F20"/>
          <w:spacing w:val="-5"/>
          <w:w w:val="110"/>
          <w:sz w:val="16"/>
          <w:lang w:val="de-DE"/>
        </w:rPr>
        <w:t xml:space="preserve"> </w:t>
      </w:r>
      <w:r w:rsidRPr="00C507A5">
        <w:rPr>
          <w:color w:val="231F20"/>
          <w:w w:val="110"/>
          <w:sz w:val="16"/>
          <w:lang w:val="de-DE"/>
        </w:rPr>
        <w:t>“Die</w:t>
      </w:r>
      <w:r w:rsidRPr="00C507A5">
        <w:rPr>
          <w:color w:val="231F20"/>
          <w:spacing w:val="-5"/>
          <w:w w:val="110"/>
          <w:sz w:val="16"/>
          <w:lang w:val="de-DE"/>
        </w:rPr>
        <w:t xml:space="preserve"> </w:t>
      </w:r>
      <w:r w:rsidRPr="00C507A5">
        <w:rPr>
          <w:color w:val="231F20"/>
          <w:w w:val="110"/>
          <w:sz w:val="16"/>
          <w:lang w:val="de-DE"/>
        </w:rPr>
        <w:t>letzte</w:t>
      </w:r>
      <w:r w:rsidRPr="00C507A5">
        <w:rPr>
          <w:color w:val="231F20"/>
          <w:spacing w:val="-5"/>
          <w:w w:val="110"/>
          <w:sz w:val="16"/>
          <w:lang w:val="de-DE"/>
        </w:rPr>
        <w:t xml:space="preserve"> </w:t>
      </w:r>
      <w:r w:rsidRPr="00C507A5">
        <w:rPr>
          <w:color w:val="231F20"/>
          <w:w w:val="110"/>
          <w:sz w:val="16"/>
          <w:lang w:val="de-DE"/>
        </w:rPr>
        <w:t>Waffe</w:t>
      </w:r>
      <w:r w:rsidRPr="00C507A5">
        <w:rPr>
          <w:color w:val="231F20"/>
          <w:spacing w:val="-5"/>
          <w:w w:val="110"/>
          <w:sz w:val="16"/>
          <w:lang w:val="de-DE"/>
        </w:rPr>
        <w:t xml:space="preserve"> </w:t>
      </w:r>
      <w:r w:rsidRPr="00C507A5">
        <w:rPr>
          <w:color w:val="231F20"/>
          <w:w w:val="110"/>
          <w:sz w:val="16"/>
          <w:lang w:val="de-DE"/>
        </w:rPr>
        <w:t>des</w:t>
      </w:r>
      <w:r w:rsidRPr="00C507A5">
        <w:rPr>
          <w:color w:val="231F20"/>
          <w:spacing w:val="-5"/>
          <w:w w:val="110"/>
          <w:sz w:val="16"/>
          <w:lang w:val="de-DE"/>
        </w:rPr>
        <w:t xml:space="preserve"> </w:t>
      </w:r>
      <w:r w:rsidRPr="00C507A5">
        <w:rPr>
          <w:color w:val="231F20"/>
          <w:w w:val="110"/>
          <w:sz w:val="16"/>
          <w:lang w:val="de-DE"/>
        </w:rPr>
        <w:t>Anarchisten,”</w:t>
      </w:r>
      <w:r w:rsidRPr="00C507A5">
        <w:rPr>
          <w:color w:val="231F20"/>
          <w:spacing w:val="-5"/>
          <w:w w:val="110"/>
          <w:sz w:val="16"/>
          <w:lang w:val="de-DE"/>
        </w:rPr>
        <w:t xml:space="preserve"> </w:t>
      </w:r>
      <w:r w:rsidRPr="00C507A5">
        <w:rPr>
          <w:i/>
          <w:color w:val="231F20"/>
          <w:spacing w:val="1"/>
          <w:w w:val="110"/>
          <w:sz w:val="16"/>
          <w:lang w:val="de-DE"/>
        </w:rPr>
        <w:t>Frankfurter</w:t>
      </w:r>
      <w:r w:rsidRPr="00C507A5">
        <w:rPr>
          <w:i/>
          <w:color w:val="231F20"/>
          <w:spacing w:val="-5"/>
          <w:w w:val="110"/>
          <w:sz w:val="16"/>
          <w:lang w:val="de-DE"/>
        </w:rPr>
        <w:t xml:space="preserve"> </w:t>
      </w:r>
      <w:r w:rsidRPr="00C507A5">
        <w:rPr>
          <w:i/>
          <w:color w:val="231F20"/>
          <w:spacing w:val="1"/>
          <w:w w:val="110"/>
          <w:sz w:val="16"/>
          <w:lang w:val="de-DE"/>
        </w:rPr>
        <w:t xml:space="preserve">Allgemeine Zeitung, </w:t>
      </w:r>
      <w:r w:rsidRPr="00C507A5">
        <w:rPr>
          <w:color w:val="231F20"/>
          <w:w w:val="110"/>
          <w:sz w:val="16"/>
          <w:lang w:val="de-DE"/>
        </w:rPr>
        <w:t>November 11,</w:t>
      </w:r>
      <w:r w:rsidRPr="00C507A5">
        <w:rPr>
          <w:color w:val="231F20"/>
          <w:spacing w:val="15"/>
          <w:w w:val="110"/>
          <w:sz w:val="16"/>
          <w:lang w:val="de-DE"/>
        </w:rPr>
        <w:t xml:space="preserve"> </w:t>
      </w:r>
      <w:r w:rsidRPr="00C507A5">
        <w:rPr>
          <w:color w:val="231F20"/>
          <w:spacing w:val="-4"/>
          <w:w w:val="110"/>
          <w:sz w:val="16"/>
          <w:lang w:val="de-DE"/>
        </w:rPr>
        <w:t>1974.</w:t>
      </w:r>
    </w:p>
    <w:p w14:paraId="30FBB84F" w14:textId="77777777" w:rsidR="002653E8" w:rsidRPr="00C507A5" w:rsidRDefault="003115E3">
      <w:pPr>
        <w:pStyle w:val="a4"/>
        <w:numPr>
          <w:ilvl w:val="0"/>
          <w:numId w:val="112"/>
        </w:numPr>
        <w:tabs>
          <w:tab w:val="left" w:pos="1467"/>
        </w:tabs>
        <w:ind w:left="1466"/>
        <w:jc w:val="left"/>
        <w:rPr>
          <w:sz w:val="16"/>
          <w:lang w:val="de-DE"/>
        </w:rPr>
      </w:pPr>
      <w:r w:rsidRPr="00C507A5">
        <w:rPr>
          <w:i/>
          <w:color w:val="231F20"/>
          <w:spacing w:val="1"/>
          <w:w w:val="110"/>
          <w:sz w:val="16"/>
          <w:lang w:val="de-DE"/>
        </w:rPr>
        <w:t xml:space="preserve">Frankfurter Allgemeine Zeitung, </w:t>
      </w:r>
      <w:r w:rsidRPr="00C507A5">
        <w:rPr>
          <w:color w:val="231F20"/>
          <w:w w:val="110"/>
          <w:sz w:val="16"/>
          <w:lang w:val="de-DE"/>
        </w:rPr>
        <w:t xml:space="preserve">“Die Vollzuganstalt Wittlich,” </w:t>
      </w:r>
      <w:r w:rsidRPr="00C507A5">
        <w:rPr>
          <w:color w:val="231F20"/>
          <w:spacing w:val="-3"/>
          <w:w w:val="110"/>
          <w:sz w:val="16"/>
          <w:lang w:val="de-DE"/>
        </w:rPr>
        <w:t xml:space="preserve">Nov. </w:t>
      </w:r>
      <w:r w:rsidRPr="00C507A5">
        <w:rPr>
          <w:color w:val="231F20"/>
          <w:w w:val="110"/>
          <w:sz w:val="16"/>
          <w:lang w:val="de-DE"/>
        </w:rPr>
        <w:t>10,</w:t>
      </w:r>
      <w:r w:rsidRPr="00C507A5">
        <w:rPr>
          <w:color w:val="231F20"/>
          <w:spacing w:val="20"/>
          <w:w w:val="110"/>
          <w:sz w:val="16"/>
          <w:lang w:val="de-DE"/>
        </w:rPr>
        <w:t xml:space="preserve"> </w:t>
      </w:r>
      <w:r w:rsidRPr="00C507A5">
        <w:rPr>
          <w:color w:val="231F20"/>
          <w:spacing w:val="-4"/>
          <w:w w:val="110"/>
          <w:sz w:val="16"/>
          <w:lang w:val="de-DE"/>
        </w:rPr>
        <w:t>1974.</w:t>
      </w:r>
    </w:p>
    <w:p w14:paraId="43DA6F83" w14:textId="77777777" w:rsidR="002653E8" w:rsidRPr="00C507A5" w:rsidRDefault="003115E3">
      <w:pPr>
        <w:pStyle w:val="a4"/>
        <w:numPr>
          <w:ilvl w:val="0"/>
          <w:numId w:val="112"/>
        </w:numPr>
        <w:tabs>
          <w:tab w:val="left" w:pos="1467"/>
        </w:tabs>
        <w:spacing w:before="51" w:line="254" w:lineRule="auto"/>
        <w:ind w:left="1327" w:right="1590" w:firstLine="0"/>
        <w:jc w:val="left"/>
        <w:rPr>
          <w:sz w:val="16"/>
          <w:lang w:val="de-DE"/>
        </w:rPr>
      </w:pPr>
      <w:r w:rsidRPr="00C507A5">
        <w:rPr>
          <w:color w:val="231F20"/>
          <w:w w:val="105"/>
          <w:sz w:val="16"/>
          <w:lang w:val="de-DE"/>
        </w:rPr>
        <w:t xml:space="preserve">Deutsche Presse Agentur, “Wieder Anschlag auf einen Richter,” </w:t>
      </w:r>
      <w:r w:rsidRPr="00C507A5">
        <w:rPr>
          <w:i/>
          <w:color w:val="231F20"/>
          <w:spacing w:val="1"/>
          <w:w w:val="105"/>
          <w:sz w:val="16"/>
          <w:lang w:val="de-DE"/>
        </w:rPr>
        <w:t xml:space="preserve">Frankfurter Allgemeine Zeitung, </w:t>
      </w:r>
      <w:r w:rsidRPr="00C507A5">
        <w:rPr>
          <w:color w:val="231F20"/>
          <w:w w:val="105"/>
          <w:sz w:val="16"/>
          <w:lang w:val="de-DE"/>
        </w:rPr>
        <w:t>November 21,</w:t>
      </w:r>
      <w:r w:rsidRPr="00C507A5">
        <w:rPr>
          <w:color w:val="231F20"/>
          <w:spacing w:val="35"/>
          <w:w w:val="105"/>
          <w:sz w:val="16"/>
          <w:lang w:val="de-DE"/>
        </w:rPr>
        <w:t xml:space="preserve"> </w:t>
      </w:r>
      <w:r w:rsidRPr="00C507A5">
        <w:rPr>
          <w:color w:val="231F20"/>
          <w:spacing w:val="-4"/>
          <w:w w:val="105"/>
          <w:sz w:val="16"/>
          <w:lang w:val="de-DE"/>
        </w:rPr>
        <w:t>1974.</w:t>
      </w:r>
    </w:p>
    <w:p w14:paraId="2DF4D300" w14:textId="77777777" w:rsidR="002653E8" w:rsidRDefault="003115E3">
      <w:pPr>
        <w:pStyle w:val="a4"/>
        <w:numPr>
          <w:ilvl w:val="0"/>
          <w:numId w:val="112"/>
        </w:numPr>
        <w:tabs>
          <w:tab w:val="left" w:pos="1555"/>
        </w:tabs>
        <w:ind w:left="1554" w:hanging="227"/>
        <w:jc w:val="left"/>
        <w:rPr>
          <w:sz w:val="16"/>
        </w:rPr>
      </w:pPr>
      <w:r>
        <w:rPr>
          <w:i/>
          <w:color w:val="231F20"/>
          <w:w w:val="110"/>
          <w:sz w:val="16"/>
        </w:rPr>
        <w:t xml:space="preserve">Time Magazine </w:t>
      </w:r>
      <w:r>
        <w:rPr>
          <w:color w:val="231F20"/>
          <w:w w:val="110"/>
          <w:sz w:val="16"/>
        </w:rPr>
        <w:t>[online], “Guerrillas on Trial,” December 9,</w:t>
      </w:r>
      <w:r>
        <w:rPr>
          <w:color w:val="231F20"/>
          <w:spacing w:val="8"/>
          <w:w w:val="110"/>
          <w:sz w:val="16"/>
        </w:rPr>
        <w:t xml:space="preserve"> </w:t>
      </w:r>
      <w:r>
        <w:rPr>
          <w:color w:val="231F20"/>
          <w:spacing w:val="-4"/>
          <w:w w:val="110"/>
          <w:sz w:val="16"/>
        </w:rPr>
        <w:t>1974.</w:t>
      </w:r>
    </w:p>
    <w:p w14:paraId="244F7BBF" w14:textId="77777777" w:rsidR="002653E8" w:rsidRDefault="003115E3">
      <w:pPr>
        <w:pStyle w:val="a4"/>
        <w:numPr>
          <w:ilvl w:val="0"/>
          <w:numId w:val="112"/>
        </w:numPr>
        <w:tabs>
          <w:tab w:val="left" w:pos="1552"/>
        </w:tabs>
        <w:spacing w:before="52" w:line="254" w:lineRule="auto"/>
        <w:ind w:left="1327" w:right="1236" w:firstLine="0"/>
        <w:jc w:val="left"/>
        <w:rPr>
          <w:sz w:val="16"/>
        </w:rPr>
      </w:pPr>
      <w:r>
        <w:rPr>
          <w:color w:val="231F20"/>
          <w:w w:val="105"/>
          <w:sz w:val="16"/>
        </w:rPr>
        <w:t xml:space="preserve">United  Press  International,  “Gunmen  kill  German  judge,”  </w:t>
      </w:r>
      <w:r>
        <w:rPr>
          <w:i/>
          <w:color w:val="231F20"/>
          <w:w w:val="105"/>
          <w:sz w:val="16"/>
        </w:rPr>
        <w:t xml:space="preserve">Hagerstown  Morning Herald, </w:t>
      </w:r>
      <w:r>
        <w:rPr>
          <w:color w:val="231F20"/>
          <w:w w:val="105"/>
          <w:sz w:val="16"/>
        </w:rPr>
        <w:t xml:space="preserve">November 11, </w:t>
      </w:r>
      <w:r>
        <w:rPr>
          <w:color w:val="231F20"/>
          <w:spacing w:val="-4"/>
          <w:w w:val="105"/>
          <w:sz w:val="16"/>
        </w:rPr>
        <w:t xml:space="preserve">1974. </w:t>
      </w:r>
      <w:r>
        <w:rPr>
          <w:color w:val="231F20"/>
          <w:w w:val="105"/>
          <w:sz w:val="16"/>
        </w:rPr>
        <w:t>The article in question refers simply to the “Communist Party.” However, it was almost certainly not the conservative DKP, b</w:t>
      </w:r>
      <w:r>
        <w:rPr>
          <w:color w:val="231F20"/>
          <w:w w:val="104"/>
          <w:sz w:val="16"/>
        </w:rPr>
        <w:t>u</w:t>
      </w:r>
      <w:r>
        <w:rPr>
          <w:color w:val="231F20"/>
          <w:w w:val="102"/>
          <w:sz w:val="16"/>
        </w:rPr>
        <w:t>t</w:t>
      </w:r>
      <w:r>
        <w:rPr>
          <w:color w:val="231F20"/>
          <w:spacing w:val="10"/>
          <w:sz w:val="16"/>
        </w:rPr>
        <w:t xml:space="preserve"> </w:t>
      </w:r>
      <w:r>
        <w:rPr>
          <w:color w:val="231F20"/>
          <w:spacing w:val="3"/>
          <w:w w:val="102"/>
          <w:sz w:val="16"/>
        </w:rPr>
        <w:t>t</w:t>
      </w:r>
      <w:r>
        <w:rPr>
          <w:color w:val="231F20"/>
          <w:w w:val="104"/>
          <w:sz w:val="16"/>
        </w:rPr>
        <w:t>h</w:t>
      </w:r>
      <w:r>
        <w:rPr>
          <w:color w:val="231F20"/>
          <w:w w:val="94"/>
          <w:sz w:val="16"/>
        </w:rPr>
        <w:t>e</w:t>
      </w:r>
      <w:r>
        <w:rPr>
          <w:color w:val="231F20"/>
          <w:spacing w:val="10"/>
          <w:sz w:val="16"/>
        </w:rPr>
        <w:t xml:space="preserve"> </w:t>
      </w:r>
      <w:r>
        <w:rPr>
          <w:color w:val="231F20"/>
          <w:spacing w:val="7"/>
          <w:w w:val="119"/>
          <w:sz w:val="16"/>
        </w:rPr>
        <w:t>K</w:t>
      </w:r>
      <w:r>
        <w:rPr>
          <w:color w:val="231F20"/>
          <w:w w:val="112"/>
          <w:sz w:val="16"/>
        </w:rPr>
        <w:t>P</w:t>
      </w:r>
      <w:r>
        <w:rPr>
          <w:color w:val="231F20"/>
          <w:spacing w:val="1"/>
          <w:w w:val="112"/>
          <w:sz w:val="16"/>
        </w:rPr>
        <w:t>D</w:t>
      </w:r>
      <w:r>
        <w:rPr>
          <w:color w:val="231F20"/>
          <w:spacing w:val="6"/>
          <w:w w:val="58"/>
          <w:sz w:val="16"/>
        </w:rPr>
        <w:t>/</w:t>
      </w:r>
      <w:r>
        <w:rPr>
          <w:color w:val="231F20"/>
          <w:spacing w:val="6"/>
          <w:w w:val="123"/>
          <w:sz w:val="16"/>
        </w:rPr>
        <w:t>M</w:t>
      </w:r>
      <w:r>
        <w:rPr>
          <w:color w:val="231F20"/>
          <w:spacing w:val="10"/>
          <w:w w:val="123"/>
          <w:sz w:val="16"/>
        </w:rPr>
        <w:t>L</w:t>
      </w:r>
      <w:r>
        <w:rPr>
          <w:color w:val="231F20"/>
          <w:w w:val="140"/>
          <w:sz w:val="16"/>
        </w:rPr>
        <w:t>,</w:t>
      </w:r>
      <w:r>
        <w:rPr>
          <w:color w:val="231F20"/>
          <w:spacing w:val="10"/>
          <w:sz w:val="16"/>
        </w:rPr>
        <w:t xml:space="preserve"> </w:t>
      </w:r>
      <w:r>
        <w:rPr>
          <w:color w:val="231F20"/>
          <w:w w:val="104"/>
          <w:sz w:val="16"/>
        </w:rPr>
        <w:t>w</w:t>
      </w:r>
      <w:r>
        <w:rPr>
          <w:color w:val="231F20"/>
          <w:spacing w:val="3"/>
          <w:w w:val="104"/>
          <w:sz w:val="16"/>
        </w:rPr>
        <w:t>h</w:t>
      </w:r>
      <w:r>
        <w:rPr>
          <w:color w:val="231F20"/>
          <w:w w:val="103"/>
          <w:sz w:val="16"/>
        </w:rPr>
        <w:t>i</w:t>
      </w:r>
      <w:r>
        <w:rPr>
          <w:color w:val="231F20"/>
          <w:w w:val="104"/>
          <w:sz w:val="16"/>
        </w:rPr>
        <w:t>ch</w:t>
      </w:r>
      <w:r>
        <w:rPr>
          <w:color w:val="231F20"/>
          <w:spacing w:val="10"/>
          <w:sz w:val="16"/>
        </w:rPr>
        <w:t xml:space="preserve"> </w:t>
      </w:r>
      <w:r>
        <w:rPr>
          <w:color w:val="231F20"/>
          <w:spacing w:val="1"/>
          <w:w w:val="104"/>
          <w:sz w:val="16"/>
        </w:rPr>
        <w:t>h</w:t>
      </w:r>
      <w:r>
        <w:rPr>
          <w:color w:val="231F20"/>
          <w:spacing w:val="-1"/>
          <w:w w:val="106"/>
          <w:sz w:val="16"/>
        </w:rPr>
        <w:t>a</w:t>
      </w:r>
      <w:r>
        <w:rPr>
          <w:color w:val="231F20"/>
          <w:w w:val="103"/>
          <w:sz w:val="16"/>
        </w:rPr>
        <w:t>d</w:t>
      </w:r>
      <w:r>
        <w:rPr>
          <w:color w:val="231F20"/>
          <w:spacing w:val="10"/>
          <w:sz w:val="16"/>
        </w:rPr>
        <w:t xml:space="preserve"> </w:t>
      </w:r>
      <w:r>
        <w:rPr>
          <w:color w:val="231F20"/>
          <w:spacing w:val="2"/>
          <w:w w:val="94"/>
          <w:sz w:val="16"/>
        </w:rPr>
        <w:t>e</w:t>
      </w:r>
      <w:r>
        <w:rPr>
          <w:color w:val="231F20"/>
          <w:spacing w:val="3"/>
          <w:w w:val="106"/>
          <w:sz w:val="16"/>
        </w:rPr>
        <w:t>a</w:t>
      </w:r>
      <w:r>
        <w:rPr>
          <w:color w:val="231F20"/>
          <w:spacing w:val="3"/>
          <w:w w:val="97"/>
          <w:sz w:val="16"/>
        </w:rPr>
        <w:t>r</w:t>
      </w:r>
      <w:r>
        <w:rPr>
          <w:color w:val="231F20"/>
          <w:w w:val="103"/>
          <w:sz w:val="16"/>
        </w:rPr>
        <w:t>n</w:t>
      </w:r>
      <w:r>
        <w:rPr>
          <w:color w:val="231F20"/>
          <w:spacing w:val="1"/>
          <w:w w:val="94"/>
          <w:sz w:val="16"/>
        </w:rPr>
        <w:t>e</w:t>
      </w:r>
      <w:r>
        <w:rPr>
          <w:color w:val="231F20"/>
          <w:w w:val="103"/>
          <w:sz w:val="16"/>
        </w:rPr>
        <w:t>d</w:t>
      </w:r>
      <w:r>
        <w:rPr>
          <w:color w:val="231F20"/>
          <w:spacing w:val="10"/>
          <w:sz w:val="16"/>
        </w:rPr>
        <w:t xml:space="preserve"> </w:t>
      </w:r>
      <w:r>
        <w:rPr>
          <w:color w:val="231F20"/>
          <w:spacing w:val="-1"/>
          <w:w w:val="103"/>
          <w:sz w:val="16"/>
        </w:rPr>
        <w:t>i</w:t>
      </w:r>
      <w:r>
        <w:rPr>
          <w:color w:val="231F20"/>
          <w:spacing w:val="2"/>
          <w:w w:val="102"/>
          <w:sz w:val="16"/>
        </w:rPr>
        <w:t>t</w:t>
      </w:r>
      <w:r>
        <w:rPr>
          <w:color w:val="231F20"/>
          <w:spacing w:val="1"/>
          <w:w w:val="93"/>
          <w:sz w:val="16"/>
        </w:rPr>
        <w:t>s</w:t>
      </w:r>
      <w:r>
        <w:rPr>
          <w:color w:val="231F20"/>
          <w:w w:val="94"/>
          <w:sz w:val="16"/>
        </w:rPr>
        <w:t>e</w:t>
      </w:r>
      <w:r>
        <w:rPr>
          <w:color w:val="231F20"/>
          <w:spacing w:val="2"/>
          <w:w w:val="106"/>
          <w:sz w:val="16"/>
        </w:rPr>
        <w:t>l</w:t>
      </w:r>
      <w:r>
        <w:rPr>
          <w:color w:val="231F20"/>
          <w:w w:val="114"/>
          <w:sz w:val="16"/>
        </w:rPr>
        <w:t>f</w:t>
      </w:r>
      <w:r>
        <w:rPr>
          <w:color w:val="231F20"/>
          <w:spacing w:val="10"/>
          <w:sz w:val="16"/>
        </w:rPr>
        <w:t xml:space="preserve"> </w:t>
      </w:r>
      <w:r>
        <w:rPr>
          <w:color w:val="231F20"/>
          <w:spacing w:val="3"/>
          <w:w w:val="102"/>
          <w:sz w:val="16"/>
        </w:rPr>
        <w:t>t</w:t>
      </w:r>
      <w:r>
        <w:rPr>
          <w:color w:val="231F20"/>
          <w:w w:val="104"/>
          <w:sz w:val="16"/>
        </w:rPr>
        <w:t>h</w:t>
      </w:r>
      <w:r>
        <w:rPr>
          <w:color w:val="231F20"/>
          <w:w w:val="94"/>
          <w:sz w:val="16"/>
        </w:rPr>
        <w:t>e</w:t>
      </w:r>
      <w:r>
        <w:rPr>
          <w:color w:val="231F20"/>
          <w:spacing w:val="10"/>
          <w:sz w:val="16"/>
        </w:rPr>
        <w:t xml:space="preserve"> </w:t>
      </w:r>
      <w:r>
        <w:rPr>
          <w:color w:val="231F20"/>
          <w:spacing w:val="3"/>
          <w:w w:val="103"/>
          <w:sz w:val="16"/>
        </w:rPr>
        <w:t>d</w:t>
      </w:r>
      <w:r>
        <w:rPr>
          <w:color w:val="231F20"/>
          <w:spacing w:val="1"/>
          <w:w w:val="103"/>
          <w:sz w:val="16"/>
        </w:rPr>
        <w:t>i</w:t>
      </w:r>
      <w:r>
        <w:rPr>
          <w:color w:val="231F20"/>
          <w:spacing w:val="1"/>
          <w:w w:val="93"/>
          <w:sz w:val="16"/>
        </w:rPr>
        <w:t>s</w:t>
      </w:r>
      <w:r>
        <w:rPr>
          <w:color w:val="231F20"/>
          <w:spacing w:val="2"/>
          <w:w w:val="102"/>
          <w:sz w:val="16"/>
        </w:rPr>
        <w:t>t</w:t>
      </w:r>
      <w:r>
        <w:rPr>
          <w:color w:val="231F20"/>
          <w:spacing w:val="3"/>
          <w:w w:val="103"/>
          <w:sz w:val="16"/>
        </w:rPr>
        <w:t>i</w:t>
      </w:r>
      <w:r>
        <w:rPr>
          <w:color w:val="231F20"/>
          <w:w w:val="103"/>
          <w:sz w:val="16"/>
        </w:rPr>
        <w:t>n</w:t>
      </w:r>
      <w:r>
        <w:rPr>
          <w:color w:val="231F20"/>
          <w:spacing w:val="3"/>
          <w:w w:val="104"/>
          <w:sz w:val="16"/>
        </w:rPr>
        <w:t>c</w:t>
      </w:r>
      <w:r>
        <w:rPr>
          <w:color w:val="231F20"/>
          <w:spacing w:val="2"/>
          <w:w w:val="102"/>
          <w:sz w:val="16"/>
        </w:rPr>
        <w:t>t</w:t>
      </w:r>
      <w:r>
        <w:rPr>
          <w:color w:val="231F20"/>
          <w:w w:val="107"/>
          <w:sz w:val="16"/>
        </w:rPr>
        <w:t>io</w:t>
      </w:r>
      <w:r>
        <w:rPr>
          <w:color w:val="231F20"/>
          <w:w w:val="103"/>
          <w:sz w:val="16"/>
        </w:rPr>
        <w:t>n</w:t>
      </w:r>
      <w:r>
        <w:rPr>
          <w:color w:val="231F20"/>
          <w:spacing w:val="10"/>
          <w:sz w:val="16"/>
        </w:rPr>
        <w:t xml:space="preserve"> </w:t>
      </w:r>
      <w:r>
        <w:rPr>
          <w:color w:val="231F20"/>
          <w:spacing w:val="-1"/>
          <w:w w:val="108"/>
          <w:sz w:val="16"/>
        </w:rPr>
        <w:t>o</w:t>
      </w:r>
      <w:r>
        <w:rPr>
          <w:color w:val="231F20"/>
          <w:w w:val="114"/>
          <w:sz w:val="16"/>
        </w:rPr>
        <w:t>f</w:t>
      </w:r>
      <w:r>
        <w:rPr>
          <w:color w:val="231F20"/>
          <w:spacing w:val="10"/>
          <w:sz w:val="16"/>
        </w:rPr>
        <w:t xml:space="preserve"> </w:t>
      </w:r>
      <w:r>
        <w:rPr>
          <w:color w:val="231F20"/>
          <w:spacing w:val="2"/>
          <w:w w:val="105"/>
          <w:sz w:val="16"/>
        </w:rPr>
        <w:t>b</w:t>
      </w:r>
      <w:r>
        <w:rPr>
          <w:color w:val="231F20"/>
          <w:w w:val="94"/>
          <w:sz w:val="16"/>
        </w:rPr>
        <w:t>e</w:t>
      </w:r>
      <w:r>
        <w:rPr>
          <w:color w:val="231F20"/>
          <w:spacing w:val="3"/>
          <w:w w:val="103"/>
          <w:sz w:val="16"/>
        </w:rPr>
        <w:t>i</w:t>
      </w:r>
      <w:r>
        <w:rPr>
          <w:color w:val="231F20"/>
          <w:w w:val="103"/>
          <w:sz w:val="16"/>
        </w:rPr>
        <w:t>n</w:t>
      </w:r>
      <w:r>
        <w:rPr>
          <w:color w:val="231F20"/>
          <w:w w:val="104"/>
          <w:sz w:val="16"/>
        </w:rPr>
        <w:t>g</w:t>
      </w:r>
      <w:r>
        <w:rPr>
          <w:color w:val="231F20"/>
          <w:spacing w:val="10"/>
          <w:sz w:val="16"/>
        </w:rPr>
        <w:t xml:space="preserve"> </w:t>
      </w:r>
      <w:r>
        <w:rPr>
          <w:color w:val="231F20"/>
          <w:spacing w:val="3"/>
          <w:w w:val="102"/>
          <w:sz w:val="16"/>
        </w:rPr>
        <w:t>t</w:t>
      </w:r>
      <w:r>
        <w:rPr>
          <w:color w:val="231F20"/>
          <w:w w:val="104"/>
          <w:sz w:val="16"/>
        </w:rPr>
        <w:t>h</w:t>
      </w:r>
      <w:r>
        <w:rPr>
          <w:color w:val="231F20"/>
          <w:w w:val="94"/>
          <w:sz w:val="16"/>
        </w:rPr>
        <w:t>e</w:t>
      </w:r>
      <w:r>
        <w:rPr>
          <w:color w:val="231F20"/>
          <w:spacing w:val="10"/>
          <w:sz w:val="16"/>
        </w:rPr>
        <w:t xml:space="preserve"> </w:t>
      </w:r>
      <w:r>
        <w:rPr>
          <w:color w:val="231F20"/>
          <w:w w:val="108"/>
          <w:sz w:val="16"/>
        </w:rPr>
        <w:t>o</w:t>
      </w:r>
      <w:r>
        <w:rPr>
          <w:color w:val="231F20"/>
          <w:spacing w:val="3"/>
          <w:w w:val="103"/>
          <w:sz w:val="16"/>
        </w:rPr>
        <w:t>n</w:t>
      </w:r>
      <w:r>
        <w:rPr>
          <w:color w:val="231F20"/>
          <w:w w:val="104"/>
          <w:sz w:val="16"/>
        </w:rPr>
        <w:t>ly</w:t>
      </w:r>
      <w:r>
        <w:rPr>
          <w:color w:val="231F20"/>
          <w:spacing w:val="10"/>
          <w:sz w:val="16"/>
        </w:rPr>
        <w:t xml:space="preserve"> </w:t>
      </w:r>
      <w:r>
        <w:rPr>
          <w:color w:val="231F20"/>
          <w:spacing w:val="-6"/>
          <w:w w:val="119"/>
          <w:sz w:val="16"/>
        </w:rPr>
        <w:t>K</w:t>
      </w:r>
      <w:r>
        <w:rPr>
          <w:color w:val="231F20"/>
          <w:spacing w:val="3"/>
          <w:w w:val="104"/>
          <w:sz w:val="16"/>
        </w:rPr>
        <w:t>-</w:t>
      </w:r>
      <w:r>
        <w:rPr>
          <w:color w:val="231F20"/>
          <w:spacing w:val="5"/>
          <w:w w:val="104"/>
          <w:sz w:val="16"/>
        </w:rPr>
        <w:t>g</w:t>
      </w:r>
      <w:r>
        <w:rPr>
          <w:color w:val="231F20"/>
          <w:w w:val="97"/>
          <w:sz w:val="16"/>
        </w:rPr>
        <w:t>r</w:t>
      </w:r>
      <w:r>
        <w:rPr>
          <w:color w:val="231F20"/>
          <w:w w:val="108"/>
          <w:sz w:val="16"/>
        </w:rPr>
        <w:t>o</w:t>
      </w:r>
      <w:r>
        <w:rPr>
          <w:color w:val="231F20"/>
          <w:spacing w:val="-1"/>
          <w:w w:val="104"/>
          <w:sz w:val="16"/>
        </w:rPr>
        <w:t>u</w:t>
      </w:r>
      <w:r>
        <w:rPr>
          <w:color w:val="231F20"/>
          <w:w w:val="103"/>
          <w:sz w:val="16"/>
        </w:rPr>
        <w:t xml:space="preserve">p </w:t>
      </w:r>
      <w:r>
        <w:rPr>
          <w:color w:val="231F20"/>
          <w:w w:val="105"/>
          <w:sz w:val="16"/>
        </w:rPr>
        <w:t>to organize support of the hunger</w:t>
      </w:r>
      <w:r>
        <w:rPr>
          <w:color w:val="231F20"/>
          <w:spacing w:val="11"/>
          <w:w w:val="105"/>
          <w:sz w:val="16"/>
        </w:rPr>
        <w:t xml:space="preserve"> </w:t>
      </w:r>
      <w:r>
        <w:rPr>
          <w:color w:val="231F20"/>
          <w:w w:val="105"/>
          <w:sz w:val="16"/>
        </w:rPr>
        <w:t>strike.</w:t>
      </w:r>
    </w:p>
    <w:bookmarkEnd w:id="113"/>
    <w:p w14:paraId="184B1293" w14:textId="77777777" w:rsidR="002653E8" w:rsidRDefault="002653E8">
      <w:pPr>
        <w:spacing w:line="254" w:lineRule="auto"/>
        <w:rPr>
          <w:sz w:val="16"/>
        </w:rPr>
        <w:sectPr w:rsidR="002653E8">
          <w:pgSz w:w="8640" w:h="12960"/>
          <w:pgMar w:top="1060" w:right="0" w:bottom="1040" w:left="0" w:header="0" w:footer="850" w:gutter="0"/>
          <w:cols w:space="720"/>
        </w:sectPr>
      </w:pPr>
    </w:p>
    <w:p w14:paraId="1314501F" w14:textId="77777777" w:rsidR="002653E8" w:rsidRDefault="003115E3">
      <w:pPr>
        <w:pStyle w:val="a3"/>
        <w:spacing w:before="86" w:line="264" w:lineRule="auto"/>
        <w:ind w:left="1147" w:right="1479"/>
        <w:rPr>
          <w:sz w:val="11"/>
        </w:rPr>
      </w:pPr>
      <w:r>
        <w:rPr>
          <w:color w:val="231F20"/>
        </w:rPr>
        <w:lastRenderedPageBreak/>
        <w:t>ing with stones and bottles against the cops’ clubs and teargas. Thirtytwo people were arrested.</w:t>
      </w:r>
      <w:r>
        <w:rPr>
          <w:color w:val="231F20"/>
          <w:position w:val="7"/>
          <w:sz w:val="11"/>
        </w:rPr>
        <w:t>1</w:t>
      </w:r>
    </w:p>
    <w:p w14:paraId="0D526A04" w14:textId="77777777" w:rsidR="002653E8" w:rsidRDefault="003115E3">
      <w:pPr>
        <w:pStyle w:val="a3"/>
        <w:spacing w:line="264" w:lineRule="auto"/>
        <w:ind w:left="1147" w:right="1325" w:firstLine="210"/>
        <w:jc w:val="both"/>
      </w:pPr>
      <w:r>
        <w:rPr>
          <w:color w:val="231F20"/>
        </w:rPr>
        <w:t>As giant pictures of an emaciated Meins were carried through the cities of the FRG, more than one observer was reminded of the victims of the concentration camps.</w:t>
      </w:r>
      <w:r>
        <w:rPr>
          <w:color w:val="231F20"/>
          <w:position w:val="7"/>
          <w:sz w:val="11"/>
        </w:rPr>
        <w:t xml:space="preserve">2 </w:t>
      </w:r>
      <w:r>
        <w:rPr>
          <w:color w:val="231F20"/>
        </w:rPr>
        <w:t>To some on the radical left, this was yet more evidence of the “fascist drift,” of the real and not rhetorical “extermination” that more and more people saw the prisoners facing.</w:t>
      </w:r>
    </w:p>
    <w:p w14:paraId="2DB9CA23" w14:textId="70AEC050" w:rsidR="002653E8" w:rsidRDefault="003115E3">
      <w:pPr>
        <w:pStyle w:val="a3"/>
        <w:spacing w:line="264" w:lineRule="auto"/>
        <w:ind w:left="1147" w:right="1325" w:firstLine="210"/>
        <w:jc w:val="both"/>
      </w:pPr>
      <w:r>
        <w:rPr>
          <w:color w:val="231F20"/>
        </w:rPr>
        <w:t xml:space="preserve">On November </w:t>
      </w:r>
      <w:r>
        <w:rPr>
          <w:color w:val="231F20"/>
          <w:spacing w:val="-6"/>
        </w:rPr>
        <w:t xml:space="preserve">13, </w:t>
      </w:r>
      <w:r>
        <w:rPr>
          <w:color w:val="231F20"/>
        </w:rPr>
        <w:t xml:space="preserve">there was an historic meeting at Frankfurt University, where several thousand people gathered in solidarity with the hunger strike. A leaflet supporting  the  </w:t>
      </w:r>
      <w:r w:rsidR="00C507A5">
        <w:rPr>
          <w:color w:val="231F20"/>
          <w:spacing w:val="5"/>
        </w:rPr>
        <w:t>red army faction</w:t>
      </w:r>
      <w:r>
        <w:rPr>
          <w:color w:val="231F20"/>
          <w:spacing w:val="5"/>
        </w:rPr>
        <w:t xml:space="preserve">  </w:t>
      </w:r>
      <w:r>
        <w:rPr>
          <w:color w:val="231F20"/>
        </w:rPr>
        <w:t xml:space="preserve">was  distributed, signed by a number of </w:t>
      </w:r>
      <w:r>
        <w:rPr>
          <w:i/>
          <w:color w:val="231F20"/>
        </w:rPr>
        <w:t xml:space="preserve">sponti </w:t>
      </w:r>
      <w:r>
        <w:rPr>
          <w:color w:val="231F20"/>
        </w:rPr>
        <w:t>organizations—</w:t>
      </w:r>
      <w:r>
        <w:rPr>
          <w:i/>
          <w:color w:val="231F20"/>
        </w:rPr>
        <w:t xml:space="preserve">Revolutionärer Kampf </w:t>
      </w:r>
      <w:r>
        <w:rPr>
          <w:color w:val="231F20"/>
        </w:rPr>
        <w:t xml:space="preserve">(Revolutionary Struggle), the </w:t>
      </w:r>
      <w:r>
        <w:rPr>
          <w:i/>
          <w:color w:val="231F20"/>
        </w:rPr>
        <w:t xml:space="preserve">Häuserrat </w:t>
      </w:r>
      <w:r>
        <w:rPr>
          <w:color w:val="231F20"/>
        </w:rPr>
        <w:t xml:space="preserve">(Housing Coucil), and the </w:t>
      </w:r>
      <w:r>
        <w:rPr>
          <w:i/>
          <w:color w:val="231F20"/>
        </w:rPr>
        <w:t xml:space="preserve">Sozialistische Hochschulinitiative </w:t>
      </w:r>
      <w:r>
        <w:rPr>
          <w:color w:val="231F20"/>
        </w:rPr>
        <w:t xml:space="preserve">(Socialist Student Initiative)—as well as Red Aid and the Committees Against Torture, expressing unambiguous solidarity not only with the </w:t>
      </w:r>
      <w:r w:rsidR="00C507A5">
        <w:rPr>
          <w:color w:val="231F20"/>
        </w:rPr>
        <w:t>red army faction</w:t>
      </w:r>
      <w:r>
        <w:rPr>
          <w:color w:val="231F20"/>
        </w:rPr>
        <w:t>, but also with the killing of Drenkmann:</w:t>
      </w:r>
    </w:p>
    <w:p w14:paraId="4B8C5A69" w14:textId="77777777" w:rsidR="002653E8" w:rsidRDefault="003115E3">
      <w:pPr>
        <w:spacing w:before="112" w:line="276" w:lineRule="auto"/>
        <w:ind w:left="1567" w:right="1739"/>
        <w:jc w:val="both"/>
        <w:rPr>
          <w:i/>
          <w:sz w:val="19"/>
        </w:rPr>
      </w:pPr>
      <w:r>
        <w:rPr>
          <w:i/>
          <w:color w:val="231F20"/>
          <w:w w:val="105"/>
          <w:sz w:val="19"/>
        </w:rPr>
        <w:t>The Red Army Faction was a political group committed to struggling against oppression and exploitation, guns in hand. At a time when millions of people in Vietnam, South America and South Africa struggle against large landowners, factory owners, and their armies, they decided to call to account the ruling class in the FRG and to integrate themselves into this struggle against imperialism…</w:t>
      </w:r>
    </w:p>
    <w:p w14:paraId="627542BD" w14:textId="77777777" w:rsidR="002653E8" w:rsidRDefault="003115E3">
      <w:pPr>
        <w:spacing w:before="39" w:line="276" w:lineRule="auto"/>
        <w:ind w:left="1568" w:right="1739" w:hanging="1"/>
        <w:jc w:val="both"/>
        <w:rPr>
          <w:i/>
          <w:sz w:val="11"/>
        </w:rPr>
      </w:pPr>
      <w:r>
        <w:rPr>
          <w:i/>
          <w:color w:val="231F20"/>
          <w:w w:val="105"/>
          <w:sz w:val="19"/>
        </w:rPr>
        <w:t xml:space="preserve">A successor organization to the </w:t>
      </w:r>
      <w:r w:rsidR="00C507A5">
        <w:rPr>
          <w:i/>
          <w:color w:val="231F20"/>
          <w:w w:val="105"/>
          <w:sz w:val="19"/>
        </w:rPr>
        <w:t>red army faction</w:t>
      </w:r>
      <w:r>
        <w:rPr>
          <w:i/>
          <w:color w:val="231F20"/>
          <w:w w:val="105"/>
          <w:sz w:val="19"/>
        </w:rPr>
        <w:t xml:space="preserve"> understood the death of Holger Meins as a signal. They took control of their sorrow and their hatred and shot the President of the Berlin Supreme Court, Drenkmann. No threat of torture and imprisonment could deter them.</w:t>
      </w:r>
      <w:r>
        <w:rPr>
          <w:i/>
          <w:color w:val="231F20"/>
          <w:w w:val="105"/>
          <w:position w:val="6"/>
          <w:sz w:val="11"/>
        </w:rPr>
        <w:t>3</w:t>
      </w:r>
    </w:p>
    <w:p w14:paraId="478E2945" w14:textId="77777777" w:rsidR="002653E8" w:rsidRDefault="002653E8">
      <w:pPr>
        <w:pStyle w:val="a3"/>
        <w:rPr>
          <w:i/>
        </w:rPr>
      </w:pPr>
    </w:p>
    <w:p w14:paraId="33D22963" w14:textId="77777777" w:rsidR="002653E8" w:rsidRDefault="00000000">
      <w:pPr>
        <w:pStyle w:val="a3"/>
        <w:spacing w:before="3"/>
        <w:rPr>
          <w:i/>
          <w:sz w:val="24"/>
        </w:rPr>
      </w:pPr>
      <w:r>
        <w:rPr>
          <w:noProof w:val="0"/>
        </w:rPr>
        <w:pict w14:anchorId="72CB4C32">
          <v:line id="_x0000_s2380" style="position:absolute;z-index:6736;mso-wrap-distance-left:0;mso-wrap-distance-right:0;mso-position-horizontal-relative:page" from="57.4pt,16.45pt" to="129.4pt,16.45pt" strokecolor="#231f20" strokeweight=".5pt">
            <w10:wrap type="topAndBottom" anchorx="page"/>
          </v:line>
        </w:pict>
      </w:r>
    </w:p>
    <w:p w14:paraId="208A9555" w14:textId="77777777" w:rsidR="002653E8" w:rsidRPr="00C507A5" w:rsidRDefault="003115E3">
      <w:pPr>
        <w:pStyle w:val="a4"/>
        <w:numPr>
          <w:ilvl w:val="0"/>
          <w:numId w:val="111"/>
        </w:numPr>
        <w:tabs>
          <w:tab w:val="left" w:pos="1287"/>
        </w:tabs>
        <w:spacing w:before="53" w:line="254" w:lineRule="auto"/>
        <w:ind w:right="1865" w:firstLine="0"/>
        <w:jc w:val="left"/>
        <w:rPr>
          <w:sz w:val="16"/>
          <w:lang w:val="de-DE"/>
        </w:rPr>
      </w:pPr>
      <w:bookmarkStart w:id="114" w:name="_Hlk110901693"/>
      <w:r w:rsidRPr="00C507A5">
        <w:rPr>
          <w:color w:val="231F20"/>
          <w:w w:val="105"/>
          <w:sz w:val="16"/>
          <w:lang w:val="de-DE"/>
        </w:rPr>
        <w:t xml:space="preserve">Ibid.; </w:t>
      </w:r>
      <w:r w:rsidRPr="00C507A5">
        <w:rPr>
          <w:i/>
          <w:color w:val="231F20"/>
          <w:spacing w:val="1"/>
          <w:w w:val="105"/>
          <w:sz w:val="16"/>
          <w:lang w:val="de-DE"/>
        </w:rPr>
        <w:t xml:space="preserve">Frankfurter Allgemeine Zeitung, </w:t>
      </w:r>
      <w:r w:rsidRPr="00C507A5">
        <w:rPr>
          <w:color w:val="231F20"/>
          <w:w w:val="105"/>
          <w:sz w:val="16"/>
          <w:lang w:val="de-DE"/>
        </w:rPr>
        <w:t xml:space="preserve">“Zweihundert Studenten der Freien Universität im Hungerstriek Demonstrationen und Krawalle in Berlin,” November </w:t>
      </w:r>
      <w:r w:rsidRPr="00C507A5">
        <w:rPr>
          <w:color w:val="231F20"/>
          <w:spacing w:val="-4"/>
          <w:w w:val="105"/>
          <w:sz w:val="16"/>
          <w:lang w:val="de-DE"/>
        </w:rPr>
        <w:t>13,</w:t>
      </w:r>
      <w:r w:rsidRPr="00C507A5">
        <w:rPr>
          <w:color w:val="231F20"/>
          <w:spacing w:val="16"/>
          <w:w w:val="105"/>
          <w:sz w:val="16"/>
          <w:lang w:val="de-DE"/>
        </w:rPr>
        <w:t xml:space="preserve"> </w:t>
      </w:r>
      <w:r w:rsidRPr="00C507A5">
        <w:rPr>
          <w:color w:val="231F20"/>
          <w:spacing w:val="-4"/>
          <w:w w:val="105"/>
          <w:sz w:val="16"/>
          <w:lang w:val="de-DE"/>
        </w:rPr>
        <w:t>1974.</w:t>
      </w:r>
    </w:p>
    <w:bookmarkEnd w:id="114"/>
    <w:p w14:paraId="7F8F9399" w14:textId="77777777" w:rsidR="002653E8" w:rsidRDefault="003115E3">
      <w:pPr>
        <w:pStyle w:val="a4"/>
        <w:numPr>
          <w:ilvl w:val="0"/>
          <w:numId w:val="111"/>
        </w:numPr>
        <w:tabs>
          <w:tab w:val="left" w:pos="1287"/>
        </w:tabs>
        <w:spacing w:line="254" w:lineRule="auto"/>
        <w:ind w:right="1624" w:firstLine="0"/>
        <w:jc w:val="left"/>
        <w:rPr>
          <w:sz w:val="16"/>
        </w:rPr>
      </w:pPr>
      <w:r>
        <w:rPr>
          <w:color w:val="231F20"/>
          <w:w w:val="105"/>
          <w:sz w:val="16"/>
        </w:rPr>
        <w:t xml:space="preserve">Salvator Scalzo, Steffi de Jong, and Joost van den Akker, </w:t>
      </w:r>
      <w:r>
        <w:rPr>
          <w:i/>
          <w:color w:val="231F20"/>
          <w:w w:val="105"/>
          <w:sz w:val="16"/>
        </w:rPr>
        <w:t xml:space="preserve">Terror, Myth </w:t>
      </w:r>
      <w:r>
        <w:rPr>
          <w:i/>
          <w:color w:val="231F20"/>
          <w:spacing w:val="1"/>
          <w:w w:val="105"/>
          <w:sz w:val="16"/>
        </w:rPr>
        <w:t xml:space="preserve">and </w:t>
      </w:r>
      <w:r>
        <w:rPr>
          <w:i/>
          <w:color w:val="231F20"/>
          <w:w w:val="105"/>
          <w:sz w:val="16"/>
        </w:rPr>
        <w:t xml:space="preserve">Victims: The Historical Interpretation of the Brigate Rosse </w:t>
      </w:r>
      <w:r>
        <w:rPr>
          <w:i/>
          <w:color w:val="231F20"/>
          <w:spacing w:val="1"/>
          <w:w w:val="105"/>
          <w:sz w:val="16"/>
        </w:rPr>
        <w:t xml:space="preserve">and </w:t>
      </w:r>
      <w:r>
        <w:rPr>
          <w:i/>
          <w:color w:val="231F20"/>
          <w:w w:val="105"/>
          <w:sz w:val="16"/>
        </w:rPr>
        <w:t xml:space="preserve">the Rote </w:t>
      </w:r>
      <w:r>
        <w:rPr>
          <w:i/>
          <w:color w:val="231F20"/>
          <w:spacing w:val="1"/>
          <w:w w:val="105"/>
          <w:sz w:val="16"/>
        </w:rPr>
        <w:t xml:space="preserve">Armee </w:t>
      </w:r>
      <w:r>
        <w:rPr>
          <w:i/>
          <w:color w:val="231F20"/>
          <w:w w:val="105"/>
          <w:sz w:val="16"/>
        </w:rPr>
        <w:t xml:space="preserve">Fraktion, </w:t>
      </w:r>
      <w:r>
        <w:rPr>
          <w:color w:val="231F20"/>
          <w:w w:val="105"/>
          <w:sz w:val="16"/>
        </w:rPr>
        <w:t xml:space="preserve">October 26, 2007, </w:t>
      </w:r>
      <w:r>
        <w:rPr>
          <w:color w:val="231F20"/>
          <w:spacing w:val="-3"/>
          <w:w w:val="105"/>
          <w:sz w:val="16"/>
        </w:rPr>
        <w:t>18.</w:t>
      </w:r>
    </w:p>
    <w:p w14:paraId="421E5DDA" w14:textId="77777777" w:rsidR="002653E8" w:rsidRDefault="003115E3">
      <w:pPr>
        <w:pStyle w:val="a4"/>
        <w:numPr>
          <w:ilvl w:val="0"/>
          <w:numId w:val="111"/>
        </w:numPr>
        <w:tabs>
          <w:tab w:val="left" w:pos="1287"/>
        </w:tabs>
        <w:spacing w:line="254" w:lineRule="auto"/>
        <w:ind w:right="1549" w:firstLine="0"/>
        <w:jc w:val="left"/>
        <w:rPr>
          <w:sz w:val="16"/>
        </w:rPr>
      </w:pPr>
      <w:r w:rsidRPr="00C507A5">
        <w:rPr>
          <w:color w:val="231F20"/>
          <w:w w:val="105"/>
          <w:sz w:val="16"/>
          <w:lang w:val="de-DE"/>
        </w:rPr>
        <w:t xml:space="preserve">Jürgen Busch, “Viele Gruppen—viele führende Leute” </w:t>
      </w:r>
      <w:r w:rsidRPr="00C507A5">
        <w:rPr>
          <w:i/>
          <w:color w:val="231F20"/>
          <w:spacing w:val="1"/>
          <w:w w:val="105"/>
          <w:sz w:val="16"/>
          <w:lang w:val="de-DE"/>
        </w:rPr>
        <w:t xml:space="preserve">Frankfurter Allgemeine Zeitung, </w:t>
      </w:r>
      <w:r w:rsidRPr="00C507A5">
        <w:rPr>
          <w:color w:val="231F20"/>
          <w:w w:val="105"/>
          <w:sz w:val="16"/>
          <w:lang w:val="de-DE"/>
        </w:rPr>
        <w:t xml:space="preserve">November 14, </w:t>
      </w:r>
      <w:r w:rsidRPr="00C507A5">
        <w:rPr>
          <w:color w:val="231F20"/>
          <w:spacing w:val="-4"/>
          <w:w w:val="105"/>
          <w:sz w:val="16"/>
          <w:lang w:val="de-DE"/>
        </w:rPr>
        <w:t xml:space="preserve">1974. </w:t>
      </w:r>
      <w:r>
        <w:rPr>
          <w:color w:val="231F20"/>
          <w:w w:val="105"/>
          <w:sz w:val="16"/>
        </w:rPr>
        <w:t xml:space="preserve">One can see from this declaration how it  was assumed by not only journalists, but also by the revolutionary left, that the </w:t>
      </w:r>
      <w:r w:rsidR="00C507A5">
        <w:rPr>
          <w:color w:val="231F20"/>
          <w:spacing w:val="5"/>
          <w:w w:val="105"/>
          <w:sz w:val="16"/>
        </w:rPr>
        <w:t>red army faction</w:t>
      </w:r>
      <w:r>
        <w:rPr>
          <w:color w:val="231F20"/>
          <w:spacing w:val="5"/>
          <w:w w:val="105"/>
          <w:sz w:val="16"/>
        </w:rPr>
        <w:t xml:space="preserve"> </w:t>
      </w:r>
      <w:r>
        <w:rPr>
          <w:color w:val="231F20"/>
          <w:w w:val="105"/>
          <w:sz w:val="16"/>
        </w:rPr>
        <w:t>had been finished off by the arrests in 72. Even those “in the know” were unclear about</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relationship</w:t>
      </w:r>
      <w:r>
        <w:rPr>
          <w:color w:val="231F20"/>
          <w:spacing w:val="8"/>
          <w:w w:val="105"/>
          <w:sz w:val="16"/>
        </w:rPr>
        <w:t xml:space="preserve"> </w:t>
      </w:r>
      <w:r>
        <w:rPr>
          <w:color w:val="231F20"/>
          <w:w w:val="105"/>
          <w:sz w:val="16"/>
        </w:rPr>
        <w:t>between</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2nd</w:t>
      </w:r>
      <w:r>
        <w:rPr>
          <w:color w:val="231F20"/>
          <w:spacing w:val="8"/>
          <w:w w:val="105"/>
          <w:sz w:val="16"/>
        </w:rPr>
        <w:t xml:space="preserve"> </w:t>
      </w:r>
      <w:r>
        <w:rPr>
          <w:color w:val="231F20"/>
          <w:w w:val="105"/>
          <w:sz w:val="16"/>
        </w:rPr>
        <w:t>of</w:t>
      </w:r>
      <w:r>
        <w:rPr>
          <w:color w:val="231F20"/>
          <w:spacing w:val="8"/>
          <w:w w:val="105"/>
          <w:sz w:val="16"/>
        </w:rPr>
        <w:t xml:space="preserve"> </w:t>
      </w:r>
      <w:r>
        <w:rPr>
          <w:color w:val="231F20"/>
          <w:w w:val="105"/>
          <w:sz w:val="16"/>
        </w:rPr>
        <w:t>June</w:t>
      </w:r>
      <w:r>
        <w:rPr>
          <w:color w:val="231F20"/>
          <w:spacing w:val="8"/>
          <w:w w:val="105"/>
          <w:sz w:val="16"/>
        </w:rPr>
        <w:t xml:space="preserve"> </w:t>
      </w:r>
      <w:r>
        <w:rPr>
          <w:color w:val="231F20"/>
          <w:w w:val="105"/>
          <w:sz w:val="16"/>
        </w:rPr>
        <w:t>Movement</w:t>
      </w:r>
      <w:r>
        <w:rPr>
          <w:color w:val="231F20"/>
          <w:spacing w:val="8"/>
          <w:w w:val="105"/>
          <w:sz w:val="16"/>
        </w:rPr>
        <w:t xml:space="preserve"> </w:t>
      </w:r>
      <w:r>
        <w:rPr>
          <w:color w:val="231F20"/>
          <w:w w:val="105"/>
          <w:sz w:val="16"/>
        </w:rPr>
        <w:t>and</w:t>
      </w:r>
      <w:r>
        <w:rPr>
          <w:color w:val="231F20"/>
          <w:spacing w:val="8"/>
          <w:w w:val="105"/>
          <w:sz w:val="16"/>
        </w:rPr>
        <w:t xml:space="preserve"> </w:t>
      </w:r>
      <w:r>
        <w:rPr>
          <w:color w:val="231F20"/>
          <w:w w:val="105"/>
          <w:sz w:val="16"/>
        </w:rPr>
        <w:t>the</w:t>
      </w:r>
      <w:r>
        <w:rPr>
          <w:color w:val="231F20"/>
          <w:spacing w:val="10"/>
          <w:w w:val="105"/>
          <w:sz w:val="16"/>
        </w:rPr>
        <w:t xml:space="preserve"> </w:t>
      </w:r>
      <w:r w:rsidR="00C507A5">
        <w:rPr>
          <w:color w:val="231F20"/>
          <w:spacing w:val="3"/>
          <w:w w:val="105"/>
          <w:sz w:val="16"/>
        </w:rPr>
        <w:t>red army faction</w:t>
      </w:r>
      <w:r>
        <w:rPr>
          <w:color w:val="231F20"/>
          <w:spacing w:val="8"/>
          <w:w w:val="105"/>
          <w:sz w:val="16"/>
        </w:rPr>
        <w:t xml:space="preserve"> </w:t>
      </w:r>
      <w:r>
        <w:rPr>
          <w:color w:val="231F20"/>
          <w:w w:val="105"/>
          <w:sz w:val="16"/>
        </w:rPr>
        <w:t>itself.</w:t>
      </w:r>
    </w:p>
    <w:p w14:paraId="2203450C" w14:textId="77777777" w:rsidR="002653E8" w:rsidRDefault="002653E8">
      <w:pPr>
        <w:spacing w:line="254" w:lineRule="auto"/>
        <w:rPr>
          <w:sz w:val="16"/>
        </w:rPr>
        <w:sectPr w:rsidR="002653E8">
          <w:pgSz w:w="8640" w:h="12960"/>
          <w:pgMar w:top="1060" w:right="0" w:bottom="1040" w:left="0" w:header="0" w:footer="850" w:gutter="0"/>
          <w:cols w:space="720"/>
        </w:sectPr>
      </w:pPr>
    </w:p>
    <w:p w14:paraId="727C9075" w14:textId="77777777" w:rsidR="002653E8" w:rsidRDefault="003115E3">
      <w:pPr>
        <w:pStyle w:val="a3"/>
        <w:spacing w:before="86" w:line="264" w:lineRule="auto"/>
        <w:ind w:left="1327" w:right="1146"/>
        <w:jc w:val="both"/>
      </w:pPr>
      <w:r>
        <w:rPr>
          <w:color w:val="231F20"/>
        </w:rPr>
        <w:lastRenderedPageBreak/>
        <w:t xml:space="preserve">Daniel Cohn-Bendit, who had yet to leave his street fighting days behind him and was at the time one of the leading members of the </w:t>
      </w:r>
      <w:r>
        <w:rPr>
          <w:i/>
          <w:color w:val="231F20"/>
        </w:rPr>
        <w:t xml:space="preserve">sponti </w:t>
      </w:r>
      <w:r>
        <w:rPr>
          <w:color w:val="231F20"/>
        </w:rPr>
        <w:t>organization Revolutionary Struggle, had this to say about the Drenkmann killing:</w:t>
      </w:r>
    </w:p>
    <w:p w14:paraId="2FBED410" w14:textId="77777777" w:rsidR="002653E8" w:rsidRDefault="003115E3">
      <w:pPr>
        <w:spacing w:before="125" w:line="276" w:lineRule="auto"/>
        <w:ind w:left="1747" w:right="1565"/>
        <w:jc w:val="both"/>
        <w:rPr>
          <w:i/>
          <w:sz w:val="19"/>
        </w:rPr>
      </w:pPr>
      <w:r>
        <w:rPr>
          <w:i/>
          <w:color w:val="231F20"/>
          <w:sz w:val="19"/>
        </w:rPr>
        <w:t xml:space="preserve">Whether it was tactically correct is open to discussion. In any  event, we’ll discuss it. </w:t>
      </w:r>
      <w:r>
        <w:rPr>
          <w:i/>
          <w:color w:val="231F20"/>
          <w:spacing w:val="-3"/>
          <w:sz w:val="19"/>
        </w:rPr>
        <w:t xml:space="preserve">We’ll </w:t>
      </w:r>
      <w:r>
        <w:rPr>
          <w:i/>
          <w:color w:val="231F20"/>
          <w:sz w:val="19"/>
        </w:rPr>
        <w:t xml:space="preserve">make our newspapers and magazines available to the Berlin comrades if they want to use them to  explain the reasoning behind their actions. </w:t>
      </w:r>
      <w:r>
        <w:rPr>
          <w:i/>
          <w:color w:val="231F20"/>
          <w:spacing w:val="-6"/>
          <w:sz w:val="19"/>
        </w:rPr>
        <w:t xml:space="preserve">We </w:t>
      </w:r>
      <w:r>
        <w:rPr>
          <w:i/>
          <w:color w:val="231F20"/>
          <w:sz w:val="19"/>
        </w:rPr>
        <w:t>will not distance ourselves from</w:t>
      </w:r>
      <w:r>
        <w:rPr>
          <w:i/>
          <w:color w:val="231F20"/>
          <w:spacing w:val="20"/>
          <w:sz w:val="19"/>
        </w:rPr>
        <w:t xml:space="preserve"> </w:t>
      </w:r>
      <w:r>
        <w:rPr>
          <w:i/>
          <w:color w:val="231F20"/>
          <w:sz w:val="19"/>
        </w:rPr>
        <w:t>them.</w:t>
      </w:r>
    </w:p>
    <w:p w14:paraId="46DA3185" w14:textId="77777777" w:rsidR="002653E8" w:rsidRDefault="003115E3">
      <w:pPr>
        <w:pStyle w:val="a3"/>
        <w:spacing w:before="131" w:line="264" w:lineRule="auto"/>
        <w:ind w:left="1327" w:right="1145"/>
        <w:jc w:val="both"/>
        <w:rPr>
          <w:sz w:val="11"/>
        </w:rPr>
      </w:pPr>
      <w:r>
        <w:rPr>
          <w:color w:val="231F20"/>
        </w:rPr>
        <w:t>“Danny</w:t>
      </w:r>
      <w:r>
        <w:rPr>
          <w:color w:val="231F20"/>
          <w:spacing w:val="-4"/>
        </w:rPr>
        <w:t xml:space="preserve"> </w:t>
      </w:r>
      <w:r>
        <w:rPr>
          <w:color w:val="231F20"/>
        </w:rPr>
        <w:t>the</w:t>
      </w:r>
      <w:r>
        <w:rPr>
          <w:color w:val="231F20"/>
          <w:spacing w:val="-4"/>
        </w:rPr>
        <w:t xml:space="preserve"> </w:t>
      </w:r>
      <w:r>
        <w:rPr>
          <w:color w:val="231F20"/>
        </w:rPr>
        <w:t>Red”</w:t>
      </w:r>
      <w:r>
        <w:rPr>
          <w:color w:val="231F20"/>
          <w:spacing w:val="-4"/>
        </w:rPr>
        <w:t xml:space="preserve"> </w:t>
      </w:r>
      <w:r>
        <w:rPr>
          <w:color w:val="231F20"/>
        </w:rPr>
        <w:t>went</w:t>
      </w:r>
      <w:r>
        <w:rPr>
          <w:color w:val="231F20"/>
          <w:spacing w:val="-4"/>
        </w:rPr>
        <w:t xml:space="preserve"> </w:t>
      </w:r>
      <w:r>
        <w:rPr>
          <w:color w:val="231F20"/>
        </w:rPr>
        <w:t>on</w:t>
      </w:r>
      <w:r>
        <w:rPr>
          <w:color w:val="231F20"/>
          <w:spacing w:val="-4"/>
        </w:rPr>
        <w:t xml:space="preserve"> </w:t>
      </w:r>
      <w:r>
        <w:rPr>
          <w:color w:val="231F20"/>
        </w:rPr>
        <w:t>to</w:t>
      </w:r>
      <w:r>
        <w:rPr>
          <w:color w:val="231F20"/>
          <w:spacing w:val="-4"/>
        </w:rPr>
        <w:t xml:space="preserve"> </w:t>
      </w:r>
      <w:r>
        <w:rPr>
          <w:color w:val="231F20"/>
        </w:rPr>
        <w:t>argue</w:t>
      </w:r>
      <w:r>
        <w:rPr>
          <w:color w:val="231F20"/>
          <w:spacing w:val="-4"/>
        </w:rPr>
        <w:t xml:space="preserve"> </w:t>
      </w:r>
      <w:r>
        <w:rPr>
          <w:color w:val="231F20"/>
        </w:rPr>
        <w:t>that</w:t>
      </w:r>
      <w:r>
        <w:rPr>
          <w:color w:val="231F20"/>
          <w:spacing w:val="-4"/>
        </w:rPr>
        <w:t xml:space="preserve"> </w:t>
      </w:r>
      <w:r>
        <w:rPr>
          <w:color w:val="231F20"/>
        </w:rPr>
        <w:t>the</w:t>
      </w:r>
      <w:r>
        <w:rPr>
          <w:color w:val="231F20"/>
          <w:spacing w:val="-4"/>
        </w:rPr>
        <w:t xml:space="preserve"> </w:t>
      </w:r>
      <w:r>
        <w:rPr>
          <w:color w:val="231F20"/>
        </w:rPr>
        <w:t>shooting</w:t>
      </w:r>
      <w:r>
        <w:rPr>
          <w:color w:val="231F20"/>
          <w:spacing w:val="-4"/>
        </w:rPr>
        <w:t xml:space="preserve"> </w:t>
      </w:r>
      <w:r>
        <w:rPr>
          <w:color w:val="231F20"/>
        </w:rPr>
        <w:t>had</w:t>
      </w:r>
      <w:r>
        <w:rPr>
          <w:color w:val="231F20"/>
          <w:spacing w:val="-4"/>
        </w:rPr>
        <w:t xml:space="preserve"> </w:t>
      </w:r>
      <w:r>
        <w:rPr>
          <w:color w:val="231F20"/>
        </w:rPr>
        <w:t>not</w:t>
      </w:r>
      <w:r>
        <w:rPr>
          <w:color w:val="231F20"/>
          <w:spacing w:val="-4"/>
        </w:rPr>
        <w:t xml:space="preserve"> </w:t>
      </w:r>
      <w:r>
        <w:rPr>
          <w:color w:val="231F20"/>
        </w:rPr>
        <w:t>split</w:t>
      </w:r>
      <w:r>
        <w:rPr>
          <w:color w:val="231F20"/>
          <w:spacing w:val="-4"/>
        </w:rPr>
        <w:t xml:space="preserve"> </w:t>
      </w:r>
      <w:r>
        <w:rPr>
          <w:color w:val="231F20"/>
        </w:rPr>
        <w:t>the</w:t>
      </w:r>
      <w:r>
        <w:rPr>
          <w:color w:val="231F20"/>
          <w:spacing w:val="-4"/>
        </w:rPr>
        <w:t xml:space="preserve"> </w:t>
      </w:r>
      <w:r>
        <w:rPr>
          <w:color w:val="231F20"/>
        </w:rPr>
        <w:t>left, but</w:t>
      </w:r>
      <w:r>
        <w:rPr>
          <w:color w:val="231F20"/>
          <w:spacing w:val="-4"/>
        </w:rPr>
        <w:t xml:space="preserve"> </w:t>
      </w:r>
      <w:r>
        <w:rPr>
          <w:color w:val="231F20"/>
        </w:rPr>
        <w:t>that</w:t>
      </w:r>
      <w:r>
        <w:rPr>
          <w:color w:val="231F20"/>
          <w:spacing w:val="-4"/>
        </w:rPr>
        <w:t xml:space="preserve"> </w:t>
      </w:r>
      <w:r>
        <w:rPr>
          <w:color w:val="231F20"/>
        </w:rPr>
        <w:t>it</w:t>
      </w:r>
      <w:r>
        <w:rPr>
          <w:color w:val="231F20"/>
          <w:spacing w:val="-4"/>
        </w:rPr>
        <w:t xml:space="preserve"> </w:t>
      </w:r>
      <w:r>
        <w:rPr>
          <w:color w:val="231F20"/>
        </w:rPr>
        <w:t>put</w:t>
      </w:r>
      <w:r>
        <w:rPr>
          <w:color w:val="231F20"/>
          <w:spacing w:val="-4"/>
        </w:rPr>
        <w:t xml:space="preserve"> </w:t>
      </w:r>
      <w:r>
        <w:rPr>
          <w:color w:val="231F20"/>
        </w:rPr>
        <w:t>the</w:t>
      </w:r>
      <w:r>
        <w:rPr>
          <w:color w:val="231F20"/>
          <w:spacing w:val="-4"/>
        </w:rPr>
        <w:t xml:space="preserve"> </w:t>
      </w:r>
      <w:r>
        <w:rPr>
          <w:color w:val="231F20"/>
        </w:rPr>
        <w:t>ruling</w:t>
      </w:r>
      <w:r>
        <w:rPr>
          <w:color w:val="231F20"/>
          <w:spacing w:val="-4"/>
        </w:rPr>
        <w:t xml:space="preserve"> </w:t>
      </w:r>
      <w:r>
        <w:rPr>
          <w:color w:val="231F20"/>
        </w:rPr>
        <w:t>class</w:t>
      </w:r>
      <w:r>
        <w:rPr>
          <w:color w:val="231F20"/>
          <w:spacing w:val="-4"/>
        </w:rPr>
        <w:t xml:space="preserve"> </w:t>
      </w:r>
      <w:r>
        <w:rPr>
          <w:color w:val="231F20"/>
        </w:rPr>
        <w:t>on</w:t>
      </w:r>
      <w:r>
        <w:rPr>
          <w:color w:val="231F20"/>
          <w:spacing w:val="-4"/>
        </w:rPr>
        <w:t xml:space="preserve"> </w:t>
      </w:r>
      <w:r>
        <w:rPr>
          <w:color w:val="231F20"/>
        </w:rPr>
        <w:t>notice</w:t>
      </w:r>
      <w:r>
        <w:rPr>
          <w:color w:val="231F20"/>
          <w:spacing w:val="-4"/>
        </w:rPr>
        <w:t xml:space="preserve"> </w:t>
      </w:r>
      <w:r>
        <w:rPr>
          <w:color w:val="231F20"/>
        </w:rPr>
        <w:t>that</w:t>
      </w:r>
      <w:r>
        <w:rPr>
          <w:color w:val="231F20"/>
          <w:spacing w:val="-4"/>
        </w:rPr>
        <w:t xml:space="preserve"> </w:t>
      </w:r>
      <w:r>
        <w:rPr>
          <w:color w:val="231F20"/>
        </w:rPr>
        <w:t>even</w:t>
      </w:r>
      <w:r>
        <w:rPr>
          <w:color w:val="231F20"/>
          <w:spacing w:val="-4"/>
        </w:rPr>
        <w:t xml:space="preserve"> </w:t>
      </w:r>
      <w:r>
        <w:rPr>
          <w:color w:val="231F20"/>
        </w:rPr>
        <w:t>in</w:t>
      </w:r>
      <w:r>
        <w:rPr>
          <w:color w:val="231F20"/>
          <w:spacing w:val="-4"/>
        </w:rPr>
        <w:t xml:space="preserve"> </w:t>
      </w:r>
      <w:r>
        <w:rPr>
          <w:color w:val="231F20"/>
        </w:rPr>
        <w:t>Germany</w:t>
      </w:r>
      <w:r>
        <w:rPr>
          <w:color w:val="231F20"/>
          <w:spacing w:val="-4"/>
        </w:rPr>
        <w:t xml:space="preserve"> </w:t>
      </w:r>
      <w:r>
        <w:rPr>
          <w:color w:val="231F20"/>
        </w:rPr>
        <w:t>there</w:t>
      </w:r>
      <w:r>
        <w:rPr>
          <w:color w:val="231F20"/>
          <w:spacing w:val="-4"/>
        </w:rPr>
        <w:t xml:space="preserve"> </w:t>
      </w:r>
      <w:r>
        <w:rPr>
          <w:color w:val="231F20"/>
        </w:rPr>
        <w:t>were groups prepared to take up arms.</w:t>
      </w:r>
      <w:r>
        <w:rPr>
          <w:color w:val="231F20"/>
          <w:position w:val="7"/>
          <w:sz w:val="11"/>
        </w:rPr>
        <w:t xml:space="preserve">4 </w:t>
      </w:r>
      <w:r>
        <w:rPr>
          <w:color w:val="231F20"/>
        </w:rPr>
        <w:t>(Heinrich Böll, on the other hand, accused Cohn-Bendit of speaking irresponsibly, stating for himself that, “I hold</w:t>
      </w:r>
      <w:r>
        <w:rPr>
          <w:color w:val="231F20"/>
          <w:spacing w:val="7"/>
        </w:rPr>
        <w:t xml:space="preserve"> </w:t>
      </w:r>
      <w:r>
        <w:rPr>
          <w:color w:val="231F20"/>
        </w:rPr>
        <w:t>the</w:t>
      </w:r>
      <w:r>
        <w:rPr>
          <w:color w:val="231F20"/>
          <w:spacing w:val="7"/>
        </w:rPr>
        <w:t xml:space="preserve"> </w:t>
      </w:r>
      <w:r>
        <w:rPr>
          <w:color w:val="231F20"/>
        </w:rPr>
        <w:t>basic</w:t>
      </w:r>
      <w:r>
        <w:rPr>
          <w:color w:val="231F20"/>
          <w:spacing w:val="7"/>
        </w:rPr>
        <w:t xml:space="preserve"> </w:t>
      </w:r>
      <w:r>
        <w:rPr>
          <w:color w:val="231F20"/>
        </w:rPr>
        <w:t>concept</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Red</w:t>
      </w:r>
      <w:r>
        <w:rPr>
          <w:color w:val="231F20"/>
          <w:spacing w:val="7"/>
        </w:rPr>
        <w:t xml:space="preserve"> </w:t>
      </w:r>
      <w:r>
        <w:rPr>
          <w:color w:val="231F20"/>
        </w:rPr>
        <w:t>Army</w:t>
      </w:r>
      <w:r>
        <w:rPr>
          <w:color w:val="231F20"/>
          <w:spacing w:val="7"/>
        </w:rPr>
        <w:t xml:space="preserve"> </w:t>
      </w:r>
      <w:r>
        <w:rPr>
          <w:color w:val="231F20"/>
        </w:rPr>
        <w:t>Faction</w:t>
      </w:r>
      <w:r>
        <w:rPr>
          <w:color w:val="231F20"/>
          <w:spacing w:val="7"/>
        </w:rPr>
        <w:t xml:space="preserve"> </w:t>
      </w:r>
      <w:r>
        <w:rPr>
          <w:color w:val="231F20"/>
        </w:rPr>
        <w:t>to</w:t>
      </w:r>
      <w:r>
        <w:rPr>
          <w:color w:val="231F20"/>
          <w:spacing w:val="7"/>
        </w:rPr>
        <w:t xml:space="preserve"> </w:t>
      </w:r>
      <w:r>
        <w:rPr>
          <w:color w:val="231F20"/>
        </w:rPr>
        <w:t>be</w:t>
      </w:r>
      <w:r>
        <w:rPr>
          <w:color w:val="231F20"/>
          <w:spacing w:val="7"/>
        </w:rPr>
        <w:t xml:space="preserve"> </w:t>
      </w:r>
      <w:r>
        <w:rPr>
          <w:color w:val="231F20"/>
        </w:rPr>
        <w:t>nonsense.”)</w:t>
      </w:r>
      <w:r>
        <w:rPr>
          <w:color w:val="231F20"/>
          <w:position w:val="7"/>
          <w:sz w:val="11"/>
        </w:rPr>
        <w:t>5</w:t>
      </w:r>
    </w:p>
    <w:p w14:paraId="3BAA8EA3" w14:textId="77777777" w:rsidR="002653E8" w:rsidRDefault="003115E3">
      <w:pPr>
        <w:pStyle w:val="a3"/>
        <w:spacing w:line="264" w:lineRule="auto"/>
        <w:ind w:left="1327" w:right="1145" w:firstLine="210"/>
        <w:jc w:val="both"/>
        <w:rPr>
          <w:sz w:val="11"/>
        </w:rPr>
      </w:pPr>
      <w:r>
        <w:rPr>
          <w:color w:val="231F20"/>
        </w:rPr>
        <w:t xml:space="preserve">While not many took as strong a position as those in Frankfurt, the rapid escalation also pushed liberal organizations to speak out.  The PEN Centre held a forum regarding the use of torture by police and prison officials, and </w:t>
      </w:r>
      <w:r>
        <w:rPr>
          <w:color w:val="231F20"/>
          <w:spacing w:val="1"/>
        </w:rPr>
        <w:t xml:space="preserve">Amnesty </w:t>
      </w:r>
      <w:r>
        <w:rPr>
          <w:color w:val="231F20"/>
        </w:rPr>
        <w:t xml:space="preserve">International demanded an inquiry into the circumstances surrounding Meins’ death, torture in  the  prisons  and the conditions in which the </w:t>
      </w:r>
      <w:r w:rsidR="00C507A5">
        <w:rPr>
          <w:color w:val="231F20"/>
          <w:spacing w:val="5"/>
        </w:rPr>
        <w:t>red army faction</w:t>
      </w:r>
      <w:r>
        <w:rPr>
          <w:color w:val="231F20"/>
          <w:spacing w:val="5"/>
        </w:rPr>
        <w:t xml:space="preserve">  </w:t>
      </w:r>
      <w:r>
        <w:rPr>
          <w:color w:val="231F20"/>
        </w:rPr>
        <w:t>prisoners  were  being  held.</w:t>
      </w:r>
      <w:r>
        <w:rPr>
          <w:color w:val="231F20"/>
          <w:position w:val="7"/>
          <w:sz w:val="11"/>
        </w:rPr>
        <w:t xml:space="preserve">6  </w:t>
      </w:r>
      <w:r>
        <w:rPr>
          <w:color w:val="231F20"/>
        </w:rPr>
        <w:t xml:space="preserve">At the same time, prominent writers, including </w:t>
      </w:r>
      <w:r>
        <w:rPr>
          <w:i/>
          <w:color w:val="231F20"/>
        </w:rPr>
        <w:t xml:space="preserve">Gruppe 47 </w:t>
      </w:r>
      <w:r>
        <w:rPr>
          <w:color w:val="231F20"/>
        </w:rPr>
        <w:t xml:space="preserve">authors Ernst Bloch, Erich Fried, and </w:t>
      </w:r>
      <w:r>
        <w:rPr>
          <w:color w:val="231F20"/>
          <w:spacing w:val="1"/>
        </w:rPr>
        <w:t xml:space="preserve">Martin </w:t>
      </w:r>
      <w:r>
        <w:rPr>
          <w:color w:val="231F20"/>
        </w:rPr>
        <w:t>Walser, signed a statement protesting prison</w:t>
      </w:r>
      <w:r>
        <w:rPr>
          <w:color w:val="231F20"/>
          <w:spacing w:val="10"/>
        </w:rPr>
        <w:t xml:space="preserve"> </w:t>
      </w:r>
      <w:r>
        <w:rPr>
          <w:color w:val="231F20"/>
        </w:rPr>
        <w:t>conditions.</w:t>
      </w:r>
      <w:r>
        <w:rPr>
          <w:color w:val="231F20"/>
          <w:position w:val="7"/>
          <w:sz w:val="11"/>
        </w:rPr>
        <w:t>7</w:t>
      </w:r>
    </w:p>
    <w:p w14:paraId="192EDC75" w14:textId="77777777" w:rsidR="002653E8" w:rsidRDefault="003115E3">
      <w:pPr>
        <w:pStyle w:val="a3"/>
        <w:spacing w:line="264" w:lineRule="auto"/>
        <w:ind w:left="1327" w:right="1146" w:firstLine="210"/>
        <w:jc w:val="both"/>
      </w:pPr>
      <w:r>
        <w:rPr>
          <w:color w:val="231F20"/>
        </w:rPr>
        <w:t xml:space="preserve">Five thousand people attended Meins’ funeral in Mannheim a week later, including Rudi Dutschke. The former </w:t>
      </w:r>
      <w:r>
        <w:rPr>
          <w:color w:val="231F20"/>
          <w:spacing w:val="1"/>
        </w:rPr>
        <w:t xml:space="preserve">APO </w:t>
      </w:r>
      <w:r>
        <w:rPr>
          <w:color w:val="231F20"/>
        </w:rPr>
        <w:t>leader, standing over the grave as Meins’ casket was lowered, famously gave the clenched fist salute,</w:t>
      </w:r>
      <w:r>
        <w:rPr>
          <w:color w:val="231F20"/>
          <w:spacing w:val="12"/>
        </w:rPr>
        <w:t xml:space="preserve"> </w:t>
      </w:r>
      <w:r>
        <w:rPr>
          <w:color w:val="231F20"/>
        </w:rPr>
        <w:t>crying,</w:t>
      </w:r>
      <w:r>
        <w:rPr>
          <w:color w:val="231F20"/>
          <w:spacing w:val="12"/>
        </w:rPr>
        <w:t xml:space="preserve"> </w:t>
      </w:r>
      <w:r>
        <w:rPr>
          <w:color w:val="231F20"/>
        </w:rPr>
        <w:t>“Holger,</w:t>
      </w:r>
      <w:r>
        <w:rPr>
          <w:color w:val="231F20"/>
          <w:spacing w:val="12"/>
        </w:rPr>
        <w:t xml:space="preserve"> </w:t>
      </w:r>
      <w:r>
        <w:rPr>
          <w:color w:val="231F20"/>
        </w:rPr>
        <w:t>the</w:t>
      </w:r>
      <w:r>
        <w:rPr>
          <w:color w:val="231F20"/>
          <w:spacing w:val="12"/>
        </w:rPr>
        <w:t xml:space="preserve"> </w:t>
      </w:r>
      <w:r>
        <w:rPr>
          <w:color w:val="231F20"/>
        </w:rPr>
        <w:t>fight</w:t>
      </w:r>
      <w:r>
        <w:rPr>
          <w:color w:val="231F20"/>
          <w:spacing w:val="12"/>
        </w:rPr>
        <w:t xml:space="preserve"> </w:t>
      </w:r>
      <w:r>
        <w:rPr>
          <w:color w:val="231F20"/>
        </w:rPr>
        <w:t>goes</w:t>
      </w:r>
      <w:r>
        <w:rPr>
          <w:color w:val="231F20"/>
          <w:spacing w:val="12"/>
        </w:rPr>
        <w:t xml:space="preserve"> </w:t>
      </w:r>
      <w:r>
        <w:rPr>
          <w:color w:val="231F20"/>
        </w:rPr>
        <w:t>on!”</w:t>
      </w:r>
    </w:p>
    <w:p w14:paraId="35CC34CB" w14:textId="77777777" w:rsidR="002653E8" w:rsidRDefault="00000000">
      <w:pPr>
        <w:pStyle w:val="a3"/>
        <w:spacing w:line="264" w:lineRule="auto"/>
        <w:ind w:left="1327" w:right="1145" w:firstLine="210"/>
        <w:jc w:val="both"/>
      </w:pPr>
      <w:r>
        <w:rPr>
          <w:noProof w:val="0"/>
        </w:rPr>
        <w:pict w14:anchorId="7C371112">
          <v:line id="_x0000_s2379" style="position:absolute;left:0;text-align:left;z-index:6760;mso-wrap-distance-left:0;mso-wrap-distance-right:0;mso-position-horizontal-relative:page" from="66.4pt,71.95pt" to="138.4pt,71.95pt" strokecolor="#231f20" strokeweight=".5pt">
            <w10:wrap type="topAndBottom" anchorx="page"/>
          </v:line>
        </w:pict>
      </w:r>
      <w:r w:rsidR="003115E3">
        <w:rPr>
          <w:color w:val="231F20"/>
          <w:w w:val="105"/>
        </w:rPr>
        <w:t>The</w:t>
      </w:r>
      <w:r w:rsidR="003115E3">
        <w:rPr>
          <w:color w:val="231F20"/>
          <w:spacing w:val="-25"/>
          <w:w w:val="105"/>
        </w:rPr>
        <w:t xml:space="preserve"> </w:t>
      </w:r>
      <w:r w:rsidR="003115E3">
        <w:rPr>
          <w:color w:val="231F20"/>
          <w:w w:val="105"/>
        </w:rPr>
        <w:t>state,</w:t>
      </w:r>
      <w:r w:rsidR="003115E3">
        <w:rPr>
          <w:color w:val="231F20"/>
          <w:spacing w:val="-25"/>
          <w:w w:val="105"/>
        </w:rPr>
        <w:t xml:space="preserve"> </w:t>
      </w:r>
      <w:r w:rsidR="003115E3">
        <w:rPr>
          <w:color w:val="231F20"/>
          <w:w w:val="105"/>
        </w:rPr>
        <w:t>meanwhile,</w:t>
      </w:r>
      <w:r w:rsidR="003115E3">
        <w:rPr>
          <w:color w:val="231F20"/>
          <w:spacing w:val="-25"/>
          <w:w w:val="105"/>
        </w:rPr>
        <w:t xml:space="preserve"> </w:t>
      </w:r>
      <w:r w:rsidR="003115E3">
        <w:rPr>
          <w:color w:val="231F20"/>
          <w:w w:val="105"/>
        </w:rPr>
        <w:t>was</w:t>
      </w:r>
      <w:r w:rsidR="003115E3">
        <w:rPr>
          <w:color w:val="231F20"/>
          <w:spacing w:val="-25"/>
          <w:w w:val="105"/>
        </w:rPr>
        <w:t xml:space="preserve"> </w:t>
      </w:r>
      <w:r w:rsidR="003115E3">
        <w:rPr>
          <w:color w:val="231F20"/>
          <w:w w:val="105"/>
        </w:rPr>
        <w:t>busy</w:t>
      </w:r>
      <w:r w:rsidR="003115E3">
        <w:rPr>
          <w:color w:val="231F20"/>
          <w:spacing w:val="-25"/>
          <w:w w:val="105"/>
        </w:rPr>
        <w:t xml:space="preserve"> </w:t>
      </w:r>
      <w:r w:rsidR="003115E3">
        <w:rPr>
          <w:color w:val="231F20"/>
          <w:w w:val="105"/>
        </w:rPr>
        <w:t>trying</w:t>
      </w:r>
      <w:r w:rsidR="003115E3">
        <w:rPr>
          <w:color w:val="231F20"/>
          <w:spacing w:val="-25"/>
          <w:w w:val="105"/>
        </w:rPr>
        <w:t xml:space="preserve"> </w:t>
      </w:r>
      <w:r w:rsidR="003115E3">
        <w:rPr>
          <w:color w:val="231F20"/>
          <w:w w:val="105"/>
        </w:rPr>
        <w:t>to</w:t>
      </w:r>
      <w:r w:rsidR="003115E3">
        <w:rPr>
          <w:color w:val="231F20"/>
          <w:spacing w:val="-25"/>
          <w:w w:val="105"/>
        </w:rPr>
        <w:t xml:space="preserve"> </w:t>
      </w:r>
      <w:r w:rsidR="003115E3">
        <w:rPr>
          <w:color w:val="231F20"/>
          <w:w w:val="105"/>
        </w:rPr>
        <w:t>keep</w:t>
      </w:r>
      <w:r w:rsidR="003115E3">
        <w:rPr>
          <w:color w:val="231F20"/>
          <w:spacing w:val="-25"/>
          <w:w w:val="105"/>
        </w:rPr>
        <w:t xml:space="preserve"> </w:t>
      </w:r>
      <w:r w:rsidR="003115E3">
        <w:rPr>
          <w:color w:val="231F20"/>
          <w:w w:val="105"/>
        </w:rPr>
        <w:t>up</w:t>
      </w:r>
      <w:r w:rsidR="003115E3">
        <w:rPr>
          <w:color w:val="231F20"/>
          <w:spacing w:val="-25"/>
          <w:w w:val="105"/>
        </w:rPr>
        <w:t xml:space="preserve"> </w:t>
      </w:r>
      <w:r w:rsidR="003115E3">
        <w:rPr>
          <w:color w:val="231F20"/>
          <w:w w:val="105"/>
        </w:rPr>
        <w:t>with</w:t>
      </w:r>
      <w:r w:rsidR="003115E3">
        <w:rPr>
          <w:color w:val="231F20"/>
          <w:spacing w:val="-25"/>
          <w:w w:val="105"/>
        </w:rPr>
        <w:t xml:space="preserve"> </w:t>
      </w:r>
      <w:r w:rsidR="003115E3">
        <w:rPr>
          <w:color w:val="231F20"/>
          <w:w w:val="105"/>
        </w:rPr>
        <w:t>events.</w:t>
      </w:r>
      <w:r w:rsidR="003115E3">
        <w:rPr>
          <w:color w:val="231F20"/>
          <w:spacing w:val="-25"/>
          <w:w w:val="105"/>
        </w:rPr>
        <w:t xml:space="preserve"> </w:t>
      </w:r>
      <w:r w:rsidR="003115E3">
        <w:rPr>
          <w:color w:val="231F20"/>
          <w:w w:val="105"/>
        </w:rPr>
        <w:t>Almost immediately</w:t>
      </w:r>
      <w:r w:rsidR="003115E3">
        <w:rPr>
          <w:color w:val="231F20"/>
          <w:spacing w:val="-24"/>
          <w:w w:val="105"/>
        </w:rPr>
        <w:t xml:space="preserve"> </w:t>
      </w:r>
      <w:r w:rsidR="003115E3">
        <w:rPr>
          <w:color w:val="231F20"/>
          <w:w w:val="105"/>
        </w:rPr>
        <w:t>following</w:t>
      </w:r>
      <w:r w:rsidR="003115E3">
        <w:rPr>
          <w:color w:val="231F20"/>
          <w:spacing w:val="-24"/>
          <w:w w:val="105"/>
        </w:rPr>
        <w:t xml:space="preserve"> </w:t>
      </w:r>
      <w:r w:rsidR="003115E3">
        <w:rPr>
          <w:color w:val="231F20"/>
          <w:w w:val="105"/>
        </w:rPr>
        <w:t>Drenkmann’s</w:t>
      </w:r>
      <w:r w:rsidR="003115E3">
        <w:rPr>
          <w:color w:val="231F20"/>
          <w:spacing w:val="-24"/>
          <w:w w:val="105"/>
        </w:rPr>
        <w:t xml:space="preserve"> </w:t>
      </w:r>
      <w:r w:rsidR="003115E3">
        <w:rPr>
          <w:color w:val="231F20"/>
          <w:w w:val="105"/>
        </w:rPr>
        <w:t>killing,</w:t>
      </w:r>
      <w:r w:rsidR="003115E3">
        <w:rPr>
          <w:color w:val="231F20"/>
          <w:spacing w:val="-24"/>
          <w:w w:val="105"/>
        </w:rPr>
        <w:t xml:space="preserve"> </w:t>
      </w:r>
      <w:r w:rsidR="003115E3">
        <w:rPr>
          <w:color w:val="231F20"/>
          <w:w w:val="105"/>
        </w:rPr>
        <w:t>the</w:t>
      </w:r>
      <w:r w:rsidR="003115E3">
        <w:rPr>
          <w:color w:val="231F20"/>
          <w:spacing w:val="-24"/>
          <w:w w:val="105"/>
        </w:rPr>
        <w:t xml:space="preserve"> </w:t>
      </w:r>
      <w:r w:rsidR="003115E3">
        <w:rPr>
          <w:color w:val="231F20"/>
          <w:w w:val="105"/>
        </w:rPr>
        <w:t>eleven</w:t>
      </w:r>
      <w:r w:rsidR="003115E3">
        <w:rPr>
          <w:color w:val="231F20"/>
          <w:spacing w:val="-24"/>
          <w:w w:val="105"/>
        </w:rPr>
        <w:t xml:space="preserve"> </w:t>
      </w:r>
      <w:r w:rsidR="003115E3">
        <w:rPr>
          <w:i/>
          <w:color w:val="231F20"/>
          <w:spacing w:val="2"/>
          <w:w w:val="105"/>
        </w:rPr>
        <w:t>Länder</w:t>
      </w:r>
      <w:r w:rsidR="003115E3">
        <w:rPr>
          <w:i/>
          <w:color w:val="231F20"/>
          <w:spacing w:val="-24"/>
          <w:w w:val="105"/>
        </w:rPr>
        <w:t xml:space="preserve"> </w:t>
      </w:r>
      <w:r w:rsidR="003115E3">
        <w:rPr>
          <w:color w:val="231F20"/>
          <w:w w:val="105"/>
        </w:rPr>
        <w:t>Interior Ministers were summoned to Bonn for an emergency meeting to discuss</w:t>
      </w:r>
      <w:r w:rsidR="003115E3">
        <w:rPr>
          <w:color w:val="231F20"/>
          <w:spacing w:val="-10"/>
          <w:w w:val="105"/>
        </w:rPr>
        <w:t xml:space="preserve"> </w:t>
      </w:r>
      <w:r w:rsidR="003115E3">
        <w:rPr>
          <w:color w:val="231F20"/>
          <w:w w:val="105"/>
        </w:rPr>
        <w:t>ways</w:t>
      </w:r>
      <w:r w:rsidR="003115E3">
        <w:rPr>
          <w:color w:val="231F20"/>
          <w:spacing w:val="-10"/>
          <w:w w:val="105"/>
        </w:rPr>
        <w:t xml:space="preserve"> </w:t>
      </w:r>
      <w:r w:rsidR="003115E3">
        <w:rPr>
          <w:color w:val="231F20"/>
          <w:w w:val="105"/>
        </w:rPr>
        <w:t>to</w:t>
      </w:r>
      <w:r w:rsidR="003115E3">
        <w:rPr>
          <w:color w:val="231F20"/>
          <w:spacing w:val="-10"/>
          <w:w w:val="105"/>
        </w:rPr>
        <w:t xml:space="preserve"> </w:t>
      </w:r>
      <w:r w:rsidR="003115E3">
        <w:rPr>
          <w:color w:val="231F20"/>
          <w:w w:val="105"/>
        </w:rPr>
        <w:t>contain</w:t>
      </w:r>
      <w:r w:rsidR="003115E3">
        <w:rPr>
          <w:color w:val="231F20"/>
          <w:spacing w:val="-10"/>
          <w:w w:val="105"/>
        </w:rPr>
        <w:t xml:space="preserve"> </w:t>
      </w:r>
      <w:r w:rsidR="003115E3">
        <w:rPr>
          <w:color w:val="231F20"/>
          <w:w w:val="105"/>
        </w:rPr>
        <w:t>the</w:t>
      </w:r>
      <w:r w:rsidR="003115E3">
        <w:rPr>
          <w:color w:val="231F20"/>
          <w:spacing w:val="-10"/>
          <w:w w:val="105"/>
        </w:rPr>
        <w:t xml:space="preserve"> </w:t>
      </w:r>
      <w:r w:rsidR="003115E3">
        <w:rPr>
          <w:color w:val="231F20"/>
          <w:w w:val="105"/>
        </w:rPr>
        <w:t>growing</w:t>
      </w:r>
      <w:r w:rsidR="003115E3">
        <w:rPr>
          <w:color w:val="231F20"/>
          <w:spacing w:val="-10"/>
          <w:w w:val="105"/>
        </w:rPr>
        <w:t xml:space="preserve"> </w:t>
      </w:r>
      <w:r w:rsidR="003115E3">
        <w:rPr>
          <w:color w:val="231F20"/>
          <w:w w:val="105"/>
        </w:rPr>
        <w:t>rebellion.</w:t>
      </w:r>
      <w:r w:rsidR="003115E3">
        <w:rPr>
          <w:color w:val="231F20"/>
          <w:w w:val="105"/>
          <w:position w:val="7"/>
          <w:sz w:val="11"/>
        </w:rPr>
        <w:t>8</w:t>
      </w:r>
      <w:r w:rsidR="003115E3">
        <w:rPr>
          <w:color w:val="231F20"/>
          <w:spacing w:val="-5"/>
          <w:w w:val="105"/>
          <w:position w:val="7"/>
          <w:sz w:val="11"/>
        </w:rPr>
        <w:t xml:space="preserve"> </w:t>
      </w:r>
      <w:r w:rsidR="003115E3">
        <w:rPr>
          <w:color w:val="231F20"/>
          <w:w w:val="105"/>
        </w:rPr>
        <w:t>On</w:t>
      </w:r>
      <w:r w:rsidR="003115E3">
        <w:rPr>
          <w:color w:val="231F20"/>
          <w:spacing w:val="-10"/>
          <w:w w:val="105"/>
        </w:rPr>
        <w:t xml:space="preserve"> </w:t>
      </w:r>
      <w:r w:rsidR="003115E3">
        <w:rPr>
          <w:color w:val="231F20"/>
          <w:w w:val="105"/>
        </w:rPr>
        <w:t>November</w:t>
      </w:r>
      <w:r w:rsidR="003115E3">
        <w:rPr>
          <w:color w:val="231F20"/>
          <w:spacing w:val="-10"/>
          <w:w w:val="105"/>
        </w:rPr>
        <w:t xml:space="preserve"> </w:t>
      </w:r>
      <w:r w:rsidR="003115E3">
        <w:rPr>
          <w:color w:val="231F20"/>
          <w:spacing w:val="-6"/>
          <w:w w:val="105"/>
        </w:rPr>
        <w:t>13,</w:t>
      </w:r>
      <w:r w:rsidR="003115E3">
        <w:rPr>
          <w:color w:val="231F20"/>
          <w:spacing w:val="-10"/>
          <w:w w:val="105"/>
        </w:rPr>
        <w:t xml:space="preserve"> </w:t>
      </w:r>
      <w:r w:rsidR="003115E3">
        <w:rPr>
          <w:color w:val="231F20"/>
          <w:w w:val="105"/>
        </w:rPr>
        <w:t>Federal Minister</w:t>
      </w:r>
      <w:r w:rsidR="003115E3">
        <w:rPr>
          <w:color w:val="231F20"/>
          <w:spacing w:val="7"/>
          <w:w w:val="105"/>
        </w:rPr>
        <w:t xml:space="preserve"> </w:t>
      </w:r>
      <w:r w:rsidR="003115E3">
        <w:rPr>
          <w:color w:val="231F20"/>
          <w:w w:val="105"/>
        </w:rPr>
        <w:t>of</w:t>
      </w:r>
      <w:r w:rsidR="003115E3">
        <w:rPr>
          <w:color w:val="231F20"/>
          <w:spacing w:val="7"/>
          <w:w w:val="105"/>
        </w:rPr>
        <w:t xml:space="preserve"> </w:t>
      </w:r>
      <w:r w:rsidR="003115E3">
        <w:rPr>
          <w:color w:val="231F20"/>
          <w:w w:val="105"/>
        </w:rPr>
        <w:t>Justice</w:t>
      </w:r>
      <w:r w:rsidR="003115E3">
        <w:rPr>
          <w:color w:val="231F20"/>
          <w:spacing w:val="8"/>
          <w:w w:val="105"/>
        </w:rPr>
        <w:t xml:space="preserve"> </w:t>
      </w:r>
      <w:r w:rsidR="003115E3">
        <w:rPr>
          <w:color w:val="231F20"/>
          <w:w w:val="105"/>
        </w:rPr>
        <w:t>Hans-Jochen</w:t>
      </w:r>
      <w:r w:rsidR="003115E3">
        <w:rPr>
          <w:color w:val="231F20"/>
          <w:spacing w:val="7"/>
          <w:w w:val="105"/>
        </w:rPr>
        <w:t xml:space="preserve"> </w:t>
      </w:r>
      <w:r w:rsidR="003115E3">
        <w:rPr>
          <w:color w:val="231F20"/>
          <w:spacing w:val="-3"/>
          <w:w w:val="105"/>
        </w:rPr>
        <w:t>Vogel</w:t>
      </w:r>
      <w:r w:rsidR="003115E3">
        <w:rPr>
          <w:color w:val="231F20"/>
          <w:spacing w:val="7"/>
          <w:w w:val="105"/>
        </w:rPr>
        <w:t xml:space="preserve"> </w:t>
      </w:r>
      <w:r w:rsidR="003115E3">
        <w:rPr>
          <w:color w:val="231F20"/>
          <w:w w:val="105"/>
        </w:rPr>
        <w:t>(SPD)</w:t>
      </w:r>
      <w:r w:rsidR="003115E3">
        <w:rPr>
          <w:color w:val="231F20"/>
          <w:spacing w:val="7"/>
          <w:w w:val="105"/>
        </w:rPr>
        <w:t xml:space="preserve"> </w:t>
      </w:r>
      <w:r w:rsidR="003115E3">
        <w:rPr>
          <w:color w:val="231F20"/>
          <w:w w:val="105"/>
        </w:rPr>
        <w:t>announced</w:t>
      </w:r>
      <w:r w:rsidR="003115E3">
        <w:rPr>
          <w:color w:val="231F20"/>
          <w:spacing w:val="7"/>
          <w:w w:val="105"/>
        </w:rPr>
        <w:t xml:space="preserve"> </w:t>
      </w:r>
      <w:r w:rsidR="003115E3">
        <w:rPr>
          <w:color w:val="231F20"/>
          <w:w w:val="105"/>
        </w:rPr>
        <w:t>that</w:t>
      </w:r>
      <w:r w:rsidR="003115E3">
        <w:rPr>
          <w:color w:val="231F20"/>
          <w:spacing w:val="7"/>
          <w:w w:val="105"/>
        </w:rPr>
        <w:t xml:space="preserve"> </w:t>
      </w:r>
      <w:r w:rsidR="003115E3">
        <w:rPr>
          <w:color w:val="231F20"/>
          <w:w w:val="105"/>
        </w:rPr>
        <w:t>charges</w:t>
      </w:r>
    </w:p>
    <w:p w14:paraId="761223BD" w14:textId="77777777" w:rsidR="002653E8" w:rsidRDefault="003115E3">
      <w:pPr>
        <w:pStyle w:val="a4"/>
        <w:numPr>
          <w:ilvl w:val="0"/>
          <w:numId w:val="111"/>
        </w:numPr>
        <w:tabs>
          <w:tab w:val="left" w:pos="1467"/>
        </w:tabs>
        <w:spacing w:before="53"/>
        <w:ind w:left="1466"/>
        <w:jc w:val="left"/>
        <w:rPr>
          <w:sz w:val="16"/>
        </w:rPr>
      </w:pPr>
      <w:bookmarkStart w:id="115" w:name="_Hlk119808722"/>
      <w:r>
        <w:rPr>
          <w:color w:val="231F20"/>
          <w:w w:val="110"/>
          <w:sz w:val="16"/>
        </w:rPr>
        <w:t>Ibid.</w:t>
      </w:r>
    </w:p>
    <w:p w14:paraId="30F1FB41" w14:textId="77777777" w:rsidR="002653E8" w:rsidRPr="00C507A5" w:rsidRDefault="003115E3">
      <w:pPr>
        <w:pStyle w:val="a4"/>
        <w:numPr>
          <w:ilvl w:val="0"/>
          <w:numId w:val="111"/>
        </w:numPr>
        <w:tabs>
          <w:tab w:val="left" w:pos="1467"/>
        </w:tabs>
        <w:spacing w:before="51" w:line="307" w:lineRule="auto"/>
        <w:ind w:left="1327" w:right="1363" w:firstLine="0"/>
        <w:jc w:val="left"/>
        <w:rPr>
          <w:sz w:val="16"/>
          <w:lang w:val="de-DE"/>
        </w:rPr>
      </w:pPr>
      <w:r w:rsidRPr="00C507A5">
        <w:rPr>
          <w:i/>
          <w:color w:val="231F20"/>
          <w:spacing w:val="1"/>
          <w:w w:val="110"/>
          <w:sz w:val="16"/>
          <w:lang w:val="de-DE"/>
        </w:rPr>
        <w:t>Frankfurter</w:t>
      </w:r>
      <w:r w:rsidRPr="00C507A5">
        <w:rPr>
          <w:i/>
          <w:color w:val="231F20"/>
          <w:spacing w:val="-5"/>
          <w:w w:val="110"/>
          <w:sz w:val="16"/>
          <w:lang w:val="de-DE"/>
        </w:rPr>
        <w:t xml:space="preserve"> </w:t>
      </w:r>
      <w:r w:rsidRPr="00C507A5">
        <w:rPr>
          <w:i/>
          <w:color w:val="231F20"/>
          <w:spacing w:val="1"/>
          <w:w w:val="110"/>
          <w:sz w:val="16"/>
          <w:lang w:val="de-DE"/>
        </w:rPr>
        <w:t>Allgemeine</w:t>
      </w:r>
      <w:r w:rsidRPr="00C507A5">
        <w:rPr>
          <w:i/>
          <w:color w:val="231F20"/>
          <w:spacing w:val="-5"/>
          <w:w w:val="110"/>
          <w:sz w:val="16"/>
          <w:lang w:val="de-DE"/>
        </w:rPr>
        <w:t xml:space="preserve"> </w:t>
      </w:r>
      <w:r w:rsidRPr="00C507A5">
        <w:rPr>
          <w:i/>
          <w:color w:val="231F20"/>
          <w:spacing w:val="1"/>
          <w:w w:val="110"/>
          <w:sz w:val="16"/>
          <w:lang w:val="de-DE"/>
        </w:rPr>
        <w:t>Zeitung,</w:t>
      </w:r>
      <w:r w:rsidRPr="00C507A5">
        <w:rPr>
          <w:i/>
          <w:color w:val="231F20"/>
          <w:spacing w:val="-4"/>
          <w:w w:val="110"/>
          <w:sz w:val="16"/>
          <w:lang w:val="de-DE"/>
        </w:rPr>
        <w:t xml:space="preserve"> </w:t>
      </w:r>
      <w:r w:rsidRPr="00C507A5">
        <w:rPr>
          <w:color w:val="231F20"/>
          <w:w w:val="110"/>
          <w:sz w:val="16"/>
          <w:lang w:val="de-DE"/>
        </w:rPr>
        <w:t>“Todesfälle</w:t>
      </w:r>
      <w:r w:rsidRPr="00C507A5">
        <w:rPr>
          <w:color w:val="231F20"/>
          <w:spacing w:val="-5"/>
          <w:w w:val="110"/>
          <w:sz w:val="16"/>
          <w:lang w:val="de-DE"/>
        </w:rPr>
        <w:t xml:space="preserve"> </w:t>
      </w:r>
      <w:r w:rsidRPr="00C507A5">
        <w:rPr>
          <w:color w:val="231F20"/>
          <w:w w:val="110"/>
          <w:sz w:val="16"/>
          <w:lang w:val="de-DE"/>
        </w:rPr>
        <w:t>eingeplant?”</w:t>
      </w:r>
      <w:r w:rsidRPr="00C507A5">
        <w:rPr>
          <w:color w:val="231F20"/>
          <w:spacing w:val="-5"/>
          <w:w w:val="110"/>
          <w:sz w:val="16"/>
          <w:lang w:val="de-DE"/>
        </w:rPr>
        <w:t xml:space="preserve"> </w:t>
      </w:r>
      <w:r w:rsidRPr="00C507A5">
        <w:rPr>
          <w:color w:val="231F20"/>
          <w:w w:val="110"/>
          <w:sz w:val="16"/>
          <w:lang w:val="de-DE"/>
        </w:rPr>
        <w:t>November</w:t>
      </w:r>
      <w:r w:rsidRPr="00C507A5">
        <w:rPr>
          <w:color w:val="231F20"/>
          <w:spacing w:val="-5"/>
          <w:w w:val="110"/>
          <w:sz w:val="16"/>
          <w:lang w:val="de-DE"/>
        </w:rPr>
        <w:t xml:space="preserve"> </w:t>
      </w:r>
      <w:r w:rsidRPr="00C507A5">
        <w:rPr>
          <w:color w:val="231F20"/>
          <w:w w:val="110"/>
          <w:sz w:val="16"/>
          <w:lang w:val="de-DE"/>
        </w:rPr>
        <w:t>14,</w:t>
      </w:r>
      <w:r w:rsidRPr="00C507A5">
        <w:rPr>
          <w:color w:val="231F20"/>
          <w:spacing w:val="-5"/>
          <w:w w:val="110"/>
          <w:sz w:val="16"/>
          <w:lang w:val="de-DE"/>
        </w:rPr>
        <w:t xml:space="preserve"> </w:t>
      </w:r>
      <w:r w:rsidRPr="00C507A5">
        <w:rPr>
          <w:color w:val="231F20"/>
          <w:spacing w:val="-4"/>
          <w:w w:val="110"/>
          <w:sz w:val="16"/>
          <w:lang w:val="de-DE"/>
        </w:rPr>
        <w:t xml:space="preserve">1974. </w:t>
      </w:r>
      <w:r w:rsidRPr="00C507A5">
        <w:rPr>
          <w:color w:val="231F20"/>
          <w:w w:val="110"/>
          <w:sz w:val="16"/>
          <w:lang w:val="de-DE"/>
        </w:rPr>
        <w:t>6 Busch, “Die letzte Waffe des</w:t>
      </w:r>
      <w:r w:rsidRPr="00C507A5">
        <w:rPr>
          <w:color w:val="231F20"/>
          <w:spacing w:val="33"/>
          <w:w w:val="110"/>
          <w:sz w:val="16"/>
          <w:lang w:val="de-DE"/>
        </w:rPr>
        <w:t xml:space="preserve"> </w:t>
      </w:r>
      <w:r w:rsidRPr="00C507A5">
        <w:rPr>
          <w:color w:val="231F20"/>
          <w:w w:val="110"/>
          <w:sz w:val="16"/>
          <w:lang w:val="de-DE"/>
        </w:rPr>
        <w:t>Anarchisten.”</w:t>
      </w:r>
    </w:p>
    <w:p w14:paraId="4E40AE2D" w14:textId="77777777" w:rsidR="002653E8" w:rsidRPr="00C507A5" w:rsidRDefault="003115E3">
      <w:pPr>
        <w:pStyle w:val="a4"/>
        <w:numPr>
          <w:ilvl w:val="0"/>
          <w:numId w:val="110"/>
        </w:numPr>
        <w:tabs>
          <w:tab w:val="left" w:pos="1467"/>
        </w:tabs>
        <w:spacing w:before="0" w:line="254" w:lineRule="auto"/>
        <w:ind w:right="1512" w:firstLine="0"/>
        <w:rPr>
          <w:sz w:val="16"/>
          <w:lang w:val="de-DE"/>
        </w:rPr>
      </w:pPr>
      <w:r w:rsidRPr="00C507A5">
        <w:rPr>
          <w:i/>
          <w:color w:val="231F20"/>
          <w:spacing w:val="1"/>
          <w:w w:val="105"/>
          <w:sz w:val="16"/>
          <w:lang w:val="de-DE"/>
        </w:rPr>
        <w:t xml:space="preserve">Frankfurter Allgemeine Zeitung, </w:t>
      </w:r>
      <w:r w:rsidRPr="00C507A5">
        <w:rPr>
          <w:color w:val="231F20"/>
          <w:w w:val="105"/>
          <w:sz w:val="16"/>
          <w:lang w:val="de-DE"/>
        </w:rPr>
        <w:t xml:space="preserve">“Beshuldigungen nach dem </w:t>
      </w:r>
      <w:r w:rsidRPr="00C507A5">
        <w:rPr>
          <w:color w:val="231F20"/>
          <w:spacing w:val="-4"/>
          <w:w w:val="105"/>
          <w:sz w:val="16"/>
          <w:lang w:val="de-DE"/>
        </w:rPr>
        <w:t xml:space="preserve">Tod </w:t>
      </w:r>
      <w:r w:rsidRPr="00C507A5">
        <w:rPr>
          <w:color w:val="231F20"/>
          <w:w w:val="105"/>
          <w:sz w:val="16"/>
          <w:lang w:val="de-DE"/>
        </w:rPr>
        <w:t>von Holger Meins.”</w:t>
      </w:r>
    </w:p>
    <w:p w14:paraId="2266CBB7" w14:textId="77777777" w:rsidR="002653E8" w:rsidRDefault="003115E3">
      <w:pPr>
        <w:pStyle w:val="a4"/>
        <w:numPr>
          <w:ilvl w:val="0"/>
          <w:numId w:val="110"/>
        </w:numPr>
        <w:tabs>
          <w:tab w:val="left" w:pos="1467"/>
        </w:tabs>
        <w:spacing w:before="39"/>
        <w:ind w:firstLine="0"/>
        <w:rPr>
          <w:i/>
          <w:sz w:val="16"/>
        </w:rPr>
      </w:pPr>
      <w:r>
        <w:rPr>
          <w:color w:val="231F20"/>
          <w:w w:val="110"/>
          <w:sz w:val="16"/>
        </w:rPr>
        <w:t xml:space="preserve">Associated Press, “Bonn fears more violence,” </w:t>
      </w:r>
      <w:r>
        <w:rPr>
          <w:i/>
          <w:color w:val="231F20"/>
          <w:w w:val="110"/>
          <w:sz w:val="16"/>
        </w:rPr>
        <w:t>Syracuse</w:t>
      </w:r>
      <w:r>
        <w:rPr>
          <w:i/>
          <w:color w:val="231F20"/>
          <w:spacing w:val="28"/>
          <w:w w:val="110"/>
          <w:sz w:val="16"/>
        </w:rPr>
        <w:t xml:space="preserve"> </w:t>
      </w:r>
      <w:r>
        <w:rPr>
          <w:i/>
          <w:color w:val="231F20"/>
          <w:spacing w:val="1"/>
          <w:w w:val="110"/>
          <w:sz w:val="16"/>
        </w:rPr>
        <w:t>Post-Standard,</w:t>
      </w:r>
    </w:p>
    <w:p w14:paraId="5CA1FD60" w14:textId="77777777" w:rsidR="002653E8" w:rsidRDefault="003115E3">
      <w:pPr>
        <w:spacing w:before="12"/>
        <w:ind w:left="1327"/>
        <w:rPr>
          <w:sz w:val="16"/>
        </w:rPr>
      </w:pPr>
      <w:r>
        <w:rPr>
          <w:color w:val="231F20"/>
          <w:w w:val="110"/>
          <w:sz w:val="16"/>
        </w:rPr>
        <w:t>November 12, 1974.</w:t>
      </w:r>
    </w:p>
    <w:bookmarkEnd w:id="115"/>
    <w:p w14:paraId="4D823A2B" w14:textId="77777777" w:rsidR="002653E8" w:rsidRDefault="002653E8">
      <w:pPr>
        <w:rPr>
          <w:sz w:val="16"/>
        </w:rPr>
        <w:sectPr w:rsidR="002653E8">
          <w:pgSz w:w="8640" w:h="12960"/>
          <w:pgMar w:top="1060" w:right="0" w:bottom="1040" w:left="0" w:header="0" w:footer="850" w:gutter="0"/>
          <w:cols w:space="720"/>
        </w:sectPr>
      </w:pPr>
    </w:p>
    <w:p w14:paraId="17FE6BD9" w14:textId="77777777" w:rsidR="002653E8" w:rsidRDefault="003115E3">
      <w:pPr>
        <w:pStyle w:val="a3"/>
        <w:spacing w:before="86" w:line="264" w:lineRule="auto"/>
        <w:ind w:left="1147" w:right="1326"/>
        <w:jc w:val="both"/>
        <w:rPr>
          <w:sz w:val="11"/>
        </w:rPr>
      </w:pPr>
      <w:r>
        <w:rPr>
          <w:color w:val="231F20"/>
        </w:rPr>
        <w:lastRenderedPageBreak/>
        <w:t>were</w:t>
      </w:r>
      <w:r>
        <w:rPr>
          <w:color w:val="231F20"/>
          <w:spacing w:val="-5"/>
        </w:rPr>
        <w:t xml:space="preserve"> </w:t>
      </w:r>
      <w:r>
        <w:rPr>
          <w:color w:val="231F20"/>
        </w:rPr>
        <w:t>being</w:t>
      </w:r>
      <w:r>
        <w:rPr>
          <w:color w:val="231F20"/>
          <w:spacing w:val="-5"/>
        </w:rPr>
        <w:t xml:space="preserve"> </w:t>
      </w:r>
      <w:r>
        <w:rPr>
          <w:color w:val="231F20"/>
        </w:rPr>
        <w:t>brought</w:t>
      </w:r>
      <w:r>
        <w:rPr>
          <w:color w:val="231F20"/>
          <w:spacing w:val="-5"/>
        </w:rPr>
        <w:t xml:space="preserve"> </w:t>
      </w:r>
      <w:r>
        <w:rPr>
          <w:color w:val="231F20"/>
        </w:rPr>
        <w:t>against</w:t>
      </w:r>
      <w:r>
        <w:rPr>
          <w:color w:val="231F20"/>
          <w:spacing w:val="-5"/>
        </w:rPr>
        <w:t xml:space="preserve"> </w:t>
      </w:r>
      <w:r>
        <w:rPr>
          <w:color w:val="231F20"/>
        </w:rPr>
        <w:t>seventeen</w:t>
      </w:r>
      <w:r>
        <w:rPr>
          <w:color w:val="231F20"/>
          <w:spacing w:val="-5"/>
        </w:rPr>
        <w:t xml:space="preserve"> </w:t>
      </w:r>
      <w:r>
        <w:rPr>
          <w:color w:val="231F20"/>
        </w:rPr>
        <w:t>people,</w:t>
      </w:r>
      <w:r>
        <w:rPr>
          <w:color w:val="231F20"/>
          <w:spacing w:val="-5"/>
        </w:rPr>
        <w:t xml:space="preserve"> </w:t>
      </w:r>
      <w:r>
        <w:rPr>
          <w:color w:val="231F20"/>
        </w:rPr>
        <w:t>and</w:t>
      </w:r>
      <w:r>
        <w:rPr>
          <w:color w:val="231F20"/>
          <w:spacing w:val="-5"/>
        </w:rPr>
        <w:t xml:space="preserve"> </w:t>
      </w:r>
      <w:r>
        <w:rPr>
          <w:color w:val="231F20"/>
        </w:rPr>
        <w:t>thirty-five</w:t>
      </w:r>
      <w:r>
        <w:rPr>
          <w:color w:val="231F20"/>
          <w:spacing w:val="-5"/>
        </w:rPr>
        <w:t xml:space="preserve"> </w:t>
      </w:r>
      <w:r>
        <w:rPr>
          <w:color w:val="231F20"/>
        </w:rPr>
        <w:t>were</w:t>
      </w:r>
      <w:r>
        <w:rPr>
          <w:color w:val="231F20"/>
          <w:spacing w:val="-5"/>
        </w:rPr>
        <w:t xml:space="preserve"> </w:t>
      </w:r>
      <w:r>
        <w:rPr>
          <w:color w:val="231F20"/>
        </w:rPr>
        <w:t>being held in remand while investigations were conducted. Ominously,  he also noted that seven lawyers would be investigated for supporting a criminal organization,</w:t>
      </w:r>
      <w:r>
        <w:rPr>
          <w:color w:val="231F20"/>
          <w:position w:val="7"/>
          <w:sz w:val="11"/>
        </w:rPr>
        <w:t xml:space="preserve">1 </w:t>
      </w:r>
      <w:r>
        <w:rPr>
          <w:color w:val="231F20"/>
        </w:rPr>
        <w:t>and in short order, charges were laid against attorneys Croissant, Schily, Groenewold, and Haag for statements they had</w:t>
      </w:r>
      <w:r>
        <w:rPr>
          <w:color w:val="231F20"/>
          <w:spacing w:val="10"/>
        </w:rPr>
        <w:t xml:space="preserve"> </w:t>
      </w:r>
      <w:r>
        <w:rPr>
          <w:color w:val="231F20"/>
        </w:rPr>
        <w:t>made</w:t>
      </w:r>
      <w:r>
        <w:rPr>
          <w:color w:val="231F20"/>
          <w:spacing w:val="10"/>
        </w:rPr>
        <w:t xml:space="preserve"> </w:t>
      </w:r>
      <w:r>
        <w:rPr>
          <w:color w:val="231F20"/>
        </w:rPr>
        <w:t>describing</w:t>
      </w:r>
      <w:r>
        <w:rPr>
          <w:color w:val="231F20"/>
          <w:spacing w:val="10"/>
        </w:rPr>
        <w:t xml:space="preserve"> </w:t>
      </w:r>
      <w:r>
        <w:rPr>
          <w:color w:val="231F20"/>
        </w:rPr>
        <w:t>Meins’</w:t>
      </w:r>
      <w:r>
        <w:rPr>
          <w:color w:val="231F20"/>
          <w:spacing w:val="10"/>
        </w:rPr>
        <w:t xml:space="preserve"> </w:t>
      </w:r>
      <w:r>
        <w:rPr>
          <w:color w:val="231F20"/>
        </w:rPr>
        <w:t>death</w:t>
      </w:r>
      <w:r>
        <w:rPr>
          <w:color w:val="231F20"/>
          <w:spacing w:val="10"/>
        </w:rPr>
        <w:t xml:space="preserve"> </w:t>
      </w:r>
      <w:r>
        <w:rPr>
          <w:color w:val="231F20"/>
        </w:rPr>
        <w:t>as</w:t>
      </w:r>
      <w:r>
        <w:rPr>
          <w:color w:val="231F20"/>
          <w:spacing w:val="10"/>
        </w:rPr>
        <w:t xml:space="preserve"> </w:t>
      </w:r>
      <w:r>
        <w:rPr>
          <w:color w:val="231F20"/>
        </w:rPr>
        <w:t>a</w:t>
      </w:r>
      <w:r>
        <w:rPr>
          <w:color w:val="231F20"/>
          <w:spacing w:val="10"/>
        </w:rPr>
        <w:t xml:space="preserve"> </w:t>
      </w:r>
      <w:r>
        <w:rPr>
          <w:color w:val="231F20"/>
        </w:rPr>
        <w:t>premeditated</w:t>
      </w:r>
      <w:r>
        <w:rPr>
          <w:color w:val="231F20"/>
          <w:spacing w:val="10"/>
        </w:rPr>
        <w:t xml:space="preserve"> </w:t>
      </w:r>
      <w:r>
        <w:rPr>
          <w:color w:val="231F20"/>
        </w:rPr>
        <w:t>murder.</w:t>
      </w:r>
      <w:r>
        <w:rPr>
          <w:color w:val="231F20"/>
          <w:position w:val="7"/>
          <w:sz w:val="11"/>
        </w:rPr>
        <w:t>2</w:t>
      </w:r>
    </w:p>
    <w:p w14:paraId="167C30B6" w14:textId="77777777" w:rsidR="002653E8" w:rsidRDefault="003115E3">
      <w:pPr>
        <w:pStyle w:val="a3"/>
        <w:spacing w:line="228" w:lineRule="exact"/>
        <w:ind w:left="1357"/>
      </w:pPr>
      <w:r>
        <w:rPr>
          <w:color w:val="231F20"/>
        </w:rPr>
        <w:t>But the real crackdown had yet to come.</w:t>
      </w:r>
    </w:p>
    <w:p w14:paraId="35657788" w14:textId="77777777" w:rsidR="002653E8" w:rsidRDefault="003115E3">
      <w:pPr>
        <w:pStyle w:val="a3"/>
        <w:spacing w:before="23" w:line="264" w:lineRule="auto"/>
        <w:ind w:left="1147" w:right="1326" w:firstLine="210"/>
        <w:jc w:val="both"/>
        <w:rPr>
          <w:sz w:val="11"/>
        </w:rPr>
      </w:pPr>
      <w:r>
        <w:rPr>
          <w:color w:val="231F20"/>
        </w:rPr>
        <w:t>On November 26, the state moved into action, police and border guard units setting up checkpoints and carrying out predawn raids across the country.</w:t>
      </w:r>
      <w:r>
        <w:rPr>
          <w:color w:val="231F20"/>
          <w:position w:val="7"/>
          <w:sz w:val="11"/>
        </w:rPr>
        <w:t xml:space="preserve">3 </w:t>
      </w:r>
      <w:r>
        <w:rPr>
          <w:color w:val="231F20"/>
        </w:rPr>
        <w:t xml:space="preserve">Dozens of left-wing publishers, bookstores, law firms, and activists’ homes were searched. Many victims were not even seriously suspected of any ties to the guerilla. Frankfurt police, for </w:t>
      </w:r>
      <w:r>
        <w:rPr>
          <w:color w:val="231F20"/>
          <w:spacing w:val="-3"/>
        </w:rPr>
        <w:t>ex</w:t>
      </w:r>
      <w:r>
        <w:rPr>
          <w:color w:val="231F20"/>
        </w:rPr>
        <w:t xml:space="preserve">ample, admitted that their targets “included general problem houses, where the occupants were organizing rent strikes or stirring up other sorts of </w:t>
      </w:r>
      <w:r>
        <w:rPr>
          <w:color w:val="231F20"/>
          <w:spacing w:val="-4"/>
        </w:rPr>
        <w:t>trouble.”</w:t>
      </w:r>
      <w:r>
        <w:rPr>
          <w:color w:val="231F20"/>
          <w:spacing w:val="-4"/>
          <w:position w:val="7"/>
          <w:sz w:val="11"/>
        </w:rPr>
        <w:t xml:space="preserve">4 </w:t>
      </w:r>
      <w:r>
        <w:rPr>
          <w:color w:val="231F20"/>
          <w:spacing w:val="1"/>
        </w:rPr>
        <w:t xml:space="preserve">All </w:t>
      </w:r>
      <w:r>
        <w:rPr>
          <w:color w:val="231F20"/>
        </w:rPr>
        <w:t>in all, roughly forty people  were  arrested,</w:t>
      </w:r>
      <w:r>
        <w:rPr>
          <w:color w:val="231F20"/>
          <w:position w:val="7"/>
          <w:sz w:val="11"/>
        </w:rPr>
        <w:t xml:space="preserve">5  </w:t>
      </w:r>
      <w:r>
        <w:rPr>
          <w:color w:val="231F20"/>
        </w:rPr>
        <w:t>several eventually facing charges of supporting a “criminal organization” under</w:t>
      </w:r>
      <w:r>
        <w:rPr>
          <w:color w:val="231F20"/>
          <w:spacing w:val="10"/>
        </w:rPr>
        <w:t xml:space="preserve"> </w:t>
      </w:r>
      <w:r>
        <w:rPr>
          <w:color w:val="231F20"/>
          <w:spacing w:val="-4"/>
          <w:sz w:val="18"/>
        </w:rPr>
        <w:t>§</w:t>
      </w:r>
      <w:r>
        <w:rPr>
          <w:color w:val="231F20"/>
          <w:spacing w:val="-4"/>
        </w:rPr>
        <w:t>129.</w:t>
      </w:r>
      <w:r>
        <w:rPr>
          <w:color w:val="231F20"/>
          <w:spacing w:val="-4"/>
          <w:position w:val="7"/>
          <w:sz w:val="11"/>
        </w:rPr>
        <w:t>6</w:t>
      </w:r>
    </w:p>
    <w:p w14:paraId="10A765D7" w14:textId="77777777" w:rsidR="002653E8" w:rsidRDefault="003115E3">
      <w:pPr>
        <w:pStyle w:val="a3"/>
        <w:spacing w:line="264" w:lineRule="auto"/>
        <w:ind w:left="1147" w:right="1325" w:firstLine="210"/>
        <w:jc w:val="both"/>
        <w:rPr>
          <w:sz w:val="11"/>
        </w:rPr>
      </w:pPr>
      <w:r>
        <w:rPr>
          <w:color w:val="231F20"/>
        </w:rPr>
        <w:t xml:space="preserve">Despite their  efforts,  dubbed  </w:t>
      </w:r>
      <w:r>
        <w:rPr>
          <w:i/>
          <w:color w:val="231F20"/>
        </w:rPr>
        <w:t xml:space="preserve">Aktion  Winterreise  </w:t>
      </w:r>
      <w:r>
        <w:rPr>
          <w:color w:val="231F20"/>
        </w:rPr>
        <w:t xml:space="preserve">(“Operation Winter </w:t>
      </w:r>
      <w:r>
        <w:rPr>
          <w:color w:val="231F20"/>
          <w:spacing w:val="-4"/>
        </w:rPr>
        <w:t xml:space="preserve">Trip”), </w:t>
      </w:r>
      <w:r>
        <w:rPr>
          <w:color w:val="231F20"/>
        </w:rPr>
        <w:t>the police failed to apprehend a single guerilla fighter. Nevertheless, the raids gave the new Minister of the Interior, Werner Maihofer,</w:t>
      </w:r>
      <w:r>
        <w:rPr>
          <w:color w:val="231F20"/>
          <w:position w:val="7"/>
          <w:sz w:val="11"/>
        </w:rPr>
        <w:t xml:space="preserve">7 </w:t>
      </w:r>
      <w:r>
        <w:rPr>
          <w:color w:val="231F20"/>
        </w:rPr>
        <w:t>the opportunity to shock the  public  with  claims  that  police had uncovered radio transmitters, explosives, chemicals, narcotics, weapons, and ammunition, not to mention plans for kidnappings and jailbreaks.</w:t>
      </w:r>
      <w:r>
        <w:rPr>
          <w:color w:val="231F20"/>
          <w:position w:val="7"/>
          <w:sz w:val="11"/>
        </w:rPr>
        <w:t>8</w:t>
      </w:r>
    </w:p>
    <w:p w14:paraId="00FA9CE3" w14:textId="77777777" w:rsidR="002653E8" w:rsidRDefault="003115E3">
      <w:pPr>
        <w:pStyle w:val="a3"/>
        <w:spacing w:line="264" w:lineRule="auto"/>
        <w:ind w:left="1147" w:right="1328" w:firstLine="210"/>
        <w:jc w:val="both"/>
      </w:pPr>
      <w:r>
        <w:rPr>
          <w:color w:val="231F20"/>
        </w:rPr>
        <w:t>The real targets of this crackdown were in fact the sympathizers and supporters: the goal of Winter Trip was to break the back of the growing</w:t>
      </w:r>
    </w:p>
    <w:p w14:paraId="29615149" w14:textId="77777777" w:rsidR="002653E8" w:rsidRDefault="00000000">
      <w:pPr>
        <w:pStyle w:val="a3"/>
        <w:spacing w:before="10"/>
        <w:rPr>
          <w:sz w:val="14"/>
        </w:rPr>
      </w:pPr>
      <w:r>
        <w:rPr>
          <w:noProof w:val="0"/>
        </w:rPr>
        <w:pict w14:anchorId="6796E9EE">
          <v:line id="_x0000_s2378" style="position:absolute;z-index:6784;mso-wrap-distance-left:0;mso-wrap-distance-right:0;mso-position-horizontal-relative:page" from="57.4pt,10.95pt" to="129.4pt,10.95pt" strokecolor="#231f20" strokeweight=".5pt">
            <w10:wrap type="topAndBottom" anchorx="page"/>
          </v:line>
        </w:pict>
      </w:r>
    </w:p>
    <w:p w14:paraId="1578266E" w14:textId="77777777" w:rsidR="002653E8" w:rsidRPr="00C507A5" w:rsidRDefault="003115E3">
      <w:pPr>
        <w:pStyle w:val="a4"/>
        <w:numPr>
          <w:ilvl w:val="0"/>
          <w:numId w:val="109"/>
        </w:numPr>
        <w:tabs>
          <w:tab w:val="left" w:pos="1287"/>
        </w:tabs>
        <w:spacing w:before="53" w:line="254" w:lineRule="auto"/>
        <w:ind w:right="1806" w:firstLine="0"/>
        <w:jc w:val="left"/>
        <w:rPr>
          <w:sz w:val="16"/>
          <w:lang w:val="de-DE"/>
        </w:rPr>
      </w:pPr>
      <w:bookmarkStart w:id="116" w:name="_Hlk119808339"/>
      <w:r w:rsidRPr="00C507A5">
        <w:rPr>
          <w:i/>
          <w:color w:val="231F20"/>
          <w:spacing w:val="1"/>
          <w:w w:val="105"/>
          <w:sz w:val="16"/>
          <w:lang w:val="de-DE"/>
        </w:rPr>
        <w:t xml:space="preserve">Frankfurter Allgemeine Zeitung, </w:t>
      </w:r>
      <w:r w:rsidRPr="00C507A5">
        <w:rPr>
          <w:color w:val="231F20"/>
          <w:w w:val="105"/>
          <w:sz w:val="16"/>
          <w:lang w:val="de-DE"/>
        </w:rPr>
        <w:t>“Maihofer: ‘Brutale Strategie’ der BaaderMeinhof-Bande,” November 14,</w:t>
      </w:r>
      <w:r w:rsidRPr="00C507A5">
        <w:rPr>
          <w:color w:val="231F20"/>
          <w:spacing w:val="28"/>
          <w:w w:val="105"/>
          <w:sz w:val="16"/>
          <w:lang w:val="de-DE"/>
        </w:rPr>
        <w:t xml:space="preserve"> </w:t>
      </w:r>
      <w:r w:rsidRPr="00C507A5">
        <w:rPr>
          <w:color w:val="231F20"/>
          <w:spacing w:val="-4"/>
          <w:w w:val="105"/>
          <w:sz w:val="16"/>
          <w:lang w:val="de-DE"/>
        </w:rPr>
        <w:t>1974.</w:t>
      </w:r>
    </w:p>
    <w:p w14:paraId="3D66FED3" w14:textId="77777777" w:rsidR="002653E8" w:rsidRDefault="003115E3">
      <w:pPr>
        <w:pStyle w:val="a4"/>
        <w:numPr>
          <w:ilvl w:val="0"/>
          <w:numId w:val="109"/>
        </w:numPr>
        <w:tabs>
          <w:tab w:val="left" w:pos="1287"/>
        </w:tabs>
        <w:spacing w:line="254" w:lineRule="auto"/>
        <w:ind w:right="2691" w:firstLine="0"/>
        <w:jc w:val="left"/>
        <w:rPr>
          <w:sz w:val="16"/>
        </w:rPr>
      </w:pPr>
      <w:r>
        <w:rPr>
          <w:i/>
          <w:color w:val="231F20"/>
          <w:w w:val="110"/>
          <w:sz w:val="16"/>
        </w:rPr>
        <w:t xml:space="preserve">European Stars </w:t>
      </w:r>
      <w:r>
        <w:rPr>
          <w:i/>
          <w:color w:val="231F20"/>
          <w:spacing w:val="1"/>
          <w:w w:val="110"/>
          <w:sz w:val="16"/>
        </w:rPr>
        <w:t xml:space="preserve">and </w:t>
      </w:r>
      <w:r>
        <w:rPr>
          <w:i/>
          <w:color w:val="231F20"/>
          <w:w w:val="110"/>
          <w:sz w:val="16"/>
        </w:rPr>
        <w:t xml:space="preserve">Stripes, </w:t>
      </w:r>
      <w:r>
        <w:rPr>
          <w:color w:val="231F20"/>
          <w:w w:val="110"/>
          <w:sz w:val="16"/>
        </w:rPr>
        <w:t>“German terrorist is hospitalized,” November 14,</w:t>
      </w:r>
      <w:r>
        <w:rPr>
          <w:color w:val="231F20"/>
          <w:spacing w:val="11"/>
          <w:w w:val="110"/>
          <w:sz w:val="16"/>
        </w:rPr>
        <w:t xml:space="preserve"> </w:t>
      </w:r>
      <w:r>
        <w:rPr>
          <w:color w:val="231F20"/>
          <w:spacing w:val="-4"/>
          <w:w w:val="110"/>
          <w:sz w:val="16"/>
        </w:rPr>
        <w:t>1974.</w:t>
      </w:r>
    </w:p>
    <w:p w14:paraId="334AB0F8" w14:textId="77777777" w:rsidR="002653E8" w:rsidRDefault="003115E3">
      <w:pPr>
        <w:pStyle w:val="a4"/>
        <w:numPr>
          <w:ilvl w:val="0"/>
          <w:numId w:val="109"/>
        </w:numPr>
        <w:tabs>
          <w:tab w:val="left" w:pos="1287"/>
        </w:tabs>
        <w:spacing w:before="40" w:line="254" w:lineRule="auto"/>
        <w:ind w:right="1729" w:firstLine="0"/>
        <w:jc w:val="left"/>
        <w:rPr>
          <w:sz w:val="16"/>
        </w:rPr>
      </w:pPr>
      <w:r>
        <w:rPr>
          <w:color w:val="231F20"/>
          <w:w w:val="105"/>
          <w:sz w:val="16"/>
        </w:rPr>
        <w:t xml:space="preserve">Associated Press, “West German police round up anarchist groups,” </w:t>
      </w:r>
      <w:r>
        <w:rPr>
          <w:i/>
          <w:color w:val="231F20"/>
          <w:w w:val="105"/>
          <w:sz w:val="16"/>
        </w:rPr>
        <w:t xml:space="preserve">Greeley Tribune, </w:t>
      </w:r>
      <w:r>
        <w:rPr>
          <w:color w:val="231F20"/>
          <w:w w:val="105"/>
          <w:sz w:val="16"/>
        </w:rPr>
        <w:t xml:space="preserve">November </w:t>
      </w:r>
      <w:r>
        <w:rPr>
          <w:color w:val="231F20"/>
          <w:spacing w:val="-6"/>
          <w:w w:val="105"/>
          <w:sz w:val="16"/>
        </w:rPr>
        <w:t>27,</w:t>
      </w:r>
      <w:r>
        <w:rPr>
          <w:color w:val="231F20"/>
          <w:spacing w:val="-4"/>
          <w:w w:val="105"/>
          <w:sz w:val="16"/>
        </w:rPr>
        <w:t xml:space="preserve"> 1974.</w:t>
      </w:r>
    </w:p>
    <w:p w14:paraId="5373E0D3" w14:textId="77777777" w:rsidR="002653E8" w:rsidRDefault="003115E3">
      <w:pPr>
        <w:pStyle w:val="a4"/>
        <w:numPr>
          <w:ilvl w:val="0"/>
          <w:numId w:val="109"/>
        </w:numPr>
        <w:tabs>
          <w:tab w:val="left" w:pos="1287"/>
        </w:tabs>
        <w:ind w:firstLine="0"/>
        <w:jc w:val="left"/>
        <w:rPr>
          <w:sz w:val="16"/>
        </w:rPr>
      </w:pPr>
      <w:r>
        <w:rPr>
          <w:color w:val="231F20"/>
          <w:w w:val="115"/>
          <w:sz w:val="16"/>
        </w:rPr>
        <w:t>Cobler,</w:t>
      </w:r>
      <w:r>
        <w:rPr>
          <w:color w:val="231F20"/>
          <w:spacing w:val="3"/>
          <w:w w:val="115"/>
          <w:sz w:val="16"/>
        </w:rPr>
        <w:t xml:space="preserve"> </w:t>
      </w:r>
      <w:r>
        <w:rPr>
          <w:color w:val="231F20"/>
          <w:w w:val="115"/>
          <w:sz w:val="16"/>
        </w:rPr>
        <w:t>141.</w:t>
      </w:r>
    </w:p>
    <w:p w14:paraId="1F84EA7A" w14:textId="77777777" w:rsidR="002653E8" w:rsidRDefault="003115E3">
      <w:pPr>
        <w:pStyle w:val="a4"/>
        <w:numPr>
          <w:ilvl w:val="0"/>
          <w:numId w:val="109"/>
        </w:numPr>
        <w:tabs>
          <w:tab w:val="left" w:pos="1287"/>
        </w:tabs>
        <w:spacing w:before="52"/>
        <w:ind w:firstLine="0"/>
        <w:jc w:val="left"/>
        <w:rPr>
          <w:sz w:val="16"/>
        </w:rPr>
      </w:pPr>
      <w:r>
        <w:rPr>
          <w:color w:val="231F20"/>
          <w:w w:val="105"/>
          <w:sz w:val="16"/>
        </w:rPr>
        <w:t>Associated</w:t>
      </w:r>
      <w:r>
        <w:rPr>
          <w:color w:val="231F20"/>
          <w:spacing w:val="8"/>
          <w:w w:val="105"/>
          <w:sz w:val="16"/>
        </w:rPr>
        <w:t xml:space="preserve"> </w:t>
      </w:r>
      <w:r>
        <w:rPr>
          <w:color w:val="231F20"/>
          <w:w w:val="105"/>
          <w:sz w:val="16"/>
        </w:rPr>
        <w:t>Press,</w:t>
      </w:r>
      <w:r>
        <w:rPr>
          <w:color w:val="231F20"/>
          <w:spacing w:val="8"/>
          <w:w w:val="105"/>
          <w:sz w:val="16"/>
        </w:rPr>
        <w:t xml:space="preserve"> </w:t>
      </w:r>
      <w:r>
        <w:rPr>
          <w:color w:val="231F20"/>
          <w:w w:val="105"/>
          <w:sz w:val="16"/>
        </w:rPr>
        <w:t>“West</w:t>
      </w:r>
      <w:r>
        <w:rPr>
          <w:color w:val="231F20"/>
          <w:spacing w:val="8"/>
          <w:w w:val="105"/>
          <w:sz w:val="16"/>
        </w:rPr>
        <w:t xml:space="preserve"> </w:t>
      </w:r>
      <w:r>
        <w:rPr>
          <w:color w:val="231F20"/>
          <w:w w:val="105"/>
          <w:sz w:val="16"/>
        </w:rPr>
        <w:t>German</w:t>
      </w:r>
      <w:r>
        <w:rPr>
          <w:color w:val="231F20"/>
          <w:spacing w:val="8"/>
          <w:w w:val="105"/>
          <w:sz w:val="16"/>
        </w:rPr>
        <w:t xml:space="preserve"> </w:t>
      </w:r>
      <w:r>
        <w:rPr>
          <w:color w:val="231F20"/>
          <w:w w:val="105"/>
          <w:sz w:val="16"/>
        </w:rPr>
        <w:t>police</w:t>
      </w:r>
      <w:r>
        <w:rPr>
          <w:color w:val="231F20"/>
          <w:spacing w:val="8"/>
          <w:w w:val="105"/>
          <w:sz w:val="16"/>
        </w:rPr>
        <w:t xml:space="preserve"> </w:t>
      </w:r>
      <w:r>
        <w:rPr>
          <w:color w:val="231F20"/>
          <w:w w:val="105"/>
          <w:sz w:val="16"/>
        </w:rPr>
        <w:t>round</w:t>
      </w:r>
      <w:r>
        <w:rPr>
          <w:color w:val="231F20"/>
          <w:spacing w:val="8"/>
          <w:w w:val="105"/>
          <w:sz w:val="16"/>
        </w:rPr>
        <w:t xml:space="preserve"> </w:t>
      </w:r>
      <w:r>
        <w:rPr>
          <w:color w:val="231F20"/>
          <w:w w:val="105"/>
          <w:sz w:val="16"/>
        </w:rPr>
        <w:t>up</w:t>
      </w:r>
      <w:r>
        <w:rPr>
          <w:color w:val="231F20"/>
          <w:spacing w:val="8"/>
          <w:w w:val="105"/>
          <w:sz w:val="16"/>
        </w:rPr>
        <w:t xml:space="preserve"> </w:t>
      </w:r>
      <w:r>
        <w:rPr>
          <w:color w:val="231F20"/>
          <w:w w:val="105"/>
          <w:sz w:val="16"/>
        </w:rPr>
        <w:t>anarchist</w:t>
      </w:r>
      <w:r>
        <w:rPr>
          <w:color w:val="231F20"/>
          <w:spacing w:val="8"/>
          <w:w w:val="105"/>
          <w:sz w:val="16"/>
        </w:rPr>
        <w:t xml:space="preserve"> </w:t>
      </w:r>
      <w:r>
        <w:rPr>
          <w:color w:val="231F20"/>
          <w:w w:val="105"/>
          <w:sz w:val="16"/>
        </w:rPr>
        <w:t>groups.”</w:t>
      </w:r>
    </w:p>
    <w:p w14:paraId="49240C68" w14:textId="77777777" w:rsidR="002653E8" w:rsidRDefault="003115E3">
      <w:pPr>
        <w:pStyle w:val="a4"/>
        <w:numPr>
          <w:ilvl w:val="0"/>
          <w:numId w:val="109"/>
        </w:numPr>
        <w:tabs>
          <w:tab w:val="left" w:pos="1287"/>
        </w:tabs>
        <w:spacing w:before="51" w:line="254" w:lineRule="auto"/>
        <w:ind w:right="1518" w:firstLine="0"/>
        <w:jc w:val="both"/>
        <w:rPr>
          <w:sz w:val="16"/>
        </w:rPr>
      </w:pPr>
      <w:r>
        <w:rPr>
          <w:color w:val="231F20"/>
          <w:w w:val="105"/>
          <w:sz w:val="16"/>
        </w:rPr>
        <w:t>The frustrating fact of the matter is that no two sources seem to agree on either the exact number of arrests, the nature of all the charges, or the numbers actually prosecuted.</w:t>
      </w:r>
    </w:p>
    <w:p w14:paraId="06FCD391" w14:textId="77777777" w:rsidR="002653E8" w:rsidRDefault="003115E3">
      <w:pPr>
        <w:pStyle w:val="a4"/>
        <w:numPr>
          <w:ilvl w:val="0"/>
          <w:numId w:val="109"/>
        </w:numPr>
        <w:tabs>
          <w:tab w:val="left" w:pos="1287"/>
        </w:tabs>
        <w:spacing w:line="254" w:lineRule="auto"/>
        <w:ind w:right="1411" w:firstLine="0"/>
        <w:jc w:val="left"/>
        <w:rPr>
          <w:sz w:val="16"/>
        </w:rPr>
      </w:pPr>
      <w:r>
        <w:rPr>
          <w:color w:val="231F20"/>
          <w:spacing w:val="1"/>
          <w:w w:val="105"/>
          <w:sz w:val="16"/>
        </w:rPr>
        <w:t xml:space="preserve">In </w:t>
      </w:r>
      <w:r>
        <w:rPr>
          <w:color w:val="231F20"/>
          <w:w w:val="105"/>
          <w:sz w:val="16"/>
        </w:rPr>
        <w:t>a cabinet shuffle after Helmut Schmidt replaced Willy Brandt as Chancellor earlier that year, Werner Maihofer replaced Hans-Dietrich Genscher as Minister of the</w:t>
      </w:r>
      <w:r>
        <w:rPr>
          <w:color w:val="231F20"/>
          <w:spacing w:val="8"/>
          <w:w w:val="105"/>
          <w:sz w:val="16"/>
        </w:rPr>
        <w:t xml:space="preserve"> </w:t>
      </w:r>
      <w:r>
        <w:rPr>
          <w:color w:val="231F20"/>
          <w:w w:val="105"/>
          <w:sz w:val="16"/>
        </w:rPr>
        <w:t>Interior.</w:t>
      </w:r>
      <w:r>
        <w:rPr>
          <w:color w:val="231F20"/>
          <w:spacing w:val="8"/>
          <w:w w:val="105"/>
          <w:sz w:val="16"/>
        </w:rPr>
        <w:t xml:space="preserve"> </w:t>
      </w:r>
      <w:r>
        <w:rPr>
          <w:color w:val="231F20"/>
          <w:w w:val="105"/>
          <w:sz w:val="16"/>
        </w:rPr>
        <w:t>(Genscher</w:t>
      </w:r>
      <w:r>
        <w:rPr>
          <w:color w:val="231F20"/>
          <w:spacing w:val="8"/>
          <w:w w:val="105"/>
          <w:sz w:val="16"/>
        </w:rPr>
        <w:t xml:space="preserve"> </w:t>
      </w:r>
      <w:r>
        <w:rPr>
          <w:color w:val="231F20"/>
          <w:w w:val="105"/>
          <w:sz w:val="16"/>
        </w:rPr>
        <w:t>became</w:t>
      </w:r>
      <w:r>
        <w:rPr>
          <w:color w:val="231F20"/>
          <w:spacing w:val="8"/>
          <w:w w:val="105"/>
          <w:sz w:val="16"/>
        </w:rPr>
        <w:t xml:space="preserve"> </w:t>
      </w:r>
      <w:r>
        <w:rPr>
          <w:color w:val="231F20"/>
          <w:w w:val="105"/>
          <w:sz w:val="16"/>
        </w:rPr>
        <w:t>Minister</w:t>
      </w:r>
      <w:r>
        <w:rPr>
          <w:color w:val="231F20"/>
          <w:spacing w:val="8"/>
          <w:w w:val="105"/>
          <w:sz w:val="16"/>
        </w:rPr>
        <w:t xml:space="preserve"> </w:t>
      </w:r>
      <w:r>
        <w:rPr>
          <w:color w:val="231F20"/>
          <w:w w:val="105"/>
          <w:sz w:val="16"/>
        </w:rPr>
        <w:t>of</w:t>
      </w:r>
      <w:r>
        <w:rPr>
          <w:color w:val="231F20"/>
          <w:spacing w:val="8"/>
          <w:w w:val="105"/>
          <w:sz w:val="16"/>
        </w:rPr>
        <w:t xml:space="preserve"> </w:t>
      </w:r>
      <w:r>
        <w:rPr>
          <w:color w:val="231F20"/>
          <w:w w:val="105"/>
          <w:sz w:val="16"/>
        </w:rPr>
        <w:t>Foreign</w:t>
      </w:r>
      <w:r>
        <w:rPr>
          <w:color w:val="231F20"/>
          <w:spacing w:val="8"/>
          <w:w w:val="105"/>
          <w:sz w:val="16"/>
        </w:rPr>
        <w:t xml:space="preserve"> </w:t>
      </w:r>
      <w:r>
        <w:rPr>
          <w:color w:val="231F20"/>
          <w:w w:val="105"/>
          <w:sz w:val="16"/>
        </w:rPr>
        <w:t>Affairs.)</w:t>
      </w:r>
    </w:p>
    <w:p w14:paraId="2C4D16BA" w14:textId="77777777" w:rsidR="002653E8" w:rsidRDefault="003115E3">
      <w:pPr>
        <w:pStyle w:val="a4"/>
        <w:numPr>
          <w:ilvl w:val="0"/>
          <w:numId w:val="109"/>
        </w:numPr>
        <w:tabs>
          <w:tab w:val="left" w:pos="1287"/>
        </w:tabs>
        <w:spacing w:before="42"/>
        <w:ind w:firstLine="0"/>
        <w:jc w:val="left"/>
        <w:rPr>
          <w:sz w:val="16"/>
        </w:rPr>
      </w:pPr>
      <w:r>
        <w:rPr>
          <w:color w:val="231F20"/>
          <w:w w:val="110"/>
          <w:sz w:val="16"/>
        </w:rPr>
        <w:t xml:space="preserve">“Meinhof,” </w:t>
      </w:r>
      <w:r>
        <w:rPr>
          <w:i/>
          <w:color w:val="231F20"/>
          <w:w w:val="110"/>
          <w:sz w:val="16"/>
        </w:rPr>
        <w:t xml:space="preserve">European Stars </w:t>
      </w:r>
      <w:r>
        <w:rPr>
          <w:i/>
          <w:color w:val="231F20"/>
          <w:spacing w:val="1"/>
          <w:w w:val="110"/>
          <w:sz w:val="16"/>
        </w:rPr>
        <w:t xml:space="preserve">and </w:t>
      </w:r>
      <w:r>
        <w:rPr>
          <w:i/>
          <w:color w:val="231F20"/>
          <w:w w:val="110"/>
          <w:sz w:val="16"/>
        </w:rPr>
        <w:t xml:space="preserve">Stripes, </w:t>
      </w:r>
      <w:r>
        <w:rPr>
          <w:color w:val="231F20"/>
          <w:w w:val="110"/>
          <w:sz w:val="16"/>
        </w:rPr>
        <w:t>November 30,</w:t>
      </w:r>
      <w:r>
        <w:rPr>
          <w:color w:val="231F20"/>
          <w:spacing w:val="5"/>
          <w:w w:val="110"/>
          <w:sz w:val="16"/>
        </w:rPr>
        <w:t xml:space="preserve"> </w:t>
      </w:r>
      <w:r>
        <w:rPr>
          <w:color w:val="231F20"/>
          <w:spacing w:val="-4"/>
          <w:w w:val="110"/>
          <w:sz w:val="16"/>
        </w:rPr>
        <w:t>1974.</w:t>
      </w:r>
    </w:p>
    <w:bookmarkEnd w:id="116"/>
    <w:p w14:paraId="246DA820" w14:textId="77777777" w:rsidR="002653E8" w:rsidRDefault="002653E8">
      <w:pPr>
        <w:rPr>
          <w:sz w:val="16"/>
        </w:rPr>
        <w:sectPr w:rsidR="002653E8">
          <w:pgSz w:w="8640" w:h="12960"/>
          <w:pgMar w:top="1060" w:right="0" w:bottom="1040" w:left="0" w:header="0" w:footer="850" w:gutter="0"/>
          <w:cols w:space="720"/>
        </w:sectPr>
      </w:pPr>
    </w:p>
    <w:p w14:paraId="1DD7A334" w14:textId="77777777" w:rsidR="002653E8" w:rsidRDefault="003115E3">
      <w:pPr>
        <w:pStyle w:val="a3"/>
        <w:spacing w:before="86" w:line="264" w:lineRule="auto"/>
        <w:ind w:left="1327" w:right="1147"/>
        <w:jc w:val="both"/>
      </w:pPr>
      <w:r>
        <w:rPr>
          <w:color w:val="231F20"/>
        </w:rPr>
        <w:lastRenderedPageBreak/>
        <w:t>movement while preparing public opinion for a new round of repressive legislation. As defense attorney Klaus Croissant wrote soon after:</w:t>
      </w:r>
    </w:p>
    <w:p w14:paraId="749CB19E" w14:textId="77777777" w:rsidR="002653E8" w:rsidRDefault="002653E8">
      <w:pPr>
        <w:pStyle w:val="a3"/>
      </w:pPr>
    </w:p>
    <w:p w14:paraId="3A56EF4A" w14:textId="77777777" w:rsidR="002653E8" w:rsidRDefault="003115E3">
      <w:pPr>
        <w:spacing w:before="1" w:line="276" w:lineRule="auto"/>
        <w:ind w:left="1747" w:right="1558"/>
        <w:jc w:val="both"/>
        <w:rPr>
          <w:i/>
          <w:sz w:val="19"/>
        </w:rPr>
      </w:pPr>
      <w:r>
        <w:rPr>
          <w:i/>
          <w:color w:val="231F20"/>
          <w:w w:val="105"/>
          <w:sz w:val="19"/>
        </w:rPr>
        <w:t xml:space="preserve">In the Attorney </w:t>
      </w:r>
      <w:r>
        <w:rPr>
          <w:i/>
          <w:color w:val="231F20"/>
          <w:spacing w:val="-3"/>
          <w:w w:val="105"/>
          <w:sz w:val="19"/>
        </w:rPr>
        <w:t xml:space="preserve">General’s </w:t>
      </w:r>
      <w:r>
        <w:rPr>
          <w:i/>
          <w:color w:val="231F20"/>
          <w:w w:val="105"/>
          <w:sz w:val="19"/>
        </w:rPr>
        <w:t>own words, the action was aimed at what they call “the sympathizers”: that means the prisoners’ family members, the lawyers, the members of Red Aid, the writers</w:t>
      </w:r>
      <w:r>
        <w:rPr>
          <w:i/>
          <w:color w:val="231F20"/>
          <w:spacing w:val="-9"/>
          <w:w w:val="105"/>
          <w:sz w:val="19"/>
        </w:rPr>
        <w:t xml:space="preserve"> </w:t>
      </w:r>
      <w:r>
        <w:rPr>
          <w:i/>
          <w:color w:val="231F20"/>
          <w:w w:val="105"/>
          <w:sz w:val="19"/>
        </w:rPr>
        <w:t>who</w:t>
      </w:r>
      <w:r>
        <w:rPr>
          <w:i/>
          <w:color w:val="231F20"/>
          <w:spacing w:val="-9"/>
          <w:w w:val="105"/>
          <w:sz w:val="19"/>
        </w:rPr>
        <w:t xml:space="preserve"> </w:t>
      </w:r>
      <w:r>
        <w:rPr>
          <w:i/>
          <w:color w:val="231F20"/>
          <w:w w:val="105"/>
          <w:sz w:val="19"/>
        </w:rPr>
        <w:t>have</w:t>
      </w:r>
      <w:r>
        <w:rPr>
          <w:i/>
          <w:color w:val="231F20"/>
          <w:spacing w:val="-9"/>
          <w:w w:val="105"/>
          <w:sz w:val="19"/>
        </w:rPr>
        <w:t xml:space="preserve"> </w:t>
      </w:r>
      <w:r>
        <w:rPr>
          <w:i/>
          <w:color w:val="231F20"/>
          <w:w w:val="105"/>
          <w:sz w:val="19"/>
        </w:rPr>
        <w:t>publicly</w:t>
      </w:r>
      <w:r>
        <w:rPr>
          <w:i/>
          <w:color w:val="231F20"/>
          <w:spacing w:val="-9"/>
          <w:w w:val="105"/>
          <w:sz w:val="19"/>
        </w:rPr>
        <w:t xml:space="preserve"> </w:t>
      </w:r>
      <w:r>
        <w:rPr>
          <w:i/>
          <w:color w:val="231F20"/>
          <w:w w:val="105"/>
          <w:sz w:val="19"/>
        </w:rPr>
        <w:t>taken</w:t>
      </w:r>
      <w:r>
        <w:rPr>
          <w:i/>
          <w:color w:val="231F20"/>
          <w:spacing w:val="-9"/>
          <w:w w:val="105"/>
          <w:sz w:val="19"/>
        </w:rPr>
        <w:t xml:space="preserve"> </w:t>
      </w:r>
      <w:r>
        <w:rPr>
          <w:i/>
          <w:color w:val="231F20"/>
          <w:w w:val="105"/>
          <w:sz w:val="19"/>
        </w:rPr>
        <w:t>a</w:t>
      </w:r>
      <w:r>
        <w:rPr>
          <w:i/>
          <w:color w:val="231F20"/>
          <w:spacing w:val="-9"/>
          <w:w w:val="105"/>
          <w:sz w:val="19"/>
        </w:rPr>
        <w:t xml:space="preserve"> </w:t>
      </w:r>
      <w:r>
        <w:rPr>
          <w:i/>
          <w:color w:val="231F20"/>
          <w:w w:val="105"/>
          <w:sz w:val="19"/>
        </w:rPr>
        <w:t>stand</w:t>
      </w:r>
      <w:r>
        <w:rPr>
          <w:i/>
          <w:color w:val="231F20"/>
          <w:spacing w:val="-9"/>
          <w:w w:val="105"/>
          <w:sz w:val="19"/>
        </w:rPr>
        <w:t xml:space="preserve"> </w:t>
      </w:r>
      <w:r>
        <w:rPr>
          <w:i/>
          <w:color w:val="231F20"/>
          <w:w w:val="105"/>
          <w:sz w:val="19"/>
        </w:rPr>
        <w:t>against</w:t>
      </w:r>
      <w:r>
        <w:rPr>
          <w:i/>
          <w:color w:val="231F20"/>
          <w:spacing w:val="-9"/>
          <w:w w:val="105"/>
          <w:sz w:val="19"/>
        </w:rPr>
        <w:t xml:space="preserve"> </w:t>
      </w:r>
      <w:r>
        <w:rPr>
          <w:i/>
          <w:color w:val="231F20"/>
          <w:w w:val="105"/>
          <w:sz w:val="19"/>
        </w:rPr>
        <w:t>isolation</w:t>
      </w:r>
      <w:r>
        <w:rPr>
          <w:i/>
          <w:color w:val="231F20"/>
          <w:spacing w:val="-9"/>
          <w:w w:val="105"/>
          <w:sz w:val="19"/>
        </w:rPr>
        <w:t xml:space="preserve"> </w:t>
      </w:r>
      <w:r>
        <w:rPr>
          <w:i/>
          <w:color w:val="231F20"/>
          <w:w w:val="105"/>
          <w:sz w:val="19"/>
        </w:rPr>
        <w:t>torture, brainwashing and</w:t>
      </w:r>
      <w:r>
        <w:rPr>
          <w:i/>
          <w:color w:val="231F20"/>
          <w:spacing w:val="10"/>
          <w:w w:val="105"/>
          <w:sz w:val="19"/>
        </w:rPr>
        <w:t xml:space="preserve"> </w:t>
      </w:r>
      <w:r>
        <w:rPr>
          <w:i/>
          <w:color w:val="231F20"/>
          <w:w w:val="105"/>
          <w:sz w:val="19"/>
        </w:rPr>
        <w:t>detention-extermination.</w:t>
      </w:r>
    </w:p>
    <w:p w14:paraId="3426AB25" w14:textId="77777777" w:rsidR="002653E8" w:rsidRDefault="003115E3">
      <w:pPr>
        <w:spacing w:before="38" w:line="276" w:lineRule="auto"/>
        <w:ind w:left="1747" w:right="1566"/>
        <w:jc w:val="both"/>
        <w:rPr>
          <w:i/>
          <w:sz w:val="11"/>
        </w:rPr>
      </w:pPr>
      <w:r>
        <w:rPr>
          <w:i/>
          <w:color w:val="231F20"/>
          <w:w w:val="105"/>
          <w:sz w:val="19"/>
        </w:rPr>
        <w:t>By means of this police action, public opinion was prepared so</w:t>
      </w:r>
      <w:r>
        <w:rPr>
          <w:i/>
          <w:color w:val="231F20"/>
          <w:spacing w:val="-17"/>
          <w:w w:val="105"/>
          <w:sz w:val="19"/>
        </w:rPr>
        <w:t xml:space="preserve"> </w:t>
      </w:r>
      <w:r>
        <w:rPr>
          <w:i/>
          <w:color w:val="231F20"/>
          <w:w w:val="105"/>
          <w:sz w:val="19"/>
        </w:rPr>
        <w:t>as to</w:t>
      </w:r>
      <w:r>
        <w:rPr>
          <w:i/>
          <w:color w:val="231F20"/>
          <w:spacing w:val="-8"/>
          <w:w w:val="105"/>
          <w:sz w:val="19"/>
        </w:rPr>
        <w:t xml:space="preserve"> </w:t>
      </w:r>
      <w:r>
        <w:rPr>
          <w:i/>
          <w:color w:val="231F20"/>
          <w:w w:val="105"/>
          <w:sz w:val="19"/>
        </w:rPr>
        <w:t>allow</w:t>
      </w:r>
      <w:r>
        <w:rPr>
          <w:i/>
          <w:color w:val="231F20"/>
          <w:spacing w:val="-8"/>
          <w:w w:val="105"/>
          <w:sz w:val="19"/>
        </w:rPr>
        <w:t xml:space="preserve"> </w:t>
      </w:r>
      <w:r>
        <w:rPr>
          <w:i/>
          <w:color w:val="231F20"/>
          <w:w w:val="105"/>
          <w:sz w:val="19"/>
        </w:rPr>
        <w:t>special</w:t>
      </w:r>
      <w:r>
        <w:rPr>
          <w:i/>
          <w:color w:val="231F20"/>
          <w:spacing w:val="-8"/>
          <w:w w:val="105"/>
          <w:sz w:val="19"/>
        </w:rPr>
        <w:t xml:space="preserve"> </w:t>
      </w:r>
      <w:r>
        <w:rPr>
          <w:i/>
          <w:color w:val="231F20"/>
          <w:w w:val="105"/>
          <w:sz w:val="19"/>
        </w:rPr>
        <w:t>legislation</w:t>
      </w:r>
      <w:r>
        <w:rPr>
          <w:i/>
          <w:color w:val="231F20"/>
          <w:spacing w:val="-8"/>
          <w:w w:val="105"/>
          <w:sz w:val="19"/>
        </w:rPr>
        <w:t xml:space="preserve"> </w:t>
      </w:r>
      <w:r>
        <w:rPr>
          <w:i/>
          <w:color w:val="231F20"/>
          <w:w w:val="105"/>
          <w:sz w:val="19"/>
        </w:rPr>
        <w:t>to</w:t>
      </w:r>
      <w:r>
        <w:rPr>
          <w:i/>
          <w:color w:val="231F20"/>
          <w:spacing w:val="-8"/>
          <w:w w:val="105"/>
          <w:sz w:val="19"/>
        </w:rPr>
        <w:t xml:space="preserve"> </w:t>
      </w:r>
      <w:r>
        <w:rPr>
          <w:i/>
          <w:color w:val="231F20"/>
          <w:w w:val="105"/>
          <w:sz w:val="19"/>
        </w:rPr>
        <w:t>be</w:t>
      </w:r>
      <w:r>
        <w:rPr>
          <w:i/>
          <w:color w:val="231F20"/>
          <w:spacing w:val="-8"/>
          <w:w w:val="105"/>
          <w:sz w:val="19"/>
        </w:rPr>
        <w:t xml:space="preserve"> </w:t>
      </w:r>
      <w:r>
        <w:rPr>
          <w:i/>
          <w:color w:val="231F20"/>
          <w:w w:val="105"/>
          <w:sz w:val="19"/>
        </w:rPr>
        <w:t>passed</w:t>
      </w:r>
      <w:r>
        <w:rPr>
          <w:i/>
          <w:color w:val="231F20"/>
          <w:spacing w:val="-8"/>
          <w:w w:val="105"/>
          <w:sz w:val="19"/>
        </w:rPr>
        <w:t xml:space="preserve"> </w:t>
      </w:r>
      <w:r>
        <w:rPr>
          <w:i/>
          <w:color w:val="231F20"/>
          <w:w w:val="105"/>
          <w:sz w:val="19"/>
        </w:rPr>
        <w:t>in</w:t>
      </w:r>
      <w:r>
        <w:rPr>
          <w:i/>
          <w:color w:val="231F20"/>
          <w:spacing w:val="-8"/>
          <w:w w:val="105"/>
          <w:sz w:val="19"/>
        </w:rPr>
        <w:t xml:space="preserve"> </w:t>
      </w:r>
      <w:r>
        <w:rPr>
          <w:i/>
          <w:color w:val="231F20"/>
          <w:w w:val="105"/>
          <w:sz w:val="19"/>
        </w:rPr>
        <w:t>fifteen</w:t>
      </w:r>
      <w:r>
        <w:rPr>
          <w:i/>
          <w:color w:val="231F20"/>
          <w:spacing w:val="-8"/>
          <w:w w:val="105"/>
          <w:sz w:val="19"/>
        </w:rPr>
        <w:t xml:space="preserve"> </w:t>
      </w:r>
      <w:r>
        <w:rPr>
          <w:i/>
          <w:color w:val="231F20"/>
          <w:w w:val="105"/>
          <w:sz w:val="19"/>
        </w:rPr>
        <w:t>days,</w:t>
      </w:r>
      <w:r>
        <w:rPr>
          <w:i/>
          <w:color w:val="231F20"/>
          <w:spacing w:val="-14"/>
          <w:w w:val="105"/>
          <w:sz w:val="19"/>
        </w:rPr>
        <w:t xml:space="preserve"> </w:t>
      </w:r>
      <w:r>
        <w:rPr>
          <w:i/>
          <w:color w:val="231F20"/>
          <w:w w:val="105"/>
          <w:sz w:val="19"/>
        </w:rPr>
        <w:t>just</w:t>
      </w:r>
      <w:r>
        <w:rPr>
          <w:i/>
          <w:color w:val="231F20"/>
          <w:spacing w:val="-8"/>
          <w:w w:val="105"/>
          <w:sz w:val="19"/>
        </w:rPr>
        <w:t xml:space="preserve"> </w:t>
      </w:r>
      <w:r>
        <w:rPr>
          <w:i/>
          <w:color w:val="231F20"/>
          <w:w w:val="105"/>
          <w:sz w:val="19"/>
        </w:rPr>
        <w:t>before Christmas.</w:t>
      </w:r>
      <w:r>
        <w:rPr>
          <w:i/>
          <w:color w:val="231F20"/>
          <w:w w:val="105"/>
          <w:position w:val="6"/>
          <w:sz w:val="11"/>
        </w:rPr>
        <w:t>9</w:t>
      </w:r>
    </w:p>
    <w:p w14:paraId="4A808C4C" w14:textId="77777777" w:rsidR="002653E8" w:rsidRDefault="002653E8">
      <w:pPr>
        <w:pStyle w:val="a3"/>
        <w:spacing w:before="9"/>
        <w:rPr>
          <w:i/>
        </w:rPr>
      </w:pPr>
    </w:p>
    <w:p w14:paraId="409321FE" w14:textId="77777777" w:rsidR="002653E8" w:rsidRDefault="003115E3">
      <w:pPr>
        <w:pStyle w:val="a3"/>
        <w:spacing w:line="264" w:lineRule="auto"/>
        <w:ind w:left="1328" w:right="1145" w:hanging="1"/>
        <w:jc w:val="both"/>
      </w:pPr>
      <w:r>
        <w:rPr>
          <w:color w:val="231F20"/>
        </w:rPr>
        <w:t xml:space="preserve">Most importantly in regards to the </w:t>
      </w:r>
      <w:r w:rsidR="00C507A5">
        <w:rPr>
          <w:color w:val="231F20"/>
        </w:rPr>
        <w:t>red army faction</w:t>
      </w:r>
      <w:r>
        <w:rPr>
          <w:color w:val="231F20"/>
        </w:rPr>
        <w:t>’s legal team, the defense attorneys were now accused of organizing an illegal communication network to transmit messages between prisoners, as well as between prisoners and “active commandos” on the outside. The state supplemented evidence from Winter Trip with a series of cell raids, the contents of letters and documents seized being manipulated in the media to present the image of a far-reaching “terrorist conspiracy.”</w:t>
      </w:r>
    </w:p>
    <w:p w14:paraId="678BD3B4" w14:textId="77777777" w:rsidR="002653E8" w:rsidRDefault="003115E3">
      <w:pPr>
        <w:pStyle w:val="a3"/>
        <w:spacing w:line="264" w:lineRule="auto"/>
        <w:ind w:left="1327" w:right="1145" w:firstLine="210"/>
        <w:jc w:val="both"/>
      </w:pPr>
      <w:r>
        <w:rPr>
          <w:color w:val="231F20"/>
        </w:rPr>
        <w:t xml:space="preserve">Croissant was not alone in his belief that the real goal of this crackdown was to deprive the remaining four alleged ringleaders (Holger Meins now being dead) of any effective defense as their trial approached. This was a matter of some importance, for while the accused did not deny responsibility for the </w:t>
      </w:r>
      <w:r w:rsidR="00C507A5">
        <w:rPr>
          <w:color w:val="231F20"/>
        </w:rPr>
        <w:t>red army faction</w:t>
      </w:r>
      <w:r>
        <w:rPr>
          <w:color w:val="231F20"/>
        </w:rPr>
        <w:t xml:space="preserve">’s attacks, their lawyers had marshaled compelling evidence that the isolation conditions in which they were held had rendered them unfit to stand trial. As SPD deputy Fritz-Joachim Gnädinger would later tell the </w:t>
      </w:r>
      <w:r>
        <w:rPr>
          <w:i/>
          <w:color w:val="231F20"/>
        </w:rPr>
        <w:t>Bundestag</w:t>
      </w:r>
      <w:r>
        <w:rPr>
          <w:color w:val="231F20"/>
        </w:rPr>
        <w:t>:</w:t>
      </w:r>
    </w:p>
    <w:p w14:paraId="7A4596B3" w14:textId="77777777" w:rsidR="002653E8" w:rsidRDefault="003115E3">
      <w:pPr>
        <w:spacing w:before="113" w:line="276" w:lineRule="auto"/>
        <w:ind w:left="1747" w:right="1559"/>
        <w:jc w:val="both"/>
        <w:rPr>
          <w:i/>
          <w:sz w:val="11"/>
        </w:rPr>
      </w:pPr>
      <w:r>
        <w:rPr>
          <w:i/>
          <w:color w:val="231F20"/>
          <w:w w:val="105"/>
          <w:sz w:val="19"/>
        </w:rPr>
        <w:t>It is clear to anyone in the know that without the changes in procedure</w:t>
      </w:r>
      <w:r>
        <w:rPr>
          <w:i/>
          <w:color w:val="231F20"/>
          <w:spacing w:val="-33"/>
          <w:w w:val="105"/>
          <w:sz w:val="19"/>
        </w:rPr>
        <w:t xml:space="preserve"> </w:t>
      </w:r>
      <w:r>
        <w:rPr>
          <w:i/>
          <w:color w:val="231F20"/>
          <w:w w:val="105"/>
          <w:sz w:val="19"/>
        </w:rPr>
        <w:t>already</w:t>
      </w:r>
      <w:r>
        <w:rPr>
          <w:i/>
          <w:color w:val="231F20"/>
          <w:spacing w:val="-33"/>
          <w:w w:val="105"/>
          <w:sz w:val="19"/>
        </w:rPr>
        <w:t xml:space="preserve"> </w:t>
      </w:r>
      <w:r>
        <w:rPr>
          <w:i/>
          <w:color w:val="231F20"/>
          <w:w w:val="105"/>
          <w:sz w:val="19"/>
        </w:rPr>
        <w:t>agreed</w:t>
      </w:r>
      <w:r>
        <w:rPr>
          <w:i/>
          <w:color w:val="231F20"/>
          <w:spacing w:val="-33"/>
          <w:w w:val="105"/>
          <w:sz w:val="19"/>
        </w:rPr>
        <w:t xml:space="preserve"> </w:t>
      </w:r>
      <w:r>
        <w:rPr>
          <w:i/>
          <w:color w:val="231F20"/>
          <w:w w:val="105"/>
          <w:sz w:val="19"/>
        </w:rPr>
        <w:t>the</w:t>
      </w:r>
      <w:r>
        <w:rPr>
          <w:i/>
          <w:color w:val="231F20"/>
          <w:spacing w:val="-33"/>
          <w:w w:val="105"/>
          <w:sz w:val="19"/>
        </w:rPr>
        <w:t xml:space="preserve"> </w:t>
      </w:r>
      <w:r>
        <w:rPr>
          <w:i/>
          <w:color w:val="231F20"/>
          <w:w w:val="105"/>
          <w:sz w:val="19"/>
        </w:rPr>
        <w:t>trial</w:t>
      </w:r>
      <w:r>
        <w:rPr>
          <w:i/>
          <w:color w:val="231F20"/>
          <w:spacing w:val="-33"/>
          <w:w w:val="105"/>
          <w:sz w:val="19"/>
        </w:rPr>
        <w:t xml:space="preserve"> </w:t>
      </w:r>
      <w:r>
        <w:rPr>
          <w:i/>
          <w:color w:val="231F20"/>
          <w:w w:val="105"/>
          <w:sz w:val="19"/>
        </w:rPr>
        <w:t>of</w:t>
      </w:r>
      <w:r>
        <w:rPr>
          <w:i/>
          <w:color w:val="231F20"/>
          <w:spacing w:val="-33"/>
          <w:w w:val="105"/>
          <w:sz w:val="19"/>
        </w:rPr>
        <w:t xml:space="preserve"> </w:t>
      </w:r>
      <w:r>
        <w:rPr>
          <w:i/>
          <w:color w:val="231F20"/>
          <w:w w:val="105"/>
          <w:sz w:val="19"/>
        </w:rPr>
        <w:t>the</w:t>
      </w:r>
      <w:r>
        <w:rPr>
          <w:i/>
          <w:color w:val="231F20"/>
          <w:spacing w:val="-33"/>
          <w:w w:val="105"/>
          <w:sz w:val="19"/>
        </w:rPr>
        <w:t xml:space="preserve"> </w:t>
      </w:r>
      <w:r>
        <w:rPr>
          <w:i/>
          <w:color w:val="231F20"/>
          <w:w w:val="105"/>
          <w:sz w:val="19"/>
        </w:rPr>
        <w:t>Baader-Meinhof</w:t>
      </w:r>
      <w:r>
        <w:rPr>
          <w:i/>
          <w:color w:val="231F20"/>
          <w:spacing w:val="-33"/>
          <w:w w:val="105"/>
          <w:sz w:val="19"/>
        </w:rPr>
        <w:t xml:space="preserve"> </w:t>
      </w:r>
      <w:r>
        <w:rPr>
          <w:i/>
          <w:color w:val="231F20"/>
          <w:w w:val="105"/>
          <w:sz w:val="19"/>
        </w:rPr>
        <w:t>terrorists in Stammheim would have got into even greater difficulties. It might even have had to be abandoned. Only a change in the law made last year…  made  the  continuation  of  the  trial</w:t>
      </w:r>
      <w:r>
        <w:rPr>
          <w:i/>
          <w:color w:val="231F20"/>
          <w:spacing w:val="21"/>
          <w:w w:val="105"/>
          <w:sz w:val="19"/>
        </w:rPr>
        <w:t xml:space="preserve"> </w:t>
      </w:r>
      <w:r>
        <w:rPr>
          <w:i/>
          <w:color w:val="231F20"/>
          <w:w w:val="105"/>
          <w:sz w:val="19"/>
        </w:rPr>
        <w:t>possible. I therefore ask all the critics to consider for a moment what disastrous consequences for our citizens’ sense of law and order would have resulted if the trial in Stammheim had had to be abandoned without a</w:t>
      </w:r>
      <w:r>
        <w:rPr>
          <w:i/>
          <w:color w:val="231F20"/>
          <w:spacing w:val="20"/>
          <w:w w:val="105"/>
          <w:sz w:val="19"/>
        </w:rPr>
        <w:t xml:space="preserve"> </w:t>
      </w:r>
      <w:r>
        <w:rPr>
          <w:i/>
          <w:color w:val="231F20"/>
          <w:w w:val="105"/>
          <w:sz w:val="19"/>
        </w:rPr>
        <w:t>verdict.</w:t>
      </w:r>
      <w:r>
        <w:rPr>
          <w:i/>
          <w:color w:val="231F20"/>
          <w:w w:val="105"/>
          <w:position w:val="6"/>
          <w:sz w:val="11"/>
        </w:rPr>
        <w:t>10</w:t>
      </w:r>
    </w:p>
    <w:p w14:paraId="5AB349F6" w14:textId="77777777" w:rsidR="002653E8" w:rsidRDefault="00000000">
      <w:pPr>
        <w:pStyle w:val="a3"/>
        <w:spacing w:before="5"/>
        <w:rPr>
          <w:i/>
          <w:sz w:val="28"/>
        </w:rPr>
      </w:pPr>
      <w:r>
        <w:rPr>
          <w:noProof w:val="0"/>
        </w:rPr>
        <w:pict w14:anchorId="23993C2F">
          <v:line id="_x0000_s2377" style="position:absolute;z-index:6808;mso-wrap-distance-left:0;mso-wrap-distance-right:0;mso-position-horizontal-relative:page" from="66.4pt,18.9pt" to="138.4pt,18.9pt" strokecolor="#231f20" strokeweight=".5pt">
            <w10:wrap type="topAndBottom" anchorx="page"/>
          </v:line>
        </w:pict>
      </w:r>
    </w:p>
    <w:p w14:paraId="2B2942CD" w14:textId="77777777" w:rsidR="002653E8" w:rsidRDefault="003115E3">
      <w:pPr>
        <w:pStyle w:val="a4"/>
        <w:numPr>
          <w:ilvl w:val="0"/>
          <w:numId w:val="109"/>
        </w:numPr>
        <w:tabs>
          <w:tab w:val="left" w:pos="1467"/>
        </w:tabs>
        <w:spacing w:before="53" w:line="307" w:lineRule="auto"/>
        <w:ind w:left="1327" w:right="2589" w:firstLine="0"/>
        <w:jc w:val="left"/>
        <w:rPr>
          <w:sz w:val="16"/>
        </w:rPr>
      </w:pPr>
      <w:bookmarkStart w:id="117" w:name="_Hlk119810982"/>
      <w:r>
        <w:rPr>
          <w:color w:val="231F20"/>
          <w:w w:val="110"/>
          <w:sz w:val="16"/>
        </w:rPr>
        <w:t xml:space="preserve">Klaus Croissant, “Le procès de Stuttgart,” in Croissant, </w:t>
      </w:r>
      <w:r>
        <w:rPr>
          <w:color w:val="231F20"/>
          <w:spacing w:val="-5"/>
          <w:w w:val="110"/>
          <w:sz w:val="16"/>
        </w:rPr>
        <w:t xml:space="preserve">16-17. </w:t>
      </w:r>
      <w:r>
        <w:rPr>
          <w:color w:val="231F20"/>
          <w:spacing w:val="-3"/>
          <w:w w:val="110"/>
          <w:sz w:val="16"/>
        </w:rPr>
        <w:t xml:space="preserve">10 </w:t>
      </w:r>
      <w:r>
        <w:rPr>
          <w:color w:val="231F20"/>
          <w:w w:val="110"/>
          <w:sz w:val="16"/>
        </w:rPr>
        <w:t>Cobler,</w:t>
      </w:r>
      <w:r>
        <w:rPr>
          <w:color w:val="231F20"/>
          <w:spacing w:val="15"/>
          <w:w w:val="110"/>
          <w:sz w:val="16"/>
        </w:rPr>
        <w:t xml:space="preserve"> </w:t>
      </w:r>
      <w:r>
        <w:rPr>
          <w:color w:val="231F20"/>
          <w:w w:val="110"/>
          <w:sz w:val="16"/>
        </w:rPr>
        <w:t>206.</w:t>
      </w:r>
    </w:p>
    <w:p w14:paraId="68F4838B" w14:textId="77777777" w:rsidR="002653E8" w:rsidRDefault="002653E8">
      <w:pPr>
        <w:spacing w:line="307" w:lineRule="auto"/>
        <w:rPr>
          <w:sz w:val="16"/>
        </w:rPr>
        <w:sectPr w:rsidR="002653E8">
          <w:pgSz w:w="8640" w:h="12960"/>
          <w:pgMar w:top="1060" w:right="0" w:bottom="1040" w:left="0" w:header="0" w:footer="850" w:gutter="0"/>
          <w:cols w:space="720"/>
        </w:sectPr>
      </w:pPr>
    </w:p>
    <w:bookmarkEnd w:id="117"/>
    <w:p w14:paraId="076759DF" w14:textId="77777777" w:rsidR="002653E8" w:rsidRDefault="003115E3">
      <w:pPr>
        <w:pStyle w:val="a3"/>
        <w:spacing w:before="86" w:line="264" w:lineRule="auto"/>
        <w:ind w:left="1147" w:right="1326"/>
        <w:jc w:val="both"/>
      </w:pPr>
      <w:r>
        <w:rPr>
          <w:color w:val="231F20"/>
        </w:rPr>
        <w:lastRenderedPageBreak/>
        <w:t xml:space="preserve">Indeed, these Winter </w:t>
      </w:r>
      <w:r>
        <w:rPr>
          <w:color w:val="231F20"/>
          <w:spacing w:val="-3"/>
        </w:rPr>
        <w:t xml:space="preserve">Trip </w:t>
      </w:r>
      <w:r>
        <w:rPr>
          <w:color w:val="231F20"/>
        </w:rPr>
        <w:t>raids prepared the public for a barrage of new laws, “refinements” to existing legislation, and restrictions on defense attorneys.</w:t>
      </w:r>
      <w:r>
        <w:rPr>
          <w:color w:val="231F20"/>
          <w:spacing w:val="-5"/>
        </w:rPr>
        <w:t xml:space="preserve"> </w:t>
      </w:r>
      <w:r>
        <w:rPr>
          <w:color w:val="231F20"/>
        </w:rPr>
        <w:t>Through</w:t>
      </w:r>
      <w:r>
        <w:rPr>
          <w:color w:val="231F20"/>
          <w:spacing w:val="-5"/>
        </w:rPr>
        <w:t xml:space="preserve"> </w:t>
      </w:r>
      <w:r>
        <w:rPr>
          <w:color w:val="231F20"/>
        </w:rPr>
        <w:t>these,</w:t>
      </w:r>
      <w:r>
        <w:rPr>
          <w:color w:val="231F20"/>
          <w:spacing w:val="-5"/>
        </w:rPr>
        <w:t xml:space="preserve"> </w:t>
      </w:r>
      <w:r>
        <w:rPr>
          <w:color w:val="231F20"/>
        </w:rPr>
        <w:t>the</w:t>
      </w:r>
      <w:r>
        <w:rPr>
          <w:color w:val="231F20"/>
          <w:spacing w:val="-5"/>
        </w:rPr>
        <w:t xml:space="preserve"> </w:t>
      </w:r>
      <w:r>
        <w:rPr>
          <w:color w:val="231F20"/>
        </w:rPr>
        <w:t>state</w:t>
      </w:r>
      <w:r>
        <w:rPr>
          <w:color w:val="231F20"/>
          <w:spacing w:val="-5"/>
        </w:rPr>
        <w:t xml:space="preserve"> </w:t>
      </w:r>
      <w:r>
        <w:rPr>
          <w:color w:val="231F20"/>
        </w:rPr>
        <w:t>largely</w:t>
      </w:r>
      <w:r>
        <w:rPr>
          <w:color w:val="231F20"/>
          <w:spacing w:val="-5"/>
        </w:rPr>
        <w:t xml:space="preserve"> </w:t>
      </w:r>
      <w:r>
        <w:rPr>
          <w:color w:val="231F20"/>
        </w:rPr>
        <w:t>achieved</w:t>
      </w:r>
      <w:r>
        <w:rPr>
          <w:color w:val="231F20"/>
          <w:spacing w:val="-5"/>
        </w:rPr>
        <w:t xml:space="preserve"> </w:t>
      </w:r>
      <w:r>
        <w:rPr>
          <w:color w:val="231F20"/>
        </w:rPr>
        <w:t>a</w:t>
      </w:r>
      <w:r>
        <w:rPr>
          <w:color w:val="231F20"/>
          <w:spacing w:val="-5"/>
        </w:rPr>
        <w:t xml:space="preserve"> </w:t>
      </w:r>
      <w:r>
        <w:rPr>
          <w:color w:val="231F20"/>
        </w:rPr>
        <w:t>condition</w:t>
      </w:r>
      <w:r>
        <w:rPr>
          <w:color w:val="231F20"/>
          <w:spacing w:val="-5"/>
        </w:rPr>
        <w:t xml:space="preserve"> </w:t>
      </w:r>
      <w:r>
        <w:rPr>
          <w:color w:val="231F20"/>
        </w:rPr>
        <w:t>in</w:t>
      </w:r>
      <w:r>
        <w:rPr>
          <w:color w:val="231F20"/>
          <w:spacing w:val="-5"/>
        </w:rPr>
        <w:t xml:space="preserve"> </w:t>
      </w:r>
      <w:r>
        <w:rPr>
          <w:color w:val="231F20"/>
        </w:rPr>
        <w:t>which the upcoming trial in Stammheim prison could proceed with the prisoners</w:t>
      </w:r>
      <w:r>
        <w:rPr>
          <w:color w:val="231F20"/>
          <w:spacing w:val="8"/>
        </w:rPr>
        <w:t xml:space="preserve"> </w:t>
      </w:r>
      <w:r>
        <w:rPr>
          <w:color w:val="231F20"/>
        </w:rPr>
        <w:t>illor</w:t>
      </w:r>
      <w:r>
        <w:rPr>
          <w:color w:val="231F20"/>
          <w:spacing w:val="8"/>
        </w:rPr>
        <w:t xml:space="preserve"> </w:t>
      </w:r>
      <w:r>
        <w:rPr>
          <w:color w:val="231F20"/>
        </w:rPr>
        <w:t>undefended,</w:t>
      </w:r>
      <w:r>
        <w:rPr>
          <w:color w:val="231F20"/>
          <w:spacing w:val="8"/>
        </w:rPr>
        <w:t xml:space="preserve"> </w:t>
      </w:r>
      <w:r>
        <w:rPr>
          <w:color w:val="231F20"/>
        </w:rPr>
        <w:t>often</w:t>
      </w:r>
      <w:r>
        <w:rPr>
          <w:color w:val="231F20"/>
          <w:spacing w:val="8"/>
        </w:rPr>
        <w:t xml:space="preserve"> </w:t>
      </w:r>
      <w:r>
        <w:rPr>
          <w:color w:val="231F20"/>
        </w:rPr>
        <w:t>even</w:t>
      </w:r>
      <w:r>
        <w:rPr>
          <w:color w:val="231F20"/>
          <w:spacing w:val="8"/>
        </w:rPr>
        <w:t xml:space="preserve"> </w:t>
      </w:r>
      <w:r>
        <w:rPr>
          <w:color w:val="231F20"/>
        </w:rPr>
        <w:t>without</w:t>
      </w:r>
      <w:r>
        <w:rPr>
          <w:color w:val="231F20"/>
          <w:spacing w:val="8"/>
        </w:rPr>
        <w:t xml:space="preserve"> </w:t>
      </w:r>
      <w:r>
        <w:rPr>
          <w:color w:val="231F20"/>
        </w:rPr>
        <w:t>their</w:t>
      </w:r>
      <w:r>
        <w:rPr>
          <w:color w:val="231F20"/>
          <w:spacing w:val="8"/>
        </w:rPr>
        <w:t xml:space="preserve"> </w:t>
      </w:r>
      <w:r>
        <w:rPr>
          <w:color w:val="231F20"/>
        </w:rPr>
        <w:t>personal</w:t>
      </w:r>
      <w:r>
        <w:rPr>
          <w:color w:val="231F20"/>
          <w:spacing w:val="8"/>
        </w:rPr>
        <w:t xml:space="preserve"> </w:t>
      </w:r>
      <w:r>
        <w:rPr>
          <w:color w:val="231F20"/>
        </w:rPr>
        <w:t>participation.</w:t>
      </w:r>
    </w:p>
    <w:p w14:paraId="22EF627B" w14:textId="77777777" w:rsidR="002653E8" w:rsidRDefault="003115E3">
      <w:pPr>
        <w:pStyle w:val="a3"/>
        <w:spacing w:line="264" w:lineRule="auto"/>
        <w:ind w:left="1147" w:right="1326" w:firstLine="210"/>
        <w:jc w:val="both"/>
      </w:pPr>
      <w:r>
        <w:rPr>
          <w:color w:val="231F20"/>
        </w:rPr>
        <w:t xml:space="preserve">There was one final, and controversial, effect that Winter </w:t>
      </w:r>
      <w:r>
        <w:rPr>
          <w:color w:val="231F20"/>
          <w:spacing w:val="-3"/>
        </w:rPr>
        <w:t xml:space="preserve">Trip </w:t>
      </w:r>
      <w:r>
        <w:rPr>
          <w:color w:val="231F20"/>
        </w:rPr>
        <w:t>had on the</w:t>
      </w:r>
      <w:r>
        <w:rPr>
          <w:color w:val="231F20"/>
          <w:spacing w:val="-5"/>
        </w:rPr>
        <w:t xml:space="preserve"> </w:t>
      </w:r>
      <w:r>
        <w:rPr>
          <w:color w:val="231F20"/>
        </w:rPr>
        <w:t>radical</w:t>
      </w:r>
      <w:r>
        <w:rPr>
          <w:color w:val="231F20"/>
          <w:spacing w:val="-5"/>
        </w:rPr>
        <w:t xml:space="preserve"> </w:t>
      </w:r>
      <w:r>
        <w:rPr>
          <w:color w:val="231F20"/>
        </w:rPr>
        <w:t>left:</w:t>
      </w:r>
      <w:r>
        <w:rPr>
          <w:color w:val="231F20"/>
          <w:spacing w:val="-5"/>
        </w:rPr>
        <w:t xml:space="preserve"> </w:t>
      </w:r>
      <w:r>
        <w:rPr>
          <w:color w:val="231F20"/>
        </w:rPr>
        <w:t>soon</w:t>
      </w:r>
      <w:r>
        <w:rPr>
          <w:color w:val="231F20"/>
          <w:spacing w:val="-5"/>
        </w:rPr>
        <w:t xml:space="preserve"> </w:t>
      </w:r>
      <w:r>
        <w:rPr>
          <w:color w:val="231F20"/>
        </w:rPr>
        <w:t>afterwards</w:t>
      </w:r>
      <w:r>
        <w:rPr>
          <w:color w:val="231F20"/>
          <w:spacing w:val="-5"/>
        </w:rPr>
        <w:t xml:space="preserve"> </w:t>
      </w:r>
      <w:r>
        <w:rPr>
          <w:color w:val="231F20"/>
        </w:rPr>
        <w:t>several</w:t>
      </w:r>
      <w:r>
        <w:rPr>
          <w:color w:val="231F20"/>
          <w:spacing w:val="-5"/>
        </w:rPr>
        <w:t xml:space="preserve"> </w:t>
      </w:r>
      <w:r>
        <w:rPr>
          <w:color w:val="231F20"/>
        </w:rPr>
        <w:t>key</w:t>
      </w:r>
      <w:r>
        <w:rPr>
          <w:color w:val="231F20"/>
          <w:spacing w:val="-5"/>
        </w:rPr>
        <w:t xml:space="preserve"> </w:t>
      </w:r>
      <w:r>
        <w:rPr>
          <w:color w:val="231F20"/>
        </w:rPr>
        <w:t>activists</w:t>
      </w:r>
      <w:r>
        <w:rPr>
          <w:color w:val="231F20"/>
          <w:spacing w:val="-5"/>
        </w:rPr>
        <w:t xml:space="preserve"> </w:t>
      </w:r>
      <w:r>
        <w:rPr>
          <w:color w:val="231F20"/>
        </w:rPr>
        <w:t>left</w:t>
      </w:r>
      <w:r>
        <w:rPr>
          <w:color w:val="231F20"/>
          <w:spacing w:val="-5"/>
        </w:rPr>
        <w:t xml:space="preserve"> </w:t>
      </w:r>
      <w:r>
        <w:rPr>
          <w:color w:val="231F20"/>
        </w:rPr>
        <w:t>the</w:t>
      </w:r>
      <w:r>
        <w:rPr>
          <w:color w:val="231F20"/>
          <w:spacing w:val="-3"/>
        </w:rPr>
        <w:t xml:space="preserve"> </w:t>
      </w:r>
      <w:r>
        <w:rPr>
          <w:color w:val="231F20"/>
        </w:rPr>
        <w:t>Committees Against Torture.</w:t>
      </w:r>
      <w:r>
        <w:rPr>
          <w:color w:val="231F20"/>
          <w:position w:val="7"/>
          <w:sz w:val="11"/>
        </w:rPr>
        <w:t xml:space="preserve">1 </w:t>
      </w:r>
      <w:r>
        <w:rPr>
          <w:color w:val="231F20"/>
        </w:rPr>
        <w:t>While this could be interpreted as a retreat, the truth of the matter was more complex: many of those who had banded together</w:t>
      </w:r>
      <w:r>
        <w:rPr>
          <w:color w:val="231F20"/>
          <w:spacing w:val="7"/>
        </w:rPr>
        <w:t xml:space="preserve"> </w:t>
      </w:r>
      <w:r>
        <w:rPr>
          <w:color w:val="231F20"/>
        </w:rPr>
        <w:t>to</w:t>
      </w:r>
      <w:r>
        <w:rPr>
          <w:color w:val="231F20"/>
          <w:spacing w:val="7"/>
        </w:rPr>
        <w:t xml:space="preserve"> </w:t>
      </w:r>
      <w:r>
        <w:rPr>
          <w:color w:val="231F20"/>
        </w:rPr>
        <w:t>provide</w:t>
      </w:r>
      <w:r>
        <w:rPr>
          <w:color w:val="231F20"/>
          <w:spacing w:val="7"/>
        </w:rPr>
        <w:t xml:space="preserve"> </w:t>
      </w:r>
      <w:r>
        <w:rPr>
          <w:color w:val="231F20"/>
        </w:rPr>
        <w:t>legal</w:t>
      </w:r>
      <w:r>
        <w:rPr>
          <w:color w:val="231F20"/>
          <w:spacing w:val="7"/>
        </w:rPr>
        <w:t xml:space="preserve"> </w:t>
      </w:r>
      <w:r>
        <w:rPr>
          <w:color w:val="231F20"/>
        </w:rPr>
        <w:t>support</w:t>
      </w:r>
      <w:r>
        <w:rPr>
          <w:color w:val="231F20"/>
          <w:spacing w:val="7"/>
        </w:rPr>
        <w:t xml:space="preserve"> </w:t>
      </w:r>
      <w:r>
        <w:rPr>
          <w:color w:val="231F20"/>
        </w:rPr>
        <w:t>now</w:t>
      </w:r>
      <w:r>
        <w:rPr>
          <w:color w:val="231F20"/>
          <w:spacing w:val="7"/>
        </w:rPr>
        <w:t xml:space="preserve"> </w:t>
      </w:r>
      <w:r>
        <w:rPr>
          <w:color w:val="231F20"/>
        </w:rPr>
        <w:t>thought</w:t>
      </w:r>
      <w:r>
        <w:rPr>
          <w:color w:val="231F20"/>
          <w:spacing w:val="7"/>
        </w:rPr>
        <w:t xml:space="preserve"> </w:t>
      </w:r>
      <w:r>
        <w:rPr>
          <w:color w:val="231F20"/>
        </w:rPr>
        <w:t>better</w:t>
      </w:r>
      <w:r>
        <w:rPr>
          <w:color w:val="231F20"/>
          <w:spacing w:val="7"/>
        </w:rPr>
        <w:t xml:space="preserve"> </w:t>
      </w:r>
      <w:r>
        <w:rPr>
          <w:color w:val="231F20"/>
        </w:rPr>
        <w:t>of</w:t>
      </w:r>
      <w:r>
        <w:rPr>
          <w:color w:val="231F20"/>
          <w:spacing w:val="7"/>
        </w:rPr>
        <w:t xml:space="preserve"> </w:t>
      </w:r>
      <w:r>
        <w:rPr>
          <w:color w:val="231F20"/>
        </w:rPr>
        <w:t>that</w:t>
      </w:r>
      <w:r>
        <w:rPr>
          <w:color w:val="231F20"/>
          <w:spacing w:val="7"/>
        </w:rPr>
        <w:t xml:space="preserve"> </w:t>
      </w:r>
      <w:r>
        <w:rPr>
          <w:color w:val="231F20"/>
        </w:rPr>
        <w:t>strategy.</w:t>
      </w:r>
    </w:p>
    <w:p w14:paraId="54A1D170" w14:textId="5618809A" w:rsidR="002653E8" w:rsidRDefault="003115E3">
      <w:pPr>
        <w:pStyle w:val="a3"/>
        <w:spacing w:line="264" w:lineRule="auto"/>
        <w:ind w:left="1147" w:right="1326" w:firstLine="210"/>
        <w:jc w:val="both"/>
      </w:pPr>
      <w:r>
        <w:rPr>
          <w:color w:val="231F20"/>
        </w:rPr>
        <w:t xml:space="preserve">With some prompting from the prisoners, they had decided to go underground, to take up arms themselves, and to renew the </w:t>
      </w:r>
      <w:r w:rsidR="00C507A5">
        <w:rPr>
          <w:color w:val="231F20"/>
        </w:rPr>
        <w:t>red army faction</w:t>
      </w:r>
      <w:r>
        <w:rPr>
          <w:color w:val="231F20"/>
        </w:rPr>
        <w:t>.</w:t>
      </w:r>
    </w:p>
    <w:p w14:paraId="5EEC9DD6" w14:textId="77777777" w:rsidR="002653E8" w:rsidRDefault="002653E8">
      <w:pPr>
        <w:pStyle w:val="a3"/>
      </w:pPr>
    </w:p>
    <w:p w14:paraId="36700704" w14:textId="77777777" w:rsidR="002653E8" w:rsidRDefault="002653E8">
      <w:pPr>
        <w:pStyle w:val="a3"/>
      </w:pPr>
    </w:p>
    <w:p w14:paraId="02C9E9FE" w14:textId="77777777" w:rsidR="002653E8" w:rsidRDefault="002653E8">
      <w:pPr>
        <w:pStyle w:val="a3"/>
      </w:pPr>
    </w:p>
    <w:p w14:paraId="172257F8" w14:textId="77777777" w:rsidR="002653E8" w:rsidRDefault="002653E8">
      <w:pPr>
        <w:pStyle w:val="a3"/>
      </w:pPr>
    </w:p>
    <w:p w14:paraId="1B957C65" w14:textId="77777777" w:rsidR="002653E8" w:rsidRDefault="002653E8">
      <w:pPr>
        <w:pStyle w:val="a3"/>
      </w:pPr>
    </w:p>
    <w:p w14:paraId="50D1FB1E" w14:textId="77777777" w:rsidR="002653E8" w:rsidRDefault="002653E8">
      <w:pPr>
        <w:pStyle w:val="a3"/>
      </w:pPr>
    </w:p>
    <w:p w14:paraId="229B923B" w14:textId="77777777" w:rsidR="002653E8" w:rsidRDefault="002653E8">
      <w:pPr>
        <w:pStyle w:val="a3"/>
      </w:pPr>
    </w:p>
    <w:p w14:paraId="45459D3A" w14:textId="77777777" w:rsidR="002653E8" w:rsidRDefault="002653E8">
      <w:pPr>
        <w:pStyle w:val="a3"/>
      </w:pPr>
    </w:p>
    <w:p w14:paraId="1AAD91F7" w14:textId="77777777" w:rsidR="002653E8" w:rsidRDefault="002653E8">
      <w:pPr>
        <w:pStyle w:val="a3"/>
      </w:pPr>
    </w:p>
    <w:p w14:paraId="0FC566AF" w14:textId="77777777" w:rsidR="002653E8" w:rsidRDefault="002653E8">
      <w:pPr>
        <w:pStyle w:val="a3"/>
      </w:pPr>
    </w:p>
    <w:p w14:paraId="2300F2A9" w14:textId="77777777" w:rsidR="002653E8" w:rsidRDefault="002653E8">
      <w:pPr>
        <w:pStyle w:val="a3"/>
      </w:pPr>
    </w:p>
    <w:p w14:paraId="766A01E0" w14:textId="77777777" w:rsidR="002653E8" w:rsidRDefault="002653E8">
      <w:pPr>
        <w:pStyle w:val="a3"/>
      </w:pPr>
    </w:p>
    <w:p w14:paraId="5BD6EF53" w14:textId="77777777" w:rsidR="002653E8" w:rsidRDefault="002653E8">
      <w:pPr>
        <w:pStyle w:val="a3"/>
      </w:pPr>
    </w:p>
    <w:p w14:paraId="5FA83438" w14:textId="77777777" w:rsidR="002653E8" w:rsidRDefault="002653E8">
      <w:pPr>
        <w:pStyle w:val="a3"/>
      </w:pPr>
    </w:p>
    <w:p w14:paraId="52E825DA" w14:textId="77777777" w:rsidR="002653E8" w:rsidRDefault="002653E8">
      <w:pPr>
        <w:pStyle w:val="a3"/>
      </w:pPr>
    </w:p>
    <w:p w14:paraId="2F011069" w14:textId="77777777" w:rsidR="002653E8" w:rsidRDefault="002653E8">
      <w:pPr>
        <w:pStyle w:val="a3"/>
      </w:pPr>
    </w:p>
    <w:p w14:paraId="56DF5B6B" w14:textId="77777777" w:rsidR="002653E8" w:rsidRDefault="002653E8">
      <w:pPr>
        <w:pStyle w:val="a3"/>
      </w:pPr>
    </w:p>
    <w:p w14:paraId="51C2F874" w14:textId="77777777" w:rsidR="002653E8" w:rsidRDefault="002653E8">
      <w:pPr>
        <w:pStyle w:val="a3"/>
      </w:pPr>
    </w:p>
    <w:p w14:paraId="3FC25926" w14:textId="77777777" w:rsidR="002653E8" w:rsidRDefault="002653E8">
      <w:pPr>
        <w:pStyle w:val="a3"/>
      </w:pPr>
    </w:p>
    <w:p w14:paraId="1DE2ECEF" w14:textId="77777777" w:rsidR="002653E8" w:rsidRDefault="002653E8">
      <w:pPr>
        <w:pStyle w:val="a3"/>
      </w:pPr>
    </w:p>
    <w:p w14:paraId="25A85668" w14:textId="77777777" w:rsidR="002653E8" w:rsidRDefault="002653E8">
      <w:pPr>
        <w:pStyle w:val="a3"/>
      </w:pPr>
    </w:p>
    <w:p w14:paraId="4607957E" w14:textId="77777777" w:rsidR="002653E8" w:rsidRDefault="002653E8">
      <w:pPr>
        <w:pStyle w:val="a3"/>
      </w:pPr>
    </w:p>
    <w:p w14:paraId="2BFEE814" w14:textId="77777777" w:rsidR="002653E8" w:rsidRDefault="002653E8">
      <w:pPr>
        <w:pStyle w:val="a3"/>
      </w:pPr>
    </w:p>
    <w:p w14:paraId="6D1A10EB" w14:textId="77777777" w:rsidR="002653E8" w:rsidRDefault="002653E8">
      <w:pPr>
        <w:pStyle w:val="a3"/>
      </w:pPr>
    </w:p>
    <w:p w14:paraId="1C07F66B" w14:textId="77777777" w:rsidR="002653E8" w:rsidRDefault="002653E8">
      <w:pPr>
        <w:pStyle w:val="a3"/>
      </w:pPr>
    </w:p>
    <w:p w14:paraId="788521D6" w14:textId="77777777" w:rsidR="002653E8" w:rsidRDefault="002653E8">
      <w:pPr>
        <w:pStyle w:val="a3"/>
      </w:pPr>
    </w:p>
    <w:p w14:paraId="26700D13" w14:textId="77777777" w:rsidR="002653E8" w:rsidRDefault="002653E8">
      <w:pPr>
        <w:pStyle w:val="a3"/>
      </w:pPr>
    </w:p>
    <w:p w14:paraId="33B24EF8" w14:textId="77777777" w:rsidR="002653E8" w:rsidRDefault="002653E8">
      <w:pPr>
        <w:pStyle w:val="a3"/>
      </w:pPr>
    </w:p>
    <w:p w14:paraId="5A8C5B5B" w14:textId="77777777" w:rsidR="002653E8" w:rsidRDefault="00000000">
      <w:pPr>
        <w:pStyle w:val="a3"/>
        <w:spacing w:before="1"/>
        <w:rPr>
          <w:sz w:val="24"/>
        </w:rPr>
      </w:pPr>
      <w:r>
        <w:rPr>
          <w:noProof w:val="0"/>
        </w:rPr>
        <w:pict w14:anchorId="48A6A00E">
          <v:line id="_x0000_s2376" style="position:absolute;z-index:6832;mso-wrap-distance-left:0;mso-wrap-distance-right:0;mso-position-horizontal-relative:page" from="57.4pt,16.3pt" to="129.4pt,16.3pt" strokecolor="#231f20" strokeweight=".5pt">
            <w10:wrap type="topAndBottom" anchorx="page"/>
          </v:line>
        </w:pict>
      </w:r>
    </w:p>
    <w:p w14:paraId="5599950A" w14:textId="77777777" w:rsidR="002653E8" w:rsidRDefault="003115E3">
      <w:pPr>
        <w:spacing w:before="53"/>
        <w:ind w:left="1147"/>
        <w:rPr>
          <w:sz w:val="16"/>
        </w:rPr>
      </w:pPr>
      <w:r>
        <w:rPr>
          <w:color w:val="231F20"/>
          <w:w w:val="105"/>
          <w:sz w:val="16"/>
        </w:rPr>
        <w:t>1 The Committees themselves disbanded over the next year and a half.</w:t>
      </w:r>
    </w:p>
    <w:p w14:paraId="7FF77872" w14:textId="77777777" w:rsidR="002653E8" w:rsidRDefault="002653E8">
      <w:pPr>
        <w:rPr>
          <w:sz w:val="16"/>
        </w:rPr>
        <w:sectPr w:rsidR="002653E8">
          <w:pgSz w:w="8640" w:h="12960"/>
          <w:pgMar w:top="1060" w:right="0" w:bottom="1040" w:left="0" w:header="0" w:footer="850" w:gutter="0"/>
          <w:cols w:space="720"/>
        </w:sectPr>
      </w:pPr>
    </w:p>
    <w:p w14:paraId="53D4A91F" w14:textId="77777777" w:rsidR="002653E8" w:rsidRDefault="002653E8">
      <w:pPr>
        <w:pStyle w:val="a3"/>
      </w:pPr>
    </w:p>
    <w:p w14:paraId="2068DFE8" w14:textId="77777777" w:rsidR="002653E8" w:rsidRDefault="002653E8">
      <w:pPr>
        <w:pStyle w:val="a3"/>
      </w:pPr>
    </w:p>
    <w:p w14:paraId="7262925B" w14:textId="77777777" w:rsidR="002653E8" w:rsidRDefault="002653E8">
      <w:pPr>
        <w:pStyle w:val="a3"/>
      </w:pPr>
    </w:p>
    <w:p w14:paraId="4A95AD69" w14:textId="77777777" w:rsidR="002653E8" w:rsidRDefault="002653E8">
      <w:pPr>
        <w:pStyle w:val="a3"/>
      </w:pPr>
    </w:p>
    <w:p w14:paraId="6B2A74D3" w14:textId="77777777" w:rsidR="002653E8" w:rsidRDefault="002653E8">
      <w:pPr>
        <w:pStyle w:val="a3"/>
        <w:rPr>
          <w:sz w:val="16"/>
        </w:rPr>
      </w:pPr>
    </w:p>
    <w:p w14:paraId="56D0C121" w14:textId="77777777" w:rsidR="002653E8" w:rsidRDefault="00000000">
      <w:pPr>
        <w:spacing w:before="94" w:line="266" w:lineRule="auto"/>
        <w:ind w:left="2129" w:right="2281"/>
        <w:rPr>
          <w:rFonts w:ascii="Calibri" w:hAnsi="Calibri"/>
          <w:sz w:val="19"/>
        </w:rPr>
      </w:pPr>
      <w:r>
        <w:rPr>
          <w:noProof w:val="0"/>
        </w:rPr>
        <w:pict w14:anchorId="3B570FC7">
          <v:group id="_x0000_s2368" style="position:absolute;left:0;text-align:left;margin-left:96.7pt;margin-top:-18.95pt;width:247.6pt;height:416pt;z-index:-457792;mso-position-horizontal-relative:page" coordorigin="1934,-379" coordsize="4952,8320">
            <v:rect id="_x0000_s2375" style="position:absolute;left:1934;top:-380;width:4952;height:8320" fillcolor="#e6e7e8" stroked="f"/>
            <v:line id="_x0000_s2374" style="position:absolute" from="2129,7506" to="3569,7506" strokecolor="#231f20" strokeweight=".5pt"/>
            <v:line id="_x0000_s2373" style="position:absolute" from="1942,-320" to="1942,7895" strokecolor="#231f20">
              <v:stroke dashstyle="3 1"/>
            </v:line>
            <v:line id="_x0000_s2372" style="position:absolute" from="1994,7932" to="6841,7932" strokecolor="#231f20">
              <v:stroke dashstyle="3 1"/>
            </v:line>
            <v:line id="_x0000_s2371" style="position:absolute" from="6878,7880" to="6878,-334" strokecolor="#231f20">
              <v:stroke dashstyle="3 1"/>
            </v:line>
            <v:line id="_x0000_s2370" style="position:absolute" from="6826,-372" to="1979,-372" strokecolor="#231f20">
              <v:stroke dashstyle="3 1"/>
            </v:line>
            <v:shape id="_x0000_s2369" style="position:absolute;top:2332;width:4937;height:8305" coordorigin=",2332" coordsize="4937,8305" o:spt="100" adj="0,,0" path="m1942,7910r,22l1964,7932t4892,l6878,7932r,-22m6878,-349r,-23l6856,-372t-4892,l1942,-372r,23e" filled="f" strokecolor="#231f20">
              <v:stroke joinstyle="round"/>
              <v:formulas/>
              <v:path arrowok="t" o:connecttype="segments"/>
            </v:shape>
            <w10:wrap anchorx="page"/>
          </v:group>
        </w:pict>
      </w:r>
      <w:r w:rsidR="003115E3">
        <w:rPr>
          <w:rFonts w:ascii="Calibri" w:hAnsi="Calibri"/>
          <w:color w:val="231F20"/>
          <w:w w:val="105"/>
          <w:sz w:val="19"/>
        </w:rPr>
        <w:t xml:space="preserve">Right from the </w:t>
      </w:r>
      <w:r w:rsidR="003115E3">
        <w:rPr>
          <w:rFonts w:ascii="Calibri" w:hAnsi="Calibri"/>
          <w:color w:val="231F20"/>
          <w:spacing w:val="2"/>
          <w:w w:val="105"/>
          <w:sz w:val="19"/>
        </w:rPr>
        <w:t xml:space="preserve">start, </w:t>
      </w:r>
      <w:r w:rsidR="003115E3">
        <w:rPr>
          <w:rFonts w:ascii="Calibri" w:hAnsi="Calibri"/>
          <w:color w:val="231F20"/>
          <w:w w:val="105"/>
          <w:sz w:val="19"/>
        </w:rPr>
        <w:t>I did not speak to the guards; afterwards, I had even less to desire to. I couldn’t speak to them. I know all of the brilliant analyses— “their situation is also contradictory,” etc.—and those analyses are correct. But  they  have  their limit: these analyses don’t take into account that their contradictions amount  to  being  instruments of terror—at least in some situations. They disarm you.</w:t>
      </w:r>
      <w:r w:rsidR="003115E3">
        <w:rPr>
          <w:rFonts w:ascii="Calibri" w:hAnsi="Calibri"/>
          <w:color w:val="231F20"/>
          <w:spacing w:val="16"/>
          <w:w w:val="105"/>
          <w:sz w:val="19"/>
        </w:rPr>
        <w:t xml:space="preserve"> </w:t>
      </w:r>
      <w:r w:rsidR="003115E3">
        <w:rPr>
          <w:rFonts w:ascii="Calibri" w:hAnsi="Calibri"/>
          <w:color w:val="231F20"/>
          <w:w w:val="105"/>
          <w:sz w:val="19"/>
        </w:rPr>
        <w:t>It</w:t>
      </w:r>
      <w:r w:rsidR="003115E3">
        <w:rPr>
          <w:rFonts w:ascii="Calibri" w:hAnsi="Calibri"/>
          <w:color w:val="231F20"/>
          <w:spacing w:val="16"/>
          <w:w w:val="105"/>
          <w:sz w:val="19"/>
        </w:rPr>
        <w:t xml:space="preserve"> </w:t>
      </w:r>
      <w:r w:rsidR="003115E3">
        <w:rPr>
          <w:rFonts w:ascii="Calibri" w:hAnsi="Calibri"/>
          <w:color w:val="231F20"/>
          <w:w w:val="105"/>
          <w:sz w:val="19"/>
        </w:rPr>
        <w:t>is</w:t>
      </w:r>
      <w:r w:rsidR="003115E3">
        <w:rPr>
          <w:rFonts w:ascii="Calibri" w:hAnsi="Calibri"/>
          <w:color w:val="231F20"/>
          <w:spacing w:val="16"/>
          <w:w w:val="105"/>
          <w:sz w:val="19"/>
        </w:rPr>
        <w:t xml:space="preserve"> </w:t>
      </w:r>
      <w:r w:rsidR="003115E3">
        <w:rPr>
          <w:rFonts w:ascii="Calibri" w:hAnsi="Calibri"/>
          <w:color w:val="231F20"/>
          <w:w w:val="105"/>
          <w:sz w:val="19"/>
        </w:rPr>
        <w:t>obvious:</w:t>
      </w:r>
      <w:r w:rsidR="003115E3">
        <w:rPr>
          <w:rFonts w:ascii="Calibri" w:hAnsi="Calibri"/>
          <w:color w:val="231F20"/>
          <w:spacing w:val="16"/>
          <w:w w:val="105"/>
          <w:sz w:val="19"/>
        </w:rPr>
        <w:t xml:space="preserve"> </w:t>
      </w:r>
      <w:r w:rsidR="003115E3">
        <w:rPr>
          <w:rFonts w:ascii="Calibri" w:hAnsi="Calibri"/>
          <w:color w:val="231F20"/>
          <w:w w:val="105"/>
          <w:sz w:val="19"/>
        </w:rPr>
        <w:t>contradictions</w:t>
      </w:r>
      <w:r w:rsidR="003115E3">
        <w:rPr>
          <w:rFonts w:ascii="Calibri" w:hAnsi="Calibri"/>
          <w:color w:val="231F20"/>
          <w:spacing w:val="16"/>
          <w:w w:val="105"/>
          <w:sz w:val="19"/>
        </w:rPr>
        <w:t xml:space="preserve"> </w:t>
      </w:r>
      <w:r w:rsidR="003115E3">
        <w:rPr>
          <w:rFonts w:ascii="Calibri" w:hAnsi="Calibri"/>
          <w:color w:val="231F20"/>
          <w:w w:val="105"/>
          <w:sz w:val="19"/>
        </w:rPr>
        <w:t>which</w:t>
      </w:r>
      <w:r w:rsidR="003115E3">
        <w:rPr>
          <w:rFonts w:ascii="Calibri" w:hAnsi="Calibri"/>
          <w:color w:val="231F20"/>
          <w:spacing w:val="16"/>
          <w:w w:val="105"/>
          <w:sz w:val="19"/>
        </w:rPr>
        <w:t xml:space="preserve"> </w:t>
      </w:r>
      <w:r w:rsidR="003115E3">
        <w:rPr>
          <w:rFonts w:ascii="Calibri" w:hAnsi="Calibri"/>
          <w:color w:val="231F20"/>
          <w:w w:val="105"/>
          <w:sz w:val="19"/>
        </w:rPr>
        <w:t>are</w:t>
      </w:r>
      <w:r w:rsidR="003115E3">
        <w:rPr>
          <w:rFonts w:ascii="Calibri" w:hAnsi="Calibri"/>
          <w:color w:val="231F20"/>
          <w:spacing w:val="16"/>
          <w:w w:val="105"/>
          <w:sz w:val="19"/>
        </w:rPr>
        <w:t xml:space="preserve"> </w:t>
      </w:r>
      <w:r w:rsidR="003115E3">
        <w:rPr>
          <w:rFonts w:ascii="Calibri" w:hAnsi="Calibri"/>
          <w:color w:val="231F20"/>
          <w:w w:val="105"/>
          <w:sz w:val="19"/>
        </w:rPr>
        <w:t>instit-</w:t>
      </w:r>
    </w:p>
    <w:p w14:paraId="218E0035" w14:textId="77777777" w:rsidR="002653E8" w:rsidRDefault="003115E3">
      <w:pPr>
        <w:spacing w:line="266" w:lineRule="auto"/>
        <w:ind w:left="2129" w:right="2067"/>
        <w:rPr>
          <w:rFonts w:ascii="Calibri" w:hAnsi="Calibri"/>
          <w:sz w:val="19"/>
        </w:rPr>
      </w:pPr>
      <w:r>
        <w:rPr>
          <w:rFonts w:ascii="Calibri" w:hAnsi="Calibri"/>
          <w:color w:val="231F20"/>
          <w:w w:val="105"/>
          <w:sz w:val="19"/>
        </w:rPr>
        <w:t xml:space="preserve">utionalized, set up to weaken the institution’s victim,  to disarm </w:t>
      </w:r>
      <w:r>
        <w:rPr>
          <w:rFonts w:ascii="Calibri" w:hAnsi="Calibri"/>
          <w:color w:val="231F20"/>
          <w:spacing w:val="-4"/>
          <w:w w:val="105"/>
          <w:sz w:val="19"/>
        </w:rPr>
        <w:t xml:space="preserve">her, </w:t>
      </w:r>
      <w:r>
        <w:rPr>
          <w:rFonts w:ascii="Calibri" w:hAnsi="Calibri"/>
          <w:color w:val="231F20"/>
          <w:w w:val="105"/>
          <w:sz w:val="19"/>
        </w:rPr>
        <w:t>to take away her hatred. And hatred of the</w:t>
      </w:r>
      <w:r>
        <w:rPr>
          <w:rFonts w:ascii="Calibri" w:hAnsi="Calibri"/>
          <w:color w:val="231F20"/>
          <w:spacing w:val="10"/>
          <w:w w:val="105"/>
          <w:sz w:val="19"/>
        </w:rPr>
        <w:t xml:space="preserve"> </w:t>
      </w:r>
      <w:r>
        <w:rPr>
          <w:rFonts w:ascii="Calibri" w:hAnsi="Calibri"/>
          <w:color w:val="231F20"/>
          <w:w w:val="105"/>
          <w:sz w:val="19"/>
        </w:rPr>
        <w:t>pigs</w:t>
      </w:r>
      <w:r>
        <w:rPr>
          <w:rFonts w:ascii="Calibri" w:hAnsi="Calibri"/>
          <w:color w:val="231F20"/>
          <w:spacing w:val="10"/>
          <w:w w:val="105"/>
          <w:sz w:val="19"/>
        </w:rPr>
        <w:t xml:space="preserve"> </w:t>
      </w:r>
      <w:r>
        <w:rPr>
          <w:rFonts w:ascii="Calibri" w:hAnsi="Calibri"/>
          <w:color w:val="231F20"/>
          <w:w w:val="105"/>
          <w:sz w:val="19"/>
        </w:rPr>
        <w:t>is</w:t>
      </w:r>
      <w:r>
        <w:rPr>
          <w:rFonts w:ascii="Calibri" w:hAnsi="Calibri"/>
          <w:color w:val="231F20"/>
          <w:spacing w:val="10"/>
          <w:w w:val="105"/>
          <w:sz w:val="19"/>
        </w:rPr>
        <w:t xml:space="preserve"> </w:t>
      </w:r>
      <w:r>
        <w:rPr>
          <w:rFonts w:ascii="Calibri" w:hAnsi="Calibri"/>
          <w:color w:val="231F20"/>
          <w:w w:val="105"/>
          <w:sz w:val="19"/>
        </w:rPr>
        <w:t>the</w:t>
      </w:r>
      <w:r>
        <w:rPr>
          <w:rFonts w:ascii="Calibri" w:hAnsi="Calibri"/>
          <w:color w:val="231F20"/>
          <w:spacing w:val="10"/>
          <w:w w:val="105"/>
          <w:sz w:val="19"/>
        </w:rPr>
        <w:t xml:space="preserve"> </w:t>
      </w:r>
      <w:r>
        <w:rPr>
          <w:rFonts w:ascii="Calibri" w:hAnsi="Calibri"/>
          <w:color w:val="231F20"/>
          <w:w w:val="105"/>
          <w:sz w:val="19"/>
        </w:rPr>
        <w:t>only</w:t>
      </w:r>
      <w:r>
        <w:rPr>
          <w:rFonts w:ascii="Calibri" w:hAnsi="Calibri"/>
          <w:color w:val="231F20"/>
          <w:spacing w:val="10"/>
          <w:w w:val="105"/>
          <w:sz w:val="19"/>
        </w:rPr>
        <w:t xml:space="preserve"> </w:t>
      </w:r>
      <w:r>
        <w:rPr>
          <w:rFonts w:ascii="Calibri" w:hAnsi="Calibri"/>
          <w:color w:val="231F20"/>
          <w:w w:val="105"/>
          <w:sz w:val="19"/>
        </w:rPr>
        <w:t>form</w:t>
      </w:r>
      <w:r>
        <w:rPr>
          <w:rFonts w:ascii="Calibri" w:hAnsi="Calibri"/>
          <w:color w:val="231F20"/>
          <w:spacing w:val="10"/>
          <w:w w:val="105"/>
          <w:sz w:val="19"/>
        </w:rPr>
        <w:t xml:space="preserve"> </w:t>
      </w:r>
      <w:r>
        <w:rPr>
          <w:rFonts w:ascii="Calibri" w:hAnsi="Calibri"/>
          <w:color w:val="231F20"/>
          <w:w w:val="105"/>
          <w:sz w:val="19"/>
        </w:rPr>
        <w:t>that</w:t>
      </w:r>
      <w:r>
        <w:rPr>
          <w:rFonts w:ascii="Calibri" w:hAnsi="Calibri"/>
          <w:color w:val="231F20"/>
          <w:spacing w:val="10"/>
          <w:w w:val="105"/>
          <w:sz w:val="19"/>
        </w:rPr>
        <w:t xml:space="preserve"> </w:t>
      </w:r>
      <w:r>
        <w:rPr>
          <w:rFonts w:ascii="Calibri" w:hAnsi="Calibri"/>
          <w:color w:val="231F20"/>
          <w:w w:val="105"/>
          <w:sz w:val="19"/>
        </w:rPr>
        <w:t>life</w:t>
      </w:r>
      <w:r>
        <w:rPr>
          <w:rFonts w:ascii="Calibri" w:hAnsi="Calibri"/>
          <w:color w:val="231F20"/>
          <w:spacing w:val="10"/>
          <w:w w:val="105"/>
          <w:sz w:val="19"/>
        </w:rPr>
        <w:t xml:space="preserve"> </w:t>
      </w:r>
      <w:r>
        <w:rPr>
          <w:rFonts w:ascii="Calibri" w:hAnsi="Calibri"/>
          <w:color w:val="231F20"/>
          <w:w w:val="105"/>
          <w:sz w:val="19"/>
        </w:rPr>
        <w:t>takes</w:t>
      </w:r>
      <w:r>
        <w:rPr>
          <w:rFonts w:ascii="Calibri" w:hAnsi="Calibri"/>
          <w:color w:val="231F20"/>
          <w:spacing w:val="10"/>
          <w:w w:val="105"/>
          <w:sz w:val="19"/>
        </w:rPr>
        <w:t xml:space="preserve"> </w:t>
      </w:r>
      <w:r>
        <w:rPr>
          <w:rFonts w:ascii="Calibri" w:hAnsi="Calibri"/>
          <w:color w:val="231F20"/>
          <w:w w:val="105"/>
          <w:sz w:val="19"/>
        </w:rPr>
        <w:t>in</w:t>
      </w:r>
      <w:r>
        <w:rPr>
          <w:rFonts w:ascii="Calibri" w:hAnsi="Calibri"/>
          <w:color w:val="231F20"/>
          <w:spacing w:val="10"/>
          <w:w w:val="105"/>
          <w:sz w:val="19"/>
        </w:rPr>
        <w:t xml:space="preserve"> </w:t>
      </w:r>
      <w:r>
        <w:rPr>
          <w:rFonts w:ascii="Calibri" w:hAnsi="Calibri"/>
          <w:color w:val="231F20"/>
          <w:w w:val="105"/>
          <w:sz w:val="19"/>
        </w:rPr>
        <w:t>jail.</w:t>
      </w:r>
    </w:p>
    <w:p w14:paraId="5FAAB656" w14:textId="77777777" w:rsidR="002653E8" w:rsidRDefault="003115E3">
      <w:pPr>
        <w:spacing w:line="266" w:lineRule="auto"/>
        <w:ind w:left="2129" w:right="2067" w:firstLine="209"/>
        <w:rPr>
          <w:rFonts w:ascii="Calibri" w:hAnsi="Calibri"/>
          <w:sz w:val="19"/>
        </w:rPr>
      </w:pPr>
      <w:r>
        <w:rPr>
          <w:rFonts w:ascii="Calibri" w:hAnsi="Calibri"/>
          <w:color w:val="231F20"/>
          <w:w w:val="105"/>
          <w:sz w:val="19"/>
        </w:rPr>
        <w:t>You realize how important it is to not speak when you see how they celebrate every one of your words like a victory—in reality something to ease their conscience, their knowledge that they are torturers and assassins. You help them to carry the burden</w:t>
      </w:r>
    </w:p>
    <w:p w14:paraId="3321ED37" w14:textId="77777777" w:rsidR="002653E8" w:rsidRDefault="003115E3">
      <w:pPr>
        <w:spacing w:line="266" w:lineRule="auto"/>
        <w:ind w:left="2129" w:right="1983"/>
        <w:rPr>
          <w:rFonts w:ascii="Calibri" w:hAnsi="Calibri"/>
          <w:sz w:val="19"/>
        </w:rPr>
      </w:pPr>
      <w:r>
        <w:rPr>
          <w:rFonts w:ascii="Calibri" w:hAnsi="Calibri"/>
          <w:color w:val="231F20"/>
          <w:w w:val="110"/>
          <w:sz w:val="19"/>
        </w:rPr>
        <w:t xml:space="preserve">of their responsibility, you make yourself into their accomplice. </w:t>
      </w:r>
      <w:r>
        <w:rPr>
          <w:rFonts w:ascii="Calibri" w:hAnsi="Calibri"/>
          <w:color w:val="231F20"/>
          <w:spacing w:val="-4"/>
          <w:w w:val="110"/>
          <w:sz w:val="19"/>
        </w:rPr>
        <w:t xml:space="preserve">You </w:t>
      </w:r>
      <w:r>
        <w:rPr>
          <w:rFonts w:ascii="Calibri" w:hAnsi="Calibri"/>
          <w:color w:val="231F20"/>
          <w:w w:val="110"/>
          <w:sz w:val="19"/>
        </w:rPr>
        <w:t xml:space="preserve">are supposed to show them that  you consent to the torture you are being subjected to. They want a total </w:t>
      </w:r>
      <w:r>
        <w:rPr>
          <w:rFonts w:ascii="Calibri" w:hAnsi="Calibri"/>
          <w:color w:val="231F20"/>
          <w:spacing w:val="1"/>
          <w:w w:val="110"/>
          <w:sz w:val="19"/>
        </w:rPr>
        <w:t xml:space="preserve">victory—and </w:t>
      </w:r>
      <w:r>
        <w:rPr>
          <w:rFonts w:ascii="Calibri" w:hAnsi="Calibri"/>
          <w:color w:val="231F20"/>
          <w:w w:val="110"/>
          <w:sz w:val="19"/>
        </w:rPr>
        <w:t xml:space="preserve">in this way they will have it. And in this </w:t>
      </w:r>
      <w:r>
        <w:rPr>
          <w:rFonts w:ascii="Calibri" w:hAnsi="Calibri"/>
          <w:color w:val="231F20"/>
          <w:spacing w:val="-3"/>
          <w:w w:val="110"/>
          <w:sz w:val="19"/>
        </w:rPr>
        <w:t xml:space="preserve">way, </w:t>
      </w:r>
      <w:r>
        <w:rPr>
          <w:rFonts w:ascii="Calibri" w:hAnsi="Calibri"/>
          <w:color w:val="231F20"/>
          <w:w w:val="110"/>
          <w:sz w:val="19"/>
        </w:rPr>
        <w:t>perhaps for the first time, you know and you understand exactly what the brilliant analyses do</w:t>
      </w:r>
      <w:r>
        <w:rPr>
          <w:rFonts w:ascii="Calibri" w:hAnsi="Calibri"/>
          <w:color w:val="231F20"/>
          <w:spacing w:val="11"/>
          <w:w w:val="110"/>
          <w:sz w:val="19"/>
        </w:rPr>
        <w:t xml:space="preserve"> </w:t>
      </w:r>
      <w:r>
        <w:rPr>
          <w:rFonts w:ascii="Calibri" w:hAnsi="Calibri"/>
          <w:color w:val="231F20"/>
          <w:w w:val="110"/>
          <w:sz w:val="19"/>
        </w:rPr>
        <w:t>not.</w:t>
      </w:r>
    </w:p>
    <w:p w14:paraId="37962701" w14:textId="77777777" w:rsidR="002653E8" w:rsidRDefault="003115E3">
      <w:pPr>
        <w:spacing w:before="106"/>
        <w:ind w:left="3616"/>
        <w:rPr>
          <w:rFonts w:ascii="Calibri" w:hAnsi="Calibri"/>
          <w:sz w:val="19"/>
        </w:rPr>
      </w:pPr>
      <w:r>
        <w:rPr>
          <w:rFonts w:ascii="Calibri" w:hAnsi="Calibri"/>
          <w:color w:val="231F20"/>
          <w:w w:val="105"/>
          <w:sz w:val="19"/>
        </w:rPr>
        <w:t xml:space="preserve">a </w:t>
      </w:r>
      <w:r w:rsidR="00C507A5">
        <w:rPr>
          <w:rFonts w:ascii="Calibri" w:hAnsi="Calibri"/>
          <w:color w:val="231F20"/>
          <w:w w:val="105"/>
          <w:sz w:val="19"/>
        </w:rPr>
        <w:t>red army faction</w:t>
      </w:r>
      <w:r>
        <w:rPr>
          <w:rFonts w:ascii="Calibri" w:hAnsi="Calibri"/>
          <w:color w:val="231F20"/>
          <w:w w:val="105"/>
          <w:sz w:val="19"/>
        </w:rPr>
        <w:t xml:space="preserve"> prisoner’s letter to her lawyer</w:t>
      </w:r>
    </w:p>
    <w:p w14:paraId="16632AE8" w14:textId="77777777" w:rsidR="002653E8" w:rsidRDefault="002653E8">
      <w:pPr>
        <w:pStyle w:val="a3"/>
        <w:rPr>
          <w:rFonts w:ascii="Calibri"/>
        </w:rPr>
      </w:pPr>
    </w:p>
    <w:p w14:paraId="7571BC14" w14:textId="77777777" w:rsidR="002653E8" w:rsidRDefault="002653E8">
      <w:pPr>
        <w:pStyle w:val="a3"/>
        <w:rPr>
          <w:rFonts w:ascii="Calibri"/>
        </w:rPr>
      </w:pPr>
    </w:p>
    <w:p w14:paraId="27493524" w14:textId="77777777" w:rsidR="002653E8" w:rsidRDefault="002653E8">
      <w:pPr>
        <w:pStyle w:val="a3"/>
        <w:rPr>
          <w:rFonts w:ascii="Calibri"/>
        </w:rPr>
      </w:pPr>
    </w:p>
    <w:p w14:paraId="3E8872E1" w14:textId="77777777" w:rsidR="002653E8" w:rsidRDefault="002653E8">
      <w:pPr>
        <w:pStyle w:val="a3"/>
        <w:spacing w:before="6"/>
        <w:rPr>
          <w:rFonts w:ascii="Calibri"/>
        </w:rPr>
      </w:pPr>
    </w:p>
    <w:p w14:paraId="13AC028C" w14:textId="77777777" w:rsidR="002653E8" w:rsidRDefault="003115E3">
      <w:pPr>
        <w:ind w:left="2129"/>
        <w:rPr>
          <w:sz w:val="16"/>
        </w:rPr>
      </w:pPr>
      <w:r>
        <w:rPr>
          <w:color w:val="231F20"/>
          <w:w w:val="105"/>
          <w:sz w:val="16"/>
        </w:rPr>
        <w:t>“Témoignages de Prisonniers” in Croissant, 135-6.</w:t>
      </w:r>
    </w:p>
    <w:p w14:paraId="48EA8269" w14:textId="77777777" w:rsidR="002653E8" w:rsidRDefault="002653E8">
      <w:pPr>
        <w:rPr>
          <w:sz w:val="16"/>
        </w:rPr>
        <w:sectPr w:rsidR="002653E8">
          <w:footerReference w:type="even" r:id="rId233"/>
          <w:footerReference w:type="default" r:id="rId234"/>
          <w:pgSz w:w="8640" w:h="12960"/>
          <w:pgMar w:top="1220" w:right="0" w:bottom="1040" w:left="0" w:header="0" w:footer="850" w:gutter="0"/>
          <w:pgNumType w:start="269"/>
          <w:cols w:space="720"/>
        </w:sectPr>
      </w:pPr>
    </w:p>
    <w:p w14:paraId="6799CFE8" w14:textId="77777777" w:rsidR="002653E8" w:rsidRDefault="002653E8">
      <w:pPr>
        <w:pStyle w:val="a3"/>
      </w:pPr>
    </w:p>
    <w:p w14:paraId="12C9E85A" w14:textId="77777777" w:rsidR="002653E8" w:rsidRDefault="002653E8">
      <w:pPr>
        <w:pStyle w:val="a3"/>
      </w:pPr>
    </w:p>
    <w:p w14:paraId="66E37BD7" w14:textId="77777777" w:rsidR="002653E8" w:rsidRDefault="002653E8">
      <w:pPr>
        <w:pStyle w:val="a3"/>
      </w:pPr>
    </w:p>
    <w:p w14:paraId="4012DB52" w14:textId="77777777" w:rsidR="002653E8" w:rsidRDefault="002653E8">
      <w:pPr>
        <w:pStyle w:val="a3"/>
      </w:pPr>
    </w:p>
    <w:p w14:paraId="2E74A811" w14:textId="77777777" w:rsidR="002653E8" w:rsidRDefault="002653E8">
      <w:pPr>
        <w:pStyle w:val="a3"/>
        <w:spacing w:before="9"/>
        <w:rPr>
          <w:sz w:val="26"/>
        </w:rPr>
      </w:pPr>
    </w:p>
    <w:p w14:paraId="4C604E65" w14:textId="77777777" w:rsidR="002653E8" w:rsidRDefault="003115E3">
      <w:pPr>
        <w:pStyle w:val="a3"/>
        <w:ind w:left="1265"/>
      </w:pPr>
      <w:r>
        <w:drawing>
          <wp:inline distT="0" distB="0" distL="0" distR="0" wp14:anchorId="16052534" wp14:editId="5E71028C">
            <wp:extent cx="3762970" cy="4497228"/>
            <wp:effectExtent l="0" t="0" r="0" b="0"/>
            <wp:docPr id="3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png"/>
                    <pic:cNvPicPr/>
                  </pic:nvPicPr>
                  <pic:blipFill>
                    <a:blip r:embed="rId235" cstate="print"/>
                    <a:stretch>
                      <a:fillRect/>
                    </a:stretch>
                  </pic:blipFill>
                  <pic:spPr>
                    <a:xfrm>
                      <a:off x="0" y="0"/>
                      <a:ext cx="3762970" cy="4497228"/>
                    </a:xfrm>
                    <a:prstGeom prst="rect">
                      <a:avLst/>
                    </a:prstGeom>
                  </pic:spPr>
                </pic:pic>
              </a:graphicData>
            </a:graphic>
          </wp:inline>
        </w:drawing>
      </w:r>
    </w:p>
    <w:p w14:paraId="25AC57B4" w14:textId="77777777" w:rsidR="002653E8" w:rsidRDefault="003115E3">
      <w:pPr>
        <w:spacing w:before="47"/>
        <w:ind w:left="760" w:right="938"/>
        <w:jc w:val="center"/>
        <w:rPr>
          <w:i/>
          <w:sz w:val="18"/>
        </w:rPr>
      </w:pPr>
      <w:r>
        <w:rPr>
          <w:i/>
          <w:color w:val="231F20"/>
          <w:w w:val="105"/>
          <w:sz w:val="18"/>
        </w:rPr>
        <w:t>Ulrike Meinhof</w:t>
      </w:r>
    </w:p>
    <w:p w14:paraId="5FAD5427" w14:textId="77777777" w:rsidR="002653E8" w:rsidRDefault="002653E8">
      <w:pPr>
        <w:jc w:val="center"/>
        <w:rPr>
          <w:sz w:val="18"/>
        </w:rPr>
        <w:sectPr w:rsidR="002653E8">
          <w:pgSz w:w="8640" w:h="12960"/>
          <w:pgMar w:top="1220" w:right="0" w:bottom="1040" w:left="0" w:header="0" w:footer="850" w:gutter="0"/>
          <w:cols w:space="720"/>
        </w:sectPr>
      </w:pPr>
    </w:p>
    <w:p w14:paraId="17824C1D" w14:textId="77777777" w:rsidR="002653E8" w:rsidRDefault="003115E3">
      <w:pPr>
        <w:pStyle w:val="4"/>
        <w:ind w:left="1888"/>
      </w:pPr>
      <w:bookmarkStart w:id="118" w:name="Ulrike_Meinhof_on_the_Dead_Wing_(1972–3,"/>
      <w:bookmarkStart w:id="119" w:name="_bookmark36"/>
      <w:bookmarkEnd w:id="118"/>
      <w:bookmarkEnd w:id="119"/>
      <w:r>
        <w:rPr>
          <w:color w:val="231F20"/>
        </w:rPr>
        <w:lastRenderedPageBreak/>
        <w:t>Ulrike Meinhof on the Dead Wing</w:t>
      </w:r>
    </w:p>
    <w:p w14:paraId="7CAEB63E" w14:textId="77777777" w:rsidR="002653E8" w:rsidRDefault="003115E3">
      <w:pPr>
        <w:spacing w:before="256"/>
        <w:ind w:left="1327"/>
        <w:rPr>
          <w:i/>
          <w:sz w:val="20"/>
        </w:rPr>
      </w:pPr>
      <w:r>
        <w:rPr>
          <w:i/>
          <w:color w:val="231F20"/>
          <w:sz w:val="20"/>
        </w:rPr>
        <w:t xml:space="preserve">From the period between June </w:t>
      </w:r>
      <w:r>
        <w:rPr>
          <w:rFonts w:ascii="Bookman Old Style"/>
          <w:i/>
          <w:color w:val="231F20"/>
          <w:sz w:val="20"/>
        </w:rPr>
        <w:t>16</w:t>
      </w:r>
      <w:r>
        <w:rPr>
          <w:i/>
          <w:color w:val="231F20"/>
          <w:sz w:val="20"/>
        </w:rPr>
        <w:t xml:space="preserve">, </w:t>
      </w:r>
      <w:r>
        <w:rPr>
          <w:rFonts w:ascii="Bookman Old Style"/>
          <w:i/>
          <w:color w:val="231F20"/>
          <w:sz w:val="20"/>
        </w:rPr>
        <w:t xml:space="preserve">1972 </w:t>
      </w:r>
      <w:r>
        <w:rPr>
          <w:i/>
          <w:color w:val="231F20"/>
          <w:sz w:val="20"/>
        </w:rPr>
        <w:t xml:space="preserve">and February </w:t>
      </w:r>
      <w:r>
        <w:rPr>
          <w:rFonts w:ascii="Bookman Old Style"/>
          <w:i/>
          <w:color w:val="231F20"/>
          <w:sz w:val="20"/>
        </w:rPr>
        <w:t>9</w:t>
      </w:r>
      <w:r>
        <w:rPr>
          <w:i/>
          <w:color w:val="231F20"/>
          <w:sz w:val="20"/>
        </w:rPr>
        <w:t xml:space="preserve">, </w:t>
      </w:r>
      <w:r>
        <w:rPr>
          <w:rFonts w:ascii="Bookman Old Style"/>
          <w:i/>
          <w:color w:val="231F20"/>
          <w:sz w:val="20"/>
        </w:rPr>
        <w:t>1973</w:t>
      </w:r>
      <w:r>
        <w:rPr>
          <w:i/>
          <w:color w:val="231F20"/>
          <w:sz w:val="20"/>
        </w:rPr>
        <w:t>:</w:t>
      </w:r>
    </w:p>
    <w:p w14:paraId="55927430" w14:textId="77777777" w:rsidR="002653E8" w:rsidRDefault="002653E8">
      <w:pPr>
        <w:pStyle w:val="a3"/>
        <w:spacing w:before="7"/>
        <w:rPr>
          <w:i/>
          <w:sz w:val="23"/>
        </w:rPr>
      </w:pPr>
    </w:p>
    <w:p w14:paraId="6E804574" w14:textId="1C9A7C5A" w:rsidR="002653E8" w:rsidRDefault="003115E3">
      <w:pPr>
        <w:pStyle w:val="a3"/>
        <w:spacing w:line="264" w:lineRule="auto"/>
        <w:ind w:left="1544" w:right="1145" w:hanging="216"/>
      </w:pPr>
      <w:r>
        <w:rPr>
          <w:color w:val="231F20"/>
        </w:rPr>
        <w:t>The feeling, one’s head explodes (the feeling, the top of the skull will simply split, burst open)—</w:t>
      </w:r>
    </w:p>
    <w:p w14:paraId="49F5622F" w14:textId="77777777" w:rsidR="002653E8" w:rsidRDefault="003115E3">
      <w:pPr>
        <w:pStyle w:val="a3"/>
        <w:spacing w:line="232" w:lineRule="exact"/>
        <w:ind w:left="1328"/>
      </w:pPr>
      <w:r>
        <w:rPr>
          <w:color w:val="231F20"/>
        </w:rPr>
        <w:t>the feeling, one’s spinal column presses into one’s brain</w:t>
      </w:r>
    </w:p>
    <w:p w14:paraId="65C48667" w14:textId="77777777" w:rsidR="002653E8" w:rsidRDefault="003115E3">
      <w:pPr>
        <w:pStyle w:val="a3"/>
        <w:spacing w:before="23" w:line="264" w:lineRule="auto"/>
        <w:ind w:left="1544" w:right="1479" w:hanging="216"/>
      </w:pPr>
      <w:r>
        <w:rPr>
          <w:color w:val="231F20"/>
        </w:rPr>
        <w:t>the feeling, one’s brain gradually shrivels up like, like dried fruit, for example—</w:t>
      </w:r>
    </w:p>
    <w:p w14:paraId="3F651BBF" w14:textId="77777777" w:rsidR="002653E8" w:rsidRDefault="003115E3">
      <w:pPr>
        <w:pStyle w:val="a3"/>
        <w:spacing w:line="264" w:lineRule="auto"/>
        <w:ind w:left="1544" w:right="1513" w:hanging="216"/>
      </w:pPr>
      <w:r>
        <w:rPr>
          <w:color w:val="231F20"/>
        </w:rPr>
        <w:t>the feeling, one is constantly, imperceptibly, flooded, one is remotecontrolled—</w:t>
      </w:r>
    </w:p>
    <w:p w14:paraId="24E651AB" w14:textId="77777777" w:rsidR="002653E8" w:rsidRDefault="003115E3">
      <w:pPr>
        <w:pStyle w:val="a3"/>
        <w:spacing w:line="232" w:lineRule="exact"/>
        <w:ind w:left="1328"/>
      </w:pPr>
      <w:r>
        <w:rPr>
          <w:color w:val="231F20"/>
        </w:rPr>
        <w:t>the feeling, one’s associations are hacked away—</w:t>
      </w:r>
    </w:p>
    <w:p w14:paraId="32D7DA73" w14:textId="77777777" w:rsidR="002653E8" w:rsidRDefault="003115E3">
      <w:pPr>
        <w:pStyle w:val="a3"/>
        <w:spacing w:before="20" w:line="264" w:lineRule="auto"/>
        <w:ind w:left="1544" w:right="1145" w:hanging="216"/>
      </w:pPr>
      <w:r>
        <w:rPr>
          <w:color w:val="231F20"/>
        </w:rPr>
        <w:t>the feeling, one pisses the soul out of one’s body, like when one cannot hold water—</w:t>
      </w:r>
    </w:p>
    <w:p w14:paraId="1DE432A4" w14:textId="77777777" w:rsidR="002653E8" w:rsidRDefault="003115E3">
      <w:pPr>
        <w:pStyle w:val="a3"/>
        <w:spacing w:line="264" w:lineRule="auto"/>
        <w:ind w:left="1544" w:right="1093" w:hanging="216"/>
      </w:pPr>
      <w:r>
        <w:rPr>
          <w:color w:val="231F20"/>
          <w:w w:val="105"/>
        </w:rPr>
        <w:t>the feeling, the cell moves. One wakes up, opens one’s eyes: the cell moves; afternoon, if the sun shines in, it is suddenly still. One cannot get rid of the feeling of motion. One cannot tell whether one shivers from fever or from cold—</w:t>
      </w:r>
    </w:p>
    <w:p w14:paraId="56776E48" w14:textId="77777777" w:rsidR="002653E8" w:rsidRDefault="003115E3">
      <w:pPr>
        <w:pStyle w:val="a3"/>
        <w:spacing w:line="230" w:lineRule="exact"/>
        <w:ind w:left="1328"/>
      </w:pPr>
      <w:r>
        <w:rPr>
          <w:color w:val="231F20"/>
        </w:rPr>
        <w:t>one cannot tell why one shivers—one freezes.</w:t>
      </w:r>
    </w:p>
    <w:p w14:paraId="3ECE9C8B" w14:textId="77777777" w:rsidR="002653E8" w:rsidRDefault="003115E3">
      <w:pPr>
        <w:pStyle w:val="a3"/>
        <w:spacing w:before="20" w:line="264" w:lineRule="auto"/>
        <w:ind w:left="1544" w:right="1145" w:hanging="216"/>
      </w:pPr>
      <w:r>
        <w:rPr>
          <w:color w:val="231F20"/>
        </w:rPr>
        <w:t>To speak at a normal volume requires an effort like that necessary to speak loudly, almost like that necessary to shout—</w:t>
      </w:r>
    </w:p>
    <w:p w14:paraId="175858EA" w14:textId="77777777" w:rsidR="002653E8" w:rsidRDefault="003115E3">
      <w:pPr>
        <w:pStyle w:val="a3"/>
        <w:spacing w:line="232" w:lineRule="exact"/>
        <w:ind w:left="1328"/>
      </w:pPr>
      <w:r>
        <w:rPr>
          <w:color w:val="231F20"/>
        </w:rPr>
        <w:t>the feeling, one falls silent—</w:t>
      </w:r>
    </w:p>
    <w:p w14:paraId="3357C95F" w14:textId="77777777" w:rsidR="002653E8" w:rsidRDefault="003115E3">
      <w:pPr>
        <w:pStyle w:val="a3"/>
        <w:spacing w:before="22" w:line="264" w:lineRule="auto"/>
        <w:ind w:left="1328" w:right="1145"/>
      </w:pPr>
      <w:r>
        <w:rPr>
          <w:color w:val="231F20"/>
        </w:rPr>
        <w:t>one can no longer identify the meaning of words, one can only guess— the use of sibilants—s, ß, tz, z, sch is absolutely unbearable</w:t>
      </w:r>
    </w:p>
    <w:p w14:paraId="49D51C79" w14:textId="77777777" w:rsidR="002653E8" w:rsidRDefault="003115E3">
      <w:pPr>
        <w:pStyle w:val="a3"/>
        <w:spacing w:line="264" w:lineRule="auto"/>
        <w:ind w:left="1328" w:right="1580"/>
      </w:pPr>
      <w:r>
        <w:rPr>
          <w:color w:val="231F20"/>
        </w:rPr>
        <w:t>guards, visits, the yard seems to be made of celluloid— headaches—</w:t>
      </w:r>
    </w:p>
    <w:p w14:paraId="0FB23B6E" w14:textId="77777777" w:rsidR="002653E8" w:rsidRDefault="003115E3">
      <w:pPr>
        <w:pStyle w:val="a3"/>
        <w:spacing w:line="232" w:lineRule="exact"/>
        <w:ind w:left="1328"/>
      </w:pPr>
      <w:r>
        <w:rPr>
          <w:color w:val="231F20"/>
        </w:rPr>
        <w:t>flashes—</w:t>
      </w:r>
    </w:p>
    <w:p w14:paraId="439EACE6" w14:textId="77777777" w:rsidR="002653E8" w:rsidRDefault="003115E3">
      <w:pPr>
        <w:pStyle w:val="a3"/>
        <w:spacing w:before="20"/>
        <w:ind w:left="1328"/>
      </w:pPr>
      <w:r>
        <w:rPr>
          <w:color w:val="231F20"/>
        </w:rPr>
        <w:t>sentence construction, grammar, syntax—can no longer be controlled.</w:t>
      </w:r>
    </w:p>
    <w:p w14:paraId="395BC766" w14:textId="77777777" w:rsidR="002653E8" w:rsidRDefault="003115E3">
      <w:pPr>
        <w:pStyle w:val="a3"/>
        <w:spacing w:before="23" w:line="264" w:lineRule="auto"/>
        <w:ind w:left="1544" w:right="1513" w:hanging="216"/>
      </w:pPr>
      <w:r>
        <w:rPr>
          <w:color w:val="231F20"/>
        </w:rPr>
        <w:t>When writing: two lines—by the end of the second line, one cannot remember the beginning of the first—</w:t>
      </w:r>
    </w:p>
    <w:p w14:paraId="10FD77B6" w14:textId="77777777" w:rsidR="002653E8" w:rsidRDefault="003115E3">
      <w:pPr>
        <w:pStyle w:val="a3"/>
        <w:spacing w:line="232" w:lineRule="exact"/>
        <w:ind w:left="1328"/>
      </w:pPr>
      <w:r>
        <w:rPr>
          <w:color w:val="231F20"/>
        </w:rPr>
        <w:t>The feeling, internal burnout—</w:t>
      </w:r>
    </w:p>
    <w:p w14:paraId="66E64AEB" w14:textId="77777777" w:rsidR="002653E8" w:rsidRDefault="003115E3">
      <w:pPr>
        <w:pStyle w:val="a3"/>
        <w:spacing w:before="22" w:line="264" w:lineRule="auto"/>
        <w:ind w:left="1544" w:right="1325" w:hanging="216"/>
      </w:pPr>
      <w:r>
        <w:rPr>
          <w:color w:val="231F20"/>
        </w:rPr>
        <w:t xml:space="preserve">the feeling, if one must say what’s wrong, if one wants to let it out, </w:t>
      </w:r>
      <w:r>
        <w:rPr>
          <w:color w:val="231F20"/>
          <w:spacing w:val="-3"/>
        </w:rPr>
        <w:t xml:space="preserve">it’s </w:t>
      </w:r>
      <w:r>
        <w:rPr>
          <w:color w:val="231F20"/>
        </w:rPr>
        <w:t>like a rush of boiling water in the face, like, for example, boiling water that scalds forever, that</w:t>
      </w:r>
      <w:r>
        <w:rPr>
          <w:color w:val="231F20"/>
          <w:spacing w:val="6"/>
        </w:rPr>
        <w:t xml:space="preserve"> </w:t>
      </w:r>
      <w:r>
        <w:rPr>
          <w:color w:val="231F20"/>
        </w:rPr>
        <w:t>disfigures—</w:t>
      </w:r>
    </w:p>
    <w:p w14:paraId="2BD5165A" w14:textId="77777777" w:rsidR="002653E8" w:rsidRDefault="003115E3">
      <w:pPr>
        <w:pStyle w:val="a3"/>
        <w:spacing w:line="264" w:lineRule="auto"/>
        <w:ind w:left="1544" w:right="1325" w:hanging="216"/>
      </w:pPr>
      <w:r>
        <w:rPr>
          <w:color w:val="231F20"/>
        </w:rPr>
        <w:t>Raging aggressiveness, for which no outlet exists. That’s the worst. Keen awareness that one cannot survive; a complete breakdown of the capacity to deal with this;</w:t>
      </w:r>
    </w:p>
    <w:p w14:paraId="28C753A3" w14:textId="77777777" w:rsidR="002653E8" w:rsidRDefault="003115E3">
      <w:pPr>
        <w:pStyle w:val="a3"/>
        <w:spacing w:line="264" w:lineRule="auto"/>
        <w:ind w:left="1544" w:right="1513" w:hanging="216"/>
      </w:pPr>
      <w:r>
        <w:rPr>
          <w:color w:val="231F20"/>
        </w:rPr>
        <w:t>Visits leave no trace. A half an hour later one can only mechanically reconstruct whether the visit was today or last week.</w:t>
      </w:r>
    </w:p>
    <w:p w14:paraId="01E05EFF" w14:textId="77777777" w:rsidR="002653E8" w:rsidRDefault="002653E8">
      <w:pPr>
        <w:spacing w:line="264" w:lineRule="auto"/>
        <w:sectPr w:rsidR="002653E8">
          <w:footerReference w:type="even" r:id="rId236"/>
          <w:footerReference w:type="default" r:id="rId237"/>
          <w:pgSz w:w="8640" w:h="12960"/>
          <w:pgMar w:top="1220" w:right="0" w:bottom="1040" w:left="0" w:header="0" w:footer="850" w:gutter="0"/>
          <w:pgNumType w:start="271"/>
          <w:cols w:space="720"/>
        </w:sectPr>
      </w:pPr>
    </w:p>
    <w:p w14:paraId="17A91AC1" w14:textId="77777777" w:rsidR="002653E8" w:rsidRDefault="003115E3">
      <w:pPr>
        <w:pStyle w:val="a3"/>
        <w:spacing w:before="86" w:line="264" w:lineRule="auto"/>
        <w:ind w:left="1363" w:right="1580" w:hanging="216"/>
      </w:pPr>
      <w:r>
        <w:rPr>
          <w:color w:val="231F20"/>
        </w:rPr>
        <w:lastRenderedPageBreak/>
        <w:t>Compared to this, bathing once a week means: a momentary thaw, a moment of rest—to stop for a couple of hours—</w:t>
      </w:r>
    </w:p>
    <w:p w14:paraId="4D7427D8" w14:textId="77777777" w:rsidR="002653E8" w:rsidRDefault="003115E3">
      <w:pPr>
        <w:pStyle w:val="a3"/>
        <w:spacing w:line="232" w:lineRule="exact"/>
        <w:ind w:left="1147"/>
      </w:pPr>
      <w:r>
        <w:rPr>
          <w:color w:val="231F20"/>
        </w:rPr>
        <w:t>The feeling, time and space reconnect—</w:t>
      </w:r>
    </w:p>
    <w:p w14:paraId="7C29701E" w14:textId="77777777" w:rsidR="002653E8" w:rsidRDefault="003115E3">
      <w:pPr>
        <w:pStyle w:val="a3"/>
        <w:spacing w:before="23" w:line="264" w:lineRule="auto"/>
        <w:ind w:left="1363" w:right="1580" w:hanging="216"/>
      </w:pPr>
      <w:r>
        <w:rPr>
          <w:color w:val="231F20"/>
        </w:rPr>
        <w:t>the feeling of finding oneself in a house of mirrors, like in an amusement park—to stagger—</w:t>
      </w:r>
    </w:p>
    <w:p w14:paraId="5CBF2941" w14:textId="77777777" w:rsidR="002653E8" w:rsidRDefault="003115E3">
      <w:pPr>
        <w:pStyle w:val="a3"/>
        <w:spacing w:line="264" w:lineRule="auto"/>
        <w:ind w:left="1147" w:right="1848"/>
      </w:pPr>
      <w:r>
        <w:rPr>
          <w:color w:val="231F20"/>
        </w:rPr>
        <w:t>Afterwards: incredible euphoria, that one heard something— beyond the acoustic day and night differentiation—</w:t>
      </w:r>
    </w:p>
    <w:p w14:paraId="2C9E9448" w14:textId="77777777" w:rsidR="002653E8" w:rsidRDefault="003115E3">
      <w:pPr>
        <w:pStyle w:val="a3"/>
        <w:spacing w:line="264" w:lineRule="auto"/>
        <w:ind w:left="1363" w:right="1580" w:hanging="216"/>
      </w:pPr>
      <w:r>
        <w:rPr>
          <w:color w:val="231F20"/>
        </w:rPr>
        <w:t>The feeling, time now flows, the brain expands again, the spinal column sinks down after some weeks.</w:t>
      </w:r>
    </w:p>
    <w:p w14:paraId="5AAB56AF" w14:textId="77777777" w:rsidR="002653E8" w:rsidRDefault="003115E3">
      <w:pPr>
        <w:pStyle w:val="a3"/>
        <w:spacing w:line="232" w:lineRule="exact"/>
        <w:ind w:left="1147"/>
      </w:pPr>
      <w:r>
        <w:rPr>
          <w:color w:val="231F20"/>
        </w:rPr>
        <w:t>The feeling, as if one’s skin is thickening.</w:t>
      </w:r>
    </w:p>
    <w:p w14:paraId="7A29712E" w14:textId="77777777" w:rsidR="002653E8" w:rsidRDefault="002653E8">
      <w:pPr>
        <w:pStyle w:val="a3"/>
        <w:rPr>
          <w:sz w:val="22"/>
        </w:rPr>
      </w:pPr>
    </w:p>
    <w:p w14:paraId="22E7EA59" w14:textId="77777777" w:rsidR="002653E8" w:rsidRDefault="002653E8">
      <w:pPr>
        <w:pStyle w:val="a3"/>
        <w:rPr>
          <w:sz w:val="22"/>
        </w:rPr>
      </w:pPr>
    </w:p>
    <w:p w14:paraId="36161CE4" w14:textId="77777777" w:rsidR="002653E8" w:rsidRDefault="002653E8">
      <w:pPr>
        <w:pStyle w:val="a3"/>
        <w:rPr>
          <w:sz w:val="22"/>
        </w:rPr>
      </w:pPr>
    </w:p>
    <w:p w14:paraId="095F3863" w14:textId="77777777" w:rsidR="002653E8" w:rsidRDefault="002653E8">
      <w:pPr>
        <w:pStyle w:val="a3"/>
        <w:rPr>
          <w:sz w:val="22"/>
        </w:rPr>
      </w:pPr>
    </w:p>
    <w:p w14:paraId="2502F479" w14:textId="77777777" w:rsidR="002653E8" w:rsidRDefault="002653E8">
      <w:pPr>
        <w:pStyle w:val="a3"/>
        <w:rPr>
          <w:sz w:val="23"/>
        </w:rPr>
      </w:pPr>
    </w:p>
    <w:p w14:paraId="7D699CDF" w14:textId="77777777" w:rsidR="002653E8" w:rsidRDefault="003115E3">
      <w:pPr>
        <w:spacing w:before="1"/>
        <w:ind w:left="1147"/>
        <w:rPr>
          <w:i/>
          <w:sz w:val="20"/>
        </w:rPr>
      </w:pPr>
      <w:r>
        <w:rPr>
          <w:i/>
          <w:color w:val="231F20"/>
          <w:sz w:val="20"/>
        </w:rPr>
        <w:t xml:space="preserve">The second time (December </w:t>
      </w:r>
      <w:r>
        <w:rPr>
          <w:rFonts w:ascii="Bookman Old Style"/>
          <w:i/>
          <w:color w:val="231F20"/>
          <w:sz w:val="20"/>
        </w:rPr>
        <w:t>12</w:t>
      </w:r>
      <w:r>
        <w:rPr>
          <w:i/>
          <w:color w:val="231F20"/>
          <w:sz w:val="20"/>
        </w:rPr>
        <w:t xml:space="preserve">, </w:t>
      </w:r>
      <w:r>
        <w:rPr>
          <w:rFonts w:ascii="Bookman Old Style"/>
          <w:i/>
          <w:color w:val="231F20"/>
          <w:sz w:val="20"/>
        </w:rPr>
        <w:t xml:space="preserve">1973 </w:t>
      </w:r>
      <w:r>
        <w:rPr>
          <w:i/>
          <w:color w:val="231F20"/>
          <w:sz w:val="20"/>
        </w:rPr>
        <w:t xml:space="preserve">until January </w:t>
      </w:r>
      <w:r>
        <w:rPr>
          <w:rFonts w:ascii="Bookman Old Style"/>
          <w:i/>
          <w:color w:val="231F20"/>
          <w:sz w:val="20"/>
        </w:rPr>
        <w:t>3</w:t>
      </w:r>
      <w:r>
        <w:rPr>
          <w:i/>
          <w:color w:val="231F20"/>
          <w:sz w:val="20"/>
        </w:rPr>
        <w:t xml:space="preserve">, </w:t>
      </w:r>
      <w:r>
        <w:rPr>
          <w:rFonts w:ascii="Bookman Old Style"/>
          <w:i/>
          <w:color w:val="231F20"/>
          <w:sz w:val="20"/>
        </w:rPr>
        <w:t>1974</w:t>
      </w:r>
      <w:r>
        <w:rPr>
          <w:i/>
          <w:color w:val="231F20"/>
          <w:sz w:val="20"/>
        </w:rPr>
        <w:t>):</w:t>
      </w:r>
    </w:p>
    <w:p w14:paraId="57B40BD3" w14:textId="77777777" w:rsidR="002653E8" w:rsidRDefault="002653E8">
      <w:pPr>
        <w:pStyle w:val="a3"/>
        <w:spacing w:before="7"/>
        <w:rPr>
          <w:i/>
          <w:sz w:val="23"/>
        </w:rPr>
      </w:pPr>
    </w:p>
    <w:p w14:paraId="31367E63" w14:textId="77777777" w:rsidR="002653E8" w:rsidRDefault="003115E3">
      <w:pPr>
        <w:pStyle w:val="a3"/>
        <w:spacing w:line="264" w:lineRule="auto"/>
        <w:ind w:left="1147" w:right="2067"/>
      </w:pPr>
      <w:r>
        <w:rPr>
          <w:color w:val="231F20"/>
        </w:rPr>
        <w:t>Ears buzzing. Waking up, one feels as if one has been beaten. The feeling, one moves in slow motion.</w:t>
      </w:r>
    </w:p>
    <w:p w14:paraId="129B628D" w14:textId="77777777" w:rsidR="002653E8" w:rsidRDefault="003115E3">
      <w:pPr>
        <w:pStyle w:val="a3"/>
        <w:spacing w:line="525" w:lineRule="auto"/>
        <w:ind w:left="1147" w:right="1580"/>
      </w:pPr>
      <w:r>
        <w:rPr>
          <w:color w:val="231F20"/>
        </w:rPr>
        <w:t>The feeling, finding yourself in a vacuum, as if you’re encased in lead. Afterwards: Shock. As if an iron plate had fallen on your head.</w:t>
      </w:r>
    </w:p>
    <w:p w14:paraId="6E2072BE" w14:textId="77777777" w:rsidR="002653E8" w:rsidRDefault="003115E3">
      <w:pPr>
        <w:pStyle w:val="a3"/>
        <w:spacing w:line="264" w:lineRule="auto"/>
        <w:ind w:left="1147" w:right="3115"/>
      </w:pPr>
      <w:r>
        <w:rPr>
          <w:color w:val="231F20"/>
        </w:rPr>
        <w:t>Comparisons, concepts that invade one’s mind: (Psycho) shredding—</w:t>
      </w:r>
    </w:p>
    <w:p w14:paraId="6DDED3B7" w14:textId="77777777" w:rsidR="002653E8" w:rsidRDefault="003115E3">
      <w:pPr>
        <w:pStyle w:val="a3"/>
        <w:spacing w:line="264" w:lineRule="auto"/>
        <w:ind w:left="1363" w:right="1513" w:hanging="216"/>
      </w:pPr>
      <w:r>
        <w:rPr>
          <w:color w:val="231F20"/>
        </w:rPr>
        <w:t>The feeling of traveling through space packed into a barrel so that the acceleration causes your skin to flatten—</w:t>
      </w:r>
    </w:p>
    <w:p w14:paraId="186CF484" w14:textId="77777777" w:rsidR="002653E8" w:rsidRDefault="003115E3">
      <w:pPr>
        <w:pStyle w:val="a3"/>
        <w:spacing w:line="264" w:lineRule="auto"/>
        <w:ind w:left="1147" w:right="2686"/>
      </w:pPr>
      <w:r>
        <w:rPr>
          <w:color w:val="231F20"/>
        </w:rPr>
        <w:t>Kafka’s penal colony—The version with a bed of nails— A non-stop rollercoaster</w:t>
      </w:r>
      <w:r>
        <w:rPr>
          <w:color w:val="231F20"/>
          <w:spacing w:val="31"/>
        </w:rPr>
        <w:t xml:space="preserve"> </w:t>
      </w:r>
      <w:r>
        <w:rPr>
          <w:color w:val="231F20"/>
        </w:rPr>
        <w:t>ride.</w:t>
      </w:r>
    </w:p>
    <w:p w14:paraId="26ED281F" w14:textId="77777777" w:rsidR="002653E8" w:rsidRDefault="002653E8">
      <w:pPr>
        <w:pStyle w:val="a3"/>
        <w:spacing w:before="2"/>
        <w:rPr>
          <w:sz w:val="21"/>
        </w:rPr>
      </w:pPr>
    </w:p>
    <w:p w14:paraId="732901A1" w14:textId="77777777" w:rsidR="002653E8" w:rsidRDefault="003115E3">
      <w:pPr>
        <w:pStyle w:val="a3"/>
        <w:spacing w:line="264" w:lineRule="auto"/>
        <w:ind w:left="1363" w:right="1580" w:hanging="216"/>
      </w:pPr>
      <w:r>
        <w:rPr>
          <w:color w:val="231F20"/>
        </w:rPr>
        <w:t>The radio: it offers minimal stress reduction, like when one, for example, reduces one’s speed from 240 to 190.</w:t>
      </w:r>
    </w:p>
    <w:p w14:paraId="07306B90" w14:textId="77777777" w:rsidR="002653E8" w:rsidRDefault="002653E8">
      <w:pPr>
        <w:pStyle w:val="a3"/>
        <w:spacing w:before="8"/>
        <w:rPr>
          <w:sz w:val="21"/>
        </w:rPr>
      </w:pPr>
    </w:p>
    <w:p w14:paraId="679B2058" w14:textId="77777777" w:rsidR="002653E8" w:rsidRDefault="003115E3">
      <w:pPr>
        <w:pStyle w:val="a3"/>
        <w:spacing w:line="264" w:lineRule="auto"/>
        <w:ind w:left="1363" w:right="1580" w:hanging="216"/>
      </w:pPr>
      <w:r>
        <w:rPr>
          <w:color w:val="231F20"/>
        </w:rPr>
        <w:t>That everything exists in a cell that makes it in no obvious way different from any other cell—radio, furniture, plus newspapers, books—is actually by its implication rather aggravating: making any understanding between the prisoners and people who do not know what silent isolation is impossible.</w:t>
      </w:r>
    </w:p>
    <w:p w14:paraId="4534B02D" w14:textId="77777777" w:rsidR="002653E8" w:rsidRDefault="002653E8">
      <w:pPr>
        <w:spacing w:line="264" w:lineRule="auto"/>
        <w:sectPr w:rsidR="002653E8">
          <w:pgSz w:w="8640" w:h="12960"/>
          <w:pgMar w:top="1060" w:right="0" w:bottom="1040" w:left="0" w:header="0" w:footer="850" w:gutter="0"/>
          <w:cols w:space="720"/>
        </w:sectPr>
      </w:pPr>
    </w:p>
    <w:p w14:paraId="115790E2" w14:textId="77777777" w:rsidR="002653E8" w:rsidRDefault="003115E3">
      <w:pPr>
        <w:pStyle w:val="a3"/>
        <w:spacing w:before="86" w:line="264" w:lineRule="auto"/>
        <w:ind w:left="1543" w:right="1325" w:hanging="216"/>
      </w:pPr>
      <w:r>
        <w:rPr>
          <w:color w:val="231F20"/>
        </w:rPr>
        <w:lastRenderedPageBreak/>
        <w:t xml:space="preserve">Also disorienting to the prisoner. (That it is white like a hospital cell, for example, only increases the terror, but mainly it is the silence. </w:t>
      </w:r>
      <w:r>
        <w:rPr>
          <w:color w:val="231F20"/>
          <w:spacing w:val="1"/>
        </w:rPr>
        <w:t xml:space="preserve">If </w:t>
      </w:r>
      <w:r>
        <w:rPr>
          <w:color w:val="231F20"/>
        </w:rPr>
        <w:t>one lived there, one would paint the walls.) Clearly, one who is in there would rather be</w:t>
      </w:r>
      <w:r>
        <w:rPr>
          <w:color w:val="231F20"/>
          <w:spacing w:val="41"/>
        </w:rPr>
        <w:t xml:space="preserve"> </w:t>
      </w:r>
      <w:r>
        <w:rPr>
          <w:color w:val="231F20"/>
        </w:rPr>
        <w:t>dead.</w:t>
      </w:r>
    </w:p>
    <w:p w14:paraId="675DDC1B" w14:textId="77777777" w:rsidR="002653E8" w:rsidRDefault="002653E8">
      <w:pPr>
        <w:pStyle w:val="a3"/>
        <w:spacing w:before="6"/>
        <w:rPr>
          <w:sz w:val="21"/>
        </w:rPr>
      </w:pPr>
    </w:p>
    <w:p w14:paraId="16D1E5E2" w14:textId="77777777" w:rsidR="002653E8" w:rsidRDefault="003115E3">
      <w:pPr>
        <w:pStyle w:val="a3"/>
        <w:spacing w:before="1" w:line="264" w:lineRule="auto"/>
        <w:ind w:left="1543" w:right="1321" w:hanging="216"/>
      </w:pPr>
      <w:r>
        <w:rPr>
          <w:color w:val="231F20"/>
        </w:rPr>
        <w:t xml:space="preserve">Peter Milberg, who was in one of these things in FrankfurtPreungesheim </w:t>
      </w:r>
      <w:r>
        <w:rPr>
          <w:color w:val="231F20"/>
          <w:spacing w:val="-4"/>
        </w:rPr>
        <w:t xml:space="preserve">(“an </w:t>
      </w:r>
      <w:r>
        <w:rPr>
          <w:color w:val="231F20"/>
        </w:rPr>
        <w:t>empty medical wing”) subsequently accused his judge of “attempting” to kill him. This indicates that what is going  on</w:t>
      </w:r>
      <w:r>
        <w:rPr>
          <w:color w:val="231F20"/>
          <w:spacing w:val="10"/>
        </w:rPr>
        <w:t xml:space="preserve"> </w:t>
      </w:r>
      <w:r>
        <w:rPr>
          <w:color w:val="231F20"/>
        </w:rPr>
        <w:t>in</w:t>
      </w:r>
      <w:r>
        <w:rPr>
          <w:color w:val="231F20"/>
          <w:spacing w:val="10"/>
        </w:rPr>
        <w:t xml:space="preserve"> </w:t>
      </w:r>
      <w:r>
        <w:rPr>
          <w:color w:val="231F20"/>
        </w:rPr>
        <w:t>these</w:t>
      </w:r>
      <w:r>
        <w:rPr>
          <w:color w:val="231F20"/>
          <w:spacing w:val="10"/>
        </w:rPr>
        <w:t xml:space="preserve"> </w:t>
      </w:r>
      <w:r>
        <w:rPr>
          <w:color w:val="231F20"/>
        </w:rPr>
        <w:t>places</w:t>
      </w:r>
      <w:r>
        <w:rPr>
          <w:color w:val="231F20"/>
          <w:spacing w:val="10"/>
        </w:rPr>
        <w:t xml:space="preserve"> </w:t>
      </w:r>
      <w:r>
        <w:rPr>
          <w:color w:val="231F20"/>
        </w:rPr>
        <w:t>is</w:t>
      </w:r>
      <w:r>
        <w:rPr>
          <w:color w:val="231F20"/>
          <w:spacing w:val="10"/>
        </w:rPr>
        <w:t xml:space="preserve"> </w:t>
      </w:r>
      <w:r>
        <w:rPr>
          <w:color w:val="231F20"/>
        </w:rPr>
        <w:t>simply</w:t>
      </w:r>
      <w:r>
        <w:rPr>
          <w:color w:val="231F20"/>
          <w:spacing w:val="10"/>
        </w:rPr>
        <w:t xml:space="preserve"> </w:t>
      </w:r>
      <w:r>
        <w:rPr>
          <w:color w:val="231F20"/>
        </w:rPr>
        <w:t>a</w:t>
      </w:r>
      <w:r>
        <w:rPr>
          <w:color w:val="231F20"/>
          <w:spacing w:val="10"/>
        </w:rPr>
        <w:t xml:space="preserve"> </w:t>
      </w:r>
      <w:r>
        <w:rPr>
          <w:color w:val="231F20"/>
          <w:spacing w:val="1"/>
        </w:rPr>
        <w:t>type</w:t>
      </w:r>
      <w:r>
        <w:rPr>
          <w:color w:val="231F20"/>
          <w:spacing w:val="10"/>
        </w:rPr>
        <w:t xml:space="preserve"> </w:t>
      </w:r>
      <w:r>
        <w:rPr>
          <w:color w:val="231F20"/>
        </w:rPr>
        <w:t>of</w:t>
      </w:r>
      <w:r>
        <w:rPr>
          <w:color w:val="231F20"/>
          <w:spacing w:val="10"/>
        </w:rPr>
        <w:t xml:space="preserve"> </w:t>
      </w:r>
      <w:r>
        <w:rPr>
          <w:color w:val="231F20"/>
        </w:rPr>
        <w:t>“execution.”</w:t>
      </w:r>
    </w:p>
    <w:p w14:paraId="0D6CBC10" w14:textId="77777777" w:rsidR="002653E8" w:rsidRDefault="003115E3">
      <w:pPr>
        <w:pStyle w:val="a3"/>
        <w:spacing w:line="264" w:lineRule="auto"/>
        <w:ind w:left="1543" w:right="1580" w:hanging="216"/>
      </w:pPr>
      <w:r>
        <w:rPr>
          <w:color w:val="231F20"/>
        </w:rPr>
        <w:t>That is to say: A process of inner disintegration occurs—like something being dissolved in acid, which one attempts to slow down by concentrating on resistance, but nothing can stop it</w:t>
      </w:r>
    </w:p>
    <w:p w14:paraId="1F7764B1" w14:textId="77777777" w:rsidR="002653E8" w:rsidRDefault="002653E8">
      <w:pPr>
        <w:pStyle w:val="a3"/>
        <w:spacing w:before="2"/>
        <w:rPr>
          <w:sz w:val="21"/>
        </w:rPr>
      </w:pPr>
    </w:p>
    <w:p w14:paraId="425E9A97" w14:textId="77777777" w:rsidR="002653E8" w:rsidRDefault="003115E3">
      <w:pPr>
        <w:pStyle w:val="a3"/>
        <w:spacing w:line="264" w:lineRule="auto"/>
        <w:ind w:left="1543" w:right="1580" w:hanging="216"/>
      </w:pPr>
      <w:r>
        <w:rPr>
          <w:color w:val="231F20"/>
        </w:rPr>
        <w:t>The complete destruction of the personality is insidious. Nobody exists outside of oneself in these completely extraordinary circumstances.</w:t>
      </w:r>
    </w:p>
    <w:p w14:paraId="425D66DA" w14:textId="77777777" w:rsidR="002653E8" w:rsidRDefault="002653E8">
      <w:pPr>
        <w:pStyle w:val="a3"/>
        <w:spacing w:before="7"/>
        <w:rPr>
          <w:sz w:val="21"/>
        </w:rPr>
      </w:pPr>
    </w:p>
    <w:p w14:paraId="143F846D" w14:textId="77777777" w:rsidR="002653E8" w:rsidRDefault="003115E3">
      <w:pPr>
        <w:pStyle w:val="a3"/>
        <w:spacing w:before="1" w:line="264" w:lineRule="auto"/>
        <w:ind w:left="1543" w:right="1427" w:hanging="216"/>
      </w:pPr>
      <w:r>
        <w:rPr>
          <w:color w:val="231F20"/>
          <w:w w:val="115"/>
        </w:rPr>
        <w:t>A</w:t>
      </w:r>
      <w:r>
        <w:rPr>
          <w:color w:val="231F20"/>
          <w:w w:val="90"/>
        </w:rPr>
        <w:t>s</w:t>
      </w:r>
      <w:r>
        <w:rPr>
          <w:color w:val="231F20"/>
        </w:rPr>
        <w:t xml:space="preserve"> m</w:t>
      </w:r>
      <w:r>
        <w:rPr>
          <w:color w:val="231F20"/>
          <w:w w:val="91"/>
        </w:rPr>
        <w:t>e</w:t>
      </w:r>
      <w:r>
        <w:rPr>
          <w:color w:val="231F20"/>
          <w:w w:val="102"/>
        </w:rPr>
        <w:t>a</w:t>
      </w:r>
      <w:r>
        <w:rPr>
          <w:color w:val="231F20"/>
          <w:w w:val="99"/>
        </w:rPr>
        <w:t>n</w:t>
      </w:r>
      <w:r>
        <w:rPr>
          <w:color w:val="231F20"/>
          <w:w w:val="90"/>
        </w:rPr>
        <w:t>s</w:t>
      </w:r>
      <w:r>
        <w:rPr>
          <w:color w:val="231F20"/>
          <w:w w:val="56"/>
        </w:rPr>
        <w:t>/</w:t>
      </w:r>
      <w:r>
        <w:rPr>
          <w:color w:val="231F20"/>
          <w:w w:val="99"/>
        </w:rPr>
        <w:t>m</w:t>
      </w:r>
      <w:r>
        <w:rPr>
          <w:color w:val="231F20"/>
          <w:w w:val="91"/>
        </w:rPr>
        <w:t>e</w:t>
      </w:r>
      <w:r>
        <w:rPr>
          <w:color w:val="231F20"/>
          <w:w w:val="98"/>
        </w:rPr>
        <w:t>t</w:t>
      </w:r>
      <w:r>
        <w:rPr>
          <w:color w:val="231F20"/>
        </w:rPr>
        <w:t>h</w:t>
      </w:r>
      <w:r>
        <w:rPr>
          <w:color w:val="231F20"/>
          <w:w w:val="104"/>
        </w:rPr>
        <w:t>o</w:t>
      </w:r>
      <w:r>
        <w:rPr>
          <w:color w:val="231F20"/>
        </w:rPr>
        <w:t>d</w:t>
      </w:r>
      <w:r>
        <w:rPr>
          <w:color w:val="231F20"/>
          <w:w w:val="135"/>
        </w:rPr>
        <w:t>,</w:t>
      </w:r>
      <w:r>
        <w:rPr>
          <w:color w:val="231F20"/>
        </w:rPr>
        <w:t xml:space="preserve"> i</w:t>
      </w:r>
      <w:r>
        <w:rPr>
          <w:color w:val="231F20"/>
          <w:w w:val="98"/>
        </w:rPr>
        <w:t>t</w:t>
      </w:r>
      <w:r>
        <w:rPr>
          <w:color w:val="231F20"/>
        </w:rPr>
        <w:t xml:space="preserve"> c</w:t>
      </w:r>
      <w:r>
        <w:rPr>
          <w:color w:val="231F20"/>
          <w:w w:val="102"/>
        </w:rPr>
        <w:t>a</w:t>
      </w:r>
      <w:r>
        <w:rPr>
          <w:color w:val="231F20"/>
          <w:w w:val="99"/>
        </w:rPr>
        <w:t>n</w:t>
      </w:r>
      <w:r>
        <w:rPr>
          <w:color w:val="231F20"/>
        </w:rPr>
        <w:t xml:space="preserve"> </w:t>
      </w:r>
      <w:r>
        <w:rPr>
          <w:color w:val="231F20"/>
          <w:w w:val="101"/>
        </w:rPr>
        <w:t>q</w:t>
      </w:r>
      <w:r>
        <w:rPr>
          <w:color w:val="231F20"/>
        </w:rPr>
        <w:t>ui</w:t>
      </w:r>
      <w:r>
        <w:rPr>
          <w:color w:val="231F20"/>
          <w:w w:val="98"/>
        </w:rPr>
        <w:t>t</w:t>
      </w:r>
      <w:r>
        <w:rPr>
          <w:color w:val="231F20"/>
          <w:w w:val="91"/>
        </w:rPr>
        <w:t>e</w:t>
      </w:r>
      <w:r>
        <w:rPr>
          <w:color w:val="231F20"/>
        </w:rPr>
        <w:t xml:space="preserve"> </w:t>
      </w:r>
      <w:r>
        <w:rPr>
          <w:color w:val="231F20"/>
          <w:w w:val="101"/>
        </w:rPr>
        <w:t>cl</w:t>
      </w:r>
      <w:r>
        <w:rPr>
          <w:color w:val="231F20"/>
          <w:w w:val="91"/>
        </w:rPr>
        <w:t>e</w:t>
      </w:r>
      <w:r>
        <w:rPr>
          <w:color w:val="231F20"/>
          <w:w w:val="102"/>
        </w:rPr>
        <w:t>a</w:t>
      </w:r>
      <w:r>
        <w:rPr>
          <w:color w:val="231F20"/>
          <w:w w:val="94"/>
        </w:rPr>
        <w:t>r</w:t>
      </w:r>
      <w:r>
        <w:rPr>
          <w:color w:val="231F20"/>
          <w:w w:val="102"/>
        </w:rPr>
        <w:t>l</w:t>
      </w:r>
      <w:r>
        <w:rPr>
          <w:color w:val="231F20"/>
          <w:w w:val="99"/>
        </w:rPr>
        <w:t>y</w:t>
      </w:r>
      <w:r>
        <w:rPr>
          <w:color w:val="231F20"/>
        </w:rPr>
        <w:t xml:space="preserve"> </w:t>
      </w:r>
      <w:r>
        <w:rPr>
          <w:color w:val="231F20"/>
          <w:w w:val="101"/>
        </w:rPr>
        <w:t>b</w:t>
      </w:r>
      <w:r>
        <w:rPr>
          <w:color w:val="231F20"/>
          <w:w w:val="91"/>
        </w:rPr>
        <w:t>e</w:t>
      </w:r>
      <w:r>
        <w:rPr>
          <w:color w:val="231F20"/>
        </w:rPr>
        <w:t xml:space="preserve"> c</w:t>
      </w:r>
      <w:r>
        <w:rPr>
          <w:color w:val="231F20"/>
          <w:w w:val="104"/>
        </w:rPr>
        <w:t>o</w:t>
      </w:r>
      <w:r>
        <w:rPr>
          <w:color w:val="231F20"/>
          <w:w w:val="99"/>
        </w:rPr>
        <w:t>mp</w:t>
      </w:r>
      <w:r>
        <w:rPr>
          <w:color w:val="231F20"/>
          <w:w w:val="102"/>
        </w:rPr>
        <w:t>a</w:t>
      </w:r>
      <w:r>
        <w:rPr>
          <w:color w:val="231F20"/>
          <w:w w:val="94"/>
        </w:rPr>
        <w:t>r</w:t>
      </w:r>
      <w:r>
        <w:rPr>
          <w:color w:val="231F20"/>
          <w:w w:val="91"/>
        </w:rPr>
        <w:t>e</w:t>
      </w:r>
      <w:r>
        <w:rPr>
          <w:color w:val="231F20"/>
        </w:rPr>
        <w:t>d</w:t>
      </w:r>
      <w:r>
        <w:rPr>
          <w:color w:val="231F20"/>
          <w:w w:val="135"/>
        </w:rPr>
        <w:t>,</w:t>
      </w:r>
      <w:r>
        <w:rPr>
          <w:color w:val="231F20"/>
        </w:rPr>
        <w:t xml:space="preserve"> </w:t>
      </w:r>
      <w:r>
        <w:rPr>
          <w:color w:val="231F20"/>
          <w:w w:val="109"/>
        </w:rPr>
        <w:t>f</w:t>
      </w:r>
      <w:r>
        <w:rPr>
          <w:color w:val="231F20"/>
          <w:w w:val="104"/>
        </w:rPr>
        <w:t>o</w:t>
      </w:r>
      <w:r>
        <w:rPr>
          <w:color w:val="231F20"/>
          <w:w w:val="94"/>
        </w:rPr>
        <w:t>r</w:t>
      </w:r>
      <w:r>
        <w:rPr>
          <w:color w:val="231F20"/>
        </w:rPr>
        <w:t xml:space="preserve"> i</w:t>
      </w:r>
      <w:r>
        <w:rPr>
          <w:color w:val="231F20"/>
          <w:w w:val="99"/>
        </w:rPr>
        <w:t>n</w:t>
      </w:r>
      <w:r>
        <w:rPr>
          <w:color w:val="231F20"/>
          <w:w w:val="90"/>
        </w:rPr>
        <w:t>s</w:t>
      </w:r>
      <w:r>
        <w:rPr>
          <w:color w:val="231F20"/>
          <w:w w:val="98"/>
        </w:rPr>
        <w:t>t</w:t>
      </w:r>
      <w:r>
        <w:rPr>
          <w:color w:val="231F20"/>
          <w:w w:val="102"/>
        </w:rPr>
        <w:t>a</w:t>
      </w:r>
      <w:r>
        <w:rPr>
          <w:color w:val="231F20"/>
          <w:w w:val="99"/>
        </w:rPr>
        <w:t>n</w:t>
      </w:r>
      <w:r>
        <w:rPr>
          <w:color w:val="231F20"/>
        </w:rPr>
        <w:t>c</w:t>
      </w:r>
      <w:r>
        <w:rPr>
          <w:color w:val="231F20"/>
          <w:w w:val="91"/>
        </w:rPr>
        <w:t>e</w:t>
      </w:r>
      <w:r>
        <w:rPr>
          <w:color w:val="231F20"/>
          <w:w w:val="135"/>
        </w:rPr>
        <w:t>,</w:t>
      </w:r>
      <w:r>
        <w:rPr>
          <w:color w:val="231F20"/>
        </w:rPr>
        <w:t xml:space="preserve"> </w:t>
      </w:r>
      <w:r>
        <w:rPr>
          <w:color w:val="231F20"/>
          <w:w w:val="98"/>
        </w:rPr>
        <w:t>t</w:t>
      </w:r>
      <w:r>
        <w:rPr>
          <w:color w:val="231F20"/>
          <w:w w:val="104"/>
        </w:rPr>
        <w:t xml:space="preserve">o </w:t>
      </w:r>
      <w:r>
        <w:rPr>
          <w:color w:val="231F20"/>
        </w:rPr>
        <w:t>that which they use against the Tupamaros: to create in them a state of nervous agitation and agony, shortly before administering pentothal—which suddenly creates a feeling of relaxation and euphoria. One expects the prisoner to lose self-control.</w:t>
      </w:r>
    </w:p>
    <w:p w14:paraId="63C80B28" w14:textId="77777777" w:rsidR="002653E8" w:rsidRDefault="003115E3">
      <w:pPr>
        <w:pStyle w:val="a3"/>
        <w:spacing w:line="229" w:lineRule="exact"/>
        <w:ind w:left="1327"/>
      </w:pPr>
      <w:r>
        <w:rPr>
          <w:color w:val="231F20"/>
          <w:w w:val="105"/>
        </w:rPr>
        <w:t>To babble.</w:t>
      </w:r>
    </w:p>
    <w:p w14:paraId="0C60FB44" w14:textId="77777777" w:rsidR="002653E8" w:rsidRDefault="002653E8">
      <w:pPr>
        <w:spacing w:line="229" w:lineRule="exact"/>
        <w:sectPr w:rsidR="002653E8">
          <w:pgSz w:w="8640" w:h="12960"/>
          <w:pgMar w:top="1060" w:right="0" w:bottom="1040" w:left="0" w:header="0" w:footer="850" w:gutter="0"/>
          <w:cols w:space="720"/>
        </w:sectPr>
      </w:pPr>
    </w:p>
    <w:p w14:paraId="7F940B3C" w14:textId="77777777" w:rsidR="002653E8" w:rsidRDefault="003115E3">
      <w:pPr>
        <w:pStyle w:val="4"/>
        <w:ind w:left="2590"/>
      </w:pPr>
      <w:bookmarkStart w:id="120" w:name="Second_Hunger_Strike_(May_8,_1973)_"/>
      <w:bookmarkStart w:id="121" w:name="_bookmark37"/>
      <w:bookmarkEnd w:id="120"/>
      <w:bookmarkEnd w:id="121"/>
      <w:r>
        <w:rPr>
          <w:color w:val="231F20"/>
        </w:rPr>
        <w:lastRenderedPageBreak/>
        <w:t>Second Hunger Strike</w:t>
      </w:r>
    </w:p>
    <w:p w14:paraId="6D7FEB17" w14:textId="7A8B67DC" w:rsidR="002653E8" w:rsidRDefault="003115E3">
      <w:pPr>
        <w:pStyle w:val="a3"/>
        <w:spacing w:before="256" w:line="264" w:lineRule="auto"/>
        <w:ind w:left="1147" w:right="1325"/>
        <w:jc w:val="both"/>
      </w:pPr>
      <w:r>
        <w:rPr>
          <w:color w:val="231F20"/>
          <w:spacing w:val="1"/>
          <w:w w:val="127"/>
        </w:rPr>
        <w:t>O</w:t>
      </w:r>
      <w:r>
        <w:rPr>
          <w:color w:val="231F20"/>
          <w:spacing w:val="3"/>
        </w:rPr>
        <w:t>u</w:t>
      </w:r>
      <w:r>
        <w:rPr>
          <w:color w:val="231F20"/>
          <w:w w:val="94"/>
        </w:rPr>
        <w:t>r</w:t>
      </w:r>
      <w:r>
        <w:rPr>
          <w:color w:val="231F20"/>
        </w:rPr>
        <w:t xml:space="preserve"> </w:t>
      </w:r>
      <w:r>
        <w:rPr>
          <w:color w:val="231F20"/>
          <w:spacing w:val="20"/>
        </w:rPr>
        <w:t xml:space="preserve"> </w:t>
      </w:r>
      <w:r>
        <w:rPr>
          <w:color w:val="231F20"/>
          <w:spacing w:val="-1"/>
          <w:w w:val="126"/>
        </w:rPr>
        <w:t>J</w:t>
      </w:r>
      <w:r>
        <w:rPr>
          <w:color w:val="231F20"/>
          <w:spacing w:val="2"/>
          <w:w w:val="102"/>
        </w:rPr>
        <w:t>a</w:t>
      </w:r>
      <w:r>
        <w:rPr>
          <w:color w:val="231F20"/>
          <w:spacing w:val="-4"/>
          <w:w w:val="99"/>
        </w:rPr>
        <w:t>n</w:t>
      </w:r>
      <w:r>
        <w:rPr>
          <w:color w:val="231F20"/>
          <w:spacing w:val="1"/>
        </w:rPr>
        <w:t>u</w:t>
      </w:r>
      <w:r>
        <w:rPr>
          <w:color w:val="231F20"/>
          <w:spacing w:val="3"/>
          <w:w w:val="102"/>
        </w:rPr>
        <w:t>a</w:t>
      </w:r>
      <w:r>
        <w:rPr>
          <w:color w:val="231F20"/>
          <w:spacing w:val="5"/>
          <w:w w:val="94"/>
        </w:rPr>
        <w:t>r</w:t>
      </w:r>
      <w:r>
        <w:rPr>
          <w:color w:val="231F20"/>
          <w:spacing w:val="-3"/>
          <w:w w:val="99"/>
        </w:rPr>
        <w:t>y</w:t>
      </w:r>
      <w:r>
        <w:rPr>
          <w:color w:val="231F20"/>
          <w:spacing w:val="10"/>
          <w:w w:val="56"/>
        </w:rPr>
        <w:t>/</w:t>
      </w:r>
      <w:r>
        <w:rPr>
          <w:color w:val="231F20"/>
          <w:spacing w:val="-1"/>
          <w:w w:val="103"/>
        </w:rPr>
        <w:t>F</w:t>
      </w:r>
      <w:r>
        <w:rPr>
          <w:color w:val="231F20"/>
          <w:spacing w:val="-1"/>
          <w:w w:val="91"/>
        </w:rPr>
        <w:t>e</w:t>
      </w:r>
      <w:r>
        <w:rPr>
          <w:color w:val="231F20"/>
          <w:spacing w:val="-1"/>
          <w:w w:val="101"/>
        </w:rPr>
        <w:t>b</w:t>
      </w:r>
      <w:r>
        <w:rPr>
          <w:color w:val="231F20"/>
          <w:spacing w:val="3"/>
          <w:w w:val="94"/>
        </w:rPr>
        <w:t>r</w:t>
      </w:r>
      <w:r>
        <w:rPr>
          <w:color w:val="231F20"/>
          <w:spacing w:val="1"/>
        </w:rPr>
        <w:t>u</w:t>
      </w:r>
      <w:r>
        <w:rPr>
          <w:color w:val="231F20"/>
          <w:spacing w:val="3"/>
          <w:w w:val="102"/>
        </w:rPr>
        <w:t>a</w:t>
      </w:r>
      <w:r>
        <w:rPr>
          <w:color w:val="231F20"/>
          <w:spacing w:val="5"/>
          <w:w w:val="94"/>
        </w:rPr>
        <w:t>r</w:t>
      </w:r>
      <w:r>
        <w:rPr>
          <w:color w:val="231F20"/>
          <w:w w:val="99"/>
        </w:rPr>
        <w:t>y</w:t>
      </w:r>
      <w:r>
        <w:rPr>
          <w:color w:val="231F20"/>
        </w:rPr>
        <w:t xml:space="preserve"> </w:t>
      </w:r>
      <w:r>
        <w:rPr>
          <w:color w:val="231F20"/>
          <w:spacing w:val="20"/>
        </w:rPr>
        <w:t xml:space="preserve"> </w:t>
      </w:r>
      <w:r>
        <w:rPr>
          <w:color w:val="231F20"/>
          <w:spacing w:val="-4"/>
        </w:rPr>
        <w:t>h</w:t>
      </w:r>
      <w:r>
        <w:rPr>
          <w:color w:val="231F20"/>
          <w:spacing w:val="3"/>
        </w:rPr>
        <w:t>u</w:t>
      </w:r>
      <w:r>
        <w:rPr>
          <w:color w:val="231F20"/>
          <w:w w:val="99"/>
        </w:rPr>
        <w:t>n</w:t>
      </w:r>
      <w:r>
        <w:rPr>
          <w:color w:val="231F20"/>
          <w:spacing w:val="-1"/>
          <w:w w:val="101"/>
        </w:rPr>
        <w:t>g</w:t>
      </w:r>
      <w:r>
        <w:rPr>
          <w:color w:val="231F20"/>
          <w:w w:val="92"/>
        </w:rPr>
        <w:t>er</w:t>
      </w:r>
      <w:r>
        <w:rPr>
          <w:color w:val="231F20"/>
        </w:rPr>
        <w:t xml:space="preserve"> </w:t>
      </w:r>
      <w:r>
        <w:rPr>
          <w:color w:val="231F20"/>
          <w:spacing w:val="20"/>
        </w:rPr>
        <w:t xml:space="preserve"> </w:t>
      </w:r>
      <w:r>
        <w:rPr>
          <w:color w:val="231F20"/>
          <w:w w:val="90"/>
        </w:rPr>
        <w:t>s</w:t>
      </w:r>
      <w:r>
        <w:rPr>
          <w:color w:val="231F20"/>
          <w:spacing w:val="3"/>
          <w:w w:val="98"/>
        </w:rPr>
        <w:t>t</w:t>
      </w:r>
      <w:r>
        <w:rPr>
          <w:color w:val="231F20"/>
          <w:spacing w:val="1"/>
          <w:w w:val="94"/>
        </w:rPr>
        <w:t>r</w:t>
      </w:r>
      <w:r>
        <w:rPr>
          <w:color w:val="231F20"/>
          <w:spacing w:val="2"/>
        </w:rPr>
        <w:t>i</w:t>
      </w:r>
      <w:r>
        <w:rPr>
          <w:color w:val="231F20"/>
          <w:spacing w:val="-2"/>
          <w:w w:val="106"/>
        </w:rPr>
        <w:t>k</w:t>
      </w:r>
      <w:r>
        <w:rPr>
          <w:color w:val="231F20"/>
          <w:w w:val="91"/>
        </w:rPr>
        <w:t>e</w:t>
      </w:r>
      <w:r>
        <w:rPr>
          <w:color w:val="231F20"/>
        </w:rPr>
        <w:t xml:space="preserve"> </w:t>
      </w:r>
      <w:r>
        <w:rPr>
          <w:color w:val="231F20"/>
          <w:spacing w:val="20"/>
        </w:rPr>
        <w:t xml:space="preserve"> </w:t>
      </w:r>
      <w:r>
        <w:rPr>
          <w:color w:val="231F20"/>
          <w:spacing w:val="-2"/>
        </w:rPr>
        <w:t>w</w:t>
      </w:r>
      <w:r>
        <w:rPr>
          <w:color w:val="231F20"/>
          <w:w w:val="102"/>
        </w:rPr>
        <w:t>a</w:t>
      </w:r>
      <w:r>
        <w:rPr>
          <w:color w:val="231F20"/>
          <w:w w:val="90"/>
        </w:rPr>
        <w:t>s</w:t>
      </w:r>
      <w:r>
        <w:rPr>
          <w:color w:val="231F20"/>
        </w:rPr>
        <w:t xml:space="preserve"> </w:t>
      </w:r>
      <w:r>
        <w:rPr>
          <w:color w:val="231F20"/>
          <w:spacing w:val="20"/>
        </w:rPr>
        <w:t xml:space="preserve"> </w:t>
      </w:r>
      <w:r>
        <w:rPr>
          <w:color w:val="231F20"/>
          <w:spacing w:val="3"/>
        </w:rPr>
        <w:t>u</w:t>
      </w:r>
      <w:r>
        <w:rPr>
          <w:color w:val="231F20"/>
          <w:spacing w:val="1"/>
          <w:w w:val="99"/>
        </w:rPr>
        <w:t>n</w:t>
      </w:r>
      <w:r>
        <w:rPr>
          <w:color w:val="231F20"/>
          <w:spacing w:val="-1"/>
          <w:w w:val="90"/>
        </w:rPr>
        <w:t>s</w:t>
      </w:r>
      <w:r>
        <w:rPr>
          <w:color w:val="231F20"/>
        </w:rPr>
        <w:t>u</w:t>
      </w:r>
      <w:r>
        <w:rPr>
          <w:color w:val="231F20"/>
          <w:spacing w:val="2"/>
        </w:rPr>
        <w:t>c</w:t>
      </w:r>
      <w:r>
        <w:rPr>
          <w:color w:val="231F20"/>
          <w:spacing w:val="1"/>
        </w:rPr>
        <w:t>c</w:t>
      </w:r>
      <w:r>
        <w:rPr>
          <w:color w:val="231F20"/>
          <w:spacing w:val="1"/>
          <w:w w:val="91"/>
        </w:rPr>
        <w:t>e</w:t>
      </w:r>
      <w:r>
        <w:rPr>
          <w:color w:val="231F20"/>
          <w:spacing w:val="1"/>
          <w:w w:val="90"/>
        </w:rPr>
        <w:t>s</w:t>
      </w:r>
      <w:r>
        <w:rPr>
          <w:color w:val="231F20"/>
          <w:spacing w:val="-1"/>
          <w:w w:val="90"/>
        </w:rPr>
        <w:t>s</w:t>
      </w:r>
      <w:r>
        <w:rPr>
          <w:color w:val="231F20"/>
          <w:spacing w:val="5"/>
          <w:w w:val="109"/>
        </w:rPr>
        <w:t>f</w:t>
      </w:r>
      <w:r>
        <w:rPr>
          <w:color w:val="231F20"/>
          <w:spacing w:val="3"/>
        </w:rPr>
        <w:t>u</w:t>
      </w:r>
      <w:r>
        <w:rPr>
          <w:color w:val="231F20"/>
          <w:w w:val="102"/>
        </w:rPr>
        <w:t>l</w:t>
      </w:r>
      <w:r>
        <w:rPr>
          <w:color w:val="231F20"/>
          <w:w w:val="135"/>
        </w:rPr>
        <w:t>.</w:t>
      </w:r>
      <w:r>
        <w:rPr>
          <w:color w:val="231F20"/>
        </w:rPr>
        <w:t xml:space="preserve"> </w:t>
      </w:r>
      <w:r>
        <w:rPr>
          <w:color w:val="231F20"/>
          <w:spacing w:val="20"/>
        </w:rPr>
        <w:t xml:space="preserve"> </w:t>
      </w:r>
      <w:r>
        <w:rPr>
          <w:color w:val="231F20"/>
          <w:spacing w:val="5"/>
          <w:w w:val="112"/>
        </w:rPr>
        <w:t>T</w:t>
      </w:r>
      <w:r>
        <w:rPr>
          <w:color w:val="231F20"/>
          <w:spacing w:val="-1"/>
        </w:rPr>
        <w:t>h</w:t>
      </w:r>
      <w:r>
        <w:rPr>
          <w:color w:val="231F20"/>
          <w:w w:val="91"/>
        </w:rPr>
        <w:t>e</w:t>
      </w:r>
      <w:r>
        <w:rPr>
          <w:color w:val="231F20"/>
        </w:rPr>
        <w:t xml:space="preserve"> </w:t>
      </w:r>
      <w:r>
        <w:rPr>
          <w:color w:val="231F20"/>
          <w:spacing w:val="20"/>
        </w:rPr>
        <w:t xml:space="preserve"> </w:t>
      </w:r>
      <w:r>
        <w:rPr>
          <w:color w:val="231F20"/>
          <w:w w:val="99"/>
        </w:rPr>
        <w:t>B</w:t>
      </w:r>
      <w:r>
        <w:rPr>
          <w:color w:val="231F20"/>
          <w:spacing w:val="-17"/>
          <w:w w:val="111"/>
        </w:rPr>
        <w:t>A</w:t>
      </w:r>
      <w:r>
        <w:rPr>
          <w:color w:val="231F20"/>
          <w:spacing w:val="5"/>
          <w:w w:val="111"/>
        </w:rPr>
        <w:t>W</w:t>
      </w:r>
      <w:r>
        <w:rPr>
          <w:color w:val="231F20"/>
          <w:spacing w:val="-11"/>
          <w:w w:val="125"/>
        </w:rPr>
        <w:t>’</w:t>
      </w:r>
      <w:r>
        <w:rPr>
          <w:color w:val="231F20"/>
          <w:w w:val="90"/>
        </w:rPr>
        <w:t xml:space="preserve">s </w:t>
      </w:r>
      <w:r>
        <w:rPr>
          <w:color w:val="231F20"/>
        </w:rPr>
        <w:t xml:space="preserve">promise to end our isolation was bullshit. </w:t>
      </w:r>
      <w:r>
        <w:rPr>
          <w:color w:val="231F20"/>
          <w:spacing w:val="-5"/>
        </w:rPr>
        <w:t xml:space="preserve">We </w:t>
      </w:r>
      <w:r>
        <w:rPr>
          <w:color w:val="231F20"/>
        </w:rPr>
        <w:t>are again on  hunger strike.</w:t>
      </w:r>
    </w:p>
    <w:p w14:paraId="5F6AB994" w14:textId="77777777" w:rsidR="002653E8" w:rsidRDefault="003115E3">
      <w:pPr>
        <w:pStyle w:val="a3"/>
        <w:spacing w:line="231" w:lineRule="exact"/>
        <w:ind w:left="1357"/>
      </w:pPr>
      <w:r>
        <w:rPr>
          <w:color w:val="231F20"/>
        </w:rPr>
        <w:t>We demand:</w:t>
      </w:r>
    </w:p>
    <w:p w14:paraId="1C5E5615" w14:textId="77777777" w:rsidR="002653E8" w:rsidRDefault="003115E3">
      <w:pPr>
        <w:pStyle w:val="a3"/>
        <w:spacing w:before="149" w:line="261" w:lineRule="auto"/>
        <w:ind w:left="1947" w:right="1848"/>
      </w:pPr>
      <w:r>
        <w:rPr>
          <w:color w:val="231F20"/>
          <w:w w:val="110"/>
        </w:rPr>
        <w:t>THAT POLITICAL PRISONERS BE PLACED WITH ALL OF THE OTHER PRISONERS!</w:t>
      </w:r>
    </w:p>
    <w:p w14:paraId="6A192C02" w14:textId="77777777" w:rsidR="002653E8" w:rsidRDefault="003115E3">
      <w:pPr>
        <w:pStyle w:val="a3"/>
        <w:spacing w:before="129"/>
        <w:ind w:left="1947"/>
      </w:pPr>
      <w:r>
        <w:rPr>
          <w:color w:val="231F20"/>
        </w:rPr>
        <w:t>and</w:t>
      </w:r>
    </w:p>
    <w:p w14:paraId="62BA3466" w14:textId="77777777" w:rsidR="002653E8" w:rsidRDefault="003115E3">
      <w:pPr>
        <w:pStyle w:val="a3"/>
        <w:spacing w:before="150" w:line="261" w:lineRule="auto"/>
        <w:ind w:left="1947" w:right="2067"/>
      </w:pPr>
      <w:r>
        <w:rPr>
          <w:color w:val="231F20"/>
          <w:w w:val="115"/>
        </w:rPr>
        <w:t>FREE ACCESS TO POLITICAL INFORMATION FOR ALL PRISONERS—INCLUDING FROM THE MEDIA OF THE APO.</w:t>
      </w:r>
    </w:p>
    <w:p w14:paraId="1C790792" w14:textId="77777777" w:rsidR="002653E8" w:rsidRDefault="003115E3">
      <w:pPr>
        <w:pStyle w:val="a3"/>
        <w:spacing w:before="137"/>
        <w:ind w:left="1147"/>
      </w:pPr>
      <w:r>
        <w:rPr>
          <w:color w:val="231F20"/>
          <w:w w:val="105"/>
        </w:rPr>
        <w:t>No more, no less. Now.</w:t>
      </w:r>
    </w:p>
    <w:p w14:paraId="6A242FB2" w14:textId="77777777" w:rsidR="002653E8" w:rsidRDefault="003115E3">
      <w:pPr>
        <w:pStyle w:val="a3"/>
        <w:spacing w:before="22" w:line="264" w:lineRule="auto"/>
        <w:ind w:left="1147" w:right="1325" w:firstLine="210"/>
        <w:jc w:val="both"/>
      </w:pPr>
      <w:r>
        <w:rPr>
          <w:color w:val="231F20"/>
        </w:rPr>
        <w:t xml:space="preserve">Enough of the </w:t>
      </w:r>
      <w:r>
        <w:rPr>
          <w:color w:val="231F20"/>
          <w:spacing w:val="2"/>
        </w:rPr>
        <w:t xml:space="preserve">dirty </w:t>
      </w:r>
      <w:r>
        <w:rPr>
          <w:color w:val="231F20"/>
        </w:rPr>
        <w:t xml:space="preserve">dealing—time is on your side; we </w:t>
      </w:r>
      <w:r>
        <w:rPr>
          <w:color w:val="231F20"/>
          <w:spacing w:val="-4"/>
        </w:rPr>
        <w:t xml:space="preserve">won’t </w:t>
      </w:r>
      <w:r>
        <w:rPr>
          <w:color w:val="231F20"/>
        </w:rPr>
        <w:t>be  duped.</w:t>
      </w:r>
    </w:p>
    <w:p w14:paraId="0946C0B2" w14:textId="77777777" w:rsidR="002653E8" w:rsidRDefault="003115E3">
      <w:pPr>
        <w:pStyle w:val="a3"/>
        <w:spacing w:line="264" w:lineRule="auto"/>
        <w:ind w:left="1147" w:right="1326" w:firstLine="210"/>
        <w:jc w:val="both"/>
      </w:pPr>
      <w:r>
        <w:rPr>
          <w:color w:val="231F20"/>
        </w:rPr>
        <w:t>Eat shit or die! That’s the law of the system. There’s profit to  be made. Every child, every woman, every man must be threatened, intimidated, and terrified into submission. Every option in this system ends in</w:t>
      </w:r>
      <w:r>
        <w:rPr>
          <w:color w:val="231F20"/>
          <w:spacing w:val="20"/>
        </w:rPr>
        <w:t xml:space="preserve"> </w:t>
      </w:r>
      <w:r>
        <w:rPr>
          <w:color w:val="231F20"/>
        </w:rPr>
        <w:t>evil.</w:t>
      </w:r>
    </w:p>
    <w:p w14:paraId="7A5B17E5" w14:textId="77777777" w:rsidR="002653E8" w:rsidRDefault="003115E3">
      <w:pPr>
        <w:pStyle w:val="a3"/>
        <w:spacing w:before="120"/>
        <w:ind w:left="1357"/>
      </w:pPr>
      <w:r>
        <w:rPr>
          <w:color w:val="231F20"/>
        </w:rPr>
        <w:t>Either be integrated into the existing capitalist system—</w:t>
      </w:r>
    </w:p>
    <w:p w14:paraId="13B0A4FB" w14:textId="77777777" w:rsidR="002653E8" w:rsidRDefault="003115E3">
      <w:pPr>
        <w:pStyle w:val="a3"/>
        <w:spacing w:before="150" w:line="261" w:lineRule="auto"/>
        <w:ind w:left="1357" w:right="2281"/>
      </w:pPr>
      <w:r>
        <w:rPr>
          <w:color w:val="231F20"/>
        </w:rPr>
        <w:t>the assembly line chews up people and spits out profits— the office chews up people and spits out bosses—</w:t>
      </w:r>
    </w:p>
    <w:p w14:paraId="7AB5DD2A" w14:textId="77777777" w:rsidR="002653E8" w:rsidRDefault="003115E3">
      <w:pPr>
        <w:pStyle w:val="a3"/>
        <w:spacing w:before="1" w:line="261" w:lineRule="auto"/>
        <w:ind w:left="1357" w:right="2448"/>
      </w:pPr>
      <w:r>
        <w:rPr>
          <w:color w:val="231F20"/>
        </w:rPr>
        <w:t>the schools chew up people and spit out a labor force— the universities chew up people and spit out robots—</w:t>
      </w:r>
    </w:p>
    <w:p w14:paraId="2DF28600" w14:textId="77777777" w:rsidR="002653E8" w:rsidRDefault="003115E3">
      <w:pPr>
        <w:pStyle w:val="a3"/>
        <w:spacing w:before="129"/>
        <w:ind w:left="1357"/>
      </w:pPr>
      <w:r>
        <w:rPr>
          <w:color w:val="231F20"/>
        </w:rPr>
        <w:t>or face starvation, marginalization, suicide.</w:t>
      </w:r>
    </w:p>
    <w:p w14:paraId="4C0B7DA6" w14:textId="77777777" w:rsidR="002653E8" w:rsidRDefault="003115E3">
      <w:pPr>
        <w:pStyle w:val="a3"/>
        <w:spacing w:before="157" w:line="264" w:lineRule="auto"/>
        <w:ind w:left="1147" w:right="1325" w:firstLine="210"/>
        <w:jc w:val="both"/>
      </w:pPr>
      <w:r>
        <w:rPr>
          <w:color w:val="231F20"/>
        </w:rPr>
        <w:t>Whoever doesn’t accept the available options, doesn’t internalize them; whoever, after 10, 15, 20 years of being socialized to conform to the capitalist system of exploitation, still has dreams, still speaks up to protest, still has the strength to resist—can no longer keep up with the tempo of work—cracks—is sick—beats his boss instead of his wife and kids—would rather himself rob and beat, then let himself be subjected to the laws of thieves and murderers—(really people, Springer makes 100 million in profits ever year!)—or develops ideas about workers’ power—counterviolence—organizes revolutionary politics and resistance—will be criminalized or declared insane.</w:t>
      </w:r>
    </w:p>
    <w:p w14:paraId="6FE0265D" w14:textId="77777777" w:rsidR="002653E8" w:rsidRDefault="002653E8">
      <w:pPr>
        <w:spacing w:line="264" w:lineRule="auto"/>
        <w:jc w:val="both"/>
        <w:sectPr w:rsidR="002653E8">
          <w:pgSz w:w="8640" w:h="12960"/>
          <w:pgMar w:top="1220" w:right="0" w:bottom="1040" w:left="0" w:header="0" w:footer="850" w:gutter="0"/>
          <w:cols w:space="720"/>
        </w:sectPr>
      </w:pPr>
    </w:p>
    <w:p w14:paraId="052CAE8E" w14:textId="77777777" w:rsidR="002653E8" w:rsidRDefault="003115E3">
      <w:pPr>
        <w:pStyle w:val="a3"/>
        <w:spacing w:before="86" w:line="264" w:lineRule="auto"/>
        <w:ind w:left="1328" w:right="1145" w:firstLine="209"/>
        <w:jc w:val="both"/>
      </w:pPr>
      <w:r>
        <w:rPr>
          <w:color w:val="231F20"/>
        </w:rPr>
        <w:lastRenderedPageBreak/>
        <w:t>It’s been like that since your great-grandfather’s time, since the beginning of bourgeois society: workhouses, poorhouses, prisons, reform schools, judges, cops, doctors, psychiatrists, priests.</w:t>
      </w:r>
    </w:p>
    <w:p w14:paraId="1E313F4D" w14:textId="77777777" w:rsidR="002653E8" w:rsidRDefault="003115E3">
      <w:pPr>
        <w:pStyle w:val="a3"/>
        <w:spacing w:line="264" w:lineRule="auto"/>
        <w:ind w:left="1328" w:right="1145" w:firstLine="210"/>
        <w:jc w:val="both"/>
      </w:pPr>
      <w:r>
        <w:rPr>
          <w:color w:val="231F20"/>
        </w:rPr>
        <w:t>Whoever doesn’t accept the hidden relationship of war—the bourgeoisie against the people—as a natural state of affairs, as the only possible reality—will be ground down in chains in the system’s prison camps. Those who can be resocialized, that is to say, those who can be stripped of their will to resist and adapted to the capitalist production process, will be spit back out—those who can’t will be destroyed.</w:t>
      </w:r>
    </w:p>
    <w:p w14:paraId="62562BE9" w14:textId="77777777" w:rsidR="002653E8" w:rsidRDefault="003115E3">
      <w:pPr>
        <w:pStyle w:val="a3"/>
        <w:spacing w:line="264" w:lineRule="auto"/>
        <w:ind w:left="1328" w:right="1147" w:firstLine="210"/>
        <w:jc w:val="both"/>
      </w:pPr>
      <w:r>
        <w:rPr>
          <w:color w:val="231F20"/>
        </w:rPr>
        <w:t>Amongst them are the prisoners who serve as the system’s alibi: the white-collar criminals and a few convicted SS pigs.</w:t>
      </w:r>
    </w:p>
    <w:p w14:paraId="1EDF79AA" w14:textId="77777777" w:rsidR="002653E8" w:rsidRDefault="003115E3">
      <w:pPr>
        <w:pStyle w:val="a3"/>
        <w:spacing w:line="264" w:lineRule="auto"/>
        <w:ind w:left="1328" w:right="1145" w:firstLine="210"/>
        <w:jc w:val="both"/>
      </w:pPr>
      <w:r>
        <w:rPr>
          <w:color w:val="231F20"/>
        </w:rPr>
        <w:t>The more the people’s revolt shakes the system’s morale and its concept of property rights, the greater the existing crisis, the more the people’s dreams for the future are replaced with desires for material rewards… the more important prisons will be for a system that has always candidly recognized the need to terrorize and destroy a section of the proletariat—Treblinka, Maidanek and Sobibór are extreme examples—to break the resistance against the exploitation of a large majority of the people—prisons and extermination camps as the next-tofinal and final measures against all forms of resistance—as effectively, systematically, and intentionally as ever.</w:t>
      </w:r>
    </w:p>
    <w:p w14:paraId="7E4B376F" w14:textId="77777777" w:rsidR="002653E8" w:rsidRDefault="003115E3">
      <w:pPr>
        <w:pStyle w:val="a3"/>
        <w:spacing w:line="264" w:lineRule="auto"/>
        <w:ind w:left="1328" w:right="1146" w:firstLine="210"/>
        <w:jc w:val="both"/>
      </w:pPr>
      <w:r>
        <w:rPr>
          <w:color w:val="231F20"/>
        </w:rPr>
        <w:t>The pigs have the prisons firmly in their grip. With every reform the prison system is made more extensive.</w:t>
      </w:r>
    </w:p>
    <w:p w14:paraId="269AA4DF" w14:textId="77777777" w:rsidR="002653E8" w:rsidRDefault="003115E3">
      <w:pPr>
        <w:pStyle w:val="a3"/>
        <w:spacing w:line="264" w:lineRule="auto"/>
        <w:ind w:left="1328" w:right="1145" w:firstLine="210"/>
        <w:jc w:val="both"/>
      </w:pPr>
      <w:r>
        <w:rPr>
          <w:color w:val="231F20"/>
        </w:rPr>
        <w:t>They</w:t>
      </w:r>
      <w:r>
        <w:rPr>
          <w:color w:val="231F20"/>
          <w:spacing w:val="-6"/>
        </w:rPr>
        <w:t xml:space="preserve"> </w:t>
      </w:r>
      <w:r>
        <w:rPr>
          <w:color w:val="231F20"/>
        </w:rPr>
        <w:t>have</w:t>
      </w:r>
      <w:r>
        <w:rPr>
          <w:color w:val="231F20"/>
          <w:spacing w:val="-6"/>
        </w:rPr>
        <w:t xml:space="preserve"> </w:t>
      </w:r>
      <w:r>
        <w:rPr>
          <w:color w:val="231F20"/>
        </w:rPr>
        <w:t>everything</w:t>
      </w:r>
      <w:r>
        <w:rPr>
          <w:color w:val="231F20"/>
          <w:spacing w:val="-6"/>
        </w:rPr>
        <w:t xml:space="preserve"> </w:t>
      </w:r>
      <w:r>
        <w:rPr>
          <w:color w:val="231F20"/>
        </w:rPr>
        <w:t>necessary:</w:t>
      </w:r>
      <w:r>
        <w:rPr>
          <w:color w:val="231F20"/>
          <w:spacing w:val="-6"/>
        </w:rPr>
        <w:t xml:space="preserve"> </w:t>
      </w:r>
      <w:r>
        <w:rPr>
          <w:color w:val="231F20"/>
        </w:rPr>
        <w:t>violence,</w:t>
      </w:r>
      <w:r>
        <w:rPr>
          <w:color w:val="231F20"/>
          <w:spacing w:val="-6"/>
        </w:rPr>
        <w:t xml:space="preserve"> </w:t>
      </w:r>
      <w:r>
        <w:rPr>
          <w:color w:val="231F20"/>
        </w:rPr>
        <w:t>isolation,</w:t>
      </w:r>
      <w:r>
        <w:rPr>
          <w:color w:val="231F20"/>
          <w:spacing w:val="-6"/>
        </w:rPr>
        <w:t xml:space="preserve"> </w:t>
      </w:r>
      <w:r>
        <w:rPr>
          <w:color w:val="231F20"/>
        </w:rPr>
        <w:t>transfers,</w:t>
      </w:r>
      <w:r>
        <w:rPr>
          <w:color w:val="231F20"/>
          <w:spacing w:val="-6"/>
        </w:rPr>
        <w:t xml:space="preserve"> </w:t>
      </w:r>
      <w:r>
        <w:rPr>
          <w:color w:val="231F20"/>
        </w:rPr>
        <w:t>corruption, privileges, partially open, two-thirds open, and fully open prisons, infiltrators, torture, clemency—and the closed structure: justice/police/ prisons/psychiatry/media</w:t>
      </w:r>
      <w:r>
        <w:rPr>
          <w:color w:val="231F20"/>
          <w:spacing w:val="-24"/>
        </w:rPr>
        <w:t xml:space="preserve"> </w:t>
      </w:r>
      <w:r>
        <w:rPr>
          <w:color w:val="231F20"/>
        </w:rPr>
        <w:t>(newspapers,</w:t>
      </w:r>
      <w:r>
        <w:rPr>
          <w:color w:val="231F20"/>
          <w:spacing w:val="-23"/>
        </w:rPr>
        <w:t xml:space="preserve"> </w:t>
      </w:r>
      <w:r>
        <w:rPr>
          <w:color w:val="231F20"/>
        </w:rPr>
        <w:t>TV,</w:t>
      </w:r>
      <w:r>
        <w:rPr>
          <w:color w:val="231F20"/>
          <w:spacing w:val="-24"/>
        </w:rPr>
        <w:t xml:space="preserve"> </w:t>
      </w:r>
      <w:r>
        <w:rPr>
          <w:color w:val="231F20"/>
        </w:rPr>
        <w:t>radio);</w:t>
      </w:r>
      <w:r>
        <w:rPr>
          <w:color w:val="231F20"/>
          <w:spacing w:val="-24"/>
        </w:rPr>
        <w:t xml:space="preserve"> </w:t>
      </w:r>
      <w:r>
        <w:rPr>
          <w:color w:val="231F20"/>
        </w:rPr>
        <w:t>for</w:t>
      </w:r>
      <w:r>
        <w:rPr>
          <w:color w:val="231F20"/>
          <w:spacing w:val="-24"/>
        </w:rPr>
        <w:t xml:space="preserve"> </w:t>
      </w:r>
      <w:r>
        <w:rPr>
          <w:color w:val="231F20"/>
        </w:rPr>
        <w:t>greater</w:t>
      </w:r>
      <w:r>
        <w:rPr>
          <w:color w:val="231F20"/>
          <w:spacing w:val="-24"/>
        </w:rPr>
        <w:t xml:space="preserve"> </w:t>
      </w:r>
      <w:r>
        <w:rPr>
          <w:color w:val="231F20"/>
        </w:rPr>
        <w:t xml:space="preserve">efficiency: disgusting conditions and toilet-size cells; against prison breakdown: </w:t>
      </w:r>
      <w:r>
        <w:rPr>
          <w:color w:val="231F20"/>
          <w:spacing w:val="-2"/>
          <w:w w:val="99"/>
        </w:rPr>
        <w:t>m</w:t>
      </w:r>
      <w:r>
        <w:rPr>
          <w:color w:val="231F20"/>
          <w:spacing w:val="3"/>
        </w:rPr>
        <w:t>u</w:t>
      </w:r>
      <w:r>
        <w:rPr>
          <w:color w:val="231F20"/>
          <w:spacing w:val="-3"/>
          <w:w w:val="94"/>
        </w:rPr>
        <w:t>r</w:t>
      </w:r>
      <w:r>
        <w:rPr>
          <w:color w:val="231F20"/>
        </w:rPr>
        <w:t>d</w:t>
      </w:r>
      <w:r>
        <w:rPr>
          <w:color w:val="231F20"/>
          <w:w w:val="92"/>
        </w:rPr>
        <w:t>e</w:t>
      </w:r>
      <w:r>
        <w:rPr>
          <w:color w:val="231F20"/>
          <w:spacing w:val="1"/>
          <w:w w:val="92"/>
        </w:rPr>
        <w:t>r</w:t>
      </w:r>
      <w:r>
        <w:rPr>
          <w:color w:val="231F20"/>
          <w:w w:val="56"/>
        </w:rPr>
        <w:t>/</w:t>
      </w:r>
      <w:r>
        <w:rPr>
          <w:color w:val="231F20"/>
          <w:spacing w:val="-6"/>
          <w:w w:val="148"/>
        </w:rPr>
        <w:t>“</w:t>
      </w:r>
      <w:r>
        <w:rPr>
          <w:color w:val="231F20"/>
          <w:spacing w:val="-1"/>
          <w:w w:val="90"/>
        </w:rPr>
        <w:t>s</w:t>
      </w:r>
      <w:r>
        <w:rPr>
          <w:color w:val="231F20"/>
          <w:spacing w:val="3"/>
        </w:rPr>
        <w:t>u</w:t>
      </w:r>
      <w:r>
        <w:rPr>
          <w:color w:val="231F20"/>
        </w:rPr>
        <w:t>ic</w:t>
      </w:r>
      <w:r>
        <w:rPr>
          <w:color w:val="231F20"/>
          <w:spacing w:val="-2"/>
        </w:rPr>
        <w:t>i</w:t>
      </w:r>
      <w:r>
        <w:rPr>
          <w:color w:val="231F20"/>
        </w:rPr>
        <w:t>d</w:t>
      </w:r>
      <w:r>
        <w:rPr>
          <w:color w:val="231F20"/>
          <w:spacing w:val="-4"/>
          <w:w w:val="91"/>
        </w:rPr>
        <w:t>e</w:t>
      </w:r>
      <w:r>
        <w:rPr>
          <w:color w:val="231F20"/>
          <w:spacing w:val="-15"/>
          <w:w w:val="148"/>
        </w:rPr>
        <w:t>”</w:t>
      </w:r>
      <w:r>
        <w:rPr>
          <w:color w:val="231F20"/>
          <w:w w:val="105"/>
        </w:rPr>
        <w:t>;</w:t>
      </w:r>
      <w:r>
        <w:rPr>
          <w:color w:val="231F20"/>
        </w:rPr>
        <w:t xml:space="preserve"> </w:t>
      </w:r>
      <w:r>
        <w:rPr>
          <w:color w:val="231F20"/>
          <w:spacing w:val="-8"/>
        </w:rPr>
        <w:t xml:space="preserve"> </w:t>
      </w:r>
      <w:r>
        <w:rPr>
          <w:color w:val="231F20"/>
          <w:spacing w:val="-2"/>
          <w:w w:val="109"/>
        </w:rPr>
        <w:t>f</w:t>
      </w:r>
      <w:r>
        <w:rPr>
          <w:color w:val="231F20"/>
          <w:spacing w:val="-1"/>
          <w:w w:val="104"/>
        </w:rPr>
        <w:t>o</w:t>
      </w:r>
      <w:r>
        <w:rPr>
          <w:color w:val="231F20"/>
          <w:w w:val="94"/>
        </w:rPr>
        <w:t>r</w:t>
      </w:r>
      <w:r>
        <w:rPr>
          <w:color w:val="231F20"/>
        </w:rPr>
        <w:t xml:space="preserve"> </w:t>
      </w:r>
      <w:r>
        <w:rPr>
          <w:color w:val="231F20"/>
          <w:spacing w:val="-8"/>
        </w:rPr>
        <w:t xml:space="preserve"> </w:t>
      </w:r>
      <w:r>
        <w:rPr>
          <w:color w:val="231F20"/>
          <w:spacing w:val="-1"/>
          <w:w w:val="102"/>
        </w:rPr>
        <w:t>l</w:t>
      </w:r>
      <w:r>
        <w:rPr>
          <w:color w:val="231F20"/>
          <w:spacing w:val="1"/>
          <w:w w:val="91"/>
        </w:rPr>
        <w:t>e</w:t>
      </w:r>
      <w:r>
        <w:rPr>
          <w:color w:val="231F20"/>
          <w:spacing w:val="1"/>
          <w:w w:val="90"/>
        </w:rPr>
        <w:t>s</w:t>
      </w:r>
      <w:r>
        <w:rPr>
          <w:color w:val="231F20"/>
          <w:w w:val="90"/>
        </w:rPr>
        <w:t>s</w:t>
      </w:r>
      <w:r>
        <w:rPr>
          <w:color w:val="231F20"/>
        </w:rPr>
        <w:t xml:space="preserve"> </w:t>
      </w:r>
      <w:r>
        <w:rPr>
          <w:color w:val="231F20"/>
          <w:spacing w:val="-8"/>
        </w:rPr>
        <w:t xml:space="preserve"> </w:t>
      </w:r>
      <w:r>
        <w:rPr>
          <w:color w:val="231F20"/>
          <w:spacing w:val="5"/>
          <w:w w:val="101"/>
        </w:rPr>
        <w:t>g</w:t>
      </w:r>
      <w:r>
        <w:rPr>
          <w:color w:val="231F20"/>
          <w:spacing w:val="-2"/>
          <w:w w:val="94"/>
        </w:rPr>
        <w:t>r</w:t>
      </w:r>
      <w:r>
        <w:rPr>
          <w:color w:val="231F20"/>
          <w:spacing w:val="-1"/>
          <w:w w:val="104"/>
        </w:rPr>
        <w:t>o</w:t>
      </w:r>
      <w:r>
        <w:rPr>
          <w:color w:val="231F20"/>
          <w:w w:val="98"/>
        </w:rPr>
        <w:t>t</w:t>
      </w:r>
      <w:r>
        <w:rPr>
          <w:color w:val="231F20"/>
          <w:spacing w:val="1"/>
          <w:w w:val="91"/>
        </w:rPr>
        <w:t>e</w:t>
      </w:r>
      <w:r>
        <w:rPr>
          <w:color w:val="231F20"/>
          <w:w w:val="90"/>
        </w:rPr>
        <w:t>s</w:t>
      </w:r>
      <w:r>
        <w:rPr>
          <w:color w:val="231F20"/>
          <w:spacing w:val="-2"/>
          <w:w w:val="101"/>
        </w:rPr>
        <w:t>q</w:t>
      </w:r>
      <w:r>
        <w:rPr>
          <w:color w:val="231F20"/>
        </w:rPr>
        <w:t>u</w:t>
      </w:r>
      <w:r>
        <w:rPr>
          <w:color w:val="231F20"/>
          <w:w w:val="91"/>
        </w:rPr>
        <w:t>e</w:t>
      </w:r>
      <w:r>
        <w:rPr>
          <w:color w:val="231F20"/>
        </w:rPr>
        <w:t xml:space="preserve"> </w:t>
      </w:r>
      <w:r>
        <w:rPr>
          <w:color w:val="231F20"/>
          <w:spacing w:val="-8"/>
        </w:rPr>
        <w:t xml:space="preserve"> </w:t>
      </w:r>
      <w:r>
        <w:rPr>
          <w:color w:val="231F20"/>
        </w:rPr>
        <w:t>c</w:t>
      </w:r>
      <w:r>
        <w:rPr>
          <w:color w:val="231F20"/>
          <w:spacing w:val="1"/>
          <w:w w:val="104"/>
        </w:rPr>
        <w:t>o</w:t>
      </w:r>
      <w:r>
        <w:rPr>
          <w:color w:val="231F20"/>
          <w:w w:val="92"/>
        </w:rPr>
        <w:t>e</w:t>
      </w:r>
      <w:r>
        <w:rPr>
          <w:color w:val="231F20"/>
          <w:spacing w:val="-1"/>
          <w:w w:val="92"/>
        </w:rPr>
        <w:t>r</w:t>
      </w:r>
      <w:r>
        <w:rPr>
          <w:color w:val="231F20"/>
        </w:rPr>
        <w:t>c</w:t>
      </w:r>
      <w:r>
        <w:rPr>
          <w:color w:val="231F20"/>
          <w:spacing w:val="-2"/>
        </w:rPr>
        <w:t>i</w:t>
      </w:r>
      <w:r>
        <w:rPr>
          <w:color w:val="231F20"/>
          <w:spacing w:val="-1"/>
          <w:w w:val="104"/>
        </w:rPr>
        <w:t>o</w:t>
      </w:r>
      <w:r>
        <w:rPr>
          <w:color w:val="231F20"/>
          <w:w w:val="99"/>
        </w:rPr>
        <w:t>n</w:t>
      </w:r>
      <w:r>
        <w:rPr>
          <w:color w:val="231F20"/>
          <w:w w:val="105"/>
        </w:rPr>
        <w:t>:</w:t>
      </w:r>
      <w:r>
        <w:rPr>
          <w:color w:val="231F20"/>
        </w:rPr>
        <w:t xml:space="preserve"> </w:t>
      </w:r>
      <w:r>
        <w:rPr>
          <w:color w:val="231F20"/>
          <w:spacing w:val="-8"/>
        </w:rPr>
        <w:t xml:space="preserve"> </w:t>
      </w:r>
      <w:r>
        <w:rPr>
          <w:color w:val="231F20"/>
          <w:w w:val="101"/>
        </w:rPr>
        <w:t>c</w:t>
      </w:r>
      <w:r>
        <w:rPr>
          <w:color w:val="231F20"/>
          <w:spacing w:val="-4"/>
          <w:w w:val="101"/>
        </w:rPr>
        <w:t>l</w:t>
      </w:r>
      <w:r>
        <w:rPr>
          <w:color w:val="231F20"/>
          <w:spacing w:val="-1"/>
        </w:rPr>
        <w:t>u</w:t>
      </w:r>
      <w:r>
        <w:rPr>
          <w:color w:val="231F20"/>
          <w:w w:val="101"/>
        </w:rPr>
        <w:t>b</w:t>
      </w:r>
      <w:r>
        <w:rPr>
          <w:color w:val="231F20"/>
          <w:spacing w:val="5"/>
          <w:w w:val="90"/>
        </w:rPr>
        <w:t>s</w:t>
      </w:r>
      <w:r>
        <w:rPr>
          <w:color w:val="231F20"/>
          <w:spacing w:val="6"/>
          <w:w w:val="56"/>
        </w:rPr>
        <w:t>/</w:t>
      </w:r>
      <w:r>
        <w:rPr>
          <w:color w:val="231F20"/>
          <w:spacing w:val="-1"/>
          <w:w w:val="101"/>
        </w:rPr>
        <w:t>b</w:t>
      </w:r>
      <w:r>
        <w:rPr>
          <w:color w:val="231F20"/>
          <w:spacing w:val="-1"/>
          <w:w w:val="94"/>
        </w:rPr>
        <w:t>r</w:t>
      </w:r>
      <w:r>
        <w:rPr>
          <w:color w:val="231F20"/>
          <w:spacing w:val="1"/>
          <w:w w:val="91"/>
        </w:rPr>
        <w:t>e</w:t>
      </w:r>
      <w:r>
        <w:rPr>
          <w:color w:val="231F20"/>
          <w:spacing w:val="-2"/>
          <w:w w:val="102"/>
        </w:rPr>
        <w:t>a</w:t>
      </w:r>
      <w:r>
        <w:rPr>
          <w:color w:val="231F20"/>
        </w:rPr>
        <w:t xml:space="preserve">d </w:t>
      </w:r>
      <w:r>
        <w:rPr>
          <w:color w:val="231F20"/>
          <w:spacing w:val="-8"/>
        </w:rPr>
        <w:t xml:space="preserve"> </w:t>
      </w:r>
      <w:r>
        <w:rPr>
          <w:color w:val="231F20"/>
          <w:spacing w:val="2"/>
          <w:w w:val="102"/>
        </w:rPr>
        <w:t>a</w:t>
      </w:r>
      <w:r>
        <w:rPr>
          <w:color w:val="231F20"/>
          <w:spacing w:val="-1"/>
          <w:w w:val="99"/>
        </w:rPr>
        <w:t>n</w:t>
      </w:r>
      <w:r>
        <w:rPr>
          <w:color w:val="231F20"/>
        </w:rPr>
        <w:t xml:space="preserve">d </w:t>
      </w:r>
      <w:r>
        <w:rPr>
          <w:color w:val="231F20"/>
          <w:spacing w:val="-8"/>
        </w:rPr>
        <w:t xml:space="preserve"> </w:t>
      </w:r>
      <w:r>
        <w:rPr>
          <w:color w:val="231F20"/>
          <w:spacing w:val="-2"/>
        </w:rPr>
        <w:t>w</w:t>
      </w:r>
      <w:r>
        <w:rPr>
          <w:color w:val="231F20"/>
          <w:spacing w:val="-2"/>
          <w:w w:val="102"/>
        </w:rPr>
        <w:t>a</w:t>
      </w:r>
      <w:r>
        <w:rPr>
          <w:color w:val="231F20"/>
          <w:w w:val="98"/>
        </w:rPr>
        <w:t>t</w:t>
      </w:r>
      <w:r>
        <w:rPr>
          <w:color w:val="231F20"/>
          <w:w w:val="92"/>
        </w:rPr>
        <w:t>e</w:t>
      </w:r>
      <w:r>
        <w:rPr>
          <w:color w:val="231F20"/>
          <w:spacing w:val="1"/>
          <w:w w:val="92"/>
        </w:rPr>
        <w:t>r</w:t>
      </w:r>
      <w:r>
        <w:rPr>
          <w:color w:val="231F20"/>
          <w:w w:val="56"/>
        </w:rPr>
        <w:t xml:space="preserve">/ </w:t>
      </w:r>
      <w:r>
        <w:rPr>
          <w:color w:val="231F20"/>
        </w:rPr>
        <w:t>bondage/silent</w:t>
      </w:r>
      <w:r>
        <w:rPr>
          <w:color w:val="231F20"/>
          <w:spacing w:val="-7"/>
        </w:rPr>
        <w:t xml:space="preserve"> </w:t>
      </w:r>
      <w:r>
        <w:rPr>
          <w:color w:val="231F20"/>
        </w:rPr>
        <w:t>cells;</w:t>
      </w:r>
      <w:r>
        <w:rPr>
          <w:color w:val="231F20"/>
          <w:spacing w:val="-7"/>
        </w:rPr>
        <w:t xml:space="preserve"> </w:t>
      </w:r>
      <w:r>
        <w:rPr>
          <w:color w:val="231F20"/>
        </w:rPr>
        <w:t>for</w:t>
      </w:r>
      <w:r>
        <w:rPr>
          <w:color w:val="231F20"/>
          <w:spacing w:val="-7"/>
        </w:rPr>
        <w:t xml:space="preserve"> </w:t>
      </w:r>
      <w:r>
        <w:rPr>
          <w:color w:val="231F20"/>
        </w:rPr>
        <w:t>friendly</w:t>
      </w:r>
      <w:r>
        <w:rPr>
          <w:color w:val="231F20"/>
          <w:spacing w:val="-7"/>
        </w:rPr>
        <w:t xml:space="preserve"> </w:t>
      </w:r>
      <w:r>
        <w:rPr>
          <w:color w:val="231F20"/>
        </w:rPr>
        <w:t>brainwashing:</w:t>
      </w:r>
      <w:r>
        <w:rPr>
          <w:color w:val="231F20"/>
          <w:spacing w:val="-7"/>
        </w:rPr>
        <w:t xml:space="preserve"> </w:t>
      </w:r>
      <w:r>
        <w:rPr>
          <w:color w:val="231F20"/>
        </w:rPr>
        <w:t>psychiatry/police</w:t>
      </w:r>
      <w:r>
        <w:rPr>
          <w:color w:val="231F20"/>
          <w:spacing w:val="-7"/>
        </w:rPr>
        <w:t xml:space="preserve"> </w:t>
      </w:r>
      <w:r>
        <w:rPr>
          <w:color w:val="231F20"/>
        </w:rPr>
        <w:t>therapists/valium; for slicker and blander structural violence: removing the prisoners’ remaining contact with reality (e.g., the exercise cages on the 5th and 7th floors of the new building at Frankfurt-Preungesheim)—in lieu</w:t>
      </w:r>
      <w:r>
        <w:rPr>
          <w:color w:val="231F20"/>
          <w:spacing w:val="8"/>
        </w:rPr>
        <w:t xml:space="preserve"> </w:t>
      </w:r>
      <w:r>
        <w:rPr>
          <w:color w:val="231F20"/>
        </w:rPr>
        <w:t>of</w:t>
      </w:r>
      <w:r>
        <w:rPr>
          <w:color w:val="231F20"/>
          <w:spacing w:val="8"/>
        </w:rPr>
        <w:t xml:space="preserve"> </w:t>
      </w:r>
      <w:r>
        <w:rPr>
          <w:color w:val="231F20"/>
        </w:rPr>
        <w:t>the</w:t>
      </w:r>
      <w:r>
        <w:rPr>
          <w:color w:val="231F20"/>
          <w:spacing w:val="8"/>
        </w:rPr>
        <w:t xml:space="preserve"> </w:t>
      </w:r>
      <w:r>
        <w:rPr>
          <w:color w:val="231F20"/>
        </w:rPr>
        <w:t>terrible</w:t>
      </w:r>
      <w:r>
        <w:rPr>
          <w:color w:val="231F20"/>
          <w:spacing w:val="8"/>
        </w:rPr>
        <w:t xml:space="preserve"> </w:t>
      </w:r>
      <w:r>
        <w:rPr>
          <w:color w:val="231F20"/>
        </w:rPr>
        <w:t>screams</w:t>
      </w:r>
      <w:r>
        <w:rPr>
          <w:color w:val="231F20"/>
          <w:spacing w:val="8"/>
        </w:rPr>
        <w:t xml:space="preserve"> </w:t>
      </w:r>
      <w:r>
        <w:rPr>
          <w:color w:val="231F20"/>
        </w:rPr>
        <w:t>of</w:t>
      </w:r>
      <w:r>
        <w:rPr>
          <w:color w:val="231F20"/>
          <w:spacing w:val="8"/>
        </w:rPr>
        <w:t xml:space="preserve"> </w:t>
      </w:r>
      <w:r>
        <w:rPr>
          <w:color w:val="231F20"/>
        </w:rPr>
        <w:t>broken</w:t>
      </w:r>
      <w:r>
        <w:rPr>
          <w:color w:val="231F20"/>
          <w:spacing w:val="8"/>
        </w:rPr>
        <w:t xml:space="preserve"> </w:t>
      </w:r>
      <w:r>
        <w:rPr>
          <w:color w:val="231F20"/>
        </w:rPr>
        <w:t>prisoners.</w:t>
      </w:r>
    </w:p>
    <w:p w14:paraId="15B3C91E" w14:textId="77777777" w:rsidR="002653E8" w:rsidRDefault="003115E3">
      <w:pPr>
        <w:pStyle w:val="a3"/>
        <w:spacing w:line="223" w:lineRule="exact"/>
        <w:ind w:left="1538"/>
      </w:pPr>
      <w:r>
        <w:rPr>
          <w:color w:val="231F20"/>
        </w:rPr>
        <w:t>The pigs’ humanism in a word: hygiene.</w:t>
      </w:r>
    </w:p>
    <w:p w14:paraId="2D375007" w14:textId="77777777" w:rsidR="002653E8" w:rsidRDefault="003115E3">
      <w:pPr>
        <w:pStyle w:val="a3"/>
        <w:spacing w:line="264" w:lineRule="auto"/>
        <w:ind w:left="1328" w:right="1145" w:firstLine="210"/>
        <w:jc w:val="both"/>
      </w:pPr>
      <w:r>
        <w:rPr>
          <w:color w:val="231F20"/>
        </w:rPr>
        <w:t>The Social Democrat’s reform program in a sentence: nip revolt in the bud through flexible measures.</w:t>
      </w:r>
    </w:p>
    <w:p w14:paraId="3CB76330" w14:textId="693F6473" w:rsidR="002653E8" w:rsidRDefault="003115E3" w:rsidP="00AF1E0C">
      <w:pPr>
        <w:pStyle w:val="a3"/>
        <w:spacing w:line="264" w:lineRule="auto"/>
        <w:ind w:left="1328" w:right="1145" w:firstLine="210"/>
        <w:jc w:val="both"/>
      </w:pPr>
      <w:r>
        <w:rPr>
          <w:color w:val="231F20"/>
        </w:rPr>
        <w:t>The political prisoners, those who have developed a political understanding of their reality and have acted upon it and embraced it—who understand the inhumanity of their situation and of the system—</w:t>
      </w:r>
      <w:r>
        <w:rPr>
          <w:color w:val="231F20"/>
        </w:rPr>
        <w:lastRenderedPageBreak/>
        <w:t>who</w:t>
      </w:r>
      <w:r w:rsidR="00AF1E0C">
        <w:rPr>
          <w:rFonts w:eastAsiaTheme="minorEastAsia" w:hint="eastAsia"/>
        </w:rPr>
        <w:t xml:space="preserve"> </w:t>
      </w:r>
      <w:r>
        <w:rPr>
          <w:color w:val="231F20"/>
        </w:rPr>
        <w:t>feel hate and outrage—who, in this all out war, resist the pigs,  the prison authorities, the social ideologues, the dilettantes and jerk-offs, the green fascists</w:t>
      </w:r>
      <w:r>
        <w:rPr>
          <w:color w:val="231F20"/>
          <w:position w:val="7"/>
          <w:sz w:val="11"/>
        </w:rPr>
        <w:t>1</w:t>
      </w:r>
      <w:r>
        <w:rPr>
          <w:color w:val="231F20"/>
        </w:rPr>
        <w:t xml:space="preserve">—who act in solidarity and ask for solidarity in return: they are kept in isolation, which is to </w:t>
      </w:r>
      <w:r>
        <w:rPr>
          <w:color w:val="231F20"/>
          <w:spacing w:val="-4"/>
        </w:rPr>
        <w:t xml:space="preserve">say, </w:t>
      </w:r>
      <w:r>
        <w:rPr>
          <w:color w:val="231F20"/>
        </w:rPr>
        <w:t>they are socially exterminated.</w:t>
      </w:r>
    </w:p>
    <w:p w14:paraId="6264EC79" w14:textId="77777777" w:rsidR="002653E8" w:rsidRDefault="003115E3">
      <w:pPr>
        <w:pStyle w:val="a3"/>
        <w:spacing w:line="264" w:lineRule="auto"/>
        <w:ind w:left="1147" w:right="1328" w:firstLine="210"/>
        <w:jc w:val="both"/>
      </w:pPr>
      <w:r>
        <w:rPr>
          <w:color w:val="231F20"/>
        </w:rPr>
        <w:t>On the other side, the entire justice system talks endless shit about human rights and the Constitution—and to the degree that those can’t be manipulated, don’t count out the shot to the back of the head.</w:t>
      </w:r>
    </w:p>
    <w:p w14:paraId="54D0CC1A" w14:textId="77777777" w:rsidR="002653E8" w:rsidRDefault="003115E3">
      <w:pPr>
        <w:pStyle w:val="a3"/>
        <w:spacing w:line="264" w:lineRule="auto"/>
        <w:ind w:left="1147" w:right="1326" w:firstLine="210"/>
        <w:jc w:val="both"/>
      </w:pPr>
      <w:r>
        <w:rPr>
          <w:color w:val="231F20"/>
        </w:rPr>
        <w:t>Resocialization means manipulation and training. Prisoners are obliged to live with walls, cops, regulations, compulsion, threats, fear, hope, and restricted movement until they have internalized this shit and are only capable of behaving as if they are behind bars.</w:t>
      </w:r>
    </w:p>
    <w:p w14:paraId="6932DBBB" w14:textId="77777777" w:rsidR="002653E8" w:rsidRDefault="003115E3">
      <w:pPr>
        <w:pStyle w:val="a3"/>
        <w:spacing w:line="230" w:lineRule="exact"/>
        <w:ind w:left="1357"/>
      </w:pPr>
      <w:r>
        <w:rPr>
          <w:color w:val="231F20"/>
        </w:rPr>
        <w:t>That is the training.</w:t>
      </w:r>
    </w:p>
    <w:p w14:paraId="5F24906A" w14:textId="77777777" w:rsidR="002653E8" w:rsidRDefault="003115E3">
      <w:pPr>
        <w:pStyle w:val="a3"/>
        <w:spacing w:before="14" w:line="264" w:lineRule="auto"/>
        <w:ind w:left="1147" w:right="1326" w:firstLine="210"/>
        <w:jc w:val="both"/>
      </w:pPr>
      <w:r>
        <w:rPr>
          <w:color w:val="231F20"/>
        </w:rPr>
        <w:t>The prisoners’ cooperation is obviously desirable—it shortens the process and makes it irreversible. There is one thing the prisoners completely forget about in this process, in fact, they must forget about it: self-esteem.</w:t>
      </w:r>
    </w:p>
    <w:p w14:paraId="18C51989" w14:textId="77777777" w:rsidR="002653E8" w:rsidRDefault="003115E3">
      <w:pPr>
        <w:pStyle w:val="a3"/>
        <w:spacing w:line="230" w:lineRule="exact"/>
        <w:ind w:left="1357"/>
      </w:pPr>
      <w:r>
        <w:rPr>
          <w:color w:val="231F20"/>
        </w:rPr>
        <w:t>That is the manipulation.</w:t>
      </w:r>
    </w:p>
    <w:p w14:paraId="5C716D3E" w14:textId="77777777" w:rsidR="002653E8" w:rsidRDefault="003115E3">
      <w:pPr>
        <w:pStyle w:val="a3"/>
        <w:spacing w:before="22" w:line="264" w:lineRule="auto"/>
        <w:ind w:left="1147" w:right="1326" w:firstLine="210"/>
        <w:jc w:val="both"/>
      </w:pPr>
      <w:r>
        <w:rPr>
          <w:color w:val="231F20"/>
        </w:rPr>
        <w:t>The more liberal the approach taken to this shit—the more</w:t>
      </w:r>
      <w:r>
        <w:rPr>
          <w:color w:val="231F20"/>
          <w:spacing w:val="-31"/>
        </w:rPr>
        <w:t xml:space="preserve"> </w:t>
      </w:r>
      <w:r>
        <w:rPr>
          <w:color w:val="231F20"/>
        </w:rPr>
        <w:t>discreet— the more casual—the more pleasant—the more underhanded—the more slick—in short, the more psychological—the more effective and the</w:t>
      </w:r>
      <w:r>
        <w:rPr>
          <w:color w:val="231F20"/>
          <w:spacing w:val="7"/>
        </w:rPr>
        <w:t xml:space="preserve"> </w:t>
      </w:r>
      <w:r>
        <w:rPr>
          <w:color w:val="231F20"/>
        </w:rPr>
        <w:t>more</w:t>
      </w:r>
      <w:r>
        <w:rPr>
          <w:color w:val="231F20"/>
          <w:spacing w:val="7"/>
        </w:rPr>
        <w:t xml:space="preserve"> </w:t>
      </w:r>
      <w:r>
        <w:rPr>
          <w:color w:val="231F20"/>
        </w:rPr>
        <w:t>profound</w:t>
      </w:r>
      <w:r>
        <w:rPr>
          <w:color w:val="231F20"/>
          <w:spacing w:val="7"/>
        </w:rPr>
        <w:t xml:space="preserve"> </w:t>
      </w:r>
      <w:r>
        <w:rPr>
          <w:color w:val="231F20"/>
        </w:rPr>
        <w:t>the</w:t>
      </w:r>
      <w:r>
        <w:rPr>
          <w:color w:val="231F20"/>
          <w:spacing w:val="7"/>
        </w:rPr>
        <w:t xml:space="preserve"> </w:t>
      </w:r>
      <w:r>
        <w:rPr>
          <w:color w:val="231F20"/>
        </w:rPr>
        <w:t>destruction</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prisoner’s</w:t>
      </w:r>
      <w:r>
        <w:rPr>
          <w:color w:val="231F20"/>
          <w:spacing w:val="7"/>
        </w:rPr>
        <w:t xml:space="preserve"> </w:t>
      </w:r>
      <w:r>
        <w:rPr>
          <w:color w:val="231F20"/>
        </w:rPr>
        <w:t>personality.</w:t>
      </w:r>
    </w:p>
    <w:p w14:paraId="0678C083" w14:textId="77777777" w:rsidR="002653E8" w:rsidRDefault="003115E3">
      <w:pPr>
        <w:pStyle w:val="a3"/>
        <w:spacing w:line="264" w:lineRule="auto"/>
        <w:ind w:left="1147" w:right="1326" w:firstLine="210"/>
        <w:jc w:val="both"/>
      </w:pPr>
      <w:r>
        <w:rPr>
          <w:color w:val="231F20"/>
        </w:rPr>
        <w:t xml:space="preserve">The political prisoners are the deadly enemies of the psycho-cops— because the psycho-pigs </w:t>
      </w:r>
      <w:r>
        <w:rPr>
          <w:color w:val="231F20"/>
          <w:spacing w:val="-3"/>
        </w:rPr>
        <w:t xml:space="preserve">don’t </w:t>
      </w:r>
      <w:r>
        <w:rPr>
          <w:color w:val="231F20"/>
        </w:rPr>
        <w:t>want the prisoners to see through it all—through the therapeutic and helpful facade, past  the  little  shits, the piglets, to the thugs—and the political prisoners do see through       it</w:t>
      </w:r>
      <w:r>
        <w:rPr>
          <w:color w:val="231F20"/>
          <w:spacing w:val="10"/>
        </w:rPr>
        <w:t xml:space="preserve"> </w:t>
      </w:r>
      <w:r>
        <w:rPr>
          <w:color w:val="231F20"/>
        </w:rPr>
        <w:t>all.</w:t>
      </w:r>
    </w:p>
    <w:p w14:paraId="617E2506" w14:textId="77777777" w:rsidR="002653E8" w:rsidRDefault="003115E3">
      <w:pPr>
        <w:pStyle w:val="a3"/>
        <w:spacing w:line="264" w:lineRule="auto"/>
        <w:ind w:left="1147" w:right="1326" w:firstLine="210"/>
        <w:jc w:val="both"/>
      </w:pPr>
      <w:r>
        <w:rPr>
          <w:color w:val="231F20"/>
        </w:rPr>
        <w:t>The central point in modern imprisonment is: a political and psychological orientation to prisons—our isolation now and concentration camps later—whether administered by green or white</w:t>
      </w:r>
      <w:r>
        <w:rPr>
          <w:color w:val="231F20"/>
          <w:position w:val="7"/>
          <w:sz w:val="11"/>
        </w:rPr>
        <w:t xml:space="preserve">2 </w:t>
      </w:r>
      <w:r>
        <w:rPr>
          <w:color w:val="231F20"/>
        </w:rPr>
        <w:t>terror troops— the end result: extermination camps—reform Treblinkas—reform Buchenwalds—the “final solution.” That’s what’s happening.</w:t>
      </w:r>
    </w:p>
    <w:p w14:paraId="3F5F434D" w14:textId="77777777" w:rsidR="002653E8" w:rsidRDefault="003115E3">
      <w:pPr>
        <w:pStyle w:val="a3"/>
        <w:spacing w:line="264" w:lineRule="auto"/>
        <w:ind w:left="1148" w:right="1325" w:firstLine="210"/>
        <w:jc w:val="both"/>
      </w:pPr>
      <w:r>
        <w:rPr>
          <w:color w:val="231F20"/>
          <w:spacing w:val="-5"/>
        </w:rPr>
        <w:t xml:space="preserve">We </w:t>
      </w:r>
      <w:r>
        <w:rPr>
          <w:color w:val="231F20"/>
        </w:rPr>
        <w:t xml:space="preserve">demand free access to political information for all prisoners, because consciousness is necessary for politicization. </w:t>
      </w:r>
      <w:r>
        <w:rPr>
          <w:color w:val="231F20"/>
          <w:spacing w:val="-5"/>
        </w:rPr>
        <w:t xml:space="preserve">We’re </w:t>
      </w:r>
      <w:r>
        <w:rPr>
          <w:color w:val="231F20"/>
        </w:rPr>
        <w:t xml:space="preserve">not demanding anything from them that is not already available in prison— </w:t>
      </w:r>
      <w:r>
        <w:rPr>
          <w:color w:val="231F20"/>
          <w:w w:val="90"/>
        </w:rPr>
        <w:t>s</w:t>
      </w:r>
      <w:r>
        <w:rPr>
          <w:color w:val="231F20"/>
          <w:spacing w:val="2"/>
          <w:w w:val="98"/>
        </w:rPr>
        <w:t>t</w:t>
      </w:r>
      <w:r>
        <w:rPr>
          <w:color w:val="231F20"/>
          <w:spacing w:val="2"/>
          <w:w w:val="102"/>
        </w:rPr>
        <w:t>a</w:t>
      </w:r>
      <w:r>
        <w:rPr>
          <w:color w:val="231F20"/>
          <w:spacing w:val="-1"/>
          <w:w w:val="99"/>
        </w:rPr>
        <w:t>n</w:t>
      </w:r>
      <w:r>
        <w:rPr>
          <w:color w:val="231F20"/>
          <w:spacing w:val="1"/>
        </w:rPr>
        <w:t>d</w:t>
      </w:r>
      <w:r>
        <w:rPr>
          <w:color w:val="231F20"/>
          <w:spacing w:val="3"/>
          <w:w w:val="102"/>
        </w:rPr>
        <w:t>a</w:t>
      </w:r>
      <w:r>
        <w:rPr>
          <w:color w:val="231F20"/>
          <w:spacing w:val="-3"/>
          <w:w w:val="94"/>
        </w:rPr>
        <w:t>r</w:t>
      </w:r>
      <w:r>
        <w:rPr>
          <w:color w:val="231F20"/>
          <w:spacing w:val="3"/>
        </w:rPr>
        <w:t>di</w:t>
      </w:r>
      <w:r>
        <w:rPr>
          <w:color w:val="231F20"/>
          <w:spacing w:val="2"/>
          <w:w w:val="97"/>
        </w:rPr>
        <w:t>z</w:t>
      </w:r>
      <w:r>
        <w:rPr>
          <w:color w:val="231F20"/>
          <w:w w:val="91"/>
        </w:rPr>
        <w:t>e</w:t>
      </w:r>
      <w:r>
        <w:rPr>
          <w:color w:val="231F20"/>
        </w:rPr>
        <w:t xml:space="preserve">d </w:t>
      </w:r>
      <w:r>
        <w:rPr>
          <w:color w:val="231F20"/>
          <w:spacing w:val="-22"/>
        </w:rPr>
        <w:t xml:space="preserve"> </w:t>
      </w:r>
      <w:r>
        <w:rPr>
          <w:color w:val="231F20"/>
          <w:spacing w:val="-2"/>
        </w:rPr>
        <w:t>w</w:t>
      </w:r>
      <w:r>
        <w:rPr>
          <w:color w:val="231F20"/>
          <w:w w:val="102"/>
        </w:rPr>
        <w:t>a</w:t>
      </w:r>
      <w:r>
        <w:rPr>
          <w:color w:val="231F20"/>
          <w:spacing w:val="-1"/>
          <w:w w:val="101"/>
        </w:rPr>
        <w:t>g</w:t>
      </w:r>
      <w:r>
        <w:rPr>
          <w:color w:val="231F20"/>
          <w:spacing w:val="1"/>
          <w:w w:val="91"/>
        </w:rPr>
        <w:t>e</w:t>
      </w:r>
      <w:r>
        <w:rPr>
          <w:color w:val="231F20"/>
          <w:w w:val="90"/>
        </w:rPr>
        <w:t>s</w:t>
      </w:r>
      <w:r>
        <w:rPr>
          <w:color w:val="231F20"/>
        </w:rPr>
        <w:t xml:space="preserve"> </w:t>
      </w:r>
      <w:r>
        <w:rPr>
          <w:color w:val="231F20"/>
          <w:spacing w:val="-22"/>
        </w:rPr>
        <w:t xml:space="preserve"> </w:t>
      </w:r>
      <w:r>
        <w:rPr>
          <w:color w:val="231F20"/>
          <w:spacing w:val="-2"/>
          <w:w w:val="109"/>
        </w:rPr>
        <w:t>f</w:t>
      </w:r>
      <w:r>
        <w:rPr>
          <w:color w:val="231F20"/>
          <w:spacing w:val="-1"/>
          <w:w w:val="104"/>
        </w:rPr>
        <w:t>o</w:t>
      </w:r>
      <w:r>
        <w:rPr>
          <w:color w:val="231F20"/>
          <w:w w:val="94"/>
        </w:rPr>
        <w:t>r</w:t>
      </w:r>
      <w:r>
        <w:rPr>
          <w:color w:val="231F20"/>
        </w:rPr>
        <w:t xml:space="preserve"> </w:t>
      </w:r>
      <w:r>
        <w:rPr>
          <w:color w:val="231F20"/>
          <w:spacing w:val="-22"/>
        </w:rPr>
        <w:t xml:space="preserve"> </w:t>
      </w:r>
      <w:r>
        <w:rPr>
          <w:color w:val="231F20"/>
          <w:spacing w:val="-3"/>
        </w:rPr>
        <w:t>w</w:t>
      </w:r>
      <w:r>
        <w:rPr>
          <w:color w:val="231F20"/>
          <w:spacing w:val="-1"/>
          <w:w w:val="104"/>
        </w:rPr>
        <w:t>o</w:t>
      </w:r>
      <w:r>
        <w:rPr>
          <w:color w:val="231F20"/>
          <w:spacing w:val="-2"/>
          <w:w w:val="94"/>
        </w:rPr>
        <w:t>r</w:t>
      </w:r>
      <w:r>
        <w:rPr>
          <w:color w:val="231F20"/>
          <w:spacing w:val="2"/>
          <w:w w:val="106"/>
        </w:rPr>
        <w:t>k</w:t>
      </w:r>
      <w:r>
        <w:rPr>
          <w:color w:val="231F20"/>
          <w:w w:val="135"/>
        </w:rPr>
        <w:t>,</w:t>
      </w:r>
      <w:r>
        <w:rPr>
          <w:color w:val="231F20"/>
        </w:rPr>
        <w:t xml:space="preserve"> </w:t>
      </w:r>
      <w:r>
        <w:rPr>
          <w:color w:val="231F20"/>
          <w:spacing w:val="-22"/>
        </w:rPr>
        <w:t xml:space="preserve"> </w:t>
      </w:r>
      <w:r>
        <w:rPr>
          <w:color w:val="231F20"/>
          <w:w w:val="91"/>
        </w:rPr>
        <w:t>e</w:t>
      </w:r>
      <w:r>
        <w:rPr>
          <w:color w:val="231F20"/>
          <w:spacing w:val="-3"/>
        </w:rPr>
        <w:t>d</w:t>
      </w:r>
      <w:r>
        <w:rPr>
          <w:color w:val="231F20"/>
        </w:rPr>
        <w:t>u</w:t>
      </w:r>
      <w:r>
        <w:rPr>
          <w:color w:val="231F20"/>
          <w:spacing w:val="2"/>
        </w:rPr>
        <w:t>c</w:t>
      </w:r>
      <w:r>
        <w:rPr>
          <w:color w:val="231F20"/>
          <w:spacing w:val="-2"/>
          <w:w w:val="102"/>
        </w:rPr>
        <w:t>a</w:t>
      </w:r>
      <w:r>
        <w:rPr>
          <w:color w:val="231F20"/>
          <w:spacing w:val="2"/>
          <w:w w:val="98"/>
        </w:rPr>
        <w:t>t</w:t>
      </w:r>
      <w:r>
        <w:rPr>
          <w:color w:val="231F20"/>
          <w:spacing w:val="-2"/>
        </w:rPr>
        <w:t>i</w:t>
      </w:r>
      <w:r>
        <w:rPr>
          <w:color w:val="231F20"/>
          <w:spacing w:val="-1"/>
          <w:w w:val="104"/>
        </w:rPr>
        <w:t>o</w:t>
      </w:r>
      <w:r>
        <w:rPr>
          <w:color w:val="231F20"/>
          <w:spacing w:val="8"/>
          <w:w w:val="99"/>
        </w:rPr>
        <w:t>n</w:t>
      </w:r>
      <w:r>
        <w:rPr>
          <w:color w:val="231F20"/>
          <w:w w:val="56"/>
        </w:rPr>
        <w:t>/</w:t>
      </w:r>
      <w:r>
        <w:rPr>
          <w:color w:val="231F20"/>
          <w:spacing w:val="3"/>
          <w:w w:val="98"/>
        </w:rPr>
        <w:t>t</w:t>
      </w:r>
      <w:r>
        <w:rPr>
          <w:color w:val="231F20"/>
          <w:spacing w:val="-1"/>
          <w:w w:val="94"/>
        </w:rPr>
        <w:t>r</w:t>
      </w:r>
      <w:r>
        <w:rPr>
          <w:color w:val="231F20"/>
          <w:spacing w:val="2"/>
          <w:w w:val="102"/>
        </w:rPr>
        <w:t>a</w:t>
      </w:r>
      <w:r>
        <w:rPr>
          <w:color w:val="231F20"/>
          <w:spacing w:val="3"/>
        </w:rPr>
        <w:t>i</w:t>
      </w:r>
      <w:r>
        <w:rPr>
          <w:color w:val="231F20"/>
          <w:spacing w:val="3"/>
          <w:w w:val="99"/>
        </w:rPr>
        <w:t>n</w:t>
      </w:r>
      <w:r>
        <w:rPr>
          <w:color w:val="231F20"/>
          <w:spacing w:val="2"/>
        </w:rPr>
        <w:t>i</w:t>
      </w:r>
      <w:r>
        <w:rPr>
          <w:color w:val="231F20"/>
          <w:w w:val="99"/>
        </w:rPr>
        <w:t>n</w:t>
      </w:r>
      <w:r>
        <w:rPr>
          <w:color w:val="231F20"/>
          <w:spacing w:val="1"/>
          <w:w w:val="101"/>
        </w:rPr>
        <w:t>g</w:t>
      </w:r>
      <w:r>
        <w:rPr>
          <w:color w:val="231F20"/>
          <w:w w:val="135"/>
        </w:rPr>
        <w:t>,</w:t>
      </w:r>
      <w:r>
        <w:rPr>
          <w:color w:val="231F20"/>
        </w:rPr>
        <w:t xml:space="preserve"> </w:t>
      </w:r>
      <w:r>
        <w:rPr>
          <w:color w:val="231F20"/>
          <w:spacing w:val="-22"/>
        </w:rPr>
        <w:t xml:space="preserve"> </w:t>
      </w:r>
      <w:r>
        <w:rPr>
          <w:color w:val="231F20"/>
          <w:spacing w:val="-1"/>
          <w:w w:val="99"/>
        </w:rPr>
        <w:t>p</w:t>
      </w:r>
      <w:r>
        <w:rPr>
          <w:color w:val="231F20"/>
          <w:spacing w:val="-2"/>
          <w:w w:val="94"/>
        </w:rPr>
        <w:t>r</w:t>
      </w:r>
      <w:r>
        <w:rPr>
          <w:color w:val="231F20"/>
          <w:spacing w:val="-1"/>
          <w:w w:val="104"/>
        </w:rPr>
        <w:t>o</w:t>
      </w:r>
      <w:r>
        <w:rPr>
          <w:color w:val="231F20"/>
          <w:w w:val="98"/>
        </w:rPr>
        <w:t>t</w:t>
      </w:r>
      <w:r>
        <w:rPr>
          <w:color w:val="231F20"/>
          <w:spacing w:val="1"/>
          <w:w w:val="91"/>
        </w:rPr>
        <w:t>e</w:t>
      </w:r>
      <w:r>
        <w:rPr>
          <w:color w:val="231F20"/>
          <w:spacing w:val="3"/>
        </w:rPr>
        <w:t>c</w:t>
      </w:r>
      <w:r>
        <w:rPr>
          <w:color w:val="231F20"/>
          <w:spacing w:val="2"/>
          <w:w w:val="98"/>
        </w:rPr>
        <w:t>t</w:t>
      </w:r>
      <w:r>
        <w:rPr>
          <w:color w:val="231F20"/>
          <w:spacing w:val="-2"/>
        </w:rPr>
        <w:t>i</w:t>
      </w:r>
      <w:r>
        <w:rPr>
          <w:color w:val="231F20"/>
          <w:spacing w:val="-1"/>
          <w:w w:val="104"/>
        </w:rPr>
        <w:t>o</w:t>
      </w:r>
      <w:r>
        <w:rPr>
          <w:color w:val="231F20"/>
          <w:w w:val="99"/>
        </w:rPr>
        <w:t>n</w:t>
      </w:r>
      <w:r>
        <w:rPr>
          <w:color w:val="231F20"/>
        </w:rPr>
        <w:t xml:space="preserve"> </w:t>
      </w:r>
      <w:r>
        <w:rPr>
          <w:color w:val="231F20"/>
          <w:spacing w:val="-22"/>
        </w:rPr>
        <w:t xml:space="preserve"> </w:t>
      </w:r>
      <w:r>
        <w:rPr>
          <w:color w:val="231F20"/>
          <w:spacing w:val="-2"/>
          <w:w w:val="109"/>
        </w:rPr>
        <w:t>f</w:t>
      </w:r>
      <w:r>
        <w:rPr>
          <w:color w:val="231F20"/>
          <w:spacing w:val="-1"/>
          <w:w w:val="104"/>
        </w:rPr>
        <w:t>o</w:t>
      </w:r>
      <w:r>
        <w:rPr>
          <w:color w:val="231F20"/>
          <w:w w:val="94"/>
        </w:rPr>
        <w:t>r</w:t>
      </w:r>
      <w:r>
        <w:rPr>
          <w:color w:val="231F20"/>
        </w:rPr>
        <w:t xml:space="preserve"> </w:t>
      </w:r>
      <w:r>
        <w:rPr>
          <w:color w:val="231F20"/>
          <w:spacing w:val="-22"/>
        </w:rPr>
        <w:t xml:space="preserve"> </w:t>
      </w:r>
      <w:r>
        <w:rPr>
          <w:color w:val="231F20"/>
          <w:w w:val="105"/>
        </w:rPr>
        <w:t>f</w:t>
      </w:r>
      <w:r>
        <w:rPr>
          <w:color w:val="231F20"/>
          <w:spacing w:val="3"/>
          <w:w w:val="105"/>
        </w:rPr>
        <w:t>a</w:t>
      </w:r>
      <w:r>
        <w:rPr>
          <w:color w:val="231F20"/>
          <w:spacing w:val="3"/>
          <w:w w:val="99"/>
        </w:rPr>
        <w:t>m</w:t>
      </w:r>
      <w:r>
        <w:rPr>
          <w:color w:val="231F20"/>
          <w:spacing w:val="1"/>
        </w:rPr>
        <w:t>i</w:t>
      </w:r>
      <w:r>
        <w:rPr>
          <w:color w:val="231F20"/>
        </w:rPr>
        <w:t>lies,</w:t>
      </w:r>
      <w:r>
        <w:rPr>
          <w:color w:val="231F20"/>
          <w:spacing w:val="10"/>
        </w:rPr>
        <w:t xml:space="preserve"> </w:t>
      </w:r>
      <w:r>
        <w:rPr>
          <w:color w:val="231F20"/>
        </w:rPr>
        <w:t>autonomy—because</w:t>
      </w:r>
      <w:r>
        <w:rPr>
          <w:color w:val="231F20"/>
          <w:spacing w:val="10"/>
        </w:rPr>
        <w:t xml:space="preserve"> </w:t>
      </w:r>
      <w:r>
        <w:rPr>
          <w:color w:val="231F20"/>
        </w:rPr>
        <w:t>this</w:t>
      </w:r>
      <w:r>
        <w:rPr>
          <w:color w:val="231F20"/>
          <w:spacing w:val="10"/>
        </w:rPr>
        <w:t xml:space="preserve"> </w:t>
      </w:r>
      <w:r>
        <w:rPr>
          <w:color w:val="231F20"/>
        </w:rPr>
        <w:t>is</w:t>
      </w:r>
      <w:r>
        <w:rPr>
          <w:color w:val="231F20"/>
          <w:spacing w:val="10"/>
        </w:rPr>
        <w:t xml:space="preserve"> </w:t>
      </w:r>
      <w:r>
        <w:rPr>
          <w:color w:val="231F20"/>
        </w:rPr>
        <w:t>not</w:t>
      </w:r>
      <w:r>
        <w:rPr>
          <w:color w:val="231F20"/>
          <w:spacing w:val="10"/>
        </w:rPr>
        <w:t xml:space="preserve"> </w:t>
      </w:r>
      <w:r>
        <w:rPr>
          <w:color w:val="231F20"/>
        </w:rPr>
        <w:t>some</w:t>
      </w:r>
      <w:r>
        <w:rPr>
          <w:color w:val="231F20"/>
          <w:spacing w:val="10"/>
        </w:rPr>
        <w:t xml:space="preserve"> </w:t>
      </w:r>
      <w:r>
        <w:rPr>
          <w:color w:val="231F20"/>
        </w:rPr>
        <w:t>prisoner-organized</w:t>
      </w:r>
      <w:r>
        <w:rPr>
          <w:color w:val="231F20"/>
          <w:spacing w:val="10"/>
        </w:rPr>
        <w:t xml:space="preserve"> </w:t>
      </w:r>
      <w:r>
        <w:rPr>
          <w:color w:val="231F20"/>
        </w:rPr>
        <w:t>reformist</w:t>
      </w:r>
    </w:p>
    <w:p w14:paraId="44A5BEEF" w14:textId="77777777" w:rsidR="002653E8" w:rsidRDefault="00000000">
      <w:pPr>
        <w:pStyle w:val="a3"/>
        <w:spacing w:before="4"/>
        <w:rPr>
          <w:sz w:val="15"/>
        </w:rPr>
      </w:pPr>
      <w:r>
        <w:rPr>
          <w:noProof w:val="0"/>
        </w:rPr>
        <w:pict w14:anchorId="307B99B7">
          <v:line id="_x0000_s2367" style="position:absolute;z-index:6880;mso-wrap-distance-left:0;mso-wrap-distance-right:0;mso-position-horizontal-relative:page" from="57.4pt,11.2pt" to="129.4pt,11.2pt" strokecolor="#231f20" strokeweight=".5pt">
            <w10:wrap type="topAndBottom" anchorx="page"/>
          </v:line>
        </w:pict>
      </w:r>
    </w:p>
    <w:p w14:paraId="259AA820" w14:textId="77777777" w:rsidR="002653E8" w:rsidRDefault="003115E3">
      <w:pPr>
        <w:pStyle w:val="a4"/>
        <w:numPr>
          <w:ilvl w:val="0"/>
          <w:numId w:val="108"/>
        </w:numPr>
        <w:tabs>
          <w:tab w:val="left" w:pos="1287"/>
        </w:tabs>
        <w:spacing w:before="53"/>
        <w:ind w:hanging="180"/>
        <w:jc w:val="left"/>
        <w:rPr>
          <w:sz w:val="16"/>
        </w:rPr>
      </w:pPr>
      <w:r>
        <w:rPr>
          <w:color w:val="231F20"/>
          <w:w w:val="105"/>
          <w:sz w:val="16"/>
        </w:rPr>
        <w:t>A</w:t>
      </w:r>
      <w:r>
        <w:rPr>
          <w:color w:val="231F20"/>
          <w:spacing w:val="7"/>
          <w:w w:val="105"/>
          <w:sz w:val="16"/>
        </w:rPr>
        <w:t xml:space="preserve"> </w:t>
      </w:r>
      <w:r>
        <w:rPr>
          <w:color w:val="231F20"/>
          <w:w w:val="105"/>
          <w:sz w:val="16"/>
        </w:rPr>
        <w:t>term</w:t>
      </w:r>
      <w:r>
        <w:rPr>
          <w:color w:val="231F20"/>
          <w:spacing w:val="7"/>
          <w:w w:val="105"/>
          <w:sz w:val="16"/>
        </w:rPr>
        <w:t xml:space="preserve"> </w:t>
      </w:r>
      <w:r>
        <w:rPr>
          <w:color w:val="231F20"/>
          <w:w w:val="105"/>
          <w:sz w:val="16"/>
        </w:rPr>
        <w:t>for</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police,</w:t>
      </w:r>
      <w:r>
        <w:rPr>
          <w:color w:val="231F20"/>
          <w:spacing w:val="7"/>
          <w:w w:val="105"/>
          <w:sz w:val="16"/>
        </w:rPr>
        <w:t xml:space="preserve"> </w:t>
      </w:r>
      <w:r>
        <w:rPr>
          <w:color w:val="231F20"/>
          <w:w w:val="105"/>
          <w:sz w:val="16"/>
        </w:rPr>
        <w:t>whose</w:t>
      </w:r>
      <w:r>
        <w:rPr>
          <w:color w:val="231F20"/>
          <w:spacing w:val="7"/>
          <w:w w:val="105"/>
          <w:sz w:val="16"/>
        </w:rPr>
        <w:t xml:space="preserve"> </w:t>
      </w:r>
      <w:r>
        <w:rPr>
          <w:color w:val="231F20"/>
          <w:w w:val="105"/>
          <w:sz w:val="16"/>
        </w:rPr>
        <w:t>uniforms</w:t>
      </w:r>
      <w:r>
        <w:rPr>
          <w:color w:val="231F20"/>
          <w:spacing w:val="7"/>
          <w:w w:val="105"/>
          <w:sz w:val="16"/>
        </w:rPr>
        <w:t xml:space="preserve"> </w:t>
      </w:r>
      <w:r>
        <w:rPr>
          <w:color w:val="231F20"/>
          <w:w w:val="105"/>
          <w:sz w:val="16"/>
        </w:rPr>
        <w:t>were</w:t>
      </w:r>
      <w:r>
        <w:rPr>
          <w:color w:val="231F20"/>
          <w:spacing w:val="7"/>
          <w:w w:val="105"/>
          <w:sz w:val="16"/>
        </w:rPr>
        <w:t xml:space="preserve"> </w:t>
      </w:r>
      <w:r>
        <w:rPr>
          <w:color w:val="231F20"/>
          <w:w w:val="105"/>
          <w:sz w:val="16"/>
        </w:rPr>
        <w:t>green.</w:t>
      </w:r>
    </w:p>
    <w:p w14:paraId="39308A2C" w14:textId="77777777" w:rsidR="002653E8" w:rsidRDefault="003115E3">
      <w:pPr>
        <w:pStyle w:val="a4"/>
        <w:numPr>
          <w:ilvl w:val="0"/>
          <w:numId w:val="108"/>
        </w:numPr>
        <w:tabs>
          <w:tab w:val="left" w:pos="1287"/>
        </w:tabs>
        <w:spacing w:before="51"/>
        <w:ind w:hanging="180"/>
        <w:jc w:val="left"/>
        <w:rPr>
          <w:sz w:val="16"/>
        </w:rPr>
      </w:pPr>
      <w:r>
        <w:rPr>
          <w:color w:val="231F20"/>
          <w:w w:val="105"/>
          <w:sz w:val="16"/>
        </w:rPr>
        <w:t>Greens being police, whites are presumably</w:t>
      </w:r>
      <w:r>
        <w:rPr>
          <w:color w:val="231F20"/>
          <w:spacing w:val="11"/>
          <w:w w:val="105"/>
          <w:sz w:val="16"/>
        </w:rPr>
        <w:t xml:space="preserve"> </w:t>
      </w:r>
      <w:r>
        <w:rPr>
          <w:color w:val="231F20"/>
          <w:w w:val="105"/>
          <w:sz w:val="16"/>
        </w:rPr>
        <w:t>psychiatrists.</w:t>
      </w:r>
    </w:p>
    <w:p w14:paraId="16319CD1" w14:textId="77777777" w:rsidR="002653E8" w:rsidRDefault="002653E8">
      <w:pPr>
        <w:rPr>
          <w:sz w:val="16"/>
        </w:rPr>
        <w:sectPr w:rsidR="002653E8">
          <w:footerReference w:type="even" r:id="rId238"/>
          <w:footerReference w:type="default" r:id="rId239"/>
          <w:pgSz w:w="8640" w:h="12960"/>
          <w:pgMar w:top="1060" w:right="0" w:bottom="1040" w:left="0" w:header="0" w:footer="850" w:gutter="0"/>
          <w:cols w:space="720"/>
        </w:sectPr>
      </w:pPr>
    </w:p>
    <w:p w14:paraId="0859C7CF" w14:textId="77777777" w:rsidR="002653E8" w:rsidRDefault="003115E3">
      <w:pPr>
        <w:pStyle w:val="a3"/>
        <w:spacing w:before="86" w:line="264" w:lineRule="auto"/>
        <w:ind w:left="1327" w:right="1145"/>
        <w:jc w:val="both"/>
      </w:pPr>
      <w:r>
        <w:rPr>
          <w:color w:val="231F20"/>
        </w:rPr>
        <w:lastRenderedPageBreak/>
        <w:t xml:space="preserve">claptrap that can be demobilized and politically neutralized with promises of reform, that is integrated into the prison pigs’ dictatorship and made into a kind of </w:t>
      </w:r>
      <w:r>
        <w:rPr>
          <w:i/>
          <w:color w:val="231F20"/>
        </w:rPr>
        <w:t>“Kraft durch Freude.”</w:t>
      </w:r>
      <w:r>
        <w:rPr>
          <w:color w:val="231F20"/>
          <w:position w:val="7"/>
          <w:sz w:val="11"/>
        </w:rPr>
        <w:t xml:space="preserve">3 </w:t>
      </w:r>
      <w:r>
        <w:rPr>
          <w:color w:val="231F20"/>
        </w:rPr>
        <w:t>What we want is political solidarity—not just ideas, but real solidarity.</w:t>
      </w:r>
    </w:p>
    <w:p w14:paraId="7753076B" w14:textId="77777777" w:rsidR="002653E8" w:rsidRDefault="003115E3">
      <w:pPr>
        <w:pStyle w:val="a3"/>
        <w:spacing w:line="264" w:lineRule="auto"/>
        <w:ind w:left="1327" w:right="1147" w:firstLine="210"/>
        <w:jc w:val="both"/>
      </w:pPr>
      <w:r>
        <w:rPr>
          <w:color w:val="231F20"/>
        </w:rPr>
        <w:t>Our hunger strike is simply our only option for collective resistance in isolation. Without power, the violence of the streets, without the mobilization of antifascist citizens to intercede for human rights and against torture, presuming they have not already sworn allegiance to the pigs—our hunger strike will not be enough to break through our powerlessness.</w:t>
      </w:r>
    </w:p>
    <w:p w14:paraId="47508F0E" w14:textId="77777777" w:rsidR="002653E8" w:rsidRDefault="003115E3">
      <w:pPr>
        <w:pStyle w:val="a3"/>
        <w:spacing w:line="228" w:lineRule="exact"/>
        <w:ind w:left="1537"/>
      </w:pPr>
      <w:r>
        <w:rPr>
          <w:color w:val="231F20"/>
        </w:rPr>
        <w:t>Our demands are as such an appeal to you, comrades.</w:t>
      </w:r>
    </w:p>
    <w:p w14:paraId="788CD73C" w14:textId="77777777" w:rsidR="002653E8" w:rsidRDefault="003115E3">
      <w:pPr>
        <w:pStyle w:val="a3"/>
        <w:spacing w:before="18" w:line="264" w:lineRule="auto"/>
        <w:ind w:left="1327" w:right="1146" w:firstLine="210"/>
        <w:jc w:val="both"/>
      </w:pPr>
      <w:r>
        <w:rPr>
          <w:color w:val="231F20"/>
        </w:rPr>
        <w:t>The pigs only win if one of us eventually buys the farm. We are depending on you to support our demands and to force them through— now while you still can: before you yourselves become prisoners.</w:t>
      </w:r>
    </w:p>
    <w:p w14:paraId="4E2A201E" w14:textId="77777777" w:rsidR="002653E8" w:rsidRDefault="003115E3">
      <w:pPr>
        <w:pStyle w:val="a3"/>
        <w:spacing w:line="264" w:lineRule="auto"/>
        <w:ind w:left="1327" w:right="1147" w:firstLine="210"/>
        <w:jc w:val="both"/>
      </w:pPr>
      <w:r>
        <w:rPr>
          <w:color w:val="231F20"/>
        </w:rPr>
        <w:t>And comrades: simply talking about torture without struggling will serve neither our interests nor your own—meaning: you will only be helping the pigs to build up their defenses.</w:t>
      </w:r>
    </w:p>
    <w:p w14:paraId="411EFA89" w14:textId="77777777" w:rsidR="002653E8" w:rsidRDefault="003115E3">
      <w:pPr>
        <w:pStyle w:val="a3"/>
        <w:spacing w:line="264" w:lineRule="auto"/>
        <w:ind w:left="1327" w:right="1146" w:firstLine="210"/>
        <w:jc w:val="both"/>
      </w:pPr>
      <w:r>
        <w:rPr>
          <w:color w:val="231F20"/>
          <w:spacing w:val="-17"/>
          <w:w w:val="143"/>
        </w:rPr>
        <w:t>y</w:t>
      </w:r>
      <w:r>
        <w:rPr>
          <w:color w:val="231F20"/>
          <w:spacing w:val="-2"/>
          <w:w w:val="104"/>
        </w:rPr>
        <w:t>o</w:t>
      </w:r>
      <w:r>
        <w:rPr>
          <w:color w:val="231F20"/>
          <w:spacing w:val="3"/>
        </w:rPr>
        <w:t>u</w:t>
      </w:r>
      <w:r>
        <w:rPr>
          <w:color w:val="231F20"/>
          <w:w w:val="94"/>
        </w:rPr>
        <w:t>r</w:t>
      </w:r>
      <w:r>
        <w:rPr>
          <w:color w:val="231F20"/>
          <w:spacing w:val="2"/>
        </w:rPr>
        <w:t xml:space="preserve"> </w:t>
      </w:r>
      <w:r>
        <w:rPr>
          <w:color w:val="231F20"/>
          <w:spacing w:val="-1"/>
          <w:w w:val="102"/>
        </w:rPr>
        <w:t>a</w:t>
      </w:r>
      <w:r>
        <w:rPr>
          <w:color w:val="231F20"/>
          <w:spacing w:val="3"/>
        </w:rPr>
        <w:t>c</w:t>
      </w:r>
      <w:r>
        <w:rPr>
          <w:color w:val="231F20"/>
          <w:spacing w:val="2"/>
          <w:w w:val="98"/>
        </w:rPr>
        <w:t>t</w:t>
      </w:r>
      <w:r>
        <w:rPr>
          <w:color w:val="231F20"/>
          <w:spacing w:val="-2"/>
        </w:rPr>
        <w:t>i</w:t>
      </w:r>
      <w:r>
        <w:rPr>
          <w:color w:val="231F20"/>
          <w:spacing w:val="-1"/>
          <w:w w:val="104"/>
        </w:rPr>
        <w:t>o</w:t>
      </w:r>
      <w:r>
        <w:rPr>
          <w:color w:val="231F20"/>
          <w:spacing w:val="1"/>
          <w:w w:val="99"/>
        </w:rPr>
        <w:t>n</w:t>
      </w:r>
      <w:r>
        <w:rPr>
          <w:color w:val="231F20"/>
          <w:w w:val="90"/>
        </w:rPr>
        <w:t>s</w:t>
      </w:r>
      <w:r>
        <w:rPr>
          <w:color w:val="231F20"/>
          <w:spacing w:val="2"/>
        </w:rPr>
        <w:t xml:space="preserve"> i</w:t>
      </w:r>
      <w:r>
        <w:rPr>
          <w:color w:val="231F20"/>
          <w:w w:val="99"/>
        </w:rPr>
        <w:t>n</w:t>
      </w:r>
      <w:r>
        <w:rPr>
          <w:color w:val="231F20"/>
          <w:spacing w:val="2"/>
        </w:rPr>
        <w:t xml:space="preserve"> </w:t>
      </w:r>
      <w:r>
        <w:rPr>
          <w:color w:val="231F20"/>
          <w:spacing w:val="-1"/>
          <w:w w:val="126"/>
        </w:rPr>
        <w:t>J</w:t>
      </w:r>
      <w:r>
        <w:rPr>
          <w:color w:val="231F20"/>
          <w:spacing w:val="2"/>
          <w:w w:val="102"/>
        </w:rPr>
        <w:t>a</w:t>
      </w:r>
      <w:r>
        <w:rPr>
          <w:color w:val="231F20"/>
          <w:spacing w:val="-4"/>
          <w:w w:val="99"/>
        </w:rPr>
        <w:t>n</w:t>
      </w:r>
      <w:r>
        <w:rPr>
          <w:color w:val="231F20"/>
          <w:spacing w:val="1"/>
        </w:rPr>
        <w:t>u</w:t>
      </w:r>
      <w:r>
        <w:rPr>
          <w:color w:val="231F20"/>
          <w:spacing w:val="3"/>
          <w:w w:val="102"/>
        </w:rPr>
        <w:t>a</w:t>
      </w:r>
      <w:r>
        <w:rPr>
          <w:color w:val="231F20"/>
          <w:spacing w:val="5"/>
          <w:w w:val="94"/>
        </w:rPr>
        <w:t>r</w:t>
      </w:r>
      <w:r>
        <w:rPr>
          <w:color w:val="231F20"/>
          <w:spacing w:val="-3"/>
          <w:w w:val="99"/>
        </w:rPr>
        <w:t>y</w:t>
      </w:r>
      <w:r>
        <w:rPr>
          <w:color w:val="231F20"/>
          <w:spacing w:val="10"/>
          <w:w w:val="56"/>
        </w:rPr>
        <w:t>/</w:t>
      </w:r>
      <w:r>
        <w:rPr>
          <w:color w:val="231F20"/>
          <w:spacing w:val="-1"/>
          <w:w w:val="103"/>
        </w:rPr>
        <w:t>F</w:t>
      </w:r>
      <w:r>
        <w:rPr>
          <w:color w:val="231F20"/>
          <w:spacing w:val="-1"/>
          <w:w w:val="91"/>
        </w:rPr>
        <w:t>e</w:t>
      </w:r>
      <w:r>
        <w:rPr>
          <w:color w:val="231F20"/>
          <w:spacing w:val="-1"/>
          <w:w w:val="101"/>
        </w:rPr>
        <w:t>b</w:t>
      </w:r>
      <w:r>
        <w:rPr>
          <w:color w:val="231F20"/>
          <w:spacing w:val="3"/>
          <w:w w:val="94"/>
        </w:rPr>
        <w:t>r</w:t>
      </w:r>
      <w:r>
        <w:rPr>
          <w:color w:val="231F20"/>
          <w:spacing w:val="1"/>
        </w:rPr>
        <w:t>u</w:t>
      </w:r>
      <w:r>
        <w:rPr>
          <w:color w:val="231F20"/>
          <w:spacing w:val="3"/>
          <w:w w:val="102"/>
        </w:rPr>
        <w:t>a</w:t>
      </w:r>
      <w:r>
        <w:rPr>
          <w:color w:val="231F20"/>
          <w:spacing w:val="5"/>
          <w:w w:val="94"/>
        </w:rPr>
        <w:t>r</w:t>
      </w:r>
      <w:r>
        <w:rPr>
          <w:color w:val="231F20"/>
          <w:spacing w:val="-3"/>
          <w:w w:val="99"/>
        </w:rPr>
        <w:t>y</w:t>
      </w:r>
      <w:r>
        <w:rPr>
          <w:color w:val="231F20"/>
          <w:spacing w:val="5"/>
          <w:w w:val="106"/>
          <w:position w:val="7"/>
          <w:sz w:val="11"/>
        </w:rPr>
        <w:t>4</w:t>
      </w:r>
      <w:r>
        <w:rPr>
          <w:color w:val="231F20"/>
          <w:spacing w:val="5"/>
        </w:rPr>
        <w:t>—</w:t>
      </w:r>
      <w:r>
        <w:rPr>
          <w:color w:val="231F20"/>
          <w:spacing w:val="2"/>
          <w:w w:val="98"/>
        </w:rPr>
        <w:t>t</w:t>
      </w:r>
      <w:r>
        <w:rPr>
          <w:color w:val="231F20"/>
          <w:spacing w:val="-1"/>
        </w:rPr>
        <w:t>h</w:t>
      </w:r>
      <w:r>
        <w:rPr>
          <w:color w:val="231F20"/>
          <w:w w:val="91"/>
        </w:rPr>
        <w:t>e</w:t>
      </w:r>
      <w:r>
        <w:rPr>
          <w:color w:val="231F20"/>
          <w:spacing w:val="2"/>
        </w:rPr>
        <w:t xml:space="preserve"> </w:t>
      </w:r>
      <w:r>
        <w:rPr>
          <w:color w:val="231F20"/>
        </w:rPr>
        <w:t>d</w:t>
      </w:r>
      <w:r>
        <w:rPr>
          <w:color w:val="231F20"/>
          <w:w w:val="91"/>
        </w:rPr>
        <w:t>e</w:t>
      </w:r>
      <w:r>
        <w:rPr>
          <w:color w:val="231F20"/>
          <w:spacing w:val="-1"/>
          <w:w w:val="99"/>
        </w:rPr>
        <w:t>m</w:t>
      </w:r>
      <w:r>
        <w:rPr>
          <w:color w:val="231F20"/>
          <w:spacing w:val="-1"/>
          <w:w w:val="104"/>
        </w:rPr>
        <w:t>o</w:t>
      </w:r>
      <w:r>
        <w:rPr>
          <w:color w:val="231F20"/>
          <w:spacing w:val="1"/>
          <w:w w:val="99"/>
        </w:rPr>
        <w:t>n</w:t>
      </w:r>
      <w:r>
        <w:rPr>
          <w:color w:val="231F20"/>
          <w:w w:val="90"/>
        </w:rPr>
        <w:t>s</w:t>
      </w:r>
      <w:r>
        <w:rPr>
          <w:color w:val="231F20"/>
          <w:spacing w:val="3"/>
          <w:w w:val="98"/>
        </w:rPr>
        <w:t>t</w:t>
      </w:r>
      <w:r>
        <w:rPr>
          <w:color w:val="231F20"/>
          <w:spacing w:val="-1"/>
          <w:w w:val="94"/>
        </w:rPr>
        <w:t>r</w:t>
      </w:r>
      <w:r>
        <w:rPr>
          <w:color w:val="231F20"/>
          <w:spacing w:val="-2"/>
          <w:w w:val="102"/>
        </w:rPr>
        <w:t>a</w:t>
      </w:r>
      <w:r>
        <w:rPr>
          <w:color w:val="231F20"/>
          <w:spacing w:val="2"/>
          <w:w w:val="98"/>
        </w:rPr>
        <w:t>t</w:t>
      </w:r>
      <w:r>
        <w:rPr>
          <w:color w:val="231F20"/>
          <w:spacing w:val="-2"/>
        </w:rPr>
        <w:t>i</w:t>
      </w:r>
      <w:r>
        <w:rPr>
          <w:color w:val="231F20"/>
          <w:spacing w:val="-1"/>
          <w:w w:val="104"/>
        </w:rPr>
        <w:t>o</w:t>
      </w:r>
      <w:r>
        <w:rPr>
          <w:color w:val="231F20"/>
          <w:w w:val="99"/>
        </w:rPr>
        <w:t>n</w:t>
      </w:r>
      <w:r>
        <w:rPr>
          <w:color w:val="231F20"/>
          <w:spacing w:val="2"/>
        </w:rPr>
        <w:t xml:space="preserve"> i</w:t>
      </w:r>
      <w:r>
        <w:rPr>
          <w:color w:val="231F20"/>
          <w:w w:val="99"/>
        </w:rPr>
        <w:t>n</w:t>
      </w:r>
      <w:r>
        <w:rPr>
          <w:color w:val="231F20"/>
          <w:spacing w:val="2"/>
        </w:rPr>
        <w:t xml:space="preserve"> </w:t>
      </w:r>
      <w:r>
        <w:rPr>
          <w:color w:val="231F20"/>
          <w:spacing w:val="3"/>
          <w:w w:val="114"/>
        </w:rPr>
        <w:t>K</w:t>
      </w:r>
      <w:r>
        <w:rPr>
          <w:color w:val="231F20"/>
          <w:spacing w:val="3"/>
          <w:w w:val="102"/>
        </w:rPr>
        <w:t>a</w:t>
      </w:r>
      <w:r>
        <w:rPr>
          <w:color w:val="231F20"/>
          <w:spacing w:val="-3"/>
          <w:w w:val="94"/>
        </w:rPr>
        <w:t>r</w:t>
      </w:r>
      <w:r>
        <w:rPr>
          <w:color w:val="231F20"/>
          <w:w w:val="102"/>
        </w:rPr>
        <w:t>l</w:t>
      </w:r>
      <w:r>
        <w:rPr>
          <w:color w:val="231F20"/>
          <w:w w:val="90"/>
        </w:rPr>
        <w:t>s</w:t>
      </w:r>
      <w:r>
        <w:rPr>
          <w:color w:val="231F20"/>
          <w:spacing w:val="3"/>
          <w:w w:val="94"/>
        </w:rPr>
        <w:t>r</w:t>
      </w:r>
      <w:r>
        <w:rPr>
          <w:color w:val="231F20"/>
          <w:spacing w:val="3"/>
        </w:rPr>
        <w:t>u</w:t>
      </w:r>
      <w:r>
        <w:rPr>
          <w:color w:val="231F20"/>
          <w:spacing w:val="-1"/>
        </w:rPr>
        <w:t>h</w:t>
      </w:r>
      <w:r>
        <w:rPr>
          <w:color w:val="231F20"/>
          <w:spacing w:val="2"/>
          <w:w w:val="91"/>
        </w:rPr>
        <w:t>e</w:t>
      </w:r>
      <w:r>
        <w:rPr>
          <w:color w:val="231F20"/>
          <w:w w:val="135"/>
        </w:rPr>
        <w:t xml:space="preserve">, </w:t>
      </w:r>
      <w:r>
        <w:rPr>
          <w:color w:val="231F20"/>
        </w:rPr>
        <w:t xml:space="preserve">attacking Jessel, the go-ins at </w:t>
      </w:r>
      <w:r>
        <w:rPr>
          <w:i/>
          <w:color w:val="231F20"/>
        </w:rPr>
        <w:t xml:space="preserve">Norddeutschen </w:t>
      </w:r>
      <w:r>
        <w:rPr>
          <w:i/>
          <w:color w:val="231F20"/>
          <w:spacing w:val="1"/>
        </w:rPr>
        <w:t>Rundfunk</w:t>
      </w:r>
      <w:r>
        <w:rPr>
          <w:color w:val="231F20"/>
          <w:spacing w:val="1"/>
          <w:position w:val="7"/>
          <w:sz w:val="11"/>
        </w:rPr>
        <w:t xml:space="preserve">5 </w:t>
      </w:r>
      <w:r>
        <w:rPr>
          <w:color w:val="231F20"/>
        </w:rPr>
        <w:t>and at the  offices of a few pigs from the justice system, a few examples of stone throwing—good. No teach-in, no go-in  at  the  PEN  Club,</w:t>
      </w:r>
      <w:r>
        <w:rPr>
          <w:color w:val="231F20"/>
          <w:position w:val="7"/>
          <w:sz w:val="11"/>
        </w:rPr>
        <w:t xml:space="preserve">6  </w:t>
      </w:r>
      <w:r>
        <w:rPr>
          <w:color w:val="231F20"/>
        </w:rPr>
        <w:t>nothing  at the writers’ union, nothing addressing the churches, which have since taken up the question of torture and human rights, no demonstrations in Hamburg, Munich, Berlin, Frankfurt, Heidelberg, no  sign  of  mili tant</w:t>
      </w:r>
      <w:r>
        <w:rPr>
          <w:color w:val="231F20"/>
          <w:spacing w:val="10"/>
        </w:rPr>
        <w:t xml:space="preserve"> </w:t>
      </w:r>
      <w:r>
        <w:rPr>
          <w:color w:val="231F20"/>
        </w:rPr>
        <w:t>actions—bad.</w:t>
      </w:r>
    </w:p>
    <w:p w14:paraId="5C7E393A" w14:textId="77777777" w:rsidR="002653E8" w:rsidRDefault="003115E3">
      <w:pPr>
        <w:pStyle w:val="a3"/>
        <w:spacing w:line="264" w:lineRule="auto"/>
        <w:ind w:left="1327" w:right="1146" w:firstLine="210"/>
        <w:jc w:val="both"/>
      </w:pPr>
      <w:r>
        <w:rPr>
          <w:color w:val="231F20"/>
        </w:rPr>
        <w:t>We are confronting the pigs with their own laws—we are rubbing their noses in the contradiction between what they say: defense of humanity—and what they do: extermination.</w:t>
      </w:r>
    </w:p>
    <w:p w14:paraId="71664FA4" w14:textId="77777777" w:rsidR="002653E8" w:rsidRDefault="003115E3">
      <w:pPr>
        <w:pStyle w:val="a3"/>
        <w:spacing w:line="264" w:lineRule="auto"/>
        <w:ind w:left="1327" w:right="1148" w:firstLine="210"/>
        <w:jc w:val="both"/>
      </w:pPr>
      <w:r>
        <w:rPr>
          <w:color w:val="231F20"/>
        </w:rPr>
        <w:t>Every moment hangs between life and death—us or them—they for themselves or us for ourselves.</w:t>
      </w:r>
    </w:p>
    <w:p w14:paraId="7D0A4428" w14:textId="77777777" w:rsidR="002653E8" w:rsidRDefault="00000000">
      <w:pPr>
        <w:pStyle w:val="a3"/>
        <w:spacing w:before="11"/>
        <w:rPr>
          <w:sz w:val="25"/>
        </w:rPr>
      </w:pPr>
      <w:r>
        <w:rPr>
          <w:noProof w:val="0"/>
        </w:rPr>
        <w:pict w14:anchorId="10C4C7B1">
          <v:line id="_x0000_s2366" style="position:absolute;z-index:6904;mso-wrap-distance-left:0;mso-wrap-distance-right:0;mso-position-horizontal-relative:page" from="66.4pt,17.45pt" to="138.4pt,17.45pt" strokecolor="#231f20" strokeweight=".5pt">
            <w10:wrap type="topAndBottom" anchorx="page"/>
          </v:line>
        </w:pict>
      </w:r>
    </w:p>
    <w:p w14:paraId="0DE59CDC" w14:textId="77777777" w:rsidR="002653E8" w:rsidRDefault="003115E3">
      <w:pPr>
        <w:pStyle w:val="a4"/>
        <w:numPr>
          <w:ilvl w:val="0"/>
          <w:numId w:val="108"/>
        </w:numPr>
        <w:tabs>
          <w:tab w:val="left" w:pos="1467"/>
        </w:tabs>
        <w:spacing w:before="53" w:line="254" w:lineRule="auto"/>
        <w:ind w:right="1185" w:firstLine="0"/>
        <w:jc w:val="left"/>
        <w:rPr>
          <w:sz w:val="16"/>
        </w:rPr>
      </w:pPr>
      <w:bookmarkStart w:id="122" w:name="_Hlk122821858"/>
      <w:r>
        <w:rPr>
          <w:i/>
          <w:color w:val="231F20"/>
          <w:w w:val="105"/>
          <w:sz w:val="16"/>
        </w:rPr>
        <w:t xml:space="preserve">Kraft durch </w:t>
      </w:r>
      <w:r>
        <w:rPr>
          <w:i/>
          <w:color w:val="231F20"/>
          <w:spacing w:val="1"/>
          <w:w w:val="105"/>
          <w:sz w:val="16"/>
        </w:rPr>
        <w:t xml:space="preserve">Freude </w:t>
      </w:r>
      <w:r>
        <w:rPr>
          <w:color w:val="231F20"/>
          <w:w w:val="105"/>
          <w:sz w:val="16"/>
        </w:rPr>
        <w:t xml:space="preserve">(Strength through Happiness) was a Nazi organization within the </w:t>
      </w:r>
      <w:r>
        <w:rPr>
          <w:i/>
          <w:color w:val="231F20"/>
          <w:w w:val="105"/>
          <w:sz w:val="16"/>
        </w:rPr>
        <w:t xml:space="preserve">Arbeitsfront </w:t>
      </w:r>
      <w:r>
        <w:rPr>
          <w:color w:val="231F20"/>
          <w:w w:val="105"/>
          <w:sz w:val="16"/>
        </w:rPr>
        <w:t xml:space="preserve">(Work Front), the Nazi “company” union. </w:t>
      </w:r>
      <w:r>
        <w:rPr>
          <w:i/>
          <w:color w:val="231F20"/>
          <w:w w:val="105"/>
          <w:sz w:val="16"/>
        </w:rPr>
        <w:t xml:space="preserve">Kraft durch </w:t>
      </w:r>
      <w:r>
        <w:rPr>
          <w:i/>
          <w:color w:val="231F20"/>
          <w:spacing w:val="1"/>
          <w:w w:val="105"/>
          <w:sz w:val="16"/>
        </w:rPr>
        <w:t xml:space="preserve">Freude </w:t>
      </w:r>
      <w:r>
        <w:rPr>
          <w:color w:val="231F20"/>
          <w:w w:val="105"/>
          <w:sz w:val="16"/>
        </w:rPr>
        <w:t>organized</w:t>
      </w:r>
      <w:r>
        <w:rPr>
          <w:color w:val="231F20"/>
          <w:spacing w:val="7"/>
          <w:w w:val="105"/>
          <w:sz w:val="16"/>
        </w:rPr>
        <w:t xml:space="preserve"> </w:t>
      </w:r>
      <w:r>
        <w:rPr>
          <w:color w:val="231F20"/>
          <w:w w:val="105"/>
          <w:sz w:val="16"/>
        </w:rPr>
        <w:t>vacations</w:t>
      </w:r>
      <w:r>
        <w:rPr>
          <w:color w:val="231F20"/>
          <w:spacing w:val="7"/>
          <w:w w:val="105"/>
          <w:sz w:val="16"/>
        </w:rPr>
        <w:t xml:space="preserve"> </w:t>
      </w:r>
      <w:r>
        <w:rPr>
          <w:color w:val="231F20"/>
          <w:w w:val="105"/>
          <w:sz w:val="16"/>
        </w:rPr>
        <w:t>and</w:t>
      </w:r>
      <w:r>
        <w:rPr>
          <w:color w:val="231F20"/>
          <w:spacing w:val="7"/>
          <w:w w:val="105"/>
          <w:sz w:val="16"/>
        </w:rPr>
        <w:t xml:space="preserve"> </w:t>
      </w:r>
      <w:r>
        <w:rPr>
          <w:color w:val="231F20"/>
          <w:w w:val="105"/>
          <w:sz w:val="16"/>
        </w:rPr>
        <w:t>leisure</w:t>
      </w:r>
      <w:r>
        <w:rPr>
          <w:color w:val="231F20"/>
          <w:spacing w:val="7"/>
          <w:w w:val="105"/>
          <w:sz w:val="16"/>
        </w:rPr>
        <w:t xml:space="preserve"> </w:t>
      </w:r>
      <w:r>
        <w:rPr>
          <w:color w:val="231F20"/>
          <w:w w:val="105"/>
          <w:sz w:val="16"/>
        </w:rPr>
        <w:t>activities</w:t>
      </w:r>
      <w:r>
        <w:rPr>
          <w:color w:val="231F20"/>
          <w:spacing w:val="7"/>
          <w:w w:val="105"/>
          <w:sz w:val="16"/>
        </w:rPr>
        <w:t xml:space="preserve"> </w:t>
      </w:r>
      <w:r>
        <w:rPr>
          <w:color w:val="231F20"/>
          <w:w w:val="105"/>
          <w:sz w:val="16"/>
        </w:rPr>
        <w:t>for</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working</w:t>
      </w:r>
      <w:r>
        <w:rPr>
          <w:color w:val="231F20"/>
          <w:spacing w:val="7"/>
          <w:w w:val="105"/>
          <w:sz w:val="16"/>
        </w:rPr>
        <w:t xml:space="preserve"> </w:t>
      </w:r>
      <w:r>
        <w:rPr>
          <w:color w:val="231F20"/>
          <w:w w:val="105"/>
          <w:sz w:val="16"/>
        </w:rPr>
        <w:t>class.</w:t>
      </w:r>
    </w:p>
    <w:p w14:paraId="3CBF4DCF" w14:textId="77777777" w:rsidR="002653E8" w:rsidRDefault="003115E3">
      <w:pPr>
        <w:pStyle w:val="a4"/>
        <w:numPr>
          <w:ilvl w:val="0"/>
          <w:numId w:val="108"/>
        </w:numPr>
        <w:tabs>
          <w:tab w:val="left" w:pos="1467"/>
        </w:tabs>
        <w:spacing w:line="254" w:lineRule="auto"/>
        <w:ind w:left="1328" w:right="1406" w:hanging="1"/>
        <w:jc w:val="both"/>
        <w:rPr>
          <w:sz w:val="16"/>
        </w:rPr>
      </w:pPr>
      <w:r>
        <w:rPr>
          <w:color w:val="231F20"/>
          <w:w w:val="105"/>
          <w:sz w:val="16"/>
        </w:rPr>
        <w:t xml:space="preserve">The period during which the </w:t>
      </w:r>
      <w:r w:rsidR="00C507A5">
        <w:rPr>
          <w:color w:val="231F20"/>
          <w:spacing w:val="3"/>
          <w:w w:val="105"/>
          <w:sz w:val="16"/>
        </w:rPr>
        <w:t>red army faction</w:t>
      </w:r>
      <w:r>
        <w:rPr>
          <w:color w:val="231F20"/>
          <w:spacing w:val="3"/>
          <w:w w:val="105"/>
          <w:sz w:val="16"/>
        </w:rPr>
        <w:t xml:space="preserve"> </w:t>
      </w:r>
      <w:r>
        <w:rPr>
          <w:color w:val="231F20"/>
          <w:w w:val="105"/>
          <w:sz w:val="16"/>
        </w:rPr>
        <w:t xml:space="preserve">was on its first hunger strike—what follows   is a list of solidarity actions about which the editors of this volume sadly have no </w:t>
      </w:r>
      <w:r>
        <w:rPr>
          <w:color w:val="231F20"/>
          <w:spacing w:val="1"/>
          <w:w w:val="105"/>
          <w:sz w:val="16"/>
        </w:rPr>
        <w:t>further</w:t>
      </w:r>
      <w:r>
        <w:rPr>
          <w:color w:val="231F20"/>
          <w:spacing w:val="7"/>
          <w:w w:val="105"/>
          <w:sz w:val="16"/>
        </w:rPr>
        <w:t xml:space="preserve"> </w:t>
      </w:r>
      <w:r>
        <w:rPr>
          <w:color w:val="231F20"/>
          <w:w w:val="105"/>
          <w:sz w:val="16"/>
        </w:rPr>
        <w:t>details.</w:t>
      </w:r>
    </w:p>
    <w:p w14:paraId="1218C649" w14:textId="77777777" w:rsidR="002653E8" w:rsidRDefault="003115E3">
      <w:pPr>
        <w:pStyle w:val="a4"/>
        <w:numPr>
          <w:ilvl w:val="0"/>
          <w:numId w:val="108"/>
        </w:numPr>
        <w:tabs>
          <w:tab w:val="left" w:pos="1467"/>
        </w:tabs>
        <w:spacing w:line="254" w:lineRule="auto"/>
        <w:ind w:left="1328" w:right="1338" w:firstLine="0"/>
        <w:jc w:val="left"/>
        <w:rPr>
          <w:sz w:val="16"/>
        </w:rPr>
      </w:pPr>
      <w:r>
        <w:rPr>
          <w:color w:val="231F20"/>
          <w:w w:val="105"/>
          <w:sz w:val="16"/>
        </w:rPr>
        <w:t>North German Radio, a chain of radio stations serving north-western Germany and headquartered in</w:t>
      </w:r>
      <w:r>
        <w:rPr>
          <w:color w:val="231F20"/>
          <w:spacing w:val="25"/>
          <w:w w:val="105"/>
          <w:sz w:val="16"/>
        </w:rPr>
        <w:t xml:space="preserve"> </w:t>
      </w:r>
      <w:r>
        <w:rPr>
          <w:color w:val="231F20"/>
          <w:w w:val="105"/>
          <w:sz w:val="16"/>
        </w:rPr>
        <w:t>Hamburg.</w:t>
      </w:r>
    </w:p>
    <w:p w14:paraId="5B7B87F4" w14:textId="77777777" w:rsidR="002653E8" w:rsidRDefault="003115E3">
      <w:pPr>
        <w:pStyle w:val="a4"/>
        <w:numPr>
          <w:ilvl w:val="0"/>
          <w:numId w:val="108"/>
        </w:numPr>
        <w:tabs>
          <w:tab w:val="left" w:pos="1467"/>
        </w:tabs>
        <w:spacing w:line="254" w:lineRule="auto"/>
        <w:ind w:left="1328" w:right="1407" w:firstLine="0"/>
        <w:jc w:val="left"/>
        <w:rPr>
          <w:sz w:val="16"/>
        </w:rPr>
      </w:pPr>
      <w:r>
        <w:rPr>
          <w:color w:val="231F20"/>
          <w:w w:val="105"/>
          <w:sz w:val="16"/>
        </w:rPr>
        <w:t>PEN is an international organization promoting literacy and defending literary works</w:t>
      </w:r>
      <w:r>
        <w:rPr>
          <w:color w:val="231F20"/>
          <w:spacing w:val="6"/>
          <w:w w:val="105"/>
          <w:sz w:val="16"/>
        </w:rPr>
        <w:t xml:space="preserve"> </w:t>
      </w:r>
      <w:r>
        <w:rPr>
          <w:color w:val="231F20"/>
          <w:w w:val="105"/>
          <w:sz w:val="16"/>
        </w:rPr>
        <w:t>from</w:t>
      </w:r>
      <w:r>
        <w:rPr>
          <w:color w:val="231F20"/>
          <w:spacing w:val="6"/>
          <w:w w:val="105"/>
          <w:sz w:val="16"/>
        </w:rPr>
        <w:t xml:space="preserve"> </w:t>
      </w:r>
      <w:r>
        <w:rPr>
          <w:color w:val="231F20"/>
          <w:w w:val="105"/>
          <w:sz w:val="16"/>
        </w:rPr>
        <w:t>censorship.</w:t>
      </w:r>
      <w:r>
        <w:rPr>
          <w:color w:val="231F20"/>
          <w:spacing w:val="6"/>
          <w:w w:val="105"/>
          <w:sz w:val="16"/>
        </w:rPr>
        <w:t xml:space="preserve"> </w:t>
      </w:r>
      <w:r>
        <w:rPr>
          <w:color w:val="231F20"/>
          <w:w w:val="105"/>
          <w:sz w:val="16"/>
        </w:rPr>
        <w:t>It’s</w:t>
      </w:r>
      <w:r>
        <w:rPr>
          <w:color w:val="231F20"/>
          <w:spacing w:val="6"/>
          <w:w w:val="105"/>
          <w:sz w:val="16"/>
        </w:rPr>
        <w:t xml:space="preserve"> </w:t>
      </w:r>
      <w:r>
        <w:rPr>
          <w:color w:val="231F20"/>
          <w:w w:val="105"/>
          <w:sz w:val="16"/>
        </w:rPr>
        <w:t>president</w:t>
      </w:r>
      <w:r>
        <w:rPr>
          <w:color w:val="231F20"/>
          <w:spacing w:val="6"/>
          <w:w w:val="105"/>
          <w:sz w:val="16"/>
        </w:rPr>
        <w:t xml:space="preserve"> </w:t>
      </w:r>
      <w:r>
        <w:rPr>
          <w:color w:val="231F20"/>
          <w:w w:val="105"/>
          <w:sz w:val="16"/>
        </w:rPr>
        <w:t>between</w:t>
      </w:r>
      <w:r>
        <w:rPr>
          <w:color w:val="231F20"/>
          <w:spacing w:val="6"/>
          <w:w w:val="105"/>
          <w:sz w:val="16"/>
        </w:rPr>
        <w:t xml:space="preserve"> </w:t>
      </w:r>
      <w:r>
        <w:rPr>
          <w:color w:val="231F20"/>
          <w:w w:val="105"/>
          <w:sz w:val="16"/>
        </w:rPr>
        <w:t>1971</w:t>
      </w:r>
      <w:r>
        <w:rPr>
          <w:color w:val="231F20"/>
          <w:spacing w:val="6"/>
          <w:w w:val="105"/>
          <w:sz w:val="16"/>
        </w:rPr>
        <w:t xml:space="preserve"> </w:t>
      </w:r>
      <w:r>
        <w:rPr>
          <w:color w:val="231F20"/>
          <w:w w:val="105"/>
          <w:sz w:val="16"/>
        </w:rPr>
        <w:t>and</w:t>
      </w:r>
      <w:r>
        <w:rPr>
          <w:color w:val="231F20"/>
          <w:spacing w:val="7"/>
          <w:w w:val="105"/>
          <w:sz w:val="16"/>
        </w:rPr>
        <w:t xml:space="preserve"> </w:t>
      </w:r>
      <w:r>
        <w:rPr>
          <w:color w:val="231F20"/>
          <w:spacing w:val="-5"/>
          <w:w w:val="105"/>
          <w:sz w:val="16"/>
        </w:rPr>
        <w:t>1974</w:t>
      </w:r>
      <w:r>
        <w:rPr>
          <w:color w:val="231F20"/>
          <w:spacing w:val="6"/>
          <w:w w:val="105"/>
          <w:sz w:val="16"/>
        </w:rPr>
        <w:t xml:space="preserve"> </w:t>
      </w:r>
      <w:r>
        <w:rPr>
          <w:color w:val="231F20"/>
          <w:w w:val="105"/>
          <w:sz w:val="16"/>
        </w:rPr>
        <w:t>was</w:t>
      </w:r>
      <w:r>
        <w:rPr>
          <w:color w:val="231F20"/>
          <w:spacing w:val="6"/>
          <w:w w:val="105"/>
          <w:sz w:val="16"/>
        </w:rPr>
        <w:t xml:space="preserve"> </w:t>
      </w:r>
      <w:r>
        <w:rPr>
          <w:color w:val="231F20"/>
          <w:w w:val="105"/>
          <w:sz w:val="16"/>
        </w:rPr>
        <w:t>Heinrich</w:t>
      </w:r>
      <w:r>
        <w:rPr>
          <w:color w:val="231F20"/>
          <w:spacing w:val="6"/>
          <w:w w:val="105"/>
          <w:sz w:val="16"/>
        </w:rPr>
        <w:t xml:space="preserve"> </w:t>
      </w:r>
      <w:r>
        <w:rPr>
          <w:color w:val="231F20"/>
          <w:w w:val="105"/>
          <w:sz w:val="16"/>
        </w:rPr>
        <w:t>Böll.</w:t>
      </w:r>
    </w:p>
    <w:bookmarkEnd w:id="122"/>
    <w:p w14:paraId="2D1B86A4" w14:textId="77777777" w:rsidR="002653E8" w:rsidRDefault="002653E8">
      <w:pPr>
        <w:spacing w:line="254" w:lineRule="auto"/>
        <w:rPr>
          <w:sz w:val="16"/>
        </w:rPr>
        <w:sectPr w:rsidR="002653E8">
          <w:pgSz w:w="8640" w:h="12960"/>
          <w:pgMar w:top="1060" w:right="0" w:bottom="1040" w:left="0" w:header="0" w:footer="850" w:gutter="0"/>
          <w:cols w:space="720"/>
        </w:sectPr>
      </w:pPr>
    </w:p>
    <w:p w14:paraId="140903BE" w14:textId="77777777" w:rsidR="002653E8" w:rsidRDefault="003115E3">
      <w:pPr>
        <w:pStyle w:val="a3"/>
        <w:spacing w:before="86" w:line="264" w:lineRule="auto"/>
        <w:ind w:left="1148" w:right="1325" w:firstLine="209"/>
        <w:jc w:val="both"/>
      </w:pPr>
      <w:r>
        <w:rPr>
          <w:color w:val="231F20"/>
        </w:rPr>
        <w:lastRenderedPageBreak/>
        <w:t xml:space="preserve">On February 22, </w:t>
      </w:r>
      <w:r>
        <w:rPr>
          <w:color w:val="231F20"/>
          <w:spacing w:val="-5"/>
        </w:rPr>
        <w:t xml:space="preserve">1973, </w:t>
      </w:r>
      <w:r>
        <w:rPr>
          <w:color w:val="231F20"/>
        </w:rPr>
        <w:t>the federal Attorney General  Pig  Martin</w:t>
      </w:r>
      <w:r>
        <w:rPr>
          <w:color w:val="231F20"/>
          <w:position w:val="7"/>
          <w:sz w:val="11"/>
        </w:rPr>
        <w:t xml:space="preserve">1  </w:t>
      </w:r>
      <w:r>
        <w:rPr>
          <w:color w:val="231F20"/>
        </w:rPr>
        <w:t>stated that there was no solution to this contradiction,  which  could only end in</w:t>
      </w:r>
      <w:r>
        <w:rPr>
          <w:color w:val="231F20"/>
          <w:spacing w:val="31"/>
        </w:rPr>
        <w:t xml:space="preserve"> </w:t>
      </w:r>
      <w:r>
        <w:rPr>
          <w:color w:val="231F20"/>
        </w:rPr>
        <w:t>death:</w:t>
      </w:r>
    </w:p>
    <w:p w14:paraId="38E15269" w14:textId="77777777" w:rsidR="002653E8" w:rsidRDefault="003115E3">
      <w:pPr>
        <w:pStyle w:val="a3"/>
        <w:spacing w:line="264" w:lineRule="auto"/>
        <w:ind w:left="1148" w:right="1325" w:firstLine="210"/>
        <w:jc w:val="both"/>
      </w:pPr>
      <w:r>
        <w:rPr>
          <w:color w:val="231F20"/>
        </w:rPr>
        <w:t xml:space="preserve">“Prison conditions will be adjusted to the specific physical and psychological needs of the various prisoners!”—that’s for sure. Oxygen levels will be automatically adjusted—there’s food three times a day— and there’s the tactic of allowing visits from relatives when one has reached a point of ice-cold clarity, to throw sand in  </w:t>
      </w:r>
      <w:r>
        <w:rPr>
          <w:color w:val="231F20"/>
          <w:spacing w:val="-3"/>
        </w:rPr>
        <w:t xml:space="preserve">one’s  </w:t>
      </w:r>
      <w:r>
        <w:rPr>
          <w:color w:val="231F20"/>
        </w:rPr>
        <w:t>eyes.  The final word from the highest level of the oppressive authority clique: extermination.</w:t>
      </w:r>
    </w:p>
    <w:p w14:paraId="37235D70" w14:textId="77777777" w:rsidR="002653E8" w:rsidRDefault="003115E3">
      <w:pPr>
        <w:pStyle w:val="a3"/>
        <w:spacing w:line="227" w:lineRule="exact"/>
        <w:ind w:left="1358"/>
      </w:pPr>
      <w:r>
        <w:rPr>
          <w:color w:val="231F20"/>
        </w:rPr>
        <w:t>Everything is clear. The program is in motion.</w:t>
      </w:r>
    </w:p>
    <w:p w14:paraId="62C45C9D" w14:textId="77777777" w:rsidR="002653E8" w:rsidRDefault="003115E3">
      <w:pPr>
        <w:pStyle w:val="a3"/>
        <w:spacing w:before="19" w:line="264" w:lineRule="auto"/>
        <w:ind w:left="1148" w:right="1326" w:firstLine="210"/>
        <w:jc w:val="both"/>
      </w:pPr>
      <w:r>
        <w:rPr>
          <w:color w:val="231F20"/>
        </w:rPr>
        <w:t>Pressure the pigs from the outside, and we will pressure them from the inside.</w:t>
      </w:r>
    </w:p>
    <w:p w14:paraId="2221E574" w14:textId="77777777" w:rsidR="002653E8" w:rsidRDefault="003115E3">
      <w:pPr>
        <w:pStyle w:val="a3"/>
        <w:spacing w:line="232" w:lineRule="exact"/>
        <w:ind w:left="1358"/>
      </w:pPr>
      <w:r>
        <w:rPr>
          <w:color w:val="231F20"/>
        </w:rPr>
        <w:t>Solidarity will determine the balance of power.</w:t>
      </w:r>
    </w:p>
    <w:p w14:paraId="096C54A2" w14:textId="77777777" w:rsidR="002653E8" w:rsidRDefault="002653E8">
      <w:pPr>
        <w:pStyle w:val="a3"/>
        <w:spacing w:before="9"/>
        <w:rPr>
          <w:sz w:val="23"/>
        </w:rPr>
      </w:pPr>
    </w:p>
    <w:p w14:paraId="1BF774E4" w14:textId="77777777" w:rsidR="002653E8" w:rsidRDefault="003115E3">
      <w:pPr>
        <w:pStyle w:val="a3"/>
        <w:ind w:left="1147"/>
      </w:pPr>
      <w:r>
        <w:rPr>
          <w:color w:val="231F20"/>
          <w:w w:val="110"/>
        </w:rPr>
        <w:t>ALL POWER TO THE PEOPLE!</w:t>
      </w:r>
    </w:p>
    <w:p w14:paraId="7F4BFE7B" w14:textId="77777777" w:rsidR="002653E8" w:rsidRDefault="003115E3">
      <w:pPr>
        <w:pStyle w:val="a3"/>
        <w:spacing w:before="149"/>
        <w:ind w:left="1147"/>
      </w:pPr>
      <w:r>
        <w:rPr>
          <w:color w:val="231F20"/>
          <w:w w:val="115"/>
        </w:rPr>
        <w:t>UNITED PEOPLE’S POWER AGAINST THE SySTEM BASED ON</w:t>
      </w:r>
    </w:p>
    <w:p w14:paraId="216EA29B" w14:textId="77777777" w:rsidR="002653E8" w:rsidRDefault="003115E3">
      <w:pPr>
        <w:pStyle w:val="a3"/>
        <w:spacing w:before="22" w:line="261" w:lineRule="auto"/>
        <w:ind w:left="3760" w:right="1325" w:firstLine="833"/>
        <w:jc w:val="right"/>
      </w:pPr>
      <w:r>
        <w:rPr>
          <w:color w:val="231F20"/>
          <w:spacing w:val="-1"/>
          <w:w w:val="107"/>
        </w:rPr>
        <w:t>P</w:t>
      </w:r>
      <w:r>
        <w:rPr>
          <w:color w:val="231F20"/>
          <w:spacing w:val="-8"/>
          <w:w w:val="107"/>
        </w:rPr>
        <w:t>R</w:t>
      </w:r>
      <w:r>
        <w:rPr>
          <w:color w:val="231F20"/>
          <w:spacing w:val="-1"/>
          <w:w w:val="127"/>
        </w:rPr>
        <w:t>O</w:t>
      </w:r>
      <w:r>
        <w:rPr>
          <w:color w:val="231F20"/>
          <w:spacing w:val="6"/>
          <w:w w:val="103"/>
        </w:rPr>
        <w:t>F</w:t>
      </w:r>
      <w:r>
        <w:rPr>
          <w:color w:val="231F20"/>
          <w:spacing w:val="7"/>
          <w:w w:val="102"/>
        </w:rPr>
        <w:t>I</w:t>
      </w:r>
      <w:r>
        <w:rPr>
          <w:color w:val="231F20"/>
          <w:spacing w:val="-5"/>
          <w:w w:val="112"/>
        </w:rPr>
        <w:t>T</w:t>
      </w:r>
      <w:r>
        <w:rPr>
          <w:color w:val="231F20"/>
          <w:spacing w:val="10"/>
          <w:w w:val="56"/>
        </w:rPr>
        <w:t>/</w:t>
      </w:r>
      <w:r>
        <w:rPr>
          <w:color w:val="231F20"/>
          <w:spacing w:val="1"/>
          <w:w w:val="97"/>
        </w:rPr>
        <w:t>P</w:t>
      </w:r>
      <w:r>
        <w:rPr>
          <w:color w:val="231F20"/>
          <w:spacing w:val="-8"/>
          <w:w w:val="127"/>
        </w:rPr>
        <w:t>O</w:t>
      </w:r>
      <w:r>
        <w:rPr>
          <w:color w:val="231F20"/>
          <w:spacing w:val="10"/>
          <w:w w:val="108"/>
        </w:rPr>
        <w:t>W</w:t>
      </w:r>
      <w:r>
        <w:rPr>
          <w:color w:val="231F20"/>
          <w:spacing w:val="3"/>
          <w:w w:val="106"/>
        </w:rPr>
        <w:t>E</w:t>
      </w:r>
      <w:r>
        <w:rPr>
          <w:color w:val="231F20"/>
          <w:spacing w:val="11"/>
          <w:w w:val="116"/>
        </w:rPr>
        <w:t>R</w:t>
      </w:r>
      <w:r>
        <w:rPr>
          <w:color w:val="231F20"/>
          <w:spacing w:val="12"/>
          <w:w w:val="56"/>
        </w:rPr>
        <w:t>/</w:t>
      </w:r>
      <w:r>
        <w:rPr>
          <w:color w:val="231F20"/>
          <w:spacing w:val="10"/>
          <w:w w:val="119"/>
        </w:rPr>
        <w:t>V</w:t>
      </w:r>
      <w:r>
        <w:rPr>
          <w:color w:val="231F20"/>
          <w:w w:val="102"/>
        </w:rPr>
        <w:t>I</w:t>
      </w:r>
      <w:r>
        <w:rPr>
          <w:color w:val="231F20"/>
          <w:spacing w:val="-1"/>
          <w:w w:val="121"/>
        </w:rPr>
        <w:t>O</w:t>
      </w:r>
      <w:r>
        <w:rPr>
          <w:color w:val="231F20"/>
          <w:spacing w:val="5"/>
          <w:w w:val="121"/>
        </w:rPr>
        <w:t>L</w:t>
      </w:r>
      <w:r>
        <w:rPr>
          <w:color w:val="231F20"/>
          <w:spacing w:val="5"/>
          <w:w w:val="106"/>
        </w:rPr>
        <w:t>E</w:t>
      </w:r>
      <w:r>
        <w:rPr>
          <w:color w:val="231F20"/>
          <w:w w:val="122"/>
        </w:rPr>
        <w:t>N</w:t>
      </w:r>
      <w:r>
        <w:rPr>
          <w:color w:val="231F20"/>
          <w:spacing w:val="5"/>
          <w:w w:val="128"/>
        </w:rPr>
        <w:t>C</w:t>
      </w:r>
      <w:r>
        <w:rPr>
          <w:color w:val="231F20"/>
          <w:w w:val="106"/>
        </w:rPr>
        <w:t xml:space="preserve">E </w:t>
      </w:r>
      <w:r>
        <w:rPr>
          <w:color w:val="231F20"/>
          <w:spacing w:val="-9"/>
          <w:w w:val="110"/>
        </w:rPr>
        <w:t>F</w:t>
      </w:r>
      <w:r>
        <w:rPr>
          <w:color w:val="231F20"/>
          <w:spacing w:val="8"/>
          <w:w w:val="110"/>
        </w:rPr>
        <w:t>A</w:t>
      </w:r>
      <w:r>
        <w:rPr>
          <w:color w:val="231F20"/>
          <w:spacing w:val="7"/>
          <w:w w:val="122"/>
        </w:rPr>
        <w:t>M</w:t>
      </w:r>
      <w:r>
        <w:rPr>
          <w:color w:val="231F20"/>
          <w:spacing w:val="5"/>
          <w:w w:val="102"/>
        </w:rPr>
        <w:t>I</w:t>
      </w:r>
      <w:r>
        <w:rPr>
          <w:color w:val="231F20"/>
          <w:spacing w:val="-15"/>
          <w:w w:val="113"/>
        </w:rPr>
        <w:t>L</w:t>
      </w:r>
      <w:r>
        <w:rPr>
          <w:color w:val="231F20"/>
          <w:spacing w:val="-7"/>
          <w:w w:val="143"/>
        </w:rPr>
        <w:t>y</w:t>
      </w:r>
      <w:r>
        <w:rPr>
          <w:color w:val="231F20"/>
          <w:spacing w:val="2"/>
          <w:w w:val="56"/>
        </w:rPr>
        <w:t>/</w:t>
      </w:r>
      <w:r>
        <w:rPr>
          <w:color w:val="231F20"/>
        </w:rPr>
        <w:t>S</w:t>
      </w:r>
      <w:r>
        <w:rPr>
          <w:color w:val="231F20"/>
          <w:spacing w:val="5"/>
          <w:w w:val="128"/>
        </w:rPr>
        <w:t>C</w:t>
      </w:r>
      <w:r>
        <w:rPr>
          <w:color w:val="231F20"/>
          <w:w w:val="121"/>
        </w:rPr>
        <w:t>H</w:t>
      </w:r>
      <w:r>
        <w:rPr>
          <w:color w:val="231F20"/>
          <w:w w:val="127"/>
        </w:rPr>
        <w:t>O</w:t>
      </w:r>
      <w:r>
        <w:rPr>
          <w:color w:val="231F20"/>
          <w:spacing w:val="-1"/>
          <w:w w:val="127"/>
        </w:rPr>
        <w:t>O</w:t>
      </w:r>
      <w:r>
        <w:rPr>
          <w:color w:val="231F20"/>
          <w:spacing w:val="7"/>
          <w:w w:val="113"/>
        </w:rPr>
        <w:t>L</w:t>
      </w:r>
      <w:r>
        <w:rPr>
          <w:color w:val="231F20"/>
          <w:spacing w:val="10"/>
          <w:w w:val="56"/>
        </w:rPr>
        <w:t>/</w:t>
      </w:r>
      <w:r>
        <w:rPr>
          <w:color w:val="231F20"/>
          <w:spacing w:val="-9"/>
          <w:w w:val="110"/>
        </w:rPr>
        <w:t>F</w:t>
      </w:r>
      <w:r>
        <w:rPr>
          <w:color w:val="231F20"/>
          <w:spacing w:val="-8"/>
          <w:w w:val="110"/>
        </w:rPr>
        <w:t>A</w:t>
      </w:r>
      <w:r>
        <w:rPr>
          <w:color w:val="231F20"/>
          <w:spacing w:val="6"/>
          <w:w w:val="128"/>
        </w:rPr>
        <w:t>C</w:t>
      </w:r>
      <w:r>
        <w:rPr>
          <w:color w:val="231F20"/>
          <w:spacing w:val="-2"/>
          <w:w w:val="112"/>
        </w:rPr>
        <w:t>T</w:t>
      </w:r>
      <w:r>
        <w:rPr>
          <w:color w:val="231F20"/>
          <w:spacing w:val="-1"/>
          <w:w w:val="127"/>
        </w:rPr>
        <w:t>O</w:t>
      </w:r>
      <w:r>
        <w:rPr>
          <w:color w:val="231F20"/>
          <w:spacing w:val="-12"/>
          <w:w w:val="116"/>
        </w:rPr>
        <w:t>R</w:t>
      </w:r>
      <w:r>
        <w:rPr>
          <w:color w:val="231F20"/>
          <w:spacing w:val="-7"/>
          <w:w w:val="143"/>
        </w:rPr>
        <w:t>y</w:t>
      </w:r>
      <w:r>
        <w:rPr>
          <w:color w:val="231F20"/>
          <w:w w:val="56"/>
        </w:rPr>
        <w:t>/</w:t>
      </w:r>
      <w:r>
        <w:rPr>
          <w:color w:val="231F20"/>
          <w:spacing w:val="-1"/>
          <w:w w:val="127"/>
        </w:rPr>
        <w:t>O</w:t>
      </w:r>
      <w:r>
        <w:rPr>
          <w:color w:val="231F20"/>
          <w:spacing w:val="5"/>
          <w:w w:val="103"/>
        </w:rPr>
        <w:t>F</w:t>
      </w:r>
      <w:r>
        <w:rPr>
          <w:color w:val="231F20"/>
          <w:spacing w:val="6"/>
          <w:w w:val="103"/>
        </w:rPr>
        <w:t>F</w:t>
      </w:r>
      <w:r>
        <w:rPr>
          <w:color w:val="231F20"/>
          <w:w w:val="102"/>
        </w:rPr>
        <w:t>I</w:t>
      </w:r>
      <w:r>
        <w:rPr>
          <w:color w:val="231F20"/>
          <w:spacing w:val="5"/>
          <w:w w:val="128"/>
        </w:rPr>
        <w:t>C</w:t>
      </w:r>
      <w:r>
        <w:rPr>
          <w:color w:val="231F20"/>
          <w:w w:val="106"/>
        </w:rPr>
        <w:t>E</w:t>
      </w:r>
    </w:p>
    <w:p w14:paraId="2C60D9C5" w14:textId="77777777" w:rsidR="002653E8" w:rsidRDefault="003115E3">
      <w:pPr>
        <w:pStyle w:val="a3"/>
        <w:spacing w:before="1"/>
        <w:ind w:left="1212" w:right="1326"/>
        <w:jc w:val="right"/>
      </w:pPr>
      <w:r>
        <w:rPr>
          <w:color w:val="231F20"/>
          <w:spacing w:val="-1"/>
          <w:w w:val="97"/>
        </w:rPr>
        <w:t>P</w:t>
      </w:r>
      <w:r>
        <w:rPr>
          <w:color w:val="231F20"/>
          <w:spacing w:val="8"/>
          <w:w w:val="116"/>
        </w:rPr>
        <w:t>R</w:t>
      </w:r>
      <w:r>
        <w:rPr>
          <w:color w:val="231F20"/>
          <w:spacing w:val="3"/>
          <w:w w:val="102"/>
        </w:rPr>
        <w:t>I</w:t>
      </w:r>
      <w:r>
        <w:rPr>
          <w:color w:val="231F20"/>
        </w:rPr>
        <w:t>S</w:t>
      </w:r>
      <w:r>
        <w:rPr>
          <w:color w:val="231F20"/>
          <w:spacing w:val="-1"/>
          <w:w w:val="127"/>
        </w:rPr>
        <w:t>O</w:t>
      </w:r>
      <w:r>
        <w:rPr>
          <w:color w:val="231F20"/>
          <w:spacing w:val="2"/>
          <w:w w:val="122"/>
        </w:rPr>
        <w:t>N</w:t>
      </w:r>
      <w:r>
        <w:rPr>
          <w:color w:val="231F20"/>
          <w:spacing w:val="10"/>
          <w:w w:val="56"/>
        </w:rPr>
        <w:t>/</w:t>
      </w:r>
      <w:r>
        <w:rPr>
          <w:color w:val="231F20"/>
          <w:spacing w:val="7"/>
          <w:w w:val="116"/>
        </w:rPr>
        <w:t>R</w:t>
      </w:r>
      <w:r>
        <w:rPr>
          <w:color w:val="231F20"/>
          <w:spacing w:val="5"/>
          <w:w w:val="106"/>
        </w:rPr>
        <w:t>E</w:t>
      </w:r>
      <w:r>
        <w:rPr>
          <w:color w:val="231F20"/>
          <w:w w:val="103"/>
        </w:rPr>
        <w:t>F</w:t>
      </w:r>
      <w:r>
        <w:rPr>
          <w:color w:val="231F20"/>
          <w:spacing w:val="-1"/>
          <w:w w:val="127"/>
        </w:rPr>
        <w:t>O</w:t>
      </w:r>
      <w:r>
        <w:rPr>
          <w:color w:val="231F20"/>
          <w:spacing w:val="8"/>
          <w:w w:val="116"/>
        </w:rPr>
        <w:t>R</w:t>
      </w:r>
      <w:r>
        <w:rPr>
          <w:color w:val="231F20"/>
          <w:w w:val="122"/>
        </w:rPr>
        <w:t>M</w:t>
      </w:r>
      <w:r>
        <w:rPr>
          <w:color w:val="231F20"/>
          <w:spacing w:val="10"/>
        </w:rPr>
        <w:t xml:space="preserve"> </w:t>
      </w:r>
      <w:r>
        <w:rPr>
          <w:color w:val="231F20"/>
        </w:rPr>
        <w:t>S</w:t>
      </w:r>
      <w:r>
        <w:rPr>
          <w:color w:val="231F20"/>
          <w:spacing w:val="5"/>
          <w:w w:val="128"/>
        </w:rPr>
        <w:t>C</w:t>
      </w:r>
      <w:r>
        <w:rPr>
          <w:color w:val="231F20"/>
          <w:w w:val="121"/>
        </w:rPr>
        <w:t>H</w:t>
      </w:r>
      <w:r>
        <w:rPr>
          <w:color w:val="231F20"/>
          <w:w w:val="127"/>
        </w:rPr>
        <w:t>O</w:t>
      </w:r>
      <w:r>
        <w:rPr>
          <w:color w:val="231F20"/>
          <w:spacing w:val="-1"/>
          <w:w w:val="127"/>
        </w:rPr>
        <w:t>O</w:t>
      </w:r>
      <w:r>
        <w:rPr>
          <w:color w:val="231F20"/>
          <w:spacing w:val="7"/>
          <w:w w:val="113"/>
        </w:rPr>
        <w:t>L</w:t>
      </w:r>
      <w:r>
        <w:rPr>
          <w:color w:val="231F20"/>
          <w:spacing w:val="10"/>
          <w:w w:val="56"/>
        </w:rPr>
        <w:t>/</w:t>
      </w:r>
      <w:r>
        <w:rPr>
          <w:color w:val="231F20"/>
          <w:spacing w:val="7"/>
          <w:w w:val="112"/>
        </w:rPr>
        <w:t>T</w:t>
      </w:r>
      <w:r>
        <w:rPr>
          <w:color w:val="231F20"/>
          <w:spacing w:val="6"/>
          <w:w w:val="121"/>
        </w:rPr>
        <w:t>H</w:t>
      </w:r>
      <w:r>
        <w:rPr>
          <w:color w:val="231F20"/>
          <w:w w:val="106"/>
        </w:rPr>
        <w:t>E</w:t>
      </w:r>
      <w:r>
        <w:rPr>
          <w:color w:val="231F20"/>
          <w:spacing w:val="10"/>
        </w:rPr>
        <w:t xml:space="preserve"> </w:t>
      </w:r>
      <w:r>
        <w:rPr>
          <w:color w:val="231F20"/>
          <w:spacing w:val="2"/>
          <w:w w:val="97"/>
        </w:rPr>
        <w:t>P</w:t>
      </w:r>
      <w:r>
        <w:rPr>
          <w:color w:val="231F20"/>
        </w:rPr>
        <w:t>S</w:t>
      </w:r>
      <w:r>
        <w:rPr>
          <w:color w:val="231F20"/>
          <w:spacing w:val="-10"/>
          <w:w w:val="143"/>
        </w:rPr>
        <w:t>y</w:t>
      </w:r>
      <w:r>
        <w:rPr>
          <w:color w:val="231F20"/>
          <w:spacing w:val="5"/>
          <w:w w:val="128"/>
        </w:rPr>
        <w:t>C</w:t>
      </w:r>
      <w:r>
        <w:rPr>
          <w:color w:val="231F20"/>
          <w:spacing w:val="7"/>
          <w:w w:val="121"/>
        </w:rPr>
        <w:t>H</w:t>
      </w:r>
      <w:r>
        <w:rPr>
          <w:color w:val="231F20"/>
          <w:spacing w:val="7"/>
          <w:w w:val="102"/>
        </w:rPr>
        <w:t>I</w:t>
      </w:r>
      <w:r>
        <w:rPr>
          <w:color w:val="231F20"/>
          <w:spacing w:val="-8"/>
          <w:w w:val="115"/>
        </w:rPr>
        <w:t>A</w:t>
      </w:r>
      <w:r>
        <w:rPr>
          <w:color w:val="231F20"/>
          <w:spacing w:val="6"/>
          <w:w w:val="112"/>
        </w:rPr>
        <w:t>T</w:t>
      </w:r>
      <w:r>
        <w:rPr>
          <w:color w:val="231F20"/>
          <w:spacing w:val="8"/>
          <w:w w:val="116"/>
        </w:rPr>
        <w:t>R</w:t>
      </w:r>
      <w:r>
        <w:rPr>
          <w:color w:val="231F20"/>
          <w:w w:val="102"/>
        </w:rPr>
        <w:t>I</w:t>
      </w:r>
      <w:r>
        <w:rPr>
          <w:color w:val="231F20"/>
          <w:w w:val="128"/>
        </w:rPr>
        <w:t>C</w:t>
      </w:r>
      <w:r>
        <w:rPr>
          <w:color w:val="231F20"/>
          <w:spacing w:val="10"/>
        </w:rPr>
        <w:t xml:space="preserve"> </w:t>
      </w:r>
      <w:r>
        <w:rPr>
          <w:color w:val="231F20"/>
          <w:spacing w:val="5"/>
          <w:w w:val="115"/>
        </w:rPr>
        <w:t>A</w:t>
      </w:r>
      <w:r>
        <w:rPr>
          <w:color w:val="231F20"/>
        </w:rPr>
        <w:t>S</w:t>
      </w:r>
      <w:r>
        <w:rPr>
          <w:color w:val="231F20"/>
          <w:spacing w:val="6"/>
          <w:w w:val="143"/>
        </w:rPr>
        <w:t>y</w:t>
      </w:r>
      <w:r>
        <w:rPr>
          <w:color w:val="231F20"/>
          <w:w w:val="113"/>
        </w:rPr>
        <w:t>L</w:t>
      </w:r>
      <w:r>
        <w:rPr>
          <w:color w:val="231F20"/>
          <w:spacing w:val="5"/>
          <w:w w:val="111"/>
        </w:rPr>
        <w:t>U</w:t>
      </w:r>
      <w:r>
        <w:rPr>
          <w:color w:val="231F20"/>
          <w:w w:val="122"/>
        </w:rPr>
        <w:t>M</w:t>
      </w:r>
    </w:p>
    <w:p w14:paraId="1A8F1CA8" w14:textId="77777777" w:rsidR="002653E8" w:rsidRDefault="003115E3">
      <w:pPr>
        <w:pStyle w:val="a3"/>
        <w:spacing w:before="149"/>
        <w:ind w:left="1212" w:right="1326"/>
        <w:jc w:val="right"/>
      </w:pPr>
      <w:r>
        <w:rPr>
          <w:color w:val="231F20"/>
        </w:rPr>
        <w:t>60 political prisoners on hunger strike!</w:t>
      </w:r>
    </w:p>
    <w:p w14:paraId="7F4B1472" w14:textId="77777777" w:rsidR="002653E8" w:rsidRDefault="003115E3">
      <w:pPr>
        <w:pStyle w:val="a3"/>
        <w:spacing w:before="22"/>
        <w:ind w:left="1212" w:right="1325"/>
        <w:jc w:val="right"/>
      </w:pPr>
      <w:r>
        <w:rPr>
          <w:color w:val="231F20"/>
          <w:w w:val="110"/>
        </w:rPr>
        <w:t>May 8, 1973</w:t>
      </w:r>
    </w:p>
    <w:p w14:paraId="7E5C5B30" w14:textId="77777777" w:rsidR="002653E8" w:rsidRDefault="002653E8">
      <w:pPr>
        <w:pStyle w:val="a3"/>
      </w:pPr>
    </w:p>
    <w:p w14:paraId="3823315B" w14:textId="77777777" w:rsidR="002653E8" w:rsidRDefault="002653E8">
      <w:pPr>
        <w:pStyle w:val="a3"/>
      </w:pPr>
    </w:p>
    <w:p w14:paraId="39293FB5" w14:textId="77777777" w:rsidR="002653E8" w:rsidRDefault="002653E8">
      <w:pPr>
        <w:pStyle w:val="a3"/>
      </w:pPr>
    </w:p>
    <w:p w14:paraId="7E7DDFD0" w14:textId="77777777" w:rsidR="002653E8" w:rsidRDefault="002653E8">
      <w:pPr>
        <w:pStyle w:val="a3"/>
      </w:pPr>
    </w:p>
    <w:p w14:paraId="3E001F54" w14:textId="77777777" w:rsidR="002653E8" w:rsidRDefault="002653E8">
      <w:pPr>
        <w:pStyle w:val="a3"/>
      </w:pPr>
    </w:p>
    <w:p w14:paraId="25BEC198" w14:textId="77777777" w:rsidR="002653E8" w:rsidRDefault="002653E8">
      <w:pPr>
        <w:pStyle w:val="a3"/>
      </w:pPr>
    </w:p>
    <w:p w14:paraId="2215A329" w14:textId="77777777" w:rsidR="002653E8" w:rsidRDefault="002653E8">
      <w:pPr>
        <w:pStyle w:val="a3"/>
      </w:pPr>
    </w:p>
    <w:p w14:paraId="3321258D" w14:textId="77777777" w:rsidR="002653E8" w:rsidRDefault="002653E8">
      <w:pPr>
        <w:pStyle w:val="a3"/>
      </w:pPr>
    </w:p>
    <w:p w14:paraId="19AA5AE8" w14:textId="77777777" w:rsidR="002653E8" w:rsidRDefault="002653E8">
      <w:pPr>
        <w:pStyle w:val="a3"/>
      </w:pPr>
    </w:p>
    <w:p w14:paraId="376E311A" w14:textId="77777777" w:rsidR="002653E8" w:rsidRDefault="002653E8">
      <w:pPr>
        <w:pStyle w:val="a3"/>
      </w:pPr>
    </w:p>
    <w:p w14:paraId="195E7C7A" w14:textId="77777777" w:rsidR="002653E8" w:rsidRDefault="002653E8">
      <w:pPr>
        <w:pStyle w:val="a3"/>
      </w:pPr>
    </w:p>
    <w:p w14:paraId="58DA197A" w14:textId="77777777" w:rsidR="002653E8" w:rsidRDefault="002653E8">
      <w:pPr>
        <w:pStyle w:val="a3"/>
      </w:pPr>
    </w:p>
    <w:p w14:paraId="42105043" w14:textId="77777777" w:rsidR="002653E8" w:rsidRDefault="002653E8">
      <w:pPr>
        <w:pStyle w:val="a3"/>
      </w:pPr>
    </w:p>
    <w:p w14:paraId="06E3E63F" w14:textId="77777777" w:rsidR="002653E8" w:rsidRDefault="002653E8">
      <w:pPr>
        <w:pStyle w:val="a3"/>
      </w:pPr>
    </w:p>
    <w:p w14:paraId="7004B26F" w14:textId="77777777" w:rsidR="002653E8" w:rsidRDefault="002653E8">
      <w:pPr>
        <w:pStyle w:val="a3"/>
      </w:pPr>
    </w:p>
    <w:p w14:paraId="7F3E4B53" w14:textId="77777777" w:rsidR="002653E8" w:rsidRDefault="002653E8">
      <w:pPr>
        <w:pStyle w:val="a3"/>
      </w:pPr>
    </w:p>
    <w:p w14:paraId="13DCAADD" w14:textId="77777777" w:rsidR="002653E8" w:rsidRDefault="00000000">
      <w:pPr>
        <w:pStyle w:val="a3"/>
        <w:spacing w:before="8"/>
        <w:rPr>
          <w:sz w:val="26"/>
        </w:rPr>
      </w:pPr>
      <w:r>
        <w:rPr>
          <w:noProof w:val="0"/>
        </w:rPr>
        <w:pict w14:anchorId="682D8C58">
          <v:line id="_x0000_s2365" style="position:absolute;z-index:6928;mso-wrap-distance-left:0;mso-wrap-distance-right:0;mso-position-horizontal-relative:page" from="57.4pt,17.85pt" to="129.4pt,17.85pt" strokecolor="#231f20" strokeweight=".5pt">
            <w10:wrap type="topAndBottom" anchorx="page"/>
          </v:line>
        </w:pict>
      </w:r>
    </w:p>
    <w:p w14:paraId="13938F91" w14:textId="77777777" w:rsidR="002653E8" w:rsidRDefault="003115E3">
      <w:pPr>
        <w:spacing w:before="53"/>
        <w:ind w:left="1147"/>
        <w:rPr>
          <w:sz w:val="16"/>
        </w:rPr>
      </w:pPr>
      <w:r>
        <w:rPr>
          <w:color w:val="231F20"/>
          <w:w w:val="105"/>
          <w:sz w:val="16"/>
        </w:rPr>
        <w:t xml:space="preserve">1 </w:t>
      </w:r>
      <w:bookmarkStart w:id="123" w:name="_Hlk122822472"/>
      <w:r>
        <w:rPr>
          <w:color w:val="231F20"/>
          <w:w w:val="105"/>
          <w:sz w:val="16"/>
        </w:rPr>
        <w:t>Ludwig Martin</w:t>
      </w:r>
      <w:bookmarkEnd w:id="123"/>
      <w:r>
        <w:rPr>
          <w:color w:val="231F20"/>
          <w:w w:val="105"/>
          <w:sz w:val="16"/>
        </w:rPr>
        <w:t>, Attorney General from April 7, 1963, until April 30, 1974.</w:t>
      </w:r>
    </w:p>
    <w:p w14:paraId="1EF778C2" w14:textId="77777777" w:rsidR="002653E8" w:rsidRDefault="002653E8">
      <w:pPr>
        <w:rPr>
          <w:sz w:val="16"/>
        </w:rPr>
        <w:sectPr w:rsidR="002653E8">
          <w:pgSz w:w="8640" w:h="12960"/>
          <w:pgMar w:top="1060" w:right="0" w:bottom="1040" w:left="0" w:header="0" w:footer="850" w:gutter="0"/>
          <w:cols w:space="720"/>
        </w:sectPr>
      </w:pPr>
    </w:p>
    <w:p w14:paraId="16E05E1B" w14:textId="77777777" w:rsidR="002653E8" w:rsidRDefault="003115E3">
      <w:pPr>
        <w:pStyle w:val="4"/>
        <w:spacing w:line="273" w:lineRule="auto"/>
        <w:ind w:left="1956" w:right="1773"/>
        <w:jc w:val="center"/>
      </w:pPr>
      <w:bookmarkStart w:id="124" w:name="Provisional_Program_of_Struggle_for_the_"/>
      <w:bookmarkStart w:id="125" w:name="_bookmark38"/>
      <w:bookmarkEnd w:id="124"/>
      <w:bookmarkEnd w:id="125"/>
      <w:r>
        <w:rPr>
          <w:color w:val="231F20"/>
          <w:w w:val="105"/>
        </w:rPr>
        <w:lastRenderedPageBreak/>
        <w:t>Provisional Program of Struggle</w:t>
      </w:r>
      <w:r>
        <w:rPr>
          <w:color w:val="231F20"/>
          <w:w w:val="104"/>
        </w:rPr>
        <w:t xml:space="preserve"> </w:t>
      </w:r>
      <w:r>
        <w:rPr>
          <w:color w:val="231F20"/>
          <w:w w:val="105"/>
        </w:rPr>
        <w:t>for the Political Rights of Imprisoned Workers</w:t>
      </w:r>
    </w:p>
    <w:p w14:paraId="3886EB0E" w14:textId="77777777" w:rsidR="002653E8" w:rsidRDefault="002653E8">
      <w:pPr>
        <w:pStyle w:val="a3"/>
        <w:spacing w:before="8"/>
        <w:rPr>
          <w:rFonts w:ascii="Bookman Old Style"/>
          <w:sz w:val="36"/>
        </w:rPr>
      </w:pPr>
    </w:p>
    <w:p w14:paraId="2AF4493C" w14:textId="77777777" w:rsidR="002653E8" w:rsidRDefault="003115E3">
      <w:pPr>
        <w:pStyle w:val="a3"/>
        <w:ind w:left="1327"/>
      </w:pPr>
      <w:r>
        <w:rPr>
          <w:color w:val="231F20"/>
          <w:w w:val="110"/>
        </w:rPr>
        <w:t>WHOSE FAULT IS IT</w:t>
      </w:r>
    </w:p>
    <w:p w14:paraId="78AA51C5" w14:textId="77777777" w:rsidR="002653E8" w:rsidRDefault="003115E3">
      <w:pPr>
        <w:pStyle w:val="a3"/>
        <w:spacing w:before="23" w:line="264" w:lineRule="auto"/>
        <w:ind w:left="1327" w:right="4206"/>
      </w:pPr>
      <w:r>
        <w:rPr>
          <w:color w:val="231F20"/>
          <w:w w:val="110"/>
        </w:rPr>
        <w:t>IF OPPRESSION CONTINUES? OURS!</w:t>
      </w:r>
    </w:p>
    <w:p w14:paraId="390FDDA4" w14:textId="77777777" w:rsidR="002653E8" w:rsidRDefault="003115E3">
      <w:pPr>
        <w:pStyle w:val="a3"/>
        <w:spacing w:before="125"/>
        <w:ind w:left="1327"/>
      </w:pPr>
      <w:r>
        <w:rPr>
          <w:color w:val="231F20"/>
          <w:w w:val="110"/>
        </w:rPr>
        <w:t>WHOSE FAULT IS IT</w:t>
      </w:r>
    </w:p>
    <w:p w14:paraId="30B6A5C9" w14:textId="77777777" w:rsidR="002653E8" w:rsidRDefault="003115E3">
      <w:pPr>
        <w:pStyle w:val="a3"/>
        <w:spacing w:before="21" w:line="261" w:lineRule="auto"/>
        <w:ind w:left="1327" w:right="3906"/>
        <w:rPr>
          <w:sz w:val="11"/>
        </w:rPr>
      </w:pPr>
      <w:r>
        <w:rPr>
          <w:color w:val="231F20"/>
          <w:w w:val="110"/>
        </w:rPr>
        <w:t>IF OPPRESSION IS NOT SMASHED? OURS AS WELL!</w:t>
      </w:r>
      <w:r>
        <w:rPr>
          <w:color w:val="231F20"/>
          <w:w w:val="110"/>
          <w:position w:val="7"/>
          <w:sz w:val="11"/>
        </w:rPr>
        <w:t>2</w:t>
      </w:r>
    </w:p>
    <w:p w14:paraId="6A02D540" w14:textId="77777777" w:rsidR="002653E8" w:rsidRDefault="002653E8">
      <w:pPr>
        <w:pStyle w:val="a3"/>
        <w:rPr>
          <w:sz w:val="22"/>
        </w:rPr>
      </w:pPr>
    </w:p>
    <w:p w14:paraId="09BBF229" w14:textId="77777777" w:rsidR="002653E8" w:rsidRDefault="003115E3">
      <w:pPr>
        <w:pStyle w:val="a3"/>
        <w:spacing w:before="132" w:line="264" w:lineRule="auto"/>
        <w:ind w:left="1327" w:right="1146"/>
        <w:jc w:val="both"/>
      </w:pPr>
      <w:r>
        <w:rPr>
          <w:color w:val="231F20"/>
        </w:rPr>
        <w:t xml:space="preserve">Prisons, the military, and the police are the basic tools of the imperialist state. They are the basic tools of the state with which the bourgeoisie asserts, protects, and achieves its ruling class power—and they always have been. Without its monopoly of violence, its armed structures—the cops, the prisons, the army—the ruling class is nothing. Its historical role was played out long ago. </w:t>
      </w:r>
      <w:r>
        <w:rPr>
          <w:color w:val="231F20"/>
          <w:spacing w:val="-5"/>
        </w:rPr>
        <w:t xml:space="preserve">We </w:t>
      </w:r>
      <w:r>
        <w:rPr>
          <w:color w:val="231F20"/>
        </w:rPr>
        <w:t>represent the step that will bring</w:t>
      </w:r>
      <w:r>
        <w:rPr>
          <w:color w:val="231F20"/>
          <w:spacing w:val="-30"/>
        </w:rPr>
        <w:t xml:space="preserve"> </w:t>
      </w:r>
      <w:r>
        <w:rPr>
          <w:color w:val="231F20"/>
        </w:rPr>
        <w:t>down this house of cards and the facade that is holding the system together. They can no longer make us—we socialists, communists, workers chained to the assembly line, offices, schools, universities—believe that the time is not ripe for the struggle until victory, the struggle to free the proletariat from exploitation, oppression, alienation, and from material and psychological deprivation—the struggle until victory and liberation from imperialism and</w:t>
      </w:r>
      <w:r>
        <w:rPr>
          <w:color w:val="231F20"/>
          <w:spacing w:val="33"/>
        </w:rPr>
        <w:t xml:space="preserve"> </w:t>
      </w:r>
      <w:r>
        <w:rPr>
          <w:color w:val="231F20"/>
        </w:rPr>
        <w:t>capitalism.</w:t>
      </w:r>
    </w:p>
    <w:p w14:paraId="0A45D6AE" w14:textId="77777777" w:rsidR="002653E8" w:rsidRDefault="003115E3">
      <w:pPr>
        <w:pStyle w:val="a3"/>
        <w:spacing w:line="220" w:lineRule="exact"/>
        <w:ind w:left="1537"/>
      </w:pPr>
      <w:r>
        <w:rPr>
          <w:color w:val="231F20"/>
        </w:rPr>
        <w:t>The problem in the metropole is that, although the system is politi-</w:t>
      </w:r>
    </w:p>
    <w:p w14:paraId="34498523" w14:textId="77777777" w:rsidR="002653E8" w:rsidRDefault="003115E3">
      <w:pPr>
        <w:pStyle w:val="a3"/>
        <w:spacing w:before="23" w:line="264" w:lineRule="auto"/>
        <w:ind w:left="1327" w:right="1146"/>
        <w:jc w:val="both"/>
      </w:pPr>
      <w:r>
        <w:rPr>
          <w:color w:val="231F20"/>
        </w:rPr>
        <w:t xml:space="preserve">cally and economically ripe for abolition, the revolutionary strength of the people remains weak. There is more resignation, lethargy, depression, </w:t>
      </w:r>
      <w:r>
        <w:rPr>
          <w:color w:val="231F20"/>
          <w:spacing w:val="-3"/>
        </w:rPr>
        <w:t xml:space="preserve">agony, </w:t>
      </w:r>
      <w:r>
        <w:rPr>
          <w:color w:val="231F20"/>
        </w:rPr>
        <w:t xml:space="preserve">more illness and suicide, more people who are ready to lie down and die—because one can no longer live with this system—than there are people who are ready to stand up and fight. Although imperialism is only a paper tiger, many only see that at this moment it remains a man-eating monster, and they </w:t>
      </w:r>
      <w:r>
        <w:rPr>
          <w:color w:val="231F20"/>
          <w:spacing w:val="-4"/>
        </w:rPr>
        <w:t xml:space="preserve">say, </w:t>
      </w:r>
      <w:r>
        <w:rPr>
          <w:color w:val="231F20"/>
        </w:rPr>
        <w:t xml:space="preserve">“We’ll never get what we </w:t>
      </w:r>
      <w:r>
        <w:rPr>
          <w:color w:val="231F20"/>
          <w:spacing w:val="-3"/>
        </w:rPr>
        <w:t xml:space="preserve">want.” </w:t>
      </w:r>
      <w:r>
        <w:rPr>
          <w:color w:val="231F20"/>
        </w:rPr>
        <w:t>However, that is incorrect—it is nondialectical  thinking.  The  darker the</w:t>
      </w:r>
      <w:r>
        <w:rPr>
          <w:color w:val="231F20"/>
          <w:spacing w:val="7"/>
        </w:rPr>
        <w:t xml:space="preserve"> </w:t>
      </w:r>
      <w:r>
        <w:rPr>
          <w:color w:val="231F20"/>
        </w:rPr>
        <w:t>night</w:t>
      </w:r>
      <w:r>
        <w:rPr>
          <w:color w:val="231F20"/>
          <w:spacing w:val="7"/>
        </w:rPr>
        <w:t xml:space="preserve"> </w:t>
      </w:r>
      <w:r>
        <w:rPr>
          <w:color w:val="231F20"/>
        </w:rPr>
        <w:t>that</w:t>
      </w:r>
      <w:r>
        <w:rPr>
          <w:color w:val="231F20"/>
          <w:spacing w:val="7"/>
        </w:rPr>
        <w:t xml:space="preserve"> </w:t>
      </w:r>
      <w:r>
        <w:rPr>
          <w:color w:val="231F20"/>
        </w:rPr>
        <w:t>we</w:t>
      </w:r>
      <w:r>
        <w:rPr>
          <w:color w:val="231F20"/>
          <w:spacing w:val="7"/>
        </w:rPr>
        <w:t xml:space="preserve"> </w:t>
      </w:r>
      <w:r>
        <w:rPr>
          <w:color w:val="231F20"/>
        </w:rPr>
        <w:t>believe</w:t>
      </w:r>
      <w:r>
        <w:rPr>
          <w:color w:val="231F20"/>
          <w:spacing w:val="7"/>
        </w:rPr>
        <w:t xml:space="preserve"> </w:t>
      </w:r>
      <w:r>
        <w:rPr>
          <w:color w:val="231F20"/>
        </w:rPr>
        <w:t>we</w:t>
      </w:r>
      <w:r>
        <w:rPr>
          <w:color w:val="231F20"/>
          <w:spacing w:val="7"/>
        </w:rPr>
        <w:t xml:space="preserve"> </w:t>
      </w:r>
      <w:r>
        <w:rPr>
          <w:color w:val="231F20"/>
        </w:rPr>
        <w:t>have</w:t>
      </w:r>
      <w:r>
        <w:rPr>
          <w:color w:val="231F20"/>
          <w:spacing w:val="7"/>
        </w:rPr>
        <w:t xml:space="preserve"> </w:t>
      </w:r>
      <w:r>
        <w:rPr>
          <w:color w:val="231F20"/>
        </w:rPr>
        <w:t>sunk</w:t>
      </w:r>
      <w:r>
        <w:rPr>
          <w:color w:val="231F20"/>
          <w:spacing w:val="7"/>
        </w:rPr>
        <w:t xml:space="preserve"> </w:t>
      </w:r>
      <w:r>
        <w:rPr>
          <w:color w:val="231F20"/>
        </w:rPr>
        <w:t>into,</w:t>
      </w:r>
      <w:r>
        <w:rPr>
          <w:color w:val="231F20"/>
          <w:spacing w:val="7"/>
        </w:rPr>
        <w:t xml:space="preserve"> </w:t>
      </w:r>
      <w:r>
        <w:rPr>
          <w:color w:val="231F20"/>
        </w:rPr>
        <w:t>the</w:t>
      </w:r>
      <w:r>
        <w:rPr>
          <w:color w:val="231F20"/>
          <w:spacing w:val="7"/>
        </w:rPr>
        <w:t xml:space="preserve"> </w:t>
      </w:r>
      <w:r>
        <w:rPr>
          <w:color w:val="231F20"/>
        </w:rPr>
        <w:t>closer</w:t>
      </w:r>
      <w:r>
        <w:rPr>
          <w:color w:val="231F20"/>
          <w:spacing w:val="7"/>
        </w:rPr>
        <w:t xml:space="preserve"> </w:t>
      </w:r>
      <w:r>
        <w:rPr>
          <w:color w:val="231F20"/>
        </w:rPr>
        <w:t>the</w:t>
      </w:r>
      <w:r>
        <w:rPr>
          <w:color w:val="231F20"/>
          <w:spacing w:val="7"/>
        </w:rPr>
        <w:t xml:space="preserve"> </w:t>
      </w:r>
      <w:r>
        <w:rPr>
          <w:color w:val="231F20"/>
        </w:rPr>
        <w:t>morning</w:t>
      </w:r>
      <w:r>
        <w:rPr>
          <w:color w:val="231F20"/>
          <w:spacing w:val="7"/>
        </w:rPr>
        <w:t xml:space="preserve"> </w:t>
      </w:r>
      <w:r>
        <w:rPr>
          <w:color w:val="231F20"/>
        </w:rPr>
        <w:t>is.</w:t>
      </w:r>
    </w:p>
    <w:p w14:paraId="038564D6" w14:textId="77777777" w:rsidR="002653E8" w:rsidRDefault="00000000">
      <w:pPr>
        <w:pStyle w:val="a3"/>
        <w:spacing w:before="8"/>
        <w:rPr>
          <w:sz w:val="14"/>
        </w:rPr>
      </w:pPr>
      <w:r>
        <w:rPr>
          <w:noProof w:val="0"/>
        </w:rPr>
        <w:pict w14:anchorId="366DEAE7">
          <v:line id="_x0000_s2364" style="position:absolute;z-index:6952;mso-wrap-distance-left:0;mso-wrap-distance-right:0;mso-position-horizontal-relative:page" from="66.4pt,10.85pt" to="138.4pt,10.85pt" strokecolor="#231f20" strokeweight=".5pt">
            <w10:wrap type="topAndBottom" anchorx="page"/>
          </v:line>
        </w:pict>
      </w:r>
    </w:p>
    <w:p w14:paraId="2F7A2668" w14:textId="77777777" w:rsidR="002653E8" w:rsidRDefault="003115E3">
      <w:pPr>
        <w:spacing w:before="53"/>
        <w:ind w:left="1327"/>
        <w:rPr>
          <w:sz w:val="16"/>
        </w:rPr>
      </w:pPr>
      <w:r>
        <w:rPr>
          <w:color w:val="231F20"/>
          <w:w w:val="105"/>
          <w:sz w:val="16"/>
        </w:rPr>
        <w:t>2 This is a quote of Bertolt Brecht, the communist playright.</w:t>
      </w:r>
    </w:p>
    <w:p w14:paraId="7C203440" w14:textId="77777777" w:rsidR="002653E8" w:rsidRDefault="002653E8">
      <w:pPr>
        <w:rPr>
          <w:sz w:val="16"/>
        </w:rPr>
        <w:sectPr w:rsidR="002653E8">
          <w:footerReference w:type="even" r:id="rId240"/>
          <w:footerReference w:type="default" r:id="rId241"/>
          <w:pgSz w:w="8640" w:h="12960"/>
          <w:pgMar w:top="1220" w:right="0" w:bottom="1040" w:left="0" w:header="0" w:footer="850" w:gutter="0"/>
          <w:cols w:space="720"/>
        </w:sectPr>
      </w:pPr>
    </w:p>
    <w:p w14:paraId="7A817E99" w14:textId="77777777" w:rsidR="002653E8" w:rsidRDefault="003115E3">
      <w:pPr>
        <w:pStyle w:val="a3"/>
        <w:spacing w:before="86" w:line="264" w:lineRule="auto"/>
        <w:ind w:left="1147" w:right="1326" w:firstLine="210"/>
        <w:jc w:val="both"/>
      </w:pPr>
      <w:r>
        <w:rPr>
          <w:color w:val="231F20"/>
        </w:rPr>
        <w:lastRenderedPageBreak/>
        <w:t>Nowhere is it clearer than in prison, in the very way it operates, that the pig system and its very structure—forced labor, pressure to perform, alienation—is at an end. In 1865, Marx wrote,</w:t>
      </w:r>
    </w:p>
    <w:p w14:paraId="54E29D74" w14:textId="77777777" w:rsidR="002653E8" w:rsidRDefault="003115E3">
      <w:pPr>
        <w:spacing w:before="126" w:line="276" w:lineRule="auto"/>
        <w:ind w:left="1567" w:right="1739"/>
        <w:jc w:val="both"/>
        <w:rPr>
          <w:i/>
          <w:sz w:val="19"/>
        </w:rPr>
      </w:pPr>
      <w:r>
        <w:rPr>
          <w:i/>
          <w:color w:val="231F20"/>
          <w:w w:val="105"/>
          <w:sz w:val="19"/>
        </w:rPr>
        <w:t>The blunt force of the economic conditions assures the rule of capitalism over the working class. As well as economic means, unlimited violence will admittedly always be applied, but only exceptionally. For the normal unfolding of events, the workers need only remain subject to the ‘the natural laws of production.’</w:t>
      </w:r>
    </w:p>
    <w:p w14:paraId="14BF5E4F" w14:textId="77777777" w:rsidR="002653E8" w:rsidRDefault="003115E3">
      <w:pPr>
        <w:pStyle w:val="a3"/>
        <w:spacing w:before="131" w:line="264" w:lineRule="auto"/>
        <w:ind w:left="1147" w:right="1326"/>
        <w:jc w:val="both"/>
      </w:pPr>
      <w:r>
        <w:rPr>
          <w:color w:val="231F20"/>
        </w:rPr>
        <w:t>Today, the system can no longer rely on the “blunt force of these conditions.” And in prison, they can no longer simply rely on “unlimited violence.” To enforce the loyalty of the people, to maintain it, to discourage them from struggling against the system, the pigs coerce them with prison, tricks, and manipulation. With sales pitches and psychological warfare, they make the prisoners go along with it: they win their collaboration, their cooperation in their own destruction through psychiatry, through brainwashing, which results in the destruction of their consciousness. They do this because they can no longer see any other way to get the unrest in the prisons back under control.</w:t>
      </w:r>
    </w:p>
    <w:p w14:paraId="0C91B726" w14:textId="77777777" w:rsidR="002653E8" w:rsidRDefault="003115E3">
      <w:pPr>
        <w:pStyle w:val="a3"/>
        <w:spacing w:line="264" w:lineRule="auto"/>
        <w:ind w:left="1147" w:right="1326" w:firstLine="210"/>
        <w:jc w:val="both"/>
      </w:pPr>
      <w:r>
        <w:rPr>
          <w:color w:val="231F20"/>
        </w:rPr>
        <w:t>The</w:t>
      </w:r>
      <w:r>
        <w:rPr>
          <w:color w:val="231F20"/>
          <w:spacing w:val="-4"/>
        </w:rPr>
        <w:t xml:space="preserve"> </w:t>
      </w:r>
      <w:r>
        <w:rPr>
          <w:color w:val="231F20"/>
        </w:rPr>
        <w:t>system</w:t>
      </w:r>
      <w:r>
        <w:rPr>
          <w:color w:val="231F20"/>
          <w:spacing w:val="-4"/>
        </w:rPr>
        <w:t xml:space="preserve"> </w:t>
      </w:r>
      <w:r>
        <w:rPr>
          <w:color w:val="231F20"/>
        </w:rPr>
        <w:t>can</w:t>
      </w:r>
      <w:r>
        <w:rPr>
          <w:color w:val="231F20"/>
          <w:spacing w:val="-4"/>
        </w:rPr>
        <w:t xml:space="preserve"> </w:t>
      </w:r>
      <w:r>
        <w:rPr>
          <w:color w:val="231F20"/>
        </w:rPr>
        <w:t>no</w:t>
      </w:r>
      <w:r>
        <w:rPr>
          <w:color w:val="231F20"/>
          <w:spacing w:val="-4"/>
        </w:rPr>
        <w:t xml:space="preserve"> </w:t>
      </w:r>
      <w:r>
        <w:rPr>
          <w:color w:val="231F20"/>
        </w:rPr>
        <w:t>longer</w:t>
      </w:r>
      <w:r>
        <w:rPr>
          <w:color w:val="231F20"/>
          <w:spacing w:val="-4"/>
        </w:rPr>
        <w:t xml:space="preserve"> </w:t>
      </w:r>
      <w:r>
        <w:rPr>
          <w:color w:val="231F20"/>
        </w:rPr>
        <w:t>survive</w:t>
      </w:r>
      <w:r>
        <w:rPr>
          <w:color w:val="231F20"/>
          <w:spacing w:val="-4"/>
        </w:rPr>
        <w:t xml:space="preserve"> </w:t>
      </w:r>
      <w:r>
        <w:rPr>
          <w:color w:val="231F20"/>
        </w:rPr>
        <w:t>without</w:t>
      </w:r>
      <w:r>
        <w:rPr>
          <w:color w:val="231F20"/>
          <w:spacing w:val="-4"/>
        </w:rPr>
        <w:t xml:space="preserve"> </w:t>
      </w:r>
      <w:r>
        <w:rPr>
          <w:color w:val="231F20"/>
        </w:rPr>
        <w:t>its</w:t>
      </w:r>
      <w:r>
        <w:rPr>
          <w:color w:val="231F20"/>
          <w:spacing w:val="-4"/>
        </w:rPr>
        <w:t xml:space="preserve"> </w:t>
      </w:r>
      <w:r>
        <w:rPr>
          <w:color w:val="231F20"/>
        </w:rPr>
        <w:t>weapons,</w:t>
      </w:r>
      <w:r>
        <w:rPr>
          <w:color w:val="231F20"/>
          <w:spacing w:val="-4"/>
        </w:rPr>
        <w:t xml:space="preserve"> </w:t>
      </w:r>
      <w:r>
        <w:rPr>
          <w:color w:val="231F20"/>
        </w:rPr>
        <w:t>its</w:t>
      </w:r>
      <w:r>
        <w:rPr>
          <w:color w:val="231F20"/>
          <w:spacing w:val="-4"/>
        </w:rPr>
        <w:t xml:space="preserve"> </w:t>
      </w:r>
      <w:r>
        <w:rPr>
          <w:color w:val="231F20"/>
        </w:rPr>
        <w:t>riot</w:t>
      </w:r>
      <w:r>
        <w:rPr>
          <w:color w:val="231F20"/>
          <w:spacing w:val="-4"/>
        </w:rPr>
        <w:t xml:space="preserve"> </w:t>
      </w:r>
      <w:r>
        <w:rPr>
          <w:color w:val="231F20"/>
        </w:rPr>
        <w:t xml:space="preserve">squads, its bunkers and alarms, its punishments—without its material  tools. The militarization of the state and the psychological aspects of its functioning are two aspects of the same pervasive reality. The cops use the media to develop their psychological warfare on the outside. This is accompanied on the inside by the development of managerial methods based on </w:t>
      </w:r>
      <w:r>
        <w:rPr>
          <w:color w:val="231F20"/>
          <w:spacing w:val="-3"/>
        </w:rPr>
        <w:t xml:space="preserve">new, </w:t>
      </w:r>
      <w:r>
        <w:rPr>
          <w:color w:val="231F20"/>
        </w:rPr>
        <w:t>widespread security measures; the construction of dead wings, grates on the cell windows, isolation units and special wings in every prison, guards in watchtowers armed with semiautomatic handguns, close circuit cameras and</w:t>
      </w:r>
      <w:r>
        <w:rPr>
          <w:color w:val="231F20"/>
          <w:spacing w:val="12"/>
        </w:rPr>
        <w:t xml:space="preserve"> </w:t>
      </w:r>
      <w:r>
        <w:rPr>
          <w:color w:val="231F20"/>
        </w:rPr>
        <w:t>monitors.</w:t>
      </w:r>
    </w:p>
    <w:p w14:paraId="6A78F756" w14:textId="756011E0" w:rsidR="002653E8" w:rsidRDefault="003115E3" w:rsidP="00AF1E0C">
      <w:pPr>
        <w:pStyle w:val="a3"/>
        <w:spacing w:line="264" w:lineRule="auto"/>
        <w:ind w:left="1147" w:right="1326" w:firstLine="210"/>
        <w:jc w:val="both"/>
      </w:pPr>
      <w:r>
        <w:rPr>
          <w:color w:val="231F20"/>
        </w:rPr>
        <w:t xml:space="preserve">The costs that imperialism obliges its ruling class to bear: a military alliance that encompasses the world, the extension of police power in each individual state, the psychological programs, the bullshit reforms in the prisons, the attempts to extend strategic aspects of the deterrent and destructive capacity of its prisons, the fortified villages in Third </w:t>
      </w:r>
      <w:r>
        <w:rPr>
          <w:color w:val="231F20"/>
          <w:spacing w:val="-4"/>
        </w:rPr>
        <w:t xml:space="preserve">World </w:t>
      </w:r>
      <w:r>
        <w:rPr>
          <w:color w:val="231F20"/>
        </w:rPr>
        <w:t>countries where anti-imperialist wars of liberation are being waged.</w:t>
      </w:r>
      <w:r>
        <w:rPr>
          <w:color w:val="231F20"/>
          <w:spacing w:val="-12"/>
        </w:rPr>
        <w:t xml:space="preserve"> </w:t>
      </w:r>
      <w:r>
        <w:rPr>
          <w:color w:val="231F20"/>
        </w:rPr>
        <w:t>These</w:t>
      </w:r>
      <w:r>
        <w:rPr>
          <w:color w:val="231F20"/>
          <w:spacing w:val="-12"/>
        </w:rPr>
        <w:t xml:space="preserve"> </w:t>
      </w:r>
      <w:r>
        <w:rPr>
          <w:color w:val="231F20"/>
        </w:rPr>
        <w:t>costs</w:t>
      </w:r>
      <w:r>
        <w:rPr>
          <w:color w:val="231F20"/>
          <w:spacing w:val="-12"/>
        </w:rPr>
        <w:t xml:space="preserve"> </w:t>
      </w:r>
      <w:r>
        <w:rPr>
          <w:color w:val="231F20"/>
        </w:rPr>
        <w:t>express</w:t>
      </w:r>
      <w:r>
        <w:rPr>
          <w:color w:val="231F20"/>
          <w:spacing w:val="-12"/>
        </w:rPr>
        <w:t xml:space="preserve"> </w:t>
      </w:r>
      <w:r>
        <w:rPr>
          <w:color w:val="231F20"/>
        </w:rPr>
        <w:t>the</w:t>
      </w:r>
      <w:r>
        <w:rPr>
          <w:color w:val="231F20"/>
          <w:spacing w:val="-12"/>
        </w:rPr>
        <w:t xml:space="preserve"> </w:t>
      </w:r>
      <w:r>
        <w:rPr>
          <w:color w:val="231F20"/>
        </w:rPr>
        <w:t>need</w:t>
      </w:r>
      <w:r>
        <w:rPr>
          <w:color w:val="231F20"/>
          <w:spacing w:val="-12"/>
        </w:rPr>
        <w:t xml:space="preserve"> </w:t>
      </w:r>
      <w:r>
        <w:rPr>
          <w:color w:val="231F20"/>
        </w:rPr>
        <w:t>to</w:t>
      </w:r>
      <w:r>
        <w:rPr>
          <w:color w:val="231F20"/>
          <w:spacing w:val="-12"/>
        </w:rPr>
        <w:t xml:space="preserve"> </w:t>
      </w:r>
      <w:r>
        <w:rPr>
          <w:color w:val="231F20"/>
        </w:rPr>
        <w:t>develop</w:t>
      </w:r>
      <w:r>
        <w:rPr>
          <w:color w:val="231F20"/>
          <w:spacing w:val="-12"/>
        </w:rPr>
        <w:t xml:space="preserve"> </w:t>
      </w:r>
      <w:r>
        <w:rPr>
          <w:color w:val="231F20"/>
        </w:rPr>
        <w:t>the</w:t>
      </w:r>
      <w:r>
        <w:rPr>
          <w:color w:val="231F20"/>
          <w:spacing w:val="-12"/>
        </w:rPr>
        <w:t xml:space="preserve"> </w:t>
      </w:r>
      <w:r>
        <w:rPr>
          <w:color w:val="231F20"/>
        </w:rPr>
        <w:t>pig</w:t>
      </w:r>
      <w:r>
        <w:rPr>
          <w:color w:val="231F20"/>
          <w:spacing w:val="-12"/>
        </w:rPr>
        <w:t xml:space="preserve"> </w:t>
      </w:r>
      <w:r>
        <w:rPr>
          <w:color w:val="231F20"/>
        </w:rPr>
        <w:t>system’s</w:t>
      </w:r>
      <w:r>
        <w:rPr>
          <w:color w:val="231F20"/>
          <w:spacing w:val="-12"/>
        </w:rPr>
        <w:t xml:space="preserve"> </w:t>
      </w:r>
      <w:r>
        <w:rPr>
          <w:color w:val="231F20"/>
        </w:rPr>
        <w:t xml:space="preserve">strength. </w:t>
      </w:r>
      <w:r>
        <w:rPr>
          <w:color w:val="231F20"/>
          <w:spacing w:val="1"/>
        </w:rPr>
        <w:t xml:space="preserve">All </w:t>
      </w:r>
      <w:r>
        <w:rPr>
          <w:color w:val="231F20"/>
        </w:rPr>
        <w:t>of these measures also show their fear, their hollowness, their corruption, their stagnation, the very fact that they have nothing more to offer—beyond violence, fascism, oppression, manipulation—that they have no future besides barbarism. They have nothing left to offer</w:t>
      </w:r>
      <w:r>
        <w:rPr>
          <w:color w:val="231F20"/>
          <w:spacing w:val="10"/>
        </w:rPr>
        <w:t xml:space="preserve"> </w:t>
      </w:r>
      <w:r>
        <w:rPr>
          <w:color w:val="231F20"/>
        </w:rPr>
        <w:lastRenderedPageBreak/>
        <w:t>except</w:t>
      </w:r>
      <w:r w:rsidR="00AF1E0C">
        <w:rPr>
          <w:color w:val="231F20"/>
        </w:rPr>
        <w:t xml:space="preserve"> </w:t>
      </w:r>
      <w:r>
        <w:rPr>
          <w:color w:val="231F20"/>
        </w:rPr>
        <w:t>destruction, fragmentation, pathology, counterinsurgency—and for billions of people in the countries of the Third World: hunger, hardship, illness, illiteracy, and death.</w:t>
      </w:r>
    </w:p>
    <w:p w14:paraId="3DB57BC1" w14:textId="77777777" w:rsidR="002653E8" w:rsidRDefault="002653E8">
      <w:pPr>
        <w:pStyle w:val="a3"/>
      </w:pPr>
    </w:p>
    <w:p w14:paraId="765968F6" w14:textId="77777777" w:rsidR="002653E8" w:rsidRDefault="003115E3">
      <w:pPr>
        <w:spacing w:before="1"/>
        <w:ind w:left="1327"/>
      </w:pPr>
      <w:r>
        <w:rPr>
          <w:color w:val="231F20"/>
          <w:w w:val="115"/>
        </w:rPr>
        <w:t>w hat are w e waiting for?</w:t>
      </w:r>
    </w:p>
    <w:p w14:paraId="5F1C9B01" w14:textId="77777777" w:rsidR="002653E8" w:rsidRDefault="003115E3">
      <w:pPr>
        <w:pStyle w:val="a3"/>
        <w:spacing w:before="18" w:line="264" w:lineRule="auto"/>
        <w:ind w:left="1327" w:right="1145"/>
        <w:jc w:val="both"/>
      </w:pPr>
      <w:r>
        <w:rPr>
          <w:color w:val="231F20"/>
        </w:rPr>
        <w:t>Numerically and intellectually, the people are superior to the fascists. What cripples us is the fact that all the resistance in the prisons that   has occurred so far has occurred in isolation. There was no communication, no plan, no cooperation, and those on the outside who were prepared to support us in our struggle against the imperialist structures were</w:t>
      </w:r>
      <w:r>
        <w:rPr>
          <w:color w:val="231F20"/>
          <w:spacing w:val="10"/>
        </w:rPr>
        <w:t xml:space="preserve"> </w:t>
      </w:r>
      <w:r>
        <w:rPr>
          <w:color w:val="231F20"/>
        </w:rPr>
        <w:t>also</w:t>
      </w:r>
      <w:r>
        <w:rPr>
          <w:color w:val="231F20"/>
          <w:spacing w:val="10"/>
        </w:rPr>
        <w:t xml:space="preserve"> </w:t>
      </w:r>
      <w:r>
        <w:rPr>
          <w:color w:val="231F20"/>
        </w:rPr>
        <w:t>muddling</w:t>
      </w:r>
      <w:r>
        <w:rPr>
          <w:color w:val="231F20"/>
          <w:spacing w:val="10"/>
        </w:rPr>
        <w:t xml:space="preserve"> </w:t>
      </w:r>
      <w:r>
        <w:rPr>
          <w:color w:val="231F20"/>
        </w:rPr>
        <w:t>along</w:t>
      </w:r>
      <w:r>
        <w:rPr>
          <w:color w:val="231F20"/>
          <w:spacing w:val="10"/>
        </w:rPr>
        <w:t xml:space="preserve"> </w:t>
      </w:r>
      <w:r>
        <w:rPr>
          <w:color w:val="231F20"/>
        </w:rPr>
        <w:t>with</w:t>
      </w:r>
      <w:r>
        <w:rPr>
          <w:color w:val="231F20"/>
          <w:spacing w:val="10"/>
        </w:rPr>
        <w:t xml:space="preserve"> </w:t>
      </w:r>
      <w:r>
        <w:rPr>
          <w:color w:val="231F20"/>
        </w:rPr>
        <w:t>no</w:t>
      </w:r>
      <w:r>
        <w:rPr>
          <w:color w:val="231F20"/>
          <w:spacing w:val="10"/>
        </w:rPr>
        <w:t xml:space="preserve"> </w:t>
      </w:r>
      <w:r>
        <w:rPr>
          <w:color w:val="231F20"/>
        </w:rPr>
        <w:t>idea</w:t>
      </w:r>
      <w:r>
        <w:rPr>
          <w:color w:val="231F20"/>
          <w:spacing w:val="10"/>
        </w:rPr>
        <w:t xml:space="preserve"> </w:t>
      </w:r>
      <w:r>
        <w:rPr>
          <w:color w:val="231F20"/>
        </w:rPr>
        <w:t>of</w:t>
      </w:r>
      <w:r>
        <w:rPr>
          <w:color w:val="231F20"/>
          <w:spacing w:val="10"/>
        </w:rPr>
        <w:t xml:space="preserve"> </w:t>
      </w:r>
      <w:r>
        <w:rPr>
          <w:color w:val="231F20"/>
        </w:rPr>
        <w:t>how</w:t>
      </w:r>
      <w:r>
        <w:rPr>
          <w:color w:val="231F20"/>
          <w:spacing w:val="10"/>
        </w:rPr>
        <w:t xml:space="preserve"> </w:t>
      </w:r>
      <w:r>
        <w:rPr>
          <w:color w:val="231F20"/>
        </w:rPr>
        <w:t>to</w:t>
      </w:r>
      <w:r>
        <w:rPr>
          <w:color w:val="231F20"/>
          <w:spacing w:val="10"/>
        </w:rPr>
        <w:t xml:space="preserve"> </w:t>
      </w:r>
      <w:r>
        <w:rPr>
          <w:color w:val="231F20"/>
        </w:rPr>
        <w:t>proceed.</w:t>
      </w:r>
    </w:p>
    <w:p w14:paraId="67735618" w14:textId="77777777" w:rsidR="002653E8" w:rsidRDefault="003115E3">
      <w:pPr>
        <w:pStyle w:val="a3"/>
        <w:spacing w:line="264" w:lineRule="auto"/>
        <w:ind w:left="1327" w:right="1146" w:firstLine="210"/>
        <w:jc w:val="both"/>
      </w:pPr>
      <w:r>
        <w:rPr>
          <w:color w:val="231F20"/>
        </w:rPr>
        <w:t xml:space="preserve">Many also failed to understand the political prisoners’ struggle against  isolation, that is to </w:t>
      </w:r>
      <w:r>
        <w:rPr>
          <w:color w:val="231F20"/>
          <w:spacing w:val="-4"/>
        </w:rPr>
        <w:t xml:space="preserve">say,  </w:t>
      </w:r>
      <w:r>
        <w:rPr>
          <w:color w:val="231F20"/>
        </w:rPr>
        <w:t>the struggle of those prisoners taken    in the armed struggle against the imperialist state—the corporations, the cops, the military, the justice system, the prison system—and the prisoners who have begun to struggle collectively against prison conditions. Isolation is the weapon the system uses to finish off the so-called disruptive elements—i.e., the rebels—to physically and psychologically destroy them, thereby removing the “political” from the flow of things—to nip every expression of autonomous organization in the bud, to liquidate from the outset the struggle for prisoners’ collective power and for their basic political and human rights, to use isolation against spokesmen, cadre, and those who have something organizational and political to offer and who have already decided to use all of their power in the service of the people’s liberation, the anti-imperialist struggle, and</w:t>
      </w:r>
      <w:r>
        <w:rPr>
          <w:color w:val="231F20"/>
          <w:spacing w:val="10"/>
        </w:rPr>
        <w:t xml:space="preserve"> </w:t>
      </w:r>
      <w:r>
        <w:rPr>
          <w:color w:val="231F20"/>
        </w:rPr>
        <w:t>the</w:t>
      </w:r>
      <w:r>
        <w:rPr>
          <w:color w:val="231F20"/>
          <w:spacing w:val="10"/>
        </w:rPr>
        <w:t xml:space="preserve"> </w:t>
      </w:r>
      <w:r>
        <w:rPr>
          <w:color w:val="231F20"/>
        </w:rPr>
        <w:t>initiation</w:t>
      </w:r>
      <w:r>
        <w:rPr>
          <w:color w:val="231F20"/>
          <w:spacing w:val="10"/>
        </w:rPr>
        <w:t xml:space="preserve"> </w:t>
      </w:r>
      <w:r>
        <w:rPr>
          <w:color w:val="231F20"/>
        </w:rPr>
        <w:t>of</w:t>
      </w:r>
      <w:r>
        <w:rPr>
          <w:color w:val="231F20"/>
          <w:spacing w:val="10"/>
        </w:rPr>
        <w:t xml:space="preserve"> </w:t>
      </w:r>
      <w:r>
        <w:rPr>
          <w:color w:val="231F20"/>
        </w:rPr>
        <w:t>a</w:t>
      </w:r>
      <w:r>
        <w:rPr>
          <w:color w:val="231F20"/>
          <w:spacing w:val="10"/>
        </w:rPr>
        <w:t xml:space="preserve"> </w:t>
      </w:r>
      <w:r>
        <w:rPr>
          <w:color w:val="231F20"/>
        </w:rPr>
        <w:t>revolutionary</w:t>
      </w:r>
      <w:r>
        <w:rPr>
          <w:color w:val="231F20"/>
          <w:spacing w:val="10"/>
        </w:rPr>
        <w:t xml:space="preserve"> </w:t>
      </w:r>
      <w:r>
        <w:rPr>
          <w:color w:val="231F20"/>
        </w:rPr>
        <w:t>prisoners’</w:t>
      </w:r>
      <w:r>
        <w:rPr>
          <w:color w:val="231F20"/>
          <w:spacing w:val="10"/>
        </w:rPr>
        <w:t xml:space="preserve"> </w:t>
      </w:r>
      <w:r>
        <w:rPr>
          <w:color w:val="231F20"/>
        </w:rPr>
        <w:t>movement.</w:t>
      </w:r>
    </w:p>
    <w:p w14:paraId="4EBAC3AA" w14:textId="77777777" w:rsidR="002653E8" w:rsidRDefault="003115E3">
      <w:pPr>
        <w:pStyle w:val="a3"/>
        <w:spacing w:line="218" w:lineRule="exact"/>
        <w:ind w:left="1537"/>
      </w:pPr>
      <w:r>
        <w:rPr>
          <w:color w:val="231F20"/>
        </w:rPr>
        <w:t>The struggle of the political prisoners being held in isolation—isola-</w:t>
      </w:r>
    </w:p>
    <w:p w14:paraId="6DF12EA4" w14:textId="77777777" w:rsidR="002653E8" w:rsidRDefault="003115E3">
      <w:pPr>
        <w:pStyle w:val="a3"/>
        <w:spacing w:before="15" w:line="264" w:lineRule="auto"/>
        <w:ind w:left="1327" w:right="1145"/>
        <w:jc w:val="both"/>
      </w:pPr>
      <w:r>
        <w:rPr>
          <w:color w:val="231F20"/>
        </w:rPr>
        <w:t>tion from the outside and from others on the inside—is about the revolutionary prisoners’ movement achieving the conditions necessary for survival. As long as the pigs can isolate every combatant, everyone who begins to organize resistance, who opens his yap—and not only them, but also all those who work for prisoners’ autonomous organization—it will be difficult to develop continuity in the work for autonomous organization and collective counterpower in the prisons.</w:t>
      </w:r>
    </w:p>
    <w:p w14:paraId="58973A45" w14:textId="77777777" w:rsidR="002653E8" w:rsidRDefault="003115E3">
      <w:pPr>
        <w:pStyle w:val="a3"/>
        <w:spacing w:line="264" w:lineRule="auto"/>
        <w:ind w:left="1327" w:right="1146" w:firstLine="210"/>
        <w:jc w:val="both"/>
      </w:pPr>
      <w:r>
        <w:rPr>
          <w:color w:val="231F20"/>
        </w:rPr>
        <w:t>If the political prisoners take advantage of the publicity around their trials, that only means they are using the market value that exists in many comrades’ bewildered minds as a weapon. In reality, you won’t find us in the media that spews out headlines against us; instead, you’ll find us downstairs in the prison, in the cell, in the special wings, in the bunkers, in isolation. And we’re not struggling for privileges, but for</w:t>
      </w:r>
    </w:p>
    <w:p w14:paraId="3CA34A19" w14:textId="77777777" w:rsidR="002653E8" w:rsidRDefault="002653E8">
      <w:pPr>
        <w:spacing w:line="264" w:lineRule="auto"/>
        <w:jc w:val="both"/>
        <w:sectPr w:rsidR="002653E8">
          <w:footerReference w:type="even" r:id="rId242"/>
          <w:footerReference w:type="default" r:id="rId243"/>
          <w:pgSz w:w="8640" w:h="12960"/>
          <w:pgMar w:top="1060" w:right="0" w:bottom="1040" w:left="0" w:header="0" w:footer="850" w:gutter="0"/>
          <w:cols w:space="720"/>
        </w:sectPr>
      </w:pPr>
    </w:p>
    <w:p w14:paraId="5F5E8389" w14:textId="77777777" w:rsidR="002653E8" w:rsidRDefault="003115E3">
      <w:pPr>
        <w:pStyle w:val="a3"/>
        <w:spacing w:before="86" w:line="264" w:lineRule="auto"/>
        <w:ind w:left="1147" w:right="1325"/>
        <w:jc w:val="both"/>
      </w:pPr>
      <w:r>
        <w:rPr>
          <w:color w:val="231F20"/>
          <w:w w:val="115"/>
        </w:rPr>
        <w:lastRenderedPageBreak/>
        <w:t>the IMPROVEMENT OF THE CONDITIONS OF STRUGGLE FOR A REVOLUTIONARy PRISONERS’ MOVEMENT WITHIN THE</w:t>
      </w:r>
    </w:p>
    <w:p w14:paraId="47E91289" w14:textId="77777777" w:rsidR="002653E8" w:rsidRDefault="003115E3">
      <w:pPr>
        <w:pStyle w:val="a3"/>
        <w:spacing w:line="264" w:lineRule="auto"/>
        <w:ind w:left="1147" w:right="1327"/>
        <w:jc w:val="both"/>
      </w:pPr>
      <w:r>
        <w:rPr>
          <w:color w:val="231F20"/>
        </w:rPr>
        <w:t>PRISONS! Anything else amounts to standing things on their head, ass backwards, seeing things from the outside through the eyes of the pig media, and thereby overlooking the simple, real, undeniable facts. To again explain what we’re struggling for, what we’re struggling against, and why we struggle:</w:t>
      </w:r>
    </w:p>
    <w:p w14:paraId="5378DD99" w14:textId="77777777" w:rsidR="002653E8" w:rsidRDefault="003115E3">
      <w:pPr>
        <w:pStyle w:val="a3"/>
        <w:spacing w:line="264" w:lineRule="auto"/>
        <w:ind w:left="1147" w:right="1325" w:firstLine="210"/>
        <w:jc w:val="both"/>
      </w:pPr>
      <w:r>
        <w:rPr>
          <w:color w:val="231F20"/>
          <w:spacing w:val="-5"/>
          <w:w w:val="105"/>
        </w:rPr>
        <w:t xml:space="preserve">We </w:t>
      </w:r>
      <w:r>
        <w:rPr>
          <w:color w:val="231F20"/>
          <w:w w:val="105"/>
        </w:rPr>
        <w:t xml:space="preserve">are struggling for </w:t>
      </w:r>
      <w:r>
        <w:rPr>
          <w:color w:val="231F20"/>
          <w:spacing w:val="1"/>
          <w:w w:val="105"/>
        </w:rPr>
        <w:t xml:space="preserve">PRISONER </w:t>
      </w:r>
      <w:r>
        <w:rPr>
          <w:color w:val="231F20"/>
          <w:w w:val="105"/>
        </w:rPr>
        <w:t>AUTONOMy, for the elementary rights of imprisoned workers, and for the strengthening of</w:t>
      </w:r>
      <w:r>
        <w:rPr>
          <w:color w:val="231F20"/>
          <w:spacing w:val="-22"/>
          <w:w w:val="105"/>
        </w:rPr>
        <w:t xml:space="preserve"> </w:t>
      </w:r>
      <w:r>
        <w:rPr>
          <w:color w:val="231F20"/>
          <w:w w:val="105"/>
        </w:rPr>
        <w:t>prisoners’ collective</w:t>
      </w:r>
      <w:r>
        <w:rPr>
          <w:color w:val="231F20"/>
          <w:spacing w:val="-20"/>
          <w:w w:val="105"/>
        </w:rPr>
        <w:t xml:space="preserve"> </w:t>
      </w:r>
      <w:r>
        <w:rPr>
          <w:color w:val="231F20"/>
          <w:w w:val="105"/>
        </w:rPr>
        <w:t>power.</w:t>
      </w:r>
      <w:r>
        <w:rPr>
          <w:color w:val="231F20"/>
          <w:spacing w:val="-20"/>
          <w:w w:val="105"/>
        </w:rPr>
        <w:t xml:space="preserve"> </w:t>
      </w:r>
      <w:r>
        <w:rPr>
          <w:color w:val="231F20"/>
          <w:spacing w:val="1"/>
          <w:w w:val="105"/>
        </w:rPr>
        <w:t>In</w:t>
      </w:r>
      <w:r>
        <w:rPr>
          <w:color w:val="231F20"/>
          <w:spacing w:val="-20"/>
          <w:w w:val="105"/>
        </w:rPr>
        <w:t xml:space="preserve"> </w:t>
      </w:r>
      <w:r>
        <w:rPr>
          <w:color w:val="231F20"/>
          <w:w w:val="105"/>
        </w:rPr>
        <w:t>this</w:t>
      </w:r>
      <w:r>
        <w:rPr>
          <w:color w:val="231F20"/>
          <w:spacing w:val="-20"/>
          <w:w w:val="105"/>
        </w:rPr>
        <w:t xml:space="preserve"> </w:t>
      </w:r>
      <w:r>
        <w:rPr>
          <w:color w:val="231F20"/>
          <w:w w:val="105"/>
        </w:rPr>
        <w:t>sense,</w:t>
      </w:r>
      <w:r>
        <w:rPr>
          <w:color w:val="231F20"/>
          <w:spacing w:val="-20"/>
          <w:w w:val="105"/>
        </w:rPr>
        <w:t xml:space="preserve"> </w:t>
      </w:r>
      <w:r>
        <w:rPr>
          <w:color w:val="231F20"/>
          <w:w w:val="105"/>
        </w:rPr>
        <w:t>the</w:t>
      </w:r>
      <w:r>
        <w:rPr>
          <w:color w:val="231F20"/>
          <w:spacing w:val="-20"/>
          <w:w w:val="105"/>
        </w:rPr>
        <w:t xml:space="preserve"> </w:t>
      </w:r>
      <w:r>
        <w:rPr>
          <w:color w:val="231F20"/>
          <w:w w:val="105"/>
        </w:rPr>
        <w:t>action</w:t>
      </w:r>
      <w:r>
        <w:rPr>
          <w:color w:val="231F20"/>
          <w:spacing w:val="-20"/>
          <w:w w:val="105"/>
        </w:rPr>
        <w:t xml:space="preserve"> </w:t>
      </w:r>
      <w:r>
        <w:rPr>
          <w:color w:val="231F20"/>
          <w:w w:val="105"/>
        </w:rPr>
        <w:t>program</w:t>
      </w:r>
      <w:r>
        <w:rPr>
          <w:color w:val="231F20"/>
          <w:spacing w:val="-20"/>
          <w:w w:val="105"/>
        </w:rPr>
        <w:t xml:space="preserve"> </w:t>
      </w:r>
      <w:r>
        <w:rPr>
          <w:color w:val="231F20"/>
          <w:w w:val="105"/>
        </w:rPr>
        <w:t>is</w:t>
      </w:r>
      <w:r>
        <w:rPr>
          <w:color w:val="231F20"/>
          <w:spacing w:val="-20"/>
          <w:w w:val="105"/>
        </w:rPr>
        <w:t xml:space="preserve"> </w:t>
      </w:r>
      <w:r>
        <w:rPr>
          <w:color w:val="231F20"/>
          <w:w w:val="105"/>
        </w:rPr>
        <w:t>more</w:t>
      </w:r>
      <w:r>
        <w:rPr>
          <w:color w:val="231F20"/>
          <w:spacing w:val="-20"/>
          <w:w w:val="105"/>
        </w:rPr>
        <w:t xml:space="preserve"> </w:t>
      </w:r>
      <w:r>
        <w:rPr>
          <w:color w:val="231F20"/>
          <w:w w:val="105"/>
        </w:rPr>
        <w:t>than</w:t>
      </w:r>
      <w:r>
        <w:rPr>
          <w:color w:val="231F20"/>
          <w:spacing w:val="-20"/>
          <w:w w:val="105"/>
        </w:rPr>
        <w:t xml:space="preserve"> </w:t>
      </w:r>
      <w:r>
        <w:rPr>
          <w:color w:val="231F20"/>
          <w:w w:val="105"/>
        </w:rPr>
        <w:t>the</w:t>
      </w:r>
      <w:r>
        <w:rPr>
          <w:color w:val="231F20"/>
          <w:spacing w:val="-20"/>
          <w:w w:val="105"/>
        </w:rPr>
        <w:t xml:space="preserve"> </w:t>
      </w:r>
      <w:r>
        <w:rPr>
          <w:color w:val="231F20"/>
          <w:w w:val="105"/>
        </w:rPr>
        <w:t>material</w:t>
      </w:r>
      <w:r>
        <w:rPr>
          <w:color w:val="231F20"/>
          <w:spacing w:val="-10"/>
          <w:w w:val="105"/>
        </w:rPr>
        <w:t xml:space="preserve"> </w:t>
      </w:r>
      <w:r>
        <w:rPr>
          <w:color w:val="231F20"/>
          <w:w w:val="105"/>
        </w:rPr>
        <w:t>contents</w:t>
      </w:r>
      <w:r>
        <w:rPr>
          <w:color w:val="231F20"/>
          <w:spacing w:val="-10"/>
          <w:w w:val="105"/>
        </w:rPr>
        <w:t xml:space="preserve"> </w:t>
      </w:r>
      <w:r>
        <w:rPr>
          <w:color w:val="231F20"/>
          <w:w w:val="105"/>
        </w:rPr>
        <w:t>of</w:t>
      </w:r>
      <w:r>
        <w:rPr>
          <w:color w:val="231F20"/>
          <w:spacing w:val="-10"/>
          <w:w w:val="105"/>
        </w:rPr>
        <w:t xml:space="preserve"> </w:t>
      </w:r>
      <w:r>
        <w:rPr>
          <w:color w:val="231F20"/>
          <w:w w:val="105"/>
        </w:rPr>
        <w:t>a</w:t>
      </w:r>
      <w:r>
        <w:rPr>
          <w:color w:val="231F20"/>
          <w:spacing w:val="-10"/>
          <w:w w:val="105"/>
        </w:rPr>
        <w:t xml:space="preserve"> </w:t>
      </w:r>
      <w:r>
        <w:rPr>
          <w:color w:val="231F20"/>
          <w:w w:val="105"/>
        </w:rPr>
        <w:t>prison</w:t>
      </w:r>
      <w:r>
        <w:rPr>
          <w:color w:val="231F20"/>
          <w:spacing w:val="-10"/>
          <w:w w:val="105"/>
        </w:rPr>
        <w:t xml:space="preserve"> </w:t>
      </w:r>
      <w:r>
        <w:rPr>
          <w:color w:val="231F20"/>
          <w:w w:val="105"/>
        </w:rPr>
        <w:t>survival</w:t>
      </w:r>
      <w:r>
        <w:rPr>
          <w:color w:val="231F20"/>
          <w:spacing w:val="-10"/>
          <w:w w:val="105"/>
        </w:rPr>
        <w:t xml:space="preserve"> </w:t>
      </w:r>
      <w:r>
        <w:rPr>
          <w:color w:val="231F20"/>
          <w:w w:val="105"/>
        </w:rPr>
        <w:t>program;</w:t>
      </w:r>
      <w:r>
        <w:rPr>
          <w:color w:val="231F20"/>
          <w:spacing w:val="-10"/>
          <w:w w:val="105"/>
        </w:rPr>
        <w:t xml:space="preserve"> </w:t>
      </w:r>
      <w:r>
        <w:rPr>
          <w:color w:val="231F20"/>
          <w:w w:val="105"/>
        </w:rPr>
        <w:t>it</w:t>
      </w:r>
      <w:r>
        <w:rPr>
          <w:color w:val="231F20"/>
          <w:spacing w:val="-10"/>
          <w:w w:val="105"/>
        </w:rPr>
        <w:t xml:space="preserve"> </w:t>
      </w:r>
      <w:r>
        <w:rPr>
          <w:color w:val="231F20"/>
          <w:w w:val="105"/>
        </w:rPr>
        <w:t>is</w:t>
      </w:r>
      <w:r>
        <w:rPr>
          <w:color w:val="231F20"/>
          <w:spacing w:val="-10"/>
          <w:w w:val="105"/>
        </w:rPr>
        <w:t xml:space="preserve"> </w:t>
      </w:r>
      <w:r>
        <w:rPr>
          <w:color w:val="231F20"/>
          <w:w w:val="105"/>
        </w:rPr>
        <w:t>also</w:t>
      </w:r>
      <w:r>
        <w:rPr>
          <w:color w:val="231F20"/>
          <w:spacing w:val="-10"/>
          <w:w w:val="105"/>
        </w:rPr>
        <w:t xml:space="preserve"> </w:t>
      </w:r>
      <w:r>
        <w:rPr>
          <w:color w:val="231F20"/>
          <w:w w:val="105"/>
        </w:rPr>
        <w:t>an</w:t>
      </w:r>
      <w:r>
        <w:rPr>
          <w:color w:val="231F20"/>
          <w:spacing w:val="-10"/>
          <w:w w:val="105"/>
        </w:rPr>
        <w:t xml:space="preserve"> </w:t>
      </w:r>
      <w:r>
        <w:rPr>
          <w:color w:val="231F20"/>
          <w:w w:val="105"/>
        </w:rPr>
        <w:t>instrument— one that allows everyone to understand what’s going on, because the imperialist</w:t>
      </w:r>
      <w:r>
        <w:rPr>
          <w:color w:val="231F20"/>
          <w:spacing w:val="-15"/>
          <w:w w:val="105"/>
        </w:rPr>
        <w:t xml:space="preserve"> </w:t>
      </w:r>
      <w:r>
        <w:rPr>
          <w:color w:val="231F20"/>
          <w:w w:val="105"/>
        </w:rPr>
        <w:t>state</w:t>
      </w:r>
      <w:r>
        <w:rPr>
          <w:color w:val="231F20"/>
          <w:spacing w:val="-15"/>
          <w:w w:val="105"/>
        </w:rPr>
        <w:t xml:space="preserve"> </w:t>
      </w:r>
      <w:r>
        <w:rPr>
          <w:color w:val="231F20"/>
          <w:w w:val="105"/>
        </w:rPr>
        <w:t>will</w:t>
      </w:r>
      <w:r>
        <w:rPr>
          <w:color w:val="231F20"/>
          <w:spacing w:val="-15"/>
          <w:w w:val="105"/>
        </w:rPr>
        <w:t xml:space="preserve"> </w:t>
      </w:r>
      <w:r>
        <w:rPr>
          <w:color w:val="231F20"/>
          <w:w w:val="105"/>
        </w:rPr>
        <w:t>not</w:t>
      </w:r>
      <w:r>
        <w:rPr>
          <w:color w:val="231F20"/>
          <w:spacing w:val="-15"/>
          <w:w w:val="105"/>
        </w:rPr>
        <w:t xml:space="preserve"> </w:t>
      </w:r>
      <w:r>
        <w:rPr>
          <w:color w:val="231F20"/>
          <w:w w:val="105"/>
        </w:rPr>
        <w:t>be</w:t>
      </w:r>
      <w:r>
        <w:rPr>
          <w:color w:val="231F20"/>
          <w:spacing w:val="-15"/>
          <w:w w:val="105"/>
        </w:rPr>
        <w:t xml:space="preserve"> </w:t>
      </w:r>
      <w:r>
        <w:rPr>
          <w:color w:val="231F20"/>
          <w:w w:val="105"/>
        </w:rPr>
        <w:t>able</w:t>
      </w:r>
      <w:r>
        <w:rPr>
          <w:color w:val="231F20"/>
          <w:spacing w:val="-15"/>
          <w:w w:val="105"/>
        </w:rPr>
        <w:t xml:space="preserve"> </w:t>
      </w:r>
      <w:r>
        <w:rPr>
          <w:color w:val="231F20"/>
          <w:w w:val="105"/>
        </w:rPr>
        <w:t>to</w:t>
      </w:r>
      <w:r>
        <w:rPr>
          <w:color w:val="231F20"/>
          <w:spacing w:val="-15"/>
          <w:w w:val="105"/>
        </w:rPr>
        <w:t xml:space="preserve"> </w:t>
      </w:r>
      <w:r>
        <w:rPr>
          <w:color w:val="231F20"/>
          <w:spacing w:val="1"/>
          <w:w w:val="105"/>
        </w:rPr>
        <w:t>fulfill</w:t>
      </w:r>
      <w:r>
        <w:rPr>
          <w:color w:val="231F20"/>
          <w:spacing w:val="-15"/>
          <w:w w:val="105"/>
        </w:rPr>
        <w:t xml:space="preserve"> </w:t>
      </w:r>
      <w:r>
        <w:rPr>
          <w:color w:val="231F20"/>
          <w:w w:val="105"/>
        </w:rPr>
        <w:t>these</w:t>
      </w:r>
      <w:r>
        <w:rPr>
          <w:color w:val="231F20"/>
          <w:spacing w:val="-15"/>
          <w:w w:val="105"/>
        </w:rPr>
        <w:t xml:space="preserve"> </w:t>
      </w:r>
      <w:r>
        <w:rPr>
          <w:color w:val="231F20"/>
          <w:w w:val="105"/>
        </w:rPr>
        <w:t>simple</w:t>
      </w:r>
      <w:r>
        <w:rPr>
          <w:color w:val="231F20"/>
          <w:spacing w:val="-15"/>
          <w:w w:val="105"/>
        </w:rPr>
        <w:t xml:space="preserve"> </w:t>
      </w:r>
      <w:r>
        <w:rPr>
          <w:color w:val="231F20"/>
          <w:w w:val="105"/>
        </w:rPr>
        <w:t>demands,</w:t>
      </w:r>
      <w:r>
        <w:rPr>
          <w:color w:val="231F20"/>
          <w:spacing w:val="-15"/>
          <w:w w:val="105"/>
        </w:rPr>
        <w:t xml:space="preserve"> </w:t>
      </w:r>
      <w:r>
        <w:rPr>
          <w:color w:val="231F20"/>
          <w:w w:val="105"/>
        </w:rPr>
        <w:t>which according</w:t>
      </w:r>
      <w:r>
        <w:rPr>
          <w:color w:val="231F20"/>
          <w:spacing w:val="-16"/>
          <w:w w:val="105"/>
        </w:rPr>
        <w:t xml:space="preserve"> </w:t>
      </w:r>
      <w:r>
        <w:rPr>
          <w:color w:val="231F20"/>
          <w:w w:val="105"/>
        </w:rPr>
        <w:t>to</w:t>
      </w:r>
      <w:r>
        <w:rPr>
          <w:color w:val="231F20"/>
          <w:spacing w:val="-16"/>
          <w:w w:val="105"/>
        </w:rPr>
        <w:t xml:space="preserve"> </w:t>
      </w:r>
      <w:r>
        <w:rPr>
          <w:color w:val="231F20"/>
          <w:w w:val="105"/>
        </w:rPr>
        <w:t>their</w:t>
      </w:r>
      <w:r>
        <w:rPr>
          <w:color w:val="231F20"/>
          <w:spacing w:val="-16"/>
          <w:w w:val="105"/>
        </w:rPr>
        <w:t xml:space="preserve"> </w:t>
      </w:r>
      <w:r>
        <w:rPr>
          <w:color w:val="231F20"/>
          <w:w w:val="105"/>
        </w:rPr>
        <w:t>own</w:t>
      </w:r>
      <w:r>
        <w:rPr>
          <w:color w:val="231F20"/>
          <w:spacing w:val="-16"/>
          <w:w w:val="105"/>
        </w:rPr>
        <w:t xml:space="preserve"> </w:t>
      </w:r>
      <w:r>
        <w:rPr>
          <w:color w:val="231F20"/>
          <w:w w:val="105"/>
        </w:rPr>
        <w:t>dishonest</w:t>
      </w:r>
      <w:r>
        <w:rPr>
          <w:color w:val="231F20"/>
          <w:spacing w:val="-16"/>
          <w:w w:val="105"/>
        </w:rPr>
        <w:t xml:space="preserve"> </w:t>
      </w:r>
      <w:r>
        <w:rPr>
          <w:color w:val="231F20"/>
          <w:w w:val="105"/>
        </w:rPr>
        <w:t>propaganda</w:t>
      </w:r>
      <w:r>
        <w:rPr>
          <w:color w:val="231F20"/>
          <w:spacing w:val="-16"/>
          <w:w w:val="105"/>
        </w:rPr>
        <w:t xml:space="preserve"> </w:t>
      </w:r>
      <w:r>
        <w:rPr>
          <w:color w:val="231F20"/>
          <w:w w:val="105"/>
        </w:rPr>
        <w:t>they</w:t>
      </w:r>
      <w:r>
        <w:rPr>
          <w:color w:val="231F20"/>
          <w:spacing w:val="-16"/>
          <w:w w:val="105"/>
        </w:rPr>
        <w:t xml:space="preserve"> </w:t>
      </w:r>
      <w:r>
        <w:rPr>
          <w:color w:val="231F20"/>
          <w:w w:val="105"/>
        </w:rPr>
        <w:t>obviously</w:t>
      </w:r>
      <w:r>
        <w:rPr>
          <w:color w:val="231F20"/>
          <w:spacing w:val="-16"/>
          <w:w w:val="105"/>
        </w:rPr>
        <w:t xml:space="preserve"> </w:t>
      </w:r>
      <w:r>
        <w:rPr>
          <w:color w:val="231F20"/>
          <w:w w:val="105"/>
        </w:rPr>
        <w:t>must</w:t>
      </w:r>
      <w:r>
        <w:rPr>
          <w:color w:val="231F20"/>
          <w:spacing w:val="-16"/>
          <w:w w:val="105"/>
        </w:rPr>
        <w:t xml:space="preserve"> </w:t>
      </w:r>
      <w:r>
        <w:rPr>
          <w:color w:val="231F20"/>
          <w:spacing w:val="1"/>
          <w:w w:val="105"/>
        </w:rPr>
        <w:t>ful</w:t>
      </w:r>
      <w:r>
        <w:rPr>
          <w:color w:val="231F20"/>
          <w:w w:val="105"/>
        </w:rPr>
        <w:t>fill.</w:t>
      </w:r>
      <w:r>
        <w:rPr>
          <w:color w:val="231F20"/>
          <w:spacing w:val="-16"/>
          <w:w w:val="105"/>
        </w:rPr>
        <w:t xml:space="preserve"> </w:t>
      </w:r>
      <w:r>
        <w:rPr>
          <w:color w:val="231F20"/>
          <w:spacing w:val="1"/>
          <w:w w:val="105"/>
        </w:rPr>
        <w:t>In</w:t>
      </w:r>
      <w:r>
        <w:rPr>
          <w:color w:val="231F20"/>
          <w:spacing w:val="-16"/>
          <w:w w:val="105"/>
        </w:rPr>
        <w:t xml:space="preserve"> </w:t>
      </w:r>
      <w:r>
        <w:rPr>
          <w:color w:val="231F20"/>
          <w:w w:val="105"/>
        </w:rPr>
        <w:t>spite</w:t>
      </w:r>
      <w:r>
        <w:rPr>
          <w:color w:val="231F20"/>
          <w:spacing w:val="-16"/>
          <w:w w:val="105"/>
        </w:rPr>
        <w:t xml:space="preserve"> </w:t>
      </w:r>
      <w:r>
        <w:rPr>
          <w:color w:val="231F20"/>
          <w:w w:val="105"/>
        </w:rPr>
        <w:t>of</w:t>
      </w:r>
      <w:r>
        <w:rPr>
          <w:color w:val="231F20"/>
          <w:spacing w:val="-16"/>
          <w:w w:val="105"/>
        </w:rPr>
        <w:t xml:space="preserve"> </w:t>
      </w:r>
      <w:r>
        <w:rPr>
          <w:color w:val="231F20"/>
          <w:w w:val="105"/>
        </w:rPr>
        <w:t>the</w:t>
      </w:r>
      <w:r>
        <w:rPr>
          <w:color w:val="231F20"/>
          <w:spacing w:val="-16"/>
          <w:w w:val="105"/>
        </w:rPr>
        <w:t xml:space="preserve"> </w:t>
      </w:r>
      <w:r>
        <w:rPr>
          <w:color w:val="231F20"/>
          <w:w w:val="105"/>
        </w:rPr>
        <w:t>immense</w:t>
      </w:r>
      <w:r>
        <w:rPr>
          <w:color w:val="231F20"/>
          <w:spacing w:val="-16"/>
          <w:w w:val="105"/>
        </w:rPr>
        <w:t xml:space="preserve"> </w:t>
      </w:r>
      <w:r>
        <w:rPr>
          <w:color w:val="231F20"/>
          <w:w w:val="105"/>
        </w:rPr>
        <w:t>sums</w:t>
      </w:r>
      <w:r>
        <w:rPr>
          <w:color w:val="231F20"/>
          <w:spacing w:val="-16"/>
          <w:w w:val="105"/>
        </w:rPr>
        <w:t xml:space="preserve"> </w:t>
      </w:r>
      <w:r>
        <w:rPr>
          <w:color w:val="231F20"/>
          <w:w w:val="105"/>
        </w:rPr>
        <w:t>of</w:t>
      </w:r>
      <w:r>
        <w:rPr>
          <w:color w:val="231F20"/>
          <w:spacing w:val="-16"/>
          <w:w w:val="105"/>
        </w:rPr>
        <w:t xml:space="preserve"> </w:t>
      </w:r>
      <w:r>
        <w:rPr>
          <w:color w:val="231F20"/>
          <w:w w:val="105"/>
        </w:rPr>
        <w:t>tax</w:t>
      </w:r>
      <w:r>
        <w:rPr>
          <w:color w:val="231F20"/>
          <w:spacing w:val="-16"/>
          <w:w w:val="105"/>
        </w:rPr>
        <w:t xml:space="preserve"> </w:t>
      </w:r>
      <w:r>
        <w:rPr>
          <w:color w:val="231F20"/>
          <w:spacing w:val="-3"/>
          <w:w w:val="105"/>
        </w:rPr>
        <w:t>money,</w:t>
      </w:r>
      <w:r>
        <w:rPr>
          <w:color w:val="231F20"/>
          <w:spacing w:val="-16"/>
          <w:w w:val="105"/>
        </w:rPr>
        <w:t xml:space="preserve"> </w:t>
      </w:r>
      <w:r>
        <w:rPr>
          <w:color w:val="231F20"/>
          <w:w w:val="105"/>
        </w:rPr>
        <w:t>which</w:t>
      </w:r>
      <w:r>
        <w:rPr>
          <w:color w:val="231F20"/>
          <w:spacing w:val="-16"/>
          <w:w w:val="105"/>
        </w:rPr>
        <w:t xml:space="preserve"> </w:t>
      </w:r>
      <w:r>
        <w:rPr>
          <w:color w:val="231F20"/>
          <w:w w:val="105"/>
        </w:rPr>
        <w:t>they</w:t>
      </w:r>
      <w:r>
        <w:rPr>
          <w:color w:val="231F20"/>
          <w:spacing w:val="-16"/>
          <w:w w:val="105"/>
        </w:rPr>
        <w:t xml:space="preserve"> </w:t>
      </w:r>
      <w:r>
        <w:rPr>
          <w:color w:val="231F20"/>
          <w:w w:val="105"/>
        </w:rPr>
        <w:t>extract</w:t>
      </w:r>
      <w:r>
        <w:rPr>
          <w:color w:val="231F20"/>
          <w:spacing w:val="-16"/>
          <w:w w:val="105"/>
        </w:rPr>
        <w:t xml:space="preserve"> </w:t>
      </w:r>
      <w:r>
        <w:rPr>
          <w:color w:val="231F20"/>
          <w:w w:val="105"/>
        </w:rPr>
        <w:t>from the</w:t>
      </w:r>
      <w:r>
        <w:rPr>
          <w:color w:val="231F20"/>
          <w:spacing w:val="-6"/>
          <w:w w:val="105"/>
        </w:rPr>
        <w:t xml:space="preserve"> </w:t>
      </w:r>
      <w:r>
        <w:rPr>
          <w:color w:val="231F20"/>
          <w:w w:val="105"/>
        </w:rPr>
        <w:t>people</w:t>
      </w:r>
      <w:r>
        <w:rPr>
          <w:color w:val="231F20"/>
          <w:spacing w:val="-6"/>
          <w:w w:val="105"/>
        </w:rPr>
        <w:t xml:space="preserve"> </w:t>
      </w:r>
      <w:r>
        <w:rPr>
          <w:color w:val="231F20"/>
          <w:w w:val="105"/>
        </w:rPr>
        <w:t>to</w:t>
      </w:r>
      <w:r>
        <w:rPr>
          <w:color w:val="231F20"/>
          <w:spacing w:val="-6"/>
          <w:w w:val="105"/>
        </w:rPr>
        <w:t xml:space="preserve"> </w:t>
      </w:r>
      <w:r>
        <w:rPr>
          <w:color w:val="231F20"/>
          <w:w w:val="105"/>
        </w:rPr>
        <w:t>funnel</w:t>
      </w:r>
      <w:r>
        <w:rPr>
          <w:color w:val="231F20"/>
          <w:spacing w:val="-6"/>
          <w:w w:val="105"/>
        </w:rPr>
        <w:t xml:space="preserve"> </w:t>
      </w:r>
      <w:r>
        <w:rPr>
          <w:color w:val="231F20"/>
          <w:w w:val="105"/>
        </w:rPr>
        <w:t>into</w:t>
      </w:r>
      <w:r>
        <w:rPr>
          <w:color w:val="231F20"/>
          <w:spacing w:val="-6"/>
          <w:w w:val="105"/>
        </w:rPr>
        <w:t xml:space="preserve"> </w:t>
      </w:r>
      <w:r>
        <w:rPr>
          <w:color w:val="231F20"/>
          <w:w w:val="105"/>
        </w:rPr>
        <w:t>their</w:t>
      </w:r>
      <w:r>
        <w:rPr>
          <w:color w:val="231F20"/>
          <w:spacing w:val="-6"/>
          <w:w w:val="105"/>
        </w:rPr>
        <w:t xml:space="preserve"> </w:t>
      </w:r>
      <w:r>
        <w:rPr>
          <w:color w:val="231F20"/>
          <w:w w:val="105"/>
        </w:rPr>
        <w:t>oppressive</w:t>
      </w:r>
      <w:r>
        <w:rPr>
          <w:color w:val="231F20"/>
          <w:spacing w:val="-6"/>
          <w:w w:val="105"/>
        </w:rPr>
        <w:t xml:space="preserve"> </w:t>
      </w:r>
      <w:r>
        <w:rPr>
          <w:color w:val="231F20"/>
          <w:w w:val="105"/>
        </w:rPr>
        <w:t>apparatus,</w:t>
      </w:r>
      <w:r>
        <w:rPr>
          <w:color w:val="231F20"/>
          <w:spacing w:val="-6"/>
          <w:w w:val="105"/>
        </w:rPr>
        <w:t xml:space="preserve"> </w:t>
      </w:r>
      <w:r>
        <w:rPr>
          <w:color w:val="231F20"/>
          <w:w w:val="105"/>
        </w:rPr>
        <w:t>our</w:t>
      </w:r>
      <w:r>
        <w:rPr>
          <w:color w:val="231F20"/>
          <w:spacing w:val="-6"/>
          <w:w w:val="105"/>
        </w:rPr>
        <w:t xml:space="preserve"> </w:t>
      </w:r>
      <w:r>
        <w:rPr>
          <w:color w:val="231F20"/>
          <w:w w:val="105"/>
        </w:rPr>
        <w:t>own</w:t>
      </w:r>
      <w:r>
        <w:rPr>
          <w:color w:val="231F20"/>
          <w:spacing w:val="-6"/>
          <w:w w:val="105"/>
        </w:rPr>
        <w:t xml:space="preserve"> </w:t>
      </w:r>
      <w:r>
        <w:rPr>
          <w:color w:val="231F20"/>
          <w:w w:val="105"/>
        </w:rPr>
        <w:t>need</w:t>
      </w:r>
      <w:r>
        <w:rPr>
          <w:color w:val="231F20"/>
          <w:spacing w:val="-6"/>
          <w:w w:val="105"/>
        </w:rPr>
        <w:t xml:space="preserve"> </w:t>
      </w:r>
      <w:r>
        <w:rPr>
          <w:color w:val="231F20"/>
          <w:w w:val="105"/>
        </w:rPr>
        <w:t xml:space="preserve">to struggle to get these points put on the agenda means nothing other than the struggle for social revolution, through which our needs will be placed on the agenda. And if the pigs give in on one or another point—all the better. Our hunger for freedom will only grow as a result. What </w:t>
      </w:r>
      <w:r>
        <w:rPr>
          <w:color w:val="231F20"/>
          <w:spacing w:val="-3"/>
          <w:w w:val="105"/>
        </w:rPr>
        <w:t xml:space="preserve">we’re </w:t>
      </w:r>
      <w:r>
        <w:rPr>
          <w:color w:val="231F20"/>
          <w:w w:val="105"/>
        </w:rPr>
        <w:t>struggling against is the imperialist system’s prison system, against the psychiatric and psychological programs, against the</w:t>
      </w:r>
      <w:r>
        <w:rPr>
          <w:color w:val="231F20"/>
          <w:spacing w:val="-21"/>
          <w:w w:val="105"/>
        </w:rPr>
        <w:t xml:space="preserve"> </w:t>
      </w:r>
      <w:r>
        <w:rPr>
          <w:color w:val="231F20"/>
          <w:spacing w:val="-2"/>
          <w:w w:val="105"/>
        </w:rPr>
        <w:t>way</w:t>
      </w:r>
      <w:r>
        <w:rPr>
          <w:color w:val="231F20"/>
          <w:spacing w:val="-21"/>
          <w:w w:val="105"/>
        </w:rPr>
        <w:t xml:space="preserve"> </w:t>
      </w:r>
      <w:r>
        <w:rPr>
          <w:color w:val="231F20"/>
          <w:w w:val="105"/>
        </w:rPr>
        <w:t>we</w:t>
      </w:r>
      <w:r>
        <w:rPr>
          <w:color w:val="231F20"/>
          <w:spacing w:val="-21"/>
          <w:w w:val="105"/>
        </w:rPr>
        <w:t xml:space="preserve"> </w:t>
      </w:r>
      <w:r>
        <w:rPr>
          <w:color w:val="231F20"/>
          <w:w w:val="105"/>
        </w:rPr>
        <w:t>are</w:t>
      </w:r>
      <w:r>
        <w:rPr>
          <w:color w:val="231F20"/>
          <w:spacing w:val="-21"/>
          <w:w w:val="105"/>
        </w:rPr>
        <w:t xml:space="preserve"> </w:t>
      </w:r>
      <w:r>
        <w:rPr>
          <w:color w:val="231F20"/>
          <w:w w:val="105"/>
        </w:rPr>
        <w:t>treated,</w:t>
      </w:r>
      <w:r>
        <w:rPr>
          <w:color w:val="231F20"/>
          <w:spacing w:val="-21"/>
          <w:w w:val="105"/>
        </w:rPr>
        <w:t xml:space="preserve"> </w:t>
      </w:r>
      <w:r>
        <w:rPr>
          <w:color w:val="231F20"/>
          <w:w w:val="105"/>
        </w:rPr>
        <w:t>against</w:t>
      </w:r>
      <w:r>
        <w:rPr>
          <w:color w:val="231F20"/>
          <w:spacing w:val="-21"/>
          <w:w w:val="105"/>
        </w:rPr>
        <w:t xml:space="preserve"> </w:t>
      </w:r>
      <w:r>
        <w:rPr>
          <w:color w:val="231F20"/>
          <w:w w:val="105"/>
        </w:rPr>
        <w:t>the</w:t>
      </w:r>
      <w:r>
        <w:rPr>
          <w:color w:val="231F20"/>
          <w:spacing w:val="-21"/>
          <w:w w:val="105"/>
        </w:rPr>
        <w:t xml:space="preserve"> </w:t>
      </w:r>
      <w:r>
        <w:rPr>
          <w:color w:val="231F20"/>
          <w:w w:val="105"/>
        </w:rPr>
        <w:t>brainwashing</w:t>
      </w:r>
      <w:r>
        <w:rPr>
          <w:color w:val="231F20"/>
          <w:spacing w:val="-21"/>
          <w:w w:val="105"/>
        </w:rPr>
        <w:t xml:space="preserve"> </w:t>
      </w:r>
      <w:r>
        <w:rPr>
          <w:color w:val="231F20"/>
          <w:w w:val="105"/>
        </w:rPr>
        <w:t>techniques</w:t>
      </w:r>
      <w:r>
        <w:rPr>
          <w:color w:val="231F20"/>
          <w:spacing w:val="-21"/>
          <w:w w:val="105"/>
        </w:rPr>
        <w:t xml:space="preserve"> </w:t>
      </w:r>
      <w:r>
        <w:rPr>
          <w:color w:val="231F20"/>
          <w:w w:val="105"/>
        </w:rPr>
        <w:t>which</w:t>
      </w:r>
      <w:r>
        <w:rPr>
          <w:color w:val="231F20"/>
          <w:spacing w:val="-21"/>
          <w:w w:val="105"/>
        </w:rPr>
        <w:t xml:space="preserve"> </w:t>
      </w:r>
      <w:r>
        <w:rPr>
          <w:color w:val="231F20"/>
          <w:w w:val="105"/>
        </w:rPr>
        <w:t>are sold</w:t>
      </w:r>
      <w:r>
        <w:rPr>
          <w:color w:val="231F20"/>
          <w:spacing w:val="-28"/>
          <w:w w:val="105"/>
        </w:rPr>
        <w:t xml:space="preserve"> </w:t>
      </w:r>
      <w:r>
        <w:rPr>
          <w:color w:val="231F20"/>
          <w:w w:val="105"/>
        </w:rPr>
        <w:t>as</w:t>
      </w:r>
      <w:r>
        <w:rPr>
          <w:color w:val="231F20"/>
          <w:spacing w:val="-28"/>
          <w:w w:val="105"/>
        </w:rPr>
        <w:t xml:space="preserve"> </w:t>
      </w:r>
      <w:r>
        <w:rPr>
          <w:color w:val="231F20"/>
          <w:w w:val="105"/>
        </w:rPr>
        <w:t>reform,</w:t>
      </w:r>
      <w:r>
        <w:rPr>
          <w:color w:val="231F20"/>
          <w:spacing w:val="-28"/>
          <w:w w:val="105"/>
        </w:rPr>
        <w:t xml:space="preserve"> </w:t>
      </w:r>
      <w:r>
        <w:rPr>
          <w:color w:val="231F20"/>
          <w:w w:val="105"/>
        </w:rPr>
        <w:t>against</w:t>
      </w:r>
      <w:r>
        <w:rPr>
          <w:color w:val="231F20"/>
          <w:spacing w:val="-28"/>
          <w:w w:val="105"/>
        </w:rPr>
        <w:t xml:space="preserve"> </w:t>
      </w:r>
      <w:r>
        <w:rPr>
          <w:color w:val="231F20"/>
          <w:w w:val="105"/>
        </w:rPr>
        <w:t>the</w:t>
      </w:r>
      <w:r>
        <w:rPr>
          <w:color w:val="231F20"/>
          <w:spacing w:val="-28"/>
          <w:w w:val="105"/>
        </w:rPr>
        <w:t xml:space="preserve"> </w:t>
      </w:r>
      <w:r>
        <w:rPr>
          <w:color w:val="231F20"/>
          <w:w w:val="105"/>
        </w:rPr>
        <w:t>complete</w:t>
      </w:r>
      <w:r>
        <w:rPr>
          <w:color w:val="231F20"/>
          <w:spacing w:val="-28"/>
          <w:w w:val="105"/>
        </w:rPr>
        <w:t xml:space="preserve"> </w:t>
      </w:r>
      <w:r>
        <w:rPr>
          <w:color w:val="231F20"/>
          <w:w w:val="105"/>
        </w:rPr>
        <w:t>disenfranchisement</w:t>
      </w:r>
      <w:r>
        <w:rPr>
          <w:color w:val="231F20"/>
          <w:spacing w:val="-28"/>
          <w:w w:val="105"/>
        </w:rPr>
        <w:t xml:space="preserve"> </w:t>
      </w:r>
      <w:r>
        <w:rPr>
          <w:color w:val="231F20"/>
          <w:w w:val="105"/>
        </w:rPr>
        <w:t>of</w:t>
      </w:r>
      <w:r>
        <w:rPr>
          <w:color w:val="231F20"/>
          <w:spacing w:val="-28"/>
          <w:w w:val="105"/>
        </w:rPr>
        <w:t xml:space="preserve"> </w:t>
      </w:r>
      <w:r>
        <w:rPr>
          <w:color w:val="231F20"/>
          <w:w w:val="105"/>
        </w:rPr>
        <w:t>prisoners</w:t>
      </w:r>
      <w:r>
        <w:rPr>
          <w:color w:val="231F20"/>
          <w:spacing w:val="-28"/>
          <w:w w:val="105"/>
        </w:rPr>
        <w:t xml:space="preserve"> </w:t>
      </w:r>
      <w:r>
        <w:rPr>
          <w:color w:val="231F20"/>
          <w:w w:val="105"/>
        </w:rPr>
        <w:t>in the</w:t>
      </w:r>
      <w:r>
        <w:rPr>
          <w:color w:val="231F20"/>
          <w:spacing w:val="-16"/>
          <w:w w:val="105"/>
        </w:rPr>
        <w:t xml:space="preserve"> </w:t>
      </w:r>
      <w:r>
        <w:rPr>
          <w:color w:val="231F20"/>
          <w:w w:val="105"/>
        </w:rPr>
        <w:t>metropole’s</w:t>
      </w:r>
      <w:r>
        <w:rPr>
          <w:color w:val="231F20"/>
          <w:spacing w:val="-16"/>
          <w:w w:val="105"/>
        </w:rPr>
        <w:t xml:space="preserve"> </w:t>
      </w:r>
      <w:r>
        <w:rPr>
          <w:color w:val="231F20"/>
          <w:w w:val="105"/>
        </w:rPr>
        <w:t>prison</w:t>
      </w:r>
      <w:r>
        <w:rPr>
          <w:color w:val="231F20"/>
          <w:spacing w:val="-16"/>
          <w:w w:val="105"/>
        </w:rPr>
        <w:t xml:space="preserve"> </w:t>
      </w:r>
      <w:r>
        <w:rPr>
          <w:color w:val="231F20"/>
          <w:w w:val="105"/>
        </w:rPr>
        <w:t>camps,</w:t>
      </w:r>
      <w:r>
        <w:rPr>
          <w:color w:val="231F20"/>
          <w:spacing w:val="-16"/>
          <w:w w:val="105"/>
        </w:rPr>
        <w:t xml:space="preserve"> </w:t>
      </w:r>
      <w:r>
        <w:rPr>
          <w:color w:val="231F20"/>
          <w:w w:val="105"/>
        </w:rPr>
        <w:t>against</w:t>
      </w:r>
      <w:r>
        <w:rPr>
          <w:color w:val="231F20"/>
          <w:spacing w:val="-16"/>
          <w:w w:val="105"/>
        </w:rPr>
        <w:t xml:space="preserve"> </w:t>
      </w:r>
      <w:r>
        <w:rPr>
          <w:color w:val="231F20"/>
          <w:w w:val="105"/>
        </w:rPr>
        <w:t>all</w:t>
      </w:r>
      <w:r>
        <w:rPr>
          <w:color w:val="231F20"/>
          <w:spacing w:val="-16"/>
          <w:w w:val="105"/>
        </w:rPr>
        <w:t xml:space="preserve"> </w:t>
      </w:r>
      <w:r>
        <w:rPr>
          <w:color w:val="231F20"/>
          <w:w w:val="105"/>
        </w:rPr>
        <w:t>of</w:t>
      </w:r>
      <w:r>
        <w:rPr>
          <w:color w:val="231F20"/>
          <w:spacing w:val="-16"/>
          <w:w w:val="105"/>
        </w:rPr>
        <w:t xml:space="preserve"> </w:t>
      </w:r>
      <w:r>
        <w:rPr>
          <w:color w:val="231F20"/>
          <w:w w:val="105"/>
        </w:rPr>
        <w:t>the</w:t>
      </w:r>
      <w:r>
        <w:rPr>
          <w:color w:val="231F20"/>
          <w:spacing w:val="-16"/>
          <w:w w:val="105"/>
        </w:rPr>
        <w:t xml:space="preserve"> </w:t>
      </w:r>
      <w:r>
        <w:rPr>
          <w:color w:val="231F20"/>
          <w:w w:val="105"/>
        </w:rPr>
        <w:t>system’s</w:t>
      </w:r>
      <w:r>
        <w:rPr>
          <w:color w:val="231F20"/>
          <w:spacing w:val="-16"/>
          <w:w w:val="105"/>
        </w:rPr>
        <w:t xml:space="preserve"> </w:t>
      </w:r>
      <w:r>
        <w:rPr>
          <w:color w:val="231F20"/>
          <w:w w:val="105"/>
        </w:rPr>
        <w:t>efforts</w:t>
      </w:r>
      <w:r>
        <w:rPr>
          <w:color w:val="231F20"/>
          <w:spacing w:val="-16"/>
          <w:w w:val="105"/>
        </w:rPr>
        <w:t xml:space="preserve"> </w:t>
      </w:r>
      <w:r>
        <w:rPr>
          <w:color w:val="231F20"/>
          <w:w w:val="105"/>
        </w:rPr>
        <w:t>to</w:t>
      </w:r>
      <w:r>
        <w:rPr>
          <w:color w:val="231F20"/>
          <w:spacing w:val="-16"/>
          <w:w w:val="105"/>
        </w:rPr>
        <w:t xml:space="preserve"> </w:t>
      </w:r>
      <w:r>
        <w:rPr>
          <w:color w:val="231F20"/>
          <w:w w:val="105"/>
        </w:rPr>
        <w:t>play prisoners</w:t>
      </w:r>
      <w:r>
        <w:rPr>
          <w:color w:val="231F20"/>
          <w:spacing w:val="-21"/>
          <w:w w:val="105"/>
        </w:rPr>
        <w:t xml:space="preserve"> </w:t>
      </w:r>
      <w:r>
        <w:rPr>
          <w:color w:val="231F20"/>
          <w:w w:val="105"/>
        </w:rPr>
        <w:t>off</w:t>
      </w:r>
      <w:r>
        <w:rPr>
          <w:color w:val="231F20"/>
          <w:spacing w:val="-21"/>
          <w:w w:val="105"/>
        </w:rPr>
        <w:t xml:space="preserve"> </w:t>
      </w:r>
      <w:r>
        <w:rPr>
          <w:color w:val="231F20"/>
          <w:w w:val="105"/>
        </w:rPr>
        <w:t>against</w:t>
      </w:r>
      <w:r>
        <w:rPr>
          <w:color w:val="231F20"/>
          <w:spacing w:val="-21"/>
          <w:w w:val="105"/>
        </w:rPr>
        <w:t xml:space="preserve"> </w:t>
      </w:r>
      <w:r>
        <w:rPr>
          <w:color w:val="231F20"/>
          <w:w w:val="105"/>
        </w:rPr>
        <w:t>each</w:t>
      </w:r>
      <w:r>
        <w:rPr>
          <w:color w:val="231F20"/>
          <w:spacing w:val="-21"/>
          <w:w w:val="105"/>
        </w:rPr>
        <w:t xml:space="preserve"> </w:t>
      </w:r>
      <w:r>
        <w:rPr>
          <w:color w:val="231F20"/>
          <w:w w:val="105"/>
        </w:rPr>
        <w:t>other,</w:t>
      </w:r>
      <w:r>
        <w:rPr>
          <w:color w:val="231F20"/>
          <w:spacing w:val="-21"/>
          <w:w w:val="105"/>
        </w:rPr>
        <w:t xml:space="preserve"> </w:t>
      </w:r>
      <w:r>
        <w:rPr>
          <w:color w:val="231F20"/>
          <w:w w:val="105"/>
        </w:rPr>
        <w:t>using</w:t>
      </w:r>
      <w:r>
        <w:rPr>
          <w:color w:val="231F20"/>
          <w:spacing w:val="-21"/>
          <w:w w:val="105"/>
        </w:rPr>
        <w:t xml:space="preserve"> </w:t>
      </w:r>
      <w:r>
        <w:rPr>
          <w:color w:val="231F20"/>
          <w:w w:val="105"/>
        </w:rPr>
        <w:t>increased</w:t>
      </w:r>
      <w:r>
        <w:rPr>
          <w:color w:val="231F20"/>
          <w:spacing w:val="-21"/>
          <w:w w:val="105"/>
        </w:rPr>
        <w:t xml:space="preserve"> </w:t>
      </w:r>
      <w:r>
        <w:rPr>
          <w:color w:val="231F20"/>
          <w:w w:val="105"/>
        </w:rPr>
        <w:t>repression</w:t>
      </w:r>
      <w:r>
        <w:rPr>
          <w:color w:val="231F20"/>
          <w:spacing w:val="-21"/>
          <w:w w:val="105"/>
        </w:rPr>
        <w:t xml:space="preserve"> </w:t>
      </w:r>
      <w:r>
        <w:rPr>
          <w:color w:val="231F20"/>
          <w:w w:val="105"/>
        </w:rPr>
        <w:t>or</w:t>
      </w:r>
      <w:r>
        <w:rPr>
          <w:color w:val="231F20"/>
          <w:spacing w:val="-21"/>
          <w:w w:val="105"/>
        </w:rPr>
        <w:t xml:space="preserve"> </w:t>
      </w:r>
      <w:r>
        <w:rPr>
          <w:color w:val="231F20"/>
          <w:w w:val="105"/>
        </w:rPr>
        <w:t>perks</w:t>
      </w:r>
      <w:r>
        <w:rPr>
          <w:color w:val="231F20"/>
          <w:spacing w:val="-21"/>
          <w:w w:val="105"/>
        </w:rPr>
        <w:t xml:space="preserve"> </w:t>
      </w:r>
      <w:r>
        <w:rPr>
          <w:color w:val="231F20"/>
          <w:w w:val="105"/>
        </w:rPr>
        <w:t>to drive</w:t>
      </w:r>
      <w:r>
        <w:rPr>
          <w:color w:val="231F20"/>
          <w:spacing w:val="-9"/>
          <w:w w:val="105"/>
        </w:rPr>
        <w:t xml:space="preserve"> </w:t>
      </w:r>
      <w:r>
        <w:rPr>
          <w:color w:val="231F20"/>
          <w:w w:val="105"/>
        </w:rPr>
        <w:t>a</w:t>
      </w:r>
      <w:r>
        <w:rPr>
          <w:color w:val="231F20"/>
          <w:spacing w:val="-9"/>
          <w:w w:val="105"/>
        </w:rPr>
        <w:t xml:space="preserve"> </w:t>
      </w:r>
      <w:r>
        <w:rPr>
          <w:color w:val="231F20"/>
          <w:w w:val="105"/>
        </w:rPr>
        <w:t>wedge</w:t>
      </w:r>
      <w:r>
        <w:rPr>
          <w:color w:val="231F20"/>
          <w:spacing w:val="-9"/>
          <w:w w:val="105"/>
        </w:rPr>
        <w:t xml:space="preserve"> </w:t>
      </w:r>
      <w:r>
        <w:rPr>
          <w:color w:val="231F20"/>
          <w:w w:val="105"/>
        </w:rPr>
        <w:t>between</w:t>
      </w:r>
      <w:r>
        <w:rPr>
          <w:color w:val="231F20"/>
          <w:spacing w:val="-9"/>
          <w:w w:val="105"/>
        </w:rPr>
        <w:t xml:space="preserve"> </w:t>
      </w:r>
      <w:r>
        <w:rPr>
          <w:color w:val="231F20"/>
          <w:w w:val="105"/>
        </w:rPr>
        <w:t>the</w:t>
      </w:r>
      <w:r>
        <w:rPr>
          <w:color w:val="231F20"/>
          <w:spacing w:val="-9"/>
          <w:w w:val="105"/>
        </w:rPr>
        <w:t xml:space="preserve"> </w:t>
      </w:r>
      <w:r>
        <w:rPr>
          <w:color w:val="231F20"/>
          <w:w w:val="105"/>
        </w:rPr>
        <w:t>different</w:t>
      </w:r>
      <w:r>
        <w:rPr>
          <w:color w:val="231F20"/>
          <w:spacing w:val="-9"/>
          <w:w w:val="105"/>
        </w:rPr>
        <w:t xml:space="preserve"> </w:t>
      </w:r>
      <w:r>
        <w:rPr>
          <w:color w:val="231F20"/>
          <w:w w:val="105"/>
        </w:rPr>
        <w:t>initiatives</w:t>
      </w:r>
      <w:r>
        <w:rPr>
          <w:color w:val="231F20"/>
          <w:spacing w:val="-9"/>
          <w:w w:val="105"/>
        </w:rPr>
        <w:t xml:space="preserve"> </w:t>
      </w:r>
      <w:r>
        <w:rPr>
          <w:color w:val="231F20"/>
          <w:w w:val="105"/>
        </w:rPr>
        <w:t>undertaken</w:t>
      </w:r>
      <w:r>
        <w:rPr>
          <w:color w:val="231F20"/>
          <w:spacing w:val="-9"/>
          <w:w w:val="105"/>
        </w:rPr>
        <w:t xml:space="preserve"> </w:t>
      </w:r>
      <w:r>
        <w:rPr>
          <w:color w:val="231F20"/>
          <w:w w:val="105"/>
        </w:rPr>
        <w:t>by</w:t>
      </w:r>
      <w:r>
        <w:rPr>
          <w:color w:val="231F20"/>
          <w:spacing w:val="-9"/>
          <w:w w:val="105"/>
        </w:rPr>
        <w:t xml:space="preserve"> </w:t>
      </w:r>
      <w:r>
        <w:rPr>
          <w:color w:val="231F20"/>
          <w:w w:val="105"/>
        </w:rPr>
        <w:t>imprisoned</w:t>
      </w:r>
      <w:r>
        <w:rPr>
          <w:color w:val="231F20"/>
          <w:spacing w:val="7"/>
          <w:w w:val="105"/>
        </w:rPr>
        <w:t xml:space="preserve"> </w:t>
      </w:r>
      <w:r>
        <w:rPr>
          <w:color w:val="231F20"/>
          <w:w w:val="105"/>
        </w:rPr>
        <w:t>workers.</w:t>
      </w:r>
    </w:p>
    <w:p w14:paraId="5EDA0987" w14:textId="77777777" w:rsidR="002653E8" w:rsidRDefault="003115E3">
      <w:pPr>
        <w:pStyle w:val="a3"/>
        <w:spacing w:line="211" w:lineRule="exact"/>
        <w:ind w:left="1357"/>
      </w:pPr>
      <w:r>
        <w:rPr>
          <w:color w:val="231F20"/>
        </w:rPr>
        <w:t>We  are  also  struggling  against  the  reformist  organizations  that at-</w:t>
      </w:r>
    </w:p>
    <w:p w14:paraId="6DAC5CCD" w14:textId="77777777" w:rsidR="002653E8" w:rsidRDefault="003115E3">
      <w:pPr>
        <w:pStyle w:val="a3"/>
        <w:spacing w:before="15" w:line="264" w:lineRule="auto"/>
        <w:ind w:left="1147" w:right="1326"/>
        <w:jc w:val="both"/>
      </w:pPr>
      <w:r>
        <w:rPr>
          <w:color w:val="231F20"/>
        </w:rPr>
        <w:t xml:space="preserve">tempt to skim the cream on the outside, while they </w:t>
      </w:r>
      <w:r>
        <w:rPr>
          <w:color w:val="231F20"/>
          <w:spacing w:val="1"/>
        </w:rPr>
        <w:t xml:space="preserve">try </w:t>
      </w:r>
      <w:r>
        <w:rPr>
          <w:color w:val="231F20"/>
        </w:rPr>
        <w:t>to establish themselves on the inside by hindering our capacity to struggle. They    do this through paternalism, tactical maneuvers, splits, factional bickering, dogmatism, and pacifism—taking control of everyone who is struggling in the prisons, because they are colonialist pigs who hope to colonize every step towards a revolutionary prisoners’ movement—for their own goals that have nothing to do with us. Through their appeals to the imperialist media and through their demands that one character mask replace another as Minster of Justice, these reformists make the class state socially acceptable, trustworthy, and once again credible in the</w:t>
      </w:r>
      <w:r>
        <w:rPr>
          <w:color w:val="231F20"/>
          <w:spacing w:val="12"/>
        </w:rPr>
        <w:t xml:space="preserve"> </w:t>
      </w:r>
      <w:r>
        <w:rPr>
          <w:color w:val="231F20"/>
        </w:rPr>
        <w:t>eyes</w:t>
      </w:r>
      <w:r>
        <w:rPr>
          <w:color w:val="231F20"/>
          <w:spacing w:val="12"/>
        </w:rPr>
        <w:t xml:space="preserve"> </w:t>
      </w:r>
      <w:r>
        <w:rPr>
          <w:color w:val="231F20"/>
        </w:rPr>
        <w:t>of</w:t>
      </w:r>
      <w:r>
        <w:rPr>
          <w:color w:val="231F20"/>
          <w:spacing w:val="12"/>
        </w:rPr>
        <w:t xml:space="preserve"> </w:t>
      </w:r>
      <w:r>
        <w:rPr>
          <w:color w:val="231F20"/>
        </w:rPr>
        <w:t>the</w:t>
      </w:r>
      <w:r>
        <w:rPr>
          <w:color w:val="231F20"/>
          <w:spacing w:val="12"/>
        </w:rPr>
        <w:t xml:space="preserve"> </w:t>
      </w:r>
      <w:r>
        <w:rPr>
          <w:color w:val="231F20"/>
        </w:rPr>
        <w:t>people—and</w:t>
      </w:r>
      <w:r>
        <w:rPr>
          <w:color w:val="231F20"/>
          <w:spacing w:val="12"/>
        </w:rPr>
        <w:t xml:space="preserve"> </w:t>
      </w:r>
      <w:r>
        <w:rPr>
          <w:color w:val="231F20"/>
        </w:rPr>
        <w:t>they</w:t>
      </w:r>
      <w:r>
        <w:rPr>
          <w:color w:val="231F20"/>
          <w:spacing w:val="12"/>
        </w:rPr>
        <w:t xml:space="preserve"> </w:t>
      </w:r>
      <w:r>
        <w:rPr>
          <w:color w:val="231F20"/>
        </w:rPr>
        <w:t>do</w:t>
      </w:r>
      <w:r>
        <w:rPr>
          <w:color w:val="231F20"/>
          <w:spacing w:val="12"/>
        </w:rPr>
        <w:t xml:space="preserve"> </w:t>
      </w:r>
      <w:r>
        <w:rPr>
          <w:color w:val="231F20"/>
        </w:rPr>
        <w:t>this</w:t>
      </w:r>
      <w:r>
        <w:rPr>
          <w:color w:val="231F20"/>
          <w:spacing w:val="12"/>
        </w:rPr>
        <w:t xml:space="preserve"> </w:t>
      </w:r>
      <w:r>
        <w:rPr>
          <w:color w:val="231F20"/>
        </w:rPr>
        <w:t>at</w:t>
      </w:r>
      <w:r>
        <w:rPr>
          <w:color w:val="231F20"/>
          <w:spacing w:val="12"/>
        </w:rPr>
        <w:t xml:space="preserve"> </w:t>
      </w:r>
      <w:r>
        <w:rPr>
          <w:color w:val="231F20"/>
        </w:rPr>
        <w:t>a</w:t>
      </w:r>
      <w:r>
        <w:rPr>
          <w:color w:val="231F20"/>
          <w:spacing w:val="12"/>
        </w:rPr>
        <w:t xml:space="preserve"> </w:t>
      </w:r>
      <w:r>
        <w:rPr>
          <w:color w:val="231F20"/>
        </w:rPr>
        <w:t>point</w:t>
      </w:r>
      <w:r>
        <w:rPr>
          <w:color w:val="231F20"/>
          <w:spacing w:val="12"/>
        </w:rPr>
        <w:t xml:space="preserve"> </w:t>
      </w:r>
      <w:r>
        <w:rPr>
          <w:color w:val="231F20"/>
        </w:rPr>
        <w:t>in</w:t>
      </w:r>
      <w:r>
        <w:rPr>
          <w:color w:val="231F20"/>
          <w:spacing w:val="12"/>
        </w:rPr>
        <w:t xml:space="preserve"> </w:t>
      </w:r>
      <w:r>
        <w:rPr>
          <w:color w:val="231F20"/>
        </w:rPr>
        <w:t>time</w:t>
      </w:r>
      <w:r>
        <w:rPr>
          <w:color w:val="231F20"/>
          <w:spacing w:val="12"/>
        </w:rPr>
        <w:t xml:space="preserve"> </w:t>
      </w:r>
      <w:r>
        <w:rPr>
          <w:color w:val="231F20"/>
        </w:rPr>
        <w:t>when</w:t>
      </w:r>
      <w:r>
        <w:rPr>
          <w:color w:val="231F20"/>
          <w:spacing w:val="12"/>
        </w:rPr>
        <w:t xml:space="preserve"> </w:t>
      </w:r>
      <w:r>
        <w:rPr>
          <w:color w:val="231F20"/>
        </w:rPr>
        <w:t>every</w:t>
      </w:r>
    </w:p>
    <w:p w14:paraId="08711FBC" w14:textId="77777777" w:rsidR="002653E8" w:rsidRDefault="002653E8">
      <w:pPr>
        <w:spacing w:line="264" w:lineRule="auto"/>
        <w:jc w:val="both"/>
        <w:sectPr w:rsidR="002653E8">
          <w:pgSz w:w="8640" w:h="12960"/>
          <w:pgMar w:top="1060" w:right="0" w:bottom="1040" w:left="0" w:header="0" w:footer="850" w:gutter="0"/>
          <w:cols w:space="720"/>
        </w:sectPr>
      </w:pPr>
    </w:p>
    <w:p w14:paraId="76DB1B20" w14:textId="77777777" w:rsidR="002653E8" w:rsidRDefault="003115E3">
      <w:pPr>
        <w:pStyle w:val="a3"/>
        <w:spacing w:before="86" w:line="264" w:lineRule="auto"/>
        <w:ind w:left="1327" w:right="1146"/>
        <w:jc w:val="both"/>
      </w:pPr>
      <w:r>
        <w:rPr>
          <w:color w:val="231F20"/>
        </w:rPr>
        <w:lastRenderedPageBreak/>
        <w:t xml:space="preserve">prisoner can now see that nothing is to be expected from this class, that we can only achieve what we want by our own </w:t>
      </w:r>
      <w:r>
        <w:rPr>
          <w:color w:val="231F20"/>
          <w:spacing w:val="1"/>
        </w:rPr>
        <w:t xml:space="preserve">means—in </w:t>
      </w:r>
      <w:r>
        <w:rPr>
          <w:color w:val="231F20"/>
        </w:rPr>
        <w:t>the struggle against</w:t>
      </w:r>
      <w:r>
        <w:rPr>
          <w:color w:val="231F20"/>
          <w:spacing w:val="-4"/>
        </w:rPr>
        <w:t xml:space="preserve"> </w:t>
      </w:r>
      <w:r>
        <w:rPr>
          <w:color w:val="231F20"/>
        </w:rPr>
        <w:t>the</w:t>
      </w:r>
      <w:r>
        <w:rPr>
          <w:color w:val="231F20"/>
          <w:spacing w:val="-4"/>
        </w:rPr>
        <w:t xml:space="preserve"> </w:t>
      </w:r>
      <w:r>
        <w:rPr>
          <w:color w:val="231F20"/>
        </w:rPr>
        <w:t>ruling</w:t>
      </w:r>
      <w:r>
        <w:rPr>
          <w:color w:val="231F20"/>
          <w:spacing w:val="-4"/>
        </w:rPr>
        <w:t xml:space="preserve"> </w:t>
      </w:r>
      <w:r>
        <w:rPr>
          <w:color w:val="231F20"/>
        </w:rPr>
        <w:t>class</w:t>
      </w:r>
      <w:r>
        <w:rPr>
          <w:color w:val="231F20"/>
          <w:spacing w:val="-4"/>
        </w:rPr>
        <w:t xml:space="preserve"> </w:t>
      </w:r>
      <w:r>
        <w:rPr>
          <w:color w:val="231F20"/>
        </w:rPr>
        <w:t>and</w:t>
      </w:r>
      <w:r>
        <w:rPr>
          <w:color w:val="231F20"/>
          <w:spacing w:val="-4"/>
        </w:rPr>
        <w:t xml:space="preserve"> </w:t>
      </w:r>
      <w:r>
        <w:rPr>
          <w:color w:val="231F20"/>
        </w:rPr>
        <w:t>class</w:t>
      </w:r>
      <w:r>
        <w:rPr>
          <w:color w:val="231F20"/>
          <w:spacing w:val="-4"/>
        </w:rPr>
        <w:t xml:space="preserve"> </w:t>
      </w:r>
      <w:r>
        <w:rPr>
          <w:color w:val="231F20"/>
        </w:rPr>
        <w:t>justice.</w:t>
      </w:r>
      <w:r>
        <w:rPr>
          <w:color w:val="231F20"/>
          <w:spacing w:val="-4"/>
        </w:rPr>
        <w:t xml:space="preserve"> </w:t>
      </w:r>
      <w:r>
        <w:rPr>
          <w:color w:val="231F20"/>
        </w:rPr>
        <w:t>These</w:t>
      </w:r>
      <w:r>
        <w:rPr>
          <w:color w:val="231F20"/>
          <w:spacing w:val="-4"/>
        </w:rPr>
        <w:t xml:space="preserve"> </w:t>
      </w:r>
      <w:r>
        <w:rPr>
          <w:color w:val="231F20"/>
        </w:rPr>
        <w:t>reformists</w:t>
      </w:r>
      <w:r>
        <w:rPr>
          <w:color w:val="231F20"/>
          <w:spacing w:val="-4"/>
        </w:rPr>
        <w:t xml:space="preserve"> </w:t>
      </w:r>
      <w:r>
        <w:rPr>
          <w:color w:val="231F20"/>
        </w:rPr>
        <w:t>propagate</w:t>
      </w:r>
      <w:r>
        <w:rPr>
          <w:color w:val="231F20"/>
          <w:spacing w:val="-4"/>
        </w:rPr>
        <w:t xml:space="preserve"> </w:t>
      </w:r>
      <w:r>
        <w:rPr>
          <w:color w:val="231F20"/>
        </w:rPr>
        <w:t>and practice class conciliation and collaboration with the imperialist state at a time when the imperialist state’s main problem is that its legitimacy is crumbling and its authority—its apparent role as a peacekeeping force between the classes, although it has always been an instrument of the ruling class against the people—is in tatters. It can only be maintained through the massive use of psychological warfare against the people. Instead of escalating the class struggle, instead of supporting the prison struggle against the structural apparatus and the justice system, instead of supporting the collective power of autonomously organized prisoners, they cobble together arguments for a more efficient reorganization of the repressive</w:t>
      </w:r>
      <w:r>
        <w:rPr>
          <w:color w:val="231F20"/>
          <w:spacing w:val="30"/>
        </w:rPr>
        <w:t xml:space="preserve"> </w:t>
      </w:r>
      <w:r>
        <w:rPr>
          <w:color w:val="231F20"/>
        </w:rPr>
        <w:t>apparatus.</w:t>
      </w:r>
    </w:p>
    <w:p w14:paraId="4EACA4CB" w14:textId="77777777" w:rsidR="002653E8" w:rsidRDefault="003115E3">
      <w:pPr>
        <w:pStyle w:val="a3"/>
        <w:spacing w:line="219" w:lineRule="exact"/>
        <w:ind w:left="1537"/>
      </w:pPr>
      <w:r>
        <w:rPr>
          <w:color w:val="231F20"/>
        </w:rPr>
        <w:t>The most important point overall—the abolition of prisons—can’t</w:t>
      </w:r>
    </w:p>
    <w:p w14:paraId="503AD77D" w14:textId="77777777" w:rsidR="002653E8" w:rsidRDefault="003115E3">
      <w:pPr>
        <w:pStyle w:val="a3"/>
        <w:spacing w:before="23" w:line="264" w:lineRule="auto"/>
        <w:ind w:left="1327" w:right="1146"/>
        <w:jc w:val="both"/>
      </w:pPr>
      <w:r>
        <w:rPr>
          <w:color w:val="231F20"/>
        </w:rPr>
        <w:t xml:space="preserve">be a demand. </w:t>
      </w:r>
      <w:r>
        <w:rPr>
          <w:color w:val="231F20"/>
          <w:spacing w:val="-5"/>
        </w:rPr>
        <w:t xml:space="preserve">We’re </w:t>
      </w:r>
      <w:r>
        <w:rPr>
          <w:color w:val="231F20"/>
        </w:rPr>
        <w:t xml:space="preserve">the only ones who can achieve that. Only the revolution—e.g., the destruction of the capitalist state apparatus—can bring about the abolition of prisons. </w:t>
      </w:r>
      <w:r>
        <w:rPr>
          <w:color w:val="231F20"/>
          <w:spacing w:val="1"/>
        </w:rPr>
        <w:t xml:space="preserve">In </w:t>
      </w:r>
      <w:r>
        <w:rPr>
          <w:color w:val="231F20"/>
        </w:rPr>
        <w:t xml:space="preserve">other words, the liberation of imprisoned workers can only be won through the liberation of all </w:t>
      </w:r>
      <w:r>
        <w:rPr>
          <w:color w:val="231F20"/>
          <w:spacing w:val="-3"/>
        </w:rPr>
        <w:t>work</w:t>
      </w:r>
      <w:r>
        <w:rPr>
          <w:color w:val="231F20"/>
        </w:rPr>
        <w:t>ers. Whoever advances such a demand either hasn’t thought it through or else only wants to pull one over on us, giving the struggle a realistic scope by discrediting unrealistic</w:t>
      </w:r>
      <w:r>
        <w:rPr>
          <w:color w:val="231F20"/>
          <w:spacing w:val="42"/>
        </w:rPr>
        <w:t xml:space="preserve"> </w:t>
      </w:r>
      <w:r>
        <w:rPr>
          <w:color w:val="231F20"/>
        </w:rPr>
        <w:t>demands.</w:t>
      </w:r>
    </w:p>
    <w:p w14:paraId="7C69A4C8" w14:textId="77777777" w:rsidR="002653E8" w:rsidRDefault="003115E3">
      <w:pPr>
        <w:pStyle w:val="a3"/>
        <w:spacing w:line="264" w:lineRule="auto"/>
        <w:ind w:left="1327" w:right="1146" w:firstLine="210"/>
        <w:jc w:val="both"/>
      </w:pPr>
      <w:r>
        <w:rPr>
          <w:color w:val="231F20"/>
        </w:rPr>
        <w:t>We call on all prisoners to organize around this program of action both openly and conspiratorially. All those who have nothing  left  to lose but their chains—take up, organize and lead the struggle in the prisons.</w:t>
      </w:r>
    </w:p>
    <w:p w14:paraId="7BE38CB5" w14:textId="77777777" w:rsidR="002653E8" w:rsidRDefault="003115E3">
      <w:pPr>
        <w:pStyle w:val="a3"/>
        <w:spacing w:line="230" w:lineRule="exact"/>
        <w:ind w:left="1537"/>
      </w:pPr>
      <w:r>
        <w:rPr>
          <w:color w:val="231F20"/>
        </w:rPr>
        <w:t>We are struggling for:</w:t>
      </w:r>
    </w:p>
    <w:p w14:paraId="6399E5ED" w14:textId="77777777" w:rsidR="002653E8" w:rsidRDefault="003115E3">
      <w:pPr>
        <w:pStyle w:val="a4"/>
        <w:numPr>
          <w:ilvl w:val="0"/>
          <w:numId w:val="17"/>
        </w:numPr>
        <w:tabs>
          <w:tab w:val="left" w:pos="1944"/>
        </w:tabs>
        <w:spacing w:before="142"/>
        <w:jc w:val="left"/>
        <w:rPr>
          <w:sz w:val="20"/>
        </w:rPr>
      </w:pPr>
      <w:r>
        <w:rPr>
          <w:color w:val="231F20"/>
          <w:sz w:val="20"/>
        </w:rPr>
        <w:t>freedom for prisoners to organize</w:t>
      </w:r>
      <w:r>
        <w:rPr>
          <w:color w:val="231F20"/>
          <w:spacing w:val="5"/>
          <w:sz w:val="20"/>
        </w:rPr>
        <w:t xml:space="preserve"> </w:t>
      </w:r>
      <w:r>
        <w:rPr>
          <w:color w:val="231F20"/>
          <w:sz w:val="20"/>
        </w:rPr>
        <w:t>themselves.</w:t>
      </w:r>
    </w:p>
    <w:p w14:paraId="22169DC6" w14:textId="77777777" w:rsidR="002653E8" w:rsidRDefault="003115E3">
      <w:pPr>
        <w:pStyle w:val="a4"/>
        <w:numPr>
          <w:ilvl w:val="0"/>
          <w:numId w:val="17"/>
        </w:numPr>
        <w:tabs>
          <w:tab w:val="left" w:pos="1944"/>
        </w:tabs>
        <w:spacing w:before="22" w:line="261" w:lineRule="auto"/>
        <w:ind w:right="1637"/>
        <w:jc w:val="left"/>
        <w:rPr>
          <w:sz w:val="20"/>
        </w:rPr>
      </w:pPr>
      <w:r>
        <w:rPr>
          <w:color w:val="231F20"/>
          <w:sz w:val="20"/>
        </w:rPr>
        <w:t xml:space="preserve">wages established in </w:t>
      </w:r>
      <w:r>
        <w:rPr>
          <w:color w:val="231F20"/>
          <w:spacing w:val="-4"/>
          <w:sz w:val="20"/>
        </w:rPr>
        <w:t xml:space="preserve">law, </w:t>
      </w:r>
      <w:r>
        <w:rPr>
          <w:color w:val="231F20"/>
          <w:sz w:val="20"/>
        </w:rPr>
        <w:t>the right to training and work, a workers’ association and the right to</w:t>
      </w:r>
      <w:r>
        <w:rPr>
          <w:color w:val="231F20"/>
          <w:spacing w:val="20"/>
          <w:sz w:val="20"/>
        </w:rPr>
        <w:t xml:space="preserve"> </w:t>
      </w:r>
      <w:r>
        <w:rPr>
          <w:color w:val="231F20"/>
          <w:sz w:val="20"/>
        </w:rPr>
        <w:t>strike.</w:t>
      </w:r>
    </w:p>
    <w:p w14:paraId="58AF8540" w14:textId="77777777" w:rsidR="002653E8" w:rsidRDefault="003115E3">
      <w:pPr>
        <w:pStyle w:val="a4"/>
        <w:numPr>
          <w:ilvl w:val="0"/>
          <w:numId w:val="17"/>
        </w:numPr>
        <w:tabs>
          <w:tab w:val="left" w:pos="1944"/>
        </w:tabs>
        <w:spacing w:before="1"/>
        <w:jc w:val="left"/>
        <w:rPr>
          <w:sz w:val="20"/>
        </w:rPr>
      </w:pPr>
      <w:r>
        <w:rPr>
          <w:color w:val="231F20"/>
          <w:sz w:val="20"/>
        </w:rPr>
        <w:t>retirement benefits and health</w:t>
      </w:r>
      <w:r>
        <w:rPr>
          <w:color w:val="231F20"/>
          <w:spacing w:val="-2"/>
          <w:sz w:val="20"/>
        </w:rPr>
        <w:t xml:space="preserve"> </w:t>
      </w:r>
      <w:r>
        <w:rPr>
          <w:color w:val="231F20"/>
          <w:sz w:val="20"/>
        </w:rPr>
        <w:t>insurance.</w:t>
      </w:r>
    </w:p>
    <w:p w14:paraId="6097DDA9" w14:textId="77777777" w:rsidR="002653E8" w:rsidRDefault="003115E3">
      <w:pPr>
        <w:pStyle w:val="a4"/>
        <w:numPr>
          <w:ilvl w:val="0"/>
          <w:numId w:val="17"/>
        </w:numPr>
        <w:tabs>
          <w:tab w:val="left" w:pos="1944"/>
        </w:tabs>
        <w:spacing w:before="21" w:line="261" w:lineRule="auto"/>
        <w:ind w:right="1181"/>
        <w:jc w:val="left"/>
        <w:rPr>
          <w:sz w:val="20"/>
        </w:rPr>
      </w:pPr>
      <w:r>
        <w:rPr>
          <w:color w:val="231F20"/>
          <w:sz w:val="20"/>
        </w:rPr>
        <w:t>health care provided in hospitals by doctors who are not prison employees; a free choice of</w:t>
      </w:r>
      <w:r>
        <w:rPr>
          <w:color w:val="231F20"/>
          <w:spacing w:val="8"/>
          <w:sz w:val="20"/>
        </w:rPr>
        <w:t xml:space="preserve"> </w:t>
      </w:r>
      <w:r>
        <w:rPr>
          <w:color w:val="231F20"/>
          <w:sz w:val="20"/>
        </w:rPr>
        <w:t>doctors.</w:t>
      </w:r>
    </w:p>
    <w:p w14:paraId="3D1F8E70" w14:textId="77777777" w:rsidR="002653E8" w:rsidRDefault="003115E3">
      <w:pPr>
        <w:pStyle w:val="a4"/>
        <w:numPr>
          <w:ilvl w:val="0"/>
          <w:numId w:val="17"/>
        </w:numPr>
        <w:tabs>
          <w:tab w:val="left" w:pos="1943"/>
          <w:tab w:val="left" w:pos="1944"/>
        </w:tabs>
        <w:spacing w:before="1"/>
        <w:jc w:val="left"/>
        <w:rPr>
          <w:sz w:val="20"/>
        </w:rPr>
      </w:pPr>
      <w:r>
        <w:rPr>
          <w:color w:val="231F20"/>
          <w:sz w:val="20"/>
        </w:rPr>
        <w:t>self-government</w:t>
      </w:r>
      <w:r>
        <w:rPr>
          <w:color w:val="231F20"/>
          <w:spacing w:val="10"/>
          <w:sz w:val="20"/>
        </w:rPr>
        <w:t xml:space="preserve"> </w:t>
      </w:r>
      <w:r>
        <w:rPr>
          <w:color w:val="231F20"/>
          <w:sz w:val="20"/>
        </w:rPr>
        <w:t>with</w:t>
      </w:r>
      <w:r>
        <w:rPr>
          <w:color w:val="231F20"/>
          <w:spacing w:val="10"/>
          <w:sz w:val="20"/>
        </w:rPr>
        <w:t xml:space="preserve"> </w:t>
      </w:r>
      <w:r>
        <w:rPr>
          <w:color w:val="231F20"/>
          <w:sz w:val="20"/>
        </w:rPr>
        <w:t>the</w:t>
      </w:r>
      <w:r>
        <w:rPr>
          <w:color w:val="231F20"/>
          <w:spacing w:val="10"/>
          <w:sz w:val="20"/>
        </w:rPr>
        <w:t xml:space="preserve"> </w:t>
      </w:r>
      <w:r>
        <w:rPr>
          <w:color w:val="231F20"/>
          <w:sz w:val="20"/>
        </w:rPr>
        <w:t>right</w:t>
      </w:r>
      <w:r>
        <w:rPr>
          <w:color w:val="231F20"/>
          <w:spacing w:val="10"/>
          <w:sz w:val="20"/>
        </w:rPr>
        <w:t xml:space="preserve"> </w:t>
      </w:r>
      <w:r>
        <w:rPr>
          <w:color w:val="231F20"/>
          <w:sz w:val="20"/>
        </w:rPr>
        <w:t>to</w:t>
      </w:r>
      <w:r>
        <w:rPr>
          <w:color w:val="231F20"/>
          <w:spacing w:val="10"/>
          <w:sz w:val="20"/>
        </w:rPr>
        <w:t xml:space="preserve"> </w:t>
      </w:r>
      <w:r>
        <w:rPr>
          <w:color w:val="231F20"/>
          <w:spacing w:val="1"/>
          <w:sz w:val="20"/>
        </w:rPr>
        <w:t>fulfill</w:t>
      </w:r>
      <w:r>
        <w:rPr>
          <w:color w:val="231F20"/>
          <w:spacing w:val="10"/>
          <w:sz w:val="20"/>
        </w:rPr>
        <w:t xml:space="preserve"> </w:t>
      </w:r>
      <w:r>
        <w:rPr>
          <w:color w:val="231F20"/>
          <w:sz w:val="20"/>
        </w:rPr>
        <w:t>any</w:t>
      </w:r>
      <w:r>
        <w:rPr>
          <w:color w:val="231F20"/>
          <w:spacing w:val="10"/>
          <w:sz w:val="20"/>
        </w:rPr>
        <w:t xml:space="preserve"> </w:t>
      </w:r>
      <w:r>
        <w:rPr>
          <w:color w:val="231F20"/>
          <w:sz w:val="20"/>
        </w:rPr>
        <w:t>function.</w:t>
      </w:r>
    </w:p>
    <w:p w14:paraId="7EA823B1" w14:textId="77777777" w:rsidR="002653E8" w:rsidRDefault="003115E3">
      <w:pPr>
        <w:pStyle w:val="a4"/>
        <w:numPr>
          <w:ilvl w:val="0"/>
          <w:numId w:val="17"/>
        </w:numPr>
        <w:tabs>
          <w:tab w:val="left" w:pos="1944"/>
        </w:tabs>
        <w:spacing w:before="22"/>
        <w:jc w:val="left"/>
        <w:rPr>
          <w:sz w:val="20"/>
        </w:rPr>
      </w:pPr>
      <w:r>
        <w:rPr>
          <w:color w:val="231F20"/>
          <w:sz w:val="20"/>
        </w:rPr>
        <w:t>unlimited right to visitors—without observation.</w:t>
      </w:r>
    </w:p>
    <w:p w14:paraId="136E48AC" w14:textId="77777777" w:rsidR="002653E8" w:rsidRDefault="003115E3">
      <w:pPr>
        <w:pStyle w:val="a4"/>
        <w:numPr>
          <w:ilvl w:val="0"/>
          <w:numId w:val="17"/>
        </w:numPr>
        <w:tabs>
          <w:tab w:val="left" w:pos="1943"/>
          <w:tab w:val="left" w:pos="1944"/>
        </w:tabs>
        <w:spacing w:before="21"/>
        <w:jc w:val="left"/>
        <w:rPr>
          <w:sz w:val="20"/>
        </w:rPr>
      </w:pPr>
      <w:r>
        <w:rPr>
          <w:color w:val="231F20"/>
          <w:sz w:val="20"/>
        </w:rPr>
        <w:t>freedom to assemble</w:t>
      </w:r>
      <w:r>
        <w:rPr>
          <w:color w:val="231F20"/>
          <w:spacing w:val="30"/>
          <w:sz w:val="20"/>
        </w:rPr>
        <w:t xml:space="preserve"> </w:t>
      </w:r>
      <w:r>
        <w:rPr>
          <w:color w:val="231F20"/>
          <w:sz w:val="20"/>
        </w:rPr>
        <w:t>unobserved.</w:t>
      </w:r>
    </w:p>
    <w:p w14:paraId="08E69C45" w14:textId="77777777" w:rsidR="002653E8" w:rsidRDefault="003115E3">
      <w:pPr>
        <w:pStyle w:val="a4"/>
        <w:numPr>
          <w:ilvl w:val="0"/>
          <w:numId w:val="17"/>
        </w:numPr>
        <w:tabs>
          <w:tab w:val="left" w:pos="1944"/>
        </w:tabs>
        <w:spacing w:before="22" w:line="261" w:lineRule="auto"/>
        <w:ind w:right="1985"/>
        <w:jc w:val="left"/>
        <w:rPr>
          <w:sz w:val="20"/>
        </w:rPr>
      </w:pPr>
      <w:r>
        <w:rPr>
          <w:color w:val="231F20"/>
          <w:sz w:val="20"/>
        </w:rPr>
        <w:t>abolition of the use of force, all special treatment, and isolation.</w:t>
      </w:r>
    </w:p>
    <w:p w14:paraId="1205B5DF" w14:textId="77777777" w:rsidR="002653E8" w:rsidRDefault="003115E3">
      <w:pPr>
        <w:pStyle w:val="a4"/>
        <w:numPr>
          <w:ilvl w:val="0"/>
          <w:numId w:val="17"/>
        </w:numPr>
        <w:tabs>
          <w:tab w:val="left" w:pos="1944"/>
        </w:tabs>
        <w:spacing w:before="1"/>
        <w:jc w:val="left"/>
        <w:rPr>
          <w:sz w:val="20"/>
        </w:rPr>
      </w:pPr>
      <w:r>
        <w:rPr>
          <w:color w:val="231F20"/>
          <w:w w:val="105"/>
          <w:sz w:val="20"/>
        </w:rPr>
        <w:t>abolition of youth</w:t>
      </w:r>
      <w:r>
        <w:rPr>
          <w:color w:val="231F20"/>
          <w:spacing w:val="21"/>
          <w:w w:val="105"/>
          <w:sz w:val="20"/>
        </w:rPr>
        <w:t xml:space="preserve"> </w:t>
      </w:r>
      <w:r>
        <w:rPr>
          <w:color w:val="231F20"/>
          <w:w w:val="105"/>
          <w:sz w:val="20"/>
        </w:rPr>
        <w:t>detention.</w:t>
      </w:r>
    </w:p>
    <w:p w14:paraId="001EE556" w14:textId="77777777" w:rsidR="002653E8" w:rsidRDefault="002653E8">
      <w:pPr>
        <w:rPr>
          <w:sz w:val="20"/>
        </w:rPr>
        <w:sectPr w:rsidR="002653E8">
          <w:footerReference w:type="even" r:id="rId244"/>
          <w:footerReference w:type="default" r:id="rId245"/>
          <w:pgSz w:w="8640" w:h="12960"/>
          <w:pgMar w:top="1060" w:right="0" w:bottom="1040" w:left="0" w:header="0" w:footer="850" w:gutter="0"/>
          <w:cols w:space="720"/>
        </w:sectPr>
      </w:pPr>
    </w:p>
    <w:p w14:paraId="3C50C5FF" w14:textId="77777777" w:rsidR="002653E8" w:rsidRDefault="003115E3">
      <w:pPr>
        <w:pStyle w:val="a4"/>
        <w:numPr>
          <w:ilvl w:val="0"/>
          <w:numId w:val="17"/>
        </w:numPr>
        <w:tabs>
          <w:tab w:val="left" w:pos="1764"/>
        </w:tabs>
        <w:spacing w:before="86"/>
        <w:ind w:left="1763"/>
        <w:jc w:val="left"/>
        <w:rPr>
          <w:sz w:val="20"/>
        </w:rPr>
      </w:pPr>
      <w:r>
        <w:rPr>
          <w:color w:val="231F20"/>
          <w:sz w:val="20"/>
        </w:rPr>
        <w:lastRenderedPageBreak/>
        <w:t>mixed</w:t>
      </w:r>
      <w:r>
        <w:rPr>
          <w:color w:val="231F20"/>
          <w:spacing w:val="10"/>
          <w:sz w:val="20"/>
        </w:rPr>
        <w:t xml:space="preserve"> </w:t>
      </w:r>
      <w:r>
        <w:rPr>
          <w:color w:val="231F20"/>
          <w:sz w:val="20"/>
        </w:rPr>
        <w:t>institutions.</w:t>
      </w:r>
    </w:p>
    <w:p w14:paraId="01C8927F" w14:textId="77777777" w:rsidR="002653E8" w:rsidRDefault="003115E3">
      <w:pPr>
        <w:pStyle w:val="a4"/>
        <w:numPr>
          <w:ilvl w:val="0"/>
          <w:numId w:val="17"/>
        </w:numPr>
        <w:tabs>
          <w:tab w:val="left" w:pos="1764"/>
        </w:tabs>
        <w:spacing w:before="21"/>
        <w:ind w:left="1763"/>
        <w:jc w:val="left"/>
        <w:rPr>
          <w:sz w:val="20"/>
        </w:rPr>
      </w:pPr>
      <w:r>
        <w:rPr>
          <w:color w:val="231F20"/>
          <w:sz w:val="20"/>
        </w:rPr>
        <w:t>abolition of house</w:t>
      </w:r>
      <w:r>
        <w:rPr>
          <w:color w:val="231F20"/>
          <w:spacing w:val="32"/>
          <w:sz w:val="20"/>
        </w:rPr>
        <w:t xml:space="preserve"> </w:t>
      </w:r>
      <w:r>
        <w:rPr>
          <w:color w:val="231F20"/>
          <w:sz w:val="20"/>
        </w:rPr>
        <w:t>arrest.</w:t>
      </w:r>
    </w:p>
    <w:p w14:paraId="06A8BF3F" w14:textId="77777777" w:rsidR="002653E8" w:rsidRDefault="003115E3">
      <w:pPr>
        <w:pStyle w:val="a4"/>
        <w:numPr>
          <w:ilvl w:val="0"/>
          <w:numId w:val="17"/>
        </w:numPr>
        <w:tabs>
          <w:tab w:val="left" w:pos="1764"/>
        </w:tabs>
        <w:spacing w:before="22"/>
        <w:ind w:left="1763"/>
        <w:jc w:val="left"/>
        <w:rPr>
          <w:sz w:val="20"/>
        </w:rPr>
      </w:pPr>
      <w:r>
        <w:rPr>
          <w:color w:val="231F20"/>
          <w:sz w:val="20"/>
        </w:rPr>
        <w:t>abolition of mail</w:t>
      </w:r>
      <w:r>
        <w:rPr>
          <w:color w:val="231F20"/>
          <w:spacing w:val="32"/>
          <w:sz w:val="20"/>
        </w:rPr>
        <w:t xml:space="preserve"> </w:t>
      </w:r>
      <w:r>
        <w:rPr>
          <w:color w:val="231F20"/>
          <w:sz w:val="20"/>
        </w:rPr>
        <w:t>censorship.</w:t>
      </w:r>
    </w:p>
    <w:p w14:paraId="12BD94B5" w14:textId="77777777" w:rsidR="002653E8" w:rsidRDefault="003115E3">
      <w:pPr>
        <w:pStyle w:val="a4"/>
        <w:numPr>
          <w:ilvl w:val="0"/>
          <w:numId w:val="17"/>
        </w:numPr>
        <w:tabs>
          <w:tab w:val="left" w:pos="1764"/>
        </w:tabs>
        <w:spacing w:before="21"/>
        <w:ind w:left="1763"/>
        <w:jc w:val="left"/>
        <w:rPr>
          <w:sz w:val="20"/>
        </w:rPr>
      </w:pPr>
      <w:r>
        <w:rPr>
          <w:color w:val="231F20"/>
          <w:w w:val="105"/>
          <w:sz w:val="20"/>
        </w:rPr>
        <w:t>abolition of forced</w:t>
      </w:r>
      <w:r>
        <w:rPr>
          <w:color w:val="231F20"/>
          <w:spacing w:val="22"/>
          <w:w w:val="105"/>
          <w:sz w:val="20"/>
        </w:rPr>
        <w:t xml:space="preserve"> </w:t>
      </w:r>
      <w:r>
        <w:rPr>
          <w:color w:val="231F20"/>
          <w:w w:val="105"/>
          <w:sz w:val="20"/>
        </w:rPr>
        <w:t>medication.</w:t>
      </w:r>
    </w:p>
    <w:p w14:paraId="0DFE8C6F" w14:textId="77777777" w:rsidR="002653E8" w:rsidRDefault="003115E3">
      <w:pPr>
        <w:pStyle w:val="a4"/>
        <w:numPr>
          <w:ilvl w:val="0"/>
          <w:numId w:val="17"/>
        </w:numPr>
        <w:tabs>
          <w:tab w:val="left" w:pos="1764"/>
        </w:tabs>
        <w:spacing w:before="22" w:line="261" w:lineRule="auto"/>
        <w:ind w:left="1763" w:right="1787"/>
        <w:jc w:val="left"/>
        <w:rPr>
          <w:sz w:val="20"/>
        </w:rPr>
      </w:pPr>
      <w:r>
        <w:rPr>
          <w:color w:val="231F20"/>
          <w:sz w:val="20"/>
        </w:rPr>
        <w:t>free access to political information from all national and foreign</w:t>
      </w:r>
      <w:r>
        <w:rPr>
          <w:color w:val="231F20"/>
          <w:spacing w:val="10"/>
          <w:sz w:val="20"/>
        </w:rPr>
        <w:t xml:space="preserve"> </w:t>
      </w:r>
      <w:r>
        <w:rPr>
          <w:color w:val="231F20"/>
          <w:sz w:val="20"/>
        </w:rPr>
        <w:t>publications</w:t>
      </w:r>
      <w:r>
        <w:rPr>
          <w:color w:val="231F20"/>
          <w:spacing w:val="10"/>
          <w:sz w:val="20"/>
        </w:rPr>
        <w:t xml:space="preserve"> </w:t>
      </w:r>
      <w:r>
        <w:rPr>
          <w:color w:val="231F20"/>
          <w:sz w:val="20"/>
        </w:rPr>
        <w:t>and</w:t>
      </w:r>
      <w:r>
        <w:rPr>
          <w:color w:val="231F20"/>
          <w:spacing w:val="10"/>
          <w:sz w:val="20"/>
        </w:rPr>
        <w:t xml:space="preserve"> </w:t>
      </w:r>
      <w:r>
        <w:rPr>
          <w:color w:val="231F20"/>
          <w:sz w:val="20"/>
        </w:rPr>
        <w:t>media</w:t>
      </w:r>
      <w:r>
        <w:rPr>
          <w:color w:val="231F20"/>
          <w:spacing w:val="10"/>
          <w:sz w:val="20"/>
        </w:rPr>
        <w:t xml:space="preserve"> </w:t>
      </w:r>
      <w:r>
        <w:rPr>
          <w:color w:val="231F20"/>
          <w:sz w:val="20"/>
        </w:rPr>
        <w:t>available</w:t>
      </w:r>
      <w:r>
        <w:rPr>
          <w:color w:val="231F20"/>
          <w:spacing w:val="10"/>
          <w:sz w:val="20"/>
        </w:rPr>
        <w:t xml:space="preserve"> </w:t>
      </w:r>
      <w:r>
        <w:rPr>
          <w:color w:val="231F20"/>
          <w:sz w:val="20"/>
        </w:rPr>
        <w:t>outside</w:t>
      </w:r>
      <w:r>
        <w:rPr>
          <w:color w:val="231F20"/>
          <w:spacing w:val="10"/>
          <w:sz w:val="20"/>
        </w:rPr>
        <w:t xml:space="preserve"> </w:t>
      </w:r>
      <w:r>
        <w:rPr>
          <w:color w:val="231F20"/>
          <w:sz w:val="20"/>
        </w:rPr>
        <w:t>of</w:t>
      </w:r>
      <w:r>
        <w:rPr>
          <w:color w:val="231F20"/>
          <w:spacing w:val="10"/>
          <w:sz w:val="20"/>
        </w:rPr>
        <w:t xml:space="preserve"> </w:t>
      </w:r>
      <w:r>
        <w:rPr>
          <w:color w:val="231F20"/>
          <w:sz w:val="20"/>
        </w:rPr>
        <w:t>prison.</w:t>
      </w:r>
    </w:p>
    <w:p w14:paraId="795E3AC0" w14:textId="77777777" w:rsidR="002653E8" w:rsidRDefault="002653E8">
      <w:pPr>
        <w:pStyle w:val="a3"/>
        <w:spacing w:before="10"/>
        <w:rPr>
          <w:sz w:val="21"/>
        </w:rPr>
      </w:pPr>
    </w:p>
    <w:p w14:paraId="2F00D7B1" w14:textId="77777777" w:rsidR="002653E8" w:rsidRDefault="003115E3">
      <w:pPr>
        <w:pStyle w:val="a3"/>
        <w:spacing w:line="261" w:lineRule="auto"/>
        <w:ind w:left="1147" w:right="1848"/>
      </w:pPr>
      <w:r>
        <w:rPr>
          <w:color w:val="231F20"/>
          <w:w w:val="115"/>
        </w:rPr>
        <w:t>FOR A REVOLUTIONARy PRISONERS’ MOVEMENT! VICTORy TO THE PEOPLE’S WAR!</w:t>
      </w:r>
    </w:p>
    <w:p w14:paraId="4E5F6DCD" w14:textId="77777777" w:rsidR="002653E8" w:rsidRDefault="003115E3">
      <w:pPr>
        <w:pStyle w:val="a3"/>
        <w:spacing w:before="129" w:line="261" w:lineRule="auto"/>
        <w:ind w:left="5872" w:right="1326" w:hanging="282"/>
        <w:jc w:val="right"/>
      </w:pPr>
      <w:r>
        <w:rPr>
          <w:color w:val="231F20"/>
        </w:rPr>
        <w:t xml:space="preserve">The </w:t>
      </w:r>
      <w:r w:rsidR="00C507A5">
        <w:rPr>
          <w:color w:val="231F20"/>
        </w:rPr>
        <w:t>red army faction</w:t>
      </w:r>
      <w:r>
        <w:rPr>
          <w:color w:val="231F20"/>
        </w:rPr>
        <w:t xml:space="preserve"> Prisoners</w:t>
      </w:r>
      <w:r>
        <w:rPr>
          <w:color w:val="231F20"/>
          <w:w w:val="90"/>
        </w:rPr>
        <w:t xml:space="preserve"> </w:t>
      </w:r>
      <w:r>
        <w:rPr>
          <w:color w:val="231F20"/>
        </w:rPr>
        <w:t>September 1974</w:t>
      </w:r>
    </w:p>
    <w:p w14:paraId="3E043CC5" w14:textId="77777777" w:rsidR="002653E8" w:rsidRDefault="002653E8">
      <w:pPr>
        <w:spacing w:line="261" w:lineRule="auto"/>
        <w:jc w:val="right"/>
        <w:sectPr w:rsidR="002653E8">
          <w:pgSz w:w="8640" w:h="12960"/>
          <w:pgMar w:top="1060" w:right="0" w:bottom="1040" w:left="0" w:header="0" w:footer="850" w:gutter="0"/>
          <w:cols w:space="720"/>
        </w:sectPr>
      </w:pPr>
    </w:p>
    <w:p w14:paraId="439C2F9A" w14:textId="77777777" w:rsidR="002653E8" w:rsidRDefault="003115E3">
      <w:pPr>
        <w:pStyle w:val="4"/>
        <w:ind w:left="2881"/>
      </w:pPr>
      <w:bookmarkStart w:id="126" w:name="Third_Hunger_Strike_(September_13,_1974)"/>
      <w:bookmarkStart w:id="127" w:name="_bookmark39"/>
      <w:bookmarkEnd w:id="126"/>
      <w:bookmarkEnd w:id="127"/>
      <w:r>
        <w:rPr>
          <w:color w:val="231F20"/>
          <w:w w:val="105"/>
        </w:rPr>
        <w:lastRenderedPageBreak/>
        <w:t>Third Hunger Strike</w:t>
      </w:r>
    </w:p>
    <w:p w14:paraId="59DAFF36" w14:textId="77777777" w:rsidR="002653E8" w:rsidRDefault="002653E8">
      <w:pPr>
        <w:pStyle w:val="a3"/>
        <w:rPr>
          <w:rFonts w:ascii="Bookman Old Style"/>
          <w:sz w:val="31"/>
        </w:rPr>
      </w:pPr>
    </w:p>
    <w:p w14:paraId="417D9368" w14:textId="77777777" w:rsidR="002653E8" w:rsidRDefault="003115E3">
      <w:pPr>
        <w:pStyle w:val="a3"/>
        <w:spacing w:before="1" w:line="261" w:lineRule="auto"/>
        <w:ind w:left="1327" w:right="1848"/>
      </w:pPr>
      <w:r>
        <w:rPr>
          <w:color w:val="231F20"/>
          <w:w w:val="115"/>
        </w:rPr>
        <w:t>IF SOMEONE UNDERSTANDS THEIR SITUATION— HOW CAN THEy BE STOPPED?</w:t>
      </w:r>
    </w:p>
    <w:p w14:paraId="098CDFFD" w14:textId="77777777" w:rsidR="002653E8" w:rsidRDefault="003115E3">
      <w:pPr>
        <w:pStyle w:val="a3"/>
        <w:spacing w:before="150" w:line="264" w:lineRule="auto"/>
        <w:ind w:left="1327" w:right="1146"/>
        <w:jc w:val="both"/>
      </w:pPr>
      <w:r>
        <w:rPr>
          <w:color w:val="231F20"/>
        </w:rPr>
        <w:t xml:space="preserve">This is our third hunger strike against special conditions and the extermination strategy being used against political prisoners in the Federal Republic and </w:t>
      </w:r>
      <w:r>
        <w:rPr>
          <w:color w:val="231F20"/>
          <w:spacing w:val="-3"/>
        </w:rPr>
        <w:t xml:space="preserve">West </w:t>
      </w:r>
      <w:r>
        <w:rPr>
          <w:color w:val="231F20"/>
        </w:rPr>
        <w:t xml:space="preserve">Berlin; against the counterinsurgency program of imperialism’s machinery of destruction, the </w:t>
      </w:r>
      <w:r>
        <w:rPr>
          <w:color w:val="231F20"/>
          <w:spacing w:val="-8"/>
        </w:rPr>
        <w:t xml:space="preserve">BAW, </w:t>
      </w:r>
      <w:r>
        <w:rPr>
          <w:color w:val="231F20"/>
        </w:rPr>
        <w:t xml:space="preserve">the </w:t>
      </w:r>
      <w:r>
        <w:rPr>
          <w:color w:val="231F20"/>
          <w:spacing w:val="-4"/>
        </w:rPr>
        <w:t xml:space="preserve">BKA’s </w:t>
      </w:r>
      <w:r>
        <w:rPr>
          <w:color w:val="231F20"/>
        </w:rPr>
        <w:t xml:space="preserve">Bonn </w:t>
      </w:r>
      <w:r>
        <w:rPr>
          <w:color w:val="231F20"/>
          <w:spacing w:val="5"/>
        </w:rPr>
        <w:t>S</w:t>
      </w:r>
      <w:r>
        <w:rPr>
          <w:color w:val="231F20"/>
          <w:spacing w:val="1"/>
          <w:w w:val="91"/>
        </w:rPr>
        <w:t>e</w:t>
      </w:r>
      <w:r>
        <w:rPr>
          <w:color w:val="231F20"/>
          <w:spacing w:val="2"/>
        </w:rPr>
        <w:t>c</w:t>
      </w:r>
      <w:r>
        <w:rPr>
          <w:color w:val="231F20"/>
          <w:spacing w:val="3"/>
        </w:rPr>
        <w:t>u</w:t>
      </w:r>
      <w:r>
        <w:rPr>
          <w:color w:val="231F20"/>
          <w:spacing w:val="1"/>
          <w:w w:val="94"/>
        </w:rPr>
        <w:t>r</w:t>
      </w:r>
      <w:r>
        <w:rPr>
          <w:color w:val="231F20"/>
          <w:spacing w:val="-2"/>
        </w:rPr>
        <w:t>i</w:t>
      </w:r>
      <w:r>
        <w:rPr>
          <w:color w:val="231F20"/>
          <w:spacing w:val="5"/>
          <w:w w:val="98"/>
        </w:rPr>
        <w:t>t</w:t>
      </w:r>
      <w:r>
        <w:rPr>
          <w:color w:val="231F20"/>
          <w:w w:val="99"/>
        </w:rPr>
        <w:t>y</w:t>
      </w:r>
      <w:r>
        <w:rPr>
          <w:color w:val="231F20"/>
        </w:rPr>
        <w:t xml:space="preserve"> </w:t>
      </w:r>
      <w:r>
        <w:rPr>
          <w:color w:val="231F20"/>
          <w:spacing w:val="-15"/>
        </w:rPr>
        <w:t xml:space="preserve"> </w:t>
      </w:r>
      <w:r>
        <w:rPr>
          <w:color w:val="231F20"/>
          <w:spacing w:val="1"/>
          <w:w w:val="127"/>
        </w:rPr>
        <w:t>G</w:t>
      </w:r>
      <w:r>
        <w:rPr>
          <w:color w:val="231F20"/>
          <w:spacing w:val="-2"/>
          <w:w w:val="94"/>
        </w:rPr>
        <w:t>r</w:t>
      </w:r>
      <w:r>
        <w:rPr>
          <w:color w:val="231F20"/>
          <w:spacing w:val="-2"/>
          <w:w w:val="104"/>
        </w:rPr>
        <w:t>o</w:t>
      </w:r>
      <w:r>
        <w:rPr>
          <w:color w:val="231F20"/>
          <w:spacing w:val="-3"/>
        </w:rPr>
        <w:t>u</w:t>
      </w:r>
      <w:r>
        <w:rPr>
          <w:color w:val="231F20"/>
          <w:spacing w:val="2"/>
          <w:w w:val="99"/>
        </w:rPr>
        <w:t>p</w:t>
      </w:r>
      <w:r>
        <w:rPr>
          <w:color w:val="231F20"/>
          <w:spacing w:val="2"/>
          <w:w w:val="56"/>
        </w:rPr>
        <w:t>/</w:t>
      </w:r>
      <w:r>
        <w:rPr>
          <w:color w:val="231F20"/>
        </w:rPr>
        <w:t>S</w:t>
      </w:r>
      <w:r>
        <w:rPr>
          <w:color w:val="231F20"/>
          <w:spacing w:val="2"/>
          <w:w w:val="98"/>
        </w:rPr>
        <w:t>t</w:t>
      </w:r>
      <w:r>
        <w:rPr>
          <w:color w:val="231F20"/>
          <w:spacing w:val="-2"/>
          <w:w w:val="102"/>
        </w:rPr>
        <w:t>a</w:t>
      </w:r>
      <w:r>
        <w:rPr>
          <w:color w:val="231F20"/>
          <w:w w:val="98"/>
        </w:rPr>
        <w:t>t</w:t>
      </w:r>
      <w:r>
        <w:rPr>
          <w:color w:val="231F20"/>
          <w:w w:val="91"/>
        </w:rPr>
        <w:t>e</w:t>
      </w:r>
      <w:r>
        <w:rPr>
          <w:color w:val="231F20"/>
        </w:rPr>
        <w:t xml:space="preserve"> </w:t>
      </w:r>
      <w:r>
        <w:rPr>
          <w:color w:val="231F20"/>
          <w:spacing w:val="-15"/>
        </w:rPr>
        <w:t xml:space="preserve"> </w:t>
      </w:r>
      <w:r>
        <w:rPr>
          <w:color w:val="231F20"/>
          <w:spacing w:val="5"/>
        </w:rPr>
        <w:t>S</w:t>
      </w:r>
      <w:r>
        <w:rPr>
          <w:color w:val="231F20"/>
          <w:spacing w:val="1"/>
          <w:w w:val="91"/>
        </w:rPr>
        <w:t>e</w:t>
      </w:r>
      <w:r>
        <w:rPr>
          <w:color w:val="231F20"/>
          <w:spacing w:val="2"/>
        </w:rPr>
        <w:t>c</w:t>
      </w:r>
      <w:r>
        <w:rPr>
          <w:color w:val="231F20"/>
          <w:spacing w:val="3"/>
        </w:rPr>
        <w:t>u</w:t>
      </w:r>
      <w:r>
        <w:rPr>
          <w:color w:val="231F20"/>
          <w:spacing w:val="1"/>
          <w:w w:val="94"/>
        </w:rPr>
        <w:t>r</w:t>
      </w:r>
      <w:r>
        <w:rPr>
          <w:color w:val="231F20"/>
          <w:spacing w:val="-2"/>
        </w:rPr>
        <w:t>i</w:t>
      </w:r>
      <w:r>
        <w:rPr>
          <w:color w:val="231F20"/>
          <w:spacing w:val="5"/>
          <w:w w:val="98"/>
        </w:rPr>
        <w:t>t</w:t>
      </w:r>
      <w:r>
        <w:rPr>
          <w:color w:val="231F20"/>
          <w:w w:val="99"/>
        </w:rPr>
        <w:t>y</w:t>
      </w:r>
      <w:r>
        <w:rPr>
          <w:color w:val="231F20"/>
        </w:rPr>
        <w:t xml:space="preserve"> </w:t>
      </w:r>
      <w:r>
        <w:rPr>
          <w:color w:val="231F20"/>
          <w:spacing w:val="-15"/>
        </w:rPr>
        <w:t xml:space="preserve"> </w:t>
      </w:r>
      <w:r>
        <w:rPr>
          <w:color w:val="231F20"/>
          <w:w w:val="117"/>
        </w:rPr>
        <w:t>D</w:t>
      </w:r>
      <w:r>
        <w:rPr>
          <w:color w:val="231F20"/>
          <w:spacing w:val="-2"/>
        </w:rPr>
        <w:t>i</w:t>
      </w:r>
      <w:r>
        <w:rPr>
          <w:color w:val="231F20"/>
          <w:spacing w:val="2"/>
          <w:w w:val="99"/>
        </w:rPr>
        <w:t>v</w:t>
      </w:r>
      <w:r>
        <w:rPr>
          <w:color w:val="231F20"/>
        </w:rPr>
        <w:t>i</w:t>
      </w:r>
      <w:r>
        <w:rPr>
          <w:color w:val="231F20"/>
          <w:spacing w:val="-1"/>
          <w:w w:val="90"/>
        </w:rPr>
        <w:t>s</w:t>
      </w:r>
      <w:r>
        <w:rPr>
          <w:color w:val="231F20"/>
          <w:spacing w:val="-2"/>
        </w:rPr>
        <w:t>i</w:t>
      </w:r>
      <w:r>
        <w:rPr>
          <w:color w:val="231F20"/>
          <w:spacing w:val="-1"/>
          <w:w w:val="104"/>
        </w:rPr>
        <w:t>o</w:t>
      </w:r>
      <w:r>
        <w:rPr>
          <w:color w:val="231F20"/>
          <w:w w:val="99"/>
        </w:rPr>
        <w:t>n</w:t>
      </w:r>
      <w:r>
        <w:rPr>
          <w:color w:val="231F20"/>
        </w:rPr>
        <w:t xml:space="preserve"> </w:t>
      </w:r>
      <w:r>
        <w:rPr>
          <w:color w:val="231F20"/>
          <w:spacing w:val="-15"/>
        </w:rPr>
        <w:t xml:space="preserve"> </w:t>
      </w:r>
      <w:r>
        <w:rPr>
          <w:color w:val="231F20"/>
          <w:spacing w:val="-2"/>
          <w:w w:val="109"/>
        </w:rPr>
        <w:t>f</w:t>
      </w:r>
      <w:r>
        <w:rPr>
          <w:color w:val="231F20"/>
          <w:spacing w:val="-1"/>
          <w:w w:val="104"/>
        </w:rPr>
        <w:t>o</w:t>
      </w:r>
      <w:r>
        <w:rPr>
          <w:color w:val="231F20"/>
          <w:w w:val="94"/>
        </w:rPr>
        <w:t>r</w:t>
      </w:r>
      <w:r>
        <w:rPr>
          <w:color w:val="231F20"/>
        </w:rPr>
        <w:t xml:space="preserve"> </w:t>
      </w:r>
      <w:r>
        <w:rPr>
          <w:color w:val="231F20"/>
          <w:spacing w:val="-15"/>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15"/>
        </w:rPr>
        <w:t xml:space="preserve"> </w:t>
      </w:r>
      <w:r>
        <w:rPr>
          <w:color w:val="231F20"/>
          <w:spacing w:val="2"/>
          <w:w w:val="102"/>
        </w:rPr>
        <w:t>a</w:t>
      </w:r>
      <w:r>
        <w:rPr>
          <w:color w:val="231F20"/>
          <w:spacing w:val="3"/>
          <w:w w:val="99"/>
        </w:rPr>
        <w:t>nn</w:t>
      </w:r>
      <w:r>
        <w:rPr>
          <w:color w:val="231F20"/>
          <w:spacing w:val="2"/>
        </w:rPr>
        <w:t>i</w:t>
      </w:r>
      <w:r>
        <w:rPr>
          <w:color w:val="231F20"/>
          <w:spacing w:val="3"/>
        </w:rPr>
        <w:t>h</w:t>
      </w:r>
      <w:r>
        <w:rPr>
          <w:color w:val="231F20"/>
          <w:spacing w:val="2"/>
        </w:rPr>
        <w:t>i</w:t>
      </w:r>
      <w:r>
        <w:rPr>
          <w:color w:val="231F20"/>
          <w:w w:val="102"/>
        </w:rPr>
        <w:t>l</w:t>
      </w:r>
      <w:r>
        <w:rPr>
          <w:color w:val="231F20"/>
          <w:spacing w:val="-2"/>
          <w:w w:val="102"/>
        </w:rPr>
        <w:t>a</w:t>
      </w:r>
      <w:r>
        <w:rPr>
          <w:color w:val="231F20"/>
          <w:spacing w:val="2"/>
          <w:w w:val="98"/>
        </w:rPr>
        <w:t>t</w:t>
      </w:r>
      <w:r>
        <w:rPr>
          <w:color w:val="231F20"/>
          <w:spacing w:val="-2"/>
        </w:rPr>
        <w:t>i</w:t>
      </w:r>
      <w:r>
        <w:rPr>
          <w:color w:val="231F20"/>
          <w:spacing w:val="-1"/>
          <w:w w:val="104"/>
        </w:rPr>
        <w:t>o</w:t>
      </w:r>
      <w:r>
        <w:rPr>
          <w:color w:val="231F20"/>
          <w:w w:val="99"/>
        </w:rPr>
        <w:t>n</w:t>
      </w:r>
      <w:r>
        <w:rPr>
          <w:color w:val="231F20"/>
        </w:rPr>
        <w:t xml:space="preserve"> </w:t>
      </w:r>
      <w:r>
        <w:rPr>
          <w:color w:val="231F20"/>
          <w:spacing w:val="-15"/>
        </w:rPr>
        <w:t xml:space="preserve"> </w:t>
      </w:r>
      <w:r>
        <w:rPr>
          <w:color w:val="231F20"/>
          <w:spacing w:val="-2"/>
          <w:w w:val="104"/>
        </w:rPr>
        <w:t>o</w:t>
      </w:r>
      <w:r>
        <w:rPr>
          <w:color w:val="231F20"/>
          <w:w w:val="109"/>
        </w:rPr>
        <w:t>f</w:t>
      </w:r>
      <w:r>
        <w:rPr>
          <w:color w:val="231F20"/>
        </w:rPr>
        <w:t xml:space="preserve"> </w:t>
      </w:r>
      <w:r>
        <w:rPr>
          <w:color w:val="231F20"/>
          <w:spacing w:val="-15"/>
        </w:rPr>
        <w:t xml:space="preserve"> </w:t>
      </w:r>
      <w:r>
        <w:rPr>
          <w:color w:val="231F20"/>
          <w:spacing w:val="-1"/>
          <w:w w:val="94"/>
        </w:rPr>
        <w:t>r</w:t>
      </w:r>
      <w:r>
        <w:rPr>
          <w:color w:val="231F20"/>
          <w:w w:val="91"/>
        </w:rPr>
        <w:t>e</w:t>
      </w:r>
      <w:r>
        <w:rPr>
          <w:color w:val="231F20"/>
          <w:spacing w:val="-4"/>
          <w:w w:val="99"/>
        </w:rPr>
        <w:t>v</w:t>
      </w:r>
      <w:r>
        <w:rPr>
          <w:color w:val="231F20"/>
          <w:spacing w:val="-2"/>
          <w:w w:val="104"/>
        </w:rPr>
        <w:t>o</w:t>
      </w:r>
      <w:r>
        <w:rPr>
          <w:color w:val="231F20"/>
          <w:spacing w:val="-4"/>
          <w:w w:val="102"/>
        </w:rPr>
        <w:t>l</w:t>
      </w:r>
      <w:r>
        <w:rPr>
          <w:color w:val="231F20"/>
        </w:rPr>
        <w:t>utionary prisoners and prisoners who have begun to organize and struggle in the</w:t>
      </w:r>
      <w:r>
        <w:rPr>
          <w:color w:val="231F20"/>
          <w:spacing w:val="31"/>
        </w:rPr>
        <w:t xml:space="preserve"> </w:t>
      </w:r>
      <w:r>
        <w:rPr>
          <w:color w:val="231F20"/>
        </w:rPr>
        <w:t>prisons.</w:t>
      </w:r>
    </w:p>
    <w:p w14:paraId="7C79B344" w14:textId="77777777" w:rsidR="002653E8" w:rsidRDefault="003115E3">
      <w:pPr>
        <w:pStyle w:val="a3"/>
        <w:spacing w:line="264" w:lineRule="auto"/>
        <w:ind w:left="1327" w:right="1146" w:firstLine="210"/>
        <w:jc w:val="both"/>
      </w:pPr>
      <w:r>
        <w:rPr>
          <w:color w:val="231F20"/>
        </w:rPr>
        <w:t>We can only be kept down if we stop thinking and struggling. People who refuse to stop struggling cannot be kept down—they win or they die, rather than losing and dying.</w:t>
      </w:r>
    </w:p>
    <w:p w14:paraId="63DF270B" w14:textId="77777777" w:rsidR="002653E8" w:rsidRDefault="003115E3">
      <w:pPr>
        <w:pStyle w:val="a3"/>
        <w:spacing w:line="264" w:lineRule="auto"/>
        <w:ind w:left="1327" w:right="1147" w:firstLine="210"/>
        <w:jc w:val="both"/>
      </w:pPr>
      <w:r>
        <w:rPr>
          <w:color w:val="231F20"/>
        </w:rPr>
        <w:t>Resistance against the extermination strategy, the special conditions and the counterinsurgency program means resistance against:</w:t>
      </w:r>
    </w:p>
    <w:p w14:paraId="02E9CE35" w14:textId="77777777" w:rsidR="002653E8" w:rsidRDefault="003115E3">
      <w:pPr>
        <w:pStyle w:val="a4"/>
        <w:numPr>
          <w:ilvl w:val="0"/>
          <w:numId w:val="107"/>
        </w:numPr>
        <w:tabs>
          <w:tab w:val="left" w:pos="1824"/>
        </w:tabs>
        <w:spacing w:before="114"/>
        <w:rPr>
          <w:sz w:val="20"/>
        </w:rPr>
      </w:pPr>
      <w:r>
        <w:rPr>
          <w:color w:val="231F20"/>
          <w:sz w:val="20"/>
        </w:rPr>
        <w:t>dehumanization through years of social</w:t>
      </w:r>
      <w:r>
        <w:rPr>
          <w:color w:val="231F20"/>
          <w:spacing w:val="13"/>
          <w:sz w:val="20"/>
        </w:rPr>
        <w:t xml:space="preserve"> </w:t>
      </w:r>
      <w:r>
        <w:rPr>
          <w:color w:val="231F20"/>
          <w:sz w:val="20"/>
        </w:rPr>
        <w:t>isolation;</w:t>
      </w:r>
    </w:p>
    <w:p w14:paraId="5E98685F" w14:textId="77777777" w:rsidR="002653E8" w:rsidRDefault="003115E3">
      <w:pPr>
        <w:pStyle w:val="a4"/>
        <w:numPr>
          <w:ilvl w:val="0"/>
          <w:numId w:val="107"/>
        </w:numPr>
        <w:tabs>
          <w:tab w:val="left" w:pos="1824"/>
        </w:tabs>
        <w:spacing w:before="22" w:line="261" w:lineRule="auto"/>
        <w:ind w:right="1278"/>
        <w:rPr>
          <w:sz w:val="20"/>
        </w:rPr>
      </w:pPr>
      <w:r>
        <w:rPr>
          <w:color w:val="231F20"/>
          <w:sz w:val="20"/>
        </w:rPr>
        <w:t>the torturous re-education program and the pressure to cooperate in the brainwashing units—Ronald Augustin has been held  in</w:t>
      </w:r>
      <w:r>
        <w:rPr>
          <w:color w:val="231F20"/>
          <w:spacing w:val="11"/>
          <w:sz w:val="20"/>
        </w:rPr>
        <w:t xml:space="preserve"> </w:t>
      </w:r>
      <w:r>
        <w:rPr>
          <w:color w:val="231F20"/>
          <w:sz w:val="20"/>
        </w:rPr>
        <w:t>the</w:t>
      </w:r>
      <w:r>
        <w:rPr>
          <w:color w:val="231F20"/>
          <w:spacing w:val="11"/>
          <w:sz w:val="20"/>
        </w:rPr>
        <w:t xml:space="preserve"> </w:t>
      </w:r>
      <w:r>
        <w:rPr>
          <w:color w:val="231F20"/>
          <w:sz w:val="20"/>
        </w:rPr>
        <w:t>Hannover</w:t>
      </w:r>
      <w:r>
        <w:rPr>
          <w:color w:val="231F20"/>
          <w:spacing w:val="11"/>
          <w:sz w:val="20"/>
        </w:rPr>
        <w:t xml:space="preserve"> </w:t>
      </w:r>
      <w:r>
        <w:rPr>
          <w:color w:val="231F20"/>
          <w:sz w:val="20"/>
        </w:rPr>
        <w:t>prison</w:t>
      </w:r>
      <w:r>
        <w:rPr>
          <w:color w:val="231F20"/>
          <w:spacing w:val="11"/>
          <w:sz w:val="20"/>
        </w:rPr>
        <w:t xml:space="preserve"> </w:t>
      </w:r>
      <w:r>
        <w:rPr>
          <w:color w:val="231F20"/>
          <w:sz w:val="20"/>
        </w:rPr>
        <w:t>dead</w:t>
      </w:r>
      <w:r>
        <w:rPr>
          <w:color w:val="231F20"/>
          <w:spacing w:val="11"/>
          <w:sz w:val="20"/>
        </w:rPr>
        <w:t xml:space="preserve"> </w:t>
      </w:r>
      <w:r>
        <w:rPr>
          <w:color w:val="231F20"/>
          <w:sz w:val="20"/>
        </w:rPr>
        <w:t>wing</w:t>
      </w:r>
      <w:r>
        <w:rPr>
          <w:color w:val="231F20"/>
          <w:spacing w:val="11"/>
          <w:sz w:val="20"/>
        </w:rPr>
        <w:t xml:space="preserve"> </w:t>
      </w:r>
      <w:r>
        <w:rPr>
          <w:color w:val="231F20"/>
          <w:sz w:val="20"/>
        </w:rPr>
        <w:t>since</w:t>
      </w:r>
      <w:r>
        <w:rPr>
          <w:color w:val="231F20"/>
          <w:spacing w:val="11"/>
          <w:sz w:val="20"/>
        </w:rPr>
        <w:t xml:space="preserve"> </w:t>
      </w:r>
      <w:r>
        <w:rPr>
          <w:color w:val="231F20"/>
          <w:sz w:val="20"/>
        </w:rPr>
        <w:t>early</w:t>
      </w:r>
      <w:r>
        <w:rPr>
          <w:color w:val="231F20"/>
          <w:spacing w:val="11"/>
          <w:sz w:val="20"/>
        </w:rPr>
        <w:t xml:space="preserve"> </w:t>
      </w:r>
      <w:r>
        <w:rPr>
          <w:color w:val="231F20"/>
          <w:sz w:val="20"/>
        </w:rPr>
        <w:t>May;</w:t>
      </w:r>
    </w:p>
    <w:p w14:paraId="17E8E94C" w14:textId="77777777" w:rsidR="002653E8" w:rsidRDefault="003115E3">
      <w:pPr>
        <w:pStyle w:val="a4"/>
        <w:numPr>
          <w:ilvl w:val="0"/>
          <w:numId w:val="107"/>
        </w:numPr>
        <w:tabs>
          <w:tab w:val="left" w:pos="1824"/>
        </w:tabs>
        <w:spacing w:before="1" w:line="261" w:lineRule="auto"/>
        <w:ind w:right="1364"/>
        <w:rPr>
          <w:sz w:val="20"/>
        </w:rPr>
      </w:pPr>
      <w:r>
        <w:rPr>
          <w:color w:val="231F20"/>
          <w:sz w:val="20"/>
        </w:rPr>
        <w:t>the new acoustically sealed cells in Berlin-Tegel, Berlin-Lehrter Strasse, Bruchsal, Essen,  Cologne,  and  Straubing,  based  on the</w:t>
      </w:r>
      <w:r>
        <w:rPr>
          <w:color w:val="231F20"/>
          <w:spacing w:val="20"/>
          <w:sz w:val="20"/>
        </w:rPr>
        <w:t xml:space="preserve"> </w:t>
      </w:r>
      <w:r>
        <w:rPr>
          <w:color w:val="231F20"/>
          <w:sz w:val="20"/>
        </w:rPr>
        <w:t>model</w:t>
      </w:r>
      <w:r>
        <w:rPr>
          <w:color w:val="231F20"/>
          <w:spacing w:val="20"/>
          <w:sz w:val="20"/>
        </w:rPr>
        <w:t xml:space="preserve"> </w:t>
      </w:r>
      <w:r>
        <w:rPr>
          <w:color w:val="231F20"/>
          <w:sz w:val="20"/>
        </w:rPr>
        <w:t>of</w:t>
      </w:r>
      <w:r>
        <w:rPr>
          <w:color w:val="231F20"/>
          <w:spacing w:val="20"/>
          <w:sz w:val="20"/>
        </w:rPr>
        <w:t xml:space="preserve"> </w:t>
      </w:r>
      <w:r>
        <w:rPr>
          <w:color w:val="231F20"/>
          <w:sz w:val="20"/>
        </w:rPr>
        <w:t>the</w:t>
      </w:r>
      <w:r>
        <w:rPr>
          <w:color w:val="231F20"/>
          <w:spacing w:val="20"/>
          <w:sz w:val="20"/>
        </w:rPr>
        <w:t xml:space="preserve"> </w:t>
      </w:r>
      <w:r>
        <w:rPr>
          <w:color w:val="231F20"/>
          <w:sz w:val="20"/>
        </w:rPr>
        <w:t>Hamburg</w:t>
      </w:r>
      <w:r>
        <w:rPr>
          <w:color w:val="231F20"/>
          <w:spacing w:val="20"/>
          <w:sz w:val="20"/>
        </w:rPr>
        <w:t xml:space="preserve"> </w:t>
      </w:r>
      <w:r>
        <w:rPr>
          <w:color w:val="231F20"/>
          <w:sz w:val="20"/>
        </w:rPr>
        <w:t>DFG</w:t>
      </w:r>
      <w:r>
        <w:rPr>
          <w:color w:val="231F20"/>
          <w:spacing w:val="20"/>
          <w:sz w:val="20"/>
        </w:rPr>
        <w:t xml:space="preserve"> </w:t>
      </w:r>
      <w:r>
        <w:rPr>
          <w:color w:val="231F20"/>
          <w:sz w:val="20"/>
        </w:rPr>
        <w:t>Research</w:t>
      </w:r>
      <w:r>
        <w:rPr>
          <w:color w:val="231F20"/>
          <w:spacing w:val="20"/>
          <w:sz w:val="20"/>
        </w:rPr>
        <w:t xml:space="preserve"> </w:t>
      </w:r>
      <w:r>
        <w:rPr>
          <w:color w:val="231F20"/>
          <w:sz w:val="20"/>
        </w:rPr>
        <w:t>Project,</w:t>
      </w:r>
      <w:r>
        <w:rPr>
          <w:color w:val="231F20"/>
          <w:position w:val="7"/>
          <w:sz w:val="11"/>
        </w:rPr>
        <w:t>1</w:t>
      </w:r>
      <w:r>
        <w:rPr>
          <w:color w:val="231F20"/>
          <w:spacing w:val="12"/>
          <w:position w:val="7"/>
          <w:sz w:val="11"/>
        </w:rPr>
        <w:t xml:space="preserve"> </w:t>
      </w:r>
      <w:r>
        <w:rPr>
          <w:color w:val="231F20"/>
          <w:sz w:val="20"/>
        </w:rPr>
        <w:t>which</w:t>
      </w:r>
      <w:r>
        <w:rPr>
          <w:color w:val="231F20"/>
          <w:spacing w:val="20"/>
          <w:sz w:val="20"/>
        </w:rPr>
        <w:t xml:space="preserve"> </w:t>
      </w:r>
      <w:r>
        <w:rPr>
          <w:color w:val="231F20"/>
          <w:sz w:val="20"/>
        </w:rPr>
        <w:t>are</w:t>
      </w:r>
    </w:p>
    <w:p w14:paraId="5D4AB87D" w14:textId="77777777" w:rsidR="002653E8" w:rsidRDefault="003115E3">
      <w:pPr>
        <w:pStyle w:val="a3"/>
        <w:spacing w:before="2" w:line="261" w:lineRule="auto"/>
        <w:ind w:left="1824" w:right="1145"/>
      </w:pPr>
      <w:r>
        <w:rPr>
          <w:color w:val="231F20"/>
        </w:rPr>
        <w:t>constantly watched by cameras and are always overheated, and where one is under constant acoustic and video surveillance;</w:t>
      </w:r>
    </w:p>
    <w:p w14:paraId="16946FE0" w14:textId="77777777" w:rsidR="002653E8" w:rsidRDefault="003115E3">
      <w:pPr>
        <w:pStyle w:val="a4"/>
        <w:numPr>
          <w:ilvl w:val="0"/>
          <w:numId w:val="107"/>
        </w:numPr>
        <w:tabs>
          <w:tab w:val="left" w:pos="1825"/>
        </w:tabs>
        <w:spacing w:before="0" w:line="261" w:lineRule="auto"/>
        <w:ind w:right="1765"/>
        <w:rPr>
          <w:sz w:val="20"/>
        </w:rPr>
      </w:pPr>
      <w:r>
        <w:rPr>
          <w:color w:val="231F20"/>
          <w:sz w:val="20"/>
        </w:rPr>
        <w:t xml:space="preserve">delays during every visit, total isolation, eliminating even the possibility of shouting to other prisoners in the </w:t>
      </w:r>
      <w:r>
        <w:rPr>
          <w:color w:val="231F20"/>
          <w:spacing w:val="12"/>
          <w:sz w:val="20"/>
        </w:rPr>
        <w:t xml:space="preserve"> </w:t>
      </w:r>
      <w:r>
        <w:rPr>
          <w:color w:val="231F20"/>
          <w:sz w:val="20"/>
        </w:rPr>
        <w:t>Berlin-</w:t>
      </w:r>
    </w:p>
    <w:p w14:paraId="57949D65" w14:textId="77777777" w:rsidR="002653E8" w:rsidRDefault="003115E3">
      <w:pPr>
        <w:pStyle w:val="a3"/>
        <w:spacing w:before="1" w:line="261" w:lineRule="auto"/>
        <w:ind w:left="1823" w:right="1186"/>
      </w:pPr>
      <w:r>
        <w:rPr>
          <w:color w:val="231F20"/>
        </w:rPr>
        <w:t>Moabit dungeon, the  Essen  dungeon,  the  Straubing  dungeon, the Perungesheim dungeon, the Fuhlsbüttel dungeon, and the Mannheim dungeon, or being under video observation in the soundless bell jar at Hamburg remand centre—where one is kept in restraints for days on end;</w:t>
      </w:r>
    </w:p>
    <w:p w14:paraId="7B670E4B" w14:textId="77777777" w:rsidR="002653E8" w:rsidRDefault="003115E3">
      <w:pPr>
        <w:pStyle w:val="a4"/>
        <w:numPr>
          <w:ilvl w:val="0"/>
          <w:numId w:val="107"/>
        </w:numPr>
        <w:tabs>
          <w:tab w:val="left" w:pos="1824"/>
        </w:tabs>
        <w:spacing w:before="2" w:line="261" w:lineRule="auto"/>
        <w:ind w:right="1190"/>
        <w:rPr>
          <w:sz w:val="20"/>
        </w:rPr>
      </w:pPr>
      <w:r>
        <w:rPr>
          <w:color w:val="231F20"/>
          <w:sz w:val="20"/>
        </w:rPr>
        <w:t>attempted murder by withholding water during hunger strikes in Schwalmstadt, Munich, Hamburg and</w:t>
      </w:r>
      <w:r>
        <w:rPr>
          <w:color w:val="231F20"/>
          <w:spacing w:val="22"/>
          <w:sz w:val="20"/>
        </w:rPr>
        <w:t xml:space="preserve"> </w:t>
      </w:r>
      <w:r>
        <w:rPr>
          <w:color w:val="231F20"/>
          <w:sz w:val="20"/>
        </w:rPr>
        <w:t>Cologne;</w:t>
      </w:r>
    </w:p>
    <w:p w14:paraId="3B9C54F3" w14:textId="77777777" w:rsidR="002653E8" w:rsidRDefault="002653E8">
      <w:pPr>
        <w:pStyle w:val="a3"/>
      </w:pPr>
    </w:p>
    <w:p w14:paraId="7773B1EF" w14:textId="77777777" w:rsidR="002653E8" w:rsidRDefault="00000000">
      <w:pPr>
        <w:pStyle w:val="a3"/>
        <w:spacing w:before="10"/>
        <w:rPr>
          <w:sz w:val="12"/>
        </w:rPr>
      </w:pPr>
      <w:r>
        <w:rPr>
          <w:noProof w:val="0"/>
        </w:rPr>
        <w:pict w14:anchorId="31D97F14">
          <v:line id="_x0000_s2363" style="position:absolute;z-index:6976;mso-wrap-distance-left:0;mso-wrap-distance-right:0;mso-position-horizontal-relative:page" from="66.4pt,9.8pt" to="138.4pt,9.8pt" strokecolor="#231f20" strokeweight=".5pt">
            <w10:wrap type="topAndBottom" anchorx="page"/>
          </v:line>
        </w:pict>
      </w:r>
    </w:p>
    <w:p w14:paraId="2C7E1EDA" w14:textId="77777777" w:rsidR="002653E8" w:rsidRDefault="003115E3">
      <w:pPr>
        <w:spacing w:before="53" w:line="254" w:lineRule="auto"/>
        <w:ind w:left="1327" w:right="1580" w:hanging="1"/>
        <w:rPr>
          <w:sz w:val="16"/>
        </w:rPr>
      </w:pPr>
      <w:r>
        <w:rPr>
          <w:color w:val="231F20"/>
          <w:w w:val="105"/>
          <w:sz w:val="16"/>
        </w:rPr>
        <w:t xml:space="preserve">1 The </w:t>
      </w:r>
      <w:r>
        <w:rPr>
          <w:i/>
          <w:color w:val="231F20"/>
          <w:w w:val="105"/>
          <w:sz w:val="16"/>
        </w:rPr>
        <w:t xml:space="preserve">Deutsche Forschungsgesellschaft, </w:t>
      </w:r>
      <w:r>
        <w:rPr>
          <w:color w:val="231F20"/>
          <w:w w:val="105"/>
          <w:sz w:val="16"/>
        </w:rPr>
        <w:t>the FRG’s science funding agency, began supporting experiments in sensory deprivation in federal institutions in 1967.</w:t>
      </w:r>
    </w:p>
    <w:p w14:paraId="7D7262F0" w14:textId="77777777" w:rsidR="002653E8" w:rsidRDefault="002653E8">
      <w:pPr>
        <w:spacing w:line="254" w:lineRule="auto"/>
        <w:rPr>
          <w:sz w:val="16"/>
        </w:rPr>
        <w:sectPr w:rsidR="002653E8">
          <w:footerReference w:type="even" r:id="rId246"/>
          <w:footerReference w:type="default" r:id="rId247"/>
          <w:pgSz w:w="8640" w:h="12960"/>
          <w:pgMar w:top="1220" w:right="0" w:bottom="1040" w:left="0" w:header="0" w:footer="850" w:gutter="0"/>
          <w:pgNumType w:start="285"/>
          <w:cols w:space="720"/>
        </w:sectPr>
      </w:pPr>
    </w:p>
    <w:p w14:paraId="284A97E9" w14:textId="77777777" w:rsidR="002653E8" w:rsidRDefault="003115E3">
      <w:pPr>
        <w:pStyle w:val="a4"/>
        <w:numPr>
          <w:ilvl w:val="0"/>
          <w:numId w:val="106"/>
        </w:numPr>
        <w:tabs>
          <w:tab w:val="left" w:pos="1644"/>
        </w:tabs>
        <w:spacing w:before="86" w:line="261" w:lineRule="auto"/>
        <w:ind w:right="1504" w:hanging="241"/>
        <w:rPr>
          <w:sz w:val="20"/>
        </w:rPr>
      </w:pPr>
      <w:r>
        <w:rPr>
          <w:color w:val="231F20"/>
          <w:sz w:val="20"/>
        </w:rPr>
        <w:lastRenderedPageBreak/>
        <w:t xml:space="preserve">concentration units for political prisoners in Lübeck, </w:t>
      </w:r>
      <w:r>
        <w:rPr>
          <w:color w:val="231F20"/>
          <w:spacing w:val="1"/>
          <w:sz w:val="20"/>
        </w:rPr>
        <w:t xml:space="preserve">Stuttgart, </w:t>
      </w:r>
      <w:r>
        <w:rPr>
          <w:color w:val="231F20"/>
          <w:sz w:val="20"/>
        </w:rPr>
        <w:t>and</w:t>
      </w:r>
      <w:r>
        <w:rPr>
          <w:color w:val="231F20"/>
          <w:spacing w:val="10"/>
          <w:sz w:val="20"/>
        </w:rPr>
        <w:t xml:space="preserve"> </w:t>
      </w:r>
      <w:r>
        <w:rPr>
          <w:color w:val="231F20"/>
          <w:sz w:val="20"/>
        </w:rPr>
        <w:t>Berlin;</w:t>
      </w:r>
    </w:p>
    <w:p w14:paraId="50B28FE6" w14:textId="77777777" w:rsidR="002653E8" w:rsidRDefault="003115E3">
      <w:pPr>
        <w:pStyle w:val="a4"/>
        <w:numPr>
          <w:ilvl w:val="0"/>
          <w:numId w:val="106"/>
        </w:numPr>
        <w:tabs>
          <w:tab w:val="left" w:pos="1645"/>
        </w:tabs>
        <w:spacing w:before="1"/>
        <w:ind w:hanging="241"/>
        <w:rPr>
          <w:sz w:val="20"/>
        </w:rPr>
      </w:pPr>
      <w:r>
        <w:rPr>
          <w:color w:val="231F20"/>
          <w:sz w:val="20"/>
        </w:rPr>
        <w:t>being shackled during yard time in Hamburg and</w:t>
      </w:r>
      <w:r>
        <w:rPr>
          <w:color w:val="231F20"/>
          <w:spacing w:val="11"/>
          <w:sz w:val="20"/>
        </w:rPr>
        <w:t xml:space="preserve"> </w:t>
      </w:r>
      <w:r>
        <w:rPr>
          <w:color w:val="231F20"/>
          <w:sz w:val="20"/>
        </w:rPr>
        <w:t>Lübeck;</w:t>
      </w:r>
    </w:p>
    <w:p w14:paraId="6D47449E" w14:textId="77777777" w:rsidR="002653E8" w:rsidRDefault="003115E3">
      <w:pPr>
        <w:pStyle w:val="a4"/>
        <w:numPr>
          <w:ilvl w:val="0"/>
          <w:numId w:val="106"/>
        </w:numPr>
        <w:tabs>
          <w:tab w:val="left" w:pos="1644"/>
        </w:tabs>
        <w:spacing w:before="21" w:line="261" w:lineRule="auto"/>
        <w:ind w:left="1643" w:right="1474"/>
        <w:rPr>
          <w:sz w:val="20"/>
        </w:rPr>
      </w:pPr>
      <w:r>
        <w:rPr>
          <w:color w:val="231F20"/>
          <w:sz w:val="20"/>
        </w:rPr>
        <w:t>being placed in special cells directly beside the main prison entrance in Cologne-Ossendorf for the past two years—there is never</w:t>
      </w:r>
      <w:r>
        <w:rPr>
          <w:color w:val="231F20"/>
          <w:spacing w:val="8"/>
          <w:sz w:val="20"/>
        </w:rPr>
        <w:t xml:space="preserve"> </w:t>
      </w:r>
      <w:r>
        <w:rPr>
          <w:color w:val="231F20"/>
          <w:sz w:val="20"/>
        </w:rPr>
        <w:t>silence;</w:t>
      </w:r>
      <w:r>
        <w:rPr>
          <w:color w:val="231F20"/>
          <w:spacing w:val="8"/>
          <w:sz w:val="20"/>
        </w:rPr>
        <w:t xml:space="preserve"> </w:t>
      </w:r>
      <w:r>
        <w:rPr>
          <w:color w:val="231F20"/>
          <w:sz w:val="20"/>
        </w:rPr>
        <w:t>the</w:t>
      </w:r>
      <w:r>
        <w:rPr>
          <w:color w:val="231F20"/>
          <w:spacing w:val="8"/>
          <w:sz w:val="20"/>
        </w:rPr>
        <w:t xml:space="preserve"> </w:t>
      </w:r>
      <w:r>
        <w:rPr>
          <w:color w:val="231F20"/>
          <w:sz w:val="20"/>
        </w:rPr>
        <w:t>same</w:t>
      </w:r>
      <w:r>
        <w:rPr>
          <w:color w:val="231F20"/>
          <w:spacing w:val="8"/>
          <w:sz w:val="20"/>
        </w:rPr>
        <w:t xml:space="preserve"> </w:t>
      </w:r>
      <w:r>
        <w:rPr>
          <w:color w:val="231F20"/>
          <w:sz w:val="20"/>
        </w:rPr>
        <w:t>is</w:t>
      </w:r>
      <w:r>
        <w:rPr>
          <w:color w:val="231F20"/>
          <w:spacing w:val="8"/>
          <w:sz w:val="20"/>
        </w:rPr>
        <w:t xml:space="preserve"> </w:t>
      </w:r>
      <w:r>
        <w:rPr>
          <w:color w:val="231F20"/>
          <w:sz w:val="20"/>
        </w:rPr>
        <w:t>the</w:t>
      </w:r>
      <w:r>
        <w:rPr>
          <w:color w:val="231F20"/>
          <w:spacing w:val="8"/>
          <w:sz w:val="20"/>
        </w:rPr>
        <w:t xml:space="preserve"> </w:t>
      </w:r>
      <w:r>
        <w:rPr>
          <w:color w:val="231F20"/>
          <w:sz w:val="20"/>
        </w:rPr>
        <w:t>case</w:t>
      </w:r>
      <w:r>
        <w:rPr>
          <w:color w:val="231F20"/>
          <w:spacing w:val="8"/>
          <w:sz w:val="20"/>
        </w:rPr>
        <w:t xml:space="preserve"> </w:t>
      </w:r>
      <w:r>
        <w:rPr>
          <w:color w:val="231F20"/>
          <w:sz w:val="20"/>
        </w:rPr>
        <w:t>in</w:t>
      </w:r>
      <w:r>
        <w:rPr>
          <w:color w:val="231F20"/>
          <w:spacing w:val="10"/>
          <w:sz w:val="20"/>
        </w:rPr>
        <w:t xml:space="preserve"> </w:t>
      </w:r>
      <w:r>
        <w:rPr>
          <w:color w:val="231F20"/>
          <w:sz w:val="20"/>
        </w:rPr>
        <w:t>Berlin-Moabit;</w:t>
      </w:r>
    </w:p>
    <w:p w14:paraId="622047F9" w14:textId="77777777" w:rsidR="002653E8" w:rsidRDefault="003115E3">
      <w:pPr>
        <w:pStyle w:val="a4"/>
        <w:numPr>
          <w:ilvl w:val="0"/>
          <w:numId w:val="106"/>
        </w:numPr>
        <w:tabs>
          <w:tab w:val="left" w:pos="1644"/>
        </w:tabs>
        <w:spacing w:before="1" w:line="261" w:lineRule="auto"/>
        <w:ind w:left="1643" w:right="1367"/>
        <w:rPr>
          <w:sz w:val="20"/>
        </w:rPr>
      </w:pPr>
      <w:r>
        <w:rPr>
          <w:color w:val="231F20"/>
          <w:sz w:val="20"/>
        </w:rPr>
        <w:t xml:space="preserve">psychiatric research and the threat and use of forced drugging in order to </w:t>
      </w:r>
      <w:r>
        <w:rPr>
          <w:color w:val="231F20"/>
          <w:spacing w:val="1"/>
          <w:sz w:val="20"/>
        </w:rPr>
        <w:t xml:space="preserve">carry </w:t>
      </w:r>
      <w:r>
        <w:rPr>
          <w:color w:val="231F20"/>
          <w:sz w:val="20"/>
        </w:rPr>
        <w:t>out further</w:t>
      </w:r>
      <w:r>
        <w:rPr>
          <w:color w:val="231F20"/>
          <w:spacing w:val="5"/>
          <w:sz w:val="20"/>
        </w:rPr>
        <w:t xml:space="preserve"> </w:t>
      </w:r>
      <w:r>
        <w:rPr>
          <w:color w:val="231F20"/>
          <w:sz w:val="20"/>
        </w:rPr>
        <w:t>investigations;</w:t>
      </w:r>
    </w:p>
    <w:p w14:paraId="0B760EED" w14:textId="77777777" w:rsidR="002653E8" w:rsidRDefault="003115E3">
      <w:pPr>
        <w:pStyle w:val="a4"/>
        <w:numPr>
          <w:ilvl w:val="0"/>
          <w:numId w:val="106"/>
        </w:numPr>
        <w:tabs>
          <w:tab w:val="left" w:pos="1644"/>
        </w:tabs>
        <w:spacing w:before="1" w:line="261" w:lineRule="auto"/>
        <w:ind w:left="1643" w:right="1329"/>
        <w:rPr>
          <w:sz w:val="20"/>
        </w:rPr>
      </w:pPr>
      <w:r>
        <w:rPr>
          <w:color w:val="231F20"/>
          <w:sz w:val="20"/>
        </w:rPr>
        <w:t>cells with plexiglass dividers for meetings with lawyers in Hannover, Stuttgart, and Straubing, making any political discussion</w:t>
      </w:r>
      <w:r>
        <w:rPr>
          <w:color w:val="231F20"/>
          <w:spacing w:val="10"/>
          <w:sz w:val="20"/>
        </w:rPr>
        <w:t xml:space="preserve"> </w:t>
      </w:r>
      <w:r>
        <w:rPr>
          <w:color w:val="231F20"/>
          <w:sz w:val="20"/>
        </w:rPr>
        <w:t>impossible;</w:t>
      </w:r>
    </w:p>
    <w:p w14:paraId="4B274A0D" w14:textId="77777777" w:rsidR="002653E8" w:rsidRDefault="003115E3">
      <w:pPr>
        <w:pStyle w:val="a4"/>
        <w:numPr>
          <w:ilvl w:val="0"/>
          <w:numId w:val="106"/>
        </w:numPr>
        <w:tabs>
          <w:tab w:val="left" w:pos="1644"/>
        </w:tabs>
        <w:spacing w:before="1" w:line="261" w:lineRule="auto"/>
        <w:ind w:left="1643" w:right="1521"/>
        <w:rPr>
          <w:sz w:val="20"/>
        </w:rPr>
      </w:pPr>
      <w:r>
        <w:rPr>
          <w:color w:val="231F20"/>
          <w:sz w:val="20"/>
        </w:rPr>
        <w:t xml:space="preserve">periodic confiscation of defense materials—records and mail— </w:t>
      </w:r>
      <w:r>
        <w:rPr>
          <w:color w:val="231F20"/>
          <w:spacing w:val="-1"/>
          <w:w w:val="101"/>
          <w:sz w:val="20"/>
        </w:rPr>
        <w:t>b</w:t>
      </w:r>
      <w:r>
        <w:rPr>
          <w:color w:val="231F20"/>
          <w:w w:val="99"/>
          <w:sz w:val="20"/>
        </w:rPr>
        <w:t>y</w:t>
      </w:r>
      <w:r>
        <w:rPr>
          <w:color w:val="231F20"/>
          <w:spacing w:val="10"/>
          <w:sz w:val="20"/>
        </w:rPr>
        <w:t xml:space="preserve"> </w:t>
      </w:r>
      <w:r>
        <w:rPr>
          <w:color w:val="231F20"/>
          <w:spacing w:val="2"/>
          <w:w w:val="98"/>
          <w:sz w:val="20"/>
        </w:rPr>
        <w:t>t</w:t>
      </w:r>
      <w:r>
        <w:rPr>
          <w:color w:val="231F20"/>
          <w:spacing w:val="-1"/>
          <w:sz w:val="20"/>
        </w:rPr>
        <w:t>h</w:t>
      </w:r>
      <w:r>
        <w:rPr>
          <w:color w:val="231F20"/>
          <w:w w:val="91"/>
          <w:sz w:val="20"/>
        </w:rPr>
        <w:t>e</w:t>
      </w:r>
      <w:r>
        <w:rPr>
          <w:color w:val="231F20"/>
          <w:spacing w:val="10"/>
          <w:sz w:val="20"/>
        </w:rPr>
        <w:t xml:space="preserve"> </w:t>
      </w:r>
      <w:r>
        <w:rPr>
          <w:color w:val="231F20"/>
          <w:spacing w:val="3"/>
          <w:w w:val="99"/>
          <w:sz w:val="20"/>
        </w:rPr>
        <w:t>B</w:t>
      </w:r>
      <w:r>
        <w:rPr>
          <w:color w:val="231F20"/>
          <w:spacing w:val="-1"/>
          <w:w w:val="104"/>
          <w:sz w:val="20"/>
        </w:rPr>
        <w:t>o</w:t>
      </w:r>
      <w:r>
        <w:rPr>
          <w:color w:val="231F20"/>
          <w:spacing w:val="3"/>
          <w:w w:val="99"/>
          <w:sz w:val="20"/>
        </w:rPr>
        <w:t>n</w:t>
      </w:r>
      <w:r>
        <w:rPr>
          <w:color w:val="231F20"/>
          <w:w w:val="99"/>
          <w:sz w:val="20"/>
        </w:rPr>
        <w:t>n</w:t>
      </w:r>
      <w:r>
        <w:rPr>
          <w:color w:val="231F20"/>
          <w:spacing w:val="10"/>
          <w:sz w:val="20"/>
        </w:rPr>
        <w:t xml:space="preserve"> </w:t>
      </w:r>
      <w:r>
        <w:rPr>
          <w:color w:val="231F20"/>
          <w:spacing w:val="5"/>
          <w:sz w:val="20"/>
        </w:rPr>
        <w:t>S</w:t>
      </w:r>
      <w:r>
        <w:rPr>
          <w:color w:val="231F20"/>
          <w:spacing w:val="1"/>
          <w:w w:val="91"/>
          <w:sz w:val="20"/>
        </w:rPr>
        <w:t>e</w:t>
      </w:r>
      <w:r>
        <w:rPr>
          <w:color w:val="231F20"/>
          <w:spacing w:val="2"/>
          <w:sz w:val="20"/>
        </w:rPr>
        <w:t>c</w:t>
      </w:r>
      <w:r>
        <w:rPr>
          <w:color w:val="231F20"/>
          <w:spacing w:val="3"/>
          <w:sz w:val="20"/>
        </w:rPr>
        <w:t>u</w:t>
      </w:r>
      <w:r>
        <w:rPr>
          <w:color w:val="231F20"/>
          <w:spacing w:val="1"/>
          <w:w w:val="94"/>
          <w:sz w:val="20"/>
        </w:rPr>
        <w:t>r</w:t>
      </w:r>
      <w:r>
        <w:rPr>
          <w:color w:val="231F20"/>
          <w:spacing w:val="-2"/>
          <w:sz w:val="20"/>
        </w:rPr>
        <w:t>i</w:t>
      </w:r>
      <w:r>
        <w:rPr>
          <w:color w:val="231F20"/>
          <w:spacing w:val="5"/>
          <w:w w:val="98"/>
          <w:sz w:val="20"/>
        </w:rPr>
        <w:t>t</w:t>
      </w:r>
      <w:r>
        <w:rPr>
          <w:color w:val="231F20"/>
          <w:w w:val="99"/>
          <w:sz w:val="20"/>
        </w:rPr>
        <w:t>y</w:t>
      </w:r>
      <w:r>
        <w:rPr>
          <w:color w:val="231F20"/>
          <w:spacing w:val="10"/>
          <w:sz w:val="20"/>
        </w:rPr>
        <w:t xml:space="preserve"> </w:t>
      </w:r>
      <w:r>
        <w:rPr>
          <w:color w:val="231F20"/>
          <w:spacing w:val="1"/>
          <w:w w:val="127"/>
          <w:sz w:val="20"/>
        </w:rPr>
        <w:t>G</w:t>
      </w:r>
      <w:r>
        <w:rPr>
          <w:color w:val="231F20"/>
          <w:spacing w:val="-2"/>
          <w:w w:val="94"/>
          <w:sz w:val="20"/>
        </w:rPr>
        <w:t>r</w:t>
      </w:r>
      <w:r>
        <w:rPr>
          <w:color w:val="231F20"/>
          <w:spacing w:val="-2"/>
          <w:w w:val="104"/>
          <w:sz w:val="20"/>
        </w:rPr>
        <w:t>o</w:t>
      </w:r>
      <w:r>
        <w:rPr>
          <w:color w:val="231F20"/>
          <w:spacing w:val="-3"/>
          <w:sz w:val="20"/>
        </w:rPr>
        <w:t>u</w:t>
      </w:r>
      <w:r>
        <w:rPr>
          <w:color w:val="231F20"/>
          <w:spacing w:val="2"/>
          <w:w w:val="99"/>
          <w:sz w:val="20"/>
        </w:rPr>
        <w:t>p</w:t>
      </w:r>
      <w:r>
        <w:rPr>
          <w:color w:val="231F20"/>
          <w:spacing w:val="2"/>
          <w:w w:val="56"/>
          <w:sz w:val="20"/>
        </w:rPr>
        <w:t>/</w:t>
      </w:r>
      <w:r>
        <w:rPr>
          <w:color w:val="231F20"/>
          <w:sz w:val="20"/>
        </w:rPr>
        <w:t>S</w:t>
      </w:r>
      <w:r>
        <w:rPr>
          <w:color w:val="231F20"/>
          <w:spacing w:val="2"/>
          <w:w w:val="98"/>
          <w:sz w:val="20"/>
        </w:rPr>
        <w:t>t</w:t>
      </w:r>
      <w:r>
        <w:rPr>
          <w:color w:val="231F20"/>
          <w:spacing w:val="-2"/>
          <w:w w:val="102"/>
          <w:sz w:val="20"/>
        </w:rPr>
        <w:t>a</w:t>
      </w:r>
      <w:r>
        <w:rPr>
          <w:color w:val="231F20"/>
          <w:w w:val="98"/>
          <w:sz w:val="20"/>
        </w:rPr>
        <w:t>t</w:t>
      </w:r>
      <w:r>
        <w:rPr>
          <w:color w:val="231F20"/>
          <w:w w:val="91"/>
          <w:sz w:val="20"/>
        </w:rPr>
        <w:t>e</w:t>
      </w:r>
      <w:r>
        <w:rPr>
          <w:color w:val="231F20"/>
          <w:spacing w:val="10"/>
          <w:sz w:val="20"/>
        </w:rPr>
        <w:t xml:space="preserve"> </w:t>
      </w:r>
      <w:r>
        <w:rPr>
          <w:color w:val="231F20"/>
          <w:spacing w:val="5"/>
          <w:sz w:val="20"/>
        </w:rPr>
        <w:t>S</w:t>
      </w:r>
      <w:r>
        <w:rPr>
          <w:color w:val="231F20"/>
          <w:spacing w:val="1"/>
          <w:w w:val="91"/>
          <w:sz w:val="20"/>
        </w:rPr>
        <w:t>e</w:t>
      </w:r>
      <w:r>
        <w:rPr>
          <w:color w:val="231F20"/>
          <w:spacing w:val="2"/>
          <w:sz w:val="20"/>
        </w:rPr>
        <w:t>c</w:t>
      </w:r>
      <w:r>
        <w:rPr>
          <w:color w:val="231F20"/>
          <w:spacing w:val="3"/>
          <w:sz w:val="20"/>
        </w:rPr>
        <w:t>u</w:t>
      </w:r>
      <w:r>
        <w:rPr>
          <w:color w:val="231F20"/>
          <w:spacing w:val="1"/>
          <w:w w:val="94"/>
          <w:sz w:val="20"/>
        </w:rPr>
        <w:t>r</w:t>
      </w:r>
      <w:r>
        <w:rPr>
          <w:color w:val="231F20"/>
          <w:spacing w:val="-2"/>
          <w:sz w:val="20"/>
        </w:rPr>
        <w:t>i</w:t>
      </w:r>
      <w:r>
        <w:rPr>
          <w:color w:val="231F20"/>
          <w:spacing w:val="5"/>
          <w:w w:val="98"/>
          <w:sz w:val="20"/>
        </w:rPr>
        <w:t>t</w:t>
      </w:r>
      <w:r>
        <w:rPr>
          <w:color w:val="231F20"/>
          <w:w w:val="99"/>
          <w:sz w:val="20"/>
        </w:rPr>
        <w:t>y</w:t>
      </w:r>
      <w:r>
        <w:rPr>
          <w:color w:val="231F20"/>
          <w:spacing w:val="10"/>
          <w:sz w:val="20"/>
        </w:rPr>
        <w:t xml:space="preserve"> </w:t>
      </w:r>
      <w:r>
        <w:rPr>
          <w:color w:val="231F20"/>
          <w:w w:val="117"/>
          <w:sz w:val="20"/>
        </w:rPr>
        <w:t>D</w:t>
      </w:r>
      <w:r>
        <w:rPr>
          <w:color w:val="231F20"/>
          <w:spacing w:val="-2"/>
          <w:sz w:val="20"/>
        </w:rPr>
        <w:t>i</w:t>
      </w:r>
      <w:r>
        <w:rPr>
          <w:color w:val="231F20"/>
          <w:spacing w:val="2"/>
          <w:w w:val="99"/>
          <w:sz w:val="20"/>
        </w:rPr>
        <w:t>v</w:t>
      </w:r>
      <w:r>
        <w:rPr>
          <w:color w:val="231F20"/>
          <w:sz w:val="20"/>
        </w:rPr>
        <w:t>i</w:t>
      </w:r>
      <w:r>
        <w:rPr>
          <w:color w:val="231F20"/>
          <w:spacing w:val="-1"/>
          <w:w w:val="90"/>
          <w:sz w:val="20"/>
        </w:rPr>
        <w:t>s</w:t>
      </w:r>
      <w:r>
        <w:rPr>
          <w:color w:val="231F20"/>
          <w:spacing w:val="-2"/>
          <w:sz w:val="20"/>
        </w:rPr>
        <w:t>i</w:t>
      </w:r>
      <w:r>
        <w:rPr>
          <w:color w:val="231F20"/>
          <w:spacing w:val="-1"/>
          <w:w w:val="104"/>
          <w:sz w:val="20"/>
        </w:rPr>
        <w:t>o</w:t>
      </w:r>
      <w:r>
        <w:rPr>
          <w:color w:val="231F20"/>
          <w:spacing w:val="2"/>
          <w:w w:val="99"/>
          <w:sz w:val="20"/>
        </w:rPr>
        <w:t>n</w:t>
      </w:r>
      <w:r>
        <w:rPr>
          <w:color w:val="231F20"/>
          <w:w w:val="105"/>
          <w:sz w:val="20"/>
        </w:rPr>
        <w:t>;</w:t>
      </w:r>
    </w:p>
    <w:p w14:paraId="3D50B827" w14:textId="77777777" w:rsidR="002653E8" w:rsidRDefault="003115E3">
      <w:pPr>
        <w:pStyle w:val="a4"/>
        <w:numPr>
          <w:ilvl w:val="0"/>
          <w:numId w:val="106"/>
        </w:numPr>
        <w:tabs>
          <w:tab w:val="left" w:pos="1644"/>
        </w:tabs>
        <w:spacing w:before="1" w:line="261" w:lineRule="auto"/>
        <w:ind w:left="1643" w:right="1753"/>
        <w:rPr>
          <w:sz w:val="20"/>
        </w:rPr>
      </w:pPr>
      <w:r>
        <w:rPr>
          <w:color w:val="231F20"/>
          <w:sz w:val="20"/>
        </w:rPr>
        <w:t xml:space="preserve">the Bonn Security </w:t>
      </w:r>
      <w:r>
        <w:rPr>
          <w:color w:val="231F20"/>
          <w:spacing w:val="-3"/>
          <w:sz w:val="20"/>
        </w:rPr>
        <w:t xml:space="preserve">Group’s </w:t>
      </w:r>
      <w:r>
        <w:rPr>
          <w:color w:val="231F20"/>
          <w:sz w:val="20"/>
        </w:rPr>
        <w:t>cell raids tied to media hate campaigns against the lawyers representing political</w:t>
      </w:r>
      <w:r>
        <w:rPr>
          <w:color w:val="231F20"/>
          <w:spacing w:val="26"/>
          <w:sz w:val="20"/>
        </w:rPr>
        <w:t xml:space="preserve"> </w:t>
      </w:r>
      <w:r>
        <w:rPr>
          <w:color w:val="231F20"/>
          <w:sz w:val="20"/>
        </w:rPr>
        <w:t>prisoners;</w:t>
      </w:r>
    </w:p>
    <w:p w14:paraId="5CB58B6E" w14:textId="77777777" w:rsidR="002653E8" w:rsidRDefault="003115E3">
      <w:pPr>
        <w:pStyle w:val="a4"/>
        <w:numPr>
          <w:ilvl w:val="0"/>
          <w:numId w:val="106"/>
        </w:numPr>
        <w:tabs>
          <w:tab w:val="left" w:pos="1644"/>
        </w:tabs>
        <w:spacing w:before="1"/>
        <w:ind w:left="1643"/>
        <w:rPr>
          <w:sz w:val="20"/>
        </w:rPr>
      </w:pPr>
      <w:r>
        <w:rPr>
          <w:color w:val="231F20"/>
          <w:sz w:val="20"/>
        </w:rPr>
        <w:t>criminalizing lawyers who represent political</w:t>
      </w:r>
      <w:r>
        <w:rPr>
          <w:color w:val="231F20"/>
          <w:spacing w:val="5"/>
          <w:sz w:val="20"/>
        </w:rPr>
        <w:t xml:space="preserve"> </w:t>
      </w:r>
      <w:r>
        <w:rPr>
          <w:color w:val="231F20"/>
          <w:sz w:val="20"/>
        </w:rPr>
        <w:t>prisoners;</w:t>
      </w:r>
    </w:p>
    <w:p w14:paraId="3BB2DDF1" w14:textId="77777777" w:rsidR="002653E8" w:rsidRDefault="003115E3">
      <w:pPr>
        <w:pStyle w:val="a4"/>
        <w:numPr>
          <w:ilvl w:val="0"/>
          <w:numId w:val="106"/>
        </w:numPr>
        <w:tabs>
          <w:tab w:val="left" w:pos="1644"/>
        </w:tabs>
        <w:spacing w:before="22"/>
        <w:ind w:left="1643"/>
        <w:rPr>
          <w:sz w:val="20"/>
        </w:rPr>
      </w:pPr>
      <w:r>
        <w:rPr>
          <w:color w:val="231F20"/>
          <w:sz w:val="20"/>
        </w:rPr>
        <w:t>the withholding and manipulation of files by</w:t>
      </w:r>
      <w:r>
        <w:rPr>
          <w:color w:val="231F20"/>
          <w:spacing w:val="10"/>
          <w:sz w:val="20"/>
        </w:rPr>
        <w:t xml:space="preserve"> </w:t>
      </w:r>
      <w:r>
        <w:rPr>
          <w:color w:val="231F20"/>
          <w:sz w:val="20"/>
        </w:rPr>
        <w:t xml:space="preserve">the </w:t>
      </w:r>
      <w:r>
        <w:rPr>
          <w:color w:val="231F20"/>
          <w:spacing w:val="2"/>
          <w:sz w:val="20"/>
        </w:rPr>
        <w:t>BKA;</w:t>
      </w:r>
    </w:p>
    <w:p w14:paraId="57F93E5E" w14:textId="77777777" w:rsidR="002653E8" w:rsidRDefault="003115E3">
      <w:pPr>
        <w:pStyle w:val="a4"/>
        <w:numPr>
          <w:ilvl w:val="0"/>
          <w:numId w:val="106"/>
        </w:numPr>
        <w:tabs>
          <w:tab w:val="left" w:pos="1645"/>
        </w:tabs>
        <w:spacing w:before="21" w:line="261" w:lineRule="auto"/>
        <w:ind w:left="1643" w:right="1349"/>
        <w:rPr>
          <w:sz w:val="20"/>
        </w:rPr>
      </w:pPr>
      <w:r>
        <w:rPr>
          <w:color w:val="231F20"/>
          <w:w w:val="105"/>
          <w:sz w:val="20"/>
        </w:rPr>
        <w:t>the</w:t>
      </w:r>
      <w:r>
        <w:rPr>
          <w:color w:val="231F20"/>
          <w:spacing w:val="-15"/>
          <w:w w:val="105"/>
          <w:sz w:val="20"/>
        </w:rPr>
        <w:t xml:space="preserve"> </w:t>
      </w:r>
      <w:r>
        <w:rPr>
          <w:color w:val="231F20"/>
          <w:w w:val="105"/>
          <w:sz w:val="20"/>
        </w:rPr>
        <w:t>prompt</w:t>
      </w:r>
      <w:r>
        <w:rPr>
          <w:color w:val="231F20"/>
          <w:spacing w:val="-15"/>
          <w:w w:val="105"/>
          <w:sz w:val="20"/>
        </w:rPr>
        <w:t xml:space="preserve"> </w:t>
      </w:r>
      <w:r>
        <w:rPr>
          <w:color w:val="231F20"/>
          <w:w w:val="105"/>
          <w:sz w:val="20"/>
        </w:rPr>
        <w:t>relaxation</w:t>
      </w:r>
      <w:r>
        <w:rPr>
          <w:color w:val="231F20"/>
          <w:spacing w:val="-15"/>
          <w:w w:val="105"/>
          <w:sz w:val="20"/>
        </w:rPr>
        <w:t xml:space="preserve"> </w:t>
      </w:r>
      <w:r>
        <w:rPr>
          <w:color w:val="231F20"/>
          <w:w w:val="105"/>
          <w:sz w:val="20"/>
        </w:rPr>
        <w:t>of</w:t>
      </w:r>
      <w:r>
        <w:rPr>
          <w:color w:val="231F20"/>
          <w:spacing w:val="-15"/>
          <w:w w:val="105"/>
          <w:sz w:val="20"/>
        </w:rPr>
        <w:t xml:space="preserve"> </w:t>
      </w:r>
      <w:r>
        <w:rPr>
          <w:color w:val="231F20"/>
          <w:w w:val="105"/>
          <w:sz w:val="20"/>
        </w:rPr>
        <w:t>isolation</w:t>
      </w:r>
      <w:r>
        <w:rPr>
          <w:color w:val="231F20"/>
          <w:spacing w:val="-15"/>
          <w:w w:val="105"/>
          <w:sz w:val="20"/>
        </w:rPr>
        <w:t xml:space="preserve"> </w:t>
      </w:r>
      <w:r>
        <w:rPr>
          <w:color w:val="231F20"/>
          <w:w w:val="105"/>
          <w:sz w:val="20"/>
        </w:rPr>
        <w:t>conditions</w:t>
      </w:r>
      <w:r>
        <w:rPr>
          <w:color w:val="231F20"/>
          <w:spacing w:val="-15"/>
          <w:w w:val="105"/>
          <w:sz w:val="20"/>
        </w:rPr>
        <w:t xml:space="preserve"> </w:t>
      </w:r>
      <w:r>
        <w:rPr>
          <w:color w:val="231F20"/>
          <w:w w:val="105"/>
          <w:sz w:val="20"/>
        </w:rPr>
        <w:t>only</w:t>
      </w:r>
      <w:r>
        <w:rPr>
          <w:color w:val="231F20"/>
          <w:spacing w:val="-15"/>
          <w:w w:val="105"/>
          <w:sz w:val="20"/>
        </w:rPr>
        <w:t xml:space="preserve"> </w:t>
      </w:r>
      <w:r>
        <w:rPr>
          <w:color w:val="231F20"/>
          <w:w w:val="105"/>
          <w:sz w:val="20"/>
        </w:rPr>
        <w:t>once</w:t>
      </w:r>
      <w:r>
        <w:rPr>
          <w:color w:val="231F20"/>
          <w:spacing w:val="-15"/>
          <w:w w:val="105"/>
          <w:sz w:val="20"/>
        </w:rPr>
        <w:t xml:space="preserve"> </w:t>
      </w:r>
      <w:r>
        <w:rPr>
          <w:color w:val="231F20"/>
          <w:w w:val="105"/>
          <w:sz w:val="20"/>
        </w:rPr>
        <w:t>the</w:t>
      </w:r>
      <w:r>
        <w:rPr>
          <w:color w:val="231F20"/>
          <w:spacing w:val="-15"/>
          <w:w w:val="105"/>
          <w:sz w:val="20"/>
        </w:rPr>
        <w:t xml:space="preserve"> </w:t>
      </w:r>
      <w:r>
        <w:rPr>
          <w:color w:val="231F20"/>
          <w:w w:val="105"/>
          <w:sz w:val="20"/>
        </w:rPr>
        <w:t>prisoner is in the clutches of the police and is being groomed as an infiltrator or a crown witness; in Cologne-Ossendorf, Jan Raspe has refused yard time, because he is only permitted yard time with</w:t>
      </w:r>
      <w:r>
        <w:rPr>
          <w:color w:val="231F20"/>
          <w:spacing w:val="-19"/>
          <w:w w:val="105"/>
          <w:sz w:val="20"/>
        </w:rPr>
        <w:t xml:space="preserve"> </w:t>
      </w:r>
      <w:r>
        <w:rPr>
          <w:color w:val="231F20"/>
          <w:w w:val="105"/>
          <w:sz w:val="20"/>
        </w:rPr>
        <w:t>an</w:t>
      </w:r>
      <w:r>
        <w:rPr>
          <w:color w:val="231F20"/>
          <w:spacing w:val="-19"/>
          <w:w w:val="105"/>
          <w:sz w:val="20"/>
        </w:rPr>
        <w:t xml:space="preserve"> </w:t>
      </w:r>
      <w:r>
        <w:rPr>
          <w:color w:val="231F20"/>
          <w:w w:val="105"/>
          <w:sz w:val="20"/>
        </w:rPr>
        <w:t>ever-changing</w:t>
      </w:r>
      <w:r>
        <w:rPr>
          <w:color w:val="231F20"/>
          <w:spacing w:val="-19"/>
          <w:w w:val="105"/>
          <w:sz w:val="20"/>
        </w:rPr>
        <w:t xml:space="preserve"> </w:t>
      </w:r>
      <w:r>
        <w:rPr>
          <w:color w:val="231F20"/>
          <w:w w:val="105"/>
          <w:sz w:val="20"/>
        </w:rPr>
        <w:t>selection</w:t>
      </w:r>
      <w:r>
        <w:rPr>
          <w:color w:val="231F20"/>
          <w:spacing w:val="-19"/>
          <w:w w:val="105"/>
          <w:sz w:val="20"/>
        </w:rPr>
        <w:t xml:space="preserve"> </w:t>
      </w:r>
      <w:r>
        <w:rPr>
          <w:color w:val="231F20"/>
          <w:w w:val="105"/>
          <w:sz w:val="20"/>
        </w:rPr>
        <w:t>of</w:t>
      </w:r>
      <w:r>
        <w:rPr>
          <w:color w:val="231F20"/>
          <w:spacing w:val="-19"/>
          <w:w w:val="105"/>
          <w:sz w:val="20"/>
        </w:rPr>
        <w:t xml:space="preserve"> </w:t>
      </w:r>
      <w:r>
        <w:rPr>
          <w:color w:val="231F20"/>
          <w:w w:val="105"/>
          <w:sz w:val="20"/>
        </w:rPr>
        <w:t>prisoners,</w:t>
      </w:r>
      <w:r>
        <w:rPr>
          <w:color w:val="231F20"/>
          <w:spacing w:val="-19"/>
          <w:w w:val="105"/>
          <w:sz w:val="20"/>
        </w:rPr>
        <w:t xml:space="preserve"> </w:t>
      </w:r>
      <w:r>
        <w:rPr>
          <w:color w:val="231F20"/>
          <w:w w:val="105"/>
          <w:sz w:val="20"/>
        </w:rPr>
        <w:t>which</w:t>
      </w:r>
      <w:r>
        <w:rPr>
          <w:color w:val="231F20"/>
          <w:spacing w:val="-19"/>
          <w:w w:val="105"/>
          <w:sz w:val="20"/>
        </w:rPr>
        <w:t xml:space="preserve"> </w:t>
      </w:r>
      <w:r>
        <w:rPr>
          <w:color w:val="231F20"/>
          <w:w w:val="105"/>
          <w:sz w:val="20"/>
        </w:rPr>
        <w:t>is</w:t>
      </w:r>
      <w:r>
        <w:rPr>
          <w:color w:val="231F20"/>
          <w:spacing w:val="-19"/>
          <w:w w:val="105"/>
          <w:sz w:val="20"/>
        </w:rPr>
        <w:t xml:space="preserve"> </w:t>
      </w:r>
      <w:r>
        <w:rPr>
          <w:color w:val="231F20"/>
          <w:w w:val="105"/>
          <w:sz w:val="20"/>
        </w:rPr>
        <w:t>disorienting</w:t>
      </w:r>
      <w:r>
        <w:rPr>
          <w:color w:val="231F20"/>
          <w:spacing w:val="-23"/>
          <w:w w:val="105"/>
          <w:sz w:val="20"/>
        </w:rPr>
        <w:t xml:space="preserve"> </w:t>
      </w:r>
      <w:r>
        <w:rPr>
          <w:color w:val="231F20"/>
          <w:w w:val="105"/>
          <w:sz w:val="20"/>
        </w:rPr>
        <w:t>and</w:t>
      </w:r>
      <w:r>
        <w:rPr>
          <w:color w:val="231F20"/>
          <w:spacing w:val="-23"/>
          <w:w w:val="105"/>
          <w:sz w:val="20"/>
        </w:rPr>
        <w:t xml:space="preserve"> </w:t>
      </w:r>
      <w:r>
        <w:rPr>
          <w:color w:val="231F20"/>
          <w:w w:val="105"/>
          <w:sz w:val="20"/>
        </w:rPr>
        <w:t>prevents</w:t>
      </w:r>
      <w:r>
        <w:rPr>
          <w:color w:val="231F20"/>
          <w:spacing w:val="-23"/>
          <w:w w:val="105"/>
          <w:sz w:val="20"/>
        </w:rPr>
        <w:t xml:space="preserve"> </w:t>
      </w:r>
      <w:r>
        <w:rPr>
          <w:color w:val="231F20"/>
          <w:w w:val="105"/>
          <w:sz w:val="20"/>
        </w:rPr>
        <w:t>communication.</w:t>
      </w:r>
      <w:r>
        <w:rPr>
          <w:color w:val="231F20"/>
          <w:spacing w:val="-23"/>
          <w:w w:val="105"/>
          <w:sz w:val="20"/>
        </w:rPr>
        <w:t xml:space="preserve"> </w:t>
      </w:r>
      <w:r>
        <w:rPr>
          <w:color w:val="231F20"/>
          <w:spacing w:val="1"/>
          <w:w w:val="105"/>
          <w:sz w:val="20"/>
        </w:rPr>
        <w:t>All</w:t>
      </w:r>
      <w:r>
        <w:rPr>
          <w:color w:val="231F20"/>
          <w:spacing w:val="-23"/>
          <w:w w:val="105"/>
          <w:sz w:val="20"/>
        </w:rPr>
        <w:t xml:space="preserve"> </w:t>
      </w:r>
      <w:r>
        <w:rPr>
          <w:color w:val="231F20"/>
          <w:w w:val="105"/>
          <w:sz w:val="20"/>
        </w:rPr>
        <w:t>these</w:t>
      </w:r>
      <w:r>
        <w:rPr>
          <w:color w:val="231F20"/>
          <w:spacing w:val="-23"/>
          <w:w w:val="105"/>
          <w:sz w:val="20"/>
        </w:rPr>
        <w:t xml:space="preserve"> </w:t>
      </w:r>
      <w:r>
        <w:rPr>
          <w:color w:val="231F20"/>
          <w:w w:val="105"/>
          <w:sz w:val="20"/>
        </w:rPr>
        <w:t>special</w:t>
      </w:r>
      <w:r>
        <w:rPr>
          <w:color w:val="231F20"/>
          <w:spacing w:val="-23"/>
          <w:w w:val="105"/>
          <w:sz w:val="20"/>
        </w:rPr>
        <w:t xml:space="preserve"> </w:t>
      </w:r>
      <w:r>
        <w:rPr>
          <w:color w:val="231F20"/>
          <w:w w:val="105"/>
          <w:sz w:val="20"/>
        </w:rPr>
        <w:t>rules</w:t>
      </w:r>
      <w:r>
        <w:rPr>
          <w:color w:val="231F20"/>
          <w:spacing w:val="-23"/>
          <w:w w:val="105"/>
          <w:sz w:val="20"/>
        </w:rPr>
        <w:t xml:space="preserve"> </w:t>
      </w:r>
      <w:r>
        <w:rPr>
          <w:color w:val="231F20"/>
          <w:w w:val="105"/>
          <w:sz w:val="20"/>
        </w:rPr>
        <w:t>continue to</w:t>
      </w:r>
      <w:r>
        <w:rPr>
          <w:color w:val="231F20"/>
          <w:spacing w:val="-8"/>
          <w:w w:val="105"/>
          <w:sz w:val="20"/>
        </w:rPr>
        <w:t xml:space="preserve"> </w:t>
      </w:r>
      <w:r>
        <w:rPr>
          <w:color w:val="231F20"/>
          <w:w w:val="105"/>
          <w:sz w:val="20"/>
        </w:rPr>
        <w:t>be</w:t>
      </w:r>
      <w:r>
        <w:rPr>
          <w:color w:val="231F20"/>
          <w:spacing w:val="-8"/>
          <w:w w:val="105"/>
          <w:sz w:val="20"/>
        </w:rPr>
        <w:t xml:space="preserve"> </w:t>
      </w:r>
      <w:r>
        <w:rPr>
          <w:color w:val="231F20"/>
          <w:w w:val="105"/>
          <w:sz w:val="20"/>
        </w:rPr>
        <w:t>applied</w:t>
      </w:r>
      <w:r>
        <w:rPr>
          <w:color w:val="231F20"/>
          <w:spacing w:val="-8"/>
          <w:w w:val="105"/>
          <w:sz w:val="20"/>
        </w:rPr>
        <w:t xml:space="preserve"> </w:t>
      </w:r>
      <w:r>
        <w:rPr>
          <w:color w:val="231F20"/>
          <w:w w:val="105"/>
          <w:sz w:val="20"/>
        </w:rPr>
        <w:t>so</w:t>
      </w:r>
      <w:r>
        <w:rPr>
          <w:color w:val="231F20"/>
          <w:spacing w:val="-8"/>
          <w:w w:val="105"/>
          <w:sz w:val="20"/>
        </w:rPr>
        <w:t xml:space="preserve"> </w:t>
      </w:r>
      <w:r>
        <w:rPr>
          <w:color w:val="231F20"/>
          <w:w w:val="105"/>
          <w:sz w:val="20"/>
        </w:rPr>
        <w:t>as</w:t>
      </w:r>
      <w:r>
        <w:rPr>
          <w:color w:val="231F20"/>
          <w:spacing w:val="-8"/>
          <w:w w:val="105"/>
          <w:sz w:val="20"/>
        </w:rPr>
        <w:t xml:space="preserve"> </w:t>
      </w:r>
      <w:r>
        <w:rPr>
          <w:color w:val="231F20"/>
          <w:w w:val="105"/>
          <w:sz w:val="20"/>
        </w:rPr>
        <w:t>to</w:t>
      </w:r>
      <w:r>
        <w:rPr>
          <w:color w:val="231F20"/>
          <w:spacing w:val="-8"/>
          <w:w w:val="105"/>
          <w:sz w:val="20"/>
        </w:rPr>
        <w:t xml:space="preserve"> </w:t>
      </w:r>
      <w:r>
        <w:rPr>
          <w:color w:val="231F20"/>
          <w:w w:val="105"/>
          <w:sz w:val="20"/>
        </w:rPr>
        <w:t>allow</w:t>
      </w:r>
      <w:r>
        <w:rPr>
          <w:color w:val="231F20"/>
          <w:spacing w:val="-8"/>
          <w:w w:val="105"/>
          <w:sz w:val="20"/>
        </w:rPr>
        <w:t xml:space="preserve"> </w:t>
      </w:r>
      <w:r>
        <w:rPr>
          <w:color w:val="231F20"/>
          <w:w w:val="105"/>
          <w:sz w:val="20"/>
        </w:rPr>
        <w:t>the</w:t>
      </w:r>
      <w:r>
        <w:rPr>
          <w:color w:val="231F20"/>
          <w:spacing w:val="-8"/>
          <w:w w:val="105"/>
          <w:sz w:val="20"/>
        </w:rPr>
        <w:t xml:space="preserve"> </w:t>
      </w:r>
      <w:r>
        <w:rPr>
          <w:color w:val="231F20"/>
          <w:w w:val="105"/>
          <w:sz w:val="20"/>
        </w:rPr>
        <w:t>police</w:t>
      </w:r>
      <w:r>
        <w:rPr>
          <w:color w:val="231F20"/>
          <w:spacing w:val="-8"/>
          <w:w w:val="105"/>
          <w:sz w:val="20"/>
        </w:rPr>
        <w:t xml:space="preserve"> </w:t>
      </w:r>
      <w:r>
        <w:rPr>
          <w:color w:val="231F20"/>
          <w:w w:val="105"/>
          <w:sz w:val="20"/>
        </w:rPr>
        <w:t>(Security</w:t>
      </w:r>
      <w:r>
        <w:rPr>
          <w:color w:val="231F20"/>
          <w:spacing w:val="-8"/>
          <w:w w:val="105"/>
          <w:sz w:val="20"/>
        </w:rPr>
        <w:t xml:space="preserve"> </w:t>
      </w:r>
      <w:r>
        <w:rPr>
          <w:color w:val="231F20"/>
          <w:spacing w:val="-3"/>
          <w:w w:val="105"/>
          <w:sz w:val="20"/>
        </w:rPr>
        <w:t>Group)</w:t>
      </w:r>
      <w:r>
        <w:rPr>
          <w:color w:val="231F20"/>
          <w:spacing w:val="-8"/>
          <w:w w:val="105"/>
          <w:sz w:val="20"/>
        </w:rPr>
        <w:t xml:space="preserve"> </w:t>
      </w:r>
      <w:r>
        <w:rPr>
          <w:color w:val="231F20"/>
          <w:w w:val="105"/>
          <w:sz w:val="20"/>
        </w:rPr>
        <w:t>to</w:t>
      </w:r>
      <w:r>
        <w:rPr>
          <w:color w:val="231F20"/>
          <w:spacing w:val="-8"/>
          <w:w w:val="105"/>
          <w:sz w:val="20"/>
        </w:rPr>
        <w:t xml:space="preserve"> </w:t>
      </w:r>
      <w:r>
        <w:rPr>
          <w:color w:val="231F20"/>
          <w:w w:val="105"/>
          <w:sz w:val="20"/>
        </w:rPr>
        <w:t>structure and control the prisoners’</w:t>
      </w:r>
      <w:r>
        <w:rPr>
          <w:color w:val="231F20"/>
          <w:spacing w:val="25"/>
          <w:w w:val="105"/>
          <w:sz w:val="20"/>
        </w:rPr>
        <w:t xml:space="preserve"> </w:t>
      </w:r>
      <w:r>
        <w:rPr>
          <w:color w:val="231F20"/>
          <w:w w:val="105"/>
          <w:sz w:val="20"/>
        </w:rPr>
        <w:t>contacts.</w:t>
      </w:r>
    </w:p>
    <w:p w14:paraId="0FDA717F" w14:textId="77777777" w:rsidR="002653E8" w:rsidRDefault="003115E3">
      <w:pPr>
        <w:pStyle w:val="a4"/>
        <w:numPr>
          <w:ilvl w:val="0"/>
          <w:numId w:val="106"/>
        </w:numPr>
        <w:tabs>
          <w:tab w:val="left" w:pos="1644"/>
        </w:tabs>
        <w:spacing w:before="4" w:line="261" w:lineRule="auto"/>
        <w:ind w:left="1643" w:right="1531"/>
        <w:rPr>
          <w:sz w:val="20"/>
        </w:rPr>
      </w:pPr>
      <w:r>
        <w:rPr>
          <w:color w:val="231F20"/>
          <w:sz w:val="20"/>
        </w:rPr>
        <w:t xml:space="preserve">the terrorizing of relatives with house searches, spies, verbal abuse and surveillance before and after visits, to pressure them into behaving with the prisoners in a </w:t>
      </w:r>
      <w:r>
        <w:rPr>
          <w:color w:val="231F20"/>
          <w:spacing w:val="-2"/>
          <w:sz w:val="20"/>
        </w:rPr>
        <w:t xml:space="preserve">way </w:t>
      </w:r>
      <w:r>
        <w:rPr>
          <w:color w:val="231F20"/>
          <w:sz w:val="20"/>
        </w:rPr>
        <w:t>that serves the interests of the</w:t>
      </w:r>
      <w:r>
        <w:rPr>
          <w:color w:val="231F20"/>
          <w:spacing w:val="31"/>
          <w:sz w:val="20"/>
        </w:rPr>
        <w:t xml:space="preserve"> </w:t>
      </w:r>
      <w:r>
        <w:rPr>
          <w:color w:val="231F20"/>
          <w:sz w:val="20"/>
        </w:rPr>
        <w:t>police.</w:t>
      </w:r>
    </w:p>
    <w:p w14:paraId="4A40C457" w14:textId="77777777" w:rsidR="002653E8" w:rsidRDefault="002653E8">
      <w:pPr>
        <w:pStyle w:val="a3"/>
        <w:spacing w:before="8"/>
        <w:rPr>
          <w:sz w:val="15"/>
        </w:rPr>
      </w:pPr>
    </w:p>
    <w:p w14:paraId="31B92814" w14:textId="77777777" w:rsidR="002653E8" w:rsidRDefault="003115E3">
      <w:pPr>
        <w:pStyle w:val="a3"/>
        <w:spacing w:before="99" w:line="264" w:lineRule="auto"/>
        <w:ind w:left="1147" w:right="1326"/>
        <w:jc w:val="both"/>
      </w:pPr>
      <w:r>
        <w:rPr>
          <w:color w:val="231F20"/>
          <w:spacing w:val="1"/>
        </w:rPr>
        <w:t xml:space="preserve">In </w:t>
      </w:r>
      <w:r>
        <w:rPr>
          <w:color w:val="231F20"/>
        </w:rPr>
        <w:t>isolation, the hunger strike is our only possible form of collective resistance to imperialism’s counterstrategy. Revolutionary prisoners and prisoners who have begun to organize themselves to fight are to    be psychologically and physically, that is to say politically, destroyed. Disarmed, imprisoned, isolated, this is our only option for asserting our psychological and spiritual strength, our identity as people, so that the stones</w:t>
      </w:r>
      <w:r>
        <w:rPr>
          <w:color w:val="231F20"/>
          <w:spacing w:val="10"/>
        </w:rPr>
        <w:t xml:space="preserve"> </w:t>
      </w:r>
      <w:r>
        <w:rPr>
          <w:color w:val="231F20"/>
        </w:rPr>
        <w:t>the</w:t>
      </w:r>
      <w:r>
        <w:rPr>
          <w:color w:val="231F20"/>
          <w:spacing w:val="10"/>
        </w:rPr>
        <w:t xml:space="preserve"> </w:t>
      </w:r>
      <w:r>
        <w:rPr>
          <w:color w:val="231F20"/>
        </w:rPr>
        <w:t>ruling</w:t>
      </w:r>
      <w:r>
        <w:rPr>
          <w:color w:val="231F20"/>
          <w:spacing w:val="10"/>
        </w:rPr>
        <w:t xml:space="preserve"> </w:t>
      </w:r>
      <w:r>
        <w:rPr>
          <w:color w:val="231F20"/>
        </w:rPr>
        <w:t>class</w:t>
      </w:r>
      <w:r>
        <w:rPr>
          <w:color w:val="231F20"/>
          <w:spacing w:val="10"/>
        </w:rPr>
        <w:t xml:space="preserve"> </w:t>
      </w:r>
      <w:r>
        <w:rPr>
          <w:color w:val="231F20"/>
        </w:rPr>
        <w:t>has</w:t>
      </w:r>
      <w:r>
        <w:rPr>
          <w:color w:val="231F20"/>
          <w:spacing w:val="10"/>
        </w:rPr>
        <w:t xml:space="preserve"> </w:t>
      </w:r>
      <w:r>
        <w:rPr>
          <w:color w:val="231F20"/>
        </w:rPr>
        <w:t>thrown</w:t>
      </w:r>
      <w:r>
        <w:rPr>
          <w:color w:val="231F20"/>
          <w:spacing w:val="10"/>
        </w:rPr>
        <w:t xml:space="preserve"> </w:t>
      </w:r>
      <w:r>
        <w:rPr>
          <w:color w:val="231F20"/>
        </w:rPr>
        <w:t>at</w:t>
      </w:r>
      <w:r>
        <w:rPr>
          <w:color w:val="231F20"/>
          <w:spacing w:val="10"/>
        </w:rPr>
        <w:t xml:space="preserve"> </w:t>
      </w:r>
      <w:r>
        <w:rPr>
          <w:color w:val="231F20"/>
        </w:rPr>
        <w:t>us</w:t>
      </w:r>
      <w:r>
        <w:rPr>
          <w:color w:val="231F20"/>
          <w:spacing w:val="10"/>
        </w:rPr>
        <w:t xml:space="preserve"> </w:t>
      </w:r>
      <w:r>
        <w:rPr>
          <w:color w:val="231F20"/>
        </w:rPr>
        <w:t>may</w:t>
      </w:r>
      <w:r>
        <w:rPr>
          <w:color w:val="231F20"/>
          <w:spacing w:val="10"/>
        </w:rPr>
        <w:t xml:space="preserve"> </w:t>
      </w:r>
      <w:r>
        <w:rPr>
          <w:color w:val="231F20"/>
        </w:rPr>
        <w:t>land</w:t>
      </w:r>
      <w:r>
        <w:rPr>
          <w:color w:val="231F20"/>
          <w:spacing w:val="10"/>
        </w:rPr>
        <w:t xml:space="preserve"> </w:t>
      </w:r>
      <w:r>
        <w:rPr>
          <w:color w:val="231F20"/>
        </w:rPr>
        <w:t>on</w:t>
      </w:r>
      <w:r>
        <w:rPr>
          <w:color w:val="231F20"/>
          <w:spacing w:val="10"/>
        </w:rPr>
        <w:t xml:space="preserve"> </w:t>
      </w:r>
      <w:r>
        <w:rPr>
          <w:color w:val="231F20"/>
        </w:rPr>
        <w:t>their</w:t>
      </w:r>
      <w:r>
        <w:rPr>
          <w:color w:val="231F20"/>
          <w:spacing w:val="10"/>
        </w:rPr>
        <w:t xml:space="preserve"> </w:t>
      </w:r>
      <w:r>
        <w:rPr>
          <w:color w:val="231F20"/>
        </w:rPr>
        <w:t>own</w:t>
      </w:r>
      <w:r>
        <w:rPr>
          <w:color w:val="231F20"/>
          <w:spacing w:val="10"/>
        </w:rPr>
        <w:t xml:space="preserve"> </w:t>
      </w:r>
      <w:r>
        <w:rPr>
          <w:color w:val="231F20"/>
        </w:rPr>
        <w:t>feet.</w:t>
      </w:r>
    </w:p>
    <w:p w14:paraId="27436561" w14:textId="77777777" w:rsidR="002653E8" w:rsidRDefault="003115E3">
      <w:pPr>
        <w:pStyle w:val="a3"/>
        <w:spacing w:line="227" w:lineRule="exact"/>
        <w:ind w:left="1357"/>
      </w:pPr>
      <w:r>
        <w:rPr>
          <w:color w:val="231F20"/>
        </w:rPr>
        <w:t>To struggle is to turn weakness into strength.</w:t>
      </w:r>
    </w:p>
    <w:p w14:paraId="5F94F31B" w14:textId="77777777" w:rsidR="002653E8" w:rsidRDefault="003115E3">
      <w:pPr>
        <w:pStyle w:val="a3"/>
        <w:spacing w:before="23" w:line="264" w:lineRule="auto"/>
        <w:ind w:left="1147" w:right="1479" w:firstLine="210"/>
      </w:pPr>
      <w:r>
        <w:rPr>
          <w:color w:val="231F20"/>
        </w:rPr>
        <w:t>Isolation is the favored weapon for executing prisoners who decide not to let themselves be destroyed by prison, who struggle against the</w:t>
      </w:r>
    </w:p>
    <w:p w14:paraId="703F4DD7" w14:textId="77777777" w:rsidR="002653E8" w:rsidRDefault="002653E8">
      <w:pPr>
        <w:spacing w:line="264" w:lineRule="auto"/>
        <w:sectPr w:rsidR="002653E8">
          <w:pgSz w:w="8640" w:h="12960"/>
          <w:pgMar w:top="1060" w:right="0" w:bottom="1040" w:left="0" w:header="0" w:footer="850" w:gutter="0"/>
          <w:cols w:space="720"/>
        </w:sectPr>
      </w:pPr>
    </w:p>
    <w:p w14:paraId="479A14AF" w14:textId="77777777" w:rsidR="002653E8" w:rsidRDefault="003115E3">
      <w:pPr>
        <w:pStyle w:val="a3"/>
        <w:spacing w:before="86" w:line="264" w:lineRule="auto"/>
        <w:ind w:left="1327" w:right="1146"/>
        <w:jc w:val="both"/>
      </w:pPr>
      <w:r>
        <w:rPr>
          <w:color w:val="231F20"/>
        </w:rPr>
        <w:lastRenderedPageBreak/>
        <w:t xml:space="preserve">human experiments, the brainwashing, the imperialist extermination program. Most of all, they hope to use prison isolation to liquidate political awareness and resistance. As to the other prisoners, they still </w:t>
      </w:r>
      <w:r>
        <w:rPr>
          <w:color w:val="231F20"/>
          <w:spacing w:val="-3"/>
        </w:rPr>
        <w:t xml:space="preserve">don’t </w:t>
      </w:r>
      <w:r>
        <w:rPr>
          <w:color w:val="231F20"/>
        </w:rPr>
        <w:t>understand how completely oppressed they are,  although  they are just as poor and downtrodden as we and have nothing to lose but their</w:t>
      </w:r>
      <w:r>
        <w:rPr>
          <w:color w:val="231F20"/>
          <w:spacing w:val="10"/>
        </w:rPr>
        <w:t xml:space="preserve"> </w:t>
      </w:r>
      <w:r>
        <w:rPr>
          <w:color w:val="231F20"/>
        </w:rPr>
        <w:t>chains.</w:t>
      </w:r>
    </w:p>
    <w:p w14:paraId="7D1866D8" w14:textId="77777777" w:rsidR="002653E8" w:rsidRDefault="003115E3">
      <w:pPr>
        <w:pStyle w:val="a3"/>
        <w:spacing w:line="264" w:lineRule="auto"/>
        <w:ind w:left="1327" w:right="1147" w:firstLine="210"/>
        <w:jc w:val="both"/>
      </w:pPr>
      <w:r>
        <w:rPr>
          <w:color w:val="231F20"/>
        </w:rPr>
        <w:t>We encourage all prisoners being held in isolation to join us in the struggle against isolation.</w:t>
      </w:r>
    </w:p>
    <w:p w14:paraId="2C2E748A" w14:textId="77777777" w:rsidR="002653E8" w:rsidRDefault="003115E3">
      <w:pPr>
        <w:pStyle w:val="a3"/>
        <w:spacing w:line="264" w:lineRule="auto"/>
        <w:ind w:left="1327" w:right="1146" w:firstLine="210"/>
        <w:jc w:val="both"/>
      </w:pPr>
      <w:r>
        <w:rPr>
          <w:color w:val="231F20"/>
        </w:rPr>
        <w:t>The abolition of isolation is the condition that we must all struggle  for if prisoners’ self-organization, revolutionary politics, and prison liberation struggles are to have any real possibility of expressing proletarian counterviolence—in the context of the class struggle here, in the context of the liberation struggles of the peoples of the Third and Fourth Worlds, in the context of proletarian internationalism and a united anti-imperialist liberation front in the prisons and in the stockades developed for political prisoners in those parts of the world controlled by</w:t>
      </w:r>
      <w:r>
        <w:rPr>
          <w:color w:val="231F20"/>
          <w:spacing w:val="21"/>
        </w:rPr>
        <w:t xml:space="preserve"> </w:t>
      </w:r>
      <w:r>
        <w:rPr>
          <w:color w:val="231F20"/>
        </w:rPr>
        <w:t>imperialism.</w:t>
      </w:r>
    </w:p>
    <w:p w14:paraId="0D39A695" w14:textId="77777777" w:rsidR="002653E8" w:rsidRDefault="002653E8">
      <w:pPr>
        <w:pStyle w:val="a3"/>
        <w:spacing w:before="3"/>
      </w:pPr>
    </w:p>
    <w:p w14:paraId="77B84A70" w14:textId="77777777" w:rsidR="002653E8" w:rsidRDefault="003115E3">
      <w:pPr>
        <w:pStyle w:val="a3"/>
        <w:spacing w:line="393" w:lineRule="auto"/>
        <w:ind w:left="1327" w:right="1145"/>
        <w:jc w:val="both"/>
      </w:pPr>
      <w:r>
        <w:rPr>
          <w:color w:val="231F20"/>
          <w:w w:val="110"/>
        </w:rPr>
        <w:t>ALL POWER TO THE PEOPLE THROUGH VIOLENT CONQUEST! FREEDOM THROUGH ARMED ANTI-IMPERIALIST STRUGGLE!</w:t>
      </w:r>
    </w:p>
    <w:p w14:paraId="740CA03F" w14:textId="77777777" w:rsidR="002653E8" w:rsidRDefault="003115E3">
      <w:pPr>
        <w:pStyle w:val="a3"/>
        <w:spacing w:line="261" w:lineRule="auto"/>
        <w:ind w:left="5740" w:right="1146" w:firstLine="35"/>
        <w:jc w:val="right"/>
      </w:pPr>
      <w:r>
        <w:rPr>
          <w:color w:val="231F20"/>
        </w:rPr>
        <w:t xml:space="preserve">The </w:t>
      </w:r>
      <w:r w:rsidR="00C507A5">
        <w:rPr>
          <w:color w:val="231F20"/>
        </w:rPr>
        <w:t>red army faction</w:t>
      </w:r>
      <w:r>
        <w:rPr>
          <w:color w:val="231F20"/>
        </w:rPr>
        <w:t xml:space="preserve"> Prisoners</w:t>
      </w:r>
      <w:r>
        <w:rPr>
          <w:color w:val="231F20"/>
          <w:w w:val="90"/>
        </w:rPr>
        <w:t xml:space="preserve"> </w:t>
      </w:r>
      <w:r>
        <w:rPr>
          <w:color w:val="231F20"/>
        </w:rPr>
        <w:t>September 13, 1974</w:t>
      </w:r>
    </w:p>
    <w:p w14:paraId="236C90F1" w14:textId="77777777" w:rsidR="002653E8" w:rsidRDefault="002653E8">
      <w:pPr>
        <w:spacing w:line="261" w:lineRule="auto"/>
        <w:jc w:val="right"/>
        <w:sectPr w:rsidR="002653E8">
          <w:pgSz w:w="8640" w:h="12960"/>
          <w:pgMar w:top="1060" w:right="0" w:bottom="1040" w:left="0" w:header="0" w:footer="850" w:gutter="0"/>
          <w:cols w:space="720"/>
        </w:sectPr>
      </w:pPr>
    </w:p>
    <w:p w14:paraId="1701315D" w14:textId="77777777" w:rsidR="002653E8" w:rsidRDefault="003115E3">
      <w:pPr>
        <w:pStyle w:val="4"/>
        <w:ind w:left="1876"/>
      </w:pPr>
      <w:bookmarkStart w:id="128" w:name="The_Expulsion_of_Horst_Mahler_(Monika_Be"/>
      <w:bookmarkStart w:id="129" w:name="_bookmark40"/>
      <w:bookmarkEnd w:id="128"/>
      <w:bookmarkEnd w:id="129"/>
      <w:r>
        <w:rPr>
          <w:color w:val="231F20"/>
          <w:w w:val="105"/>
        </w:rPr>
        <w:lastRenderedPageBreak/>
        <w:t>The Expulsion of Horst Mahler</w:t>
      </w:r>
    </w:p>
    <w:p w14:paraId="23CF7F06" w14:textId="77777777" w:rsidR="002653E8" w:rsidRDefault="003115E3">
      <w:pPr>
        <w:pStyle w:val="a3"/>
        <w:spacing w:before="256" w:line="264" w:lineRule="auto"/>
        <w:ind w:left="1147" w:right="1325"/>
        <w:jc w:val="both"/>
      </w:pPr>
      <w:r>
        <w:rPr>
          <w:color w:val="231F20"/>
        </w:rPr>
        <w:t xml:space="preserve">At this point, we have nothing more to say about Horst Mahler’s attempt to buy his freedom with denunciations of the </w:t>
      </w:r>
      <w:r w:rsidR="00C507A5">
        <w:rPr>
          <w:color w:val="231F20"/>
          <w:spacing w:val="5"/>
        </w:rPr>
        <w:t>red army faction</w:t>
      </w:r>
      <w:r>
        <w:rPr>
          <w:color w:val="231F20"/>
          <w:spacing w:val="5"/>
        </w:rPr>
        <w:t xml:space="preserve"> </w:t>
      </w:r>
      <w:r>
        <w:rPr>
          <w:color w:val="231F20"/>
        </w:rPr>
        <w:t xml:space="preserve">(Baader liberation  trial). The problem with Horst Mahler has always been that he is    a filthy, bourgeois chauvinist, who has transferred the ruling class arrogance which he picked up as a lawyer within the imperialist system— an arrogance that he made his own—to the proletarian revolutionary movement, and this well before the </w:t>
      </w:r>
      <w:r w:rsidR="00C507A5">
        <w:rPr>
          <w:color w:val="231F20"/>
        </w:rPr>
        <w:t>red army faction</w:t>
      </w:r>
      <w:r>
        <w:rPr>
          <w:color w:val="231F20"/>
        </w:rPr>
        <w:t xml:space="preserve">. Already, in connection with </w:t>
      </w:r>
      <w:r>
        <w:rPr>
          <w:color w:val="231F20"/>
          <w:spacing w:val="2"/>
          <w:w w:val="98"/>
        </w:rPr>
        <w:t>t</w:t>
      </w:r>
      <w:r>
        <w:rPr>
          <w:color w:val="231F20"/>
          <w:spacing w:val="-1"/>
        </w:rPr>
        <w:t>h</w:t>
      </w:r>
      <w:r>
        <w:rPr>
          <w:color w:val="231F20"/>
          <w:w w:val="91"/>
        </w:rPr>
        <w:t>e</w:t>
      </w:r>
      <w:r>
        <w:rPr>
          <w:color w:val="231F20"/>
          <w:spacing w:val="18"/>
        </w:rPr>
        <w:t xml:space="preserve"> </w:t>
      </w:r>
      <w:r>
        <w:rPr>
          <w:color w:val="231F20"/>
          <w:spacing w:val="3"/>
        </w:rPr>
        <w:t>m</w:t>
      </w:r>
      <w:r>
        <w:rPr>
          <w:color w:val="231F20"/>
          <w:spacing w:val="2"/>
        </w:rPr>
        <w:t>i</w:t>
      </w:r>
      <w:r>
        <w:rPr>
          <w:color w:val="231F20"/>
          <w:spacing w:val="2"/>
          <w:w w:val="102"/>
        </w:rPr>
        <w:t>l</w:t>
      </w:r>
      <w:r>
        <w:rPr>
          <w:color w:val="231F20"/>
          <w:spacing w:val="-2"/>
        </w:rPr>
        <w:t>i</w:t>
      </w:r>
      <w:r>
        <w:rPr>
          <w:color w:val="231F20"/>
          <w:spacing w:val="2"/>
          <w:w w:val="98"/>
        </w:rPr>
        <w:t>t</w:t>
      </w:r>
      <w:r>
        <w:rPr>
          <w:color w:val="231F20"/>
          <w:spacing w:val="2"/>
          <w:w w:val="102"/>
        </w:rPr>
        <w:t>a</w:t>
      </w:r>
      <w:r>
        <w:rPr>
          <w:color w:val="231F20"/>
          <w:spacing w:val="-2"/>
          <w:w w:val="99"/>
        </w:rPr>
        <w:t>n</w:t>
      </w:r>
      <w:r>
        <w:rPr>
          <w:color w:val="231F20"/>
          <w:w w:val="98"/>
        </w:rPr>
        <w:t>t</w:t>
      </w:r>
      <w:r>
        <w:rPr>
          <w:color w:val="231F20"/>
          <w:spacing w:val="18"/>
        </w:rPr>
        <w:t xml:space="preserve"> </w:t>
      </w:r>
      <w:r>
        <w:rPr>
          <w:color w:val="231F20"/>
          <w:w w:val="90"/>
        </w:rPr>
        <w:t>s</w:t>
      </w:r>
      <w:r>
        <w:rPr>
          <w:color w:val="231F20"/>
          <w:spacing w:val="3"/>
          <w:w w:val="98"/>
        </w:rPr>
        <w:t>t</w:t>
      </w:r>
      <w:r>
        <w:rPr>
          <w:color w:val="231F20"/>
          <w:spacing w:val="-1"/>
        </w:rPr>
        <w:t>u</w:t>
      </w:r>
      <w:r>
        <w:rPr>
          <w:color w:val="231F20"/>
        </w:rPr>
        <w:t>d</w:t>
      </w:r>
      <w:r>
        <w:rPr>
          <w:color w:val="231F20"/>
          <w:w w:val="91"/>
        </w:rPr>
        <w:t>e</w:t>
      </w:r>
      <w:r>
        <w:rPr>
          <w:color w:val="231F20"/>
          <w:spacing w:val="-2"/>
          <w:w w:val="99"/>
        </w:rPr>
        <w:t>n</w:t>
      </w:r>
      <w:r>
        <w:rPr>
          <w:color w:val="231F20"/>
          <w:w w:val="98"/>
        </w:rPr>
        <w:t>t</w:t>
      </w:r>
      <w:r>
        <w:rPr>
          <w:color w:val="231F20"/>
          <w:spacing w:val="18"/>
        </w:rPr>
        <w:t xml:space="preserve"> </w:t>
      </w:r>
      <w:r>
        <w:rPr>
          <w:color w:val="231F20"/>
          <w:spacing w:val="-1"/>
        </w:rPr>
        <w:t>m</w:t>
      </w:r>
      <w:r>
        <w:rPr>
          <w:color w:val="231F20"/>
          <w:spacing w:val="-3"/>
          <w:w w:val="104"/>
        </w:rPr>
        <w:t>o</w:t>
      </w:r>
      <w:r>
        <w:rPr>
          <w:color w:val="231F20"/>
          <w:spacing w:val="-2"/>
          <w:w w:val="99"/>
        </w:rPr>
        <w:t>v</w:t>
      </w:r>
      <w:r>
        <w:rPr>
          <w:color w:val="231F20"/>
          <w:w w:val="91"/>
        </w:rPr>
        <w:t>e</w:t>
      </w:r>
      <w:r>
        <w:rPr>
          <w:color w:val="231F20"/>
          <w:w w:val="99"/>
        </w:rPr>
        <w:t>m</w:t>
      </w:r>
      <w:r>
        <w:rPr>
          <w:color w:val="231F20"/>
          <w:w w:val="91"/>
        </w:rPr>
        <w:t>e</w:t>
      </w:r>
      <w:r>
        <w:rPr>
          <w:color w:val="231F20"/>
          <w:spacing w:val="-2"/>
          <w:w w:val="99"/>
        </w:rPr>
        <w:t>n</w:t>
      </w:r>
      <w:r>
        <w:rPr>
          <w:color w:val="231F20"/>
          <w:w w:val="98"/>
        </w:rPr>
        <w:t>t</w:t>
      </w:r>
      <w:r>
        <w:rPr>
          <w:color w:val="231F20"/>
          <w:spacing w:val="18"/>
        </w:rPr>
        <w:t xml:space="preserve"> </w:t>
      </w:r>
      <w:r>
        <w:rPr>
          <w:color w:val="231F20"/>
          <w:spacing w:val="3"/>
        </w:rPr>
        <w:t>i</w:t>
      </w:r>
      <w:r>
        <w:rPr>
          <w:color w:val="231F20"/>
          <w:w w:val="99"/>
        </w:rPr>
        <w:t>n</w:t>
      </w:r>
      <w:r>
        <w:rPr>
          <w:color w:val="231F20"/>
          <w:spacing w:val="20"/>
        </w:rPr>
        <w:t xml:space="preserve"> </w:t>
      </w:r>
      <w:r>
        <w:rPr>
          <w:color w:val="231F20"/>
          <w:spacing w:val="5"/>
          <w:w w:val="99"/>
        </w:rPr>
        <w:t>B</w:t>
      </w:r>
      <w:r>
        <w:rPr>
          <w:color w:val="231F20"/>
          <w:w w:val="92"/>
        </w:rPr>
        <w:t>e</w:t>
      </w:r>
      <w:r>
        <w:rPr>
          <w:color w:val="231F20"/>
          <w:spacing w:val="-3"/>
          <w:w w:val="92"/>
        </w:rPr>
        <w:t>r</w:t>
      </w:r>
      <w:r>
        <w:rPr>
          <w:color w:val="231F20"/>
          <w:spacing w:val="2"/>
          <w:w w:val="102"/>
        </w:rPr>
        <w:t>l</w:t>
      </w:r>
      <w:r>
        <w:rPr>
          <w:color w:val="231F20"/>
          <w:spacing w:val="3"/>
        </w:rPr>
        <w:t>i</w:t>
      </w:r>
      <w:r>
        <w:rPr>
          <w:color w:val="231F20"/>
          <w:w w:val="99"/>
        </w:rPr>
        <w:t>n</w:t>
      </w:r>
      <w:r>
        <w:rPr>
          <w:color w:val="231F20"/>
          <w:spacing w:val="18"/>
        </w:rPr>
        <w:t xml:space="preserve"> </w:t>
      </w:r>
      <w:r>
        <w:rPr>
          <w:color w:val="231F20"/>
          <w:spacing w:val="2"/>
        </w:rPr>
        <w:t>i</w:t>
      </w:r>
      <w:r>
        <w:rPr>
          <w:color w:val="231F20"/>
          <w:w w:val="99"/>
        </w:rPr>
        <w:t>n</w:t>
      </w:r>
      <w:r>
        <w:rPr>
          <w:color w:val="231F20"/>
          <w:spacing w:val="18"/>
        </w:rPr>
        <w:t xml:space="preserve"> </w:t>
      </w:r>
      <w:r>
        <w:rPr>
          <w:color w:val="231F20"/>
          <w:spacing w:val="-10"/>
        </w:rPr>
        <w:t>1</w:t>
      </w:r>
      <w:r>
        <w:rPr>
          <w:color w:val="231F20"/>
          <w:spacing w:val="-3"/>
        </w:rPr>
        <w:t>96</w:t>
      </w:r>
      <w:r>
        <w:rPr>
          <w:color w:val="231F20"/>
          <w:spacing w:val="-4"/>
        </w:rPr>
        <w:t>7</w:t>
      </w:r>
      <w:r>
        <w:rPr>
          <w:color w:val="231F20"/>
          <w:spacing w:val="-8"/>
          <w:w w:val="56"/>
        </w:rPr>
        <w:t>/</w:t>
      </w:r>
      <w:r>
        <w:rPr>
          <w:color w:val="231F20"/>
          <w:spacing w:val="-2"/>
        </w:rPr>
        <w:t>6</w:t>
      </w:r>
      <w:r>
        <w:rPr>
          <w:color w:val="231F20"/>
          <w:spacing w:val="-3"/>
        </w:rPr>
        <w:t>8</w:t>
      </w:r>
      <w:r>
        <w:rPr>
          <w:color w:val="231F20"/>
          <w:w w:val="135"/>
        </w:rPr>
        <w:t>,</w:t>
      </w:r>
      <w:r>
        <w:rPr>
          <w:color w:val="231F20"/>
          <w:spacing w:val="18"/>
        </w:rPr>
        <w:t xml:space="preserve"> </w:t>
      </w:r>
      <w:r>
        <w:rPr>
          <w:color w:val="231F20"/>
          <w:spacing w:val="-1"/>
        </w:rPr>
        <w:t>h</w:t>
      </w:r>
      <w:r>
        <w:rPr>
          <w:color w:val="231F20"/>
          <w:w w:val="91"/>
        </w:rPr>
        <w:t>e</w:t>
      </w:r>
      <w:r>
        <w:rPr>
          <w:color w:val="231F20"/>
          <w:spacing w:val="18"/>
        </w:rPr>
        <w:t xml:space="preserve"> </w:t>
      </w:r>
      <w:r>
        <w:rPr>
          <w:color w:val="231F20"/>
        </w:rPr>
        <w:t>c</w:t>
      </w:r>
      <w:r>
        <w:rPr>
          <w:color w:val="231F20"/>
          <w:spacing w:val="-2"/>
          <w:w w:val="104"/>
        </w:rPr>
        <w:t>o</w:t>
      </w:r>
      <w:r>
        <w:rPr>
          <w:color w:val="231F20"/>
          <w:spacing w:val="3"/>
        </w:rPr>
        <w:t>u</w:t>
      </w:r>
      <w:r>
        <w:rPr>
          <w:color w:val="231F20"/>
          <w:spacing w:val="-2"/>
          <w:w w:val="102"/>
        </w:rPr>
        <w:t>l</w:t>
      </w:r>
      <w:r>
        <w:rPr>
          <w:color w:val="231F20"/>
        </w:rPr>
        <w:t>d</w:t>
      </w:r>
      <w:r>
        <w:rPr>
          <w:color w:val="231F20"/>
          <w:spacing w:val="18"/>
        </w:rPr>
        <w:t xml:space="preserve"> </w:t>
      </w:r>
      <w:r>
        <w:rPr>
          <w:color w:val="231F20"/>
          <w:spacing w:val="-1"/>
          <w:w w:val="104"/>
        </w:rPr>
        <w:t>o</w:t>
      </w:r>
      <w:r>
        <w:rPr>
          <w:color w:val="231F20"/>
          <w:spacing w:val="3"/>
          <w:w w:val="99"/>
        </w:rPr>
        <w:t>n</w:t>
      </w:r>
      <w:r>
        <w:rPr>
          <w:color w:val="231F20"/>
          <w:spacing w:val="-2"/>
          <w:w w:val="102"/>
        </w:rPr>
        <w:t>l</w:t>
      </w:r>
      <w:r>
        <w:rPr>
          <w:color w:val="231F20"/>
          <w:w w:val="99"/>
        </w:rPr>
        <w:t>y</w:t>
      </w:r>
      <w:r>
        <w:rPr>
          <w:color w:val="231F20"/>
          <w:spacing w:val="18"/>
        </w:rPr>
        <w:t xml:space="preserve"> </w:t>
      </w:r>
      <w:r>
        <w:rPr>
          <w:color w:val="231F20"/>
          <w:spacing w:val="3"/>
        </w:rPr>
        <w:t>u</w:t>
      </w:r>
      <w:r>
        <w:rPr>
          <w:color w:val="231F20"/>
          <w:w w:val="99"/>
        </w:rPr>
        <w:t>n</w:t>
      </w:r>
      <w:r>
        <w:rPr>
          <w:color w:val="231F20"/>
        </w:rPr>
        <w:t>derstand the political solidarity he received as a left-wing lawyer in terms</w:t>
      </w:r>
      <w:r>
        <w:rPr>
          <w:color w:val="231F20"/>
          <w:spacing w:val="10"/>
        </w:rPr>
        <w:t xml:space="preserve"> </w:t>
      </w:r>
      <w:r>
        <w:rPr>
          <w:color w:val="231F20"/>
        </w:rPr>
        <w:t>of</w:t>
      </w:r>
      <w:r>
        <w:rPr>
          <w:color w:val="231F20"/>
          <w:spacing w:val="10"/>
        </w:rPr>
        <w:t xml:space="preserve"> </w:t>
      </w:r>
      <w:r>
        <w:rPr>
          <w:color w:val="231F20"/>
        </w:rPr>
        <w:t>it</w:t>
      </w:r>
      <w:r>
        <w:rPr>
          <w:color w:val="231F20"/>
          <w:spacing w:val="10"/>
        </w:rPr>
        <w:t xml:space="preserve"> </w:t>
      </w:r>
      <w:r>
        <w:rPr>
          <w:color w:val="231F20"/>
        </w:rPr>
        <w:t>being</w:t>
      </w:r>
      <w:r>
        <w:rPr>
          <w:color w:val="231F20"/>
          <w:spacing w:val="10"/>
        </w:rPr>
        <w:t xml:space="preserve"> </w:t>
      </w:r>
      <w:r>
        <w:rPr>
          <w:color w:val="231F20"/>
        </w:rPr>
        <w:t>a</w:t>
      </w:r>
      <w:r>
        <w:rPr>
          <w:color w:val="231F20"/>
          <w:spacing w:val="10"/>
        </w:rPr>
        <w:t xml:space="preserve"> </w:t>
      </w:r>
      <w:r>
        <w:rPr>
          <w:color w:val="231F20"/>
        </w:rPr>
        <w:t>cult</w:t>
      </w:r>
      <w:r>
        <w:rPr>
          <w:color w:val="231F20"/>
          <w:spacing w:val="10"/>
        </w:rPr>
        <w:t xml:space="preserve"> </w:t>
      </w:r>
      <w:r>
        <w:rPr>
          <w:color w:val="231F20"/>
        </w:rPr>
        <w:t>of</w:t>
      </w:r>
      <w:r>
        <w:rPr>
          <w:color w:val="231F20"/>
          <w:spacing w:val="10"/>
        </w:rPr>
        <w:t xml:space="preserve"> </w:t>
      </w:r>
      <w:r>
        <w:rPr>
          <w:color w:val="231F20"/>
        </w:rPr>
        <w:t>personality</w:t>
      </w:r>
      <w:r>
        <w:rPr>
          <w:color w:val="231F20"/>
          <w:spacing w:val="10"/>
        </w:rPr>
        <w:t xml:space="preserve"> </w:t>
      </w:r>
      <w:r>
        <w:rPr>
          <w:color w:val="231F20"/>
        </w:rPr>
        <w:t>devoted</w:t>
      </w:r>
      <w:r>
        <w:rPr>
          <w:color w:val="231F20"/>
          <w:spacing w:val="10"/>
        </w:rPr>
        <w:t xml:space="preserve"> </w:t>
      </w:r>
      <w:r>
        <w:rPr>
          <w:color w:val="231F20"/>
        </w:rPr>
        <w:t>to</w:t>
      </w:r>
      <w:r>
        <w:rPr>
          <w:color w:val="231F20"/>
          <w:spacing w:val="10"/>
        </w:rPr>
        <w:t xml:space="preserve"> </w:t>
      </w:r>
      <w:r>
        <w:rPr>
          <w:color w:val="231F20"/>
        </w:rPr>
        <w:t>him.</w:t>
      </w:r>
    </w:p>
    <w:p w14:paraId="6A48D288" w14:textId="77777777" w:rsidR="002653E8" w:rsidRDefault="003115E3">
      <w:pPr>
        <w:pStyle w:val="a3"/>
        <w:spacing w:line="264" w:lineRule="auto"/>
        <w:ind w:left="1148" w:right="1325" w:firstLine="210"/>
        <w:jc w:val="both"/>
      </w:pPr>
      <w:r>
        <w:rPr>
          <w:color w:val="231F20"/>
        </w:rPr>
        <w:t xml:space="preserve">He imagined that he could continue his previous bourgeois life in the guerilla—issuing orders, manipulating the weaknesses of others, and demanding privileges, much as the oppressor deals with the oppressed in a lawyer’s chambers. So—because he hadn’t learned anything and didn’t want to—he remained incapable of collective, protracted, patient work. He was not prepared to crawl out of the careerist slime.      He never really understood the </w:t>
      </w:r>
      <w:r w:rsidR="00C507A5">
        <w:rPr>
          <w:color w:val="231F20"/>
          <w:spacing w:val="1"/>
        </w:rPr>
        <w:t>red army faction</w:t>
      </w:r>
      <w:r>
        <w:rPr>
          <w:color w:val="231F20"/>
          <w:spacing w:val="1"/>
        </w:rPr>
        <w:t xml:space="preserve">’s  </w:t>
      </w:r>
      <w:r>
        <w:rPr>
          <w:color w:val="231F20"/>
        </w:rPr>
        <w:t xml:space="preserve">collective  learning,  working,  and discussion process: the intensity of work in a fighting group, the unity of physical and intellectual labor, the abolition  of  the  separa tion between private and professional  life,  the  determination  to  act, to </w:t>
      </w:r>
      <w:r>
        <w:rPr>
          <w:color w:val="231F20"/>
          <w:spacing w:val="1"/>
        </w:rPr>
        <w:t xml:space="preserve">struggle—in </w:t>
      </w:r>
      <w:r>
        <w:rPr>
          <w:color w:val="231F20"/>
        </w:rPr>
        <w:t xml:space="preserve">a word, the </w:t>
      </w:r>
      <w:r>
        <w:rPr>
          <w:color w:val="231F20"/>
          <w:spacing w:val="-2"/>
        </w:rPr>
        <w:t xml:space="preserve">way </w:t>
      </w:r>
      <w:r>
        <w:rPr>
          <w:color w:val="231F20"/>
        </w:rPr>
        <w:t xml:space="preserve">in which the guerilla works. For </w:t>
      </w:r>
      <w:r>
        <w:rPr>
          <w:color w:val="231F20"/>
          <w:spacing w:val="1"/>
        </w:rPr>
        <w:t xml:space="preserve">him,  </w:t>
      </w:r>
      <w:r>
        <w:rPr>
          <w:color w:val="231F20"/>
        </w:rPr>
        <w:t>all that signified the loss of his privileges, which he found—because      of his smug self-image; the caricature of the professional bourgeois politician—unacceptable.</w:t>
      </w:r>
    </w:p>
    <w:p w14:paraId="06C1A4F2" w14:textId="77777777" w:rsidR="002653E8" w:rsidRDefault="003115E3">
      <w:pPr>
        <w:pStyle w:val="a3"/>
        <w:spacing w:line="219" w:lineRule="exact"/>
        <w:ind w:left="1358"/>
      </w:pPr>
      <w:r>
        <w:rPr>
          <w:color w:val="231F20"/>
        </w:rPr>
        <w:t xml:space="preserve">Mahler never participated in the </w:t>
      </w:r>
      <w:r w:rsidR="00C507A5">
        <w:rPr>
          <w:color w:val="231F20"/>
        </w:rPr>
        <w:t>red army faction</w:t>
      </w:r>
      <w:r>
        <w:rPr>
          <w:color w:val="231F20"/>
        </w:rPr>
        <w:t>’s practice, in its concrete poli-</w:t>
      </w:r>
    </w:p>
    <w:p w14:paraId="4DE17CDA" w14:textId="2538E42C" w:rsidR="002653E8" w:rsidRDefault="003115E3">
      <w:pPr>
        <w:pStyle w:val="a3"/>
        <w:spacing w:before="11" w:line="264" w:lineRule="auto"/>
        <w:ind w:left="1147" w:right="1325"/>
        <w:jc w:val="both"/>
      </w:pPr>
      <w:r>
        <w:rPr>
          <w:color w:val="231F20"/>
        </w:rPr>
        <w:t xml:space="preserve">tics, in its tactical decisions, in its structure—nor did he participate in much else either. With his arrogant politics, he simply didn’t get it. </w:t>
      </w:r>
      <w:r>
        <w:rPr>
          <w:color w:val="231F20"/>
          <w:spacing w:val="1"/>
        </w:rPr>
        <w:t xml:space="preserve">In  </w:t>
      </w:r>
      <w:r>
        <w:rPr>
          <w:color w:val="231F20"/>
          <w:spacing w:val="-3"/>
        </w:rPr>
        <w:t xml:space="preserve">1970, </w:t>
      </w:r>
      <w:r>
        <w:rPr>
          <w:color w:val="231F20"/>
        </w:rPr>
        <w:t xml:space="preserve">he was already little more than a bourgeois wreck, tolerated— because of his illegal status—by the </w:t>
      </w:r>
      <w:r w:rsidR="00C507A5">
        <w:rPr>
          <w:color w:val="231F20"/>
          <w:spacing w:val="1"/>
        </w:rPr>
        <w:t>red army faction</w:t>
      </w:r>
      <w:r>
        <w:rPr>
          <w:color w:val="231F20"/>
          <w:spacing w:val="1"/>
        </w:rPr>
        <w:t xml:space="preserve">’s </w:t>
      </w:r>
      <w:r>
        <w:rPr>
          <w:color w:val="231F20"/>
        </w:rPr>
        <w:t xml:space="preserve">nascent politico-military organization. </w:t>
      </w:r>
      <w:r>
        <w:rPr>
          <w:color w:val="231F20"/>
          <w:spacing w:val="-5"/>
        </w:rPr>
        <w:t xml:space="preserve">yet </w:t>
      </w:r>
      <w:r>
        <w:rPr>
          <w:color w:val="231F20"/>
        </w:rPr>
        <w:t>he remained a liability to our practice, in part  because of his vanity, his ignorance, his class-specific subjectivity, and his carelessness.</w:t>
      </w:r>
    </w:p>
    <w:p w14:paraId="24124D38" w14:textId="7537017B" w:rsidR="002653E8" w:rsidRDefault="003115E3" w:rsidP="00AF1E0C">
      <w:pPr>
        <w:pStyle w:val="a3"/>
        <w:spacing w:line="264" w:lineRule="auto"/>
        <w:ind w:left="1147" w:right="1325" w:firstLine="210"/>
        <w:jc w:val="both"/>
      </w:pPr>
      <w:r>
        <w:rPr>
          <w:color w:val="231F20"/>
        </w:rPr>
        <w:t xml:space="preserve">He himself made his expulsion from the </w:t>
      </w:r>
      <w:r w:rsidR="00C507A5">
        <w:rPr>
          <w:color w:val="231F20"/>
        </w:rPr>
        <w:t>red army faction</w:t>
      </w:r>
      <w:r>
        <w:rPr>
          <w:color w:val="231F20"/>
        </w:rPr>
        <w:t xml:space="preserve">, which had been a long time coming, inevitable. He did this with his authoritarian and possessive claims to a leadership position over the other </w:t>
      </w:r>
      <w:r w:rsidR="00C507A5">
        <w:rPr>
          <w:color w:val="231F20"/>
        </w:rPr>
        <w:t>red army faction</w:t>
      </w:r>
      <w:r>
        <w:rPr>
          <w:color w:val="231F20"/>
        </w:rPr>
        <w:t xml:space="preserve"> prisoners, with his elitist inability to understand criticism and self-criticism as anything but power tactics, and with his ongoing, revisionist, empty, private</w:t>
      </w:r>
      <w:r w:rsidR="00AF1E0C">
        <w:rPr>
          <w:color w:val="231F20"/>
        </w:rPr>
        <w:t xml:space="preserve"> </w:t>
      </w:r>
      <w:r>
        <w:rPr>
          <w:color w:val="231F20"/>
        </w:rPr>
        <w:t xml:space="preserve">writings. With these writings he attempted to </w:t>
      </w:r>
      <w:r>
        <w:rPr>
          <w:color w:val="231F20"/>
        </w:rPr>
        <w:lastRenderedPageBreak/>
        <w:t xml:space="preserve">go behind the backs of  the </w:t>
      </w:r>
      <w:r w:rsidR="00C507A5">
        <w:rPr>
          <w:color w:val="231F20"/>
          <w:spacing w:val="5"/>
        </w:rPr>
        <w:t>red army faction</w:t>
      </w:r>
      <w:r>
        <w:rPr>
          <w:color w:val="231F20"/>
          <w:spacing w:val="5"/>
        </w:rPr>
        <w:t xml:space="preserve"> </w:t>
      </w:r>
      <w:r>
        <w:rPr>
          <w:color w:val="231F20"/>
        </w:rPr>
        <w:t xml:space="preserve">and the </w:t>
      </w:r>
      <w:r w:rsidR="00C507A5">
        <w:rPr>
          <w:color w:val="231F20"/>
          <w:spacing w:val="5"/>
        </w:rPr>
        <w:t>red army faction</w:t>
      </w:r>
      <w:r>
        <w:rPr>
          <w:color w:val="231F20"/>
          <w:spacing w:val="5"/>
        </w:rPr>
        <w:t xml:space="preserve"> </w:t>
      </w:r>
      <w:r>
        <w:rPr>
          <w:color w:val="231F20"/>
        </w:rPr>
        <w:t xml:space="preserve">prisoners, and sought to acquire some prestige  for himself in the eyes of the left, prestige that does not reflect his true role in the </w:t>
      </w:r>
      <w:r w:rsidR="00C507A5">
        <w:rPr>
          <w:color w:val="231F20"/>
        </w:rPr>
        <w:t>red army faction</w:t>
      </w:r>
      <w:r>
        <w:rPr>
          <w:color w:val="231F20"/>
        </w:rPr>
        <w:t>. His writings read like a legal argument with a confused structure, and do not reflect the politics, action, practice, experience, or tactical concepts of the</w:t>
      </w:r>
      <w:r>
        <w:rPr>
          <w:color w:val="231F20"/>
          <w:spacing w:val="3"/>
        </w:rPr>
        <w:t xml:space="preserve"> </w:t>
      </w:r>
      <w:r w:rsidR="00C507A5">
        <w:rPr>
          <w:color w:val="231F20"/>
        </w:rPr>
        <w:t>red army faction</w:t>
      </w:r>
      <w:r>
        <w:rPr>
          <w:color w:val="231F20"/>
        </w:rPr>
        <w:t>.</w:t>
      </w:r>
    </w:p>
    <w:p w14:paraId="6D2921C0" w14:textId="77777777" w:rsidR="002653E8" w:rsidRDefault="003115E3">
      <w:pPr>
        <w:pStyle w:val="a3"/>
        <w:spacing w:line="264" w:lineRule="auto"/>
        <w:ind w:left="1327" w:right="1147" w:firstLine="209"/>
        <w:jc w:val="both"/>
      </w:pPr>
      <w:r>
        <w:rPr>
          <w:color w:val="231F20"/>
        </w:rPr>
        <w:t xml:space="preserve">The </w:t>
      </w:r>
      <w:r w:rsidR="00C507A5">
        <w:rPr>
          <w:color w:val="231F20"/>
          <w:spacing w:val="5"/>
        </w:rPr>
        <w:t>red army faction</w:t>
      </w:r>
      <w:r>
        <w:rPr>
          <w:color w:val="231F20"/>
          <w:spacing w:val="5"/>
        </w:rPr>
        <w:t xml:space="preserve"> </w:t>
      </w:r>
      <w:r>
        <w:rPr>
          <w:color w:val="231F20"/>
        </w:rPr>
        <w:t xml:space="preserve">only found out about Mahler’s publication when it turned  up on the market. He knew he could not speak for the </w:t>
      </w:r>
      <w:r w:rsidR="00C507A5">
        <w:rPr>
          <w:color w:val="231F20"/>
        </w:rPr>
        <w:t>red army faction</w:t>
      </w:r>
      <w:r>
        <w:rPr>
          <w:color w:val="231F20"/>
        </w:rPr>
        <w:t xml:space="preserve">. The guerilla expresses its theory, its strategy and its internationalism through its actions. Nothing but theoretical discussions that do not address concrete action will be marketed under the conditions enforced by imperialism. Given the existence of the political police, the </w:t>
      </w:r>
      <w:r>
        <w:rPr>
          <w:i/>
          <w:color w:val="231F20"/>
        </w:rPr>
        <w:t xml:space="preserve">Verfassungsschutz </w:t>
      </w:r>
      <w:r>
        <w:rPr>
          <w:color w:val="231F20"/>
        </w:rPr>
        <w:t>and   the intelligence services, the theory and practice of armed struggle cannot be discussed in public. That would only provide the government’s counterinsurgency units with grist for the mill. And Mahler  doesn’t  deal with this issue—with armed struggle—except in the form of a parlor</w:t>
      </w:r>
      <w:r>
        <w:rPr>
          <w:color w:val="231F20"/>
          <w:spacing w:val="10"/>
        </w:rPr>
        <w:t xml:space="preserve"> </w:t>
      </w:r>
      <w:r>
        <w:rPr>
          <w:color w:val="231F20"/>
        </w:rPr>
        <w:t>debate,</w:t>
      </w:r>
      <w:r>
        <w:rPr>
          <w:color w:val="231F20"/>
          <w:spacing w:val="10"/>
        </w:rPr>
        <w:t xml:space="preserve"> </w:t>
      </w:r>
      <w:r>
        <w:rPr>
          <w:color w:val="231F20"/>
        </w:rPr>
        <w:t>as</w:t>
      </w:r>
      <w:r>
        <w:rPr>
          <w:color w:val="231F20"/>
          <w:spacing w:val="10"/>
        </w:rPr>
        <w:t xml:space="preserve"> </w:t>
      </w:r>
      <w:r>
        <w:rPr>
          <w:color w:val="231F20"/>
        </w:rPr>
        <w:t>he</w:t>
      </w:r>
      <w:r>
        <w:rPr>
          <w:color w:val="231F20"/>
          <w:spacing w:val="10"/>
        </w:rPr>
        <w:t xml:space="preserve"> </w:t>
      </w:r>
      <w:r>
        <w:rPr>
          <w:color w:val="231F20"/>
        </w:rPr>
        <w:t>himself</w:t>
      </w:r>
      <w:r>
        <w:rPr>
          <w:color w:val="231F20"/>
          <w:spacing w:val="10"/>
        </w:rPr>
        <w:t xml:space="preserve"> </w:t>
      </w:r>
      <w:r>
        <w:rPr>
          <w:color w:val="231F20"/>
        </w:rPr>
        <w:t>has</w:t>
      </w:r>
      <w:r>
        <w:rPr>
          <w:color w:val="231F20"/>
          <w:spacing w:val="10"/>
        </w:rPr>
        <w:t xml:space="preserve"> </w:t>
      </w:r>
      <w:r>
        <w:rPr>
          <w:color w:val="231F20"/>
        </w:rPr>
        <w:t>written</w:t>
      </w:r>
      <w:r>
        <w:rPr>
          <w:color w:val="231F20"/>
          <w:spacing w:val="10"/>
        </w:rPr>
        <w:t xml:space="preserve"> </w:t>
      </w:r>
      <w:r>
        <w:rPr>
          <w:color w:val="231F20"/>
        </w:rPr>
        <w:t>often</w:t>
      </w:r>
      <w:r>
        <w:rPr>
          <w:color w:val="231F20"/>
          <w:spacing w:val="10"/>
        </w:rPr>
        <w:t xml:space="preserve"> </w:t>
      </w:r>
      <w:r>
        <w:rPr>
          <w:color w:val="231F20"/>
        </w:rPr>
        <w:t>enough.</w:t>
      </w:r>
    </w:p>
    <w:p w14:paraId="5E00BCBB" w14:textId="77777777" w:rsidR="002653E8" w:rsidRDefault="003115E3">
      <w:pPr>
        <w:pStyle w:val="a3"/>
        <w:spacing w:line="264" w:lineRule="auto"/>
        <w:ind w:left="1327" w:right="1145" w:firstLine="210"/>
        <w:jc w:val="both"/>
      </w:pPr>
      <w:r>
        <w:rPr>
          <w:color w:val="231F20"/>
        </w:rPr>
        <w:t xml:space="preserve">Mahler will continue to be unable to  offer  any  information  about the </w:t>
      </w:r>
      <w:r w:rsidR="00C507A5">
        <w:rPr>
          <w:color w:val="231F20"/>
          <w:spacing w:val="5"/>
        </w:rPr>
        <w:t>red army faction</w:t>
      </w:r>
      <w:r>
        <w:rPr>
          <w:color w:val="231F20"/>
          <w:spacing w:val="5"/>
        </w:rPr>
        <w:t xml:space="preserve"> </w:t>
      </w:r>
      <w:r>
        <w:rPr>
          <w:color w:val="231F20"/>
        </w:rPr>
        <w:t xml:space="preserve">that is anything other than an example of his infantilism, his ambition, and his careerism. And he will doubtless exploit his association with the </w:t>
      </w:r>
      <w:r w:rsidR="00C507A5">
        <w:rPr>
          <w:color w:val="231F20"/>
          <w:spacing w:val="1"/>
        </w:rPr>
        <w:t>red army faction</w:t>
      </w:r>
      <w:r>
        <w:rPr>
          <w:color w:val="231F20"/>
          <w:spacing w:val="1"/>
        </w:rPr>
        <w:t xml:space="preserve">’s </w:t>
      </w:r>
      <w:r>
        <w:rPr>
          <w:color w:val="231F20"/>
        </w:rPr>
        <w:t xml:space="preserve">politics in his relationship with Red Aid </w:t>
      </w:r>
      <w:r>
        <w:rPr>
          <w:color w:val="231F20"/>
          <w:spacing w:val="-7"/>
        </w:rPr>
        <w:t xml:space="preserve">e.v. </w:t>
      </w:r>
      <w:r>
        <w:rPr>
          <w:color w:val="231F20"/>
        </w:rPr>
        <w:t xml:space="preserve">and the </w:t>
      </w:r>
      <w:r>
        <w:rPr>
          <w:i/>
          <w:color w:val="231F20"/>
        </w:rPr>
        <w:t>Roter Fels</w:t>
      </w:r>
      <w:r>
        <w:rPr>
          <w:color w:val="231F20"/>
          <w:position w:val="7"/>
          <w:sz w:val="11"/>
        </w:rPr>
        <w:t xml:space="preserve">1 </w:t>
      </w:r>
      <w:r>
        <w:rPr>
          <w:color w:val="231F20"/>
        </w:rPr>
        <w:t xml:space="preserve">group, an </w:t>
      </w:r>
      <w:r>
        <w:rPr>
          <w:color w:val="231F20"/>
          <w:spacing w:val="-7"/>
        </w:rPr>
        <w:t xml:space="preserve">e.v. </w:t>
      </w:r>
      <w:r>
        <w:rPr>
          <w:color w:val="231F20"/>
        </w:rPr>
        <w:t>branch in</w:t>
      </w:r>
      <w:r>
        <w:rPr>
          <w:color w:val="231F20"/>
          <w:spacing w:val="33"/>
        </w:rPr>
        <w:t xml:space="preserve"> </w:t>
      </w:r>
      <w:r>
        <w:rPr>
          <w:color w:val="231F20"/>
          <w:spacing w:val="-3"/>
        </w:rPr>
        <w:t>Tegel.</w:t>
      </w:r>
    </w:p>
    <w:p w14:paraId="5D55470C" w14:textId="77777777" w:rsidR="002653E8" w:rsidRDefault="003115E3">
      <w:pPr>
        <w:pStyle w:val="a3"/>
        <w:spacing w:line="264" w:lineRule="auto"/>
        <w:ind w:left="1327" w:right="1146" w:firstLine="210"/>
        <w:jc w:val="both"/>
      </w:pPr>
      <w:r>
        <w:rPr>
          <w:color w:val="231F20"/>
        </w:rPr>
        <w:t xml:space="preserve">Our understanding of the </w:t>
      </w:r>
      <w:r w:rsidR="00C507A5">
        <w:rPr>
          <w:color w:val="231F20"/>
          <w:spacing w:val="5"/>
        </w:rPr>
        <w:t>red army faction</w:t>
      </w:r>
      <w:r>
        <w:rPr>
          <w:color w:val="231F20"/>
          <w:spacing w:val="5"/>
        </w:rPr>
        <w:t xml:space="preserve"> </w:t>
      </w:r>
      <w:r>
        <w:rPr>
          <w:color w:val="231F20"/>
        </w:rPr>
        <w:t xml:space="preserve">prisoners’ relationship with these </w:t>
      </w:r>
      <w:r>
        <w:rPr>
          <w:color w:val="231F20"/>
          <w:spacing w:val="5"/>
          <w:w w:val="101"/>
        </w:rPr>
        <w:t>g</w:t>
      </w:r>
      <w:r>
        <w:rPr>
          <w:color w:val="231F20"/>
          <w:spacing w:val="-2"/>
          <w:w w:val="94"/>
        </w:rPr>
        <w:t>r</w:t>
      </w:r>
      <w:r>
        <w:rPr>
          <w:color w:val="231F20"/>
          <w:spacing w:val="-2"/>
          <w:w w:val="104"/>
        </w:rPr>
        <w:t>o</w:t>
      </w:r>
      <w:r>
        <w:rPr>
          <w:color w:val="231F20"/>
          <w:spacing w:val="-3"/>
        </w:rPr>
        <w:t>u</w:t>
      </w:r>
      <w:r>
        <w:rPr>
          <w:color w:val="231F20"/>
        </w:rPr>
        <w:t>p</w:t>
      </w:r>
      <w:r>
        <w:rPr>
          <w:color w:val="231F20"/>
          <w:spacing w:val="6"/>
          <w:w w:val="90"/>
        </w:rPr>
        <w:t>s</w:t>
      </w:r>
      <w:r>
        <w:rPr>
          <w:color w:val="231F20"/>
          <w:spacing w:val="8"/>
        </w:rPr>
        <w:t>—</w:t>
      </w:r>
      <w:r>
        <w:rPr>
          <w:color w:val="231F20"/>
          <w:spacing w:val="7"/>
          <w:w w:val="114"/>
        </w:rPr>
        <w:t>K</w:t>
      </w:r>
      <w:r>
        <w:rPr>
          <w:color w:val="231F20"/>
          <w:w w:val="108"/>
        </w:rPr>
        <w:t>PD</w:t>
      </w:r>
      <w:r>
        <w:rPr>
          <w:color w:val="231F20"/>
          <w:spacing w:val="-8"/>
          <w:w w:val="56"/>
        </w:rPr>
        <w:t>/</w:t>
      </w:r>
      <w:r>
        <w:rPr>
          <w:color w:val="231F20"/>
          <w:spacing w:val="-8"/>
          <w:w w:val="121"/>
        </w:rPr>
        <w:t>A</w:t>
      </w:r>
      <w:r>
        <w:rPr>
          <w:color w:val="231F20"/>
          <w:spacing w:val="-2"/>
          <w:w w:val="121"/>
        </w:rPr>
        <w:t>O</w:t>
      </w:r>
      <w:r>
        <w:rPr>
          <w:color w:val="231F20"/>
          <w:w w:val="135"/>
        </w:rPr>
        <w:t>,</w:t>
      </w:r>
      <w:r>
        <w:rPr>
          <w:color w:val="231F20"/>
          <w:spacing w:val="-1"/>
        </w:rPr>
        <w:t xml:space="preserve"> </w:t>
      </w:r>
      <w:r>
        <w:rPr>
          <w:color w:val="231F20"/>
          <w:w w:val="116"/>
        </w:rPr>
        <w:t>R</w:t>
      </w:r>
      <w:r>
        <w:rPr>
          <w:color w:val="231F20"/>
          <w:w w:val="91"/>
        </w:rPr>
        <w:t>e</w:t>
      </w:r>
      <w:r>
        <w:rPr>
          <w:color w:val="231F20"/>
        </w:rPr>
        <w:t>d</w:t>
      </w:r>
      <w:r>
        <w:rPr>
          <w:color w:val="231F20"/>
          <w:spacing w:val="-1"/>
        </w:rPr>
        <w:t xml:space="preserve"> </w:t>
      </w:r>
      <w:r>
        <w:rPr>
          <w:color w:val="231F20"/>
          <w:spacing w:val="5"/>
          <w:w w:val="115"/>
        </w:rPr>
        <w:t>A</w:t>
      </w:r>
      <w:r>
        <w:rPr>
          <w:color w:val="231F20"/>
          <w:spacing w:val="-2"/>
        </w:rPr>
        <w:t>i</w:t>
      </w:r>
      <w:r>
        <w:rPr>
          <w:color w:val="231F20"/>
        </w:rPr>
        <w:t>d</w:t>
      </w:r>
      <w:r>
        <w:rPr>
          <w:color w:val="231F20"/>
          <w:spacing w:val="-1"/>
        </w:rPr>
        <w:t xml:space="preserve"> </w:t>
      </w:r>
      <w:r>
        <w:rPr>
          <w:color w:val="231F20"/>
          <w:w w:val="91"/>
        </w:rPr>
        <w:t>e</w:t>
      </w:r>
      <w:r>
        <w:rPr>
          <w:color w:val="231F20"/>
          <w:spacing w:val="-12"/>
          <w:w w:val="135"/>
        </w:rPr>
        <w:t>.</w:t>
      </w:r>
      <w:r>
        <w:rPr>
          <w:color w:val="231F20"/>
          <w:spacing w:val="-13"/>
          <w:w w:val="99"/>
        </w:rPr>
        <w:t>v</w:t>
      </w:r>
      <w:r>
        <w:rPr>
          <w:color w:val="231F20"/>
          <w:spacing w:val="1"/>
          <w:w w:val="135"/>
        </w:rPr>
        <w:t>.</w:t>
      </w:r>
      <w:r>
        <w:rPr>
          <w:color w:val="231F20"/>
          <w:spacing w:val="2"/>
        </w:rPr>
        <w:t>—</w:t>
      </w:r>
      <w:r>
        <w:rPr>
          <w:color w:val="231F20"/>
          <w:spacing w:val="3"/>
        </w:rPr>
        <w:t>w</w:t>
      </w:r>
      <w:r>
        <w:rPr>
          <w:color w:val="231F20"/>
          <w:spacing w:val="2"/>
        </w:rPr>
        <w:t>i</w:t>
      </w:r>
      <w:r>
        <w:rPr>
          <w:color w:val="231F20"/>
          <w:spacing w:val="2"/>
          <w:w w:val="102"/>
        </w:rPr>
        <w:t>l</w:t>
      </w:r>
      <w:r>
        <w:rPr>
          <w:color w:val="231F20"/>
          <w:w w:val="102"/>
        </w:rPr>
        <w:t>l</w:t>
      </w:r>
      <w:r>
        <w:rPr>
          <w:color w:val="231F20"/>
          <w:spacing w:val="-1"/>
        </w:rPr>
        <w:t xml:space="preserve"> </w:t>
      </w:r>
      <w:r>
        <w:rPr>
          <w:color w:val="231F20"/>
          <w:spacing w:val="-1"/>
          <w:w w:val="94"/>
        </w:rPr>
        <w:t>r</w:t>
      </w:r>
      <w:r>
        <w:rPr>
          <w:color w:val="231F20"/>
          <w:w w:val="91"/>
        </w:rPr>
        <w:t>e</w:t>
      </w:r>
      <w:r>
        <w:rPr>
          <w:color w:val="231F20"/>
          <w:spacing w:val="1"/>
          <w:w w:val="99"/>
        </w:rPr>
        <w:t>m</w:t>
      </w:r>
      <w:r>
        <w:rPr>
          <w:color w:val="231F20"/>
          <w:spacing w:val="2"/>
          <w:w w:val="102"/>
        </w:rPr>
        <w:t>a</w:t>
      </w:r>
      <w:r>
        <w:rPr>
          <w:color w:val="231F20"/>
          <w:spacing w:val="2"/>
        </w:rPr>
        <w:t>i</w:t>
      </w:r>
      <w:r>
        <w:rPr>
          <w:color w:val="231F20"/>
          <w:w w:val="99"/>
        </w:rPr>
        <w:t>n</w:t>
      </w:r>
      <w:r>
        <w:rPr>
          <w:color w:val="231F20"/>
          <w:spacing w:val="-1"/>
        </w:rPr>
        <w:t xml:space="preserve"> </w:t>
      </w:r>
      <w:r>
        <w:rPr>
          <w:color w:val="231F20"/>
          <w:spacing w:val="3"/>
        </w:rPr>
        <w:t>u</w:t>
      </w:r>
      <w:r>
        <w:rPr>
          <w:color w:val="231F20"/>
          <w:w w:val="99"/>
        </w:rPr>
        <w:t>n</w:t>
      </w:r>
      <w:r>
        <w:rPr>
          <w:color w:val="231F20"/>
        </w:rPr>
        <w:t>c</w:t>
      </w:r>
      <w:r>
        <w:rPr>
          <w:color w:val="231F20"/>
          <w:spacing w:val="1"/>
        </w:rPr>
        <w:t>h</w:t>
      </w:r>
      <w:r>
        <w:rPr>
          <w:color w:val="231F20"/>
          <w:spacing w:val="2"/>
          <w:w w:val="102"/>
        </w:rPr>
        <w:t>a</w:t>
      </w:r>
      <w:r>
        <w:rPr>
          <w:color w:val="231F20"/>
          <w:w w:val="99"/>
        </w:rPr>
        <w:t>n</w:t>
      </w:r>
      <w:r>
        <w:rPr>
          <w:color w:val="231F20"/>
          <w:spacing w:val="-1"/>
          <w:w w:val="101"/>
        </w:rPr>
        <w:t>g</w:t>
      </w:r>
      <w:r>
        <w:rPr>
          <w:color w:val="231F20"/>
          <w:w w:val="91"/>
        </w:rPr>
        <w:t>e</w:t>
      </w:r>
      <w:r>
        <w:rPr>
          <w:color w:val="231F20"/>
        </w:rPr>
        <w:t>d</w:t>
      </w:r>
      <w:r>
        <w:rPr>
          <w:color w:val="231F20"/>
          <w:spacing w:val="-1"/>
        </w:rPr>
        <w:t xml:space="preserve"> </w:t>
      </w:r>
      <w:r>
        <w:rPr>
          <w:color w:val="231F20"/>
          <w:w w:val="102"/>
        </w:rPr>
        <w:t>a</w:t>
      </w:r>
      <w:r>
        <w:rPr>
          <w:color w:val="231F20"/>
          <w:w w:val="90"/>
        </w:rPr>
        <w:t>s</w:t>
      </w:r>
      <w:r>
        <w:rPr>
          <w:color w:val="231F20"/>
          <w:spacing w:val="-1"/>
        </w:rPr>
        <w:t xml:space="preserve"> </w:t>
      </w:r>
      <w:r>
        <w:rPr>
          <w:color w:val="231F20"/>
          <w:spacing w:val="-2"/>
          <w:w w:val="102"/>
        </w:rPr>
        <w:t>l</w:t>
      </w:r>
      <w:r>
        <w:rPr>
          <w:color w:val="231F20"/>
          <w:spacing w:val="-1"/>
          <w:w w:val="104"/>
        </w:rPr>
        <w:t>o</w:t>
      </w:r>
      <w:r>
        <w:rPr>
          <w:color w:val="231F20"/>
          <w:w w:val="99"/>
        </w:rPr>
        <w:t>n</w:t>
      </w:r>
      <w:r>
        <w:rPr>
          <w:color w:val="231F20"/>
          <w:w w:val="101"/>
        </w:rPr>
        <w:t>g</w:t>
      </w:r>
      <w:r>
        <w:rPr>
          <w:color w:val="231F20"/>
          <w:spacing w:val="-1"/>
        </w:rPr>
        <w:t xml:space="preserve"> </w:t>
      </w:r>
      <w:r>
        <w:rPr>
          <w:color w:val="231F20"/>
          <w:w w:val="102"/>
        </w:rPr>
        <w:t>a</w:t>
      </w:r>
      <w:r>
        <w:rPr>
          <w:color w:val="231F20"/>
          <w:w w:val="90"/>
        </w:rPr>
        <w:t>s</w:t>
      </w:r>
      <w:r>
        <w:rPr>
          <w:color w:val="231F20"/>
          <w:spacing w:val="-1"/>
        </w:rPr>
        <w:t xml:space="preserve"> </w:t>
      </w:r>
      <w:r>
        <w:rPr>
          <w:color w:val="231F20"/>
          <w:spacing w:val="2"/>
          <w:w w:val="98"/>
        </w:rPr>
        <w:t>t</w:t>
      </w:r>
      <w:r>
        <w:rPr>
          <w:color w:val="231F20"/>
          <w:spacing w:val="-1"/>
        </w:rPr>
        <w:t>h</w:t>
      </w:r>
      <w:r>
        <w:rPr>
          <w:color w:val="231F20"/>
          <w:w w:val="91"/>
        </w:rPr>
        <w:t>e</w:t>
      </w:r>
      <w:r>
        <w:rPr>
          <w:color w:val="231F20"/>
          <w:w w:val="99"/>
        </w:rPr>
        <w:t xml:space="preserve">y </w:t>
      </w:r>
      <w:r>
        <w:rPr>
          <w:color w:val="231F20"/>
        </w:rPr>
        <w:t xml:space="preserve">restrict themselves to questions of solidarity. (Because their solidarity does not lie with the offensive politico-military strategy, but rather— and even this only rhetorically—with the fundamentally defensive position of the </w:t>
      </w:r>
      <w:r w:rsidR="00C507A5">
        <w:rPr>
          <w:color w:val="231F20"/>
          <w:spacing w:val="5"/>
        </w:rPr>
        <w:t>red army faction</w:t>
      </w:r>
      <w:r>
        <w:rPr>
          <w:color w:val="231F20"/>
          <w:spacing w:val="5"/>
        </w:rPr>
        <w:t xml:space="preserve"> </w:t>
      </w:r>
      <w:r>
        <w:rPr>
          <w:color w:val="231F20"/>
        </w:rPr>
        <w:t xml:space="preserve">prisoners: the struggle against extermination in prison.) </w:t>
      </w:r>
      <w:r>
        <w:rPr>
          <w:color w:val="231F20"/>
          <w:spacing w:val="-2"/>
          <w:w w:val="103"/>
        </w:rPr>
        <w:t>F</w:t>
      </w:r>
      <w:r>
        <w:rPr>
          <w:color w:val="231F20"/>
          <w:spacing w:val="-1"/>
          <w:w w:val="104"/>
        </w:rPr>
        <w:t>o</w:t>
      </w:r>
      <w:r>
        <w:rPr>
          <w:color w:val="231F20"/>
          <w:w w:val="94"/>
        </w:rPr>
        <w:t>r</w:t>
      </w:r>
      <w:r>
        <w:rPr>
          <w:color w:val="231F20"/>
          <w:spacing w:val="15"/>
        </w:rPr>
        <w:t xml:space="preserve"> </w:t>
      </w:r>
      <w:r>
        <w:rPr>
          <w:color w:val="231F20"/>
          <w:spacing w:val="2"/>
        </w:rPr>
        <w:t>i</w:t>
      </w:r>
      <w:r>
        <w:rPr>
          <w:color w:val="231F20"/>
          <w:spacing w:val="1"/>
          <w:w w:val="99"/>
        </w:rPr>
        <w:t>n</w:t>
      </w:r>
      <w:r>
        <w:rPr>
          <w:color w:val="231F20"/>
          <w:w w:val="90"/>
        </w:rPr>
        <w:t>s</w:t>
      </w:r>
      <w:r>
        <w:rPr>
          <w:color w:val="231F20"/>
          <w:spacing w:val="2"/>
          <w:w w:val="98"/>
        </w:rPr>
        <w:t>t</w:t>
      </w:r>
      <w:r>
        <w:rPr>
          <w:color w:val="231F20"/>
          <w:spacing w:val="2"/>
          <w:w w:val="102"/>
        </w:rPr>
        <w:t>a</w:t>
      </w:r>
      <w:r>
        <w:rPr>
          <w:color w:val="231F20"/>
          <w:w w:val="99"/>
        </w:rPr>
        <w:t>n</w:t>
      </w:r>
      <w:r>
        <w:rPr>
          <w:color w:val="231F20"/>
          <w:spacing w:val="1"/>
        </w:rPr>
        <w:t>c</w:t>
      </w:r>
      <w:r>
        <w:rPr>
          <w:color w:val="231F20"/>
          <w:spacing w:val="2"/>
          <w:w w:val="91"/>
        </w:rPr>
        <w:t>e</w:t>
      </w:r>
      <w:r>
        <w:rPr>
          <w:color w:val="231F20"/>
          <w:w w:val="135"/>
        </w:rPr>
        <w:t>,</w:t>
      </w:r>
      <w:r>
        <w:rPr>
          <w:color w:val="231F20"/>
          <w:spacing w:val="15"/>
        </w:rPr>
        <w:t xml:space="preserve"> </w:t>
      </w:r>
      <w:r>
        <w:rPr>
          <w:color w:val="231F20"/>
          <w:spacing w:val="2"/>
          <w:w w:val="98"/>
        </w:rPr>
        <w:t>t</w:t>
      </w:r>
      <w:r>
        <w:rPr>
          <w:color w:val="231F20"/>
          <w:spacing w:val="-1"/>
        </w:rPr>
        <w:t>h</w:t>
      </w:r>
      <w:r>
        <w:rPr>
          <w:color w:val="231F20"/>
          <w:w w:val="91"/>
        </w:rPr>
        <w:t>e</w:t>
      </w:r>
      <w:r>
        <w:rPr>
          <w:color w:val="231F20"/>
          <w:spacing w:val="16"/>
        </w:rPr>
        <w:t xml:space="preserve"> </w:t>
      </w:r>
      <w:r>
        <w:rPr>
          <w:color w:val="231F20"/>
          <w:spacing w:val="7"/>
          <w:w w:val="114"/>
        </w:rPr>
        <w:t>K</w:t>
      </w:r>
      <w:r>
        <w:rPr>
          <w:color w:val="231F20"/>
          <w:w w:val="108"/>
        </w:rPr>
        <w:t>PD</w:t>
      </w:r>
      <w:r>
        <w:rPr>
          <w:color w:val="231F20"/>
          <w:spacing w:val="-8"/>
          <w:w w:val="56"/>
        </w:rPr>
        <w:t>/</w:t>
      </w:r>
      <w:r>
        <w:rPr>
          <w:color w:val="231F20"/>
          <w:spacing w:val="-8"/>
          <w:w w:val="121"/>
        </w:rPr>
        <w:t>A</w:t>
      </w:r>
      <w:r>
        <w:rPr>
          <w:color w:val="231F20"/>
          <w:w w:val="121"/>
        </w:rPr>
        <w:t>O</w:t>
      </w:r>
      <w:r>
        <w:rPr>
          <w:color w:val="231F20"/>
          <w:spacing w:val="15"/>
        </w:rPr>
        <w:t xml:space="preserve"> </w:t>
      </w:r>
      <w:r>
        <w:rPr>
          <w:color w:val="231F20"/>
        </w:rPr>
        <w:t>d</w:t>
      </w:r>
      <w:r>
        <w:rPr>
          <w:color w:val="231F20"/>
          <w:w w:val="91"/>
        </w:rPr>
        <w:t>e</w:t>
      </w:r>
      <w:r>
        <w:rPr>
          <w:color w:val="231F20"/>
          <w:spacing w:val="-2"/>
          <w:w w:val="99"/>
        </w:rPr>
        <w:t>n</w:t>
      </w:r>
      <w:r>
        <w:rPr>
          <w:color w:val="231F20"/>
          <w:spacing w:val="-2"/>
          <w:w w:val="104"/>
        </w:rPr>
        <w:t>o</w:t>
      </w:r>
      <w:r>
        <w:rPr>
          <w:color w:val="231F20"/>
          <w:spacing w:val="3"/>
        </w:rPr>
        <w:t>u</w:t>
      </w:r>
      <w:r>
        <w:rPr>
          <w:color w:val="231F20"/>
          <w:w w:val="99"/>
        </w:rPr>
        <w:t>n</w:t>
      </w:r>
      <w:r>
        <w:rPr>
          <w:color w:val="231F20"/>
          <w:spacing w:val="1"/>
        </w:rPr>
        <w:t>c</w:t>
      </w:r>
      <w:r>
        <w:rPr>
          <w:color w:val="231F20"/>
          <w:w w:val="91"/>
        </w:rPr>
        <w:t>e</w:t>
      </w:r>
      <w:r>
        <w:rPr>
          <w:color w:val="231F20"/>
        </w:rPr>
        <w:t>d</w:t>
      </w:r>
      <w:r>
        <w:rPr>
          <w:color w:val="231F20"/>
          <w:spacing w:val="15"/>
        </w:rPr>
        <w:t xml:space="preserve"> </w:t>
      </w:r>
      <w:r>
        <w:rPr>
          <w:color w:val="231F20"/>
          <w:spacing w:val="2"/>
          <w:w w:val="98"/>
        </w:rPr>
        <w:t>t</w:t>
      </w:r>
      <w:r>
        <w:rPr>
          <w:color w:val="231F20"/>
          <w:spacing w:val="-1"/>
        </w:rPr>
        <w:t>h</w:t>
      </w:r>
      <w:r>
        <w:rPr>
          <w:color w:val="231F20"/>
          <w:w w:val="91"/>
        </w:rPr>
        <w:t>e</w:t>
      </w:r>
      <w:r>
        <w:rPr>
          <w:color w:val="231F20"/>
          <w:spacing w:val="15"/>
        </w:rPr>
        <w:t xml:space="preserve"> </w:t>
      </w:r>
      <w:r>
        <w:rPr>
          <w:color w:val="231F20"/>
          <w:spacing w:val="-10"/>
        </w:rPr>
        <w:t>1</w:t>
      </w:r>
      <w:r>
        <w:rPr>
          <w:color w:val="231F20"/>
          <w:spacing w:val="-1"/>
        </w:rPr>
        <w:t>9</w:t>
      </w:r>
      <w:r>
        <w:rPr>
          <w:color w:val="231F20"/>
          <w:spacing w:val="-3"/>
        </w:rPr>
        <w:t>7</w:t>
      </w:r>
      <w:r>
        <w:rPr>
          <w:color w:val="231F20"/>
        </w:rPr>
        <w:t>0</w:t>
      </w:r>
      <w:r>
        <w:rPr>
          <w:color w:val="231F20"/>
          <w:spacing w:val="15"/>
        </w:rPr>
        <w:t xml:space="preserve"> </w:t>
      </w:r>
      <w:r>
        <w:rPr>
          <w:color w:val="231F20"/>
          <w:spacing w:val="2"/>
          <w:w w:val="102"/>
        </w:rPr>
        <w:t>l</w:t>
      </w:r>
      <w:r>
        <w:rPr>
          <w:color w:val="231F20"/>
          <w:spacing w:val="-2"/>
        </w:rPr>
        <w:t>i</w:t>
      </w:r>
      <w:r>
        <w:rPr>
          <w:color w:val="231F20"/>
          <w:spacing w:val="1"/>
          <w:w w:val="101"/>
        </w:rPr>
        <w:t>b</w:t>
      </w:r>
      <w:r>
        <w:rPr>
          <w:color w:val="231F20"/>
          <w:w w:val="92"/>
        </w:rPr>
        <w:t>e</w:t>
      </w:r>
      <w:r>
        <w:rPr>
          <w:color w:val="231F20"/>
          <w:spacing w:val="-1"/>
          <w:w w:val="92"/>
        </w:rPr>
        <w:t>r</w:t>
      </w:r>
      <w:r>
        <w:rPr>
          <w:color w:val="231F20"/>
          <w:spacing w:val="-2"/>
          <w:w w:val="102"/>
        </w:rPr>
        <w:t>a</w:t>
      </w:r>
      <w:r>
        <w:rPr>
          <w:color w:val="231F20"/>
          <w:spacing w:val="2"/>
          <w:w w:val="98"/>
        </w:rPr>
        <w:t>t</w:t>
      </w:r>
      <w:r>
        <w:rPr>
          <w:color w:val="231F20"/>
          <w:spacing w:val="-2"/>
        </w:rPr>
        <w:t>i</w:t>
      </w:r>
      <w:r>
        <w:rPr>
          <w:color w:val="231F20"/>
          <w:spacing w:val="-1"/>
          <w:w w:val="104"/>
        </w:rPr>
        <w:t>o</w:t>
      </w:r>
      <w:r>
        <w:rPr>
          <w:color w:val="231F20"/>
          <w:w w:val="99"/>
        </w:rPr>
        <w:t>n</w:t>
      </w:r>
      <w:r>
        <w:rPr>
          <w:color w:val="231F20"/>
          <w:spacing w:val="15"/>
        </w:rPr>
        <w:t xml:space="preserve"> </w:t>
      </w:r>
      <w:r>
        <w:rPr>
          <w:color w:val="231F20"/>
          <w:spacing w:val="-2"/>
          <w:w w:val="104"/>
        </w:rPr>
        <w:t>o</w:t>
      </w:r>
      <w:r>
        <w:rPr>
          <w:color w:val="231F20"/>
          <w:w w:val="109"/>
        </w:rPr>
        <w:t>f</w:t>
      </w:r>
      <w:r>
        <w:rPr>
          <w:color w:val="231F20"/>
          <w:spacing w:val="15"/>
        </w:rPr>
        <w:t xml:space="preserve"> </w:t>
      </w:r>
      <w:r>
        <w:rPr>
          <w:color w:val="231F20"/>
          <w:spacing w:val="2"/>
          <w:w w:val="99"/>
        </w:rPr>
        <w:t>B</w:t>
      </w:r>
      <w:r>
        <w:rPr>
          <w:color w:val="231F20"/>
          <w:spacing w:val="1"/>
          <w:w w:val="102"/>
        </w:rPr>
        <w:t>a</w:t>
      </w:r>
      <w:r>
        <w:rPr>
          <w:color w:val="231F20"/>
          <w:spacing w:val="-2"/>
          <w:w w:val="102"/>
        </w:rPr>
        <w:t>a</w:t>
      </w:r>
      <w:r>
        <w:rPr>
          <w:color w:val="231F20"/>
        </w:rPr>
        <w:t>d</w:t>
      </w:r>
      <w:r>
        <w:rPr>
          <w:color w:val="231F20"/>
          <w:w w:val="92"/>
        </w:rPr>
        <w:t>er</w:t>
      </w:r>
      <w:r>
        <w:rPr>
          <w:color w:val="231F20"/>
          <w:spacing w:val="15"/>
        </w:rPr>
        <w:t xml:space="preserve"> </w:t>
      </w:r>
      <w:r>
        <w:rPr>
          <w:color w:val="231F20"/>
          <w:w w:val="102"/>
        </w:rPr>
        <w:t>a</w:t>
      </w:r>
      <w:r>
        <w:rPr>
          <w:color w:val="231F20"/>
          <w:w w:val="90"/>
        </w:rPr>
        <w:t xml:space="preserve">s </w:t>
      </w:r>
      <w:r>
        <w:rPr>
          <w:color w:val="231F20"/>
        </w:rPr>
        <w:t xml:space="preserve">CIA-orchestrated and practically delivered us up during the manhunt   of </w:t>
      </w:r>
      <w:r>
        <w:rPr>
          <w:color w:val="231F20"/>
          <w:spacing w:val="-3"/>
        </w:rPr>
        <w:t xml:space="preserve">1972. </w:t>
      </w:r>
      <w:r>
        <w:rPr>
          <w:color w:val="231F20"/>
        </w:rPr>
        <w:t xml:space="preserve">This situation will not change until this </w:t>
      </w:r>
      <w:r>
        <w:rPr>
          <w:color w:val="231F20"/>
          <w:spacing w:val="1"/>
        </w:rPr>
        <w:t xml:space="preserve">party </w:t>
      </w:r>
      <w:r>
        <w:rPr>
          <w:color w:val="231F20"/>
        </w:rPr>
        <w:t>understands that the</w:t>
      </w:r>
      <w:r>
        <w:rPr>
          <w:color w:val="231F20"/>
          <w:spacing w:val="6"/>
        </w:rPr>
        <w:t xml:space="preserve"> </w:t>
      </w:r>
      <w:r>
        <w:rPr>
          <w:color w:val="231F20"/>
        </w:rPr>
        <w:t>urban</w:t>
      </w:r>
      <w:r>
        <w:rPr>
          <w:color w:val="231F20"/>
          <w:spacing w:val="6"/>
        </w:rPr>
        <w:t xml:space="preserve"> </w:t>
      </w:r>
      <w:r>
        <w:rPr>
          <w:color w:val="231F20"/>
        </w:rPr>
        <w:t>guerilla</w:t>
      </w:r>
      <w:r>
        <w:rPr>
          <w:color w:val="231F20"/>
          <w:spacing w:val="6"/>
        </w:rPr>
        <w:t xml:space="preserve"> </w:t>
      </w:r>
      <w:r>
        <w:rPr>
          <w:color w:val="231F20"/>
        </w:rPr>
        <w:t>constitutes</w:t>
      </w:r>
      <w:r>
        <w:rPr>
          <w:color w:val="231F20"/>
          <w:spacing w:val="6"/>
        </w:rPr>
        <w:t xml:space="preserve"> </w:t>
      </w:r>
      <w:r>
        <w:rPr>
          <w:color w:val="231F20"/>
        </w:rPr>
        <w:t>a</w:t>
      </w:r>
      <w:r>
        <w:rPr>
          <w:color w:val="231F20"/>
          <w:spacing w:val="6"/>
        </w:rPr>
        <w:t xml:space="preserve"> </w:t>
      </w:r>
      <w:r>
        <w:rPr>
          <w:color w:val="231F20"/>
        </w:rPr>
        <w:t>stage</w:t>
      </w:r>
      <w:r>
        <w:rPr>
          <w:color w:val="231F20"/>
          <w:spacing w:val="6"/>
        </w:rPr>
        <w:t xml:space="preserve"> </w:t>
      </w:r>
      <w:r>
        <w:rPr>
          <w:color w:val="231F20"/>
        </w:rPr>
        <w:t>in</w:t>
      </w:r>
      <w:r>
        <w:rPr>
          <w:color w:val="231F20"/>
          <w:spacing w:val="6"/>
        </w:rPr>
        <w:t xml:space="preserve"> </w:t>
      </w:r>
      <w:r>
        <w:rPr>
          <w:color w:val="231F20"/>
        </w:rPr>
        <w:t>the</w:t>
      </w:r>
      <w:r>
        <w:rPr>
          <w:color w:val="231F20"/>
          <w:spacing w:val="6"/>
        </w:rPr>
        <w:t xml:space="preserve"> </w:t>
      </w:r>
      <w:r>
        <w:rPr>
          <w:color w:val="231F20"/>
        </w:rPr>
        <w:t>protracted</w:t>
      </w:r>
      <w:r>
        <w:rPr>
          <w:color w:val="231F20"/>
          <w:spacing w:val="6"/>
        </w:rPr>
        <w:t xml:space="preserve"> </w:t>
      </w:r>
      <w:r>
        <w:rPr>
          <w:color w:val="231F20"/>
        </w:rPr>
        <w:t>people’s</w:t>
      </w:r>
      <w:r>
        <w:rPr>
          <w:color w:val="231F20"/>
          <w:spacing w:val="6"/>
        </w:rPr>
        <w:t xml:space="preserve"> </w:t>
      </w:r>
      <w:r>
        <w:rPr>
          <w:color w:val="231F20"/>
        </w:rPr>
        <w:t>war.</w:t>
      </w:r>
    </w:p>
    <w:p w14:paraId="2B936D87" w14:textId="77777777" w:rsidR="002653E8" w:rsidRDefault="003115E3">
      <w:pPr>
        <w:pStyle w:val="a3"/>
        <w:spacing w:line="264" w:lineRule="auto"/>
        <w:ind w:left="1327" w:right="1145" w:firstLine="209"/>
        <w:jc w:val="both"/>
      </w:pPr>
      <w:r>
        <w:rPr>
          <w:color w:val="231F20"/>
        </w:rPr>
        <w:t xml:space="preserve">The justice system and the media have associated Mahler with the </w:t>
      </w:r>
      <w:r w:rsidR="00C507A5">
        <w:rPr>
          <w:color w:val="231F20"/>
        </w:rPr>
        <w:t>red army faction</w:t>
      </w:r>
      <w:r>
        <w:rPr>
          <w:color w:val="231F20"/>
        </w:rPr>
        <w:t xml:space="preserve">, and Mahler is trying to use this association with the urban guerilla, and with the actions and practice of the </w:t>
      </w:r>
      <w:r w:rsidR="00C507A5">
        <w:rPr>
          <w:color w:val="231F20"/>
        </w:rPr>
        <w:t>red army faction</w:t>
      </w:r>
      <w:r>
        <w:rPr>
          <w:color w:val="231F20"/>
        </w:rPr>
        <w:t>, and the example it sets for these groups, in an effort to obstruct and prevent his expulsion. In a fit of pique, this consistent revisionist and opportunist is simply doing this to get back at us.</w:t>
      </w:r>
    </w:p>
    <w:p w14:paraId="51DDA989" w14:textId="77777777" w:rsidR="002653E8" w:rsidRDefault="00000000">
      <w:pPr>
        <w:pStyle w:val="a3"/>
        <w:spacing w:before="1"/>
        <w:rPr>
          <w:sz w:val="12"/>
        </w:rPr>
      </w:pPr>
      <w:r>
        <w:rPr>
          <w:noProof w:val="0"/>
        </w:rPr>
        <w:pict w14:anchorId="7FECEFF6">
          <v:line id="_x0000_s2362" style="position:absolute;z-index:7000;mso-wrap-distance-left:0;mso-wrap-distance-right:0;mso-position-horizontal-relative:page" from="66.4pt,9.3pt" to="138.4pt,9.3pt" strokecolor="#231f20" strokeweight=".5pt">
            <w10:wrap type="topAndBottom" anchorx="page"/>
          </v:line>
        </w:pict>
      </w:r>
    </w:p>
    <w:p w14:paraId="3FBDD046" w14:textId="77777777" w:rsidR="002653E8" w:rsidRDefault="003115E3">
      <w:pPr>
        <w:spacing w:before="53"/>
        <w:ind w:left="1327"/>
        <w:rPr>
          <w:sz w:val="16"/>
        </w:rPr>
      </w:pPr>
      <w:r>
        <w:rPr>
          <w:color w:val="231F20"/>
          <w:w w:val="110"/>
          <w:sz w:val="16"/>
        </w:rPr>
        <w:lastRenderedPageBreak/>
        <w:t>1 Red Rock.</w:t>
      </w:r>
    </w:p>
    <w:p w14:paraId="49560541" w14:textId="77777777" w:rsidR="002653E8" w:rsidRDefault="003115E3">
      <w:pPr>
        <w:pStyle w:val="a3"/>
        <w:spacing w:before="86" w:line="264" w:lineRule="auto"/>
        <w:ind w:left="1147" w:right="1325" w:firstLine="210"/>
        <w:jc w:val="both"/>
      </w:pPr>
      <w:r>
        <w:rPr>
          <w:color w:val="231F20"/>
        </w:rPr>
        <w:t xml:space="preserve">The fact of the matter is that, with his recent publication, he is trying to use his experiences with the </w:t>
      </w:r>
      <w:r w:rsidR="00C507A5">
        <w:rPr>
          <w:color w:val="231F20"/>
          <w:spacing w:val="5"/>
        </w:rPr>
        <w:t>red army faction</w:t>
      </w:r>
      <w:r>
        <w:rPr>
          <w:color w:val="231F20"/>
          <w:spacing w:val="5"/>
        </w:rPr>
        <w:t xml:space="preserve"> </w:t>
      </w:r>
      <w:r>
        <w:rPr>
          <w:color w:val="231F20"/>
        </w:rPr>
        <w:t xml:space="preserve">in order to aid state security’s psychological warfare campaign within the legal left—just like Ruhland, Sturm, and Homann—and he is doing this with material provided by  the cops—because he himself knows nothing about the </w:t>
      </w:r>
      <w:r w:rsidR="00C507A5">
        <w:rPr>
          <w:color w:val="231F20"/>
          <w:spacing w:val="5"/>
        </w:rPr>
        <w:t>red army faction</w:t>
      </w:r>
      <w:r>
        <w:rPr>
          <w:color w:val="231F20"/>
          <w:spacing w:val="5"/>
        </w:rPr>
        <w:t xml:space="preserve"> </w:t>
      </w:r>
      <w:r>
        <w:rPr>
          <w:color w:val="231F20"/>
        </w:rPr>
        <w:t xml:space="preserve">and its discussions. He quotes from </w:t>
      </w:r>
      <w:r>
        <w:rPr>
          <w:color w:val="231F20"/>
          <w:spacing w:val="2"/>
        </w:rPr>
        <w:t xml:space="preserve">BKA </w:t>
      </w:r>
      <w:r>
        <w:rPr>
          <w:color w:val="231F20"/>
        </w:rPr>
        <w:t xml:space="preserve">reports about the raids of </w:t>
      </w:r>
      <w:r w:rsidR="00C507A5">
        <w:rPr>
          <w:color w:val="231F20"/>
          <w:spacing w:val="5"/>
        </w:rPr>
        <w:t>red army faction</w:t>
      </w:r>
      <w:r>
        <w:rPr>
          <w:color w:val="231F20"/>
          <w:spacing w:val="5"/>
        </w:rPr>
        <w:t xml:space="preserve"> </w:t>
      </w:r>
      <w:r>
        <w:rPr>
          <w:color w:val="231F20"/>
        </w:rPr>
        <w:t xml:space="preserve">prisoners’ cells, and in so doing he associates himself with the false allegations and lies found in the Bonn Security </w:t>
      </w:r>
      <w:r>
        <w:rPr>
          <w:color w:val="231F20"/>
          <w:spacing w:val="-3"/>
        </w:rPr>
        <w:t xml:space="preserve">Group’s </w:t>
      </w:r>
      <w:r>
        <w:rPr>
          <w:color w:val="231F20"/>
        </w:rPr>
        <w:t xml:space="preserve">reports. What he provides  as quotes from the </w:t>
      </w:r>
      <w:r w:rsidR="00C507A5">
        <w:rPr>
          <w:color w:val="231F20"/>
          <w:spacing w:val="5"/>
        </w:rPr>
        <w:t>red army faction</w:t>
      </w:r>
      <w:r>
        <w:rPr>
          <w:color w:val="231F20"/>
          <w:spacing w:val="5"/>
        </w:rPr>
        <w:t xml:space="preserve"> </w:t>
      </w:r>
      <w:r>
        <w:rPr>
          <w:color w:val="231F20"/>
        </w:rPr>
        <w:t xml:space="preserve">are almost all quotes from himself. Like any filthy criminologist, he plays around with notes that offer no information about the </w:t>
      </w:r>
      <w:r w:rsidR="00C507A5">
        <w:rPr>
          <w:color w:val="231F20"/>
          <w:spacing w:val="1"/>
        </w:rPr>
        <w:t>red army faction</w:t>
      </w:r>
      <w:r>
        <w:rPr>
          <w:color w:val="231F20"/>
          <w:spacing w:val="1"/>
        </w:rPr>
        <w:t xml:space="preserve">’s </w:t>
      </w:r>
      <w:r>
        <w:rPr>
          <w:color w:val="231F20"/>
        </w:rPr>
        <w:t>politics—but which denounce, personalize, and falsify</w:t>
      </w:r>
      <w:r>
        <w:rPr>
          <w:color w:val="231F20"/>
          <w:spacing w:val="13"/>
        </w:rPr>
        <w:t xml:space="preserve"> </w:t>
      </w:r>
      <w:r>
        <w:rPr>
          <w:color w:val="231F20"/>
        </w:rPr>
        <w:t>the</w:t>
      </w:r>
      <w:r>
        <w:rPr>
          <w:color w:val="231F20"/>
          <w:spacing w:val="13"/>
        </w:rPr>
        <w:t xml:space="preserve"> </w:t>
      </w:r>
      <w:r w:rsidR="00C507A5">
        <w:rPr>
          <w:color w:val="231F20"/>
          <w:spacing w:val="1"/>
        </w:rPr>
        <w:t>red army faction</w:t>
      </w:r>
      <w:r>
        <w:rPr>
          <w:color w:val="231F20"/>
          <w:spacing w:val="1"/>
        </w:rPr>
        <w:t>’s</w:t>
      </w:r>
      <w:r>
        <w:rPr>
          <w:color w:val="231F20"/>
          <w:spacing w:val="13"/>
        </w:rPr>
        <w:t xml:space="preserve"> </w:t>
      </w:r>
      <w:r>
        <w:rPr>
          <w:color w:val="231F20"/>
        </w:rPr>
        <w:t>politics,</w:t>
      </w:r>
      <w:r>
        <w:rPr>
          <w:color w:val="231F20"/>
          <w:spacing w:val="13"/>
        </w:rPr>
        <w:t xml:space="preserve"> </w:t>
      </w:r>
      <w:r>
        <w:rPr>
          <w:color w:val="231F20"/>
        </w:rPr>
        <w:t>treating</w:t>
      </w:r>
      <w:r>
        <w:rPr>
          <w:color w:val="231F20"/>
          <w:spacing w:val="13"/>
        </w:rPr>
        <w:t xml:space="preserve"> </w:t>
      </w:r>
      <w:r>
        <w:rPr>
          <w:color w:val="231F20"/>
        </w:rPr>
        <w:t>them</w:t>
      </w:r>
      <w:r>
        <w:rPr>
          <w:color w:val="231F20"/>
          <w:spacing w:val="13"/>
        </w:rPr>
        <w:t xml:space="preserve"> </w:t>
      </w:r>
      <w:r>
        <w:rPr>
          <w:color w:val="231F20"/>
        </w:rPr>
        <w:t>as</w:t>
      </w:r>
      <w:r>
        <w:rPr>
          <w:color w:val="231F20"/>
          <w:spacing w:val="13"/>
        </w:rPr>
        <w:t xml:space="preserve"> </w:t>
      </w:r>
      <w:r>
        <w:rPr>
          <w:color w:val="231F20"/>
        </w:rPr>
        <w:t>a</w:t>
      </w:r>
      <w:r>
        <w:rPr>
          <w:color w:val="231F20"/>
          <w:spacing w:val="13"/>
        </w:rPr>
        <w:t xml:space="preserve"> </w:t>
      </w:r>
      <w:r>
        <w:rPr>
          <w:color w:val="231F20"/>
        </w:rPr>
        <w:t>psychological</w:t>
      </w:r>
      <w:r>
        <w:rPr>
          <w:color w:val="231F20"/>
          <w:spacing w:val="13"/>
        </w:rPr>
        <w:t xml:space="preserve"> </w:t>
      </w:r>
      <w:r>
        <w:rPr>
          <w:color w:val="231F20"/>
        </w:rPr>
        <w:t>issue.</w:t>
      </w:r>
    </w:p>
    <w:p w14:paraId="041466F5" w14:textId="77777777" w:rsidR="002653E8" w:rsidRDefault="003115E3">
      <w:pPr>
        <w:pStyle w:val="a3"/>
        <w:spacing w:line="221" w:lineRule="exact"/>
        <w:ind w:left="1357"/>
      </w:pPr>
      <w:r>
        <w:rPr>
          <w:color w:val="231F20"/>
        </w:rPr>
        <w:t>In his opening statement at the Baader liberation trial, he put his</w:t>
      </w:r>
    </w:p>
    <w:p w14:paraId="1DBE7E67" w14:textId="77777777" w:rsidR="002653E8" w:rsidRDefault="003115E3">
      <w:pPr>
        <w:pStyle w:val="a3"/>
        <w:spacing w:before="23" w:line="264" w:lineRule="auto"/>
        <w:ind w:left="1147" w:right="1326"/>
        <w:jc w:val="both"/>
      </w:pPr>
      <w:r>
        <w:rPr>
          <w:color w:val="231F20"/>
        </w:rPr>
        <w:t xml:space="preserve">new persona on public display. He could not have come up with a more obvious method of using this trial to side with the justice system and to distance himself from armed politics, the guerilla in the metropole, and the </w:t>
      </w:r>
      <w:r w:rsidR="00C507A5">
        <w:rPr>
          <w:color w:val="231F20"/>
        </w:rPr>
        <w:t>red army faction</w:t>
      </w:r>
      <w:r>
        <w:rPr>
          <w:color w:val="231F20"/>
        </w:rPr>
        <w:t xml:space="preserve">, given that state security and the BAW do not want this trial to focus on the evidence, but on destroying the </w:t>
      </w:r>
      <w:r w:rsidR="00C507A5">
        <w:rPr>
          <w:color w:val="231F20"/>
        </w:rPr>
        <w:t>red army faction</w:t>
      </w:r>
      <w:r>
        <w:rPr>
          <w:color w:val="231F20"/>
        </w:rPr>
        <w:t xml:space="preserve"> politically, destroying the urban guerilla concept in the Federal Republic. That is to say, they want this trial to focus on psychological warfare.</w:t>
      </w:r>
    </w:p>
    <w:p w14:paraId="3003EE24" w14:textId="77777777" w:rsidR="002653E8" w:rsidRDefault="003115E3">
      <w:pPr>
        <w:pStyle w:val="a3"/>
        <w:spacing w:line="264" w:lineRule="auto"/>
        <w:ind w:left="1147" w:right="1325" w:firstLine="210"/>
        <w:jc w:val="both"/>
      </w:pPr>
      <w:r>
        <w:rPr>
          <w:color w:val="231F20"/>
        </w:rPr>
        <w:t xml:space="preserve">He, who has found a </w:t>
      </w:r>
      <w:r>
        <w:rPr>
          <w:color w:val="231F20"/>
          <w:spacing w:val="-2"/>
        </w:rPr>
        <w:t xml:space="preserve">way  </w:t>
      </w:r>
      <w:r>
        <w:rPr>
          <w:color w:val="231F20"/>
        </w:rPr>
        <w:t xml:space="preserve">to get out of isolation, says that there is     no extermination imprisonment, and this at a time when more than     40 political prisoners in </w:t>
      </w:r>
      <w:r>
        <w:rPr>
          <w:color w:val="231F20"/>
          <w:spacing w:val="-3"/>
        </w:rPr>
        <w:t xml:space="preserve">West </w:t>
      </w:r>
      <w:r>
        <w:rPr>
          <w:color w:val="231F20"/>
        </w:rPr>
        <w:t xml:space="preserve">Germany and </w:t>
      </w:r>
      <w:r>
        <w:rPr>
          <w:color w:val="231F20"/>
          <w:spacing w:val="-3"/>
        </w:rPr>
        <w:t xml:space="preserve">West </w:t>
      </w:r>
      <w:r>
        <w:rPr>
          <w:color w:val="231F20"/>
        </w:rPr>
        <w:t xml:space="preserve">Berlin have begun a hunger strike, with which we are determined to smash the imperialist states’ extermination strategy: the use of isolation against the prisoners of the </w:t>
      </w:r>
      <w:r w:rsidR="00C507A5">
        <w:rPr>
          <w:color w:val="231F20"/>
          <w:spacing w:val="5"/>
        </w:rPr>
        <w:t>red army faction</w:t>
      </w:r>
      <w:r>
        <w:rPr>
          <w:color w:val="231F20"/>
          <w:spacing w:val="5"/>
        </w:rPr>
        <w:t xml:space="preserve"> </w:t>
      </w:r>
      <w:r>
        <w:rPr>
          <w:color w:val="231F20"/>
        </w:rPr>
        <w:t xml:space="preserve">and other anti-imperialist social revolutionary groups, as well as against all those prisoners who have begun to organize resistance and have therefore been placed in isolation. Because he doesn’t want to struggle, because he is afraid of this hunger strike, he attempts to liquidate it, making a political program out of his miserable egotism and attempting to stir up the legal left against the </w:t>
      </w:r>
      <w:r w:rsidR="00C507A5">
        <w:rPr>
          <w:color w:val="231F20"/>
        </w:rPr>
        <w:t>red army faction</w:t>
      </w:r>
      <w:r>
        <w:rPr>
          <w:color w:val="231F20"/>
        </w:rPr>
        <w:t xml:space="preserve">, all to serve        his own interests. And he does this at a time when the </w:t>
      </w:r>
      <w:r w:rsidR="00C507A5">
        <w:rPr>
          <w:color w:val="231F20"/>
          <w:spacing w:val="1"/>
        </w:rPr>
        <w:t>red army faction</w:t>
      </w:r>
      <w:r>
        <w:rPr>
          <w:color w:val="231F20"/>
          <w:spacing w:val="1"/>
        </w:rPr>
        <w:t xml:space="preserve">’s </w:t>
      </w:r>
      <w:r>
        <w:rPr>
          <w:color w:val="231F20"/>
        </w:rPr>
        <w:t>prison struggle—against the extermination of political prisoners, for the right of prisoners to organize and to launch a revolutionary prisoners’ movement—requires solidarity from the legal movement. Not paternalism and not just words on paper, but solidarity through which they themselves might develop a genuine anti-imperialist</w:t>
      </w:r>
      <w:r>
        <w:rPr>
          <w:color w:val="231F20"/>
          <w:spacing w:val="11"/>
        </w:rPr>
        <w:t xml:space="preserve"> </w:t>
      </w:r>
      <w:r>
        <w:rPr>
          <w:color w:val="231F20"/>
        </w:rPr>
        <w:t>practice.</w:t>
      </w:r>
    </w:p>
    <w:p w14:paraId="21D3A1D0" w14:textId="77777777" w:rsidR="002653E8" w:rsidRDefault="003115E3">
      <w:pPr>
        <w:pStyle w:val="a3"/>
        <w:spacing w:line="216" w:lineRule="exact"/>
        <w:ind w:left="1357"/>
      </w:pPr>
      <w:r>
        <w:rPr>
          <w:color w:val="231F20"/>
        </w:rPr>
        <w:t>Horst  Mahler  has  consciously  chosen  to  collaborate  with  the BKA</w:t>
      </w:r>
    </w:p>
    <w:p w14:paraId="4EF36E05" w14:textId="77777777" w:rsidR="002653E8" w:rsidRDefault="003115E3">
      <w:pPr>
        <w:pStyle w:val="a3"/>
        <w:spacing w:before="15" w:line="264" w:lineRule="auto"/>
        <w:ind w:left="1148" w:right="1326"/>
        <w:jc w:val="both"/>
      </w:pPr>
      <w:r>
        <w:rPr>
          <w:color w:val="231F20"/>
        </w:rPr>
        <w:lastRenderedPageBreak/>
        <w:t>and the Berlin justice system, and to act as a puppet for the political police in Wiesbaden and Bonn. He remains what he has always been:</w:t>
      </w:r>
    </w:p>
    <w:p w14:paraId="3D54787C" w14:textId="77777777" w:rsidR="002653E8" w:rsidRDefault="003115E3">
      <w:pPr>
        <w:pStyle w:val="a3"/>
        <w:spacing w:before="86" w:line="264" w:lineRule="auto"/>
        <w:ind w:left="1327" w:right="1146"/>
        <w:jc w:val="both"/>
      </w:pPr>
      <w:r>
        <w:rPr>
          <w:color w:val="231F20"/>
        </w:rPr>
        <w:t>a cynic, a chauvinist and a mandarin, now acting openly on behalf of state security—a politically inconsequential and essentially ridiculous figure.</w:t>
      </w:r>
    </w:p>
    <w:p w14:paraId="6C9F0888" w14:textId="77777777" w:rsidR="002653E8" w:rsidRDefault="003115E3">
      <w:pPr>
        <w:pStyle w:val="a3"/>
        <w:spacing w:before="124" w:line="261" w:lineRule="auto"/>
        <w:ind w:left="5585" w:right="1145" w:firstLine="320"/>
        <w:jc w:val="right"/>
      </w:pPr>
      <w:r>
        <w:rPr>
          <w:color w:val="231F20"/>
        </w:rPr>
        <w:t xml:space="preserve">Monika Berberich for the </w:t>
      </w:r>
      <w:r w:rsidR="00C507A5">
        <w:rPr>
          <w:color w:val="231F20"/>
        </w:rPr>
        <w:t>red army faction</w:t>
      </w:r>
      <w:r>
        <w:rPr>
          <w:color w:val="231F20"/>
        </w:rPr>
        <w:t xml:space="preserve"> Prisoners</w:t>
      </w:r>
      <w:r>
        <w:rPr>
          <w:color w:val="231F20"/>
          <w:w w:val="90"/>
        </w:rPr>
        <w:t xml:space="preserve"> </w:t>
      </w:r>
      <w:r>
        <w:rPr>
          <w:color w:val="231F20"/>
        </w:rPr>
        <w:t>September 27, 1974</w:t>
      </w:r>
    </w:p>
    <w:p w14:paraId="2C17414B" w14:textId="77777777" w:rsidR="002653E8" w:rsidRDefault="002653E8">
      <w:pPr>
        <w:spacing w:line="261" w:lineRule="auto"/>
        <w:jc w:val="right"/>
        <w:sectPr w:rsidR="002653E8">
          <w:footerReference w:type="even" r:id="rId248"/>
          <w:footerReference w:type="default" r:id="rId249"/>
          <w:pgSz w:w="8640" w:h="12960"/>
          <w:pgMar w:top="1060" w:right="0" w:bottom="1040" w:left="0" w:header="0" w:footer="850" w:gutter="0"/>
          <w:cols w:space="720"/>
        </w:sectPr>
      </w:pPr>
    </w:p>
    <w:p w14:paraId="1330A5B4" w14:textId="77777777" w:rsidR="002653E8" w:rsidRDefault="003115E3">
      <w:pPr>
        <w:pStyle w:val="4"/>
        <w:ind w:left="1287"/>
      </w:pPr>
      <w:bookmarkStart w:id="130" w:name="Holger_Meins’_Report_on_Force-Feeding_(O"/>
      <w:bookmarkStart w:id="131" w:name="_bookmark41"/>
      <w:bookmarkEnd w:id="130"/>
      <w:bookmarkEnd w:id="131"/>
      <w:r>
        <w:rPr>
          <w:color w:val="231F20"/>
          <w:w w:val="105"/>
        </w:rPr>
        <w:lastRenderedPageBreak/>
        <w:t>Holger Meins’ Report on Force-Feeding</w:t>
      </w:r>
    </w:p>
    <w:p w14:paraId="4C519A7F" w14:textId="77777777" w:rsidR="002653E8" w:rsidRDefault="003115E3">
      <w:pPr>
        <w:pStyle w:val="a3"/>
        <w:spacing w:before="256" w:line="264" w:lineRule="auto"/>
        <w:ind w:left="1147" w:right="1326"/>
        <w:jc w:val="both"/>
        <w:rPr>
          <w:sz w:val="11"/>
        </w:rPr>
      </w:pPr>
      <w:r>
        <w:rPr>
          <w:color w:val="231F20"/>
        </w:rPr>
        <w:t xml:space="preserve">Since September </w:t>
      </w:r>
      <w:r>
        <w:rPr>
          <w:color w:val="231F20"/>
          <w:spacing w:val="-3"/>
        </w:rPr>
        <w:t xml:space="preserve">30 </w:t>
      </w:r>
      <w:r>
        <w:rPr>
          <w:color w:val="231F20"/>
          <w:spacing w:val="-6"/>
        </w:rPr>
        <w:t xml:space="preserve">(12 </w:t>
      </w:r>
      <w:r>
        <w:rPr>
          <w:color w:val="231F20"/>
          <w:spacing w:val="-3"/>
        </w:rPr>
        <w:t xml:space="preserve">days) </w:t>
      </w:r>
      <w:r>
        <w:rPr>
          <w:color w:val="231F20"/>
        </w:rPr>
        <w:t xml:space="preserve">force-feeding has been occurring here daily. It takes place in the sickbay (in a one-storey building in B </w:t>
      </w:r>
      <w:r>
        <w:rPr>
          <w:color w:val="231F20"/>
          <w:spacing w:val="1"/>
        </w:rPr>
        <w:t xml:space="preserve">wing— </w:t>
      </w:r>
      <w:r>
        <w:rPr>
          <w:color w:val="231F20"/>
        </w:rPr>
        <w:t>a sort of annex—I am celled in A wing, in the middle of the first floor).    I</w:t>
      </w:r>
      <w:r>
        <w:rPr>
          <w:color w:val="231F20"/>
          <w:spacing w:val="10"/>
        </w:rPr>
        <w:t xml:space="preserve"> </w:t>
      </w:r>
      <w:r>
        <w:rPr>
          <w:color w:val="231F20"/>
        </w:rPr>
        <w:t>am</w:t>
      </w:r>
      <w:r>
        <w:rPr>
          <w:color w:val="231F20"/>
          <w:spacing w:val="10"/>
        </w:rPr>
        <w:t xml:space="preserve"> </w:t>
      </w:r>
      <w:r>
        <w:rPr>
          <w:color w:val="231F20"/>
        </w:rPr>
        <w:t>escorted</w:t>
      </w:r>
      <w:r>
        <w:rPr>
          <w:color w:val="231F20"/>
          <w:spacing w:val="10"/>
        </w:rPr>
        <w:t xml:space="preserve"> </w:t>
      </w:r>
      <w:r>
        <w:rPr>
          <w:color w:val="231F20"/>
        </w:rPr>
        <w:t>by</w:t>
      </w:r>
      <w:r>
        <w:rPr>
          <w:color w:val="231F20"/>
          <w:spacing w:val="10"/>
        </w:rPr>
        <w:t xml:space="preserve"> </w:t>
      </w:r>
      <w:r>
        <w:rPr>
          <w:color w:val="231F20"/>
        </w:rPr>
        <w:t>5-6</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greens.</w:t>
      </w:r>
      <w:r>
        <w:rPr>
          <w:color w:val="231F20"/>
          <w:position w:val="7"/>
          <w:sz w:val="11"/>
        </w:rPr>
        <w:t>1</w:t>
      </w:r>
    </w:p>
    <w:p w14:paraId="71A0C523" w14:textId="77777777" w:rsidR="002653E8" w:rsidRDefault="003115E3">
      <w:pPr>
        <w:spacing w:line="230" w:lineRule="exact"/>
        <w:ind w:left="1357"/>
        <w:rPr>
          <w:i/>
          <w:sz w:val="20"/>
        </w:rPr>
      </w:pPr>
      <w:r>
        <w:rPr>
          <w:color w:val="231F20"/>
          <w:sz w:val="20"/>
        </w:rPr>
        <w:t xml:space="preserve">During the first week, I attempted different forms of </w:t>
      </w:r>
      <w:r>
        <w:rPr>
          <w:i/>
          <w:color w:val="231F20"/>
          <w:sz w:val="20"/>
        </w:rPr>
        <w:t>active resistance</w:t>
      </w:r>
    </w:p>
    <w:p w14:paraId="3FB7C919" w14:textId="77777777" w:rsidR="002653E8" w:rsidRDefault="003115E3">
      <w:pPr>
        <w:pStyle w:val="a3"/>
        <w:spacing w:before="22"/>
        <w:ind w:left="1148"/>
      </w:pPr>
      <w:r>
        <w:rPr>
          <w:color w:val="231F20"/>
        </w:rPr>
        <w:t>every day. Selective and timely.</w:t>
      </w:r>
    </w:p>
    <w:p w14:paraId="08AAA7D1" w14:textId="77777777" w:rsidR="002653E8" w:rsidRDefault="003115E3">
      <w:pPr>
        <w:pStyle w:val="a3"/>
        <w:spacing w:before="23" w:line="264" w:lineRule="auto"/>
        <w:ind w:left="1148" w:right="1326" w:firstLine="210"/>
        <w:jc w:val="both"/>
      </w:pPr>
      <w:r>
        <w:rPr>
          <w:color w:val="231F20"/>
        </w:rPr>
        <w:t>5-6 greens, 2-3 medics, 1 doctor. The greens grab, push, and drag me to an operating chair. Really it’s an operating table with all the bells and whistles: it can be swiveled in any direction, etc., and can be folded into an armchair with a headrest and footand armrests.</w:t>
      </w:r>
    </w:p>
    <w:p w14:paraId="15F4A757" w14:textId="77777777" w:rsidR="002653E8" w:rsidRDefault="003115E3">
      <w:pPr>
        <w:pStyle w:val="a3"/>
        <w:spacing w:line="264" w:lineRule="auto"/>
        <w:ind w:left="1147" w:right="1325" w:firstLine="210"/>
        <w:jc w:val="both"/>
      </w:pPr>
      <w:r>
        <w:rPr>
          <w:color w:val="231F20"/>
        </w:rPr>
        <w:t xml:space="preserve">Strapped down: two pairs of handcuffs and foot shackles, a </w:t>
      </w:r>
      <w:r>
        <w:rPr>
          <w:color w:val="231F20"/>
          <w:spacing w:val="-3"/>
        </w:rPr>
        <w:t xml:space="preserve">30 </w:t>
      </w:r>
      <w:r>
        <w:rPr>
          <w:color w:val="231F20"/>
        </w:rPr>
        <w:t xml:space="preserve">cm wide strap around the waist, two leather straps with 4 belts from the elbow to the wrist on the left arm, on the right arm another two at       the wrist and </w:t>
      </w:r>
      <w:r>
        <w:rPr>
          <w:color w:val="231F20"/>
          <w:spacing w:val="-3"/>
        </w:rPr>
        <w:t xml:space="preserve">elbow, </w:t>
      </w:r>
      <w:r>
        <w:rPr>
          <w:color w:val="231F20"/>
        </w:rPr>
        <w:t xml:space="preserve">and one across the chest. Behind me a green or a medic who holds my head firmly against the headrest with both hands on my forehead. (In the case of active resistance at head level, two others, one on the left, one on the right, hold on to my hair, my beard, and my neck. </w:t>
      </w:r>
      <w:r>
        <w:rPr>
          <w:color w:val="231F20"/>
          <w:spacing w:val="1"/>
        </w:rPr>
        <w:t xml:space="preserve">In </w:t>
      </w:r>
      <w:r>
        <w:rPr>
          <w:color w:val="231F20"/>
        </w:rPr>
        <w:t xml:space="preserve">this </w:t>
      </w:r>
      <w:r>
        <w:rPr>
          <w:color w:val="231F20"/>
          <w:spacing w:val="-5"/>
        </w:rPr>
        <w:t xml:space="preserve">way, </w:t>
      </w:r>
      <w:r>
        <w:rPr>
          <w:color w:val="231F20"/>
        </w:rPr>
        <w:t xml:space="preserve">my entire body is immobilized, and if </w:t>
      </w:r>
      <w:r>
        <w:rPr>
          <w:color w:val="231F20"/>
          <w:spacing w:val="-3"/>
        </w:rPr>
        <w:t xml:space="preserve">it’s </w:t>
      </w:r>
      <w:r>
        <w:rPr>
          <w:color w:val="231F20"/>
        </w:rPr>
        <w:t xml:space="preserve">necessary another holds my knees or shoulders. The only possible motion is muscular movement “inside” the </w:t>
      </w:r>
      <w:r>
        <w:rPr>
          <w:color w:val="231F20"/>
          <w:spacing w:val="-3"/>
        </w:rPr>
        <w:t xml:space="preserve">body. </w:t>
      </w:r>
      <w:r>
        <w:rPr>
          <w:color w:val="231F20"/>
        </w:rPr>
        <w:t>This week they tied the belts  and straps very tightly, so that blood accumulated in my hands, which turned bluish,</w:t>
      </w:r>
      <w:r>
        <w:rPr>
          <w:color w:val="231F20"/>
          <w:spacing w:val="21"/>
        </w:rPr>
        <w:t xml:space="preserve"> </w:t>
      </w:r>
      <w:r>
        <w:rPr>
          <w:color w:val="231F20"/>
        </w:rPr>
        <w:t>etc.).</w:t>
      </w:r>
    </w:p>
    <w:p w14:paraId="65C460BC" w14:textId="77777777" w:rsidR="002653E8" w:rsidRDefault="003115E3">
      <w:pPr>
        <w:pStyle w:val="a3"/>
        <w:spacing w:line="221" w:lineRule="exact"/>
        <w:ind w:left="1357"/>
      </w:pPr>
      <w:r>
        <w:rPr>
          <w:color w:val="231F20"/>
        </w:rPr>
        <w:t>The mouth: On the right the doctor on a stool with a small crowbar</w:t>
      </w:r>
    </w:p>
    <w:p w14:paraId="39C00BFA" w14:textId="77777777" w:rsidR="002653E8" w:rsidRDefault="003115E3">
      <w:pPr>
        <w:pStyle w:val="a3"/>
        <w:spacing w:before="18" w:line="264" w:lineRule="auto"/>
        <w:ind w:left="1147" w:right="1326"/>
        <w:jc w:val="both"/>
      </w:pPr>
      <w:r>
        <w:rPr>
          <w:color w:val="231F20"/>
        </w:rPr>
        <w:t>about 20 cm long, one end a curved needle, the other a curved spatula wrapped with adhesive tape. This goes between the lips, which are pulled apart with fingers at the same time, and then between the teeth (that’s pretty easy in my case, given that I’m missing three teeth) forcing them apart, either by applying pressure or by pushing the spatula against the gums.</w:t>
      </w:r>
    </w:p>
    <w:p w14:paraId="17983D14" w14:textId="77777777" w:rsidR="002653E8" w:rsidRDefault="003115E3">
      <w:pPr>
        <w:pStyle w:val="a3"/>
        <w:spacing w:line="264" w:lineRule="auto"/>
        <w:ind w:left="1147" w:right="1326" w:firstLine="210"/>
        <w:jc w:val="both"/>
      </w:pPr>
      <w:r>
        <w:rPr>
          <w:color w:val="231F20"/>
        </w:rPr>
        <w:t xml:space="preserve">(Biting the teeth together is still relatively difficult—a strong point   of resistance—and leads to minor injury to the teeth or gums. Against the strength of the </w:t>
      </w:r>
      <w:r>
        <w:rPr>
          <w:color w:val="231F20"/>
          <w:spacing w:val="-2"/>
        </w:rPr>
        <w:t xml:space="preserve">jaw </w:t>
      </w:r>
      <w:r>
        <w:rPr>
          <w:color w:val="231F20"/>
        </w:rPr>
        <w:t>they use three different grips: forcing them apart with fingers under the lips while simultaneously pulling on the beard both above and below the mouth; applying heavy pressure below the ears</w:t>
      </w:r>
      <w:r>
        <w:rPr>
          <w:color w:val="231F20"/>
          <w:spacing w:val="20"/>
        </w:rPr>
        <w:t xml:space="preserve"> </w:t>
      </w:r>
      <w:r>
        <w:rPr>
          <w:color w:val="231F20"/>
        </w:rPr>
        <w:t>and</w:t>
      </w:r>
      <w:r>
        <w:rPr>
          <w:color w:val="231F20"/>
          <w:spacing w:val="20"/>
        </w:rPr>
        <w:t xml:space="preserve"> </w:t>
      </w:r>
      <w:r>
        <w:rPr>
          <w:color w:val="231F20"/>
        </w:rPr>
        <w:t>the</w:t>
      </w:r>
      <w:r>
        <w:rPr>
          <w:color w:val="231F20"/>
          <w:spacing w:val="20"/>
        </w:rPr>
        <w:t xml:space="preserve"> </w:t>
      </w:r>
      <w:r>
        <w:rPr>
          <w:color w:val="231F20"/>
          <w:spacing w:val="-2"/>
        </w:rPr>
        <w:t>jaw</w:t>
      </w:r>
      <w:r>
        <w:rPr>
          <w:color w:val="231F20"/>
          <w:spacing w:val="20"/>
        </w:rPr>
        <w:t xml:space="preserve"> </w:t>
      </w:r>
      <w:r>
        <w:rPr>
          <w:color w:val="231F20"/>
        </w:rPr>
        <w:t>joint,</w:t>
      </w:r>
      <w:r>
        <w:rPr>
          <w:color w:val="231F20"/>
          <w:spacing w:val="20"/>
        </w:rPr>
        <w:t xml:space="preserve"> </w:t>
      </w:r>
      <w:r>
        <w:rPr>
          <w:color w:val="231F20"/>
        </w:rPr>
        <w:t>which</w:t>
      </w:r>
      <w:r>
        <w:rPr>
          <w:color w:val="231F20"/>
          <w:spacing w:val="20"/>
        </w:rPr>
        <w:t xml:space="preserve"> </w:t>
      </w:r>
      <w:r>
        <w:rPr>
          <w:color w:val="231F20"/>
        </w:rPr>
        <w:t>really</w:t>
      </w:r>
      <w:r>
        <w:rPr>
          <w:color w:val="231F20"/>
          <w:spacing w:val="20"/>
        </w:rPr>
        <w:t xml:space="preserve"> </w:t>
      </w:r>
      <w:r>
        <w:rPr>
          <w:color w:val="231F20"/>
        </w:rPr>
        <w:t>hurts;</w:t>
      </w:r>
      <w:r>
        <w:rPr>
          <w:color w:val="231F20"/>
          <w:spacing w:val="20"/>
        </w:rPr>
        <w:t xml:space="preserve"> </w:t>
      </w:r>
      <w:r>
        <w:rPr>
          <w:color w:val="231F20"/>
        </w:rPr>
        <w:t>sharply</w:t>
      </w:r>
      <w:r>
        <w:rPr>
          <w:color w:val="231F20"/>
          <w:spacing w:val="20"/>
        </w:rPr>
        <w:t xml:space="preserve"> </w:t>
      </w:r>
      <w:r>
        <w:rPr>
          <w:color w:val="231F20"/>
        </w:rPr>
        <w:t>pressing</w:t>
      </w:r>
      <w:r>
        <w:rPr>
          <w:color w:val="231F20"/>
          <w:spacing w:val="20"/>
        </w:rPr>
        <w:t xml:space="preserve"> </w:t>
      </w:r>
      <w:r>
        <w:rPr>
          <w:color w:val="231F20"/>
        </w:rPr>
        <w:t>a</w:t>
      </w:r>
      <w:r>
        <w:rPr>
          <w:color w:val="231F20"/>
          <w:spacing w:val="20"/>
        </w:rPr>
        <w:t xml:space="preserve"> </w:t>
      </w:r>
      <w:r>
        <w:rPr>
          <w:color w:val="231F20"/>
        </w:rPr>
        <w:t>stiffened</w:t>
      </w:r>
    </w:p>
    <w:p w14:paraId="466BF824" w14:textId="77777777" w:rsidR="002653E8" w:rsidRDefault="00000000">
      <w:pPr>
        <w:pStyle w:val="a3"/>
        <w:spacing w:before="5"/>
        <w:rPr>
          <w:sz w:val="14"/>
        </w:rPr>
      </w:pPr>
      <w:r>
        <w:rPr>
          <w:noProof w:val="0"/>
        </w:rPr>
        <w:pict w14:anchorId="3FBEBE6E">
          <v:line id="_x0000_s2361" style="position:absolute;z-index:7024;mso-wrap-distance-left:0;mso-wrap-distance-right:0;mso-position-horizontal-relative:page" from="57.4pt,10.7pt" to="129.4pt,10.7pt" strokecolor="#231f20" strokeweight=".5pt">
            <w10:wrap type="topAndBottom" anchorx="page"/>
          </v:line>
        </w:pict>
      </w:r>
    </w:p>
    <w:p w14:paraId="371B48AF" w14:textId="77777777" w:rsidR="002653E8" w:rsidRDefault="003115E3">
      <w:pPr>
        <w:spacing w:before="53"/>
        <w:ind w:left="1147"/>
        <w:rPr>
          <w:sz w:val="16"/>
        </w:rPr>
      </w:pPr>
      <w:r>
        <w:rPr>
          <w:color w:val="231F20"/>
          <w:w w:val="105"/>
          <w:sz w:val="16"/>
        </w:rPr>
        <w:t>1 German police wear green uniforms.</w:t>
      </w:r>
    </w:p>
    <w:p w14:paraId="2CC01F9E" w14:textId="77777777" w:rsidR="002653E8" w:rsidRDefault="002653E8">
      <w:pPr>
        <w:rPr>
          <w:sz w:val="16"/>
        </w:rPr>
        <w:sectPr w:rsidR="002653E8">
          <w:pgSz w:w="8640" w:h="12960"/>
          <w:pgMar w:top="1220" w:right="0" w:bottom="1040" w:left="0" w:header="0" w:footer="850" w:gutter="0"/>
          <w:cols w:space="720"/>
        </w:sectPr>
      </w:pPr>
    </w:p>
    <w:p w14:paraId="6189B328" w14:textId="77777777" w:rsidR="002653E8" w:rsidRDefault="003115E3">
      <w:pPr>
        <w:pStyle w:val="a3"/>
        <w:spacing w:before="86" w:line="264" w:lineRule="auto"/>
        <w:ind w:left="1327" w:right="1147"/>
        <w:jc w:val="both"/>
      </w:pPr>
      <w:r>
        <w:rPr>
          <w:color w:val="231F20"/>
        </w:rPr>
        <w:lastRenderedPageBreak/>
        <w:t xml:space="preserve">finger against the muscles that run forward from under the ears, while using a stiffened finger to push the carotid artery, the windpipe, and   the vagus nerve against the muscle and kneading and squeezing them against each other, which, in fact, was not the most </w:t>
      </w:r>
      <w:r>
        <w:rPr>
          <w:color w:val="231F20"/>
          <w:spacing w:val="1"/>
        </w:rPr>
        <w:t xml:space="preserve">painful </w:t>
      </w:r>
      <w:r>
        <w:rPr>
          <w:color w:val="231F20"/>
        </w:rPr>
        <w:t>method, but took</w:t>
      </w:r>
      <w:r>
        <w:rPr>
          <w:color w:val="231F20"/>
          <w:spacing w:val="10"/>
        </w:rPr>
        <w:t xml:space="preserve"> </w:t>
      </w:r>
      <w:r>
        <w:rPr>
          <w:color w:val="231F20"/>
        </w:rPr>
        <w:t>more</w:t>
      </w:r>
      <w:r>
        <w:rPr>
          <w:color w:val="231F20"/>
          <w:spacing w:val="10"/>
        </w:rPr>
        <w:t xml:space="preserve"> </w:t>
      </w:r>
      <w:r>
        <w:rPr>
          <w:color w:val="231F20"/>
        </w:rPr>
        <w:t>than</w:t>
      </w:r>
      <w:r>
        <w:rPr>
          <w:color w:val="231F20"/>
          <w:spacing w:val="10"/>
        </w:rPr>
        <w:t xml:space="preserve"> </w:t>
      </w:r>
      <w:r>
        <w:rPr>
          <w:color w:val="231F20"/>
        </w:rPr>
        <w:t>a</w:t>
      </w:r>
      <w:r>
        <w:rPr>
          <w:color w:val="231F20"/>
          <w:spacing w:val="10"/>
        </w:rPr>
        <w:t xml:space="preserve"> </w:t>
      </w:r>
      <w:r>
        <w:rPr>
          <w:color w:val="231F20"/>
        </w:rPr>
        <w:t>day</w:t>
      </w:r>
      <w:r>
        <w:rPr>
          <w:color w:val="231F20"/>
          <w:spacing w:val="10"/>
        </w:rPr>
        <w:t xml:space="preserve"> </w:t>
      </w:r>
      <w:r>
        <w:rPr>
          <w:color w:val="231F20"/>
        </w:rPr>
        <w:t>to</w:t>
      </w:r>
      <w:r>
        <w:rPr>
          <w:color w:val="231F20"/>
          <w:spacing w:val="10"/>
        </w:rPr>
        <w:t xml:space="preserve"> </w:t>
      </w:r>
      <w:r>
        <w:rPr>
          <w:color w:val="231F20"/>
        </w:rPr>
        <w:t>heal.)</w:t>
      </w:r>
    </w:p>
    <w:p w14:paraId="7AAAFFA9" w14:textId="77777777" w:rsidR="002653E8" w:rsidRDefault="003115E3">
      <w:pPr>
        <w:pStyle w:val="a3"/>
        <w:spacing w:line="264" w:lineRule="auto"/>
        <w:ind w:left="1327" w:right="1147" w:firstLine="286"/>
        <w:jc w:val="both"/>
      </w:pPr>
      <w:r>
        <w:rPr>
          <w:color w:val="231F20"/>
        </w:rPr>
        <w:t>When the jaws are pulled far enough apart, the medic on the left sticks—shoves—the clamp between the teeth. It is a shear tongue-like rubber-coated object, 2 fingers thick with a wingnut at its joint, with which the jaws are pried open. The tongue is pulled forward and forced down with forceps, or the doctor uses a finger with a steel sheath on   the</w:t>
      </w:r>
      <w:r>
        <w:rPr>
          <w:color w:val="231F20"/>
          <w:spacing w:val="10"/>
        </w:rPr>
        <w:t xml:space="preserve"> </w:t>
      </w:r>
      <w:r>
        <w:rPr>
          <w:color w:val="231F20"/>
        </w:rPr>
        <w:t>fingertip.</w:t>
      </w:r>
    </w:p>
    <w:p w14:paraId="0D1EF973" w14:textId="77777777" w:rsidR="002653E8" w:rsidRDefault="003115E3">
      <w:pPr>
        <w:pStyle w:val="a3"/>
        <w:spacing w:line="264" w:lineRule="auto"/>
        <w:ind w:left="1327" w:right="1144" w:firstLine="210"/>
        <w:jc w:val="both"/>
      </w:pPr>
      <w:r>
        <w:rPr>
          <w:color w:val="231F20"/>
        </w:rPr>
        <w:t xml:space="preserve">Force-feeing: A red stomach pipe </w:t>
      </w:r>
      <w:r>
        <w:rPr>
          <w:color w:val="231F20"/>
          <w:spacing w:val="-3"/>
        </w:rPr>
        <w:t xml:space="preserve">(not </w:t>
      </w:r>
      <w:r>
        <w:rPr>
          <w:color w:val="231F20"/>
        </w:rPr>
        <w:t xml:space="preserve">a tube) is used, about the thickness of a middle finger (in my case between the joints). It is greased,  but doesn’t manage to go down without causing me to gag, because        it is only between 1 and 3 </w:t>
      </w:r>
      <w:r>
        <w:rPr>
          <w:color w:val="231F20"/>
          <w:spacing w:val="1"/>
        </w:rPr>
        <w:t xml:space="preserve">mm </w:t>
      </w:r>
      <w:r>
        <w:rPr>
          <w:color w:val="231F20"/>
        </w:rPr>
        <w:t xml:space="preserve">narrower than the digestive tract (this can only be avoided if one makes a swallowing motion and remains completely still). The slightest irritation when the pipe is introduced causes gagging and nausea and the cramping of the chest and stomach muscles, setting off a chain reaction of extremely intense convulsions throughout the </w:t>
      </w:r>
      <w:r>
        <w:rPr>
          <w:color w:val="231F20"/>
          <w:spacing w:val="-3"/>
        </w:rPr>
        <w:t xml:space="preserve">body, </w:t>
      </w:r>
      <w:r>
        <w:rPr>
          <w:color w:val="231F20"/>
        </w:rPr>
        <w:t>causing one to buck against the pipe. The more extreme and the longer this lasts, the worse it is. A single gag or vomiting reflex is accompanied by waves of cramps. They only abate or decrease if one is very focused and remains very still, forcing oneself    to breathe deeply and normally. Under the circumstances, resistance makes this completely impossible. It is only possible through quiet concentration and self-control, which in these conditions of direct compulsion always means self-repression and self-discipline. This is the reason for the restraints used in this form of force-feeding, because the body “naturally”</w:t>
      </w:r>
      <w:r>
        <w:rPr>
          <w:color w:val="231F20"/>
          <w:spacing w:val="10"/>
        </w:rPr>
        <w:t xml:space="preserve"> </w:t>
      </w:r>
      <w:r>
        <w:rPr>
          <w:color w:val="231F20"/>
        </w:rPr>
        <w:t>reacts.</w:t>
      </w:r>
    </w:p>
    <w:p w14:paraId="78545869" w14:textId="77777777" w:rsidR="002653E8" w:rsidRDefault="003115E3">
      <w:pPr>
        <w:pStyle w:val="a3"/>
        <w:spacing w:line="215" w:lineRule="exact"/>
        <w:ind w:left="1537"/>
      </w:pPr>
      <w:r>
        <w:rPr>
          <w:color w:val="231F20"/>
        </w:rPr>
        <w:t>When  the  pipe  is  in  the  stomach,  a  wider  funnel  is  attached  to it</w:t>
      </w:r>
    </w:p>
    <w:p w14:paraId="56D0B7B8" w14:textId="77777777" w:rsidR="002653E8" w:rsidRDefault="003115E3">
      <w:pPr>
        <w:pStyle w:val="a3"/>
        <w:spacing w:before="11" w:line="264" w:lineRule="auto"/>
        <w:ind w:left="1327" w:right="1146"/>
        <w:jc w:val="both"/>
      </w:pPr>
      <w:r>
        <w:rPr>
          <w:color w:val="231F20"/>
        </w:rPr>
        <w:t xml:space="preserve">and a normal cup </w:t>
      </w:r>
      <w:r>
        <w:rPr>
          <w:color w:val="231F20"/>
          <w:spacing w:val="-3"/>
        </w:rPr>
        <w:t xml:space="preserve">(about </w:t>
      </w:r>
      <w:r>
        <w:rPr>
          <w:color w:val="231F20"/>
        </w:rPr>
        <w:t xml:space="preserve">a quarter-litre capacity) is used to gradually force down small amounts of the sludge. It is some </w:t>
      </w:r>
      <w:r>
        <w:rPr>
          <w:color w:val="231F20"/>
          <w:spacing w:val="1"/>
        </w:rPr>
        <w:t xml:space="preserve">type </w:t>
      </w:r>
      <w:r>
        <w:rPr>
          <w:color w:val="231F20"/>
        </w:rPr>
        <w:t xml:space="preserve">of meat slop, murky, slimy, and fatty—in any event, it contains vitamins, glucose, eggs, and finely chopped stuff—with a thick, brownish, greasy residue </w:t>
      </w:r>
      <w:r>
        <w:rPr>
          <w:color w:val="231F20"/>
          <w:spacing w:val="-3"/>
        </w:rPr>
        <w:t xml:space="preserve">(about </w:t>
      </w:r>
      <w:r>
        <w:rPr>
          <w:color w:val="231F20"/>
        </w:rPr>
        <w:t xml:space="preserve">1 or 2 tablespoons). The intake lasts about </w:t>
      </w:r>
      <w:r>
        <w:rPr>
          <w:color w:val="231F20"/>
          <w:spacing w:val="-7"/>
        </w:rPr>
        <w:t xml:space="preserve">1½ </w:t>
      </w:r>
      <w:r>
        <w:rPr>
          <w:color w:val="231F20"/>
        </w:rPr>
        <w:t xml:space="preserve">to 3 minutes. A </w:t>
      </w:r>
      <w:r>
        <w:rPr>
          <w:color w:val="231F20"/>
          <w:spacing w:val="1"/>
        </w:rPr>
        <w:t xml:space="preserve">full </w:t>
      </w:r>
      <w:r>
        <w:rPr>
          <w:color w:val="231F20"/>
        </w:rPr>
        <w:t>cup is always poured in, even when the gagging is extreme, causing the entire body to cramp for at least 5 to 6 minutes each time without any relief. The funnelling is only possible with “relative calm.” During heavy gagging and/or cramping, the slop pours out of the funnel at the top.</w:t>
      </w:r>
      <w:r>
        <w:rPr>
          <w:color w:val="231F20"/>
          <w:spacing w:val="5"/>
        </w:rPr>
        <w:t xml:space="preserve"> </w:t>
      </w:r>
      <w:r>
        <w:rPr>
          <w:color w:val="231F20"/>
        </w:rPr>
        <w:t>When</w:t>
      </w:r>
      <w:r>
        <w:rPr>
          <w:color w:val="231F20"/>
          <w:spacing w:val="5"/>
        </w:rPr>
        <w:t xml:space="preserve"> </w:t>
      </w:r>
      <w:r>
        <w:rPr>
          <w:color w:val="231F20"/>
        </w:rPr>
        <w:t>the</w:t>
      </w:r>
      <w:r>
        <w:rPr>
          <w:color w:val="231F20"/>
          <w:spacing w:val="5"/>
        </w:rPr>
        <w:t xml:space="preserve"> </w:t>
      </w:r>
      <w:r>
        <w:rPr>
          <w:color w:val="231F20"/>
        </w:rPr>
        <w:t>pipe</w:t>
      </w:r>
      <w:r>
        <w:rPr>
          <w:color w:val="231F20"/>
          <w:spacing w:val="5"/>
        </w:rPr>
        <w:t xml:space="preserve"> </w:t>
      </w:r>
      <w:r>
        <w:rPr>
          <w:color w:val="231F20"/>
        </w:rPr>
        <w:t>bucks</w:t>
      </w:r>
      <w:r>
        <w:rPr>
          <w:color w:val="231F20"/>
          <w:spacing w:val="5"/>
        </w:rPr>
        <w:t xml:space="preserve"> </w:t>
      </w:r>
      <w:r>
        <w:rPr>
          <w:color w:val="231F20"/>
        </w:rPr>
        <w:t>up</w:t>
      </w:r>
      <w:r>
        <w:rPr>
          <w:color w:val="231F20"/>
          <w:spacing w:val="5"/>
        </w:rPr>
        <w:t xml:space="preserve"> </w:t>
      </w:r>
      <w:r>
        <w:rPr>
          <w:color w:val="231F20"/>
        </w:rPr>
        <w:t>in</w:t>
      </w:r>
      <w:r>
        <w:rPr>
          <w:color w:val="231F20"/>
          <w:spacing w:val="5"/>
        </w:rPr>
        <w:t xml:space="preserve"> </w:t>
      </w:r>
      <w:r>
        <w:rPr>
          <w:color w:val="231F20"/>
        </w:rPr>
        <w:t>the</w:t>
      </w:r>
      <w:r>
        <w:rPr>
          <w:color w:val="231F20"/>
          <w:spacing w:val="5"/>
        </w:rPr>
        <w:t xml:space="preserve"> </w:t>
      </w:r>
      <w:r>
        <w:rPr>
          <w:color w:val="231F20"/>
        </w:rPr>
        <w:t>throat—and</w:t>
      </w:r>
      <w:r>
        <w:rPr>
          <w:color w:val="231F20"/>
          <w:spacing w:val="5"/>
        </w:rPr>
        <w:t xml:space="preserve"> </w:t>
      </w:r>
      <w:r>
        <w:rPr>
          <w:color w:val="231F20"/>
        </w:rPr>
        <w:t>in</w:t>
      </w:r>
      <w:r>
        <w:rPr>
          <w:color w:val="231F20"/>
          <w:spacing w:val="5"/>
        </w:rPr>
        <w:t xml:space="preserve"> </w:t>
      </w:r>
      <w:r>
        <w:rPr>
          <w:color w:val="231F20"/>
        </w:rPr>
        <w:t>the</w:t>
      </w:r>
      <w:r>
        <w:rPr>
          <w:color w:val="231F20"/>
          <w:spacing w:val="5"/>
        </w:rPr>
        <w:t xml:space="preserve"> </w:t>
      </w:r>
      <w:r>
        <w:rPr>
          <w:color w:val="231F20"/>
        </w:rPr>
        <w:t>digestive</w:t>
      </w:r>
      <w:r>
        <w:rPr>
          <w:color w:val="231F20"/>
          <w:spacing w:val="5"/>
        </w:rPr>
        <w:t xml:space="preserve"> </w:t>
      </w:r>
      <w:r>
        <w:rPr>
          <w:color w:val="231F20"/>
        </w:rPr>
        <w:t>tract</w:t>
      </w:r>
      <w:r>
        <w:rPr>
          <w:color w:val="231F20"/>
          <w:spacing w:val="5"/>
        </w:rPr>
        <w:t xml:space="preserve"> </w:t>
      </w:r>
      <w:r>
        <w:rPr>
          <w:color w:val="231F20"/>
        </w:rPr>
        <w:t>as</w:t>
      </w:r>
    </w:p>
    <w:p w14:paraId="2024E630" w14:textId="77777777" w:rsidR="002653E8" w:rsidRDefault="002653E8">
      <w:pPr>
        <w:spacing w:line="264" w:lineRule="auto"/>
        <w:jc w:val="both"/>
        <w:sectPr w:rsidR="002653E8">
          <w:footerReference w:type="even" r:id="rId250"/>
          <w:footerReference w:type="default" r:id="rId251"/>
          <w:pgSz w:w="8640" w:h="12960"/>
          <w:pgMar w:top="1060" w:right="0" w:bottom="1040" w:left="0" w:header="0" w:footer="850" w:gutter="0"/>
          <w:pgNumType w:start="293"/>
          <w:cols w:space="720"/>
        </w:sectPr>
      </w:pPr>
    </w:p>
    <w:p w14:paraId="429F78D5" w14:textId="77777777" w:rsidR="002653E8" w:rsidRDefault="003115E3">
      <w:pPr>
        <w:pStyle w:val="a3"/>
        <w:spacing w:before="86" w:line="264" w:lineRule="auto"/>
        <w:ind w:left="1147" w:right="1326"/>
        <w:jc w:val="both"/>
      </w:pPr>
      <w:r>
        <w:rPr>
          <w:color w:val="231F20"/>
        </w:rPr>
        <w:lastRenderedPageBreak/>
        <w:t xml:space="preserve">a result—it can lead to choking fits, which have occurred twice so far (but didn’t pose a serious health risk). The gagging, the cramping, and the swallowing are of course painful, particularly to the </w:t>
      </w:r>
      <w:r>
        <w:rPr>
          <w:color w:val="231F20"/>
          <w:spacing w:val="1"/>
        </w:rPr>
        <w:t xml:space="preserve">larynx, </w:t>
      </w:r>
      <w:r>
        <w:rPr>
          <w:color w:val="231F20"/>
        </w:rPr>
        <w:t xml:space="preserve">which   is pressed against the pipe with every swallow and gag. The iron lever has led to small injuries to the gums, the inside of the lip looks as if it  has been bitten in one place and has a whitish inflammation as a result of the clamp, and the back of the throat is “irritated.” The </w:t>
      </w:r>
      <w:r>
        <w:rPr>
          <w:color w:val="231F20"/>
          <w:spacing w:val="1"/>
        </w:rPr>
        <w:t xml:space="preserve">larynx </w:t>
      </w:r>
      <w:r>
        <w:rPr>
          <w:color w:val="231F20"/>
        </w:rPr>
        <w:t>constantly</w:t>
      </w:r>
      <w:r>
        <w:rPr>
          <w:color w:val="231F20"/>
          <w:spacing w:val="10"/>
        </w:rPr>
        <w:t xml:space="preserve"> </w:t>
      </w:r>
      <w:r>
        <w:rPr>
          <w:color w:val="231F20"/>
        </w:rPr>
        <w:t>hurts</w:t>
      </w:r>
      <w:r>
        <w:rPr>
          <w:color w:val="231F20"/>
          <w:spacing w:val="10"/>
        </w:rPr>
        <w:t xml:space="preserve"> </w:t>
      </w:r>
      <w:r>
        <w:rPr>
          <w:color w:val="231F20"/>
        </w:rPr>
        <w:t>a</w:t>
      </w:r>
      <w:r>
        <w:rPr>
          <w:color w:val="231F20"/>
          <w:spacing w:val="10"/>
        </w:rPr>
        <w:t xml:space="preserve"> </w:t>
      </w:r>
      <w:r>
        <w:rPr>
          <w:color w:val="231F20"/>
        </w:rPr>
        <w:t>little</w:t>
      </w:r>
      <w:r>
        <w:rPr>
          <w:color w:val="231F20"/>
          <w:spacing w:val="10"/>
        </w:rPr>
        <w:t xml:space="preserve"> </w:t>
      </w:r>
      <w:r>
        <w:rPr>
          <w:color w:val="231F20"/>
        </w:rPr>
        <w:t>bit,</w:t>
      </w:r>
      <w:r>
        <w:rPr>
          <w:color w:val="231F20"/>
          <w:spacing w:val="10"/>
        </w:rPr>
        <w:t xml:space="preserve"> </w:t>
      </w:r>
      <w:r>
        <w:rPr>
          <w:color w:val="231F20"/>
        </w:rPr>
        <w:t>and</w:t>
      </w:r>
      <w:r>
        <w:rPr>
          <w:color w:val="231F20"/>
          <w:spacing w:val="10"/>
        </w:rPr>
        <w:t xml:space="preserve"> </w:t>
      </w:r>
      <w:r>
        <w:rPr>
          <w:color w:val="231F20"/>
        </w:rPr>
        <w:t>I</w:t>
      </w:r>
      <w:r>
        <w:rPr>
          <w:color w:val="231F20"/>
          <w:spacing w:val="10"/>
        </w:rPr>
        <w:t xml:space="preserve"> </w:t>
      </w:r>
      <w:r>
        <w:rPr>
          <w:color w:val="231F20"/>
        </w:rPr>
        <w:t>have</w:t>
      </w:r>
      <w:r>
        <w:rPr>
          <w:color w:val="231F20"/>
          <w:spacing w:val="10"/>
        </w:rPr>
        <w:t xml:space="preserve"> </w:t>
      </w:r>
      <w:r>
        <w:rPr>
          <w:color w:val="231F20"/>
        </w:rPr>
        <w:t>a</w:t>
      </w:r>
      <w:r>
        <w:rPr>
          <w:color w:val="231F20"/>
          <w:spacing w:val="10"/>
        </w:rPr>
        <w:t xml:space="preserve"> </w:t>
      </w:r>
      <w:r>
        <w:rPr>
          <w:color w:val="231F20"/>
        </w:rPr>
        <w:t>sore</w:t>
      </w:r>
      <w:r>
        <w:rPr>
          <w:color w:val="231F20"/>
          <w:spacing w:val="10"/>
        </w:rPr>
        <w:t xml:space="preserve"> </w:t>
      </w:r>
      <w:r>
        <w:rPr>
          <w:color w:val="231F20"/>
        </w:rPr>
        <w:t>throat.</w:t>
      </w:r>
    </w:p>
    <w:p w14:paraId="7AEB6276" w14:textId="77777777" w:rsidR="002653E8" w:rsidRDefault="003115E3">
      <w:pPr>
        <w:pStyle w:val="a3"/>
        <w:spacing w:line="264" w:lineRule="auto"/>
        <w:ind w:left="1148" w:right="1325" w:firstLine="209"/>
        <w:jc w:val="both"/>
      </w:pPr>
      <w:r>
        <w:rPr>
          <w:color w:val="231F20"/>
        </w:rPr>
        <w:t xml:space="preserve">It is about 3 to 5 minutes before the pipe is taken back out, all depending. (With extreme resistance, I can make it last as long as 20 to    </w:t>
      </w:r>
      <w:r>
        <w:rPr>
          <w:color w:val="231F20"/>
          <w:spacing w:val="-3"/>
        </w:rPr>
        <w:t xml:space="preserve">30 </w:t>
      </w:r>
      <w:r>
        <w:rPr>
          <w:color w:val="231F20"/>
        </w:rPr>
        <w:t>minutes, but I am not strong enough to prevent the force-feeding altogether.)</w:t>
      </w:r>
    </w:p>
    <w:p w14:paraId="332D35F7" w14:textId="77777777" w:rsidR="002653E8" w:rsidRDefault="003115E3">
      <w:pPr>
        <w:pStyle w:val="a3"/>
        <w:spacing w:line="264" w:lineRule="auto"/>
        <w:ind w:left="1148" w:right="1327" w:firstLine="210"/>
        <w:jc w:val="both"/>
      </w:pPr>
      <w:r>
        <w:rPr>
          <w:color w:val="231F20"/>
        </w:rPr>
        <w:t>Afterwards, I remain strapped in with my head pressed down for at least 10 minutes (sometimes it is longer), “to calm me down.”</w:t>
      </w:r>
    </w:p>
    <w:p w14:paraId="687C0A30" w14:textId="77777777" w:rsidR="002653E8" w:rsidRDefault="003115E3">
      <w:pPr>
        <w:pStyle w:val="a3"/>
        <w:spacing w:line="264" w:lineRule="auto"/>
        <w:ind w:left="1148" w:right="1326" w:firstLine="210"/>
        <w:jc w:val="both"/>
      </w:pPr>
      <w:r>
        <w:rPr>
          <w:color w:val="231F20"/>
        </w:rPr>
        <w:t xml:space="preserve">The doctor has up to this point refused to give his name (his name     is  Freitag).  A  green  </w:t>
      </w:r>
      <w:r>
        <w:rPr>
          <w:color w:val="231F20"/>
          <w:spacing w:val="-3"/>
        </w:rPr>
        <w:t xml:space="preserve">(he’s  </w:t>
      </w:r>
      <w:r>
        <w:rPr>
          <w:color w:val="231F20"/>
        </w:rPr>
        <w:t>named  Vollmann)  generally  holds  my head</w:t>
      </w:r>
    </w:p>
    <w:p w14:paraId="799FBBE2" w14:textId="77777777" w:rsidR="002653E8" w:rsidRDefault="00000000">
      <w:pPr>
        <w:pStyle w:val="a3"/>
        <w:spacing w:line="264" w:lineRule="auto"/>
        <w:ind w:left="4270" w:right="1325" w:hanging="160"/>
        <w:jc w:val="right"/>
      </w:pPr>
      <w:r>
        <w:rPr>
          <w:noProof w:val="0"/>
        </w:rPr>
        <w:pict w14:anchorId="139C6ACA">
          <v:group id="_x0000_s2358" style="position:absolute;left:0;text-align:left;margin-left:59pt;margin-top:12.65pt;width:306.6pt;height:293.15pt;z-index:-457600;mso-position-horizontal-relative:page" coordorigin="1180,253" coordsize="6132,5863">
            <v:shape id="_x0000_s2360" type="#_x0000_t75" style="position:absolute;left:1180;top:253;width:3435;height:5863">
              <v:imagedata r:id="rId252" o:title=""/>
            </v:shape>
            <v:shape id="_x0000_s2359" type="#_x0000_t75" style="position:absolute;left:4666;top:2230;width:2647;height:3805">
              <v:imagedata r:id="rId253" o:title=""/>
            </v:shape>
            <w10:wrap anchorx="page"/>
          </v:group>
        </w:pict>
      </w:r>
      <w:r w:rsidR="003115E3">
        <w:rPr>
          <w:color w:val="231F20"/>
        </w:rPr>
        <w:t>and presses it with all</w:t>
      </w:r>
      <w:r w:rsidR="003115E3">
        <w:rPr>
          <w:color w:val="231F20"/>
          <w:spacing w:val="43"/>
        </w:rPr>
        <w:t xml:space="preserve"> </w:t>
      </w:r>
      <w:r w:rsidR="003115E3">
        <w:rPr>
          <w:color w:val="231F20"/>
        </w:rPr>
        <w:t>his</w:t>
      </w:r>
      <w:r w:rsidR="003115E3">
        <w:rPr>
          <w:color w:val="231F20"/>
          <w:spacing w:val="43"/>
        </w:rPr>
        <w:t xml:space="preserve"> </w:t>
      </w:r>
      <w:r w:rsidR="003115E3">
        <w:rPr>
          <w:color w:val="231F20"/>
        </w:rPr>
        <w:t>strength against the leather</w:t>
      </w:r>
      <w:r w:rsidR="003115E3">
        <w:rPr>
          <w:color w:val="231F20"/>
          <w:spacing w:val="3"/>
        </w:rPr>
        <w:t xml:space="preserve"> </w:t>
      </w:r>
      <w:r w:rsidR="003115E3">
        <w:rPr>
          <w:color w:val="231F20"/>
        </w:rPr>
        <w:t>headrest</w:t>
      </w:r>
      <w:r w:rsidR="003115E3">
        <w:rPr>
          <w:color w:val="231F20"/>
          <w:spacing w:val="30"/>
        </w:rPr>
        <w:t xml:space="preserve"> </w:t>
      </w:r>
      <w:r w:rsidR="003115E3">
        <w:rPr>
          <w:color w:val="231F20"/>
        </w:rPr>
        <w:t>(until</w:t>
      </w:r>
      <w:r w:rsidR="003115E3">
        <w:rPr>
          <w:color w:val="231F20"/>
          <w:w w:val="102"/>
        </w:rPr>
        <w:t xml:space="preserve"> </w:t>
      </w:r>
      <w:r w:rsidR="003115E3">
        <w:rPr>
          <w:color w:val="231F20"/>
        </w:rPr>
        <w:t>his hands start to</w:t>
      </w:r>
      <w:r w:rsidR="003115E3">
        <w:rPr>
          <w:color w:val="231F20"/>
          <w:spacing w:val="-12"/>
        </w:rPr>
        <w:t xml:space="preserve"> </w:t>
      </w:r>
      <w:r w:rsidR="003115E3">
        <w:rPr>
          <w:color w:val="231F20"/>
        </w:rPr>
        <w:t xml:space="preserve">tremble </w:t>
      </w:r>
      <w:r w:rsidR="003115E3">
        <w:rPr>
          <w:color w:val="231F20"/>
          <w:spacing w:val="18"/>
        </w:rPr>
        <w:t xml:space="preserve"> </w:t>
      </w:r>
      <w:r w:rsidR="003115E3">
        <w:rPr>
          <w:color w:val="231F20"/>
        </w:rPr>
        <w:t>from</w:t>
      </w:r>
      <w:r w:rsidR="003115E3">
        <w:rPr>
          <w:color w:val="231F20"/>
          <w:w w:val="99"/>
        </w:rPr>
        <w:t xml:space="preserve"> </w:t>
      </w:r>
      <w:r w:rsidR="003115E3">
        <w:rPr>
          <w:color w:val="231F20"/>
        </w:rPr>
        <w:t>the effort)—yeah, a</w:t>
      </w:r>
      <w:r w:rsidR="003115E3">
        <w:rPr>
          <w:color w:val="231F20"/>
          <w:spacing w:val="6"/>
        </w:rPr>
        <w:t xml:space="preserve"> </w:t>
      </w:r>
      <w:r w:rsidR="003115E3">
        <w:rPr>
          <w:color w:val="231F20"/>
        </w:rPr>
        <w:t>real</w:t>
      </w:r>
      <w:r w:rsidR="003115E3">
        <w:rPr>
          <w:color w:val="231F20"/>
          <w:spacing w:val="1"/>
        </w:rPr>
        <w:t xml:space="preserve"> </w:t>
      </w:r>
      <w:r w:rsidR="003115E3">
        <w:rPr>
          <w:color w:val="231F20"/>
        </w:rPr>
        <w:t>sadist— this</w:t>
      </w:r>
      <w:r w:rsidR="003115E3">
        <w:rPr>
          <w:color w:val="231F20"/>
          <w:spacing w:val="20"/>
        </w:rPr>
        <w:t xml:space="preserve"> </w:t>
      </w:r>
      <w:r w:rsidR="003115E3">
        <w:rPr>
          <w:color w:val="231F20"/>
        </w:rPr>
        <w:t>takes</w:t>
      </w:r>
      <w:r w:rsidR="003115E3">
        <w:rPr>
          <w:color w:val="231F20"/>
          <w:spacing w:val="20"/>
        </w:rPr>
        <w:t xml:space="preserve"> </w:t>
      </w:r>
      <w:r w:rsidR="003115E3">
        <w:rPr>
          <w:color w:val="231F20"/>
        </w:rPr>
        <w:t>place</w:t>
      </w:r>
      <w:r w:rsidR="003115E3">
        <w:rPr>
          <w:color w:val="231F20"/>
          <w:spacing w:val="20"/>
        </w:rPr>
        <w:t xml:space="preserve"> </w:t>
      </w:r>
      <w:r w:rsidR="003115E3">
        <w:rPr>
          <w:color w:val="231F20"/>
        </w:rPr>
        <w:t>inside</w:t>
      </w:r>
      <w:r w:rsidR="003115E3">
        <w:rPr>
          <w:color w:val="231F20"/>
          <w:spacing w:val="20"/>
        </w:rPr>
        <w:t xml:space="preserve"> </w:t>
      </w:r>
      <w:r w:rsidR="003115E3">
        <w:rPr>
          <w:color w:val="231F20"/>
        </w:rPr>
        <w:t>a</w:t>
      </w:r>
      <w:r w:rsidR="003115E3">
        <w:rPr>
          <w:color w:val="231F20"/>
          <w:spacing w:val="20"/>
        </w:rPr>
        <w:t xml:space="preserve"> </w:t>
      </w:r>
      <w:r w:rsidR="003115E3">
        <w:rPr>
          <w:color w:val="231F20"/>
          <w:spacing w:val="-4"/>
        </w:rPr>
        <w:t>190</w:t>
      </w:r>
      <w:r w:rsidR="003115E3">
        <w:rPr>
          <w:color w:val="231F20"/>
          <w:spacing w:val="-12"/>
        </w:rPr>
        <w:t xml:space="preserve"> </w:t>
      </w:r>
      <w:r w:rsidR="003115E3">
        <w:rPr>
          <w:color w:val="231F20"/>
        </w:rPr>
        <w:t>cm</w:t>
      </w:r>
      <w:r w:rsidR="003115E3">
        <w:rPr>
          <w:color w:val="231F20"/>
          <w:w w:val="99"/>
        </w:rPr>
        <w:t xml:space="preserve"> </w:t>
      </w:r>
      <w:r w:rsidR="003115E3">
        <w:rPr>
          <w:color w:val="231F20"/>
        </w:rPr>
        <w:t>cubicle. Another</w:t>
      </w:r>
      <w:r w:rsidR="003115E3">
        <w:rPr>
          <w:color w:val="231F20"/>
          <w:spacing w:val="-7"/>
        </w:rPr>
        <w:t xml:space="preserve"> </w:t>
      </w:r>
      <w:r w:rsidR="003115E3">
        <w:rPr>
          <w:color w:val="231F20"/>
        </w:rPr>
        <w:t>one—he’s</w:t>
      </w:r>
      <w:r w:rsidR="003115E3">
        <w:rPr>
          <w:color w:val="231F20"/>
          <w:spacing w:val="17"/>
        </w:rPr>
        <w:t xml:space="preserve"> </w:t>
      </w:r>
      <w:r w:rsidR="003115E3">
        <w:rPr>
          <w:color w:val="231F20"/>
        </w:rPr>
        <w:t>named Gomes or</w:t>
      </w:r>
      <w:r w:rsidR="003115E3">
        <w:rPr>
          <w:color w:val="231F20"/>
          <w:spacing w:val="25"/>
        </w:rPr>
        <w:t xml:space="preserve"> </w:t>
      </w:r>
      <w:r w:rsidR="003115E3">
        <w:rPr>
          <w:color w:val="231F20"/>
        </w:rPr>
        <w:t>Komes—tightens</w:t>
      </w:r>
      <w:r w:rsidR="003115E3">
        <w:rPr>
          <w:color w:val="231F20"/>
          <w:spacing w:val="35"/>
        </w:rPr>
        <w:t xml:space="preserve"> </w:t>
      </w:r>
      <w:r w:rsidR="003115E3">
        <w:rPr>
          <w:color w:val="231F20"/>
        </w:rPr>
        <w:t>the</w:t>
      </w:r>
      <w:r w:rsidR="003115E3">
        <w:rPr>
          <w:color w:val="231F20"/>
          <w:w w:val="91"/>
        </w:rPr>
        <w:t xml:space="preserve"> </w:t>
      </w:r>
      <w:r w:rsidR="003115E3">
        <w:rPr>
          <w:color w:val="231F20"/>
        </w:rPr>
        <w:t>straps</w:t>
      </w:r>
      <w:r w:rsidR="003115E3">
        <w:rPr>
          <w:color w:val="231F20"/>
          <w:spacing w:val="11"/>
        </w:rPr>
        <w:t xml:space="preserve"> </w:t>
      </w:r>
      <w:r w:rsidR="003115E3">
        <w:rPr>
          <w:color w:val="231F20"/>
        </w:rPr>
        <w:t>so</w:t>
      </w:r>
      <w:r w:rsidR="003115E3">
        <w:rPr>
          <w:color w:val="231F20"/>
          <w:spacing w:val="11"/>
        </w:rPr>
        <w:t xml:space="preserve"> </w:t>
      </w:r>
      <w:r w:rsidR="003115E3">
        <w:rPr>
          <w:color w:val="231F20"/>
        </w:rPr>
        <w:t>much</w:t>
      </w:r>
      <w:r w:rsidR="003115E3">
        <w:rPr>
          <w:color w:val="231F20"/>
          <w:spacing w:val="11"/>
        </w:rPr>
        <w:t xml:space="preserve"> </w:t>
      </w:r>
      <w:r w:rsidR="003115E3">
        <w:rPr>
          <w:color w:val="231F20"/>
        </w:rPr>
        <w:t>that</w:t>
      </w:r>
      <w:r w:rsidR="003115E3">
        <w:rPr>
          <w:color w:val="231F20"/>
          <w:spacing w:val="11"/>
        </w:rPr>
        <w:t xml:space="preserve"> </w:t>
      </w:r>
      <w:r w:rsidR="003115E3">
        <w:rPr>
          <w:color w:val="231F20"/>
        </w:rPr>
        <w:t>they</w:t>
      </w:r>
      <w:r w:rsidR="003115E3">
        <w:rPr>
          <w:color w:val="231F20"/>
          <w:spacing w:val="11"/>
        </w:rPr>
        <w:t xml:space="preserve"> </w:t>
      </w:r>
      <w:r w:rsidR="003115E3">
        <w:rPr>
          <w:color w:val="231F20"/>
        </w:rPr>
        <w:t>cut</w:t>
      </w:r>
      <w:r w:rsidR="003115E3">
        <w:rPr>
          <w:color w:val="231F20"/>
          <w:spacing w:val="11"/>
        </w:rPr>
        <w:t xml:space="preserve"> </w:t>
      </w:r>
      <w:r w:rsidR="003115E3">
        <w:rPr>
          <w:color w:val="231F20"/>
        </w:rPr>
        <w:t>into</w:t>
      </w:r>
    </w:p>
    <w:p w14:paraId="7FF7D53E" w14:textId="77777777" w:rsidR="002653E8" w:rsidRDefault="002653E8">
      <w:pPr>
        <w:spacing w:line="264" w:lineRule="auto"/>
        <w:jc w:val="right"/>
        <w:sectPr w:rsidR="002653E8">
          <w:pgSz w:w="8640" w:h="12960"/>
          <w:pgMar w:top="1060" w:right="0" w:bottom="1040" w:left="0" w:header="0" w:footer="850" w:gutter="0"/>
          <w:cols w:space="720"/>
        </w:sectPr>
      </w:pPr>
    </w:p>
    <w:p w14:paraId="61BCAD5F" w14:textId="77777777" w:rsidR="002653E8" w:rsidRDefault="003115E3">
      <w:pPr>
        <w:pStyle w:val="a3"/>
        <w:spacing w:before="86" w:line="264" w:lineRule="auto"/>
        <w:ind w:left="1327" w:right="1146"/>
        <w:jc w:val="both"/>
      </w:pPr>
      <w:r>
        <w:rPr>
          <w:color w:val="231F20"/>
        </w:rPr>
        <w:lastRenderedPageBreak/>
        <w:t xml:space="preserve">my ankles and leave marks on my wrists that are still visible over an hour later. As I have, from the first </w:t>
      </w:r>
      <w:r>
        <w:rPr>
          <w:color w:val="231F20"/>
          <w:spacing w:val="-4"/>
        </w:rPr>
        <w:t xml:space="preserve">day, </w:t>
      </w:r>
      <w:r>
        <w:rPr>
          <w:color w:val="231F20"/>
        </w:rPr>
        <w:t>offered occasional and partial resistance, I have a few bruises on my legs, arms, etc. The whole thing   is</w:t>
      </w:r>
      <w:r>
        <w:rPr>
          <w:color w:val="231F20"/>
          <w:spacing w:val="8"/>
        </w:rPr>
        <w:t xml:space="preserve"> </w:t>
      </w:r>
      <w:r>
        <w:rPr>
          <w:color w:val="231F20"/>
        </w:rPr>
        <w:t>always</w:t>
      </w:r>
      <w:r>
        <w:rPr>
          <w:color w:val="231F20"/>
          <w:spacing w:val="8"/>
        </w:rPr>
        <w:t xml:space="preserve"> </w:t>
      </w:r>
      <w:r>
        <w:rPr>
          <w:color w:val="231F20"/>
        </w:rPr>
        <w:t>conducted</w:t>
      </w:r>
      <w:r>
        <w:rPr>
          <w:color w:val="231F20"/>
          <w:spacing w:val="8"/>
        </w:rPr>
        <w:t xml:space="preserve"> </w:t>
      </w:r>
      <w:r>
        <w:rPr>
          <w:color w:val="231F20"/>
        </w:rPr>
        <w:t>rigorously</w:t>
      </w:r>
      <w:r>
        <w:rPr>
          <w:color w:val="231F20"/>
          <w:spacing w:val="8"/>
        </w:rPr>
        <w:t xml:space="preserve"> </w:t>
      </w:r>
      <w:r>
        <w:rPr>
          <w:color w:val="231F20"/>
        </w:rPr>
        <w:t>so</w:t>
      </w:r>
      <w:r>
        <w:rPr>
          <w:color w:val="231F20"/>
          <w:spacing w:val="8"/>
        </w:rPr>
        <w:t xml:space="preserve"> </w:t>
      </w:r>
      <w:r>
        <w:rPr>
          <w:color w:val="231F20"/>
        </w:rPr>
        <w:t>as</w:t>
      </w:r>
      <w:r>
        <w:rPr>
          <w:color w:val="231F20"/>
          <w:spacing w:val="8"/>
        </w:rPr>
        <w:t xml:space="preserve"> </w:t>
      </w:r>
      <w:r>
        <w:rPr>
          <w:color w:val="231F20"/>
        </w:rPr>
        <w:t>to</w:t>
      </w:r>
      <w:r>
        <w:rPr>
          <w:color w:val="231F20"/>
          <w:spacing w:val="8"/>
        </w:rPr>
        <w:t xml:space="preserve"> </w:t>
      </w:r>
      <w:r>
        <w:rPr>
          <w:color w:val="231F20"/>
        </w:rPr>
        <w:t>be</w:t>
      </w:r>
      <w:r>
        <w:rPr>
          <w:color w:val="231F20"/>
          <w:spacing w:val="8"/>
        </w:rPr>
        <w:t xml:space="preserve"> </w:t>
      </w:r>
      <w:r>
        <w:rPr>
          <w:color w:val="231F20"/>
        </w:rPr>
        <w:t>over</w:t>
      </w:r>
      <w:r>
        <w:rPr>
          <w:color w:val="231F20"/>
          <w:spacing w:val="8"/>
        </w:rPr>
        <w:t xml:space="preserve"> </w:t>
      </w:r>
      <w:r>
        <w:rPr>
          <w:color w:val="231F20"/>
        </w:rPr>
        <w:t>in</w:t>
      </w:r>
      <w:r>
        <w:rPr>
          <w:color w:val="231F20"/>
          <w:spacing w:val="8"/>
        </w:rPr>
        <w:t xml:space="preserve"> </w:t>
      </w:r>
      <w:r>
        <w:rPr>
          <w:color w:val="231F20"/>
          <w:spacing w:val="-5"/>
        </w:rPr>
        <w:t>10</w:t>
      </w:r>
      <w:r>
        <w:rPr>
          <w:color w:val="231F20"/>
          <w:spacing w:val="8"/>
        </w:rPr>
        <w:t xml:space="preserve"> </w:t>
      </w:r>
      <w:r>
        <w:rPr>
          <w:color w:val="231F20"/>
        </w:rPr>
        <w:t>minutes.</w:t>
      </w:r>
    </w:p>
    <w:p w14:paraId="1E540D79" w14:textId="77777777" w:rsidR="002653E8" w:rsidRDefault="003115E3">
      <w:pPr>
        <w:pStyle w:val="a3"/>
        <w:spacing w:line="264" w:lineRule="auto"/>
        <w:ind w:left="1328" w:right="1145" w:firstLine="210"/>
        <w:jc w:val="both"/>
      </w:pPr>
      <w:r>
        <w:rPr>
          <w:color w:val="231F20"/>
        </w:rPr>
        <w:t xml:space="preserve">As of this week (since  </w:t>
      </w:r>
      <w:r>
        <w:rPr>
          <w:color w:val="231F20"/>
          <w:spacing w:val="-4"/>
        </w:rPr>
        <w:t xml:space="preserve">Tuesday,  </w:t>
      </w:r>
      <w:r>
        <w:rPr>
          <w:color w:val="231F20"/>
        </w:rPr>
        <w:t xml:space="preserve">October  </w:t>
      </w:r>
      <w:r>
        <w:rPr>
          <w:color w:val="231F20"/>
          <w:spacing w:val="-5"/>
        </w:rPr>
        <w:t xml:space="preserve">8)  </w:t>
      </w:r>
      <w:r>
        <w:rPr>
          <w:color w:val="231F20"/>
        </w:rPr>
        <w:t>I  have  offered  almost no further active resistance, only passive resistance—no voluntary movement.</w:t>
      </w:r>
    </w:p>
    <w:p w14:paraId="1995AD61" w14:textId="77777777" w:rsidR="002653E8" w:rsidRDefault="003115E3">
      <w:pPr>
        <w:pStyle w:val="a3"/>
        <w:spacing w:line="264" w:lineRule="auto"/>
        <w:ind w:left="1327" w:right="1145" w:firstLine="210"/>
        <w:jc w:val="both"/>
      </w:pPr>
      <w:r>
        <w:rPr>
          <w:color w:val="231F20"/>
          <w:spacing w:val="1"/>
          <w:w w:val="105"/>
        </w:rPr>
        <w:t>In</w:t>
      </w:r>
      <w:r>
        <w:rPr>
          <w:color w:val="231F20"/>
          <w:spacing w:val="-19"/>
          <w:w w:val="105"/>
        </w:rPr>
        <w:t xml:space="preserve"> </w:t>
      </w:r>
      <w:r>
        <w:rPr>
          <w:color w:val="231F20"/>
          <w:w w:val="105"/>
        </w:rPr>
        <w:t>this</w:t>
      </w:r>
      <w:r>
        <w:rPr>
          <w:color w:val="231F20"/>
          <w:spacing w:val="-19"/>
          <w:w w:val="105"/>
        </w:rPr>
        <w:t xml:space="preserve"> </w:t>
      </w:r>
      <w:r>
        <w:rPr>
          <w:color w:val="231F20"/>
          <w:spacing w:val="-2"/>
          <w:w w:val="105"/>
        </w:rPr>
        <w:t>way</w:t>
      </w:r>
      <w:r>
        <w:rPr>
          <w:color w:val="231F20"/>
          <w:spacing w:val="-19"/>
          <w:w w:val="105"/>
        </w:rPr>
        <w:t xml:space="preserve"> </w:t>
      </w:r>
      <w:r>
        <w:rPr>
          <w:color w:val="231F20"/>
          <w:w w:val="105"/>
        </w:rPr>
        <w:t>it</w:t>
      </w:r>
      <w:r>
        <w:rPr>
          <w:color w:val="231F20"/>
          <w:spacing w:val="-19"/>
          <w:w w:val="105"/>
        </w:rPr>
        <w:t xml:space="preserve"> </w:t>
      </w:r>
      <w:r>
        <w:rPr>
          <w:color w:val="231F20"/>
          <w:w w:val="105"/>
        </w:rPr>
        <w:t>is</w:t>
      </w:r>
      <w:r>
        <w:rPr>
          <w:color w:val="231F20"/>
          <w:spacing w:val="-19"/>
          <w:w w:val="105"/>
        </w:rPr>
        <w:t xml:space="preserve"> </w:t>
      </w:r>
      <w:r>
        <w:rPr>
          <w:color w:val="231F20"/>
          <w:w w:val="105"/>
        </w:rPr>
        <w:t>more</w:t>
      </w:r>
      <w:r>
        <w:rPr>
          <w:color w:val="231F20"/>
          <w:spacing w:val="-19"/>
          <w:w w:val="105"/>
        </w:rPr>
        <w:t xml:space="preserve"> </w:t>
      </w:r>
      <w:r>
        <w:rPr>
          <w:color w:val="231F20"/>
          <w:w w:val="105"/>
        </w:rPr>
        <w:t>bearable.</w:t>
      </w:r>
      <w:r>
        <w:rPr>
          <w:color w:val="231F20"/>
          <w:spacing w:val="-19"/>
          <w:w w:val="105"/>
        </w:rPr>
        <w:t xml:space="preserve"> </w:t>
      </w:r>
      <w:r>
        <w:rPr>
          <w:color w:val="231F20"/>
          <w:w w:val="105"/>
        </w:rPr>
        <w:t>I</w:t>
      </w:r>
      <w:r>
        <w:rPr>
          <w:color w:val="231F20"/>
          <w:spacing w:val="-19"/>
          <w:w w:val="105"/>
        </w:rPr>
        <w:t xml:space="preserve"> </w:t>
      </w:r>
      <w:r>
        <w:rPr>
          <w:color w:val="231F20"/>
          <w:w w:val="105"/>
        </w:rPr>
        <w:t>can</w:t>
      </w:r>
      <w:r>
        <w:rPr>
          <w:color w:val="231F20"/>
          <w:spacing w:val="-19"/>
          <w:w w:val="105"/>
        </w:rPr>
        <w:t xml:space="preserve"> </w:t>
      </w:r>
      <w:r>
        <w:rPr>
          <w:color w:val="231F20"/>
          <w:w w:val="105"/>
        </w:rPr>
        <w:t>control</w:t>
      </w:r>
      <w:r>
        <w:rPr>
          <w:color w:val="231F20"/>
          <w:spacing w:val="-19"/>
          <w:w w:val="105"/>
        </w:rPr>
        <w:t xml:space="preserve"> </w:t>
      </w:r>
      <w:r>
        <w:rPr>
          <w:color w:val="231F20"/>
          <w:w w:val="105"/>
        </w:rPr>
        <w:t>myself</w:t>
      </w:r>
      <w:r>
        <w:rPr>
          <w:color w:val="231F20"/>
          <w:spacing w:val="-19"/>
          <w:w w:val="105"/>
        </w:rPr>
        <w:t xml:space="preserve"> </w:t>
      </w:r>
      <w:r>
        <w:rPr>
          <w:color w:val="231F20"/>
          <w:w w:val="105"/>
        </w:rPr>
        <w:t>so</w:t>
      </w:r>
      <w:r>
        <w:rPr>
          <w:color w:val="231F20"/>
          <w:spacing w:val="-19"/>
          <w:w w:val="105"/>
        </w:rPr>
        <w:t xml:space="preserve"> </w:t>
      </w:r>
      <w:r>
        <w:rPr>
          <w:color w:val="231F20"/>
          <w:w w:val="105"/>
        </w:rPr>
        <w:t>there</w:t>
      </w:r>
      <w:r>
        <w:rPr>
          <w:color w:val="231F20"/>
          <w:spacing w:val="-19"/>
          <w:w w:val="105"/>
        </w:rPr>
        <w:t xml:space="preserve"> </w:t>
      </w:r>
      <w:r>
        <w:rPr>
          <w:color w:val="231F20"/>
          <w:w w:val="105"/>
        </w:rPr>
        <w:t>is</w:t>
      </w:r>
      <w:r>
        <w:rPr>
          <w:color w:val="231F20"/>
          <w:spacing w:val="-19"/>
          <w:w w:val="105"/>
        </w:rPr>
        <w:t xml:space="preserve"> </w:t>
      </w:r>
      <w:r>
        <w:rPr>
          <w:color w:val="231F20"/>
          <w:w w:val="105"/>
        </w:rPr>
        <w:t>no</w:t>
      </w:r>
      <w:r>
        <w:rPr>
          <w:color w:val="231F20"/>
          <w:spacing w:val="-19"/>
          <w:w w:val="105"/>
        </w:rPr>
        <w:t xml:space="preserve"> </w:t>
      </w:r>
      <w:r>
        <w:rPr>
          <w:color w:val="231F20"/>
          <w:w w:val="105"/>
        </w:rPr>
        <w:t>gagging,</w:t>
      </w:r>
      <w:r>
        <w:rPr>
          <w:color w:val="231F20"/>
          <w:spacing w:val="-30"/>
          <w:w w:val="105"/>
        </w:rPr>
        <w:t xml:space="preserve"> </w:t>
      </w:r>
      <w:r>
        <w:rPr>
          <w:color w:val="231F20"/>
          <w:w w:val="105"/>
        </w:rPr>
        <w:t>etc.,</w:t>
      </w:r>
      <w:r>
        <w:rPr>
          <w:color w:val="231F20"/>
          <w:spacing w:val="-30"/>
          <w:w w:val="105"/>
        </w:rPr>
        <w:t xml:space="preserve"> </w:t>
      </w:r>
      <w:r>
        <w:rPr>
          <w:color w:val="231F20"/>
          <w:w w:val="105"/>
        </w:rPr>
        <w:t>like</w:t>
      </w:r>
      <w:r>
        <w:rPr>
          <w:color w:val="231F20"/>
          <w:spacing w:val="-30"/>
          <w:w w:val="105"/>
        </w:rPr>
        <w:t xml:space="preserve"> </w:t>
      </w:r>
      <w:r>
        <w:rPr>
          <w:color w:val="231F20"/>
          <w:spacing w:val="-3"/>
          <w:w w:val="105"/>
        </w:rPr>
        <w:t>today,</w:t>
      </w:r>
      <w:r>
        <w:rPr>
          <w:color w:val="231F20"/>
          <w:spacing w:val="-30"/>
          <w:w w:val="105"/>
        </w:rPr>
        <w:t xml:space="preserve"> </w:t>
      </w:r>
      <w:r>
        <w:rPr>
          <w:color w:val="231F20"/>
          <w:w w:val="105"/>
        </w:rPr>
        <w:t>for</w:t>
      </w:r>
      <w:r>
        <w:rPr>
          <w:color w:val="231F20"/>
          <w:spacing w:val="-30"/>
          <w:w w:val="105"/>
        </w:rPr>
        <w:t xml:space="preserve"> </w:t>
      </w:r>
      <w:r>
        <w:rPr>
          <w:color w:val="231F20"/>
          <w:w w:val="105"/>
        </w:rPr>
        <w:t>example,</w:t>
      </w:r>
      <w:r>
        <w:rPr>
          <w:color w:val="231F20"/>
          <w:spacing w:val="-30"/>
          <w:w w:val="105"/>
        </w:rPr>
        <w:t xml:space="preserve"> </w:t>
      </w:r>
      <w:r>
        <w:rPr>
          <w:color w:val="231F20"/>
          <w:w w:val="105"/>
        </w:rPr>
        <w:t>but</w:t>
      </w:r>
      <w:r>
        <w:rPr>
          <w:color w:val="231F20"/>
          <w:spacing w:val="-30"/>
          <w:w w:val="105"/>
        </w:rPr>
        <w:t xml:space="preserve"> </w:t>
      </w:r>
      <w:r>
        <w:rPr>
          <w:color w:val="231F20"/>
          <w:w w:val="105"/>
        </w:rPr>
        <w:t>that</w:t>
      </w:r>
      <w:r>
        <w:rPr>
          <w:color w:val="231F20"/>
          <w:spacing w:val="-30"/>
          <w:w w:val="105"/>
        </w:rPr>
        <w:t xml:space="preserve"> </w:t>
      </w:r>
      <w:r>
        <w:rPr>
          <w:color w:val="231F20"/>
          <w:w w:val="105"/>
        </w:rPr>
        <w:t>depends</w:t>
      </w:r>
      <w:r>
        <w:rPr>
          <w:color w:val="231F20"/>
          <w:spacing w:val="-30"/>
          <w:w w:val="105"/>
        </w:rPr>
        <w:t xml:space="preserve"> </w:t>
      </w:r>
      <w:r>
        <w:rPr>
          <w:color w:val="231F20"/>
          <w:w w:val="105"/>
        </w:rPr>
        <w:t>on</w:t>
      </w:r>
      <w:r>
        <w:rPr>
          <w:color w:val="231F20"/>
          <w:spacing w:val="-30"/>
          <w:w w:val="105"/>
        </w:rPr>
        <w:t xml:space="preserve"> </w:t>
      </w:r>
      <w:r>
        <w:rPr>
          <w:color w:val="231F20"/>
          <w:w w:val="105"/>
        </w:rPr>
        <w:t>me,</w:t>
      </w:r>
      <w:r>
        <w:rPr>
          <w:color w:val="231F20"/>
          <w:spacing w:val="-30"/>
          <w:w w:val="105"/>
        </w:rPr>
        <w:t xml:space="preserve"> </w:t>
      </w:r>
      <w:r>
        <w:rPr>
          <w:color w:val="231F20"/>
          <w:w w:val="105"/>
        </w:rPr>
        <w:t>not</w:t>
      </w:r>
      <w:r>
        <w:rPr>
          <w:color w:val="231F20"/>
          <w:spacing w:val="-30"/>
          <w:w w:val="105"/>
        </w:rPr>
        <w:t xml:space="preserve"> </w:t>
      </w:r>
      <w:r>
        <w:rPr>
          <w:color w:val="231F20"/>
          <w:w w:val="105"/>
        </w:rPr>
        <w:t>on</w:t>
      </w:r>
      <w:r>
        <w:rPr>
          <w:color w:val="231F20"/>
          <w:spacing w:val="-30"/>
          <w:w w:val="105"/>
        </w:rPr>
        <w:t xml:space="preserve"> </w:t>
      </w:r>
      <w:r>
        <w:rPr>
          <w:color w:val="231F20"/>
          <w:w w:val="105"/>
        </w:rPr>
        <w:t>the</w:t>
      </w:r>
      <w:r>
        <w:rPr>
          <w:color w:val="231F20"/>
          <w:spacing w:val="-30"/>
          <w:w w:val="105"/>
        </w:rPr>
        <w:t xml:space="preserve"> </w:t>
      </w:r>
      <w:r>
        <w:rPr>
          <w:color w:val="231F20"/>
          <w:w w:val="105"/>
        </w:rPr>
        <w:t xml:space="preserve">style of force-feeding. The pipe is, </w:t>
      </w:r>
      <w:r>
        <w:rPr>
          <w:color w:val="231F20"/>
          <w:spacing w:val="2"/>
          <w:w w:val="105"/>
        </w:rPr>
        <w:t xml:space="preserve">REGARDLESS </w:t>
      </w:r>
      <w:r>
        <w:rPr>
          <w:color w:val="231F20"/>
          <w:w w:val="105"/>
        </w:rPr>
        <w:t xml:space="preserve">OF </w:t>
      </w:r>
      <w:r>
        <w:rPr>
          <w:color w:val="231F20"/>
          <w:spacing w:val="1"/>
          <w:w w:val="105"/>
        </w:rPr>
        <w:t>CIRCUMSTANCES, TORTURE.</w:t>
      </w:r>
    </w:p>
    <w:p w14:paraId="1E293496" w14:textId="77777777" w:rsidR="002653E8" w:rsidRDefault="003115E3">
      <w:pPr>
        <w:pStyle w:val="a3"/>
        <w:spacing w:line="264" w:lineRule="auto"/>
        <w:ind w:left="1327" w:right="1146" w:firstLine="210"/>
        <w:jc w:val="both"/>
      </w:pPr>
      <w:r>
        <w:rPr>
          <w:color w:val="231F20"/>
          <w:w w:val="110"/>
        </w:rPr>
        <w:t xml:space="preserve">As they are now generally conducting force-feeding with a tube </w:t>
      </w:r>
      <w:r>
        <w:rPr>
          <w:color w:val="231F20"/>
          <w:w w:val="105"/>
        </w:rPr>
        <w:t>through</w:t>
      </w:r>
      <w:r>
        <w:rPr>
          <w:color w:val="231F20"/>
          <w:spacing w:val="-28"/>
          <w:w w:val="105"/>
        </w:rPr>
        <w:t xml:space="preserve"> </w:t>
      </w:r>
      <w:r>
        <w:rPr>
          <w:color w:val="231F20"/>
          <w:w w:val="105"/>
        </w:rPr>
        <w:t>the</w:t>
      </w:r>
      <w:r>
        <w:rPr>
          <w:color w:val="231F20"/>
          <w:spacing w:val="-28"/>
          <w:w w:val="105"/>
        </w:rPr>
        <w:t xml:space="preserve"> </w:t>
      </w:r>
      <w:r>
        <w:rPr>
          <w:color w:val="231F20"/>
          <w:w w:val="105"/>
        </w:rPr>
        <w:t>nose,</w:t>
      </w:r>
      <w:r>
        <w:rPr>
          <w:color w:val="231F20"/>
          <w:spacing w:val="-28"/>
          <w:w w:val="105"/>
        </w:rPr>
        <w:t xml:space="preserve"> </w:t>
      </w:r>
      <w:r>
        <w:rPr>
          <w:color w:val="231F20"/>
          <w:w w:val="105"/>
        </w:rPr>
        <w:t>I</w:t>
      </w:r>
      <w:r>
        <w:rPr>
          <w:color w:val="231F20"/>
          <w:spacing w:val="-28"/>
          <w:w w:val="105"/>
        </w:rPr>
        <w:t xml:space="preserve"> </w:t>
      </w:r>
      <w:r>
        <w:rPr>
          <w:color w:val="231F20"/>
          <w:w w:val="105"/>
        </w:rPr>
        <w:t>favor</w:t>
      </w:r>
      <w:r>
        <w:rPr>
          <w:color w:val="231F20"/>
          <w:spacing w:val="-28"/>
          <w:w w:val="105"/>
        </w:rPr>
        <w:t xml:space="preserve"> </w:t>
      </w:r>
      <w:r>
        <w:rPr>
          <w:color w:val="231F20"/>
          <w:w w:val="105"/>
        </w:rPr>
        <w:t>a</w:t>
      </w:r>
      <w:r>
        <w:rPr>
          <w:color w:val="231F20"/>
          <w:spacing w:val="-28"/>
          <w:w w:val="105"/>
        </w:rPr>
        <w:t xml:space="preserve"> </w:t>
      </w:r>
      <w:r>
        <w:rPr>
          <w:color w:val="231F20"/>
          <w:w w:val="105"/>
        </w:rPr>
        <w:t>public</w:t>
      </w:r>
      <w:r>
        <w:rPr>
          <w:color w:val="231F20"/>
          <w:spacing w:val="-28"/>
          <w:w w:val="105"/>
        </w:rPr>
        <w:t xml:space="preserve"> </w:t>
      </w:r>
      <w:r>
        <w:rPr>
          <w:color w:val="231F20"/>
          <w:w w:val="105"/>
        </w:rPr>
        <w:t>statement</w:t>
      </w:r>
      <w:r>
        <w:rPr>
          <w:color w:val="231F20"/>
          <w:spacing w:val="-28"/>
          <w:w w:val="105"/>
        </w:rPr>
        <w:t xml:space="preserve"> </w:t>
      </w:r>
      <w:r>
        <w:rPr>
          <w:color w:val="231F20"/>
          <w:w w:val="105"/>
        </w:rPr>
        <w:t>against</w:t>
      </w:r>
      <w:r>
        <w:rPr>
          <w:color w:val="231F20"/>
          <w:spacing w:val="-28"/>
          <w:w w:val="105"/>
        </w:rPr>
        <w:t xml:space="preserve"> </w:t>
      </w:r>
      <w:r>
        <w:rPr>
          <w:color w:val="231F20"/>
          <w:w w:val="105"/>
        </w:rPr>
        <w:t>the</w:t>
      </w:r>
      <w:r>
        <w:rPr>
          <w:color w:val="231F20"/>
          <w:spacing w:val="-28"/>
          <w:w w:val="105"/>
        </w:rPr>
        <w:t xml:space="preserve"> </w:t>
      </w:r>
      <w:r>
        <w:rPr>
          <w:color w:val="231F20"/>
          <w:w w:val="105"/>
        </w:rPr>
        <w:t>doctor</w:t>
      </w:r>
      <w:r>
        <w:rPr>
          <w:color w:val="231F20"/>
          <w:spacing w:val="-28"/>
          <w:w w:val="105"/>
        </w:rPr>
        <w:t xml:space="preserve"> </w:t>
      </w:r>
      <w:r>
        <w:rPr>
          <w:color w:val="231F20"/>
          <w:spacing w:val="-5"/>
          <w:w w:val="105"/>
        </w:rPr>
        <w:t>(P.</w:t>
      </w:r>
      <w:r>
        <w:rPr>
          <w:color w:val="231F20"/>
          <w:spacing w:val="-28"/>
          <w:w w:val="105"/>
        </w:rPr>
        <w:t xml:space="preserve"> </w:t>
      </w:r>
      <w:r>
        <w:rPr>
          <w:color w:val="231F20"/>
          <w:w w:val="105"/>
        </w:rPr>
        <w:t xml:space="preserve">should </w:t>
      </w:r>
      <w:r>
        <w:rPr>
          <w:color w:val="231F20"/>
          <w:w w:val="110"/>
        </w:rPr>
        <w:t xml:space="preserve">do this, as he has already prepared a motion for a ban on the pipe, which can serve as an ultimatum: “If you </w:t>
      </w:r>
      <w:r>
        <w:rPr>
          <w:color w:val="231F20"/>
          <w:spacing w:val="-3"/>
          <w:w w:val="110"/>
        </w:rPr>
        <w:t xml:space="preserve">don’t </w:t>
      </w:r>
      <w:r>
        <w:rPr>
          <w:color w:val="231F20"/>
          <w:w w:val="110"/>
        </w:rPr>
        <w:t xml:space="preserve">… by … then </w:t>
      </w:r>
      <w:r>
        <w:rPr>
          <w:color w:val="231F20"/>
          <w:spacing w:val="-8"/>
          <w:w w:val="110"/>
        </w:rPr>
        <w:t xml:space="preserve">…” </w:t>
      </w:r>
      <w:r>
        <w:rPr>
          <w:color w:val="231F20"/>
          <w:w w:val="110"/>
        </w:rPr>
        <w:t xml:space="preserve">It </w:t>
      </w:r>
      <w:r>
        <w:rPr>
          <w:color w:val="231F20"/>
          <w:w w:val="105"/>
        </w:rPr>
        <w:t>should</w:t>
      </w:r>
      <w:r>
        <w:rPr>
          <w:color w:val="231F20"/>
          <w:spacing w:val="-24"/>
          <w:w w:val="105"/>
        </w:rPr>
        <w:t xml:space="preserve"> </w:t>
      </w:r>
      <w:r>
        <w:rPr>
          <w:color w:val="231F20"/>
          <w:w w:val="105"/>
        </w:rPr>
        <w:t>also</w:t>
      </w:r>
      <w:r>
        <w:rPr>
          <w:color w:val="231F20"/>
          <w:spacing w:val="-24"/>
          <w:w w:val="105"/>
        </w:rPr>
        <w:t xml:space="preserve"> </w:t>
      </w:r>
      <w:r>
        <w:rPr>
          <w:color w:val="231F20"/>
          <w:w w:val="105"/>
        </w:rPr>
        <w:t>definitely</w:t>
      </w:r>
      <w:r>
        <w:rPr>
          <w:color w:val="231F20"/>
          <w:spacing w:val="-24"/>
          <w:w w:val="105"/>
        </w:rPr>
        <w:t xml:space="preserve"> </w:t>
      </w:r>
      <w:r>
        <w:rPr>
          <w:color w:val="231F20"/>
          <w:w w:val="105"/>
        </w:rPr>
        <w:t>be</w:t>
      </w:r>
      <w:r>
        <w:rPr>
          <w:color w:val="231F20"/>
          <w:spacing w:val="-24"/>
          <w:w w:val="105"/>
        </w:rPr>
        <w:t xml:space="preserve"> </w:t>
      </w:r>
      <w:r>
        <w:rPr>
          <w:color w:val="231F20"/>
          <w:w w:val="105"/>
        </w:rPr>
        <w:t>raised</w:t>
      </w:r>
      <w:r>
        <w:rPr>
          <w:color w:val="231F20"/>
          <w:spacing w:val="-24"/>
          <w:w w:val="105"/>
        </w:rPr>
        <w:t xml:space="preserve"> </w:t>
      </w:r>
      <w:r>
        <w:rPr>
          <w:color w:val="231F20"/>
          <w:w w:val="105"/>
        </w:rPr>
        <w:t>at</w:t>
      </w:r>
      <w:r>
        <w:rPr>
          <w:color w:val="231F20"/>
          <w:spacing w:val="-24"/>
          <w:w w:val="105"/>
        </w:rPr>
        <w:t xml:space="preserve"> </w:t>
      </w:r>
      <w:r>
        <w:rPr>
          <w:color w:val="231F20"/>
          <w:w w:val="105"/>
        </w:rPr>
        <w:t>the</w:t>
      </w:r>
      <w:r>
        <w:rPr>
          <w:color w:val="231F20"/>
          <w:spacing w:val="-24"/>
          <w:w w:val="105"/>
        </w:rPr>
        <w:t xml:space="preserve"> </w:t>
      </w:r>
      <w:r>
        <w:rPr>
          <w:color w:val="231F20"/>
          <w:w w:val="105"/>
        </w:rPr>
        <w:t>press</w:t>
      </w:r>
      <w:r>
        <w:rPr>
          <w:color w:val="231F20"/>
          <w:spacing w:val="-24"/>
          <w:w w:val="105"/>
        </w:rPr>
        <w:t xml:space="preserve"> </w:t>
      </w:r>
      <w:r>
        <w:rPr>
          <w:color w:val="231F20"/>
          <w:w w:val="105"/>
        </w:rPr>
        <w:t>conference,</w:t>
      </w:r>
      <w:r>
        <w:rPr>
          <w:color w:val="231F20"/>
          <w:spacing w:val="-24"/>
          <w:w w:val="105"/>
        </w:rPr>
        <w:t xml:space="preserve"> </w:t>
      </w:r>
      <w:r>
        <w:rPr>
          <w:color w:val="231F20"/>
          <w:w w:val="105"/>
        </w:rPr>
        <w:t>but</w:t>
      </w:r>
      <w:r>
        <w:rPr>
          <w:color w:val="231F20"/>
          <w:spacing w:val="-24"/>
          <w:w w:val="105"/>
        </w:rPr>
        <w:t xml:space="preserve"> </w:t>
      </w:r>
      <w:r>
        <w:rPr>
          <w:color w:val="231F20"/>
          <w:w w:val="105"/>
        </w:rPr>
        <w:t>only</w:t>
      </w:r>
      <w:r>
        <w:rPr>
          <w:color w:val="231F20"/>
          <w:spacing w:val="-24"/>
          <w:w w:val="105"/>
        </w:rPr>
        <w:t xml:space="preserve"> </w:t>
      </w:r>
      <w:r>
        <w:rPr>
          <w:color w:val="231F20"/>
          <w:w w:val="105"/>
        </w:rPr>
        <w:t xml:space="preserve">briefly, </w:t>
      </w:r>
      <w:r>
        <w:rPr>
          <w:color w:val="231F20"/>
          <w:w w:val="110"/>
        </w:rPr>
        <w:t>and</w:t>
      </w:r>
      <w:r>
        <w:rPr>
          <w:color w:val="231F20"/>
          <w:spacing w:val="-8"/>
          <w:w w:val="110"/>
        </w:rPr>
        <w:t xml:space="preserve"> </w:t>
      </w:r>
      <w:r>
        <w:rPr>
          <w:color w:val="231F20"/>
          <w:w w:val="110"/>
        </w:rPr>
        <w:t>only</w:t>
      </w:r>
      <w:r>
        <w:rPr>
          <w:color w:val="231F20"/>
          <w:spacing w:val="-8"/>
          <w:w w:val="110"/>
        </w:rPr>
        <w:t xml:space="preserve"> </w:t>
      </w:r>
      <w:r>
        <w:rPr>
          <w:color w:val="231F20"/>
          <w:w w:val="110"/>
        </w:rPr>
        <w:t>against</w:t>
      </w:r>
      <w:r>
        <w:rPr>
          <w:color w:val="231F20"/>
          <w:spacing w:val="-8"/>
          <w:w w:val="110"/>
        </w:rPr>
        <w:t xml:space="preserve"> </w:t>
      </w:r>
      <w:r>
        <w:rPr>
          <w:color w:val="231F20"/>
          <w:w w:val="110"/>
        </w:rPr>
        <w:t>the</w:t>
      </w:r>
      <w:r>
        <w:rPr>
          <w:color w:val="231F20"/>
          <w:spacing w:val="-8"/>
          <w:w w:val="110"/>
        </w:rPr>
        <w:t xml:space="preserve"> </w:t>
      </w:r>
      <w:r>
        <w:rPr>
          <w:color w:val="231F20"/>
          <w:w w:val="110"/>
        </w:rPr>
        <w:t>doctor,</w:t>
      </w:r>
      <w:r>
        <w:rPr>
          <w:color w:val="231F20"/>
          <w:spacing w:val="-8"/>
          <w:w w:val="110"/>
        </w:rPr>
        <w:t xml:space="preserve"> </w:t>
      </w:r>
      <w:r>
        <w:rPr>
          <w:color w:val="231F20"/>
          <w:w w:val="110"/>
        </w:rPr>
        <w:t>nothing</w:t>
      </w:r>
      <w:r>
        <w:rPr>
          <w:color w:val="231F20"/>
          <w:spacing w:val="-8"/>
          <w:w w:val="110"/>
        </w:rPr>
        <w:t xml:space="preserve"> </w:t>
      </w:r>
      <w:r>
        <w:rPr>
          <w:color w:val="231F20"/>
          <w:w w:val="110"/>
        </w:rPr>
        <w:t>against</w:t>
      </w:r>
      <w:r>
        <w:rPr>
          <w:color w:val="231F20"/>
          <w:spacing w:val="-8"/>
          <w:w w:val="110"/>
        </w:rPr>
        <w:t xml:space="preserve"> </w:t>
      </w:r>
      <w:r>
        <w:rPr>
          <w:color w:val="231F20"/>
          <w:w w:val="110"/>
        </w:rPr>
        <w:t>the</w:t>
      </w:r>
      <w:r>
        <w:rPr>
          <w:color w:val="231F20"/>
          <w:spacing w:val="-8"/>
          <w:w w:val="110"/>
        </w:rPr>
        <w:t xml:space="preserve"> </w:t>
      </w:r>
      <w:r>
        <w:rPr>
          <w:color w:val="231F20"/>
          <w:w w:val="110"/>
        </w:rPr>
        <w:t>greens.)</w:t>
      </w:r>
    </w:p>
    <w:p w14:paraId="2DD329DF" w14:textId="77777777" w:rsidR="002653E8" w:rsidRDefault="003115E3">
      <w:pPr>
        <w:pStyle w:val="a3"/>
        <w:spacing w:line="264" w:lineRule="auto"/>
        <w:ind w:left="1327" w:right="1147" w:firstLine="210"/>
        <w:jc w:val="both"/>
      </w:pPr>
      <w:r>
        <w:rPr>
          <w:color w:val="231F20"/>
        </w:rPr>
        <w:t>Shit: Today, after the force-feeding I had a brief short circuit, nothing extreme, only 5 minutes, total flickering, but fully conscious, only the eyes and ears.</w:t>
      </w:r>
    </w:p>
    <w:p w14:paraId="18FA1F83" w14:textId="77777777" w:rsidR="002653E8" w:rsidRPr="00C507A5" w:rsidRDefault="003115E3">
      <w:pPr>
        <w:pStyle w:val="a3"/>
        <w:spacing w:before="106" w:line="261" w:lineRule="auto"/>
        <w:ind w:left="5918" w:right="1146" w:firstLine="321"/>
        <w:jc w:val="right"/>
        <w:rPr>
          <w:lang w:val="de-DE"/>
        </w:rPr>
      </w:pPr>
      <w:r w:rsidRPr="00C507A5">
        <w:rPr>
          <w:color w:val="231F20"/>
          <w:w w:val="105"/>
          <w:lang w:val="de-DE"/>
        </w:rPr>
        <w:t>Holger Meins</w:t>
      </w:r>
      <w:r w:rsidRPr="00C507A5">
        <w:rPr>
          <w:color w:val="231F20"/>
          <w:w w:val="90"/>
          <w:lang w:val="de-DE"/>
        </w:rPr>
        <w:t xml:space="preserve"> </w:t>
      </w:r>
      <w:r w:rsidRPr="00C507A5">
        <w:rPr>
          <w:color w:val="231F20"/>
          <w:w w:val="105"/>
          <w:lang w:val="de-DE"/>
        </w:rPr>
        <w:t>October 11, 1974</w:t>
      </w:r>
    </w:p>
    <w:p w14:paraId="4E97B3B7" w14:textId="77777777" w:rsidR="002653E8" w:rsidRPr="00C507A5" w:rsidRDefault="002653E8">
      <w:pPr>
        <w:spacing w:line="261" w:lineRule="auto"/>
        <w:jc w:val="right"/>
        <w:rPr>
          <w:lang w:val="de-DE"/>
        </w:rPr>
        <w:sectPr w:rsidR="002653E8" w:rsidRPr="00C507A5">
          <w:pgSz w:w="8640" w:h="12960"/>
          <w:pgMar w:top="1060" w:right="0" w:bottom="1040" w:left="0" w:header="0" w:footer="850" w:gutter="0"/>
          <w:cols w:space="720"/>
        </w:sectPr>
      </w:pPr>
    </w:p>
    <w:p w14:paraId="2CD64621" w14:textId="77777777" w:rsidR="002653E8" w:rsidRPr="00C507A5" w:rsidRDefault="003115E3">
      <w:pPr>
        <w:pStyle w:val="4"/>
        <w:ind w:left="2286"/>
        <w:rPr>
          <w:lang w:val="de-DE"/>
        </w:rPr>
      </w:pPr>
      <w:bookmarkStart w:id="132" w:name="Holger_Meins’_Last_Letter_(November_1,_1"/>
      <w:bookmarkStart w:id="133" w:name="_bookmark42"/>
      <w:bookmarkEnd w:id="132"/>
      <w:bookmarkEnd w:id="133"/>
      <w:r w:rsidRPr="00C507A5">
        <w:rPr>
          <w:color w:val="231F20"/>
          <w:w w:val="105"/>
          <w:lang w:val="de-DE"/>
        </w:rPr>
        <w:lastRenderedPageBreak/>
        <w:t>Holger Meins’ Last Letter</w:t>
      </w:r>
    </w:p>
    <w:p w14:paraId="334D20E1" w14:textId="5E76592F" w:rsidR="002653E8" w:rsidRDefault="003115E3">
      <w:pPr>
        <w:spacing w:before="277" w:line="261" w:lineRule="auto"/>
        <w:ind w:left="1547" w:right="1427"/>
        <w:rPr>
          <w:i/>
          <w:sz w:val="20"/>
        </w:rPr>
      </w:pPr>
      <w:r>
        <w:rPr>
          <w:i/>
          <w:color w:val="231F20"/>
          <w:w w:val="105"/>
          <w:sz w:val="20"/>
        </w:rPr>
        <w:t xml:space="preserve">In a July </w:t>
      </w:r>
      <w:r>
        <w:rPr>
          <w:i/>
          <w:color w:val="231F20"/>
          <w:spacing w:val="2"/>
          <w:w w:val="105"/>
          <w:sz w:val="20"/>
        </w:rPr>
        <w:t xml:space="preserve">2008 </w:t>
      </w:r>
      <w:r>
        <w:rPr>
          <w:i/>
          <w:color w:val="231F20"/>
          <w:spacing w:val="1"/>
          <w:w w:val="105"/>
          <w:sz w:val="20"/>
        </w:rPr>
        <w:t xml:space="preserve">interview </w:t>
      </w:r>
      <w:r>
        <w:rPr>
          <w:i/>
          <w:color w:val="231F20"/>
          <w:w w:val="105"/>
          <w:sz w:val="20"/>
        </w:rPr>
        <w:t xml:space="preserve">with the Berlin </w:t>
      </w:r>
      <w:r>
        <w:rPr>
          <w:i/>
          <w:color w:val="231F20"/>
          <w:spacing w:val="1"/>
          <w:w w:val="105"/>
          <w:sz w:val="20"/>
        </w:rPr>
        <w:t xml:space="preserve">left-wing </w:t>
      </w:r>
      <w:r>
        <w:rPr>
          <w:i/>
          <w:color w:val="231F20"/>
          <w:w w:val="105"/>
          <w:sz w:val="20"/>
        </w:rPr>
        <w:t xml:space="preserve">daily, </w:t>
      </w:r>
      <w:r>
        <w:rPr>
          <w:i/>
          <w:color w:val="231F20"/>
          <w:spacing w:val="1"/>
          <w:w w:val="105"/>
          <w:sz w:val="20"/>
        </w:rPr>
        <w:t xml:space="preserve">taz, </w:t>
      </w:r>
      <w:r>
        <w:rPr>
          <w:i/>
          <w:color w:val="231F20"/>
          <w:w w:val="105"/>
          <w:sz w:val="20"/>
        </w:rPr>
        <w:t xml:space="preserve">Manfred Grashof acknowledged that he was the </w:t>
      </w:r>
      <w:r w:rsidR="00C507A5">
        <w:rPr>
          <w:i/>
          <w:color w:val="231F20"/>
          <w:spacing w:val="5"/>
          <w:w w:val="105"/>
          <w:sz w:val="20"/>
        </w:rPr>
        <w:t>red army faction</w:t>
      </w:r>
      <w:r>
        <w:rPr>
          <w:i/>
          <w:color w:val="231F20"/>
          <w:spacing w:val="5"/>
          <w:w w:val="105"/>
          <w:sz w:val="20"/>
        </w:rPr>
        <w:t xml:space="preserve"> </w:t>
      </w:r>
      <w:r>
        <w:rPr>
          <w:i/>
          <w:color w:val="231F20"/>
          <w:w w:val="105"/>
          <w:sz w:val="20"/>
        </w:rPr>
        <w:t>prisoner referred to in this letter. In the interview, he explained that he had decided to break off the hunger strike because he felt that it was the result of a decision taken by a small number of prisoners who</w:t>
      </w:r>
      <w:r>
        <w:rPr>
          <w:i/>
          <w:color w:val="231F20"/>
          <w:spacing w:val="11"/>
          <w:w w:val="105"/>
          <w:sz w:val="20"/>
        </w:rPr>
        <w:t xml:space="preserve"> </w:t>
      </w:r>
      <w:r>
        <w:rPr>
          <w:i/>
          <w:color w:val="231F20"/>
          <w:w w:val="105"/>
          <w:sz w:val="20"/>
        </w:rPr>
        <w:t>had</w:t>
      </w:r>
      <w:r>
        <w:rPr>
          <w:i/>
          <w:color w:val="231F20"/>
          <w:spacing w:val="11"/>
          <w:w w:val="105"/>
          <w:sz w:val="20"/>
        </w:rPr>
        <w:t xml:space="preserve"> </w:t>
      </w:r>
      <w:r>
        <w:rPr>
          <w:i/>
          <w:color w:val="231F20"/>
          <w:w w:val="105"/>
          <w:sz w:val="20"/>
        </w:rPr>
        <w:t>not</w:t>
      </w:r>
      <w:r>
        <w:rPr>
          <w:i/>
          <w:color w:val="231F20"/>
          <w:spacing w:val="11"/>
          <w:w w:val="105"/>
          <w:sz w:val="20"/>
        </w:rPr>
        <w:t xml:space="preserve"> </w:t>
      </w:r>
      <w:r>
        <w:rPr>
          <w:i/>
          <w:color w:val="231F20"/>
          <w:w w:val="105"/>
          <w:sz w:val="20"/>
        </w:rPr>
        <w:t>adequately</w:t>
      </w:r>
      <w:r>
        <w:rPr>
          <w:i/>
          <w:color w:val="231F20"/>
          <w:spacing w:val="11"/>
          <w:w w:val="105"/>
          <w:sz w:val="20"/>
        </w:rPr>
        <w:t xml:space="preserve"> </w:t>
      </w:r>
      <w:r>
        <w:rPr>
          <w:i/>
          <w:color w:val="231F20"/>
          <w:w w:val="105"/>
          <w:sz w:val="20"/>
        </w:rPr>
        <w:t>discussed</w:t>
      </w:r>
      <w:r>
        <w:rPr>
          <w:i/>
          <w:color w:val="231F20"/>
          <w:spacing w:val="11"/>
          <w:w w:val="105"/>
          <w:sz w:val="20"/>
        </w:rPr>
        <w:t xml:space="preserve"> </w:t>
      </w:r>
      <w:r>
        <w:rPr>
          <w:i/>
          <w:color w:val="231F20"/>
          <w:w w:val="105"/>
          <w:sz w:val="20"/>
        </w:rPr>
        <w:t>it</w:t>
      </w:r>
      <w:r>
        <w:rPr>
          <w:i/>
          <w:color w:val="231F20"/>
          <w:spacing w:val="11"/>
          <w:w w:val="105"/>
          <w:sz w:val="20"/>
        </w:rPr>
        <w:t xml:space="preserve"> </w:t>
      </w:r>
      <w:r>
        <w:rPr>
          <w:i/>
          <w:color w:val="231F20"/>
          <w:w w:val="105"/>
          <w:sz w:val="20"/>
        </w:rPr>
        <w:t>with</w:t>
      </w:r>
      <w:r>
        <w:rPr>
          <w:i/>
          <w:color w:val="231F20"/>
          <w:spacing w:val="11"/>
          <w:w w:val="105"/>
          <w:sz w:val="20"/>
        </w:rPr>
        <w:t xml:space="preserve"> </w:t>
      </w:r>
      <w:r>
        <w:rPr>
          <w:i/>
          <w:color w:val="231F20"/>
          <w:w w:val="105"/>
          <w:sz w:val="20"/>
        </w:rPr>
        <w:t>the</w:t>
      </w:r>
      <w:r>
        <w:rPr>
          <w:i/>
          <w:color w:val="231F20"/>
          <w:spacing w:val="11"/>
          <w:w w:val="105"/>
          <w:sz w:val="20"/>
        </w:rPr>
        <w:t xml:space="preserve"> </w:t>
      </w:r>
      <w:r>
        <w:rPr>
          <w:i/>
          <w:color w:val="231F20"/>
          <w:w w:val="105"/>
          <w:sz w:val="20"/>
        </w:rPr>
        <w:t>others.</w:t>
      </w:r>
      <w:r>
        <w:rPr>
          <w:i/>
          <w:color w:val="231F20"/>
          <w:spacing w:val="11"/>
          <w:w w:val="105"/>
          <w:sz w:val="20"/>
        </w:rPr>
        <w:t xml:space="preserve"> </w:t>
      </w:r>
      <w:r>
        <w:rPr>
          <w:i/>
          <w:color w:val="231F20"/>
          <w:spacing w:val="10"/>
          <w:w w:val="105"/>
          <w:sz w:val="20"/>
        </w:rPr>
        <w:t>(M.&amp;</w:t>
      </w:r>
      <w:r>
        <w:rPr>
          <w:i/>
          <w:color w:val="231F20"/>
          <w:spacing w:val="-11"/>
          <w:w w:val="105"/>
          <w:sz w:val="20"/>
        </w:rPr>
        <w:t xml:space="preserve"> </w:t>
      </w:r>
      <w:r>
        <w:rPr>
          <w:i/>
          <w:color w:val="231F20"/>
          <w:spacing w:val="1"/>
          <w:w w:val="105"/>
          <w:sz w:val="20"/>
        </w:rPr>
        <w:t>S.)</w:t>
      </w:r>
    </w:p>
    <w:p w14:paraId="30F316C1" w14:textId="77777777" w:rsidR="002653E8" w:rsidRDefault="002653E8">
      <w:pPr>
        <w:pStyle w:val="a3"/>
        <w:spacing w:before="9"/>
        <w:rPr>
          <w:i/>
        </w:rPr>
      </w:pPr>
    </w:p>
    <w:p w14:paraId="78BCBABC" w14:textId="77777777" w:rsidR="002653E8" w:rsidRDefault="003115E3">
      <w:pPr>
        <w:pStyle w:val="a3"/>
        <w:ind w:left="1147"/>
      </w:pPr>
      <w:r>
        <w:rPr>
          <w:color w:val="231F20"/>
          <w:w w:val="105"/>
        </w:rPr>
        <w:t>you stupid idiot.</w:t>
      </w:r>
    </w:p>
    <w:p w14:paraId="7B54A937" w14:textId="77777777" w:rsidR="002653E8" w:rsidRDefault="003115E3">
      <w:pPr>
        <w:pStyle w:val="a3"/>
        <w:spacing w:before="22" w:line="264" w:lineRule="auto"/>
        <w:ind w:left="1147" w:right="1327" w:firstLine="210"/>
        <w:jc w:val="both"/>
      </w:pPr>
      <w:r>
        <w:rPr>
          <w:color w:val="231F20"/>
        </w:rPr>
        <w:t xml:space="preserve">Start again immediately and </w:t>
      </w:r>
      <w:r>
        <w:rPr>
          <w:color w:val="231F20"/>
          <w:spacing w:val="1"/>
        </w:rPr>
        <w:t xml:space="preserve">carry on—if </w:t>
      </w:r>
      <w:r>
        <w:rPr>
          <w:color w:val="231F20"/>
        </w:rPr>
        <w:t xml:space="preserve">you </w:t>
      </w:r>
      <w:r>
        <w:rPr>
          <w:color w:val="231F20"/>
          <w:spacing w:val="-3"/>
        </w:rPr>
        <w:t xml:space="preserve">haven’t </w:t>
      </w:r>
      <w:r>
        <w:rPr>
          <w:color w:val="231F20"/>
        </w:rPr>
        <w:t>already done  so.</w:t>
      </w:r>
      <w:r>
        <w:rPr>
          <w:color w:val="231F20"/>
          <w:spacing w:val="11"/>
        </w:rPr>
        <w:t xml:space="preserve"> </w:t>
      </w:r>
      <w:r>
        <w:rPr>
          <w:color w:val="231F20"/>
        </w:rPr>
        <w:t>That</w:t>
      </w:r>
      <w:r>
        <w:rPr>
          <w:color w:val="231F20"/>
          <w:spacing w:val="11"/>
        </w:rPr>
        <w:t xml:space="preserve"> </w:t>
      </w:r>
      <w:r>
        <w:rPr>
          <w:color w:val="231F20"/>
        </w:rPr>
        <w:t>and</w:t>
      </w:r>
      <w:r>
        <w:rPr>
          <w:color w:val="231F20"/>
          <w:spacing w:val="11"/>
        </w:rPr>
        <w:t xml:space="preserve"> </w:t>
      </w:r>
      <w:r>
        <w:rPr>
          <w:color w:val="231F20"/>
        </w:rPr>
        <w:t>nothing</w:t>
      </w:r>
      <w:r>
        <w:rPr>
          <w:color w:val="231F20"/>
          <w:spacing w:val="11"/>
        </w:rPr>
        <w:t xml:space="preserve"> </w:t>
      </w:r>
      <w:r>
        <w:rPr>
          <w:color w:val="231F20"/>
        </w:rPr>
        <w:t>else.</w:t>
      </w:r>
      <w:r>
        <w:rPr>
          <w:color w:val="231F20"/>
          <w:spacing w:val="11"/>
        </w:rPr>
        <w:t xml:space="preserve"> </w:t>
      </w:r>
      <w:r>
        <w:rPr>
          <w:color w:val="231F20"/>
          <w:spacing w:val="-4"/>
        </w:rPr>
        <w:t>Today</w:t>
      </w:r>
      <w:r>
        <w:rPr>
          <w:color w:val="231F20"/>
          <w:spacing w:val="11"/>
        </w:rPr>
        <w:t xml:space="preserve"> </w:t>
      </w:r>
      <w:r>
        <w:rPr>
          <w:color w:val="231F20"/>
        </w:rPr>
        <w:t>is</w:t>
      </w:r>
      <w:r>
        <w:rPr>
          <w:color w:val="231F20"/>
          <w:spacing w:val="11"/>
        </w:rPr>
        <w:t xml:space="preserve"> </w:t>
      </w:r>
      <w:r>
        <w:rPr>
          <w:color w:val="231F20"/>
        </w:rPr>
        <w:t>the</w:t>
      </w:r>
      <w:r>
        <w:rPr>
          <w:color w:val="231F20"/>
          <w:spacing w:val="11"/>
        </w:rPr>
        <w:t xml:space="preserve"> </w:t>
      </w:r>
      <w:r>
        <w:rPr>
          <w:color w:val="231F20"/>
        </w:rPr>
        <w:t>day</w:t>
      </w:r>
      <w:r>
        <w:rPr>
          <w:color w:val="231F20"/>
          <w:spacing w:val="11"/>
        </w:rPr>
        <w:t xml:space="preserve"> </w:t>
      </w:r>
      <w:r>
        <w:rPr>
          <w:color w:val="231F20"/>
        </w:rPr>
        <w:t>for</w:t>
      </w:r>
      <w:r>
        <w:rPr>
          <w:color w:val="231F20"/>
          <w:spacing w:val="11"/>
        </w:rPr>
        <w:t xml:space="preserve"> </w:t>
      </w:r>
      <w:r>
        <w:rPr>
          <w:color w:val="231F20"/>
        </w:rPr>
        <w:t>it.</w:t>
      </w:r>
    </w:p>
    <w:p w14:paraId="79ECAAF9" w14:textId="77777777" w:rsidR="002653E8" w:rsidRDefault="003115E3">
      <w:pPr>
        <w:pStyle w:val="a3"/>
        <w:spacing w:line="264" w:lineRule="auto"/>
        <w:ind w:left="1147" w:right="1326" w:firstLine="210"/>
        <w:jc w:val="both"/>
      </w:pPr>
      <w:r>
        <w:rPr>
          <w:color w:val="231F20"/>
        </w:rPr>
        <w:t xml:space="preserve">It must be clear what it means for the pigs and against </w:t>
      </w:r>
      <w:r>
        <w:rPr>
          <w:color w:val="231F20"/>
          <w:spacing w:val="1"/>
        </w:rPr>
        <w:t xml:space="preserve">us—in </w:t>
      </w:r>
      <w:r>
        <w:rPr>
          <w:color w:val="231F20"/>
        </w:rPr>
        <w:t xml:space="preserve">the  </w:t>
      </w:r>
      <w:r>
        <w:rPr>
          <w:color w:val="231F20"/>
          <w:spacing w:val="-4"/>
        </w:rPr>
        <w:t xml:space="preserve">fray. </w:t>
      </w:r>
      <w:r>
        <w:rPr>
          <w:color w:val="231F20"/>
          <w:spacing w:val="1"/>
        </w:rPr>
        <w:t xml:space="preserve">If </w:t>
      </w:r>
      <w:r>
        <w:rPr>
          <w:color w:val="231F20"/>
        </w:rPr>
        <w:t xml:space="preserve">you were fully conscious when you gobbled that </w:t>
      </w:r>
      <w:r>
        <w:rPr>
          <w:color w:val="231F20"/>
          <w:spacing w:val="1"/>
        </w:rPr>
        <w:t xml:space="preserve">up—as </w:t>
      </w:r>
      <w:r>
        <w:rPr>
          <w:color w:val="231F20"/>
        </w:rPr>
        <w:t xml:space="preserve">a step </w:t>
      </w:r>
      <w:r>
        <w:rPr>
          <w:color w:val="231F20"/>
          <w:spacing w:val="-3"/>
        </w:rPr>
        <w:t>away</w:t>
      </w:r>
      <w:r>
        <w:rPr>
          <w:color w:val="231F20"/>
          <w:spacing w:val="11"/>
        </w:rPr>
        <w:t xml:space="preserve"> </w:t>
      </w:r>
      <w:r>
        <w:rPr>
          <w:color w:val="231F20"/>
        </w:rPr>
        <w:t>from</w:t>
      </w:r>
      <w:r>
        <w:rPr>
          <w:color w:val="231F20"/>
          <w:spacing w:val="10"/>
        </w:rPr>
        <w:t xml:space="preserve"> </w:t>
      </w:r>
      <w:r>
        <w:rPr>
          <w:color w:val="231F20"/>
        </w:rPr>
        <w:t>this—then</w:t>
      </w:r>
      <w:r>
        <w:rPr>
          <w:color w:val="231F20"/>
          <w:spacing w:val="11"/>
        </w:rPr>
        <w:t xml:space="preserve"> </w:t>
      </w:r>
      <w:r>
        <w:rPr>
          <w:color w:val="231F20"/>
        </w:rPr>
        <w:t>bon</w:t>
      </w:r>
      <w:r>
        <w:rPr>
          <w:color w:val="231F20"/>
          <w:spacing w:val="11"/>
        </w:rPr>
        <w:t xml:space="preserve"> </w:t>
      </w:r>
      <w:r>
        <w:rPr>
          <w:color w:val="231F20"/>
        </w:rPr>
        <w:t>appetit.</w:t>
      </w:r>
      <w:r>
        <w:rPr>
          <w:color w:val="231F20"/>
          <w:spacing w:val="11"/>
        </w:rPr>
        <w:t xml:space="preserve"> </w:t>
      </w:r>
      <w:r>
        <w:rPr>
          <w:color w:val="231F20"/>
        </w:rPr>
        <w:t>Then</w:t>
      </w:r>
      <w:r>
        <w:rPr>
          <w:color w:val="231F20"/>
          <w:spacing w:val="11"/>
        </w:rPr>
        <w:t xml:space="preserve"> </w:t>
      </w:r>
      <w:r>
        <w:rPr>
          <w:color w:val="231F20"/>
        </w:rPr>
        <w:t>this</w:t>
      </w:r>
      <w:r>
        <w:rPr>
          <w:color w:val="231F20"/>
          <w:spacing w:val="11"/>
        </w:rPr>
        <w:t xml:space="preserve"> </w:t>
      </w:r>
      <w:r>
        <w:rPr>
          <w:color w:val="231F20"/>
        </w:rPr>
        <w:t>is</w:t>
      </w:r>
      <w:r>
        <w:rPr>
          <w:color w:val="231F20"/>
          <w:spacing w:val="11"/>
        </w:rPr>
        <w:t xml:space="preserve"> </w:t>
      </w:r>
      <w:r>
        <w:rPr>
          <w:color w:val="231F20"/>
        </w:rPr>
        <w:t>the</w:t>
      </w:r>
      <w:r>
        <w:rPr>
          <w:color w:val="231F20"/>
          <w:spacing w:val="11"/>
        </w:rPr>
        <w:t xml:space="preserve"> </w:t>
      </w:r>
      <w:r>
        <w:rPr>
          <w:color w:val="231F20"/>
        </w:rPr>
        <w:t>end.</w:t>
      </w:r>
    </w:p>
    <w:p w14:paraId="07680660" w14:textId="77777777" w:rsidR="002653E8" w:rsidRDefault="003115E3">
      <w:pPr>
        <w:pStyle w:val="a3"/>
        <w:spacing w:line="264" w:lineRule="auto"/>
        <w:ind w:left="1357" w:right="1848"/>
      </w:pPr>
      <w:r>
        <w:rPr>
          <w:color w:val="231F20"/>
        </w:rPr>
        <w:t>If it was a flip-out, a breakdown, disorientation—enough said. Did you make a mistake—correct it.</w:t>
      </w:r>
    </w:p>
    <w:p w14:paraId="3CC9445A" w14:textId="77777777" w:rsidR="002653E8" w:rsidRDefault="003115E3">
      <w:pPr>
        <w:pStyle w:val="a3"/>
        <w:spacing w:line="232" w:lineRule="exact"/>
        <w:ind w:left="1357"/>
      </w:pPr>
      <w:r>
        <w:rPr>
          <w:color w:val="231F20"/>
        </w:rPr>
        <w:t>Have you spun out—come back.</w:t>
      </w:r>
    </w:p>
    <w:p w14:paraId="1050025F" w14:textId="77777777" w:rsidR="002653E8" w:rsidRDefault="003115E3">
      <w:pPr>
        <w:pStyle w:val="a3"/>
        <w:spacing w:before="17" w:line="264" w:lineRule="auto"/>
        <w:ind w:left="1147" w:right="1325" w:firstLine="210"/>
        <w:jc w:val="both"/>
      </w:pPr>
      <w:r>
        <w:rPr>
          <w:color w:val="231F20"/>
        </w:rPr>
        <w:t xml:space="preserve">Although. That is naturally of a somewhat different order—because </w:t>
      </w:r>
      <w:r>
        <w:rPr>
          <w:color w:val="231F20"/>
          <w:spacing w:val="-3"/>
        </w:rPr>
        <w:t xml:space="preserve">it’s </w:t>
      </w:r>
      <w:r>
        <w:rPr>
          <w:color w:val="231F20"/>
        </w:rPr>
        <w:t xml:space="preserve">honest. That must be clear to you—by </w:t>
      </w:r>
      <w:r>
        <w:rPr>
          <w:color w:val="231F20"/>
          <w:spacing w:val="-5"/>
        </w:rPr>
        <w:t xml:space="preserve">now. </w:t>
      </w:r>
      <w:r>
        <w:rPr>
          <w:color w:val="231F20"/>
          <w:spacing w:val="1"/>
        </w:rPr>
        <w:t xml:space="preserve">If </w:t>
      </w:r>
      <w:r>
        <w:rPr>
          <w:color w:val="231F20"/>
        </w:rPr>
        <w:t xml:space="preserve">so, you must </w:t>
      </w:r>
      <w:r>
        <w:rPr>
          <w:i/>
          <w:color w:val="231F20"/>
        </w:rPr>
        <w:t xml:space="preserve">clearly </w:t>
      </w:r>
      <w:r>
        <w:rPr>
          <w:color w:val="231F20"/>
        </w:rPr>
        <w:t>say so, and immediately. “Simply couldn’t think,” etc. says nothing  about</w:t>
      </w:r>
      <w:r>
        <w:rPr>
          <w:color w:val="231F20"/>
          <w:spacing w:val="10"/>
        </w:rPr>
        <w:t xml:space="preserve"> </w:t>
      </w:r>
      <w:r>
        <w:rPr>
          <w:color w:val="231F20"/>
        </w:rPr>
        <w:t>you.</w:t>
      </w:r>
    </w:p>
    <w:p w14:paraId="6877A989" w14:textId="77777777" w:rsidR="002653E8" w:rsidRDefault="003115E3">
      <w:pPr>
        <w:pStyle w:val="a3"/>
        <w:spacing w:line="230" w:lineRule="exact"/>
        <w:ind w:left="1357"/>
      </w:pPr>
      <w:r>
        <w:rPr>
          <w:color w:val="231F20"/>
        </w:rPr>
        <w:t>There is no guilt in the guerilla and no punishment in the collective.</w:t>
      </w:r>
    </w:p>
    <w:p w14:paraId="51AFE15B" w14:textId="77777777" w:rsidR="002653E8" w:rsidRDefault="003115E3">
      <w:pPr>
        <w:pStyle w:val="a3"/>
        <w:spacing w:before="22"/>
        <w:ind w:left="1147"/>
      </w:pPr>
      <w:r>
        <w:rPr>
          <w:color w:val="231F20"/>
        </w:rPr>
        <w:t xml:space="preserve">Only decisions and consequences, and I say it yet </w:t>
      </w:r>
      <w:r>
        <w:rPr>
          <w:i/>
          <w:color w:val="231F20"/>
        </w:rPr>
        <w:t>again</w:t>
      </w:r>
      <w:r>
        <w:rPr>
          <w:color w:val="231F20"/>
        </w:rPr>
        <w:t>.</w:t>
      </w:r>
    </w:p>
    <w:p w14:paraId="6365522C" w14:textId="77777777" w:rsidR="002653E8" w:rsidRDefault="003115E3">
      <w:pPr>
        <w:pStyle w:val="a3"/>
        <w:spacing w:before="23" w:line="264" w:lineRule="auto"/>
        <w:ind w:left="1147" w:right="3115" w:firstLine="210"/>
      </w:pPr>
      <w:r>
        <w:drawing>
          <wp:anchor distT="0" distB="0" distL="0" distR="0" simplePos="0" relativeHeight="267977879" behindDoc="1" locked="0" layoutInCell="1" allowOverlap="1" wp14:anchorId="72B97F47" wp14:editId="5154B3F6">
            <wp:simplePos x="0" y="0"/>
            <wp:positionH relativeFrom="page">
              <wp:posOffset>2663799</wp:posOffset>
            </wp:positionH>
            <wp:positionV relativeFrom="paragraph">
              <wp:posOffset>85445</wp:posOffset>
            </wp:positionV>
            <wp:extent cx="1928495" cy="2324100"/>
            <wp:effectExtent l="0" t="0" r="0" b="0"/>
            <wp:wrapNone/>
            <wp:docPr id="4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3.png"/>
                    <pic:cNvPicPr/>
                  </pic:nvPicPr>
                  <pic:blipFill>
                    <a:blip r:embed="rId254" cstate="print"/>
                    <a:stretch>
                      <a:fillRect/>
                    </a:stretch>
                  </pic:blipFill>
                  <pic:spPr>
                    <a:xfrm>
                      <a:off x="0" y="0"/>
                      <a:ext cx="1928495" cy="2324100"/>
                    </a:xfrm>
                    <a:prstGeom prst="rect">
                      <a:avLst/>
                    </a:prstGeom>
                  </pic:spPr>
                </pic:pic>
              </a:graphicData>
            </a:graphic>
          </wp:anchor>
        </w:drawing>
      </w:r>
      <w:r>
        <w:rPr>
          <w:color w:val="231F20"/>
        </w:rPr>
        <w:t>The only thing that matters is the struggle— now, today, tomorrow; whether you eat</w:t>
      </w:r>
    </w:p>
    <w:p w14:paraId="410E5453" w14:textId="77777777" w:rsidR="002653E8" w:rsidRDefault="003115E3">
      <w:pPr>
        <w:pStyle w:val="a3"/>
        <w:spacing w:line="264" w:lineRule="auto"/>
        <w:ind w:left="1147" w:right="4206"/>
      </w:pPr>
      <w:r>
        <w:rPr>
          <w:color w:val="231F20"/>
        </w:rPr>
        <w:t xml:space="preserve">or not, what matters is that you make    a leap forward. Do better. </w:t>
      </w:r>
      <w:r>
        <w:rPr>
          <w:color w:val="231F20"/>
          <w:spacing w:val="1"/>
        </w:rPr>
        <w:t xml:space="preserve">Learn </w:t>
      </w:r>
      <w:r>
        <w:rPr>
          <w:color w:val="231F20"/>
        </w:rPr>
        <w:t xml:space="preserve">from your experience.  That  is  what  must  be done. </w:t>
      </w:r>
      <w:r>
        <w:rPr>
          <w:color w:val="231F20"/>
          <w:spacing w:val="1"/>
        </w:rPr>
        <w:t xml:space="preserve">All </w:t>
      </w:r>
      <w:r>
        <w:rPr>
          <w:color w:val="231F20"/>
        </w:rPr>
        <w:t xml:space="preserve">the rest is shit. </w:t>
      </w:r>
      <w:r>
        <w:rPr>
          <w:color w:val="231F20"/>
          <w:spacing w:val="3"/>
        </w:rPr>
        <w:t xml:space="preserve">THE </w:t>
      </w:r>
      <w:r>
        <w:rPr>
          <w:color w:val="231F20"/>
        </w:rPr>
        <w:t xml:space="preserve">STRUGGLE </w:t>
      </w:r>
      <w:r>
        <w:rPr>
          <w:color w:val="231F20"/>
          <w:spacing w:val="5"/>
        </w:rPr>
        <w:t>CONTINUES.</w:t>
      </w:r>
      <w:r>
        <w:rPr>
          <w:color w:val="231F20"/>
          <w:spacing w:val="50"/>
        </w:rPr>
        <w:t xml:space="preserve"> </w:t>
      </w:r>
      <w:r>
        <w:rPr>
          <w:color w:val="231F20"/>
        </w:rPr>
        <w:t>Each</w:t>
      </w:r>
    </w:p>
    <w:p w14:paraId="5DC5D508" w14:textId="77777777" w:rsidR="002653E8" w:rsidRDefault="003115E3">
      <w:pPr>
        <w:pStyle w:val="a3"/>
        <w:spacing w:line="264" w:lineRule="auto"/>
        <w:ind w:left="1147" w:right="4228"/>
      </w:pPr>
      <w:r>
        <w:rPr>
          <w:color w:val="231F20"/>
        </w:rPr>
        <w:t xml:space="preserve">new fight, each action, each battle brings new and unprecedented experiences, and that is how the struggle develops. That is the only </w:t>
      </w:r>
      <w:r>
        <w:rPr>
          <w:color w:val="231F20"/>
          <w:spacing w:val="-2"/>
        </w:rPr>
        <w:t xml:space="preserve">way </w:t>
      </w:r>
      <w:r>
        <w:rPr>
          <w:color w:val="231F20"/>
        </w:rPr>
        <w:t>it develops. The subjective side of the dialectic of revolution and</w:t>
      </w:r>
      <w:r>
        <w:rPr>
          <w:color w:val="231F20"/>
          <w:spacing w:val="-7"/>
        </w:rPr>
        <w:t xml:space="preserve"> </w:t>
      </w:r>
      <w:r>
        <w:rPr>
          <w:color w:val="231F20"/>
        </w:rPr>
        <w:t>coun-</w:t>
      </w:r>
    </w:p>
    <w:p w14:paraId="098A8ECB" w14:textId="77777777" w:rsidR="002653E8" w:rsidRDefault="003115E3">
      <w:pPr>
        <w:pStyle w:val="a3"/>
        <w:spacing w:line="264" w:lineRule="auto"/>
        <w:ind w:left="1147" w:right="3906"/>
      </w:pPr>
      <w:r>
        <w:rPr>
          <w:color w:val="231F20"/>
        </w:rPr>
        <w:t>terrevolution: what makes the difference is knowing how to learn.</w:t>
      </w:r>
    </w:p>
    <w:p w14:paraId="2394B107" w14:textId="77777777" w:rsidR="002653E8" w:rsidRDefault="002653E8">
      <w:pPr>
        <w:spacing w:line="264" w:lineRule="auto"/>
        <w:sectPr w:rsidR="002653E8">
          <w:pgSz w:w="8640" w:h="12960"/>
          <w:pgMar w:top="1220" w:right="0" w:bottom="1040" w:left="0" w:header="0" w:footer="850" w:gutter="0"/>
          <w:cols w:space="720"/>
        </w:sectPr>
      </w:pPr>
    </w:p>
    <w:p w14:paraId="1A5824A0" w14:textId="77777777" w:rsidR="002653E8" w:rsidRDefault="003115E3">
      <w:pPr>
        <w:pStyle w:val="a3"/>
        <w:spacing w:before="86" w:line="264" w:lineRule="auto"/>
        <w:ind w:left="1327" w:right="1147" w:firstLine="210"/>
        <w:jc w:val="both"/>
      </w:pPr>
      <w:r>
        <w:rPr>
          <w:color w:val="231F20"/>
        </w:rPr>
        <w:lastRenderedPageBreak/>
        <w:t>Through the struggle, for the struggle. As a result of the victories, but even more as a result of the errors, the reversals, the defeats.</w:t>
      </w:r>
    </w:p>
    <w:p w14:paraId="4281C1C0" w14:textId="77777777" w:rsidR="002653E8" w:rsidRDefault="003115E3">
      <w:pPr>
        <w:pStyle w:val="a3"/>
        <w:spacing w:line="232" w:lineRule="exact"/>
        <w:ind w:left="1537"/>
      </w:pPr>
      <w:r>
        <w:rPr>
          <w:color w:val="231F20"/>
          <w:w w:val="105"/>
        </w:rPr>
        <w:t>That is one of the laws of Marxism.</w:t>
      </w:r>
    </w:p>
    <w:p w14:paraId="06F2C25D" w14:textId="77777777" w:rsidR="002653E8" w:rsidRDefault="003115E3">
      <w:pPr>
        <w:pStyle w:val="a3"/>
        <w:spacing w:before="23" w:line="264" w:lineRule="auto"/>
        <w:ind w:left="1327" w:right="1146" w:firstLine="210"/>
        <w:jc w:val="both"/>
        <w:rPr>
          <w:sz w:val="11"/>
        </w:rPr>
      </w:pPr>
      <w:r>
        <w:rPr>
          <w:color w:val="231F20"/>
        </w:rPr>
        <w:t>Struggle, defeat, struggle anew, again defeat, again take up the struggle, and so on until the final victory. That is the logic of the people. So said the Old One.</w:t>
      </w:r>
      <w:r>
        <w:rPr>
          <w:color w:val="231F20"/>
          <w:position w:val="7"/>
          <w:sz w:val="11"/>
        </w:rPr>
        <w:t>1</w:t>
      </w:r>
    </w:p>
    <w:p w14:paraId="2A171492" w14:textId="77777777" w:rsidR="002653E8" w:rsidRDefault="003115E3">
      <w:pPr>
        <w:pStyle w:val="a3"/>
        <w:spacing w:line="264" w:lineRule="auto"/>
        <w:ind w:left="1327" w:right="1145" w:firstLine="210"/>
        <w:jc w:val="both"/>
      </w:pPr>
      <w:r>
        <w:rPr>
          <w:color w:val="231F20"/>
        </w:rPr>
        <w:t>In any event, matter. The human being is nothing but matter, like everything else. The human being in his totality. The body and consciousness are “material,” and that which makes the human what he is, his freedom—is consciousness dominating matter—THE SELF and external nature, and, above all: being oneself. One of the pages of Engels: completely clear. The guerilla materializes in struggle—in revolutionary action, that is to say: without end—precisely: the struggle until death, and, of course: the collective.</w:t>
      </w:r>
    </w:p>
    <w:p w14:paraId="527CF403" w14:textId="77777777" w:rsidR="002653E8" w:rsidRDefault="003115E3">
      <w:pPr>
        <w:pStyle w:val="a3"/>
        <w:spacing w:line="264" w:lineRule="auto"/>
        <w:ind w:left="1327" w:right="1145" w:firstLine="210"/>
        <w:jc w:val="both"/>
      </w:pPr>
      <w:r>
        <w:rPr>
          <w:color w:val="231F20"/>
          <w:w w:val="105"/>
        </w:rPr>
        <w:t xml:space="preserve">It </w:t>
      </w:r>
      <w:r>
        <w:rPr>
          <w:color w:val="231F20"/>
          <w:spacing w:val="-3"/>
          <w:w w:val="105"/>
        </w:rPr>
        <w:t xml:space="preserve">isn’t </w:t>
      </w:r>
      <w:r>
        <w:rPr>
          <w:color w:val="231F20"/>
          <w:w w:val="105"/>
        </w:rPr>
        <w:t xml:space="preserve">a question of matter, but of politics. Of  </w:t>
      </w:r>
      <w:r>
        <w:rPr>
          <w:color w:val="231F20"/>
          <w:spacing w:val="3"/>
          <w:w w:val="105"/>
        </w:rPr>
        <w:t xml:space="preserve">PRAxIS. </w:t>
      </w:r>
      <w:r>
        <w:rPr>
          <w:color w:val="231F20"/>
          <w:w w:val="105"/>
        </w:rPr>
        <w:t xml:space="preserve">As  you said: before as after, </w:t>
      </w:r>
      <w:r>
        <w:rPr>
          <w:color w:val="231F20"/>
          <w:spacing w:val="-3"/>
          <w:w w:val="105"/>
        </w:rPr>
        <w:t xml:space="preserve">it’s </w:t>
      </w:r>
      <w:r>
        <w:rPr>
          <w:color w:val="231F20"/>
          <w:w w:val="105"/>
        </w:rPr>
        <w:t xml:space="preserve">all the same. </w:t>
      </w:r>
      <w:r>
        <w:rPr>
          <w:color w:val="231F20"/>
          <w:spacing w:val="-6"/>
          <w:w w:val="105"/>
        </w:rPr>
        <w:t xml:space="preserve">Today, </w:t>
      </w:r>
      <w:r>
        <w:rPr>
          <w:color w:val="231F20"/>
          <w:spacing w:val="-3"/>
          <w:w w:val="105"/>
        </w:rPr>
        <w:t xml:space="preserve">tomorrow, </w:t>
      </w:r>
      <w:r>
        <w:rPr>
          <w:color w:val="231F20"/>
          <w:w w:val="105"/>
        </w:rPr>
        <w:t xml:space="preserve">and so forth. </w:t>
      </w:r>
      <w:r>
        <w:rPr>
          <w:color w:val="231F20"/>
          <w:spacing w:val="-3"/>
          <w:w w:val="105"/>
        </w:rPr>
        <w:t>yesterday</w:t>
      </w:r>
      <w:r>
        <w:rPr>
          <w:color w:val="231F20"/>
          <w:spacing w:val="-14"/>
          <w:w w:val="105"/>
        </w:rPr>
        <w:t xml:space="preserve"> </w:t>
      </w:r>
      <w:r>
        <w:rPr>
          <w:color w:val="231F20"/>
          <w:w w:val="105"/>
        </w:rPr>
        <w:t>is</w:t>
      </w:r>
      <w:r>
        <w:rPr>
          <w:color w:val="231F20"/>
          <w:spacing w:val="-14"/>
          <w:w w:val="105"/>
        </w:rPr>
        <w:t xml:space="preserve"> </w:t>
      </w:r>
      <w:r>
        <w:rPr>
          <w:color w:val="231F20"/>
          <w:w w:val="105"/>
        </w:rPr>
        <w:t>past.</w:t>
      </w:r>
      <w:r>
        <w:rPr>
          <w:color w:val="231F20"/>
          <w:spacing w:val="-14"/>
          <w:w w:val="105"/>
        </w:rPr>
        <w:t xml:space="preserve"> </w:t>
      </w:r>
      <w:r>
        <w:rPr>
          <w:color w:val="231F20"/>
          <w:w w:val="105"/>
        </w:rPr>
        <w:t>A</w:t>
      </w:r>
      <w:r>
        <w:rPr>
          <w:color w:val="231F20"/>
          <w:spacing w:val="-14"/>
          <w:w w:val="105"/>
        </w:rPr>
        <w:t xml:space="preserve"> </w:t>
      </w:r>
      <w:r>
        <w:rPr>
          <w:color w:val="231F20"/>
          <w:w w:val="105"/>
        </w:rPr>
        <w:t>criterion</w:t>
      </w:r>
      <w:r>
        <w:rPr>
          <w:color w:val="231F20"/>
          <w:spacing w:val="-14"/>
          <w:w w:val="105"/>
        </w:rPr>
        <w:t xml:space="preserve"> </w:t>
      </w:r>
      <w:r>
        <w:rPr>
          <w:color w:val="231F20"/>
          <w:w w:val="105"/>
        </w:rPr>
        <w:t>doubtless,</w:t>
      </w:r>
      <w:r>
        <w:rPr>
          <w:color w:val="231F20"/>
          <w:spacing w:val="-14"/>
          <w:w w:val="105"/>
        </w:rPr>
        <w:t xml:space="preserve"> </w:t>
      </w:r>
      <w:r>
        <w:rPr>
          <w:color w:val="231F20"/>
          <w:w w:val="105"/>
        </w:rPr>
        <w:t>but</w:t>
      </w:r>
      <w:r>
        <w:rPr>
          <w:color w:val="231F20"/>
          <w:spacing w:val="-14"/>
          <w:w w:val="105"/>
        </w:rPr>
        <w:t xml:space="preserve"> </w:t>
      </w:r>
      <w:r>
        <w:rPr>
          <w:color w:val="231F20"/>
          <w:w w:val="105"/>
        </w:rPr>
        <w:t>above</w:t>
      </w:r>
      <w:r>
        <w:rPr>
          <w:color w:val="231F20"/>
          <w:spacing w:val="-14"/>
          <w:w w:val="105"/>
        </w:rPr>
        <w:t xml:space="preserve"> </w:t>
      </w:r>
      <w:r>
        <w:rPr>
          <w:color w:val="231F20"/>
          <w:w w:val="105"/>
        </w:rPr>
        <w:t>all</w:t>
      </w:r>
      <w:r>
        <w:rPr>
          <w:color w:val="231F20"/>
          <w:spacing w:val="-14"/>
          <w:w w:val="105"/>
        </w:rPr>
        <w:t xml:space="preserve"> </w:t>
      </w:r>
      <w:r>
        <w:rPr>
          <w:color w:val="231F20"/>
          <w:w w:val="105"/>
        </w:rPr>
        <w:t>a</w:t>
      </w:r>
      <w:r>
        <w:rPr>
          <w:color w:val="231F20"/>
          <w:spacing w:val="-14"/>
          <w:w w:val="105"/>
        </w:rPr>
        <w:t xml:space="preserve"> </w:t>
      </w:r>
      <w:r>
        <w:rPr>
          <w:color w:val="231F20"/>
          <w:spacing w:val="-5"/>
          <w:w w:val="105"/>
        </w:rPr>
        <w:t>FACT.</w:t>
      </w:r>
      <w:r>
        <w:rPr>
          <w:color w:val="231F20"/>
          <w:spacing w:val="-14"/>
          <w:w w:val="105"/>
        </w:rPr>
        <w:t xml:space="preserve"> </w:t>
      </w:r>
      <w:r>
        <w:rPr>
          <w:color w:val="231F20"/>
          <w:w w:val="105"/>
        </w:rPr>
        <w:t>What</w:t>
      </w:r>
      <w:r>
        <w:rPr>
          <w:color w:val="231F20"/>
          <w:spacing w:val="-14"/>
          <w:w w:val="105"/>
        </w:rPr>
        <w:t xml:space="preserve"> </w:t>
      </w:r>
      <w:r>
        <w:rPr>
          <w:color w:val="231F20"/>
          <w:w w:val="105"/>
        </w:rPr>
        <w:t>is— now—depends</w:t>
      </w:r>
      <w:r>
        <w:rPr>
          <w:color w:val="231F20"/>
          <w:spacing w:val="-8"/>
          <w:w w:val="105"/>
        </w:rPr>
        <w:t xml:space="preserve"> </w:t>
      </w:r>
      <w:r>
        <w:rPr>
          <w:color w:val="231F20"/>
          <w:w w:val="105"/>
        </w:rPr>
        <w:t>primarily</w:t>
      </w:r>
      <w:r>
        <w:rPr>
          <w:color w:val="231F20"/>
          <w:spacing w:val="-8"/>
          <w:w w:val="105"/>
        </w:rPr>
        <w:t xml:space="preserve"> </w:t>
      </w:r>
      <w:r>
        <w:rPr>
          <w:color w:val="231F20"/>
          <w:w w:val="105"/>
        </w:rPr>
        <w:t>on</w:t>
      </w:r>
      <w:r>
        <w:rPr>
          <w:color w:val="231F20"/>
          <w:spacing w:val="-8"/>
          <w:w w:val="105"/>
        </w:rPr>
        <w:t xml:space="preserve"> </w:t>
      </w:r>
      <w:r>
        <w:rPr>
          <w:color w:val="231F20"/>
          <w:w w:val="105"/>
        </w:rPr>
        <w:t>you.</w:t>
      </w:r>
      <w:r>
        <w:rPr>
          <w:color w:val="231F20"/>
          <w:spacing w:val="-8"/>
          <w:w w:val="105"/>
        </w:rPr>
        <w:t xml:space="preserve"> </w:t>
      </w:r>
      <w:r>
        <w:rPr>
          <w:color w:val="231F20"/>
          <w:w w:val="105"/>
        </w:rPr>
        <w:t>The</w:t>
      </w:r>
      <w:r>
        <w:rPr>
          <w:color w:val="231F20"/>
          <w:spacing w:val="-8"/>
          <w:w w:val="105"/>
        </w:rPr>
        <w:t xml:space="preserve"> </w:t>
      </w:r>
      <w:r>
        <w:rPr>
          <w:color w:val="231F20"/>
          <w:w w:val="105"/>
        </w:rPr>
        <w:t>hunger</w:t>
      </w:r>
      <w:r>
        <w:rPr>
          <w:color w:val="231F20"/>
          <w:spacing w:val="-8"/>
          <w:w w:val="105"/>
        </w:rPr>
        <w:t xml:space="preserve"> </w:t>
      </w:r>
      <w:r>
        <w:rPr>
          <w:color w:val="231F20"/>
          <w:w w:val="105"/>
        </w:rPr>
        <w:t>strike</w:t>
      </w:r>
      <w:r>
        <w:rPr>
          <w:color w:val="231F20"/>
          <w:spacing w:val="-8"/>
          <w:w w:val="105"/>
        </w:rPr>
        <w:t xml:space="preserve"> </w:t>
      </w:r>
      <w:r>
        <w:rPr>
          <w:color w:val="231F20"/>
          <w:w w:val="105"/>
        </w:rPr>
        <w:t>is</w:t>
      </w:r>
      <w:r>
        <w:rPr>
          <w:color w:val="231F20"/>
          <w:spacing w:val="-8"/>
          <w:w w:val="105"/>
        </w:rPr>
        <w:t xml:space="preserve"> </w:t>
      </w:r>
      <w:r>
        <w:rPr>
          <w:color w:val="231F20"/>
          <w:w w:val="105"/>
        </w:rPr>
        <w:t>far</w:t>
      </w:r>
      <w:r>
        <w:rPr>
          <w:color w:val="231F20"/>
          <w:spacing w:val="-8"/>
          <w:w w:val="105"/>
        </w:rPr>
        <w:t xml:space="preserve"> </w:t>
      </w:r>
      <w:r>
        <w:rPr>
          <w:color w:val="231F20"/>
          <w:w w:val="105"/>
        </w:rPr>
        <w:t>from</w:t>
      </w:r>
      <w:r>
        <w:rPr>
          <w:color w:val="231F20"/>
          <w:spacing w:val="-8"/>
          <w:w w:val="105"/>
        </w:rPr>
        <w:t xml:space="preserve"> </w:t>
      </w:r>
      <w:r>
        <w:rPr>
          <w:color w:val="231F20"/>
          <w:spacing w:val="-3"/>
          <w:w w:val="105"/>
        </w:rPr>
        <w:t>over.</w:t>
      </w:r>
    </w:p>
    <w:p w14:paraId="1EAA022A" w14:textId="77777777" w:rsidR="002653E8" w:rsidRDefault="003115E3">
      <w:pPr>
        <w:pStyle w:val="a3"/>
        <w:spacing w:line="264" w:lineRule="auto"/>
        <w:ind w:left="1537" w:right="4524"/>
      </w:pPr>
      <w:r>
        <w:rPr>
          <w:color w:val="231F20"/>
        </w:rPr>
        <w:t>And the struggle never ends. But</w:t>
      </w:r>
    </w:p>
    <w:p w14:paraId="7B21CE62" w14:textId="77777777" w:rsidR="002653E8" w:rsidRDefault="003115E3">
      <w:pPr>
        <w:pStyle w:val="a3"/>
        <w:spacing w:line="264" w:lineRule="auto"/>
        <w:ind w:left="1327" w:right="1145" w:firstLine="210"/>
        <w:jc w:val="both"/>
      </w:pPr>
      <w:r>
        <w:rPr>
          <w:color w:val="231F20"/>
        </w:rPr>
        <w:t xml:space="preserve">There is obviously only one point: if  you  know  that  with  each  of the PIG’S </w:t>
      </w:r>
      <w:r>
        <w:rPr>
          <w:color w:val="231F20"/>
          <w:spacing w:val="2"/>
        </w:rPr>
        <w:t xml:space="preserve">VICTORIES </w:t>
      </w:r>
      <w:r>
        <w:rPr>
          <w:color w:val="231F20"/>
        </w:rPr>
        <w:t xml:space="preserve">the concrete objective of killing gets more concrete—and that you no longer want to take </w:t>
      </w:r>
      <w:r>
        <w:rPr>
          <w:color w:val="231F20"/>
          <w:spacing w:val="1"/>
        </w:rPr>
        <w:t xml:space="preserve">part, </w:t>
      </w:r>
      <w:r>
        <w:rPr>
          <w:color w:val="231F20"/>
        </w:rPr>
        <w:t xml:space="preserve">thereby protecting yourself—then that is a victory for the </w:t>
      </w:r>
      <w:r>
        <w:rPr>
          <w:color w:val="231F20"/>
          <w:spacing w:val="1"/>
        </w:rPr>
        <w:t xml:space="preserve">PIGS, </w:t>
      </w:r>
      <w:r>
        <w:rPr>
          <w:color w:val="231F20"/>
        </w:rPr>
        <w:t xml:space="preserve">meaning you hand us over to them, and it is you who is the pig that divides and encircles us for your personal survival, so shut your mouth, </w:t>
      </w:r>
      <w:r>
        <w:rPr>
          <w:color w:val="231F20"/>
          <w:spacing w:val="-5"/>
        </w:rPr>
        <w:t xml:space="preserve">“As </w:t>
      </w:r>
      <w:r>
        <w:rPr>
          <w:color w:val="231F20"/>
        </w:rPr>
        <w:t>has been said: praxis. Long</w:t>
      </w:r>
      <w:r>
        <w:rPr>
          <w:color w:val="231F20"/>
          <w:spacing w:val="12"/>
        </w:rPr>
        <w:t xml:space="preserve"> </w:t>
      </w:r>
      <w:r>
        <w:rPr>
          <w:color w:val="231F20"/>
        </w:rPr>
        <w:t>live</w:t>
      </w:r>
      <w:r>
        <w:rPr>
          <w:color w:val="231F20"/>
          <w:spacing w:val="12"/>
        </w:rPr>
        <w:t xml:space="preserve"> </w:t>
      </w:r>
      <w:r>
        <w:rPr>
          <w:color w:val="231F20"/>
        </w:rPr>
        <w:t>the</w:t>
      </w:r>
      <w:r>
        <w:rPr>
          <w:color w:val="231F20"/>
          <w:spacing w:val="12"/>
        </w:rPr>
        <w:t xml:space="preserve"> </w:t>
      </w:r>
      <w:r w:rsidR="00C507A5">
        <w:rPr>
          <w:color w:val="231F20"/>
        </w:rPr>
        <w:t>red army faction</w:t>
      </w:r>
      <w:r>
        <w:rPr>
          <w:color w:val="231F20"/>
        </w:rPr>
        <w:t>.</w:t>
      </w:r>
      <w:r>
        <w:rPr>
          <w:color w:val="231F20"/>
          <w:spacing w:val="12"/>
        </w:rPr>
        <w:t xml:space="preserve"> </w:t>
      </w:r>
      <w:r>
        <w:rPr>
          <w:color w:val="231F20"/>
        </w:rPr>
        <w:t>Death</w:t>
      </w:r>
      <w:r>
        <w:rPr>
          <w:color w:val="231F20"/>
          <w:spacing w:val="12"/>
        </w:rPr>
        <w:t xml:space="preserve"> </w:t>
      </w:r>
      <w:r>
        <w:rPr>
          <w:color w:val="231F20"/>
        </w:rPr>
        <w:t>to</w:t>
      </w:r>
      <w:r>
        <w:rPr>
          <w:color w:val="231F20"/>
          <w:spacing w:val="12"/>
        </w:rPr>
        <w:t xml:space="preserve"> </w:t>
      </w:r>
      <w:r>
        <w:rPr>
          <w:color w:val="231F20"/>
        </w:rPr>
        <w:t>the</w:t>
      </w:r>
      <w:r>
        <w:rPr>
          <w:color w:val="231F20"/>
          <w:spacing w:val="12"/>
        </w:rPr>
        <w:t xml:space="preserve"> </w:t>
      </w:r>
      <w:r>
        <w:rPr>
          <w:color w:val="231F20"/>
        </w:rPr>
        <w:t>pig</w:t>
      </w:r>
      <w:r>
        <w:rPr>
          <w:color w:val="231F20"/>
          <w:spacing w:val="12"/>
        </w:rPr>
        <w:t xml:space="preserve"> </w:t>
      </w:r>
      <w:r>
        <w:rPr>
          <w:color w:val="231F20"/>
        </w:rPr>
        <w:t>system.”</w:t>
      </w:r>
    </w:p>
    <w:p w14:paraId="5AF79098" w14:textId="77777777" w:rsidR="002653E8" w:rsidRDefault="003115E3">
      <w:pPr>
        <w:pStyle w:val="a3"/>
        <w:spacing w:line="264" w:lineRule="auto"/>
        <w:ind w:left="1327" w:right="1145" w:firstLine="210"/>
        <w:jc w:val="both"/>
      </w:pPr>
      <w:r>
        <w:rPr>
          <w:color w:val="231F20"/>
        </w:rPr>
        <w:t xml:space="preserve">Because—if you </w:t>
      </w:r>
      <w:r>
        <w:rPr>
          <w:color w:val="231F20"/>
          <w:spacing w:val="-3"/>
        </w:rPr>
        <w:t xml:space="preserve">don’t </w:t>
      </w:r>
      <w:r>
        <w:rPr>
          <w:color w:val="231F20"/>
        </w:rPr>
        <w:t xml:space="preserve">want to continue the hunger strike with us—it would be better to be more honorable (if indeed you still know what that means: </w:t>
      </w:r>
      <w:r>
        <w:rPr>
          <w:color w:val="231F20"/>
          <w:spacing w:val="-3"/>
        </w:rPr>
        <w:t xml:space="preserve">honor):  </w:t>
      </w:r>
      <w:r>
        <w:rPr>
          <w:color w:val="231F20"/>
        </w:rPr>
        <w:t xml:space="preserve">“In short, I am alive. Down with the </w:t>
      </w:r>
      <w:r w:rsidR="00C507A5">
        <w:rPr>
          <w:color w:val="231F20"/>
        </w:rPr>
        <w:t>red army faction</w:t>
      </w:r>
      <w:r>
        <w:rPr>
          <w:color w:val="231F20"/>
        </w:rPr>
        <w:t>. Victory    to the pig</w:t>
      </w:r>
      <w:r>
        <w:rPr>
          <w:color w:val="231F20"/>
          <w:spacing w:val="32"/>
        </w:rPr>
        <w:t xml:space="preserve"> </w:t>
      </w:r>
      <w:r>
        <w:rPr>
          <w:color w:val="231F20"/>
        </w:rPr>
        <w:t>system.”</w:t>
      </w:r>
    </w:p>
    <w:p w14:paraId="6672EEF5" w14:textId="77777777" w:rsidR="002653E8" w:rsidRDefault="002653E8">
      <w:pPr>
        <w:pStyle w:val="a3"/>
        <w:spacing w:before="3"/>
        <w:rPr>
          <w:sz w:val="19"/>
        </w:rPr>
      </w:pPr>
    </w:p>
    <w:p w14:paraId="624621BE" w14:textId="77777777" w:rsidR="002653E8" w:rsidRDefault="003115E3">
      <w:pPr>
        <w:pStyle w:val="a3"/>
        <w:ind w:left="2282"/>
      </w:pPr>
      <w:r>
        <w:rPr>
          <w:color w:val="231F20"/>
        </w:rPr>
        <w:t>Either a human or  pig</w:t>
      </w:r>
    </w:p>
    <w:p w14:paraId="37894FB7" w14:textId="77777777" w:rsidR="002653E8" w:rsidRDefault="003115E3">
      <w:pPr>
        <w:pStyle w:val="a3"/>
        <w:spacing w:before="23" w:line="264" w:lineRule="auto"/>
        <w:ind w:left="2282" w:right="3503"/>
      </w:pPr>
      <w:r>
        <w:rPr>
          <w:color w:val="231F20"/>
        </w:rPr>
        <w:t>Either to survive at any price or to struggle until death</w:t>
      </w:r>
    </w:p>
    <w:p w14:paraId="29C3E338" w14:textId="77777777" w:rsidR="002653E8" w:rsidRDefault="003115E3">
      <w:pPr>
        <w:pStyle w:val="a3"/>
        <w:spacing w:line="264" w:lineRule="auto"/>
        <w:ind w:left="2282" w:right="1580"/>
      </w:pPr>
      <w:r>
        <w:rPr>
          <w:color w:val="231F20"/>
        </w:rPr>
        <w:t>Either part of the problem or part of the solution Between the two there is nothing</w:t>
      </w:r>
    </w:p>
    <w:p w14:paraId="5AF0969C" w14:textId="77777777" w:rsidR="002653E8" w:rsidRDefault="002653E8">
      <w:pPr>
        <w:pStyle w:val="a3"/>
      </w:pPr>
    </w:p>
    <w:p w14:paraId="5ACED282" w14:textId="77777777" w:rsidR="002653E8" w:rsidRDefault="00000000">
      <w:pPr>
        <w:pStyle w:val="a3"/>
        <w:spacing w:before="1"/>
        <w:rPr>
          <w:sz w:val="17"/>
        </w:rPr>
      </w:pPr>
      <w:r>
        <w:rPr>
          <w:noProof w:val="0"/>
        </w:rPr>
        <w:pict w14:anchorId="3988D73C">
          <v:line id="_x0000_s2357" style="position:absolute;z-index:7096;mso-wrap-distance-left:0;mso-wrap-distance-right:0;mso-position-horizontal-relative:page" from="66.4pt,12.25pt" to="138.4pt,12.25pt" strokecolor="#231f20" strokeweight=".5pt">
            <w10:wrap type="topAndBottom" anchorx="page"/>
          </v:line>
        </w:pict>
      </w:r>
    </w:p>
    <w:p w14:paraId="4B6EBE63" w14:textId="77777777" w:rsidR="002653E8" w:rsidRDefault="003115E3">
      <w:pPr>
        <w:spacing w:before="53"/>
        <w:ind w:left="1327"/>
        <w:rPr>
          <w:sz w:val="16"/>
        </w:rPr>
      </w:pPr>
      <w:r>
        <w:rPr>
          <w:color w:val="231F20"/>
          <w:w w:val="110"/>
          <w:sz w:val="16"/>
        </w:rPr>
        <w:t>1 A reference to Mao.</w:t>
      </w:r>
    </w:p>
    <w:p w14:paraId="728AAAC9" w14:textId="77777777" w:rsidR="002653E8" w:rsidRDefault="002653E8">
      <w:pPr>
        <w:rPr>
          <w:sz w:val="16"/>
        </w:rPr>
        <w:sectPr w:rsidR="002653E8">
          <w:footerReference w:type="even" r:id="rId255"/>
          <w:footerReference w:type="default" r:id="rId256"/>
          <w:pgSz w:w="8640" w:h="12960"/>
          <w:pgMar w:top="1060" w:right="0" w:bottom="1040" w:left="0" w:header="0" w:footer="850" w:gutter="0"/>
          <w:pgNumType w:start="297"/>
          <w:cols w:space="720"/>
        </w:sectPr>
      </w:pPr>
    </w:p>
    <w:p w14:paraId="4CC6E485" w14:textId="77777777" w:rsidR="002653E8" w:rsidRDefault="003115E3">
      <w:pPr>
        <w:pStyle w:val="a3"/>
        <w:spacing w:before="86" w:line="264" w:lineRule="auto"/>
        <w:ind w:left="1148" w:right="1325" w:hanging="1"/>
        <w:jc w:val="both"/>
      </w:pPr>
      <w:r>
        <w:rPr>
          <w:color w:val="231F20"/>
        </w:rPr>
        <w:lastRenderedPageBreak/>
        <w:t>Victory or death—the people everywhere say that and that is the language of the guerilla—even given our tiny size here. Live or die, it is all the same:</w:t>
      </w:r>
    </w:p>
    <w:p w14:paraId="053993C4" w14:textId="77777777" w:rsidR="002653E8" w:rsidRDefault="003115E3">
      <w:pPr>
        <w:pStyle w:val="a3"/>
        <w:spacing w:line="264" w:lineRule="auto"/>
        <w:ind w:left="1148" w:right="1326" w:firstLine="210"/>
        <w:jc w:val="both"/>
      </w:pPr>
      <w:r>
        <w:rPr>
          <w:color w:val="231F20"/>
        </w:rPr>
        <w:t xml:space="preserve">“The people (meaning: </w:t>
      </w:r>
      <w:r>
        <w:rPr>
          <w:color w:val="231F20"/>
          <w:spacing w:val="-3"/>
        </w:rPr>
        <w:t xml:space="preserve">us), </w:t>
      </w:r>
      <w:r>
        <w:rPr>
          <w:color w:val="231F20"/>
        </w:rPr>
        <w:t>who refuse to stop struggling—either  they</w:t>
      </w:r>
      <w:r>
        <w:rPr>
          <w:color w:val="231F20"/>
          <w:spacing w:val="11"/>
        </w:rPr>
        <w:t xml:space="preserve"> </w:t>
      </w:r>
      <w:r>
        <w:rPr>
          <w:color w:val="231F20"/>
        </w:rPr>
        <w:t>win</w:t>
      </w:r>
      <w:r>
        <w:rPr>
          <w:color w:val="231F20"/>
          <w:spacing w:val="11"/>
        </w:rPr>
        <w:t xml:space="preserve"> </w:t>
      </w:r>
      <w:r>
        <w:rPr>
          <w:color w:val="231F20"/>
        </w:rPr>
        <w:t>or</w:t>
      </w:r>
      <w:r>
        <w:rPr>
          <w:color w:val="231F20"/>
          <w:spacing w:val="11"/>
        </w:rPr>
        <w:t xml:space="preserve"> </w:t>
      </w:r>
      <w:r>
        <w:rPr>
          <w:color w:val="231F20"/>
        </w:rPr>
        <w:t>they</w:t>
      </w:r>
      <w:r>
        <w:rPr>
          <w:color w:val="231F20"/>
          <w:spacing w:val="11"/>
        </w:rPr>
        <w:t xml:space="preserve"> </w:t>
      </w:r>
      <w:r>
        <w:rPr>
          <w:color w:val="231F20"/>
        </w:rPr>
        <w:t>die,</w:t>
      </w:r>
      <w:r>
        <w:rPr>
          <w:color w:val="231F20"/>
          <w:spacing w:val="11"/>
        </w:rPr>
        <w:t xml:space="preserve"> </w:t>
      </w:r>
      <w:r>
        <w:rPr>
          <w:color w:val="231F20"/>
        </w:rPr>
        <w:t>instead</w:t>
      </w:r>
      <w:r>
        <w:rPr>
          <w:color w:val="231F20"/>
          <w:spacing w:val="11"/>
        </w:rPr>
        <w:t xml:space="preserve"> </w:t>
      </w:r>
      <w:r>
        <w:rPr>
          <w:color w:val="231F20"/>
        </w:rPr>
        <w:t>of</w:t>
      </w:r>
      <w:r>
        <w:rPr>
          <w:color w:val="231F20"/>
          <w:spacing w:val="11"/>
        </w:rPr>
        <w:t xml:space="preserve"> </w:t>
      </w:r>
      <w:r>
        <w:rPr>
          <w:color w:val="231F20"/>
        </w:rPr>
        <w:t>losing</w:t>
      </w:r>
      <w:r>
        <w:rPr>
          <w:color w:val="231F20"/>
          <w:spacing w:val="11"/>
        </w:rPr>
        <w:t xml:space="preserve"> </w:t>
      </w:r>
      <w:r>
        <w:rPr>
          <w:color w:val="231F20"/>
        </w:rPr>
        <w:t>and</w:t>
      </w:r>
      <w:r>
        <w:rPr>
          <w:color w:val="231F20"/>
          <w:spacing w:val="11"/>
        </w:rPr>
        <w:t xml:space="preserve"> </w:t>
      </w:r>
      <w:r>
        <w:rPr>
          <w:color w:val="231F20"/>
        </w:rPr>
        <w:t>dying.”</w:t>
      </w:r>
    </w:p>
    <w:p w14:paraId="0CE68AB1" w14:textId="77777777" w:rsidR="002653E8" w:rsidRDefault="003115E3">
      <w:pPr>
        <w:pStyle w:val="a3"/>
        <w:spacing w:line="264" w:lineRule="auto"/>
        <w:ind w:left="1148" w:right="1326" w:firstLine="210"/>
        <w:jc w:val="both"/>
      </w:pPr>
      <w:r>
        <w:rPr>
          <w:color w:val="231F20"/>
        </w:rPr>
        <w:t>It’s very sad to have to write you again about this sort of thing. Of course, I don’t know either what it is like when a person dies or when they kill you. How would I know? In a moment of truth, the other morning, for the first time it crossed my mind: this is it (obviously I still don’t know)—and afterwards (facing the gun aimed between the eyes), it’s all the same, that’s it. In any case, on the right side.</w:t>
      </w:r>
    </w:p>
    <w:p w14:paraId="03635C88" w14:textId="77777777" w:rsidR="002653E8" w:rsidRDefault="003115E3">
      <w:pPr>
        <w:pStyle w:val="a3"/>
        <w:spacing w:line="264" w:lineRule="auto"/>
        <w:ind w:left="1147" w:right="1325" w:firstLine="210"/>
        <w:jc w:val="both"/>
      </w:pPr>
      <w:r>
        <w:rPr>
          <w:color w:val="231F20"/>
          <w:spacing w:val="-7"/>
          <w:w w:val="105"/>
        </w:rPr>
        <w:t>you</w:t>
      </w:r>
      <w:r>
        <w:rPr>
          <w:color w:val="231F20"/>
          <w:spacing w:val="-8"/>
          <w:w w:val="105"/>
        </w:rPr>
        <w:t xml:space="preserve"> </w:t>
      </w:r>
      <w:r>
        <w:rPr>
          <w:color w:val="231F20"/>
          <w:w w:val="105"/>
        </w:rPr>
        <w:t>too</w:t>
      </w:r>
      <w:r>
        <w:rPr>
          <w:color w:val="231F20"/>
          <w:spacing w:val="-8"/>
          <w:w w:val="105"/>
        </w:rPr>
        <w:t xml:space="preserve"> </w:t>
      </w:r>
      <w:r>
        <w:rPr>
          <w:color w:val="231F20"/>
          <w:w w:val="105"/>
        </w:rPr>
        <w:t>must</w:t>
      </w:r>
      <w:r>
        <w:rPr>
          <w:color w:val="231F20"/>
          <w:spacing w:val="-8"/>
          <w:w w:val="105"/>
        </w:rPr>
        <w:t xml:space="preserve"> </w:t>
      </w:r>
      <w:r>
        <w:rPr>
          <w:color w:val="231F20"/>
          <w:w w:val="105"/>
        </w:rPr>
        <w:t>also</w:t>
      </w:r>
      <w:r>
        <w:rPr>
          <w:color w:val="231F20"/>
          <w:spacing w:val="-8"/>
          <w:w w:val="105"/>
        </w:rPr>
        <w:t xml:space="preserve"> </w:t>
      </w:r>
      <w:r>
        <w:rPr>
          <w:color w:val="231F20"/>
          <w:w w:val="105"/>
        </w:rPr>
        <w:t>know</w:t>
      </w:r>
      <w:r>
        <w:rPr>
          <w:color w:val="231F20"/>
          <w:spacing w:val="-8"/>
          <w:w w:val="105"/>
        </w:rPr>
        <w:t xml:space="preserve"> </w:t>
      </w:r>
      <w:r>
        <w:rPr>
          <w:color w:val="231F20"/>
          <w:w w:val="105"/>
        </w:rPr>
        <w:t>something</w:t>
      </w:r>
      <w:r>
        <w:rPr>
          <w:color w:val="231F20"/>
          <w:spacing w:val="-8"/>
          <w:w w:val="105"/>
        </w:rPr>
        <w:t xml:space="preserve"> </w:t>
      </w:r>
      <w:r>
        <w:rPr>
          <w:color w:val="231F20"/>
          <w:w w:val="105"/>
        </w:rPr>
        <w:t>about</w:t>
      </w:r>
      <w:r>
        <w:rPr>
          <w:color w:val="231F20"/>
          <w:spacing w:val="-8"/>
          <w:w w:val="105"/>
        </w:rPr>
        <w:t xml:space="preserve"> </w:t>
      </w:r>
      <w:r>
        <w:rPr>
          <w:color w:val="231F20"/>
          <w:w w:val="105"/>
        </w:rPr>
        <w:t>this.</w:t>
      </w:r>
      <w:r>
        <w:rPr>
          <w:color w:val="231F20"/>
          <w:spacing w:val="-8"/>
          <w:w w:val="105"/>
        </w:rPr>
        <w:t xml:space="preserve"> </w:t>
      </w:r>
      <w:r>
        <w:rPr>
          <w:color w:val="231F20"/>
          <w:w w:val="105"/>
        </w:rPr>
        <w:t>Whatever.</w:t>
      </w:r>
      <w:r>
        <w:rPr>
          <w:color w:val="231F20"/>
          <w:spacing w:val="-8"/>
          <w:w w:val="105"/>
        </w:rPr>
        <w:t xml:space="preserve"> </w:t>
      </w:r>
      <w:r>
        <w:rPr>
          <w:color w:val="231F20"/>
          <w:w w:val="105"/>
        </w:rPr>
        <w:t>No</w:t>
      </w:r>
      <w:r>
        <w:rPr>
          <w:color w:val="231F20"/>
          <w:spacing w:val="-8"/>
          <w:w w:val="105"/>
        </w:rPr>
        <w:t xml:space="preserve"> </w:t>
      </w:r>
      <w:r>
        <w:rPr>
          <w:color w:val="231F20"/>
          <w:w w:val="105"/>
        </w:rPr>
        <w:t xml:space="preserve">matter what, we all die. </w:t>
      </w:r>
      <w:r>
        <w:rPr>
          <w:color w:val="231F20"/>
          <w:spacing w:val="-3"/>
          <w:w w:val="105"/>
        </w:rPr>
        <w:t xml:space="preserve">It’s </w:t>
      </w:r>
      <w:r>
        <w:rPr>
          <w:color w:val="231F20"/>
          <w:w w:val="105"/>
        </w:rPr>
        <w:t xml:space="preserve">only a question of </w:t>
      </w:r>
      <w:r>
        <w:rPr>
          <w:color w:val="231F20"/>
          <w:spacing w:val="-4"/>
          <w:w w:val="105"/>
        </w:rPr>
        <w:t xml:space="preserve">how, </w:t>
      </w:r>
      <w:r>
        <w:rPr>
          <w:color w:val="231F20"/>
          <w:w w:val="105"/>
        </w:rPr>
        <w:t>and of how you lived,</w:t>
      </w:r>
      <w:r>
        <w:rPr>
          <w:color w:val="231F20"/>
          <w:spacing w:val="-22"/>
          <w:w w:val="105"/>
        </w:rPr>
        <w:t xml:space="preserve"> </w:t>
      </w:r>
      <w:r>
        <w:rPr>
          <w:color w:val="231F20"/>
          <w:w w:val="105"/>
        </w:rPr>
        <w:t xml:space="preserve">and one thing is completely clear: </w:t>
      </w:r>
      <w:r>
        <w:rPr>
          <w:color w:val="231F20"/>
          <w:spacing w:val="1"/>
          <w:w w:val="105"/>
        </w:rPr>
        <w:t xml:space="preserve">STRUGGLING </w:t>
      </w:r>
      <w:r>
        <w:rPr>
          <w:color w:val="231F20"/>
          <w:w w:val="105"/>
        </w:rPr>
        <w:t xml:space="preserve">AGAINST  </w:t>
      </w:r>
      <w:r>
        <w:rPr>
          <w:color w:val="231F20"/>
          <w:spacing w:val="3"/>
          <w:w w:val="105"/>
        </w:rPr>
        <w:t xml:space="preserve">THE </w:t>
      </w:r>
      <w:r>
        <w:rPr>
          <w:color w:val="231F20"/>
          <w:w w:val="105"/>
        </w:rPr>
        <w:t xml:space="preserve">PIGS as  A PERSON </w:t>
      </w:r>
      <w:r>
        <w:rPr>
          <w:color w:val="231F20"/>
          <w:spacing w:val="1"/>
          <w:w w:val="105"/>
        </w:rPr>
        <w:t xml:space="preserve">STRUGGLING </w:t>
      </w:r>
      <w:r>
        <w:rPr>
          <w:color w:val="231F20"/>
          <w:w w:val="105"/>
        </w:rPr>
        <w:t xml:space="preserve">FOR </w:t>
      </w:r>
      <w:r>
        <w:rPr>
          <w:color w:val="231F20"/>
          <w:spacing w:val="3"/>
          <w:w w:val="105"/>
        </w:rPr>
        <w:t xml:space="preserve">THE </w:t>
      </w:r>
      <w:r>
        <w:rPr>
          <w:color w:val="231F20"/>
          <w:w w:val="105"/>
        </w:rPr>
        <w:t xml:space="preserve">LIBERATION OF </w:t>
      </w:r>
      <w:r>
        <w:rPr>
          <w:color w:val="231F20"/>
          <w:spacing w:val="3"/>
          <w:w w:val="105"/>
        </w:rPr>
        <w:t>THE</w:t>
      </w:r>
      <w:r>
        <w:rPr>
          <w:color w:val="231F20"/>
          <w:spacing w:val="25"/>
          <w:w w:val="105"/>
        </w:rPr>
        <w:t xml:space="preserve"> </w:t>
      </w:r>
      <w:r>
        <w:rPr>
          <w:color w:val="231F20"/>
          <w:w w:val="105"/>
        </w:rPr>
        <w:t>PEO-</w:t>
      </w:r>
    </w:p>
    <w:p w14:paraId="15E171AD" w14:textId="77777777" w:rsidR="002653E8" w:rsidRDefault="003115E3">
      <w:pPr>
        <w:pStyle w:val="a3"/>
        <w:spacing w:line="264" w:lineRule="auto"/>
        <w:ind w:left="1148" w:right="1327" w:hanging="1"/>
        <w:jc w:val="both"/>
      </w:pPr>
      <w:r>
        <w:rPr>
          <w:color w:val="231F20"/>
        </w:rPr>
        <w:t>PLE. As a revolutionary in struggle—with an absolute love for life: with contempt for death. That means for me: serve the people—</w:t>
      </w:r>
      <w:r w:rsidR="00C507A5">
        <w:rPr>
          <w:color w:val="231F20"/>
        </w:rPr>
        <w:t>red army faction</w:t>
      </w:r>
      <w:r>
        <w:rPr>
          <w:color w:val="231F20"/>
        </w:rPr>
        <w:t>.</w:t>
      </w:r>
    </w:p>
    <w:p w14:paraId="04D2AA08" w14:textId="77777777" w:rsidR="002653E8" w:rsidRDefault="002653E8">
      <w:pPr>
        <w:pStyle w:val="a3"/>
        <w:rPr>
          <w:sz w:val="22"/>
        </w:rPr>
      </w:pPr>
    </w:p>
    <w:p w14:paraId="20D1A084" w14:textId="77777777" w:rsidR="002653E8" w:rsidRDefault="002653E8">
      <w:pPr>
        <w:pStyle w:val="a3"/>
        <w:spacing w:before="3"/>
      </w:pPr>
    </w:p>
    <w:p w14:paraId="2507B6DB" w14:textId="77777777" w:rsidR="002653E8" w:rsidRDefault="003115E3">
      <w:pPr>
        <w:ind w:left="1148"/>
        <w:rPr>
          <w:i/>
          <w:sz w:val="20"/>
        </w:rPr>
      </w:pPr>
      <w:r>
        <w:rPr>
          <w:i/>
          <w:color w:val="231F20"/>
          <w:sz w:val="20"/>
        </w:rPr>
        <w:t xml:space="preserve">(October </w:t>
      </w:r>
      <w:r>
        <w:rPr>
          <w:rFonts w:ascii="Bookman Old Style"/>
          <w:i/>
          <w:color w:val="231F20"/>
          <w:sz w:val="20"/>
        </w:rPr>
        <w:t>31</w:t>
      </w:r>
      <w:r>
        <w:rPr>
          <w:i/>
          <w:color w:val="231F20"/>
          <w:sz w:val="20"/>
        </w:rPr>
        <w:t xml:space="preserve">, </w:t>
      </w:r>
      <w:r>
        <w:rPr>
          <w:rFonts w:ascii="Bookman Old Style"/>
          <w:i/>
          <w:color w:val="231F20"/>
          <w:sz w:val="20"/>
        </w:rPr>
        <w:t>1974</w:t>
      </w:r>
      <w:r>
        <w:rPr>
          <w:i/>
          <w:color w:val="231F20"/>
          <w:sz w:val="20"/>
        </w:rPr>
        <w:t>)</w:t>
      </w:r>
    </w:p>
    <w:p w14:paraId="33FEAD4D" w14:textId="77777777" w:rsidR="002653E8" w:rsidRDefault="003115E3">
      <w:pPr>
        <w:pStyle w:val="a3"/>
        <w:spacing w:before="21" w:line="264" w:lineRule="auto"/>
        <w:ind w:left="1147" w:right="1325"/>
        <w:jc w:val="both"/>
      </w:pPr>
      <w:r>
        <w:rPr>
          <w:color w:val="231F20"/>
          <w:spacing w:val="-3"/>
        </w:rPr>
        <w:t xml:space="preserve">It’s </w:t>
      </w:r>
      <w:r>
        <w:rPr>
          <w:color w:val="231F20"/>
        </w:rPr>
        <w:t>obviously bullshit, just like Berlin (previously, it sounded a lot bet</w:t>
      </w:r>
      <w:r>
        <w:rPr>
          <w:color w:val="231F20"/>
          <w:spacing w:val="1"/>
        </w:rPr>
        <w:t>ter—a</w:t>
      </w:r>
      <w:r>
        <w:rPr>
          <w:color w:val="231F20"/>
          <w:spacing w:val="-6"/>
        </w:rPr>
        <w:t xml:space="preserve"> </w:t>
      </w:r>
      <w:r>
        <w:rPr>
          <w:color w:val="231F20"/>
        </w:rPr>
        <w:t>leap</w:t>
      </w:r>
      <w:r>
        <w:rPr>
          <w:color w:val="231F20"/>
          <w:spacing w:val="-6"/>
        </w:rPr>
        <w:t xml:space="preserve"> </w:t>
      </w:r>
      <w:r>
        <w:rPr>
          <w:color w:val="231F20"/>
        </w:rPr>
        <w:t>forward)—because</w:t>
      </w:r>
      <w:r>
        <w:rPr>
          <w:color w:val="231F20"/>
          <w:spacing w:val="-6"/>
        </w:rPr>
        <w:t xml:space="preserve"> </w:t>
      </w:r>
      <w:r>
        <w:rPr>
          <w:color w:val="231F20"/>
        </w:rPr>
        <w:t>I</w:t>
      </w:r>
      <w:r>
        <w:rPr>
          <w:color w:val="231F20"/>
          <w:spacing w:val="-6"/>
        </w:rPr>
        <w:t xml:space="preserve"> </w:t>
      </w:r>
      <w:r>
        <w:rPr>
          <w:color w:val="231F20"/>
        </w:rPr>
        <w:t>believed</w:t>
      </w:r>
      <w:r>
        <w:rPr>
          <w:color w:val="231F20"/>
          <w:spacing w:val="-6"/>
        </w:rPr>
        <w:t xml:space="preserve"> </w:t>
      </w:r>
      <w:r>
        <w:rPr>
          <w:color w:val="231F20"/>
        </w:rPr>
        <w:t>it</w:t>
      </w:r>
      <w:r>
        <w:rPr>
          <w:color w:val="231F20"/>
          <w:spacing w:val="-6"/>
        </w:rPr>
        <w:t xml:space="preserve"> </w:t>
      </w:r>
      <w:r>
        <w:rPr>
          <w:color w:val="231F20"/>
        </w:rPr>
        <w:t>to</w:t>
      </w:r>
      <w:r>
        <w:rPr>
          <w:color w:val="231F20"/>
          <w:spacing w:val="-6"/>
        </w:rPr>
        <w:t xml:space="preserve"> </w:t>
      </w:r>
      <w:r>
        <w:rPr>
          <w:color w:val="231F20"/>
        </w:rPr>
        <w:t>be</w:t>
      </w:r>
      <w:r>
        <w:rPr>
          <w:color w:val="231F20"/>
          <w:spacing w:val="-6"/>
        </w:rPr>
        <w:t xml:space="preserve"> </w:t>
      </w:r>
      <w:r>
        <w:rPr>
          <w:color w:val="231F20"/>
        </w:rPr>
        <w:t>her</w:t>
      </w:r>
      <w:r>
        <w:rPr>
          <w:color w:val="231F20"/>
          <w:spacing w:val="-6"/>
        </w:rPr>
        <w:t xml:space="preserve"> </w:t>
      </w:r>
      <w:r>
        <w:rPr>
          <w:color w:val="231F20"/>
        </w:rPr>
        <w:t>strategy</w:t>
      </w:r>
      <w:r>
        <w:rPr>
          <w:color w:val="231F20"/>
          <w:spacing w:val="-6"/>
        </w:rPr>
        <w:t xml:space="preserve"> </w:t>
      </w:r>
      <w:r>
        <w:rPr>
          <w:color w:val="231F20"/>
        </w:rPr>
        <w:t>as</w:t>
      </w:r>
      <w:r>
        <w:rPr>
          <w:color w:val="231F20"/>
          <w:spacing w:val="-6"/>
        </w:rPr>
        <w:t xml:space="preserve"> </w:t>
      </w:r>
      <w:r>
        <w:rPr>
          <w:color w:val="231F20"/>
        </w:rPr>
        <w:t>well:</w:t>
      </w:r>
      <w:r>
        <w:rPr>
          <w:color w:val="231F20"/>
          <w:spacing w:val="-6"/>
        </w:rPr>
        <w:t xml:space="preserve"> </w:t>
      </w:r>
      <w:r>
        <w:rPr>
          <w:color w:val="231F20"/>
        </w:rPr>
        <w:t>let her do it, it will soon come to a crisis, a few notable acts of swinishness in that regard: Stuttgart, Berlin starved out, Hamburg fattened up, testing and timely attack, otherwise the calculated fostering of contradictions—“to crack</w:t>
      </w:r>
      <w:r>
        <w:rPr>
          <w:color w:val="231F20"/>
          <w:spacing w:val="22"/>
        </w:rPr>
        <w:t xml:space="preserve"> </w:t>
      </w:r>
      <w:r>
        <w:rPr>
          <w:color w:val="231F20"/>
        </w:rPr>
        <w:t>them.”</w:t>
      </w:r>
    </w:p>
    <w:p w14:paraId="4C4B3039" w14:textId="77777777" w:rsidR="002653E8" w:rsidRDefault="003115E3">
      <w:pPr>
        <w:pStyle w:val="a3"/>
        <w:spacing w:line="228" w:lineRule="exact"/>
        <w:ind w:left="1357"/>
      </w:pPr>
      <w:r>
        <w:rPr>
          <w:color w:val="231F20"/>
          <w:w w:val="105"/>
        </w:rPr>
        <w:t>So far.</w:t>
      </w:r>
    </w:p>
    <w:p w14:paraId="7B85DEF5" w14:textId="77777777" w:rsidR="002653E8" w:rsidRDefault="003115E3">
      <w:pPr>
        <w:pStyle w:val="a3"/>
        <w:spacing w:before="22" w:line="264" w:lineRule="auto"/>
        <w:ind w:left="1148" w:right="1326" w:firstLine="209"/>
        <w:jc w:val="both"/>
      </w:pPr>
      <w:r>
        <w:rPr>
          <w:color w:val="231F20"/>
          <w:spacing w:val="1"/>
        </w:rPr>
        <w:t xml:space="preserve">Uh </w:t>
      </w:r>
      <w:r>
        <w:rPr>
          <w:color w:val="231F20"/>
        </w:rPr>
        <w:t xml:space="preserve">huh, </w:t>
      </w:r>
      <w:r>
        <w:rPr>
          <w:color w:val="231F20"/>
          <w:spacing w:val="-3"/>
        </w:rPr>
        <w:t xml:space="preserve">it’s </w:t>
      </w:r>
      <w:r>
        <w:rPr>
          <w:color w:val="231F20"/>
        </w:rPr>
        <w:t xml:space="preserve">up  to  us.  Anyway  it  is  also  </w:t>
      </w:r>
      <w:r>
        <w:rPr>
          <w:color w:val="231F20"/>
          <w:spacing w:val="1"/>
        </w:rPr>
        <w:t xml:space="preserve">OUR STRUGGLE. </w:t>
      </w:r>
      <w:r>
        <w:rPr>
          <w:color w:val="231F20"/>
        </w:rPr>
        <w:t>The  key  is the unwavering struggle of each guerilla individually and within the ranks</w:t>
      </w:r>
      <w:r>
        <w:rPr>
          <w:color w:val="231F20"/>
          <w:spacing w:val="11"/>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collective.</w:t>
      </w:r>
      <w:r>
        <w:rPr>
          <w:color w:val="231F20"/>
          <w:spacing w:val="11"/>
        </w:rPr>
        <w:t xml:space="preserve"> </w:t>
      </w:r>
      <w:r>
        <w:rPr>
          <w:color w:val="231F20"/>
        </w:rPr>
        <w:t>Victory</w:t>
      </w:r>
      <w:r>
        <w:rPr>
          <w:color w:val="231F20"/>
          <w:spacing w:val="11"/>
        </w:rPr>
        <w:t xml:space="preserve"> </w:t>
      </w:r>
      <w:r>
        <w:rPr>
          <w:color w:val="231F20"/>
        </w:rPr>
        <w:t>or</w:t>
      </w:r>
      <w:r>
        <w:rPr>
          <w:color w:val="231F20"/>
          <w:spacing w:val="11"/>
        </w:rPr>
        <w:t xml:space="preserve"> </w:t>
      </w:r>
      <w:r>
        <w:rPr>
          <w:color w:val="231F20"/>
        </w:rPr>
        <w:t>death—really.</w:t>
      </w:r>
    </w:p>
    <w:p w14:paraId="59C75E8E" w14:textId="77777777" w:rsidR="002653E8" w:rsidRDefault="003115E3">
      <w:pPr>
        <w:pStyle w:val="a3"/>
        <w:spacing w:line="231" w:lineRule="exact"/>
        <w:ind w:left="1358"/>
      </w:pPr>
      <w:r>
        <w:rPr>
          <w:color w:val="231F20"/>
        </w:rPr>
        <w:t>Then</w:t>
      </w:r>
    </w:p>
    <w:p w14:paraId="508349AC" w14:textId="77777777" w:rsidR="002653E8" w:rsidRDefault="003115E3">
      <w:pPr>
        <w:pStyle w:val="a3"/>
        <w:spacing w:before="22" w:line="264" w:lineRule="auto"/>
        <w:ind w:left="1147" w:right="1326" w:firstLine="210"/>
        <w:jc w:val="both"/>
      </w:pPr>
      <w:r>
        <w:rPr>
          <w:color w:val="231F20"/>
        </w:rPr>
        <w:t xml:space="preserve">Everything is very easy—to </w:t>
      </w:r>
      <w:r>
        <w:rPr>
          <w:color w:val="231F20"/>
          <w:spacing w:val="-5"/>
        </w:rPr>
        <w:t xml:space="preserve">say. </w:t>
      </w:r>
      <w:r>
        <w:rPr>
          <w:color w:val="231F20"/>
        </w:rPr>
        <w:t xml:space="preserve">Because </w:t>
      </w:r>
      <w:r>
        <w:rPr>
          <w:color w:val="231F20"/>
          <w:spacing w:val="-3"/>
        </w:rPr>
        <w:t xml:space="preserve">it’s </w:t>
      </w:r>
      <w:r>
        <w:rPr>
          <w:color w:val="231F20"/>
        </w:rPr>
        <w:t xml:space="preserve">the </w:t>
      </w:r>
      <w:r>
        <w:rPr>
          <w:color w:val="231F20"/>
          <w:spacing w:val="1"/>
        </w:rPr>
        <w:t xml:space="preserve">TRUTH: </w:t>
      </w:r>
      <w:r>
        <w:rPr>
          <w:color w:val="231F20"/>
        </w:rPr>
        <w:t xml:space="preserve">whatever </w:t>
      </w:r>
      <w:r>
        <w:rPr>
          <w:color w:val="231F20"/>
          <w:spacing w:val="-1"/>
          <w:w w:val="104"/>
        </w:rPr>
        <w:t>o</w:t>
      </w:r>
      <w:r>
        <w:rPr>
          <w:color w:val="231F20"/>
          <w:spacing w:val="-1"/>
          <w:w w:val="99"/>
        </w:rPr>
        <w:t>n</w:t>
      </w:r>
      <w:r>
        <w:rPr>
          <w:color w:val="231F20"/>
          <w:w w:val="91"/>
        </w:rPr>
        <w:t>e</w:t>
      </w:r>
      <w:r>
        <w:rPr>
          <w:color w:val="231F20"/>
        </w:rPr>
        <w:t xml:space="preserve">  </w:t>
      </w:r>
      <w:r>
        <w:rPr>
          <w:color w:val="231F20"/>
          <w:spacing w:val="-6"/>
        </w:rPr>
        <w:t xml:space="preserve"> </w:t>
      </w:r>
      <w:r>
        <w:rPr>
          <w:color w:val="231F20"/>
          <w:spacing w:val="1"/>
        </w:rPr>
        <w:t>h</w:t>
      </w:r>
      <w:r>
        <w:rPr>
          <w:color w:val="231F20"/>
          <w:w w:val="102"/>
        </w:rPr>
        <w:t>a</w:t>
      </w:r>
      <w:r>
        <w:rPr>
          <w:color w:val="231F20"/>
          <w:w w:val="90"/>
        </w:rPr>
        <w:t>s</w:t>
      </w:r>
      <w:r>
        <w:rPr>
          <w:color w:val="231F20"/>
        </w:rPr>
        <w:t xml:space="preserve">  </w:t>
      </w:r>
      <w:r>
        <w:rPr>
          <w:color w:val="231F20"/>
          <w:spacing w:val="-6"/>
        </w:rPr>
        <w:t xml:space="preserve"> </w:t>
      </w:r>
      <w:r>
        <w:rPr>
          <w:color w:val="231F20"/>
          <w:spacing w:val="-2"/>
          <w:w w:val="99"/>
        </w:rPr>
        <w:t>n</w:t>
      </w:r>
      <w:r>
        <w:rPr>
          <w:color w:val="231F20"/>
          <w:spacing w:val="-1"/>
          <w:w w:val="104"/>
        </w:rPr>
        <w:t>o</w:t>
      </w:r>
      <w:r>
        <w:rPr>
          <w:color w:val="231F20"/>
          <w:w w:val="98"/>
        </w:rPr>
        <w:t>t</w:t>
      </w:r>
      <w:r>
        <w:rPr>
          <w:color w:val="231F20"/>
        </w:rPr>
        <w:t xml:space="preserve">  </w:t>
      </w:r>
      <w:r>
        <w:rPr>
          <w:color w:val="231F20"/>
          <w:spacing w:val="-6"/>
        </w:rPr>
        <w:t xml:space="preserve"> </w:t>
      </w:r>
      <w:r>
        <w:rPr>
          <w:color w:val="231F20"/>
          <w:spacing w:val="-1"/>
          <w:w w:val="91"/>
        </w:rPr>
        <w:t>e</w:t>
      </w:r>
      <w:r>
        <w:rPr>
          <w:color w:val="231F20"/>
          <w:spacing w:val="3"/>
          <w:w w:val="115"/>
        </w:rPr>
        <w:t>x</w:t>
      </w:r>
      <w:r>
        <w:rPr>
          <w:color w:val="231F20"/>
          <w:spacing w:val="1"/>
          <w:w w:val="99"/>
        </w:rPr>
        <w:t>p</w:t>
      </w:r>
      <w:r>
        <w:rPr>
          <w:color w:val="231F20"/>
          <w:w w:val="92"/>
        </w:rPr>
        <w:t>e</w:t>
      </w:r>
      <w:r>
        <w:rPr>
          <w:color w:val="231F20"/>
          <w:spacing w:val="1"/>
          <w:w w:val="92"/>
        </w:rPr>
        <w:t>r</w:t>
      </w:r>
      <w:r>
        <w:rPr>
          <w:color w:val="231F20"/>
          <w:spacing w:val="-1"/>
        </w:rPr>
        <w:t>i</w:t>
      </w:r>
      <w:r>
        <w:rPr>
          <w:color w:val="231F20"/>
          <w:w w:val="91"/>
        </w:rPr>
        <w:t>e</w:t>
      </w:r>
      <w:r>
        <w:rPr>
          <w:color w:val="231F20"/>
          <w:w w:val="99"/>
        </w:rPr>
        <w:t>n</w:t>
      </w:r>
      <w:r>
        <w:rPr>
          <w:color w:val="231F20"/>
          <w:spacing w:val="1"/>
        </w:rPr>
        <w:t>c</w:t>
      </w:r>
      <w:r>
        <w:rPr>
          <w:color w:val="231F20"/>
          <w:w w:val="91"/>
        </w:rPr>
        <w:t>e</w:t>
      </w:r>
      <w:r>
        <w:rPr>
          <w:color w:val="231F20"/>
          <w:spacing w:val="8"/>
        </w:rPr>
        <w:t>d</w:t>
      </w:r>
      <w:r>
        <w:rPr>
          <w:color w:val="231F20"/>
          <w:spacing w:val="-5"/>
          <w:w w:val="56"/>
        </w:rPr>
        <w:t>/</w:t>
      </w:r>
      <w:r>
        <w:rPr>
          <w:color w:val="231F20"/>
          <w:w w:val="91"/>
        </w:rPr>
        <w:t>e</w:t>
      </w:r>
      <w:r>
        <w:rPr>
          <w:color w:val="231F20"/>
          <w:spacing w:val="-1"/>
          <w:w w:val="99"/>
        </w:rPr>
        <w:t>n</w:t>
      </w:r>
      <w:r>
        <w:rPr>
          <w:color w:val="231F20"/>
          <w:spacing w:val="-3"/>
        </w:rPr>
        <w:t>d</w:t>
      </w:r>
      <w:r>
        <w:rPr>
          <w:color w:val="231F20"/>
          <w:spacing w:val="3"/>
        </w:rPr>
        <w:t>u</w:t>
      </w:r>
      <w:r>
        <w:rPr>
          <w:color w:val="231F20"/>
          <w:spacing w:val="-1"/>
          <w:w w:val="94"/>
        </w:rPr>
        <w:t>r</w:t>
      </w:r>
      <w:r>
        <w:rPr>
          <w:color w:val="231F20"/>
          <w:w w:val="91"/>
        </w:rPr>
        <w:t>e</w:t>
      </w:r>
      <w:r>
        <w:rPr>
          <w:color w:val="231F20"/>
          <w:spacing w:val="8"/>
        </w:rPr>
        <w:t>d</w:t>
      </w:r>
      <w:r>
        <w:rPr>
          <w:color w:val="231F20"/>
          <w:spacing w:val="-5"/>
          <w:w w:val="56"/>
        </w:rPr>
        <w:t>/</w:t>
      </w:r>
      <w:r>
        <w:rPr>
          <w:color w:val="231F20"/>
          <w:spacing w:val="-3"/>
          <w:w w:val="104"/>
        </w:rPr>
        <w:t>o</w:t>
      </w:r>
      <w:r>
        <w:rPr>
          <w:color w:val="231F20"/>
          <w:spacing w:val="-2"/>
          <w:w w:val="99"/>
        </w:rPr>
        <w:t>v</w:t>
      </w:r>
      <w:r>
        <w:rPr>
          <w:color w:val="231F20"/>
          <w:w w:val="92"/>
        </w:rPr>
        <w:t>e</w:t>
      </w:r>
      <w:r>
        <w:rPr>
          <w:color w:val="231F20"/>
          <w:spacing w:val="-1"/>
          <w:w w:val="92"/>
        </w:rPr>
        <w:t>r</w:t>
      </w:r>
      <w:r>
        <w:rPr>
          <w:color w:val="231F20"/>
        </w:rPr>
        <w:t>c</w:t>
      </w:r>
      <w:r>
        <w:rPr>
          <w:color w:val="231F20"/>
          <w:spacing w:val="-1"/>
          <w:w w:val="104"/>
        </w:rPr>
        <w:t>o</w:t>
      </w:r>
      <w:r>
        <w:rPr>
          <w:color w:val="231F20"/>
          <w:w w:val="99"/>
        </w:rPr>
        <w:t>m</w:t>
      </w:r>
      <w:r>
        <w:rPr>
          <w:color w:val="231F20"/>
          <w:spacing w:val="7"/>
          <w:w w:val="91"/>
        </w:rPr>
        <w:t>e</w:t>
      </w:r>
      <w:r>
        <w:rPr>
          <w:color w:val="231F20"/>
          <w:spacing w:val="10"/>
        </w:rPr>
        <w:t>—</w:t>
      </w:r>
      <w:r>
        <w:rPr>
          <w:color w:val="231F20"/>
          <w:spacing w:val="-1"/>
          <w:w w:val="104"/>
        </w:rPr>
        <w:t>o</w:t>
      </w:r>
      <w:r>
        <w:rPr>
          <w:color w:val="231F20"/>
          <w:spacing w:val="-1"/>
          <w:w w:val="99"/>
        </w:rPr>
        <w:t>n</w:t>
      </w:r>
      <w:r>
        <w:rPr>
          <w:color w:val="231F20"/>
          <w:w w:val="91"/>
        </w:rPr>
        <w:t>e</w:t>
      </w:r>
      <w:r>
        <w:rPr>
          <w:color w:val="231F20"/>
        </w:rPr>
        <w:t xml:space="preserve">  </w:t>
      </w:r>
      <w:r>
        <w:rPr>
          <w:color w:val="231F20"/>
          <w:spacing w:val="-6"/>
        </w:rPr>
        <w:t xml:space="preserve"> </w:t>
      </w:r>
      <w:r>
        <w:rPr>
          <w:color w:val="231F20"/>
          <w:spacing w:val="2"/>
        </w:rPr>
        <w:t>c</w:t>
      </w:r>
      <w:r>
        <w:rPr>
          <w:color w:val="231F20"/>
          <w:spacing w:val="2"/>
          <w:w w:val="102"/>
        </w:rPr>
        <w:t>a</w:t>
      </w:r>
      <w:r>
        <w:rPr>
          <w:color w:val="231F20"/>
          <w:spacing w:val="3"/>
          <w:w w:val="99"/>
        </w:rPr>
        <w:t>n</w:t>
      </w:r>
      <w:r>
        <w:rPr>
          <w:color w:val="231F20"/>
          <w:spacing w:val="-2"/>
          <w:w w:val="99"/>
        </w:rPr>
        <w:t>n</w:t>
      </w:r>
      <w:r>
        <w:rPr>
          <w:color w:val="231F20"/>
          <w:spacing w:val="-1"/>
          <w:w w:val="104"/>
        </w:rPr>
        <w:t>o</w:t>
      </w:r>
      <w:r>
        <w:rPr>
          <w:color w:val="231F20"/>
          <w:w w:val="98"/>
        </w:rPr>
        <w:t>t</w:t>
      </w:r>
      <w:r>
        <w:rPr>
          <w:color w:val="231F20"/>
        </w:rPr>
        <w:t xml:space="preserve">  </w:t>
      </w:r>
      <w:r>
        <w:rPr>
          <w:color w:val="231F20"/>
          <w:spacing w:val="-6"/>
        </w:rPr>
        <w:t xml:space="preserve"> </w:t>
      </w:r>
      <w:r>
        <w:rPr>
          <w:color w:val="231F20"/>
          <w:spacing w:val="3"/>
          <w:w w:val="106"/>
        </w:rPr>
        <w:t>k</w:t>
      </w:r>
      <w:r>
        <w:rPr>
          <w:color w:val="231F20"/>
          <w:spacing w:val="-2"/>
          <w:w w:val="99"/>
        </w:rPr>
        <w:t>n</w:t>
      </w:r>
      <w:r>
        <w:rPr>
          <w:color w:val="231F20"/>
          <w:spacing w:val="-3"/>
          <w:w w:val="104"/>
        </w:rPr>
        <w:t>o</w:t>
      </w:r>
      <w:r>
        <w:rPr>
          <w:color w:val="231F20"/>
          <w:spacing w:val="1"/>
        </w:rPr>
        <w:t>w</w:t>
      </w:r>
      <w:r>
        <w:rPr>
          <w:color w:val="231F20"/>
          <w:spacing w:val="5"/>
        </w:rPr>
        <w:t>—</w:t>
      </w:r>
      <w:r>
        <w:rPr>
          <w:color w:val="231F20"/>
          <w:spacing w:val="2"/>
        </w:rPr>
        <w:t>i</w:t>
      </w:r>
      <w:r>
        <w:rPr>
          <w:color w:val="231F20"/>
          <w:w w:val="109"/>
        </w:rPr>
        <w:t xml:space="preserve">f </w:t>
      </w:r>
      <w:r>
        <w:rPr>
          <w:color w:val="231F20"/>
          <w:spacing w:val="-2"/>
        </w:rPr>
        <w:t>i</w:t>
      </w:r>
      <w:r>
        <w:rPr>
          <w:color w:val="231F20"/>
          <w:w w:val="98"/>
        </w:rPr>
        <w:t>t</w:t>
      </w:r>
      <w:r>
        <w:rPr>
          <w:color w:val="231F20"/>
        </w:rPr>
        <w:t xml:space="preserve">  </w:t>
      </w:r>
      <w:r>
        <w:rPr>
          <w:color w:val="231F20"/>
          <w:spacing w:val="11"/>
        </w:rPr>
        <w:t xml:space="preserve"> </w:t>
      </w:r>
      <w:r>
        <w:rPr>
          <w:color w:val="231F20"/>
          <w:spacing w:val="1"/>
        </w:rPr>
        <w:t>h</w:t>
      </w:r>
      <w:r>
        <w:rPr>
          <w:color w:val="231F20"/>
          <w:w w:val="102"/>
        </w:rPr>
        <w:t>a</w:t>
      </w:r>
      <w:r>
        <w:rPr>
          <w:color w:val="231F20"/>
          <w:w w:val="90"/>
        </w:rPr>
        <w:t>s</w:t>
      </w:r>
      <w:r>
        <w:rPr>
          <w:color w:val="231F20"/>
        </w:rPr>
        <w:t xml:space="preserve">  </w:t>
      </w:r>
      <w:r>
        <w:rPr>
          <w:color w:val="231F20"/>
          <w:spacing w:val="11"/>
        </w:rPr>
        <w:t xml:space="preserve"> </w:t>
      </w:r>
      <w:r>
        <w:rPr>
          <w:color w:val="231F20"/>
          <w:spacing w:val="-2"/>
          <w:w w:val="99"/>
        </w:rPr>
        <w:t>n</w:t>
      </w:r>
      <w:r>
        <w:rPr>
          <w:color w:val="231F20"/>
          <w:spacing w:val="-1"/>
          <w:w w:val="104"/>
        </w:rPr>
        <w:t>o</w:t>
      </w:r>
      <w:r>
        <w:rPr>
          <w:color w:val="231F20"/>
          <w:w w:val="98"/>
        </w:rPr>
        <w:t>t</w:t>
      </w:r>
      <w:r>
        <w:rPr>
          <w:color w:val="231F20"/>
        </w:rPr>
        <w:t xml:space="preserve">  </w:t>
      </w:r>
      <w:r>
        <w:rPr>
          <w:color w:val="231F20"/>
          <w:spacing w:val="11"/>
        </w:rPr>
        <w:t xml:space="preserve"> </w:t>
      </w:r>
      <w:r>
        <w:rPr>
          <w:color w:val="231F20"/>
          <w:spacing w:val="1"/>
          <w:w w:val="101"/>
        </w:rPr>
        <w:t>b</w:t>
      </w:r>
      <w:r>
        <w:rPr>
          <w:color w:val="231F20"/>
          <w:spacing w:val="1"/>
          <w:w w:val="91"/>
        </w:rPr>
        <w:t>e</w:t>
      </w:r>
      <w:r>
        <w:rPr>
          <w:color w:val="231F20"/>
          <w:w w:val="91"/>
        </w:rPr>
        <w:t>e</w:t>
      </w:r>
      <w:r>
        <w:rPr>
          <w:color w:val="231F20"/>
          <w:w w:val="99"/>
        </w:rPr>
        <w:t>n</w:t>
      </w:r>
      <w:r>
        <w:rPr>
          <w:color w:val="231F20"/>
        </w:rPr>
        <w:t xml:space="preserve">  </w:t>
      </w:r>
      <w:r>
        <w:rPr>
          <w:color w:val="231F20"/>
          <w:spacing w:val="11"/>
        </w:rPr>
        <w:t xml:space="preserve"> </w:t>
      </w:r>
      <w:r>
        <w:rPr>
          <w:color w:val="231F20"/>
          <w:spacing w:val="5"/>
          <w:w w:val="106"/>
        </w:rPr>
        <w:t>E</w:t>
      </w:r>
      <w:r>
        <w:rPr>
          <w:color w:val="231F20"/>
          <w:spacing w:val="7"/>
          <w:w w:val="160"/>
        </w:rPr>
        <w:t>x</w:t>
      </w:r>
      <w:r>
        <w:rPr>
          <w:color w:val="231F20"/>
          <w:spacing w:val="-1"/>
          <w:w w:val="97"/>
        </w:rPr>
        <w:t>P</w:t>
      </w:r>
      <w:r>
        <w:rPr>
          <w:color w:val="231F20"/>
          <w:spacing w:val="3"/>
          <w:w w:val="106"/>
        </w:rPr>
        <w:t>E</w:t>
      </w:r>
      <w:r>
        <w:rPr>
          <w:color w:val="231F20"/>
          <w:spacing w:val="8"/>
          <w:w w:val="116"/>
        </w:rPr>
        <w:t>R</w:t>
      </w:r>
      <w:r>
        <w:rPr>
          <w:color w:val="231F20"/>
          <w:spacing w:val="6"/>
          <w:w w:val="102"/>
        </w:rPr>
        <w:t>I</w:t>
      </w:r>
      <w:r>
        <w:rPr>
          <w:color w:val="231F20"/>
          <w:spacing w:val="5"/>
          <w:w w:val="114"/>
        </w:rPr>
        <w:t>E</w:t>
      </w:r>
      <w:r>
        <w:rPr>
          <w:color w:val="231F20"/>
          <w:w w:val="114"/>
        </w:rPr>
        <w:t>N</w:t>
      </w:r>
      <w:r>
        <w:rPr>
          <w:color w:val="231F20"/>
          <w:spacing w:val="5"/>
          <w:w w:val="117"/>
        </w:rPr>
        <w:t>CE</w:t>
      </w:r>
      <w:r>
        <w:rPr>
          <w:color w:val="231F20"/>
          <w:w w:val="117"/>
        </w:rPr>
        <w:t>D</w:t>
      </w:r>
      <w:r>
        <w:rPr>
          <w:color w:val="231F20"/>
          <w:spacing w:val="10"/>
          <w:w w:val="56"/>
        </w:rPr>
        <w:t>/</w:t>
      </w:r>
      <w:r>
        <w:rPr>
          <w:color w:val="231F20"/>
          <w:spacing w:val="5"/>
          <w:w w:val="114"/>
        </w:rPr>
        <w:t>E</w:t>
      </w:r>
      <w:r>
        <w:rPr>
          <w:color w:val="231F20"/>
          <w:spacing w:val="7"/>
          <w:w w:val="114"/>
        </w:rPr>
        <w:t>N</w:t>
      </w:r>
      <w:r>
        <w:rPr>
          <w:color w:val="231F20"/>
          <w:w w:val="117"/>
        </w:rPr>
        <w:t>D</w:t>
      </w:r>
      <w:r>
        <w:rPr>
          <w:color w:val="231F20"/>
          <w:spacing w:val="7"/>
          <w:w w:val="111"/>
        </w:rPr>
        <w:t>U</w:t>
      </w:r>
      <w:r>
        <w:rPr>
          <w:color w:val="231F20"/>
          <w:spacing w:val="7"/>
          <w:w w:val="116"/>
        </w:rPr>
        <w:t>R</w:t>
      </w:r>
      <w:r>
        <w:rPr>
          <w:color w:val="231F20"/>
          <w:spacing w:val="5"/>
          <w:w w:val="106"/>
        </w:rPr>
        <w:t>E</w:t>
      </w:r>
      <w:r>
        <w:rPr>
          <w:color w:val="231F20"/>
          <w:w w:val="117"/>
        </w:rPr>
        <w:t>D</w:t>
      </w:r>
      <w:r>
        <w:rPr>
          <w:color w:val="231F20"/>
          <w:w w:val="56"/>
        </w:rPr>
        <w:t>/</w:t>
      </w:r>
      <w:r>
        <w:rPr>
          <w:color w:val="231F20"/>
          <w:spacing w:val="-8"/>
          <w:w w:val="127"/>
        </w:rPr>
        <w:t>O</w:t>
      </w:r>
      <w:r>
        <w:rPr>
          <w:color w:val="231F20"/>
          <w:spacing w:val="8"/>
          <w:w w:val="119"/>
        </w:rPr>
        <w:t>V</w:t>
      </w:r>
      <w:r>
        <w:rPr>
          <w:color w:val="231F20"/>
          <w:spacing w:val="3"/>
          <w:w w:val="106"/>
        </w:rPr>
        <w:t>E</w:t>
      </w:r>
      <w:r>
        <w:rPr>
          <w:color w:val="231F20"/>
          <w:spacing w:val="-7"/>
          <w:w w:val="116"/>
        </w:rPr>
        <w:t>R</w:t>
      </w:r>
      <w:r>
        <w:rPr>
          <w:color w:val="231F20"/>
          <w:spacing w:val="2"/>
          <w:w w:val="128"/>
        </w:rPr>
        <w:t>C</w:t>
      </w:r>
      <w:r>
        <w:rPr>
          <w:color w:val="231F20"/>
          <w:spacing w:val="-3"/>
          <w:w w:val="127"/>
        </w:rPr>
        <w:t>O</w:t>
      </w:r>
      <w:r>
        <w:rPr>
          <w:color w:val="231F20"/>
          <w:spacing w:val="6"/>
          <w:w w:val="122"/>
        </w:rPr>
        <w:t>M</w:t>
      </w:r>
      <w:r>
        <w:rPr>
          <w:color w:val="231F20"/>
          <w:spacing w:val="11"/>
          <w:w w:val="106"/>
        </w:rPr>
        <w:t>E</w:t>
      </w:r>
      <w:r>
        <w:rPr>
          <w:color w:val="231F20"/>
          <w:spacing w:val="10"/>
        </w:rPr>
        <w:t>—</w:t>
      </w:r>
      <w:r>
        <w:rPr>
          <w:color w:val="231F20"/>
          <w:spacing w:val="-1"/>
          <w:w w:val="104"/>
        </w:rPr>
        <w:t>o</w:t>
      </w:r>
      <w:r>
        <w:rPr>
          <w:color w:val="231F20"/>
          <w:spacing w:val="3"/>
          <w:w w:val="99"/>
        </w:rPr>
        <w:t>n</w:t>
      </w:r>
      <w:r>
        <w:rPr>
          <w:color w:val="231F20"/>
          <w:spacing w:val="-2"/>
          <w:w w:val="102"/>
        </w:rPr>
        <w:t>l</w:t>
      </w:r>
      <w:r>
        <w:rPr>
          <w:color w:val="231F20"/>
          <w:w w:val="99"/>
        </w:rPr>
        <w:t xml:space="preserve">y </w:t>
      </w:r>
      <w:r>
        <w:rPr>
          <w:color w:val="231F20"/>
        </w:rPr>
        <w:t>thought, said, known. Simply the difference between consciousness and being.</w:t>
      </w:r>
      <w:r>
        <w:rPr>
          <w:color w:val="231F20"/>
          <w:spacing w:val="13"/>
        </w:rPr>
        <w:t xml:space="preserve"> </w:t>
      </w:r>
      <w:r>
        <w:rPr>
          <w:color w:val="231F20"/>
        </w:rPr>
        <w:t>That</w:t>
      </w:r>
      <w:r>
        <w:rPr>
          <w:color w:val="231F20"/>
          <w:spacing w:val="13"/>
        </w:rPr>
        <w:t xml:space="preserve"> </w:t>
      </w:r>
      <w:r>
        <w:rPr>
          <w:color w:val="231F20"/>
        </w:rPr>
        <w:t>is</w:t>
      </w:r>
      <w:r>
        <w:rPr>
          <w:color w:val="231F20"/>
          <w:spacing w:val="13"/>
        </w:rPr>
        <w:t xml:space="preserve"> </w:t>
      </w:r>
      <w:r>
        <w:rPr>
          <w:color w:val="231F20"/>
        </w:rPr>
        <w:t>a</w:t>
      </w:r>
      <w:r>
        <w:rPr>
          <w:color w:val="231F20"/>
          <w:spacing w:val="13"/>
        </w:rPr>
        <w:t xml:space="preserve"> </w:t>
      </w:r>
      <w:r>
        <w:rPr>
          <w:color w:val="231F20"/>
          <w:spacing w:val="-5"/>
        </w:rPr>
        <w:t>FACT.</w:t>
      </w:r>
      <w:r>
        <w:rPr>
          <w:color w:val="231F20"/>
          <w:spacing w:val="13"/>
        </w:rPr>
        <w:t xml:space="preserve"> </w:t>
      </w:r>
      <w:r>
        <w:rPr>
          <w:color w:val="231F20"/>
        </w:rPr>
        <w:t>One</w:t>
      </w:r>
      <w:r>
        <w:rPr>
          <w:color w:val="231F20"/>
          <w:spacing w:val="13"/>
        </w:rPr>
        <w:t xml:space="preserve"> </w:t>
      </w:r>
      <w:r>
        <w:rPr>
          <w:color w:val="231F20"/>
        </w:rPr>
        <w:t>should</w:t>
      </w:r>
      <w:r>
        <w:rPr>
          <w:color w:val="231F20"/>
          <w:spacing w:val="13"/>
        </w:rPr>
        <w:t xml:space="preserve"> </w:t>
      </w:r>
      <w:r>
        <w:rPr>
          <w:color w:val="231F20"/>
        </w:rPr>
        <w:t>not</w:t>
      </w:r>
      <w:r>
        <w:rPr>
          <w:color w:val="231F20"/>
          <w:spacing w:val="13"/>
        </w:rPr>
        <w:t xml:space="preserve"> </w:t>
      </w:r>
      <w:r>
        <w:rPr>
          <w:color w:val="231F20"/>
        </w:rPr>
        <w:t>forget</w:t>
      </w:r>
      <w:r>
        <w:rPr>
          <w:color w:val="231F20"/>
          <w:spacing w:val="13"/>
        </w:rPr>
        <w:t xml:space="preserve"> </w:t>
      </w:r>
      <w:r>
        <w:rPr>
          <w:color w:val="231F20"/>
        </w:rPr>
        <w:t>it.</w:t>
      </w:r>
    </w:p>
    <w:p w14:paraId="57AE2E63" w14:textId="77777777" w:rsidR="002653E8" w:rsidRDefault="003115E3">
      <w:pPr>
        <w:pStyle w:val="a3"/>
        <w:spacing w:line="229" w:lineRule="exact"/>
        <w:ind w:left="1357"/>
      </w:pPr>
      <w:r>
        <w:rPr>
          <w:color w:val="231F20"/>
        </w:rPr>
        <w:t>First and foremost, we are victorious when we win.</w:t>
      </w:r>
    </w:p>
    <w:p w14:paraId="5036832D" w14:textId="77777777" w:rsidR="002653E8" w:rsidRDefault="003115E3">
      <w:pPr>
        <w:pStyle w:val="a3"/>
        <w:spacing w:before="23" w:line="264" w:lineRule="auto"/>
        <w:ind w:left="1147" w:right="1326" w:firstLine="210"/>
        <w:jc w:val="both"/>
      </w:pPr>
      <w:r>
        <w:rPr>
          <w:color w:val="231F20"/>
          <w:spacing w:val="-8"/>
          <w:w w:val="105"/>
        </w:rPr>
        <w:t>To</w:t>
      </w:r>
      <w:r>
        <w:rPr>
          <w:color w:val="231F20"/>
          <w:spacing w:val="-16"/>
          <w:w w:val="105"/>
        </w:rPr>
        <w:t xml:space="preserve"> </w:t>
      </w:r>
      <w:r>
        <w:rPr>
          <w:color w:val="231F20"/>
          <w:w w:val="105"/>
        </w:rPr>
        <w:t>make</w:t>
      </w:r>
      <w:r>
        <w:rPr>
          <w:color w:val="231F20"/>
          <w:spacing w:val="-16"/>
          <w:w w:val="105"/>
        </w:rPr>
        <w:t xml:space="preserve"> </w:t>
      </w:r>
      <w:r>
        <w:rPr>
          <w:color w:val="231F20"/>
          <w:w w:val="105"/>
        </w:rPr>
        <w:t>it</w:t>
      </w:r>
      <w:r>
        <w:rPr>
          <w:color w:val="231F20"/>
          <w:spacing w:val="-16"/>
          <w:w w:val="105"/>
        </w:rPr>
        <w:t xml:space="preserve"> </w:t>
      </w:r>
      <w:r>
        <w:rPr>
          <w:color w:val="231F20"/>
          <w:w w:val="105"/>
        </w:rPr>
        <w:t>crystal</w:t>
      </w:r>
      <w:r>
        <w:rPr>
          <w:color w:val="231F20"/>
          <w:spacing w:val="-16"/>
          <w:w w:val="105"/>
        </w:rPr>
        <w:t xml:space="preserve"> </w:t>
      </w:r>
      <w:r>
        <w:rPr>
          <w:color w:val="231F20"/>
          <w:w w:val="105"/>
        </w:rPr>
        <w:t>clear:</w:t>
      </w:r>
      <w:r>
        <w:rPr>
          <w:color w:val="231F20"/>
          <w:spacing w:val="-16"/>
          <w:w w:val="105"/>
        </w:rPr>
        <w:t xml:space="preserve"> </w:t>
      </w:r>
      <w:r>
        <w:rPr>
          <w:color w:val="231F20"/>
          <w:w w:val="105"/>
        </w:rPr>
        <w:t>I</w:t>
      </w:r>
      <w:r>
        <w:rPr>
          <w:color w:val="231F20"/>
          <w:spacing w:val="-16"/>
          <w:w w:val="105"/>
        </w:rPr>
        <w:t xml:space="preserve"> </w:t>
      </w:r>
      <w:r>
        <w:rPr>
          <w:color w:val="231F20"/>
          <w:w w:val="105"/>
        </w:rPr>
        <w:t>did</w:t>
      </w:r>
      <w:r>
        <w:rPr>
          <w:color w:val="231F20"/>
          <w:spacing w:val="-16"/>
          <w:w w:val="105"/>
        </w:rPr>
        <w:t xml:space="preserve"> </w:t>
      </w:r>
      <w:r>
        <w:rPr>
          <w:color w:val="231F20"/>
          <w:w w:val="105"/>
        </w:rPr>
        <w:t>not</w:t>
      </w:r>
      <w:r>
        <w:rPr>
          <w:color w:val="231F20"/>
          <w:spacing w:val="-16"/>
          <w:w w:val="105"/>
        </w:rPr>
        <w:t xml:space="preserve"> </w:t>
      </w:r>
      <w:r>
        <w:rPr>
          <w:color w:val="231F20"/>
          <w:w w:val="105"/>
        </w:rPr>
        <w:t>give</w:t>
      </w:r>
      <w:r>
        <w:rPr>
          <w:color w:val="231F20"/>
          <w:spacing w:val="-16"/>
          <w:w w:val="105"/>
        </w:rPr>
        <w:t xml:space="preserve"> </w:t>
      </w:r>
      <w:r>
        <w:rPr>
          <w:color w:val="231F20"/>
          <w:w w:val="105"/>
        </w:rPr>
        <w:t>a</w:t>
      </w:r>
      <w:r>
        <w:rPr>
          <w:color w:val="231F20"/>
          <w:spacing w:val="-16"/>
          <w:w w:val="105"/>
        </w:rPr>
        <w:t xml:space="preserve"> </w:t>
      </w:r>
      <w:r>
        <w:rPr>
          <w:color w:val="231F20"/>
          <w:w w:val="105"/>
        </w:rPr>
        <w:t>report</w:t>
      </w:r>
      <w:r>
        <w:rPr>
          <w:color w:val="231F20"/>
          <w:spacing w:val="-16"/>
          <w:w w:val="105"/>
        </w:rPr>
        <w:t xml:space="preserve"> </w:t>
      </w:r>
      <w:r>
        <w:rPr>
          <w:color w:val="231F20"/>
          <w:w w:val="105"/>
        </w:rPr>
        <w:t>about</w:t>
      </w:r>
      <w:r>
        <w:rPr>
          <w:color w:val="231F20"/>
          <w:spacing w:val="-16"/>
          <w:w w:val="105"/>
        </w:rPr>
        <w:t xml:space="preserve"> </w:t>
      </w:r>
      <w:r>
        <w:rPr>
          <w:color w:val="231F20"/>
          <w:w w:val="105"/>
        </w:rPr>
        <w:t>force-feeding</w:t>
      </w:r>
      <w:r>
        <w:rPr>
          <w:color w:val="231F20"/>
          <w:spacing w:val="-16"/>
          <w:w w:val="105"/>
        </w:rPr>
        <w:t xml:space="preserve"> </w:t>
      </w:r>
      <w:r>
        <w:rPr>
          <w:color w:val="231F20"/>
          <w:w w:val="105"/>
        </w:rPr>
        <w:t xml:space="preserve">to </w:t>
      </w:r>
      <w:r>
        <w:rPr>
          <w:i/>
          <w:color w:val="231F20"/>
          <w:w w:val="105"/>
        </w:rPr>
        <w:t>Informationsdienst</w:t>
      </w:r>
      <w:r>
        <w:rPr>
          <w:color w:val="231F20"/>
          <w:w w:val="105"/>
        </w:rPr>
        <w:t>. Not a word from me in that direction. For the ad. SO WHO? I want to know</w:t>
      </w:r>
      <w:r>
        <w:rPr>
          <w:color w:val="231F20"/>
          <w:spacing w:val="10"/>
          <w:w w:val="105"/>
        </w:rPr>
        <w:t xml:space="preserve"> </w:t>
      </w:r>
      <w:r>
        <w:rPr>
          <w:color w:val="231F20"/>
          <w:spacing w:val="-5"/>
          <w:w w:val="105"/>
        </w:rPr>
        <w:t>now.</w:t>
      </w:r>
    </w:p>
    <w:p w14:paraId="56532ED0" w14:textId="77777777" w:rsidR="002653E8" w:rsidRDefault="002653E8">
      <w:pPr>
        <w:spacing w:line="264" w:lineRule="auto"/>
        <w:jc w:val="both"/>
        <w:sectPr w:rsidR="002653E8">
          <w:pgSz w:w="8640" w:h="12960"/>
          <w:pgMar w:top="1060" w:right="0" w:bottom="1040" w:left="0" w:header="0" w:footer="850" w:gutter="0"/>
          <w:cols w:space="720"/>
        </w:sectPr>
      </w:pPr>
    </w:p>
    <w:p w14:paraId="5037B6C1" w14:textId="77777777" w:rsidR="002653E8" w:rsidRDefault="003115E3">
      <w:pPr>
        <w:pStyle w:val="a3"/>
        <w:spacing w:before="86" w:line="264" w:lineRule="auto"/>
        <w:ind w:left="1328" w:right="1145" w:firstLine="209"/>
        <w:jc w:val="both"/>
      </w:pPr>
      <w:r>
        <w:rPr>
          <w:color w:val="231F20"/>
        </w:rPr>
        <w:lastRenderedPageBreak/>
        <w:t>Regarding the claim about the ban on the tube and  this  appointment of a certified doctor for force-feeding that I’ve heard about in the same way as you in Hamburg: previously, I had no idea. It suddenly cropped up.</w:t>
      </w:r>
    </w:p>
    <w:p w14:paraId="046AF81D" w14:textId="77777777" w:rsidR="002653E8" w:rsidRDefault="003115E3">
      <w:pPr>
        <w:pStyle w:val="a3"/>
        <w:spacing w:line="264" w:lineRule="auto"/>
        <w:ind w:left="1327" w:right="1145" w:firstLine="210"/>
        <w:jc w:val="both"/>
      </w:pPr>
      <w:r>
        <w:rPr>
          <w:color w:val="231F20"/>
        </w:rPr>
        <w:t xml:space="preserve">That is exactly the problem with the lawyers: that they have no idea what we want or how to get it, </w:t>
      </w:r>
      <w:r>
        <w:rPr>
          <w:color w:val="231F20"/>
          <w:spacing w:val="5"/>
        </w:rPr>
        <w:t xml:space="preserve">WE </w:t>
      </w:r>
      <w:r>
        <w:rPr>
          <w:color w:val="231F20"/>
        </w:rPr>
        <w:t xml:space="preserve">and the </w:t>
      </w:r>
      <w:r>
        <w:rPr>
          <w:color w:val="231F20"/>
          <w:spacing w:val="1"/>
        </w:rPr>
        <w:t xml:space="preserve">STRUGGLE, </w:t>
      </w:r>
      <w:r>
        <w:rPr>
          <w:color w:val="231F20"/>
        </w:rPr>
        <w:t xml:space="preserve">for example, they ABOVE </w:t>
      </w:r>
      <w:r>
        <w:rPr>
          <w:color w:val="231F20"/>
          <w:spacing w:val="2"/>
        </w:rPr>
        <w:t xml:space="preserve">ALL </w:t>
      </w:r>
      <w:r>
        <w:rPr>
          <w:color w:val="231F20"/>
          <w:spacing w:val="-3"/>
        </w:rPr>
        <w:t xml:space="preserve">don’t </w:t>
      </w:r>
      <w:r>
        <w:rPr>
          <w:color w:val="231F20"/>
        </w:rPr>
        <w:t xml:space="preserve">understand the hunger strike, their advocacy </w:t>
      </w:r>
      <w:r>
        <w:rPr>
          <w:color w:val="231F20"/>
          <w:spacing w:val="1"/>
        </w:rPr>
        <w:t>h</w:t>
      </w:r>
      <w:r>
        <w:rPr>
          <w:color w:val="231F20"/>
          <w:w w:val="102"/>
        </w:rPr>
        <w:t>a</w:t>
      </w:r>
      <w:r>
        <w:rPr>
          <w:color w:val="231F20"/>
          <w:w w:val="90"/>
        </w:rPr>
        <w:t>s</w:t>
      </w:r>
      <w:r>
        <w:rPr>
          <w:color w:val="231F20"/>
          <w:spacing w:val="10"/>
        </w:rPr>
        <w:t xml:space="preserve"> </w:t>
      </w:r>
      <w:r>
        <w:rPr>
          <w:color w:val="231F20"/>
          <w:w w:val="102"/>
        </w:rPr>
        <w:t>a</w:t>
      </w:r>
      <w:r>
        <w:rPr>
          <w:color w:val="231F20"/>
          <w:spacing w:val="10"/>
        </w:rPr>
        <w:t xml:space="preserve"> </w:t>
      </w:r>
      <w:r>
        <w:rPr>
          <w:color w:val="231F20"/>
          <w:spacing w:val="2"/>
          <w:w w:val="102"/>
        </w:rPr>
        <w:t>l</w:t>
      </w:r>
      <w:r>
        <w:rPr>
          <w:color w:val="231F20"/>
          <w:spacing w:val="3"/>
        </w:rPr>
        <w:t>i</w:t>
      </w:r>
      <w:r>
        <w:rPr>
          <w:color w:val="231F20"/>
          <w:spacing w:val="3"/>
          <w:w w:val="99"/>
        </w:rPr>
        <w:t>m</w:t>
      </w:r>
      <w:r>
        <w:rPr>
          <w:color w:val="231F20"/>
          <w:spacing w:val="-2"/>
        </w:rPr>
        <w:t>i</w:t>
      </w:r>
      <w:r>
        <w:rPr>
          <w:color w:val="231F20"/>
          <w:w w:val="98"/>
        </w:rPr>
        <w:t>t</w:t>
      </w:r>
      <w:r>
        <w:rPr>
          <w:color w:val="231F20"/>
          <w:w w:val="91"/>
        </w:rPr>
        <w:t>e</w:t>
      </w:r>
      <w:r>
        <w:rPr>
          <w:color w:val="231F20"/>
        </w:rPr>
        <w:t>d</w:t>
      </w:r>
      <w:r>
        <w:rPr>
          <w:color w:val="231F20"/>
          <w:spacing w:val="10"/>
        </w:rPr>
        <w:t xml:space="preserve"> </w:t>
      </w:r>
      <w:r>
        <w:rPr>
          <w:color w:val="231F20"/>
          <w:spacing w:val="-2"/>
        </w:rPr>
        <w:t>h</w:t>
      </w:r>
      <w:r>
        <w:rPr>
          <w:color w:val="231F20"/>
          <w:spacing w:val="-1"/>
          <w:w w:val="104"/>
        </w:rPr>
        <w:t>o</w:t>
      </w:r>
      <w:r>
        <w:rPr>
          <w:color w:val="231F20"/>
          <w:spacing w:val="1"/>
          <w:w w:val="94"/>
        </w:rPr>
        <w:t>r</w:t>
      </w:r>
      <w:r>
        <w:rPr>
          <w:color w:val="231F20"/>
          <w:spacing w:val="3"/>
        </w:rPr>
        <w:t>i</w:t>
      </w:r>
      <w:r>
        <w:rPr>
          <w:color w:val="231F20"/>
          <w:w w:val="97"/>
        </w:rPr>
        <w:t>z</w:t>
      </w:r>
      <w:r>
        <w:rPr>
          <w:color w:val="231F20"/>
          <w:spacing w:val="-1"/>
          <w:w w:val="104"/>
        </w:rPr>
        <w:t>o</w:t>
      </w:r>
      <w:r>
        <w:rPr>
          <w:color w:val="231F20"/>
          <w:w w:val="99"/>
        </w:rPr>
        <w:t>n</w:t>
      </w:r>
      <w:r>
        <w:rPr>
          <w:color w:val="231F20"/>
          <w:w w:val="105"/>
        </w:rPr>
        <w:t>:</w:t>
      </w:r>
      <w:r>
        <w:rPr>
          <w:color w:val="231F20"/>
          <w:spacing w:val="10"/>
        </w:rPr>
        <w:t xml:space="preserve"> </w:t>
      </w:r>
      <w:r>
        <w:rPr>
          <w:color w:val="231F20"/>
          <w:spacing w:val="-2"/>
          <w:w w:val="104"/>
        </w:rPr>
        <w:t>o</w:t>
      </w:r>
      <w:r>
        <w:rPr>
          <w:color w:val="231F20"/>
          <w:spacing w:val="6"/>
          <w:w w:val="109"/>
        </w:rPr>
        <w:t>f</w:t>
      </w:r>
      <w:r>
        <w:rPr>
          <w:color w:val="231F20"/>
          <w:w w:val="95"/>
        </w:rPr>
        <w:t>f</w:t>
      </w:r>
      <w:r>
        <w:rPr>
          <w:color w:val="231F20"/>
          <w:spacing w:val="1"/>
          <w:w w:val="95"/>
        </w:rPr>
        <w:t>i</w:t>
      </w:r>
      <w:r>
        <w:rPr>
          <w:color w:val="231F20"/>
          <w:spacing w:val="1"/>
        </w:rPr>
        <w:t>c</w:t>
      </w:r>
      <w:r>
        <w:rPr>
          <w:color w:val="231F20"/>
          <w:spacing w:val="5"/>
          <w:w w:val="91"/>
        </w:rPr>
        <w:t>e</w:t>
      </w:r>
      <w:r>
        <w:rPr>
          <w:color w:val="231F20"/>
          <w:spacing w:val="-5"/>
          <w:w w:val="56"/>
        </w:rPr>
        <w:t>/</w:t>
      </w:r>
      <w:r>
        <w:rPr>
          <w:color w:val="231F20"/>
        </w:rPr>
        <w:t>c</w:t>
      </w:r>
      <w:r>
        <w:rPr>
          <w:color w:val="231F20"/>
          <w:spacing w:val="-2"/>
          <w:w w:val="104"/>
        </w:rPr>
        <w:t>o</w:t>
      </w:r>
      <w:r>
        <w:rPr>
          <w:color w:val="231F20"/>
          <w:spacing w:val="3"/>
        </w:rPr>
        <w:t>u</w:t>
      </w:r>
      <w:r>
        <w:rPr>
          <w:color w:val="231F20"/>
          <w:spacing w:val="5"/>
          <w:w w:val="94"/>
        </w:rPr>
        <w:t>r</w:t>
      </w:r>
      <w:r>
        <w:rPr>
          <w:color w:val="231F20"/>
          <w:spacing w:val="3"/>
          <w:w w:val="98"/>
        </w:rPr>
        <w:t>t</w:t>
      </w:r>
      <w:r>
        <w:rPr>
          <w:color w:val="231F20"/>
          <w:w w:val="135"/>
        </w:rPr>
        <w:t>,</w:t>
      </w:r>
      <w:r>
        <w:rPr>
          <w:color w:val="231F20"/>
          <w:spacing w:val="10"/>
        </w:rPr>
        <w:t xml:space="preserve"> </w:t>
      </w:r>
      <w:r>
        <w:rPr>
          <w:color w:val="231F20"/>
          <w:spacing w:val="1"/>
          <w:w w:val="91"/>
        </w:rPr>
        <w:t>e</w:t>
      </w:r>
      <w:r>
        <w:rPr>
          <w:color w:val="231F20"/>
          <w:w w:val="98"/>
        </w:rPr>
        <w:t>t</w:t>
      </w:r>
      <w:r>
        <w:rPr>
          <w:color w:val="231F20"/>
        </w:rPr>
        <w:t>c</w:t>
      </w:r>
      <w:r>
        <w:rPr>
          <w:color w:val="231F20"/>
          <w:w w:val="135"/>
        </w:rPr>
        <w:t>.</w:t>
      </w:r>
    </w:p>
    <w:p w14:paraId="16BD1687" w14:textId="77777777" w:rsidR="002653E8" w:rsidRDefault="003115E3">
      <w:pPr>
        <w:pStyle w:val="a3"/>
        <w:spacing w:line="264" w:lineRule="auto"/>
        <w:ind w:left="1327" w:right="1147" w:firstLine="210"/>
        <w:jc w:val="both"/>
      </w:pPr>
      <w:r>
        <w:rPr>
          <w:color w:val="231F20"/>
        </w:rPr>
        <w:t xml:space="preserve">And on the other hand, I mainly think that they block it out. So I  really </w:t>
      </w:r>
      <w:r>
        <w:rPr>
          <w:color w:val="231F20"/>
          <w:spacing w:val="-3"/>
        </w:rPr>
        <w:t xml:space="preserve">don’t </w:t>
      </w:r>
      <w:r>
        <w:rPr>
          <w:color w:val="231F20"/>
        </w:rPr>
        <w:t>see the point, and that is the problem if one doesn’t really pay</w:t>
      </w:r>
      <w:r>
        <w:rPr>
          <w:color w:val="231F20"/>
          <w:spacing w:val="10"/>
        </w:rPr>
        <w:t xml:space="preserve"> </w:t>
      </w:r>
      <w:r>
        <w:rPr>
          <w:color w:val="231F20"/>
        </w:rPr>
        <w:t>attention.</w:t>
      </w:r>
    </w:p>
    <w:p w14:paraId="6F15F00A" w14:textId="77777777" w:rsidR="002653E8" w:rsidRDefault="003115E3">
      <w:pPr>
        <w:pStyle w:val="a3"/>
        <w:spacing w:line="264" w:lineRule="auto"/>
        <w:ind w:left="1327" w:right="1146" w:firstLine="210"/>
        <w:jc w:val="both"/>
      </w:pPr>
      <w:r>
        <w:rPr>
          <w:color w:val="231F20"/>
        </w:rPr>
        <w:t>The tube issue is, of course, complete bullshit. It is really unnecessary. So it changes nothing.</w:t>
      </w:r>
    </w:p>
    <w:p w14:paraId="37A695E9" w14:textId="77777777" w:rsidR="002653E8" w:rsidRDefault="003115E3">
      <w:pPr>
        <w:pStyle w:val="a3"/>
        <w:spacing w:line="264" w:lineRule="auto"/>
        <w:ind w:left="1327" w:right="1146" w:firstLine="210"/>
        <w:jc w:val="both"/>
      </w:pPr>
      <w:r>
        <w:rPr>
          <w:color w:val="231F20"/>
        </w:rPr>
        <w:t>Beyond</w:t>
      </w:r>
      <w:r>
        <w:rPr>
          <w:color w:val="231F20"/>
          <w:spacing w:val="-13"/>
        </w:rPr>
        <w:t xml:space="preserve"> </w:t>
      </w:r>
      <w:r>
        <w:rPr>
          <w:color w:val="231F20"/>
        </w:rPr>
        <w:t>that,</w:t>
      </w:r>
      <w:r>
        <w:rPr>
          <w:color w:val="231F20"/>
          <w:spacing w:val="-13"/>
        </w:rPr>
        <w:t xml:space="preserve"> </w:t>
      </w:r>
      <w:r>
        <w:rPr>
          <w:color w:val="231F20"/>
        </w:rPr>
        <w:t>the</w:t>
      </w:r>
      <w:r>
        <w:rPr>
          <w:color w:val="231F20"/>
          <w:spacing w:val="-13"/>
        </w:rPr>
        <w:t xml:space="preserve"> </w:t>
      </w:r>
      <w:r>
        <w:rPr>
          <w:color w:val="231F20"/>
        </w:rPr>
        <w:t>hunger</w:t>
      </w:r>
      <w:r>
        <w:rPr>
          <w:color w:val="231F20"/>
          <w:spacing w:val="-13"/>
        </w:rPr>
        <w:t xml:space="preserve"> </w:t>
      </w:r>
      <w:r>
        <w:rPr>
          <w:color w:val="231F20"/>
        </w:rPr>
        <w:t>strike:</w:t>
      </w:r>
      <w:r>
        <w:rPr>
          <w:color w:val="231F20"/>
          <w:spacing w:val="-13"/>
        </w:rPr>
        <w:t xml:space="preserve"> </w:t>
      </w:r>
      <w:r>
        <w:rPr>
          <w:color w:val="231F20"/>
        </w:rPr>
        <w:t>here</w:t>
      </w:r>
      <w:r>
        <w:rPr>
          <w:color w:val="231F20"/>
          <w:spacing w:val="-13"/>
        </w:rPr>
        <w:t xml:space="preserve"> </w:t>
      </w:r>
      <w:r>
        <w:rPr>
          <w:color w:val="231F20"/>
        </w:rPr>
        <w:t>things</w:t>
      </w:r>
      <w:r>
        <w:rPr>
          <w:color w:val="231F20"/>
          <w:spacing w:val="-13"/>
        </w:rPr>
        <w:t xml:space="preserve"> </w:t>
      </w:r>
      <w:r>
        <w:rPr>
          <w:color w:val="231F20"/>
        </w:rPr>
        <w:t>are</w:t>
      </w:r>
      <w:r>
        <w:rPr>
          <w:color w:val="231F20"/>
          <w:spacing w:val="-13"/>
        </w:rPr>
        <w:t xml:space="preserve"> </w:t>
      </w:r>
      <w:r>
        <w:rPr>
          <w:color w:val="231F20"/>
        </w:rPr>
        <w:t>really</w:t>
      </w:r>
      <w:r>
        <w:rPr>
          <w:color w:val="231F20"/>
          <w:spacing w:val="-13"/>
        </w:rPr>
        <w:t xml:space="preserve"> </w:t>
      </w:r>
      <w:r>
        <w:rPr>
          <w:color w:val="231F20"/>
        </w:rPr>
        <w:t>moving</w:t>
      </w:r>
      <w:r>
        <w:rPr>
          <w:color w:val="231F20"/>
          <w:spacing w:val="-13"/>
        </w:rPr>
        <w:t xml:space="preserve"> </w:t>
      </w:r>
      <w:r>
        <w:rPr>
          <w:color w:val="231F20"/>
        </w:rPr>
        <w:t xml:space="preserve">quickly— faster than I can write. Now I’m </w:t>
      </w:r>
      <w:r>
        <w:rPr>
          <w:color w:val="231F20"/>
          <w:spacing w:val="-4"/>
        </w:rPr>
        <w:t xml:space="preserve">46.8. </w:t>
      </w:r>
      <w:r>
        <w:rPr>
          <w:color w:val="231F20"/>
          <w:spacing w:val="-5"/>
        </w:rPr>
        <w:t xml:space="preserve">140-150 </w:t>
      </w:r>
      <w:r>
        <w:rPr>
          <w:color w:val="231F20"/>
        </w:rPr>
        <w:t xml:space="preserve">g daily (I’ve been weighing myself since the 28th—naturally, only when only I will know the outcome). I ingest 400 calories daily. The doctor-pig claims 1200: three tablespoons per </w:t>
      </w:r>
      <w:r>
        <w:rPr>
          <w:color w:val="231F20"/>
          <w:spacing w:val="1"/>
        </w:rPr>
        <w:t xml:space="preserve">400—that </w:t>
      </w:r>
      <w:r>
        <w:rPr>
          <w:color w:val="231F20"/>
        </w:rPr>
        <w:t>is the case: three tablespoons = 400 (I have seen</w:t>
      </w:r>
      <w:r>
        <w:rPr>
          <w:color w:val="231F20"/>
          <w:spacing w:val="10"/>
        </w:rPr>
        <w:t xml:space="preserve"> </w:t>
      </w:r>
      <w:r>
        <w:rPr>
          <w:color w:val="231F20"/>
        </w:rPr>
        <w:t>a</w:t>
      </w:r>
      <w:r>
        <w:rPr>
          <w:color w:val="231F20"/>
          <w:spacing w:val="10"/>
        </w:rPr>
        <w:t xml:space="preserve"> </w:t>
      </w:r>
      <w:r>
        <w:rPr>
          <w:color w:val="231F20"/>
        </w:rPr>
        <w:t>copy</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original</w:t>
      </w:r>
      <w:r>
        <w:rPr>
          <w:color w:val="231F20"/>
          <w:spacing w:val="10"/>
        </w:rPr>
        <w:t xml:space="preserve"> </w:t>
      </w:r>
      <w:r>
        <w:rPr>
          <w:color w:val="231F20"/>
        </w:rPr>
        <w:t>with</w:t>
      </w:r>
      <w:r>
        <w:rPr>
          <w:color w:val="231F20"/>
          <w:spacing w:val="10"/>
        </w:rPr>
        <w:t xml:space="preserve"> </w:t>
      </w:r>
      <w:r>
        <w:rPr>
          <w:color w:val="231F20"/>
        </w:rPr>
        <w:t>my</w:t>
      </w:r>
      <w:r>
        <w:rPr>
          <w:color w:val="231F20"/>
          <w:spacing w:val="10"/>
        </w:rPr>
        <w:t xml:space="preserve"> </w:t>
      </w:r>
      <w:r>
        <w:rPr>
          <w:color w:val="231F20"/>
        </w:rPr>
        <w:t>own</w:t>
      </w:r>
      <w:r>
        <w:rPr>
          <w:color w:val="231F20"/>
          <w:spacing w:val="10"/>
        </w:rPr>
        <w:t xml:space="preserve"> </w:t>
      </w:r>
      <w:r>
        <w:rPr>
          <w:color w:val="231F20"/>
          <w:spacing w:val="-3"/>
        </w:rPr>
        <w:t>eyes).</w:t>
      </w:r>
    </w:p>
    <w:p w14:paraId="0CD1E33D" w14:textId="77777777" w:rsidR="002653E8" w:rsidRDefault="003115E3">
      <w:pPr>
        <w:pStyle w:val="a3"/>
        <w:spacing w:line="264" w:lineRule="auto"/>
        <w:ind w:left="1328" w:right="1145" w:firstLine="209"/>
        <w:jc w:val="both"/>
      </w:pPr>
      <w:r>
        <w:rPr>
          <w:color w:val="231F20"/>
        </w:rPr>
        <w:t>But otherwise: he feels certain—one must distinguish—SW—will be relocated, he knows he’s not part of it.</w:t>
      </w:r>
    </w:p>
    <w:p w14:paraId="6B075B99" w14:textId="77777777" w:rsidR="002653E8" w:rsidRPr="00C507A5" w:rsidRDefault="003115E3">
      <w:pPr>
        <w:pStyle w:val="a3"/>
        <w:spacing w:before="105" w:line="261" w:lineRule="auto"/>
        <w:ind w:left="5887" w:right="1146" w:firstLine="409"/>
        <w:jc w:val="right"/>
        <w:rPr>
          <w:lang w:val="de-DE"/>
        </w:rPr>
      </w:pPr>
      <w:r w:rsidRPr="00C507A5">
        <w:rPr>
          <w:color w:val="231F20"/>
          <w:lang w:val="de-DE"/>
        </w:rPr>
        <w:t>Holger Meins</w:t>
      </w:r>
      <w:r w:rsidRPr="00C507A5">
        <w:rPr>
          <w:color w:val="231F20"/>
          <w:w w:val="90"/>
          <w:lang w:val="de-DE"/>
        </w:rPr>
        <w:t xml:space="preserve"> </w:t>
      </w:r>
      <w:r w:rsidRPr="00C507A5">
        <w:rPr>
          <w:color w:val="231F20"/>
          <w:lang w:val="de-DE"/>
        </w:rPr>
        <w:t>November 1, 1974</w:t>
      </w:r>
    </w:p>
    <w:p w14:paraId="1451DE84" w14:textId="77777777" w:rsidR="002653E8" w:rsidRPr="00C507A5" w:rsidRDefault="002653E8">
      <w:pPr>
        <w:spacing w:line="261" w:lineRule="auto"/>
        <w:jc w:val="right"/>
        <w:rPr>
          <w:lang w:val="de-DE"/>
        </w:rPr>
        <w:sectPr w:rsidR="002653E8" w:rsidRPr="00C507A5">
          <w:pgSz w:w="8640" w:h="12960"/>
          <w:pgMar w:top="1060" w:right="0" w:bottom="1040" w:left="0" w:header="0" w:footer="850" w:gutter="0"/>
          <w:cols w:space="720"/>
        </w:sectPr>
      </w:pPr>
    </w:p>
    <w:p w14:paraId="23D23104" w14:textId="77777777" w:rsidR="002653E8" w:rsidRPr="00C507A5" w:rsidRDefault="003115E3">
      <w:pPr>
        <w:pStyle w:val="4"/>
        <w:ind w:left="1762"/>
        <w:rPr>
          <w:lang w:val="de-DE"/>
        </w:rPr>
      </w:pPr>
      <w:bookmarkStart w:id="134" w:name="Interview_with_Spiegel_Magazine_(January"/>
      <w:bookmarkStart w:id="135" w:name="_bookmark43"/>
      <w:bookmarkEnd w:id="134"/>
      <w:bookmarkEnd w:id="135"/>
      <w:r w:rsidRPr="00C507A5">
        <w:rPr>
          <w:color w:val="231F20"/>
          <w:w w:val="105"/>
          <w:lang w:val="de-DE"/>
        </w:rPr>
        <w:lastRenderedPageBreak/>
        <w:t>Interview with Spiegel Magazine</w:t>
      </w:r>
    </w:p>
    <w:p w14:paraId="51AF2FBB" w14:textId="77777777" w:rsidR="002653E8" w:rsidRPr="00C507A5" w:rsidRDefault="002653E8">
      <w:pPr>
        <w:pStyle w:val="a3"/>
        <w:rPr>
          <w:rFonts w:ascii="Bookman Old Style"/>
          <w:sz w:val="31"/>
          <w:lang w:val="de-DE"/>
        </w:rPr>
      </w:pPr>
    </w:p>
    <w:p w14:paraId="48C70B80" w14:textId="77777777" w:rsidR="002653E8" w:rsidRDefault="003115E3">
      <w:pPr>
        <w:spacing w:before="1" w:line="261" w:lineRule="auto"/>
        <w:ind w:left="1547" w:right="1484"/>
        <w:rPr>
          <w:i/>
          <w:sz w:val="20"/>
        </w:rPr>
      </w:pPr>
      <w:r>
        <w:rPr>
          <w:i/>
          <w:color w:val="231F20"/>
          <w:sz w:val="20"/>
        </w:rPr>
        <w:t xml:space="preserve">This </w:t>
      </w:r>
      <w:r>
        <w:rPr>
          <w:i/>
          <w:color w:val="231F20"/>
          <w:spacing w:val="1"/>
          <w:sz w:val="20"/>
        </w:rPr>
        <w:t xml:space="preserve">interview </w:t>
      </w:r>
      <w:r>
        <w:rPr>
          <w:i/>
          <w:color w:val="231F20"/>
          <w:sz w:val="20"/>
        </w:rPr>
        <w:t xml:space="preserve">with Baader, Ensslin, Meinhof, and </w:t>
      </w:r>
      <w:r>
        <w:rPr>
          <w:i/>
          <w:color w:val="231F20"/>
          <w:spacing w:val="1"/>
          <w:sz w:val="20"/>
        </w:rPr>
        <w:t xml:space="preserve">Raspe </w:t>
      </w:r>
      <w:r>
        <w:rPr>
          <w:i/>
          <w:color w:val="231F20"/>
          <w:sz w:val="20"/>
        </w:rPr>
        <w:t xml:space="preserve">was published in the January </w:t>
      </w:r>
      <w:r>
        <w:rPr>
          <w:rFonts w:ascii="Bookman Old Style" w:hAnsi="Bookman Old Style"/>
          <w:i/>
          <w:color w:val="231F20"/>
          <w:spacing w:val="1"/>
          <w:sz w:val="20"/>
        </w:rPr>
        <w:t>20</w:t>
      </w:r>
      <w:r>
        <w:rPr>
          <w:i/>
          <w:color w:val="231F20"/>
          <w:spacing w:val="1"/>
          <w:sz w:val="20"/>
        </w:rPr>
        <w:t xml:space="preserve">, </w:t>
      </w:r>
      <w:r>
        <w:rPr>
          <w:rFonts w:ascii="Bookman Old Style" w:hAnsi="Bookman Old Style"/>
          <w:i/>
          <w:color w:val="231F20"/>
          <w:sz w:val="20"/>
        </w:rPr>
        <w:t>1975</w:t>
      </w:r>
      <w:r>
        <w:rPr>
          <w:i/>
          <w:color w:val="231F20"/>
          <w:sz w:val="20"/>
        </w:rPr>
        <w:t xml:space="preserve">, edition of the liberal news magazine Spiegel, </w:t>
      </w:r>
      <w:r>
        <w:rPr>
          <w:i/>
          <w:color w:val="231F20"/>
          <w:spacing w:val="1"/>
          <w:sz w:val="20"/>
        </w:rPr>
        <w:t xml:space="preserve">under </w:t>
      </w:r>
      <w:r>
        <w:rPr>
          <w:i/>
          <w:color w:val="231F20"/>
          <w:sz w:val="20"/>
        </w:rPr>
        <w:t xml:space="preserve">the title “Wir waren in </w:t>
      </w:r>
      <w:r>
        <w:rPr>
          <w:i/>
          <w:color w:val="231F20"/>
          <w:spacing w:val="1"/>
          <w:sz w:val="20"/>
        </w:rPr>
        <w:t xml:space="preserve">den </w:t>
      </w:r>
      <w:r>
        <w:rPr>
          <w:i/>
          <w:color w:val="231F20"/>
          <w:sz w:val="20"/>
        </w:rPr>
        <w:t xml:space="preserve">Durststreik treten” (We are escalating to a thirst strike). The fact  that </w:t>
      </w:r>
      <w:r>
        <w:rPr>
          <w:i/>
          <w:color w:val="231F20"/>
          <w:spacing w:val="1"/>
          <w:sz w:val="20"/>
        </w:rPr>
        <w:t xml:space="preserve">attorney Klaus </w:t>
      </w:r>
      <w:r>
        <w:rPr>
          <w:i/>
          <w:color w:val="231F20"/>
          <w:sz w:val="20"/>
        </w:rPr>
        <w:t xml:space="preserve">Croissant worked </w:t>
      </w:r>
      <w:r>
        <w:rPr>
          <w:i/>
          <w:color w:val="231F20"/>
          <w:spacing w:val="1"/>
          <w:sz w:val="20"/>
        </w:rPr>
        <w:t xml:space="preserve">as </w:t>
      </w:r>
      <w:r>
        <w:rPr>
          <w:i/>
          <w:color w:val="231F20"/>
          <w:sz w:val="20"/>
        </w:rPr>
        <w:t xml:space="preserve">an </w:t>
      </w:r>
      <w:r>
        <w:rPr>
          <w:i/>
          <w:color w:val="231F20"/>
          <w:spacing w:val="1"/>
          <w:sz w:val="20"/>
        </w:rPr>
        <w:t xml:space="preserve">intermediary </w:t>
      </w:r>
      <w:r>
        <w:rPr>
          <w:i/>
          <w:color w:val="231F20"/>
          <w:sz w:val="20"/>
        </w:rPr>
        <w:t xml:space="preserve">between Spiegel and the prisoners to facilitate this </w:t>
      </w:r>
      <w:r>
        <w:rPr>
          <w:i/>
          <w:color w:val="231F20"/>
          <w:spacing w:val="1"/>
          <w:sz w:val="20"/>
        </w:rPr>
        <w:t xml:space="preserve">interview  </w:t>
      </w:r>
      <w:r>
        <w:rPr>
          <w:i/>
          <w:color w:val="231F20"/>
          <w:sz w:val="20"/>
        </w:rPr>
        <w:t xml:space="preserve">would  be cited </w:t>
      </w:r>
      <w:r>
        <w:rPr>
          <w:i/>
          <w:color w:val="231F20"/>
          <w:spacing w:val="1"/>
          <w:sz w:val="20"/>
        </w:rPr>
        <w:t xml:space="preserve">as </w:t>
      </w:r>
      <w:r>
        <w:rPr>
          <w:i/>
          <w:color w:val="231F20"/>
          <w:sz w:val="20"/>
        </w:rPr>
        <w:t xml:space="preserve">a reason to bar him from representing  Andreas </w:t>
      </w:r>
      <w:r>
        <w:rPr>
          <w:i/>
          <w:color w:val="231F20"/>
          <w:spacing w:val="1"/>
          <w:sz w:val="20"/>
        </w:rPr>
        <w:t xml:space="preserve">Baader    </w:t>
      </w:r>
      <w:r>
        <w:rPr>
          <w:i/>
          <w:color w:val="231F20"/>
          <w:sz w:val="20"/>
        </w:rPr>
        <w:t xml:space="preserve">at  the  Stammheim  trial  </w:t>
      </w:r>
      <w:r>
        <w:rPr>
          <w:i/>
          <w:color w:val="231F20"/>
          <w:spacing w:val="1"/>
          <w:sz w:val="20"/>
        </w:rPr>
        <w:t xml:space="preserve">later </w:t>
      </w:r>
      <w:r>
        <w:rPr>
          <w:i/>
          <w:color w:val="231F20"/>
          <w:sz w:val="20"/>
        </w:rPr>
        <w:t xml:space="preserve">that  </w:t>
      </w:r>
      <w:r>
        <w:rPr>
          <w:i/>
          <w:color w:val="231F20"/>
          <w:spacing w:val="1"/>
          <w:sz w:val="20"/>
        </w:rPr>
        <w:t xml:space="preserve">year—see </w:t>
      </w:r>
      <w:r>
        <w:rPr>
          <w:i/>
          <w:color w:val="231F20"/>
          <w:sz w:val="20"/>
        </w:rPr>
        <w:t xml:space="preserve">page  </w:t>
      </w:r>
      <w:r>
        <w:rPr>
          <w:i/>
          <w:color w:val="231F20"/>
          <w:spacing w:val="2"/>
          <w:sz w:val="20"/>
        </w:rPr>
        <w:t xml:space="preserve">346. </w:t>
      </w:r>
      <w:r>
        <w:rPr>
          <w:i/>
          <w:color w:val="231F20"/>
          <w:spacing w:val="10"/>
          <w:sz w:val="20"/>
        </w:rPr>
        <w:t>(M.&amp;</w:t>
      </w:r>
      <w:r>
        <w:rPr>
          <w:i/>
          <w:color w:val="231F20"/>
          <w:spacing w:val="-10"/>
          <w:sz w:val="20"/>
        </w:rPr>
        <w:t xml:space="preserve"> </w:t>
      </w:r>
      <w:r>
        <w:rPr>
          <w:i/>
          <w:color w:val="231F20"/>
          <w:spacing w:val="1"/>
          <w:sz w:val="20"/>
        </w:rPr>
        <w:t>S.)</w:t>
      </w:r>
    </w:p>
    <w:p w14:paraId="1710FCED" w14:textId="77777777" w:rsidR="002653E8" w:rsidRDefault="002653E8">
      <w:pPr>
        <w:pStyle w:val="a3"/>
        <w:rPr>
          <w:i/>
          <w:sz w:val="22"/>
        </w:rPr>
      </w:pPr>
    </w:p>
    <w:p w14:paraId="01C3D842" w14:textId="77777777" w:rsidR="002653E8" w:rsidRDefault="003115E3">
      <w:pPr>
        <w:pStyle w:val="a3"/>
        <w:spacing w:before="155" w:line="264" w:lineRule="auto"/>
        <w:ind w:left="1148" w:right="1325" w:hanging="1"/>
        <w:jc w:val="both"/>
      </w:pPr>
      <w:r>
        <w:rPr>
          <w:i/>
          <w:color w:val="231F20"/>
        </w:rPr>
        <w:t>Spiegel</w:t>
      </w:r>
      <w:r>
        <w:rPr>
          <w:color w:val="231F20"/>
        </w:rPr>
        <w:t xml:space="preserve">: Has the </w:t>
      </w:r>
      <w:r w:rsidR="00C507A5">
        <w:rPr>
          <w:color w:val="231F20"/>
          <w:spacing w:val="5"/>
        </w:rPr>
        <w:t>red army faction</w:t>
      </w:r>
      <w:r>
        <w:rPr>
          <w:color w:val="231F20"/>
          <w:spacing w:val="5"/>
        </w:rPr>
        <w:t xml:space="preserve"> </w:t>
      </w:r>
      <w:r>
        <w:rPr>
          <w:color w:val="231F20"/>
        </w:rPr>
        <w:t>adopted a new tactic? Have the campaigns that  you prepared and led from within the prisons attracted the same interest</w:t>
      </w:r>
      <w:r>
        <w:rPr>
          <w:color w:val="231F20"/>
          <w:spacing w:val="6"/>
        </w:rPr>
        <w:t xml:space="preserve"> </w:t>
      </w:r>
      <w:r>
        <w:rPr>
          <w:color w:val="231F20"/>
        </w:rPr>
        <w:t>amongst</w:t>
      </w:r>
      <w:r>
        <w:rPr>
          <w:color w:val="231F20"/>
          <w:spacing w:val="6"/>
        </w:rPr>
        <w:t xml:space="preserve"> </w:t>
      </w:r>
      <w:r>
        <w:rPr>
          <w:color w:val="231F20"/>
        </w:rPr>
        <w:t>the</w:t>
      </w:r>
      <w:r>
        <w:rPr>
          <w:color w:val="231F20"/>
          <w:spacing w:val="6"/>
        </w:rPr>
        <w:t xml:space="preserve"> </w:t>
      </w:r>
      <w:r>
        <w:rPr>
          <w:color w:val="231F20"/>
        </w:rPr>
        <w:t>people</w:t>
      </w:r>
      <w:r>
        <w:rPr>
          <w:color w:val="231F20"/>
          <w:spacing w:val="6"/>
        </w:rPr>
        <w:t xml:space="preserve"> </w:t>
      </w:r>
      <w:r>
        <w:rPr>
          <w:color w:val="231F20"/>
        </w:rPr>
        <w:t>as</w:t>
      </w:r>
      <w:r>
        <w:rPr>
          <w:color w:val="231F20"/>
          <w:spacing w:val="6"/>
        </w:rPr>
        <w:t xml:space="preserve"> </w:t>
      </w:r>
      <w:r>
        <w:rPr>
          <w:color w:val="231F20"/>
        </w:rPr>
        <w:t>the</w:t>
      </w:r>
      <w:r>
        <w:rPr>
          <w:color w:val="231F20"/>
          <w:spacing w:val="6"/>
        </w:rPr>
        <w:t xml:space="preserve"> </w:t>
      </w:r>
      <w:r>
        <w:rPr>
          <w:color w:val="231F20"/>
        </w:rPr>
        <w:t>bombs</w:t>
      </w:r>
      <w:r>
        <w:rPr>
          <w:color w:val="231F20"/>
          <w:spacing w:val="6"/>
        </w:rPr>
        <w:t xml:space="preserve"> </w:t>
      </w:r>
      <w:r>
        <w:rPr>
          <w:color w:val="231F20"/>
        </w:rPr>
        <w:t>and</w:t>
      </w:r>
      <w:r>
        <w:rPr>
          <w:color w:val="231F20"/>
          <w:spacing w:val="6"/>
        </w:rPr>
        <w:t xml:space="preserve"> </w:t>
      </w:r>
      <w:r>
        <w:rPr>
          <w:color w:val="231F20"/>
        </w:rPr>
        <w:t>grenades</w:t>
      </w:r>
      <w:r>
        <w:rPr>
          <w:color w:val="231F20"/>
          <w:spacing w:val="6"/>
        </w:rPr>
        <w:t xml:space="preserve"> </w:t>
      </w:r>
      <w:r>
        <w:rPr>
          <w:color w:val="231F20"/>
        </w:rPr>
        <w:t>you</w:t>
      </w:r>
      <w:r>
        <w:rPr>
          <w:color w:val="231F20"/>
          <w:spacing w:val="6"/>
        </w:rPr>
        <w:t xml:space="preserve"> </w:t>
      </w:r>
      <w:r>
        <w:rPr>
          <w:color w:val="231F20"/>
        </w:rPr>
        <w:t>used</w:t>
      </w:r>
      <w:r>
        <w:rPr>
          <w:color w:val="231F20"/>
          <w:spacing w:val="6"/>
        </w:rPr>
        <w:t xml:space="preserve"> </w:t>
      </w:r>
      <w:r>
        <w:rPr>
          <w:color w:val="231F20"/>
        </w:rPr>
        <w:t>in</w:t>
      </w:r>
      <w:r>
        <w:rPr>
          <w:color w:val="231F20"/>
          <w:spacing w:val="6"/>
        </w:rPr>
        <w:t xml:space="preserve"> </w:t>
      </w:r>
      <w:r>
        <w:rPr>
          <w:color w:val="231F20"/>
          <w:spacing w:val="-4"/>
        </w:rPr>
        <w:t>1972?</w:t>
      </w:r>
    </w:p>
    <w:p w14:paraId="514C0C61" w14:textId="77777777" w:rsidR="002653E8" w:rsidRDefault="002653E8">
      <w:pPr>
        <w:pStyle w:val="a3"/>
        <w:spacing w:before="7"/>
        <w:rPr>
          <w:sz w:val="21"/>
        </w:rPr>
      </w:pPr>
    </w:p>
    <w:p w14:paraId="6D83CC1D" w14:textId="69937081" w:rsidR="002653E8" w:rsidRDefault="00C507A5">
      <w:pPr>
        <w:pStyle w:val="a3"/>
        <w:spacing w:line="264" w:lineRule="auto"/>
        <w:ind w:left="1147" w:right="1326"/>
        <w:jc w:val="both"/>
      </w:pPr>
      <w:r>
        <w:rPr>
          <w:color w:val="231F20"/>
          <w:spacing w:val="1"/>
        </w:rPr>
        <w:t>red army faction</w:t>
      </w:r>
      <w:r w:rsidR="003115E3">
        <w:rPr>
          <w:color w:val="231F20"/>
          <w:spacing w:val="1"/>
        </w:rPr>
        <w:t xml:space="preserve">: </w:t>
      </w:r>
      <w:r w:rsidR="003115E3">
        <w:rPr>
          <w:color w:val="231F20"/>
        </w:rPr>
        <w:t xml:space="preserve">It is not a matter of empty talk about tactics. </w:t>
      </w:r>
      <w:r w:rsidR="003115E3">
        <w:rPr>
          <w:color w:val="231F20"/>
          <w:spacing w:val="-5"/>
        </w:rPr>
        <w:t xml:space="preserve">We  </w:t>
      </w:r>
      <w:r w:rsidR="003115E3">
        <w:rPr>
          <w:color w:val="231F20"/>
        </w:rPr>
        <w:t xml:space="preserve">are prisoners,  and we are currently struggling with the only weapon we have left in prison and in isolation: the collective hunger strike. </w:t>
      </w:r>
      <w:r w:rsidR="003115E3">
        <w:rPr>
          <w:color w:val="231F20"/>
          <w:spacing w:val="-5"/>
        </w:rPr>
        <w:t xml:space="preserve">We  </w:t>
      </w:r>
      <w:r w:rsidR="003115E3">
        <w:rPr>
          <w:color w:val="231F20"/>
        </w:rPr>
        <w:t xml:space="preserve">are doing this  in order to break through the process of extermination in which we find ourselves—long years of social isolation. It is a life and death struggle:  if we </w:t>
      </w:r>
      <w:r w:rsidR="003115E3">
        <w:rPr>
          <w:color w:val="231F20"/>
          <w:spacing w:val="-3"/>
        </w:rPr>
        <w:t xml:space="preserve">don’t </w:t>
      </w:r>
      <w:r w:rsidR="003115E3">
        <w:rPr>
          <w:color w:val="231F20"/>
        </w:rPr>
        <w:t>succeed with this hunger strike we will either die or be psychologically and physically destroyed by brainwashing, isolation, and special</w:t>
      </w:r>
      <w:r w:rsidR="003115E3">
        <w:rPr>
          <w:color w:val="231F20"/>
          <w:spacing w:val="10"/>
        </w:rPr>
        <w:t xml:space="preserve"> </w:t>
      </w:r>
      <w:r w:rsidR="003115E3">
        <w:rPr>
          <w:color w:val="231F20"/>
        </w:rPr>
        <w:t>treatment.</w:t>
      </w:r>
    </w:p>
    <w:p w14:paraId="743A746F" w14:textId="77777777" w:rsidR="002653E8" w:rsidRDefault="002653E8">
      <w:pPr>
        <w:pStyle w:val="a3"/>
        <w:spacing w:before="2"/>
        <w:rPr>
          <w:sz w:val="21"/>
        </w:rPr>
      </w:pPr>
    </w:p>
    <w:p w14:paraId="0191C8EE" w14:textId="77777777" w:rsidR="002653E8" w:rsidRDefault="003115E3">
      <w:pPr>
        <w:pStyle w:val="a3"/>
        <w:spacing w:line="264" w:lineRule="auto"/>
        <w:ind w:left="1147" w:right="1326" w:hanging="1"/>
        <w:jc w:val="both"/>
      </w:pPr>
      <w:r>
        <w:rPr>
          <w:i/>
          <w:color w:val="231F20"/>
          <w:w w:val="105"/>
        </w:rPr>
        <w:t>Spiegel</w:t>
      </w:r>
      <w:r>
        <w:rPr>
          <w:color w:val="231F20"/>
          <w:w w:val="105"/>
        </w:rPr>
        <w:t xml:space="preserve">: Is it really a matter of ”isolation torture” or even “extermination through prison conditions”? </w:t>
      </w:r>
      <w:r>
        <w:rPr>
          <w:color w:val="231F20"/>
          <w:spacing w:val="-7"/>
          <w:w w:val="105"/>
        </w:rPr>
        <w:t xml:space="preserve">you </w:t>
      </w:r>
      <w:r>
        <w:rPr>
          <w:color w:val="231F20"/>
          <w:w w:val="105"/>
        </w:rPr>
        <w:t xml:space="preserve">read a lot of newspapers; if you like you can listen to the radio or watch television. For example, at one point Herr Baader had a library of 400 books. </w:t>
      </w:r>
      <w:r>
        <w:rPr>
          <w:color w:val="231F20"/>
          <w:spacing w:val="-7"/>
          <w:w w:val="105"/>
        </w:rPr>
        <w:t xml:space="preserve">you </w:t>
      </w:r>
      <w:r>
        <w:rPr>
          <w:color w:val="231F20"/>
          <w:w w:val="105"/>
        </w:rPr>
        <w:t>are in contact with</w:t>
      </w:r>
      <w:r>
        <w:rPr>
          <w:color w:val="231F20"/>
          <w:spacing w:val="-26"/>
          <w:w w:val="105"/>
        </w:rPr>
        <w:t xml:space="preserve"> </w:t>
      </w:r>
      <w:r>
        <w:rPr>
          <w:color w:val="231F20"/>
          <w:w w:val="105"/>
        </w:rPr>
        <w:t>other</w:t>
      </w:r>
      <w:r>
        <w:rPr>
          <w:color w:val="231F20"/>
          <w:spacing w:val="-26"/>
          <w:w w:val="105"/>
        </w:rPr>
        <w:t xml:space="preserve"> </w:t>
      </w:r>
      <w:r>
        <w:rPr>
          <w:color w:val="231F20"/>
          <w:w w:val="105"/>
        </w:rPr>
        <w:t>members</w:t>
      </w:r>
      <w:r>
        <w:rPr>
          <w:color w:val="231F20"/>
          <w:spacing w:val="-26"/>
          <w:w w:val="105"/>
        </w:rPr>
        <w:t xml:space="preserve"> </w:t>
      </w:r>
      <w:r>
        <w:rPr>
          <w:color w:val="231F20"/>
          <w:w w:val="105"/>
        </w:rPr>
        <w:t>of</w:t>
      </w:r>
      <w:r>
        <w:rPr>
          <w:color w:val="231F20"/>
          <w:spacing w:val="-26"/>
          <w:w w:val="105"/>
        </w:rPr>
        <w:t xml:space="preserve"> </w:t>
      </w:r>
      <w:r>
        <w:rPr>
          <w:color w:val="231F20"/>
          <w:w w:val="105"/>
        </w:rPr>
        <w:t>the</w:t>
      </w:r>
      <w:r>
        <w:rPr>
          <w:color w:val="231F20"/>
          <w:spacing w:val="-26"/>
          <w:w w:val="105"/>
        </w:rPr>
        <w:t xml:space="preserve"> </w:t>
      </w:r>
      <w:r w:rsidR="00C507A5">
        <w:rPr>
          <w:color w:val="231F20"/>
          <w:w w:val="105"/>
        </w:rPr>
        <w:t>red army faction</w:t>
      </w:r>
      <w:r>
        <w:rPr>
          <w:color w:val="231F20"/>
          <w:w w:val="105"/>
        </w:rPr>
        <w:t>.</w:t>
      </w:r>
      <w:r>
        <w:rPr>
          <w:color w:val="231F20"/>
          <w:spacing w:val="-26"/>
          <w:w w:val="105"/>
        </w:rPr>
        <w:t xml:space="preserve"> </w:t>
      </w:r>
      <w:r>
        <w:rPr>
          <w:color w:val="231F20"/>
          <w:spacing w:val="-7"/>
          <w:w w:val="105"/>
        </w:rPr>
        <w:t>you</w:t>
      </w:r>
      <w:r>
        <w:rPr>
          <w:color w:val="231F20"/>
          <w:spacing w:val="-26"/>
          <w:w w:val="105"/>
        </w:rPr>
        <w:t xml:space="preserve"> </w:t>
      </w:r>
      <w:r>
        <w:rPr>
          <w:color w:val="231F20"/>
          <w:w w:val="105"/>
        </w:rPr>
        <w:t>exchange</w:t>
      </w:r>
      <w:r>
        <w:rPr>
          <w:color w:val="231F20"/>
          <w:spacing w:val="-26"/>
          <w:w w:val="105"/>
        </w:rPr>
        <w:t xml:space="preserve"> </w:t>
      </w:r>
      <w:r>
        <w:rPr>
          <w:color w:val="231F20"/>
          <w:w w:val="105"/>
        </w:rPr>
        <w:t>secret</w:t>
      </w:r>
      <w:r>
        <w:rPr>
          <w:color w:val="231F20"/>
          <w:spacing w:val="-26"/>
          <w:w w:val="105"/>
        </w:rPr>
        <w:t xml:space="preserve"> </w:t>
      </w:r>
      <w:r>
        <w:rPr>
          <w:color w:val="231F20"/>
          <w:w w:val="105"/>
        </w:rPr>
        <w:t>messages</w:t>
      </w:r>
      <w:r>
        <w:rPr>
          <w:color w:val="231F20"/>
          <w:spacing w:val="-26"/>
          <w:w w:val="105"/>
        </w:rPr>
        <w:t xml:space="preserve"> </w:t>
      </w:r>
      <w:r>
        <w:rPr>
          <w:color w:val="231F20"/>
          <w:w w:val="105"/>
        </w:rPr>
        <w:t xml:space="preserve">between yourselves. </w:t>
      </w:r>
      <w:r>
        <w:rPr>
          <w:color w:val="231F20"/>
          <w:spacing w:val="-7"/>
          <w:w w:val="105"/>
        </w:rPr>
        <w:t xml:space="preserve">you </w:t>
      </w:r>
      <w:r>
        <w:rPr>
          <w:color w:val="231F20"/>
          <w:w w:val="105"/>
        </w:rPr>
        <w:t>receive visits and your lawyers come and go.</w:t>
      </w:r>
    </w:p>
    <w:p w14:paraId="50D5F6A7" w14:textId="77777777" w:rsidR="002653E8" w:rsidRDefault="002653E8">
      <w:pPr>
        <w:pStyle w:val="a3"/>
        <w:spacing w:before="4"/>
        <w:rPr>
          <w:sz w:val="21"/>
        </w:rPr>
      </w:pPr>
    </w:p>
    <w:p w14:paraId="3B64343E" w14:textId="77777777" w:rsidR="002653E8" w:rsidRDefault="00C507A5">
      <w:pPr>
        <w:pStyle w:val="a3"/>
        <w:ind w:left="1147"/>
      </w:pPr>
      <w:r>
        <w:rPr>
          <w:color w:val="231F20"/>
        </w:rPr>
        <w:t>red army faction</w:t>
      </w:r>
      <w:r w:rsidR="003115E3">
        <w:rPr>
          <w:color w:val="231F20"/>
        </w:rPr>
        <w:t>: One might wonder about these things if all they had to go by was</w:t>
      </w:r>
    </w:p>
    <w:p w14:paraId="0E351015" w14:textId="77777777" w:rsidR="002653E8" w:rsidRDefault="003115E3">
      <w:pPr>
        <w:pStyle w:val="a3"/>
        <w:spacing w:before="23"/>
        <w:ind w:left="1147"/>
      </w:pPr>
      <w:r>
        <w:rPr>
          <w:i/>
          <w:color w:val="231F20"/>
        </w:rPr>
        <w:t xml:space="preserve">Spiegel </w:t>
      </w:r>
      <w:r>
        <w:rPr>
          <w:color w:val="231F20"/>
        </w:rPr>
        <w:t>and the information put out by the state security services.</w:t>
      </w:r>
    </w:p>
    <w:p w14:paraId="24B6BC23" w14:textId="77777777" w:rsidR="002653E8" w:rsidRDefault="003115E3">
      <w:pPr>
        <w:pStyle w:val="a3"/>
        <w:spacing w:before="22" w:line="264" w:lineRule="auto"/>
        <w:ind w:left="1147" w:right="1326" w:firstLine="210"/>
        <w:jc w:val="both"/>
      </w:pPr>
      <w:r>
        <w:rPr>
          <w:color w:val="231F20"/>
        </w:rPr>
        <w:t xml:space="preserve">If one only has access to </w:t>
      </w:r>
      <w:r>
        <w:rPr>
          <w:i/>
          <w:color w:val="231F20"/>
        </w:rPr>
        <w:t xml:space="preserve">Spiegel </w:t>
      </w:r>
      <w:r>
        <w:rPr>
          <w:color w:val="231F20"/>
        </w:rPr>
        <w:t>or state security information, one might ask that. Two, three, four years of social isolation—certainly no more than that—is enough for you to realize that you are in a process of extermination. you can deal with it for months, but not years. Breaking through the institutional brainwashing-by-isolation is a question of</w:t>
      </w:r>
    </w:p>
    <w:p w14:paraId="115C61A3" w14:textId="77777777" w:rsidR="002653E8" w:rsidRDefault="002653E8">
      <w:pPr>
        <w:spacing w:line="264" w:lineRule="auto"/>
        <w:jc w:val="both"/>
        <w:sectPr w:rsidR="002653E8">
          <w:pgSz w:w="8640" w:h="12960"/>
          <w:pgMar w:top="1220" w:right="0" w:bottom="1040" w:left="0" w:header="0" w:footer="850" w:gutter="0"/>
          <w:cols w:space="720"/>
        </w:sectPr>
      </w:pPr>
    </w:p>
    <w:p w14:paraId="201A524E" w14:textId="77777777" w:rsidR="002653E8" w:rsidRDefault="003115E3">
      <w:pPr>
        <w:pStyle w:val="a3"/>
        <w:spacing w:before="86" w:line="264" w:lineRule="auto"/>
        <w:ind w:left="1327" w:right="1145"/>
        <w:jc w:val="both"/>
      </w:pPr>
      <w:r>
        <w:rPr>
          <w:color w:val="231F20"/>
        </w:rPr>
        <w:lastRenderedPageBreak/>
        <w:t>survival for us; this is the reason why the trials will go on without us.</w:t>
      </w:r>
      <w:r>
        <w:rPr>
          <w:color w:val="231F20"/>
          <w:position w:val="7"/>
          <w:sz w:val="11"/>
        </w:rPr>
        <w:t xml:space="preserve">1  </w:t>
      </w:r>
      <w:r>
        <w:rPr>
          <w:color w:val="231F20"/>
          <w:spacing w:val="-8"/>
        </w:rPr>
        <w:t xml:space="preserve">To </w:t>
      </w:r>
      <w:r>
        <w:rPr>
          <w:color w:val="231F20"/>
        </w:rPr>
        <w:t>claim that we are using the hunger strikes to make ourselves unfit for prison or unfit to appear in court—when everyone knows that the only political</w:t>
      </w:r>
      <w:r>
        <w:rPr>
          <w:color w:val="231F20"/>
          <w:spacing w:val="-6"/>
        </w:rPr>
        <w:t xml:space="preserve"> </w:t>
      </w:r>
      <w:r>
        <w:rPr>
          <w:color w:val="231F20"/>
        </w:rPr>
        <w:t>prisoners</w:t>
      </w:r>
      <w:r>
        <w:rPr>
          <w:color w:val="231F20"/>
          <w:spacing w:val="-6"/>
        </w:rPr>
        <w:t xml:space="preserve"> </w:t>
      </w:r>
      <w:r>
        <w:rPr>
          <w:color w:val="231F20"/>
        </w:rPr>
        <w:t>who</w:t>
      </w:r>
      <w:r>
        <w:rPr>
          <w:color w:val="231F20"/>
          <w:spacing w:val="-6"/>
        </w:rPr>
        <w:t xml:space="preserve"> </w:t>
      </w:r>
      <w:r>
        <w:rPr>
          <w:color w:val="231F20"/>
        </w:rPr>
        <w:t>are</w:t>
      </w:r>
      <w:r>
        <w:rPr>
          <w:color w:val="231F20"/>
          <w:spacing w:val="-6"/>
        </w:rPr>
        <w:t xml:space="preserve"> </w:t>
      </w:r>
      <w:r>
        <w:rPr>
          <w:color w:val="231F20"/>
        </w:rPr>
        <w:t>considered</w:t>
      </w:r>
      <w:r>
        <w:rPr>
          <w:color w:val="231F20"/>
          <w:spacing w:val="-6"/>
        </w:rPr>
        <w:t xml:space="preserve"> </w:t>
      </w:r>
      <w:r>
        <w:rPr>
          <w:color w:val="231F20"/>
        </w:rPr>
        <w:t>unfit</w:t>
      </w:r>
      <w:r>
        <w:rPr>
          <w:color w:val="231F20"/>
          <w:spacing w:val="-6"/>
        </w:rPr>
        <w:t xml:space="preserve"> </w:t>
      </w:r>
      <w:r>
        <w:rPr>
          <w:color w:val="231F20"/>
        </w:rPr>
        <w:t>for</w:t>
      </w:r>
      <w:r>
        <w:rPr>
          <w:color w:val="231F20"/>
          <w:spacing w:val="-6"/>
        </w:rPr>
        <w:t xml:space="preserve"> </w:t>
      </w:r>
      <w:r>
        <w:rPr>
          <w:color w:val="231F20"/>
        </w:rPr>
        <w:t>prison</w:t>
      </w:r>
      <w:r>
        <w:rPr>
          <w:color w:val="231F20"/>
          <w:spacing w:val="-6"/>
        </w:rPr>
        <w:t xml:space="preserve"> </w:t>
      </w:r>
      <w:r>
        <w:rPr>
          <w:color w:val="231F20"/>
        </w:rPr>
        <w:t>are</w:t>
      </w:r>
      <w:r>
        <w:rPr>
          <w:color w:val="231F20"/>
          <w:spacing w:val="-6"/>
        </w:rPr>
        <w:t xml:space="preserve"> </w:t>
      </w:r>
      <w:r>
        <w:rPr>
          <w:color w:val="231F20"/>
        </w:rPr>
        <w:t>those</w:t>
      </w:r>
      <w:r>
        <w:rPr>
          <w:color w:val="231F20"/>
          <w:spacing w:val="-6"/>
        </w:rPr>
        <w:t xml:space="preserve"> </w:t>
      </w:r>
      <w:r>
        <w:rPr>
          <w:color w:val="231F20"/>
        </w:rPr>
        <w:t>who</w:t>
      </w:r>
      <w:r>
        <w:rPr>
          <w:color w:val="231F20"/>
          <w:spacing w:val="-6"/>
        </w:rPr>
        <w:t xml:space="preserve"> </w:t>
      </w:r>
      <w:r>
        <w:rPr>
          <w:color w:val="231F20"/>
        </w:rPr>
        <w:t xml:space="preserve">are dead—is a countertactic, it is counterpropaganda. The </w:t>
      </w:r>
      <w:r>
        <w:rPr>
          <w:color w:val="231F20"/>
          <w:spacing w:val="-6"/>
        </w:rPr>
        <w:t xml:space="preserve">BAW </w:t>
      </w:r>
      <w:r>
        <w:rPr>
          <w:color w:val="231F20"/>
        </w:rPr>
        <w:t xml:space="preserve">has already postponed these trials for three and a half years, so that the prisoners could be broken by isolation, by the dead wings, by brainwashing, and psychiatric reconstruction. The </w:t>
      </w:r>
      <w:r>
        <w:rPr>
          <w:color w:val="231F20"/>
          <w:spacing w:val="-6"/>
        </w:rPr>
        <w:t xml:space="preserve">BAW </w:t>
      </w:r>
      <w:r>
        <w:rPr>
          <w:color w:val="231F20"/>
        </w:rPr>
        <w:t>is no longer interested in these trials taking place. Or, if they are to take place, it should only be without the accused and without their defense attorneys, because these are meant to be show trials to discredit revolutionary politics—imperialist state power is to be put on display, and Buback can only achieve this if we are not</w:t>
      </w:r>
      <w:r>
        <w:rPr>
          <w:color w:val="231F20"/>
          <w:spacing w:val="31"/>
        </w:rPr>
        <w:t xml:space="preserve"> </w:t>
      </w:r>
      <w:r>
        <w:rPr>
          <w:color w:val="231F20"/>
        </w:rPr>
        <w:t>there.</w:t>
      </w:r>
    </w:p>
    <w:p w14:paraId="2CD434A2" w14:textId="77777777" w:rsidR="002653E8" w:rsidRDefault="002653E8">
      <w:pPr>
        <w:pStyle w:val="a3"/>
        <w:spacing w:before="8"/>
      </w:pPr>
    </w:p>
    <w:p w14:paraId="63F3EA77" w14:textId="77777777" w:rsidR="002653E8" w:rsidRDefault="003115E3">
      <w:pPr>
        <w:pStyle w:val="a3"/>
        <w:spacing w:before="1" w:line="264" w:lineRule="auto"/>
        <w:ind w:left="1327" w:right="1145"/>
        <w:jc w:val="both"/>
      </w:pPr>
      <w:r>
        <w:rPr>
          <w:i/>
          <w:color w:val="231F20"/>
        </w:rPr>
        <w:t>Spiegel</w:t>
      </w:r>
      <w:r>
        <w:rPr>
          <w:color w:val="231F20"/>
        </w:rPr>
        <w:t>: Such lies don’t become more convincing, no matter how many times you repeat them; and the public understood long ago that these lies are put out in bad faith in order to sow doubts about the justice system, a goal in which you have achieved some success.</w:t>
      </w:r>
    </w:p>
    <w:p w14:paraId="1F76B93D" w14:textId="77777777" w:rsidR="002653E8" w:rsidRPr="00153EAD" w:rsidRDefault="002653E8">
      <w:pPr>
        <w:pStyle w:val="a3"/>
        <w:spacing w:before="6"/>
        <w:rPr>
          <w:sz w:val="21"/>
        </w:rPr>
      </w:pPr>
    </w:p>
    <w:p w14:paraId="28AD231E" w14:textId="77777777" w:rsidR="002653E8" w:rsidRDefault="00C507A5">
      <w:pPr>
        <w:pStyle w:val="a3"/>
        <w:spacing w:line="264" w:lineRule="auto"/>
        <w:ind w:left="1328" w:right="1145" w:hanging="1"/>
        <w:jc w:val="both"/>
      </w:pPr>
      <w:r>
        <w:rPr>
          <w:color w:val="231F20"/>
        </w:rPr>
        <w:t>red army faction</w:t>
      </w:r>
      <w:r w:rsidR="003115E3">
        <w:rPr>
          <w:color w:val="231F20"/>
        </w:rPr>
        <w:t>: Because these are facts, you can’t eliminate their political importance simply by denying them.</w:t>
      </w:r>
    </w:p>
    <w:p w14:paraId="1528F418" w14:textId="77777777" w:rsidR="002653E8" w:rsidRDefault="002653E8">
      <w:pPr>
        <w:pStyle w:val="a3"/>
        <w:spacing w:before="8"/>
        <w:rPr>
          <w:sz w:val="21"/>
        </w:rPr>
      </w:pPr>
    </w:p>
    <w:p w14:paraId="5F28E70D" w14:textId="77777777" w:rsidR="002653E8" w:rsidRDefault="003115E3">
      <w:pPr>
        <w:pStyle w:val="a3"/>
        <w:spacing w:line="264" w:lineRule="auto"/>
        <w:ind w:left="1328" w:right="1145"/>
        <w:jc w:val="both"/>
      </w:pPr>
      <w:r>
        <w:rPr>
          <w:i/>
          <w:color w:val="231F20"/>
        </w:rPr>
        <w:t>Spiegel</w:t>
      </w:r>
      <w:r>
        <w:rPr>
          <w:color w:val="231F20"/>
        </w:rPr>
        <w:t xml:space="preserve">: </w:t>
      </w:r>
      <w:r>
        <w:rPr>
          <w:color w:val="231F20"/>
          <w:spacing w:val="-7"/>
        </w:rPr>
        <w:t xml:space="preserve">you </w:t>
      </w:r>
      <w:r>
        <w:rPr>
          <w:color w:val="231F20"/>
        </w:rPr>
        <w:t>are being held in remand, having been charged with serious</w:t>
      </w:r>
      <w:r>
        <w:rPr>
          <w:color w:val="231F20"/>
          <w:spacing w:val="-4"/>
        </w:rPr>
        <w:t xml:space="preserve"> </w:t>
      </w:r>
      <w:r>
        <w:rPr>
          <w:color w:val="231F20"/>
        </w:rPr>
        <w:t>crimes</w:t>
      </w:r>
      <w:r>
        <w:rPr>
          <w:color w:val="231F20"/>
          <w:spacing w:val="-4"/>
        </w:rPr>
        <w:t xml:space="preserve"> </w:t>
      </w:r>
      <w:r>
        <w:rPr>
          <w:color w:val="231F20"/>
        </w:rPr>
        <w:t>such</w:t>
      </w:r>
      <w:r>
        <w:rPr>
          <w:color w:val="231F20"/>
          <w:spacing w:val="-4"/>
        </w:rPr>
        <w:t xml:space="preserve"> </w:t>
      </w:r>
      <w:r>
        <w:rPr>
          <w:color w:val="231F20"/>
        </w:rPr>
        <w:t>as</w:t>
      </w:r>
      <w:r>
        <w:rPr>
          <w:color w:val="231F20"/>
          <w:spacing w:val="-4"/>
        </w:rPr>
        <w:t xml:space="preserve"> </w:t>
      </w:r>
      <w:r>
        <w:rPr>
          <w:color w:val="231F20"/>
        </w:rPr>
        <w:t>murder</w:t>
      </w:r>
      <w:r>
        <w:rPr>
          <w:color w:val="231F20"/>
          <w:spacing w:val="-4"/>
        </w:rPr>
        <w:t xml:space="preserve"> </w:t>
      </w:r>
      <w:r>
        <w:rPr>
          <w:color w:val="231F20"/>
        </w:rPr>
        <w:t>and</w:t>
      </w:r>
      <w:r>
        <w:rPr>
          <w:color w:val="231F20"/>
          <w:spacing w:val="-4"/>
        </w:rPr>
        <w:t xml:space="preserve"> </w:t>
      </w:r>
      <w:r>
        <w:rPr>
          <w:color w:val="231F20"/>
        </w:rPr>
        <w:t>attempted</w:t>
      </w:r>
      <w:r>
        <w:rPr>
          <w:color w:val="231F20"/>
          <w:spacing w:val="-4"/>
        </w:rPr>
        <w:t xml:space="preserve"> </w:t>
      </w:r>
      <w:r>
        <w:rPr>
          <w:color w:val="231F20"/>
        </w:rPr>
        <w:t>murder.</w:t>
      </w:r>
      <w:r>
        <w:rPr>
          <w:color w:val="231F20"/>
          <w:spacing w:val="-4"/>
        </w:rPr>
        <w:t xml:space="preserve"> </w:t>
      </w:r>
      <w:r>
        <w:rPr>
          <w:color w:val="231F20"/>
        </w:rPr>
        <w:t>Aren’t</w:t>
      </w:r>
      <w:r>
        <w:rPr>
          <w:color w:val="231F20"/>
          <w:spacing w:val="-4"/>
        </w:rPr>
        <w:t xml:space="preserve"> </w:t>
      </w:r>
      <w:r>
        <w:rPr>
          <w:color w:val="231F20"/>
        </w:rPr>
        <w:t>you</w:t>
      </w:r>
      <w:r>
        <w:rPr>
          <w:color w:val="231F20"/>
          <w:spacing w:val="-4"/>
        </w:rPr>
        <w:t xml:space="preserve"> </w:t>
      </w:r>
      <w:r>
        <w:rPr>
          <w:color w:val="231F20"/>
        </w:rPr>
        <w:t>being</w:t>
      </w:r>
      <w:r>
        <w:rPr>
          <w:color w:val="231F20"/>
          <w:spacing w:val="-4"/>
        </w:rPr>
        <w:t xml:space="preserve"> </w:t>
      </w:r>
      <w:r>
        <w:rPr>
          <w:color w:val="231F20"/>
        </w:rPr>
        <w:t>held in</w:t>
      </w:r>
      <w:r>
        <w:rPr>
          <w:color w:val="231F20"/>
          <w:spacing w:val="8"/>
        </w:rPr>
        <w:t xml:space="preserve"> </w:t>
      </w:r>
      <w:r>
        <w:rPr>
          <w:color w:val="231F20"/>
        </w:rPr>
        <w:t>the</w:t>
      </w:r>
      <w:r>
        <w:rPr>
          <w:color w:val="231F20"/>
          <w:spacing w:val="8"/>
        </w:rPr>
        <w:t xml:space="preserve"> </w:t>
      </w:r>
      <w:r>
        <w:rPr>
          <w:color w:val="231F20"/>
        </w:rPr>
        <w:t>same</w:t>
      </w:r>
      <w:r>
        <w:rPr>
          <w:color w:val="231F20"/>
          <w:spacing w:val="8"/>
        </w:rPr>
        <w:t xml:space="preserve"> </w:t>
      </w:r>
      <w:r>
        <w:rPr>
          <w:color w:val="231F20"/>
        </w:rPr>
        <w:t>conditions</w:t>
      </w:r>
      <w:r>
        <w:rPr>
          <w:color w:val="231F20"/>
          <w:spacing w:val="8"/>
        </w:rPr>
        <w:t xml:space="preserve"> </w:t>
      </w:r>
      <w:r>
        <w:rPr>
          <w:color w:val="231F20"/>
        </w:rPr>
        <w:t>as</w:t>
      </w:r>
      <w:r>
        <w:rPr>
          <w:color w:val="231F20"/>
          <w:spacing w:val="8"/>
        </w:rPr>
        <w:t xml:space="preserve"> </w:t>
      </w:r>
      <w:r>
        <w:rPr>
          <w:color w:val="231F20"/>
        </w:rPr>
        <w:t>other</w:t>
      </w:r>
      <w:r>
        <w:rPr>
          <w:color w:val="231F20"/>
          <w:spacing w:val="8"/>
        </w:rPr>
        <w:t xml:space="preserve"> </w:t>
      </w:r>
      <w:r>
        <w:rPr>
          <w:color w:val="231F20"/>
        </w:rPr>
        <w:t>prisoners</w:t>
      </w:r>
      <w:r>
        <w:rPr>
          <w:color w:val="231F20"/>
          <w:spacing w:val="8"/>
        </w:rPr>
        <w:t xml:space="preserve"> </w:t>
      </w:r>
      <w:r>
        <w:rPr>
          <w:color w:val="231F20"/>
        </w:rPr>
        <w:t>in</w:t>
      </w:r>
      <w:r>
        <w:rPr>
          <w:color w:val="231F20"/>
          <w:spacing w:val="8"/>
        </w:rPr>
        <w:t xml:space="preserve"> </w:t>
      </w:r>
      <w:r>
        <w:rPr>
          <w:color w:val="231F20"/>
        </w:rPr>
        <w:t>remand?</w:t>
      </w:r>
    </w:p>
    <w:p w14:paraId="3F34CF9D" w14:textId="77777777" w:rsidR="002653E8" w:rsidRDefault="002653E8">
      <w:pPr>
        <w:pStyle w:val="a3"/>
        <w:spacing w:before="8"/>
        <w:rPr>
          <w:sz w:val="21"/>
        </w:rPr>
      </w:pPr>
    </w:p>
    <w:p w14:paraId="680D9778" w14:textId="77777777" w:rsidR="002653E8" w:rsidRDefault="00C507A5">
      <w:pPr>
        <w:pStyle w:val="a3"/>
        <w:spacing w:line="264" w:lineRule="auto"/>
        <w:ind w:left="1327" w:right="1146"/>
        <w:jc w:val="both"/>
      </w:pPr>
      <w:r>
        <w:rPr>
          <w:color w:val="231F20"/>
          <w:spacing w:val="1"/>
        </w:rPr>
        <w:t>red army faction</w:t>
      </w:r>
      <w:r w:rsidR="003115E3">
        <w:rPr>
          <w:color w:val="231F20"/>
          <w:spacing w:val="1"/>
        </w:rPr>
        <w:t xml:space="preserve">: </w:t>
      </w:r>
      <w:r w:rsidR="003115E3">
        <w:rPr>
          <w:color w:val="231F20"/>
          <w:spacing w:val="-5"/>
        </w:rPr>
        <w:t xml:space="preserve">We </w:t>
      </w:r>
      <w:r w:rsidR="003115E3">
        <w:rPr>
          <w:color w:val="231F20"/>
        </w:rPr>
        <w:t>are demanding an end to special treatment, and not only for those in remand, but for all political prisoners—and by this we mean   all proletarian prisoners who understand their situation politically, and who organize in solidarity with the prisoners’ struggle, regardless of why they are in</w:t>
      </w:r>
      <w:r w:rsidR="003115E3">
        <w:rPr>
          <w:color w:val="231F20"/>
          <w:spacing w:val="42"/>
        </w:rPr>
        <w:t xml:space="preserve"> </w:t>
      </w:r>
      <w:r w:rsidR="003115E3">
        <w:rPr>
          <w:color w:val="231F20"/>
        </w:rPr>
        <w:t>prison.</w:t>
      </w:r>
    </w:p>
    <w:p w14:paraId="6C78C3D6" w14:textId="77777777" w:rsidR="002653E8" w:rsidRDefault="003115E3">
      <w:pPr>
        <w:pStyle w:val="a3"/>
        <w:spacing w:line="264" w:lineRule="auto"/>
        <w:ind w:left="1327" w:right="1145" w:firstLine="210"/>
        <w:jc w:val="both"/>
      </w:pPr>
      <w:r>
        <w:rPr>
          <w:color w:val="231F20"/>
        </w:rPr>
        <w:t xml:space="preserve">The justice system also keeps prisoners who have already been sentenced in isolation, some for as many as four years, for example: </w:t>
      </w:r>
      <w:bookmarkStart w:id="136" w:name="_Hlk122989538"/>
      <w:r>
        <w:rPr>
          <w:color w:val="231F20"/>
        </w:rPr>
        <w:t>Werner Hoppe, Helmut Pohl, Rolf Heissler, Ulrich Luther, and Siegfried Knutz.</w:t>
      </w:r>
      <w:bookmarkEnd w:id="136"/>
      <w:r>
        <w:rPr>
          <w:color w:val="231F20"/>
        </w:rPr>
        <w:t xml:space="preserve"> There are thousands of people here who are abused by the prison system, and the moment they begin to resist they are broken by isolation. This is what we are fighting against with this strike; it is a collective</w:t>
      </w:r>
    </w:p>
    <w:p w14:paraId="6FFDE280" w14:textId="77777777" w:rsidR="002653E8" w:rsidRDefault="00000000">
      <w:pPr>
        <w:pStyle w:val="a3"/>
        <w:spacing w:before="5"/>
        <w:rPr>
          <w:sz w:val="19"/>
        </w:rPr>
      </w:pPr>
      <w:r>
        <w:rPr>
          <w:noProof w:val="0"/>
        </w:rPr>
        <w:pict w14:anchorId="51B5DDBB">
          <v:line id="_x0000_s2356" style="position:absolute;z-index:7120;mso-wrap-distance-left:0;mso-wrap-distance-right:0;mso-position-horizontal-relative:page" from="66.4pt,13.6pt" to="138.4pt,13.6pt" strokecolor="#231f20" strokeweight=".5pt">
            <w10:wrap type="topAndBottom" anchorx="page"/>
          </v:line>
        </w:pict>
      </w:r>
    </w:p>
    <w:p w14:paraId="79E728C8" w14:textId="77777777" w:rsidR="002653E8" w:rsidRDefault="003115E3">
      <w:pPr>
        <w:spacing w:before="53" w:line="254" w:lineRule="auto"/>
        <w:ind w:left="1327" w:right="1145"/>
        <w:rPr>
          <w:sz w:val="16"/>
        </w:rPr>
      </w:pPr>
      <w:r>
        <w:rPr>
          <w:color w:val="231F20"/>
          <w:w w:val="110"/>
          <w:sz w:val="16"/>
        </w:rPr>
        <w:t xml:space="preserve">1 </w:t>
      </w:r>
      <w:r>
        <w:rPr>
          <w:color w:val="231F20"/>
          <w:w w:val="110"/>
          <w:sz w:val="14"/>
        </w:rPr>
        <w:t>§</w:t>
      </w:r>
      <w:r>
        <w:rPr>
          <w:color w:val="231F20"/>
          <w:w w:val="110"/>
          <w:sz w:val="16"/>
        </w:rPr>
        <w:t xml:space="preserve">231a and </w:t>
      </w:r>
      <w:r>
        <w:rPr>
          <w:color w:val="231F20"/>
          <w:w w:val="110"/>
          <w:sz w:val="14"/>
        </w:rPr>
        <w:t>§</w:t>
      </w:r>
      <w:r>
        <w:rPr>
          <w:color w:val="231F20"/>
          <w:w w:val="110"/>
          <w:sz w:val="16"/>
        </w:rPr>
        <w:t xml:space="preserve">231b had just become law, part of the </w:t>
      </w:r>
      <w:bookmarkStart w:id="137" w:name="_Hlk122989451"/>
      <w:r>
        <w:rPr>
          <w:i/>
          <w:color w:val="231F20"/>
          <w:w w:val="110"/>
          <w:sz w:val="16"/>
        </w:rPr>
        <w:t>Lex Baader-Meinhof</w:t>
      </w:r>
      <w:bookmarkEnd w:id="137"/>
      <w:r>
        <w:rPr>
          <w:i/>
          <w:color w:val="231F20"/>
          <w:w w:val="110"/>
          <w:sz w:val="16"/>
        </w:rPr>
        <w:t xml:space="preserve">, </w:t>
      </w:r>
      <w:r>
        <w:rPr>
          <w:color w:val="231F20"/>
          <w:w w:val="110"/>
          <w:sz w:val="16"/>
        </w:rPr>
        <w:t>allowing for trials to continue in the absence of the defendants. See page 345.</w:t>
      </w:r>
    </w:p>
    <w:p w14:paraId="34146A3B" w14:textId="77777777" w:rsidR="002653E8" w:rsidRDefault="002653E8">
      <w:pPr>
        <w:spacing w:line="254" w:lineRule="auto"/>
        <w:rPr>
          <w:sz w:val="16"/>
        </w:rPr>
        <w:sectPr w:rsidR="002653E8">
          <w:footerReference w:type="even" r:id="rId257"/>
          <w:footerReference w:type="default" r:id="rId258"/>
          <w:pgSz w:w="8640" w:h="12960"/>
          <w:pgMar w:top="1060" w:right="0" w:bottom="1040" w:left="0" w:header="0" w:footer="850" w:gutter="0"/>
          <w:cols w:space="720"/>
        </w:sectPr>
      </w:pPr>
    </w:p>
    <w:p w14:paraId="0E3C30BA" w14:textId="77777777" w:rsidR="002653E8" w:rsidRDefault="003115E3">
      <w:pPr>
        <w:pStyle w:val="a3"/>
        <w:spacing w:before="86" w:line="264" w:lineRule="auto"/>
        <w:ind w:left="1147" w:right="1326"/>
        <w:jc w:val="both"/>
      </w:pPr>
      <w:r>
        <w:rPr>
          <w:color w:val="231F20"/>
        </w:rPr>
        <w:lastRenderedPageBreak/>
        <w:t xml:space="preserve">action against institutionalization and isolation. </w:t>
      </w:r>
      <w:r>
        <w:rPr>
          <w:color w:val="231F20"/>
          <w:spacing w:val="1"/>
        </w:rPr>
        <w:t xml:space="preserve">In </w:t>
      </w:r>
      <w:r>
        <w:rPr>
          <w:color w:val="231F20"/>
        </w:rPr>
        <w:t xml:space="preserve">the older prisons, where previously there were no “isolation facilities”—separate wings for “troublemakers”—meaning for those who  disrupt  the  inhuman ity which victimizes them—they will be built; for instance in </w:t>
      </w:r>
      <w:r>
        <w:rPr>
          <w:color w:val="231F20"/>
          <w:spacing w:val="-3"/>
        </w:rPr>
        <w:t xml:space="preserve">Tegel, </w:t>
      </w:r>
      <w:r>
        <w:rPr>
          <w:color w:val="231F20"/>
        </w:rPr>
        <w:t>Bruchsal, Straubing, Hannover, Zweibrücken,</w:t>
      </w:r>
      <w:r>
        <w:rPr>
          <w:color w:val="231F20"/>
          <w:spacing w:val="11"/>
        </w:rPr>
        <w:t xml:space="preserve"> </w:t>
      </w:r>
      <w:r>
        <w:rPr>
          <w:color w:val="231F20"/>
        </w:rPr>
        <w:t>etc.</w:t>
      </w:r>
    </w:p>
    <w:p w14:paraId="36261A80" w14:textId="77777777" w:rsidR="002653E8" w:rsidRDefault="003115E3">
      <w:pPr>
        <w:pStyle w:val="a3"/>
        <w:spacing w:line="264" w:lineRule="auto"/>
        <w:ind w:left="1147" w:right="1326" w:firstLine="210"/>
        <w:jc w:val="both"/>
      </w:pPr>
      <w:r>
        <w:rPr>
          <w:color w:val="231F20"/>
          <w:spacing w:val="1"/>
        </w:rPr>
        <w:t xml:space="preserve">In </w:t>
      </w:r>
      <w:r>
        <w:rPr>
          <w:color w:val="231F20"/>
        </w:rPr>
        <w:t xml:space="preserve">their architectural design, the new prisons incorporate isolation   as a form of incarceration. </w:t>
      </w:r>
      <w:r>
        <w:rPr>
          <w:color w:val="231F20"/>
          <w:spacing w:val="1"/>
        </w:rPr>
        <w:t xml:space="preserve">In </w:t>
      </w:r>
      <w:r>
        <w:rPr>
          <w:color w:val="231F20"/>
        </w:rPr>
        <w:t>the  FRG, these design principles are not   in line with the Swedish model, but rather with the American methods and experiments with fascist rehabilitation</w:t>
      </w:r>
      <w:r>
        <w:rPr>
          <w:color w:val="231F20"/>
          <w:spacing w:val="11"/>
        </w:rPr>
        <w:t xml:space="preserve"> </w:t>
      </w:r>
      <w:r>
        <w:rPr>
          <w:color w:val="231F20"/>
        </w:rPr>
        <w:t>programs.</w:t>
      </w:r>
    </w:p>
    <w:p w14:paraId="6ED36C8D" w14:textId="77777777" w:rsidR="002653E8" w:rsidRDefault="002653E8">
      <w:pPr>
        <w:pStyle w:val="a3"/>
        <w:spacing w:before="1"/>
        <w:rPr>
          <w:sz w:val="21"/>
        </w:rPr>
      </w:pPr>
    </w:p>
    <w:p w14:paraId="3FF84513" w14:textId="77777777" w:rsidR="002653E8" w:rsidRDefault="003115E3">
      <w:pPr>
        <w:pStyle w:val="a3"/>
        <w:spacing w:line="264" w:lineRule="auto"/>
        <w:ind w:left="1147" w:right="1326"/>
        <w:jc w:val="both"/>
      </w:pPr>
      <w:r>
        <w:rPr>
          <w:i/>
          <w:color w:val="231F20"/>
        </w:rPr>
        <w:t>Spiegel</w:t>
      </w:r>
      <w:r>
        <w:rPr>
          <w:color w:val="231F20"/>
        </w:rPr>
        <w:t xml:space="preserve">: In concrete terms, tell us what you mean by special treatment. We have looked into the actual prison conditions of the </w:t>
      </w:r>
      <w:r w:rsidR="00C507A5">
        <w:rPr>
          <w:color w:val="231F20"/>
        </w:rPr>
        <w:t>red army faction</w:t>
      </w:r>
      <w:r>
        <w:rPr>
          <w:color w:val="231F20"/>
        </w:rPr>
        <w:t xml:space="preserve"> collective. We found no evidence of “special treatment,” other than a series of privileges.</w:t>
      </w:r>
    </w:p>
    <w:p w14:paraId="327EBA74" w14:textId="77777777" w:rsidR="002653E8" w:rsidRDefault="002653E8">
      <w:pPr>
        <w:pStyle w:val="a3"/>
        <w:spacing w:before="6"/>
        <w:rPr>
          <w:sz w:val="21"/>
        </w:rPr>
      </w:pPr>
    </w:p>
    <w:p w14:paraId="42C3B1BB" w14:textId="77777777" w:rsidR="002653E8" w:rsidRDefault="00C507A5">
      <w:pPr>
        <w:pStyle w:val="a3"/>
        <w:spacing w:before="1" w:line="264" w:lineRule="auto"/>
        <w:ind w:left="1147" w:right="1326"/>
        <w:jc w:val="both"/>
      </w:pPr>
      <w:r>
        <w:rPr>
          <w:color w:val="231F20"/>
          <w:spacing w:val="1"/>
        </w:rPr>
        <w:t>red army faction</w:t>
      </w:r>
      <w:r w:rsidR="003115E3">
        <w:rPr>
          <w:color w:val="231F20"/>
          <w:spacing w:val="1"/>
        </w:rPr>
        <w:t xml:space="preserve">: </w:t>
      </w:r>
      <w:r w:rsidR="003115E3">
        <w:rPr>
          <w:color w:val="231F20"/>
          <w:spacing w:val="-7"/>
        </w:rPr>
        <w:t>you</w:t>
      </w:r>
      <w:r w:rsidR="003115E3">
        <w:rPr>
          <w:color w:val="231F20"/>
          <w:spacing w:val="30"/>
        </w:rPr>
        <w:t xml:space="preserve"> </w:t>
      </w:r>
      <w:r w:rsidR="003115E3">
        <w:rPr>
          <w:color w:val="231F20"/>
        </w:rPr>
        <w:t xml:space="preserve">have not looked into anything. </w:t>
      </w:r>
      <w:r w:rsidR="003115E3">
        <w:rPr>
          <w:color w:val="231F20"/>
          <w:spacing w:val="-7"/>
        </w:rPr>
        <w:t>you</w:t>
      </w:r>
      <w:r w:rsidR="003115E3">
        <w:rPr>
          <w:color w:val="231F20"/>
          <w:spacing w:val="30"/>
        </w:rPr>
        <w:t xml:space="preserve"> </w:t>
      </w:r>
      <w:r w:rsidR="003115E3">
        <w:rPr>
          <w:color w:val="231F20"/>
        </w:rPr>
        <w:t>got  your  information  from</w:t>
      </w:r>
      <w:r w:rsidR="003115E3">
        <w:rPr>
          <w:color w:val="231F20"/>
          <w:spacing w:val="10"/>
        </w:rPr>
        <w:t xml:space="preserve"> </w:t>
      </w:r>
      <w:r w:rsidR="003115E3">
        <w:rPr>
          <w:color w:val="231F20"/>
        </w:rPr>
        <w:t>the</w:t>
      </w:r>
      <w:r w:rsidR="003115E3">
        <w:rPr>
          <w:color w:val="231F20"/>
          <w:spacing w:val="10"/>
        </w:rPr>
        <w:t xml:space="preserve"> </w:t>
      </w:r>
      <w:r w:rsidR="003115E3">
        <w:rPr>
          <w:color w:val="231F20"/>
        </w:rPr>
        <w:t>state</w:t>
      </w:r>
      <w:r w:rsidR="003115E3">
        <w:rPr>
          <w:color w:val="231F20"/>
          <w:spacing w:val="10"/>
        </w:rPr>
        <w:t xml:space="preserve"> </w:t>
      </w:r>
      <w:r w:rsidR="003115E3">
        <w:rPr>
          <w:color w:val="231F20"/>
        </w:rPr>
        <w:t>security</w:t>
      </w:r>
      <w:r w:rsidR="003115E3">
        <w:rPr>
          <w:color w:val="231F20"/>
          <w:spacing w:val="10"/>
        </w:rPr>
        <w:t xml:space="preserve"> </w:t>
      </w:r>
      <w:r w:rsidR="003115E3">
        <w:rPr>
          <w:color w:val="231F20"/>
        </w:rPr>
        <w:t>services</w:t>
      </w:r>
      <w:r w:rsidR="003115E3">
        <w:rPr>
          <w:color w:val="231F20"/>
          <w:spacing w:val="10"/>
        </w:rPr>
        <w:t xml:space="preserve"> </w:t>
      </w:r>
      <w:r w:rsidR="003115E3">
        <w:rPr>
          <w:color w:val="231F20"/>
        </w:rPr>
        <w:t>and</w:t>
      </w:r>
      <w:r w:rsidR="003115E3">
        <w:rPr>
          <w:color w:val="231F20"/>
          <w:spacing w:val="10"/>
        </w:rPr>
        <w:t xml:space="preserve"> </w:t>
      </w:r>
      <w:r w:rsidR="003115E3">
        <w:rPr>
          <w:color w:val="231F20"/>
        </w:rPr>
        <w:t>the</w:t>
      </w:r>
      <w:r w:rsidR="003115E3">
        <w:rPr>
          <w:color w:val="231F20"/>
          <w:spacing w:val="11"/>
        </w:rPr>
        <w:t xml:space="preserve"> </w:t>
      </w:r>
      <w:r w:rsidR="003115E3">
        <w:rPr>
          <w:color w:val="231F20"/>
          <w:spacing w:val="-8"/>
        </w:rPr>
        <w:t>BAW.</w:t>
      </w:r>
    </w:p>
    <w:p w14:paraId="6886389C" w14:textId="77777777" w:rsidR="002653E8" w:rsidRDefault="003115E3">
      <w:pPr>
        <w:pStyle w:val="a3"/>
        <w:spacing w:line="232" w:lineRule="exact"/>
        <w:ind w:left="1358"/>
        <w:rPr>
          <w:sz w:val="11"/>
        </w:rPr>
      </w:pPr>
      <w:r>
        <w:rPr>
          <w:color w:val="231F20"/>
        </w:rPr>
        <w:t>When we say special treatment, we are referring to:</w:t>
      </w:r>
      <w:r>
        <w:rPr>
          <w:color w:val="231F20"/>
          <w:position w:val="7"/>
          <w:sz w:val="11"/>
        </w:rPr>
        <w:t>1</w:t>
      </w:r>
    </w:p>
    <w:p w14:paraId="0036A52C" w14:textId="77777777" w:rsidR="002653E8" w:rsidRDefault="003115E3">
      <w:pPr>
        <w:pStyle w:val="a4"/>
        <w:numPr>
          <w:ilvl w:val="0"/>
          <w:numId w:val="105"/>
        </w:numPr>
        <w:tabs>
          <w:tab w:val="left" w:pos="1644"/>
        </w:tabs>
        <w:spacing w:before="149"/>
        <w:ind w:hanging="241"/>
        <w:rPr>
          <w:sz w:val="20"/>
        </w:rPr>
      </w:pPr>
      <w:r>
        <w:rPr>
          <w:color w:val="231F20"/>
          <w:sz w:val="20"/>
        </w:rPr>
        <w:t>Eight</w:t>
      </w:r>
      <w:r>
        <w:rPr>
          <w:color w:val="231F20"/>
          <w:spacing w:val="11"/>
          <w:sz w:val="20"/>
        </w:rPr>
        <w:t xml:space="preserve"> </w:t>
      </w:r>
      <w:r>
        <w:rPr>
          <w:color w:val="231F20"/>
          <w:sz w:val="20"/>
        </w:rPr>
        <w:t>months</w:t>
      </w:r>
      <w:r>
        <w:rPr>
          <w:color w:val="231F20"/>
          <w:spacing w:val="11"/>
          <w:sz w:val="20"/>
        </w:rPr>
        <w:t xml:space="preserve"> </w:t>
      </w:r>
      <w:r>
        <w:rPr>
          <w:color w:val="231F20"/>
          <w:sz w:val="20"/>
        </w:rPr>
        <w:t>in</w:t>
      </w:r>
      <w:r>
        <w:rPr>
          <w:color w:val="231F20"/>
          <w:spacing w:val="11"/>
          <w:sz w:val="20"/>
        </w:rPr>
        <w:t xml:space="preserve"> </w:t>
      </w:r>
      <w:r>
        <w:rPr>
          <w:color w:val="231F20"/>
          <w:sz w:val="20"/>
        </w:rPr>
        <w:t>the</w:t>
      </w:r>
      <w:r>
        <w:rPr>
          <w:color w:val="231F20"/>
          <w:spacing w:val="11"/>
          <w:sz w:val="20"/>
        </w:rPr>
        <w:t xml:space="preserve"> </w:t>
      </w:r>
      <w:r>
        <w:rPr>
          <w:color w:val="231F20"/>
          <w:sz w:val="20"/>
        </w:rPr>
        <w:t>dead</w:t>
      </w:r>
      <w:r>
        <w:rPr>
          <w:color w:val="231F20"/>
          <w:spacing w:val="11"/>
          <w:sz w:val="20"/>
        </w:rPr>
        <w:t xml:space="preserve"> </w:t>
      </w:r>
      <w:r>
        <w:rPr>
          <w:color w:val="231F20"/>
          <w:sz w:val="20"/>
        </w:rPr>
        <w:t>wing</w:t>
      </w:r>
      <w:r>
        <w:rPr>
          <w:color w:val="231F20"/>
          <w:spacing w:val="11"/>
          <w:sz w:val="20"/>
        </w:rPr>
        <w:t xml:space="preserve"> </w:t>
      </w:r>
      <w:r>
        <w:rPr>
          <w:color w:val="231F20"/>
          <w:sz w:val="20"/>
        </w:rPr>
        <w:t>for</w:t>
      </w:r>
      <w:r>
        <w:rPr>
          <w:color w:val="231F20"/>
          <w:spacing w:val="12"/>
          <w:sz w:val="20"/>
        </w:rPr>
        <w:t xml:space="preserve"> </w:t>
      </w:r>
      <w:r>
        <w:rPr>
          <w:color w:val="231F20"/>
          <w:sz w:val="20"/>
        </w:rPr>
        <w:t>Ulrike</w:t>
      </w:r>
      <w:r>
        <w:rPr>
          <w:color w:val="231F20"/>
          <w:spacing w:val="11"/>
          <w:sz w:val="20"/>
        </w:rPr>
        <w:t xml:space="preserve"> </w:t>
      </w:r>
      <w:r>
        <w:rPr>
          <w:color w:val="231F20"/>
          <w:sz w:val="20"/>
        </w:rPr>
        <w:t>and</w:t>
      </w:r>
      <w:r>
        <w:rPr>
          <w:color w:val="231F20"/>
          <w:spacing w:val="11"/>
          <w:sz w:val="20"/>
        </w:rPr>
        <w:t xml:space="preserve"> </w:t>
      </w:r>
      <w:r>
        <w:rPr>
          <w:color w:val="231F20"/>
          <w:sz w:val="20"/>
        </w:rPr>
        <w:t>Astrid;</w:t>
      </w:r>
    </w:p>
    <w:p w14:paraId="4B6B3D0F" w14:textId="77777777" w:rsidR="002653E8" w:rsidRDefault="003115E3">
      <w:pPr>
        <w:pStyle w:val="a4"/>
        <w:numPr>
          <w:ilvl w:val="0"/>
          <w:numId w:val="105"/>
        </w:numPr>
        <w:tabs>
          <w:tab w:val="left" w:pos="1644"/>
        </w:tabs>
        <w:spacing w:before="22"/>
        <w:ind w:hanging="241"/>
        <w:rPr>
          <w:sz w:val="20"/>
        </w:rPr>
      </w:pPr>
      <w:r>
        <w:rPr>
          <w:color w:val="231F20"/>
          <w:spacing w:val="-3"/>
          <w:sz w:val="20"/>
        </w:rPr>
        <w:t xml:space="preserve">years </w:t>
      </w:r>
      <w:r>
        <w:rPr>
          <w:color w:val="231F20"/>
          <w:sz w:val="20"/>
        </w:rPr>
        <w:t xml:space="preserve">of isolation for all the </w:t>
      </w:r>
      <w:r w:rsidR="00C507A5">
        <w:rPr>
          <w:color w:val="231F20"/>
          <w:spacing w:val="5"/>
          <w:sz w:val="20"/>
        </w:rPr>
        <w:t>red army faction</w:t>
      </w:r>
      <w:r>
        <w:rPr>
          <w:color w:val="231F20"/>
          <w:spacing w:val="45"/>
          <w:sz w:val="20"/>
        </w:rPr>
        <w:t xml:space="preserve"> </w:t>
      </w:r>
      <w:r>
        <w:rPr>
          <w:color w:val="231F20"/>
          <w:sz w:val="20"/>
        </w:rPr>
        <w:t>prisoners;</w:t>
      </w:r>
    </w:p>
    <w:p w14:paraId="6C124B81" w14:textId="77777777" w:rsidR="002653E8" w:rsidRDefault="003115E3">
      <w:pPr>
        <w:pStyle w:val="a4"/>
        <w:numPr>
          <w:ilvl w:val="0"/>
          <w:numId w:val="105"/>
        </w:numPr>
        <w:tabs>
          <w:tab w:val="left" w:pos="1644"/>
        </w:tabs>
        <w:spacing w:before="21" w:line="261" w:lineRule="auto"/>
        <w:ind w:right="1952" w:hanging="241"/>
        <w:rPr>
          <w:sz w:val="20"/>
        </w:rPr>
      </w:pPr>
      <w:r>
        <w:rPr>
          <w:color w:val="231F20"/>
          <w:sz w:val="20"/>
        </w:rPr>
        <w:t xml:space="preserve">Forced drugging ordered by the court </w:t>
      </w:r>
      <w:r>
        <w:rPr>
          <w:color w:val="231F20"/>
          <w:spacing w:val="-3"/>
          <w:sz w:val="20"/>
        </w:rPr>
        <w:t xml:space="preserve">“as </w:t>
      </w:r>
      <w:r>
        <w:rPr>
          <w:color w:val="231F20"/>
          <w:sz w:val="20"/>
        </w:rPr>
        <w:t>an investigation technique”;</w:t>
      </w:r>
    </w:p>
    <w:p w14:paraId="14E78109" w14:textId="77777777" w:rsidR="002653E8" w:rsidRDefault="003115E3">
      <w:pPr>
        <w:pStyle w:val="a4"/>
        <w:numPr>
          <w:ilvl w:val="0"/>
          <w:numId w:val="105"/>
        </w:numPr>
        <w:tabs>
          <w:tab w:val="left" w:pos="1644"/>
        </w:tabs>
        <w:spacing w:before="1"/>
        <w:ind w:hanging="241"/>
        <w:rPr>
          <w:sz w:val="20"/>
        </w:rPr>
      </w:pPr>
      <w:r>
        <w:rPr>
          <w:color w:val="231F20"/>
          <w:spacing w:val="-3"/>
          <w:sz w:val="20"/>
        </w:rPr>
        <w:t xml:space="preserve">years </w:t>
      </w:r>
      <w:r>
        <w:rPr>
          <w:color w:val="231F20"/>
          <w:sz w:val="20"/>
        </w:rPr>
        <w:t>of being chained during yard</w:t>
      </w:r>
      <w:r>
        <w:rPr>
          <w:color w:val="231F20"/>
          <w:spacing w:val="30"/>
          <w:sz w:val="20"/>
        </w:rPr>
        <w:t xml:space="preserve"> </w:t>
      </w:r>
      <w:r>
        <w:rPr>
          <w:color w:val="231F20"/>
          <w:sz w:val="20"/>
        </w:rPr>
        <w:t>time;</w:t>
      </w:r>
    </w:p>
    <w:p w14:paraId="104E02C6" w14:textId="77777777" w:rsidR="002653E8" w:rsidRDefault="003115E3">
      <w:pPr>
        <w:pStyle w:val="a4"/>
        <w:numPr>
          <w:ilvl w:val="0"/>
          <w:numId w:val="105"/>
        </w:numPr>
        <w:tabs>
          <w:tab w:val="left" w:pos="1644"/>
        </w:tabs>
        <w:spacing w:before="22" w:line="261" w:lineRule="auto"/>
        <w:ind w:left="1643" w:right="1352"/>
        <w:jc w:val="both"/>
        <w:rPr>
          <w:sz w:val="20"/>
        </w:rPr>
      </w:pPr>
      <w:r>
        <w:rPr>
          <w:color w:val="231F20"/>
          <w:sz w:val="20"/>
        </w:rPr>
        <w:t>Ongoing court-ordered “immediate use of force,” which means cruel treatment in pacification cells, during transportation, during</w:t>
      </w:r>
      <w:r>
        <w:rPr>
          <w:color w:val="231F20"/>
          <w:spacing w:val="13"/>
          <w:sz w:val="20"/>
        </w:rPr>
        <w:t xml:space="preserve"> </w:t>
      </w:r>
      <w:r>
        <w:rPr>
          <w:color w:val="231F20"/>
          <w:sz w:val="20"/>
        </w:rPr>
        <w:t>interrogation,</w:t>
      </w:r>
      <w:r>
        <w:rPr>
          <w:color w:val="231F20"/>
          <w:spacing w:val="13"/>
          <w:sz w:val="20"/>
        </w:rPr>
        <w:t xml:space="preserve"> </w:t>
      </w:r>
      <w:r>
        <w:rPr>
          <w:color w:val="231F20"/>
          <w:sz w:val="20"/>
        </w:rPr>
        <w:t>as</w:t>
      </w:r>
      <w:r>
        <w:rPr>
          <w:color w:val="231F20"/>
          <w:spacing w:val="13"/>
          <w:sz w:val="20"/>
        </w:rPr>
        <w:t xml:space="preserve"> </w:t>
      </w:r>
      <w:r>
        <w:rPr>
          <w:color w:val="231F20"/>
          <w:sz w:val="20"/>
        </w:rPr>
        <w:t>a</w:t>
      </w:r>
      <w:r>
        <w:rPr>
          <w:color w:val="231F20"/>
          <w:spacing w:val="13"/>
          <w:sz w:val="20"/>
        </w:rPr>
        <w:t xml:space="preserve"> </w:t>
      </w:r>
      <w:r>
        <w:rPr>
          <w:color w:val="231F20"/>
          <w:sz w:val="20"/>
        </w:rPr>
        <w:t>result</w:t>
      </w:r>
      <w:r>
        <w:rPr>
          <w:color w:val="231F20"/>
          <w:spacing w:val="13"/>
          <w:sz w:val="20"/>
        </w:rPr>
        <w:t xml:space="preserve"> </w:t>
      </w:r>
      <w:r>
        <w:rPr>
          <w:color w:val="231F20"/>
          <w:sz w:val="20"/>
        </w:rPr>
        <w:t>of</w:t>
      </w:r>
      <w:r>
        <w:rPr>
          <w:color w:val="231F20"/>
          <w:spacing w:val="13"/>
          <w:sz w:val="20"/>
        </w:rPr>
        <w:t xml:space="preserve"> </w:t>
      </w:r>
      <w:r>
        <w:rPr>
          <w:color w:val="231F20"/>
          <w:sz w:val="20"/>
        </w:rPr>
        <w:t>confrontations,</w:t>
      </w:r>
      <w:r>
        <w:rPr>
          <w:color w:val="231F20"/>
          <w:spacing w:val="13"/>
          <w:sz w:val="20"/>
        </w:rPr>
        <w:t xml:space="preserve"> </w:t>
      </w:r>
      <w:r>
        <w:rPr>
          <w:color w:val="231F20"/>
          <w:sz w:val="20"/>
        </w:rPr>
        <w:t>and</w:t>
      </w:r>
      <w:r>
        <w:rPr>
          <w:color w:val="231F20"/>
          <w:spacing w:val="13"/>
          <w:sz w:val="20"/>
        </w:rPr>
        <w:t xml:space="preserve"> </w:t>
      </w:r>
      <w:r>
        <w:rPr>
          <w:color w:val="231F20"/>
          <w:sz w:val="20"/>
        </w:rPr>
        <w:t>during</w:t>
      </w:r>
      <w:r>
        <w:rPr>
          <w:color w:val="231F20"/>
          <w:spacing w:val="13"/>
          <w:sz w:val="20"/>
        </w:rPr>
        <w:t xml:space="preserve"> </w:t>
      </w:r>
      <w:r>
        <w:rPr>
          <w:color w:val="231F20"/>
          <w:sz w:val="20"/>
        </w:rPr>
        <w:t>visits;</w:t>
      </w:r>
    </w:p>
    <w:p w14:paraId="1BCD2ADE" w14:textId="77777777" w:rsidR="002653E8" w:rsidRDefault="003115E3">
      <w:pPr>
        <w:pStyle w:val="a4"/>
        <w:numPr>
          <w:ilvl w:val="0"/>
          <w:numId w:val="105"/>
        </w:numPr>
        <w:tabs>
          <w:tab w:val="left" w:pos="1644"/>
        </w:tabs>
        <w:spacing w:before="1"/>
        <w:ind w:hanging="241"/>
        <w:rPr>
          <w:sz w:val="20"/>
        </w:rPr>
      </w:pPr>
      <w:r>
        <w:rPr>
          <w:color w:val="231F20"/>
          <w:sz w:val="20"/>
        </w:rPr>
        <w:t>Newspaper</w:t>
      </w:r>
      <w:r>
        <w:rPr>
          <w:color w:val="231F20"/>
          <w:spacing w:val="10"/>
          <w:sz w:val="20"/>
        </w:rPr>
        <w:t xml:space="preserve"> </w:t>
      </w:r>
      <w:r>
        <w:rPr>
          <w:color w:val="231F20"/>
          <w:sz w:val="20"/>
        </w:rPr>
        <w:t>censorship;</w:t>
      </w:r>
    </w:p>
    <w:p w14:paraId="28F23E52" w14:textId="77777777" w:rsidR="002653E8" w:rsidRDefault="003115E3">
      <w:pPr>
        <w:pStyle w:val="a4"/>
        <w:numPr>
          <w:ilvl w:val="0"/>
          <w:numId w:val="105"/>
        </w:numPr>
        <w:tabs>
          <w:tab w:val="left" w:pos="1644"/>
        </w:tabs>
        <w:spacing w:before="21"/>
        <w:ind w:hanging="241"/>
        <w:rPr>
          <w:sz w:val="20"/>
        </w:rPr>
      </w:pPr>
      <w:r>
        <w:rPr>
          <w:color w:val="231F20"/>
          <w:sz w:val="20"/>
        </w:rPr>
        <w:t>Special</w:t>
      </w:r>
      <w:r>
        <w:rPr>
          <w:color w:val="231F20"/>
          <w:spacing w:val="10"/>
          <w:sz w:val="20"/>
        </w:rPr>
        <w:t xml:space="preserve"> </w:t>
      </w:r>
      <w:r>
        <w:rPr>
          <w:color w:val="231F20"/>
          <w:sz w:val="20"/>
        </w:rPr>
        <w:t>legislation;</w:t>
      </w:r>
    </w:p>
    <w:p w14:paraId="704DA80D" w14:textId="77777777" w:rsidR="002653E8" w:rsidRDefault="003115E3">
      <w:pPr>
        <w:pStyle w:val="a4"/>
        <w:numPr>
          <w:ilvl w:val="0"/>
          <w:numId w:val="105"/>
        </w:numPr>
        <w:tabs>
          <w:tab w:val="left" w:pos="1644"/>
        </w:tabs>
        <w:spacing w:before="22" w:line="261" w:lineRule="auto"/>
        <w:ind w:left="1643" w:right="1335"/>
        <w:rPr>
          <w:sz w:val="20"/>
        </w:rPr>
      </w:pPr>
      <w:r>
        <w:rPr>
          <w:color w:val="231F20"/>
          <w:sz w:val="20"/>
        </w:rPr>
        <w:t xml:space="preserve">Special buildings for the trials  of  </w:t>
      </w:r>
      <w:r w:rsidR="00C507A5">
        <w:rPr>
          <w:color w:val="231F20"/>
          <w:spacing w:val="5"/>
          <w:sz w:val="20"/>
        </w:rPr>
        <w:t>red army faction</w:t>
      </w:r>
      <w:r>
        <w:rPr>
          <w:color w:val="231F20"/>
          <w:spacing w:val="5"/>
          <w:sz w:val="20"/>
        </w:rPr>
        <w:t xml:space="preserve">  </w:t>
      </w:r>
      <w:r>
        <w:rPr>
          <w:color w:val="231F20"/>
          <w:sz w:val="20"/>
        </w:rPr>
        <w:t xml:space="preserve">prisoners  in Kaiserslautern and in </w:t>
      </w:r>
      <w:r>
        <w:rPr>
          <w:color w:val="231F20"/>
          <w:spacing w:val="1"/>
          <w:sz w:val="20"/>
        </w:rPr>
        <w:t xml:space="preserve">Stammheim—the </w:t>
      </w:r>
      <w:r>
        <w:rPr>
          <w:color w:val="231F20"/>
          <w:spacing w:val="-8"/>
          <w:sz w:val="20"/>
        </w:rPr>
        <w:t xml:space="preserve">150 </w:t>
      </w:r>
      <w:r>
        <w:rPr>
          <w:color w:val="231F20"/>
          <w:sz w:val="20"/>
        </w:rPr>
        <w:t>million dm,</w:t>
      </w:r>
      <w:r>
        <w:rPr>
          <w:color w:val="231F20"/>
          <w:position w:val="7"/>
          <w:sz w:val="11"/>
        </w:rPr>
        <w:t xml:space="preserve">2 </w:t>
      </w:r>
      <w:r>
        <w:rPr>
          <w:color w:val="231F20"/>
          <w:sz w:val="20"/>
        </w:rPr>
        <w:t>bloated state</w:t>
      </w:r>
      <w:r>
        <w:rPr>
          <w:color w:val="231F20"/>
          <w:spacing w:val="10"/>
          <w:sz w:val="20"/>
        </w:rPr>
        <w:t xml:space="preserve"> </w:t>
      </w:r>
      <w:r>
        <w:rPr>
          <w:color w:val="231F20"/>
          <w:sz w:val="20"/>
        </w:rPr>
        <w:t>security</w:t>
      </w:r>
      <w:r>
        <w:rPr>
          <w:color w:val="231F20"/>
          <w:spacing w:val="10"/>
          <w:sz w:val="20"/>
        </w:rPr>
        <w:t xml:space="preserve"> </w:t>
      </w:r>
      <w:r>
        <w:rPr>
          <w:color w:val="231F20"/>
          <w:sz w:val="20"/>
        </w:rPr>
        <w:t>budget</w:t>
      </w:r>
      <w:r>
        <w:rPr>
          <w:color w:val="231F20"/>
          <w:spacing w:val="10"/>
          <w:sz w:val="20"/>
        </w:rPr>
        <w:t xml:space="preserve"> </w:t>
      </w:r>
      <w:r>
        <w:rPr>
          <w:color w:val="231F20"/>
          <w:sz w:val="20"/>
        </w:rPr>
        <w:t>for</w:t>
      </w:r>
      <w:r>
        <w:rPr>
          <w:color w:val="231F20"/>
          <w:spacing w:val="10"/>
          <w:sz w:val="20"/>
        </w:rPr>
        <w:t xml:space="preserve"> </w:t>
      </w:r>
      <w:r>
        <w:rPr>
          <w:color w:val="231F20"/>
          <w:sz w:val="20"/>
        </w:rPr>
        <w:t>the</w:t>
      </w:r>
      <w:r>
        <w:rPr>
          <w:color w:val="231F20"/>
          <w:spacing w:val="10"/>
          <w:sz w:val="20"/>
        </w:rPr>
        <w:t xml:space="preserve"> </w:t>
      </w:r>
      <w:r>
        <w:rPr>
          <w:color w:val="231F20"/>
          <w:sz w:val="20"/>
        </w:rPr>
        <w:t>Stammheim</w:t>
      </w:r>
      <w:r>
        <w:rPr>
          <w:color w:val="231F20"/>
          <w:spacing w:val="10"/>
          <w:sz w:val="20"/>
        </w:rPr>
        <w:t xml:space="preserve"> </w:t>
      </w:r>
      <w:r>
        <w:rPr>
          <w:color w:val="231F20"/>
          <w:sz w:val="20"/>
        </w:rPr>
        <w:t>trial</w:t>
      </w:r>
      <w:r>
        <w:rPr>
          <w:color w:val="231F20"/>
          <w:spacing w:val="10"/>
          <w:sz w:val="20"/>
        </w:rPr>
        <w:t xml:space="preserve"> </w:t>
      </w:r>
      <w:r>
        <w:rPr>
          <w:color w:val="231F20"/>
          <w:sz w:val="20"/>
        </w:rPr>
        <w:t>to</w:t>
      </w:r>
      <w:r>
        <w:rPr>
          <w:color w:val="231F20"/>
          <w:spacing w:val="10"/>
          <w:sz w:val="20"/>
        </w:rPr>
        <w:t xml:space="preserve"> </w:t>
      </w:r>
      <w:r>
        <w:rPr>
          <w:color w:val="231F20"/>
          <w:sz w:val="20"/>
        </w:rPr>
        <w:t>take</w:t>
      </w:r>
      <w:r>
        <w:rPr>
          <w:color w:val="231F20"/>
          <w:spacing w:val="10"/>
          <w:sz w:val="20"/>
        </w:rPr>
        <w:t xml:space="preserve"> </w:t>
      </w:r>
      <w:r>
        <w:rPr>
          <w:color w:val="231F20"/>
          <w:sz w:val="20"/>
        </w:rPr>
        <w:t>place</w:t>
      </w:r>
      <w:r>
        <w:rPr>
          <w:color w:val="231F20"/>
          <w:spacing w:val="10"/>
          <w:sz w:val="20"/>
        </w:rPr>
        <w:t xml:space="preserve"> </w:t>
      </w:r>
      <w:r>
        <w:rPr>
          <w:color w:val="231F20"/>
          <w:sz w:val="20"/>
        </w:rPr>
        <w:t>in</w:t>
      </w:r>
    </w:p>
    <w:p w14:paraId="6E34F9E0" w14:textId="77777777" w:rsidR="002653E8" w:rsidRDefault="003115E3">
      <w:pPr>
        <w:pStyle w:val="a3"/>
        <w:spacing w:before="1" w:line="261" w:lineRule="auto"/>
        <w:ind w:left="1643" w:right="1479"/>
      </w:pPr>
      <w:r>
        <w:rPr>
          <w:color w:val="231F20"/>
        </w:rPr>
        <w:t xml:space="preserve">a concrete fortress, which will require the relocation of police units from three </w:t>
      </w:r>
      <w:r>
        <w:rPr>
          <w:i/>
          <w:color w:val="231F20"/>
        </w:rPr>
        <w:t>Länder</w:t>
      </w:r>
      <w:r>
        <w:rPr>
          <w:color w:val="231F20"/>
        </w:rPr>
        <w:t>, even though it looks like neither the accused nor their lawyers will even be allowed to be present— assuming, that is, that the justice system will let the accused live that long;</w:t>
      </w:r>
    </w:p>
    <w:p w14:paraId="0162E9A9" w14:textId="77777777" w:rsidR="002653E8" w:rsidRDefault="00000000">
      <w:pPr>
        <w:pStyle w:val="a3"/>
        <w:spacing w:before="7"/>
        <w:rPr>
          <w:sz w:val="12"/>
        </w:rPr>
      </w:pPr>
      <w:r>
        <w:rPr>
          <w:noProof w:val="0"/>
        </w:rPr>
        <w:pict w14:anchorId="49082CF8">
          <v:line id="_x0000_s2355" style="position:absolute;z-index:7144;mso-wrap-distance-left:0;mso-wrap-distance-right:0;mso-position-horizontal-relative:page" from="57.4pt,9.6pt" to="129.4pt,9.6pt" strokecolor="#231f20" strokeweight=".5pt">
            <w10:wrap type="topAndBottom" anchorx="page"/>
          </v:line>
        </w:pict>
      </w:r>
    </w:p>
    <w:p w14:paraId="4AAA9F6F" w14:textId="77777777" w:rsidR="002653E8" w:rsidRDefault="003115E3">
      <w:pPr>
        <w:pStyle w:val="a4"/>
        <w:numPr>
          <w:ilvl w:val="0"/>
          <w:numId w:val="104"/>
        </w:numPr>
        <w:tabs>
          <w:tab w:val="left" w:pos="1287"/>
        </w:tabs>
        <w:spacing w:before="53" w:line="254" w:lineRule="auto"/>
        <w:ind w:right="1556" w:firstLine="0"/>
        <w:jc w:val="left"/>
        <w:rPr>
          <w:sz w:val="16"/>
        </w:rPr>
      </w:pPr>
      <w:r>
        <w:rPr>
          <w:color w:val="231F20"/>
          <w:spacing w:val="1"/>
          <w:w w:val="105"/>
          <w:sz w:val="16"/>
        </w:rPr>
        <w:t xml:space="preserve">In </w:t>
      </w:r>
      <w:r>
        <w:rPr>
          <w:color w:val="231F20"/>
          <w:w w:val="105"/>
          <w:sz w:val="16"/>
        </w:rPr>
        <w:t>the original, this list appeared in one long paragraph; we have reformatted it for greater</w:t>
      </w:r>
      <w:r>
        <w:rPr>
          <w:color w:val="231F20"/>
          <w:spacing w:val="15"/>
          <w:w w:val="105"/>
          <w:sz w:val="16"/>
        </w:rPr>
        <w:t xml:space="preserve"> </w:t>
      </w:r>
      <w:r>
        <w:rPr>
          <w:color w:val="231F20"/>
          <w:w w:val="105"/>
          <w:sz w:val="16"/>
        </w:rPr>
        <w:t>readability.</w:t>
      </w:r>
    </w:p>
    <w:p w14:paraId="0EB33128" w14:textId="77777777" w:rsidR="002653E8" w:rsidRDefault="003115E3">
      <w:pPr>
        <w:pStyle w:val="a4"/>
        <w:numPr>
          <w:ilvl w:val="0"/>
          <w:numId w:val="104"/>
        </w:numPr>
        <w:tabs>
          <w:tab w:val="left" w:pos="1287"/>
        </w:tabs>
        <w:ind w:firstLine="0"/>
        <w:jc w:val="left"/>
        <w:rPr>
          <w:sz w:val="16"/>
        </w:rPr>
      </w:pPr>
      <w:r>
        <w:rPr>
          <w:color w:val="231F20"/>
          <w:w w:val="105"/>
          <w:sz w:val="16"/>
        </w:rPr>
        <w:t>Roughly $60 million at the</w:t>
      </w:r>
      <w:r>
        <w:rPr>
          <w:color w:val="231F20"/>
          <w:spacing w:val="5"/>
          <w:w w:val="105"/>
          <w:sz w:val="16"/>
        </w:rPr>
        <w:t xml:space="preserve"> </w:t>
      </w:r>
      <w:r>
        <w:rPr>
          <w:color w:val="231F20"/>
          <w:w w:val="105"/>
          <w:sz w:val="16"/>
        </w:rPr>
        <w:t>time.</w:t>
      </w:r>
    </w:p>
    <w:p w14:paraId="0B718395" w14:textId="77777777" w:rsidR="002653E8" w:rsidRDefault="002653E8">
      <w:pPr>
        <w:rPr>
          <w:sz w:val="16"/>
        </w:rPr>
        <w:sectPr w:rsidR="002653E8">
          <w:pgSz w:w="8640" w:h="12960"/>
          <w:pgMar w:top="1060" w:right="0" w:bottom="1040" w:left="0" w:header="0" w:footer="850" w:gutter="0"/>
          <w:cols w:space="720"/>
        </w:sectPr>
      </w:pPr>
    </w:p>
    <w:p w14:paraId="1CD19983" w14:textId="77777777" w:rsidR="002653E8" w:rsidRDefault="003115E3">
      <w:pPr>
        <w:pStyle w:val="a4"/>
        <w:numPr>
          <w:ilvl w:val="1"/>
          <w:numId w:val="104"/>
        </w:numPr>
        <w:tabs>
          <w:tab w:val="left" w:pos="1824"/>
        </w:tabs>
        <w:spacing w:before="86" w:line="261" w:lineRule="auto"/>
        <w:ind w:right="1399"/>
        <w:rPr>
          <w:sz w:val="20"/>
        </w:rPr>
      </w:pPr>
      <w:r>
        <w:rPr>
          <w:color w:val="231F20"/>
          <w:sz w:val="20"/>
        </w:rPr>
        <w:lastRenderedPageBreak/>
        <w:t>Interfering with the defense, publishing defense materials, sections of files and state security documents and using them in government campaigns to determine the verdicts and have the defense</w:t>
      </w:r>
      <w:r>
        <w:rPr>
          <w:color w:val="231F20"/>
          <w:spacing w:val="10"/>
          <w:sz w:val="20"/>
        </w:rPr>
        <w:t xml:space="preserve"> </w:t>
      </w:r>
      <w:r>
        <w:rPr>
          <w:color w:val="231F20"/>
          <w:sz w:val="20"/>
        </w:rPr>
        <w:t>barred.</w:t>
      </w:r>
    </w:p>
    <w:p w14:paraId="2FFAFAC7" w14:textId="77777777" w:rsidR="002653E8" w:rsidRDefault="002653E8">
      <w:pPr>
        <w:pStyle w:val="a3"/>
        <w:spacing w:before="11"/>
        <w:rPr>
          <w:sz w:val="13"/>
        </w:rPr>
      </w:pPr>
    </w:p>
    <w:p w14:paraId="4A736302" w14:textId="77777777" w:rsidR="002653E8" w:rsidRDefault="003115E3">
      <w:pPr>
        <w:pStyle w:val="a3"/>
        <w:spacing w:before="99" w:line="264" w:lineRule="auto"/>
        <w:ind w:left="1328" w:right="1145" w:hanging="1"/>
        <w:jc w:val="both"/>
      </w:pPr>
      <w:r>
        <w:rPr>
          <w:color w:val="231F20"/>
        </w:rPr>
        <w:t xml:space="preserve">The Springer Press has access to defense files and to files that the </w:t>
      </w:r>
      <w:r>
        <w:rPr>
          <w:color w:val="231F20"/>
          <w:spacing w:val="-12"/>
        </w:rPr>
        <w:t xml:space="preserve">BAW </w:t>
      </w:r>
      <w:r>
        <w:rPr>
          <w:color w:val="231F20"/>
        </w:rPr>
        <w:t>has withheld from the defense. The defense attorneys are watched day and night. Their mail is opened, their telephones are bugged, and their offices are searched. They receive disciplinary sanctions from the bar for their public work. Relatives and visitors are harassed by the state security services, even at their jobs. They have been terrorized with open surveillance. Anyone who wants to write to us or visit us is spied on and ends</w:t>
      </w:r>
      <w:r>
        <w:rPr>
          <w:color w:val="231F20"/>
          <w:spacing w:val="8"/>
        </w:rPr>
        <w:t xml:space="preserve"> </w:t>
      </w:r>
      <w:r>
        <w:rPr>
          <w:color w:val="231F20"/>
        </w:rPr>
        <w:t>up</w:t>
      </w:r>
      <w:r>
        <w:rPr>
          <w:color w:val="231F20"/>
          <w:spacing w:val="8"/>
        </w:rPr>
        <w:t xml:space="preserve"> </w:t>
      </w:r>
      <w:r>
        <w:rPr>
          <w:color w:val="231F20"/>
        </w:rPr>
        <w:t>in</w:t>
      </w:r>
      <w:r>
        <w:rPr>
          <w:color w:val="231F20"/>
          <w:spacing w:val="8"/>
        </w:rPr>
        <w:t xml:space="preserve"> </w:t>
      </w:r>
      <w:r>
        <w:rPr>
          <w:color w:val="231F20"/>
        </w:rPr>
        <w:t>the</w:t>
      </w:r>
      <w:r>
        <w:rPr>
          <w:color w:val="231F20"/>
          <w:spacing w:val="8"/>
        </w:rPr>
        <w:t xml:space="preserve"> </w:t>
      </w:r>
      <w:r>
        <w:rPr>
          <w:color w:val="231F20"/>
        </w:rPr>
        <w:t>state</w:t>
      </w:r>
      <w:r>
        <w:rPr>
          <w:color w:val="231F20"/>
          <w:spacing w:val="8"/>
        </w:rPr>
        <w:t xml:space="preserve"> </w:t>
      </w:r>
      <w:r>
        <w:rPr>
          <w:color w:val="231F20"/>
        </w:rPr>
        <w:t>security</w:t>
      </w:r>
      <w:r>
        <w:rPr>
          <w:color w:val="231F20"/>
          <w:spacing w:val="8"/>
        </w:rPr>
        <w:t xml:space="preserve"> </w:t>
      </w:r>
      <w:r>
        <w:rPr>
          <w:color w:val="231F20"/>
        </w:rPr>
        <w:t>services’</w:t>
      </w:r>
      <w:r>
        <w:rPr>
          <w:color w:val="231F20"/>
          <w:spacing w:val="8"/>
        </w:rPr>
        <w:t xml:space="preserve"> </w:t>
      </w:r>
      <w:r>
        <w:rPr>
          <w:color w:val="231F20"/>
        </w:rPr>
        <w:t>files.</w:t>
      </w:r>
    </w:p>
    <w:p w14:paraId="47AA1ED7" w14:textId="77777777" w:rsidR="002653E8" w:rsidRDefault="003115E3">
      <w:pPr>
        <w:pStyle w:val="a3"/>
        <w:spacing w:line="264" w:lineRule="auto"/>
        <w:ind w:left="1328" w:right="1145" w:firstLine="210"/>
        <w:jc w:val="both"/>
      </w:pPr>
      <w:r>
        <w:rPr>
          <w:color w:val="231F20"/>
        </w:rPr>
        <w:t>Because of the pressure from the hunger strike, they have made cosmetic changes, small things, details, which the Ministry presents to film crews. In reality, nothing has changed.</w:t>
      </w:r>
    </w:p>
    <w:p w14:paraId="646DF326" w14:textId="77777777" w:rsidR="002653E8" w:rsidRDefault="003115E3">
      <w:pPr>
        <w:pStyle w:val="a3"/>
        <w:spacing w:line="264" w:lineRule="auto"/>
        <w:ind w:left="1328" w:right="1145" w:firstLine="210"/>
        <w:jc w:val="both"/>
      </w:pPr>
      <w:r>
        <w:rPr>
          <w:color w:val="231F20"/>
        </w:rPr>
        <w:t>The reality right now is that isolation is organized within the prisons with deadly technical precision—now with prisoners allowed to be together in groups of two for a few hours at a time. This doesn’t interfere with</w:t>
      </w:r>
      <w:r>
        <w:rPr>
          <w:color w:val="231F20"/>
          <w:spacing w:val="-6"/>
        </w:rPr>
        <w:t xml:space="preserve"> </w:t>
      </w:r>
      <w:r>
        <w:rPr>
          <w:color w:val="231F20"/>
        </w:rPr>
        <w:t>the</w:t>
      </w:r>
      <w:r>
        <w:rPr>
          <w:color w:val="231F20"/>
          <w:spacing w:val="-6"/>
        </w:rPr>
        <w:t xml:space="preserve"> </w:t>
      </w:r>
      <w:r>
        <w:rPr>
          <w:color w:val="231F20"/>
        </w:rPr>
        <w:t>destructive</w:t>
      </w:r>
      <w:r>
        <w:rPr>
          <w:color w:val="231F20"/>
          <w:spacing w:val="-6"/>
        </w:rPr>
        <w:t xml:space="preserve"> </w:t>
      </w:r>
      <w:r>
        <w:rPr>
          <w:color w:val="231F20"/>
        </w:rPr>
        <w:t>process;</w:t>
      </w:r>
      <w:r>
        <w:rPr>
          <w:color w:val="231F20"/>
          <w:spacing w:val="-6"/>
        </w:rPr>
        <w:t xml:space="preserve"> </w:t>
      </w:r>
      <w:r>
        <w:rPr>
          <w:color w:val="231F20"/>
        </w:rPr>
        <w:t>it</w:t>
      </w:r>
      <w:r>
        <w:rPr>
          <w:color w:val="231F20"/>
          <w:spacing w:val="-6"/>
        </w:rPr>
        <w:t xml:space="preserve"> </w:t>
      </w:r>
      <w:r>
        <w:rPr>
          <w:color w:val="231F20"/>
        </w:rPr>
        <w:t>remains</w:t>
      </w:r>
      <w:r>
        <w:rPr>
          <w:color w:val="231F20"/>
          <w:spacing w:val="-6"/>
        </w:rPr>
        <w:t xml:space="preserve"> </w:t>
      </w:r>
      <w:r>
        <w:rPr>
          <w:color w:val="231F20"/>
        </w:rPr>
        <w:t>a</w:t>
      </w:r>
      <w:r>
        <w:rPr>
          <w:color w:val="231F20"/>
          <w:spacing w:val="-6"/>
        </w:rPr>
        <w:t xml:space="preserve"> </w:t>
      </w:r>
      <w:r>
        <w:rPr>
          <w:color w:val="231F20"/>
        </w:rPr>
        <w:t>closed</w:t>
      </w:r>
      <w:r>
        <w:rPr>
          <w:color w:val="231F20"/>
          <w:spacing w:val="-6"/>
        </w:rPr>
        <w:t xml:space="preserve"> </w:t>
      </w:r>
      <w:r>
        <w:rPr>
          <w:color w:val="231F20"/>
        </w:rPr>
        <w:t>system.</w:t>
      </w:r>
      <w:r>
        <w:rPr>
          <w:color w:val="231F20"/>
          <w:spacing w:val="-6"/>
        </w:rPr>
        <w:t xml:space="preserve"> </w:t>
      </w:r>
      <w:r>
        <w:rPr>
          <w:color w:val="231F20"/>
        </w:rPr>
        <w:t>This</w:t>
      </w:r>
      <w:r>
        <w:rPr>
          <w:color w:val="231F20"/>
          <w:spacing w:val="-6"/>
        </w:rPr>
        <w:t xml:space="preserve"> </w:t>
      </w:r>
      <w:r>
        <w:rPr>
          <w:color w:val="231F20"/>
        </w:rPr>
        <w:t>means</w:t>
      </w:r>
      <w:r>
        <w:rPr>
          <w:color w:val="231F20"/>
          <w:spacing w:val="-6"/>
        </w:rPr>
        <w:t xml:space="preserve"> </w:t>
      </w:r>
      <w:r>
        <w:rPr>
          <w:color w:val="231F20"/>
        </w:rPr>
        <w:t xml:space="preserve">that the brainwashing is to continue and any social interaction will remain impossible. </w:t>
      </w:r>
      <w:r>
        <w:rPr>
          <w:color w:val="231F20"/>
          <w:spacing w:val="1"/>
        </w:rPr>
        <w:t xml:space="preserve">In </w:t>
      </w:r>
      <w:r>
        <w:rPr>
          <w:color w:val="231F20"/>
        </w:rPr>
        <w:t>regards to the outside, isolation is perfected by excluding the</w:t>
      </w:r>
      <w:r>
        <w:rPr>
          <w:color w:val="231F20"/>
          <w:spacing w:val="8"/>
        </w:rPr>
        <w:t xml:space="preserve"> </w:t>
      </w:r>
      <w:r>
        <w:rPr>
          <w:color w:val="231F20"/>
        </w:rPr>
        <w:t>lawyers,</w:t>
      </w:r>
      <w:r>
        <w:rPr>
          <w:color w:val="231F20"/>
          <w:spacing w:val="8"/>
        </w:rPr>
        <w:t xml:space="preserve"> </w:t>
      </w:r>
      <w:r>
        <w:rPr>
          <w:color w:val="231F20"/>
        </w:rPr>
        <w:t>or</w:t>
      </w:r>
      <w:r>
        <w:rPr>
          <w:color w:val="231F20"/>
          <w:spacing w:val="8"/>
        </w:rPr>
        <w:t xml:space="preserve"> </w:t>
      </w:r>
      <w:r>
        <w:rPr>
          <w:color w:val="231F20"/>
        </w:rPr>
        <w:t>else</w:t>
      </w:r>
      <w:r>
        <w:rPr>
          <w:color w:val="231F20"/>
          <w:spacing w:val="8"/>
        </w:rPr>
        <w:t xml:space="preserve"> </w:t>
      </w:r>
      <w:r>
        <w:rPr>
          <w:color w:val="231F20"/>
        </w:rPr>
        <w:t>by</w:t>
      </w:r>
      <w:r>
        <w:rPr>
          <w:color w:val="231F20"/>
          <w:spacing w:val="8"/>
        </w:rPr>
        <w:t xml:space="preserve"> </w:t>
      </w:r>
      <w:r>
        <w:rPr>
          <w:color w:val="231F20"/>
        </w:rPr>
        <w:t>limiting</w:t>
      </w:r>
      <w:r>
        <w:rPr>
          <w:color w:val="231F20"/>
          <w:spacing w:val="8"/>
        </w:rPr>
        <w:t xml:space="preserve"> </w:t>
      </w:r>
      <w:r>
        <w:rPr>
          <w:color w:val="231F20"/>
        </w:rPr>
        <w:t>their</w:t>
      </w:r>
      <w:r>
        <w:rPr>
          <w:color w:val="231F20"/>
          <w:spacing w:val="8"/>
        </w:rPr>
        <w:t xml:space="preserve"> </w:t>
      </w:r>
      <w:r>
        <w:rPr>
          <w:color w:val="231F20"/>
        </w:rPr>
        <w:t>number</w:t>
      </w:r>
      <w:r>
        <w:rPr>
          <w:color w:val="231F20"/>
          <w:spacing w:val="8"/>
        </w:rPr>
        <w:t xml:space="preserve"> </w:t>
      </w:r>
      <w:r>
        <w:rPr>
          <w:color w:val="231F20"/>
        </w:rPr>
        <w:t>to</w:t>
      </w:r>
      <w:r>
        <w:rPr>
          <w:color w:val="231F20"/>
          <w:spacing w:val="8"/>
        </w:rPr>
        <w:t xml:space="preserve"> </w:t>
      </w:r>
      <w:r>
        <w:rPr>
          <w:color w:val="231F20"/>
        </w:rPr>
        <w:t>three</w:t>
      </w:r>
      <w:r>
        <w:rPr>
          <w:color w:val="231F20"/>
          <w:spacing w:val="8"/>
        </w:rPr>
        <w:t xml:space="preserve"> </w:t>
      </w:r>
      <w:r>
        <w:rPr>
          <w:color w:val="231F20"/>
        </w:rPr>
        <w:t>at</w:t>
      </w:r>
      <w:r>
        <w:rPr>
          <w:color w:val="231F20"/>
          <w:spacing w:val="8"/>
        </w:rPr>
        <w:t xml:space="preserve"> </w:t>
      </w:r>
      <w:r>
        <w:rPr>
          <w:color w:val="231F20"/>
        </w:rPr>
        <w:t>a</w:t>
      </w:r>
      <w:r>
        <w:rPr>
          <w:color w:val="231F20"/>
          <w:spacing w:val="8"/>
        </w:rPr>
        <w:t xml:space="preserve"> </w:t>
      </w:r>
      <w:r>
        <w:rPr>
          <w:color w:val="231F20"/>
        </w:rPr>
        <w:t>time.</w:t>
      </w:r>
    </w:p>
    <w:p w14:paraId="6915D8DC" w14:textId="77777777" w:rsidR="002653E8" w:rsidRDefault="003115E3">
      <w:pPr>
        <w:pStyle w:val="a3"/>
        <w:spacing w:line="264" w:lineRule="auto"/>
        <w:ind w:left="1327" w:right="1146" w:firstLine="210"/>
        <w:jc w:val="both"/>
      </w:pPr>
      <w:r>
        <w:rPr>
          <w:color w:val="231F20"/>
        </w:rPr>
        <w:t>Given Posser’s</w:t>
      </w:r>
      <w:r>
        <w:rPr>
          <w:color w:val="231F20"/>
          <w:position w:val="7"/>
          <w:sz w:val="11"/>
        </w:rPr>
        <w:t xml:space="preserve">3 </w:t>
      </w:r>
      <w:r>
        <w:rPr>
          <w:color w:val="231F20"/>
        </w:rPr>
        <w:t>conditions—for example our six years of remand— and the role of the BAW in postponing the trial, it’s clear what we mean by “extermination through prison conditions.” Disprove even one of these “privileges”!</w:t>
      </w:r>
    </w:p>
    <w:p w14:paraId="062D6AE2" w14:textId="77777777" w:rsidR="002653E8" w:rsidRDefault="002653E8">
      <w:pPr>
        <w:pStyle w:val="a3"/>
        <w:spacing w:before="10"/>
        <w:rPr>
          <w:sz w:val="19"/>
        </w:rPr>
      </w:pPr>
    </w:p>
    <w:p w14:paraId="176A165A" w14:textId="77777777" w:rsidR="002653E8" w:rsidRDefault="003115E3">
      <w:pPr>
        <w:pStyle w:val="a3"/>
        <w:spacing w:line="264" w:lineRule="auto"/>
        <w:ind w:left="1327" w:right="1146"/>
        <w:jc w:val="both"/>
      </w:pPr>
      <w:r>
        <w:rPr>
          <w:i/>
          <w:color w:val="231F20"/>
        </w:rPr>
        <w:t>Spiegel</w:t>
      </w:r>
      <w:r>
        <w:rPr>
          <w:color w:val="231F20"/>
        </w:rPr>
        <w:t>: First you said that force-feeding was a fascist tactic, then after Holger Meins died of starvation, you described his death as a “murder by installment.” Isn’t that a</w:t>
      </w:r>
      <w:r>
        <w:rPr>
          <w:color w:val="231F20"/>
          <w:spacing w:val="15"/>
        </w:rPr>
        <w:t xml:space="preserve"> </w:t>
      </w:r>
      <w:r>
        <w:rPr>
          <w:color w:val="231F20"/>
        </w:rPr>
        <w:t>contradiction?</w:t>
      </w:r>
    </w:p>
    <w:p w14:paraId="5BE841A7" w14:textId="77777777" w:rsidR="002653E8" w:rsidRDefault="002653E8">
      <w:pPr>
        <w:pStyle w:val="a3"/>
        <w:spacing w:before="7"/>
        <w:rPr>
          <w:sz w:val="21"/>
        </w:rPr>
      </w:pPr>
    </w:p>
    <w:p w14:paraId="782B7E07" w14:textId="77777777" w:rsidR="002653E8" w:rsidRDefault="00C507A5">
      <w:pPr>
        <w:pStyle w:val="a3"/>
        <w:spacing w:before="1" w:line="264" w:lineRule="auto"/>
        <w:ind w:left="1327" w:right="1146"/>
        <w:jc w:val="both"/>
      </w:pPr>
      <w:r>
        <w:rPr>
          <w:color w:val="231F20"/>
          <w:spacing w:val="1"/>
        </w:rPr>
        <w:t>red army faction</w:t>
      </w:r>
      <w:r w:rsidR="003115E3">
        <w:rPr>
          <w:color w:val="231F20"/>
          <w:spacing w:val="1"/>
        </w:rPr>
        <w:t xml:space="preserve">: </w:t>
      </w:r>
      <w:r w:rsidR="003115E3">
        <w:rPr>
          <w:color w:val="231F20"/>
          <w:spacing w:val="-5"/>
        </w:rPr>
        <w:t xml:space="preserve">We’re </w:t>
      </w:r>
      <w:r w:rsidR="003115E3">
        <w:rPr>
          <w:color w:val="231F20"/>
        </w:rPr>
        <w:t>not the ones who said that, but force-feeding  is  a  tactic used to diminish the effect of the hunger strike—how it appears—on the outside world; in short, to camouflage the murder. This is why intensive care units were set up in the prisons, so that it could be said  that</w:t>
      </w:r>
      <w:r w:rsidR="003115E3">
        <w:rPr>
          <w:color w:val="231F20"/>
          <w:spacing w:val="15"/>
        </w:rPr>
        <w:t xml:space="preserve"> </w:t>
      </w:r>
      <w:r w:rsidR="003115E3">
        <w:rPr>
          <w:color w:val="231F20"/>
        </w:rPr>
        <w:t>“they</w:t>
      </w:r>
      <w:r w:rsidR="003115E3">
        <w:rPr>
          <w:color w:val="231F20"/>
          <w:spacing w:val="15"/>
        </w:rPr>
        <w:t xml:space="preserve"> </w:t>
      </w:r>
      <w:r w:rsidR="003115E3">
        <w:rPr>
          <w:color w:val="231F20"/>
        </w:rPr>
        <w:t>did</w:t>
      </w:r>
      <w:r w:rsidR="003115E3">
        <w:rPr>
          <w:color w:val="231F20"/>
          <w:spacing w:val="15"/>
        </w:rPr>
        <w:t xml:space="preserve"> </w:t>
      </w:r>
      <w:r w:rsidR="003115E3">
        <w:rPr>
          <w:color w:val="231F20"/>
        </w:rPr>
        <w:t>everything</w:t>
      </w:r>
      <w:r w:rsidR="003115E3">
        <w:rPr>
          <w:color w:val="231F20"/>
          <w:spacing w:val="15"/>
        </w:rPr>
        <w:t xml:space="preserve"> </w:t>
      </w:r>
      <w:r w:rsidR="003115E3">
        <w:rPr>
          <w:color w:val="231F20"/>
        </w:rPr>
        <w:t>they</w:t>
      </w:r>
      <w:r w:rsidR="003115E3">
        <w:rPr>
          <w:color w:val="231F20"/>
          <w:spacing w:val="15"/>
        </w:rPr>
        <w:t xml:space="preserve"> </w:t>
      </w:r>
      <w:r w:rsidR="003115E3">
        <w:rPr>
          <w:color w:val="231F20"/>
        </w:rPr>
        <w:t>could,”</w:t>
      </w:r>
      <w:r w:rsidR="003115E3">
        <w:rPr>
          <w:color w:val="231F20"/>
          <w:spacing w:val="15"/>
        </w:rPr>
        <w:t xml:space="preserve"> </w:t>
      </w:r>
      <w:r w:rsidR="003115E3">
        <w:rPr>
          <w:color w:val="231F20"/>
        </w:rPr>
        <w:t>although</w:t>
      </w:r>
      <w:r w:rsidR="003115E3">
        <w:rPr>
          <w:color w:val="231F20"/>
          <w:spacing w:val="15"/>
        </w:rPr>
        <w:t xml:space="preserve"> </w:t>
      </w:r>
      <w:r w:rsidR="003115E3">
        <w:rPr>
          <w:color w:val="231F20"/>
        </w:rPr>
        <w:t>they</w:t>
      </w:r>
      <w:r w:rsidR="003115E3">
        <w:rPr>
          <w:color w:val="231F20"/>
          <w:spacing w:val="15"/>
        </w:rPr>
        <w:t xml:space="preserve"> </w:t>
      </w:r>
      <w:r w:rsidR="003115E3">
        <w:rPr>
          <w:color w:val="231F20"/>
        </w:rPr>
        <w:t>didn’t</w:t>
      </w:r>
      <w:r w:rsidR="003115E3">
        <w:rPr>
          <w:color w:val="231F20"/>
          <w:spacing w:val="15"/>
        </w:rPr>
        <w:t xml:space="preserve"> </w:t>
      </w:r>
      <w:r w:rsidR="003115E3">
        <w:rPr>
          <w:color w:val="231F20"/>
        </w:rPr>
        <w:t>do</w:t>
      </w:r>
      <w:r w:rsidR="003115E3">
        <w:rPr>
          <w:color w:val="231F20"/>
          <w:spacing w:val="15"/>
        </w:rPr>
        <w:t xml:space="preserve"> </w:t>
      </w:r>
      <w:r w:rsidR="003115E3">
        <w:rPr>
          <w:color w:val="231F20"/>
        </w:rPr>
        <w:t>the</w:t>
      </w:r>
    </w:p>
    <w:p w14:paraId="378ED4FE" w14:textId="77777777" w:rsidR="002653E8" w:rsidRDefault="002653E8">
      <w:pPr>
        <w:pStyle w:val="a3"/>
        <w:spacing w:before="2"/>
        <w:rPr>
          <w:sz w:val="22"/>
        </w:rPr>
      </w:pPr>
    </w:p>
    <w:p w14:paraId="7D8DF740" w14:textId="77777777" w:rsidR="002653E8" w:rsidRDefault="003115E3">
      <w:pPr>
        <w:pStyle w:val="a4"/>
        <w:numPr>
          <w:ilvl w:val="0"/>
          <w:numId w:val="104"/>
        </w:numPr>
        <w:tabs>
          <w:tab w:val="left" w:pos="1467"/>
        </w:tabs>
        <w:spacing w:before="105" w:line="254" w:lineRule="auto"/>
        <w:ind w:left="1327" w:right="1338" w:firstLine="0"/>
        <w:jc w:val="left"/>
        <w:rPr>
          <w:sz w:val="16"/>
        </w:rPr>
      </w:pPr>
      <w:r>
        <w:rPr>
          <w:color w:val="231F20"/>
          <w:w w:val="105"/>
          <w:sz w:val="16"/>
        </w:rPr>
        <w:t xml:space="preserve">Diether Posser was the SPD Minister of Justice in of North </w:t>
      </w:r>
      <w:r>
        <w:rPr>
          <w:color w:val="231F20"/>
          <w:spacing w:val="1"/>
          <w:w w:val="105"/>
          <w:sz w:val="16"/>
        </w:rPr>
        <w:t xml:space="preserve">Rhine </w:t>
      </w:r>
      <w:r>
        <w:rPr>
          <w:color w:val="231F20"/>
          <w:w w:val="105"/>
          <w:sz w:val="16"/>
        </w:rPr>
        <w:t>Westphalia at the</w:t>
      </w:r>
      <w:r>
        <w:rPr>
          <w:color w:val="231F20"/>
          <w:spacing w:val="7"/>
          <w:w w:val="105"/>
          <w:sz w:val="16"/>
        </w:rPr>
        <w:t xml:space="preserve"> </w:t>
      </w:r>
      <w:r>
        <w:rPr>
          <w:color w:val="231F20"/>
          <w:w w:val="105"/>
          <w:sz w:val="16"/>
        </w:rPr>
        <w:t>time.</w:t>
      </w:r>
    </w:p>
    <w:p w14:paraId="7941614D" w14:textId="77777777" w:rsidR="002653E8" w:rsidRDefault="003115E3">
      <w:pPr>
        <w:pStyle w:val="a3"/>
        <w:spacing w:before="86" w:line="264" w:lineRule="auto"/>
        <w:ind w:left="1147" w:right="1327"/>
        <w:jc w:val="both"/>
      </w:pPr>
      <w:r>
        <w:rPr>
          <w:color w:val="231F20"/>
        </w:rPr>
        <w:lastRenderedPageBreak/>
        <w:t>simplest thing they could have done: abolish isolation and special treatment.</w:t>
      </w:r>
    </w:p>
    <w:p w14:paraId="5C3EC2E7" w14:textId="77777777" w:rsidR="002653E8" w:rsidRDefault="003115E3">
      <w:pPr>
        <w:pStyle w:val="a3"/>
        <w:spacing w:line="264" w:lineRule="auto"/>
        <w:ind w:left="1147" w:right="1325" w:firstLine="210"/>
        <w:jc w:val="both"/>
      </w:pPr>
      <w:r>
        <w:rPr>
          <w:color w:val="231F20"/>
        </w:rPr>
        <w:t xml:space="preserve">Holger Meins was intentionally executed by systematic undernourishment. From the beginning, force-feeding in Wittlich prison was a method of assassination. At first, it was carried out by brutal and direct violence to break his will. After that, it was only done for </w:t>
      </w:r>
      <w:r>
        <w:rPr>
          <w:color w:val="231F20"/>
          <w:spacing w:val="-4"/>
        </w:rPr>
        <w:t xml:space="preserve">show. </w:t>
      </w:r>
      <w:r>
        <w:rPr>
          <w:color w:val="231F20"/>
        </w:rPr>
        <w:t xml:space="preserve">With  400 calories a </w:t>
      </w:r>
      <w:r>
        <w:rPr>
          <w:color w:val="231F20"/>
          <w:spacing w:val="-4"/>
        </w:rPr>
        <w:t xml:space="preserve">day, </w:t>
      </w:r>
      <w:r>
        <w:rPr>
          <w:color w:val="231F20"/>
        </w:rPr>
        <w:t xml:space="preserve">it is only a matter of time, certainly only days, before one dies. Buback and the Security Group arranged for Holger Meins to remain in Wittlich prison until he died. On October </w:t>
      </w:r>
      <w:r>
        <w:rPr>
          <w:color w:val="231F20"/>
          <w:spacing w:val="-3"/>
        </w:rPr>
        <w:t xml:space="preserve">21, </w:t>
      </w:r>
      <w:r>
        <w:rPr>
          <w:color w:val="231F20"/>
        </w:rPr>
        <w:t>the Stuttgart Supreme Court ordered that Holger Meins be transferred to Stuttgart  by November 2 at the latest. On October 24, Buback informed the Stuttgart court that the state security services would not be able to respect this timetable—a fact that was only made public after Holger’s death. Finally, Hutter, the prison doctor, completely cut off the forcefeeding and went on vacation.</w:t>
      </w:r>
    </w:p>
    <w:p w14:paraId="6EC8028A" w14:textId="77777777" w:rsidR="002653E8" w:rsidRDefault="003115E3">
      <w:pPr>
        <w:pStyle w:val="a3"/>
        <w:spacing w:line="220" w:lineRule="exact"/>
        <w:ind w:left="1357"/>
      </w:pPr>
      <w:r>
        <w:rPr>
          <w:color w:val="231F20"/>
        </w:rPr>
        <w:t>It must also be pointed out that throughout the hunger strike the</w:t>
      </w:r>
    </w:p>
    <w:p w14:paraId="0A16542F" w14:textId="77777777" w:rsidR="002653E8" w:rsidRDefault="003115E3">
      <w:pPr>
        <w:pStyle w:val="a3"/>
        <w:spacing w:before="21" w:line="264" w:lineRule="auto"/>
        <w:ind w:left="1148" w:right="1325" w:hanging="1"/>
        <w:jc w:val="both"/>
      </w:pPr>
      <w:r>
        <w:rPr>
          <w:color w:val="231F20"/>
        </w:rPr>
        <w:t>BKA received “reports” from the prison administration as to the prisoners’ condition. It must be emphasized that in an effort to protect himself, because he could see that Holger was dying, before Hutter left he asked Degenhardt to guarantee that he would not face charges, in the same way that all of the charges against Degenhardt had been dropped. Degenhardt was the doctor who, in the summer of 1973, during the second hunger strike, deprived prisoners at Schwamstadt of water for nine days “for medical reasons,” until a coma was induced. He is the doctor who Buback described, in comparison to Frey, who was dealing with the prisoners in Zweibrücken, as having what it takes.</w:t>
      </w:r>
    </w:p>
    <w:p w14:paraId="15A83FDB" w14:textId="77777777" w:rsidR="002653E8" w:rsidRDefault="003115E3">
      <w:pPr>
        <w:pStyle w:val="a3"/>
        <w:spacing w:line="264" w:lineRule="auto"/>
        <w:ind w:left="1147" w:right="1326" w:firstLine="210"/>
        <w:jc w:val="both"/>
      </w:pPr>
      <w:r>
        <w:rPr>
          <w:color w:val="231F20"/>
        </w:rPr>
        <w:t xml:space="preserve">Holger was assassinated according to a plan by which the scheduling of his transfer was manipulated to create an opening that the </w:t>
      </w:r>
      <w:r>
        <w:rPr>
          <w:color w:val="231F20"/>
          <w:spacing w:val="-6"/>
        </w:rPr>
        <w:t xml:space="preserve">BAW </w:t>
      </w:r>
      <w:r>
        <w:rPr>
          <w:color w:val="231F20"/>
        </w:rPr>
        <w:t xml:space="preserve">and the Security Group could use to target the prisoner directly. The fact that so far no journalist has looked into this and nobody has written about it doesn’t change the facts, but does say everything that needs to be said about the collaboration, complicity, and personal ties between the media conglomerates and state security: the </w:t>
      </w:r>
      <w:r>
        <w:rPr>
          <w:color w:val="231F20"/>
          <w:spacing w:val="-8"/>
        </w:rPr>
        <w:t xml:space="preserve">BAW, </w:t>
      </w:r>
      <w:r>
        <w:rPr>
          <w:color w:val="231F20"/>
        </w:rPr>
        <w:t xml:space="preserve">the </w:t>
      </w:r>
      <w:r>
        <w:rPr>
          <w:color w:val="231F20"/>
          <w:spacing w:val="2"/>
        </w:rPr>
        <w:t xml:space="preserve">BKA, </w:t>
      </w:r>
      <w:r>
        <w:rPr>
          <w:color w:val="231F20"/>
        </w:rPr>
        <w:t>and the intelligence</w:t>
      </w:r>
      <w:r>
        <w:rPr>
          <w:color w:val="231F20"/>
          <w:spacing w:val="10"/>
        </w:rPr>
        <w:t xml:space="preserve"> </w:t>
      </w:r>
      <w:r>
        <w:rPr>
          <w:color w:val="231F20"/>
        </w:rPr>
        <w:t>services.</w:t>
      </w:r>
    </w:p>
    <w:p w14:paraId="72A6718C" w14:textId="77777777" w:rsidR="002653E8" w:rsidRDefault="002653E8">
      <w:pPr>
        <w:pStyle w:val="a3"/>
        <w:spacing w:before="3"/>
      </w:pPr>
    </w:p>
    <w:p w14:paraId="765F0284" w14:textId="77777777" w:rsidR="002653E8" w:rsidRDefault="003115E3">
      <w:pPr>
        <w:pStyle w:val="a3"/>
        <w:spacing w:line="264" w:lineRule="auto"/>
        <w:ind w:left="1147" w:right="1326"/>
        <w:jc w:val="both"/>
      </w:pPr>
      <w:r>
        <w:rPr>
          <w:i/>
          <w:color w:val="231F20"/>
        </w:rPr>
        <w:t>Spiegel</w:t>
      </w:r>
      <w:r>
        <w:rPr>
          <w:color w:val="231F20"/>
        </w:rPr>
        <w:t xml:space="preserve">: There is no </w:t>
      </w:r>
      <w:r>
        <w:rPr>
          <w:color w:val="231F20"/>
          <w:spacing w:val="-2"/>
        </w:rPr>
        <w:t xml:space="preserve">way </w:t>
      </w:r>
      <w:r>
        <w:rPr>
          <w:color w:val="231F20"/>
        </w:rPr>
        <w:t xml:space="preserve">we can accept your version of the so-called “murder by installment” of Meins. It seems to us that you have a persecution complex, which would make sense after years spent underground and in prison. </w:t>
      </w:r>
      <w:r>
        <w:rPr>
          <w:color w:val="231F20"/>
          <w:spacing w:val="-5"/>
        </w:rPr>
        <w:t xml:space="preserve">We </w:t>
      </w:r>
      <w:r>
        <w:rPr>
          <w:color w:val="231F20"/>
        </w:rPr>
        <w:t xml:space="preserve">at </w:t>
      </w:r>
      <w:r>
        <w:rPr>
          <w:i/>
          <w:color w:val="231F20"/>
        </w:rPr>
        <w:t xml:space="preserve">Spiegel </w:t>
      </w:r>
      <w:r>
        <w:rPr>
          <w:color w:val="231F20"/>
        </w:rPr>
        <w:t xml:space="preserve">criticized  </w:t>
      </w:r>
      <w:r>
        <w:rPr>
          <w:color w:val="231F20"/>
          <w:spacing w:val="-3"/>
        </w:rPr>
        <w:t xml:space="preserve">Dr.  </w:t>
      </w:r>
      <w:r>
        <w:rPr>
          <w:color w:val="231F20"/>
        </w:rPr>
        <w:t xml:space="preserve">Hutter’s  behavior, and the </w:t>
      </w:r>
      <w:r>
        <w:rPr>
          <w:color w:val="231F20"/>
          <w:spacing w:val="-6"/>
        </w:rPr>
        <w:t xml:space="preserve">BAW </w:t>
      </w:r>
      <w:r>
        <w:rPr>
          <w:color w:val="231F20"/>
        </w:rPr>
        <w:t>launched an investigation into his</w:t>
      </w:r>
      <w:r>
        <w:rPr>
          <w:color w:val="231F20"/>
          <w:spacing w:val="22"/>
        </w:rPr>
        <w:t xml:space="preserve"> </w:t>
      </w:r>
      <w:r>
        <w:rPr>
          <w:color w:val="231F20"/>
        </w:rPr>
        <w:t>actions.</w:t>
      </w:r>
    </w:p>
    <w:p w14:paraId="35F06921" w14:textId="77777777" w:rsidR="002653E8" w:rsidRDefault="002653E8">
      <w:pPr>
        <w:spacing w:line="264" w:lineRule="auto"/>
        <w:jc w:val="both"/>
        <w:sectPr w:rsidR="002653E8">
          <w:footerReference w:type="even" r:id="rId259"/>
          <w:footerReference w:type="default" r:id="rId260"/>
          <w:pgSz w:w="8640" w:h="12960"/>
          <w:pgMar w:top="1060" w:right="0" w:bottom="1040" w:left="0" w:header="0" w:footer="850" w:gutter="0"/>
          <w:cols w:space="720"/>
        </w:sectPr>
      </w:pPr>
    </w:p>
    <w:p w14:paraId="62FDF579" w14:textId="77777777" w:rsidR="002653E8" w:rsidRDefault="00C507A5">
      <w:pPr>
        <w:pStyle w:val="a3"/>
        <w:spacing w:before="86" w:line="264" w:lineRule="auto"/>
        <w:ind w:left="1327" w:right="1146"/>
        <w:jc w:val="both"/>
      </w:pPr>
      <w:r>
        <w:rPr>
          <w:color w:val="231F20"/>
          <w:spacing w:val="1"/>
        </w:rPr>
        <w:lastRenderedPageBreak/>
        <w:t>red army faction</w:t>
      </w:r>
      <w:r w:rsidR="003115E3">
        <w:rPr>
          <w:color w:val="231F20"/>
          <w:spacing w:val="1"/>
        </w:rPr>
        <w:t xml:space="preserve">: </w:t>
      </w:r>
      <w:r w:rsidR="003115E3">
        <w:rPr>
          <w:color w:val="231F20"/>
          <w:spacing w:val="-3"/>
        </w:rPr>
        <w:t xml:space="preserve">It’s </w:t>
      </w:r>
      <w:r w:rsidR="003115E3">
        <w:rPr>
          <w:color w:val="231F20"/>
        </w:rPr>
        <w:t xml:space="preserve">not about Hutter or any other prison doctor—they decide practically nothing. The medical system in prison is organized hierarchically, and at most Hutter is an expendable figure. </w:t>
      </w:r>
      <w:r w:rsidR="003115E3">
        <w:rPr>
          <w:color w:val="231F20"/>
          <w:spacing w:val="-3"/>
        </w:rPr>
        <w:t xml:space="preserve">He’s </w:t>
      </w:r>
      <w:r w:rsidR="003115E3">
        <w:rPr>
          <w:color w:val="231F20"/>
        </w:rPr>
        <w:t xml:space="preserve">a pig, but only a little one, who in the long run might be held accountable, although nobody who knows anything about prison or prison medicine would believe it. When you say you “criticized” </w:t>
      </w:r>
      <w:r w:rsidR="003115E3">
        <w:rPr>
          <w:color w:val="231F20"/>
          <w:spacing w:val="1"/>
        </w:rPr>
        <w:t xml:space="preserve">him, </w:t>
      </w:r>
      <w:r w:rsidR="003115E3">
        <w:rPr>
          <w:color w:val="231F20"/>
        </w:rPr>
        <w:t>you are referring to the old trick of talking about “mistakes,” so that the actual mistake will not be</w:t>
      </w:r>
      <w:r w:rsidR="003115E3">
        <w:rPr>
          <w:color w:val="231F20"/>
          <w:spacing w:val="7"/>
        </w:rPr>
        <w:t xml:space="preserve"> </w:t>
      </w:r>
      <w:r w:rsidR="003115E3">
        <w:rPr>
          <w:color w:val="231F20"/>
        </w:rPr>
        <w:t>understood:</w:t>
      </w:r>
      <w:r w:rsidR="003115E3">
        <w:rPr>
          <w:color w:val="231F20"/>
          <w:spacing w:val="7"/>
        </w:rPr>
        <w:t xml:space="preserve"> </w:t>
      </w:r>
      <w:r w:rsidR="003115E3">
        <w:rPr>
          <w:color w:val="231F20"/>
        </w:rPr>
        <w:t>class</w:t>
      </w:r>
      <w:r w:rsidR="003115E3">
        <w:rPr>
          <w:color w:val="231F20"/>
          <w:spacing w:val="7"/>
        </w:rPr>
        <w:t xml:space="preserve"> </w:t>
      </w:r>
      <w:r w:rsidR="003115E3">
        <w:rPr>
          <w:color w:val="231F20"/>
        </w:rPr>
        <w:t>society,</w:t>
      </w:r>
      <w:r w:rsidR="003115E3">
        <w:rPr>
          <w:color w:val="231F20"/>
          <w:spacing w:val="7"/>
        </w:rPr>
        <w:t xml:space="preserve"> </w:t>
      </w:r>
      <w:r w:rsidR="003115E3">
        <w:rPr>
          <w:color w:val="231F20"/>
        </w:rPr>
        <w:t>its</w:t>
      </w:r>
      <w:r w:rsidR="003115E3">
        <w:rPr>
          <w:color w:val="231F20"/>
          <w:spacing w:val="7"/>
        </w:rPr>
        <w:t xml:space="preserve"> </w:t>
      </w:r>
      <w:r w:rsidR="003115E3">
        <w:rPr>
          <w:color w:val="231F20"/>
        </w:rPr>
        <w:t>justice</w:t>
      </w:r>
      <w:r w:rsidR="003115E3">
        <w:rPr>
          <w:color w:val="231F20"/>
          <w:spacing w:val="7"/>
        </w:rPr>
        <w:t xml:space="preserve"> </w:t>
      </w:r>
      <w:r w:rsidR="003115E3">
        <w:rPr>
          <w:color w:val="231F20"/>
        </w:rPr>
        <w:t>system,</w:t>
      </w:r>
      <w:r w:rsidR="003115E3">
        <w:rPr>
          <w:color w:val="231F20"/>
          <w:spacing w:val="7"/>
        </w:rPr>
        <w:t xml:space="preserve"> </w:t>
      </w:r>
      <w:r w:rsidR="003115E3">
        <w:rPr>
          <w:color w:val="231F20"/>
        </w:rPr>
        <w:t>and</w:t>
      </w:r>
      <w:r w:rsidR="003115E3">
        <w:rPr>
          <w:color w:val="231F20"/>
          <w:spacing w:val="7"/>
        </w:rPr>
        <w:t xml:space="preserve"> </w:t>
      </w:r>
      <w:r w:rsidR="003115E3">
        <w:rPr>
          <w:color w:val="231F20"/>
        </w:rPr>
        <w:t>its</w:t>
      </w:r>
      <w:r w:rsidR="003115E3">
        <w:rPr>
          <w:color w:val="231F20"/>
          <w:spacing w:val="7"/>
        </w:rPr>
        <w:t xml:space="preserve"> </w:t>
      </w:r>
      <w:r w:rsidR="003115E3">
        <w:rPr>
          <w:color w:val="231F20"/>
        </w:rPr>
        <w:t>prison</w:t>
      </w:r>
      <w:r w:rsidR="003115E3">
        <w:rPr>
          <w:color w:val="231F20"/>
          <w:spacing w:val="7"/>
        </w:rPr>
        <w:t xml:space="preserve"> </w:t>
      </w:r>
      <w:r w:rsidR="003115E3">
        <w:rPr>
          <w:color w:val="231F20"/>
        </w:rPr>
        <w:t>camps.</w:t>
      </w:r>
    </w:p>
    <w:p w14:paraId="43BEFEAB" w14:textId="77777777" w:rsidR="002653E8" w:rsidRDefault="003115E3">
      <w:pPr>
        <w:pStyle w:val="a3"/>
        <w:spacing w:line="264" w:lineRule="auto"/>
        <w:ind w:left="1327" w:right="1146" w:firstLine="210"/>
        <w:jc w:val="both"/>
      </w:pPr>
      <w:r>
        <w:rPr>
          <w:color w:val="231F20"/>
        </w:rPr>
        <w:t xml:space="preserve">Given the situation in the prisons, the media’s fascist demagogy around the hunger strike, the chorus of professional politicians—the uncontrollable outburst against a nonviolent action carried out by a small group of people, imprisoned and isolated, who have been pushed into a position of extreme defensiveness, as if the hunger strike were a military attack—Strauß spoke of the rules of war—all of this shows to what point the system’s political and economic crises have eroded its facade of legitimacy. That’s where you should look for the sickness, in the state’s real interest in exterminating the </w:t>
      </w:r>
      <w:r w:rsidR="00C507A5">
        <w:rPr>
          <w:color w:val="231F20"/>
        </w:rPr>
        <w:t>red army faction</w:t>
      </w:r>
      <w:r>
        <w:rPr>
          <w:color w:val="231F20"/>
        </w:rPr>
        <w:t xml:space="preserve"> prisoners, instead of babbling about persecution complexes.</w:t>
      </w:r>
    </w:p>
    <w:p w14:paraId="113CCC8D" w14:textId="77777777" w:rsidR="002653E8" w:rsidRDefault="002653E8">
      <w:pPr>
        <w:pStyle w:val="a3"/>
        <w:spacing w:before="3"/>
      </w:pPr>
    </w:p>
    <w:p w14:paraId="647FFC4F" w14:textId="77777777" w:rsidR="002653E8" w:rsidRDefault="003115E3">
      <w:pPr>
        <w:pStyle w:val="a3"/>
        <w:spacing w:line="264" w:lineRule="auto"/>
        <w:ind w:left="1327" w:right="1146"/>
        <w:jc w:val="both"/>
      </w:pPr>
      <w:r>
        <w:rPr>
          <w:i/>
          <w:color w:val="231F20"/>
        </w:rPr>
        <w:t>Spiegel</w:t>
      </w:r>
      <w:r>
        <w:rPr>
          <w:color w:val="231F20"/>
        </w:rPr>
        <w:t>: The British recently stopped the use of force-feeding, for instance in dealing with the terrorists from the IRA. The hunger strikes stopped right away. How would you react if this was done here?</w:t>
      </w:r>
    </w:p>
    <w:p w14:paraId="1CFF60A8" w14:textId="77777777" w:rsidR="002653E8" w:rsidRDefault="002653E8">
      <w:pPr>
        <w:pStyle w:val="a3"/>
        <w:spacing w:before="8"/>
        <w:rPr>
          <w:sz w:val="21"/>
        </w:rPr>
      </w:pPr>
    </w:p>
    <w:p w14:paraId="0C2BCD79" w14:textId="77777777" w:rsidR="002653E8" w:rsidRDefault="00C507A5">
      <w:pPr>
        <w:pStyle w:val="a3"/>
        <w:spacing w:line="264" w:lineRule="auto"/>
        <w:ind w:left="1327" w:right="1146"/>
        <w:jc w:val="both"/>
      </w:pPr>
      <w:r>
        <w:rPr>
          <w:color w:val="231F20"/>
          <w:spacing w:val="1"/>
        </w:rPr>
        <w:t>red army faction</w:t>
      </w:r>
      <w:r w:rsidR="003115E3">
        <w:rPr>
          <w:color w:val="231F20"/>
          <w:spacing w:val="1"/>
        </w:rPr>
        <w:t xml:space="preserve">: </w:t>
      </w:r>
      <w:r w:rsidR="003115E3">
        <w:rPr>
          <w:color w:val="231F20"/>
          <w:spacing w:val="-3"/>
        </w:rPr>
        <w:t xml:space="preserve">It’s  </w:t>
      </w:r>
      <w:r w:rsidR="003115E3">
        <w:rPr>
          <w:color w:val="231F20"/>
        </w:rPr>
        <w:t xml:space="preserve">not our problem. The CDU calls for an end to force-feeding,     in the same </w:t>
      </w:r>
      <w:r w:rsidR="003115E3">
        <w:rPr>
          <w:color w:val="231F20"/>
          <w:spacing w:val="-2"/>
        </w:rPr>
        <w:t xml:space="preserve">way </w:t>
      </w:r>
      <w:r w:rsidR="003115E3">
        <w:rPr>
          <w:color w:val="231F20"/>
        </w:rPr>
        <w:t xml:space="preserve">that it leans openly towards a state of emergency and fascism, while the SPD uses its electoral base and its history towards the same end—fascism. State control of every aspect of life, total militarization of politics, media manipulation, and indoctrination of the people,  all to promote the domestic and foreign policies of </w:t>
      </w:r>
      <w:r w:rsidR="003115E3">
        <w:rPr>
          <w:color w:val="231F20"/>
          <w:spacing w:val="-3"/>
        </w:rPr>
        <w:t xml:space="preserve">West </w:t>
      </w:r>
      <w:r w:rsidR="003115E3">
        <w:rPr>
          <w:color w:val="231F20"/>
        </w:rPr>
        <w:t>German imperialism. And public policy amounts to disguising “social shortcomings” and selling them as reforms. So the CDU openly advocates murder,  while the SPD passes off the murders as suicides, being unable to openly embrace the state security hard line, which in the final analysis determines our prison</w:t>
      </w:r>
      <w:r w:rsidR="003115E3">
        <w:rPr>
          <w:color w:val="231F20"/>
          <w:spacing w:val="32"/>
        </w:rPr>
        <w:t xml:space="preserve"> </w:t>
      </w:r>
      <w:r w:rsidR="003115E3">
        <w:rPr>
          <w:color w:val="231F20"/>
        </w:rPr>
        <w:t>conditions.</w:t>
      </w:r>
    </w:p>
    <w:p w14:paraId="07765687" w14:textId="77777777" w:rsidR="002653E8" w:rsidRDefault="002653E8">
      <w:pPr>
        <w:pStyle w:val="a3"/>
        <w:spacing w:before="10"/>
      </w:pPr>
    </w:p>
    <w:p w14:paraId="61E23C07" w14:textId="77777777" w:rsidR="002653E8" w:rsidRDefault="003115E3">
      <w:pPr>
        <w:pStyle w:val="a3"/>
        <w:spacing w:line="264" w:lineRule="auto"/>
        <w:ind w:left="1327" w:right="1146"/>
        <w:jc w:val="both"/>
      </w:pPr>
      <w:r>
        <w:rPr>
          <w:i/>
          <w:color w:val="231F20"/>
        </w:rPr>
        <w:t>Spiegel</w:t>
      </w:r>
      <w:r>
        <w:rPr>
          <w:color w:val="231F20"/>
        </w:rPr>
        <w:t xml:space="preserve">: Isn’t this another case of your tilting at windmills? Is it not    true that everything we have heard from the </w:t>
      </w:r>
      <w:r w:rsidR="00C507A5">
        <w:rPr>
          <w:color w:val="231F20"/>
          <w:spacing w:val="5"/>
        </w:rPr>
        <w:t>red army faction</w:t>
      </w:r>
      <w:r>
        <w:rPr>
          <w:color w:val="231F20"/>
          <w:spacing w:val="5"/>
        </w:rPr>
        <w:t xml:space="preserve"> </w:t>
      </w:r>
      <w:r>
        <w:rPr>
          <w:color w:val="231F20"/>
        </w:rPr>
        <w:t>so far is based on a patently false analysis of the state, society, the SPD, the CDU, and the justice</w:t>
      </w:r>
      <w:r>
        <w:rPr>
          <w:color w:val="231F20"/>
          <w:spacing w:val="10"/>
        </w:rPr>
        <w:t xml:space="preserve"> </w:t>
      </w:r>
      <w:r>
        <w:rPr>
          <w:color w:val="231F20"/>
        </w:rPr>
        <w:t>system?</w:t>
      </w:r>
    </w:p>
    <w:p w14:paraId="3F25C138" w14:textId="77777777" w:rsidR="002653E8" w:rsidRDefault="002653E8">
      <w:pPr>
        <w:spacing w:line="264" w:lineRule="auto"/>
        <w:jc w:val="both"/>
        <w:sectPr w:rsidR="002653E8">
          <w:footerReference w:type="even" r:id="rId261"/>
          <w:footerReference w:type="default" r:id="rId262"/>
          <w:pgSz w:w="8640" w:h="12960"/>
          <w:pgMar w:top="1060" w:right="0" w:bottom="1040" w:left="0" w:header="0" w:footer="850" w:gutter="0"/>
          <w:pgNumType w:start="305"/>
          <w:cols w:space="720"/>
        </w:sectPr>
      </w:pPr>
    </w:p>
    <w:p w14:paraId="267251AB" w14:textId="77777777" w:rsidR="002653E8" w:rsidRDefault="00C507A5">
      <w:pPr>
        <w:pStyle w:val="a3"/>
        <w:spacing w:before="86" w:line="264" w:lineRule="auto"/>
        <w:ind w:left="1148" w:right="1325" w:hanging="1"/>
        <w:jc w:val="both"/>
      </w:pPr>
      <w:r>
        <w:rPr>
          <w:color w:val="231F20"/>
        </w:rPr>
        <w:lastRenderedPageBreak/>
        <w:t>red army faction</w:t>
      </w:r>
      <w:r w:rsidR="003115E3">
        <w:rPr>
          <w:color w:val="231F20"/>
        </w:rPr>
        <w:t>: What you’re serving up here is a bit foolish. That which you describe as “patently false” is not some kind of scam or simply a position held by us alone: proletarian counterpower in response to your imperialist power—analytical and practical antagonism.</w:t>
      </w:r>
    </w:p>
    <w:p w14:paraId="0AB3DC2D" w14:textId="77777777" w:rsidR="002653E8" w:rsidRDefault="003115E3">
      <w:pPr>
        <w:pStyle w:val="a3"/>
        <w:spacing w:line="264" w:lineRule="auto"/>
        <w:ind w:left="1148" w:right="1326" w:firstLine="210"/>
        <w:jc w:val="both"/>
      </w:pPr>
      <w:r>
        <w:rPr>
          <w:color w:val="231F20"/>
        </w:rPr>
        <w:t xml:space="preserve">It is analytically empty to take a journalistic approach, to talk about the weaknesses, the effects and the basis of revolutionary politics— which it is your job to dispute—as journalism has long been recognized as playing a supportive role for the state, which is to say, it negates proletarian politics. For us, the question—as a question coming from </w:t>
      </w:r>
      <w:r>
        <w:rPr>
          <w:i/>
          <w:color w:val="231F20"/>
        </w:rPr>
        <w:t>Spiegel</w:t>
      </w:r>
      <w:r>
        <w:rPr>
          <w:color w:val="231F20"/>
        </w:rPr>
        <w:t>—is pointless. Theory and practice are only united in struggle— that’s their dialectic. We are developing our analysis as a weapon—so it is concrete, and has only been properly presented in cases in which we have control of its publication.</w:t>
      </w:r>
    </w:p>
    <w:p w14:paraId="31124FAA" w14:textId="77777777" w:rsidR="002653E8" w:rsidRDefault="002653E8">
      <w:pPr>
        <w:pStyle w:val="a3"/>
        <w:spacing w:before="9"/>
      </w:pPr>
    </w:p>
    <w:p w14:paraId="2686F1C5" w14:textId="77777777" w:rsidR="002653E8" w:rsidRDefault="003115E3">
      <w:pPr>
        <w:pStyle w:val="a3"/>
        <w:spacing w:line="264" w:lineRule="auto"/>
        <w:ind w:left="1147" w:right="1325"/>
        <w:jc w:val="both"/>
      </w:pPr>
      <w:r>
        <w:rPr>
          <w:i/>
          <w:color w:val="231F20"/>
        </w:rPr>
        <w:t>Spiegel</w:t>
      </w:r>
      <w:r>
        <w:rPr>
          <w:color w:val="231F20"/>
        </w:rPr>
        <w:t xml:space="preserve">: </w:t>
      </w:r>
      <w:r>
        <w:rPr>
          <w:color w:val="231F20"/>
          <w:spacing w:val="-7"/>
        </w:rPr>
        <w:t>you</w:t>
      </w:r>
      <w:r>
        <w:rPr>
          <w:color w:val="231F20"/>
          <w:spacing w:val="30"/>
        </w:rPr>
        <w:t xml:space="preserve"> </w:t>
      </w:r>
      <w:r>
        <w:rPr>
          <w:color w:val="231F20"/>
          <w:spacing w:val="-4"/>
        </w:rPr>
        <w:t xml:space="preserve">won’t </w:t>
      </w:r>
      <w:r>
        <w:rPr>
          <w:color w:val="231F20"/>
        </w:rPr>
        <w:t>end your hunger strike until your demands  have been met. Do you think you have any chance of success? Or will you escalate matters and, for instance, begin a thirst strike if the demands are not met? What further actions are you preparing inside and outside of</w:t>
      </w:r>
      <w:r>
        <w:rPr>
          <w:color w:val="231F20"/>
          <w:spacing w:val="10"/>
        </w:rPr>
        <w:t xml:space="preserve"> </w:t>
      </w:r>
      <w:r>
        <w:rPr>
          <w:color w:val="231F20"/>
        </w:rPr>
        <w:t>prison?</w:t>
      </w:r>
    </w:p>
    <w:p w14:paraId="21F5D135" w14:textId="77777777" w:rsidR="002653E8" w:rsidRDefault="002653E8">
      <w:pPr>
        <w:pStyle w:val="a3"/>
        <w:spacing w:before="5"/>
        <w:rPr>
          <w:sz w:val="21"/>
        </w:rPr>
      </w:pPr>
    </w:p>
    <w:p w14:paraId="6E67B265" w14:textId="77777777" w:rsidR="002653E8" w:rsidRDefault="00C507A5">
      <w:pPr>
        <w:pStyle w:val="a3"/>
        <w:spacing w:line="264" w:lineRule="auto"/>
        <w:ind w:left="1147" w:right="1326"/>
        <w:jc w:val="both"/>
      </w:pPr>
      <w:r>
        <w:rPr>
          <w:color w:val="231F20"/>
        </w:rPr>
        <w:t>red army faction</w:t>
      </w:r>
      <w:r w:rsidR="003115E3">
        <w:rPr>
          <w:color w:val="231F20"/>
        </w:rPr>
        <w:t>: Buback still believes that he can break the hunger strike and use it to destroy us. He hopes to do this by using murder, psychological warfare, and counterpropaganda—and forced psychiatric treatment, which is to be intensified in prison, with us strapped down 24 hours a day and disoriented by psychiatric drugs and sleep deprivation, so as to provoke our complete physical and psychological stagnation.</w:t>
      </w:r>
    </w:p>
    <w:p w14:paraId="1B33CC39" w14:textId="77777777" w:rsidR="002653E8" w:rsidRDefault="003115E3">
      <w:pPr>
        <w:pStyle w:val="a3"/>
        <w:spacing w:line="264" w:lineRule="auto"/>
        <w:ind w:left="1147" w:right="1325" w:firstLine="210"/>
        <w:jc w:val="both"/>
      </w:pPr>
      <w:r>
        <w:rPr>
          <w:color w:val="231F20"/>
        </w:rPr>
        <w:t xml:space="preserve">Buback received the help he needed from, amongst other places, the Heinemann Initiative, but also from the precisely  worded  fascism  of the </w:t>
      </w:r>
      <w:r>
        <w:rPr>
          <w:i/>
          <w:color w:val="231F20"/>
        </w:rPr>
        <w:t xml:space="preserve">Spiegel </w:t>
      </w:r>
      <w:r>
        <w:rPr>
          <w:color w:val="231F20"/>
        </w:rPr>
        <w:t>essay written by Ditfurth,</w:t>
      </w:r>
      <w:r>
        <w:rPr>
          <w:color w:val="231F20"/>
          <w:position w:val="7"/>
          <w:sz w:val="11"/>
        </w:rPr>
        <w:t xml:space="preserve">1 </w:t>
      </w:r>
      <w:r>
        <w:rPr>
          <w:color w:val="231F20"/>
        </w:rPr>
        <w:t>for whom murder and forced psychiatric treatment are fair game for his cynical distortions, meant to increase the brutality of the political climate around the hunger strike. When, in mid-November, Carstens</w:t>
      </w:r>
      <w:r>
        <w:rPr>
          <w:color w:val="231F20"/>
          <w:position w:val="7"/>
          <w:sz w:val="11"/>
        </w:rPr>
        <w:t xml:space="preserve">2 </w:t>
      </w:r>
      <w:r>
        <w:rPr>
          <w:color w:val="231F20"/>
        </w:rPr>
        <w:t>began to produce propaganda openly calling for our murder it created public shock, antagonism and horror.</w:t>
      </w:r>
    </w:p>
    <w:p w14:paraId="2D2E602E" w14:textId="77777777" w:rsidR="002653E8" w:rsidRDefault="003115E3">
      <w:pPr>
        <w:pStyle w:val="a3"/>
        <w:spacing w:line="264" w:lineRule="auto"/>
        <w:ind w:left="1147" w:right="1327" w:firstLine="210"/>
        <w:jc w:val="both"/>
      </w:pPr>
      <w:r>
        <w:rPr>
          <w:color w:val="231F20"/>
        </w:rPr>
        <w:t>It was Heinemann’s role to eliminate any lingering doubts—among intellectuals, writers and the churches—regarding Buback’s hard line.</w:t>
      </w:r>
    </w:p>
    <w:p w14:paraId="672C8466" w14:textId="77777777" w:rsidR="002653E8" w:rsidRDefault="00000000">
      <w:pPr>
        <w:pStyle w:val="a3"/>
        <w:spacing w:before="5"/>
      </w:pPr>
      <w:r>
        <w:rPr>
          <w:noProof w:val="0"/>
        </w:rPr>
        <w:pict w14:anchorId="59B1FE5C">
          <v:line id="_x0000_s2354" style="position:absolute;z-index:7168;mso-wrap-distance-left:0;mso-wrap-distance-right:0;mso-position-horizontal-relative:page" from="57.4pt,14.2pt" to="129.4pt,14.2pt" strokecolor="#231f20" strokeweight=".5pt">
            <w10:wrap type="topAndBottom" anchorx="page"/>
          </v:line>
        </w:pict>
      </w:r>
    </w:p>
    <w:p w14:paraId="31E02608" w14:textId="77777777" w:rsidR="002653E8" w:rsidRDefault="003115E3">
      <w:pPr>
        <w:pStyle w:val="a4"/>
        <w:numPr>
          <w:ilvl w:val="0"/>
          <w:numId w:val="103"/>
        </w:numPr>
        <w:tabs>
          <w:tab w:val="left" w:pos="1287"/>
        </w:tabs>
        <w:spacing w:before="53"/>
        <w:ind w:firstLine="0"/>
        <w:rPr>
          <w:sz w:val="16"/>
        </w:rPr>
      </w:pPr>
      <w:r>
        <w:rPr>
          <w:color w:val="231F20"/>
          <w:w w:val="105"/>
          <w:sz w:val="16"/>
        </w:rPr>
        <w:t xml:space="preserve">Christian von </w:t>
      </w:r>
      <w:r>
        <w:rPr>
          <w:color w:val="231F20"/>
          <w:spacing w:val="1"/>
          <w:w w:val="105"/>
          <w:sz w:val="16"/>
        </w:rPr>
        <w:t xml:space="preserve">Ditfurth, </w:t>
      </w:r>
      <w:r>
        <w:rPr>
          <w:color w:val="231F20"/>
          <w:w w:val="105"/>
          <w:sz w:val="16"/>
        </w:rPr>
        <w:t>historian and</w:t>
      </w:r>
      <w:r>
        <w:rPr>
          <w:color w:val="231F20"/>
          <w:spacing w:val="6"/>
          <w:w w:val="105"/>
          <w:sz w:val="16"/>
        </w:rPr>
        <w:t xml:space="preserve"> </w:t>
      </w:r>
      <w:r>
        <w:rPr>
          <w:color w:val="231F20"/>
          <w:w w:val="105"/>
          <w:sz w:val="16"/>
        </w:rPr>
        <w:t>journalist.</w:t>
      </w:r>
    </w:p>
    <w:p w14:paraId="7F1FC6BC" w14:textId="77777777" w:rsidR="002653E8" w:rsidRDefault="003115E3">
      <w:pPr>
        <w:pStyle w:val="a4"/>
        <w:numPr>
          <w:ilvl w:val="0"/>
          <w:numId w:val="103"/>
        </w:numPr>
        <w:tabs>
          <w:tab w:val="left" w:pos="1287"/>
        </w:tabs>
        <w:spacing w:before="51" w:line="254" w:lineRule="auto"/>
        <w:ind w:right="1510" w:firstLine="0"/>
        <w:rPr>
          <w:sz w:val="16"/>
        </w:rPr>
      </w:pPr>
      <w:r>
        <w:rPr>
          <w:color w:val="231F20"/>
          <w:w w:val="105"/>
          <w:sz w:val="16"/>
        </w:rPr>
        <w:t>Karl Carstens, a former Nazi who was at this time the Leader of the Opposition for CDU in</w:t>
      </w:r>
      <w:r>
        <w:rPr>
          <w:color w:val="231F20"/>
          <w:spacing w:val="26"/>
          <w:w w:val="105"/>
          <w:sz w:val="16"/>
        </w:rPr>
        <w:t xml:space="preserve"> </w:t>
      </w:r>
      <w:r>
        <w:rPr>
          <w:color w:val="231F20"/>
          <w:w w:val="105"/>
          <w:sz w:val="16"/>
        </w:rPr>
        <w:t>parliament.</w:t>
      </w:r>
    </w:p>
    <w:p w14:paraId="01182598" w14:textId="77777777" w:rsidR="002653E8" w:rsidRDefault="002653E8">
      <w:pPr>
        <w:spacing w:line="254" w:lineRule="auto"/>
        <w:rPr>
          <w:sz w:val="16"/>
        </w:rPr>
        <w:sectPr w:rsidR="002653E8">
          <w:pgSz w:w="8640" w:h="12960"/>
          <w:pgMar w:top="1060" w:right="0" w:bottom="1040" w:left="0" w:header="0" w:footer="850" w:gutter="0"/>
          <w:cols w:space="720"/>
        </w:sectPr>
      </w:pPr>
    </w:p>
    <w:p w14:paraId="1666DF1C" w14:textId="77777777" w:rsidR="002653E8" w:rsidRDefault="003115E3">
      <w:pPr>
        <w:pStyle w:val="a3"/>
        <w:spacing w:before="86" w:line="264" w:lineRule="auto"/>
        <w:ind w:left="1327" w:right="1146"/>
        <w:jc w:val="both"/>
      </w:pPr>
      <w:r>
        <w:rPr>
          <w:color w:val="231F20"/>
        </w:rPr>
        <w:lastRenderedPageBreak/>
        <w:t xml:space="preserve">It has always been the role of this character to dress up the aggres   sive policies of </w:t>
      </w:r>
      <w:r>
        <w:rPr>
          <w:color w:val="231F20"/>
          <w:spacing w:val="-3"/>
        </w:rPr>
        <w:t xml:space="preserve">West </w:t>
      </w:r>
      <w:r>
        <w:rPr>
          <w:color w:val="231F20"/>
        </w:rPr>
        <w:t xml:space="preserve">German imperialism in a language and form that makes them seem humane. Heinemann’s letters amounted to an appeal for us to submit to brainwashing or murder. </w:t>
      </w:r>
      <w:r>
        <w:rPr>
          <w:color w:val="231F20"/>
          <w:spacing w:val="1"/>
        </w:rPr>
        <w:t xml:space="preserve">In </w:t>
      </w:r>
      <w:r>
        <w:rPr>
          <w:color w:val="231F20"/>
        </w:rPr>
        <w:t xml:space="preserve">the same </w:t>
      </w:r>
      <w:r>
        <w:rPr>
          <w:color w:val="231F20"/>
          <w:spacing w:val="-2"/>
        </w:rPr>
        <w:t xml:space="preserve">way  </w:t>
      </w:r>
      <w:r>
        <w:rPr>
          <w:color w:val="231F20"/>
        </w:rPr>
        <w:t xml:space="preserve">that he,   as President, pardoned Ruhland, with his letters he promoted the death sentences the </w:t>
      </w:r>
      <w:r>
        <w:rPr>
          <w:color w:val="231F20"/>
          <w:spacing w:val="-6"/>
        </w:rPr>
        <w:t xml:space="preserve">BAW </w:t>
      </w:r>
      <w:r>
        <w:rPr>
          <w:color w:val="231F20"/>
        </w:rPr>
        <w:t>wanted to impose on us, with humanist gestures</w:t>
      </w:r>
      <w:r>
        <w:rPr>
          <w:color w:val="231F20"/>
          <w:spacing w:val="-31"/>
        </w:rPr>
        <w:t xml:space="preserve"> </w:t>
      </w:r>
      <w:r>
        <w:rPr>
          <w:color w:val="231F20"/>
        </w:rPr>
        <w:t xml:space="preserve">that soothe the conscience of his supporters. What he wanted was to clear the </w:t>
      </w:r>
      <w:r>
        <w:rPr>
          <w:color w:val="231F20"/>
          <w:spacing w:val="-2"/>
        </w:rPr>
        <w:t xml:space="preserve">way </w:t>
      </w:r>
      <w:r>
        <w:rPr>
          <w:color w:val="231F20"/>
        </w:rPr>
        <w:t xml:space="preserve">for murder—just like in Easter </w:t>
      </w:r>
      <w:r>
        <w:rPr>
          <w:color w:val="231F20"/>
          <w:spacing w:val="-4"/>
        </w:rPr>
        <w:t xml:space="preserve">1968, </w:t>
      </w:r>
      <w:r>
        <w:rPr>
          <w:color w:val="231F20"/>
        </w:rPr>
        <w:t xml:space="preserve">during his Presidency, when he hoped to integrate the students, the old antifascists, and the New </w:t>
      </w:r>
      <w:r>
        <w:rPr>
          <w:color w:val="231F20"/>
          <w:spacing w:val="1"/>
        </w:rPr>
        <w:t xml:space="preserve">Left </w:t>
      </w:r>
      <w:r>
        <w:rPr>
          <w:color w:val="231F20"/>
        </w:rPr>
        <w:t>into the new</w:t>
      </w:r>
      <w:r>
        <w:rPr>
          <w:color w:val="231F20"/>
          <w:spacing w:val="11"/>
        </w:rPr>
        <w:t xml:space="preserve"> </w:t>
      </w:r>
      <w:r>
        <w:rPr>
          <w:color w:val="231F20"/>
        </w:rPr>
        <w:t>fascism.</w:t>
      </w:r>
    </w:p>
    <w:p w14:paraId="0389F311" w14:textId="77777777" w:rsidR="002653E8" w:rsidRDefault="003115E3">
      <w:pPr>
        <w:pStyle w:val="a3"/>
        <w:spacing w:line="264" w:lineRule="auto"/>
        <w:ind w:left="1327" w:right="1146" w:firstLine="210"/>
        <w:jc w:val="both"/>
      </w:pPr>
      <w:r>
        <w:rPr>
          <w:color w:val="231F20"/>
        </w:rPr>
        <w:t>We are going to escalate to a thirst strike, but imprisoned and isolated as we are, we are not planning actions either inside or outside of prison.</w:t>
      </w:r>
    </w:p>
    <w:p w14:paraId="5E3E9380" w14:textId="77777777" w:rsidR="002653E8" w:rsidRDefault="002653E8">
      <w:pPr>
        <w:pStyle w:val="a3"/>
        <w:spacing w:before="9"/>
      </w:pPr>
    </w:p>
    <w:p w14:paraId="21AD802A" w14:textId="77777777" w:rsidR="002653E8" w:rsidRDefault="003115E3">
      <w:pPr>
        <w:pStyle w:val="a3"/>
        <w:spacing w:line="264" w:lineRule="auto"/>
        <w:ind w:left="1327" w:right="1146"/>
        <w:jc w:val="both"/>
      </w:pPr>
      <w:r>
        <w:rPr>
          <w:i/>
          <w:color w:val="231F20"/>
        </w:rPr>
        <w:t>Spiegel</w:t>
      </w:r>
      <w:r>
        <w:rPr>
          <w:color w:val="231F20"/>
        </w:rPr>
        <w:t xml:space="preserve">: Did Holger Meins’ death provide the </w:t>
      </w:r>
      <w:r w:rsidR="00C507A5">
        <w:rPr>
          <w:color w:val="231F20"/>
        </w:rPr>
        <w:t>red army faction</w:t>
      </w:r>
      <w:r>
        <w:rPr>
          <w:color w:val="231F20"/>
        </w:rPr>
        <w:t xml:space="preserve"> collective with an opportunity?</w:t>
      </w:r>
    </w:p>
    <w:p w14:paraId="181A8135" w14:textId="77777777" w:rsidR="002653E8" w:rsidRDefault="002653E8">
      <w:pPr>
        <w:pStyle w:val="a3"/>
        <w:spacing w:before="8"/>
        <w:rPr>
          <w:sz w:val="21"/>
        </w:rPr>
      </w:pPr>
    </w:p>
    <w:p w14:paraId="4BDB9FB3" w14:textId="77777777" w:rsidR="002653E8" w:rsidRDefault="00C507A5">
      <w:pPr>
        <w:pStyle w:val="a3"/>
        <w:spacing w:line="264" w:lineRule="auto"/>
        <w:ind w:left="1328" w:right="1145" w:hanging="1"/>
        <w:jc w:val="both"/>
      </w:pPr>
      <w:r>
        <w:rPr>
          <w:color w:val="231F20"/>
          <w:spacing w:val="1"/>
        </w:rPr>
        <w:t>red army faction</w:t>
      </w:r>
      <w:r w:rsidR="003115E3">
        <w:rPr>
          <w:color w:val="231F20"/>
          <w:spacing w:val="1"/>
        </w:rPr>
        <w:t xml:space="preserve">: </w:t>
      </w:r>
      <w:r w:rsidR="003115E3">
        <w:rPr>
          <w:color w:val="231F20"/>
        </w:rPr>
        <w:t xml:space="preserve">That is fascist projection, an idea from someone who can no longer think except in the terms of the market—the system that reduces all human life to </w:t>
      </w:r>
      <w:r w:rsidR="003115E3">
        <w:rPr>
          <w:color w:val="231F20"/>
          <w:spacing w:val="-3"/>
        </w:rPr>
        <w:t xml:space="preserve">money, </w:t>
      </w:r>
      <w:r w:rsidR="003115E3">
        <w:rPr>
          <w:color w:val="231F20"/>
        </w:rPr>
        <w:t xml:space="preserve">egotism, power, and </w:t>
      </w:r>
      <w:r w:rsidR="003115E3">
        <w:rPr>
          <w:color w:val="231F20"/>
          <w:spacing w:val="-3"/>
        </w:rPr>
        <w:t xml:space="preserve">one’s  </w:t>
      </w:r>
      <w:r w:rsidR="003115E3">
        <w:rPr>
          <w:color w:val="231F20"/>
        </w:rPr>
        <w:t xml:space="preserve">career. Like Che, we  </w:t>
      </w:r>
      <w:r w:rsidR="003115E3">
        <w:rPr>
          <w:color w:val="231F20"/>
          <w:spacing w:val="-4"/>
        </w:rPr>
        <w:t xml:space="preserve">say, </w:t>
      </w:r>
      <w:r w:rsidR="003115E3">
        <w:rPr>
          <w:color w:val="231F20"/>
        </w:rPr>
        <w:t xml:space="preserve">“The guerilla should only risk his life if this is absolutely necessary, but in such a case, without a moment’s hesitation.” Holger’s death most certainly has “the resonance of </w:t>
      </w:r>
      <w:r w:rsidR="003115E3">
        <w:rPr>
          <w:color w:val="231F20"/>
          <w:spacing w:val="-3"/>
        </w:rPr>
        <w:t xml:space="preserve">history,” </w:t>
      </w:r>
      <w:r w:rsidR="003115E3">
        <w:rPr>
          <w:color w:val="231F20"/>
        </w:rPr>
        <w:t>meaning that what  started  with the armed anti-imperialist struggle has become a part of the history of the people of the</w:t>
      </w:r>
      <w:r w:rsidR="003115E3">
        <w:rPr>
          <w:color w:val="231F20"/>
          <w:spacing w:val="20"/>
        </w:rPr>
        <w:t xml:space="preserve"> </w:t>
      </w:r>
      <w:r w:rsidR="003115E3">
        <w:rPr>
          <w:color w:val="231F20"/>
        </w:rPr>
        <w:t>world.</w:t>
      </w:r>
    </w:p>
    <w:p w14:paraId="438A80E0" w14:textId="77777777" w:rsidR="002653E8" w:rsidRDefault="003115E3">
      <w:pPr>
        <w:pStyle w:val="a3"/>
        <w:spacing w:line="264" w:lineRule="auto"/>
        <w:ind w:left="1327" w:right="1145" w:firstLine="210"/>
        <w:jc w:val="both"/>
      </w:pPr>
      <w:r>
        <w:rPr>
          <w:color w:val="231F20"/>
          <w:spacing w:val="-4"/>
          <w:w w:val="105"/>
        </w:rPr>
        <w:t>“An</w:t>
      </w:r>
      <w:r>
        <w:rPr>
          <w:color w:val="231F20"/>
          <w:spacing w:val="-7"/>
          <w:w w:val="105"/>
        </w:rPr>
        <w:t xml:space="preserve"> </w:t>
      </w:r>
      <w:r>
        <w:rPr>
          <w:color w:val="231F20"/>
          <w:w w:val="105"/>
        </w:rPr>
        <w:t>opportunity”</w:t>
      </w:r>
      <w:r>
        <w:rPr>
          <w:color w:val="231F20"/>
          <w:spacing w:val="-7"/>
          <w:w w:val="105"/>
        </w:rPr>
        <w:t xml:space="preserve"> </w:t>
      </w:r>
      <w:r>
        <w:rPr>
          <w:color w:val="231F20"/>
          <w:w w:val="105"/>
        </w:rPr>
        <w:t>in</w:t>
      </w:r>
      <w:r>
        <w:rPr>
          <w:color w:val="231F20"/>
          <w:spacing w:val="-7"/>
          <w:w w:val="105"/>
        </w:rPr>
        <w:t xml:space="preserve"> </w:t>
      </w:r>
      <w:r>
        <w:rPr>
          <w:color w:val="231F20"/>
          <w:w w:val="105"/>
        </w:rPr>
        <w:t>this</w:t>
      </w:r>
      <w:r>
        <w:rPr>
          <w:color w:val="231F20"/>
          <w:spacing w:val="-7"/>
          <w:w w:val="105"/>
        </w:rPr>
        <w:t xml:space="preserve"> </w:t>
      </w:r>
      <w:r>
        <w:rPr>
          <w:color w:val="231F20"/>
          <w:w w:val="105"/>
        </w:rPr>
        <w:t>case</w:t>
      </w:r>
      <w:r>
        <w:rPr>
          <w:color w:val="231F20"/>
          <w:spacing w:val="-7"/>
          <w:w w:val="105"/>
        </w:rPr>
        <w:t xml:space="preserve"> </w:t>
      </w:r>
      <w:r>
        <w:rPr>
          <w:color w:val="231F20"/>
          <w:w w:val="105"/>
        </w:rPr>
        <w:t>could</w:t>
      </w:r>
      <w:r>
        <w:rPr>
          <w:color w:val="231F20"/>
          <w:spacing w:val="-7"/>
          <w:w w:val="105"/>
        </w:rPr>
        <w:t xml:space="preserve"> </w:t>
      </w:r>
      <w:r>
        <w:rPr>
          <w:color w:val="231F20"/>
          <w:w w:val="105"/>
        </w:rPr>
        <w:t>only</w:t>
      </w:r>
      <w:r>
        <w:rPr>
          <w:color w:val="231F20"/>
          <w:spacing w:val="-7"/>
          <w:w w:val="105"/>
        </w:rPr>
        <w:t xml:space="preserve"> </w:t>
      </w:r>
      <w:r>
        <w:rPr>
          <w:color w:val="231F20"/>
          <w:w w:val="105"/>
        </w:rPr>
        <w:t>mean</w:t>
      </w:r>
      <w:r>
        <w:rPr>
          <w:color w:val="231F20"/>
          <w:spacing w:val="-7"/>
          <w:w w:val="105"/>
        </w:rPr>
        <w:t xml:space="preserve"> </w:t>
      </w:r>
      <w:r>
        <w:rPr>
          <w:color w:val="231F20"/>
          <w:w w:val="105"/>
        </w:rPr>
        <w:t>that</w:t>
      </w:r>
      <w:r>
        <w:rPr>
          <w:color w:val="231F20"/>
          <w:spacing w:val="-7"/>
          <w:w w:val="105"/>
        </w:rPr>
        <w:t xml:space="preserve"> </w:t>
      </w:r>
      <w:r>
        <w:rPr>
          <w:color w:val="231F20"/>
          <w:w w:val="105"/>
        </w:rPr>
        <w:t>it</w:t>
      </w:r>
      <w:r>
        <w:rPr>
          <w:color w:val="231F20"/>
          <w:spacing w:val="-7"/>
          <w:w w:val="105"/>
        </w:rPr>
        <w:t xml:space="preserve"> </w:t>
      </w:r>
      <w:r>
        <w:rPr>
          <w:color w:val="231F20"/>
          <w:w w:val="105"/>
        </w:rPr>
        <w:t>broke</w:t>
      </w:r>
      <w:r>
        <w:rPr>
          <w:color w:val="231F20"/>
          <w:spacing w:val="-7"/>
          <w:w w:val="105"/>
        </w:rPr>
        <w:t xml:space="preserve"> </w:t>
      </w:r>
      <w:r>
        <w:rPr>
          <w:color w:val="231F20"/>
          <w:w w:val="105"/>
        </w:rPr>
        <w:t xml:space="preserve">through the news blackout about the strike. </w:t>
      </w:r>
      <w:r>
        <w:rPr>
          <w:color w:val="231F20"/>
          <w:spacing w:val="-7"/>
          <w:w w:val="105"/>
        </w:rPr>
        <w:t xml:space="preserve">you </w:t>
      </w:r>
      <w:r>
        <w:rPr>
          <w:color w:val="231F20"/>
          <w:w w:val="105"/>
        </w:rPr>
        <w:t>yourself bear some responsibility</w:t>
      </w:r>
      <w:r>
        <w:rPr>
          <w:color w:val="231F20"/>
          <w:spacing w:val="-4"/>
          <w:w w:val="105"/>
        </w:rPr>
        <w:t xml:space="preserve"> </w:t>
      </w:r>
      <w:r>
        <w:rPr>
          <w:color w:val="231F20"/>
          <w:w w:val="105"/>
        </w:rPr>
        <w:t>for</w:t>
      </w:r>
      <w:r>
        <w:rPr>
          <w:color w:val="231F20"/>
          <w:spacing w:val="-4"/>
          <w:w w:val="105"/>
        </w:rPr>
        <w:t xml:space="preserve"> </w:t>
      </w:r>
      <w:r>
        <w:rPr>
          <w:color w:val="231F20"/>
          <w:w w:val="105"/>
        </w:rPr>
        <w:t>the</w:t>
      </w:r>
      <w:r>
        <w:rPr>
          <w:color w:val="231F20"/>
          <w:spacing w:val="-4"/>
          <w:w w:val="105"/>
        </w:rPr>
        <w:t xml:space="preserve"> </w:t>
      </w:r>
      <w:r>
        <w:rPr>
          <w:color w:val="231F20"/>
          <w:w w:val="105"/>
        </w:rPr>
        <w:t>fact</w:t>
      </w:r>
      <w:r>
        <w:rPr>
          <w:color w:val="231F20"/>
          <w:spacing w:val="-4"/>
          <w:w w:val="105"/>
        </w:rPr>
        <w:t xml:space="preserve"> </w:t>
      </w:r>
      <w:r>
        <w:rPr>
          <w:color w:val="231F20"/>
          <w:w w:val="105"/>
        </w:rPr>
        <w:t>that</w:t>
      </w:r>
      <w:r>
        <w:rPr>
          <w:color w:val="231F20"/>
          <w:spacing w:val="-4"/>
          <w:w w:val="105"/>
        </w:rPr>
        <w:t xml:space="preserve"> </w:t>
      </w:r>
      <w:r>
        <w:rPr>
          <w:color w:val="231F20"/>
          <w:w w:val="105"/>
        </w:rPr>
        <w:t>lots</w:t>
      </w:r>
      <w:r>
        <w:rPr>
          <w:color w:val="231F20"/>
          <w:spacing w:val="-4"/>
          <w:w w:val="105"/>
        </w:rPr>
        <w:t xml:space="preserve"> </w:t>
      </w:r>
      <w:r>
        <w:rPr>
          <w:color w:val="231F20"/>
          <w:w w:val="105"/>
        </w:rPr>
        <w:t>of</w:t>
      </w:r>
      <w:r>
        <w:rPr>
          <w:color w:val="231F20"/>
          <w:spacing w:val="-4"/>
          <w:w w:val="105"/>
        </w:rPr>
        <w:t xml:space="preserve"> </w:t>
      </w:r>
      <w:r>
        <w:rPr>
          <w:color w:val="231F20"/>
          <w:w w:val="105"/>
        </w:rPr>
        <w:t>people</w:t>
      </w:r>
      <w:r>
        <w:rPr>
          <w:color w:val="231F20"/>
          <w:spacing w:val="-4"/>
          <w:w w:val="105"/>
        </w:rPr>
        <w:t xml:space="preserve"> </w:t>
      </w:r>
      <w:r>
        <w:rPr>
          <w:color w:val="231F20"/>
          <w:w w:val="105"/>
        </w:rPr>
        <w:t>only</w:t>
      </w:r>
      <w:r>
        <w:rPr>
          <w:color w:val="231F20"/>
          <w:spacing w:val="-4"/>
          <w:w w:val="105"/>
        </w:rPr>
        <w:t xml:space="preserve"> </w:t>
      </w:r>
      <w:r>
        <w:rPr>
          <w:color w:val="231F20"/>
          <w:w w:val="105"/>
        </w:rPr>
        <w:t>woke</w:t>
      </w:r>
      <w:r>
        <w:rPr>
          <w:color w:val="231F20"/>
          <w:spacing w:val="-4"/>
          <w:w w:val="105"/>
        </w:rPr>
        <w:t xml:space="preserve"> </w:t>
      </w:r>
      <w:r>
        <w:rPr>
          <w:color w:val="231F20"/>
          <w:w w:val="105"/>
        </w:rPr>
        <w:t>up</w:t>
      </w:r>
      <w:r>
        <w:rPr>
          <w:color w:val="231F20"/>
          <w:spacing w:val="-4"/>
          <w:w w:val="105"/>
        </w:rPr>
        <w:t xml:space="preserve"> </w:t>
      </w:r>
      <w:r>
        <w:rPr>
          <w:color w:val="231F20"/>
          <w:w w:val="105"/>
        </w:rPr>
        <w:t>when</w:t>
      </w:r>
      <w:r>
        <w:rPr>
          <w:color w:val="231F20"/>
          <w:spacing w:val="-4"/>
          <w:w w:val="105"/>
        </w:rPr>
        <w:t xml:space="preserve"> </w:t>
      </w:r>
      <w:r>
        <w:rPr>
          <w:color w:val="231F20"/>
          <w:w w:val="105"/>
        </w:rPr>
        <w:t>someone</w:t>
      </w:r>
      <w:r>
        <w:rPr>
          <w:color w:val="231F20"/>
          <w:spacing w:val="-4"/>
          <w:w w:val="105"/>
        </w:rPr>
        <w:t xml:space="preserve"> </w:t>
      </w:r>
      <w:r>
        <w:rPr>
          <w:color w:val="231F20"/>
          <w:w w:val="105"/>
        </w:rPr>
        <w:t>was finally</w:t>
      </w:r>
      <w:r>
        <w:rPr>
          <w:color w:val="231F20"/>
          <w:spacing w:val="-22"/>
          <w:w w:val="105"/>
        </w:rPr>
        <w:t xml:space="preserve"> </w:t>
      </w:r>
      <w:r>
        <w:rPr>
          <w:color w:val="231F20"/>
          <w:w w:val="105"/>
        </w:rPr>
        <w:t>murdered,</w:t>
      </w:r>
      <w:r>
        <w:rPr>
          <w:color w:val="231F20"/>
          <w:spacing w:val="-22"/>
          <w:w w:val="105"/>
        </w:rPr>
        <w:t xml:space="preserve"> </w:t>
      </w:r>
      <w:r>
        <w:rPr>
          <w:color w:val="231F20"/>
          <w:w w:val="105"/>
        </w:rPr>
        <w:t>and</w:t>
      </w:r>
      <w:r>
        <w:rPr>
          <w:color w:val="231F20"/>
          <w:spacing w:val="-22"/>
          <w:w w:val="105"/>
        </w:rPr>
        <w:t xml:space="preserve"> </w:t>
      </w:r>
      <w:r>
        <w:rPr>
          <w:color w:val="231F20"/>
          <w:w w:val="105"/>
        </w:rPr>
        <w:t>only</w:t>
      </w:r>
      <w:r>
        <w:rPr>
          <w:color w:val="231F20"/>
          <w:spacing w:val="-22"/>
          <w:w w:val="105"/>
        </w:rPr>
        <w:t xml:space="preserve"> </w:t>
      </w:r>
      <w:r>
        <w:rPr>
          <w:color w:val="231F20"/>
          <w:w w:val="105"/>
        </w:rPr>
        <w:t>then</w:t>
      </w:r>
      <w:r>
        <w:rPr>
          <w:color w:val="231F20"/>
          <w:spacing w:val="-22"/>
          <w:w w:val="105"/>
        </w:rPr>
        <w:t xml:space="preserve"> </w:t>
      </w:r>
      <w:r>
        <w:rPr>
          <w:color w:val="231F20"/>
          <w:w w:val="105"/>
        </w:rPr>
        <w:t>began</w:t>
      </w:r>
      <w:r>
        <w:rPr>
          <w:color w:val="231F20"/>
          <w:spacing w:val="-22"/>
          <w:w w:val="105"/>
        </w:rPr>
        <w:t xml:space="preserve"> </w:t>
      </w:r>
      <w:r>
        <w:rPr>
          <w:color w:val="231F20"/>
          <w:w w:val="105"/>
        </w:rPr>
        <w:t>to</w:t>
      </w:r>
      <w:r>
        <w:rPr>
          <w:color w:val="231F20"/>
          <w:spacing w:val="-22"/>
          <w:w w:val="105"/>
        </w:rPr>
        <w:t xml:space="preserve"> </w:t>
      </w:r>
      <w:r>
        <w:rPr>
          <w:color w:val="231F20"/>
          <w:w w:val="105"/>
        </w:rPr>
        <w:t>realize</w:t>
      </w:r>
      <w:r>
        <w:rPr>
          <w:color w:val="231F20"/>
          <w:spacing w:val="-22"/>
          <w:w w:val="105"/>
        </w:rPr>
        <w:t xml:space="preserve"> </w:t>
      </w:r>
      <w:r>
        <w:rPr>
          <w:color w:val="231F20"/>
          <w:w w:val="105"/>
        </w:rPr>
        <w:t>what</w:t>
      </w:r>
      <w:r>
        <w:rPr>
          <w:color w:val="231F20"/>
          <w:spacing w:val="-22"/>
          <w:w w:val="105"/>
        </w:rPr>
        <w:t xml:space="preserve"> </w:t>
      </w:r>
      <w:r>
        <w:rPr>
          <w:color w:val="231F20"/>
          <w:w w:val="105"/>
        </w:rPr>
        <w:t>was</w:t>
      </w:r>
      <w:r>
        <w:rPr>
          <w:color w:val="231F20"/>
          <w:spacing w:val="-22"/>
          <w:w w:val="105"/>
        </w:rPr>
        <w:t xml:space="preserve"> </w:t>
      </w:r>
      <w:r>
        <w:rPr>
          <w:color w:val="231F20"/>
          <w:w w:val="105"/>
        </w:rPr>
        <w:t>going</w:t>
      </w:r>
      <w:r>
        <w:rPr>
          <w:color w:val="231F20"/>
          <w:spacing w:val="-22"/>
          <w:w w:val="105"/>
        </w:rPr>
        <w:t xml:space="preserve"> </w:t>
      </w:r>
      <w:r>
        <w:rPr>
          <w:color w:val="231F20"/>
          <w:w w:val="105"/>
        </w:rPr>
        <w:t>on.</w:t>
      </w:r>
      <w:r>
        <w:rPr>
          <w:color w:val="231F20"/>
          <w:spacing w:val="-22"/>
          <w:w w:val="105"/>
        </w:rPr>
        <w:t xml:space="preserve"> </w:t>
      </w:r>
      <w:r>
        <w:rPr>
          <w:color w:val="231F20"/>
          <w:w w:val="105"/>
        </w:rPr>
        <w:t>For eight</w:t>
      </w:r>
      <w:r>
        <w:rPr>
          <w:color w:val="231F20"/>
          <w:spacing w:val="-12"/>
          <w:w w:val="105"/>
        </w:rPr>
        <w:t xml:space="preserve"> </w:t>
      </w:r>
      <w:r>
        <w:rPr>
          <w:color w:val="231F20"/>
          <w:w w:val="105"/>
        </w:rPr>
        <w:t>weeks</w:t>
      </w:r>
      <w:r>
        <w:rPr>
          <w:color w:val="231F20"/>
          <w:spacing w:val="-12"/>
          <w:w w:val="105"/>
        </w:rPr>
        <w:t xml:space="preserve"> </w:t>
      </w:r>
      <w:r>
        <w:rPr>
          <w:i/>
          <w:color w:val="231F20"/>
          <w:w w:val="105"/>
        </w:rPr>
        <w:t>Spiegel</w:t>
      </w:r>
      <w:r>
        <w:rPr>
          <w:i/>
          <w:color w:val="231F20"/>
          <w:spacing w:val="-12"/>
          <w:w w:val="105"/>
        </w:rPr>
        <w:t xml:space="preserve"> </w:t>
      </w:r>
      <w:r>
        <w:rPr>
          <w:color w:val="231F20"/>
          <w:w w:val="105"/>
        </w:rPr>
        <w:t>did</w:t>
      </w:r>
      <w:r>
        <w:rPr>
          <w:color w:val="231F20"/>
          <w:spacing w:val="-12"/>
          <w:w w:val="105"/>
        </w:rPr>
        <w:t xml:space="preserve"> </w:t>
      </w:r>
      <w:r>
        <w:rPr>
          <w:color w:val="231F20"/>
          <w:w w:val="105"/>
        </w:rPr>
        <w:t>not</w:t>
      </w:r>
      <w:r>
        <w:rPr>
          <w:color w:val="231F20"/>
          <w:spacing w:val="-12"/>
          <w:w w:val="105"/>
        </w:rPr>
        <w:t xml:space="preserve"> </w:t>
      </w:r>
      <w:r>
        <w:rPr>
          <w:color w:val="231F20"/>
          <w:w w:val="105"/>
        </w:rPr>
        <w:t>say</w:t>
      </w:r>
      <w:r>
        <w:rPr>
          <w:color w:val="231F20"/>
          <w:spacing w:val="-12"/>
          <w:w w:val="105"/>
        </w:rPr>
        <w:t xml:space="preserve"> </w:t>
      </w:r>
      <w:r>
        <w:rPr>
          <w:color w:val="231F20"/>
          <w:w w:val="105"/>
        </w:rPr>
        <w:t>a</w:t>
      </w:r>
      <w:r>
        <w:rPr>
          <w:color w:val="231F20"/>
          <w:spacing w:val="-12"/>
          <w:w w:val="105"/>
        </w:rPr>
        <w:t xml:space="preserve"> </w:t>
      </w:r>
      <w:r>
        <w:rPr>
          <w:color w:val="231F20"/>
          <w:w w:val="105"/>
        </w:rPr>
        <w:t>word</w:t>
      </w:r>
      <w:r>
        <w:rPr>
          <w:color w:val="231F20"/>
          <w:spacing w:val="-12"/>
          <w:w w:val="105"/>
        </w:rPr>
        <w:t xml:space="preserve"> </w:t>
      </w:r>
      <w:r>
        <w:rPr>
          <w:color w:val="231F20"/>
          <w:w w:val="105"/>
        </w:rPr>
        <w:t>about</w:t>
      </w:r>
      <w:r>
        <w:rPr>
          <w:color w:val="231F20"/>
          <w:spacing w:val="-12"/>
          <w:w w:val="105"/>
        </w:rPr>
        <w:t xml:space="preserve"> </w:t>
      </w:r>
      <w:r>
        <w:rPr>
          <w:color w:val="231F20"/>
          <w:w w:val="105"/>
        </w:rPr>
        <w:t>the</w:t>
      </w:r>
      <w:r>
        <w:rPr>
          <w:color w:val="231F20"/>
          <w:spacing w:val="-12"/>
          <w:w w:val="105"/>
        </w:rPr>
        <w:t xml:space="preserve"> </w:t>
      </w:r>
      <w:r>
        <w:rPr>
          <w:color w:val="231F20"/>
          <w:w w:val="105"/>
        </w:rPr>
        <w:t>hunger</w:t>
      </w:r>
      <w:r>
        <w:rPr>
          <w:color w:val="231F20"/>
          <w:spacing w:val="-12"/>
          <w:w w:val="105"/>
        </w:rPr>
        <w:t xml:space="preserve"> </w:t>
      </w:r>
      <w:r>
        <w:rPr>
          <w:color w:val="231F20"/>
          <w:w w:val="105"/>
        </w:rPr>
        <w:t>strike</w:t>
      </w:r>
      <w:r>
        <w:rPr>
          <w:color w:val="231F20"/>
          <w:spacing w:val="-12"/>
          <w:w w:val="105"/>
        </w:rPr>
        <w:t xml:space="preserve"> </w:t>
      </w:r>
      <w:r>
        <w:rPr>
          <w:color w:val="231F20"/>
          <w:w w:val="105"/>
        </w:rPr>
        <w:t>of</w:t>
      </w:r>
      <w:r>
        <w:rPr>
          <w:color w:val="231F20"/>
          <w:spacing w:val="-12"/>
          <w:w w:val="105"/>
        </w:rPr>
        <w:t xml:space="preserve"> </w:t>
      </w:r>
      <w:r>
        <w:rPr>
          <w:color w:val="231F20"/>
          <w:w w:val="105"/>
        </w:rPr>
        <w:t>forty political</w:t>
      </w:r>
      <w:r>
        <w:rPr>
          <w:color w:val="231F20"/>
          <w:spacing w:val="-29"/>
          <w:w w:val="105"/>
        </w:rPr>
        <w:t xml:space="preserve"> </w:t>
      </w:r>
      <w:r>
        <w:rPr>
          <w:color w:val="231F20"/>
          <w:w w:val="105"/>
        </w:rPr>
        <w:t>prisoners,</w:t>
      </w:r>
      <w:r>
        <w:rPr>
          <w:color w:val="231F20"/>
          <w:spacing w:val="-29"/>
          <w:w w:val="105"/>
        </w:rPr>
        <w:t xml:space="preserve"> </w:t>
      </w:r>
      <w:r>
        <w:rPr>
          <w:color w:val="231F20"/>
          <w:w w:val="105"/>
        </w:rPr>
        <w:t>in</w:t>
      </w:r>
      <w:r>
        <w:rPr>
          <w:color w:val="231F20"/>
          <w:spacing w:val="-29"/>
          <w:w w:val="105"/>
        </w:rPr>
        <w:t xml:space="preserve"> </w:t>
      </w:r>
      <w:r>
        <w:rPr>
          <w:color w:val="231F20"/>
          <w:w w:val="105"/>
        </w:rPr>
        <w:t>order</w:t>
      </w:r>
      <w:r>
        <w:rPr>
          <w:color w:val="231F20"/>
          <w:spacing w:val="-29"/>
          <w:w w:val="105"/>
        </w:rPr>
        <w:t xml:space="preserve"> </w:t>
      </w:r>
      <w:r>
        <w:rPr>
          <w:color w:val="231F20"/>
          <w:w w:val="105"/>
        </w:rPr>
        <w:t>to</w:t>
      </w:r>
      <w:r>
        <w:rPr>
          <w:color w:val="231F20"/>
          <w:spacing w:val="-29"/>
          <w:w w:val="105"/>
        </w:rPr>
        <w:t xml:space="preserve"> </w:t>
      </w:r>
      <w:r>
        <w:rPr>
          <w:color w:val="231F20"/>
          <w:w w:val="105"/>
        </w:rPr>
        <w:t>prevent</w:t>
      </w:r>
      <w:r>
        <w:rPr>
          <w:color w:val="231F20"/>
          <w:spacing w:val="-29"/>
          <w:w w:val="105"/>
        </w:rPr>
        <w:t xml:space="preserve"> </w:t>
      </w:r>
      <w:r>
        <w:rPr>
          <w:color w:val="231F20"/>
          <w:w w:val="105"/>
        </w:rPr>
        <w:t>solidarity</w:t>
      </w:r>
      <w:r>
        <w:rPr>
          <w:color w:val="231F20"/>
          <w:spacing w:val="-29"/>
          <w:w w:val="105"/>
        </w:rPr>
        <w:t xml:space="preserve"> </w:t>
      </w:r>
      <w:r>
        <w:rPr>
          <w:color w:val="231F20"/>
          <w:w w:val="105"/>
        </w:rPr>
        <w:t>and</w:t>
      </w:r>
      <w:r>
        <w:rPr>
          <w:color w:val="231F20"/>
          <w:spacing w:val="-29"/>
          <w:w w:val="105"/>
        </w:rPr>
        <w:t xml:space="preserve"> </w:t>
      </w:r>
      <w:r>
        <w:rPr>
          <w:color w:val="231F20"/>
          <w:w w:val="105"/>
        </w:rPr>
        <w:t>leave</w:t>
      </w:r>
      <w:r>
        <w:rPr>
          <w:color w:val="231F20"/>
          <w:spacing w:val="-29"/>
          <w:w w:val="105"/>
        </w:rPr>
        <w:t xml:space="preserve"> </w:t>
      </w:r>
      <w:r>
        <w:rPr>
          <w:color w:val="231F20"/>
          <w:w w:val="105"/>
        </w:rPr>
        <w:t>them</w:t>
      </w:r>
      <w:r>
        <w:rPr>
          <w:color w:val="231F20"/>
          <w:spacing w:val="-29"/>
          <w:w w:val="105"/>
        </w:rPr>
        <w:t xml:space="preserve"> </w:t>
      </w:r>
      <w:r>
        <w:rPr>
          <w:color w:val="231F20"/>
          <w:w w:val="105"/>
        </w:rPr>
        <w:t>vulnerable.</w:t>
      </w:r>
      <w:r>
        <w:rPr>
          <w:color w:val="231F20"/>
          <w:spacing w:val="-8"/>
          <w:w w:val="105"/>
        </w:rPr>
        <w:t xml:space="preserve"> </w:t>
      </w:r>
      <w:r>
        <w:rPr>
          <w:color w:val="231F20"/>
          <w:spacing w:val="-4"/>
          <w:w w:val="105"/>
        </w:rPr>
        <w:t>your</w:t>
      </w:r>
      <w:r>
        <w:rPr>
          <w:color w:val="231F20"/>
          <w:spacing w:val="-8"/>
          <w:w w:val="105"/>
        </w:rPr>
        <w:t xml:space="preserve"> </w:t>
      </w:r>
      <w:r>
        <w:rPr>
          <w:color w:val="231F20"/>
          <w:w w:val="105"/>
        </w:rPr>
        <w:t>first</w:t>
      </w:r>
      <w:r>
        <w:rPr>
          <w:color w:val="231F20"/>
          <w:spacing w:val="-8"/>
          <w:w w:val="105"/>
        </w:rPr>
        <w:t xml:space="preserve"> </w:t>
      </w:r>
      <w:r>
        <w:rPr>
          <w:color w:val="231F20"/>
          <w:w w:val="105"/>
        </w:rPr>
        <w:t>report</w:t>
      </w:r>
      <w:r>
        <w:rPr>
          <w:color w:val="231F20"/>
          <w:spacing w:val="-8"/>
          <w:w w:val="105"/>
        </w:rPr>
        <w:t xml:space="preserve"> </w:t>
      </w:r>
      <w:r>
        <w:rPr>
          <w:color w:val="231F20"/>
          <w:w w:val="105"/>
        </w:rPr>
        <w:t>on</w:t>
      </w:r>
      <w:r>
        <w:rPr>
          <w:color w:val="231F20"/>
          <w:spacing w:val="-8"/>
          <w:w w:val="105"/>
        </w:rPr>
        <w:t xml:space="preserve"> </w:t>
      </w:r>
      <w:r>
        <w:rPr>
          <w:color w:val="231F20"/>
          <w:w w:val="105"/>
        </w:rPr>
        <w:t>it</w:t>
      </w:r>
      <w:r>
        <w:rPr>
          <w:color w:val="231F20"/>
          <w:spacing w:val="-8"/>
          <w:w w:val="105"/>
        </w:rPr>
        <w:t xml:space="preserve"> </w:t>
      </w:r>
      <w:r>
        <w:rPr>
          <w:color w:val="231F20"/>
          <w:w w:val="105"/>
        </w:rPr>
        <w:t>appeared</w:t>
      </w:r>
      <w:r>
        <w:rPr>
          <w:color w:val="231F20"/>
          <w:spacing w:val="-8"/>
          <w:w w:val="105"/>
        </w:rPr>
        <w:t xml:space="preserve"> </w:t>
      </w:r>
      <w:r>
        <w:rPr>
          <w:color w:val="231F20"/>
          <w:w w:val="105"/>
        </w:rPr>
        <w:t>on</w:t>
      </w:r>
      <w:r>
        <w:rPr>
          <w:color w:val="231F20"/>
          <w:spacing w:val="-8"/>
          <w:w w:val="105"/>
        </w:rPr>
        <w:t xml:space="preserve"> </w:t>
      </w:r>
      <w:r>
        <w:rPr>
          <w:color w:val="231F20"/>
          <w:w w:val="105"/>
        </w:rPr>
        <w:t>the</w:t>
      </w:r>
      <w:r>
        <w:rPr>
          <w:color w:val="231F20"/>
          <w:spacing w:val="-7"/>
          <w:w w:val="105"/>
        </w:rPr>
        <w:t xml:space="preserve"> </w:t>
      </w:r>
      <w:r>
        <w:rPr>
          <w:color w:val="231F20"/>
          <w:spacing w:val="-4"/>
          <w:w w:val="105"/>
        </w:rPr>
        <w:t>53rd</w:t>
      </w:r>
      <w:r>
        <w:rPr>
          <w:color w:val="231F20"/>
          <w:spacing w:val="-8"/>
          <w:w w:val="105"/>
        </w:rPr>
        <w:t xml:space="preserve"> </w:t>
      </w:r>
      <w:r>
        <w:rPr>
          <w:color w:val="231F20"/>
          <w:w w:val="105"/>
        </w:rPr>
        <w:t>day</w:t>
      </w:r>
      <w:r>
        <w:rPr>
          <w:color w:val="231F20"/>
          <w:spacing w:val="-8"/>
          <w:w w:val="105"/>
        </w:rPr>
        <w:t xml:space="preserve"> </w:t>
      </w:r>
      <w:r>
        <w:rPr>
          <w:color w:val="231F20"/>
          <w:w w:val="105"/>
        </w:rPr>
        <w:t>of</w:t>
      </w:r>
      <w:r>
        <w:rPr>
          <w:color w:val="231F20"/>
          <w:spacing w:val="-8"/>
          <w:w w:val="105"/>
        </w:rPr>
        <w:t xml:space="preserve"> </w:t>
      </w:r>
      <w:r>
        <w:rPr>
          <w:color w:val="231F20"/>
          <w:w w:val="105"/>
        </w:rPr>
        <w:t>the</w:t>
      </w:r>
      <w:r>
        <w:rPr>
          <w:color w:val="231F20"/>
          <w:spacing w:val="-8"/>
          <w:w w:val="105"/>
        </w:rPr>
        <w:t xml:space="preserve"> </w:t>
      </w:r>
      <w:r>
        <w:rPr>
          <w:color w:val="231F20"/>
          <w:w w:val="105"/>
        </w:rPr>
        <w:t>strike,</w:t>
      </w:r>
      <w:r>
        <w:rPr>
          <w:color w:val="231F20"/>
          <w:spacing w:val="-8"/>
          <w:w w:val="105"/>
        </w:rPr>
        <w:t xml:space="preserve"> </w:t>
      </w:r>
      <w:r>
        <w:rPr>
          <w:color w:val="231F20"/>
          <w:w w:val="105"/>
        </w:rPr>
        <w:t>five days before Holger’s</w:t>
      </w:r>
      <w:r>
        <w:rPr>
          <w:color w:val="231F20"/>
          <w:spacing w:val="21"/>
          <w:w w:val="105"/>
        </w:rPr>
        <w:t xml:space="preserve"> </w:t>
      </w:r>
      <w:r>
        <w:rPr>
          <w:color w:val="231F20"/>
          <w:w w:val="105"/>
        </w:rPr>
        <w:t>death.</w:t>
      </w:r>
    </w:p>
    <w:p w14:paraId="337EEBF7" w14:textId="77777777" w:rsidR="002653E8" w:rsidRDefault="002653E8">
      <w:pPr>
        <w:pStyle w:val="a3"/>
        <w:spacing w:before="5"/>
      </w:pPr>
    </w:p>
    <w:p w14:paraId="56EB2A86" w14:textId="77777777" w:rsidR="00527C61" w:rsidRDefault="003115E3">
      <w:pPr>
        <w:pStyle w:val="a3"/>
        <w:spacing w:line="525" w:lineRule="auto"/>
        <w:ind w:left="1327" w:right="2686"/>
        <w:rPr>
          <w:color w:val="231F20"/>
        </w:rPr>
      </w:pPr>
      <w:r>
        <w:rPr>
          <w:i/>
          <w:color w:val="231F20"/>
        </w:rPr>
        <w:t>Spiegel</w:t>
      </w:r>
      <w:r>
        <w:rPr>
          <w:color w:val="231F20"/>
        </w:rPr>
        <w:t xml:space="preserve">: Are you prepared to see other people die? </w:t>
      </w:r>
    </w:p>
    <w:p w14:paraId="272F2D5C" w14:textId="164457DB" w:rsidR="002653E8" w:rsidRDefault="00C507A5">
      <w:pPr>
        <w:pStyle w:val="a3"/>
        <w:spacing w:line="525" w:lineRule="auto"/>
        <w:ind w:left="1327" w:right="2686"/>
      </w:pPr>
      <w:r>
        <w:rPr>
          <w:color w:val="231F20"/>
        </w:rPr>
        <w:t>red army faction</w:t>
      </w:r>
      <w:r w:rsidR="003115E3">
        <w:rPr>
          <w:color w:val="231F20"/>
        </w:rPr>
        <w:t>: Buback is sitting at his desk waiting for that.</w:t>
      </w:r>
    </w:p>
    <w:p w14:paraId="57EBF8F7" w14:textId="77777777" w:rsidR="002653E8" w:rsidRDefault="003115E3">
      <w:pPr>
        <w:pStyle w:val="a3"/>
        <w:spacing w:before="1"/>
        <w:ind w:left="1327"/>
        <w:jc w:val="both"/>
      </w:pPr>
      <w:r>
        <w:rPr>
          <w:i/>
          <w:color w:val="231F20"/>
        </w:rPr>
        <w:t>Spiegel</w:t>
      </w:r>
      <w:r>
        <w:rPr>
          <w:color w:val="231F20"/>
        </w:rPr>
        <w:t>: you must know that we think that’s a monstrous suggestion.</w:t>
      </w:r>
    </w:p>
    <w:p w14:paraId="12BAEDB5" w14:textId="77777777" w:rsidR="002653E8" w:rsidRDefault="002653E8">
      <w:pPr>
        <w:jc w:val="both"/>
        <w:sectPr w:rsidR="002653E8">
          <w:pgSz w:w="8640" w:h="12960"/>
          <w:pgMar w:top="1060" w:right="0" w:bottom="1040" w:left="0" w:header="0" w:footer="850" w:gutter="0"/>
          <w:cols w:space="720"/>
        </w:sectPr>
      </w:pPr>
    </w:p>
    <w:p w14:paraId="283DE14B" w14:textId="77777777" w:rsidR="002653E8" w:rsidRDefault="00C507A5">
      <w:pPr>
        <w:pStyle w:val="a3"/>
        <w:spacing w:before="86" w:line="264" w:lineRule="auto"/>
        <w:ind w:left="1147" w:right="1326"/>
        <w:jc w:val="both"/>
      </w:pPr>
      <w:r>
        <w:rPr>
          <w:color w:val="231F20"/>
        </w:rPr>
        <w:lastRenderedPageBreak/>
        <w:t>red army faction</w:t>
      </w:r>
      <w:r w:rsidR="003115E3">
        <w:rPr>
          <w:color w:val="231F20"/>
        </w:rPr>
        <w:t>: Oestereicher, the Chairman of Amnesty England, a professional human rights activist, following a conversation with Buback in his efforts at mediation with the state, was “shocked” by the “ice-cold” way that Buback “was gambling with the prisoners’ lives.” That’s a quote.</w:t>
      </w:r>
    </w:p>
    <w:p w14:paraId="68F8B7FC" w14:textId="77777777" w:rsidR="002653E8" w:rsidRDefault="002653E8">
      <w:pPr>
        <w:pStyle w:val="a3"/>
        <w:spacing w:before="6"/>
        <w:rPr>
          <w:sz w:val="21"/>
        </w:rPr>
      </w:pPr>
    </w:p>
    <w:p w14:paraId="28B7322A" w14:textId="77777777" w:rsidR="002653E8" w:rsidRDefault="003115E3">
      <w:pPr>
        <w:pStyle w:val="a3"/>
        <w:spacing w:before="1"/>
        <w:ind w:left="1147"/>
      </w:pPr>
      <w:r>
        <w:rPr>
          <w:i/>
          <w:color w:val="231F20"/>
        </w:rPr>
        <w:t>Spiegel</w:t>
      </w:r>
      <w:r>
        <w:rPr>
          <w:color w:val="231F20"/>
        </w:rPr>
        <w:t>: How do you analyze the situation in the Federal Republic?</w:t>
      </w:r>
    </w:p>
    <w:p w14:paraId="170C3327" w14:textId="77777777" w:rsidR="002653E8" w:rsidRDefault="002653E8">
      <w:pPr>
        <w:pStyle w:val="a3"/>
        <w:spacing w:before="9"/>
        <w:rPr>
          <w:sz w:val="23"/>
        </w:rPr>
      </w:pPr>
    </w:p>
    <w:p w14:paraId="4A1313FE" w14:textId="77777777" w:rsidR="002653E8" w:rsidRDefault="00C507A5">
      <w:pPr>
        <w:pStyle w:val="a3"/>
        <w:spacing w:line="264" w:lineRule="auto"/>
        <w:ind w:left="1147" w:right="1325"/>
        <w:jc w:val="both"/>
      </w:pPr>
      <w:r>
        <w:rPr>
          <w:color w:val="231F20"/>
          <w:spacing w:val="1"/>
          <w:w w:val="105"/>
        </w:rPr>
        <w:t>red army faction</w:t>
      </w:r>
      <w:r w:rsidR="003115E3">
        <w:rPr>
          <w:color w:val="231F20"/>
          <w:spacing w:val="1"/>
          <w:w w:val="105"/>
        </w:rPr>
        <w:t xml:space="preserve">: </w:t>
      </w:r>
      <w:r w:rsidR="003115E3">
        <w:rPr>
          <w:color w:val="231F20"/>
          <w:spacing w:val="2"/>
          <w:w w:val="105"/>
        </w:rPr>
        <w:t xml:space="preserve">An </w:t>
      </w:r>
      <w:r w:rsidR="003115E3">
        <w:rPr>
          <w:color w:val="231F20"/>
          <w:w w:val="105"/>
        </w:rPr>
        <w:t xml:space="preserve">imperialist center. A </w:t>
      </w:r>
      <w:r w:rsidR="003115E3">
        <w:rPr>
          <w:color w:val="231F20"/>
          <w:spacing w:val="1"/>
          <w:w w:val="105"/>
        </w:rPr>
        <w:t xml:space="preserve">U.S. </w:t>
      </w:r>
      <w:r w:rsidR="003115E3">
        <w:rPr>
          <w:color w:val="231F20"/>
          <w:spacing w:val="-4"/>
          <w:w w:val="105"/>
        </w:rPr>
        <w:t xml:space="preserve">colony. </w:t>
      </w:r>
      <w:r w:rsidR="003115E3">
        <w:rPr>
          <w:color w:val="231F20"/>
          <w:w w:val="105"/>
        </w:rPr>
        <w:t xml:space="preserve">A </w:t>
      </w:r>
      <w:r w:rsidR="003115E3">
        <w:rPr>
          <w:color w:val="231F20"/>
          <w:spacing w:val="1"/>
          <w:w w:val="105"/>
        </w:rPr>
        <w:t xml:space="preserve">U.S. </w:t>
      </w:r>
      <w:r w:rsidR="003115E3">
        <w:rPr>
          <w:color w:val="231F20"/>
          <w:w w:val="105"/>
        </w:rPr>
        <w:t>military base. The leading imperialist power in Western Europe and in the European Community.</w:t>
      </w:r>
      <w:r w:rsidR="003115E3">
        <w:rPr>
          <w:color w:val="231F20"/>
          <w:spacing w:val="-8"/>
          <w:w w:val="105"/>
        </w:rPr>
        <w:t xml:space="preserve"> </w:t>
      </w:r>
      <w:r w:rsidR="003115E3">
        <w:rPr>
          <w:color w:val="231F20"/>
          <w:w w:val="105"/>
        </w:rPr>
        <w:t>Second</w:t>
      </w:r>
      <w:r w:rsidR="003115E3">
        <w:rPr>
          <w:color w:val="231F20"/>
          <w:spacing w:val="-8"/>
          <w:w w:val="105"/>
        </w:rPr>
        <w:t xml:space="preserve"> </w:t>
      </w:r>
      <w:r w:rsidR="003115E3">
        <w:rPr>
          <w:color w:val="231F20"/>
          <w:w w:val="105"/>
        </w:rPr>
        <w:t>strongest</w:t>
      </w:r>
      <w:r w:rsidR="003115E3">
        <w:rPr>
          <w:color w:val="231F20"/>
          <w:spacing w:val="-8"/>
          <w:w w:val="105"/>
        </w:rPr>
        <w:t xml:space="preserve"> </w:t>
      </w:r>
      <w:r w:rsidR="003115E3">
        <w:rPr>
          <w:color w:val="231F20"/>
          <w:w w:val="105"/>
        </w:rPr>
        <w:t>military</w:t>
      </w:r>
      <w:r w:rsidR="003115E3">
        <w:rPr>
          <w:color w:val="231F20"/>
          <w:spacing w:val="-8"/>
          <w:w w:val="105"/>
        </w:rPr>
        <w:t xml:space="preserve"> </w:t>
      </w:r>
      <w:r w:rsidR="003115E3">
        <w:rPr>
          <w:color w:val="231F20"/>
          <w:w w:val="105"/>
        </w:rPr>
        <w:t>power</w:t>
      </w:r>
      <w:r w:rsidR="003115E3">
        <w:rPr>
          <w:color w:val="231F20"/>
          <w:spacing w:val="-8"/>
          <w:w w:val="105"/>
        </w:rPr>
        <w:t xml:space="preserve"> </w:t>
      </w:r>
      <w:r w:rsidR="003115E3">
        <w:rPr>
          <w:color w:val="231F20"/>
          <w:w w:val="105"/>
        </w:rPr>
        <w:t>in</w:t>
      </w:r>
      <w:r w:rsidR="003115E3">
        <w:rPr>
          <w:color w:val="231F20"/>
          <w:spacing w:val="-6"/>
          <w:w w:val="105"/>
        </w:rPr>
        <w:t xml:space="preserve"> </w:t>
      </w:r>
      <w:r w:rsidR="003115E3">
        <w:rPr>
          <w:color w:val="231F20"/>
          <w:spacing w:val="-3"/>
          <w:w w:val="105"/>
        </w:rPr>
        <w:t>NATO.</w:t>
      </w:r>
      <w:r w:rsidR="003115E3">
        <w:rPr>
          <w:color w:val="231F20"/>
          <w:spacing w:val="-8"/>
          <w:w w:val="105"/>
        </w:rPr>
        <w:t xml:space="preserve"> </w:t>
      </w:r>
      <w:r w:rsidR="003115E3">
        <w:rPr>
          <w:color w:val="231F20"/>
          <w:w w:val="105"/>
        </w:rPr>
        <w:t>The</w:t>
      </w:r>
      <w:r w:rsidR="003115E3">
        <w:rPr>
          <w:color w:val="231F20"/>
          <w:spacing w:val="-8"/>
          <w:w w:val="105"/>
        </w:rPr>
        <w:t xml:space="preserve"> </w:t>
      </w:r>
      <w:r w:rsidR="003115E3">
        <w:rPr>
          <w:color w:val="231F20"/>
          <w:w w:val="105"/>
        </w:rPr>
        <w:t xml:space="preserve">representative of </w:t>
      </w:r>
      <w:r w:rsidR="003115E3">
        <w:rPr>
          <w:color w:val="231F20"/>
          <w:spacing w:val="1"/>
          <w:w w:val="105"/>
        </w:rPr>
        <w:t xml:space="preserve">U.S. </w:t>
      </w:r>
      <w:r w:rsidR="003115E3">
        <w:rPr>
          <w:color w:val="231F20"/>
          <w:w w:val="105"/>
        </w:rPr>
        <w:t>imperialist interests in Western</w:t>
      </w:r>
      <w:r w:rsidR="003115E3">
        <w:rPr>
          <w:color w:val="231F20"/>
          <w:spacing w:val="18"/>
          <w:w w:val="105"/>
        </w:rPr>
        <w:t xml:space="preserve"> </w:t>
      </w:r>
      <w:r w:rsidR="003115E3">
        <w:rPr>
          <w:color w:val="231F20"/>
          <w:w w:val="105"/>
        </w:rPr>
        <w:t>Europe.</w:t>
      </w:r>
    </w:p>
    <w:p w14:paraId="58F2D349" w14:textId="77777777" w:rsidR="002653E8" w:rsidRDefault="003115E3">
      <w:pPr>
        <w:pStyle w:val="a3"/>
        <w:spacing w:line="264" w:lineRule="auto"/>
        <w:ind w:left="1148" w:right="1325" w:firstLine="210"/>
        <w:jc w:val="both"/>
      </w:pPr>
      <w:r>
        <w:rPr>
          <w:color w:val="231F20"/>
        </w:rPr>
        <w:t>The position of the Federal Republic vis à vis the Third World is characterized by the fusion of West German and American imperialism (politically, economically, militarily, ideologically based on the same interests in exploiting the Third World, as well as on the standardization of their social structures through the concentration of capital and consumer culture): in terms of its participation in the wars which imperialism wages, as well as being a “city” in the worldwide revolutionary process of cities being encircled by the countryside.</w:t>
      </w:r>
    </w:p>
    <w:p w14:paraId="76A07374" w14:textId="77777777" w:rsidR="002653E8" w:rsidRDefault="003115E3">
      <w:pPr>
        <w:pStyle w:val="a3"/>
        <w:spacing w:line="264" w:lineRule="auto"/>
        <w:ind w:left="1148" w:right="1325" w:firstLine="210"/>
        <w:jc w:val="both"/>
      </w:pPr>
      <w:r>
        <w:rPr>
          <w:color w:val="231F20"/>
        </w:rPr>
        <w:t>So the guerilla in the metropole is an urban guerilla in both senses: geographically, it emerges, operates, and develops in the big cities, and in the strategic and politico-military senses, because it attacks imperialism’s repressive machinery within the metropole, from the inside, like partisans operating behind enemy lines. That is what we mean by proletarian internationalism today.</w:t>
      </w:r>
    </w:p>
    <w:p w14:paraId="047A247A" w14:textId="77777777" w:rsidR="002653E8" w:rsidRDefault="003115E3">
      <w:pPr>
        <w:pStyle w:val="a3"/>
        <w:spacing w:line="264" w:lineRule="auto"/>
        <w:ind w:left="1148" w:right="1326" w:firstLine="210"/>
        <w:jc w:val="both"/>
      </w:pPr>
      <w:r>
        <w:rPr>
          <w:color w:val="231F20"/>
          <w:spacing w:val="-8"/>
          <w:w w:val="105"/>
        </w:rPr>
        <w:t>To</w:t>
      </w:r>
      <w:r>
        <w:rPr>
          <w:color w:val="231F20"/>
          <w:spacing w:val="-10"/>
          <w:w w:val="105"/>
        </w:rPr>
        <w:t xml:space="preserve"> </w:t>
      </w:r>
      <w:r>
        <w:rPr>
          <w:color w:val="231F20"/>
          <w:w w:val="105"/>
        </w:rPr>
        <w:t>sum</w:t>
      </w:r>
      <w:r>
        <w:rPr>
          <w:color w:val="231F20"/>
          <w:spacing w:val="-10"/>
          <w:w w:val="105"/>
        </w:rPr>
        <w:t xml:space="preserve"> </w:t>
      </w:r>
      <w:r>
        <w:rPr>
          <w:color w:val="231F20"/>
          <w:w w:val="105"/>
        </w:rPr>
        <w:t>up:</w:t>
      </w:r>
      <w:r>
        <w:rPr>
          <w:color w:val="231F20"/>
          <w:spacing w:val="-10"/>
          <w:w w:val="105"/>
        </w:rPr>
        <w:t xml:space="preserve"> </w:t>
      </w:r>
      <w:r>
        <w:rPr>
          <w:color w:val="231F20"/>
          <w:w w:val="105"/>
        </w:rPr>
        <w:t>the</w:t>
      </w:r>
      <w:r>
        <w:rPr>
          <w:color w:val="231F20"/>
          <w:spacing w:val="-10"/>
          <w:w w:val="105"/>
        </w:rPr>
        <w:t xml:space="preserve"> </w:t>
      </w:r>
      <w:r>
        <w:rPr>
          <w:color w:val="231F20"/>
          <w:w w:val="105"/>
        </w:rPr>
        <w:t>Federal</w:t>
      </w:r>
      <w:r>
        <w:rPr>
          <w:color w:val="231F20"/>
          <w:spacing w:val="-10"/>
          <w:w w:val="105"/>
        </w:rPr>
        <w:t xml:space="preserve"> </w:t>
      </w:r>
      <w:r>
        <w:rPr>
          <w:color w:val="231F20"/>
          <w:w w:val="105"/>
        </w:rPr>
        <w:t>Republic</w:t>
      </w:r>
      <w:r>
        <w:rPr>
          <w:color w:val="231F20"/>
          <w:spacing w:val="-10"/>
          <w:w w:val="105"/>
        </w:rPr>
        <w:t xml:space="preserve"> </w:t>
      </w:r>
      <w:r>
        <w:rPr>
          <w:color w:val="231F20"/>
          <w:w w:val="105"/>
        </w:rPr>
        <w:t>is</w:t>
      </w:r>
      <w:r>
        <w:rPr>
          <w:color w:val="231F20"/>
          <w:spacing w:val="-10"/>
          <w:w w:val="105"/>
        </w:rPr>
        <w:t xml:space="preserve"> </w:t>
      </w:r>
      <w:r>
        <w:rPr>
          <w:color w:val="231F20"/>
          <w:w w:val="105"/>
        </w:rPr>
        <w:t>part</w:t>
      </w:r>
      <w:r>
        <w:rPr>
          <w:color w:val="231F20"/>
          <w:spacing w:val="-10"/>
          <w:w w:val="105"/>
        </w:rPr>
        <w:t xml:space="preserve"> </w:t>
      </w:r>
      <w:r>
        <w:rPr>
          <w:color w:val="231F20"/>
          <w:w w:val="105"/>
        </w:rPr>
        <w:t>of</w:t>
      </w:r>
      <w:r>
        <w:rPr>
          <w:color w:val="231F20"/>
          <w:spacing w:val="-10"/>
          <w:w w:val="105"/>
        </w:rPr>
        <w:t xml:space="preserve"> </w:t>
      </w:r>
      <w:r>
        <w:rPr>
          <w:color w:val="231F20"/>
          <w:spacing w:val="1"/>
          <w:w w:val="105"/>
        </w:rPr>
        <w:t>U.S.</w:t>
      </w:r>
      <w:r>
        <w:rPr>
          <w:color w:val="231F20"/>
          <w:spacing w:val="-10"/>
          <w:w w:val="105"/>
        </w:rPr>
        <w:t xml:space="preserve"> </w:t>
      </w:r>
      <w:r>
        <w:rPr>
          <w:color w:val="231F20"/>
          <w:w w:val="105"/>
        </w:rPr>
        <w:t>imperialism’s</w:t>
      </w:r>
      <w:r>
        <w:rPr>
          <w:color w:val="231F20"/>
          <w:spacing w:val="-10"/>
          <w:w w:val="105"/>
        </w:rPr>
        <w:t xml:space="preserve"> </w:t>
      </w:r>
      <w:r>
        <w:rPr>
          <w:color w:val="231F20"/>
          <w:w w:val="105"/>
        </w:rPr>
        <w:t>system of</w:t>
      </w:r>
      <w:r>
        <w:rPr>
          <w:color w:val="231F20"/>
          <w:spacing w:val="-5"/>
          <w:w w:val="105"/>
        </w:rPr>
        <w:t xml:space="preserve"> </w:t>
      </w:r>
      <w:r>
        <w:rPr>
          <w:color w:val="231F20"/>
          <w:w w:val="105"/>
        </w:rPr>
        <w:t>states,</w:t>
      </w:r>
      <w:r>
        <w:rPr>
          <w:color w:val="231F20"/>
          <w:spacing w:val="-5"/>
          <w:w w:val="105"/>
        </w:rPr>
        <w:t xml:space="preserve"> </w:t>
      </w:r>
      <w:r>
        <w:rPr>
          <w:color w:val="231F20"/>
          <w:w w:val="105"/>
        </w:rPr>
        <w:t>not</w:t>
      </w:r>
      <w:r>
        <w:rPr>
          <w:color w:val="231F20"/>
          <w:spacing w:val="-5"/>
          <w:w w:val="105"/>
        </w:rPr>
        <w:t xml:space="preserve"> </w:t>
      </w:r>
      <w:r>
        <w:rPr>
          <w:color w:val="231F20"/>
          <w:w w:val="105"/>
        </w:rPr>
        <w:t>as</w:t>
      </w:r>
      <w:r>
        <w:rPr>
          <w:color w:val="231F20"/>
          <w:spacing w:val="-5"/>
          <w:w w:val="105"/>
        </w:rPr>
        <w:t xml:space="preserve"> </w:t>
      </w:r>
      <w:r>
        <w:rPr>
          <w:color w:val="231F20"/>
          <w:w w:val="105"/>
        </w:rPr>
        <w:t>one</w:t>
      </w:r>
      <w:r>
        <w:rPr>
          <w:color w:val="231F20"/>
          <w:spacing w:val="-5"/>
          <w:w w:val="105"/>
        </w:rPr>
        <w:t xml:space="preserve"> </w:t>
      </w:r>
      <w:r>
        <w:rPr>
          <w:color w:val="231F20"/>
          <w:w w:val="105"/>
        </w:rPr>
        <w:t>of</w:t>
      </w:r>
      <w:r>
        <w:rPr>
          <w:color w:val="231F20"/>
          <w:spacing w:val="-5"/>
          <w:w w:val="105"/>
        </w:rPr>
        <w:t xml:space="preserve"> </w:t>
      </w:r>
      <w:r>
        <w:rPr>
          <w:color w:val="231F20"/>
          <w:w w:val="105"/>
        </w:rPr>
        <w:t>the</w:t>
      </w:r>
      <w:r>
        <w:rPr>
          <w:color w:val="231F20"/>
          <w:spacing w:val="-5"/>
          <w:w w:val="105"/>
        </w:rPr>
        <w:t xml:space="preserve"> </w:t>
      </w:r>
      <w:r>
        <w:rPr>
          <w:color w:val="231F20"/>
          <w:w w:val="105"/>
        </w:rPr>
        <w:t>oppressed,</w:t>
      </w:r>
      <w:r>
        <w:rPr>
          <w:color w:val="231F20"/>
          <w:spacing w:val="-5"/>
          <w:w w:val="105"/>
        </w:rPr>
        <w:t xml:space="preserve"> </w:t>
      </w:r>
      <w:r>
        <w:rPr>
          <w:color w:val="231F20"/>
          <w:w w:val="105"/>
        </w:rPr>
        <w:t>but</w:t>
      </w:r>
      <w:r>
        <w:rPr>
          <w:color w:val="231F20"/>
          <w:spacing w:val="-5"/>
          <w:w w:val="105"/>
        </w:rPr>
        <w:t xml:space="preserve"> </w:t>
      </w:r>
      <w:r>
        <w:rPr>
          <w:color w:val="231F20"/>
          <w:w w:val="105"/>
        </w:rPr>
        <w:t>rather</w:t>
      </w:r>
      <w:r>
        <w:rPr>
          <w:color w:val="231F20"/>
          <w:spacing w:val="-5"/>
          <w:w w:val="105"/>
        </w:rPr>
        <w:t xml:space="preserve"> </w:t>
      </w:r>
      <w:r>
        <w:rPr>
          <w:color w:val="231F20"/>
          <w:w w:val="105"/>
        </w:rPr>
        <w:t>as</w:t>
      </w:r>
      <w:r>
        <w:rPr>
          <w:color w:val="231F20"/>
          <w:spacing w:val="-5"/>
          <w:w w:val="105"/>
        </w:rPr>
        <w:t xml:space="preserve"> </w:t>
      </w:r>
      <w:r>
        <w:rPr>
          <w:color w:val="231F20"/>
          <w:w w:val="105"/>
        </w:rPr>
        <w:t>an</w:t>
      </w:r>
      <w:r>
        <w:rPr>
          <w:color w:val="231F20"/>
          <w:spacing w:val="-5"/>
          <w:w w:val="105"/>
        </w:rPr>
        <w:t xml:space="preserve"> </w:t>
      </w:r>
      <w:r>
        <w:rPr>
          <w:color w:val="231F20"/>
          <w:w w:val="105"/>
        </w:rPr>
        <w:t>oppressor.</w:t>
      </w:r>
    </w:p>
    <w:p w14:paraId="5CD60F32" w14:textId="77777777" w:rsidR="002653E8" w:rsidRDefault="003115E3">
      <w:pPr>
        <w:pStyle w:val="a3"/>
        <w:spacing w:line="264" w:lineRule="auto"/>
        <w:ind w:left="1148" w:right="1325" w:firstLine="210"/>
        <w:jc w:val="both"/>
      </w:pPr>
      <w:r>
        <w:rPr>
          <w:color w:val="231F20"/>
          <w:spacing w:val="1"/>
        </w:rPr>
        <w:t xml:space="preserve">In </w:t>
      </w:r>
      <w:r>
        <w:rPr>
          <w:color w:val="231F20"/>
        </w:rPr>
        <w:t>a state like this, the development of proletarian counterpower and the liberation struggle to disrupt the ruling power structure must be internationalist right from the beginning, which is only possible through   a strategic and tactical relationship with the liberation struggles of the oppressed</w:t>
      </w:r>
      <w:r>
        <w:rPr>
          <w:color w:val="231F20"/>
          <w:spacing w:val="10"/>
        </w:rPr>
        <w:t xml:space="preserve"> </w:t>
      </w:r>
      <w:r>
        <w:rPr>
          <w:color w:val="231F20"/>
        </w:rPr>
        <w:t>nations.</w:t>
      </w:r>
    </w:p>
    <w:p w14:paraId="1B11D7D2" w14:textId="77777777" w:rsidR="002653E8" w:rsidRDefault="003115E3">
      <w:pPr>
        <w:pStyle w:val="a3"/>
        <w:spacing w:line="264" w:lineRule="auto"/>
        <w:ind w:left="1147" w:right="1326" w:firstLine="210"/>
        <w:jc w:val="both"/>
      </w:pPr>
      <w:r>
        <w:rPr>
          <w:color w:val="231F20"/>
        </w:rPr>
        <w:t xml:space="preserve">Historically, since </w:t>
      </w:r>
      <w:r>
        <w:rPr>
          <w:color w:val="231F20"/>
          <w:spacing w:val="-8"/>
        </w:rPr>
        <w:t xml:space="preserve">1918-1919, </w:t>
      </w:r>
      <w:r>
        <w:rPr>
          <w:color w:val="231F20"/>
        </w:rPr>
        <w:t>the German imperialist  bourgeoisie  and its state has held the initiative in an offensive against the people, from the complete destruction of the proletariat’s organizations under fascism, through the defeat of the old fascism, not by armed struggle here, but by the Soviet army and the Western Allies, and onward up until</w:t>
      </w:r>
      <w:r>
        <w:rPr>
          <w:color w:val="231F20"/>
          <w:spacing w:val="10"/>
        </w:rPr>
        <w:t xml:space="preserve"> </w:t>
      </w:r>
      <w:r>
        <w:rPr>
          <w:color w:val="231F20"/>
          <w:spacing w:val="-4"/>
        </w:rPr>
        <w:t>today.</w:t>
      </w:r>
    </w:p>
    <w:p w14:paraId="169140EC" w14:textId="77777777" w:rsidR="002653E8" w:rsidRDefault="002653E8">
      <w:pPr>
        <w:spacing w:line="264" w:lineRule="auto"/>
        <w:jc w:val="both"/>
        <w:sectPr w:rsidR="002653E8">
          <w:pgSz w:w="8640" w:h="12960"/>
          <w:pgMar w:top="1060" w:right="0" w:bottom="1040" w:left="0" w:header="0" w:footer="850" w:gutter="0"/>
          <w:cols w:space="720"/>
        </w:sectPr>
      </w:pPr>
    </w:p>
    <w:p w14:paraId="5D7468F6" w14:textId="77777777" w:rsidR="002653E8" w:rsidRDefault="003115E3">
      <w:pPr>
        <w:pStyle w:val="a3"/>
        <w:spacing w:before="86" w:line="264" w:lineRule="auto"/>
        <w:ind w:left="1327" w:right="1145" w:firstLine="210"/>
        <w:jc w:val="both"/>
      </w:pPr>
      <w:r>
        <w:rPr>
          <w:color w:val="231F20"/>
          <w:spacing w:val="1"/>
        </w:rPr>
        <w:lastRenderedPageBreak/>
        <w:t xml:space="preserve">In </w:t>
      </w:r>
      <w:r>
        <w:rPr>
          <w:color w:val="231F20"/>
        </w:rPr>
        <w:t>the 1920s, there was the treachery of the Third  International,</w:t>
      </w:r>
      <w:r>
        <w:rPr>
          <w:color w:val="231F20"/>
          <w:position w:val="7"/>
          <w:sz w:val="11"/>
        </w:rPr>
        <w:t xml:space="preserve">1 </w:t>
      </w:r>
      <w:r>
        <w:rPr>
          <w:color w:val="231F20"/>
        </w:rPr>
        <w:t xml:space="preserve">with the communist parties all totally aligned with the Soviet Union, which prevented the </w:t>
      </w:r>
      <w:r>
        <w:rPr>
          <w:color w:val="231F20"/>
          <w:spacing w:val="1"/>
        </w:rPr>
        <w:t xml:space="preserve">KPD </w:t>
      </w:r>
      <w:r>
        <w:rPr>
          <w:color w:val="231F20"/>
        </w:rPr>
        <w:t xml:space="preserve">from advancing the revolution and conquering power through a policy oriented around armed struggle, through which it could have developed a class identity and revolutionary energy. After </w:t>
      </w:r>
      <w:r>
        <w:rPr>
          <w:color w:val="231F20"/>
          <w:spacing w:val="-7"/>
        </w:rPr>
        <w:t xml:space="preserve">1945, </w:t>
      </w:r>
      <w:r>
        <w:rPr>
          <w:color w:val="231F20"/>
          <w:spacing w:val="1"/>
        </w:rPr>
        <w:t xml:space="preserve">U.S. </w:t>
      </w:r>
      <w:r>
        <w:rPr>
          <w:color w:val="231F20"/>
        </w:rPr>
        <w:t xml:space="preserve">imperialism tried to brainwash the people with anticommunism, consumer culture, and the political, ideological, and even military restoration of fascism in the form of the Cold </w:t>
      </w:r>
      <w:r>
        <w:rPr>
          <w:color w:val="231F20"/>
          <w:spacing w:val="-4"/>
        </w:rPr>
        <w:t xml:space="preserve">War.  </w:t>
      </w:r>
      <w:r>
        <w:rPr>
          <w:color w:val="231F20"/>
        </w:rPr>
        <w:t>Nor  did the GDR develop communist politics through a liberation war. Unlike France, Italy, yugoslavia, Greece,  Spain,  and  even  Holland,  there was no mass, armed antifascist resistance here.  What  condi tions there were for that were then destroyed by the Western Allies after</w:t>
      </w:r>
      <w:r>
        <w:rPr>
          <w:color w:val="231F20"/>
          <w:spacing w:val="10"/>
        </w:rPr>
        <w:t xml:space="preserve"> </w:t>
      </w:r>
      <w:r>
        <w:rPr>
          <w:color w:val="231F20"/>
          <w:spacing w:val="-8"/>
        </w:rPr>
        <w:t>1945.</w:t>
      </w:r>
    </w:p>
    <w:p w14:paraId="55EB8D4B" w14:textId="77777777" w:rsidR="002653E8" w:rsidRDefault="003115E3">
      <w:pPr>
        <w:pStyle w:val="a3"/>
        <w:spacing w:line="220" w:lineRule="exact"/>
        <w:ind w:left="1537"/>
      </w:pPr>
      <w:r>
        <w:rPr>
          <w:color w:val="231F20"/>
        </w:rPr>
        <w:t>What this means for us and for the legal left here is that we have</w:t>
      </w:r>
    </w:p>
    <w:p w14:paraId="48984D9D" w14:textId="77777777" w:rsidR="002653E8" w:rsidRDefault="003115E3">
      <w:pPr>
        <w:pStyle w:val="a3"/>
        <w:spacing w:before="23" w:line="264" w:lineRule="auto"/>
        <w:ind w:left="1327" w:right="1146"/>
        <w:jc w:val="both"/>
      </w:pPr>
      <w:r>
        <w:rPr>
          <w:color w:val="231F20"/>
        </w:rPr>
        <w:t xml:space="preserve">nothing to hold on to, nothing to base ourselves on historically, nothing that we can take for granted in terms of proletarian organization    or consciousness, not even democratic republican traditions. </w:t>
      </w:r>
      <w:r>
        <w:rPr>
          <w:color w:val="231F20"/>
          <w:spacing w:val="1"/>
        </w:rPr>
        <w:t xml:space="preserve">In </w:t>
      </w:r>
      <w:r>
        <w:rPr>
          <w:color w:val="231F20"/>
        </w:rPr>
        <w:t xml:space="preserve">terms  of domestic policies, this is one of the factors which makes the </w:t>
      </w:r>
      <w:r>
        <w:rPr>
          <w:color w:val="231F20"/>
          <w:spacing w:val="1"/>
        </w:rPr>
        <w:t xml:space="preserve">drift </w:t>
      </w:r>
      <w:r>
        <w:rPr>
          <w:color w:val="231F20"/>
        </w:rPr>
        <w:t xml:space="preserve">towards fascism possible, with the exaggerated runaway growth of the police apparatus, the state security machine as a state within the state, the de facto concentration of power, and the proliferation of fascistic special legislation in the framework of “internal security”—from the Emergency Laws to the current special laws that allow show trials to be held in the absence of the accused and their lawyers, permit the exclusion of “radicals” from the public service, and extend the jurisdiction of the </w:t>
      </w:r>
      <w:r>
        <w:rPr>
          <w:color w:val="231F20"/>
          <w:spacing w:val="2"/>
        </w:rPr>
        <w:t xml:space="preserve">BKA. </w:t>
      </w:r>
      <w:r>
        <w:rPr>
          <w:color w:val="231F20"/>
        </w:rPr>
        <w:t>A democracy that is not won by the people, but is imposed on them,</w:t>
      </w:r>
      <w:r>
        <w:rPr>
          <w:color w:val="231F20"/>
          <w:spacing w:val="11"/>
        </w:rPr>
        <w:t xml:space="preserve"> </w:t>
      </w:r>
      <w:r>
        <w:rPr>
          <w:color w:val="231F20"/>
        </w:rPr>
        <w:t>has</w:t>
      </w:r>
      <w:r>
        <w:rPr>
          <w:color w:val="231F20"/>
          <w:spacing w:val="11"/>
        </w:rPr>
        <w:t xml:space="preserve"> </w:t>
      </w:r>
      <w:r>
        <w:rPr>
          <w:color w:val="231F20"/>
        </w:rPr>
        <w:t>no</w:t>
      </w:r>
      <w:r>
        <w:rPr>
          <w:color w:val="231F20"/>
          <w:spacing w:val="11"/>
        </w:rPr>
        <w:t xml:space="preserve"> </w:t>
      </w:r>
      <w:r>
        <w:rPr>
          <w:color w:val="231F20"/>
        </w:rPr>
        <w:t>mass</w:t>
      </w:r>
      <w:r>
        <w:rPr>
          <w:color w:val="231F20"/>
          <w:spacing w:val="11"/>
        </w:rPr>
        <w:t xml:space="preserve"> </w:t>
      </w:r>
      <w:r>
        <w:rPr>
          <w:color w:val="231F20"/>
        </w:rPr>
        <w:t>base,</w:t>
      </w:r>
      <w:r>
        <w:rPr>
          <w:color w:val="231F20"/>
          <w:spacing w:val="11"/>
        </w:rPr>
        <w:t xml:space="preserve"> </w:t>
      </w:r>
      <w:r>
        <w:rPr>
          <w:color w:val="231F20"/>
        </w:rPr>
        <w:t>cannot</w:t>
      </w:r>
      <w:r>
        <w:rPr>
          <w:color w:val="231F20"/>
          <w:spacing w:val="11"/>
        </w:rPr>
        <w:t xml:space="preserve"> </w:t>
      </w:r>
      <w:r>
        <w:rPr>
          <w:color w:val="231F20"/>
        </w:rPr>
        <w:t>be</w:t>
      </w:r>
      <w:r>
        <w:rPr>
          <w:color w:val="231F20"/>
          <w:spacing w:val="11"/>
        </w:rPr>
        <w:t xml:space="preserve"> </w:t>
      </w:r>
      <w:r>
        <w:rPr>
          <w:color w:val="231F20"/>
        </w:rPr>
        <w:t>defended,</w:t>
      </w:r>
      <w:r>
        <w:rPr>
          <w:color w:val="231F20"/>
          <w:spacing w:val="11"/>
        </w:rPr>
        <w:t xml:space="preserve"> </w:t>
      </w:r>
      <w:r>
        <w:rPr>
          <w:color w:val="231F20"/>
        </w:rPr>
        <w:t>and</w:t>
      </w:r>
      <w:r>
        <w:rPr>
          <w:color w:val="231F20"/>
          <w:spacing w:val="11"/>
        </w:rPr>
        <w:t xml:space="preserve"> </w:t>
      </w:r>
      <w:r>
        <w:rPr>
          <w:color w:val="231F20"/>
          <w:spacing w:val="-4"/>
        </w:rPr>
        <w:t>won’t</w:t>
      </w:r>
      <w:r>
        <w:rPr>
          <w:color w:val="231F20"/>
          <w:spacing w:val="11"/>
        </w:rPr>
        <w:t xml:space="preserve"> </w:t>
      </w:r>
      <w:r>
        <w:rPr>
          <w:color w:val="231F20"/>
        </w:rPr>
        <w:t>be.</w:t>
      </w:r>
    </w:p>
    <w:p w14:paraId="15E651EF" w14:textId="77777777" w:rsidR="002653E8" w:rsidRDefault="003115E3">
      <w:pPr>
        <w:pStyle w:val="a3"/>
        <w:spacing w:line="220" w:lineRule="exact"/>
        <w:ind w:left="1537"/>
      </w:pPr>
      <w:r>
        <w:rPr>
          <w:color w:val="231F20"/>
        </w:rPr>
        <w:t>All this sums up the specific conditions within the borders of the</w:t>
      </w:r>
    </w:p>
    <w:p w14:paraId="3FE205C1" w14:textId="77777777" w:rsidR="002653E8" w:rsidRDefault="003115E3">
      <w:pPr>
        <w:pStyle w:val="a3"/>
        <w:spacing w:before="22"/>
        <w:ind w:left="1327"/>
      </w:pPr>
      <w:r>
        <w:rPr>
          <w:color w:val="231F20"/>
        </w:rPr>
        <w:t>Federal Republic.</w:t>
      </w:r>
    </w:p>
    <w:p w14:paraId="5D03A556" w14:textId="77777777" w:rsidR="002653E8" w:rsidRDefault="002653E8">
      <w:pPr>
        <w:pStyle w:val="a3"/>
        <w:spacing w:before="9"/>
        <w:rPr>
          <w:sz w:val="23"/>
        </w:rPr>
      </w:pPr>
    </w:p>
    <w:p w14:paraId="6FEAC77B" w14:textId="77777777" w:rsidR="002653E8" w:rsidRDefault="003115E3">
      <w:pPr>
        <w:pStyle w:val="a3"/>
        <w:spacing w:before="1" w:line="264" w:lineRule="auto"/>
        <w:ind w:left="1327" w:right="1146"/>
        <w:jc w:val="both"/>
      </w:pPr>
      <w:r>
        <w:rPr>
          <w:i/>
          <w:color w:val="231F20"/>
        </w:rPr>
        <w:t>Spiegel</w:t>
      </w:r>
      <w:r>
        <w:rPr>
          <w:color w:val="231F20"/>
        </w:rPr>
        <w:t>: So far, all of your bombs and slogans have only attracted very small groups of intellectuals and anarchist fellow travelers. Do you  think</w:t>
      </w:r>
      <w:r>
        <w:rPr>
          <w:color w:val="231F20"/>
          <w:spacing w:val="10"/>
        </w:rPr>
        <w:t xml:space="preserve"> </w:t>
      </w:r>
      <w:r>
        <w:rPr>
          <w:color w:val="231F20"/>
        </w:rPr>
        <w:t>you’ll</w:t>
      </w:r>
      <w:r>
        <w:rPr>
          <w:color w:val="231F20"/>
          <w:spacing w:val="10"/>
        </w:rPr>
        <w:t xml:space="preserve"> </w:t>
      </w:r>
      <w:r>
        <w:rPr>
          <w:color w:val="231F20"/>
        </w:rPr>
        <w:t>be</w:t>
      </w:r>
      <w:r>
        <w:rPr>
          <w:color w:val="231F20"/>
          <w:spacing w:val="10"/>
        </w:rPr>
        <w:t xml:space="preserve"> </w:t>
      </w:r>
      <w:r>
        <w:rPr>
          <w:color w:val="231F20"/>
        </w:rPr>
        <w:t>able</w:t>
      </w:r>
      <w:r>
        <w:rPr>
          <w:color w:val="231F20"/>
          <w:spacing w:val="10"/>
        </w:rPr>
        <w:t xml:space="preserve"> </w:t>
      </w:r>
      <w:r>
        <w:rPr>
          <w:color w:val="231F20"/>
        </w:rPr>
        <w:t>to</w:t>
      </w:r>
      <w:r>
        <w:rPr>
          <w:color w:val="231F20"/>
          <w:spacing w:val="10"/>
        </w:rPr>
        <w:t xml:space="preserve"> </w:t>
      </w:r>
      <w:r>
        <w:rPr>
          <w:color w:val="231F20"/>
        </w:rPr>
        <w:t>change</w:t>
      </w:r>
      <w:r>
        <w:rPr>
          <w:color w:val="231F20"/>
          <w:spacing w:val="10"/>
        </w:rPr>
        <w:t xml:space="preserve"> </w:t>
      </w:r>
      <w:r>
        <w:rPr>
          <w:color w:val="231F20"/>
        </w:rPr>
        <w:t>this?</w:t>
      </w:r>
    </w:p>
    <w:p w14:paraId="1CF3A176" w14:textId="77777777" w:rsidR="002653E8" w:rsidRDefault="002653E8">
      <w:pPr>
        <w:pStyle w:val="a3"/>
        <w:spacing w:before="7"/>
        <w:rPr>
          <w:sz w:val="21"/>
        </w:rPr>
      </w:pPr>
    </w:p>
    <w:p w14:paraId="4985F55F" w14:textId="77777777" w:rsidR="002653E8" w:rsidRDefault="00C507A5">
      <w:pPr>
        <w:pStyle w:val="a3"/>
        <w:spacing w:line="264" w:lineRule="auto"/>
        <w:ind w:left="1328" w:right="1145" w:hanging="1"/>
        <w:jc w:val="both"/>
      </w:pPr>
      <w:r>
        <w:rPr>
          <w:color w:val="231F20"/>
          <w:spacing w:val="1"/>
        </w:rPr>
        <w:t>red army faction</w:t>
      </w:r>
      <w:r w:rsidR="003115E3">
        <w:rPr>
          <w:color w:val="231F20"/>
          <w:spacing w:val="1"/>
        </w:rPr>
        <w:t xml:space="preserve">: </w:t>
      </w:r>
      <w:r w:rsidR="003115E3">
        <w:rPr>
          <w:color w:val="231F20"/>
        </w:rPr>
        <w:t xml:space="preserve">The Third </w:t>
      </w:r>
      <w:r w:rsidR="003115E3">
        <w:rPr>
          <w:color w:val="231F20"/>
          <w:spacing w:val="-4"/>
        </w:rPr>
        <w:t xml:space="preserve">World </w:t>
      </w:r>
      <w:r w:rsidR="003115E3">
        <w:rPr>
          <w:color w:val="231F20"/>
        </w:rPr>
        <w:t>peoples’ liberation wars have economic, political, military, and ideological repercussions within metropolitan</w:t>
      </w:r>
      <w:r w:rsidR="003115E3">
        <w:rPr>
          <w:color w:val="231F20"/>
          <w:spacing w:val="31"/>
        </w:rPr>
        <w:t xml:space="preserve"> </w:t>
      </w:r>
      <w:r w:rsidR="003115E3">
        <w:rPr>
          <w:color w:val="231F20"/>
        </w:rPr>
        <w:t>soci-</w:t>
      </w:r>
    </w:p>
    <w:p w14:paraId="33231E9F" w14:textId="77777777" w:rsidR="002653E8" w:rsidRDefault="002653E8">
      <w:pPr>
        <w:pStyle w:val="a3"/>
      </w:pPr>
    </w:p>
    <w:p w14:paraId="655A7CD2" w14:textId="77777777" w:rsidR="002653E8" w:rsidRDefault="00000000">
      <w:pPr>
        <w:pStyle w:val="a3"/>
        <w:spacing w:before="2"/>
        <w:rPr>
          <w:sz w:val="22"/>
        </w:rPr>
      </w:pPr>
      <w:r>
        <w:rPr>
          <w:noProof w:val="0"/>
        </w:rPr>
        <w:pict w14:anchorId="1C77E837">
          <v:line id="_x0000_s2353" style="position:absolute;z-index:7192;mso-wrap-distance-left:0;mso-wrap-distance-right:0;mso-position-horizontal-relative:page" from="66.4pt,15.25pt" to="138.4pt,15.25pt" strokecolor="#231f20" strokeweight=".5pt">
            <w10:wrap type="topAndBottom" anchorx="page"/>
          </v:line>
        </w:pict>
      </w:r>
    </w:p>
    <w:p w14:paraId="5B7373EE" w14:textId="77777777" w:rsidR="002653E8" w:rsidRDefault="003115E3">
      <w:pPr>
        <w:spacing w:before="53" w:line="254" w:lineRule="auto"/>
        <w:ind w:left="1327" w:right="1580"/>
        <w:rPr>
          <w:sz w:val="16"/>
        </w:rPr>
      </w:pPr>
      <w:r>
        <w:rPr>
          <w:color w:val="231F20"/>
          <w:w w:val="105"/>
          <w:sz w:val="16"/>
        </w:rPr>
        <w:t>1 The Third International was a worldwide organization of communist parties under the leadership of the U.S.S.R.</w:t>
      </w:r>
    </w:p>
    <w:p w14:paraId="77336406" w14:textId="77777777" w:rsidR="002653E8" w:rsidRDefault="002653E8">
      <w:pPr>
        <w:spacing w:line="254" w:lineRule="auto"/>
        <w:rPr>
          <w:sz w:val="16"/>
        </w:rPr>
        <w:sectPr w:rsidR="002653E8">
          <w:pgSz w:w="8640" w:h="12960"/>
          <w:pgMar w:top="1060" w:right="0" w:bottom="1040" w:left="0" w:header="0" w:footer="850" w:gutter="0"/>
          <w:cols w:space="720"/>
        </w:sectPr>
      </w:pPr>
    </w:p>
    <w:p w14:paraId="09912FF8" w14:textId="77777777" w:rsidR="002653E8" w:rsidRDefault="003115E3">
      <w:pPr>
        <w:pStyle w:val="a3"/>
        <w:spacing w:before="86" w:line="264" w:lineRule="auto"/>
        <w:ind w:left="1147" w:right="1326"/>
        <w:jc w:val="both"/>
      </w:pPr>
      <w:r>
        <w:rPr>
          <w:color w:val="231F20"/>
        </w:rPr>
        <w:lastRenderedPageBreak/>
        <w:t xml:space="preserve">ety, which Lin </w:t>
      </w:r>
      <w:r>
        <w:rPr>
          <w:color w:val="231F20"/>
          <w:spacing w:val="-3"/>
        </w:rPr>
        <w:t>Biao</w:t>
      </w:r>
      <w:r>
        <w:rPr>
          <w:color w:val="231F20"/>
          <w:spacing w:val="-3"/>
          <w:position w:val="7"/>
          <w:sz w:val="11"/>
        </w:rPr>
        <w:t xml:space="preserve">1 </w:t>
      </w:r>
      <w:r>
        <w:rPr>
          <w:color w:val="231F20"/>
        </w:rPr>
        <w:t>referred to as “cutting the feet out from under imperialism.” They accentuate the contradictions within the metropole. The techniques</w:t>
      </w:r>
      <w:r>
        <w:rPr>
          <w:color w:val="231F20"/>
          <w:spacing w:val="-9"/>
        </w:rPr>
        <w:t xml:space="preserve"> </w:t>
      </w:r>
      <w:r>
        <w:rPr>
          <w:color w:val="231F20"/>
        </w:rPr>
        <w:t>the</w:t>
      </w:r>
      <w:r>
        <w:rPr>
          <w:color w:val="231F20"/>
          <w:spacing w:val="-9"/>
        </w:rPr>
        <w:t xml:space="preserve"> </w:t>
      </w:r>
      <w:r>
        <w:rPr>
          <w:color w:val="231F20"/>
        </w:rPr>
        <w:t>system</w:t>
      </w:r>
      <w:r>
        <w:rPr>
          <w:color w:val="231F20"/>
          <w:spacing w:val="-9"/>
        </w:rPr>
        <w:t xml:space="preserve"> </w:t>
      </w:r>
      <w:r>
        <w:rPr>
          <w:color w:val="231F20"/>
        </w:rPr>
        <w:t>depends</w:t>
      </w:r>
      <w:r>
        <w:rPr>
          <w:color w:val="231F20"/>
          <w:spacing w:val="-9"/>
        </w:rPr>
        <w:t xml:space="preserve"> </w:t>
      </w:r>
      <w:r>
        <w:rPr>
          <w:color w:val="231F20"/>
        </w:rPr>
        <w:t>on</w:t>
      </w:r>
      <w:r>
        <w:rPr>
          <w:color w:val="231F20"/>
          <w:spacing w:val="-9"/>
        </w:rPr>
        <w:t xml:space="preserve"> </w:t>
      </w:r>
      <w:r>
        <w:rPr>
          <w:color w:val="231F20"/>
        </w:rPr>
        <w:t>to</w:t>
      </w:r>
      <w:r>
        <w:rPr>
          <w:color w:val="231F20"/>
          <w:spacing w:val="-9"/>
        </w:rPr>
        <w:t xml:space="preserve"> </w:t>
      </w:r>
      <w:r>
        <w:rPr>
          <w:color w:val="231F20"/>
        </w:rPr>
        <w:t>cover</w:t>
      </w:r>
      <w:r>
        <w:rPr>
          <w:color w:val="231F20"/>
          <w:spacing w:val="-9"/>
        </w:rPr>
        <w:t xml:space="preserve"> </w:t>
      </w:r>
      <w:r>
        <w:rPr>
          <w:color w:val="231F20"/>
        </w:rPr>
        <w:t>up</w:t>
      </w:r>
      <w:r>
        <w:rPr>
          <w:color w:val="231F20"/>
          <w:spacing w:val="-9"/>
        </w:rPr>
        <w:t xml:space="preserve"> </w:t>
      </w:r>
      <w:r>
        <w:rPr>
          <w:color w:val="231F20"/>
        </w:rPr>
        <w:t>these</w:t>
      </w:r>
      <w:r>
        <w:rPr>
          <w:color w:val="231F20"/>
          <w:spacing w:val="-9"/>
        </w:rPr>
        <w:t xml:space="preserve"> </w:t>
      </w:r>
      <w:r>
        <w:rPr>
          <w:color w:val="231F20"/>
        </w:rPr>
        <w:t>contradictions</w:t>
      </w:r>
      <w:r>
        <w:rPr>
          <w:color w:val="231F20"/>
          <w:spacing w:val="-9"/>
        </w:rPr>
        <w:t xml:space="preserve"> </w:t>
      </w:r>
      <w:r>
        <w:rPr>
          <w:color w:val="231F20"/>
        </w:rPr>
        <w:t xml:space="preserve">cease to work. Reform turns into repression. </w:t>
      </w:r>
      <w:r>
        <w:rPr>
          <w:color w:val="231F20"/>
          <w:spacing w:val="1"/>
        </w:rPr>
        <w:t xml:space="preserve">In </w:t>
      </w:r>
      <w:r>
        <w:rPr>
          <w:color w:val="231F20"/>
        </w:rPr>
        <w:t>areas where people lack social necessities, the military and police budgets are enormously bloated. Inevitably, the system’s crisis unfolds: impoverishment of the people, militarization of politics, and increased repression. The historic, politically defensive intervention into this process of disintegration forms the basis for revolutionary politics</w:t>
      </w:r>
      <w:r>
        <w:rPr>
          <w:color w:val="231F20"/>
          <w:spacing w:val="41"/>
        </w:rPr>
        <w:t xml:space="preserve"> </w:t>
      </w:r>
      <w:r>
        <w:rPr>
          <w:color w:val="231F20"/>
        </w:rPr>
        <w:t>here.</w:t>
      </w:r>
    </w:p>
    <w:p w14:paraId="21EA0540" w14:textId="77777777" w:rsidR="002653E8" w:rsidRDefault="002653E8">
      <w:pPr>
        <w:pStyle w:val="a3"/>
        <w:spacing w:before="1"/>
        <w:rPr>
          <w:sz w:val="21"/>
        </w:rPr>
      </w:pPr>
    </w:p>
    <w:p w14:paraId="29D83F05" w14:textId="77777777" w:rsidR="002653E8" w:rsidRDefault="003115E3">
      <w:pPr>
        <w:pStyle w:val="a3"/>
        <w:spacing w:line="264" w:lineRule="auto"/>
        <w:ind w:left="1147" w:right="1325"/>
        <w:jc w:val="both"/>
      </w:pPr>
      <w:r>
        <w:rPr>
          <w:i/>
          <w:color w:val="231F20"/>
        </w:rPr>
        <w:t>Spiegel</w:t>
      </w:r>
      <w:r>
        <w:rPr>
          <w:color w:val="231F20"/>
        </w:rPr>
        <w:t xml:space="preserve">: </w:t>
      </w:r>
      <w:r>
        <w:rPr>
          <w:color w:val="231F20"/>
          <w:spacing w:val="-7"/>
        </w:rPr>
        <w:t>you</w:t>
      </w:r>
      <w:r>
        <w:rPr>
          <w:color w:val="231F20"/>
          <w:spacing w:val="30"/>
        </w:rPr>
        <w:t xml:space="preserve"> </w:t>
      </w:r>
      <w:r>
        <w:rPr>
          <w:color w:val="231F20"/>
        </w:rPr>
        <w:t xml:space="preserve">are often  criticized  for  having  absolutely  no  influence  on the masses or connections to the people. Do you think this might     be because the </w:t>
      </w:r>
      <w:r w:rsidR="00C507A5">
        <w:rPr>
          <w:color w:val="231F20"/>
          <w:spacing w:val="5"/>
        </w:rPr>
        <w:t>red army faction</w:t>
      </w:r>
      <w:r>
        <w:rPr>
          <w:color w:val="231F20"/>
          <w:spacing w:val="5"/>
        </w:rPr>
        <w:t xml:space="preserve"> </w:t>
      </w:r>
      <w:r>
        <w:rPr>
          <w:color w:val="231F20"/>
        </w:rPr>
        <w:t>collective is out of touch with reality? Have you sharpened your perspective? Many now feel that the only people  paying attention to you are those who feel sorry  for  you,  and  that  even the far left does not approve of you. Where do you think your supporters</w:t>
      </w:r>
      <w:r>
        <w:rPr>
          <w:color w:val="231F20"/>
          <w:spacing w:val="10"/>
        </w:rPr>
        <w:t xml:space="preserve"> </w:t>
      </w:r>
      <w:r>
        <w:rPr>
          <w:color w:val="231F20"/>
        </w:rPr>
        <w:t>are?</w:t>
      </w:r>
    </w:p>
    <w:p w14:paraId="67F66354" w14:textId="77777777" w:rsidR="002653E8" w:rsidRDefault="002653E8">
      <w:pPr>
        <w:pStyle w:val="a3"/>
        <w:spacing w:before="3"/>
        <w:rPr>
          <w:sz w:val="21"/>
        </w:rPr>
      </w:pPr>
    </w:p>
    <w:p w14:paraId="724D766A" w14:textId="77777777" w:rsidR="002653E8" w:rsidRDefault="00C507A5">
      <w:pPr>
        <w:pStyle w:val="a3"/>
        <w:spacing w:line="264" w:lineRule="auto"/>
        <w:ind w:left="1147" w:right="1325" w:hanging="1"/>
        <w:jc w:val="both"/>
      </w:pPr>
      <w:r>
        <w:rPr>
          <w:color w:val="231F20"/>
          <w:spacing w:val="1"/>
        </w:rPr>
        <w:t>red army faction</w:t>
      </w:r>
      <w:r w:rsidR="003115E3">
        <w:rPr>
          <w:color w:val="231F20"/>
          <w:spacing w:val="1"/>
        </w:rPr>
        <w:t xml:space="preserve">: </w:t>
      </w:r>
      <w:r w:rsidR="003115E3">
        <w:rPr>
          <w:color w:val="231F20"/>
        </w:rPr>
        <w:t xml:space="preserve">The politics of the </w:t>
      </w:r>
      <w:r>
        <w:rPr>
          <w:color w:val="231F20"/>
          <w:spacing w:val="5"/>
        </w:rPr>
        <w:t>red army faction</w:t>
      </w:r>
      <w:r w:rsidR="003115E3">
        <w:rPr>
          <w:color w:val="231F20"/>
          <w:spacing w:val="5"/>
        </w:rPr>
        <w:t xml:space="preserve">  </w:t>
      </w:r>
      <w:r w:rsidR="003115E3">
        <w:rPr>
          <w:color w:val="231F20"/>
        </w:rPr>
        <w:t xml:space="preserve">have  had  an  impact.  Not  supporters,  not fellow travelers, not successor organizations, but the </w:t>
      </w:r>
      <w:r>
        <w:rPr>
          <w:color w:val="231F20"/>
          <w:spacing w:val="5"/>
        </w:rPr>
        <w:t>red army faction</w:t>
      </w:r>
      <w:r w:rsidR="003115E3">
        <w:rPr>
          <w:color w:val="231F20"/>
          <w:spacing w:val="5"/>
        </w:rPr>
        <w:t xml:space="preserve"> </w:t>
      </w:r>
      <w:r w:rsidR="003115E3">
        <w:rPr>
          <w:color w:val="231F20"/>
        </w:rPr>
        <w:t xml:space="preserve">and its political effect is apparent in the fact that—as a result of the measures the government has taken against us—many people are seeing this state for what it is: the repressive tool of the imperialist bourgeoisie against the people. </w:t>
      </w:r>
      <w:r w:rsidR="003115E3">
        <w:rPr>
          <w:color w:val="231F20"/>
          <w:spacing w:val="-8"/>
        </w:rPr>
        <w:t xml:space="preserve">To </w:t>
      </w:r>
      <w:r w:rsidR="003115E3">
        <w:rPr>
          <w:color w:val="231F20"/>
        </w:rPr>
        <w:t xml:space="preserve">the degree that they identify with our struggle, they will become conscious—the system’s power will eventually show itself to be relative, not absolute. They will discover that one can do something,  that the feeling of powerlessness does not reflect objective reality on  the level of proletarian internationalism. They will become conscious   of the connection between the liberation struggles in the Third </w:t>
      </w:r>
      <w:r w:rsidR="003115E3">
        <w:rPr>
          <w:color w:val="231F20"/>
          <w:spacing w:val="-4"/>
        </w:rPr>
        <w:t xml:space="preserve">World </w:t>
      </w:r>
      <w:r w:rsidR="003115E3">
        <w:rPr>
          <w:color w:val="231F20"/>
        </w:rPr>
        <w:t xml:space="preserve">and here, conscious of the need to cooperate and work together legally and illegally. On the level of practice, </w:t>
      </w:r>
      <w:r w:rsidR="003115E3">
        <w:rPr>
          <w:color w:val="231F20"/>
          <w:spacing w:val="-3"/>
        </w:rPr>
        <w:t xml:space="preserve">it’s </w:t>
      </w:r>
      <w:r w:rsidR="003115E3">
        <w:rPr>
          <w:color w:val="231F20"/>
        </w:rPr>
        <w:t>not enough to talk. It is both possible and necessary to</w:t>
      </w:r>
      <w:r w:rsidR="003115E3">
        <w:rPr>
          <w:color w:val="231F20"/>
          <w:spacing w:val="42"/>
        </w:rPr>
        <w:t xml:space="preserve"> </w:t>
      </w:r>
      <w:r w:rsidR="003115E3">
        <w:rPr>
          <w:color w:val="231F20"/>
        </w:rPr>
        <w:t>act.</w:t>
      </w:r>
    </w:p>
    <w:p w14:paraId="20C4A5BD" w14:textId="77777777" w:rsidR="002653E8" w:rsidRDefault="002653E8">
      <w:pPr>
        <w:pStyle w:val="a3"/>
        <w:spacing w:before="7"/>
      </w:pPr>
    </w:p>
    <w:p w14:paraId="3317066C" w14:textId="77777777" w:rsidR="002653E8" w:rsidRDefault="003115E3">
      <w:pPr>
        <w:pStyle w:val="a3"/>
        <w:spacing w:line="264" w:lineRule="auto"/>
        <w:ind w:left="1147" w:right="1325"/>
        <w:jc w:val="both"/>
      </w:pPr>
      <w:r>
        <w:rPr>
          <w:i/>
          <w:color w:val="231F20"/>
        </w:rPr>
        <w:t>Spiegel</w:t>
      </w:r>
      <w:r>
        <w:rPr>
          <w:color w:val="231F20"/>
        </w:rPr>
        <w:t>: Do you intend to remain a cadre organization and bring down the system all by yourselves or do you still think you will be able to mobilize the proletarian masses?</w:t>
      </w:r>
    </w:p>
    <w:p w14:paraId="155E3102" w14:textId="77777777" w:rsidR="002653E8" w:rsidRDefault="002653E8">
      <w:pPr>
        <w:pStyle w:val="a3"/>
      </w:pPr>
    </w:p>
    <w:p w14:paraId="598AD00C" w14:textId="77777777" w:rsidR="002653E8" w:rsidRDefault="00000000">
      <w:pPr>
        <w:pStyle w:val="a3"/>
        <w:spacing w:before="1"/>
        <w:rPr>
          <w:sz w:val="22"/>
        </w:rPr>
      </w:pPr>
      <w:r>
        <w:rPr>
          <w:noProof w:val="0"/>
        </w:rPr>
        <w:pict w14:anchorId="3F1442D3">
          <v:line id="_x0000_s2352" style="position:absolute;z-index:7216;mso-wrap-distance-left:0;mso-wrap-distance-right:0;mso-position-horizontal-relative:page" from="57.4pt,15.2pt" to="129.4pt,15.2pt" strokecolor="#231f20" strokeweight=".5pt">
            <w10:wrap type="topAndBottom" anchorx="page"/>
          </v:line>
        </w:pict>
      </w:r>
    </w:p>
    <w:p w14:paraId="3D5C50A6" w14:textId="77777777" w:rsidR="002653E8" w:rsidRDefault="003115E3">
      <w:pPr>
        <w:spacing w:before="53" w:line="254" w:lineRule="auto"/>
        <w:ind w:left="1147" w:right="1580"/>
        <w:rPr>
          <w:sz w:val="16"/>
        </w:rPr>
      </w:pPr>
      <w:r>
        <w:rPr>
          <w:color w:val="231F20"/>
          <w:w w:val="110"/>
          <w:sz w:val="16"/>
        </w:rPr>
        <w:t>1 Lin Biao was a close associate of Mao, and second in command during the Cultural Revolution.</w:t>
      </w:r>
    </w:p>
    <w:p w14:paraId="198EC68D" w14:textId="77777777" w:rsidR="002653E8" w:rsidRDefault="002653E8">
      <w:pPr>
        <w:spacing w:line="254" w:lineRule="auto"/>
        <w:rPr>
          <w:sz w:val="16"/>
        </w:rPr>
        <w:sectPr w:rsidR="002653E8">
          <w:footerReference w:type="even" r:id="rId263"/>
          <w:footerReference w:type="default" r:id="rId264"/>
          <w:pgSz w:w="8640" w:h="12960"/>
          <w:pgMar w:top="1060" w:right="0" w:bottom="1040" w:left="0" w:header="0" w:footer="850" w:gutter="0"/>
          <w:cols w:space="720"/>
        </w:sectPr>
      </w:pPr>
    </w:p>
    <w:p w14:paraId="1563C553" w14:textId="77777777" w:rsidR="002653E8" w:rsidRDefault="00C507A5">
      <w:pPr>
        <w:pStyle w:val="a3"/>
        <w:spacing w:before="86" w:line="264" w:lineRule="auto"/>
        <w:ind w:left="1327" w:right="1146"/>
        <w:jc w:val="both"/>
      </w:pPr>
      <w:r>
        <w:rPr>
          <w:color w:val="231F20"/>
          <w:spacing w:val="1"/>
        </w:rPr>
        <w:lastRenderedPageBreak/>
        <w:t>red army faction</w:t>
      </w:r>
      <w:r w:rsidR="003115E3">
        <w:rPr>
          <w:color w:val="231F20"/>
          <w:spacing w:val="1"/>
        </w:rPr>
        <w:t xml:space="preserve">: </w:t>
      </w:r>
      <w:r w:rsidR="003115E3">
        <w:rPr>
          <w:color w:val="231F20"/>
        </w:rPr>
        <w:t>No revolutionary wants to ”bring down the system on his own,” that’s ridiculous. There is no revolution without the people. People said things like this about Blanqui, Lenin, Che, and now they say it about     us, but they only ever say this to denounce revolutionary initiative, appealing</w:t>
      </w:r>
      <w:r w:rsidR="003115E3">
        <w:rPr>
          <w:color w:val="231F20"/>
          <w:spacing w:val="8"/>
        </w:rPr>
        <w:t xml:space="preserve"> </w:t>
      </w:r>
      <w:r w:rsidR="003115E3">
        <w:rPr>
          <w:color w:val="231F20"/>
        </w:rPr>
        <w:t>to</w:t>
      </w:r>
      <w:r w:rsidR="003115E3">
        <w:rPr>
          <w:color w:val="231F20"/>
          <w:spacing w:val="8"/>
        </w:rPr>
        <w:t xml:space="preserve"> </w:t>
      </w:r>
      <w:r w:rsidR="003115E3">
        <w:rPr>
          <w:color w:val="231F20"/>
        </w:rPr>
        <w:t>the</w:t>
      </w:r>
      <w:r w:rsidR="003115E3">
        <w:rPr>
          <w:color w:val="231F20"/>
          <w:spacing w:val="8"/>
        </w:rPr>
        <w:t xml:space="preserve"> </w:t>
      </w:r>
      <w:r w:rsidR="003115E3">
        <w:rPr>
          <w:color w:val="231F20"/>
        </w:rPr>
        <w:t>masses</w:t>
      </w:r>
      <w:r w:rsidR="003115E3">
        <w:rPr>
          <w:color w:val="231F20"/>
          <w:spacing w:val="8"/>
        </w:rPr>
        <w:t xml:space="preserve"> </w:t>
      </w:r>
      <w:r w:rsidR="003115E3">
        <w:rPr>
          <w:color w:val="231F20"/>
        </w:rPr>
        <w:t>in</w:t>
      </w:r>
      <w:r w:rsidR="003115E3">
        <w:rPr>
          <w:color w:val="231F20"/>
          <w:spacing w:val="8"/>
        </w:rPr>
        <w:t xml:space="preserve"> </w:t>
      </w:r>
      <w:r w:rsidR="003115E3">
        <w:rPr>
          <w:color w:val="231F20"/>
        </w:rPr>
        <w:t>order</w:t>
      </w:r>
      <w:r w:rsidR="003115E3">
        <w:rPr>
          <w:color w:val="231F20"/>
          <w:spacing w:val="8"/>
        </w:rPr>
        <w:t xml:space="preserve"> </w:t>
      </w:r>
      <w:r w:rsidR="003115E3">
        <w:rPr>
          <w:color w:val="231F20"/>
        </w:rPr>
        <w:t>to</w:t>
      </w:r>
      <w:r w:rsidR="003115E3">
        <w:rPr>
          <w:color w:val="231F20"/>
          <w:spacing w:val="8"/>
        </w:rPr>
        <w:t xml:space="preserve"> </w:t>
      </w:r>
      <w:r w:rsidR="003115E3">
        <w:rPr>
          <w:color w:val="231F20"/>
        </w:rPr>
        <w:t>justify</w:t>
      </w:r>
      <w:r w:rsidR="003115E3">
        <w:rPr>
          <w:color w:val="231F20"/>
          <w:spacing w:val="8"/>
        </w:rPr>
        <w:t xml:space="preserve"> </w:t>
      </w:r>
      <w:r w:rsidR="003115E3">
        <w:rPr>
          <w:color w:val="231F20"/>
        </w:rPr>
        <w:t>and</w:t>
      </w:r>
      <w:r w:rsidR="003115E3">
        <w:rPr>
          <w:color w:val="231F20"/>
          <w:spacing w:val="8"/>
        </w:rPr>
        <w:t xml:space="preserve"> </w:t>
      </w:r>
      <w:r w:rsidR="003115E3">
        <w:rPr>
          <w:color w:val="231F20"/>
        </w:rPr>
        <w:t>sell</w:t>
      </w:r>
      <w:r w:rsidR="003115E3">
        <w:rPr>
          <w:color w:val="231F20"/>
          <w:spacing w:val="8"/>
        </w:rPr>
        <w:t xml:space="preserve"> </w:t>
      </w:r>
      <w:r w:rsidR="003115E3">
        <w:rPr>
          <w:color w:val="231F20"/>
        </w:rPr>
        <w:t>reformist</w:t>
      </w:r>
      <w:r w:rsidR="003115E3">
        <w:rPr>
          <w:color w:val="231F20"/>
          <w:spacing w:val="8"/>
        </w:rPr>
        <w:t xml:space="preserve"> </w:t>
      </w:r>
      <w:r w:rsidR="003115E3">
        <w:rPr>
          <w:color w:val="231F20"/>
        </w:rPr>
        <w:t>politics.</w:t>
      </w:r>
    </w:p>
    <w:p w14:paraId="2F95BA2D" w14:textId="77777777" w:rsidR="002653E8" w:rsidRDefault="003115E3">
      <w:pPr>
        <w:pStyle w:val="a3"/>
        <w:spacing w:line="264" w:lineRule="auto"/>
        <w:ind w:left="1327" w:right="1146" w:firstLine="210"/>
        <w:jc w:val="both"/>
      </w:pPr>
      <w:r>
        <w:rPr>
          <w:color w:val="231F20"/>
        </w:rPr>
        <w:t>It is not a matter of struggling alone, but of creating a politico-mili</w:t>
      </w:r>
      <w:r>
        <w:rPr>
          <w:color w:val="231F20"/>
          <w:spacing w:val="1"/>
        </w:rPr>
        <w:t xml:space="preserve">tary </w:t>
      </w:r>
      <w:r>
        <w:rPr>
          <w:color w:val="231F20"/>
        </w:rPr>
        <w:t xml:space="preserve">vanguard, through everyday struggles, mobilizations, and organizing on the part of the legal left, of creating a political-military core that can establish an illegal infrastructure, which is necessary in order to    be able to act. </w:t>
      </w:r>
      <w:r>
        <w:rPr>
          <w:color w:val="231F20"/>
          <w:spacing w:val="1"/>
        </w:rPr>
        <w:t xml:space="preserve">In </w:t>
      </w:r>
      <w:r>
        <w:rPr>
          <w:color w:val="231F20"/>
        </w:rPr>
        <w:t xml:space="preserve">conditions of persecution, an illegal practice must be developed and can provide continuity, orientation, strength, and direction to the legal struggles in the factories, the neigborhoods, the streets, and the universities. </w:t>
      </w:r>
      <w:r>
        <w:rPr>
          <w:color w:val="231F20"/>
          <w:spacing w:val="1"/>
        </w:rPr>
        <w:t xml:space="preserve">In </w:t>
      </w:r>
      <w:r>
        <w:rPr>
          <w:color w:val="231F20"/>
        </w:rPr>
        <w:t xml:space="preserve">this </w:t>
      </w:r>
      <w:r>
        <w:rPr>
          <w:color w:val="231F20"/>
          <w:spacing w:val="-2"/>
        </w:rPr>
        <w:t xml:space="preserve">way </w:t>
      </w:r>
      <w:r>
        <w:rPr>
          <w:color w:val="231F20"/>
        </w:rPr>
        <w:t>it indicates what is necessary at this point in the imperialist system’s economic and political crisis: seizing political</w:t>
      </w:r>
      <w:r>
        <w:rPr>
          <w:color w:val="231F20"/>
          <w:spacing w:val="10"/>
        </w:rPr>
        <w:t xml:space="preserve"> </w:t>
      </w:r>
      <w:r>
        <w:rPr>
          <w:color w:val="231F20"/>
        </w:rPr>
        <w:t>power.</w:t>
      </w:r>
    </w:p>
    <w:p w14:paraId="1E140C98" w14:textId="77777777" w:rsidR="002653E8" w:rsidRDefault="003115E3">
      <w:pPr>
        <w:pStyle w:val="a3"/>
        <w:spacing w:line="264" w:lineRule="auto"/>
        <w:ind w:left="1327" w:right="1145" w:firstLine="210"/>
        <w:jc w:val="both"/>
      </w:pPr>
      <w:r>
        <w:rPr>
          <w:color w:val="231F20"/>
        </w:rPr>
        <w:t xml:space="preserve">Our political objective, what we are struggling to develop, is a strong guerilla movement in the metropole. This is a necessary step, in this phase of </w:t>
      </w:r>
      <w:r>
        <w:rPr>
          <w:color w:val="231F20"/>
          <w:spacing w:val="1"/>
        </w:rPr>
        <w:t xml:space="preserve">U.S. </w:t>
      </w:r>
      <w:r>
        <w:rPr>
          <w:color w:val="231F20"/>
        </w:rPr>
        <w:t>imperialism’s definite defeat and decline, if the legal movements</w:t>
      </w:r>
      <w:r>
        <w:rPr>
          <w:color w:val="231F20"/>
          <w:spacing w:val="-5"/>
        </w:rPr>
        <w:t xml:space="preserve"> </w:t>
      </w:r>
      <w:r>
        <w:rPr>
          <w:color w:val="231F20"/>
        </w:rPr>
        <w:t>and</w:t>
      </w:r>
      <w:r>
        <w:rPr>
          <w:color w:val="231F20"/>
          <w:spacing w:val="-5"/>
        </w:rPr>
        <w:t xml:space="preserve"> </w:t>
      </w:r>
      <w:r>
        <w:rPr>
          <w:color w:val="231F20"/>
        </w:rPr>
        <w:t>the</w:t>
      </w:r>
      <w:r>
        <w:rPr>
          <w:color w:val="231F20"/>
          <w:spacing w:val="-5"/>
        </w:rPr>
        <w:t xml:space="preserve"> </w:t>
      </w:r>
      <w:r>
        <w:rPr>
          <w:color w:val="231F20"/>
        </w:rPr>
        <w:t>movements</w:t>
      </w:r>
      <w:r>
        <w:rPr>
          <w:color w:val="231F20"/>
          <w:spacing w:val="-5"/>
        </w:rPr>
        <w:t xml:space="preserve"> </w:t>
      </w:r>
      <w:r>
        <w:rPr>
          <w:color w:val="231F20"/>
        </w:rPr>
        <w:t>that</w:t>
      </w:r>
      <w:r>
        <w:rPr>
          <w:color w:val="231F20"/>
          <w:spacing w:val="-5"/>
        </w:rPr>
        <w:t xml:space="preserve"> </w:t>
      </w:r>
      <w:r>
        <w:rPr>
          <w:color w:val="231F20"/>
        </w:rPr>
        <w:t>develop</w:t>
      </w:r>
      <w:r>
        <w:rPr>
          <w:color w:val="231F20"/>
          <w:spacing w:val="-5"/>
        </w:rPr>
        <w:t xml:space="preserve"> </w:t>
      </w:r>
      <w:r>
        <w:rPr>
          <w:color w:val="231F20"/>
        </w:rPr>
        <w:t>in</w:t>
      </w:r>
      <w:r>
        <w:rPr>
          <w:color w:val="231F20"/>
          <w:spacing w:val="-5"/>
        </w:rPr>
        <w:t xml:space="preserve"> </w:t>
      </w:r>
      <w:r>
        <w:rPr>
          <w:color w:val="231F20"/>
        </w:rPr>
        <w:t>response</w:t>
      </w:r>
      <w:r>
        <w:rPr>
          <w:color w:val="231F20"/>
          <w:spacing w:val="-5"/>
        </w:rPr>
        <w:t xml:space="preserve"> </w:t>
      </w:r>
      <w:r>
        <w:rPr>
          <w:color w:val="231F20"/>
        </w:rPr>
        <w:t>to</w:t>
      </w:r>
      <w:r>
        <w:rPr>
          <w:color w:val="231F20"/>
          <w:spacing w:val="-5"/>
        </w:rPr>
        <w:t xml:space="preserve"> </w:t>
      </w:r>
      <w:r>
        <w:rPr>
          <w:color w:val="231F20"/>
        </w:rPr>
        <w:t>the</w:t>
      </w:r>
      <w:r>
        <w:rPr>
          <w:color w:val="231F20"/>
          <w:spacing w:val="-5"/>
        </w:rPr>
        <w:t xml:space="preserve"> </w:t>
      </w:r>
      <w:r>
        <w:rPr>
          <w:color w:val="231F20"/>
        </w:rPr>
        <w:t xml:space="preserve">system’s contradictions are not to be destroyed by repression as soon as they appear. </w:t>
      </w:r>
      <w:r>
        <w:rPr>
          <w:color w:val="231F20"/>
          <w:spacing w:val="1"/>
        </w:rPr>
        <w:t xml:space="preserve">In </w:t>
      </w:r>
      <w:r>
        <w:rPr>
          <w:color w:val="231F20"/>
        </w:rPr>
        <w:t xml:space="preserve">this age of multinational capital, of transnational imperialist repression at home and abroad, the guerilla organizes proletarian counterpower, and in so doing represents the same thing as the Bolshevik cadre </w:t>
      </w:r>
      <w:r>
        <w:rPr>
          <w:color w:val="231F20"/>
          <w:spacing w:val="1"/>
        </w:rPr>
        <w:t xml:space="preserve">party </w:t>
      </w:r>
      <w:r>
        <w:rPr>
          <w:color w:val="231F20"/>
        </w:rPr>
        <w:t xml:space="preserve">did in Lenin’s </w:t>
      </w:r>
      <w:r>
        <w:rPr>
          <w:color w:val="231F20"/>
          <w:spacing w:val="-5"/>
        </w:rPr>
        <w:t xml:space="preserve">day. </w:t>
      </w:r>
      <w:r>
        <w:rPr>
          <w:color w:val="231F20"/>
        </w:rPr>
        <w:t>It will develop through this process— nationally and internationally—into a revolutionary</w:t>
      </w:r>
      <w:r>
        <w:rPr>
          <w:color w:val="231F20"/>
          <w:spacing w:val="18"/>
        </w:rPr>
        <w:t xml:space="preserve"> </w:t>
      </w:r>
      <w:r>
        <w:rPr>
          <w:color w:val="231F20"/>
        </w:rPr>
        <w:t>party.</w:t>
      </w:r>
    </w:p>
    <w:p w14:paraId="0233D832" w14:textId="77777777" w:rsidR="002653E8" w:rsidRDefault="003115E3">
      <w:pPr>
        <w:pStyle w:val="a3"/>
        <w:spacing w:line="264" w:lineRule="auto"/>
        <w:ind w:left="1327" w:right="1146" w:firstLine="210"/>
        <w:jc w:val="both"/>
      </w:pPr>
      <w:r>
        <w:rPr>
          <w:color w:val="231F20"/>
        </w:rPr>
        <w:t xml:space="preserve">It is stupid to say that we are acting alone, given the actual state         of anti-imperialist struggle in Asia, Latin America, and Africa, in Vietnam, Chile, Uruguay, Argentina, and Palestine. The </w:t>
      </w:r>
      <w:r w:rsidR="00C507A5">
        <w:rPr>
          <w:color w:val="231F20"/>
          <w:spacing w:val="5"/>
        </w:rPr>
        <w:t>red army faction</w:t>
      </w:r>
      <w:r>
        <w:rPr>
          <w:color w:val="231F20"/>
          <w:spacing w:val="5"/>
        </w:rPr>
        <w:t xml:space="preserve">  </w:t>
      </w:r>
      <w:r>
        <w:rPr>
          <w:color w:val="231F20"/>
        </w:rPr>
        <w:t xml:space="preserve">is  not  alone in Western Europe: there is also the </w:t>
      </w:r>
      <w:r>
        <w:rPr>
          <w:color w:val="231F20"/>
          <w:spacing w:val="3"/>
        </w:rPr>
        <w:t xml:space="preserve">IRA, </w:t>
      </w:r>
      <w:r>
        <w:rPr>
          <w:color w:val="231F20"/>
        </w:rPr>
        <w:t>the ETA, and the armed struggle groups in Italy, Portugal, and England. There have been urban guerilla groups in North America</w:t>
      </w:r>
      <w:r>
        <w:rPr>
          <w:color w:val="231F20"/>
          <w:spacing w:val="30"/>
        </w:rPr>
        <w:t xml:space="preserve"> </w:t>
      </w:r>
      <w:r>
        <w:rPr>
          <w:color w:val="231F20"/>
        </w:rPr>
        <w:t xml:space="preserve">since </w:t>
      </w:r>
      <w:r>
        <w:rPr>
          <w:color w:val="231F20"/>
          <w:spacing w:val="-4"/>
        </w:rPr>
        <w:t>1968.</w:t>
      </w:r>
    </w:p>
    <w:p w14:paraId="19F9B9C1" w14:textId="77777777" w:rsidR="002653E8" w:rsidRDefault="002653E8">
      <w:pPr>
        <w:pStyle w:val="a3"/>
        <w:spacing w:before="1"/>
        <w:rPr>
          <w:sz w:val="19"/>
        </w:rPr>
      </w:pPr>
    </w:p>
    <w:p w14:paraId="1C57CE73" w14:textId="77777777" w:rsidR="002653E8" w:rsidRDefault="003115E3">
      <w:pPr>
        <w:pStyle w:val="a3"/>
        <w:spacing w:line="264" w:lineRule="auto"/>
        <w:ind w:left="1328" w:right="1145" w:hanging="1"/>
        <w:jc w:val="both"/>
      </w:pPr>
      <w:r>
        <w:rPr>
          <w:i/>
          <w:color w:val="231F20"/>
        </w:rPr>
        <w:t>Spiegel</w:t>
      </w:r>
      <w:r>
        <w:rPr>
          <w:color w:val="231F20"/>
        </w:rPr>
        <w:t xml:space="preserve">: It seems that right now your base consists of forty </w:t>
      </w:r>
      <w:r w:rsidR="00C507A5">
        <w:rPr>
          <w:color w:val="231F20"/>
        </w:rPr>
        <w:t>red army faction</w:t>
      </w:r>
      <w:r>
        <w:rPr>
          <w:color w:val="231F20"/>
        </w:rPr>
        <w:t xml:space="preserve"> comrades in prison and about three hundred anarchists living underground in the FRG. What about your sympathizer scene?</w:t>
      </w:r>
    </w:p>
    <w:p w14:paraId="6F97D822" w14:textId="77777777" w:rsidR="002653E8" w:rsidRDefault="002653E8">
      <w:pPr>
        <w:pStyle w:val="a3"/>
        <w:spacing w:before="7"/>
        <w:rPr>
          <w:sz w:val="21"/>
        </w:rPr>
      </w:pPr>
    </w:p>
    <w:p w14:paraId="2F4B7FB2" w14:textId="77777777" w:rsidR="002653E8" w:rsidRDefault="00C507A5">
      <w:pPr>
        <w:pStyle w:val="a3"/>
        <w:spacing w:line="264" w:lineRule="auto"/>
        <w:ind w:left="1328" w:right="1145" w:hanging="1"/>
        <w:jc w:val="both"/>
      </w:pPr>
      <w:r>
        <w:rPr>
          <w:color w:val="231F20"/>
        </w:rPr>
        <w:t>red army faction</w:t>
      </w:r>
      <w:r w:rsidR="003115E3">
        <w:rPr>
          <w:color w:val="231F20"/>
        </w:rPr>
        <w:t>: Those are the constantly-changing numbers issued by the BKA. They are incorrect. It is not so simple to quantify the process by which people become conscious. At the moment solidarity is spreading internationally. At the same time, international public opinion is becoming</w:t>
      </w:r>
    </w:p>
    <w:p w14:paraId="7E6EA681" w14:textId="77777777" w:rsidR="002653E8" w:rsidRDefault="002653E8">
      <w:pPr>
        <w:spacing w:line="264" w:lineRule="auto"/>
        <w:jc w:val="both"/>
        <w:sectPr w:rsidR="002653E8">
          <w:pgSz w:w="8640" w:h="12960"/>
          <w:pgMar w:top="1060" w:right="0" w:bottom="1040" w:left="0" w:header="0" w:footer="850" w:gutter="0"/>
          <w:cols w:space="720"/>
        </w:sectPr>
      </w:pPr>
    </w:p>
    <w:p w14:paraId="75F690B5" w14:textId="77777777" w:rsidR="002653E8" w:rsidRDefault="003115E3">
      <w:pPr>
        <w:pStyle w:val="a3"/>
        <w:spacing w:before="86" w:line="264" w:lineRule="auto"/>
        <w:ind w:left="1147" w:right="1327"/>
        <w:jc w:val="both"/>
      </w:pPr>
      <w:r>
        <w:rPr>
          <w:color w:val="231F20"/>
        </w:rPr>
        <w:lastRenderedPageBreak/>
        <w:t>increasingly aware of West German imperialism and of the repression that goes on here.</w:t>
      </w:r>
    </w:p>
    <w:p w14:paraId="0F1A54B0" w14:textId="77777777" w:rsidR="002653E8" w:rsidRDefault="003115E3">
      <w:pPr>
        <w:pStyle w:val="a3"/>
        <w:spacing w:line="264" w:lineRule="auto"/>
        <w:ind w:left="1148" w:right="1325" w:firstLine="209"/>
        <w:jc w:val="both"/>
      </w:pPr>
      <w:r>
        <w:rPr>
          <w:color w:val="231F20"/>
        </w:rPr>
        <w:t xml:space="preserve">Throughout the </w:t>
      </w:r>
      <w:r w:rsidR="00C507A5">
        <w:rPr>
          <w:color w:val="231F20"/>
        </w:rPr>
        <w:t>red army faction</w:t>
      </w:r>
      <w:r>
        <w:rPr>
          <w:color w:val="231F20"/>
        </w:rPr>
        <w:t>’s existence, there has been an increasing process of discussion and polarization on the legal left regarding the question of armed struggle. A new antifascism is taking shape, one which is not based on any apolitical pity for the victims and the persecuted, but on an identification with the anti-imperialist struggle, directed against the police, the state security services, the multinational corporations, and U.S. imperialism.</w:t>
      </w:r>
    </w:p>
    <w:p w14:paraId="002F8AD4" w14:textId="77777777" w:rsidR="002653E8" w:rsidRDefault="003115E3">
      <w:pPr>
        <w:pStyle w:val="a3"/>
        <w:spacing w:line="264" w:lineRule="auto"/>
        <w:ind w:left="1147" w:right="1325" w:firstLine="210"/>
        <w:jc w:val="both"/>
      </w:pPr>
      <w:r>
        <w:rPr>
          <w:color w:val="231F20"/>
        </w:rPr>
        <w:t xml:space="preserve">Helmut Schmidt wouldn’t have listed the </w:t>
      </w:r>
      <w:r w:rsidR="00C507A5">
        <w:rPr>
          <w:color w:val="231F20"/>
          <w:spacing w:val="5"/>
        </w:rPr>
        <w:t>red army faction</w:t>
      </w:r>
      <w:r>
        <w:rPr>
          <w:color w:val="231F20"/>
          <w:spacing w:val="5"/>
        </w:rPr>
        <w:t xml:space="preserve"> </w:t>
      </w:r>
      <w:r>
        <w:rPr>
          <w:color w:val="231F20"/>
        </w:rPr>
        <w:t xml:space="preserve">in his New </w:t>
      </w:r>
      <w:r>
        <w:rPr>
          <w:color w:val="231F20"/>
          <w:spacing w:val="-4"/>
        </w:rPr>
        <w:t xml:space="preserve">year’s </w:t>
      </w:r>
      <w:r>
        <w:rPr>
          <w:color w:val="231F20"/>
        </w:rPr>
        <w:t>speech</w:t>
      </w:r>
      <w:r>
        <w:rPr>
          <w:color w:val="231F20"/>
          <w:spacing w:val="-5"/>
        </w:rPr>
        <w:t xml:space="preserve"> </w:t>
      </w:r>
      <w:r>
        <w:rPr>
          <w:color w:val="231F20"/>
        </w:rPr>
        <w:t>under</w:t>
      </w:r>
      <w:r>
        <w:rPr>
          <w:color w:val="231F20"/>
          <w:spacing w:val="-5"/>
        </w:rPr>
        <w:t xml:space="preserve"> </w:t>
      </w:r>
      <w:r>
        <w:rPr>
          <w:color w:val="231F20"/>
        </w:rPr>
        <w:t>the</w:t>
      </w:r>
      <w:r>
        <w:rPr>
          <w:color w:val="231F20"/>
          <w:spacing w:val="-5"/>
        </w:rPr>
        <w:t xml:space="preserve"> </w:t>
      </w:r>
      <w:r>
        <w:rPr>
          <w:color w:val="231F20"/>
        </w:rPr>
        <w:t>five</w:t>
      </w:r>
      <w:r>
        <w:rPr>
          <w:color w:val="231F20"/>
          <w:spacing w:val="-5"/>
        </w:rPr>
        <w:t xml:space="preserve"> </w:t>
      </w:r>
      <w:r>
        <w:rPr>
          <w:color w:val="231F20"/>
        </w:rPr>
        <w:t>things/developments</w:t>
      </w:r>
      <w:r>
        <w:rPr>
          <w:color w:val="231F20"/>
          <w:spacing w:val="-5"/>
        </w:rPr>
        <w:t xml:space="preserve"> </w:t>
      </w:r>
      <w:r>
        <w:rPr>
          <w:color w:val="231F20"/>
        </w:rPr>
        <w:t>of</w:t>
      </w:r>
      <w:r>
        <w:rPr>
          <w:color w:val="231F20"/>
          <w:spacing w:val="-3"/>
        </w:rPr>
        <w:t xml:space="preserve"> </w:t>
      </w:r>
      <w:r>
        <w:rPr>
          <w:color w:val="231F20"/>
          <w:spacing w:val="-7"/>
        </w:rPr>
        <w:t>1974</w:t>
      </w:r>
      <w:r>
        <w:rPr>
          <w:color w:val="231F20"/>
          <w:spacing w:val="-5"/>
        </w:rPr>
        <w:t xml:space="preserve"> </w:t>
      </w:r>
      <w:r>
        <w:rPr>
          <w:color w:val="231F20"/>
        </w:rPr>
        <w:t>that</w:t>
      </w:r>
      <w:r>
        <w:rPr>
          <w:color w:val="231F20"/>
          <w:spacing w:val="-5"/>
        </w:rPr>
        <w:t xml:space="preserve"> </w:t>
      </w:r>
      <w:r>
        <w:rPr>
          <w:color w:val="231F20"/>
        </w:rPr>
        <w:t>are</w:t>
      </w:r>
      <w:r>
        <w:rPr>
          <w:color w:val="231F20"/>
          <w:spacing w:val="-5"/>
        </w:rPr>
        <w:t xml:space="preserve"> </w:t>
      </w:r>
      <w:r>
        <w:rPr>
          <w:color w:val="231F20"/>
        </w:rPr>
        <w:t>most</w:t>
      </w:r>
      <w:r>
        <w:rPr>
          <w:color w:val="231F20"/>
          <w:spacing w:val="-5"/>
        </w:rPr>
        <w:t xml:space="preserve"> </w:t>
      </w:r>
      <w:r>
        <w:rPr>
          <w:color w:val="231F20"/>
        </w:rPr>
        <w:t>threatening to imperialism—worldwide inflation, the oil crisis, Guillaume,</w:t>
      </w:r>
      <w:r>
        <w:rPr>
          <w:color w:val="231F20"/>
          <w:position w:val="7"/>
          <w:sz w:val="11"/>
        </w:rPr>
        <w:t xml:space="preserve">1 </w:t>
      </w:r>
      <w:r>
        <w:rPr>
          <w:color w:val="231F20"/>
        </w:rPr>
        <w:t xml:space="preserve">unemployment, and the </w:t>
      </w:r>
      <w:r w:rsidR="00C507A5">
        <w:rPr>
          <w:color w:val="231F20"/>
          <w:spacing w:val="3"/>
        </w:rPr>
        <w:t>red army faction</w:t>
      </w:r>
      <w:r>
        <w:rPr>
          <w:color w:val="231F20"/>
          <w:spacing w:val="3"/>
        </w:rPr>
        <w:t xml:space="preserve">—if </w:t>
      </w:r>
      <w:r>
        <w:rPr>
          <w:color w:val="231F20"/>
        </w:rPr>
        <w:t>we were fish out of water, if revolutionary politics here had as limited a base as you and the psychological warfare campaign</w:t>
      </w:r>
      <w:r>
        <w:rPr>
          <w:color w:val="231F20"/>
          <w:spacing w:val="22"/>
        </w:rPr>
        <w:t xml:space="preserve"> </w:t>
      </w:r>
      <w:r>
        <w:rPr>
          <w:color w:val="231F20"/>
        </w:rPr>
        <w:t>claim.</w:t>
      </w:r>
    </w:p>
    <w:p w14:paraId="3AEDA4E8" w14:textId="77777777" w:rsidR="002653E8" w:rsidRDefault="002653E8">
      <w:pPr>
        <w:pStyle w:val="a3"/>
        <w:spacing w:before="6"/>
      </w:pPr>
    </w:p>
    <w:p w14:paraId="49DC3378" w14:textId="77777777" w:rsidR="002653E8" w:rsidRDefault="003115E3">
      <w:pPr>
        <w:pStyle w:val="a3"/>
        <w:spacing w:line="264" w:lineRule="auto"/>
        <w:ind w:left="1147" w:right="1327"/>
        <w:jc w:val="both"/>
      </w:pPr>
      <w:r>
        <w:rPr>
          <w:i/>
          <w:color w:val="231F20"/>
        </w:rPr>
        <w:t>Spiegel</w:t>
      </w:r>
      <w:r>
        <w:rPr>
          <w:color w:val="231F20"/>
        </w:rPr>
        <w:t>: It is said that one of your main sources of support is the dozen or so lawyers who are in charge of coordinating things for you inside and outside of the prisons. What role do your lawyers play?</w:t>
      </w:r>
    </w:p>
    <w:p w14:paraId="1FAF6CFF" w14:textId="77777777" w:rsidR="002653E8" w:rsidRDefault="002653E8">
      <w:pPr>
        <w:pStyle w:val="a3"/>
        <w:spacing w:before="8"/>
        <w:rPr>
          <w:sz w:val="21"/>
        </w:rPr>
      </w:pPr>
    </w:p>
    <w:p w14:paraId="27F5236B" w14:textId="77777777" w:rsidR="002653E8" w:rsidRDefault="00C507A5">
      <w:pPr>
        <w:pStyle w:val="a3"/>
        <w:spacing w:line="264" w:lineRule="auto"/>
        <w:ind w:left="1147" w:right="1326"/>
        <w:jc w:val="both"/>
      </w:pPr>
      <w:r>
        <w:rPr>
          <w:color w:val="231F20"/>
          <w:spacing w:val="1"/>
        </w:rPr>
        <w:t>red army faction</w:t>
      </w:r>
      <w:r w:rsidR="003115E3">
        <w:rPr>
          <w:color w:val="231F20"/>
          <w:spacing w:val="1"/>
        </w:rPr>
        <w:t xml:space="preserve">: </w:t>
      </w:r>
      <w:r w:rsidR="003115E3">
        <w:rPr>
          <w:color w:val="231F20"/>
        </w:rPr>
        <w:t xml:space="preserve">Committed lawyers, those who are involved in our cases, are inevitably politicized, because quite literally at every </w:t>
      </w:r>
      <w:r w:rsidR="003115E3">
        <w:rPr>
          <w:color w:val="231F20"/>
          <w:spacing w:val="1"/>
        </w:rPr>
        <w:t xml:space="preserve">turn, </w:t>
      </w:r>
      <w:r w:rsidR="003115E3">
        <w:rPr>
          <w:color w:val="231F20"/>
        </w:rPr>
        <w:t xml:space="preserve">right from their very first visit with a </w:t>
      </w:r>
      <w:r>
        <w:rPr>
          <w:color w:val="231F20"/>
          <w:spacing w:val="5"/>
        </w:rPr>
        <w:t>red army faction</w:t>
      </w:r>
      <w:r w:rsidR="003115E3">
        <w:rPr>
          <w:color w:val="231F20"/>
          <w:spacing w:val="5"/>
        </w:rPr>
        <w:t xml:space="preserve"> </w:t>
      </w:r>
      <w:r w:rsidR="003115E3">
        <w:rPr>
          <w:color w:val="231F20"/>
        </w:rPr>
        <w:t xml:space="preserve">prisoner, they experience the fact that nothing they took for granted about the legal system holds true. The body searches, the mail censorship, the cell raids, the hysteria, the paranoia, the Disciplinary Committee rulings, the criminalization, the psychological warfare, the legislation custom-made to  exclude  them, on top of what they see of the special conditions we are subjected to, and their utter powerlessness to change anything in the normal </w:t>
      </w:r>
      <w:r w:rsidR="003115E3">
        <w:rPr>
          <w:color w:val="231F20"/>
          <w:spacing w:val="-5"/>
        </w:rPr>
        <w:t xml:space="preserve">way, </w:t>
      </w:r>
      <w:r w:rsidR="003115E3">
        <w:rPr>
          <w:color w:val="231F20"/>
        </w:rPr>
        <w:t xml:space="preserve">that is to </w:t>
      </w:r>
      <w:r w:rsidR="003115E3">
        <w:rPr>
          <w:color w:val="231F20"/>
          <w:spacing w:val="-4"/>
        </w:rPr>
        <w:t xml:space="preserve">say, </w:t>
      </w:r>
      <w:r w:rsidR="003115E3">
        <w:rPr>
          <w:color w:val="231F20"/>
        </w:rPr>
        <w:t xml:space="preserve">by using legal arguments in  court,  and  the  fact  that  every step of the </w:t>
      </w:r>
      <w:r w:rsidR="003115E3">
        <w:rPr>
          <w:color w:val="231F20"/>
          <w:spacing w:val="-2"/>
        </w:rPr>
        <w:t xml:space="preserve">way  </w:t>
      </w:r>
      <w:r w:rsidR="003115E3">
        <w:rPr>
          <w:color w:val="231F20"/>
        </w:rPr>
        <w:t xml:space="preserve">they see that it is not the judges who are mak  ing the decisions regarding us, but the Bonn Security Group and the </w:t>
      </w:r>
      <w:r w:rsidR="003115E3">
        <w:rPr>
          <w:color w:val="231F20"/>
          <w:spacing w:val="-8"/>
        </w:rPr>
        <w:t xml:space="preserve">BAW. </w:t>
      </w:r>
      <w:r w:rsidR="003115E3">
        <w:rPr>
          <w:color w:val="231F20"/>
        </w:rPr>
        <w:t>The discrepancy between the  letter  of  the  law  and  the  reality of</w:t>
      </w:r>
      <w:r w:rsidR="003115E3">
        <w:rPr>
          <w:color w:val="231F20"/>
          <w:spacing w:val="16"/>
        </w:rPr>
        <w:t xml:space="preserve"> </w:t>
      </w:r>
      <w:r w:rsidR="003115E3">
        <w:rPr>
          <w:color w:val="231F20"/>
        </w:rPr>
        <w:t>the</w:t>
      </w:r>
      <w:r w:rsidR="003115E3">
        <w:rPr>
          <w:color w:val="231F20"/>
          <w:spacing w:val="16"/>
        </w:rPr>
        <w:t xml:space="preserve"> </w:t>
      </w:r>
      <w:r w:rsidR="003115E3">
        <w:rPr>
          <w:color w:val="231F20"/>
          <w:spacing w:val="-4"/>
        </w:rPr>
        <w:t>law,</w:t>
      </w:r>
      <w:r w:rsidR="003115E3">
        <w:rPr>
          <w:color w:val="231F20"/>
          <w:spacing w:val="16"/>
        </w:rPr>
        <w:t xml:space="preserve"> </w:t>
      </w:r>
      <w:r w:rsidR="003115E3">
        <w:rPr>
          <w:color w:val="231F20"/>
        </w:rPr>
        <w:t>between</w:t>
      </w:r>
      <w:r w:rsidR="003115E3">
        <w:rPr>
          <w:color w:val="231F20"/>
          <w:spacing w:val="16"/>
        </w:rPr>
        <w:t xml:space="preserve"> </w:t>
      </w:r>
      <w:r w:rsidR="003115E3">
        <w:rPr>
          <w:color w:val="231F20"/>
        </w:rPr>
        <w:t>the</w:t>
      </w:r>
      <w:r w:rsidR="003115E3">
        <w:rPr>
          <w:color w:val="231F20"/>
          <w:spacing w:val="16"/>
        </w:rPr>
        <w:t xml:space="preserve"> </w:t>
      </w:r>
      <w:r w:rsidR="003115E3">
        <w:rPr>
          <w:color w:val="231F20"/>
        </w:rPr>
        <w:t>pretense</w:t>
      </w:r>
      <w:r w:rsidR="003115E3">
        <w:rPr>
          <w:color w:val="231F20"/>
          <w:spacing w:val="16"/>
        </w:rPr>
        <w:t xml:space="preserve"> </w:t>
      </w:r>
      <w:r w:rsidR="003115E3">
        <w:rPr>
          <w:color w:val="231F20"/>
        </w:rPr>
        <w:t>of</w:t>
      </w:r>
      <w:r w:rsidR="003115E3">
        <w:rPr>
          <w:color w:val="231F20"/>
          <w:spacing w:val="16"/>
        </w:rPr>
        <w:t xml:space="preserve"> </w:t>
      </w:r>
      <w:r w:rsidR="003115E3">
        <w:rPr>
          <w:color w:val="231F20"/>
        </w:rPr>
        <w:t>the</w:t>
      </w:r>
      <w:r w:rsidR="003115E3">
        <w:rPr>
          <w:color w:val="231F20"/>
          <w:spacing w:val="16"/>
        </w:rPr>
        <w:t xml:space="preserve"> </w:t>
      </w:r>
      <w:r w:rsidR="003115E3">
        <w:rPr>
          <w:color w:val="231F20"/>
        </w:rPr>
        <w:t>rule</w:t>
      </w:r>
      <w:r w:rsidR="003115E3">
        <w:rPr>
          <w:color w:val="231F20"/>
          <w:spacing w:val="16"/>
        </w:rPr>
        <w:t xml:space="preserve"> </w:t>
      </w:r>
      <w:r w:rsidR="003115E3">
        <w:rPr>
          <w:color w:val="231F20"/>
        </w:rPr>
        <w:t>of</w:t>
      </w:r>
      <w:r w:rsidR="003115E3">
        <w:rPr>
          <w:color w:val="231F20"/>
          <w:spacing w:val="16"/>
        </w:rPr>
        <w:t xml:space="preserve"> </w:t>
      </w:r>
      <w:r w:rsidR="003115E3">
        <w:rPr>
          <w:color w:val="231F20"/>
        </w:rPr>
        <w:t>law</w:t>
      </w:r>
      <w:r w:rsidR="003115E3">
        <w:rPr>
          <w:color w:val="231F20"/>
          <w:spacing w:val="16"/>
        </w:rPr>
        <w:t xml:space="preserve"> </w:t>
      </w:r>
      <w:r w:rsidR="003115E3">
        <w:rPr>
          <w:color w:val="231F20"/>
        </w:rPr>
        <w:t>and</w:t>
      </w:r>
      <w:r w:rsidR="003115E3">
        <w:rPr>
          <w:color w:val="231F20"/>
          <w:spacing w:val="16"/>
        </w:rPr>
        <w:t xml:space="preserve"> </w:t>
      </w:r>
      <w:r w:rsidR="003115E3">
        <w:rPr>
          <w:color w:val="231F20"/>
        </w:rPr>
        <w:t>the</w:t>
      </w:r>
      <w:r w:rsidR="003115E3">
        <w:rPr>
          <w:color w:val="231F20"/>
          <w:spacing w:val="16"/>
        </w:rPr>
        <w:t xml:space="preserve"> </w:t>
      </w:r>
      <w:r w:rsidR="003115E3">
        <w:rPr>
          <w:color w:val="231F20"/>
        </w:rPr>
        <w:t>reality</w:t>
      </w:r>
      <w:r w:rsidR="003115E3">
        <w:rPr>
          <w:color w:val="231F20"/>
          <w:spacing w:val="16"/>
        </w:rPr>
        <w:t xml:space="preserve"> </w:t>
      </w:r>
      <w:r w:rsidR="003115E3">
        <w:rPr>
          <w:color w:val="231F20"/>
        </w:rPr>
        <w:t>of</w:t>
      </w:r>
      <w:r w:rsidR="003115E3">
        <w:rPr>
          <w:color w:val="231F20"/>
          <w:spacing w:val="16"/>
        </w:rPr>
        <w:t xml:space="preserve"> </w:t>
      </w:r>
      <w:r w:rsidR="003115E3">
        <w:rPr>
          <w:color w:val="231F20"/>
        </w:rPr>
        <w:t>a</w:t>
      </w:r>
    </w:p>
    <w:p w14:paraId="025C7CDE" w14:textId="77777777" w:rsidR="002653E8" w:rsidRDefault="00000000">
      <w:pPr>
        <w:pStyle w:val="a3"/>
        <w:spacing w:before="11"/>
        <w:rPr>
          <w:sz w:val="16"/>
        </w:rPr>
      </w:pPr>
      <w:r>
        <w:rPr>
          <w:noProof w:val="0"/>
        </w:rPr>
        <w:pict w14:anchorId="07545F04">
          <v:line id="_x0000_s2351" style="position:absolute;z-index:7240;mso-wrap-distance-left:0;mso-wrap-distance-right:0;mso-position-horizontal-relative:page" from="57.4pt,12.15pt" to="129.4pt,12.15pt" strokecolor="#231f20" strokeweight=".5pt">
            <w10:wrap type="topAndBottom" anchorx="page"/>
          </v:line>
        </w:pict>
      </w:r>
    </w:p>
    <w:p w14:paraId="312EFE95" w14:textId="77777777" w:rsidR="002653E8" w:rsidRDefault="003115E3">
      <w:pPr>
        <w:spacing w:before="53" w:line="254" w:lineRule="auto"/>
        <w:ind w:left="1147" w:right="1848"/>
        <w:rPr>
          <w:sz w:val="16"/>
        </w:rPr>
      </w:pPr>
      <w:r>
        <w:rPr>
          <w:color w:val="231F20"/>
          <w:w w:val="105"/>
          <w:sz w:val="16"/>
        </w:rPr>
        <w:t xml:space="preserve">1 </w:t>
      </w:r>
      <w:r>
        <w:rPr>
          <w:color w:val="231F20"/>
          <w:spacing w:val="1"/>
          <w:w w:val="105"/>
          <w:sz w:val="16"/>
        </w:rPr>
        <w:t xml:space="preserve">This </w:t>
      </w:r>
      <w:r>
        <w:rPr>
          <w:color w:val="231F20"/>
          <w:w w:val="105"/>
          <w:sz w:val="16"/>
        </w:rPr>
        <w:t xml:space="preserve">refers to the “Guillaume affair.” Günter Guillaume was an East German </w:t>
      </w:r>
      <w:r>
        <w:rPr>
          <w:color w:val="231F20"/>
          <w:spacing w:val="35"/>
          <w:w w:val="105"/>
          <w:sz w:val="16"/>
        </w:rPr>
        <w:t xml:space="preserve"> </w:t>
      </w:r>
      <w:r>
        <w:rPr>
          <w:color w:val="231F20"/>
          <w:w w:val="105"/>
          <w:sz w:val="16"/>
        </w:rPr>
        <w:t xml:space="preserve">spy who worked as SPD Chancellor Willy Brandt’s personal assistant. He was uncovered in late </w:t>
      </w:r>
      <w:r>
        <w:rPr>
          <w:color w:val="231F20"/>
          <w:spacing w:val="-3"/>
          <w:w w:val="105"/>
          <w:sz w:val="16"/>
        </w:rPr>
        <w:t xml:space="preserve">1973 </w:t>
      </w:r>
      <w:r>
        <w:rPr>
          <w:color w:val="231F20"/>
          <w:w w:val="105"/>
          <w:sz w:val="16"/>
        </w:rPr>
        <w:t xml:space="preserve">and arrested on April 24, </w:t>
      </w:r>
      <w:r>
        <w:rPr>
          <w:color w:val="231F20"/>
          <w:spacing w:val="-4"/>
          <w:w w:val="105"/>
          <w:sz w:val="16"/>
        </w:rPr>
        <w:t xml:space="preserve">1974. </w:t>
      </w:r>
      <w:r>
        <w:rPr>
          <w:color w:val="231F20"/>
          <w:w w:val="105"/>
          <w:sz w:val="16"/>
        </w:rPr>
        <w:t>The crisis forced Willy Brandt</w:t>
      </w:r>
      <w:r>
        <w:rPr>
          <w:color w:val="231F20"/>
          <w:spacing w:val="8"/>
          <w:w w:val="105"/>
          <w:sz w:val="16"/>
        </w:rPr>
        <w:t xml:space="preserve"> </w:t>
      </w:r>
      <w:r>
        <w:rPr>
          <w:color w:val="231F20"/>
          <w:w w:val="105"/>
          <w:sz w:val="16"/>
        </w:rPr>
        <w:t>to</w:t>
      </w:r>
      <w:r>
        <w:rPr>
          <w:color w:val="231F20"/>
          <w:spacing w:val="8"/>
          <w:w w:val="105"/>
          <w:sz w:val="16"/>
        </w:rPr>
        <w:t xml:space="preserve"> </w:t>
      </w:r>
      <w:r>
        <w:rPr>
          <w:color w:val="231F20"/>
          <w:w w:val="105"/>
          <w:sz w:val="16"/>
        </w:rPr>
        <w:t>step</w:t>
      </w:r>
      <w:r>
        <w:rPr>
          <w:color w:val="231F20"/>
          <w:spacing w:val="8"/>
          <w:w w:val="105"/>
          <w:sz w:val="16"/>
        </w:rPr>
        <w:t xml:space="preserve"> </w:t>
      </w:r>
      <w:r>
        <w:rPr>
          <w:color w:val="231F20"/>
          <w:w w:val="105"/>
          <w:sz w:val="16"/>
        </w:rPr>
        <w:t>down,</w:t>
      </w:r>
      <w:r>
        <w:rPr>
          <w:color w:val="231F20"/>
          <w:spacing w:val="8"/>
          <w:w w:val="105"/>
          <w:sz w:val="16"/>
        </w:rPr>
        <w:t xml:space="preserve"> </w:t>
      </w:r>
      <w:r>
        <w:rPr>
          <w:color w:val="231F20"/>
          <w:w w:val="105"/>
          <w:sz w:val="16"/>
        </w:rPr>
        <w:t>making</w:t>
      </w:r>
      <w:r>
        <w:rPr>
          <w:color w:val="231F20"/>
          <w:spacing w:val="8"/>
          <w:w w:val="105"/>
          <w:sz w:val="16"/>
        </w:rPr>
        <w:t xml:space="preserve"> </w:t>
      </w:r>
      <w:r>
        <w:rPr>
          <w:color w:val="231F20"/>
          <w:w w:val="105"/>
          <w:sz w:val="16"/>
        </w:rPr>
        <w:t>room</w:t>
      </w:r>
      <w:r>
        <w:rPr>
          <w:color w:val="231F20"/>
          <w:spacing w:val="8"/>
          <w:w w:val="105"/>
          <w:sz w:val="16"/>
        </w:rPr>
        <w:t xml:space="preserve"> </w:t>
      </w:r>
      <w:r>
        <w:rPr>
          <w:color w:val="231F20"/>
          <w:w w:val="105"/>
          <w:sz w:val="16"/>
        </w:rPr>
        <w:t>for</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more</w:t>
      </w:r>
      <w:r>
        <w:rPr>
          <w:color w:val="231F20"/>
          <w:spacing w:val="8"/>
          <w:w w:val="105"/>
          <w:sz w:val="16"/>
        </w:rPr>
        <w:t xml:space="preserve"> </w:t>
      </w:r>
      <w:r>
        <w:rPr>
          <w:color w:val="231F20"/>
          <w:w w:val="105"/>
          <w:sz w:val="16"/>
        </w:rPr>
        <w:t>bluntly</w:t>
      </w:r>
      <w:r>
        <w:rPr>
          <w:color w:val="231F20"/>
          <w:spacing w:val="8"/>
          <w:w w:val="105"/>
          <w:sz w:val="16"/>
        </w:rPr>
        <w:t xml:space="preserve"> </w:t>
      </w:r>
      <w:r>
        <w:rPr>
          <w:color w:val="231F20"/>
          <w:w w:val="105"/>
          <w:sz w:val="16"/>
        </w:rPr>
        <w:t>right-wing</w:t>
      </w:r>
      <w:r>
        <w:rPr>
          <w:color w:val="231F20"/>
          <w:spacing w:val="8"/>
          <w:w w:val="105"/>
          <w:sz w:val="16"/>
        </w:rPr>
        <w:t xml:space="preserve"> </w:t>
      </w:r>
      <w:r>
        <w:rPr>
          <w:color w:val="231F20"/>
          <w:w w:val="105"/>
          <w:sz w:val="16"/>
        </w:rPr>
        <w:t>and</w:t>
      </w:r>
      <w:r>
        <w:rPr>
          <w:color w:val="231F20"/>
          <w:spacing w:val="8"/>
          <w:w w:val="105"/>
          <w:sz w:val="16"/>
        </w:rPr>
        <w:t xml:space="preserve"> </w:t>
      </w:r>
      <w:r>
        <w:rPr>
          <w:color w:val="231F20"/>
          <w:w w:val="105"/>
          <w:sz w:val="16"/>
        </w:rPr>
        <w:t>pro-</w:t>
      </w:r>
    </w:p>
    <w:p w14:paraId="72E95ADE" w14:textId="77777777" w:rsidR="002653E8" w:rsidRDefault="003115E3">
      <w:pPr>
        <w:spacing w:before="1" w:line="254" w:lineRule="auto"/>
        <w:ind w:left="1147" w:right="1513"/>
        <w:rPr>
          <w:sz w:val="16"/>
        </w:rPr>
      </w:pPr>
      <w:r>
        <w:rPr>
          <w:color w:val="231F20"/>
          <w:w w:val="105"/>
          <w:sz w:val="16"/>
        </w:rPr>
        <w:t>American Helmut Schmidt to take over the party and the chancellorship. Guillaume was released to the GDR in 1981.</w:t>
      </w:r>
    </w:p>
    <w:p w14:paraId="7D4FE517" w14:textId="77777777" w:rsidR="002653E8" w:rsidRDefault="002653E8">
      <w:pPr>
        <w:spacing w:line="254" w:lineRule="auto"/>
        <w:rPr>
          <w:sz w:val="16"/>
        </w:rPr>
        <w:sectPr w:rsidR="002653E8">
          <w:footerReference w:type="even" r:id="rId265"/>
          <w:footerReference w:type="default" r:id="rId266"/>
          <w:pgSz w:w="8640" w:h="12960"/>
          <w:pgMar w:top="1060" w:right="0" w:bottom="1040" w:left="0" w:header="0" w:footer="850" w:gutter="0"/>
          <w:pgNumType w:start="312"/>
          <w:cols w:space="720"/>
        </w:sectPr>
      </w:pPr>
    </w:p>
    <w:p w14:paraId="7D1499AA" w14:textId="77777777" w:rsidR="002653E8" w:rsidRDefault="003115E3">
      <w:pPr>
        <w:pStyle w:val="a3"/>
        <w:spacing w:before="86" w:line="264" w:lineRule="auto"/>
        <w:ind w:left="1327" w:right="1145"/>
      </w:pPr>
      <w:r>
        <w:rPr>
          <w:color w:val="231F20"/>
        </w:rPr>
        <w:lastRenderedPageBreak/>
        <w:t>police state, turns them into defenders of the constitutional state, into antifascists.</w:t>
      </w:r>
    </w:p>
    <w:p w14:paraId="1A5807C5" w14:textId="77777777" w:rsidR="002653E8" w:rsidRDefault="003115E3">
      <w:pPr>
        <w:pStyle w:val="a3"/>
        <w:spacing w:line="264" w:lineRule="auto"/>
        <w:ind w:left="1327" w:right="1145" w:firstLine="210"/>
        <w:jc w:val="both"/>
      </w:pPr>
      <w:r>
        <w:rPr>
          <w:color w:val="231F20"/>
        </w:rPr>
        <w:t xml:space="preserve">It is part of the counterstrategy of the </w:t>
      </w:r>
      <w:r>
        <w:rPr>
          <w:color w:val="231F20"/>
          <w:spacing w:val="-6"/>
        </w:rPr>
        <w:t xml:space="preserve">BAW  </w:t>
      </w:r>
      <w:r>
        <w:rPr>
          <w:color w:val="231F20"/>
        </w:rPr>
        <w:t xml:space="preserve">and the </w:t>
      </w:r>
      <w:r>
        <w:rPr>
          <w:color w:val="231F20"/>
          <w:spacing w:val="2"/>
        </w:rPr>
        <w:t xml:space="preserve">BKA </w:t>
      </w:r>
      <w:r>
        <w:rPr>
          <w:color w:val="231F20"/>
        </w:rPr>
        <w:t xml:space="preserve">to claim   that these lawyers are our “auxiliary forces,” which they are not. </w:t>
      </w:r>
      <w:r>
        <w:rPr>
          <w:color w:val="231F20"/>
          <w:spacing w:val="-8"/>
        </w:rPr>
        <w:t xml:space="preserve">To </w:t>
      </w:r>
      <w:r>
        <w:rPr>
          <w:color w:val="231F20"/>
        </w:rPr>
        <w:t xml:space="preserve">a large degree, the justice system has been taken over by state security, in order to serve the goals of the counterinsurgency campaign and to aid  in the </w:t>
      </w:r>
      <w:r>
        <w:rPr>
          <w:color w:val="231F20"/>
          <w:spacing w:val="-5"/>
        </w:rPr>
        <w:t xml:space="preserve">BAW’s </w:t>
      </w:r>
      <w:r>
        <w:rPr>
          <w:color w:val="231F20"/>
        </w:rPr>
        <w:t xml:space="preserve">extermination strategy. </w:t>
      </w:r>
      <w:r>
        <w:rPr>
          <w:color w:val="231F20"/>
          <w:spacing w:val="1"/>
        </w:rPr>
        <w:t xml:space="preserve">In </w:t>
      </w:r>
      <w:r>
        <w:rPr>
          <w:color w:val="231F20"/>
        </w:rPr>
        <w:t xml:space="preserve">this context, defense attorneys who insist on the separation of powers are considered obstacles to the </w:t>
      </w:r>
      <w:r>
        <w:rPr>
          <w:color w:val="231F20"/>
          <w:spacing w:val="1"/>
        </w:rPr>
        <w:t>drift</w:t>
      </w:r>
      <w:r>
        <w:rPr>
          <w:color w:val="231F20"/>
          <w:spacing w:val="10"/>
        </w:rPr>
        <w:t xml:space="preserve"> </w:t>
      </w:r>
      <w:r>
        <w:rPr>
          <w:color w:val="231F20"/>
        </w:rPr>
        <w:t>towards</w:t>
      </w:r>
      <w:r>
        <w:rPr>
          <w:color w:val="231F20"/>
          <w:spacing w:val="10"/>
        </w:rPr>
        <w:t xml:space="preserve"> </w:t>
      </w:r>
      <w:r>
        <w:rPr>
          <w:color w:val="231F20"/>
        </w:rPr>
        <w:t>fascism</w:t>
      </w:r>
      <w:r>
        <w:rPr>
          <w:color w:val="231F20"/>
          <w:spacing w:val="10"/>
        </w:rPr>
        <w:t xml:space="preserve"> </w:t>
      </w:r>
      <w:r>
        <w:rPr>
          <w:color w:val="231F20"/>
        </w:rPr>
        <w:t>and</w:t>
      </w:r>
      <w:r>
        <w:rPr>
          <w:color w:val="231F20"/>
          <w:spacing w:val="10"/>
        </w:rPr>
        <w:t xml:space="preserve"> </w:t>
      </w:r>
      <w:r>
        <w:rPr>
          <w:color w:val="231F20"/>
        </w:rPr>
        <w:t>must</w:t>
      </w:r>
      <w:r>
        <w:rPr>
          <w:color w:val="231F20"/>
          <w:spacing w:val="10"/>
        </w:rPr>
        <w:t xml:space="preserve"> </w:t>
      </w:r>
      <w:r>
        <w:rPr>
          <w:color w:val="231F20"/>
        </w:rPr>
        <w:t>inevitably</w:t>
      </w:r>
      <w:r>
        <w:rPr>
          <w:color w:val="231F20"/>
          <w:spacing w:val="10"/>
        </w:rPr>
        <w:t xml:space="preserve"> </w:t>
      </w:r>
      <w:r>
        <w:rPr>
          <w:color w:val="231F20"/>
        </w:rPr>
        <w:t>be</w:t>
      </w:r>
      <w:r>
        <w:rPr>
          <w:color w:val="231F20"/>
          <w:spacing w:val="10"/>
        </w:rPr>
        <w:t xml:space="preserve"> </w:t>
      </w:r>
      <w:r>
        <w:rPr>
          <w:color w:val="231F20"/>
        </w:rPr>
        <w:t>targeted.</w:t>
      </w:r>
    </w:p>
    <w:p w14:paraId="3E2ED188" w14:textId="77777777" w:rsidR="002653E8" w:rsidRDefault="002653E8">
      <w:pPr>
        <w:pStyle w:val="a3"/>
        <w:spacing w:before="1"/>
        <w:rPr>
          <w:sz w:val="21"/>
        </w:rPr>
      </w:pPr>
    </w:p>
    <w:p w14:paraId="25291464" w14:textId="77777777" w:rsidR="002653E8" w:rsidRDefault="003115E3">
      <w:pPr>
        <w:pStyle w:val="a3"/>
        <w:spacing w:line="264" w:lineRule="auto"/>
        <w:ind w:left="1328" w:right="1145"/>
      </w:pPr>
      <w:r>
        <w:rPr>
          <w:i/>
          <w:color w:val="231F20"/>
        </w:rPr>
        <w:t>Spiegel</w:t>
      </w:r>
      <w:r>
        <w:rPr>
          <w:color w:val="231F20"/>
        </w:rPr>
        <w:t>: Do you have political disagreements with other underground anarchist groups?</w:t>
      </w:r>
    </w:p>
    <w:p w14:paraId="34000CD5" w14:textId="77777777" w:rsidR="002653E8" w:rsidRDefault="002653E8">
      <w:pPr>
        <w:pStyle w:val="a3"/>
        <w:spacing w:before="9"/>
        <w:rPr>
          <w:sz w:val="21"/>
        </w:rPr>
      </w:pPr>
    </w:p>
    <w:p w14:paraId="00F90C51" w14:textId="77777777" w:rsidR="002653E8" w:rsidRDefault="00C507A5">
      <w:pPr>
        <w:ind w:left="1327"/>
        <w:rPr>
          <w:i/>
          <w:sz w:val="20"/>
        </w:rPr>
      </w:pPr>
      <w:r>
        <w:rPr>
          <w:color w:val="231F20"/>
          <w:w w:val="105"/>
          <w:sz w:val="20"/>
        </w:rPr>
        <w:t>red army faction</w:t>
      </w:r>
      <w:r w:rsidR="003115E3">
        <w:rPr>
          <w:color w:val="231F20"/>
          <w:w w:val="105"/>
          <w:sz w:val="20"/>
        </w:rPr>
        <w:t xml:space="preserve">: Not about </w:t>
      </w:r>
      <w:r w:rsidR="003115E3">
        <w:rPr>
          <w:i/>
          <w:color w:val="231F20"/>
          <w:w w:val="105"/>
          <w:sz w:val="20"/>
        </w:rPr>
        <w:t>Spiegel.</w:t>
      </w:r>
    </w:p>
    <w:p w14:paraId="6D5A3718" w14:textId="77777777" w:rsidR="002653E8" w:rsidRDefault="002653E8">
      <w:pPr>
        <w:pStyle w:val="a3"/>
        <w:spacing w:before="9"/>
        <w:rPr>
          <w:i/>
          <w:sz w:val="23"/>
        </w:rPr>
      </w:pPr>
    </w:p>
    <w:p w14:paraId="39009259" w14:textId="77777777" w:rsidR="002653E8" w:rsidRDefault="003115E3">
      <w:pPr>
        <w:pStyle w:val="a3"/>
        <w:spacing w:line="264" w:lineRule="auto"/>
        <w:ind w:left="1327" w:right="1145"/>
      </w:pPr>
      <w:r>
        <w:rPr>
          <w:i/>
          <w:color w:val="231F20"/>
        </w:rPr>
        <w:t>Spiegel</w:t>
      </w:r>
      <w:r>
        <w:rPr>
          <w:color w:val="231F20"/>
        </w:rPr>
        <w:t>: What about the 2nd of June Movement, which murdered the West Berlin Supreme Court Judge Drenkmann?</w:t>
      </w:r>
    </w:p>
    <w:p w14:paraId="65FB44A9" w14:textId="77777777" w:rsidR="002653E8" w:rsidRDefault="002653E8">
      <w:pPr>
        <w:pStyle w:val="a3"/>
        <w:spacing w:before="9"/>
        <w:rPr>
          <w:sz w:val="21"/>
        </w:rPr>
      </w:pPr>
    </w:p>
    <w:p w14:paraId="7385E98C" w14:textId="77777777" w:rsidR="002653E8" w:rsidRDefault="00C507A5">
      <w:pPr>
        <w:pStyle w:val="a3"/>
        <w:ind w:left="1327"/>
      </w:pPr>
      <w:r>
        <w:rPr>
          <w:color w:val="231F20"/>
          <w:w w:val="105"/>
        </w:rPr>
        <w:t>red army faction</w:t>
      </w:r>
      <w:r w:rsidR="003115E3">
        <w:rPr>
          <w:color w:val="231F20"/>
          <w:w w:val="105"/>
        </w:rPr>
        <w:t>: you should ask the 2nd of June about that.</w:t>
      </w:r>
    </w:p>
    <w:p w14:paraId="735D9E1C" w14:textId="77777777" w:rsidR="002653E8" w:rsidRDefault="002653E8">
      <w:pPr>
        <w:pStyle w:val="a3"/>
        <w:spacing w:before="9"/>
        <w:rPr>
          <w:sz w:val="23"/>
        </w:rPr>
      </w:pPr>
    </w:p>
    <w:p w14:paraId="69879AEB" w14:textId="77777777" w:rsidR="002653E8" w:rsidRDefault="003115E3">
      <w:pPr>
        <w:pStyle w:val="a3"/>
        <w:spacing w:line="264" w:lineRule="auto"/>
        <w:ind w:left="1327" w:right="1580"/>
      </w:pPr>
      <w:r>
        <w:rPr>
          <w:i/>
          <w:color w:val="231F20"/>
        </w:rPr>
        <w:t>Spiegel</w:t>
      </w:r>
      <w:r>
        <w:rPr>
          <w:color w:val="231F20"/>
        </w:rPr>
        <w:t>: What do you think: did Drenkmann’s murder accomplish anything?</w:t>
      </w:r>
    </w:p>
    <w:p w14:paraId="124F283A" w14:textId="77777777" w:rsidR="002653E8" w:rsidRDefault="002653E8">
      <w:pPr>
        <w:pStyle w:val="a3"/>
        <w:spacing w:before="9"/>
        <w:rPr>
          <w:sz w:val="21"/>
        </w:rPr>
      </w:pPr>
    </w:p>
    <w:p w14:paraId="01C70068" w14:textId="77777777" w:rsidR="002653E8" w:rsidRDefault="00C507A5">
      <w:pPr>
        <w:pStyle w:val="a3"/>
        <w:spacing w:line="264" w:lineRule="auto"/>
        <w:ind w:left="1327" w:right="1146"/>
        <w:jc w:val="both"/>
      </w:pPr>
      <w:r>
        <w:rPr>
          <w:color w:val="231F20"/>
          <w:spacing w:val="1"/>
        </w:rPr>
        <w:t>red army faction</w:t>
      </w:r>
      <w:r w:rsidR="003115E3">
        <w:rPr>
          <w:color w:val="231F20"/>
          <w:spacing w:val="1"/>
        </w:rPr>
        <w:t xml:space="preserve">: </w:t>
      </w:r>
      <w:r w:rsidR="003115E3">
        <w:rPr>
          <w:color w:val="231F20"/>
        </w:rPr>
        <w:t xml:space="preserve">Drenkmann didn’t become the top judge in a city of almost three million without ruining the lives of thousands of people,  depriving  them of their right to life, choking them with laws, locking them </w:t>
      </w:r>
      <w:r w:rsidR="003115E3">
        <w:rPr>
          <w:color w:val="231F20"/>
          <w:spacing w:val="-3"/>
        </w:rPr>
        <w:t xml:space="preserve">away   </w:t>
      </w:r>
      <w:r w:rsidR="003115E3">
        <w:rPr>
          <w:color w:val="231F20"/>
        </w:rPr>
        <w:t>in prison cells, destroying their</w:t>
      </w:r>
      <w:r w:rsidR="003115E3">
        <w:rPr>
          <w:color w:val="231F20"/>
          <w:spacing w:val="10"/>
        </w:rPr>
        <w:t xml:space="preserve"> </w:t>
      </w:r>
      <w:r w:rsidR="003115E3">
        <w:rPr>
          <w:color w:val="231F20"/>
        </w:rPr>
        <w:t>futures.</w:t>
      </w:r>
    </w:p>
    <w:p w14:paraId="4A674642" w14:textId="77777777" w:rsidR="002653E8" w:rsidRDefault="003115E3">
      <w:pPr>
        <w:pStyle w:val="a3"/>
        <w:spacing w:line="264" w:lineRule="auto"/>
        <w:ind w:left="1327" w:right="1145" w:firstLine="210"/>
        <w:jc w:val="both"/>
      </w:pPr>
      <w:r>
        <w:rPr>
          <w:color w:val="231F20"/>
        </w:rPr>
        <w:t xml:space="preserve">What’s more, just look at the fact that despite calls from the high    est </w:t>
      </w:r>
      <w:r>
        <w:rPr>
          <w:color w:val="231F20"/>
          <w:spacing w:val="-3"/>
        </w:rPr>
        <w:t xml:space="preserve">West </w:t>
      </w:r>
      <w:r>
        <w:rPr>
          <w:color w:val="231F20"/>
        </w:rPr>
        <w:t xml:space="preserve">German authorities, the President of the Republic and the President of the Constitutional Court, only </w:t>
      </w:r>
      <w:r>
        <w:rPr>
          <w:color w:val="231F20"/>
          <w:spacing w:val="-3"/>
        </w:rPr>
        <w:t xml:space="preserve">15,000  </w:t>
      </w:r>
      <w:r>
        <w:rPr>
          <w:color w:val="231F20"/>
        </w:rPr>
        <w:t xml:space="preserve">Berliners came out   to the funeral, and this in a city where 500,000 to </w:t>
      </w:r>
      <w:r>
        <w:rPr>
          <w:color w:val="231F20"/>
          <w:spacing w:val="1"/>
        </w:rPr>
        <w:t xml:space="preserve">600,000 </w:t>
      </w:r>
      <w:r>
        <w:rPr>
          <w:color w:val="231F20"/>
        </w:rPr>
        <w:t xml:space="preserve">people used to come out for anticommunist demonstrations. </w:t>
      </w:r>
      <w:r>
        <w:rPr>
          <w:color w:val="231F20"/>
          <w:spacing w:val="-7"/>
        </w:rPr>
        <w:t xml:space="preserve">you </w:t>
      </w:r>
      <w:r>
        <w:rPr>
          <w:color w:val="231F20"/>
        </w:rPr>
        <w:t xml:space="preserve">yourselves know that all the indignation about this attack on the Berlin judge is nothing but propaganda and hypocrisy, nobody mourns a character mask. This whole exercise was just a </w:t>
      </w:r>
      <w:r>
        <w:rPr>
          <w:color w:val="231F20"/>
          <w:spacing w:val="-2"/>
        </w:rPr>
        <w:t xml:space="preserve">way </w:t>
      </w:r>
      <w:r>
        <w:rPr>
          <w:color w:val="231F20"/>
        </w:rPr>
        <w:t>for the bourgeoisie and the imperialists to send a message. The indignation was just a reflex action in one particular political climate, nothing</w:t>
      </w:r>
      <w:r>
        <w:rPr>
          <w:color w:val="231F20"/>
          <w:spacing w:val="3"/>
        </w:rPr>
        <w:t xml:space="preserve"> </w:t>
      </w:r>
      <w:r>
        <w:rPr>
          <w:color w:val="231F20"/>
        </w:rPr>
        <w:t>more.</w:t>
      </w:r>
    </w:p>
    <w:p w14:paraId="76FF3FD2" w14:textId="77777777" w:rsidR="002653E8" w:rsidRDefault="003115E3">
      <w:pPr>
        <w:pStyle w:val="a3"/>
        <w:spacing w:line="264" w:lineRule="auto"/>
        <w:ind w:left="1327" w:right="1146" w:firstLine="210"/>
        <w:jc w:val="both"/>
      </w:pPr>
      <w:r>
        <w:rPr>
          <w:color w:val="231F20"/>
        </w:rPr>
        <w:t>Those who, without themselves being from the ruling elite, automatically identify with such a character mask of the justice system simply make it clear that wherever exploitation reigns, they can only imagine</w:t>
      </w:r>
    </w:p>
    <w:p w14:paraId="39405712" w14:textId="77777777" w:rsidR="002653E8" w:rsidRDefault="002653E8">
      <w:pPr>
        <w:spacing w:line="264" w:lineRule="auto"/>
        <w:jc w:val="both"/>
        <w:sectPr w:rsidR="002653E8">
          <w:pgSz w:w="8640" w:h="12960"/>
          <w:pgMar w:top="1060" w:right="0" w:bottom="1040" w:left="0" w:header="0" w:footer="850" w:gutter="0"/>
          <w:cols w:space="720"/>
        </w:sectPr>
      </w:pPr>
    </w:p>
    <w:p w14:paraId="74592A13" w14:textId="77777777" w:rsidR="002653E8" w:rsidRDefault="003115E3">
      <w:pPr>
        <w:pStyle w:val="a3"/>
        <w:spacing w:before="86" w:line="264" w:lineRule="auto"/>
        <w:ind w:left="1148" w:right="1325" w:hanging="1"/>
        <w:jc w:val="both"/>
      </w:pPr>
      <w:r>
        <w:rPr>
          <w:color w:val="231F20"/>
        </w:rPr>
        <w:lastRenderedPageBreak/>
        <w:t>themselves on the side of the exploiter. In terms of class analysis, leftists and liberals who protested the Drenkmann action simply exposed themselves.</w:t>
      </w:r>
    </w:p>
    <w:p w14:paraId="1BB00142" w14:textId="77777777" w:rsidR="002653E8" w:rsidRDefault="002653E8">
      <w:pPr>
        <w:pStyle w:val="a3"/>
        <w:spacing w:before="8"/>
        <w:rPr>
          <w:sz w:val="21"/>
        </w:rPr>
      </w:pPr>
    </w:p>
    <w:p w14:paraId="4A2CF93F" w14:textId="77777777" w:rsidR="002653E8" w:rsidRDefault="003115E3">
      <w:pPr>
        <w:pStyle w:val="a3"/>
        <w:spacing w:line="264" w:lineRule="auto"/>
        <w:ind w:left="1147" w:right="1325"/>
        <w:jc w:val="both"/>
      </w:pPr>
      <w:r>
        <w:rPr>
          <w:i/>
          <w:color w:val="231F20"/>
        </w:rPr>
        <w:t>Spiegel</w:t>
      </w:r>
      <w:r>
        <w:rPr>
          <w:color w:val="231F20"/>
        </w:rPr>
        <w:t xml:space="preserve">: </w:t>
      </w:r>
      <w:r>
        <w:rPr>
          <w:color w:val="231F20"/>
          <w:spacing w:val="-5"/>
        </w:rPr>
        <w:t xml:space="preserve">We </w:t>
      </w:r>
      <w:r>
        <w:rPr>
          <w:color w:val="231F20"/>
        </w:rPr>
        <w:t xml:space="preserve">know something quite different. </w:t>
      </w:r>
      <w:r>
        <w:rPr>
          <w:color w:val="231F20"/>
          <w:spacing w:val="-5"/>
        </w:rPr>
        <w:t xml:space="preserve">We </w:t>
      </w:r>
      <w:r>
        <w:rPr>
          <w:color w:val="231F20"/>
        </w:rPr>
        <w:t xml:space="preserve">know that Drenkmann was shot, and we consider  the  </w:t>
      </w:r>
      <w:r w:rsidR="00C507A5">
        <w:rPr>
          <w:color w:val="231F20"/>
          <w:spacing w:val="1"/>
        </w:rPr>
        <w:t>red army faction</w:t>
      </w:r>
      <w:r>
        <w:rPr>
          <w:color w:val="231F20"/>
          <w:spacing w:val="1"/>
        </w:rPr>
        <w:t xml:space="preserve">’s  </w:t>
      </w:r>
      <w:r>
        <w:rPr>
          <w:color w:val="231F20"/>
        </w:rPr>
        <w:t>justification  of  this  murder  to be outrageous, nothing but lynch mob justice for a so-called “crime”  that was committed collectively by what you refer to as a “fascist” justice system. Even if one accepts the maxim that the ends justify the means, as you obviously do, one can see by the public’s reaction that Drenkmann’s murder constituted a setback for</w:t>
      </w:r>
      <w:r>
        <w:rPr>
          <w:color w:val="231F20"/>
          <w:spacing w:val="1"/>
        </w:rPr>
        <w:t xml:space="preserve"> </w:t>
      </w:r>
      <w:r>
        <w:rPr>
          <w:color w:val="231F20"/>
        </w:rPr>
        <w:t xml:space="preserve">the </w:t>
      </w:r>
      <w:r w:rsidR="00C507A5">
        <w:rPr>
          <w:color w:val="231F20"/>
        </w:rPr>
        <w:t>red army faction</w:t>
      </w:r>
      <w:r>
        <w:rPr>
          <w:color w:val="231F20"/>
        </w:rPr>
        <w:t>.</w:t>
      </w:r>
    </w:p>
    <w:p w14:paraId="3A62CF89" w14:textId="77777777" w:rsidR="002653E8" w:rsidRDefault="002653E8">
      <w:pPr>
        <w:pStyle w:val="a3"/>
        <w:spacing w:before="3"/>
        <w:rPr>
          <w:sz w:val="21"/>
        </w:rPr>
      </w:pPr>
    </w:p>
    <w:p w14:paraId="7BC098F3" w14:textId="77777777" w:rsidR="002653E8" w:rsidRDefault="00C507A5">
      <w:pPr>
        <w:pStyle w:val="a3"/>
        <w:spacing w:line="264" w:lineRule="auto"/>
        <w:ind w:left="1148" w:right="1325" w:hanging="1"/>
        <w:jc w:val="both"/>
      </w:pPr>
      <w:r>
        <w:rPr>
          <w:color w:val="231F20"/>
          <w:spacing w:val="1"/>
        </w:rPr>
        <w:t>red army faction</w:t>
      </w:r>
      <w:r w:rsidR="003115E3">
        <w:rPr>
          <w:color w:val="231F20"/>
          <w:spacing w:val="1"/>
        </w:rPr>
        <w:t xml:space="preserve">: </w:t>
      </w:r>
      <w:r w:rsidR="003115E3">
        <w:rPr>
          <w:color w:val="231F20"/>
        </w:rPr>
        <w:t xml:space="preserve">The logic behind the means lies with the ends. </w:t>
      </w:r>
      <w:r w:rsidR="003115E3">
        <w:rPr>
          <w:color w:val="231F20"/>
          <w:spacing w:val="-5"/>
        </w:rPr>
        <w:t xml:space="preserve">We </w:t>
      </w:r>
      <w:r w:rsidR="003115E3">
        <w:rPr>
          <w:color w:val="231F20"/>
        </w:rPr>
        <w:t xml:space="preserve">are not justifying anything. Revolutionary  counterviolence  is  not  only  legitimate, it is our only option, and we expect that as it develops it will give the class that you write for many more opportunities to offer up ignorant opinions, and not just about the attempted kidnapping of a judge. The action was powerful—as an expression of our love and our mourning and rage about the murder of an imprisoned combatant. </w:t>
      </w:r>
      <w:r w:rsidR="003115E3">
        <w:rPr>
          <w:color w:val="231F20"/>
          <w:spacing w:val="1"/>
        </w:rPr>
        <w:t xml:space="preserve">If </w:t>
      </w:r>
      <w:r w:rsidR="003115E3">
        <w:rPr>
          <w:color w:val="231F20"/>
        </w:rPr>
        <w:t>there are to be</w:t>
      </w:r>
      <w:r w:rsidR="003115E3">
        <w:rPr>
          <w:color w:val="231F20"/>
          <w:spacing w:val="10"/>
        </w:rPr>
        <w:t xml:space="preserve"> </w:t>
      </w:r>
      <w:r w:rsidR="003115E3">
        <w:rPr>
          <w:color w:val="231F20"/>
        </w:rPr>
        <w:t>funerals—then</w:t>
      </w:r>
      <w:r w:rsidR="003115E3">
        <w:rPr>
          <w:color w:val="231F20"/>
          <w:spacing w:val="10"/>
        </w:rPr>
        <w:t xml:space="preserve"> </w:t>
      </w:r>
      <w:r w:rsidR="003115E3">
        <w:rPr>
          <w:color w:val="231F20"/>
        </w:rPr>
        <w:t>they</w:t>
      </w:r>
      <w:r w:rsidR="003115E3">
        <w:rPr>
          <w:color w:val="231F20"/>
          <w:spacing w:val="10"/>
        </w:rPr>
        <w:t xml:space="preserve"> </w:t>
      </w:r>
      <w:r w:rsidR="003115E3">
        <w:rPr>
          <w:color w:val="231F20"/>
        </w:rPr>
        <w:t>will</w:t>
      </w:r>
      <w:r w:rsidR="003115E3">
        <w:rPr>
          <w:color w:val="231F20"/>
          <w:spacing w:val="10"/>
        </w:rPr>
        <w:t xml:space="preserve"> </w:t>
      </w:r>
      <w:r w:rsidR="003115E3">
        <w:rPr>
          <w:color w:val="231F20"/>
        </w:rPr>
        <w:t>be</w:t>
      </w:r>
      <w:r w:rsidR="003115E3">
        <w:rPr>
          <w:color w:val="231F20"/>
          <w:spacing w:val="10"/>
        </w:rPr>
        <w:t xml:space="preserve"> </w:t>
      </w:r>
      <w:r w:rsidR="003115E3">
        <w:rPr>
          <w:color w:val="231F20"/>
        </w:rPr>
        <w:t>on</w:t>
      </w:r>
      <w:r w:rsidR="003115E3">
        <w:rPr>
          <w:color w:val="231F20"/>
          <w:spacing w:val="10"/>
        </w:rPr>
        <w:t xml:space="preserve"> </w:t>
      </w:r>
      <w:r w:rsidR="003115E3">
        <w:rPr>
          <w:color w:val="231F20"/>
        </w:rPr>
        <w:t>both</w:t>
      </w:r>
      <w:r w:rsidR="003115E3">
        <w:rPr>
          <w:color w:val="231F20"/>
          <w:spacing w:val="10"/>
        </w:rPr>
        <w:t xml:space="preserve"> </w:t>
      </w:r>
      <w:r w:rsidR="003115E3">
        <w:rPr>
          <w:color w:val="231F20"/>
        </w:rPr>
        <w:t>sides.</w:t>
      </w:r>
    </w:p>
    <w:p w14:paraId="26B8AED8" w14:textId="77777777" w:rsidR="002653E8" w:rsidRDefault="003115E3">
      <w:pPr>
        <w:pStyle w:val="a3"/>
        <w:spacing w:line="264" w:lineRule="auto"/>
        <w:ind w:left="1147" w:right="1325" w:firstLine="210"/>
        <w:jc w:val="both"/>
      </w:pPr>
      <w:r>
        <w:rPr>
          <w:color w:val="231F20"/>
          <w:spacing w:val="-4"/>
        </w:rPr>
        <w:t xml:space="preserve">your  </w:t>
      </w:r>
      <w:r>
        <w:rPr>
          <w:color w:val="231F20"/>
        </w:rPr>
        <w:t>indignation has to be seen in the light of your silence regard ing the attack in Bremen, where a bomb went off in a vending machine shortly after a football game had been cancelled.</w:t>
      </w:r>
      <w:r>
        <w:rPr>
          <w:color w:val="231F20"/>
          <w:position w:val="7"/>
          <w:sz w:val="11"/>
        </w:rPr>
        <w:t xml:space="preserve">1 </w:t>
      </w:r>
      <w:r>
        <w:rPr>
          <w:color w:val="231F20"/>
        </w:rPr>
        <w:t xml:space="preserve">Unlike the action against Drenkmann, this bomb was not aimed at a member of the ruling class, but at the people; it  was  a  CIA-style  fascist  action,  and  it met with a much less heated reaction. How do you explain that in this case the Bremen Railway Police were already on alert the morning of December 8—the day that the bomb went off at </w:t>
      </w:r>
      <w:r>
        <w:rPr>
          <w:color w:val="231F20"/>
          <w:spacing w:val="-6"/>
        </w:rPr>
        <w:t xml:space="preserve">4:15 </w:t>
      </w:r>
      <w:r>
        <w:rPr>
          <w:color w:val="231F20"/>
        </w:rPr>
        <w:t xml:space="preserve">pm—because they had been warned by the  Hessian Criminal Bureau to expect an attack   in the station or on a train. How do you explain the fact that at </w:t>
      </w:r>
      <w:r>
        <w:rPr>
          <w:color w:val="231F20"/>
          <w:spacing w:val="-5"/>
        </w:rPr>
        <w:t xml:space="preserve">3:30 </w:t>
      </w:r>
      <w:r>
        <w:rPr>
          <w:color w:val="231F20"/>
        </w:rPr>
        <w:t>pm the Civil Protection Service in Bremen-North had already received the order</w:t>
      </w:r>
      <w:r>
        <w:rPr>
          <w:color w:val="231F20"/>
          <w:spacing w:val="-4"/>
        </w:rPr>
        <w:t xml:space="preserve"> </w:t>
      </w:r>
      <w:r>
        <w:rPr>
          <w:color w:val="231F20"/>
        </w:rPr>
        <w:t>to</w:t>
      </w:r>
      <w:r>
        <w:rPr>
          <w:color w:val="231F20"/>
          <w:spacing w:val="-4"/>
        </w:rPr>
        <w:t xml:space="preserve"> </w:t>
      </w:r>
      <w:r>
        <w:rPr>
          <w:color w:val="231F20"/>
        </w:rPr>
        <w:t>send</w:t>
      </w:r>
      <w:r>
        <w:rPr>
          <w:color w:val="231F20"/>
          <w:spacing w:val="-4"/>
        </w:rPr>
        <w:t xml:space="preserve"> </w:t>
      </w:r>
      <w:r>
        <w:rPr>
          <w:color w:val="231F20"/>
        </w:rPr>
        <w:t>five</w:t>
      </w:r>
      <w:r>
        <w:rPr>
          <w:color w:val="231F20"/>
          <w:spacing w:val="-4"/>
        </w:rPr>
        <w:t xml:space="preserve"> </w:t>
      </w:r>
      <w:r>
        <w:rPr>
          <w:color w:val="231F20"/>
        </w:rPr>
        <w:t>ambulances</w:t>
      </w:r>
      <w:r>
        <w:rPr>
          <w:color w:val="231F20"/>
          <w:spacing w:val="-4"/>
        </w:rPr>
        <w:t xml:space="preserve"> </w:t>
      </w:r>
      <w:r>
        <w:rPr>
          <w:color w:val="231F20"/>
        </w:rPr>
        <w:t>to</w:t>
      </w:r>
      <w:r>
        <w:rPr>
          <w:color w:val="231F20"/>
          <w:spacing w:val="-4"/>
        </w:rPr>
        <w:t xml:space="preserve"> </w:t>
      </w:r>
      <w:r>
        <w:rPr>
          <w:color w:val="231F20"/>
        </w:rPr>
        <w:t>the</w:t>
      </w:r>
      <w:r>
        <w:rPr>
          <w:color w:val="231F20"/>
          <w:spacing w:val="-4"/>
        </w:rPr>
        <w:t xml:space="preserve"> </w:t>
      </w:r>
      <w:r>
        <w:rPr>
          <w:color w:val="231F20"/>
        </w:rPr>
        <w:t>central</w:t>
      </w:r>
      <w:r>
        <w:rPr>
          <w:color w:val="231F20"/>
          <w:spacing w:val="-4"/>
        </w:rPr>
        <w:t xml:space="preserve"> </w:t>
      </w:r>
      <w:r>
        <w:rPr>
          <w:color w:val="231F20"/>
        </w:rPr>
        <w:t>station</w:t>
      </w:r>
      <w:r>
        <w:rPr>
          <w:color w:val="231F20"/>
          <w:spacing w:val="-4"/>
        </w:rPr>
        <w:t xml:space="preserve"> </w:t>
      </w:r>
      <w:r>
        <w:rPr>
          <w:color w:val="231F20"/>
        </w:rPr>
        <w:t>because</w:t>
      </w:r>
      <w:r>
        <w:rPr>
          <w:color w:val="231F20"/>
          <w:spacing w:val="-4"/>
        </w:rPr>
        <w:t xml:space="preserve"> </w:t>
      </w:r>
      <w:r>
        <w:rPr>
          <w:color w:val="231F20"/>
        </w:rPr>
        <w:t>a</w:t>
      </w:r>
      <w:r>
        <w:rPr>
          <w:color w:val="231F20"/>
          <w:spacing w:val="-4"/>
        </w:rPr>
        <w:t xml:space="preserve"> </w:t>
      </w:r>
      <w:r>
        <w:rPr>
          <w:color w:val="231F20"/>
        </w:rPr>
        <w:t>bomb</w:t>
      </w:r>
      <w:r>
        <w:rPr>
          <w:color w:val="231F20"/>
          <w:spacing w:val="-4"/>
        </w:rPr>
        <w:t xml:space="preserve"> </w:t>
      </w:r>
      <w:r>
        <w:rPr>
          <w:color w:val="231F20"/>
        </w:rPr>
        <w:t xml:space="preserve">was going to explode, while the police, who were there immediately after  the explosion, claimed that they had only received word of the bomb threat at </w:t>
      </w:r>
      <w:r>
        <w:rPr>
          <w:color w:val="231F20"/>
          <w:spacing w:val="-8"/>
        </w:rPr>
        <w:t xml:space="preserve">3:56 </w:t>
      </w:r>
      <w:r>
        <w:rPr>
          <w:color w:val="231F20"/>
        </w:rPr>
        <w:t>pm, and that they had thought it was going to go off in        a</w:t>
      </w:r>
      <w:r>
        <w:rPr>
          <w:color w:val="231F20"/>
          <w:spacing w:val="12"/>
        </w:rPr>
        <w:t xml:space="preserve"> </w:t>
      </w:r>
      <w:r>
        <w:rPr>
          <w:color w:val="231F20"/>
        </w:rPr>
        <w:t>downtown</w:t>
      </w:r>
      <w:r>
        <w:rPr>
          <w:color w:val="231F20"/>
          <w:spacing w:val="12"/>
        </w:rPr>
        <w:t xml:space="preserve"> </w:t>
      </w:r>
      <w:r>
        <w:rPr>
          <w:color w:val="231F20"/>
        </w:rPr>
        <w:t>department</w:t>
      </w:r>
      <w:r>
        <w:rPr>
          <w:color w:val="231F20"/>
          <w:spacing w:val="12"/>
        </w:rPr>
        <w:t xml:space="preserve"> </w:t>
      </w:r>
      <w:r>
        <w:rPr>
          <w:color w:val="231F20"/>
        </w:rPr>
        <w:t>store?</w:t>
      </w:r>
      <w:r>
        <w:rPr>
          <w:color w:val="231F20"/>
          <w:spacing w:val="12"/>
        </w:rPr>
        <w:t xml:space="preserve"> </w:t>
      </w:r>
      <w:r>
        <w:rPr>
          <w:color w:val="231F20"/>
        </w:rPr>
        <w:t>The</w:t>
      </w:r>
      <w:r>
        <w:rPr>
          <w:color w:val="231F20"/>
          <w:spacing w:val="12"/>
        </w:rPr>
        <w:t xml:space="preserve"> </w:t>
      </w:r>
      <w:r>
        <w:rPr>
          <w:color w:val="231F20"/>
        </w:rPr>
        <w:t>Bremen</w:t>
      </w:r>
      <w:r>
        <w:rPr>
          <w:color w:val="231F20"/>
          <w:spacing w:val="12"/>
        </w:rPr>
        <w:t xml:space="preserve"> </w:t>
      </w:r>
      <w:r>
        <w:rPr>
          <w:color w:val="231F20"/>
        </w:rPr>
        <w:t>authorities</w:t>
      </w:r>
      <w:r>
        <w:rPr>
          <w:color w:val="231F20"/>
          <w:spacing w:val="12"/>
        </w:rPr>
        <w:t xml:space="preserve"> </w:t>
      </w:r>
      <w:r>
        <w:rPr>
          <w:color w:val="231F20"/>
        </w:rPr>
        <w:t>not</w:t>
      </w:r>
      <w:r>
        <w:rPr>
          <w:color w:val="231F20"/>
          <w:spacing w:val="12"/>
        </w:rPr>
        <w:t xml:space="preserve"> </w:t>
      </w:r>
      <w:r>
        <w:rPr>
          <w:color w:val="231F20"/>
        </w:rPr>
        <w:t>only</w:t>
      </w:r>
      <w:r>
        <w:rPr>
          <w:color w:val="231F20"/>
          <w:spacing w:val="12"/>
        </w:rPr>
        <w:t xml:space="preserve"> </w:t>
      </w:r>
      <w:r>
        <w:rPr>
          <w:color w:val="231F20"/>
        </w:rPr>
        <w:t>knew</w:t>
      </w:r>
    </w:p>
    <w:p w14:paraId="16186505" w14:textId="77777777" w:rsidR="002653E8" w:rsidRDefault="00000000">
      <w:pPr>
        <w:pStyle w:val="a3"/>
        <w:spacing w:before="2"/>
        <w:rPr>
          <w:sz w:val="23"/>
        </w:rPr>
      </w:pPr>
      <w:r>
        <w:rPr>
          <w:noProof w:val="0"/>
        </w:rPr>
        <w:pict w14:anchorId="4ACDBF12">
          <v:line id="_x0000_s2350" style="position:absolute;z-index:7264;mso-wrap-distance-left:0;mso-wrap-distance-right:0;mso-position-horizontal-relative:page" from="57.4pt,15.8pt" to="129.4pt,15.8pt" strokecolor="#231f20" strokeweight=".5pt">
            <w10:wrap type="topAndBottom" anchorx="page"/>
          </v:line>
        </w:pict>
      </w:r>
    </w:p>
    <w:p w14:paraId="40E82E68" w14:textId="77777777" w:rsidR="002653E8" w:rsidRDefault="003115E3">
      <w:pPr>
        <w:spacing w:before="53" w:line="254" w:lineRule="auto"/>
        <w:ind w:left="1147" w:right="1580"/>
        <w:rPr>
          <w:sz w:val="16"/>
        </w:rPr>
      </w:pPr>
      <w:r>
        <w:rPr>
          <w:color w:val="231F20"/>
          <w:w w:val="105"/>
          <w:sz w:val="16"/>
        </w:rPr>
        <w:t xml:space="preserve">1 The Bremen bombing and other false flag attacks are discussed in Section 9. Shadow Boxing: Countering Psychological Warfare. The </w:t>
      </w:r>
      <w:r w:rsidR="00C507A5">
        <w:rPr>
          <w:color w:val="231F20"/>
          <w:w w:val="105"/>
          <w:sz w:val="16"/>
        </w:rPr>
        <w:t>red army faction</w:t>
      </w:r>
      <w:r>
        <w:rPr>
          <w:color w:val="231F20"/>
          <w:w w:val="105"/>
          <w:sz w:val="16"/>
        </w:rPr>
        <w:t>’s statement on this attack in particular can be found on page 371.</w:t>
      </w:r>
    </w:p>
    <w:p w14:paraId="26493176" w14:textId="77777777" w:rsidR="002653E8" w:rsidRDefault="002653E8">
      <w:pPr>
        <w:spacing w:line="254" w:lineRule="auto"/>
        <w:rPr>
          <w:sz w:val="16"/>
        </w:rPr>
        <w:sectPr w:rsidR="002653E8">
          <w:pgSz w:w="8640" w:h="12960"/>
          <w:pgMar w:top="1060" w:right="0" w:bottom="1040" w:left="0" w:header="0" w:footer="850" w:gutter="0"/>
          <w:cols w:space="720"/>
        </w:sectPr>
      </w:pPr>
    </w:p>
    <w:p w14:paraId="60FB4200" w14:textId="77777777" w:rsidR="002653E8" w:rsidRDefault="003115E3">
      <w:pPr>
        <w:pStyle w:val="a3"/>
        <w:spacing w:before="86" w:line="264" w:lineRule="auto"/>
        <w:ind w:left="1327" w:right="1146"/>
        <w:jc w:val="both"/>
      </w:pPr>
      <w:r>
        <w:rPr>
          <w:color w:val="231F20"/>
        </w:rPr>
        <w:lastRenderedPageBreak/>
        <w:t>the exact time and place of this attack, but immediately afterwards they had this statement prepared to conceal, manipulate and deflect any investigation away from what they had actually been doing. So where is your indignation now?</w:t>
      </w:r>
    </w:p>
    <w:p w14:paraId="221FD471" w14:textId="77777777" w:rsidR="002653E8" w:rsidRDefault="002653E8">
      <w:pPr>
        <w:pStyle w:val="a3"/>
        <w:spacing w:before="6"/>
        <w:rPr>
          <w:sz w:val="21"/>
        </w:rPr>
      </w:pPr>
    </w:p>
    <w:p w14:paraId="3A25AFBE" w14:textId="77777777" w:rsidR="002653E8" w:rsidRDefault="003115E3">
      <w:pPr>
        <w:pStyle w:val="a3"/>
        <w:spacing w:before="1" w:line="264" w:lineRule="auto"/>
        <w:ind w:left="1327" w:right="1146"/>
        <w:jc w:val="both"/>
      </w:pPr>
      <w:r>
        <w:rPr>
          <w:i/>
          <w:color w:val="231F20"/>
        </w:rPr>
        <w:t>Spiegel</w:t>
      </w:r>
      <w:r>
        <w:rPr>
          <w:color w:val="231F20"/>
        </w:rPr>
        <w:t xml:space="preserve">: We will look into your allegations. While underground, you yourselves emphasized violence. When the bombs went off in Munich, Heidelberg, and Hamburg, the </w:t>
      </w:r>
      <w:r w:rsidR="00C507A5">
        <w:rPr>
          <w:color w:val="231F20"/>
        </w:rPr>
        <w:t>red army faction</w:t>
      </w:r>
      <w:r>
        <w:rPr>
          <w:color w:val="231F20"/>
        </w:rPr>
        <w:t xml:space="preserve"> saw these as political acts and claimed them as such. Since then have you recognized that violence against property and people is ineffective—that it doesn’t attract solidarity, but rather repels it—or do you intend to continue along this path?</w:t>
      </w:r>
    </w:p>
    <w:p w14:paraId="52D3EACF" w14:textId="77777777" w:rsidR="002653E8" w:rsidRDefault="002653E8">
      <w:pPr>
        <w:pStyle w:val="a3"/>
        <w:spacing w:before="3"/>
        <w:rPr>
          <w:sz w:val="21"/>
        </w:rPr>
      </w:pPr>
    </w:p>
    <w:p w14:paraId="26E3D86C" w14:textId="77777777" w:rsidR="002653E8" w:rsidRDefault="00C507A5">
      <w:pPr>
        <w:pStyle w:val="a3"/>
        <w:spacing w:line="264" w:lineRule="auto"/>
        <w:ind w:left="1327" w:right="1146"/>
        <w:jc w:val="both"/>
      </w:pPr>
      <w:r>
        <w:rPr>
          <w:color w:val="231F20"/>
          <w:spacing w:val="1"/>
        </w:rPr>
        <w:t>red army faction</w:t>
      </w:r>
      <w:r w:rsidR="003115E3">
        <w:rPr>
          <w:color w:val="231F20"/>
          <w:spacing w:val="1"/>
        </w:rPr>
        <w:t xml:space="preserve">: </w:t>
      </w:r>
      <w:r w:rsidR="003115E3">
        <w:rPr>
          <w:color w:val="231F20"/>
        </w:rPr>
        <w:t xml:space="preserve">The question is, who does it repel? Our photos were hung in the streets of Hanoi, because the </w:t>
      </w:r>
      <w:r>
        <w:rPr>
          <w:color w:val="231F20"/>
          <w:spacing w:val="5"/>
        </w:rPr>
        <w:t>red army faction</w:t>
      </w:r>
      <w:r w:rsidR="003115E3">
        <w:rPr>
          <w:color w:val="231F20"/>
          <w:spacing w:val="5"/>
        </w:rPr>
        <w:t xml:space="preserve"> </w:t>
      </w:r>
      <w:r w:rsidR="003115E3">
        <w:rPr>
          <w:color w:val="231F20"/>
        </w:rPr>
        <w:t xml:space="preserve">attack in Heidelberg destroyed the computer that was used to program and guide </w:t>
      </w:r>
      <w:r w:rsidR="003115E3">
        <w:rPr>
          <w:color w:val="231F20"/>
          <w:spacing w:val="1"/>
        </w:rPr>
        <w:t xml:space="preserve">U.S. </w:t>
      </w:r>
      <w:r w:rsidR="003115E3">
        <w:rPr>
          <w:color w:val="231F20"/>
        </w:rPr>
        <w:t>bombers deployed  in North Vietnam. The American officers and soldiers and politicians found this repellent, because, in Frankfurt and in Heidelberg, they were suddenly</w:t>
      </w:r>
      <w:r w:rsidR="003115E3">
        <w:rPr>
          <w:color w:val="231F20"/>
          <w:spacing w:val="11"/>
        </w:rPr>
        <w:t xml:space="preserve"> </w:t>
      </w:r>
      <w:r w:rsidR="003115E3">
        <w:rPr>
          <w:color w:val="231F20"/>
        </w:rPr>
        <w:t>confronted</w:t>
      </w:r>
      <w:r w:rsidR="003115E3">
        <w:rPr>
          <w:color w:val="231F20"/>
          <w:spacing w:val="11"/>
        </w:rPr>
        <w:t xml:space="preserve"> </w:t>
      </w:r>
      <w:r w:rsidR="003115E3">
        <w:rPr>
          <w:color w:val="231F20"/>
        </w:rPr>
        <w:t>by</w:t>
      </w:r>
      <w:r w:rsidR="003115E3">
        <w:rPr>
          <w:color w:val="231F20"/>
          <w:spacing w:val="11"/>
        </w:rPr>
        <w:t xml:space="preserve"> </w:t>
      </w:r>
      <w:r w:rsidR="003115E3">
        <w:rPr>
          <w:color w:val="231F20"/>
        </w:rPr>
        <w:t>Vietnam,</w:t>
      </w:r>
      <w:r w:rsidR="003115E3">
        <w:rPr>
          <w:color w:val="231F20"/>
          <w:spacing w:val="11"/>
        </w:rPr>
        <w:t xml:space="preserve"> </w:t>
      </w:r>
      <w:r w:rsidR="003115E3">
        <w:rPr>
          <w:color w:val="231F20"/>
        </w:rPr>
        <w:t>and</w:t>
      </w:r>
      <w:r w:rsidR="003115E3">
        <w:rPr>
          <w:color w:val="231F20"/>
          <w:spacing w:val="11"/>
        </w:rPr>
        <w:t xml:space="preserve"> </w:t>
      </w:r>
      <w:r w:rsidR="003115E3">
        <w:rPr>
          <w:color w:val="231F20"/>
        </w:rPr>
        <w:t>could</w:t>
      </w:r>
      <w:r w:rsidR="003115E3">
        <w:rPr>
          <w:color w:val="231F20"/>
          <w:spacing w:val="11"/>
        </w:rPr>
        <w:t xml:space="preserve"> </w:t>
      </w:r>
      <w:r w:rsidR="003115E3">
        <w:rPr>
          <w:color w:val="231F20"/>
        </w:rPr>
        <w:t>no</w:t>
      </w:r>
      <w:r w:rsidR="003115E3">
        <w:rPr>
          <w:color w:val="231F20"/>
          <w:spacing w:val="11"/>
        </w:rPr>
        <w:t xml:space="preserve"> </w:t>
      </w:r>
      <w:r w:rsidR="003115E3">
        <w:rPr>
          <w:color w:val="231F20"/>
        </w:rPr>
        <w:t>longer</w:t>
      </w:r>
      <w:r w:rsidR="003115E3">
        <w:rPr>
          <w:color w:val="231F20"/>
          <w:spacing w:val="11"/>
        </w:rPr>
        <w:t xml:space="preserve"> </w:t>
      </w:r>
      <w:r w:rsidR="003115E3">
        <w:rPr>
          <w:color w:val="231F20"/>
        </w:rPr>
        <w:t>feel</w:t>
      </w:r>
      <w:r w:rsidR="003115E3">
        <w:rPr>
          <w:color w:val="231F20"/>
          <w:spacing w:val="11"/>
        </w:rPr>
        <w:t xml:space="preserve"> </w:t>
      </w:r>
      <w:r w:rsidR="003115E3">
        <w:rPr>
          <w:color w:val="231F20"/>
        </w:rPr>
        <w:t>safe.</w:t>
      </w:r>
    </w:p>
    <w:p w14:paraId="0DF27D2E" w14:textId="77777777" w:rsidR="002653E8" w:rsidRDefault="003115E3">
      <w:pPr>
        <w:pStyle w:val="a3"/>
        <w:spacing w:line="264" w:lineRule="auto"/>
        <w:ind w:left="1328" w:right="1145" w:firstLine="210"/>
        <w:jc w:val="both"/>
      </w:pPr>
      <w:r>
        <w:rPr>
          <w:color w:val="231F20"/>
          <w:spacing w:val="-4"/>
        </w:rPr>
        <w:t xml:space="preserve">Today </w:t>
      </w:r>
      <w:r>
        <w:rPr>
          <w:color w:val="231F20"/>
        </w:rPr>
        <w:t xml:space="preserve">revolutionary politics must be both political and military. This is a given because of the structure of imperialism, which must guarantee its sphere of control both internally and externally, in the metropole and in the Third </w:t>
      </w:r>
      <w:r>
        <w:rPr>
          <w:color w:val="231F20"/>
          <w:spacing w:val="-3"/>
        </w:rPr>
        <w:t xml:space="preserve">World, </w:t>
      </w:r>
      <w:r>
        <w:rPr>
          <w:color w:val="231F20"/>
        </w:rPr>
        <w:t>primarily by  military  means,  through  mili</w:t>
      </w:r>
      <w:r>
        <w:rPr>
          <w:color w:val="231F20"/>
          <w:spacing w:val="1"/>
        </w:rPr>
        <w:t xml:space="preserve">tary </w:t>
      </w:r>
      <w:r>
        <w:rPr>
          <w:color w:val="231F20"/>
        </w:rPr>
        <w:t>pacts, military interventions, and counterguerilla programs, and through “internal security,” i.e. building up the internal machinery for maintaining power. Given imperialism’s capacity for violence, there can be no revolutionary politics without resolving the question of violence at</w:t>
      </w:r>
      <w:r>
        <w:rPr>
          <w:color w:val="231F20"/>
          <w:spacing w:val="10"/>
        </w:rPr>
        <w:t xml:space="preserve"> </w:t>
      </w:r>
      <w:r>
        <w:rPr>
          <w:color w:val="231F20"/>
        </w:rPr>
        <w:t>each</w:t>
      </w:r>
      <w:r>
        <w:rPr>
          <w:color w:val="231F20"/>
          <w:spacing w:val="10"/>
        </w:rPr>
        <w:t xml:space="preserve"> </w:t>
      </w:r>
      <w:r>
        <w:rPr>
          <w:color w:val="231F20"/>
        </w:rPr>
        <w:t>organizational</w:t>
      </w:r>
      <w:r>
        <w:rPr>
          <w:color w:val="231F20"/>
          <w:spacing w:val="10"/>
        </w:rPr>
        <w:t xml:space="preserve"> </w:t>
      </w:r>
      <w:r>
        <w:rPr>
          <w:color w:val="231F20"/>
        </w:rPr>
        <w:t>stage</w:t>
      </w:r>
      <w:r>
        <w:rPr>
          <w:color w:val="231F20"/>
          <w:spacing w:val="10"/>
        </w:rPr>
        <w:t xml:space="preserve"> </w:t>
      </w:r>
      <w:r>
        <w:rPr>
          <w:color w:val="231F20"/>
        </w:rPr>
        <w:t>as</w:t>
      </w:r>
      <w:r>
        <w:rPr>
          <w:color w:val="231F20"/>
          <w:spacing w:val="10"/>
        </w:rPr>
        <w:t xml:space="preserve"> </w:t>
      </w:r>
      <w:r>
        <w:rPr>
          <w:color w:val="231F20"/>
        </w:rPr>
        <w:t>the</w:t>
      </w:r>
      <w:r>
        <w:rPr>
          <w:color w:val="231F20"/>
          <w:spacing w:val="10"/>
        </w:rPr>
        <w:t xml:space="preserve"> </w:t>
      </w:r>
      <w:r>
        <w:rPr>
          <w:color w:val="231F20"/>
        </w:rPr>
        <w:t>revolution</w:t>
      </w:r>
      <w:r>
        <w:rPr>
          <w:color w:val="231F20"/>
          <w:spacing w:val="10"/>
        </w:rPr>
        <w:t xml:space="preserve"> </w:t>
      </w:r>
      <w:r>
        <w:rPr>
          <w:color w:val="231F20"/>
        </w:rPr>
        <w:t>develops.</w:t>
      </w:r>
    </w:p>
    <w:p w14:paraId="2AB90E4D" w14:textId="77777777" w:rsidR="002653E8" w:rsidRDefault="002653E8">
      <w:pPr>
        <w:pStyle w:val="a3"/>
        <w:spacing w:before="5"/>
      </w:pPr>
    </w:p>
    <w:p w14:paraId="1866697B" w14:textId="77777777" w:rsidR="002653E8" w:rsidRDefault="003115E3">
      <w:pPr>
        <w:pStyle w:val="a3"/>
        <w:spacing w:line="264" w:lineRule="auto"/>
        <w:ind w:left="1328" w:right="1146"/>
        <w:jc w:val="both"/>
      </w:pPr>
      <w:r>
        <w:rPr>
          <w:i/>
          <w:color w:val="231F20"/>
        </w:rPr>
        <w:t>Spiegel</w:t>
      </w:r>
      <w:r>
        <w:rPr>
          <w:color w:val="231F20"/>
        </w:rPr>
        <w:t>: How do you see yourselves? Do you consider yourselves to be anarchists or Marxists?</w:t>
      </w:r>
    </w:p>
    <w:p w14:paraId="2BE94E6E" w14:textId="77777777" w:rsidR="002653E8" w:rsidRDefault="002653E8">
      <w:pPr>
        <w:pStyle w:val="a3"/>
        <w:spacing w:before="9"/>
        <w:rPr>
          <w:sz w:val="21"/>
        </w:rPr>
      </w:pPr>
    </w:p>
    <w:p w14:paraId="44090B12" w14:textId="0952874E" w:rsidR="002653E8" w:rsidRDefault="00C507A5" w:rsidP="009477FA">
      <w:pPr>
        <w:pStyle w:val="a3"/>
        <w:spacing w:line="264" w:lineRule="auto"/>
        <w:ind w:left="1327" w:right="1146"/>
        <w:jc w:val="both"/>
      </w:pPr>
      <w:r>
        <w:rPr>
          <w:color w:val="231F20"/>
          <w:spacing w:val="1"/>
        </w:rPr>
        <w:t>red army faction</w:t>
      </w:r>
      <w:r w:rsidR="003115E3">
        <w:rPr>
          <w:color w:val="231F20"/>
          <w:spacing w:val="1"/>
        </w:rPr>
        <w:t xml:space="preserve">: </w:t>
      </w:r>
      <w:r w:rsidR="003115E3">
        <w:rPr>
          <w:color w:val="231F20"/>
        </w:rPr>
        <w:t xml:space="preserve">Marxists. But the state security image of anarchists is nothing more than an anticommunist hate campaign aimed at portraying anarchists as only being interested in blowing stuff up. </w:t>
      </w:r>
      <w:r w:rsidR="003115E3">
        <w:rPr>
          <w:color w:val="231F20"/>
          <w:spacing w:val="1"/>
        </w:rPr>
        <w:t xml:space="preserve">In </w:t>
      </w:r>
      <w:r w:rsidR="003115E3">
        <w:rPr>
          <w:color w:val="231F20"/>
        </w:rPr>
        <w:t xml:space="preserve">this </w:t>
      </w:r>
      <w:r w:rsidR="003115E3">
        <w:rPr>
          <w:color w:val="231F20"/>
          <w:spacing w:val="-5"/>
        </w:rPr>
        <w:t xml:space="preserve">way, </w:t>
      </w:r>
      <w:r w:rsidR="003115E3">
        <w:rPr>
          <w:color w:val="231F20"/>
        </w:rPr>
        <w:t>the necessary terminology is established for the government’s counterinsurgency campaign, meant to manipulate those anxieties which are always lurking just below the surface. Anxieties about unemployment, crisis, and war, which feed the insecurity about living conditions that people</w:t>
      </w:r>
      <w:r w:rsidR="003115E3">
        <w:rPr>
          <w:color w:val="231F20"/>
          <w:spacing w:val="10"/>
        </w:rPr>
        <w:t xml:space="preserve"> </w:t>
      </w:r>
      <w:r w:rsidR="003115E3">
        <w:rPr>
          <w:color w:val="231F20"/>
        </w:rPr>
        <w:t>experience</w:t>
      </w:r>
      <w:r w:rsidR="003115E3">
        <w:rPr>
          <w:color w:val="231F20"/>
          <w:spacing w:val="10"/>
        </w:rPr>
        <w:t xml:space="preserve"> </w:t>
      </w:r>
      <w:r w:rsidR="003115E3">
        <w:rPr>
          <w:color w:val="231F20"/>
        </w:rPr>
        <w:t>in</w:t>
      </w:r>
      <w:r w:rsidR="003115E3">
        <w:rPr>
          <w:color w:val="231F20"/>
          <w:spacing w:val="10"/>
        </w:rPr>
        <w:t xml:space="preserve"> </w:t>
      </w:r>
      <w:r w:rsidR="003115E3">
        <w:rPr>
          <w:color w:val="231F20"/>
        </w:rPr>
        <w:t>a</w:t>
      </w:r>
      <w:r w:rsidR="003115E3">
        <w:rPr>
          <w:color w:val="231F20"/>
          <w:spacing w:val="10"/>
        </w:rPr>
        <w:t xml:space="preserve"> </w:t>
      </w:r>
      <w:r w:rsidR="003115E3">
        <w:rPr>
          <w:color w:val="231F20"/>
        </w:rPr>
        <w:t>capitalist</w:t>
      </w:r>
      <w:r w:rsidR="003115E3">
        <w:rPr>
          <w:color w:val="231F20"/>
          <w:spacing w:val="10"/>
        </w:rPr>
        <w:t xml:space="preserve"> </w:t>
      </w:r>
      <w:r w:rsidR="003115E3">
        <w:rPr>
          <w:color w:val="231F20"/>
        </w:rPr>
        <w:t>society,</w:t>
      </w:r>
      <w:r w:rsidR="003115E3">
        <w:rPr>
          <w:color w:val="231F20"/>
          <w:spacing w:val="10"/>
        </w:rPr>
        <w:t xml:space="preserve"> </w:t>
      </w:r>
      <w:r w:rsidR="003115E3">
        <w:rPr>
          <w:color w:val="231F20"/>
        </w:rPr>
        <w:t>and</w:t>
      </w:r>
      <w:r w:rsidR="003115E3">
        <w:rPr>
          <w:color w:val="231F20"/>
          <w:spacing w:val="10"/>
        </w:rPr>
        <w:t xml:space="preserve"> </w:t>
      </w:r>
      <w:r w:rsidR="003115E3">
        <w:rPr>
          <w:color w:val="231F20"/>
        </w:rPr>
        <w:t>which</w:t>
      </w:r>
      <w:r w:rsidR="003115E3">
        <w:rPr>
          <w:color w:val="231F20"/>
          <w:spacing w:val="10"/>
        </w:rPr>
        <w:t xml:space="preserve"> </w:t>
      </w:r>
      <w:r w:rsidR="003115E3">
        <w:rPr>
          <w:color w:val="231F20"/>
        </w:rPr>
        <w:t>are</w:t>
      </w:r>
      <w:r w:rsidR="003115E3">
        <w:rPr>
          <w:color w:val="231F20"/>
          <w:spacing w:val="10"/>
        </w:rPr>
        <w:t xml:space="preserve"> </w:t>
      </w:r>
      <w:r w:rsidR="003115E3">
        <w:rPr>
          <w:color w:val="231F20"/>
        </w:rPr>
        <w:lastRenderedPageBreak/>
        <w:t>used</w:t>
      </w:r>
      <w:r w:rsidR="003115E3">
        <w:rPr>
          <w:color w:val="231F20"/>
          <w:spacing w:val="10"/>
        </w:rPr>
        <w:t xml:space="preserve"> </w:t>
      </w:r>
      <w:r w:rsidR="003115E3">
        <w:rPr>
          <w:color w:val="231F20"/>
        </w:rPr>
        <w:t>to</w:t>
      </w:r>
      <w:r w:rsidR="003115E3">
        <w:rPr>
          <w:color w:val="231F20"/>
          <w:spacing w:val="10"/>
        </w:rPr>
        <w:t xml:space="preserve"> </w:t>
      </w:r>
      <w:r w:rsidR="003115E3">
        <w:rPr>
          <w:color w:val="231F20"/>
        </w:rPr>
        <w:t>sell</w:t>
      </w:r>
      <w:r w:rsidR="003115E3">
        <w:rPr>
          <w:color w:val="231F20"/>
          <w:spacing w:val="10"/>
        </w:rPr>
        <w:t xml:space="preserve"> </w:t>
      </w:r>
      <w:r w:rsidR="003115E3">
        <w:rPr>
          <w:color w:val="231F20"/>
        </w:rPr>
        <w:t>the</w:t>
      </w:r>
      <w:r w:rsidR="009477FA">
        <w:rPr>
          <w:rFonts w:eastAsiaTheme="minorEastAsia" w:hint="eastAsia"/>
        </w:rPr>
        <w:t xml:space="preserve"> </w:t>
      </w:r>
      <w:r w:rsidR="003115E3">
        <w:rPr>
          <w:color w:val="231F20"/>
        </w:rPr>
        <w:t>people “internal security” measures as peace and security measures in the form of the state’s military machine—the police, the intelligence services, and the army. It aims at a reactionary, fascist mass mobilization of the people, thereby manipulating them into identifying with the state’s machinery of violence.</w:t>
      </w:r>
    </w:p>
    <w:p w14:paraId="29FA80F7" w14:textId="77777777" w:rsidR="002653E8" w:rsidRDefault="003115E3">
      <w:pPr>
        <w:pStyle w:val="a3"/>
        <w:spacing w:line="264" w:lineRule="auto"/>
        <w:ind w:left="1147" w:right="1326" w:firstLine="210"/>
        <w:jc w:val="both"/>
      </w:pPr>
      <w:r>
        <w:rPr>
          <w:color w:val="231F20"/>
        </w:rPr>
        <w:t xml:space="preserve">It is also an attempt to </w:t>
      </w:r>
      <w:r>
        <w:rPr>
          <w:color w:val="231F20"/>
          <w:spacing w:val="1"/>
        </w:rPr>
        <w:t xml:space="preserve">turn </w:t>
      </w:r>
      <w:r>
        <w:rPr>
          <w:color w:val="231F20"/>
        </w:rPr>
        <w:t xml:space="preserve">the old quarrel between Marxism and revolutionary anarchism to the advantage of the imperialist state, to   use the bland opportunism of contemporary Marxism against us: “Marxists </w:t>
      </w:r>
      <w:r>
        <w:rPr>
          <w:color w:val="231F20"/>
          <w:spacing w:val="-3"/>
        </w:rPr>
        <w:t xml:space="preserve">don’t </w:t>
      </w:r>
      <w:r>
        <w:rPr>
          <w:color w:val="231F20"/>
        </w:rPr>
        <w:t xml:space="preserve">attack the state, they attack capital,” and “It is not the streets, but the factories that are key to class struggle,” and so on. Given this incorrect understanding of Marxism, Lenin must have been an anarchist, and his work, </w:t>
      </w:r>
      <w:r>
        <w:rPr>
          <w:i/>
          <w:color w:val="231F20"/>
        </w:rPr>
        <w:t>The State and Revolution</w:t>
      </w:r>
      <w:r>
        <w:rPr>
          <w:color w:val="231F20"/>
        </w:rPr>
        <w:t>, must have been an anarchist work. Whereas it is, in fact, the strategic guide of revolution</w:t>
      </w:r>
      <w:r>
        <w:rPr>
          <w:color w:val="231F20"/>
          <w:spacing w:val="1"/>
        </w:rPr>
        <w:t xml:space="preserve">ary </w:t>
      </w:r>
      <w:r>
        <w:rPr>
          <w:color w:val="231F20"/>
        </w:rPr>
        <w:t>Marxism. The experience of all the guerilla movements is simple:  the tool of Marxism-Leninism—what Lenin,  Mao,  Giáp,  Fanon,  and  Che took from Marxist theory and developed—was for them a useful weapon in the anti-imperialist struggle.</w:t>
      </w:r>
    </w:p>
    <w:p w14:paraId="0A324BE4" w14:textId="77777777" w:rsidR="002653E8" w:rsidRDefault="002653E8">
      <w:pPr>
        <w:pStyle w:val="a3"/>
        <w:spacing w:before="4"/>
      </w:pPr>
    </w:p>
    <w:p w14:paraId="46961A3B" w14:textId="77777777" w:rsidR="002653E8" w:rsidRDefault="003115E3">
      <w:pPr>
        <w:pStyle w:val="a3"/>
        <w:spacing w:line="264" w:lineRule="auto"/>
        <w:ind w:left="1147" w:right="1325"/>
        <w:jc w:val="both"/>
      </w:pPr>
      <w:r>
        <w:rPr>
          <w:i/>
          <w:color w:val="231F20"/>
        </w:rPr>
        <w:t>Spiegel</w:t>
      </w:r>
      <w:r>
        <w:rPr>
          <w:color w:val="231F20"/>
        </w:rPr>
        <w:t xml:space="preserve">: So far as the people are concerned, it would seem that the “people’s war” as conceived of by the </w:t>
      </w:r>
      <w:r w:rsidR="00C507A5">
        <w:rPr>
          <w:color w:val="231F20"/>
        </w:rPr>
        <w:t>red army faction</w:t>
      </w:r>
      <w:r>
        <w:rPr>
          <w:color w:val="231F20"/>
        </w:rPr>
        <w:t xml:space="preserve"> has become a war against the people. Böll once spoke of six against sixty million.</w:t>
      </w:r>
    </w:p>
    <w:p w14:paraId="07793050" w14:textId="77777777" w:rsidR="002653E8" w:rsidRDefault="002653E8">
      <w:pPr>
        <w:pStyle w:val="a3"/>
        <w:spacing w:before="8"/>
        <w:rPr>
          <w:sz w:val="21"/>
        </w:rPr>
      </w:pPr>
    </w:p>
    <w:p w14:paraId="4F3F2F99" w14:textId="77777777" w:rsidR="002653E8" w:rsidRDefault="00C507A5">
      <w:pPr>
        <w:pStyle w:val="a3"/>
        <w:spacing w:line="264" w:lineRule="auto"/>
        <w:ind w:left="1147" w:right="1325"/>
        <w:jc w:val="both"/>
      </w:pPr>
      <w:r>
        <w:rPr>
          <w:color w:val="231F20"/>
          <w:spacing w:val="1"/>
          <w:w w:val="105"/>
        </w:rPr>
        <w:t>red army faction</w:t>
      </w:r>
      <w:r w:rsidR="003115E3">
        <w:rPr>
          <w:color w:val="231F20"/>
          <w:spacing w:val="1"/>
          <w:w w:val="105"/>
        </w:rPr>
        <w:t xml:space="preserve">: </w:t>
      </w:r>
      <w:r w:rsidR="003115E3">
        <w:rPr>
          <w:color w:val="231F20"/>
          <w:w w:val="105"/>
        </w:rPr>
        <w:t xml:space="preserve">That’s just the wishful thinking of imperialists. </w:t>
      </w:r>
      <w:r w:rsidR="003115E3">
        <w:rPr>
          <w:color w:val="231F20"/>
          <w:spacing w:val="1"/>
          <w:w w:val="105"/>
        </w:rPr>
        <w:t xml:space="preserve">In </w:t>
      </w:r>
      <w:r w:rsidR="003115E3">
        <w:rPr>
          <w:color w:val="231F20"/>
          <w:w w:val="105"/>
        </w:rPr>
        <w:t xml:space="preserve">the same </w:t>
      </w:r>
      <w:r w:rsidR="003115E3">
        <w:rPr>
          <w:color w:val="231F20"/>
          <w:spacing w:val="-2"/>
          <w:w w:val="105"/>
        </w:rPr>
        <w:t xml:space="preserve">way </w:t>
      </w:r>
      <w:r w:rsidR="003115E3">
        <w:rPr>
          <w:color w:val="231F20"/>
          <w:w w:val="105"/>
        </w:rPr>
        <w:t>that</w:t>
      </w:r>
      <w:r w:rsidR="003115E3">
        <w:rPr>
          <w:color w:val="231F20"/>
          <w:spacing w:val="-13"/>
          <w:w w:val="105"/>
        </w:rPr>
        <w:t xml:space="preserve"> </w:t>
      </w:r>
      <w:r w:rsidR="003115E3">
        <w:rPr>
          <w:color w:val="231F20"/>
          <w:w w:val="105"/>
        </w:rPr>
        <w:t>in</w:t>
      </w:r>
      <w:r w:rsidR="003115E3">
        <w:rPr>
          <w:color w:val="231F20"/>
          <w:spacing w:val="-13"/>
          <w:w w:val="105"/>
        </w:rPr>
        <w:t xml:space="preserve"> </w:t>
      </w:r>
      <w:r w:rsidR="003115E3">
        <w:rPr>
          <w:color w:val="231F20"/>
          <w:spacing w:val="-4"/>
          <w:w w:val="105"/>
        </w:rPr>
        <w:t>1972</w:t>
      </w:r>
      <w:r w:rsidR="003115E3">
        <w:rPr>
          <w:color w:val="231F20"/>
          <w:spacing w:val="-13"/>
          <w:w w:val="105"/>
        </w:rPr>
        <w:t xml:space="preserve"> </w:t>
      </w:r>
      <w:r w:rsidR="003115E3">
        <w:rPr>
          <w:color w:val="231F20"/>
          <w:w w:val="105"/>
        </w:rPr>
        <w:t>the</w:t>
      </w:r>
      <w:r w:rsidR="003115E3">
        <w:rPr>
          <w:color w:val="231F20"/>
          <w:spacing w:val="-13"/>
          <w:w w:val="105"/>
        </w:rPr>
        <w:t xml:space="preserve"> </w:t>
      </w:r>
      <w:r w:rsidR="003115E3">
        <w:rPr>
          <w:color w:val="231F20"/>
          <w:w w:val="105"/>
        </w:rPr>
        <w:t>newspaper</w:t>
      </w:r>
      <w:r w:rsidR="003115E3">
        <w:rPr>
          <w:color w:val="231F20"/>
          <w:spacing w:val="-12"/>
          <w:w w:val="105"/>
        </w:rPr>
        <w:t xml:space="preserve"> </w:t>
      </w:r>
      <w:r w:rsidR="003115E3">
        <w:rPr>
          <w:i/>
          <w:color w:val="231F20"/>
          <w:w w:val="105"/>
        </w:rPr>
        <w:t>Bild</w:t>
      </w:r>
      <w:r w:rsidR="003115E3">
        <w:rPr>
          <w:i/>
          <w:color w:val="231F20"/>
          <w:spacing w:val="-13"/>
          <w:w w:val="105"/>
        </w:rPr>
        <w:t xml:space="preserve"> </w:t>
      </w:r>
      <w:r w:rsidR="003115E3">
        <w:rPr>
          <w:color w:val="231F20"/>
          <w:w w:val="105"/>
        </w:rPr>
        <w:t>turned</w:t>
      </w:r>
      <w:r w:rsidR="003115E3">
        <w:rPr>
          <w:color w:val="231F20"/>
          <w:spacing w:val="-13"/>
          <w:w w:val="105"/>
        </w:rPr>
        <w:t xml:space="preserve"> </w:t>
      </w:r>
      <w:r w:rsidR="003115E3">
        <w:rPr>
          <w:color w:val="231F20"/>
          <w:w w:val="105"/>
        </w:rPr>
        <w:t>the</w:t>
      </w:r>
      <w:r w:rsidR="003115E3">
        <w:rPr>
          <w:color w:val="231F20"/>
          <w:spacing w:val="-13"/>
          <w:w w:val="105"/>
        </w:rPr>
        <w:t xml:space="preserve"> </w:t>
      </w:r>
      <w:r w:rsidR="003115E3">
        <w:rPr>
          <w:color w:val="231F20"/>
          <w:w w:val="105"/>
        </w:rPr>
        <w:t>idea</w:t>
      </w:r>
      <w:r w:rsidR="003115E3">
        <w:rPr>
          <w:color w:val="231F20"/>
          <w:spacing w:val="-13"/>
          <w:w w:val="105"/>
        </w:rPr>
        <w:t xml:space="preserve"> </w:t>
      </w:r>
      <w:r w:rsidR="003115E3">
        <w:rPr>
          <w:color w:val="231F20"/>
          <w:w w:val="105"/>
        </w:rPr>
        <w:t>of</w:t>
      </w:r>
      <w:r w:rsidR="003115E3">
        <w:rPr>
          <w:color w:val="231F20"/>
          <w:spacing w:val="-13"/>
          <w:w w:val="105"/>
        </w:rPr>
        <w:t xml:space="preserve"> </w:t>
      </w:r>
      <w:r w:rsidR="003115E3">
        <w:rPr>
          <w:color w:val="231F20"/>
          <w:w w:val="105"/>
        </w:rPr>
        <w:t>people’s</w:t>
      </w:r>
      <w:r w:rsidR="003115E3">
        <w:rPr>
          <w:color w:val="231F20"/>
          <w:spacing w:val="-13"/>
          <w:w w:val="105"/>
        </w:rPr>
        <w:t xml:space="preserve"> </w:t>
      </w:r>
      <w:r w:rsidR="003115E3">
        <w:rPr>
          <w:color w:val="231F20"/>
          <w:w w:val="105"/>
        </w:rPr>
        <w:t>war</w:t>
      </w:r>
      <w:r w:rsidR="003115E3">
        <w:rPr>
          <w:color w:val="231F20"/>
          <w:spacing w:val="-13"/>
          <w:w w:val="105"/>
        </w:rPr>
        <w:t xml:space="preserve"> </w:t>
      </w:r>
      <w:r w:rsidR="003115E3">
        <w:rPr>
          <w:color w:val="231F20"/>
          <w:w w:val="105"/>
        </w:rPr>
        <w:t>into</w:t>
      </w:r>
      <w:r w:rsidR="003115E3">
        <w:rPr>
          <w:color w:val="231F20"/>
          <w:spacing w:val="-13"/>
          <w:w w:val="105"/>
        </w:rPr>
        <w:t xml:space="preserve"> </w:t>
      </w:r>
      <w:r w:rsidR="003115E3">
        <w:rPr>
          <w:color w:val="231F20"/>
          <w:spacing w:val="-4"/>
          <w:w w:val="105"/>
        </w:rPr>
        <w:t xml:space="preserve">“a </w:t>
      </w:r>
      <w:r w:rsidR="003115E3">
        <w:rPr>
          <w:color w:val="231F20"/>
          <w:w w:val="105"/>
        </w:rPr>
        <w:t xml:space="preserve">war against the </w:t>
      </w:r>
      <w:r w:rsidR="003115E3">
        <w:rPr>
          <w:color w:val="231F20"/>
          <w:spacing w:val="-3"/>
          <w:w w:val="105"/>
        </w:rPr>
        <w:t xml:space="preserve">people.” </w:t>
      </w:r>
      <w:r w:rsidR="003115E3">
        <w:rPr>
          <w:color w:val="231F20"/>
          <w:spacing w:val="1"/>
          <w:w w:val="105"/>
        </w:rPr>
        <w:t xml:space="preserve">If </w:t>
      </w:r>
      <w:r w:rsidR="003115E3">
        <w:rPr>
          <w:color w:val="231F20"/>
          <w:w w:val="105"/>
        </w:rPr>
        <w:t xml:space="preserve">you think that </w:t>
      </w:r>
      <w:r w:rsidR="003115E3">
        <w:rPr>
          <w:i/>
          <w:color w:val="231F20"/>
          <w:w w:val="105"/>
        </w:rPr>
        <w:t xml:space="preserve">Bild </w:t>
      </w:r>
      <w:r w:rsidR="003115E3">
        <w:rPr>
          <w:color w:val="231F20"/>
          <w:w w:val="105"/>
        </w:rPr>
        <w:t>is the voice of the people…</w:t>
      </w:r>
      <w:r w:rsidR="003115E3">
        <w:rPr>
          <w:color w:val="231F20"/>
          <w:spacing w:val="-18"/>
          <w:w w:val="105"/>
        </w:rPr>
        <w:t xml:space="preserve"> </w:t>
      </w:r>
      <w:r w:rsidR="003115E3">
        <w:rPr>
          <w:color w:val="231F20"/>
          <w:spacing w:val="-5"/>
          <w:w w:val="105"/>
        </w:rPr>
        <w:t>We</w:t>
      </w:r>
      <w:r w:rsidR="003115E3">
        <w:rPr>
          <w:color w:val="231F20"/>
          <w:spacing w:val="-18"/>
          <w:w w:val="105"/>
        </w:rPr>
        <w:t xml:space="preserve"> </w:t>
      </w:r>
      <w:r w:rsidR="003115E3">
        <w:rPr>
          <w:color w:val="231F20"/>
          <w:spacing w:val="-3"/>
          <w:w w:val="105"/>
        </w:rPr>
        <w:t>don’t</w:t>
      </w:r>
      <w:r w:rsidR="003115E3">
        <w:rPr>
          <w:color w:val="231F20"/>
          <w:spacing w:val="-18"/>
          <w:w w:val="105"/>
        </w:rPr>
        <w:t xml:space="preserve"> </w:t>
      </w:r>
      <w:r w:rsidR="003115E3">
        <w:rPr>
          <w:color w:val="231F20"/>
          <w:w w:val="105"/>
        </w:rPr>
        <w:t>share</w:t>
      </w:r>
      <w:r w:rsidR="003115E3">
        <w:rPr>
          <w:color w:val="231F20"/>
          <w:spacing w:val="-18"/>
          <w:w w:val="105"/>
        </w:rPr>
        <w:t xml:space="preserve"> </w:t>
      </w:r>
      <w:r w:rsidR="003115E3">
        <w:rPr>
          <w:color w:val="231F20"/>
          <w:w w:val="105"/>
        </w:rPr>
        <w:t>Böll’s</w:t>
      </w:r>
      <w:r w:rsidR="003115E3">
        <w:rPr>
          <w:color w:val="231F20"/>
          <w:spacing w:val="-18"/>
          <w:w w:val="105"/>
        </w:rPr>
        <w:t xml:space="preserve"> </w:t>
      </w:r>
      <w:r w:rsidR="003115E3">
        <w:rPr>
          <w:color w:val="231F20"/>
          <w:w w:val="105"/>
        </w:rPr>
        <w:t>contempt</w:t>
      </w:r>
      <w:r w:rsidR="003115E3">
        <w:rPr>
          <w:color w:val="231F20"/>
          <w:spacing w:val="-18"/>
          <w:w w:val="105"/>
        </w:rPr>
        <w:t xml:space="preserve"> </w:t>
      </w:r>
      <w:r w:rsidR="003115E3">
        <w:rPr>
          <w:color w:val="231F20"/>
          <w:w w:val="105"/>
        </w:rPr>
        <w:t>for</w:t>
      </w:r>
      <w:r w:rsidR="003115E3">
        <w:rPr>
          <w:color w:val="231F20"/>
          <w:spacing w:val="-18"/>
          <w:w w:val="105"/>
        </w:rPr>
        <w:t xml:space="preserve"> </w:t>
      </w:r>
      <w:r w:rsidR="003115E3">
        <w:rPr>
          <w:color w:val="231F20"/>
          <w:w w:val="105"/>
        </w:rPr>
        <w:t>the</w:t>
      </w:r>
      <w:r w:rsidR="003115E3">
        <w:rPr>
          <w:color w:val="231F20"/>
          <w:spacing w:val="-18"/>
          <w:w w:val="105"/>
        </w:rPr>
        <w:t xml:space="preserve"> </w:t>
      </w:r>
      <w:r w:rsidR="003115E3">
        <w:rPr>
          <w:color w:val="231F20"/>
          <w:w w:val="105"/>
        </w:rPr>
        <w:t>masses,</w:t>
      </w:r>
      <w:r w:rsidR="003115E3">
        <w:rPr>
          <w:color w:val="231F20"/>
          <w:spacing w:val="-18"/>
          <w:w w:val="105"/>
        </w:rPr>
        <w:t xml:space="preserve"> </w:t>
      </w:r>
      <w:r w:rsidR="003115E3">
        <w:rPr>
          <w:color w:val="231F20"/>
          <w:w w:val="105"/>
        </w:rPr>
        <w:t>because</w:t>
      </w:r>
      <w:r w:rsidR="003115E3">
        <w:rPr>
          <w:color w:val="231F20"/>
          <w:spacing w:val="-18"/>
          <w:w w:val="105"/>
        </w:rPr>
        <w:t xml:space="preserve"> </w:t>
      </w:r>
      <w:r w:rsidR="003115E3">
        <w:rPr>
          <w:color w:val="231F20"/>
          <w:spacing w:val="-3"/>
          <w:w w:val="105"/>
        </w:rPr>
        <w:t>NATO,</w:t>
      </w:r>
      <w:r w:rsidR="003115E3">
        <w:rPr>
          <w:color w:val="231F20"/>
          <w:spacing w:val="-18"/>
          <w:w w:val="105"/>
        </w:rPr>
        <w:t xml:space="preserve"> </w:t>
      </w:r>
      <w:r w:rsidR="003115E3">
        <w:rPr>
          <w:color w:val="231F20"/>
          <w:w w:val="105"/>
        </w:rPr>
        <w:t>the multinational</w:t>
      </w:r>
      <w:r w:rsidR="003115E3">
        <w:rPr>
          <w:color w:val="231F20"/>
          <w:spacing w:val="-26"/>
          <w:w w:val="105"/>
        </w:rPr>
        <w:t xml:space="preserve"> </w:t>
      </w:r>
      <w:r w:rsidR="003115E3">
        <w:rPr>
          <w:color w:val="231F20"/>
          <w:w w:val="105"/>
        </w:rPr>
        <w:t>corporations,</w:t>
      </w:r>
      <w:r w:rsidR="003115E3">
        <w:rPr>
          <w:color w:val="231F20"/>
          <w:spacing w:val="-26"/>
          <w:w w:val="105"/>
        </w:rPr>
        <w:t xml:space="preserve"> </w:t>
      </w:r>
      <w:r w:rsidR="003115E3">
        <w:rPr>
          <w:color w:val="231F20"/>
          <w:w w:val="105"/>
        </w:rPr>
        <w:t>state</w:t>
      </w:r>
      <w:r w:rsidR="003115E3">
        <w:rPr>
          <w:color w:val="231F20"/>
          <w:spacing w:val="-26"/>
          <w:w w:val="105"/>
        </w:rPr>
        <w:t xml:space="preserve"> </w:t>
      </w:r>
      <w:r w:rsidR="003115E3">
        <w:rPr>
          <w:color w:val="231F20"/>
          <w:w w:val="105"/>
        </w:rPr>
        <w:t>security,</w:t>
      </w:r>
      <w:r w:rsidR="003115E3">
        <w:rPr>
          <w:color w:val="231F20"/>
          <w:spacing w:val="-26"/>
          <w:w w:val="105"/>
        </w:rPr>
        <w:t xml:space="preserve"> </w:t>
      </w:r>
      <w:r w:rsidR="003115E3">
        <w:rPr>
          <w:color w:val="231F20"/>
          <w:w w:val="105"/>
        </w:rPr>
        <w:t>the</w:t>
      </w:r>
      <w:r w:rsidR="003115E3">
        <w:rPr>
          <w:color w:val="231F20"/>
          <w:spacing w:val="-25"/>
          <w:w w:val="105"/>
        </w:rPr>
        <w:t xml:space="preserve"> </w:t>
      </w:r>
      <w:r w:rsidR="003115E3">
        <w:rPr>
          <w:color w:val="231F20"/>
          <w:spacing w:val="-5"/>
          <w:w w:val="105"/>
        </w:rPr>
        <w:t>127</w:t>
      </w:r>
      <w:r w:rsidR="003115E3">
        <w:rPr>
          <w:color w:val="231F20"/>
          <w:spacing w:val="-26"/>
          <w:w w:val="105"/>
        </w:rPr>
        <w:t xml:space="preserve"> </w:t>
      </w:r>
      <w:r w:rsidR="003115E3">
        <w:rPr>
          <w:color w:val="231F20"/>
          <w:spacing w:val="1"/>
          <w:w w:val="105"/>
        </w:rPr>
        <w:t>U.S.</w:t>
      </w:r>
      <w:r w:rsidR="003115E3">
        <w:rPr>
          <w:color w:val="231F20"/>
          <w:spacing w:val="-26"/>
          <w:w w:val="105"/>
        </w:rPr>
        <w:t xml:space="preserve"> </w:t>
      </w:r>
      <w:r w:rsidR="003115E3">
        <w:rPr>
          <w:color w:val="231F20"/>
          <w:w w:val="105"/>
        </w:rPr>
        <w:t>military</w:t>
      </w:r>
      <w:r w:rsidR="003115E3">
        <w:rPr>
          <w:color w:val="231F20"/>
          <w:spacing w:val="-26"/>
          <w:w w:val="105"/>
        </w:rPr>
        <w:t xml:space="preserve"> </w:t>
      </w:r>
      <w:r w:rsidR="003115E3">
        <w:rPr>
          <w:color w:val="231F20"/>
          <w:w w:val="105"/>
        </w:rPr>
        <w:t>bases</w:t>
      </w:r>
      <w:r w:rsidR="003115E3">
        <w:rPr>
          <w:color w:val="231F20"/>
          <w:spacing w:val="-26"/>
          <w:w w:val="105"/>
        </w:rPr>
        <w:t xml:space="preserve"> </w:t>
      </w:r>
      <w:r w:rsidR="003115E3">
        <w:rPr>
          <w:color w:val="231F20"/>
          <w:w w:val="105"/>
        </w:rPr>
        <w:t xml:space="preserve">in the Federal Republic, Dow Chemical, </w:t>
      </w:r>
      <w:r w:rsidR="003115E3">
        <w:rPr>
          <w:color w:val="231F20"/>
          <w:spacing w:val="1"/>
          <w:w w:val="105"/>
        </w:rPr>
        <w:t xml:space="preserve">IBM, </w:t>
      </w:r>
      <w:r w:rsidR="003115E3">
        <w:rPr>
          <w:color w:val="231F20"/>
          <w:w w:val="105"/>
        </w:rPr>
        <w:t>General Motors, the</w:t>
      </w:r>
      <w:r w:rsidR="003115E3">
        <w:rPr>
          <w:color w:val="231F20"/>
          <w:spacing w:val="-32"/>
          <w:w w:val="105"/>
        </w:rPr>
        <w:t xml:space="preserve"> </w:t>
      </w:r>
      <w:r w:rsidR="003115E3">
        <w:rPr>
          <w:color w:val="231F20"/>
          <w:w w:val="105"/>
        </w:rPr>
        <w:t>justice system,</w:t>
      </w:r>
      <w:r w:rsidR="003115E3">
        <w:rPr>
          <w:color w:val="231F20"/>
          <w:spacing w:val="-10"/>
          <w:w w:val="105"/>
        </w:rPr>
        <w:t xml:space="preserve"> </w:t>
      </w:r>
      <w:r w:rsidR="003115E3">
        <w:rPr>
          <w:color w:val="231F20"/>
          <w:w w:val="105"/>
        </w:rPr>
        <w:t>the</w:t>
      </w:r>
      <w:r w:rsidR="003115E3">
        <w:rPr>
          <w:color w:val="231F20"/>
          <w:spacing w:val="-10"/>
          <w:w w:val="105"/>
        </w:rPr>
        <w:t xml:space="preserve"> </w:t>
      </w:r>
      <w:r w:rsidR="003115E3">
        <w:rPr>
          <w:color w:val="231F20"/>
          <w:w w:val="105"/>
        </w:rPr>
        <w:t>police,</w:t>
      </w:r>
      <w:r w:rsidR="003115E3">
        <w:rPr>
          <w:color w:val="231F20"/>
          <w:spacing w:val="-10"/>
          <w:w w:val="105"/>
        </w:rPr>
        <w:t xml:space="preserve"> </w:t>
      </w:r>
      <w:r w:rsidR="003115E3">
        <w:rPr>
          <w:color w:val="231F20"/>
          <w:w w:val="105"/>
        </w:rPr>
        <w:t>and</w:t>
      </w:r>
      <w:r w:rsidR="003115E3">
        <w:rPr>
          <w:color w:val="231F20"/>
          <w:spacing w:val="-10"/>
          <w:w w:val="105"/>
        </w:rPr>
        <w:t xml:space="preserve"> </w:t>
      </w:r>
      <w:r w:rsidR="003115E3">
        <w:rPr>
          <w:color w:val="231F20"/>
          <w:w w:val="105"/>
        </w:rPr>
        <w:t>the</w:t>
      </w:r>
      <w:r w:rsidR="003115E3">
        <w:rPr>
          <w:color w:val="231F20"/>
          <w:spacing w:val="-9"/>
          <w:w w:val="105"/>
        </w:rPr>
        <w:t xml:space="preserve"> </w:t>
      </w:r>
      <w:r w:rsidR="003115E3">
        <w:rPr>
          <w:color w:val="231F20"/>
          <w:w w:val="105"/>
        </w:rPr>
        <w:t>BGS</w:t>
      </w:r>
      <w:r w:rsidR="003115E3">
        <w:rPr>
          <w:color w:val="231F20"/>
          <w:spacing w:val="-10"/>
          <w:w w:val="105"/>
        </w:rPr>
        <w:t xml:space="preserve"> </w:t>
      </w:r>
      <w:r w:rsidR="003115E3">
        <w:rPr>
          <w:color w:val="231F20"/>
          <w:w w:val="105"/>
        </w:rPr>
        <w:t>are</w:t>
      </w:r>
      <w:r w:rsidR="003115E3">
        <w:rPr>
          <w:color w:val="231F20"/>
          <w:spacing w:val="-10"/>
          <w:w w:val="105"/>
        </w:rPr>
        <w:t xml:space="preserve"> </w:t>
      </w:r>
      <w:r w:rsidR="003115E3">
        <w:rPr>
          <w:color w:val="231F20"/>
          <w:w w:val="105"/>
        </w:rPr>
        <w:t>not</w:t>
      </w:r>
      <w:r w:rsidR="003115E3">
        <w:rPr>
          <w:color w:val="231F20"/>
          <w:spacing w:val="-10"/>
          <w:w w:val="105"/>
        </w:rPr>
        <w:t xml:space="preserve"> </w:t>
      </w:r>
      <w:r w:rsidR="003115E3">
        <w:rPr>
          <w:color w:val="231F20"/>
          <w:w w:val="105"/>
        </w:rPr>
        <w:t>the</w:t>
      </w:r>
      <w:r w:rsidR="003115E3">
        <w:rPr>
          <w:color w:val="231F20"/>
          <w:spacing w:val="-10"/>
          <w:w w:val="105"/>
        </w:rPr>
        <w:t xml:space="preserve"> </w:t>
      </w:r>
      <w:r w:rsidR="003115E3">
        <w:rPr>
          <w:color w:val="231F20"/>
          <w:w w:val="105"/>
        </w:rPr>
        <w:t>people.</w:t>
      </w:r>
      <w:r w:rsidR="003115E3">
        <w:rPr>
          <w:color w:val="231F20"/>
          <w:spacing w:val="-10"/>
          <w:w w:val="105"/>
        </w:rPr>
        <w:t xml:space="preserve"> </w:t>
      </w:r>
      <w:r w:rsidR="003115E3">
        <w:rPr>
          <w:color w:val="231F20"/>
          <w:w w:val="105"/>
        </w:rPr>
        <w:t>Furthermore,</w:t>
      </w:r>
      <w:r w:rsidR="003115E3">
        <w:rPr>
          <w:color w:val="231F20"/>
          <w:spacing w:val="-10"/>
          <w:w w:val="105"/>
        </w:rPr>
        <w:t xml:space="preserve"> </w:t>
      </w:r>
      <w:r w:rsidR="003115E3">
        <w:rPr>
          <w:color w:val="231F20"/>
          <w:w w:val="105"/>
        </w:rPr>
        <w:t>hammering</w:t>
      </w:r>
      <w:r w:rsidR="003115E3">
        <w:rPr>
          <w:color w:val="231F20"/>
          <w:spacing w:val="-14"/>
          <w:w w:val="105"/>
        </w:rPr>
        <w:t xml:space="preserve"> </w:t>
      </w:r>
      <w:r w:rsidR="003115E3">
        <w:rPr>
          <w:color w:val="231F20"/>
          <w:w w:val="105"/>
        </w:rPr>
        <w:t>into</w:t>
      </w:r>
      <w:r w:rsidR="003115E3">
        <w:rPr>
          <w:color w:val="231F20"/>
          <w:spacing w:val="-14"/>
          <w:w w:val="105"/>
        </w:rPr>
        <w:t xml:space="preserve"> </w:t>
      </w:r>
      <w:r w:rsidR="003115E3">
        <w:rPr>
          <w:color w:val="231F20"/>
          <w:w w:val="105"/>
        </w:rPr>
        <w:t>the</w:t>
      </w:r>
      <w:r w:rsidR="003115E3">
        <w:rPr>
          <w:color w:val="231F20"/>
          <w:spacing w:val="-14"/>
          <w:w w:val="105"/>
        </w:rPr>
        <w:t xml:space="preserve"> </w:t>
      </w:r>
      <w:r w:rsidR="003115E3">
        <w:rPr>
          <w:color w:val="231F20"/>
          <w:w w:val="105"/>
        </w:rPr>
        <w:t>people’s</w:t>
      </w:r>
      <w:r w:rsidR="003115E3">
        <w:rPr>
          <w:color w:val="231F20"/>
          <w:spacing w:val="-14"/>
          <w:w w:val="105"/>
        </w:rPr>
        <w:t xml:space="preserve"> </w:t>
      </w:r>
      <w:r w:rsidR="003115E3">
        <w:rPr>
          <w:color w:val="231F20"/>
          <w:w w:val="105"/>
        </w:rPr>
        <w:t>consciousness</w:t>
      </w:r>
      <w:r w:rsidR="003115E3">
        <w:rPr>
          <w:color w:val="231F20"/>
          <w:spacing w:val="-14"/>
          <w:w w:val="105"/>
        </w:rPr>
        <w:t xml:space="preserve"> </w:t>
      </w:r>
      <w:r w:rsidR="003115E3">
        <w:rPr>
          <w:color w:val="231F20"/>
          <w:w w:val="105"/>
        </w:rPr>
        <w:t>the</w:t>
      </w:r>
      <w:r w:rsidR="003115E3">
        <w:rPr>
          <w:color w:val="231F20"/>
          <w:spacing w:val="-14"/>
          <w:w w:val="105"/>
        </w:rPr>
        <w:t xml:space="preserve"> </w:t>
      </w:r>
      <w:r w:rsidR="003115E3">
        <w:rPr>
          <w:color w:val="231F20"/>
          <w:w w:val="105"/>
        </w:rPr>
        <w:t>idea</w:t>
      </w:r>
      <w:r w:rsidR="003115E3">
        <w:rPr>
          <w:color w:val="231F20"/>
          <w:spacing w:val="-14"/>
          <w:w w:val="105"/>
        </w:rPr>
        <w:t xml:space="preserve"> </w:t>
      </w:r>
      <w:r w:rsidR="003115E3">
        <w:rPr>
          <w:color w:val="231F20"/>
          <w:w w:val="105"/>
        </w:rPr>
        <w:t>that</w:t>
      </w:r>
      <w:r w:rsidR="003115E3">
        <w:rPr>
          <w:color w:val="231F20"/>
          <w:spacing w:val="-14"/>
          <w:w w:val="105"/>
        </w:rPr>
        <w:t xml:space="preserve"> </w:t>
      </w:r>
      <w:r w:rsidR="003115E3">
        <w:rPr>
          <w:color w:val="231F20"/>
          <w:w w:val="105"/>
        </w:rPr>
        <w:t>the</w:t>
      </w:r>
      <w:r w:rsidR="003115E3">
        <w:rPr>
          <w:color w:val="231F20"/>
          <w:spacing w:val="-14"/>
          <w:w w:val="105"/>
        </w:rPr>
        <w:t xml:space="preserve"> </w:t>
      </w:r>
      <w:r w:rsidR="003115E3">
        <w:rPr>
          <w:color w:val="231F20"/>
          <w:w w:val="105"/>
        </w:rPr>
        <w:t>policies</w:t>
      </w:r>
      <w:r w:rsidR="003115E3">
        <w:rPr>
          <w:color w:val="231F20"/>
          <w:spacing w:val="-14"/>
          <w:w w:val="105"/>
        </w:rPr>
        <w:t xml:space="preserve"> </w:t>
      </w:r>
      <w:r w:rsidR="003115E3">
        <w:rPr>
          <w:color w:val="231F20"/>
          <w:w w:val="105"/>
        </w:rPr>
        <w:t>of</w:t>
      </w:r>
      <w:r w:rsidR="003115E3">
        <w:rPr>
          <w:color w:val="231F20"/>
          <w:spacing w:val="-14"/>
          <w:w w:val="105"/>
        </w:rPr>
        <w:t xml:space="preserve"> </w:t>
      </w:r>
      <w:r w:rsidR="003115E3">
        <w:rPr>
          <w:color w:val="231F20"/>
          <w:w w:val="105"/>
        </w:rPr>
        <w:t xml:space="preserve">the oil companies, the </w:t>
      </w:r>
      <w:r w:rsidR="003115E3">
        <w:rPr>
          <w:color w:val="231F20"/>
          <w:spacing w:val="3"/>
          <w:w w:val="105"/>
        </w:rPr>
        <w:t xml:space="preserve">CIA, </w:t>
      </w:r>
      <w:r w:rsidR="003115E3">
        <w:rPr>
          <w:color w:val="231F20"/>
          <w:w w:val="105"/>
        </w:rPr>
        <w:t xml:space="preserve">the </w:t>
      </w:r>
      <w:r w:rsidR="003115E3">
        <w:rPr>
          <w:color w:val="231F20"/>
          <w:spacing w:val="1"/>
          <w:w w:val="105"/>
        </w:rPr>
        <w:t xml:space="preserve">BND </w:t>
      </w:r>
      <w:r w:rsidR="003115E3">
        <w:rPr>
          <w:color w:val="231F20"/>
          <w:w w:val="105"/>
        </w:rPr>
        <w:t xml:space="preserve">the </w:t>
      </w:r>
      <w:r w:rsidR="003115E3">
        <w:rPr>
          <w:i/>
          <w:color w:val="231F20"/>
          <w:w w:val="105"/>
        </w:rPr>
        <w:t>Verfassungsschutz</w:t>
      </w:r>
      <w:r w:rsidR="003115E3">
        <w:rPr>
          <w:color w:val="231F20"/>
          <w:w w:val="105"/>
        </w:rPr>
        <w:t xml:space="preserve">, and the </w:t>
      </w:r>
      <w:r w:rsidR="003115E3">
        <w:rPr>
          <w:color w:val="231F20"/>
          <w:spacing w:val="2"/>
          <w:w w:val="105"/>
        </w:rPr>
        <w:t xml:space="preserve">BKA </w:t>
      </w:r>
      <w:r w:rsidR="003115E3">
        <w:rPr>
          <w:color w:val="231F20"/>
        </w:rPr>
        <w:t>are</w:t>
      </w:r>
      <w:r w:rsidR="003115E3">
        <w:rPr>
          <w:color w:val="231F20"/>
          <w:spacing w:val="-8"/>
        </w:rPr>
        <w:t xml:space="preserve"> </w:t>
      </w:r>
      <w:r w:rsidR="003115E3">
        <w:rPr>
          <w:color w:val="231F20"/>
        </w:rPr>
        <w:t>in</w:t>
      </w:r>
      <w:r w:rsidR="003115E3">
        <w:rPr>
          <w:color w:val="231F20"/>
          <w:spacing w:val="-8"/>
        </w:rPr>
        <w:t xml:space="preserve"> </w:t>
      </w:r>
      <w:r w:rsidR="003115E3">
        <w:rPr>
          <w:color w:val="231F20"/>
        </w:rPr>
        <w:t>the</w:t>
      </w:r>
      <w:r w:rsidR="003115E3">
        <w:rPr>
          <w:color w:val="231F20"/>
          <w:spacing w:val="-8"/>
        </w:rPr>
        <w:t xml:space="preserve"> </w:t>
      </w:r>
      <w:r w:rsidR="003115E3">
        <w:rPr>
          <w:color w:val="231F20"/>
        </w:rPr>
        <w:t>interests</w:t>
      </w:r>
      <w:r w:rsidR="003115E3">
        <w:rPr>
          <w:color w:val="231F20"/>
          <w:spacing w:val="-8"/>
        </w:rPr>
        <w:t xml:space="preserve"> </w:t>
      </w:r>
      <w:r w:rsidR="003115E3">
        <w:rPr>
          <w:color w:val="231F20"/>
        </w:rPr>
        <w:t>of</w:t>
      </w:r>
      <w:r w:rsidR="003115E3">
        <w:rPr>
          <w:color w:val="231F20"/>
          <w:spacing w:val="-8"/>
        </w:rPr>
        <w:t xml:space="preserve"> </w:t>
      </w:r>
      <w:r w:rsidR="003115E3">
        <w:rPr>
          <w:color w:val="231F20"/>
        </w:rPr>
        <w:t>the</w:t>
      </w:r>
      <w:r w:rsidR="003115E3">
        <w:rPr>
          <w:color w:val="231F20"/>
          <w:spacing w:val="-8"/>
        </w:rPr>
        <w:t xml:space="preserve"> </w:t>
      </w:r>
      <w:r w:rsidR="003115E3">
        <w:rPr>
          <w:color w:val="231F20"/>
        </w:rPr>
        <w:t>people</w:t>
      </w:r>
      <w:r w:rsidR="003115E3">
        <w:rPr>
          <w:color w:val="231F20"/>
          <w:spacing w:val="-8"/>
        </w:rPr>
        <w:t xml:space="preserve"> </w:t>
      </w:r>
      <w:r w:rsidR="003115E3">
        <w:rPr>
          <w:color w:val="231F20"/>
        </w:rPr>
        <w:t>and</w:t>
      </w:r>
      <w:r w:rsidR="003115E3">
        <w:rPr>
          <w:color w:val="231F20"/>
          <w:spacing w:val="-8"/>
        </w:rPr>
        <w:t xml:space="preserve"> </w:t>
      </w:r>
      <w:r w:rsidR="003115E3">
        <w:rPr>
          <w:color w:val="231F20"/>
        </w:rPr>
        <w:t>that</w:t>
      </w:r>
      <w:r w:rsidR="003115E3">
        <w:rPr>
          <w:color w:val="231F20"/>
          <w:spacing w:val="-8"/>
        </w:rPr>
        <w:t xml:space="preserve"> </w:t>
      </w:r>
      <w:r w:rsidR="003115E3">
        <w:rPr>
          <w:color w:val="231F20"/>
        </w:rPr>
        <w:t>the</w:t>
      </w:r>
      <w:r w:rsidR="003115E3">
        <w:rPr>
          <w:color w:val="231F20"/>
          <w:spacing w:val="-8"/>
        </w:rPr>
        <w:t xml:space="preserve"> </w:t>
      </w:r>
      <w:r w:rsidR="003115E3">
        <w:rPr>
          <w:color w:val="231F20"/>
        </w:rPr>
        <w:t>imperialist</w:t>
      </w:r>
      <w:r w:rsidR="003115E3">
        <w:rPr>
          <w:color w:val="231F20"/>
          <w:spacing w:val="-8"/>
        </w:rPr>
        <w:t xml:space="preserve"> </w:t>
      </w:r>
      <w:r w:rsidR="003115E3">
        <w:rPr>
          <w:color w:val="231F20"/>
        </w:rPr>
        <w:t>state</w:t>
      </w:r>
      <w:r w:rsidR="003115E3">
        <w:rPr>
          <w:color w:val="231F20"/>
          <w:spacing w:val="-8"/>
        </w:rPr>
        <w:t xml:space="preserve"> </w:t>
      </w:r>
      <w:r w:rsidR="003115E3">
        <w:rPr>
          <w:color w:val="231F20"/>
        </w:rPr>
        <w:t xml:space="preserve">represents </w:t>
      </w:r>
      <w:r w:rsidR="003115E3">
        <w:rPr>
          <w:color w:val="231F20"/>
          <w:w w:val="105"/>
        </w:rPr>
        <w:t>the</w:t>
      </w:r>
      <w:r w:rsidR="003115E3">
        <w:rPr>
          <w:color w:val="231F20"/>
          <w:spacing w:val="-13"/>
          <w:w w:val="105"/>
        </w:rPr>
        <w:t xml:space="preserve"> </w:t>
      </w:r>
      <w:r w:rsidR="003115E3">
        <w:rPr>
          <w:color w:val="231F20"/>
          <w:w w:val="105"/>
        </w:rPr>
        <w:t>common</w:t>
      </w:r>
      <w:r w:rsidR="003115E3">
        <w:rPr>
          <w:color w:val="231F20"/>
          <w:spacing w:val="-13"/>
          <w:w w:val="105"/>
        </w:rPr>
        <w:t xml:space="preserve"> </w:t>
      </w:r>
      <w:r w:rsidR="003115E3">
        <w:rPr>
          <w:color w:val="231F20"/>
          <w:w w:val="105"/>
        </w:rPr>
        <w:t>good</w:t>
      </w:r>
      <w:r w:rsidR="003115E3">
        <w:rPr>
          <w:color w:val="231F20"/>
          <w:spacing w:val="-13"/>
          <w:w w:val="105"/>
        </w:rPr>
        <w:t xml:space="preserve"> </w:t>
      </w:r>
      <w:r w:rsidR="003115E3">
        <w:rPr>
          <w:color w:val="231F20"/>
          <w:w w:val="105"/>
        </w:rPr>
        <w:t>is</w:t>
      </w:r>
      <w:r w:rsidR="003115E3">
        <w:rPr>
          <w:color w:val="231F20"/>
          <w:spacing w:val="-13"/>
          <w:w w:val="105"/>
        </w:rPr>
        <w:t xml:space="preserve"> </w:t>
      </w:r>
      <w:r w:rsidR="003115E3">
        <w:rPr>
          <w:color w:val="231F20"/>
          <w:w w:val="105"/>
        </w:rPr>
        <w:t>the</w:t>
      </w:r>
      <w:r w:rsidR="003115E3">
        <w:rPr>
          <w:color w:val="231F20"/>
          <w:spacing w:val="-13"/>
          <w:w w:val="105"/>
        </w:rPr>
        <w:t xml:space="preserve"> </w:t>
      </w:r>
      <w:r w:rsidR="003115E3">
        <w:rPr>
          <w:color w:val="231F20"/>
          <w:w w:val="105"/>
        </w:rPr>
        <w:t>function</w:t>
      </w:r>
      <w:r w:rsidR="003115E3">
        <w:rPr>
          <w:color w:val="231F20"/>
          <w:spacing w:val="-13"/>
          <w:w w:val="105"/>
        </w:rPr>
        <w:t xml:space="preserve"> </w:t>
      </w:r>
      <w:r w:rsidR="003115E3">
        <w:rPr>
          <w:color w:val="231F20"/>
          <w:w w:val="105"/>
        </w:rPr>
        <w:t>of</w:t>
      </w:r>
      <w:r w:rsidR="003115E3">
        <w:rPr>
          <w:color w:val="231F20"/>
          <w:spacing w:val="-12"/>
          <w:w w:val="105"/>
        </w:rPr>
        <w:t xml:space="preserve"> </w:t>
      </w:r>
      <w:r w:rsidR="003115E3">
        <w:rPr>
          <w:i/>
          <w:color w:val="231F20"/>
          <w:w w:val="105"/>
        </w:rPr>
        <w:t>Bild,</w:t>
      </w:r>
      <w:r w:rsidR="003115E3">
        <w:rPr>
          <w:i/>
          <w:color w:val="231F20"/>
          <w:spacing w:val="-13"/>
          <w:w w:val="105"/>
        </w:rPr>
        <w:t xml:space="preserve"> </w:t>
      </w:r>
      <w:r w:rsidR="003115E3">
        <w:rPr>
          <w:i/>
          <w:color w:val="231F20"/>
          <w:w w:val="105"/>
        </w:rPr>
        <w:t>Spiegel,</w:t>
      </w:r>
      <w:r w:rsidR="003115E3">
        <w:rPr>
          <w:i/>
          <w:color w:val="231F20"/>
          <w:spacing w:val="-13"/>
          <w:w w:val="105"/>
        </w:rPr>
        <w:t xml:space="preserve"> </w:t>
      </w:r>
      <w:r w:rsidR="003115E3">
        <w:rPr>
          <w:color w:val="231F20"/>
          <w:w w:val="105"/>
        </w:rPr>
        <w:t>and</w:t>
      </w:r>
      <w:r w:rsidR="003115E3">
        <w:rPr>
          <w:color w:val="231F20"/>
          <w:spacing w:val="-13"/>
          <w:w w:val="105"/>
        </w:rPr>
        <w:t xml:space="preserve"> </w:t>
      </w:r>
      <w:r w:rsidR="003115E3">
        <w:rPr>
          <w:color w:val="231F20"/>
          <w:w w:val="105"/>
        </w:rPr>
        <w:t>the</w:t>
      </w:r>
      <w:r w:rsidR="003115E3">
        <w:rPr>
          <w:color w:val="231F20"/>
          <w:spacing w:val="-13"/>
          <w:w w:val="105"/>
        </w:rPr>
        <w:t xml:space="preserve"> </w:t>
      </w:r>
      <w:r w:rsidR="003115E3">
        <w:rPr>
          <w:color w:val="231F20"/>
          <w:w w:val="105"/>
        </w:rPr>
        <w:t>psychological war waged by state security against the people and against</w:t>
      </w:r>
      <w:r w:rsidR="003115E3">
        <w:rPr>
          <w:color w:val="231F20"/>
          <w:spacing w:val="-21"/>
          <w:w w:val="105"/>
        </w:rPr>
        <w:t xml:space="preserve"> </w:t>
      </w:r>
      <w:r w:rsidR="003115E3">
        <w:rPr>
          <w:color w:val="231F20"/>
          <w:w w:val="105"/>
        </w:rPr>
        <w:t>us.</w:t>
      </w:r>
    </w:p>
    <w:p w14:paraId="4611E5CF" w14:textId="77777777" w:rsidR="002653E8" w:rsidRDefault="002653E8">
      <w:pPr>
        <w:pStyle w:val="a3"/>
        <w:spacing w:before="9"/>
      </w:pPr>
    </w:p>
    <w:p w14:paraId="37AA1F40" w14:textId="77777777" w:rsidR="002653E8" w:rsidRDefault="003115E3">
      <w:pPr>
        <w:pStyle w:val="a3"/>
        <w:spacing w:line="264" w:lineRule="auto"/>
        <w:ind w:left="1147" w:right="1326"/>
        <w:jc w:val="both"/>
      </w:pPr>
      <w:r>
        <w:rPr>
          <w:i/>
          <w:color w:val="231F20"/>
        </w:rPr>
        <w:t>Spiegel</w:t>
      </w:r>
      <w:r>
        <w:rPr>
          <w:color w:val="231F20"/>
        </w:rPr>
        <w:t xml:space="preserve">: </w:t>
      </w:r>
      <w:r>
        <w:rPr>
          <w:color w:val="231F20"/>
          <w:spacing w:val="-6"/>
        </w:rPr>
        <w:t xml:space="preserve">Vox </w:t>
      </w:r>
      <w:r>
        <w:rPr>
          <w:color w:val="231F20"/>
        </w:rPr>
        <w:t xml:space="preserve">populi, </w:t>
      </w:r>
      <w:r>
        <w:rPr>
          <w:color w:val="231F20"/>
          <w:spacing w:val="-3"/>
        </w:rPr>
        <w:t xml:space="preserve">vox </w:t>
      </w:r>
      <w:r w:rsidR="00C507A5">
        <w:rPr>
          <w:color w:val="231F20"/>
          <w:spacing w:val="2"/>
        </w:rPr>
        <w:t>red army faction</w:t>
      </w:r>
      <w:r>
        <w:rPr>
          <w:color w:val="231F20"/>
          <w:spacing w:val="2"/>
        </w:rPr>
        <w:t xml:space="preserve">? </w:t>
      </w:r>
      <w:r>
        <w:rPr>
          <w:color w:val="231F20"/>
          <w:spacing w:val="-3"/>
        </w:rPr>
        <w:t xml:space="preserve">Haven’t  </w:t>
      </w:r>
      <w:r>
        <w:rPr>
          <w:color w:val="231F20"/>
        </w:rPr>
        <w:t xml:space="preserve">you  noticed  that  nobody  takes to the streets for you anymore? When there is a </w:t>
      </w:r>
      <w:r w:rsidR="00C507A5">
        <w:rPr>
          <w:color w:val="231F20"/>
          <w:spacing w:val="5"/>
        </w:rPr>
        <w:t>red army faction</w:t>
      </w:r>
      <w:r>
        <w:rPr>
          <w:color w:val="231F20"/>
          <w:spacing w:val="5"/>
        </w:rPr>
        <w:t xml:space="preserve"> </w:t>
      </w:r>
      <w:r>
        <w:rPr>
          <w:color w:val="231F20"/>
        </w:rPr>
        <w:t xml:space="preserve">trial, hardly anyone shows up in court. </w:t>
      </w:r>
      <w:r>
        <w:rPr>
          <w:color w:val="231F20"/>
          <w:spacing w:val="-3"/>
        </w:rPr>
        <w:t xml:space="preserve">Haven’t </w:t>
      </w:r>
      <w:r>
        <w:rPr>
          <w:color w:val="231F20"/>
        </w:rPr>
        <w:t xml:space="preserve">you noticed that from the moment you began throwing bombs nobody  has  been  willing  to  shelter  you?  </w:t>
      </w:r>
      <w:r>
        <w:rPr>
          <w:color w:val="231F20"/>
          <w:spacing w:val="1"/>
        </w:rPr>
        <w:t xml:space="preserve">All </w:t>
      </w:r>
      <w:r>
        <w:rPr>
          <w:color w:val="231F20"/>
        </w:rPr>
        <w:t xml:space="preserve">of which goes some </w:t>
      </w:r>
      <w:r>
        <w:rPr>
          <w:color w:val="231F20"/>
          <w:spacing w:val="-2"/>
        </w:rPr>
        <w:t xml:space="preserve">way </w:t>
      </w:r>
      <w:r>
        <w:rPr>
          <w:color w:val="231F20"/>
        </w:rPr>
        <w:t>to explaining the successes in the hunt</w:t>
      </w:r>
      <w:r>
        <w:rPr>
          <w:color w:val="231F20"/>
          <w:spacing w:val="-10"/>
        </w:rPr>
        <w:t xml:space="preserve"> </w:t>
      </w:r>
      <w:r>
        <w:rPr>
          <w:color w:val="231F20"/>
        </w:rPr>
        <w:t>for</w:t>
      </w:r>
    </w:p>
    <w:p w14:paraId="147DA70E" w14:textId="77777777" w:rsidR="002653E8" w:rsidRDefault="002653E8">
      <w:pPr>
        <w:spacing w:line="264" w:lineRule="auto"/>
        <w:jc w:val="both"/>
        <w:sectPr w:rsidR="002653E8">
          <w:pgSz w:w="8640" w:h="12960"/>
          <w:pgMar w:top="1060" w:right="0" w:bottom="1040" w:left="0" w:header="0" w:footer="850" w:gutter="0"/>
          <w:cols w:space="720"/>
        </w:sectPr>
      </w:pPr>
    </w:p>
    <w:p w14:paraId="337E7E88" w14:textId="77777777" w:rsidR="002653E8" w:rsidRDefault="003115E3">
      <w:pPr>
        <w:pStyle w:val="a3"/>
        <w:spacing w:before="86" w:line="264" w:lineRule="auto"/>
        <w:ind w:left="1327" w:right="1145"/>
        <w:jc w:val="both"/>
      </w:pPr>
      <w:r>
        <w:rPr>
          <w:color w:val="231F20"/>
        </w:rPr>
        <w:lastRenderedPageBreak/>
        <w:t xml:space="preserve">the </w:t>
      </w:r>
      <w:r w:rsidR="00C507A5">
        <w:rPr>
          <w:color w:val="231F20"/>
        </w:rPr>
        <w:t>red army faction</w:t>
      </w:r>
      <w:r>
        <w:rPr>
          <w:color w:val="231F20"/>
        </w:rPr>
        <w:t xml:space="preserve"> since 1972. It is you and not Böll who have contempt for the people.</w:t>
      </w:r>
    </w:p>
    <w:p w14:paraId="16C8F4F6" w14:textId="77777777" w:rsidR="002653E8" w:rsidRDefault="002653E8">
      <w:pPr>
        <w:pStyle w:val="a3"/>
        <w:spacing w:before="9"/>
        <w:rPr>
          <w:sz w:val="21"/>
        </w:rPr>
      </w:pPr>
    </w:p>
    <w:p w14:paraId="366A34C5" w14:textId="77777777" w:rsidR="002653E8" w:rsidRDefault="00C507A5">
      <w:pPr>
        <w:pStyle w:val="a3"/>
        <w:spacing w:line="264" w:lineRule="auto"/>
        <w:ind w:left="1327" w:right="1146"/>
        <w:jc w:val="both"/>
      </w:pPr>
      <w:r>
        <w:rPr>
          <w:color w:val="231F20"/>
          <w:spacing w:val="1"/>
        </w:rPr>
        <w:t>red army faction</w:t>
      </w:r>
      <w:r w:rsidR="003115E3">
        <w:rPr>
          <w:color w:val="231F20"/>
          <w:spacing w:val="1"/>
        </w:rPr>
        <w:t xml:space="preserve">: </w:t>
      </w:r>
      <w:r w:rsidR="003115E3">
        <w:rPr>
          <w:color w:val="231F20"/>
          <w:spacing w:val="-3"/>
        </w:rPr>
        <w:t xml:space="preserve">It’s </w:t>
      </w:r>
      <w:r w:rsidR="003115E3">
        <w:rPr>
          <w:color w:val="231F20"/>
        </w:rPr>
        <w:t>nice of you to repeat Hacker’s clichés, but the situation is this:  a tactically weak and divided legal left, facing heavy repression in the national context, cannot transform the reactionary mobilization into one that is revolutionary. This is not on their agenda. It is precisely because of this contradiction that proletarian politics must be armed politics.</w:t>
      </w:r>
    </w:p>
    <w:p w14:paraId="23773446" w14:textId="77777777" w:rsidR="002653E8" w:rsidRDefault="003115E3">
      <w:pPr>
        <w:pStyle w:val="a3"/>
        <w:spacing w:line="264" w:lineRule="auto"/>
        <w:ind w:left="1327" w:right="1147" w:firstLine="210"/>
        <w:jc w:val="both"/>
      </w:pPr>
      <w:r>
        <w:rPr>
          <w:color w:val="231F20"/>
        </w:rPr>
        <w:t>The understanding of strategy and class analysis contained in your silly polemic can be repudiated by examining these facts.</w:t>
      </w:r>
    </w:p>
    <w:p w14:paraId="2F1D1894" w14:textId="77777777" w:rsidR="002653E8" w:rsidRDefault="003115E3">
      <w:pPr>
        <w:pStyle w:val="a3"/>
        <w:spacing w:line="264" w:lineRule="auto"/>
        <w:ind w:left="1327" w:right="1147" w:firstLine="209"/>
        <w:jc w:val="both"/>
        <w:rPr>
          <w:sz w:val="11"/>
        </w:rPr>
      </w:pPr>
      <w:r>
        <w:rPr>
          <w:color w:val="231F20"/>
        </w:rPr>
        <w:t xml:space="preserve">The </w:t>
      </w:r>
      <w:r w:rsidR="00C507A5">
        <w:rPr>
          <w:color w:val="231F20"/>
        </w:rPr>
        <w:t>red army faction</w:t>
      </w:r>
      <w:r>
        <w:rPr>
          <w:color w:val="231F20"/>
        </w:rPr>
        <w:t xml:space="preserve">, its politics, its line, and  its  actions  are  proletarian,  and  are the first stages of proletarian counterviolence. The struggle has just begun. </w:t>
      </w:r>
      <w:r>
        <w:rPr>
          <w:color w:val="231F20"/>
          <w:spacing w:val="-7"/>
        </w:rPr>
        <w:t xml:space="preserve">you </w:t>
      </w:r>
      <w:r>
        <w:rPr>
          <w:color w:val="231F20"/>
        </w:rPr>
        <w:t xml:space="preserve">talk about the fact that some of us are prisoners—this is  only a setback. </w:t>
      </w:r>
      <w:r>
        <w:rPr>
          <w:color w:val="231F20"/>
          <w:spacing w:val="-7"/>
        </w:rPr>
        <w:t xml:space="preserve">you </w:t>
      </w:r>
      <w:r>
        <w:rPr>
          <w:color w:val="231F20"/>
          <w:spacing w:val="-3"/>
        </w:rPr>
        <w:t xml:space="preserve">don’t </w:t>
      </w:r>
      <w:r>
        <w:rPr>
          <w:color w:val="231F20"/>
        </w:rPr>
        <w:t xml:space="preserve">talk about the political price the imperialist state has paid hunting this little unit, the </w:t>
      </w:r>
      <w:r w:rsidR="00C507A5">
        <w:rPr>
          <w:color w:val="231F20"/>
        </w:rPr>
        <w:t>red army faction</w:t>
      </w:r>
      <w:r>
        <w:rPr>
          <w:color w:val="231F20"/>
        </w:rPr>
        <w:t xml:space="preserve">. Because one of the goals of revolutionary action—its tactic at this point in its development—is  to force the state to show itself, to force a reaction from the repres   sive structure, so that the tools of repression become obvious and can be transformed into the basis for struggle in a revolutionary initiative. Marx said: “Revolution progresses by giving rise to a powerful, united counterrevolution, by the creation of an opponent through which the </w:t>
      </w:r>
      <w:r>
        <w:rPr>
          <w:color w:val="231F20"/>
          <w:spacing w:val="1"/>
        </w:rPr>
        <w:t>party</w:t>
      </w:r>
      <w:r>
        <w:rPr>
          <w:color w:val="231F20"/>
          <w:spacing w:val="11"/>
        </w:rPr>
        <w:t xml:space="preserve"> </w:t>
      </w:r>
      <w:r>
        <w:rPr>
          <w:color w:val="231F20"/>
        </w:rPr>
        <w:t>of</w:t>
      </w:r>
      <w:r>
        <w:rPr>
          <w:color w:val="231F20"/>
          <w:spacing w:val="11"/>
        </w:rPr>
        <w:t xml:space="preserve"> </w:t>
      </w:r>
      <w:r>
        <w:rPr>
          <w:color w:val="231F20"/>
        </w:rPr>
        <w:t>revolt</w:t>
      </w:r>
      <w:r>
        <w:rPr>
          <w:color w:val="231F20"/>
          <w:spacing w:val="11"/>
        </w:rPr>
        <w:t xml:space="preserve"> </w:t>
      </w:r>
      <w:r>
        <w:rPr>
          <w:color w:val="231F20"/>
        </w:rPr>
        <w:t>will</w:t>
      </w:r>
      <w:r>
        <w:rPr>
          <w:color w:val="231F20"/>
          <w:spacing w:val="11"/>
        </w:rPr>
        <w:t xml:space="preserve"> </w:t>
      </w:r>
      <w:r>
        <w:rPr>
          <w:color w:val="231F20"/>
        </w:rPr>
        <w:t>ripen</w:t>
      </w:r>
      <w:r>
        <w:rPr>
          <w:color w:val="231F20"/>
          <w:spacing w:val="11"/>
        </w:rPr>
        <w:t xml:space="preserve"> </w:t>
      </w:r>
      <w:r>
        <w:rPr>
          <w:color w:val="231F20"/>
        </w:rPr>
        <w:t>into</w:t>
      </w:r>
      <w:r>
        <w:rPr>
          <w:color w:val="231F20"/>
          <w:spacing w:val="11"/>
        </w:rPr>
        <w:t xml:space="preserve"> </w:t>
      </w:r>
      <w:r>
        <w:rPr>
          <w:color w:val="231F20"/>
        </w:rPr>
        <w:t>a</w:t>
      </w:r>
      <w:r>
        <w:rPr>
          <w:color w:val="231F20"/>
          <w:spacing w:val="11"/>
        </w:rPr>
        <w:t xml:space="preserve"> </w:t>
      </w:r>
      <w:r>
        <w:rPr>
          <w:color w:val="231F20"/>
        </w:rPr>
        <w:t>real</w:t>
      </w:r>
      <w:r>
        <w:rPr>
          <w:color w:val="231F20"/>
          <w:spacing w:val="11"/>
        </w:rPr>
        <w:t xml:space="preserve"> </w:t>
      </w:r>
      <w:r>
        <w:rPr>
          <w:color w:val="231F20"/>
        </w:rPr>
        <w:t>revolutionary</w:t>
      </w:r>
      <w:r>
        <w:rPr>
          <w:color w:val="231F20"/>
          <w:spacing w:val="11"/>
        </w:rPr>
        <w:t xml:space="preserve"> </w:t>
      </w:r>
      <w:r>
        <w:rPr>
          <w:color w:val="231F20"/>
          <w:spacing w:val="-4"/>
        </w:rPr>
        <w:t>one.”</w:t>
      </w:r>
      <w:r>
        <w:rPr>
          <w:color w:val="231F20"/>
          <w:spacing w:val="-4"/>
          <w:position w:val="7"/>
          <w:sz w:val="11"/>
        </w:rPr>
        <w:t>1</w:t>
      </w:r>
    </w:p>
    <w:p w14:paraId="0A44B39F" w14:textId="77777777" w:rsidR="002653E8" w:rsidRDefault="003115E3">
      <w:pPr>
        <w:pStyle w:val="a3"/>
        <w:spacing w:line="221" w:lineRule="exact"/>
        <w:ind w:left="1537"/>
      </w:pPr>
      <w:r>
        <w:rPr>
          <w:color w:val="231F20"/>
        </w:rPr>
        <w:t>The surprising thing is not that we suffered a defeat, but that five</w:t>
      </w:r>
    </w:p>
    <w:p w14:paraId="08AB83AD" w14:textId="77777777" w:rsidR="002653E8" w:rsidRDefault="00000000">
      <w:pPr>
        <w:pStyle w:val="a3"/>
        <w:spacing w:before="14" w:line="264" w:lineRule="auto"/>
        <w:ind w:left="1327" w:right="1145"/>
        <w:jc w:val="both"/>
      </w:pPr>
      <w:r>
        <w:rPr>
          <w:noProof w:val="0"/>
        </w:rPr>
        <w:pict w14:anchorId="5227EC3B">
          <v:line id="_x0000_s2349" style="position:absolute;left:0;text-align:left;z-index:7288;mso-wrap-distance-left:0;mso-wrap-distance-right:0;mso-position-horizontal-relative:page" from="66.4pt,161.9pt" to="138.4pt,161.9pt" strokecolor="#231f20" strokeweight=".5pt">
            <w10:wrap type="topAndBottom" anchorx="page"/>
          </v:line>
        </w:pict>
      </w:r>
      <w:r w:rsidR="003115E3">
        <w:rPr>
          <w:color w:val="231F20"/>
        </w:rPr>
        <w:t xml:space="preserve">years later the </w:t>
      </w:r>
      <w:r w:rsidR="00C507A5">
        <w:rPr>
          <w:color w:val="231F20"/>
          <w:spacing w:val="5"/>
        </w:rPr>
        <w:t>red army faction</w:t>
      </w:r>
      <w:r w:rsidR="003115E3">
        <w:rPr>
          <w:color w:val="231F20"/>
          <w:spacing w:val="5"/>
        </w:rPr>
        <w:t xml:space="preserve"> </w:t>
      </w:r>
      <w:r w:rsidR="003115E3">
        <w:rPr>
          <w:color w:val="231F20"/>
        </w:rPr>
        <w:t xml:space="preserve">is still here. The facts to which the government alludes have changed. </w:t>
      </w:r>
      <w:r w:rsidR="003115E3">
        <w:rPr>
          <w:color w:val="231F20"/>
          <w:spacing w:val="1"/>
        </w:rPr>
        <w:t xml:space="preserve">In </w:t>
      </w:r>
      <w:r w:rsidR="003115E3">
        <w:rPr>
          <w:color w:val="231F20"/>
        </w:rPr>
        <w:t xml:space="preserve">answer to a poll in </w:t>
      </w:r>
      <w:r w:rsidR="003115E3">
        <w:rPr>
          <w:color w:val="231F20"/>
          <w:spacing w:val="-3"/>
        </w:rPr>
        <w:t xml:space="preserve">1972, </w:t>
      </w:r>
      <w:r w:rsidR="003115E3">
        <w:rPr>
          <w:color w:val="231F20"/>
        </w:rPr>
        <w:t>20</w:t>
      </w:r>
      <w:r w:rsidR="003115E3">
        <w:rPr>
          <w:color w:val="231F20"/>
          <w:sz w:val="16"/>
        </w:rPr>
        <w:t xml:space="preserve">% </w:t>
      </w:r>
      <w:r w:rsidR="003115E3">
        <w:rPr>
          <w:color w:val="231F20"/>
        </w:rPr>
        <w:t xml:space="preserve">of adults said that they would hide one of us at their home for a night, even if it meant risking criminal charges. </w:t>
      </w:r>
      <w:r w:rsidR="003115E3">
        <w:rPr>
          <w:color w:val="231F20"/>
          <w:spacing w:val="1"/>
        </w:rPr>
        <w:t xml:space="preserve">In </w:t>
      </w:r>
      <w:r w:rsidR="003115E3">
        <w:rPr>
          <w:color w:val="231F20"/>
          <w:spacing w:val="-5"/>
        </w:rPr>
        <w:t xml:space="preserve">1973, </w:t>
      </w:r>
      <w:r w:rsidR="003115E3">
        <w:rPr>
          <w:color w:val="231F20"/>
        </w:rPr>
        <w:t xml:space="preserve">a poll of high schools found that </w:t>
      </w:r>
      <w:r w:rsidR="003115E3">
        <w:rPr>
          <w:color w:val="231F20"/>
          <w:spacing w:val="-8"/>
        </w:rPr>
        <w:t>15</w:t>
      </w:r>
      <w:r w:rsidR="003115E3">
        <w:rPr>
          <w:color w:val="231F20"/>
          <w:spacing w:val="-8"/>
          <w:sz w:val="16"/>
        </w:rPr>
        <w:t xml:space="preserve">%  </w:t>
      </w:r>
      <w:r w:rsidR="003115E3">
        <w:rPr>
          <w:color w:val="231F20"/>
        </w:rPr>
        <w:t xml:space="preserve">of high school students identified with  the  </w:t>
      </w:r>
      <w:r w:rsidR="00C507A5">
        <w:rPr>
          <w:color w:val="231F20"/>
          <w:spacing w:val="1"/>
        </w:rPr>
        <w:t>red army faction</w:t>
      </w:r>
      <w:r w:rsidR="003115E3">
        <w:rPr>
          <w:color w:val="231F20"/>
          <w:spacing w:val="1"/>
        </w:rPr>
        <w:t xml:space="preserve">’s  </w:t>
      </w:r>
      <w:r w:rsidR="003115E3">
        <w:rPr>
          <w:color w:val="231F20"/>
        </w:rPr>
        <w:t>actions.  Of  course the value of revolutionary politics cannot be measured through opinion polls, as one cannot quantify the processes of becoming conscious, of gaining knowledge, and of becoming politicized. But this does  show how the concept of armed insurrection develops into protracted peo</w:t>
      </w:r>
      <w:r w:rsidR="003115E3">
        <w:rPr>
          <w:color w:val="231F20"/>
          <w:spacing w:val="-3"/>
        </w:rPr>
        <w:t xml:space="preserve">ple’s </w:t>
      </w:r>
      <w:r w:rsidR="003115E3">
        <w:rPr>
          <w:color w:val="231F20"/>
        </w:rPr>
        <w:t>war—this shows that through the struggle against the imperialist power structure, the people will eventually recognize their role and will break</w:t>
      </w:r>
      <w:r w:rsidR="003115E3">
        <w:rPr>
          <w:color w:val="231F20"/>
          <w:spacing w:val="20"/>
        </w:rPr>
        <w:t xml:space="preserve"> </w:t>
      </w:r>
      <w:r w:rsidR="003115E3">
        <w:rPr>
          <w:color w:val="231F20"/>
        </w:rPr>
        <w:t>free</w:t>
      </w:r>
      <w:r w:rsidR="003115E3">
        <w:rPr>
          <w:color w:val="231F20"/>
          <w:spacing w:val="20"/>
        </w:rPr>
        <w:t xml:space="preserve"> </w:t>
      </w:r>
      <w:r w:rsidR="003115E3">
        <w:rPr>
          <w:color w:val="231F20"/>
        </w:rPr>
        <w:t>from</w:t>
      </w:r>
      <w:r w:rsidR="003115E3">
        <w:rPr>
          <w:color w:val="231F20"/>
          <w:spacing w:val="20"/>
        </w:rPr>
        <w:t xml:space="preserve"> </w:t>
      </w:r>
      <w:r w:rsidR="003115E3">
        <w:rPr>
          <w:color w:val="231F20"/>
        </w:rPr>
        <w:t>media</w:t>
      </w:r>
      <w:r w:rsidR="003115E3">
        <w:rPr>
          <w:color w:val="231F20"/>
          <w:spacing w:val="20"/>
        </w:rPr>
        <w:t xml:space="preserve"> </w:t>
      </w:r>
      <w:r w:rsidR="003115E3">
        <w:rPr>
          <w:color w:val="231F20"/>
        </w:rPr>
        <w:t>brainwashing—because</w:t>
      </w:r>
      <w:r w:rsidR="003115E3">
        <w:rPr>
          <w:color w:val="231F20"/>
          <w:spacing w:val="20"/>
        </w:rPr>
        <w:t xml:space="preserve"> </w:t>
      </w:r>
      <w:r w:rsidR="003115E3">
        <w:rPr>
          <w:color w:val="231F20"/>
        </w:rPr>
        <w:t>our</w:t>
      </w:r>
      <w:r w:rsidR="003115E3">
        <w:rPr>
          <w:color w:val="231F20"/>
          <w:spacing w:val="20"/>
        </w:rPr>
        <w:t xml:space="preserve"> </w:t>
      </w:r>
      <w:r w:rsidR="003115E3">
        <w:rPr>
          <w:color w:val="231F20"/>
        </w:rPr>
        <w:t>battle</w:t>
      </w:r>
      <w:r w:rsidR="003115E3">
        <w:rPr>
          <w:color w:val="231F20"/>
          <w:spacing w:val="20"/>
        </w:rPr>
        <w:t xml:space="preserve"> </w:t>
      </w:r>
      <w:r w:rsidR="003115E3">
        <w:rPr>
          <w:color w:val="231F20"/>
        </w:rPr>
        <w:t>is</w:t>
      </w:r>
      <w:r w:rsidR="003115E3">
        <w:rPr>
          <w:color w:val="231F20"/>
          <w:spacing w:val="20"/>
        </w:rPr>
        <w:t xml:space="preserve"> </w:t>
      </w:r>
      <w:r w:rsidR="003115E3">
        <w:rPr>
          <w:color w:val="231F20"/>
        </w:rPr>
        <w:t>a</w:t>
      </w:r>
      <w:r w:rsidR="003115E3">
        <w:rPr>
          <w:color w:val="231F20"/>
          <w:spacing w:val="20"/>
        </w:rPr>
        <w:t xml:space="preserve"> </w:t>
      </w:r>
      <w:r w:rsidR="003115E3">
        <w:rPr>
          <w:color w:val="231F20"/>
        </w:rPr>
        <w:t>realistic</w:t>
      </w:r>
    </w:p>
    <w:p w14:paraId="36E73E11" w14:textId="77777777" w:rsidR="002653E8" w:rsidRDefault="003115E3">
      <w:pPr>
        <w:spacing w:before="53" w:line="254" w:lineRule="auto"/>
        <w:ind w:left="1327" w:right="1275"/>
        <w:rPr>
          <w:sz w:val="16"/>
        </w:rPr>
      </w:pPr>
      <w:r>
        <w:rPr>
          <w:color w:val="231F20"/>
          <w:sz w:val="16"/>
        </w:rPr>
        <w:t xml:space="preserve">1 </w:t>
      </w:r>
      <w:r>
        <w:rPr>
          <w:color w:val="231F20"/>
          <w:spacing w:val="1"/>
          <w:sz w:val="16"/>
        </w:rPr>
        <w:t xml:space="preserve">This </w:t>
      </w:r>
      <w:r>
        <w:rPr>
          <w:color w:val="231F20"/>
          <w:sz w:val="16"/>
        </w:rPr>
        <w:t xml:space="preserve">is a rough quote from “The Class  Struggles  in  France,”  a  series  of  articles which </w:t>
      </w:r>
      <w:r>
        <w:rPr>
          <w:color w:val="231F20"/>
          <w:spacing w:val="1"/>
          <w:sz w:val="16"/>
        </w:rPr>
        <w:t xml:space="preserve">Marx </w:t>
      </w:r>
      <w:r>
        <w:rPr>
          <w:color w:val="231F20"/>
          <w:sz w:val="16"/>
        </w:rPr>
        <w:t xml:space="preserve">wrote in </w:t>
      </w:r>
      <w:r>
        <w:rPr>
          <w:color w:val="231F20"/>
          <w:spacing w:val="-5"/>
          <w:sz w:val="16"/>
        </w:rPr>
        <w:t xml:space="preserve">1850 </w:t>
      </w:r>
      <w:r>
        <w:rPr>
          <w:color w:val="231F20"/>
          <w:sz w:val="16"/>
        </w:rPr>
        <w:t xml:space="preserve">about the </w:t>
      </w:r>
      <w:r>
        <w:rPr>
          <w:color w:val="231F20"/>
          <w:spacing w:val="-4"/>
          <w:sz w:val="16"/>
        </w:rPr>
        <w:t xml:space="preserve">1848-1849 </w:t>
      </w:r>
      <w:r>
        <w:rPr>
          <w:color w:val="231F20"/>
          <w:sz w:val="16"/>
        </w:rPr>
        <w:t xml:space="preserve">revolution and counter-revolution </w:t>
      </w:r>
      <w:r>
        <w:rPr>
          <w:color w:val="231F20"/>
          <w:spacing w:val="3"/>
          <w:w w:val="103"/>
          <w:sz w:val="16"/>
        </w:rPr>
        <w:t>i</w:t>
      </w:r>
      <w:r>
        <w:rPr>
          <w:color w:val="231F20"/>
          <w:w w:val="103"/>
          <w:sz w:val="16"/>
        </w:rPr>
        <w:t>n</w:t>
      </w:r>
      <w:r>
        <w:rPr>
          <w:color w:val="231F20"/>
          <w:spacing w:val="10"/>
          <w:sz w:val="16"/>
        </w:rPr>
        <w:t xml:space="preserve"> </w:t>
      </w:r>
      <w:r>
        <w:rPr>
          <w:color w:val="231F20"/>
          <w:spacing w:val="-1"/>
          <w:w w:val="107"/>
          <w:sz w:val="16"/>
        </w:rPr>
        <w:t>F</w:t>
      </w:r>
      <w:r>
        <w:rPr>
          <w:color w:val="231F20"/>
          <w:w w:val="97"/>
          <w:sz w:val="16"/>
        </w:rPr>
        <w:t>r</w:t>
      </w:r>
      <w:r>
        <w:rPr>
          <w:color w:val="231F20"/>
          <w:spacing w:val="3"/>
          <w:w w:val="106"/>
          <w:sz w:val="16"/>
        </w:rPr>
        <w:t>a</w:t>
      </w:r>
      <w:r>
        <w:rPr>
          <w:color w:val="231F20"/>
          <w:w w:val="103"/>
          <w:sz w:val="16"/>
        </w:rPr>
        <w:t>n</w:t>
      </w:r>
      <w:r>
        <w:rPr>
          <w:color w:val="231F20"/>
          <w:spacing w:val="2"/>
          <w:w w:val="104"/>
          <w:sz w:val="16"/>
        </w:rPr>
        <w:t>c</w:t>
      </w:r>
      <w:r>
        <w:rPr>
          <w:color w:val="231F20"/>
          <w:w w:val="94"/>
          <w:sz w:val="16"/>
        </w:rPr>
        <w:t>e</w:t>
      </w:r>
      <w:r>
        <w:rPr>
          <w:color w:val="231F20"/>
          <w:w w:val="140"/>
          <w:sz w:val="16"/>
        </w:rPr>
        <w:t>.</w:t>
      </w:r>
      <w:r>
        <w:rPr>
          <w:color w:val="231F20"/>
          <w:spacing w:val="10"/>
          <w:sz w:val="16"/>
        </w:rPr>
        <w:t xml:space="preserve"> </w:t>
      </w:r>
      <w:r>
        <w:rPr>
          <w:color w:val="231F20"/>
          <w:spacing w:val="5"/>
          <w:w w:val="116"/>
          <w:sz w:val="16"/>
        </w:rPr>
        <w:t>T</w:t>
      </w:r>
      <w:r>
        <w:rPr>
          <w:color w:val="231F20"/>
          <w:w w:val="104"/>
          <w:sz w:val="16"/>
        </w:rPr>
        <w:t>h</w:t>
      </w:r>
      <w:r>
        <w:rPr>
          <w:color w:val="231F20"/>
          <w:spacing w:val="2"/>
          <w:w w:val="94"/>
          <w:sz w:val="16"/>
        </w:rPr>
        <w:t>e</w:t>
      </w:r>
      <w:r>
        <w:rPr>
          <w:color w:val="231F20"/>
          <w:spacing w:val="1"/>
          <w:w w:val="93"/>
          <w:sz w:val="16"/>
        </w:rPr>
        <w:t>s</w:t>
      </w:r>
      <w:r>
        <w:rPr>
          <w:color w:val="231F20"/>
          <w:w w:val="94"/>
          <w:sz w:val="16"/>
        </w:rPr>
        <w:t>e</w:t>
      </w:r>
      <w:r>
        <w:rPr>
          <w:color w:val="231F20"/>
          <w:spacing w:val="10"/>
          <w:sz w:val="16"/>
        </w:rPr>
        <w:t xml:space="preserve"> </w:t>
      </w:r>
      <w:r>
        <w:rPr>
          <w:color w:val="231F20"/>
          <w:spacing w:val="3"/>
          <w:w w:val="106"/>
          <w:sz w:val="16"/>
        </w:rPr>
        <w:t>a</w:t>
      </w:r>
      <w:r>
        <w:rPr>
          <w:color w:val="231F20"/>
          <w:spacing w:val="5"/>
          <w:w w:val="97"/>
          <w:sz w:val="16"/>
        </w:rPr>
        <w:t>r</w:t>
      </w:r>
      <w:r>
        <w:rPr>
          <w:color w:val="231F20"/>
          <w:spacing w:val="2"/>
          <w:w w:val="102"/>
          <w:sz w:val="16"/>
        </w:rPr>
        <w:t>t</w:t>
      </w:r>
      <w:r>
        <w:rPr>
          <w:color w:val="231F20"/>
          <w:w w:val="103"/>
          <w:sz w:val="16"/>
        </w:rPr>
        <w:t>i</w:t>
      </w:r>
      <w:r>
        <w:rPr>
          <w:color w:val="231F20"/>
          <w:w w:val="104"/>
          <w:sz w:val="16"/>
        </w:rPr>
        <w:t>c</w:t>
      </w:r>
      <w:r>
        <w:rPr>
          <w:color w:val="231F20"/>
          <w:w w:val="106"/>
          <w:sz w:val="16"/>
        </w:rPr>
        <w:t>l</w:t>
      </w:r>
      <w:r>
        <w:rPr>
          <w:color w:val="231F20"/>
          <w:spacing w:val="2"/>
          <w:w w:val="94"/>
          <w:sz w:val="16"/>
        </w:rPr>
        <w:t>e</w:t>
      </w:r>
      <w:r>
        <w:rPr>
          <w:color w:val="231F20"/>
          <w:w w:val="93"/>
          <w:sz w:val="16"/>
        </w:rPr>
        <w:t>s</w:t>
      </w:r>
      <w:r>
        <w:rPr>
          <w:color w:val="231F20"/>
          <w:spacing w:val="10"/>
          <w:sz w:val="16"/>
        </w:rPr>
        <w:t xml:space="preserve"> </w:t>
      </w:r>
      <w:r>
        <w:rPr>
          <w:color w:val="231F20"/>
          <w:spacing w:val="2"/>
          <w:w w:val="104"/>
          <w:sz w:val="16"/>
        </w:rPr>
        <w:t>c</w:t>
      </w:r>
      <w:r>
        <w:rPr>
          <w:color w:val="231F20"/>
          <w:spacing w:val="3"/>
          <w:w w:val="106"/>
          <w:sz w:val="16"/>
        </w:rPr>
        <w:t>a</w:t>
      </w:r>
      <w:r>
        <w:rPr>
          <w:color w:val="231F20"/>
          <w:w w:val="103"/>
          <w:sz w:val="16"/>
        </w:rPr>
        <w:t>n</w:t>
      </w:r>
      <w:r>
        <w:rPr>
          <w:color w:val="231F20"/>
          <w:spacing w:val="10"/>
          <w:sz w:val="16"/>
        </w:rPr>
        <w:t xml:space="preserve"> </w:t>
      </w:r>
      <w:r>
        <w:rPr>
          <w:color w:val="231F20"/>
          <w:spacing w:val="2"/>
          <w:w w:val="105"/>
          <w:sz w:val="16"/>
        </w:rPr>
        <w:t>b</w:t>
      </w:r>
      <w:r>
        <w:rPr>
          <w:color w:val="231F20"/>
          <w:w w:val="94"/>
          <w:sz w:val="16"/>
        </w:rPr>
        <w:t>e</w:t>
      </w:r>
      <w:r>
        <w:rPr>
          <w:color w:val="231F20"/>
          <w:spacing w:val="10"/>
          <w:sz w:val="16"/>
        </w:rPr>
        <w:t xml:space="preserve"> </w:t>
      </w:r>
      <w:r>
        <w:rPr>
          <w:color w:val="231F20"/>
          <w:w w:val="97"/>
          <w:sz w:val="16"/>
        </w:rPr>
        <w:t>r</w:t>
      </w:r>
      <w:r>
        <w:rPr>
          <w:color w:val="231F20"/>
          <w:spacing w:val="2"/>
          <w:w w:val="94"/>
          <w:sz w:val="16"/>
        </w:rPr>
        <w:t>e</w:t>
      </w:r>
      <w:r>
        <w:rPr>
          <w:color w:val="231F20"/>
          <w:spacing w:val="-1"/>
          <w:w w:val="106"/>
          <w:sz w:val="16"/>
        </w:rPr>
        <w:t>a</w:t>
      </w:r>
      <w:r>
        <w:rPr>
          <w:color w:val="231F20"/>
          <w:w w:val="103"/>
          <w:sz w:val="16"/>
        </w:rPr>
        <w:t>d</w:t>
      </w:r>
      <w:r>
        <w:rPr>
          <w:color w:val="231F20"/>
          <w:spacing w:val="10"/>
          <w:sz w:val="16"/>
        </w:rPr>
        <w:t xml:space="preserve"> </w:t>
      </w:r>
      <w:r>
        <w:rPr>
          <w:color w:val="231F20"/>
          <w:w w:val="108"/>
          <w:sz w:val="16"/>
        </w:rPr>
        <w:t>o</w:t>
      </w:r>
      <w:r>
        <w:rPr>
          <w:color w:val="231F20"/>
          <w:spacing w:val="3"/>
          <w:w w:val="103"/>
          <w:sz w:val="16"/>
        </w:rPr>
        <w:t>n</w:t>
      </w:r>
      <w:r>
        <w:rPr>
          <w:color w:val="231F20"/>
          <w:spacing w:val="2"/>
          <w:w w:val="106"/>
          <w:sz w:val="16"/>
        </w:rPr>
        <w:t>l</w:t>
      </w:r>
      <w:r>
        <w:rPr>
          <w:color w:val="231F20"/>
          <w:spacing w:val="3"/>
          <w:w w:val="103"/>
          <w:sz w:val="16"/>
        </w:rPr>
        <w:t>i</w:t>
      </w:r>
      <w:r>
        <w:rPr>
          <w:color w:val="231F20"/>
          <w:w w:val="103"/>
          <w:sz w:val="16"/>
        </w:rPr>
        <w:t>n</w:t>
      </w:r>
      <w:r>
        <w:rPr>
          <w:color w:val="231F20"/>
          <w:w w:val="94"/>
          <w:sz w:val="16"/>
        </w:rPr>
        <w:t>e</w:t>
      </w:r>
      <w:r>
        <w:rPr>
          <w:color w:val="231F20"/>
          <w:spacing w:val="10"/>
          <w:sz w:val="16"/>
        </w:rPr>
        <w:t xml:space="preserve"> </w:t>
      </w:r>
      <w:r>
        <w:rPr>
          <w:color w:val="231F20"/>
          <w:spacing w:val="-1"/>
          <w:w w:val="106"/>
          <w:sz w:val="16"/>
        </w:rPr>
        <w:t>a</w:t>
      </w:r>
      <w:r>
        <w:rPr>
          <w:color w:val="231F20"/>
          <w:w w:val="102"/>
          <w:sz w:val="16"/>
        </w:rPr>
        <w:t>t</w:t>
      </w:r>
      <w:r>
        <w:rPr>
          <w:color w:val="231F20"/>
          <w:spacing w:val="10"/>
          <w:sz w:val="16"/>
        </w:rPr>
        <w:t xml:space="preserve"> </w:t>
      </w:r>
      <w:hyperlink r:id="rId267">
        <w:r>
          <w:rPr>
            <w:color w:val="231F20"/>
            <w:w w:val="103"/>
            <w:sz w:val="16"/>
          </w:rPr>
          <w:t>h</w:t>
        </w:r>
        <w:r>
          <w:rPr>
            <w:color w:val="231F20"/>
            <w:spacing w:val="5"/>
            <w:w w:val="103"/>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spacing w:val="1"/>
            <w:w w:val="140"/>
            <w:sz w:val="16"/>
          </w:rPr>
          <w:t>.</w:t>
        </w:r>
        <w:r>
          <w:rPr>
            <w:color w:val="231F20"/>
            <w:spacing w:val="2"/>
            <w:w w:val="103"/>
            <w:sz w:val="16"/>
          </w:rPr>
          <w:t>m</w:t>
        </w:r>
        <w:r>
          <w:rPr>
            <w:color w:val="231F20"/>
            <w:spacing w:val="3"/>
            <w:w w:val="106"/>
            <w:sz w:val="16"/>
          </w:rPr>
          <w:t>a</w:t>
        </w:r>
        <w:r>
          <w:rPr>
            <w:color w:val="231F20"/>
            <w:spacing w:val="3"/>
            <w:w w:val="97"/>
            <w:sz w:val="16"/>
          </w:rPr>
          <w:t>r</w:t>
        </w:r>
        <w:r>
          <w:rPr>
            <w:color w:val="231F20"/>
            <w:spacing w:val="5"/>
            <w:w w:val="119"/>
            <w:sz w:val="16"/>
          </w:rPr>
          <w:t>x</w:t>
        </w:r>
        <w:r>
          <w:rPr>
            <w:color w:val="231F20"/>
            <w:spacing w:val="1"/>
            <w:w w:val="103"/>
            <w:sz w:val="16"/>
          </w:rPr>
          <w:t>i</w:t>
        </w:r>
        <w:r>
          <w:rPr>
            <w:color w:val="231F20"/>
            <w:spacing w:val="1"/>
            <w:w w:val="93"/>
            <w:sz w:val="16"/>
          </w:rPr>
          <w:t>s</w:t>
        </w:r>
        <w:r>
          <w:rPr>
            <w:color w:val="231F20"/>
            <w:spacing w:val="2"/>
            <w:w w:val="102"/>
            <w:sz w:val="16"/>
          </w:rPr>
          <w:t>t</w:t>
        </w:r>
        <w:r>
          <w:rPr>
            <w:color w:val="231F20"/>
            <w:spacing w:val="1"/>
            <w:w w:val="93"/>
            <w:sz w:val="16"/>
          </w:rPr>
          <w:t>s</w:t>
        </w:r>
        <w:r>
          <w:rPr>
            <w:color w:val="231F20"/>
            <w:w w:val="140"/>
            <w:sz w:val="16"/>
          </w:rPr>
          <w:t>.</w:t>
        </w:r>
        <w:r>
          <w:rPr>
            <w:color w:val="231F20"/>
            <w:w w:val="108"/>
            <w:sz w:val="16"/>
          </w:rPr>
          <w:t>o</w:t>
        </w:r>
        <w:r>
          <w:rPr>
            <w:color w:val="231F20"/>
            <w:spacing w:val="1"/>
            <w:w w:val="97"/>
            <w:sz w:val="16"/>
          </w:rPr>
          <w:t>r</w:t>
        </w:r>
        <w:r>
          <w:rPr>
            <w:color w:val="231F20"/>
            <w:spacing w:val="8"/>
            <w:w w:val="104"/>
            <w:sz w:val="16"/>
          </w:rPr>
          <w:t>g</w:t>
        </w:r>
        <w:r>
          <w:rPr>
            <w:color w:val="231F20"/>
            <w:spacing w:val="-3"/>
            <w:w w:val="58"/>
            <w:sz w:val="16"/>
          </w:rPr>
          <w:t>/</w:t>
        </w:r>
        <w:r>
          <w:rPr>
            <w:color w:val="231F20"/>
            <w:spacing w:val="3"/>
            <w:w w:val="106"/>
            <w:sz w:val="16"/>
          </w:rPr>
          <w:t>a</w:t>
        </w:r>
        <w:r>
          <w:rPr>
            <w:color w:val="231F20"/>
            <w:w w:val="97"/>
            <w:sz w:val="16"/>
          </w:rPr>
          <w:t>r</w:t>
        </w:r>
        <w:r>
          <w:rPr>
            <w:color w:val="231F20"/>
            <w:w w:val="104"/>
            <w:sz w:val="16"/>
          </w:rPr>
          <w:t>c</w:t>
        </w:r>
        <w:r>
          <w:rPr>
            <w:color w:val="231F20"/>
            <w:spacing w:val="3"/>
            <w:w w:val="104"/>
            <w:sz w:val="16"/>
          </w:rPr>
          <w:t>h</w:t>
        </w:r>
        <w:r>
          <w:rPr>
            <w:color w:val="231F20"/>
            <w:spacing w:val="-1"/>
            <w:w w:val="103"/>
            <w:sz w:val="16"/>
          </w:rPr>
          <w:t>i</w:t>
        </w:r>
        <w:r>
          <w:rPr>
            <w:color w:val="231F20"/>
            <w:spacing w:val="-1"/>
            <w:w w:val="102"/>
            <w:sz w:val="16"/>
          </w:rPr>
          <w:t>v</w:t>
        </w:r>
        <w:r>
          <w:rPr>
            <w:color w:val="231F20"/>
            <w:spacing w:val="5"/>
            <w:w w:val="94"/>
            <w:sz w:val="16"/>
          </w:rPr>
          <w:t>e</w:t>
        </w:r>
        <w:r>
          <w:rPr>
            <w:color w:val="231F20"/>
            <w:w w:val="58"/>
            <w:sz w:val="16"/>
          </w:rPr>
          <w:t>/</w:t>
        </w:r>
      </w:hyperlink>
      <w:r>
        <w:rPr>
          <w:color w:val="231F20"/>
          <w:w w:val="58"/>
          <w:sz w:val="16"/>
        </w:rPr>
        <w:t xml:space="preserve"> </w:t>
      </w:r>
      <w:r>
        <w:rPr>
          <w:color w:val="231F20"/>
          <w:spacing w:val="2"/>
          <w:w w:val="104"/>
          <w:sz w:val="16"/>
        </w:rPr>
        <w:t>m</w:t>
      </w:r>
      <w:r>
        <w:rPr>
          <w:color w:val="231F20"/>
          <w:spacing w:val="3"/>
          <w:w w:val="104"/>
          <w:sz w:val="16"/>
        </w:rPr>
        <w:t>a</w:t>
      </w:r>
      <w:r>
        <w:rPr>
          <w:color w:val="231F20"/>
          <w:spacing w:val="3"/>
          <w:w w:val="97"/>
          <w:sz w:val="16"/>
        </w:rPr>
        <w:t>r</w:t>
      </w:r>
      <w:r>
        <w:rPr>
          <w:color w:val="231F20"/>
          <w:spacing w:val="8"/>
          <w:w w:val="119"/>
          <w:sz w:val="16"/>
        </w:rPr>
        <w:t>x</w:t>
      </w:r>
      <w:r>
        <w:rPr>
          <w:color w:val="231F20"/>
          <w:spacing w:val="2"/>
          <w:w w:val="86"/>
          <w:sz w:val="16"/>
        </w:rPr>
        <w:t>/</w:t>
      </w:r>
      <w:r>
        <w:rPr>
          <w:color w:val="231F20"/>
          <w:spacing w:val="-1"/>
          <w:w w:val="86"/>
          <w:sz w:val="16"/>
        </w:rPr>
        <w:t>w</w:t>
      </w:r>
      <w:r>
        <w:rPr>
          <w:color w:val="231F20"/>
          <w:w w:val="108"/>
          <w:sz w:val="16"/>
        </w:rPr>
        <w:t>o</w:t>
      </w:r>
      <w:r>
        <w:rPr>
          <w:color w:val="231F20"/>
          <w:w w:val="97"/>
          <w:sz w:val="16"/>
        </w:rPr>
        <w:t>r</w:t>
      </w:r>
      <w:r>
        <w:rPr>
          <w:color w:val="231F20"/>
          <w:spacing w:val="2"/>
          <w:w w:val="109"/>
          <w:sz w:val="16"/>
        </w:rPr>
        <w:t>k</w:t>
      </w:r>
      <w:r>
        <w:rPr>
          <w:color w:val="231F20"/>
          <w:spacing w:val="5"/>
          <w:w w:val="93"/>
          <w:sz w:val="16"/>
        </w:rPr>
        <w:t>s</w:t>
      </w:r>
      <w:r>
        <w:rPr>
          <w:color w:val="231F20"/>
          <w:spacing w:val="-3"/>
          <w:w w:val="58"/>
          <w:sz w:val="16"/>
        </w:rPr>
        <w:t>/</w:t>
      </w:r>
      <w:r>
        <w:rPr>
          <w:color w:val="231F20"/>
          <w:spacing w:val="-6"/>
          <w:w w:val="104"/>
          <w:sz w:val="16"/>
        </w:rPr>
        <w:t>1</w:t>
      </w:r>
      <w:r>
        <w:rPr>
          <w:color w:val="231F20"/>
          <w:spacing w:val="-7"/>
          <w:w w:val="104"/>
          <w:sz w:val="16"/>
        </w:rPr>
        <w:t>8</w:t>
      </w:r>
      <w:r>
        <w:rPr>
          <w:color w:val="231F20"/>
          <w:spacing w:val="-4"/>
          <w:w w:val="104"/>
          <w:sz w:val="16"/>
        </w:rPr>
        <w:t>5</w:t>
      </w:r>
      <w:r>
        <w:rPr>
          <w:color w:val="231F20"/>
          <w:spacing w:val="5"/>
          <w:w w:val="104"/>
          <w:sz w:val="16"/>
        </w:rPr>
        <w:t>0</w:t>
      </w:r>
      <w:r>
        <w:rPr>
          <w:color w:val="231F20"/>
          <w:spacing w:val="-2"/>
          <w:w w:val="58"/>
          <w:sz w:val="16"/>
        </w:rPr>
        <w:t>/</w:t>
      </w:r>
      <w:r>
        <w:rPr>
          <w:color w:val="231F20"/>
          <w:w w:val="104"/>
          <w:sz w:val="16"/>
        </w:rPr>
        <w:t>c</w:t>
      </w:r>
      <w:r>
        <w:rPr>
          <w:color w:val="231F20"/>
          <w:spacing w:val="1"/>
          <w:w w:val="106"/>
          <w:sz w:val="16"/>
        </w:rPr>
        <w:t>la</w:t>
      </w:r>
      <w:r>
        <w:rPr>
          <w:color w:val="231F20"/>
          <w:spacing w:val="1"/>
          <w:w w:val="93"/>
          <w:sz w:val="16"/>
        </w:rPr>
        <w:t>s</w:t>
      </w:r>
      <w:r>
        <w:rPr>
          <w:color w:val="231F20"/>
          <w:spacing w:val="2"/>
          <w:w w:val="93"/>
          <w:sz w:val="16"/>
        </w:rPr>
        <w:t>s</w:t>
      </w:r>
      <w:r>
        <w:rPr>
          <w:color w:val="231F20"/>
          <w:spacing w:val="3"/>
          <w:w w:val="98"/>
          <w:sz w:val="16"/>
        </w:rPr>
        <w:t>-</w:t>
      </w:r>
      <w:r>
        <w:rPr>
          <w:color w:val="231F20"/>
          <w:spacing w:val="1"/>
          <w:w w:val="98"/>
          <w:sz w:val="16"/>
        </w:rPr>
        <w:t>s</w:t>
      </w:r>
      <w:r>
        <w:rPr>
          <w:color w:val="231F20"/>
          <w:spacing w:val="3"/>
          <w:w w:val="101"/>
          <w:sz w:val="16"/>
        </w:rPr>
        <w:t>tr</w:t>
      </w:r>
      <w:r>
        <w:rPr>
          <w:color w:val="231F20"/>
          <w:spacing w:val="1"/>
          <w:w w:val="101"/>
          <w:sz w:val="16"/>
        </w:rPr>
        <w:t>u</w:t>
      </w:r>
      <w:r>
        <w:rPr>
          <w:color w:val="231F20"/>
          <w:spacing w:val="3"/>
          <w:w w:val="104"/>
          <w:sz w:val="16"/>
        </w:rPr>
        <w:t>gg</w:t>
      </w:r>
      <w:r>
        <w:rPr>
          <w:color w:val="231F20"/>
          <w:w w:val="106"/>
          <w:sz w:val="16"/>
        </w:rPr>
        <w:t>l</w:t>
      </w:r>
      <w:r>
        <w:rPr>
          <w:color w:val="231F20"/>
          <w:spacing w:val="2"/>
          <w:w w:val="94"/>
          <w:sz w:val="16"/>
        </w:rPr>
        <w:t>e</w:t>
      </w:r>
      <w:r>
        <w:rPr>
          <w:color w:val="231F20"/>
          <w:spacing w:val="2"/>
          <w:w w:val="93"/>
          <w:sz w:val="16"/>
        </w:rPr>
        <w:t>s</w:t>
      </w:r>
      <w:r>
        <w:rPr>
          <w:color w:val="231F20"/>
          <w:w w:val="104"/>
          <w:sz w:val="16"/>
        </w:rPr>
        <w:t>-</w:t>
      </w:r>
      <w:r>
        <w:rPr>
          <w:color w:val="231F20"/>
          <w:spacing w:val="3"/>
          <w:w w:val="114"/>
          <w:sz w:val="16"/>
        </w:rPr>
        <w:t>f</w:t>
      </w:r>
      <w:r>
        <w:rPr>
          <w:color w:val="231F20"/>
          <w:w w:val="97"/>
          <w:sz w:val="16"/>
        </w:rPr>
        <w:t>r</w:t>
      </w:r>
      <w:r>
        <w:rPr>
          <w:color w:val="231F20"/>
          <w:spacing w:val="3"/>
          <w:w w:val="106"/>
          <w:sz w:val="16"/>
        </w:rPr>
        <w:t>a</w:t>
      </w:r>
      <w:r>
        <w:rPr>
          <w:color w:val="231F20"/>
          <w:w w:val="103"/>
          <w:sz w:val="16"/>
        </w:rPr>
        <w:t>n</w:t>
      </w:r>
      <w:r>
        <w:rPr>
          <w:color w:val="231F20"/>
          <w:spacing w:val="2"/>
          <w:w w:val="104"/>
          <w:sz w:val="16"/>
        </w:rPr>
        <w:t>c</w:t>
      </w:r>
      <w:r>
        <w:rPr>
          <w:color w:val="231F20"/>
          <w:spacing w:val="5"/>
          <w:w w:val="94"/>
          <w:sz w:val="16"/>
        </w:rPr>
        <w:t>e</w:t>
      </w:r>
      <w:r>
        <w:rPr>
          <w:color w:val="231F20"/>
          <w:spacing w:val="2"/>
          <w:w w:val="58"/>
          <w:sz w:val="16"/>
        </w:rPr>
        <w:t>/</w:t>
      </w:r>
      <w:r>
        <w:rPr>
          <w:color w:val="231F20"/>
          <w:spacing w:val="3"/>
          <w:w w:val="103"/>
          <w:sz w:val="16"/>
        </w:rPr>
        <w:t>i</w:t>
      </w:r>
      <w:r>
        <w:rPr>
          <w:color w:val="231F20"/>
          <w:w w:val="103"/>
          <w:sz w:val="16"/>
        </w:rPr>
        <w:t>nd</w:t>
      </w:r>
      <w:r>
        <w:rPr>
          <w:color w:val="231F20"/>
          <w:w w:val="94"/>
          <w:sz w:val="16"/>
        </w:rPr>
        <w:t>e</w:t>
      </w:r>
      <w:r>
        <w:rPr>
          <w:color w:val="231F20"/>
          <w:spacing w:val="2"/>
          <w:w w:val="119"/>
          <w:sz w:val="16"/>
        </w:rPr>
        <w:t>x</w:t>
      </w:r>
      <w:r>
        <w:rPr>
          <w:color w:val="231F20"/>
          <w:spacing w:val="1"/>
          <w:w w:val="140"/>
          <w:sz w:val="16"/>
        </w:rPr>
        <w:t>.</w:t>
      </w:r>
      <w:r>
        <w:rPr>
          <w:color w:val="231F20"/>
          <w:w w:val="104"/>
          <w:sz w:val="16"/>
        </w:rPr>
        <w:t>h</w:t>
      </w:r>
      <w:r>
        <w:rPr>
          <w:color w:val="231F20"/>
          <w:spacing w:val="3"/>
          <w:w w:val="103"/>
          <w:sz w:val="16"/>
        </w:rPr>
        <w:t>t</w:t>
      </w:r>
      <w:r>
        <w:rPr>
          <w:color w:val="231F20"/>
          <w:spacing w:val="1"/>
          <w:w w:val="103"/>
          <w:sz w:val="16"/>
        </w:rPr>
        <w:t>m</w:t>
      </w:r>
      <w:r>
        <w:rPr>
          <w:color w:val="231F20"/>
          <w:w w:val="140"/>
          <w:sz w:val="16"/>
        </w:rPr>
        <w:t>.</w:t>
      </w:r>
    </w:p>
    <w:p w14:paraId="6044F12F" w14:textId="77777777" w:rsidR="002653E8" w:rsidRDefault="002653E8">
      <w:pPr>
        <w:spacing w:line="254" w:lineRule="auto"/>
        <w:rPr>
          <w:sz w:val="16"/>
        </w:rPr>
        <w:sectPr w:rsidR="002653E8">
          <w:pgSz w:w="8640" w:h="12960"/>
          <w:pgMar w:top="1060" w:right="0" w:bottom="1040" w:left="0" w:header="0" w:footer="850" w:gutter="0"/>
          <w:cols w:space="720"/>
        </w:sectPr>
      </w:pPr>
    </w:p>
    <w:p w14:paraId="4FE57E33" w14:textId="77777777" w:rsidR="002653E8" w:rsidRDefault="003115E3">
      <w:pPr>
        <w:pStyle w:val="a3"/>
        <w:spacing w:before="86" w:line="264" w:lineRule="auto"/>
        <w:ind w:left="1147" w:right="1580"/>
      </w:pPr>
      <w:r>
        <w:rPr>
          <w:color w:val="231F20"/>
        </w:rPr>
        <w:lastRenderedPageBreak/>
        <w:t>one, it is a battle against the real enemies of the people, whereas the counterrevolution is obliged to stand facts on their head.</w:t>
      </w:r>
    </w:p>
    <w:p w14:paraId="32275A79" w14:textId="77777777" w:rsidR="002653E8" w:rsidRDefault="003115E3">
      <w:pPr>
        <w:pStyle w:val="a3"/>
        <w:spacing w:line="264" w:lineRule="auto"/>
        <w:ind w:left="1147" w:right="1326" w:firstLine="210"/>
        <w:jc w:val="both"/>
      </w:pPr>
      <w:r>
        <w:rPr>
          <w:color w:val="231F20"/>
        </w:rPr>
        <w:t xml:space="preserve">At the same time, there is the problem of metropolitan chauvinism   in the people’s consciousness, which is poorly addressed by the concept of labor aristocracy as an economic category. There is the problem that national identity can only be reactionary in the metropole, where it implies an identification with imperialism. This means that right from the beginning, popular revolutionary consciousness is only possible in the form of proletarian internationalism, by identifying with the antiimperialist liberation struggles of the people in the Third </w:t>
      </w:r>
      <w:r>
        <w:rPr>
          <w:color w:val="231F20"/>
          <w:spacing w:val="-3"/>
        </w:rPr>
        <w:t xml:space="preserve">World. </w:t>
      </w:r>
      <w:r>
        <w:rPr>
          <w:color w:val="231F20"/>
        </w:rPr>
        <w:t>It cannot develop simply through the class struggle here. It is the role of the metropolitan guerilla to create this connection, to make proletarian internationalism the basis for revolutionary politics here,  to  connect the class struggle here and the liberation struggles of the people of the Third</w:t>
      </w:r>
      <w:r>
        <w:rPr>
          <w:color w:val="231F20"/>
          <w:spacing w:val="10"/>
        </w:rPr>
        <w:t xml:space="preserve"> </w:t>
      </w:r>
      <w:r>
        <w:rPr>
          <w:color w:val="231F20"/>
          <w:spacing w:val="-3"/>
        </w:rPr>
        <w:t>World.</w:t>
      </w:r>
    </w:p>
    <w:p w14:paraId="2AC695AC" w14:textId="77777777" w:rsidR="002653E8" w:rsidRDefault="002653E8">
      <w:pPr>
        <w:spacing w:line="264" w:lineRule="auto"/>
        <w:jc w:val="both"/>
        <w:sectPr w:rsidR="002653E8">
          <w:pgSz w:w="8640" w:h="12960"/>
          <w:pgMar w:top="1060" w:right="0" w:bottom="1040" w:left="0" w:header="0" w:footer="850" w:gutter="0"/>
          <w:cols w:space="720"/>
        </w:sectPr>
      </w:pPr>
    </w:p>
    <w:p w14:paraId="1F68A66D" w14:textId="77777777" w:rsidR="002653E8" w:rsidRDefault="003115E3">
      <w:pPr>
        <w:pStyle w:val="4"/>
        <w:spacing w:line="273" w:lineRule="auto"/>
        <w:ind w:left="3022" w:right="1580" w:firstLine="160"/>
      </w:pPr>
      <w:bookmarkStart w:id="138" w:name="Andreas_Baader_Regarding_Torture_(June_1"/>
      <w:bookmarkStart w:id="139" w:name="_bookmark44"/>
      <w:bookmarkEnd w:id="138"/>
      <w:bookmarkEnd w:id="139"/>
      <w:r>
        <w:rPr>
          <w:color w:val="231F20"/>
          <w:w w:val="105"/>
        </w:rPr>
        <w:lastRenderedPageBreak/>
        <w:t>Andreas Baader Regarding Torture</w:t>
      </w:r>
    </w:p>
    <w:p w14:paraId="0CC56D41" w14:textId="77777777" w:rsidR="002653E8" w:rsidRDefault="003115E3">
      <w:pPr>
        <w:spacing w:before="206" w:line="261" w:lineRule="auto"/>
        <w:ind w:left="1727" w:right="1736"/>
        <w:rPr>
          <w:i/>
          <w:sz w:val="20"/>
        </w:rPr>
      </w:pPr>
      <w:r>
        <w:rPr>
          <w:i/>
          <w:color w:val="231F20"/>
          <w:w w:val="105"/>
          <w:sz w:val="20"/>
        </w:rPr>
        <w:t xml:space="preserve">This </w:t>
      </w:r>
      <w:r>
        <w:rPr>
          <w:i/>
          <w:color w:val="231F20"/>
          <w:spacing w:val="1"/>
          <w:w w:val="105"/>
          <w:sz w:val="20"/>
        </w:rPr>
        <w:t xml:space="preserve">statement </w:t>
      </w:r>
      <w:r>
        <w:rPr>
          <w:i/>
          <w:color w:val="231F20"/>
          <w:w w:val="105"/>
          <w:sz w:val="20"/>
        </w:rPr>
        <w:t xml:space="preserve">was </w:t>
      </w:r>
      <w:r>
        <w:rPr>
          <w:i/>
          <w:color w:val="231F20"/>
          <w:spacing w:val="1"/>
          <w:w w:val="105"/>
          <w:sz w:val="20"/>
        </w:rPr>
        <w:t xml:space="preserve">made after </w:t>
      </w:r>
      <w:r>
        <w:rPr>
          <w:i/>
          <w:color w:val="231F20"/>
          <w:w w:val="105"/>
          <w:sz w:val="20"/>
        </w:rPr>
        <w:t xml:space="preserve">the testimony by Henck (the Stammheim prison psychiatrist), who concluded by declaring that isolation </w:t>
      </w:r>
      <w:r>
        <w:rPr>
          <w:i/>
          <w:color w:val="231F20"/>
          <w:spacing w:val="1"/>
          <w:w w:val="105"/>
          <w:sz w:val="20"/>
        </w:rPr>
        <w:t xml:space="preserve">intensifies </w:t>
      </w:r>
      <w:r>
        <w:rPr>
          <w:i/>
          <w:color w:val="231F20"/>
          <w:w w:val="105"/>
          <w:sz w:val="20"/>
        </w:rPr>
        <w:t xml:space="preserve">the impact of torture </w:t>
      </w:r>
      <w:r>
        <w:rPr>
          <w:i/>
          <w:color w:val="231F20"/>
          <w:spacing w:val="1"/>
          <w:w w:val="105"/>
          <w:sz w:val="20"/>
        </w:rPr>
        <w:t xml:space="preserve">and, as </w:t>
      </w:r>
      <w:r>
        <w:rPr>
          <w:i/>
          <w:color w:val="231F20"/>
          <w:w w:val="105"/>
          <w:sz w:val="20"/>
        </w:rPr>
        <w:t xml:space="preserve">such, constitutes a “philosophical problem.” Prinzing and the </w:t>
      </w:r>
      <w:r>
        <w:rPr>
          <w:i/>
          <w:color w:val="231F20"/>
          <w:spacing w:val="-5"/>
          <w:w w:val="105"/>
          <w:sz w:val="20"/>
        </w:rPr>
        <w:t xml:space="preserve">BAW </w:t>
      </w:r>
      <w:r>
        <w:rPr>
          <w:i/>
          <w:color w:val="231F20"/>
          <w:w w:val="105"/>
          <w:sz w:val="20"/>
        </w:rPr>
        <w:t xml:space="preserve">interrupted Andreas seventeen  times to prevent him from developing a coherent </w:t>
      </w:r>
      <w:r>
        <w:rPr>
          <w:i/>
          <w:color w:val="231F20"/>
          <w:spacing w:val="1"/>
          <w:w w:val="105"/>
          <w:sz w:val="20"/>
        </w:rPr>
        <w:t xml:space="preserve">argument </w:t>
      </w:r>
      <w:r>
        <w:rPr>
          <w:i/>
          <w:color w:val="231F20"/>
          <w:w w:val="105"/>
          <w:sz w:val="20"/>
        </w:rPr>
        <w:t>connecting isolation torture to his political</w:t>
      </w:r>
      <w:r>
        <w:rPr>
          <w:i/>
          <w:color w:val="231F20"/>
          <w:spacing w:val="35"/>
          <w:w w:val="105"/>
          <w:sz w:val="20"/>
        </w:rPr>
        <w:t xml:space="preserve"> </w:t>
      </w:r>
      <w:r>
        <w:rPr>
          <w:i/>
          <w:color w:val="231F20"/>
          <w:w w:val="105"/>
          <w:sz w:val="20"/>
        </w:rPr>
        <w:t>perspective,</w:t>
      </w:r>
    </w:p>
    <w:p w14:paraId="0CFD1F4C" w14:textId="77777777" w:rsidR="002653E8" w:rsidRDefault="003115E3">
      <w:pPr>
        <w:spacing w:before="3" w:line="261" w:lineRule="auto"/>
        <w:ind w:left="1727" w:right="2067"/>
        <w:rPr>
          <w:i/>
          <w:sz w:val="11"/>
        </w:rPr>
      </w:pPr>
      <w:r>
        <w:rPr>
          <w:i/>
          <w:color w:val="231F20"/>
          <w:w w:val="105"/>
          <w:sz w:val="20"/>
        </w:rPr>
        <w:t>to which it is directly related. This explains the blanks. This is an example of what it was like every day.</w:t>
      </w:r>
      <w:r>
        <w:rPr>
          <w:i/>
          <w:color w:val="231F20"/>
          <w:w w:val="105"/>
          <w:position w:val="7"/>
          <w:sz w:val="11"/>
        </w:rPr>
        <w:t>1</w:t>
      </w:r>
    </w:p>
    <w:p w14:paraId="65A6616D" w14:textId="77777777" w:rsidR="002653E8" w:rsidRDefault="002653E8">
      <w:pPr>
        <w:pStyle w:val="a3"/>
        <w:spacing w:before="3"/>
        <w:rPr>
          <w:i/>
          <w:sz w:val="32"/>
        </w:rPr>
      </w:pPr>
    </w:p>
    <w:p w14:paraId="3AF482FE" w14:textId="77777777" w:rsidR="002653E8" w:rsidRDefault="003115E3">
      <w:pPr>
        <w:pStyle w:val="a3"/>
        <w:spacing w:line="264" w:lineRule="auto"/>
        <w:ind w:left="1327" w:right="1145"/>
        <w:jc w:val="both"/>
      </w:pPr>
      <w:r>
        <w:rPr>
          <w:color w:val="231F20"/>
        </w:rPr>
        <w:t xml:space="preserve">Events unfolded exactly as follows: the dead </w:t>
      </w:r>
      <w:r>
        <w:rPr>
          <w:color w:val="231F20"/>
          <w:spacing w:val="1"/>
        </w:rPr>
        <w:t xml:space="preserve">wing—and </w:t>
      </w:r>
      <w:r>
        <w:rPr>
          <w:color w:val="231F20"/>
        </w:rPr>
        <w:t xml:space="preserve">when that didn’t work as they had hoped, when no confession was forthcoming despite the effects of isolation becoming apparent—at the </w:t>
      </w:r>
      <w:r>
        <w:rPr>
          <w:color w:val="231F20"/>
          <w:spacing w:val="-5"/>
        </w:rPr>
        <w:t xml:space="preserve">BAW’s </w:t>
      </w:r>
      <w:r>
        <w:rPr>
          <w:color w:val="231F20"/>
        </w:rPr>
        <w:t xml:space="preserve">request they locked Ulrike in an isolated psychiatric unit for eight weeks, “for observation,” as Götte said. And when that didn’t work either— they tried to arrange for forced drugging and  a  forced  scintigraphy. The Federal Supreme Court’s idea being to open her head to see where human thought comes from; the </w:t>
      </w:r>
      <w:r>
        <w:rPr>
          <w:color w:val="231F20"/>
          <w:spacing w:val="-5"/>
        </w:rPr>
        <w:t xml:space="preserve">BAW’s </w:t>
      </w:r>
      <w:r>
        <w:rPr>
          <w:color w:val="231F20"/>
        </w:rPr>
        <w:t xml:space="preserve">concrete project was stereotactical intervention in her brain. Witter was to be in charge of the drugging and scintigraphy; Loew was proposed for the brain surgery (note: </w:t>
      </w:r>
      <w:r>
        <w:rPr>
          <w:color w:val="231F20"/>
          <w:w w:val="101"/>
        </w:rPr>
        <w:t>b</w:t>
      </w:r>
      <w:r>
        <w:rPr>
          <w:color w:val="231F20"/>
          <w:spacing w:val="-1"/>
          <w:w w:val="104"/>
        </w:rPr>
        <w:t>o</w:t>
      </w:r>
      <w:r>
        <w:rPr>
          <w:color w:val="231F20"/>
          <w:spacing w:val="2"/>
          <w:w w:val="98"/>
        </w:rPr>
        <w:t>t</w:t>
      </w:r>
      <w:r>
        <w:rPr>
          <w:color w:val="231F20"/>
        </w:rPr>
        <w:t>h</w:t>
      </w:r>
      <w:r>
        <w:rPr>
          <w:color w:val="231F20"/>
          <w:spacing w:val="10"/>
        </w:rPr>
        <w:t xml:space="preserve"> </w:t>
      </w:r>
      <w:r>
        <w:rPr>
          <w:color w:val="231F20"/>
          <w:spacing w:val="3"/>
          <w:w w:val="102"/>
        </w:rPr>
        <w:t>a</w:t>
      </w:r>
      <w:r>
        <w:rPr>
          <w:color w:val="231F20"/>
          <w:spacing w:val="-1"/>
          <w:w w:val="94"/>
        </w:rPr>
        <w:t>r</w:t>
      </w:r>
      <w:r>
        <w:rPr>
          <w:color w:val="231F20"/>
          <w:w w:val="91"/>
        </w:rPr>
        <w:t>e</w:t>
      </w:r>
      <w:r>
        <w:rPr>
          <w:color w:val="231F20"/>
          <w:spacing w:val="10"/>
        </w:rPr>
        <w:t xml:space="preserve"> </w:t>
      </w:r>
      <w:r>
        <w:rPr>
          <w:color w:val="231F20"/>
        </w:rPr>
        <w:t>c</w:t>
      </w:r>
      <w:r>
        <w:rPr>
          <w:color w:val="231F20"/>
          <w:spacing w:val="-1"/>
          <w:w w:val="104"/>
        </w:rPr>
        <w:t>o</w:t>
      </w:r>
      <w:r>
        <w:rPr>
          <w:color w:val="231F20"/>
          <w:spacing w:val="3"/>
          <w:w w:val="99"/>
        </w:rPr>
        <w:t>n</w:t>
      </w:r>
      <w:r>
        <w:rPr>
          <w:color w:val="231F20"/>
          <w:spacing w:val="-1"/>
          <w:w w:val="99"/>
        </w:rPr>
        <w:t>n</w:t>
      </w:r>
      <w:r>
        <w:rPr>
          <w:color w:val="231F20"/>
          <w:spacing w:val="1"/>
          <w:w w:val="91"/>
        </w:rPr>
        <w:t>e</w:t>
      </w:r>
      <w:r>
        <w:rPr>
          <w:color w:val="231F20"/>
          <w:spacing w:val="3"/>
        </w:rPr>
        <w:t>c</w:t>
      </w:r>
      <w:r>
        <w:rPr>
          <w:color w:val="231F20"/>
          <w:w w:val="98"/>
        </w:rPr>
        <w:t>t</w:t>
      </w:r>
      <w:r>
        <w:rPr>
          <w:color w:val="231F20"/>
          <w:w w:val="91"/>
        </w:rPr>
        <w:t>e</w:t>
      </w:r>
      <w:r>
        <w:rPr>
          <w:color w:val="231F20"/>
        </w:rPr>
        <w:t>d</w:t>
      </w:r>
      <w:r>
        <w:rPr>
          <w:color w:val="231F20"/>
          <w:spacing w:val="10"/>
        </w:rPr>
        <w:t xml:space="preserve"> </w:t>
      </w:r>
      <w:r>
        <w:rPr>
          <w:color w:val="231F20"/>
          <w:spacing w:val="-2"/>
          <w:w w:val="98"/>
        </w:rPr>
        <w:t>t</w:t>
      </w:r>
      <w:r>
        <w:rPr>
          <w:color w:val="231F20"/>
          <w:w w:val="104"/>
        </w:rPr>
        <w:t>o</w:t>
      </w:r>
      <w:r>
        <w:rPr>
          <w:color w:val="231F20"/>
          <w:spacing w:val="10"/>
        </w:rPr>
        <w:t xml:space="preserve"> </w:t>
      </w:r>
      <w:r>
        <w:rPr>
          <w:color w:val="231F20"/>
          <w:spacing w:val="2"/>
          <w:w w:val="98"/>
        </w:rPr>
        <w:t>t</w:t>
      </w:r>
      <w:r>
        <w:rPr>
          <w:color w:val="231F20"/>
          <w:spacing w:val="-1"/>
        </w:rPr>
        <w:t>h</w:t>
      </w:r>
      <w:r>
        <w:rPr>
          <w:color w:val="231F20"/>
          <w:w w:val="91"/>
        </w:rPr>
        <w:t>e</w:t>
      </w:r>
      <w:r>
        <w:rPr>
          <w:color w:val="231F20"/>
          <w:spacing w:val="11"/>
        </w:rPr>
        <w:t xml:space="preserve"> </w:t>
      </w:r>
      <w:r>
        <w:rPr>
          <w:color w:val="231F20"/>
          <w:w w:val="111"/>
        </w:rPr>
        <w:t>U</w:t>
      </w:r>
      <w:r>
        <w:rPr>
          <w:color w:val="231F20"/>
          <w:spacing w:val="3"/>
          <w:w w:val="99"/>
        </w:rPr>
        <w:t>n</w:t>
      </w:r>
      <w:r>
        <w:rPr>
          <w:color w:val="231F20"/>
          <w:spacing w:val="-2"/>
        </w:rPr>
        <w:t>i</w:t>
      </w:r>
      <w:r>
        <w:rPr>
          <w:color w:val="231F20"/>
          <w:spacing w:val="-2"/>
          <w:w w:val="99"/>
        </w:rPr>
        <w:t>v</w:t>
      </w:r>
      <w:r>
        <w:rPr>
          <w:color w:val="231F20"/>
          <w:w w:val="92"/>
        </w:rPr>
        <w:t>er</w:t>
      </w:r>
      <w:r>
        <w:rPr>
          <w:color w:val="231F20"/>
          <w:spacing w:val="-1"/>
          <w:w w:val="90"/>
        </w:rPr>
        <w:t>s</w:t>
      </w:r>
      <w:r>
        <w:rPr>
          <w:color w:val="231F20"/>
          <w:spacing w:val="-2"/>
        </w:rPr>
        <w:t>i</w:t>
      </w:r>
      <w:r>
        <w:rPr>
          <w:color w:val="231F20"/>
          <w:spacing w:val="5"/>
          <w:w w:val="98"/>
        </w:rPr>
        <w:t>t</w:t>
      </w:r>
      <w:r>
        <w:rPr>
          <w:color w:val="231F20"/>
          <w:w w:val="99"/>
        </w:rPr>
        <w:t>y</w:t>
      </w:r>
      <w:r>
        <w:rPr>
          <w:color w:val="231F20"/>
          <w:spacing w:val="10"/>
        </w:rPr>
        <w:t xml:space="preserve"> </w:t>
      </w:r>
      <w:r>
        <w:rPr>
          <w:color w:val="231F20"/>
          <w:spacing w:val="-2"/>
          <w:w w:val="104"/>
        </w:rPr>
        <w:t>o</w:t>
      </w:r>
      <w:r>
        <w:rPr>
          <w:color w:val="231F20"/>
          <w:w w:val="109"/>
        </w:rPr>
        <w:t>f</w:t>
      </w:r>
      <w:r>
        <w:rPr>
          <w:color w:val="231F20"/>
          <w:spacing w:val="10"/>
        </w:rPr>
        <w:t xml:space="preserve"> </w:t>
      </w:r>
      <w:r>
        <w:rPr>
          <w:color w:val="231F20"/>
          <w:w w:val="121"/>
        </w:rPr>
        <w:t>H</w:t>
      </w:r>
      <w:r>
        <w:rPr>
          <w:color w:val="231F20"/>
          <w:spacing w:val="-1"/>
          <w:w w:val="104"/>
        </w:rPr>
        <w:t>o</w:t>
      </w:r>
      <w:r>
        <w:rPr>
          <w:color w:val="231F20"/>
          <w:spacing w:val="-1"/>
          <w:w w:val="99"/>
        </w:rPr>
        <w:t>m</w:t>
      </w:r>
      <w:r>
        <w:rPr>
          <w:color w:val="231F20"/>
          <w:spacing w:val="-2"/>
          <w:w w:val="101"/>
        </w:rPr>
        <w:t>b</w:t>
      </w:r>
      <w:r>
        <w:rPr>
          <w:color w:val="231F20"/>
          <w:spacing w:val="3"/>
        </w:rPr>
        <w:t>u</w:t>
      </w:r>
      <w:r>
        <w:rPr>
          <w:color w:val="231F20"/>
          <w:w w:val="94"/>
        </w:rPr>
        <w:t>r</w:t>
      </w:r>
      <w:r>
        <w:rPr>
          <w:color w:val="231F20"/>
          <w:spacing w:val="10"/>
          <w:w w:val="101"/>
        </w:rPr>
        <w:t>g</w:t>
      </w:r>
      <w:r>
        <w:rPr>
          <w:color w:val="231F20"/>
          <w:spacing w:val="2"/>
          <w:w w:val="56"/>
        </w:rPr>
        <w:t>/</w:t>
      </w:r>
      <w:r>
        <w:rPr>
          <w:color w:val="231F20"/>
          <w:spacing w:val="2"/>
        </w:rPr>
        <w:t>S</w:t>
      </w:r>
      <w:r>
        <w:rPr>
          <w:color w:val="231F20"/>
          <w:spacing w:val="3"/>
          <w:w w:val="102"/>
        </w:rPr>
        <w:t>a</w:t>
      </w:r>
      <w:r>
        <w:rPr>
          <w:color w:val="231F20"/>
          <w:spacing w:val="1"/>
          <w:w w:val="94"/>
        </w:rPr>
        <w:t>r</w:t>
      </w:r>
      <w:r>
        <w:rPr>
          <w:color w:val="231F20"/>
          <w:spacing w:val="-1"/>
          <w:w w:val="94"/>
        </w:rPr>
        <w:t>r</w:t>
      </w:r>
      <w:r>
        <w:rPr>
          <w:color w:val="231F20"/>
          <w:spacing w:val="-7"/>
          <w:w w:val="91"/>
        </w:rPr>
        <w:t>e</w:t>
      </w:r>
      <w:r>
        <w:rPr>
          <w:color w:val="231F20"/>
          <w:spacing w:val="-4"/>
          <w:w w:val="87"/>
        </w:rPr>
        <w:t>)</w:t>
      </w:r>
      <w:r>
        <w:rPr>
          <w:color w:val="231F20"/>
          <w:w w:val="135"/>
        </w:rPr>
        <w:t>.</w:t>
      </w:r>
    </w:p>
    <w:p w14:paraId="51520F6E" w14:textId="77777777" w:rsidR="002653E8" w:rsidRDefault="003115E3">
      <w:pPr>
        <w:pStyle w:val="a3"/>
        <w:spacing w:line="264" w:lineRule="auto"/>
        <w:ind w:left="1327" w:right="1146" w:firstLine="210"/>
        <w:jc w:val="both"/>
      </w:pPr>
      <w:r>
        <w:rPr>
          <w:color w:val="231F20"/>
        </w:rPr>
        <w:t>After the mobilization prevented this project, the dead wing  was  used again. The hunger strike and the smear campaign. Following the smear campaign came the law that makes it possible to exclude defense attorneys and to continue the trial in the absence of the accused,</w:t>
      </w:r>
      <w:r>
        <w:rPr>
          <w:color w:val="231F20"/>
          <w:position w:val="7"/>
          <w:sz w:val="11"/>
        </w:rPr>
        <w:t xml:space="preserve">2 </w:t>
      </w:r>
      <w:r>
        <w:rPr>
          <w:color w:val="231F20"/>
        </w:rPr>
        <w:t xml:space="preserve">which signifies the elimination of what remained of public accountability. Because the </w:t>
      </w:r>
      <w:r>
        <w:rPr>
          <w:i/>
          <w:color w:val="231F20"/>
        </w:rPr>
        <w:t xml:space="preserve">hearing </w:t>
      </w:r>
      <w:r>
        <w:rPr>
          <w:color w:val="231F20"/>
        </w:rPr>
        <w:t xml:space="preserve">to establish the prisoner’s inability to appear  </w:t>
      </w:r>
      <w:r>
        <w:rPr>
          <w:color w:val="231F20"/>
          <w:spacing w:val="-3"/>
        </w:rPr>
        <w:t xml:space="preserve">wasn’t </w:t>
      </w:r>
      <w:r>
        <w:rPr>
          <w:color w:val="231F20"/>
        </w:rPr>
        <w:t>public, the hearing was held in the special section—just like in Stammheim.</w:t>
      </w:r>
    </w:p>
    <w:p w14:paraId="5426E1E6" w14:textId="77777777" w:rsidR="002653E8" w:rsidRDefault="00000000">
      <w:pPr>
        <w:pStyle w:val="a3"/>
        <w:rPr>
          <w:sz w:val="13"/>
        </w:rPr>
      </w:pPr>
      <w:r>
        <w:rPr>
          <w:noProof w:val="0"/>
        </w:rPr>
        <w:pict w14:anchorId="609E7357">
          <v:line id="_x0000_s2348" style="position:absolute;z-index:7312;mso-wrap-distance-left:0;mso-wrap-distance-right:0;mso-position-horizontal-relative:page" from="66.4pt,9.85pt" to="138.4pt,9.85pt" strokecolor="#231f20" strokeweight=".5pt">
            <w10:wrap type="topAndBottom" anchorx="page"/>
          </v:line>
        </w:pict>
      </w:r>
    </w:p>
    <w:p w14:paraId="72B526D1" w14:textId="77777777" w:rsidR="002653E8" w:rsidRDefault="003115E3">
      <w:pPr>
        <w:pStyle w:val="a4"/>
        <w:numPr>
          <w:ilvl w:val="0"/>
          <w:numId w:val="102"/>
        </w:numPr>
        <w:tabs>
          <w:tab w:val="left" w:pos="1467"/>
        </w:tabs>
        <w:spacing w:before="53" w:line="254" w:lineRule="auto"/>
        <w:ind w:right="1160" w:firstLine="0"/>
        <w:rPr>
          <w:sz w:val="16"/>
        </w:rPr>
      </w:pPr>
      <w:r>
        <w:rPr>
          <w:color w:val="231F20"/>
          <w:spacing w:val="1"/>
          <w:w w:val="105"/>
          <w:sz w:val="16"/>
        </w:rPr>
        <w:t xml:space="preserve">This </w:t>
      </w:r>
      <w:r>
        <w:rPr>
          <w:color w:val="231F20"/>
          <w:w w:val="105"/>
          <w:sz w:val="16"/>
        </w:rPr>
        <w:t xml:space="preserve">introductory paragraph comes from the book </w:t>
      </w:r>
      <w:r>
        <w:rPr>
          <w:i/>
          <w:color w:val="231F20"/>
          <w:w w:val="105"/>
          <w:sz w:val="16"/>
        </w:rPr>
        <w:t xml:space="preserve">Karlek med forhinder  </w:t>
      </w:r>
      <w:r>
        <w:rPr>
          <w:color w:val="231F20"/>
          <w:w w:val="105"/>
          <w:sz w:val="16"/>
        </w:rPr>
        <w:t xml:space="preserve">(“Love with Impediments”) published in Sweden in 1978 by independent publisher </w:t>
      </w:r>
      <w:r>
        <w:rPr>
          <w:color w:val="231F20"/>
          <w:spacing w:val="1"/>
          <w:w w:val="105"/>
          <w:sz w:val="16"/>
        </w:rPr>
        <w:t xml:space="preserve">Bo </w:t>
      </w:r>
      <w:r>
        <w:rPr>
          <w:color w:val="231F20"/>
          <w:w w:val="105"/>
          <w:sz w:val="16"/>
        </w:rPr>
        <w:t xml:space="preserve">Cavefors. The intent was to smuggle the </w:t>
      </w:r>
      <w:r w:rsidR="00C507A5">
        <w:rPr>
          <w:color w:val="231F20"/>
          <w:spacing w:val="3"/>
          <w:w w:val="105"/>
          <w:sz w:val="16"/>
        </w:rPr>
        <w:t>red army faction</w:t>
      </w:r>
      <w:r>
        <w:rPr>
          <w:color w:val="231F20"/>
          <w:spacing w:val="3"/>
          <w:w w:val="105"/>
          <w:sz w:val="16"/>
        </w:rPr>
        <w:t xml:space="preserve"> </w:t>
      </w:r>
      <w:r>
        <w:rPr>
          <w:color w:val="231F20"/>
          <w:w w:val="105"/>
          <w:sz w:val="16"/>
        </w:rPr>
        <w:t>writings in a book with a phony cover into</w:t>
      </w:r>
      <w:r>
        <w:rPr>
          <w:color w:val="231F20"/>
          <w:spacing w:val="12"/>
          <w:w w:val="105"/>
          <w:sz w:val="16"/>
        </w:rPr>
        <w:t xml:space="preserve"> </w:t>
      </w:r>
      <w:r>
        <w:rPr>
          <w:color w:val="231F20"/>
          <w:w w:val="105"/>
          <w:sz w:val="16"/>
        </w:rPr>
        <w:t>West</w:t>
      </w:r>
      <w:r>
        <w:rPr>
          <w:color w:val="231F20"/>
          <w:spacing w:val="12"/>
          <w:w w:val="105"/>
          <w:sz w:val="16"/>
        </w:rPr>
        <w:t xml:space="preserve"> </w:t>
      </w:r>
      <w:r>
        <w:rPr>
          <w:color w:val="231F20"/>
          <w:w w:val="105"/>
          <w:sz w:val="16"/>
        </w:rPr>
        <w:t>Germany</w:t>
      </w:r>
      <w:r>
        <w:rPr>
          <w:color w:val="231F20"/>
          <w:spacing w:val="12"/>
          <w:w w:val="105"/>
          <w:sz w:val="16"/>
        </w:rPr>
        <w:t xml:space="preserve"> </w:t>
      </w:r>
      <w:r>
        <w:rPr>
          <w:color w:val="231F20"/>
          <w:w w:val="105"/>
          <w:sz w:val="16"/>
        </w:rPr>
        <w:t>where</w:t>
      </w:r>
      <w:r>
        <w:rPr>
          <w:color w:val="231F20"/>
          <w:spacing w:val="12"/>
          <w:w w:val="105"/>
          <w:sz w:val="16"/>
        </w:rPr>
        <w:t xml:space="preserve"> </w:t>
      </w:r>
      <w:r>
        <w:rPr>
          <w:color w:val="231F20"/>
          <w:w w:val="105"/>
          <w:sz w:val="16"/>
        </w:rPr>
        <w:t>publication</w:t>
      </w:r>
      <w:r>
        <w:rPr>
          <w:color w:val="231F20"/>
          <w:spacing w:val="12"/>
          <w:w w:val="105"/>
          <w:sz w:val="16"/>
        </w:rPr>
        <w:t xml:space="preserve"> </w:t>
      </w:r>
      <w:r>
        <w:rPr>
          <w:color w:val="231F20"/>
          <w:w w:val="105"/>
          <w:sz w:val="16"/>
        </w:rPr>
        <w:t>and</w:t>
      </w:r>
      <w:r>
        <w:rPr>
          <w:color w:val="231F20"/>
          <w:spacing w:val="12"/>
          <w:w w:val="105"/>
          <w:sz w:val="16"/>
        </w:rPr>
        <w:t xml:space="preserve"> </w:t>
      </w:r>
      <w:r>
        <w:rPr>
          <w:color w:val="231F20"/>
          <w:w w:val="105"/>
          <w:sz w:val="16"/>
        </w:rPr>
        <w:t>distribution</w:t>
      </w:r>
      <w:r>
        <w:rPr>
          <w:color w:val="231F20"/>
          <w:spacing w:val="12"/>
          <w:w w:val="105"/>
          <w:sz w:val="16"/>
        </w:rPr>
        <w:t xml:space="preserve"> </w:t>
      </w:r>
      <w:r>
        <w:rPr>
          <w:color w:val="231F20"/>
          <w:w w:val="105"/>
          <w:sz w:val="16"/>
        </w:rPr>
        <w:t>of</w:t>
      </w:r>
      <w:r>
        <w:rPr>
          <w:color w:val="231F20"/>
          <w:spacing w:val="13"/>
          <w:w w:val="105"/>
          <w:sz w:val="16"/>
        </w:rPr>
        <w:t xml:space="preserve"> </w:t>
      </w:r>
      <w:r w:rsidR="00C507A5">
        <w:rPr>
          <w:color w:val="231F20"/>
          <w:spacing w:val="3"/>
          <w:w w:val="105"/>
          <w:sz w:val="16"/>
        </w:rPr>
        <w:t>red army faction</w:t>
      </w:r>
      <w:r>
        <w:rPr>
          <w:color w:val="231F20"/>
          <w:spacing w:val="12"/>
          <w:w w:val="105"/>
          <w:sz w:val="16"/>
        </w:rPr>
        <w:t xml:space="preserve"> </w:t>
      </w:r>
      <w:r>
        <w:rPr>
          <w:color w:val="231F20"/>
          <w:w w:val="105"/>
          <w:sz w:val="16"/>
        </w:rPr>
        <w:t>material</w:t>
      </w:r>
      <w:r>
        <w:rPr>
          <w:color w:val="231F20"/>
          <w:spacing w:val="12"/>
          <w:w w:val="105"/>
          <w:sz w:val="16"/>
        </w:rPr>
        <w:t xml:space="preserve"> </w:t>
      </w:r>
      <w:r>
        <w:rPr>
          <w:color w:val="231F20"/>
          <w:w w:val="105"/>
          <w:sz w:val="16"/>
        </w:rPr>
        <w:t>was</w:t>
      </w:r>
      <w:r>
        <w:rPr>
          <w:color w:val="231F20"/>
          <w:spacing w:val="12"/>
          <w:w w:val="105"/>
          <w:sz w:val="16"/>
        </w:rPr>
        <w:t xml:space="preserve"> </w:t>
      </w:r>
      <w:r>
        <w:rPr>
          <w:color w:val="231F20"/>
          <w:w w:val="105"/>
          <w:sz w:val="16"/>
        </w:rPr>
        <w:t>illegal.</w:t>
      </w:r>
    </w:p>
    <w:p w14:paraId="2A9F2034" w14:textId="77777777" w:rsidR="002653E8" w:rsidRDefault="003115E3">
      <w:pPr>
        <w:pStyle w:val="a4"/>
        <w:numPr>
          <w:ilvl w:val="0"/>
          <w:numId w:val="102"/>
        </w:numPr>
        <w:tabs>
          <w:tab w:val="left" w:pos="1467"/>
        </w:tabs>
        <w:spacing w:line="254" w:lineRule="auto"/>
        <w:ind w:right="1262" w:firstLine="0"/>
        <w:rPr>
          <w:sz w:val="16"/>
        </w:rPr>
      </w:pPr>
      <w:r>
        <w:rPr>
          <w:color w:val="231F20"/>
          <w:spacing w:val="1"/>
          <w:w w:val="105"/>
          <w:sz w:val="16"/>
        </w:rPr>
        <w:t xml:space="preserve">This </w:t>
      </w:r>
      <w:r>
        <w:rPr>
          <w:color w:val="231F20"/>
          <w:w w:val="105"/>
          <w:sz w:val="16"/>
        </w:rPr>
        <w:t xml:space="preserve">legislation, part of the </w:t>
      </w:r>
      <w:r>
        <w:rPr>
          <w:i/>
          <w:color w:val="231F20"/>
          <w:spacing w:val="1"/>
          <w:w w:val="105"/>
          <w:sz w:val="16"/>
        </w:rPr>
        <w:t xml:space="preserve">Lex Baader-Meinhof, </w:t>
      </w:r>
      <w:r>
        <w:rPr>
          <w:color w:val="231F20"/>
          <w:w w:val="105"/>
          <w:sz w:val="16"/>
        </w:rPr>
        <w:t xml:space="preserve">was passed in December </w:t>
      </w:r>
      <w:r>
        <w:rPr>
          <w:color w:val="231F20"/>
          <w:spacing w:val="-4"/>
          <w:w w:val="105"/>
          <w:sz w:val="16"/>
        </w:rPr>
        <w:t xml:space="preserve">1974. </w:t>
      </w:r>
      <w:r>
        <w:rPr>
          <w:color w:val="231F20"/>
          <w:w w:val="105"/>
          <w:sz w:val="16"/>
        </w:rPr>
        <w:t>For more on this see page</w:t>
      </w:r>
      <w:r>
        <w:rPr>
          <w:color w:val="231F20"/>
          <w:spacing w:val="10"/>
          <w:w w:val="105"/>
          <w:sz w:val="16"/>
        </w:rPr>
        <w:t xml:space="preserve"> </w:t>
      </w:r>
      <w:r>
        <w:rPr>
          <w:color w:val="231F20"/>
          <w:spacing w:val="-4"/>
          <w:w w:val="105"/>
          <w:sz w:val="16"/>
        </w:rPr>
        <w:t>345.</w:t>
      </w:r>
    </w:p>
    <w:p w14:paraId="35A34388" w14:textId="77777777" w:rsidR="002653E8" w:rsidRDefault="002653E8">
      <w:pPr>
        <w:spacing w:line="254" w:lineRule="auto"/>
        <w:rPr>
          <w:sz w:val="16"/>
        </w:rPr>
        <w:sectPr w:rsidR="002653E8">
          <w:footerReference w:type="even" r:id="rId268"/>
          <w:footerReference w:type="default" r:id="rId269"/>
          <w:pgSz w:w="8640" w:h="12960"/>
          <w:pgMar w:top="1220" w:right="0" w:bottom="1040" w:left="0" w:header="0" w:footer="850" w:gutter="0"/>
          <w:cols w:space="720"/>
        </w:sectPr>
      </w:pPr>
    </w:p>
    <w:p w14:paraId="53628DAC" w14:textId="77777777" w:rsidR="002653E8" w:rsidRDefault="003115E3">
      <w:pPr>
        <w:pStyle w:val="a3"/>
        <w:spacing w:before="86" w:line="264" w:lineRule="auto"/>
        <w:ind w:left="1147" w:right="1326" w:firstLine="210"/>
        <w:jc w:val="both"/>
      </w:pPr>
      <w:r>
        <w:rPr>
          <w:color w:val="231F20"/>
          <w:spacing w:val="1"/>
        </w:rPr>
        <w:lastRenderedPageBreak/>
        <w:t xml:space="preserve">In </w:t>
      </w:r>
      <w:r>
        <w:rPr>
          <w:color w:val="231F20"/>
        </w:rPr>
        <w:t>Zweibrücken last week, in the case of Manfred Grashof, it was demonstrated how these obligatory medical examinations could be  used to prevent a prisoner from</w:t>
      </w:r>
      <w:r>
        <w:rPr>
          <w:color w:val="231F20"/>
          <w:spacing w:val="17"/>
        </w:rPr>
        <w:t xml:space="preserve"> </w:t>
      </w:r>
      <w:r>
        <w:rPr>
          <w:color w:val="231F20"/>
        </w:rPr>
        <w:t>testifying.</w:t>
      </w:r>
    </w:p>
    <w:p w14:paraId="06E1F474" w14:textId="77777777" w:rsidR="002653E8" w:rsidRDefault="003115E3">
      <w:pPr>
        <w:pStyle w:val="a3"/>
        <w:spacing w:line="264" w:lineRule="auto"/>
        <w:ind w:left="1147" w:right="1326" w:firstLine="210"/>
        <w:jc w:val="both"/>
      </w:pPr>
      <w:r>
        <w:rPr>
          <w:color w:val="231F20"/>
          <w:spacing w:val="-5"/>
        </w:rPr>
        <w:t xml:space="preserve">We </w:t>
      </w:r>
      <w:r>
        <w:rPr>
          <w:color w:val="231F20"/>
        </w:rPr>
        <w:t xml:space="preserve">certainly can’t agree with the argument regarding torture as it is developed by Schily in his petition. That is to </w:t>
      </w:r>
      <w:r>
        <w:rPr>
          <w:color w:val="231F20"/>
          <w:spacing w:val="-4"/>
        </w:rPr>
        <w:t xml:space="preserve">say, </w:t>
      </w:r>
      <w:r>
        <w:rPr>
          <w:color w:val="231F20"/>
        </w:rPr>
        <w:t xml:space="preserve">we refuse to be the object of his analysis. For the torture victim, arriving at a conception     of torture is an ambiguous and impossible endeavor, because we can only appeal—and </w:t>
      </w:r>
      <w:r>
        <w:rPr>
          <w:color w:val="231F20"/>
          <w:spacing w:val="-3"/>
        </w:rPr>
        <w:t xml:space="preserve">it’s </w:t>
      </w:r>
      <w:r>
        <w:rPr>
          <w:color w:val="231F20"/>
        </w:rPr>
        <w:t xml:space="preserve">pointless—to an indignation based on a liberal conception of the state confronted with the deformation of that state, a deformation which is unavoidable for it is conditioned by the contradictions resulting from the movement of capital itself. </w:t>
      </w:r>
      <w:r>
        <w:rPr>
          <w:color w:val="231F20"/>
          <w:spacing w:val="1"/>
        </w:rPr>
        <w:t xml:space="preserve">In </w:t>
      </w:r>
      <w:r>
        <w:rPr>
          <w:color w:val="231F20"/>
        </w:rPr>
        <w:t>reacting to revolutionary politics, the state does not know what to do except torture, and in doing so it exposes itself as an imperialist state. The indignation of degenerate bourgeois antifascism only masks this. The latter is already so weak, corrupted by social democracy, and locked in revisionism, that it</w:t>
      </w:r>
      <w:r>
        <w:rPr>
          <w:color w:val="231F20"/>
          <w:spacing w:val="10"/>
        </w:rPr>
        <w:t xml:space="preserve"> </w:t>
      </w:r>
      <w:r>
        <w:rPr>
          <w:color w:val="231F20"/>
        </w:rPr>
        <w:t>can</w:t>
      </w:r>
      <w:r>
        <w:rPr>
          <w:color w:val="231F20"/>
          <w:spacing w:val="10"/>
        </w:rPr>
        <w:t xml:space="preserve"> </w:t>
      </w:r>
      <w:r>
        <w:rPr>
          <w:color w:val="231F20"/>
        </w:rPr>
        <w:t>no</w:t>
      </w:r>
      <w:r>
        <w:rPr>
          <w:color w:val="231F20"/>
          <w:spacing w:val="10"/>
        </w:rPr>
        <w:t xml:space="preserve"> </w:t>
      </w:r>
      <w:r>
        <w:rPr>
          <w:color w:val="231F20"/>
        </w:rPr>
        <w:t>longer</w:t>
      </w:r>
      <w:r>
        <w:rPr>
          <w:color w:val="231F20"/>
          <w:spacing w:val="10"/>
        </w:rPr>
        <w:t xml:space="preserve"> </w:t>
      </w:r>
      <w:r>
        <w:rPr>
          <w:color w:val="231F20"/>
        </w:rPr>
        <w:t>express</w:t>
      </w:r>
      <w:r>
        <w:rPr>
          <w:color w:val="231F20"/>
          <w:spacing w:val="10"/>
        </w:rPr>
        <w:t xml:space="preserve"> </w:t>
      </w:r>
      <w:r>
        <w:rPr>
          <w:color w:val="231F20"/>
        </w:rPr>
        <w:t>itself</w:t>
      </w:r>
      <w:r>
        <w:rPr>
          <w:color w:val="231F20"/>
          <w:spacing w:val="10"/>
        </w:rPr>
        <w:t xml:space="preserve"> </w:t>
      </w:r>
      <w:r>
        <w:rPr>
          <w:color w:val="231F20"/>
        </w:rPr>
        <w:t>in</w:t>
      </w:r>
      <w:r>
        <w:rPr>
          <w:color w:val="231F20"/>
          <w:spacing w:val="10"/>
        </w:rPr>
        <w:t xml:space="preserve"> </w:t>
      </w:r>
      <w:r>
        <w:rPr>
          <w:color w:val="231F20"/>
        </w:rPr>
        <w:t>a</w:t>
      </w:r>
      <w:r>
        <w:rPr>
          <w:color w:val="231F20"/>
          <w:spacing w:val="10"/>
        </w:rPr>
        <w:t xml:space="preserve"> </w:t>
      </w:r>
      <w:r>
        <w:rPr>
          <w:color w:val="231F20"/>
        </w:rPr>
        <w:t>meaningful</w:t>
      </w:r>
      <w:r>
        <w:rPr>
          <w:color w:val="231F20"/>
          <w:spacing w:val="10"/>
        </w:rPr>
        <w:t xml:space="preserve"> </w:t>
      </w:r>
      <w:r>
        <w:rPr>
          <w:color w:val="231F20"/>
          <w:spacing w:val="-5"/>
        </w:rPr>
        <w:t>way.</w:t>
      </w:r>
    </w:p>
    <w:p w14:paraId="256BA803" w14:textId="77777777" w:rsidR="002653E8" w:rsidRDefault="003115E3">
      <w:pPr>
        <w:pStyle w:val="a3"/>
        <w:spacing w:line="220" w:lineRule="exact"/>
        <w:ind w:left="1357"/>
      </w:pPr>
      <w:r>
        <w:rPr>
          <w:color w:val="231F20"/>
        </w:rPr>
        <w:t>An example of this same old miserable situation. So bourgeois anti-</w:t>
      </w:r>
    </w:p>
    <w:p w14:paraId="2E193277" w14:textId="77777777" w:rsidR="002653E8" w:rsidRDefault="003115E3">
      <w:pPr>
        <w:pStyle w:val="a3"/>
        <w:spacing w:before="19" w:line="264" w:lineRule="auto"/>
        <w:ind w:left="1147" w:right="1326"/>
        <w:jc w:val="both"/>
      </w:pPr>
      <w:r>
        <w:rPr>
          <w:color w:val="231F20"/>
        </w:rPr>
        <w:t>fascism puts itself at the service of the state in the hope of changing it, and is itself changed by the state, becoming an instrument of the state, serving to prevent radicalization, before it is finally liquidated for being an expression of bourgeois ideology, of bourgeois humanism, of traditional bourgeois liberties, that disrupts the broader process of capital’s ideological reproduction.</w:t>
      </w:r>
    </w:p>
    <w:p w14:paraId="17B1BBA0" w14:textId="77777777" w:rsidR="002653E8" w:rsidRDefault="003115E3">
      <w:pPr>
        <w:pStyle w:val="a3"/>
        <w:spacing w:line="264" w:lineRule="auto"/>
        <w:ind w:left="1147" w:right="1326" w:firstLine="210"/>
        <w:jc w:val="both"/>
      </w:pPr>
      <w:r>
        <w:rPr>
          <w:color w:val="231F20"/>
        </w:rPr>
        <w:t xml:space="preserve">It makes no sense to talk about torture without at the same time talking about the perspective and strategy that will abolish it: those of </w:t>
      </w:r>
      <w:r>
        <w:rPr>
          <w:i/>
          <w:color w:val="231F20"/>
        </w:rPr>
        <w:t xml:space="preserve">revolutionary </w:t>
      </w:r>
      <w:r>
        <w:rPr>
          <w:color w:val="231F20"/>
        </w:rPr>
        <w:t>politics. The bourgeois antifascist blather on this subject ends up denouncing the torture victims themselves.</w:t>
      </w:r>
    </w:p>
    <w:p w14:paraId="1877AC0A" w14:textId="77777777" w:rsidR="002653E8" w:rsidRDefault="003115E3">
      <w:pPr>
        <w:pStyle w:val="a3"/>
        <w:spacing w:line="264" w:lineRule="auto"/>
        <w:ind w:left="1147" w:right="1326" w:firstLine="210"/>
        <w:jc w:val="both"/>
      </w:pPr>
      <w:r>
        <w:rPr>
          <w:color w:val="231F20"/>
        </w:rPr>
        <w:t xml:space="preserve">Certainly isolation is torture. No matter how those who suffer it experience it, it is a slow process that leaves one with lots of time to reflect on the destruction of one’s political identity and is more horrifying than any physical pain we have experienced. Political consciousness falls into the trap set by consumer society, the trap of alienated production and alienated consumption, with all its complex cultural and psychological mediations. It is only in opposition to all this that one’s identity can be developed—it is a process that can only be realized in struggle. In the agony of isolation, it is this process that they want to break down by depriving us of its basis: political practice and conscious social interaction. The prisoner is deprived of his political history, </w:t>
      </w:r>
      <w:r>
        <w:rPr>
          <w:i/>
          <w:color w:val="231F20"/>
        </w:rPr>
        <w:t xml:space="preserve">his own </w:t>
      </w:r>
      <w:r>
        <w:rPr>
          <w:color w:val="231F20"/>
        </w:rPr>
        <w:t>history to the degree that his conscious history is a political history.</w:t>
      </w:r>
    </w:p>
    <w:p w14:paraId="420FB6FA" w14:textId="77777777" w:rsidR="002653E8" w:rsidRDefault="003115E3">
      <w:pPr>
        <w:pStyle w:val="a3"/>
        <w:spacing w:line="221" w:lineRule="exact"/>
        <w:ind w:left="1357"/>
      </w:pPr>
      <w:r>
        <w:rPr>
          <w:color w:val="231F20"/>
        </w:rPr>
        <w:t>It is also the end of one’s personality.</w:t>
      </w:r>
    </w:p>
    <w:p w14:paraId="6FEB6943" w14:textId="77777777" w:rsidR="002653E8" w:rsidRDefault="002653E8">
      <w:pPr>
        <w:spacing w:line="221" w:lineRule="exact"/>
        <w:sectPr w:rsidR="002653E8">
          <w:pgSz w:w="8640" w:h="12960"/>
          <w:pgMar w:top="1060" w:right="0" w:bottom="1040" w:left="0" w:header="0" w:footer="850" w:gutter="0"/>
          <w:cols w:space="720"/>
        </w:sectPr>
      </w:pPr>
    </w:p>
    <w:p w14:paraId="35322461" w14:textId="77777777" w:rsidR="002653E8" w:rsidRDefault="003115E3">
      <w:pPr>
        <w:pStyle w:val="a3"/>
        <w:spacing w:before="86" w:line="264" w:lineRule="auto"/>
        <w:ind w:left="1327" w:right="1145" w:firstLine="210"/>
        <w:jc w:val="both"/>
      </w:pPr>
      <w:r>
        <w:rPr>
          <w:color w:val="231F20"/>
          <w:spacing w:val="-8"/>
        </w:rPr>
        <w:lastRenderedPageBreak/>
        <w:t xml:space="preserve">To </w:t>
      </w:r>
      <w:r>
        <w:rPr>
          <w:color w:val="231F20"/>
        </w:rPr>
        <w:t xml:space="preserve">the degree that history is the process that creates the personal </w:t>
      </w:r>
      <w:r>
        <w:rPr>
          <w:color w:val="231F20"/>
          <w:spacing w:val="-3"/>
        </w:rPr>
        <w:t xml:space="preserve">ity, </w:t>
      </w:r>
      <w:r>
        <w:rPr>
          <w:color w:val="231F20"/>
        </w:rPr>
        <w:t xml:space="preserve">if history is lost the personality is lost. Not because one forgets it (even if that is one manifestation), but because the ability to reconstruct it, to reflect upon it, to </w:t>
      </w:r>
      <w:r>
        <w:rPr>
          <w:i/>
          <w:color w:val="231F20"/>
        </w:rPr>
        <w:t xml:space="preserve">recognize </w:t>
      </w:r>
      <w:r>
        <w:rPr>
          <w:color w:val="231F20"/>
        </w:rPr>
        <w:t>it,  is  destroyed.  One  becomes  unable to relate to what has been accomplished and what one has oneself accomplished.</w:t>
      </w:r>
    </w:p>
    <w:p w14:paraId="5FAA6C96" w14:textId="77777777" w:rsidR="002653E8" w:rsidRDefault="003115E3">
      <w:pPr>
        <w:pStyle w:val="a3"/>
        <w:spacing w:line="264" w:lineRule="auto"/>
        <w:ind w:left="1328" w:right="1145" w:firstLine="210"/>
        <w:jc w:val="both"/>
      </w:pPr>
      <w:r>
        <w:rPr>
          <w:color w:val="231F20"/>
        </w:rPr>
        <w:t xml:space="preserve">It is the system that creates the relationship. One regresses and flounders about aimlessly amidst the ubiquitous mystifications of bourgeois socialization, because one is </w:t>
      </w:r>
      <w:r>
        <w:rPr>
          <w:i/>
          <w:color w:val="231F20"/>
        </w:rPr>
        <w:t xml:space="preserve">alone </w:t>
      </w:r>
      <w:r>
        <w:rPr>
          <w:color w:val="231F20"/>
        </w:rPr>
        <w:t>and can no longer see that these mystifications are utterly destructive.</w:t>
      </w:r>
    </w:p>
    <w:p w14:paraId="28149E0B" w14:textId="77777777" w:rsidR="002653E8" w:rsidRDefault="003115E3">
      <w:pPr>
        <w:pStyle w:val="a3"/>
        <w:spacing w:line="264" w:lineRule="auto"/>
        <w:ind w:left="1328" w:right="1146" w:firstLine="210"/>
        <w:jc w:val="both"/>
      </w:pPr>
      <w:r>
        <w:rPr>
          <w:color w:val="231F20"/>
        </w:rPr>
        <w:t>The moment one ceases to fight—</w:t>
      </w:r>
      <w:r>
        <w:rPr>
          <w:i/>
          <w:color w:val="231F20"/>
        </w:rPr>
        <w:t xml:space="preserve">can </w:t>
      </w:r>
      <w:r>
        <w:rPr>
          <w:color w:val="231F20"/>
        </w:rPr>
        <w:t xml:space="preserve">no longer fight—one becomes  a blank slate, as we have said, a </w:t>
      </w:r>
      <w:r>
        <w:rPr>
          <w:i/>
          <w:color w:val="231F20"/>
        </w:rPr>
        <w:t xml:space="preserve">victim </w:t>
      </w:r>
      <w:r>
        <w:rPr>
          <w:color w:val="231F20"/>
        </w:rPr>
        <w:t xml:space="preserve">(and, in this </w:t>
      </w:r>
      <w:r>
        <w:rPr>
          <w:color w:val="231F20"/>
          <w:spacing w:val="-5"/>
        </w:rPr>
        <w:t xml:space="preserve">way, </w:t>
      </w:r>
      <w:r>
        <w:rPr>
          <w:color w:val="231F20"/>
        </w:rPr>
        <w:t>maybe one becomes innocent as</w:t>
      </w:r>
      <w:r>
        <w:rPr>
          <w:color w:val="231F20"/>
          <w:spacing w:val="30"/>
        </w:rPr>
        <w:t xml:space="preserve"> </w:t>
      </w:r>
      <w:r>
        <w:rPr>
          <w:color w:val="231F20"/>
        </w:rPr>
        <w:t>well).</w:t>
      </w:r>
    </w:p>
    <w:p w14:paraId="39FFE6E3" w14:textId="77777777" w:rsidR="002653E8" w:rsidRDefault="003115E3">
      <w:pPr>
        <w:pStyle w:val="a3"/>
        <w:spacing w:line="264" w:lineRule="auto"/>
        <w:ind w:left="1328" w:right="1146" w:firstLine="210"/>
        <w:jc w:val="both"/>
      </w:pPr>
      <w:r>
        <w:rPr>
          <w:color w:val="231F20"/>
        </w:rPr>
        <w:t>One’s misery is fundamentally connected to the fact that it could be foreseen for some time, and to the fact that one knows that spending years in isolation is the equivalent of being shot. It is just harder to comprehend—this is part of what it’s all about—and much more cruel.</w:t>
      </w:r>
    </w:p>
    <w:p w14:paraId="2949529B" w14:textId="77777777" w:rsidR="002653E8" w:rsidRDefault="002653E8">
      <w:pPr>
        <w:pStyle w:val="a3"/>
        <w:spacing w:before="4"/>
        <w:rPr>
          <w:sz w:val="19"/>
        </w:rPr>
      </w:pPr>
    </w:p>
    <w:p w14:paraId="7CF2CA5D" w14:textId="77777777" w:rsidR="002653E8" w:rsidRDefault="003115E3">
      <w:pPr>
        <w:spacing w:line="276" w:lineRule="auto"/>
        <w:ind w:left="1747" w:right="1565"/>
        <w:jc w:val="both"/>
        <w:rPr>
          <w:i/>
          <w:sz w:val="19"/>
        </w:rPr>
      </w:pPr>
      <w:r>
        <w:rPr>
          <w:i/>
          <w:color w:val="231F20"/>
          <w:sz w:val="19"/>
        </w:rPr>
        <w:t>The human being is in the most literal sense a “zoon politikon” not merely a gregarious animal, but an animal which can individuate itself only in the midst of society. Production by an isolated individual outside society—a rare exception which may well occur when a civilized person in whom the social forces are already dynamically present is cast by accident into the wilderness—is as much of an absurdity as is the development of language without individuals living together and talking to each other.</w:t>
      </w:r>
    </w:p>
    <w:p w14:paraId="094A4B9F" w14:textId="77777777" w:rsidR="002653E8" w:rsidRDefault="003115E3">
      <w:pPr>
        <w:spacing w:before="38"/>
        <w:ind w:left="6102"/>
        <w:rPr>
          <w:sz w:val="11"/>
        </w:rPr>
      </w:pPr>
      <w:r>
        <w:rPr>
          <w:i/>
          <w:color w:val="231F20"/>
          <w:w w:val="105"/>
          <w:sz w:val="19"/>
        </w:rPr>
        <w:t>Grundrisse</w:t>
      </w:r>
      <w:r>
        <w:rPr>
          <w:color w:val="231F20"/>
          <w:w w:val="105"/>
          <w:position w:val="6"/>
          <w:sz w:val="11"/>
        </w:rPr>
        <w:t>1</w:t>
      </w:r>
    </w:p>
    <w:p w14:paraId="0243D3BB" w14:textId="77777777" w:rsidR="002653E8" w:rsidRDefault="002653E8">
      <w:pPr>
        <w:pStyle w:val="a3"/>
        <w:spacing w:before="1"/>
        <w:rPr>
          <w:sz w:val="23"/>
        </w:rPr>
      </w:pPr>
    </w:p>
    <w:p w14:paraId="7F1E4C8D" w14:textId="77777777" w:rsidR="002653E8" w:rsidRDefault="003115E3">
      <w:pPr>
        <w:pStyle w:val="a3"/>
        <w:spacing w:line="264" w:lineRule="auto"/>
        <w:ind w:left="1327" w:right="1146"/>
        <w:jc w:val="both"/>
      </w:pPr>
      <w:r>
        <w:rPr>
          <w:color w:val="231F20"/>
        </w:rPr>
        <w:t>It took us quite some time in the special section to recognize the method and the goal of isolation. I would say that to make sense of isolation it must be considered as part of the system as a whole: the fact that the system must respond with extermination to the contradictions that it produces, because it sees in these contradictions the possibility of its own definitive extermination. One who is re-educated is effectively destroyed by the special section. While this isn’t the objective of forced</w:t>
      </w:r>
    </w:p>
    <w:p w14:paraId="486BB017" w14:textId="77777777" w:rsidR="002653E8" w:rsidRDefault="00000000">
      <w:pPr>
        <w:pStyle w:val="a3"/>
        <w:spacing w:before="7"/>
        <w:rPr>
          <w:sz w:val="12"/>
        </w:rPr>
      </w:pPr>
      <w:r>
        <w:rPr>
          <w:noProof w:val="0"/>
        </w:rPr>
        <w:pict w14:anchorId="39BBBDA0">
          <v:line id="_x0000_s2347" style="position:absolute;z-index:7336;mso-wrap-distance-left:0;mso-wrap-distance-right:0;mso-position-horizontal-relative:page" from="66.4pt,9.6pt" to="138.4pt,9.6pt" strokecolor="#231f20" strokeweight=".5pt">
            <w10:wrap type="topAndBottom" anchorx="page"/>
          </v:line>
        </w:pict>
      </w:r>
    </w:p>
    <w:p w14:paraId="664F3E4A" w14:textId="77777777" w:rsidR="002653E8" w:rsidRDefault="003115E3">
      <w:pPr>
        <w:spacing w:before="53" w:line="254" w:lineRule="auto"/>
        <w:ind w:left="1327" w:right="1479"/>
        <w:rPr>
          <w:sz w:val="16"/>
        </w:rPr>
      </w:pPr>
      <w:r>
        <w:rPr>
          <w:color w:val="231F20"/>
          <w:sz w:val="16"/>
        </w:rPr>
        <w:t xml:space="preserve">1 The </w:t>
      </w:r>
      <w:r>
        <w:rPr>
          <w:i/>
          <w:color w:val="231F20"/>
          <w:spacing w:val="1"/>
          <w:sz w:val="16"/>
        </w:rPr>
        <w:t xml:space="preserve">Grundrisse </w:t>
      </w:r>
      <w:r>
        <w:rPr>
          <w:color w:val="231F20"/>
          <w:sz w:val="16"/>
        </w:rPr>
        <w:t xml:space="preserve">by Karl </w:t>
      </w:r>
      <w:r>
        <w:rPr>
          <w:color w:val="231F20"/>
          <w:spacing w:val="1"/>
          <w:sz w:val="16"/>
        </w:rPr>
        <w:t xml:space="preserve">Marx </w:t>
      </w:r>
      <w:r>
        <w:rPr>
          <w:color w:val="231F20"/>
          <w:sz w:val="16"/>
        </w:rPr>
        <w:t xml:space="preserve">was a book  of  notes  for  </w:t>
      </w:r>
      <w:r>
        <w:rPr>
          <w:color w:val="231F20"/>
          <w:spacing w:val="1"/>
          <w:sz w:val="16"/>
        </w:rPr>
        <w:t xml:space="preserve">future  </w:t>
      </w:r>
      <w:r>
        <w:rPr>
          <w:color w:val="231F20"/>
          <w:sz w:val="16"/>
        </w:rPr>
        <w:t xml:space="preserve">work  on  economics that was cut short by the author’s death. </w:t>
      </w:r>
      <w:r>
        <w:rPr>
          <w:color w:val="231F20"/>
          <w:spacing w:val="1"/>
          <w:sz w:val="16"/>
        </w:rPr>
        <w:t xml:space="preserve">This </w:t>
      </w:r>
      <w:r>
        <w:rPr>
          <w:color w:val="231F20"/>
          <w:sz w:val="16"/>
        </w:rPr>
        <w:t xml:space="preserve">passage comes from Karl  </w:t>
      </w:r>
      <w:r>
        <w:rPr>
          <w:color w:val="231F20"/>
          <w:spacing w:val="1"/>
          <w:sz w:val="16"/>
        </w:rPr>
        <w:t xml:space="preserve">Marx, </w:t>
      </w:r>
      <w:r>
        <w:rPr>
          <w:i/>
          <w:color w:val="231F20"/>
          <w:spacing w:val="1"/>
          <w:sz w:val="16"/>
        </w:rPr>
        <w:t xml:space="preserve">Grundrisse, </w:t>
      </w:r>
      <w:r>
        <w:rPr>
          <w:color w:val="231F20"/>
          <w:sz w:val="16"/>
        </w:rPr>
        <w:t xml:space="preserve">Foundations of the Critique of Political Economy, trans. </w:t>
      </w:r>
      <w:r>
        <w:rPr>
          <w:color w:val="231F20"/>
          <w:spacing w:val="1"/>
          <w:sz w:val="16"/>
        </w:rPr>
        <w:t xml:space="preserve">Martin </w:t>
      </w:r>
      <w:r>
        <w:rPr>
          <w:color w:val="231F20"/>
          <w:spacing w:val="1"/>
          <w:w w:val="126"/>
          <w:sz w:val="16"/>
        </w:rPr>
        <w:t>N</w:t>
      </w:r>
      <w:r>
        <w:rPr>
          <w:color w:val="231F20"/>
          <w:w w:val="103"/>
          <w:sz w:val="16"/>
        </w:rPr>
        <w:t>i</w:t>
      </w:r>
      <w:r>
        <w:rPr>
          <w:color w:val="231F20"/>
          <w:w w:val="104"/>
          <w:sz w:val="16"/>
        </w:rPr>
        <w:t>c</w:t>
      </w:r>
      <w:r>
        <w:rPr>
          <w:color w:val="231F20"/>
          <w:w w:val="108"/>
          <w:sz w:val="16"/>
        </w:rPr>
        <w:t>o</w:t>
      </w:r>
      <w:r>
        <w:rPr>
          <w:color w:val="231F20"/>
          <w:spacing w:val="1"/>
          <w:w w:val="106"/>
          <w:sz w:val="16"/>
        </w:rPr>
        <w:t>l</w:t>
      </w:r>
      <w:r>
        <w:rPr>
          <w:color w:val="231F20"/>
          <w:spacing w:val="-2"/>
          <w:w w:val="106"/>
          <w:sz w:val="16"/>
        </w:rPr>
        <w:t>a</w:t>
      </w:r>
      <w:r>
        <w:rPr>
          <w:color w:val="231F20"/>
          <w:spacing w:val="2"/>
          <w:w w:val="104"/>
          <w:sz w:val="16"/>
        </w:rPr>
        <w:t>u</w:t>
      </w:r>
      <w:r>
        <w:rPr>
          <w:color w:val="231F20"/>
          <w:w w:val="93"/>
          <w:sz w:val="16"/>
        </w:rPr>
        <w:t>s</w:t>
      </w:r>
      <w:r>
        <w:rPr>
          <w:color w:val="231F20"/>
          <w:spacing w:val="10"/>
          <w:sz w:val="16"/>
        </w:rPr>
        <w:t xml:space="preserve"> </w:t>
      </w:r>
      <w:r>
        <w:rPr>
          <w:color w:val="231F20"/>
          <w:spacing w:val="3"/>
          <w:w w:val="90"/>
          <w:sz w:val="16"/>
        </w:rPr>
        <w:t>(</w:t>
      </w:r>
      <w:r>
        <w:rPr>
          <w:color w:val="231F20"/>
          <w:spacing w:val="2"/>
          <w:w w:val="126"/>
          <w:sz w:val="16"/>
        </w:rPr>
        <w:t>N</w:t>
      </w:r>
      <w:r>
        <w:rPr>
          <w:color w:val="231F20"/>
          <w:spacing w:val="1"/>
          <w:w w:val="94"/>
          <w:sz w:val="16"/>
        </w:rPr>
        <w:t>e</w:t>
      </w:r>
      <w:r>
        <w:rPr>
          <w:color w:val="231F20"/>
          <w:w w:val="104"/>
          <w:sz w:val="16"/>
        </w:rPr>
        <w:t>w</w:t>
      </w:r>
      <w:r>
        <w:rPr>
          <w:color w:val="231F20"/>
          <w:spacing w:val="10"/>
          <w:sz w:val="16"/>
        </w:rPr>
        <w:t xml:space="preserve"> </w:t>
      </w:r>
      <w:r>
        <w:rPr>
          <w:color w:val="231F20"/>
          <w:spacing w:val="-12"/>
          <w:w w:val="148"/>
          <w:sz w:val="16"/>
        </w:rPr>
        <w:t>y</w:t>
      </w:r>
      <w:r>
        <w:rPr>
          <w:color w:val="231F20"/>
          <w:w w:val="108"/>
          <w:sz w:val="16"/>
        </w:rPr>
        <w:t>o</w:t>
      </w:r>
      <w:r>
        <w:rPr>
          <w:color w:val="231F20"/>
          <w:w w:val="104"/>
          <w:sz w:val="16"/>
        </w:rPr>
        <w:t>r</w:t>
      </w:r>
      <w:r>
        <w:rPr>
          <w:color w:val="231F20"/>
          <w:spacing w:val="1"/>
          <w:w w:val="104"/>
          <w:sz w:val="16"/>
        </w:rPr>
        <w:t>k</w:t>
      </w:r>
      <w:r>
        <w:rPr>
          <w:color w:val="231F20"/>
          <w:w w:val="109"/>
          <w:sz w:val="16"/>
        </w:rPr>
        <w:t>:</w:t>
      </w:r>
      <w:r>
        <w:rPr>
          <w:color w:val="231F20"/>
          <w:spacing w:val="10"/>
          <w:sz w:val="16"/>
        </w:rPr>
        <w:t xml:space="preserve"> </w:t>
      </w:r>
      <w:r>
        <w:rPr>
          <w:color w:val="231F20"/>
          <w:spacing w:val="5"/>
          <w:w w:val="120"/>
          <w:sz w:val="16"/>
        </w:rPr>
        <w:t>R</w:t>
      </w:r>
      <w:r>
        <w:rPr>
          <w:color w:val="231F20"/>
          <w:spacing w:val="3"/>
          <w:w w:val="106"/>
          <w:sz w:val="16"/>
        </w:rPr>
        <w:t>a</w:t>
      </w:r>
      <w:r>
        <w:rPr>
          <w:color w:val="231F20"/>
          <w:w w:val="103"/>
          <w:sz w:val="16"/>
        </w:rPr>
        <w:t>nd</w:t>
      </w:r>
      <w:r>
        <w:rPr>
          <w:color w:val="231F20"/>
          <w:w w:val="108"/>
          <w:sz w:val="16"/>
        </w:rPr>
        <w:t>o</w:t>
      </w:r>
      <w:r>
        <w:rPr>
          <w:color w:val="231F20"/>
          <w:w w:val="103"/>
          <w:sz w:val="16"/>
        </w:rPr>
        <w:t>m</w:t>
      </w:r>
      <w:r>
        <w:rPr>
          <w:color w:val="231F20"/>
          <w:spacing w:val="10"/>
          <w:sz w:val="16"/>
        </w:rPr>
        <w:t xml:space="preserve"> </w:t>
      </w:r>
      <w:r>
        <w:rPr>
          <w:color w:val="231F20"/>
          <w:spacing w:val="1"/>
          <w:w w:val="126"/>
          <w:sz w:val="16"/>
        </w:rPr>
        <w:t>H</w:t>
      </w:r>
      <w:r>
        <w:rPr>
          <w:color w:val="231F20"/>
          <w:w w:val="108"/>
          <w:sz w:val="16"/>
        </w:rPr>
        <w:t>o</w:t>
      </w:r>
      <w:r>
        <w:rPr>
          <w:color w:val="231F20"/>
          <w:spacing w:val="2"/>
          <w:w w:val="104"/>
          <w:sz w:val="16"/>
        </w:rPr>
        <w:t>u</w:t>
      </w:r>
      <w:r>
        <w:rPr>
          <w:color w:val="231F20"/>
          <w:spacing w:val="1"/>
          <w:w w:val="93"/>
          <w:sz w:val="16"/>
        </w:rPr>
        <w:t>s</w:t>
      </w:r>
      <w:r>
        <w:rPr>
          <w:color w:val="231F20"/>
          <w:spacing w:val="2"/>
          <w:w w:val="94"/>
          <w:sz w:val="16"/>
        </w:rPr>
        <w:t>e</w:t>
      </w:r>
      <w:r>
        <w:rPr>
          <w:color w:val="231F20"/>
          <w:w w:val="140"/>
          <w:sz w:val="16"/>
        </w:rPr>
        <w:t>,</w:t>
      </w:r>
      <w:r>
        <w:rPr>
          <w:color w:val="231F20"/>
          <w:spacing w:val="10"/>
          <w:sz w:val="16"/>
        </w:rPr>
        <w:t xml:space="preserve"> </w:t>
      </w:r>
      <w:r>
        <w:rPr>
          <w:color w:val="231F20"/>
          <w:spacing w:val="-6"/>
          <w:w w:val="104"/>
          <w:sz w:val="16"/>
        </w:rPr>
        <w:t>1</w:t>
      </w:r>
      <w:r>
        <w:rPr>
          <w:color w:val="231F20"/>
          <w:w w:val="104"/>
          <w:sz w:val="16"/>
        </w:rPr>
        <w:t>9</w:t>
      </w:r>
      <w:r>
        <w:rPr>
          <w:color w:val="231F20"/>
          <w:spacing w:val="-3"/>
          <w:w w:val="104"/>
          <w:sz w:val="16"/>
        </w:rPr>
        <w:t>7</w:t>
      </w:r>
      <w:r>
        <w:rPr>
          <w:color w:val="231F20"/>
          <w:spacing w:val="-10"/>
          <w:w w:val="104"/>
          <w:sz w:val="16"/>
        </w:rPr>
        <w:t>3</w:t>
      </w:r>
      <w:r>
        <w:rPr>
          <w:color w:val="231F20"/>
          <w:spacing w:val="-1"/>
          <w:w w:val="108"/>
          <w:sz w:val="16"/>
        </w:rPr>
        <w:t>)</w:t>
      </w:r>
      <w:r>
        <w:rPr>
          <w:color w:val="231F20"/>
          <w:w w:val="108"/>
          <w:sz w:val="16"/>
        </w:rPr>
        <w:t>,</w:t>
      </w:r>
      <w:r>
        <w:rPr>
          <w:color w:val="231F20"/>
          <w:spacing w:val="10"/>
          <w:sz w:val="16"/>
        </w:rPr>
        <w:t xml:space="preserve"> </w:t>
      </w:r>
      <w:r>
        <w:rPr>
          <w:color w:val="231F20"/>
          <w:spacing w:val="-6"/>
          <w:w w:val="104"/>
          <w:sz w:val="16"/>
        </w:rPr>
        <w:t>8</w:t>
      </w:r>
      <w:r>
        <w:rPr>
          <w:color w:val="231F20"/>
          <w:spacing w:val="-3"/>
          <w:w w:val="104"/>
          <w:sz w:val="16"/>
        </w:rPr>
        <w:t>3</w:t>
      </w:r>
      <w:r>
        <w:rPr>
          <w:color w:val="231F20"/>
          <w:w w:val="104"/>
          <w:sz w:val="16"/>
        </w:rPr>
        <w:t>-</w:t>
      </w:r>
      <w:r>
        <w:rPr>
          <w:color w:val="231F20"/>
          <w:spacing w:val="-2"/>
          <w:w w:val="104"/>
          <w:sz w:val="16"/>
        </w:rPr>
        <w:t>8</w:t>
      </w:r>
      <w:r>
        <w:rPr>
          <w:color w:val="231F20"/>
          <w:spacing w:val="1"/>
          <w:w w:val="104"/>
          <w:sz w:val="16"/>
        </w:rPr>
        <w:t>4</w:t>
      </w:r>
      <w:r>
        <w:rPr>
          <w:color w:val="231F20"/>
          <w:w w:val="140"/>
          <w:sz w:val="16"/>
        </w:rPr>
        <w:t>,</w:t>
      </w:r>
      <w:r>
        <w:rPr>
          <w:color w:val="231F20"/>
          <w:spacing w:val="10"/>
          <w:sz w:val="16"/>
        </w:rPr>
        <w:t xml:space="preserve"> </w:t>
      </w:r>
      <w:r>
        <w:rPr>
          <w:color w:val="231F20"/>
          <w:spacing w:val="-2"/>
          <w:w w:val="106"/>
          <w:sz w:val="16"/>
        </w:rPr>
        <w:t>a</w:t>
      </w:r>
      <w:r>
        <w:rPr>
          <w:color w:val="231F20"/>
          <w:spacing w:val="-1"/>
          <w:w w:val="102"/>
          <w:sz w:val="16"/>
        </w:rPr>
        <w:t>v</w:t>
      </w:r>
      <w:r>
        <w:rPr>
          <w:color w:val="231F20"/>
          <w:spacing w:val="2"/>
          <w:w w:val="106"/>
          <w:sz w:val="16"/>
        </w:rPr>
        <w:t>a</w:t>
      </w:r>
      <w:r>
        <w:rPr>
          <w:color w:val="231F20"/>
          <w:spacing w:val="2"/>
          <w:w w:val="103"/>
          <w:sz w:val="16"/>
        </w:rPr>
        <w:t>i</w:t>
      </w:r>
      <w:r>
        <w:rPr>
          <w:color w:val="231F20"/>
          <w:spacing w:val="1"/>
          <w:w w:val="106"/>
          <w:sz w:val="16"/>
        </w:rPr>
        <w:t>l</w:t>
      </w:r>
      <w:r>
        <w:rPr>
          <w:color w:val="231F20"/>
          <w:spacing w:val="-1"/>
          <w:w w:val="106"/>
          <w:sz w:val="16"/>
        </w:rPr>
        <w:t>a</w:t>
      </w:r>
      <w:r>
        <w:rPr>
          <w:color w:val="231F20"/>
          <w:w w:val="105"/>
          <w:sz w:val="16"/>
        </w:rPr>
        <w:t>b</w:t>
      </w:r>
      <w:r>
        <w:rPr>
          <w:color w:val="231F20"/>
          <w:w w:val="106"/>
          <w:sz w:val="16"/>
        </w:rPr>
        <w:t>l</w:t>
      </w:r>
      <w:r>
        <w:rPr>
          <w:color w:val="231F20"/>
          <w:w w:val="94"/>
          <w:sz w:val="16"/>
        </w:rPr>
        <w:t>e</w:t>
      </w:r>
      <w:r>
        <w:rPr>
          <w:color w:val="231F20"/>
          <w:spacing w:val="10"/>
          <w:sz w:val="16"/>
        </w:rPr>
        <w:t xml:space="preserve"> </w:t>
      </w:r>
      <w:r>
        <w:rPr>
          <w:color w:val="231F20"/>
          <w:spacing w:val="-1"/>
          <w:w w:val="106"/>
          <w:sz w:val="16"/>
        </w:rPr>
        <w:t>a</w:t>
      </w:r>
      <w:r>
        <w:rPr>
          <w:color w:val="231F20"/>
          <w:w w:val="102"/>
          <w:sz w:val="16"/>
        </w:rPr>
        <w:t>t</w:t>
      </w:r>
      <w:r>
        <w:rPr>
          <w:color w:val="231F20"/>
          <w:spacing w:val="10"/>
          <w:sz w:val="16"/>
        </w:rPr>
        <w:t xml:space="preserve"> </w:t>
      </w:r>
      <w:hyperlink r:id="rId270">
        <w:r>
          <w:rPr>
            <w:color w:val="231F20"/>
            <w:w w:val="103"/>
            <w:sz w:val="16"/>
          </w:rPr>
          <w:t>h</w:t>
        </w:r>
        <w:r>
          <w:rPr>
            <w:color w:val="231F20"/>
            <w:spacing w:val="5"/>
            <w:w w:val="103"/>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w w:val="140"/>
            <w:sz w:val="16"/>
          </w:rPr>
          <w:t>.</w:t>
        </w:r>
      </w:hyperlink>
      <w:r>
        <w:rPr>
          <w:color w:val="231F20"/>
          <w:w w:val="140"/>
          <w:sz w:val="16"/>
        </w:rPr>
        <w:t xml:space="preserve"> </w:t>
      </w:r>
      <w:r>
        <w:rPr>
          <w:color w:val="231F20"/>
          <w:spacing w:val="2"/>
          <w:w w:val="103"/>
          <w:sz w:val="16"/>
        </w:rPr>
        <w:t>m</w:t>
      </w:r>
      <w:r>
        <w:rPr>
          <w:color w:val="231F20"/>
          <w:spacing w:val="3"/>
          <w:w w:val="102"/>
          <w:sz w:val="16"/>
        </w:rPr>
        <w:t>ar</w:t>
      </w:r>
      <w:r>
        <w:rPr>
          <w:color w:val="231F20"/>
          <w:spacing w:val="5"/>
          <w:w w:val="119"/>
          <w:sz w:val="16"/>
        </w:rPr>
        <w:t>x</w:t>
      </w:r>
      <w:r>
        <w:rPr>
          <w:color w:val="231F20"/>
          <w:spacing w:val="1"/>
          <w:w w:val="103"/>
          <w:sz w:val="16"/>
        </w:rPr>
        <w:t>i</w:t>
      </w:r>
      <w:r>
        <w:rPr>
          <w:color w:val="231F20"/>
          <w:spacing w:val="1"/>
          <w:w w:val="93"/>
          <w:sz w:val="16"/>
        </w:rPr>
        <w:t>s</w:t>
      </w:r>
      <w:r>
        <w:rPr>
          <w:color w:val="231F20"/>
          <w:spacing w:val="2"/>
          <w:w w:val="102"/>
          <w:sz w:val="16"/>
        </w:rPr>
        <w:t>t</w:t>
      </w:r>
      <w:r>
        <w:rPr>
          <w:color w:val="231F20"/>
          <w:spacing w:val="1"/>
          <w:w w:val="93"/>
          <w:sz w:val="16"/>
        </w:rPr>
        <w:t>s</w:t>
      </w:r>
      <w:r>
        <w:rPr>
          <w:color w:val="231F20"/>
          <w:w w:val="140"/>
          <w:sz w:val="16"/>
        </w:rPr>
        <w:t>.</w:t>
      </w:r>
      <w:r>
        <w:rPr>
          <w:color w:val="231F20"/>
          <w:w w:val="108"/>
          <w:sz w:val="16"/>
        </w:rPr>
        <w:t>o</w:t>
      </w:r>
      <w:r>
        <w:rPr>
          <w:color w:val="231F20"/>
          <w:spacing w:val="1"/>
          <w:w w:val="97"/>
          <w:sz w:val="16"/>
        </w:rPr>
        <w:t>r</w:t>
      </w:r>
      <w:r>
        <w:rPr>
          <w:color w:val="231F20"/>
          <w:spacing w:val="8"/>
          <w:w w:val="104"/>
          <w:sz w:val="16"/>
        </w:rPr>
        <w:t>g</w:t>
      </w:r>
      <w:r>
        <w:rPr>
          <w:color w:val="231F20"/>
          <w:spacing w:val="-3"/>
          <w:w w:val="58"/>
          <w:sz w:val="16"/>
        </w:rPr>
        <w:t>/</w:t>
      </w:r>
      <w:r>
        <w:rPr>
          <w:color w:val="231F20"/>
          <w:spacing w:val="3"/>
          <w:w w:val="102"/>
          <w:sz w:val="16"/>
        </w:rPr>
        <w:t>a</w:t>
      </w:r>
      <w:r>
        <w:rPr>
          <w:color w:val="231F20"/>
          <w:w w:val="102"/>
          <w:sz w:val="16"/>
        </w:rPr>
        <w:t>r</w:t>
      </w:r>
      <w:r>
        <w:rPr>
          <w:color w:val="231F20"/>
          <w:w w:val="104"/>
          <w:sz w:val="16"/>
        </w:rPr>
        <w:t>c</w:t>
      </w:r>
      <w:r>
        <w:rPr>
          <w:color w:val="231F20"/>
          <w:spacing w:val="3"/>
          <w:w w:val="104"/>
          <w:sz w:val="16"/>
        </w:rPr>
        <w:t>h</w:t>
      </w:r>
      <w:r>
        <w:rPr>
          <w:color w:val="231F20"/>
          <w:spacing w:val="-1"/>
          <w:w w:val="104"/>
          <w:sz w:val="16"/>
        </w:rPr>
        <w:t>i</w:t>
      </w:r>
      <w:r>
        <w:rPr>
          <w:color w:val="231F20"/>
          <w:spacing w:val="-1"/>
          <w:w w:val="102"/>
          <w:sz w:val="16"/>
        </w:rPr>
        <w:t>v</w:t>
      </w:r>
      <w:r>
        <w:rPr>
          <w:color w:val="231F20"/>
          <w:spacing w:val="5"/>
          <w:w w:val="94"/>
          <w:sz w:val="16"/>
        </w:rPr>
        <w:t>e</w:t>
      </w:r>
      <w:r>
        <w:rPr>
          <w:color w:val="231F20"/>
          <w:w w:val="58"/>
          <w:sz w:val="16"/>
        </w:rPr>
        <w:t>/</w:t>
      </w:r>
      <w:r>
        <w:rPr>
          <w:color w:val="231F20"/>
          <w:spacing w:val="2"/>
          <w:w w:val="103"/>
          <w:sz w:val="16"/>
        </w:rPr>
        <w:t>m</w:t>
      </w:r>
      <w:r>
        <w:rPr>
          <w:color w:val="231F20"/>
          <w:spacing w:val="3"/>
          <w:w w:val="102"/>
          <w:sz w:val="16"/>
        </w:rPr>
        <w:t>ar</w:t>
      </w:r>
      <w:r>
        <w:rPr>
          <w:color w:val="231F20"/>
          <w:spacing w:val="8"/>
          <w:w w:val="119"/>
          <w:sz w:val="16"/>
        </w:rPr>
        <w:t>x</w:t>
      </w:r>
      <w:r>
        <w:rPr>
          <w:color w:val="231F20"/>
          <w:spacing w:val="2"/>
          <w:w w:val="58"/>
          <w:sz w:val="16"/>
        </w:rPr>
        <w:t>/</w:t>
      </w:r>
      <w:r>
        <w:rPr>
          <w:color w:val="231F20"/>
          <w:spacing w:val="-1"/>
          <w:w w:val="104"/>
          <w:sz w:val="16"/>
        </w:rPr>
        <w:t>w</w:t>
      </w:r>
      <w:r>
        <w:rPr>
          <w:color w:val="231F20"/>
          <w:w w:val="108"/>
          <w:sz w:val="16"/>
        </w:rPr>
        <w:t>o</w:t>
      </w:r>
      <w:r>
        <w:rPr>
          <w:color w:val="231F20"/>
          <w:w w:val="97"/>
          <w:sz w:val="16"/>
        </w:rPr>
        <w:t>r</w:t>
      </w:r>
      <w:r>
        <w:rPr>
          <w:color w:val="231F20"/>
          <w:spacing w:val="2"/>
          <w:w w:val="109"/>
          <w:sz w:val="16"/>
        </w:rPr>
        <w:t>k</w:t>
      </w:r>
      <w:r>
        <w:rPr>
          <w:color w:val="231F20"/>
          <w:spacing w:val="5"/>
          <w:w w:val="93"/>
          <w:sz w:val="16"/>
        </w:rPr>
        <w:t>s</w:t>
      </w:r>
      <w:r>
        <w:rPr>
          <w:color w:val="231F20"/>
          <w:spacing w:val="-3"/>
          <w:w w:val="58"/>
          <w:sz w:val="16"/>
        </w:rPr>
        <w:t>/</w:t>
      </w:r>
      <w:r>
        <w:rPr>
          <w:color w:val="231F20"/>
          <w:spacing w:val="-6"/>
          <w:w w:val="104"/>
          <w:sz w:val="16"/>
        </w:rPr>
        <w:t>1</w:t>
      </w:r>
      <w:r>
        <w:rPr>
          <w:color w:val="231F20"/>
          <w:spacing w:val="-7"/>
          <w:w w:val="104"/>
          <w:sz w:val="16"/>
        </w:rPr>
        <w:t>8</w:t>
      </w:r>
      <w:r>
        <w:rPr>
          <w:color w:val="231F20"/>
          <w:spacing w:val="-3"/>
          <w:w w:val="104"/>
          <w:sz w:val="16"/>
        </w:rPr>
        <w:t>5</w:t>
      </w:r>
      <w:r>
        <w:rPr>
          <w:color w:val="231F20"/>
          <w:spacing w:val="-2"/>
          <w:w w:val="104"/>
          <w:sz w:val="16"/>
        </w:rPr>
        <w:t>7</w:t>
      </w:r>
      <w:r>
        <w:rPr>
          <w:color w:val="231F20"/>
          <w:spacing w:val="-2"/>
          <w:w w:val="58"/>
          <w:sz w:val="16"/>
        </w:rPr>
        <w:t>/</w:t>
      </w:r>
      <w:r>
        <w:rPr>
          <w:color w:val="231F20"/>
          <w:spacing w:val="5"/>
          <w:w w:val="104"/>
          <w:sz w:val="16"/>
        </w:rPr>
        <w:t>g</w:t>
      </w:r>
      <w:r>
        <w:rPr>
          <w:color w:val="231F20"/>
          <w:spacing w:val="3"/>
          <w:w w:val="97"/>
          <w:sz w:val="16"/>
        </w:rPr>
        <w:t>r</w:t>
      </w:r>
      <w:r>
        <w:rPr>
          <w:color w:val="231F20"/>
          <w:spacing w:val="3"/>
          <w:w w:val="104"/>
          <w:sz w:val="16"/>
        </w:rPr>
        <w:t>u</w:t>
      </w:r>
      <w:r>
        <w:rPr>
          <w:color w:val="231F20"/>
          <w:w w:val="103"/>
          <w:sz w:val="16"/>
        </w:rPr>
        <w:t>n</w:t>
      </w:r>
      <w:r>
        <w:rPr>
          <w:color w:val="231F20"/>
          <w:spacing w:val="5"/>
          <w:w w:val="103"/>
          <w:sz w:val="16"/>
        </w:rPr>
        <w:t>d</w:t>
      </w:r>
      <w:r>
        <w:rPr>
          <w:color w:val="231F20"/>
          <w:spacing w:val="2"/>
          <w:w w:val="97"/>
          <w:sz w:val="16"/>
        </w:rPr>
        <w:t>r</w:t>
      </w:r>
      <w:r>
        <w:rPr>
          <w:color w:val="231F20"/>
          <w:spacing w:val="1"/>
          <w:w w:val="103"/>
          <w:sz w:val="16"/>
        </w:rPr>
        <w:t>i</w:t>
      </w:r>
      <w:r>
        <w:rPr>
          <w:color w:val="231F20"/>
          <w:spacing w:val="1"/>
          <w:w w:val="93"/>
          <w:sz w:val="16"/>
        </w:rPr>
        <w:t>ss</w:t>
      </w:r>
      <w:r>
        <w:rPr>
          <w:color w:val="231F20"/>
          <w:spacing w:val="5"/>
          <w:w w:val="94"/>
          <w:sz w:val="16"/>
        </w:rPr>
        <w:t>e</w:t>
      </w:r>
      <w:r>
        <w:rPr>
          <w:color w:val="231F20"/>
          <w:spacing w:val="-2"/>
          <w:w w:val="80"/>
          <w:sz w:val="16"/>
        </w:rPr>
        <w:t>/</w:t>
      </w:r>
      <w:r>
        <w:rPr>
          <w:color w:val="231F20"/>
          <w:w w:val="80"/>
          <w:sz w:val="16"/>
        </w:rPr>
        <w:t>c</w:t>
      </w:r>
      <w:r>
        <w:rPr>
          <w:color w:val="231F20"/>
          <w:w w:val="104"/>
          <w:sz w:val="16"/>
        </w:rPr>
        <w:t>h</w:t>
      </w:r>
      <w:r>
        <w:rPr>
          <w:color w:val="231F20"/>
          <w:spacing w:val="-6"/>
          <w:w w:val="104"/>
          <w:sz w:val="16"/>
        </w:rPr>
        <w:t>0</w:t>
      </w:r>
      <w:r>
        <w:rPr>
          <w:color w:val="231F20"/>
          <w:spacing w:val="-3"/>
          <w:w w:val="104"/>
          <w:sz w:val="16"/>
        </w:rPr>
        <w:t>1</w:t>
      </w:r>
      <w:r>
        <w:rPr>
          <w:color w:val="231F20"/>
          <w:spacing w:val="1"/>
          <w:w w:val="140"/>
          <w:sz w:val="16"/>
        </w:rPr>
        <w:t>.</w:t>
      </w:r>
      <w:r>
        <w:rPr>
          <w:color w:val="231F20"/>
          <w:w w:val="103"/>
          <w:sz w:val="16"/>
        </w:rPr>
        <w:t>h</w:t>
      </w:r>
      <w:r>
        <w:rPr>
          <w:color w:val="231F20"/>
          <w:spacing w:val="3"/>
          <w:w w:val="103"/>
          <w:sz w:val="16"/>
        </w:rPr>
        <w:t>t</w:t>
      </w:r>
      <w:r>
        <w:rPr>
          <w:color w:val="231F20"/>
          <w:spacing w:val="1"/>
          <w:w w:val="103"/>
          <w:sz w:val="16"/>
        </w:rPr>
        <w:t>m</w:t>
      </w:r>
      <w:r>
        <w:rPr>
          <w:color w:val="231F20"/>
          <w:w w:val="140"/>
          <w:sz w:val="16"/>
        </w:rPr>
        <w:t>.</w:t>
      </w:r>
    </w:p>
    <w:p w14:paraId="09159838" w14:textId="77777777" w:rsidR="002653E8" w:rsidRDefault="002653E8">
      <w:pPr>
        <w:spacing w:line="254" w:lineRule="auto"/>
        <w:rPr>
          <w:sz w:val="16"/>
        </w:rPr>
        <w:sectPr w:rsidR="002653E8">
          <w:footerReference w:type="even" r:id="rId271"/>
          <w:footerReference w:type="default" r:id="rId272"/>
          <w:pgSz w:w="8640" w:h="12960"/>
          <w:pgMar w:top="1060" w:right="0" w:bottom="1040" w:left="0" w:header="0" w:footer="850" w:gutter="0"/>
          <w:cols w:space="720"/>
        </w:sectPr>
      </w:pPr>
    </w:p>
    <w:p w14:paraId="1C7D4F13" w14:textId="77777777" w:rsidR="002653E8" w:rsidRDefault="003115E3">
      <w:pPr>
        <w:pStyle w:val="a3"/>
        <w:spacing w:before="86" w:line="264" w:lineRule="auto"/>
        <w:ind w:left="1147" w:right="1327"/>
        <w:jc w:val="both"/>
      </w:pPr>
      <w:r>
        <w:rPr>
          <w:color w:val="231F20"/>
        </w:rPr>
        <w:lastRenderedPageBreak/>
        <w:t>socialization, even the problem that it exposes, social dissatisfaction, can</w:t>
      </w:r>
      <w:r>
        <w:rPr>
          <w:color w:val="231F20"/>
          <w:spacing w:val="8"/>
        </w:rPr>
        <w:t xml:space="preserve"> </w:t>
      </w:r>
      <w:r>
        <w:rPr>
          <w:color w:val="231F20"/>
        </w:rPr>
        <w:t>only</w:t>
      </w:r>
      <w:r>
        <w:rPr>
          <w:color w:val="231F20"/>
          <w:spacing w:val="8"/>
        </w:rPr>
        <w:t xml:space="preserve"> </w:t>
      </w:r>
      <w:r>
        <w:rPr>
          <w:color w:val="231F20"/>
        </w:rPr>
        <w:t>be</w:t>
      </w:r>
      <w:r>
        <w:rPr>
          <w:color w:val="231F20"/>
          <w:spacing w:val="8"/>
        </w:rPr>
        <w:t xml:space="preserve"> </w:t>
      </w:r>
      <w:r>
        <w:rPr>
          <w:color w:val="231F20"/>
        </w:rPr>
        <w:t>addressed</w:t>
      </w:r>
      <w:r>
        <w:rPr>
          <w:color w:val="231F20"/>
          <w:spacing w:val="8"/>
        </w:rPr>
        <w:t xml:space="preserve"> </w:t>
      </w:r>
      <w:r>
        <w:rPr>
          <w:color w:val="231F20"/>
        </w:rPr>
        <w:t>by</w:t>
      </w:r>
      <w:r>
        <w:rPr>
          <w:color w:val="231F20"/>
          <w:spacing w:val="8"/>
        </w:rPr>
        <w:t xml:space="preserve"> </w:t>
      </w:r>
      <w:r>
        <w:rPr>
          <w:color w:val="231F20"/>
        </w:rPr>
        <w:t>the</w:t>
      </w:r>
      <w:r>
        <w:rPr>
          <w:color w:val="231F20"/>
          <w:spacing w:val="8"/>
        </w:rPr>
        <w:t xml:space="preserve"> </w:t>
      </w:r>
      <w:r>
        <w:rPr>
          <w:color w:val="231F20"/>
        </w:rPr>
        <w:t>destruction</w:t>
      </w:r>
      <w:r>
        <w:rPr>
          <w:color w:val="231F20"/>
          <w:spacing w:val="8"/>
        </w:rPr>
        <w:t xml:space="preserve"> </w:t>
      </w:r>
      <w:r>
        <w:rPr>
          <w:color w:val="231F20"/>
        </w:rPr>
        <w:t>of</w:t>
      </w:r>
      <w:r>
        <w:rPr>
          <w:color w:val="231F20"/>
          <w:spacing w:val="8"/>
        </w:rPr>
        <w:t xml:space="preserve"> </w:t>
      </w:r>
      <w:r>
        <w:rPr>
          <w:color w:val="231F20"/>
        </w:rPr>
        <w:t>the</w:t>
      </w:r>
      <w:r>
        <w:rPr>
          <w:color w:val="231F20"/>
          <w:spacing w:val="8"/>
        </w:rPr>
        <w:t xml:space="preserve"> </w:t>
      </w:r>
      <w:r>
        <w:rPr>
          <w:color w:val="231F20"/>
        </w:rPr>
        <w:t>prisoners.</w:t>
      </w:r>
    </w:p>
    <w:p w14:paraId="0E4F3E42" w14:textId="77777777" w:rsidR="002653E8" w:rsidRDefault="003115E3">
      <w:pPr>
        <w:pStyle w:val="a3"/>
        <w:spacing w:line="264" w:lineRule="auto"/>
        <w:ind w:left="1147" w:right="1326" w:firstLine="210"/>
        <w:jc w:val="both"/>
      </w:pPr>
      <w:r>
        <w:rPr>
          <w:color w:val="231F20"/>
        </w:rPr>
        <w:t>The attempt to clarify this and to justify the torture comes from Klug, who has since become Senator for Justice in Hamburg. This comes as   no surprise, because he provides a corrupt liberal facade, disguising his filthy work with the pretence of morality—the need for re-education— although</w:t>
      </w:r>
      <w:r>
        <w:rPr>
          <w:color w:val="231F20"/>
          <w:spacing w:val="10"/>
        </w:rPr>
        <w:t xml:space="preserve"> </w:t>
      </w:r>
      <w:r>
        <w:rPr>
          <w:color w:val="231F20"/>
        </w:rPr>
        <w:t>this</w:t>
      </w:r>
      <w:r>
        <w:rPr>
          <w:color w:val="231F20"/>
          <w:spacing w:val="10"/>
        </w:rPr>
        <w:t xml:space="preserve"> </w:t>
      </w:r>
      <w:r>
        <w:rPr>
          <w:color w:val="231F20"/>
        </w:rPr>
        <w:t>society</w:t>
      </w:r>
      <w:r>
        <w:rPr>
          <w:color w:val="231F20"/>
          <w:spacing w:val="10"/>
        </w:rPr>
        <w:t xml:space="preserve"> </w:t>
      </w:r>
      <w:r>
        <w:rPr>
          <w:color w:val="231F20"/>
        </w:rPr>
        <w:t>no</w:t>
      </w:r>
      <w:r>
        <w:rPr>
          <w:color w:val="231F20"/>
          <w:spacing w:val="10"/>
        </w:rPr>
        <w:t xml:space="preserve"> </w:t>
      </w:r>
      <w:r>
        <w:rPr>
          <w:color w:val="231F20"/>
        </w:rPr>
        <w:t>longer</w:t>
      </w:r>
      <w:r>
        <w:rPr>
          <w:color w:val="231F20"/>
          <w:spacing w:val="10"/>
        </w:rPr>
        <w:t xml:space="preserve"> </w:t>
      </w:r>
      <w:r>
        <w:rPr>
          <w:color w:val="231F20"/>
        </w:rPr>
        <w:t>has</w:t>
      </w:r>
      <w:r>
        <w:rPr>
          <w:color w:val="231F20"/>
          <w:spacing w:val="10"/>
        </w:rPr>
        <w:t xml:space="preserve"> </w:t>
      </w:r>
      <w:r>
        <w:rPr>
          <w:color w:val="231F20"/>
        </w:rPr>
        <w:t>any</w:t>
      </w:r>
      <w:r>
        <w:rPr>
          <w:color w:val="231F20"/>
          <w:spacing w:val="10"/>
        </w:rPr>
        <w:t xml:space="preserve"> </w:t>
      </w:r>
      <w:r>
        <w:rPr>
          <w:color w:val="231F20"/>
        </w:rPr>
        <w:t>morals.</w:t>
      </w:r>
    </w:p>
    <w:p w14:paraId="11141FDA" w14:textId="77777777" w:rsidR="002653E8" w:rsidRDefault="003115E3">
      <w:pPr>
        <w:pStyle w:val="a3"/>
        <w:spacing w:line="264" w:lineRule="auto"/>
        <w:ind w:left="1147" w:right="1326" w:firstLine="210"/>
        <w:jc w:val="both"/>
      </w:pPr>
      <w:r>
        <w:rPr>
          <w:color w:val="231F20"/>
        </w:rPr>
        <w:t xml:space="preserve">Its basic problem, even in this respect, lies in an antagonism, in that re-education or brainwashing, as a project, must be legitimized by the system. That is to </w:t>
      </w:r>
      <w:r>
        <w:rPr>
          <w:color w:val="231F20"/>
          <w:spacing w:val="-4"/>
        </w:rPr>
        <w:t xml:space="preserve">say, </w:t>
      </w:r>
      <w:r>
        <w:rPr>
          <w:color w:val="231F20"/>
        </w:rPr>
        <w:t>to use it, the system must be able to create the subject. But the thing the repressive state apparatus shares with the revolutionary</w:t>
      </w:r>
      <w:r>
        <w:rPr>
          <w:color w:val="231F20"/>
          <w:spacing w:val="-4"/>
        </w:rPr>
        <w:t xml:space="preserve"> </w:t>
      </w:r>
      <w:r>
        <w:rPr>
          <w:color w:val="231F20"/>
        </w:rPr>
        <w:t>(the</w:t>
      </w:r>
      <w:r>
        <w:rPr>
          <w:color w:val="231F20"/>
          <w:spacing w:val="-4"/>
        </w:rPr>
        <w:t xml:space="preserve"> </w:t>
      </w:r>
      <w:r>
        <w:rPr>
          <w:color w:val="231F20"/>
        </w:rPr>
        <w:t>prisoner)</w:t>
      </w:r>
      <w:r>
        <w:rPr>
          <w:color w:val="231F20"/>
          <w:spacing w:val="-4"/>
        </w:rPr>
        <w:t xml:space="preserve"> </w:t>
      </w:r>
      <w:r>
        <w:rPr>
          <w:color w:val="231F20"/>
        </w:rPr>
        <w:t>is</w:t>
      </w:r>
      <w:r>
        <w:rPr>
          <w:color w:val="231F20"/>
          <w:spacing w:val="-4"/>
        </w:rPr>
        <w:t xml:space="preserve"> </w:t>
      </w:r>
      <w:r>
        <w:rPr>
          <w:color w:val="231F20"/>
        </w:rPr>
        <w:t>that</w:t>
      </w:r>
      <w:r>
        <w:rPr>
          <w:color w:val="231F20"/>
          <w:spacing w:val="-4"/>
        </w:rPr>
        <w:t xml:space="preserve"> </w:t>
      </w:r>
      <w:r>
        <w:rPr>
          <w:color w:val="231F20"/>
        </w:rPr>
        <w:t>both</w:t>
      </w:r>
      <w:r>
        <w:rPr>
          <w:color w:val="231F20"/>
          <w:spacing w:val="-4"/>
        </w:rPr>
        <w:t xml:space="preserve"> </w:t>
      </w:r>
      <w:r>
        <w:rPr>
          <w:color w:val="231F20"/>
        </w:rPr>
        <w:t>know</w:t>
      </w:r>
      <w:r>
        <w:rPr>
          <w:color w:val="231F20"/>
          <w:spacing w:val="-4"/>
        </w:rPr>
        <w:t xml:space="preserve"> </w:t>
      </w:r>
      <w:r>
        <w:rPr>
          <w:color w:val="231F20"/>
        </w:rPr>
        <w:t>very</w:t>
      </w:r>
      <w:r>
        <w:rPr>
          <w:color w:val="231F20"/>
          <w:spacing w:val="-4"/>
        </w:rPr>
        <w:t xml:space="preserve"> </w:t>
      </w:r>
      <w:r>
        <w:rPr>
          <w:color w:val="231F20"/>
        </w:rPr>
        <w:t>well</w:t>
      </w:r>
      <w:r>
        <w:rPr>
          <w:color w:val="231F20"/>
          <w:spacing w:val="-4"/>
        </w:rPr>
        <w:t xml:space="preserve"> </w:t>
      </w:r>
      <w:r>
        <w:rPr>
          <w:color w:val="231F20"/>
        </w:rPr>
        <w:t>that</w:t>
      </w:r>
      <w:r>
        <w:rPr>
          <w:color w:val="231F20"/>
          <w:spacing w:val="-4"/>
        </w:rPr>
        <w:t xml:space="preserve"> </w:t>
      </w:r>
      <w:r>
        <w:rPr>
          <w:color w:val="231F20"/>
        </w:rPr>
        <w:t>they</w:t>
      </w:r>
      <w:r>
        <w:rPr>
          <w:color w:val="231F20"/>
          <w:spacing w:val="-4"/>
        </w:rPr>
        <w:t xml:space="preserve"> </w:t>
      </w:r>
      <w:r>
        <w:rPr>
          <w:color w:val="231F20"/>
        </w:rPr>
        <w:t>are,</w:t>
      </w:r>
      <w:r>
        <w:rPr>
          <w:color w:val="231F20"/>
          <w:spacing w:val="-4"/>
        </w:rPr>
        <w:t xml:space="preserve"> </w:t>
      </w:r>
      <w:r>
        <w:rPr>
          <w:color w:val="231F20"/>
        </w:rPr>
        <w:t xml:space="preserve">in their irreconcilable antagonism </w:t>
      </w:r>
      <w:r>
        <w:rPr>
          <w:color w:val="231F20"/>
          <w:spacing w:val="-3"/>
        </w:rPr>
        <w:t xml:space="preserve">(as </w:t>
      </w:r>
      <w:r>
        <w:rPr>
          <w:color w:val="231F20"/>
        </w:rPr>
        <w:t>in their relationship), the expression of the very process by which the bourgeois state’s legitimacy is disintegrating. The fact that the state has sensed the extent of this disintegration</w:t>
      </w:r>
      <w:r>
        <w:rPr>
          <w:color w:val="231F20"/>
          <w:spacing w:val="10"/>
        </w:rPr>
        <w:t xml:space="preserve"> </w:t>
      </w:r>
      <w:r>
        <w:rPr>
          <w:color w:val="231F20"/>
        </w:rPr>
        <w:t>leads</w:t>
      </w:r>
      <w:r>
        <w:rPr>
          <w:color w:val="231F20"/>
          <w:spacing w:val="10"/>
        </w:rPr>
        <w:t xml:space="preserve"> </w:t>
      </w:r>
      <w:r>
        <w:rPr>
          <w:color w:val="231F20"/>
        </w:rPr>
        <w:t>it</w:t>
      </w:r>
      <w:r>
        <w:rPr>
          <w:color w:val="231F20"/>
          <w:spacing w:val="10"/>
        </w:rPr>
        <w:t xml:space="preserve"> </w:t>
      </w:r>
      <w:r>
        <w:rPr>
          <w:color w:val="231F20"/>
        </w:rPr>
        <w:t>to</w:t>
      </w:r>
      <w:r>
        <w:rPr>
          <w:color w:val="231F20"/>
          <w:spacing w:val="10"/>
        </w:rPr>
        <w:t xml:space="preserve"> </w:t>
      </w:r>
      <w:r>
        <w:rPr>
          <w:color w:val="231F20"/>
        </w:rPr>
        <w:t>develop</w:t>
      </w:r>
      <w:r>
        <w:rPr>
          <w:color w:val="231F20"/>
          <w:spacing w:val="10"/>
        </w:rPr>
        <w:t xml:space="preserve"> </w:t>
      </w:r>
      <w:r>
        <w:rPr>
          <w:color w:val="231F20"/>
        </w:rPr>
        <w:t>its</w:t>
      </w:r>
      <w:r>
        <w:rPr>
          <w:color w:val="231F20"/>
          <w:spacing w:val="10"/>
        </w:rPr>
        <w:t xml:space="preserve"> </w:t>
      </w:r>
      <w:r>
        <w:rPr>
          <w:color w:val="231F20"/>
        </w:rPr>
        <w:t>extermination</w:t>
      </w:r>
      <w:r>
        <w:rPr>
          <w:color w:val="231F20"/>
          <w:spacing w:val="10"/>
        </w:rPr>
        <w:t xml:space="preserve"> </w:t>
      </w:r>
      <w:r>
        <w:rPr>
          <w:color w:val="231F20"/>
        </w:rPr>
        <w:t>strategy</w:t>
      </w:r>
      <w:r>
        <w:rPr>
          <w:color w:val="231F20"/>
          <w:spacing w:val="10"/>
        </w:rPr>
        <w:t xml:space="preserve"> </w:t>
      </w:r>
      <w:r>
        <w:rPr>
          <w:color w:val="231F20"/>
        </w:rPr>
        <w:t>against</w:t>
      </w:r>
      <w:r>
        <w:rPr>
          <w:color w:val="231F20"/>
          <w:spacing w:val="10"/>
        </w:rPr>
        <w:t xml:space="preserve"> </w:t>
      </w:r>
      <w:r>
        <w:rPr>
          <w:color w:val="231F20"/>
        </w:rPr>
        <w:t>us.</w:t>
      </w:r>
    </w:p>
    <w:p w14:paraId="4C16B8AC" w14:textId="77777777" w:rsidR="002653E8" w:rsidRDefault="003115E3">
      <w:pPr>
        <w:pStyle w:val="a3"/>
        <w:spacing w:line="264" w:lineRule="auto"/>
        <w:ind w:left="1147" w:right="1326" w:firstLine="210"/>
        <w:jc w:val="both"/>
      </w:pPr>
      <w:r>
        <w:rPr>
          <w:color w:val="231F20"/>
        </w:rPr>
        <w:t xml:space="preserve">Posser, as a Social Democrat, knows this—(and acts accordingly, in spite of his ineffective and panicked denials). What he has foremost       in his mind is not re-education, but the destruction of Ulrike and the propaganda value of presenting a destroyed prisoner in the trial, all of which would be made even more powerful if she confessed: the collapse. As an official in a </w:t>
      </w:r>
      <w:r>
        <w:rPr>
          <w:color w:val="231F20"/>
          <w:spacing w:val="1"/>
        </w:rPr>
        <w:t xml:space="preserve">party </w:t>
      </w:r>
      <w:r>
        <w:rPr>
          <w:color w:val="231F20"/>
        </w:rPr>
        <w:t xml:space="preserve">that props up the state, he is pragmatic: the smooth ritual of power is what he wants to orchestrate in order to plug the hole at the edge of the abyss his clique is hovering </w:t>
      </w:r>
      <w:r>
        <w:rPr>
          <w:color w:val="231F20"/>
          <w:spacing w:val="-3"/>
        </w:rPr>
        <w:t xml:space="preserve">over. </w:t>
      </w:r>
      <w:r>
        <w:rPr>
          <w:color w:val="231F20"/>
        </w:rPr>
        <w:t xml:space="preserve">When problems arose—because the lawyers managed to mobilize people to break through the silence his plan required—he had a sick idea, typi cal of social democracy’s version of the truth: buy them off. After all,   the entire leadership of the Brandt/Schumacher </w:t>
      </w:r>
      <w:r>
        <w:rPr>
          <w:color w:val="231F20"/>
          <w:spacing w:val="1"/>
        </w:rPr>
        <w:t xml:space="preserve">party </w:t>
      </w:r>
      <w:r>
        <w:rPr>
          <w:color w:val="231F20"/>
        </w:rPr>
        <w:t xml:space="preserve">was bought off  in </w:t>
      </w:r>
      <w:r>
        <w:rPr>
          <w:color w:val="231F20"/>
          <w:spacing w:val="-7"/>
        </w:rPr>
        <w:t xml:space="preserve">1945 </w:t>
      </w:r>
      <w:r>
        <w:rPr>
          <w:color w:val="231F20"/>
        </w:rPr>
        <w:t xml:space="preserve">by American capital,  turning  against  the  German  proletariat in the process, so  why  not  buy  a  witness?  The  government  faction, of course. </w:t>
      </w:r>
      <w:r>
        <w:rPr>
          <w:color w:val="231F20"/>
          <w:spacing w:val="-5"/>
        </w:rPr>
        <w:t xml:space="preserve">(…“against”… </w:t>
      </w:r>
      <w:r>
        <w:rPr>
          <w:color w:val="231F20"/>
        </w:rPr>
        <w:t>is  not  precise  enough.  The  strategic  func tion of social democracy is to safeguard the initiative of capital during the</w:t>
      </w:r>
      <w:r>
        <w:rPr>
          <w:color w:val="231F20"/>
          <w:spacing w:val="10"/>
        </w:rPr>
        <w:t xml:space="preserve"> </w:t>
      </w:r>
      <w:r>
        <w:rPr>
          <w:color w:val="231F20"/>
        </w:rPr>
        <w:t>crisis.)</w:t>
      </w:r>
    </w:p>
    <w:p w14:paraId="1EB78D75" w14:textId="77777777" w:rsidR="002653E8" w:rsidRDefault="003115E3">
      <w:pPr>
        <w:pStyle w:val="a3"/>
        <w:spacing w:line="215" w:lineRule="exact"/>
        <w:ind w:left="1357"/>
      </w:pPr>
      <w:r>
        <w:rPr>
          <w:color w:val="231F20"/>
        </w:rPr>
        <w:t>Witnesses for the crown, witnesses for the state: while this is an in-</w:t>
      </w:r>
    </w:p>
    <w:p w14:paraId="02BA755C" w14:textId="77777777" w:rsidR="002653E8" w:rsidRDefault="003115E3">
      <w:pPr>
        <w:pStyle w:val="a3"/>
        <w:spacing w:before="5" w:line="264" w:lineRule="auto"/>
        <w:ind w:left="1147" w:right="1326"/>
        <w:jc w:val="both"/>
      </w:pPr>
      <w:r>
        <w:rPr>
          <w:color w:val="231F20"/>
        </w:rPr>
        <w:t>stitution to guarantee overall ideological continuity and, above all, to affirm the constitutional state, it is also used to address our politics. Even if it is only a passing expression of the rupture on which we base our understanding of the state’s reaction to armed politics.</w:t>
      </w:r>
    </w:p>
    <w:p w14:paraId="4634F235" w14:textId="77777777" w:rsidR="002653E8" w:rsidRDefault="003115E3">
      <w:pPr>
        <w:pStyle w:val="a3"/>
        <w:spacing w:line="264" w:lineRule="auto"/>
        <w:ind w:left="1147" w:right="1326" w:firstLine="210"/>
        <w:jc w:val="both"/>
      </w:pPr>
      <w:r>
        <w:rPr>
          <w:color w:val="231F20"/>
        </w:rPr>
        <w:t>Because the strategic necessity in this phase (the  crisis  of  capital and</w:t>
      </w:r>
      <w:r>
        <w:rPr>
          <w:color w:val="231F20"/>
          <w:spacing w:val="16"/>
        </w:rPr>
        <w:t xml:space="preserve"> </w:t>
      </w:r>
      <w:r>
        <w:rPr>
          <w:color w:val="231F20"/>
        </w:rPr>
        <w:t>the</w:t>
      </w:r>
      <w:r>
        <w:rPr>
          <w:color w:val="231F20"/>
          <w:spacing w:val="16"/>
        </w:rPr>
        <w:t xml:space="preserve"> </w:t>
      </w:r>
      <w:r>
        <w:rPr>
          <w:color w:val="231F20"/>
        </w:rPr>
        <w:t>economic</w:t>
      </w:r>
      <w:r>
        <w:rPr>
          <w:color w:val="231F20"/>
          <w:spacing w:val="16"/>
        </w:rPr>
        <w:t xml:space="preserve"> </w:t>
      </w:r>
      <w:r>
        <w:rPr>
          <w:color w:val="231F20"/>
        </w:rPr>
        <w:t>crisis</w:t>
      </w:r>
      <w:r>
        <w:rPr>
          <w:color w:val="231F20"/>
          <w:spacing w:val="16"/>
        </w:rPr>
        <w:t xml:space="preserve"> </w:t>
      </w:r>
      <w:r>
        <w:rPr>
          <w:color w:val="231F20"/>
        </w:rPr>
        <w:t>of</w:t>
      </w:r>
      <w:r>
        <w:rPr>
          <w:color w:val="231F20"/>
          <w:spacing w:val="16"/>
        </w:rPr>
        <w:t xml:space="preserve"> </w:t>
      </w:r>
      <w:r>
        <w:rPr>
          <w:color w:val="231F20"/>
        </w:rPr>
        <w:t>the</w:t>
      </w:r>
      <w:r>
        <w:rPr>
          <w:color w:val="231F20"/>
          <w:spacing w:val="16"/>
        </w:rPr>
        <w:t xml:space="preserve"> </w:t>
      </w:r>
      <w:r>
        <w:rPr>
          <w:color w:val="231F20"/>
        </w:rPr>
        <w:t>state),</w:t>
      </w:r>
      <w:r>
        <w:rPr>
          <w:color w:val="231F20"/>
          <w:spacing w:val="16"/>
        </w:rPr>
        <w:t xml:space="preserve"> </w:t>
      </w:r>
      <w:r>
        <w:rPr>
          <w:color w:val="231F20"/>
        </w:rPr>
        <w:t>of</w:t>
      </w:r>
      <w:r>
        <w:rPr>
          <w:color w:val="231F20"/>
          <w:spacing w:val="16"/>
        </w:rPr>
        <w:t xml:space="preserve"> </w:t>
      </w:r>
      <w:r>
        <w:rPr>
          <w:color w:val="231F20"/>
        </w:rPr>
        <w:t>which</w:t>
      </w:r>
      <w:r>
        <w:rPr>
          <w:color w:val="231F20"/>
          <w:spacing w:val="16"/>
        </w:rPr>
        <w:t xml:space="preserve"> </w:t>
      </w:r>
      <w:r>
        <w:rPr>
          <w:color w:val="231F20"/>
        </w:rPr>
        <w:t>each</w:t>
      </w:r>
      <w:r>
        <w:rPr>
          <w:color w:val="231F20"/>
          <w:spacing w:val="16"/>
        </w:rPr>
        <w:t xml:space="preserve"> </w:t>
      </w:r>
      <w:r>
        <w:rPr>
          <w:color w:val="231F20"/>
        </w:rPr>
        <w:t>guerilla</w:t>
      </w:r>
      <w:r>
        <w:rPr>
          <w:color w:val="231F20"/>
          <w:spacing w:val="16"/>
        </w:rPr>
        <w:t xml:space="preserve"> </w:t>
      </w:r>
      <w:r>
        <w:rPr>
          <w:color w:val="231F20"/>
        </w:rPr>
        <w:t>action</w:t>
      </w:r>
      <w:r>
        <w:rPr>
          <w:color w:val="231F20"/>
          <w:spacing w:val="16"/>
        </w:rPr>
        <w:t xml:space="preserve"> </w:t>
      </w:r>
      <w:r>
        <w:rPr>
          <w:color w:val="231F20"/>
        </w:rPr>
        <w:t>is</w:t>
      </w:r>
      <w:r>
        <w:rPr>
          <w:color w:val="231F20"/>
          <w:spacing w:val="16"/>
        </w:rPr>
        <w:t xml:space="preserve"> </w:t>
      </w:r>
      <w:r>
        <w:rPr>
          <w:color w:val="231F20"/>
        </w:rPr>
        <w:t>a</w:t>
      </w:r>
    </w:p>
    <w:p w14:paraId="783CC667" w14:textId="77777777" w:rsidR="002653E8" w:rsidRDefault="002653E8">
      <w:pPr>
        <w:spacing w:line="264" w:lineRule="auto"/>
        <w:jc w:val="both"/>
        <w:sectPr w:rsidR="002653E8">
          <w:pgSz w:w="8640" w:h="12960"/>
          <w:pgMar w:top="1060" w:right="0" w:bottom="1040" w:left="0" w:header="0" w:footer="850" w:gutter="0"/>
          <w:cols w:space="720"/>
        </w:sectPr>
      </w:pPr>
    </w:p>
    <w:p w14:paraId="4E944485" w14:textId="77777777" w:rsidR="002653E8" w:rsidRDefault="003115E3">
      <w:pPr>
        <w:pStyle w:val="a3"/>
        <w:spacing w:before="86" w:line="264" w:lineRule="auto"/>
        <w:ind w:left="1327" w:right="1147"/>
        <w:jc w:val="both"/>
      </w:pPr>
      <w:r>
        <w:rPr>
          <w:color w:val="231F20"/>
        </w:rPr>
        <w:lastRenderedPageBreak/>
        <w:t>political interpretation, is to finally transform the state’s political crisis into a rupture. This must be done through an ongoing  offensive,  in what</w:t>
      </w:r>
      <w:r>
        <w:rPr>
          <w:color w:val="231F20"/>
          <w:spacing w:val="11"/>
        </w:rPr>
        <w:t xml:space="preserve"> </w:t>
      </w:r>
      <w:r>
        <w:rPr>
          <w:color w:val="231F20"/>
        </w:rPr>
        <w:t>will</w:t>
      </w:r>
      <w:r>
        <w:rPr>
          <w:color w:val="231F20"/>
          <w:spacing w:val="11"/>
        </w:rPr>
        <w:t xml:space="preserve"> </w:t>
      </w:r>
      <w:r>
        <w:rPr>
          <w:color w:val="231F20"/>
        </w:rPr>
        <w:t>certainly</w:t>
      </w:r>
      <w:r>
        <w:rPr>
          <w:color w:val="231F20"/>
          <w:spacing w:val="11"/>
        </w:rPr>
        <w:t xml:space="preserve"> </w:t>
      </w:r>
      <w:r>
        <w:rPr>
          <w:color w:val="231F20"/>
        </w:rPr>
        <w:t>be</w:t>
      </w:r>
      <w:r>
        <w:rPr>
          <w:color w:val="231F20"/>
          <w:spacing w:val="11"/>
        </w:rPr>
        <w:t xml:space="preserve"> </w:t>
      </w:r>
      <w:r>
        <w:rPr>
          <w:color w:val="231F20"/>
        </w:rPr>
        <w:t>a</w:t>
      </w:r>
      <w:r>
        <w:rPr>
          <w:color w:val="231F20"/>
          <w:spacing w:val="11"/>
        </w:rPr>
        <w:t xml:space="preserve"> </w:t>
      </w:r>
      <w:r>
        <w:rPr>
          <w:color w:val="231F20"/>
        </w:rPr>
        <w:t>long</w:t>
      </w:r>
      <w:r>
        <w:rPr>
          <w:color w:val="231F20"/>
          <w:spacing w:val="11"/>
        </w:rPr>
        <w:t xml:space="preserve"> </w:t>
      </w:r>
      <w:r>
        <w:rPr>
          <w:color w:val="231F20"/>
        </w:rPr>
        <w:t>and</w:t>
      </w:r>
      <w:r>
        <w:rPr>
          <w:color w:val="231F20"/>
          <w:spacing w:val="11"/>
        </w:rPr>
        <w:t xml:space="preserve"> </w:t>
      </w:r>
      <w:r>
        <w:rPr>
          <w:color w:val="231F20"/>
        </w:rPr>
        <w:t>contradictory</w:t>
      </w:r>
      <w:r>
        <w:rPr>
          <w:color w:val="231F20"/>
          <w:spacing w:val="11"/>
        </w:rPr>
        <w:t xml:space="preserve"> </w:t>
      </w:r>
      <w:r>
        <w:rPr>
          <w:color w:val="231F20"/>
        </w:rPr>
        <w:t>process.</w:t>
      </w:r>
    </w:p>
    <w:p w14:paraId="291579C2" w14:textId="77777777" w:rsidR="002653E8" w:rsidRDefault="003115E3">
      <w:pPr>
        <w:pStyle w:val="a3"/>
        <w:spacing w:line="231" w:lineRule="exact"/>
        <w:ind w:left="1537"/>
      </w:pPr>
      <w:r>
        <w:rPr>
          <w:color w:val="231F20"/>
        </w:rPr>
        <w:t>We will return to this subject.</w:t>
      </w:r>
    </w:p>
    <w:p w14:paraId="37ECE058" w14:textId="77777777" w:rsidR="002653E8" w:rsidRDefault="003115E3">
      <w:pPr>
        <w:pStyle w:val="a3"/>
        <w:spacing w:before="23" w:line="264" w:lineRule="auto"/>
        <w:ind w:left="1327" w:right="1146" w:firstLine="210"/>
        <w:jc w:val="both"/>
      </w:pPr>
      <w:r>
        <w:rPr>
          <w:color w:val="231F20"/>
        </w:rPr>
        <w:t xml:space="preserve">I cannot talk about the person who has been tortured. What is proven with </w:t>
      </w:r>
      <w:r>
        <w:rPr>
          <w:color w:val="231F20"/>
          <w:spacing w:val="1"/>
        </w:rPr>
        <w:t xml:space="preserve">him, </w:t>
      </w:r>
      <w:r>
        <w:rPr>
          <w:color w:val="231F20"/>
        </w:rPr>
        <w:t>through what in the end constitutes the open liquidation of his fictional status as a subject—because he is the object of state repression—is simply the fact that from the moment they are no longer of use to capital, the values of bourgeois legal ideology appear as outdated fetters to the imperialist</w:t>
      </w:r>
      <w:r>
        <w:rPr>
          <w:color w:val="231F20"/>
          <w:spacing w:val="41"/>
        </w:rPr>
        <w:t xml:space="preserve"> </w:t>
      </w:r>
      <w:r>
        <w:rPr>
          <w:color w:val="231F20"/>
        </w:rPr>
        <w:t>state.</w:t>
      </w:r>
    </w:p>
    <w:p w14:paraId="156753C8" w14:textId="77777777" w:rsidR="002653E8" w:rsidRDefault="003115E3">
      <w:pPr>
        <w:pStyle w:val="a3"/>
        <w:spacing w:line="264" w:lineRule="auto"/>
        <w:ind w:left="1327" w:right="1146" w:firstLine="210"/>
        <w:jc w:val="both"/>
      </w:pPr>
      <w:r>
        <w:rPr>
          <w:color w:val="231F20"/>
        </w:rPr>
        <w:t>What should be talked about is the source of torture—the state—and the process by which the state’s entire counterrevolutionary strategy    is reduced to torture, developing a new fascism within the state apparatus, its technology, its structures, and, always lagging a bit behind,     its laws (and, finally, the structural and organizational means of mass communication, which dull the senses)—everything which torture presupposes at an institutional</w:t>
      </w:r>
      <w:r>
        <w:rPr>
          <w:color w:val="231F20"/>
          <w:spacing w:val="41"/>
        </w:rPr>
        <w:t xml:space="preserve"> </w:t>
      </w:r>
      <w:r>
        <w:rPr>
          <w:color w:val="231F20"/>
        </w:rPr>
        <w:t>level.</w:t>
      </w:r>
    </w:p>
    <w:p w14:paraId="3805E1E5" w14:textId="77777777" w:rsidR="002653E8" w:rsidRDefault="003115E3">
      <w:pPr>
        <w:pStyle w:val="a3"/>
        <w:spacing w:line="264" w:lineRule="auto"/>
        <w:ind w:left="1537" w:right="1145"/>
      </w:pPr>
      <w:r>
        <w:rPr>
          <w:color w:val="231F20"/>
        </w:rPr>
        <w:t>We repeat here: torture is not a concept of revolutionary struggle. Information about torture fulfils a protective function, but a mobili-</w:t>
      </w:r>
    </w:p>
    <w:p w14:paraId="54B7D78C" w14:textId="77777777" w:rsidR="002653E8" w:rsidRDefault="003115E3">
      <w:pPr>
        <w:pStyle w:val="a3"/>
        <w:spacing w:line="264" w:lineRule="auto"/>
        <w:ind w:left="1327" w:right="1145"/>
        <w:jc w:val="both"/>
      </w:pPr>
      <w:r>
        <w:rPr>
          <w:color w:val="231F20"/>
        </w:rPr>
        <w:t xml:space="preserve">zation based on such information must eventually </w:t>
      </w:r>
      <w:r>
        <w:rPr>
          <w:color w:val="231F20"/>
          <w:spacing w:val="1"/>
        </w:rPr>
        <w:t xml:space="preserve">turn </w:t>
      </w:r>
      <w:r>
        <w:rPr>
          <w:color w:val="231F20"/>
        </w:rPr>
        <w:t xml:space="preserve">against the very politics that the state is targeting with torture (and, in the final analysis, against the prisoners themselves). This will be the case as long as such  a mobilization’s politics are based on the moral reflexes of those who still feel comfortable with this state—and this is because they want to address it as revisionists. This means the mobilization must eventually </w:t>
      </w:r>
      <w:r>
        <w:rPr>
          <w:color w:val="231F20"/>
          <w:spacing w:val="1"/>
        </w:rPr>
        <w:t xml:space="preserve">turn </w:t>
      </w:r>
      <w:r>
        <w:rPr>
          <w:color w:val="231F20"/>
        </w:rPr>
        <w:t>against us if it is not combined with propaganda for armed politics, if it doesn’t propagate the morals and strategy of armed struggle, which</w:t>
      </w:r>
      <w:r>
        <w:rPr>
          <w:color w:val="231F20"/>
          <w:spacing w:val="10"/>
        </w:rPr>
        <w:t xml:space="preserve"> </w:t>
      </w:r>
      <w:r>
        <w:rPr>
          <w:color w:val="231F20"/>
        </w:rPr>
        <w:t>would</w:t>
      </w:r>
      <w:r>
        <w:rPr>
          <w:color w:val="231F20"/>
          <w:spacing w:val="10"/>
        </w:rPr>
        <w:t xml:space="preserve"> </w:t>
      </w:r>
      <w:r>
        <w:rPr>
          <w:color w:val="231F20"/>
        </w:rPr>
        <w:t>mean</w:t>
      </w:r>
      <w:r>
        <w:rPr>
          <w:color w:val="231F20"/>
          <w:spacing w:val="10"/>
        </w:rPr>
        <w:t xml:space="preserve"> </w:t>
      </w:r>
      <w:r>
        <w:rPr>
          <w:color w:val="231F20"/>
        </w:rPr>
        <w:t>that</w:t>
      </w:r>
      <w:r>
        <w:rPr>
          <w:color w:val="231F20"/>
          <w:spacing w:val="10"/>
        </w:rPr>
        <w:t xml:space="preserve"> </w:t>
      </w:r>
      <w:r>
        <w:rPr>
          <w:color w:val="231F20"/>
        </w:rPr>
        <w:t>it</w:t>
      </w:r>
      <w:r>
        <w:rPr>
          <w:color w:val="231F20"/>
          <w:spacing w:val="10"/>
        </w:rPr>
        <w:t xml:space="preserve"> </w:t>
      </w:r>
      <w:r>
        <w:rPr>
          <w:color w:val="231F20"/>
        </w:rPr>
        <w:t>hasn’t</w:t>
      </w:r>
      <w:r>
        <w:rPr>
          <w:color w:val="231F20"/>
          <w:spacing w:val="10"/>
        </w:rPr>
        <w:t xml:space="preserve"> </w:t>
      </w:r>
      <w:r>
        <w:rPr>
          <w:color w:val="231F20"/>
        </w:rPr>
        <w:t>itself</w:t>
      </w:r>
      <w:r>
        <w:rPr>
          <w:color w:val="231F20"/>
          <w:spacing w:val="10"/>
        </w:rPr>
        <w:t xml:space="preserve"> </w:t>
      </w:r>
      <w:r>
        <w:rPr>
          <w:color w:val="231F20"/>
        </w:rPr>
        <w:t>accepted</w:t>
      </w:r>
      <w:r>
        <w:rPr>
          <w:color w:val="231F20"/>
          <w:spacing w:val="10"/>
        </w:rPr>
        <w:t xml:space="preserve"> </w:t>
      </w:r>
      <w:r>
        <w:rPr>
          <w:color w:val="231F20"/>
        </w:rPr>
        <w:t>armed</w:t>
      </w:r>
      <w:r>
        <w:rPr>
          <w:color w:val="231F20"/>
          <w:spacing w:val="10"/>
        </w:rPr>
        <w:t xml:space="preserve"> </w:t>
      </w:r>
      <w:r>
        <w:rPr>
          <w:color w:val="231F20"/>
        </w:rPr>
        <w:t>action</w:t>
      </w:r>
      <w:r>
        <w:rPr>
          <w:color w:val="231F20"/>
          <w:spacing w:val="10"/>
        </w:rPr>
        <w:t xml:space="preserve"> </w:t>
      </w:r>
      <w:r>
        <w:rPr>
          <w:color w:val="231F20"/>
        </w:rPr>
        <w:t>yet.</w:t>
      </w:r>
    </w:p>
    <w:p w14:paraId="2BD4E908" w14:textId="77777777" w:rsidR="002653E8" w:rsidRDefault="003115E3">
      <w:pPr>
        <w:pStyle w:val="a3"/>
        <w:spacing w:before="100" w:line="261" w:lineRule="auto"/>
        <w:ind w:left="6297" w:right="1146" w:hanging="192"/>
        <w:jc w:val="right"/>
      </w:pPr>
      <w:r>
        <w:rPr>
          <w:color w:val="231F20"/>
        </w:rPr>
        <w:t>Andreas Baader</w:t>
      </w:r>
      <w:r>
        <w:rPr>
          <w:color w:val="231F20"/>
          <w:w w:val="92"/>
        </w:rPr>
        <w:t xml:space="preserve"> </w:t>
      </w:r>
      <w:r>
        <w:rPr>
          <w:color w:val="231F20"/>
        </w:rPr>
        <w:t>June 18, 1975</w:t>
      </w:r>
    </w:p>
    <w:p w14:paraId="21FCA336" w14:textId="77777777" w:rsidR="002653E8" w:rsidRDefault="002653E8">
      <w:pPr>
        <w:spacing w:line="261" w:lineRule="auto"/>
        <w:jc w:val="right"/>
        <w:sectPr w:rsidR="002653E8">
          <w:footerReference w:type="even" r:id="rId273"/>
          <w:pgSz w:w="8640" w:h="12960"/>
          <w:pgMar w:top="1060" w:right="0" w:bottom="1040" w:left="0" w:header="0" w:footer="850" w:gutter="0"/>
          <w:cols w:space="720"/>
        </w:sectPr>
      </w:pPr>
    </w:p>
    <w:p w14:paraId="740E1725" w14:textId="77777777" w:rsidR="002653E8" w:rsidRDefault="002653E8">
      <w:pPr>
        <w:pStyle w:val="a3"/>
      </w:pPr>
    </w:p>
    <w:p w14:paraId="5B9AE00C" w14:textId="77777777" w:rsidR="002653E8" w:rsidRDefault="002653E8">
      <w:pPr>
        <w:pStyle w:val="a3"/>
      </w:pPr>
    </w:p>
    <w:p w14:paraId="5F922511" w14:textId="77777777" w:rsidR="002653E8" w:rsidRDefault="002653E8">
      <w:pPr>
        <w:pStyle w:val="a3"/>
      </w:pPr>
    </w:p>
    <w:p w14:paraId="04A4EEEC" w14:textId="77777777" w:rsidR="002653E8" w:rsidRDefault="002653E8">
      <w:pPr>
        <w:pStyle w:val="a3"/>
      </w:pPr>
    </w:p>
    <w:p w14:paraId="466E7CDF" w14:textId="77777777" w:rsidR="002653E8" w:rsidRDefault="002653E8">
      <w:pPr>
        <w:pStyle w:val="a3"/>
      </w:pPr>
    </w:p>
    <w:p w14:paraId="17B94624" w14:textId="77777777" w:rsidR="002653E8" w:rsidRDefault="002653E8">
      <w:pPr>
        <w:pStyle w:val="a3"/>
      </w:pPr>
    </w:p>
    <w:p w14:paraId="39C47F5D" w14:textId="77777777" w:rsidR="002653E8" w:rsidRDefault="002653E8">
      <w:pPr>
        <w:pStyle w:val="a3"/>
      </w:pPr>
    </w:p>
    <w:p w14:paraId="4256D3AC" w14:textId="77777777" w:rsidR="002653E8" w:rsidRDefault="002653E8">
      <w:pPr>
        <w:pStyle w:val="a3"/>
      </w:pPr>
    </w:p>
    <w:p w14:paraId="180352DD" w14:textId="77777777" w:rsidR="002653E8" w:rsidRDefault="002653E8">
      <w:pPr>
        <w:pStyle w:val="a3"/>
      </w:pPr>
    </w:p>
    <w:p w14:paraId="528EB8E8" w14:textId="77777777" w:rsidR="002653E8" w:rsidRDefault="002653E8">
      <w:pPr>
        <w:pStyle w:val="a3"/>
      </w:pPr>
    </w:p>
    <w:p w14:paraId="48588734" w14:textId="77777777" w:rsidR="002653E8" w:rsidRDefault="002653E8">
      <w:pPr>
        <w:pStyle w:val="a3"/>
      </w:pPr>
    </w:p>
    <w:p w14:paraId="0747B773" w14:textId="77777777" w:rsidR="002653E8" w:rsidRDefault="002653E8">
      <w:pPr>
        <w:pStyle w:val="a3"/>
      </w:pPr>
    </w:p>
    <w:p w14:paraId="65557D48" w14:textId="77777777" w:rsidR="002653E8" w:rsidRDefault="002653E8">
      <w:pPr>
        <w:pStyle w:val="a3"/>
      </w:pPr>
    </w:p>
    <w:p w14:paraId="1BB43070" w14:textId="77777777" w:rsidR="002653E8" w:rsidRDefault="002653E8">
      <w:pPr>
        <w:pStyle w:val="a3"/>
      </w:pPr>
    </w:p>
    <w:p w14:paraId="6AB30723" w14:textId="77777777" w:rsidR="002653E8" w:rsidRDefault="002653E8">
      <w:pPr>
        <w:pStyle w:val="a3"/>
      </w:pPr>
    </w:p>
    <w:p w14:paraId="7125AA5F" w14:textId="77777777" w:rsidR="002653E8" w:rsidRDefault="002653E8">
      <w:pPr>
        <w:pStyle w:val="a3"/>
      </w:pPr>
    </w:p>
    <w:p w14:paraId="4D05E47D" w14:textId="77777777" w:rsidR="002653E8" w:rsidRDefault="002653E8">
      <w:pPr>
        <w:pStyle w:val="a3"/>
      </w:pPr>
    </w:p>
    <w:p w14:paraId="761B717D" w14:textId="77777777" w:rsidR="002653E8" w:rsidRDefault="002653E8">
      <w:pPr>
        <w:pStyle w:val="a3"/>
      </w:pPr>
    </w:p>
    <w:p w14:paraId="15DDBFB3" w14:textId="77777777" w:rsidR="002653E8" w:rsidRDefault="002653E8">
      <w:pPr>
        <w:pStyle w:val="a3"/>
      </w:pPr>
    </w:p>
    <w:p w14:paraId="770FF018" w14:textId="77777777" w:rsidR="002653E8" w:rsidRDefault="002653E8">
      <w:pPr>
        <w:pStyle w:val="a3"/>
      </w:pPr>
    </w:p>
    <w:p w14:paraId="397AC028" w14:textId="77777777" w:rsidR="002653E8" w:rsidRDefault="002653E8">
      <w:pPr>
        <w:pStyle w:val="a3"/>
      </w:pPr>
    </w:p>
    <w:p w14:paraId="352A86B0" w14:textId="77777777" w:rsidR="002653E8" w:rsidRDefault="002653E8">
      <w:pPr>
        <w:pStyle w:val="a3"/>
      </w:pPr>
    </w:p>
    <w:p w14:paraId="3B7DE4B4" w14:textId="77777777" w:rsidR="002653E8" w:rsidRDefault="002653E8">
      <w:pPr>
        <w:pStyle w:val="a3"/>
      </w:pPr>
    </w:p>
    <w:p w14:paraId="67BBB444" w14:textId="77777777" w:rsidR="002653E8" w:rsidRDefault="002653E8">
      <w:pPr>
        <w:pStyle w:val="a3"/>
      </w:pPr>
    </w:p>
    <w:p w14:paraId="26FF7D9B" w14:textId="77777777" w:rsidR="002653E8" w:rsidRDefault="002653E8">
      <w:pPr>
        <w:pStyle w:val="a3"/>
      </w:pPr>
    </w:p>
    <w:p w14:paraId="3282622D" w14:textId="77777777" w:rsidR="002653E8" w:rsidRDefault="002653E8">
      <w:pPr>
        <w:pStyle w:val="a3"/>
      </w:pPr>
    </w:p>
    <w:p w14:paraId="4EFD1B09" w14:textId="77777777" w:rsidR="002653E8" w:rsidRDefault="002653E8">
      <w:pPr>
        <w:pStyle w:val="a3"/>
      </w:pPr>
    </w:p>
    <w:p w14:paraId="5F02F512" w14:textId="77777777" w:rsidR="002653E8" w:rsidRDefault="002653E8">
      <w:pPr>
        <w:pStyle w:val="a3"/>
      </w:pPr>
    </w:p>
    <w:p w14:paraId="0F80945A" w14:textId="77777777" w:rsidR="002653E8" w:rsidRDefault="002653E8">
      <w:pPr>
        <w:pStyle w:val="a3"/>
      </w:pPr>
    </w:p>
    <w:p w14:paraId="52C7E7E2" w14:textId="77777777" w:rsidR="002653E8" w:rsidRDefault="002653E8">
      <w:pPr>
        <w:pStyle w:val="a3"/>
      </w:pPr>
    </w:p>
    <w:p w14:paraId="5A17A2DD" w14:textId="77777777" w:rsidR="002653E8" w:rsidRDefault="002653E8">
      <w:pPr>
        <w:pStyle w:val="a3"/>
      </w:pPr>
    </w:p>
    <w:p w14:paraId="57CFE95A" w14:textId="77777777" w:rsidR="002653E8" w:rsidRDefault="002653E8">
      <w:pPr>
        <w:pStyle w:val="a3"/>
      </w:pPr>
    </w:p>
    <w:p w14:paraId="5E37FF34" w14:textId="77777777" w:rsidR="002653E8" w:rsidRDefault="002653E8">
      <w:pPr>
        <w:pStyle w:val="a3"/>
      </w:pPr>
    </w:p>
    <w:p w14:paraId="2546621B" w14:textId="77777777" w:rsidR="002653E8" w:rsidRDefault="002653E8">
      <w:pPr>
        <w:pStyle w:val="a3"/>
      </w:pPr>
    </w:p>
    <w:p w14:paraId="182E7516" w14:textId="77777777" w:rsidR="002653E8" w:rsidRDefault="002653E8">
      <w:pPr>
        <w:pStyle w:val="a3"/>
      </w:pPr>
    </w:p>
    <w:p w14:paraId="494E8736" w14:textId="77777777" w:rsidR="002653E8" w:rsidRDefault="002653E8">
      <w:pPr>
        <w:pStyle w:val="a3"/>
      </w:pPr>
    </w:p>
    <w:p w14:paraId="64A601A0" w14:textId="77777777" w:rsidR="002653E8" w:rsidRDefault="002653E8">
      <w:pPr>
        <w:pStyle w:val="a3"/>
      </w:pPr>
    </w:p>
    <w:p w14:paraId="4F993D40" w14:textId="77777777" w:rsidR="002653E8" w:rsidRDefault="002653E8">
      <w:pPr>
        <w:pStyle w:val="a3"/>
      </w:pPr>
    </w:p>
    <w:p w14:paraId="44CFB031" w14:textId="77777777" w:rsidR="002653E8" w:rsidRDefault="002653E8">
      <w:pPr>
        <w:pStyle w:val="a3"/>
      </w:pPr>
    </w:p>
    <w:p w14:paraId="6EA72FE0" w14:textId="77777777" w:rsidR="002653E8" w:rsidRDefault="002653E8">
      <w:pPr>
        <w:pStyle w:val="a3"/>
      </w:pPr>
    </w:p>
    <w:p w14:paraId="1EE489AE" w14:textId="77777777" w:rsidR="002653E8" w:rsidRDefault="002653E8">
      <w:pPr>
        <w:pStyle w:val="a3"/>
      </w:pPr>
    </w:p>
    <w:p w14:paraId="4082A1DE" w14:textId="77777777" w:rsidR="002653E8" w:rsidRDefault="002653E8">
      <w:pPr>
        <w:pStyle w:val="a3"/>
      </w:pPr>
    </w:p>
    <w:p w14:paraId="6E888A54" w14:textId="77777777" w:rsidR="002653E8" w:rsidRDefault="002653E8">
      <w:pPr>
        <w:pStyle w:val="a3"/>
      </w:pPr>
    </w:p>
    <w:p w14:paraId="072F99B4" w14:textId="77777777" w:rsidR="002653E8" w:rsidRDefault="002653E8">
      <w:pPr>
        <w:pStyle w:val="a3"/>
      </w:pPr>
    </w:p>
    <w:p w14:paraId="48283222" w14:textId="77777777" w:rsidR="002653E8" w:rsidRDefault="002653E8">
      <w:pPr>
        <w:pStyle w:val="a3"/>
        <w:spacing w:before="3"/>
        <w:rPr>
          <w:sz w:val="23"/>
        </w:rPr>
      </w:pPr>
    </w:p>
    <w:p w14:paraId="49180E7A" w14:textId="77777777" w:rsidR="002653E8" w:rsidRDefault="003115E3">
      <w:pPr>
        <w:spacing w:before="99"/>
        <w:ind w:left="1147"/>
        <w:rPr>
          <w:sz w:val="18"/>
        </w:rPr>
      </w:pPr>
      <w:r>
        <w:rPr>
          <w:color w:val="231F20"/>
          <w:sz w:val="18"/>
        </w:rPr>
        <w:t xml:space="preserve">324 </w:t>
      </w:r>
    </w:p>
    <w:p w14:paraId="3AF04D24" w14:textId="77777777" w:rsidR="002653E8" w:rsidRDefault="002653E8">
      <w:pPr>
        <w:rPr>
          <w:sz w:val="18"/>
        </w:rPr>
        <w:sectPr w:rsidR="002653E8">
          <w:footerReference w:type="default" r:id="rId274"/>
          <w:pgSz w:w="8640" w:h="12960"/>
          <w:pgMar w:top="1220" w:right="0" w:bottom="280" w:left="0" w:header="0" w:footer="0" w:gutter="0"/>
          <w:cols w:space="720"/>
        </w:sectPr>
      </w:pPr>
    </w:p>
    <w:p w14:paraId="2FCC2A5B" w14:textId="77777777" w:rsidR="002653E8" w:rsidRDefault="002653E8">
      <w:pPr>
        <w:pStyle w:val="a3"/>
      </w:pPr>
    </w:p>
    <w:p w14:paraId="4681BB73" w14:textId="77777777" w:rsidR="002653E8" w:rsidRDefault="002653E8">
      <w:pPr>
        <w:pStyle w:val="a3"/>
      </w:pPr>
    </w:p>
    <w:p w14:paraId="7A01152C" w14:textId="77777777" w:rsidR="002653E8" w:rsidRDefault="002653E8">
      <w:pPr>
        <w:pStyle w:val="a3"/>
      </w:pPr>
    </w:p>
    <w:p w14:paraId="1696367E" w14:textId="77777777" w:rsidR="002653E8" w:rsidRDefault="002653E8">
      <w:pPr>
        <w:pStyle w:val="a3"/>
      </w:pPr>
    </w:p>
    <w:p w14:paraId="1BB53CD8" w14:textId="77777777" w:rsidR="002653E8" w:rsidRDefault="002653E8">
      <w:pPr>
        <w:pStyle w:val="a3"/>
        <w:spacing w:before="2"/>
        <w:rPr>
          <w:sz w:val="29"/>
        </w:rPr>
      </w:pPr>
    </w:p>
    <w:p w14:paraId="12EBDF5F" w14:textId="77777777" w:rsidR="002653E8" w:rsidRDefault="003115E3">
      <w:pPr>
        <w:pStyle w:val="4"/>
        <w:tabs>
          <w:tab w:val="left" w:pos="7039"/>
          <w:tab w:val="left" w:pos="7491"/>
        </w:tabs>
        <w:spacing w:before="86"/>
        <w:rPr>
          <w:rFonts w:ascii="Lucida Sans"/>
          <w:b/>
        </w:rPr>
      </w:pPr>
      <w:bookmarkStart w:id="140" w:name="8_A_Desperate_Bid_to_Free_the_Prisoners:"/>
      <w:bookmarkStart w:id="141" w:name="_bookmark45"/>
      <w:bookmarkEnd w:id="140"/>
      <w:bookmarkEnd w:id="141"/>
      <w:r>
        <w:rPr>
          <w:rFonts w:ascii="Lucida Sans"/>
          <w:b/>
          <w:color w:val="FFFFFF"/>
          <w:w w:val="87"/>
          <w:shd w:val="clear" w:color="auto" w:fill="231F20"/>
        </w:rPr>
        <w:t xml:space="preserve"> </w:t>
      </w:r>
      <w:r>
        <w:rPr>
          <w:rFonts w:ascii="Lucida Sans"/>
          <w:b/>
          <w:color w:val="FFFFFF"/>
          <w:shd w:val="clear" w:color="auto" w:fill="231F20"/>
        </w:rPr>
        <w:tab/>
      </w:r>
      <w:r>
        <w:rPr>
          <w:rFonts w:ascii="Lucida Sans"/>
          <w:b/>
          <w:color w:val="FFFFFF"/>
          <w:w w:val="95"/>
          <w:shd w:val="clear" w:color="auto" w:fill="231F20"/>
        </w:rPr>
        <w:t>8</w:t>
      </w:r>
      <w:r>
        <w:rPr>
          <w:rFonts w:ascii="Lucida Sans"/>
          <w:b/>
          <w:color w:val="FFFFFF"/>
          <w:shd w:val="clear" w:color="auto" w:fill="231F20"/>
        </w:rPr>
        <w:tab/>
      </w:r>
    </w:p>
    <w:p w14:paraId="7DE4FC20" w14:textId="77777777" w:rsidR="002653E8" w:rsidRDefault="002653E8">
      <w:pPr>
        <w:pStyle w:val="a3"/>
        <w:rPr>
          <w:rFonts w:ascii="Lucida Sans"/>
          <w:b/>
          <w:sz w:val="36"/>
        </w:rPr>
      </w:pPr>
    </w:p>
    <w:p w14:paraId="54A955CE" w14:textId="77777777" w:rsidR="002653E8" w:rsidRDefault="002653E8">
      <w:pPr>
        <w:pStyle w:val="a3"/>
        <w:spacing w:before="1"/>
        <w:rPr>
          <w:rFonts w:ascii="Lucida Sans"/>
          <w:b/>
          <w:sz w:val="38"/>
        </w:rPr>
      </w:pPr>
    </w:p>
    <w:p w14:paraId="7F4D952D" w14:textId="77777777" w:rsidR="002653E8" w:rsidRDefault="003115E3">
      <w:pPr>
        <w:spacing w:line="244" w:lineRule="auto"/>
        <w:ind w:left="3983" w:right="1145" w:firstLine="374"/>
        <w:jc w:val="right"/>
        <w:rPr>
          <w:rFonts w:ascii="Lucida Sans"/>
          <w:b/>
          <w:sz w:val="36"/>
        </w:rPr>
      </w:pPr>
      <w:r>
        <w:rPr>
          <w:rFonts w:ascii="Lucida Sans"/>
          <w:b/>
          <w:color w:val="231F20"/>
          <w:w w:val="95"/>
          <w:sz w:val="36"/>
        </w:rPr>
        <w:t>A</w:t>
      </w:r>
      <w:r>
        <w:rPr>
          <w:rFonts w:ascii="Lucida Sans"/>
          <w:b/>
          <w:color w:val="231F20"/>
          <w:spacing w:val="-48"/>
          <w:w w:val="95"/>
          <w:sz w:val="36"/>
        </w:rPr>
        <w:t xml:space="preserve"> </w:t>
      </w:r>
      <w:r>
        <w:rPr>
          <w:rFonts w:ascii="Lucida Sans"/>
          <w:b/>
          <w:color w:val="231F20"/>
          <w:w w:val="95"/>
          <w:sz w:val="36"/>
        </w:rPr>
        <w:t>Desperate</w:t>
      </w:r>
      <w:r>
        <w:rPr>
          <w:rFonts w:ascii="Lucida Sans"/>
          <w:b/>
          <w:color w:val="231F20"/>
          <w:spacing w:val="-48"/>
          <w:w w:val="95"/>
          <w:sz w:val="36"/>
        </w:rPr>
        <w:t xml:space="preserve"> </w:t>
      </w:r>
      <w:r>
        <w:rPr>
          <w:rFonts w:ascii="Lucida Sans"/>
          <w:b/>
          <w:color w:val="231F20"/>
          <w:w w:val="95"/>
          <w:sz w:val="36"/>
        </w:rPr>
        <w:t>Bid</w:t>
      </w:r>
      <w:r>
        <w:rPr>
          <w:rFonts w:ascii="Lucida Sans"/>
          <w:b/>
          <w:color w:val="231F20"/>
          <w:spacing w:val="-48"/>
          <w:w w:val="95"/>
          <w:sz w:val="36"/>
        </w:rPr>
        <w:t xml:space="preserve"> </w:t>
      </w:r>
      <w:r>
        <w:rPr>
          <w:rFonts w:ascii="Lucida Sans"/>
          <w:b/>
          <w:color w:val="231F20"/>
          <w:w w:val="95"/>
          <w:sz w:val="36"/>
        </w:rPr>
        <w:t>to</w:t>
      </w:r>
      <w:r>
        <w:rPr>
          <w:rFonts w:ascii="Lucida Sans"/>
          <w:b/>
          <w:color w:val="231F20"/>
          <w:w w:val="92"/>
          <w:sz w:val="36"/>
        </w:rPr>
        <w:t xml:space="preserve"> </w:t>
      </w:r>
      <w:r>
        <w:rPr>
          <w:rFonts w:ascii="Lucida Sans"/>
          <w:b/>
          <w:color w:val="231F20"/>
          <w:w w:val="90"/>
          <w:sz w:val="36"/>
        </w:rPr>
        <w:t>Free</w:t>
      </w:r>
      <w:r>
        <w:rPr>
          <w:rFonts w:ascii="Lucida Sans"/>
          <w:b/>
          <w:color w:val="231F20"/>
          <w:spacing w:val="-21"/>
          <w:w w:val="90"/>
          <w:sz w:val="36"/>
        </w:rPr>
        <w:t xml:space="preserve"> </w:t>
      </w:r>
      <w:r>
        <w:rPr>
          <w:rFonts w:ascii="Lucida Sans"/>
          <w:b/>
          <w:color w:val="231F20"/>
          <w:w w:val="90"/>
          <w:sz w:val="36"/>
        </w:rPr>
        <w:t>the</w:t>
      </w:r>
      <w:r>
        <w:rPr>
          <w:rFonts w:ascii="Lucida Sans"/>
          <w:b/>
          <w:color w:val="231F20"/>
          <w:spacing w:val="-21"/>
          <w:w w:val="90"/>
          <w:sz w:val="36"/>
        </w:rPr>
        <w:t xml:space="preserve"> </w:t>
      </w:r>
      <w:r>
        <w:rPr>
          <w:rFonts w:ascii="Lucida Sans"/>
          <w:b/>
          <w:color w:val="231F20"/>
          <w:w w:val="90"/>
          <w:sz w:val="36"/>
        </w:rPr>
        <w:t>Prisoners:</w:t>
      </w:r>
      <w:r>
        <w:rPr>
          <w:rFonts w:ascii="Lucida Sans"/>
          <w:b/>
          <w:color w:val="231F20"/>
          <w:w w:val="87"/>
          <w:sz w:val="36"/>
        </w:rPr>
        <w:t xml:space="preserve"> </w:t>
      </w:r>
      <w:r>
        <w:rPr>
          <w:rFonts w:ascii="Lucida Sans"/>
          <w:b/>
          <w:color w:val="231F20"/>
          <w:w w:val="90"/>
          <w:sz w:val="36"/>
        </w:rPr>
        <w:t>the stockholm</w:t>
      </w:r>
      <w:r>
        <w:rPr>
          <w:rFonts w:ascii="Lucida Sans"/>
          <w:b/>
          <w:color w:val="231F20"/>
          <w:spacing w:val="-38"/>
          <w:w w:val="90"/>
          <w:sz w:val="36"/>
        </w:rPr>
        <w:t xml:space="preserve"> </w:t>
      </w:r>
      <w:r>
        <w:rPr>
          <w:rFonts w:ascii="Lucida Sans"/>
          <w:b/>
          <w:color w:val="231F20"/>
          <w:w w:val="90"/>
          <w:sz w:val="36"/>
        </w:rPr>
        <w:t>Action</w:t>
      </w:r>
    </w:p>
    <w:p w14:paraId="5E60DB47" w14:textId="77777777" w:rsidR="002653E8" w:rsidRDefault="002653E8">
      <w:pPr>
        <w:pStyle w:val="a3"/>
        <w:spacing w:before="2"/>
        <w:rPr>
          <w:rFonts w:ascii="Lucida Sans"/>
          <w:b/>
          <w:sz w:val="36"/>
        </w:rPr>
      </w:pPr>
    </w:p>
    <w:p w14:paraId="727A578D" w14:textId="5718D759" w:rsidR="002653E8" w:rsidRDefault="003115E3" w:rsidP="00A26125">
      <w:pPr>
        <w:pStyle w:val="a3"/>
        <w:spacing w:line="211" w:lineRule="auto"/>
        <w:ind w:left="1327" w:right="1146"/>
        <w:jc w:val="both"/>
      </w:pPr>
      <w:r>
        <w:rPr>
          <w:rFonts w:ascii="Verdana"/>
          <w:color w:val="231F20"/>
          <w:spacing w:val="-11"/>
          <w:w w:val="99"/>
          <w:sz w:val="48"/>
        </w:rPr>
        <w:t>N</w:t>
      </w:r>
      <w:r>
        <w:rPr>
          <w:color w:val="231F20"/>
          <w:spacing w:val="2"/>
          <w:w w:val="125"/>
        </w:rPr>
        <w:t>o</w:t>
      </w:r>
      <w:r>
        <w:rPr>
          <w:color w:val="231F20"/>
          <w:w w:val="147"/>
        </w:rPr>
        <w:t>t</w:t>
      </w:r>
      <w:r>
        <w:rPr>
          <w:color w:val="231F20"/>
        </w:rPr>
        <w:t xml:space="preserve"> </w:t>
      </w:r>
      <w:r>
        <w:rPr>
          <w:color w:val="231F20"/>
          <w:spacing w:val="-14"/>
        </w:rPr>
        <w:t xml:space="preserve"> </w:t>
      </w:r>
      <w:r>
        <w:rPr>
          <w:color w:val="231F20"/>
          <w:spacing w:val="5"/>
          <w:w w:val="113"/>
        </w:rPr>
        <w:t>a</w:t>
      </w:r>
      <w:r>
        <w:rPr>
          <w:color w:val="231F20"/>
          <w:spacing w:val="2"/>
          <w:w w:val="184"/>
        </w:rPr>
        <w:t>l</w:t>
      </w:r>
      <w:r>
        <w:rPr>
          <w:color w:val="231F20"/>
          <w:w w:val="184"/>
        </w:rPr>
        <w:t>l</w:t>
      </w:r>
      <w:r>
        <w:rPr>
          <w:color w:val="231F20"/>
        </w:rPr>
        <w:t xml:space="preserve"> </w:t>
      </w:r>
      <w:r>
        <w:rPr>
          <w:color w:val="231F20"/>
          <w:spacing w:val="-14"/>
        </w:rPr>
        <w:t xml:space="preserve"> </w:t>
      </w:r>
      <w:r w:rsidR="00C507A5">
        <w:rPr>
          <w:color w:val="231F20"/>
          <w:spacing w:val="8"/>
          <w:w w:val="116"/>
        </w:rPr>
        <w:t>red army faction</w:t>
      </w:r>
      <w:r>
        <w:rPr>
          <w:color w:val="231F20"/>
        </w:rPr>
        <w:t xml:space="preserve"> </w:t>
      </w:r>
      <w:r>
        <w:rPr>
          <w:color w:val="231F20"/>
          <w:spacing w:val="-14"/>
        </w:rPr>
        <w:t xml:space="preserve"> </w:t>
      </w:r>
      <w:r>
        <w:rPr>
          <w:color w:val="231F20"/>
          <w:spacing w:val="5"/>
          <w:w w:val="93"/>
        </w:rPr>
        <w:t>m</w:t>
      </w:r>
      <w:r>
        <w:rPr>
          <w:color w:val="231F20"/>
          <w:spacing w:val="5"/>
          <w:w w:val="102"/>
        </w:rPr>
        <w:t>e</w:t>
      </w:r>
      <w:r>
        <w:rPr>
          <w:color w:val="231F20"/>
          <w:spacing w:val="3"/>
          <w:w w:val="93"/>
        </w:rPr>
        <w:t>m</w:t>
      </w:r>
      <w:r>
        <w:rPr>
          <w:color w:val="231F20"/>
          <w:spacing w:val="-1"/>
          <w:w w:val="101"/>
        </w:rPr>
        <w:t>b</w:t>
      </w:r>
      <w:r>
        <w:rPr>
          <w:color w:val="231F20"/>
          <w:spacing w:val="5"/>
          <w:w w:val="102"/>
        </w:rPr>
        <w:t>e</w:t>
      </w:r>
      <w:r>
        <w:rPr>
          <w:color w:val="231F20"/>
          <w:spacing w:val="3"/>
          <w:w w:val="134"/>
        </w:rPr>
        <w:t>r</w:t>
      </w:r>
      <w:r>
        <w:rPr>
          <w:color w:val="231F20"/>
          <w:w w:val="103"/>
        </w:rPr>
        <w:t>s</w:t>
      </w:r>
      <w:r>
        <w:rPr>
          <w:color w:val="231F20"/>
        </w:rPr>
        <w:t xml:space="preserve"> </w:t>
      </w:r>
      <w:r>
        <w:rPr>
          <w:color w:val="231F20"/>
          <w:spacing w:val="-14"/>
        </w:rPr>
        <w:t xml:space="preserve"> </w:t>
      </w:r>
      <w:r>
        <w:rPr>
          <w:color w:val="231F20"/>
          <w:spacing w:val="7"/>
          <w:w w:val="120"/>
        </w:rPr>
        <w:t>h</w:t>
      </w:r>
      <w:r>
        <w:rPr>
          <w:color w:val="231F20"/>
          <w:spacing w:val="6"/>
          <w:w w:val="113"/>
        </w:rPr>
        <w:t>a</w:t>
      </w:r>
      <w:r>
        <w:rPr>
          <w:color w:val="231F20"/>
          <w:w w:val="120"/>
        </w:rPr>
        <w:t>d</w:t>
      </w:r>
      <w:r>
        <w:rPr>
          <w:color w:val="231F20"/>
        </w:rPr>
        <w:t xml:space="preserve"> </w:t>
      </w:r>
      <w:r>
        <w:rPr>
          <w:color w:val="231F20"/>
          <w:spacing w:val="-14"/>
        </w:rPr>
        <w:t xml:space="preserve"> </w:t>
      </w:r>
      <w:r>
        <w:rPr>
          <w:color w:val="231F20"/>
          <w:spacing w:val="1"/>
          <w:w w:val="101"/>
        </w:rPr>
        <w:t>b</w:t>
      </w:r>
      <w:r>
        <w:rPr>
          <w:color w:val="231F20"/>
          <w:spacing w:val="1"/>
          <w:w w:val="91"/>
        </w:rPr>
        <w:t>e</w:t>
      </w:r>
      <w:r>
        <w:rPr>
          <w:color w:val="231F20"/>
          <w:w w:val="91"/>
        </w:rPr>
        <w:t>e</w:t>
      </w:r>
      <w:r>
        <w:rPr>
          <w:color w:val="231F20"/>
          <w:w w:val="99"/>
        </w:rPr>
        <w:t>n</w:t>
      </w:r>
      <w:r>
        <w:rPr>
          <w:color w:val="231F20"/>
        </w:rPr>
        <w:t xml:space="preserve"> </w:t>
      </w:r>
      <w:r>
        <w:rPr>
          <w:color w:val="231F20"/>
          <w:spacing w:val="-14"/>
        </w:rPr>
        <w:t xml:space="preserve"> </w:t>
      </w:r>
      <w:r>
        <w:rPr>
          <w:color w:val="231F20"/>
          <w:spacing w:val="3"/>
          <w:w w:val="102"/>
        </w:rPr>
        <w:t>a</w:t>
      </w:r>
      <w:r>
        <w:rPr>
          <w:color w:val="231F20"/>
          <w:spacing w:val="1"/>
          <w:w w:val="94"/>
        </w:rPr>
        <w:t>r</w:t>
      </w:r>
      <w:r>
        <w:rPr>
          <w:color w:val="231F20"/>
          <w:spacing w:val="-1"/>
          <w:w w:val="94"/>
        </w:rPr>
        <w:t>r</w:t>
      </w:r>
      <w:r>
        <w:rPr>
          <w:color w:val="231F20"/>
          <w:spacing w:val="1"/>
          <w:w w:val="91"/>
        </w:rPr>
        <w:t>e</w:t>
      </w:r>
      <w:r>
        <w:rPr>
          <w:color w:val="231F20"/>
          <w:w w:val="90"/>
        </w:rPr>
        <w:t>s</w:t>
      </w:r>
      <w:r>
        <w:rPr>
          <w:color w:val="231F20"/>
          <w:w w:val="98"/>
        </w:rPr>
        <w:t>t</w:t>
      </w:r>
      <w:r>
        <w:rPr>
          <w:color w:val="231F20"/>
          <w:w w:val="91"/>
        </w:rPr>
        <w:t>e</w:t>
      </w:r>
      <w:r>
        <w:rPr>
          <w:color w:val="231F20"/>
        </w:rPr>
        <w:t xml:space="preserve">d </w:t>
      </w:r>
      <w:r>
        <w:rPr>
          <w:color w:val="231F20"/>
          <w:spacing w:val="-14"/>
        </w:rPr>
        <w:t xml:space="preserve"> </w:t>
      </w:r>
      <w:r>
        <w:rPr>
          <w:color w:val="231F20"/>
          <w:spacing w:val="2"/>
        </w:rPr>
        <w:t>i</w:t>
      </w:r>
      <w:r>
        <w:rPr>
          <w:color w:val="231F20"/>
          <w:w w:val="99"/>
        </w:rPr>
        <w:t>n</w:t>
      </w:r>
      <w:r>
        <w:rPr>
          <w:color w:val="231F20"/>
        </w:rPr>
        <w:t xml:space="preserve"> </w:t>
      </w:r>
      <w:r>
        <w:rPr>
          <w:color w:val="231F20"/>
          <w:spacing w:val="-14"/>
        </w:rPr>
        <w:t xml:space="preserve"> </w:t>
      </w:r>
      <w:r>
        <w:rPr>
          <w:color w:val="231F20"/>
          <w:spacing w:val="-10"/>
        </w:rPr>
        <w:t>1</w:t>
      </w:r>
      <w:r>
        <w:rPr>
          <w:color w:val="231F20"/>
          <w:spacing w:val="-1"/>
        </w:rPr>
        <w:t>9</w:t>
      </w:r>
      <w:r>
        <w:rPr>
          <w:color w:val="231F20"/>
          <w:spacing w:val="-4"/>
        </w:rPr>
        <w:t>7</w:t>
      </w:r>
      <w:r>
        <w:rPr>
          <w:color w:val="231F20"/>
        </w:rPr>
        <w:t>2</w:t>
      </w:r>
      <w:r>
        <w:rPr>
          <w:color w:val="231F20"/>
          <w:w w:val="135"/>
        </w:rPr>
        <w:t>.</w:t>
      </w:r>
      <w:r>
        <w:rPr>
          <w:color w:val="231F20"/>
        </w:rPr>
        <w:t xml:space="preserve"> </w:t>
      </w:r>
      <w:r>
        <w:rPr>
          <w:color w:val="231F20"/>
          <w:spacing w:val="-14"/>
        </w:rPr>
        <w:t xml:space="preserve"> </w:t>
      </w:r>
      <w:r>
        <w:rPr>
          <w:color w:val="231F20"/>
          <w:spacing w:val="-1"/>
          <w:w w:val="103"/>
        </w:rPr>
        <w:t>F</w:t>
      </w:r>
      <w:r>
        <w:rPr>
          <w:color w:val="231F20"/>
          <w:spacing w:val="3"/>
        </w:rPr>
        <w:t>u</w:t>
      </w:r>
      <w:r>
        <w:rPr>
          <w:color w:val="231F20"/>
          <w:spacing w:val="5"/>
          <w:w w:val="94"/>
        </w:rPr>
        <w:t>r</w:t>
      </w:r>
      <w:r>
        <w:rPr>
          <w:color w:val="231F20"/>
          <w:spacing w:val="2"/>
          <w:w w:val="98"/>
        </w:rPr>
        <w:t>t</w:t>
      </w:r>
      <w:r>
        <w:rPr>
          <w:color w:val="231F20"/>
          <w:spacing w:val="-1"/>
        </w:rPr>
        <w:t>h</w:t>
      </w:r>
      <w:r>
        <w:rPr>
          <w:color w:val="231F20"/>
          <w:w w:val="92"/>
        </w:rPr>
        <w:t>e</w:t>
      </w:r>
      <w:r>
        <w:rPr>
          <w:color w:val="231F20"/>
          <w:spacing w:val="2"/>
          <w:w w:val="92"/>
        </w:rPr>
        <w:t>r</w:t>
      </w:r>
      <w:r>
        <w:rPr>
          <w:color w:val="231F20"/>
          <w:spacing w:val="-1"/>
          <w:w w:val="99"/>
        </w:rPr>
        <w:t>m</w:t>
      </w:r>
      <w:r>
        <w:rPr>
          <w:color w:val="231F20"/>
          <w:spacing w:val="-1"/>
          <w:w w:val="104"/>
        </w:rPr>
        <w:t>o</w:t>
      </w:r>
      <w:r>
        <w:rPr>
          <w:color w:val="231F20"/>
          <w:spacing w:val="-1"/>
          <w:w w:val="94"/>
        </w:rPr>
        <w:t>r</w:t>
      </w:r>
      <w:r>
        <w:rPr>
          <w:color w:val="231F20"/>
          <w:spacing w:val="2"/>
          <w:w w:val="91"/>
        </w:rPr>
        <w:t>e</w:t>
      </w:r>
      <w:r>
        <w:rPr>
          <w:color w:val="231F20"/>
          <w:w w:val="135"/>
        </w:rPr>
        <w:t xml:space="preserve">, </w:t>
      </w:r>
      <w:r>
        <w:rPr>
          <w:color w:val="231F20"/>
          <w:w w:val="105"/>
        </w:rPr>
        <w:t>there was no real evidence against many of those who had been</w:t>
      </w:r>
      <w:r>
        <w:rPr>
          <w:color w:val="231F20"/>
          <w:spacing w:val="25"/>
          <w:w w:val="105"/>
        </w:rPr>
        <w:t xml:space="preserve"> </w:t>
      </w:r>
      <w:r>
        <w:rPr>
          <w:color w:val="231F20"/>
          <w:w w:val="105"/>
        </w:rPr>
        <w:t>cap-tured,</w:t>
      </w:r>
      <w:r>
        <w:rPr>
          <w:color w:val="231F20"/>
          <w:spacing w:val="-9"/>
          <w:w w:val="105"/>
        </w:rPr>
        <w:t xml:space="preserve"> </w:t>
      </w:r>
      <w:r>
        <w:rPr>
          <w:color w:val="231F20"/>
          <w:w w:val="105"/>
        </w:rPr>
        <w:t>meaning</w:t>
      </w:r>
      <w:r>
        <w:rPr>
          <w:color w:val="231F20"/>
          <w:spacing w:val="-9"/>
          <w:w w:val="105"/>
        </w:rPr>
        <w:t xml:space="preserve"> </w:t>
      </w:r>
      <w:r>
        <w:rPr>
          <w:color w:val="231F20"/>
          <w:w w:val="105"/>
        </w:rPr>
        <w:t>they</w:t>
      </w:r>
      <w:r>
        <w:rPr>
          <w:color w:val="231F20"/>
          <w:spacing w:val="-9"/>
          <w:w w:val="105"/>
        </w:rPr>
        <w:t xml:space="preserve"> </w:t>
      </w:r>
      <w:r>
        <w:rPr>
          <w:color w:val="231F20"/>
          <w:w w:val="105"/>
        </w:rPr>
        <w:t>could</w:t>
      </w:r>
      <w:r>
        <w:rPr>
          <w:color w:val="231F20"/>
          <w:spacing w:val="-9"/>
          <w:w w:val="105"/>
        </w:rPr>
        <w:t xml:space="preserve"> </w:t>
      </w:r>
      <w:r>
        <w:rPr>
          <w:color w:val="231F20"/>
          <w:w w:val="105"/>
        </w:rPr>
        <w:t>only</w:t>
      </w:r>
      <w:r>
        <w:rPr>
          <w:color w:val="231F20"/>
          <w:spacing w:val="-9"/>
          <w:w w:val="105"/>
        </w:rPr>
        <w:t xml:space="preserve"> </w:t>
      </w:r>
      <w:r>
        <w:rPr>
          <w:color w:val="231F20"/>
          <w:w w:val="105"/>
        </w:rPr>
        <w:t>be</w:t>
      </w:r>
      <w:r>
        <w:rPr>
          <w:color w:val="231F20"/>
          <w:spacing w:val="-9"/>
          <w:w w:val="105"/>
        </w:rPr>
        <w:t xml:space="preserve"> </w:t>
      </w:r>
      <w:r>
        <w:rPr>
          <w:color w:val="231F20"/>
          <w:w w:val="105"/>
        </w:rPr>
        <w:t>charged</w:t>
      </w:r>
      <w:r>
        <w:rPr>
          <w:color w:val="231F20"/>
          <w:spacing w:val="-9"/>
          <w:w w:val="105"/>
        </w:rPr>
        <w:t xml:space="preserve"> </w:t>
      </w:r>
      <w:r>
        <w:rPr>
          <w:color w:val="231F20"/>
          <w:w w:val="105"/>
        </w:rPr>
        <w:t>with</w:t>
      </w:r>
      <w:r>
        <w:rPr>
          <w:color w:val="231F20"/>
          <w:spacing w:val="-9"/>
          <w:w w:val="105"/>
        </w:rPr>
        <w:t xml:space="preserve"> </w:t>
      </w:r>
      <w:r>
        <w:rPr>
          <w:color w:val="231F20"/>
          <w:w w:val="105"/>
        </w:rPr>
        <w:t>belonging</w:t>
      </w:r>
      <w:r>
        <w:rPr>
          <w:color w:val="231F20"/>
          <w:spacing w:val="-9"/>
          <w:w w:val="105"/>
        </w:rPr>
        <w:t xml:space="preserve"> </w:t>
      </w:r>
      <w:r>
        <w:rPr>
          <w:color w:val="231F20"/>
          <w:w w:val="105"/>
        </w:rPr>
        <w:t>to</w:t>
      </w:r>
      <w:r>
        <w:rPr>
          <w:color w:val="231F20"/>
          <w:spacing w:val="-9"/>
          <w:w w:val="105"/>
        </w:rPr>
        <w:t xml:space="preserve"> </w:t>
      </w:r>
      <w:r>
        <w:rPr>
          <w:color w:val="231F20"/>
          <w:w w:val="105"/>
        </w:rPr>
        <w:t>a</w:t>
      </w:r>
      <w:r>
        <w:rPr>
          <w:color w:val="231F20"/>
          <w:spacing w:val="-9"/>
          <w:w w:val="105"/>
        </w:rPr>
        <w:t xml:space="preserve"> </w:t>
      </w:r>
      <w:r>
        <w:rPr>
          <w:color w:val="231F20"/>
          <w:w w:val="105"/>
        </w:rPr>
        <w:t xml:space="preserve">“criminal organization” under </w:t>
      </w:r>
      <w:r>
        <w:rPr>
          <w:color w:val="231F20"/>
          <w:spacing w:val="-4"/>
          <w:w w:val="105"/>
          <w:sz w:val="18"/>
        </w:rPr>
        <w:t>§</w:t>
      </w:r>
      <w:r>
        <w:rPr>
          <w:color w:val="231F20"/>
          <w:spacing w:val="-4"/>
          <w:w w:val="105"/>
        </w:rPr>
        <w:t xml:space="preserve">129. </w:t>
      </w:r>
      <w:r>
        <w:rPr>
          <w:color w:val="231F20"/>
          <w:w w:val="105"/>
        </w:rPr>
        <w:t>Even when found guilty of this crime, they could not be held for more than a maximum of six years, and in practice, often had to be released before</w:t>
      </w:r>
      <w:r>
        <w:rPr>
          <w:color w:val="231F20"/>
          <w:spacing w:val="35"/>
          <w:w w:val="105"/>
        </w:rPr>
        <w:t xml:space="preserve"> </w:t>
      </w:r>
      <w:r>
        <w:rPr>
          <w:color w:val="231F20"/>
          <w:w w:val="105"/>
        </w:rPr>
        <w:t>that.</w:t>
      </w:r>
    </w:p>
    <w:p w14:paraId="5A7DB994" w14:textId="77777777" w:rsidR="002653E8" w:rsidRDefault="003115E3">
      <w:pPr>
        <w:pStyle w:val="a3"/>
        <w:spacing w:line="264" w:lineRule="auto"/>
        <w:ind w:left="1327" w:right="1145" w:firstLine="209"/>
        <w:jc w:val="both"/>
      </w:pPr>
      <w:r>
        <w:rPr>
          <w:color w:val="231F20"/>
        </w:rPr>
        <w:t xml:space="preserve">These remnants of the </w:t>
      </w:r>
      <w:r w:rsidR="00C507A5">
        <w:rPr>
          <w:color w:val="231F20"/>
        </w:rPr>
        <w:t>red army faction</w:t>
      </w:r>
      <w:r>
        <w:rPr>
          <w:color w:val="231F20"/>
        </w:rPr>
        <w:t xml:space="preserve">’s first wave did seem to carry on an underground existence of sorts, but failed to carry out any actions after May 1972. Still in the preparatory stages of acquiring documents and weapons, many of them were picked up on February 4, 1974 in simultaneous predawn raids in Frankfurt and Hamburg. Ilse Stachowiak, Margrit Schiller, Helmut Pohl, and </w:t>
      </w:r>
      <w:bookmarkStart w:id="142" w:name="_Hlk123009600"/>
      <w:r>
        <w:rPr>
          <w:color w:val="231F20"/>
        </w:rPr>
        <w:t>Wolfgang Beer</w:t>
      </w:r>
      <w:bookmarkEnd w:id="142"/>
      <w:r>
        <w:rPr>
          <w:color w:val="231F20"/>
        </w:rPr>
        <w:t xml:space="preserve"> (who had all been active prior to 1972) were captured along with former SPK attorney Eberhard Becker, Christa Eckes (from </w:t>
      </w:r>
      <w:r w:rsidR="00C507A5">
        <w:rPr>
          <w:color w:val="231F20"/>
        </w:rPr>
        <w:t>red army faction</w:t>
      </w:r>
      <w:r>
        <w:rPr>
          <w:color w:val="231F20"/>
        </w:rPr>
        <w:t xml:space="preserve"> lawyer Kurt Groenewold’s legal office), and Kay-Werner Allnach.</w:t>
      </w:r>
    </w:p>
    <w:p w14:paraId="24453843" w14:textId="77777777" w:rsidR="002653E8" w:rsidRDefault="003115E3">
      <w:pPr>
        <w:pStyle w:val="a3"/>
        <w:spacing w:line="264" w:lineRule="auto"/>
        <w:ind w:left="1327" w:right="1146" w:firstLine="210"/>
        <w:jc w:val="both"/>
        <w:rPr>
          <w:sz w:val="11"/>
        </w:rPr>
      </w:pPr>
      <w:r>
        <w:rPr>
          <w:color w:val="231F20"/>
        </w:rPr>
        <w:t>Police claimed that they had had these individuals under observation for months, bugging their phones and opening all mail before it  was delivered without their being any the wiser. When they did move in, they claimed it was because they had recently learned of plans to  rob</w:t>
      </w:r>
      <w:r>
        <w:rPr>
          <w:color w:val="231F20"/>
          <w:spacing w:val="12"/>
        </w:rPr>
        <w:t xml:space="preserve"> </w:t>
      </w:r>
      <w:r>
        <w:rPr>
          <w:color w:val="231F20"/>
        </w:rPr>
        <w:t>a</w:t>
      </w:r>
      <w:r>
        <w:rPr>
          <w:color w:val="231F20"/>
          <w:spacing w:val="12"/>
        </w:rPr>
        <w:t xml:space="preserve"> </w:t>
      </w:r>
      <w:r>
        <w:rPr>
          <w:color w:val="231F20"/>
        </w:rPr>
        <w:t>bank</w:t>
      </w:r>
      <w:r>
        <w:rPr>
          <w:color w:val="231F20"/>
          <w:spacing w:val="12"/>
        </w:rPr>
        <w:t xml:space="preserve"> </w:t>
      </w:r>
      <w:r>
        <w:rPr>
          <w:color w:val="231F20"/>
        </w:rPr>
        <w:t>in</w:t>
      </w:r>
      <w:r>
        <w:rPr>
          <w:color w:val="231F20"/>
          <w:spacing w:val="12"/>
        </w:rPr>
        <w:t xml:space="preserve"> </w:t>
      </w:r>
      <w:r>
        <w:rPr>
          <w:color w:val="231F20"/>
        </w:rPr>
        <w:t>the</w:t>
      </w:r>
      <w:r>
        <w:rPr>
          <w:color w:val="231F20"/>
          <w:spacing w:val="12"/>
        </w:rPr>
        <w:t xml:space="preserve"> </w:t>
      </w:r>
      <w:r>
        <w:rPr>
          <w:color w:val="231F20"/>
        </w:rPr>
        <w:t>north</w:t>
      </w:r>
      <w:r>
        <w:rPr>
          <w:color w:val="231F20"/>
          <w:spacing w:val="12"/>
        </w:rPr>
        <w:t xml:space="preserve"> </w:t>
      </w:r>
      <w:r>
        <w:rPr>
          <w:color w:val="231F20"/>
        </w:rPr>
        <w:t>German</w:t>
      </w:r>
      <w:r>
        <w:rPr>
          <w:color w:val="231F20"/>
          <w:spacing w:val="12"/>
        </w:rPr>
        <w:t xml:space="preserve"> </w:t>
      </w:r>
      <w:r>
        <w:rPr>
          <w:color w:val="231F20"/>
        </w:rPr>
        <w:t>port</w:t>
      </w:r>
      <w:r>
        <w:rPr>
          <w:color w:val="231F20"/>
          <w:spacing w:val="12"/>
        </w:rPr>
        <w:t xml:space="preserve"> </w:t>
      </w:r>
      <w:r>
        <w:rPr>
          <w:color w:val="231F20"/>
        </w:rPr>
        <w:t>city</w:t>
      </w:r>
      <w:r>
        <w:rPr>
          <w:color w:val="231F20"/>
          <w:spacing w:val="12"/>
        </w:rPr>
        <w:t xml:space="preserve"> </w:t>
      </w:r>
      <w:r>
        <w:rPr>
          <w:color w:val="231F20"/>
        </w:rPr>
        <w:t>of</w:t>
      </w:r>
      <w:r>
        <w:rPr>
          <w:color w:val="231F20"/>
          <w:spacing w:val="12"/>
        </w:rPr>
        <w:t xml:space="preserve"> </w:t>
      </w:r>
      <w:r>
        <w:rPr>
          <w:color w:val="231F20"/>
        </w:rPr>
        <w:t>Kiel.</w:t>
      </w:r>
      <w:r>
        <w:rPr>
          <w:color w:val="231F20"/>
          <w:position w:val="7"/>
          <w:sz w:val="11"/>
        </w:rPr>
        <w:t>1</w:t>
      </w:r>
    </w:p>
    <w:p w14:paraId="0E8C1F7C" w14:textId="77777777" w:rsidR="002653E8" w:rsidRDefault="00000000">
      <w:pPr>
        <w:pStyle w:val="a3"/>
        <w:spacing w:before="11"/>
        <w:rPr>
          <w:sz w:val="13"/>
        </w:rPr>
      </w:pPr>
      <w:r>
        <w:rPr>
          <w:noProof w:val="0"/>
        </w:rPr>
        <w:pict w14:anchorId="726687FA">
          <v:line id="_x0000_s2346" style="position:absolute;z-index:7360;mso-wrap-distance-left:0;mso-wrap-distance-right:0;mso-position-horizontal-relative:page" from="66.4pt,10.35pt" to="138.4pt,10.35pt" strokecolor="#231f20" strokeweight=".5pt">
            <w10:wrap type="topAndBottom" anchorx="page"/>
          </v:line>
        </w:pict>
      </w:r>
    </w:p>
    <w:p w14:paraId="30A093EA" w14:textId="77777777" w:rsidR="002653E8" w:rsidRDefault="003115E3">
      <w:pPr>
        <w:pStyle w:val="a4"/>
        <w:numPr>
          <w:ilvl w:val="0"/>
          <w:numId w:val="101"/>
        </w:numPr>
        <w:tabs>
          <w:tab w:val="left" w:pos="1467"/>
        </w:tabs>
        <w:spacing w:before="53"/>
        <w:rPr>
          <w:sz w:val="16"/>
        </w:rPr>
      </w:pPr>
      <w:r>
        <w:rPr>
          <w:color w:val="231F20"/>
          <w:w w:val="105"/>
          <w:sz w:val="16"/>
        </w:rPr>
        <w:t>Associated</w:t>
      </w:r>
      <w:r>
        <w:rPr>
          <w:color w:val="231F20"/>
          <w:spacing w:val="10"/>
          <w:w w:val="105"/>
          <w:sz w:val="16"/>
        </w:rPr>
        <w:t xml:space="preserve"> </w:t>
      </w:r>
      <w:r>
        <w:rPr>
          <w:color w:val="231F20"/>
          <w:w w:val="105"/>
          <w:sz w:val="16"/>
        </w:rPr>
        <w:t>Press,</w:t>
      </w:r>
      <w:r>
        <w:rPr>
          <w:color w:val="231F20"/>
          <w:spacing w:val="10"/>
          <w:w w:val="105"/>
          <w:sz w:val="16"/>
        </w:rPr>
        <w:t xml:space="preserve"> </w:t>
      </w:r>
      <w:r>
        <w:rPr>
          <w:color w:val="231F20"/>
          <w:w w:val="105"/>
          <w:sz w:val="16"/>
        </w:rPr>
        <w:t>“New</w:t>
      </w:r>
      <w:r>
        <w:rPr>
          <w:color w:val="231F20"/>
          <w:spacing w:val="10"/>
          <w:w w:val="105"/>
          <w:sz w:val="16"/>
        </w:rPr>
        <w:t xml:space="preserve"> </w:t>
      </w:r>
      <w:r>
        <w:rPr>
          <w:color w:val="231F20"/>
          <w:w w:val="105"/>
          <w:sz w:val="16"/>
        </w:rPr>
        <w:t>Terror</w:t>
      </w:r>
      <w:r>
        <w:rPr>
          <w:color w:val="231F20"/>
          <w:spacing w:val="10"/>
          <w:w w:val="105"/>
          <w:sz w:val="16"/>
        </w:rPr>
        <w:t xml:space="preserve"> </w:t>
      </w:r>
      <w:r>
        <w:rPr>
          <w:color w:val="231F20"/>
          <w:w w:val="105"/>
          <w:sz w:val="16"/>
        </w:rPr>
        <w:t>Ring</w:t>
      </w:r>
      <w:r>
        <w:rPr>
          <w:color w:val="231F20"/>
          <w:spacing w:val="10"/>
          <w:w w:val="105"/>
          <w:sz w:val="16"/>
        </w:rPr>
        <w:t xml:space="preserve"> </w:t>
      </w:r>
      <w:r>
        <w:rPr>
          <w:color w:val="231F20"/>
          <w:w w:val="105"/>
          <w:sz w:val="16"/>
        </w:rPr>
        <w:t>Smashed</w:t>
      </w:r>
      <w:r>
        <w:rPr>
          <w:color w:val="231F20"/>
          <w:spacing w:val="10"/>
          <w:w w:val="105"/>
          <w:sz w:val="16"/>
        </w:rPr>
        <w:t xml:space="preserve"> </w:t>
      </w:r>
      <w:r>
        <w:rPr>
          <w:color w:val="231F20"/>
          <w:w w:val="105"/>
          <w:sz w:val="16"/>
        </w:rPr>
        <w:t>By</w:t>
      </w:r>
      <w:r>
        <w:rPr>
          <w:color w:val="231F20"/>
          <w:spacing w:val="10"/>
          <w:w w:val="105"/>
          <w:sz w:val="16"/>
        </w:rPr>
        <w:t xml:space="preserve"> </w:t>
      </w:r>
      <w:r>
        <w:rPr>
          <w:color w:val="231F20"/>
          <w:w w:val="105"/>
          <w:sz w:val="16"/>
        </w:rPr>
        <w:t>Raids</w:t>
      </w:r>
      <w:r>
        <w:rPr>
          <w:color w:val="231F20"/>
          <w:spacing w:val="10"/>
          <w:w w:val="105"/>
          <w:sz w:val="16"/>
        </w:rPr>
        <w:t xml:space="preserve"> </w:t>
      </w:r>
      <w:r>
        <w:rPr>
          <w:color w:val="231F20"/>
          <w:w w:val="105"/>
          <w:sz w:val="16"/>
        </w:rPr>
        <w:t>in</w:t>
      </w:r>
      <w:r>
        <w:rPr>
          <w:color w:val="231F20"/>
          <w:spacing w:val="10"/>
          <w:w w:val="105"/>
          <w:sz w:val="16"/>
        </w:rPr>
        <w:t xml:space="preserve"> </w:t>
      </w:r>
      <w:r>
        <w:rPr>
          <w:color w:val="231F20"/>
          <w:w w:val="105"/>
          <w:sz w:val="16"/>
        </w:rPr>
        <w:t>German</w:t>
      </w:r>
      <w:r>
        <w:rPr>
          <w:color w:val="231F20"/>
          <w:spacing w:val="10"/>
          <w:w w:val="105"/>
          <w:sz w:val="16"/>
        </w:rPr>
        <w:t xml:space="preserve"> </w:t>
      </w:r>
      <w:r>
        <w:rPr>
          <w:color w:val="231F20"/>
          <w:w w:val="105"/>
          <w:sz w:val="16"/>
        </w:rPr>
        <w:t>Cities,”</w:t>
      </w:r>
    </w:p>
    <w:p w14:paraId="1B5756DF" w14:textId="77777777" w:rsidR="002653E8" w:rsidRDefault="002653E8">
      <w:pPr>
        <w:rPr>
          <w:sz w:val="16"/>
        </w:rPr>
        <w:sectPr w:rsidR="002653E8">
          <w:footerReference w:type="even" r:id="rId275"/>
          <w:footerReference w:type="default" r:id="rId276"/>
          <w:pgSz w:w="8640" w:h="12960"/>
          <w:pgMar w:top="1220" w:right="0" w:bottom="1040" w:left="0" w:header="0" w:footer="850" w:gutter="0"/>
          <w:pgNumType w:start="325"/>
          <w:cols w:space="720"/>
        </w:sectPr>
      </w:pPr>
    </w:p>
    <w:p w14:paraId="00AC5AD8" w14:textId="1285BE94" w:rsidR="002653E8" w:rsidRDefault="003115E3">
      <w:pPr>
        <w:pStyle w:val="a3"/>
        <w:spacing w:before="86" w:line="264" w:lineRule="auto"/>
        <w:ind w:left="1147" w:right="1325" w:firstLine="210"/>
        <w:jc w:val="both"/>
      </w:pPr>
      <w:r>
        <w:rPr>
          <w:color w:val="231F20"/>
        </w:rPr>
        <w:lastRenderedPageBreak/>
        <w:t xml:space="preserve">Stachowiak had been sought in connection with the May Offensive, and, in </w:t>
      </w:r>
      <w:r>
        <w:rPr>
          <w:color w:val="231F20"/>
          <w:spacing w:val="-6"/>
        </w:rPr>
        <w:t xml:space="preserve">1977, </w:t>
      </w:r>
      <w:r>
        <w:rPr>
          <w:color w:val="231F20"/>
        </w:rPr>
        <w:t xml:space="preserve">received a life sentence for the Springer bombing. Pohl  and Schiller each received five-year sentences; they were released in September </w:t>
      </w:r>
      <w:r>
        <w:rPr>
          <w:color w:val="231F20"/>
          <w:spacing w:val="-5"/>
        </w:rPr>
        <w:t xml:space="preserve">1979. </w:t>
      </w:r>
      <w:r>
        <w:rPr>
          <w:color w:val="231F20"/>
        </w:rPr>
        <w:t xml:space="preserve">Beer was released one year earlier, in </w:t>
      </w:r>
      <w:r>
        <w:rPr>
          <w:color w:val="231F20"/>
          <w:spacing w:val="-4"/>
        </w:rPr>
        <w:t xml:space="preserve">1978. </w:t>
      </w:r>
      <w:r>
        <w:rPr>
          <w:color w:val="231F20"/>
        </w:rPr>
        <w:t xml:space="preserve">Allnach was kept in isolation for two years after his arrest, during which time  he broke with the </w:t>
      </w:r>
      <w:r w:rsidR="00C507A5">
        <w:rPr>
          <w:color w:val="231F20"/>
          <w:spacing w:val="5"/>
        </w:rPr>
        <w:t>red army faction</w:t>
      </w:r>
      <w:r>
        <w:rPr>
          <w:color w:val="231F20"/>
          <w:spacing w:val="5"/>
        </w:rPr>
        <w:t xml:space="preserve"> </w:t>
      </w:r>
      <w:r>
        <w:rPr>
          <w:color w:val="231F20"/>
        </w:rPr>
        <w:t>while still refusing to testify against anyone. He was</w:t>
      </w:r>
      <w:r>
        <w:rPr>
          <w:color w:val="231F20"/>
          <w:spacing w:val="-4"/>
        </w:rPr>
        <w:t xml:space="preserve"> </w:t>
      </w:r>
      <w:r>
        <w:rPr>
          <w:color w:val="231F20"/>
        </w:rPr>
        <w:t>convicted</w:t>
      </w:r>
      <w:r>
        <w:rPr>
          <w:color w:val="231F20"/>
          <w:spacing w:val="-4"/>
        </w:rPr>
        <w:t xml:space="preserve"> </w:t>
      </w:r>
      <w:r>
        <w:rPr>
          <w:color w:val="231F20"/>
        </w:rPr>
        <w:t>under</w:t>
      </w:r>
      <w:r>
        <w:rPr>
          <w:color w:val="231F20"/>
          <w:spacing w:val="-3"/>
        </w:rPr>
        <w:t xml:space="preserve"> </w:t>
      </w:r>
      <w:r>
        <w:rPr>
          <w:color w:val="231F20"/>
          <w:spacing w:val="-4"/>
          <w:sz w:val="18"/>
        </w:rPr>
        <w:t>§</w:t>
      </w:r>
      <w:r>
        <w:rPr>
          <w:color w:val="231F20"/>
          <w:spacing w:val="-4"/>
        </w:rPr>
        <w:t>129</w:t>
      </w:r>
      <w:r>
        <w:rPr>
          <w:color w:val="231F20"/>
          <w:spacing w:val="-3"/>
        </w:rPr>
        <w:t xml:space="preserve"> </w:t>
      </w:r>
      <w:r>
        <w:rPr>
          <w:color w:val="231F20"/>
        </w:rPr>
        <w:t>and</w:t>
      </w:r>
      <w:r>
        <w:rPr>
          <w:color w:val="231F20"/>
          <w:spacing w:val="-4"/>
        </w:rPr>
        <w:t xml:space="preserve"> </w:t>
      </w:r>
      <w:r>
        <w:rPr>
          <w:color w:val="231F20"/>
        </w:rPr>
        <w:t>sentenced</w:t>
      </w:r>
      <w:r>
        <w:rPr>
          <w:color w:val="231F20"/>
          <w:spacing w:val="-4"/>
        </w:rPr>
        <w:t xml:space="preserve"> </w:t>
      </w:r>
      <w:r>
        <w:rPr>
          <w:color w:val="231F20"/>
        </w:rPr>
        <w:t>to</w:t>
      </w:r>
      <w:r>
        <w:rPr>
          <w:color w:val="231F20"/>
          <w:spacing w:val="-4"/>
        </w:rPr>
        <w:t xml:space="preserve"> </w:t>
      </w:r>
      <w:r>
        <w:rPr>
          <w:color w:val="231F20"/>
        </w:rPr>
        <w:t>three</w:t>
      </w:r>
      <w:r>
        <w:rPr>
          <w:color w:val="231F20"/>
          <w:spacing w:val="-4"/>
        </w:rPr>
        <w:t xml:space="preserve"> </w:t>
      </w:r>
      <w:r>
        <w:rPr>
          <w:color w:val="231F20"/>
        </w:rPr>
        <w:t>years.</w:t>
      </w:r>
      <w:r>
        <w:rPr>
          <w:color w:val="231F20"/>
          <w:spacing w:val="-4"/>
        </w:rPr>
        <w:t xml:space="preserve"> </w:t>
      </w:r>
      <w:r>
        <w:rPr>
          <w:color w:val="231F20"/>
        </w:rPr>
        <w:t>The</w:t>
      </w:r>
      <w:r>
        <w:rPr>
          <w:color w:val="231F20"/>
          <w:spacing w:val="-4"/>
        </w:rPr>
        <w:t xml:space="preserve"> </w:t>
      </w:r>
      <w:r>
        <w:rPr>
          <w:color w:val="231F20"/>
        </w:rPr>
        <w:t>others,</w:t>
      </w:r>
      <w:r>
        <w:rPr>
          <w:color w:val="231F20"/>
          <w:spacing w:val="-4"/>
        </w:rPr>
        <w:t xml:space="preserve"> </w:t>
      </w:r>
      <w:r>
        <w:rPr>
          <w:color w:val="231F20"/>
        </w:rPr>
        <w:t>sentenced for possession of guns, explosives, and phony papers, similarly spent years behind</w:t>
      </w:r>
      <w:r>
        <w:rPr>
          <w:color w:val="231F20"/>
          <w:spacing w:val="31"/>
        </w:rPr>
        <w:t xml:space="preserve"> </w:t>
      </w:r>
      <w:r>
        <w:rPr>
          <w:color w:val="231F20"/>
        </w:rPr>
        <w:t>bars.</w:t>
      </w:r>
    </w:p>
    <w:p w14:paraId="6F25BBED" w14:textId="77777777" w:rsidR="002653E8" w:rsidRDefault="003115E3">
      <w:pPr>
        <w:pStyle w:val="a3"/>
        <w:spacing w:line="264" w:lineRule="auto"/>
        <w:ind w:left="1148" w:right="1326" w:firstLine="210"/>
        <w:jc w:val="both"/>
      </w:pPr>
      <w:r>
        <w:rPr>
          <w:color w:val="231F20"/>
        </w:rPr>
        <w:t>As</w:t>
      </w:r>
      <w:r>
        <w:rPr>
          <w:color w:val="231F20"/>
          <w:spacing w:val="-3"/>
        </w:rPr>
        <w:t xml:space="preserve"> </w:t>
      </w:r>
      <w:r>
        <w:rPr>
          <w:color w:val="231F20"/>
        </w:rPr>
        <w:t>we</w:t>
      </w:r>
      <w:r>
        <w:rPr>
          <w:color w:val="231F20"/>
          <w:spacing w:val="-3"/>
        </w:rPr>
        <w:t xml:space="preserve"> </w:t>
      </w:r>
      <w:r>
        <w:rPr>
          <w:color w:val="231F20"/>
        </w:rPr>
        <w:t>have</w:t>
      </w:r>
      <w:r>
        <w:rPr>
          <w:color w:val="231F20"/>
          <w:spacing w:val="-3"/>
        </w:rPr>
        <w:t xml:space="preserve"> </w:t>
      </w:r>
      <w:r>
        <w:rPr>
          <w:color w:val="231F20"/>
        </w:rPr>
        <w:t>seen,</w:t>
      </w:r>
      <w:r>
        <w:rPr>
          <w:color w:val="231F20"/>
          <w:spacing w:val="-3"/>
        </w:rPr>
        <w:t xml:space="preserve"> </w:t>
      </w:r>
      <w:r>
        <w:rPr>
          <w:color w:val="231F20"/>
        </w:rPr>
        <w:t>capture</w:t>
      </w:r>
      <w:r>
        <w:rPr>
          <w:color w:val="231F20"/>
          <w:spacing w:val="-3"/>
        </w:rPr>
        <w:t xml:space="preserve"> </w:t>
      </w:r>
      <w:r>
        <w:rPr>
          <w:color w:val="231F20"/>
        </w:rPr>
        <w:t>did</w:t>
      </w:r>
      <w:r>
        <w:rPr>
          <w:color w:val="231F20"/>
          <w:spacing w:val="-3"/>
        </w:rPr>
        <w:t xml:space="preserve"> </w:t>
      </w:r>
      <w:r>
        <w:rPr>
          <w:color w:val="231F20"/>
        </w:rPr>
        <w:t>not</w:t>
      </w:r>
      <w:r>
        <w:rPr>
          <w:color w:val="231F20"/>
          <w:spacing w:val="-3"/>
        </w:rPr>
        <w:t xml:space="preserve"> </w:t>
      </w:r>
      <w:r>
        <w:rPr>
          <w:color w:val="231F20"/>
        </w:rPr>
        <w:t>spell</w:t>
      </w:r>
      <w:r>
        <w:rPr>
          <w:color w:val="231F20"/>
          <w:spacing w:val="-3"/>
        </w:rPr>
        <w:t xml:space="preserve"> </w:t>
      </w:r>
      <w:r>
        <w:rPr>
          <w:color w:val="231F20"/>
        </w:rPr>
        <w:t>the</w:t>
      </w:r>
      <w:r>
        <w:rPr>
          <w:color w:val="231F20"/>
          <w:spacing w:val="-3"/>
        </w:rPr>
        <w:t xml:space="preserve"> </w:t>
      </w:r>
      <w:r>
        <w:rPr>
          <w:color w:val="231F20"/>
        </w:rPr>
        <w:t>end</w:t>
      </w:r>
      <w:r>
        <w:rPr>
          <w:color w:val="231F20"/>
          <w:spacing w:val="-3"/>
        </w:rPr>
        <w:t xml:space="preserve"> </w:t>
      </w:r>
      <w:r>
        <w:rPr>
          <w:color w:val="231F20"/>
        </w:rPr>
        <w:t>for</w:t>
      </w:r>
      <w:r>
        <w:rPr>
          <w:color w:val="231F20"/>
          <w:spacing w:val="-3"/>
        </w:rPr>
        <w:t xml:space="preserve"> </w:t>
      </w:r>
      <w:r>
        <w:rPr>
          <w:color w:val="231F20"/>
        </w:rPr>
        <w:t>the</w:t>
      </w:r>
      <w:r>
        <w:rPr>
          <w:color w:val="231F20"/>
          <w:spacing w:val="-3"/>
        </w:rPr>
        <w:t xml:space="preserve"> </w:t>
      </w:r>
      <w:r>
        <w:rPr>
          <w:color w:val="231F20"/>
        </w:rPr>
        <w:t>guerilla.</w:t>
      </w:r>
      <w:r>
        <w:rPr>
          <w:color w:val="231F20"/>
          <w:spacing w:val="-3"/>
        </w:rPr>
        <w:t xml:space="preserve"> </w:t>
      </w:r>
      <w:r>
        <w:rPr>
          <w:color w:val="231F20"/>
        </w:rPr>
        <w:t xml:space="preserve">Despite these ongoing setbacks, the intense confrontation between vulgar state brutality and the steadfast determination of the captured combatants enabled the latter to inspire a new militant support movement on the outside. </w:t>
      </w:r>
      <w:r>
        <w:rPr>
          <w:color w:val="231F20"/>
          <w:spacing w:val="1"/>
        </w:rPr>
        <w:t xml:space="preserve">In </w:t>
      </w:r>
      <w:r>
        <w:rPr>
          <w:color w:val="231F20"/>
        </w:rPr>
        <w:t xml:space="preserve">the face of the brutal prison conditions, the </w:t>
      </w:r>
      <w:r w:rsidR="00C507A5">
        <w:rPr>
          <w:color w:val="231F20"/>
          <w:spacing w:val="5"/>
        </w:rPr>
        <w:t>red army faction</w:t>
      </w:r>
      <w:r>
        <w:rPr>
          <w:color w:val="231F20"/>
          <w:spacing w:val="5"/>
        </w:rPr>
        <w:t xml:space="preserve"> </w:t>
      </w:r>
      <w:r>
        <w:rPr>
          <w:color w:val="231F20"/>
        </w:rPr>
        <w:t>prisoners did, at least initially, seem to succeed in exposing the violence inherent in the system, as the state’s actions lent credence in some circles to the accusation that the Federal Republic had an “extermination policy” regarding the revolutionary</w:t>
      </w:r>
      <w:r>
        <w:rPr>
          <w:color w:val="231F20"/>
          <w:spacing w:val="31"/>
        </w:rPr>
        <w:t xml:space="preserve"> </w:t>
      </w:r>
      <w:r>
        <w:rPr>
          <w:color w:val="231F20"/>
        </w:rPr>
        <w:t>left.</w:t>
      </w:r>
    </w:p>
    <w:p w14:paraId="15A75A6E" w14:textId="77777777" w:rsidR="002653E8" w:rsidRDefault="003115E3">
      <w:pPr>
        <w:pStyle w:val="a3"/>
        <w:spacing w:line="225" w:lineRule="exact"/>
        <w:ind w:left="1358"/>
      </w:pPr>
      <w:r>
        <w:rPr>
          <w:color w:val="231F20"/>
        </w:rPr>
        <w:t>Indeed, according to one leading British news magazine in 1975:</w:t>
      </w:r>
    </w:p>
    <w:p w14:paraId="5044D932" w14:textId="77777777" w:rsidR="002653E8" w:rsidRDefault="003115E3">
      <w:pPr>
        <w:spacing w:before="142" w:line="276" w:lineRule="auto"/>
        <w:ind w:left="1567" w:right="1745"/>
        <w:jc w:val="both"/>
        <w:rPr>
          <w:i/>
          <w:sz w:val="11"/>
        </w:rPr>
      </w:pPr>
      <w:r>
        <w:rPr>
          <w:i/>
          <w:color w:val="231F20"/>
          <w:w w:val="105"/>
          <w:sz w:val="19"/>
        </w:rPr>
        <w:t xml:space="preserve">During the past year… there has been a discernible return of support—or at least sympathy—for imprisoned members  of  the group among politically uncommitted </w:t>
      </w:r>
      <w:r>
        <w:rPr>
          <w:i/>
          <w:color w:val="231F20"/>
          <w:spacing w:val="-3"/>
          <w:w w:val="105"/>
          <w:sz w:val="19"/>
        </w:rPr>
        <w:t xml:space="preserve">West </w:t>
      </w:r>
      <w:r>
        <w:rPr>
          <w:i/>
          <w:color w:val="231F20"/>
          <w:w w:val="105"/>
          <w:sz w:val="19"/>
        </w:rPr>
        <w:t>Germans. It is founded</w:t>
      </w:r>
      <w:r>
        <w:rPr>
          <w:i/>
          <w:color w:val="231F20"/>
          <w:spacing w:val="-5"/>
          <w:w w:val="105"/>
          <w:sz w:val="19"/>
        </w:rPr>
        <w:t xml:space="preserve"> </w:t>
      </w:r>
      <w:r>
        <w:rPr>
          <w:i/>
          <w:color w:val="231F20"/>
          <w:w w:val="105"/>
          <w:sz w:val="19"/>
        </w:rPr>
        <w:t>upon</w:t>
      </w:r>
      <w:r>
        <w:rPr>
          <w:i/>
          <w:color w:val="231F20"/>
          <w:spacing w:val="-5"/>
          <w:w w:val="105"/>
          <w:sz w:val="19"/>
        </w:rPr>
        <w:t xml:space="preserve"> </w:t>
      </w:r>
      <w:r>
        <w:rPr>
          <w:i/>
          <w:color w:val="231F20"/>
          <w:w w:val="105"/>
          <w:sz w:val="19"/>
        </w:rPr>
        <w:t>growing</w:t>
      </w:r>
      <w:r>
        <w:rPr>
          <w:i/>
          <w:color w:val="231F20"/>
          <w:spacing w:val="-5"/>
          <w:w w:val="105"/>
          <w:sz w:val="19"/>
        </w:rPr>
        <w:t xml:space="preserve"> </w:t>
      </w:r>
      <w:r>
        <w:rPr>
          <w:i/>
          <w:color w:val="231F20"/>
          <w:w w:val="105"/>
          <w:sz w:val="19"/>
        </w:rPr>
        <w:t>concern</w:t>
      </w:r>
      <w:r>
        <w:rPr>
          <w:i/>
          <w:color w:val="231F20"/>
          <w:spacing w:val="-5"/>
          <w:w w:val="105"/>
          <w:sz w:val="19"/>
        </w:rPr>
        <w:t xml:space="preserve"> </w:t>
      </w:r>
      <w:r>
        <w:rPr>
          <w:i/>
          <w:color w:val="231F20"/>
          <w:w w:val="105"/>
          <w:sz w:val="19"/>
        </w:rPr>
        <w:t>at</w:t>
      </w:r>
      <w:r>
        <w:rPr>
          <w:i/>
          <w:color w:val="231F20"/>
          <w:spacing w:val="-5"/>
          <w:w w:val="105"/>
          <w:sz w:val="19"/>
        </w:rPr>
        <w:t xml:space="preserve"> </w:t>
      </w:r>
      <w:r>
        <w:rPr>
          <w:i/>
          <w:color w:val="231F20"/>
          <w:w w:val="105"/>
          <w:sz w:val="19"/>
        </w:rPr>
        <w:t>the</w:t>
      </w:r>
      <w:r>
        <w:rPr>
          <w:i/>
          <w:color w:val="231F20"/>
          <w:spacing w:val="-5"/>
          <w:w w:val="105"/>
          <w:sz w:val="19"/>
        </w:rPr>
        <w:t xml:space="preserve"> </w:t>
      </w:r>
      <w:r>
        <w:rPr>
          <w:i/>
          <w:color w:val="231F20"/>
          <w:w w:val="105"/>
          <w:sz w:val="19"/>
        </w:rPr>
        <w:t>apparent</w:t>
      </w:r>
      <w:r>
        <w:rPr>
          <w:i/>
          <w:color w:val="231F20"/>
          <w:spacing w:val="-5"/>
          <w:w w:val="105"/>
          <w:sz w:val="19"/>
        </w:rPr>
        <w:t xml:space="preserve"> </w:t>
      </w:r>
      <w:r>
        <w:rPr>
          <w:i/>
          <w:color w:val="231F20"/>
          <w:w w:val="105"/>
          <w:sz w:val="19"/>
        </w:rPr>
        <w:t>determination</w:t>
      </w:r>
      <w:r>
        <w:rPr>
          <w:i/>
          <w:color w:val="231F20"/>
          <w:spacing w:val="-5"/>
          <w:w w:val="105"/>
          <w:sz w:val="19"/>
        </w:rPr>
        <w:t xml:space="preserve"> </w:t>
      </w:r>
      <w:r>
        <w:rPr>
          <w:i/>
          <w:color w:val="231F20"/>
          <w:w w:val="105"/>
          <w:sz w:val="19"/>
        </w:rPr>
        <w:t>of the</w:t>
      </w:r>
      <w:r>
        <w:rPr>
          <w:i/>
          <w:color w:val="231F20"/>
          <w:spacing w:val="-10"/>
          <w:w w:val="105"/>
          <w:sz w:val="19"/>
        </w:rPr>
        <w:t xml:space="preserve"> </w:t>
      </w:r>
      <w:r>
        <w:rPr>
          <w:i/>
          <w:color w:val="231F20"/>
          <w:w w:val="105"/>
          <w:sz w:val="19"/>
        </w:rPr>
        <w:t>authorities</w:t>
      </w:r>
      <w:r>
        <w:rPr>
          <w:i/>
          <w:color w:val="231F20"/>
          <w:spacing w:val="-10"/>
          <w:w w:val="105"/>
          <w:sz w:val="19"/>
        </w:rPr>
        <w:t xml:space="preserve"> </w:t>
      </w:r>
      <w:r>
        <w:rPr>
          <w:i/>
          <w:color w:val="231F20"/>
          <w:w w:val="105"/>
          <w:sz w:val="19"/>
        </w:rPr>
        <w:t>not</w:t>
      </w:r>
      <w:r>
        <w:rPr>
          <w:i/>
          <w:color w:val="231F20"/>
          <w:spacing w:val="-10"/>
          <w:w w:val="105"/>
          <w:sz w:val="19"/>
        </w:rPr>
        <w:t xml:space="preserve"> </w:t>
      </w:r>
      <w:r>
        <w:rPr>
          <w:i/>
          <w:color w:val="231F20"/>
          <w:w w:val="105"/>
          <w:sz w:val="19"/>
        </w:rPr>
        <w:t>to</w:t>
      </w:r>
      <w:r>
        <w:rPr>
          <w:i/>
          <w:color w:val="231F20"/>
          <w:spacing w:val="-10"/>
          <w:w w:val="105"/>
          <w:sz w:val="19"/>
        </w:rPr>
        <w:t xml:space="preserve"> </w:t>
      </w:r>
      <w:r>
        <w:rPr>
          <w:i/>
          <w:color w:val="231F20"/>
          <w:w w:val="105"/>
          <w:sz w:val="19"/>
        </w:rPr>
        <w:t>put</w:t>
      </w:r>
      <w:r>
        <w:rPr>
          <w:i/>
          <w:color w:val="231F20"/>
          <w:spacing w:val="-10"/>
          <w:w w:val="105"/>
          <w:sz w:val="19"/>
        </w:rPr>
        <w:t xml:space="preserve"> </w:t>
      </w:r>
      <w:r>
        <w:rPr>
          <w:i/>
          <w:color w:val="231F20"/>
          <w:w w:val="105"/>
          <w:sz w:val="19"/>
        </w:rPr>
        <w:t>Meinhof</w:t>
      </w:r>
      <w:r>
        <w:rPr>
          <w:i/>
          <w:color w:val="231F20"/>
          <w:spacing w:val="-10"/>
          <w:w w:val="105"/>
          <w:sz w:val="19"/>
        </w:rPr>
        <w:t xml:space="preserve"> </w:t>
      </w:r>
      <w:r>
        <w:rPr>
          <w:i/>
          <w:color w:val="231F20"/>
          <w:w w:val="105"/>
          <w:sz w:val="19"/>
        </w:rPr>
        <w:t>and</w:t>
      </w:r>
      <w:r>
        <w:rPr>
          <w:i/>
          <w:color w:val="231F20"/>
          <w:spacing w:val="-10"/>
          <w:w w:val="105"/>
          <w:sz w:val="19"/>
        </w:rPr>
        <w:t xml:space="preserve"> </w:t>
      </w:r>
      <w:r>
        <w:rPr>
          <w:i/>
          <w:color w:val="231F20"/>
          <w:w w:val="105"/>
          <w:sz w:val="19"/>
        </w:rPr>
        <w:t>her</w:t>
      </w:r>
      <w:r>
        <w:rPr>
          <w:i/>
          <w:color w:val="231F20"/>
          <w:spacing w:val="-10"/>
          <w:w w:val="105"/>
          <w:sz w:val="19"/>
        </w:rPr>
        <w:t xml:space="preserve"> </w:t>
      </w:r>
      <w:r>
        <w:rPr>
          <w:i/>
          <w:color w:val="231F20"/>
          <w:w w:val="105"/>
          <w:sz w:val="19"/>
        </w:rPr>
        <w:t>comrades</w:t>
      </w:r>
      <w:r>
        <w:rPr>
          <w:i/>
          <w:color w:val="231F20"/>
          <w:spacing w:val="-10"/>
          <w:w w:val="105"/>
          <w:sz w:val="19"/>
        </w:rPr>
        <w:t xml:space="preserve"> </w:t>
      </w:r>
      <w:r>
        <w:rPr>
          <w:i/>
          <w:color w:val="231F20"/>
          <w:w w:val="105"/>
          <w:sz w:val="19"/>
        </w:rPr>
        <w:t>on</w:t>
      </w:r>
      <w:r>
        <w:rPr>
          <w:i/>
          <w:color w:val="231F20"/>
          <w:spacing w:val="-10"/>
          <w:w w:val="105"/>
          <w:sz w:val="19"/>
        </w:rPr>
        <w:t xml:space="preserve"> </w:t>
      </w:r>
      <w:r>
        <w:rPr>
          <w:i/>
          <w:color w:val="231F20"/>
          <w:w w:val="105"/>
          <w:sz w:val="19"/>
        </w:rPr>
        <w:t>trial</w:t>
      </w:r>
      <w:r>
        <w:rPr>
          <w:i/>
          <w:color w:val="231F20"/>
          <w:spacing w:val="-10"/>
          <w:w w:val="105"/>
          <w:sz w:val="19"/>
        </w:rPr>
        <w:t xml:space="preserve"> </w:t>
      </w:r>
      <w:r>
        <w:rPr>
          <w:i/>
          <w:color w:val="231F20"/>
          <w:w w:val="105"/>
          <w:sz w:val="19"/>
        </w:rPr>
        <w:t>until they have been softened up with long, arduous spells of solitary confinement.</w:t>
      </w:r>
      <w:r>
        <w:rPr>
          <w:i/>
          <w:color w:val="231F20"/>
          <w:w w:val="105"/>
          <w:position w:val="6"/>
          <w:sz w:val="11"/>
        </w:rPr>
        <w:t>1</w:t>
      </w:r>
    </w:p>
    <w:p w14:paraId="7C4D2595" w14:textId="77777777" w:rsidR="002653E8" w:rsidRDefault="003115E3">
      <w:pPr>
        <w:pStyle w:val="a3"/>
        <w:spacing w:before="133" w:line="264" w:lineRule="auto"/>
        <w:ind w:left="1148" w:right="1325" w:hanging="1"/>
        <w:jc w:val="both"/>
      </w:pPr>
      <w:r>
        <w:rPr>
          <w:color w:val="231F20"/>
          <w:spacing w:val="1"/>
        </w:rPr>
        <w:t xml:space="preserve">In </w:t>
      </w:r>
      <w:r>
        <w:rPr>
          <w:color w:val="231F20"/>
        </w:rPr>
        <w:t xml:space="preserve">some cities, the </w:t>
      </w:r>
      <w:r w:rsidR="00C507A5">
        <w:rPr>
          <w:color w:val="231F20"/>
          <w:spacing w:val="5"/>
        </w:rPr>
        <w:t>red army faction</w:t>
      </w:r>
      <w:r>
        <w:rPr>
          <w:color w:val="231F20"/>
          <w:spacing w:val="5"/>
        </w:rPr>
        <w:t xml:space="preserve"> </w:t>
      </w:r>
      <w:r>
        <w:rPr>
          <w:color w:val="231F20"/>
        </w:rPr>
        <w:t xml:space="preserve">support scene that had developed around the Committees Against Torture overlapped with the  </w:t>
      </w:r>
      <w:r>
        <w:rPr>
          <w:i/>
          <w:color w:val="231F20"/>
        </w:rPr>
        <w:t xml:space="preserve">sponti  </w:t>
      </w:r>
      <w:r>
        <w:rPr>
          <w:color w:val="231F20"/>
        </w:rPr>
        <w:t xml:space="preserve">left,  though the two were never coterminous. It was far less close to the K-groups, for these remained overwhelmingly hostile to any guerilla politics. Even </w:t>
      </w:r>
      <w:r>
        <w:rPr>
          <w:color w:val="231F20"/>
          <w:spacing w:val="2"/>
          <w:w w:val="98"/>
        </w:rPr>
        <w:t>t</w:t>
      </w:r>
      <w:r>
        <w:rPr>
          <w:color w:val="231F20"/>
          <w:spacing w:val="-1"/>
        </w:rPr>
        <w:t>h</w:t>
      </w:r>
      <w:r>
        <w:rPr>
          <w:color w:val="231F20"/>
          <w:w w:val="91"/>
        </w:rPr>
        <w:t>e</w:t>
      </w:r>
      <w:r>
        <w:rPr>
          <w:color w:val="231F20"/>
          <w:spacing w:val="17"/>
        </w:rPr>
        <w:t xml:space="preserve"> </w:t>
      </w:r>
      <w:r>
        <w:rPr>
          <w:color w:val="231F20"/>
          <w:spacing w:val="7"/>
          <w:w w:val="114"/>
        </w:rPr>
        <w:t>K</w:t>
      </w:r>
      <w:r>
        <w:rPr>
          <w:color w:val="231F20"/>
          <w:w w:val="108"/>
        </w:rPr>
        <w:t>PD</w:t>
      </w:r>
      <w:r>
        <w:rPr>
          <w:color w:val="231F20"/>
          <w:spacing w:val="6"/>
          <w:w w:val="56"/>
        </w:rPr>
        <w:t>/</w:t>
      </w:r>
      <w:r>
        <w:rPr>
          <w:color w:val="231F20"/>
          <w:spacing w:val="6"/>
          <w:w w:val="119"/>
        </w:rPr>
        <w:t>M</w:t>
      </w:r>
      <w:r>
        <w:rPr>
          <w:color w:val="231F20"/>
          <w:spacing w:val="10"/>
          <w:w w:val="119"/>
        </w:rPr>
        <w:t>L</w:t>
      </w:r>
      <w:r>
        <w:rPr>
          <w:color w:val="231F20"/>
          <w:w w:val="135"/>
        </w:rPr>
        <w:t>,</w:t>
      </w:r>
      <w:r>
        <w:rPr>
          <w:color w:val="231F20"/>
          <w:spacing w:val="16"/>
        </w:rPr>
        <w:t xml:space="preserve"> </w:t>
      </w:r>
      <w:r>
        <w:rPr>
          <w:color w:val="231F20"/>
          <w:spacing w:val="-1"/>
        </w:rPr>
        <w:t>w</w:t>
      </w:r>
      <w:r>
        <w:rPr>
          <w:color w:val="231F20"/>
          <w:spacing w:val="3"/>
        </w:rPr>
        <w:t>h</w:t>
      </w:r>
      <w:r>
        <w:rPr>
          <w:color w:val="231F20"/>
        </w:rPr>
        <w:t>ich</w:t>
      </w:r>
      <w:r>
        <w:rPr>
          <w:color w:val="231F20"/>
          <w:spacing w:val="17"/>
        </w:rPr>
        <w:t xml:space="preserve"> </w:t>
      </w:r>
      <w:r>
        <w:rPr>
          <w:color w:val="231F20"/>
          <w:spacing w:val="1"/>
        </w:rPr>
        <w:t>h</w:t>
      </w:r>
      <w:r>
        <w:rPr>
          <w:color w:val="231F20"/>
          <w:spacing w:val="-2"/>
          <w:w w:val="102"/>
        </w:rPr>
        <w:t>a</w:t>
      </w:r>
      <w:r>
        <w:rPr>
          <w:color w:val="231F20"/>
        </w:rPr>
        <w:t>d</w:t>
      </w:r>
      <w:r>
        <w:rPr>
          <w:color w:val="231F20"/>
          <w:spacing w:val="16"/>
        </w:rPr>
        <w:t xml:space="preserve"> </w:t>
      </w:r>
      <w:r>
        <w:rPr>
          <w:color w:val="231F20"/>
          <w:spacing w:val="-1"/>
          <w:w w:val="99"/>
        </w:rPr>
        <w:t>p</w:t>
      </w:r>
      <w:r>
        <w:rPr>
          <w:color w:val="231F20"/>
          <w:spacing w:val="-2"/>
          <w:w w:val="94"/>
        </w:rPr>
        <w:t>r</w:t>
      </w:r>
      <w:r>
        <w:rPr>
          <w:color w:val="231F20"/>
          <w:spacing w:val="-3"/>
          <w:w w:val="104"/>
        </w:rPr>
        <w:t>o</w:t>
      </w:r>
      <w:r>
        <w:rPr>
          <w:color w:val="231F20"/>
          <w:spacing w:val="2"/>
          <w:w w:val="99"/>
        </w:rPr>
        <w:t>v</w:t>
      </w:r>
      <w:r>
        <w:rPr>
          <w:color w:val="231F20"/>
          <w:spacing w:val="-2"/>
        </w:rPr>
        <w:t>i</w:t>
      </w:r>
      <w:r>
        <w:rPr>
          <w:color w:val="231F20"/>
        </w:rPr>
        <w:t>d</w:t>
      </w:r>
      <w:r>
        <w:rPr>
          <w:color w:val="231F20"/>
          <w:w w:val="91"/>
        </w:rPr>
        <w:t>e</w:t>
      </w:r>
      <w:r>
        <w:rPr>
          <w:color w:val="231F20"/>
        </w:rPr>
        <w:t>d</w:t>
      </w:r>
      <w:r>
        <w:rPr>
          <w:color w:val="231F20"/>
          <w:spacing w:val="16"/>
        </w:rPr>
        <w:t xml:space="preserve"> </w:t>
      </w:r>
      <w:r>
        <w:rPr>
          <w:color w:val="231F20"/>
          <w:spacing w:val="-1"/>
          <w:w w:val="90"/>
        </w:rPr>
        <w:t>s</w:t>
      </w:r>
      <w:r>
        <w:rPr>
          <w:color w:val="231F20"/>
        </w:rPr>
        <w:t>uch</w:t>
      </w:r>
      <w:r>
        <w:rPr>
          <w:color w:val="231F20"/>
          <w:spacing w:val="17"/>
        </w:rPr>
        <w:t xml:space="preserve"> </w:t>
      </w:r>
      <w:r>
        <w:rPr>
          <w:color w:val="231F20"/>
          <w:spacing w:val="3"/>
        </w:rPr>
        <w:t>u</w:t>
      </w:r>
      <w:r>
        <w:rPr>
          <w:color w:val="231F20"/>
          <w:spacing w:val="-3"/>
          <w:w w:val="99"/>
        </w:rPr>
        <w:t>n</w:t>
      </w:r>
      <w:r>
        <w:rPr>
          <w:color w:val="231F20"/>
          <w:spacing w:val="-1"/>
          <w:w w:val="99"/>
        </w:rPr>
        <w:t>p</w:t>
      </w:r>
      <w:r>
        <w:rPr>
          <w:color w:val="231F20"/>
          <w:spacing w:val="-1"/>
          <w:w w:val="94"/>
        </w:rPr>
        <w:t>r</w:t>
      </w:r>
      <w:r>
        <w:rPr>
          <w:color w:val="231F20"/>
          <w:spacing w:val="1"/>
          <w:w w:val="91"/>
        </w:rPr>
        <w:t>e</w:t>
      </w:r>
      <w:r>
        <w:rPr>
          <w:color w:val="231F20"/>
          <w:spacing w:val="1"/>
        </w:rPr>
        <w:t>c</w:t>
      </w:r>
      <w:r>
        <w:rPr>
          <w:color w:val="231F20"/>
          <w:w w:val="91"/>
        </w:rPr>
        <w:t>e</w:t>
      </w:r>
      <w:r>
        <w:rPr>
          <w:color w:val="231F20"/>
        </w:rPr>
        <w:t>d</w:t>
      </w:r>
      <w:r>
        <w:rPr>
          <w:color w:val="231F20"/>
          <w:w w:val="91"/>
        </w:rPr>
        <w:t>e</w:t>
      </w:r>
      <w:r>
        <w:rPr>
          <w:color w:val="231F20"/>
          <w:spacing w:val="-2"/>
          <w:w w:val="99"/>
        </w:rPr>
        <w:t>n</w:t>
      </w:r>
      <w:r>
        <w:rPr>
          <w:color w:val="231F20"/>
          <w:w w:val="98"/>
        </w:rPr>
        <w:t>t</w:t>
      </w:r>
      <w:r>
        <w:rPr>
          <w:color w:val="231F20"/>
          <w:w w:val="91"/>
        </w:rPr>
        <w:t>e</w:t>
      </w:r>
      <w:r>
        <w:rPr>
          <w:color w:val="231F20"/>
        </w:rPr>
        <w:t>d</w:t>
      </w:r>
      <w:r>
        <w:rPr>
          <w:color w:val="231F20"/>
          <w:spacing w:val="16"/>
        </w:rPr>
        <w:t xml:space="preserve"> </w:t>
      </w:r>
      <w:r>
        <w:rPr>
          <w:color w:val="231F20"/>
          <w:spacing w:val="-1"/>
          <w:w w:val="90"/>
        </w:rPr>
        <w:t>s</w:t>
      </w:r>
      <w:r>
        <w:rPr>
          <w:color w:val="231F20"/>
          <w:spacing w:val="-3"/>
        </w:rPr>
        <w:t>u</w:t>
      </w:r>
      <w:r>
        <w:rPr>
          <w:color w:val="231F20"/>
          <w:spacing w:val="-2"/>
          <w:w w:val="99"/>
        </w:rPr>
        <w:t>p</w:t>
      </w:r>
      <w:r>
        <w:rPr>
          <w:color w:val="231F20"/>
          <w:w w:val="99"/>
        </w:rPr>
        <w:t>p</w:t>
      </w:r>
      <w:r>
        <w:rPr>
          <w:color w:val="231F20"/>
          <w:spacing w:val="-1"/>
          <w:w w:val="104"/>
        </w:rPr>
        <w:t>o</w:t>
      </w:r>
      <w:r>
        <w:rPr>
          <w:color w:val="231F20"/>
          <w:spacing w:val="5"/>
          <w:w w:val="94"/>
        </w:rPr>
        <w:t>r</w:t>
      </w:r>
      <w:r>
        <w:rPr>
          <w:color w:val="231F20"/>
          <w:w w:val="98"/>
        </w:rPr>
        <w:t>t</w:t>
      </w:r>
      <w:r>
        <w:rPr>
          <w:color w:val="231F20"/>
          <w:spacing w:val="16"/>
        </w:rPr>
        <w:t xml:space="preserve"> </w:t>
      </w:r>
      <w:r>
        <w:rPr>
          <w:color w:val="231F20"/>
          <w:spacing w:val="-3"/>
        </w:rPr>
        <w:t>d</w:t>
      </w:r>
      <w:r>
        <w:rPr>
          <w:color w:val="231F20"/>
          <w:spacing w:val="3"/>
        </w:rPr>
        <w:t>u</w:t>
      </w:r>
      <w:r>
        <w:rPr>
          <w:color w:val="231F20"/>
          <w:spacing w:val="1"/>
          <w:w w:val="94"/>
        </w:rPr>
        <w:t>r</w:t>
      </w:r>
      <w:r>
        <w:rPr>
          <w:color w:val="231F20"/>
          <w:spacing w:val="2"/>
        </w:rPr>
        <w:t>i</w:t>
      </w:r>
      <w:r>
        <w:rPr>
          <w:color w:val="231F20"/>
          <w:w w:val="99"/>
        </w:rPr>
        <w:t>n</w:t>
      </w:r>
      <w:r>
        <w:rPr>
          <w:color w:val="231F20"/>
          <w:w w:val="101"/>
        </w:rPr>
        <w:t xml:space="preserve">g </w:t>
      </w:r>
      <w:r>
        <w:rPr>
          <w:color w:val="231F20"/>
        </w:rPr>
        <w:t xml:space="preserve">the third hunger strike, remained dead set against the guerilla’s politics; its activity on behalf of the prisoners had simply been a case of nonsectarian solidarity with victims of state repression. As for people on the undogmatic left other than the </w:t>
      </w:r>
      <w:r>
        <w:rPr>
          <w:i/>
          <w:color w:val="231F20"/>
        </w:rPr>
        <w:t>spontis</w:t>
      </w:r>
      <w:r>
        <w:rPr>
          <w:color w:val="231F20"/>
        </w:rPr>
        <w:t>, they generally remained uneasy with</w:t>
      </w:r>
      <w:r>
        <w:rPr>
          <w:color w:val="231F20"/>
          <w:spacing w:val="26"/>
        </w:rPr>
        <w:t xml:space="preserve"> </w:t>
      </w:r>
      <w:r>
        <w:rPr>
          <w:color w:val="231F20"/>
        </w:rPr>
        <w:t>the</w:t>
      </w:r>
      <w:r>
        <w:rPr>
          <w:color w:val="231F20"/>
          <w:spacing w:val="26"/>
        </w:rPr>
        <w:t xml:space="preserve"> </w:t>
      </w:r>
      <w:r>
        <w:rPr>
          <w:color w:val="231F20"/>
        </w:rPr>
        <w:t>level</w:t>
      </w:r>
      <w:r>
        <w:rPr>
          <w:color w:val="231F20"/>
          <w:spacing w:val="26"/>
        </w:rPr>
        <w:t xml:space="preserve"> </w:t>
      </w:r>
      <w:r>
        <w:rPr>
          <w:color w:val="231F20"/>
        </w:rPr>
        <w:t>of</w:t>
      </w:r>
      <w:r>
        <w:rPr>
          <w:color w:val="231F20"/>
          <w:spacing w:val="26"/>
        </w:rPr>
        <w:t xml:space="preserve"> </w:t>
      </w:r>
      <w:r>
        <w:rPr>
          <w:color w:val="231F20"/>
        </w:rPr>
        <w:t>violence</w:t>
      </w:r>
      <w:r>
        <w:rPr>
          <w:color w:val="231F20"/>
          <w:spacing w:val="26"/>
        </w:rPr>
        <w:t xml:space="preserve"> </w:t>
      </w:r>
      <w:r>
        <w:rPr>
          <w:color w:val="231F20"/>
        </w:rPr>
        <w:t>employed</w:t>
      </w:r>
      <w:r>
        <w:rPr>
          <w:color w:val="231F20"/>
          <w:spacing w:val="26"/>
        </w:rPr>
        <w:t xml:space="preserve"> </w:t>
      </w:r>
      <w:r>
        <w:rPr>
          <w:color w:val="231F20"/>
        </w:rPr>
        <w:t>and</w:t>
      </w:r>
      <w:r>
        <w:rPr>
          <w:color w:val="231F20"/>
          <w:spacing w:val="26"/>
        </w:rPr>
        <w:t xml:space="preserve"> </w:t>
      </w:r>
      <w:r>
        <w:rPr>
          <w:color w:val="231F20"/>
        </w:rPr>
        <w:t>hostile</w:t>
      </w:r>
      <w:r>
        <w:rPr>
          <w:color w:val="231F20"/>
          <w:spacing w:val="26"/>
        </w:rPr>
        <w:t xml:space="preserve"> </w:t>
      </w:r>
      <w:r>
        <w:rPr>
          <w:color w:val="231F20"/>
        </w:rPr>
        <w:t>to</w:t>
      </w:r>
      <w:r>
        <w:rPr>
          <w:color w:val="231F20"/>
          <w:spacing w:val="26"/>
        </w:rPr>
        <w:t xml:space="preserve"> </w:t>
      </w:r>
      <w:r>
        <w:rPr>
          <w:color w:val="231F20"/>
        </w:rPr>
        <w:t>much</w:t>
      </w:r>
      <w:r>
        <w:rPr>
          <w:color w:val="231F20"/>
          <w:spacing w:val="26"/>
        </w:rPr>
        <w:t xml:space="preserve"> </w:t>
      </w:r>
      <w:r>
        <w:rPr>
          <w:color w:val="231F20"/>
        </w:rPr>
        <w:t>of</w:t>
      </w:r>
      <w:r>
        <w:rPr>
          <w:color w:val="231F20"/>
          <w:spacing w:val="26"/>
        </w:rPr>
        <w:t xml:space="preserve"> </w:t>
      </w:r>
      <w:r>
        <w:rPr>
          <w:color w:val="231F20"/>
        </w:rPr>
        <w:t>the</w:t>
      </w:r>
      <w:r>
        <w:rPr>
          <w:color w:val="231F20"/>
          <w:spacing w:val="27"/>
        </w:rPr>
        <w:t xml:space="preserve"> </w:t>
      </w:r>
      <w:r w:rsidR="00C507A5">
        <w:rPr>
          <w:color w:val="231F20"/>
          <w:spacing w:val="1"/>
        </w:rPr>
        <w:t>red army faction</w:t>
      </w:r>
      <w:r>
        <w:rPr>
          <w:color w:val="231F20"/>
          <w:spacing w:val="1"/>
        </w:rPr>
        <w:t>’s</w:t>
      </w:r>
    </w:p>
    <w:p w14:paraId="36A7BDD7" w14:textId="77777777" w:rsidR="002653E8" w:rsidRDefault="00000000">
      <w:pPr>
        <w:pStyle w:val="a3"/>
        <w:spacing w:before="1"/>
        <w:rPr>
          <w:sz w:val="19"/>
        </w:rPr>
      </w:pPr>
      <w:r>
        <w:rPr>
          <w:noProof w:val="0"/>
        </w:rPr>
        <w:pict w14:anchorId="627B6E64">
          <v:line id="_x0000_s2345" style="position:absolute;z-index:7384;mso-wrap-distance-left:0;mso-wrap-distance-right:0;mso-position-horizontal-relative:page" from="57.4pt,13.65pt" to="345.4pt,13.65pt" strokecolor="#231f20" strokeweight="1pt">
            <w10:wrap type="topAndBottom" anchorx="page"/>
          </v:line>
        </w:pict>
      </w:r>
    </w:p>
    <w:p w14:paraId="5C2AAC8F" w14:textId="77777777" w:rsidR="002653E8" w:rsidRDefault="003115E3">
      <w:pPr>
        <w:spacing w:before="8" w:line="307" w:lineRule="auto"/>
        <w:ind w:left="1148" w:right="4018" w:hanging="1"/>
        <w:rPr>
          <w:sz w:val="16"/>
        </w:rPr>
      </w:pPr>
      <w:r>
        <w:rPr>
          <w:i/>
          <w:color w:val="231F20"/>
          <w:w w:val="110"/>
          <w:sz w:val="16"/>
        </w:rPr>
        <w:t xml:space="preserve">European Stars and Stripes, </w:t>
      </w:r>
      <w:r>
        <w:rPr>
          <w:color w:val="231F20"/>
          <w:w w:val="110"/>
          <w:sz w:val="16"/>
        </w:rPr>
        <w:t>February 5, 1974. 1 Jacobson, “Show Trial,” 17.</w:t>
      </w:r>
    </w:p>
    <w:p w14:paraId="6C2AC06A" w14:textId="77777777" w:rsidR="002653E8" w:rsidRDefault="002653E8">
      <w:pPr>
        <w:spacing w:line="307" w:lineRule="auto"/>
        <w:rPr>
          <w:sz w:val="16"/>
        </w:rPr>
        <w:sectPr w:rsidR="002653E8">
          <w:pgSz w:w="8640" w:h="12960"/>
          <w:pgMar w:top="1060" w:right="0" w:bottom="1040" w:left="0" w:header="0" w:footer="850" w:gutter="0"/>
          <w:cols w:space="720"/>
        </w:sectPr>
      </w:pPr>
    </w:p>
    <w:p w14:paraId="3F2493E0" w14:textId="77777777" w:rsidR="002653E8" w:rsidRDefault="003115E3">
      <w:pPr>
        <w:pStyle w:val="a3"/>
        <w:spacing w:before="86" w:line="264" w:lineRule="auto"/>
        <w:ind w:left="1327" w:right="1147"/>
        <w:jc w:val="both"/>
      </w:pPr>
      <w:r>
        <w:rPr>
          <w:color w:val="231F20"/>
        </w:rPr>
        <w:lastRenderedPageBreak/>
        <w:t>politics, though this did not rule out their feeling outraged at how the prisoners were treated.</w:t>
      </w:r>
    </w:p>
    <w:p w14:paraId="7949CB78" w14:textId="77777777" w:rsidR="002653E8" w:rsidRDefault="003115E3">
      <w:pPr>
        <w:pStyle w:val="a3"/>
        <w:spacing w:line="264" w:lineRule="auto"/>
        <w:ind w:left="1327" w:right="1146" w:firstLine="210"/>
        <w:jc w:val="both"/>
      </w:pPr>
      <w:r>
        <w:rPr>
          <w:color w:val="231F20"/>
        </w:rPr>
        <w:t xml:space="preserve">It was horror at the </w:t>
      </w:r>
      <w:r>
        <w:rPr>
          <w:color w:val="231F20"/>
          <w:spacing w:val="-2"/>
        </w:rPr>
        <w:t xml:space="preserve">way </w:t>
      </w:r>
      <w:r>
        <w:rPr>
          <w:color w:val="231F20"/>
        </w:rPr>
        <w:t xml:space="preserve">its prisoners were treated that was the main factor drawing people into the </w:t>
      </w:r>
      <w:r w:rsidR="00C507A5">
        <w:rPr>
          <w:color w:val="231F20"/>
          <w:spacing w:val="1"/>
        </w:rPr>
        <w:t>red army faction</w:t>
      </w:r>
      <w:r>
        <w:rPr>
          <w:color w:val="231F20"/>
          <w:spacing w:val="1"/>
        </w:rPr>
        <w:t xml:space="preserve">’s </w:t>
      </w:r>
      <w:r>
        <w:rPr>
          <w:color w:val="231F20"/>
        </w:rPr>
        <w:t>support scene in this period, and the</w:t>
      </w:r>
      <w:r>
        <w:rPr>
          <w:color w:val="231F20"/>
          <w:spacing w:val="-5"/>
        </w:rPr>
        <w:t xml:space="preserve"> </w:t>
      </w:r>
      <w:r>
        <w:rPr>
          <w:color w:val="231F20"/>
        </w:rPr>
        <w:t>prisoners</w:t>
      </w:r>
      <w:r>
        <w:rPr>
          <w:color w:val="231F20"/>
          <w:spacing w:val="-5"/>
        </w:rPr>
        <w:t xml:space="preserve"> </w:t>
      </w:r>
      <w:r>
        <w:rPr>
          <w:color w:val="231F20"/>
        </w:rPr>
        <w:t>themselves</w:t>
      </w:r>
      <w:r>
        <w:rPr>
          <w:color w:val="231F20"/>
          <w:spacing w:val="-5"/>
        </w:rPr>
        <w:t xml:space="preserve"> </w:t>
      </w:r>
      <w:r>
        <w:rPr>
          <w:color w:val="231F20"/>
        </w:rPr>
        <w:t>became</w:t>
      </w:r>
      <w:r>
        <w:rPr>
          <w:color w:val="231F20"/>
          <w:spacing w:val="-5"/>
        </w:rPr>
        <w:t xml:space="preserve"> </w:t>
      </w:r>
      <w:r>
        <w:rPr>
          <w:color w:val="231F20"/>
        </w:rPr>
        <w:t>potent</w:t>
      </w:r>
      <w:r>
        <w:rPr>
          <w:color w:val="231F20"/>
          <w:spacing w:val="-5"/>
        </w:rPr>
        <w:t xml:space="preserve"> </w:t>
      </w:r>
      <w:r>
        <w:rPr>
          <w:color w:val="231F20"/>
        </w:rPr>
        <w:t>symbols,</w:t>
      </w:r>
      <w:r>
        <w:rPr>
          <w:color w:val="231F20"/>
          <w:spacing w:val="-5"/>
        </w:rPr>
        <w:t xml:space="preserve"> </w:t>
      </w:r>
      <w:r>
        <w:rPr>
          <w:color w:val="231F20"/>
        </w:rPr>
        <w:t>both</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violence</w:t>
      </w:r>
      <w:r>
        <w:rPr>
          <w:color w:val="231F20"/>
          <w:spacing w:val="-5"/>
        </w:rPr>
        <w:t xml:space="preserve"> </w:t>
      </w:r>
      <w:r>
        <w:rPr>
          <w:color w:val="231F20"/>
        </w:rPr>
        <w:t>of the</w:t>
      </w:r>
      <w:r>
        <w:rPr>
          <w:color w:val="231F20"/>
          <w:spacing w:val="-4"/>
        </w:rPr>
        <w:t xml:space="preserve"> </w:t>
      </w:r>
      <w:r>
        <w:rPr>
          <w:color w:val="231F20"/>
        </w:rPr>
        <w:t>system</w:t>
      </w:r>
      <w:r>
        <w:rPr>
          <w:color w:val="231F20"/>
          <w:spacing w:val="-4"/>
        </w:rPr>
        <w:t xml:space="preserve"> </w:t>
      </w:r>
      <w:r>
        <w:rPr>
          <w:color w:val="231F20"/>
        </w:rPr>
        <w:t>they</w:t>
      </w:r>
      <w:r>
        <w:rPr>
          <w:color w:val="231F20"/>
          <w:spacing w:val="-4"/>
        </w:rPr>
        <w:t xml:space="preserve"> </w:t>
      </w:r>
      <w:r>
        <w:rPr>
          <w:color w:val="231F20"/>
        </w:rPr>
        <w:t>were</w:t>
      </w:r>
      <w:r>
        <w:rPr>
          <w:color w:val="231F20"/>
          <w:spacing w:val="-4"/>
        </w:rPr>
        <w:t xml:space="preserve"> </w:t>
      </w:r>
      <w:r>
        <w:rPr>
          <w:color w:val="231F20"/>
        </w:rPr>
        <w:t>fighting</w:t>
      </w:r>
      <w:r>
        <w:rPr>
          <w:color w:val="231F20"/>
          <w:spacing w:val="-4"/>
        </w:rPr>
        <w:t xml:space="preserve"> </w:t>
      </w:r>
      <w:r>
        <w:rPr>
          <w:color w:val="231F20"/>
        </w:rPr>
        <w:t>against</w:t>
      </w:r>
      <w:r>
        <w:rPr>
          <w:color w:val="231F20"/>
          <w:spacing w:val="-4"/>
        </w:rPr>
        <w:t xml:space="preserve"> </w:t>
      </w:r>
      <w:r>
        <w:rPr>
          <w:color w:val="231F20"/>
        </w:rPr>
        <w:t>and</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possibility</w:t>
      </w:r>
      <w:r>
        <w:rPr>
          <w:color w:val="231F20"/>
          <w:spacing w:val="-4"/>
        </w:rPr>
        <w:t xml:space="preserve"> </w:t>
      </w:r>
      <w:r>
        <w:rPr>
          <w:color w:val="231F20"/>
        </w:rPr>
        <w:t>of</w:t>
      </w:r>
      <w:r>
        <w:rPr>
          <w:color w:val="231F20"/>
          <w:spacing w:val="-4"/>
        </w:rPr>
        <w:t xml:space="preserve"> </w:t>
      </w:r>
      <w:r>
        <w:rPr>
          <w:color w:val="231F20"/>
        </w:rPr>
        <w:t>resistance. Despite the risks and the human toll, the strategic use of hunger strikes had proven a useful tactic capable of rallying these supporters, as well as</w:t>
      </w:r>
      <w:r>
        <w:rPr>
          <w:color w:val="231F20"/>
          <w:spacing w:val="10"/>
        </w:rPr>
        <w:t xml:space="preserve"> </w:t>
      </w:r>
      <w:r>
        <w:rPr>
          <w:color w:val="231F20"/>
        </w:rPr>
        <w:t>important</w:t>
      </w:r>
      <w:r>
        <w:rPr>
          <w:color w:val="231F20"/>
          <w:spacing w:val="10"/>
        </w:rPr>
        <w:t xml:space="preserve"> </w:t>
      </w:r>
      <w:r>
        <w:rPr>
          <w:color w:val="231F20"/>
        </w:rPr>
        <w:t>sections</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liberal</w:t>
      </w:r>
      <w:r>
        <w:rPr>
          <w:color w:val="231F20"/>
          <w:spacing w:val="10"/>
        </w:rPr>
        <w:t xml:space="preserve"> </w:t>
      </w:r>
      <w:r>
        <w:rPr>
          <w:color w:val="231F20"/>
        </w:rPr>
        <w:t>left.</w:t>
      </w:r>
    </w:p>
    <w:p w14:paraId="1F0FA54B" w14:textId="77777777" w:rsidR="002653E8" w:rsidRDefault="003115E3">
      <w:pPr>
        <w:pStyle w:val="a3"/>
        <w:spacing w:line="264" w:lineRule="auto"/>
        <w:ind w:left="1327" w:right="1146" w:firstLine="210"/>
        <w:jc w:val="both"/>
      </w:pPr>
      <w:r>
        <w:rPr>
          <w:color w:val="231F20"/>
          <w:spacing w:val="1"/>
        </w:rPr>
        <w:t xml:space="preserve">In </w:t>
      </w:r>
      <w:r>
        <w:rPr>
          <w:color w:val="231F20"/>
        </w:rPr>
        <w:t>some cases, concern with liberating or protecting the prisoners would serve as an impetus for further armed actions. From the very beginning, low-level attacks—smashed windows, slashed tires, even firebombings—were carried out by members of the support scene and others on the radical left without much fanfare and often on a one-off   or ad hoc basis. Eventually, other guerilla groups also took action on behalf of the captured combatants.</w:t>
      </w:r>
    </w:p>
    <w:p w14:paraId="3644FAE6" w14:textId="77777777" w:rsidR="002653E8" w:rsidRDefault="003115E3">
      <w:pPr>
        <w:pStyle w:val="a3"/>
        <w:spacing w:line="264" w:lineRule="auto"/>
        <w:ind w:left="1327" w:right="1145" w:firstLine="210"/>
        <w:jc w:val="both"/>
      </w:pPr>
      <w:r>
        <w:rPr>
          <w:color w:val="231F20"/>
        </w:rPr>
        <w:t xml:space="preserve">As we have seen, in </w:t>
      </w:r>
      <w:r>
        <w:rPr>
          <w:color w:val="231F20"/>
          <w:spacing w:val="-6"/>
        </w:rPr>
        <w:t xml:space="preserve">1974, </w:t>
      </w:r>
      <w:r>
        <w:rPr>
          <w:color w:val="231F20"/>
        </w:rPr>
        <w:t xml:space="preserve">the 2nd of June Movement  had  killed  Judge von Drenkmann in an attempted kidnapping meant to support  the </w:t>
      </w:r>
      <w:r w:rsidR="00C507A5">
        <w:rPr>
          <w:color w:val="231F20"/>
          <w:spacing w:val="5"/>
        </w:rPr>
        <w:t>red army faction</w:t>
      </w:r>
      <w:r>
        <w:rPr>
          <w:color w:val="231F20"/>
          <w:spacing w:val="5"/>
        </w:rPr>
        <w:t xml:space="preserve"> </w:t>
      </w:r>
      <w:r>
        <w:rPr>
          <w:color w:val="231F20"/>
        </w:rPr>
        <w:t xml:space="preserve">prisoners’ hunger strike. Most people considered the </w:t>
      </w:r>
      <w:r w:rsidR="00C507A5">
        <w:rPr>
          <w:color w:val="231F20"/>
          <w:spacing w:val="5"/>
        </w:rPr>
        <w:t>red army faction</w:t>
      </w:r>
      <w:r>
        <w:rPr>
          <w:color w:val="231F20"/>
          <w:spacing w:val="5"/>
        </w:rPr>
        <w:t xml:space="preserve"> </w:t>
      </w:r>
      <w:r>
        <w:rPr>
          <w:color w:val="231F20"/>
        </w:rPr>
        <w:t xml:space="preserve">to   be operationally finished, and many assumed that the 2JM—which had always kept a much lower profile than the </w:t>
      </w:r>
      <w:r w:rsidR="00C507A5">
        <w:rPr>
          <w:color w:val="231F20"/>
          <w:spacing w:val="2"/>
        </w:rPr>
        <w:t>red army faction</w:t>
      </w:r>
      <w:r>
        <w:rPr>
          <w:color w:val="231F20"/>
          <w:spacing w:val="2"/>
        </w:rPr>
        <w:t xml:space="preserve">—might </w:t>
      </w:r>
      <w:r>
        <w:rPr>
          <w:color w:val="231F20"/>
        </w:rPr>
        <w:t>be a successor organization.</w:t>
      </w:r>
    </w:p>
    <w:p w14:paraId="0F5A1C6E" w14:textId="77777777" w:rsidR="002653E8" w:rsidRDefault="003115E3">
      <w:pPr>
        <w:pStyle w:val="a3"/>
        <w:spacing w:line="264" w:lineRule="auto"/>
        <w:ind w:left="1327" w:right="1145" w:firstLine="210"/>
        <w:jc w:val="both"/>
      </w:pPr>
      <w:r>
        <w:rPr>
          <w:color w:val="231F20"/>
        </w:rPr>
        <w:t xml:space="preserve">Then, much to the surprise of </w:t>
      </w:r>
      <w:r>
        <w:rPr>
          <w:color w:val="231F20"/>
          <w:spacing w:val="-3"/>
        </w:rPr>
        <w:t xml:space="preserve">many, </w:t>
      </w:r>
      <w:r>
        <w:rPr>
          <w:color w:val="231F20"/>
        </w:rPr>
        <w:t xml:space="preserve">on February 2, </w:t>
      </w:r>
      <w:r>
        <w:rPr>
          <w:color w:val="231F20"/>
          <w:spacing w:val="-6"/>
        </w:rPr>
        <w:t xml:space="preserve">1975, </w:t>
      </w:r>
      <w:r>
        <w:rPr>
          <w:color w:val="231F20"/>
        </w:rPr>
        <w:t xml:space="preserve">a communiqué was released from the </w:t>
      </w:r>
      <w:r w:rsidR="00C507A5">
        <w:rPr>
          <w:color w:val="231F20"/>
          <w:spacing w:val="5"/>
        </w:rPr>
        <w:t>red army faction</w:t>
      </w:r>
      <w:r>
        <w:rPr>
          <w:color w:val="231F20"/>
          <w:spacing w:val="5"/>
        </w:rPr>
        <w:t xml:space="preserve"> </w:t>
      </w:r>
      <w:r>
        <w:rPr>
          <w:color w:val="231F20"/>
        </w:rPr>
        <w:t xml:space="preserve">outside of prison—the first such communiqué since the May Offensive almost three years previously. More surprisingly still, this “new” </w:t>
      </w:r>
      <w:r w:rsidR="00C507A5">
        <w:rPr>
          <w:color w:val="231F20"/>
          <w:spacing w:val="5"/>
        </w:rPr>
        <w:t>red army faction</w:t>
      </w:r>
      <w:r>
        <w:rPr>
          <w:color w:val="231F20"/>
          <w:spacing w:val="5"/>
        </w:rPr>
        <w:t xml:space="preserve"> </w:t>
      </w:r>
      <w:r>
        <w:rPr>
          <w:color w:val="231F20"/>
        </w:rPr>
        <w:t xml:space="preserve">was ordering the prisoners to call off their third hunger strike. It disparaged the “legal left”—a category which was clearly meant to include the </w:t>
      </w:r>
      <w:r>
        <w:rPr>
          <w:i/>
          <w:color w:val="231F20"/>
        </w:rPr>
        <w:t xml:space="preserve">spontis </w:t>
      </w:r>
      <w:r>
        <w:rPr>
          <w:color w:val="231F20"/>
        </w:rPr>
        <w:t>and other supporters who fell shy of carrying out guerilla-level actions—stating that this</w:t>
      </w:r>
      <w:r>
        <w:rPr>
          <w:color w:val="231F20"/>
          <w:spacing w:val="10"/>
        </w:rPr>
        <w:t xml:space="preserve"> </w:t>
      </w:r>
      <w:r>
        <w:rPr>
          <w:color w:val="231F20"/>
        </w:rPr>
        <w:t>left,</w:t>
      </w:r>
    </w:p>
    <w:p w14:paraId="0F015765" w14:textId="77777777" w:rsidR="002653E8" w:rsidRDefault="003115E3">
      <w:pPr>
        <w:spacing w:before="97" w:line="276" w:lineRule="auto"/>
        <w:ind w:left="1747" w:right="1565"/>
        <w:jc w:val="both"/>
        <w:rPr>
          <w:i/>
          <w:sz w:val="11"/>
        </w:rPr>
      </w:pPr>
      <w:r>
        <w:rPr>
          <w:i/>
          <w:color w:val="231F20"/>
          <w:sz w:val="19"/>
        </w:rPr>
        <w:t xml:space="preserve">as a result of their defensiveness and helplessness in the face of the new fascism, has not developed the capacity to organize solidarity as a weapon, and has failed to develop in a </w:t>
      </w:r>
      <w:r>
        <w:rPr>
          <w:i/>
          <w:color w:val="231F20"/>
          <w:spacing w:val="-3"/>
          <w:sz w:val="19"/>
        </w:rPr>
        <w:t xml:space="preserve">way </w:t>
      </w:r>
      <w:r>
        <w:rPr>
          <w:i/>
          <w:color w:val="231F20"/>
          <w:sz w:val="19"/>
        </w:rPr>
        <w:t>that corresponds  to</w:t>
      </w:r>
      <w:r>
        <w:rPr>
          <w:i/>
          <w:color w:val="231F20"/>
          <w:spacing w:val="20"/>
          <w:sz w:val="19"/>
        </w:rPr>
        <w:t xml:space="preserve"> </w:t>
      </w:r>
      <w:r>
        <w:rPr>
          <w:i/>
          <w:color w:val="231F20"/>
          <w:sz w:val="19"/>
        </w:rPr>
        <w:t>the</w:t>
      </w:r>
      <w:r>
        <w:rPr>
          <w:i/>
          <w:color w:val="231F20"/>
          <w:spacing w:val="20"/>
          <w:sz w:val="19"/>
        </w:rPr>
        <w:t xml:space="preserve"> </w:t>
      </w:r>
      <w:r>
        <w:rPr>
          <w:i/>
          <w:color w:val="231F20"/>
          <w:sz w:val="19"/>
        </w:rPr>
        <w:t>construction</w:t>
      </w:r>
      <w:r>
        <w:rPr>
          <w:i/>
          <w:color w:val="231F20"/>
          <w:spacing w:val="20"/>
          <w:sz w:val="19"/>
        </w:rPr>
        <w:t xml:space="preserve"> </w:t>
      </w:r>
      <w:r>
        <w:rPr>
          <w:i/>
          <w:color w:val="231F20"/>
          <w:sz w:val="19"/>
        </w:rPr>
        <w:t>of</w:t>
      </w:r>
      <w:r>
        <w:rPr>
          <w:i/>
          <w:color w:val="231F20"/>
          <w:spacing w:val="20"/>
          <w:sz w:val="19"/>
        </w:rPr>
        <w:t xml:space="preserve"> </w:t>
      </w:r>
      <w:r>
        <w:rPr>
          <w:i/>
          <w:color w:val="231F20"/>
          <w:sz w:val="19"/>
        </w:rPr>
        <w:t>the</w:t>
      </w:r>
      <w:r>
        <w:rPr>
          <w:i/>
          <w:color w:val="231F20"/>
          <w:spacing w:val="20"/>
          <w:sz w:val="19"/>
        </w:rPr>
        <w:t xml:space="preserve"> </w:t>
      </w:r>
      <w:r>
        <w:rPr>
          <w:i/>
          <w:color w:val="231F20"/>
          <w:sz w:val="19"/>
        </w:rPr>
        <w:t>guerilla</w:t>
      </w:r>
      <w:r>
        <w:rPr>
          <w:i/>
          <w:color w:val="231F20"/>
          <w:spacing w:val="20"/>
          <w:sz w:val="19"/>
        </w:rPr>
        <w:t xml:space="preserve"> </w:t>
      </w:r>
      <w:r>
        <w:rPr>
          <w:i/>
          <w:color w:val="231F20"/>
          <w:sz w:val="19"/>
        </w:rPr>
        <w:t>and</w:t>
      </w:r>
      <w:r>
        <w:rPr>
          <w:i/>
          <w:color w:val="231F20"/>
          <w:spacing w:val="20"/>
          <w:sz w:val="19"/>
        </w:rPr>
        <w:t xml:space="preserve"> </w:t>
      </w:r>
      <w:r>
        <w:rPr>
          <w:i/>
          <w:color w:val="231F20"/>
          <w:sz w:val="19"/>
        </w:rPr>
        <w:t>the</w:t>
      </w:r>
      <w:r>
        <w:rPr>
          <w:i/>
          <w:color w:val="231F20"/>
          <w:spacing w:val="20"/>
          <w:sz w:val="19"/>
        </w:rPr>
        <w:t xml:space="preserve"> </w:t>
      </w:r>
      <w:r>
        <w:rPr>
          <w:i/>
          <w:color w:val="231F20"/>
          <w:sz w:val="19"/>
        </w:rPr>
        <w:t>politics</w:t>
      </w:r>
      <w:r>
        <w:rPr>
          <w:i/>
          <w:color w:val="231F20"/>
          <w:spacing w:val="20"/>
          <w:sz w:val="19"/>
        </w:rPr>
        <w:t xml:space="preserve"> </w:t>
      </w:r>
      <w:r>
        <w:rPr>
          <w:i/>
          <w:color w:val="231F20"/>
          <w:sz w:val="19"/>
        </w:rPr>
        <w:t>of</w:t>
      </w:r>
      <w:r>
        <w:rPr>
          <w:i/>
          <w:color w:val="231F20"/>
          <w:spacing w:val="20"/>
          <w:sz w:val="19"/>
        </w:rPr>
        <w:t xml:space="preserve"> </w:t>
      </w:r>
      <w:r>
        <w:rPr>
          <w:i/>
          <w:color w:val="231F20"/>
          <w:sz w:val="19"/>
        </w:rPr>
        <w:t>the</w:t>
      </w:r>
      <w:r>
        <w:rPr>
          <w:i/>
          <w:color w:val="231F20"/>
          <w:spacing w:val="20"/>
          <w:sz w:val="19"/>
        </w:rPr>
        <w:t xml:space="preserve"> </w:t>
      </w:r>
      <w:r w:rsidR="00C507A5">
        <w:rPr>
          <w:i/>
          <w:color w:val="231F20"/>
          <w:spacing w:val="-5"/>
          <w:sz w:val="19"/>
        </w:rPr>
        <w:t>red army faction</w:t>
      </w:r>
      <w:r>
        <w:rPr>
          <w:i/>
          <w:color w:val="231F20"/>
          <w:spacing w:val="-5"/>
          <w:sz w:val="19"/>
        </w:rPr>
        <w:t>.</w:t>
      </w:r>
      <w:r>
        <w:rPr>
          <w:i/>
          <w:color w:val="231F20"/>
          <w:spacing w:val="-5"/>
          <w:position w:val="6"/>
          <w:sz w:val="11"/>
        </w:rPr>
        <w:t>2</w:t>
      </w:r>
    </w:p>
    <w:p w14:paraId="41827058" w14:textId="77777777" w:rsidR="002653E8" w:rsidRDefault="003115E3">
      <w:pPr>
        <w:pStyle w:val="a3"/>
        <w:spacing w:before="130" w:line="264" w:lineRule="auto"/>
        <w:ind w:left="1327" w:right="1146"/>
        <w:jc w:val="both"/>
      </w:pPr>
      <w:r>
        <w:rPr>
          <w:color w:val="231F20"/>
        </w:rPr>
        <w:t>Finally, the new reconstituted guerilla promised to carry out its own action on behalf of the prisoners, announcing that “the prisoners’ struggle… is now something that we must settle with our weapons.”</w:t>
      </w:r>
    </w:p>
    <w:p w14:paraId="441CB1B7" w14:textId="77777777" w:rsidR="002653E8" w:rsidRDefault="00000000">
      <w:pPr>
        <w:pStyle w:val="a3"/>
        <w:spacing w:before="3"/>
        <w:rPr>
          <w:sz w:val="15"/>
        </w:rPr>
      </w:pPr>
      <w:r>
        <w:rPr>
          <w:noProof w:val="0"/>
        </w:rPr>
        <w:pict w14:anchorId="3446D3D0">
          <v:line id="_x0000_s2344" style="position:absolute;z-index:7408;mso-wrap-distance-left:0;mso-wrap-distance-right:0;mso-position-horizontal-relative:page" from="66.4pt,11.2pt" to="138.4pt,11.2pt" strokecolor="#231f20" strokeweight=".5pt">
            <w10:wrap type="topAndBottom" anchorx="page"/>
          </v:line>
        </w:pict>
      </w:r>
    </w:p>
    <w:p w14:paraId="1BDA99D7" w14:textId="77777777" w:rsidR="002653E8" w:rsidRDefault="003115E3">
      <w:pPr>
        <w:pStyle w:val="a4"/>
        <w:numPr>
          <w:ilvl w:val="0"/>
          <w:numId w:val="101"/>
        </w:numPr>
        <w:tabs>
          <w:tab w:val="left" w:pos="1467"/>
        </w:tabs>
        <w:spacing w:before="53"/>
        <w:rPr>
          <w:sz w:val="16"/>
        </w:rPr>
      </w:pPr>
      <w:r>
        <w:rPr>
          <w:color w:val="231F20"/>
          <w:spacing w:val="1"/>
          <w:w w:val="105"/>
          <w:sz w:val="16"/>
        </w:rPr>
        <w:t>Letter</w:t>
      </w:r>
      <w:r>
        <w:rPr>
          <w:color w:val="231F20"/>
          <w:spacing w:val="7"/>
          <w:w w:val="105"/>
          <w:sz w:val="16"/>
        </w:rPr>
        <w:t xml:space="preserve"> </w:t>
      </w:r>
      <w:r>
        <w:rPr>
          <w:color w:val="231F20"/>
          <w:w w:val="105"/>
          <w:sz w:val="16"/>
        </w:rPr>
        <w:t>from</w:t>
      </w:r>
      <w:r>
        <w:rPr>
          <w:color w:val="231F20"/>
          <w:spacing w:val="7"/>
          <w:w w:val="105"/>
          <w:sz w:val="16"/>
        </w:rPr>
        <w:t xml:space="preserve"> </w:t>
      </w:r>
      <w:r>
        <w:rPr>
          <w:color w:val="231F20"/>
          <w:w w:val="105"/>
          <w:sz w:val="16"/>
        </w:rPr>
        <w:t>the</w:t>
      </w:r>
      <w:r>
        <w:rPr>
          <w:color w:val="231F20"/>
          <w:spacing w:val="7"/>
          <w:w w:val="105"/>
          <w:sz w:val="16"/>
        </w:rPr>
        <w:t xml:space="preserve"> </w:t>
      </w:r>
      <w:r w:rsidR="00C507A5">
        <w:rPr>
          <w:color w:val="231F20"/>
          <w:spacing w:val="3"/>
          <w:w w:val="105"/>
          <w:sz w:val="16"/>
        </w:rPr>
        <w:t>red army faction</w:t>
      </w:r>
      <w:r>
        <w:rPr>
          <w:color w:val="231F20"/>
          <w:spacing w:val="7"/>
          <w:w w:val="105"/>
          <w:sz w:val="16"/>
        </w:rPr>
        <w:t xml:space="preserve"> </w:t>
      </w:r>
      <w:r>
        <w:rPr>
          <w:color w:val="231F20"/>
          <w:w w:val="105"/>
          <w:sz w:val="16"/>
        </w:rPr>
        <w:t>to</w:t>
      </w:r>
      <w:r>
        <w:rPr>
          <w:color w:val="231F20"/>
          <w:spacing w:val="7"/>
          <w:w w:val="105"/>
          <w:sz w:val="16"/>
        </w:rPr>
        <w:t xml:space="preserve"> </w:t>
      </w:r>
      <w:r>
        <w:rPr>
          <w:color w:val="231F20"/>
          <w:w w:val="105"/>
          <w:sz w:val="16"/>
        </w:rPr>
        <w:t>the</w:t>
      </w:r>
      <w:r>
        <w:rPr>
          <w:color w:val="231F20"/>
          <w:spacing w:val="7"/>
          <w:w w:val="105"/>
          <w:sz w:val="16"/>
        </w:rPr>
        <w:t xml:space="preserve"> </w:t>
      </w:r>
      <w:r w:rsidR="00C507A5">
        <w:rPr>
          <w:color w:val="231F20"/>
          <w:spacing w:val="3"/>
          <w:w w:val="105"/>
          <w:sz w:val="16"/>
        </w:rPr>
        <w:t>red army faction</w:t>
      </w:r>
      <w:r>
        <w:rPr>
          <w:color w:val="231F20"/>
          <w:spacing w:val="7"/>
          <w:w w:val="105"/>
          <w:sz w:val="16"/>
        </w:rPr>
        <w:t xml:space="preserve"> </w:t>
      </w:r>
      <w:r>
        <w:rPr>
          <w:color w:val="231F20"/>
          <w:w w:val="105"/>
          <w:sz w:val="16"/>
        </w:rPr>
        <w:t>prisoners,</w:t>
      </w:r>
      <w:r>
        <w:rPr>
          <w:color w:val="231F20"/>
          <w:spacing w:val="7"/>
          <w:w w:val="105"/>
          <w:sz w:val="16"/>
        </w:rPr>
        <w:t xml:space="preserve"> </w:t>
      </w:r>
      <w:r>
        <w:rPr>
          <w:color w:val="231F20"/>
          <w:w w:val="105"/>
          <w:sz w:val="16"/>
        </w:rPr>
        <w:t>reprinted</w:t>
      </w:r>
      <w:r>
        <w:rPr>
          <w:color w:val="231F20"/>
          <w:spacing w:val="7"/>
          <w:w w:val="105"/>
          <w:sz w:val="16"/>
        </w:rPr>
        <w:t xml:space="preserve"> </w:t>
      </w:r>
      <w:r>
        <w:rPr>
          <w:color w:val="231F20"/>
          <w:w w:val="105"/>
          <w:sz w:val="16"/>
        </w:rPr>
        <w:t>on</w:t>
      </w:r>
      <w:r>
        <w:rPr>
          <w:color w:val="231F20"/>
          <w:spacing w:val="7"/>
          <w:w w:val="105"/>
          <w:sz w:val="16"/>
        </w:rPr>
        <w:t xml:space="preserve"> </w:t>
      </w:r>
      <w:r>
        <w:rPr>
          <w:color w:val="231F20"/>
          <w:w w:val="105"/>
          <w:sz w:val="16"/>
        </w:rPr>
        <w:t>page</w:t>
      </w:r>
      <w:r>
        <w:rPr>
          <w:color w:val="231F20"/>
          <w:spacing w:val="7"/>
          <w:w w:val="105"/>
          <w:sz w:val="16"/>
        </w:rPr>
        <w:t xml:space="preserve"> </w:t>
      </w:r>
      <w:r>
        <w:rPr>
          <w:color w:val="231F20"/>
          <w:spacing w:val="-5"/>
          <w:w w:val="105"/>
          <w:sz w:val="16"/>
        </w:rPr>
        <w:t>338.</w:t>
      </w:r>
    </w:p>
    <w:p w14:paraId="2C4C9736" w14:textId="77777777" w:rsidR="002653E8" w:rsidRDefault="002653E8">
      <w:pPr>
        <w:rPr>
          <w:sz w:val="16"/>
        </w:rPr>
        <w:sectPr w:rsidR="002653E8">
          <w:footerReference w:type="even" r:id="rId277"/>
          <w:footerReference w:type="default" r:id="rId278"/>
          <w:pgSz w:w="8640" w:h="12960"/>
          <w:pgMar w:top="1060" w:right="0" w:bottom="1040" w:left="0" w:header="0" w:footer="850" w:gutter="0"/>
          <w:pgNumType w:start="327"/>
          <w:cols w:space="720"/>
        </w:sectPr>
      </w:pPr>
    </w:p>
    <w:p w14:paraId="1151BEBF" w14:textId="77777777" w:rsidR="002653E8" w:rsidRDefault="003115E3">
      <w:pPr>
        <w:pStyle w:val="a3"/>
        <w:spacing w:before="86" w:line="264" w:lineRule="auto"/>
        <w:ind w:left="1147" w:right="1327" w:firstLine="209"/>
        <w:jc w:val="both"/>
      </w:pPr>
      <w:r>
        <w:rPr>
          <w:color w:val="231F20"/>
        </w:rPr>
        <w:lastRenderedPageBreak/>
        <w:t xml:space="preserve">Barely three weeks later, on February 27, 1975, the 2nd of June Movement kidnapped prominent West Berlin Christian Democrat Peter Lorenz, a candidate for mayor in the upcoming West Berlin city elections. Given the timing, it is not surprising that some may have mistaken this for a </w:t>
      </w:r>
      <w:r w:rsidR="00C507A5">
        <w:rPr>
          <w:color w:val="231F20"/>
        </w:rPr>
        <w:t>red army faction</w:t>
      </w:r>
      <w:r>
        <w:rPr>
          <w:color w:val="231F20"/>
        </w:rPr>
        <w:t xml:space="preserve"> action, but in fact it was not.</w:t>
      </w:r>
    </w:p>
    <w:p w14:paraId="080F6DD9" w14:textId="77777777" w:rsidR="002653E8" w:rsidRDefault="003115E3">
      <w:pPr>
        <w:pStyle w:val="a3"/>
        <w:spacing w:line="264" w:lineRule="auto"/>
        <w:ind w:left="1147" w:right="1324" w:firstLine="210"/>
        <w:jc w:val="both"/>
      </w:pPr>
      <w:r>
        <w:rPr>
          <w:color w:val="231F20"/>
        </w:rPr>
        <w:t>The 2JM commando demanded the release of six  prisoners  being held in West Berlin’s Moabit prison: Ingrid Siepmann, Verena Becker, Gabriele Kröcher-Tiedemann, Rolf Pohle, Rolf Heissler, and Horst Mahler. They further demanded that each prisoner be given 20,000 dm</w:t>
      </w:r>
      <w:r>
        <w:rPr>
          <w:color w:val="231F20"/>
          <w:position w:val="7"/>
          <w:sz w:val="11"/>
        </w:rPr>
        <w:t xml:space="preserve">1 </w:t>
      </w:r>
      <w:r>
        <w:rPr>
          <w:color w:val="231F20"/>
        </w:rPr>
        <w:t>and safe passage out of the country.</w:t>
      </w:r>
    </w:p>
    <w:p w14:paraId="52F5C3BF" w14:textId="77777777" w:rsidR="002653E8" w:rsidRDefault="003115E3">
      <w:pPr>
        <w:pStyle w:val="a3"/>
        <w:spacing w:line="264" w:lineRule="auto"/>
        <w:ind w:left="1147" w:right="1326" w:firstLine="210"/>
        <w:jc w:val="both"/>
      </w:pPr>
      <w:r>
        <w:rPr>
          <w:color w:val="231F20"/>
          <w:spacing w:val="1"/>
        </w:rPr>
        <w:t xml:space="preserve">All </w:t>
      </w:r>
      <w:r>
        <w:rPr>
          <w:color w:val="231F20"/>
        </w:rPr>
        <w:t xml:space="preserve">six prisoners on the </w:t>
      </w:r>
      <w:r>
        <w:rPr>
          <w:color w:val="231F20"/>
          <w:spacing w:val="-3"/>
        </w:rPr>
        <w:t xml:space="preserve">2JM’s  </w:t>
      </w:r>
      <w:r>
        <w:rPr>
          <w:color w:val="231F20"/>
        </w:rPr>
        <w:t xml:space="preserve">list had been active in the APO, and     all except Mahler could trace their roots to the antiauthoritarian scene. The women were all members of the 2nd of June Movement, and the men were all accused of being members of the </w:t>
      </w:r>
      <w:r w:rsidR="00C507A5">
        <w:rPr>
          <w:color w:val="231F20"/>
          <w:spacing w:val="5"/>
        </w:rPr>
        <w:t>red army faction</w:t>
      </w:r>
      <w:r>
        <w:rPr>
          <w:color w:val="231F20"/>
          <w:spacing w:val="5"/>
        </w:rPr>
        <w:t xml:space="preserve"> </w:t>
      </w:r>
      <w:r>
        <w:rPr>
          <w:color w:val="231F20"/>
          <w:spacing w:val="-4"/>
        </w:rPr>
        <w:t xml:space="preserve">(a </w:t>
      </w:r>
      <w:r>
        <w:rPr>
          <w:color w:val="231F20"/>
        </w:rPr>
        <w:t xml:space="preserve">charge which Pohle denied, all the while expressing his solidarity with the other prisoners). There was, nevertheless, some criticism of this action, as the kidnappers did not demand the release of Meinhof, Ensslin, Raspe, or Baader, whom </w:t>
      </w:r>
      <w:r w:rsidR="00C507A5">
        <w:rPr>
          <w:color w:val="231F20"/>
          <w:spacing w:val="5"/>
        </w:rPr>
        <w:t>red army faction</w:t>
      </w:r>
      <w:r>
        <w:rPr>
          <w:color w:val="231F20"/>
          <w:spacing w:val="5"/>
        </w:rPr>
        <w:t xml:space="preserve"> </w:t>
      </w:r>
      <w:r>
        <w:rPr>
          <w:color w:val="231F20"/>
        </w:rPr>
        <w:t>supporters considered to be not only the heart of the</w:t>
      </w:r>
      <w:r>
        <w:rPr>
          <w:color w:val="231F20"/>
          <w:spacing w:val="7"/>
        </w:rPr>
        <w:t xml:space="preserve"> </w:t>
      </w:r>
      <w:r>
        <w:rPr>
          <w:color w:val="231F20"/>
        </w:rPr>
        <w:t>resistance,</w:t>
      </w:r>
      <w:r>
        <w:rPr>
          <w:color w:val="231F20"/>
          <w:spacing w:val="7"/>
        </w:rPr>
        <w:t xml:space="preserve"> </w:t>
      </w:r>
      <w:r>
        <w:rPr>
          <w:color w:val="231F20"/>
        </w:rPr>
        <w:t>but</w:t>
      </w:r>
      <w:r>
        <w:rPr>
          <w:color w:val="231F20"/>
          <w:spacing w:val="7"/>
        </w:rPr>
        <w:t xml:space="preserve"> </w:t>
      </w:r>
      <w:r>
        <w:rPr>
          <w:color w:val="231F20"/>
        </w:rPr>
        <w:t>also</w:t>
      </w:r>
      <w:r>
        <w:rPr>
          <w:color w:val="231F20"/>
          <w:spacing w:val="7"/>
        </w:rPr>
        <w:t xml:space="preserve"> </w:t>
      </w:r>
      <w:r>
        <w:rPr>
          <w:color w:val="231F20"/>
        </w:rPr>
        <w:t>those</w:t>
      </w:r>
      <w:r>
        <w:rPr>
          <w:color w:val="231F20"/>
          <w:spacing w:val="7"/>
        </w:rPr>
        <w:t xml:space="preserve"> </w:t>
      </w:r>
      <w:r>
        <w:rPr>
          <w:color w:val="231F20"/>
        </w:rPr>
        <w:t>most</w:t>
      </w:r>
      <w:r>
        <w:rPr>
          <w:color w:val="231F20"/>
          <w:spacing w:val="7"/>
        </w:rPr>
        <w:t xml:space="preserve"> </w:t>
      </w:r>
      <w:r>
        <w:rPr>
          <w:color w:val="231F20"/>
        </w:rPr>
        <w:t>likely</w:t>
      </w:r>
      <w:r>
        <w:rPr>
          <w:color w:val="231F20"/>
          <w:spacing w:val="7"/>
        </w:rPr>
        <w:t xml:space="preserve"> </w:t>
      </w:r>
      <w:r>
        <w:rPr>
          <w:color w:val="231F20"/>
        </w:rPr>
        <w:t>to</w:t>
      </w:r>
      <w:r>
        <w:rPr>
          <w:color w:val="231F20"/>
          <w:spacing w:val="7"/>
        </w:rPr>
        <w:t xml:space="preserve"> </w:t>
      </w:r>
      <w:r>
        <w:rPr>
          <w:color w:val="231F20"/>
        </w:rPr>
        <w:t>be</w:t>
      </w:r>
      <w:r>
        <w:rPr>
          <w:color w:val="231F20"/>
          <w:spacing w:val="7"/>
        </w:rPr>
        <w:t xml:space="preserve"> </w:t>
      </w:r>
      <w:r>
        <w:rPr>
          <w:color w:val="231F20"/>
        </w:rPr>
        <w:t>targeted</w:t>
      </w:r>
      <w:r>
        <w:rPr>
          <w:color w:val="231F20"/>
          <w:spacing w:val="7"/>
        </w:rPr>
        <w:t xml:space="preserve"> </w:t>
      </w:r>
      <w:r>
        <w:rPr>
          <w:color w:val="231F20"/>
        </w:rPr>
        <w:t>by</w:t>
      </w:r>
      <w:r>
        <w:rPr>
          <w:color w:val="231F20"/>
          <w:spacing w:val="7"/>
        </w:rPr>
        <w:t xml:space="preserve"> </w:t>
      </w:r>
      <w:r>
        <w:rPr>
          <w:color w:val="231F20"/>
        </w:rPr>
        <w:t>the</w:t>
      </w:r>
      <w:r>
        <w:rPr>
          <w:color w:val="231F20"/>
          <w:spacing w:val="7"/>
        </w:rPr>
        <w:t xml:space="preserve"> </w:t>
      </w:r>
      <w:r>
        <w:rPr>
          <w:color w:val="231F20"/>
        </w:rPr>
        <w:t>state.</w:t>
      </w:r>
    </w:p>
    <w:p w14:paraId="39634CC8" w14:textId="77777777" w:rsidR="002653E8" w:rsidRDefault="003115E3">
      <w:pPr>
        <w:pStyle w:val="a3"/>
        <w:spacing w:line="264" w:lineRule="auto"/>
        <w:ind w:left="1147" w:right="1326" w:firstLine="210"/>
        <w:jc w:val="both"/>
      </w:pPr>
      <w:r>
        <w:rPr>
          <w:color w:val="231F20"/>
        </w:rPr>
        <w:t>Horst Mahler let it be known that he would not go with the others  and remained in prison. He used this opportunity to reaffirm his new anti-guerilla</w:t>
      </w:r>
      <w:r>
        <w:rPr>
          <w:color w:val="231F20"/>
          <w:spacing w:val="10"/>
        </w:rPr>
        <w:t xml:space="preserve"> </w:t>
      </w:r>
      <w:r>
        <w:rPr>
          <w:color w:val="231F20"/>
        </w:rPr>
        <w:t>position,</w:t>
      </w:r>
      <w:r>
        <w:rPr>
          <w:color w:val="231F20"/>
          <w:spacing w:val="10"/>
        </w:rPr>
        <w:t xml:space="preserve"> </w:t>
      </w:r>
      <w:r>
        <w:rPr>
          <w:color w:val="231F20"/>
        </w:rPr>
        <w:t>releasing</w:t>
      </w:r>
      <w:r>
        <w:rPr>
          <w:color w:val="231F20"/>
          <w:spacing w:val="10"/>
        </w:rPr>
        <w:t xml:space="preserve"> </w:t>
      </w:r>
      <w:r>
        <w:rPr>
          <w:color w:val="231F20"/>
        </w:rPr>
        <w:t>a</w:t>
      </w:r>
      <w:r>
        <w:rPr>
          <w:color w:val="231F20"/>
          <w:spacing w:val="10"/>
        </w:rPr>
        <w:t xml:space="preserve"> </w:t>
      </w:r>
      <w:r>
        <w:rPr>
          <w:color w:val="231F20"/>
        </w:rPr>
        <w:t>public</w:t>
      </w:r>
      <w:r>
        <w:rPr>
          <w:color w:val="231F20"/>
          <w:spacing w:val="10"/>
        </w:rPr>
        <w:t xml:space="preserve"> </w:t>
      </w:r>
      <w:r>
        <w:rPr>
          <w:color w:val="231F20"/>
        </w:rPr>
        <w:t>statement</w:t>
      </w:r>
      <w:r>
        <w:rPr>
          <w:color w:val="231F20"/>
          <w:spacing w:val="10"/>
        </w:rPr>
        <w:t xml:space="preserve"> </w:t>
      </w:r>
      <w:r>
        <w:rPr>
          <w:color w:val="231F20"/>
        </w:rPr>
        <w:t>to</w:t>
      </w:r>
      <w:r>
        <w:rPr>
          <w:color w:val="231F20"/>
          <w:spacing w:val="10"/>
        </w:rPr>
        <w:t xml:space="preserve"> </w:t>
      </w:r>
      <w:r>
        <w:rPr>
          <w:color w:val="231F20"/>
        </w:rPr>
        <w:t>this</w:t>
      </w:r>
      <w:r>
        <w:rPr>
          <w:color w:val="231F20"/>
          <w:spacing w:val="10"/>
        </w:rPr>
        <w:t xml:space="preserve"> </w:t>
      </w:r>
      <w:r>
        <w:rPr>
          <w:color w:val="231F20"/>
        </w:rPr>
        <w:t>effect:</w:t>
      </w:r>
    </w:p>
    <w:p w14:paraId="318558B1" w14:textId="77777777" w:rsidR="002653E8" w:rsidRDefault="003115E3">
      <w:pPr>
        <w:spacing w:before="105" w:line="276" w:lineRule="auto"/>
        <w:ind w:left="1567" w:right="1738"/>
        <w:jc w:val="both"/>
        <w:rPr>
          <w:i/>
          <w:sz w:val="11"/>
        </w:rPr>
      </w:pPr>
      <w:r>
        <w:rPr>
          <w:i/>
          <w:color w:val="231F20"/>
          <w:w w:val="105"/>
          <w:sz w:val="19"/>
        </w:rPr>
        <w:t xml:space="preserve">The kidnapping of the enemy of the people </w:t>
      </w:r>
      <w:r>
        <w:rPr>
          <w:i/>
          <w:color w:val="231F20"/>
          <w:spacing w:val="-3"/>
          <w:w w:val="105"/>
          <w:sz w:val="19"/>
        </w:rPr>
        <w:t xml:space="preserve">Peter </w:t>
      </w:r>
      <w:r>
        <w:rPr>
          <w:i/>
          <w:color w:val="231F20"/>
          <w:w w:val="105"/>
          <w:sz w:val="19"/>
        </w:rPr>
        <w:t>Lorenz as a means of freeing political prisoners is an expression of politics disconnected</w:t>
      </w:r>
      <w:r>
        <w:rPr>
          <w:i/>
          <w:color w:val="231F20"/>
          <w:spacing w:val="-7"/>
          <w:w w:val="105"/>
          <w:sz w:val="19"/>
        </w:rPr>
        <w:t xml:space="preserve"> </w:t>
      </w:r>
      <w:r>
        <w:rPr>
          <w:i/>
          <w:color w:val="231F20"/>
          <w:w w:val="105"/>
          <w:sz w:val="19"/>
        </w:rPr>
        <w:t>from</w:t>
      </w:r>
      <w:r>
        <w:rPr>
          <w:i/>
          <w:color w:val="231F20"/>
          <w:spacing w:val="-7"/>
          <w:w w:val="105"/>
          <w:sz w:val="19"/>
        </w:rPr>
        <w:t xml:space="preserve"> </w:t>
      </w:r>
      <w:r>
        <w:rPr>
          <w:i/>
          <w:color w:val="231F20"/>
          <w:w w:val="105"/>
          <w:sz w:val="19"/>
        </w:rPr>
        <w:t>the</w:t>
      </w:r>
      <w:r>
        <w:rPr>
          <w:i/>
          <w:color w:val="231F20"/>
          <w:spacing w:val="-7"/>
          <w:w w:val="105"/>
          <w:sz w:val="19"/>
        </w:rPr>
        <w:t xml:space="preserve"> </w:t>
      </w:r>
      <w:r>
        <w:rPr>
          <w:i/>
          <w:color w:val="231F20"/>
          <w:w w:val="105"/>
          <w:sz w:val="19"/>
        </w:rPr>
        <w:t>struggle</w:t>
      </w:r>
      <w:r>
        <w:rPr>
          <w:i/>
          <w:color w:val="231F20"/>
          <w:spacing w:val="-7"/>
          <w:w w:val="105"/>
          <w:sz w:val="19"/>
        </w:rPr>
        <w:t xml:space="preserve"> </w:t>
      </w:r>
      <w:r>
        <w:rPr>
          <w:i/>
          <w:color w:val="231F20"/>
          <w:w w:val="105"/>
          <w:sz w:val="19"/>
        </w:rPr>
        <w:t>of</w:t>
      </w:r>
      <w:r>
        <w:rPr>
          <w:i/>
          <w:color w:val="231F20"/>
          <w:spacing w:val="-7"/>
          <w:w w:val="105"/>
          <w:sz w:val="19"/>
        </w:rPr>
        <w:t xml:space="preserve"> </w:t>
      </w:r>
      <w:r>
        <w:rPr>
          <w:i/>
          <w:color w:val="231F20"/>
          <w:w w:val="105"/>
          <w:sz w:val="19"/>
        </w:rPr>
        <w:t>the</w:t>
      </w:r>
      <w:r>
        <w:rPr>
          <w:i/>
          <w:color w:val="231F20"/>
          <w:spacing w:val="-7"/>
          <w:w w:val="105"/>
          <w:sz w:val="19"/>
        </w:rPr>
        <w:t xml:space="preserve"> </w:t>
      </w:r>
      <w:r>
        <w:rPr>
          <w:i/>
          <w:color w:val="231F20"/>
          <w:w w:val="105"/>
          <w:sz w:val="19"/>
        </w:rPr>
        <w:t>working</w:t>
      </w:r>
      <w:r>
        <w:rPr>
          <w:i/>
          <w:color w:val="231F20"/>
          <w:spacing w:val="-7"/>
          <w:w w:val="105"/>
          <w:sz w:val="19"/>
        </w:rPr>
        <w:t xml:space="preserve"> </w:t>
      </w:r>
      <w:r>
        <w:rPr>
          <w:i/>
          <w:color w:val="231F20"/>
          <w:w w:val="105"/>
          <w:sz w:val="19"/>
        </w:rPr>
        <w:t>class,</w:t>
      </w:r>
      <w:r>
        <w:rPr>
          <w:i/>
          <w:color w:val="231F20"/>
          <w:spacing w:val="-12"/>
          <w:w w:val="105"/>
          <w:sz w:val="19"/>
        </w:rPr>
        <w:t xml:space="preserve"> </w:t>
      </w:r>
      <w:r>
        <w:rPr>
          <w:i/>
          <w:color w:val="231F20"/>
          <w:w w:val="105"/>
          <w:sz w:val="19"/>
        </w:rPr>
        <w:t>and</w:t>
      </w:r>
      <w:r>
        <w:rPr>
          <w:i/>
          <w:color w:val="231F20"/>
          <w:spacing w:val="-7"/>
          <w:w w:val="105"/>
          <w:sz w:val="19"/>
        </w:rPr>
        <w:t xml:space="preserve"> </w:t>
      </w:r>
      <w:r>
        <w:rPr>
          <w:i/>
          <w:color w:val="231F20"/>
          <w:w w:val="105"/>
          <w:sz w:val="19"/>
        </w:rPr>
        <w:t>can</w:t>
      </w:r>
      <w:r>
        <w:rPr>
          <w:i/>
          <w:color w:val="231F20"/>
          <w:spacing w:val="-7"/>
          <w:w w:val="105"/>
          <w:sz w:val="19"/>
        </w:rPr>
        <w:t xml:space="preserve"> </w:t>
      </w:r>
      <w:r>
        <w:rPr>
          <w:i/>
          <w:color w:val="231F20"/>
          <w:w w:val="105"/>
          <w:sz w:val="19"/>
        </w:rPr>
        <w:t xml:space="preserve">only lead to a dead-end. The strategy of individual terror is not the strategy of the working class. During the show trial of </w:t>
      </w:r>
      <w:r>
        <w:rPr>
          <w:i/>
          <w:color w:val="231F20"/>
          <w:spacing w:val="-4"/>
          <w:w w:val="105"/>
          <w:sz w:val="19"/>
        </w:rPr>
        <w:t xml:space="preserve">Bäcker, </w:t>
      </w:r>
      <w:r>
        <w:rPr>
          <w:i/>
          <w:color w:val="231F20"/>
          <w:w w:val="105"/>
          <w:sz w:val="19"/>
        </w:rPr>
        <w:t>Meinhof,</w:t>
      </w:r>
      <w:r>
        <w:rPr>
          <w:i/>
          <w:color w:val="231F20"/>
          <w:spacing w:val="-13"/>
          <w:w w:val="105"/>
          <w:sz w:val="19"/>
        </w:rPr>
        <w:t xml:space="preserve"> </w:t>
      </w:r>
      <w:r>
        <w:rPr>
          <w:i/>
          <w:color w:val="231F20"/>
          <w:w w:val="105"/>
          <w:sz w:val="19"/>
        </w:rPr>
        <w:t>and</w:t>
      </w:r>
      <w:r>
        <w:rPr>
          <w:i/>
          <w:color w:val="231F20"/>
          <w:spacing w:val="-7"/>
          <w:w w:val="105"/>
          <w:sz w:val="19"/>
        </w:rPr>
        <w:t xml:space="preserve"> </w:t>
      </w:r>
      <w:r>
        <w:rPr>
          <w:i/>
          <w:color w:val="231F20"/>
          <w:w w:val="105"/>
          <w:sz w:val="19"/>
        </w:rPr>
        <w:t>myself</w:t>
      </w:r>
      <w:r>
        <w:rPr>
          <w:i/>
          <w:color w:val="231F20"/>
          <w:spacing w:val="-7"/>
          <w:w w:val="105"/>
          <w:sz w:val="19"/>
        </w:rPr>
        <w:t xml:space="preserve"> </w:t>
      </w:r>
      <w:r>
        <w:rPr>
          <w:i/>
          <w:color w:val="231F20"/>
          <w:w w:val="105"/>
          <w:sz w:val="19"/>
        </w:rPr>
        <w:t>in</w:t>
      </w:r>
      <w:r>
        <w:rPr>
          <w:i/>
          <w:color w:val="231F20"/>
          <w:spacing w:val="-7"/>
          <w:w w:val="105"/>
          <w:sz w:val="19"/>
        </w:rPr>
        <w:t xml:space="preserve"> </w:t>
      </w:r>
      <w:r>
        <w:rPr>
          <w:i/>
          <w:color w:val="231F20"/>
          <w:w w:val="105"/>
          <w:sz w:val="19"/>
        </w:rPr>
        <w:t>September</w:t>
      </w:r>
      <w:r>
        <w:rPr>
          <w:i/>
          <w:color w:val="231F20"/>
          <w:spacing w:val="-7"/>
          <w:w w:val="105"/>
          <w:sz w:val="19"/>
        </w:rPr>
        <w:t xml:space="preserve"> </w:t>
      </w:r>
      <w:r>
        <w:rPr>
          <w:i/>
          <w:color w:val="231F20"/>
          <w:w w:val="105"/>
          <w:sz w:val="19"/>
        </w:rPr>
        <w:t>of</w:t>
      </w:r>
      <w:r>
        <w:rPr>
          <w:i/>
          <w:color w:val="231F20"/>
          <w:spacing w:val="-7"/>
          <w:w w:val="105"/>
          <w:sz w:val="19"/>
        </w:rPr>
        <w:t xml:space="preserve"> </w:t>
      </w:r>
      <w:r>
        <w:rPr>
          <w:i/>
          <w:color w:val="231F20"/>
          <w:w w:val="105"/>
          <w:sz w:val="19"/>
        </w:rPr>
        <w:t>last</w:t>
      </w:r>
      <w:r>
        <w:rPr>
          <w:i/>
          <w:color w:val="231F20"/>
          <w:spacing w:val="-7"/>
          <w:w w:val="105"/>
          <w:sz w:val="19"/>
        </w:rPr>
        <w:t xml:space="preserve"> </w:t>
      </w:r>
      <w:r>
        <w:rPr>
          <w:i/>
          <w:color w:val="231F20"/>
          <w:spacing w:val="-5"/>
          <w:w w:val="105"/>
          <w:sz w:val="19"/>
        </w:rPr>
        <w:t>year,</w:t>
      </w:r>
      <w:r>
        <w:rPr>
          <w:i/>
          <w:color w:val="231F20"/>
          <w:spacing w:val="-13"/>
          <w:w w:val="105"/>
          <w:sz w:val="19"/>
        </w:rPr>
        <w:t xml:space="preserve"> </w:t>
      </w:r>
      <w:r>
        <w:rPr>
          <w:i/>
          <w:color w:val="231F20"/>
          <w:w w:val="105"/>
          <w:sz w:val="19"/>
        </w:rPr>
        <w:t>in</w:t>
      </w:r>
      <w:r>
        <w:rPr>
          <w:i/>
          <w:color w:val="231F20"/>
          <w:spacing w:val="-7"/>
          <w:w w:val="105"/>
          <w:sz w:val="19"/>
        </w:rPr>
        <w:t xml:space="preserve"> </w:t>
      </w:r>
      <w:r>
        <w:rPr>
          <w:i/>
          <w:color w:val="231F20"/>
          <w:w w:val="105"/>
          <w:sz w:val="19"/>
        </w:rPr>
        <w:t>an</w:t>
      </w:r>
      <w:r>
        <w:rPr>
          <w:i/>
          <w:color w:val="231F20"/>
          <w:spacing w:val="-7"/>
          <w:w w:val="105"/>
          <w:sz w:val="19"/>
        </w:rPr>
        <w:t xml:space="preserve"> </w:t>
      </w:r>
      <w:r>
        <w:rPr>
          <w:i/>
          <w:color w:val="231F20"/>
          <w:w w:val="105"/>
          <w:sz w:val="19"/>
        </w:rPr>
        <w:t>open</w:t>
      </w:r>
      <w:r>
        <w:rPr>
          <w:i/>
          <w:color w:val="231F20"/>
          <w:spacing w:val="-7"/>
          <w:w w:val="105"/>
          <w:sz w:val="19"/>
        </w:rPr>
        <w:t xml:space="preserve"> </w:t>
      </w:r>
      <w:r>
        <w:rPr>
          <w:i/>
          <w:color w:val="231F20"/>
          <w:w w:val="105"/>
          <w:sz w:val="19"/>
        </w:rPr>
        <w:t>critique, which</w:t>
      </w:r>
      <w:r>
        <w:rPr>
          <w:i/>
          <w:color w:val="231F20"/>
          <w:spacing w:val="-10"/>
          <w:w w:val="105"/>
          <w:sz w:val="19"/>
        </w:rPr>
        <w:t xml:space="preserve"> </w:t>
      </w:r>
      <w:r>
        <w:rPr>
          <w:i/>
          <w:color w:val="231F20"/>
          <w:w w:val="105"/>
          <w:sz w:val="19"/>
        </w:rPr>
        <w:t>was</w:t>
      </w:r>
      <w:r>
        <w:rPr>
          <w:i/>
          <w:color w:val="231F20"/>
          <w:spacing w:val="-10"/>
          <w:w w:val="105"/>
          <w:sz w:val="19"/>
        </w:rPr>
        <w:t xml:space="preserve"> </w:t>
      </w:r>
      <w:r>
        <w:rPr>
          <w:i/>
          <w:color w:val="231F20"/>
          <w:w w:val="105"/>
          <w:sz w:val="19"/>
        </w:rPr>
        <w:t>simultaneously</w:t>
      </w:r>
      <w:r>
        <w:rPr>
          <w:i/>
          <w:color w:val="231F20"/>
          <w:spacing w:val="-10"/>
          <w:w w:val="105"/>
          <w:sz w:val="19"/>
        </w:rPr>
        <w:t xml:space="preserve"> </w:t>
      </w:r>
      <w:r>
        <w:rPr>
          <w:i/>
          <w:color w:val="231F20"/>
          <w:w w:val="105"/>
          <w:sz w:val="19"/>
        </w:rPr>
        <w:t>a</w:t>
      </w:r>
      <w:r>
        <w:rPr>
          <w:i/>
          <w:color w:val="231F20"/>
          <w:spacing w:val="-10"/>
          <w:w w:val="105"/>
          <w:sz w:val="19"/>
        </w:rPr>
        <w:t xml:space="preserve"> </w:t>
      </w:r>
      <w:r>
        <w:rPr>
          <w:i/>
          <w:color w:val="231F20"/>
          <w:w w:val="105"/>
          <w:sz w:val="19"/>
        </w:rPr>
        <w:t>self-criticism,</w:t>
      </w:r>
      <w:r>
        <w:rPr>
          <w:i/>
          <w:color w:val="231F20"/>
          <w:spacing w:val="-15"/>
          <w:w w:val="105"/>
          <w:sz w:val="19"/>
        </w:rPr>
        <w:t xml:space="preserve"> </w:t>
      </w:r>
      <w:r>
        <w:rPr>
          <w:i/>
          <w:color w:val="231F20"/>
          <w:w w:val="105"/>
          <w:sz w:val="19"/>
        </w:rPr>
        <w:t>I</w:t>
      </w:r>
      <w:r>
        <w:rPr>
          <w:i/>
          <w:color w:val="231F20"/>
          <w:spacing w:val="-10"/>
          <w:w w:val="105"/>
          <w:sz w:val="19"/>
        </w:rPr>
        <w:t xml:space="preserve"> </w:t>
      </w:r>
      <w:r>
        <w:rPr>
          <w:i/>
          <w:color w:val="231F20"/>
          <w:w w:val="105"/>
          <w:sz w:val="19"/>
        </w:rPr>
        <w:t>clearly</w:t>
      </w:r>
      <w:r>
        <w:rPr>
          <w:i/>
          <w:color w:val="231F20"/>
          <w:spacing w:val="-10"/>
          <w:w w:val="105"/>
          <w:sz w:val="19"/>
        </w:rPr>
        <w:t xml:space="preserve"> </w:t>
      </w:r>
      <w:r>
        <w:rPr>
          <w:i/>
          <w:color w:val="231F20"/>
          <w:w w:val="105"/>
          <w:sz w:val="19"/>
        </w:rPr>
        <w:t>stated</w:t>
      </w:r>
      <w:r>
        <w:rPr>
          <w:i/>
          <w:color w:val="231F20"/>
          <w:spacing w:val="-10"/>
          <w:w w:val="105"/>
          <w:sz w:val="19"/>
        </w:rPr>
        <w:t xml:space="preserve"> </w:t>
      </w:r>
      <w:r>
        <w:rPr>
          <w:i/>
          <w:color w:val="231F20"/>
          <w:w w:val="105"/>
          <w:sz w:val="19"/>
        </w:rPr>
        <w:t>that</w:t>
      </w:r>
      <w:r>
        <w:rPr>
          <w:i/>
          <w:color w:val="231F20"/>
          <w:spacing w:val="-10"/>
          <w:w w:val="105"/>
          <w:sz w:val="19"/>
        </w:rPr>
        <w:t xml:space="preserve"> </w:t>
      </w:r>
      <w:r>
        <w:rPr>
          <w:i/>
          <w:color w:val="231F20"/>
          <w:w w:val="105"/>
          <w:sz w:val="19"/>
        </w:rPr>
        <w:t>my place</w:t>
      </w:r>
      <w:r>
        <w:rPr>
          <w:i/>
          <w:color w:val="231F20"/>
          <w:spacing w:val="-11"/>
          <w:w w:val="105"/>
          <w:sz w:val="19"/>
        </w:rPr>
        <w:t xml:space="preserve"> </w:t>
      </w:r>
      <w:r>
        <w:rPr>
          <w:i/>
          <w:color w:val="231F20"/>
          <w:w w:val="105"/>
          <w:sz w:val="19"/>
        </w:rPr>
        <w:t>is</w:t>
      </w:r>
      <w:r>
        <w:rPr>
          <w:i/>
          <w:color w:val="231F20"/>
          <w:spacing w:val="-11"/>
          <w:w w:val="105"/>
          <w:sz w:val="19"/>
        </w:rPr>
        <w:t xml:space="preserve"> </w:t>
      </w:r>
      <w:r>
        <w:rPr>
          <w:i/>
          <w:color w:val="231F20"/>
          <w:w w:val="105"/>
          <w:sz w:val="19"/>
        </w:rPr>
        <w:t>at</w:t>
      </w:r>
      <w:r>
        <w:rPr>
          <w:i/>
          <w:color w:val="231F20"/>
          <w:spacing w:val="-11"/>
          <w:w w:val="105"/>
          <w:sz w:val="19"/>
        </w:rPr>
        <w:t xml:space="preserve"> </w:t>
      </w:r>
      <w:r>
        <w:rPr>
          <w:i/>
          <w:color w:val="231F20"/>
          <w:w w:val="105"/>
          <w:sz w:val="19"/>
        </w:rPr>
        <w:t>the</w:t>
      </w:r>
      <w:r>
        <w:rPr>
          <w:i/>
          <w:color w:val="231F20"/>
          <w:spacing w:val="-11"/>
          <w:w w:val="105"/>
          <w:sz w:val="19"/>
        </w:rPr>
        <w:t xml:space="preserve"> </w:t>
      </w:r>
      <w:r>
        <w:rPr>
          <w:i/>
          <w:color w:val="231F20"/>
          <w:w w:val="105"/>
          <w:sz w:val="19"/>
        </w:rPr>
        <w:t>side</w:t>
      </w:r>
      <w:r>
        <w:rPr>
          <w:i/>
          <w:color w:val="231F20"/>
          <w:spacing w:val="-11"/>
          <w:w w:val="105"/>
          <w:sz w:val="19"/>
        </w:rPr>
        <w:t xml:space="preserve"> </w:t>
      </w:r>
      <w:r>
        <w:rPr>
          <w:i/>
          <w:color w:val="231F20"/>
          <w:w w:val="105"/>
          <w:sz w:val="19"/>
        </w:rPr>
        <w:t>of</w:t>
      </w:r>
      <w:r>
        <w:rPr>
          <w:i/>
          <w:color w:val="231F20"/>
          <w:spacing w:val="-11"/>
          <w:w w:val="105"/>
          <w:sz w:val="19"/>
        </w:rPr>
        <w:t xml:space="preserve"> </w:t>
      </w:r>
      <w:r>
        <w:rPr>
          <w:i/>
          <w:color w:val="231F20"/>
          <w:w w:val="105"/>
          <w:sz w:val="19"/>
        </w:rPr>
        <w:t>the</w:t>
      </w:r>
      <w:r>
        <w:rPr>
          <w:i/>
          <w:color w:val="231F20"/>
          <w:spacing w:val="-11"/>
          <w:w w:val="105"/>
          <w:sz w:val="19"/>
        </w:rPr>
        <w:t xml:space="preserve"> </w:t>
      </w:r>
      <w:r>
        <w:rPr>
          <w:i/>
          <w:color w:val="231F20"/>
          <w:w w:val="105"/>
          <w:sz w:val="19"/>
        </w:rPr>
        <w:t>working</w:t>
      </w:r>
      <w:r>
        <w:rPr>
          <w:i/>
          <w:color w:val="231F20"/>
          <w:spacing w:val="-11"/>
          <w:w w:val="105"/>
          <w:sz w:val="19"/>
        </w:rPr>
        <w:t xml:space="preserve"> </w:t>
      </w:r>
      <w:r>
        <w:rPr>
          <w:i/>
          <w:color w:val="231F20"/>
          <w:w w:val="105"/>
          <w:sz w:val="19"/>
        </w:rPr>
        <w:t>class.</w:t>
      </w:r>
      <w:r>
        <w:rPr>
          <w:i/>
          <w:color w:val="231F20"/>
          <w:spacing w:val="-16"/>
          <w:w w:val="105"/>
          <w:sz w:val="19"/>
        </w:rPr>
        <w:t xml:space="preserve"> </w:t>
      </w:r>
      <w:r>
        <w:rPr>
          <w:i/>
          <w:color w:val="231F20"/>
          <w:w w:val="105"/>
          <w:sz w:val="19"/>
        </w:rPr>
        <w:t>I</w:t>
      </w:r>
      <w:r>
        <w:rPr>
          <w:i/>
          <w:color w:val="231F20"/>
          <w:spacing w:val="-11"/>
          <w:w w:val="105"/>
          <w:sz w:val="19"/>
        </w:rPr>
        <w:t xml:space="preserve"> </w:t>
      </w:r>
      <w:r>
        <w:rPr>
          <w:i/>
          <w:color w:val="231F20"/>
          <w:w w:val="105"/>
          <w:sz w:val="19"/>
        </w:rPr>
        <w:t>am</w:t>
      </w:r>
      <w:r>
        <w:rPr>
          <w:i/>
          <w:color w:val="231F20"/>
          <w:spacing w:val="-11"/>
          <w:w w:val="105"/>
          <w:sz w:val="19"/>
        </w:rPr>
        <w:t xml:space="preserve"> </w:t>
      </w:r>
      <w:r>
        <w:rPr>
          <w:i/>
          <w:color w:val="231F20"/>
          <w:w w:val="105"/>
          <w:sz w:val="19"/>
        </w:rPr>
        <w:t>of</w:t>
      </w:r>
      <w:r>
        <w:rPr>
          <w:i/>
          <w:color w:val="231F20"/>
          <w:spacing w:val="-11"/>
          <w:w w:val="105"/>
          <w:sz w:val="19"/>
        </w:rPr>
        <w:t xml:space="preserve"> </w:t>
      </w:r>
      <w:r>
        <w:rPr>
          <w:i/>
          <w:color w:val="231F20"/>
          <w:w w:val="105"/>
          <w:sz w:val="19"/>
        </w:rPr>
        <w:t>the</w:t>
      </w:r>
      <w:r>
        <w:rPr>
          <w:i/>
          <w:color w:val="231F20"/>
          <w:spacing w:val="-11"/>
          <w:w w:val="105"/>
          <w:sz w:val="19"/>
        </w:rPr>
        <w:t xml:space="preserve"> </w:t>
      </w:r>
      <w:r>
        <w:rPr>
          <w:i/>
          <w:color w:val="231F20"/>
          <w:w w:val="105"/>
          <w:sz w:val="19"/>
        </w:rPr>
        <w:t>firm</w:t>
      </w:r>
      <w:r>
        <w:rPr>
          <w:i/>
          <w:color w:val="231F20"/>
          <w:spacing w:val="-11"/>
          <w:w w:val="105"/>
          <w:sz w:val="19"/>
        </w:rPr>
        <w:t xml:space="preserve"> </w:t>
      </w:r>
      <w:r>
        <w:rPr>
          <w:i/>
          <w:color w:val="231F20"/>
          <w:w w:val="105"/>
          <w:sz w:val="19"/>
        </w:rPr>
        <w:t>conviction that</w:t>
      </w:r>
      <w:r>
        <w:rPr>
          <w:i/>
          <w:color w:val="231F20"/>
          <w:spacing w:val="-15"/>
          <w:w w:val="105"/>
          <w:sz w:val="19"/>
        </w:rPr>
        <w:t xml:space="preserve"> </w:t>
      </w:r>
      <w:r>
        <w:rPr>
          <w:i/>
          <w:color w:val="231F20"/>
          <w:w w:val="105"/>
          <w:sz w:val="19"/>
        </w:rPr>
        <w:t>the</w:t>
      </w:r>
      <w:r>
        <w:rPr>
          <w:i/>
          <w:color w:val="231F20"/>
          <w:spacing w:val="-15"/>
          <w:w w:val="105"/>
          <w:sz w:val="19"/>
        </w:rPr>
        <w:t xml:space="preserve"> </w:t>
      </w:r>
      <w:r>
        <w:rPr>
          <w:i/>
          <w:color w:val="231F20"/>
          <w:w w:val="105"/>
          <w:sz w:val="19"/>
        </w:rPr>
        <w:t>prison</w:t>
      </w:r>
      <w:r>
        <w:rPr>
          <w:i/>
          <w:color w:val="231F20"/>
          <w:spacing w:val="-15"/>
          <w:w w:val="105"/>
          <w:sz w:val="19"/>
        </w:rPr>
        <w:t xml:space="preserve"> </w:t>
      </w:r>
      <w:r>
        <w:rPr>
          <w:i/>
          <w:color w:val="231F20"/>
          <w:w w:val="105"/>
          <w:sz w:val="19"/>
        </w:rPr>
        <w:t>gates</w:t>
      </w:r>
      <w:r>
        <w:rPr>
          <w:i/>
          <w:color w:val="231F20"/>
          <w:spacing w:val="-15"/>
          <w:w w:val="105"/>
          <w:sz w:val="19"/>
        </w:rPr>
        <w:t xml:space="preserve"> </w:t>
      </w:r>
      <w:r>
        <w:rPr>
          <w:i/>
          <w:color w:val="231F20"/>
          <w:w w:val="105"/>
          <w:sz w:val="19"/>
        </w:rPr>
        <w:t>will</w:t>
      </w:r>
      <w:r>
        <w:rPr>
          <w:i/>
          <w:color w:val="231F20"/>
          <w:spacing w:val="-15"/>
          <w:w w:val="105"/>
          <w:sz w:val="19"/>
        </w:rPr>
        <w:t xml:space="preserve"> </w:t>
      </w:r>
      <w:r>
        <w:rPr>
          <w:i/>
          <w:color w:val="231F20"/>
          <w:w w:val="105"/>
          <w:sz w:val="19"/>
        </w:rPr>
        <w:t>be</w:t>
      </w:r>
      <w:r>
        <w:rPr>
          <w:i/>
          <w:color w:val="231F20"/>
          <w:spacing w:val="-15"/>
          <w:w w:val="105"/>
          <w:sz w:val="19"/>
        </w:rPr>
        <w:t xml:space="preserve"> </w:t>
      </w:r>
      <w:r>
        <w:rPr>
          <w:i/>
          <w:color w:val="231F20"/>
          <w:w w:val="105"/>
          <w:sz w:val="19"/>
        </w:rPr>
        <w:t>thrown</w:t>
      </w:r>
      <w:r>
        <w:rPr>
          <w:i/>
          <w:color w:val="231F20"/>
          <w:spacing w:val="-15"/>
          <w:w w:val="105"/>
          <w:sz w:val="19"/>
        </w:rPr>
        <w:t xml:space="preserve"> </w:t>
      </w:r>
      <w:r>
        <w:rPr>
          <w:i/>
          <w:color w:val="231F20"/>
          <w:w w:val="105"/>
          <w:sz w:val="19"/>
        </w:rPr>
        <w:t>open</w:t>
      </w:r>
      <w:r>
        <w:rPr>
          <w:i/>
          <w:color w:val="231F20"/>
          <w:spacing w:val="-15"/>
          <w:w w:val="105"/>
          <w:sz w:val="19"/>
        </w:rPr>
        <w:t xml:space="preserve"> </w:t>
      </w:r>
      <w:r>
        <w:rPr>
          <w:i/>
          <w:color w:val="231F20"/>
          <w:w w:val="105"/>
          <w:sz w:val="19"/>
        </w:rPr>
        <w:t>for</w:t>
      </w:r>
      <w:r>
        <w:rPr>
          <w:i/>
          <w:color w:val="231F20"/>
          <w:spacing w:val="-15"/>
          <w:w w:val="105"/>
          <w:sz w:val="19"/>
        </w:rPr>
        <w:t xml:space="preserve"> </w:t>
      </w:r>
      <w:r>
        <w:rPr>
          <w:i/>
          <w:color w:val="231F20"/>
          <w:w w:val="105"/>
          <w:sz w:val="19"/>
        </w:rPr>
        <w:t>all</w:t>
      </w:r>
      <w:r>
        <w:rPr>
          <w:i/>
          <w:color w:val="231F20"/>
          <w:spacing w:val="-15"/>
          <w:w w:val="105"/>
          <w:sz w:val="19"/>
        </w:rPr>
        <w:t xml:space="preserve"> </w:t>
      </w:r>
      <w:r>
        <w:rPr>
          <w:i/>
          <w:color w:val="231F20"/>
          <w:w w:val="105"/>
          <w:sz w:val="19"/>
        </w:rPr>
        <w:t>political</w:t>
      </w:r>
      <w:r>
        <w:rPr>
          <w:i/>
          <w:color w:val="231F20"/>
          <w:spacing w:val="-15"/>
          <w:w w:val="105"/>
          <w:sz w:val="19"/>
        </w:rPr>
        <w:t xml:space="preserve"> </w:t>
      </w:r>
      <w:r>
        <w:rPr>
          <w:i/>
          <w:color w:val="231F20"/>
          <w:w w:val="105"/>
          <w:sz w:val="19"/>
        </w:rPr>
        <w:t xml:space="preserve">prisoners through the struggle of the working class and that the terror verdicts passed against me will be wiped away—for that reason, I decline to have myself removed from the country in this </w:t>
      </w:r>
      <w:r>
        <w:rPr>
          <w:i/>
          <w:color w:val="231F20"/>
          <w:spacing w:val="-3"/>
          <w:w w:val="105"/>
          <w:sz w:val="19"/>
        </w:rPr>
        <w:t xml:space="preserve">way… </w:t>
      </w:r>
      <w:r>
        <w:rPr>
          <w:i/>
          <w:color w:val="231F20"/>
          <w:w w:val="105"/>
          <w:sz w:val="19"/>
        </w:rPr>
        <w:t>Onward with the</w:t>
      </w:r>
      <w:r>
        <w:rPr>
          <w:i/>
          <w:color w:val="231F20"/>
          <w:spacing w:val="25"/>
          <w:w w:val="105"/>
          <w:sz w:val="19"/>
        </w:rPr>
        <w:t xml:space="preserve"> </w:t>
      </w:r>
      <w:r>
        <w:rPr>
          <w:i/>
          <w:color w:val="231F20"/>
          <w:w w:val="105"/>
          <w:sz w:val="19"/>
        </w:rPr>
        <w:t>KPD.</w:t>
      </w:r>
      <w:r>
        <w:rPr>
          <w:i/>
          <w:color w:val="231F20"/>
          <w:w w:val="105"/>
          <w:position w:val="6"/>
          <w:sz w:val="11"/>
        </w:rPr>
        <w:t>2</w:t>
      </w:r>
    </w:p>
    <w:p w14:paraId="63A85571" w14:textId="77777777" w:rsidR="002653E8" w:rsidRDefault="002653E8">
      <w:pPr>
        <w:pStyle w:val="a3"/>
        <w:rPr>
          <w:i/>
        </w:rPr>
      </w:pPr>
    </w:p>
    <w:p w14:paraId="4BE2B368" w14:textId="77777777" w:rsidR="002653E8" w:rsidRDefault="00000000">
      <w:pPr>
        <w:pStyle w:val="a3"/>
        <w:spacing w:before="8"/>
        <w:rPr>
          <w:i/>
          <w:sz w:val="13"/>
        </w:rPr>
      </w:pPr>
      <w:r>
        <w:rPr>
          <w:noProof w:val="0"/>
        </w:rPr>
        <w:pict w14:anchorId="1C38921B">
          <v:line id="_x0000_s2343" style="position:absolute;z-index:7432;mso-wrap-distance-left:0;mso-wrap-distance-right:0;mso-position-horizontal-relative:page" from="57.4pt,10.25pt" to="129.4pt,10.25pt" strokecolor="#231f20" strokeweight=".5pt">
            <w10:wrap type="topAndBottom" anchorx="page"/>
          </v:line>
        </w:pict>
      </w:r>
    </w:p>
    <w:p w14:paraId="53097113" w14:textId="77777777" w:rsidR="002653E8" w:rsidRDefault="003115E3">
      <w:pPr>
        <w:pStyle w:val="a4"/>
        <w:numPr>
          <w:ilvl w:val="0"/>
          <w:numId w:val="100"/>
        </w:numPr>
        <w:tabs>
          <w:tab w:val="left" w:pos="1287"/>
        </w:tabs>
        <w:spacing w:before="53"/>
        <w:ind w:firstLine="0"/>
        <w:jc w:val="left"/>
        <w:rPr>
          <w:sz w:val="16"/>
        </w:rPr>
      </w:pPr>
      <w:bookmarkStart w:id="143" w:name="_Hlk123682844"/>
      <w:r>
        <w:rPr>
          <w:color w:val="231F20"/>
          <w:w w:val="105"/>
          <w:sz w:val="16"/>
        </w:rPr>
        <w:t>At</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time,</w:t>
      </w:r>
      <w:r>
        <w:rPr>
          <w:color w:val="231F20"/>
          <w:spacing w:val="7"/>
          <w:w w:val="105"/>
          <w:sz w:val="16"/>
        </w:rPr>
        <w:t xml:space="preserve"> </w:t>
      </w:r>
      <w:r>
        <w:rPr>
          <w:color w:val="231F20"/>
          <w:w w:val="105"/>
          <w:sz w:val="16"/>
        </w:rPr>
        <w:t>a</w:t>
      </w:r>
      <w:r>
        <w:rPr>
          <w:color w:val="231F20"/>
          <w:spacing w:val="7"/>
          <w:w w:val="105"/>
          <w:sz w:val="16"/>
        </w:rPr>
        <w:t xml:space="preserve"> </w:t>
      </w:r>
      <w:r>
        <w:rPr>
          <w:color w:val="231F20"/>
          <w:w w:val="105"/>
          <w:sz w:val="16"/>
        </w:rPr>
        <w:t>little</w:t>
      </w:r>
      <w:r>
        <w:rPr>
          <w:color w:val="231F20"/>
          <w:spacing w:val="7"/>
          <w:w w:val="105"/>
          <w:sz w:val="16"/>
        </w:rPr>
        <w:t xml:space="preserve"> </w:t>
      </w:r>
      <w:r>
        <w:rPr>
          <w:color w:val="231F20"/>
          <w:w w:val="105"/>
          <w:sz w:val="16"/>
        </w:rPr>
        <w:t>more</w:t>
      </w:r>
      <w:r>
        <w:rPr>
          <w:color w:val="231F20"/>
          <w:spacing w:val="7"/>
          <w:w w:val="105"/>
          <w:sz w:val="16"/>
        </w:rPr>
        <w:t xml:space="preserve"> </w:t>
      </w:r>
      <w:r>
        <w:rPr>
          <w:color w:val="231F20"/>
          <w:w w:val="105"/>
          <w:sz w:val="16"/>
        </w:rPr>
        <w:t>than</w:t>
      </w:r>
      <w:r>
        <w:rPr>
          <w:color w:val="231F20"/>
          <w:spacing w:val="7"/>
          <w:w w:val="105"/>
          <w:sz w:val="16"/>
        </w:rPr>
        <w:t xml:space="preserve"> </w:t>
      </w:r>
      <w:r>
        <w:rPr>
          <w:color w:val="231F20"/>
          <w:w w:val="105"/>
          <w:sz w:val="16"/>
        </w:rPr>
        <w:t>$8,000.</w:t>
      </w:r>
    </w:p>
    <w:p w14:paraId="2C43CD01" w14:textId="77777777" w:rsidR="002653E8" w:rsidRPr="00C507A5" w:rsidRDefault="003115E3">
      <w:pPr>
        <w:pStyle w:val="a4"/>
        <w:numPr>
          <w:ilvl w:val="0"/>
          <w:numId w:val="100"/>
        </w:numPr>
        <w:tabs>
          <w:tab w:val="left" w:pos="1287"/>
        </w:tabs>
        <w:spacing w:before="51" w:line="254" w:lineRule="auto"/>
        <w:ind w:right="1576" w:firstLine="0"/>
        <w:jc w:val="left"/>
        <w:rPr>
          <w:sz w:val="16"/>
          <w:lang w:val="de-DE"/>
        </w:rPr>
      </w:pPr>
      <w:r w:rsidRPr="00C507A5">
        <w:rPr>
          <w:color w:val="231F20"/>
          <w:spacing w:val="1"/>
          <w:w w:val="110"/>
          <w:sz w:val="16"/>
          <w:lang w:val="de-DE"/>
        </w:rPr>
        <w:t xml:space="preserve">Ralf </w:t>
      </w:r>
      <w:r w:rsidRPr="00C507A5">
        <w:rPr>
          <w:color w:val="231F20"/>
          <w:w w:val="110"/>
          <w:sz w:val="16"/>
          <w:lang w:val="de-DE"/>
        </w:rPr>
        <w:t xml:space="preserve">Reinders and Ronald Fritzch, </w:t>
      </w:r>
      <w:r w:rsidRPr="00C507A5">
        <w:rPr>
          <w:i/>
          <w:color w:val="231F20"/>
          <w:w w:val="110"/>
          <w:sz w:val="16"/>
          <w:lang w:val="de-DE"/>
        </w:rPr>
        <w:t xml:space="preserve">Die Bewegung </w:t>
      </w:r>
      <w:r w:rsidRPr="00C507A5">
        <w:rPr>
          <w:i/>
          <w:color w:val="231F20"/>
          <w:spacing w:val="3"/>
          <w:w w:val="110"/>
          <w:sz w:val="16"/>
          <w:lang w:val="de-DE"/>
        </w:rPr>
        <w:t xml:space="preserve">2. </w:t>
      </w:r>
      <w:r w:rsidRPr="00C507A5">
        <w:rPr>
          <w:i/>
          <w:color w:val="231F20"/>
          <w:w w:val="110"/>
          <w:sz w:val="16"/>
          <w:lang w:val="de-DE"/>
        </w:rPr>
        <w:t xml:space="preserve">Juni, </w:t>
      </w:r>
      <w:r w:rsidRPr="00C507A5">
        <w:rPr>
          <w:color w:val="231F20"/>
          <w:w w:val="110"/>
          <w:sz w:val="16"/>
          <w:lang w:val="de-DE"/>
        </w:rPr>
        <w:t xml:space="preserve">(Berlin, Amsetrdam: ID-Archiv, </w:t>
      </w:r>
      <w:r w:rsidRPr="00C507A5">
        <w:rPr>
          <w:color w:val="231F20"/>
          <w:spacing w:val="-4"/>
          <w:w w:val="110"/>
          <w:sz w:val="16"/>
          <w:lang w:val="de-DE"/>
        </w:rPr>
        <w:t>1995),</w:t>
      </w:r>
      <w:r w:rsidRPr="00C507A5">
        <w:rPr>
          <w:color w:val="231F20"/>
          <w:spacing w:val="11"/>
          <w:w w:val="110"/>
          <w:sz w:val="16"/>
          <w:lang w:val="de-DE"/>
        </w:rPr>
        <w:t xml:space="preserve"> </w:t>
      </w:r>
      <w:r w:rsidRPr="00C507A5">
        <w:rPr>
          <w:color w:val="231F20"/>
          <w:w w:val="110"/>
          <w:sz w:val="16"/>
          <w:lang w:val="de-DE"/>
        </w:rPr>
        <w:t>86.</w:t>
      </w:r>
    </w:p>
    <w:bookmarkEnd w:id="143"/>
    <w:p w14:paraId="401C76CE" w14:textId="77777777" w:rsidR="002653E8" w:rsidRPr="00C507A5" w:rsidRDefault="002653E8">
      <w:pPr>
        <w:spacing w:line="254" w:lineRule="auto"/>
        <w:rPr>
          <w:sz w:val="16"/>
          <w:lang w:val="de-DE"/>
        </w:rPr>
        <w:sectPr w:rsidR="002653E8" w:rsidRPr="00C507A5">
          <w:pgSz w:w="8640" w:h="12960"/>
          <w:pgMar w:top="1060" w:right="0" w:bottom="1040" w:left="0" w:header="0" w:footer="850" w:gutter="0"/>
          <w:cols w:space="720"/>
        </w:sectPr>
      </w:pPr>
    </w:p>
    <w:p w14:paraId="1F0695B4" w14:textId="77777777" w:rsidR="002653E8" w:rsidRDefault="003115E3">
      <w:pPr>
        <w:spacing w:before="74" w:line="244" w:lineRule="auto"/>
        <w:ind w:left="4785" w:right="1580"/>
        <w:rPr>
          <w:i/>
          <w:sz w:val="18"/>
        </w:rPr>
      </w:pPr>
      <w:r>
        <w:lastRenderedPageBreak/>
        <w:drawing>
          <wp:anchor distT="0" distB="0" distL="0" distR="0" simplePos="0" relativeHeight="7480" behindDoc="0" locked="0" layoutInCell="1" allowOverlap="1" wp14:anchorId="4149CA7C" wp14:editId="46E9C51F">
            <wp:simplePos x="0" y="0"/>
            <wp:positionH relativeFrom="page">
              <wp:posOffset>843254</wp:posOffset>
            </wp:positionH>
            <wp:positionV relativeFrom="paragraph">
              <wp:posOffset>68273</wp:posOffset>
            </wp:positionV>
            <wp:extent cx="2098040" cy="2533446"/>
            <wp:effectExtent l="0" t="0" r="0" b="0"/>
            <wp:wrapNone/>
            <wp:docPr id="4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png"/>
                    <pic:cNvPicPr/>
                  </pic:nvPicPr>
                  <pic:blipFill>
                    <a:blip r:embed="rId279" cstate="print"/>
                    <a:stretch>
                      <a:fillRect/>
                    </a:stretch>
                  </pic:blipFill>
                  <pic:spPr>
                    <a:xfrm>
                      <a:off x="0" y="0"/>
                      <a:ext cx="2098040" cy="2533446"/>
                    </a:xfrm>
                    <a:prstGeom prst="rect">
                      <a:avLst/>
                    </a:prstGeom>
                  </pic:spPr>
                </pic:pic>
              </a:graphicData>
            </a:graphic>
          </wp:anchor>
        </w:drawing>
      </w:r>
      <w:r>
        <w:rPr>
          <w:i/>
          <w:color w:val="231F20"/>
          <w:w w:val="105"/>
          <w:sz w:val="18"/>
        </w:rPr>
        <w:t>“Peter Lorenz—Prisoner of the 2nd of June Movement”: of his ordeal he would later recall, “I could always wash,</w:t>
      </w:r>
    </w:p>
    <w:p w14:paraId="5AA9DE33" w14:textId="77777777" w:rsidR="002653E8" w:rsidRDefault="003115E3">
      <w:pPr>
        <w:spacing w:before="3" w:line="244" w:lineRule="auto"/>
        <w:ind w:left="4785" w:right="1379"/>
        <w:rPr>
          <w:i/>
          <w:sz w:val="18"/>
        </w:rPr>
      </w:pPr>
      <w:r>
        <w:rPr>
          <w:i/>
          <w:color w:val="231F20"/>
          <w:w w:val="105"/>
          <w:sz w:val="18"/>
        </w:rPr>
        <w:t>was well fed, they didn’t harass me. I was afraid primarily of what the police  might  do… The food was simple food</w:t>
      </w:r>
    </w:p>
    <w:p w14:paraId="41BE3321" w14:textId="77777777" w:rsidR="002653E8" w:rsidRDefault="003115E3">
      <w:pPr>
        <w:spacing w:before="3" w:line="244" w:lineRule="auto"/>
        <w:ind w:left="4785" w:right="1648"/>
        <w:rPr>
          <w:i/>
          <w:sz w:val="18"/>
        </w:rPr>
      </w:pPr>
      <w:r>
        <w:rPr>
          <w:i/>
          <w:color w:val="231F20"/>
          <w:w w:val="105"/>
          <w:sz w:val="18"/>
        </w:rPr>
        <w:t>like everyone eats. They were intelligent people, and I was well treated.” According to 2JM’s Ronald Fritzsch and Ralf Reinders,</w:t>
      </w:r>
    </w:p>
    <w:p w14:paraId="38BC4258" w14:textId="77777777" w:rsidR="002653E8" w:rsidRDefault="003115E3">
      <w:pPr>
        <w:spacing w:before="3" w:line="244" w:lineRule="auto"/>
        <w:ind w:left="4785" w:right="1381"/>
        <w:rPr>
          <w:i/>
          <w:sz w:val="18"/>
        </w:rPr>
      </w:pPr>
      <w:r>
        <w:rPr>
          <w:i/>
          <w:color w:val="231F20"/>
          <w:w w:val="105"/>
          <w:sz w:val="18"/>
        </w:rPr>
        <w:t>upon his release Lorenz shook hands with his captors and expressed the hope that they would meet again under better circumstances, perhaps at one of his garden parties.</w:t>
      </w:r>
    </w:p>
    <w:p w14:paraId="2949FD24" w14:textId="77777777" w:rsidR="002653E8" w:rsidRDefault="002653E8">
      <w:pPr>
        <w:pStyle w:val="a3"/>
        <w:spacing w:before="9"/>
        <w:rPr>
          <w:i/>
          <w:sz w:val="18"/>
        </w:rPr>
      </w:pPr>
    </w:p>
    <w:p w14:paraId="16811962" w14:textId="77777777" w:rsidR="002653E8" w:rsidRDefault="003115E3">
      <w:pPr>
        <w:pStyle w:val="a3"/>
        <w:spacing w:line="264" w:lineRule="auto"/>
        <w:ind w:left="1327" w:right="1145"/>
        <w:jc w:val="both"/>
      </w:pPr>
      <w:r>
        <w:rPr>
          <w:color w:val="231F20"/>
          <w:spacing w:val="1"/>
        </w:rPr>
        <w:t xml:space="preserve">In </w:t>
      </w:r>
      <w:r>
        <w:rPr>
          <w:color w:val="231F20"/>
        </w:rPr>
        <w:t>a stunning victory for the guerillas, the state chose to acquiesce. There was just one sticking point: one radical regime after another refused to accept the prisoners.</w:t>
      </w:r>
      <w:r>
        <w:rPr>
          <w:color w:val="231F20"/>
          <w:position w:val="7"/>
          <w:sz w:val="11"/>
        </w:rPr>
        <w:t xml:space="preserve">3 </w:t>
      </w:r>
      <w:r>
        <w:rPr>
          <w:color w:val="231F20"/>
        </w:rPr>
        <w:t xml:space="preserve">Finally, it was decided that the FRG itself would </w:t>
      </w:r>
      <w:r>
        <w:rPr>
          <w:color w:val="231F20"/>
          <w:spacing w:val="1"/>
        </w:rPr>
        <w:t xml:space="preserve">try </w:t>
      </w:r>
      <w:r>
        <w:rPr>
          <w:color w:val="231F20"/>
        </w:rPr>
        <w:t xml:space="preserve">and entice the </w:t>
      </w:r>
      <w:r>
        <w:rPr>
          <w:color w:val="231F20"/>
          <w:spacing w:val="-3"/>
        </w:rPr>
        <w:t xml:space="preserve">People’s </w:t>
      </w:r>
      <w:r>
        <w:rPr>
          <w:color w:val="231F20"/>
        </w:rPr>
        <w:t xml:space="preserve">Democratic Republic of  </w:t>
      </w:r>
      <w:r>
        <w:rPr>
          <w:color w:val="231F20"/>
          <w:spacing w:val="-3"/>
        </w:rPr>
        <w:t xml:space="preserve">yemen  </w:t>
      </w:r>
      <w:r>
        <w:rPr>
          <w:color w:val="231F20"/>
        </w:rPr>
        <w:t>to offer them</w:t>
      </w:r>
      <w:r>
        <w:rPr>
          <w:color w:val="231F20"/>
          <w:spacing w:val="21"/>
        </w:rPr>
        <w:t xml:space="preserve"> </w:t>
      </w:r>
      <w:r>
        <w:rPr>
          <w:color w:val="231F20"/>
        </w:rPr>
        <w:t>sanctuary.</w:t>
      </w:r>
    </w:p>
    <w:p w14:paraId="71B78D21" w14:textId="77777777" w:rsidR="002653E8" w:rsidRDefault="003115E3">
      <w:pPr>
        <w:pStyle w:val="a3"/>
        <w:spacing w:line="264" w:lineRule="auto"/>
        <w:ind w:left="1327" w:right="1145" w:firstLine="210"/>
        <w:jc w:val="both"/>
      </w:pPr>
      <w:r>
        <w:rPr>
          <w:color w:val="231F20"/>
        </w:rPr>
        <w:t xml:space="preserve">The only self-described Marxist-Leninist country in the Arab world   at the time, the </w:t>
      </w:r>
      <w:r>
        <w:rPr>
          <w:color w:val="231F20"/>
          <w:spacing w:val="-4"/>
        </w:rPr>
        <w:t xml:space="preserve">PDRy </w:t>
      </w:r>
      <w:r>
        <w:rPr>
          <w:color w:val="231F20"/>
          <w:spacing w:val="-3"/>
        </w:rPr>
        <w:t xml:space="preserve">(or </w:t>
      </w:r>
      <w:r>
        <w:rPr>
          <w:color w:val="231F20"/>
        </w:rPr>
        <w:t xml:space="preserve">South </w:t>
      </w:r>
      <w:r>
        <w:rPr>
          <w:color w:val="231F20"/>
          <w:spacing w:val="-4"/>
        </w:rPr>
        <w:t xml:space="preserve">yemen) </w:t>
      </w:r>
      <w:r>
        <w:rPr>
          <w:color w:val="231F20"/>
        </w:rPr>
        <w:t>was a staunch opponent of western imperialism, and had earned the admiration of many progressive people for its far-reaching social and economic reforms.</w:t>
      </w:r>
      <w:r>
        <w:rPr>
          <w:color w:val="231F20"/>
          <w:position w:val="7"/>
          <w:sz w:val="11"/>
        </w:rPr>
        <w:t xml:space="preserve">4 </w:t>
      </w:r>
      <w:r>
        <w:rPr>
          <w:color w:val="231F20"/>
        </w:rPr>
        <w:t xml:space="preserve">(Saudi Arabia’s King Faisal, on the other hand, described it as a “satanic citadel of </w:t>
      </w:r>
      <w:r>
        <w:rPr>
          <w:color w:val="231F20"/>
          <w:spacing w:val="-3"/>
        </w:rPr>
        <w:t>subversion,”</w:t>
      </w:r>
      <w:r>
        <w:rPr>
          <w:color w:val="231F20"/>
          <w:spacing w:val="-3"/>
          <w:position w:val="7"/>
          <w:sz w:val="11"/>
        </w:rPr>
        <w:t xml:space="preserve">5 </w:t>
      </w:r>
      <w:r>
        <w:rPr>
          <w:color w:val="231F20"/>
        </w:rPr>
        <w:t xml:space="preserve">while to the Associated Press it was </w:t>
      </w:r>
      <w:r>
        <w:rPr>
          <w:color w:val="231F20"/>
          <w:spacing w:val="-4"/>
        </w:rPr>
        <w:t xml:space="preserve">“a </w:t>
      </w:r>
      <w:r>
        <w:rPr>
          <w:color w:val="231F20"/>
        </w:rPr>
        <w:t>radical Arab backwater regarded as the Cuba of the Red Sea.”)</w:t>
      </w:r>
      <w:r>
        <w:rPr>
          <w:color w:val="231F20"/>
          <w:position w:val="7"/>
          <w:sz w:val="11"/>
        </w:rPr>
        <w:t xml:space="preserve">6 </w:t>
      </w:r>
      <w:r>
        <w:rPr>
          <w:color w:val="231F20"/>
        </w:rPr>
        <w:t xml:space="preserve">Nevertheless, in the real political world, the Cold </w:t>
      </w:r>
      <w:r>
        <w:rPr>
          <w:color w:val="231F20"/>
          <w:spacing w:val="-3"/>
        </w:rPr>
        <w:t xml:space="preserve">War </w:t>
      </w:r>
      <w:r>
        <w:rPr>
          <w:color w:val="231F20"/>
        </w:rPr>
        <w:t>notwithstanding, even anti-American states would rather not be associated with guerilla actions in the First World—there</w:t>
      </w:r>
      <w:r>
        <w:rPr>
          <w:color w:val="231F20"/>
          <w:spacing w:val="10"/>
        </w:rPr>
        <w:t xml:space="preserve"> </w:t>
      </w:r>
      <w:r>
        <w:rPr>
          <w:color w:val="231F20"/>
        </w:rPr>
        <w:t>was</w:t>
      </w:r>
      <w:r>
        <w:rPr>
          <w:color w:val="231F20"/>
          <w:spacing w:val="10"/>
        </w:rPr>
        <w:t xml:space="preserve"> </w:t>
      </w:r>
      <w:r>
        <w:rPr>
          <w:color w:val="231F20"/>
        </w:rPr>
        <w:t>simply</w:t>
      </w:r>
      <w:r>
        <w:rPr>
          <w:color w:val="231F20"/>
          <w:spacing w:val="10"/>
        </w:rPr>
        <w:t xml:space="preserve"> </w:t>
      </w:r>
      <w:r>
        <w:rPr>
          <w:color w:val="231F20"/>
        </w:rPr>
        <w:t>too</w:t>
      </w:r>
      <w:r>
        <w:rPr>
          <w:color w:val="231F20"/>
          <w:spacing w:val="10"/>
        </w:rPr>
        <w:t xml:space="preserve"> </w:t>
      </w:r>
      <w:r>
        <w:rPr>
          <w:color w:val="231F20"/>
        </w:rPr>
        <w:t>much</w:t>
      </w:r>
      <w:r>
        <w:rPr>
          <w:color w:val="231F20"/>
          <w:spacing w:val="10"/>
        </w:rPr>
        <w:t xml:space="preserve"> </w:t>
      </w:r>
      <w:r>
        <w:rPr>
          <w:color w:val="231F20"/>
        </w:rPr>
        <w:t>to</w:t>
      </w:r>
      <w:r>
        <w:rPr>
          <w:color w:val="231F20"/>
          <w:spacing w:val="10"/>
        </w:rPr>
        <w:t xml:space="preserve"> </w:t>
      </w:r>
      <w:r>
        <w:rPr>
          <w:color w:val="231F20"/>
        </w:rPr>
        <w:t>lose</w:t>
      </w:r>
      <w:r>
        <w:rPr>
          <w:color w:val="231F20"/>
          <w:spacing w:val="10"/>
        </w:rPr>
        <w:t xml:space="preserve"> </w:t>
      </w:r>
      <w:r>
        <w:rPr>
          <w:color w:val="231F20"/>
        </w:rPr>
        <w:t>and</w:t>
      </w:r>
      <w:r>
        <w:rPr>
          <w:color w:val="231F20"/>
          <w:spacing w:val="10"/>
        </w:rPr>
        <w:t xml:space="preserve"> </w:t>
      </w:r>
      <w:r>
        <w:rPr>
          <w:color w:val="231F20"/>
        </w:rPr>
        <w:t>too</w:t>
      </w:r>
      <w:r>
        <w:rPr>
          <w:color w:val="231F20"/>
          <w:spacing w:val="10"/>
        </w:rPr>
        <w:t xml:space="preserve"> </w:t>
      </w:r>
      <w:r>
        <w:rPr>
          <w:color w:val="231F20"/>
        </w:rPr>
        <w:t>little</w:t>
      </w:r>
      <w:r>
        <w:rPr>
          <w:color w:val="231F20"/>
          <w:spacing w:val="10"/>
        </w:rPr>
        <w:t xml:space="preserve"> </w:t>
      </w:r>
      <w:r>
        <w:rPr>
          <w:color w:val="231F20"/>
        </w:rPr>
        <w:t>to</w:t>
      </w:r>
      <w:r>
        <w:rPr>
          <w:color w:val="231F20"/>
          <w:spacing w:val="10"/>
        </w:rPr>
        <w:t xml:space="preserve"> </w:t>
      </w:r>
      <w:r>
        <w:rPr>
          <w:color w:val="231F20"/>
        </w:rPr>
        <w:t>gain.</w:t>
      </w:r>
    </w:p>
    <w:p w14:paraId="29AE2499" w14:textId="77777777" w:rsidR="002653E8" w:rsidRDefault="00000000">
      <w:pPr>
        <w:pStyle w:val="a3"/>
        <w:spacing w:before="5"/>
        <w:rPr>
          <w:sz w:val="16"/>
        </w:rPr>
      </w:pPr>
      <w:r>
        <w:rPr>
          <w:noProof w:val="0"/>
        </w:rPr>
        <w:pict w14:anchorId="113C1A72">
          <v:line id="_x0000_s2342" style="position:absolute;z-index:7456;mso-wrap-distance-left:0;mso-wrap-distance-right:0;mso-position-horizontal-relative:page" from="66.4pt,11.85pt" to="138.4pt,11.85pt" strokecolor="#231f20" strokeweight=".5pt">
            <w10:wrap type="topAndBottom" anchorx="page"/>
          </v:line>
        </w:pict>
      </w:r>
    </w:p>
    <w:p w14:paraId="18BED3EE" w14:textId="77777777" w:rsidR="002653E8" w:rsidRDefault="003115E3">
      <w:pPr>
        <w:pStyle w:val="a4"/>
        <w:numPr>
          <w:ilvl w:val="0"/>
          <w:numId w:val="100"/>
        </w:numPr>
        <w:tabs>
          <w:tab w:val="left" w:pos="1467"/>
        </w:tabs>
        <w:spacing w:before="53"/>
        <w:ind w:left="1466"/>
        <w:jc w:val="left"/>
        <w:rPr>
          <w:sz w:val="16"/>
        </w:rPr>
      </w:pPr>
      <w:bookmarkStart w:id="144" w:name="_Hlk123683400"/>
      <w:r>
        <w:rPr>
          <w:color w:val="231F20"/>
          <w:w w:val="105"/>
          <w:sz w:val="16"/>
        </w:rPr>
        <w:t>The</w:t>
      </w:r>
      <w:r>
        <w:rPr>
          <w:color w:val="231F20"/>
          <w:spacing w:val="10"/>
          <w:w w:val="105"/>
          <w:sz w:val="16"/>
        </w:rPr>
        <w:t xml:space="preserve"> </w:t>
      </w:r>
      <w:r>
        <w:rPr>
          <w:color w:val="231F20"/>
          <w:w w:val="105"/>
          <w:sz w:val="16"/>
        </w:rPr>
        <w:t>FRG</w:t>
      </w:r>
      <w:r>
        <w:rPr>
          <w:color w:val="231F20"/>
          <w:spacing w:val="10"/>
          <w:w w:val="105"/>
          <w:sz w:val="16"/>
        </w:rPr>
        <w:t xml:space="preserve"> </w:t>
      </w:r>
      <w:r>
        <w:rPr>
          <w:color w:val="231F20"/>
          <w:w w:val="105"/>
          <w:sz w:val="16"/>
        </w:rPr>
        <w:t>approached</w:t>
      </w:r>
      <w:r>
        <w:rPr>
          <w:color w:val="231F20"/>
          <w:spacing w:val="10"/>
          <w:w w:val="105"/>
          <w:sz w:val="16"/>
        </w:rPr>
        <w:t xml:space="preserve"> </w:t>
      </w:r>
      <w:r>
        <w:rPr>
          <w:color w:val="231F20"/>
          <w:w w:val="105"/>
          <w:sz w:val="16"/>
        </w:rPr>
        <w:t>Libya,</w:t>
      </w:r>
      <w:r>
        <w:rPr>
          <w:color w:val="231F20"/>
          <w:spacing w:val="10"/>
          <w:w w:val="105"/>
          <w:sz w:val="16"/>
        </w:rPr>
        <w:t xml:space="preserve"> </w:t>
      </w:r>
      <w:r>
        <w:rPr>
          <w:color w:val="231F20"/>
          <w:w w:val="105"/>
          <w:sz w:val="16"/>
        </w:rPr>
        <w:t>Syria,</w:t>
      </w:r>
      <w:r>
        <w:rPr>
          <w:color w:val="231F20"/>
          <w:spacing w:val="10"/>
          <w:w w:val="105"/>
          <w:sz w:val="16"/>
        </w:rPr>
        <w:t xml:space="preserve"> </w:t>
      </w:r>
      <w:r>
        <w:rPr>
          <w:color w:val="231F20"/>
          <w:w w:val="105"/>
          <w:sz w:val="16"/>
        </w:rPr>
        <w:t>and</w:t>
      </w:r>
      <w:r>
        <w:rPr>
          <w:color w:val="231F20"/>
          <w:spacing w:val="10"/>
          <w:w w:val="105"/>
          <w:sz w:val="16"/>
        </w:rPr>
        <w:t xml:space="preserve"> </w:t>
      </w:r>
      <w:r>
        <w:rPr>
          <w:color w:val="231F20"/>
          <w:w w:val="105"/>
          <w:sz w:val="16"/>
        </w:rPr>
        <w:t>Ethiopia;</w:t>
      </w:r>
      <w:r>
        <w:rPr>
          <w:color w:val="231F20"/>
          <w:spacing w:val="10"/>
          <w:w w:val="105"/>
          <w:sz w:val="16"/>
        </w:rPr>
        <w:t xml:space="preserve"> </w:t>
      </w:r>
      <w:r>
        <w:rPr>
          <w:color w:val="231F20"/>
          <w:w w:val="105"/>
          <w:sz w:val="16"/>
        </w:rPr>
        <w:t>all</w:t>
      </w:r>
      <w:r>
        <w:rPr>
          <w:color w:val="231F20"/>
          <w:spacing w:val="10"/>
          <w:w w:val="105"/>
          <w:sz w:val="16"/>
        </w:rPr>
        <w:t xml:space="preserve"> </w:t>
      </w:r>
      <w:r>
        <w:rPr>
          <w:color w:val="231F20"/>
          <w:w w:val="105"/>
          <w:sz w:val="16"/>
        </w:rPr>
        <w:t>refused</w:t>
      </w:r>
      <w:r>
        <w:rPr>
          <w:color w:val="231F20"/>
          <w:spacing w:val="10"/>
          <w:w w:val="105"/>
          <w:sz w:val="16"/>
        </w:rPr>
        <w:t xml:space="preserve"> </w:t>
      </w:r>
      <w:r>
        <w:rPr>
          <w:color w:val="231F20"/>
          <w:w w:val="105"/>
          <w:sz w:val="16"/>
        </w:rPr>
        <w:t>to</w:t>
      </w:r>
      <w:r>
        <w:rPr>
          <w:color w:val="231F20"/>
          <w:spacing w:val="10"/>
          <w:w w:val="105"/>
          <w:sz w:val="16"/>
        </w:rPr>
        <w:t xml:space="preserve"> </w:t>
      </w:r>
      <w:r>
        <w:rPr>
          <w:color w:val="231F20"/>
          <w:w w:val="105"/>
          <w:sz w:val="16"/>
        </w:rPr>
        <w:t>take</w:t>
      </w:r>
      <w:r>
        <w:rPr>
          <w:color w:val="231F20"/>
          <w:spacing w:val="10"/>
          <w:w w:val="105"/>
          <w:sz w:val="16"/>
        </w:rPr>
        <w:t xml:space="preserve"> </w:t>
      </w:r>
      <w:r>
        <w:rPr>
          <w:color w:val="231F20"/>
          <w:w w:val="105"/>
          <w:sz w:val="16"/>
        </w:rPr>
        <w:t>the</w:t>
      </w:r>
      <w:r>
        <w:rPr>
          <w:color w:val="231F20"/>
          <w:spacing w:val="10"/>
          <w:w w:val="105"/>
          <w:sz w:val="16"/>
        </w:rPr>
        <w:t xml:space="preserve"> </w:t>
      </w:r>
      <w:r>
        <w:rPr>
          <w:color w:val="231F20"/>
          <w:w w:val="105"/>
          <w:sz w:val="16"/>
        </w:rPr>
        <w:t>prisoners.</w:t>
      </w:r>
    </w:p>
    <w:p w14:paraId="6BD51CD6" w14:textId="77777777" w:rsidR="002653E8" w:rsidRDefault="003115E3">
      <w:pPr>
        <w:pStyle w:val="a4"/>
        <w:numPr>
          <w:ilvl w:val="0"/>
          <w:numId w:val="100"/>
        </w:numPr>
        <w:tabs>
          <w:tab w:val="left" w:pos="1467"/>
        </w:tabs>
        <w:spacing w:before="51" w:line="254" w:lineRule="auto"/>
        <w:ind w:left="1327" w:right="1145" w:firstLine="0"/>
        <w:jc w:val="left"/>
        <w:rPr>
          <w:sz w:val="16"/>
        </w:rPr>
      </w:pPr>
      <w:r>
        <w:rPr>
          <w:color w:val="231F20"/>
          <w:w w:val="110"/>
          <w:sz w:val="16"/>
        </w:rPr>
        <w:t>Joe</w:t>
      </w:r>
      <w:r>
        <w:rPr>
          <w:color w:val="231F20"/>
          <w:spacing w:val="-4"/>
          <w:w w:val="110"/>
          <w:sz w:val="16"/>
        </w:rPr>
        <w:t xml:space="preserve"> </w:t>
      </w:r>
      <w:r>
        <w:rPr>
          <w:color w:val="231F20"/>
          <w:w w:val="110"/>
          <w:sz w:val="16"/>
        </w:rPr>
        <w:t>Stork,</w:t>
      </w:r>
      <w:r>
        <w:rPr>
          <w:color w:val="231F20"/>
          <w:spacing w:val="-4"/>
          <w:w w:val="110"/>
          <w:sz w:val="16"/>
        </w:rPr>
        <w:t xml:space="preserve"> </w:t>
      </w:r>
      <w:r>
        <w:rPr>
          <w:color w:val="231F20"/>
          <w:w w:val="110"/>
          <w:sz w:val="16"/>
        </w:rPr>
        <w:t>“Socialist</w:t>
      </w:r>
      <w:r>
        <w:rPr>
          <w:color w:val="231F20"/>
          <w:spacing w:val="-4"/>
          <w:w w:val="110"/>
          <w:sz w:val="16"/>
        </w:rPr>
        <w:t xml:space="preserve"> </w:t>
      </w:r>
      <w:r>
        <w:rPr>
          <w:color w:val="231F20"/>
          <w:w w:val="110"/>
          <w:sz w:val="16"/>
        </w:rPr>
        <w:t>Revolution</w:t>
      </w:r>
      <w:r>
        <w:rPr>
          <w:color w:val="231F20"/>
          <w:spacing w:val="-4"/>
          <w:w w:val="110"/>
          <w:sz w:val="16"/>
        </w:rPr>
        <w:t xml:space="preserve"> </w:t>
      </w:r>
      <w:r>
        <w:rPr>
          <w:color w:val="231F20"/>
          <w:w w:val="110"/>
          <w:sz w:val="16"/>
        </w:rPr>
        <w:t>in</w:t>
      </w:r>
      <w:r>
        <w:rPr>
          <w:color w:val="231F20"/>
          <w:spacing w:val="-4"/>
          <w:w w:val="110"/>
          <w:sz w:val="16"/>
        </w:rPr>
        <w:t xml:space="preserve"> </w:t>
      </w:r>
      <w:r>
        <w:rPr>
          <w:color w:val="231F20"/>
          <w:w w:val="110"/>
          <w:sz w:val="16"/>
        </w:rPr>
        <w:t>Arabia:</w:t>
      </w:r>
      <w:r>
        <w:rPr>
          <w:color w:val="231F20"/>
          <w:spacing w:val="-4"/>
          <w:w w:val="110"/>
          <w:sz w:val="16"/>
        </w:rPr>
        <w:t xml:space="preserve"> </w:t>
      </w:r>
      <w:r>
        <w:rPr>
          <w:color w:val="231F20"/>
          <w:w w:val="110"/>
          <w:sz w:val="16"/>
        </w:rPr>
        <w:t>A</w:t>
      </w:r>
      <w:r>
        <w:rPr>
          <w:color w:val="231F20"/>
          <w:spacing w:val="-4"/>
          <w:w w:val="110"/>
          <w:sz w:val="16"/>
        </w:rPr>
        <w:t xml:space="preserve"> </w:t>
      </w:r>
      <w:r>
        <w:rPr>
          <w:color w:val="231F20"/>
          <w:w w:val="110"/>
          <w:sz w:val="16"/>
        </w:rPr>
        <w:t>Report</w:t>
      </w:r>
      <w:r>
        <w:rPr>
          <w:color w:val="231F20"/>
          <w:spacing w:val="-4"/>
          <w:w w:val="110"/>
          <w:sz w:val="16"/>
        </w:rPr>
        <w:t xml:space="preserve"> </w:t>
      </w:r>
      <w:r>
        <w:rPr>
          <w:color w:val="231F20"/>
          <w:w w:val="110"/>
          <w:sz w:val="16"/>
        </w:rPr>
        <w:t>from</w:t>
      </w:r>
      <w:r>
        <w:rPr>
          <w:color w:val="231F20"/>
          <w:spacing w:val="-4"/>
          <w:w w:val="110"/>
          <w:sz w:val="16"/>
        </w:rPr>
        <w:t xml:space="preserve"> </w:t>
      </w:r>
      <w:r>
        <w:rPr>
          <w:color w:val="231F20"/>
          <w:w w:val="110"/>
          <w:sz w:val="16"/>
        </w:rPr>
        <w:t>the</w:t>
      </w:r>
      <w:r>
        <w:rPr>
          <w:color w:val="231F20"/>
          <w:spacing w:val="-4"/>
          <w:w w:val="110"/>
          <w:sz w:val="16"/>
        </w:rPr>
        <w:t xml:space="preserve"> </w:t>
      </w:r>
      <w:r>
        <w:rPr>
          <w:color w:val="231F20"/>
          <w:w w:val="110"/>
          <w:sz w:val="16"/>
        </w:rPr>
        <w:t>People’s</w:t>
      </w:r>
      <w:r>
        <w:rPr>
          <w:color w:val="231F20"/>
          <w:spacing w:val="-4"/>
          <w:w w:val="110"/>
          <w:sz w:val="16"/>
        </w:rPr>
        <w:t xml:space="preserve"> </w:t>
      </w:r>
      <w:r>
        <w:rPr>
          <w:color w:val="231F20"/>
          <w:w w:val="110"/>
          <w:sz w:val="16"/>
        </w:rPr>
        <w:t xml:space="preserve">Democratic Republic of </w:t>
      </w:r>
      <w:r>
        <w:rPr>
          <w:color w:val="231F20"/>
          <w:spacing w:val="-3"/>
          <w:w w:val="110"/>
          <w:sz w:val="16"/>
        </w:rPr>
        <w:t xml:space="preserve">yemen,” </w:t>
      </w:r>
      <w:r>
        <w:rPr>
          <w:i/>
          <w:color w:val="231F20"/>
          <w:spacing w:val="5"/>
          <w:w w:val="110"/>
          <w:sz w:val="16"/>
        </w:rPr>
        <w:t xml:space="preserve">MERIP </w:t>
      </w:r>
      <w:r>
        <w:rPr>
          <w:i/>
          <w:color w:val="231F20"/>
          <w:spacing w:val="1"/>
          <w:w w:val="110"/>
          <w:sz w:val="16"/>
        </w:rPr>
        <w:t xml:space="preserve">Reports </w:t>
      </w:r>
      <w:r>
        <w:rPr>
          <w:color w:val="231F20"/>
          <w:spacing w:val="-6"/>
          <w:w w:val="110"/>
          <w:sz w:val="16"/>
        </w:rPr>
        <w:t xml:space="preserve">15 </w:t>
      </w:r>
      <w:r>
        <w:rPr>
          <w:color w:val="231F20"/>
          <w:w w:val="110"/>
          <w:sz w:val="16"/>
        </w:rPr>
        <w:t xml:space="preserve">(March, </w:t>
      </w:r>
      <w:r>
        <w:rPr>
          <w:color w:val="231F20"/>
          <w:spacing w:val="-4"/>
          <w:w w:val="110"/>
          <w:sz w:val="16"/>
        </w:rPr>
        <w:t xml:space="preserve">1973): </w:t>
      </w:r>
      <w:r>
        <w:rPr>
          <w:color w:val="231F20"/>
          <w:spacing w:val="-5"/>
          <w:w w:val="110"/>
          <w:sz w:val="16"/>
        </w:rPr>
        <w:t xml:space="preserve">1-25. </w:t>
      </w:r>
      <w:r>
        <w:rPr>
          <w:color w:val="231F20"/>
          <w:spacing w:val="1"/>
          <w:w w:val="110"/>
          <w:sz w:val="16"/>
        </w:rPr>
        <w:t xml:space="preserve">See </w:t>
      </w:r>
      <w:r>
        <w:rPr>
          <w:color w:val="231F20"/>
          <w:w w:val="110"/>
          <w:sz w:val="16"/>
        </w:rPr>
        <w:t xml:space="preserve">also </w:t>
      </w:r>
      <w:r>
        <w:rPr>
          <w:color w:val="231F20"/>
          <w:spacing w:val="1"/>
          <w:w w:val="110"/>
          <w:sz w:val="16"/>
        </w:rPr>
        <w:t xml:space="preserve">Maxine </w:t>
      </w:r>
      <w:r>
        <w:rPr>
          <w:color w:val="231F20"/>
          <w:w w:val="110"/>
          <w:sz w:val="16"/>
        </w:rPr>
        <w:t xml:space="preserve">Molyneux, Aida yafai, Aisha Mohsen, and Noor Ba’abad, “Women and Revolution in the People’s Democratic Republic of </w:t>
      </w:r>
      <w:r>
        <w:rPr>
          <w:color w:val="231F20"/>
          <w:spacing w:val="-3"/>
          <w:w w:val="110"/>
          <w:sz w:val="16"/>
        </w:rPr>
        <w:t xml:space="preserve">yemen,” </w:t>
      </w:r>
      <w:r>
        <w:rPr>
          <w:i/>
          <w:color w:val="231F20"/>
          <w:spacing w:val="1"/>
          <w:w w:val="110"/>
          <w:sz w:val="16"/>
        </w:rPr>
        <w:t xml:space="preserve">Feminist </w:t>
      </w:r>
      <w:r>
        <w:rPr>
          <w:i/>
          <w:color w:val="231F20"/>
          <w:spacing w:val="2"/>
          <w:w w:val="110"/>
          <w:sz w:val="16"/>
        </w:rPr>
        <w:t xml:space="preserve">Review </w:t>
      </w:r>
      <w:r>
        <w:rPr>
          <w:color w:val="231F20"/>
          <w:w w:val="110"/>
          <w:sz w:val="16"/>
        </w:rPr>
        <w:t xml:space="preserve">1 </w:t>
      </w:r>
      <w:r>
        <w:rPr>
          <w:color w:val="231F20"/>
          <w:spacing w:val="-4"/>
          <w:w w:val="110"/>
          <w:sz w:val="16"/>
        </w:rPr>
        <w:t>(1979):</w:t>
      </w:r>
      <w:r>
        <w:rPr>
          <w:color w:val="231F20"/>
          <w:spacing w:val="-10"/>
          <w:w w:val="110"/>
          <w:sz w:val="16"/>
        </w:rPr>
        <w:t xml:space="preserve"> </w:t>
      </w:r>
      <w:r>
        <w:rPr>
          <w:color w:val="231F20"/>
          <w:w w:val="110"/>
          <w:sz w:val="16"/>
        </w:rPr>
        <w:t>4-20.</w:t>
      </w:r>
    </w:p>
    <w:p w14:paraId="69C0339A" w14:textId="77777777" w:rsidR="002653E8" w:rsidRDefault="003115E3">
      <w:pPr>
        <w:pStyle w:val="a4"/>
        <w:numPr>
          <w:ilvl w:val="0"/>
          <w:numId w:val="100"/>
        </w:numPr>
        <w:tabs>
          <w:tab w:val="left" w:pos="1467"/>
        </w:tabs>
        <w:spacing w:before="42"/>
        <w:ind w:left="1466"/>
        <w:jc w:val="left"/>
        <w:rPr>
          <w:sz w:val="16"/>
        </w:rPr>
      </w:pPr>
      <w:r>
        <w:rPr>
          <w:color w:val="231F20"/>
          <w:w w:val="115"/>
          <w:sz w:val="16"/>
        </w:rPr>
        <w:t>Stork,</w:t>
      </w:r>
      <w:r>
        <w:rPr>
          <w:color w:val="231F20"/>
          <w:spacing w:val="3"/>
          <w:w w:val="115"/>
          <w:sz w:val="16"/>
        </w:rPr>
        <w:t xml:space="preserve"> </w:t>
      </w:r>
      <w:r>
        <w:rPr>
          <w:color w:val="231F20"/>
          <w:w w:val="115"/>
          <w:sz w:val="16"/>
        </w:rPr>
        <w:t>23.</w:t>
      </w:r>
    </w:p>
    <w:p w14:paraId="0D889083" w14:textId="77777777" w:rsidR="002653E8" w:rsidRDefault="003115E3">
      <w:pPr>
        <w:pStyle w:val="a4"/>
        <w:numPr>
          <w:ilvl w:val="0"/>
          <w:numId w:val="100"/>
        </w:numPr>
        <w:tabs>
          <w:tab w:val="left" w:pos="1467"/>
        </w:tabs>
        <w:spacing w:before="52"/>
        <w:ind w:left="1466"/>
        <w:jc w:val="left"/>
        <w:rPr>
          <w:sz w:val="16"/>
        </w:rPr>
      </w:pPr>
      <w:r>
        <w:rPr>
          <w:color w:val="231F20"/>
          <w:w w:val="105"/>
          <w:sz w:val="16"/>
        </w:rPr>
        <w:t>Associated</w:t>
      </w:r>
      <w:r>
        <w:rPr>
          <w:color w:val="231F20"/>
          <w:spacing w:val="10"/>
          <w:w w:val="105"/>
          <w:sz w:val="16"/>
        </w:rPr>
        <w:t xml:space="preserve"> </w:t>
      </w:r>
      <w:r>
        <w:rPr>
          <w:color w:val="231F20"/>
          <w:w w:val="105"/>
          <w:sz w:val="16"/>
        </w:rPr>
        <w:t>Press,</w:t>
      </w:r>
      <w:r>
        <w:rPr>
          <w:color w:val="231F20"/>
          <w:spacing w:val="10"/>
          <w:w w:val="105"/>
          <w:sz w:val="16"/>
        </w:rPr>
        <w:t xml:space="preserve"> </w:t>
      </w:r>
      <w:r>
        <w:rPr>
          <w:color w:val="231F20"/>
          <w:w w:val="105"/>
          <w:sz w:val="16"/>
        </w:rPr>
        <w:t>“Kidnaped</w:t>
      </w:r>
      <w:r>
        <w:rPr>
          <w:color w:val="231F20"/>
          <w:spacing w:val="10"/>
          <w:w w:val="105"/>
          <w:sz w:val="16"/>
        </w:rPr>
        <w:t xml:space="preserve"> </w:t>
      </w:r>
      <w:r>
        <w:rPr>
          <w:color w:val="231F20"/>
          <w:w w:val="105"/>
          <w:sz w:val="16"/>
        </w:rPr>
        <w:t>Berlin</w:t>
      </w:r>
      <w:r>
        <w:rPr>
          <w:color w:val="231F20"/>
          <w:spacing w:val="10"/>
          <w:w w:val="105"/>
          <w:sz w:val="16"/>
        </w:rPr>
        <w:t xml:space="preserve"> </w:t>
      </w:r>
      <w:r>
        <w:rPr>
          <w:color w:val="231F20"/>
          <w:w w:val="105"/>
          <w:sz w:val="16"/>
        </w:rPr>
        <w:t>Political</w:t>
      </w:r>
      <w:r>
        <w:rPr>
          <w:color w:val="231F20"/>
          <w:spacing w:val="10"/>
          <w:w w:val="105"/>
          <w:sz w:val="16"/>
        </w:rPr>
        <w:t xml:space="preserve"> </w:t>
      </w:r>
      <w:r>
        <w:rPr>
          <w:color w:val="231F20"/>
          <w:w w:val="105"/>
          <w:sz w:val="16"/>
        </w:rPr>
        <w:t>Figure</w:t>
      </w:r>
      <w:r>
        <w:rPr>
          <w:color w:val="231F20"/>
          <w:spacing w:val="10"/>
          <w:w w:val="105"/>
          <w:sz w:val="16"/>
        </w:rPr>
        <w:t xml:space="preserve"> </w:t>
      </w:r>
      <w:r>
        <w:rPr>
          <w:color w:val="231F20"/>
          <w:w w:val="105"/>
          <w:sz w:val="16"/>
        </w:rPr>
        <w:t>is</w:t>
      </w:r>
      <w:r>
        <w:rPr>
          <w:color w:val="231F20"/>
          <w:spacing w:val="10"/>
          <w:w w:val="105"/>
          <w:sz w:val="16"/>
        </w:rPr>
        <w:t xml:space="preserve"> </w:t>
      </w:r>
      <w:r>
        <w:rPr>
          <w:color w:val="231F20"/>
          <w:w w:val="105"/>
          <w:sz w:val="16"/>
        </w:rPr>
        <w:t>Released</w:t>
      </w:r>
      <w:r>
        <w:rPr>
          <w:color w:val="231F20"/>
          <w:spacing w:val="10"/>
          <w:w w:val="105"/>
          <w:sz w:val="16"/>
        </w:rPr>
        <w:t xml:space="preserve"> </w:t>
      </w:r>
      <w:r>
        <w:rPr>
          <w:color w:val="231F20"/>
          <w:w w:val="105"/>
          <w:sz w:val="16"/>
        </w:rPr>
        <w:t>Unhurt,”</w:t>
      </w:r>
    </w:p>
    <w:p w14:paraId="4B1CA4D7" w14:textId="77777777" w:rsidR="002653E8" w:rsidRDefault="003115E3">
      <w:pPr>
        <w:spacing w:before="11"/>
        <w:ind w:left="1327"/>
        <w:rPr>
          <w:sz w:val="16"/>
        </w:rPr>
      </w:pPr>
      <w:r>
        <w:rPr>
          <w:i/>
          <w:color w:val="231F20"/>
          <w:w w:val="110"/>
          <w:sz w:val="16"/>
        </w:rPr>
        <w:t xml:space="preserve">Wisconsin State Journal, </w:t>
      </w:r>
      <w:r>
        <w:rPr>
          <w:color w:val="231F20"/>
          <w:w w:val="110"/>
          <w:sz w:val="16"/>
        </w:rPr>
        <w:t>March 5, 1975.</w:t>
      </w:r>
    </w:p>
    <w:bookmarkEnd w:id="144"/>
    <w:p w14:paraId="24ECAF3D" w14:textId="77777777" w:rsidR="002653E8" w:rsidRDefault="002653E8">
      <w:pPr>
        <w:rPr>
          <w:sz w:val="16"/>
        </w:rPr>
        <w:sectPr w:rsidR="002653E8">
          <w:pgSz w:w="8640" w:h="12960"/>
          <w:pgMar w:top="1120" w:right="0" w:bottom="1040" w:left="0" w:header="0" w:footer="850" w:gutter="0"/>
          <w:cols w:space="720"/>
        </w:sectPr>
      </w:pPr>
    </w:p>
    <w:p w14:paraId="270B768D" w14:textId="77777777" w:rsidR="002653E8" w:rsidRDefault="003115E3">
      <w:pPr>
        <w:pStyle w:val="a3"/>
        <w:spacing w:before="86" w:line="264" w:lineRule="auto"/>
        <w:ind w:left="1147" w:right="1325" w:firstLine="210"/>
        <w:jc w:val="both"/>
        <w:rPr>
          <w:sz w:val="11"/>
        </w:rPr>
      </w:pPr>
      <w:r>
        <w:rPr>
          <w:color w:val="231F20"/>
        </w:rPr>
        <w:lastRenderedPageBreak/>
        <w:t>yet, the West German establishment was adamant that it wanted this exchange to work, and so Foreign Minister Hans-Dietrich Genscher promised that if South yemen accepted the prisoners, the FRG would provide 10 million dm in development aid. The deal was sealed, and the PDRy agreed to accept the six prisoners.</w:t>
      </w:r>
      <w:r>
        <w:rPr>
          <w:color w:val="231F20"/>
          <w:position w:val="7"/>
          <w:sz w:val="11"/>
        </w:rPr>
        <w:t>1</w:t>
      </w:r>
    </w:p>
    <w:p w14:paraId="7DCFCC52" w14:textId="77777777" w:rsidR="002653E8" w:rsidRDefault="003115E3">
      <w:pPr>
        <w:pStyle w:val="a3"/>
        <w:spacing w:line="264" w:lineRule="auto"/>
        <w:ind w:left="1147" w:right="5132" w:firstLine="210"/>
        <w:jc w:val="both"/>
      </w:pPr>
      <w:r>
        <w:drawing>
          <wp:anchor distT="0" distB="0" distL="0" distR="0" simplePos="0" relativeHeight="7528" behindDoc="0" locked="0" layoutInCell="1" allowOverlap="1" wp14:anchorId="49CF3545" wp14:editId="2D3B7833">
            <wp:simplePos x="0" y="0"/>
            <wp:positionH relativeFrom="page">
              <wp:posOffset>2359382</wp:posOffset>
            </wp:positionH>
            <wp:positionV relativeFrom="paragraph">
              <wp:posOffset>181805</wp:posOffset>
            </wp:positionV>
            <wp:extent cx="2283711" cy="1819746"/>
            <wp:effectExtent l="0" t="0" r="0" b="0"/>
            <wp:wrapNone/>
            <wp:docPr id="4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png"/>
                    <pic:cNvPicPr/>
                  </pic:nvPicPr>
                  <pic:blipFill>
                    <a:blip r:embed="rId280" cstate="print"/>
                    <a:stretch>
                      <a:fillRect/>
                    </a:stretch>
                  </pic:blipFill>
                  <pic:spPr>
                    <a:xfrm>
                      <a:off x="0" y="0"/>
                      <a:ext cx="2283711" cy="1819746"/>
                    </a:xfrm>
                    <a:prstGeom prst="rect">
                      <a:avLst/>
                    </a:prstGeom>
                  </pic:spPr>
                </pic:pic>
              </a:graphicData>
            </a:graphic>
          </wp:anchor>
        </w:drawing>
      </w:r>
      <w:r>
        <w:rPr>
          <w:color w:val="231F20"/>
        </w:rPr>
        <w:t xml:space="preserve">On March </w:t>
      </w:r>
      <w:r>
        <w:rPr>
          <w:color w:val="231F20"/>
          <w:spacing w:val="-3"/>
        </w:rPr>
        <w:t xml:space="preserve">3, </w:t>
      </w:r>
      <w:r>
        <w:rPr>
          <w:color w:val="231F20"/>
        </w:rPr>
        <w:t xml:space="preserve">a Lufthansa plane left Frankfurt airport for Aden. On board were the five newly freed revolutionaries (Mahler having opted to remain behind), along with former </w:t>
      </w:r>
      <w:r>
        <w:rPr>
          <w:color w:val="231F20"/>
          <w:spacing w:val="-3"/>
        </w:rPr>
        <w:t xml:space="preserve">West </w:t>
      </w:r>
      <w:r>
        <w:rPr>
          <w:color w:val="231F20"/>
        </w:rPr>
        <w:t>Berlin Mayor Albertz, whom the 2JM had stipulated must accompany the prisoners to confirm that all went as</w:t>
      </w:r>
      <w:r>
        <w:rPr>
          <w:color w:val="231F20"/>
          <w:spacing w:val="33"/>
        </w:rPr>
        <w:t xml:space="preserve"> </w:t>
      </w:r>
      <w:r>
        <w:rPr>
          <w:color w:val="231F20"/>
        </w:rPr>
        <w:t>planned.</w:t>
      </w:r>
    </w:p>
    <w:p w14:paraId="27DE6279" w14:textId="77777777" w:rsidR="002653E8" w:rsidRDefault="002653E8">
      <w:pPr>
        <w:spacing w:line="264" w:lineRule="auto"/>
        <w:jc w:val="both"/>
        <w:sectPr w:rsidR="002653E8">
          <w:footerReference w:type="even" r:id="rId281"/>
          <w:footerReference w:type="default" r:id="rId282"/>
          <w:pgSz w:w="8640" w:h="12960"/>
          <w:pgMar w:top="1060" w:right="0" w:bottom="1040" w:left="0" w:header="0" w:footer="850" w:gutter="0"/>
          <w:cols w:space="720"/>
        </w:sectPr>
      </w:pPr>
    </w:p>
    <w:p w14:paraId="19747907" w14:textId="77777777" w:rsidR="002653E8" w:rsidRDefault="003115E3">
      <w:pPr>
        <w:pStyle w:val="a3"/>
        <w:tabs>
          <w:tab w:val="left" w:pos="1864"/>
          <w:tab w:val="left" w:pos="2677"/>
          <w:tab w:val="left" w:pos="3072"/>
        </w:tabs>
        <w:spacing w:line="217" w:lineRule="exact"/>
        <w:ind w:left="1357"/>
      </w:pPr>
      <w:r>
        <w:rPr>
          <w:color w:val="231F20"/>
          <w:w w:val="105"/>
        </w:rPr>
        <w:t>On</w:t>
      </w:r>
      <w:r>
        <w:rPr>
          <w:color w:val="231F20"/>
          <w:w w:val="105"/>
        </w:rPr>
        <w:tab/>
        <w:t>March</w:t>
      </w:r>
      <w:r>
        <w:rPr>
          <w:color w:val="231F20"/>
          <w:w w:val="105"/>
        </w:rPr>
        <w:tab/>
        <w:t>4,</w:t>
      </w:r>
      <w:r>
        <w:rPr>
          <w:color w:val="231F20"/>
          <w:w w:val="105"/>
        </w:rPr>
        <w:tab/>
      </w:r>
      <w:r>
        <w:rPr>
          <w:color w:val="231F20"/>
          <w:spacing w:val="-1"/>
          <w:w w:val="95"/>
        </w:rPr>
        <w:t>Peter</w:t>
      </w:r>
    </w:p>
    <w:p w14:paraId="2453B672" w14:textId="77777777" w:rsidR="002653E8" w:rsidRDefault="003115E3">
      <w:pPr>
        <w:pStyle w:val="a3"/>
        <w:spacing w:before="22" w:line="264" w:lineRule="auto"/>
        <w:ind w:left="1147"/>
        <w:jc w:val="both"/>
      </w:pPr>
      <w:r>
        <w:rPr>
          <w:color w:val="231F20"/>
        </w:rPr>
        <w:t>Lorenz was released unharmed. Within minutes, the police sealed off sections of West Berlin, raiding left-wing hangouts and</w:t>
      </w:r>
    </w:p>
    <w:p w14:paraId="3A8AF008" w14:textId="77777777" w:rsidR="002653E8" w:rsidRDefault="003115E3">
      <w:pPr>
        <w:spacing w:before="99" w:line="244" w:lineRule="auto"/>
        <w:ind w:left="200" w:right="1403"/>
        <w:rPr>
          <w:i/>
          <w:sz w:val="18"/>
        </w:rPr>
      </w:pPr>
      <w:r>
        <w:br w:type="column"/>
      </w:r>
      <w:r>
        <w:rPr>
          <w:i/>
          <w:color w:val="231F20"/>
          <w:w w:val="105"/>
          <w:sz w:val="18"/>
        </w:rPr>
        <w:t xml:space="preserve">The People’s Democratic  Republic  of Yemen, or South Yemen. Note that in </w:t>
      </w:r>
      <w:r>
        <w:rPr>
          <w:i/>
          <w:color w:val="231F20"/>
          <w:spacing w:val="1"/>
          <w:w w:val="105"/>
          <w:sz w:val="18"/>
        </w:rPr>
        <w:t xml:space="preserve">1990, </w:t>
      </w:r>
      <w:r>
        <w:rPr>
          <w:i/>
          <w:color w:val="231F20"/>
          <w:w w:val="105"/>
          <w:sz w:val="18"/>
        </w:rPr>
        <w:t xml:space="preserve">at a time of worldwide retreat for “real existing socialism,” the PDRY agreed to </w:t>
      </w:r>
      <w:r>
        <w:rPr>
          <w:i/>
          <w:color w:val="231F20"/>
          <w:spacing w:val="1"/>
          <w:w w:val="105"/>
          <w:sz w:val="18"/>
        </w:rPr>
        <w:t xml:space="preserve">unification </w:t>
      </w:r>
      <w:r>
        <w:rPr>
          <w:i/>
          <w:color w:val="231F20"/>
          <w:w w:val="105"/>
          <w:sz w:val="18"/>
        </w:rPr>
        <w:t>with North Yemen, creating the Republic of</w:t>
      </w:r>
      <w:r>
        <w:rPr>
          <w:i/>
          <w:color w:val="231F20"/>
          <w:spacing w:val="18"/>
          <w:w w:val="105"/>
          <w:sz w:val="18"/>
        </w:rPr>
        <w:t xml:space="preserve"> </w:t>
      </w:r>
      <w:r>
        <w:rPr>
          <w:i/>
          <w:color w:val="231F20"/>
          <w:w w:val="105"/>
          <w:sz w:val="18"/>
        </w:rPr>
        <w:t>Yemen.</w:t>
      </w:r>
    </w:p>
    <w:p w14:paraId="7F273AB8" w14:textId="77777777" w:rsidR="002653E8" w:rsidRDefault="002653E8">
      <w:pPr>
        <w:spacing w:line="244" w:lineRule="auto"/>
        <w:rPr>
          <w:sz w:val="18"/>
        </w:rPr>
        <w:sectPr w:rsidR="002653E8">
          <w:type w:val="continuous"/>
          <w:pgSz w:w="8640" w:h="12960"/>
          <w:pgMar w:top="0" w:right="0" w:bottom="0" w:left="0" w:header="720" w:footer="720" w:gutter="0"/>
          <w:cols w:num="2" w:space="720" w:equalWidth="0">
            <w:col w:w="3506" w:space="40"/>
            <w:col w:w="5094"/>
          </w:cols>
        </w:sectPr>
      </w:pPr>
    </w:p>
    <w:p w14:paraId="1F04A08D" w14:textId="77777777" w:rsidR="002653E8" w:rsidRDefault="003115E3">
      <w:pPr>
        <w:pStyle w:val="a3"/>
        <w:spacing w:line="264" w:lineRule="auto"/>
        <w:ind w:left="1147" w:right="1326"/>
        <w:jc w:val="both"/>
        <w:rPr>
          <w:sz w:val="11"/>
        </w:rPr>
      </w:pPr>
      <w:r>
        <w:rPr>
          <w:color w:val="231F20"/>
        </w:rPr>
        <w:t>homes which had been identified as possible targets beforehand. Two hundred people were caught up in the police sweeps, but none of the guerillas could be found, and all those detained had to be released with no charges laid.</w:t>
      </w:r>
      <w:r>
        <w:rPr>
          <w:color w:val="231F20"/>
          <w:position w:val="7"/>
          <w:sz w:val="11"/>
        </w:rPr>
        <w:t>2</w:t>
      </w:r>
    </w:p>
    <w:p w14:paraId="0F9016DE" w14:textId="77777777" w:rsidR="002653E8" w:rsidRDefault="003115E3">
      <w:pPr>
        <w:pStyle w:val="a3"/>
        <w:spacing w:line="264" w:lineRule="auto"/>
        <w:ind w:left="1147" w:right="1326" w:firstLine="210"/>
        <w:jc w:val="both"/>
      </w:pPr>
      <w:r>
        <w:rPr>
          <w:color w:val="231F20"/>
        </w:rPr>
        <w:t xml:space="preserve">The Lorenz kidnapping was a perfectly planned and executed action. While the 2nd of June Movement would be criticized for not demanding freedom for leading </w:t>
      </w:r>
      <w:r w:rsidR="00C507A5">
        <w:rPr>
          <w:color w:val="231F20"/>
          <w:spacing w:val="5"/>
        </w:rPr>
        <w:t>red army faction</w:t>
      </w:r>
      <w:r>
        <w:rPr>
          <w:color w:val="231F20"/>
          <w:spacing w:val="5"/>
        </w:rPr>
        <w:t xml:space="preserve"> </w:t>
      </w:r>
      <w:r>
        <w:rPr>
          <w:color w:val="231F20"/>
        </w:rPr>
        <w:t>cadre, most observers agreed that the exchange only worked because none of the prisoners requested had a particularly notorious profile. The 2JM timed its action well, abducting the</w:t>
      </w:r>
      <w:r>
        <w:rPr>
          <w:color w:val="231F20"/>
          <w:spacing w:val="10"/>
        </w:rPr>
        <w:t xml:space="preserve"> </w:t>
      </w:r>
      <w:r>
        <w:rPr>
          <w:color w:val="231F20"/>
        </w:rPr>
        <w:t>mayoral</w:t>
      </w:r>
      <w:r>
        <w:rPr>
          <w:color w:val="231F20"/>
          <w:spacing w:val="10"/>
        </w:rPr>
        <w:t xml:space="preserve"> </w:t>
      </w:r>
      <w:r>
        <w:rPr>
          <w:color w:val="231F20"/>
        </w:rPr>
        <w:t>candidate</w:t>
      </w:r>
      <w:r>
        <w:rPr>
          <w:color w:val="231F20"/>
          <w:spacing w:val="10"/>
        </w:rPr>
        <w:t xml:space="preserve"> </w:t>
      </w:r>
      <w:r>
        <w:rPr>
          <w:color w:val="231F20"/>
        </w:rPr>
        <w:t>just</w:t>
      </w:r>
      <w:r>
        <w:rPr>
          <w:color w:val="231F20"/>
          <w:spacing w:val="10"/>
        </w:rPr>
        <w:t xml:space="preserve"> </w:t>
      </w:r>
      <w:r>
        <w:rPr>
          <w:color w:val="231F20"/>
        </w:rPr>
        <w:t>seventy-two</w:t>
      </w:r>
      <w:r>
        <w:rPr>
          <w:color w:val="231F20"/>
          <w:spacing w:val="10"/>
        </w:rPr>
        <w:t xml:space="preserve"> </w:t>
      </w:r>
      <w:r>
        <w:rPr>
          <w:color w:val="231F20"/>
        </w:rPr>
        <w:t>hours</w:t>
      </w:r>
      <w:r>
        <w:rPr>
          <w:color w:val="231F20"/>
          <w:spacing w:val="10"/>
        </w:rPr>
        <w:t xml:space="preserve"> </w:t>
      </w:r>
      <w:r>
        <w:rPr>
          <w:color w:val="231F20"/>
        </w:rPr>
        <w:t>before</w:t>
      </w:r>
      <w:r>
        <w:rPr>
          <w:color w:val="231F20"/>
          <w:spacing w:val="10"/>
        </w:rPr>
        <w:t xml:space="preserve"> </w:t>
      </w:r>
      <w:r>
        <w:rPr>
          <w:color w:val="231F20"/>
        </w:rPr>
        <w:t>the</w:t>
      </w:r>
      <w:r>
        <w:rPr>
          <w:color w:val="231F20"/>
          <w:spacing w:val="10"/>
        </w:rPr>
        <w:t xml:space="preserve"> </w:t>
      </w:r>
      <w:r>
        <w:rPr>
          <w:color w:val="231F20"/>
        </w:rPr>
        <w:t>city</w:t>
      </w:r>
      <w:r>
        <w:rPr>
          <w:color w:val="231F20"/>
          <w:spacing w:val="10"/>
        </w:rPr>
        <w:t xml:space="preserve"> </w:t>
      </w:r>
      <w:r>
        <w:rPr>
          <w:color w:val="231F20"/>
        </w:rPr>
        <w:t>elections.</w:t>
      </w:r>
    </w:p>
    <w:p w14:paraId="25CA0DBA" w14:textId="77777777" w:rsidR="002653E8" w:rsidRDefault="00000000">
      <w:pPr>
        <w:pStyle w:val="a3"/>
        <w:spacing w:before="4"/>
        <w:rPr>
          <w:sz w:val="18"/>
        </w:rPr>
      </w:pPr>
      <w:r>
        <w:rPr>
          <w:noProof w:val="0"/>
        </w:rPr>
        <w:pict w14:anchorId="5D7F1817">
          <v:line id="_x0000_s2341" style="position:absolute;z-index:7504;mso-wrap-distance-left:0;mso-wrap-distance-right:0;mso-position-horizontal-relative:page" from="57.4pt,12.95pt" to="129.4pt,12.95pt" strokecolor="#231f20" strokeweight=".5pt">
            <w10:wrap type="topAndBottom" anchorx="page"/>
          </v:line>
        </w:pict>
      </w:r>
    </w:p>
    <w:p w14:paraId="537D728F" w14:textId="77777777" w:rsidR="002653E8" w:rsidRDefault="003115E3">
      <w:pPr>
        <w:pStyle w:val="a4"/>
        <w:numPr>
          <w:ilvl w:val="0"/>
          <w:numId w:val="99"/>
        </w:numPr>
        <w:tabs>
          <w:tab w:val="left" w:pos="1287"/>
        </w:tabs>
        <w:spacing w:before="53" w:line="254" w:lineRule="auto"/>
        <w:ind w:right="1675" w:firstLine="0"/>
        <w:jc w:val="left"/>
        <w:rPr>
          <w:sz w:val="16"/>
        </w:rPr>
      </w:pPr>
      <w:bookmarkStart w:id="145" w:name="_Hlk123683982"/>
      <w:r>
        <w:rPr>
          <w:color w:val="231F20"/>
          <w:w w:val="105"/>
          <w:sz w:val="16"/>
        </w:rPr>
        <w:t xml:space="preserve">Fred Halliday, </w:t>
      </w:r>
      <w:r>
        <w:rPr>
          <w:i/>
          <w:color w:val="231F20"/>
          <w:w w:val="105"/>
          <w:sz w:val="16"/>
        </w:rPr>
        <w:t xml:space="preserve">Revolution </w:t>
      </w:r>
      <w:r>
        <w:rPr>
          <w:i/>
          <w:color w:val="231F20"/>
          <w:spacing w:val="1"/>
          <w:w w:val="105"/>
          <w:sz w:val="16"/>
        </w:rPr>
        <w:t xml:space="preserve">and </w:t>
      </w:r>
      <w:r>
        <w:rPr>
          <w:i/>
          <w:color w:val="231F20"/>
          <w:w w:val="105"/>
          <w:sz w:val="16"/>
        </w:rPr>
        <w:t xml:space="preserve">Foreign Policy: The </w:t>
      </w:r>
      <w:r>
        <w:rPr>
          <w:i/>
          <w:color w:val="231F20"/>
          <w:spacing w:val="2"/>
          <w:w w:val="105"/>
          <w:sz w:val="16"/>
        </w:rPr>
        <w:t xml:space="preserve">Case </w:t>
      </w:r>
      <w:r>
        <w:rPr>
          <w:i/>
          <w:color w:val="231F20"/>
          <w:w w:val="105"/>
          <w:sz w:val="16"/>
        </w:rPr>
        <w:t xml:space="preserve">of South Yemen 1967-1987 </w:t>
      </w:r>
      <w:r>
        <w:rPr>
          <w:color w:val="231F20"/>
          <w:w w:val="105"/>
          <w:sz w:val="16"/>
        </w:rPr>
        <w:t xml:space="preserve">(Cambridge: Cambridge University Press, 1990), </w:t>
      </w:r>
      <w:r>
        <w:rPr>
          <w:color w:val="231F20"/>
          <w:spacing w:val="-3"/>
          <w:w w:val="105"/>
          <w:sz w:val="16"/>
        </w:rPr>
        <w:t xml:space="preserve">76-77. </w:t>
      </w:r>
      <w:r>
        <w:rPr>
          <w:color w:val="231F20"/>
          <w:w w:val="105"/>
          <w:sz w:val="16"/>
        </w:rPr>
        <w:t xml:space="preserve">The aid had  in fact been promised in </w:t>
      </w:r>
      <w:r>
        <w:rPr>
          <w:color w:val="231F20"/>
          <w:spacing w:val="-4"/>
          <w:w w:val="105"/>
          <w:sz w:val="16"/>
        </w:rPr>
        <w:t xml:space="preserve">1967, </w:t>
      </w:r>
      <w:r>
        <w:rPr>
          <w:color w:val="231F20"/>
          <w:w w:val="105"/>
          <w:sz w:val="16"/>
        </w:rPr>
        <w:t xml:space="preserve">but had been frozen when the </w:t>
      </w:r>
      <w:r>
        <w:rPr>
          <w:color w:val="231F20"/>
          <w:spacing w:val="1"/>
          <w:w w:val="105"/>
          <w:sz w:val="16"/>
        </w:rPr>
        <w:t xml:space="preserve">Marxist-Leninist </w:t>
      </w:r>
      <w:r>
        <w:rPr>
          <w:color w:val="231F20"/>
          <w:w w:val="105"/>
          <w:sz w:val="16"/>
        </w:rPr>
        <w:t>National</w:t>
      </w:r>
      <w:r>
        <w:rPr>
          <w:color w:val="231F20"/>
          <w:spacing w:val="8"/>
          <w:w w:val="105"/>
          <w:sz w:val="16"/>
        </w:rPr>
        <w:t xml:space="preserve"> </w:t>
      </w:r>
      <w:r>
        <w:rPr>
          <w:color w:val="231F20"/>
          <w:w w:val="105"/>
          <w:sz w:val="16"/>
        </w:rPr>
        <w:t>Liberation</w:t>
      </w:r>
      <w:r>
        <w:rPr>
          <w:color w:val="231F20"/>
          <w:spacing w:val="8"/>
          <w:w w:val="105"/>
          <w:sz w:val="16"/>
        </w:rPr>
        <w:t xml:space="preserve"> </w:t>
      </w:r>
      <w:r>
        <w:rPr>
          <w:color w:val="231F20"/>
          <w:w w:val="105"/>
          <w:sz w:val="16"/>
        </w:rPr>
        <w:t>Front</w:t>
      </w:r>
      <w:r>
        <w:rPr>
          <w:color w:val="231F20"/>
          <w:spacing w:val="8"/>
          <w:w w:val="105"/>
          <w:sz w:val="16"/>
        </w:rPr>
        <w:t xml:space="preserve"> </w:t>
      </w:r>
      <w:r>
        <w:rPr>
          <w:color w:val="231F20"/>
          <w:w w:val="105"/>
          <w:sz w:val="16"/>
        </w:rPr>
        <w:t>had</w:t>
      </w:r>
      <w:r>
        <w:rPr>
          <w:color w:val="231F20"/>
          <w:spacing w:val="8"/>
          <w:w w:val="105"/>
          <w:sz w:val="16"/>
        </w:rPr>
        <w:t xml:space="preserve"> </w:t>
      </w:r>
      <w:r>
        <w:rPr>
          <w:color w:val="231F20"/>
          <w:w w:val="105"/>
          <w:sz w:val="16"/>
        </w:rPr>
        <w:t>out-maneuvered</w:t>
      </w:r>
      <w:r>
        <w:rPr>
          <w:color w:val="231F20"/>
          <w:spacing w:val="8"/>
          <w:w w:val="105"/>
          <w:sz w:val="16"/>
        </w:rPr>
        <w:t xml:space="preserve"> </w:t>
      </w:r>
      <w:r>
        <w:rPr>
          <w:color w:val="231F20"/>
          <w:w w:val="105"/>
          <w:sz w:val="16"/>
        </w:rPr>
        <w:t>the</w:t>
      </w:r>
      <w:r>
        <w:rPr>
          <w:color w:val="231F20"/>
          <w:spacing w:val="10"/>
          <w:w w:val="105"/>
          <w:sz w:val="16"/>
        </w:rPr>
        <w:t xml:space="preserve"> </w:t>
      </w:r>
      <w:r>
        <w:rPr>
          <w:color w:val="231F20"/>
          <w:w w:val="105"/>
          <w:sz w:val="16"/>
        </w:rPr>
        <w:t>Front</w:t>
      </w:r>
      <w:r>
        <w:rPr>
          <w:color w:val="231F20"/>
          <w:spacing w:val="8"/>
          <w:w w:val="105"/>
          <w:sz w:val="16"/>
        </w:rPr>
        <w:t xml:space="preserve"> </w:t>
      </w:r>
      <w:r>
        <w:rPr>
          <w:color w:val="231F20"/>
          <w:w w:val="105"/>
          <w:sz w:val="16"/>
        </w:rPr>
        <w:t>for</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Liberation</w:t>
      </w:r>
      <w:r>
        <w:rPr>
          <w:color w:val="231F20"/>
          <w:spacing w:val="8"/>
          <w:w w:val="105"/>
          <w:sz w:val="16"/>
        </w:rPr>
        <w:t xml:space="preserve"> </w:t>
      </w:r>
      <w:r>
        <w:rPr>
          <w:color w:val="231F20"/>
          <w:w w:val="105"/>
          <w:sz w:val="16"/>
        </w:rPr>
        <w:t>of</w:t>
      </w:r>
    </w:p>
    <w:p w14:paraId="0EA0B790" w14:textId="77777777" w:rsidR="002653E8" w:rsidRDefault="003115E3">
      <w:pPr>
        <w:spacing w:before="1" w:line="254" w:lineRule="auto"/>
        <w:ind w:left="1147" w:right="1580"/>
        <w:rPr>
          <w:sz w:val="16"/>
        </w:rPr>
      </w:pPr>
      <w:r>
        <w:rPr>
          <w:color w:val="231F20"/>
          <w:w w:val="105"/>
          <w:sz w:val="16"/>
        </w:rPr>
        <w:t>Occupied South yemen (favoured by the imperialist countries) for power, and, in line with the Soviet position, refused to recognize West Berlin as part of the FRG.</w:t>
      </w:r>
    </w:p>
    <w:p w14:paraId="46AEBA19" w14:textId="77777777" w:rsidR="002653E8" w:rsidRDefault="003115E3">
      <w:pPr>
        <w:pStyle w:val="a4"/>
        <w:numPr>
          <w:ilvl w:val="0"/>
          <w:numId w:val="99"/>
        </w:numPr>
        <w:tabs>
          <w:tab w:val="left" w:pos="1287"/>
        </w:tabs>
        <w:ind w:left="1286"/>
        <w:jc w:val="left"/>
        <w:rPr>
          <w:sz w:val="16"/>
        </w:rPr>
      </w:pPr>
      <w:r>
        <w:rPr>
          <w:i/>
          <w:color w:val="231F20"/>
          <w:w w:val="110"/>
          <w:sz w:val="16"/>
        </w:rPr>
        <w:t xml:space="preserve">Time Magazine </w:t>
      </w:r>
      <w:r>
        <w:rPr>
          <w:color w:val="231F20"/>
          <w:w w:val="110"/>
          <w:sz w:val="16"/>
        </w:rPr>
        <w:t>[online], “The Lorenz Kidnaping: A Rehearsal?” March</w:t>
      </w:r>
      <w:r>
        <w:rPr>
          <w:color w:val="231F20"/>
          <w:spacing w:val="30"/>
          <w:w w:val="110"/>
          <w:sz w:val="16"/>
        </w:rPr>
        <w:t xml:space="preserve"> </w:t>
      </w:r>
      <w:r>
        <w:rPr>
          <w:color w:val="231F20"/>
          <w:spacing w:val="-5"/>
          <w:w w:val="110"/>
          <w:sz w:val="16"/>
        </w:rPr>
        <w:t xml:space="preserve">17, </w:t>
      </w:r>
      <w:r>
        <w:rPr>
          <w:color w:val="231F20"/>
          <w:spacing w:val="-4"/>
          <w:w w:val="110"/>
          <w:sz w:val="16"/>
        </w:rPr>
        <w:t>1975.</w:t>
      </w:r>
    </w:p>
    <w:p w14:paraId="3826200F" w14:textId="77777777" w:rsidR="002653E8" w:rsidRDefault="002653E8">
      <w:pPr>
        <w:rPr>
          <w:sz w:val="16"/>
        </w:rPr>
        <w:sectPr w:rsidR="002653E8">
          <w:type w:val="continuous"/>
          <w:pgSz w:w="8640" w:h="12960"/>
          <w:pgMar w:top="0" w:right="0" w:bottom="0" w:left="0" w:header="720" w:footer="720" w:gutter="0"/>
          <w:cols w:space="720"/>
        </w:sectPr>
      </w:pPr>
    </w:p>
    <w:bookmarkEnd w:id="145"/>
    <w:p w14:paraId="29A8A429" w14:textId="77777777" w:rsidR="002653E8" w:rsidRDefault="003115E3">
      <w:pPr>
        <w:pStyle w:val="a3"/>
        <w:spacing w:before="86" w:line="264" w:lineRule="auto"/>
        <w:ind w:left="1327" w:right="1146"/>
        <w:jc w:val="both"/>
      </w:pPr>
      <w:r>
        <w:rPr>
          <w:color w:val="231F20"/>
        </w:rPr>
        <w:lastRenderedPageBreak/>
        <w:t>Finally, the group managed to take control of the media, insisting that the government respond to its demands on television. As one television editor put it:</w:t>
      </w:r>
    </w:p>
    <w:p w14:paraId="45AE8206" w14:textId="77777777" w:rsidR="002653E8" w:rsidRDefault="003115E3">
      <w:pPr>
        <w:spacing w:before="126" w:line="276" w:lineRule="auto"/>
        <w:ind w:left="1747" w:right="1558"/>
        <w:jc w:val="both"/>
        <w:rPr>
          <w:i/>
          <w:sz w:val="11"/>
        </w:rPr>
      </w:pPr>
      <w:r>
        <w:rPr>
          <w:i/>
          <w:color w:val="231F20"/>
          <w:sz w:val="19"/>
        </w:rPr>
        <w:t xml:space="preserve">For </w:t>
      </w:r>
      <w:r>
        <w:rPr>
          <w:rFonts w:ascii="Bookman Old Style" w:hAnsi="Bookman Old Style"/>
          <w:i/>
          <w:color w:val="231F20"/>
          <w:sz w:val="19"/>
        </w:rPr>
        <w:t xml:space="preserve">72 </w:t>
      </w:r>
      <w:r>
        <w:rPr>
          <w:i/>
          <w:color w:val="231F20"/>
          <w:sz w:val="19"/>
        </w:rPr>
        <w:t xml:space="preserve">hours we just lost control of  the  medium,  it  was  theirs, not ours… </w:t>
      </w:r>
      <w:r>
        <w:rPr>
          <w:i/>
          <w:color w:val="231F20"/>
          <w:spacing w:val="-6"/>
          <w:sz w:val="19"/>
        </w:rPr>
        <w:t xml:space="preserve">We </w:t>
      </w:r>
      <w:r>
        <w:rPr>
          <w:i/>
          <w:color w:val="231F20"/>
          <w:sz w:val="19"/>
        </w:rPr>
        <w:t>shifted shows  in  order  to  meet  their  timetable.  Our cameras had to be in position to record each of the released prisoners as they boarded their plane to freedom, and our news coverage had to include prepared statements at their dictate… There is plenty of underworld crime on our screens but… now it  was the real thing and it was the gangsters who wrote the script and programmed the mass media.</w:t>
      </w:r>
      <w:r>
        <w:rPr>
          <w:i/>
          <w:color w:val="231F20"/>
          <w:position w:val="6"/>
          <w:sz w:val="11"/>
        </w:rPr>
        <w:t>3</w:t>
      </w:r>
    </w:p>
    <w:p w14:paraId="52BF04CF" w14:textId="77777777" w:rsidR="002653E8" w:rsidRDefault="003115E3">
      <w:pPr>
        <w:pStyle w:val="a3"/>
        <w:spacing w:before="132" w:line="264" w:lineRule="auto"/>
        <w:ind w:left="1327" w:right="1146"/>
        <w:jc w:val="both"/>
      </w:pPr>
      <w:r>
        <w:rPr>
          <w:color w:val="231F20"/>
        </w:rPr>
        <w:t>The</w:t>
      </w:r>
      <w:r>
        <w:rPr>
          <w:color w:val="231F20"/>
          <w:spacing w:val="-5"/>
        </w:rPr>
        <w:t xml:space="preserve"> </w:t>
      </w:r>
      <w:r>
        <w:rPr>
          <w:color w:val="231F20"/>
        </w:rPr>
        <w:t>successful</w:t>
      </w:r>
      <w:r>
        <w:rPr>
          <w:color w:val="231F20"/>
          <w:spacing w:val="-5"/>
        </w:rPr>
        <w:t xml:space="preserve"> </w:t>
      </w:r>
      <w:r>
        <w:rPr>
          <w:color w:val="231F20"/>
        </w:rPr>
        <w:t>liberation</w:t>
      </w:r>
      <w:r>
        <w:rPr>
          <w:color w:val="231F20"/>
          <w:spacing w:val="-5"/>
        </w:rPr>
        <w:t xml:space="preserve"> </w:t>
      </w:r>
      <w:r>
        <w:rPr>
          <w:color w:val="231F20"/>
        </w:rPr>
        <w:t>of</w:t>
      </w:r>
      <w:r>
        <w:rPr>
          <w:color w:val="231F20"/>
          <w:spacing w:val="-5"/>
        </w:rPr>
        <w:t xml:space="preserve"> </w:t>
      </w:r>
      <w:r>
        <w:rPr>
          <w:color w:val="231F20"/>
        </w:rPr>
        <w:t>political</w:t>
      </w:r>
      <w:r>
        <w:rPr>
          <w:color w:val="231F20"/>
          <w:spacing w:val="-5"/>
        </w:rPr>
        <w:t xml:space="preserve"> </w:t>
      </w:r>
      <w:r>
        <w:rPr>
          <w:color w:val="231F20"/>
        </w:rPr>
        <w:t>prisoners,</w:t>
      </w:r>
      <w:r>
        <w:rPr>
          <w:color w:val="231F20"/>
          <w:spacing w:val="-5"/>
        </w:rPr>
        <w:t xml:space="preserve"> </w:t>
      </w:r>
      <w:r>
        <w:rPr>
          <w:color w:val="231F20"/>
        </w:rPr>
        <w:t>with</w:t>
      </w:r>
      <w:r>
        <w:rPr>
          <w:color w:val="231F20"/>
          <w:spacing w:val="-5"/>
        </w:rPr>
        <w:t xml:space="preserve"> </w:t>
      </w:r>
      <w:r>
        <w:rPr>
          <w:color w:val="231F20"/>
        </w:rPr>
        <w:t>negotiations</w:t>
      </w:r>
      <w:r>
        <w:rPr>
          <w:color w:val="231F20"/>
          <w:spacing w:val="-5"/>
        </w:rPr>
        <w:t xml:space="preserve"> </w:t>
      </w:r>
      <w:r>
        <w:rPr>
          <w:color w:val="231F20"/>
        </w:rPr>
        <w:t xml:space="preserve">carried out through the media itself, constituted a serious blow to the government’s prestige. Going slightly over the top, the </w:t>
      </w:r>
      <w:r>
        <w:rPr>
          <w:i/>
          <w:color w:val="231F20"/>
        </w:rPr>
        <w:t xml:space="preserve">Frankfurter Allgemeine Zeitung </w:t>
      </w:r>
      <w:r>
        <w:rPr>
          <w:color w:val="231F20"/>
        </w:rPr>
        <w:t xml:space="preserve">waxed poetic as to </w:t>
      </w:r>
      <w:r>
        <w:rPr>
          <w:color w:val="231F20"/>
          <w:spacing w:val="-4"/>
        </w:rPr>
        <w:t xml:space="preserve">how, </w:t>
      </w:r>
      <w:r>
        <w:rPr>
          <w:color w:val="231F20"/>
        </w:rPr>
        <w:t xml:space="preserve">“The humiliation of the state was completed in the </w:t>
      </w:r>
      <w:r>
        <w:rPr>
          <w:color w:val="231F20"/>
          <w:spacing w:val="-3"/>
        </w:rPr>
        <w:t xml:space="preserve">nation’s </w:t>
      </w:r>
      <w:r>
        <w:rPr>
          <w:color w:val="231F20"/>
        </w:rPr>
        <w:t xml:space="preserve">electronic </w:t>
      </w:r>
      <w:r>
        <w:rPr>
          <w:color w:val="231F20"/>
          <w:spacing w:val="-3"/>
        </w:rPr>
        <w:t>Valhalla.”</w:t>
      </w:r>
      <w:r>
        <w:rPr>
          <w:color w:val="231F20"/>
          <w:spacing w:val="-3"/>
          <w:position w:val="7"/>
          <w:sz w:val="11"/>
        </w:rPr>
        <w:t xml:space="preserve">4 </w:t>
      </w:r>
      <w:r>
        <w:rPr>
          <w:color w:val="231F20"/>
        </w:rPr>
        <w:t>CDU politician Alfred Dregger understood what was at</w:t>
      </w:r>
      <w:r>
        <w:rPr>
          <w:color w:val="231F20"/>
          <w:spacing w:val="8"/>
        </w:rPr>
        <w:t xml:space="preserve"> </w:t>
      </w:r>
      <w:r>
        <w:rPr>
          <w:color w:val="231F20"/>
        </w:rPr>
        <w:t>stake:</w:t>
      </w:r>
    </w:p>
    <w:p w14:paraId="052850DF" w14:textId="77777777" w:rsidR="002653E8" w:rsidRDefault="003115E3">
      <w:pPr>
        <w:spacing w:before="122" w:line="276" w:lineRule="auto"/>
        <w:ind w:left="1747" w:right="1565"/>
        <w:jc w:val="both"/>
        <w:rPr>
          <w:i/>
          <w:sz w:val="11"/>
        </w:rPr>
      </w:pPr>
      <w:r>
        <w:rPr>
          <w:i/>
          <w:color w:val="231F20"/>
          <w:w w:val="105"/>
          <w:sz w:val="19"/>
        </w:rPr>
        <w:t xml:space="preserve">Citizens have the impression that alongside the legitimate civil power there now also exists an illegitimate </w:t>
      </w:r>
      <w:r>
        <w:rPr>
          <w:i/>
          <w:color w:val="231F20"/>
          <w:spacing w:val="-5"/>
          <w:w w:val="105"/>
          <w:sz w:val="19"/>
        </w:rPr>
        <w:t xml:space="preserve">power, </w:t>
      </w:r>
      <w:r>
        <w:rPr>
          <w:i/>
          <w:color w:val="231F20"/>
          <w:w w:val="105"/>
          <w:sz w:val="19"/>
        </w:rPr>
        <w:t>which, at</w:t>
      </w:r>
      <w:r>
        <w:rPr>
          <w:i/>
          <w:color w:val="231F20"/>
          <w:spacing w:val="-29"/>
          <w:w w:val="105"/>
          <w:sz w:val="19"/>
        </w:rPr>
        <w:t xml:space="preserve"> </w:t>
      </w:r>
      <w:r>
        <w:rPr>
          <w:i/>
          <w:color w:val="231F20"/>
          <w:w w:val="105"/>
          <w:sz w:val="19"/>
        </w:rPr>
        <w:t>least on occasion, can make the power of the state submit to it, an illegitimate</w:t>
      </w:r>
      <w:r>
        <w:rPr>
          <w:i/>
          <w:color w:val="231F20"/>
          <w:spacing w:val="-13"/>
          <w:w w:val="105"/>
          <w:sz w:val="19"/>
        </w:rPr>
        <w:t xml:space="preserve"> </w:t>
      </w:r>
      <w:r>
        <w:rPr>
          <w:i/>
          <w:color w:val="231F20"/>
          <w:w w:val="105"/>
          <w:sz w:val="19"/>
        </w:rPr>
        <w:t>power</w:t>
      </w:r>
      <w:r>
        <w:rPr>
          <w:i/>
          <w:color w:val="231F20"/>
          <w:spacing w:val="-13"/>
          <w:w w:val="105"/>
          <w:sz w:val="19"/>
        </w:rPr>
        <w:t xml:space="preserve"> </w:t>
      </w:r>
      <w:r>
        <w:rPr>
          <w:i/>
          <w:color w:val="231F20"/>
          <w:w w:val="105"/>
          <w:sz w:val="19"/>
        </w:rPr>
        <w:t>which</w:t>
      </w:r>
      <w:r>
        <w:rPr>
          <w:i/>
          <w:color w:val="231F20"/>
          <w:spacing w:val="-13"/>
          <w:w w:val="105"/>
          <w:sz w:val="19"/>
        </w:rPr>
        <w:t xml:space="preserve"> </w:t>
      </w:r>
      <w:r>
        <w:rPr>
          <w:i/>
          <w:color w:val="231F20"/>
          <w:w w:val="105"/>
          <w:sz w:val="19"/>
        </w:rPr>
        <w:t>has</w:t>
      </w:r>
      <w:r>
        <w:rPr>
          <w:i/>
          <w:color w:val="231F20"/>
          <w:spacing w:val="-13"/>
          <w:w w:val="105"/>
          <w:sz w:val="19"/>
        </w:rPr>
        <w:t xml:space="preserve"> </w:t>
      </w:r>
      <w:r>
        <w:rPr>
          <w:i/>
          <w:color w:val="231F20"/>
          <w:w w:val="105"/>
          <w:sz w:val="19"/>
        </w:rPr>
        <w:t>become</w:t>
      </w:r>
      <w:r>
        <w:rPr>
          <w:i/>
          <w:color w:val="231F20"/>
          <w:spacing w:val="-13"/>
          <w:w w:val="105"/>
          <w:sz w:val="19"/>
        </w:rPr>
        <w:t xml:space="preserve"> </w:t>
      </w:r>
      <w:r>
        <w:rPr>
          <w:i/>
          <w:color w:val="231F20"/>
          <w:w w:val="105"/>
          <w:sz w:val="19"/>
        </w:rPr>
        <w:t>a</w:t>
      </w:r>
      <w:r>
        <w:rPr>
          <w:i/>
          <w:color w:val="231F20"/>
          <w:spacing w:val="-13"/>
          <w:w w:val="105"/>
          <w:sz w:val="19"/>
        </w:rPr>
        <w:t xml:space="preserve"> </w:t>
      </w:r>
      <w:r>
        <w:rPr>
          <w:i/>
          <w:color w:val="231F20"/>
          <w:w w:val="105"/>
          <w:sz w:val="19"/>
        </w:rPr>
        <w:t>negotiating</w:t>
      </w:r>
      <w:r>
        <w:rPr>
          <w:i/>
          <w:color w:val="231F20"/>
          <w:spacing w:val="-13"/>
          <w:w w:val="105"/>
          <w:sz w:val="19"/>
        </w:rPr>
        <w:t xml:space="preserve"> </w:t>
      </w:r>
      <w:r>
        <w:rPr>
          <w:i/>
          <w:color w:val="231F20"/>
          <w:w w:val="105"/>
          <w:sz w:val="19"/>
        </w:rPr>
        <w:t>partner</w:t>
      </w:r>
      <w:r>
        <w:rPr>
          <w:i/>
          <w:color w:val="231F20"/>
          <w:spacing w:val="-13"/>
          <w:w w:val="105"/>
          <w:sz w:val="19"/>
        </w:rPr>
        <w:t xml:space="preserve"> </w:t>
      </w:r>
      <w:r>
        <w:rPr>
          <w:i/>
          <w:color w:val="231F20"/>
          <w:w w:val="105"/>
          <w:sz w:val="19"/>
        </w:rPr>
        <w:t>of</w:t>
      </w:r>
      <w:r>
        <w:rPr>
          <w:i/>
          <w:color w:val="231F20"/>
          <w:spacing w:val="-13"/>
          <w:w w:val="105"/>
          <w:sz w:val="19"/>
        </w:rPr>
        <w:t xml:space="preserve"> </w:t>
      </w:r>
      <w:r>
        <w:rPr>
          <w:i/>
          <w:color w:val="231F20"/>
          <w:w w:val="105"/>
          <w:sz w:val="19"/>
        </w:rPr>
        <w:t>the state</w:t>
      </w:r>
      <w:r>
        <w:rPr>
          <w:i/>
          <w:color w:val="231F20"/>
          <w:spacing w:val="-6"/>
          <w:w w:val="105"/>
          <w:sz w:val="19"/>
        </w:rPr>
        <w:t xml:space="preserve"> </w:t>
      </w:r>
      <w:r>
        <w:rPr>
          <w:i/>
          <w:color w:val="231F20"/>
          <w:w w:val="105"/>
          <w:sz w:val="19"/>
        </w:rPr>
        <w:t>power</w:t>
      </w:r>
      <w:r>
        <w:rPr>
          <w:i/>
          <w:color w:val="231F20"/>
          <w:spacing w:val="-6"/>
          <w:w w:val="105"/>
          <w:sz w:val="19"/>
        </w:rPr>
        <w:t xml:space="preserve"> </w:t>
      </w:r>
      <w:r>
        <w:rPr>
          <w:i/>
          <w:color w:val="231F20"/>
          <w:w w:val="105"/>
          <w:sz w:val="19"/>
        </w:rPr>
        <w:t>in</w:t>
      </w:r>
      <w:r>
        <w:rPr>
          <w:i/>
          <w:color w:val="231F20"/>
          <w:spacing w:val="-6"/>
          <w:w w:val="105"/>
          <w:sz w:val="19"/>
        </w:rPr>
        <w:t xml:space="preserve"> </w:t>
      </w:r>
      <w:r>
        <w:rPr>
          <w:i/>
          <w:color w:val="231F20"/>
          <w:w w:val="105"/>
          <w:sz w:val="19"/>
        </w:rPr>
        <w:t>the</w:t>
      </w:r>
      <w:r>
        <w:rPr>
          <w:i/>
          <w:color w:val="231F20"/>
          <w:spacing w:val="-6"/>
          <w:w w:val="105"/>
          <w:sz w:val="19"/>
        </w:rPr>
        <w:t xml:space="preserve"> </w:t>
      </w:r>
      <w:r>
        <w:rPr>
          <w:i/>
          <w:color w:val="231F20"/>
          <w:w w:val="105"/>
          <w:sz w:val="19"/>
        </w:rPr>
        <w:t>full</w:t>
      </w:r>
      <w:r>
        <w:rPr>
          <w:i/>
          <w:color w:val="231F20"/>
          <w:spacing w:val="-6"/>
          <w:w w:val="105"/>
          <w:sz w:val="19"/>
        </w:rPr>
        <w:t xml:space="preserve"> </w:t>
      </w:r>
      <w:r>
        <w:rPr>
          <w:i/>
          <w:color w:val="231F20"/>
          <w:w w:val="105"/>
          <w:sz w:val="19"/>
        </w:rPr>
        <w:t>glare</w:t>
      </w:r>
      <w:r>
        <w:rPr>
          <w:i/>
          <w:color w:val="231F20"/>
          <w:spacing w:val="-6"/>
          <w:w w:val="105"/>
          <w:sz w:val="19"/>
        </w:rPr>
        <w:t xml:space="preserve"> </w:t>
      </w:r>
      <w:r>
        <w:rPr>
          <w:i/>
          <w:color w:val="231F20"/>
          <w:w w:val="105"/>
          <w:sz w:val="19"/>
        </w:rPr>
        <w:t>of</w:t>
      </w:r>
      <w:r>
        <w:rPr>
          <w:i/>
          <w:color w:val="231F20"/>
          <w:spacing w:val="-6"/>
          <w:w w:val="105"/>
          <w:sz w:val="19"/>
        </w:rPr>
        <w:t xml:space="preserve"> </w:t>
      </w:r>
      <w:r>
        <w:rPr>
          <w:i/>
          <w:color w:val="231F20"/>
          <w:w w:val="105"/>
          <w:sz w:val="19"/>
        </w:rPr>
        <w:t>television</w:t>
      </w:r>
      <w:r>
        <w:rPr>
          <w:i/>
          <w:color w:val="231F20"/>
          <w:spacing w:val="-6"/>
          <w:w w:val="105"/>
          <w:sz w:val="19"/>
        </w:rPr>
        <w:t xml:space="preserve"> </w:t>
      </w:r>
      <w:r>
        <w:rPr>
          <w:i/>
          <w:color w:val="231F20"/>
          <w:w w:val="105"/>
          <w:sz w:val="19"/>
        </w:rPr>
        <w:t>publicity.</w:t>
      </w:r>
      <w:r>
        <w:rPr>
          <w:i/>
          <w:color w:val="231F20"/>
          <w:spacing w:val="-17"/>
          <w:w w:val="105"/>
          <w:sz w:val="19"/>
        </w:rPr>
        <w:t xml:space="preserve"> </w:t>
      </w:r>
      <w:r>
        <w:rPr>
          <w:i/>
          <w:color w:val="231F20"/>
          <w:w w:val="105"/>
          <w:sz w:val="19"/>
        </w:rPr>
        <w:t>This</w:t>
      </w:r>
      <w:r>
        <w:rPr>
          <w:i/>
          <w:color w:val="231F20"/>
          <w:spacing w:val="-6"/>
          <w:w w:val="105"/>
          <w:sz w:val="19"/>
        </w:rPr>
        <w:t xml:space="preserve"> </w:t>
      </w:r>
      <w:r>
        <w:rPr>
          <w:i/>
          <w:color w:val="231F20"/>
          <w:w w:val="105"/>
          <w:sz w:val="19"/>
        </w:rPr>
        <w:t>means</w:t>
      </w:r>
      <w:r>
        <w:rPr>
          <w:i/>
          <w:color w:val="231F20"/>
          <w:spacing w:val="-6"/>
          <w:w w:val="105"/>
          <w:sz w:val="19"/>
        </w:rPr>
        <w:t xml:space="preserve"> </w:t>
      </w:r>
      <w:r>
        <w:rPr>
          <w:i/>
          <w:color w:val="231F20"/>
          <w:w w:val="105"/>
          <w:sz w:val="19"/>
        </w:rPr>
        <w:t>we must expect further attempts at kidnapping and blackmail.</w:t>
      </w:r>
      <w:r>
        <w:rPr>
          <w:i/>
          <w:color w:val="231F20"/>
          <w:w w:val="105"/>
          <w:position w:val="6"/>
          <w:sz w:val="11"/>
        </w:rPr>
        <w:t>5</w:t>
      </w:r>
    </w:p>
    <w:p w14:paraId="76B31C0D" w14:textId="77777777" w:rsidR="002653E8" w:rsidRDefault="003115E3">
      <w:pPr>
        <w:pStyle w:val="a3"/>
        <w:spacing w:before="132" w:line="264" w:lineRule="auto"/>
        <w:ind w:left="1327" w:right="1145"/>
        <w:jc w:val="both"/>
      </w:pPr>
      <w:r>
        <w:rPr>
          <w:color w:val="231F20"/>
          <w:w w:val="105"/>
        </w:rPr>
        <w:t xml:space="preserve">Nor was Dregger the only one to understand that the </w:t>
      </w:r>
      <w:r>
        <w:rPr>
          <w:color w:val="231F20"/>
          <w:spacing w:val="-3"/>
          <w:w w:val="105"/>
        </w:rPr>
        <w:t xml:space="preserve">2JM’s </w:t>
      </w:r>
      <w:r>
        <w:rPr>
          <w:color w:val="231F20"/>
          <w:w w:val="105"/>
        </w:rPr>
        <w:t xml:space="preserve">success would beckon to others. On March </w:t>
      </w:r>
      <w:r>
        <w:rPr>
          <w:color w:val="231F20"/>
          <w:spacing w:val="-8"/>
          <w:w w:val="105"/>
        </w:rPr>
        <w:t xml:space="preserve">7, </w:t>
      </w:r>
      <w:r>
        <w:rPr>
          <w:color w:val="231F20"/>
          <w:w w:val="105"/>
        </w:rPr>
        <w:t>Chancellor Schmidt acknowledged</w:t>
      </w:r>
      <w:r>
        <w:rPr>
          <w:color w:val="231F20"/>
          <w:spacing w:val="-27"/>
          <w:w w:val="105"/>
        </w:rPr>
        <w:t xml:space="preserve"> </w:t>
      </w:r>
      <w:r>
        <w:rPr>
          <w:color w:val="231F20"/>
          <w:w w:val="105"/>
        </w:rPr>
        <w:t>that</w:t>
      </w:r>
      <w:r>
        <w:rPr>
          <w:color w:val="231F20"/>
          <w:spacing w:val="-27"/>
          <w:w w:val="105"/>
        </w:rPr>
        <w:t xml:space="preserve"> </w:t>
      </w:r>
      <w:r>
        <w:rPr>
          <w:color w:val="231F20"/>
          <w:w w:val="105"/>
        </w:rPr>
        <w:t>the</w:t>
      </w:r>
      <w:r>
        <w:rPr>
          <w:color w:val="231F20"/>
          <w:spacing w:val="-27"/>
          <w:w w:val="105"/>
        </w:rPr>
        <w:t xml:space="preserve"> </w:t>
      </w:r>
      <w:r>
        <w:rPr>
          <w:color w:val="231F20"/>
          <w:w w:val="105"/>
        </w:rPr>
        <w:t>government</w:t>
      </w:r>
      <w:r>
        <w:rPr>
          <w:color w:val="231F20"/>
          <w:spacing w:val="-27"/>
          <w:w w:val="105"/>
        </w:rPr>
        <w:t xml:space="preserve"> </w:t>
      </w:r>
      <w:r>
        <w:rPr>
          <w:color w:val="231F20"/>
          <w:w w:val="105"/>
        </w:rPr>
        <w:t>was</w:t>
      </w:r>
      <w:r>
        <w:rPr>
          <w:color w:val="231F20"/>
          <w:spacing w:val="-27"/>
          <w:w w:val="105"/>
        </w:rPr>
        <w:t xml:space="preserve"> </w:t>
      </w:r>
      <w:r>
        <w:rPr>
          <w:color w:val="231F20"/>
          <w:w w:val="105"/>
        </w:rPr>
        <w:t>expecting</w:t>
      </w:r>
      <w:r>
        <w:rPr>
          <w:color w:val="231F20"/>
          <w:spacing w:val="-27"/>
          <w:w w:val="105"/>
        </w:rPr>
        <w:t xml:space="preserve"> </w:t>
      </w:r>
      <w:r>
        <w:rPr>
          <w:color w:val="231F20"/>
          <w:w w:val="105"/>
        </w:rPr>
        <w:t>there</w:t>
      </w:r>
      <w:r>
        <w:rPr>
          <w:color w:val="231F20"/>
          <w:spacing w:val="-27"/>
          <w:w w:val="105"/>
        </w:rPr>
        <w:t xml:space="preserve"> </w:t>
      </w:r>
      <w:r>
        <w:rPr>
          <w:color w:val="231F20"/>
          <w:w w:val="105"/>
        </w:rPr>
        <w:t>to</w:t>
      </w:r>
      <w:r>
        <w:rPr>
          <w:color w:val="231F20"/>
          <w:spacing w:val="-27"/>
          <w:w w:val="105"/>
        </w:rPr>
        <w:t xml:space="preserve"> </w:t>
      </w:r>
      <w:r>
        <w:rPr>
          <w:color w:val="231F20"/>
          <w:w w:val="105"/>
        </w:rPr>
        <w:t>be</w:t>
      </w:r>
      <w:r>
        <w:rPr>
          <w:color w:val="231F20"/>
          <w:spacing w:val="-27"/>
          <w:w w:val="105"/>
        </w:rPr>
        <w:t xml:space="preserve"> </w:t>
      </w:r>
      <w:r>
        <w:rPr>
          <w:color w:val="231F20"/>
          <w:w w:val="105"/>
        </w:rPr>
        <w:t>more</w:t>
      </w:r>
      <w:r>
        <w:rPr>
          <w:color w:val="231F20"/>
          <w:spacing w:val="-27"/>
          <w:w w:val="105"/>
        </w:rPr>
        <w:t xml:space="preserve"> </w:t>
      </w:r>
      <w:r>
        <w:rPr>
          <w:color w:val="231F20"/>
          <w:w w:val="105"/>
        </w:rPr>
        <w:t>abductions.</w:t>
      </w:r>
      <w:r>
        <w:rPr>
          <w:color w:val="231F20"/>
          <w:w w:val="105"/>
          <w:position w:val="7"/>
          <w:sz w:val="11"/>
        </w:rPr>
        <w:t xml:space="preserve">6 </w:t>
      </w:r>
      <w:r>
        <w:rPr>
          <w:color w:val="231F20"/>
          <w:w w:val="105"/>
        </w:rPr>
        <w:t xml:space="preserve">The CIA-funded </w:t>
      </w:r>
      <w:r>
        <w:rPr>
          <w:i/>
          <w:color w:val="231F20"/>
          <w:w w:val="105"/>
        </w:rPr>
        <w:t xml:space="preserve">Encounter </w:t>
      </w:r>
      <w:r>
        <w:rPr>
          <w:color w:val="231F20"/>
          <w:w w:val="105"/>
        </w:rPr>
        <w:t xml:space="preserve">magazine suggested that all it would take for the </w:t>
      </w:r>
      <w:r w:rsidR="00C507A5">
        <w:rPr>
          <w:color w:val="231F20"/>
          <w:spacing w:val="5"/>
          <w:w w:val="105"/>
        </w:rPr>
        <w:t>red army faction</w:t>
      </w:r>
      <w:r>
        <w:rPr>
          <w:color w:val="231F20"/>
          <w:spacing w:val="5"/>
          <w:w w:val="105"/>
        </w:rPr>
        <w:t xml:space="preserve"> </w:t>
      </w:r>
      <w:r>
        <w:rPr>
          <w:color w:val="231F20"/>
          <w:w w:val="105"/>
        </w:rPr>
        <w:t>to be free would be “if Lufthansa can find another open Arab</w:t>
      </w:r>
      <w:r>
        <w:rPr>
          <w:color w:val="231F20"/>
          <w:spacing w:val="-14"/>
          <w:w w:val="105"/>
        </w:rPr>
        <w:t xml:space="preserve"> </w:t>
      </w:r>
      <w:r>
        <w:rPr>
          <w:color w:val="231F20"/>
          <w:w w:val="105"/>
        </w:rPr>
        <w:t>air-strip</w:t>
      </w:r>
      <w:r>
        <w:rPr>
          <w:color w:val="231F20"/>
          <w:spacing w:val="-14"/>
          <w:w w:val="105"/>
        </w:rPr>
        <w:t xml:space="preserve"> </w:t>
      </w:r>
      <w:r>
        <w:rPr>
          <w:color w:val="231F20"/>
          <w:w w:val="105"/>
        </w:rPr>
        <w:t>on</w:t>
      </w:r>
      <w:r>
        <w:rPr>
          <w:color w:val="231F20"/>
          <w:spacing w:val="-14"/>
          <w:w w:val="105"/>
        </w:rPr>
        <w:t xml:space="preserve"> </w:t>
      </w:r>
      <w:r>
        <w:rPr>
          <w:color w:val="231F20"/>
          <w:w w:val="105"/>
        </w:rPr>
        <w:t>which</w:t>
      </w:r>
      <w:r>
        <w:rPr>
          <w:color w:val="231F20"/>
          <w:spacing w:val="-14"/>
          <w:w w:val="105"/>
        </w:rPr>
        <w:t xml:space="preserve"> </w:t>
      </w:r>
      <w:r>
        <w:rPr>
          <w:color w:val="231F20"/>
          <w:w w:val="105"/>
        </w:rPr>
        <w:t>to</w:t>
      </w:r>
      <w:r>
        <w:rPr>
          <w:color w:val="231F20"/>
          <w:spacing w:val="-14"/>
          <w:w w:val="105"/>
        </w:rPr>
        <w:t xml:space="preserve"> </w:t>
      </w:r>
      <w:r>
        <w:rPr>
          <w:color w:val="231F20"/>
          <w:w w:val="105"/>
        </w:rPr>
        <w:t>disembark</w:t>
      </w:r>
      <w:r>
        <w:rPr>
          <w:color w:val="231F20"/>
          <w:spacing w:val="-14"/>
          <w:w w:val="105"/>
        </w:rPr>
        <w:t xml:space="preserve"> </w:t>
      </w:r>
      <w:r>
        <w:rPr>
          <w:color w:val="231F20"/>
          <w:w w:val="105"/>
        </w:rPr>
        <w:t>them,”</w:t>
      </w:r>
      <w:r>
        <w:rPr>
          <w:color w:val="231F20"/>
          <w:w w:val="105"/>
          <w:position w:val="7"/>
          <w:sz w:val="11"/>
        </w:rPr>
        <w:t>7</w:t>
      </w:r>
      <w:r>
        <w:rPr>
          <w:color w:val="231F20"/>
          <w:spacing w:val="-7"/>
          <w:w w:val="105"/>
          <w:position w:val="7"/>
          <w:sz w:val="11"/>
        </w:rPr>
        <w:t xml:space="preserve"> </w:t>
      </w:r>
      <w:r>
        <w:rPr>
          <w:color w:val="231F20"/>
          <w:w w:val="105"/>
        </w:rPr>
        <w:t>while</w:t>
      </w:r>
      <w:r>
        <w:rPr>
          <w:color w:val="231F20"/>
          <w:spacing w:val="-14"/>
          <w:w w:val="105"/>
        </w:rPr>
        <w:t xml:space="preserve"> </w:t>
      </w:r>
      <w:r>
        <w:rPr>
          <w:i/>
          <w:color w:val="231F20"/>
          <w:w w:val="105"/>
        </w:rPr>
        <w:t>Time</w:t>
      </w:r>
      <w:r>
        <w:rPr>
          <w:i/>
          <w:color w:val="231F20"/>
          <w:spacing w:val="-14"/>
          <w:w w:val="105"/>
        </w:rPr>
        <w:t xml:space="preserve"> </w:t>
      </w:r>
      <w:r>
        <w:rPr>
          <w:color w:val="231F20"/>
          <w:w w:val="105"/>
        </w:rPr>
        <w:t>magazine</w:t>
      </w:r>
      <w:r>
        <w:rPr>
          <w:color w:val="231F20"/>
          <w:spacing w:val="-14"/>
          <w:w w:val="105"/>
        </w:rPr>
        <w:t xml:space="preserve"> </w:t>
      </w:r>
      <w:r>
        <w:rPr>
          <w:color w:val="231F20"/>
          <w:w w:val="105"/>
        </w:rPr>
        <w:t>entitled its article on the subject, “The Lorenz Kidnaping: A</w:t>
      </w:r>
      <w:r>
        <w:rPr>
          <w:color w:val="231F20"/>
          <w:spacing w:val="-26"/>
          <w:w w:val="105"/>
        </w:rPr>
        <w:t xml:space="preserve"> </w:t>
      </w:r>
      <w:r>
        <w:rPr>
          <w:color w:val="231F20"/>
          <w:w w:val="105"/>
        </w:rPr>
        <w:t>Rehearsal?”</w:t>
      </w:r>
    </w:p>
    <w:p w14:paraId="504822E5" w14:textId="77777777" w:rsidR="002653E8" w:rsidRDefault="002653E8">
      <w:pPr>
        <w:pStyle w:val="a3"/>
        <w:rPr>
          <w:sz w:val="16"/>
        </w:rPr>
      </w:pPr>
    </w:p>
    <w:p w14:paraId="7A6F94E9" w14:textId="77777777" w:rsidR="002653E8" w:rsidRDefault="003115E3">
      <w:pPr>
        <w:pStyle w:val="a4"/>
        <w:numPr>
          <w:ilvl w:val="0"/>
          <w:numId w:val="99"/>
        </w:numPr>
        <w:tabs>
          <w:tab w:val="left" w:pos="1467"/>
        </w:tabs>
        <w:spacing w:before="105" w:line="254" w:lineRule="auto"/>
        <w:ind w:left="1328" w:right="1300" w:hanging="1"/>
        <w:jc w:val="left"/>
        <w:rPr>
          <w:sz w:val="16"/>
        </w:rPr>
      </w:pPr>
      <w:bookmarkStart w:id="146" w:name="_Hlk123684625"/>
      <w:r>
        <w:rPr>
          <w:color w:val="231F20"/>
          <w:w w:val="105"/>
          <w:sz w:val="16"/>
        </w:rPr>
        <w:t xml:space="preserve">Quoted in  Richard  Clutterbuck,  “Terrorism  and  Urban  Violence,”  </w:t>
      </w:r>
      <w:r>
        <w:rPr>
          <w:i/>
          <w:color w:val="231F20"/>
          <w:w w:val="105"/>
          <w:sz w:val="16"/>
        </w:rPr>
        <w:t xml:space="preserve">Proceedings of the </w:t>
      </w:r>
      <w:r>
        <w:rPr>
          <w:i/>
          <w:color w:val="231F20"/>
          <w:spacing w:val="1"/>
          <w:w w:val="105"/>
          <w:sz w:val="16"/>
        </w:rPr>
        <w:t xml:space="preserve">Academy </w:t>
      </w:r>
      <w:r>
        <w:rPr>
          <w:i/>
          <w:color w:val="231F20"/>
          <w:w w:val="105"/>
          <w:sz w:val="16"/>
        </w:rPr>
        <w:t xml:space="preserve">of Political </w:t>
      </w:r>
      <w:r>
        <w:rPr>
          <w:i/>
          <w:color w:val="231F20"/>
          <w:spacing w:val="1"/>
          <w:w w:val="105"/>
          <w:sz w:val="16"/>
        </w:rPr>
        <w:t xml:space="preserve">Science </w:t>
      </w:r>
      <w:r>
        <w:rPr>
          <w:color w:val="231F20"/>
          <w:w w:val="105"/>
          <w:sz w:val="16"/>
        </w:rPr>
        <w:t xml:space="preserve">34, no. 4, The Communications Revolution in Politics </w:t>
      </w:r>
      <w:r>
        <w:rPr>
          <w:color w:val="231F20"/>
          <w:spacing w:val="-4"/>
          <w:w w:val="105"/>
          <w:sz w:val="16"/>
        </w:rPr>
        <w:t>(1982):</w:t>
      </w:r>
      <w:r>
        <w:rPr>
          <w:color w:val="231F20"/>
          <w:spacing w:val="15"/>
          <w:w w:val="105"/>
          <w:sz w:val="16"/>
        </w:rPr>
        <w:t xml:space="preserve"> </w:t>
      </w:r>
      <w:r>
        <w:rPr>
          <w:color w:val="231F20"/>
          <w:spacing w:val="-3"/>
          <w:w w:val="105"/>
          <w:sz w:val="16"/>
        </w:rPr>
        <w:t>173.</w:t>
      </w:r>
    </w:p>
    <w:p w14:paraId="25B0BA2A" w14:textId="77777777" w:rsidR="002653E8" w:rsidRDefault="003115E3">
      <w:pPr>
        <w:pStyle w:val="a4"/>
        <w:numPr>
          <w:ilvl w:val="0"/>
          <w:numId w:val="99"/>
        </w:numPr>
        <w:tabs>
          <w:tab w:val="left" w:pos="1467"/>
        </w:tabs>
        <w:ind w:left="1466" w:hanging="138"/>
        <w:jc w:val="left"/>
        <w:rPr>
          <w:sz w:val="16"/>
        </w:rPr>
      </w:pPr>
      <w:r>
        <w:rPr>
          <w:color w:val="231F20"/>
          <w:w w:val="115"/>
          <w:sz w:val="16"/>
        </w:rPr>
        <w:t>Cobler,</w:t>
      </w:r>
      <w:r>
        <w:rPr>
          <w:color w:val="231F20"/>
          <w:spacing w:val="3"/>
          <w:w w:val="115"/>
          <w:sz w:val="16"/>
        </w:rPr>
        <w:t xml:space="preserve"> </w:t>
      </w:r>
      <w:r>
        <w:rPr>
          <w:color w:val="231F20"/>
          <w:spacing w:val="-3"/>
          <w:w w:val="115"/>
          <w:sz w:val="16"/>
        </w:rPr>
        <w:t>193.</w:t>
      </w:r>
    </w:p>
    <w:p w14:paraId="07E29921" w14:textId="77777777" w:rsidR="002653E8" w:rsidRDefault="003115E3">
      <w:pPr>
        <w:pStyle w:val="a4"/>
        <w:numPr>
          <w:ilvl w:val="0"/>
          <w:numId w:val="99"/>
        </w:numPr>
        <w:tabs>
          <w:tab w:val="left" w:pos="1467"/>
        </w:tabs>
        <w:spacing w:before="52"/>
        <w:ind w:left="1466" w:hanging="138"/>
        <w:jc w:val="left"/>
        <w:rPr>
          <w:sz w:val="16"/>
        </w:rPr>
      </w:pPr>
      <w:r>
        <w:rPr>
          <w:color w:val="231F20"/>
          <w:w w:val="110"/>
          <w:sz w:val="16"/>
        </w:rPr>
        <w:t>Ibid.</w:t>
      </w:r>
    </w:p>
    <w:p w14:paraId="1B193F7D" w14:textId="77777777" w:rsidR="002653E8" w:rsidRDefault="003115E3">
      <w:pPr>
        <w:pStyle w:val="a4"/>
        <w:numPr>
          <w:ilvl w:val="0"/>
          <w:numId w:val="99"/>
        </w:numPr>
        <w:tabs>
          <w:tab w:val="left" w:pos="1467"/>
        </w:tabs>
        <w:spacing w:before="51"/>
        <w:ind w:left="1466" w:hanging="138"/>
        <w:jc w:val="left"/>
        <w:rPr>
          <w:sz w:val="16"/>
        </w:rPr>
      </w:pPr>
      <w:r>
        <w:rPr>
          <w:i/>
          <w:color w:val="231F20"/>
          <w:w w:val="110"/>
          <w:sz w:val="16"/>
        </w:rPr>
        <w:t xml:space="preserve">European Stars </w:t>
      </w:r>
      <w:r>
        <w:rPr>
          <w:i/>
          <w:color w:val="231F20"/>
          <w:spacing w:val="1"/>
          <w:w w:val="110"/>
          <w:sz w:val="16"/>
        </w:rPr>
        <w:t xml:space="preserve">and </w:t>
      </w:r>
      <w:r>
        <w:rPr>
          <w:i/>
          <w:color w:val="231F20"/>
          <w:w w:val="110"/>
          <w:sz w:val="16"/>
        </w:rPr>
        <w:t xml:space="preserve">Stripes, </w:t>
      </w:r>
      <w:r>
        <w:rPr>
          <w:color w:val="231F20"/>
          <w:w w:val="110"/>
          <w:sz w:val="16"/>
        </w:rPr>
        <w:t xml:space="preserve">“Hunt for anarchists stepped </w:t>
      </w:r>
      <w:r>
        <w:rPr>
          <w:color w:val="231F20"/>
          <w:spacing w:val="-3"/>
          <w:w w:val="110"/>
          <w:sz w:val="16"/>
        </w:rPr>
        <w:t xml:space="preserve">up,” </w:t>
      </w:r>
      <w:r>
        <w:rPr>
          <w:color w:val="231F20"/>
          <w:w w:val="110"/>
          <w:sz w:val="16"/>
        </w:rPr>
        <w:t>March</w:t>
      </w:r>
      <w:r>
        <w:rPr>
          <w:color w:val="231F20"/>
          <w:spacing w:val="37"/>
          <w:w w:val="110"/>
          <w:sz w:val="16"/>
        </w:rPr>
        <w:t xml:space="preserve"> </w:t>
      </w:r>
      <w:r>
        <w:rPr>
          <w:color w:val="231F20"/>
          <w:spacing w:val="-6"/>
          <w:w w:val="110"/>
          <w:sz w:val="16"/>
        </w:rPr>
        <w:t xml:space="preserve">7, </w:t>
      </w:r>
      <w:r>
        <w:rPr>
          <w:color w:val="231F20"/>
          <w:spacing w:val="-4"/>
          <w:w w:val="110"/>
          <w:sz w:val="16"/>
        </w:rPr>
        <w:t>1975.</w:t>
      </w:r>
    </w:p>
    <w:p w14:paraId="32A5503D" w14:textId="77777777" w:rsidR="002653E8" w:rsidRDefault="003115E3">
      <w:pPr>
        <w:pStyle w:val="a4"/>
        <w:numPr>
          <w:ilvl w:val="0"/>
          <w:numId w:val="99"/>
        </w:numPr>
        <w:tabs>
          <w:tab w:val="left" w:pos="1467"/>
        </w:tabs>
        <w:spacing w:before="52" w:line="254" w:lineRule="auto"/>
        <w:ind w:left="1328" w:right="1327" w:firstLine="0"/>
        <w:jc w:val="left"/>
        <w:rPr>
          <w:sz w:val="16"/>
        </w:rPr>
      </w:pPr>
      <w:r>
        <w:rPr>
          <w:color w:val="231F20"/>
          <w:w w:val="115"/>
          <w:sz w:val="16"/>
        </w:rPr>
        <w:t>Melvin</w:t>
      </w:r>
      <w:r>
        <w:rPr>
          <w:color w:val="231F20"/>
          <w:spacing w:val="-9"/>
          <w:w w:val="115"/>
          <w:sz w:val="16"/>
        </w:rPr>
        <w:t xml:space="preserve"> </w:t>
      </w:r>
      <w:r>
        <w:rPr>
          <w:color w:val="231F20"/>
          <w:w w:val="115"/>
          <w:sz w:val="16"/>
        </w:rPr>
        <w:t>J.</w:t>
      </w:r>
      <w:r>
        <w:rPr>
          <w:color w:val="231F20"/>
          <w:spacing w:val="-9"/>
          <w:w w:val="115"/>
          <w:sz w:val="16"/>
        </w:rPr>
        <w:t xml:space="preserve"> </w:t>
      </w:r>
      <w:r>
        <w:rPr>
          <w:color w:val="231F20"/>
          <w:w w:val="115"/>
          <w:sz w:val="16"/>
        </w:rPr>
        <w:t>Lasky,</w:t>
      </w:r>
      <w:r>
        <w:rPr>
          <w:color w:val="231F20"/>
          <w:spacing w:val="-9"/>
          <w:w w:val="115"/>
          <w:sz w:val="16"/>
        </w:rPr>
        <w:t xml:space="preserve"> </w:t>
      </w:r>
      <w:r>
        <w:rPr>
          <w:color w:val="231F20"/>
          <w:w w:val="115"/>
          <w:sz w:val="16"/>
        </w:rPr>
        <w:t>“Ulrike</w:t>
      </w:r>
      <w:r>
        <w:rPr>
          <w:color w:val="231F20"/>
          <w:spacing w:val="-9"/>
          <w:w w:val="115"/>
          <w:sz w:val="16"/>
        </w:rPr>
        <w:t xml:space="preserve"> </w:t>
      </w:r>
      <w:r>
        <w:rPr>
          <w:color w:val="231F20"/>
          <w:w w:val="115"/>
          <w:sz w:val="16"/>
        </w:rPr>
        <w:t>Meinhof</w:t>
      </w:r>
      <w:r>
        <w:rPr>
          <w:color w:val="231F20"/>
          <w:spacing w:val="-9"/>
          <w:w w:val="115"/>
          <w:sz w:val="16"/>
        </w:rPr>
        <w:t xml:space="preserve"> </w:t>
      </w:r>
      <w:r>
        <w:rPr>
          <w:color w:val="231F20"/>
          <w:w w:val="115"/>
          <w:sz w:val="16"/>
        </w:rPr>
        <w:t>&amp;</w:t>
      </w:r>
      <w:r>
        <w:rPr>
          <w:color w:val="231F20"/>
          <w:spacing w:val="-9"/>
          <w:w w:val="115"/>
          <w:sz w:val="16"/>
        </w:rPr>
        <w:t xml:space="preserve"> </w:t>
      </w:r>
      <w:r>
        <w:rPr>
          <w:color w:val="231F20"/>
          <w:w w:val="115"/>
          <w:sz w:val="16"/>
        </w:rPr>
        <w:t>the</w:t>
      </w:r>
      <w:r>
        <w:rPr>
          <w:color w:val="231F20"/>
          <w:spacing w:val="-9"/>
          <w:w w:val="115"/>
          <w:sz w:val="16"/>
        </w:rPr>
        <w:t xml:space="preserve"> </w:t>
      </w:r>
      <w:r>
        <w:rPr>
          <w:color w:val="231F20"/>
          <w:w w:val="115"/>
          <w:sz w:val="16"/>
        </w:rPr>
        <w:t>Baader-Meinhof</w:t>
      </w:r>
      <w:r>
        <w:rPr>
          <w:color w:val="231F20"/>
          <w:spacing w:val="-9"/>
          <w:w w:val="115"/>
          <w:sz w:val="16"/>
        </w:rPr>
        <w:t xml:space="preserve"> </w:t>
      </w:r>
      <w:r>
        <w:rPr>
          <w:color w:val="231F20"/>
          <w:w w:val="115"/>
          <w:sz w:val="16"/>
        </w:rPr>
        <w:t>Gang,”</w:t>
      </w:r>
      <w:r>
        <w:rPr>
          <w:color w:val="231F20"/>
          <w:spacing w:val="-9"/>
          <w:w w:val="115"/>
          <w:sz w:val="16"/>
        </w:rPr>
        <w:t xml:space="preserve"> </w:t>
      </w:r>
      <w:r>
        <w:rPr>
          <w:i/>
          <w:color w:val="231F20"/>
          <w:spacing w:val="1"/>
          <w:w w:val="115"/>
          <w:sz w:val="16"/>
        </w:rPr>
        <w:t>Encounter</w:t>
      </w:r>
      <w:r>
        <w:rPr>
          <w:i/>
          <w:color w:val="231F20"/>
          <w:spacing w:val="-8"/>
          <w:w w:val="115"/>
          <w:sz w:val="16"/>
        </w:rPr>
        <w:t xml:space="preserve"> </w:t>
      </w:r>
      <w:r>
        <w:rPr>
          <w:color w:val="231F20"/>
          <w:w w:val="115"/>
          <w:sz w:val="16"/>
        </w:rPr>
        <w:t xml:space="preserve">44 </w:t>
      </w:r>
      <w:bookmarkStart w:id="147" w:name="_Hlk123684667"/>
      <w:bookmarkEnd w:id="146"/>
      <w:r>
        <w:rPr>
          <w:color w:val="231F20"/>
          <w:w w:val="115"/>
          <w:sz w:val="16"/>
        </w:rPr>
        <w:lastRenderedPageBreak/>
        <w:t xml:space="preserve">no. 6 (June, </w:t>
      </w:r>
      <w:r>
        <w:rPr>
          <w:color w:val="231F20"/>
          <w:spacing w:val="-4"/>
          <w:w w:val="115"/>
          <w:sz w:val="16"/>
        </w:rPr>
        <w:t>1975):</w:t>
      </w:r>
      <w:r>
        <w:rPr>
          <w:color w:val="231F20"/>
          <w:spacing w:val="13"/>
          <w:w w:val="115"/>
          <w:sz w:val="16"/>
        </w:rPr>
        <w:t xml:space="preserve"> </w:t>
      </w:r>
      <w:r>
        <w:rPr>
          <w:color w:val="231F20"/>
          <w:w w:val="115"/>
          <w:sz w:val="16"/>
        </w:rPr>
        <w:t>23</w:t>
      </w:r>
      <w:bookmarkEnd w:id="147"/>
      <w:r>
        <w:rPr>
          <w:color w:val="231F20"/>
          <w:w w:val="115"/>
          <w:sz w:val="16"/>
        </w:rPr>
        <w:t>.</w:t>
      </w:r>
    </w:p>
    <w:p w14:paraId="0B0405FC" w14:textId="77777777" w:rsidR="002653E8" w:rsidRDefault="002653E8">
      <w:pPr>
        <w:spacing w:line="254" w:lineRule="auto"/>
        <w:rPr>
          <w:sz w:val="16"/>
        </w:rPr>
        <w:sectPr w:rsidR="002653E8">
          <w:pgSz w:w="8640" w:h="12960"/>
          <w:pgMar w:top="1060" w:right="0" w:bottom="1460" w:left="0" w:header="0" w:footer="1270" w:gutter="0"/>
          <w:cols w:space="720"/>
        </w:sectPr>
      </w:pPr>
    </w:p>
    <w:p w14:paraId="34665583" w14:textId="77777777" w:rsidR="002653E8" w:rsidRDefault="003115E3">
      <w:pPr>
        <w:pStyle w:val="a3"/>
        <w:spacing w:before="86" w:line="264" w:lineRule="auto"/>
        <w:ind w:left="1148" w:right="1325" w:firstLine="209"/>
        <w:jc w:val="both"/>
      </w:pPr>
      <w:r>
        <w:rPr>
          <w:color w:val="231F20"/>
        </w:rPr>
        <w:lastRenderedPageBreak/>
        <w:t>This was a bitter pill for the state to swallow and contributed to future reticence to negotiate with “terrorists.”</w:t>
      </w:r>
    </w:p>
    <w:p w14:paraId="54EB4892" w14:textId="77777777" w:rsidR="002653E8" w:rsidRDefault="003115E3">
      <w:pPr>
        <w:pStyle w:val="a3"/>
        <w:spacing w:line="264" w:lineRule="auto"/>
        <w:ind w:left="1147" w:right="1325" w:firstLine="210"/>
        <w:jc w:val="both"/>
      </w:pPr>
      <w:r>
        <w:rPr>
          <w:color w:val="231F20"/>
        </w:rPr>
        <w:t xml:space="preserve">The context in which the Lorenz kidnapping occurred only made it  all the more impressive. </w:t>
      </w:r>
      <w:r>
        <w:rPr>
          <w:color w:val="231F20"/>
          <w:spacing w:val="1"/>
        </w:rPr>
        <w:t xml:space="preserve">In </w:t>
      </w:r>
      <w:r>
        <w:rPr>
          <w:color w:val="231F20"/>
        </w:rPr>
        <w:t xml:space="preserve">the early seventies, there had been a rash of hostage-takings around the world to secure the release of political prisoners, but these had mostly been the work of Palestinian groups, and by </w:t>
      </w:r>
      <w:r>
        <w:rPr>
          <w:color w:val="231F20"/>
          <w:spacing w:val="-6"/>
        </w:rPr>
        <w:t xml:space="preserve">1975 </w:t>
      </w:r>
      <w:r>
        <w:rPr>
          <w:color w:val="231F20"/>
        </w:rPr>
        <w:t xml:space="preserve">this tactic was proving ever less successful. The police intervention against Black September at the Munich Olympics in </w:t>
      </w:r>
      <w:r>
        <w:rPr>
          <w:color w:val="231F20"/>
          <w:spacing w:val="-3"/>
        </w:rPr>
        <w:t xml:space="preserve">1972, </w:t>
      </w:r>
      <w:r>
        <w:rPr>
          <w:color w:val="231F20"/>
        </w:rPr>
        <w:t>for example, did</w:t>
      </w:r>
      <w:r>
        <w:rPr>
          <w:color w:val="231F20"/>
          <w:spacing w:val="12"/>
        </w:rPr>
        <w:t xml:space="preserve"> </w:t>
      </w:r>
      <w:r>
        <w:rPr>
          <w:color w:val="231F20"/>
        </w:rPr>
        <w:t>not</w:t>
      </w:r>
      <w:r>
        <w:rPr>
          <w:color w:val="231F20"/>
          <w:spacing w:val="12"/>
        </w:rPr>
        <w:t xml:space="preserve"> </w:t>
      </w:r>
      <w:r>
        <w:rPr>
          <w:color w:val="231F20"/>
        </w:rPr>
        <w:t>bode</w:t>
      </w:r>
      <w:r>
        <w:rPr>
          <w:color w:val="231F20"/>
          <w:spacing w:val="12"/>
        </w:rPr>
        <w:t xml:space="preserve"> </w:t>
      </w:r>
      <w:r>
        <w:rPr>
          <w:color w:val="231F20"/>
        </w:rPr>
        <w:t>well</w:t>
      </w:r>
      <w:r>
        <w:rPr>
          <w:color w:val="231F20"/>
          <w:spacing w:val="12"/>
        </w:rPr>
        <w:t xml:space="preserve"> </w:t>
      </w:r>
      <w:r>
        <w:rPr>
          <w:color w:val="231F20"/>
        </w:rPr>
        <w:t>for</w:t>
      </w:r>
      <w:r>
        <w:rPr>
          <w:color w:val="231F20"/>
          <w:spacing w:val="12"/>
        </w:rPr>
        <w:t xml:space="preserve"> </w:t>
      </w:r>
      <w:r>
        <w:rPr>
          <w:color w:val="231F20"/>
        </w:rPr>
        <w:t>guerillas</w:t>
      </w:r>
      <w:r>
        <w:rPr>
          <w:color w:val="231F20"/>
          <w:spacing w:val="12"/>
        </w:rPr>
        <w:t xml:space="preserve"> </w:t>
      </w:r>
      <w:r>
        <w:rPr>
          <w:color w:val="231F20"/>
        </w:rPr>
        <w:t>taking</w:t>
      </w:r>
      <w:r>
        <w:rPr>
          <w:color w:val="231F20"/>
          <w:spacing w:val="12"/>
        </w:rPr>
        <w:t xml:space="preserve"> </w:t>
      </w:r>
      <w:r>
        <w:rPr>
          <w:color w:val="231F20"/>
        </w:rPr>
        <w:t>hostages</w:t>
      </w:r>
      <w:r>
        <w:rPr>
          <w:color w:val="231F20"/>
          <w:spacing w:val="12"/>
        </w:rPr>
        <w:t xml:space="preserve"> </w:t>
      </w:r>
      <w:r>
        <w:rPr>
          <w:color w:val="231F20"/>
        </w:rPr>
        <w:t>in</w:t>
      </w:r>
      <w:r>
        <w:rPr>
          <w:color w:val="231F20"/>
          <w:spacing w:val="12"/>
        </w:rPr>
        <w:t xml:space="preserve"> </w:t>
      </w:r>
      <w:r>
        <w:rPr>
          <w:color w:val="231F20"/>
        </w:rPr>
        <w:t>the</w:t>
      </w:r>
      <w:r>
        <w:rPr>
          <w:color w:val="231F20"/>
          <w:spacing w:val="13"/>
        </w:rPr>
        <w:t xml:space="preserve"> </w:t>
      </w:r>
      <w:r>
        <w:rPr>
          <w:color w:val="231F20"/>
        </w:rPr>
        <w:t>FRG.</w:t>
      </w:r>
    </w:p>
    <w:p w14:paraId="614BFBE7" w14:textId="77777777" w:rsidR="002653E8" w:rsidRDefault="003115E3">
      <w:pPr>
        <w:pStyle w:val="a3"/>
        <w:spacing w:line="264" w:lineRule="auto"/>
        <w:ind w:left="1147" w:right="1326" w:firstLine="210"/>
        <w:jc w:val="both"/>
        <w:rPr>
          <w:sz w:val="11"/>
        </w:rPr>
      </w:pPr>
      <w:r>
        <w:rPr>
          <w:color w:val="231F20"/>
          <w:spacing w:val="1"/>
        </w:rPr>
        <w:t xml:space="preserve">In </w:t>
      </w:r>
      <w:r>
        <w:rPr>
          <w:color w:val="231F20"/>
        </w:rPr>
        <w:t xml:space="preserve">fact, it is possible that the state intended a double-cross: subsequent to Lorenz’s release pressure was put on South </w:t>
      </w:r>
      <w:r>
        <w:rPr>
          <w:color w:val="231F20"/>
          <w:spacing w:val="-3"/>
        </w:rPr>
        <w:t xml:space="preserve">yemen </w:t>
      </w:r>
      <w:r>
        <w:rPr>
          <w:color w:val="231F20"/>
        </w:rPr>
        <w:t xml:space="preserve">to detain the five freed prisoners and to send them back to the FRG. The Aden government refused, pointing out that it had never agreed to be </w:t>
      </w:r>
      <w:r>
        <w:rPr>
          <w:color w:val="231F20"/>
          <w:spacing w:val="1"/>
        </w:rPr>
        <w:t xml:space="preserve">party </w:t>
      </w:r>
      <w:r>
        <w:rPr>
          <w:color w:val="231F20"/>
        </w:rPr>
        <w:t xml:space="preserve">to such a ruse. Bonn cancelled the promised development aid package, but there was nothing else it could do apart from complaining loudly and hypocritically about how the </w:t>
      </w:r>
      <w:r>
        <w:rPr>
          <w:color w:val="231F20"/>
          <w:spacing w:val="-4"/>
        </w:rPr>
        <w:t xml:space="preserve">PDRy </w:t>
      </w:r>
      <w:r>
        <w:rPr>
          <w:color w:val="231F20"/>
        </w:rPr>
        <w:t>was “harboring</w:t>
      </w:r>
      <w:r>
        <w:rPr>
          <w:color w:val="231F20"/>
          <w:spacing w:val="11"/>
        </w:rPr>
        <w:t xml:space="preserve"> </w:t>
      </w:r>
      <w:r>
        <w:rPr>
          <w:color w:val="231F20"/>
        </w:rPr>
        <w:t>terrorists.”</w:t>
      </w:r>
      <w:r>
        <w:rPr>
          <w:color w:val="231F20"/>
          <w:position w:val="7"/>
          <w:sz w:val="11"/>
        </w:rPr>
        <w:t>1</w:t>
      </w:r>
    </w:p>
    <w:p w14:paraId="3B0BB837" w14:textId="77777777" w:rsidR="002653E8" w:rsidRDefault="003115E3">
      <w:pPr>
        <w:pStyle w:val="a3"/>
        <w:spacing w:line="264" w:lineRule="auto"/>
        <w:ind w:left="1147" w:right="1325" w:firstLine="210"/>
        <w:jc w:val="both"/>
        <w:rPr>
          <w:sz w:val="11"/>
        </w:rPr>
      </w:pPr>
      <w:r>
        <w:rPr>
          <w:color w:val="231F20"/>
        </w:rPr>
        <w:t xml:space="preserve">Whether the </w:t>
      </w:r>
      <w:r w:rsidR="00C507A5">
        <w:rPr>
          <w:color w:val="231F20"/>
          <w:spacing w:val="1"/>
        </w:rPr>
        <w:t>red army faction</w:t>
      </w:r>
      <w:r>
        <w:rPr>
          <w:color w:val="231F20"/>
          <w:spacing w:val="1"/>
        </w:rPr>
        <w:t xml:space="preserve">’s </w:t>
      </w:r>
      <w:r>
        <w:rPr>
          <w:color w:val="231F20"/>
        </w:rPr>
        <w:t xml:space="preserve">February communiqué to the prisoners indi cates that there were already plans for what came next, or whether the new guerillas were inspired by the  </w:t>
      </w:r>
      <w:r>
        <w:rPr>
          <w:color w:val="231F20"/>
          <w:spacing w:val="-3"/>
        </w:rPr>
        <w:t xml:space="preserve">2JM’s  </w:t>
      </w:r>
      <w:r>
        <w:rPr>
          <w:color w:val="231F20"/>
        </w:rPr>
        <w:t xml:space="preserve">success—or both—remains    a matter of conjecture. It has been said that  key  </w:t>
      </w:r>
      <w:r w:rsidR="00C507A5">
        <w:rPr>
          <w:color w:val="231F20"/>
          <w:spacing w:val="5"/>
        </w:rPr>
        <w:t>red army faction</w:t>
      </w:r>
      <w:r>
        <w:rPr>
          <w:color w:val="231F20"/>
          <w:spacing w:val="5"/>
        </w:rPr>
        <w:t xml:space="preserve">  </w:t>
      </w:r>
      <w:r>
        <w:rPr>
          <w:color w:val="231F20"/>
        </w:rPr>
        <w:t xml:space="preserve">prisoners  felt that the </w:t>
      </w:r>
      <w:r>
        <w:rPr>
          <w:color w:val="231F20"/>
          <w:spacing w:val="-7"/>
        </w:rPr>
        <w:t xml:space="preserve">1974 </w:t>
      </w:r>
      <w:r>
        <w:rPr>
          <w:color w:val="231F20"/>
        </w:rPr>
        <w:t>busts were due to people spending too much time on preparation when they should have been going into action.</w:t>
      </w:r>
      <w:r>
        <w:rPr>
          <w:color w:val="231F20"/>
          <w:position w:val="7"/>
          <w:sz w:val="11"/>
        </w:rPr>
        <w:t xml:space="preserve">2 </w:t>
      </w:r>
      <w:r>
        <w:rPr>
          <w:color w:val="231F20"/>
        </w:rPr>
        <w:t xml:space="preserve">Following the death of Holger Meins, there was intense pressure to act, and certain departures from the Committees Against Torture were certainly a sign that something was afoot. Indeed, as one such new recruit to the </w:t>
      </w:r>
      <w:r w:rsidR="00C507A5">
        <w:rPr>
          <w:color w:val="231F20"/>
          <w:spacing w:val="5"/>
        </w:rPr>
        <w:t>red army faction</w:t>
      </w:r>
      <w:r>
        <w:rPr>
          <w:color w:val="231F20"/>
          <w:spacing w:val="5"/>
        </w:rPr>
        <w:t xml:space="preserve"> </w:t>
      </w:r>
      <w:r>
        <w:rPr>
          <w:color w:val="231F20"/>
        </w:rPr>
        <w:t>later recalled, it was Baader himself who specified what should     be done</w:t>
      </w:r>
      <w:r>
        <w:rPr>
          <w:color w:val="231F20"/>
          <w:spacing w:val="21"/>
        </w:rPr>
        <w:t xml:space="preserve"> </w:t>
      </w:r>
      <w:r>
        <w:rPr>
          <w:color w:val="231F20"/>
        </w:rPr>
        <w:t>next.</w:t>
      </w:r>
      <w:r>
        <w:rPr>
          <w:color w:val="231F20"/>
          <w:position w:val="7"/>
          <w:sz w:val="11"/>
        </w:rPr>
        <w:t>3</w:t>
      </w:r>
    </w:p>
    <w:p w14:paraId="4BA6F404" w14:textId="77777777" w:rsidR="002653E8" w:rsidRDefault="003115E3">
      <w:pPr>
        <w:pStyle w:val="a3"/>
        <w:spacing w:line="264" w:lineRule="auto"/>
        <w:ind w:left="1147" w:right="1325" w:firstLine="210"/>
        <w:jc w:val="both"/>
      </w:pPr>
      <w:r>
        <w:rPr>
          <w:color w:val="231F20"/>
          <w:w w:val="105"/>
        </w:rPr>
        <w:t xml:space="preserve">On April </w:t>
      </w:r>
      <w:r>
        <w:rPr>
          <w:color w:val="231F20"/>
          <w:spacing w:val="-7"/>
          <w:w w:val="105"/>
        </w:rPr>
        <w:t>25,</w:t>
      </w:r>
      <w:r>
        <w:rPr>
          <w:color w:val="231F20"/>
          <w:spacing w:val="31"/>
          <w:w w:val="105"/>
        </w:rPr>
        <w:t xml:space="preserve"> </w:t>
      </w:r>
      <w:r>
        <w:rPr>
          <w:color w:val="231F20"/>
          <w:w w:val="105"/>
        </w:rPr>
        <w:t xml:space="preserve">almost two months after the </w:t>
      </w:r>
      <w:r>
        <w:rPr>
          <w:color w:val="231F20"/>
          <w:spacing w:val="-3"/>
          <w:w w:val="105"/>
        </w:rPr>
        <w:t xml:space="preserve">2JM’s </w:t>
      </w:r>
      <w:r>
        <w:rPr>
          <w:color w:val="231F20"/>
          <w:w w:val="105"/>
        </w:rPr>
        <w:t xml:space="preserve">operation, the </w:t>
      </w:r>
      <w:r w:rsidR="00C507A5">
        <w:rPr>
          <w:color w:val="231F20"/>
          <w:spacing w:val="1"/>
          <w:w w:val="105"/>
        </w:rPr>
        <w:t>red army faction</w:t>
      </w:r>
      <w:r>
        <w:rPr>
          <w:color w:val="231F20"/>
          <w:spacing w:val="1"/>
          <w:w w:val="105"/>
        </w:rPr>
        <w:t xml:space="preserve">’s </w:t>
      </w:r>
      <w:r>
        <w:rPr>
          <w:color w:val="231F20"/>
          <w:w w:val="105"/>
        </w:rPr>
        <w:t>“Holger  Meins  Commando”—consisting  primarily  of  former SPK members, most of whom had been active in the Committees Against</w:t>
      </w:r>
      <w:r>
        <w:rPr>
          <w:color w:val="231F20"/>
          <w:spacing w:val="-6"/>
          <w:w w:val="105"/>
        </w:rPr>
        <w:t xml:space="preserve"> </w:t>
      </w:r>
      <w:r>
        <w:rPr>
          <w:color w:val="231F20"/>
          <w:w w:val="105"/>
        </w:rPr>
        <w:t>Torture—seized</w:t>
      </w:r>
      <w:r>
        <w:rPr>
          <w:color w:val="231F20"/>
          <w:spacing w:val="-6"/>
          <w:w w:val="105"/>
        </w:rPr>
        <w:t xml:space="preserve"> </w:t>
      </w:r>
      <w:r>
        <w:rPr>
          <w:color w:val="231F20"/>
          <w:w w:val="105"/>
        </w:rPr>
        <w:t>the</w:t>
      </w:r>
      <w:r>
        <w:rPr>
          <w:color w:val="231F20"/>
          <w:spacing w:val="-6"/>
          <w:w w:val="105"/>
        </w:rPr>
        <w:t xml:space="preserve"> </w:t>
      </w:r>
      <w:r>
        <w:rPr>
          <w:color w:val="231F20"/>
          <w:w w:val="105"/>
        </w:rPr>
        <w:t>top</w:t>
      </w:r>
      <w:r>
        <w:rPr>
          <w:color w:val="231F20"/>
          <w:spacing w:val="-6"/>
          <w:w w:val="105"/>
        </w:rPr>
        <w:t xml:space="preserve"> </w:t>
      </w:r>
      <w:r>
        <w:rPr>
          <w:color w:val="231F20"/>
          <w:w w:val="105"/>
        </w:rPr>
        <w:t>floor</w:t>
      </w:r>
      <w:r>
        <w:rPr>
          <w:color w:val="231F20"/>
          <w:spacing w:val="-6"/>
          <w:w w:val="105"/>
        </w:rPr>
        <w:t xml:space="preserve"> </w:t>
      </w:r>
      <w:r>
        <w:rPr>
          <w:color w:val="231F20"/>
          <w:w w:val="105"/>
        </w:rPr>
        <w:t>of</w:t>
      </w:r>
      <w:r>
        <w:rPr>
          <w:color w:val="231F20"/>
          <w:spacing w:val="-6"/>
          <w:w w:val="105"/>
        </w:rPr>
        <w:t xml:space="preserve"> </w:t>
      </w:r>
      <w:r>
        <w:rPr>
          <w:color w:val="231F20"/>
          <w:w w:val="105"/>
        </w:rPr>
        <w:t>the</w:t>
      </w:r>
      <w:r>
        <w:rPr>
          <w:color w:val="231F20"/>
          <w:spacing w:val="-6"/>
          <w:w w:val="105"/>
        </w:rPr>
        <w:t xml:space="preserve"> </w:t>
      </w:r>
      <w:r>
        <w:rPr>
          <w:color w:val="231F20"/>
          <w:spacing w:val="-3"/>
          <w:w w:val="105"/>
        </w:rPr>
        <w:t>West</w:t>
      </w:r>
      <w:r>
        <w:rPr>
          <w:color w:val="231F20"/>
          <w:spacing w:val="-6"/>
          <w:w w:val="105"/>
        </w:rPr>
        <w:t xml:space="preserve"> </w:t>
      </w:r>
      <w:r>
        <w:rPr>
          <w:color w:val="231F20"/>
          <w:w w:val="105"/>
        </w:rPr>
        <w:t>German</w:t>
      </w:r>
      <w:r>
        <w:rPr>
          <w:color w:val="231F20"/>
          <w:spacing w:val="-6"/>
          <w:w w:val="105"/>
        </w:rPr>
        <w:t xml:space="preserve"> </w:t>
      </w:r>
      <w:r>
        <w:rPr>
          <w:color w:val="231F20"/>
          <w:w w:val="105"/>
        </w:rPr>
        <w:t>embassy</w:t>
      </w:r>
      <w:r>
        <w:rPr>
          <w:color w:val="231F20"/>
          <w:spacing w:val="-6"/>
          <w:w w:val="105"/>
        </w:rPr>
        <w:t xml:space="preserve"> </w:t>
      </w:r>
      <w:r>
        <w:rPr>
          <w:color w:val="231F20"/>
          <w:w w:val="105"/>
        </w:rPr>
        <w:t>in Stockholm, Sweden, taking twelve hostages. They demanded the release</w:t>
      </w:r>
      <w:r>
        <w:rPr>
          <w:color w:val="231F20"/>
          <w:spacing w:val="-18"/>
          <w:w w:val="105"/>
        </w:rPr>
        <w:t xml:space="preserve"> </w:t>
      </w:r>
      <w:r>
        <w:rPr>
          <w:color w:val="231F20"/>
          <w:w w:val="105"/>
        </w:rPr>
        <w:t>of</w:t>
      </w:r>
      <w:r>
        <w:rPr>
          <w:color w:val="231F20"/>
          <w:spacing w:val="-18"/>
          <w:w w:val="105"/>
        </w:rPr>
        <w:t xml:space="preserve"> </w:t>
      </w:r>
      <w:r>
        <w:rPr>
          <w:color w:val="231F20"/>
          <w:w w:val="105"/>
        </w:rPr>
        <w:t>twenty-six</w:t>
      </w:r>
      <w:r>
        <w:rPr>
          <w:color w:val="231F20"/>
          <w:spacing w:val="-18"/>
          <w:w w:val="105"/>
        </w:rPr>
        <w:t xml:space="preserve"> </w:t>
      </w:r>
      <w:r>
        <w:rPr>
          <w:color w:val="231F20"/>
          <w:spacing w:val="-3"/>
          <w:w w:val="105"/>
        </w:rPr>
        <w:t>West</w:t>
      </w:r>
      <w:r>
        <w:rPr>
          <w:color w:val="231F20"/>
          <w:spacing w:val="-18"/>
          <w:w w:val="105"/>
        </w:rPr>
        <w:t xml:space="preserve"> </w:t>
      </w:r>
      <w:r>
        <w:rPr>
          <w:color w:val="231F20"/>
          <w:w w:val="105"/>
        </w:rPr>
        <w:t>German</w:t>
      </w:r>
      <w:r>
        <w:rPr>
          <w:color w:val="231F20"/>
          <w:spacing w:val="-18"/>
          <w:w w:val="105"/>
        </w:rPr>
        <w:t xml:space="preserve"> </w:t>
      </w:r>
      <w:r>
        <w:rPr>
          <w:color w:val="231F20"/>
          <w:w w:val="105"/>
        </w:rPr>
        <w:t>political</w:t>
      </w:r>
      <w:r>
        <w:rPr>
          <w:color w:val="231F20"/>
          <w:spacing w:val="-18"/>
          <w:w w:val="105"/>
        </w:rPr>
        <w:t xml:space="preserve"> </w:t>
      </w:r>
      <w:r>
        <w:rPr>
          <w:color w:val="231F20"/>
          <w:w w:val="105"/>
        </w:rPr>
        <w:t>prisoners—not</w:t>
      </w:r>
      <w:r>
        <w:rPr>
          <w:color w:val="231F20"/>
          <w:spacing w:val="-18"/>
          <w:w w:val="105"/>
        </w:rPr>
        <w:t xml:space="preserve"> </w:t>
      </w:r>
      <w:r>
        <w:rPr>
          <w:color w:val="231F20"/>
          <w:w w:val="105"/>
        </w:rPr>
        <w:t>only</w:t>
      </w:r>
      <w:r>
        <w:rPr>
          <w:color w:val="231F20"/>
          <w:spacing w:val="-18"/>
          <w:w w:val="105"/>
        </w:rPr>
        <w:t xml:space="preserve"> </w:t>
      </w:r>
      <w:r>
        <w:rPr>
          <w:color w:val="231F20"/>
          <w:w w:val="105"/>
        </w:rPr>
        <w:t xml:space="preserve">Ensslin, Meinhof, Raspe, Baader, and the rest of the </w:t>
      </w:r>
      <w:r w:rsidR="00C507A5">
        <w:rPr>
          <w:color w:val="231F20"/>
          <w:w w:val="105"/>
        </w:rPr>
        <w:t>red army faction</w:t>
      </w:r>
      <w:r>
        <w:rPr>
          <w:color w:val="231F20"/>
          <w:w w:val="105"/>
        </w:rPr>
        <w:t>, but also Annerose Reiche</w:t>
      </w:r>
      <w:r>
        <w:rPr>
          <w:color w:val="231F20"/>
          <w:spacing w:val="-9"/>
          <w:w w:val="105"/>
        </w:rPr>
        <w:t xml:space="preserve"> </w:t>
      </w:r>
      <w:r>
        <w:rPr>
          <w:color w:val="231F20"/>
          <w:w w:val="105"/>
        </w:rPr>
        <w:t>of</w:t>
      </w:r>
      <w:r>
        <w:rPr>
          <w:color w:val="231F20"/>
          <w:spacing w:val="-9"/>
          <w:w w:val="105"/>
        </w:rPr>
        <w:t xml:space="preserve"> </w:t>
      </w:r>
      <w:r>
        <w:rPr>
          <w:color w:val="231F20"/>
          <w:w w:val="105"/>
        </w:rPr>
        <w:t>the</w:t>
      </w:r>
      <w:r>
        <w:rPr>
          <w:color w:val="231F20"/>
          <w:spacing w:val="-9"/>
          <w:w w:val="105"/>
        </w:rPr>
        <w:t xml:space="preserve"> </w:t>
      </w:r>
      <w:r>
        <w:rPr>
          <w:color w:val="231F20"/>
          <w:w w:val="105"/>
        </w:rPr>
        <w:t>2JM,</w:t>
      </w:r>
      <w:r>
        <w:rPr>
          <w:color w:val="231F20"/>
          <w:spacing w:val="-9"/>
          <w:w w:val="105"/>
        </w:rPr>
        <w:t xml:space="preserve"> </w:t>
      </w:r>
      <w:r>
        <w:rPr>
          <w:color w:val="231F20"/>
          <w:w w:val="105"/>
        </w:rPr>
        <w:t>and</w:t>
      </w:r>
      <w:r>
        <w:rPr>
          <w:color w:val="231F20"/>
          <w:spacing w:val="-9"/>
          <w:w w:val="105"/>
        </w:rPr>
        <w:t xml:space="preserve"> </w:t>
      </w:r>
      <w:r>
        <w:rPr>
          <w:color w:val="231F20"/>
          <w:w w:val="105"/>
        </w:rPr>
        <w:t>various</w:t>
      </w:r>
      <w:r>
        <w:rPr>
          <w:color w:val="231F20"/>
          <w:spacing w:val="-9"/>
          <w:w w:val="105"/>
        </w:rPr>
        <w:t xml:space="preserve"> </w:t>
      </w:r>
      <w:r>
        <w:rPr>
          <w:color w:val="231F20"/>
          <w:w w:val="105"/>
        </w:rPr>
        <w:t>“independent”</w:t>
      </w:r>
      <w:r>
        <w:rPr>
          <w:color w:val="231F20"/>
          <w:spacing w:val="-9"/>
          <w:w w:val="105"/>
        </w:rPr>
        <w:t xml:space="preserve"> </w:t>
      </w:r>
      <w:r>
        <w:rPr>
          <w:color w:val="231F20"/>
          <w:w w:val="105"/>
        </w:rPr>
        <w:t>political</w:t>
      </w:r>
      <w:r>
        <w:rPr>
          <w:color w:val="231F20"/>
          <w:spacing w:val="-9"/>
          <w:w w:val="105"/>
        </w:rPr>
        <w:t xml:space="preserve"> </w:t>
      </w:r>
      <w:r>
        <w:rPr>
          <w:color w:val="231F20"/>
          <w:w w:val="105"/>
        </w:rPr>
        <w:t>prisoners,</w:t>
      </w:r>
      <w:r>
        <w:rPr>
          <w:color w:val="231F20"/>
          <w:spacing w:val="-9"/>
          <w:w w:val="105"/>
        </w:rPr>
        <w:t xml:space="preserve"> </w:t>
      </w:r>
      <w:r>
        <w:rPr>
          <w:color w:val="231F20"/>
          <w:w w:val="105"/>
        </w:rPr>
        <w:t>such</w:t>
      </w:r>
    </w:p>
    <w:p w14:paraId="5EEC15B8" w14:textId="77777777" w:rsidR="002653E8" w:rsidRDefault="00000000">
      <w:pPr>
        <w:pStyle w:val="a3"/>
        <w:spacing w:before="3"/>
      </w:pPr>
      <w:r>
        <w:rPr>
          <w:noProof w:val="0"/>
        </w:rPr>
        <w:pict w14:anchorId="6FCC02D8">
          <v:line id="_x0000_s2340" style="position:absolute;z-index:7552;mso-wrap-distance-left:0;mso-wrap-distance-right:0;mso-position-horizontal-relative:page" from="57.4pt,14.1pt" to="129.4pt,14.1pt" strokecolor="#231f20" strokeweight=".5pt">
            <w10:wrap type="topAndBottom" anchorx="page"/>
          </v:line>
        </w:pict>
      </w:r>
    </w:p>
    <w:p w14:paraId="220A0CA3" w14:textId="77777777" w:rsidR="002653E8" w:rsidRDefault="003115E3">
      <w:pPr>
        <w:pStyle w:val="a4"/>
        <w:numPr>
          <w:ilvl w:val="0"/>
          <w:numId w:val="98"/>
        </w:numPr>
        <w:tabs>
          <w:tab w:val="left" w:pos="1287"/>
        </w:tabs>
        <w:spacing w:before="53" w:line="254" w:lineRule="auto"/>
        <w:ind w:right="1682" w:firstLine="0"/>
        <w:rPr>
          <w:sz w:val="16"/>
        </w:rPr>
      </w:pPr>
      <w:bookmarkStart w:id="148" w:name="_Hlk123687910"/>
      <w:r>
        <w:rPr>
          <w:color w:val="231F20"/>
          <w:w w:val="105"/>
          <w:sz w:val="16"/>
        </w:rPr>
        <w:t xml:space="preserve">Halliday, </w:t>
      </w:r>
      <w:r>
        <w:rPr>
          <w:color w:val="231F20"/>
          <w:spacing w:val="-5"/>
          <w:w w:val="105"/>
          <w:sz w:val="16"/>
        </w:rPr>
        <w:t xml:space="preserve">77. </w:t>
      </w:r>
      <w:r>
        <w:rPr>
          <w:color w:val="231F20"/>
          <w:w w:val="105"/>
          <w:sz w:val="16"/>
        </w:rPr>
        <w:t>Roughly $3 million DM were eventually released as “emergency food</w:t>
      </w:r>
      <w:r>
        <w:rPr>
          <w:color w:val="231F20"/>
          <w:spacing w:val="7"/>
          <w:w w:val="105"/>
          <w:sz w:val="16"/>
        </w:rPr>
        <w:t xml:space="preserve"> </w:t>
      </w:r>
      <w:r>
        <w:rPr>
          <w:color w:val="231F20"/>
          <w:w w:val="105"/>
          <w:sz w:val="16"/>
        </w:rPr>
        <w:t>aid”</w:t>
      </w:r>
      <w:r>
        <w:rPr>
          <w:color w:val="231F20"/>
          <w:spacing w:val="7"/>
          <w:w w:val="105"/>
          <w:sz w:val="16"/>
        </w:rPr>
        <w:t xml:space="preserve"> </w:t>
      </w:r>
      <w:r>
        <w:rPr>
          <w:color w:val="231F20"/>
          <w:w w:val="105"/>
          <w:sz w:val="16"/>
        </w:rPr>
        <w:t>and</w:t>
      </w:r>
      <w:r>
        <w:rPr>
          <w:color w:val="231F20"/>
          <w:spacing w:val="7"/>
          <w:w w:val="105"/>
          <w:sz w:val="16"/>
        </w:rPr>
        <w:t xml:space="preserve"> </w:t>
      </w:r>
      <w:r>
        <w:rPr>
          <w:color w:val="231F20"/>
          <w:w w:val="105"/>
          <w:sz w:val="16"/>
        </w:rPr>
        <w:t>pumps</w:t>
      </w:r>
      <w:r>
        <w:rPr>
          <w:color w:val="231F20"/>
          <w:spacing w:val="7"/>
          <w:w w:val="105"/>
          <w:sz w:val="16"/>
        </w:rPr>
        <w:t xml:space="preserve"> </w:t>
      </w:r>
      <w:r>
        <w:rPr>
          <w:color w:val="231F20"/>
          <w:w w:val="105"/>
          <w:sz w:val="16"/>
        </w:rPr>
        <w:t>for</w:t>
      </w:r>
      <w:r>
        <w:rPr>
          <w:color w:val="231F20"/>
          <w:spacing w:val="7"/>
          <w:w w:val="105"/>
          <w:sz w:val="16"/>
        </w:rPr>
        <w:t xml:space="preserve"> </w:t>
      </w:r>
      <w:r>
        <w:rPr>
          <w:color w:val="231F20"/>
          <w:w w:val="105"/>
          <w:sz w:val="16"/>
        </w:rPr>
        <w:t>Aden’s</w:t>
      </w:r>
      <w:r>
        <w:rPr>
          <w:color w:val="231F20"/>
          <w:spacing w:val="7"/>
          <w:w w:val="105"/>
          <w:sz w:val="16"/>
        </w:rPr>
        <w:t xml:space="preserve"> </w:t>
      </w:r>
      <w:r>
        <w:rPr>
          <w:color w:val="231F20"/>
          <w:w w:val="105"/>
          <w:sz w:val="16"/>
        </w:rPr>
        <w:t>water</w:t>
      </w:r>
      <w:r>
        <w:rPr>
          <w:color w:val="231F20"/>
          <w:spacing w:val="7"/>
          <w:w w:val="105"/>
          <w:sz w:val="16"/>
        </w:rPr>
        <w:t xml:space="preserve"> </w:t>
      </w:r>
      <w:r>
        <w:rPr>
          <w:color w:val="231F20"/>
          <w:w w:val="105"/>
          <w:sz w:val="16"/>
        </w:rPr>
        <w:t>supply.</w:t>
      </w:r>
    </w:p>
    <w:p w14:paraId="7693860E" w14:textId="77777777" w:rsidR="002653E8" w:rsidRDefault="003115E3">
      <w:pPr>
        <w:pStyle w:val="a4"/>
        <w:numPr>
          <w:ilvl w:val="0"/>
          <w:numId w:val="98"/>
        </w:numPr>
        <w:tabs>
          <w:tab w:val="left" w:pos="1287"/>
        </w:tabs>
        <w:ind w:left="1286"/>
        <w:rPr>
          <w:sz w:val="16"/>
        </w:rPr>
      </w:pPr>
      <w:r>
        <w:rPr>
          <w:color w:val="231F20"/>
          <w:w w:val="115"/>
          <w:sz w:val="16"/>
        </w:rPr>
        <w:t>Dellwo,</w:t>
      </w:r>
      <w:r>
        <w:rPr>
          <w:color w:val="231F20"/>
          <w:spacing w:val="3"/>
          <w:w w:val="115"/>
          <w:sz w:val="16"/>
        </w:rPr>
        <w:t xml:space="preserve"> </w:t>
      </w:r>
      <w:r>
        <w:rPr>
          <w:color w:val="231F20"/>
          <w:w w:val="115"/>
          <w:sz w:val="16"/>
        </w:rPr>
        <w:t>93.</w:t>
      </w:r>
    </w:p>
    <w:p w14:paraId="148AB3CF" w14:textId="77777777" w:rsidR="002653E8" w:rsidRDefault="003115E3">
      <w:pPr>
        <w:spacing w:before="51"/>
        <w:ind w:left="1147"/>
        <w:rPr>
          <w:sz w:val="16"/>
        </w:rPr>
      </w:pPr>
      <w:r>
        <w:rPr>
          <w:color w:val="231F20"/>
          <w:w w:val="115"/>
          <w:sz w:val="16"/>
        </w:rPr>
        <w:t>3 Ibid., 10.</w:t>
      </w:r>
    </w:p>
    <w:bookmarkEnd w:id="148"/>
    <w:p w14:paraId="2820D542" w14:textId="77777777" w:rsidR="002653E8" w:rsidRDefault="002653E8">
      <w:pPr>
        <w:rPr>
          <w:sz w:val="16"/>
        </w:rPr>
        <w:sectPr w:rsidR="002653E8">
          <w:footerReference w:type="even" r:id="rId283"/>
          <w:footerReference w:type="default" r:id="rId284"/>
          <w:pgSz w:w="8640" w:h="12960"/>
          <w:pgMar w:top="1060" w:right="0" w:bottom="1040" w:left="0" w:header="0" w:footer="850" w:gutter="0"/>
          <w:pgNumType w:start="332"/>
          <w:cols w:space="720"/>
        </w:sectPr>
      </w:pPr>
    </w:p>
    <w:p w14:paraId="0EA1FC47" w14:textId="77777777" w:rsidR="002653E8" w:rsidRDefault="003115E3">
      <w:pPr>
        <w:pStyle w:val="a3"/>
        <w:spacing w:before="86" w:line="264" w:lineRule="auto"/>
        <w:ind w:left="1327" w:right="1146"/>
        <w:jc w:val="both"/>
      </w:pPr>
      <w:r>
        <w:rPr>
          <w:color w:val="231F20"/>
        </w:rPr>
        <w:lastRenderedPageBreak/>
        <w:t xml:space="preserve">as Wolfgang Quante </w:t>
      </w:r>
      <w:r>
        <w:rPr>
          <w:color w:val="231F20"/>
          <w:spacing w:val="-4"/>
        </w:rPr>
        <w:t xml:space="preserve">(a  </w:t>
      </w:r>
      <w:r>
        <w:rPr>
          <w:color w:val="231F20"/>
        </w:rPr>
        <w:t xml:space="preserve">squatter who had been arrested in  </w:t>
      </w:r>
      <w:r>
        <w:rPr>
          <w:color w:val="231F20"/>
          <w:spacing w:val="-7"/>
        </w:rPr>
        <w:t xml:space="preserve">1974  </w:t>
      </w:r>
      <w:r>
        <w:rPr>
          <w:color w:val="231F20"/>
        </w:rPr>
        <w:t>after    a bomb went off in his house), and Sigurd Debus and Wolfgang Stahl, Hamburg-based independent Maoists who had been robbing banks to fund guerilla</w:t>
      </w:r>
      <w:r>
        <w:rPr>
          <w:color w:val="231F20"/>
          <w:spacing w:val="21"/>
        </w:rPr>
        <w:t xml:space="preserve"> </w:t>
      </w:r>
      <w:r>
        <w:rPr>
          <w:color w:val="231F20"/>
        </w:rPr>
        <w:t>operations.</w:t>
      </w:r>
    </w:p>
    <w:p w14:paraId="7757E537" w14:textId="77777777" w:rsidR="002653E8" w:rsidRDefault="003115E3">
      <w:pPr>
        <w:pStyle w:val="a3"/>
        <w:spacing w:line="264" w:lineRule="auto"/>
        <w:ind w:left="1327" w:right="1146" w:firstLine="210"/>
        <w:jc w:val="both"/>
      </w:pPr>
      <w:r>
        <w:rPr>
          <w:color w:val="231F20"/>
          <w:spacing w:val="1"/>
        </w:rPr>
        <w:t xml:space="preserve">If </w:t>
      </w:r>
      <w:r>
        <w:rPr>
          <w:color w:val="231F20"/>
        </w:rPr>
        <w:t xml:space="preserve">the 2JM had measured their demands against what the state might be likely to concede, the </w:t>
      </w:r>
      <w:r w:rsidR="00C507A5">
        <w:rPr>
          <w:color w:val="231F20"/>
          <w:spacing w:val="5"/>
        </w:rPr>
        <w:t>red army faction</w:t>
      </w:r>
      <w:r>
        <w:rPr>
          <w:color w:val="231F20"/>
          <w:spacing w:val="5"/>
        </w:rPr>
        <w:t xml:space="preserve"> </w:t>
      </w:r>
      <w:r>
        <w:rPr>
          <w:color w:val="231F20"/>
        </w:rPr>
        <w:t>seemed intent on avoiding any such  limits.</w:t>
      </w:r>
    </w:p>
    <w:p w14:paraId="02015C61" w14:textId="77777777" w:rsidR="002653E8" w:rsidRDefault="003115E3">
      <w:pPr>
        <w:pStyle w:val="a3"/>
        <w:spacing w:line="264" w:lineRule="auto"/>
        <w:ind w:left="1327" w:right="1146" w:firstLine="210"/>
        <w:jc w:val="both"/>
      </w:pPr>
      <w:r>
        <w:rPr>
          <w:color w:val="231F20"/>
        </w:rPr>
        <w:t xml:space="preserve">Swedish police rushed in, occupying the embassy’s ground floor. They were repeatedly told to leave the building, and the guerilla threatened to execute the </w:t>
      </w:r>
      <w:r>
        <w:rPr>
          <w:color w:val="231F20"/>
          <w:spacing w:val="-3"/>
        </w:rPr>
        <w:t xml:space="preserve">FRG’s </w:t>
      </w:r>
      <w:r>
        <w:rPr>
          <w:color w:val="231F20"/>
          <w:spacing w:val="1"/>
        </w:rPr>
        <w:t xml:space="preserve">Military </w:t>
      </w:r>
      <w:r>
        <w:rPr>
          <w:color w:val="231F20"/>
        </w:rPr>
        <w:t>Attaché if they did not do so. When the police failed to heed these warnings, Lieutenant Colonel Baron Andreas von</w:t>
      </w:r>
      <w:r>
        <w:rPr>
          <w:color w:val="231F20"/>
          <w:spacing w:val="10"/>
        </w:rPr>
        <w:t xml:space="preserve"> </w:t>
      </w:r>
      <w:r>
        <w:rPr>
          <w:color w:val="231F20"/>
        </w:rPr>
        <w:t>Mirbach</w:t>
      </w:r>
      <w:r>
        <w:rPr>
          <w:color w:val="231F20"/>
          <w:spacing w:val="10"/>
        </w:rPr>
        <w:t xml:space="preserve"> </w:t>
      </w:r>
      <w:r>
        <w:rPr>
          <w:color w:val="231F20"/>
        </w:rPr>
        <w:t>was</w:t>
      </w:r>
      <w:r>
        <w:rPr>
          <w:color w:val="231F20"/>
          <w:spacing w:val="10"/>
        </w:rPr>
        <w:t xml:space="preserve"> </w:t>
      </w:r>
      <w:r>
        <w:rPr>
          <w:color w:val="231F20"/>
        </w:rPr>
        <w:t>shot</w:t>
      </w:r>
      <w:r>
        <w:rPr>
          <w:color w:val="231F20"/>
          <w:spacing w:val="10"/>
        </w:rPr>
        <w:t xml:space="preserve"> </w:t>
      </w:r>
      <w:r>
        <w:rPr>
          <w:color w:val="231F20"/>
        </w:rPr>
        <w:t>through</w:t>
      </w:r>
      <w:r>
        <w:rPr>
          <w:color w:val="231F20"/>
          <w:spacing w:val="10"/>
        </w:rPr>
        <w:t xml:space="preserve"> </w:t>
      </w:r>
      <w:r>
        <w:rPr>
          <w:color w:val="231F20"/>
        </w:rPr>
        <w:t>the</w:t>
      </w:r>
      <w:r>
        <w:rPr>
          <w:color w:val="231F20"/>
          <w:spacing w:val="10"/>
        </w:rPr>
        <w:t xml:space="preserve"> </w:t>
      </w:r>
      <w:r>
        <w:rPr>
          <w:color w:val="231F20"/>
        </w:rPr>
        <w:t>head.</w:t>
      </w:r>
    </w:p>
    <w:p w14:paraId="0941B036" w14:textId="77777777" w:rsidR="002653E8" w:rsidRDefault="003115E3">
      <w:pPr>
        <w:pStyle w:val="a3"/>
        <w:spacing w:line="264" w:lineRule="auto"/>
        <w:ind w:left="1327" w:right="1146" w:firstLine="210"/>
        <w:jc w:val="both"/>
      </w:pPr>
      <w:r>
        <w:rPr>
          <w:color w:val="231F20"/>
        </w:rPr>
        <w:t>Thus convinced that the guerillas meant business, the police quickly vacated the premises and set up their perimeter outside. A special intervention team was flown in from Hamburg,</w:t>
      </w:r>
      <w:r>
        <w:rPr>
          <w:color w:val="231F20"/>
          <w:position w:val="7"/>
          <w:sz w:val="11"/>
        </w:rPr>
        <w:t xml:space="preserve">4 </w:t>
      </w:r>
      <w:r>
        <w:rPr>
          <w:color w:val="231F20"/>
        </w:rPr>
        <w:t>telephone lines to the embassy were cut, and the surrounding area was evacuated.</w:t>
      </w:r>
    </w:p>
    <w:p w14:paraId="3811B939" w14:textId="77777777" w:rsidR="002653E8" w:rsidRDefault="003115E3">
      <w:pPr>
        <w:pStyle w:val="a3"/>
        <w:spacing w:line="264" w:lineRule="auto"/>
        <w:ind w:left="1327" w:right="1147" w:firstLine="210"/>
        <w:jc w:val="both"/>
        <w:rPr>
          <w:sz w:val="11"/>
        </w:rPr>
      </w:pPr>
      <w:r>
        <w:rPr>
          <w:color w:val="231F20"/>
        </w:rPr>
        <w:t xml:space="preserve">Chancellor Helmut Schmidt summoned a special Crisis Management </w:t>
      </w:r>
      <w:r>
        <w:rPr>
          <w:color w:val="231F20"/>
          <w:spacing w:val="-3"/>
        </w:rPr>
        <w:t xml:space="preserve">Team </w:t>
      </w:r>
      <w:r>
        <w:rPr>
          <w:color w:val="231F20"/>
        </w:rPr>
        <w:t>(</w:t>
      </w:r>
      <w:r>
        <w:rPr>
          <w:i/>
          <w:color w:val="231F20"/>
        </w:rPr>
        <w:t>Krisenstab</w:t>
      </w:r>
      <w:r>
        <w:rPr>
          <w:color w:val="231F20"/>
        </w:rPr>
        <w:t>), consisting of his ministerial cabinet and the House Speaker of each parliamentary party, in order to facilitate communication</w:t>
      </w:r>
      <w:r>
        <w:rPr>
          <w:color w:val="231F20"/>
          <w:spacing w:val="-7"/>
        </w:rPr>
        <w:t xml:space="preserve"> </w:t>
      </w:r>
      <w:r>
        <w:rPr>
          <w:color w:val="231F20"/>
        </w:rPr>
        <w:t>and</w:t>
      </w:r>
      <w:r>
        <w:rPr>
          <w:color w:val="231F20"/>
          <w:spacing w:val="-7"/>
        </w:rPr>
        <w:t xml:space="preserve"> </w:t>
      </w:r>
      <w:r>
        <w:rPr>
          <w:color w:val="231F20"/>
        </w:rPr>
        <w:t>provide</w:t>
      </w:r>
      <w:r>
        <w:rPr>
          <w:color w:val="231F20"/>
          <w:spacing w:val="-7"/>
        </w:rPr>
        <w:t xml:space="preserve"> </w:t>
      </w:r>
      <w:r>
        <w:rPr>
          <w:color w:val="231F20"/>
        </w:rPr>
        <w:t>the</w:t>
      </w:r>
      <w:r>
        <w:rPr>
          <w:color w:val="231F20"/>
          <w:spacing w:val="-7"/>
        </w:rPr>
        <w:t xml:space="preserve"> </w:t>
      </w:r>
      <w:r>
        <w:rPr>
          <w:color w:val="231F20"/>
        </w:rPr>
        <w:t>government</w:t>
      </w:r>
      <w:r>
        <w:rPr>
          <w:color w:val="231F20"/>
          <w:spacing w:val="-7"/>
        </w:rPr>
        <w:t xml:space="preserve"> </w:t>
      </w:r>
      <w:r>
        <w:rPr>
          <w:color w:val="231F20"/>
        </w:rPr>
        <w:t>with</w:t>
      </w:r>
      <w:r>
        <w:rPr>
          <w:color w:val="231F20"/>
          <w:spacing w:val="-7"/>
        </w:rPr>
        <w:t xml:space="preserve"> </w:t>
      </w:r>
      <w:r>
        <w:rPr>
          <w:color w:val="231F20"/>
        </w:rPr>
        <w:t>cross-party</w:t>
      </w:r>
      <w:r>
        <w:rPr>
          <w:color w:val="231F20"/>
          <w:spacing w:val="-7"/>
        </w:rPr>
        <w:t xml:space="preserve"> </w:t>
      </w:r>
      <w:r>
        <w:rPr>
          <w:color w:val="231F20"/>
        </w:rPr>
        <w:t>backing.</w:t>
      </w:r>
      <w:r>
        <w:rPr>
          <w:color w:val="231F20"/>
          <w:position w:val="7"/>
          <w:sz w:val="11"/>
        </w:rPr>
        <w:t>5</w:t>
      </w:r>
      <w:r>
        <w:rPr>
          <w:color w:val="231F20"/>
          <w:spacing w:val="-3"/>
          <w:position w:val="7"/>
          <w:sz w:val="11"/>
        </w:rPr>
        <w:t xml:space="preserve"> </w:t>
      </w:r>
      <w:r>
        <w:rPr>
          <w:color w:val="231F20"/>
        </w:rPr>
        <w:t>Thus</w:t>
      </w:r>
      <w:r>
        <w:rPr>
          <w:color w:val="231F20"/>
          <w:spacing w:val="-7"/>
        </w:rPr>
        <w:t xml:space="preserve"> </w:t>
      </w:r>
      <w:r>
        <w:rPr>
          <w:color w:val="231F20"/>
        </w:rPr>
        <w:t xml:space="preserve">united, the </w:t>
      </w:r>
      <w:r>
        <w:rPr>
          <w:color w:val="231F20"/>
          <w:spacing w:val="-3"/>
        </w:rPr>
        <w:t xml:space="preserve">West </w:t>
      </w:r>
      <w:r>
        <w:rPr>
          <w:color w:val="231F20"/>
        </w:rPr>
        <w:t>German government refused to give in to any of the comman</w:t>
      </w:r>
      <w:r>
        <w:rPr>
          <w:color w:val="231F20"/>
          <w:spacing w:val="-4"/>
        </w:rPr>
        <w:t xml:space="preserve">do’s </w:t>
      </w:r>
      <w:r>
        <w:rPr>
          <w:color w:val="231F20"/>
        </w:rPr>
        <w:t xml:space="preserve">demands. For its </w:t>
      </w:r>
      <w:r>
        <w:rPr>
          <w:color w:val="231F20"/>
          <w:spacing w:val="1"/>
        </w:rPr>
        <w:t xml:space="preserve">part, </w:t>
      </w:r>
      <w:r>
        <w:rPr>
          <w:color w:val="231F20"/>
        </w:rPr>
        <w:t xml:space="preserve">the Swedish government tried to defuse the situation, offering the hostage takers safe passage out of the country, but this was rejected out of hand: “It’s useless, </w:t>
      </w:r>
      <w:r>
        <w:rPr>
          <w:color w:val="231F20"/>
          <w:spacing w:val="-3"/>
        </w:rPr>
        <w:t xml:space="preserve">we’re </w:t>
      </w:r>
      <w:r>
        <w:rPr>
          <w:color w:val="231F20"/>
        </w:rPr>
        <w:t>not negotiating,” a guerilla spokesperson is alleged to have replied. “If our demands aren’t met,</w:t>
      </w:r>
      <w:r>
        <w:rPr>
          <w:color w:val="231F20"/>
          <w:spacing w:val="12"/>
        </w:rPr>
        <w:t xml:space="preserve"> </w:t>
      </w:r>
      <w:r>
        <w:rPr>
          <w:color w:val="231F20"/>
        </w:rPr>
        <w:t>we</w:t>
      </w:r>
      <w:r>
        <w:rPr>
          <w:color w:val="231F20"/>
          <w:spacing w:val="12"/>
        </w:rPr>
        <w:t xml:space="preserve"> </w:t>
      </w:r>
      <w:r>
        <w:rPr>
          <w:color w:val="231F20"/>
        </w:rPr>
        <w:t>shall</w:t>
      </w:r>
      <w:r>
        <w:rPr>
          <w:color w:val="231F20"/>
          <w:spacing w:val="12"/>
        </w:rPr>
        <w:t xml:space="preserve"> </w:t>
      </w:r>
      <w:r>
        <w:rPr>
          <w:color w:val="231F20"/>
        </w:rPr>
        <w:t>shoot</w:t>
      </w:r>
      <w:r>
        <w:rPr>
          <w:color w:val="231F20"/>
          <w:spacing w:val="12"/>
        </w:rPr>
        <w:t xml:space="preserve"> </w:t>
      </w:r>
      <w:r>
        <w:rPr>
          <w:color w:val="231F20"/>
        </w:rPr>
        <w:t>a</w:t>
      </w:r>
      <w:r>
        <w:rPr>
          <w:color w:val="231F20"/>
          <w:spacing w:val="12"/>
        </w:rPr>
        <w:t xml:space="preserve"> </w:t>
      </w:r>
      <w:r>
        <w:rPr>
          <w:color w:val="231F20"/>
        </w:rPr>
        <w:t>hostage</w:t>
      </w:r>
      <w:r>
        <w:rPr>
          <w:color w:val="231F20"/>
          <w:spacing w:val="12"/>
        </w:rPr>
        <w:t xml:space="preserve"> </w:t>
      </w:r>
      <w:r>
        <w:rPr>
          <w:color w:val="231F20"/>
        </w:rPr>
        <w:t>every</w:t>
      </w:r>
      <w:r>
        <w:rPr>
          <w:color w:val="231F20"/>
          <w:spacing w:val="12"/>
        </w:rPr>
        <w:t xml:space="preserve"> </w:t>
      </w:r>
      <w:r>
        <w:rPr>
          <w:color w:val="231F20"/>
        </w:rPr>
        <w:t>hour.</w:t>
      </w:r>
      <w:r>
        <w:rPr>
          <w:color w:val="231F20"/>
          <w:spacing w:val="12"/>
        </w:rPr>
        <w:t xml:space="preserve"> </w:t>
      </w:r>
      <w:r>
        <w:rPr>
          <w:color w:val="231F20"/>
        </w:rPr>
        <w:t>Victory</w:t>
      </w:r>
      <w:r>
        <w:rPr>
          <w:color w:val="231F20"/>
          <w:spacing w:val="12"/>
        </w:rPr>
        <w:t xml:space="preserve"> </w:t>
      </w:r>
      <w:r>
        <w:rPr>
          <w:color w:val="231F20"/>
        </w:rPr>
        <w:t>or</w:t>
      </w:r>
      <w:r>
        <w:rPr>
          <w:color w:val="231F20"/>
          <w:spacing w:val="12"/>
        </w:rPr>
        <w:t xml:space="preserve"> </w:t>
      </w:r>
      <w:r>
        <w:rPr>
          <w:color w:val="231F20"/>
        </w:rPr>
        <w:t>death!”</w:t>
      </w:r>
      <w:r>
        <w:rPr>
          <w:color w:val="231F20"/>
          <w:position w:val="7"/>
          <w:sz w:val="11"/>
        </w:rPr>
        <w:t>6</w:t>
      </w:r>
    </w:p>
    <w:p w14:paraId="1AFB939F" w14:textId="77777777" w:rsidR="002653E8" w:rsidRDefault="003115E3">
      <w:pPr>
        <w:pStyle w:val="a3"/>
        <w:spacing w:line="264" w:lineRule="auto"/>
        <w:ind w:left="1327" w:right="1146" w:firstLine="210"/>
        <w:jc w:val="both"/>
      </w:pPr>
      <w:r>
        <w:rPr>
          <w:color w:val="231F20"/>
        </w:rPr>
        <w:t>Slightly more than one hour later, at 10:20 pm, the commando shot dead Economic Attaché Heinz Hillegaart.</w:t>
      </w:r>
    </w:p>
    <w:p w14:paraId="405AEFBD" w14:textId="77777777" w:rsidR="002653E8" w:rsidRDefault="003115E3">
      <w:pPr>
        <w:pStyle w:val="a3"/>
        <w:spacing w:line="264" w:lineRule="auto"/>
        <w:ind w:left="1327" w:right="1146" w:firstLine="210"/>
        <w:jc w:val="both"/>
      </w:pPr>
      <w:r>
        <w:rPr>
          <w:color w:val="231F20"/>
        </w:rPr>
        <w:t>Shortly before midnight, as police were preparing to storm the building, the explosives the guerilla had laid detonated.</w:t>
      </w:r>
      <w:r>
        <w:rPr>
          <w:color w:val="231F20"/>
          <w:position w:val="7"/>
          <w:sz w:val="11"/>
        </w:rPr>
        <w:t xml:space="preserve">7 </w:t>
      </w:r>
      <w:r>
        <w:rPr>
          <w:color w:val="231F20"/>
        </w:rPr>
        <w:t>Police rushed in, and</w:t>
      </w:r>
    </w:p>
    <w:p w14:paraId="7BABE93E" w14:textId="77777777" w:rsidR="002653E8" w:rsidRDefault="00000000">
      <w:pPr>
        <w:pStyle w:val="a3"/>
        <w:spacing w:before="11"/>
        <w:rPr>
          <w:sz w:val="24"/>
        </w:rPr>
      </w:pPr>
      <w:r>
        <w:rPr>
          <w:noProof w:val="0"/>
        </w:rPr>
        <w:pict w14:anchorId="0096062B">
          <v:line id="_x0000_s2339" style="position:absolute;z-index:7576;mso-wrap-distance-left:0;mso-wrap-distance-right:0;mso-position-horizontal-relative:page" from="66.4pt,16.8pt" to="138.4pt,16.8pt" strokecolor="#231f20" strokeweight=".5pt">
            <w10:wrap type="topAndBottom" anchorx="page"/>
          </v:line>
        </w:pict>
      </w:r>
    </w:p>
    <w:p w14:paraId="0D1FE996" w14:textId="77777777" w:rsidR="002653E8" w:rsidRDefault="003115E3">
      <w:pPr>
        <w:pStyle w:val="a4"/>
        <w:numPr>
          <w:ilvl w:val="1"/>
          <w:numId w:val="98"/>
        </w:numPr>
        <w:tabs>
          <w:tab w:val="left" w:pos="1467"/>
        </w:tabs>
        <w:spacing w:before="53"/>
        <w:ind w:firstLine="0"/>
        <w:rPr>
          <w:sz w:val="16"/>
        </w:rPr>
      </w:pPr>
      <w:bookmarkStart w:id="149" w:name="_Hlk123688573"/>
      <w:r>
        <w:rPr>
          <w:color w:val="231F20"/>
          <w:w w:val="105"/>
          <w:sz w:val="16"/>
        </w:rPr>
        <w:t>The</w:t>
      </w:r>
      <w:r>
        <w:rPr>
          <w:color w:val="231F20"/>
          <w:spacing w:val="15"/>
          <w:w w:val="105"/>
          <w:sz w:val="16"/>
        </w:rPr>
        <w:t xml:space="preserve"> </w:t>
      </w:r>
      <w:r>
        <w:rPr>
          <w:color w:val="231F20"/>
          <w:spacing w:val="3"/>
          <w:w w:val="105"/>
          <w:sz w:val="16"/>
        </w:rPr>
        <w:t>MEK,</w:t>
      </w:r>
      <w:r>
        <w:rPr>
          <w:color w:val="231F20"/>
          <w:spacing w:val="15"/>
          <w:w w:val="105"/>
          <w:sz w:val="16"/>
        </w:rPr>
        <w:t xml:space="preserve"> </w:t>
      </w:r>
      <w:r>
        <w:rPr>
          <w:color w:val="231F20"/>
          <w:w w:val="105"/>
          <w:sz w:val="16"/>
        </w:rPr>
        <w:t>or</w:t>
      </w:r>
      <w:r>
        <w:rPr>
          <w:color w:val="231F20"/>
          <w:spacing w:val="15"/>
          <w:w w:val="105"/>
          <w:sz w:val="16"/>
        </w:rPr>
        <w:t xml:space="preserve"> </w:t>
      </w:r>
      <w:r>
        <w:rPr>
          <w:i/>
          <w:color w:val="231F20"/>
          <w:w w:val="105"/>
          <w:sz w:val="16"/>
        </w:rPr>
        <w:t>Mobiles</w:t>
      </w:r>
      <w:r>
        <w:rPr>
          <w:i/>
          <w:color w:val="231F20"/>
          <w:spacing w:val="15"/>
          <w:w w:val="105"/>
          <w:sz w:val="16"/>
        </w:rPr>
        <w:t xml:space="preserve"> </w:t>
      </w:r>
      <w:r>
        <w:rPr>
          <w:i/>
          <w:color w:val="231F20"/>
          <w:spacing w:val="1"/>
          <w:w w:val="105"/>
          <w:sz w:val="16"/>
        </w:rPr>
        <w:t>Einsatz</w:t>
      </w:r>
      <w:r>
        <w:rPr>
          <w:i/>
          <w:color w:val="231F20"/>
          <w:spacing w:val="15"/>
          <w:w w:val="105"/>
          <w:sz w:val="16"/>
        </w:rPr>
        <w:t xml:space="preserve"> </w:t>
      </w:r>
      <w:r>
        <w:rPr>
          <w:i/>
          <w:color w:val="231F20"/>
          <w:spacing w:val="1"/>
          <w:w w:val="105"/>
          <w:sz w:val="16"/>
        </w:rPr>
        <w:t>Kommando</w:t>
      </w:r>
      <w:r>
        <w:rPr>
          <w:color w:val="231F20"/>
          <w:spacing w:val="1"/>
          <w:w w:val="105"/>
          <w:sz w:val="16"/>
        </w:rPr>
        <w:t>—similar</w:t>
      </w:r>
      <w:r>
        <w:rPr>
          <w:color w:val="231F20"/>
          <w:spacing w:val="15"/>
          <w:w w:val="105"/>
          <w:sz w:val="16"/>
        </w:rPr>
        <w:t xml:space="preserve"> </w:t>
      </w:r>
      <w:r>
        <w:rPr>
          <w:color w:val="231F20"/>
          <w:w w:val="105"/>
          <w:sz w:val="16"/>
        </w:rPr>
        <w:t>to</w:t>
      </w:r>
      <w:r>
        <w:rPr>
          <w:color w:val="231F20"/>
          <w:spacing w:val="15"/>
          <w:w w:val="105"/>
          <w:sz w:val="16"/>
        </w:rPr>
        <w:t xml:space="preserve"> </w:t>
      </w:r>
      <w:r>
        <w:rPr>
          <w:color w:val="231F20"/>
          <w:w w:val="105"/>
          <w:sz w:val="16"/>
        </w:rPr>
        <w:t>an</w:t>
      </w:r>
      <w:r>
        <w:rPr>
          <w:color w:val="231F20"/>
          <w:spacing w:val="15"/>
          <w:w w:val="105"/>
          <w:sz w:val="16"/>
        </w:rPr>
        <w:t xml:space="preserve"> </w:t>
      </w:r>
      <w:r>
        <w:rPr>
          <w:color w:val="231F20"/>
          <w:w w:val="105"/>
          <w:sz w:val="16"/>
        </w:rPr>
        <w:t>American</w:t>
      </w:r>
      <w:r>
        <w:rPr>
          <w:color w:val="231F20"/>
          <w:spacing w:val="15"/>
          <w:w w:val="105"/>
          <w:sz w:val="16"/>
        </w:rPr>
        <w:t xml:space="preserve"> </w:t>
      </w:r>
      <w:r>
        <w:rPr>
          <w:color w:val="231F20"/>
          <w:spacing w:val="-3"/>
          <w:w w:val="105"/>
          <w:sz w:val="16"/>
        </w:rPr>
        <w:t>SWAT</w:t>
      </w:r>
      <w:r>
        <w:rPr>
          <w:color w:val="231F20"/>
          <w:spacing w:val="15"/>
          <w:w w:val="105"/>
          <w:sz w:val="16"/>
        </w:rPr>
        <w:t xml:space="preserve"> </w:t>
      </w:r>
      <w:r>
        <w:rPr>
          <w:color w:val="231F20"/>
          <w:w w:val="105"/>
          <w:sz w:val="16"/>
        </w:rPr>
        <w:t>team.</w:t>
      </w:r>
    </w:p>
    <w:p w14:paraId="1C50CEED" w14:textId="77777777" w:rsidR="002653E8" w:rsidRDefault="003115E3">
      <w:pPr>
        <w:pStyle w:val="a4"/>
        <w:numPr>
          <w:ilvl w:val="1"/>
          <w:numId w:val="98"/>
        </w:numPr>
        <w:tabs>
          <w:tab w:val="left" w:pos="1467"/>
        </w:tabs>
        <w:spacing w:before="51" w:line="254" w:lineRule="auto"/>
        <w:ind w:right="1245" w:firstLine="0"/>
        <w:rPr>
          <w:sz w:val="16"/>
        </w:rPr>
      </w:pPr>
      <w:r>
        <w:rPr>
          <w:color w:val="231F20"/>
          <w:spacing w:val="1"/>
          <w:w w:val="105"/>
          <w:sz w:val="16"/>
        </w:rPr>
        <w:t xml:space="preserve">Karrin </w:t>
      </w:r>
      <w:r>
        <w:rPr>
          <w:color w:val="231F20"/>
          <w:w w:val="105"/>
          <w:sz w:val="16"/>
        </w:rPr>
        <w:t>Hanshew, “Militant Democracy, Civil Disobedience, and Terror: Political Violence</w:t>
      </w:r>
      <w:r>
        <w:rPr>
          <w:color w:val="231F20"/>
          <w:spacing w:val="13"/>
          <w:w w:val="105"/>
          <w:sz w:val="16"/>
        </w:rPr>
        <w:t xml:space="preserve"> </w:t>
      </w:r>
      <w:r>
        <w:rPr>
          <w:color w:val="231F20"/>
          <w:w w:val="105"/>
          <w:sz w:val="16"/>
        </w:rPr>
        <w:t>and</w:t>
      </w:r>
      <w:r>
        <w:rPr>
          <w:color w:val="231F20"/>
          <w:spacing w:val="13"/>
          <w:w w:val="105"/>
          <w:sz w:val="16"/>
        </w:rPr>
        <w:t xml:space="preserve"> </w:t>
      </w:r>
      <w:r>
        <w:rPr>
          <w:color w:val="231F20"/>
          <w:w w:val="105"/>
          <w:sz w:val="16"/>
        </w:rPr>
        <w:t>the</w:t>
      </w:r>
      <w:r>
        <w:rPr>
          <w:color w:val="231F20"/>
          <w:spacing w:val="13"/>
          <w:w w:val="105"/>
          <w:sz w:val="16"/>
        </w:rPr>
        <w:t xml:space="preserve"> </w:t>
      </w:r>
      <w:r>
        <w:rPr>
          <w:color w:val="231F20"/>
          <w:w w:val="105"/>
          <w:sz w:val="16"/>
        </w:rPr>
        <w:t>West</w:t>
      </w:r>
      <w:r>
        <w:rPr>
          <w:color w:val="231F20"/>
          <w:spacing w:val="13"/>
          <w:w w:val="105"/>
          <w:sz w:val="16"/>
        </w:rPr>
        <w:t xml:space="preserve"> </w:t>
      </w:r>
      <w:r>
        <w:rPr>
          <w:color w:val="231F20"/>
          <w:w w:val="105"/>
          <w:sz w:val="16"/>
        </w:rPr>
        <w:t>German</w:t>
      </w:r>
      <w:r>
        <w:rPr>
          <w:color w:val="231F20"/>
          <w:spacing w:val="13"/>
          <w:w w:val="105"/>
          <w:sz w:val="16"/>
        </w:rPr>
        <w:t xml:space="preserve"> </w:t>
      </w:r>
      <w:r>
        <w:rPr>
          <w:color w:val="231F20"/>
          <w:spacing w:val="1"/>
          <w:w w:val="105"/>
          <w:sz w:val="16"/>
        </w:rPr>
        <w:t>Left</w:t>
      </w:r>
      <w:r>
        <w:rPr>
          <w:color w:val="231F20"/>
          <w:spacing w:val="13"/>
          <w:w w:val="105"/>
          <w:sz w:val="16"/>
        </w:rPr>
        <w:t xml:space="preserve"> </w:t>
      </w:r>
      <w:r>
        <w:rPr>
          <w:color w:val="231F20"/>
          <w:w w:val="105"/>
          <w:sz w:val="16"/>
        </w:rPr>
        <w:t>during</w:t>
      </w:r>
      <w:r>
        <w:rPr>
          <w:color w:val="231F20"/>
          <w:spacing w:val="13"/>
          <w:w w:val="105"/>
          <w:sz w:val="16"/>
        </w:rPr>
        <w:t xml:space="preserve"> </w:t>
      </w:r>
      <w:r>
        <w:rPr>
          <w:color w:val="231F20"/>
          <w:w w:val="105"/>
          <w:sz w:val="16"/>
        </w:rPr>
        <w:t>the</w:t>
      </w:r>
      <w:r>
        <w:rPr>
          <w:color w:val="231F20"/>
          <w:spacing w:val="13"/>
          <w:w w:val="105"/>
          <w:sz w:val="16"/>
        </w:rPr>
        <w:t xml:space="preserve"> </w:t>
      </w:r>
      <w:r>
        <w:rPr>
          <w:color w:val="231F20"/>
          <w:w w:val="105"/>
          <w:sz w:val="16"/>
        </w:rPr>
        <w:t>‘German</w:t>
      </w:r>
      <w:r>
        <w:rPr>
          <w:color w:val="231F20"/>
          <w:spacing w:val="13"/>
          <w:w w:val="105"/>
          <w:sz w:val="16"/>
        </w:rPr>
        <w:t xml:space="preserve"> </w:t>
      </w:r>
      <w:r>
        <w:rPr>
          <w:color w:val="231F20"/>
          <w:w w:val="105"/>
          <w:sz w:val="16"/>
        </w:rPr>
        <w:t>Autumn,’</w:t>
      </w:r>
      <w:r>
        <w:rPr>
          <w:color w:val="231F20"/>
          <w:spacing w:val="15"/>
          <w:w w:val="105"/>
          <w:sz w:val="16"/>
        </w:rPr>
        <w:t xml:space="preserve"> </w:t>
      </w:r>
      <w:r>
        <w:rPr>
          <w:color w:val="231F20"/>
          <w:w w:val="105"/>
          <w:sz w:val="16"/>
        </w:rPr>
        <w:t>1977”</w:t>
      </w:r>
      <w:r>
        <w:rPr>
          <w:color w:val="231F20"/>
          <w:spacing w:val="13"/>
          <w:w w:val="105"/>
          <w:sz w:val="16"/>
        </w:rPr>
        <w:t xml:space="preserve"> </w:t>
      </w:r>
      <w:r>
        <w:rPr>
          <w:color w:val="231F20"/>
          <w:w w:val="105"/>
          <w:sz w:val="16"/>
        </w:rPr>
        <w:t>in</w:t>
      </w:r>
    </w:p>
    <w:p w14:paraId="631F0CBF" w14:textId="77777777" w:rsidR="002653E8" w:rsidRDefault="003115E3">
      <w:pPr>
        <w:spacing w:before="1" w:line="254" w:lineRule="auto"/>
        <w:ind w:left="1327" w:right="1145"/>
        <w:rPr>
          <w:sz w:val="16"/>
        </w:rPr>
      </w:pPr>
      <w:r>
        <w:rPr>
          <w:i/>
          <w:color w:val="231F20"/>
          <w:w w:val="105"/>
          <w:sz w:val="16"/>
        </w:rPr>
        <w:t xml:space="preserve">War and Terror in Contemporary Historical Perspective, </w:t>
      </w:r>
      <w:r>
        <w:rPr>
          <w:color w:val="231F20"/>
          <w:w w:val="105"/>
          <w:sz w:val="16"/>
        </w:rPr>
        <w:t>Harry and Helen Gray Humanities and Program Series 14, American Institute for Contemporary German Studies Humanities Volume 14, Johns Hopkins University 2003: 28.</w:t>
      </w:r>
    </w:p>
    <w:p w14:paraId="3938F37F" w14:textId="77777777" w:rsidR="002653E8" w:rsidRDefault="003115E3">
      <w:pPr>
        <w:spacing w:before="41"/>
        <w:ind w:left="1327"/>
        <w:rPr>
          <w:sz w:val="16"/>
        </w:rPr>
      </w:pPr>
      <w:r>
        <w:rPr>
          <w:color w:val="231F20"/>
          <w:w w:val="110"/>
          <w:sz w:val="16"/>
        </w:rPr>
        <w:t>6 Aust, 291.</w:t>
      </w:r>
    </w:p>
    <w:p w14:paraId="58E22F7E" w14:textId="77777777" w:rsidR="002653E8" w:rsidRDefault="003115E3">
      <w:pPr>
        <w:spacing w:before="52" w:line="254" w:lineRule="auto"/>
        <w:ind w:left="1327" w:right="1264"/>
        <w:rPr>
          <w:sz w:val="16"/>
        </w:rPr>
      </w:pPr>
      <w:r>
        <w:rPr>
          <w:color w:val="231F20"/>
          <w:w w:val="105"/>
          <w:sz w:val="16"/>
        </w:rPr>
        <w:t xml:space="preserve">7 The state and media claimed that the explosives went off due to some error on the part of the commando; the guerilla suggested that the </w:t>
      </w:r>
      <w:r>
        <w:rPr>
          <w:color w:val="231F20"/>
          <w:spacing w:val="2"/>
          <w:w w:val="105"/>
          <w:sz w:val="16"/>
        </w:rPr>
        <w:t xml:space="preserve">MEK </w:t>
      </w:r>
      <w:r>
        <w:rPr>
          <w:color w:val="231F20"/>
          <w:w w:val="105"/>
          <w:sz w:val="16"/>
        </w:rPr>
        <w:t>intentionally triggered the</w:t>
      </w:r>
      <w:r>
        <w:rPr>
          <w:color w:val="231F20"/>
          <w:spacing w:val="7"/>
          <w:w w:val="105"/>
          <w:sz w:val="16"/>
        </w:rPr>
        <w:t xml:space="preserve"> </w:t>
      </w:r>
      <w:r>
        <w:rPr>
          <w:color w:val="231F20"/>
          <w:w w:val="105"/>
          <w:sz w:val="16"/>
        </w:rPr>
        <w:t>explosion.</w:t>
      </w:r>
    </w:p>
    <w:bookmarkEnd w:id="149"/>
    <w:p w14:paraId="7844E53D" w14:textId="77777777" w:rsidR="002653E8" w:rsidRDefault="002653E8">
      <w:pPr>
        <w:spacing w:line="254" w:lineRule="auto"/>
        <w:rPr>
          <w:sz w:val="16"/>
        </w:rPr>
        <w:sectPr w:rsidR="002653E8">
          <w:pgSz w:w="8640" w:h="12960"/>
          <w:pgMar w:top="1060" w:right="0" w:bottom="1040" w:left="0" w:header="0" w:footer="850" w:gutter="0"/>
          <w:cols w:space="720"/>
        </w:sectPr>
      </w:pPr>
    </w:p>
    <w:p w14:paraId="061B47A8" w14:textId="77777777" w:rsidR="002653E8" w:rsidRDefault="00000000">
      <w:pPr>
        <w:spacing w:before="157" w:line="264" w:lineRule="auto"/>
        <w:ind w:left="1402" w:right="23"/>
        <w:rPr>
          <w:rFonts w:ascii="Calibri" w:hAnsi="Calibri"/>
          <w:sz w:val="19"/>
        </w:rPr>
      </w:pPr>
      <w:r>
        <w:rPr>
          <w:noProof w:val="0"/>
        </w:rPr>
        <w:lastRenderedPageBreak/>
        <w:pict w14:anchorId="1677501A">
          <v:group id="_x0000_s2331" style="position:absolute;left:0;text-align:left;margin-left:58.4pt;margin-top:-.05pt;width:308.25pt;height:333.35pt;z-index:-457048;mso-position-horizontal-relative:page" coordorigin="1168,-1" coordsize="6165,6667">
            <v:rect id="_x0000_s2338" style="position:absolute;left:1167;top:-1;width:6164;height:6667" fillcolor="#e6e7e8" stroked="f"/>
            <v:line id="_x0000_s2337" style="position:absolute" from="1175,59" to="1175,6620" strokecolor="#231f20">
              <v:stroke dashstyle="3 1"/>
            </v:line>
            <v:line id="_x0000_s2336" style="position:absolute" from="1228,6658" to="7287,6658" strokecolor="#231f20">
              <v:stroke dashstyle="3 1"/>
            </v:line>
            <v:line id="_x0000_s2335" style="position:absolute" from="7324,6606" to="7324,44" strokecolor="#231f20">
              <v:stroke dashstyle="3 1"/>
            </v:line>
            <v:line id="_x0000_s2334" style="position:absolute" from="7272,7" to="1213,7" strokecolor="#231f20">
              <v:stroke dashstyle="3 1"/>
            </v:line>
            <v:shape id="_x0000_s2333" style="position:absolute;top:5110;width:6149;height:6652" coordorigin=",5111" coordsize="6149,6652" o:spt="100" adj="0,,0" path="m1175,6635r,23l1198,6658t6104,l7324,6658r,-23m7324,29r,-22l7302,7m1198,7r-23,l1175,29e" filled="f" strokecolor="#231f20">
              <v:stroke joinstyle="round"/>
              <v:formulas/>
              <v:path arrowok="t" o:connecttype="segments"/>
            </v:shape>
            <v:shape id="_x0000_s2332" type="#_x0000_t75" style="position:absolute;left:3918;top:196;width:3129;height:3744">
              <v:imagedata r:id="rId285" o:title=""/>
            </v:shape>
            <w10:wrap anchorx="page"/>
          </v:group>
        </w:pict>
      </w:r>
      <w:r w:rsidR="003115E3">
        <w:rPr>
          <w:rFonts w:ascii="Calibri" w:hAnsi="Calibri"/>
          <w:color w:val="231F20"/>
          <w:w w:val="105"/>
          <w:sz w:val="19"/>
        </w:rPr>
        <w:t xml:space="preserve">Subsequently,    certain </w:t>
      </w:r>
      <w:r w:rsidR="00C507A5">
        <w:rPr>
          <w:rFonts w:ascii="Calibri" w:hAnsi="Calibri"/>
          <w:color w:val="231F20"/>
          <w:spacing w:val="1"/>
          <w:w w:val="105"/>
          <w:sz w:val="19"/>
        </w:rPr>
        <w:t>red army faction</w:t>
      </w:r>
      <w:r w:rsidR="003115E3">
        <w:rPr>
          <w:rFonts w:ascii="Calibri" w:hAnsi="Calibri"/>
          <w:color w:val="231F20"/>
          <w:spacing w:val="1"/>
          <w:w w:val="105"/>
          <w:sz w:val="19"/>
        </w:rPr>
        <w:t xml:space="preserve">  </w:t>
      </w:r>
      <w:r w:rsidR="003115E3">
        <w:rPr>
          <w:rFonts w:ascii="Calibri" w:hAnsi="Calibri"/>
          <w:color w:val="231F20"/>
          <w:w w:val="105"/>
          <w:sz w:val="19"/>
        </w:rPr>
        <w:t xml:space="preserve">prisoners   would claim that  Hausner’s </w:t>
      </w:r>
      <w:r w:rsidR="003115E3">
        <w:rPr>
          <w:rFonts w:ascii="Calibri" w:hAnsi="Calibri"/>
          <w:color w:val="231F20"/>
          <w:spacing w:val="2"/>
          <w:w w:val="105"/>
          <w:sz w:val="19"/>
        </w:rPr>
        <w:t xml:space="preserve">efforts  </w:t>
      </w:r>
      <w:r w:rsidR="003115E3">
        <w:rPr>
          <w:rFonts w:ascii="Calibri" w:hAnsi="Calibri"/>
          <w:color w:val="231F20"/>
          <w:w w:val="105"/>
          <w:sz w:val="19"/>
        </w:rPr>
        <w:t xml:space="preserve">to  save  Wessel and Rössner  suggested that his initial injuries were not so serious; instead, they would </w:t>
      </w:r>
      <w:r w:rsidR="003115E3">
        <w:rPr>
          <w:rFonts w:ascii="Calibri" w:hAnsi="Calibri"/>
          <w:color w:val="231F20"/>
          <w:spacing w:val="1"/>
          <w:w w:val="105"/>
          <w:sz w:val="19"/>
        </w:rPr>
        <w:t xml:space="preserve">assert </w:t>
      </w:r>
      <w:r w:rsidR="003115E3">
        <w:rPr>
          <w:rFonts w:ascii="Calibri" w:hAnsi="Calibri"/>
          <w:color w:val="231F20"/>
          <w:w w:val="105"/>
          <w:sz w:val="19"/>
        </w:rPr>
        <w:t xml:space="preserve">that he had been beaten by the Swedish police, and that this is how his skull was fractured, leading to his death. This was </w:t>
      </w:r>
      <w:r w:rsidR="003115E3">
        <w:rPr>
          <w:rFonts w:ascii="Calibri" w:hAnsi="Calibri"/>
          <w:color w:val="231F20"/>
          <w:spacing w:val="1"/>
          <w:w w:val="105"/>
          <w:sz w:val="19"/>
        </w:rPr>
        <w:t xml:space="preserve">part </w:t>
      </w:r>
      <w:r w:rsidR="003115E3">
        <w:rPr>
          <w:rFonts w:ascii="Calibri" w:hAnsi="Calibri"/>
          <w:color w:val="231F20"/>
          <w:w w:val="105"/>
          <w:sz w:val="19"/>
        </w:rPr>
        <w:t>of a conspiracy theory that the police  had  purposefully set off the</w:t>
      </w:r>
      <w:r w:rsidR="003115E3">
        <w:rPr>
          <w:rFonts w:ascii="Calibri" w:hAnsi="Calibri"/>
          <w:color w:val="231F20"/>
          <w:spacing w:val="28"/>
          <w:w w:val="105"/>
          <w:sz w:val="19"/>
        </w:rPr>
        <w:t xml:space="preserve"> </w:t>
      </w:r>
      <w:r w:rsidR="003115E3">
        <w:rPr>
          <w:rFonts w:ascii="Calibri" w:hAnsi="Calibri"/>
          <w:color w:val="231F20"/>
          <w:w w:val="105"/>
          <w:sz w:val="19"/>
        </w:rPr>
        <w:t>guerilla’s</w:t>
      </w:r>
    </w:p>
    <w:p w14:paraId="5F989A1F" w14:textId="77777777" w:rsidR="002653E8" w:rsidRDefault="003115E3">
      <w:pPr>
        <w:pStyle w:val="a3"/>
        <w:rPr>
          <w:rFonts w:ascii="Calibri"/>
        </w:rPr>
      </w:pPr>
      <w:r>
        <w:br w:type="column"/>
      </w:r>
    </w:p>
    <w:p w14:paraId="7C5D89E6" w14:textId="77777777" w:rsidR="002653E8" w:rsidRDefault="002653E8">
      <w:pPr>
        <w:pStyle w:val="a3"/>
        <w:rPr>
          <w:rFonts w:ascii="Calibri"/>
        </w:rPr>
      </w:pPr>
    </w:p>
    <w:p w14:paraId="2B803950" w14:textId="77777777" w:rsidR="002653E8" w:rsidRDefault="002653E8">
      <w:pPr>
        <w:pStyle w:val="a3"/>
        <w:rPr>
          <w:rFonts w:ascii="Calibri"/>
        </w:rPr>
      </w:pPr>
    </w:p>
    <w:p w14:paraId="7123762B" w14:textId="77777777" w:rsidR="002653E8" w:rsidRDefault="002653E8">
      <w:pPr>
        <w:pStyle w:val="a3"/>
        <w:rPr>
          <w:rFonts w:ascii="Calibri"/>
        </w:rPr>
      </w:pPr>
    </w:p>
    <w:p w14:paraId="78795417" w14:textId="77777777" w:rsidR="002653E8" w:rsidRDefault="002653E8">
      <w:pPr>
        <w:pStyle w:val="a3"/>
        <w:rPr>
          <w:rFonts w:ascii="Calibri"/>
        </w:rPr>
      </w:pPr>
    </w:p>
    <w:p w14:paraId="619BFBF3" w14:textId="77777777" w:rsidR="002653E8" w:rsidRDefault="002653E8">
      <w:pPr>
        <w:pStyle w:val="a3"/>
        <w:rPr>
          <w:rFonts w:ascii="Calibri"/>
        </w:rPr>
      </w:pPr>
    </w:p>
    <w:p w14:paraId="381D9463" w14:textId="77777777" w:rsidR="002653E8" w:rsidRDefault="002653E8">
      <w:pPr>
        <w:pStyle w:val="a3"/>
        <w:rPr>
          <w:rFonts w:ascii="Calibri"/>
        </w:rPr>
      </w:pPr>
    </w:p>
    <w:p w14:paraId="61D25E26" w14:textId="77777777" w:rsidR="002653E8" w:rsidRDefault="002653E8">
      <w:pPr>
        <w:pStyle w:val="a3"/>
        <w:rPr>
          <w:rFonts w:ascii="Calibri"/>
        </w:rPr>
      </w:pPr>
    </w:p>
    <w:p w14:paraId="5E72BCE2" w14:textId="77777777" w:rsidR="002653E8" w:rsidRDefault="002653E8">
      <w:pPr>
        <w:pStyle w:val="a3"/>
        <w:rPr>
          <w:rFonts w:ascii="Calibri"/>
        </w:rPr>
      </w:pPr>
    </w:p>
    <w:p w14:paraId="72C50536" w14:textId="77777777" w:rsidR="002653E8" w:rsidRDefault="002653E8">
      <w:pPr>
        <w:pStyle w:val="a3"/>
        <w:rPr>
          <w:rFonts w:ascii="Calibri"/>
        </w:rPr>
      </w:pPr>
    </w:p>
    <w:p w14:paraId="0B65E407" w14:textId="77777777" w:rsidR="002653E8" w:rsidRDefault="002653E8">
      <w:pPr>
        <w:pStyle w:val="a3"/>
        <w:rPr>
          <w:rFonts w:ascii="Calibri"/>
        </w:rPr>
      </w:pPr>
    </w:p>
    <w:p w14:paraId="5EE99A50" w14:textId="77777777" w:rsidR="002653E8" w:rsidRDefault="002653E8">
      <w:pPr>
        <w:pStyle w:val="a3"/>
        <w:rPr>
          <w:rFonts w:ascii="Calibri"/>
        </w:rPr>
      </w:pPr>
    </w:p>
    <w:p w14:paraId="42D1CAA0" w14:textId="77777777" w:rsidR="002653E8" w:rsidRDefault="002653E8">
      <w:pPr>
        <w:pStyle w:val="a3"/>
        <w:rPr>
          <w:rFonts w:ascii="Calibri"/>
        </w:rPr>
      </w:pPr>
    </w:p>
    <w:p w14:paraId="0557349F" w14:textId="77777777" w:rsidR="002653E8" w:rsidRDefault="002653E8">
      <w:pPr>
        <w:pStyle w:val="a3"/>
        <w:rPr>
          <w:rFonts w:ascii="Calibri"/>
        </w:rPr>
      </w:pPr>
    </w:p>
    <w:p w14:paraId="7D8A58BA" w14:textId="77777777" w:rsidR="002653E8" w:rsidRDefault="002653E8">
      <w:pPr>
        <w:pStyle w:val="a3"/>
        <w:rPr>
          <w:rFonts w:ascii="Calibri"/>
        </w:rPr>
      </w:pPr>
    </w:p>
    <w:p w14:paraId="3F7AD4C7" w14:textId="77777777" w:rsidR="002653E8" w:rsidRDefault="002653E8">
      <w:pPr>
        <w:pStyle w:val="a3"/>
        <w:spacing w:before="4"/>
        <w:rPr>
          <w:rFonts w:ascii="Calibri"/>
          <w:sz w:val="26"/>
        </w:rPr>
      </w:pPr>
    </w:p>
    <w:p w14:paraId="66419DD9" w14:textId="77777777" w:rsidR="002653E8" w:rsidRDefault="003115E3">
      <w:pPr>
        <w:ind w:left="1063"/>
        <w:rPr>
          <w:i/>
          <w:sz w:val="18"/>
        </w:rPr>
      </w:pPr>
      <w:r>
        <w:rPr>
          <w:i/>
          <w:color w:val="231F20"/>
          <w:sz w:val="18"/>
        </w:rPr>
        <w:t>Siegfried Hausner</w:t>
      </w:r>
    </w:p>
    <w:p w14:paraId="7E517993" w14:textId="77777777" w:rsidR="002653E8" w:rsidRDefault="002653E8">
      <w:pPr>
        <w:rPr>
          <w:sz w:val="18"/>
        </w:rPr>
        <w:sectPr w:rsidR="002653E8">
          <w:pgSz w:w="8640" w:h="12960"/>
          <w:pgMar w:top="1220" w:right="0" w:bottom="1040" w:left="0" w:header="0" w:footer="850" w:gutter="0"/>
          <w:cols w:num="2" w:space="720" w:equalWidth="0">
            <w:col w:w="3658" w:space="40"/>
            <w:col w:w="4942"/>
          </w:cols>
        </w:sectPr>
      </w:pPr>
    </w:p>
    <w:p w14:paraId="16B20440" w14:textId="77777777" w:rsidR="002653E8" w:rsidRDefault="003115E3">
      <w:pPr>
        <w:spacing w:before="13" w:line="264" w:lineRule="auto"/>
        <w:ind w:left="1402" w:right="1606"/>
        <w:rPr>
          <w:rFonts w:ascii="Calibri" w:hAnsi="Calibri"/>
          <w:sz w:val="19"/>
        </w:rPr>
      </w:pPr>
      <w:r>
        <w:rPr>
          <w:rFonts w:ascii="Calibri" w:hAnsi="Calibri"/>
          <w:color w:val="231F20"/>
          <w:w w:val="105"/>
          <w:sz w:val="19"/>
        </w:rPr>
        <w:t>explosives, and that Hausner was the only one who had enough knowledge about how the explosives had been laid to prove this.     In this regard, they would  accuse  the  state  pathologist  Rauschke of covering up evidence of  a  beating.  While  Hausner’s  death would always be attributed to the state, these particular claims faded</w:t>
      </w:r>
      <w:r>
        <w:rPr>
          <w:rFonts w:ascii="Calibri" w:hAnsi="Calibri"/>
          <w:color w:val="231F20"/>
          <w:spacing w:val="25"/>
          <w:w w:val="105"/>
          <w:sz w:val="19"/>
        </w:rPr>
        <w:t xml:space="preserve"> </w:t>
      </w:r>
      <w:r>
        <w:rPr>
          <w:rFonts w:ascii="Calibri" w:hAnsi="Calibri"/>
          <w:color w:val="231F20"/>
          <w:w w:val="105"/>
          <w:sz w:val="19"/>
        </w:rPr>
        <w:t>from</w:t>
      </w:r>
      <w:r>
        <w:rPr>
          <w:rFonts w:ascii="Calibri" w:hAnsi="Calibri"/>
          <w:color w:val="231F20"/>
          <w:spacing w:val="25"/>
          <w:w w:val="105"/>
          <w:sz w:val="19"/>
        </w:rPr>
        <w:t xml:space="preserve"> </w:t>
      </w:r>
      <w:r w:rsidR="00C507A5">
        <w:rPr>
          <w:rFonts w:ascii="Calibri" w:hAnsi="Calibri"/>
          <w:color w:val="231F20"/>
          <w:spacing w:val="1"/>
          <w:w w:val="105"/>
          <w:sz w:val="19"/>
        </w:rPr>
        <w:t>red army faction</w:t>
      </w:r>
      <w:r>
        <w:rPr>
          <w:rFonts w:ascii="Calibri" w:hAnsi="Calibri"/>
          <w:color w:val="231F20"/>
          <w:spacing w:val="25"/>
          <w:w w:val="105"/>
          <w:sz w:val="19"/>
        </w:rPr>
        <w:t xml:space="preserve"> </w:t>
      </w:r>
      <w:r>
        <w:rPr>
          <w:rFonts w:ascii="Calibri" w:hAnsi="Calibri"/>
          <w:color w:val="231F20"/>
          <w:w w:val="105"/>
          <w:sz w:val="19"/>
        </w:rPr>
        <w:t>statements,</w:t>
      </w:r>
      <w:r>
        <w:rPr>
          <w:rFonts w:ascii="Calibri" w:hAnsi="Calibri"/>
          <w:color w:val="231F20"/>
          <w:spacing w:val="25"/>
          <w:w w:val="105"/>
          <w:sz w:val="19"/>
        </w:rPr>
        <w:t xml:space="preserve"> </w:t>
      </w:r>
      <w:r>
        <w:rPr>
          <w:rFonts w:ascii="Calibri" w:hAnsi="Calibri"/>
          <w:color w:val="231F20"/>
          <w:w w:val="105"/>
          <w:sz w:val="19"/>
        </w:rPr>
        <w:t>which</w:t>
      </w:r>
      <w:r>
        <w:rPr>
          <w:rFonts w:ascii="Calibri" w:hAnsi="Calibri"/>
          <w:color w:val="231F20"/>
          <w:spacing w:val="25"/>
          <w:w w:val="105"/>
          <w:sz w:val="19"/>
        </w:rPr>
        <w:t xml:space="preserve"> </w:t>
      </w:r>
      <w:r>
        <w:rPr>
          <w:rFonts w:ascii="Calibri" w:hAnsi="Calibri"/>
          <w:color w:val="231F20"/>
          <w:w w:val="105"/>
          <w:sz w:val="19"/>
        </w:rPr>
        <w:t>eventually</w:t>
      </w:r>
      <w:r>
        <w:rPr>
          <w:rFonts w:ascii="Calibri" w:hAnsi="Calibri"/>
          <w:color w:val="231F20"/>
          <w:spacing w:val="25"/>
          <w:w w:val="105"/>
          <w:sz w:val="19"/>
        </w:rPr>
        <w:t xml:space="preserve"> </w:t>
      </w:r>
      <w:r>
        <w:rPr>
          <w:rFonts w:ascii="Calibri" w:hAnsi="Calibri"/>
          <w:color w:val="231F20"/>
          <w:w w:val="105"/>
          <w:sz w:val="19"/>
        </w:rPr>
        <w:t>framed</w:t>
      </w:r>
      <w:r>
        <w:rPr>
          <w:rFonts w:ascii="Calibri" w:hAnsi="Calibri"/>
          <w:color w:val="231F20"/>
          <w:spacing w:val="25"/>
          <w:w w:val="105"/>
          <w:sz w:val="19"/>
        </w:rPr>
        <w:t xml:space="preserve"> </w:t>
      </w:r>
      <w:r>
        <w:rPr>
          <w:rFonts w:ascii="Calibri" w:hAnsi="Calibri"/>
          <w:color w:val="231F20"/>
          <w:w w:val="105"/>
          <w:sz w:val="19"/>
        </w:rPr>
        <w:t>the</w:t>
      </w:r>
      <w:r>
        <w:rPr>
          <w:rFonts w:ascii="Calibri" w:hAnsi="Calibri"/>
          <w:color w:val="231F20"/>
          <w:spacing w:val="25"/>
          <w:w w:val="105"/>
          <w:sz w:val="19"/>
        </w:rPr>
        <w:t xml:space="preserve"> </w:t>
      </w:r>
      <w:r>
        <w:rPr>
          <w:rFonts w:ascii="Calibri" w:hAnsi="Calibri"/>
          <w:color w:val="231F20"/>
          <w:w w:val="105"/>
          <w:sz w:val="19"/>
        </w:rPr>
        <w:t>murder</w:t>
      </w:r>
    </w:p>
    <w:p w14:paraId="4659CADD" w14:textId="77777777" w:rsidR="002653E8" w:rsidRDefault="003115E3">
      <w:pPr>
        <w:spacing w:before="4" w:line="254" w:lineRule="auto"/>
        <w:ind w:left="1402" w:right="1580" w:hanging="1"/>
        <w:rPr>
          <w:rFonts w:ascii="Lucida Sans" w:hAnsi="Lucida Sans"/>
          <w:i/>
          <w:sz w:val="19"/>
        </w:rPr>
      </w:pPr>
      <w:r>
        <w:rPr>
          <w:rFonts w:ascii="Calibri" w:hAnsi="Calibri"/>
          <w:color w:val="231F20"/>
          <w:sz w:val="19"/>
        </w:rPr>
        <w:t xml:space="preserve">as the state having withheld medical care. </w:t>
      </w:r>
      <w:r>
        <w:rPr>
          <w:rFonts w:ascii="Lucida Sans" w:hAnsi="Lucida Sans"/>
          <w:i/>
          <w:color w:val="231F20"/>
          <w:sz w:val="19"/>
        </w:rPr>
        <w:t>(prisoners’ testimony in Stammheim,</w:t>
      </w:r>
      <w:r>
        <w:rPr>
          <w:rFonts w:ascii="Lucida Sans" w:hAnsi="Lucida Sans"/>
          <w:i/>
          <w:color w:val="231F20"/>
          <w:spacing w:val="-34"/>
          <w:sz w:val="19"/>
        </w:rPr>
        <w:t xml:space="preserve"> </w:t>
      </w:r>
      <w:r>
        <w:rPr>
          <w:rFonts w:ascii="Lucida Sans" w:hAnsi="Lucida Sans"/>
          <w:i/>
          <w:color w:val="231F20"/>
          <w:sz w:val="19"/>
        </w:rPr>
        <w:t>July</w:t>
      </w:r>
      <w:r>
        <w:rPr>
          <w:rFonts w:ascii="Lucida Sans" w:hAnsi="Lucida Sans"/>
          <w:i/>
          <w:color w:val="231F20"/>
          <w:spacing w:val="-34"/>
          <w:sz w:val="19"/>
        </w:rPr>
        <w:t xml:space="preserve"> </w:t>
      </w:r>
      <w:r>
        <w:rPr>
          <w:rFonts w:ascii="Arial" w:hAnsi="Arial"/>
          <w:i/>
          <w:color w:val="231F20"/>
          <w:spacing w:val="-7"/>
          <w:sz w:val="19"/>
        </w:rPr>
        <w:t>9</w:t>
      </w:r>
      <w:r>
        <w:rPr>
          <w:rFonts w:ascii="Lucida Sans" w:hAnsi="Lucida Sans"/>
          <w:i/>
          <w:color w:val="231F20"/>
          <w:spacing w:val="-7"/>
          <w:sz w:val="19"/>
        </w:rPr>
        <w:t>,</w:t>
      </w:r>
      <w:r>
        <w:rPr>
          <w:rFonts w:ascii="Lucida Sans" w:hAnsi="Lucida Sans"/>
          <w:i/>
          <w:color w:val="231F20"/>
          <w:spacing w:val="-34"/>
          <w:sz w:val="19"/>
        </w:rPr>
        <w:t xml:space="preserve"> </w:t>
      </w:r>
      <w:r>
        <w:rPr>
          <w:rFonts w:ascii="Arial" w:hAnsi="Arial"/>
          <w:i/>
          <w:color w:val="231F20"/>
          <w:spacing w:val="-6"/>
          <w:sz w:val="19"/>
        </w:rPr>
        <w:t>1975</w:t>
      </w:r>
      <w:r>
        <w:rPr>
          <w:rFonts w:ascii="Lucida Sans" w:hAnsi="Lucida Sans"/>
          <w:i/>
          <w:color w:val="231F20"/>
          <w:spacing w:val="-6"/>
          <w:sz w:val="19"/>
        </w:rPr>
        <w:t>,</w:t>
      </w:r>
      <w:r>
        <w:rPr>
          <w:rFonts w:ascii="Lucida Sans" w:hAnsi="Lucida Sans"/>
          <w:i/>
          <w:color w:val="231F20"/>
          <w:spacing w:val="-34"/>
          <w:sz w:val="19"/>
        </w:rPr>
        <w:t xml:space="preserve"> </w:t>
      </w:r>
      <w:r>
        <w:rPr>
          <w:rFonts w:ascii="Lucida Sans" w:hAnsi="Lucida Sans"/>
          <w:i/>
          <w:color w:val="231F20"/>
          <w:sz w:val="19"/>
        </w:rPr>
        <w:t>in</w:t>
      </w:r>
      <w:r>
        <w:rPr>
          <w:rFonts w:ascii="Lucida Sans" w:hAnsi="Lucida Sans"/>
          <w:i/>
          <w:color w:val="231F20"/>
          <w:spacing w:val="-34"/>
          <w:sz w:val="19"/>
        </w:rPr>
        <w:t xml:space="preserve"> </w:t>
      </w:r>
      <w:r>
        <w:rPr>
          <w:rFonts w:ascii="Lucida Sans" w:hAnsi="Lucida Sans"/>
          <w:i/>
          <w:color w:val="231F20"/>
          <w:spacing w:val="-3"/>
          <w:sz w:val="19"/>
        </w:rPr>
        <w:t>Texte</w:t>
      </w:r>
      <w:r>
        <w:rPr>
          <w:rFonts w:ascii="Lucida Sans" w:hAnsi="Lucida Sans"/>
          <w:i/>
          <w:color w:val="231F20"/>
          <w:spacing w:val="-34"/>
          <w:sz w:val="19"/>
        </w:rPr>
        <w:t xml:space="preserve"> </w:t>
      </w:r>
      <w:r>
        <w:rPr>
          <w:rFonts w:ascii="Lucida Sans" w:hAnsi="Lucida Sans"/>
          <w:i/>
          <w:color w:val="231F20"/>
          <w:sz w:val="19"/>
        </w:rPr>
        <w:t>des</w:t>
      </w:r>
      <w:r>
        <w:rPr>
          <w:rFonts w:ascii="Lucida Sans" w:hAnsi="Lucida Sans"/>
          <w:i/>
          <w:color w:val="231F20"/>
          <w:spacing w:val="-34"/>
          <w:sz w:val="19"/>
        </w:rPr>
        <w:t xml:space="preserve"> </w:t>
      </w:r>
      <w:r>
        <w:rPr>
          <w:rFonts w:ascii="Lucida Sans" w:hAnsi="Lucida Sans"/>
          <w:i/>
          <w:color w:val="231F20"/>
          <w:sz w:val="19"/>
        </w:rPr>
        <w:t>prisonniers</w:t>
      </w:r>
      <w:r>
        <w:rPr>
          <w:rFonts w:ascii="Lucida Sans" w:hAnsi="Lucida Sans"/>
          <w:i/>
          <w:color w:val="231F20"/>
          <w:spacing w:val="-34"/>
          <w:sz w:val="19"/>
        </w:rPr>
        <w:t xml:space="preserve"> </w:t>
      </w:r>
      <w:r>
        <w:rPr>
          <w:rFonts w:ascii="Lucida Sans" w:hAnsi="Lucida Sans"/>
          <w:i/>
          <w:color w:val="231F20"/>
          <w:sz w:val="19"/>
        </w:rPr>
        <w:t>de</w:t>
      </w:r>
      <w:r>
        <w:rPr>
          <w:rFonts w:ascii="Lucida Sans" w:hAnsi="Lucida Sans"/>
          <w:i/>
          <w:color w:val="231F20"/>
          <w:spacing w:val="-34"/>
          <w:sz w:val="19"/>
        </w:rPr>
        <w:t xml:space="preserve"> </w:t>
      </w:r>
      <w:r>
        <w:rPr>
          <w:rFonts w:ascii="Lucida Sans" w:hAnsi="Lucida Sans"/>
          <w:i/>
          <w:color w:val="231F20"/>
          <w:sz w:val="19"/>
        </w:rPr>
        <w:t>la</w:t>
      </w:r>
      <w:r>
        <w:rPr>
          <w:rFonts w:ascii="Lucida Sans" w:hAnsi="Lucida Sans"/>
          <w:i/>
          <w:color w:val="231F20"/>
          <w:spacing w:val="-34"/>
          <w:sz w:val="19"/>
        </w:rPr>
        <w:t xml:space="preserve"> </w:t>
      </w:r>
      <w:r>
        <w:rPr>
          <w:rFonts w:ascii="Lucida Sans" w:hAnsi="Lucida Sans"/>
          <w:i/>
          <w:color w:val="231F20"/>
          <w:sz w:val="19"/>
        </w:rPr>
        <w:t>“fraction armée</w:t>
      </w:r>
      <w:r>
        <w:rPr>
          <w:rFonts w:ascii="Lucida Sans" w:hAnsi="Lucida Sans"/>
          <w:i/>
          <w:color w:val="231F20"/>
          <w:spacing w:val="-19"/>
          <w:sz w:val="19"/>
        </w:rPr>
        <w:t xml:space="preserve"> </w:t>
      </w:r>
      <w:r>
        <w:rPr>
          <w:rFonts w:ascii="Lucida Sans" w:hAnsi="Lucida Sans"/>
          <w:i/>
          <w:color w:val="231F20"/>
          <w:sz w:val="19"/>
        </w:rPr>
        <w:t>rouge”</w:t>
      </w:r>
      <w:r>
        <w:rPr>
          <w:rFonts w:ascii="Lucida Sans" w:hAnsi="Lucida Sans"/>
          <w:i/>
          <w:color w:val="231F20"/>
          <w:spacing w:val="-19"/>
          <w:sz w:val="19"/>
        </w:rPr>
        <w:t xml:space="preserve"> </w:t>
      </w:r>
      <w:r>
        <w:rPr>
          <w:rFonts w:ascii="Lucida Sans" w:hAnsi="Lucida Sans"/>
          <w:i/>
          <w:color w:val="231F20"/>
          <w:sz w:val="19"/>
        </w:rPr>
        <w:t>et</w:t>
      </w:r>
      <w:r>
        <w:rPr>
          <w:rFonts w:ascii="Lucida Sans" w:hAnsi="Lucida Sans"/>
          <w:i/>
          <w:color w:val="231F20"/>
          <w:spacing w:val="-19"/>
          <w:sz w:val="19"/>
        </w:rPr>
        <w:t xml:space="preserve"> </w:t>
      </w:r>
      <w:r>
        <w:rPr>
          <w:rFonts w:ascii="Lucida Sans" w:hAnsi="Lucida Sans"/>
          <w:i/>
          <w:color w:val="231F20"/>
          <w:sz w:val="19"/>
        </w:rPr>
        <w:t>dernières</w:t>
      </w:r>
      <w:r>
        <w:rPr>
          <w:rFonts w:ascii="Lucida Sans" w:hAnsi="Lucida Sans"/>
          <w:i/>
          <w:color w:val="231F20"/>
          <w:spacing w:val="-19"/>
          <w:sz w:val="19"/>
        </w:rPr>
        <w:t xml:space="preserve"> </w:t>
      </w:r>
      <w:r>
        <w:rPr>
          <w:rFonts w:ascii="Lucida Sans" w:hAnsi="Lucida Sans"/>
          <w:i/>
          <w:color w:val="231F20"/>
          <w:sz w:val="19"/>
        </w:rPr>
        <w:t>lettres</w:t>
      </w:r>
      <w:r>
        <w:rPr>
          <w:rFonts w:ascii="Lucida Sans" w:hAnsi="Lucida Sans"/>
          <w:i/>
          <w:color w:val="231F20"/>
          <w:spacing w:val="-19"/>
          <w:sz w:val="19"/>
        </w:rPr>
        <w:t xml:space="preserve"> </w:t>
      </w:r>
      <w:r>
        <w:rPr>
          <w:rFonts w:ascii="Lucida Sans" w:hAnsi="Lucida Sans"/>
          <w:i/>
          <w:color w:val="231F20"/>
          <w:sz w:val="19"/>
        </w:rPr>
        <w:t>d’Ulrike</w:t>
      </w:r>
      <w:r>
        <w:rPr>
          <w:rFonts w:ascii="Lucida Sans" w:hAnsi="Lucida Sans"/>
          <w:i/>
          <w:color w:val="231F20"/>
          <w:spacing w:val="-19"/>
          <w:sz w:val="19"/>
        </w:rPr>
        <w:t xml:space="preserve"> </w:t>
      </w:r>
      <w:r>
        <w:rPr>
          <w:rFonts w:ascii="Lucida Sans" w:hAnsi="Lucida Sans"/>
          <w:i/>
          <w:color w:val="231F20"/>
          <w:sz w:val="19"/>
        </w:rPr>
        <w:t>Meinhof,</w:t>
      </w:r>
      <w:r>
        <w:rPr>
          <w:rFonts w:ascii="Lucida Sans" w:hAnsi="Lucida Sans"/>
          <w:i/>
          <w:color w:val="231F20"/>
          <w:spacing w:val="-19"/>
          <w:sz w:val="19"/>
        </w:rPr>
        <w:t xml:space="preserve"> </w:t>
      </w:r>
      <w:r>
        <w:rPr>
          <w:rFonts w:ascii="Arial" w:hAnsi="Arial"/>
          <w:i/>
          <w:color w:val="231F20"/>
          <w:spacing w:val="-5"/>
          <w:sz w:val="19"/>
        </w:rPr>
        <w:t>72</w:t>
      </w:r>
      <w:r>
        <w:rPr>
          <w:rFonts w:ascii="Lucida Sans" w:hAnsi="Lucida Sans"/>
          <w:i/>
          <w:color w:val="231F20"/>
          <w:spacing w:val="-5"/>
          <w:sz w:val="19"/>
        </w:rPr>
        <w:t>.)</w:t>
      </w:r>
    </w:p>
    <w:p w14:paraId="7DC8624A" w14:textId="77777777" w:rsidR="002653E8" w:rsidRDefault="002653E8">
      <w:pPr>
        <w:pStyle w:val="a3"/>
        <w:spacing w:before="5"/>
        <w:rPr>
          <w:rFonts w:ascii="Lucida Sans"/>
          <w:i/>
          <w:sz w:val="21"/>
        </w:rPr>
      </w:pPr>
    </w:p>
    <w:p w14:paraId="0B6FA134" w14:textId="77777777" w:rsidR="002653E8" w:rsidRDefault="00C507A5">
      <w:pPr>
        <w:pStyle w:val="a3"/>
        <w:spacing w:before="99" w:line="264" w:lineRule="auto"/>
        <w:ind w:left="1148" w:right="1325" w:hanging="1"/>
        <w:jc w:val="both"/>
      </w:pPr>
      <w:r>
        <w:rPr>
          <w:color w:val="231F20"/>
        </w:rPr>
        <w:t>red army faction</w:t>
      </w:r>
      <w:r w:rsidR="003115E3">
        <w:rPr>
          <w:color w:val="231F20"/>
        </w:rPr>
        <w:t xml:space="preserve"> members Siegfried Hausner, Hanna Krabbe, Karl-Heinz Dellwo, Lutz Taufer, and Bernd Rössner were all captured. One </w:t>
      </w:r>
      <w:r>
        <w:rPr>
          <w:color w:val="231F20"/>
        </w:rPr>
        <w:t>red army faction</w:t>
      </w:r>
      <w:r w:rsidR="003115E3">
        <w:rPr>
          <w:color w:val="231F20"/>
        </w:rPr>
        <w:t xml:space="preserve"> member, Ulrich Wessel, had been killed on the spot, not by the explosives themselves, but by his own hand grenade which he dropped as the blast went off. In spite of severe burns to his own body, Siegfried Hausner tried unsuccessfully to revive Wessel and single-handedly dragged Bernd Rössner out of the building.</w:t>
      </w:r>
    </w:p>
    <w:p w14:paraId="54880628" w14:textId="77777777" w:rsidR="002653E8" w:rsidRDefault="003115E3">
      <w:pPr>
        <w:pStyle w:val="a3"/>
        <w:spacing w:line="264" w:lineRule="auto"/>
        <w:ind w:left="1148" w:right="1325" w:firstLine="210"/>
        <w:jc w:val="both"/>
      </w:pPr>
      <w:r>
        <w:rPr>
          <w:color w:val="231F20"/>
        </w:rPr>
        <w:t xml:space="preserve">It would subsequently be said that the embassy occupation had been organized by Hausner, who had been released from prison in </w:t>
      </w:r>
      <w:r>
        <w:rPr>
          <w:color w:val="231F20"/>
          <w:spacing w:val="-6"/>
        </w:rPr>
        <w:t xml:space="preserve">1974. </w:t>
      </w:r>
      <w:r>
        <w:rPr>
          <w:color w:val="231F20"/>
        </w:rPr>
        <w:t xml:space="preserve">Trained as a welder, and already suspected of building some of the bombs used in the </w:t>
      </w:r>
      <w:r w:rsidR="00C507A5">
        <w:rPr>
          <w:color w:val="231F20"/>
          <w:spacing w:val="1"/>
        </w:rPr>
        <w:t>red army faction</w:t>
      </w:r>
      <w:r>
        <w:rPr>
          <w:color w:val="231F20"/>
          <w:spacing w:val="1"/>
        </w:rPr>
        <w:t xml:space="preserve">’s </w:t>
      </w:r>
      <w:r>
        <w:rPr>
          <w:color w:val="231F20"/>
        </w:rPr>
        <w:t xml:space="preserve">May Offensive, it was Hausner  who  had  rigged the explosives that were used in Stockholm.  Despite  </w:t>
      </w:r>
      <w:r>
        <w:rPr>
          <w:color w:val="231F20"/>
        </w:rPr>
        <w:lastRenderedPageBreak/>
        <w:t>the  fact that</w:t>
      </w:r>
      <w:r>
        <w:rPr>
          <w:color w:val="231F20"/>
          <w:spacing w:val="20"/>
        </w:rPr>
        <w:t xml:space="preserve"> </w:t>
      </w:r>
      <w:r>
        <w:rPr>
          <w:color w:val="231F20"/>
        </w:rPr>
        <w:t>he</w:t>
      </w:r>
      <w:r>
        <w:rPr>
          <w:color w:val="231F20"/>
          <w:spacing w:val="20"/>
        </w:rPr>
        <w:t xml:space="preserve"> </w:t>
      </w:r>
      <w:r>
        <w:rPr>
          <w:color w:val="231F20"/>
        </w:rPr>
        <w:t>had</w:t>
      </w:r>
      <w:r>
        <w:rPr>
          <w:color w:val="231F20"/>
          <w:spacing w:val="20"/>
        </w:rPr>
        <w:t xml:space="preserve"> </w:t>
      </w:r>
      <w:r>
        <w:rPr>
          <w:color w:val="231F20"/>
        </w:rPr>
        <w:t>a</w:t>
      </w:r>
      <w:r>
        <w:rPr>
          <w:color w:val="231F20"/>
          <w:spacing w:val="20"/>
        </w:rPr>
        <w:t xml:space="preserve"> </w:t>
      </w:r>
      <w:r>
        <w:rPr>
          <w:color w:val="231F20"/>
        </w:rPr>
        <w:t>fractured</w:t>
      </w:r>
      <w:r>
        <w:rPr>
          <w:color w:val="231F20"/>
          <w:spacing w:val="20"/>
        </w:rPr>
        <w:t xml:space="preserve"> </w:t>
      </w:r>
      <w:r>
        <w:rPr>
          <w:color w:val="231F20"/>
        </w:rPr>
        <w:t>skull</w:t>
      </w:r>
      <w:r>
        <w:rPr>
          <w:color w:val="231F20"/>
          <w:spacing w:val="20"/>
        </w:rPr>
        <w:t xml:space="preserve"> </w:t>
      </w:r>
      <w:r>
        <w:rPr>
          <w:color w:val="231F20"/>
        </w:rPr>
        <w:t>and</w:t>
      </w:r>
      <w:r>
        <w:rPr>
          <w:color w:val="231F20"/>
          <w:spacing w:val="20"/>
        </w:rPr>
        <w:t xml:space="preserve"> </w:t>
      </w:r>
      <w:r>
        <w:rPr>
          <w:color w:val="231F20"/>
        </w:rPr>
        <w:t>burns</w:t>
      </w:r>
      <w:r>
        <w:rPr>
          <w:color w:val="231F20"/>
          <w:spacing w:val="20"/>
        </w:rPr>
        <w:t xml:space="preserve"> </w:t>
      </w:r>
      <w:r>
        <w:rPr>
          <w:color w:val="231F20"/>
        </w:rPr>
        <w:t>over</w:t>
      </w:r>
      <w:r>
        <w:rPr>
          <w:color w:val="231F20"/>
          <w:spacing w:val="20"/>
        </w:rPr>
        <w:t xml:space="preserve"> </w:t>
      </w:r>
      <w:r>
        <w:rPr>
          <w:color w:val="231F20"/>
        </w:rPr>
        <w:t>most</w:t>
      </w:r>
      <w:r>
        <w:rPr>
          <w:color w:val="231F20"/>
          <w:spacing w:val="20"/>
        </w:rPr>
        <w:t xml:space="preserve"> </w:t>
      </w:r>
      <w:r>
        <w:rPr>
          <w:color w:val="231F20"/>
        </w:rPr>
        <w:t>of</w:t>
      </w:r>
      <w:r>
        <w:rPr>
          <w:color w:val="231F20"/>
          <w:spacing w:val="20"/>
        </w:rPr>
        <w:t xml:space="preserve"> </w:t>
      </w:r>
      <w:r>
        <w:rPr>
          <w:color w:val="231F20"/>
        </w:rPr>
        <w:t>his</w:t>
      </w:r>
      <w:r>
        <w:rPr>
          <w:color w:val="231F20"/>
          <w:spacing w:val="20"/>
        </w:rPr>
        <w:t xml:space="preserve"> </w:t>
      </w:r>
      <w:r>
        <w:rPr>
          <w:color w:val="231F20"/>
          <w:spacing w:val="-3"/>
        </w:rPr>
        <w:t>body,</w:t>
      </w:r>
      <w:r>
        <w:rPr>
          <w:color w:val="231F20"/>
          <w:spacing w:val="20"/>
        </w:rPr>
        <w:t xml:space="preserve"> </w:t>
      </w:r>
      <w:r>
        <w:rPr>
          <w:color w:val="231F20"/>
        </w:rPr>
        <w:t>he</w:t>
      </w:r>
      <w:r>
        <w:rPr>
          <w:color w:val="231F20"/>
          <w:spacing w:val="20"/>
        </w:rPr>
        <w:t xml:space="preserve"> </w:t>
      </w:r>
      <w:r>
        <w:rPr>
          <w:color w:val="231F20"/>
        </w:rPr>
        <w:t>was</w:t>
      </w:r>
    </w:p>
    <w:p w14:paraId="01610434" w14:textId="77777777" w:rsidR="002653E8" w:rsidRDefault="002653E8">
      <w:pPr>
        <w:spacing w:line="264" w:lineRule="auto"/>
        <w:jc w:val="both"/>
        <w:sectPr w:rsidR="002653E8">
          <w:type w:val="continuous"/>
          <w:pgSz w:w="8640" w:h="12960"/>
          <w:pgMar w:top="0" w:right="0" w:bottom="0" w:left="0" w:header="720" w:footer="720" w:gutter="0"/>
          <w:cols w:space="720"/>
        </w:sectPr>
      </w:pPr>
    </w:p>
    <w:p w14:paraId="01EADFF0" w14:textId="77777777" w:rsidR="002653E8" w:rsidRDefault="003115E3">
      <w:pPr>
        <w:pStyle w:val="a3"/>
        <w:spacing w:before="86" w:line="264" w:lineRule="auto"/>
        <w:ind w:left="1327" w:right="1145"/>
      </w:pPr>
      <w:r>
        <w:rPr>
          <w:color w:val="231F20"/>
        </w:rPr>
        <w:lastRenderedPageBreak/>
        <w:t>only hospitalized for a few days, then, over objections from doctors in Sweden and Germany, flown to Stammheim Prison.</w:t>
      </w:r>
    </w:p>
    <w:p w14:paraId="2A9DB1A3" w14:textId="77777777" w:rsidR="002653E8" w:rsidRDefault="003115E3">
      <w:pPr>
        <w:pStyle w:val="a3"/>
        <w:spacing w:line="232" w:lineRule="exact"/>
        <w:ind w:left="1537"/>
      </w:pPr>
      <w:r>
        <w:rPr>
          <w:color w:val="231F20"/>
          <w:w w:val="105"/>
        </w:rPr>
        <w:t>He died soon after.</w:t>
      </w:r>
    </w:p>
    <w:p w14:paraId="7EB48912" w14:textId="77777777" w:rsidR="002653E8" w:rsidRDefault="003115E3">
      <w:pPr>
        <w:pStyle w:val="a3"/>
        <w:spacing w:before="23" w:line="264" w:lineRule="auto"/>
        <w:ind w:left="1327" w:right="1147" w:firstLine="210"/>
        <w:jc w:val="both"/>
        <w:rPr>
          <w:sz w:val="11"/>
        </w:rPr>
      </w:pPr>
      <w:r>
        <w:rPr>
          <w:color w:val="231F20"/>
          <w:w w:val="105"/>
        </w:rPr>
        <w:t>The</w:t>
      </w:r>
      <w:r>
        <w:rPr>
          <w:color w:val="231F20"/>
          <w:spacing w:val="-28"/>
          <w:w w:val="105"/>
        </w:rPr>
        <w:t xml:space="preserve"> </w:t>
      </w:r>
      <w:r>
        <w:rPr>
          <w:color w:val="231F20"/>
          <w:w w:val="105"/>
        </w:rPr>
        <w:t>other</w:t>
      </w:r>
      <w:r>
        <w:rPr>
          <w:color w:val="231F20"/>
          <w:spacing w:val="-28"/>
          <w:w w:val="105"/>
        </w:rPr>
        <w:t xml:space="preserve"> </w:t>
      </w:r>
      <w:r>
        <w:rPr>
          <w:color w:val="231F20"/>
          <w:w w:val="105"/>
        </w:rPr>
        <w:t>captured</w:t>
      </w:r>
      <w:r>
        <w:rPr>
          <w:color w:val="231F20"/>
          <w:spacing w:val="-28"/>
          <w:w w:val="105"/>
        </w:rPr>
        <w:t xml:space="preserve"> </w:t>
      </w:r>
      <w:r>
        <w:rPr>
          <w:color w:val="231F20"/>
          <w:w w:val="105"/>
        </w:rPr>
        <w:t>combatants</w:t>
      </w:r>
      <w:r>
        <w:rPr>
          <w:color w:val="231F20"/>
          <w:spacing w:val="-28"/>
          <w:w w:val="105"/>
        </w:rPr>
        <w:t xml:space="preserve"> </w:t>
      </w:r>
      <w:r>
        <w:rPr>
          <w:color w:val="231F20"/>
          <w:w w:val="105"/>
        </w:rPr>
        <w:t>would</w:t>
      </w:r>
      <w:r>
        <w:rPr>
          <w:color w:val="231F20"/>
          <w:spacing w:val="-28"/>
          <w:w w:val="105"/>
        </w:rPr>
        <w:t xml:space="preserve"> </w:t>
      </w:r>
      <w:r>
        <w:rPr>
          <w:color w:val="231F20"/>
          <w:w w:val="105"/>
        </w:rPr>
        <w:t>be</w:t>
      </w:r>
      <w:r>
        <w:rPr>
          <w:color w:val="231F20"/>
          <w:spacing w:val="-28"/>
          <w:w w:val="105"/>
        </w:rPr>
        <w:t xml:space="preserve"> </w:t>
      </w:r>
      <w:r>
        <w:rPr>
          <w:color w:val="231F20"/>
          <w:w w:val="105"/>
        </w:rPr>
        <w:t>brought</w:t>
      </w:r>
      <w:r>
        <w:rPr>
          <w:color w:val="231F20"/>
          <w:spacing w:val="-28"/>
          <w:w w:val="105"/>
        </w:rPr>
        <w:t xml:space="preserve"> </w:t>
      </w:r>
      <w:r>
        <w:rPr>
          <w:color w:val="231F20"/>
          <w:w w:val="105"/>
        </w:rPr>
        <w:t>to</w:t>
      </w:r>
      <w:r>
        <w:rPr>
          <w:color w:val="231F20"/>
          <w:spacing w:val="-28"/>
          <w:w w:val="105"/>
        </w:rPr>
        <w:t xml:space="preserve"> </w:t>
      </w:r>
      <w:r>
        <w:rPr>
          <w:color w:val="231F20"/>
          <w:w w:val="105"/>
        </w:rPr>
        <w:t>trial</w:t>
      </w:r>
      <w:r>
        <w:rPr>
          <w:color w:val="231F20"/>
          <w:spacing w:val="-28"/>
          <w:w w:val="105"/>
        </w:rPr>
        <w:t xml:space="preserve"> </w:t>
      </w:r>
      <w:r>
        <w:rPr>
          <w:color w:val="231F20"/>
          <w:w w:val="105"/>
        </w:rPr>
        <w:t>in</w:t>
      </w:r>
      <w:r>
        <w:rPr>
          <w:color w:val="231F20"/>
          <w:spacing w:val="-28"/>
          <w:w w:val="105"/>
        </w:rPr>
        <w:t xml:space="preserve"> </w:t>
      </w:r>
      <w:r>
        <w:rPr>
          <w:color w:val="231F20"/>
          <w:w w:val="105"/>
        </w:rPr>
        <w:t>the</w:t>
      </w:r>
      <w:r>
        <w:rPr>
          <w:color w:val="231F20"/>
          <w:spacing w:val="-28"/>
          <w:w w:val="105"/>
        </w:rPr>
        <w:t xml:space="preserve"> </w:t>
      </w:r>
      <w:r>
        <w:rPr>
          <w:color w:val="231F20"/>
          <w:w w:val="105"/>
        </w:rPr>
        <w:t>city</w:t>
      </w:r>
      <w:r>
        <w:rPr>
          <w:color w:val="231F20"/>
          <w:spacing w:val="-28"/>
          <w:w w:val="105"/>
        </w:rPr>
        <w:t xml:space="preserve"> </w:t>
      </w:r>
      <w:r>
        <w:rPr>
          <w:color w:val="231F20"/>
          <w:w w:val="105"/>
        </w:rPr>
        <w:t>of Düsseldorf,</w:t>
      </w:r>
      <w:r>
        <w:rPr>
          <w:color w:val="231F20"/>
          <w:spacing w:val="-12"/>
          <w:w w:val="105"/>
        </w:rPr>
        <w:t xml:space="preserve"> </w:t>
      </w:r>
      <w:r>
        <w:rPr>
          <w:color w:val="231F20"/>
          <w:w w:val="105"/>
        </w:rPr>
        <w:t>and</w:t>
      </w:r>
      <w:r>
        <w:rPr>
          <w:color w:val="231F20"/>
          <w:spacing w:val="-12"/>
          <w:w w:val="105"/>
        </w:rPr>
        <w:t xml:space="preserve"> </w:t>
      </w:r>
      <w:r>
        <w:rPr>
          <w:color w:val="231F20"/>
          <w:w w:val="105"/>
        </w:rPr>
        <w:t>on</w:t>
      </w:r>
      <w:r>
        <w:rPr>
          <w:color w:val="231F20"/>
          <w:spacing w:val="-12"/>
          <w:w w:val="105"/>
        </w:rPr>
        <w:t xml:space="preserve"> </w:t>
      </w:r>
      <w:r>
        <w:rPr>
          <w:color w:val="231F20"/>
          <w:w w:val="105"/>
        </w:rPr>
        <w:t>July</w:t>
      </w:r>
      <w:r>
        <w:rPr>
          <w:color w:val="231F20"/>
          <w:spacing w:val="-12"/>
          <w:w w:val="105"/>
        </w:rPr>
        <w:t xml:space="preserve"> </w:t>
      </w:r>
      <w:r>
        <w:rPr>
          <w:color w:val="231F20"/>
          <w:w w:val="105"/>
        </w:rPr>
        <w:t>20,</w:t>
      </w:r>
      <w:r>
        <w:rPr>
          <w:color w:val="231F20"/>
          <w:spacing w:val="-12"/>
          <w:w w:val="105"/>
        </w:rPr>
        <w:t xml:space="preserve"> </w:t>
      </w:r>
      <w:r>
        <w:rPr>
          <w:color w:val="231F20"/>
          <w:spacing w:val="-6"/>
          <w:w w:val="105"/>
        </w:rPr>
        <w:t>1977,</w:t>
      </w:r>
      <w:r>
        <w:rPr>
          <w:color w:val="231F20"/>
          <w:spacing w:val="-12"/>
          <w:w w:val="105"/>
        </w:rPr>
        <w:t xml:space="preserve"> </w:t>
      </w:r>
      <w:r>
        <w:rPr>
          <w:color w:val="231F20"/>
          <w:w w:val="105"/>
        </w:rPr>
        <w:t>each</w:t>
      </w:r>
      <w:r>
        <w:rPr>
          <w:color w:val="231F20"/>
          <w:spacing w:val="-12"/>
          <w:w w:val="105"/>
        </w:rPr>
        <w:t xml:space="preserve"> </w:t>
      </w:r>
      <w:r>
        <w:rPr>
          <w:color w:val="231F20"/>
          <w:w w:val="105"/>
        </w:rPr>
        <w:t>received</w:t>
      </w:r>
      <w:r>
        <w:rPr>
          <w:color w:val="231F20"/>
          <w:spacing w:val="-12"/>
          <w:w w:val="105"/>
        </w:rPr>
        <w:t xml:space="preserve"> </w:t>
      </w:r>
      <w:r>
        <w:rPr>
          <w:color w:val="231F20"/>
          <w:w w:val="105"/>
        </w:rPr>
        <w:t>double</w:t>
      </w:r>
      <w:r>
        <w:rPr>
          <w:color w:val="231F20"/>
          <w:spacing w:val="-12"/>
          <w:w w:val="105"/>
        </w:rPr>
        <w:t xml:space="preserve"> </w:t>
      </w:r>
      <w:r>
        <w:rPr>
          <w:color w:val="231F20"/>
          <w:w w:val="105"/>
        </w:rPr>
        <w:t>life</w:t>
      </w:r>
      <w:r>
        <w:rPr>
          <w:color w:val="231F20"/>
          <w:spacing w:val="-12"/>
          <w:w w:val="105"/>
        </w:rPr>
        <w:t xml:space="preserve"> </w:t>
      </w:r>
      <w:r>
        <w:rPr>
          <w:color w:val="231F20"/>
          <w:w w:val="105"/>
        </w:rPr>
        <w:t>sentences.</w:t>
      </w:r>
      <w:r>
        <w:rPr>
          <w:color w:val="231F20"/>
          <w:w w:val="105"/>
          <w:position w:val="7"/>
          <w:sz w:val="11"/>
        </w:rPr>
        <w:t>1</w:t>
      </w:r>
    </w:p>
    <w:p w14:paraId="6EFB7AB3" w14:textId="77777777" w:rsidR="002653E8" w:rsidRDefault="003115E3">
      <w:pPr>
        <w:pStyle w:val="a3"/>
        <w:spacing w:line="264" w:lineRule="auto"/>
        <w:ind w:left="1327" w:right="1137" w:firstLine="210"/>
        <w:jc w:val="both"/>
      </w:pPr>
      <w:r>
        <w:rPr>
          <w:color w:val="231F20"/>
        </w:rPr>
        <w:t>Coming right after the Lorenz kidnapping, the embassy takeover prompted Chancellor Schmidt to announce that “anarchist guerillas” posed the worst threat West Germany had faced in its twenty-six-year history.</w:t>
      </w:r>
      <w:r>
        <w:rPr>
          <w:color w:val="231F20"/>
          <w:position w:val="7"/>
          <w:sz w:val="11"/>
        </w:rPr>
        <w:t xml:space="preserve">2 </w:t>
      </w:r>
      <w:r>
        <w:rPr>
          <w:color w:val="231F20"/>
        </w:rPr>
        <w:t xml:space="preserve">yet the action was clearly a failure: no one was freed, two </w:t>
      </w:r>
      <w:r w:rsidR="00C507A5">
        <w:rPr>
          <w:color w:val="231F20"/>
        </w:rPr>
        <w:t>red army faction</w:t>
      </w:r>
      <w:r>
        <w:rPr>
          <w:color w:val="231F20"/>
        </w:rPr>
        <w:t xml:space="preserve"> members were dead, and four more in prison.</w:t>
      </w:r>
    </w:p>
    <w:p w14:paraId="409F10B3" w14:textId="77777777" w:rsidR="002653E8" w:rsidRDefault="003115E3">
      <w:pPr>
        <w:pStyle w:val="a3"/>
        <w:spacing w:line="264" w:lineRule="auto"/>
        <w:ind w:left="1327" w:right="1145" w:firstLine="210"/>
        <w:jc w:val="both"/>
        <w:rPr>
          <w:sz w:val="11"/>
        </w:rPr>
      </w:pPr>
      <w:r>
        <w:rPr>
          <w:color w:val="231F20"/>
          <w:spacing w:val="1"/>
        </w:rPr>
        <w:t xml:space="preserve">In </w:t>
      </w:r>
      <w:r>
        <w:rPr>
          <w:color w:val="231F20"/>
        </w:rPr>
        <w:t xml:space="preserve">contrast with the Lorenz kidnapping, the state now emerged victorious, and capitalized on the situation to enlist the people’s support in its campaign against the guerilla. Gas stations received a circular from the </w:t>
      </w:r>
      <w:r>
        <w:rPr>
          <w:color w:val="231F20"/>
          <w:spacing w:val="2"/>
        </w:rPr>
        <w:t xml:space="preserve">BKA, </w:t>
      </w:r>
      <w:r>
        <w:rPr>
          <w:color w:val="231F20"/>
        </w:rPr>
        <w:t xml:space="preserve">explaining to attendants that, </w:t>
      </w:r>
      <w:r>
        <w:rPr>
          <w:color w:val="231F20"/>
          <w:spacing w:val="-4"/>
        </w:rPr>
        <w:t xml:space="preserve">“your </w:t>
      </w:r>
      <w:r>
        <w:rPr>
          <w:color w:val="231F20"/>
        </w:rPr>
        <w:t xml:space="preserve">knowledge puts you in a special position to help the police. The enclosed checklist will help you to notice suspicious features when attending to vehicles; please report </w:t>
      </w:r>
      <w:r>
        <w:rPr>
          <w:color w:val="231F20"/>
          <w:spacing w:val="-3"/>
        </w:rPr>
        <w:t>them.”</w:t>
      </w:r>
      <w:r>
        <w:rPr>
          <w:color w:val="231F20"/>
          <w:spacing w:val="-3"/>
          <w:position w:val="7"/>
          <w:sz w:val="11"/>
        </w:rPr>
        <w:t xml:space="preserve">3 </w:t>
      </w:r>
      <w:r>
        <w:rPr>
          <w:color w:val="231F20"/>
        </w:rPr>
        <w:t>A similar plan was discussed to enlist hair stylists—who would be asked to report who had their hair cut, dyed or restyled, who bought wigs, etc.—but did not</w:t>
      </w:r>
      <w:r>
        <w:rPr>
          <w:color w:val="231F20"/>
          <w:spacing w:val="1"/>
        </w:rPr>
        <w:t xml:space="preserve"> </w:t>
      </w:r>
      <w:r>
        <w:rPr>
          <w:color w:val="231F20"/>
        </w:rPr>
        <w:t>pass.</w:t>
      </w:r>
      <w:r>
        <w:rPr>
          <w:color w:val="231F20"/>
          <w:position w:val="7"/>
          <w:sz w:val="11"/>
        </w:rPr>
        <w:t>4</w:t>
      </w:r>
    </w:p>
    <w:p w14:paraId="31507D9E" w14:textId="77777777" w:rsidR="002653E8" w:rsidRDefault="003115E3">
      <w:pPr>
        <w:pStyle w:val="a3"/>
        <w:spacing w:line="264" w:lineRule="auto"/>
        <w:ind w:left="1327" w:right="1146" w:firstLine="210"/>
        <w:jc w:val="both"/>
      </w:pPr>
      <w:r>
        <w:rPr>
          <w:color w:val="231F20"/>
        </w:rPr>
        <w:t xml:space="preserve">While it may have helped solidify public opinion behind the state,   the Stockholm action in no </w:t>
      </w:r>
      <w:r>
        <w:rPr>
          <w:color w:val="231F20"/>
          <w:spacing w:val="-2"/>
        </w:rPr>
        <w:t xml:space="preserve">way </w:t>
      </w:r>
      <w:r>
        <w:rPr>
          <w:color w:val="231F20"/>
        </w:rPr>
        <w:t xml:space="preserve">represented an end to far-left support for the guerilla. Indeed, defeat or no defeat, the fact that people had  been willing to lay their lives on the line impressed </w:t>
      </w:r>
      <w:r>
        <w:rPr>
          <w:color w:val="231F20"/>
          <w:spacing w:val="-3"/>
        </w:rPr>
        <w:t xml:space="preserve">many, </w:t>
      </w:r>
      <w:r>
        <w:rPr>
          <w:color w:val="231F20"/>
        </w:rPr>
        <w:t>and this itself served</w:t>
      </w:r>
      <w:r>
        <w:rPr>
          <w:color w:val="231F20"/>
          <w:spacing w:val="20"/>
        </w:rPr>
        <w:t xml:space="preserve"> </w:t>
      </w:r>
      <w:r>
        <w:rPr>
          <w:color w:val="231F20"/>
        </w:rPr>
        <w:t>as</w:t>
      </w:r>
      <w:r>
        <w:rPr>
          <w:color w:val="231F20"/>
          <w:spacing w:val="20"/>
        </w:rPr>
        <w:t xml:space="preserve"> </w:t>
      </w:r>
      <w:r>
        <w:rPr>
          <w:color w:val="231F20"/>
        </w:rPr>
        <w:t>an</w:t>
      </w:r>
      <w:r>
        <w:rPr>
          <w:color w:val="231F20"/>
          <w:spacing w:val="20"/>
        </w:rPr>
        <w:t xml:space="preserve"> </w:t>
      </w:r>
      <w:r>
        <w:rPr>
          <w:color w:val="231F20"/>
        </w:rPr>
        <w:t>inspiration</w:t>
      </w:r>
      <w:r>
        <w:rPr>
          <w:color w:val="231F20"/>
          <w:spacing w:val="20"/>
        </w:rPr>
        <w:t xml:space="preserve"> </w:t>
      </w:r>
      <w:r>
        <w:rPr>
          <w:color w:val="231F20"/>
        </w:rPr>
        <w:t>to</w:t>
      </w:r>
      <w:r>
        <w:rPr>
          <w:color w:val="231F20"/>
          <w:spacing w:val="20"/>
        </w:rPr>
        <w:t xml:space="preserve"> </w:t>
      </w:r>
      <w:r>
        <w:rPr>
          <w:color w:val="231F20"/>
        </w:rPr>
        <w:t>struggle.</w:t>
      </w:r>
      <w:r>
        <w:rPr>
          <w:color w:val="231F20"/>
          <w:spacing w:val="20"/>
        </w:rPr>
        <w:t xml:space="preserve"> </w:t>
      </w:r>
      <w:r>
        <w:rPr>
          <w:color w:val="231F20"/>
        </w:rPr>
        <w:t>According</w:t>
      </w:r>
      <w:r>
        <w:rPr>
          <w:color w:val="231F20"/>
          <w:spacing w:val="20"/>
        </w:rPr>
        <w:t xml:space="preserve"> </w:t>
      </w:r>
      <w:r>
        <w:rPr>
          <w:color w:val="231F20"/>
        </w:rPr>
        <w:t>to</w:t>
      </w:r>
      <w:r>
        <w:rPr>
          <w:color w:val="231F20"/>
          <w:spacing w:val="20"/>
        </w:rPr>
        <w:t xml:space="preserve"> </w:t>
      </w:r>
      <w:r>
        <w:rPr>
          <w:color w:val="231F20"/>
        </w:rPr>
        <w:t>Karl-Heinz</w:t>
      </w:r>
      <w:r>
        <w:rPr>
          <w:color w:val="231F20"/>
          <w:spacing w:val="20"/>
        </w:rPr>
        <w:t xml:space="preserve"> </w:t>
      </w:r>
      <w:r>
        <w:rPr>
          <w:color w:val="231F20"/>
        </w:rPr>
        <w:t>Dellwo,</w:t>
      </w:r>
    </w:p>
    <w:p w14:paraId="77EFE106" w14:textId="77777777" w:rsidR="002653E8" w:rsidRDefault="003115E3">
      <w:pPr>
        <w:spacing w:before="106" w:line="276" w:lineRule="auto"/>
        <w:ind w:left="1747" w:right="1559"/>
        <w:jc w:val="both"/>
        <w:rPr>
          <w:i/>
          <w:sz w:val="11"/>
        </w:rPr>
      </w:pPr>
      <w:r>
        <w:rPr>
          <w:i/>
          <w:color w:val="231F20"/>
          <w:sz w:val="19"/>
        </w:rPr>
        <w:t xml:space="preserve">Actually  the  Stockholm  action   also   encouraged   some   people to go underground. Before Stockholm, we were only about ten comrades, of whom not all were sure how far they were prepared  to go. Afterwards, the </w:t>
      </w:r>
      <w:r w:rsidR="00C507A5">
        <w:rPr>
          <w:i/>
          <w:color w:val="231F20"/>
          <w:sz w:val="19"/>
        </w:rPr>
        <w:t>red army faction</w:t>
      </w:r>
      <w:r>
        <w:rPr>
          <w:i/>
          <w:color w:val="231F20"/>
          <w:sz w:val="19"/>
        </w:rPr>
        <w:t xml:space="preserve"> was rebuilt with many more people. Stockholm as such also established a new reality on our side. The embassy said: the </w:t>
      </w:r>
      <w:r w:rsidR="00C507A5">
        <w:rPr>
          <w:i/>
          <w:color w:val="231F20"/>
          <w:sz w:val="19"/>
        </w:rPr>
        <w:t>red army faction</w:t>
      </w:r>
      <w:r>
        <w:rPr>
          <w:i/>
          <w:color w:val="231F20"/>
          <w:sz w:val="19"/>
        </w:rPr>
        <w:t xml:space="preserve"> is still there and has the capacity to carry out such an attack—imagine what would be possible if it was organized on a larger</w:t>
      </w:r>
      <w:r>
        <w:rPr>
          <w:i/>
          <w:color w:val="231F20"/>
          <w:spacing w:val="40"/>
          <w:sz w:val="19"/>
        </w:rPr>
        <w:t xml:space="preserve"> </w:t>
      </w:r>
      <w:r>
        <w:rPr>
          <w:i/>
          <w:color w:val="231F20"/>
          <w:sz w:val="19"/>
        </w:rPr>
        <w:t>scale.</w:t>
      </w:r>
      <w:r>
        <w:rPr>
          <w:i/>
          <w:color w:val="231F20"/>
          <w:position w:val="6"/>
          <w:sz w:val="11"/>
        </w:rPr>
        <w:t>5</w:t>
      </w:r>
    </w:p>
    <w:p w14:paraId="4898A016" w14:textId="77777777" w:rsidR="002653E8" w:rsidRDefault="00000000">
      <w:pPr>
        <w:pStyle w:val="a3"/>
        <w:spacing w:before="10"/>
        <w:rPr>
          <w:i/>
        </w:rPr>
      </w:pPr>
      <w:r>
        <w:rPr>
          <w:noProof w:val="0"/>
        </w:rPr>
        <w:pict w14:anchorId="7A48BCED">
          <v:line id="_x0000_s2330" style="position:absolute;z-index:7624;mso-wrap-distance-left:0;mso-wrap-distance-right:0;mso-position-horizontal-relative:page" from="66.4pt,14.45pt" to="138.4pt,14.45pt" strokecolor="#231f20" strokeweight=".5pt">
            <w10:wrap type="topAndBottom" anchorx="page"/>
          </v:line>
        </w:pict>
      </w:r>
    </w:p>
    <w:p w14:paraId="22423E0A" w14:textId="77777777" w:rsidR="002653E8" w:rsidRDefault="003115E3">
      <w:pPr>
        <w:pStyle w:val="a4"/>
        <w:numPr>
          <w:ilvl w:val="0"/>
          <w:numId w:val="97"/>
        </w:numPr>
        <w:tabs>
          <w:tab w:val="left" w:pos="1467"/>
        </w:tabs>
        <w:spacing w:before="53"/>
        <w:ind w:hanging="1"/>
        <w:rPr>
          <w:i/>
          <w:sz w:val="16"/>
        </w:rPr>
      </w:pPr>
      <w:bookmarkStart w:id="150" w:name="_Hlk123689393"/>
      <w:r>
        <w:rPr>
          <w:color w:val="231F20"/>
          <w:w w:val="105"/>
          <w:sz w:val="16"/>
        </w:rPr>
        <w:t>Associated</w:t>
      </w:r>
      <w:r>
        <w:rPr>
          <w:color w:val="231F20"/>
          <w:spacing w:val="10"/>
          <w:w w:val="105"/>
          <w:sz w:val="16"/>
        </w:rPr>
        <w:t xml:space="preserve"> </w:t>
      </w:r>
      <w:r>
        <w:rPr>
          <w:color w:val="231F20"/>
          <w:w w:val="105"/>
          <w:sz w:val="16"/>
        </w:rPr>
        <w:t>Press,</w:t>
      </w:r>
      <w:r>
        <w:rPr>
          <w:color w:val="231F20"/>
          <w:spacing w:val="10"/>
          <w:w w:val="105"/>
          <w:sz w:val="16"/>
        </w:rPr>
        <w:t xml:space="preserve"> </w:t>
      </w:r>
      <w:r>
        <w:rPr>
          <w:color w:val="231F20"/>
          <w:spacing w:val="-10"/>
          <w:w w:val="105"/>
          <w:sz w:val="16"/>
        </w:rPr>
        <w:t>“4</w:t>
      </w:r>
      <w:r>
        <w:rPr>
          <w:color w:val="231F20"/>
          <w:spacing w:val="10"/>
          <w:w w:val="105"/>
          <w:sz w:val="16"/>
        </w:rPr>
        <w:t xml:space="preserve"> </w:t>
      </w:r>
      <w:r>
        <w:rPr>
          <w:color w:val="231F20"/>
          <w:w w:val="105"/>
          <w:sz w:val="16"/>
        </w:rPr>
        <w:t>get</w:t>
      </w:r>
      <w:r>
        <w:rPr>
          <w:color w:val="231F20"/>
          <w:spacing w:val="10"/>
          <w:w w:val="105"/>
          <w:sz w:val="16"/>
        </w:rPr>
        <w:t xml:space="preserve"> </w:t>
      </w:r>
      <w:r>
        <w:rPr>
          <w:color w:val="231F20"/>
          <w:w w:val="105"/>
          <w:sz w:val="16"/>
        </w:rPr>
        <w:t>life</w:t>
      </w:r>
      <w:r>
        <w:rPr>
          <w:color w:val="231F20"/>
          <w:spacing w:val="10"/>
          <w:w w:val="105"/>
          <w:sz w:val="16"/>
        </w:rPr>
        <w:t xml:space="preserve"> </w:t>
      </w:r>
      <w:r>
        <w:rPr>
          <w:color w:val="231F20"/>
          <w:w w:val="105"/>
          <w:sz w:val="16"/>
        </w:rPr>
        <w:t>for</w:t>
      </w:r>
      <w:r>
        <w:rPr>
          <w:color w:val="231F20"/>
          <w:spacing w:val="10"/>
          <w:w w:val="105"/>
          <w:sz w:val="16"/>
        </w:rPr>
        <w:t xml:space="preserve"> </w:t>
      </w:r>
      <w:r>
        <w:rPr>
          <w:color w:val="231F20"/>
          <w:w w:val="105"/>
          <w:sz w:val="16"/>
        </w:rPr>
        <w:t>attack</w:t>
      </w:r>
      <w:r>
        <w:rPr>
          <w:color w:val="231F20"/>
          <w:spacing w:val="10"/>
          <w:w w:val="105"/>
          <w:sz w:val="16"/>
        </w:rPr>
        <w:t xml:space="preserve"> </w:t>
      </w:r>
      <w:r>
        <w:rPr>
          <w:color w:val="231F20"/>
          <w:w w:val="105"/>
          <w:sz w:val="16"/>
        </w:rPr>
        <w:t>at</w:t>
      </w:r>
      <w:r>
        <w:rPr>
          <w:color w:val="231F20"/>
          <w:spacing w:val="10"/>
          <w:w w:val="105"/>
          <w:sz w:val="16"/>
        </w:rPr>
        <w:t xml:space="preserve"> </w:t>
      </w:r>
      <w:r>
        <w:rPr>
          <w:color w:val="231F20"/>
          <w:w w:val="105"/>
          <w:sz w:val="16"/>
        </w:rPr>
        <w:t>embassy,”</w:t>
      </w:r>
      <w:r>
        <w:rPr>
          <w:color w:val="231F20"/>
          <w:spacing w:val="11"/>
          <w:w w:val="105"/>
          <w:sz w:val="16"/>
        </w:rPr>
        <w:t xml:space="preserve"> </w:t>
      </w:r>
      <w:r>
        <w:rPr>
          <w:i/>
          <w:color w:val="231F20"/>
          <w:w w:val="105"/>
          <w:sz w:val="16"/>
        </w:rPr>
        <w:t>European</w:t>
      </w:r>
      <w:r>
        <w:rPr>
          <w:i/>
          <w:color w:val="231F20"/>
          <w:spacing w:val="10"/>
          <w:w w:val="105"/>
          <w:sz w:val="16"/>
        </w:rPr>
        <w:t xml:space="preserve"> </w:t>
      </w:r>
      <w:r>
        <w:rPr>
          <w:i/>
          <w:color w:val="231F20"/>
          <w:w w:val="105"/>
          <w:sz w:val="16"/>
        </w:rPr>
        <w:t>Stars</w:t>
      </w:r>
      <w:r>
        <w:rPr>
          <w:i/>
          <w:color w:val="231F20"/>
          <w:spacing w:val="10"/>
          <w:w w:val="105"/>
          <w:sz w:val="16"/>
        </w:rPr>
        <w:t xml:space="preserve"> </w:t>
      </w:r>
      <w:r>
        <w:rPr>
          <w:i/>
          <w:color w:val="231F20"/>
          <w:spacing w:val="1"/>
          <w:w w:val="105"/>
          <w:sz w:val="16"/>
        </w:rPr>
        <w:t>and</w:t>
      </w:r>
      <w:r>
        <w:rPr>
          <w:i/>
          <w:color w:val="231F20"/>
          <w:spacing w:val="10"/>
          <w:w w:val="105"/>
          <w:sz w:val="16"/>
        </w:rPr>
        <w:t xml:space="preserve"> </w:t>
      </w:r>
      <w:r>
        <w:rPr>
          <w:i/>
          <w:color w:val="231F20"/>
          <w:w w:val="105"/>
          <w:sz w:val="16"/>
        </w:rPr>
        <w:t>Stripes,</w:t>
      </w:r>
    </w:p>
    <w:p w14:paraId="6252DB80" w14:textId="77777777" w:rsidR="002653E8" w:rsidRDefault="003115E3">
      <w:pPr>
        <w:spacing w:before="11"/>
        <w:ind w:left="1328"/>
        <w:rPr>
          <w:sz w:val="16"/>
        </w:rPr>
      </w:pPr>
      <w:r>
        <w:rPr>
          <w:color w:val="231F20"/>
          <w:w w:val="110"/>
          <w:sz w:val="16"/>
        </w:rPr>
        <w:t>July 21, 1977.</w:t>
      </w:r>
    </w:p>
    <w:p w14:paraId="1FBB9D7C" w14:textId="77777777" w:rsidR="002653E8" w:rsidRDefault="003115E3">
      <w:pPr>
        <w:pStyle w:val="a4"/>
        <w:numPr>
          <w:ilvl w:val="0"/>
          <w:numId w:val="97"/>
        </w:numPr>
        <w:tabs>
          <w:tab w:val="left" w:pos="1467"/>
        </w:tabs>
        <w:spacing w:before="52" w:line="254" w:lineRule="auto"/>
        <w:ind w:right="1625" w:firstLine="0"/>
        <w:rPr>
          <w:sz w:val="16"/>
        </w:rPr>
      </w:pPr>
      <w:r>
        <w:rPr>
          <w:color w:val="231F20"/>
          <w:w w:val="110"/>
          <w:sz w:val="16"/>
        </w:rPr>
        <w:t xml:space="preserve">Thaddeus Kopinski, “From barroom brawls to bombings,” </w:t>
      </w:r>
      <w:r>
        <w:rPr>
          <w:i/>
          <w:color w:val="231F20"/>
          <w:w w:val="110"/>
          <w:sz w:val="16"/>
        </w:rPr>
        <w:t xml:space="preserve">Post Herald </w:t>
      </w:r>
      <w:r>
        <w:rPr>
          <w:i/>
          <w:color w:val="231F20"/>
          <w:spacing w:val="1"/>
          <w:w w:val="110"/>
          <w:sz w:val="16"/>
        </w:rPr>
        <w:t xml:space="preserve">and </w:t>
      </w:r>
      <w:r>
        <w:rPr>
          <w:i/>
          <w:color w:val="231F20"/>
          <w:w w:val="110"/>
          <w:sz w:val="16"/>
        </w:rPr>
        <w:t xml:space="preserve">Register, </w:t>
      </w:r>
      <w:r>
        <w:rPr>
          <w:color w:val="231F20"/>
          <w:w w:val="110"/>
          <w:sz w:val="16"/>
        </w:rPr>
        <w:t xml:space="preserve">April </w:t>
      </w:r>
      <w:r>
        <w:rPr>
          <w:color w:val="231F20"/>
          <w:spacing w:val="-6"/>
          <w:w w:val="110"/>
          <w:sz w:val="16"/>
        </w:rPr>
        <w:t>27,</w:t>
      </w:r>
      <w:r>
        <w:rPr>
          <w:color w:val="231F20"/>
          <w:spacing w:val="18"/>
          <w:w w:val="110"/>
          <w:sz w:val="16"/>
        </w:rPr>
        <w:t xml:space="preserve"> </w:t>
      </w:r>
      <w:r>
        <w:rPr>
          <w:color w:val="231F20"/>
          <w:spacing w:val="-4"/>
          <w:w w:val="110"/>
          <w:sz w:val="16"/>
        </w:rPr>
        <w:t>1975.</w:t>
      </w:r>
    </w:p>
    <w:p w14:paraId="7B956BAB" w14:textId="77777777" w:rsidR="002653E8" w:rsidRDefault="003115E3">
      <w:pPr>
        <w:pStyle w:val="a4"/>
        <w:numPr>
          <w:ilvl w:val="0"/>
          <w:numId w:val="97"/>
        </w:numPr>
        <w:tabs>
          <w:tab w:val="left" w:pos="1467"/>
        </w:tabs>
        <w:ind w:left="1466" w:hanging="138"/>
        <w:rPr>
          <w:sz w:val="16"/>
        </w:rPr>
      </w:pPr>
      <w:r>
        <w:rPr>
          <w:color w:val="231F20"/>
          <w:w w:val="115"/>
          <w:sz w:val="16"/>
        </w:rPr>
        <w:t>Cobler,</w:t>
      </w:r>
      <w:r>
        <w:rPr>
          <w:color w:val="231F20"/>
          <w:spacing w:val="3"/>
          <w:w w:val="115"/>
          <w:sz w:val="16"/>
        </w:rPr>
        <w:t xml:space="preserve"> </w:t>
      </w:r>
      <w:r>
        <w:rPr>
          <w:color w:val="231F20"/>
          <w:spacing w:val="-3"/>
          <w:w w:val="115"/>
          <w:sz w:val="16"/>
        </w:rPr>
        <w:t>168.</w:t>
      </w:r>
    </w:p>
    <w:p w14:paraId="2E508638" w14:textId="77777777" w:rsidR="002653E8" w:rsidRDefault="003115E3">
      <w:pPr>
        <w:pStyle w:val="a4"/>
        <w:numPr>
          <w:ilvl w:val="0"/>
          <w:numId w:val="97"/>
        </w:numPr>
        <w:tabs>
          <w:tab w:val="left" w:pos="1467"/>
        </w:tabs>
        <w:spacing w:before="51"/>
        <w:ind w:left="1466" w:hanging="138"/>
        <w:rPr>
          <w:sz w:val="16"/>
        </w:rPr>
      </w:pPr>
      <w:r>
        <w:rPr>
          <w:color w:val="231F20"/>
          <w:w w:val="110"/>
          <w:sz w:val="16"/>
        </w:rPr>
        <w:t>Ibid.</w:t>
      </w:r>
    </w:p>
    <w:p w14:paraId="6239D900" w14:textId="77777777" w:rsidR="002653E8" w:rsidRDefault="003115E3">
      <w:pPr>
        <w:pStyle w:val="a4"/>
        <w:numPr>
          <w:ilvl w:val="0"/>
          <w:numId w:val="97"/>
        </w:numPr>
        <w:tabs>
          <w:tab w:val="left" w:pos="1467"/>
        </w:tabs>
        <w:spacing w:before="52"/>
        <w:ind w:left="1466" w:hanging="138"/>
        <w:rPr>
          <w:sz w:val="16"/>
        </w:rPr>
      </w:pPr>
      <w:r>
        <w:rPr>
          <w:color w:val="231F20"/>
          <w:w w:val="115"/>
          <w:sz w:val="16"/>
        </w:rPr>
        <w:t>Dellwo,</w:t>
      </w:r>
      <w:r>
        <w:rPr>
          <w:color w:val="231F20"/>
          <w:spacing w:val="3"/>
          <w:w w:val="115"/>
          <w:sz w:val="16"/>
        </w:rPr>
        <w:t xml:space="preserve"> </w:t>
      </w:r>
      <w:r>
        <w:rPr>
          <w:color w:val="231F20"/>
          <w:w w:val="115"/>
          <w:sz w:val="16"/>
        </w:rPr>
        <w:t>124.</w:t>
      </w:r>
    </w:p>
    <w:bookmarkEnd w:id="150"/>
    <w:p w14:paraId="6046B9DA" w14:textId="77777777" w:rsidR="002653E8" w:rsidRDefault="002653E8">
      <w:pPr>
        <w:rPr>
          <w:sz w:val="16"/>
        </w:rPr>
        <w:sectPr w:rsidR="002653E8">
          <w:pgSz w:w="8640" w:h="12960"/>
          <w:pgMar w:top="1060" w:right="0" w:bottom="1040" w:left="0" w:header="0" w:footer="850" w:gutter="0"/>
          <w:cols w:space="720"/>
        </w:sectPr>
      </w:pPr>
    </w:p>
    <w:p w14:paraId="1454CCC5" w14:textId="77777777" w:rsidR="002653E8" w:rsidRDefault="003115E3">
      <w:pPr>
        <w:pStyle w:val="a3"/>
        <w:spacing w:before="86" w:line="264" w:lineRule="auto"/>
        <w:ind w:left="1148" w:right="1325" w:hanging="1"/>
        <w:jc w:val="both"/>
      </w:pPr>
      <w:r>
        <w:rPr>
          <w:color w:val="231F20"/>
        </w:rPr>
        <w:lastRenderedPageBreak/>
        <w:t xml:space="preserve">The Holger Meins Commando has been described as a new “generation” of the </w:t>
      </w:r>
      <w:r w:rsidR="00C507A5">
        <w:rPr>
          <w:color w:val="231F20"/>
        </w:rPr>
        <w:t>red army faction</w:t>
      </w:r>
      <w:r>
        <w:rPr>
          <w:color w:val="231F20"/>
        </w:rPr>
        <w:t>, a term which some supporters felt was promoted by the state and counterinsurgency forces to suggest that successive waves of combatants were in fact members of different  organizations.</w:t>
      </w:r>
      <w:r>
        <w:rPr>
          <w:color w:val="231F20"/>
          <w:spacing w:val="16"/>
        </w:rPr>
        <w:t xml:space="preserve"> </w:t>
      </w:r>
      <w:r>
        <w:rPr>
          <w:color w:val="231F20"/>
        </w:rPr>
        <w:t>This was</w:t>
      </w:r>
      <w:r>
        <w:rPr>
          <w:color w:val="231F20"/>
          <w:spacing w:val="-5"/>
        </w:rPr>
        <w:t xml:space="preserve"> </w:t>
      </w:r>
      <w:r>
        <w:rPr>
          <w:color w:val="231F20"/>
        </w:rPr>
        <w:t>seen</w:t>
      </w:r>
      <w:r>
        <w:rPr>
          <w:color w:val="231F20"/>
          <w:spacing w:val="-5"/>
        </w:rPr>
        <w:t xml:space="preserve"> </w:t>
      </w:r>
      <w:r>
        <w:rPr>
          <w:color w:val="231F20"/>
        </w:rPr>
        <w:t>by</w:t>
      </w:r>
      <w:r>
        <w:rPr>
          <w:color w:val="231F20"/>
          <w:spacing w:val="-5"/>
        </w:rPr>
        <w:t xml:space="preserve"> </w:t>
      </w:r>
      <w:r>
        <w:rPr>
          <w:color w:val="231F20"/>
        </w:rPr>
        <w:t>these</w:t>
      </w:r>
      <w:r>
        <w:rPr>
          <w:color w:val="231F20"/>
          <w:spacing w:val="-5"/>
        </w:rPr>
        <w:t xml:space="preserve"> </w:t>
      </w:r>
      <w:r>
        <w:rPr>
          <w:color w:val="231F20"/>
        </w:rPr>
        <w:t>supporters</w:t>
      </w:r>
      <w:r>
        <w:rPr>
          <w:color w:val="231F20"/>
          <w:spacing w:val="-5"/>
        </w:rPr>
        <w:t xml:space="preserve"> </w:t>
      </w:r>
      <w:r>
        <w:rPr>
          <w:color w:val="231F20"/>
        </w:rPr>
        <w:t>as</w:t>
      </w:r>
      <w:r>
        <w:rPr>
          <w:color w:val="231F20"/>
          <w:spacing w:val="-5"/>
        </w:rPr>
        <w:t xml:space="preserve"> </w:t>
      </w:r>
      <w:r>
        <w:rPr>
          <w:color w:val="231F20"/>
        </w:rPr>
        <w:t>part</w:t>
      </w:r>
      <w:r>
        <w:rPr>
          <w:color w:val="231F20"/>
          <w:spacing w:val="-5"/>
        </w:rPr>
        <w:t xml:space="preserve"> </w:t>
      </w:r>
      <w:r>
        <w:rPr>
          <w:color w:val="231F20"/>
        </w:rPr>
        <w:t>of</w:t>
      </w:r>
      <w:r>
        <w:rPr>
          <w:color w:val="231F20"/>
          <w:spacing w:val="-5"/>
        </w:rPr>
        <w:t xml:space="preserve"> </w:t>
      </w:r>
      <w:r>
        <w:rPr>
          <w:color w:val="231F20"/>
        </w:rPr>
        <w:t>an</w:t>
      </w:r>
      <w:r>
        <w:rPr>
          <w:color w:val="231F20"/>
          <w:spacing w:val="-5"/>
        </w:rPr>
        <w:t xml:space="preserve"> </w:t>
      </w:r>
      <w:r>
        <w:rPr>
          <w:color w:val="231F20"/>
        </w:rPr>
        <w:t>ongoing</w:t>
      </w:r>
      <w:r>
        <w:rPr>
          <w:color w:val="231F20"/>
          <w:spacing w:val="-5"/>
        </w:rPr>
        <w:t xml:space="preserve"> </w:t>
      </w:r>
      <w:r>
        <w:rPr>
          <w:color w:val="231F20"/>
        </w:rPr>
        <w:t>strategy</w:t>
      </w:r>
      <w:r>
        <w:rPr>
          <w:color w:val="231F20"/>
          <w:spacing w:val="-5"/>
        </w:rPr>
        <w:t xml:space="preserve"> </w:t>
      </w:r>
      <w:r>
        <w:rPr>
          <w:color w:val="231F20"/>
        </w:rPr>
        <w:t>to</w:t>
      </w:r>
      <w:r>
        <w:rPr>
          <w:color w:val="231F20"/>
          <w:spacing w:val="-5"/>
        </w:rPr>
        <w:t xml:space="preserve"> </w:t>
      </w:r>
      <w:r>
        <w:rPr>
          <w:color w:val="231F20"/>
        </w:rPr>
        <w:t>divide</w:t>
      </w:r>
      <w:r>
        <w:rPr>
          <w:color w:val="231F20"/>
          <w:spacing w:val="-5"/>
        </w:rPr>
        <w:t xml:space="preserve"> </w:t>
      </w:r>
      <w:r>
        <w:rPr>
          <w:color w:val="231F20"/>
        </w:rPr>
        <w:t>the prisoners</w:t>
      </w:r>
      <w:r>
        <w:rPr>
          <w:color w:val="231F20"/>
          <w:spacing w:val="8"/>
        </w:rPr>
        <w:t xml:space="preserve"> </w:t>
      </w:r>
      <w:r>
        <w:rPr>
          <w:color w:val="231F20"/>
        </w:rPr>
        <w:t>from</w:t>
      </w:r>
      <w:r>
        <w:rPr>
          <w:color w:val="231F20"/>
          <w:spacing w:val="8"/>
        </w:rPr>
        <w:t xml:space="preserve"> </w:t>
      </w:r>
      <w:r>
        <w:rPr>
          <w:color w:val="231F20"/>
        </w:rPr>
        <w:t>one</w:t>
      </w:r>
      <w:r>
        <w:rPr>
          <w:color w:val="231F20"/>
          <w:spacing w:val="8"/>
        </w:rPr>
        <w:t xml:space="preserve"> </w:t>
      </w:r>
      <w:r>
        <w:rPr>
          <w:color w:val="231F20"/>
        </w:rPr>
        <w:t>another</w:t>
      </w:r>
      <w:r>
        <w:rPr>
          <w:color w:val="231F20"/>
          <w:spacing w:val="8"/>
        </w:rPr>
        <w:t xml:space="preserve"> </w:t>
      </w:r>
      <w:r>
        <w:rPr>
          <w:color w:val="231F20"/>
        </w:rPr>
        <w:t>in</w:t>
      </w:r>
      <w:r>
        <w:rPr>
          <w:color w:val="231F20"/>
          <w:spacing w:val="8"/>
        </w:rPr>
        <w:t xml:space="preserve"> </w:t>
      </w:r>
      <w:r>
        <w:rPr>
          <w:color w:val="231F20"/>
        </w:rPr>
        <w:t>order</w:t>
      </w:r>
      <w:r>
        <w:rPr>
          <w:color w:val="231F20"/>
          <w:spacing w:val="8"/>
        </w:rPr>
        <w:t xml:space="preserve"> </w:t>
      </w:r>
      <w:r>
        <w:rPr>
          <w:color w:val="231F20"/>
        </w:rPr>
        <w:t>to</w:t>
      </w:r>
      <w:r>
        <w:rPr>
          <w:color w:val="231F20"/>
          <w:spacing w:val="8"/>
        </w:rPr>
        <w:t xml:space="preserve"> </w:t>
      </w:r>
      <w:r>
        <w:rPr>
          <w:color w:val="231F20"/>
        </w:rPr>
        <w:t>break</w:t>
      </w:r>
      <w:r>
        <w:rPr>
          <w:color w:val="231F20"/>
          <w:spacing w:val="8"/>
        </w:rPr>
        <w:t xml:space="preserve"> </w:t>
      </w:r>
      <w:r>
        <w:rPr>
          <w:color w:val="231F20"/>
        </w:rPr>
        <w:t>solidarity.</w:t>
      </w:r>
    </w:p>
    <w:p w14:paraId="14405C9D" w14:textId="77777777" w:rsidR="002653E8" w:rsidRDefault="003115E3">
      <w:pPr>
        <w:pStyle w:val="a3"/>
        <w:spacing w:line="264" w:lineRule="auto"/>
        <w:ind w:left="1147" w:right="1326" w:firstLine="210"/>
        <w:jc w:val="both"/>
      </w:pPr>
      <w:r>
        <w:rPr>
          <w:color w:val="231F20"/>
        </w:rPr>
        <w:t xml:space="preserve">This terminology was resisted, and the  </w:t>
      </w:r>
      <w:r w:rsidR="00C507A5">
        <w:rPr>
          <w:color w:val="231F20"/>
          <w:spacing w:val="5"/>
        </w:rPr>
        <w:t>red army faction</w:t>
      </w:r>
      <w:r>
        <w:rPr>
          <w:color w:val="231F20"/>
          <w:spacing w:val="5"/>
        </w:rPr>
        <w:t xml:space="preserve">  </w:t>
      </w:r>
      <w:r>
        <w:rPr>
          <w:color w:val="231F20"/>
        </w:rPr>
        <w:t xml:space="preserve">line  was  always  that all actions claimed by the various </w:t>
      </w:r>
      <w:r w:rsidR="00C507A5">
        <w:rPr>
          <w:color w:val="231F20"/>
          <w:spacing w:val="5"/>
        </w:rPr>
        <w:t>red army faction</w:t>
      </w:r>
      <w:r>
        <w:rPr>
          <w:color w:val="231F20"/>
          <w:spacing w:val="5"/>
        </w:rPr>
        <w:t xml:space="preserve"> </w:t>
      </w:r>
      <w:r>
        <w:rPr>
          <w:color w:val="231F20"/>
        </w:rPr>
        <w:t>commandos were the work of one single, unified organization for which all members bore collective responsibility.</w:t>
      </w:r>
    </w:p>
    <w:p w14:paraId="042DAB9C" w14:textId="77777777" w:rsidR="002653E8" w:rsidRDefault="003115E3">
      <w:pPr>
        <w:pStyle w:val="a3"/>
        <w:spacing w:line="264" w:lineRule="auto"/>
        <w:ind w:left="1147" w:right="1325" w:firstLine="210"/>
        <w:jc w:val="both"/>
      </w:pPr>
      <w:r>
        <w:rPr>
          <w:color w:val="231F20"/>
        </w:rPr>
        <w:t>While</w:t>
      </w:r>
      <w:r>
        <w:rPr>
          <w:color w:val="231F20"/>
          <w:spacing w:val="-7"/>
        </w:rPr>
        <w:t xml:space="preserve"> </w:t>
      </w:r>
      <w:r>
        <w:rPr>
          <w:color w:val="231F20"/>
        </w:rPr>
        <w:t>we</w:t>
      </w:r>
      <w:r>
        <w:rPr>
          <w:color w:val="231F20"/>
          <w:spacing w:val="-7"/>
        </w:rPr>
        <w:t xml:space="preserve"> </w:t>
      </w:r>
      <w:r>
        <w:rPr>
          <w:color w:val="231F20"/>
        </w:rPr>
        <w:t>acknowledge</w:t>
      </w:r>
      <w:r>
        <w:rPr>
          <w:color w:val="231F20"/>
          <w:spacing w:val="-7"/>
        </w:rPr>
        <w:t xml:space="preserve"> </w:t>
      </w:r>
      <w:r>
        <w:rPr>
          <w:color w:val="231F20"/>
        </w:rPr>
        <w:t>the</w:t>
      </w:r>
      <w:r>
        <w:rPr>
          <w:color w:val="231F20"/>
          <w:spacing w:val="-7"/>
        </w:rPr>
        <w:t xml:space="preserve"> </w:t>
      </w:r>
      <w:r>
        <w:rPr>
          <w:color w:val="231F20"/>
        </w:rPr>
        <w:t>sentiment</w:t>
      </w:r>
      <w:r>
        <w:rPr>
          <w:color w:val="231F20"/>
          <w:spacing w:val="-7"/>
        </w:rPr>
        <w:t xml:space="preserve"> </w:t>
      </w:r>
      <w:r>
        <w:rPr>
          <w:color w:val="231F20"/>
        </w:rPr>
        <w:t>in</w:t>
      </w:r>
      <w:r>
        <w:rPr>
          <w:color w:val="231F20"/>
          <w:spacing w:val="-7"/>
        </w:rPr>
        <w:t xml:space="preserve"> </w:t>
      </w:r>
      <w:r>
        <w:rPr>
          <w:color w:val="231F20"/>
        </w:rPr>
        <w:t>this</w:t>
      </w:r>
      <w:r>
        <w:rPr>
          <w:color w:val="231F20"/>
          <w:spacing w:val="-7"/>
        </w:rPr>
        <w:t xml:space="preserve"> </w:t>
      </w:r>
      <w:r>
        <w:rPr>
          <w:color w:val="231F20"/>
        </w:rPr>
        <w:t>position,</w:t>
      </w:r>
      <w:r>
        <w:rPr>
          <w:color w:val="231F20"/>
          <w:spacing w:val="-7"/>
        </w:rPr>
        <w:t xml:space="preserve"> </w:t>
      </w:r>
      <w:r>
        <w:rPr>
          <w:color w:val="231F20"/>
        </w:rPr>
        <w:t>we</w:t>
      </w:r>
      <w:r>
        <w:rPr>
          <w:color w:val="231F20"/>
          <w:spacing w:val="-7"/>
        </w:rPr>
        <w:t xml:space="preserve"> </w:t>
      </w:r>
      <w:r>
        <w:rPr>
          <w:color w:val="231F20"/>
        </w:rPr>
        <w:t xml:space="preserve">nevertheless note that during the guerilla’s history there were clearly different waves of fighters with different priorities which led to an evolving praxis. The captured combatants always had the moral authority to sanction or repudiate the guerilla’s activities, so one can certainly talk of organizational continuity. Nevertheless, given the clearly distinct waves of fighters, we think it makes more sense to talk about an emerging tradition of armed resistance in which the choice to identify with the </w:t>
      </w:r>
      <w:r w:rsidR="00C507A5">
        <w:rPr>
          <w:color w:val="231F20"/>
          <w:spacing w:val="1"/>
        </w:rPr>
        <w:t>red army faction</w:t>
      </w:r>
      <w:r>
        <w:rPr>
          <w:color w:val="231F20"/>
          <w:spacing w:val="1"/>
        </w:rPr>
        <w:t xml:space="preserve">’s </w:t>
      </w:r>
      <w:r>
        <w:rPr>
          <w:color w:val="231F20"/>
        </w:rPr>
        <w:t xml:space="preserve">praxis had real political significance, rather than to regard the </w:t>
      </w:r>
      <w:r w:rsidR="00C507A5">
        <w:rPr>
          <w:color w:val="231F20"/>
          <w:spacing w:val="5"/>
        </w:rPr>
        <w:t>red army faction</w:t>
      </w:r>
      <w:r>
        <w:rPr>
          <w:color w:val="231F20"/>
          <w:spacing w:val="5"/>
        </w:rPr>
        <w:t xml:space="preserve"> </w:t>
      </w:r>
      <w:r>
        <w:rPr>
          <w:color w:val="231F20"/>
        </w:rPr>
        <w:t>as a standing army or corporate body which retained a frozen identity even as its own members</w:t>
      </w:r>
      <w:r>
        <w:rPr>
          <w:color w:val="231F20"/>
          <w:spacing w:val="20"/>
        </w:rPr>
        <w:t xml:space="preserve"> </w:t>
      </w:r>
      <w:r>
        <w:rPr>
          <w:color w:val="231F20"/>
        </w:rPr>
        <w:t>changed.</w:t>
      </w:r>
    </w:p>
    <w:p w14:paraId="671D3877" w14:textId="77777777" w:rsidR="002653E8" w:rsidRDefault="003115E3">
      <w:pPr>
        <w:pStyle w:val="a3"/>
        <w:spacing w:line="264" w:lineRule="auto"/>
        <w:ind w:left="1148" w:right="1325" w:firstLine="210"/>
        <w:jc w:val="both"/>
      </w:pPr>
      <w:r>
        <w:rPr>
          <w:color w:val="231F20"/>
        </w:rPr>
        <w:t>Regarding the guerilla in 1975, it is clear that the Holger Meins Commando consisted of former members of the prisoner support scene who felt the state was intent on exterminating the prisoners, and that it would not think twice before crushing any legal or semi-legal solidarity movement. As Dellwo stated decades later,</w:t>
      </w:r>
    </w:p>
    <w:p w14:paraId="670C214B" w14:textId="77777777" w:rsidR="002653E8" w:rsidRDefault="003115E3">
      <w:pPr>
        <w:spacing w:before="101" w:line="276" w:lineRule="auto"/>
        <w:ind w:left="1567" w:right="1745"/>
        <w:jc w:val="both"/>
        <w:rPr>
          <w:i/>
          <w:sz w:val="11"/>
        </w:rPr>
      </w:pPr>
      <w:r>
        <w:rPr>
          <w:i/>
          <w:color w:val="231F20"/>
          <w:w w:val="105"/>
          <w:sz w:val="19"/>
        </w:rPr>
        <w:t>Stockholm was also an endorsement and reaffirmation for the prisoners.</w:t>
      </w:r>
      <w:r>
        <w:rPr>
          <w:i/>
          <w:color w:val="231F20"/>
          <w:spacing w:val="-21"/>
          <w:w w:val="105"/>
          <w:sz w:val="19"/>
        </w:rPr>
        <w:t xml:space="preserve"> </w:t>
      </w:r>
      <w:r>
        <w:rPr>
          <w:i/>
          <w:color w:val="231F20"/>
          <w:spacing w:val="-3"/>
          <w:w w:val="105"/>
          <w:sz w:val="19"/>
        </w:rPr>
        <w:t>People</w:t>
      </w:r>
      <w:r>
        <w:rPr>
          <w:i/>
          <w:color w:val="231F20"/>
          <w:spacing w:val="-16"/>
          <w:w w:val="105"/>
          <w:sz w:val="19"/>
        </w:rPr>
        <w:t xml:space="preserve"> </w:t>
      </w:r>
      <w:r>
        <w:rPr>
          <w:i/>
          <w:color w:val="231F20"/>
          <w:w w:val="105"/>
          <w:sz w:val="19"/>
        </w:rPr>
        <w:t>they</w:t>
      </w:r>
      <w:r>
        <w:rPr>
          <w:i/>
          <w:color w:val="231F20"/>
          <w:spacing w:val="-16"/>
          <w:w w:val="105"/>
          <w:sz w:val="19"/>
        </w:rPr>
        <w:t xml:space="preserve"> </w:t>
      </w:r>
      <w:r>
        <w:rPr>
          <w:i/>
          <w:color w:val="231F20"/>
          <w:w w:val="105"/>
          <w:sz w:val="19"/>
        </w:rPr>
        <w:t>didn’t</w:t>
      </w:r>
      <w:r>
        <w:rPr>
          <w:i/>
          <w:color w:val="231F20"/>
          <w:spacing w:val="-16"/>
          <w:w w:val="105"/>
          <w:sz w:val="19"/>
        </w:rPr>
        <w:t xml:space="preserve"> </w:t>
      </w:r>
      <w:r>
        <w:rPr>
          <w:i/>
          <w:color w:val="231F20"/>
          <w:w w:val="105"/>
          <w:sz w:val="19"/>
        </w:rPr>
        <w:t>know</w:t>
      </w:r>
      <w:r>
        <w:rPr>
          <w:i/>
          <w:color w:val="231F20"/>
          <w:spacing w:val="-16"/>
          <w:w w:val="105"/>
          <w:sz w:val="19"/>
        </w:rPr>
        <w:t xml:space="preserve"> </w:t>
      </w:r>
      <w:r>
        <w:rPr>
          <w:i/>
          <w:color w:val="231F20"/>
          <w:w w:val="105"/>
          <w:sz w:val="19"/>
        </w:rPr>
        <w:t>at</w:t>
      </w:r>
      <w:r>
        <w:rPr>
          <w:i/>
          <w:color w:val="231F20"/>
          <w:spacing w:val="-16"/>
          <w:w w:val="105"/>
          <w:sz w:val="19"/>
        </w:rPr>
        <w:t xml:space="preserve"> </w:t>
      </w:r>
      <w:r>
        <w:rPr>
          <w:i/>
          <w:color w:val="231F20"/>
          <w:w w:val="105"/>
          <w:sz w:val="19"/>
        </w:rPr>
        <w:t>all</w:t>
      </w:r>
      <w:r>
        <w:rPr>
          <w:i/>
          <w:color w:val="231F20"/>
          <w:spacing w:val="-16"/>
          <w:w w:val="105"/>
          <w:sz w:val="19"/>
        </w:rPr>
        <w:t xml:space="preserve"> </w:t>
      </w:r>
      <w:r>
        <w:rPr>
          <w:i/>
          <w:color w:val="231F20"/>
          <w:w w:val="105"/>
          <w:sz w:val="19"/>
        </w:rPr>
        <w:t>carried</w:t>
      </w:r>
      <w:r>
        <w:rPr>
          <w:i/>
          <w:color w:val="231F20"/>
          <w:spacing w:val="-16"/>
          <w:w w:val="105"/>
          <w:sz w:val="19"/>
        </w:rPr>
        <w:t xml:space="preserve"> </w:t>
      </w:r>
      <w:r>
        <w:rPr>
          <w:i/>
          <w:color w:val="231F20"/>
          <w:w w:val="105"/>
          <w:sz w:val="19"/>
        </w:rPr>
        <w:t>out</w:t>
      </w:r>
      <w:r>
        <w:rPr>
          <w:i/>
          <w:color w:val="231F20"/>
          <w:spacing w:val="-16"/>
          <w:w w:val="105"/>
          <w:sz w:val="19"/>
        </w:rPr>
        <w:t xml:space="preserve"> </w:t>
      </w:r>
      <w:r>
        <w:rPr>
          <w:i/>
          <w:color w:val="231F20"/>
          <w:w w:val="105"/>
          <w:sz w:val="19"/>
        </w:rPr>
        <w:t>such</w:t>
      </w:r>
      <w:r>
        <w:rPr>
          <w:i/>
          <w:color w:val="231F20"/>
          <w:spacing w:val="-16"/>
          <w:w w:val="105"/>
          <w:sz w:val="19"/>
        </w:rPr>
        <w:t xml:space="preserve"> </w:t>
      </w:r>
      <w:r>
        <w:rPr>
          <w:i/>
          <w:color w:val="231F20"/>
          <w:w w:val="105"/>
          <w:sz w:val="19"/>
        </w:rPr>
        <w:t>an</w:t>
      </w:r>
      <w:r>
        <w:rPr>
          <w:i/>
          <w:color w:val="231F20"/>
          <w:spacing w:val="-16"/>
          <w:w w:val="105"/>
          <w:sz w:val="19"/>
        </w:rPr>
        <w:t xml:space="preserve"> </w:t>
      </w:r>
      <w:r>
        <w:rPr>
          <w:i/>
          <w:color w:val="231F20"/>
          <w:w w:val="105"/>
          <w:sz w:val="19"/>
        </w:rPr>
        <w:t>action to</w:t>
      </w:r>
      <w:r>
        <w:rPr>
          <w:i/>
          <w:color w:val="231F20"/>
          <w:spacing w:val="-6"/>
          <w:w w:val="105"/>
          <w:sz w:val="19"/>
        </w:rPr>
        <w:t xml:space="preserve"> </w:t>
      </w:r>
      <w:r>
        <w:rPr>
          <w:i/>
          <w:color w:val="231F20"/>
          <w:w w:val="105"/>
          <w:sz w:val="19"/>
        </w:rPr>
        <w:t>get</w:t>
      </w:r>
      <w:r>
        <w:rPr>
          <w:i/>
          <w:color w:val="231F20"/>
          <w:spacing w:val="-6"/>
          <w:w w:val="105"/>
          <w:sz w:val="19"/>
        </w:rPr>
        <w:t xml:space="preserve"> </w:t>
      </w:r>
      <w:r>
        <w:rPr>
          <w:i/>
          <w:color w:val="231F20"/>
          <w:w w:val="105"/>
          <w:sz w:val="19"/>
        </w:rPr>
        <w:t>them</w:t>
      </w:r>
      <w:r>
        <w:rPr>
          <w:i/>
          <w:color w:val="231F20"/>
          <w:spacing w:val="-6"/>
          <w:w w:val="105"/>
          <w:sz w:val="19"/>
        </w:rPr>
        <w:t xml:space="preserve"> </w:t>
      </w:r>
      <w:r>
        <w:rPr>
          <w:i/>
          <w:color w:val="231F20"/>
          <w:w w:val="105"/>
          <w:sz w:val="19"/>
        </w:rPr>
        <w:t>out.</w:t>
      </w:r>
      <w:r>
        <w:rPr>
          <w:i/>
          <w:color w:val="231F20"/>
          <w:spacing w:val="-17"/>
          <w:w w:val="105"/>
          <w:sz w:val="19"/>
        </w:rPr>
        <w:t xml:space="preserve"> </w:t>
      </w:r>
      <w:r>
        <w:rPr>
          <w:i/>
          <w:color w:val="231F20"/>
          <w:w w:val="105"/>
          <w:sz w:val="19"/>
        </w:rPr>
        <w:t>That</w:t>
      </w:r>
      <w:r>
        <w:rPr>
          <w:i/>
          <w:color w:val="231F20"/>
          <w:spacing w:val="-6"/>
          <w:w w:val="105"/>
          <w:sz w:val="19"/>
        </w:rPr>
        <w:t xml:space="preserve"> </w:t>
      </w:r>
      <w:r>
        <w:rPr>
          <w:i/>
          <w:color w:val="231F20"/>
          <w:w w:val="105"/>
          <w:sz w:val="19"/>
        </w:rPr>
        <w:t>proved</w:t>
      </w:r>
      <w:r>
        <w:rPr>
          <w:i/>
          <w:color w:val="231F20"/>
          <w:spacing w:val="-6"/>
          <w:w w:val="105"/>
          <w:sz w:val="19"/>
        </w:rPr>
        <w:t xml:space="preserve"> </w:t>
      </w:r>
      <w:r>
        <w:rPr>
          <w:i/>
          <w:color w:val="231F20"/>
          <w:w w:val="105"/>
          <w:sz w:val="19"/>
        </w:rPr>
        <w:t>there</w:t>
      </w:r>
      <w:r>
        <w:rPr>
          <w:i/>
          <w:color w:val="231F20"/>
          <w:spacing w:val="-6"/>
          <w:w w:val="105"/>
          <w:sz w:val="19"/>
        </w:rPr>
        <w:t xml:space="preserve"> </w:t>
      </w:r>
      <w:r>
        <w:rPr>
          <w:i/>
          <w:color w:val="231F20"/>
          <w:w w:val="105"/>
          <w:sz w:val="19"/>
        </w:rPr>
        <w:t>was</w:t>
      </w:r>
      <w:r>
        <w:rPr>
          <w:i/>
          <w:color w:val="231F20"/>
          <w:spacing w:val="-6"/>
          <w:w w:val="105"/>
          <w:sz w:val="19"/>
        </w:rPr>
        <w:t xml:space="preserve"> </w:t>
      </w:r>
      <w:r>
        <w:rPr>
          <w:i/>
          <w:color w:val="231F20"/>
          <w:w w:val="105"/>
          <w:sz w:val="19"/>
        </w:rPr>
        <w:t>a</w:t>
      </w:r>
      <w:r>
        <w:rPr>
          <w:i/>
          <w:color w:val="231F20"/>
          <w:spacing w:val="-6"/>
          <w:w w:val="105"/>
          <w:sz w:val="19"/>
        </w:rPr>
        <w:t xml:space="preserve"> </w:t>
      </w:r>
      <w:r>
        <w:rPr>
          <w:i/>
          <w:color w:val="231F20"/>
          <w:w w:val="105"/>
          <w:sz w:val="19"/>
        </w:rPr>
        <w:t>desire</w:t>
      </w:r>
      <w:r>
        <w:rPr>
          <w:i/>
          <w:color w:val="231F20"/>
          <w:spacing w:val="-6"/>
          <w:w w:val="105"/>
          <w:sz w:val="19"/>
        </w:rPr>
        <w:t xml:space="preserve"> </w:t>
      </w:r>
      <w:r>
        <w:rPr>
          <w:i/>
          <w:color w:val="231F20"/>
          <w:w w:val="105"/>
          <w:sz w:val="19"/>
        </w:rPr>
        <w:t>on</w:t>
      </w:r>
      <w:r>
        <w:rPr>
          <w:i/>
          <w:color w:val="231F20"/>
          <w:spacing w:val="-6"/>
          <w:w w:val="105"/>
          <w:sz w:val="19"/>
        </w:rPr>
        <w:t xml:space="preserve"> </w:t>
      </w:r>
      <w:r>
        <w:rPr>
          <w:i/>
          <w:color w:val="231F20"/>
          <w:w w:val="105"/>
          <w:sz w:val="19"/>
        </w:rPr>
        <w:t>the</w:t>
      </w:r>
      <w:r>
        <w:rPr>
          <w:i/>
          <w:color w:val="231F20"/>
          <w:spacing w:val="-6"/>
          <w:w w:val="105"/>
          <w:sz w:val="19"/>
        </w:rPr>
        <w:t xml:space="preserve"> </w:t>
      </w:r>
      <w:r>
        <w:rPr>
          <w:i/>
          <w:color w:val="231F20"/>
          <w:w w:val="105"/>
          <w:sz w:val="19"/>
        </w:rPr>
        <w:t>outside</w:t>
      </w:r>
      <w:r>
        <w:rPr>
          <w:i/>
          <w:color w:val="231F20"/>
          <w:spacing w:val="-6"/>
          <w:w w:val="105"/>
          <w:sz w:val="19"/>
        </w:rPr>
        <w:t xml:space="preserve"> </w:t>
      </w:r>
      <w:r>
        <w:rPr>
          <w:i/>
          <w:color w:val="231F20"/>
          <w:w w:val="105"/>
          <w:sz w:val="19"/>
        </w:rPr>
        <w:t>for “the dividing line” and the revolutionary</w:t>
      </w:r>
      <w:r>
        <w:rPr>
          <w:i/>
          <w:color w:val="231F20"/>
          <w:spacing w:val="30"/>
          <w:w w:val="105"/>
          <w:sz w:val="19"/>
        </w:rPr>
        <w:t xml:space="preserve"> </w:t>
      </w:r>
      <w:r>
        <w:rPr>
          <w:i/>
          <w:color w:val="231F20"/>
          <w:w w:val="105"/>
          <w:sz w:val="19"/>
        </w:rPr>
        <w:t>struggle.</w:t>
      </w:r>
      <w:r>
        <w:rPr>
          <w:i/>
          <w:color w:val="231F20"/>
          <w:w w:val="105"/>
          <w:position w:val="6"/>
          <w:sz w:val="11"/>
        </w:rPr>
        <w:t>1</w:t>
      </w:r>
    </w:p>
    <w:p w14:paraId="576621F2" w14:textId="77777777" w:rsidR="002653E8" w:rsidRDefault="00000000">
      <w:pPr>
        <w:pStyle w:val="a3"/>
        <w:spacing w:before="131" w:line="264" w:lineRule="auto"/>
        <w:ind w:left="1147" w:right="1317"/>
        <w:jc w:val="both"/>
      </w:pPr>
      <w:r>
        <w:rPr>
          <w:noProof w:val="0"/>
        </w:rPr>
        <w:pict w14:anchorId="5384C060">
          <v:line id="_x0000_s2329" style="position:absolute;left:0;text-align:left;z-index:7648;mso-wrap-distance-left:0;mso-wrap-distance-right:0;mso-position-horizontal-relative:page" from="57.4pt,77.85pt" to="129.4pt,77.85pt" strokecolor="#231f20" strokeweight=".5pt">
            <w10:wrap type="topAndBottom" anchorx="page"/>
          </v:line>
        </w:pict>
      </w:r>
      <w:r w:rsidR="003115E3">
        <w:rPr>
          <w:color w:val="231F20"/>
        </w:rPr>
        <w:t xml:space="preserve">yet, the focus for the revolutionary struggle had changed,  as  can  be seen in the communiqué accompanying the Stockholm action, and with subsequent actions in the 1970s. During the 1970-72 period, the </w:t>
      </w:r>
      <w:r w:rsidR="00C507A5">
        <w:rPr>
          <w:color w:val="231F20"/>
        </w:rPr>
        <w:t>red army faction</w:t>
      </w:r>
      <w:r w:rsidR="003115E3">
        <w:rPr>
          <w:color w:val="231F20"/>
        </w:rPr>
        <w:t xml:space="preserve"> had been preoccupied with things like radical subjectivity, workers’ alienation, the exploitation of the Third World, police violence, a left</w:t>
      </w:r>
    </w:p>
    <w:p w14:paraId="043129BE" w14:textId="77777777" w:rsidR="002653E8" w:rsidRDefault="003115E3">
      <w:pPr>
        <w:spacing w:before="53" w:line="254" w:lineRule="auto"/>
        <w:ind w:left="1147" w:right="1580"/>
        <w:rPr>
          <w:sz w:val="16"/>
        </w:rPr>
      </w:pPr>
      <w:r>
        <w:rPr>
          <w:color w:val="231F20"/>
          <w:w w:val="105"/>
          <w:sz w:val="16"/>
        </w:rPr>
        <w:t>1 Ibid. In terms of how the prisoners themselves felt about this action on their behalf, Dellwo recounts that during his first visit from Klaus Croissant, the lawyer passed on a thankful greeting from Meinhof: “Stockholm is the Diên Biên Phu of social democracy.”</w:t>
      </w:r>
    </w:p>
    <w:p w14:paraId="6D1B15EB" w14:textId="77777777" w:rsidR="002653E8" w:rsidRDefault="002653E8">
      <w:pPr>
        <w:spacing w:line="254" w:lineRule="auto"/>
        <w:rPr>
          <w:sz w:val="16"/>
        </w:rPr>
        <w:sectPr w:rsidR="002653E8">
          <w:pgSz w:w="8640" w:h="12960"/>
          <w:pgMar w:top="1060" w:right="0" w:bottom="1040" w:left="0" w:header="0" w:footer="850" w:gutter="0"/>
          <w:cols w:space="720"/>
        </w:sectPr>
      </w:pPr>
    </w:p>
    <w:p w14:paraId="4324C58B" w14:textId="77777777" w:rsidR="002653E8" w:rsidRDefault="003115E3">
      <w:pPr>
        <w:pStyle w:val="a3"/>
        <w:spacing w:before="86" w:line="264" w:lineRule="auto"/>
        <w:ind w:left="1327" w:right="1146"/>
        <w:jc w:val="both"/>
      </w:pPr>
      <w:r>
        <w:rPr>
          <w:color w:val="231F20"/>
        </w:rPr>
        <w:lastRenderedPageBreak/>
        <w:t>wing out of touch with rebel youth, and a “new fascism” exemplified by social</w:t>
      </w:r>
      <w:r>
        <w:rPr>
          <w:color w:val="231F20"/>
          <w:spacing w:val="-9"/>
        </w:rPr>
        <w:t xml:space="preserve"> </w:t>
      </w:r>
      <w:r>
        <w:rPr>
          <w:color w:val="231F20"/>
        </w:rPr>
        <w:t>democratic</w:t>
      </w:r>
      <w:r>
        <w:rPr>
          <w:color w:val="231F20"/>
          <w:spacing w:val="-9"/>
        </w:rPr>
        <w:t xml:space="preserve"> </w:t>
      </w:r>
      <w:r>
        <w:rPr>
          <w:color w:val="231F20"/>
        </w:rPr>
        <w:t>corporatism</w:t>
      </w:r>
      <w:r>
        <w:rPr>
          <w:color w:val="231F20"/>
          <w:spacing w:val="-9"/>
        </w:rPr>
        <w:t xml:space="preserve"> </w:t>
      </w:r>
      <w:r>
        <w:rPr>
          <w:color w:val="231F20"/>
        </w:rPr>
        <w:t>and</w:t>
      </w:r>
      <w:r>
        <w:rPr>
          <w:color w:val="231F20"/>
          <w:spacing w:val="-9"/>
        </w:rPr>
        <w:t xml:space="preserve"> </w:t>
      </w:r>
      <w:r>
        <w:rPr>
          <w:color w:val="231F20"/>
        </w:rPr>
        <w:t>general</w:t>
      </w:r>
      <w:r>
        <w:rPr>
          <w:color w:val="231F20"/>
          <w:spacing w:val="-9"/>
        </w:rPr>
        <w:t xml:space="preserve"> </w:t>
      </w:r>
      <w:r>
        <w:rPr>
          <w:color w:val="231F20"/>
        </w:rPr>
        <w:t>repression.</w:t>
      </w:r>
      <w:r>
        <w:rPr>
          <w:color w:val="231F20"/>
          <w:spacing w:val="-9"/>
        </w:rPr>
        <w:t xml:space="preserve"> </w:t>
      </w:r>
      <w:r>
        <w:rPr>
          <w:color w:val="231F20"/>
          <w:spacing w:val="1"/>
        </w:rPr>
        <w:t>In</w:t>
      </w:r>
      <w:r>
        <w:rPr>
          <w:color w:val="231F20"/>
          <w:spacing w:val="-9"/>
        </w:rPr>
        <w:t xml:space="preserve"> </w:t>
      </w:r>
      <w:r>
        <w:rPr>
          <w:color w:val="231F20"/>
        </w:rPr>
        <w:t>statements</w:t>
      </w:r>
      <w:r>
        <w:rPr>
          <w:color w:val="231F20"/>
          <w:spacing w:val="-9"/>
        </w:rPr>
        <w:t xml:space="preserve"> </w:t>
      </w:r>
      <w:r>
        <w:rPr>
          <w:color w:val="231F20"/>
        </w:rPr>
        <w:t xml:space="preserve">like </w:t>
      </w:r>
      <w:r>
        <w:rPr>
          <w:i/>
          <w:color w:val="231F20"/>
        </w:rPr>
        <w:t xml:space="preserve">The Urban </w:t>
      </w:r>
      <w:r>
        <w:rPr>
          <w:i/>
          <w:color w:val="231F20"/>
          <w:spacing w:val="1"/>
        </w:rPr>
        <w:t xml:space="preserve">Guerilla </w:t>
      </w:r>
      <w:r>
        <w:rPr>
          <w:i/>
          <w:color w:val="231F20"/>
        </w:rPr>
        <w:t>Concept</w:t>
      </w:r>
      <w:r>
        <w:rPr>
          <w:color w:val="231F20"/>
        </w:rPr>
        <w:t xml:space="preserve">, </w:t>
      </w:r>
      <w:r>
        <w:rPr>
          <w:i/>
          <w:color w:val="231F20"/>
          <w:spacing w:val="1"/>
        </w:rPr>
        <w:t xml:space="preserve">Serve </w:t>
      </w:r>
      <w:r>
        <w:rPr>
          <w:i/>
          <w:color w:val="231F20"/>
        </w:rPr>
        <w:t>the  People</w:t>
      </w:r>
      <w:r>
        <w:rPr>
          <w:color w:val="231F20"/>
        </w:rPr>
        <w:t xml:space="preserve">,  and  </w:t>
      </w:r>
      <w:r>
        <w:rPr>
          <w:i/>
          <w:color w:val="231F20"/>
        </w:rPr>
        <w:t>Black  September</w:t>
      </w:r>
      <w:r>
        <w:rPr>
          <w:color w:val="231F20"/>
        </w:rPr>
        <w:t xml:space="preserve">,  the </w:t>
      </w:r>
      <w:r w:rsidR="00C507A5">
        <w:rPr>
          <w:color w:val="231F20"/>
          <w:spacing w:val="5"/>
        </w:rPr>
        <w:t>red army faction</w:t>
      </w:r>
      <w:r>
        <w:rPr>
          <w:color w:val="231F20"/>
          <w:spacing w:val="5"/>
        </w:rPr>
        <w:t xml:space="preserve"> </w:t>
      </w:r>
      <w:r>
        <w:rPr>
          <w:color w:val="231F20"/>
        </w:rPr>
        <w:t>had attempted to grapple with these questions while dialoging with the rest of the</w:t>
      </w:r>
      <w:r>
        <w:rPr>
          <w:color w:val="231F20"/>
          <w:spacing w:val="10"/>
        </w:rPr>
        <w:t xml:space="preserve"> </w:t>
      </w:r>
      <w:r>
        <w:rPr>
          <w:color w:val="231F20"/>
        </w:rPr>
        <w:t>left.</w:t>
      </w:r>
    </w:p>
    <w:p w14:paraId="74BB31FF" w14:textId="77777777" w:rsidR="002653E8" w:rsidRDefault="003115E3">
      <w:pPr>
        <w:pStyle w:val="a3"/>
        <w:spacing w:line="264" w:lineRule="auto"/>
        <w:ind w:left="1328" w:right="1146" w:firstLine="210"/>
        <w:jc w:val="both"/>
      </w:pPr>
      <w:r>
        <w:rPr>
          <w:color w:val="231F20"/>
        </w:rPr>
        <w:t>This initial openness now gave way to a single-minded focus on a “new fascism” defined as attacks on the prisoners and their legal team, and hardly anything else.</w:t>
      </w:r>
    </w:p>
    <w:p w14:paraId="4C79EEEF" w14:textId="77777777" w:rsidR="002653E8" w:rsidRDefault="003115E3">
      <w:pPr>
        <w:pStyle w:val="a3"/>
        <w:spacing w:line="264" w:lineRule="auto"/>
        <w:ind w:left="1327" w:right="1146" w:firstLine="210"/>
        <w:jc w:val="both"/>
      </w:pPr>
      <w:r>
        <w:rPr>
          <w:color w:val="231F20"/>
        </w:rPr>
        <w:t xml:space="preserve">Clearly, the prisoners’ struggle was not only guiding the </w:t>
      </w:r>
      <w:r w:rsidR="00C507A5">
        <w:rPr>
          <w:color w:val="231F20"/>
        </w:rPr>
        <w:t>red army faction</w:t>
      </w:r>
      <w:r>
        <w:rPr>
          <w:color w:val="231F20"/>
        </w:rPr>
        <w:t>, drawing in almost all of it new recruits: it was now defining its very politics.</w:t>
      </w:r>
    </w:p>
    <w:p w14:paraId="7CD024DB" w14:textId="77777777" w:rsidR="002653E8" w:rsidRDefault="003115E3">
      <w:pPr>
        <w:pStyle w:val="a3"/>
        <w:spacing w:line="264" w:lineRule="auto"/>
        <w:ind w:left="1327" w:right="1145" w:firstLine="210"/>
        <w:jc w:val="both"/>
        <w:rPr>
          <w:sz w:val="11"/>
        </w:rPr>
      </w:pPr>
      <w:r>
        <w:rPr>
          <w:color w:val="231F20"/>
        </w:rPr>
        <w:t xml:space="preserve">On May 9, </w:t>
      </w:r>
      <w:r>
        <w:rPr>
          <w:color w:val="231F20"/>
          <w:spacing w:val="-6"/>
        </w:rPr>
        <w:t xml:space="preserve">1975,  </w:t>
      </w:r>
      <w:r>
        <w:rPr>
          <w:color w:val="231F20"/>
        </w:rPr>
        <w:t>seven months after Holger Meins’ death and within   a month of the Stockholm action, Meins’ former lawyer Siegfried Haag, along with Elisabeth von Dyck, herself a former SPK member</w:t>
      </w:r>
      <w:r>
        <w:rPr>
          <w:color w:val="231F20"/>
          <w:position w:val="7"/>
          <w:sz w:val="11"/>
        </w:rPr>
        <w:t xml:space="preserve">2 </w:t>
      </w:r>
      <w:r>
        <w:rPr>
          <w:color w:val="231F20"/>
        </w:rPr>
        <w:t xml:space="preserve">and assistant to </w:t>
      </w:r>
      <w:r w:rsidR="00C507A5">
        <w:rPr>
          <w:color w:val="231F20"/>
          <w:spacing w:val="5"/>
        </w:rPr>
        <w:t>red army faction</w:t>
      </w:r>
      <w:r>
        <w:rPr>
          <w:color w:val="231F20"/>
          <w:spacing w:val="5"/>
        </w:rPr>
        <w:t xml:space="preserve"> </w:t>
      </w:r>
      <w:r>
        <w:rPr>
          <w:color w:val="231F20"/>
        </w:rPr>
        <w:t>lawyer Klaus Croissant, were caught trying to smuggle guns out of Switzerland.</w:t>
      </w:r>
      <w:r>
        <w:rPr>
          <w:color w:val="231F20"/>
          <w:position w:val="7"/>
          <w:sz w:val="11"/>
        </w:rPr>
        <w:t xml:space="preserve">3 </w:t>
      </w:r>
      <w:r>
        <w:rPr>
          <w:color w:val="231F20"/>
        </w:rPr>
        <w:t>They were released and immediately went underground, Haag issuing a letter in which he accused Attorney General Buback of trying to frame</w:t>
      </w:r>
      <w:r>
        <w:rPr>
          <w:color w:val="231F20"/>
          <w:spacing w:val="15"/>
        </w:rPr>
        <w:t xml:space="preserve"> </w:t>
      </w:r>
      <w:r>
        <w:rPr>
          <w:color w:val="231F20"/>
        </w:rPr>
        <w:t>him.</w:t>
      </w:r>
      <w:r>
        <w:rPr>
          <w:color w:val="231F20"/>
          <w:position w:val="7"/>
          <w:sz w:val="11"/>
        </w:rPr>
        <w:t>4</w:t>
      </w:r>
    </w:p>
    <w:p w14:paraId="5822E430" w14:textId="77777777" w:rsidR="002653E8" w:rsidRDefault="003115E3">
      <w:pPr>
        <w:pStyle w:val="a3"/>
        <w:spacing w:line="264" w:lineRule="auto"/>
        <w:ind w:left="1328" w:right="1145" w:firstLine="209"/>
        <w:jc w:val="both"/>
        <w:rPr>
          <w:sz w:val="11"/>
        </w:rPr>
      </w:pPr>
      <w:r>
        <w:rPr>
          <w:color w:val="231F20"/>
        </w:rPr>
        <w:t>It has been claimed that Haag had a direct hand in recruiting members of the Holger Meins Commando. Whatever the truth of the mat ter, his decision to join the guerilla has been noted as a key point in the development</w:t>
      </w:r>
      <w:r>
        <w:rPr>
          <w:color w:val="231F20"/>
          <w:spacing w:val="10"/>
        </w:rPr>
        <w:t xml:space="preserve"> </w:t>
      </w:r>
      <w:r>
        <w:rPr>
          <w:color w:val="231F20"/>
        </w:rPr>
        <w:t>of</w:t>
      </w:r>
      <w:r>
        <w:rPr>
          <w:color w:val="231F20"/>
          <w:spacing w:val="10"/>
        </w:rPr>
        <w:t xml:space="preserve"> </w:t>
      </w:r>
      <w:r>
        <w:rPr>
          <w:color w:val="231F20"/>
        </w:rPr>
        <w:t>armed</w:t>
      </w:r>
      <w:r>
        <w:rPr>
          <w:color w:val="231F20"/>
          <w:spacing w:val="10"/>
        </w:rPr>
        <w:t xml:space="preserve"> </w:t>
      </w:r>
      <w:r>
        <w:rPr>
          <w:color w:val="231F20"/>
        </w:rPr>
        <w:t>activity</w:t>
      </w:r>
      <w:r>
        <w:rPr>
          <w:color w:val="231F20"/>
          <w:spacing w:val="10"/>
        </w:rPr>
        <w:t xml:space="preserve"> </w:t>
      </w:r>
      <w:r>
        <w:rPr>
          <w:color w:val="231F20"/>
        </w:rPr>
        <w:t>to</w:t>
      </w:r>
      <w:r>
        <w:rPr>
          <w:color w:val="231F20"/>
          <w:spacing w:val="10"/>
        </w:rPr>
        <w:t xml:space="preserve"> </w:t>
      </w:r>
      <w:r>
        <w:rPr>
          <w:color w:val="231F20"/>
        </w:rPr>
        <w:t>free</w:t>
      </w:r>
      <w:r>
        <w:rPr>
          <w:color w:val="231F20"/>
          <w:spacing w:val="10"/>
        </w:rPr>
        <w:t xml:space="preserve"> </w:t>
      </w:r>
      <w:r>
        <w:rPr>
          <w:color w:val="231F20"/>
        </w:rPr>
        <w:t>the</w:t>
      </w:r>
      <w:r>
        <w:rPr>
          <w:color w:val="231F20"/>
          <w:spacing w:val="10"/>
        </w:rPr>
        <w:t xml:space="preserve"> </w:t>
      </w:r>
      <w:r>
        <w:rPr>
          <w:color w:val="231F20"/>
        </w:rPr>
        <w:t>prisoners.</w:t>
      </w:r>
      <w:r>
        <w:rPr>
          <w:color w:val="231F20"/>
          <w:position w:val="7"/>
          <w:sz w:val="11"/>
        </w:rPr>
        <w:t>5</w:t>
      </w:r>
    </w:p>
    <w:p w14:paraId="4D98DE60" w14:textId="1AB7A2AD" w:rsidR="002653E8" w:rsidRDefault="003115E3">
      <w:pPr>
        <w:pStyle w:val="a3"/>
        <w:spacing w:line="264" w:lineRule="auto"/>
        <w:ind w:left="1327" w:right="1146" w:firstLine="210"/>
        <w:jc w:val="both"/>
      </w:pPr>
      <w:r>
        <w:rPr>
          <w:color w:val="231F20"/>
        </w:rPr>
        <w:t>Despite the heavy losses, the Stockholm action would not be the last attempt to replicate the successful Lorenz kidnapping.</w:t>
      </w:r>
    </w:p>
    <w:p w14:paraId="7C97FA03" w14:textId="77777777" w:rsidR="002653E8" w:rsidRDefault="002653E8">
      <w:pPr>
        <w:pStyle w:val="a3"/>
      </w:pPr>
    </w:p>
    <w:p w14:paraId="6D5F4FEE" w14:textId="77777777" w:rsidR="002653E8" w:rsidRDefault="002653E8">
      <w:pPr>
        <w:pStyle w:val="a3"/>
      </w:pPr>
    </w:p>
    <w:p w14:paraId="7C8A4DA0" w14:textId="77777777" w:rsidR="002653E8" w:rsidRDefault="002653E8">
      <w:pPr>
        <w:pStyle w:val="a3"/>
      </w:pPr>
    </w:p>
    <w:p w14:paraId="60D0F02E" w14:textId="77777777" w:rsidR="002653E8" w:rsidRDefault="002653E8">
      <w:pPr>
        <w:pStyle w:val="a3"/>
      </w:pPr>
    </w:p>
    <w:p w14:paraId="4A9AF4B2" w14:textId="77777777" w:rsidR="002653E8" w:rsidRDefault="002653E8">
      <w:pPr>
        <w:pStyle w:val="a3"/>
      </w:pPr>
    </w:p>
    <w:p w14:paraId="35AA1E4A" w14:textId="77777777" w:rsidR="002653E8" w:rsidRDefault="002653E8">
      <w:pPr>
        <w:pStyle w:val="a3"/>
      </w:pPr>
    </w:p>
    <w:p w14:paraId="5A58DD9D" w14:textId="77777777" w:rsidR="002653E8" w:rsidRDefault="002653E8">
      <w:pPr>
        <w:pStyle w:val="a3"/>
      </w:pPr>
    </w:p>
    <w:p w14:paraId="1E3ABCFC" w14:textId="77777777" w:rsidR="002653E8" w:rsidRDefault="002653E8">
      <w:pPr>
        <w:pStyle w:val="a3"/>
      </w:pPr>
    </w:p>
    <w:p w14:paraId="4E70C711" w14:textId="77777777" w:rsidR="002653E8" w:rsidRDefault="002653E8">
      <w:pPr>
        <w:pStyle w:val="a3"/>
      </w:pPr>
    </w:p>
    <w:p w14:paraId="5791C7DE" w14:textId="77777777" w:rsidR="002653E8" w:rsidRDefault="002653E8">
      <w:pPr>
        <w:pStyle w:val="a3"/>
      </w:pPr>
    </w:p>
    <w:p w14:paraId="0EAD70AF" w14:textId="77777777" w:rsidR="002653E8" w:rsidRDefault="002653E8">
      <w:pPr>
        <w:pStyle w:val="a3"/>
      </w:pPr>
    </w:p>
    <w:p w14:paraId="2EC8A5AB" w14:textId="77777777" w:rsidR="002653E8" w:rsidRDefault="002653E8">
      <w:pPr>
        <w:pStyle w:val="a3"/>
      </w:pPr>
    </w:p>
    <w:p w14:paraId="62885E85" w14:textId="77777777" w:rsidR="002653E8" w:rsidRDefault="002653E8">
      <w:pPr>
        <w:pStyle w:val="a3"/>
      </w:pPr>
    </w:p>
    <w:p w14:paraId="249F0682" w14:textId="77777777" w:rsidR="002653E8" w:rsidRDefault="00000000">
      <w:pPr>
        <w:pStyle w:val="a3"/>
        <w:spacing w:before="10"/>
      </w:pPr>
      <w:r>
        <w:rPr>
          <w:noProof w:val="0"/>
        </w:rPr>
        <w:pict w14:anchorId="26D5173E">
          <v:line id="_x0000_s2328" style="position:absolute;z-index:7672;mso-wrap-distance-left:0;mso-wrap-distance-right:0;mso-position-horizontal-relative:page" from="66.4pt,14.45pt" to="138.4pt,14.45pt" strokecolor="#231f20" strokeweight=".5pt">
            <w10:wrap type="topAndBottom" anchorx="page"/>
          </v:line>
        </w:pict>
      </w:r>
    </w:p>
    <w:p w14:paraId="03C97C2D" w14:textId="77777777" w:rsidR="002653E8" w:rsidRDefault="003115E3">
      <w:pPr>
        <w:spacing w:before="53"/>
        <w:ind w:left="1327"/>
        <w:rPr>
          <w:sz w:val="16"/>
        </w:rPr>
      </w:pPr>
      <w:r>
        <w:rPr>
          <w:color w:val="231F20"/>
          <w:w w:val="110"/>
          <w:sz w:val="16"/>
        </w:rPr>
        <w:t>2 Aust, 149.</w:t>
      </w:r>
    </w:p>
    <w:p w14:paraId="63AD80BE" w14:textId="77777777" w:rsidR="002653E8" w:rsidRDefault="003115E3">
      <w:pPr>
        <w:pStyle w:val="a4"/>
        <w:numPr>
          <w:ilvl w:val="0"/>
          <w:numId w:val="16"/>
        </w:numPr>
        <w:tabs>
          <w:tab w:val="left" w:pos="1467"/>
        </w:tabs>
        <w:spacing w:before="51"/>
        <w:ind w:hanging="1"/>
        <w:rPr>
          <w:sz w:val="16"/>
        </w:rPr>
      </w:pPr>
      <w:r>
        <w:rPr>
          <w:color w:val="231F20"/>
          <w:w w:val="110"/>
          <w:sz w:val="16"/>
        </w:rPr>
        <w:t>Rote Armee Fraktion,</w:t>
      </w:r>
      <w:r>
        <w:rPr>
          <w:color w:val="231F20"/>
          <w:spacing w:val="18"/>
          <w:w w:val="110"/>
          <w:sz w:val="16"/>
        </w:rPr>
        <w:t xml:space="preserve"> </w:t>
      </w:r>
      <w:r>
        <w:rPr>
          <w:color w:val="231F20"/>
          <w:spacing w:val="-5"/>
          <w:w w:val="110"/>
          <w:sz w:val="16"/>
        </w:rPr>
        <w:t>197.</w:t>
      </w:r>
    </w:p>
    <w:p w14:paraId="1230F449" w14:textId="77777777" w:rsidR="002653E8" w:rsidRDefault="003115E3">
      <w:pPr>
        <w:pStyle w:val="a4"/>
        <w:numPr>
          <w:ilvl w:val="0"/>
          <w:numId w:val="16"/>
        </w:numPr>
        <w:tabs>
          <w:tab w:val="left" w:pos="1467"/>
        </w:tabs>
        <w:spacing w:before="52" w:line="307" w:lineRule="auto"/>
        <w:ind w:right="2260" w:hanging="1"/>
        <w:rPr>
          <w:sz w:val="16"/>
        </w:rPr>
      </w:pPr>
      <w:r>
        <w:rPr>
          <w:color w:val="231F20"/>
          <w:w w:val="105"/>
          <w:sz w:val="16"/>
        </w:rPr>
        <w:t xml:space="preserve">Defense Attorney Siegfried Haag </w:t>
      </w:r>
      <w:r>
        <w:rPr>
          <w:color w:val="231F20"/>
          <w:spacing w:val="1"/>
          <w:w w:val="105"/>
          <w:sz w:val="16"/>
        </w:rPr>
        <w:t xml:space="preserve">Goes </w:t>
      </w:r>
      <w:r>
        <w:rPr>
          <w:color w:val="231F20"/>
          <w:w w:val="105"/>
          <w:sz w:val="16"/>
        </w:rPr>
        <w:t xml:space="preserve">Underground, see page 341.  5 Varon, </w:t>
      </w:r>
      <w:r>
        <w:rPr>
          <w:color w:val="231F20"/>
          <w:spacing w:val="-3"/>
          <w:w w:val="105"/>
          <w:sz w:val="16"/>
        </w:rPr>
        <w:t>231,</w:t>
      </w:r>
      <w:r>
        <w:rPr>
          <w:color w:val="231F20"/>
          <w:spacing w:val="26"/>
          <w:w w:val="105"/>
          <w:sz w:val="16"/>
        </w:rPr>
        <w:t xml:space="preserve"> </w:t>
      </w:r>
      <w:r>
        <w:rPr>
          <w:color w:val="231F20"/>
          <w:w w:val="105"/>
          <w:sz w:val="16"/>
        </w:rPr>
        <w:t>268.</w:t>
      </w:r>
    </w:p>
    <w:p w14:paraId="7B184046" w14:textId="77777777" w:rsidR="002653E8" w:rsidRDefault="002653E8">
      <w:pPr>
        <w:spacing w:line="307" w:lineRule="auto"/>
        <w:rPr>
          <w:sz w:val="16"/>
        </w:rPr>
        <w:sectPr w:rsidR="002653E8">
          <w:pgSz w:w="8640" w:h="12960"/>
          <w:pgMar w:top="1060" w:right="0" w:bottom="1040" w:left="0" w:header="0" w:footer="850" w:gutter="0"/>
          <w:cols w:space="720"/>
        </w:sectPr>
      </w:pPr>
    </w:p>
    <w:p w14:paraId="6C66C0A0" w14:textId="77777777" w:rsidR="002653E8" w:rsidRDefault="003115E3">
      <w:pPr>
        <w:pStyle w:val="4"/>
        <w:spacing w:line="273" w:lineRule="auto"/>
        <w:ind w:left="2630" w:right="2686" w:firstLine="39"/>
      </w:pPr>
      <w:bookmarkStart w:id="151" w:name="Letter_from_the_RAF_to_the_RAF_Prisoners"/>
      <w:bookmarkStart w:id="152" w:name="_bookmark46"/>
      <w:bookmarkEnd w:id="151"/>
      <w:bookmarkEnd w:id="152"/>
      <w:r>
        <w:rPr>
          <w:color w:val="231F20"/>
          <w:w w:val="105"/>
        </w:rPr>
        <w:lastRenderedPageBreak/>
        <w:t xml:space="preserve">Letter from the </w:t>
      </w:r>
      <w:r w:rsidR="00C507A5">
        <w:rPr>
          <w:color w:val="231F20"/>
          <w:w w:val="105"/>
        </w:rPr>
        <w:t>red army faction</w:t>
      </w:r>
      <w:r>
        <w:rPr>
          <w:color w:val="231F20"/>
          <w:w w:val="105"/>
        </w:rPr>
        <w:t xml:space="preserve"> to the </w:t>
      </w:r>
      <w:r w:rsidR="00C507A5">
        <w:rPr>
          <w:color w:val="231F20"/>
          <w:w w:val="105"/>
        </w:rPr>
        <w:t>red army faction</w:t>
      </w:r>
      <w:r>
        <w:rPr>
          <w:color w:val="231F20"/>
          <w:w w:val="105"/>
        </w:rPr>
        <w:t xml:space="preserve"> Prisoners</w:t>
      </w:r>
    </w:p>
    <w:p w14:paraId="3CF8BC6D" w14:textId="77777777" w:rsidR="002653E8" w:rsidRDefault="003115E3">
      <w:pPr>
        <w:pStyle w:val="a3"/>
        <w:spacing w:before="62"/>
        <w:ind w:left="1147"/>
      </w:pPr>
      <w:r>
        <w:rPr>
          <w:color w:val="231F20"/>
          <w:w w:val="105"/>
        </w:rPr>
        <w:t xml:space="preserve">To the </w:t>
      </w:r>
      <w:r w:rsidR="00C507A5">
        <w:rPr>
          <w:color w:val="231F20"/>
          <w:w w:val="105"/>
        </w:rPr>
        <w:t>red army faction</w:t>
      </w:r>
      <w:r>
        <w:rPr>
          <w:color w:val="231F20"/>
          <w:w w:val="105"/>
        </w:rPr>
        <w:t xml:space="preserve"> prisoners:</w:t>
      </w:r>
    </w:p>
    <w:p w14:paraId="2D6176A5" w14:textId="77777777" w:rsidR="002653E8" w:rsidRDefault="003115E3">
      <w:pPr>
        <w:pStyle w:val="a3"/>
        <w:spacing w:before="22" w:line="264" w:lineRule="auto"/>
        <w:ind w:left="1147" w:right="1326" w:firstLine="210"/>
        <w:jc w:val="both"/>
      </w:pPr>
      <w:r>
        <w:rPr>
          <w:color w:val="231F20"/>
          <w:spacing w:val="-5"/>
        </w:rPr>
        <w:t xml:space="preserve">We  </w:t>
      </w:r>
      <w:r>
        <w:rPr>
          <w:color w:val="231F20"/>
        </w:rPr>
        <w:t>are asking you to call off your hunger strike now even though   the demand for an end to isolation has not been met. This demand has not been met because of the powerful reactionary mobilization and the class offensive from above, the subjective conditions of an underdeveloped class struggle, the corruption of the proletariat’s class organizations,</w:t>
      </w:r>
      <w:r>
        <w:rPr>
          <w:color w:val="231F20"/>
          <w:spacing w:val="10"/>
        </w:rPr>
        <w:t xml:space="preserve"> </w:t>
      </w:r>
      <w:r>
        <w:rPr>
          <w:color w:val="231F20"/>
        </w:rPr>
        <w:t>and</w:t>
      </w:r>
      <w:r>
        <w:rPr>
          <w:color w:val="231F20"/>
          <w:spacing w:val="10"/>
        </w:rPr>
        <w:t xml:space="preserve"> </w:t>
      </w:r>
      <w:r>
        <w:rPr>
          <w:color w:val="231F20"/>
        </w:rPr>
        <w:t>the</w:t>
      </w:r>
      <w:r>
        <w:rPr>
          <w:color w:val="231F20"/>
          <w:spacing w:val="10"/>
        </w:rPr>
        <w:t xml:space="preserve"> </w:t>
      </w:r>
      <w:r>
        <w:rPr>
          <w:color w:val="231F20"/>
        </w:rPr>
        <w:t>weakness</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revolutionary</w:t>
      </w:r>
      <w:r>
        <w:rPr>
          <w:color w:val="231F20"/>
          <w:spacing w:val="10"/>
        </w:rPr>
        <w:t xml:space="preserve"> </w:t>
      </w:r>
      <w:r>
        <w:rPr>
          <w:color w:val="231F20"/>
        </w:rPr>
        <w:t>left.</w:t>
      </w:r>
    </w:p>
    <w:p w14:paraId="0F1151A4" w14:textId="77777777" w:rsidR="002653E8" w:rsidRDefault="003115E3">
      <w:pPr>
        <w:pStyle w:val="a3"/>
        <w:spacing w:line="228" w:lineRule="exact"/>
        <w:ind w:left="1357"/>
      </w:pPr>
      <w:r>
        <w:rPr>
          <w:color w:val="231F20"/>
        </w:rPr>
        <w:t>Understand that this is an order.</w:t>
      </w:r>
    </w:p>
    <w:p w14:paraId="2675AED0" w14:textId="77777777" w:rsidR="002653E8" w:rsidRDefault="003115E3">
      <w:pPr>
        <w:pStyle w:val="a3"/>
        <w:spacing w:before="23" w:line="264" w:lineRule="auto"/>
        <w:ind w:left="1147" w:right="1326" w:firstLine="210"/>
        <w:jc w:val="both"/>
      </w:pPr>
      <w:r>
        <w:rPr>
          <w:color w:val="231F20"/>
        </w:rPr>
        <w:t>The fact is that the legal left, as a result of their defensiveness and helplessness</w:t>
      </w:r>
      <w:r>
        <w:rPr>
          <w:color w:val="231F20"/>
          <w:spacing w:val="-4"/>
        </w:rPr>
        <w:t xml:space="preserve"> </w:t>
      </w:r>
      <w:r>
        <w:rPr>
          <w:color w:val="231F20"/>
        </w:rPr>
        <w:t>in</w:t>
      </w:r>
      <w:r>
        <w:rPr>
          <w:color w:val="231F20"/>
          <w:spacing w:val="-4"/>
        </w:rPr>
        <w:t xml:space="preserve"> </w:t>
      </w:r>
      <w:r>
        <w:rPr>
          <w:color w:val="231F20"/>
        </w:rPr>
        <w:t>the</w:t>
      </w:r>
      <w:r>
        <w:rPr>
          <w:color w:val="231F20"/>
          <w:spacing w:val="-4"/>
        </w:rPr>
        <w:t xml:space="preserve"> </w:t>
      </w:r>
      <w:r>
        <w:rPr>
          <w:color w:val="231F20"/>
        </w:rPr>
        <w:t>face</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new</w:t>
      </w:r>
      <w:r>
        <w:rPr>
          <w:color w:val="231F20"/>
          <w:spacing w:val="-4"/>
        </w:rPr>
        <w:t xml:space="preserve"> </w:t>
      </w:r>
      <w:r>
        <w:rPr>
          <w:color w:val="231F20"/>
        </w:rPr>
        <w:t>fascism,</w:t>
      </w:r>
      <w:r>
        <w:rPr>
          <w:color w:val="231F20"/>
          <w:spacing w:val="-4"/>
        </w:rPr>
        <w:t xml:space="preserve"> </w:t>
      </w:r>
      <w:r>
        <w:rPr>
          <w:color w:val="231F20"/>
        </w:rPr>
        <w:t>has</w:t>
      </w:r>
      <w:r>
        <w:rPr>
          <w:color w:val="231F20"/>
          <w:spacing w:val="-4"/>
        </w:rPr>
        <w:t xml:space="preserve"> </w:t>
      </w:r>
      <w:r>
        <w:rPr>
          <w:color w:val="231F20"/>
        </w:rPr>
        <w:t>not</w:t>
      </w:r>
      <w:r>
        <w:rPr>
          <w:color w:val="231F20"/>
          <w:spacing w:val="-4"/>
        </w:rPr>
        <w:t xml:space="preserve"> </w:t>
      </w:r>
      <w:r>
        <w:rPr>
          <w:color w:val="231F20"/>
        </w:rPr>
        <w:t>developed</w:t>
      </w:r>
      <w:r>
        <w:rPr>
          <w:color w:val="231F20"/>
          <w:spacing w:val="-4"/>
        </w:rPr>
        <w:t xml:space="preserve"> </w:t>
      </w:r>
      <w:r>
        <w:rPr>
          <w:color w:val="231F20"/>
        </w:rPr>
        <w:t>the</w:t>
      </w:r>
      <w:r>
        <w:rPr>
          <w:color w:val="231F20"/>
          <w:spacing w:val="-4"/>
        </w:rPr>
        <w:t xml:space="preserve"> </w:t>
      </w:r>
      <w:r>
        <w:rPr>
          <w:color w:val="231F20"/>
        </w:rPr>
        <w:t xml:space="preserve">capacity to organize solidarity as a weapon, and has failed to develop in a  </w:t>
      </w:r>
      <w:r>
        <w:rPr>
          <w:color w:val="231F20"/>
          <w:spacing w:val="-2"/>
        </w:rPr>
        <w:t xml:space="preserve">way </w:t>
      </w:r>
      <w:r>
        <w:rPr>
          <w:color w:val="231F20"/>
        </w:rPr>
        <w:t>that corresponds to the construction of the guerilla and the politics of the</w:t>
      </w:r>
      <w:r>
        <w:rPr>
          <w:color w:val="231F20"/>
          <w:spacing w:val="22"/>
        </w:rPr>
        <w:t xml:space="preserve"> </w:t>
      </w:r>
      <w:r w:rsidR="00C507A5">
        <w:rPr>
          <w:color w:val="231F20"/>
        </w:rPr>
        <w:t>red army faction</w:t>
      </w:r>
      <w:r>
        <w:rPr>
          <w:color w:val="231F20"/>
        </w:rPr>
        <w:t>.</w:t>
      </w:r>
    </w:p>
    <w:p w14:paraId="0BC017D0" w14:textId="77777777" w:rsidR="002653E8" w:rsidRDefault="003115E3">
      <w:pPr>
        <w:pStyle w:val="a3"/>
        <w:spacing w:line="264" w:lineRule="auto"/>
        <w:ind w:left="1147" w:right="1326" w:firstLine="210"/>
        <w:jc w:val="both"/>
      </w:pPr>
      <w:r>
        <w:rPr>
          <w:color w:val="231F20"/>
        </w:rPr>
        <w:t>The strike has brought them face-to-face with reality: the weakness  of political strategies that ignore the need to establish and develop the capacity to act from the underground, the necessity for armed politics  as the concrete expression of proletarian internationalism here. Our massive mobilization in 68 was followed by a series of setbacks: the splits,</w:t>
      </w:r>
      <w:r>
        <w:rPr>
          <w:color w:val="231F20"/>
          <w:spacing w:val="8"/>
        </w:rPr>
        <w:t xml:space="preserve"> </w:t>
      </w:r>
      <w:r>
        <w:rPr>
          <w:color w:val="231F20"/>
        </w:rPr>
        <w:t>the</w:t>
      </w:r>
      <w:r>
        <w:rPr>
          <w:color w:val="231F20"/>
          <w:spacing w:val="8"/>
        </w:rPr>
        <w:t xml:space="preserve"> </w:t>
      </w:r>
      <w:r>
        <w:rPr>
          <w:color w:val="231F20"/>
        </w:rPr>
        <w:t>sects,</w:t>
      </w:r>
      <w:r>
        <w:rPr>
          <w:color w:val="231F20"/>
          <w:spacing w:val="8"/>
        </w:rPr>
        <w:t xml:space="preserve"> </w:t>
      </w:r>
      <w:r>
        <w:rPr>
          <w:color w:val="231F20"/>
        </w:rPr>
        <w:t>and</w:t>
      </w:r>
      <w:r>
        <w:rPr>
          <w:color w:val="231F20"/>
          <w:spacing w:val="8"/>
        </w:rPr>
        <w:t xml:space="preserve"> </w:t>
      </w:r>
      <w:r>
        <w:rPr>
          <w:color w:val="231F20"/>
        </w:rPr>
        <w:t>the</w:t>
      </w:r>
      <w:r>
        <w:rPr>
          <w:color w:val="231F20"/>
          <w:spacing w:val="8"/>
        </w:rPr>
        <w:t xml:space="preserve"> </w:t>
      </w:r>
      <w:r>
        <w:rPr>
          <w:color w:val="231F20"/>
        </w:rPr>
        <w:t>corruption</w:t>
      </w:r>
      <w:r>
        <w:rPr>
          <w:color w:val="231F20"/>
          <w:spacing w:val="8"/>
        </w:rPr>
        <w:t xml:space="preserve"> </w:t>
      </w:r>
      <w:r>
        <w:rPr>
          <w:color w:val="231F20"/>
        </w:rPr>
        <w:t>that</w:t>
      </w:r>
      <w:r>
        <w:rPr>
          <w:color w:val="231F20"/>
          <w:spacing w:val="8"/>
        </w:rPr>
        <w:t xml:space="preserve"> </w:t>
      </w:r>
      <w:r>
        <w:rPr>
          <w:color w:val="231F20"/>
        </w:rPr>
        <w:t>forced</w:t>
      </w:r>
      <w:r>
        <w:rPr>
          <w:color w:val="231F20"/>
          <w:spacing w:val="8"/>
        </w:rPr>
        <w:t xml:space="preserve"> </w:t>
      </w:r>
      <w:r>
        <w:rPr>
          <w:color w:val="231F20"/>
        </w:rPr>
        <w:t>us</w:t>
      </w:r>
      <w:r>
        <w:rPr>
          <w:color w:val="231F20"/>
          <w:spacing w:val="8"/>
        </w:rPr>
        <w:t xml:space="preserve"> </w:t>
      </w:r>
      <w:r>
        <w:rPr>
          <w:color w:val="231F20"/>
        </w:rPr>
        <w:t>onto</w:t>
      </w:r>
      <w:r>
        <w:rPr>
          <w:color w:val="231F20"/>
          <w:spacing w:val="8"/>
        </w:rPr>
        <w:t xml:space="preserve"> </w:t>
      </w:r>
      <w:r>
        <w:rPr>
          <w:color w:val="231F20"/>
        </w:rPr>
        <w:t>the</w:t>
      </w:r>
      <w:r>
        <w:rPr>
          <w:color w:val="231F20"/>
          <w:spacing w:val="8"/>
        </w:rPr>
        <w:t xml:space="preserve"> </w:t>
      </w:r>
      <w:r>
        <w:rPr>
          <w:color w:val="231F20"/>
        </w:rPr>
        <w:t>defensive.</w:t>
      </w:r>
    </w:p>
    <w:p w14:paraId="635E4D85" w14:textId="77777777" w:rsidR="002653E8" w:rsidRDefault="003115E3">
      <w:pPr>
        <w:pStyle w:val="a3"/>
        <w:spacing w:line="264" w:lineRule="auto"/>
        <w:ind w:left="1147" w:right="1326" w:firstLine="210"/>
        <w:jc w:val="both"/>
      </w:pPr>
      <w:r>
        <w:rPr>
          <w:color w:val="231F20"/>
        </w:rPr>
        <w:t>We are saying that the prisoners’ strike has done everything it could to mediate, mobilize, and organize anti-imperialist politics here. Its escalation would not contribute anything qualitative to the struggle.</w:t>
      </w:r>
    </w:p>
    <w:p w14:paraId="33D0C1AE" w14:textId="77777777" w:rsidR="002653E8" w:rsidRDefault="003115E3">
      <w:pPr>
        <w:pStyle w:val="a3"/>
        <w:spacing w:line="264" w:lineRule="auto"/>
        <w:ind w:left="1147" w:right="1326" w:firstLine="210"/>
        <w:jc w:val="both"/>
      </w:pPr>
      <w:r>
        <w:rPr>
          <w:color w:val="231F20"/>
        </w:rPr>
        <w:t>The state has calculated that it will be able to  create</w:t>
      </w:r>
      <w:r>
        <w:rPr>
          <w:color w:val="231F20"/>
          <w:spacing w:val="22"/>
        </w:rPr>
        <w:t xml:space="preserve"> </w:t>
      </w:r>
      <w:r>
        <w:rPr>
          <w:color w:val="231F20"/>
        </w:rPr>
        <w:t>propaganda from the execution of guerilla prisoners—who struggle, always struggle, in spite of everything struggle—that would make resistance seem hopeless. Allowing you to continue in this situation would amount to sacrificing</w:t>
      </w:r>
      <w:r>
        <w:rPr>
          <w:color w:val="231F20"/>
          <w:spacing w:val="10"/>
        </w:rPr>
        <w:t xml:space="preserve"> </w:t>
      </w:r>
      <w:r>
        <w:rPr>
          <w:color w:val="231F20"/>
        </w:rPr>
        <w:t>you.</w:t>
      </w:r>
    </w:p>
    <w:p w14:paraId="6AA30C4C" w14:textId="77777777" w:rsidR="002653E8" w:rsidRDefault="003115E3">
      <w:pPr>
        <w:pStyle w:val="a3"/>
        <w:spacing w:line="264" w:lineRule="auto"/>
        <w:ind w:left="1147" w:right="1327" w:firstLine="210"/>
        <w:jc w:val="both"/>
      </w:pPr>
      <w:r>
        <w:rPr>
          <w:color w:val="231F20"/>
        </w:rPr>
        <w:t>We are taking this weapon away from you, because the prisoners’ struggle—given the existing balance of power—is now something that we must settle with our weapons.</w:t>
      </w:r>
    </w:p>
    <w:p w14:paraId="0C1BA285" w14:textId="77777777" w:rsidR="002653E8" w:rsidRDefault="003115E3">
      <w:pPr>
        <w:pStyle w:val="a3"/>
        <w:spacing w:before="103"/>
        <w:ind w:left="1147"/>
      </w:pPr>
      <w:r>
        <w:rPr>
          <w:color w:val="231F20"/>
          <w:w w:val="115"/>
        </w:rPr>
        <w:t>VICTORy WILL BE OURS!</w:t>
      </w:r>
    </w:p>
    <w:p w14:paraId="1B3672CE" w14:textId="77777777" w:rsidR="002653E8" w:rsidRDefault="00C507A5">
      <w:pPr>
        <w:pStyle w:val="a3"/>
        <w:spacing w:before="150"/>
        <w:ind w:left="1212" w:right="1317"/>
        <w:jc w:val="right"/>
      </w:pPr>
      <w:r>
        <w:rPr>
          <w:color w:val="231F20"/>
          <w:w w:val="110"/>
        </w:rPr>
        <w:t>red army faction</w:t>
      </w:r>
    </w:p>
    <w:p w14:paraId="12DEFBF1" w14:textId="77777777" w:rsidR="002653E8" w:rsidRDefault="003115E3">
      <w:pPr>
        <w:pStyle w:val="a3"/>
        <w:spacing w:before="21"/>
        <w:ind w:left="1212" w:right="1325"/>
        <w:jc w:val="right"/>
      </w:pPr>
      <w:r>
        <w:rPr>
          <w:color w:val="231F20"/>
          <w:w w:val="105"/>
        </w:rPr>
        <w:t>February 2, 1975</w:t>
      </w:r>
    </w:p>
    <w:p w14:paraId="0F73FB62" w14:textId="77777777" w:rsidR="002653E8" w:rsidRDefault="002653E8">
      <w:pPr>
        <w:jc w:val="right"/>
        <w:sectPr w:rsidR="002653E8">
          <w:pgSz w:w="8640" w:h="12960"/>
          <w:pgMar w:top="1220" w:right="0" w:bottom="1040" w:left="0" w:header="0" w:footer="850" w:gutter="0"/>
          <w:cols w:space="720"/>
        </w:sectPr>
      </w:pPr>
    </w:p>
    <w:p w14:paraId="6F7FA63B" w14:textId="77777777" w:rsidR="002653E8" w:rsidRDefault="003115E3">
      <w:pPr>
        <w:pStyle w:val="4"/>
        <w:ind w:left="180"/>
        <w:jc w:val="center"/>
      </w:pPr>
      <w:bookmarkStart w:id="153" w:name="Occupation_of_the_West_German_Embassy_in"/>
      <w:bookmarkStart w:id="154" w:name="_bookmark47"/>
      <w:bookmarkEnd w:id="153"/>
      <w:bookmarkEnd w:id="154"/>
      <w:r>
        <w:rPr>
          <w:color w:val="231F20"/>
        </w:rPr>
        <w:lastRenderedPageBreak/>
        <w:t>Occupation of the</w:t>
      </w:r>
    </w:p>
    <w:p w14:paraId="0F191827" w14:textId="77777777" w:rsidR="002653E8" w:rsidRDefault="003115E3">
      <w:pPr>
        <w:spacing w:before="48"/>
        <w:ind w:left="1632"/>
        <w:rPr>
          <w:rFonts w:ascii="Bookman Old Style"/>
          <w:sz w:val="30"/>
        </w:rPr>
      </w:pPr>
      <w:r>
        <w:rPr>
          <w:rFonts w:ascii="Bookman Old Style"/>
          <w:color w:val="231F20"/>
          <w:spacing w:val="-6"/>
          <w:sz w:val="30"/>
        </w:rPr>
        <w:t xml:space="preserve">West </w:t>
      </w:r>
      <w:r>
        <w:rPr>
          <w:rFonts w:ascii="Bookman Old Style"/>
          <w:color w:val="231F20"/>
          <w:sz w:val="30"/>
        </w:rPr>
        <w:t>German Embassy in</w:t>
      </w:r>
      <w:r>
        <w:rPr>
          <w:rFonts w:ascii="Bookman Old Style"/>
          <w:color w:val="231F20"/>
          <w:spacing w:val="88"/>
          <w:sz w:val="30"/>
        </w:rPr>
        <w:t xml:space="preserve"> </w:t>
      </w:r>
      <w:r>
        <w:rPr>
          <w:rFonts w:ascii="Bookman Old Style"/>
          <w:color w:val="231F20"/>
          <w:sz w:val="30"/>
        </w:rPr>
        <w:t>Stockholm</w:t>
      </w:r>
    </w:p>
    <w:p w14:paraId="50C0473D" w14:textId="77777777" w:rsidR="002653E8" w:rsidRDefault="002653E8">
      <w:pPr>
        <w:pStyle w:val="a3"/>
        <w:spacing w:before="5"/>
        <w:rPr>
          <w:rFonts w:ascii="Bookman Old Style"/>
          <w:sz w:val="31"/>
        </w:rPr>
      </w:pPr>
    </w:p>
    <w:p w14:paraId="7B79DC67" w14:textId="77777777" w:rsidR="002653E8" w:rsidRDefault="003115E3">
      <w:pPr>
        <w:pStyle w:val="a3"/>
        <w:spacing w:line="264" w:lineRule="auto"/>
        <w:ind w:left="1327" w:right="2448"/>
      </w:pPr>
      <w:r>
        <w:rPr>
          <w:color w:val="231F20"/>
        </w:rPr>
        <w:t>To the governments of the Federal Republic of Germany and the Kingdom of Sweden:</w:t>
      </w:r>
    </w:p>
    <w:p w14:paraId="0D09552E" w14:textId="77777777" w:rsidR="002653E8" w:rsidRDefault="003115E3">
      <w:pPr>
        <w:pStyle w:val="a3"/>
        <w:spacing w:line="264" w:lineRule="auto"/>
        <w:ind w:left="1327" w:right="1146" w:firstLine="210"/>
        <w:jc w:val="both"/>
      </w:pPr>
      <w:r>
        <w:rPr>
          <w:color w:val="231F20"/>
        </w:rPr>
        <w:t xml:space="preserve">On April 24, </w:t>
      </w:r>
      <w:r>
        <w:rPr>
          <w:color w:val="231F20"/>
          <w:spacing w:val="-6"/>
        </w:rPr>
        <w:t xml:space="preserve">1975, </w:t>
      </w:r>
      <w:r>
        <w:rPr>
          <w:color w:val="231F20"/>
        </w:rPr>
        <w:t xml:space="preserve">at </w:t>
      </w:r>
      <w:r>
        <w:rPr>
          <w:color w:val="231F20"/>
          <w:spacing w:val="-6"/>
        </w:rPr>
        <w:t xml:space="preserve">1:50 </w:t>
      </w:r>
      <w:r>
        <w:rPr>
          <w:color w:val="231F20"/>
        </w:rPr>
        <w:t xml:space="preserve">pm, we occupied the embassy of  the  Federal Republic of Germany in Stockholm and took </w:t>
      </w:r>
      <w:r>
        <w:rPr>
          <w:color w:val="231F20"/>
          <w:spacing w:val="-3"/>
        </w:rPr>
        <w:t xml:space="preserve">12 </w:t>
      </w:r>
      <w:r>
        <w:rPr>
          <w:color w:val="231F20"/>
        </w:rPr>
        <w:t xml:space="preserve">embassy employees prisoner, including Ambassador Dieter Stoecker, </w:t>
      </w:r>
      <w:r>
        <w:rPr>
          <w:color w:val="231F20"/>
          <w:spacing w:val="1"/>
        </w:rPr>
        <w:t xml:space="preserve">Military </w:t>
      </w:r>
      <w:r>
        <w:rPr>
          <w:color w:val="231F20"/>
        </w:rPr>
        <w:t>Attaché Andreas von Mirbach,  Economic  Advisor  Heinz  Hillegaart,  and Cultural Advisor Anno Elfgen, in order to free 26 political prisoners</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Federal</w:t>
      </w:r>
      <w:r>
        <w:rPr>
          <w:color w:val="231F20"/>
          <w:spacing w:val="10"/>
        </w:rPr>
        <w:t xml:space="preserve"> </w:t>
      </w:r>
      <w:r>
        <w:rPr>
          <w:color w:val="231F20"/>
        </w:rPr>
        <w:t>Republic</w:t>
      </w:r>
      <w:r>
        <w:rPr>
          <w:color w:val="231F20"/>
          <w:spacing w:val="10"/>
        </w:rPr>
        <w:t xml:space="preserve"> </w:t>
      </w:r>
      <w:r>
        <w:rPr>
          <w:color w:val="231F20"/>
        </w:rPr>
        <w:t>of</w:t>
      </w:r>
      <w:r>
        <w:rPr>
          <w:color w:val="231F20"/>
          <w:spacing w:val="10"/>
        </w:rPr>
        <w:t xml:space="preserve"> </w:t>
      </w:r>
      <w:r>
        <w:rPr>
          <w:color w:val="231F20"/>
        </w:rPr>
        <w:t>Germany,</w:t>
      </w:r>
      <w:r>
        <w:rPr>
          <w:color w:val="231F20"/>
          <w:spacing w:val="10"/>
        </w:rPr>
        <w:t xml:space="preserve"> </w:t>
      </w:r>
      <w:r>
        <w:rPr>
          <w:color w:val="231F20"/>
        </w:rPr>
        <w:t>namely:</w:t>
      </w:r>
    </w:p>
    <w:p w14:paraId="3A157FA2" w14:textId="77777777" w:rsidR="002653E8" w:rsidRDefault="002653E8">
      <w:pPr>
        <w:pStyle w:val="a3"/>
        <w:spacing w:before="8"/>
        <w:rPr>
          <w:sz w:val="12"/>
        </w:rPr>
      </w:pPr>
    </w:p>
    <w:p w14:paraId="65CE2CFC" w14:textId="77777777" w:rsidR="002653E8" w:rsidRDefault="002653E8">
      <w:pPr>
        <w:rPr>
          <w:sz w:val="12"/>
        </w:rPr>
        <w:sectPr w:rsidR="002653E8">
          <w:footerReference w:type="even" r:id="rId286"/>
          <w:footerReference w:type="default" r:id="rId287"/>
          <w:pgSz w:w="8640" w:h="12960"/>
          <w:pgMar w:top="1220" w:right="0" w:bottom="1040" w:left="0" w:header="0" w:footer="850" w:gutter="0"/>
          <w:pgNumType w:start="339"/>
          <w:cols w:space="720"/>
        </w:sectPr>
      </w:pPr>
    </w:p>
    <w:p w14:paraId="31A0B629" w14:textId="77777777" w:rsidR="002653E8" w:rsidRPr="00C507A5" w:rsidRDefault="003115E3">
      <w:pPr>
        <w:pStyle w:val="a3"/>
        <w:spacing w:before="99" w:line="261" w:lineRule="auto"/>
        <w:ind w:left="1407" w:right="322"/>
        <w:rPr>
          <w:lang w:val="de-DE"/>
        </w:rPr>
      </w:pPr>
      <w:r w:rsidRPr="00C507A5">
        <w:rPr>
          <w:color w:val="231F20"/>
          <w:w w:val="105"/>
          <w:lang w:val="de-DE"/>
        </w:rPr>
        <w:t>Gudrun Ensslin, Stuttgart Andreas Baader, Stuttgart Ulrike Meinhof, Stuttgart Jan Raspe, Stuttgart Carmen Roll, Stuttgart Werner Hoppe, Hamburg Helmut Pohl, Hamburg Wolfgang Beer, Hamburg Eberhard Becker, Hamburg</w:t>
      </w:r>
    </w:p>
    <w:p w14:paraId="7D790AF9" w14:textId="77777777" w:rsidR="002653E8" w:rsidRPr="00C507A5" w:rsidRDefault="003115E3">
      <w:pPr>
        <w:pStyle w:val="a3"/>
        <w:spacing w:before="4" w:line="261" w:lineRule="auto"/>
        <w:ind w:left="1407"/>
        <w:rPr>
          <w:lang w:val="de-DE"/>
        </w:rPr>
      </w:pPr>
      <w:r w:rsidRPr="00C507A5">
        <w:rPr>
          <w:color w:val="231F20"/>
          <w:lang w:val="de-DE"/>
        </w:rPr>
        <w:t>Manfred Grashof, Zweibrücken Klaus Jünschke, Zweibrücken Wolfgang Quante, Bremen Ronald Augustin, Bückeburg</w:t>
      </w:r>
    </w:p>
    <w:p w14:paraId="27A6E89F" w14:textId="77777777" w:rsidR="002653E8" w:rsidRPr="00C507A5" w:rsidRDefault="003115E3">
      <w:pPr>
        <w:pStyle w:val="a3"/>
        <w:spacing w:before="99"/>
        <w:ind w:left="489"/>
        <w:rPr>
          <w:lang w:val="de-DE"/>
        </w:rPr>
      </w:pPr>
      <w:r w:rsidRPr="00C507A5">
        <w:rPr>
          <w:lang w:val="de-DE"/>
        </w:rPr>
        <w:br w:type="column"/>
      </w:r>
      <w:r w:rsidRPr="00C507A5">
        <w:rPr>
          <w:color w:val="231F20"/>
          <w:w w:val="105"/>
          <w:lang w:val="de-DE"/>
        </w:rPr>
        <w:t>Ali Jansen, Berlin</w:t>
      </w:r>
    </w:p>
    <w:p w14:paraId="4936E079" w14:textId="77777777" w:rsidR="002653E8" w:rsidRPr="00C507A5" w:rsidRDefault="003115E3">
      <w:pPr>
        <w:pStyle w:val="a3"/>
        <w:spacing w:before="22" w:line="261" w:lineRule="auto"/>
        <w:ind w:left="489" w:right="1538"/>
        <w:rPr>
          <w:lang w:val="de-DE"/>
        </w:rPr>
      </w:pPr>
      <w:r w:rsidRPr="00C507A5">
        <w:rPr>
          <w:color w:val="231F20"/>
          <w:lang w:val="de-DE"/>
        </w:rPr>
        <w:t>Brigitte Mohnhaupt, Berlin Bernhard Braun, Berlin Ingrid Schubert, Berlin Annerose Reiche,  Berlin Ilse Stachowiak, Hamburg Irmgard Möller, Hamburg Sigurd Debus, Hamburg Christa Eckes, Hamburg Wolfgang Stahl, Hamburg Margrit Schiller, Lübeck Monika Berberich, Berlin</w:t>
      </w:r>
    </w:p>
    <w:p w14:paraId="594E4B16" w14:textId="77777777" w:rsidR="002653E8" w:rsidRDefault="003115E3">
      <w:pPr>
        <w:pStyle w:val="a3"/>
        <w:spacing w:before="4"/>
        <w:ind w:left="489"/>
      </w:pPr>
      <w:r>
        <w:rPr>
          <w:color w:val="231F20"/>
        </w:rPr>
        <w:t>Johannes Weinrich, Karlsruhe</w:t>
      </w:r>
    </w:p>
    <w:p w14:paraId="2BA36F9F" w14:textId="77777777" w:rsidR="002653E8" w:rsidRDefault="002653E8">
      <w:pPr>
        <w:sectPr w:rsidR="002653E8">
          <w:type w:val="continuous"/>
          <w:pgSz w:w="8640" w:h="12960"/>
          <w:pgMar w:top="0" w:right="0" w:bottom="0" w:left="0" w:header="720" w:footer="720" w:gutter="0"/>
          <w:cols w:num="2" w:space="720" w:equalWidth="0">
            <w:col w:w="4191" w:space="40"/>
            <w:col w:w="4409"/>
          </w:cols>
        </w:sectPr>
      </w:pPr>
    </w:p>
    <w:p w14:paraId="37FDFE6E" w14:textId="77777777" w:rsidR="002653E8" w:rsidRDefault="002653E8">
      <w:pPr>
        <w:pStyle w:val="a3"/>
        <w:spacing w:before="7"/>
        <w:rPr>
          <w:sz w:val="14"/>
        </w:rPr>
      </w:pPr>
    </w:p>
    <w:p w14:paraId="2616895F" w14:textId="77777777" w:rsidR="002653E8" w:rsidRDefault="003115E3">
      <w:pPr>
        <w:pStyle w:val="a4"/>
        <w:numPr>
          <w:ilvl w:val="0"/>
          <w:numId w:val="96"/>
        </w:numPr>
        <w:tabs>
          <w:tab w:val="left" w:pos="1599"/>
        </w:tabs>
        <w:spacing w:before="99" w:line="264" w:lineRule="auto"/>
        <w:ind w:right="1146" w:hanging="1"/>
        <w:jc w:val="both"/>
        <w:rPr>
          <w:sz w:val="20"/>
        </w:rPr>
      </w:pPr>
      <w:r>
        <w:rPr>
          <w:color w:val="231F20"/>
          <w:sz w:val="20"/>
        </w:rPr>
        <w:t>Within 6 hours, by 9:00 pm, the imprisoned comrades must be brought to the Rhine-Main airport in Frankfurt. There, they must be allowed to speak freely amongst themselves and with their lawyers. They must be allowed to broadcast information by radio and television concerning the course of</w:t>
      </w:r>
      <w:r>
        <w:rPr>
          <w:color w:val="231F20"/>
          <w:spacing w:val="41"/>
          <w:sz w:val="20"/>
        </w:rPr>
        <w:t xml:space="preserve"> </w:t>
      </w:r>
      <w:r>
        <w:rPr>
          <w:color w:val="231F20"/>
          <w:sz w:val="20"/>
        </w:rPr>
        <w:t>events.</w:t>
      </w:r>
    </w:p>
    <w:p w14:paraId="49A0B8F5" w14:textId="77777777" w:rsidR="002653E8" w:rsidRDefault="003115E3">
      <w:pPr>
        <w:pStyle w:val="a3"/>
        <w:spacing w:line="264" w:lineRule="auto"/>
        <w:ind w:left="1328" w:right="1145" w:firstLine="210"/>
        <w:jc w:val="both"/>
      </w:pPr>
      <w:r>
        <w:rPr>
          <w:color w:val="231F20"/>
        </w:rPr>
        <w:t>Contact between ourselves and the prisoners must be provided, first by telephone, and later by radio, and must be maintained until their arrival in whatever country agrees to receive them.</w:t>
      </w:r>
    </w:p>
    <w:p w14:paraId="35E478BB" w14:textId="77777777" w:rsidR="002653E8" w:rsidRDefault="003115E3">
      <w:pPr>
        <w:pStyle w:val="a3"/>
        <w:spacing w:line="264" w:lineRule="auto"/>
        <w:ind w:left="1327" w:right="1146" w:firstLine="210"/>
        <w:jc w:val="both"/>
      </w:pPr>
      <w:r>
        <w:rPr>
          <w:color w:val="231F20"/>
          <w:w w:val="105"/>
        </w:rPr>
        <w:t>A Lufthansa Boeing 707, fully fueled, with a 3-man crew, must be held at the ready at the Rhine-Main airport.</w:t>
      </w:r>
    </w:p>
    <w:p w14:paraId="18F85CBA" w14:textId="77777777" w:rsidR="002653E8" w:rsidRDefault="003115E3">
      <w:pPr>
        <w:pStyle w:val="a3"/>
        <w:spacing w:line="264" w:lineRule="auto"/>
        <w:ind w:left="1327" w:right="1146" w:firstLine="209"/>
        <w:jc w:val="both"/>
      </w:pPr>
      <w:r>
        <w:rPr>
          <w:color w:val="231F20"/>
        </w:rPr>
        <w:t>Within 10 hours, by 1:00 am, the prisoners must be flown out of the FRG. They must be accompanied only by Backlund, the Kingdom of</w:t>
      </w:r>
    </w:p>
    <w:p w14:paraId="0B0A074B" w14:textId="77777777" w:rsidR="002653E8" w:rsidRDefault="002653E8">
      <w:pPr>
        <w:spacing w:line="264" w:lineRule="auto"/>
        <w:jc w:val="both"/>
        <w:sectPr w:rsidR="002653E8">
          <w:type w:val="continuous"/>
          <w:pgSz w:w="8640" w:h="12960"/>
          <w:pgMar w:top="0" w:right="0" w:bottom="0" w:left="0" w:header="720" w:footer="720" w:gutter="0"/>
          <w:cols w:space="720"/>
        </w:sectPr>
      </w:pPr>
    </w:p>
    <w:p w14:paraId="1AC672CF" w14:textId="77777777" w:rsidR="002653E8" w:rsidRDefault="003115E3">
      <w:pPr>
        <w:pStyle w:val="a3"/>
        <w:spacing w:before="86" w:line="264" w:lineRule="auto"/>
        <w:ind w:left="1147" w:right="1327"/>
        <w:jc w:val="both"/>
      </w:pPr>
      <w:r>
        <w:rPr>
          <w:color w:val="231F20"/>
        </w:rPr>
        <w:lastRenderedPageBreak/>
        <w:t>Sweden’s Ambassador in the FRG, and one of their lawyers. We will tell you the destination once the flight is underway.</w:t>
      </w:r>
    </w:p>
    <w:p w14:paraId="4A2F2945" w14:textId="77777777" w:rsidR="002653E8" w:rsidRDefault="003115E3">
      <w:pPr>
        <w:pStyle w:val="a3"/>
        <w:spacing w:line="264" w:lineRule="auto"/>
        <w:ind w:left="1147" w:right="1321" w:firstLine="210"/>
        <w:jc w:val="both"/>
      </w:pPr>
      <w:r>
        <w:rPr>
          <w:color w:val="231F20"/>
        </w:rPr>
        <w:t>The federal government must give each of the prisoners 20,000 dollars.</w:t>
      </w:r>
    </w:p>
    <w:p w14:paraId="0E4F0D24" w14:textId="77777777" w:rsidR="002653E8" w:rsidRDefault="002653E8">
      <w:pPr>
        <w:pStyle w:val="a3"/>
        <w:spacing w:before="6"/>
        <w:rPr>
          <w:sz w:val="21"/>
        </w:rPr>
      </w:pPr>
    </w:p>
    <w:p w14:paraId="09B7E616" w14:textId="77777777" w:rsidR="002653E8" w:rsidRDefault="003115E3">
      <w:pPr>
        <w:pStyle w:val="a4"/>
        <w:numPr>
          <w:ilvl w:val="0"/>
          <w:numId w:val="96"/>
        </w:numPr>
        <w:tabs>
          <w:tab w:val="left" w:pos="1402"/>
        </w:tabs>
        <w:spacing w:before="1" w:line="264" w:lineRule="auto"/>
        <w:ind w:left="1147" w:right="1327" w:firstLine="0"/>
        <w:jc w:val="both"/>
        <w:rPr>
          <w:sz w:val="20"/>
        </w:rPr>
      </w:pPr>
      <w:r>
        <w:rPr>
          <w:color w:val="231F20"/>
          <w:sz w:val="20"/>
        </w:rPr>
        <w:t>Our statement and statements from the prisoners or their lawyers must be immediately distributed to the international press agencies and broadcast unedited over radio and television in</w:t>
      </w:r>
      <w:r>
        <w:rPr>
          <w:color w:val="231F20"/>
          <w:spacing w:val="8"/>
          <w:sz w:val="20"/>
        </w:rPr>
        <w:t xml:space="preserve"> </w:t>
      </w:r>
      <w:r>
        <w:rPr>
          <w:color w:val="231F20"/>
          <w:sz w:val="20"/>
        </w:rPr>
        <w:t>the FRG.</w:t>
      </w:r>
    </w:p>
    <w:p w14:paraId="6F02A2D2" w14:textId="77777777" w:rsidR="002653E8" w:rsidRDefault="003115E3">
      <w:pPr>
        <w:pStyle w:val="a3"/>
        <w:spacing w:line="264" w:lineRule="auto"/>
        <w:ind w:left="1148" w:right="1325" w:firstLine="210"/>
        <w:jc w:val="both"/>
      </w:pPr>
      <w:r>
        <w:rPr>
          <w:color w:val="231F20"/>
        </w:rPr>
        <w:t>Throughout the entire process, the government must announce its decisions through the mass media. The departure of the comrades must be broadcast live by television in the FRG and Sweden.</w:t>
      </w:r>
    </w:p>
    <w:p w14:paraId="532D4168" w14:textId="77777777" w:rsidR="002653E8" w:rsidRDefault="002653E8">
      <w:pPr>
        <w:pStyle w:val="a3"/>
        <w:spacing w:before="4"/>
        <w:rPr>
          <w:sz w:val="21"/>
        </w:rPr>
      </w:pPr>
    </w:p>
    <w:p w14:paraId="0A331B03" w14:textId="77777777" w:rsidR="002653E8" w:rsidRDefault="003115E3">
      <w:pPr>
        <w:pStyle w:val="a4"/>
        <w:numPr>
          <w:ilvl w:val="0"/>
          <w:numId w:val="96"/>
        </w:numPr>
        <w:tabs>
          <w:tab w:val="left" w:pos="1389"/>
        </w:tabs>
        <w:spacing w:before="0" w:line="264" w:lineRule="auto"/>
        <w:ind w:left="1147" w:right="1325" w:firstLine="1"/>
        <w:jc w:val="both"/>
        <w:rPr>
          <w:sz w:val="20"/>
        </w:rPr>
      </w:pPr>
      <w:r>
        <w:rPr>
          <w:color w:val="231F20"/>
          <w:w w:val="105"/>
          <w:sz w:val="20"/>
        </w:rPr>
        <w:t xml:space="preserve">Our demands are not negotiable, nor will we extend the period of time in which they are to be fulfilled. </w:t>
      </w:r>
      <w:r>
        <w:rPr>
          <w:color w:val="231F20"/>
          <w:spacing w:val="1"/>
          <w:w w:val="105"/>
          <w:sz w:val="20"/>
        </w:rPr>
        <w:t xml:space="preserve">If </w:t>
      </w:r>
      <w:r>
        <w:rPr>
          <w:color w:val="231F20"/>
          <w:w w:val="105"/>
          <w:sz w:val="20"/>
        </w:rPr>
        <w:t xml:space="preserve">the Federal Republic tries to delay the freeing of the prisoners, we will shoot one official from the </w:t>
      </w:r>
      <w:r>
        <w:rPr>
          <w:color w:val="231F20"/>
          <w:spacing w:val="-3"/>
          <w:w w:val="105"/>
          <w:sz w:val="20"/>
        </w:rPr>
        <w:t xml:space="preserve">FRG’s </w:t>
      </w:r>
      <w:r>
        <w:rPr>
          <w:color w:val="231F20"/>
          <w:w w:val="105"/>
          <w:sz w:val="20"/>
        </w:rPr>
        <w:t>foreign office for each hour that the time limit of the 1st or 2nd ultimatum is exceeded. Any attempt to storm the embassy will result in</w:t>
      </w:r>
      <w:r>
        <w:rPr>
          <w:color w:val="231F20"/>
          <w:spacing w:val="-5"/>
          <w:w w:val="105"/>
          <w:sz w:val="20"/>
        </w:rPr>
        <w:t xml:space="preserve"> </w:t>
      </w:r>
      <w:r>
        <w:rPr>
          <w:color w:val="231F20"/>
          <w:w w:val="105"/>
          <w:sz w:val="20"/>
        </w:rPr>
        <w:t>the</w:t>
      </w:r>
      <w:r>
        <w:rPr>
          <w:color w:val="231F20"/>
          <w:spacing w:val="-5"/>
          <w:w w:val="105"/>
          <w:sz w:val="20"/>
        </w:rPr>
        <w:t xml:space="preserve"> </w:t>
      </w:r>
      <w:r>
        <w:rPr>
          <w:color w:val="231F20"/>
          <w:w w:val="105"/>
          <w:sz w:val="20"/>
        </w:rPr>
        <w:t>death</w:t>
      </w:r>
      <w:r>
        <w:rPr>
          <w:color w:val="231F20"/>
          <w:spacing w:val="-5"/>
          <w:w w:val="105"/>
          <w:sz w:val="20"/>
        </w:rPr>
        <w:t xml:space="preserve"> </w:t>
      </w:r>
      <w:r>
        <w:rPr>
          <w:color w:val="231F20"/>
          <w:w w:val="105"/>
          <w:sz w:val="20"/>
        </w:rPr>
        <w:t>of</w:t>
      </w:r>
      <w:r>
        <w:rPr>
          <w:color w:val="231F20"/>
          <w:spacing w:val="-5"/>
          <w:w w:val="105"/>
          <w:sz w:val="20"/>
        </w:rPr>
        <w:t xml:space="preserve"> </w:t>
      </w:r>
      <w:r>
        <w:rPr>
          <w:color w:val="231F20"/>
          <w:w w:val="105"/>
          <w:sz w:val="20"/>
        </w:rPr>
        <w:t>everyone</w:t>
      </w:r>
      <w:r>
        <w:rPr>
          <w:color w:val="231F20"/>
          <w:spacing w:val="-5"/>
          <w:w w:val="105"/>
          <w:sz w:val="20"/>
        </w:rPr>
        <w:t xml:space="preserve"> </w:t>
      </w:r>
      <w:r>
        <w:rPr>
          <w:color w:val="231F20"/>
          <w:w w:val="105"/>
          <w:sz w:val="20"/>
        </w:rPr>
        <w:t>in</w:t>
      </w:r>
      <w:r>
        <w:rPr>
          <w:color w:val="231F20"/>
          <w:spacing w:val="-5"/>
          <w:w w:val="105"/>
          <w:sz w:val="20"/>
        </w:rPr>
        <w:t xml:space="preserve"> </w:t>
      </w:r>
      <w:r>
        <w:rPr>
          <w:color w:val="231F20"/>
          <w:w w:val="105"/>
          <w:sz w:val="20"/>
        </w:rPr>
        <w:t>the</w:t>
      </w:r>
      <w:r>
        <w:rPr>
          <w:color w:val="231F20"/>
          <w:spacing w:val="-5"/>
          <w:w w:val="105"/>
          <w:sz w:val="20"/>
        </w:rPr>
        <w:t xml:space="preserve"> </w:t>
      </w:r>
      <w:r>
        <w:rPr>
          <w:color w:val="231F20"/>
          <w:w w:val="105"/>
          <w:sz w:val="20"/>
        </w:rPr>
        <w:t>building.</w:t>
      </w:r>
      <w:r>
        <w:rPr>
          <w:color w:val="231F20"/>
          <w:spacing w:val="-5"/>
          <w:w w:val="105"/>
          <w:sz w:val="20"/>
        </w:rPr>
        <w:t xml:space="preserve"> </w:t>
      </w:r>
      <w:r>
        <w:rPr>
          <w:color w:val="231F20"/>
          <w:spacing w:val="1"/>
          <w:w w:val="105"/>
          <w:sz w:val="20"/>
        </w:rPr>
        <w:t>In</w:t>
      </w:r>
      <w:r>
        <w:rPr>
          <w:color w:val="231F20"/>
          <w:spacing w:val="-5"/>
          <w:w w:val="105"/>
          <w:sz w:val="20"/>
        </w:rPr>
        <w:t xml:space="preserve"> </w:t>
      </w:r>
      <w:r>
        <w:rPr>
          <w:color w:val="231F20"/>
          <w:w w:val="105"/>
          <w:sz w:val="20"/>
        </w:rPr>
        <w:t>the</w:t>
      </w:r>
      <w:r>
        <w:rPr>
          <w:color w:val="231F20"/>
          <w:spacing w:val="-5"/>
          <w:w w:val="105"/>
          <w:sz w:val="20"/>
        </w:rPr>
        <w:t xml:space="preserve"> </w:t>
      </w:r>
      <w:r>
        <w:rPr>
          <w:color w:val="231F20"/>
          <w:w w:val="105"/>
          <w:sz w:val="20"/>
        </w:rPr>
        <w:t>case</w:t>
      </w:r>
      <w:r>
        <w:rPr>
          <w:color w:val="231F20"/>
          <w:spacing w:val="-5"/>
          <w:w w:val="105"/>
          <w:sz w:val="20"/>
        </w:rPr>
        <w:t xml:space="preserve"> </w:t>
      </w:r>
      <w:r>
        <w:rPr>
          <w:color w:val="231F20"/>
          <w:w w:val="105"/>
          <w:sz w:val="20"/>
        </w:rPr>
        <w:t>of</w:t>
      </w:r>
      <w:r>
        <w:rPr>
          <w:color w:val="231F20"/>
          <w:spacing w:val="-5"/>
          <w:w w:val="105"/>
          <w:sz w:val="20"/>
        </w:rPr>
        <w:t xml:space="preserve"> </w:t>
      </w:r>
      <w:r>
        <w:rPr>
          <w:color w:val="231F20"/>
          <w:w w:val="105"/>
          <w:sz w:val="20"/>
        </w:rPr>
        <w:t>an</w:t>
      </w:r>
      <w:r>
        <w:rPr>
          <w:color w:val="231F20"/>
          <w:spacing w:val="-5"/>
          <w:w w:val="105"/>
          <w:sz w:val="20"/>
        </w:rPr>
        <w:t xml:space="preserve"> </w:t>
      </w:r>
      <w:r>
        <w:rPr>
          <w:color w:val="231F20"/>
          <w:w w:val="105"/>
          <w:sz w:val="20"/>
        </w:rPr>
        <w:t>attack,</w:t>
      </w:r>
      <w:r>
        <w:rPr>
          <w:color w:val="231F20"/>
          <w:spacing w:val="-4"/>
          <w:w w:val="105"/>
          <w:sz w:val="20"/>
        </w:rPr>
        <w:t xml:space="preserve"> </w:t>
      </w:r>
      <w:r>
        <w:rPr>
          <w:color w:val="231F20"/>
          <w:spacing w:val="-9"/>
          <w:w w:val="105"/>
          <w:sz w:val="20"/>
        </w:rPr>
        <w:t>15</w:t>
      </w:r>
      <w:r>
        <w:rPr>
          <w:color w:val="231F20"/>
          <w:spacing w:val="-5"/>
          <w:w w:val="105"/>
          <w:sz w:val="20"/>
        </w:rPr>
        <w:t xml:space="preserve"> </w:t>
      </w:r>
      <w:r>
        <w:rPr>
          <w:color w:val="231F20"/>
          <w:w w:val="105"/>
          <w:sz w:val="20"/>
        </w:rPr>
        <w:t xml:space="preserve">kg of </w:t>
      </w:r>
      <w:r>
        <w:rPr>
          <w:color w:val="231F20"/>
          <w:spacing w:val="3"/>
          <w:w w:val="105"/>
          <w:sz w:val="20"/>
        </w:rPr>
        <w:t xml:space="preserve">tnt </w:t>
      </w:r>
      <w:r>
        <w:rPr>
          <w:color w:val="231F20"/>
          <w:w w:val="105"/>
          <w:sz w:val="20"/>
        </w:rPr>
        <w:t>will detonate in the embassy</w:t>
      </w:r>
      <w:r>
        <w:rPr>
          <w:color w:val="231F20"/>
          <w:spacing w:val="38"/>
          <w:w w:val="105"/>
          <w:sz w:val="20"/>
        </w:rPr>
        <w:t xml:space="preserve"> </w:t>
      </w:r>
      <w:r>
        <w:rPr>
          <w:color w:val="231F20"/>
          <w:w w:val="105"/>
          <w:sz w:val="20"/>
        </w:rPr>
        <w:t>enclosure.</w:t>
      </w:r>
    </w:p>
    <w:p w14:paraId="659FE89A" w14:textId="77777777" w:rsidR="002653E8" w:rsidRDefault="003115E3">
      <w:pPr>
        <w:pStyle w:val="a3"/>
        <w:spacing w:line="264" w:lineRule="auto"/>
        <w:ind w:left="1147" w:right="1327" w:firstLine="210"/>
        <w:jc w:val="both"/>
      </w:pPr>
      <w:r>
        <w:rPr>
          <w:color w:val="231F20"/>
        </w:rPr>
        <w:t>After they land, the freed comrades will confirm by radio that they have been granted permission to stay. We will then free some of the embassy employees and announce our means of departure.</w:t>
      </w:r>
    </w:p>
    <w:p w14:paraId="42AB43B9" w14:textId="77777777" w:rsidR="002653E8" w:rsidRDefault="002653E8">
      <w:pPr>
        <w:pStyle w:val="a3"/>
        <w:spacing w:before="11"/>
      </w:pPr>
    </w:p>
    <w:p w14:paraId="3F51D9A3" w14:textId="77777777" w:rsidR="002653E8" w:rsidRDefault="003115E3">
      <w:pPr>
        <w:pStyle w:val="a3"/>
        <w:spacing w:line="264" w:lineRule="auto"/>
        <w:ind w:left="1147" w:right="1327"/>
        <w:jc w:val="both"/>
      </w:pPr>
      <w:r>
        <w:rPr>
          <w:color w:val="231F20"/>
        </w:rPr>
        <w:t>We will be human beings—freedom through armed anti-imperialist struggle.</w:t>
      </w:r>
    </w:p>
    <w:p w14:paraId="42171C5B" w14:textId="77777777" w:rsidR="002653E8" w:rsidRDefault="003115E3">
      <w:pPr>
        <w:pStyle w:val="a3"/>
        <w:spacing w:line="264" w:lineRule="auto"/>
        <w:ind w:left="1147" w:right="1326" w:firstLine="209"/>
        <w:jc w:val="both"/>
      </w:pPr>
      <w:r>
        <w:rPr>
          <w:color w:val="231F20"/>
        </w:rPr>
        <w:t>Responsibility for the shooting of Military Attaché Andreas von Mirbach lies with the police, who, despite repeated warnings, failed to vacate the embassy building.</w:t>
      </w:r>
    </w:p>
    <w:p w14:paraId="0BA7963E" w14:textId="77777777" w:rsidR="002653E8" w:rsidRDefault="003115E3">
      <w:pPr>
        <w:pStyle w:val="a3"/>
        <w:spacing w:before="122"/>
        <w:ind w:left="1212" w:right="1326"/>
        <w:jc w:val="right"/>
      </w:pPr>
      <w:r>
        <w:rPr>
          <w:color w:val="231F20"/>
          <w:w w:val="105"/>
        </w:rPr>
        <w:t>Holger Meins Commando</w:t>
      </w:r>
    </w:p>
    <w:p w14:paraId="373B916E" w14:textId="77777777" w:rsidR="002653E8" w:rsidRDefault="003115E3">
      <w:pPr>
        <w:pStyle w:val="a3"/>
        <w:spacing w:before="22"/>
        <w:ind w:left="1212" w:right="1325"/>
        <w:jc w:val="right"/>
      </w:pPr>
      <w:r>
        <w:rPr>
          <w:color w:val="231F20"/>
          <w:w w:val="105"/>
        </w:rPr>
        <w:t>April 24, 1975</w:t>
      </w:r>
    </w:p>
    <w:p w14:paraId="0346F8B0" w14:textId="77777777" w:rsidR="002653E8" w:rsidRDefault="002653E8">
      <w:pPr>
        <w:jc w:val="right"/>
        <w:sectPr w:rsidR="002653E8">
          <w:pgSz w:w="8640" w:h="12960"/>
          <w:pgMar w:top="1060" w:right="0" w:bottom="1040" w:left="0" w:header="0" w:footer="850" w:gutter="0"/>
          <w:cols w:space="720"/>
        </w:sectPr>
      </w:pPr>
    </w:p>
    <w:p w14:paraId="54BF359A" w14:textId="77777777" w:rsidR="002653E8" w:rsidRDefault="003115E3">
      <w:pPr>
        <w:pStyle w:val="4"/>
        <w:spacing w:line="273" w:lineRule="auto"/>
        <w:ind w:left="1863" w:right="1729" w:firstLine="1233"/>
      </w:pPr>
      <w:bookmarkStart w:id="155" w:name="Defense_Attorney_Siegfried_Haag_Goes_Und"/>
      <w:bookmarkStart w:id="156" w:name="_bookmark48"/>
      <w:bookmarkEnd w:id="155"/>
      <w:bookmarkEnd w:id="156"/>
      <w:r>
        <w:rPr>
          <w:color w:val="231F20"/>
          <w:spacing w:val="-3"/>
        </w:rPr>
        <w:lastRenderedPageBreak/>
        <w:t xml:space="preserve">Defense  </w:t>
      </w:r>
      <w:r>
        <w:rPr>
          <w:color w:val="231F20"/>
        </w:rPr>
        <w:t>Attorney Siegfried Haag Goes</w:t>
      </w:r>
      <w:r>
        <w:rPr>
          <w:color w:val="231F20"/>
          <w:spacing w:val="16"/>
        </w:rPr>
        <w:t xml:space="preserve"> </w:t>
      </w:r>
      <w:r>
        <w:rPr>
          <w:color w:val="231F20"/>
        </w:rPr>
        <w:t>Underground</w:t>
      </w:r>
    </w:p>
    <w:p w14:paraId="46784198" w14:textId="77777777" w:rsidR="002653E8" w:rsidRDefault="002653E8">
      <w:pPr>
        <w:pStyle w:val="a3"/>
        <w:spacing w:before="2"/>
        <w:rPr>
          <w:rFonts w:ascii="Bookman Old Style"/>
          <w:sz w:val="27"/>
        </w:rPr>
      </w:pPr>
    </w:p>
    <w:p w14:paraId="0E793D3D" w14:textId="50D6E08D" w:rsidR="002653E8" w:rsidRDefault="003115E3">
      <w:pPr>
        <w:pStyle w:val="a3"/>
        <w:spacing w:line="264" w:lineRule="auto"/>
        <w:ind w:left="1327" w:right="1146"/>
        <w:jc w:val="both"/>
      </w:pPr>
      <w:r>
        <w:rPr>
          <w:color w:val="231F20"/>
        </w:rPr>
        <w:t>Attorney General Buback and the state security  police  are  attempt ing to have me imprisoned on the basis of a series of totally fabricated allegations.</w:t>
      </w:r>
    </w:p>
    <w:p w14:paraId="5C2EF88B" w14:textId="77777777" w:rsidR="002653E8" w:rsidRDefault="003115E3">
      <w:pPr>
        <w:pStyle w:val="a3"/>
        <w:spacing w:line="264" w:lineRule="auto"/>
        <w:ind w:left="1327" w:right="1146" w:firstLine="210"/>
        <w:jc w:val="both"/>
      </w:pPr>
      <w:r>
        <w:rPr>
          <w:color w:val="231F20"/>
        </w:rPr>
        <w:t>During the search of my home and my offices, with the participation of Federal Prosecutor Zeis, who was also armed, state security police seized a large number of files concerning my clients’ defense, notes from discussions regarding the preparation of their defense, as well as correspondence. At the same time, they seized my personal notes for the impending trial against Andreas Baader, Gudrun Ensslin, Ulrike Meinhof, and Jan-Carl</w:t>
      </w:r>
      <w:r>
        <w:rPr>
          <w:color w:val="231F20"/>
          <w:spacing w:val="23"/>
        </w:rPr>
        <w:t xml:space="preserve"> </w:t>
      </w:r>
      <w:r>
        <w:rPr>
          <w:color w:val="231F20"/>
        </w:rPr>
        <w:t>Raspe.</w:t>
      </w:r>
    </w:p>
    <w:p w14:paraId="1101CCDB" w14:textId="77777777" w:rsidR="002653E8" w:rsidRDefault="003115E3">
      <w:pPr>
        <w:pStyle w:val="a3"/>
        <w:spacing w:line="264" w:lineRule="auto"/>
        <w:ind w:left="1327" w:right="1146" w:firstLine="210"/>
        <w:jc w:val="both"/>
      </w:pPr>
      <w:r>
        <w:rPr>
          <w:color w:val="231F20"/>
        </w:rPr>
        <w:t>Given the gravity of what has happened here, the intentional destruction of the last place where the accused prisoner might still place some trust—the trust a defendant places in his lawyer—this can be qualified as an openly fascist act of violence.</w:t>
      </w:r>
    </w:p>
    <w:p w14:paraId="0D1CB7AB" w14:textId="77777777" w:rsidR="002653E8" w:rsidRDefault="003115E3">
      <w:pPr>
        <w:pStyle w:val="a3"/>
        <w:spacing w:line="264" w:lineRule="auto"/>
        <w:ind w:left="1327" w:right="1145" w:firstLine="210"/>
        <w:jc w:val="both"/>
      </w:pPr>
      <w:r>
        <w:rPr>
          <w:color w:val="231F20"/>
        </w:rPr>
        <w:t xml:space="preserve">This is a state where the extermination of revolutionaries is part of the program, with legislation and the justice system mobilized towards this end, a state that tortures political prisoners by subjecting them to systematic isolation for extended periods and to brainwashing in special units created for this purpose within the prisons. This is a state where functionaries have executed Holger Meins and Siegfried Hausner. This  is a state that slanders its lawyers using the entire arsenal of psychological warfare—using the media to conduct its malicious campaign—that excludes them, treats them like criminals, and finally imprisons them.  </w:t>
      </w:r>
      <w:r>
        <w:rPr>
          <w:color w:val="231F20"/>
          <w:spacing w:val="1"/>
        </w:rPr>
        <w:t xml:space="preserve">In </w:t>
      </w:r>
      <w:r>
        <w:rPr>
          <w:color w:val="231F20"/>
        </w:rPr>
        <w:t>a state like this, I will not allow my freedom to be threatened any longer,</w:t>
      </w:r>
      <w:r>
        <w:rPr>
          <w:color w:val="231F20"/>
          <w:spacing w:val="8"/>
        </w:rPr>
        <w:t xml:space="preserve"> </w:t>
      </w:r>
      <w:r>
        <w:rPr>
          <w:color w:val="231F20"/>
        </w:rPr>
        <w:t>nor</w:t>
      </w:r>
      <w:r>
        <w:rPr>
          <w:color w:val="231F20"/>
          <w:spacing w:val="8"/>
        </w:rPr>
        <w:t xml:space="preserve"> </w:t>
      </w:r>
      <w:r>
        <w:rPr>
          <w:color w:val="231F20"/>
        </w:rPr>
        <w:t>will</w:t>
      </w:r>
      <w:r>
        <w:rPr>
          <w:color w:val="231F20"/>
          <w:spacing w:val="8"/>
        </w:rPr>
        <w:t xml:space="preserve"> </w:t>
      </w:r>
      <w:r>
        <w:rPr>
          <w:color w:val="231F20"/>
        </w:rPr>
        <w:t>I</w:t>
      </w:r>
      <w:r>
        <w:rPr>
          <w:color w:val="231F20"/>
          <w:spacing w:val="8"/>
        </w:rPr>
        <w:t xml:space="preserve"> </w:t>
      </w:r>
      <w:r>
        <w:rPr>
          <w:color w:val="231F20"/>
        </w:rPr>
        <w:t>be</w:t>
      </w:r>
      <w:r>
        <w:rPr>
          <w:color w:val="231F20"/>
          <w:spacing w:val="8"/>
        </w:rPr>
        <w:t xml:space="preserve"> </w:t>
      </w:r>
      <w:r>
        <w:rPr>
          <w:color w:val="231F20"/>
        </w:rPr>
        <w:t>exercising</w:t>
      </w:r>
      <w:r>
        <w:rPr>
          <w:color w:val="231F20"/>
          <w:spacing w:val="8"/>
        </w:rPr>
        <w:t xml:space="preserve"> </w:t>
      </w:r>
      <w:r>
        <w:rPr>
          <w:color w:val="231F20"/>
        </w:rPr>
        <w:t>my</w:t>
      </w:r>
      <w:r>
        <w:rPr>
          <w:color w:val="231F20"/>
          <w:spacing w:val="8"/>
        </w:rPr>
        <w:t xml:space="preserve"> </w:t>
      </w:r>
      <w:r>
        <w:rPr>
          <w:color w:val="231F20"/>
        </w:rPr>
        <w:t>profession</w:t>
      </w:r>
      <w:r>
        <w:rPr>
          <w:color w:val="231F20"/>
          <w:spacing w:val="8"/>
        </w:rPr>
        <w:t xml:space="preserve"> </w:t>
      </w:r>
      <w:r>
        <w:rPr>
          <w:color w:val="231F20"/>
        </w:rPr>
        <w:t>as</w:t>
      </w:r>
      <w:r>
        <w:rPr>
          <w:color w:val="231F20"/>
          <w:spacing w:val="8"/>
        </w:rPr>
        <w:t xml:space="preserve"> </w:t>
      </w:r>
      <w:r>
        <w:rPr>
          <w:color w:val="231F20"/>
        </w:rPr>
        <w:t>a</w:t>
      </w:r>
      <w:r>
        <w:rPr>
          <w:color w:val="231F20"/>
          <w:spacing w:val="8"/>
        </w:rPr>
        <w:t xml:space="preserve"> </w:t>
      </w:r>
      <w:r>
        <w:rPr>
          <w:color w:val="231F20"/>
        </w:rPr>
        <w:t>lawyer</w:t>
      </w:r>
      <w:r>
        <w:rPr>
          <w:color w:val="231F20"/>
          <w:spacing w:val="8"/>
        </w:rPr>
        <w:t xml:space="preserve"> </w:t>
      </w:r>
      <w:r>
        <w:rPr>
          <w:color w:val="231F20"/>
        </w:rPr>
        <w:t>any</w:t>
      </w:r>
      <w:r>
        <w:rPr>
          <w:color w:val="231F20"/>
          <w:spacing w:val="8"/>
        </w:rPr>
        <w:t xml:space="preserve"> </w:t>
      </w:r>
      <w:r>
        <w:rPr>
          <w:color w:val="231F20"/>
        </w:rPr>
        <w:t>more.</w:t>
      </w:r>
    </w:p>
    <w:p w14:paraId="21BEC0E3" w14:textId="77777777" w:rsidR="002653E8" w:rsidRDefault="003115E3">
      <w:pPr>
        <w:pStyle w:val="a3"/>
        <w:spacing w:line="264" w:lineRule="auto"/>
        <w:ind w:left="1328" w:right="1145" w:firstLine="210"/>
        <w:jc w:val="both"/>
      </w:pPr>
      <w:r>
        <w:rPr>
          <w:color w:val="231F20"/>
        </w:rPr>
        <w:t>It is time for those of us who are struggling against imperialism to move on to more important tasks.</w:t>
      </w:r>
    </w:p>
    <w:p w14:paraId="2DFA8CEC" w14:textId="77777777" w:rsidR="002653E8" w:rsidRDefault="003115E3">
      <w:pPr>
        <w:pStyle w:val="a3"/>
        <w:spacing w:before="97" w:line="261" w:lineRule="auto"/>
        <w:ind w:left="6245" w:right="1144" w:hanging="86"/>
        <w:jc w:val="right"/>
      </w:pPr>
      <w:r>
        <w:rPr>
          <w:color w:val="231F20"/>
          <w:w w:val="105"/>
        </w:rPr>
        <w:t>Siegfried Haag</w:t>
      </w:r>
      <w:r>
        <w:rPr>
          <w:color w:val="231F20"/>
          <w:w w:val="101"/>
        </w:rPr>
        <w:t xml:space="preserve"> </w:t>
      </w:r>
      <w:r>
        <w:rPr>
          <w:color w:val="231F20"/>
          <w:w w:val="105"/>
        </w:rPr>
        <w:t>May 11, 1975</w:t>
      </w:r>
    </w:p>
    <w:p w14:paraId="7FFD0602" w14:textId="77777777" w:rsidR="002653E8" w:rsidRDefault="002653E8">
      <w:pPr>
        <w:spacing w:line="261" w:lineRule="auto"/>
        <w:jc w:val="right"/>
        <w:sectPr w:rsidR="002653E8">
          <w:footerReference w:type="even" r:id="rId288"/>
          <w:pgSz w:w="8640" w:h="12960"/>
          <w:pgMar w:top="1220" w:right="0" w:bottom="1040" w:left="0" w:header="0" w:footer="850" w:gutter="0"/>
          <w:cols w:space="720"/>
        </w:sectPr>
      </w:pPr>
    </w:p>
    <w:p w14:paraId="28DC777C" w14:textId="77777777" w:rsidR="002653E8" w:rsidRDefault="002653E8">
      <w:pPr>
        <w:pStyle w:val="a3"/>
      </w:pPr>
    </w:p>
    <w:p w14:paraId="2CE09428" w14:textId="77777777" w:rsidR="002653E8" w:rsidRDefault="002653E8">
      <w:pPr>
        <w:pStyle w:val="a3"/>
      </w:pPr>
    </w:p>
    <w:p w14:paraId="3EA0A0A4" w14:textId="77777777" w:rsidR="002653E8" w:rsidRDefault="002653E8">
      <w:pPr>
        <w:pStyle w:val="a3"/>
      </w:pPr>
    </w:p>
    <w:p w14:paraId="333F92D0" w14:textId="77777777" w:rsidR="002653E8" w:rsidRDefault="002653E8">
      <w:pPr>
        <w:pStyle w:val="a3"/>
      </w:pPr>
    </w:p>
    <w:p w14:paraId="28F00A3C" w14:textId="77777777" w:rsidR="002653E8" w:rsidRDefault="002653E8">
      <w:pPr>
        <w:pStyle w:val="a3"/>
      </w:pPr>
    </w:p>
    <w:p w14:paraId="1BC55D04" w14:textId="77777777" w:rsidR="002653E8" w:rsidRDefault="002653E8">
      <w:pPr>
        <w:pStyle w:val="a3"/>
      </w:pPr>
    </w:p>
    <w:p w14:paraId="7D8E2549" w14:textId="77777777" w:rsidR="002653E8" w:rsidRDefault="002653E8">
      <w:pPr>
        <w:pStyle w:val="a3"/>
      </w:pPr>
    </w:p>
    <w:p w14:paraId="5139629F" w14:textId="77777777" w:rsidR="002653E8" w:rsidRDefault="002653E8">
      <w:pPr>
        <w:pStyle w:val="a3"/>
      </w:pPr>
    </w:p>
    <w:p w14:paraId="21894667" w14:textId="77777777" w:rsidR="002653E8" w:rsidRDefault="002653E8">
      <w:pPr>
        <w:pStyle w:val="a3"/>
      </w:pPr>
    </w:p>
    <w:p w14:paraId="2A5EB2B0" w14:textId="77777777" w:rsidR="002653E8" w:rsidRDefault="002653E8">
      <w:pPr>
        <w:pStyle w:val="a3"/>
      </w:pPr>
    </w:p>
    <w:p w14:paraId="0DF9D88A" w14:textId="77777777" w:rsidR="002653E8" w:rsidRDefault="002653E8">
      <w:pPr>
        <w:pStyle w:val="a3"/>
      </w:pPr>
    </w:p>
    <w:p w14:paraId="44F4EE5D" w14:textId="77777777" w:rsidR="002653E8" w:rsidRDefault="002653E8">
      <w:pPr>
        <w:pStyle w:val="a3"/>
      </w:pPr>
    </w:p>
    <w:p w14:paraId="03694386" w14:textId="77777777" w:rsidR="002653E8" w:rsidRDefault="002653E8">
      <w:pPr>
        <w:pStyle w:val="a3"/>
      </w:pPr>
    </w:p>
    <w:p w14:paraId="78502812" w14:textId="77777777" w:rsidR="002653E8" w:rsidRDefault="002653E8">
      <w:pPr>
        <w:pStyle w:val="a3"/>
      </w:pPr>
    </w:p>
    <w:p w14:paraId="361E23D0" w14:textId="77777777" w:rsidR="002653E8" w:rsidRDefault="002653E8">
      <w:pPr>
        <w:pStyle w:val="a3"/>
      </w:pPr>
    </w:p>
    <w:p w14:paraId="3D50C458" w14:textId="77777777" w:rsidR="002653E8" w:rsidRDefault="002653E8">
      <w:pPr>
        <w:pStyle w:val="a3"/>
      </w:pPr>
    </w:p>
    <w:p w14:paraId="5E893F61" w14:textId="77777777" w:rsidR="002653E8" w:rsidRDefault="002653E8">
      <w:pPr>
        <w:pStyle w:val="a3"/>
      </w:pPr>
    </w:p>
    <w:p w14:paraId="52515D28" w14:textId="77777777" w:rsidR="002653E8" w:rsidRDefault="002653E8">
      <w:pPr>
        <w:pStyle w:val="a3"/>
      </w:pPr>
    </w:p>
    <w:p w14:paraId="166F971C" w14:textId="77777777" w:rsidR="002653E8" w:rsidRDefault="002653E8">
      <w:pPr>
        <w:pStyle w:val="a3"/>
      </w:pPr>
    </w:p>
    <w:p w14:paraId="5204BCE7" w14:textId="77777777" w:rsidR="002653E8" w:rsidRDefault="002653E8">
      <w:pPr>
        <w:pStyle w:val="a3"/>
      </w:pPr>
    </w:p>
    <w:p w14:paraId="1ACFB872" w14:textId="77777777" w:rsidR="002653E8" w:rsidRDefault="002653E8">
      <w:pPr>
        <w:pStyle w:val="a3"/>
      </w:pPr>
    </w:p>
    <w:p w14:paraId="2DE3AEAE" w14:textId="77777777" w:rsidR="002653E8" w:rsidRDefault="002653E8">
      <w:pPr>
        <w:pStyle w:val="a3"/>
      </w:pPr>
    </w:p>
    <w:p w14:paraId="12B104B5" w14:textId="77777777" w:rsidR="002653E8" w:rsidRDefault="002653E8">
      <w:pPr>
        <w:pStyle w:val="a3"/>
      </w:pPr>
    </w:p>
    <w:p w14:paraId="2C0E4FC6" w14:textId="77777777" w:rsidR="002653E8" w:rsidRDefault="002653E8">
      <w:pPr>
        <w:pStyle w:val="a3"/>
      </w:pPr>
    </w:p>
    <w:p w14:paraId="3C17255D" w14:textId="77777777" w:rsidR="002653E8" w:rsidRDefault="002653E8">
      <w:pPr>
        <w:pStyle w:val="a3"/>
      </w:pPr>
    </w:p>
    <w:p w14:paraId="5F0130BB" w14:textId="77777777" w:rsidR="002653E8" w:rsidRDefault="002653E8">
      <w:pPr>
        <w:pStyle w:val="a3"/>
      </w:pPr>
    </w:p>
    <w:p w14:paraId="4BB76EDE" w14:textId="77777777" w:rsidR="002653E8" w:rsidRDefault="002653E8">
      <w:pPr>
        <w:pStyle w:val="a3"/>
      </w:pPr>
    </w:p>
    <w:p w14:paraId="57251AEE" w14:textId="77777777" w:rsidR="002653E8" w:rsidRDefault="002653E8">
      <w:pPr>
        <w:pStyle w:val="a3"/>
      </w:pPr>
    </w:p>
    <w:p w14:paraId="458705F6" w14:textId="77777777" w:rsidR="002653E8" w:rsidRDefault="002653E8">
      <w:pPr>
        <w:pStyle w:val="a3"/>
      </w:pPr>
    </w:p>
    <w:p w14:paraId="67FC7E9D" w14:textId="77777777" w:rsidR="002653E8" w:rsidRDefault="002653E8">
      <w:pPr>
        <w:pStyle w:val="a3"/>
      </w:pPr>
    </w:p>
    <w:p w14:paraId="5C923B7A" w14:textId="77777777" w:rsidR="002653E8" w:rsidRDefault="002653E8">
      <w:pPr>
        <w:pStyle w:val="a3"/>
      </w:pPr>
    </w:p>
    <w:p w14:paraId="7100AD7B" w14:textId="77777777" w:rsidR="002653E8" w:rsidRDefault="002653E8">
      <w:pPr>
        <w:pStyle w:val="a3"/>
      </w:pPr>
    </w:p>
    <w:p w14:paraId="420C32AE" w14:textId="77777777" w:rsidR="002653E8" w:rsidRDefault="002653E8">
      <w:pPr>
        <w:pStyle w:val="a3"/>
      </w:pPr>
    </w:p>
    <w:p w14:paraId="690125BC" w14:textId="77777777" w:rsidR="002653E8" w:rsidRDefault="002653E8">
      <w:pPr>
        <w:pStyle w:val="a3"/>
      </w:pPr>
    </w:p>
    <w:p w14:paraId="6C11860B" w14:textId="77777777" w:rsidR="002653E8" w:rsidRDefault="002653E8">
      <w:pPr>
        <w:pStyle w:val="a3"/>
      </w:pPr>
    </w:p>
    <w:p w14:paraId="775051A6" w14:textId="77777777" w:rsidR="002653E8" w:rsidRDefault="002653E8">
      <w:pPr>
        <w:pStyle w:val="a3"/>
      </w:pPr>
    </w:p>
    <w:p w14:paraId="5F593EAB" w14:textId="77777777" w:rsidR="002653E8" w:rsidRDefault="002653E8">
      <w:pPr>
        <w:pStyle w:val="a3"/>
      </w:pPr>
    </w:p>
    <w:p w14:paraId="7DC61F94" w14:textId="77777777" w:rsidR="002653E8" w:rsidRDefault="002653E8">
      <w:pPr>
        <w:pStyle w:val="a3"/>
      </w:pPr>
    </w:p>
    <w:p w14:paraId="34B65B77" w14:textId="77777777" w:rsidR="002653E8" w:rsidRDefault="002653E8">
      <w:pPr>
        <w:pStyle w:val="a3"/>
      </w:pPr>
    </w:p>
    <w:p w14:paraId="52DFB0E2" w14:textId="77777777" w:rsidR="002653E8" w:rsidRDefault="002653E8">
      <w:pPr>
        <w:pStyle w:val="a3"/>
      </w:pPr>
    </w:p>
    <w:p w14:paraId="6A91A0F8" w14:textId="77777777" w:rsidR="002653E8" w:rsidRDefault="002653E8">
      <w:pPr>
        <w:pStyle w:val="a3"/>
      </w:pPr>
    </w:p>
    <w:p w14:paraId="6FD9463F" w14:textId="77777777" w:rsidR="002653E8" w:rsidRDefault="002653E8">
      <w:pPr>
        <w:pStyle w:val="a3"/>
      </w:pPr>
    </w:p>
    <w:p w14:paraId="7D68DE43" w14:textId="77777777" w:rsidR="002653E8" w:rsidRDefault="002653E8">
      <w:pPr>
        <w:pStyle w:val="a3"/>
      </w:pPr>
    </w:p>
    <w:p w14:paraId="3B23A873" w14:textId="77777777" w:rsidR="002653E8" w:rsidRDefault="002653E8">
      <w:pPr>
        <w:pStyle w:val="a3"/>
      </w:pPr>
    </w:p>
    <w:p w14:paraId="62022435" w14:textId="77777777" w:rsidR="002653E8" w:rsidRDefault="002653E8">
      <w:pPr>
        <w:pStyle w:val="a3"/>
        <w:spacing w:before="3"/>
        <w:rPr>
          <w:sz w:val="23"/>
        </w:rPr>
      </w:pPr>
    </w:p>
    <w:p w14:paraId="0733FCB2" w14:textId="77777777" w:rsidR="002653E8" w:rsidRDefault="003115E3">
      <w:pPr>
        <w:spacing w:before="99"/>
        <w:ind w:left="1147"/>
        <w:rPr>
          <w:sz w:val="18"/>
        </w:rPr>
      </w:pPr>
      <w:r>
        <w:rPr>
          <w:color w:val="231F20"/>
          <w:sz w:val="18"/>
        </w:rPr>
        <w:t xml:space="preserve">342 </w:t>
      </w:r>
    </w:p>
    <w:p w14:paraId="7071DA4E" w14:textId="77777777" w:rsidR="002653E8" w:rsidRDefault="002653E8">
      <w:pPr>
        <w:rPr>
          <w:sz w:val="18"/>
        </w:rPr>
        <w:sectPr w:rsidR="002653E8">
          <w:footerReference w:type="default" r:id="rId289"/>
          <w:pgSz w:w="8640" w:h="12960"/>
          <w:pgMar w:top="1220" w:right="0" w:bottom="280" w:left="0" w:header="0" w:footer="0" w:gutter="0"/>
          <w:cols w:space="720"/>
        </w:sectPr>
      </w:pPr>
    </w:p>
    <w:p w14:paraId="5AD0D187" w14:textId="77777777" w:rsidR="002653E8" w:rsidRDefault="002653E8">
      <w:pPr>
        <w:pStyle w:val="a3"/>
      </w:pPr>
    </w:p>
    <w:p w14:paraId="1803172A" w14:textId="77777777" w:rsidR="002653E8" w:rsidRDefault="002653E8">
      <w:pPr>
        <w:pStyle w:val="a3"/>
      </w:pPr>
    </w:p>
    <w:p w14:paraId="499C680B" w14:textId="77777777" w:rsidR="002653E8" w:rsidRDefault="002653E8">
      <w:pPr>
        <w:pStyle w:val="a3"/>
      </w:pPr>
    </w:p>
    <w:p w14:paraId="10505A45" w14:textId="77777777" w:rsidR="002653E8" w:rsidRDefault="002653E8">
      <w:pPr>
        <w:pStyle w:val="a3"/>
      </w:pPr>
    </w:p>
    <w:p w14:paraId="75A3CE99" w14:textId="77777777" w:rsidR="002653E8" w:rsidRDefault="002653E8">
      <w:pPr>
        <w:pStyle w:val="a3"/>
        <w:spacing w:before="2"/>
        <w:rPr>
          <w:sz w:val="29"/>
        </w:rPr>
      </w:pPr>
    </w:p>
    <w:p w14:paraId="2839B301" w14:textId="77777777" w:rsidR="002653E8" w:rsidRDefault="003115E3">
      <w:pPr>
        <w:pStyle w:val="4"/>
        <w:tabs>
          <w:tab w:val="left" w:pos="7039"/>
          <w:tab w:val="left" w:pos="7491"/>
        </w:tabs>
        <w:spacing w:before="86"/>
        <w:rPr>
          <w:rFonts w:ascii="Lucida Sans"/>
          <w:b/>
        </w:rPr>
      </w:pPr>
      <w:bookmarkStart w:id="157" w:name="9_Shadow_Boxing:_Countering_Psychologica"/>
      <w:bookmarkStart w:id="158" w:name="_bookmark49"/>
      <w:bookmarkStart w:id="159" w:name="_Hlk123756940"/>
      <w:bookmarkEnd w:id="157"/>
      <w:bookmarkEnd w:id="158"/>
      <w:r>
        <w:rPr>
          <w:rFonts w:ascii="Lucida Sans"/>
          <w:b/>
          <w:color w:val="FFFFFF"/>
          <w:w w:val="87"/>
          <w:shd w:val="clear" w:color="auto" w:fill="231F20"/>
        </w:rPr>
        <w:t xml:space="preserve"> </w:t>
      </w:r>
      <w:r>
        <w:rPr>
          <w:rFonts w:ascii="Lucida Sans"/>
          <w:b/>
          <w:color w:val="FFFFFF"/>
          <w:shd w:val="clear" w:color="auto" w:fill="231F20"/>
        </w:rPr>
        <w:tab/>
      </w:r>
      <w:r>
        <w:rPr>
          <w:rFonts w:ascii="Lucida Sans"/>
          <w:b/>
          <w:color w:val="FFFFFF"/>
          <w:w w:val="95"/>
          <w:shd w:val="clear" w:color="auto" w:fill="231F20"/>
        </w:rPr>
        <w:t>9</w:t>
      </w:r>
      <w:r>
        <w:rPr>
          <w:rFonts w:ascii="Lucida Sans"/>
          <w:b/>
          <w:color w:val="FFFFFF"/>
          <w:shd w:val="clear" w:color="auto" w:fill="231F20"/>
        </w:rPr>
        <w:tab/>
      </w:r>
    </w:p>
    <w:bookmarkEnd w:id="159"/>
    <w:p w14:paraId="4894E4BC" w14:textId="77777777" w:rsidR="002653E8" w:rsidRDefault="002653E8">
      <w:pPr>
        <w:pStyle w:val="a3"/>
        <w:rPr>
          <w:rFonts w:ascii="Lucida Sans"/>
          <w:b/>
          <w:sz w:val="36"/>
        </w:rPr>
      </w:pPr>
    </w:p>
    <w:p w14:paraId="1317E30E" w14:textId="77777777" w:rsidR="002653E8" w:rsidRDefault="002653E8">
      <w:pPr>
        <w:pStyle w:val="a3"/>
        <w:spacing w:before="1"/>
        <w:rPr>
          <w:rFonts w:ascii="Lucida Sans"/>
          <w:b/>
          <w:sz w:val="38"/>
        </w:rPr>
      </w:pPr>
    </w:p>
    <w:p w14:paraId="166E5300" w14:textId="77777777" w:rsidR="002653E8" w:rsidRDefault="003115E3">
      <w:pPr>
        <w:spacing w:line="244" w:lineRule="auto"/>
        <w:ind w:left="1974" w:right="1078" w:firstLine="2889"/>
        <w:rPr>
          <w:rFonts w:ascii="Lucida Sans"/>
          <w:b/>
          <w:sz w:val="36"/>
        </w:rPr>
      </w:pPr>
      <w:r>
        <w:rPr>
          <w:rFonts w:ascii="Lucida Sans"/>
          <w:b/>
          <w:color w:val="231F20"/>
          <w:w w:val="90"/>
          <w:sz w:val="36"/>
        </w:rPr>
        <w:t>shadow Boxing: countering Psychological Warfare</w:t>
      </w:r>
    </w:p>
    <w:p w14:paraId="2172E258" w14:textId="77777777" w:rsidR="002653E8" w:rsidRDefault="002653E8">
      <w:pPr>
        <w:pStyle w:val="a3"/>
        <w:rPr>
          <w:rFonts w:ascii="Lucida Sans"/>
          <w:b/>
        </w:rPr>
      </w:pPr>
    </w:p>
    <w:p w14:paraId="4F621E6A" w14:textId="77777777" w:rsidR="002653E8" w:rsidRDefault="002653E8">
      <w:pPr>
        <w:pStyle w:val="a3"/>
        <w:rPr>
          <w:rFonts w:ascii="Lucida Sans"/>
          <w:b/>
        </w:rPr>
      </w:pPr>
    </w:p>
    <w:p w14:paraId="02359730" w14:textId="77777777" w:rsidR="002653E8" w:rsidRDefault="002653E8">
      <w:pPr>
        <w:pStyle w:val="a3"/>
        <w:spacing w:before="5"/>
        <w:rPr>
          <w:rFonts w:ascii="Lucida Sans"/>
          <w:b/>
          <w:sz w:val="19"/>
        </w:rPr>
      </w:pPr>
    </w:p>
    <w:p w14:paraId="5CF5B546" w14:textId="77777777" w:rsidR="002653E8" w:rsidRDefault="002653E8">
      <w:pPr>
        <w:rPr>
          <w:rFonts w:ascii="Lucida Sans"/>
          <w:sz w:val="19"/>
        </w:rPr>
        <w:sectPr w:rsidR="002653E8">
          <w:footerReference w:type="even" r:id="rId290"/>
          <w:footerReference w:type="default" r:id="rId291"/>
          <w:pgSz w:w="8640" w:h="12960"/>
          <w:pgMar w:top="1220" w:right="0" w:bottom="1040" w:left="0" w:header="0" w:footer="850" w:gutter="0"/>
          <w:pgNumType w:start="343"/>
          <w:cols w:space="720"/>
        </w:sectPr>
      </w:pPr>
    </w:p>
    <w:p w14:paraId="5938180C" w14:textId="5878BD69" w:rsidR="002653E8" w:rsidRDefault="003115E3">
      <w:pPr>
        <w:pStyle w:val="a3"/>
        <w:spacing w:before="110" w:line="235" w:lineRule="auto"/>
        <w:ind w:left="1328" w:hanging="1"/>
        <w:jc w:val="both"/>
      </w:pPr>
      <w:r>
        <w:rPr>
          <w:rFonts w:ascii="Verdana"/>
          <w:color w:val="231F20"/>
          <w:sz w:val="48"/>
        </w:rPr>
        <w:t>W</w:t>
      </w:r>
      <w:r>
        <w:rPr>
          <w:color w:val="231F20"/>
          <w:w w:val="120"/>
        </w:rPr>
        <w:t>h</w:t>
      </w:r>
      <w:r>
        <w:rPr>
          <w:color w:val="231F20"/>
          <w:w w:val="119"/>
        </w:rPr>
        <w:t>i</w:t>
      </w:r>
      <w:r>
        <w:rPr>
          <w:color w:val="231F20"/>
          <w:w w:val="184"/>
        </w:rPr>
        <w:t>l</w:t>
      </w:r>
      <w:r>
        <w:rPr>
          <w:color w:val="231F20"/>
          <w:w w:val="102"/>
        </w:rPr>
        <w:t>e</w:t>
      </w:r>
      <w:r>
        <w:rPr>
          <w:color w:val="231F20"/>
        </w:rPr>
        <w:t xml:space="preserve">  </w:t>
      </w:r>
      <w:r>
        <w:rPr>
          <w:color w:val="231F20"/>
          <w:w w:val="147"/>
        </w:rPr>
        <w:t>t</w:t>
      </w:r>
      <w:r>
        <w:rPr>
          <w:color w:val="231F20"/>
          <w:w w:val="120"/>
        </w:rPr>
        <w:t>h</w:t>
      </w:r>
      <w:r>
        <w:rPr>
          <w:color w:val="231F20"/>
          <w:w w:val="102"/>
        </w:rPr>
        <w:t>e</w:t>
      </w:r>
      <w:r>
        <w:rPr>
          <w:color w:val="231F20"/>
        </w:rPr>
        <w:t xml:space="preserve">  </w:t>
      </w:r>
      <w:r>
        <w:rPr>
          <w:color w:val="231F20"/>
          <w:w w:val="125"/>
        </w:rPr>
        <w:t>o</w:t>
      </w:r>
      <w:r>
        <w:rPr>
          <w:color w:val="231F20"/>
          <w:w w:val="110"/>
        </w:rPr>
        <w:t>v</w:t>
      </w:r>
      <w:r>
        <w:rPr>
          <w:color w:val="231F20"/>
          <w:w w:val="102"/>
        </w:rPr>
        <w:t>e</w:t>
      </w:r>
      <w:r>
        <w:rPr>
          <w:color w:val="231F20"/>
          <w:w w:val="134"/>
        </w:rPr>
        <w:t>r</w:t>
      </w:r>
      <w:r>
        <w:rPr>
          <w:color w:val="231F20"/>
        </w:rPr>
        <w:t>w</w:t>
      </w:r>
      <w:r>
        <w:rPr>
          <w:color w:val="231F20"/>
          <w:w w:val="120"/>
        </w:rPr>
        <w:t>h</w:t>
      </w:r>
      <w:r>
        <w:rPr>
          <w:color w:val="231F20"/>
          <w:w w:val="102"/>
        </w:rPr>
        <w:t>e</w:t>
      </w:r>
      <w:r>
        <w:rPr>
          <w:color w:val="231F20"/>
          <w:w w:val="184"/>
        </w:rPr>
        <w:t>l</w:t>
      </w:r>
      <w:r>
        <w:rPr>
          <w:color w:val="231F20"/>
          <w:w w:val="93"/>
        </w:rPr>
        <w:t>m</w:t>
      </w:r>
      <w:r>
        <w:rPr>
          <w:color w:val="231F20"/>
          <w:w w:val="119"/>
        </w:rPr>
        <w:t>i</w:t>
      </w:r>
      <w:r>
        <w:rPr>
          <w:color w:val="231F20"/>
          <w:w w:val="109"/>
        </w:rPr>
        <w:t>n</w:t>
      </w:r>
      <w:r>
        <w:rPr>
          <w:color w:val="231F20"/>
          <w:w w:val="123"/>
        </w:rPr>
        <w:t xml:space="preserve">g </w:t>
      </w:r>
      <w:r>
        <w:rPr>
          <w:color w:val="231F20"/>
          <w:w w:val="110"/>
        </w:rPr>
        <w:t xml:space="preserve">majority </w:t>
      </w:r>
      <w:r>
        <w:rPr>
          <w:color w:val="231F20"/>
          <w:w w:val="115"/>
        </w:rPr>
        <w:t xml:space="preserve">of </w:t>
      </w:r>
      <w:r>
        <w:rPr>
          <w:color w:val="231F20"/>
          <w:w w:val="110"/>
        </w:rPr>
        <w:t xml:space="preserve">Germans never approved of the </w:t>
      </w:r>
      <w:r w:rsidR="00C507A5">
        <w:rPr>
          <w:color w:val="231F20"/>
          <w:w w:val="110"/>
        </w:rPr>
        <w:t>red army faction</w:t>
      </w:r>
      <w:r>
        <w:rPr>
          <w:color w:val="231F20"/>
          <w:w w:val="110"/>
        </w:rPr>
        <w:t xml:space="preserve"> or their</w:t>
      </w:r>
    </w:p>
    <w:p w14:paraId="57FF5821" w14:textId="77777777" w:rsidR="002653E8" w:rsidRDefault="003115E3">
      <w:pPr>
        <w:pStyle w:val="a3"/>
        <w:spacing w:before="22" w:line="264" w:lineRule="auto"/>
        <w:ind w:left="1328"/>
        <w:jc w:val="both"/>
      </w:pPr>
      <w:r>
        <w:rPr>
          <w:color w:val="231F20"/>
        </w:rPr>
        <w:t>declared strategy, there was a small but not insignificant base of support and sympathy for the guerilla amongst young people and the radical</w:t>
      </w:r>
      <w:r>
        <w:rPr>
          <w:color w:val="231F20"/>
          <w:spacing w:val="35"/>
        </w:rPr>
        <w:t xml:space="preserve"> </w:t>
      </w:r>
      <w:r>
        <w:rPr>
          <w:color w:val="231F20"/>
        </w:rPr>
        <w:t>left.</w:t>
      </w:r>
    </w:p>
    <w:p w14:paraId="79E4C6AC" w14:textId="77777777" w:rsidR="002653E8" w:rsidRDefault="003115E3">
      <w:pPr>
        <w:pStyle w:val="a3"/>
        <w:spacing w:line="264" w:lineRule="auto"/>
        <w:ind w:left="1328" w:firstLine="210"/>
        <w:jc w:val="both"/>
      </w:pPr>
      <w:r>
        <w:rPr>
          <w:color w:val="231F20"/>
        </w:rPr>
        <w:t>Apart from the undeniable pleasure many felt at seeing certain targets physically attacked, there was widespread outrage at the brutal and seemingly excessive</w:t>
      </w:r>
      <w:r>
        <w:rPr>
          <w:color w:val="231F20"/>
          <w:spacing w:val="-11"/>
        </w:rPr>
        <w:t xml:space="preserve"> </w:t>
      </w:r>
      <w:r>
        <w:rPr>
          <w:color w:val="231F20"/>
        </w:rPr>
        <w:t>repression</w:t>
      </w:r>
      <w:r>
        <w:rPr>
          <w:color w:val="231F20"/>
          <w:spacing w:val="-11"/>
        </w:rPr>
        <w:t xml:space="preserve"> </w:t>
      </w:r>
      <w:r>
        <w:rPr>
          <w:color w:val="231F20"/>
        </w:rPr>
        <w:t>the</w:t>
      </w:r>
      <w:r>
        <w:rPr>
          <w:color w:val="231F20"/>
          <w:spacing w:val="-11"/>
        </w:rPr>
        <w:t xml:space="preserve"> </w:t>
      </w:r>
      <w:r>
        <w:rPr>
          <w:color w:val="231F20"/>
        </w:rPr>
        <w:t>state</w:t>
      </w:r>
      <w:r>
        <w:rPr>
          <w:color w:val="231F20"/>
          <w:spacing w:val="-11"/>
        </w:rPr>
        <w:t xml:space="preserve"> </w:t>
      </w:r>
      <w:r>
        <w:rPr>
          <w:color w:val="231F20"/>
        </w:rPr>
        <w:t xml:space="preserve">indulged in. Despite capture, the prisoners from the guerilla were managing to beat the odds and </w:t>
      </w:r>
      <w:r>
        <w:rPr>
          <w:color w:val="231F20"/>
          <w:spacing w:val="1"/>
        </w:rPr>
        <w:t xml:space="preserve">turn </w:t>
      </w:r>
      <w:r>
        <w:rPr>
          <w:color w:val="231F20"/>
        </w:rPr>
        <w:t xml:space="preserve">this repression to their advantage in a </w:t>
      </w:r>
      <w:r>
        <w:rPr>
          <w:color w:val="231F20"/>
          <w:spacing w:val="-2"/>
        </w:rPr>
        <w:t xml:space="preserve">way </w:t>
      </w:r>
      <w:r>
        <w:rPr>
          <w:color w:val="231F20"/>
        </w:rPr>
        <w:t>that was consistent with their strategy of bringing out the violence inherent in the</w:t>
      </w:r>
      <w:r>
        <w:rPr>
          <w:color w:val="231F20"/>
          <w:spacing w:val="10"/>
        </w:rPr>
        <w:t xml:space="preserve"> </w:t>
      </w:r>
      <w:r>
        <w:rPr>
          <w:color w:val="231F20"/>
        </w:rPr>
        <w:t>system.</w:t>
      </w:r>
    </w:p>
    <w:p w14:paraId="58A6A8C6" w14:textId="77777777" w:rsidR="002653E8" w:rsidRDefault="003115E3">
      <w:pPr>
        <w:pStyle w:val="a3"/>
        <w:spacing w:before="10" w:after="40"/>
        <w:rPr>
          <w:sz w:val="27"/>
        </w:rPr>
      </w:pPr>
      <w:r>
        <w:br w:type="column"/>
      </w:r>
    </w:p>
    <w:bookmarkStart w:id="160" w:name="_Hlk123792245"/>
    <w:p w14:paraId="0CA58A2D" w14:textId="77777777" w:rsidR="002653E8" w:rsidRDefault="00000000">
      <w:pPr>
        <w:pStyle w:val="a3"/>
        <w:ind w:left="159"/>
      </w:pPr>
      <w:r>
        <w:pict w14:anchorId="2E8980DB">
          <v:group id="_x0000_s2325" style="width:156.25pt;height:218.35pt;mso-position-horizontal-relative:char;mso-position-vertical-relative:line" coordsize="3125,4367">
            <v:shape id="_x0000_s2327" type="#_x0000_t75" style="position:absolute;left:9;top:9;width:3106;height:4347">
              <v:imagedata r:id="rId292" o:title=""/>
            </v:shape>
            <v:rect id="_x0000_s2326" style="position:absolute;left:9;top:9;width:3106;height:4347" filled="f" strokecolor="#231f20" strokeweight=".96pt"/>
            <w10:anchorlock/>
          </v:group>
        </w:pict>
      </w:r>
      <w:bookmarkEnd w:id="160"/>
    </w:p>
    <w:p w14:paraId="45B29672" w14:textId="77777777" w:rsidR="002653E8" w:rsidRDefault="003115E3">
      <w:pPr>
        <w:spacing w:before="47" w:line="244" w:lineRule="auto"/>
        <w:ind w:left="284" w:right="1258"/>
        <w:jc w:val="center"/>
        <w:rPr>
          <w:i/>
          <w:sz w:val="18"/>
        </w:rPr>
      </w:pPr>
      <w:r>
        <w:rPr>
          <w:i/>
          <w:color w:val="231F20"/>
          <w:w w:val="105"/>
          <w:sz w:val="18"/>
        </w:rPr>
        <w:t xml:space="preserve">“The position of citizens in a powerful </w:t>
      </w:r>
      <w:r>
        <w:rPr>
          <w:i/>
          <w:color w:val="231F20"/>
          <w:spacing w:val="1"/>
          <w:w w:val="105"/>
          <w:sz w:val="18"/>
        </w:rPr>
        <w:t xml:space="preserve">state—Don’t </w:t>
      </w:r>
      <w:r>
        <w:rPr>
          <w:i/>
          <w:color w:val="231F20"/>
          <w:w w:val="105"/>
          <w:sz w:val="18"/>
        </w:rPr>
        <w:t xml:space="preserve">forget, Berlin has a Social Democratic tradition.” (Police action in West Berlin on the </w:t>
      </w:r>
      <w:r>
        <w:rPr>
          <w:i/>
          <w:color w:val="231F20"/>
          <w:spacing w:val="2"/>
          <w:w w:val="103"/>
          <w:sz w:val="18"/>
        </w:rPr>
        <w:t>n</w:t>
      </w:r>
      <w:r>
        <w:rPr>
          <w:i/>
          <w:color w:val="231F20"/>
          <w:w w:val="102"/>
          <w:sz w:val="18"/>
        </w:rPr>
        <w:t>i</w:t>
      </w:r>
      <w:r>
        <w:rPr>
          <w:i/>
          <w:color w:val="231F20"/>
          <w:w w:val="95"/>
          <w:sz w:val="18"/>
        </w:rPr>
        <w:t>g</w:t>
      </w:r>
      <w:r>
        <w:rPr>
          <w:i/>
          <w:color w:val="231F20"/>
          <w:w w:val="104"/>
          <w:sz w:val="18"/>
        </w:rPr>
        <w:t>h</w:t>
      </w:r>
      <w:r>
        <w:rPr>
          <w:i/>
          <w:color w:val="231F20"/>
          <w:w w:val="96"/>
          <w:sz w:val="18"/>
        </w:rPr>
        <w:t>t</w:t>
      </w:r>
      <w:r>
        <w:rPr>
          <w:i/>
          <w:color w:val="231F20"/>
          <w:spacing w:val="10"/>
          <w:sz w:val="18"/>
        </w:rPr>
        <w:t xml:space="preserve"> </w:t>
      </w:r>
      <w:r>
        <w:rPr>
          <w:i/>
          <w:color w:val="231F20"/>
          <w:w w:val="109"/>
          <w:sz w:val="18"/>
        </w:rPr>
        <w:t>o</w:t>
      </w:r>
      <w:r>
        <w:rPr>
          <w:i/>
          <w:color w:val="231F20"/>
          <w:w w:val="113"/>
          <w:sz w:val="18"/>
        </w:rPr>
        <w:t>f</w:t>
      </w:r>
      <w:r>
        <w:rPr>
          <w:i/>
          <w:color w:val="231F20"/>
          <w:spacing w:val="10"/>
          <w:sz w:val="18"/>
        </w:rPr>
        <w:t xml:space="preserve"> </w:t>
      </w:r>
      <w:r>
        <w:rPr>
          <w:i/>
          <w:color w:val="231F20"/>
          <w:spacing w:val="6"/>
          <w:w w:val="119"/>
          <w:sz w:val="18"/>
        </w:rPr>
        <w:t>M</w:t>
      </w:r>
      <w:r>
        <w:rPr>
          <w:i/>
          <w:color w:val="231F20"/>
          <w:spacing w:val="2"/>
          <w:w w:val="95"/>
          <w:sz w:val="18"/>
        </w:rPr>
        <w:t>a</w:t>
      </w:r>
      <w:r>
        <w:rPr>
          <w:i/>
          <w:color w:val="231F20"/>
          <w:spacing w:val="-4"/>
          <w:w w:val="95"/>
          <w:sz w:val="18"/>
        </w:rPr>
        <w:t>r</w:t>
      </w:r>
      <w:r>
        <w:rPr>
          <w:i/>
          <w:color w:val="231F20"/>
          <w:spacing w:val="2"/>
          <w:w w:val="102"/>
          <w:sz w:val="18"/>
        </w:rPr>
        <w:t>c</w:t>
      </w:r>
      <w:r>
        <w:rPr>
          <w:i/>
          <w:color w:val="231F20"/>
          <w:w w:val="104"/>
          <w:sz w:val="18"/>
        </w:rPr>
        <w:t>h</w:t>
      </w:r>
      <w:r>
        <w:rPr>
          <w:i/>
          <w:color w:val="231F20"/>
          <w:spacing w:val="10"/>
          <w:sz w:val="18"/>
        </w:rPr>
        <w:t xml:space="preserve"> </w:t>
      </w:r>
      <w:r>
        <w:rPr>
          <w:i/>
          <w:color w:val="231F20"/>
          <w:spacing w:val="3"/>
          <w:w w:val="105"/>
          <w:sz w:val="18"/>
        </w:rPr>
        <w:t>4</w:t>
      </w:r>
      <w:r>
        <w:rPr>
          <w:i/>
          <w:color w:val="231F20"/>
          <w:spacing w:val="-1"/>
          <w:w w:val="59"/>
          <w:sz w:val="18"/>
        </w:rPr>
        <w:t>/</w:t>
      </w:r>
      <w:r>
        <w:rPr>
          <w:i/>
          <w:color w:val="231F20"/>
          <w:w w:val="105"/>
          <w:sz w:val="18"/>
        </w:rPr>
        <w:t>5</w:t>
      </w:r>
      <w:r>
        <w:rPr>
          <w:i/>
          <w:color w:val="231F20"/>
          <w:w w:val="139"/>
          <w:sz w:val="18"/>
        </w:rPr>
        <w:t>,</w:t>
      </w:r>
      <w:r>
        <w:rPr>
          <w:i/>
          <w:color w:val="231F20"/>
          <w:spacing w:val="10"/>
          <w:sz w:val="18"/>
        </w:rPr>
        <w:t xml:space="preserve"> </w:t>
      </w:r>
      <w:r>
        <w:rPr>
          <w:i/>
          <w:color w:val="231F20"/>
          <w:spacing w:val="-1"/>
          <w:w w:val="105"/>
          <w:sz w:val="18"/>
        </w:rPr>
        <w:t>1</w:t>
      </w:r>
      <w:r>
        <w:rPr>
          <w:i/>
          <w:color w:val="231F20"/>
          <w:spacing w:val="2"/>
          <w:w w:val="105"/>
          <w:sz w:val="18"/>
        </w:rPr>
        <w:t>9</w:t>
      </w:r>
      <w:r>
        <w:rPr>
          <w:i/>
          <w:color w:val="231F20"/>
          <w:spacing w:val="-6"/>
          <w:w w:val="105"/>
          <w:sz w:val="18"/>
        </w:rPr>
        <w:t>7</w:t>
      </w:r>
      <w:r>
        <w:rPr>
          <w:i/>
          <w:color w:val="231F20"/>
          <w:spacing w:val="-1"/>
          <w:w w:val="105"/>
          <w:sz w:val="18"/>
        </w:rPr>
        <w:t>5</w:t>
      </w:r>
      <w:r>
        <w:rPr>
          <w:i/>
          <w:color w:val="231F20"/>
          <w:w w:val="89"/>
          <w:sz w:val="18"/>
        </w:rPr>
        <w:t>)</w:t>
      </w:r>
    </w:p>
    <w:p w14:paraId="6F4272CC" w14:textId="77777777" w:rsidR="002653E8" w:rsidRDefault="002653E8">
      <w:pPr>
        <w:spacing w:line="244" w:lineRule="auto"/>
        <w:jc w:val="center"/>
        <w:rPr>
          <w:sz w:val="18"/>
        </w:rPr>
        <w:sectPr w:rsidR="002653E8">
          <w:type w:val="continuous"/>
          <w:pgSz w:w="8640" w:h="12960"/>
          <w:pgMar w:top="0" w:right="0" w:bottom="0" w:left="0" w:header="720" w:footer="720" w:gutter="0"/>
          <w:cols w:num="2" w:space="720" w:equalWidth="0">
            <w:col w:w="4168" w:space="40"/>
            <w:col w:w="4432"/>
          </w:cols>
        </w:sectPr>
      </w:pPr>
    </w:p>
    <w:p w14:paraId="633ADEB7" w14:textId="77777777" w:rsidR="002653E8" w:rsidRDefault="003115E3">
      <w:pPr>
        <w:pStyle w:val="a3"/>
        <w:spacing w:before="86" w:line="264" w:lineRule="auto"/>
        <w:ind w:left="1147" w:right="1326" w:firstLine="210"/>
        <w:jc w:val="both"/>
        <w:rPr>
          <w:sz w:val="11"/>
        </w:rPr>
      </w:pPr>
      <w:r>
        <w:rPr>
          <w:color w:val="231F20"/>
        </w:rPr>
        <w:lastRenderedPageBreak/>
        <w:t>Even before this strategy had won the new recruits who carried out the Stockholm action, countering this rise in sympathy had been designated a top priority for all sections of the political establishment. In the words of Interior Minister Hans-Dietrich Genscher of the FDP, “The sympathizers are the water in which the guerilla swims: we must prevent them from finding that water.”</w:t>
      </w:r>
      <w:r>
        <w:rPr>
          <w:color w:val="231F20"/>
          <w:position w:val="7"/>
          <w:sz w:val="11"/>
        </w:rPr>
        <w:t>1</w:t>
      </w:r>
    </w:p>
    <w:p w14:paraId="647EEDD1" w14:textId="77777777" w:rsidR="002653E8" w:rsidRDefault="003115E3">
      <w:pPr>
        <w:pStyle w:val="a3"/>
        <w:spacing w:line="264" w:lineRule="auto"/>
        <w:ind w:left="1147" w:right="1327" w:firstLine="209"/>
        <w:jc w:val="both"/>
        <w:rPr>
          <w:sz w:val="11"/>
        </w:rPr>
      </w:pPr>
      <w:r>
        <w:rPr>
          <w:color w:val="231F20"/>
        </w:rPr>
        <w:t xml:space="preserve">Or  as  the  CDU  opposition  leader  Helmut  Kohl  put  it,  </w:t>
      </w:r>
      <w:r>
        <w:rPr>
          <w:color w:val="231F20"/>
          <w:spacing w:val="-3"/>
        </w:rPr>
        <w:t xml:space="preserve">“We  </w:t>
      </w:r>
      <w:r>
        <w:rPr>
          <w:color w:val="231F20"/>
        </w:rPr>
        <w:t>need  to drain the swamp… in which the flowers of Baader-Meinhof have grown.”</w:t>
      </w:r>
      <w:r>
        <w:rPr>
          <w:color w:val="231F20"/>
          <w:position w:val="7"/>
          <w:sz w:val="11"/>
        </w:rPr>
        <w:t>2</w:t>
      </w:r>
    </w:p>
    <w:p w14:paraId="747654DF" w14:textId="77777777" w:rsidR="002653E8" w:rsidRDefault="003115E3">
      <w:pPr>
        <w:pStyle w:val="a3"/>
        <w:spacing w:line="264" w:lineRule="auto"/>
        <w:ind w:left="1147" w:right="1325" w:firstLine="210"/>
        <w:jc w:val="both"/>
      </w:pPr>
      <w:r>
        <w:rPr>
          <w:color w:val="231F20"/>
          <w:spacing w:val="-8"/>
        </w:rPr>
        <w:t xml:space="preserve">To </w:t>
      </w:r>
      <w:r>
        <w:rPr>
          <w:color w:val="231F20"/>
        </w:rPr>
        <w:t xml:space="preserve">this end, a variety of propaganda maneuvers, described by the prisoners as psychological warfare, combined with renewed efforts to isolate and neutralize those who were considered to be sympathizers and supporters, often through use of the </w:t>
      </w:r>
      <w:r>
        <w:rPr>
          <w:i/>
          <w:color w:val="231F20"/>
        </w:rPr>
        <w:t>Berufsverbot</w:t>
      </w:r>
      <w:r>
        <w:rPr>
          <w:color w:val="231F20"/>
        </w:rPr>
        <w:t xml:space="preserve">, </w:t>
      </w:r>
      <w:r>
        <w:rPr>
          <w:color w:val="231F20"/>
          <w:spacing w:val="-4"/>
          <w:sz w:val="18"/>
        </w:rPr>
        <w:t>§</w:t>
      </w:r>
      <w:r>
        <w:rPr>
          <w:color w:val="231F20"/>
          <w:spacing w:val="-4"/>
        </w:rPr>
        <w:t xml:space="preserve">129, </w:t>
      </w:r>
      <w:r>
        <w:rPr>
          <w:color w:val="231F20"/>
        </w:rPr>
        <w:t>and specially crafted legislation. Such repression took on new dimensions</w:t>
      </w:r>
      <w:r>
        <w:rPr>
          <w:color w:val="231F20"/>
          <w:spacing w:val="-32"/>
        </w:rPr>
        <w:t xml:space="preserve"> </w:t>
      </w:r>
      <w:r>
        <w:rPr>
          <w:color w:val="231F20"/>
        </w:rPr>
        <w:t xml:space="preserve">under Siegfried Buback, who succeeded Ludwig </w:t>
      </w:r>
      <w:r>
        <w:rPr>
          <w:color w:val="231F20"/>
          <w:spacing w:val="1"/>
        </w:rPr>
        <w:t xml:space="preserve">Martin </w:t>
      </w:r>
      <w:r>
        <w:rPr>
          <w:color w:val="231F20"/>
        </w:rPr>
        <w:t xml:space="preserve">as Attorney General  on May </w:t>
      </w:r>
      <w:r>
        <w:rPr>
          <w:color w:val="231F20"/>
          <w:spacing w:val="-5"/>
        </w:rPr>
        <w:t xml:space="preserve">31, </w:t>
      </w:r>
      <w:r>
        <w:rPr>
          <w:color w:val="231F20"/>
          <w:spacing w:val="-6"/>
        </w:rPr>
        <w:t xml:space="preserve">1974, </w:t>
      </w:r>
      <w:r>
        <w:rPr>
          <w:color w:val="231F20"/>
        </w:rPr>
        <w:t xml:space="preserve">just weeks after the </w:t>
      </w:r>
      <w:r>
        <w:rPr>
          <w:color w:val="231F20"/>
          <w:spacing w:val="-3"/>
        </w:rPr>
        <w:t xml:space="preserve">SPD’s </w:t>
      </w:r>
      <w:r>
        <w:rPr>
          <w:color w:val="231F20"/>
        </w:rPr>
        <w:t>Helmut Schmidt replaced Willy Brandt as Chancellor. (Brandt had been forced to step down following</w:t>
      </w:r>
      <w:r>
        <w:rPr>
          <w:color w:val="231F20"/>
          <w:spacing w:val="12"/>
        </w:rPr>
        <w:t xml:space="preserve"> </w:t>
      </w:r>
      <w:r>
        <w:rPr>
          <w:color w:val="231F20"/>
        </w:rPr>
        <w:t>a</w:t>
      </w:r>
      <w:r>
        <w:rPr>
          <w:color w:val="231F20"/>
          <w:spacing w:val="12"/>
        </w:rPr>
        <w:t xml:space="preserve"> </w:t>
      </w:r>
      <w:r>
        <w:rPr>
          <w:color w:val="231F20"/>
        </w:rPr>
        <w:t>spy</w:t>
      </w:r>
      <w:r>
        <w:rPr>
          <w:color w:val="231F20"/>
          <w:spacing w:val="12"/>
        </w:rPr>
        <w:t xml:space="preserve"> </w:t>
      </w:r>
      <w:r>
        <w:rPr>
          <w:color w:val="231F20"/>
        </w:rPr>
        <w:t>scandal</w:t>
      </w:r>
      <w:r>
        <w:rPr>
          <w:color w:val="231F20"/>
          <w:spacing w:val="12"/>
        </w:rPr>
        <w:t xml:space="preserve"> </w:t>
      </w:r>
      <w:r>
        <w:rPr>
          <w:color w:val="231F20"/>
        </w:rPr>
        <w:t>known</w:t>
      </w:r>
      <w:r>
        <w:rPr>
          <w:color w:val="231F20"/>
          <w:spacing w:val="12"/>
        </w:rPr>
        <w:t xml:space="preserve"> </w:t>
      </w:r>
      <w:r>
        <w:rPr>
          <w:color w:val="231F20"/>
        </w:rPr>
        <w:t>as</w:t>
      </w:r>
      <w:r>
        <w:rPr>
          <w:color w:val="231F20"/>
          <w:spacing w:val="12"/>
        </w:rPr>
        <w:t xml:space="preserve"> </w:t>
      </w:r>
      <w:r>
        <w:rPr>
          <w:color w:val="231F20"/>
        </w:rPr>
        <w:t>the</w:t>
      </w:r>
      <w:r>
        <w:rPr>
          <w:color w:val="231F20"/>
          <w:spacing w:val="12"/>
        </w:rPr>
        <w:t xml:space="preserve"> </w:t>
      </w:r>
      <w:r>
        <w:rPr>
          <w:color w:val="231F20"/>
        </w:rPr>
        <w:t>Guillaume</w:t>
      </w:r>
      <w:r>
        <w:rPr>
          <w:color w:val="231F20"/>
          <w:spacing w:val="12"/>
        </w:rPr>
        <w:t xml:space="preserve"> </w:t>
      </w:r>
      <w:r>
        <w:rPr>
          <w:color w:val="231F20"/>
        </w:rPr>
        <w:t>Affair.)</w:t>
      </w:r>
    </w:p>
    <w:p w14:paraId="7AA2E911" w14:textId="77777777" w:rsidR="002653E8" w:rsidRDefault="003115E3">
      <w:pPr>
        <w:pStyle w:val="a3"/>
        <w:spacing w:line="225" w:lineRule="exact"/>
        <w:ind w:left="1358"/>
      </w:pPr>
      <w:r>
        <w:rPr>
          <w:color w:val="231F20"/>
        </w:rPr>
        <w:t>The guerilla’s lawyers were among the first to be targeted.</w:t>
      </w:r>
    </w:p>
    <w:p w14:paraId="56D42D55" w14:textId="77777777" w:rsidR="002653E8" w:rsidRDefault="003115E3">
      <w:pPr>
        <w:pStyle w:val="a3"/>
        <w:spacing w:before="13" w:line="264" w:lineRule="auto"/>
        <w:ind w:left="1148" w:right="1317" w:firstLine="210"/>
        <w:jc w:val="both"/>
      </w:pPr>
      <w:r>
        <w:rPr>
          <w:color w:val="231F20"/>
        </w:rPr>
        <w:t xml:space="preserve">On October 16, 1974, the Federal Supreme Court filed to seize defense correspondence between attorney Kurt Groenewold and the </w:t>
      </w:r>
      <w:r w:rsidR="00C507A5">
        <w:rPr>
          <w:color w:val="231F20"/>
        </w:rPr>
        <w:t>red army faction</w:t>
      </w:r>
      <w:r>
        <w:rPr>
          <w:color w:val="231F20"/>
        </w:rPr>
        <w:t xml:space="preserve"> prisoners, alleging that he and other lawyers were at the core of the prisoners’ communication network, known as </w:t>
      </w:r>
      <w:r>
        <w:rPr>
          <w:i/>
          <w:color w:val="231F20"/>
        </w:rPr>
        <w:t>Info</w:t>
      </w:r>
      <w:r>
        <w:rPr>
          <w:color w:val="231F20"/>
        </w:rPr>
        <w:t>. This move came in the midst of the third hunger strike, and constituted the first foray in the state’s newest offensive against the prisoners’ supporters.</w:t>
      </w:r>
    </w:p>
    <w:p w14:paraId="24DBEEF8" w14:textId="77777777" w:rsidR="002653E8" w:rsidRDefault="003115E3">
      <w:pPr>
        <w:pStyle w:val="a3"/>
        <w:spacing w:line="264" w:lineRule="auto"/>
        <w:ind w:left="1148" w:right="1325" w:firstLine="210"/>
        <w:jc w:val="both"/>
      </w:pPr>
      <w:r>
        <w:rPr>
          <w:i/>
          <w:color w:val="231F20"/>
        </w:rPr>
        <w:t xml:space="preserve">Info </w:t>
      </w:r>
      <w:r>
        <w:rPr>
          <w:color w:val="231F20"/>
        </w:rPr>
        <w:t>was a system of prison communication devised with the help      of lawyers from the Committees Against Torture, whereby messages would</w:t>
      </w:r>
      <w:r>
        <w:rPr>
          <w:color w:val="231F20"/>
          <w:spacing w:val="-9"/>
        </w:rPr>
        <w:t xml:space="preserve"> </w:t>
      </w:r>
      <w:r>
        <w:rPr>
          <w:color w:val="231F20"/>
        </w:rPr>
        <w:t>be</w:t>
      </w:r>
      <w:r>
        <w:rPr>
          <w:color w:val="231F20"/>
          <w:spacing w:val="-9"/>
        </w:rPr>
        <w:t xml:space="preserve"> </w:t>
      </w:r>
      <w:r>
        <w:rPr>
          <w:color w:val="231F20"/>
        </w:rPr>
        <w:t>passed</w:t>
      </w:r>
      <w:r>
        <w:rPr>
          <w:color w:val="231F20"/>
          <w:spacing w:val="-9"/>
        </w:rPr>
        <w:t xml:space="preserve"> </w:t>
      </w:r>
      <w:r>
        <w:rPr>
          <w:color w:val="231F20"/>
        </w:rPr>
        <w:t>between</w:t>
      </w:r>
      <w:r>
        <w:rPr>
          <w:color w:val="231F20"/>
          <w:spacing w:val="-9"/>
        </w:rPr>
        <w:t xml:space="preserve"> </w:t>
      </w:r>
      <w:r>
        <w:rPr>
          <w:color w:val="231F20"/>
        </w:rPr>
        <w:t>the</w:t>
      </w:r>
      <w:r>
        <w:rPr>
          <w:color w:val="231F20"/>
          <w:spacing w:val="-9"/>
        </w:rPr>
        <w:t xml:space="preserve"> </w:t>
      </w:r>
      <w:r>
        <w:rPr>
          <w:color w:val="231F20"/>
        </w:rPr>
        <w:t>prisoners.</w:t>
      </w:r>
      <w:r>
        <w:rPr>
          <w:color w:val="231F20"/>
          <w:spacing w:val="-9"/>
        </w:rPr>
        <w:t xml:space="preserve"> </w:t>
      </w:r>
      <w:r>
        <w:rPr>
          <w:color w:val="231F20"/>
        </w:rPr>
        <w:t>It</w:t>
      </w:r>
      <w:r>
        <w:rPr>
          <w:color w:val="231F20"/>
          <w:spacing w:val="-9"/>
        </w:rPr>
        <w:t xml:space="preserve"> </w:t>
      </w:r>
      <w:r>
        <w:rPr>
          <w:color w:val="231F20"/>
        </w:rPr>
        <w:t>represented</w:t>
      </w:r>
      <w:r>
        <w:rPr>
          <w:color w:val="231F20"/>
          <w:spacing w:val="-9"/>
        </w:rPr>
        <w:t xml:space="preserve"> </w:t>
      </w:r>
      <w:r>
        <w:rPr>
          <w:color w:val="231F20"/>
        </w:rPr>
        <w:t>a</w:t>
      </w:r>
      <w:r>
        <w:rPr>
          <w:color w:val="231F20"/>
          <w:spacing w:val="-9"/>
        </w:rPr>
        <w:t xml:space="preserve"> </w:t>
      </w:r>
      <w:r>
        <w:rPr>
          <w:color w:val="231F20"/>
        </w:rPr>
        <w:t>covert</w:t>
      </w:r>
      <w:r>
        <w:rPr>
          <w:color w:val="231F20"/>
          <w:spacing w:val="-9"/>
        </w:rPr>
        <w:t xml:space="preserve"> </w:t>
      </w:r>
      <w:r>
        <w:rPr>
          <w:color w:val="231F20"/>
        </w:rPr>
        <w:t>means</w:t>
      </w:r>
      <w:r>
        <w:rPr>
          <w:color w:val="231F20"/>
          <w:spacing w:val="-9"/>
        </w:rPr>
        <w:t xml:space="preserve"> </w:t>
      </w:r>
      <w:r>
        <w:rPr>
          <w:color w:val="231F20"/>
        </w:rPr>
        <w:t>of breaking through the isolation conditions, of maintaining group identity, sharing political opinions, and coordinating hunger strike activities. As we shall see, because it was so vital to the prisoners’ survival, it was severely</w:t>
      </w:r>
      <w:r>
        <w:rPr>
          <w:color w:val="231F20"/>
          <w:spacing w:val="18"/>
        </w:rPr>
        <w:t xml:space="preserve"> </w:t>
      </w:r>
      <w:r>
        <w:rPr>
          <w:color w:val="231F20"/>
        </w:rPr>
        <w:t>repressed.</w:t>
      </w:r>
    </w:p>
    <w:p w14:paraId="246B78D0" w14:textId="77777777" w:rsidR="002653E8" w:rsidRDefault="003115E3">
      <w:pPr>
        <w:pStyle w:val="a3"/>
        <w:spacing w:line="264" w:lineRule="auto"/>
        <w:ind w:left="1148" w:right="1325" w:firstLine="210"/>
        <w:jc w:val="both"/>
      </w:pPr>
      <w:r>
        <w:rPr>
          <w:color w:val="231F20"/>
        </w:rPr>
        <w:t>An explosion of rage and rebellion swept across West Germany following the death of Holger Meins in November 1974. On November 26, the state responded with Operation Winter Trip, which according to Attorney General Buback was specifically aimed at “the sympathizers’</w:t>
      </w:r>
    </w:p>
    <w:p w14:paraId="4A067970" w14:textId="77777777" w:rsidR="002653E8" w:rsidRDefault="00000000">
      <w:pPr>
        <w:pStyle w:val="a3"/>
        <w:spacing w:before="5"/>
      </w:pPr>
      <w:r>
        <w:rPr>
          <w:noProof w:val="0"/>
        </w:rPr>
        <w:pict w14:anchorId="6C210AF4">
          <v:line id="_x0000_s2324" style="position:absolute;z-index:7720;mso-wrap-distance-left:0;mso-wrap-distance-right:0;mso-position-horizontal-relative:page" from="57.4pt,14.2pt" to="129.4pt,14.2pt" strokecolor="#231f20" strokeweight=".5pt">
            <w10:wrap type="topAndBottom" anchorx="page"/>
          </v:line>
        </w:pict>
      </w:r>
    </w:p>
    <w:p w14:paraId="756D882A" w14:textId="77777777" w:rsidR="002653E8" w:rsidRDefault="003115E3">
      <w:pPr>
        <w:pStyle w:val="a4"/>
        <w:numPr>
          <w:ilvl w:val="0"/>
          <w:numId w:val="95"/>
        </w:numPr>
        <w:tabs>
          <w:tab w:val="left" w:pos="1287"/>
        </w:tabs>
        <w:spacing w:before="53" w:line="254" w:lineRule="auto"/>
        <w:ind w:right="1630" w:firstLine="0"/>
        <w:jc w:val="left"/>
        <w:rPr>
          <w:sz w:val="16"/>
        </w:rPr>
      </w:pPr>
      <w:bookmarkStart w:id="161" w:name="_Hlk123792958"/>
      <w:r>
        <w:rPr>
          <w:color w:val="231F20"/>
          <w:w w:val="110"/>
          <w:sz w:val="16"/>
        </w:rPr>
        <w:t xml:space="preserve">Speech to the </w:t>
      </w:r>
      <w:r>
        <w:rPr>
          <w:i/>
          <w:color w:val="231F20"/>
          <w:w w:val="110"/>
          <w:sz w:val="16"/>
        </w:rPr>
        <w:t>Bundestag</w:t>
      </w:r>
      <w:r>
        <w:rPr>
          <w:color w:val="231F20"/>
          <w:w w:val="110"/>
          <w:sz w:val="16"/>
        </w:rPr>
        <w:t xml:space="preserve">, June </w:t>
      </w:r>
      <w:r>
        <w:rPr>
          <w:color w:val="231F20"/>
          <w:spacing w:val="-6"/>
          <w:w w:val="110"/>
          <w:sz w:val="16"/>
        </w:rPr>
        <w:t xml:space="preserve">7, </w:t>
      </w:r>
      <w:r>
        <w:rPr>
          <w:color w:val="231F20"/>
          <w:w w:val="110"/>
          <w:sz w:val="16"/>
        </w:rPr>
        <w:t xml:space="preserve">1972, quoted in </w:t>
      </w:r>
      <w:r>
        <w:rPr>
          <w:i/>
          <w:color w:val="231F20"/>
          <w:w w:val="110"/>
          <w:sz w:val="16"/>
        </w:rPr>
        <w:t xml:space="preserve">Texte des prisonniers de </w:t>
      </w:r>
      <w:r>
        <w:rPr>
          <w:i/>
          <w:color w:val="231F20"/>
          <w:spacing w:val="1"/>
          <w:w w:val="110"/>
          <w:sz w:val="16"/>
        </w:rPr>
        <w:t xml:space="preserve">la </w:t>
      </w:r>
      <w:r>
        <w:rPr>
          <w:i/>
          <w:color w:val="231F20"/>
          <w:w w:val="110"/>
          <w:sz w:val="16"/>
        </w:rPr>
        <w:t>“fraction</w:t>
      </w:r>
      <w:r>
        <w:rPr>
          <w:i/>
          <w:color w:val="231F20"/>
          <w:spacing w:val="6"/>
          <w:w w:val="110"/>
          <w:sz w:val="16"/>
        </w:rPr>
        <w:t xml:space="preserve"> </w:t>
      </w:r>
      <w:r>
        <w:rPr>
          <w:i/>
          <w:color w:val="231F20"/>
          <w:spacing w:val="1"/>
          <w:w w:val="110"/>
          <w:sz w:val="16"/>
        </w:rPr>
        <w:t>armée</w:t>
      </w:r>
      <w:r>
        <w:rPr>
          <w:i/>
          <w:color w:val="231F20"/>
          <w:spacing w:val="6"/>
          <w:w w:val="110"/>
          <w:sz w:val="16"/>
        </w:rPr>
        <w:t xml:space="preserve"> </w:t>
      </w:r>
      <w:r>
        <w:rPr>
          <w:i/>
          <w:color w:val="231F20"/>
          <w:w w:val="110"/>
          <w:sz w:val="16"/>
        </w:rPr>
        <w:t>rouge”</w:t>
      </w:r>
      <w:r>
        <w:rPr>
          <w:i/>
          <w:color w:val="231F20"/>
          <w:spacing w:val="6"/>
          <w:w w:val="110"/>
          <w:sz w:val="16"/>
        </w:rPr>
        <w:t xml:space="preserve"> </w:t>
      </w:r>
      <w:r>
        <w:rPr>
          <w:i/>
          <w:color w:val="231F20"/>
          <w:w w:val="110"/>
          <w:sz w:val="16"/>
        </w:rPr>
        <w:t>et</w:t>
      </w:r>
      <w:r>
        <w:rPr>
          <w:i/>
          <w:color w:val="231F20"/>
          <w:spacing w:val="6"/>
          <w:w w:val="110"/>
          <w:sz w:val="16"/>
        </w:rPr>
        <w:t xml:space="preserve"> </w:t>
      </w:r>
      <w:r>
        <w:rPr>
          <w:i/>
          <w:color w:val="231F20"/>
          <w:spacing w:val="1"/>
          <w:w w:val="110"/>
          <w:sz w:val="16"/>
        </w:rPr>
        <w:t>dernières</w:t>
      </w:r>
      <w:r>
        <w:rPr>
          <w:i/>
          <w:color w:val="231F20"/>
          <w:spacing w:val="6"/>
          <w:w w:val="110"/>
          <w:sz w:val="16"/>
        </w:rPr>
        <w:t xml:space="preserve"> </w:t>
      </w:r>
      <w:r>
        <w:rPr>
          <w:i/>
          <w:color w:val="231F20"/>
          <w:w w:val="110"/>
          <w:sz w:val="16"/>
        </w:rPr>
        <w:t>lettres</w:t>
      </w:r>
      <w:r>
        <w:rPr>
          <w:i/>
          <w:color w:val="231F20"/>
          <w:spacing w:val="6"/>
          <w:w w:val="110"/>
          <w:sz w:val="16"/>
        </w:rPr>
        <w:t xml:space="preserve"> </w:t>
      </w:r>
      <w:r>
        <w:rPr>
          <w:i/>
          <w:color w:val="231F20"/>
          <w:w w:val="110"/>
          <w:sz w:val="16"/>
        </w:rPr>
        <w:t>d’Ulrike</w:t>
      </w:r>
      <w:r>
        <w:rPr>
          <w:i/>
          <w:color w:val="231F20"/>
          <w:spacing w:val="6"/>
          <w:w w:val="110"/>
          <w:sz w:val="16"/>
        </w:rPr>
        <w:t xml:space="preserve"> </w:t>
      </w:r>
      <w:r>
        <w:rPr>
          <w:i/>
          <w:color w:val="231F20"/>
          <w:w w:val="110"/>
          <w:sz w:val="16"/>
        </w:rPr>
        <w:t>Meinhof,</w:t>
      </w:r>
      <w:r>
        <w:rPr>
          <w:i/>
          <w:color w:val="231F20"/>
          <w:spacing w:val="7"/>
          <w:w w:val="110"/>
          <w:sz w:val="16"/>
        </w:rPr>
        <w:t xml:space="preserve"> </w:t>
      </w:r>
      <w:r>
        <w:rPr>
          <w:color w:val="231F20"/>
          <w:w w:val="110"/>
          <w:sz w:val="16"/>
        </w:rPr>
        <w:t>Draft</w:t>
      </w:r>
      <w:r>
        <w:rPr>
          <w:color w:val="231F20"/>
          <w:spacing w:val="6"/>
          <w:w w:val="110"/>
          <w:sz w:val="16"/>
        </w:rPr>
        <w:t xml:space="preserve"> </w:t>
      </w:r>
      <w:r>
        <w:rPr>
          <w:color w:val="231F20"/>
          <w:w w:val="110"/>
          <w:sz w:val="16"/>
        </w:rPr>
        <w:t>version,</w:t>
      </w:r>
      <w:r>
        <w:rPr>
          <w:color w:val="231F20"/>
          <w:spacing w:val="7"/>
          <w:w w:val="110"/>
          <w:sz w:val="16"/>
        </w:rPr>
        <w:t xml:space="preserve"> </w:t>
      </w:r>
      <w:r>
        <w:rPr>
          <w:color w:val="231F20"/>
          <w:spacing w:val="-3"/>
          <w:w w:val="110"/>
          <w:sz w:val="16"/>
        </w:rPr>
        <w:t>A3.</w:t>
      </w:r>
    </w:p>
    <w:p w14:paraId="060DA23B" w14:textId="77777777" w:rsidR="002653E8" w:rsidRDefault="003115E3">
      <w:pPr>
        <w:pStyle w:val="a4"/>
        <w:numPr>
          <w:ilvl w:val="0"/>
          <w:numId w:val="95"/>
        </w:numPr>
        <w:tabs>
          <w:tab w:val="left" w:pos="1287"/>
        </w:tabs>
        <w:ind w:left="1286" w:hanging="138"/>
        <w:jc w:val="left"/>
        <w:rPr>
          <w:sz w:val="16"/>
        </w:rPr>
      </w:pPr>
      <w:r>
        <w:rPr>
          <w:color w:val="231F20"/>
          <w:w w:val="110"/>
          <w:sz w:val="16"/>
        </w:rPr>
        <w:t xml:space="preserve">Television interview, April </w:t>
      </w:r>
      <w:r>
        <w:rPr>
          <w:color w:val="231F20"/>
          <w:spacing w:val="-5"/>
          <w:w w:val="110"/>
          <w:sz w:val="16"/>
        </w:rPr>
        <w:t xml:space="preserve">25, </w:t>
      </w:r>
      <w:r>
        <w:rPr>
          <w:color w:val="231F20"/>
          <w:spacing w:val="-4"/>
          <w:w w:val="110"/>
          <w:sz w:val="16"/>
        </w:rPr>
        <w:t xml:space="preserve">1975, </w:t>
      </w:r>
      <w:r>
        <w:rPr>
          <w:color w:val="231F20"/>
          <w:w w:val="110"/>
          <w:sz w:val="16"/>
        </w:rPr>
        <w:t>quoted in Ibid.,</w:t>
      </w:r>
      <w:r>
        <w:rPr>
          <w:color w:val="231F20"/>
          <w:spacing w:val="15"/>
          <w:w w:val="110"/>
          <w:sz w:val="16"/>
        </w:rPr>
        <w:t xml:space="preserve"> </w:t>
      </w:r>
      <w:r>
        <w:rPr>
          <w:color w:val="231F20"/>
          <w:w w:val="110"/>
          <w:sz w:val="16"/>
        </w:rPr>
        <w:t>a6.</w:t>
      </w:r>
    </w:p>
    <w:p w14:paraId="5415655C" w14:textId="77777777" w:rsidR="002653E8" w:rsidRDefault="002653E8">
      <w:pPr>
        <w:rPr>
          <w:sz w:val="16"/>
        </w:rPr>
        <w:sectPr w:rsidR="002653E8">
          <w:pgSz w:w="8640" w:h="12960"/>
          <w:pgMar w:top="1060" w:right="0" w:bottom="1040" w:left="0" w:header="0" w:footer="850" w:gutter="0"/>
          <w:cols w:space="720"/>
        </w:sectPr>
      </w:pPr>
    </w:p>
    <w:bookmarkEnd w:id="161"/>
    <w:p w14:paraId="53DE4F8A" w14:textId="77777777" w:rsidR="002653E8" w:rsidRDefault="003115E3">
      <w:pPr>
        <w:pStyle w:val="a3"/>
        <w:spacing w:before="86" w:line="264" w:lineRule="auto"/>
        <w:ind w:left="1327" w:right="1145"/>
      </w:pPr>
      <w:r>
        <w:rPr>
          <w:color w:val="231F20"/>
        </w:rPr>
        <w:lastRenderedPageBreak/>
        <w:t>scene,”</w:t>
      </w:r>
      <w:r>
        <w:rPr>
          <w:color w:val="231F20"/>
          <w:position w:val="7"/>
          <w:sz w:val="11"/>
        </w:rPr>
        <w:t xml:space="preserve">3 </w:t>
      </w:r>
      <w:r>
        <w:rPr>
          <w:color w:val="231F20"/>
        </w:rPr>
        <w:t>both through direct repression and by preparing public opinion to accept new restrictions on civil liberties.</w:t>
      </w:r>
    </w:p>
    <w:p w14:paraId="129E482A" w14:textId="77777777" w:rsidR="002653E8" w:rsidRDefault="003115E3">
      <w:pPr>
        <w:pStyle w:val="a3"/>
        <w:spacing w:line="264" w:lineRule="auto"/>
        <w:ind w:left="1327" w:right="1145" w:firstLine="210"/>
        <w:jc w:val="both"/>
      </w:pPr>
      <w:r>
        <w:rPr>
          <w:color w:val="231F20"/>
        </w:rPr>
        <w:t xml:space="preserve">On December </w:t>
      </w:r>
      <w:r>
        <w:rPr>
          <w:color w:val="231F20"/>
          <w:spacing w:val="-6"/>
        </w:rPr>
        <w:t xml:space="preserve">13, </w:t>
      </w:r>
      <w:r>
        <w:rPr>
          <w:color w:val="231F20"/>
        </w:rPr>
        <w:t xml:space="preserve">the Attorney General filed to seize legal correspondence between the prisoners and defense attorneys Klaus Croissant and Hans-Christian Ströbele. Buback accused Croissant of belonging to a “criminal association” with his clients, a claim he based on Croissant’s use of the “terminology of left extremism, such as isolation torture, extermination conditions, brainwashing units, and the </w:t>
      </w:r>
      <w:r>
        <w:rPr>
          <w:color w:val="231F20"/>
          <w:spacing w:val="-4"/>
        </w:rPr>
        <w:t>like.”</w:t>
      </w:r>
      <w:r>
        <w:rPr>
          <w:color w:val="231F20"/>
          <w:spacing w:val="-4"/>
          <w:position w:val="7"/>
          <w:sz w:val="11"/>
        </w:rPr>
        <w:t xml:space="preserve">4  </w:t>
      </w:r>
      <w:r>
        <w:rPr>
          <w:color w:val="231F20"/>
        </w:rPr>
        <w:t>Buback also pointed to Croissant’s public statements in support of the prisoners’</w:t>
      </w:r>
      <w:r>
        <w:rPr>
          <w:color w:val="231F20"/>
          <w:spacing w:val="10"/>
        </w:rPr>
        <w:t xml:space="preserve"> </w:t>
      </w:r>
      <w:r>
        <w:rPr>
          <w:color w:val="231F20"/>
        </w:rPr>
        <w:t>hunger</w:t>
      </w:r>
      <w:r>
        <w:rPr>
          <w:color w:val="231F20"/>
          <w:spacing w:val="10"/>
        </w:rPr>
        <w:t xml:space="preserve"> </w:t>
      </w:r>
      <w:r>
        <w:rPr>
          <w:color w:val="231F20"/>
        </w:rPr>
        <w:t>strike</w:t>
      </w:r>
      <w:r>
        <w:rPr>
          <w:color w:val="231F20"/>
          <w:spacing w:val="10"/>
        </w:rPr>
        <w:t xml:space="preserve"> </w:t>
      </w:r>
      <w:r>
        <w:rPr>
          <w:color w:val="231F20"/>
        </w:rPr>
        <w:t>and</w:t>
      </w:r>
      <w:r>
        <w:rPr>
          <w:color w:val="231F20"/>
          <w:spacing w:val="10"/>
        </w:rPr>
        <w:t xml:space="preserve"> </w:t>
      </w:r>
      <w:r>
        <w:rPr>
          <w:color w:val="231F20"/>
        </w:rPr>
        <w:t>regarding</w:t>
      </w:r>
      <w:r>
        <w:rPr>
          <w:color w:val="231F20"/>
          <w:spacing w:val="10"/>
        </w:rPr>
        <w:t xml:space="preserve"> </w:t>
      </w:r>
      <w:r>
        <w:rPr>
          <w:color w:val="231F20"/>
        </w:rPr>
        <w:t>the</w:t>
      </w:r>
      <w:r>
        <w:rPr>
          <w:color w:val="231F20"/>
          <w:spacing w:val="10"/>
        </w:rPr>
        <w:t xml:space="preserve"> </w:t>
      </w:r>
      <w:r>
        <w:rPr>
          <w:color w:val="231F20"/>
        </w:rPr>
        <w:t>death</w:t>
      </w:r>
      <w:r>
        <w:rPr>
          <w:color w:val="231F20"/>
          <w:spacing w:val="11"/>
        </w:rPr>
        <w:t xml:space="preserve"> </w:t>
      </w:r>
      <w:r>
        <w:rPr>
          <w:color w:val="231F20"/>
        </w:rPr>
        <w:t>of</w:t>
      </w:r>
      <w:r>
        <w:rPr>
          <w:color w:val="231F20"/>
          <w:spacing w:val="10"/>
        </w:rPr>
        <w:t xml:space="preserve"> </w:t>
      </w:r>
      <w:r>
        <w:rPr>
          <w:color w:val="231F20"/>
        </w:rPr>
        <w:t>Holger</w:t>
      </w:r>
      <w:r>
        <w:rPr>
          <w:color w:val="231F20"/>
          <w:spacing w:val="10"/>
        </w:rPr>
        <w:t xml:space="preserve"> </w:t>
      </w:r>
      <w:r>
        <w:rPr>
          <w:color w:val="231F20"/>
        </w:rPr>
        <w:t>Meins.</w:t>
      </w:r>
    </w:p>
    <w:p w14:paraId="5D431D5E" w14:textId="13E82AE0" w:rsidR="002653E8" w:rsidRDefault="003115E3">
      <w:pPr>
        <w:pStyle w:val="a3"/>
        <w:spacing w:line="264" w:lineRule="auto"/>
        <w:ind w:left="1328" w:right="1146" w:firstLine="210"/>
        <w:jc w:val="both"/>
        <w:rPr>
          <w:sz w:val="11"/>
        </w:rPr>
      </w:pPr>
      <w:r>
        <w:rPr>
          <w:color w:val="231F20"/>
        </w:rPr>
        <w:t>On December 30, Second Senate Judge Theodor Prinzing ruled that Croissant was indeed acting as “supporter” and “mouthpiece” for the prisoners and, as such, for a “criminal association.” Ströbele was also alleged to be a member of a criminal association for referring to himself as a “socialist and a political lawyer,” and for expressing “solidarity with the thinking of the prisoners,” whom he referred to as “comrades.”</w:t>
      </w:r>
      <w:r>
        <w:rPr>
          <w:color w:val="231F20"/>
          <w:position w:val="7"/>
          <w:sz w:val="11"/>
        </w:rPr>
        <w:t>5</w:t>
      </w:r>
    </w:p>
    <w:p w14:paraId="72CA7C22" w14:textId="77777777" w:rsidR="002653E8" w:rsidRDefault="003115E3">
      <w:pPr>
        <w:pStyle w:val="a3"/>
        <w:spacing w:line="264" w:lineRule="auto"/>
        <w:ind w:left="1327" w:right="1145" w:firstLine="210"/>
        <w:jc w:val="both"/>
        <w:rPr>
          <w:sz w:val="11"/>
        </w:rPr>
      </w:pPr>
      <w:r>
        <w:rPr>
          <w:color w:val="231F20"/>
        </w:rPr>
        <w:t xml:space="preserve">(Ströbele’s wife, Juliana Ströbele-Gregor, was for a time banned from her job as a schoolteacher, subject to the </w:t>
      </w:r>
      <w:r>
        <w:rPr>
          <w:i/>
          <w:color w:val="231F20"/>
        </w:rPr>
        <w:t xml:space="preserve">Berufsverbot </w:t>
      </w:r>
      <w:r>
        <w:rPr>
          <w:color w:val="231F20"/>
        </w:rPr>
        <w:t>due to her husband’s work on the prisoners’ behalf. Although she succeeded in forcing the Administrative Court in Berlin to withdraw the ban, she remained stigmatized as the wife of a “terrorist lawyer.”)</w:t>
      </w:r>
      <w:r>
        <w:rPr>
          <w:color w:val="231F20"/>
          <w:position w:val="7"/>
          <w:sz w:val="11"/>
        </w:rPr>
        <w:t>6</w:t>
      </w:r>
    </w:p>
    <w:p w14:paraId="5D090E26" w14:textId="77777777" w:rsidR="002653E8" w:rsidRDefault="00000000">
      <w:pPr>
        <w:pStyle w:val="a3"/>
        <w:spacing w:line="264" w:lineRule="auto"/>
        <w:ind w:left="1327" w:right="1145" w:firstLine="210"/>
        <w:jc w:val="both"/>
      </w:pPr>
      <w:r>
        <w:rPr>
          <w:noProof w:val="0"/>
        </w:rPr>
        <w:pict w14:anchorId="4AAE11B9">
          <v:line id="_x0000_s2323" style="position:absolute;left:0;text-align:left;z-index:7744;mso-wrap-distance-left:0;mso-wrap-distance-right:0;mso-position-horizontal-relative:page" from="66.4pt,161.85pt" to="138.4pt,161.85pt" strokecolor="#231f20" strokeweight=".5pt">
            <w10:wrap type="topAndBottom" anchorx="page"/>
          </v:line>
        </w:pict>
      </w:r>
      <w:r w:rsidR="003115E3">
        <w:rPr>
          <w:color w:val="231F20"/>
        </w:rPr>
        <w:t xml:space="preserve">On January 1, </w:t>
      </w:r>
      <w:r w:rsidR="003115E3">
        <w:rPr>
          <w:color w:val="231F20"/>
          <w:spacing w:val="-6"/>
        </w:rPr>
        <w:t>1975,</w:t>
      </w:r>
      <w:r w:rsidR="003115E3">
        <w:rPr>
          <w:color w:val="231F20"/>
          <w:spacing w:val="31"/>
        </w:rPr>
        <w:t xml:space="preserve"> </w:t>
      </w:r>
      <w:r w:rsidR="003115E3">
        <w:rPr>
          <w:color w:val="231F20"/>
        </w:rPr>
        <w:t xml:space="preserve">all  of  this  was  given  added  legal  significance as legislation known as the </w:t>
      </w:r>
      <w:r w:rsidR="003115E3">
        <w:rPr>
          <w:i/>
          <w:color w:val="231F20"/>
        </w:rPr>
        <w:t>Lex Baader-Meinhof</w:t>
      </w:r>
      <w:r w:rsidR="003115E3">
        <w:rPr>
          <w:color w:val="231F20"/>
        </w:rPr>
        <w:t xml:space="preserve">, or “Baader-Meinhof </w:t>
      </w:r>
      <w:r w:rsidR="003115E3">
        <w:rPr>
          <w:color w:val="231F20"/>
          <w:spacing w:val="-2"/>
        </w:rPr>
        <w:t xml:space="preserve">Laws,” </w:t>
      </w:r>
      <w:r w:rsidR="003115E3">
        <w:rPr>
          <w:color w:val="231F20"/>
        </w:rPr>
        <w:t xml:space="preserve">became constitutional amendments to the Basic </w:t>
      </w:r>
      <w:r w:rsidR="003115E3">
        <w:rPr>
          <w:color w:val="231F20"/>
          <w:spacing w:val="-4"/>
        </w:rPr>
        <w:t xml:space="preserve">Law. </w:t>
      </w:r>
      <w:r w:rsidR="003115E3">
        <w:rPr>
          <w:color w:val="231F20"/>
        </w:rPr>
        <w:t xml:space="preserve">This solidified the attacks on the defense, </w:t>
      </w:r>
      <w:r w:rsidR="003115E3">
        <w:rPr>
          <w:color w:val="231F20"/>
          <w:spacing w:val="-5"/>
          <w:sz w:val="18"/>
        </w:rPr>
        <w:t>§§</w:t>
      </w:r>
      <w:r w:rsidR="003115E3">
        <w:rPr>
          <w:color w:val="231F20"/>
          <w:spacing w:val="-5"/>
        </w:rPr>
        <w:t xml:space="preserve">138a-d </w:t>
      </w:r>
      <w:r w:rsidR="003115E3">
        <w:rPr>
          <w:color w:val="231F20"/>
        </w:rPr>
        <w:t xml:space="preserve">allowing for the exclusion of any lawyers deemed to be “forming a criminal association with the defendant.” </w:t>
      </w:r>
      <w:r w:rsidR="003115E3">
        <w:rPr>
          <w:color w:val="231F20"/>
          <w:spacing w:val="-5"/>
          <w:sz w:val="18"/>
        </w:rPr>
        <w:t>§</w:t>
      </w:r>
      <w:r w:rsidR="003115E3">
        <w:rPr>
          <w:color w:val="231F20"/>
          <w:spacing w:val="-5"/>
        </w:rPr>
        <w:t xml:space="preserve">231a </w:t>
      </w:r>
      <w:r w:rsidR="003115E3">
        <w:rPr>
          <w:color w:val="231F20"/>
        </w:rPr>
        <w:t xml:space="preserve">and </w:t>
      </w:r>
      <w:r w:rsidR="003115E3">
        <w:rPr>
          <w:color w:val="231F20"/>
          <w:spacing w:val="-6"/>
          <w:sz w:val="18"/>
        </w:rPr>
        <w:t>§</w:t>
      </w:r>
      <w:r w:rsidR="003115E3">
        <w:rPr>
          <w:color w:val="231F20"/>
          <w:spacing w:val="-6"/>
        </w:rPr>
        <w:t xml:space="preserve">231b </w:t>
      </w:r>
      <w:r w:rsidR="003115E3">
        <w:rPr>
          <w:color w:val="231F20"/>
        </w:rPr>
        <w:t>allowed for trials to continue in the absence of a defendant if the reason for this absence was found to be    of the defendant’s own doing—a stipulation directly aimed at the prisoners’ effective use of hunger strikes.</w:t>
      </w:r>
      <w:r w:rsidR="003115E3">
        <w:rPr>
          <w:color w:val="231F20"/>
          <w:position w:val="7"/>
          <w:sz w:val="11"/>
        </w:rPr>
        <w:t xml:space="preserve">7 </w:t>
      </w:r>
      <w:r w:rsidR="003115E3">
        <w:rPr>
          <w:color w:val="231F20"/>
        </w:rPr>
        <w:t xml:space="preserve">Under </w:t>
      </w:r>
      <w:r w:rsidR="003115E3">
        <w:rPr>
          <w:color w:val="231F20"/>
          <w:spacing w:val="-3"/>
          <w:sz w:val="18"/>
        </w:rPr>
        <w:t>§</w:t>
      </w:r>
      <w:r w:rsidR="003115E3">
        <w:rPr>
          <w:color w:val="231F20"/>
          <w:spacing w:val="-3"/>
        </w:rPr>
        <w:t xml:space="preserve">146, </w:t>
      </w:r>
      <w:r w:rsidR="003115E3">
        <w:rPr>
          <w:color w:val="231F20"/>
        </w:rPr>
        <w:t>joint defenses were now prohibited, even though the Stammheim prisoners were facing a joint trial. This paragraph was used to forbid Otto Schily from speak ing</w:t>
      </w:r>
      <w:r w:rsidR="003115E3">
        <w:rPr>
          <w:color w:val="231F20"/>
          <w:spacing w:val="12"/>
        </w:rPr>
        <w:t xml:space="preserve"> </w:t>
      </w:r>
      <w:r w:rsidR="003115E3">
        <w:rPr>
          <w:color w:val="231F20"/>
        </w:rPr>
        <w:t>to</w:t>
      </w:r>
      <w:r w:rsidR="003115E3">
        <w:rPr>
          <w:color w:val="231F20"/>
          <w:spacing w:val="12"/>
        </w:rPr>
        <w:t xml:space="preserve"> </w:t>
      </w:r>
      <w:r w:rsidR="003115E3">
        <w:rPr>
          <w:color w:val="231F20"/>
        </w:rPr>
        <w:t>those</w:t>
      </w:r>
      <w:r w:rsidR="003115E3">
        <w:rPr>
          <w:color w:val="231F20"/>
          <w:spacing w:val="12"/>
        </w:rPr>
        <w:t xml:space="preserve"> </w:t>
      </w:r>
      <w:r w:rsidR="003115E3">
        <w:rPr>
          <w:color w:val="231F20"/>
        </w:rPr>
        <w:t>of</w:t>
      </w:r>
      <w:r w:rsidR="003115E3">
        <w:rPr>
          <w:color w:val="231F20"/>
          <w:spacing w:val="12"/>
        </w:rPr>
        <w:t xml:space="preserve"> </w:t>
      </w:r>
      <w:r w:rsidR="003115E3">
        <w:rPr>
          <w:color w:val="231F20"/>
        </w:rPr>
        <w:t>the</w:t>
      </w:r>
      <w:r w:rsidR="003115E3">
        <w:rPr>
          <w:color w:val="231F20"/>
          <w:spacing w:val="12"/>
        </w:rPr>
        <w:t xml:space="preserve"> </w:t>
      </w:r>
      <w:r w:rsidR="003115E3">
        <w:rPr>
          <w:color w:val="231F20"/>
        </w:rPr>
        <w:t>accused</w:t>
      </w:r>
      <w:r w:rsidR="003115E3">
        <w:rPr>
          <w:color w:val="231F20"/>
          <w:spacing w:val="12"/>
        </w:rPr>
        <w:t xml:space="preserve"> </w:t>
      </w:r>
      <w:r w:rsidR="003115E3">
        <w:rPr>
          <w:color w:val="231F20"/>
        </w:rPr>
        <w:t>whom</w:t>
      </w:r>
      <w:r w:rsidR="003115E3">
        <w:rPr>
          <w:color w:val="231F20"/>
          <w:spacing w:val="12"/>
        </w:rPr>
        <w:t xml:space="preserve"> </w:t>
      </w:r>
      <w:r w:rsidR="003115E3">
        <w:rPr>
          <w:color w:val="231F20"/>
        </w:rPr>
        <w:t>he</w:t>
      </w:r>
      <w:r w:rsidR="003115E3">
        <w:rPr>
          <w:color w:val="231F20"/>
          <w:spacing w:val="12"/>
        </w:rPr>
        <w:t xml:space="preserve"> </w:t>
      </w:r>
      <w:r w:rsidR="003115E3">
        <w:rPr>
          <w:color w:val="231F20"/>
        </w:rPr>
        <w:t>was</w:t>
      </w:r>
      <w:r w:rsidR="003115E3">
        <w:rPr>
          <w:color w:val="231F20"/>
          <w:spacing w:val="12"/>
        </w:rPr>
        <w:t xml:space="preserve"> </w:t>
      </w:r>
      <w:r w:rsidR="003115E3">
        <w:rPr>
          <w:color w:val="231F20"/>
        </w:rPr>
        <w:t>not</w:t>
      </w:r>
      <w:r w:rsidR="003115E3">
        <w:rPr>
          <w:color w:val="231F20"/>
          <w:spacing w:val="12"/>
        </w:rPr>
        <w:t xml:space="preserve"> </w:t>
      </w:r>
      <w:r w:rsidR="003115E3">
        <w:rPr>
          <w:color w:val="231F20"/>
        </w:rPr>
        <w:t>defending,</w:t>
      </w:r>
      <w:r w:rsidR="003115E3">
        <w:rPr>
          <w:color w:val="231F20"/>
          <w:spacing w:val="12"/>
        </w:rPr>
        <w:t xml:space="preserve"> </w:t>
      </w:r>
      <w:r w:rsidR="003115E3">
        <w:rPr>
          <w:color w:val="231F20"/>
        </w:rPr>
        <w:t>even</w:t>
      </w:r>
      <w:r w:rsidR="003115E3">
        <w:rPr>
          <w:color w:val="231F20"/>
          <w:spacing w:val="12"/>
        </w:rPr>
        <w:t xml:space="preserve"> </w:t>
      </w:r>
      <w:r w:rsidR="003115E3">
        <w:rPr>
          <w:color w:val="231F20"/>
        </w:rPr>
        <w:t>when</w:t>
      </w:r>
      <w:r w:rsidR="003115E3">
        <w:rPr>
          <w:color w:val="231F20"/>
          <w:spacing w:val="12"/>
        </w:rPr>
        <w:t xml:space="preserve"> </w:t>
      </w:r>
      <w:r w:rsidR="003115E3">
        <w:rPr>
          <w:color w:val="231F20"/>
        </w:rPr>
        <w:t>he</w:t>
      </w:r>
    </w:p>
    <w:p w14:paraId="3F70B3ED" w14:textId="77777777" w:rsidR="002653E8" w:rsidRDefault="003115E3">
      <w:pPr>
        <w:pStyle w:val="a4"/>
        <w:numPr>
          <w:ilvl w:val="0"/>
          <w:numId w:val="95"/>
        </w:numPr>
        <w:tabs>
          <w:tab w:val="left" w:pos="1467"/>
        </w:tabs>
        <w:spacing w:before="53" w:line="307" w:lineRule="auto"/>
        <w:ind w:left="1327" w:right="4267" w:firstLine="0"/>
        <w:jc w:val="left"/>
        <w:rPr>
          <w:sz w:val="16"/>
        </w:rPr>
      </w:pPr>
      <w:r w:rsidRPr="00C507A5">
        <w:rPr>
          <w:color w:val="231F20"/>
          <w:w w:val="110"/>
          <w:sz w:val="16"/>
          <w:lang w:val="de-DE"/>
        </w:rPr>
        <w:t xml:space="preserve">Croissant, “Le procès de Stuttgart,” </w:t>
      </w:r>
      <w:r w:rsidRPr="00C507A5">
        <w:rPr>
          <w:color w:val="231F20"/>
          <w:spacing w:val="-6"/>
          <w:w w:val="110"/>
          <w:sz w:val="16"/>
          <w:lang w:val="de-DE"/>
        </w:rPr>
        <w:t xml:space="preserve">17. </w:t>
      </w:r>
      <w:r>
        <w:rPr>
          <w:color w:val="231F20"/>
          <w:w w:val="110"/>
          <w:sz w:val="16"/>
        </w:rPr>
        <w:t xml:space="preserve">4 Bakker Schut, </w:t>
      </w:r>
      <w:r>
        <w:rPr>
          <w:i/>
          <w:color w:val="231F20"/>
          <w:spacing w:val="1"/>
          <w:w w:val="110"/>
          <w:sz w:val="16"/>
        </w:rPr>
        <w:t>Stammheim,</w:t>
      </w:r>
      <w:r>
        <w:rPr>
          <w:i/>
          <w:color w:val="231F20"/>
          <w:spacing w:val="16"/>
          <w:w w:val="110"/>
          <w:sz w:val="16"/>
        </w:rPr>
        <w:t xml:space="preserve"> </w:t>
      </w:r>
      <w:r>
        <w:rPr>
          <w:color w:val="231F20"/>
          <w:spacing w:val="-7"/>
          <w:w w:val="110"/>
          <w:sz w:val="16"/>
        </w:rPr>
        <w:t>157.</w:t>
      </w:r>
    </w:p>
    <w:p w14:paraId="61B3690E" w14:textId="77777777" w:rsidR="002653E8" w:rsidRDefault="003115E3">
      <w:pPr>
        <w:spacing w:line="186" w:lineRule="exact"/>
        <w:ind w:left="1327"/>
        <w:rPr>
          <w:sz w:val="16"/>
        </w:rPr>
      </w:pPr>
      <w:r>
        <w:rPr>
          <w:color w:val="231F20"/>
          <w:w w:val="115"/>
          <w:sz w:val="16"/>
        </w:rPr>
        <w:t>5 Ibid., 158.</w:t>
      </w:r>
    </w:p>
    <w:p w14:paraId="3AD235BF" w14:textId="77777777" w:rsidR="002653E8" w:rsidRDefault="003115E3">
      <w:pPr>
        <w:pStyle w:val="a4"/>
        <w:numPr>
          <w:ilvl w:val="0"/>
          <w:numId w:val="94"/>
        </w:numPr>
        <w:tabs>
          <w:tab w:val="left" w:pos="1467"/>
        </w:tabs>
        <w:spacing w:before="51"/>
        <w:ind w:firstLine="0"/>
        <w:rPr>
          <w:sz w:val="16"/>
        </w:rPr>
      </w:pPr>
      <w:r>
        <w:rPr>
          <w:color w:val="231F20"/>
          <w:w w:val="115"/>
          <w:sz w:val="16"/>
        </w:rPr>
        <w:t xml:space="preserve">Jacobs, “Civil Rights and </w:t>
      </w:r>
      <w:r>
        <w:rPr>
          <w:color w:val="231F20"/>
          <w:spacing w:val="-3"/>
          <w:w w:val="115"/>
          <w:sz w:val="16"/>
        </w:rPr>
        <w:t xml:space="preserve">Women’s </w:t>
      </w:r>
      <w:r>
        <w:rPr>
          <w:color w:val="231F20"/>
          <w:w w:val="115"/>
          <w:sz w:val="16"/>
        </w:rPr>
        <w:t>Rights,”</w:t>
      </w:r>
      <w:r>
        <w:rPr>
          <w:color w:val="231F20"/>
          <w:spacing w:val="23"/>
          <w:w w:val="115"/>
          <w:sz w:val="16"/>
        </w:rPr>
        <w:t xml:space="preserve"> </w:t>
      </w:r>
      <w:r>
        <w:rPr>
          <w:color w:val="231F20"/>
          <w:spacing w:val="-3"/>
          <w:w w:val="115"/>
          <w:sz w:val="16"/>
        </w:rPr>
        <w:t>168.</w:t>
      </w:r>
    </w:p>
    <w:p w14:paraId="2D64BD4D" w14:textId="77777777" w:rsidR="002653E8" w:rsidRDefault="003115E3">
      <w:pPr>
        <w:pStyle w:val="a4"/>
        <w:numPr>
          <w:ilvl w:val="0"/>
          <w:numId w:val="94"/>
        </w:numPr>
        <w:tabs>
          <w:tab w:val="left" w:pos="1467"/>
        </w:tabs>
        <w:spacing w:before="52" w:line="254" w:lineRule="auto"/>
        <w:ind w:right="1165" w:firstLine="0"/>
        <w:rPr>
          <w:sz w:val="16"/>
        </w:rPr>
      </w:pPr>
      <w:r>
        <w:rPr>
          <w:color w:val="231F20"/>
          <w:sz w:val="16"/>
        </w:rPr>
        <w:t>It should be noted that even as they condemned this as a transparent move to bar    them from proceedings, the prisoners also insisted that they were unfit to stand trial because</w:t>
      </w:r>
      <w:r>
        <w:rPr>
          <w:color w:val="231F20"/>
          <w:spacing w:val="15"/>
          <w:sz w:val="16"/>
        </w:rPr>
        <w:t xml:space="preserve"> </w:t>
      </w:r>
      <w:r>
        <w:rPr>
          <w:color w:val="231F20"/>
          <w:sz w:val="16"/>
        </w:rPr>
        <w:t>of</w:t>
      </w:r>
      <w:r>
        <w:rPr>
          <w:color w:val="231F20"/>
          <w:spacing w:val="15"/>
          <w:sz w:val="16"/>
        </w:rPr>
        <w:t xml:space="preserve"> </w:t>
      </w:r>
      <w:r>
        <w:rPr>
          <w:color w:val="231F20"/>
          <w:sz w:val="16"/>
        </w:rPr>
        <w:t>the</w:t>
      </w:r>
      <w:r>
        <w:rPr>
          <w:color w:val="231F20"/>
          <w:spacing w:val="15"/>
          <w:sz w:val="16"/>
        </w:rPr>
        <w:t xml:space="preserve"> </w:t>
      </w:r>
      <w:r>
        <w:rPr>
          <w:color w:val="231F20"/>
          <w:sz w:val="16"/>
        </w:rPr>
        <w:t>isolation</w:t>
      </w:r>
      <w:r>
        <w:rPr>
          <w:color w:val="231F20"/>
          <w:spacing w:val="15"/>
          <w:sz w:val="16"/>
        </w:rPr>
        <w:t xml:space="preserve"> </w:t>
      </w:r>
      <w:r>
        <w:rPr>
          <w:color w:val="231F20"/>
          <w:sz w:val="16"/>
        </w:rPr>
        <w:t>conditions,</w:t>
      </w:r>
      <w:r>
        <w:rPr>
          <w:color w:val="231F20"/>
          <w:spacing w:val="15"/>
          <w:sz w:val="16"/>
        </w:rPr>
        <w:t xml:space="preserve"> </w:t>
      </w:r>
      <w:r>
        <w:rPr>
          <w:color w:val="231F20"/>
          <w:sz w:val="16"/>
        </w:rPr>
        <w:t>not</w:t>
      </w:r>
      <w:r>
        <w:rPr>
          <w:color w:val="231F20"/>
          <w:spacing w:val="15"/>
          <w:sz w:val="16"/>
        </w:rPr>
        <w:t xml:space="preserve"> </w:t>
      </w:r>
      <w:r>
        <w:rPr>
          <w:color w:val="231F20"/>
          <w:sz w:val="16"/>
        </w:rPr>
        <w:t>the</w:t>
      </w:r>
      <w:r>
        <w:rPr>
          <w:color w:val="231F20"/>
          <w:spacing w:val="15"/>
          <w:sz w:val="16"/>
        </w:rPr>
        <w:t xml:space="preserve"> </w:t>
      </w:r>
      <w:r>
        <w:rPr>
          <w:color w:val="231F20"/>
          <w:sz w:val="16"/>
        </w:rPr>
        <w:t>hunger</w:t>
      </w:r>
      <w:r>
        <w:rPr>
          <w:color w:val="231F20"/>
          <w:spacing w:val="15"/>
          <w:sz w:val="16"/>
        </w:rPr>
        <w:t xml:space="preserve"> </w:t>
      </w:r>
      <w:r>
        <w:rPr>
          <w:color w:val="231F20"/>
          <w:sz w:val="16"/>
        </w:rPr>
        <w:t>strikes</w:t>
      </w:r>
      <w:r>
        <w:rPr>
          <w:color w:val="231F20"/>
          <w:spacing w:val="15"/>
          <w:sz w:val="16"/>
        </w:rPr>
        <w:t xml:space="preserve"> </w:t>
      </w:r>
      <w:r>
        <w:rPr>
          <w:color w:val="231F20"/>
          <w:sz w:val="16"/>
        </w:rPr>
        <w:t>themselves.</w:t>
      </w:r>
    </w:p>
    <w:p w14:paraId="0CBEEF71" w14:textId="77777777" w:rsidR="002653E8" w:rsidRDefault="002653E8">
      <w:pPr>
        <w:spacing w:line="254" w:lineRule="auto"/>
        <w:rPr>
          <w:sz w:val="16"/>
        </w:rPr>
        <w:sectPr w:rsidR="002653E8">
          <w:footerReference w:type="even" r:id="rId293"/>
          <w:footerReference w:type="default" r:id="rId294"/>
          <w:pgSz w:w="8640" w:h="12960"/>
          <w:pgMar w:top="1060" w:right="0" w:bottom="1040" w:left="0" w:header="0" w:footer="850" w:gutter="0"/>
          <w:pgNumType w:start="345"/>
          <w:cols w:space="720"/>
        </w:sectPr>
      </w:pPr>
    </w:p>
    <w:p w14:paraId="13F48BEF" w14:textId="77777777" w:rsidR="002653E8" w:rsidRDefault="003115E3">
      <w:pPr>
        <w:pStyle w:val="a3"/>
        <w:spacing w:before="86" w:line="264" w:lineRule="auto"/>
        <w:ind w:left="1147" w:right="1325"/>
        <w:jc w:val="both"/>
        <w:rPr>
          <w:sz w:val="11"/>
        </w:rPr>
      </w:pPr>
      <w:r>
        <w:rPr>
          <w:color w:val="231F20"/>
        </w:rPr>
        <w:lastRenderedPageBreak/>
        <w:t xml:space="preserve">saw them every day in court. Surveillance of defense correspondence was sanctioned by </w:t>
      </w:r>
      <w:r>
        <w:rPr>
          <w:color w:val="231F20"/>
          <w:spacing w:val="-3"/>
          <w:sz w:val="18"/>
        </w:rPr>
        <w:t>§</w:t>
      </w:r>
      <w:r>
        <w:rPr>
          <w:color w:val="231F20"/>
          <w:spacing w:val="-3"/>
        </w:rPr>
        <w:t xml:space="preserve">148 </w:t>
      </w:r>
      <w:r>
        <w:rPr>
          <w:color w:val="231F20"/>
        </w:rPr>
        <w:t xml:space="preserve">and </w:t>
      </w:r>
      <w:r>
        <w:rPr>
          <w:color w:val="231F20"/>
          <w:sz w:val="18"/>
        </w:rPr>
        <w:t>§</w:t>
      </w:r>
      <w:r>
        <w:rPr>
          <w:color w:val="231F20"/>
        </w:rPr>
        <w:t xml:space="preserve">148a, while the previously held right of the accused and defense lawyers to issue statements under </w:t>
      </w:r>
      <w:r>
        <w:rPr>
          <w:color w:val="231F20"/>
          <w:spacing w:val="-7"/>
          <w:sz w:val="18"/>
        </w:rPr>
        <w:t>§</w:t>
      </w:r>
      <w:r>
        <w:rPr>
          <w:color w:val="231F20"/>
          <w:spacing w:val="-7"/>
        </w:rPr>
        <w:t xml:space="preserve">275a </w:t>
      </w:r>
      <w:r>
        <w:rPr>
          <w:color w:val="231F20"/>
        </w:rPr>
        <w:t>was withdrawn.</w:t>
      </w:r>
      <w:r>
        <w:rPr>
          <w:color w:val="231F20"/>
          <w:position w:val="7"/>
          <w:sz w:val="11"/>
        </w:rPr>
        <w:t>1</w:t>
      </w:r>
    </w:p>
    <w:p w14:paraId="27A9070C" w14:textId="77777777" w:rsidR="002653E8" w:rsidRDefault="003115E3">
      <w:pPr>
        <w:pStyle w:val="a3"/>
        <w:spacing w:line="264" w:lineRule="auto"/>
        <w:ind w:left="1148" w:right="1325" w:firstLine="209"/>
        <w:jc w:val="both"/>
        <w:rPr>
          <w:sz w:val="11"/>
        </w:rPr>
      </w:pPr>
      <w:r>
        <w:rPr>
          <w:color w:val="231F20"/>
        </w:rPr>
        <w:t xml:space="preserve">On March </w:t>
      </w:r>
      <w:r>
        <w:rPr>
          <w:color w:val="231F20"/>
          <w:spacing w:val="-7"/>
        </w:rPr>
        <w:t xml:space="preserve">17, </w:t>
      </w:r>
      <w:r>
        <w:rPr>
          <w:color w:val="231F20"/>
          <w:spacing w:val="-6"/>
        </w:rPr>
        <w:t xml:space="preserve">1975, </w:t>
      </w:r>
      <w:r>
        <w:rPr>
          <w:color w:val="231F20"/>
        </w:rPr>
        <w:t xml:space="preserve">Prinzing approved Buback’s motion and Croissant was barred from representing Baader. The court listed three reasons for this decision. First, in November </w:t>
      </w:r>
      <w:r>
        <w:rPr>
          <w:color w:val="231F20"/>
          <w:spacing w:val="-6"/>
        </w:rPr>
        <w:t xml:space="preserve">1974, </w:t>
      </w:r>
      <w:r>
        <w:rPr>
          <w:color w:val="231F20"/>
        </w:rPr>
        <w:t xml:space="preserve">Croissant had refused to share information that the lawyers were circulating amongst the prisoners with his client Bernhard Braun because of </w:t>
      </w:r>
      <w:r>
        <w:rPr>
          <w:color w:val="231F20"/>
          <w:spacing w:val="-3"/>
        </w:rPr>
        <w:t xml:space="preserve">Braun’s </w:t>
      </w:r>
      <w:r>
        <w:rPr>
          <w:color w:val="231F20"/>
        </w:rPr>
        <w:t xml:space="preserve">decision to break off his hunger strike. Second, Croissant had spoken at a solidarity event for the hunger strikers on November 8, </w:t>
      </w:r>
      <w:r>
        <w:rPr>
          <w:color w:val="231F20"/>
          <w:spacing w:val="-6"/>
        </w:rPr>
        <w:t xml:space="preserve">1974, </w:t>
      </w:r>
      <w:r>
        <w:rPr>
          <w:color w:val="231F20"/>
        </w:rPr>
        <w:t xml:space="preserve">the day before the death of Holger Meins. Third, Croissant had represented the prisoners in their negotiations with </w:t>
      </w:r>
      <w:r>
        <w:rPr>
          <w:i/>
          <w:color w:val="231F20"/>
        </w:rPr>
        <w:t xml:space="preserve">Spiegel </w:t>
      </w:r>
      <w:r>
        <w:rPr>
          <w:color w:val="231F20"/>
        </w:rPr>
        <w:t xml:space="preserve">regarding an interview conducted in January </w:t>
      </w:r>
      <w:r>
        <w:rPr>
          <w:color w:val="231F20"/>
          <w:spacing w:val="-5"/>
        </w:rPr>
        <w:t>1975.</w:t>
      </w:r>
      <w:r>
        <w:rPr>
          <w:color w:val="231F20"/>
          <w:spacing w:val="-5"/>
          <w:position w:val="7"/>
          <w:sz w:val="11"/>
        </w:rPr>
        <w:t>2</w:t>
      </w:r>
    </w:p>
    <w:p w14:paraId="1A802C2E" w14:textId="77777777" w:rsidR="002653E8" w:rsidRDefault="003115E3">
      <w:pPr>
        <w:pStyle w:val="a3"/>
        <w:spacing w:line="225" w:lineRule="exact"/>
        <w:ind w:left="1357"/>
      </w:pPr>
      <w:r>
        <w:rPr>
          <w:color w:val="231F20"/>
        </w:rPr>
        <w:t>All three acts were deemed to constitute punishable offenses under</w:t>
      </w:r>
    </w:p>
    <w:p w14:paraId="422BABDD" w14:textId="77777777" w:rsidR="002653E8" w:rsidRDefault="003115E3">
      <w:pPr>
        <w:pStyle w:val="a3"/>
        <w:spacing w:before="19"/>
        <w:ind w:left="1147"/>
      </w:pPr>
      <w:r>
        <w:rPr>
          <w:color w:val="231F20"/>
          <w:w w:val="110"/>
          <w:sz w:val="18"/>
        </w:rPr>
        <w:t>§</w:t>
      </w:r>
      <w:r>
        <w:rPr>
          <w:color w:val="231F20"/>
          <w:w w:val="110"/>
        </w:rPr>
        <w:t>129.</w:t>
      </w:r>
    </w:p>
    <w:p w14:paraId="206D1E3F" w14:textId="77777777" w:rsidR="002653E8" w:rsidRDefault="003115E3">
      <w:pPr>
        <w:pStyle w:val="a3"/>
        <w:spacing w:before="22" w:line="264" w:lineRule="auto"/>
        <w:ind w:left="1148" w:right="1326" w:firstLine="209"/>
        <w:jc w:val="both"/>
      </w:pPr>
      <w:r>
        <w:rPr>
          <w:color w:val="231F20"/>
        </w:rPr>
        <w:t xml:space="preserve">On May </w:t>
      </w:r>
      <w:r>
        <w:rPr>
          <w:color w:val="231F20"/>
          <w:spacing w:val="-4"/>
        </w:rPr>
        <w:t xml:space="preserve">5, </w:t>
      </w:r>
      <w:r>
        <w:rPr>
          <w:color w:val="231F20"/>
          <w:spacing w:val="-6"/>
        </w:rPr>
        <w:t xml:space="preserve">1975, </w:t>
      </w:r>
      <w:r>
        <w:rPr>
          <w:color w:val="231F20"/>
        </w:rPr>
        <w:t>Groenewold was barred from representing Baader  on the basis of allegations that his office served as an “information central” to allow prisoners to communicate between themselves. What this likely meant was that he had passed letters from one prisoner to another, and may have photocopied letters meant to be shared with several</w:t>
      </w:r>
      <w:r>
        <w:rPr>
          <w:color w:val="231F20"/>
          <w:spacing w:val="10"/>
        </w:rPr>
        <w:t xml:space="preserve"> </w:t>
      </w:r>
      <w:r>
        <w:rPr>
          <w:color w:val="231F20"/>
        </w:rPr>
        <w:t>prisoners,</w:t>
      </w:r>
      <w:r>
        <w:rPr>
          <w:color w:val="231F20"/>
          <w:spacing w:val="10"/>
        </w:rPr>
        <w:t xml:space="preserve"> </w:t>
      </w:r>
      <w:r>
        <w:rPr>
          <w:color w:val="231F20"/>
        </w:rPr>
        <w:t>all</w:t>
      </w:r>
      <w:r>
        <w:rPr>
          <w:color w:val="231F20"/>
          <w:spacing w:val="10"/>
        </w:rPr>
        <w:t xml:space="preserve"> </w:t>
      </w:r>
      <w:r>
        <w:rPr>
          <w:color w:val="231F20"/>
        </w:rPr>
        <w:t>as</w:t>
      </w:r>
      <w:r>
        <w:rPr>
          <w:color w:val="231F20"/>
          <w:spacing w:val="10"/>
        </w:rPr>
        <w:t xml:space="preserve"> </w:t>
      </w:r>
      <w:r>
        <w:rPr>
          <w:color w:val="231F20"/>
        </w:rPr>
        <w:t>part</w:t>
      </w:r>
      <w:r>
        <w:rPr>
          <w:color w:val="231F20"/>
          <w:spacing w:val="10"/>
        </w:rPr>
        <w:t xml:space="preserve"> </w:t>
      </w:r>
      <w:r>
        <w:rPr>
          <w:color w:val="231F20"/>
        </w:rPr>
        <w:t>of</w:t>
      </w:r>
      <w:r>
        <w:rPr>
          <w:color w:val="231F20"/>
          <w:spacing w:val="10"/>
        </w:rPr>
        <w:t xml:space="preserve"> </w:t>
      </w:r>
      <w:r>
        <w:rPr>
          <w:color w:val="231F20"/>
        </w:rPr>
        <w:t>the</w:t>
      </w:r>
      <w:r>
        <w:rPr>
          <w:color w:val="231F20"/>
          <w:spacing w:val="11"/>
        </w:rPr>
        <w:t xml:space="preserve"> </w:t>
      </w:r>
      <w:r>
        <w:rPr>
          <w:i/>
          <w:color w:val="231F20"/>
        </w:rPr>
        <w:t>Info</w:t>
      </w:r>
      <w:r>
        <w:rPr>
          <w:i/>
          <w:color w:val="231F20"/>
          <w:spacing w:val="10"/>
        </w:rPr>
        <w:t xml:space="preserve"> </w:t>
      </w:r>
      <w:r>
        <w:rPr>
          <w:color w:val="231F20"/>
        </w:rPr>
        <w:t>system.</w:t>
      </w:r>
    </w:p>
    <w:p w14:paraId="152E0C04" w14:textId="77777777" w:rsidR="002653E8" w:rsidRDefault="003115E3">
      <w:pPr>
        <w:pStyle w:val="a3"/>
        <w:spacing w:line="264" w:lineRule="auto"/>
        <w:ind w:left="1147" w:right="1327" w:firstLine="210"/>
        <w:jc w:val="both"/>
      </w:pPr>
      <w:r>
        <w:rPr>
          <w:color w:val="231F20"/>
          <w:w w:val="105"/>
        </w:rPr>
        <w:t>The next day, on May 6, Ströbele was similarly excluded, again on the basis of accusations that he was key to an “information central.”</w:t>
      </w:r>
    </w:p>
    <w:p w14:paraId="228FA09D" w14:textId="77777777" w:rsidR="002653E8" w:rsidRDefault="003115E3">
      <w:pPr>
        <w:pStyle w:val="a3"/>
        <w:spacing w:line="264" w:lineRule="auto"/>
        <w:ind w:left="1147" w:right="1326" w:firstLine="210"/>
        <w:jc w:val="both"/>
      </w:pPr>
      <w:r>
        <w:rPr>
          <w:color w:val="231F20"/>
        </w:rPr>
        <w:t>It is clear that this series of exclusions, as well as those that followed, were meant to serve several functions.</w:t>
      </w:r>
    </w:p>
    <w:p w14:paraId="7B11727C" w14:textId="77777777" w:rsidR="002653E8" w:rsidRDefault="003115E3">
      <w:pPr>
        <w:pStyle w:val="a3"/>
        <w:spacing w:line="264" w:lineRule="auto"/>
        <w:ind w:left="1147" w:right="1326" w:firstLine="210"/>
        <w:jc w:val="both"/>
      </w:pPr>
      <w:r>
        <w:rPr>
          <w:color w:val="231F20"/>
        </w:rPr>
        <w:t>The most apparent objective was to prevent the prisoners from adequately defending themselves in the Stammheim trial which was about to begin on May 21.</w:t>
      </w:r>
    </w:p>
    <w:p w14:paraId="6761FBE0" w14:textId="77777777" w:rsidR="002653E8" w:rsidRDefault="003115E3">
      <w:pPr>
        <w:pStyle w:val="a3"/>
        <w:spacing w:line="264" w:lineRule="auto"/>
        <w:ind w:left="1147" w:right="1326" w:firstLine="210"/>
        <w:jc w:val="both"/>
        <w:rPr>
          <w:sz w:val="11"/>
        </w:rPr>
      </w:pPr>
      <w:r>
        <w:rPr>
          <w:color w:val="231F20"/>
        </w:rPr>
        <w:t xml:space="preserve">Croissant argued that by facilitating the prisoners’ interview with </w:t>
      </w:r>
      <w:r>
        <w:rPr>
          <w:i/>
          <w:color w:val="231F20"/>
        </w:rPr>
        <w:t>Spiegel</w:t>
      </w:r>
      <w:r>
        <w:rPr>
          <w:color w:val="231F20"/>
        </w:rPr>
        <w:t xml:space="preserve">, and making public statements on their behalf, he was merely doing what any good lawyer was supposed to do: presenting his clients’ version of events and their motivations to the public. </w:t>
      </w:r>
      <w:r>
        <w:rPr>
          <w:color w:val="231F20"/>
          <w:spacing w:val="-3"/>
        </w:rPr>
        <w:t xml:space="preserve">yet, </w:t>
      </w:r>
      <w:r>
        <w:rPr>
          <w:color w:val="231F20"/>
        </w:rPr>
        <w:t>it would seem the</w:t>
      </w:r>
      <w:r>
        <w:rPr>
          <w:color w:val="231F20"/>
          <w:spacing w:val="-7"/>
        </w:rPr>
        <w:t xml:space="preserve"> </w:t>
      </w:r>
      <w:r>
        <w:rPr>
          <w:color w:val="231F20"/>
        </w:rPr>
        <w:t>prisoners</w:t>
      </w:r>
      <w:r>
        <w:rPr>
          <w:color w:val="231F20"/>
          <w:spacing w:val="-7"/>
        </w:rPr>
        <w:t xml:space="preserve"> </w:t>
      </w:r>
      <w:r>
        <w:rPr>
          <w:color w:val="231F20"/>
        </w:rPr>
        <w:t>were</w:t>
      </w:r>
      <w:r>
        <w:rPr>
          <w:color w:val="231F20"/>
          <w:spacing w:val="-7"/>
        </w:rPr>
        <w:t xml:space="preserve"> </w:t>
      </w:r>
      <w:r>
        <w:rPr>
          <w:color w:val="231F20"/>
        </w:rPr>
        <w:t>not</w:t>
      </w:r>
      <w:r>
        <w:rPr>
          <w:color w:val="231F20"/>
          <w:spacing w:val="-7"/>
        </w:rPr>
        <w:t xml:space="preserve"> </w:t>
      </w:r>
      <w:r>
        <w:rPr>
          <w:color w:val="231F20"/>
        </w:rPr>
        <w:t>supposed</w:t>
      </w:r>
      <w:r>
        <w:rPr>
          <w:color w:val="231F20"/>
          <w:spacing w:val="-7"/>
        </w:rPr>
        <w:t xml:space="preserve"> </w:t>
      </w:r>
      <w:r>
        <w:rPr>
          <w:color w:val="231F20"/>
        </w:rPr>
        <w:t>to</w:t>
      </w:r>
      <w:r>
        <w:rPr>
          <w:color w:val="231F20"/>
          <w:spacing w:val="-7"/>
        </w:rPr>
        <w:t xml:space="preserve"> </w:t>
      </w:r>
      <w:r>
        <w:rPr>
          <w:color w:val="231F20"/>
        </w:rPr>
        <w:t>have</w:t>
      </w:r>
      <w:r>
        <w:rPr>
          <w:color w:val="231F20"/>
          <w:spacing w:val="-7"/>
        </w:rPr>
        <w:t xml:space="preserve"> </w:t>
      </w:r>
      <w:r>
        <w:rPr>
          <w:color w:val="231F20"/>
        </w:rPr>
        <w:t>lawyers</w:t>
      </w:r>
      <w:r>
        <w:rPr>
          <w:color w:val="231F20"/>
          <w:spacing w:val="-7"/>
        </w:rPr>
        <w:t xml:space="preserve"> </w:t>
      </w:r>
      <w:r>
        <w:rPr>
          <w:color w:val="231F20"/>
        </w:rPr>
        <w:t>who</w:t>
      </w:r>
      <w:r>
        <w:rPr>
          <w:color w:val="231F20"/>
          <w:spacing w:val="-7"/>
        </w:rPr>
        <w:t xml:space="preserve"> </w:t>
      </w:r>
      <w:r>
        <w:rPr>
          <w:color w:val="231F20"/>
        </w:rPr>
        <w:t>did</w:t>
      </w:r>
      <w:r>
        <w:rPr>
          <w:color w:val="231F20"/>
          <w:spacing w:val="-7"/>
        </w:rPr>
        <w:t xml:space="preserve"> </w:t>
      </w:r>
      <w:r>
        <w:rPr>
          <w:color w:val="231F20"/>
        </w:rPr>
        <w:t>their</w:t>
      </w:r>
      <w:r>
        <w:rPr>
          <w:color w:val="231F20"/>
          <w:spacing w:val="-7"/>
        </w:rPr>
        <w:t xml:space="preserve"> </w:t>
      </w:r>
      <w:r>
        <w:rPr>
          <w:color w:val="231F20"/>
        </w:rPr>
        <w:t>job</w:t>
      </w:r>
      <w:r>
        <w:rPr>
          <w:color w:val="231F20"/>
          <w:spacing w:val="-7"/>
        </w:rPr>
        <w:t xml:space="preserve"> </w:t>
      </w:r>
      <w:r>
        <w:rPr>
          <w:color w:val="231F20"/>
        </w:rPr>
        <w:t>prop</w:t>
      </w:r>
      <w:r>
        <w:rPr>
          <w:color w:val="231F20"/>
          <w:spacing w:val="-4"/>
        </w:rPr>
        <w:t xml:space="preserve">erly, </w:t>
      </w:r>
      <w:r>
        <w:rPr>
          <w:color w:val="231F20"/>
        </w:rPr>
        <w:t xml:space="preserve">for as Croissant observed, “By this court decision, just a few weeks before his trial, Andreas Baader is being denied a lawyer who has spent several years preparing his </w:t>
      </w:r>
      <w:r>
        <w:rPr>
          <w:color w:val="231F20"/>
          <w:spacing w:val="-3"/>
        </w:rPr>
        <w:t>defense…”</w:t>
      </w:r>
      <w:r>
        <w:rPr>
          <w:color w:val="231F20"/>
          <w:spacing w:val="-3"/>
          <w:position w:val="7"/>
          <w:sz w:val="11"/>
        </w:rPr>
        <w:t>3</w:t>
      </w:r>
    </w:p>
    <w:p w14:paraId="3508B1E4" w14:textId="77777777" w:rsidR="002653E8" w:rsidRDefault="002653E8">
      <w:pPr>
        <w:pStyle w:val="a3"/>
        <w:spacing w:before="10"/>
        <w:rPr>
          <w:sz w:val="18"/>
        </w:rPr>
      </w:pPr>
    </w:p>
    <w:p w14:paraId="299D58C9" w14:textId="77777777" w:rsidR="002653E8" w:rsidRDefault="003115E3">
      <w:pPr>
        <w:pStyle w:val="a4"/>
        <w:numPr>
          <w:ilvl w:val="0"/>
          <w:numId w:val="93"/>
        </w:numPr>
        <w:tabs>
          <w:tab w:val="left" w:pos="1287"/>
        </w:tabs>
        <w:spacing w:before="105"/>
        <w:ind w:firstLine="0"/>
        <w:rPr>
          <w:sz w:val="16"/>
        </w:rPr>
      </w:pPr>
      <w:r>
        <w:rPr>
          <w:color w:val="231F20"/>
          <w:w w:val="115"/>
          <w:sz w:val="16"/>
        </w:rPr>
        <w:t>Cobler,</w:t>
      </w:r>
      <w:r>
        <w:rPr>
          <w:color w:val="231F20"/>
          <w:spacing w:val="3"/>
          <w:w w:val="115"/>
          <w:sz w:val="16"/>
        </w:rPr>
        <w:t xml:space="preserve"> </w:t>
      </w:r>
      <w:r>
        <w:rPr>
          <w:color w:val="231F20"/>
          <w:w w:val="115"/>
          <w:sz w:val="16"/>
        </w:rPr>
        <w:t>207.</w:t>
      </w:r>
    </w:p>
    <w:p w14:paraId="1463F283" w14:textId="77777777" w:rsidR="002653E8" w:rsidRDefault="003115E3">
      <w:pPr>
        <w:pStyle w:val="a4"/>
        <w:numPr>
          <w:ilvl w:val="0"/>
          <w:numId w:val="93"/>
        </w:numPr>
        <w:tabs>
          <w:tab w:val="left" w:pos="1287"/>
        </w:tabs>
        <w:spacing w:before="51" w:line="307" w:lineRule="auto"/>
        <w:ind w:right="1924" w:firstLine="0"/>
        <w:rPr>
          <w:sz w:val="16"/>
        </w:rPr>
      </w:pPr>
      <w:r w:rsidRPr="00C507A5">
        <w:rPr>
          <w:color w:val="231F20"/>
          <w:w w:val="110"/>
          <w:sz w:val="16"/>
          <w:lang w:val="de-DE"/>
        </w:rPr>
        <w:t>“Wir</w:t>
      </w:r>
      <w:r w:rsidRPr="00C507A5">
        <w:rPr>
          <w:color w:val="231F20"/>
          <w:spacing w:val="-8"/>
          <w:w w:val="110"/>
          <w:sz w:val="16"/>
          <w:lang w:val="de-DE"/>
        </w:rPr>
        <w:t xml:space="preserve"> </w:t>
      </w:r>
      <w:r w:rsidRPr="00C507A5">
        <w:rPr>
          <w:color w:val="231F20"/>
          <w:w w:val="110"/>
          <w:sz w:val="16"/>
          <w:lang w:val="de-DE"/>
        </w:rPr>
        <w:t>waren</w:t>
      </w:r>
      <w:r w:rsidRPr="00C507A5">
        <w:rPr>
          <w:color w:val="231F20"/>
          <w:spacing w:val="-8"/>
          <w:w w:val="110"/>
          <w:sz w:val="16"/>
          <w:lang w:val="de-DE"/>
        </w:rPr>
        <w:t xml:space="preserve"> </w:t>
      </w:r>
      <w:r w:rsidRPr="00C507A5">
        <w:rPr>
          <w:color w:val="231F20"/>
          <w:w w:val="110"/>
          <w:sz w:val="16"/>
          <w:lang w:val="de-DE"/>
        </w:rPr>
        <w:t>in</w:t>
      </w:r>
      <w:r w:rsidRPr="00C507A5">
        <w:rPr>
          <w:color w:val="231F20"/>
          <w:spacing w:val="-8"/>
          <w:w w:val="110"/>
          <w:sz w:val="16"/>
          <w:lang w:val="de-DE"/>
        </w:rPr>
        <w:t xml:space="preserve"> </w:t>
      </w:r>
      <w:r w:rsidRPr="00C507A5">
        <w:rPr>
          <w:color w:val="231F20"/>
          <w:w w:val="110"/>
          <w:sz w:val="16"/>
          <w:lang w:val="de-DE"/>
        </w:rPr>
        <w:t>den</w:t>
      </w:r>
      <w:r w:rsidRPr="00C507A5">
        <w:rPr>
          <w:color w:val="231F20"/>
          <w:spacing w:val="-8"/>
          <w:w w:val="110"/>
          <w:sz w:val="16"/>
          <w:lang w:val="de-DE"/>
        </w:rPr>
        <w:t xml:space="preserve"> </w:t>
      </w:r>
      <w:r w:rsidRPr="00C507A5">
        <w:rPr>
          <w:color w:val="231F20"/>
          <w:w w:val="110"/>
          <w:sz w:val="16"/>
          <w:lang w:val="de-DE"/>
        </w:rPr>
        <w:t>Durststreik</w:t>
      </w:r>
      <w:r w:rsidRPr="00C507A5">
        <w:rPr>
          <w:color w:val="231F20"/>
          <w:spacing w:val="-8"/>
          <w:w w:val="110"/>
          <w:sz w:val="16"/>
          <w:lang w:val="de-DE"/>
        </w:rPr>
        <w:t xml:space="preserve"> </w:t>
      </w:r>
      <w:r w:rsidRPr="00C507A5">
        <w:rPr>
          <w:color w:val="231F20"/>
          <w:w w:val="110"/>
          <w:sz w:val="16"/>
          <w:lang w:val="de-DE"/>
        </w:rPr>
        <w:t>treten,”</w:t>
      </w:r>
      <w:r w:rsidRPr="00C507A5">
        <w:rPr>
          <w:color w:val="231F20"/>
          <w:spacing w:val="-8"/>
          <w:w w:val="110"/>
          <w:sz w:val="16"/>
          <w:lang w:val="de-DE"/>
        </w:rPr>
        <w:t xml:space="preserve"> </w:t>
      </w:r>
      <w:r w:rsidRPr="00C507A5">
        <w:rPr>
          <w:i/>
          <w:color w:val="231F20"/>
          <w:w w:val="110"/>
          <w:sz w:val="16"/>
          <w:lang w:val="de-DE"/>
        </w:rPr>
        <w:t>Spiegel</w:t>
      </w:r>
      <w:r w:rsidRPr="00C507A5">
        <w:rPr>
          <w:i/>
          <w:color w:val="231F20"/>
          <w:spacing w:val="-8"/>
          <w:w w:val="110"/>
          <w:sz w:val="16"/>
          <w:lang w:val="de-DE"/>
        </w:rPr>
        <w:t xml:space="preserve"> </w:t>
      </w:r>
      <w:r w:rsidRPr="00C507A5">
        <w:rPr>
          <w:color w:val="231F20"/>
          <w:spacing w:val="-3"/>
          <w:w w:val="110"/>
          <w:sz w:val="16"/>
          <w:lang w:val="de-DE"/>
        </w:rPr>
        <w:t>4/1975:</w:t>
      </w:r>
      <w:r w:rsidRPr="00C507A5">
        <w:rPr>
          <w:color w:val="231F20"/>
          <w:spacing w:val="-8"/>
          <w:w w:val="110"/>
          <w:sz w:val="16"/>
          <w:lang w:val="de-DE"/>
        </w:rPr>
        <w:t xml:space="preserve"> </w:t>
      </w:r>
      <w:r w:rsidRPr="00C507A5">
        <w:rPr>
          <w:color w:val="231F20"/>
          <w:spacing w:val="-4"/>
          <w:w w:val="110"/>
          <w:sz w:val="16"/>
          <w:lang w:val="de-DE"/>
        </w:rPr>
        <w:t>52-57.</w:t>
      </w:r>
      <w:r w:rsidRPr="00C507A5">
        <w:rPr>
          <w:color w:val="231F20"/>
          <w:spacing w:val="-8"/>
          <w:w w:val="110"/>
          <w:sz w:val="16"/>
          <w:lang w:val="de-DE"/>
        </w:rPr>
        <w:t xml:space="preserve"> </w:t>
      </w:r>
      <w:r>
        <w:rPr>
          <w:color w:val="231F20"/>
          <w:w w:val="110"/>
          <w:sz w:val="16"/>
        </w:rPr>
        <w:t>Cf</w:t>
      </w:r>
      <w:r>
        <w:rPr>
          <w:color w:val="231F20"/>
          <w:spacing w:val="-8"/>
          <w:w w:val="110"/>
          <w:sz w:val="16"/>
        </w:rPr>
        <w:t xml:space="preserve"> </w:t>
      </w:r>
      <w:r>
        <w:rPr>
          <w:color w:val="231F20"/>
          <w:w w:val="110"/>
          <w:sz w:val="16"/>
        </w:rPr>
        <w:t xml:space="preserve">300-318. </w:t>
      </w:r>
      <w:r>
        <w:rPr>
          <w:color w:val="231F20"/>
          <w:w w:val="110"/>
          <w:sz w:val="16"/>
        </w:rPr>
        <w:lastRenderedPageBreak/>
        <w:t>3 Croissant, “Le procès de Stuttgart,”</w:t>
      </w:r>
      <w:r>
        <w:rPr>
          <w:color w:val="231F20"/>
          <w:spacing w:val="37"/>
          <w:w w:val="110"/>
          <w:sz w:val="16"/>
        </w:rPr>
        <w:t xml:space="preserve"> </w:t>
      </w:r>
      <w:r>
        <w:rPr>
          <w:color w:val="231F20"/>
          <w:spacing w:val="-3"/>
          <w:w w:val="110"/>
          <w:sz w:val="16"/>
        </w:rPr>
        <w:t>18.</w:t>
      </w:r>
    </w:p>
    <w:p w14:paraId="595B36BF" w14:textId="77777777" w:rsidR="002653E8" w:rsidRDefault="002653E8">
      <w:pPr>
        <w:spacing w:line="307" w:lineRule="auto"/>
        <w:rPr>
          <w:sz w:val="16"/>
        </w:rPr>
        <w:sectPr w:rsidR="002653E8">
          <w:pgSz w:w="8640" w:h="12960"/>
          <w:pgMar w:top="1060" w:right="0" w:bottom="1460" w:left="0" w:header="0" w:footer="1270" w:gutter="0"/>
          <w:cols w:space="720"/>
        </w:sectPr>
      </w:pPr>
    </w:p>
    <w:p w14:paraId="1B502F35" w14:textId="77777777" w:rsidR="002653E8" w:rsidRDefault="003115E3">
      <w:pPr>
        <w:pStyle w:val="a3"/>
        <w:spacing w:before="86" w:line="264" w:lineRule="auto"/>
        <w:ind w:left="1327" w:right="1147" w:firstLine="210"/>
        <w:jc w:val="both"/>
      </w:pPr>
      <w:r>
        <w:rPr>
          <w:color w:val="231F20"/>
        </w:rPr>
        <w:lastRenderedPageBreak/>
        <w:t>Indeed, as the pretrial hearing began, Baader no longer had a single attorney of his choosing.</w:t>
      </w:r>
    </w:p>
    <w:p w14:paraId="6E2FB45B" w14:textId="77777777" w:rsidR="002653E8" w:rsidRDefault="003115E3">
      <w:pPr>
        <w:pStyle w:val="a3"/>
        <w:spacing w:line="264" w:lineRule="auto"/>
        <w:ind w:left="1327" w:right="1146" w:firstLine="210"/>
        <w:jc w:val="both"/>
      </w:pPr>
      <w:r>
        <w:rPr>
          <w:color w:val="231F20"/>
        </w:rPr>
        <w:t xml:space="preserve">These exclusions also served a second, and in some ways more insidious function. The prisoners had come to depend on their attorneys, and the role they played in facilitating communication. The lawyers’ visits and the </w:t>
      </w:r>
      <w:r>
        <w:rPr>
          <w:i/>
          <w:color w:val="231F20"/>
        </w:rPr>
        <w:t xml:space="preserve">Info </w:t>
      </w:r>
      <w:r>
        <w:rPr>
          <w:color w:val="231F20"/>
        </w:rPr>
        <w:t>communication system provided a form of human contact,  a source of information regarding developments outside of the prison, and a modicum of political</w:t>
      </w:r>
      <w:r>
        <w:rPr>
          <w:color w:val="231F20"/>
          <w:spacing w:val="15"/>
        </w:rPr>
        <w:t xml:space="preserve"> </w:t>
      </w:r>
      <w:r>
        <w:rPr>
          <w:color w:val="231F20"/>
        </w:rPr>
        <w:t>discussion.</w:t>
      </w:r>
    </w:p>
    <w:p w14:paraId="3726F86D" w14:textId="77777777" w:rsidR="002653E8" w:rsidRDefault="003115E3">
      <w:pPr>
        <w:pStyle w:val="a3"/>
        <w:spacing w:line="228" w:lineRule="exact"/>
        <w:ind w:left="1537"/>
      </w:pPr>
      <w:r>
        <w:rPr>
          <w:color w:val="231F20"/>
          <w:w w:val="105"/>
        </w:rPr>
        <w:t xml:space="preserve">As </w:t>
      </w:r>
      <w:r w:rsidR="00C507A5">
        <w:rPr>
          <w:color w:val="231F20"/>
          <w:w w:val="105"/>
        </w:rPr>
        <w:t>red army faction</w:t>
      </w:r>
      <w:r>
        <w:rPr>
          <w:color w:val="231F20"/>
          <w:w w:val="105"/>
        </w:rPr>
        <w:t xml:space="preserve"> prisoner Brigitte Mohnhaupt explained:</w:t>
      </w:r>
    </w:p>
    <w:p w14:paraId="6D1540B1" w14:textId="77777777" w:rsidR="002653E8" w:rsidRDefault="003115E3">
      <w:pPr>
        <w:spacing w:before="149" w:line="276" w:lineRule="auto"/>
        <w:ind w:left="1747" w:right="1565"/>
        <w:jc w:val="both"/>
        <w:rPr>
          <w:i/>
          <w:sz w:val="19"/>
        </w:rPr>
      </w:pPr>
      <w:r>
        <w:rPr>
          <w:i/>
          <w:color w:val="231F20"/>
          <w:w w:val="105"/>
          <w:sz w:val="19"/>
        </w:rPr>
        <w:t>Info… was the only possibility—that is how we conceived of and understood</w:t>
      </w:r>
      <w:r>
        <w:rPr>
          <w:i/>
          <w:color w:val="231F20"/>
          <w:spacing w:val="-22"/>
          <w:w w:val="105"/>
          <w:sz w:val="19"/>
        </w:rPr>
        <w:t xml:space="preserve"> </w:t>
      </w:r>
      <w:r>
        <w:rPr>
          <w:i/>
          <w:color w:val="231F20"/>
          <w:w w:val="105"/>
          <w:sz w:val="19"/>
        </w:rPr>
        <w:t>it—the</w:t>
      </w:r>
      <w:r>
        <w:rPr>
          <w:i/>
          <w:color w:val="231F20"/>
          <w:spacing w:val="-22"/>
          <w:w w:val="105"/>
          <w:sz w:val="19"/>
        </w:rPr>
        <w:t xml:space="preserve"> </w:t>
      </w:r>
      <w:r>
        <w:rPr>
          <w:i/>
          <w:color w:val="231F20"/>
          <w:w w:val="105"/>
          <w:sz w:val="19"/>
        </w:rPr>
        <w:t>only</w:t>
      </w:r>
      <w:r>
        <w:rPr>
          <w:i/>
          <w:color w:val="231F20"/>
          <w:spacing w:val="-22"/>
          <w:w w:val="105"/>
          <w:sz w:val="19"/>
        </w:rPr>
        <w:t xml:space="preserve"> </w:t>
      </w:r>
      <w:r>
        <w:rPr>
          <w:i/>
          <w:color w:val="231F20"/>
          <w:w w:val="105"/>
          <w:sz w:val="19"/>
        </w:rPr>
        <w:t>possibility,</w:t>
      </w:r>
      <w:r>
        <w:rPr>
          <w:i/>
          <w:color w:val="231F20"/>
          <w:spacing w:val="-26"/>
          <w:w w:val="105"/>
          <w:sz w:val="19"/>
        </w:rPr>
        <w:t xml:space="preserve"> </w:t>
      </w:r>
      <w:r>
        <w:rPr>
          <w:i/>
          <w:color w:val="231F20"/>
          <w:w w:val="105"/>
          <w:sz w:val="19"/>
        </w:rPr>
        <w:t>in</w:t>
      </w:r>
      <w:r>
        <w:rPr>
          <w:i/>
          <w:color w:val="231F20"/>
          <w:spacing w:val="-22"/>
          <w:w w:val="105"/>
          <w:sz w:val="19"/>
        </w:rPr>
        <w:t xml:space="preserve"> </w:t>
      </w:r>
      <w:r>
        <w:rPr>
          <w:i/>
          <w:color w:val="231F20"/>
          <w:w w:val="105"/>
          <w:sz w:val="19"/>
        </w:rPr>
        <w:t>general,</w:t>
      </w:r>
      <w:r>
        <w:rPr>
          <w:i/>
          <w:color w:val="231F20"/>
          <w:spacing w:val="-26"/>
          <w:w w:val="105"/>
          <w:sz w:val="19"/>
        </w:rPr>
        <w:t xml:space="preserve"> </w:t>
      </w:r>
      <w:r>
        <w:rPr>
          <w:i/>
          <w:color w:val="231F20"/>
          <w:w w:val="105"/>
          <w:sz w:val="19"/>
        </w:rPr>
        <w:t>of</w:t>
      </w:r>
      <w:r>
        <w:rPr>
          <w:i/>
          <w:color w:val="231F20"/>
          <w:spacing w:val="-22"/>
          <w:w w:val="105"/>
          <w:sz w:val="19"/>
        </w:rPr>
        <w:t xml:space="preserve"> </w:t>
      </w:r>
      <w:r>
        <w:rPr>
          <w:i/>
          <w:color w:val="231F20"/>
          <w:w w:val="105"/>
          <w:sz w:val="19"/>
        </w:rPr>
        <w:t>social</w:t>
      </w:r>
      <w:r>
        <w:rPr>
          <w:i/>
          <w:color w:val="231F20"/>
          <w:spacing w:val="-22"/>
          <w:w w:val="105"/>
          <w:sz w:val="19"/>
        </w:rPr>
        <w:t xml:space="preserve"> </w:t>
      </w:r>
      <w:r>
        <w:rPr>
          <w:i/>
          <w:color w:val="231F20"/>
          <w:w w:val="105"/>
          <w:sz w:val="19"/>
        </w:rPr>
        <w:t xml:space="preserve">interaction between isolated prisoners. Even if it was only a surrogate for communication, only letters and </w:t>
      </w:r>
      <w:r>
        <w:rPr>
          <w:i/>
          <w:color w:val="231F20"/>
          <w:spacing w:val="-4"/>
          <w:w w:val="105"/>
          <w:sz w:val="19"/>
        </w:rPr>
        <w:t xml:space="preserve">paper, </w:t>
      </w:r>
      <w:r>
        <w:rPr>
          <w:i/>
          <w:color w:val="231F20"/>
          <w:w w:val="105"/>
          <w:sz w:val="19"/>
        </w:rPr>
        <w:t xml:space="preserve">it was, nonetheless, the only option for discussion, for political discussion, for political information and, </w:t>
      </w:r>
      <w:r>
        <w:rPr>
          <w:i/>
          <w:color w:val="231F20"/>
          <w:spacing w:val="-3"/>
          <w:w w:val="105"/>
          <w:sz w:val="19"/>
        </w:rPr>
        <w:t xml:space="preserve">obviously, </w:t>
      </w:r>
      <w:r>
        <w:rPr>
          <w:i/>
          <w:color w:val="231F20"/>
          <w:w w:val="105"/>
          <w:sz w:val="19"/>
        </w:rPr>
        <w:t>for</w:t>
      </w:r>
      <w:r>
        <w:rPr>
          <w:i/>
          <w:color w:val="231F20"/>
          <w:spacing w:val="20"/>
          <w:w w:val="105"/>
          <w:sz w:val="19"/>
        </w:rPr>
        <w:t xml:space="preserve"> </w:t>
      </w:r>
      <w:r>
        <w:rPr>
          <w:i/>
          <w:color w:val="231F20"/>
          <w:w w:val="105"/>
          <w:sz w:val="19"/>
        </w:rPr>
        <w:t>orientation.</w:t>
      </w:r>
    </w:p>
    <w:p w14:paraId="635FB0FF" w14:textId="77777777" w:rsidR="002653E8" w:rsidRDefault="003115E3">
      <w:pPr>
        <w:pStyle w:val="a3"/>
        <w:spacing w:before="133" w:line="264" w:lineRule="auto"/>
        <w:ind w:left="1327" w:right="1148"/>
        <w:jc w:val="both"/>
      </w:pPr>
      <w:r>
        <w:rPr>
          <w:color w:val="231F20"/>
          <w:w w:val="105"/>
        </w:rPr>
        <w:t>Such communication, besides constituting a basic human need, was also a form of resistance. Again, according to Mohnhaupt:</w:t>
      </w:r>
    </w:p>
    <w:p w14:paraId="691619A6" w14:textId="77777777" w:rsidR="002653E8" w:rsidRDefault="003115E3">
      <w:pPr>
        <w:spacing w:before="126" w:line="276" w:lineRule="auto"/>
        <w:ind w:left="1747" w:right="1565"/>
        <w:jc w:val="both"/>
        <w:rPr>
          <w:i/>
          <w:sz w:val="11"/>
        </w:rPr>
      </w:pPr>
      <w:r>
        <w:rPr>
          <w:i/>
          <w:color w:val="231F20"/>
          <w:sz w:val="19"/>
        </w:rPr>
        <w:t xml:space="preserve">The sense of Info,  its  entire  purpose,  as  we  understood  it,  was  as a means to resist isolation. </w:t>
      </w:r>
      <w:r>
        <w:rPr>
          <w:i/>
          <w:color w:val="231F20"/>
          <w:spacing w:val="-6"/>
          <w:sz w:val="19"/>
        </w:rPr>
        <w:t xml:space="preserve">We </w:t>
      </w:r>
      <w:r>
        <w:rPr>
          <w:i/>
          <w:color w:val="231F20"/>
          <w:sz w:val="19"/>
        </w:rPr>
        <w:t>have said that every sentence  that a prisoner writes in Info is like an act, every sentence is an action—that’s</w:t>
      </w:r>
      <w:r>
        <w:rPr>
          <w:i/>
          <w:color w:val="231F20"/>
          <w:spacing w:val="10"/>
          <w:sz w:val="19"/>
        </w:rPr>
        <w:t xml:space="preserve"> </w:t>
      </w:r>
      <w:r>
        <w:rPr>
          <w:i/>
          <w:color w:val="231F20"/>
          <w:sz w:val="19"/>
        </w:rPr>
        <w:t>how</w:t>
      </w:r>
      <w:r>
        <w:rPr>
          <w:i/>
          <w:color w:val="231F20"/>
          <w:spacing w:val="10"/>
          <w:sz w:val="19"/>
        </w:rPr>
        <w:t xml:space="preserve"> </w:t>
      </w:r>
      <w:r>
        <w:rPr>
          <w:i/>
          <w:color w:val="231F20"/>
          <w:sz w:val="19"/>
        </w:rPr>
        <w:t>it</w:t>
      </w:r>
      <w:r>
        <w:rPr>
          <w:i/>
          <w:color w:val="231F20"/>
          <w:spacing w:val="10"/>
          <w:sz w:val="19"/>
        </w:rPr>
        <w:t xml:space="preserve"> </w:t>
      </w:r>
      <w:r>
        <w:rPr>
          <w:i/>
          <w:color w:val="231F20"/>
          <w:sz w:val="19"/>
        </w:rPr>
        <w:t>was</w:t>
      </w:r>
      <w:r>
        <w:rPr>
          <w:i/>
          <w:color w:val="231F20"/>
          <w:spacing w:val="10"/>
          <w:sz w:val="19"/>
        </w:rPr>
        <w:t xml:space="preserve"> </w:t>
      </w:r>
      <w:r>
        <w:rPr>
          <w:i/>
          <w:color w:val="231F20"/>
          <w:sz w:val="19"/>
        </w:rPr>
        <w:t>for</w:t>
      </w:r>
      <w:r>
        <w:rPr>
          <w:i/>
          <w:color w:val="231F20"/>
          <w:spacing w:val="10"/>
          <w:sz w:val="19"/>
        </w:rPr>
        <w:t xml:space="preserve"> </w:t>
      </w:r>
      <w:r>
        <w:rPr>
          <w:i/>
          <w:color w:val="231F20"/>
          <w:sz w:val="19"/>
        </w:rPr>
        <w:t>the</w:t>
      </w:r>
      <w:r>
        <w:rPr>
          <w:i/>
          <w:color w:val="231F20"/>
          <w:spacing w:val="10"/>
          <w:sz w:val="19"/>
        </w:rPr>
        <w:t xml:space="preserve"> </w:t>
      </w:r>
      <w:r>
        <w:rPr>
          <w:i/>
          <w:color w:val="231F20"/>
          <w:sz w:val="19"/>
        </w:rPr>
        <w:t>prisoners.</w:t>
      </w:r>
      <w:r>
        <w:rPr>
          <w:i/>
          <w:color w:val="231F20"/>
          <w:position w:val="6"/>
          <w:sz w:val="11"/>
        </w:rPr>
        <w:t>4</w:t>
      </w:r>
    </w:p>
    <w:p w14:paraId="0FE2EE8B" w14:textId="42C326D5" w:rsidR="002653E8" w:rsidRDefault="003115E3">
      <w:pPr>
        <w:pStyle w:val="a3"/>
        <w:spacing w:before="131" w:line="264" w:lineRule="auto"/>
        <w:ind w:left="1327" w:right="1146"/>
        <w:jc w:val="both"/>
        <w:rPr>
          <w:sz w:val="11"/>
        </w:rPr>
      </w:pPr>
      <w:r>
        <w:rPr>
          <w:color w:val="231F20"/>
        </w:rPr>
        <w:t xml:space="preserve">The state would allege that </w:t>
      </w:r>
      <w:r>
        <w:rPr>
          <w:i/>
          <w:color w:val="231F20"/>
        </w:rPr>
        <w:t xml:space="preserve">Info </w:t>
      </w:r>
      <w:r>
        <w:rPr>
          <w:color w:val="231F20"/>
        </w:rPr>
        <w:t xml:space="preserve">was used as a form of discipline between prisoners, by which the “ringleaders” coerced the others into participating in hunger strikes. There were also allegations that the prisoners used the system to communicate with active commandos on the outside, a claim which has never been substantiated. As Mohnhaupt explained, what seems far more likely is that </w:t>
      </w:r>
      <w:r>
        <w:rPr>
          <w:i/>
          <w:color w:val="231F20"/>
        </w:rPr>
        <w:t xml:space="preserve">Info </w:t>
      </w:r>
      <w:r>
        <w:rPr>
          <w:color w:val="231F20"/>
        </w:rPr>
        <w:t>was threatening precisely because it opened a hole in the brutal isolation conditions the government was attempting to perfect. By clamping down on the lawyers and putting an end to this contact, the courts were able to further isolate the prisoners.</w:t>
      </w:r>
      <w:r>
        <w:rPr>
          <w:color w:val="231F20"/>
          <w:position w:val="7"/>
          <w:sz w:val="11"/>
        </w:rPr>
        <w:t>5</w:t>
      </w:r>
    </w:p>
    <w:p w14:paraId="0FE5F9EE" w14:textId="77777777" w:rsidR="002653E8" w:rsidRDefault="003115E3">
      <w:pPr>
        <w:pStyle w:val="a3"/>
        <w:spacing w:line="224" w:lineRule="exact"/>
        <w:ind w:left="1537"/>
      </w:pPr>
      <w:r>
        <w:rPr>
          <w:color w:val="231F20"/>
        </w:rPr>
        <w:t>Finally, the vendetta against the lawyers can be seen as part of</w:t>
      </w:r>
    </w:p>
    <w:p w14:paraId="04B1D21E" w14:textId="77777777" w:rsidR="002653E8" w:rsidRDefault="00000000">
      <w:pPr>
        <w:pStyle w:val="a3"/>
        <w:spacing w:before="8"/>
        <w:rPr>
          <w:sz w:val="16"/>
        </w:rPr>
      </w:pPr>
      <w:r>
        <w:rPr>
          <w:noProof w:val="0"/>
        </w:rPr>
        <w:pict w14:anchorId="12EAD361">
          <v:line id="_x0000_s2322" style="position:absolute;z-index:7768;mso-wrap-distance-left:0;mso-wrap-distance-right:0;mso-position-horizontal-relative:page" from="66.4pt,12pt" to="138.4pt,12pt" strokecolor="#231f20" strokeweight=".5pt">
            <w10:wrap type="topAndBottom" anchorx="page"/>
          </v:line>
        </w:pict>
      </w:r>
    </w:p>
    <w:p w14:paraId="34D67448" w14:textId="77777777" w:rsidR="002653E8" w:rsidRDefault="003115E3">
      <w:pPr>
        <w:pStyle w:val="a4"/>
        <w:numPr>
          <w:ilvl w:val="1"/>
          <w:numId w:val="93"/>
        </w:numPr>
        <w:tabs>
          <w:tab w:val="left" w:pos="1467"/>
        </w:tabs>
        <w:spacing w:before="53"/>
        <w:ind w:firstLine="0"/>
        <w:rPr>
          <w:sz w:val="16"/>
        </w:rPr>
      </w:pPr>
      <w:r>
        <w:rPr>
          <w:color w:val="231F20"/>
          <w:w w:val="110"/>
          <w:sz w:val="16"/>
        </w:rPr>
        <w:t xml:space="preserve">Brigitte Mohnhaupt’s Testimony at the </w:t>
      </w:r>
      <w:r>
        <w:rPr>
          <w:color w:val="231F20"/>
          <w:spacing w:val="1"/>
          <w:w w:val="110"/>
          <w:sz w:val="16"/>
        </w:rPr>
        <w:t xml:space="preserve">Stammheim </w:t>
      </w:r>
      <w:r>
        <w:rPr>
          <w:color w:val="231F20"/>
          <w:w w:val="110"/>
          <w:sz w:val="16"/>
        </w:rPr>
        <w:t>Trial, July 22,</w:t>
      </w:r>
      <w:r>
        <w:rPr>
          <w:color w:val="231F20"/>
          <w:spacing w:val="30"/>
          <w:w w:val="110"/>
          <w:sz w:val="16"/>
        </w:rPr>
        <w:t xml:space="preserve"> </w:t>
      </w:r>
      <w:r>
        <w:rPr>
          <w:color w:val="231F20"/>
          <w:spacing w:val="-3"/>
          <w:w w:val="110"/>
          <w:sz w:val="16"/>
        </w:rPr>
        <w:t>1976.</w:t>
      </w:r>
    </w:p>
    <w:p w14:paraId="2237CE84" w14:textId="77777777" w:rsidR="002653E8" w:rsidRDefault="003115E3">
      <w:pPr>
        <w:pStyle w:val="a4"/>
        <w:numPr>
          <w:ilvl w:val="1"/>
          <w:numId w:val="93"/>
        </w:numPr>
        <w:tabs>
          <w:tab w:val="left" w:pos="1467"/>
        </w:tabs>
        <w:spacing w:before="51" w:line="254" w:lineRule="auto"/>
        <w:ind w:right="1356" w:firstLine="0"/>
        <w:jc w:val="both"/>
        <w:rPr>
          <w:sz w:val="16"/>
        </w:rPr>
      </w:pPr>
      <w:r>
        <w:rPr>
          <w:color w:val="231F20"/>
          <w:spacing w:val="1"/>
          <w:w w:val="105"/>
          <w:sz w:val="16"/>
        </w:rPr>
        <w:t xml:space="preserve">In </w:t>
      </w:r>
      <w:r>
        <w:rPr>
          <w:color w:val="231F20"/>
          <w:spacing w:val="-5"/>
          <w:w w:val="105"/>
          <w:sz w:val="16"/>
        </w:rPr>
        <w:t xml:space="preserve">1987,  </w:t>
      </w:r>
      <w:r w:rsidR="00C507A5">
        <w:rPr>
          <w:color w:val="231F20"/>
          <w:spacing w:val="3"/>
          <w:w w:val="105"/>
          <w:sz w:val="16"/>
        </w:rPr>
        <w:t>red army faction</w:t>
      </w:r>
      <w:r>
        <w:rPr>
          <w:color w:val="231F20"/>
          <w:spacing w:val="3"/>
          <w:w w:val="105"/>
          <w:sz w:val="16"/>
        </w:rPr>
        <w:t xml:space="preserve"> </w:t>
      </w:r>
      <w:r>
        <w:rPr>
          <w:color w:val="231F20"/>
          <w:w w:val="105"/>
          <w:sz w:val="16"/>
        </w:rPr>
        <w:t xml:space="preserve">lawyer Pieter Bakker Schut published the entire </w:t>
      </w:r>
      <w:r>
        <w:rPr>
          <w:i/>
          <w:color w:val="231F20"/>
          <w:w w:val="105"/>
          <w:sz w:val="16"/>
        </w:rPr>
        <w:t xml:space="preserve">Info </w:t>
      </w:r>
      <w:r>
        <w:rPr>
          <w:color w:val="231F20"/>
          <w:w w:val="105"/>
          <w:sz w:val="16"/>
        </w:rPr>
        <w:t xml:space="preserve">collection in   a book entitled </w:t>
      </w:r>
      <w:r>
        <w:rPr>
          <w:i/>
          <w:color w:val="231F20"/>
          <w:w w:val="105"/>
          <w:sz w:val="16"/>
        </w:rPr>
        <w:t xml:space="preserve">Das Info: brief von gefangen </w:t>
      </w:r>
      <w:r>
        <w:rPr>
          <w:i/>
          <w:color w:val="231F20"/>
          <w:spacing w:val="1"/>
          <w:w w:val="105"/>
          <w:sz w:val="16"/>
        </w:rPr>
        <w:t xml:space="preserve">aus der </w:t>
      </w:r>
      <w:r>
        <w:rPr>
          <w:i/>
          <w:color w:val="231F20"/>
          <w:w w:val="105"/>
          <w:sz w:val="16"/>
        </w:rPr>
        <w:t xml:space="preserve">raf </w:t>
      </w:r>
      <w:r>
        <w:rPr>
          <w:i/>
          <w:color w:val="231F20"/>
          <w:spacing w:val="1"/>
          <w:w w:val="105"/>
          <w:sz w:val="16"/>
        </w:rPr>
        <w:t xml:space="preserve">aus der </w:t>
      </w:r>
      <w:r>
        <w:rPr>
          <w:i/>
          <w:color w:val="231F20"/>
          <w:w w:val="105"/>
          <w:sz w:val="16"/>
        </w:rPr>
        <w:t>discussion 19731977.</w:t>
      </w:r>
      <w:r>
        <w:rPr>
          <w:i/>
          <w:color w:val="231F20"/>
          <w:spacing w:val="10"/>
          <w:w w:val="105"/>
          <w:sz w:val="16"/>
        </w:rPr>
        <w:t xml:space="preserve"> </w:t>
      </w:r>
      <w:r>
        <w:rPr>
          <w:color w:val="231F20"/>
          <w:w w:val="105"/>
          <w:sz w:val="16"/>
        </w:rPr>
        <w:t>It</w:t>
      </w:r>
      <w:r>
        <w:rPr>
          <w:color w:val="231F20"/>
          <w:spacing w:val="10"/>
          <w:w w:val="105"/>
          <w:sz w:val="16"/>
        </w:rPr>
        <w:t xml:space="preserve"> </w:t>
      </w:r>
      <w:r>
        <w:rPr>
          <w:color w:val="231F20"/>
          <w:w w:val="105"/>
          <w:sz w:val="16"/>
        </w:rPr>
        <w:t>is</w:t>
      </w:r>
      <w:r>
        <w:rPr>
          <w:color w:val="231F20"/>
          <w:spacing w:val="10"/>
          <w:w w:val="105"/>
          <w:sz w:val="16"/>
        </w:rPr>
        <w:t xml:space="preserve"> </w:t>
      </w:r>
      <w:r>
        <w:rPr>
          <w:color w:val="231F20"/>
          <w:w w:val="105"/>
          <w:sz w:val="16"/>
        </w:rPr>
        <w:t>available</w:t>
      </w:r>
      <w:r>
        <w:rPr>
          <w:color w:val="231F20"/>
          <w:spacing w:val="10"/>
          <w:w w:val="105"/>
          <w:sz w:val="16"/>
        </w:rPr>
        <w:t xml:space="preserve"> </w:t>
      </w:r>
      <w:r>
        <w:rPr>
          <w:color w:val="231F20"/>
          <w:w w:val="105"/>
          <w:sz w:val="16"/>
        </w:rPr>
        <w:t>online</w:t>
      </w:r>
      <w:r>
        <w:rPr>
          <w:color w:val="231F20"/>
          <w:spacing w:val="10"/>
          <w:w w:val="105"/>
          <w:sz w:val="16"/>
        </w:rPr>
        <w:t xml:space="preserve"> </w:t>
      </w:r>
      <w:r>
        <w:rPr>
          <w:color w:val="231F20"/>
          <w:w w:val="105"/>
          <w:sz w:val="16"/>
        </w:rPr>
        <w:t>at</w:t>
      </w:r>
      <w:r>
        <w:rPr>
          <w:color w:val="231F20"/>
          <w:spacing w:val="10"/>
          <w:w w:val="105"/>
          <w:sz w:val="16"/>
        </w:rPr>
        <w:t xml:space="preserve"> </w:t>
      </w:r>
      <w:r>
        <w:rPr>
          <w:color w:val="231F20"/>
          <w:w w:val="105"/>
          <w:sz w:val="16"/>
        </w:rPr>
        <w:t>the</w:t>
      </w:r>
      <w:r>
        <w:rPr>
          <w:color w:val="231F20"/>
          <w:spacing w:val="10"/>
          <w:w w:val="105"/>
          <w:sz w:val="16"/>
        </w:rPr>
        <w:t xml:space="preserve"> </w:t>
      </w:r>
      <w:r>
        <w:rPr>
          <w:color w:val="231F20"/>
          <w:w w:val="105"/>
          <w:sz w:val="16"/>
        </w:rPr>
        <w:t>site</w:t>
      </w:r>
      <w:r>
        <w:rPr>
          <w:color w:val="231F20"/>
          <w:spacing w:val="10"/>
          <w:w w:val="105"/>
          <w:sz w:val="16"/>
        </w:rPr>
        <w:t xml:space="preserve"> </w:t>
      </w:r>
      <w:r>
        <w:rPr>
          <w:color w:val="231F20"/>
          <w:w w:val="105"/>
          <w:sz w:val="16"/>
        </w:rPr>
        <w:t>maintained</w:t>
      </w:r>
      <w:r>
        <w:rPr>
          <w:color w:val="231F20"/>
          <w:spacing w:val="10"/>
          <w:w w:val="105"/>
          <w:sz w:val="16"/>
        </w:rPr>
        <w:t xml:space="preserve"> </w:t>
      </w:r>
      <w:r>
        <w:rPr>
          <w:color w:val="231F20"/>
          <w:w w:val="105"/>
          <w:sz w:val="16"/>
        </w:rPr>
        <w:t>by</w:t>
      </w:r>
      <w:r>
        <w:rPr>
          <w:color w:val="231F20"/>
          <w:spacing w:val="10"/>
          <w:w w:val="105"/>
          <w:sz w:val="16"/>
        </w:rPr>
        <w:t xml:space="preserve"> </w:t>
      </w:r>
      <w:r>
        <w:rPr>
          <w:color w:val="231F20"/>
          <w:w w:val="105"/>
          <w:sz w:val="16"/>
        </w:rPr>
        <w:t>his</w:t>
      </w:r>
      <w:r>
        <w:rPr>
          <w:color w:val="231F20"/>
          <w:spacing w:val="10"/>
          <w:w w:val="105"/>
          <w:sz w:val="16"/>
        </w:rPr>
        <w:t xml:space="preserve"> </w:t>
      </w:r>
      <w:r>
        <w:rPr>
          <w:color w:val="231F20"/>
          <w:w w:val="105"/>
          <w:sz w:val="16"/>
        </w:rPr>
        <w:t>former</w:t>
      </w:r>
      <w:r>
        <w:rPr>
          <w:color w:val="231F20"/>
          <w:spacing w:val="10"/>
          <w:w w:val="105"/>
          <w:sz w:val="16"/>
        </w:rPr>
        <w:t xml:space="preserve"> </w:t>
      </w:r>
      <w:r>
        <w:rPr>
          <w:color w:val="231F20"/>
          <w:w w:val="105"/>
          <w:sz w:val="16"/>
        </w:rPr>
        <w:t>client,</w:t>
      </w:r>
      <w:r>
        <w:rPr>
          <w:color w:val="231F20"/>
          <w:spacing w:val="10"/>
          <w:w w:val="105"/>
          <w:sz w:val="16"/>
        </w:rPr>
        <w:t xml:space="preserve"> </w:t>
      </w:r>
      <w:r>
        <w:rPr>
          <w:color w:val="231F20"/>
          <w:spacing w:val="2"/>
          <w:w w:val="105"/>
          <w:sz w:val="16"/>
        </w:rPr>
        <w:t>ex-</w:t>
      </w:r>
      <w:r w:rsidR="00C507A5">
        <w:rPr>
          <w:color w:val="231F20"/>
          <w:spacing w:val="2"/>
          <w:w w:val="105"/>
          <w:sz w:val="16"/>
        </w:rPr>
        <w:t>red army faction</w:t>
      </w:r>
    </w:p>
    <w:p w14:paraId="51FA680E" w14:textId="77777777" w:rsidR="002653E8" w:rsidRDefault="003115E3">
      <w:pPr>
        <w:spacing w:before="2" w:line="254" w:lineRule="auto"/>
        <w:ind w:left="1328"/>
        <w:rPr>
          <w:sz w:val="16"/>
        </w:rPr>
      </w:pPr>
      <w:r>
        <w:rPr>
          <w:color w:val="231F20"/>
          <w:w w:val="103"/>
          <w:sz w:val="16"/>
        </w:rPr>
        <w:t>p</w:t>
      </w:r>
      <w:r>
        <w:rPr>
          <w:color w:val="231F20"/>
          <w:w w:val="97"/>
          <w:sz w:val="16"/>
        </w:rPr>
        <w:t>r</w:t>
      </w:r>
      <w:r>
        <w:rPr>
          <w:color w:val="231F20"/>
          <w:w w:val="103"/>
          <w:sz w:val="16"/>
        </w:rPr>
        <w:t>i</w:t>
      </w:r>
      <w:r>
        <w:rPr>
          <w:color w:val="231F20"/>
          <w:w w:val="93"/>
          <w:sz w:val="16"/>
        </w:rPr>
        <w:t>s</w:t>
      </w:r>
      <w:r>
        <w:rPr>
          <w:color w:val="231F20"/>
          <w:w w:val="108"/>
          <w:sz w:val="16"/>
        </w:rPr>
        <w:t>o</w:t>
      </w:r>
      <w:r>
        <w:rPr>
          <w:color w:val="231F20"/>
          <w:w w:val="103"/>
          <w:sz w:val="16"/>
        </w:rPr>
        <w:t>n</w:t>
      </w:r>
      <w:r>
        <w:rPr>
          <w:color w:val="231F20"/>
          <w:w w:val="94"/>
          <w:sz w:val="16"/>
        </w:rPr>
        <w:t>e</w:t>
      </w:r>
      <w:r>
        <w:rPr>
          <w:color w:val="231F20"/>
          <w:w w:val="97"/>
          <w:sz w:val="16"/>
        </w:rPr>
        <w:t>r</w:t>
      </w:r>
      <w:r>
        <w:rPr>
          <w:color w:val="231F20"/>
          <w:sz w:val="16"/>
        </w:rPr>
        <w:t xml:space="preserve"> </w:t>
      </w:r>
      <w:r>
        <w:rPr>
          <w:color w:val="231F20"/>
          <w:w w:val="115"/>
          <w:sz w:val="16"/>
        </w:rPr>
        <w:t>Ro</w:t>
      </w:r>
      <w:r>
        <w:rPr>
          <w:color w:val="231F20"/>
          <w:w w:val="103"/>
          <w:sz w:val="16"/>
        </w:rPr>
        <w:t>n</w:t>
      </w:r>
      <w:r>
        <w:rPr>
          <w:color w:val="231F20"/>
          <w:w w:val="106"/>
          <w:sz w:val="16"/>
        </w:rPr>
        <w:t>a</w:t>
      </w:r>
      <w:r>
        <w:rPr>
          <w:color w:val="231F20"/>
          <w:w w:val="104"/>
          <w:sz w:val="16"/>
        </w:rPr>
        <w:t>ld</w:t>
      </w:r>
      <w:r>
        <w:rPr>
          <w:color w:val="231F20"/>
          <w:sz w:val="16"/>
        </w:rPr>
        <w:t xml:space="preserve"> </w:t>
      </w:r>
      <w:r>
        <w:rPr>
          <w:color w:val="231F20"/>
          <w:w w:val="120"/>
          <w:sz w:val="16"/>
        </w:rPr>
        <w:t>A</w:t>
      </w:r>
      <w:r>
        <w:rPr>
          <w:color w:val="231F20"/>
          <w:w w:val="104"/>
          <w:sz w:val="16"/>
        </w:rPr>
        <w:t>ugu</w:t>
      </w:r>
      <w:r>
        <w:rPr>
          <w:color w:val="231F20"/>
          <w:w w:val="93"/>
          <w:sz w:val="16"/>
        </w:rPr>
        <w:t>s</w:t>
      </w:r>
      <w:r>
        <w:rPr>
          <w:color w:val="231F20"/>
          <w:w w:val="102"/>
          <w:sz w:val="16"/>
        </w:rPr>
        <w:t>t</w:t>
      </w:r>
      <w:r>
        <w:rPr>
          <w:color w:val="231F20"/>
          <w:w w:val="103"/>
          <w:sz w:val="16"/>
        </w:rPr>
        <w:t>in</w:t>
      </w:r>
      <w:r>
        <w:rPr>
          <w:color w:val="231F20"/>
          <w:w w:val="140"/>
          <w:sz w:val="16"/>
        </w:rPr>
        <w:t>,</w:t>
      </w:r>
      <w:r>
        <w:rPr>
          <w:color w:val="231F20"/>
          <w:sz w:val="16"/>
        </w:rPr>
        <w:t xml:space="preserve"> </w:t>
      </w:r>
      <w:r>
        <w:rPr>
          <w:color w:val="231F20"/>
          <w:w w:val="106"/>
          <w:sz w:val="16"/>
        </w:rPr>
        <w:t>a</w:t>
      </w:r>
      <w:r>
        <w:rPr>
          <w:color w:val="231F20"/>
          <w:w w:val="102"/>
          <w:sz w:val="16"/>
        </w:rPr>
        <w:t>t</w:t>
      </w:r>
      <w:r>
        <w:rPr>
          <w:color w:val="231F20"/>
          <w:sz w:val="16"/>
        </w:rPr>
        <w:t xml:space="preserve"> </w:t>
      </w:r>
      <w:hyperlink r:id="rId295">
        <w:r>
          <w:rPr>
            <w:color w:val="231F20"/>
            <w:w w:val="103"/>
            <w:sz w:val="16"/>
          </w:rPr>
          <w:t>ht</w:t>
        </w:r>
        <w:r>
          <w:rPr>
            <w:color w:val="231F20"/>
            <w:w w:val="102"/>
            <w:sz w:val="16"/>
          </w:rPr>
          <w:t>t</w:t>
        </w:r>
        <w:r>
          <w:rPr>
            <w:color w:val="231F20"/>
            <w:w w:val="103"/>
            <w:sz w:val="16"/>
          </w:rPr>
          <w:t>p</w:t>
        </w:r>
        <w:r>
          <w:rPr>
            <w:color w:val="231F20"/>
            <w:w w:val="109"/>
            <w:sz w:val="16"/>
          </w:rPr>
          <w:t>:</w:t>
        </w:r>
        <w:r>
          <w:rPr>
            <w:color w:val="231F20"/>
            <w:w w:val="58"/>
            <w:sz w:val="16"/>
          </w:rPr>
          <w:t>//</w:t>
        </w:r>
        <w:r>
          <w:rPr>
            <w:color w:val="231F20"/>
            <w:w w:val="106"/>
            <w:sz w:val="16"/>
          </w:rPr>
          <w:t>la</w:t>
        </w:r>
        <w:r>
          <w:rPr>
            <w:color w:val="231F20"/>
            <w:w w:val="105"/>
            <w:sz w:val="16"/>
          </w:rPr>
          <w:t>b</w:t>
        </w:r>
        <w:r>
          <w:rPr>
            <w:color w:val="231F20"/>
            <w:w w:val="108"/>
            <w:sz w:val="16"/>
          </w:rPr>
          <w:t>o</w:t>
        </w:r>
        <w:r>
          <w:rPr>
            <w:color w:val="231F20"/>
            <w:w w:val="104"/>
            <w:sz w:val="16"/>
          </w:rPr>
          <w:t>u</w:t>
        </w:r>
        <w:r>
          <w:rPr>
            <w:color w:val="231F20"/>
            <w:w w:val="101"/>
            <w:sz w:val="16"/>
          </w:rPr>
          <w:t>rh</w:t>
        </w:r>
        <w:r>
          <w:rPr>
            <w:color w:val="231F20"/>
            <w:w w:val="103"/>
            <w:sz w:val="16"/>
          </w:rPr>
          <w:t>i</w:t>
        </w:r>
        <w:r>
          <w:rPr>
            <w:color w:val="231F20"/>
            <w:w w:val="93"/>
            <w:sz w:val="16"/>
          </w:rPr>
          <w:t>s</w:t>
        </w:r>
        <w:r>
          <w:rPr>
            <w:color w:val="231F20"/>
            <w:w w:val="102"/>
            <w:sz w:val="16"/>
          </w:rPr>
          <w:t>t</w:t>
        </w:r>
        <w:r>
          <w:rPr>
            <w:color w:val="231F20"/>
            <w:w w:val="108"/>
            <w:sz w:val="16"/>
          </w:rPr>
          <w:t>o</w:t>
        </w:r>
        <w:r>
          <w:rPr>
            <w:color w:val="231F20"/>
            <w:w w:val="97"/>
            <w:sz w:val="16"/>
          </w:rPr>
          <w:t>r</w:t>
        </w:r>
        <w:r>
          <w:rPr>
            <w:color w:val="231F20"/>
            <w:w w:val="102"/>
            <w:sz w:val="16"/>
          </w:rPr>
          <w:t>y</w:t>
        </w:r>
        <w:r>
          <w:rPr>
            <w:color w:val="231F20"/>
            <w:w w:val="140"/>
            <w:sz w:val="16"/>
          </w:rPr>
          <w:t>.</w:t>
        </w:r>
        <w:r>
          <w:rPr>
            <w:color w:val="231F20"/>
            <w:w w:val="103"/>
            <w:sz w:val="16"/>
          </w:rPr>
          <w:t>n</w:t>
        </w:r>
        <w:r>
          <w:rPr>
            <w:color w:val="231F20"/>
            <w:w w:val="94"/>
            <w:sz w:val="16"/>
          </w:rPr>
          <w:t>e</w:t>
        </w:r>
        <w:r>
          <w:rPr>
            <w:color w:val="231F20"/>
            <w:w w:val="102"/>
            <w:sz w:val="16"/>
          </w:rPr>
          <w:t>t</w:t>
        </w:r>
        <w:r>
          <w:rPr>
            <w:color w:val="231F20"/>
            <w:w w:val="58"/>
            <w:sz w:val="16"/>
          </w:rPr>
          <w:t>/</w:t>
        </w:r>
        <w:r>
          <w:rPr>
            <w:color w:val="231F20"/>
            <w:w w:val="97"/>
            <w:sz w:val="16"/>
          </w:rPr>
          <w:t>r</w:t>
        </w:r>
        <w:r>
          <w:rPr>
            <w:color w:val="231F20"/>
            <w:w w:val="106"/>
            <w:sz w:val="16"/>
          </w:rPr>
          <w:t>a</w:t>
        </w:r>
        <w:r>
          <w:rPr>
            <w:color w:val="231F20"/>
            <w:w w:val="114"/>
            <w:sz w:val="16"/>
          </w:rPr>
          <w:t>f</w:t>
        </w:r>
        <w:r>
          <w:rPr>
            <w:color w:val="231F20"/>
            <w:w w:val="58"/>
            <w:sz w:val="16"/>
          </w:rPr>
          <w:t>/</w:t>
        </w:r>
        <w:r>
          <w:rPr>
            <w:color w:val="231F20"/>
            <w:w w:val="93"/>
            <w:sz w:val="16"/>
          </w:rPr>
          <w:t>s</w:t>
        </w:r>
        <w:r>
          <w:rPr>
            <w:color w:val="231F20"/>
            <w:w w:val="94"/>
            <w:sz w:val="16"/>
          </w:rPr>
          <w:t>e</w:t>
        </w:r>
        <w:r>
          <w:rPr>
            <w:color w:val="231F20"/>
            <w:w w:val="106"/>
            <w:sz w:val="16"/>
          </w:rPr>
          <w:t>a</w:t>
        </w:r>
        <w:r>
          <w:rPr>
            <w:color w:val="231F20"/>
            <w:w w:val="97"/>
            <w:sz w:val="16"/>
          </w:rPr>
          <w:t>r</w:t>
        </w:r>
        <w:r>
          <w:rPr>
            <w:color w:val="231F20"/>
            <w:w w:val="104"/>
            <w:sz w:val="16"/>
          </w:rPr>
          <w:t>ch</w:t>
        </w:r>
        <w:r>
          <w:rPr>
            <w:color w:val="231F20"/>
            <w:w w:val="140"/>
            <w:sz w:val="16"/>
          </w:rPr>
          <w:t>.</w:t>
        </w:r>
        <w:r>
          <w:rPr>
            <w:color w:val="231F20"/>
            <w:w w:val="103"/>
            <w:sz w:val="16"/>
          </w:rPr>
          <w:t>p</w:t>
        </w:r>
        <w:r>
          <w:rPr>
            <w:color w:val="231F20"/>
            <w:w w:val="104"/>
            <w:sz w:val="16"/>
          </w:rPr>
          <w:t>h</w:t>
        </w:r>
        <w:r>
          <w:rPr>
            <w:color w:val="231F20"/>
            <w:w w:val="103"/>
            <w:sz w:val="16"/>
          </w:rPr>
          <w:t>p</w:t>
        </w:r>
        <w:r>
          <w:rPr>
            <w:color w:val="231F20"/>
            <w:w w:val="109"/>
            <w:sz w:val="16"/>
          </w:rPr>
          <w:t>?</w:t>
        </w:r>
        <w:r>
          <w:rPr>
            <w:color w:val="231F20"/>
            <w:w w:val="93"/>
            <w:sz w:val="16"/>
          </w:rPr>
          <w:t>s</w:t>
        </w:r>
        <w:r>
          <w:rPr>
            <w:color w:val="231F20"/>
            <w:w w:val="94"/>
            <w:sz w:val="16"/>
          </w:rPr>
          <w:t>e</w:t>
        </w:r>
        <w:r>
          <w:rPr>
            <w:color w:val="231F20"/>
            <w:w w:val="106"/>
            <w:sz w:val="16"/>
          </w:rPr>
          <w:t>a</w:t>
        </w:r>
        <w:r>
          <w:rPr>
            <w:color w:val="231F20"/>
            <w:w w:val="97"/>
            <w:sz w:val="16"/>
          </w:rPr>
          <w:t>r</w:t>
        </w:r>
        <w:r>
          <w:rPr>
            <w:color w:val="231F20"/>
            <w:w w:val="104"/>
            <w:sz w:val="16"/>
          </w:rPr>
          <w:t>ch=</w:t>
        </w:r>
        <w:r>
          <w:rPr>
            <w:color w:val="231F20"/>
            <w:w w:val="103"/>
            <w:sz w:val="16"/>
          </w:rPr>
          <w:t>d</w:t>
        </w:r>
        <w:r>
          <w:rPr>
            <w:color w:val="231F20"/>
            <w:w w:val="106"/>
            <w:sz w:val="16"/>
          </w:rPr>
          <w:t>a</w:t>
        </w:r>
        <w:r>
          <w:rPr>
            <w:color w:val="231F20"/>
            <w:w w:val="93"/>
            <w:sz w:val="16"/>
          </w:rPr>
          <w:t>s</w:t>
        </w:r>
        <w:r>
          <w:rPr>
            <w:color w:val="231F20"/>
            <w:w w:val="104"/>
            <w:sz w:val="16"/>
          </w:rPr>
          <w:t>+</w:t>
        </w:r>
        <w:r>
          <w:rPr>
            <w:color w:val="231F20"/>
            <w:w w:val="103"/>
            <w:sz w:val="16"/>
          </w:rPr>
          <w:t>in</w:t>
        </w:r>
      </w:hyperlink>
      <w:r>
        <w:rPr>
          <w:color w:val="231F20"/>
          <w:w w:val="103"/>
          <w:sz w:val="16"/>
        </w:rPr>
        <w:t xml:space="preserve"> </w:t>
      </w:r>
      <w:r>
        <w:rPr>
          <w:color w:val="231F20"/>
          <w:w w:val="105"/>
          <w:sz w:val="16"/>
        </w:rPr>
        <w:t>fo+bakker+schut&amp;field=0&amp;word=0&amp;btn=Search#</w:t>
      </w:r>
    </w:p>
    <w:p w14:paraId="0E76D394" w14:textId="77777777" w:rsidR="002653E8" w:rsidRDefault="002653E8">
      <w:pPr>
        <w:spacing w:line="254" w:lineRule="auto"/>
        <w:rPr>
          <w:sz w:val="16"/>
        </w:rPr>
        <w:sectPr w:rsidR="002653E8">
          <w:pgSz w:w="8640" w:h="12960"/>
          <w:pgMar w:top="1060" w:right="0" w:bottom="1040" w:left="0" w:header="0" w:footer="850" w:gutter="0"/>
          <w:cols w:space="720"/>
        </w:sectPr>
      </w:pPr>
    </w:p>
    <w:p w14:paraId="7F9F9D38" w14:textId="77777777" w:rsidR="002653E8" w:rsidRDefault="003115E3">
      <w:pPr>
        <w:pStyle w:val="a3"/>
        <w:spacing w:before="86" w:line="264" w:lineRule="auto"/>
        <w:ind w:left="1147" w:right="1326"/>
        <w:jc w:val="both"/>
      </w:pPr>
      <w:r>
        <w:rPr>
          <w:color w:val="231F20"/>
        </w:rPr>
        <w:lastRenderedPageBreak/>
        <w:t xml:space="preserve">the state’s broader repressive approach intended to intimidate those who might stand with the guerilla. Groenewold was subjected to the </w:t>
      </w:r>
      <w:r>
        <w:rPr>
          <w:i/>
          <w:color w:val="231F20"/>
        </w:rPr>
        <w:t xml:space="preserve">Berufsverbot </w:t>
      </w:r>
      <w:r>
        <w:rPr>
          <w:color w:val="231F20"/>
        </w:rPr>
        <w:t xml:space="preserve">on June </w:t>
      </w:r>
      <w:r>
        <w:rPr>
          <w:color w:val="231F20"/>
          <w:spacing w:val="-4"/>
        </w:rPr>
        <w:t>12</w:t>
      </w:r>
      <w:r>
        <w:rPr>
          <w:color w:val="231F20"/>
          <w:spacing w:val="-4"/>
          <w:position w:val="7"/>
          <w:sz w:val="11"/>
        </w:rPr>
        <w:t xml:space="preserve">1 </w:t>
      </w:r>
      <w:r>
        <w:rPr>
          <w:color w:val="231F20"/>
        </w:rPr>
        <w:t xml:space="preserve">and later that month,  </w:t>
      </w:r>
      <w:r w:rsidR="00C507A5">
        <w:rPr>
          <w:color w:val="231F20"/>
          <w:spacing w:val="5"/>
        </w:rPr>
        <w:t>red army faction</w:t>
      </w:r>
      <w:r>
        <w:rPr>
          <w:color w:val="231F20"/>
          <w:spacing w:val="5"/>
        </w:rPr>
        <w:t xml:space="preserve">  </w:t>
      </w:r>
      <w:r>
        <w:rPr>
          <w:color w:val="231F20"/>
        </w:rPr>
        <w:t>lawyers  found  their offices and homes targeted as police carried out simultaneous raids in Hamburg, Heidelberg, Stuttgart, and</w:t>
      </w:r>
      <w:r>
        <w:rPr>
          <w:color w:val="231F20"/>
          <w:spacing w:val="25"/>
        </w:rPr>
        <w:t xml:space="preserve"> </w:t>
      </w:r>
      <w:r>
        <w:rPr>
          <w:color w:val="231F20"/>
          <w:spacing w:val="-3"/>
        </w:rPr>
        <w:t xml:space="preserve">West </w:t>
      </w:r>
      <w:r>
        <w:rPr>
          <w:color w:val="231F20"/>
        </w:rPr>
        <w:t>Berlin.</w:t>
      </w:r>
    </w:p>
    <w:p w14:paraId="295F5FFC" w14:textId="77777777" w:rsidR="002653E8" w:rsidRDefault="003115E3">
      <w:pPr>
        <w:pStyle w:val="a3"/>
        <w:spacing w:line="264" w:lineRule="auto"/>
        <w:ind w:left="1147" w:right="1326" w:firstLine="210"/>
        <w:jc w:val="both"/>
      </w:pPr>
      <w:r>
        <w:rPr>
          <w:color w:val="231F20"/>
        </w:rPr>
        <w:t>Over</w:t>
      </w:r>
      <w:r>
        <w:rPr>
          <w:color w:val="231F20"/>
          <w:spacing w:val="-4"/>
        </w:rPr>
        <w:t xml:space="preserve"> </w:t>
      </w:r>
      <w:r>
        <w:rPr>
          <w:color w:val="231F20"/>
        </w:rPr>
        <w:t>the</w:t>
      </w:r>
      <w:r>
        <w:rPr>
          <w:color w:val="231F20"/>
          <w:spacing w:val="-4"/>
        </w:rPr>
        <w:t xml:space="preserve"> </w:t>
      </w:r>
      <w:r>
        <w:rPr>
          <w:color w:val="231F20"/>
        </w:rPr>
        <w:t>next</w:t>
      </w:r>
      <w:r>
        <w:rPr>
          <w:color w:val="231F20"/>
          <w:spacing w:val="-4"/>
        </w:rPr>
        <w:t xml:space="preserve"> </w:t>
      </w:r>
      <w:r>
        <w:rPr>
          <w:color w:val="231F20"/>
        </w:rPr>
        <w:t>several</w:t>
      </w:r>
      <w:r>
        <w:rPr>
          <w:color w:val="231F20"/>
          <w:spacing w:val="-4"/>
        </w:rPr>
        <w:t xml:space="preserve"> </w:t>
      </w:r>
      <w:r>
        <w:rPr>
          <w:color w:val="231F20"/>
        </w:rPr>
        <w:t>years,</w:t>
      </w:r>
      <w:r>
        <w:rPr>
          <w:color w:val="231F20"/>
          <w:spacing w:val="-4"/>
        </w:rPr>
        <w:t xml:space="preserve"> </w:t>
      </w:r>
      <w:r>
        <w:rPr>
          <w:color w:val="231F20"/>
        </w:rPr>
        <w:t>the</w:t>
      </w:r>
      <w:r>
        <w:rPr>
          <w:color w:val="231F20"/>
          <w:spacing w:val="-4"/>
        </w:rPr>
        <w:t xml:space="preserve"> </w:t>
      </w:r>
      <w:r>
        <w:rPr>
          <w:color w:val="231F20"/>
        </w:rPr>
        <w:t>lawyers</w:t>
      </w:r>
      <w:r>
        <w:rPr>
          <w:color w:val="231F20"/>
          <w:spacing w:val="-4"/>
        </w:rPr>
        <w:t xml:space="preserve"> </w:t>
      </w:r>
      <w:r>
        <w:rPr>
          <w:color w:val="231F20"/>
        </w:rPr>
        <w:t>were</w:t>
      </w:r>
      <w:r>
        <w:rPr>
          <w:color w:val="231F20"/>
          <w:spacing w:val="-4"/>
        </w:rPr>
        <w:t xml:space="preserve"> </w:t>
      </w:r>
      <w:r>
        <w:rPr>
          <w:color w:val="231F20"/>
        </w:rPr>
        <w:t>repeatedly</w:t>
      </w:r>
      <w:r>
        <w:rPr>
          <w:color w:val="231F20"/>
          <w:spacing w:val="-4"/>
        </w:rPr>
        <w:t xml:space="preserve"> </w:t>
      </w:r>
      <w:r>
        <w:rPr>
          <w:color w:val="231F20"/>
        </w:rPr>
        <w:t>arrested</w:t>
      </w:r>
      <w:r>
        <w:rPr>
          <w:color w:val="231F20"/>
          <w:spacing w:val="-4"/>
        </w:rPr>
        <w:t xml:space="preserve"> </w:t>
      </w:r>
      <w:r>
        <w:rPr>
          <w:color w:val="231F20"/>
        </w:rPr>
        <w:t>and in</w:t>
      </w:r>
      <w:r>
        <w:rPr>
          <w:color w:val="231F20"/>
          <w:spacing w:val="-6"/>
        </w:rPr>
        <w:t xml:space="preserve"> </w:t>
      </w:r>
      <w:r>
        <w:rPr>
          <w:color w:val="231F20"/>
        </w:rPr>
        <w:t>some</w:t>
      </w:r>
      <w:r>
        <w:rPr>
          <w:color w:val="231F20"/>
          <w:spacing w:val="-6"/>
        </w:rPr>
        <w:t xml:space="preserve"> </w:t>
      </w:r>
      <w:r>
        <w:rPr>
          <w:color w:val="231F20"/>
        </w:rPr>
        <w:t>cases</w:t>
      </w:r>
      <w:r>
        <w:rPr>
          <w:color w:val="231F20"/>
          <w:spacing w:val="-6"/>
        </w:rPr>
        <w:t xml:space="preserve"> </w:t>
      </w:r>
      <w:r>
        <w:rPr>
          <w:color w:val="231F20"/>
        </w:rPr>
        <w:t>sentenced</w:t>
      </w:r>
      <w:r>
        <w:rPr>
          <w:color w:val="231F20"/>
          <w:spacing w:val="-6"/>
        </w:rPr>
        <w:t xml:space="preserve"> </w:t>
      </w:r>
      <w:r>
        <w:rPr>
          <w:color w:val="231F20"/>
        </w:rPr>
        <w:t>to</w:t>
      </w:r>
      <w:r>
        <w:rPr>
          <w:color w:val="231F20"/>
          <w:spacing w:val="-6"/>
        </w:rPr>
        <w:t xml:space="preserve"> </w:t>
      </w:r>
      <w:r>
        <w:rPr>
          <w:color w:val="231F20"/>
        </w:rPr>
        <w:t>considerable</w:t>
      </w:r>
      <w:r>
        <w:rPr>
          <w:color w:val="231F20"/>
          <w:spacing w:val="-6"/>
        </w:rPr>
        <w:t xml:space="preserve"> </w:t>
      </w:r>
      <w:r>
        <w:rPr>
          <w:color w:val="231F20"/>
        </w:rPr>
        <w:t>prison</w:t>
      </w:r>
      <w:r>
        <w:rPr>
          <w:color w:val="231F20"/>
          <w:spacing w:val="-6"/>
        </w:rPr>
        <w:t xml:space="preserve"> </w:t>
      </w:r>
      <w:r>
        <w:rPr>
          <w:color w:val="231F20"/>
        </w:rPr>
        <w:t>terms.</w:t>
      </w:r>
      <w:r>
        <w:rPr>
          <w:color w:val="231F20"/>
          <w:spacing w:val="-6"/>
        </w:rPr>
        <w:t xml:space="preserve"> </w:t>
      </w:r>
      <w:r>
        <w:rPr>
          <w:color w:val="231F20"/>
        </w:rPr>
        <w:t>They</w:t>
      </w:r>
      <w:r>
        <w:rPr>
          <w:color w:val="231F20"/>
          <w:spacing w:val="-6"/>
        </w:rPr>
        <w:t xml:space="preserve"> </w:t>
      </w:r>
      <w:r>
        <w:rPr>
          <w:color w:val="231F20"/>
        </w:rPr>
        <w:t>were</w:t>
      </w:r>
      <w:r>
        <w:rPr>
          <w:color w:val="231F20"/>
          <w:spacing w:val="-6"/>
        </w:rPr>
        <w:t xml:space="preserve"> </w:t>
      </w:r>
      <w:r>
        <w:rPr>
          <w:color w:val="231F20"/>
        </w:rPr>
        <w:t>openly followed by police; in some cases, agents were stationed outside their offices,</w:t>
      </w:r>
      <w:r>
        <w:rPr>
          <w:color w:val="231F20"/>
          <w:spacing w:val="12"/>
        </w:rPr>
        <w:t xml:space="preserve"> </w:t>
      </w:r>
      <w:r>
        <w:rPr>
          <w:color w:val="231F20"/>
        </w:rPr>
        <w:t>taking</w:t>
      </w:r>
      <w:r>
        <w:rPr>
          <w:color w:val="231F20"/>
          <w:spacing w:val="12"/>
        </w:rPr>
        <w:t xml:space="preserve"> </w:t>
      </w:r>
      <w:r>
        <w:rPr>
          <w:color w:val="231F20"/>
        </w:rPr>
        <w:t>photos</w:t>
      </w:r>
      <w:r>
        <w:rPr>
          <w:color w:val="231F20"/>
          <w:spacing w:val="12"/>
        </w:rPr>
        <w:t xml:space="preserve"> </w:t>
      </w:r>
      <w:r>
        <w:rPr>
          <w:color w:val="231F20"/>
        </w:rPr>
        <w:t>of</w:t>
      </w:r>
      <w:r>
        <w:rPr>
          <w:color w:val="231F20"/>
          <w:spacing w:val="12"/>
        </w:rPr>
        <w:t xml:space="preserve"> </w:t>
      </w:r>
      <w:r>
        <w:rPr>
          <w:color w:val="231F20"/>
        </w:rPr>
        <w:t>everyone,</w:t>
      </w:r>
      <w:r>
        <w:rPr>
          <w:color w:val="231F20"/>
          <w:spacing w:val="12"/>
        </w:rPr>
        <w:t xml:space="preserve"> </w:t>
      </w:r>
      <w:r>
        <w:rPr>
          <w:color w:val="231F20"/>
        </w:rPr>
        <w:t>political</w:t>
      </w:r>
      <w:r>
        <w:rPr>
          <w:color w:val="231F20"/>
          <w:spacing w:val="12"/>
        </w:rPr>
        <w:t xml:space="preserve"> </w:t>
      </w:r>
      <w:r>
        <w:rPr>
          <w:color w:val="231F20"/>
        </w:rPr>
        <w:t>or</w:t>
      </w:r>
      <w:r>
        <w:rPr>
          <w:color w:val="231F20"/>
          <w:spacing w:val="12"/>
        </w:rPr>
        <w:t xml:space="preserve"> </w:t>
      </w:r>
      <w:r>
        <w:rPr>
          <w:color w:val="231F20"/>
        </w:rPr>
        <w:t>not,</w:t>
      </w:r>
      <w:r>
        <w:rPr>
          <w:color w:val="231F20"/>
          <w:spacing w:val="12"/>
        </w:rPr>
        <w:t xml:space="preserve"> </w:t>
      </w:r>
      <w:r>
        <w:rPr>
          <w:color w:val="231F20"/>
        </w:rPr>
        <w:t>who</w:t>
      </w:r>
      <w:r>
        <w:rPr>
          <w:color w:val="231F20"/>
          <w:spacing w:val="12"/>
        </w:rPr>
        <w:t xml:space="preserve"> </w:t>
      </w:r>
      <w:r>
        <w:rPr>
          <w:color w:val="231F20"/>
        </w:rPr>
        <w:t>entered.</w:t>
      </w:r>
    </w:p>
    <w:p w14:paraId="4AF21D17" w14:textId="77777777" w:rsidR="002653E8" w:rsidRDefault="003115E3">
      <w:pPr>
        <w:pStyle w:val="a3"/>
        <w:spacing w:line="264" w:lineRule="auto"/>
        <w:ind w:left="1147" w:right="1326" w:firstLine="210"/>
        <w:jc w:val="both"/>
        <w:rPr>
          <w:sz w:val="11"/>
        </w:rPr>
      </w:pPr>
      <w:r>
        <w:rPr>
          <w:color w:val="231F20"/>
        </w:rPr>
        <w:t xml:space="preserve">On June </w:t>
      </w:r>
      <w:r>
        <w:rPr>
          <w:color w:val="231F20"/>
          <w:spacing w:val="-4"/>
        </w:rPr>
        <w:t xml:space="preserve">18, 1976, </w:t>
      </w:r>
      <w:r>
        <w:rPr>
          <w:color w:val="231F20"/>
        </w:rPr>
        <w:t>in a period of incredible tension in the movement, the office of Klaus Jürgen Langner, Margrit Schiller’s attorney, was firebombed; seven people on the premises were injured.</w:t>
      </w:r>
      <w:r>
        <w:rPr>
          <w:color w:val="231F20"/>
          <w:position w:val="7"/>
          <w:sz w:val="11"/>
        </w:rPr>
        <w:t xml:space="preserve">2 </w:t>
      </w:r>
      <w:r>
        <w:rPr>
          <w:color w:val="231F20"/>
        </w:rPr>
        <w:t>Not long afterwards, Axel Azzola resigned his mandate, explaining that “In this trial, one cannot speak without fear, and without freedom of speech there  can</w:t>
      </w:r>
      <w:r>
        <w:rPr>
          <w:color w:val="231F20"/>
          <w:spacing w:val="11"/>
        </w:rPr>
        <w:t xml:space="preserve"> </w:t>
      </w:r>
      <w:r>
        <w:rPr>
          <w:color w:val="231F20"/>
        </w:rPr>
        <w:t>be</w:t>
      </w:r>
      <w:r>
        <w:rPr>
          <w:color w:val="231F20"/>
          <w:spacing w:val="11"/>
        </w:rPr>
        <w:t xml:space="preserve"> </w:t>
      </w:r>
      <w:r>
        <w:rPr>
          <w:color w:val="231F20"/>
        </w:rPr>
        <w:t>no</w:t>
      </w:r>
      <w:r>
        <w:rPr>
          <w:color w:val="231F20"/>
          <w:spacing w:val="11"/>
        </w:rPr>
        <w:t xml:space="preserve"> </w:t>
      </w:r>
      <w:r>
        <w:rPr>
          <w:color w:val="231F20"/>
        </w:rPr>
        <w:t>defense…</w:t>
      </w:r>
      <w:r>
        <w:rPr>
          <w:color w:val="231F20"/>
          <w:spacing w:val="11"/>
        </w:rPr>
        <w:t xml:space="preserve"> </w:t>
      </w:r>
      <w:r>
        <w:rPr>
          <w:color w:val="231F20"/>
        </w:rPr>
        <w:t>I</w:t>
      </w:r>
      <w:r>
        <w:rPr>
          <w:color w:val="231F20"/>
          <w:spacing w:val="11"/>
        </w:rPr>
        <w:t xml:space="preserve"> </w:t>
      </w:r>
      <w:r>
        <w:rPr>
          <w:color w:val="231F20"/>
        </w:rPr>
        <w:t>am</w:t>
      </w:r>
      <w:r>
        <w:rPr>
          <w:color w:val="231F20"/>
          <w:spacing w:val="11"/>
        </w:rPr>
        <w:t xml:space="preserve"> </w:t>
      </w:r>
      <w:r>
        <w:rPr>
          <w:color w:val="231F20"/>
        </w:rPr>
        <w:t>terribly</w:t>
      </w:r>
      <w:r>
        <w:rPr>
          <w:color w:val="231F20"/>
          <w:spacing w:val="11"/>
        </w:rPr>
        <w:t xml:space="preserve"> </w:t>
      </w:r>
      <w:r>
        <w:rPr>
          <w:color w:val="231F20"/>
        </w:rPr>
        <w:t>afraid.”</w:t>
      </w:r>
      <w:r>
        <w:rPr>
          <w:color w:val="231F20"/>
          <w:position w:val="7"/>
          <w:sz w:val="11"/>
        </w:rPr>
        <w:t>3</w:t>
      </w:r>
    </w:p>
    <w:p w14:paraId="4552CD54" w14:textId="77777777" w:rsidR="002653E8" w:rsidRDefault="003115E3">
      <w:pPr>
        <w:pStyle w:val="a3"/>
        <w:spacing w:line="264" w:lineRule="auto"/>
        <w:ind w:left="1147" w:right="1327" w:firstLine="210"/>
        <w:jc w:val="both"/>
      </w:pPr>
      <w:r>
        <w:rPr>
          <w:color w:val="231F20"/>
        </w:rPr>
        <w:t>These attacks on the lawyers came at the same time as a new volley  of legislation, aimed at the entire radical left, was being passed through the</w:t>
      </w:r>
      <w:r>
        <w:rPr>
          <w:color w:val="231F20"/>
          <w:spacing w:val="10"/>
        </w:rPr>
        <w:t xml:space="preserve"> </w:t>
      </w:r>
      <w:r>
        <w:rPr>
          <w:color w:val="231F20"/>
        </w:rPr>
        <w:t>legislature.</w:t>
      </w:r>
    </w:p>
    <w:p w14:paraId="149BDE6B" w14:textId="77777777" w:rsidR="002653E8" w:rsidRDefault="003115E3">
      <w:pPr>
        <w:pStyle w:val="a3"/>
        <w:spacing w:line="264" w:lineRule="auto"/>
        <w:ind w:left="1147" w:right="1325" w:firstLine="210"/>
        <w:jc w:val="both"/>
        <w:rPr>
          <w:sz w:val="11"/>
        </w:rPr>
      </w:pPr>
      <w:r>
        <w:rPr>
          <w:color w:val="231F20"/>
          <w:spacing w:val="1"/>
        </w:rPr>
        <w:t xml:space="preserve">In </w:t>
      </w:r>
      <w:r>
        <w:rPr>
          <w:color w:val="231F20"/>
        </w:rPr>
        <w:t xml:space="preserve">the summer of </w:t>
      </w:r>
      <w:r>
        <w:rPr>
          <w:color w:val="231F20"/>
          <w:spacing w:val="-4"/>
        </w:rPr>
        <w:t xml:space="preserve">1976, </w:t>
      </w:r>
      <w:r>
        <w:rPr>
          <w:color w:val="231F20"/>
          <w:spacing w:val="-3"/>
          <w:sz w:val="18"/>
        </w:rPr>
        <w:t>§</w:t>
      </w:r>
      <w:r>
        <w:rPr>
          <w:color w:val="231F20"/>
          <w:spacing w:val="-3"/>
        </w:rPr>
        <w:t xml:space="preserve">129a </w:t>
      </w:r>
      <w:r>
        <w:rPr>
          <w:color w:val="231F20"/>
        </w:rPr>
        <w:t xml:space="preserve">became </w:t>
      </w:r>
      <w:r>
        <w:rPr>
          <w:color w:val="231F20"/>
          <w:spacing w:val="-4"/>
        </w:rPr>
        <w:t xml:space="preserve">law, </w:t>
      </w:r>
      <w:r>
        <w:rPr>
          <w:color w:val="231F20"/>
        </w:rPr>
        <w:t xml:space="preserve">a more intimidating subsection of </w:t>
      </w:r>
      <w:r>
        <w:rPr>
          <w:color w:val="231F20"/>
          <w:spacing w:val="-4"/>
          <w:sz w:val="18"/>
        </w:rPr>
        <w:t>§</w:t>
      </w:r>
      <w:r>
        <w:rPr>
          <w:color w:val="231F20"/>
          <w:spacing w:val="-4"/>
        </w:rPr>
        <w:t xml:space="preserve">129 </w:t>
      </w:r>
      <w:r>
        <w:rPr>
          <w:color w:val="231F20"/>
        </w:rPr>
        <w:t>specifically related to “support for a terrorist organiza</w:t>
      </w:r>
      <w:r>
        <w:rPr>
          <w:color w:val="231F20"/>
          <w:spacing w:val="-5"/>
        </w:rPr>
        <w:t xml:space="preserve">tion”: </w:t>
      </w:r>
      <w:r>
        <w:rPr>
          <w:color w:val="231F20"/>
        </w:rPr>
        <w:t>the maximum penalty for “ringleaders” and  “chief  instigators” was increased to ten years.</w:t>
      </w:r>
      <w:r>
        <w:rPr>
          <w:color w:val="231F20"/>
          <w:position w:val="7"/>
          <w:sz w:val="11"/>
        </w:rPr>
        <w:t xml:space="preserve">4 </w:t>
      </w:r>
      <w:r>
        <w:rPr>
          <w:color w:val="231F20"/>
        </w:rPr>
        <w:t>At the same time, civil rights protections were loosened so that mere suspicion that an individual was supporting a criminal organization, even where no criminal act had been committed,</w:t>
      </w:r>
      <w:r>
        <w:rPr>
          <w:color w:val="231F20"/>
          <w:spacing w:val="8"/>
        </w:rPr>
        <w:t xml:space="preserve"> </w:t>
      </w:r>
      <w:r>
        <w:rPr>
          <w:color w:val="231F20"/>
        </w:rPr>
        <w:t>became</w:t>
      </w:r>
      <w:r>
        <w:rPr>
          <w:color w:val="231F20"/>
          <w:spacing w:val="8"/>
        </w:rPr>
        <w:t xml:space="preserve"> </w:t>
      </w:r>
      <w:r>
        <w:rPr>
          <w:color w:val="231F20"/>
        </w:rPr>
        <w:t>sufficient</w:t>
      </w:r>
      <w:r>
        <w:rPr>
          <w:color w:val="231F20"/>
          <w:spacing w:val="8"/>
        </w:rPr>
        <w:t xml:space="preserve"> </w:t>
      </w:r>
      <w:r>
        <w:rPr>
          <w:color w:val="231F20"/>
        </w:rPr>
        <w:t>grounds</w:t>
      </w:r>
      <w:r>
        <w:rPr>
          <w:color w:val="231F20"/>
          <w:spacing w:val="8"/>
        </w:rPr>
        <w:t xml:space="preserve"> </w:t>
      </w:r>
      <w:r>
        <w:rPr>
          <w:color w:val="231F20"/>
        </w:rPr>
        <w:t>to</w:t>
      </w:r>
      <w:r>
        <w:rPr>
          <w:color w:val="231F20"/>
          <w:spacing w:val="8"/>
        </w:rPr>
        <w:t xml:space="preserve"> </w:t>
      </w:r>
      <w:r>
        <w:rPr>
          <w:color w:val="231F20"/>
        </w:rPr>
        <w:t>issue</w:t>
      </w:r>
      <w:r>
        <w:rPr>
          <w:color w:val="231F20"/>
          <w:spacing w:val="8"/>
        </w:rPr>
        <w:t xml:space="preserve"> </w:t>
      </w:r>
      <w:r>
        <w:rPr>
          <w:color w:val="231F20"/>
        </w:rPr>
        <w:t>search</w:t>
      </w:r>
      <w:r>
        <w:rPr>
          <w:color w:val="231F20"/>
          <w:spacing w:val="8"/>
        </w:rPr>
        <w:t xml:space="preserve"> </w:t>
      </w:r>
      <w:r>
        <w:rPr>
          <w:color w:val="231F20"/>
        </w:rPr>
        <w:t>and</w:t>
      </w:r>
      <w:r>
        <w:rPr>
          <w:color w:val="231F20"/>
          <w:spacing w:val="8"/>
        </w:rPr>
        <w:t xml:space="preserve"> </w:t>
      </w:r>
      <w:r>
        <w:rPr>
          <w:color w:val="231F20"/>
        </w:rPr>
        <w:t>arrest</w:t>
      </w:r>
      <w:r>
        <w:rPr>
          <w:color w:val="231F20"/>
          <w:spacing w:val="8"/>
        </w:rPr>
        <w:t xml:space="preserve"> </w:t>
      </w:r>
      <w:r>
        <w:rPr>
          <w:color w:val="231F20"/>
        </w:rPr>
        <w:t>warrants.</w:t>
      </w:r>
      <w:r>
        <w:rPr>
          <w:color w:val="231F20"/>
          <w:position w:val="7"/>
          <w:sz w:val="11"/>
        </w:rPr>
        <w:t>5</w:t>
      </w:r>
    </w:p>
    <w:p w14:paraId="3AB06C9D" w14:textId="77777777" w:rsidR="002653E8" w:rsidRDefault="003115E3">
      <w:pPr>
        <w:pStyle w:val="a3"/>
        <w:spacing w:line="264" w:lineRule="auto"/>
        <w:ind w:left="1147" w:right="1326" w:firstLine="210"/>
        <w:jc w:val="both"/>
        <w:rPr>
          <w:sz w:val="11"/>
        </w:rPr>
      </w:pPr>
      <w:r>
        <w:rPr>
          <w:color w:val="231F20"/>
        </w:rPr>
        <w:t xml:space="preserve">This came after </w:t>
      </w:r>
      <w:r>
        <w:rPr>
          <w:color w:val="231F20"/>
          <w:spacing w:val="-4"/>
          <w:sz w:val="18"/>
        </w:rPr>
        <w:t>§</w:t>
      </w:r>
      <w:r>
        <w:rPr>
          <w:color w:val="231F20"/>
          <w:spacing w:val="-4"/>
        </w:rPr>
        <w:t xml:space="preserve">88a </w:t>
      </w:r>
      <w:r>
        <w:rPr>
          <w:color w:val="231F20"/>
        </w:rPr>
        <w:t xml:space="preserve">had been passed in January </w:t>
      </w:r>
      <w:r>
        <w:rPr>
          <w:color w:val="231F20"/>
          <w:spacing w:val="-4"/>
        </w:rPr>
        <w:t xml:space="preserve">1976, </w:t>
      </w:r>
      <w:r>
        <w:rPr>
          <w:color w:val="231F20"/>
        </w:rPr>
        <w:t>providing for  a maximum three-year jail sentence for those who “produce, distribute, publicly display, and advertise materials that recommend unlawful acts—such as disturbing the peace in special (e.g. armed) cases, murder, manslaughter,</w:t>
      </w:r>
      <w:r>
        <w:rPr>
          <w:color w:val="231F20"/>
          <w:spacing w:val="17"/>
        </w:rPr>
        <w:t xml:space="preserve"> </w:t>
      </w:r>
      <w:r>
        <w:rPr>
          <w:color w:val="231F20"/>
        </w:rPr>
        <w:t>robbery,</w:t>
      </w:r>
      <w:r>
        <w:rPr>
          <w:color w:val="231F20"/>
          <w:spacing w:val="17"/>
        </w:rPr>
        <w:t xml:space="preserve"> </w:t>
      </w:r>
      <w:r>
        <w:rPr>
          <w:color w:val="231F20"/>
        </w:rPr>
        <w:t>extortion,</w:t>
      </w:r>
      <w:r>
        <w:rPr>
          <w:color w:val="231F20"/>
          <w:spacing w:val="17"/>
        </w:rPr>
        <w:t xml:space="preserve"> </w:t>
      </w:r>
      <w:r>
        <w:rPr>
          <w:color w:val="231F20"/>
        </w:rPr>
        <w:t>arson,</w:t>
      </w:r>
      <w:r>
        <w:rPr>
          <w:color w:val="231F20"/>
          <w:spacing w:val="17"/>
        </w:rPr>
        <w:t xml:space="preserve"> </w:t>
      </w:r>
      <w:r>
        <w:rPr>
          <w:color w:val="231F20"/>
        </w:rPr>
        <w:t>and</w:t>
      </w:r>
      <w:r>
        <w:rPr>
          <w:color w:val="231F20"/>
          <w:spacing w:val="17"/>
        </w:rPr>
        <w:t xml:space="preserve"> </w:t>
      </w:r>
      <w:r>
        <w:rPr>
          <w:color w:val="231F20"/>
        </w:rPr>
        <w:t>the</w:t>
      </w:r>
      <w:r>
        <w:rPr>
          <w:color w:val="231F20"/>
          <w:spacing w:val="17"/>
        </w:rPr>
        <w:t xml:space="preserve"> </w:t>
      </w:r>
      <w:r>
        <w:rPr>
          <w:color w:val="231F20"/>
        </w:rPr>
        <w:t>use</w:t>
      </w:r>
      <w:r>
        <w:rPr>
          <w:color w:val="231F20"/>
          <w:spacing w:val="17"/>
        </w:rPr>
        <w:t xml:space="preserve"> </w:t>
      </w:r>
      <w:r>
        <w:rPr>
          <w:color w:val="231F20"/>
        </w:rPr>
        <w:t>of</w:t>
      </w:r>
      <w:r>
        <w:rPr>
          <w:color w:val="231F20"/>
          <w:spacing w:val="17"/>
        </w:rPr>
        <w:t xml:space="preserve"> </w:t>
      </w:r>
      <w:r>
        <w:rPr>
          <w:color w:val="231F20"/>
          <w:spacing w:val="-3"/>
        </w:rPr>
        <w:t>explosives.”</w:t>
      </w:r>
      <w:r>
        <w:rPr>
          <w:color w:val="231F20"/>
          <w:spacing w:val="-3"/>
          <w:position w:val="7"/>
          <w:sz w:val="11"/>
        </w:rPr>
        <w:t>6</w:t>
      </w:r>
    </w:p>
    <w:p w14:paraId="1D43904A" w14:textId="77777777" w:rsidR="002653E8" w:rsidRDefault="003115E3">
      <w:pPr>
        <w:pStyle w:val="a3"/>
        <w:spacing w:line="264" w:lineRule="auto"/>
        <w:ind w:left="1147" w:right="1325" w:firstLine="210"/>
        <w:jc w:val="both"/>
      </w:pPr>
      <w:r>
        <w:rPr>
          <w:color w:val="231F20"/>
        </w:rPr>
        <w:t xml:space="preserve">It was not long before </w:t>
      </w:r>
      <w:r>
        <w:rPr>
          <w:color w:val="231F20"/>
          <w:sz w:val="18"/>
        </w:rPr>
        <w:t>§</w:t>
      </w:r>
      <w:r>
        <w:rPr>
          <w:color w:val="231F20"/>
        </w:rPr>
        <w:t>88a was being used to prosecute not only radical newspapers which reprinted the guerilla’s communiqués, but also the bookstores which carried such publications. On August 18, the</w:t>
      </w:r>
    </w:p>
    <w:p w14:paraId="440324C6" w14:textId="77777777" w:rsidR="002653E8" w:rsidRDefault="00000000">
      <w:pPr>
        <w:pStyle w:val="a3"/>
      </w:pPr>
      <w:r>
        <w:rPr>
          <w:noProof w:val="0"/>
        </w:rPr>
        <w:pict w14:anchorId="55BBFCAA">
          <v:line id="_x0000_s2321" style="position:absolute;z-index:7792;mso-wrap-distance-left:0;mso-wrap-distance-right:0;mso-position-horizontal-relative:page" from="57.4pt,13.95pt" to="129.4pt,13.95pt" strokecolor="#231f20" strokeweight=".5pt">
            <w10:wrap type="topAndBottom" anchorx="page"/>
          </v:line>
        </w:pict>
      </w:r>
    </w:p>
    <w:p w14:paraId="47A69B1E" w14:textId="77777777" w:rsidR="002653E8" w:rsidRDefault="003115E3">
      <w:pPr>
        <w:spacing w:before="53"/>
        <w:ind w:left="1147"/>
        <w:rPr>
          <w:sz w:val="16"/>
        </w:rPr>
      </w:pPr>
      <w:r>
        <w:rPr>
          <w:color w:val="231F20"/>
          <w:w w:val="110"/>
          <w:sz w:val="16"/>
        </w:rPr>
        <w:t xml:space="preserve">1 Bakker Schut, </w:t>
      </w:r>
      <w:r>
        <w:rPr>
          <w:i/>
          <w:color w:val="231F20"/>
          <w:w w:val="110"/>
          <w:sz w:val="16"/>
        </w:rPr>
        <w:t xml:space="preserve">Stammheim, </w:t>
      </w:r>
      <w:r>
        <w:rPr>
          <w:color w:val="231F20"/>
          <w:w w:val="110"/>
          <w:sz w:val="16"/>
        </w:rPr>
        <w:t>519.</w:t>
      </w:r>
    </w:p>
    <w:p w14:paraId="5D99A9E9" w14:textId="77777777" w:rsidR="002653E8" w:rsidRDefault="003115E3">
      <w:pPr>
        <w:spacing w:before="51"/>
        <w:ind w:left="1147"/>
        <w:rPr>
          <w:sz w:val="16"/>
        </w:rPr>
      </w:pPr>
      <w:r>
        <w:rPr>
          <w:color w:val="231F20"/>
          <w:w w:val="115"/>
          <w:sz w:val="16"/>
        </w:rPr>
        <w:t>2 Ibid., 630.</w:t>
      </w:r>
    </w:p>
    <w:p w14:paraId="6B182B94" w14:textId="77777777" w:rsidR="002653E8" w:rsidRDefault="003115E3">
      <w:pPr>
        <w:spacing w:before="52"/>
        <w:ind w:left="1147"/>
        <w:rPr>
          <w:sz w:val="16"/>
        </w:rPr>
      </w:pPr>
      <w:r>
        <w:rPr>
          <w:color w:val="231F20"/>
          <w:w w:val="115"/>
          <w:sz w:val="16"/>
        </w:rPr>
        <w:t>3 Ibid., 419.</w:t>
      </w:r>
    </w:p>
    <w:p w14:paraId="194CC81A" w14:textId="77777777" w:rsidR="002653E8" w:rsidRDefault="003115E3">
      <w:pPr>
        <w:spacing w:before="52"/>
        <w:ind w:left="1147"/>
        <w:rPr>
          <w:sz w:val="16"/>
        </w:rPr>
      </w:pPr>
      <w:r>
        <w:rPr>
          <w:color w:val="231F20"/>
          <w:w w:val="110"/>
          <w:sz w:val="16"/>
        </w:rPr>
        <w:t>4 Varon, 256.</w:t>
      </w:r>
    </w:p>
    <w:p w14:paraId="31A54053" w14:textId="77777777" w:rsidR="002653E8" w:rsidRDefault="003115E3">
      <w:pPr>
        <w:spacing w:before="51"/>
        <w:ind w:left="1147"/>
        <w:rPr>
          <w:sz w:val="16"/>
        </w:rPr>
      </w:pPr>
      <w:r>
        <w:rPr>
          <w:color w:val="231F20"/>
          <w:w w:val="110"/>
          <w:sz w:val="16"/>
        </w:rPr>
        <w:t>5 Cobler, 117-118.</w:t>
      </w:r>
    </w:p>
    <w:p w14:paraId="2BA17071" w14:textId="77777777" w:rsidR="002653E8" w:rsidRDefault="003115E3">
      <w:pPr>
        <w:spacing w:before="52"/>
        <w:ind w:left="1148"/>
        <w:rPr>
          <w:sz w:val="16"/>
        </w:rPr>
      </w:pPr>
      <w:r>
        <w:rPr>
          <w:color w:val="231F20"/>
          <w:w w:val="105"/>
          <w:sz w:val="16"/>
        </w:rPr>
        <w:t>6 Braunthal, 160-161.</w:t>
      </w:r>
    </w:p>
    <w:p w14:paraId="6B63730B" w14:textId="77777777" w:rsidR="002653E8" w:rsidRDefault="002653E8">
      <w:pPr>
        <w:rPr>
          <w:sz w:val="16"/>
        </w:rPr>
        <w:sectPr w:rsidR="002653E8">
          <w:footerReference w:type="even" r:id="rId296"/>
          <w:footerReference w:type="default" r:id="rId297"/>
          <w:pgSz w:w="8640" w:h="12960"/>
          <w:pgMar w:top="1060" w:right="0" w:bottom="1040" w:left="0" w:header="0" w:footer="850" w:gutter="0"/>
          <w:cols w:space="720"/>
        </w:sectPr>
      </w:pPr>
    </w:p>
    <w:p w14:paraId="61415E96" w14:textId="77777777" w:rsidR="002653E8" w:rsidRDefault="003115E3">
      <w:pPr>
        <w:pStyle w:val="a3"/>
        <w:spacing w:before="86" w:line="264" w:lineRule="auto"/>
        <w:ind w:left="1327" w:right="1146"/>
        <w:jc w:val="both"/>
        <w:rPr>
          <w:sz w:val="11"/>
        </w:rPr>
      </w:pPr>
      <w:r>
        <w:rPr>
          <w:color w:val="231F20"/>
        </w:rPr>
        <w:lastRenderedPageBreak/>
        <w:t>police carried out predawn raids on the homes of booksellers in seven cities, as well as ten bookstores and a book distribution center, confiscating many volumes that they deemed subversive.</w:t>
      </w:r>
      <w:r>
        <w:rPr>
          <w:color w:val="231F20"/>
          <w:position w:val="7"/>
          <w:sz w:val="11"/>
        </w:rPr>
        <w:t>7</w:t>
      </w:r>
    </w:p>
    <w:p w14:paraId="23D6886B" w14:textId="77777777" w:rsidR="002653E8" w:rsidRDefault="003115E3">
      <w:pPr>
        <w:pStyle w:val="a3"/>
        <w:spacing w:line="264" w:lineRule="auto"/>
        <w:ind w:left="1327" w:right="1146" w:firstLine="210"/>
        <w:jc w:val="both"/>
      </w:pPr>
      <w:r>
        <w:rPr>
          <w:color w:val="231F20"/>
        </w:rPr>
        <w:t>Beyond the legal chill, a variety of dirty tricks and lies were also used to try to undercut public sympathy for the guerilla.</w:t>
      </w:r>
    </w:p>
    <w:p w14:paraId="783C483C" w14:textId="77777777" w:rsidR="002653E8" w:rsidRDefault="003115E3">
      <w:pPr>
        <w:pStyle w:val="a3"/>
        <w:spacing w:line="264" w:lineRule="auto"/>
        <w:ind w:left="1327" w:right="1145" w:firstLine="210"/>
        <w:jc w:val="both"/>
      </w:pPr>
      <w:r>
        <w:rPr>
          <w:color w:val="231F20"/>
        </w:rPr>
        <w:t xml:space="preserve">False flag attacks like the ones threatened in Stuttgart in </w:t>
      </w:r>
      <w:r>
        <w:rPr>
          <w:color w:val="231F20"/>
          <w:spacing w:val="-4"/>
        </w:rPr>
        <w:t xml:space="preserve">1972 </w:t>
      </w:r>
      <w:r>
        <w:rPr>
          <w:color w:val="231F20"/>
        </w:rPr>
        <w:t xml:space="preserve">were now actually carried out, taking aim at random bystanders. A bomb placed in the Bremen Central Station in December </w:t>
      </w:r>
      <w:r>
        <w:rPr>
          <w:color w:val="231F20"/>
          <w:spacing w:val="-7"/>
        </w:rPr>
        <w:t xml:space="preserve">1974 </w:t>
      </w:r>
      <w:r>
        <w:rPr>
          <w:color w:val="231F20"/>
        </w:rPr>
        <w:t xml:space="preserve">injured five people. Then, in </w:t>
      </w:r>
      <w:r>
        <w:rPr>
          <w:color w:val="231F20"/>
          <w:spacing w:val="-6"/>
        </w:rPr>
        <w:t xml:space="preserve">1975, </w:t>
      </w:r>
      <w:r>
        <w:rPr>
          <w:color w:val="231F20"/>
        </w:rPr>
        <w:t xml:space="preserve">there was a spate of such attacks: on September </w:t>
      </w:r>
      <w:r>
        <w:rPr>
          <w:color w:val="231F20"/>
          <w:spacing w:val="-6"/>
        </w:rPr>
        <w:t xml:space="preserve">13, </w:t>
      </w:r>
      <w:r>
        <w:rPr>
          <w:color w:val="231F20"/>
        </w:rPr>
        <w:t>four people were hurt when a bomb went off in the Hamburg train station,</w:t>
      </w:r>
      <w:r>
        <w:rPr>
          <w:color w:val="231F20"/>
          <w:position w:val="7"/>
          <w:sz w:val="11"/>
        </w:rPr>
        <w:t xml:space="preserve">8 </w:t>
      </w:r>
      <w:r>
        <w:rPr>
          <w:color w:val="231F20"/>
        </w:rPr>
        <w:t xml:space="preserve">claimed  by  a  phantom  </w:t>
      </w:r>
      <w:r>
        <w:rPr>
          <w:color w:val="231F20"/>
          <w:spacing w:val="2"/>
        </w:rPr>
        <w:t>“</w:t>
      </w:r>
      <w:r w:rsidR="00C507A5">
        <w:rPr>
          <w:color w:val="231F20"/>
          <w:spacing w:val="2"/>
        </w:rPr>
        <w:t>red army faction</w:t>
      </w:r>
      <w:r>
        <w:rPr>
          <w:color w:val="231F20"/>
          <w:spacing w:val="50"/>
        </w:rPr>
        <w:t xml:space="preserve"> </w:t>
      </w:r>
      <w:r>
        <w:rPr>
          <w:color w:val="231F20"/>
        </w:rPr>
        <w:t>Ralf  Reinders  Commando.”</w:t>
      </w:r>
      <w:r>
        <w:rPr>
          <w:color w:val="231F20"/>
          <w:position w:val="7"/>
          <w:sz w:val="11"/>
        </w:rPr>
        <w:t xml:space="preserve">9 </w:t>
      </w:r>
      <w:r>
        <w:rPr>
          <w:color w:val="231F20"/>
        </w:rPr>
        <w:t xml:space="preserve">(The next </w:t>
      </w:r>
      <w:r>
        <w:rPr>
          <w:color w:val="231F20"/>
          <w:spacing w:val="-4"/>
        </w:rPr>
        <w:t xml:space="preserve">day, </w:t>
      </w:r>
      <w:r>
        <w:rPr>
          <w:color w:val="231F20"/>
        </w:rPr>
        <w:t xml:space="preserve">a fake bomb threat was called in to the Munich Central Station: an anonymous caller directed police to a locker, where they found a communiqué from the </w:t>
      </w:r>
      <w:r w:rsidR="00C507A5">
        <w:rPr>
          <w:color w:val="231F20"/>
        </w:rPr>
        <w:t>red army faction</w:t>
      </w:r>
      <w:r>
        <w:rPr>
          <w:color w:val="231F20"/>
        </w:rPr>
        <w:t xml:space="preserve">, the 2nd of June Movement, and     the Revolutionary Cells denouncing the previous </w:t>
      </w:r>
      <w:r>
        <w:rPr>
          <w:color w:val="231F20"/>
          <w:spacing w:val="-3"/>
        </w:rPr>
        <w:t xml:space="preserve">day’s </w:t>
      </w:r>
      <w:r>
        <w:rPr>
          <w:color w:val="231F20"/>
        </w:rPr>
        <w:t xml:space="preserve">attack.) </w:t>
      </w:r>
      <w:r>
        <w:rPr>
          <w:color w:val="231F20"/>
          <w:spacing w:val="1"/>
        </w:rPr>
        <w:t xml:space="preserve">In </w:t>
      </w:r>
      <w:r>
        <w:rPr>
          <w:color w:val="231F20"/>
        </w:rPr>
        <w:t xml:space="preserve">October, a bomb was discovered and defused in the Nuremberg train station, claimed by a phantom “Southern Fighting Group of the </w:t>
      </w:r>
      <w:r w:rsidR="00C507A5">
        <w:rPr>
          <w:color w:val="231F20"/>
        </w:rPr>
        <w:t>red army faction</w:t>
      </w:r>
      <w:r>
        <w:rPr>
          <w:color w:val="231F20"/>
        </w:rPr>
        <w:t xml:space="preserve">.” Finally, in November </w:t>
      </w:r>
      <w:r>
        <w:rPr>
          <w:color w:val="231F20"/>
          <w:spacing w:val="-6"/>
        </w:rPr>
        <w:t xml:space="preserve">1975, </w:t>
      </w:r>
      <w:r>
        <w:rPr>
          <w:color w:val="231F20"/>
        </w:rPr>
        <w:t>a similar bomb went off  in  the  Cologne train</w:t>
      </w:r>
      <w:r>
        <w:rPr>
          <w:color w:val="231F20"/>
          <w:spacing w:val="10"/>
        </w:rPr>
        <w:t xml:space="preserve"> </w:t>
      </w:r>
      <w:r>
        <w:rPr>
          <w:color w:val="231F20"/>
        </w:rPr>
        <w:t>station.</w:t>
      </w:r>
    </w:p>
    <w:p w14:paraId="3BAC1E0F" w14:textId="77777777" w:rsidR="002653E8" w:rsidRDefault="003115E3">
      <w:pPr>
        <w:pStyle w:val="a3"/>
        <w:spacing w:line="219" w:lineRule="exact"/>
        <w:ind w:left="1538"/>
      </w:pPr>
      <w:r>
        <w:rPr>
          <w:color w:val="231F20"/>
        </w:rPr>
        <w:t xml:space="preserve">As with the Hamburg attack, the </w:t>
      </w:r>
      <w:r w:rsidR="00C507A5">
        <w:rPr>
          <w:color w:val="231F20"/>
        </w:rPr>
        <w:t>red army faction</w:t>
      </w:r>
      <w:r>
        <w:rPr>
          <w:color w:val="231F20"/>
        </w:rPr>
        <w:t xml:space="preserve"> denounced all these as false</w:t>
      </w:r>
    </w:p>
    <w:p w14:paraId="5509ED74" w14:textId="77777777" w:rsidR="002653E8" w:rsidRDefault="003115E3">
      <w:pPr>
        <w:pStyle w:val="a3"/>
        <w:spacing w:before="17" w:line="264" w:lineRule="auto"/>
        <w:ind w:left="1327" w:right="1145"/>
        <w:jc w:val="both"/>
        <w:rPr>
          <w:sz w:val="11"/>
        </w:rPr>
      </w:pPr>
      <w:r>
        <w:rPr>
          <w:color w:val="231F20"/>
        </w:rPr>
        <w:t>flag</w:t>
      </w:r>
      <w:r>
        <w:rPr>
          <w:color w:val="231F20"/>
          <w:spacing w:val="-6"/>
        </w:rPr>
        <w:t xml:space="preserve"> </w:t>
      </w:r>
      <w:r>
        <w:rPr>
          <w:color w:val="231F20"/>
        </w:rPr>
        <w:t>actions,</w:t>
      </w:r>
      <w:r>
        <w:rPr>
          <w:color w:val="231F20"/>
          <w:spacing w:val="-6"/>
        </w:rPr>
        <w:t xml:space="preserve"> </w:t>
      </w:r>
      <w:r>
        <w:rPr>
          <w:color w:val="231F20"/>
        </w:rPr>
        <w:t>and</w:t>
      </w:r>
      <w:r>
        <w:rPr>
          <w:color w:val="231F20"/>
          <w:spacing w:val="-6"/>
        </w:rPr>
        <w:t xml:space="preserve"> </w:t>
      </w:r>
      <w:r>
        <w:rPr>
          <w:color w:val="231F20"/>
        </w:rPr>
        <w:t>released</w:t>
      </w:r>
      <w:r>
        <w:rPr>
          <w:color w:val="231F20"/>
          <w:spacing w:val="-6"/>
        </w:rPr>
        <w:t xml:space="preserve"> </w:t>
      </w:r>
      <w:r>
        <w:rPr>
          <w:color w:val="231F20"/>
        </w:rPr>
        <w:t>its</w:t>
      </w:r>
      <w:r>
        <w:rPr>
          <w:color w:val="231F20"/>
          <w:spacing w:val="-6"/>
        </w:rPr>
        <w:t xml:space="preserve"> </w:t>
      </w:r>
      <w:r>
        <w:rPr>
          <w:color w:val="231F20"/>
        </w:rPr>
        <w:t>own</w:t>
      </w:r>
      <w:r>
        <w:rPr>
          <w:color w:val="231F20"/>
          <w:spacing w:val="-6"/>
        </w:rPr>
        <w:t xml:space="preserve"> </w:t>
      </w:r>
      <w:r>
        <w:rPr>
          <w:color w:val="231F20"/>
        </w:rPr>
        <w:t>communiqués</w:t>
      </w:r>
      <w:r>
        <w:rPr>
          <w:color w:val="231F20"/>
          <w:spacing w:val="-6"/>
        </w:rPr>
        <w:t xml:space="preserve"> </w:t>
      </w:r>
      <w:r>
        <w:rPr>
          <w:color w:val="231F20"/>
        </w:rPr>
        <w:t>disavowing</w:t>
      </w:r>
      <w:r>
        <w:rPr>
          <w:color w:val="231F20"/>
          <w:spacing w:val="-6"/>
        </w:rPr>
        <w:t xml:space="preserve"> </w:t>
      </w:r>
      <w:r>
        <w:rPr>
          <w:color w:val="231F20"/>
        </w:rPr>
        <w:t>them,</w:t>
      </w:r>
      <w:r>
        <w:rPr>
          <w:color w:val="231F20"/>
          <w:spacing w:val="-6"/>
        </w:rPr>
        <w:t xml:space="preserve"> </w:t>
      </w:r>
      <w:r>
        <w:rPr>
          <w:color w:val="231F20"/>
        </w:rPr>
        <w:t xml:space="preserve">insisting that “the urban guerilla cannot resort to terrorism as a </w:t>
      </w:r>
      <w:r>
        <w:rPr>
          <w:color w:val="231F20"/>
          <w:spacing w:val="-3"/>
        </w:rPr>
        <w:t>weapon.”</w:t>
      </w:r>
      <w:r>
        <w:rPr>
          <w:color w:val="231F20"/>
          <w:spacing w:val="-3"/>
          <w:position w:val="7"/>
          <w:sz w:val="11"/>
        </w:rPr>
        <w:t xml:space="preserve">10 </w:t>
      </w:r>
      <w:r>
        <w:rPr>
          <w:color w:val="231F20"/>
        </w:rPr>
        <w:t xml:space="preserve">Instead, it suggested that they were the work of either a </w:t>
      </w:r>
      <w:r>
        <w:rPr>
          <w:color w:val="231F20"/>
          <w:spacing w:val="3"/>
        </w:rPr>
        <w:t xml:space="preserve">CIA </w:t>
      </w:r>
      <w:r>
        <w:rPr>
          <w:color w:val="231F20"/>
        </w:rPr>
        <w:t>unit or else a neofascist group controlled by state security: this is not as farfetched  a theory as it may seem, such scenarios having played themselves out elsewhere in Europe in the</w:t>
      </w:r>
      <w:r>
        <w:rPr>
          <w:color w:val="231F20"/>
          <w:spacing w:val="10"/>
        </w:rPr>
        <w:t xml:space="preserve"> </w:t>
      </w:r>
      <w:r>
        <w:rPr>
          <w:color w:val="231F20"/>
          <w:spacing w:val="-4"/>
        </w:rPr>
        <w:t>1970s.</w:t>
      </w:r>
      <w:r>
        <w:rPr>
          <w:color w:val="231F20"/>
          <w:spacing w:val="-4"/>
          <w:position w:val="7"/>
          <w:sz w:val="11"/>
        </w:rPr>
        <w:t>11</w:t>
      </w:r>
    </w:p>
    <w:p w14:paraId="78E76A55" w14:textId="77777777" w:rsidR="002653E8" w:rsidRDefault="003115E3">
      <w:pPr>
        <w:pStyle w:val="a3"/>
        <w:spacing w:line="264" w:lineRule="auto"/>
        <w:ind w:left="1327" w:right="1146" w:firstLine="210"/>
        <w:jc w:val="both"/>
      </w:pPr>
      <w:r>
        <w:rPr>
          <w:color w:val="231F20"/>
        </w:rPr>
        <w:t>Nor was the media neglected as a weapon to be wielded against the guerilla.</w:t>
      </w:r>
    </w:p>
    <w:p w14:paraId="60E72DFF" w14:textId="77777777" w:rsidR="002653E8" w:rsidRDefault="003115E3">
      <w:pPr>
        <w:pStyle w:val="a3"/>
        <w:spacing w:line="264" w:lineRule="auto"/>
        <w:ind w:left="1327" w:right="1146" w:firstLine="210"/>
        <w:jc w:val="both"/>
      </w:pPr>
      <w:r>
        <w:rPr>
          <w:color w:val="231F20"/>
          <w:spacing w:val="1"/>
        </w:rPr>
        <w:t xml:space="preserve">In </w:t>
      </w:r>
      <w:r>
        <w:rPr>
          <w:color w:val="231F20"/>
        </w:rPr>
        <w:t xml:space="preserve">May </w:t>
      </w:r>
      <w:r>
        <w:rPr>
          <w:color w:val="231F20"/>
          <w:spacing w:val="-6"/>
        </w:rPr>
        <w:t xml:space="preserve">1975,  </w:t>
      </w:r>
      <w:r>
        <w:rPr>
          <w:color w:val="231F20"/>
        </w:rPr>
        <w:t>within a month of the Stockholm action and the start    of</w:t>
      </w:r>
      <w:r>
        <w:rPr>
          <w:color w:val="231F20"/>
          <w:spacing w:val="35"/>
        </w:rPr>
        <w:t xml:space="preserve"> </w:t>
      </w:r>
      <w:r>
        <w:rPr>
          <w:color w:val="231F20"/>
        </w:rPr>
        <w:t>the</w:t>
      </w:r>
      <w:r>
        <w:rPr>
          <w:color w:val="231F20"/>
          <w:spacing w:val="35"/>
        </w:rPr>
        <w:t xml:space="preserve"> </w:t>
      </w:r>
      <w:r>
        <w:rPr>
          <w:color w:val="231F20"/>
        </w:rPr>
        <w:t>Stammheim</w:t>
      </w:r>
      <w:r>
        <w:rPr>
          <w:color w:val="231F20"/>
          <w:spacing w:val="35"/>
        </w:rPr>
        <w:t xml:space="preserve"> </w:t>
      </w:r>
      <w:r>
        <w:rPr>
          <w:color w:val="231F20"/>
        </w:rPr>
        <w:t>pretrial</w:t>
      </w:r>
      <w:r>
        <w:rPr>
          <w:color w:val="231F20"/>
          <w:spacing w:val="35"/>
        </w:rPr>
        <w:t xml:space="preserve"> </w:t>
      </w:r>
      <w:r>
        <w:rPr>
          <w:color w:val="231F20"/>
        </w:rPr>
        <w:t>hearings,</w:t>
      </w:r>
      <w:r>
        <w:rPr>
          <w:color w:val="231F20"/>
          <w:spacing w:val="35"/>
        </w:rPr>
        <w:t xml:space="preserve"> </w:t>
      </w:r>
      <w:r>
        <w:rPr>
          <w:color w:val="231F20"/>
        </w:rPr>
        <w:t>the</w:t>
      </w:r>
      <w:r>
        <w:rPr>
          <w:color w:val="231F20"/>
          <w:spacing w:val="35"/>
        </w:rPr>
        <w:t xml:space="preserve"> </w:t>
      </w:r>
      <w:r>
        <w:rPr>
          <w:color w:val="231F20"/>
        </w:rPr>
        <w:t>government</w:t>
      </w:r>
      <w:r>
        <w:rPr>
          <w:color w:val="231F20"/>
          <w:spacing w:val="35"/>
        </w:rPr>
        <w:t xml:space="preserve"> </w:t>
      </w:r>
      <w:r>
        <w:rPr>
          <w:color w:val="231F20"/>
        </w:rPr>
        <w:t>announced</w:t>
      </w:r>
      <w:r>
        <w:rPr>
          <w:color w:val="231F20"/>
          <w:spacing w:val="35"/>
        </w:rPr>
        <w:t xml:space="preserve"> </w:t>
      </w:r>
      <w:r>
        <w:rPr>
          <w:color w:val="231F20"/>
        </w:rPr>
        <w:t>that</w:t>
      </w:r>
    </w:p>
    <w:p w14:paraId="1FDC77DD" w14:textId="77777777" w:rsidR="002653E8" w:rsidRDefault="00000000">
      <w:pPr>
        <w:pStyle w:val="a3"/>
        <w:spacing w:before="4"/>
        <w:rPr>
          <w:sz w:val="23"/>
        </w:rPr>
      </w:pPr>
      <w:r>
        <w:rPr>
          <w:noProof w:val="0"/>
        </w:rPr>
        <w:pict w14:anchorId="27D8EA17">
          <v:line id="_x0000_s2320" style="position:absolute;z-index:7816;mso-wrap-distance-left:0;mso-wrap-distance-right:0;mso-position-horizontal-relative:page" from="66.4pt,15.9pt" to="138.4pt,15.9pt" strokecolor="#231f20" strokeweight=".5pt">
            <w10:wrap type="topAndBottom" anchorx="page"/>
          </v:line>
        </w:pict>
      </w:r>
    </w:p>
    <w:p w14:paraId="67EF2629" w14:textId="77777777" w:rsidR="002653E8" w:rsidRDefault="003115E3">
      <w:pPr>
        <w:spacing w:before="53"/>
        <w:ind w:left="1327"/>
        <w:rPr>
          <w:sz w:val="16"/>
        </w:rPr>
      </w:pPr>
      <w:r>
        <w:rPr>
          <w:color w:val="231F20"/>
          <w:w w:val="115"/>
          <w:sz w:val="16"/>
        </w:rPr>
        <w:t>7 Ibid., 161.</w:t>
      </w:r>
    </w:p>
    <w:p w14:paraId="5C97DAAB" w14:textId="77777777" w:rsidR="002653E8" w:rsidRDefault="003115E3">
      <w:pPr>
        <w:pStyle w:val="a4"/>
        <w:numPr>
          <w:ilvl w:val="0"/>
          <w:numId w:val="15"/>
        </w:numPr>
        <w:tabs>
          <w:tab w:val="left" w:pos="1467"/>
        </w:tabs>
        <w:spacing w:before="51"/>
        <w:ind w:firstLine="1"/>
        <w:rPr>
          <w:i/>
          <w:sz w:val="16"/>
        </w:rPr>
      </w:pPr>
      <w:r>
        <w:rPr>
          <w:color w:val="231F20"/>
          <w:w w:val="105"/>
          <w:sz w:val="16"/>
        </w:rPr>
        <w:t>Associated</w:t>
      </w:r>
      <w:r>
        <w:rPr>
          <w:color w:val="231F20"/>
          <w:spacing w:val="10"/>
          <w:w w:val="105"/>
          <w:sz w:val="16"/>
        </w:rPr>
        <w:t xml:space="preserve"> </w:t>
      </w:r>
      <w:r>
        <w:rPr>
          <w:color w:val="231F20"/>
          <w:w w:val="105"/>
          <w:sz w:val="16"/>
        </w:rPr>
        <w:t>Press,</w:t>
      </w:r>
      <w:r>
        <w:rPr>
          <w:color w:val="231F20"/>
          <w:spacing w:val="10"/>
          <w:w w:val="105"/>
          <w:sz w:val="16"/>
        </w:rPr>
        <w:t xml:space="preserve"> </w:t>
      </w:r>
      <w:r>
        <w:rPr>
          <w:color w:val="231F20"/>
          <w:w w:val="105"/>
          <w:sz w:val="16"/>
        </w:rPr>
        <w:t>“Terrorist</w:t>
      </w:r>
      <w:r>
        <w:rPr>
          <w:color w:val="231F20"/>
          <w:spacing w:val="10"/>
          <w:w w:val="105"/>
          <w:sz w:val="16"/>
        </w:rPr>
        <w:t xml:space="preserve"> </w:t>
      </w:r>
      <w:r>
        <w:rPr>
          <w:color w:val="231F20"/>
          <w:w w:val="105"/>
          <w:sz w:val="16"/>
        </w:rPr>
        <w:t>Bomb</w:t>
      </w:r>
      <w:r>
        <w:rPr>
          <w:color w:val="231F20"/>
          <w:spacing w:val="10"/>
          <w:w w:val="105"/>
          <w:sz w:val="16"/>
        </w:rPr>
        <w:t xml:space="preserve"> </w:t>
      </w:r>
      <w:r>
        <w:rPr>
          <w:color w:val="231F20"/>
          <w:w w:val="105"/>
          <w:sz w:val="16"/>
        </w:rPr>
        <w:t>Racks</w:t>
      </w:r>
      <w:r>
        <w:rPr>
          <w:color w:val="231F20"/>
          <w:spacing w:val="10"/>
          <w:w w:val="105"/>
          <w:sz w:val="16"/>
        </w:rPr>
        <w:t xml:space="preserve"> </w:t>
      </w:r>
      <w:r>
        <w:rPr>
          <w:color w:val="231F20"/>
          <w:w w:val="105"/>
          <w:sz w:val="16"/>
        </w:rPr>
        <w:t>Train</w:t>
      </w:r>
      <w:r>
        <w:rPr>
          <w:color w:val="231F20"/>
          <w:spacing w:val="10"/>
          <w:w w:val="105"/>
          <w:sz w:val="16"/>
        </w:rPr>
        <w:t xml:space="preserve"> </w:t>
      </w:r>
      <w:r>
        <w:rPr>
          <w:color w:val="231F20"/>
          <w:w w:val="105"/>
          <w:sz w:val="16"/>
        </w:rPr>
        <w:t>Station,”</w:t>
      </w:r>
      <w:r>
        <w:rPr>
          <w:color w:val="231F20"/>
          <w:spacing w:val="11"/>
          <w:w w:val="105"/>
          <w:sz w:val="16"/>
        </w:rPr>
        <w:t xml:space="preserve"> </w:t>
      </w:r>
      <w:r>
        <w:rPr>
          <w:i/>
          <w:color w:val="231F20"/>
          <w:w w:val="105"/>
          <w:sz w:val="16"/>
        </w:rPr>
        <w:t>Modesto</w:t>
      </w:r>
      <w:r>
        <w:rPr>
          <w:i/>
          <w:color w:val="231F20"/>
          <w:spacing w:val="10"/>
          <w:w w:val="105"/>
          <w:sz w:val="16"/>
        </w:rPr>
        <w:t xml:space="preserve"> </w:t>
      </w:r>
      <w:r>
        <w:rPr>
          <w:i/>
          <w:color w:val="231F20"/>
          <w:w w:val="105"/>
          <w:sz w:val="16"/>
        </w:rPr>
        <w:t>Bee,</w:t>
      </w:r>
    </w:p>
    <w:p w14:paraId="48ACC1EA" w14:textId="77777777" w:rsidR="002653E8" w:rsidRDefault="003115E3">
      <w:pPr>
        <w:spacing w:before="12"/>
        <w:ind w:left="1328"/>
        <w:rPr>
          <w:sz w:val="16"/>
        </w:rPr>
      </w:pPr>
      <w:r>
        <w:rPr>
          <w:color w:val="231F20"/>
          <w:w w:val="110"/>
          <w:sz w:val="16"/>
        </w:rPr>
        <w:t>September 14, 1975.</w:t>
      </w:r>
    </w:p>
    <w:p w14:paraId="26980826" w14:textId="77777777" w:rsidR="002653E8" w:rsidRDefault="003115E3">
      <w:pPr>
        <w:pStyle w:val="a4"/>
        <w:numPr>
          <w:ilvl w:val="0"/>
          <w:numId w:val="15"/>
        </w:numPr>
        <w:tabs>
          <w:tab w:val="left" w:pos="1467"/>
        </w:tabs>
        <w:spacing w:before="52" w:line="254" w:lineRule="auto"/>
        <w:ind w:right="1205" w:firstLine="0"/>
        <w:rPr>
          <w:sz w:val="16"/>
        </w:rPr>
      </w:pPr>
      <w:r>
        <w:rPr>
          <w:color w:val="231F20"/>
          <w:sz w:val="16"/>
        </w:rPr>
        <w:t xml:space="preserve">Reinders was a 2nd of June Movement member arrested in September </w:t>
      </w:r>
      <w:r>
        <w:rPr>
          <w:color w:val="231F20"/>
          <w:spacing w:val="-4"/>
          <w:sz w:val="16"/>
        </w:rPr>
        <w:t xml:space="preserve">1975, </w:t>
      </w:r>
      <w:r>
        <w:rPr>
          <w:color w:val="231F20"/>
          <w:sz w:val="16"/>
        </w:rPr>
        <w:t>in connection with the Lorenz kidnapping. The  2JM  also  disclaimed  responsibility  for  this</w:t>
      </w:r>
      <w:r>
        <w:rPr>
          <w:color w:val="231F20"/>
          <w:spacing w:val="10"/>
          <w:sz w:val="16"/>
        </w:rPr>
        <w:t xml:space="preserve"> </w:t>
      </w:r>
      <w:r>
        <w:rPr>
          <w:color w:val="231F20"/>
          <w:sz w:val="16"/>
        </w:rPr>
        <w:t>attack.</w:t>
      </w:r>
    </w:p>
    <w:p w14:paraId="317D60FD" w14:textId="77777777" w:rsidR="002653E8" w:rsidRDefault="003115E3">
      <w:pPr>
        <w:pStyle w:val="a4"/>
        <w:numPr>
          <w:ilvl w:val="0"/>
          <w:numId w:val="15"/>
        </w:numPr>
        <w:tabs>
          <w:tab w:val="left" w:pos="1555"/>
        </w:tabs>
        <w:ind w:left="1554" w:hanging="226"/>
        <w:rPr>
          <w:sz w:val="16"/>
        </w:rPr>
      </w:pPr>
      <w:r>
        <w:rPr>
          <w:color w:val="231F20"/>
          <w:w w:val="105"/>
          <w:sz w:val="16"/>
        </w:rPr>
        <w:t>The</w:t>
      </w:r>
      <w:r>
        <w:rPr>
          <w:color w:val="231F20"/>
          <w:spacing w:val="8"/>
          <w:w w:val="105"/>
          <w:sz w:val="16"/>
        </w:rPr>
        <w:t xml:space="preserve"> </w:t>
      </w:r>
      <w:r>
        <w:rPr>
          <w:color w:val="231F20"/>
          <w:w w:val="105"/>
          <w:sz w:val="16"/>
        </w:rPr>
        <w:t>Bombing</w:t>
      </w:r>
      <w:r>
        <w:rPr>
          <w:color w:val="231F20"/>
          <w:spacing w:val="8"/>
          <w:w w:val="105"/>
          <w:sz w:val="16"/>
        </w:rPr>
        <w:t xml:space="preserve"> </w:t>
      </w:r>
      <w:r>
        <w:rPr>
          <w:color w:val="231F20"/>
          <w:w w:val="105"/>
          <w:sz w:val="16"/>
        </w:rPr>
        <w:t>of</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Hamburg</w:t>
      </w:r>
      <w:r>
        <w:rPr>
          <w:color w:val="231F20"/>
          <w:spacing w:val="8"/>
          <w:w w:val="105"/>
          <w:sz w:val="16"/>
        </w:rPr>
        <w:t xml:space="preserve"> </w:t>
      </w:r>
      <w:r>
        <w:rPr>
          <w:color w:val="231F20"/>
          <w:w w:val="105"/>
          <w:sz w:val="16"/>
        </w:rPr>
        <w:t>Train</w:t>
      </w:r>
      <w:r>
        <w:rPr>
          <w:color w:val="231F20"/>
          <w:spacing w:val="8"/>
          <w:w w:val="105"/>
          <w:sz w:val="16"/>
        </w:rPr>
        <w:t xml:space="preserve"> </w:t>
      </w:r>
      <w:r>
        <w:rPr>
          <w:color w:val="231F20"/>
          <w:w w:val="105"/>
          <w:sz w:val="16"/>
        </w:rPr>
        <w:t>Station,</w:t>
      </w:r>
      <w:r>
        <w:rPr>
          <w:color w:val="231F20"/>
          <w:spacing w:val="8"/>
          <w:w w:val="105"/>
          <w:sz w:val="16"/>
        </w:rPr>
        <w:t xml:space="preserve"> </w:t>
      </w:r>
      <w:r>
        <w:rPr>
          <w:color w:val="231F20"/>
          <w:w w:val="105"/>
          <w:sz w:val="16"/>
        </w:rPr>
        <w:t>cf</w:t>
      </w:r>
      <w:r>
        <w:rPr>
          <w:color w:val="231F20"/>
          <w:spacing w:val="10"/>
          <w:w w:val="105"/>
          <w:sz w:val="16"/>
        </w:rPr>
        <w:t xml:space="preserve"> </w:t>
      </w:r>
      <w:r>
        <w:rPr>
          <w:color w:val="231F20"/>
          <w:w w:val="105"/>
          <w:sz w:val="16"/>
        </w:rPr>
        <w:t>378-79.</w:t>
      </w:r>
    </w:p>
    <w:p w14:paraId="31FE92D1" w14:textId="77777777" w:rsidR="002653E8" w:rsidRDefault="003115E3">
      <w:pPr>
        <w:pStyle w:val="a4"/>
        <w:numPr>
          <w:ilvl w:val="0"/>
          <w:numId w:val="15"/>
        </w:numPr>
        <w:tabs>
          <w:tab w:val="left" w:pos="1553"/>
        </w:tabs>
        <w:spacing w:before="51" w:line="254" w:lineRule="auto"/>
        <w:ind w:left="1328" w:right="1511" w:firstLine="0"/>
        <w:rPr>
          <w:sz w:val="16"/>
        </w:rPr>
      </w:pPr>
      <w:r>
        <w:rPr>
          <w:color w:val="231F20"/>
          <w:w w:val="105"/>
          <w:sz w:val="16"/>
        </w:rPr>
        <w:t xml:space="preserve">Most notoriously in Italy. </w:t>
      </w:r>
      <w:r>
        <w:rPr>
          <w:color w:val="231F20"/>
          <w:spacing w:val="1"/>
          <w:w w:val="105"/>
          <w:sz w:val="16"/>
        </w:rPr>
        <w:t xml:space="preserve">As </w:t>
      </w:r>
      <w:r>
        <w:rPr>
          <w:color w:val="231F20"/>
          <w:w w:val="105"/>
          <w:sz w:val="16"/>
        </w:rPr>
        <w:t xml:space="preserve">an example, see: </w:t>
      </w:r>
      <w:r>
        <w:rPr>
          <w:color w:val="231F20"/>
          <w:spacing w:val="1"/>
          <w:w w:val="105"/>
          <w:sz w:val="16"/>
        </w:rPr>
        <w:t xml:space="preserve">Stuart </w:t>
      </w:r>
      <w:r>
        <w:rPr>
          <w:color w:val="231F20"/>
          <w:w w:val="105"/>
          <w:sz w:val="16"/>
        </w:rPr>
        <w:t xml:space="preserve">Christie, </w:t>
      </w:r>
      <w:r>
        <w:rPr>
          <w:i/>
          <w:color w:val="231F20"/>
          <w:w w:val="105"/>
          <w:sz w:val="16"/>
        </w:rPr>
        <w:t xml:space="preserve">Stefano Della Chaie: Portrait of a Black Terrorist, </w:t>
      </w:r>
      <w:r>
        <w:rPr>
          <w:color w:val="231F20"/>
          <w:w w:val="105"/>
          <w:sz w:val="16"/>
        </w:rPr>
        <w:t xml:space="preserve">(Black Papers, No </w:t>
      </w:r>
      <w:r>
        <w:rPr>
          <w:color w:val="231F20"/>
          <w:spacing w:val="-4"/>
          <w:w w:val="105"/>
          <w:sz w:val="16"/>
        </w:rPr>
        <w:t xml:space="preserve">1) </w:t>
      </w:r>
      <w:r>
        <w:rPr>
          <w:color w:val="231F20"/>
          <w:w w:val="105"/>
          <w:sz w:val="16"/>
        </w:rPr>
        <w:t xml:space="preserve">(London: Anarchy </w:t>
      </w:r>
      <w:r>
        <w:rPr>
          <w:color w:val="231F20"/>
          <w:spacing w:val="3"/>
          <w:w w:val="127"/>
          <w:sz w:val="16"/>
        </w:rPr>
        <w:t>M</w:t>
      </w:r>
      <w:r>
        <w:rPr>
          <w:color w:val="231F20"/>
          <w:w w:val="106"/>
          <w:sz w:val="16"/>
        </w:rPr>
        <w:t>a</w:t>
      </w:r>
      <w:r>
        <w:rPr>
          <w:color w:val="231F20"/>
          <w:spacing w:val="1"/>
          <w:w w:val="104"/>
          <w:sz w:val="16"/>
        </w:rPr>
        <w:t>g</w:t>
      </w:r>
      <w:r>
        <w:rPr>
          <w:color w:val="231F20"/>
          <w:spacing w:val="3"/>
          <w:w w:val="106"/>
          <w:sz w:val="16"/>
        </w:rPr>
        <w:t>a</w:t>
      </w:r>
      <w:r>
        <w:rPr>
          <w:color w:val="231F20"/>
          <w:spacing w:val="1"/>
          <w:w w:val="101"/>
          <w:sz w:val="16"/>
        </w:rPr>
        <w:t>z</w:t>
      </w:r>
      <w:r>
        <w:rPr>
          <w:color w:val="231F20"/>
          <w:spacing w:val="3"/>
          <w:w w:val="103"/>
          <w:sz w:val="16"/>
        </w:rPr>
        <w:t>i</w:t>
      </w:r>
      <w:r>
        <w:rPr>
          <w:color w:val="231F20"/>
          <w:w w:val="99"/>
          <w:sz w:val="16"/>
        </w:rPr>
        <w:t>n</w:t>
      </w:r>
      <w:r>
        <w:rPr>
          <w:color w:val="231F20"/>
          <w:spacing w:val="5"/>
          <w:w w:val="99"/>
          <w:sz w:val="16"/>
        </w:rPr>
        <w:t>e</w:t>
      </w:r>
      <w:r>
        <w:rPr>
          <w:color w:val="231F20"/>
          <w:spacing w:val="8"/>
          <w:w w:val="58"/>
          <w:sz w:val="16"/>
        </w:rPr>
        <w:t>/</w:t>
      </w:r>
      <w:r>
        <w:rPr>
          <w:color w:val="231F20"/>
          <w:spacing w:val="1"/>
          <w:w w:val="120"/>
          <w:sz w:val="16"/>
        </w:rPr>
        <w:t>R</w:t>
      </w:r>
      <w:r>
        <w:rPr>
          <w:color w:val="231F20"/>
          <w:w w:val="94"/>
          <w:sz w:val="16"/>
        </w:rPr>
        <w:t>e</w:t>
      </w:r>
      <w:r>
        <w:rPr>
          <w:color w:val="231F20"/>
          <w:spacing w:val="3"/>
          <w:w w:val="114"/>
          <w:sz w:val="16"/>
        </w:rPr>
        <w:t>f</w:t>
      </w:r>
      <w:r>
        <w:rPr>
          <w:color w:val="231F20"/>
          <w:w w:val="102"/>
          <w:sz w:val="16"/>
        </w:rPr>
        <w:t>ra</w:t>
      </w:r>
      <w:r>
        <w:rPr>
          <w:color w:val="231F20"/>
          <w:spacing w:val="3"/>
          <w:w w:val="104"/>
          <w:sz w:val="16"/>
        </w:rPr>
        <w:t>c</w:t>
      </w:r>
      <w:r>
        <w:rPr>
          <w:color w:val="231F20"/>
          <w:spacing w:val="3"/>
          <w:w w:val="102"/>
          <w:sz w:val="16"/>
        </w:rPr>
        <w:t>t</w:t>
      </w:r>
      <w:r>
        <w:rPr>
          <w:color w:val="231F20"/>
          <w:w w:val="140"/>
          <w:sz w:val="16"/>
        </w:rPr>
        <w:t>,</w:t>
      </w:r>
      <w:r>
        <w:rPr>
          <w:color w:val="231F20"/>
          <w:spacing w:val="10"/>
          <w:sz w:val="16"/>
        </w:rPr>
        <w:t xml:space="preserve"> </w:t>
      </w:r>
      <w:r>
        <w:rPr>
          <w:color w:val="231F20"/>
          <w:spacing w:val="-6"/>
          <w:w w:val="104"/>
          <w:sz w:val="16"/>
        </w:rPr>
        <w:t>1</w:t>
      </w:r>
      <w:r>
        <w:rPr>
          <w:color w:val="231F20"/>
          <w:spacing w:val="-2"/>
          <w:w w:val="104"/>
          <w:sz w:val="16"/>
        </w:rPr>
        <w:t>98</w:t>
      </w:r>
      <w:r>
        <w:rPr>
          <w:color w:val="231F20"/>
          <w:spacing w:val="-5"/>
          <w:w w:val="104"/>
          <w:sz w:val="16"/>
        </w:rPr>
        <w:t>4</w:t>
      </w:r>
      <w:r>
        <w:rPr>
          <w:color w:val="231F20"/>
          <w:spacing w:val="-2"/>
          <w:w w:val="108"/>
          <w:sz w:val="16"/>
        </w:rPr>
        <w:t>).</w:t>
      </w:r>
    </w:p>
    <w:p w14:paraId="0E532BA7" w14:textId="77777777" w:rsidR="002653E8" w:rsidRDefault="002653E8">
      <w:pPr>
        <w:spacing w:line="254" w:lineRule="auto"/>
        <w:rPr>
          <w:sz w:val="16"/>
        </w:rPr>
        <w:sectPr w:rsidR="002653E8">
          <w:pgSz w:w="8640" w:h="12960"/>
          <w:pgMar w:top="1060" w:right="0" w:bottom="1040" w:left="0" w:header="0" w:footer="850" w:gutter="0"/>
          <w:cols w:space="720"/>
        </w:sectPr>
      </w:pPr>
    </w:p>
    <w:p w14:paraId="27BE6356" w14:textId="77777777" w:rsidR="002653E8" w:rsidRDefault="003115E3">
      <w:pPr>
        <w:pStyle w:val="a3"/>
        <w:spacing w:before="86" w:line="264" w:lineRule="auto"/>
        <w:ind w:left="1147" w:right="1325"/>
        <w:jc w:val="both"/>
      </w:pPr>
      <w:r>
        <w:rPr>
          <w:color w:val="231F20"/>
        </w:rPr>
        <w:lastRenderedPageBreak/>
        <w:t xml:space="preserve">the </w:t>
      </w:r>
      <w:r w:rsidR="00C507A5">
        <w:rPr>
          <w:color w:val="231F20"/>
        </w:rPr>
        <w:t>red army faction</w:t>
      </w:r>
      <w:r>
        <w:rPr>
          <w:color w:val="231F20"/>
        </w:rPr>
        <w:t xml:space="preserve"> had “possibly” managed to steal mustard gas from an army depot.</w:t>
      </w:r>
      <w:r>
        <w:rPr>
          <w:color w:val="231F20"/>
          <w:position w:val="7"/>
          <w:sz w:val="11"/>
        </w:rPr>
        <w:t xml:space="preserve">1 </w:t>
      </w:r>
      <w:r>
        <w:rPr>
          <w:color w:val="231F20"/>
        </w:rPr>
        <w:t>One German newspaper warned the public that:</w:t>
      </w:r>
    </w:p>
    <w:p w14:paraId="4DF5A086" w14:textId="77777777" w:rsidR="002653E8" w:rsidRDefault="003115E3">
      <w:pPr>
        <w:spacing w:before="127" w:line="276" w:lineRule="auto"/>
        <w:ind w:left="1567" w:right="1738"/>
        <w:jc w:val="both"/>
        <w:rPr>
          <w:i/>
          <w:sz w:val="11"/>
        </w:rPr>
      </w:pPr>
      <w:r>
        <w:rPr>
          <w:i/>
          <w:color w:val="231F20"/>
          <w:w w:val="105"/>
          <w:sz w:val="19"/>
        </w:rPr>
        <w:t>Terrorists are planning a poison attack. The Federal Criminal Investigation Bureau informed the speaker of the German Bundestag on Thursday that members of the Baader-Meinhof gang are planning a poison attack on the German parliament. According</w:t>
      </w:r>
      <w:r>
        <w:rPr>
          <w:i/>
          <w:color w:val="231F20"/>
          <w:spacing w:val="-17"/>
          <w:w w:val="105"/>
          <w:sz w:val="19"/>
        </w:rPr>
        <w:t xml:space="preserve"> </w:t>
      </w:r>
      <w:r>
        <w:rPr>
          <w:i/>
          <w:color w:val="231F20"/>
          <w:w w:val="105"/>
          <w:sz w:val="19"/>
        </w:rPr>
        <w:t>to</w:t>
      </w:r>
      <w:r>
        <w:rPr>
          <w:i/>
          <w:color w:val="231F20"/>
          <w:spacing w:val="-17"/>
          <w:w w:val="105"/>
          <w:sz w:val="19"/>
        </w:rPr>
        <w:t xml:space="preserve"> </w:t>
      </w:r>
      <w:r>
        <w:rPr>
          <w:i/>
          <w:color w:val="231F20"/>
          <w:w w:val="105"/>
          <w:sz w:val="19"/>
        </w:rPr>
        <w:t>the</w:t>
      </w:r>
      <w:r>
        <w:rPr>
          <w:i/>
          <w:color w:val="231F20"/>
          <w:spacing w:val="-17"/>
          <w:w w:val="105"/>
          <w:sz w:val="19"/>
        </w:rPr>
        <w:t xml:space="preserve"> </w:t>
      </w:r>
      <w:r>
        <w:rPr>
          <w:i/>
          <w:color w:val="231F20"/>
          <w:w w:val="105"/>
          <w:sz w:val="19"/>
        </w:rPr>
        <w:t>Bureau’s</w:t>
      </w:r>
      <w:r>
        <w:rPr>
          <w:i/>
          <w:color w:val="231F20"/>
          <w:spacing w:val="-17"/>
          <w:w w:val="105"/>
          <w:sz w:val="19"/>
        </w:rPr>
        <w:t xml:space="preserve"> </w:t>
      </w:r>
      <w:r>
        <w:rPr>
          <w:i/>
          <w:color w:val="231F20"/>
          <w:w w:val="105"/>
          <w:sz w:val="19"/>
        </w:rPr>
        <w:t>reports,</w:t>
      </w:r>
      <w:r>
        <w:rPr>
          <w:i/>
          <w:color w:val="231F20"/>
          <w:spacing w:val="-22"/>
          <w:w w:val="105"/>
          <w:sz w:val="19"/>
        </w:rPr>
        <w:t xml:space="preserve"> </w:t>
      </w:r>
      <w:r>
        <w:rPr>
          <w:i/>
          <w:color w:val="231F20"/>
          <w:w w:val="105"/>
          <w:sz w:val="19"/>
        </w:rPr>
        <w:t>substantial</w:t>
      </w:r>
      <w:r>
        <w:rPr>
          <w:i/>
          <w:color w:val="231F20"/>
          <w:spacing w:val="-17"/>
          <w:w w:val="105"/>
          <w:sz w:val="19"/>
        </w:rPr>
        <w:t xml:space="preserve"> </w:t>
      </w:r>
      <w:r>
        <w:rPr>
          <w:i/>
          <w:color w:val="231F20"/>
          <w:w w:val="105"/>
          <w:sz w:val="19"/>
        </w:rPr>
        <w:t>quantities</w:t>
      </w:r>
      <w:r>
        <w:rPr>
          <w:i/>
          <w:color w:val="231F20"/>
          <w:spacing w:val="-17"/>
          <w:w w:val="105"/>
          <w:sz w:val="19"/>
        </w:rPr>
        <w:t xml:space="preserve"> </w:t>
      </w:r>
      <w:r>
        <w:rPr>
          <w:i/>
          <w:color w:val="231F20"/>
          <w:w w:val="105"/>
          <w:sz w:val="19"/>
        </w:rPr>
        <w:t>of</w:t>
      </w:r>
      <w:r>
        <w:rPr>
          <w:i/>
          <w:color w:val="231F20"/>
          <w:spacing w:val="-17"/>
          <w:w w:val="105"/>
          <w:sz w:val="19"/>
        </w:rPr>
        <w:t xml:space="preserve"> </w:t>
      </w:r>
      <w:r>
        <w:rPr>
          <w:i/>
          <w:color w:val="231F20"/>
          <w:w w:val="105"/>
          <w:sz w:val="19"/>
        </w:rPr>
        <w:t>poison gas</w:t>
      </w:r>
      <w:r>
        <w:rPr>
          <w:i/>
          <w:color w:val="231F20"/>
          <w:spacing w:val="-9"/>
          <w:w w:val="105"/>
          <w:sz w:val="19"/>
        </w:rPr>
        <w:t xml:space="preserve"> </w:t>
      </w:r>
      <w:r>
        <w:rPr>
          <w:i/>
          <w:color w:val="231F20"/>
          <w:w w:val="105"/>
          <w:sz w:val="19"/>
        </w:rPr>
        <w:t>which</w:t>
      </w:r>
      <w:r>
        <w:rPr>
          <w:i/>
          <w:color w:val="231F20"/>
          <w:spacing w:val="-9"/>
          <w:w w:val="105"/>
          <w:sz w:val="19"/>
        </w:rPr>
        <w:t xml:space="preserve"> </w:t>
      </w:r>
      <w:r>
        <w:rPr>
          <w:i/>
          <w:color w:val="231F20"/>
          <w:w w:val="105"/>
          <w:sz w:val="19"/>
        </w:rPr>
        <w:t>disappeared</w:t>
      </w:r>
      <w:r>
        <w:rPr>
          <w:i/>
          <w:color w:val="231F20"/>
          <w:spacing w:val="-9"/>
          <w:w w:val="105"/>
          <w:sz w:val="19"/>
        </w:rPr>
        <w:t xml:space="preserve"> </w:t>
      </w:r>
      <w:r>
        <w:rPr>
          <w:i/>
          <w:color w:val="231F20"/>
          <w:w w:val="105"/>
          <w:sz w:val="19"/>
        </w:rPr>
        <w:t>a</w:t>
      </w:r>
      <w:r>
        <w:rPr>
          <w:i/>
          <w:color w:val="231F20"/>
          <w:spacing w:val="-9"/>
          <w:w w:val="105"/>
          <w:sz w:val="19"/>
        </w:rPr>
        <w:t xml:space="preserve"> </w:t>
      </w:r>
      <w:r>
        <w:rPr>
          <w:i/>
          <w:color w:val="231F20"/>
          <w:w w:val="105"/>
          <w:sz w:val="19"/>
        </w:rPr>
        <w:t>few</w:t>
      </w:r>
      <w:r>
        <w:rPr>
          <w:i/>
          <w:color w:val="231F20"/>
          <w:spacing w:val="-9"/>
          <w:w w:val="105"/>
          <w:sz w:val="19"/>
        </w:rPr>
        <w:t xml:space="preserve"> </w:t>
      </w:r>
      <w:r>
        <w:rPr>
          <w:i/>
          <w:color w:val="231F20"/>
          <w:w w:val="105"/>
          <w:sz w:val="19"/>
        </w:rPr>
        <w:t>weeks</w:t>
      </w:r>
      <w:r>
        <w:rPr>
          <w:i/>
          <w:color w:val="231F20"/>
          <w:spacing w:val="-9"/>
          <w:w w:val="105"/>
          <w:sz w:val="19"/>
        </w:rPr>
        <w:t xml:space="preserve"> </w:t>
      </w:r>
      <w:r>
        <w:rPr>
          <w:i/>
          <w:color w:val="231F20"/>
          <w:w w:val="105"/>
          <w:sz w:val="19"/>
        </w:rPr>
        <w:t>ago</w:t>
      </w:r>
      <w:r>
        <w:rPr>
          <w:i/>
          <w:color w:val="231F20"/>
          <w:spacing w:val="-9"/>
          <w:w w:val="105"/>
          <w:sz w:val="19"/>
        </w:rPr>
        <w:t xml:space="preserve"> </w:t>
      </w:r>
      <w:r>
        <w:rPr>
          <w:i/>
          <w:color w:val="231F20"/>
          <w:w w:val="105"/>
          <w:sz w:val="19"/>
        </w:rPr>
        <w:t>from</w:t>
      </w:r>
      <w:r>
        <w:rPr>
          <w:i/>
          <w:color w:val="231F20"/>
          <w:spacing w:val="-9"/>
          <w:w w:val="105"/>
          <w:sz w:val="19"/>
        </w:rPr>
        <w:t xml:space="preserve"> </w:t>
      </w:r>
      <w:r>
        <w:rPr>
          <w:i/>
          <w:color w:val="231F20"/>
          <w:w w:val="105"/>
          <w:sz w:val="19"/>
        </w:rPr>
        <w:t>an</w:t>
      </w:r>
      <w:r>
        <w:rPr>
          <w:i/>
          <w:color w:val="231F20"/>
          <w:spacing w:val="-9"/>
          <w:w w:val="105"/>
          <w:sz w:val="19"/>
        </w:rPr>
        <w:t xml:space="preserve"> </w:t>
      </w:r>
      <w:r>
        <w:rPr>
          <w:i/>
          <w:color w:val="231F20"/>
          <w:w w:val="105"/>
          <w:sz w:val="19"/>
        </w:rPr>
        <w:t>army</w:t>
      </w:r>
      <w:r>
        <w:rPr>
          <w:i/>
          <w:color w:val="231F20"/>
          <w:spacing w:val="-9"/>
          <w:w w:val="105"/>
          <w:sz w:val="19"/>
        </w:rPr>
        <w:t xml:space="preserve"> </w:t>
      </w:r>
      <w:r>
        <w:rPr>
          <w:i/>
          <w:color w:val="231F20"/>
          <w:w w:val="105"/>
          <w:sz w:val="19"/>
        </w:rPr>
        <w:t>depot</w:t>
      </w:r>
      <w:r>
        <w:rPr>
          <w:i/>
          <w:color w:val="231F20"/>
          <w:spacing w:val="-9"/>
          <w:w w:val="105"/>
          <w:sz w:val="19"/>
        </w:rPr>
        <w:t xml:space="preserve"> </w:t>
      </w:r>
      <w:r>
        <w:rPr>
          <w:i/>
          <w:color w:val="231F20"/>
          <w:w w:val="105"/>
          <w:sz w:val="19"/>
        </w:rPr>
        <w:t>have fallen into the hands of members of the Baader-Meinhof gang… Health departments and hospitals have been prepared for the possibility of a terrorist attack with the chemical</w:t>
      </w:r>
      <w:r>
        <w:rPr>
          <w:i/>
          <w:color w:val="231F20"/>
          <w:spacing w:val="28"/>
          <w:w w:val="105"/>
          <w:sz w:val="19"/>
        </w:rPr>
        <w:t xml:space="preserve"> </w:t>
      </w:r>
      <w:r>
        <w:rPr>
          <w:i/>
          <w:color w:val="231F20"/>
          <w:spacing w:val="-4"/>
          <w:w w:val="105"/>
          <w:sz w:val="19"/>
        </w:rPr>
        <w:t>weapon.”</w:t>
      </w:r>
      <w:r>
        <w:rPr>
          <w:i/>
          <w:color w:val="231F20"/>
          <w:spacing w:val="-4"/>
          <w:w w:val="105"/>
          <w:position w:val="6"/>
          <w:sz w:val="11"/>
        </w:rPr>
        <w:t>2</w:t>
      </w:r>
    </w:p>
    <w:p w14:paraId="631C1D0E" w14:textId="77777777" w:rsidR="002653E8" w:rsidRDefault="003115E3">
      <w:pPr>
        <w:pStyle w:val="a3"/>
        <w:spacing w:before="134" w:line="264" w:lineRule="auto"/>
        <w:ind w:left="1147" w:right="1326"/>
        <w:jc w:val="both"/>
      </w:pPr>
      <w:r>
        <w:rPr>
          <w:color w:val="231F20"/>
        </w:rPr>
        <w:t>It was later revealed, though less widely reported, that only two litres were missing, and that they might in fact have simply been misplaced.   A few months later, it was admitted that this was in fact the case, and that they had since been</w:t>
      </w:r>
      <w:r>
        <w:rPr>
          <w:color w:val="231F20"/>
          <w:spacing w:val="10"/>
        </w:rPr>
        <w:t xml:space="preserve"> </w:t>
      </w:r>
      <w:r>
        <w:rPr>
          <w:color w:val="231F20"/>
        </w:rPr>
        <w:t>found.</w:t>
      </w:r>
    </w:p>
    <w:p w14:paraId="48937CE6" w14:textId="77777777" w:rsidR="002653E8" w:rsidRDefault="003115E3">
      <w:pPr>
        <w:pStyle w:val="a3"/>
        <w:spacing w:line="230" w:lineRule="exact"/>
        <w:ind w:left="1357"/>
        <w:rPr>
          <w:sz w:val="11"/>
        </w:rPr>
      </w:pPr>
      <w:r>
        <w:rPr>
          <w:color w:val="231F20"/>
        </w:rPr>
        <w:t>Nor was the phantom mustard gas scare an isolated case.</w:t>
      </w:r>
      <w:r>
        <w:rPr>
          <w:color w:val="231F20"/>
          <w:position w:val="7"/>
          <w:sz w:val="11"/>
        </w:rPr>
        <w:t>3</w:t>
      </w:r>
    </w:p>
    <w:p w14:paraId="5D2B6316" w14:textId="77777777" w:rsidR="002653E8" w:rsidRDefault="003115E3">
      <w:pPr>
        <w:pStyle w:val="a3"/>
        <w:spacing w:before="23" w:line="264" w:lineRule="auto"/>
        <w:ind w:left="1147" w:right="1325" w:firstLine="210"/>
        <w:jc w:val="both"/>
      </w:pPr>
      <w:r>
        <w:rPr>
          <w:color w:val="231F20"/>
          <w:spacing w:val="2"/>
        </w:rPr>
        <w:t xml:space="preserve">An </w:t>
      </w:r>
      <w:r>
        <w:rPr>
          <w:color w:val="231F20"/>
        </w:rPr>
        <w:t xml:space="preserve">almost humorous example occurred in Munich when a judge taking the subway home from a </w:t>
      </w:r>
      <w:r>
        <w:rPr>
          <w:color w:val="231F20"/>
          <w:spacing w:val="1"/>
        </w:rPr>
        <w:t xml:space="preserve">party </w:t>
      </w:r>
      <w:r>
        <w:rPr>
          <w:color w:val="231F20"/>
        </w:rPr>
        <w:t xml:space="preserve">thought he recognized one of the </w:t>
      </w:r>
      <w:r w:rsidR="00C507A5">
        <w:rPr>
          <w:color w:val="231F20"/>
          <w:spacing w:val="5"/>
        </w:rPr>
        <w:t>red army faction</w:t>
      </w:r>
      <w:r>
        <w:rPr>
          <w:color w:val="231F20"/>
          <w:spacing w:val="5"/>
        </w:rPr>
        <w:t xml:space="preserve"> </w:t>
      </w:r>
      <w:r>
        <w:rPr>
          <w:color w:val="231F20"/>
        </w:rPr>
        <w:t xml:space="preserve">fugitives riding along with him: Rolf Pohle, who had been freed during the exchange for Lorenz earlier that year. </w:t>
      </w:r>
      <w:r>
        <w:rPr>
          <w:i/>
          <w:color w:val="231F20"/>
        </w:rPr>
        <w:t xml:space="preserve">Spiegel </w:t>
      </w:r>
      <w:r>
        <w:rPr>
          <w:color w:val="231F20"/>
        </w:rPr>
        <w:t xml:space="preserve">got wind of  this and another ominous fact: a plan of the subway system had been reported missing from a telephone cabinet, clearly a newsworthy item in fastidious Bavaria. The magazine declared that all this pointed towards a possible impending </w:t>
      </w:r>
      <w:r w:rsidR="00C507A5">
        <w:rPr>
          <w:color w:val="231F20"/>
          <w:spacing w:val="5"/>
        </w:rPr>
        <w:t>red army faction</w:t>
      </w:r>
      <w:r>
        <w:rPr>
          <w:color w:val="231F20"/>
          <w:spacing w:val="5"/>
        </w:rPr>
        <w:t xml:space="preserve"> </w:t>
      </w:r>
      <w:r>
        <w:rPr>
          <w:color w:val="231F20"/>
        </w:rPr>
        <w:t>attack, and a full-scale manhunt was launched throughout the</w:t>
      </w:r>
      <w:r>
        <w:rPr>
          <w:color w:val="231F20"/>
          <w:spacing w:val="35"/>
        </w:rPr>
        <w:t xml:space="preserve"> </w:t>
      </w:r>
      <w:r>
        <w:rPr>
          <w:i/>
          <w:color w:val="231F20"/>
        </w:rPr>
        <w:t>Land</w:t>
      </w:r>
      <w:r>
        <w:rPr>
          <w:color w:val="231F20"/>
        </w:rPr>
        <w:t>.</w:t>
      </w:r>
    </w:p>
    <w:p w14:paraId="64853388" w14:textId="77777777" w:rsidR="002653E8" w:rsidRDefault="003115E3">
      <w:pPr>
        <w:pStyle w:val="a3"/>
        <w:spacing w:line="264" w:lineRule="auto"/>
        <w:ind w:left="1148" w:right="1327" w:firstLine="210"/>
        <w:jc w:val="both"/>
        <w:rPr>
          <w:sz w:val="11"/>
        </w:rPr>
      </w:pPr>
      <w:r>
        <w:rPr>
          <w:color w:val="231F20"/>
        </w:rPr>
        <w:t xml:space="preserve">Nothing came of this, and government officials were later forced to admit that the judge in question had been </w:t>
      </w:r>
      <w:r>
        <w:rPr>
          <w:color w:val="231F20"/>
          <w:spacing w:val="-3"/>
        </w:rPr>
        <w:t xml:space="preserve">“no </w:t>
      </w:r>
      <w:r>
        <w:rPr>
          <w:color w:val="231F20"/>
        </w:rPr>
        <w:t>longer quite sober” on  the night in</w:t>
      </w:r>
      <w:r>
        <w:rPr>
          <w:color w:val="231F20"/>
          <w:spacing w:val="32"/>
        </w:rPr>
        <w:t xml:space="preserve"> </w:t>
      </w:r>
      <w:r>
        <w:rPr>
          <w:color w:val="231F20"/>
        </w:rPr>
        <w:t>question.</w:t>
      </w:r>
      <w:r>
        <w:rPr>
          <w:color w:val="231F20"/>
          <w:position w:val="7"/>
          <w:sz w:val="11"/>
        </w:rPr>
        <w:t>4</w:t>
      </w:r>
    </w:p>
    <w:p w14:paraId="6516E1DD" w14:textId="77777777" w:rsidR="002653E8" w:rsidRDefault="003115E3">
      <w:pPr>
        <w:pStyle w:val="a3"/>
        <w:spacing w:line="264" w:lineRule="auto"/>
        <w:ind w:left="1147" w:right="1326" w:firstLine="210"/>
        <w:jc w:val="both"/>
      </w:pPr>
      <w:r>
        <w:rPr>
          <w:color w:val="231F20"/>
        </w:rPr>
        <w:t>On top of such scaremongering news stories, an additional component</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state’s</w:t>
      </w:r>
      <w:r>
        <w:rPr>
          <w:color w:val="231F20"/>
          <w:spacing w:val="-6"/>
        </w:rPr>
        <w:t xml:space="preserve"> </w:t>
      </w:r>
      <w:r>
        <w:rPr>
          <w:color w:val="231F20"/>
        </w:rPr>
        <w:t>psychological</w:t>
      </w:r>
      <w:r>
        <w:rPr>
          <w:color w:val="231F20"/>
          <w:spacing w:val="-6"/>
        </w:rPr>
        <w:t xml:space="preserve"> </w:t>
      </w:r>
      <w:r>
        <w:rPr>
          <w:color w:val="231F20"/>
        </w:rPr>
        <w:t>warfare</w:t>
      </w:r>
      <w:r>
        <w:rPr>
          <w:color w:val="231F20"/>
          <w:spacing w:val="-6"/>
        </w:rPr>
        <w:t xml:space="preserve"> </w:t>
      </w:r>
      <w:r>
        <w:rPr>
          <w:color w:val="231F20"/>
        </w:rPr>
        <w:t>strategy</w:t>
      </w:r>
      <w:r>
        <w:rPr>
          <w:color w:val="231F20"/>
          <w:spacing w:val="-6"/>
        </w:rPr>
        <w:t xml:space="preserve"> </w:t>
      </w:r>
      <w:r>
        <w:rPr>
          <w:color w:val="231F20"/>
        </w:rPr>
        <w:t>was</w:t>
      </w:r>
      <w:r>
        <w:rPr>
          <w:color w:val="231F20"/>
          <w:spacing w:val="-6"/>
        </w:rPr>
        <w:t xml:space="preserve"> </w:t>
      </w:r>
      <w:r>
        <w:rPr>
          <w:color w:val="231F20"/>
        </w:rPr>
        <w:t>the</w:t>
      </w:r>
      <w:r>
        <w:rPr>
          <w:color w:val="231F20"/>
          <w:spacing w:val="-6"/>
        </w:rPr>
        <w:t xml:space="preserve"> </w:t>
      </w:r>
      <w:r>
        <w:rPr>
          <w:color w:val="231F20"/>
        </w:rPr>
        <w:t>trial</w:t>
      </w:r>
      <w:r>
        <w:rPr>
          <w:color w:val="231F20"/>
          <w:spacing w:val="-6"/>
        </w:rPr>
        <w:t xml:space="preserve"> </w:t>
      </w:r>
      <w:r>
        <w:rPr>
          <w:color w:val="231F20"/>
        </w:rPr>
        <w:t>of</w:t>
      </w:r>
      <w:r>
        <w:rPr>
          <w:color w:val="231F20"/>
          <w:spacing w:val="-6"/>
        </w:rPr>
        <w:t xml:space="preserve"> </w:t>
      </w:r>
      <w:r>
        <w:rPr>
          <w:color w:val="231F20"/>
        </w:rPr>
        <w:t>Ensslin, Baader,</w:t>
      </w:r>
      <w:r>
        <w:rPr>
          <w:color w:val="231F20"/>
          <w:spacing w:val="15"/>
        </w:rPr>
        <w:t xml:space="preserve"> </w:t>
      </w:r>
      <w:r>
        <w:rPr>
          <w:color w:val="231F20"/>
        </w:rPr>
        <w:t>Raspe,</w:t>
      </w:r>
      <w:r>
        <w:rPr>
          <w:color w:val="231F20"/>
          <w:spacing w:val="15"/>
        </w:rPr>
        <w:t xml:space="preserve"> </w:t>
      </w:r>
      <w:r>
        <w:rPr>
          <w:color w:val="231F20"/>
        </w:rPr>
        <w:t>and</w:t>
      </w:r>
      <w:r>
        <w:rPr>
          <w:color w:val="231F20"/>
          <w:spacing w:val="15"/>
        </w:rPr>
        <w:t xml:space="preserve"> </w:t>
      </w:r>
      <w:r>
        <w:rPr>
          <w:color w:val="231F20"/>
        </w:rPr>
        <w:t>Meinhof—the</w:t>
      </w:r>
      <w:r>
        <w:rPr>
          <w:color w:val="231F20"/>
          <w:spacing w:val="15"/>
        </w:rPr>
        <w:t xml:space="preserve"> </w:t>
      </w:r>
      <w:r>
        <w:rPr>
          <w:color w:val="231F20"/>
        </w:rPr>
        <w:t>Stammheim</w:t>
      </w:r>
      <w:r>
        <w:rPr>
          <w:color w:val="231F20"/>
          <w:spacing w:val="15"/>
        </w:rPr>
        <w:t xml:space="preserve"> </w:t>
      </w:r>
      <w:r>
        <w:rPr>
          <w:color w:val="231F20"/>
        </w:rPr>
        <w:t>show</w:t>
      </w:r>
      <w:r>
        <w:rPr>
          <w:color w:val="231F20"/>
          <w:spacing w:val="15"/>
        </w:rPr>
        <w:t xml:space="preserve"> </w:t>
      </w:r>
      <w:r>
        <w:rPr>
          <w:color w:val="231F20"/>
        </w:rPr>
        <w:t>trial.</w:t>
      </w:r>
    </w:p>
    <w:p w14:paraId="39E3C5FC" w14:textId="77777777" w:rsidR="002653E8" w:rsidRDefault="003115E3">
      <w:pPr>
        <w:pStyle w:val="a3"/>
        <w:spacing w:line="264" w:lineRule="auto"/>
        <w:ind w:left="1147" w:right="1327" w:firstLine="210"/>
        <w:jc w:val="both"/>
      </w:pPr>
      <w:r>
        <w:rPr>
          <w:color w:val="231F20"/>
        </w:rPr>
        <w:t>The accused had never denied that they bore responsibility for the attacks in May 1972, establishing what would become the standard</w:t>
      </w:r>
    </w:p>
    <w:p w14:paraId="722F2132" w14:textId="77777777" w:rsidR="002653E8" w:rsidRDefault="00000000">
      <w:pPr>
        <w:pStyle w:val="a3"/>
        <w:spacing w:before="4"/>
        <w:rPr>
          <w:sz w:val="23"/>
        </w:rPr>
      </w:pPr>
      <w:r>
        <w:rPr>
          <w:noProof w:val="0"/>
        </w:rPr>
        <w:pict w14:anchorId="47993026">
          <v:line id="_x0000_s2319" style="position:absolute;z-index:7840;mso-wrap-distance-left:0;mso-wrap-distance-right:0;mso-position-horizontal-relative:page" from="57.4pt,15.9pt" to="129.4pt,15.9pt" strokecolor="#231f20" strokeweight=".5pt">
            <w10:wrap type="topAndBottom" anchorx="page"/>
          </v:line>
        </w:pict>
      </w:r>
    </w:p>
    <w:p w14:paraId="15197467" w14:textId="77777777" w:rsidR="002653E8" w:rsidRDefault="003115E3">
      <w:pPr>
        <w:pStyle w:val="a4"/>
        <w:numPr>
          <w:ilvl w:val="0"/>
          <w:numId w:val="92"/>
        </w:numPr>
        <w:tabs>
          <w:tab w:val="left" w:pos="1287"/>
        </w:tabs>
        <w:spacing w:before="53" w:line="254" w:lineRule="auto"/>
        <w:ind w:right="1788" w:hanging="1"/>
        <w:rPr>
          <w:sz w:val="16"/>
        </w:rPr>
      </w:pPr>
      <w:r>
        <w:rPr>
          <w:color w:val="231F20"/>
          <w:w w:val="110"/>
          <w:sz w:val="16"/>
        </w:rPr>
        <w:t>Associated</w:t>
      </w:r>
      <w:r>
        <w:rPr>
          <w:color w:val="231F20"/>
          <w:spacing w:val="-5"/>
          <w:w w:val="110"/>
          <w:sz w:val="16"/>
        </w:rPr>
        <w:t xml:space="preserve"> </w:t>
      </w:r>
      <w:r>
        <w:rPr>
          <w:color w:val="231F20"/>
          <w:w w:val="110"/>
          <w:sz w:val="16"/>
        </w:rPr>
        <w:t>Press,</w:t>
      </w:r>
      <w:r>
        <w:rPr>
          <w:color w:val="231F20"/>
          <w:spacing w:val="-5"/>
          <w:w w:val="110"/>
          <w:sz w:val="16"/>
        </w:rPr>
        <w:t xml:space="preserve"> </w:t>
      </w:r>
      <w:r>
        <w:rPr>
          <w:color w:val="231F20"/>
          <w:spacing w:val="-3"/>
          <w:w w:val="110"/>
          <w:sz w:val="16"/>
        </w:rPr>
        <w:t>“W.</w:t>
      </w:r>
      <w:r>
        <w:rPr>
          <w:color w:val="231F20"/>
          <w:spacing w:val="-5"/>
          <w:w w:val="110"/>
          <w:sz w:val="16"/>
        </w:rPr>
        <w:t xml:space="preserve"> </w:t>
      </w:r>
      <w:r>
        <w:rPr>
          <w:color w:val="231F20"/>
          <w:w w:val="110"/>
          <w:sz w:val="16"/>
        </w:rPr>
        <w:t>Germans</w:t>
      </w:r>
      <w:r>
        <w:rPr>
          <w:color w:val="231F20"/>
          <w:spacing w:val="-5"/>
          <w:w w:val="110"/>
          <w:sz w:val="16"/>
        </w:rPr>
        <w:t xml:space="preserve"> </w:t>
      </w:r>
      <w:r>
        <w:rPr>
          <w:color w:val="231F20"/>
          <w:w w:val="110"/>
          <w:sz w:val="16"/>
        </w:rPr>
        <w:t>fear</w:t>
      </w:r>
      <w:r>
        <w:rPr>
          <w:color w:val="231F20"/>
          <w:spacing w:val="-5"/>
          <w:w w:val="110"/>
          <w:sz w:val="16"/>
        </w:rPr>
        <w:t xml:space="preserve"> </w:t>
      </w:r>
      <w:r>
        <w:rPr>
          <w:color w:val="231F20"/>
          <w:w w:val="110"/>
          <w:sz w:val="16"/>
        </w:rPr>
        <w:t>possible</w:t>
      </w:r>
      <w:r>
        <w:rPr>
          <w:color w:val="231F20"/>
          <w:spacing w:val="-5"/>
          <w:w w:val="110"/>
          <w:sz w:val="16"/>
        </w:rPr>
        <w:t xml:space="preserve"> </w:t>
      </w:r>
      <w:r>
        <w:rPr>
          <w:color w:val="231F20"/>
          <w:w w:val="110"/>
          <w:sz w:val="16"/>
        </w:rPr>
        <w:t>gas</w:t>
      </w:r>
      <w:r>
        <w:rPr>
          <w:color w:val="231F20"/>
          <w:spacing w:val="-5"/>
          <w:w w:val="110"/>
          <w:sz w:val="16"/>
        </w:rPr>
        <w:t xml:space="preserve"> </w:t>
      </w:r>
      <w:r>
        <w:rPr>
          <w:color w:val="231F20"/>
          <w:w w:val="110"/>
          <w:sz w:val="16"/>
        </w:rPr>
        <w:t>attack</w:t>
      </w:r>
      <w:r>
        <w:rPr>
          <w:color w:val="231F20"/>
          <w:spacing w:val="-5"/>
          <w:w w:val="110"/>
          <w:sz w:val="16"/>
        </w:rPr>
        <w:t xml:space="preserve"> </w:t>
      </w:r>
      <w:r>
        <w:rPr>
          <w:color w:val="231F20"/>
          <w:w w:val="110"/>
          <w:sz w:val="16"/>
        </w:rPr>
        <w:t>by</w:t>
      </w:r>
      <w:r>
        <w:rPr>
          <w:color w:val="231F20"/>
          <w:spacing w:val="-5"/>
          <w:w w:val="110"/>
          <w:sz w:val="16"/>
        </w:rPr>
        <w:t xml:space="preserve"> </w:t>
      </w:r>
      <w:r>
        <w:rPr>
          <w:color w:val="231F20"/>
          <w:w w:val="110"/>
          <w:sz w:val="16"/>
        </w:rPr>
        <w:t>terrorists,”</w:t>
      </w:r>
      <w:r>
        <w:rPr>
          <w:color w:val="231F20"/>
          <w:spacing w:val="-4"/>
          <w:w w:val="110"/>
          <w:sz w:val="16"/>
        </w:rPr>
        <w:t xml:space="preserve"> </w:t>
      </w:r>
      <w:r>
        <w:rPr>
          <w:i/>
          <w:color w:val="231F20"/>
          <w:spacing w:val="1"/>
          <w:w w:val="110"/>
          <w:sz w:val="16"/>
        </w:rPr>
        <w:t xml:space="preserve">Reno </w:t>
      </w:r>
      <w:r>
        <w:rPr>
          <w:i/>
          <w:color w:val="231F20"/>
          <w:w w:val="110"/>
          <w:sz w:val="16"/>
        </w:rPr>
        <w:t xml:space="preserve">Evening </w:t>
      </w:r>
      <w:r>
        <w:rPr>
          <w:i/>
          <w:color w:val="231F20"/>
          <w:spacing w:val="1"/>
          <w:w w:val="110"/>
          <w:sz w:val="16"/>
        </w:rPr>
        <w:t xml:space="preserve">Gazette, </w:t>
      </w:r>
      <w:r>
        <w:rPr>
          <w:color w:val="231F20"/>
          <w:w w:val="110"/>
          <w:sz w:val="16"/>
        </w:rPr>
        <w:t xml:space="preserve">May </w:t>
      </w:r>
      <w:r>
        <w:rPr>
          <w:color w:val="231F20"/>
          <w:spacing w:val="-3"/>
          <w:w w:val="110"/>
          <w:sz w:val="16"/>
        </w:rPr>
        <w:t>16,</w:t>
      </w:r>
      <w:r>
        <w:rPr>
          <w:color w:val="231F20"/>
          <w:spacing w:val="25"/>
          <w:w w:val="110"/>
          <w:sz w:val="16"/>
        </w:rPr>
        <w:t xml:space="preserve"> </w:t>
      </w:r>
      <w:r>
        <w:rPr>
          <w:color w:val="231F20"/>
          <w:spacing w:val="-4"/>
          <w:w w:val="110"/>
          <w:sz w:val="16"/>
        </w:rPr>
        <w:t>1975.</w:t>
      </w:r>
    </w:p>
    <w:p w14:paraId="0C934300" w14:textId="77777777" w:rsidR="002653E8" w:rsidRDefault="003115E3">
      <w:pPr>
        <w:pStyle w:val="a4"/>
        <w:numPr>
          <w:ilvl w:val="0"/>
          <w:numId w:val="92"/>
        </w:numPr>
        <w:tabs>
          <w:tab w:val="left" w:pos="1287"/>
        </w:tabs>
        <w:ind w:left="1286"/>
        <w:rPr>
          <w:sz w:val="16"/>
        </w:rPr>
      </w:pPr>
      <w:r>
        <w:rPr>
          <w:color w:val="231F20"/>
          <w:w w:val="115"/>
          <w:sz w:val="16"/>
        </w:rPr>
        <w:t>Cobler,</w:t>
      </w:r>
      <w:r>
        <w:rPr>
          <w:color w:val="231F20"/>
          <w:spacing w:val="3"/>
          <w:w w:val="115"/>
          <w:sz w:val="16"/>
        </w:rPr>
        <w:t xml:space="preserve"> </w:t>
      </w:r>
      <w:r>
        <w:rPr>
          <w:color w:val="231F20"/>
          <w:w w:val="115"/>
          <w:sz w:val="16"/>
        </w:rPr>
        <w:t>46.</w:t>
      </w:r>
    </w:p>
    <w:p w14:paraId="087E1798" w14:textId="77777777" w:rsidR="002653E8" w:rsidRDefault="003115E3">
      <w:pPr>
        <w:pStyle w:val="a4"/>
        <w:numPr>
          <w:ilvl w:val="0"/>
          <w:numId w:val="92"/>
        </w:numPr>
        <w:tabs>
          <w:tab w:val="left" w:pos="1287"/>
        </w:tabs>
        <w:spacing w:before="51"/>
        <w:ind w:left="1286"/>
        <w:rPr>
          <w:sz w:val="16"/>
        </w:rPr>
      </w:pPr>
      <w:r>
        <w:rPr>
          <w:color w:val="231F20"/>
          <w:w w:val="110"/>
          <w:sz w:val="16"/>
        </w:rPr>
        <w:t>Ibid.</w:t>
      </w:r>
    </w:p>
    <w:p w14:paraId="685BC55C" w14:textId="77777777" w:rsidR="002653E8" w:rsidRDefault="003115E3">
      <w:pPr>
        <w:spacing w:before="52"/>
        <w:ind w:left="1147"/>
        <w:rPr>
          <w:sz w:val="16"/>
        </w:rPr>
      </w:pPr>
      <w:r>
        <w:rPr>
          <w:color w:val="231F20"/>
          <w:w w:val="115"/>
          <w:sz w:val="16"/>
        </w:rPr>
        <w:t>4 Ibid., 47.</w:t>
      </w:r>
    </w:p>
    <w:p w14:paraId="23AF3B88" w14:textId="77777777" w:rsidR="002653E8" w:rsidRDefault="002653E8">
      <w:pPr>
        <w:rPr>
          <w:sz w:val="16"/>
        </w:rPr>
        <w:sectPr w:rsidR="002653E8">
          <w:footerReference w:type="even" r:id="rId298"/>
          <w:footerReference w:type="default" r:id="rId299"/>
          <w:pgSz w:w="8640" w:h="12960"/>
          <w:pgMar w:top="1060" w:right="0" w:bottom="1040" w:left="0" w:header="0" w:footer="850" w:gutter="0"/>
          <w:cols w:space="720"/>
        </w:sectPr>
      </w:pPr>
    </w:p>
    <w:p w14:paraId="148B9378" w14:textId="77777777" w:rsidR="002653E8" w:rsidRDefault="003115E3">
      <w:pPr>
        <w:pStyle w:val="a3"/>
        <w:spacing w:before="86" w:line="264" w:lineRule="auto"/>
        <w:ind w:left="1327" w:right="1145"/>
        <w:jc w:val="both"/>
      </w:pPr>
      <w:r>
        <w:rPr>
          <w:color w:val="231F20"/>
        </w:rPr>
        <w:lastRenderedPageBreak/>
        <w:t xml:space="preserve">practice of all </w:t>
      </w:r>
      <w:r w:rsidR="00C507A5">
        <w:rPr>
          <w:color w:val="231F20"/>
          <w:spacing w:val="5"/>
        </w:rPr>
        <w:t>red army faction</w:t>
      </w:r>
      <w:r>
        <w:rPr>
          <w:color w:val="231F20"/>
          <w:spacing w:val="5"/>
        </w:rPr>
        <w:t xml:space="preserve"> </w:t>
      </w:r>
      <w:r>
        <w:rPr>
          <w:color w:val="231F20"/>
        </w:rPr>
        <w:t xml:space="preserve">members accepting responsibility for all </w:t>
      </w:r>
      <w:r w:rsidR="00C507A5">
        <w:rPr>
          <w:color w:val="231F20"/>
          <w:spacing w:val="5"/>
        </w:rPr>
        <w:t>red army faction</w:t>
      </w:r>
      <w:r>
        <w:rPr>
          <w:color w:val="231F20"/>
          <w:spacing w:val="5"/>
        </w:rPr>
        <w:t xml:space="preserve"> </w:t>
      </w:r>
      <w:r>
        <w:rPr>
          <w:color w:val="231F20"/>
        </w:rPr>
        <w:t xml:space="preserve">actions. </w:t>
      </w:r>
      <w:r>
        <w:rPr>
          <w:color w:val="231F20"/>
          <w:spacing w:val="-3"/>
        </w:rPr>
        <w:t xml:space="preserve">yet,  </w:t>
      </w:r>
      <w:r>
        <w:rPr>
          <w:color w:val="231F20"/>
        </w:rPr>
        <w:t xml:space="preserve">this trial was no formality; rather, it was used as a forum     for the state to “expose” the captured combatants as monsters and the </w:t>
      </w:r>
      <w:r w:rsidR="00C507A5">
        <w:rPr>
          <w:color w:val="231F20"/>
          <w:spacing w:val="5"/>
        </w:rPr>
        <w:t>red army faction</w:t>
      </w:r>
      <w:r>
        <w:rPr>
          <w:color w:val="231F20"/>
          <w:spacing w:val="5"/>
        </w:rPr>
        <w:t xml:space="preserve"> </w:t>
      </w:r>
      <w:r>
        <w:rPr>
          <w:color w:val="231F20"/>
        </w:rPr>
        <w:t>as something</w:t>
      </w:r>
      <w:r>
        <w:rPr>
          <w:color w:val="231F20"/>
          <w:spacing w:val="30"/>
        </w:rPr>
        <w:t xml:space="preserve"> </w:t>
      </w:r>
      <w:r>
        <w:rPr>
          <w:color w:val="231F20"/>
        </w:rPr>
        <w:t>monstrous.</w:t>
      </w:r>
    </w:p>
    <w:p w14:paraId="49A52BE0" w14:textId="77777777" w:rsidR="002653E8" w:rsidRDefault="003115E3">
      <w:pPr>
        <w:pStyle w:val="a3"/>
        <w:spacing w:line="264" w:lineRule="auto"/>
        <w:ind w:left="1328" w:right="1145" w:firstLine="209"/>
        <w:jc w:val="both"/>
      </w:pPr>
      <w:r>
        <w:rPr>
          <w:color w:val="231F20"/>
          <w:w w:val="105"/>
        </w:rPr>
        <w:t xml:space="preserve">Although the defendants had been apprehended in </w:t>
      </w:r>
      <w:r>
        <w:rPr>
          <w:color w:val="231F20"/>
          <w:spacing w:val="-3"/>
          <w:w w:val="105"/>
        </w:rPr>
        <w:t xml:space="preserve">1972, </w:t>
      </w:r>
      <w:r>
        <w:rPr>
          <w:color w:val="231F20"/>
          <w:w w:val="105"/>
        </w:rPr>
        <w:t xml:space="preserve">the trial was not scheduled to begin until </w:t>
      </w:r>
      <w:r>
        <w:rPr>
          <w:color w:val="231F20"/>
          <w:spacing w:val="-6"/>
          <w:w w:val="105"/>
        </w:rPr>
        <w:t xml:space="preserve">1974; </w:t>
      </w:r>
      <w:r>
        <w:rPr>
          <w:color w:val="231F20"/>
          <w:w w:val="105"/>
        </w:rPr>
        <w:t>it was then postponed for an additional</w:t>
      </w:r>
      <w:r>
        <w:rPr>
          <w:color w:val="231F20"/>
          <w:spacing w:val="-18"/>
          <w:w w:val="105"/>
        </w:rPr>
        <w:t xml:space="preserve"> </w:t>
      </w:r>
      <w:r>
        <w:rPr>
          <w:color w:val="231F20"/>
          <w:w w:val="105"/>
        </w:rPr>
        <w:t>year</w:t>
      </w:r>
      <w:r>
        <w:rPr>
          <w:color w:val="231F20"/>
          <w:spacing w:val="-18"/>
          <w:w w:val="105"/>
        </w:rPr>
        <w:t xml:space="preserve"> </w:t>
      </w:r>
      <w:r>
        <w:rPr>
          <w:color w:val="231F20"/>
          <w:w w:val="105"/>
        </w:rPr>
        <w:t>to</w:t>
      </w:r>
      <w:r>
        <w:rPr>
          <w:color w:val="231F20"/>
          <w:spacing w:val="-18"/>
          <w:w w:val="105"/>
        </w:rPr>
        <w:t xml:space="preserve"> </w:t>
      </w:r>
      <w:r>
        <w:rPr>
          <w:color w:val="231F20"/>
          <w:spacing w:val="-3"/>
          <w:w w:val="105"/>
        </w:rPr>
        <w:t>avoid</w:t>
      </w:r>
      <w:r>
        <w:rPr>
          <w:color w:val="231F20"/>
          <w:spacing w:val="-18"/>
          <w:w w:val="105"/>
        </w:rPr>
        <w:t xml:space="preserve"> </w:t>
      </w:r>
      <w:r>
        <w:rPr>
          <w:color w:val="231F20"/>
          <w:w w:val="105"/>
        </w:rPr>
        <w:t>any</w:t>
      </w:r>
      <w:r>
        <w:rPr>
          <w:color w:val="231F20"/>
          <w:spacing w:val="-18"/>
          <w:w w:val="105"/>
        </w:rPr>
        <w:t xml:space="preserve"> </w:t>
      </w:r>
      <w:r>
        <w:rPr>
          <w:color w:val="231F20"/>
          <w:w w:val="105"/>
        </w:rPr>
        <w:t>unpleasant</w:t>
      </w:r>
      <w:r>
        <w:rPr>
          <w:color w:val="231F20"/>
          <w:spacing w:val="-18"/>
          <w:w w:val="105"/>
        </w:rPr>
        <w:t xml:space="preserve"> </w:t>
      </w:r>
      <w:r>
        <w:rPr>
          <w:color w:val="231F20"/>
          <w:w w:val="105"/>
        </w:rPr>
        <w:t>publicity</w:t>
      </w:r>
      <w:r>
        <w:rPr>
          <w:color w:val="231F20"/>
          <w:spacing w:val="-18"/>
          <w:w w:val="105"/>
        </w:rPr>
        <w:t xml:space="preserve"> </w:t>
      </w:r>
      <w:r>
        <w:rPr>
          <w:color w:val="231F20"/>
          <w:w w:val="105"/>
        </w:rPr>
        <w:t>during</w:t>
      </w:r>
      <w:r>
        <w:rPr>
          <w:color w:val="231F20"/>
          <w:spacing w:val="-18"/>
          <w:w w:val="105"/>
        </w:rPr>
        <w:t xml:space="preserve"> </w:t>
      </w:r>
      <w:r>
        <w:rPr>
          <w:color w:val="231F20"/>
          <w:w w:val="105"/>
        </w:rPr>
        <w:t>the</w:t>
      </w:r>
      <w:r>
        <w:rPr>
          <w:color w:val="231F20"/>
          <w:spacing w:val="-18"/>
          <w:w w:val="105"/>
        </w:rPr>
        <w:t xml:space="preserve"> </w:t>
      </w:r>
      <w:r>
        <w:rPr>
          <w:color w:val="231F20"/>
          <w:spacing w:val="-4"/>
          <w:w w:val="105"/>
        </w:rPr>
        <w:t>World</w:t>
      </w:r>
      <w:r>
        <w:rPr>
          <w:color w:val="231F20"/>
          <w:spacing w:val="-18"/>
          <w:w w:val="105"/>
        </w:rPr>
        <w:t xml:space="preserve"> </w:t>
      </w:r>
      <w:r>
        <w:rPr>
          <w:color w:val="231F20"/>
          <w:w w:val="105"/>
        </w:rPr>
        <w:t>Cup held</w:t>
      </w:r>
      <w:r>
        <w:rPr>
          <w:color w:val="231F20"/>
          <w:spacing w:val="-7"/>
          <w:w w:val="105"/>
        </w:rPr>
        <w:t xml:space="preserve"> </w:t>
      </w:r>
      <w:r>
        <w:rPr>
          <w:color w:val="231F20"/>
          <w:w w:val="105"/>
        </w:rPr>
        <w:t>in</w:t>
      </w:r>
      <w:r>
        <w:rPr>
          <w:color w:val="231F20"/>
          <w:spacing w:val="-7"/>
          <w:w w:val="105"/>
        </w:rPr>
        <w:t xml:space="preserve"> </w:t>
      </w:r>
      <w:r>
        <w:rPr>
          <w:color w:val="231F20"/>
          <w:w w:val="105"/>
        </w:rPr>
        <w:t>Stuttgart</w:t>
      </w:r>
      <w:r>
        <w:rPr>
          <w:color w:val="231F20"/>
          <w:spacing w:val="-7"/>
          <w:w w:val="105"/>
        </w:rPr>
        <w:t xml:space="preserve"> </w:t>
      </w:r>
      <w:r>
        <w:rPr>
          <w:color w:val="231F20"/>
          <w:w w:val="105"/>
        </w:rPr>
        <w:t>that</w:t>
      </w:r>
      <w:r>
        <w:rPr>
          <w:color w:val="231F20"/>
          <w:spacing w:val="-7"/>
          <w:w w:val="105"/>
        </w:rPr>
        <w:t xml:space="preserve"> </w:t>
      </w:r>
      <w:r>
        <w:rPr>
          <w:color w:val="231F20"/>
          <w:w w:val="105"/>
        </w:rPr>
        <w:t>summer.</w:t>
      </w:r>
      <w:r>
        <w:rPr>
          <w:color w:val="231F20"/>
          <w:w w:val="105"/>
          <w:position w:val="7"/>
          <w:sz w:val="11"/>
        </w:rPr>
        <w:t>5</w:t>
      </w:r>
      <w:r>
        <w:rPr>
          <w:color w:val="231F20"/>
          <w:spacing w:val="-3"/>
          <w:w w:val="105"/>
          <w:position w:val="7"/>
          <w:sz w:val="11"/>
        </w:rPr>
        <w:t xml:space="preserve"> </w:t>
      </w:r>
      <w:r>
        <w:rPr>
          <w:color w:val="231F20"/>
          <w:w w:val="105"/>
        </w:rPr>
        <w:t>Next,</w:t>
      </w:r>
      <w:r>
        <w:rPr>
          <w:color w:val="231F20"/>
          <w:spacing w:val="-7"/>
          <w:w w:val="105"/>
        </w:rPr>
        <w:t xml:space="preserve"> </w:t>
      </w:r>
      <w:r>
        <w:rPr>
          <w:color w:val="231F20"/>
          <w:w w:val="105"/>
        </w:rPr>
        <w:t>its</w:t>
      </w:r>
      <w:r>
        <w:rPr>
          <w:color w:val="231F20"/>
          <w:spacing w:val="-7"/>
          <w:w w:val="105"/>
        </w:rPr>
        <w:t xml:space="preserve"> </w:t>
      </w:r>
      <w:r>
        <w:rPr>
          <w:color w:val="231F20"/>
          <w:w w:val="105"/>
        </w:rPr>
        <w:t>very</w:t>
      </w:r>
      <w:r>
        <w:rPr>
          <w:color w:val="231F20"/>
          <w:spacing w:val="-7"/>
          <w:w w:val="105"/>
        </w:rPr>
        <w:t xml:space="preserve"> </w:t>
      </w:r>
      <w:r>
        <w:rPr>
          <w:color w:val="231F20"/>
          <w:w w:val="105"/>
        </w:rPr>
        <w:t>location</w:t>
      </w:r>
      <w:r>
        <w:rPr>
          <w:color w:val="231F20"/>
          <w:spacing w:val="-7"/>
          <w:w w:val="105"/>
        </w:rPr>
        <w:t xml:space="preserve"> </w:t>
      </w:r>
      <w:r>
        <w:rPr>
          <w:color w:val="231F20"/>
          <w:w w:val="105"/>
        </w:rPr>
        <w:t>was</w:t>
      </w:r>
      <w:r>
        <w:rPr>
          <w:color w:val="231F20"/>
          <w:spacing w:val="-7"/>
          <w:w w:val="105"/>
        </w:rPr>
        <w:t xml:space="preserve"> </w:t>
      </w:r>
      <w:r>
        <w:rPr>
          <w:color w:val="231F20"/>
          <w:w w:val="105"/>
        </w:rPr>
        <w:t>turned</w:t>
      </w:r>
      <w:r>
        <w:rPr>
          <w:color w:val="231F20"/>
          <w:spacing w:val="-7"/>
          <w:w w:val="105"/>
        </w:rPr>
        <w:t xml:space="preserve"> </w:t>
      </w:r>
      <w:r>
        <w:rPr>
          <w:color w:val="231F20"/>
          <w:w w:val="105"/>
        </w:rPr>
        <w:t>into a</w:t>
      </w:r>
      <w:r>
        <w:rPr>
          <w:color w:val="231F20"/>
          <w:spacing w:val="-5"/>
          <w:w w:val="105"/>
        </w:rPr>
        <w:t xml:space="preserve"> </w:t>
      </w:r>
      <w:r>
        <w:rPr>
          <w:color w:val="231F20"/>
          <w:w w:val="105"/>
        </w:rPr>
        <w:t>propaganda</w:t>
      </w:r>
      <w:r>
        <w:rPr>
          <w:color w:val="231F20"/>
          <w:spacing w:val="-5"/>
          <w:w w:val="105"/>
        </w:rPr>
        <w:t xml:space="preserve"> </w:t>
      </w:r>
      <w:r>
        <w:rPr>
          <w:color w:val="231F20"/>
          <w:w w:val="105"/>
        </w:rPr>
        <w:t>statement</w:t>
      </w:r>
      <w:r>
        <w:rPr>
          <w:color w:val="231F20"/>
          <w:spacing w:val="-5"/>
          <w:w w:val="105"/>
        </w:rPr>
        <w:t xml:space="preserve"> </w:t>
      </w:r>
      <w:r>
        <w:rPr>
          <w:color w:val="231F20"/>
          <w:w w:val="105"/>
        </w:rPr>
        <w:t>about</w:t>
      </w:r>
      <w:r>
        <w:rPr>
          <w:color w:val="231F20"/>
          <w:spacing w:val="-5"/>
          <w:w w:val="105"/>
        </w:rPr>
        <w:t xml:space="preserve"> </w:t>
      </w:r>
      <w:r>
        <w:rPr>
          <w:color w:val="231F20"/>
          <w:w w:val="105"/>
        </w:rPr>
        <w:t>the</w:t>
      </w:r>
      <w:r>
        <w:rPr>
          <w:color w:val="231F20"/>
          <w:spacing w:val="-5"/>
          <w:w w:val="105"/>
        </w:rPr>
        <w:t xml:space="preserve"> </w:t>
      </w:r>
      <w:r>
        <w:rPr>
          <w:color w:val="231F20"/>
          <w:w w:val="105"/>
        </w:rPr>
        <w:t>danger</w:t>
      </w:r>
      <w:r>
        <w:rPr>
          <w:color w:val="231F20"/>
          <w:spacing w:val="-5"/>
          <w:w w:val="105"/>
        </w:rPr>
        <w:t xml:space="preserve"> </w:t>
      </w:r>
      <w:r>
        <w:rPr>
          <w:color w:val="231F20"/>
          <w:w w:val="105"/>
        </w:rPr>
        <w:t>posed</w:t>
      </w:r>
      <w:r>
        <w:rPr>
          <w:color w:val="231F20"/>
          <w:spacing w:val="-5"/>
          <w:w w:val="105"/>
        </w:rPr>
        <w:t xml:space="preserve"> </w:t>
      </w:r>
      <w:r>
        <w:rPr>
          <w:color w:val="231F20"/>
          <w:w w:val="105"/>
        </w:rPr>
        <w:t>by</w:t>
      </w:r>
      <w:r>
        <w:rPr>
          <w:color w:val="231F20"/>
          <w:spacing w:val="-5"/>
          <w:w w:val="105"/>
        </w:rPr>
        <w:t xml:space="preserve"> </w:t>
      </w:r>
      <w:r>
        <w:rPr>
          <w:color w:val="231F20"/>
          <w:w w:val="105"/>
        </w:rPr>
        <w:t>the</w:t>
      </w:r>
      <w:r>
        <w:rPr>
          <w:color w:val="231F20"/>
          <w:spacing w:val="-5"/>
          <w:w w:val="105"/>
        </w:rPr>
        <w:t xml:space="preserve"> </w:t>
      </w:r>
      <w:r>
        <w:rPr>
          <w:color w:val="231F20"/>
          <w:w w:val="105"/>
        </w:rPr>
        <w:t>accused:</w:t>
      </w:r>
      <w:r>
        <w:rPr>
          <w:color w:val="231F20"/>
          <w:spacing w:val="-5"/>
          <w:w w:val="105"/>
        </w:rPr>
        <w:t xml:space="preserve"> </w:t>
      </w:r>
      <w:r>
        <w:rPr>
          <w:color w:val="231F20"/>
          <w:w w:val="105"/>
        </w:rPr>
        <w:t>having</w:t>
      </w:r>
      <w:r>
        <w:rPr>
          <w:color w:val="231F20"/>
          <w:spacing w:val="-13"/>
          <w:w w:val="105"/>
        </w:rPr>
        <w:t xml:space="preserve"> </w:t>
      </w:r>
      <w:r>
        <w:rPr>
          <w:color w:val="231F20"/>
          <w:w w:val="105"/>
        </w:rPr>
        <w:t>the</w:t>
      </w:r>
      <w:r>
        <w:rPr>
          <w:color w:val="231F20"/>
          <w:spacing w:val="-13"/>
          <w:w w:val="105"/>
        </w:rPr>
        <w:t xml:space="preserve"> </w:t>
      </w:r>
      <w:r>
        <w:rPr>
          <w:color w:val="231F20"/>
          <w:w w:val="105"/>
        </w:rPr>
        <w:t>trial</w:t>
      </w:r>
      <w:r>
        <w:rPr>
          <w:color w:val="231F20"/>
          <w:spacing w:val="-13"/>
          <w:w w:val="105"/>
        </w:rPr>
        <w:t xml:space="preserve"> </w:t>
      </w:r>
      <w:r>
        <w:rPr>
          <w:color w:val="231F20"/>
          <w:w w:val="105"/>
        </w:rPr>
        <w:t>in</w:t>
      </w:r>
      <w:r>
        <w:rPr>
          <w:color w:val="231F20"/>
          <w:spacing w:val="-13"/>
          <w:w w:val="105"/>
        </w:rPr>
        <w:t xml:space="preserve"> </w:t>
      </w:r>
      <w:r>
        <w:rPr>
          <w:color w:val="231F20"/>
          <w:w w:val="105"/>
        </w:rPr>
        <w:t>the</w:t>
      </w:r>
      <w:r>
        <w:rPr>
          <w:color w:val="231F20"/>
          <w:spacing w:val="-13"/>
          <w:w w:val="105"/>
        </w:rPr>
        <w:t xml:space="preserve"> </w:t>
      </w:r>
      <w:r>
        <w:rPr>
          <w:color w:val="231F20"/>
          <w:w w:val="105"/>
        </w:rPr>
        <w:t>regular</w:t>
      </w:r>
      <w:r>
        <w:rPr>
          <w:color w:val="231F20"/>
          <w:spacing w:val="-13"/>
          <w:w w:val="105"/>
        </w:rPr>
        <w:t xml:space="preserve"> </w:t>
      </w:r>
      <w:r>
        <w:rPr>
          <w:color w:val="231F20"/>
          <w:w w:val="105"/>
        </w:rPr>
        <w:t>Stuttgart</w:t>
      </w:r>
      <w:r>
        <w:rPr>
          <w:color w:val="231F20"/>
          <w:spacing w:val="-13"/>
          <w:w w:val="105"/>
        </w:rPr>
        <w:t xml:space="preserve"> </w:t>
      </w:r>
      <w:r>
        <w:rPr>
          <w:color w:val="231F20"/>
          <w:w w:val="105"/>
        </w:rPr>
        <w:t>court</w:t>
      </w:r>
      <w:r>
        <w:rPr>
          <w:color w:val="231F20"/>
          <w:spacing w:val="-13"/>
          <w:w w:val="105"/>
        </w:rPr>
        <w:t xml:space="preserve"> </w:t>
      </w:r>
      <w:r>
        <w:rPr>
          <w:color w:val="231F20"/>
          <w:w w:val="105"/>
        </w:rPr>
        <w:t>house</w:t>
      </w:r>
      <w:r>
        <w:rPr>
          <w:color w:val="231F20"/>
          <w:spacing w:val="-13"/>
          <w:w w:val="105"/>
        </w:rPr>
        <w:t xml:space="preserve"> </w:t>
      </w:r>
      <w:r>
        <w:rPr>
          <w:color w:val="231F20"/>
          <w:w w:val="105"/>
        </w:rPr>
        <w:t>was</w:t>
      </w:r>
      <w:r>
        <w:rPr>
          <w:color w:val="231F20"/>
          <w:spacing w:val="-13"/>
          <w:w w:val="105"/>
        </w:rPr>
        <w:t xml:space="preserve"> </w:t>
      </w:r>
      <w:r>
        <w:rPr>
          <w:color w:val="231F20"/>
          <w:w w:val="105"/>
        </w:rPr>
        <w:t>deemed</w:t>
      </w:r>
      <w:r>
        <w:rPr>
          <w:color w:val="231F20"/>
          <w:spacing w:val="-13"/>
          <w:w w:val="105"/>
        </w:rPr>
        <w:t xml:space="preserve"> </w:t>
      </w:r>
      <w:r>
        <w:rPr>
          <w:color w:val="231F20"/>
          <w:w w:val="105"/>
        </w:rPr>
        <w:t>out</w:t>
      </w:r>
      <w:r>
        <w:rPr>
          <w:color w:val="231F20"/>
          <w:spacing w:val="-13"/>
          <w:w w:val="105"/>
        </w:rPr>
        <w:t xml:space="preserve"> </w:t>
      </w:r>
      <w:r>
        <w:rPr>
          <w:color w:val="231F20"/>
          <w:w w:val="105"/>
        </w:rPr>
        <w:t>of</w:t>
      </w:r>
      <w:r>
        <w:rPr>
          <w:color w:val="231F20"/>
          <w:spacing w:val="-13"/>
          <w:w w:val="105"/>
        </w:rPr>
        <w:t xml:space="preserve"> </w:t>
      </w:r>
      <w:r>
        <w:rPr>
          <w:color w:val="231F20"/>
          <w:w w:val="105"/>
        </w:rPr>
        <w:t xml:space="preserve">the question, and instead a special “terrorist-proof” facility was ordered built especially for the </w:t>
      </w:r>
      <w:r w:rsidR="00C507A5">
        <w:rPr>
          <w:color w:val="231F20"/>
          <w:spacing w:val="1"/>
          <w:w w:val="105"/>
        </w:rPr>
        <w:t>red army faction</w:t>
      </w:r>
      <w:r>
        <w:rPr>
          <w:color w:val="231F20"/>
          <w:spacing w:val="1"/>
          <w:w w:val="105"/>
        </w:rPr>
        <w:t xml:space="preserve">’s </w:t>
      </w:r>
      <w:r>
        <w:rPr>
          <w:color w:val="231F20"/>
          <w:w w:val="105"/>
        </w:rPr>
        <w:t>alleged</w:t>
      </w:r>
      <w:r>
        <w:rPr>
          <w:color w:val="231F20"/>
          <w:spacing w:val="26"/>
          <w:w w:val="105"/>
        </w:rPr>
        <w:t xml:space="preserve"> </w:t>
      </w:r>
      <w:r>
        <w:rPr>
          <w:color w:val="231F20"/>
          <w:w w:val="105"/>
        </w:rPr>
        <w:t>ringleaders.</w:t>
      </w:r>
    </w:p>
    <w:p w14:paraId="6090FC93" w14:textId="77777777" w:rsidR="002653E8" w:rsidRDefault="003115E3">
      <w:pPr>
        <w:spacing w:line="226" w:lineRule="exact"/>
        <w:ind w:left="1537"/>
        <w:rPr>
          <w:sz w:val="20"/>
        </w:rPr>
      </w:pPr>
      <w:r>
        <w:rPr>
          <w:color w:val="231F20"/>
          <w:sz w:val="20"/>
        </w:rPr>
        <w:t xml:space="preserve">As a journalist from the </w:t>
      </w:r>
      <w:r>
        <w:rPr>
          <w:i/>
          <w:color w:val="231F20"/>
          <w:sz w:val="20"/>
        </w:rPr>
        <w:t xml:space="preserve">Sunday Times </w:t>
      </w:r>
      <w:r>
        <w:rPr>
          <w:color w:val="231F20"/>
          <w:sz w:val="20"/>
        </w:rPr>
        <w:t>wrote in 1975:</w:t>
      </w:r>
    </w:p>
    <w:p w14:paraId="35368931" w14:textId="77777777" w:rsidR="002653E8" w:rsidRDefault="002653E8">
      <w:pPr>
        <w:pStyle w:val="a3"/>
        <w:spacing w:before="9"/>
        <w:rPr>
          <w:sz w:val="21"/>
        </w:rPr>
      </w:pPr>
    </w:p>
    <w:p w14:paraId="0839E4F6" w14:textId="77777777" w:rsidR="002653E8" w:rsidRDefault="003115E3">
      <w:pPr>
        <w:spacing w:line="276" w:lineRule="auto"/>
        <w:ind w:left="1747" w:right="1559"/>
        <w:jc w:val="both"/>
        <w:rPr>
          <w:i/>
          <w:sz w:val="19"/>
        </w:rPr>
      </w:pPr>
      <w:r>
        <w:rPr>
          <w:i/>
          <w:color w:val="231F20"/>
          <w:sz w:val="19"/>
        </w:rPr>
        <w:t>That remarkable building is now almost complete in a sugar beet field near Stammheim prison. A concrete and steel fortress that will cost about £</w:t>
      </w:r>
      <w:r>
        <w:rPr>
          <w:rFonts w:ascii="Bookman Old Style" w:hAnsi="Bookman Old Style"/>
          <w:i/>
          <w:color w:val="231F20"/>
          <w:sz w:val="19"/>
        </w:rPr>
        <w:t xml:space="preserve">3 </w:t>
      </w:r>
      <w:r>
        <w:rPr>
          <w:i/>
          <w:color w:val="231F20"/>
          <w:sz w:val="19"/>
        </w:rPr>
        <w:t>million, it includes among the features not normally found in courthouses, anti-aircraft defense against helicopter attack, listening devices sown in the ground around the building, scores of closed-circuit TV cameras, and an underground tunnel linked to Stammheim so that the defendants can be smuggled in and out of court without showing their  noses  in  the  open.  The five judges (no jury), the accused and all witnesses will sit behind bullet-proof glass security</w:t>
      </w:r>
      <w:r>
        <w:rPr>
          <w:i/>
          <w:color w:val="231F20"/>
          <w:spacing w:val="32"/>
          <w:sz w:val="19"/>
        </w:rPr>
        <w:t xml:space="preserve"> </w:t>
      </w:r>
      <w:r>
        <w:rPr>
          <w:i/>
          <w:color w:val="231F20"/>
          <w:sz w:val="19"/>
        </w:rPr>
        <w:t>screens.</w:t>
      </w:r>
    </w:p>
    <w:p w14:paraId="301161C6" w14:textId="77777777" w:rsidR="002653E8" w:rsidRDefault="003115E3">
      <w:pPr>
        <w:spacing w:before="36" w:line="276" w:lineRule="auto"/>
        <w:ind w:left="1748" w:right="1565"/>
        <w:jc w:val="both"/>
        <w:rPr>
          <w:i/>
          <w:sz w:val="11"/>
        </w:rPr>
      </w:pPr>
      <w:r>
        <w:rPr>
          <w:i/>
          <w:color w:val="231F20"/>
          <w:w w:val="105"/>
          <w:sz w:val="19"/>
        </w:rPr>
        <w:t>Photographing</w:t>
      </w:r>
      <w:r>
        <w:rPr>
          <w:i/>
          <w:color w:val="231F20"/>
          <w:spacing w:val="-5"/>
          <w:w w:val="105"/>
          <w:sz w:val="19"/>
        </w:rPr>
        <w:t xml:space="preserve"> </w:t>
      </w:r>
      <w:r>
        <w:rPr>
          <w:i/>
          <w:color w:val="231F20"/>
          <w:w w:val="105"/>
          <w:sz w:val="19"/>
        </w:rPr>
        <w:t>the</w:t>
      </w:r>
      <w:r>
        <w:rPr>
          <w:i/>
          <w:color w:val="231F20"/>
          <w:spacing w:val="-5"/>
          <w:w w:val="105"/>
          <w:sz w:val="19"/>
        </w:rPr>
        <w:t xml:space="preserve"> </w:t>
      </w:r>
      <w:r>
        <w:rPr>
          <w:i/>
          <w:color w:val="231F20"/>
          <w:w w:val="105"/>
          <w:sz w:val="19"/>
        </w:rPr>
        <w:t>new</w:t>
      </w:r>
      <w:r>
        <w:rPr>
          <w:i/>
          <w:color w:val="231F20"/>
          <w:spacing w:val="-5"/>
          <w:w w:val="105"/>
          <w:sz w:val="19"/>
        </w:rPr>
        <w:t xml:space="preserve"> </w:t>
      </w:r>
      <w:r>
        <w:rPr>
          <w:i/>
          <w:color w:val="231F20"/>
          <w:w w:val="105"/>
          <w:sz w:val="19"/>
        </w:rPr>
        <w:t>court-house</w:t>
      </w:r>
      <w:r>
        <w:rPr>
          <w:i/>
          <w:color w:val="231F20"/>
          <w:spacing w:val="-5"/>
          <w:w w:val="105"/>
          <w:sz w:val="19"/>
        </w:rPr>
        <w:t xml:space="preserve"> </w:t>
      </w:r>
      <w:r>
        <w:rPr>
          <w:i/>
          <w:color w:val="231F20"/>
          <w:w w:val="105"/>
          <w:sz w:val="19"/>
        </w:rPr>
        <w:t>is</w:t>
      </w:r>
      <w:r>
        <w:rPr>
          <w:i/>
          <w:color w:val="231F20"/>
          <w:spacing w:val="-5"/>
          <w:w w:val="105"/>
          <w:sz w:val="19"/>
        </w:rPr>
        <w:t xml:space="preserve"> </w:t>
      </w:r>
      <w:r>
        <w:rPr>
          <w:i/>
          <w:color w:val="231F20"/>
          <w:w w:val="105"/>
          <w:sz w:val="19"/>
        </w:rPr>
        <w:t>strictly</w:t>
      </w:r>
      <w:r>
        <w:rPr>
          <w:i/>
          <w:color w:val="231F20"/>
          <w:spacing w:val="-5"/>
          <w:w w:val="105"/>
          <w:sz w:val="19"/>
        </w:rPr>
        <w:t xml:space="preserve"> </w:t>
      </w:r>
      <w:r>
        <w:rPr>
          <w:i/>
          <w:color w:val="231F20"/>
          <w:w w:val="105"/>
          <w:sz w:val="19"/>
        </w:rPr>
        <w:t>forbidden.</w:t>
      </w:r>
      <w:r>
        <w:rPr>
          <w:i/>
          <w:color w:val="231F20"/>
          <w:spacing w:val="-15"/>
          <w:w w:val="105"/>
          <w:sz w:val="19"/>
        </w:rPr>
        <w:t xml:space="preserve"> </w:t>
      </w:r>
      <w:r>
        <w:rPr>
          <w:i/>
          <w:color w:val="231F20"/>
          <w:w w:val="105"/>
          <w:sz w:val="19"/>
        </w:rPr>
        <w:t>The</w:t>
      </w:r>
      <w:r>
        <w:rPr>
          <w:i/>
          <w:color w:val="231F20"/>
          <w:spacing w:val="-5"/>
          <w:w w:val="105"/>
          <w:sz w:val="19"/>
        </w:rPr>
        <w:t xml:space="preserve"> </w:t>
      </w:r>
      <w:r>
        <w:rPr>
          <w:i/>
          <w:color w:val="231F20"/>
          <w:w w:val="105"/>
          <w:sz w:val="19"/>
        </w:rPr>
        <w:t xml:space="preserve">site workmen were, </w:t>
      </w:r>
      <w:r>
        <w:rPr>
          <w:i/>
          <w:color w:val="231F20"/>
          <w:spacing w:val="-4"/>
          <w:w w:val="105"/>
          <w:sz w:val="19"/>
        </w:rPr>
        <w:t xml:space="preserve">literally, </w:t>
      </w:r>
      <w:r>
        <w:rPr>
          <w:i/>
          <w:color w:val="231F20"/>
          <w:w w:val="105"/>
          <w:sz w:val="19"/>
        </w:rPr>
        <w:t xml:space="preserve">sworn to </w:t>
      </w:r>
      <w:r>
        <w:rPr>
          <w:i/>
          <w:color w:val="231F20"/>
          <w:spacing w:val="-3"/>
          <w:w w:val="105"/>
          <w:sz w:val="19"/>
        </w:rPr>
        <w:t xml:space="preserve">secrecy. </w:t>
      </w:r>
      <w:r>
        <w:rPr>
          <w:i/>
          <w:color w:val="231F20"/>
          <w:w w:val="105"/>
          <w:sz w:val="19"/>
        </w:rPr>
        <w:t>Plain-clothes police patrol</w:t>
      </w:r>
      <w:r>
        <w:rPr>
          <w:i/>
          <w:color w:val="231F20"/>
          <w:spacing w:val="-12"/>
          <w:w w:val="105"/>
          <w:sz w:val="19"/>
        </w:rPr>
        <w:t xml:space="preserve"> </w:t>
      </w:r>
      <w:r>
        <w:rPr>
          <w:i/>
          <w:color w:val="231F20"/>
          <w:w w:val="105"/>
          <w:sz w:val="19"/>
        </w:rPr>
        <w:t>it</w:t>
      </w:r>
      <w:r>
        <w:rPr>
          <w:i/>
          <w:color w:val="231F20"/>
          <w:spacing w:val="-12"/>
          <w:w w:val="105"/>
          <w:sz w:val="19"/>
        </w:rPr>
        <w:t xml:space="preserve"> </w:t>
      </w:r>
      <w:r>
        <w:rPr>
          <w:i/>
          <w:color w:val="231F20"/>
          <w:w w:val="105"/>
          <w:sz w:val="19"/>
        </w:rPr>
        <w:t>constantly,</w:t>
      </w:r>
      <w:r>
        <w:rPr>
          <w:i/>
          <w:color w:val="231F20"/>
          <w:spacing w:val="-17"/>
          <w:w w:val="105"/>
          <w:sz w:val="19"/>
        </w:rPr>
        <w:t xml:space="preserve"> </w:t>
      </w:r>
      <w:r>
        <w:rPr>
          <w:i/>
          <w:color w:val="231F20"/>
          <w:w w:val="105"/>
          <w:sz w:val="19"/>
        </w:rPr>
        <w:t>and</w:t>
      </w:r>
      <w:r>
        <w:rPr>
          <w:i/>
          <w:color w:val="231F20"/>
          <w:spacing w:val="-12"/>
          <w:w w:val="105"/>
          <w:sz w:val="19"/>
        </w:rPr>
        <w:t xml:space="preserve"> </w:t>
      </w:r>
      <w:r>
        <w:rPr>
          <w:i/>
          <w:color w:val="231F20"/>
          <w:w w:val="105"/>
          <w:sz w:val="19"/>
        </w:rPr>
        <w:t>local</w:t>
      </w:r>
      <w:r>
        <w:rPr>
          <w:i/>
          <w:color w:val="231F20"/>
          <w:spacing w:val="-12"/>
          <w:w w:val="105"/>
          <w:sz w:val="19"/>
        </w:rPr>
        <w:t xml:space="preserve"> </w:t>
      </w:r>
      <w:r>
        <w:rPr>
          <w:i/>
          <w:color w:val="231F20"/>
          <w:w w:val="105"/>
          <w:sz w:val="19"/>
        </w:rPr>
        <w:t>farmers,</w:t>
      </w:r>
      <w:r>
        <w:rPr>
          <w:i/>
          <w:color w:val="231F20"/>
          <w:spacing w:val="-17"/>
          <w:w w:val="105"/>
          <w:sz w:val="19"/>
        </w:rPr>
        <w:t xml:space="preserve"> </w:t>
      </w:r>
      <w:r>
        <w:rPr>
          <w:i/>
          <w:color w:val="231F20"/>
          <w:w w:val="105"/>
          <w:sz w:val="19"/>
        </w:rPr>
        <w:t>to</w:t>
      </w:r>
      <w:r>
        <w:rPr>
          <w:i/>
          <w:color w:val="231F20"/>
          <w:spacing w:val="-12"/>
          <w:w w:val="105"/>
          <w:sz w:val="19"/>
        </w:rPr>
        <w:t xml:space="preserve"> </w:t>
      </w:r>
      <w:r>
        <w:rPr>
          <w:i/>
          <w:color w:val="231F20"/>
          <w:w w:val="105"/>
          <w:sz w:val="19"/>
        </w:rPr>
        <w:t>their</w:t>
      </w:r>
      <w:r>
        <w:rPr>
          <w:i/>
          <w:color w:val="231F20"/>
          <w:spacing w:val="-12"/>
          <w:w w:val="105"/>
          <w:sz w:val="19"/>
        </w:rPr>
        <w:t xml:space="preserve"> </w:t>
      </w:r>
      <w:r>
        <w:rPr>
          <w:i/>
          <w:color w:val="231F20"/>
          <w:w w:val="105"/>
          <w:sz w:val="19"/>
        </w:rPr>
        <w:t>disgust,</w:t>
      </w:r>
      <w:r>
        <w:rPr>
          <w:i/>
          <w:color w:val="231F20"/>
          <w:spacing w:val="-17"/>
          <w:w w:val="105"/>
          <w:sz w:val="19"/>
        </w:rPr>
        <w:t xml:space="preserve"> </w:t>
      </w:r>
      <w:r>
        <w:rPr>
          <w:i/>
          <w:color w:val="231F20"/>
          <w:w w:val="105"/>
          <w:sz w:val="19"/>
        </w:rPr>
        <w:t>must</w:t>
      </w:r>
      <w:r>
        <w:rPr>
          <w:i/>
          <w:color w:val="231F20"/>
          <w:spacing w:val="-12"/>
          <w:w w:val="105"/>
          <w:sz w:val="19"/>
        </w:rPr>
        <w:t xml:space="preserve"> </w:t>
      </w:r>
      <w:r>
        <w:rPr>
          <w:i/>
          <w:color w:val="231F20"/>
          <w:w w:val="105"/>
          <w:sz w:val="19"/>
        </w:rPr>
        <w:t>carry passes to get to their</w:t>
      </w:r>
      <w:r>
        <w:rPr>
          <w:i/>
          <w:color w:val="231F20"/>
          <w:spacing w:val="33"/>
          <w:w w:val="105"/>
          <w:sz w:val="19"/>
        </w:rPr>
        <w:t xml:space="preserve"> </w:t>
      </w:r>
      <w:r>
        <w:rPr>
          <w:i/>
          <w:color w:val="231F20"/>
          <w:w w:val="105"/>
          <w:sz w:val="19"/>
        </w:rPr>
        <w:t>fields.</w:t>
      </w:r>
      <w:r>
        <w:rPr>
          <w:i/>
          <w:color w:val="231F20"/>
          <w:w w:val="105"/>
          <w:position w:val="6"/>
          <w:sz w:val="11"/>
        </w:rPr>
        <w:t>6</w:t>
      </w:r>
    </w:p>
    <w:p w14:paraId="25E0A972" w14:textId="77777777" w:rsidR="002653E8" w:rsidRDefault="002653E8">
      <w:pPr>
        <w:pStyle w:val="a3"/>
        <w:spacing w:before="2"/>
        <w:rPr>
          <w:i/>
          <w:sz w:val="21"/>
        </w:rPr>
      </w:pPr>
    </w:p>
    <w:p w14:paraId="36D13CF4" w14:textId="77777777" w:rsidR="002653E8" w:rsidRDefault="003115E3">
      <w:pPr>
        <w:pStyle w:val="a3"/>
        <w:spacing w:line="264" w:lineRule="auto"/>
        <w:ind w:left="1327" w:right="1146"/>
        <w:jc w:val="both"/>
      </w:pPr>
      <w:r>
        <w:rPr>
          <w:color w:val="231F20"/>
          <w:spacing w:val="1"/>
        </w:rPr>
        <w:t xml:space="preserve">In </w:t>
      </w:r>
      <w:r>
        <w:rPr>
          <w:color w:val="231F20"/>
        </w:rPr>
        <w:t>this already Orwellian setting, the prisoners were confronted with the testimony of those few of their former comrades who had agreed to cooperate in return for leniency, new identities, or simply as a result of being psychologically broken by isolation.</w:t>
      </w:r>
    </w:p>
    <w:p w14:paraId="141C1B82" w14:textId="77777777" w:rsidR="002653E8" w:rsidRDefault="003115E3">
      <w:pPr>
        <w:pStyle w:val="a3"/>
        <w:spacing w:line="264" w:lineRule="auto"/>
        <w:ind w:left="1327" w:right="1146" w:firstLine="210"/>
        <w:jc w:val="both"/>
      </w:pPr>
      <w:r>
        <w:rPr>
          <w:color w:val="231F20"/>
        </w:rPr>
        <w:t xml:space="preserve">Karl-Heinz Ruhland, who had proven an embarrassment to the state in the first </w:t>
      </w:r>
      <w:r w:rsidR="00C507A5">
        <w:rPr>
          <w:color w:val="231F20"/>
        </w:rPr>
        <w:t>red army faction</w:t>
      </w:r>
      <w:r>
        <w:rPr>
          <w:color w:val="231F20"/>
        </w:rPr>
        <w:t xml:space="preserve"> trials, was now reinforced by a slightly more convincing turncoat: Gerhard Müller, a former SPK member, who had been captured along with Meinhof in 1972. After two and a half years of</w:t>
      </w:r>
    </w:p>
    <w:p w14:paraId="15580CEA" w14:textId="77777777" w:rsidR="002653E8" w:rsidRDefault="00000000">
      <w:pPr>
        <w:pStyle w:val="a3"/>
        <w:spacing w:before="4"/>
        <w:rPr>
          <w:sz w:val="16"/>
        </w:rPr>
      </w:pPr>
      <w:r>
        <w:rPr>
          <w:noProof w:val="0"/>
        </w:rPr>
        <w:pict w14:anchorId="5AD8F9B2">
          <v:line id="_x0000_s2318" style="position:absolute;z-index:7864;mso-wrap-distance-left:0;mso-wrap-distance-right:0;mso-position-horizontal-relative:page" from="66.4pt,11.8pt" to="138.4pt,11.8pt" strokecolor="#231f20" strokeweight=".5pt">
            <w10:wrap type="topAndBottom" anchorx="page"/>
          </v:line>
        </w:pict>
      </w:r>
    </w:p>
    <w:p w14:paraId="6DF439CF" w14:textId="77777777" w:rsidR="002653E8" w:rsidRDefault="003115E3">
      <w:pPr>
        <w:pStyle w:val="a4"/>
        <w:numPr>
          <w:ilvl w:val="1"/>
          <w:numId w:val="92"/>
        </w:numPr>
        <w:tabs>
          <w:tab w:val="left" w:pos="1467"/>
        </w:tabs>
        <w:spacing w:before="53"/>
        <w:rPr>
          <w:sz w:val="16"/>
        </w:rPr>
      </w:pPr>
      <w:r>
        <w:rPr>
          <w:color w:val="231F20"/>
          <w:w w:val="115"/>
          <w:sz w:val="16"/>
        </w:rPr>
        <w:t>Jacobson,</w:t>
      </w:r>
      <w:r>
        <w:rPr>
          <w:color w:val="231F20"/>
          <w:spacing w:val="3"/>
          <w:w w:val="115"/>
          <w:sz w:val="16"/>
        </w:rPr>
        <w:t xml:space="preserve"> </w:t>
      </w:r>
      <w:r>
        <w:rPr>
          <w:color w:val="231F20"/>
          <w:w w:val="115"/>
          <w:sz w:val="16"/>
        </w:rPr>
        <w:t>21.</w:t>
      </w:r>
    </w:p>
    <w:p w14:paraId="4D5A9B02" w14:textId="77777777" w:rsidR="002653E8" w:rsidRDefault="003115E3">
      <w:pPr>
        <w:pStyle w:val="a4"/>
        <w:numPr>
          <w:ilvl w:val="1"/>
          <w:numId w:val="92"/>
        </w:numPr>
        <w:tabs>
          <w:tab w:val="left" w:pos="1467"/>
        </w:tabs>
        <w:spacing w:before="51"/>
        <w:ind w:hanging="138"/>
        <w:rPr>
          <w:sz w:val="16"/>
        </w:rPr>
      </w:pPr>
      <w:r>
        <w:rPr>
          <w:color w:val="231F20"/>
          <w:w w:val="110"/>
          <w:sz w:val="16"/>
        </w:rPr>
        <w:t>Ibid.</w:t>
      </w:r>
    </w:p>
    <w:p w14:paraId="27F96947" w14:textId="77777777" w:rsidR="002653E8" w:rsidRDefault="002653E8">
      <w:pPr>
        <w:rPr>
          <w:sz w:val="16"/>
        </w:rPr>
        <w:sectPr w:rsidR="002653E8">
          <w:pgSz w:w="8640" w:h="12960"/>
          <w:pgMar w:top="1060" w:right="0" w:bottom="1040" w:left="0" w:header="0" w:footer="850" w:gutter="0"/>
          <w:cols w:space="720"/>
        </w:sectPr>
      </w:pPr>
    </w:p>
    <w:p w14:paraId="2648A28F" w14:textId="77777777" w:rsidR="002653E8" w:rsidRDefault="003115E3">
      <w:pPr>
        <w:pStyle w:val="a3"/>
        <w:spacing w:before="86" w:line="264" w:lineRule="auto"/>
        <w:ind w:left="1147" w:right="1325"/>
        <w:jc w:val="both"/>
      </w:pPr>
      <w:r>
        <w:rPr>
          <w:color w:val="231F20"/>
        </w:rPr>
        <w:lastRenderedPageBreak/>
        <w:t xml:space="preserve">hunger strikes and isolation, Müller could take no more and finally </w:t>
      </w:r>
      <w:r>
        <w:rPr>
          <w:color w:val="231F20"/>
          <w:spacing w:val="-1"/>
          <w:w w:val="101"/>
        </w:rPr>
        <w:t>b</w:t>
      </w:r>
      <w:r>
        <w:rPr>
          <w:color w:val="231F20"/>
          <w:spacing w:val="-2"/>
          <w:w w:val="94"/>
        </w:rPr>
        <w:t>r</w:t>
      </w:r>
      <w:r>
        <w:rPr>
          <w:color w:val="231F20"/>
          <w:spacing w:val="-1"/>
          <w:w w:val="104"/>
        </w:rPr>
        <w:t>o</w:t>
      </w:r>
      <w:r>
        <w:rPr>
          <w:color w:val="231F20"/>
          <w:spacing w:val="-2"/>
          <w:w w:val="106"/>
        </w:rPr>
        <w:t>k</w:t>
      </w:r>
      <w:r>
        <w:rPr>
          <w:color w:val="231F20"/>
          <w:w w:val="91"/>
        </w:rPr>
        <w:t>e</w:t>
      </w:r>
      <w:r>
        <w:rPr>
          <w:color w:val="231F20"/>
          <w:spacing w:val="6"/>
        </w:rPr>
        <w:t xml:space="preserve"> </w:t>
      </w:r>
      <w:r>
        <w:rPr>
          <w:color w:val="231F20"/>
          <w:spacing w:val="-3"/>
        </w:rPr>
        <w:t>d</w:t>
      </w:r>
      <w:r>
        <w:rPr>
          <w:color w:val="231F20"/>
          <w:spacing w:val="3"/>
        </w:rPr>
        <w:t>u</w:t>
      </w:r>
      <w:r>
        <w:rPr>
          <w:color w:val="231F20"/>
          <w:spacing w:val="1"/>
          <w:w w:val="94"/>
        </w:rPr>
        <w:t>r</w:t>
      </w:r>
      <w:r>
        <w:rPr>
          <w:color w:val="231F20"/>
          <w:spacing w:val="2"/>
        </w:rPr>
        <w:t>i</w:t>
      </w:r>
      <w:r>
        <w:rPr>
          <w:color w:val="231F20"/>
          <w:w w:val="99"/>
        </w:rPr>
        <w:t>n</w:t>
      </w:r>
      <w:r>
        <w:rPr>
          <w:color w:val="231F20"/>
          <w:w w:val="101"/>
        </w:rPr>
        <w:t>g</w:t>
      </w:r>
      <w:r>
        <w:rPr>
          <w:color w:val="231F20"/>
          <w:spacing w:val="6"/>
        </w:rPr>
        <w:t xml:space="preserve"> </w:t>
      </w:r>
      <w:r>
        <w:rPr>
          <w:color w:val="231F20"/>
          <w:spacing w:val="2"/>
          <w:w w:val="98"/>
        </w:rPr>
        <w:t>t</w:t>
      </w:r>
      <w:r>
        <w:rPr>
          <w:color w:val="231F20"/>
          <w:spacing w:val="-1"/>
        </w:rPr>
        <w:t>h</w:t>
      </w:r>
      <w:r>
        <w:rPr>
          <w:color w:val="231F20"/>
          <w:w w:val="91"/>
        </w:rPr>
        <w:t>e</w:t>
      </w:r>
      <w:r>
        <w:rPr>
          <w:color w:val="231F20"/>
          <w:spacing w:val="7"/>
        </w:rPr>
        <w:t xml:space="preserve"> </w:t>
      </w:r>
      <w:r>
        <w:rPr>
          <w:color w:val="231F20"/>
          <w:spacing w:val="2"/>
          <w:w w:val="98"/>
        </w:rPr>
        <w:t>t</w:t>
      </w:r>
      <w:r>
        <w:rPr>
          <w:color w:val="231F20"/>
          <w:spacing w:val="3"/>
        </w:rPr>
        <w:t>hi</w:t>
      </w:r>
      <w:r>
        <w:rPr>
          <w:color w:val="231F20"/>
          <w:spacing w:val="-3"/>
          <w:w w:val="94"/>
        </w:rPr>
        <w:t>r</w:t>
      </w:r>
      <w:r>
        <w:rPr>
          <w:color w:val="231F20"/>
        </w:rPr>
        <w:t>d</w:t>
      </w:r>
      <w:r>
        <w:rPr>
          <w:color w:val="231F20"/>
          <w:spacing w:val="6"/>
        </w:rPr>
        <w:t xml:space="preserve"> </w:t>
      </w:r>
      <w:r>
        <w:rPr>
          <w:color w:val="231F20"/>
          <w:spacing w:val="-4"/>
        </w:rPr>
        <w:t>h</w:t>
      </w:r>
      <w:r>
        <w:rPr>
          <w:color w:val="231F20"/>
          <w:spacing w:val="3"/>
        </w:rPr>
        <w:t>u</w:t>
      </w:r>
      <w:r>
        <w:rPr>
          <w:color w:val="231F20"/>
          <w:w w:val="99"/>
        </w:rPr>
        <w:t>n</w:t>
      </w:r>
      <w:r>
        <w:rPr>
          <w:color w:val="231F20"/>
          <w:spacing w:val="-1"/>
          <w:w w:val="101"/>
        </w:rPr>
        <w:t>g</w:t>
      </w:r>
      <w:r>
        <w:rPr>
          <w:color w:val="231F20"/>
          <w:w w:val="92"/>
        </w:rPr>
        <w:t>er</w:t>
      </w:r>
      <w:r>
        <w:rPr>
          <w:color w:val="231F20"/>
          <w:spacing w:val="6"/>
        </w:rPr>
        <w:t xml:space="preserve"> </w:t>
      </w:r>
      <w:r>
        <w:rPr>
          <w:color w:val="231F20"/>
          <w:w w:val="90"/>
        </w:rPr>
        <w:t>s</w:t>
      </w:r>
      <w:r>
        <w:rPr>
          <w:color w:val="231F20"/>
          <w:spacing w:val="3"/>
          <w:w w:val="98"/>
        </w:rPr>
        <w:t>t</w:t>
      </w:r>
      <w:r>
        <w:rPr>
          <w:color w:val="231F20"/>
          <w:spacing w:val="1"/>
          <w:w w:val="94"/>
        </w:rPr>
        <w:t>r</w:t>
      </w:r>
      <w:r>
        <w:rPr>
          <w:color w:val="231F20"/>
          <w:spacing w:val="2"/>
        </w:rPr>
        <w:t>i</w:t>
      </w:r>
      <w:r>
        <w:rPr>
          <w:color w:val="231F20"/>
          <w:spacing w:val="-2"/>
          <w:w w:val="106"/>
        </w:rPr>
        <w:t>k</w:t>
      </w:r>
      <w:r>
        <w:rPr>
          <w:color w:val="231F20"/>
          <w:spacing w:val="2"/>
          <w:w w:val="91"/>
        </w:rPr>
        <w:t>e</w:t>
      </w:r>
      <w:r>
        <w:rPr>
          <w:color w:val="231F20"/>
          <w:w w:val="135"/>
        </w:rPr>
        <w:t>,</w:t>
      </w:r>
      <w:r>
        <w:rPr>
          <w:color w:val="231F20"/>
          <w:spacing w:val="6"/>
        </w:rPr>
        <w:t xml:space="preserve"> </w:t>
      </w:r>
      <w:r>
        <w:rPr>
          <w:color w:val="231F20"/>
          <w:spacing w:val="2"/>
        </w:rPr>
        <w:t>i</w:t>
      </w:r>
      <w:r>
        <w:rPr>
          <w:color w:val="231F20"/>
          <w:w w:val="99"/>
        </w:rPr>
        <w:t>n</w:t>
      </w:r>
      <w:r>
        <w:rPr>
          <w:color w:val="231F20"/>
          <w:spacing w:val="6"/>
        </w:rPr>
        <w:t xml:space="preserve"> </w:t>
      </w:r>
      <w:r>
        <w:rPr>
          <w:color w:val="231F20"/>
          <w:spacing w:val="2"/>
          <w:w w:val="98"/>
        </w:rPr>
        <w:t>t</w:t>
      </w:r>
      <w:r>
        <w:rPr>
          <w:color w:val="231F20"/>
          <w:spacing w:val="-1"/>
        </w:rPr>
        <w:t>h</w:t>
      </w:r>
      <w:r>
        <w:rPr>
          <w:color w:val="231F20"/>
          <w:w w:val="91"/>
        </w:rPr>
        <w:t>e</w:t>
      </w:r>
      <w:r>
        <w:rPr>
          <w:color w:val="231F20"/>
          <w:spacing w:val="6"/>
        </w:rPr>
        <w:t xml:space="preserve"> </w:t>
      </w:r>
      <w:r>
        <w:rPr>
          <w:color w:val="231F20"/>
          <w:spacing w:val="3"/>
        </w:rPr>
        <w:t>w</w:t>
      </w:r>
      <w:r>
        <w:rPr>
          <w:color w:val="231F20"/>
          <w:spacing w:val="2"/>
        </w:rPr>
        <w:t>i</w:t>
      </w:r>
      <w:r>
        <w:rPr>
          <w:color w:val="231F20"/>
          <w:spacing w:val="-2"/>
          <w:w w:val="99"/>
        </w:rPr>
        <w:t>n</w:t>
      </w:r>
      <w:r>
        <w:rPr>
          <w:color w:val="231F20"/>
          <w:w w:val="98"/>
        </w:rPr>
        <w:t>t</w:t>
      </w:r>
      <w:r>
        <w:rPr>
          <w:color w:val="231F20"/>
          <w:w w:val="92"/>
        </w:rPr>
        <w:t>er</w:t>
      </w:r>
      <w:r>
        <w:rPr>
          <w:color w:val="231F20"/>
          <w:spacing w:val="6"/>
        </w:rPr>
        <w:t xml:space="preserve"> </w:t>
      </w:r>
      <w:r>
        <w:rPr>
          <w:color w:val="231F20"/>
          <w:spacing w:val="-2"/>
          <w:w w:val="104"/>
        </w:rPr>
        <w:t>o</w:t>
      </w:r>
      <w:r>
        <w:rPr>
          <w:color w:val="231F20"/>
          <w:w w:val="109"/>
        </w:rPr>
        <w:t>f</w:t>
      </w:r>
      <w:r>
        <w:rPr>
          <w:color w:val="231F20"/>
          <w:spacing w:val="7"/>
        </w:rPr>
        <w:t xml:space="preserve"> </w:t>
      </w:r>
      <w:r>
        <w:rPr>
          <w:color w:val="231F20"/>
          <w:spacing w:val="-10"/>
        </w:rPr>
        <w:t>1</w:t>
      </w:r>
      <w:r>
        <w:rPr>
          <w:color w:val="231F20"/>
          <w:spacing w:val="-1"/>
        </w:rPr>
        <w:t>9</w:t>
      </w:r>
      <w:r>
        <w:rPr>
          <w:color w:val="231F20"/>
          <w:spacing w:val="-16"/>
        </w:rPr>
        <w:t>7</w:t>
      </w:r>
      <w:r>
        <w:rPr>
          <w:color w:val="231F20"/>
          <w:spacing w:val="6"/>
        </w:rPr>
        <w:t>4</w:t>
      </w:r>
      <w:r>
        <w:rPr>
          <w:color w:val="231F20"/>
          <w:spacing w:val="-3"/>
          <w:w w:val="56"/>
        </w:rPr>
        <w:t>/</w:t>
      </w:r>
      <w:r>
        <w:rPr>
          <w:color w:val="231F20"/>
          <w:spacing w:val="-12"/>
        </w:rPr>
        <w:t>7</w:t>
      </w:r>
      <w:r>
        <w:rPr>
          <w:color w:val="231F20"/>
          <w:spacing w:val="-8"/>
        </w:rPr>
        <w:t>5</w:t>
      </w:r>
      <w:r>
        <w:rPr>
          <w:color w:val="231F20"/>
          <w:w w:val="135"/>
        </w:rPr>
        <w:t>.</w:t>
      </w:r>
      <w:r>
        <w:rPr>
          <w:color w:val="231F20"/>
          <w:spacing w:val="6"/>
        </w:rPr>
        <w:t xml:space="preserve"> </w:t>
      </w:r>
      <w:r>
        <w:rPr>
          <w:color w:val="231F20"/>
          <w:spacing w:val="-14"/>
          <w:w w:val="112"/>
        </w:rPr>
        <w:t>T</w:t>
      </w:r>
      <w:r>
        <w:rPr>
          <w:color w:val="231F20"/>
          <w:w w:val="91"/>
        </w:rPr>
        <w:t>e</w:t>
      </w:r>
      <w:r>
        <w:rPr>
          <w:color w:val="231F20"/>
          <w:spacing w:val="-2"/>
          <w:w w:val="99"/>
        </w:rPr>
        <w:t>m</w:t>
      </w:r>
      <w:r>
        <w:rPr>
          <w:color w:val="231F20"/>
          <w:w w:val="99"/>
        </w:rPr>
        <w:t>pt</w:t>
      </w:r>
      <w:r>
        <w:rPr>
          <w:color w:val="231F20"/>
          <w:w w:val="91"/>
        </w:rPr>
        <w:t>e</w:t>
      </w:r>
      <w:r>
        <w:rPr>
          <w:color w:val="231F20"/>
        </w:rPr>
        <w:t xml:space="preserve">d with offers of leniency and threatened with a murder charge going back to Hamburg police officer Norbert Schmid in </w:t>
      </w:r>
      <w:r>
        <w:rPr>
          <w:color w:val="231F20"/>
          <w:spacing w:val="-4"/>
        </w:rPr>
        <w:t xml:space="preserve">1971, </w:t>
      </w:r>
      <w:r>
        <w:rPr>
          <w:color w:val="231F20"/>
        </w:rPr>
        <w:t>he agreed to work for the</w:t>
      </w:r>
      <w:r>
        <w:rPr>
          <w:color w:val="231F20"/>
          <w:spacing w:val="21"/>
        </w:rPr>
        <w:t xml:space="preserve"> </w:t>
      </w:r>
      <w:r>
        <w:rPr>
          <w:color w:val="231F20"/>
        </w:rPr>
        <w:t>prosecution.</w:t>
      </w:r>
    </w:p>
    <w:p w14:paraId="4B9112A7" w14:textId="77777777" w:rsidR="002653E8" w:rsidRDefault="003115E3">
      <w:pPr>
        <w:pStyle w:val="a3"/>
        <w:spacing w:line="264" w:lineRule="auto"/>
        <w:ind w:left="1147" w:right="1326" w:firstLine="210"/>
        <w:jc w:val="both"/>
        <w:rPr>
          <w:sz w:val="11"/>
        </w:rPr>
      </w:pPr>
      <w:r>
        <w:rPr>
          <w:color w:val="231F20"/>
        </w:rPr>
        <w:t xml:space="preserve">The murder case was dropped, and the charges relating to the May Offensive—for which he could have received </w:t>
      </w:r>
      <w:r>
        <w:rPr>
          <w:color w:val="231F20"/>
          <w:spacing w:val="1"/>
        </w:rPr>
        <w:t xml:space="preserve">life—culminated </w:t>
      </w:r>
      <w:r>
        <w:rPr>
          <w:color w:val="231F20"/>
        </w:rPr>
        <w:t>in a tenyear sentence, of which he was only required to serve half.</w:t>
      </w:r>
      <w:r>
        <w:rPr>
          <w:color w:val="231F20"/>
          <w:position w:val="7"/>
          <w:sz w:val="11"/>
        </w:rPr>
        <w:t xml:space="preserve">1 </w:t>
      </w:r>
      <w:r>
        <w:rPr>
          <w:color w:val="231F20"/>
        </w:rPr>
        <w:t>The deal  was further sweetened with offers of a new identity and the possibil ity of selling his story for a considerable sum.</w:t>
      </w:r>
      <w:r>
        <w:rPr>
          <w:color w:val="231F20"/>
          <w:position w:val="7"/>
          <w:sz w:val="11"/>
        </w:rPr>
        <w:t xml:space="preserve">2 </w:t>
      </w:r>
      <w:r>
        <w:rPr>
          <w:color w:val="231F20"/>
        </w:rPr>
        <w:t>He eventually received 500,000</w:t>
      </w:r>
      <w:r>
        <w:rPr>
          <w:color w:val="231F20"/>
          <w:spacing w:val="-11"/>
        </w:rPr>
        <w:t xml:space="preserve"> </w:t>
      </w:r>
      <w:r>
        <w:rPr>
          <w:color w:val="231F20"/>
        </w:rPr>
        <w:t>dm</w:t>
      </w:r>
      <w:r>
        <w:rPr>
          <w:color w:val="231F20"/>
          <w:spacing w:val="11"/>
        </w:rPr>
        <w:t xml:space="preserve"> </w:t>
      </w:r>
      <w:r>
        <w:rPr>
          <w:color w:val="231F20"/>
        </w:rPr>
        <w:t>and</w:t>
      </w:r>
      <w:r>
        <w:rPr>
          <w:color w:val="231F20"/>
          <w:spacing w:val="11"/>
        </w:rPr>
        <w:t xml:space="preserve"> </w:t>
      </w:r>
      <w:r>
        <w:rPr>
          <w:color w:val="231F20"/>
        </w:rPr>
        <w:t>was</w:t>
      </w:r>
      <w:r>
        <w:rPr>
          <w:color w:val="231F20"/>
          <w:spacing w:val="11"/>
        </w:rPr>
        <w:t xml:space="preserve"> </w:t>
      </w:r>
      <w:r>
        <w:rPr>
          <w:color w:val="231F20"/>
        </w:rPr>
        <w:t>relocated</w:t>
      </w:r>
      <w:r>
        <w:rPr>
          <w:color w:val="231F20"/>
          <w:spacing w:val="11"/>
        </w:rPr>
        <w:t xml:space="preserve"> </w:t>
      </w:r>
      <w:r>
        <w:rPr>
          <w:color w:val="231F20"/>
        </w:rPr>
        <w:t>to</w:t>
      </w:r>
      <w:r>
        <w:rPr>
          <w:color w:val="231F20"/>
          <w:spacing w:val="11"/>
        </w:rPr>
        <w:t xml:space="preserve"> </w:t>
      </w:r>
      <w:r>
        <w:rPr>
          <w:color w:val="231F20"/>
        </w:rPr>
        <w:t>the</w:t>
      </w:r>
      <w:r>
        <w:rPr>
          <w:color w:val="231F20"/>
          <w:spacing w:val="11"/>
        </w:rPr>
        <w:t xml:space="preserve"> </w:t>
      </w:r>
      <w:r>
        <w:rPr>
          <w:color w:val="231F20"/>
        </w:rPr>
        <w:t>United</w:t>
      </w:r>
      <w:r>
        <w:rPr>
          <w:color w:val="231F20"/>
          <w:spacing w:val="11"/>
        </w:rPr>
        <w:t xml:space="preserve"> </w:t>
      </w:r>
      <w:r>
        <w:rPr>
          <w:color w:val="231F20"/>
        </w:rPr>
        <w:t>States.</w:t>
      </w:r>
      <w:r>
        <w:rPr>
          <w:color w:val="231F20"/>
          <w:position w:val="7"/>
          <w:sz w:val="11"/>
        </w:rPr>
        <w:t>3</w:t>
      </w:r>
    </w:p>
    <w:p w14:paraId="17856E2E" w14:textId="77777777" w:rsidR="002653E8" w:rsidRDefault="003115E3">
      <w:pPr>
        <w:pStyle w:val="a3"/>
        <w:spacing w:line="264" w:lineRule="auto"/>
        <w:ind w:left="1148" w:right="1325" w:firstLine="209"/>
        <w:jc w:val="both"/>
      </w:pPr>
      <w:r>
        <w:rPr>
          <w:color w:val="231F20"/>
          <w:spacing w:val="1"/>
        </w:rPr>
        <w:t xml:space="preserve">In </w:t>
      </w:r>
      <w:r>
        <w:rPr>
          <w:color w:val="231F20"/>
        </w:rPr>
        <w:t xml:space="preserve">exchange, Müller painted a nightmare picture of the </w:t>
      </w:r>
      <w:r w:rsidR="00C507A5">
        <w:rPr>
          <w:color w:val="231F20"/>
          <w:spacing w:val="5"/>
        </w:rPr>
        <w:t>red army faction</w:t>
      </w:r>
      <w:r>
        <w:rPr>
          <w:color w:val="231F20"/>
          <w:spacing w:val="5"/>
        </w:rPr>
        <w:t xml:space="preserve"> </w:t>
      </w:r>
      <w:r>
        <w:rPr>
          <w:color w:val="231F20"/>
        </w:rPr>
        <w:t xml:space="preserve">as bru tal killers, accusing Baader in particular of having executed one member, Ingeborg </w:t>
      </w:r>
      <w:r>
        <w:rPr>
          <w:color w:val="231F20"/>
          <w:spacing w:val="1"/>
        </w:rPr>
        <w:t xml:space="preserve">Barz, </w:t>
      </w:r>
      <w:r>
        <w:rPr>
          <w:color w:val="231F20"/>
        </w:rPr>
        <w:t>simply because she wished to opt out of the guerilla struggle.</w:t>
      </w:r>
    </w:p>
    <w:p w14:paraId="74E0A88F" w14:textId="77777777" w:rsidR="002653E8" w:rsidRDefault="003115E3">
      <w:pPr>
        <w:pStyle w:val="a3"/>
        <w:spacing w:line="264" w:lineRule="auto"/>
        <w:ind w:left="1147" w:right="1325" w:firstLine="210"/>
        <w:jc w:val="both"/>
        <w:rPr>
          <w:sz w:val="11"/>
        </w:rPr>
      </w:pPr>
      <w:r>
        <w:rPr>
          <w:color w:val="231F20"/>
        </w:rPr>
        <w:t xml:space="preserve">Barz had joined the </w:t>
      </w:r>
      <w:r w:rsidR="00C507A5">
        <w:rPr>
          <w:color w:val="231F20"/>
          <w:spacing w:val="5"/>
        </w:rPr>
        <w:t>red army faction</w:t>
      </w:r>
      <w:r>
        <w:rPr>
          <w:color w:val="231F20"/>
          <w:spacing w:val="5"/>
        </w:rPr>
        <w:t xml:space="preserve"> </w:t>
      </w:r>
      <w:r>
        <w:rPr>
          <w:color w:val="231F20"/>
        </w:rPr>
        <w:t xml:space="preserve">in </w:t>
      </w:r>
      <w:r>
        <w:rPr>
          <w:color w:val="231F20"/>
          <w:spacing w:val="-4"/>
        </w:rPr>
        <w:t xml:space="preserve">1971 </w:t>
      </w:r>
      <w:r>
        <w:rPr>
          <w:color w:val="231F20"/>
        </w:rPr>
        <w:t>along with Wolfgang Grundmann; they had both been previously active in the anarchist  prisoner  support group Black Aid.</w:t>
      </w:r>
      <w:r>
        <w:rPr>
          <w:color w:val="231F20"/>
          <w:position w:val="7"/>
          <w:sz w:val="11"/>
        </w:rPr>
        <w:t xml:space="preserve">4 </w:t>
      </w:r>
      <w:r>
        <w:rPr>
          <w:color w:val="231F20"/>
        </w:rPr>
        <w:t>While  she  is  known  to  have  participated  in  the Kaiserslautern bank robbery during which police officer Herbert Schoner was killed, she was never apprehended, nor did she ever surface from the underground. Disputing Müller’s claims, witnesses subsequently came forward testifying that they had met with Barz after this supposed execution, and when Müller brought police to the place where she</w:t>
      </w:r>
      <w:r>
        <w:rPr>
          <w:color w:val="231F20"/>
          <w:spacing w:val="10"/>
        </w:rPr>
        <w:t xml:space="preserve"> </w:t>
      </w:r>
      <w:r>
        <w:rPr>
          <w:color w:val="231F20"/>
        </w:rPr>
        <w:t>was</w:t>
      </w:r>
      <w:r>
        <w:rPr>
          <w:color w:val="231F20"/>
          <w:spacing w:val="10"/>
        </w:rPr>
        <w:t xml:space="preserve"> </w:t>
      </w:r>
      <w:r>
        <w:rPr>
          <w:color w:val="231F20"/>
        </w:rPr>
        <w:t>supposedly</w:t>
      </w:r>
      <w:r>
        <w:rPr>
          <w:color w:val="231F20"/>
          <w:spacing w:val="10"/>
        </w:rPr>
        <w:t xml:space="preserve"> </w:t>
      </w:r>
      <w:r>
        <w:rPr>
          <w:color w:val="231F20"/>
        </w:rPr>
        <w:t>buried,</w:t>
      </w:r>
      <w:r>
        <w:rPr>
          <w:color w:val="231F20"/>
          <w:spacing w:val="10"/>
        </w:rPr>
        <w:t xml:space="preserve"> </w:t>
      </w:r>
      <w:r>
        <w:rPr>
          <w:color w:val="231F20"/>
        </w:rPr>
        <w:t>they</w:t>
      </w:r>
      <w:r>
        <w:rPr>
          <w:color w:val="231F20"/>
          <w:spacing w:val="10"/>
        </w:rPr>
        <w:t xml:space="preserve"> </w:t>
      </w:r>
      <w:r>
        <w:rPr>
          <w:color w:val="231F20"/>
        </w:rPr>
        <w:t>found</w:t>
      </w:r>
      <w:r>
        <w:rPr>
          <w:color w:val="231F20"/>
          <w:spacing w:val="10"/>
        </w:rPr>
        <w:t xml:space="preserve"> </w:t>
      </w:r>
      <w:r>
        <w:rPr>
          <w:color w:val="231F20"/>
        </w:rPr>
        <w:t>nothing</w:t>
      </w:r>
      <w:r>
        <w:rPr>
          <w:color w:val="231F20"/>
          <w:spacing w:val="10"/>
        </w:rPr>
        <w:t xml:space="preserve"> </w:t>
      </w:r>
      <w:r>
        <w:rPr>
          <w:color w:val="231F20"/>
        </w:rPr>
        <w:t>there.</w:t>
      </w:r>
      <w:r>
        <w:rPr>
          <w:color w:val="231F20"/>
          <w:position w:val="7"/>
          <w:sz w:val="11"/>
        </w:rPr>
        <w:t>5</w:t>
      </w:r>
    </w:p>
    <w:p w14:paraId="69AF6B96" w14:textId="77777777" w:rsidR="002653E8" w:rsidRDefault="003115E3">
      <w:pPr>
        <w:pStyle w:val="a3"/>
        <w:spacing w:line="264" w:lineRule="auto"/>
        <w:ind w:left="1147" w:right="1317" w:firstLine="210"/>
        <w:jc w:val="both"/>
      </w:pPr>
      <w:r>
        <w:rPr>
          <w:color w:val="231F20"/>
        </w:rPr>
        <w:t xml:space="preserve">Brigitte Mohnhaupt took the witness stand to refute this story, describing in detail the various ways in which people might leave the guerilla, and insisting that, even in the case of traitors, the </w:t>
      </w:r>
      <w:r w:rsidR="00C507A5">
        <w:rPr>
          <w:color w:val="231F20"/>
        </w:rPr>
        <w:t>red army faction</w:t>
      </w:r>
      <w:r>
        <w:rPr>
          <w:color w:val="231F20"/>
        </w:rPr>
        <w:t xml:space="preserve"> had not carried out any executions. Given the growing list of former members who worked with the media and Buback’s prosecutors against the </w:t>
      </w:r>
      <w:r w:rsidR="00C507A5">
        <w:rPr>
          <w:color w:val="231F20"/>
        </w:rPr>
        <w:t>red army faction</w:t>
      </w:r>
      <w:r>
        <w:rPr>
          <w:color w:val="231F20"/>
        </w:rPr>
        <w:t xml:space="preserve"> and the glaring fact that none of them had been killed, Mohnhaupt’s statements were far more credible than Müller’s.</w:t>
      </w:r>
    </w:p>
    <w:p w14:paraId="09BF3A3A" w14:textId="77777777" w:rsidR="002653E8" w:rsidRDefault="003115E3">
      <w:pPr>
        <w:pStyle w:val="a3"/>
        <w:spacing w:line="264" w:lineRule="auto"/>
        <w:ind w:left="1148" w:right="1326" w:firstLine="210"/>
        <w:jc w:val="both"/>
      </w:pPr>
      <w:r>
        <w:rPr>
          <w:color w:val="231F20"/>
        </w:rPr>
        <w:t>Another somewhat less important witness for the prosecution was Dierk Hoff, a metalworker and former SDS member from the Frankfurt</w:t>
      </w:r>
    </w:p>
    <w:p w14:paraId="082989A8" w14:textId="77777777" w:rsidR="002653E8" w:rsidRDefault="00000000">
      <w:pPr>
        <w:pStyle w:val="a3"/>
        <w:spacing w:before="5"/>
        <w:rPr>
          <w:sz w:val="23"/>
        </w:rPr>
      </w:pPr>
      <w:r>
        <w:rPr>
          <w:noProof w:val="0"/>
        </w:rPr>
        <w:pict w14:anchorId="50EFFDFA">
          <v:line id="_x0000_s2317" style="position:absolute;z-index:7888;mso-wrap-distance-left:0;mso-wrap-distance-right:0;mso-position-horizontal-relative:page" from="57.4pt,15.95pt" to="129.4pt,15.95pt" strokecolor="#231f20" strokeweight=".5pt">
            <w10:wrap type="topAndBottom" anchorx="page"/>
          </v:line>
        </w:pict>
      </w:r>
    </w:p>
    <w:p w14:paraId="3C92A98E" w14:textId="77777777" w:rsidR="002653E8" w:rsidRDefault="003115E3">
      <w:pPr>
        <w:spacing w:before="53"/>
        <w:ind w:left="1147"/>
        <w:rPr>
          <w:sz w:val="16"/>
        </w:rPr>
      </w:pPr>
      <w:r>
        <w:rPr>
          <w:color w:val="231F20"/>
          <w:w w:val="110"/>
          <w:sz w:val="16"/>
        </w:rPr>
        <w:t>1 Aust, 164.</w:t>
      </w:r>
    </w:p>
    <w:p w14:paraId="617F76EA" w14:textId="77777777" w:rsidR="002653E8" w:rsidRDefault="003115E3">
      <w:pPr>
        <w:spacing w:before="51"/>
        <w:ind w:left="1147"/>
        <w:rPr>
          <w:sz w:val="16"/>
        </w:rPr>
      </w:pPr>
      <w:r>
        <w:rPr>
          <w:color w:val="231F20"/>
          <w:w w:val="115"/>
          <w:sz w:val="16"/>
        </w:rPr>
        <w:t>2 Ibid., 360.</w:t>
      </w:r>
    </w:p>
    <w:p w14:paraId="7201D00A" w14:textId="77777777" w:rsidR="002653E8" w:rsidRPr="00C507A5" w:rsidRDefault="003115E3">
      <w:pPr>
        <w:pStyle w:val="a4"/>
        <w:numPr>
          <w:ilvl w:val="0"/>
          <w:numId w:val="91"/>
        </w:numPr>
        <w:tabs>
          <w:tab w:val="left" w:pos="1287"/>
        </w:tabs>
        <w:spacing w:before="52" w:line="254" w:lineRule="auto"/>
        <w:ind w:right="1365" w:firstLine="0"/>
        <w:rPr>
          <w:sz w:val="16"/>
          <w:lang w:val="de-DE"/>
        </w:rPr>
      </w:pPr>
      <w:r w:rsidRPr="00C507A5">
        <w:rPr>
          <w:color w:val="231F20"/>
          <w:w w:val="105"/>
          <w:sz w:val="16"/>
          <w:lang w:val="de-DE"/>
        </w:rPr>
        <w:t xml:space="preserve">Christiane Ensslin and Klaus Jünschke, “Stimmen aus </w:t>
      </w:r>
      <w:r w:rsidRPr="00C507A5">
        <w:rPr>
          <w:color w:val="231F20"/>
          <w:spacing w:val="1"/>
          <w:w w:val="105"/>
          <w:sz w:val="16"/>
          <w:lang w:val="de-DE"/>
        </w:rPr>
        <w:t xml:space="preserve">Stammheim: </w:t>
      </w:r>
      <w:r w:rsidRPr="00C507A5">
        <w:rPr>
          <w:color w:val="231F20"/>
          <w:w w:val="105"/>
          <w:sz w:val="16"/>
          <w:lang w:val="de-DE"/>
        </w:rPr>
        <w:t>Isolationshaft  ist</w:t>
      </w:r>
      <w:r w:rsidRPr="00C507A5">
        <w:rPr>
          <w:color w:val="231F20"/>
          <w:spacing w:val="13"/>
          <w:w w:val="105"/>
          <w:sz w:val="16"/>
          <w:lang w:val="de-DE"/>
        </w:rPr>
        <w:t xml:space="preserve"> </w:t>
      </w:r>
      <w:r w:rsidRPr="00C507A5">
        <w:rPr>
          <w:color w:val="231F20"/>
          <w:w w:val="105"/>
          <w:sz w:val="16"/>
          <w:lang w:val="de-DE"/>
        </w:rPr>
        <w:t>kein</w:t>
      </w:r>
      <w:r w:rsidRPr="00C507A5">
        <w:rPr>
          <w:color w:val="231F20"/>
          <w:spacing w:val="13"/>
          <w:w w:val="105"/>
          <w:sz w:val="16"/>
          <w:lang w:val="de-DE"/>
        </w:rPr>
        <w:t xml:space="preserve"> </w:t>
      </w:r>
      <w:r w:rsidRPr="00C507A5">
        <w:rPr>
          <w:color w:val="231F20"/>
          <w:w w:val="105"/>
          <w:sz w:val="16"/>
          <w:lang w:val="de-DE"/>
        </w:rPr>
        <w:t>Mythos,”</w:t>
      </w:r>
      <w:r w:rsidRPr="00C507A5">
        <w:rPr>
          <w:color w:val="231F20"/>
          <w:spacing w:val="15"/>
          <w:w w:val="105"/>
          <w:sz w:val="16"/>
          <w:lang w:val="de-DE"/>
        </w:rPr>
        <w:t xml:space="preserve"> </w:t>
      </w:r>
      <w:r w:rsidRPr="00C507A5">
        <w:rPr>
          <w:i/>
          <w:color w:val="231F20"/>
          <w:spacing w:val="1"/>
          <w:w w:val="105"/>
          <w:sz w:val="16"/>
          <w:lang w:val="de-DE"/>
        </w:rPr>
        <w:t>Neue</w:t>
      </w:r>
      <w:r w:rsidRPr="00C507A5">
        <w:rPr>
          <w:i/>
          <w:color w:val="231F20"/>
          <w:spacing w:val="13"/>
          <w:w w:val="105"/>
          <w:sz w:val="16"/>
          <w:lang w:val="de-DE"/>
        </w:rPr>
        <w:t xml:space="preserve"> </w:t>
      </w:r>
      <w:r w:rsidRPr="00C507A5">
        <w:rPr>
          <w:i/>
          <w:color w:val="231F20"/>
          <w:w w:val="105"/>
          <w:sz w:val="16"/>
          <w:lang w:val="de-DE"/>
        </w:rPr>
        <w:t>Rheinische</w:t>
      </w:r>
      <w:r w:rsidRPr="00C507A5">
        <w:rPr>
          <w:i/>
          <w:color w:val="231F20"/>
          <w:spacing w:val="13"/>
          <w:w w:val="105"/>
          <w:sz w:val="16"/>
          <w:lang w:val="de-DE"/>
        </w:rPr>
        <w:t xml:space="preserve"> </w:t>
      </w:r>
      <w:r w:rsidRPr="00C507A5">
        <w:rPr>
          <w:i/>
          <w:color w:val="231F20"/>
          <w:w w:val="105"/>
          <w:sz w:val="16"/>
          <w:lang w:val="de-DE"/>
        </w:rPr>
        <w:t>Zeitung</w:t>
      </w:r>
      <w:r w:rsidRPr="00C507A5">
        <w:rPr>
          <w:i/>
          <w:color w:val="231F20"/>
          <w:spacing w:val="15"/>
          <w:w w:val="105"/>
          <w:sz w:val="16"/>
          <w:lang w:val="de-DE"/>
        </w:rPr>
        <w:t xml:space="preserve"> </w:t>
      </w:r>
      <w:r w:rsidRPr="00C507A5">
        <w:rPr>
          <w:color w:val="231F20"/>
          <w:w w:val="105"/>
          <w:sz w:val="16"/>
          <w:lang w:val="de-DE"/>
        </w:rPr>
        <w:t>[online],</w:t>
      </w:r>
      <w:r w:rsidRPr="00C507A5">
        <w:rPr>
          <w:color w:val="231F20"/>
          <w:spacing w:val="13"/>
          <w:w w:val="105"/>
          <w:sz w:val="16"/>
          <w:lang w:val="de-DE"/>
        </w:rPr>
        <w:t xml:space="preserve"> </w:t>
      </w:r>
      <w:r w:rsidRPr="00C507A5">
        <w:rPr>
          <w:color w:val="231F20"/>
          <w:w w:val="105"/>
          <w:sz w:val="16"/>
          <w:lang w:val="de-DE"/>
        </w:rPr>
        <w:t>August</w:t>
      </w:r>
      <w:r w:rsidRPr="00C507A5">
        <w:rPr>
          <w:color w:val="231F20"/>
          <w:spacing w:val="15"/>
          <w:w w:val="105"/>
          <w:sz w:val="16"/>
          <w:lang w:val="de-DE"/>
        </w:rPr>
        <w:t xml:space="preserve"> </w:t>
      </w:r>
      <w:r w:rsidRPr="00C507A5">
        <w:rPr>
          <w:color w:val="231F20"/>
          <w:w w:val="105"/>
          <w:sz w:val="16"/>
          <w:lang w:val="de-DE"/>
        </w:rPr>
        <w:t>8,</w:t>
      </w:r>
      <w:r w:rsidRPr="00C507A5">
        <w:rPr>
          <w:color w:val="231F20"/>
          <w:spacing w:val="13"/>
          <w:w w:val="105"/>
          <w:sz w:val="16"/>
          <w:lang w:val="de-DE"/>
        </w:rPr>
        <w:t xml:space="preserve"> </w:t>
      </w:r>
      <w:r w:rsidRPr="00C507A5">
        <w:rPr>
          <w:color w:val="231F20"/>
          <w:w w:val="105"/>
          <w:sz w:val="16"/>
          <w:lang w:val="de-DE"/>
        </w:rPr>
        <w:t>2007.</w:t>
      </w:r>
    </w:p>
    <w:p w14:paraId="4A96F217" w14:textId="77777777" w:rsidR="002653E8" w:rsidRDefault="003115E3">
      <w:pPr>
        <w:pStyle w:val="a4"/>
        <w:numPr>
          <w:ilvl w:val="0"/>
          <w:numId w:val="91"/>
        </w:numPr>
        <w:tabs>
          <w:tab w:val="left" w:pos="1287"/>
        </w:tabs>
        <w:ind w:firstLine="0"/>
        <w:rPr>
          <w:sz w:val="16"/>
        </w:rPr>
      </w:pPr>
      <w:r>
        <w:rPr>
          <w:color w:val="231F20"/>
          <w:w w:val="110"/>
          <w:sz w:val="16"/>
        </w:rPr>
        <w:t>Becker,</w:t>
      </w:r>
      <w:r>
        <w:rPr>
          <w:color w:val="231F20"/>
          <w:spacing w:val="6"/>
          <w:w w:val="110"/>
          <w:sz w:val="16"/>
        </w:rPr>
        <w:t xml:space="preserve"> </w:t>
      </w:r>
      <w:r>
        <w:rPr>
          <w:color w:val="231F20"/>
          <w:spacing w:val="-3"/>
          <w:w w:val="110"/>
          <w:sz w:val="16"/>
        </w:rPr>
        <w:t>273.</w:t>
      </w:r>
    </w:p>
    <w:p w14:paraId="1BD229E9" w14:textId="77777777" w:rsidR="002653E8" w:rsidRDefault="003115E3">
      <w:pPr>
        <w:spacing w:before="51"/>
        <w:ind w:left="1147"/>
        <w:rPr>
          <w:sz w:val="16"/>
        </w:rPr>
      </w:pPr>
      <w:r>
        <w:rPr>
          <w:color w:val="231F20"/>
          <w:w w:val="110"/>
          <w:sz w:val="16"/>
        </w:rPr>
        <w:t>5 Aust, 362-363.</w:t>
      </w:r>
    </w:p>
    <w:p w14:paraId="689E830B" w14:textId="77777777" w:rsidR="002653E8" w:rsidRDefault="002653E8">
      <w:pPr>
        <w:rPr>
          <w:sz w:val="16"/>
        </w:rPr>
        <w:sectPr w:rsidR="002653E8">
          <w:footerReference w:type="even" r:id="rId300"/>
          <w:footerReference w:type="default" r:id="rId301"/>
          <w:pgSz w:w="8640" w:h="12960"/>
          <w:pgMar w:top="1060" w:right="0" w:bottom="1040" w:left="0" w:header="0" w:footer="850" w:gutter="0"/>
          <w:pgNumType w:start="352"/>
          <w:cols w:space="720"/>
        </w:sectPr>
      </w:pPr>
    </w:p>
    <w:p w14:paraId="24162E11" w14:textId="77777777" w:rsidR="002653E8" w:rsidRDefault="003115E3">
      <w:pPr>
        <w:pStyle w:val="a3"/>
        <w:spacing w:before="86" w:line="264" w:lineRule="auto"/>
        <w:ind w:left="1327" w:right="1146"/>
        <w:jc w:val="both"/>
      </w:pPr>
      <w:r>
        <w:rPr>
          <w:color w:val="231F20"/>
        </w:rPr>
        <w:lastRenderedPageBreak/>
        <w:t>scene. Hoff, who had built bombs and other weapons for the guerilla, testified that he had not realized what he was doing at the time. He claimed that Holger Meins, the conveniently dead former film student, had</w:t>
      </w:r>
      <w:r>
        <w:rPr>
          <w:color w:val="231F20"/>
          <w:spacing w:val="-3"/>
        </w:rPr>
        <w:t xml:space="preserve"> </w:t>
      </w:r>
      <w:r>
        <w:rPr>
          <w:color w:val="231F20"/>
        </w:rPr>
        <w:t>put</w:t>
      </w:r>
      <w:r>
        <w:rPr>
          <w:color w:val="231F20"/>
          <w:spacing w:val="-3"/>
        </w:rPr>
        <w:t xml:space="preserve"> </w:t>
      </w:r>
      <w:r>
        <w:rPr>
          <w:color w:val="231F20"/>
        </w:rPr>
        <w:t>him</w:t>
      </w:r>
      <w:r>
        <w:rPr>
          <w:color w:val="231F20"/>
          <w:spacing w:val="-3"/>
        </w:rPr>
        <w:t xml:space="preserve"> </w:t>
      </w:r>
      <w:r>
        <w:rPr>
          <w:color w:val="231F20"/>
        </w:rPr>
        <w:t>up</w:t>
      </w:r>
      <w:r>
        <w:rPr>
          <w:color w:val="231F20"/>
          <w:spacing w:val="-3"/>
        </w:rPr>
        <w:t xml:space="preserve"> </w:t>
      </w:r>
      <w:r>
        <w:rPr>
          <w:color w:val="231F20"/>
        </w:rPr>
        <w:t>to</w:t>
      </w:r>
      <w:r>
        <w:rPr>
          <w:color w:val="231F20"/>
          <w:spacing w:val="-3"/>
        </w:rPr>
        <w:t xml:space="preserve"> </w:t>
      </w:r>
      <w:r>
        <w:rPr>
          <w:color w:val="231F20"/>
        </w:rPr>
        <w:t>it</w:t>
      </w:r>
      <w:r>
        <w:rPr>
          <w:color w:val="231F20"/>
          <w:spacing w:val="-3"/>
        </w:rPr>
        <w:t xml:space="preserve"> </w:t>
      </w:r>
      <w:r>
        <w:rPr>
          <w:color w:val="231F20"/>
        </w:rPr>
        <w:t>with</w:t>
      </w:r>
      <w:r>
        <w:rPr>
          <w:color w:val="231F20"/>
          <w:spacing w:val="-3"/>
        </w:rPr>
        <w:t xml:space="preserve"> </w:t>
      </w:r>
      <w:r>
        <w:rPr>
          <w:color w:val="231F20"/>
        </w:rPr>
        <w:t>a</w:t>
      </w:r>
      <w:r>
        <w:rPr>
          <w:color w:val="231F20"/>
          <w:spacing w:val="-3"/>
        </w:rPr>
        <w:t xml:space="preserve"> </w:t>
      </w:r>
      <w:r>
        <w:rPr>
          <w:color w:val="231F20"/>
        </w:rPr>
        <w:t>story</w:t>
      </w:r>
      <w:r>
        <w:rPr>
          <w:color w:val="231F20"/>
          <w:spacing w:val="-3"/>
        </w:rPr>
        <w:t xml:space="preserve"> </w:t>
      </w:r>
      <w:r>
        <w:rPr>
          <w:color w:val="231F20"/>
        </w:rPr>
        <w:t>about</w:t>
      </w:r>
      <w:r>
        <w:rPr>
          <w:color w:val="231F20"/>
          <w:spacing w:val="-3"/>
        </w:rPr>
        <w:t xml:space="preserve"> </w:t>
      </w:r>
      <w:r>
        <w:rPr>
          <w:color w:val="231F20"/>
        </w:rPr>
        <w:t>how</w:t>
      </w:r>
      <w:r>
        <w:rPr>
          <w:color w:val="231F20"/>
          <w:spacing w:val="-3"/>
        </w:rPr>
        <w:t xml:space="preserve"> </w:t>
      </w:r>
      <w:r>
        <w:rPr>
          <w:color w:val="231F20"/>
        </w:rPr>
        <w:t>they</w:t>
      </w:r>
      <w:r>
        <w:rPr>
          <w:color w:val="231F20"/>
          <w:spacing w:val="-3"/>
        </w:rPr>
        <w:t xml:space="preserve"> </w:t>
      </w:r>
      <w:r>
        <w:rPr>
          <w:color w:val="231F20"/>
        </w:rPr>
        <w:t>were</w:t>
      </w:r>
      <w:r>
        <w:rPr>
          <w:color w:val="231F20"/>
          <w:spacing w:val="-3"/>
        </w:rPr>
        <w:t xml:space="preserve"> </w:t>
      </w:r>
      <w:r>
        <w:rPr>
          <w:color w:val="231F20"/>
        </w:rPr>
        <w:t>to</w:t>
      </w:r>
      <w:r>
        <w:rPr>
          <w:color w:val="231F20"/>
          <w:spacing w:val="-3"/>
        </w:rPr>
        <w:t xml:space="preserve"> </w:t>
      </w:r>
      <w:r>
        <w:rPr>
          <w:color w:val="231F20"/>
        </w:rPr>
        <w:t>be</w:t>
      </w:r>
      <w:r>
        <w:rPr>
          <w:color w:val="231F20"/>
          <w:spacing w:val="-3"/>
        </w:rPr>
        <w:t xml:space="preserve"> </w:t>
      </w:r>
      <w:r>
        <w:rPr>
          <w:color w:val="231F20"/>
        </w:rPr>
        <w:t>used</w:t>
      </w:r>
      <w:r>
        <w:rPr>
          <w:color w:val="231F20"/>
          <w:spacing w:val="-3"/>
        </w:rPr>
        <w:t xml:space="preserve"> </w:t>
      </w:r>
      <w:r>
        <w:rPr>
          <w:color w:val="231F20"/>
        </w:rPr>
        <w:t>as</w:t>
      </w:r>
      <w:r>
        <w:rPr>
          <w:color w:val="231F20"/>
          <w:spacing w:val="-3"/>
        </w:rPr>
        <w:t xml:space="preserve"> </w:t>
      </w:r>
      <w:r>
        <w:rPr>
          <w:color w:val="231F20"/>
        </w:rPr>
        <w:t>realistic props in a movie about terrorism. By the time he realized what was what, it was too late: the guerilla warned him that he was too deeply involved</w:t>
      </w:r>
      <w:r>
        <w:rPr>
          <w:color w:val="231F20"/>
          <w:spacing w:val="10"/>
        </w:rPr>
        <w:t xml:space="preserve"> </w:t>
      </w:r>
      <w:r>
        <w:rPr>
          <w:color w:val="231F20"/>
        </w:rPr>
        <w:t>to</w:t>
      </w:r>
      <w:r>
        <w:rPr>
          <w:color w:val="231F20"/>
          <w:spacing w:val="10"/>
        </w:rPr>
        <w:t xml:space="preserve"> </w:t>
      </w:r>
      <w:r>
        <w:rPr>
          <w:color w:val="231F20"/>
        </w:rPr>
        <w:t>be</w:t>
      </w:r>
      <w:r>
        <w:rPr>
          <w:color w:val="231F20"/>
          <w:spacing w:val="10"/>
        </w:rPr>
        <w:t xml:space="preserve"> </w:t>
      </w:r>
      <w:r>
        <w:rPr>
          <w:color w:val="231F20"/>
        </w:rPr>
        <w:t>able</w:t>
      </w:r>
      <w:r>
        <w:rPr>
          <w:color w:val="231F20"/>
          <w:spacing w:val="10"/>
        </w:rPr>
        <w:t xml:space="preserve"> </w:t>
      </w:r>
      <w:r>
        <w:rPr>
          <w:color w:val="231F20"/>
        </w:rPr>
        <w:t>to</w:t>
      </w:r>
      <w:r>
        <w:rPr>
          <w:color w:val="231F20"/>
          <w:spacing w:val="10"/>
        </w:rPr>
        <w:t xml:space="preserve"> </w:t>
      </w:r>
      <w:r>
        <w:rPr>
          <w:color w:val="231F20"/>
        </w:rPr>
        <w:t>go</w:t>
      </w:r>
      <w:r>
        <w:rPr>
          <w:color w:val="231F20"/>
          <w:spacing w:val="10"/>
        </w:rPr>
        <w:t xml:space="preserve"> </w:t>
      </w:r>
      <w:r>
        <w:rPr>
          <w:color w:val="231F20"/>
        </w:rPr>
        <w:t>to</w:t>
      </w:r>
      <w:r>
        <w:rPr>
          <w:color w:val="231F20"/>
          <w:spacing w:val="10"/>
        </w:rPr>
        <w:t xml:space="preserve"> </w:t>
      </w:r>
      <w:r>
        <w:rPr>
          <w:color w:val="231F20"/>
        </w:rPr>
        <w:t>the</w:t>
      </w:r>
      <w:r>
        <w:rPr>
          <w:color w:val="231F20"/>
          <w:spacing w:val="10"/>
        </w:rPr>
        <w:t xml:space="preserve"> </w:t>
      </w:r>
      <w:r>
        <w:rPr>
          <w:color w:val="231F20"/>
        </w:rPr>
        <w:t>police.</w:t>
      </w:r>
    </w:p>
    <w:p w14:paraId="01F1F954" w14:textId="77777777" w:rsidR="002653E8" w:rsidRDefault="003115E3">
      <w:pPr>
        <w:pStyle w:val="a3"/>
        <w:spacing w:line="264" w:lineRule="auto"/>
        <w:ind w:left="1327" w:right="1147" w:firstLine="210"/>
        <w:jc w:val="both"/>
      </w:pPr>
      <w:r>
        <w:rPr>
          <w:color w:val="231F20"/>
          <w:spacing w:val="1"/>
        </w:rPr>
        <w:t xml:space="preserve">In </w:t>
      </w:r>
      <w:r>
        <w:rPr>
          <w:color w:val="231F20"/>
        </w:rPr>
        <w:t>exchange for his cooperation, Hoff’s somewhat incredible story was not challenged by the prosecution, and he received only a short prison term.</w:t>
      </w:r>
      <w:r>
        <w:rPr>
          <w:color w:val="231F20"/>
          <w:position w:val="7"/>
          <w:sz w:val="11"/>
        </w:rPr>
        <w:t xml:space="preserve">6 </w:t>
      </w:r>
      <w:r>
        <w:rPr>
          <w:color w:val="231F20"/>
        </w:rPr>
        <w:t>Despite this, his testimony was not felt to be particularly damaging.</w:t>
      </w:r>
    </w:p>
    <w:p w14:paraId="3AF6B301" w14:textId="77777777" w:rsidR="002653E8" w:rsidRDefault="003115E3">
      <w:pPr>
        <w:pStyle w:val="a3"/>
        <w:spacing w:line="264" w:lineRule="auto"/>
        <w:ind w:left="1327" w:right="1146" w:firstLine="210"/>
        <w:jc w:val="both"/>
      </w:pPr>
      <w:r>
        <w:rPr>
          <w:color w:val="231F20"/>
        </w:rPr>
        <w:t xml:space="preserve">Supporters’ claims that all these broken witnesses were being paraded out not to secure a conviction </w:t>
      </w:r>
      <w:r>
        <w:rPr>
          <w:color w:val="231F20"/>
          <w:spacing w:val="-4"/>
        </w:rPr>
        <w:t xml:space="preserve">(of </w:t>
      </w:r>
      <w:r>
        <w:rPr>
          <w:color w:val="231F20"/>
        </w:rPr>
        <w:t xml:space="preserve">which there was never any doubt) but to discredit the guerilla were vindicated at the eleventh hour as the trial was wrapping up. </w:t>
      </w:r>
      <w:r>
        <w:rPr>
          <w:color w:val="231F20"/>
          <w:spacing w:val="1"/>
        </w:rPr>
        <w:t xml:space="preserve">In </w:t>
      </w:r>
      <w:r>
        <w:rPr>
          <w:color w:val="231F20"/>
        </w:rPr>
        <w:t xml:space="preserve">January </w:t>
      </w:r>
      <w:r>
        <w:rPr>
          <w:color w:val="231F20"/>
          <w:spacing w:val="-6"/>
        </w:rPr>
        <w:t xml:space="preserve">1977,  </w:t>
      </w:r>
      <w:r>
        <w:rPr>
          <w:color w:val="231F20"/>
        </w:rPr>
        <w:t xml:space="preserve">Otto Schily received a   tip that Federal Judge Theodor Prinzing, who was in charge of the trial and was thus supposed to pretend to be impartial, had been passing    on court documents and evidence to a judge from the appeals court. Copies of these documents had then been making their </w:t>
      </w:r>
      <w:r>
        <w:rPr>
          <w:color w:val="231F20"/>
          <w:spacing w:val="-2"/>
        </w:rPr>
        <w:t xml:space="preserve">way </w:t>
      </w:r>
      <w:r>
        <w:rPr>
          <w:color w:val="231F20"/>
        </w:rPr>
        <w:t>to the press, accompanied by suggestions as to how they could be used to discredit the</w:t>
      </w:r>
      <w:r>
        <w:rPr>
          <w:color w:val="231F20"/>
          <w:spacing w:val="10"/>
        </w:rPr>
        <w:t xml:space="preserve"> </w:t>
      </w:r>
      <w:r>
        <w:rPr>
          <w:color w:val="231F20"/>
        </w:rPr>
        <w:t>guerilla.</w:t>
      </w:r>
    </w:p>
    <w:p w14:paraId="253DFCA4" w14:textId="77777777" w:rsidR="002653E8" w:rsidRDefault="003115E3">
      <w:pPr>
        <w:pStyle w:val="a3"/>
        <w:spacing w:line="264" w:lineRule="auto"/>
        <w:ind w:left="1327" w:right="1145" w:firstLine="210"/>
        <w:jc w:val="both"/>
      </w:pPr>
      <w:r>
        <w:rPr>
          <w:color w:val="231F20"/>
        </w:rPr>
        <w:t>In his eagerness to exploit the testimony of Müller and the others, Prinzing had miscalculated, and in so doing provided the defense with one of its few legal victories: the Federal Judge was forced to recuse himself.</w:t>
      </w:r>
      <w:r>
        <w:rPr>
          <w:color w:val="231F20"/>
          <w:position w:val="7"/>
          <w:sz w:val="11"/>
        </w:rPr>
        <w:t xml:space="preserve">7 </w:t>
      </w:r>
      <w:r>
        <w:rPr>
          <w:color w:val="231F20"/>
        </w:rPr>
        <w:t>He was replaced by associate judge Eberhard Foth, and the circus continued.</w:t>
      </w:r>
    </w:p>
    <w:p w14:paraId="5611F0CD" w14:textId="77777777" w:rsidR="002653E8" w:rsidRDefault="003115E3">
      <w:pPr>
        <w:pStyle w:val="a3"/>
        <w:spacing w:line="264" w:lineRule="auto"/>
        <w:ind w:left="1327" w:right="1146" w:firstLine="210"/>
        <w:jc w:val="both"/>
      </w:pPr>
      <w:r>
        <w:rPr>
          <w:color w:val="231F20"/>
        </w:rPr>
        <w:t>Nevertheless, the point had been made: this was a propaganda exercise, coordinated by either the BKA or the BAW, with a purely political goal. In other words, it was a show trial.</w:t>
      </w:r>
    </w:p>
    <w:p w14:paraId="094FBE6B" w14:textId="77777777" w:rsidR="002653E8" w:rsidRDefault="00000000">
      <w:pPr>
        <w:pStyle w:val="a3"/>
        <w:spacing w:line="264" w:lineRule="auto"/>
        <w:ind w:left="1327" w:right="1146" w:firstLine="210"/>
        <w:jc w:val="both"/>
      </w:pPr>
      <w:r>
        <w:rPr>
          <w:noProof w:val="0"/>
        </w:rPr>
        <w:pict w14:anchorId="21EF3145">
          <v:line id="_x0000_s2316" style="position:absolute;left:0;text-align:left;z-index:7912;mso-wrap-distance-left:0;mso-wrap-distance-right:0;mso-position-horizontal-relative:page" from="66.4pt,85.05pt" to="138.4pt,85.05pt" strokecolor="#231f20" strokeweight=".5pt">
            <w10:wrap type="topAndBottom" anchorx="page"/>
          </v:line>
        </w:pict>
      </w:r>
      <w:r w:rsidR="003115E3">
        <w:rPr>
          <w:color w:val="231F20"/>
        </w:rPr>
        <w:t xml:space="preserve">The prisoners defended themselves against all this as best they  could: they may have accepted collective responsibility for all of the attacks the </w:t>
      </w:r>
      <w:r w:rsidR="00C507A5">
        <w:rPr>
          <w:color w:val="231F20"/>
          <w:spacing w:val="5"/>
        </w:rPr>
        <w:t>red army faction</w:t>
      </w:r>
      <w:r w:rsidR="003115E3">
        <w:rPr>
          <w:color w:val="231F20"/>
          <w:spacing w:val="5"/>
        </w:rPr>
        <w:t xml:space="preserve"> </w:t>
      </w:r>
      <w:r w:rsidR="003115E3">
        <w:rPr>
          <w:color w:val="231F20"/>
        </w:rPr>
        <w:t>had carried out, but they were far from indifferent about what was said in court. It was of great importance for them to counter allegations that could easily undermine what support they enjoyed on the</w:t>
      </w:r>
      <w:r w:rsidR="003115E3">
        <w:rPr>
          <w:color w:val="231F20"/>
          <w:spacing w:val="32"/>
        </w:rPr>
        <w:t xml:space="preserve"> </w:t>
      </w:r>
      <w:r w:rsidR="003115E3">
        <w:rPr>
          <w:color w:val="231F20"/>
        </w:rPr>
        <w:t>left.</w:t>
      </w:r>
    </w:p>
    <w:p w14:paraId="5348CF75" w14:textId="77777777" w:rsidR="002653E8" w:rsidRPr="00C507A5" w:rsidRDefault="003115E3">
      <w:pPr>
        <w:spacing w:before="53" w:line="254" w:lineRule="auto"/>
        <w:ind w:left="1328" w:right="1264" w:hanging="1"/>
        <w:rPr>
          <w:sz w:val="16"/>
          <w:lang w:val="de-DE"/>
        </w:rPr>
      </w:pPr>
      <w:r w:rsidRPr="00C507A5">
        <w:rPr>
          <w:color w:val="231F20"/>
          <w:sz w:val="16"/>
          <w:lang w:val="de-DE"/>
        </w:rPr>
        <w:t xml:space="preserve">6  Associated  Press,  “Baader-Meinhof  Armourer  Testifies,”  </w:t>
      </w:r>
      <w:r w:rsidRPr="00C507A5">
        <w:rPr>
          <w:i/>
          <w:color w:val="231F20"/>
          <w:sz w:val="16"/>
          <w:lang w:val="de-DE"/>
        </w:rPr>
        <w:t xml:space="preserve">European  Stars  </w:t>
      </w:r>
      <w:r w:rsidRPr="00C507A5">
        <w:rPr>
          <w:i/>
          <w:color w:val="231F20"/>
          <w:spacing w:val="1"/>
          <w:sz w:val="16"/>
          <w:lang w:val="de-DE"/>
        </w:rPr>
        <w:t xml:space="preserve">and  </w:t>
      </w:r>
      <w:r w:rsidRPr="00C507A5">
        <w:rPr>
          <w:i/>
          <w:color w:val="231F20"/>
          <w:sz w:val="16"/>
          <w:lang w:val="de-DE"/>
        </w:rPr>
        <w:t xml:space="preserve">Stripes, </w:t>
      </w:r>
      <w:r w:rsidRPr="00C507A5">
        <w:rPr>
          <w:color w:val="231F20"/>
          <w:sz w:val="16"/>
          <w:lang w:val="de-DE"/>
        </w:rPr>
        <w:t xml:space="preserve">January 28, 1976; “Handelsgeschäfte mit der ‘Wahrheit’ Kronzeugen als </w:t>
      </w:r>
      <w:r w:rsidRPr="00C507A5">
        <w:rPr>
          <w:color w:val="231F20"/>
          <w:spacing w:val="3"/>
          <w:w w:val="104"/>
          <w:sz w:val="16"/>
          <w:lang w:val="de-DE"/>
        </w:rPr>
        <w:t>S</w:t>
      </w:r>
      <w:r w:rsidRPr="00C507A5">
        <w:rPr>
          <w:color w:val="231F20"/>
          <w:w w:val="108"/>
          <w:sz w:val="16"/>
          <w:lang w:val="de-DE"/>
        </w:rPr>
        <w:t>o</w:t>
      </w:r>
      <w:r w:rsidRPr="00C507A5">
        <w:rPr>
          <w:color w:val="231F20"/>
          <w:w w:val="103"/>
          <w:sz w:val="16"/>
          <w:lang w:val="de-DE"/>
        </w:rPr>
        <w:t>nd</w:t>
      </w:r>
      <w:r w:rsidRPr="00C507A5">
        <w:rPr>
          <w:color w:val="231F20"/>
          <w:w w:val="94"/>
          <w:sz w:val="16"/>
          <w:lang w:val="de-DE"/>
        </w:rPr>
        <w:t>e</w:t>
      </w:r>
      <w:r w:rsidRPr="00C507A5">
        <w:rPr>
          <w:color w:val="231F20"/>
          <w:spacing w:val="1"/>
          <w:w w:val="97"/>
          <w:sz w:val="16"/>
          <w:lang w:val="de-DE"/>
        </w:rPr>
        <w:t>r</w:t>
      </w:r>
      <w:r w:rsidRPr="00C507A5">
        <w:rPr>
          <w:color w:val="231F20"/>
          <w:spacing w:val="5"/>
          <w:w w:val="103"/>
          <w:sz w:val="16"/>
          <w:lang w:val="de-DE"/>
        </w:rPr>
        <w:t>B</w:t>
      </w:r>
      <w:r w:rsidRPr="00C507A5">
        <w:rPr>
          <w:color w:val="231F20"/>
          <w:spacing w:val="1"/>
          <w:w w:val="94"/>
          <w:sz w:val="16"/>
          <w:lang w:val="de-DE"/>
        </w:rPr>
        <w:t>e</w:t>
      </w:r>
      <w:r w:rsidRPr="00C507A5">
        <w:rPr>
          <w:color w:val="231F20"/>
          <w:w w:val="104"/>
          <w:sz w:val="16"/>
          <w:lang w:val="de-DE"/>
        </w:rPr>
        <w:t>w</w:t>
      </w:r>
      <w:r w:rsidRPr="00C507A5">
        <w:rPr>
          <w:color w:val="231F20"/>
          <w:w w:val="94"/>
          <w:sz w:val="16"/>
          <w:lang w:val="de-DE"/>
        </w:rPr>
        <w:t>e</w:t>
      </w:r>
      <w:r w:rsidRPr="00C507A5">
        <w:rPr>
          <w:color w:val="231F20"/>
          <w:spacing w:val="1"/>
          <w:w w:val="103"/>
          <w:sz w:val="16"/>
          <w:lang w:val="de-DE"/>
        </w:rPr>
        <w:t>i</w:t>
      </w:r>
      <w:r w:rsidRPr="00C507A5">
        <w:rPr>
          <w:color w:val="231F20"/>
          <w:w w:val="93"/>
          <w:sz w:val="16"/>
          <w:lang w:val="de-DE"/>
        </w:rPr>
        <w:t>s</w:t>
      </w:r>
      <w:r w:rsidRPr="00C507A5">
        <w:rPr>
          <w:color w:val="231F20"/>
          <w:spacing w:val="3"/>
          <w:w w:val="103"/>
          <w:sz w:val="16"/>
          <w:lang w:val="de-DE"/>
        </w:rPr>
        <w:t>m</w:t>
      </w:r>
      <w:r w:rsidRPr="00C507A5">
        <w:rPr>
          <w:color w:val="231F20"/>
          <w:spacing w:val="-1"/>
          <w:w w:val="103"/>
          <w:sz w:val="16"/>
          <w:lang w:val="de-DE"/>
        </w:rPr>
        <w:t>i</w:t>
      </w:r>
      <w:r w:rsidRPr="00C507A5">
        <w:rPr>
          <w:color w:val="231F20"/>
          <w:spacing w:val="5"/>
          <w:w w:val="102"/>
          <w:sz w:val="16"/>
          <w:lang w:val="de-DE"/>
        </w:rPr>
        <w:t>t</w:t>
      </w:r>
      <w:r w:rsidRPr="00C507A5">
        <w:rPr>
          <w:color w:val="231F20"/>
          <w:spacing w:val="1"/>
          <w:w w:val="102"/>
          <w:sz w:val="16"/>
          <w:lang w:val="de-DE"/>
        </w:rPr>
        <w:t>t</w:t>
      </w:r>
      <w:r w:rsidRPr="00C507A5">
        <w:rPr>
          <w:color w:val="231F20"/>
          <w:w w:val="94"/>
          <w:sz w:val="16"/>
          <w:lang w:val="de-DE"/>
        </w:rPr>
        <w:t>e</w:t>
      </w:r>
      <w:r w:rsidRPr="00C507A5">
        <w:rPr>
          <w:color w:val="231F20"/>
          <w:w w:val="106"/>
          <w:sz w:val="16"/>
          <w:lang w:val="de-DE"/>
        </w:rPr>
        <w:t>l</w:t>
      </w:r>
      <w:r w:rsidRPr="00C507A5">
        <w:rPr>
          <w:color w:val="231F20"/>
          <w:spacing w:val="10"/>
          <w:sz w:val="16"/>
          <w:lang w:val="de-DE"/>
        </w:rPr>
        <w:t xml:space="preserve"> </w:t>
      </w:r>
      <w:r w:rsidRPr="00C507A5">
        <w:rPr>
          <w:color w:val="231F20"/>
          <w:w w:val="103"/>
          <w:sz w:val="16"/>
          <w:lang w:val="de-DE"/>
        </w:rPr>
        <w:t>d</w:t>
      </w:r>
      <w:r w:rsidRPr="00C507A5">
        <w:rPr>
          <w:color w:val="231F20"/>
          <w:w w:val="94"/>
          <w:sz w:val="16"/>
          <w:lang w:val="de-DE"/>
        </w:rPr>
        <w:t>e</w:t>
      </w:r>
      <w:r w:rsidRPr="00C507A5">
        <w:rPr>
          <w:color w:val="231F20"/>
          <w:w w:val="97"/>
          <w:sz w:val="16"/>
          <w:lang w:val="de-DE"/>
        </w:rPr>
        <w:t>r</w:t>
      </w:r>
      <w:r w:rsidRPr="00C507A5">
        <w:rPr>
          <w:color w:val="231F20"/>
          <w:spacing w:val="10"/>
          <w:sz w:val="16"/>
          <w:lang w:val="de-DE"/>
        </w:rPr>
        <w:t xml:space="preserve"> </w:t>
      </w:r>
      <w:r w:rsidRPr="00C507A5">
        <w:rPr>
          <w:color w:val="231F20"/>
          <w:spacing w:val="6"/>
          <w:w w:val="120"/>
          <w:sz w:val="16"/>
          <w:lang w:val="de-DE"/>
        </w:rPr>
        <w:t>A</w:t>
      </w:r>
      <w:r w:rsidRPr="00C507A5">
        <w:rPr>
          <w:color w:val="231F20"/>
          <w:spacing w:val="3"/>
          <w:w w:val="103"/>
          <w:sz w:val="16"/>
          <w:lang w:val="de-DE"/>
        </w:rPr>
        <w:t>n</w:t>
      </w:r>
      <w:r w:rsidRPr="00C507A5">
        <w:rPr>
          <w:color w:val="231F20"/>
          <w:spacing w:val="3"/>
          <w:w w:val="109"/>
          <w:sz w:val="16"/>
          <w:lang w:val="de-DE"/>
        </w:rPr>
        <w:t>k</w:t>
      </w:r>
      <w:r w:rsidRPr="00C507A5">
        <w:rPr>
          <w:color w:val="231F20"/>
          <w:spacing w:val="1"/>
          <w:w w:val="106"/>
          <w:sz w:val="16"/>
          <w:lang w:val="de-DE"/>
        </w:rPr>
        <w:t>l</w:t>
      </w:r>
      <w:r w:rsidRPr="00C507A5">
        <w:rPr>
          <w:color w:val="231F20"/>
          <w:w w:val="106"/>
          <w:sz w:val="16"/>
          <w:lang w:val="de-DE"/>
        </w:rPr>
        <w:t>a</w:t>
      </w:r>
      <w:r w:rsidRPr="00C507A5">
        <w:rPr>
          <w:color w:val="231F20"/>
          <w:w w:val="104"/>
          <w:sz w:val="16"/>
          <w:lang w:val="de-DE"/>
        </w:rPr>
        <w:t>g</w:t>
      </w:r>
      <w:r w:rsidRPr="00C507A5">
        <w:rPr>
          <w:color w:val="231F20"/>
          <w:spacing w:val="2"/>
          <w:w w:val="94"/>
          <w:sz w:val="16"/>
          <w:lang w:val="de-DE"/>
        </w:rPr>
        <w:t>e</w:t>
      </w:r>
      <w:r w:rsidRPr="00C507A5">
        <w:rPr>
          <w:color w:val="231F20"/>
          <w:spacing w:val="-9"/>
          <w:w w:val="140"/>
          <w:sz w:val="16"/>
          <w:lang w:val="de-DE"/>
        </w:rPr>
        <w:t>,</w:t>
      </w:r>
      <w:r w:rsidRPr="00C507A5">
        <w:rPr>
          <w:color w:val="231F20"/>
          <w:w w:val="153"/>
          <w:sz w:val="16"/>
          <w:lang w:val="de-DE"/>
        </w:rPr>
        <w:t>”</w:t>
      </w:r>
      <w:r w:rsidRPr="00C507A5">
        <w:rPr>
          <w:color w:val="231F20"/>
          <w:spacing w:val="10"/>
          <w:sz w:val="16"/>
          <w:lang w:val="de-DE"/>
        </w:rPr>
        <w:t xml:space="preserve"> </w:t>
      </w:r>
      <w:hyperlink r:id="rId302">
        <w:r w:rsidRPr="00C507A5">
          <w:rPr>
            <w:color w:val="231F20"/>
            <w:w w:val="103"/>
            <w:sz w:val="16"/>
            <w:lang w:val="de-DE"/>
          </w:rPr>
          <w:t>h</w:t>
        </w:r>
        <w:r w:rsidRPr="00C507A5">
          <w:rPr>
            <w:color w:val="231F20"/>
            <w:spacing w:val="5"/>
            <w:w w:val="103"/>
            <w:sz w:val="16"/>
            <w:lang w:val="de-DE"/>
          </w:rPr>
          <w:t>t</w:t>
        </w:r>
        <w:r w:rsidRPr="00C507A5">
          <w:rPr>
            <w:color w:val="231F20"/>
            <w:spacing w:val="3"/>
            <w:w w:val="102"/>
            <w:sz w:val="16"/>
            <w:lang w:val="de-DE"/>
          </w:rPr>
          <w:t>t</w:t>
        </w:r>
        <w:r w:rsidRPr="00C507A5">
          <w:rPr>
            <w:color w:val="231F20"/>
            <w:w w:val="103"/>
            <w:sz w:val="16"/>
            <w:lang w:val="de-DE"/>
          </w:rPr>
          <w:t>p</w:t>
        </w:r>
        <w:r w:rsidRPr="00C507A5">
          <w:rPr>
            <w:color w:val="231F20"/>
            <w:spacing w:val="5"/>
            <w:w w:val="109"/>
            <w:sz w:val="16"/>
            <w:lang w:val="de-DE"/>
          </w:rPr>
          <w:t>:</w:t>
        </w:r>
        <w:r w:rsidRPr="00C507A5">
          <w:rPr>
            <w:color w:val="231F20"/>
            <w:spacing w:val="-1"/>
            <w:w w:val="58"/>
            <w:sz w:val="16"/>
            <w:lang w:val="de-DE"/>
          </w:rPr>
          <w:t>/</w:t>
        </w:r>
        <w:r w:rsidRPr="00C507A5">
          <w:rPr>
            <w:color w:val="231F20"/>
            <w:spacing w:val="2"/>
            <w:w w:val="58"/>
            <w:sz w:val="16"/>
            <w:lang w:val="de-DE"/>
          </w:rPr>
          <w:t>/</w:t>
        </w:r>
        <w:r w:rsidRPr="00C507A5">
          <w:rPr>
            <w:color w:val="231F20"/>
            <w:spacing w:val="6"/>
            <w:w w:val="104"/>
            <w:sz w:val="16"/>
            <w:lang w:val="de-DE"/>
          </w:rPr>
          <w:t>ww</w:t>
        </w:r>
        <w:r w:rsidRPr="00C507A5">
          <w:rPr>
            <w:color w:val="231F20"/>
            <w:spacing w:val="-9"/>
            <w:w w:val="104"/>
            <w:sz w:val="16"/>
            <w:lang w:val="de-DE"/>
          </w:rPr>
          <w:t>w</w:t>
        </w:r>
        <w:r w:rsidRPr="00C507A5">
          <w:rPr>
            <w:color w:val="231F20"/>
            <w:w w:val="140"/>
            <w:sz w:val="16"/>
            <w:lang w:val="de-DE"/>
          </w:rPr>
          <w:t>.</w:t>
        </w:r>
        <w:r w:rsidRPr="00C507A5">
          <w:rPr>
            <w:color w:val="231F20"/>
            <w:spacing w:val="3"/>
            <w:w w:val="114"/>
            <w:sz w:val="16"/>
            <w:lang w:val="de-DE"/>
          </w:rPr>
          <w:t>f</w:t>
        </w:r>
        <w:r w:rsidRPr="00C507A5">
          <w:rPr>
            <w:color w:val="231F20"/>
            <w:w w:val="97"/>
            <w:sz w:val="16"/>
            <w:lang w:val="de-DE"/>
          </w:rPr>
          <w:t>r</w:t>
        </w:r>
        <w:r w:rsidRPr="00C507A5">
          <w:rPr>
            <w:color w:val="231F20"/>
            <w:w w:val="94"/>
            <w:sz w:val="16"/>
            <w:lang w:val="de-DE"/>
          </w:rPr>
          <w:t>e</w:t>
        </w:r>
        <w:r w:rsidRPr="00C507A5">
          <w:rPr>
            <w:color w:val="231F20"/>
            <w:spacing w:val="2"/>
            <w:w w:val="103"/>
            <w:sz w:val="16"/>
            <w:lang w:val="de-DE"/>
          </w:rPr>
          <w:t>i</w:t>
        </w:r>
        <w:r w:rsidRPr="00C507A5">
          <w:rPr>
            <w:color w:val="231F20"/>
            <w:spacing w:val="1"/>
            <w:w w:val="106"/>
            <w:sz w:val="16"/>
            <w:lang w:val="de-DE"/>
          </w:rPr>
          <w:t>la</w:t>
        </w:r>
        <w:r w:rsidRPr="00C507A5">
          <w:rPr>
            <w:color w:val="231F20"/>
            <w:spacing w:val="1"/>
            <w:w w:val="93"/>
            <w:sz w:val="16"/>
            <w:lang w:val="de-DE"/>
          </w:rPr>
          <w:t>s</w:t>
        </w:r>
        <w:r w:rsidRPr="00C507A5">
          <w:rPr>
            <w:color w:val="231F20"/>
            <w:w w:val="93"/>
            <w:sz w:val="16"/>
            <w:lang w:val="de-DE"/>
          </w:rPr>
          <w:t>s</w:t>
        </w:r>
        <w:r w:rsidRPr="00C507A5">
          <w:rPr>
            <w:color w:val="231F20"/>
            <w:spacing w:val="3"/>
            <w:w w:val="104"/>
            <w:sz w:val="16"/>
            <w:lang w:val="de-DE"/>
          </w:rPr>
          <w:t>u</w:t>
        </w:r>
        <w:r w:rsidRPr="00C507A5">
          <w:rPr>
            <w:color w:val="231F20"/>
            <w:w w:val="103"/>
            <w:sz w:val="16"/>
            <w:lang w:val="de-DE"/>
          </w:rPr>
          <w:t>n</w:t>
        </w:r>
        <w:r w:rsidRPr="00C507A5">
          <w:rPr>
            <w:color w:val="231F20"/>
            <w:spacing w:val="1"/>
            <w:w w:val="104"/>
            <w:sz w:val="16"/>
            <w:lang w:val="de-DE"/>
          </w:rPr>
          <w:t>g</w:t>
        </w:r>
        <w:r w:rsidRPr="00C507A5">
          <w:rPr>
            <w:color w:val="231F20"/>
            <w:w w:val="140"/>
            <w:sz w:val="16"/>
            <w:lang w:val="de-DE"/>
          </w:rPr>
          <w:t>.</w:t>
        </w:r>
        <w:r w:rsidRPr="00C507A5">
          <w:rPr>
            <w:color w:val="231F20"/>
            <w:w w:val="103"/>
            <w:sz w:val="16"/>
            <w:lang w:val="de-DE"/>
          </w:rPr>
          <w:t>d</w:t>
        </w:r>
        <w:r w:rsidRPr="00C507A5">
          <w:rPr>
            <w:color w:val="231F20"/>
            <w:spacing w:val="5"/>
            <w:w w:val="94"/>
            <w:sz w:val="16"/>
            <w:lang w:val="de-DE"/>
          </w:rPr>
          <w:t>e</w:t>
        </w:r>
        <w:r w:rsidRPr="00C507A5">
          <w:rPr>
            <w:color w:val="231F20"/>
            <w:spacing w:val="-3"/>
            <w:w w:val="58"/>
            <w:sz w:val="16"/>
            <w:lang w:val="de-DE"/>
          </w:rPr>
          <w:t>/</w:t>
        </w:r>
        <w:r w:rsidRPr="00C507A5">
          <w:rPr>
            <w:color w:val="231F20"/>
            <w:spacing w:val="3"/>
            <w:w w:val="103"/>
            <w:sz w:val="16"/>
            <w:lang w:val="de-DE"/>
          </w:rPr>
          <w:t>d</w:t>
        </w:r>
        <w:r w:rsidRPr="00C507A5">
          <w:rPr>
            <w:color w:val="231F20"/>
            <w:spacing w:val="-1"/>
            <w:w w:val="103"/>
            <w:sz w:val="16"/>
            <w:lang w:val="de-DE"/>
          </w:rPr>
          <w:t>i</w:t>
        </w:r>
        <w:r w:rsidRPr="00C507A5">
          <w:rPr>
            <w:color w:val="231F20"/>
            <w:spacing w:val="-1"/>
            <w:w w:val="102"/>
            <w:sz w:val="16"/>
            <w:lang w:val="de-DE"/>
          </w:rPr>
          <w:t>v</w:t>
        </w:r>
        <w:r w:rsidRPr="00C507A5">
          <w:rPr>
            <w:color w:val="231F20"/>
            <w:spacing w:val="1"/>
            <w:w w:val="58"/>
            <w:sz w:val="16"/>
            <w:lang w:val="de-DE"/>
          </w:rPr>
          <w:t>/</w:t>
        </w:r>
        <w:r w:rsidRPr="00C507A5">
          <w:rPr>
            <w:color w:val="231F20"/>
            <w:spacing w:val="1"/>
            <w:w w:val="102"/>
            <w:sz w:val="16"/>
            <w:lang w:val="de-DE"/>
          </w:rPr>
          <w:t>t</w:t>
        </w:r>
        <w:r w:rsidRPr="00C507A5">
          <w:rPr>
            <w:color w:val="231F20"/>
            <w:w w:val="94"/>
            <w:sz w:val="16"/>
            <w:lang w:val="de-DE"/>
          </w:rPr>
          <w:t>e</w:t>
        </w:r>
        <w:r w:rsidRPr="00C507A5">
          <w:rPr>
            <w:color w:val="231F20"/>
            <w:spacing w:val="5"/>
            <w:w w:val="119"/>
            <w:sz w:val="16"/>
            <w:lang w:val="de-DE"/>
          </w:rPr>
          <w:t>x</w:t>
        </w:r>
        <w:r w:rsidRPr="00C507A5">
          <w:rPr>
            <w:color w:val="231F20"/>
            <w:spacing w:val="1"/>
            <w:w w:val="102"/>
            <w:sz w:val="16"/>
            <w:lang w:val="de-DE"/>
          </w:rPr>
          <w:t>t</w:t>
        </w:r>
        <w:r w:rsidRPr="00C507A5">
          <w:rPr>
            <w:color w:val="231F20"/>
            <w:spacing w:val="5"/>
            <w:w w:val="94"/>
            <w:sz w:val="16"/>
            <w:lang w:val="de-DE"/>
          </w:rPr>
          <w:t>e</w:t>
        </w:r>
        <w:r w:rsidRPr="00C507A5">
          <w:rPr>
            <w:color w:val="231F20"/>
            <w:spacing w:val="7"/>
            <w:w w:val="58"/>
            <w:sz w:val="16"/>
            <w:lang w:val="de-DE"/>
          </w:rPr>
          <w:t>/</w:t>
        </w:r>
        <w:r w:rsidRPr="00C507A5">
          <w:rPr>
            <w:color w:val="231F20"/>
            <w:spacing w:val="5"/>
            <w:w w:val="109"/>
            <w:sz w:val="16"/>
            <w:lang w:val="de-DE"/>
          </w:rPr>
          <w:t>k</w:t>
        </w:r>
        <w:r w:rsidRPr="00C507A5">
          <w:rPr>
            <w:color w:val="231F20"/>
            <w:w w:val="97"/>
            <w:sz w:val="16"/>
            <w:lang w:val="de-DE"/>
          </w:rPr>
          <w:t>r</w:t>
        </w:r>
        <w:r w:rsidRPr="00C507A5">
          <w:rPr>
            <w:color w:val="231F20"/>
            <w:w w:val="108"/>
            <w:sz w:val="16"/>
            <w:lang w:val="de-DE"/>
          </w:rPr>
          <w:t>o</w:t>
        </w:r>
        <w:r w:rsidRPr="00C507A5">
          <w:rPr>
            <w:color w:val="231F20"/>
            <w:spacing w:val="5"/>
            <w:w w:val="103"/>
            <w:sz w:val="16"/>
            <w:lang w:val="de-DE"/>
          </w:rPr>
          <w:t>n</w:t>
        </w:r>
        <w:r w:rsidRPr="00C507A5">
          <w:rPr>
            <w:color w:val="231F20"/>
            <w:spacing w:val="2"/>
            <w:w w:val="101"/>
            <w:sz w:val="16"/>
            <w:lang w:val="de-DE"/>
          </w:rPr>
          <w:t>z</w:t>
        </w:r>
        <w:r w:rsidRPr="00C507A5">
          <w:rPr>
            <w:color w:val="231F20"/>
            <w:w w:val="94"/>
            <w:sz w:val="16"/>
            <w:lang w:val="de-DE"/>
          </w:rPr>
          <w:t>e</w:t>
        </w:r>
        <w:r w:rsidRPr="00C507A5">
          <w:rPr>
            <w:color w:val="231F20"/>
            <w:spacing w:val="1"/>
            <w:w w:val="104"/>
            <w:sz w:val="16"/>
            <w:lang w:val="de-DE"/>
          </w:rPr>
          <w:t>u</w:t>
        </w:r>
        <w:r w:rsidRPr="00C507A5">
          <w:rPr>
            <w:color w:val="231F20"/>
            <w:w w:val="104"/>
            <w:sz w:val="16"/>
            <w:lang w:val="de-DE"/>
          </w:rPr>
          <w:t>g</w:t>
        </w:r>
        <w:r w:rsidRPr="00C507A5">
          <w:rPr>
            <w:color w:val="231F20"/>
            <w:spacing w:val="5"/>
            <w:w w:val="94"/>
            <w:sz w:val="16"/>
            <w:lang w:val="de-DE"/>
          </w:rPr>
          <w:t>e</w:t>
        </w:r>
        <w:r w:rsidRPr="00C507A5">
          <w:rPr>
            <w:color w:val="231F20"/>
            <w:w w:val="58"/>
            <w:sz w:val="16"/>
            <w:lang w:val="de-DE"/>
          </w:rPr>
          <w:t>/</w:t>
        </w:r>
      </w:hyperlink>
      <w:r w:rsidRPr="00C507A5">
        <w:rPr>
          <w:color w:val="231F20"/>
          <w:w w:val="58"/>
          <w:sz w:val="16"/>
          <w:lang w:val="de-DE"/>
        </w:rPr>
        <w:t xml:space="preserve"> </w:t>
      </w:r>
      <w:r w:rsidRPr="00C507A5">
        <w:rPr>
          <w:color w:val="231F20"/>
          <w:sz w:val="16"/>
          <w:lang w:val="de-DE"/>
        </w:rPr>
        <w:t>goe1.htm.</w:t>
      </w:r>
    </w:p>
    <w:p w14:paraId="2B4BAB60" w14:textId="77777777" w:rsidR="002653E8" w:rsidRDefault="003115E3">
      <w:pPr>
        <w:spacing w:before="41"/>
        <w:ind w:left="1328"/>
        <w:rPr>
          <w:sz w:val="16"/>
        </w:rPr>
      </w:pPr>
      <w:r>
        <w:rPr>
          <w:color w:val="231F20"/>
          <w:w w:val="110"/>
          <w:sz w:val="16"/>
        </w:rPr>
        <w:t>7 Aust, 384-386.</w:t>
      </w:r>
    </w:p>
    <w:p w14:paraId="10FA3C9F" w14:textId="77777777" w:rsidR="002653E8" w:rsidRDefault="002653E8">
      <w:pPr>
        <w:rPr>
          <w:sz w:val="16"/>
        </w:rPr>
        <w:sectPr w:rsidR="002653E8">
          <w:pgSz w:w="8640" w:h="12960"/>
          <w:pgMar w:top="1060" w:right="0" w:bottom="1040" w:left="0" w:header="0" w:footer="850" w:gutter="0"/>
          <w:cols w:space="720"/>
        </w:sectPr>
      </w:pPr>
    </w:p>
    <w:p w14:paraId="6AF462D2" w14:textId="77777777" w:rsidR="002653E8" w:rsidRDefault="003115E3">
      <w:pPr>
        <w:pStyle w:val="a3"/>
        <w:spacing w:before="86" w:line="264" w:lineRule="auto"/>
        <w:ind w:left="1147" w:right="1326" w:firstLine="210"/>
        <w:jc w:val="both"/>
      </w:pPr>
      <w:r>
        <w:rPr>
          <w:color w:val="231F20"/>
        </w:rPr>
        <w:lastRenderedPageBreak/>
        <w:t>In her 1974 statement to the court regarding the liberation of Baader, Ulrike Meinhof had already attempted to refute the state’s slanders, and to place the guerilla’s actions within their proper political context. But the smears continued, and during the years of trials to come, the prisoners repeatedly felt compelled to defend not only their politics, but also their internal structure in the face of accusations of authoritarianism and cold inhumanity.</w:t>
      </w:r>
    </w:p>
    <w:p w14:paraId="3C8001EF" w14:textId="77777777" w:rsidR="002653E8" w:rsidRDefault="003115E3">
      <w:pPr>
        <w:pStyle w:val="a3"/>
        <w:spacing w:line="264" w:lineRule="auto"/>
        <w:ind w:left="1147" w:right="1326" w:firstLine="210"/>
        <w:jc w:val="both"/>
      </w:pPr>
      <w:r>
        <w:rPr>
          <w:color w:val="231F20"/>
        </w:rPr>
        <w:t>Quoted out of context, the prisoners’ attempts to defend their past practice</w:t>
      </w:r>
      <w:r>
        <w:rPr>
          <w:color w:val="231F20"/>
          <w:spacing w:val="-4"/>
        </w:rPr>
        <w:t xml:space="preserve"> </w:t>
      </w:r>
      <w:r>
        <w:rPr>
          <w:color w:val="231F20"/>
        </w:rPr>
        <w:t>can</w:t>
      </w:r>
      <w:r>
        <w:rPr>
          <w:color w:val="231F20"/>
          <w:spacing w:val="-4"/>
        </w:rPr>
        <w:t xml:space="preserve"> </w:t>
      </w:r>
      <w:r>
        <w:rPr>
          <w:color w:val="231F20"/>
        </w:rPr>
        <w:t>seem</w:t>
      </w:r>
      <w:r>
        <w:rPr>
          <w:color w:val="231F20"/>
          <w:spacing w:val="-4"/>
        </w:rPr>
        <w:t xml:space="preserve"> </w:t>
      </w:r>
      <w:r>
        <w:rPr>
          <w:color w:val="231F20"/>
        </w:rPr>
        <w:t>exaggerated,</w:t>
      </w:r>
      <w:r>
        <w:rPr>
          <w:color w:val="231F20"/>
          <w:spacing w:val="-4"/>
        </w:rPr>
        <w:t xml:space="preserve"> </w:t>
      </w:r>
      <w:r>
        <w:rPr>
          <w:color w:val="231F20"/>
        </w:rPr>
        <w:t>even</w:t>
      </w:r>
      <w:r>
        <w:rPr>
          <w:color w:val="231F20"/>
          <w:spacing w:val="-4"/>
        </w:rPr>
        <w:t xml:space="preserve"> </w:t>
      </w:r>
      <w:r>
        <w:rPr>
          <w:color w:val="231F20"/>
        </w:rPr>
        <w:t>shrill.</w:t>
      </w:r>
      <w:r>
        <w:rPr>
          <w:color w:val="231F20"/>
          <w:spacing w:val="-4"/>
        </w:rPr>
        <w:t xml:space="preserve"> </w:t>
      </w:r>
      <w:r>
        <w:rPr>
          <w:color w:val="231F20"/>
        </w:rPr>
        <w:t>The</w:t>
      </w:r>
      <w:r>
        <w:rPr>
          <w:color w:val="231F20"/>
          <w:spacing w:val="-4"/>
        </w:rPr>
        <w:t xml:space="preserve"> </w:t>
      </w:r>
      <w:r>
        <w:rPr>
          <w:color w:val="231F20"/>
        </w:rPr>
        <w:t>desire</w:t>
      </w:r>
      <w:r>
        <w:rPr>
          <w:color w:val="231F20"/>
          <w:spacing w:val="-4"/>
        </w:rPr>
        <w:t xml:space="preserve"> </w:t>
      </w:r>
      <w:r>
        <w:rPr>
          <w:color w:val="231F20"/>
        </w:rPr>
        <w:t>to</w:t>
      </w:r>
      <w:r>
        <w:rPr>
          <w:color w:val="231F20"/>
          <w:spacing w:val="-4"/>
        </w:rPr>
        <w:t xml:space="preserve"> </w:t>
      </w:r>
      <w:r>
        <w:rPr>
          <w:color w:val="231F20"/>
        </w:rPr>
        <w:t>paint</w:t>
      </w:r>
      <w:r>
        <w:rPr>
          <w:color w:val="231F20"/>
          <w:spacing w:val="-4"/>
        </w:rPr>
        <w:t xml:space="preserve"> </w:t>
      </w:r>
      <w:r>
        <w:rPr>
          <w:color w:val="231F20"/>
          <w:spacing w:val="-3"/>
        </w:rPr>
        <w:t>one’s</w:t>
      </w:r>
      <w:r>
        <w:rPr>
          <w:color w:val="231F20"/>
          <w:spacing w:val="-4"/>
        </w:rPr>
        <w:t xml:space="preserve"> </w:t>
      </w:r>
      <w:r>
        <w:rPr>
          <w:color w:val="231F20"/>
        </w:rPr>
        <w:t>own experiences in the most favorable light can easily backfire, making one appear to be an uncritical enthusiast, dewy-eyed, if not fanatical, which is precisely what we are told to expect from self-styled revolutionaries. Nevertheless, it is difficult to see what else they could have done, as the state moved to use their various trials as so many opportunities to present its cockamamie stories and</w:t>
      </w:r>
      <w:r>
        <w:rPr>
          <w:color w:val="231F20"/>
          <w:spacing w:val="7"/>
        </w:rPr>
        <w:t xml:space="preserve"> </w:t>
      </w:r>
      <w:r>
        <w:rPr>
          <w:color w:val="231F20"/>
        </w:rPr>
        <w:t>slanders.</w:t>
      </w:r>
    </w:p>
    <w:p w14:paraId="15D6FA2E" w14:textId="77777777" w:rsidR="002653E8" w:rsidRDefault="003115E3">
      <w:pPr>
        <w:pStyle w:val="a3"/>
        <w:spacing w:line="264" w:lineRule="auto"/>
        <w:ind w:left="1147" w:right="1327" w:firstLine="210"/>
        <w:jc w:val="both"/>
      </w:pPr>
      <w:r>
        <w:rPr>
          <w:color w:val="231F20"/>
          <w:spacing w:val="1"/>
        </w:rPr>
        <w:t xml:space="preserve">In </w:t>
      </w:r>
      <w:r>
        <w:rPr>
          <w:color w:val="231F20"/>
        </w:rPr>
        <w:t xml:space="preserve">this context, the prisoners had little choice but to do what they could to </w:t>
      </w:r>
      <w:r>
        <w:rPr>
          <w:color w:val="231F20"/>
          <w:spacing w:val="1"/>
        </w:rPr>
        <w:t xml:space="preserve">affirm </w:t>
      </w:r>
      <w:r>
        <w:rPr>
          <w:color w:val="231F20"/>
        </w:rPr>
        <w:t>their political identity and continuing solidarity  with one</w:t>
      </w:r>
      <w:r>
        <w:rPr>
          <w:color w:val="231F20"/>
          <w:spacing w:val="10"/>
        </w:rPr>
        <w:t xml:space="preserve"> </w:t>
      </w:r>
      <w:r>
        <w:rPr>
          <w:color w:val="231F20"/>
        </w:rPr>
        <w:t>another.</w:t>
      </w:r>
    </w:p>
    <w:p w14:paraId="73486DB5" w14:textId="77777777" w:rsidR="002653E8" w:rsidRDefault="002653E8">
      <w:pPr>
        <w:spacing w:line="264" w:lineRule="auto"/>
        <w:jc w:val="both"/>
        <w:sectPr w:rsidR="002653E8">
          <w:pgSz w:w="8640" w:h="12960"/>
          <w:pgMar w:top="1060" w:right="0" w:bottom="1040" w:left="0" w:header="0" w:footer="850" w:gutter="0"/>
          <w:cols w:space="720"/>
        </w:sectPr>
      </w:pPr>
    </w:p>
    <w:p w14:paraId="3CA59F08" w14:textId="77777777" w:rsidR="002653E8" w:rsidRDefault="003115E3">
      <w:pPr>
        <w:pStyle w:val="4"/>
        <w:ind w:left="2136"/>
      </w:pPr>
      <w:bookmarkStart w:id="162" w:name="“We_know_why_he’s_saying_it”_(Brigitte_M"/>
      <w:bookmarkStart w:id="163" w:name="_bookmark50"/>
      <w:bookmarkEnd w:id="162"/>
      <w:bookmarkEnd w:id="163"/>
      <w:r>
        <w:rPr>
          <w:color w:val="231F20"/>
          <w:spacing w:val="-8"/>
          <w:w w:val="105"/>
        </w:rPr>
        <w:lastRenderedPageBreak/>
        <w:t xml:space="preserve">“We </w:t>
      </w:r>
      <w:r>
        <w:rPr>
          <w:color w:val="231F20"/>
          <w:w w:val="105"/>
        </w:rPr>
        <w:t xml:space="preserve">know why </w:t>
      </w:r>
      <w:r>
        <w:rPr>
          <w:color w:val="231F20"/>
          <w:spacing w:val="-3"/>
          <w:w w:val="105"/>
        </w:rPr>
        <w:t xml:space="preserve">he’s </w:t>
      </w:r>
      <w:r>
        <w:rPr>
          <w:color w:val="231F20"/>
          <w:w w:val="105"/>
        </w:rPr>
        <w:t>saying</w:t>
      </w:r>
      <w:r>
        <w:rPr>
          <w:color w:val="231F20"/>
          <w:spacing w:val="85"/>
          <w:w w:val="105"/>
        </w:rPr>
        <w:t xml:space="preserve"> </w:t>
      </w:r>
      <w:r>
        <w:rPr>
          <w:color w:val="231F20"/>
          <w:w w:val="105"/>
        </w:rPr>
        <w:t>it”</w:t>
      </w:r>
    </w:p>
    <w:p w14:paraId="38D2CD80" w14:textId="77777777" w:rsidR="002653E8" w:rsidRDefault="002653E8">
      <w:pPr>
        <w:pStyle w:val="a3"/>
        <w:spacing w:before="4"/>
        <w:rPr>
          <w:rFonts w:ascii="Bookman Old Style"/>
          <w:sz w:val="30"/>
        </w:rPr>
      </w:pPr>
    </w:p>
    <w:p w14:paraId="0A2267F1" w14:textId="77777777" w:rsidR="002653E8" w:rsidRDefault="003115E3">
      <w:pPr>
        <w:spacing w:line="261" w:lineRule="auto"/>
        <w:ind w:left="1727" w:right="1883"/>
        <w:rPr>
          <w:i/>
          <w:sz w:val="20"/>
        </w:rPr>
      </w:pPr>
      <w:r>
        <w:rPr>
          <w:i/>
          <w:color w:val="231F20"/>
          <w:sz w:val="20"/>
        </w:rPr>
        <w:t>These are excerpts  from  Brigitte  Mohnhaupt’s  testimony at</w:t>
      </w:r>
      <w:r>
        <w:rPr>
          <w:i/>
          <w:color w:val="231F20"/>
          <w:spacing w:val="25"/>
          <w:sz w:val="20"/>
        </w:rPr>
        <w:t xml:space="preserve"> </w:t>
      </w:r>
      <w:r>
        <w:rPr>
          <w:i/>
          <w:color w:val="231F20"/>
          <w:sz w:val="20"/>
        </w:rPr>
        <w:t>Stammheim;</w:t>
      </w:r>
      <w:r>
        <w:rPr>
          <w:i/>
          <w:color w:val="231F20"/>
          <w:spacing w:val="25"/>
          <w:sz w:val="20"/>
        </w:rPr>
        <w:t xml:space="preserve"> </w:t>
      </w:r>
      <w:r>
        <w:rPr>
          <w:i/>
          <w:color w:val="231F20"/>
          <w:sz w:val="20"/>
        </w:rPr>
        <w:t>a</w:t>
      </w:r>
      <w:r>
        <w:rPr>
          <w:i/>
          <w:color w:val="231F20"/>
          <w:spacing w:val="25"/>
          <w:sz w:val="20"/>
        </w:rPr>
        <w:t xml:space="preserve"> </w:t>
      </w:r>
      <w:r>
        <w:rPr>
          <w:i/>
          <w:color w:val="231F20"/>
          <w:spacing w:val="1"/>
          <w:sz w:val="20"/>
        </w:rPr>
        <w:t>cruder</w:t>
      </w:r>
      <w:r>
        <w:rPr>
          <w:i/>
          <w:color w:val="231F20"/>
          <w:spacing w:val="25"/>
          <w:sz w:val="20"/>
        </w:rPr>
        <w:t xml:space="preserve"> </w:t>
      </w:r>
      <w:r>
        <w:rPr>
          <w:i/>
          <w:color w:val="231F20"/>
          <w:sz w:val="20"/>
        </w:rPr>
        <w:t>but</w:t>
      </w:r>
      <w:r>
        <w:rPr>
          <w:i/>
          <w:color w:val="231F20"/>
          <w:spacing w:val="25"/>
          <w:sz w:val="20"/>
        </w:rPr>
        <w:t xml:space="preserve"> </w:t>
      </w:r>
      <w:r>
        <w:rPr>
          <w:i/>
          <w:color w:val="231F20"/>
          <w:sz w:val="20"/>
        </w:rPr>
        <w:t>more</w:t>
      </w:r>
      <w:r>
        <w:rPr>
          <w:i/>
          <w:color w:val="231F20"/>
          <w:spacing w:val="25"/>
          <w:sz w:val="20"/>
        </w:rPr>
        <w:t xml:space="preserve"> </w:t>
      </w:r>
      <w:r>
        <w:rPr>
          <w:i/>
          <w:color w:val="231F20"/>
          <w:sz w:val="20"/>
        </w:rPr>
        <w:t>complete</w:t>
      </w:r>
      <w:r>
        <w:rPr>
          <w:i/>
          <w:color w:val="231F20"/>
          <w:spacing w:val="25"/>
          <w:sz w:val="20"/>
        </w:rPr>
        <w:t xml:space="preserve"> </w:t>
      </w:r>
      <w:r>
        <w:rPr>
          <w:i/>
          <w:color w:val="231F20"/>
          <w:sz w:val="20"/>
        </w:rPr>
        <w:t>translation</w:t>
      </w:r>
      <w:r>
        <w:rPr>
          <w:i/>
          <w:color w:val="231F20"/>
          <w:spacing w:val="25"/>
          <w:sz w:val="20"/>
        </w:rPr>
        <w:t xml:space="preserve"> </w:t>
      </w:r>
      <w:r>
        <w:rPr>
          <w:i/>
          <w:color w:val="231F20"/>
          <w:sz w:val="20"/>
        </w:rPr>
        <w:t>is</w:t>
      </w:r>
    </w:p>
    <w:p w14:paraId="64FA441E" w14:textId="77777777" w:rsidR="002653E8" w:rsidRDefault="003115E3">
      <w:pPr>
        <w:spacing w:before="1" w:line="261" w:lineRule="auto"/>
        <w:ind w:left="1727" w:right="1513"/>
        <w:rPr>
          <w:i/>
          <w:sz w:val="20"/>
        </w:rPr>
      </w:pPr>
      <w:r>
        <w:rPr>
          <w:i/>
          <w:color w:val="231F20"/>
          <w:w w:val="95"/>
          <w:sz w:val="20"/>
        </w:rPr>
        <w:t>a</w:t>
      </w:r>
      <w:r>
        <w:rPr>
          <w:i/>
          <w:color w:val="231F20"/>
          <w:w w:val="108"/>
          <w:sz w:val="20"/>
        </w:rPr>
        <w:t>v</w:t>
      </w:r>
      <w:r>
        <w:rPr>
          <w:i/>
          <w:color w:val="231F20"/>
          <w:w w:val="95"/>
          <w:sz w:val="20"/>
        </w:rPr>
        <w:t>a</w:t>
      </w:r>
      <w:r>
        <w:rPr>
          <w:i/>
          <w:color w:val="231F20"/>
          <w:w w:val="102"/>
          <w:sz w:val="20"/>
        </w:rPr>
        <w:t>i</w:t>
      </w:r>
      <w:r>
        <w:rPr>
          <w:i/>
          <w:color w:val="231F20"/>
          <w:w w:val="104"/>
          <w:sz w:val="20"/>
        </w:rPr>
        <w:t>l</w:t>
      </w:r>
      <w:r>
        <w:rPr>
          <w:i/>
          <w:color w:val="231F20"/>
          <w:w w:val="95"/>
          <w:sz w:val="20"/>
        </w:rPr>
        <w:t>a</w:t>
      </w:r>
      <w:r>
        <w:rPr>
          <w:i/>
          <w:color w:val="231F20"/>
          <w:w w:val="106"/>
          <w:sz w:val="20"/>
        </w:rPr>
        <w:t>b</w:t>
      </w:r>
      <w:r>
        <w:rPr>
          <w:i/>
          <w:color w:val="231F20"/>
          <w:w w:val="104"/>
          <w:sz w:val="20"/>
        </w:rPr>
        <w:t>l</w:t>
      </w:r>
      <w:r>
        <w:rPr>
          <w:i/>
          <w:color w:val="231F20"/>
          <w:w w:val="97"/>
          <w:sz w:val="20"/>
        </w:rPr>
        <w:t>e</w:t>
      </w:r>
      <w:r>
        <w:rPr>
          <w:i/>
          <w:color w:val="231F20"/>
          <w:sz w:val="20"/>
        </w:rPr>
        <w:t xml:space="preserve"> </w:t>
      </w:r>
      <w:r>
        <w:rPr>
          <w:i/>
          <w:color w:val="231F20"/>
          <w:w w:val="95"/>
          <w:sz w:val="20"/>
        </w:rPr>
        <w:t>a</w:t>
      </w:r>
      <w:r>
        <w:rPr>
          <w:i/>
          <w:color w:val="231F20"/>
          <w:w w:val="96"/>
          <w:sz w:val="20"/>
        </w:rPr>
        <w:t>t</w:t>
      </w:r>
      <w:r>
        <w:rPr>
          <w:i/>
          <w:color w:val="231F20"/>
          <w:sz w:val="20"/>
        </w:rPr>
        <w:t xml:space="preserve"> </w:t>
      </w:r>
      <w:hyperlink r:id="rId303">
        <w:r>
          <w:rPr>
            <w:i/>
            <w:color w:val="231F20"/>
            <w:w w:val="104"/>
            <w:sz w:val="20"/>
          </w:rPr>
          <w:t>h</w:t>
        </w:r>
        <w:r>
          <w:rPr>
            <w:i/>
            <w:color w:val="231F20"/>
            <w:w w:val="96"/>
            <w:sz w:val="20"/>
          </w:rPr>
          <w:t>tt</w:t>
        </w:r>
        <w:r>
          <w:rPr>
            <w:i/>
            <w:color w:val="231F20"/>
            <w:w w:val="105"/>
            <w:sz w:val="20"/>
          </w:rPr>
          <w:t>p</w:t>
        </w:r>
        <w:r>
          <w:rPr>
            <w:i/>
            <w:color w:val="231F20"/>
            <w:w w:val="107"/>
            <w:sz w:val="20"/>
          </w:rPr>
          <w:t>:</w:t>
        </w:r>
        <w:r>
          <w:rPr>
            <w:i/>
            <w:color w:val="231F20"/>
            <w:w w:val="59"/>
            <w:sz w:val="20"/>
          </w:rPr>
          <w:t>//</w:t>
        </w:r>
        <w:r>
          <w:rPr>
            <w:i/>
            <w:color w:val="231F20"/>
            <w:w w:val="106"/>
            <w:sz w:val="20"/>
          </w:rPr>
          <w:t>www</w:t>
        </w:r>
        <w:r>
          <w:rPr>
            <w:i/>
            <w:color w:val="231F20"/>
            <w:w w:val="139"/>
            <w:sz w:val="20"/>
          </w:rPr>
          <w:t>.</w:t>
        </w:r>
        <w:r>
          <w:rPr>
            <w:i/>
            <w:color w:val="231F20"/>
            <w:w w:val="95"/>
            <w:sz w:val="20"/>
          </w:rPr>
          <w:t>g</w:t>
        </w:r>
        <w:r>
          <w:rPr>
            <w:i/>
            <w:color w:val="231F20"/>
            <w:w w:val="97"/>
            <w:sz w:val="20"/>
          </w:rPr>
          <w:t>e</w:t>
        </w:r>
        <w:r>
          <w:rPr>
            <w:i/>
            <w:color w:val="231F20"/>
            <w:w w:val="95"/>
            <w:sz w:val="20"/>
          </w:rPr>
          <w:t>r</w:t>
        </w:r>
        <w:r>
          <w:rPr>
            <w:i/>
            <w:color w:val="231F20"/>
            <w:w w:val="104"/>
            <w:sz w:val="20"/>
          </w:rPr>
          <w:t>m</w:t>
        </w:r>
        <w:r>
          <w:rPr>
            <w:i/>
            <w:color w:val="231F20"/>
            <w:w w:val="95"/>
            <w:sz w:val="20"/>
          </w:rPr>
          <w:t>a</w:t>
        </w:r>
        <w:r>
          <w:rPr>
            <w:i/>
            <w:color w:val="231F20"/>
            <w:w w:val="103"/>
            <w:sz w:val="20"/>
          </w:rPr>
          <w:t>n</w:t>
        </w:r>
        <w:r>
          <w:rPr>
            <w:i/>
            <w:color w:val="231F20"/>
            <w:w w:val="95"/>
            <w:sz w:val="20"/>
          </w:rPr>
          <w:t>g</w:t>
        </w:r>
        <w:r>
          <w:rPr>
            <w:i/>
            <w:color w:val="231F20"/>
            <w:w w:val="103"/>
            <w:sz w:val="20"/>
          </w:rPr>
          <w:t>u</w:t>
        </w:r>
        <w:r>
          <w:rPr>
            <w:i/>
            <w:color w:val="231F20"/>
            <w:w w:val="97"/>
            <w:sz w:val="20"/>
          </w:rPr>
          <w:t>e</w:t>
        </w:r>
        <w:r>
          <w:rPr>
            <w:i/>
            <w:color w:val="231F20"/>
            <w:w w:val="95"/>
            <w:sz w:val="20"/>
          </w:rPr>
          <w:t>r</w:t>
        </w:r>
        <w:r>
          <w:rPr>
            <w:i/>
            <w:color w:val="231F20"/>
            <w:w w:val="102"/>
            <w:sz w:val="20"/>
          </w:rPr>
          <w:t>i</w:t>
        </w:r>
        <w:r>
          <w:rPr>
            <w:i/>
            <w:color w:val="231F20"/>
            <w:w w:val="104"/>
            <w:sz w:val="20"/>
          </w:rPr>
          <w:t>ll</w:t>
        </w:r>
        <w:r>
          <w:rPr>
            <w:i/>
            <w:color w:val="231F20"/>
            <w:w w:val="95"/>
            <w:sz w:val="20"/>
          </w:rPr>
          <w:t>a</w:t>
        </w:r>
        <w:r>
          <w:rPr>
            <w:i/>
            <w:color w:val="231F20"/>
            <w:w w:val="139"/>
            <w:sz w:val="20"/>
          </w:rPr>
          <w:t>.</w:t>
        </w:r>
        <w:r>
          <w:rPr>
            <w:i/>
            <w:color w:val="231F20"/>
            <w:w w:val="102"/>
            <w:sz w:val="20"/>
          </w:rPr>
          <w:t>c</w:t>
        </w:r>
        <w:r>
          <w:rPr>
            <w:i/>
            <w:color w:val="231F20"/>
            <w:w w:val="109"/>
            <w:sz w:val="20"/>
          </w:rPr>
          <w:t>o</w:t>
        </w:r>
        <w:r>
          <w:rPr>
            <w:i/>
            <w:color w:val="231F20"/>
            <w:w w:val="104"/>
            <w:sz w:val="20"/>
          </w:rPr>
          <w:t>m</w:t>
        </w:r>
        <w:r>
          <w:rPr>
            <w:i/>
            <w:color w:val="231F20"/>
            <w:w w:val="59"/>
            <w:sz w:val="20"/>
          </w:rPr>
          <w:t>/</w:t>
        </w:r>
        <w:r>
          <w:rPr>
            <w:i/>
            <w:color w:val="231F20"/>
            <w:w w:val="95"/>
            <w:sz w:val="20"/>
          </w:rPr>
          <w:t>r</w:t>
        </w:r>
        <w:r>
          <w:rPr>
            <w:i/>
            <w:color w:val="231F20"/>
            <w:w w:val="97"/>
            <w:sz w:val="20"/>
          </w:rPr>
          <w:t>e</w:t>
        </w:r>
        <w:r>
          <w:rPr>
            <w:i/>
            <w:color w:val="231F20"/>
            <w:w w:val="106"/>
            <w:sz w:val="20"/>
          </w:rPr>
          <w:t>d</w:t>
        </w:r>
        <w:r>
          <w:rPr>
            <w:i/>
            <w:color w:val="231F20"/>
            <w:w w:val="104"/>
            <w:sz w:val="20"/>
          </w:rPr>
          <w:t>-</w:t>
        </w:r>
        <w:r>
          <w:rPr>
            <w:i/>
            <w:color w:val="231F20"/>
            <w:w w:val="95"/>
            <w:sz w:val="20"/>
          </w:rPr>
          <w:t>ar</w:t>
        </w:r>
        <w:r>
          <w:rPr>
            <w:i/>
            <w:color w:val="231F20"/>
            <w:w w:val="104"/>
            <w:sz w:val="20"/>
          </w:rPr>
          <w:t>m</w:t>
        </w:r>
        <w:r>
          <w:rPr>
            <w:i/>
            <w:color w:val="231F20"/>
            <w:w w:val="108"/>
            <w:sz w:val="20"/>
          </w:rPr>
          <w:t>y</w:t>
        </w:r>
        <w:r>
          <w:rPr>
            <w:i/>
            <w:color w:val="231F20"/>
            <w:w w:val="104"/>
            <w:sz w:val="20"/>
          </w:rPr>
          <w:t>-</w:t>
        </w:r>
        <w:r>
          <w:rPr>
            <w:i/>
            <w:color w:val="231F20"/>
            <w:w w:val="113"/>
            <w:sz w:val="20"/>
          </w:rPr>
          <w:t>f</w:t>
        </w:r>
        <w:r>
          <w:rPr>
            <w:i/>
            <w:color w:val="231F20"/>
            <w:w w:val="95"/>
            <w:sz w:val="20"/>
          </w:rPr>
          <w:t>a</w:t>
        </w:r>
        <w:r>
          <w:rPr>
            <w:i/>
            <w:color w:val="231F20"/>
            <w:w w:val="102"/>
            <w:sz w:val="20"/>
          </w:rPr>
          <w:t>c</w:t>
        </w:r>
        <w:r>
          <w:rPr>
            <w:i/>
            <w:color w:val="231F20"/>
            <w:w w:val="96"/>
            <w:sz w:val="20"/>
          </w:rPr>
          <w:t>t</w:t>
        </w:r>
        <w:r>
          <w:rPr>
            <w:i/>
            <w:color w:val="231F20"/>
            <w:w w:val="102"/>
            <w:sz w:val="20"/>
          </w:rPr>
          <w:t>i</w:t>
        </w:r>
        <w:r>
          <w:rPr>
            <w:i/>
            <w:color w:val="231F20"/>
            <w:w w:val="109"/>
            <w:sz w:val="20"/>
          </w:rPr>
          <w:t>o</w:t>
        </w:r>
        <w:r>
          <w:rPr>
            <w:i/>
            <w:color w:val="231F20"/>
            <w:w w:val="103"/>
            <w:sz w:val="20"/>
          </w:rPr>
          <w:t>n</w:t>
        </w:r>
        <w:r>
          <w:rPr>
            <w:i/>
            <w:color w:val="231F20"/>
            <w:w w:val="59"/>
            <w:sz w:val="20"/>
          </w:rPr>
          <w:t>/</w:t>
        </w:r>
      </w:hyperlink>
      <w:r>
        <w:rPr>
          <w:i/>
          <w:color w:val="231F20"/>
          <w:w w:val="59"/>
          <w:sz w:val="20"/>
        </w:rPr>
        <w:t xml:space="preserve"> </w:t>
      </w:r>
      <w:r>
        <w:rPr>
          <w:i/>
          <w:color w:val="231F20"/>
          <w:w w:val="105"/>
          <w:sz w:val="20"/>
        </w:rPr>
        <w:t>documents/</w:t>
      </w:r>
      <w:r>
        <w:rPr>
          <w:rFonts w:ascii="Bookman Old Style"/>
          <w:i/>
          <w:color w:val="231F20"/>
          <w:w w:val="105"/>
          <w:sz w:val="20"/>
        </w:rPr>
        <w:t xml:space="preserve">76 </w:t>
      </w:r>
      <w:r>
        <w:rPr>
          <w:i/>
          <w:color w:val="231F20"/>
          <w:w w:val="105"/>
          <w:sz w:val="20"/>
        </w:rPr>
        <w:t>_</w:t>
      </w:r>
      <w:r>
        <w:rPr>
          <w:rFonts w:ascii="Bookman Old Style"/>
          <w:i/>
          <w:color w:val="231F20"/>
          <w:w w:val="105"/>
          <w:sz w:val="20"/>
        </w:rPr>
        <w:t xml:space="preserve">0708 </w:t>
      </w:r>
      <w:r>
        <w:rPr>
          <w:i/>
          <w:color w:val="231F20"/>
          <w:w w:val="105"/>
          <w:sz w:val="20"/>
        </w:rPr>
        <w:t>_mohnhaupt_pohl.html. (M.&amp; S.)</w:t>
      </w:r>
    </w:p>
    <w:p w14:paraId="70141C3F" w14:textId="77777777" w:rsidR="002653E8" w:rsidRDefault="002653E8">
      <w:pPr>
        <w:pStyle w:val="a3"/>
        <w:rPr>
          <w:i/>
          <w:sz w:val="22"/>
        </w:rPr>
      </w:pPr>
    </w:p>
    <w:p w14:paraId="4E8C8590" w14:textId="77777777" w:rsidR="002653E8" w:rsidRDefault="003115E3">
      <w:pPr>
        <w:spacing w:before="139" w:line="257" w:lineRule="exact"/>
        <w:ind w:left="1327"/>
      </w:pPr>
      <w:r>
        <w:rPr>
          <w:color w:val="231F20"/>
          <w:w w:val="125"/>
        </w:rPr>
        <w:t>on müller</w:t>
      </w:r>
      <w:r>
        <w:rPr>
          <w:color w:val="231F20"/>
          <w:w w:val="125"/>
          <w:sz w:val="19"/>
        </w:rPr>
        <w:t>’</w:t>
      </w:r>
      <w:r>
        <w:rPr>
          <w:color w:val="231F20"/>
          <w:w w:val="125"/>
        </w:rPr>
        <w:t>s claims</w:t>
      </w:r>
    </w:p>
    <w:p w14:paraId="7FECB5B5" w14:textId="77777777" w:rsidR="002653E8" w:rsidRDefault="003115E3">
      <w:pPr>
        <w:spacing w:line="257" w:lineRule="exact"/>
        <w:ind w:left="1327"/>
      </w:pPr>
      <w:r>
        <w:rPr>
          <w:color w:val="231F20"/>
          <w:w w:val="125"/>
        </w:rPr>
        <w:t xml:space="preserve">regarding the </w:t>
      </w:r>
      <w:r>
        <w:rPr>
          <w:color w:val="231F20"/>
          <w:w w:val="125"/>
          <w:sz w:val="18"/>
        </w:rPr>
        <w:t>“</w:t>
      </w:r>
      <w:r>
        <w:rPr>
          <w:color w:val="231F20"/>
          <w:w w:val="125"/>
        </w:rPr>
        <w:t>liquidation</w:t>
      </w:r>
      <w:r>
        <w:rPr>
          <w:color w:val="231F20"/>
          <w:w w:val="125"/>
          <w:sz w:val="18"/>
        </w:rPr>
        <w:t xml:space="preserve">” </w:t>
      </w:r>
      <w:r>
        <w:rPr>
          <w:color w:val="231F20"/>
          <w:w w:val="125"/>
        </w:rPr>
        <w:t>of comrades</w:t>
      </w:r>
    </w:p>
    <w:p w14:paraId="3703DD23" w14:textId="77777777" w:rsidR="002653E8" w:rsidRDefault="003115E3">
      <w:pPr>
        <w:pStyle w:val="a3"/>
        <w:spacing w:before="18" w:line="264" w:lineRule="auto"/>
        <w:ind w:left="1327" w:right="1146"/>
        <w:jc w:val="both"/>
      </w:pPr>
      <w:r>
        <w:rPr>
          <w:color w:val="231F20"/>
        </w:rPr>
        <w:t>Of course there were people who left. It would be untrue to say otherwise. Contradictions develop within a group engaged in the process that this one is engaged in. In the course of the struggle, there are obviously contradictions, and there are people who decide at a certain point to no longer do the job, because they no longer want to.</w:t>
      </w:r>
    </w:p>
    <w:p w14:paraId="2A474F46" w14:textId="77777777" w:rsidR="002653E8" w:rsidRDefault="003115E3">
      <w:pPr>
        <w:pStyle w:val="a3"/>
        <w:spacing w:line="264" w:lineRule="auto"/>
        <w:ind w:left="1327" w:right="1146" w:firstLine="210"/>
        <w:jc w:val="both"/>
      </w:pPr>
      <w:r>
        <w:rPr>
          <w:color w:val="231F20"/>
        </w:rPr>
        <w:t>They decide to return to their previous lives, to go back, or they do other things, even though everyone knows perfectly well that it isn’t possible, that it is a lie, when one has already been engaged in a practice such as ours. Such a decision can only be a step backwards, which always signifies a step backwards into shit.</w:t>
      </w:r>
    </w:p>
    <w:p w14:paraId="0CB8F5D1" w14:textId="7DBFA53B" w:rsidR="002653E8" w:rsidRDefault="003115E3">
      <w:pPr>
        <w:pStyle w:val="a3"/>
        <w:spacing w:line="264" w:lineRule="auto"/>
        <w:ind w:left="1327" w:right="1146" w:firstLine="210"/>
        <w:jc w:val="both"/>
      </w:pPr>
      <w:r>
        <w:rPr>
          <w:color w:val="231F20"/>
        </w:rPr>
        <w:t>There</w:t>
      </w:r>
      <w:r>
        <w:rPr>
          <w:color w:val="231F20"/>
          <w:spacing w:val="-10"/>
        </w:rPr>
        <w:t xml:space="preserve"> </w:t>
      </w:r>
      <w:r>
        <w:rPr>
          <w:color w:val="231F20"/>
        </w:rPr>
        <w:t>were</w:t>
      </w:r>
      <w:r>
        <w:rPr>
          <w:color w:val="231F20"/>
          <w:spacing w:val="-10"/>
        </w:rPr>
        <w:t xml:space="preserve"> </w:t>
      </w:r>
      <w:r>
        <w:rPr>
          <w:color w:val="231F20"/>
        </w:rPr>
        <w:t>departures</w:t>
      </w:r>
      <w:r>
        <w:rPr>
          <w:color w:val="231F20"/>
          <w:spacing w:val="-10"/>
        </w:rPr>
        <w:t xml:space="preserve"> </w:t>
      </w:r>
      <w:r>
        <w:rPr>
          <w:color w:val="231F20"/>
        </w:rPr>
        <w:t>like</w:t>
      </w:r>
      <w:r>
        <w:rPr>
          <w:color w:val="231F20"/>
          <w:spacing w:val="-10"/>
        </w:rPr>
        <w:t xml:space="preserve"> </w:t>
      </w:r>
      <w:r>
        <w:rPr>
          <w:color w:val="231F20"/>
        </w:rPr>
        <w:t>that,</w:t>
      </w:r>
      <w:r>
        <w:rPr>
          <w:color w:val="231F20"/>
          <w:spacing w:val="-10"/>
        </w:rPr>
        <w:t xml:space="preserve"> </w:t>
      </w:r>
      <w:r>
        <w:rPr>
          <w:color w:val="231F20"/>
        </w:rPr>
        <w:t>but</w:t>
      </w:r>
      <w:r>
        <w:rPr>
          <w:color w:val="231F20"/>
          <w:spacing w:val="-10"/>
        </w:rPr>
        <w:t xml:space="preserve"> </w:t>
      </w:r>
      <w:r>
        <w:rPr>
          <w:color w:val="231F20"/>
        </w:rPr>
        <w:t>there</w:t>
      </w:r>
      <w:r>
        <w:rPr>
          <w:color w:val="231F20"/>
          <w:spacing w:val="-10"/>
        </w:rPr>
        <w:t xml:space="preserve"> </w:t>
      </w:r>
      <w:r>
        <w:rPr>
          <w:color w:val="231F20"/>
        </w:rPr>
        <w:t>was</w:t>
      </w:r>
      <w:r>
        <w:rPr>
          <w:color w:val="231F20"/>
          <w:spacing w:val="-10"/>
        </w:rPr>
        <w:t xml:space="preserve"> </w:t>
      </w:r>
      <w:r>
        <w:rPr>
          <w:color w:val="231F20"/>
        </w:rPr>
        <w:t>obviously</w:t>
      </w:r>
      <w:r>
        <w:rPr>
          <w:color w:val="231F20"/>
          <w:spacing w:val="-10"/>
        </w:rPr>
        <w:t xml:space="preserve"> </w:t>
      </w:r>
      <w:r>
        <w:rPr>
          <w:color w:val="231F20"/>
        </w:rPr>
        <w:t>never</w:t>
      </w:r>
      <w:r>
        <w:rPr>
          <w:color w:val="231F20"/>
          <w:spacing w:val="-10"/>
        </w:rPr>
        <w:t xml:space="preserve"> </w:t>
      </w:r>
      <w:r>
        <w:rPr>
          <w:color w:val="231F20"/>
        </w:rPr>
        <w:t>a</w:t>
      </w:r>
      <w:r>
        <w:rPr>
          <w:color w:val="231F20"/>
          <w:spacing w:val="-10"/>
        </w:rPr>
        <w:t xml:space="preserve"> </w:t>
      </w:r>
      <w:r>
        <w:rPr>
          <w:color w:val="231F20"/>
        </w:rPr>
        <w:t xml:space="preserve">question of liquidation at any point or regarding any departure. There were departures involving people who, as I’ve already said, could no longer do the work, who no longer wanted to do it, because they understood that it meant going underground, which is what armed struggle always means. It was a completely free decision on their part. Leaving was the right thing for them to do. It would be stupid for them to </w:t>
      </w:r>
      <w:r>
        <w:rPr>
          <w:color w:val="231F20"/>
          <w:spacing w:val="-3"/>
        </w:rPr>
        <w:t xml:space="preserve">stay, </w:t>
      </w:r>
      <w:r>
        <w:rPr>
          <w:color w:val="231F20"/>
        </w:rPr>
        <w:t>because there</w:t>
      </w:r>
      <w:r>
        <w:rPr>
          <w:color w:val="231F20"/>
          <w:spacing w:val="10"/>
        </w:rPr>
        <w:t xml:space="preserve"> </w:t>
      </w:r>
      <w:r>
        <w:rPr>
          <w:color w:val="231F20"/>
        </w:rPr>
        <w:t>wouldn’t,</w:t>
      </w:r>
      <w:r>
        <w:rPr>
          <w:color w:val="231F20"/>
          <w:spacing w:val="10"/>
        </w:rPr>
        <w:t xml:space="preserve"> </w:t>
      </w:r>
      <w:r>
        <w:rPr>
          <w:color w:val="231F20"/>
        </w:rPr>
        <w:t>in</w:t>
      </w:r>
      <w:r>
        <w:rPr>
          <w:color w:val="231F20"/>
          <w:spacing w:val="10"/>
        </w:rPr>
        <w:t xml:space="preserve"> </w:t>
      </w:r>
      <w:r>
        <w:rPr>
          <w:color w:val="231F20"/>
        </w:rPr>
        <w:t>any</w:t>
      </w:r>
      <w:r>
        <w:rPr>
          <w:color w:val="231F20"/>
          <w:spacing w:val="10"/>
        </w:rPr>
        <w:t xml:space="preserve"> </w:t>
      </w:r>
      <w:r>
        <w:rPr>
          <w:color w:val="231F20"/>
        </w:rPr>
        <w:t>case,</w:t>
      </w:r>
      <w:r>
        <w:rPr>
          <w:color w:val="231F20"/>
          <w:spacing w:val="10"/>
        </w:rPr>
        <w:t xml:space="preserve"> </w:t>
      </w:r>
      <w:r>
        <w:rPr>
          <w:color w:val="231F20"/>
        </w:rPr>
        <w:t>be</w:t>
      </w:r>
      <w:r>
        <w:rPr>
          <w:color w:val="231F20"/>
          <w:spacing w:val="10"/>
        </w:rPr>
        <w:t xml:space="preserve"> </w:t>
      </w:r>
      <w:r>
        <w:rPr>
          <w:color w:val="231F20"/>
        </w:rPr>
        <w:t>any</w:t>
      </w:r>
      <w:r>
        <w:rPr>
          <w:color w:val="231F20"/>
          <w:spacing w:val="10"/>
        </w:rPr>
        <w:t xml:space="preserve"> </w:t>
      </w:r>
      <w:r>
        <w:rPr>
          <w:color w:val="231F20"/>
          <w:spacing w:val="-2"/>
        </w:rPr>
        <w:t>way</w:t>
      </w:r>
      <w:r>
        <w:rPr>
          <w:color w:val="231F20"/>
          <w:spacing w:val="10"/>
        </w:rPr>
        <w:t xml:space="preserve"> </w:t>
      </w:r>
      <w:r>
        <w:rPr>
          <w:color w:val="231F20"/>
        </w:rPr>
        <w:t>to</w:t>
      </w:r>
      <w:r>
        <w:rPr>
          <w:color w:val="231F20"/>
          <w:spacing w:val="10"/>
        </w:rPr>
        <w:t xml:space="preserve"> </w:t>
      </w:r>
      <w:r>
        <w:rPr>
          <w:color w:val="231F20"/>
        </w:rPr>
        <w:t>engage</w:t>
      </w:r>
      <w:r>
        <w:rPr>
          <w:color w:val="231F20"/>
          <w:spacing w:val="10"/>
        </w:rPr>
        <w:t xml:space="preserve"> </w:t>
      </w:r>
      <w:r>
        <w:rPr>
          <w:color w:val="231F20"/>
        </w:rPr>
        <w:t>in</w:t>
      </w:r>
      <w:r>
        <w:rPr>
          <w:color w:val="231F20"/>
          <w:spacing w:val="10"/>
        </w:rPr>
        <w:t xml:space="preserve"> </w:t>
      </w:r>
      <w:r>
        <w:rPr>
          <w:color w:val="231F20"/>
        </w:rPr>
        <w:t>a</w:t>
      </w:r>
      <w:r>
        <w:rPr>
          <w:color w:val="231F20"/>
          <w:spacing w:val="10"/>
        </w:rPr>
        <w:t xml:space="preserve"> </w:t>
      </w:r>
      <w:r>
        <w:rPr>
          <w:color w:val="231F20"/>
        </w:rPr>
        <w:t>shared</w:t>
      </w:r>
      <w:r>
        <w:rPr>
          <w:color w:val="231F20"/>
          <w:spacing w:val="10"/>
        </w:rPr>
        <w:t xml:space="preserve"> </w:t>
      </w:r>
      <w:r>
        <w:rPr>
          <w:color w:val="231F20"/>
        </w:rPr>
        <w:t>practice.</w:t>
      </w:r>
    </w:p>
    <w:p w14:paraId="2EBB0E0C" w14:textId="77777777" w:rsidR="002653E8" w:rsidRDefault="003115E3">
      <w:pPr>
        <w:pStyle w:val="a3"/>
        <w:rPr>
          <w:sz w:val="17"/>
        </w:rPr>
      </w:pPr>
      <w:r>
        <w:drawing>
          <wp:anchor distT="0" distB="0" distL="0" distR="0" simplePos="0" relativeHeight="7936" behindDoc="0" locked="0" layoutInCell="1" allowOverlap="1" wp14:anchorId="7041E88C" wp14:editId="2B8343D0">
            <wp:simplePos x="0" y="0"/>
            <wp:positionH relativeFrom="page">
              <wp:posOffset>2581601</wp:posOffset>
            </wp:positionH>
            <wp:positionV relativeFrom="paragraph">
              <wp:posOffset>151505</wp:posOffset>
            </wp:positionV>
            <wp:extent cx="597737" cy="309562"/>
            <wp:effectExtent l="0" t="0" r="0" b="0"/>
            <wp:wrapTopAndBottom/>
            <wp:docPr id="4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png"/>
                    <pic:cNvPicPr/>
                  </pic:nvPicPr>
                  <pic:blipFill>
                    <a:blip r:embed="rId304" cstate="print"/>
                    <a:stretch>
                      <a:fillRect/>
                    </a:stretch>
                  </pic:blipFill>
                  <pic:spPr>
                    <a:xfrm>
                      <a:off x="0" y="0"/>
                      <a:ext cx="597737" cy="309562"/>
                    </a:xfrm>
                    <a:prstGeom prst="rect">
                      <a:avLst/>
                    </a:prstGeom>
                  </pic:spPr>
                </pic:pic>
              </a:graphicData>
            </a:graphic>
          </wp:anchor>
        </w:drawing>
      </w:r>
    </w:p>
    <w:p w14:paraId="5916A1E6" w14:textId="77777777" w:rsidR="002653E8" w:rsidRDefault="002653E8">
      <w:pPr>
        <w:pStyle w:val="a3"/>
        <w:spacing w:before="7"/>
        <w:rPr>
          <w:sz w:val="21"/>
        </w:rPr>
      </w:pPr>
    </w:p>
    <w:p w14:paraId="544DCF97" w14:textId="77777777" w:rsidR="002653E8" w:rsidRDefault="003115E3">
      <w:pPr>
        <w:pStyle w:val="a3"/>
        <w:spacing w:line="264" w:lineRule="auto"/>
        <w:ind w:left="1327" w:right="1146"/>
        <w:jc w:val="both"/>
      </w:pPr>
      <w:r>
        <w:rPr>
          <w:color w:val="231F20"/>
        </w:rPr>
        <w:t>There were also departures that we ourselves decided upon. There  were people who knew that we were ending relations with them for clear reasons, basically for the same reason, because, at a given point,    it was no longer possible to have a shared practice, because contradictions had developed. And, yeah, they’re all still alive, that’s all complete nonsense—it unfolded completely normally. They do other things, conscious</w:t>
      </w:r>
      <w:r>
        <w:rPr>
          <w:color w:val="231F20"/>
          <w:spacing w:val="10"/>
        </w:rPr>
        <w:t xml:space="preserve"> </w:t>
      </w:r>
      <w:r>
        <w:rPr>
          <w:color w:val="231F20"/>
        </w:rPr>
        <w:t>that</w:t>
      </w:r>
      <w:r>
        <w:rPr>
          <w:color w:val="231F20"/>
          <w:spacing w:val="10"/>
        </w:rPr>
        <w:t xml:space="preserve"> </w:t>
      </w:r>
      <w:r>
        <w:rPr>
          <w:color w:val="231F20"/>
        </w:rPr>
        <w:t>they</w:t>
      </w:r>
      <w:r>
        <w:rPr>
          <w:color w:val="231F20"/>
          <w:spacing w:val="10"/>
        </w:rPr>
        <w:t xml:space="preserve"> </w:t>
      </w:r>
      <w:r>
        <w:rPr>
          <w:color w:val="231F20"/>
        </w:rPr>
        <w:t>can</w:t>
      </w:r>
      <w:r>
        <w:rPr>
          <w:color w:val="231F20"/>
          <w:spacing w:val="10"/>
        </w:rPr>
        <w:t xml:space="preserve"> </w:t>
      </w:r>
      <w:r>
        <w:rPr>
          <w:color w:val="231F20"/>
        </w:rPr>
        <w:t>never</w:t>
      </w:r>
      <w:r>
        <w:rPr>
          <w:color w:val="231F20"/>
          <w:spacing w:val="10"/>
        </w:rPr>
        <w:t xml:space="preserve"> </w:t>
      </w:r>
      <w:r>
        <w:rPr>
          <w:color w:val="231F20"/>
        </w:rPr>
        <w:t>again</w:t>
      </w:r>
      <w:r>
        <w:rPr>
          <w:color w:val="231F20"/>
          <w:spacing w:val="10"/>
        </w:rPr>
        <w:t xml:space="preserve"> </w:t>
      </w:r>
      <w:r>
        <w:rPr>
          <w:color w:val="231F20"/>
        </w:rPr>
        <w:t>engage</w:t>
      </w:r>
      <w:r>
        <w:rPr>
          <w:color w:val="231F20"/>
          <w:spacing w:val="10"/>
        </w:rPr>
        <w:t xml:space="preserve"> </w:t>
      </w:r>
      <w:r>
        <w:rPr>
          <w:color w:val="231F20"/>
        </w:rPr>
        <w:t>in</w:t>
      </w:r>
      <w:r>
        <w:rPr>
          <w:color w:val="231F20"/>
          <w:spacing w:val="10"/>
        </w:rPr>
        <w:t xml:space="preserve"> </w:t>
      </w:r>
      <w:r>
        <w:rPr>
          <w:color w:val="231F20"/>
        </w:rPr>
        <w:t>this</w:t>
      </w:r>
      <w:r>
        <w:rPr>
          <w:color w:val="231F20"/>
          <w:spacing w:val="10"/>
        </w:rPr>
        <w:t xml:space="preserve"> </w:t>
      </w:r>
      <w:r>
        <w:rPr>
          <w:color w:val="231F20"/>
        </w:rPr>
        <w:t>practice.</w:t>
      </w:r>
    </w:p>
    <w:p w14:paraId="4821C84B" w14:textId="77777777" w:rsidR="002653E8" w:rsidRDefault="002653E8">
      <w:pPr>
        <w:spacing w:line="264" w:lineRule="auto"/>
        <w:jc w:val="both"/>
        <w:sectPr w:rsidR="002653E8">
          <w:footerReference w:type="even" r:id="rId305"/>
          <w:footerReference w:type="default" r:id="rId306"/>
          <w:pgSz w:w="8640" w:h="12960"/>
          <w:pgMar w:top="1220" w:right="0" w:bottom="1040" w:left="0" w:header="0" w:footer="850" w:gutter="0"/>
          <w:pgNumType w:start="355"/>
          <w:cols w:space="720"/>
        </w:sectPr>
      </w:pPr>
    </w:p>
    <w:p w14:paraId="530DC96D" w14:textId="77777777" w:rsidR="002653E8" w:rsidRDefault="003115E3">
      <w:pPr>
        <w:pStyle w:val="a3"/>
        <w:ind w:left="3885"/>
      </w:pPr>
      <w:r>
        <w:lastRenderedPageBreak/>
        <w:drawing>
          <wp:inline distT="0" distB="0" distL="0" distR="0" wp14:anchorId="65CD4D44" wp14:editId="101A0738">
            <wp:extent cx="597737" cy="309562"/>
            <wp:effectExtent l="0" t="0" r="0" b="0"/>
            <wp:docPr id="4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9.png"/>
                    <pic:cNvPicPr/>
                  </pic:nvPicPr>
                  <pic:blipFill>
                    <a:blip r:embed="rId307" cstate="print"/>
                    <a:stretch>
                      <a:fillRect/>
                    </a:stretch>
                  </pic:blipFill>
                  <pic:spPr>
                    <a:xfrm>
                      <a:off x="0" y="0"/>
                      <a:ext cx="597737" cy="309562"/>
                    </a:xfrm>
                    <a:prstGeom prst="rect">
                      <a:avLst/>
                    </a:prstGeom>
                  </pic:spPr>
                </pic:pic>
              </a:graphicData>
            </a:graphic>
          </wp:inline>
        </w:drawing>
      </w:r>
    </w:p>
    <w:p w14:paraId="52F52ED1" w14:textId="77777777" w:rsidR="002653E8" w:rsidRDefault="002653E8">
      <w:pPr>
        <w:pStyle w:val="a3"/>
        <w:spacing w:before="2"/>
        <w:rPr>
          <w:sz w:val="16"/>
        </w:rPr>
      </w:pPr>
    </w:p>
    <w:p w14:paraId="2311E810" w14:textId="3A79965B" w:rsidR="002653E8" w:rsidRDefault="003115E3">
      <w:pPr>
        <w:pStyle w:val="a3"/>
        <w:spacing w:before="99" w:line="264" w:lineRule="auto"/>
        <w:ind w:left="1148" w:right="1325" w:hanging="1"/>
        <w:jc w:val="both"/>
      </w:pPr>
      <w:r>
        <w:rPr>
          <w:color w:val="231F20"/>
        </w:rPr>
        <w:t>Maybe it should be explained how things would happen when someone decided to stop. It always happened in the course of a discussion    in which everyone participated, or at least a good number of people, everyone who could participate, given the</w:t>
      </w:r>
      <w:r>
        <w:rPr>
          <w:color w:val="231F20"/>
          <w:spacing w:val="20"/>
        </w:rPr>
        <w:t xml:space="preserve"> </w:t>
      </w:r>
      <w:r>
        <w:rPr>
          <w:color w:val="231F20"/>
        </w:rPr>
        <w:t>circumstances.</w:t>
      </w:r>
    </w:p>
    <w:p w14:paraId="01006304" w14:textId="77777777" w:rsidR="002653E8" w:rsidRDefault="003115E3">
      <w:pPr>
        <w:pStyle w:val="a3"/>
        <w:spacing w:line="264" w:lineRule="auto"/>
        <w:ind w:left="1148" w:right="1325" w:firstLine="210"/>
        <w:jc w:val="both"/>
      </w:pPr>
      <w:r>
        <w:rPr>
          <w:color w:val="231F20"/>
        </w:rPr>
        <w:t xml:space="preserve">This took place in the context of discussions. It </w:t>
      </w:r>
      <w:r>
        <w:rPr>
          <w:color w:val="231F20"/>
          <w:spacing w:val="-3"/>
        </w:rPr>
        <w:t xml:space="preserve">wasn’t </w:t>
      </w:r>
      <w:r>
        <w:rPr>
          <w:color w:val="231F20"/>
        </w:rPr>
        <w:t xml:space="preserve">done in a heavy-handed </w:t>
      </w:r>
      <w:r>
        <w:rPr>
          <w:color w:val="231F20"/>
          <w:spacing w:val="-5"/>
        </w:rPr>
        <w:t xml:space="preserve">way.  </w:t>
      </w:r>
      <w:r>
        <w:rPr>
          <w:color w:val="231F20"/>
        </w:rPr>
        <w:t>Each time there was an evolution which allowed  the person concerned—along with all the others, each person in the group—to understand that the point had been reached where it was no longer possible to work together, the time had come for him to make      a decision: to change, if he still wanted to, if he could manage it, if he could,</w:t>
      </w:r>
      <w:r>
        <w:rPr>
          <w:color w:val="231F20"/>
          <w:spacing w:val="10"/>
        </w:rPr>
        <w:t xml:space="preserve"> </w:t>
      </w:r>
      <w:r>
        <w:rPr>
          <w:color w:val="231F20"/>
        </w:rPr>
        <w:t>obviously,</w:t>
      </w:r>
      <w:r>
        <w:rPr>
          <w:color w:val="231F20"/>
          <w:spacing w:val="10"/>
        </w:rPr>
        <w:t xml:space="preserve"> </w:t>
      </w:r>
      <w:r>
        <w:rPr>
          <w:color w:val="231F20"/>
        </w:rPr>
        <w:t>with</w:t>
      </w:r>
      <w:r>
        <w:rPr>
          <w:color w:val="231F20"/>
          <w:spacing w:val="10"/>
        </w:rPr>
        <w:t xml:space="preserve"> </w:t>
      </w:r>
      <w:r>
        <w:rPr>
          <w:color w:val="231F20"/>
        </w:rPr>
        <w:t>the</w:t>
      </w:r>
      <w:r>
        <w:rPr>
          <w:color w:val="231F20"/>
          <w:spacing w:val="10"/>
        </w:rPr>
        <w:t xml:space="preserve"> </w:t>
      </w:r>
      <w:r>
        <w:rPr>
          <w:color w:val="231F20"/>
        </w:rPr>
        <w:t>help</w:t>
      </w:r>
      <w:r>
        <w:rPr>
          <w:color w:val="231F20"/>
          <w:spacing w:val="10"/>
        </w:rPr>
        <w:t xml:space="preserve"> </w:t>
      </w:r>
      <w:r>
        <w:rPr>
          <w:color w:val="231F20"/>
        </w:rPr>
        <w:t>of</w:t>
      </w:r>
      <w:r>
        <w:rPr>
          <w:color w:val="231F20"/>
          <w:spacing w:val="10"/>
        </w:rPr>
        <w:t xml:space="preserve"> </w:t>
      </w:r>
      <w:r>
        <w:rPr>
          <w:color w:val="231F20"/>
        </w:rPr>
        <w:t>all</w:t>
      </w:r>
      <w:r>
        <w:rPr>
          <w:color w:val="231F20"/>
          <w:spacing w:val="10"/>
        </w:rPr>
        <w:t xml:space="preserve"> </w:t>
      </w:r>
      <w:r>
        <w:rPr>
          <w:color w:val="231F20"/>
        </w:rPr>
        <w:t>the</w:t>
      </w:r>
      <w:r>
        <w:rPr>
          <w:color w:val="231F20"/>
          <w:spacing w:val="10"/>
        </w:rPr>
        <w:t xml:space="preserve"> </w:t>
      </w:r>
      <w:r>
        <w:rPr>
          <w:color w:val="231F20"/>
        </w:rPr>
        <w:t>others—or</w:t>
      </w:r>
      <w:r>
        <w:rPr>
          <w:color w:val="231F20"/>
          <w:spacing w:val="10"/>
        </w:rPr>
        <w:t xml:space="preserve"> </w:t>
      </w:r>
      <w:r>
        <w:rPr>
          <w:color w:val="231F20"/>
        </w:rPr>
        <w:t>else</w:t>
      </w:r>
      <w:r>
        <w:rPr>
          <w:color w:val="231F20"/>
          <w:spacing w:val="10"/>
        </w:rPr>
        <w:t xml:space="preserve"> </w:t>
      </w:r>
      <w:r>
        <w:rPr>
          <w:color w:val="231F20"/>
        </w:rPr>
        <w:t>he</w:t>
      </w:r>
      <w:r>
        <w:rPr>
          <w:color w:val="231F20"/>
          <w:spacing w:val="10"/>
        </w:rPr>
        <w:t xml:space="preserve"> </w:t>
      </w:r>
      <w:r>
        <w:rPr>
          <w:color w:val="231F20"/>
        </w:rPr>
        <w:t>can</w:t>
      </w:r>
      <w:r>
        <w:rPr>
          <w:color w:val="231F20"/>
          <w:spacing w:val="10"/>
        </w:rPr>
        <w:t xml:space="preserve"> </w:t>
      </w:r>
      <w:r>
        <w:rPr>
          <w:color w:val="231F20"/>
        </w:rPr>
        <w:t>leave.</w:t>
      </w:r>
    </w:p>
    <w:p w14:paraId="06E34295" w14:textId="77777777" w:rsidR="002653E8" w:rsidRDefault="003115E3">
      <w:pPr>
        <w:pStyle w:val="a3"/>
        <w:spacing w:line="264" w:lineRule="auto"/>
        <w:ind w:left="1148" w:right="1325" w:firstLine="210"/>
        <w:jc w:val="both"/>
      </w:pPr>
      <w:r>
        <w:rPr>
          <w:color w:val="231F20"/>
        </w:rPr>
        <w:t>At that point, he is free to leave, and there is no pressure, because it’s his decision, because he understands this, and because throughout it all there is no loss of self-respect, he is not rejected. It could not possibly have been handled any other way given the structure.</w:t>
      </w:r>
    </w:p>
    <w:p w14:paraId="577E1576" w14:textId="77777777" w:rsidR="002653E8" w:rsidRDefault="003115E3">
      <w:pPr>
        <w:pStyle w:val="a3"/>
        <w:spacing w:line="264" w:lineRule="auto"/>
        <w:ind w:left="1148" w:right="1325" w:firstLine="210"/>
        <w:jc w:val="both"/>
      </w:pPr>
      <w:r>
        <w:rPr>
          <w:color w:val="231F20"/>
        </w:rPr>
        <w:t>That is what makes this Hausner story of Müller’s absolutely impossible. Under certain specific circumstances, liquidation is obviously an option. But within the context of what the group was doing in 72, it would have been an error in that situation.</w:t>
      </w:r>
    </w:p>
    <w:p w14:paraId="1B0A3237" w14:textId="77777777" w:rsidR="002653E8" w:rsidRDefault="003115E3">
      <w:pPr>
        <w:pStyle w:val="a3"/>
        <w:spacing w:line="264" w:lineRule="auto"/>
        <w:ind w:left="1148" w:right="1325" w:firstLine="210"/>
        <w:jc w:val="both"/>
      </w:pPr>
      <w:r>
        <w:rPr>
          <w:color w:val="231F20"/>
        </w:rPr>
        <w:t xml:space="preserve">It is absolutely untrue that Hausner wanted to leave, and it is also completely untrue that we had said he should leave. There was absolutely no reason, given who he was, given what he had done, that would have led us to force him to leave or to have liquidated him. </w:t>
      </w:r>
      <w:r>
        <w:rPr>
          <w:color w:val="231F20"/>
          <w:spacing w:val="-3"/>
        </w:rPr>
        <w:t xml:space="preserve">It’s </w:t>
      </w:r>
      <w:r>
        <w:rPr>
          <w:color w:val="231F20"/>
        </w:rPr>
        <w:t xml:space="preserve">absolutely ridiculous. It never happened. Obviously, everyone makes mistakes, but nobody had the arrogance or the absolutism to </w:t>
      </w:r>
      <w:r>
        <w:rPr>
          <w:color w:val="231F20"/>
          <w:spacing w:val="-4"/>
        </w:rPr>
        <w:t xml:space="preserve">say, </w:t>
      </w:r>
      <w:r>
        <w:rPr>
          <w:color w:val="231F20"/>
        </w:rPr>
        <w:t xml:space="preserve">“Me, I </w:t>
      </w:r>
      <w:r>
        <w:rPr>
          <w:color w:val="231F20"/>
          <w:spacing w:val="-3"/>
        </w:rPr>
        <w:t xml:space="preserve">don’t </w:t>
      </w:r>
      <w:r>
        <w:rPr>
          <w:color w:val="231F20"/>
        </w:rPr>
        <w:t>make</w:t>
      </w:r>
      <w:r>
        <w:rPr>
          <w:color w:val="231F20"/>
          <w:spacing w:val="-15"/>
        </w:rPr>
        <w:t xml:space="preserve"> </w:t>
      </w:r>
      <w:r>
        <w:rPr>
          <w:color w:val="231F20"/>
        </w:rPr>
        <w:t>mistakes.”</w:t>
      </w:r>
    </w:p>
    <w:p w14:paraId="713517C8" w14:textId="77777777" w:rsidR="002653E8" w:rsidRDefault="003115E3">
      <w:pPr>
        <w:pStyle w:val="a3"/>
        <w:spacing w:line="264" w:lineRule="auto"/>
        <w:ind w:left="1148" w:right="1325" w:firstLine="210"/>
        <w:jc w:val="both"/>
      </w:pPr>
      <w:r>
        <w:rPr>
          <w:color w:val="231F20"/>
          <w:spacing w:val="1"/>
          <w:w w:val="105"/>
        </w:rPr>
        <w:t xml:space="preserve">In </w:t>
      </w:r>
      <w:r>
        <w:rPr>
          <w:color w:val="231F20"/>
          <w:w w:val="105"/>
        </w:rPr>
        <w:t>any case, given the situation within the group, it is a swinish lie that we would have said, “Now he must leave, and if he doesn’t leave, then…”—what Müller said was, “If he couldn’t go to Holland, if he couldn’t</w:t>
      </w:r>
      <w:r>
        <w:rPr>
          <w:color w:val="231F20"/>
          <w:spacing w:val="-18"/>
          <w:w w:val="105"/>
        </w:rPr>
        <w:t xml:space="preserve"> </w:t>
      </w:r>
      <w:r>
        <w:rPr>
          <w:color w:val="231F20"/>
          <w:w w:val="105"/>
        </w:rPr>
        <w:t>be</w:t>
      </w:r>
      <w:r>
        <w:rPr>
          <w:color w:val="231F20"/>
          <w:spacing w:val="-18"/>
          <w:w w:val="105"/>
        </w:rPr>
        <w:t xml:space="preserve"> </w:t>
      </w:r>
      <w:r>
        <w:rPr>
          <w:color w:val="231F20"/>
          <w:w w:val="105"/>
        </w:rPr>
        <w:t>sent</w:t>
      </w:r>
      <w:r>
        <w:rPr>
          <w:color w:val="231F20"/>
          <w:spacing w:val="-18"/>
          <w:w w:val="105"/>
        </w:rPr>
        <w:t xml:space="preserve"> </w:t>
      </w:r>
      <w:r>
        <w:rPr>
          <w:color w:val="231F20"/>
          <w:w w:val="105"/>
        </w:rPr>
        <w:t>to</w:t>
      </w:r>
      <w:r>
        <w:rPr>
          <w:color w:val="231F20"/>
          <w:spacing w:val="-18"/>
          <w:w w:val="105"/>
        </w:rPr>
        <w:t xml:space="preserve"> </w:t>
      </w:r>
      <w:r>
        <w:rPr>
          <w:color w:val="231F20"/>
          <w:w w:val="105"/>
        </w:rPr>
        <w:t>a</w:t>
      </w:r>
      <w:r>
        <w:rPr>
          <w:color w:val="231F20"/>
          <w:spacing w:val="-18"/>
          <w:w w:val="105"/>
        </w:rPr>
        <w:t xml:space="preserve"> </w:t>
      </w:r>
      <w:r>
        <w:rPr>
          <w:color w:val="231F20"/>
          <w:w w:val="105"/>
        </w:rPr>
        <w:t>foreign</w:t>
      </w:r>
      <w:r>
        <w:rPr>
          <w:color w:val="231F20"/>
          <w:spacing w:val="-18"/>
          <w:w w:val="105"/>
        </w:rPr>
        <w:t xml:space="preserve"> </w:t>
      </w:r>
      <w:r>
        <w:rPr>
          <w:color w:val="231F20"/>
          <w:w w:val="105"/>
        </w:rPr>
        <w:t>country,</w:t>
      </w:r>
      <w:r>
        <w:rPr>
          <w:color w:val="231F20"/>
          <w:spacing w:val="-18"/>
          <w:w w:val="105"/>
        </w:rPr>
        <w:t xml:space="preserve"> </w:t>
      </w:r>
      <w:r>
        <w:rPr>
          <w:color w:val="231F20"/>
          <w:w w:val="105"/>
        </w:rPr>
        <w:t>then</w:t>
      </w:r>
      <w:r>
        <w:rPr>
          <w:color w:val="231F20"/>
          <w:spacing w:val="-18"/>
          <w:w w:val="105"/>
        </w:rPr>
        <w:t xml:space="preserve"> </w:t>
      </w:r>
      <w:r>
        <w:rPr>
          <w:color w:val="231F20"/>
          <w:w w:val="105"/>
        </w:rPr>
        <w:t>it</w:t>
      </w:r>
      <w:r>
        <w:rPr>
          <w:color w:val="231F20"/>
          <w:spacing w:val="-18"/>
          <w:w w:val="105"/>
        </w:rPr>
        <w:t xml:space="preserve"> </w:t>
      </w:r>
      <w:r>
        <w:rPr>
          <w:color w:val="231F20"/>
          <w:w w:val="105"/>
        </w:rPr>
        <w:t>was</w:t>
      </w:r>
      <w:r>
        <w:rPr>
          <w:color w:val="231F20"/>
          <w:spacing w:val="-18"/>
          <w:w w:val="105"/>
        </w:rPr>
        <w:t xml:space="preserve"> </w:t>
      </w:r>
      <w:r>
        <w:rPr>
          <w:color w:val="231F20"/>
          <w:w w:val="105"/>
        </w:rPr>
        <w:t>necessary,</w:t>
      </w:r>
      <w:r>
        <w:rPr>
          <w:color w:val="231F20"/>
          <w:spacing w:val="-18"/>
          <w:w w:val="105"/>
        </w:rPr>
        <w:t xml:space="preserve"> </w:t>
      </w:r>
      <w:r>
        <w:rPr>
          <w:color w:val="231F20"/>
          <w:w w:val="105"/>
        </w:rPr>
        <w:t>as</w:t>
      </w:r>
      <w:r>
        <w:rPr>
          <w:color w:val="231F20"/>
          <w:spacing w:val="-18"/>
          <w:w w:val="105"/>
        </w:rPr>
        <w:t xml:space="preserve"> </w:t>
      </w:r>
      <w:r>
        <w:rPr>
          <w:color w:val="231F20"/>
          <w:w w:val="105"/>
        </w:rPr>
        <w:t>an</w:t>
      </w:r>
      <w:r>
        <w:rPr>
          <w:color w:val="231F20"/>
          <w:spacing w:val="-18"/>
          <w:w w:val="105"/>
        </w:rPr>
        <w:t xml:space="preserve"> </w:t>
      </w:r>
      <w:r>
        <w:rPr>
          <w:color w:val="231F20"/>
          <w:w w:val="105"/>
        </w:rPr>
        <w:t>emergency solution, to simply liquidate</w:t>
      </w:r>
      <w:r>
        <w:rPr>
          <w:color w:val="231F20"/>
          <w:spacing w:val="32"/>
          <w:w w:val="105"/>
        </w:rPr>
        <w:t xml:space="preserve"> </w:t>
      </w:r>
      <w:r>
        <w:rPr>
          <w:color w:val="231F20"/>
          <w:w w:val="105"/>
        </w:rPr>
        <w:t>him.”</w:t>
      </w:r>
    </w:p>
    <w:p w14:paraId="1CDE4F84" w14:textId="77777777" w:rsidR="002653E8" w:rsidRDefault="003115E3">
      <w:pPr>
        <w:pStyle w:val="a3"/>
        <w:spacing w:line="264" w:lineRule="auto"/>
        <w:ind w:left="1148" w:right="1325" w:firstLine="210"/>
        <w:jc w:val="both"/>
      </w:pPr>
      <w:r>
        <w:rPr>
          <w:color w:val="231F20"/>
          <w:spacing w:val="1"/>
        </w:rPr>
        <w:t xml:space="preserve">If </w:t>
      </w:r>
      <w:r>
        <w:rPr>
          <w:color w:val="231F20"/>
        </w:rPr>
        <w:t>such a thing could have happened, it would have weakened and destroyed the structure, destroyed the group, destroyed the individuals who had struggled as part of the group, rather than strengthening them, because if something like that could happen in the group how would it remain possible for individuals to struggle, to be courageous, and above all to find their</w:t>
      </w:r>
      <w:r>
        <w:rPr>
          <w:color w:val="231F20"/>
          <w:spacing w:val="18"/>
        </w:rPr>
        <w:t xml:space="preserve"> </w:t>
      </w:r>
      <w:r>
        <w:rPr>
          <w:color w:val="231F20"/>
        </w:rPr>
        <w:t>identities?</w:t>
      </w:r>
    </w:p>
    <w:p w14:paraId="179D382C" w14:textId="77777777" w:rsidR="002653E8" w:rsidRDefault="002653E8">
      <w:pPr>
        <w:spacing w:line="264" w:lineRule="auto"/>
        <w:jc w:val="both"/>
        <w:sectPr w:rsidR="002653E8">
          <w:pgSz w:w="8640" w:h="12960"/>
          <w:pgMar w:top="1140" w:right="0" w:bottom="1040" w:left="0" w:header="0" w:footer="850" w:gutter="0"/>
          <w:cols w:space="720"/>
        </w:sectPr>
      </w:pPr>
    </w:p>
    <w:p w14:paraId="0580B2D3" w14:textId="77777777" w:rsidR="002653E8" w:rsidRDefault="003115E3">
      <w:pPr>
        <w:pStyle w:val="a3"/>
        <w:spacing w:before="86" w:line="264" w:lineRule="auto"/>
        <w:ind w:left="1327" w:right="1146" w:firstLine="210"/>
        <w:jc w:val="both"/>
      </w:pPr>
      <w:r>
        <w:rPr>
          <w:color w:val="231F20"/>
        </w:rPr>
        <w:lastRenderedPageBreak/>
        <w:t>I maintain that it is impossible, even as an emergency solution or because there was no more place for someone, for things to have functioned in the way Müller described. It’s complete nonsense.</w:t>
      </w:r>
    </w:p>
    <w:p w14:paraId="3558FD07" w14:textId="77777777" w:rsidR="002653E8" w:rsidRDefault="003115E3">
      <w:pPr>
        <w:pStyle w:val="a3"/>
        <w:spacing w:line="231" w:lineRule="exact"/>
        <w:ind w:left="1537"/>
      </w:pPr>
      <w:r>
        <w:rPr>
          <w:color w:val="231F20"/>
        </w:rPr>
        <w:t>Is this clear yet?</w:t>
      </w:r>
    </w:p>
    <w:p w14:paraId="31EFCE1C" w14:textId="77777777" w:rsidR="002653E8" w:rsidRDefault="003115E3">
      <w:pPr>
        <w:pStyle w:val="a3"/>
        <w:spacing w:before="23" w:line="264" w:lineRule="auto"/>
        <w:ind w:left="1327" w:right="1146" w:firstLine="210"/>
        <w:jc w:val="both"/>
      </w:pPr>
      <w:r>
        <w:rPr>
          <w:color w:val="231F20"/>
        </w:rPr>
        <w:t>I</w:t>
      </w:r>
      <w:r>
        <w:rPr>
          <w:color w:val="231F20"/>
          <w:spacing w:val="-6"/>
        </w:rPr>
        <w:t xml:space="preserve"> </w:t>
      </w:r>
      <w:r>
        <w:rPr>
          <w:color w:val="231F20"/>
        </w:rPr>
        <w:t>can</w:t>
      </w:r>
      <w:r>
        <w:rPr>
          <w:color w:val="231F20"/>
          <w:spacing w:val="-6"/>
        </w:rPr>
        <w:t xml:space="preserve"> </w:t>
      </w:r>
      <w:r>
        <w:rPr>
          <w:color w:val="231F20"/>
        </w:rPr>
        <w:t>give</w:t>
      </w:r>
      <w:r>
        <w:rPr>
          <w:color w:val="231F20"/>
          <w:spacing w:val="-6"/>
        </w:rPr>
        <w:t xml:space="preserve"> </w:t>
      </w:r>
      <w:r>
        <w:rPr>
          <w:color w:val="231F20"/>
        </w:rPr>
        <w:t>another</w:t>
      </w:r>
      <w:r>
        <w:rPr>
          <w:color w:val="231F20"/>
          <w:spacing w:val="-6"/>
        </w:rPr>
        <w:t xml:space="preserve"> </w:t>
      </w:r>
      <w:r>
        <w:rPr>
          <w:color w:val="231F20"/>
        </w:rPr>
        <w:t>example:</w:t>
      </w:r>
      <w:r>
        <w:rPr>
          <w:color w:val="231F20"/>
          <w:spacing w:val="-6"/>
        </w:rPr>
        <w:t xml:space="preserve"> </w:t>
      </w:r>
      <w:r>
        <w:rPr>
          <w:color w:val="231F20"/>
        </w:rPr>
        <w:t>the</w:t>
      </w:r>
      <w:r>
        <w:rPr>
          <w:color w:val="231F20"/>
          <w:spacing w:val="-6"/>
        </w:rPr>
        <w:t xml:space="preserve"> </w:t>
      </w:r>
      <w:r>
        <w:rPr>
          <w:color w:val="231F20"/>
        </w:rPr>
        <w:t>story</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woman</w:t>
      </w:r>
      <w:r>
        <w:rPr>
          <w:color w:val="231F20"/>
          <w:spacing w:val="-6"/>
        </w:rPr>
        <w:t xml:space="preserve"> </w:t>
      </w:r>
      <w:r>
        <w:rPr>
          <w:color w:val="231F20"/>
        </w:rPr>
        <w:t>in</w:t>
      </w:r>
      <w:r>
        <w:rPr>
          <w:color w:val="231F20"/>
          <w:spacing w:val="-6"/>
        </w:rPr>
        <w:t xml:space="preserve"> </w:t>
      </w:r>
      <w:r>
        <w:rPr>
          <w:color w:val="231F20"/>
        </w:rPr>
        <w:t>Berlin,</w:t>
      </w:r>
      <w:r>
        <w:rPr>
          <w:color w:val="231F20"/>
          <w:spacing w:val="-4"/>
        </w:rPr>
        <w:t xml:space="preserve"> </w:t>
      </w:r>
      <w:r>
        <w:rPr>
          <w:color w:val="231F20"/>
        </w:rPr>
        <w:t xml:space="preserve">Edelgard Graefer, I believe—in any case it was Graefer—who denounced a half a dozen people. She betrayed the people and gave </w:t>
      </w:r>
      <w:r>
        <w:rPr>
          <w:color w:val="231F20"/>
          <w:spacing w:val="-3"/>
        </w:rPr>
        <w:t xml:space="preserve">away </w:t>
      </w:r>
      <w:r>
        <w:rPr>
          <w:color w:val="231F20"/>
        </w:rPr>
        <w:t xml:space="preserve">safehouses. And what happened? What was done? She got a slap in the mouth and was hit in the throat with a placard. So, I think these facts speak for themselves: when someone betrays people, in effect lines them up against the wall, because you never know what could happen when the cops break into an apartment, and this person only receives a slap in the head, then it is all the more absurd to think that someone who has never betrayed anyone could, as the result of a situation where everything culminates, as Müller describes it, in searches and whatever, in arrests, could simply be shot down. </w:t>
      </w:r>
      <w:r>
        <w:rPr>
          <w:color w:val="231F20"/>
          <w:spacing w:val="-3"/>
        </w:rPr>
        <w:t xml:space="preserve">It’s </w:t>
      </w:r>
      <w:r>
        <w:rPr>
          <w:color w:val="231F20"/>
        </w:rPr>
        <w:t>absolutely out of the</w:t>
      </w:r>
      <w:r>
        <w:rPr>
          <w:color w:val="231F20"/>
          <w:spacing w:val="6"/>
        </w:rPr>
        <w:t xml:space="preserve"> </w:t>
      </w:r>
      <w:r>
        <w:rPr>
          <w:color w:val="231F20"/>
        </w:rPr>
        <w:t>question.</w:t>
      </w:r>
    </w:p>
    <w:p w14:paraId="57C2D679" w14:textId="77777777" w:rsidR="002653E8" w:rsidRDefault="003115E3">
      <w:pPr>
        <w:pStyle w:val="a3"/>
        <w:spacing w:line="221" w:lineRule="exact"/>
        <w:ind w:left="1537"/>
      </w:pPr>
      <w:r>
        <w:rPr>
          <w:color w:val="231F20"/>
        </w:rPr>
        <w:t>And, of course, the strongest evidence, I would say, that this story</w:t>
      </w:r>
    </w:p>
    <w:p w14:paraId="68AAB2AD" w14:textId="77777777" w:rsidR="002653E8" w:rsidRDefault="003115E3">
      <w:pPr>
        <w:pStyle w:val="a3"/>
        <w:spacing w:before="22" w:line="264" w:lineRule="auto"/>
        <w:ind w:left="1327" w:right="1146"/>
        <w:jc w:val="both"/>
      </w:pPr>
      <w:r>
        <w:rPr>
          <w:color w:val="231F20"/>
        </w:rPr>
        <w:t>can’t be true is simply that Siegfried Hausner led the Holger Meins Commando, and it would have been out of the question for it to be otherwise. Quite simply, he made the arrangements, he did it himself, which clarifies the nature of the structure that existed at the time. I believe this clarifies everything. Why would he have done it? Why would he have struggled in a situation like the one Müller described?</w:t>
      </w:r>
    </w:p>
    <w:p w14:paraId="77958510" w14:textId="77777777" w:rsidR="002653E8" w:rsidRDefault="002653E8">
      <w:pPr>
        <w:pStyle w:val="a3"/>
        <w:rPr>
          <w:sz w:val="22"/>
        </w:rPr>
      </w:pPr>
    </w:p>
    <w:p w14:paraId="3E1EBE6F" w14:textId="77777777" w:rsidR="002653E8" w:rsidRDefault="002653E8">
      <w:pPr>
        <w:pStyle w:val="a3"/>
        <w:spacing w:before="8"/>
        <w:rPr>
          <w:sz w:val="19"/>
        </w:rPr>
      </w:pPr>
    </w:p>
    <w:p w14:paraId="3C7C7979" w14:textId="77777777" w:rsidR="002653E8" w:rsidRDefault="003115E3">
      <w:pPr>
        <w:spacing w:line="257" w:lineRule="exact"/>
        <w:ind w:left="1327"/>
      </w:pPr>
      <w:r>
        <w:rPr>
          <w:color w:val="231F20"/>
          <w:w w:val="125"/>
        </w:rPr>
        <w:t>on müller</w:t>
      </w:r>
      <w:r>
        <w:rPr>
          <w:color w:val="231F20"/>
          <w:w w:val="125"/>
          <w:sz w:val="19"/>
        </w:rPr>
        <w:t>’</w:t>
      </w:r>
      <w:r>
        <w:rPr>
          <w:color w:val="231F20"/>
          <w:w w:val="125"/>
        </w:rPr>
        <w:t>s claims</w:t>
      </w:r>
    </w:p>
    <w:p w14:paraId="0E4CE5EF" w14:textId="77777777" w:rsidR="002653E8" w:rsidRDefault="003115E3">
      <w:pPr>
        <w:spacing w:line="257" w:lineRule="exact"/>
        <w:ind w:left="1327"/>
      </w:pPr>
      <w:r>
        <w:rPr>
          <w:color w:val="231F20"/>
          <w:w w:val="120"/>
        </w:rPr>
        <w:t>regarding the springer bombing</w:t>
      </w:r>
    </w:p>
    <w:p w14:paraId="371DC689" w14:textId="77777777" w:rsidR="002653E8" w:rsidRDefault="003115E3">
      <w:pPr>
        <w:pStyle w:val="a3"/>
        <w:spacing w:before="19" w:line="264" w:lineRule="auto"/>
        <w:ind w:left="1327" w:right="1146"/>
        <w:jc w:val="both"/>
      </w:pPr>
      <w:r>
        <w:rPr>
          <w:color w:val="231F20"/>
        </w:rPr>
        <w:t>For instance, the statement which suggests that Ulrike carried out the attack against the Springer Building over the objections of Andreas or Gudrun or in opposition to a part of the group, and the claim that this led to a split, or, at least, to conflict between members, terror, or whatever it was that the pig</w:t>
      </w:r>
      <w:r>
        <w:rPr>
          <w:color w:val="231F20"/>
          <w:spacing w:val="18"/>
        </w:rPr>
        <w:t xml:space="preserve"> </w:t>
      </w:r>
      <w:r>
        <w:rPr>
          <w:color w:val="231F20"/>
        </w:rPr>
        <w:t>said.</w:t>
      </w:r>
    </w:p>
    <w:p w14:paraId="0C563EE7" w14:textId="77777777" w:rsidR="002653E8" w:rsidRDefault="003115E3">
      <w:pPr>
        <w:pStyle w:val="a3"/>
        <w:spacing w:line="264" w:lineRule="auto"/>
        <w:ind w:left="1327" w:right="1146" w:firstLine="210"/>
        <w:jc w:val="both"/>
      </w:pPr>
      <w:r>
        <w:rPr>
          <w:color w:val="231F20"/>
        </w:rPr>
        <w:t xml:space="preserve">The truth is that when the Hamburg action was carried out—and this was already clarified during this trial—we knew nothing because of the structure of our groups: decisions were made </w:t>
      </w:r>
      <w:r>
        <w:rPr>
          <w:color w:val="231F20"/>
          <w:spacing w:val="-3"/>
        </w:rPr>
        <w:t xml:space="preserve">autonomously, </w:t>
      </w:r>
      <w:r>
        <w:rPr>
          <w:color w:val="231F20"/>
        </w:rPr>
        <w:t xml:space="preserve">and actions were carried out </w:t>
      </w:r>
      <w:r>
        <w:rPr>
          <w:color w:val="231F20"/>
          <w:spacing w:val="-3"/>
        </w:rPr>
        <w:t xml:space="preserve">autonomously. </w:t>
      </w:r>
      <w:r>
        <w:rPr>
          <w:color w:val="231F20"/>
        </w:rPr>
        <w:t xml:space="preserve">After the action against Springer, there was a lot of criticism from other groups. As a result, Ulrike went  to Hamburg to find out what had happened, because the </w:t>
      </w:r>
      <w:r w:rsidR="00C507A5">
        <w:rPr>
          <w:color w:val="231F20"/>
          <w:spacing w:val="5"/>
        </w:rPr>
        <w:t>red army faction</w:t>
      </w:r>
      <w:r>
        <w:rPr>
          <w:color w:val="231F20"/>
          <w:spacing w:val="5"/>
        </w:rPr>
        <w:t xml:space="preserve"> </w:t>
      </w:r>
      <w:r>
        <w:rPr>
          <w:color w:val="231F20"/>
        </w:rPr>
        <w:t>never considered actions if there was a risk that civilians could be hurt. It was an</w:t>
      </w:r>
      <w:r>
        <w:rPr>
          <w:color w:val="231F20"/>
          <w:spacing w:val="20"/>
        </w:rPr>
        <w:t xml:space="preserve"> </w:t>
      </w:r>
      <w:r>
        <w:rPr>
          <w:color w:val="231F20"/>
        </w:rPr>
        <w:t>essential</w:t>
      </w:r>
      <w:r>
        <w:rPr>
          <w:color w:val="231F20"/>
          <w:spacing w:val="20"/>
        </w:rPr>
        <w:t xml:space="preserve"> </w:t>
      </w:r>
      <w:r>
        <w:rPr>
          <w:color w:val="231F20"/>
        </w:rPr>
        <w:t>principle</w:t>
      </w:r>
      <w:r>
        <w:rPr>
          <w:color w:val="231F20"/>
          <w:spacing w:val="20"/>
        </w:rPr>
        <w:t xml:space="preserve"> </w:t>
      </w:r>
      <w:r>
        <w:rPr>
          <w:color w:val="231F20"/>
        </w:rPr>
        <w:t>in</w:t>
      </w:r>
      <w:r>
        <w:rPr>
          <w:color w:val="231F20"/>
          <w:spacing w:val="20"/>
        </w:rPr>
        <w:t xml:space="preserve"> </w:t>
      </w:r>
      <w:r>
        <w:rPr>
          <w:color w:val="231F20"/>
        </w:rPr>
        <w:t>all</w:t>
      </w:r>
      <w:r>
        <w:rPr>
          <w:color w:val="231F20"/>
          <w:spacing w:val="20"/>
        </w:rPr>
        <w:t xml:space="preserve"> </w:t>
      </w:r>
      <w:r>
        <w:rPr>
          <w:color w:val="231F20"/>
        </w:rPr>
        <w:t>discussions</w:t>
      </w:r>
      <w:r>
        <w:rPr>
          <w:color w:val="231F20"/>
          <w:spacing w:val="20"/>
        </w:rPr>
        <w:t xml:space="preserve"> </w:t>
      </w:r>
      <w:r>
        <w:rPr>
          <w:color w:val="231F20"/>
        </w:rPr>
        <w:t>and</w:t>
      </w:r>
      <w:r>
        <w:rPr>
          <w:color w:val="231F20"/>
          <w:spacing w:val="20"/>
        </w:rPr>
        <w:t xml:space="preserve"> </w:t>
      </w:r>
      <w:r>
        <w:rPr>
          <w:color w:val="231F20"/>
        </w:rPr>
        <w:t>in</w:t>
      </w:r>
      <w:r>
        <w:rPr>
          <w:color w:val="231F20"/>
          <w:spacing w:val="20"/>
        </w:rPr>
        <w:t xml:space="preserve"> </w:t>
      </w:r>
      <w:r>
        <w:rPr>
          <w:color w:val="231F20"/>
        </w:rPr>
        <w:t>the</w:t>
      </w:r>
      <w:r>
        <w:rPr>
          <w:color w:val="231F20"/>
          <w:spacing w:val="20"/>
        </w:rPr>
        <w:t xml:space="preserve"> </w:t>
      </w:r>
      <w:r>
        <w:rPr>
          <w:color w:val="231F20"/>
        </w:rPr>
        <w:t>criticism</w:t>
      </w:r>
      <w:r>
        <w:rPr>
          <w:color w:val="231F20"/>
          <w:spacing w:val="20"/>
        </w:rPr>
        <w:t xml:space="preserve"> </w:t>
      </w:r>
      <w:r>
        <w:rPr>
          <w:color w:val="231F20"/>
        </w:rPr>
        <w:t>addressed</w:t>
      </w:r>
    </w:p>
    <w:p w14:paraId="63B7E22E" w14:textId="77777777" w:rsidR="002653E8" w:rsidRDefault="002653E8">
      <w:pPr>
        <w:spacing w:line="264" w:lineRule="auto"/>
        <w:jc w:val="both"/>
        <w:sectPr w:rsidR="002653E8">
          <w:pgSz w:w="8640" w:h="12960"/>
          <w:pgMar w:top="1060" w:right="0" w:bottom="1040" w:left="0" w:header="0" w:footer="850" w:gutter="0"/>
          <w:cols w:space="720"/>
        </w:sectPr>
      </w:pPr>
    </w:p>
    <w:p w14:paraId="206CFCBE" w14:textId="77777777" w:rsidR="002653E8" w:rsidRDefault="003115E3">
      <w:pPr>
        <w:pStyle w:val="a3"/>
        <w:spacing w:before="86" w:line="264" w:lineRule="auto"/>
        <w:ind w:left="1147" w:right="1326"/>
        <w:jc w:val="both"/>
      </w:pPr>
      <w:r>
        <w:rPr>
          <w:color w:val="231F20"/>
        </w:rPr>
        <w:lastRenderedPageBreak/>
        <w:t>to the Hamburg group, that they carried out the action without clearly considering that Springer, of course, wouldn’t evacuate the building. So given this, it had not been well prepared. That was the criticism made  of</w:t>
      </w:r>
      <w:r>
        <w:rPr>
          <w:color w:val="231F20"/>
          <w:spacing w:val="10"/>
        </w:rPr>
        <w:t xml:space="preserve"> </w:t>
      </w:r>
      <w:r>
        <w:rPr>
          <w:color w:val="231F20"/>
        </w:rPr>
        <w:t>the</w:t>
      </w:r>
      <w:r>
        <w:rPr>
          <w:color w:val="231F20"/>
          <w:spacing w:val="10"/>
        </w:rPr>
        <w:t xml:space="preserve"> </w:t>
      </w:r>
      <w:r>
        <w:rPr>
          <w:color w:val="231F20"/>
        </w:rPr>
        <w:t>group</w:t>
      </w:r>
      <w:r>
        <w:rPr>
          <w:color w:val="231F20"/>
          <w:spacing w:val="10"/>
        </w:rPr>
        <w:t xml:space="preserve"> </w:t>
      </w:r>
      <w:r>
        <w:rPr>
          <w:color w:val="231F20"/>
        </w:rPr>
        <w:t>that</w:t>
      </w:r>
      <w:r>
        <w:rPr>
          <w:color w:val="231F20"/>
          <w:spacing w:val="10"/>
        </w:rPr>
        <w:t xml:space="preserve"> </w:t>
      </w:r>
      <w:r>
        <w:rPr>
          <w:color w:val="231F20"/>
        </w:rPr>
        <w:t>had</w:t>
      </w:r>
      <w:r>
        <w:rPr>
          <w:color w:val="231F20"/>
          <w:spacing w:val="10"/>
        </w:rPr>
        <w:t xml:space="preserve"> </w:t>
      </w:r>
      <w:r>
        <w:rPr>
          <w:color w:val="231F20"/>
        </w:rPr>
        <w:t>carried</w:t>
      </w:r>
      <w:r>
        <w:rPr>
          <w:color w:val="231F20"/>
          <w:spacing w:val="10"/>
        </w:rPr>
        <w:t xml:space="preserve"> </w:t>
      </w:r>
      <w:r>
        <w:rPr>
          <w:color w:val="231F20"/>
        </w:rPr>
        <w:t>out</w:t>
      </w:r>
      <w:r>
        <w:rPr>
          <w:color w:val="231F20"/>
          <w:spacing w:val="10"/>
        </w:rPr>
        <w:t xml:space="preserve"> </w:t>
      </w:r>
      <w:r>
        <w:rPr>
          <w:color w:val="231F20"/>
        </w:rPr>
        <w:t>the</w:t>
      </w:r>
      <w:r>
        <w:rPr>
          <w:color w:val="231F20"/>
          <w:spacing w:val="10"/>
        </w:rPr>
        <w:t xml:space="preserve"> </w:t>
      </w:r>
      <w:r>
        <w:rPr>
          <w:color w:val="231F20"/>
        </w:rPr>
        <w:t>action.</w:t>
      </w:r>
    </w:p>
    <w:p w14:paraId="1028CC6F" w14:textId="77777777" w:rsidR="002653E8" w:rsidRDefault="003115E3">
      <w:pPr>
        <w:pStyle w:val="a3"/>
        <w:spacing w:line="264" w:lineRule="auto"/>
        <w:ind w:left="1147" w:right="1326" w:firstLine="210"/>
        <w:jc w:val="both"/>
      </w:pPr>
      <w:r>
        <w:rPr>
          <w:color w:val="231F20"/>
        </w:rPr>
        <w:t>That is why Ulrike went to Hamburg at that time, to clarify this, to find out what had happened. After doing this, she formulated the statement about this action, in which everything was explained, the entire process,</w:t>
      </w:r>
      <w:r>
        <w:rPr>
          <w:color w:val="231F20"/>
          <w:spacing w:val="10"/>
        </w:rPr>
        <w:t xml:space="preserve"> </w:t>
      </w:r>
      <w:r>
        <w:rPr>
          <w:color w:val="231F20"/>
        </w:rPr>
        <w:t>the</w:t>
      </w:r>
      <w:r>
        <w:rPr>
          <w:color w:val="231F20"/>
          <w:spacing w:val="10"/>
        </w:rPr>
        <w:t xml:space="preserve"> </w:t>
      </w:r>
      <w:r>
        <w:rPr>
          <w:color w:val="231F20"/>
        </w:rPr>
        <w:t>warnings,</w:t>
      </w:r>
      <w:r>
        <w:rPr>
          <w:color w:val="231F20"/>
          <w:spacing w:val="10"/>
        </w:rPr>
        <w:t xml:space="preserve"> </w:t>
      </w:r>
      <w:r>
        <w:rPr>
          <w:color w:val="231F20"/>
        </w:rPr>
        <w:t>Springer</w:t>
      </w:r>
      <w:r>
        <w:rPr>
          <w:color w:val="231F20"/>
          <w:spacing w:val="10"/>
        </w:rPr>
        <w:t xml:space="preserve"> </w:t>
      </w:r>
      <w:r>
        <w:rPr>
          <w:color w:val="231F20"/>
        </w:rPr>
        <w:t>not</w:t>
      </w:r>
      <w:r>
        <w:rPr>
          <w:color w:val="231F20"/>
          <w:spacing w:val="10"/>
        </w:rPr>
        <w:t xml:space="preserve"> </w:t>
      </w:r>
      <w:r>
        <w:rPr>
          <w:color w:val="231F20"/>
        </w:rPr>
        <w:t>evacuating,</w:t>
      </w:r>
      <w:r>
        <w:rPr>
          <w:color w:val="231F20"/>
          <w:spacing w:val="10"/>
        </w:rPr>
        <w:t xml:space="preserve"> </w:t>
      </w:r>
      <w:r>
        <w:rPr>
          <w:color w:val="231F20"/>
        </w:rPr>
        <w:t>etc.</w:t>
      </w:r>
    </w:p>
    <w:p w14:paraId="083775C6" w14:textId="77777777" w:rsidR="002653E8" w:rsidRDefault="003115E3">
      <w:pPr>
        <w:pStyle w:val="a3"/>
        <w:spacing w:line="264" w:lineRule="auto"/>
        <w:ind w:left="1147" w:right="1325" w:firstLine="210"/>
        <w:jc w:val="both"/>
      </w:pPr>
      <w:r>
        <w:rPr>
          <w:color w:val="231F20"/>
        </w:rPr>
        <w:t xml:space="preserve">Which shows that what Müller said, yeah, we  know  that  already, and we know why </w:t>
      </w:r>
      <w:r>
        <w:rPr>
          <w:color w:val="231F20"/>
          <w:spacing w:val="-3"/>
        </w:rPr>
        <w:t xml:space="preserve">he’s </w:t>
      </w:r>
      <w:r>
        <w:rPr>
          <w:color w:val="231F20"/>
        </w:rPr>
        <w:t xml:space="preserve">saying it. What he claims </w:t>
      </w:r>
      <w:r>
        <w:rPr>
          <w:color w:val="231F20"/>
          <w:spacing w:val="-4"/>
        </w:rPr>
        <w:t xml:space="preserve">now, </w:t>
      </w:r>
      <w:r>
        <w:rPr>
          <w:color w:val="231F20"/>
        </w:rPr>
        <w:t xml:space="preserve">regarding Ulrike, that she had or could have intended to </w:t>
      </w:r>
      <w:r>
        <w:rPr>
          <w:color w:val="231F20"/>
          <w:spacing w:val="1"/>
        </w:rPr>
        <w:t xml:space="preserve">carry </w:t>
      </w:r>
      <w:r>
        <w:rPr>
          <w:color w:val="231F20"/>
        </w:rPr>
        <w:t xml:space="preserve">out actions that the oth ers objected to, it is completely absurd, but it fits in perfectly with the current line: “the tensions.” Its purpose is to legitimize Ulrike’s murder. The claim that there were tensions is a story that goes back—according to what Müller has said here—to Hamburg, to the organization of the group in </w:t>
      </w:r>
      <w:r>
        <w:rPr>
          <w:color w:val="231F20"/>
          <w:spacing w:val="-3"/>
        </w:rPr>
        <w:t xml:space="preserve">71-72. </w:t>
      </w:r>
      <w:r>
        <w:rPr>
          <w:color w:val="231F20"/>
        </w:rPr>
        <w:t>It is purely and simply a fabrication, presented here with</w:t>
      </w:r>
      <w:r>
        <w:rPr>
          <w:color w:val="231F20"/>
          <w:spacing w:val="10"/>
        </w:rPr>
        <w:t xml:space="preserve"> </w:t>
      </w:r>
      <w:r>
        <w:rPr>
          <w:color w:val="231F20"/>
        </w:rPr>
        <w:t>the</w:t>
      </w:r>
      <w:r>
        <w:rPr>
          <w:color w:val="231F20"/>
          <w:spacing w:val="10"/>
        </w:rPr>
        <w:t xml:space="preserve"> </w:t>
      </w:r>
      <w:r>
        <w:rPr>
          <w:color w:val="231F20"/>
        </w:rPr>
        <w:t>sole</w:t>
      </w:r>
      <w:r>
        <w:rPr>
          <w:color w:val="231F20"/>
          <w:spacing w:val="10"/>
        </w:rPr>
        <w:t xml:space="preserve"> </w:t>
      </w:r>
      <w:r>
        <w:rPr>
          <w:color w:val="231F20"/>
        </w:rPr>
        <w:t>objective</w:t>
      </w:r>
      <w:r>
        <w:rPr>
          <w:color w:val="231F20"/>
          <w:spacing w:val="10"/>
        </w:rPr>
        <w:t xml:space="preserve"> </w:t>
      </w:r>
      <w:r>
        <w:rPr>
          <w:color w:val="231F20"/>
        </w:rPr>
        <w:t>of</w:t>
      </w:r>
      <w:r>
        <w:rPr>
          <w:color w:val="231F20"/>
          <w:spacing w:val="10"/>
        </w:rPr>
        <w:t xml:space="preserve"> </w:t>
      </w:r>
      <w:r>
        <w:rPr>
          <w:color w:val="231F20"/>
        </w:rPr>
        <w:t>legitimizing</w:t>
      </w:r>
      <w:r>
        <w:rPr>
          <w:color w:val="231F20"/>
          <w:spacing w:val="10"/>
        </w:rPr>
        <w:t xml:space="preserve"> </w:t>
      </w:r>
      <w:r>
        <w:rPr>
          <w:color w:val="231F20"/>
        </w:rPr>
        <w:t>the</w:t>
      </w:r>
      <w:r>
        <w:rPr>
          <w:color w:val="231F20"/>
          <w:spacing w:val="10"/>
        </w:rPr>
        <w:t xml:space="preserve"> </w:t>
      </w:r>
      <w:r>
        <w:rPr>
          <w:color w:val="231F20"/>
        </w:rPr>
        <w:t>murder…</w:t>
      </w:r>
    </w:p>
    <w:p w14:paraId="52ADF04A" w14:textId="77777777" w:rsidR="002653E8" w:rsidRDefault="002653E8">
      <w:pPr>
        <w:pStyle w:val="a3"/>
        <w:spacing w:before="2"/>
        <w:rPr>
          <w:sz w:val="31"/>
        </w:rPr>
      </w:pPr>
    </w:p>
    <w:p w14:paraId="75E82C08" w14:textId="77777777" w:rsidR="002653E8" w:rsidRPr="00C507A5" w:rsidRDefault="003115E3">
      <w:pPr>
        <w:pStyle w:val="a3"/>
        <w:spacing w:line="261" w:lineRule="auto"/>
        <w:ind w:left="5790" w:right="1325" w:hanging="221"/>
        <w:jc w:val="right"/>
        <w:rPr>
          <w:lang w:val="de-DE"/>
        </w:rPr>
      </w:pPr>
      <w:r w:rsidRPr="00C507A5">
        <w:rPr>
          <w:color w:val="231F20"/>
          <w:lang w:val="de-DE"/>
        </w:rPr>
        <w:t>Brigitte Mohnhaupt</w:t>
      </w:r>
      <w:r w:rsidRPr="00C507A5">
        <w:rPr>
          <w:color w:val="231F20"/>
          <w:w w:val="99"/>
          <w:lang w:val="de-DE"/>
        </w:rPr>
        <w:t xml:space="preserve"> </w:t>
      </w:r>
      <w:r w:rsidRPr="00C507A5">
        <w:rPr>
          <w:color w:val="231F20"/>
          <w:lang w:val="de-DE"/>
        </w:rPr>
        <w:t>Stammheim Trial</w:t>
      </w:r>
      <w:r w:rsidRPr="00C507A5">
        <w:rPr>
          <w:color w:val="231F20"/>
          <w:w w:val="102"/>
          <w:lang w:val="de-DE"/>
        </w:rPr>
        <w:t xml:space="preserve"> </w:t>
      </w:r>
      <w:r w:rsidRPr="00C507A5">
        <w:rPr>
          <w:color w:val="231F20"/>
          <w:w w:val="105"/>
          <w:lang w:val="de-DE"/>
        </w:rPr>
        <w:t>July 22, 1976</w:t>
      </w:r>
    </w:p>
    <w:p w14:paraId="66EE3759" w14:textId="77777777" w:rsidR="002653E8" w:rsidRPr="00C507A5" w:rsidRDefault="002653E8">
      <w:pPr>
        <w:spacing w:line="261" w:lineRule="auto"/>
        <w:jc w:val="right"/>
        <w:rPr>
          <w:lang w:val="de-DE"/>
        </w:rPr>
        <w:sectPr w:rsidR="002653E8" w:rsidRPr="00C507A5">
          <w:pgSz w:w="8640" w:h="12960"/>
          <w:pgMar w:top="1060" w:right="0" w:bottom="1040" w:left="0" w:header="0" w:footer="850" w:gutter="0"/>
          <w:cols w:space="720"/>
        </w:sectPr>
      </w:pPr>
    </w:p>
    <w:p w14:paraId="5BCE48B1" w14:textId="77777777" w:rsidR="002653E8" w:rsidRDefault="003115E3">
      <w:pPr>
        <w:pStyle w:val="4"/>
        <w:ind w:left="1603"/>
      </w:pPr>
      <w:bookmarkStart w:id="164" w:name="On_the_Liberation_of_Andreas_Baader_(Ulr"/>
      <w:bookmarkStart w:id="165" w:name="_bookmark51"/>
      <w:bookmarkEnd w:id="164"/>
      <w:bookmarkEnd w:id="165"/>
      <w:r>
        <w:rPr>
          <w:color w:val="231F20"/>
          <w:w w:val="105"/>
        </w:rPr>
        <w:lastRenderedPageBreak/>
        <w:t>On the Liberation of Andreas Baader</w:t>
      </w:r>
    </w:p>
    <w:p w14:paraId="13C795B4" w14:textId="77777777" w:rsidR="002653E8" w:rsidRDefault="003115E3">
      <w:pPr>
        <w:spacing w:before="253" w:line="261" w:lineRule="auto"/>
        <w:ind w:left="1727" w:right="1684" w:hanging="107"/>
        <w:jc w:val="center"/>
        <w:rPr>
          <w:i/>
          <w:sz w:val="20"/>
        </w:rPr>
      </w:pPr>
      <w:r>
        <w:rPr>
          <w:i/>
          <w:color w:val="231F20"/>
          <w:w w:val="105"/>
          <w:sz w:val="20"/>
        </w:rPr>
        <w:t>The following text was read by Ulrike Meinhof at her trial alongside Hans-Jürgen Bäcker and Horst Mahler. (M.&amp; S.)</w:t>
      </w:r>
    </w:p>
    <w:p w14:paraId="6AC6E757" w14:textId="77777777" w:rsidR="002653E8" w:rsidRDefault="002653E8">
      <w:pPr>
        <w:pStyle w:val="a3"/>
        <w:spacing w:before="4"/>
        <w:rPr>
          <w:i/>
          <w:sz w:val="22"/>
        </w:rPr>
      </w:pPr>
    </w:p>
    <w:p w14:paraId="6BA5E359" w14:textId="77777777" w:rsidR="002653E8" w:rsidRDefault="003115E3">
      <w:pPr>
        <w:pStyle w:val="a3"/>
        <w:spacing w:line="264" w:lineRule="auto"/>
        <w:ind w:left="1327" w:right="1145"/>
      </w:pPr>
      <w:r>
        <w:rPr>
          <w:color w:val="231F20"/>
        </w:rPr>
        <w:t>This trial is a tactical maneuver, a part of the psychological war being waged against us by the BKA, the BAW, and the justice system:</w:t>
      </w:r>
    </w:p>
    <w:p w14:paraId="560FB927" w14:textId="77777777" w:rsidR="002653E8" w:rsidRDefault="003115E3">
      <w:pPr>
        <w:pStyle w:val="a4"/>
        <w:numPr>
          <w:ilvl w:val="1"/>
          <w:numId w:val="91"/>
        </w:numPr>
        <w:tabs>
          <w:tab w:val="left" w:pos="1824"/>
        </w:tabs>
        <w:spacing w:before="125" w:line="261" w:lineRule="auto"/>
        <w:ind w:right="1693"/>
        <w:rPr>
          <w:sz w:val="20"/>
        </w:rPr>
      </w:pPr>
      <w:r>
        <w:rPr>
          <w:color w:val="231F20"/>
          <w:sz w:val="20"/>
        </w:rPr>
        <w:t xml:space="preserve">with the goal of obfuscating both the political ramifications of our trials and the </w:t>
      </w:r>
      <w:r>
        <w:rPr>
          <w:color w:val="231F20"/>
          <w:spacing w:val="-5"/>
          <w:sz w:val="20"/>
        </w:rPr>
        <w:t xml:space="preserve">BAW’s </w:t>
      </w:r>
      <w:r>
        <w:rPr>
          <w:color w:val="231F20"/>
          <w:sz w:val="20"/>
        </w:rPr>
        <w:t xml:space="preserve">extermination strategy in </w:t>
      </w:r>
      <w:r>
        <w:rPr>
          <w:color w:val="231F20"/>
          <w:spacing w:val="-3"/>
          <w:sz w:val="20"/>
        </w:rPr>
        <w:t>West</w:t>
      </w:r>
      <w:r>
        <w:rPr>
          <w:color w:val="231F20"/>
          <w:spacing w:val="10"/>
          <w:sz w:val="20"/>
        </w:rPr>
        <w:t xml:space="preserve"> </w:t>
      </w:r>
      <w:r>
        <w:rPr>
          <w:color w:val="231F20"/>
          <w:sz w:val="20"/>
        </w:rPr>
        <w:t>Germany;</w:t>
      </w:r>
    </w:p>
    <w:p w14:paraId="343EF5B2" w14:textId="77777777" w:rsidR="002653E8" w:rsidRDefault="003115E3">
      <w:pPr>
        <w:pStyle w:val="a4"/>
        <w:numPr>
          <w:ilvl w:val="1"/>
          <w:numId w:val="91"/>
        </w:numPr>
        <w:tabs>
          <w:tab w:val="left" w:pos="1824"/>
        </w:tabs>
        <w:spacing w:before="2" w:line="261" w:lineRule="auto"/>
        <w:ind w:right="1258"/>
        <w:rPr>
          <w:sz w:val="20"/>
        </w:rPr>
      </w:pPr>
      <w:r>
        <w:rPr>
          <w:color w:val="231F20"/>
          <w:sz w:val="20"/>
        </w:rPr>
        <w:t>with the goal of using separate convictions to create the appearance of division, by putting only a few of us on display at any   one</w:t>
      </w:r>
      <w:r>
        <w:rPr>
          <w:color w:val="231F20"/>
          <w:spacing w:val="10"/>
          <w:sz w:val="20"/>
        </w:rPr>
        <w:t xml:space="preserve"> </w:t>
      </w:r>
      <w:r>
        <w:rPr>
          <w:color w:val="231F20"/>
          <w:sz w:val="20"/>
        </w:rPr>
        <w:t>time;</w:t>
      </w:r>
    </w:p>
    <w:p w14:paraId="6E64700C" w14:textId="77777777" w:rsidR="002653E8" w:rsidRDefault="003115E3">
      <w:pPr>
        <w:pStyle w:val="a4"/>
        <w:numPr>
          <w:ilvl w:val="1"/>
          <w:numId w:val="91"/>
        </w:numPr>
        <w:tabs>
          <w:tab w:val="left" w:pos="1824"/>
        </w:tabs>
        <w:spacing w:before="1" w:line="261" w:lineRule="auto"/>
        <w:ind w:right="1209"/>
        <w:rPr>
          <w:sz w:val="20"/>
        </w:rPr>
      </w:pPr>
      <w:r>
        <w:rPr>
          <w:color w:val="231F20"/>
          <w:sz w:val="20"/>
        </w:rPr>
        <w:t xml:space="preserve">with the goal of erasing the political context of all the </w:t>
      </w:r>
      <w:r w:rsidR="00C507A5">
        <w:rPr>
          <w:color w:val="231F20"/>
          <w:spacing w:val="5"/>
          <w:sz w:val="20"/>
        </w:rPr>
        <w:t>red army faction</w:t>
      </w:r>
      <w:r>
        <w:rPr>
          <w:color w:val="231F20"/>
          <w:spacing w:val="5"/>
          <w:sz w:val="20"/>
        </w:rPr>
        <w:t xml:space="preserve"> </w:t>
      </w:r>
      <w:r>
        <w:rPr>
          <w:color w:val="231F20"/>
          <w:sz w:val="20"/>
        </w:rPr>
        <w:t>prisoners’ trials from the public</w:t>
      </w:r>
      <w:r>
        <w:rPr>
          <w:color w:val="231F20"/>
          <w:spacing w:val="6"/>
          <w:sz w:val="20"/>
        </w:rPr>
        <w:t xml:space="preserve"> </w:t>
      </w:r>
      <w:r>
        <w:rPr>
          <w:color w:val="231F20"/>
          <w:sz w:val="20"/>
        </w:rPr>
        <w:t>consciousness;</w:t>
      </w:r>
    </w:p>
    <w:p w14:paraId="1E2B7A04" w14:textId="77777777" w:rsidR="002653E8" w:rsidRDefault="003115E3">
      <w:pPr>
        <w:pStyle w:val="a4"/>
        <w:numPr>
          <w:ilvl w:val="1"/>
          <w:numId w:val="91"/>
        </w:numPr>
        <w:tabs>
          <w:tab w:val="left" w:pos="1824"/>
        </w:tabs>
        <w:spacing w:before="1" w:line="261" w:lineRule="auto"/>
        <w:ind w:right="1210"/>
        <w:rPr>
          <w:sz w:val="11"/>
        </w:rPr>
      </w:pPr>
      <w:r>
        <w:rPr>
          <w:color w:val="231F20"/>
          <w:sz w:val="20"/>
        </w:rPr>
        <w:t xml:space="preserve">with the goal of forever eliminating from the people’s consciousness the fact that on the imperialist terrain  of  </w:t>
      </w:r>
      <w:r>
        <w:rPr>
          <w:color w:val="231F20"/>
          <w:spacing w:val="-3"/>
          <w:sz w:val="20"/>
        </w:rPr>
        <w:t xml:space="preserve">West  </w:t>
      </w:r>
      <w:r>
        <w:rPr>
          <w:color w:val="231F20"/>
          <w:sz w:val="20"/>
        </w:rPr>
        <w:t xml:space="preserve">Germany and </w:t>
      </w:r>
      <w:r>
        <w:rPr>
          <w:color w:val="231F20"/>
          <w:spacing w:val="-3"/>
          <w:sz w:val="20"/>
        </w:rPr>
        <w:t xml:space="preserve">West </w:t>
      </w:r>
      <w:r>
        <w:rPr>
          <w:color w:val="231F20"/>
          <w:sz w:val="20"/>
        </w:rPr>
        <w:t>Berlin there is a revolutionary urban guerilla movement.</w:t>
      </w:r>
      <w:r>
        <w:rPr>
          <w:color w:val="231F20"/>
          <w:position w:val="7"/>
          <w:sz w:val="11"/>
        </w:rPr>
        <w:t>1</w:t>
      </w:r>
    </w:p>
    <w:p w14:paraId="04F4B676" w14:textId="77777777" w:rsidR="002653E8" w:rsidRDefault="003115E3">
      <w:pPr>
        <w:pStyle w:val="a3"/>
        <w:spacing w:before="141"/>
        <w:ind w:left="1327"/>
      </w:pPr>
      <w:r>
        <w:rPr>
          <w:color w:val="231F20"/>
        </w:rPr>
        <w:t>We—the Red Army Faction—will not participate in this trial.</w:t>
      </w:r>
    </w:p>
    <w:p w14:paraId="3B087986" w14:textId="77777777" w:rsidR="002653E8" w:rsidRDefault="002653E8">
      <w:pPr>
        <w:pStyle w:val="a3"/>
        <w:spacing w:before="2"/>
        <w:rPr>
          <w:sz w:val="22"/>
        </w:rPr>
      </w:pPr>
    </w:p>
    <w:p w14:paraId="4F2AED69" w14:textId="77777777" w:rsidR="002653E8" w:rsidRDefault="003115E3">
      <w:pPr>
        <w:ind w:left="1327"/>
      </w:pPr>
      <w:r>
        <w:rPr>
          <w:color w:val="231F20"/>
          <w:spacing w:val="28"/>
          <w:w w:val="147"/>
        </w:rPr>
        <w:t>t</w:t>
      </w:r>
      <w:r>
        <w:rPr>
          <w:color w:val="231F20"/>
          <w:spacing w:val="25"/>
          <w:w w:val="120"/>
        </w:rPr>
        <w:t>h</w:t>
      </w:r>
      <w:r>
        <w:rPr>
          <w:color w:val="231F20"/>
          <w:w w:val="102"/>
        </w:rPr>
        <w:t>e</w:t>
      </w:r>
      <w:r>
        <w:rPr>
          <w:color w:val="231F20"/>
        </w:rPr>
        <w:t xml:space="preserve">  </w:t>
      </w:r>
      <w:r>
        <w:rPr>
          <w:color w:val="231F20"/>
          <w:spacing w:val="-22"/>
        </w:rPr>
        <w:t xml:space="preserve"> </w:t>
      </w:r>
      <w:r>
        <w:rPr>
          <w:color w:val="231F20"/>
          <w:spacing w:val="30"/>
          <w:w w:val="113"/>
        </w:rPr>
        <w:t>a</w:t>
      </w:r>
      <w:r>
        <w:rPr>
          <w:color w:val="231F20"/>
          <w:spacing w:val="28"/>
          <w:w w:val="109"/>
        </w:rPr>
        <w:t>n</w:t>
      </w:r>
      <w:r>
        <w:rPr>
          <w:color w:val="231F20"/>
          <w:spacing w:val="26"/>
          <w:w w:val="147"/>
        </w:rPr>
        <w:t>t</w:t>
      </w:r>
      <w:r>
        <w:rPr>
          <w:color w:val="231F20"/>
          <w:spacing w:val="18"/>
          <w:w w:val="119"/>
        </w:rPr>
        <w:t>i</w:t>
      </w:r>
      <w:r>
        <w:rPr>
          <w:color w:val="231F20"/>
          <w:spacing w:val="25"/>
          <w:w w:val="119"/>
        </w:rPr>
        <w:t>i</w:t>
      </w:r>
      <w:r>
        <w:rPr>
          <w:color w:val="231F20"/>
          <w:spacing w:val="25"/>
          <w:w w:val="93"/>
        </w:rPr>
        <w:t>m</w:t>
      </w:r>
      <w:r>
        <w:rPr>
          <w:color w:val="231F20"/>
          <w:spacing w:val="22"/>
          <w:w w:val="89"/>
        </w:rPr>
        <w:t>p</w:t>
      </w:r>
      <w:r>
        <w:rPr>
          <w:color w:val="231F20"/>
          <w:spacing w:val="25"/>
          <w:w w:val="102"/>
        </w:rPr>
        <w:t>e</w:t>
      </w:r>
      <w:r>
        <w:rPr>
          <w:color w:val="231F20"/>
          <w:spacing w:val="26"/>
          <w:w w:val="134"/>
        </w:rPr>
        <w:t>r</w:t>
      </w:r>
      <w:r>
        <w:rPr>
          <w:color w:val="231F20"/>
          <w:spacing w:val="27"/>
          <w:w w:val="119"/>
        </w:rPr>
        <w:t>i</w:t>
      </w:r>
      <w:r>
        <w:rPr>
          <w:color w:val="231F20"/>
          <w:spacing w:val="25"/>
          <w:w w:val="113"/>
        </w:rPr>
        <w:t>a</w:t>
      </w:r>
      <w:r>
        <w:rPr>
          <w:color w:val="231F20"/>
          <w:spacing w:val="25"/>
          <w:w w:val="184"/>
        </w:rPr>
        <w:t>l</w:t>
      </w:r>
      <w:r>
        <w:rPr>
          <w:color w:val="231F20"/>
          <w:spacing w:val="20"/>
          <w:w w:val="119"/>
        </w:rPr>
        <w:t>i</w:t>
      </w:r>
      <w:r>
        <w:rPr>
          <w:color w:val="231F20"/>
          <w:spacing w:val="21"/>
          <w:w w:val="103"/>
        </w:rPr>
        <w:t>s</w:t>
      </w:r>
      <w:r>
        <w:rPr>
          <w:color w:val="231F20"/>
          <w:w w:val="147"/>
        </w:rPr>
        <w:t>t</w:t>
      </w:r>
      <w:r>
        <w:rPr>
          <w:color w:val="231F20"/>
        </w:rPr>
        <w:t xml:space="preserve">  </w:t>
      </w:r>
      <w:r>
        <w:rPr>
          <w:color w:val="231F20"/>
          <w:spacing w:val="-22"/>
        </w:rPr>
        <w:t xml:space="preserve"> </w:t>
      </w:r>
      <w:r>
        <w:rPr>
          <w:color w:val="231F20"/>
          <w:spacing w:val="21"/>
          <w:w w:val="103"/>
        </w:rPr>
        <w:t>s</w:t>
      </w:r>
      <w:r>
        <w:rPr>
          <w:color w:val="231F20"/>
          <w:spacing w:val="28"/>
          <w:w w:val="147"/>
        </w:rPr>
        <w:t>t</w:t>
      </w:r>
      <w:r>
        <w:rPr>
          <w:color w:val="231F20"/>
          <w:spacing w:val="16"/>
          <w:w w:val="134"/>
        </w:rPr>
        <w:t>r</w:t>
      </w:r>
      <w:r>
        <w:rPr>
          <w:color w:val="231F20"/>
          <w:spacing w:val="16"/>
          <w:w w:val="110"/>
        </w:rPr>
        <w:t>u</w:t>
      </w:r>
      <w:r>
        <w:rPr>
          <w:color w:val="231F20"/>
          <w:spacing w:val="25"/>
          <w:w w:val="123"/>
        </w:rPr>
        <w:t>g</w:t>
      </w:r>
      <w:r>
        <w:rPr>
          <w:color w:val="231F20"/>
          <w:spacing w:val="20"/>
          <w:w w:val="123"/>
        </w:rPr>
        <w:t>g</w:t>
      </w:r>
      <w:r>
        <w:rPr>
          <w:color w:val="231F20"/>
          <w:spacing w:val="26"/>
          <w:w w:val="184"/>
        </w:rPr>
        <w:t>l</w:t>
      </w:r>
      <w:r>
        <w:rPr>
          <w:color w:val="231F20"/>
          <w:w w:val="102"/>
        </w:rPr>
        <w:t>e</w:t>
      </w:r>
    </w:p>
    <w:p w14:paraId="3CE2A5EB" w14:textId="77777777" w:rsidR="002653E8" w:rsidRDefault="003115E3">
      <w:pPr>
        <w:pStyle w:val="a3"/>
        <w:spacing w:before="18" w:line="264" w:lineRule="auto"/>
        <w:ind w:left="1328" w:right="1145" w:hanging="1"/>
        <w:jc w:val="both"/>
      </w:pPr>
      <w:r>
        <w:rPr>
          <w:color w:val="231F20"/>
          <w:spacing w:val="1"/>
        </w:rPr>
        <w:t xml:space="preserve">If </w:t>
      </w:r>
      <w:r>
        <w:rPr>
          <w:color w:val="231F20"/>
        </w:rPr>
        <w:t>it is to be more than just an empty slogan, the struggle against imperialism must aim to annihilate, to destroy, to smash the system of imperialist domination—on the political, economic, and military planes.    It must aim to smash the cultural institutions that imperialism uses to bind together the ruling elites and the communications structure that ensures their ideological</w:t>
      </w:r>
      <w:r>
        <w:rPr>
          <w:color w:val="231F20"/>
          <w:spacing w:val="31"/>
        </w:rPr>
        <w:t xml:space="preserve"> </w:t>
      </w:r>
      <w:r>
        <w:rPr>
          <w:color w:val="231F20"/>
        </w:rPr>
        <w:t>control.</w:t>
      </w:r>
    </w:p>
    <w:p w14:paraId="5E03FADE" w14:textId="77777777" w:rsidR="002653E8" w:rsidRDefault="003115E3">
      <w:pPr>
        <w:pStyle w:val="a3"/>
        <w:spacing w:line="264" w:lineRule="auto"/>
        <w:ind w:left="1327" w:right="1145" w:firstLine="210"/>
        <w:jc w:val="both"/>
      </w:pPr>
      <w:r>
        <w:rPr>
          <w:color w:val="231F20"/>
        </w:rPr>
        <w:t xml:space="preserve">In the international context, the elimination of imperialism on the military plane means the elimination of U.S. imperialism’s military alliances throughout the world, and here that means the elimination of NATO and the </w:t>
      </w:r>
      <w:r>
        <w:rPr>
          <w:i/>
          <w:color w:val="231F20"/>
        </w:rPr>
        <w:t>Bundeswehr</w:t>
      </w:r>
      <w:r>
        <w:rPr>
          <w:color w:val="231F20"/>
        </w:rPr>
        <w:t>. In the national context it means the elimination of the state’s armed formations, which embody the ruling class’ monopoly of violence and its state power: the police, the BGS, the secret service. On the economic plane, it means the elimination of the power</w:t>
      </w:r>
    </w:p>
    <w:p w14:paraId="59BBEFF6" w14:textId="77777777" w:rsidR="002653E8" w:rsidRDefault="00000000">
      <w:pPr>
        <w:pStyle w:val="a3"/>
        <w:spacing w:before="3"/>
        <w:rPr>
          <w:sz w:val="19"/>
        </w:rPr>
      </w:pPr>
      <w:r>
        <w:rPr>
          <w:noProof w:val="0"/>
        </w:rPr>
        <w:pict w14:anchorId="519396D5">
          <v:line id="_x0000_s2315" style="position:absolute;z-index:7960;mso-wrap-distance-left:0;mso-wrap-distance-right:0;mso-position-horizontal-relative:page" from="66.4pt,13.5pt" to="138.4pt,13.5pt" strokecolor="#231f20" strokeweight=".5pt">
            <w10:wrap type="topAndBottom" anchorx="page"/>
          </v:line>
        </w:pict>
      </w:r>
    </w:p>
    <w:p w14:paraId="19F19DFD" w14:textId="77777777" w:rsidR="002653E8" w:rsidRDefault="003115E3">
      <w:pPr>
        <w:spacing w:before="53" w:line="254" w:lineRule="auto"/>
        <w:ind w:left="1327" w:right="1325"/>
        <w:rPr>
          <w:sz w:val="16"/>
        </w:rPr>
      </w:pPr>
      <w:r>
        <w:rPr>
          <w:color w:val="231F20"/>
          <w:w w:val="105"/>
          <w:sz w:val="16"/>
        </w:rPr>
        <w:t>1 The preceding points appeared in the German as one long paragraph; they have been reformatted here for added readability.</w:t>
      </w:r>
    </w:p>
    <w:p w14:paraId="6546C2C8" w14:textId="77777777" w:rsidR="002653E8" w:rsidRDefault="002653E8">
      <w:pPr>
        <w:spacing w:line="254" w:lineRule="auto"/>
        <w:rPr>
          <w:sz w:val="16"/>
        </w:rPr>
        <w:sectPr w:rsidR="002653E8">
          <w:footerReference w:type="even" r:id="rId308"/>
          <w:footerReference w:type="default" r:id="rId309"/>
          <w:pgSz w:w="8640" w:h="12960"/>
          <w:pgMar w:top="1220" w:right="0" w:bottom="1040" w:left="0" w:header="0" w:footer="850" w:gutter="0"/>
          <w:cols w:space="720"/>
        </w:sectPr>
      </w:pPr>
    </w:p>
    <w:p w14:paraId="66AB649F" w14:textId="77777777" w:rsidR="002653E8" w:rsidRDefault="003115E3">
      <w:pPr>
        <w:pStyle w:val="a3"/>
        <w:spacing w:before="86" w:line="264" w:lineRule="auto"/>
        <w:ind w:left="1148" w:right="1325" w:hanging="1"/>
        <w:jc w:val="both"/>
      </w:pPr>
      <w:r>
        <w:rPr>
          <w:color w:val="231F20"/>
        </w:rPr>
        <w:lastRenderedPageBreak/>
        <w:t>structure that represents the multinational corporations. On the political plane, it means the elimination of the bureaucracies, organizations, and power structures, whether state or non-state (parties, unions, the media), that dominate the people.</w:t>
      </w:r>
    </w:p>
    <w:p w14:paraId="58400C2A" w14:textId="77777777" w:rsidR="002653E8" w:rsidRDefault="002653E8">
      <w:pPr>
        <w:pStyle w:val="a3"/>
        <w:spacing w:before="11"/>
        <w:rPr>
          <w:sz w:val="19"/>
        </w:rPr>
      </w:pPr>
    </w:p>
    <w:p w14:paraId="2C1F9062" w14:textId="77777777" w:rsidR="002653E8" w:rsidRDefault="003115E3">
      <w:pPr>
        <w:ind w:left="1147"/>
      </w:pPr>
      <w:r>
        <w:rPr>
          <w:color w:val="231F20"/>
          <w:spacing w:val="22"/>
          <w:w w:val="89"/>
        </w:rPr>
        <w:t>p</w:t>
      </w:r>
      <w:r>
        <w:rPr>
          <w:color w:val="231F20"/>
          <w:spacing w:val="15"/>
          <w:w w:val="134"/>
        </w:rPr>
        <w:t>r</w:t>
      </w:r>
      <w:r>
        <w:rPr>
          <w:color w:val="231F20"/>
          <w:spacing w:val="15"/>
          <w:w w:val="125"/>
        </w:rPr>
        <w:t>o</w:t>
      </w:r>
      <w:r>
        <w:rPr>
          <w:color w:val="231F20"/>
          <w:spacing w:val="26"/>
          <w:w w:val="184"/>
        </w:rPr>
        <w:t>l</w:t>
      </w:r>
      <w:r>
        <w:rPr>
          <w:color w:val="231F20"/>
          <w:spacing w:val="23"/>
          <w:w w:val="102"/>
        </w:rPr>
        <w:t>e</w:t>
      </w:r>
      <w:r>
        <w:rPr>
          <w:color w:val="231F20"/>
          <w:spacing w:val="18"/>
          <w:w w:val="147"/>
        </w:rPr>
        <w:t>t</w:t>
      </w:r>
      <w:r>
        <w:rPr>
          <w:color w:val="231F20"/>
          <w:spacing w:val="28"/>
          <w:w w:val="113"/>
        </w:rPr>
        <w:t>a</w:t>
      </w:r>
      <w:r>
        <w:rPr>
          <w:color w:val="231F20"/>
          <w:spacing w:val="26"/>
          <w:w w:val="134"/>
        </w:rPr>
        <w:t>r</w:t>
      </w:r>
      <w:r>
        <w:rPr>
          <w:color w:val="231F20"/>
          <w:spacing w:val="27"/>
          <w:w w:val="119"/>
        </w:rPr>
        <w:t>i</w:t>
      </w:r>
      <w:r>
        <w:rPr>
          <w:color w:val="231F20"/>
          <w:spacing w:val="30"/>
          <w:w w:val="113"/>
        </w:rPr>
        <w:t>a</w:t>
      </w:r>
      <w:r>
        <w:rPr>
          <w:color w:val="231F20"/>
          <w:w w:val="109"/>
        </w:rPr>
        <w:t>n</w:t>
      </w:r>
      <w:r>
        <w:rPr>
          <w:color w:val="231F20"/>
        </w:rPr>
        <w:t xml:space="preserve">  </w:t>
      </w:r>
      <w:r>
        <w:rPr>
          <w:color w:val="231F20"/>
          <w:spacing w:val="-22"/>
        </w:rPr>
        <w:t xml:space="preserve"> </w:t>
      </w:r>
      <w:r>
        <w:rPr>
          <w:color w:val="231F20"/>
          <w:spacing w:val="25"/>
          <w:w w:val="119"/>
        </w:rPr>
        <w:t>i</w:t>
      </w:r>
      <w:r>
        <w:rPr>
          <w:color w:val="231F20"/>
          <w:spacing w:val="28"/>
          <w:w w:val="109"/>
        </w:rPr>
        <w:t>n</w:t>
      </w:r>
      <w:r>
        <w:rPr>
          <w:color w:val="231F20"/>
          <w:spacing w:val="28"/>
          <w:w w:val="147"/>
        </w:rPr>
        <w:t>t</w:t>
      </w:r>
      <w:r>
        <w:rPr>
          <w:color w:val="231F20"/>
          <w:spacing w:val="25"/>
          <w:w w:val="102"/>
        </w:rPr>
        <w:t>e</w:t>
      </w:r>
      <w:r>
        <w:rPr>
          <w:color w:val="231F20"/>
          <w:spacing w:val="30"/>
          <w:w w:val="134"/>
        </w:rPr>
        <w:t>r</w:t>
      </w:r>
      <w:r>
        <w:rPr>
          <w:color w:val="231F20"/>
          <w:spacing w:val="22"/>
          <w:w w:val="109"/>
        </w:rPr>
        <w:t>n</w:t>
      </w:r>
      <w:r>
        <w:rPr>
          <w:color w:val="231F20"/>
          <w:spacing w:val="20"/>
          <w:w w:val="127"/>
        </w:rPr>
        <w:t>a</w:t>
      </w:r>
      <w:r>
        <w:rPr>
          <w:color w:val="231F20"/>
          <w:spacing w:val="26"/>
          <w:w w:val="127"/>
        </w:rPr>
        <w:t>t</w:t>
      </w:r>
      <w:r>
        <w:rPr>
          <w:color w:val="231F20"/>
          <w:spacing w:val="16"/>
          <w:w w:val="119"/>
        </w:rPr>
        <w:t>i</w:t>
      </w:r>
      <w:r>
        <w:rPr>
          <w:color w:val="231F20"/>
          <w:spacing w:val="17"/>
          <w:w w:val="125"/>
        </w:rPr>
        <w:t>o</w:t>
      </w:r>
      <w:r>
        <w:rPr>
          <w:color w:val="231F20"/>
          <w:spacing w:val="22"/>
          <w:w w:val="109"/>
        </w:rPr>
        <w:t>n</w:t>
      </w:r>
      <w:r>
        <w:rPr>
          <w:color w:val="231F20"/>
          <w:spacing w:val="25"/>
          <w:w w:val="113"/>
        </w:rPr>
        <w:t>a</w:t>
      </w:r>
      <w:r>
        <w:rPr>
          <w:color w:val="231F20"/>
          <w:spacing w:val="25"/>
          <w:w w:val="184"/>
        </w:rPr>
        <w:t>l</w:t>
      </w:r>
      <w:r>
        <w:rPr>
          <w:color w:val="231F20"/>
          <w:spacing w:val="20"/>
          <w:w w:val="119"/>
        </w:rPr>
        <w:t>i</w:t>
      </w:r>
      <w:r>
        <w:rPr>
          <w:color w:val="231F20"/>
          <w:spacing w:val="20"/>
          <w:w w:val="96"/>
        </w:rPr>
        <w:t>s</w:t>
      </w:r>
      <w:r>
        <w:rPr>
          <w:color w:val="231F20"/>
          <w:w w:val="96"/>
        </w:rPr>
        <w:t>m</w:t>
      </w:r>
      <w:r>
        <w:rPr>
          <w:color w:val="231F20"/>
          <w:spacing w:val="-29"/>
        </w:rPr>
        <w:t xml:space="preserve"> </w:t>
      </w:r>
    </w:p>
    <w:p w14:paraId="51F2D35F" w14:textId="77777777" w:rsidR="002653E8" w:rsidRDefault="003115E3">
      <w:pPr>
        <w:pStyle w:val="a3"/>
        <w:spacing w:before="18" w:line="264" w:lineRule="auto"/>
        <w:ind w:left="1147" w:right="1326"/>
        <w:jc w:val="both"/>
      </w:pPr>
      <w:r>
        <w:rPr>
          <w:color w:val="231F20"/>
        </w:rPr>
        <w:t xml:space="preserve">The struggle against imperialism here is not and could not be a national liberation struggle. Socialism in one country is not its historical perspective. Faced with the transnational organization of capital and  the military alliances with which </w:t>
      </w:r>
      <w:r>
        <w:rPr>
          <w:color w:val="231F20"/>
          <w:spacing w:val="1"/>
        </w:rPr>
        <w:t xml:space="preserve">U.S. </w:t>
      </w:r>
      <w:r>
        <w:rPr>
          <w:color w:val="231F20"/>
        </w:rPr>
        <w:t xml:space="preserve">imperialism encircles the world, the cooperation of the police and the secret services, the </w:t>
      </w:r>
      <w:r>
        <w:rPr>
          <w:color w:val="231F20"/>
          <w:spacing w:val="-2"/>
        </w:rPr>
        <w:t xml:space="preserve">way </w:t>
      </w:r>
      <w:r>
        <w:rPr>
          <w:color w:val="231F20"/>
        </w:rPr>
        <w:t xml:space="preserve">the dominant elite is organized internationally within </w:t>
      </w:r>
      <w:r>
        <w:rPr>
          <w:color w:val="231F20"/>
          <w:spacing w:val="1"/>
        </w:rPr>
        <w:t xml:space="preserve">U.S. </w:t>
      </w:r>
      <w:r>
        <w:rPr>
          <w:color w:val="231F20"/>
        </w:rPr>
        <w:t xml:space="preserve">imperialism’s sphere of power—faced with all of this, our side, the side of the proletariat, responds with the struggle of the revolutionary classes, the people’s liberation movements in the Third </w:t>
      </w:r>
      <w:r>
        <w:rPr>
          <w:color w:val="231F20"/>
          <w:spacing w:val="-3"/>
        </w:rPr>
        <w:t xml:space="preserve">World, </w:t>
      </w:r>
      <w:r>
        <w:rPr>
          <w:color w:val="231F20"/>
        </w:rPr>
        <w:t>and the urban guerilla in imperialism’s metropole. That is proletarian</w:t>
      </w:r>
      <w:r>
        <w:rPr>
          <w:color w:val="231F20"/>
          <w:spacing w:val="15"/>
        </w:rPr>
        <w:t xml:space="preserve"> </w:t>
      </w:r>
      <w:r>
        <w:rPr>
          <w:color w:val="231F20"/>
        </w:rPr>
        <w:t>internationalism.</w:t>
      </w:r>
    </w:p>
    <w:p w14:paraId="6BA3C032" w14:textId="77777777" w:rsidR="002653E8" w:rsidRDefault="003115E3">
      <w:pPr>
        <w:pStyle w:val="a3"/>
        <w:spacing w:line="264" w:lineRule="auto"/>
        <w:ind w:left="1147" w:right="1326" w:firstLine="210"/>
        <w:jc w:val="both"/>
      </w:pPr>
      <w:r>
        <w:rPr>
          <w:color w:val="231F20"/>
        </w:rPr>
        <w:t xml:space="preserve">Ever since the Paris Commune, it has been clear that a people who seek to liberate themselves within the national framework in an imperialist state attract the vengeance, the armed might, and deadly hostility of the bourgeoisie of all the other imperialist states. That is why </w:t>
      </w:r>
      <w:r>
        <w:rPr>
          <w:color w:val="231F20"/>
          <w:spacing w:val="-3"/>
        </w:rPr>
        <w:t xml:space="preserve">NATO  </w:t>
      </w:r>
      <w:r>
        <w:rPr>
          <w:color w:val="231F20"/>
        </w:rPr>
        <w:t>is currently putting together an intervention force, to be stationed in Italy,</w:t>
      </w:r>
      <w:r>
        <w:rPr>
          <w:color w:val="231F20"/>
          <w:spacing w:val="10"/>
        </w:rPr>
        <w:t xml:space="preserve"> </w:t>
      </w:r>
      <w:r>
        <w:rPr>
          <w:color w:val="231F20"/>
        </w:rPr>
        <w:t>with</w:t>
      </w:r>
      <w:r>
        <w:rPr>
          <w:color w:val="231F20"/>
          <w:spacing w:val="10"/>
        </w:rPr>
        <w:t xml:space="preserve"> </w:t>
      </w:r>
      <w:r>
        <w:rPr>
          <w:color w:val="231F20"/>
        </w:rPr>
        <w:t>which</w:t>
      </w:r>
      <w:r>
        <w:rPr>
          <w:color w:val="231F20"/>
          <w:spacing w:val="10"/>
        </w:rPr>
        <w:t xml:space="preserve"> </w:t>
      </w:r>
      <w:r>
        <w:rPr>
          <w:color w:val="231F20"/>
        </w:rPr>
        <w:t>to</w:t>
      </w:r>
      <w:r>
        <w:rPr>
          <w:color w:val="231F20"/>
          <w:spacing w:val="10"/>
        </w:rPr>
        <w:t xml:space="preserve"> </w:t>
      </w:r>
      <w:r>
        <w:rPr>
          <w:color w:val="231F20"/>
        </w:rPr>
        <w:t>respond</w:t>
      </w:r>
      <w:r>
        <w:rPr>
          <w:color w:val="231F20"/>
          <w:spacing w:val="10"/>
        </w:rPr>
        <w:t xml:space="preserve"> </w:t>
      </w:r>
      <w:r>
        <w:rPr>
          <w:color w:val="231F20"/>
        </w:rPr>
        <w:t>to</w:t>
      </w:r>
      <w:r>
        <w:rPr>
          <w:color w:val="231F20"/>
          <w:spacing w:val="10"/>
        </w:rPr>
        <w:t xml:space="preserve"> </w:t>
      </w:r>
      <w:r>
        <w:rPr>
          <w:color w:val="231F20"/>
        </w:rPr>
        <w:t>internal</w:t>
      </w:r>
      <w:r>
        <w:rPr>
          <w:color w:val="231F20"/>
          <w:spacing w:val="10"/>
        </w:rPr>
        <w:t xml:space="preserve"> </w:t>
      </w:r>
      <w:r>
        <w:rPr>
          <w:color w:val="231F20"/>
        </w:rPr>
        <w:t>difficulties.</w:t>
      </w:r>
    </w:p>
    <w:p w14:paraId="04113275" w14:textId="77777777" w:rsidR="002653E8" w:rsidRDefault="003115E3">
      <w:pPr>
        <w:pStyle w:val="a3"/>
        <w:spacing w:line="264" w:lineRule="auto"/>
        <w:ind w:left="1147" w:right="1325" w:firstLine="210"/>
        <w:jc w:val="both"/>
      </w:pPr>
      <w:r>
        <w:rPr>
          <w:color w:val="231F20"/>
          <w:w w:val="105"/>
        </w:rPr>
        <w:t>Marx</w:t>
      </w:r>
      <w:r>
        <w:rPr>
          <w:color w:val="231F20"/>
          <w:spacing w:val="-33"/>
          <w:w w:val="105"/>
        </w:rPr>
        <w:t xml:space="preserve"> </w:t>
      </w:r>
      <w:r>
        <w:rPr>
          <w:color w:val="231F20"/>
          <w:w w:val="105"/>
        </w:rPr>
        <w:t>said,</w:t>
      </w:r>
      <w:r>
        <w:rPr>
          <w:color w:val="231F20"/>
          <w:spacing w:val="-33"/>
          <w:w w:val="105"/>
        </w:rPr>
        <w:t xml:space="preserve"> </w:t>
      </w:r>
      <w:r>
        <w:rPr>
          <w:color w:val="231F20"/>
          <w:spacing w:val="-9"/>
          <w:w w:val="105"/>
        </w:rPr>
        <w:t>“A</w:t>
      </w:r>
      <w:r>
        <w:rPr>
          <w:color w:val="231F20"/>
          <w:spacing w:val="-33"/>
          <w:w w:val="105"/>
        </w:rPr>
        <w:t xml:space="preserve"> </w:t>
      </w:r>
      <w:r>
        <w:rPr>
          <w:color w:val="231F20"/>
          <w:w w:val="105"/>
        </w:rPr>
        <w:t>people</w:t>
      </w:r>
      <w:r>
        <w:rPr>
          <w:color w:val="231F20"/>
          <w:spacing w:val="-33"/>
          <w:w w:val="105"/>
        </w:rPr>
        <w:t xml:space="preserve"> </w:t>
      </w:r>
      <w:r>
        <w:rPr>
          <w:color w:val="231F20"/>
          <w:w w:val="105"/>
        </w:rPr>
        <w:t>who</w:t>
      </w:r>
      <w:r>
        <w:rPr>
          <w:color w:val="231F20"/>
          <w:spacing w:val="-33"/>
          <w:w w:val="105"/>
        </w:rPr>
        <w:t xml:space="preserve"> </w:t>
      </w:r>
      <w:r>
        <w:rPr>
          <w:color w:val="231F20"/>
          <w:w w:val="105"/>
        </w:rPr>
        <w:t>oppress</w:t>
      </w:r>
      <w:r>
        <w:rPr>
          <w:color w:val="231F20"/>
          <w:spacing w:val="-33"/>
          <w:w w:val="105"/>
        </w:rPr>
        <w:t xml:space="preserve"> </w:t>
      </w:r>
      <w:r>
        <w:rPr>
          <w:color w:val="231F20"/>
          <w:w w:val="105"/>
        </w:rPr>
        <w:t>another</w:t>
      </w:r>
      <w:r>
        <w:rPr>
          <w:color w:val="231F20"/>
          <w:spacing w:val="-33"/>
          <w:w w:val="105"/>
        </w:rPr>
        <w:t xml:space="preserve"> </w:t>
      </w:r>
      <w:r>
        <w:rPr>
          <w:color w:val="231F20"/>
          <w:w w:val="105"/>
        </w:rPr>
        <w:t>cannot</w:t>
      </w:r>
      <w:r>
        <w:rPr>
          <w:color w:val="231F20"/>
          <w:spacing w:val="-33"/>
          <w:w w:val="105"/>
        </w:rPr>
        <w:t xml:space="preserve"> </w:t>
      </w:r>
      <w:r>
        <w:rPr>
          <w:color w:val="231F20"/>
          <w:w w:val="105"/>
        </w:rPr>
        <w:t>themselves</w:t>
      </w:r>
      <w:r>
        <w:rPr>
          <w:color w:val="231F20"/>
          <w:spacing w:val="-33"/>
          <w:w w:val="105"/>
        </w:rPr>
        <w:t xml:space="preserve"> </w:t>
      </w:r>
      <w:r>
        <w:rPr>
          <w:color w:val="231F20"/>
          <w:w w:val="105"/>
        </w:rPr>
        <w:t>be</w:t>
      </w:r>
      <w:r>
        <w:rPr>
          <w:color w:val="231F20"/>
          <w:spacing w:val="-33"/>
          <w:w w:val="105"/>
        </w:rPr>
        <w:t xml:space="preserve"> </w:t>
      </w:r>
      <w:r>
        <w:rPr>
          <w:color w:val="231F20"/>
          <w:w w:val="105"/>
        </w:rPr>
        <w:t xml:space="preserve">free.” The military significance of the urban guerilla in the metropole—the </w:t>
      </w:r>
      <w:r w:rsidR="00C507A5">
        <w:rPr>
          <w:color w:val="231F20"/>
          <w:spacing w:val="5"/>
          <w:w w:val="105"/>
        </w:rPr>
        <w:t>red army faction</w:t>
      </w:r>
      <w:r>
        <w:rPr>
          <w:color w:val="231F20"/>
          <w:spacing w:val="-11"/>
          <w:w w:val="105"/>
        </w:rPr>
        <w:t xml:space="preserve"> </w:t>
      </w:r>
      <w:r>
        <w:rPr>
          <w:color w:val="231F20"/>
          <w:w w:val="105"/>
        </w:rPr>
        <w:t>here,</w:t>
      </w:r>
      <w:r>
        <w:rPr>
          <w:color w:val="231F20"/>
          <w:spacing w:val="-11"/>
          <w:w w:val="105"/>
        </w:rPr>
        <w:t xml:space="preserve"> </w:t>
      </w:r>
      <w:r>
        <w:rPr>
          <w:color w:val="231F20"/>
          <w:w w:val="105"/>
        </w:rPr>
        <w:t>the</w:t>
      </w:r>
      <w:r>
        <w:rPr>
          <w:color w:val="231F20"/>
          <w:spacing w:val="-11"/>
          <w:w w:val="105"/>
        </w:rPr>
        <w:t xml:space="preserve"> </w:t>
      </w:r>
      <w:r>
        <w:rPr>
          <w:color w:val="231F20"/>
          <w:w w:val="105"/>
        </w:rPr>
        <w:t>Red</w:t>
      </w:r>
      <w:r>
        <w:rPr>
          <w:color w:val="231F20"/>
          <w:spacing w:val="-11"/>
          <w:w w:val="105"/>
        </w:rPr>
        <w:t xml:space="preserve"> </w:t>
      </w:r>
      <w:r>
        <w:rPr>
          <w:color w:val="231F20"/>
          <w:w w:val="105"/>
        </w:rPr>
        <w:t>Brigades</w:t>
      </w:r>
      <w:r>
        <w:rPr>
          <w:color w:val="231F20"/>
          <w:spacing w:val="-11"/>
          <w:w w:val="105"/>
        </w:rPr>
        <w:t xml:space="preserve"> </w:t>
      </w:r>
      <w:r>
        <w:rPr>
          <w:color w:val="231F20"/>
          <w:w w:val="105"/>
        </w:rPr>
        <w:t>in</w:t>
      </w:r>
      <w:r>
        <w:rPr>
          <w:color w:val="231F20"/>
          <w:spacing w:val="-11"/>
          <w:w w:val="105"/>
        </w:rPr>
        <w:t xml:space="preserve"> </w:t>
      </w:r>
      <w:r>
        <w:rPr>
          <w:color w:val="231F20"/>
          <w:w w:val="105"/>
        </w:rPr>
        <w:t>Italy,</w:t>
      </w:r>
      <w:r>
        <w:rPr>
          <w:color w:val="231F20"/>
          <w:spacing w:val="-11"/>
          <w:w w:val="105"/>
        </w:rPr>
        <w:t xml:space="preserve"> </w:t>
      </w:r>
      <w:r>
        <w:rPr>
          <w:color w:val="231F20"/>
          <w:w w:val="105"/>
        </w:rPr>
        <w:t>and</w:t>
      </w:r>
      <w:r>
        <w:rPr>
          <w:color w:val="231F20"/>
          <w:spacing w:val="-11"/>
          <w:w w:val="105"/>
        </w:rPr>
        <w:t xml:space="preserve"> </w:t>
      </w:r>
      <w:r>
        <w:rPr>
          <w:color w:val="231F20"/>
          <w:w w:val="105"/>
        </w:rPr>
        <w:t>the</w:t>
      </w:r>
      <w:r>
        <w:rPr>
          <w:color w:val="231F20"/>
          <w:spacing w:val="-11"/>
          <w:w w:val="105"/>
        </w:rPr>
        <w:t xml:space="preserve"> </w:t>
      </w:r>
      <w:r>
        <w:rPr>
          <w:color w:val="231F20"/>
          <w:w w:val="105"/>
        </w:rPr>
        <w:t>United</w:t>
      </w:r>
      <w:r>
        <w:rPr>
          <w:color w:val="231F20"/>
          <w:spacing w:val="-11"/>
          <w:w w:val="105"/>
        </w:rPr>
        <w:t xml:space="preserve"> </w:t>
      </w:r>
      <w:r>
        <w:rPr>
          <w:color w:val="231F20"/>
          <w:w w:val="105"/>
        </w:rPr>
        <w:t>Peoples</w:t>
      </w:r>
      <w:r>
        <w:rPr>
          <w:color w:val="231F20"/>
          <w:spacing w:val="-11"/>
          <w:w w:val="105"/>
        </w:rPr>
        <w:t xml:space="preserve"> </w:t>
      </w:r>
      <w:r>
        <w:rPr>
          <w:color w:val="231F20"/>
          <w:w w:val="105"/>
        </w:rPr>
        <w:t>Liberation Army</w:t>
      </w:r>
      <w:r>
        <w:rPr>
          <w:color w:val="231F20"/>
          <w:w w:val="105"/>
          <w:position w:val="7"/>
          <w:sz w:val="11"/>
        </w:rPr>
        <w:t>1</w:t>
      </w:r>
      <w:r>
        <w:rPr>
          <w:color w:val="231F20"/>
          <w:spacing w:val="-5"/>
          <w:w w:val="105"/>
          <w:position w:val="7"/>
          <w:sz w:val="11"/>
        </w:rPr>
        <w:t xml:space="preserve"> </w:t>
      </w:r>
      <w:r>
        <w:rPr>
          <w:color w:val="231F20"/>
          <w:w w:val="105"/>
        </w:rPr>
        <w:t>in</w:t>
      </w:r>
      <w:r>
        <w:rPr>
          <w:color w:val="231F20"/>
          <w:spacing w:val="-10"/>
          <w:w w:val="105"/>
        </w:rPr>
        <w:t xml:space="preserve"> </w:t>
      </w:r>
      <w:r>
        <w:rPr>
          <w:color w:val="231F20"/>
          <w:w w:val="105"/>
        </w:rPr>
        <w:t>the</w:t>
      </w:r>
      <w:r>
        <w:rPr>
          <w:color w:val="231F20"/>
          <w:spacing w:val="-10"/>
          <w:w w:val="105"/>
        </w:rPr>
        <w:t xml:space="preserve"> </w:t>
      </w:r>
      <w:r>
        <w:rPr>
          <w:color w:val="231F20"/>
          <w:spacing w:val="1"/>
          <w:w w:val="105"/>
        </w:rPr>
        <w:t>U.S.A.—lies</w:t>
      </w:r>
      <w:r>
        <w:rPr>
          <w:color w:val="231F20"/>
          <w:spacing w:val="-10"/>
          <w:w w:val="105"/>
        </w:rPr>
        <w:t xml:space="preserve"> </w:t>
      </w:r>
      <w:r>
        <w:rPr>
          <w:color w:val="231F20"/>
          <w:w w:val="105"/>
        </w:rPr>
        <w:t>in</w:t>
      </w:r>
      <w:r>
        <w:rPr>
          <w:color w:val="231F20"/>
          <w:spacing w:val="-10"/>
          <w:w w:val="105"/>
        </w:rPr>
        <w:t xml:space="preserve"> </w:t>
      </w:r>
      <w:r>
        <w:rPr>
          <w:color w:val="231F20"/>
          <w:w w:val="105"/>
        </w:rPr>
        <w:t>the</w:t>
      </w:r>
      <w:r>
        <w:rPr>
          <w:color w:val="231F20"/>
          <w:spacing w:val="-10"/>
          <w:w w:val="105"/>
        </w:rPr>
        <w:t xml:space="preserve"> </w:t>
      </w:r>
      <w:r>
        <w:rPr>
          <w:color w:val="231F20"/>
          <w:w w:val="105"/>
        </w:rPr>
        <w:t>fact</w:t>
      </w:r>
      <w:r>
        <w:rPr>
          <w:color w:val="231F20"/>
          <w:spacing w:val="-10"/>
          <w:w w:val="105"/>
        </w:rPr>
        <w:t xml:space="preserve"> </w:t>
      </w:r>
      <w:r>
        <w:rPr>
          <w:color w:val="231F20"/>
          <w:w w:val="105"/>
        </w:rPr>
        <w:t>that</w:t>
      </w:r>
      <w:r>
        <w:rPr>
          <w:color w:val="231F20"/>
          <w:spacing w:val="-10"/>
          <w:w w:val="105"/>
        </w:rPr>
        <w:t xml:space="preserve"> </w:t>
      </w:r>
      <w:r>
        <w:rPr>
          <w:color w:val="231F20"/>
          <w:w w:val="105"/>
        </w:rPr>
        <w:t>it</w:t>
      </w:r>
      <w:r>
        <w:rPr>
          <w:color w:val="231F20"/>
          <w:spacing w:val="-10"/>
          <w:w w:val="105"/>
        </w:rPr>
        <w:t xml:space="preserve"> </w:t>
      </w:r>
      <w:r>
        <w:rPr>
          <w:color w:val="231F20"/>
          <w:w w:val="105"/>
        </w:rPr>
        <w:t>can</w:t>
      </w:r>
      <w:r>
        <w:rPr>
          <w:color w:val="231F20"/>
          <w:spacing w:val="-10"/>
          <w:w w:val="105"/>
        </w:rPr>
        <w:t xml:space="preserve"> </w:t>
      </w:r>
      <w:r>
        <w:rPr>
          <w:color w:val="231F20"/>
          <w:w w:val="105"/>
        </w:rPr>
        <w:t>attack</w:t>
      </w:r>
      <w:r>
        <w:rPr>
          <w:color w:val="231F20"/>
          <w:spacing w:val="-10"/>
          <w:w w:val="105"/>
        </w:rPr>
        <w:t xml:space="preserve"> </w:t>
      </w:r>
      <w:r>
        <w:rPr>
          <w:color w:val="231F20"/>
          <w:w w:val="105"/>
        </w:rPr>
        <w:t>imperialism</w:t>
      </w:r>
      <w:r>
        <w:rPr>
          <w:color w:val="231F20"/>
          <w:spacing w:val="-10"/>
          <w:w w:val="105"/>
        </w:rPr>
        <w:t xml:space="preserve"> </w:t>
      </w:r>
      <w:r>
        <w:rPr>
          <w:color w:val="231F20"/>
          <w:w w:val="105"/>
        </w:rPr>
        <w:t>here in</w:t>
      </w:r>
      <w:r>
        <w:rPr>
          <w:color w:val="231F20"/>
          <w:spacing w:val="-11"/>
          <w:w w:val="105"/>
        </w:rPr>
        <w:t xml:space="preserve"> </w:t>
      </w:r>
      <w:r>
        <w:rPr>
          <w:color w:val="231F20"/>
          <w:w w:val="105"/>
        </w:rPr>
        <w:t>its</w:t>
      </w:r>
      <w:r>
        <w:rPr>
          <w:color w:val="231F20"/>
          <w:spacing w:val="-11"/>
          <w:w w:val="105"/>
        </w:rPr>
        <w:t xml:space="preserve"> </w:t>
      </w:r>
      <w:r>
        <w:rPr>
          <w:color w:val="231F20"/>
          <w:w w:val="105"/>
        </w:rPr>
        <w:t>rear</w:t>
      </w:r>
      <w:r>
        <w:rPr>
          <w:color w:val="231F20"/>
          <w:spacing w:val="-11"/>
          <w:w w:val="105"/>
        </w:rPr>
        <w:t xml:space="preserve"> </w:t>
      </w:r>
      <w:r>
        <w:rPr>
          <w:color w:val="231F20"/>
          <w:w w:val="105"/>
        </w:rPr>
        <w:t>base,</w:t>
      </w:r>
      <w:r>
        <w:rPr>
          <w:color w:val="231F20"/>
          <w:spacing w:val="-11"/>
          <w:w w:val="105"/>
        </w:rPr>
        <w:t xml:space="preserve"> </w:t>
      </w:r>
      <w:r>
        <w:rPr>
          <w:color w:val="231F20"/>
          <w:w w:val="105"/>
        </w:rPr>
        <w:t>from</w:t>
      </w:r>
      <w:r>
        <w:rPr>
          <w:color w:val="231F20"/>
          <w:spacing w:val="-11"/>
          <w:w w:val="105"/>
        </w:rPr>
        <w:t xml:space="preserve"> </w:t>
      </w:r>
      <w:r>
        <w:rPr>
          <w:color w:val="231F20"/>
          <w:w w:val="105"/>
        </w:rPr>
        <w:t>which</w:t>
      </w:r>
      <w:r>
        <w:rPr>
          <w:color w:val="231F20"/>
          <w:spacing w:val="-11"/>
          <w:w w:val="105"/>
        </w:rPr>
        <w:t xml:space="preserve"> </w:t>
      </w:r>
      <w:r>
        <w:rPr>
          <w:color w:val="231F20"/>
          <w:w w:val="105"/>
        </w:rPr>
        <w:t>it</w:t>
      </w:r>
      <w:r>
        <w:rPr>
          <w:color w:val="231F20"/>
          <w:spacing w:val="-11"/>
          <w:w w:val="105"/>
        </w:rPr>
        <w:t xml:space="preserve"> </w:t>
      </w:r>
      <w:r>
        <w:rPr>
          <w:color w:val="231F20"/>
          <w:w w:val="105"/>
        </w:rPr>
        <w:t>sends</w:t>
      </w:r>
      <w:r>
        <w:rPr>
          <w:color w:val="231F20"/>
          <w:spacing w:val="-11"/>
          <w:w w:val="105"/>
        </w:rPr>
        <w:t xml:space="preserve"> </w:t>
      </w:r>
      <w:r>
        <w:rPr>
          <w:color w:val="231F20"/>
          <w:w w:val="105"/>
        </w:rPr>
        <w:t>its</w:t>
      </w:r>
      <w:r>
        <w:rPr>
          <w:color w:val="231F20"/>
          <w:spacing w:val="-11"/>
          <w:w w:val="105"/>
        </w:rPr>
        <w:t xml:space="preserve"> </w:t>
      </w:r>
      <w:r>
        <w:rPr>
          <w:color w:val="231F20"/>
          <w:w w:val="105"/>
        </w:rPr>
        <w:t>troops,</w:t>
      </w:r>
      <w:r>
        <w:rPr>
          <w:color w:val="231F20"/>
          <w:spacing w:val="-11"/>
          <w:w w:val="105"/>
        </w:rPr>
        <w:t xml:space="preserve"> </w:t>
      </w:r>
      <w:r>
        <w:rPr>
          <w:color w:val="231F20"/>
          <w:w w:val="105"/>
        </w:rPr>
        <w:t>its</w:t>
      </w:r>
      <w:r>
        <w:rPr>
          <w:color w:val="231F20"/>
          <w:spacing w:val="-11"/>
          <w:w w:val="105"/>
        </w:rPr>
        <w:t xml:space="preserve"> </w:t>
      </w:r>
      <w:r>
        <w:rPr>
          <w:color w:val="231F20"/>
          <w:w w:val="105"/>
        </w:rPr>
        <w:t>arms,</w:t>
      </w:r>
      <w:r>
        <w:rPr>
          <w:color w:val="231F20"/>
          <w:spacing w:val="-11"/>
          <w:w w:val="105"/>
        </w:rPr>
        <w:t xml:space="preserve"> </w:t>
      </w:r>
      <w:r>
        <w:rPr>
          <w:color w:val="231F20"/>
          <w:w w:val="105"/>
        </w:rPr>
        <w:t>its</w:t>
      </w:r>
      <w:r>
        <w:rPr>
          <w:color w:val="231F20"/>
          <w:spacing w:val="-11"/>
          <w:w w:val="105"/>
        </w:rPr>
        <w:t xml:space="preserve"> </w:t>
      </w:r>
      <w:r>
        <w:rPr>
          <w:color w:val="231F20"/>
          <w:w w:val="105"/>
        </w:rPr>
        <w:t xml:space="preserve">instructors, its technology, its communication systems, and its cultural fascism to oppress and exploit the people of the Third </w:t>
      </w:r>
      <w:r>
        <w:rPr>
          <w:color w:val="231F20"/>
          <w:spacing w:val="-3"/>
          <w:w w:val="105"/>
        </w:rPr>
        <w:t xml:space="preserve">World. </w:t>
      </w:r>
      <w:r>
        <w:rPr>
          <w:color w:val="231F20"/>
          <w:w w:val="105"/>
        </w:rPr>
        <w:t>This is because it operates</w:t>
      </w:r>
      <w:r>
        <w:rPr>
          <w:color w:val="231F20"/>
          <w:spacing w:val="-20"/>
          <w:w w:val="105"/>
        </w:rPr>
        <w:t xml:space="preserve"> </w:t>
      </w:r>
      <w:r>
        <w:rPr>
          <w:color w:val="231F20"/>
          <w:w w:val="105"/>
        </w:rPr>
        <w:t>within</w:t>
      </w:r>
      <w:r>
        <w:rPr>
          <w:color w:val="231F20"/>
          <w:spacing w:val="-20"/>
          <w:w w:val="105"/>
        </w:rPr>
        <w:t xml:space="preserve"> </w:t>
      </w:r>
      <w:r>
        <w:rPr>
          <w:color w:val="231F20"/>
          <w:w w:val="105"/>
        </w:rPr>
        <w:t>the</w:t>
      </w:r>
      <w:r>
        <w:rPr>
          <w:color w:val="231F20"/>
          <w:spacing w:val="-20"/>
          <w:w w:val="105"/>
        </w:rPr>
        <w:t xml:space="preserve"> </w:t>
      </w:r>
      <w:r>
        <w:rPr>
          <w:color w:val="231F20"/>
          <w:w w:val="105"/>
        </w:rPr>
        <w:t>framework</w:t>
      </w:r>
      <w:r>
        <w:rPr>
          <w:color w:val="231F20"/>
          <w:spacing w:val="-20"/>
          <w:w w:val="105"/>
        </w:rPr>
        <w:t xml:space="preserve"> </w:t>
      </w:r>
      <w:r>
        <w:rPr>
          <w:color w:val="231F20"/>
          <w:w w:val="105"/>
        </w:rPr>
        <w:t>of</w:t>
      </w:r>
      <w:r>
        <w:rPr>
          <w:color w:val="231F20"/>
          <w:spacing w:val="-20"/>
          <w:w w:val="105"/>
        </w:rPr>
        <w:t xml:space="preserve"> </w:t>
      </w:r>
      <w:r>
        <w:rPr>
          <w:color w:val="231F20"/>
          <w:w w:val="105"/>
        </w:rPr>
        <w:t>the</w:t>
      </w:r>
      <w:r>
        <w:rPr>
          <w:color w:val="231F20"/>
          <w:spacing w:val="-20"/>
          <w:w w:val="105"/>
        </w:rPr>
        <w:t xml:space="preserve"> </w:t>
      </w:r>
      <w:r>
        <w:rPr>
          <w:color w:val="231F20"/>
          <w:w w:val="105"/>
        </w:rPr>
        <w:t>Third</w:t>
      </w:r>
      <w:r>
        <w:rPr>
          <w:color w:val="231F20"/>
          <w:spacing w:val="-20"/>
          <w:w w:val="105"/>
        </w:rPr>
        <w:t xml:space="preserve"> </w:t>
      </w:r>
      <w:r>
        <w:rPr>
          <w:color w:val="231F20"/>
          <w:spacing w:val="-4"/>
          <w:w w:val="105"/>
        </w:rPr>
        <w:t>World</w:t>
      </w:r>
      <w:r>
        <w:rPr>
          <w:color w:val="231F20"/>
          <w:spacing w:val="-20"/>
          <w:w w:val="105"/>
        </w:rPr>
        <w:t xml:space="preserve"> </w:t>
      </w:r>
      <w:r>
        <w:rPr>
          <w:color w:val="231F20"/>
          <w:w w:val="105"/>
        </w:rPr>
        <w:t>liberation</w:t>
      </w:r>
      <w:r>
        <w:rPr>
          <w:color w:val="231F20"/>
          <w:spacing w:val="-20"/>
          <w:w w:val="105"/>
        </w:rPr>
        <w:t xml:space="preserve"> </w:t>
      </w:r>
      <w:r>
        <w:rPr>
          <w:color w:val="231F20"/>
          <w:w w:val="105"/>
        </w:rPr>
        <w:t>struggles, struggling</w:t>
      </w:r>
      <w:r>
        <w:rPr>
          <w:color w:val="231F20"/>
          <w:spacing w:val="-19"/>
          <w:w w:val="105"/>
        </w:rPr>
        <w:t xml:space="preserve"> </w:t>
      </w:r>
      <w:r>
        <w:rPr>
          <w:color w:val="231F20"/>
          <w:w w:val="105"/>
        </w:rPr>
        <w:t>in</w:t>
      </w:r>
      <w:r>
        <w:rPr>
          <w:color w:val="231F20"/>
          <w:spacing w:val="-19"/>
          <w:w w:val="105"/>
        </w:rPr>
        <w:t xml:space="preserve"> </w:t>
      </w:r>
      <w:r>
        <w:rPr>
          <w:color w:val="231F20"/>
          <w:w w:val="105"/>
        </w:rPr>
        <w:t>solidarity</w:t>
      </w:r>
      <w:r>
        <w:rPr>
          <w:color w:val="231F20"/>
          <w:spacing w:val="-19"/>
          <w:w w:val="105"/>
        </w:rPr>
        <w:t xml:space="preserve"> </w:t>
      </w:r>
      <w:r>
        <w:rPr>
          <w:color w:val="231F20"/>
          <w:w w:val="105"/>
        </w:rPr>
        <w:t>with</w:t>
      </w:r>
      <w:r>
        <w:rPr>
          <w:color w:val="231F20"/>
          <w:spacing w:val="-19"/>
          <w:w w:val="105"/>
        </w:rPr>
        <w:t xml:space="preserve"> </w:t>
      </w:r>
      <w:r>
        <w:rPr>
          <w:color w:val="231F20"/>
          <w:w w:val="105"/>
        </w:rPr>
        <w:t>them.</w:t>
      </w:r>
      <w:r>
        <w:rPr>
          <w:color w:val="231F20"/>
          <w:spacing w:val="-19"/>
          <w:w w:val="105"/>
        </w:rPr>
        <w:t xml:space="preserve"> </w:t>
      </w:r>
      <w:r>
        <w:rPr>
          <w:color w:val="231F20"/>
          <w:w w:val="105"/>
        </w:rPr>
        <w:t>That</w:t>
      </w:r>
      <w:r>
        <w:rPr>
          <w:color w:val="231F20"/>
          <w:spacing w:val="-19"/>
          <w:w w:val="105"/>
        </w:rPr>
        <w:t xml:space="preserve"> </w:t>
      </w:r>
      <w:r>
        <w:rPr>
          <w:color w:val="231F20"/>
          <w:w w:val="105"/>
        </w:rPr>
        <w:t>is</w:t>
      </w:r>
      <w:r>
        <w:rPr>
          <w:color w:val="231F20"/>
          <w:spacing w:val="-19"/>
          <w:w w:val="105"/>
        </w:rPr>
        <w:t xml:space="preserve"> </w:t>
      </w:r>
      <w:r>
        <w:rPr>
          <w:color w:val="231F20"/>
          <w:w w:val="105"/>
        </w:rPr>
        <w:t>the</w:t>
      </w:r>
      <w:r>
        <w:rPr>
          <w:color w:val="231F20"/>
          <w:spacing w:val="-19"/>
          <w:w w:val="105"/>
        </w:rPr>
        <w:t xml:space="preserve"> </w:t>
      </w:r>
      <w:r>
        <w:rPr>
          <w:color w:val="231F20"/>
          <w:w w:val="105"/>
        </w:rPr>
        <w:t>strategic</w:t>
      </w:r>
      <w:r>
        <w:rPr>
          <w:color w:val="231F20"/>
          <w:spacing w:val="-19"/>
          <w:w w:val="105"/>
        </w:rPr>
        <w:t xml:space="preserve"> </w:t>
      </w:r>
      <w:r>
        <w:rPr>
          <w:color w:val="231F20"/>
          <w:w w:val="105"/>
        </w:rPr>
        <w:t>starting</w:t>
      </w:r>
      <w:r>
        <w:rPr>
          <w:color w:val="231F20"/>
          <w:spacing w:val="-19"/>
          <w:w w:val="105"/>
        </w:rPr>
        <w:t xml:space="preserve"> </w:t>
      </w:r>
      <w:r>
        <w:rPr>
          <w:color w:val="231F20"/>
          <w:w w:val="105"/>
        </w:rPr>
        <w:t>point</w:t>
      </w:r>
      <w:r>
        <w:rPr>
          <w:color w:val="231F20"/>
          <w:spacing w:val="-19"/>
          <w:w w:val="105"/>
        </w:rPr>
        <w:t xml:space="preserve"> </w:t>
      </w:r>
      <w:r>
        <w:rPr>
          <w:color w:val="231F20"/>
          <w:w w:val="105"/>
        </w:rPr>
        <w:t>of the</w:t>
      </w:r>
      <w:r>
        <w:rPr>
          <w:color w:val="231F20"/>
          <w:spacing w:val="-27"/>
          <w:w w:val="105"/>
        </w:rPr>
        <w:t xml:space="preserve"> </w:t>
      </w:r>
      <w:r>
        <w:rPr>
          <w:color w:val="231F20"/>
          <w:w w:val="105"/>
        </w:rPr>
        <w:t>guerilla</w:t>
      </w:r>
      <w:r>
        <w:rPr>
          <w:color w:val="231F20"/>
          <w:spacing w:val="-27"/>
          <w:w w:val="105"/>
        </w:rPr>
        <w:t xml:space="preserve"> </w:t>
      </w:r>
      <w:r>
        <w:rPr>
          <w:color w:val="231F20"/>
          <w:w w:val="105"/>
        </w:rPr>
        <w:t>in</w:t>
      </w:r>
      <w:r>
        <w:rPr>
          <w:color w:val="231F20"/>
          <w:spacing w:val="-27"/>
          <w:w w:val="105"/>
        </w:rPr>
        <w:t xml:space="preserve"> </w:t>
      </w:r>
      <w:r>
        <w:rPr>
          <w:color w:val="231F20"/>
          <w:w w:val="105"/>
        </w:rPr>
        <w:t>the</w:t>
      </w:r>
      <w:r>
        <w:rPr>
          <w:color w:val="231F20"/>
          <w:spacing w:val="-27"/>
          <w:w w:val="105"/>
        </w:rPr>
        <w:t xml:space="preserve"> </w:t>
      </w:r>
      <w:r>
        <w:rPr>
          <w:color w:val="231F20"/>
          <w:w w:val="105"/>
        </w:rPr>
        <w:t>metropole:</w:t>
      </w:r>
      <w:r>
        <w:rPr>
          <w:color w:val="231F20"/>
          <w:spacing w:val="-27"/>
          <w:w w:val="105"/>
        </w:rPr>
        <w:t xml:space="preserve"> </w:t>
      </w:r>
      <w:r>
        <w:rPr>
          <w:color w:val="231F20"/>
          <w:w w:val="105"/>
        </w:rPr>
        <w:t>to</w:t>
      </w:r>
      <w:r>
        <w:rPr>
          <w:color w:val="231F20"/>
          <w:spacing w:val="-27"/>
          <w:w w:val="105"/>
        </w:rPr>
        <w:t xml:space="preserve"> </w:t>
      </w:r>
      <w:r>
        <w:rPr>
          <w:color w:val="231F20"/>
          <w:w w:val="105"/>
        </w:rPr>
        <w:t>unleash</w:t>
      </w:r>
      <w:r>
        <w:rPr>
          <w:color w:val="231F20"/>
          <w:spacing w:val="-27"/>
          <w:w w:val="105"/>
        </w:rPr>
        <w:t xml:space="preserve"> </w:t>
      </w:r>
      <w:r>
        <w:rPr>
          <w:color w:val="231F20"/>
          <w:w w:val="105"/>
        </w:rPr>
        <w:t>the</w:t>
      </w:r>
      <w:r>
        <w:rPr>
          <w:color w:val="231F20"/>
          <w:spacing w:val="-27"/>
          <w:w w:val="105"/>
        </w:rPr>
        <w:t xml:space="preserve"> </w:t>
      </w:r>
      <w:r>
        <w:rPr>
          <w:color w:val="231F20"/>
          <w:w w:val="105"/>
        </w:rPr>
        <w:t>guerilla,</w:t>
      </w:r>
      <w:r>
        <w:rPr>
          <w:color w:val="231F20"/>
          <w:spacing w:val="-27"/>
          <w:w w:val="105"/>
        </w:rPr>
        <w:t xml:space="preserve"> </w:t>
      </w:r>
      <w:r>
        <w:rPr>
          <w:color w:val="231F20"/>
          <w:w w:val="105"/>
        </w:rPr>
        <w:t>the</w:t>
      </w:r>
      <w:r>
        <w:rPr>
          <w:color w:val="231F20"/>
          <w:spacing w:val="-27"/>
          <w:w w:val="105"/>
        </w:rPr>
        <w:t xml:space="preserve"> </w:t>
      </w:r>
      <w:r>
        <w:rPr>
          <w:color w:val="231F20"/>
          <w:w w:val="105"/>
        </w:rPr>
        <w:t>armed</w:t>
      </w:r>
      <w:r>
        <w:rPr>
          <w:color w:val="231F20"/>
          <w:spacing w:val="-27"/>
          <w:w w:val="105"/>
        </w:rPr>
        <w:t xml:space="preserve"> </w:t>
      </w:r>
      <w:r>
        <w:rPr>
          <w:color w:val="231F20"/>
          <w:w w:val="105"/>
        </w:rPr>
        <w:t>struggle against</w:t>
      </w:r>
      <w:r>
        <w:rPr>
          <w:color w:val="231F20"/>
          <w:spacing w:val="-9"/>
          <w:w w:val="105"/>
        </w:rPr>
        <w:t xml:space="preserve"> </w:t>
      </w:r>
      <w:r>
        <w:rPr>
          <w:color w:val="231F20"/>
          <w:w w:val="105"/>
        </w:rPr>
        <w:t>imperialism,</w:t>
      </w:r>
      <w:r>
        <w:rPr>
          <w:color w:val="231F20"/>
          <w:spacing w:val="-9"/>
          <w:w w:val="105"/>
        </w:rPr>
        <w:t xml:space="preserve"> </w:t>
      </w:r>
      <w:r>
        <w:rPr>
          <w:color w:val="231F20"/>
          <w:w w:val="105"/>
        </w:rPr>
        <w:t>and</w:t>
      </w:r>
      <w:r>
        <w:rPr>
          <w:color w:val="231F20"/>
          <w:spacing w:val="-9"/>
          <w:w w:val="105"/>
        </w:rPr>
        <w:t xml:space="preserve"> </w:t>
      </w:r>
      <w:r>
        <w:rPr>
          <w:color w:val="231F20"/>
          <w:w w:val="105"/>
        </w:rPr>
        <w:t>the</w:t>
      </w:r>
      <w:r>
        <w:rPr>
          <w:color w:val="231F20"/>
          <w:spacing w:val="-9"/>
          <w:w w:val="105"/>
        </w:rPr>
        <w:t xml:space="preserve"> </w:t>
      </w:r>
      <w:r>
        <w:rPr>
          <w:color w:val="231F20"/>
          <w:w w:val="105"/>
        </w:rPr>
        <w:t>people’s</w:t>
      </w:r>
      <w:r>
        <w:rPr>
          <w:color w:val="231F20"/>
          <w:spacing w:val="-9"/>
          <w:w w:val="105"/>
        </w:rPr>
        <w:t xml:space="preserve"> </w:t>
      </w:r>
      <w:r>
        <w:rPr>
          <w:color w:val="231F20"/>
          <w:w w:val="105"/>
        </w:rPr>
        <w:t>war</w:t>
      </w:r>
      <w:r>
        <w:rPr>
          <w:color w:val="231F20"/>
          <w:spacing w:val="-9"/>
          <w:w w:val="105"/>
        </w:rPr>
        <w:t xml:space="preserve"> </w:t>
      </w:r>
      <w:r>
        <w:rPr>
          <w:color w:val="231F20"/>
          <w:w w:val="105"/>
        </w:rPr>
        <w:t>in</w:t>
      </w:r>
      <w:r>
        <w:rPr>
          <w:color w:val="231F20"/>
          <w:spacing w:val="-9"/>
          <w:w w:val="105"/>
        </w:rPr>
        <w:t xml:space="preserve"> </w:t>
      </w:r>
      <w:r>
        <w:rPr>
          <w:color w:val="231F20"/>
          <w:w w:val="105"/>
        </w:rPr>
        <w:t>imperialism’s</w:t>
      </w:r>
      <w:r>
        <w:rPr>
          <w:color w:val="231F20"/>
          <w:spacing w:val="-9"/>
          <w:w w:val="105"/>
        </w:rPr>
        <w:t xml:space="preserve"> </w:t>
      </w:r>
      <w:r>
        <w:rPr>
          <w:color w:val="231F20"/>
          <w:w w:val="105"/>
        </w:rPr>
        <w:t>rear</w:t>
      </w:r>
      <w:r>
        <w:rPr>
          <w:color w:val="231F20"/>
          <w:spacing w:val="-9"/>
          <w:w w:val="105"/>
        </w:rPr>
        <w:t xml:space="preserve"> </w:t>
      </w:r>
      <w:r>
        <w:rPr>
          <w:color w:val="231F20"/>
          <w:w w:val="105"/>
        </w:rPr>
        <w:t>bases, to</w:t>
      </w:r>
      <w:r>
        <w:rPr>
          <w:color w:val="231F20"/>
          <w:spacing w:val="-19"/>
          <w:w w:val="105"/>
        </w:rPr>
        <w:t xml:space="preserve"> </w:t>
      </w:r>
      <w:r>
        <w:rPr>
          <w:color w:val="231F20"/>
          <w:w w:val="105"/>
        </w:rPr>
        <w:t>begin</w:t>
      </w:r>
      <w:r>
        <w:rPr>
          <w:color w:val="231F20"/>
          <w:spacing w:val="-19"/>
          <w:w w:val="105"/>
        </w:rPr>
        <w:t xml:space="preserve"> </w:t>
      </w:r>
      <w:r>
        <w:rPr>
          <w:color w:val="231F20"/>
          <w:w w:val="105"/>
        </w:rPr>
        <w:t>a</w:t>
      </w:r>
      <w:r>
        <w:rPr>
          <w:color w:val="231F20"/>
          <w:spacing w:val="-19"/>
          <w:w w:val="105"/>
        </w:rPr>
        <w:t xml:space="preserve"> </w:t>
      </w:r>
      <w:r>
        <w:rPr>
          <w:color w:val="231F20"/>
          <w:w w:val="105"/>
        </w:rPr>
        <w:t>long-term</w:t>
      </w:r>
      <w:r>
        <w:rPr>
          <w:color w:val="231F20"/>
          <w:spacing w:val="-19"/>
          <w:w w:val="105"/>
        </w:rPr>
        <w:t xml:space="preserve"> </w:t>
      </w:r>
      <w:r>
        <w:rPr>
          <w:color w:val="231F20"/>
          <w:w w:val="105"/>
        </w:rPr>
        <w:t>process.</w:t>
      </w:r>
      <w:r>
        <w:rPr>
          <w:color w:val="231F20"/>
          <w:spacing w:val="-19"/>
          <w:w w:val="105"/>
        </w:rPr>
        <w:t xml:space="preserve"> </w:t>
      </w:r>
      <w:r>
        <w:rPr>
          <w:color w:val="231F20"/>
          <w:w w:val="105"/>
        </w:rPr>
        <w:t>Because</w:t>
      </w:r>
      <w:r>
        <w:rPr>
          <w:color w:val="231F20"/>
          <w:spacing w:val="-19"/>
          <w:w w:val="105"/>
        </w:rPr>
        <w:t xml:space="preserve"> </w:t>
      </w:r>
      <w:r>
        <w:rPr>
          <w:color w:val="231F20"/>
          <w:w w:val="105"/>
        </w:rPr>
        <w:t>world</w:t>
      </w:r>
      <w:r>
        <w:rPr>
          <w:color w:val="231F20"/>
          <w:spacing w:val="-19"/>
          <w:w w:val="105"/>
        </w:rPr>
        <w:t xml:space="preserve"> </w:t>
      </w:r>
      <w:r>
        <w:rPr>
          <w:color w:val="231F20"/>
          <w:w w:val="105"/>
        </w:rPr>
        <w:t>revolution</w:t>
      </w:r>
      <w:r>
        <w:rPr>
          <w:color w:val="231F20"/>
          <w:spacing w:val="-19"/>
          <w:w w:val="105"/>
        </w:rPr>
        <w:t xml:space="preserve"> </w:t>
      </w:r>
      <w:r>
        <w:rPr>
          <w:color w:val="231F20"/>
          <w:w w:val="105"/>
        </w:rPr>
        <w:t>is</w:t>
      </w:r>
      <w:r>
        <w:rPr>
          <w:color w:val="231F20"/>
          <w:spacing w:val="-19"/>
          <w:w w:val="105"/>
        </w:rPr>
        <w:t xml:space="preserve"> </w:t>
      </w:r>
      <w:r>
        <w:rPr>
          <w:color w:val="231F20"/>
          <w:w w:val="105"/>
        </w:rPr>
        <w:t>surely</w:t>
      </w:r>
      <w:r>
        <w:rPr>
          <w:color w:val="231F20"/>
          <w:spacing w:val="-19"/>
          <w:w w:val="105"/>
        </w:rPr>
        <w:t xml:space="preserve"> </w:t>
      </w:r>
      <w:r>
        <w:rPr>
          <w:color w:val="231F20"/>
          <w:w w:val="105"/>
        </w:rPr>
        <w:t>not</w:t>
      </w:r>
      <w:r>
        <w:rPr>
          <w:color w:val="231F20"/>
          <w:spacing w:val="-19"/>
          <w:w w:val="105"/>
        </w:rPr>
        <w:t xml:space="preserve"> </w:t>
      </w:r>
      <w:r>
        <w:rPr>
          <w:color w:val="231F20"/>
          <w:w w:val="105"/>
        </w:rPr>
        <w:t>an affair</w:t>
      </w:r>
      <w:r>
        <w:rPr>
          <w:color w:val="231F20"/>
          <w:spacing w:val="-4"/>
          <w:w w:val="105"/>
        </w:rPr>
        <w:t xml:space="preserve"> </w:t>
      </w:r>
      <w:r>
        <w:rPr>
          <w:color w:val="231F20"/>
          <w:w w:val="105"/>
        </w:rPr>
        <w:t>of</w:t>
      </w:r>
      <w:r>
        <w:rPr>
          <w:color w:val="231F20"/>
          <w:spacing w:val="-4"/>
          <w:w w:val="105"/>
        </w:rPr>
        <w:t xml:space="preserve"> </w:t>
      </w:r>
      <w:r>
        <w:rPr>
          <w:color w:val="231F20"/>
          <w:w w:val="105"/>
        </w:rPr>
        <w:t>a</w:t>
      </w:r>
      <w:r>
        <w:rPr>
          <w:color w:val="231F20"/>
          <w:spacing w:val="-4"/>
          <w:w w:val="105"/>
        </w:rPr>
        <w:t xml:space="preserve"> </w:t>
      </w:r>
      <w:r>
        <w:rPr>
          <w:color w:val="231F20"/>
          <w:w w:val="105"/>
        </w:rPr>
        <w:t>few</w:t>
      </w:r>
      <w:r>
        <w:rPr>
          <w:color w:val="231F20"/>
          <w:spacing w:val="-4"/>
          <w:w w:val="105"/>
        </w:rPr>
        <w:t xml:space="preserve"> </w:t>
      </w:r>
      <w:r>
        <w:rPr>
          <w:color w:val="231F20"/>
          <w:w w:val="105"/>
        </w:rPr>
        <w:t>days,</w:t>
      </w:r>
      <w:r>
        <w:rPr>
          <w:color w:val="231F20"/>
          <w:spacing w:val="-4"/>
          <w:w w:val="105"/>
        </w:rPr>
        <w:t xml:space="preserve"> </w:t>
      </w:r>
      <w:r>
        <w:rPr>
          <w:color w:val="231F20"/>
          <w:w w:val="105"/>
        </w:rPr>
        <w:t>a</w:t>
      </w:r>
      <w:r>
        <w:rPr>
          <w:color w:val="231F20"/>
          <w:spacing w:val="-4"/>
          <w:w w:val="105"/>
        </w:rPr>
        <w:t xml:space="preserve"> </w:t>
      </w:r>
      <w:r>
        <w:rPr>
          <w:color w:val="231F20"/>
          <w:w w:val="105"/>
        </w:rPr>
        <w:t>few</w:t>
      </w:r>
      <w:r>
        <w:rPr>
          <w:color w:val="231F20"/>
          <w:spacing w:val="-4"/>
          <w:w w:val="105"/>
        </w:rPr>
        <w:t xml:space="preserve"> </w:t>
      </w:r>
      <w:r>
        <w:rPr>
          <w:color w:val="231F20"/>
          <w:w w:val="105"/>
        </w:rPr>
        <w:t>weeks,</w:t>
      </w:r>
      <w:r>
        <w:rPr>
          <w:color w:val="231F20"/>
          <w:spacing w:val="-4"/>
          <w:w w:val="105"/>
        </w:rPr>
        <w:t xml:space="preserve"> </w:t>
      </w:r>
      <w:r>
        <w:rPr>
          <w:color w:val="231F20"/>
          <w:w w:val="105"/>
        </w:rPr>
        <w:t>or</w:t>
      </w:r>
      <w:r>
        <w:rPr>
          <w:color w:val="231F20"/>
          <w:spacing w:val="-4"/>
          <w:w w:val="105"/>
        </w:rPr>
        <w:t xml:space="preserve"> </w:t>
      </w:r>
      <w:r>
        <w:rPr>
          <w:color w:val="231F20"/>
          <w:w w:val="105"/>
        </w:rPr>
        <w:t>a</w:t>
      </w:r>
      <w:r>
        <w:rPr>
          <w:color w:val="231F20"/>
          <w:spacing w:val="-4"/>
          <w:w w:val="105"/>
        </w:rPr>
        <w:t xml:space="preserve"> </w:t>
      </w:r>
      <w:r>
        <w:rPr>
          <w:color w:val="231F20"/>
          <w:w w:val="105"/>
        </w:rPr>
        <w:t>few</w:t>
      </w:r>
      <w:r>
        <w:rPr>
          <w:color w:val="231F20"/>
          <w:spacing w:val="-4"/>
          <w:w w:val="105"/>
        </w:rPr>
        <w:t xml:space="preserve"> </w:t>
      </w:r>
      <w:r>
        <w:rPr>
          <w:color w:val="231F20"/>
          <w:w w:val="105"/>
        </w:rPr>
        <w:t>months,</w:t>
      </w:r>
      <w:r>
        <w:rPr>
          <w:color w:val="231F20"/>
          <w:spacing w:val="-4"/>
          <w:w w:val="105"/>
        </w:rPr>
        <w:t xml:space="preserve"> </w:t>
      </w:r>
      <w:r>
        <w:rPr>
          <w:color w:val="231F20"/>
          <w:w w:val="105"/>
        </w:rPr>
        <w:t>because</w:t>
      </w:r>
      <w:r>
        <w:rPr>
          <w:color w:val="231F20"/>
          <w:spacing w:val="-4"/>
          <w:w w:val="105"/>
        </w:rPr>
        <w:t xml:space="preserve"> </w:t>
      </w:r>
      <w:r>
        <w:rPr>
          <w:color w:val="231F20"/>
          <w:w w:val="105"/>
        </w:rPr>
        <w:t>it</w:t>
      </w:r>
      <w:r>
        <w:rPr>
          <w:color w:val="231F20"/>
          <w:spacing w:val="-4"/>
          <w:w w:val="105"/>
        </w:rPr>
        <w:t xml:space="preserve"> </w:t>
      </w:r>
      <w:r>
        <w:rPr>
          <w:color w:val="231F20"/>
          <w:w w:val="105"/>
        </w:rPr>
        <w:t>is</w:t>
      </w:r>
      <w:r>
        <w:rPr>
          <w:color w:val="231F20"/>
          <w:spacing w:val="-4"/>
          <w:w w:val="105"/>
        </w:rPr>
        <w:t xml:space="preserve"> </w:t>
      </w:r>
      <w:r>
        <w:rPr>
          <w:color w:val="231F20"/>
          <w:w w:val="105"/>
        </w:rPr>
        <w:t>not</w:t>
      </w:r>
      <w:r>
        <w:rPr>
          <w:color w:val="231F20"/>
          <w:spacing w:val="-4"/>
          <w:w w:val="105"/>
        </w:rPr>
        <w:t xml:space="preserve"> </w:t>
      </w:r>
      <w:r>
        <w:rPr>
          <w:color w:val="231F20"/>
          <w:w w:val="105"/>
        </w:rPr>
        <w:t>an affair</w:t>
      </w:r>
      <w:r>
        <w:rPr>
          <w:color w:val="231F20"/>
          <w:spacing w:val="-7"/>
          <w:w w:val="105"/>
        </w:rPr>
        <w:t xml:space="preserve"> </w:t>
      </w:r>
      <w:r>
        <w:rPr>
          <w:color w:val="231F20"/>
          <w:w w:val="105"/>
        </w:rPr>
        <w:t>of</w:t>
      </w:r>
      <w:r>
        <w:rPr>
          <w:color w:val="231F20"/>
          <w:spacing w:val="-7"/>
          <w:w w:val="105"/>
        </w:rPr>
        <w:t xml:space="preserve"> </w:t>
      </w:r>
      <w:r>
        <w:rPr>
          <w:color w:val="231F20"/>
          <w:w w:val="105"/>
        </w:rPr>
        <w:t>a</w:t>
      </w:r>
      <w:r>
        <w:rPr>
          <w:color w:val="231F20"/>
          <w:spacing w:val="-7"/>
          <w:w w:val="105"/>
        </w:rPr>
        <w:t xml:space="preserve"> </w:t>
      </w:r>
      <w:r>
        <w:rPr>
          <w:color w:val="231F20"/>
          <w:w w:val="105"/>
        </w:rPr>
        <w:t>few</w:t>
      </w:r>
      <w:r>
        <w:rPr>
          <w:color w:val="231F20"/>
          <w:spacing w:val="-7"/>
          <w:w w:val="105"/>
        </w:rPr>
        <w:t xml:space="preserve"> </w:t>
      </w:r>
      <w:r>
        <w:rPr>
          <w:color w:val="231F20"/>
          <w:w w:val="105"/>
        </w:rPr>
        <w:t>popular</w:t>
      </w:r>
      <w:r>
        <w:rPr>
          <w:color w:val="231F20"/>
          <w:spacing w:val="-7"/>
          <w:w w:val="105"/>
        </w:rPr>
        <w:t xml:space="preserve"> </w:t>
      </w:r>
      <w:r>
        <w:rPr>
          <w:color w:val="231F20"/>
          <w:w w:val="105"/>
        </w:rPr>
        <w:t>uprisings,</w:t>
      </w:r>
      <w:r>
        <w:rPr>
          <w:color w:val="231F20"/>
          <w:spacing w:val="-7"/>
          <w:w w:val="105"/>
        </w:rPr>
        <w:t xml:space="preserve"> </w:t>
      </w:r>
      <w:r>
        <w:rPr>
          <w:color w:val="231F20"/>
          <w:w w:val="105"/>
        </w:rPr>
        <w:t>it</w:t>
      </w:r>
      <w:r>
        <w:rPr>
          <w:color w:val="231F20"/>
          <w:spacing w:val="-7"/>
          <w:w w:val="105"/>
        </w:rPr>
        <w:t xml:space="preserve"> </w:t>
      </w:r>
      <w:r>
        <w:rPr>
          <w:color w:val="231F20"/>
          <w:w w:val="105"/>
        </w:rPr>
        <w:t>will</w:t>
      </w:r>
      <w:r>
        <w:rPr>
          <w:color w:val="231F20"/>
          <w:spacing w:val="-7"/>
          <w:w w:val="105"/>
        </w:rPr>
        <w:t xml:space="preserve"> </w:t>
      </w:r>
      <w:r>
        <w:rPr>
          <w:color w:val="231F20"/>
          <w:w w:val="105"/>
        </w:rPr>
        <w:t>not</w:t>
      </w:r>
      <w:r>
        <w:rPr>
          <w:color w:val="231F20"/>
          <w:spacing w:val="-7"/>
          <w:w w:val="105"/>
        </w:rPr>
        <w:t xml:space="preserve"> </w:t>
      </w:r>
      <w:r>
        <w:rPr>
          <w:color w:val="231F20"/>
          <w:w w:val="105"/>
        </w:rPr>
        <w:t>be</w:t>
      </w:r>
      <w:r>
        <w:rPr>
          <w:color w:val="231F20"/>
          <w:spacing w:val="-7"/>
          <w:w w:val="105"/>
        </w:rPr>
        <w:t xml:space="preserve"> </w:t>
      </w:r>
      <w:r>
        <w:rPr>
          <w:color w:val="231F20"/>
          <w:w w:val="105"/>
        </w:rPr>
        <w:t>a</w:t>
      </w:r>
      <w:r>
        <w:rPr>
          <w:color w:val="231F20"/>
          <w:spacing w:val="-7"/>
          <w:w w:val="105"/>
        </w:rPr>
        <w:t xml:space="preserve"> </w:t>
      </w:r>
      <w:r>
        <w:rPr>
          <w:color w:val="231F20"/>
          <w:w w:val="105"/>
        </w:rPr>
        <w:t>short</w:t>
      </w:r>
      <w:r>
        <w:rPr>
          <w:color w:val="231F20"/>
          <w:spacing w:val="-7"/>
          <w:w w:val="105"/>
        </w:rPr>
        <w:t xml:space="preserve"> </w:t>
      </w:r>
      <w:r>
        <w:rPr>
          <w:color w:val="231F20"/>
          <w:w w:val="105"/>
        </w:rPr>
        <w:t>process.</w:t>
      </w:r>
      <w:r>
        <w:rPr>
          <w:color w:val="231F20"/>
          <w:spacing w:val="-7"/>
          <w:w w:val="105"/>
        </w:rPr>
        <w:t xml:space="preserve"> </w:t>
      </w:r>
      <w:r>
        <w:rPr>
          <w:color w:val="231F20"/>
          <w:w w:val="105"/>
        </w:rPr>
        <w:t>It</w:t>
      </w:r>
      <w:r>
        <w:rPr>
          <w:color w:val="231F20"/>
          <w:spacing w:val="-7"/>
          <w:w w:val="105"/>
        </w:rPr>
        <w:t xml:space="preserve"> </w:t>
      </w:r>
      <w:r>
        <w:rPr>
          <w:color w:val="231F20"/>
          <w:w w:val="105"/>
        </w:rPr>
        <w:t>is</w:t>
      </w:r>
      <w:r>
        <w:rPr>
          <w:color w:val="231F20"/>
          <w:spacing w:val="-7"/>
          <w:w w:val="105"/>
        </w:rPr>
        <w:t xml:space="preserve"> </w:t>
      </w:r>
      <w:r>
        <w:rPr>
          <w:color w:val="231F20"/>
          <w:w w:val="105"/>
        </w:rPr>
        <w:t>not</w:t>
      </w:r>
    </w:p>
    <w:p w14:paraId="22C96263" w14:textId="77777777" w:rsidR="002653E8" w:rsidRDefault="00000000">
      <w:pPr>
        <w:pStyle w:val="a3"/>
        <w:spacing w:before="7"/>
        <w:rPr>
          <w:sz w:val="22"/>
        </w:rPr>
      </w:pPr>
      <w:r>
        <w:rPr>
          <w:noProof w:val="0"/>
        </w:rPr>
        <w:pict w14:anchorId="260E38A8">
          <v:line id="_x0000_s2314" style="position:absolute;z-index:7984;mso-wrap-distance-left:0;mso-wrap-distance-right:0;mso-position-horizontal-relative:page" from="57.4pt,15.45pt" to="129.4pt,15.45pt" strokecolor="#231f20" strokeweight=".5pt">
            <w10:wrap type="topAndBottom" anchorx="page"/>
          </v:line>
        </w:pict>
      </w:r>
    </w:p>
    <w:p w14:paraId="22D02611" w14:textId="77777777" w:rsidR="002653E8" w:rsidRDefault="003115E3">
      <w:pPr>
        <w:spacing w:before="53" w:line="254" w:lineRule="auto"/>
        <w:ind w:left="1147" w:right="1895"/>
        <w:jc w:val="both"/>
        <w:rPr>
          <w:sz w:val="16"/>
        </w:rPr>
      </w:pPr>
      <w:r>
        <w:rPr>
          <w:color w:val="231F20"/>
          <w:w w:val="105"/>
          <w:sz w:val="16"/>
        </w:rPr>
        <w:t>1 Klaus Croissant indicated that Meinhof misspoke, intending to refer to the Symbionese Liberation Army (SLA), a guerilla group active in the California between 1973 and 1975.</w:t>
      </w:r>
    </w:p>
    <w:p w14:paraId="26511333" w14:textId="77777777" w:rsidR="002653E8" w:rsidRDefault="002653E8">
      <w:pPr>
        <w:spacing w:line="254" w:lineRule="auto"/>
        <w:jc w:val="both"/>
        <w:rPr>
          <w:sz w:val="16"/>
        </w:rPr>
        <w:sectPr w:rsidR="002653E8">
          <w:pgSz w:w="8640" w:h="12960"/>
          <w:pgMar w:top="1060" w:right="0" w:bottom="1040" w:left="0" w:header="0" w:footer="850" w:gutter="0"/>
          <w:cols w:space="720"/>
        </w:sectPr>
      </w:pPr>
    </w:p>
    <w:p w14:paraId="0F5A47C6" w14:textId="77777777" w:rsidR="002653E8" w:rsidRDefault="003115E3">
      <w:pPr>
        <w:pStyle w:val="a3"/>
        <w:spacing w:before="86" w:line="264" w:lineRule="auto"/>
        <w:ind w:left="1328" w:right="1146" w:hanging="1"/>
        <w:jc w:val="both"/>
      </w:pPr>
      <w:r>
        <w:rPr>
          <w:color w:val="231F20"/>
        </w:rPr>
        <w:lastRenderedPageBreak/>
        <w:t>a question of taking control of the state as the revisionist parties and groups imagine—or, more correctly, as they claim, for they don’t really have any imagination.</w:t>
      </w:r>
    </w:p>
    <w:p w14:paraId="15802BE8" w14:textId="77777777" w:rsidR="002653E8" w:rsidRDefault="002653E8">
      <w:pPr>
        <w:pStyle w:val="a3"/>
      </w:pPr>
    </w:p>
    <w:p w14:paraId="712126DD" w14:textId="77777777" w:rsidR="002653E8" w:rsidRDefault="003115E3">
      <w:pPr>
        <w:spacing w:before="1"/>
        <w:ind w:left="1327"/>
      </w:pPr>
      <w:r>
        <w:rPr>
          <w:color w:val="231F20"/>
          <w:w w:val="125"/>
        </w:rPr>
        <w:t>the notion of the nation state</w:t>
      </w:r>
    </w:p>
    <w:p w14:paraId="1FDCE658" w14:textId="77777777" w:rsidR="002653E8" w:rsidRDefault="003115E3">
      <w:pPr>
        <w:pStyle w:val="a3"/>
        <w:spacing w:before="18" w:line="264" w:lineRule="auto"/>
        <w:ind w:left="1327" w:right="1145"/>
        <w:jc w:val="both"/>
      </w:pPr>
      <w:r>
        <w:rPr>
          <w:color w:val="231F20"/>
          <w:spacing w:val="1"/>
        </w:rPr>
        <w:t xml:space="preserve">In </w:t>
      </w:r>
      <w:r>
        <w:rPr>
          <w:color w:val="231F20"/>
        </w:rPr>
        <w:t>the metropole, the notion of the nation state has become a hollow fiction, given the reality of the ruling classes, their policies, and their structure of domination, which no longer has anything to do with linguistic divisions, as there are millions of immigrant workers in the rich countries of Western Europe. The current reality—given the globalization of capital, given the new media, given the mutual dependencies  that support economic development, given the growth of the European Community, and given the crisis—while remaining subjective, greatly encourages the formation of European proletarian internationalism, to the point that the unions have worked for years to box it in, to control  it,</w:t>
      </w:r>
      <w:r>
        <w:rPr>
          <w:color w:val="231F20"/>
          <w:spacing w:val="10"/>
        </w:rPr>
        <w:t xml:space="preserve"> </w:t>
      </w:r>
      <w:r>
        <w:rPr>
          <w:color w:val="231F20"/>
        </w:rPr>
        <w:t>to</w:t>
      </w:r>
      <w:r>
        <w:rPr>
          <w:color w:val="231F20"/>
          <w:spacing w:val="10"/>
        </w:rPr>
        <w:t xml:space="preserve"> </w:t>
      </w:r>
      <w:r>
        <w:rPr>
          <w:color w:val="231F20"/>
        </w:rPr>
        <w:t>institutionalize</w:t>
      </w:r>
      <w:r>
        <w:rPr>
          <w:color w:val="231F20"/>
          <w:spacing w:val="10"/>
        </w:rPr>
        <w:t xml:space="preserve"> </w:t>
      </w:r>
      <w:r>
        <w:rPr>
          <w:color w:val="231F20"/>
        </w:rPr>
        <w:t>it,</w:t>
      </w:r>
      <w:r>
        <w:rPr>
          <w:color w:val="231F20"/>
          <w:spacing w:val="10"/>
        </w:rPr>
        <w:t xml:space="preserve"> </w:t>
      </w:r>
      <w:r>
        <w:rPr>
          <w:color w:val="231F20"/>
        </w:rPr>
        <w:t>and</w:t>
      </w:r>
      <w:r>
        <w:rPr>
          <w:color w:val="231F20"/>
          <w:spacing w:val="10"/>
        </w:rPr>
        <w:t xml:space="preserve"> </w:t>
      </w:r>
      <w:r>
        <w:rPr>
          <w:color w:val="231F20"/>
        </w:rPr>
        <w:t>to</w:t>
      </w:r>
      <w:r>
        <w:rPr>
          <w:color w:val="231F20"/>
          <w:spacing w:val="10"/>
        </w:rPr>
        <w:t xml:space="preserve"> </w:t>
      </w:r>
      <w:r>
        <w:rPr>
          <w:color w:val="231F20"/>
        </w:rPr>
        <w:t>repress</w:t>
      </w:r>
      <w:r>
        <w:rPr>
          <w:color w:val="231F20"/>
          <w:spacing w:val="10"/>
        </w:rPr>
        <w:t xml:space="preserve"> </w:t>
      </w:r>
      <w:r>
        <w:rPr>
          <w:color w:val="231F20"/>
        </w:rPr>
        <w:t>it.</w:t>
      </w:r>
    </w:p>
    <w:p w14:paraId="787D93C2" w14:textId="77777777" w:rsidR="002653E8" w:rsidRDefault="003115E3">
      <w:pPr>
        <w:pStyle w:val="a3"/>
        <w:spacing w:line="264" w:lineRule="auto"/>
        <w:ind w:left="1327" w:right="1146" w:firstLine="210"/>
        <w:jc w:val="both"/>
      </w:pPr>
      <w:r>
        <w:rPr>
          <w:color w:val="231F20"/>
        </w:rPr>
        <w:t>The fiction of the nation state, to which the revisionist groups are attached with their organizational form, is in keeping with their fetish for legality, their pacifism, and their massive opportunism. We are not reproaching the members of these groups for coming from the petit bourgeoisie, but for reproducing, in their politics and in their organizational structure, the ideology of the petit bourgeoisie, which has always been hostile to proletarian internationalism—their class position and conditions of social reproduction cannot be seen otherwise. They are always organized within the state as a complement to the national bourgeoisie, to the dominant class.</w:t>
      </w:r>
    </w:p>
    <w:p w14:paraId="049A78DC" w14:textId="77777777" w:rsidR="002653E8" w:rsidRDefault="003115E3">
      <w:pPr>
        <w:pStyle w:val="a3"/>
        <w:spacing w:line="264" w:lineRule="auto"/>
        <w:ind w:left="1327" w:right="1145" w:firstLine="210"/>
        <w:jc w:val="both"/>
      </w:pPr>
      <w:r>
        <w:rPr>
          <w:color w:val="231F20"/>
        </w:rPr>
        <w:t xml:space="preserve">As for ourselves—we of the </w:t>
      </w:r>
      <w:r w:rsidR="00C507A5">
        <w:rPr>
          <w:color w:val="231F20"/>
        </w:rPr>
        <w:t>red army faction</w:t>
      </w:r>
      <w:r>
        <w:rPr>
          <w:color w:val="231F20"/>
        </w:rPr>
        <w:t>, revolutionary prisoners detained in isolation, in special units, subjected to highly structured and completely illegal</w:t>
      </w:r>
      <w:r>
        <w:rPr>
          <w:color w:val="231F20"/>
          <w:spacing w:val="-8"/>
        </w:rPr>
        <w:t xml:space="preserve"> </w:t>
      </w:r>
      <w:r>
        <w:rPr>
          <w:color w:val="231F20"/>
        </w:rPr>
        <w:t>brainwashing</w:t>
      </w:r>
      <w:r>
        <w:rPr>
          <w:color w:val="231F20"/>
          <w:spacing w:val="-8"/>
        </w:rPr>
        <w:t xml:space="preserve"> </w:t>
      </w:r>
      <w:r>
        <w:rPr>
          <w:color w:val="231F20"/>
        </w:rPr>
        <w:t>programs</w:t>
      </w:r>
      <w:r>
        <w:rPr>
          <w:color w:val="231F20"/>
          <w:spacing w:val="-8"/>
        </w:rPr>
        <w:t xml:space="preserve"> </w:t>
      </w:r>
      <w:r>
        <w:rPr>
          <w:color w:val="231F20"/>
        </w:rPr>
        <w:t>in</w:t>
      </w:r>
      <w:r>
        <w:rPr>
          <w:color w:val="231F20"/>
          <w:spacing w:val="-8"/>
        </w:rPr>
        <w:t xml:space="preserve"> </w:t>
      </w:r>
      <w:r>
        <w:rPr>
          <w:color w:val="231F20"/>
        </w:rPr>
        <w:t>prison,</w:t>
      </w:r>
      <w:r>
        <w:rPr>
          <w:color w:val="231F20"/>
          <w:spacing w:val="-8"/>
        </w:rPr>
        <w:t xml:space="preserve"> </w:t>
      </w:r>
      <w:r>
        <w:rPr>
          <w:color w:val="231F20"/>
        </w:rPr>
        <w:t>as</w:t>
      </w:r>
      <w:r>
        <w:rPr>
          <w:color w:val="231F20"/>
          <w:spacing w:val="-8"/>
        </w:rPr>
        <w:t xml:space="preserve"> </w:t>
      </w:r>
      <w:r>
        <w:rPr>
          <w:color w:val="231F20"/>
        </w:rPr>
        <w:t>well</w:t>
      </w:r>
      <w:r>
        <w:rPr>
          <w:color w:val="231F20"/>
          <w:spacing w:val="-8"/>
        </w:rPr>
        <w:t xml:space="preserve"> </w:t>
      </w:r>
      <w:r>
        <w:rPr>
          <w:color w:val="231F20"/>
        </w:rPr>
        <w:t>as</w:t>
      </w:r>
      <w:r>
        <w:rPr>
          <w:color w:val="231F20"/>
          <w:spacing w:val="-8"/>
        </w:rPr>
        <w:t xml:space="preserve"> </w:t>
      </w:r>
      <w:r>
        <w:rPr>
          <w:color w:val="231F20"/>
        </w:rPr>
        <w:t>those</w:t>
      </w:r>
      <w:r>
        <w:rPr>
          <w:color w:val="231F20"/>
          <w:spacing w:val="-8"/>
        </w:rPr>
        <w:t xml:space="preserve"> </w:t>
      </w:r>
      <w:r>
        <w:rPr>
          <w:color w:val="231F20"/>
        </w:rPr>
        <w:t>underground— the argument that the masses are not yet sufficiently advanced just reminds us of what the colonialist pigs have been saying about Africa and Asia for the past seventy years. According to them, blacks, illiterates, slaves, colonized peoples, torture victims, the oppressed, and the starving, who suffer under the yoke of colonialism and imperialism, are not yet advanced enough to control their own administration like human beings. According to them, they are not yet advanced enough to control their own industrialization, their own education, their own future. This is the argument of people concerned with their own positions of power, those who want to rule the people, not to emancipate them or to help them in their struggle for</w:t>
      </w:r>
      <w:r>
        <w:rPr>
          <w:color w:val="231F20"/>
          <w:spacing w:val="10"/>
        </w:rPr>
        <w:t xml:space="preserve"> </w:t>
      </w:r>
      <w:r>
        <w:rPr>
          <w:color w:val="231F20"/>
        </w:rPr>
        <w:t>liberation.</w:t>
      </w:r>
    </w:p>
    <w:p w14:paraId="351B3B4E" w14:textId="77777777" w:rsidR="002653E8" w:rsidRDefault="002653E8">
      <w:pPr>
        <w:spacing w:line="264" w:lineRule="auto"/>
        <w:jc w:val="both"/>
        <w:sectPr w:rsidR="002653E8">
          <w:footerReference w:type="even" r:id="rId310"/>
          <w:footerReference w:type="default" r:id="rId311"/>
          <w:pgSz w:w="8640" w:h="12960"/>
          <w:pgMar w:top="1060" w:right="0" w:bottom="1040" w:left="0" w:header="0" w:footer="850" w:gutter="0"/>
          <w:cols w:space="720"/>
        </w:sectPr>
      </w:pPr>
    </w:p>
    <w:p w14:paraId="70BEFFB1" w14:textId="77777777" w:rsidR="002653E8" w:rsidRDefault="003115E3">
      <w:pPr>
        <w:spacing w:before="87"/>
        <w:ind w:left="1147"/>
      </w:pPr>
      <w:r>
        <w:rPr>
          <w:color w:val="231F20"/>
          <w:spacing w:val="28"/>
          <w:w w:val="147"/>
        </w:rPr>
        <w:lastRenderedPageBreak/>
        <w:t>t</w:t>
      </w:r>
      <w:r>
        <w:rPr>
          <w:color w:val="231F20"/>
          <w:spacing w:val="25"/>
          <w:w w:val="120"/>
        </w:rPr>
        <w:t>h</w:t>
      </w:r>
      <w:r>
        <w:rPr>
          <w:color w:val="231F20"/>
          <w:w w:val="102"/>
        </w:rPr>
        <w:t>e</w:t>
      </w:r>
      <w:r>
        <w:rPr>
          <w:color w:val="231F20"/>
        </w:rPr>
        <w:t xml:space="preserve">  </w:t>
      </w:r>
      <w:r>
        <w:rPr>
          <w:color w:val="231F20"/>
          <w:spacing w:val="-22"/>
        </w:rPr>
        <w:t xml:space="preserve"> </w:t>
      </w:r>
      <w:r>
        <w:rPr>
          <w:color w:val="231F20"/>
          <w:spacing w:val="20"/>
          <w:w w:val="123"/>
        </w:rPr>
        <w:t>g</w:t>
      </w:r>
      <w:r>
        <w:rPr>
          <w:color w:val="231F20"/>
          <w:spacing w:val="25"/>
          <w:w w:val="110"/>
        </w:rPr>
        <w:t>u</w:t>
      </w:r>
      <w:r>
        <w:rPr>
          <w:color w:val="231F20"/>
          <w:spacing w:val="25"/>
          <w:w w:val="102"/>
        </w:rPr>
        <w:t>e</w:t>
      </w:r>
      <w:r>
        <w:rPr>
          <w:color w:val="231F20"/>
          <w:spacing w:val="26"/>
          <w:w w:val="134"/>
        </w:rPr>
        <w:t>r</w:t>
      </w:r>
      <w:r>
        <w:rPr>
          <w:color w:val="231F20"/>
          <w:spacing w:val="21"/>
          <w:w w:val="119"/>
        </w:rPr>
        <w:t>i</w:t>
      </w:r>
      <w:r>
        <w:rPr>
          <w:color w:val="231F20"/>
          <w:spacing w:val="23"/>
          <w:w w:val="184"/>
        </w:rPr>
        <w:t>l</w:t>
      </w:r>
      <w:r>
        <w:rPr>
          <w:color w:val="231F20"/>
          <w:spacing w:val="30"/>
          <w:w w:val="184"/>
        </w:rPr>
        <w:t>l</w:t>
      </w:r>
      <w:r>
        <w:rPr>
          <w:color w:val="231F20"/>
          <w:w w:val="113"/>
        </w:rPr>
        <w:t>a</w:t>
      </w:r>
      <w:r>
        <w:rPr>
          <w:color w:val="231F20"/>
        </w:rPr>
        <w:t xml:space="preserve">  </w:t>
      </w:r>
      <w:r>
        <w:rPr>
          <w:color w:val="231F20"/>
          <w:spacing w:val="-22"/>
        </w:rPr>
        <w:t xml:space="preserve"> </w:t>
      </w:r>
      <w:r>
        <w:rPr>
          <w:color w:val="231F20"/>
          <w:spacing w:val="25"/>
          <w:w w:val="119"/>
        </w:rPr>
        <w:t>i</w:t>
      </w:r>
      <w:r>
        <w:rPr>
          <w:color w:val="231F20"/>
          <w:w w:val="109"/>
        </w:rPr>
        <w:t>n</w:t>
      </w:r>
      <w:r>
        <w:rPr>
          <w:color w:val="231F20"/>
        </w:rPr>
        <w:t xml:space="preserve">  </w:t>
      </w:r>
      <w:r>
        <w:rPr>
          <w:color w:val="231F20"/>
          <w:spacing w:val="-22"/>
        </w:rPr>
        <w:t xml:space="preserve"> </w:t>
      </w:r>
      <w:r>
        <w:rPr>
          <w:color w:val="231F20"/>
          <w:spacing w:val="28"/>
          <w:w w:val="147"/>
        </w:rPr>
        <w:t>t</w:t>
      </w:r>
      <w:r>
        <w:rPr>
          <w:color w:val="231F20"/>
          <w:spacing w:val="25"/>
          <w:w w:val="120"/>
        </w:rPr>
        <w:t>h</w:t>
      </w:r>
      <w:r>
        <w:rPr>
          <w:color w:val="231F20"/>
          <w:w w:val="102"/>
        </w:rPr>
        <w:t>e</w:t>
      </w:r>
      <w:r>
        <w:rPr>
          <w:color w:val="231F20"/>
        </w:rPr>
        <w:t xml:space="preserve">  </w:t>
      </w:r>
      <w:r>
        <w:rPr>
          <w:color w:val="231F20"/>
          <w:spacing w:val="-22"/>
        </w:rPr>
        <w:t xml:space="preserve"> </w:t>
      </w:r>
      <w:r>
        <w:rPr>
          <w:color w:val="231F20"/>
          <w:spacing w:val="26"/>
          <w:w w:val="93"/>
        </w:rPr>
        <w:t>m</w:t>
      </w:r>
      <w:r>
        <w:rPr>
          <w:color w:val="231F20"/>
          <w:spacing w:val="23"/>
          <w:w w:val="102"/>
        </w:rPr>
        <w:t>e</w:t>
      </w:r>
      <w:r>
        <w:rPr>
          <w:color w:val="231F20"/>
          <w:spacing w:val="28"/>
          <w:w w:val="147"/>
        </w:rPr>
        <w:t>t</w:t>
      </w:r>
      <w:r>
        <w:rPr>
          <w:color w:val="231F20"/>
          <w:spacing w:val="15"/>
          <w:w w:val="134"/>
        </w:rPr>
        <w:t>r</w:t>
      </w:r>
      <w:r>
        <w:rPr>
          <w:color w:val="231F20"/>
          <w:spacing w:val="16"/>
          <w:w w:val="125"/>
        </w:rPr>
        <w:t>o</w:t>
      </w:r>
      <w:r>
        <w:rPr>
          <w:color w:val="231F20"/>
          <w:spacing w:val="22"/>
          <w:w w:val="89"/>
        </w:rPr>
        <w:t>p</w:t>
      </w:r>
      <w:r>
        <w:rPr>
          <w:color w:val="231F20"/>
          <w:spacing w:val="15"/>
          <w:w w:val="125"/>
        </w:rPr>
        <w:t>o</w:t>
      </w:r>
      <w:r>
        <w:rPr>
          <w:color w:val="231F20"/>
          <w:spacing w:val="26"/>
          <w:w w:val="184"/>
        </w:rPr>
        <w:t>l</w:t>
      </w:r>
      <w:r>
        <w:rPr>
          <w:color w:val="231F20"/>
          <w:w w:val="102"/>
        </w:rPr>
        <w:t>e</w:t>
      </w:r>
    </w:p>
    <w:p w14:paraId="6A6419C4" w14:textId="77777777" w:rsidR="002653E8" w:rsidRDefault="003115E3">
      <w:pPr>
        <w:pStyle w:val="a3"/>
        <w:spacing w:before="18" w:line="264" w:lineRule="auto"/>
        <w:ind w:left="1147" w:right="1325"/>
        <w:jc w:val="both"/>
      </w:pPr>
      <w:r>
        <w:rPr>
          <w:color w:val="231F20"/>
        </w:rPr>
        <w:t xml:space="preserve">Our action on May 14, </w:t>
      </w:r>
      <w:r>
        <w:rPr>
          <w:color w:val="231F20"/>
          <w:spacing w:val="-3"/>
        </w:rPr>
        <w:t xml:space="preserve">1970, </w:t>
      </w:r>
      <w:r>
        <w:rPr>
          <w:color w:val="231F20"/>
        </w:rPr>
        <w:t xml:space="preserve">was and remains an exemplary action for the guerilla in the metropole. It contained all of the elements required for a strategy of armed struggle against imperialism. It served to free     a prisoner from the grip of the state. It was a guerilla action, an ac    tion of a group that, in deciding to </w:t>
      </w:r>
      <w:r>
        <w:rPr>
          <w:color w:val="231F20"/>
          <w:spacing w:val="1"/>
        </w:rPr>
        <w:t xml:space="preserve">carry </w:t>
      </w:r>
      <w:r>
        <w:rPr>
          <w:color w:val="231F20"/>
        </w:rPr>
        <w:t xml:space="preserve">it out, organized itself as a politico-military cell. They acted to free a revolutionary, a cadre who was and remains indispensable for organizing the guerilla in the metropole. And not only indispensable like every revolutionary is indispensable in the ranks of the revolution, for already at this stage, he embodied everything that made the guerilla possible, that made possible the politico-military offensive against the imperialist state. He  embodied the determination, the will to act, the ability to orient himself solely   and exclusively in terms of the objectives, while leaving space for the collective learning process, and practicing leadership collectively right from the </w:t>
      </w:r>
      <w:r>
        <w:rPr>
          <w:color w:val="231F20"/>
          <w:spacing w:val="1"/>
        </w:rPr>
        <w:t xml:space="preserve">start, </w:t>
      </w:r>
      <w:r>
        <w:rPr>
          <w:color w:val="231F20"/>
        </w:rPr>
        <w:t>mediating between each person’s individual experience and the collective as a</w:t>
      </w:r>
      <w:r>
        <w:rPr>
          <w:color w:val="231F20"/>
          <w:spacing w:val="10"/>
        </w:rPr>
        <w:t xml:space="preserve"> </w:t>
      </w:r>
      <w:r>
        <w:rPr>
          <w:color w:val="231F20"/>
        </w:rPr>
        <w:t>whole.</w:t>
      </w:r>
    </w:p>
    <w:p w14:paraId="1D3D66C5" w14:textId="77777777" w:rsidR="002653E8" w:rsidRDefault="003115E3">
      <w:pPr>
        <w:pStyle w:val="a3"/>
        <w:spacing w:line="217" w:lineRule="exact"/>
        <w:ind w:left="1357"/>
      </w:pPr>
      <w:r>
        <w:rPr>
          <w:color w:val="231F20"/>
        </w:rPr>
        <w:t>This action was exemplary, because in the struggle against imperial-</w:t>
      </w:r>
    </w:p>
    <w:p w14:paraId="579C62FD" w14:textId="77777777" w:rsidR="002653E8" w:rsidRDefault="003115E3">
      <w:pPr>
        <w:pStyle w:val="a3"/>
        <w:spacing w:before="23" w:line="264" w:lineRule="auto"/>
        <w:ind w:left="1147" w:right="1326"/>
        <w:jc w:val="both"/>
      </w:pPr>
      <w:r>
        <w:rPr>
          <w:color w:val="231F20"/>
        </w:rPr>
        <w:t xml:space="preserve">ism it is necessary above all to liberate the prisoners, to liberate them from prison, which has always been an institution used against all of the exploited and oppressed, historically leading only to death, terror, fascism, and barbarism. </w:t>
      </w:r>
      <w:r>
        <w:rPr>
          <w:color w:val="231F20"/>
          <w:spacing w:val="-8"/>
        </w:rPr>
        <w:t xml:space="preserve">To </w:t>
      </w:r>
      <w:r>
        <w:rPr>
          <w:color w:val="231F20"/>
        </w:rPr>
        <w:t>liberate them from their imprisonment within the most complete and utter alienation, from their self-alienation, from the state of political and existential disaster in which the people are obliged to live while in the grip of imperialism, of consumer society,      of the media, and of the ruling class structures of social control, where they</w:t>
      </w:r>
      <w:r>
        <w:rPr>
          <w:color w:val="231F20"/>
          <w:spacing w:val="8"/>
        </w:rPr>
        <w:t xml:space="preserve"> </w:t>
      </w:r>
      <w:r>
        <w:rPr>
          <w:color w:val="231F20"/>
        </w:rPr>
        <w:t>remain</w:t>
      </w:r>
      <w:r>
        <w:rPr>
          <w:color w:val="231F20"/>
          <w:spacing w:val="8"/>
        </w:rPr>
        <w:t xml:space="preserve"> </w:t>
      </w:r>
      <w:r>
        <w:rPr>
          <w:color w:val="231F20"/>
        </w:rPr>
        <w:t>dependent</w:t>
      </w:r>
      <w:r>
        <w:rPr>
          <w:color w:val="231F20"/>
          <w:spacing w:val="8"/>
        </w:rPr>
        <w:t xml:space="preserve"> </w:t>
      </w:r>
      <w:r>
        <w:rPr>
          <w:color w:val="231F20"/>
        </w:rPr>
        <w:t>on</w:t>
      </w:r>
      <w:r>
        <w:rPr>
          <w:color w:val="231F20"/>
          <w:spacing w:val="8"/>
        </w:rPr>
        <w:t xml:space="preserve"> </w:t>
      </w:r>
      <w:r>
        <w:rPr>
          <w:color w:val="231F20"/>
        </w:rPr>
        <w:t>the</w:t>
      </w:r>
      <w:r>
        <w:rPr>
          <w:color w:val="231F20"/>
          <w:spacing w:val="8"/>
        </w:rPr>
        <w:t xml:space="preserve"> </w:t>
      </w:r>
      <w:r>
        <w:rPr>
          <w:color w:val="231F20"/>
        </w:rPr>
        <w:t>market</w:t>
      </w:r>
      <w:r>
        <w:rPr>
          <w:color w:val="231F20"/>
          <w:spacing w:val="8"/>
        </w:rPr>
        <w:t xml:space="preserve"> </w:t>
      </w:r>
      <w:r>
        <w:rPr>
          <w:color w:val="231F20"/>
        </w:rPr>
        <w:t>and</w:t>
      </w:r>
      <w:r>
        <w:rPr>
          <w:color w:val="231F20"/>
          <w:spacing w:val="8"/>
        </w:rPr>
        <w:t xml:space="preserve"> </w:t>
      </w:r>
      <w:r>
        <w:rPr>
          <w:color w:val="231F20"/>
        </w:rPr>
        <w:t>the</w:t>
      </w:r>
      <w:r>
        <w:rPr>
          <w:color w:val="231F20"/>
          <w:spacing w:val="8"/>
        </w:rPr>
        <w:t xml:space="preserve"> </w:t>
      </w:r>
      <w:r>
        <w:rPr>
          <w:color w:val="231F20"/>
        </w:rPr>
        <w:t>state.</w:t>
      </w:r>
    </w:p>
    <w:p w14:paraId="258E726E" w14:textId="77777777" w:rsidR="002653E8" w:rsidRDefault="003115E3">
      <w:pPr>
        <w:pStyle w:val="a3"/>
        <w:spacing w:line="264" w:lineRule="auto"/>
        <w:ind w:left="1147" w:right="1325" w:firstLine="210"/>
        <w:jc w:val="both"/>
      </w:pPr>
      <w:r>
        <w:rPr>
          <w:color w:val="231F20"/>
        </w:rPr>
        <w:t xml:space="preserve">The guerilla—and not only here: it is the same in Brazil, in Uruguay, in Cuba, and, for Che, in Bolivia—always starts from point zero, and    the first phase of its development is the most difficult. Neither the bourgeois class prostituted to imperialism, nor the proletariat colonized by it, provide anything of use to us in this struggle. </w:t>
      </w:r>
      <w:r>
        <w:rPr>
          <w:color w:val="231F20"/>
          <w:spacing w:val="-5"/>
        </w:rPr>
        <w:t xml:space="preserve">We </w:t>
      </w:r>
      <w:r>
        <w:rPr>
          <w:color w:val="231F20"/>
        </w:rPr>
        <w:t xml:space="preserve">are a group of comrades who have decided to act—to break with the stage of lethargy, of purely rhetorical radicalism, of increasingly vain discussions about strategy—and to struggle. </w:t>
      </w:r>
      <w:r>
        <w:rPr>
          <w:color w:val="231F20"/>
          <w:spacing w:val="-5"/>
        </w:rPr>
        <w:t xml:space="preserve">We </w:t>
      </w:r>
      <w:r>
        <w:rPr>
          <w:color w:val="231F20"/>
        </w:rPr>
        <w:t xml:space="preserve">are lacking in everything, not only the capacity to act: it is only now that we are discovering what sort of human beings we are. </w:t>
      </w:r>
      <w:r>
        <w:rPr>
          <w:color w:val="231F20"/>
          <w:spacing w:val="-5"/>
        </w:rPr>
        <w:t xml:space="preserve">We </w:t>
      </w:r>
      <w:r>
        <w:rPr>
          <w:color w:val="231F20"/>
        </w:rPr>
        <w:t xml:space="preserve">are uncovering the metropolitan individualism that comes from the system’s </w:t>
      </w:r>
      <w:r>
        <w:rPr>
          <w:color w:val="231F20"/>
          <w:spacing w:val="-3"/>
        </w:rPr>
        <w:t xml:space="preserve">decay, </w:t>
      </w:r>
      <w:r>
        <w:rPr>
          <w:color w:val="231F20"/>
        </w:rPr>
        <w:t>the alienated, false, poisonous relationships that it creates in our lives—in the factories, the offices, the schools, the universities, the revisionist groups, during</w:t>
      </w:r>
      <w:r>
        <w:rPr>
          <w:color w:val="231F20"/>
          <w:spacing w:val="21"/>
        </w:rPr>
        <w:t xml:space="preserve"> </w:t>
      </w:r>
      <w:r>
        <w:rPr>
          <w:color w:val="231F20"/>
        </w:rPr>
        <w:t>apprenticeships,</w:t>
      </w:r>
    </w:p>
    <w:p w14:paraId="64C8BCBA" w14:textId="77777777" w:rsidR="002653E8" w:rsidRDefault="002653E8">
      <w:pPr>
        <w:spacing w:line="264" w:lineRule="auto"/>
        <w:jc w:val="both"/>
        <w:sectPr w:rsidR="002653E8">
          <w:pgSz w:w="8640" w:h="12960"/>
          <w:pgMar w:top="1040" w:right="0" w:bottom="1040" w:left="0" w:header="0" w:footer="850" w:gutter="0"/>
          <w:cols w:space="720"/>
        </w:sectPr>
      </w:pPr>
    </w:p>
    <w:p w14:paraId="03FD1273" w14:textId="77777777" w:rsidR="002653E8" w:rsidRDefault="003115E3">
      <w:pPr>
        <w:pStyle w:val="a3"/>
        <w:spacing w:before="86" w:line="264" w:lineRule="auto"/>
        <w:ind w:left="1328" w:right="1145" w:hanging="1"/>
        <w:jc w:val="both"/>
      </w:pPr>
      <w:r>
        <w:rPr>
          <w:color w:val="231F20"/>
        </w:rPr>
        <w:lastRenderedPageBreak/>
        <w:t>or at part time jobs. We are discovering the effects of the division between professional life and private life, the division between intellectual labor and manual labor, the childishness of the hierarchical labor process, all of which reflect the psychic distortions produced by consumer society, by this degenerate metropolitan society, fallen into decay and stagnation.</w:t>
      </w:r>
    </w:p>
    <w:p w14:paraId="1EB98851" w14:textId="77777777" w:rsidR="002653E8" w:rsidRDefault="003115E3">
      <w:pPr>
        <w:pStyle w:val="a3"/>
        <w:spacing w:line="264" w:lineRule="auto"/>
        <w:ind w:left="1328" w:right="1145" w:firstLine="210"/>
        <w:jc w:val="both"/>
      </w:pPr>
      <w:r>
        <w:rPr>
          <w:color w:val="231F20"/>
        </w:rPr>
        <w:t xml:space="preserve">But that is who we are, that is where we come from. </w:t>
      </w:r>
      <w:r>
        <w:rPr>
          <w:color w:val="231F20"/>
          <w:spacing w:val="-5"/>
        </w:rPr>
        <w:t xml:space="preserve">We </w:t>
      </w:r>
      <w:r>
        <w:rPr>
          <w:color w:val="231F20"/>
        </w:rPr>
        <w:t>are the offspring of metropolitan annihilation and destruction, of the war of    all against all, of the conflict of each individual with every other individual, of a system governed by fear, of the compulsion to produce, of the profit of one to the detriment of others, of the division of people  into men and women, young and old, sick and healthy, foreigners and Germans, and of the struggle for prestige. Where do we come from? From isolation in individual row-houses, from the suburban concrete cities, from prison cells, from the asylums and special units, from media brainwashing, from consumerism, from corporal punishment, from the ideology of nonviolence, from depression, from illness, from degradation, from humiliation, from the debasement of human beings, from all the people exploited by</w:t>
      </w:r>
      <w:r>
        <w:rPr>
          <w:color w:val="231F20"/>
          <w:spacing w:val="42"/>
        </w:rPr>
        <w:t xml:space="preserve"> </w:t>
      </w:r>
      <w:r>
        <w:rPr>
          <w:color w:val="231F20"/>
        </w:rPr>
        <w:t>imperialism.</w:t>
      </w:r>
    </w:p>
    <w:p w14:paraId="4EAF4A4A" w14:textId="77777777" w:rsidR="002653E8" w:rsidRDefault="003115E3">
      <w:pPr>
        <w:pStyle w:val="a3"/>
        <w:spacing w:line="220" w:lineRule="exact"/>
        <w:ind w:left="1538"/>
      </w:pPr>
      <w:r>
        <w:rPr>
          <w:color w:val="231F20"/>
        </w:rPr>
        <w:t>We must find, in our distress, the need to liberate ourselves from im-</w:t>
      </w:r>
    </w:p>
    <w:p w14:paraId="35C1E1EF" w14:textId="77777777" w:rsidR="002653E8" w:rsidRDefault="003115E3">
      <w:pPr>
        <w:pStyle w:val="a3"/>
        <w:spacing w:before="16" w:line="264" w:lineRule="auto"/>
        <w:ind w:left="1328" w:right="1145"/>
        <w:jc w:val="both"/>
      </w:pPr>
      <w:r>
        <w:rPr>
          <w:color w:val="231F20"/>
        </w:rPr>
        <w:t>perialism and to struggle against it. We must understand that we have nothing to lose by destroying the system, but everything to gain from armed struggle—collective liberation, life, human dignity, and our identity. We must understand that the cause of the people, the masses, the assembly line workers, the lumpen proletariat, the prisoners, the apprentices—the lowest of the masses here and the liberation movements in the Third World—is our cause. Our cause—armed struggle against imperialism—is the masses’ cause and vice versa, even if it can only become a reality through a long-term process whereby the politico-military offensive develops and people’s war breaks out.</w:t>
      </w:r>
    </w:p>
    <w:p w14:paraId="6A055AA0" w14:textId="77777777" w:rsidR="002653E8" w:rsidRDefault="003115E3">
      <w:pPr>
        <w:pStyle w:val="a3"/>
        <w:spacing w:line="264" w:lineRule="auto"/>
        <w:ind w:left="1328" w:right="1145" w:firstLine="210"/>
        <w:jc w:val="both"/>
      </w:pPr>
      <w:r>
        <w:rPr>
          <w:color w:val="231F20"/>
        </w:rPr>
        <w:t>That is the difference between true revolutionary politics and politics that only seem revolutionary, but are in fact opportunist. It is necessary that we start from the objective situation, from the objective conditions, from the actual situation of the proletariat and the masses in the metropole, from the fact that all layers of society are in all ways under the system’s control. The opportunists base themselves on the alienated consciousness of the proletariat; we start from the fact of their alienation, which indicates why their liberation is necessary.</w:t>
      </w:r>
    </w:p>
    <w:p w14:paraId="6A728CEE" w14:textId="77777777" w:rsidR="002653E8" w:rsidRDefault="002653E8">
      <w:pPr>
        <w:spacing w:line="264" w:lineRule="auto"/>
        <w:jc w:val="both"/>
        <w:sectPr w:rsidR="002653E8">
          <w:footerReference w:type="even" r:id="rId312"/>
          <w:footerReference w:type="default" r:id="rId313"/>
          <w:pgSz w:w="8640" w:h="12960"/>
          <w:pgMar w:top="1060" w:right="0" w:bottom="1040" w:left="0" w:header="0" w:footer="850" w:gutter="0"/>
          <w:pgNumType w:start="363"/>
          <w:cols w:space="720"/>
        </w:sectPr>
      </w:pPr>
    </w:p>
    <w:p w14:paraId="47957A60" w14:textId="77777777" w:rsidR="002653E8" w:rsidRDefault="003115E3">
      <w:pPr>
        <w:pStyle w:val="a3"/>
        <w:spacing w:before="86"/>
        <w:ind w:left="1357"/>
      </w:pPr>
      <w:r>
        <w:rPr>
          <w:color w:val="231F20"/>
        </w:rPr>
        <w:lastRenderedPageBreak/>
        <w:t>In 1916 Lenin responded to the colonialist, renegade pig Kautsky:</w:t>
      </w:r>
    </w:p>
    <w:p w14:paraId="4C848EA3" w14:textId="77777777" w:rsidR="002653E8" w:rsidRDefault="003115E3">
      <w:pPr>
        <w:spacing w:before="192" w:line="276" w:lineRule="auto"/>
        <w:ind w:left="1567" w:right="1738"/>
        <w:jc w:val="both"/>
        <w:rPr>
          <w:i/>
          <w:sz w:val="19"/>
        </w:rPr>
      </w:pPr>
      <w:r>
        <w:rPr>
          <w:i/>
          <w:color w:val="231F20"/>
          <w:sz w:val="19"/>
        </w:rPr>
        <w:t>No one can seriously think it possible to organise the majority of the proletariat under capitalism. Secondly—and this is the main point—it is not so much a question of the size of an organisation,  as of the real, objective significance of its policy: does its policy represent the masses, does it serve them, i.e., does it aim at their liberation from capitalism, or does it represent the interests of the minority, the minority’s reconciliation with</w:t>
      </w:r>
      <w:r>
        <w:rPr>
          <w:i/>
          <w:color w:val="231F20"/>
          <w:spacing w:val="22"/>
          <w:sz w:val="19"/>
        </w:rPr>
        <w:t xml:space="preserve"> </w:t>
      </w:r>
      <w:r>
        <w:rPr>
          <w:i/>
          <w:color w:val="231F20"/>
          <w:sz w:val="19"/>
        </w:rPr>
        <w:t>capitalism?</w:t>
      </w:r>
    </w:p>
    <w:p w14:paraId="1460F449" w14:textId="77777777" w:rsidR="002653E8" w:rsidRDefault="003115E3">
      <w:pPr>
        <w:spacing w:before="38" w:line="276" w:lineRule="auto"/>
        <w:ind w:left="1567" w:right="1745"/>
        <w:jc w:val="both"/>
        <w:rPr>
          <w:i/>
          <w:sz w:val="11"/>
        </w:rPr>
      </w:pPr>
      <w:r>
        <w:rPr>
          <w:i/>
          <w:color w:val="231F20"/>
          <w:w w:val="105"/>
          <w:sz w:val="19"/>
        </w:rPr>
        <w:t>Neither</w:t>
      </w:r>
      <w:r>
        <w:rPr>
          <w:i/>
          <w:color w:val="231F20"/>
          <w:spacing w:val="-18"/>
          <w:w w:val="105"/>
          <w:sz w:val="19"/>
        </w:rPr>
        <w:t xml:space="preserve"> </w:t>
      </w:r>
      <w:r>
        <w:rPr>
          <w:i/>
          <w:color w:val="231F20"/>
          <w:w w:val="105"/>
          <w:sz w:val="19"/>
        </w:rPr>
        <w:t>we</w:t>
      </w:r>
      <w:r>
        <w:rPr>
          <w:i/>
          <w:color w:val="231F20"/>
          <w:spacing w:val="-18"/>
          <w:w w:val="105"/>
          <w:sz w:val="19"/>
        </w:rPr>
        <w:t xml:space="preserve"> </w:t>
      </w:r>
      <w:r>
        <w:rPr>
          <w:i/>
          <w:color w:val="231F20"/>
          <w:w w:val="105"/>
          <w:sz w:val="19"/>
        </w:rPr>
        <w:t>nor</w:t>
      </w:r>
      <w:r>
        <w:rPr>
          <w:i/>
          <w:color w:val="231F20"/>
          <w:spacing w:val="-18"/>
          <w:w w:val="105"/>
          <w:sz w:val="19"/>
        </w:rPr>
        <w:t xml:space="preserve"> </w:t>
      </w:r>
      <w:r>
        <w:rPr>
          <w:i/>
          <w:color w:val="231F20"/>
          <w:w w:val="105"/>
          <w:sz w:val="19"/>
        </w:rPr>
        <w:t>anyone</w:t>
      </w:r>
      <w:r>
        <w:rPr>
          <w:i/>
          <w:color w:val="231F20"/>
          <w:spacing w:val="-18"/>
          <w:w w:val="105"/>
          <w:sz w:val="19"/>
        </w:rPr>
        <w:t xml:space="preserve"> </w:t>
      </w:r>
      <w:r>
        <w:rPr>
          <w:i/>
          <w:color w:val="231F20"/>
          <w:w w:val="105"/>
          <w:sz w:val="19"/>
        </w:rPr>
        <w:t>else</w:t>
      </w:r>
      <w:r>
        <w:rPr>
          <w:i/>
          <w:color w:val="231F20"/>
          <w:spacing w:val="-18"/>
          <w:w w:val="105"/>
          <w:sz w:val="19"/>
        </w:rPr>
        <w:t xml:space="preserve"> </w:t>
      </w:r>
      <w:r>
        <w:rPr>
          <w:i/>
          <w:color w:val="231F20"/>
          <w:w w:val="105"/>
          <w:sz w:val="19"/>
        </w:rPr>
        <w:t>can</w:t>
      </w:r>
      <w:r>
        <w:rPr>
          <w:i/>
          <w:color w:val="231F20"/>
          <w:spacing w:val="-18"/>
          <w:w w:val="105"/>
          <w:sz w:val="19"/>
        </w:rPr>
        <w:t xml:space="preserve"> </w:t>
      </w:r>
      <w:r>
        <w:rPr>
          <w:i/>
          <w:color w:val="231F20"/>
          <w:w w:val="105"/>
          <w:sz w:val="19"/>
        </w:rPr>
        <w:t>calculate</w:t>
      </w:r>
      <w:r>
        <w:rPr>
          <w:i/>
          <w:color w:val="231F20"/>
          <w:spacing w:val="-18"/>
          <w:w w:val="105"/>
          <w:sz w:val="19"/>
        </w:rPr>
        <w:t xml:space="preserve"> </w:t>
      </w:r>
      <w:r>
        <w:rPr>
          <w:i/>
          <w:color w:val="231F20"/>
          <w:w w:val="105"/>
          <w:sz w:val="19"/>
        </w:rPr>
        <w:t>precisely</w:t>
      </w:r>
      <w:r>
        <w:rPr>
          <w:i/>
          <w:color w:val="231F20"/>
          <w:spacing w:val="-18"/>
          <w:w w:val="105"/>
          <w:sz w:val="19"/>
        </w:rPr>
        <w:t xml:space="preserve"> </w:t>
      </w:r>
      <w:r>
        <w:rPr>
          <w:i/>
          <w:color w:val="231F20"/>
          <w:w w:val="105"/>
          <w:sz w:val="19"/>
        </w:rPr>
        <w:t>what</w:t>
      </w:r>
      <w:r>
        <w:rPr>
          <w:i/>
          <w:color w:val="231F20"/>
          <w:spacing w:val="-18"/>
          <w:w w:val="105"/>
          <w:sz w:val="19"/>
        </w:rPr>
        <w:t xml:space="preserve"> </w:t>
      </w:r>
      <w:r>
        <w:rPr>
          <w:i/>
          <w:color w:val="231F20"/>
          <w:w w:val="105"/>
          <w:sz w:val="19"/>
        </w:rPr>
        <w:t>portion</w:t>
      </w:r>
      <w:r>
        <w:rPr>
          <w:i/>
          <w:color w:val="231F20"/>
          <w:spacing w:val="-18"/>
          <w:w w:val="105"/>
          <w:sz w:val="19"/>
        </w:rPr>
        <w:t xml:space="preserve"> </w:t>
      </w:r>
      <w:r>
        <w:rPr>
          <w:i/>
          <w:color w:val="231F20"/>
          <w:w w:val="105"/>
          <w:sz w:val="19"/>
        </w:rPr>
        <w:t xml:space="preserve">of the proletariat is following and will follow the social-chauvinists and opportunists. This will be revealed only by the struggle, it will be definitely decided only by the socialist revolution. And it is therefore our </w:t>
      </w:r>
      <w:r>
        <w:rPr>
          <w:i/>
          <w:color w:val="231F20"/>
          <w:spacing w:val="-4"/>
          <w:w w:val="105"/>
          <w:sz w:val="19"/>
        </w:rPr>
        <w:t xml:space="preserve">duty, </w:t>
      </w:r>
      <w:r>
        <w:rPr>
          <w:i/>
          <w:color w:val="231F20"/>
          <w:w w:val="105"/>
          <w:sz w:val="19"/>
        </w:rPr>
        <w:t xml:space="preserve">if we wish to remain socialists to go down lower and </w:t>
      </w:r>
      <w:r>
        <w:rPr>
          <w:i/>
          <w:color w:val="231F20"/>
          <w:spacing w:val="-4"/>
          <w:w w:val="105"/>
          <w:sz w:val="19"/>
        </w:rPr>
        <w:t xml:space="preserve">deeper, </w:t>
      </w:r>
      <w:r>
        <w:rPr>
          <w:i/>
          <w:color w:val="231F20"/>
          <w:w w:val="105"/>
          <w:sz w:val="19"/>
        </w:rPr>
        <w:t>to the real masses; this is the whole meaning and the whole purport of the struggle against opportunism.</w:t>
      </w:r>
      <w:r>
        <w:rPr>
          <w:i/>
          <w:color w:val="231F20"/>
          <w:w w:val="105"/>
          <w:position w:val="6"/>
          <w:sz w:val="11"/>
        </w:rPr>
        <w:t>1</w:t>
      </w:r>
    </w:p>
    <w:p w14:paraId="66884BAA" w14:textId="77777777" w:rsidR="002653E8" w:rsidRDefault="002653E8">
      <w:pPr>
        <w:pStyle w:val="a3"/>
        <w:rPr>
          <w:i/>
          <w:sz w:val="22"/>
        </w:rPr>
      </w:pPr>
    </w:p>
    <w:p w14:paraId="15CBACF9" w14:textId="77777777" w:rsidR="002653E8" w:rsidRDefault="002653E8">
      <w:pPr>
        <w:pStyle w:val="a3"/>
        <w:spacing w:before="3"/>
        <w:rPr>
          <w:i/>
          <w:sz w:val="25"/>
        </w:rPr>
      </w:pPr>
    </w:p>
    <w:p w14:paraId="41B79BBB" w14:textId="77777777" w:rsidR="002653E8" w:rsidRDefault="003115E3">
      <w:pPr>
        <w:ind w:left="1147"/>
      </w:pPr>
      <w:r>
        <w:rPr>
          <w:color w:val="231F20"/>
          <w:w w:val="120"/>
        </w:rPr>
        <w:t>the guerilla is the group</w:t>
      </w:r>
    </w:p>
    <w:p w14:paraId="3BDE3584" w14:textId="77777777" w:rsidR="002653E8" w:rsidRDefault="00000000">
      <w:pPr>
        <w:pStyle w:val="a3"/>
        <w:spacing w:before="18" w:line="264" w:lineRule="auto"/>
        <w:ind w:left="1148" w:right="1325" w:hanging="1"/>
        <w:jc w:val="right"/>
      </w:pPr>
      <w:r>
        <w:rPr>
          <w:noProof w:val="0"/>
        </w:rPr>
        <w:pict w14:anchorId="0AA03F41">
          <v:line id="_x0000_s2313" style="position:absolute;left:0;text-align:left;z-index:8008;mso-wrap-distance-left:0;mso-wrap-distance-right:0;mso-position-horizontal-relative:page" from="57.4pt,162.55pt" to="129.4pt,162.55pt" strokecolor="#231f20" strokeweight=".5pt">
            <w10:wrap type="topAndBottom" anchorx="page"/>
          </v:line>
        </w:pict>
      </w:r>
      <w:r w:rsidR="003115E3">
        <w:rPr>
          <w:color w:val="231F20"/>
        </w:rPr>
        <w:t xml:space="preserve">The role of the guerilla leadership, the role of Andreas in the </w:t>
      </w:r>
      <w:r w:rsidR="00C507A5">
        <w:rPr>
          <w:color w:val="231F20"/>
        </w:rPr>
        <w:t>red army faction</w:t>
      </w:r>
      <w:r w:rsidR="003115E3">
        <w:rPr>
          <w:color w:val="231F20"/>
        </w:rPr>
        <w:t>, is</w:t>
      </w:r>
      <w:r w:rsidR="003115E3">
        <w:rPr>
          <w:color w:val="231F20"/>
          <w:w w:val="90"/>
        </w:rPr>
        <w:t xml:space="preserve"> </w:t>
      </w:r>
      <w:r w:rsidR="003115E3">
        <w:rPr>
          <w:color w:val="231F20"/>
        </w:rPr>
        <w:t>to provide orientation. It is not only a matter of distinguishing what is</w:t>
      </w:r>
      <w:r w:rsidR="003115E3">
        <w:rPr>
          <w:color w:val="231F20"/>
          <w:w w:val="90"/>
        </w:rPr>
        <w:t xml:space="preserve"> </w:t>
      </w:r>
      <w:r w:rsidR="003115E3">
        <w:rPr>
          <w:color w:val="231F20"/>
        </w:rPr>
        <w:t>essential from what is secondary in each situation, but also of knowing</w:t>
      </w:r>
      <w:r w:rsidR="003115E3">
        <w:rPr>
          <w:color w:val="231F20"/>
          <w:w w:val="101"/>
        </w:rPr>
        <w:t xml:space="preserve"> </w:t>
      </w:r>
      <w:r w:rsidR="003115E3">
        <w:rPr>
          <w:color w:val="231F20"/>
        </w:rPr>
        <w:t>how to connect each situation to the greater political context by elaborating its particularities, while never losing sight of the goal—revolution—as a result of details or specific technical or logistical problems,</w:t>
      </w:r>
      <w:r w:rsidR="003115E3">
        <w:rPr>
          <w:color w:val="231F20"/>
          <w:w w:val="135"/>
        </w:rPr>
        <w:t xml:space="preserve"> </w:t>
      </w:r>
      <w:r w:rsidR="003115E3">
        <w:rPr>
          <w:color w:val="231F20"/>
        </w:rPr>
        <w:t>never losing sight of the overall tactical or strategic politics of the alliance, the question of class. This means never falling into opportunism.</w:t>
      </w:r>
      <w:r w:rsidR="003115E3">
        <w:rPr>
          <w:color w:val="231F20"/>
          <w:w w:val="135"/>
        </w:rPr>
        <w:t xml:space="preserve"> </w:t>
      </w:r>
      <w:r w:rsidR="003115E3">
        <w:rPr>
          <w:color w:val="231F20"/>
        </w:rPr>
        <w:t>This, said Le Duan,</w:t>
      </w:r>
      <w:r w:rsidR="003115E3">
        <w:rPr>
          <w:color w:val="231F20"/>
          <w:position w:val="7"/>
          <w:sz w:val="11"/>
        </w:rPr>
        <w:t xml:space="preserve">2 </w:t>
      </w:r>
      <w:r w:rsidR="003115E3">
        <w:rPr>
          <w:color w:val="231F20"/>
        </w:rPr>
        <w:t>is “the art of dialectically connecting firm principles with flexibility in action, the art of applying the law of development that seeks to see incremental changes transformed into qualitative leaps within the revolution.”</w:t>
      </w:r>
      <w:r w:rsidR="003115E3">
        <w:rPr>
          <w:color w:val="231F20"/>
          <w:position w:val="7"/>
          <w:sz w:val="11"/>
        </w:rPr>
        <w:t xml:space="preserve">3 </w:t>
      </w:r>
      <w:r w:rsidR="003115E3">
        <w:rPr>
          <w:color w:val="231F20"/>
        </w:rPr>
        <w:t>It is also the art of “never shrinking</w:t>
      </w:r>
    </w:p>
    <w:p w14:paraId="56B7E7F6" w14:textId="77777777" w:rsidR="002653E8" w:rsidRDefault="003115E3">
      <w:pPr>
        <w:pStyle w:val="a4"/>
        <w:numPr>
          <w:ilvl w:val="0"/>
          <w:numId w:val="90"/>
        </w:numPr>
        <w:tabs>
          <w:tab w:val="left" w:pos="1287"/>
        </w:tabs>
        <w:spacing w:before="53" w:line="254" w:lineRule="auto"/>
        <w:ind w:right="1620" w:hanging="1"/>
        <w:rPr>
          <w:sz w:val="16"/>
        </w:rPr>
      </w:pPr>
      <w:r>
        <w:rPr>
          <w:color w:val="231F20"/>
          <w:sz w:val="16"/>
        </w:rPr>
        <w:t xml:space="preserve">With minor omissions, this is a quote from Lenin’s </w:t>
      </w:r>
      <w:r>
        <w:rPr>
          <w:i/>
          <w:color w:val="231F20"/>
          <w:spacing w:val="1"/>
          <w:sz w:val="16"/>
        </w:rPr>
        <w:t xml:space="preserve">Imperialism and </w:t>
      </w:r>
      <w:r>
        <w:rPr>
          <w:i/>
          <w:color w:val="231F20"/>
          <w:sz w:val="16"/>
        </w:rPr>
        <w:t xml:space="preserve">the Split </w:t>
      </w:r>
      <w:r>
        <w:rPr>
          <w:i/>
          <w:color w:val="231F20"/>
          <w:spacing w:val="2"/>
          <w:w w:val="106"/>
          <w:sz w:val="16"/>
        </w:rPr>
        <w:t>i</w:t>
      </w:r>
      <w:r>
        <w:rPr>
          <w:i/>
          <w:color w:val="231F20"/>
          <w:w w:val="107"/>
          <w:sz w:val="16"/>
        </w:rPr>
        <w:t>n</w:t>
      </w:r>
      <w:r>
        <w:rPr>
          <w:i/>
          <w:color w:val="231F20"/>
          <w:spacing w:val="10"/>
          <w:sz w:val="16"/>
        </w:rPr>
        <w:t xml:space="preserve"> </w:t>
      </w:r>
      <w:r>
        <w:rPr>
          <w:i/>
          <w:color w:val="231F20"/>
          <w:spacing w:val="3"/>
          <w:w w:val="107"/>
          <w:sz w:val="16"/>
        </w:rPr>
        <w:t>S</w:t>
      </w:r>
      <w:r>
        <w:rPr>
          <w:i/>
          <w:color w:val="231F20"/>
          <w:w w:val="113"/>
          <w:sz w:val="16"/>
        </w:rPr>
        <w:t>o</w:t>
      </w:r>
      <w:r>
        <w:rPr>
          <w:i/>
          <w:color w:val="231F20"/>
          <w:spacing w:val="1"/>
          <w:w w:val="106"/>
          <w:sz w:val="16"/>
        </w:rPr>
        <w:t>c</w:t>
      </w:r>
      <w:r>
        <w:rPr>
          <w:i/>
          <w:color w:val="231F20"/>
          <w:spacing w:val="5"/>
          <w:w w:val="106"/>
          <w:sz w:val="16"/>
        </w:rPr>
        <w:t>i</w:t>
      </w:r>
      <w:r>
        <w:rPr>
          <w:i/>
          <w:color w:val="231F20"/>
          <w:spacing w:val="1"/>
          <w:w w:val="98"/>
          <w:sz w:val="16"/>
        </w:rPr>
        <w:t>a</w:t>
      </w:r>
      <w:r>
        <w:rPr>
          <w:i/>
          <w:color w:val="231F20"/>
          <w:spacing w:val="1"/>
          <w:w w:val="108"/>
          <w:sz w:val="16"/>
        </w:rPr>
        <w:t>l</w:t>
      </w:r>
      <w:r>
        <w:rPr>
          <w:i/>
          <w:color w:val="231F20"/>
          <w:spacing w:val="3"/>
          <w:w w:val="106"/>
          <w:sz w:val="16"/>
        </w:rPr>
        <w:t>i</w:t>
      </w:r>
      <w:r>
        <w:rPr>
          <w:i/>
          <w:color w:val="231F20"/>
          <w:spacing w:val="2"/>
          <w:w w:val="105"/>
          <w:sz w:val="16"/>
        </w:rPr>
        <w:t>s</w:t>
      </w:r>
      <w:r>
        <w:rPr>
          <w:i/>
          <w:color w:val="231F20"/>
          <w:w w:val="108"/>
          <w:sz w:val="16"/>
        </w:rPr>
        <w:t>m</w:t>
      </w:r>
      <w:r>
        <w:rPr>
          <w:i/>
          <w:color w:val="231F20"/>
          <w:spacing w:val="10"/>
          <w:sz w:val="16"/>
        </w:rPr>
        <w:t xml:space="preserve"> </w:t>
      </w:r>
      <w:r>
        <w:rPr>
          <w:color w:val="231F20"/>
          <w:spacing w:val="3"/>
          <w:w w:val="104"/>
          <w:sz w:val="16"/>
        </w:rPr>
        <w:t>w</w:t>
      </w:r>
      <w:r>
        <w:rPr>
          <w:color w:val="231F20"/>
          <w:spacing w:val="2"/>
          <w:w w:val="97"/>
          <w:sz w:val="16"/>
        </w:rPr>
        <w:t>r</w:t>
      </w:r>
      <w:r>
        <w:rPr>
          <w:color w:val="231F20"/>
          <w:spacing w:val="-1"/>
          <w:w w:val="103"/>
          <w:sz w:val="16"/>
        </w:rPr>
        <w:t>i</w:t>
      </w:r>
      <w:r>
        <w:rPr>
          <w:color w:val="231F20"/>
          <w:spacing w:val="5"/>
          <w:w w:val="102"/>
          <w:sz w:val="16"/>
        </w:rPr>
        <w:t>t</w:t>
      </w:r>
      <w:r>
        <w:rPr>
          <w:color w:val="231F20"/>
          <w:spacing w:val="1"/>
          <w:w w:val="102"/>
          <w:sz w:val="16"/>
        </w:rPr>
        <w:t>t</w:t>
      </w:r>
      <w:r>
        <w:rPr>
          <w:color w:val="231F20"/>
          <w:w w:val="94"/>
          <w:sz w:val="16"/>
        </w:rPr>
        <w:t>e</w:t>
      </w:r>
      <w:r>
        <w:rPr>
          <w:color w:val="231F20"/>
          <w:w w:val="103"/>
          <w:sz w:val="16"/>
        </w:rPr>
        <w:t>n</w:t>
      </w:r>
      <w:r>
        <w:rPr>
          <w:color w:val="231F20"/>
          <w:spacing w:val="10"/>
          <w:sz w:val="16"/>
        </w:rPr>
        <w:t xml:space="preserve"> </w:t>
      </w:r>
      <w:r>
        <w:rPr>
          <w:color w:val="231F20"/>
          <w:spacing w:val="3"/>
          <w:w w:val="103"/>
          <w:sz w:val="16"/>
        </w:rPr>
        <w:t>i</w:t>
      </w:r>
      <w:r>
        <w:rPr>
          <w:color w:val="231F20"/>
          <w:w w:val="103"/>
          <w:sz w:val="16"/>
        </w:rPr>
        <w:t>n</w:t>
      </w:r>
      <w:r>
        <w:rPr>
          <w:color w:val="231F20"/>
          <w:spacing w:val="10"/>
          <w:sz w:val="16"/>
        </w:rPr>
        <w:t xml:space="preserve"> </w:t>
      </w:r>
      <w:r>
        <w:rPr>
          <w:color w:val="231F20"/>
          <w:spacing w:val="2"/>
          <w:w w:val="132"/>
          <w:sz w:val="16"/>
        </w:rPr>
        <w:t>O</w:t>
      </w:r>
      <w:r>
        <w:rPr>
          <w:color w:val="231F20"/>
          <w:spacing w:val="3"/>
          <w:w w:val="104"/>
          <w:sz w:val="16"/>
        </w:rPr>
        <w:t>c</w:t>
      </w:r>
      <w:r>
        <w:rPr>
          <w:color w:val="231F20"/>
          <w:w w:val="102"/>
          <w:sz w:val="16"/>
        </w:rPr>
        <w:t>t</w:t>
      </w:r>
      <w:r>
        <w:rPr>
          <w:color w:val="231F20"/>
          <w:w w:val="107"/>
          <w:sz w:val="16"/>
        </w:rPr>
        <w:t>o</w:t>
      </w:r>
      <w:r>
        <w:rPr>
          <w:color w:val="231F20"/>
          <w:spacing w:val="2"/>
          <w:w w:val="107"/>
          <w:sz w:val="16"/>
        </w:rPr>
        <w:t>b</w:t>
      </w:r>
      <w:r>
        <w:rPr>
          <w:color w:val="231F20"/>
          <w:w w:val="94"/>
          <w:sz w:val="16"/>
        </w:rPr>
        <w:t>e</w:t>
      </w:r>
      <w:r>
        <w:rPr>
          <w:color w:val="231F20"/>
          <w:spacing w:val="-2"/>
          <w:w w:val="97"/>
          <w:sz w:val="16"/>
        </w:rPr>
        <w:t>r</w:t>
      </w:r>
      <w:r>
        <w:rPr>
          <w:color w:val="231F20"/>
          <w:w w:val="140"/>
          <w:sz w:val="16"/>
        </w:rPr>
        <w:t>,</w:t>
      </w:r>
      <w:r>
        <w:rPr>
          <w:color w:val="231F20"/>
          <w:spacing w:val="10"/>
          <w:sz w:val="16"/>
        </w:rPr>
        <w:t xml:space="preserve"> </w:t>
      </w:r>
      <w:r>
        <w:rPr>
          <w:color w:val="231F20"/>
          <w:spacing w:val="-6"/>
          <w:w w:val="104"/>
          <w:sz w:val="16"/>
        </w:rPr>
        <w:t>1</w:t>
      </w:r>
      <w:r>
        <w:rPr>
          <w:color w:val="231F20"/>
          <w:spacing w:val="-7"/>
          <w:w w:val="104"/>
          <w:sz w:val="16"/>
        </w:rPr>
        <w:t>9</w:t>
      </w:r>
      <w:r>
        <w:rPr>
          <w:color w:val="231F20"/>
          <w:spacing w:val="-8"/>
          <w:w w:val="104"/>
          <w:sz w:val="16"/>
        </w:rPr>
        <w:t>1</w:t>
      </w:r>
      <w:r>
        <w:rPr>
          <w:color w:val="231F20"/>
          <w:w w:val="104"/>
          <w:sz w:val="16"/>
        </w:rPr>
        <w:t>6</w:t>
      </w:r>
      <w:r>
        <w:rPr>
          <w:color w:val="231F20"/>
          <w:spacing w:val="10"/>
          <w:sz w:val="16"/>
        </w:rPr>
        <w:t xml:space="preserve"> </w:t>
      </w:r>
      <w:r>
        <w:rPr>
          <w:color w:val="231F20"/>
          <w:spacing w:val="3"/>
          <w:w w:val="106"/>
          <w:sz w:val="16"/>
        </w:rPr>
        <w:t>a</w:t>
      </w:r>
      <w:r>
        <w:rPr>
          <w:color w:val="231F20"/>
          <w:w w:val="103"/>
          <w:sz w:val="16"/>
        </w:rPr>
        <w:t>nd</w:t>
      </w:r>
      <w:r>
        <w:rPr>
          <w:color w:val="231F20"/>
          <w:spacing w:val="10"/>
          <w:sz w:val="16"/>
        </w:rPr>
        <w:t xml:space="preserve"> </w:t>
      </w:r>
      <w:r>
        <w:rPr>
          <w:color w:val="231F20"/>
          <w:spacing w:val="-2"/>
          <w:w w:val="106"/>
          <w:sz w:val="16"/>
        </w:rPr>
        <w:t>a</w:t>
      </w:r>
      <w:r>
        <w:rPr>
          <w:color w:val="231F20"/>
          <w:spacing w:val="-1"/>
          <w:w w:val="102"/>
          <w:sz w:val="16"/>
        </w:rPr>
        <w:t>v</w:t>
      </w:r>
      <w:r>
        <w:rPr>
          <w:color w:val="231F20"/>
          <w:spacing w:val="2"/>
          <w:w w:val="106"/>
          <w:sz w:val="16"/>
        </w:rPr>
        <w:t>a</w:t>
      </w:r>
      <w:r>
        <w:rPr>
          <w:color w:val="231F20"/>
          <w:spacing w:val="2"/>
          <w:w w:val="103"/>
          <w:sz w:val="16"/>
        </w:rPr>
        <w:t>i</w:t>
      </w:r>
      <w:r>
        <w:rPr>
          <w:color w:val="231F20"/>
          <w:spacing w:val="1"/>
          <w:w w:val="106"/>
          <w:sz w:val="16"/>
        </w:rPr>
        <w:t>l</w:t>
      </w:r>
      <w:r>
        <w:rPr>
          <w:color w:val="231F20"/>
          <w:spacing w:val="-1"/>
          <w:w w:val="106"/>
          <w:sz w:val="16"/>
        </w:rPr>
        <w:t>a</w:t>
      </w:r>
      <w:r>
        <w:rPr>
          <w:color w:val="231F20"/>
          <w:w w:val="105"/>
          <w:sz w:val="16"/>
        </w:rPr>
        <w:t>b</w:t>
      </w:r>
      <w:r>
        <w:rPr>
          <w:color w:val="231F20"/>
          <w:w w:val="106"/>
          <w:sz w:val="16"/>
        </w:rPr>
        <w:t>l</w:t>
      </w:r>
      <w:r>
        <w:rPr>
          <w:color w:val="231F20"/>
          <w:w w:val="94"/>
          <w:sz w:val="16"/>
        </w:rPr>
        <w:t>e</w:t>
      </w:r>
      <w:r>
        <w:rPr>
          <w:color w:val="231F20"/>
          <w:spacing w:val="10"/>
          <w:sz w:val="16"/>
        </w:rPr>
        <w:t xml:space="preserve"> </w:t>
      </w:r>
      <w:r>
        <w:rPr>
          <w:color w:val="231F20"/>
          <w:spacing w:val="-1"/>
          <w:w w:val="106"/>
          <w:sz w:val="16"/>
        </w:rPr>
        <w:t>a</w:t>
      </w:r>
      <w:r>
        <w:rPr>
          <w:color w:val="231F20"/>
          <w:w w:val="102"/>
          <w:sz w:val="16"/>
        </w:rPr>
        <w:t>t</w:t>
      </w:r>
      <w:r>
        <w:rPr>
          <w:color w:val="231F20"/>
          <w:spacing w:val="10"/>
          <w:sz w:val="16"/>
        </w:rPr>
        <w:t xml:space="preserve"> </w:t>
      </w:r>
      <w:hyperlink r:id="rId314">
        <w:r>
          <w:rPr>
            <w:color w:val="231F20"/>
            <w:w w:val="103"/>
            <w:sz w:val="16"/>
          </w:rPr>
          <w:t>h</w:t>
        </w:r>
        <w:r>
          <w:rPr>
            <w:color w:val="231F20"/>
            <w:spacing w:val="5"/>
            <w:w w:val="103"/>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spacing w:val="1"/>
            <w:w w:val="140"/>
            <w:sz w:val="16"/>
          </w:rPr>
          <w:t>.</w:t>
        </w:r>
        <w:r>
          <w:rPr>
            <w:color w:val="231F20"/>
            <w:spacing w:val="2"/>
            <w:w w:val="103"/>
            <w:sz w:val="16"/>
          </w:rPr>
          <w:t>m</w:t>
        </w:r>
        <w:r>
          <w:rPr>
            <w:color w:val="231F20"/>
            <w:spacing w:val="3"/>
            <w:w w:val="106"/>
            <w:sz w:val="16"/>
          </w:rPr>
          <w:t>a</w:t>
        </w:r>
        <w:r>
          <w:rPr>
            <w:color w:val="231F20"/>
            <w:spacing w:val="3"/>
            <w:w w:val="97"/>
            <w:sz w:val="16"/>
          </w:rPr>
          <w:t>r</w:t>
        </w:r>
        <w:r>
          <w:rPr>
            <w:color w:val="231F20"/>
            <w:spacing w:val="5"/>
            <w:w w:val="119"/>
            <w:sz w:val="16"/>
          </w:rPr>
          <w:t>x</w:t>
        </w:r>
        <w:r>
          <w:rPr>
            <w:color w:val="231F20"/>
            <w:spacing w:val="1"/>
            <w:w w:val="103"/>
            <w:sz w:val="16"/>
          </w:rPr>
          <w:t>i</w:t>
        </w:r>
        <w:r>
          <w:rPr>
            <w:color w:val="231F20"/>
            <w:spacing w:val="1"/>
            <w:w w:val="93"/>
            <w:sz w:val="16"/>
          </w:rPr>
          <w:t>s</w:t>
        </w:r>
        <w:r>
          <w:rPr>
            <w:color w:val="231F20"/>
            <w:spacing w:val="2"/>
            <w:w w:val="102"/>
            <w:sz w:val="16"/>
          </w:rPr>
          <w:t>t</w:t>
        </w:r>
        <w:r>
          <w:rPr>
            <w:color w:val="231F20"/>
            <w:spacing w:val="1"/>
            <w:w w:val="93"/>
            <w:sz w:val="16"/>
          </w:rPr>
          <w:t>s</w:t>
        </w:r>
        <w:r>
          <w:rPr>
            <w:color w:val="231F20"/>
            <w:w w:val="140"/>
            <w:sz w:val="16"/>
          </w:rPr>
          <w:t>.</w:t>
        </w:r>
        <w:r>
          <w:rPr>
            <w:color w:val="231F20"/>
            <w:w w:val="108"/>
            <w:sz w:val="16"/>
          </w:rPr>
          <w:t>o</w:t>
        </w:r>
        <w:r>
          <w:rPr>
            <w:color w:val="231F20"/>
            <w:spacing w:val="1"/>
            <w:w w:val="97"/>
            <w:sz w:val="16"/>
          </w:rPr>
          <w:t>r</w:t>
        </w:r>
        <w:r>
          <w:rPr>
            <w:color w:val="231F20"/>
            <w:spacing w:val="8"/>
            <w:w w:val="104"/>
            <w:sz w:val="16"/>
          </w:rPr>
          <w:t>g</w:t>
        </w:r>
        <w:r>
          <w:rPr>
            <w:color w:val="231F20"/>
            <w:w w:val="58"/>
            <w:sz w:val="16"/>
          </w:rPr>
          <w:t>/</w:t>
        </w:r>
      </w:hyperlink>
      <w:r>
        <w:rPr>
          <w:color w:val="231F20"/>
          <w:w w:val="58"/>
          <w:sz w:val="16"/>
        </w:rPr>
        <w:t xml:space="preserve"> </w:t>
      </w:r>
      <w:r>
        <w:rPr>
          <w:color w:val="231F20"/>
          <w:spacing w:val="3"/>
          <w:w w:val="102"/>
          <w:sz w:val="16"/>
        </w:rPr>
        <w:t>a</w:t>
      </w:r>
      <w:r>
        <w:rPr>
          <w:color w:val="231F20"/>
          <w:w w:val="102"/>
          <w:sz w:val="16"/>
        </w:rPr>
        <w:t>r</w:t>
      </w:r>
      <w:r>
        <w:rPr>
          <w:color w:val="231F20"/>
          <w:w w:val="104"/>
          <w:sz w:val="16"/>
        </w:rPr>
        <w:t>c</w:t>
      </w:r>
      <w:r>
        <w:rPr>
          <w:color w:val="231F20"/>
          <w:spacing w:val="3"/>
          <w:w w:val="104"/>
          <w:sz w:val="16"/>
        </w:rPr>
        <w:t>h</w:t>
      </w:r>
      <w:r>
        <w:rPr>
          <w:color w:val="231F20"/>
          <w:spacing w:val="-1"/>
          <w:w w:val="104"/>
          <w:sz w:val="16"/>
        </w:rPr>
        <w:t>i</w:t>
      </w:r>
      <w:r>
        <w:rPr>
          <w:color w:val="231F20"/>
          <w:spacing w:val="-1"/>
          <w:w w:val="102"/>
          <w:sz w:val="16"/>
        </w:rPr>
        <w:t>v</w:t>
      </w:r>
      <w:r>
        <w:rPr>
          <w:color w:val="231F20"/>
          <w:spacing w:val="5"/>
          <w:w w:val="94"/>
          <w:sz w:val="16"/>
        </w:rPr>
        <w:t>e</w:t>
      </w:r>
      <w:r>
        <w:rPr>
          <w:color w:val="231F20"/>
          <w:spacing w:val="6"/>
          <w:w w:val="58"/>
          <w:sz w:val="16"/>
        </w:rPr>
        <w:t>/</w:t>
      </w:r>
      <w:r>
        <w:rPr>
          <w:color w:val="231F20"/>
          <w:w w:val="106"/>
          <w:sz w:val="16"/>
        </w:rPr>
        <w:t>l</w:t>
      </w:r>
      <w:r>
        <w:rPr>
          <w:color w:val="231F20"/>
          <w:w w:val="94"/>
          <w:sz w:val="16"/>
        </w:rPr>
        <w:t>e</w:t>
      </w:r>
      <w:r>
        <w:rPr>
          <w:color w:val="231F20"/>
          <w:spacing w:val="3"/>
          <w:w w:val="103"/>
          <w:sz w:val="16"/>
        </w:rPr>
        <w:t>ni</w:t>
      </w:r>
      <w:r>
        <w:rPr>
          <w:color w:val="231F20"/>
          <w:spacing w:val="8"/>
          <w:w w:val="103"/>
          <w:sz w:val="16"/>
        </w:rPr>
        <w:t>n</w:t>
      </w:r>
      <w:r>
        <w:rPr>
          <w:color w:val="231F20"/>
          <w:spacing w:val="2"/>
          <w:w w:val="58"/>
          <w:sz w:val="16"/>
        </w:rPr>
        <w:t>/</w:t>
      </w:r>
      <w:r>
        <w:rPr>
          <w:color w:val="231F20"/>
          <w:spacing w:val="-1"/>
          <w:w w:val="104"/>
          <w:sz w:val="16"/>
        </w:rPr>
        <w:t>w</w:t>
      </w:r>
      <w:r>
        <w:rPr>
          <w:color w:val="231F20"/>
          <w:w w:val="108"/>
          <w:sz w:val="16"/>
        </w:rPr>
        <w:t>o</w:t>
      </w:r>
      <w:r>
        <w:rPr>
          <w:color w:val="231F20"/>
          <w:w w:val="97"/>
          <w:sz w:val="16"/>
        </w:rPr>
        <w:t>r</w:t>
      </w:r>
      <w:r>
        <w:rPr>
          <w:color w:val="231F20"/>
          <w:spacing w:val="2"/>
          <w:w w:val="109"/>
          <w:sz w:val="16"/>
        </w:rPr>
        <w:t>k</w:t>
      </w:r>
      <w:r>
        <w:rPr>
          <w:color w:val="231F20"/>
          <w:spacing w:val="5"/>
          <w:w w:val="93"/>
          <w:sz w:val="16"/>
        </w:rPr>
        <w:t>s</w:t>
      </w:r>
      <w:r>
        <w:rPr>
          <w:color w:val="231F20"/>
          <w:spacing w:val="-3"/>
          <w:w w:val="58"/>
          <w:sz w:val="16"/>
        </w:rPr>
        <w:t>/</w:t>
      </w:r>
      <w:r>
        <w:rPr>
          <w:color w:val="231F20"/>
          <w:spacing w:val="-6"/>
          <w:w w:val="104"/>
          <w:sz w:val="16"/>
        </w:rPr>
        <w:t>1</w:t>
      </w:r>
      <w:r>
        <w:rPr>
          <w:color w:val="231F20"/>
          <w:spacing w:val="-7"/>
          <w:w w:val="104"/>
          <w:sz w:val="16"/>
        </w:rPr>
        <w:t>9</w:t>
      </w:r>
      <w:r>
        <w:rPr>
          <w:color w:val="231F20"/>
          <w:spacing w:val="-8"/>
          <w:w w:val="104"/>
          <w:sz w:val="16"/>
        </w:rPr>
        <w:t>1</w:t>
      </w:r>
      <w:r>
        <w:rPr>
          <w:color w:val="231F20"/>
          <w:spacing w:val="3"/>
          <w:w w:val="104"/>
          <w:sz w:val="16"/>
        </w:rPr>
        <w:t>6</w:t>
      </w:r>
      <w:r>
        <w:rPr>
          <w:color w:val="231F20"/>
          <w:spacing w:val="-3"/>
          <w:w w:val="84"/>
          <w:sz w:val="16"/>
        </w:rPr>
        <w:t>/</w:t>
      </w:r>
      <w:r>
        <w:rPr>
          <w:color w:val="231F20"/>
          <w:spacing w:val="2"/>
          <w:w w:val="84"/>
          <w:sz w:val="16"/>
        </w:rPr>
        <w:t>o</w:t>
      </w:r>
      <w:r>
        <w:rPr>
          <w:color w:val="231F20"/>
          <w:spacing w:val="3"/>
          <w:w w:val="104"/>
          <w:sz w:val="16"/>
        </w:rPr>
        <w:t>c</w:t>
      </w:r>
      <w:r>
        <w:rPr>
          <w:color w:val="231F20"/>
          <w:spacing w:val="7"/>
          <w:w w:val="102"/>
          <w:sz w:val="16"/>
        </w:rPr>
        <w:t>t</w:t>
      </w:r>
      <w:r>
        <w:rPr>
          <w:color w:val="231F20"/>
          <w:w w:val="58"/>
          <w:sz w:val="16"/>
        </w:rPr>
        <w:t>/</w:t>
      </w:r>
      <w:r>
        <w:rPr>
          <w:color w:val="231F20"/>
          <w:spacing w:val="-1"/>
          <w:w w:val="119"/>
          <w:sz w:val="16"/>
        </w:rPr>
        <w:t>x</w:t>
      </w:r>
      <w:r>
        <w:rPr>
          <w:color w:val="231F20"/>
          <w:spacing w:val="-6"/>
          <w:w w:val="104"/>
          <w:sz w:val="16"/>
        </w:rPr>
        <w:t>0</w:t>
      </w:r>
      <w:r>
        <w:rPr>
          <w:color w:val="231F20"/>
          <w:spacing w:val="-3"/>
          <w:w w:val="104"/>
          <w:sz w:val="16"/>
        </w:rPr>
        <w:t>1</w:t>
      </w:r>
      <w:r>
        <w:rPr>
          <w:color w:val="231F20"/>
          <w:spacing w:val="1"/>
          <w:w w:val="140"/>
          <w:sz w:val="16"/>
        </w:rPr>
        <w:t>.</w:t>
      </w:r>
      <w:r>
        <w:rPr>
          <w:color w:val="231F20"/>
          <w:w w:val="103"/>
          <w:sz w:val="16"/>
        </w:rPr>
        <w:t>h</w:t>
      </w:r>
      <w:r>
        <w:rPr>
          <w:color w:val="231F20"/>
          <w:spacing w:val="3"/>
          <w:w w:val="103"/>
          <w:sz w:val="16"/>
        </w:rPr>
        <w:t>t</w:t>
      </w:r>
      <w:r>
        <w:rPr>
          <w:color w:val="231F20"/>
          <w:spacing w:val="1"/>
          <w:w w:val="103"/>
          <w:sz w:val="16"/>
        </w:rPr>
        <w:t>m</w:t>
      </w:r>
      <w:r>
        <w:rPr>
          <w:color w:val="231F20"/>
          <w:w w:val="140"/>
          <w:sz w:val="16"/>
        </w:rPr>
        <w:t>.</w:t>
      </w:r>
    </w:p>
    <w:p w14:paraId="684AAE7E" w14:textId="77777777" w:rsidR="002653E8" w:rsidRDefault="003115E3">
      <w:pPr>
        <w:pStyle w:val="a4"/>
        <w:numPr>
          <w:ilvl w:val="0"/>
          <w:numId w:val="90"/>
        </w:numPr>
        <w:tabs>
          <w:tab w:val="left" w:pos="1287"/>
        </w:tabs>
        <w:spacing w:line="254" w:lineRule="auto"/>
        <w:ind w:left="1147" w:right="1407" w:firstLine="1"/>
        <w:rPr>
          <w:sz w:val="16"/>
        </w:rPr>
      </w:pPr>
      <w:r>
        <w:rPr>
          <w:color w:val="231F20"/>
          <w:spacing w:val="1"/>
          <w:w w:val="105"/>
          <w:sz w:val="16"/>
        </w:rPr>
        <w:t xml:space="preserve">Le </w:t>
      </w:r>
      <w:r>
        <w:rPr>
          <w:color w:val="231F20"/>
          <w:w w:val="105"/>
          <w:sz w:val="16"/>
        </w:rPr>
        <w:t xml:space="preserve">Duan became the first </w:t>
      </w:r>
      <w:r>
        <w:rPr>
          <w:color w:val="231F20"/>
          <w:spacing w:val="1"/>
          <w:w w:val="105"/>
          <w:sz w:val="16"/>
        </w:rPr>
        <w:t xml:space="preserve">Secretary </w:t>
      </w:r>
      <w:r>
        <w:rPr>
          <w:color w:val="231F20"/>
          <w:w w:val="105"/>
          <w:sz w:val="16"/>
        </w:rPr>
        <w:t xml:space="preserve">of the Communist </w:t>
      </w:r>
      <w:r>
        <w:rPr>
          <w:color w:val="231F20"/>
          <w:spacing w:val="1"/>
          <w:w w:val="105"/>
          <w:sz w:val="16"/>
        </w:rPr>
        <w:t xml:space="preserve">Party </w:t>
      </w:r>
      <w:r>
        <w:rPr>
          <w:color w:val="231F20"/>
          <w:w w:val="105"/>
          <w:sz w:val="16"/>
        </w:rPr>
        <w:t xml:space="preserve">in North Vietnam in 1960. </w:t>
      </w:r>
      <w:r>
        <w:rPr>
          <w:color w:val="231F20"/>
          <w:spacing w:val="1"/>
          <w:w w:val="105"/>
          <w:sz w:val="16"/>
        </w:rPr>
        <w:t xml:space="preserve">After </w:t>
      </w:r>
      <w:r>
        <w:rPr>
          <w:color w:val="231F20"/>
          <w:w w:val="105"/>
          <w:sz w:val="16"/>
        </w:rPr>
        <w:t xml:space="preserve">the death of </w:t>
      </w:r>
      <w:r>
        <w:rPr>
          <w:color w:val="231F20"/>
          <w:spacing w:val="1"/>
          <w:w w:val="105"/>
          <w:sz w:val="16"/>
        </w:rPr>
        <w:t xml:space="preserve">party </w:t>
      </w:r>
      <w:r>
        <w:rPr>
          <w:color w:val="231F20"/>
          <w:w w:val="105"/>
          <w:sz w:val="16"/>
        </w:rPr>
        <w:t xml:space="preserve">founder and leader Ho Chi </w:t>
      </w:r>
      <w:r>
        <w:rPr>
          <w:color w:val="231F20"/>
          <w:spacing w:val="1"/>
          <w:w w:val="105"/>
          <w:sz w:val="16"/>
        </w:rPr>
        <w:t xml:space="preserve">Minh </w:t>
      </w:r>
      <w:r>
        <w:rPr>
          <w:color w:val="231F20"/>
          <w:w w:val="105"/>
          <w:sz w:val="16"/>
        </w:rPr>
        <w:t xml:space="preserve">in  1969,  </w:t>
      </w:r>
      <w:r>
        <w:rPr>
          <w:color w:val="231F20"/>
          <w:spacing w:val="1"/>
          <w:w w:val="105"/>
          <w:sz w:val="16"/>
        </w:rPr>
        <w:t xml:space="preserve">Le </w:t>
      </w:r>
      <w:r>
        <w:rPr>
          <w:color w:val="231F20"/>
          <w:w w:val="105"/>
          <w:sz w:val="16"/>
        </w:rPr>
        <w:t xml:space="preserve">took over the leadership of the government. He remained General </w:t>
      </w:r>
      <w:r>
        <w:rPr>
          <w:color w:val="231F20"/>
          <w:spacing w:val="1"/>
          <w:w w:val="105"/>
          <w:sz w:val="16"/>
        </w:rPr>
        <w:t xml:space="preserve">Secretary </w:t>
      </w:r>
      <w:r>
        <w:rPr>
          <w:color w:val="231F20"/>
          <w:w w:val="105"/>
          <w:sz w:val="16"/>
        </w:rPr>
        <w:t xml:space="preserve">of the </w:t>
      </w:r>
      <w:r>
        <w:rPr>
          <w:color w:val="231F20"/>
          <w:spacing w:val="1"/>
          <w:w w:val="105"/>
          <w:sz w:val="16"/>
        </w:rPr>
        <w:t>CP</w:t>
      </w:r>
      <w:r>
        <w:rPr>
          <w:color w:val="231F20"/>
          <w:spacing w:val="40"/>
          <w:w w:val="105"/>
          <w:sz w:val="16"/>
        </w:rPr>
        <w:t xml:space="preserve"> </w:t>
      </w:r>
      <w:r>
        <w:rPr>
          <w:color w:val="231F20"/>
          <w:w w:val="105"/>
          <w:sz w:val="16"/>
        </w:rPr>
        <w:t>and</w:t>
      </w:r>
      <w:r>
        <w:rPr>
          <w:color w:val="231F20"/>
          <w:spacing w:val="5"/>
          <w:w w:val="105"/>
          <w:sz w:val="16"/>
        </w:rPr>
        <w:t xml:space="preserve"> </w:t>
      </w:r>
      <w:r>
        <w:rPr>
          <w:color w:val="231F20"/>
          <w:w w:val="105"/>
          <w:sz w:val="16"/>
        </w:rPr>
        <w:t>head</w:t>
      </w:r>
      <w:r>
        <w:rPr>
          <w:color w:val="231F20"/>
          <w:spacing w:val="5"/>
          <w:w w:val="105"/>
          <w:sz w:val="16"/>
        </w:rPr>
        <w:t xml:space="preserve"> </w:t>
      </w:r>
      <w:r>
        <w:rPr>
          <w:color w:val="231F20"/>
          <w:w w:val="105"/>
          <w:sz w:val="16"/>
        </w:rPr>
        <w:t>of</w:t>
      </w:r>
      <w:r>
        <w:rPr>
          <w:color w:val="231F20"/>
          <w:spacing w:val="5"/>
          <w:w w:val="105"/>
          <w:sz w:val="16"/>
        </w:rPr>
        <w:t xml:space="preserve"> </w:t>
      </w:r>
      <w:r>
        <w:rPr>
          <w:color w:val="231F20"/>
          <w:w w:val="105"/>
          <w:sz w:val="16"/>
        </w:rPr>
        <w:t>the</w:t>
      </w:r>
      <w:r>
        <w:rPr>
          <w:color w:val="231F20"/>
          <w:spacing w:val="5"/>
          <w:w w:val="105"/>
          <w:sz w:val="16"/>
        </w:rPr>
        <w:t xml:space="preserve"> </w:t>
      </w:r>
      <w:r>
        <w:rPr>
          <w:color w:val="231F20"/>
          <w:w w:val="105"/>
          <w:sz w:val="16"/>
        </w:rPr>
        <w:t>government</w:t>
      </w:r>
      <w:r>
        <w:rPr>
          <w:color w:val="231F20"/>
          <w:spacing w:val="5"/>
          <w:w w:val="105"/>
          <w:sz w:val="16"/>
        </w:rPr>
        <w:t xml:space="preserve"> </w:t>
      </w:r>
      <w:r>
        <w:rPr>
          <w:color w:val="231F20"/>
          <w:w w:val="105"/>
          <w:sz w:val="16"/>
        </w:rPr>
        <w:t>until</w:t>
      </w:r>
      <w:r>
        <w:rPr>
          <w:color w:val="231F20"/>
          <w:spacing w:val="5"/>
          <w:w w:val="105"/>
          <w:sz w:val="16"/>
        </w:rPr>
        <w:t xml:space="preserve"> </w:t>
      </w:r>
      <w:r>
        <w:rPr>
          <w:color w:val="231F20"/>
          <w:w w:val="105"/>
          <w:sz w:val="16"/>
        </w:rPr>
        <w:t>his</w:t>
      </w:r>
      <w:r>
        <w:rPr>
          <w:color w:val="231F20"/>
          <w:spacing w:val="5"/>
          <w:w w:val="105"/>
          <w:sz w:val="16"/>
        </w:rPr>
        <w:t xml:space="preserve"> </w:t>
      </w:r>
      <w:r>
        <w:rPr>
          <w:color w:val="231F20"/>
          <w:w w:val="105"/>
          <w:sz w:val="16"/>
        </w:rPr>
        <w:t>death</w:t>
      </w:r>
      <w:r>
        <w:rPr>
          <w:color w:val="231F20"/>
          <w:spacing w:val="5"/>
          <w:w w:val="105"/>
          <w:sz w:val="16"/>
        </w:rPr>
        <w:t xml:space="preserve"> </w:t>
      </w:r>
      <w:r>
        <w:rPr>
          <w:color w:val="231F20"/>
          <w:w w:val="105"/>
          <w:sz w:val="16"/>
        </w:rPr>
        <w:t>in</w:t>
      </w:r>
      <w:r>
        <w:rPr>
          <w:color w:val="231F20"/>
          <w:spacing w:val="6"/>
          <w:w w:val="105"/>
          <w:sz w:val="16"/>
        </w:rPr>
        <w:t xml:space="preserve"> </w:t>
      </w:r>
      <w:r>
        <w:rPr>
          <w:color w:val="231F20"/>
          <w:spacing w:val="-3"/>
          <w:w w:val="105"/>
          <w:sz w:val="16"/>
        </w:rPr>
        <w:t>1986</w:t>
      </w:r>
      <w:r>
        <w:rPr>
          <w:color w:val="231F20"/>
          <w:spacing w:val="5"/>
          <w:w w:val="105"/>
          <w:sz w:val="16"/>
        </w:rPr>
        <w:t xml:space="preserve"> </w:t>
      </w:r>
      <w:r>
        <w:rPr>
          <w:color w:val="231F20"/>
          <w:w w:val="105"/>
          <w:sz w:val="16"/>
        </w:rPr>
        <w:t>at</w:t>
      </w:r>
      <w:r>
        <w:rPr>
          <w:color w:val="231F20"/>
          <w:spacing w:val="5"/>
          <w:w w:val="105"/>
          <w:sz w:val="16"/>
        </w:rPr>
        <w:t xml:space="preserve"> </w:t>
      </w:r>
      <w:r>
        <w:rPr>
          <w:color w:val="231F20"/>
          <w:w w:val="105"/>
          <w:sz w:val="16"/>
        </w:rPr>
        <w:t>the</w:t>
      </w:r>
      <w:r>
        <w:rPr>
          <w:color w:val="231F20"/>
          <w:spacing w:val="5"/>
          <w:w w:val="105"/>
          <w:sz w:val="16"/>
        </w:rPr>
        <w:t xml:space="preserve"> </w:t>
      </w:r>
      <w:r>
        <w:rPr>
          <w:color w:val="231F20"/>
          <w:w w:val="105"/>
          <w:sz w:val="16"/>
        </w:rPr>
        <w:t>age</w:t>
      </w:r>
      <w:r>
        <w:rPr>
          <w:color w:val="231F20"/>
          <w:spacing w:val="5"/>
          <w:w w:val="105"/>
          <w:sz w:val="16"/>
        </w:rPr>
        <w:t xml:space="preserve"> </w:t>
      </w:r>
      <w:r>
        <w:rPr>
          <w:color w:val="231F20"/>
          <w:w w:val="105"/>
          <w:sz w:val="16"/>
        </w:rPr>
        <w:t>of</w:t>
      </w:r>
      <w:r>
        <w:rPr>
          <w:color w:val="231F20"/>
          <w:spacing w:val="5"/>
          <w:w w:val="105"/>
          <w:sz w:val="16"/>
        </w:rPr>
        <w:t xml:space="preserve"> </w:t>
      </w:r>
      <w:r>
        <w:rPr>
          <w:color w:val="231F20"/>
          <w:w w:val="105"/>
          <w:sz w:val="16"/>
        </w:rPr>
        <w:t>seventy-nine.</w:t>
      </w:r>
    </w:p>
    <w:p w14:paraId="141507B8" w14:textId="77777777" w:rsidR="002653E8" w:rsidRDefault="003115E3">
      <w:pPr>
        <w:pStyle w:val="a4"/>
        <w:numPr>
          <w:ilvl w:val="0"/>
          <w:numId w:val="90"/>
        </w:numPr>
        <w:tabs>
          <w:tab w:val="left" w:pos="1287"/>
        </w:tabs>
        <w:spacing w:line="254" w:lineRule="auto"/>
        <w:ind w:left="1147" w:right="1529" w:firstLine="0"/>
        <w:rPr>
          <w:sz w:val="16"/>
        </w:rPr>
      </w:pPr>
      <w:r>
        <w:rPr>
          <w:color w:val="231F20"/>
          <w:spacing w:val="1"/>
          <w:w w:val="105"/>
          <w:sz w:val="16"/>
        </w:rPr>
        <w:t xml:space="preserve">This </w:t>
      </w:r>
      <w:r>
        <w:rPr>
          <w:color w:val="231F20"/>
          <w:w w:val="105"/>
          <w:sz w:val="16"/>
        </w:rPr>
        <w:t xml:space="preserve">quote is from </w:t>
      </w:r>
      <w:r>
        <w:rPr>
          <w:color w:val="231F20"/>
          <w:spacing w:val="1"/>
          <w:w w:val="105"/>
          <w:sz w:val="16"/>
        </w:rPr>
        <w:t xml:space="preserve">Le </w:t>
      </w:r>
      <w:r>
        <w:rPr>
          <w:color w:val="231F20"/>
          <w:w w:val="105"/>
          <w:sz w:val="16"/>
        </w:rPr>
        <w:t xml:space="preserve">Duan’s </w:t>
      </w:r>
      <w:r>
        <w:rPr>
          <w:i/>
          <w:color w:val="231F20"/>
          <w:w w:val="105"/>
          <w:sz w:val="16"/>
        </w:rPr>
        <w:t xml:space="preserve">Principles </w:t>
      </w:r>
      <w:r>
        <w:rPr>
          <w:i/>
          <w:color w:val="231F20"/>
          <w:spacing w:val="1"/>
          <w:w w:val="105"/>
          <w:sz w:val="16"/>
        </w:rPr>
        <w:t xml:space="preserve">and </w:t>
      </w:r>
      <w:r>
        <w:rPr>
          <w:i/>
          <w:color w:val="231F20"/>
          <w:w w:val="105"/>
          <w:sz w:val="16"/>
        </w:rPr>
        <w:t xml:space="preserve">Methods of </w:t>
      </w:r>
      <w:r>
        <w:rPr>
          <w:i/>
          <w:color w:val="231F20"/>
          <w:spacing w:val="1"/>
          <w:w w:val="105"/>
          <w:sz w:val="16"/>
        </w:rPr>
        <w:t xml:space="preserve">Revolutionary </w:t>
      </w:r>
      <w:r>
        <w:rPr>
          <w:i/>
          <w:color w:val="231F20"/>
          <w:w w:val="105"/>
          <w:sz w:val="16"/>
        </w:rPr>
        <w:t xml:space="preserve">Action, </w:t>
      </w:r>
      <w:r>
        <w:rPr>
          <w:color w:val="231F20"/>
          <w:w w:val="105"/>
          <w:sz w:val="16"/>
        </w:rPr>
        <w:t>written on the occasion of the 40th Anniversary of the establishment of the Indochinese</w:t>
      </w:r>
      <w:r>
        <w:rPr>
          <w:color w:val="231F20"/>
          <w:spacing w:val="10"/>
          <w:w w:val="105"/>
          <w:sz w:val="16"/>
        </w:rPr>
        <w:t xml:space="preserve"> </w:t>
      </w:r>
      <w:r>
        <w:rPr>
          <w:color w:val="231F20"/>
          <w:w w:val="105"/>
          <w:sz w:val="16"/>
        </w:rPr>
        <w:t>Communist</w:t>
      </w:r>
      <w:r>
        <w:rPr>
          <w:color w:val="231F20"/>
          <w:spacing w:val="10"/>
          <w:w w:val="105"/>
          <w:sz w:val="16"/>
        </w:rPr>
        <w:t xml:space="preserve"> </w:t>
      </w:r>
      <w:r>
        <w:rPr>
          <w:color w:val="231F20"/>
          <w:spacing w:val="1"/>
          <w:w w:val="105"/>
          <w:sz w:val="16"/>
        </w:rPr>
        <w:t>Party</w:t>
      </w:r>
      <w:r>
        <w:rPr>
          <w:color w:val="231F20"/>
          <w:spacing w:val="10"/>
          <w:w w:val="105"/>
          <w:sz w:val="16"/>
        </w:rPr>
        <w:t xml:space="preserve"> </w:t>
      </w:r>
      <w:r>
        <w:rPr>
          <w:color w:val="231F20"/>
          <w:spacing w:val="-4"/>
          <w:w w:val="105"/>
          <w:sz w:val="16"/>
        </w:rPr>
        <w:t>(1970).</w:t>
      </w:r>
      <w:r>
        <w:rPr>
          <w:color w:val="231F20"/>
          <w:spacing w:val="10"/>
          <w:w w:val="105"/>
          <w:sz w:val="16"/>
        </w:rPr>
        <w:t xml:space="preserve"> </w:t>
      </w:r>
      <w:r>
        <w:rPr>
          <w:color w:val="231F20"/>
          <w:w w:val="105"/>
          <w:sz w:val="16"/>
        </w:rPr>
        <w:t>A</w:t>
      </w:r>
      <w:r>
        <w:rPr>
          <w:color w:val="231F20"/>
          <w:spacing w:val="10"/>
          <w:w w:val="105"/>
          <w:sz w:val="16"/>
        </w:rPr>
        <w:t xml:space="preserve"> </w:t>
      </w:r>
      <w:r>
        <w:rPr>
          <w:color w:val="231F20"/>
          <w:w w:val="105"/>
          <w:sz w:val="16"/>
        </w:rPr>
        <w:t>slightly</w:t>
      </w:r>
      <w:r>
        <w:rPr>
          <w:color w:val="231F20"/>
          <w:spacing w:val="10"/>
          <w:w w:val="105"/>
          <w:sz w:val="16"/>
        </w:rPr>
        <w:t xml:space="preserve"> </w:t>
      </w:r>
      <w:r>
        <w:rPr>
          <w:color w:val="231F20"/>
          <w:w w:val="105"/>
          <w:sz w:val="16"/>
        </w:rPr>
        <w:t>different</w:t>
      </w:r>
      <w:r>
        <w:rPr>
          <w:color w:val="231F20"/>
          <w:spacing w:val="10"/>
          <w:w w:val="105"/>
          <w:sz w:val="16"/>
        </w:rPr>
        <w:t xml:space="preserve"> </w:t>
      </w:r>
      <w:r>
        <w:rPr>
          <w:color w:val="231F20"/>
          <w:w w:val="105"/>
          <w:sz w:val="16"/>
        </w:rPr>
        <w:t>translation</w:t>
      </w:r>
      <w:r>
        <w:rPr>
          <w:color w:val="231F20"/>
          <w:spacing w:val="10"/>
          <w:w w:val="105"/>
          <w:sz w:val="16"/>
        </w:rPr>
        <w:t xml:space="preserve"> </w:t>
      </w:r>
      <w:r>
        <w:rPr>
          <w:color w:val="231F20"/>
          <w:w w:val="105"/>
          <w:sz w:val="16"/>
        </w:rPr>
        <w:t>appears</w:t>
      </w:r>
      <w:r>
        <w:rPr>
          <w:color w:val="231F20"/>
          <w:spacing w:val="10"/>
          <w:w w:val="105"/>
          <w:sz w:val="16"/>
        </w:rPr>
        <w:t xml:space="preserve"> </w:t>
      </w:r>
      <w:r>
        <w:rPr>
          <w:color w:val="231F20"/>
          <w:w w:val="105"/>
          <w:sz w:val="16"/>
        </w:rPr>
        <w:t>in</w:t>
      </w:r>
    </w:p>
    <w:p w14:paraId="05D5DF8F" w14:textId="77777777" w:rsidR="002653E8" w:rsidRDefault="002653E8">
      <w:pPr>
        <w:spacing w:line="254" w:lineRule="auto"/>
        <w:rPr>
          <w:sz w:val="16"/>
        </w:rPr>
        <w:sectPr w:rsidR="002653E8">
          <w:pgSz w:w="8640" w:h="12960"/>
          <w:pgMar w:top="1060" w:right="0" w:bottom="1040" w:left="0" w:header="0" w:footer="850" w:gutter="0"/>
          <w:cols w:space="720"/>
        </w:sectPr>
      </w:pPr>
    </w:p>
    <w:p w14:paraId="78EE2FE3" w14:textId="77777777" w:rsidR="002653E8" w:rsidRDefault="003115E3">
      <w:pPr>
        <w:pStyle w:val="a3"/>
        <w:spacing w:before="86" w:line="264" w:lineRule="auto"/>
        <w:ind w:left="1327" w:right="1146"/>
        <w:jc w:val="both"/>
      </w:pPr>
      <w:r>
        <w:rPr>
          <w:color w:val="231F20"/>
        </w:rPr>
        <w:lastRenderedPageBreak/>
        <w:t>from the unimaginable enormity of your goals,” but of pursuing them stubbornly and without allowing yourself to be discouraged. It is the courage to draw lessons from your errors and the general willingness to learn. Every revolutionary organization and every guerilla organization knows that practice requires that it develop its capabilities—at least</w:t>
      </w:r>
      <w:r>
        <w:rPr>
          <w:color w:val="231F20"/>
          <w:spacing w:val="-29"/>
        </w:rPr>
        <w:t xml:space="preserve"> </w:t>
      </w:r>
      <w:r>
        <w:rPr>
          <w:color w:val="231F20"/>
        </w:rPr>
        <w:t xml:space="preserve">any organization applying dialectical materialism, any organization that aims for victory in the people’s war and not the edification of a </w:t>
      </w:r>
      <w:r>
        <w:rPr>
          <w:color w:val="231F20"/>
          <w:spacing w:val="1"/>
        </w:rPr>
        <w:t xml:space="preserve">party  </w:t>
      </w:r>
      <w:r>
        <w:rPr>
          <w:color w:val="231F20"/>
        </w:rPr>
        <w:t>bureaucracy</w:t>
      </w:r>
      <w:r>
        <w:rPr>
          <w:color w:val="231F20"/>
          <w:spacing w:val="10"/>
        </w:rPr>
        <w:t xml:space="preserve"> </w:t>
      </w:r>
      <w:r>
        <w:rPr>
          <w:color w:val="231F20"/>
        </w:rPr>
        <w:t>and</w:t>
      </w:r>
      <w:r>
        <w:rPr>
          <w:color w:val="231F20"/>
          <w:spacing w:val="10"/>
        </w:rPr>
        <w:t xml:space="preserve"> </w:t>
      </w:r>
      <w:r>
        <w:rPr>
          <w:color w:val="231F20"/>
        </w:rPr>
        <w:t>a</w:t>
      </w:r>
      <w:r>
        <w:rPr>
          <w:color w:val="231F20"/>
          <w:spacing w:val="10"/>
        </w:rPr>
        <w:t xml:space="preserve"> </w:t>
      </w:r>
      <w:r>
        <w:rPr>
          <w:color w:val="231F20"/>
        </w:rPr>
        <w:t>partnership</w:t>
      </w:r>
      <w:r>
        <w:rPr>
          <w:color w:val="231F20"/>
          <w:spacing w:val="10"/>
        </w:rPr>
        <w:t xml:space="preserve"> </w:t>
      </w:r>
      <w:r>
        <w:rPr>
          <w:color w:val="231F20"/>
        </w:rPr>
        <w:t>with</w:t>
      </w:r>
      <w:r>
        <w:rPr>
          <w:color w:val="231F20"/>
          <w:spacing w:val="10"/>
        </w:rPr>
        <w:t xml:space="preserve"> </w:t>
      </w:r>
      <w:r>
        <w:rPr>
          <w:color w:val="231F20"/>
        </w:rPr>
        <w:t>the</w:t>
      </w:r>
      <w:r>
        <w:rPr>
          <w:color w:val="231F20"/>
          <w:spacing w:val="10"/>
        </w:rPr>
        <w:t xml:space="preserve"> </w:t>
      </w:r>
      <w:r>
        <w:rPr>
          <w:color w:val="231F20"/>
        </w:rPr>
        <w:t>imperialist</w:t>
      </w:r>
      <w:r>
        <w:rPr>
          <w:color w:val="231F20"/>
          <w:spacing w:val="10"/>
        </w:rPr>
        <w:t xml:space="preserve"> </w:t>
      </w:r>
      <w:r>
        <w:rPr>
          <w:color w:val="231F20"/>
        </w:rPr>
        <w:t>power.</w:t>
      </w:r>
    </w:p>
    <w:p w14:paraId="64B0077B" w14:textId="77777777" w:rsidR="002653E8" w:rsidRDefault="003115E3">
      <w:pPr>
        <w:pStyle w:val="a3"/>
        <w:spacing w:line="264" w:lineRule="auto"/>
        <w:ind w:left="1327" w:right="1146" w:firstLine="210"/>
        <w:jc w:val="both"/>
      </w:pPr>
      <w:r>
        <w:rPr>
          <w:color w:val="231F20"/>
          <w:spacing w:val="-5"/>
        </w:rPr>
        <w:t xml:space="preserve">We </w:t>
      </w:r>
      <w:r>
        <w:rPr>
          <w:color w:val="231F20"/>
          <w:spacing w:val="-3"/>
        </w:rPr>
        <w:t xml:space="preserve">don’t </w:t>
      </w:r>
      <w:r>
        <w:rPr>
          <w:color w:val="231F20"/>
        </w:rPr>
        <w:t xml:space="preserve">talk about democratic centralism because the urban guerilla in the metropole of the Federal Republic can’t have a centralizing apparatus. It is not a party, but a politico-military organization within which leadership is exercised collectively by all of the independent sections, with a tendency for it to be subsumed by the group as part of     the collective learning process. Tactically, the goal is to always allow   for an autonomous orientation towards militants, guerillas, and cadres. Collectivity is a political process that functions on all levels: in interaction and communication and in the sharing of knowledge that occurs    as we work and learn together. </w:t>
      </w:r>
      <w:r>
        <w:rPr>
          <w:color w:val="231F20"/>
          <w:spacing w:val="2"/>
        </w:rPr>
        <w:t xml:space="preserve">An </w:t>
      </w:r>
      <w:r>
        <w:rPr>
          <w:color w:val="231F20"/>
        </w:rPr>
        <w:t>authoritarian leadership structure would find no material basis in the guerilla, because the real (i.e., voluntary) development of each individual’s productive force is necessary for the revolutionary guerilla to make an effective revolutionary intervention from a position of weakness, in order to launch the people’s liberation</w:t>
      </w:r>
      <w:r>
        <w:rPr>
          <w:color w:val="231F20"/>
          <w:spacing w:val="10"/>
        </w:rPr>
        <w:t xml:space="preserve"> </w:t>
      </w:r>
      <w:r>
        <w:rPr>
          <w:color w:val="231F20"/>
        </w:rPr>
        <w:t>war.</w:t>
      </w:r>
    </w:p>
    <w:p w14:paraId="501BE8CD" w14:textId="77777777" w:rsidR="002653E8" w:rsidRDefault="002653E8">
      <w:pPr>
        <w:pStyle w:val="a3"/>
        <w:spacing w:before="2"/>
        <w:rPr>
          <w:sz w:val="18"/>
        </w:rPr>
      </w:pPr>
    </w:p>
    <w:p w14:paraId="59BEE89F" w14:textId="77777777" w:rsidR="002653E8" w:rsidRDefault="003115E3">
      <w:pPr>
        <w:ind w:left="1327"/>
      </w:pPr>
      <w:r>
        <w:rPr>
          <w:color w:val="231F20"/>
          <w:w w:val="125"/>
        </w:rPr>
        <w:t>psychological warfare</w:t>
      </w:r>
    </w:p>
    <w:p w14:paraId="0BEF0809" w14:textId="77777777" w:rsidR="002653E8" w:rsidRDefault="003115E3">
      <w:pPr>
        <w:pStyle w:val="a3"/>
        <w:spacing w:before="18" w:line="264" w:lineRule="auto"/>
        <w:ind w:left="1327" w:right="1146"/>
        <w:jc w:val="both"/>
      </w:pPr>
      <w:r>
        <w:rPr>
          <w:color w:val="231F20"/>
        </w:rPr>
        <w:t>Andreas, because he is a revolutionary, and was one from the beginning, is the primary target of the psychological war that the cops are waging against us. This has been the case since 1970, since the first appearance of the urban guerilla with the prison break operation.</w:t>
      </w:r>
    </w:p>
    <w:p w14:paraId="6C1406CD" w14:textId="77777777" w:rsidR="002653E8" w:rsidRDefault="003115E3">
      <w:pPr>
        <w:pStyle w:val="a3"/>
        <w:spacing w:line="264" w:lineRule="auto"/>
        <w:ind w:left="1327" w:right="1145" w:firstLine="210"/>
        <w:jc w:val="both"/>
      </w:pPr>
      <w:r>
        <w:rPr>
          <w:color w:val="231F20"/>
        </w:rPr>
        <w:t>The guiding principle of psychological warfare is to set the people against the guerilla, to isolate the guerilla from the people, to distort   the real, material goals of the revolution by personalizing events and   by presenting them in psychological terms. The goals of the revolution are freedom from imperialist domination, from occupation, from colonialism and neocolonialism, from the dictatorship of the bourgeoisie, from</w:t>
      </w:r>
      <w:r>
        <w:rPr>
          <w:color w:val="231F20"/>
          <w:spacing w:val="35"/>
        </w:rPr>
        <w:t xml:space="preserve"> </w:t>
      </w:r>
      <w:r>
        <w:rPr>
          <w:color w:val="231F20"/>
        </w:rPr>
        <w:t>military</w:t>
      </w:r>
      <w:r>
        <w:rPr>
          <w:color w:val="231F20"/>
          <w:spacing w:val="35"/>
        </w:rPr>
        <w:t xml:space="preserve"> </w:t>
      </w:r>
      <w:r>
        <w:rPr>
          <w:color w:val="231F20"/>
        </w:rPr>
        <w:t>dictatorship,</w:t>
      </w:r>
      <w:r>
        <w:rPr>
          <w:color w:val="231F20"/>
          <w:spacing w:val="35"/>
        </w:rPr>
        <w:t xml:space="preserve"> </w:t>
      </w:r>
      <w:r>
        <w:rPr>
          <w:color w:val="231F20"/>
        </w:rPr>
        <w:t>from</w:t>
      </w:r>
      <w:r>
        <w:rPr>
          <w:color w:val="231F20"/>
          <w:spacing w:val="35"/>
        </w:rPr>
        <w:t xml:space="preserve"> </w:t>
      </w:r>
      <w:r>
        <w:rPr>
          <w:color w:val="231F20"/>
        </w:rPr>
        <w:t>exploitation,</w:t>
      </w:r>
      <w:r>
        <w:rPr>
          <w:color w:val="231F20"/>
          <w:spacing w:val="35"/>
        </w:rPr>
        <w:t xml:space="preserve"> </w:t>
      </w:r>
      <w:r>
        <w:rPr>
          <w:color w:val="231F20"/>
        </w:rPr>
        <w:t>from</w:t>
      </w:r>
      <w:r>
        <w:rPr>
          <w:color w:val="231F20"/>
          <w:spacing w:val="35"/>
        </w:rPr>
        <w:t xml:space="preserve"> </w:t>
      </w:r>
      <w:r>
        <w:rPr>
          <w:color w:val="231F20"/>
        </w:rPr>
        <w:t>fascism,</w:t>
      </w:r>
      <w:r>
        <w:rPr>
          <w:color w:val="231F20"/>
          <w:spacing w:val="35"/>
        </w:rPr>
        <w:t xml:space="preserve"> </w:t>
      </w:r>
      <w:r>
        <w:rPr>
          <w:color w:val="231F20"/>
        </w:rPr>
        <w:t>and</w:t>
      </w:r>
      <w:r>
        <w:rPr>
          <w:color w:val="231F20"/>
          <w:spacing w:val="35"/>
        </w:rPr>
        <w:t xml:space="preserve"> </w:t>
      </w:r>
      <w:r>
        <w:rPr>
          <w:color w:val="231F20"/>
        </w:rPr>
        <w:t>from</w:t>
      </w:r>
    </w:p>
    <w:p w14:paraId="5755D5E4" w14:textId="77777777" w:rsidR="002653E8" w:rsidRDefault="00000000">
      <w:pPr>
        <w:pStyle w:val="a3"/>
        <w:spacing w:before="4"/>
        <w:rPr>
          <w:sz w:val="27"/>
        </w:rPr>
      </w:pPr>
      <w:r>
        <w:rPr>
          <w:noProof w:val="0"/>
        </w:rPr>
        <w:pict w14:anchorId="40A75942">
          <v:line id="_x0000_s2312" style="position:absolute;z-index:8032;mso-wrap-distance-left:0;mso-wrap-distance-right:0;mso-position-horizontal-relative:page" from="66.4pt,18.5pt" to="354.4pt,18.5pt" strokecolor="#231f20" strokeweight="1pt">
            <w10:wrap type="topAndBottom" anchorx="page"/>
          </v:line>
        </w:pict>
      </w:r>
    </w:p>
    <w:p w14:paraId="12FB6991" w14:textId="77777777" w:rsidR="002653E8" w:rsidRDefault="003115E3">
      <w:pPr>
        <w:spacing w:before="8" w:line="254" w:lineRule="auto"/>
        <w:ind w:left="1327" w:right="1207"/>
        <w:jc w:val="both"/>
        <w:rPr>
          <w:sz w:val="16"/>
        </w:rPr>
      </w:pPr>
      <w:r>
        <w:rPr>
          <w:i/>
          <w:color w:val="231F20"/>
          <w:w w:val="105"/>
          <w:sz w:val="16"/>
        </w:rPr>
        <w:t xml:space="preserve">This Nation and Socialism Are One: Selected Writings of Le Duan First Secretary, Central Committee Vietnam Workers Party </w:t>
      </w:r>
      <w:r>
        <w:rPr>
          <w:color w:val="231F20"/>
          <w:w w:val="105"/>
          <w:sz w:val="16"/>
        </w:rPr>
        <w:t xml:space="preserve">available at </w:t>
      </w:r>
      <w:bookmarkStart w:id="166" w:name="_Hlk124635013"/>
      <w:r>
        <w:fldChar w:fldCharType="begin"/>
      </w:r>
      <w:r>
        <w:instrText>HYPERLINK "http://leninist.biz/en/1976/" \h</w:instrText>
      </w:r>
      <w:r>
        <w:fldChar w:fldCharType="separate"/>
      </w:r>
      <w:r>
        <w:rPr>
          <w:color w:val="231F20"/>
          <w:w w:val="105"/>
          <w:sz w:val="16"/>
        </w:rPr>
        <w:t>http://leninist.biz/en/1976/</w:t>
      </w:r>
      <w:r>
        <w:rPr>
          <w:color w:val="231F20"/>
          <w:w w:val="105"/>
          <w:sz w:val="16"/>
        </w:rPr>
        <w:fldChar w:fldCharType="end"/>
      </w:r>
      <w:r>
        <w:rPr>
          <w:color w:val="231F20"/>
          <w:w w:val="105"/>
          <w:sz w:val="16"/>
        </w:rPr>
        <w:t xml:space="preserve"> </w:t>
      </w:r>
      <w:r>
        <w:rPr>
          <w:color w:val="231F20"/>
          <w:w w:val="126"/>
          <w:sz w:val="16"/>
        </w:rPr>
        <w:t>N</w:t>
      </w:r>
      <w:r>
        <w:rPr>
          <w:color w:val="231F20"/>
          <w:w w:val="104"/>
          <w:sz w:val="16"/>
        </w:rPr>
        <w:t>S</w:t>
      </w:r>
      <w:r>
        <w:rPr>
          <w:color w:val="231F20"/>
          <w:w w:val="132"/>
          <w:sz w:val="16"/>
        </w:rPr>
        <w:t>O</w:t>
      </w:r>
      <w:r>
        <w:rPr>
          <w:color w:val="231F20"/>
          <w:w w:val="104"/>
          <w:sz w:val="16"/>
        </w:rPr>
        <w:t>261</w:t>
      </w:r>
      <w:r>
        <w:rPr>
          <w:color w:val="231F20"/>
          <w:w w:val="58"/>
          <w:sz w:val="16"/>
        </w:rPr>
        <w:t>/</w:t>
      </w:r>
      <w:r>
        <w:rPr>
          <w:color w:val="231F20"/>
          <w:w w:val="104"/>
          <w:sz w:val="16"/>
        </w:rPr>
        <w:t>05-</w:t>
      </w:r>
      <w:r>
        <w:rPr>
          <w:color w:val="231F20"/>
          <w:w w:val="101"/>
          <w:sz w:val="16"/>
        </w:rPr>
        <w:t>P</w:t>
      </w:r>
      <w:r>
        <w:rPr>
          <w:color w:val="231F20"/>
          <w:w w:val="97"/>
          <w:sz w:val="16"/>
        </w:rPr>
        <w:t>r</w:t>
      </w:r>
      <w:r>
        <w:rPr>
          <w:color w:val="231F20"/>
          <w:w w:val="103"/>
          <w:sz w:val="16"/>
        </w:rPr>
        <w:t>in</w:t>
      </w:r>
      <w:r>
        <w:rPr>
          <w:color w:val="231F20"/>
          <w:w w:val="104"/>
          <w:sz w:val="16"/>
        </w:rPr>
        <w:t>ci</w:t>
      </w:r>
      <w:r>
        <w:rPr>
          <w:color w:val="231F20"/>
          <w:w w:val="103"/>
          <w:sz w:val="16"/>
        </w:rPr>
        <w:t>p</w:t>
      </w:r>
      <w:r>
        <w:rPr>
          <w:color w:val="231F20"/>
          <w:w w:val="106"/>
          <w:sz w:val="16"/>
        </w:rPr>
        <w:t>l</w:t>
      </w:r>
      <w:r>
        <w:rPr>
          <w:color w:val="231F20"/>
          <w:w w:val="94"/>
          <w:sz w:val="16"/>
        </w:rPr>
        <w:t>e</w:t>
      </w:r>
      <w:r>
        <w:rPr>
          <w:color w:val="231F20"/>
          <w:w w:val="109"/>
          <w:sz w:val="16"/>
        </w:rPr>
        <w:t>s.</w:t>
      </w:r>
      <w:r>
        <w:rPr>
          <w:color w:val="231F20"/>
          <w:w w:val="106"/>
          <w:sz w:val="16"/>
        </w:rPr>
        <w:t>a</w:t>
      </w:r>
      <w:r>
        <w:rPr>
          <w:color w:val="231F20"/>
          <w:w w:val="103"/>
          <w:sz w:val="16"/>
        </w:rPr>
        <w:t>n</w:t>
      </w:r>
      <w:r>
        <w:rPr>
          <w:color w:val="231F20"/>
          <w:w w:val="113"/>
          <w:sz w:val="16"/>
        </w:rPr>
        <w:t>d.</w:t>
      </w:r>
      <w:r>
        <w:rPr>
          <w:color w:val="231F20"/>
          <w:w w:val="127"/>
          <w:sz w:val="16"/>
        </w:rPr>
        <w:t>M</w:t>
      </w:r>
      <w:r>
        <w:rPr>
          <w:color w:val="231F20"/>
          <w:w w:val="94"/>
          <w:sz w:val="16"/>
        </w:rPr>
        <w:t>e</w:t>
      </w:r>
      <w:r>
        <w:rPr>
          <w:color w:val="231F20"/>
          <w:w w:val="102"/>
          <w:sz w:val="16"/>
        </w:rPr>
        <w:t>t</w:t>
      </w:r>
      <w:r>
        <w:rPr>
          <w:color w:val="231F20"/>
          <w:w w:val="104"/>
          <w:sz w:val="16"/>
        </w:rPr>
        <w:t>h</w:t>
      </w:r>
      <w:r>
        <w:rPr>
          <w:color w:val="231F20"/>
          <w:w w:val="106"/>
          <w:sz w:val="16"/>
        </w:rPr>
        <w:t>od</w:t>
      </w:r>
      <w:r>
        <w:rPr>
          <w:color w:val="231F20"/>
          <w:w w:val="109"/>
          <w:sz w:val="16"/>
        </w:rPr>
        <w:t>s.</w:t>
      </w:r>
      <w:r>
        <w:rPr>
          <w:color w:val="231F20"/>
          <w:w w:val="108"/>
          <w:sz w:val="16"/>
        </w:rPr>
        <w:t>o</w:t>
      </w:r>
      <w:r>
        <w:rPr>
          <w:color w:val="231F20"/>
          <w:w w:val="114"/>
          <w:sz w:val="16"/>
        </w:rPr>
        <w:t>f</w:t>
      </w:r>
      <w:r>
        <w:rPr>
          <w:color w:val="231F20"/>
          <w:w w:val="140"/>
          <w:sz w:val="16"/>
        </w:rPr>
        <w:t>.</w:t>
      </w:r>
      <w:r>
        <w:rPr>
          <w:color w:val="231F20"/>
          <w:w w:val="120"/>
          <w:sz w:val="16"/>
        </w:rPr>
        <w:t>R</w:t>
      </w:r>
      <w:r>
        <w:rPr>
          <w:color w:val="231F20"/>
          <w:w w:val="94"/>
          <w:sz w:val="16"/>
        </w:rPr>
        <w:t>e</w:t>
      </w:r>
      <w:r>
        <w:rPr>
          <w:color w:val="231F20"/>
          <w:w w:val="102"/>
          <w:sz w:val="16"/>
        </w:rPr>
        <w:t>v</w:t>
      </w:r>
      <w:r>
        <w:rPr>
          <w:color w:val="231F20"/>
          <w:w w:val="108"/>
          <w:sz w:val="16"/>
        </w:rPr>
        <w:t>o</w:t>
      </w:r>
      <w:r>
        <w:rPr>
          <w:color w:val="231F20"/>
          <w:w w:val="106"/>
          <w:sz w:val="16"/>
        </w:rPr>
        <w:t>l</w:t>
      </w:r>
      <w:r>
        <w:rPr>
          <w:color w:val="231F20"/>
          <w:w w:val="104"/>
          <w:sz w:val="16"/>
        </w:rPr>
        <w:t>u</w:t>
      </w:r>
      <w:r>
        <w:rPr>
          <w:color w:val="231F20"/>
          <w:w w:val="102"/>
          <w:sz w:val="16"/>
        </w:rPr>
        <w:t>t</w:t>
      </w:r>
      <w:r>
        <w:rPr>
          <w:color w:val="231F20"/>
          <w:w w:val="103"/>
          <w:sz w:val="16"/>
        </w:rPr>
        <w:t>i</w:t>
      </w:r>
      <w:r>
        <w:rPr>
          <w:color w:val="231F20"/>
          <w:w w:val="108"/>
          <w:sz w:val="16"/>
        </w:rPr>
        <w:t>o</w:t>
      </w:r>
      <w:r>
        <w:rPr>
          <w:color w:val="231F20"/>
          <w:w w:val="103"/>
          <w:sz w:val="16"/>
        </w:rPr>
        <w:t>n</w:t>
      </w:r>
      <w:r>
        <w:rPr>
          <w:color w:val="231F20"/>
          <w:w w:val="106"/>
          <w:sz w:val="16"/>
        </w:rPr>
        <w:t>a</w:t>
      </w:r>
      <w:r>
        <w:rPr>
          <w:color w:val="231F20"/>
          <w:w w:val="97"/>
          <w:sz w:val="16"/>
        </w:rPr>
        <w:t>r</w:t>
      </w:r>
      <w:r>
        <w:rPr>
          <w:color w:val="231F20"/>
          <w:w w:val="102"/>
          <w:sz w:val="16"/>
        </w:rPr>
        <w:t>y</w:t>
      </w:r>
      <w:r>
        <w:rPr>
          <w:color w:val="231F20"/>
          <w:w w:val="140"/>
          <w:sz w:val="16"/>
        </w:rPr>
        <w:t>.</w:t>
      </w:r>
      <w:r>
        <w:rPr>
          <w:color w:val="231F20"/>
          <w:w w:val="120"/>
          <w:sz w:val="16"/>
        </w:rPr>
        <w:t>A</w:t>
      </w:r>
      <w:r>
        <w:rPr>
          <w:color w:val="231F20"/>
          <w:w w:val="104"/>
          <w:sz w:val="16"/>
        </w:rPr>
        <w:t>c</w:t>
      </w:r>
      <w:r>
        <w:rPr>
          <w:color w:val="231F20"/>
          <w:w w:val="102"/>
          <w:sz w:val="16"/>
        </w:rPr>
        <w:t>t</w:t>
      </w:r>
      <w:r>
        <w:rPr>
          <w:color w:val="231F20"/>
          <w:w w:val="103"/>
          <w:sz w:val="16"/>
        </w:rPr>
        <w:t>i</w:t>
      </w:r>
      <w:r>
        <w:rPr>
          <w:color w:val="231F20"/>
          <w:w w:val="108"/>
          <w:sz w:val="16"/>
        </w:rPr>
        <w:t>o</w:t>
      </w:r>
      <w:r>
        <w:rPr>
          <w:color w:val="231F20"/>
          <w:w w:val="103"/>
          <w:sz w:val="16"/>
        </w:rPr>
        <w:t>n</w:t>
      </w:r>
      <w:r>
        <w:rPr>
          <w:color w:val="231F20"/>
          <w:w w:val="93"/>
          <w:sz w:val="16"/>
        </w:rPr>
        <w:t>#</w:t>
      </w:r>
      <w:r>
        <w:rPr>
          <w:color w:val="231F20"/>
          <w:w w:val="114"/>
          <w:sz w:val="16"/>
        </w:rPr>
        <w:t>f</w:t>
      </w:r>
      <w:r>
        <w:rPr>
          <w:color w:val="231F20"/>
          <w:w w:val="108"/>
          <w:sz w:val="16"/>
        </w:rPr>
        <w:t>o</w:t>
      </w:r>
      <w:r>
        <w:rPr>
          <w:color w:val="231F20"/>
          <w:w w:val="97"/>
          <w:sz w:val="16"/>
        </w:rPr>
        <w:t>r</w:t>
      </w:r>
      <w:r>
        <w:rPr>
          <w:color w:val="231F20"/>
          <w:w w:val="104"/>
          <w:sz w:val="16"/>
        </w:rPr>
        <w:t>w1</w:t>
      </w:r>
      <w:r>
        <w:rPr>
          <w:color w:val="231F20"/>
          <w:w w:val="103"/>
          <w:sz w:val="16"/>
        </w:rPr>
        <w:t>p</w:t>
      </w:r>
      <w:r>
        <w:rPr>
          <w:color w:val="231F20"/>
          <w:w w:val="106"/>
          <w:sz w:val="16"/>
        </w:rPr>
        <w:t>a</w:t>
      </w:r>
      <w:r>
        <w:rPr>
          <w:color w:val="231F20"/>
          <w:w w:val="104"/>
          <w:sz w:val="16"/>
        </w:rPr>
        <w:t>g</w:t>
      </w:r>
      <w:r>
        <w:rPr>
          <w:color w:val="231F20"/>
          <w:w w:val="94"/>
          <w:sz w:val="16"/>
        </w:rPr>
        <w:t>e</w:t>
      </w:r>
      <w:r>
        <w:rPr>
          <w:color w:val="231F20"/>
          <w:w w:val="104"/>
          <w:sz w:val="16"/>
        </w:rPr>
        <w:t>17</w:t>
      </w:r>
      <w:bookmarkEnd w:id="166"/>
      <w:r>
        <w:rPr>
          <w:color w:val="231F20"/>
          <w:w w:val="140"/>
          <w:sz w:val="16"/>
        </w:rPr>
        <w:t>.</w:t>
      </w:r>
    </w:p>
    <w:p w14:paraId="520D9C11" w14:textId="77777777" w:rsidR="002653E8" w:rsidRDefault="002653E8">
      <w:pPr>
        <w:spacing w:line="254" w:lineRule="auto"/>
        <w:jc w:val="both"/>
        <w:rPr>
          <w:sz w:val="16"/>
        </w:rPr>
        <w:sectPr w:rsidR="002653E8">
          <w:pgSz w:w="8640" w:h="12960"/>
          <w:pgMar w:top="1060" w:right="0" w:bottom="1040" w:left="0" w:header="0" w:footer="850" w:gutter="0"/>
          <w:cols w:space="720"/>
        </w:sectPr>
      </w:pPr>
    </w:p>
    <w:p w14:paraId="6F292173" w14:textId="3CEAD527" w:rsidR="002653E8" w:rsidRDefault="003115E3">
      <w:pPr>
        <w:pStyle w:val="a3"/>
        <w:spacing w:before="86" w:line="264" w:lineRule="auto"/>
        <w:ind w:left="1147" w:right="1326"/>
        <w:jc w:val="both"/>
      </w:pPr>
      <w:r>
        <w:rPr>
          <w:color w:val="231F20"/>
        </w:rPr>
        <w:lastRenderedPageBreak/>
        <w:t>imperialism. Psychological warfare uses the tactic of mystifying that which is easy enough to understand, presenting as irrational that which is rational, and presenting the revolutionaries’ humanity as inhumanity. This is carried out by means of defamation, lies, insults, bullshit, racism, manipulation, and the mobilization of the people’s unconscious fears and reflexes inculcated over decades or centuries of colonial domination and exploitation—knee-jerk existential fear in the face of incomprehensible and hidden powers of domination.</w:t>
      </w:r>
    </w:p>
    <w:p w14:paraId="17F51A7D" w14:textId="77777777" w:rsidR="002653E8" w:rsidRDefault="003115E3">
      <w:pPr>
        <w:pStyle w:val="a3"/>
        <w:spacing w:line="264" w:lineRule="auto"/>
        <w:ind w:left="1147" w:right="1325" w:firstLine="210"/>
        <w:jc w:val="both"/>
      </w:pPr>
      <w:r>
        <w:rPr>
          <w:color w:val="231F20"/>
        </w:rPr>
        <w:t xml:space="preserve">Through psychological warfare, the cops attempt to eliminate revolutionary politics and the armed anti-imperialist struggle in the German metropole, as well as its effect on the consciousness of the people, by personalizing it and turning it into a psychological issue. </w:t>
      </w:r>
      <w:r>
        <w:rPr>
          <w:color w:val="231F20"/>
          <w:spacing w:val="1"/>
        </w:rPr>
        <w:t xml:space="preserve">In </w:t>
      </w:r>
      <w:r>
        <w:rPr>
          <w:color w:val="231F20"/>
        </w:rPr>
        <w:t xml:space="preserve">this </w:t>
      </w:r>
      <w:r>
        <w:rPr>
          <w:color w:val="231F20"/>
          <w:spacing w:val="-5"/>
        </w:rPr>
        <w:t xml:space="preserve">way,   </w:t>
      </w:r>
      <w:r>
        <w:rPr>
          <w:color w:val="231F20"/>
        </w:rPr>
        <w:t xml:space="preserve">the cops attempt to present us as what they themselves are, they attempt to present the </w:t>
      </w:r>
      <w:r w:rsidR="00C507A5">
        <w:rPr>
          <w:color w:val="231F20"/>
          <w:spacing w:val="1"/>
        </w:rPr>
        <w:t>red army faction</w:t>
      </w:r>
      <w:r>
        <w:rPr>
          <w:color w:val="231F20"/>
          <w:spacing w:val="1"/>
        </w:rPr>
        <w:t xml:space="preserve">’s </w:t>
      </w:r>
      <w:r>
        <w:rPr>
          <w:color w:val="231F20"/>
        </w:rPr>
        <w:t xml:space="preserve">structure as similar to their own, a structure of domination mimicking the organizational form and functioning of their own structures of domination, a structure like that of the Ku Klux Klan, the mafia, or the </w:t>
      </w:r>
      <w:r>
        <w:rPr>
          <w:color w:val="231F20"/>
          <w:spacing w:val="3"/>
        </w:rPr>
        <w:t xml:space="preserve">CIA. </w:t>
      </w:r>
      <w:r>
        <w:rPr>
          <w:color w:val="231F20"/>
        </w:rPr>
        <w:t>And they accuse us of the tactics that imperialism and its puppets use to impose themselves: extortion, corruption, competition, privilege, brutality, and the practice of stepping over corpses to achieve their</w:t>
      </w:r>
      <w:r>
        <w:rPr>
          <w:color w:val="231F20"/>
          <w:spacing w:val="41"/>
        </w:rPr>
        <w:t xml:space="preserve"> </w:t>
      </w:r>
      <w:r>
        <w:rPr>
          <w:color w:val="231F20"/>
        </w:rPr>
        <w:t>goals.</w:t>
      </w:r>
    </w:p>
    <w:p w14:paraId="3105DB7E" w14:textId="77777777" w:rsidR="002653E8" w:rsidRDefault="003115E3">
      <w:pPr>
        <w:pStyle w:val="a3"/>
        <w:spacing w:line="222" w:lineRule="exact"/>
        <w:ind w:left="1358"/>
      </w:pPr>
      <w:r>
        <w:rPr>
          <w:color w:val="231F20"/>
        </w:rPr>
        <w:t>In their use of psychological warfare against us, the cops rely upon</w:t>
      </w:r>
    </w:p>
    <w:p w14:paraId="48C23F73" w14:textId="77777777" w:rsidR="002653E8" w:rsidRDefault="003115E3">
      <w:pPr>
        <w:pStyle w:val="a3"/>
        <w:spacing w:before="14" w:line="264" w:lineRule="auto"/>
        <w:ind w:left="1148" w:right="1325"/>
        <w:jc w:val="both"/>
      </w:pPr>
      <w:r>
        <w:rPr>
          <w:color w:val="231F20"/>
        </w:rPr>
        <w:t xml:space="preserve">the confusion of all those who are obliged to sell their labor simply to survive, a confusion born of the obligation to produce and of the fear  for </w:t>
      </w:r>
      <w:r>
        <w:rPr>
          <w:color w:val="231F20"/>
          <w:spacing w:val="-3"/>
        </w:rPr>
        <w:t xml:space="preserve">one’s </w:t>
      </w:r>
      <w:r>
        <w:rPr>
          <w:color w:val="231F20"/>
        </w:rPr>
        <w:t xml:space="preserve">very existence that the system generates within them. They rely on the morbid practice of defamation, which the ruling class has directed against the people for decades, for centuries; a </w:t>
      </w:r>
      <w:r>
        <w:rPr>
          <w:color w:val="231F20"/>
          <w:spacing w:val="1"/>
        </w:rPr>
        <w:t xml:space="preserve">mixture </w:t>
      </w:r>
      <w:r>
        <w:rPr>
          <w:color w:val="231F20"/>
        </w:rPr>
        <w:t>of anticommunism, antisemitism, racism, sexual oppression, religious oppression, and an authoritarian educational system. They rely on consumer society brainwashing and the imperialist media, re-education and the “economic</w:t>
      </w:r>
      <w:r>
        <w:rPr>
          <w:color w:val="231F20"/>
          <w:spacing w:val="10"/>
        </w:rPr>
        <w:t xml:space="preserve"> </w:t>
      </w:r>
      <w:r>
        <w:rPr>
          <w:color w:val="231F20"/>
        </w:rPr>
        <w:t>miracle.”</w:t>
      </w:r>
    </w:p>
    <w:p w14:paraId="7C3FAA73" w14:textId="17EEE7D4" w:rsidR="002653E8" w:rsidRDefault="003115E3" w:rsidP="00601598">
      <w:pPr>
        <w:pStyle w:val="a3"/>
        <w:spacing w:line="264" w:lineRule="auto"/>
        <w:ind w:left="1148" w:right="1325" w:firstLine="210"/>
        <w:jc w:val="both"/>
      </w:pPr>
      <w:r>
        <w:rPr>
          <w:color w:val="231F20"/>
        </w:rPr>
        <w:t>What is shocking about our guerilla in its first phase, what was shocking about its first actions, is that they showed that people could act outside of the system’s limits, that they didn’t have to see through the media’s eyes, that they could be free from fear—that people could act on the basis of their own very real experiences, their  own  and  those of the people. Because the guerilla starts from the fact that—despite this country’s highly advanced technology and immense wealth— every day people have their own experiences with oppression, media terrorism, and insecure living conditions, which lead to mental illness, suicide,</w:t>
      </w:r>
      <w:r>
        <w:rPr>
          <w:color w:val="231F20"/>
          <w:spacing w:val="17"/>
        </w:rPr>
        <w:t xml:space="preserve"> </w:t>
      </w:r>
      <w:r>
        <w:rPr>
          <w:color w:val="231F20"/>
        </w:rPr>
        <w:t>child</w:t>
      </w:r>
      <w:r>
        <w:rPr>
          <w:color w:val="231F20"/>
          <w:spacing w:val="17"/>
        </w:rPr>
        <w:t xml:space="preserve"> </w:t>
      </w:r>
      <w:r>
        <w:rPr>
          <w:color w:val="231F20"/>
        </w:rPr>
        <w:t>abuse,</w:t>
      </w:r>
      <w:r>
        <w:rPr>
          <w:color w:val="231F20"/>
          <w:spacing w:val="17"/>
        </w:rPr>
        <w:t xml:space="preserve"> </w:t>
      </w:r>
      <w:r>
        <w:rPr>
          <w:color w:val="231F20"/>
        </w:rPr>
        <w:t>indoctrination,</w:t>
      </w:r>
      <w:r>
        <w:rPr>
          <w:color w:val="231F20"/>
          <w:spacing w:val="17"/>
        </w:rPr>
        <w:t xml:space="preserve"> </w:t>
      </w:r>
      <w:r>
        <w:rPr>
          <w:color w:val="231F20"/>
        </w:rPr>
        <w:t>and</w:t>
      </w:r>
      <w:r>
        <w:rPr>
          <w:color w:val="231F20"/>
          <w:spacing w:val="17"/>
        </w:rPr>
        <w:t xml:space="preserve"> </w:t>
      </w:r>
      <w:r>
        <w:rPr>
          <w:color w:val="231F20"/>
        </w:rPr>
        <w:t>housing</w:t>
      </w:r>
      <w:r>
        <w:rPr>
          <w:color w:val="231F20"/>
          <w:spacing w:val="17"/>
        </w:rPr>
        <w:t xml:space="preserve"> </w:t>
      </w:r>
      <w:r>
        <w:rPr>
          <w:color w:val="231F20"/>
        </w:rPr>
        <w:t>shortages.</w:t>
      </w:r>
      <w:r>
        <w:rPr>
          <w:color w:val="231F20"/>
          <w:spacing w:val="17"/>
        </w:rPr>
        <w:t xml:space="preserve"> </w:t>
      </w:r>
      <w:r>
        <w:rPr>
          <w:color w:val="231F20"/>
        </w:rPr>
        <w:t>That</w:t>
      </w:r>
      <w:r>
        <w:rPr>
          <w:color w:val="231F20"/>
          <w:spacing w:val="17"/>
        </w:rPr>
        <w:t xml:space="preserve"> </w:t>
      </w:r>
      <w:r>
        <w:rPr>
          <w:color w:val="231F20"/>
        </w:rPr>
        <w:t>is</w:t>
      </w:r>
      <w:r w:rsidR="00601598">
        <w:rPr>
          <w:color w:val="231F20"/>
        </w:rPr>
        <w:t xml:space="preserve"> </w:t>
      </w:r>
      <w:r>
        <w:rPr>
          <w:color w:val="231F20"/>
        </w:rPr>
        <w:t xml:space="preserve">what the imperialist state finds shocking about our actions: that </w:t>
      </w:r>
      <w:r>
        <w:rPr>
          <w:color w:val="231F20"/>
        </w:rPr>
        <w:lastRenderedPageBreak/>
        <w:t xml:space="preserve">the people can understand the  </w:t>
      </w:r>
      <w:r w:rsidR="00C507A5">
        <w:rPr>
          <w:color w:val="231F20"/>
          <w:spacing w:val="5"/>
        </w:rPr>
        <w:t>red army faction</w:t>
      </w:r>
      <w:r>
        <w:rPr>
          <w:color w:val="231F20"/>
          <w:spacing w:val="5"/>
        </w:rPr>
        <w:t xml:space="preserve"> </w:t>
      </w:r>
      <w:r>
        <w:rPr>
          <w:color w:val="231F20"/>
        </w:rPr>
        <w:t xml:space="preserve">for what it is: a practice, a cause born  in a logical and dialectical </w:t>
      </w:r>
      <w:r>
        <w:rPr>
          <w:color w:val="231F20"/>
          <w:spacing w:val="-2"/>
        </w:rPr>
        <w:t xml:space="preserve">way </w:t>
      </w:r>
      <w:r>
        <w:rPr>
          <w:color w:val="231F20"/>
        </w:rPr>
        <w:t xml:space="preserve">from actual relationships. A practice which—insofar as it is the expression of real relationships, insofar as     it expresses the only real possibility for reversing and changing these relationships—gives the people their dignity and makes sense out of struggle, revolution, uprisings, defeats, and past revolts—that is to </w:t>
      </w:r>
      <w:r>
        <w:rPr>
          <w:color w:val="231F20"/>
          <w:spacing w:val="-4"/>
        </w:rPr>
        <w:t xml:space="preserve">say, </w:t>
      </w:r>
      <w:r>
        <w:rPr>
          <w:color w:val="231F20"/>
        </w:rPr>
        <w:t xml:space="preserve">it returns to the people the possibility of being conscious of their own history. Because all history is the history of class struggle,  a  people who has lost a sense of the significance of revolutionary class struggle   is forced to live in a state in which they no longer participate in his tory, in which they are deprived of their sense of self, that is to </w:t>
      </w:r>
      <w:r>
        <w:rPr>
          <w:color w:val="231F20"/>
          <w:spacing w:val="-4"/>
        </w:rPr>
        <w:t xml:space="preserve">say, </w:t>
      </w:r>
      <w:r>
        <w:rPr>
          <w:color w:val="231F20"/>
        </w:rPr>
        <w:t>of their</w:t>
      </w:r>
      <w:r>
        <w:rPr>
          <w:color w:val="231F20"/>
          <w:spacing w:val="10"/>
        </w:rPr>
        <w:t xml:space="preserve"> </w:t>
      </w:r>
      <w:r>
        <w:rPr>
          <w:color w:val="231F20"/>
        </w:rPr>
        <w:t>dignity.</w:t>
      </w:r>
    </w:p>
    <w:p w14:paraId="317B09F8" w14:textId="77777777" w:rsidR="002653E8" w:rsidRDefault="003115E3">
      <w:pPr>
        <w:pStyle w:val="a3"/>
        <w:spacing w:line="220" w:lineRule="exact"/>
        <w:ind w:left="1538"/>
      </w:pPr>
      <w:r>
        <w:rPr>
          <w:color w:val="231F20"/>
        </w:rPr>
        <w:t>The guerilla allows each person to determine where he stands, to</w:t>
      </w:r>
    </w:p>
    <w:p w14:paraId="583A433D" w14:textId="77777777" w:rsidR="002653E8" w:rsidRDefault="003115E3">
      <w:pPr>
        <w:pStyle w:val="a3"/>
        <w:spacing w:before="23" w:line="264" w:lineRule="auto"/>
        <w:ind w:left="1328" w:right="1146"/>
        <w:jc w:val="both"/>
      </w:pPr>
      <w:r>
        <w:rPr>
          <w:color w:val="231F20"/>
        </w:rPr>
        <w:t xml:space="preserve">define, often for the first time, his overall situation and to discover his place within class society, within imperialism: to determine this for himself. Many people think they are on the side of the people, but the moment the people start to confront the police and start to struggle, they cut and run, issue denunciations, put the brakes on, and side with the police. This is a problem that Marx often addressed: that one is not what one believes oneself to be, but what one is in </w:t>
      </w:r>
      <w:r>
        <w:rPr>
          <w:color w:val="231F20"/>
          <w:spacing w:val="-3"/>
        </w:rPr>
        <w:t xml:space="preserve">one’s </w:t>
      </w:r>
      <w:r>
        <w:rPr>
          <w:color w:val="231F20"/>
        </w:rPr>
        <w:t xml:space="preserve">true functions, in </w:t>
      </w:r>
      <w:r>
        <w:rPr>
          <w:color w:val="231F20"/>
          <w:spacing w:val="-3"/>
        </w:rPr>
        <w:t xml:space="preserve">one’s </w:t>
      </w:r>
      <w:r>
        <w:rPr>
          <w:color w:val="231F20"/>
        </w:rPr>
        <w:t xml:space="preserve">role within class society. That is to </w:t>
      </w:r>
      <w:r>
        <w:rPr>
          <w:color w:val="231F20"/>
          <w:spacing w:val="-4"/>
        </w:rPr>
        <w:t xml:space="preserve">say, </w:t>
      </w:r>
      <w:r>
        <w:rPr>
          <w:color w:val="231F20"/>
        </w:rPr>
        <w:t>if one doesn’t decide to act against the system, doesn’t take up arms and fight, then one is on  the system’s side and effectively serves as an instrument for achieving the system’s</w:t>
      </w:r>
      <w:r>
        <w:rPr>
          <w:color w:val="231F20"/>
          <w:spacing w:val="20"/>
        </w:rPr>
        <w:t xml:space="preserve"> </w:t>
      </w:r>
      <w:r>
        <w:rPr>
          <w:color w:val="231F20"/>
        </w:rPr>
        <w:t>goals.</w:t>
      </w:r>
    </w:p>
    <w:p w14:paraId="4E325453" w14:textId="77777777" w:rsidR="002653E8" w:rsidRDefault="003115E3">
      <w:pPr>
        <w:pStyle w:val="a3"/>
        <w:spacing w:line="264" w:lineRule="auto"/>
        <w:ind w:left="1328" w:right="1145" w:firstLine="210"/>
        <w:jc w:val="both"/>
      </w:pPr>
      <w:r>
        <w:rPr>
          <w:color w:val="231F20"/>
        </w:rPr>
        <w:t xml:space="preserve">With psychological warfare, the cops attempt to </w:t>
      </w:r>
      <w:r>
        <w:rPr>
          <w:color w:val="231F20"/>
          <w:spacing w:val="1"/>
        </w:rPr>
        <w:t xml:space="preserve">turn </w:t>
      </w:r>
      <w:r>
        <w:rPr>
          <w:color w:val="231F20"/>
        </w:rPr>
        <w:t xml:space="preserve">the achievements of the guerilla’s actions back against us: the knowledge that it </w:t>
      </w:r>
      <w:r>
        <w:rPr>
          <w:color w:val="231F20"/>
          <w:spacing w:val="-3"/>
        </w:rPr>
        <w:t xml:space="preserve">isn’t </w:t>
      </w:r>
      <w:r>
        <w:rPr>
          <w:color w:val="231F20"/>
        </w:rPr>
        <w:t xml:space="preserve">the people who are dependent on the state, but the state that is dependent on the people—that it </w:t>
      </w:r>
      <w:r>
        <w:rPr>
          <w:color w:val="231F20"/>
          <w:spacing w:val="-3"/>
        </w:rPr>
        <w:t xml:space="preserve">isn’t </w:t>
      </w:r>
      <w:r>
        <w:rPr>
          <w:color w:val="231F20"/>
        </w:rPr>
        <w:t xml:space="preserve">the people who need the investment firms or the multinationals and their factories, but it is the capitalist pigs who need the people—that the goal of the police </w:t>
      </w:r>
      <w:r>
        <w:rPr>
          <w:color w:val="231F20"/>
          <w:spacing w:val="-3"/>
        </w:rPr>
        <w:t xml:space="preserve">isn’t </w:t>
      </w:r>
      <w:r>
        <w:rPr>
          <w:color w:val="231F20"/>
        </w:rPr>
        <w:t xml:space="preserve">to protect the people from criminals, but to protect the imperialist order  of exploitation from the people—that the people </w:t>
      </w:r>
      <w:r>
        <w:rPr>
          <w:color w:val="231F20"/>
          <w:spacing w:val="-3"/>
        </w:rPr>
        <w:t xml:space="preserve">don’t </w:t>
      </w:r>
      <w:r>
        <w:rPr>
          <w:color w:val="231F20"/>
        </w:rPr>
        <w:t xml:space="preserve">need the justice system, but the justice system needs the people—that we </w:t>
      </w:r>
      <w:r>
        <w:rPr>
          <w:color w:val="231F20"/>
          <w:spacing w:val="-3"/>
        </w:rPr>
        <w:t xml:space="preserve">don’t  </w:t>
      </w:r>
      <w:r>
        <w:rPr>
          <w:color w:val="231F20"/>
        </w:rPr>
        <w:t xml:space="preserve">need  the American troops and installations here, but that </w:t>
      </w:r>
      <w:r>
        <w:rPr>
          <w:color w:val="231F20"/>
          <w:spacing w:val="1"/>
        </w:rPr>
        <w:t xml:space="preserve">U.S. </w:t>
      </w:r>
      <w:r>
        <w:rPr>
          <w:color w:val="231F20"/>
        </w:rPr>
        <w:t>imperialism needs us. Through personalization and psychological rationalization, they project the clichés of capitalist anthropology onto us. They project the reality of their own facade, of their judges, of their prosecutors,        of their screws, and of their fascists, pigs who take pleasure in their alienation,</w:t>
      </w:r>
      <w:r>
        <w:rPr>
          <w:color w:val="231F20"/>
          <w:spacing w:val="11"/>
        </w:rPr>
        <w:t xml:space="preserve"> </w:t>
      </w:r>
      <w:r>
        <w:rPr>
          <w:color w:val="231F20"/>
        </w:rPr>
        <w:t>who</w:t>
      </w:r>
      <w:r>
        <w:rPr>
          <w:color w:val="231F20"/>
          <w:spacing w:val="11"/>
        </w:rPr>
        <w:t xml:space="preserve"> </w:t>
      </w:r>
      <w:r>
        <w:rPr>
          <w:color w:val="231F20"/>
        </w:rPr>
        <w:t>only</w:t>
      </w:r>
      <w:r>
        <w:rPr>
          <w:color w:val="231F20"/>
          <w:spacing w:val="11"/>
        </w:rPr>
        <w:t xml:space="preserve"> </w:t>
      </w:r>
      <w:r>
        <w:rPr>
          <w:color w:val="231F20"/>
        </w:rPr>
        <w:t>live</w:t>
      </w:r>
      <w:r>
        <w:rPr>
          <w:color w:val="231F20"/>
          <w:spacing w:val="11"/>
        </w:rPr>
        <w:t xml:space="preserve"> </w:t>
      </w:r>
      <w:r>
        <w:rPr>
          <w:color w:val="231F20"/>
        </w:rPr>
        <w:t>by</w:t>
      </w:r>
      <w:r>
        <w:rPr>
          <w:color w:val="231F20"/>
          <w:spacing w:val="11"/>
        </w:rPr>
        <w:t xml:space="preserve"> </w:t>
      </w:r>
      <w:r>
        <w:rPr>
          <w:color w:val="231F20"/>
        </w:rPr>
        <w:t>torturing,</w:t>
      </w:r>
      <w:r>
        <w:rPr>
          <w:color w:val="231F20"/>
          <w:spacing w:val="11"/>
        </w:rPr>
        <w:t xml:space="preserve"> </w:t>
      </w:r>
      <w:r>
        <w:rPr>
          <w:color w:val="231F20"/>
        </w:rPr>
        <w:t>by</w:t>
      </w:r>
      <w:r>
        <w:rPr>
          <w:color w:val="231F20"/>
          <w:spacing w:val="11"/>
        </w:rPr>
        <w:t xml:space="preserve"> </w:t>
      </w:r>
      <w:r>
        <w:rPr>
          <w:color w:val="231F20"/>
        </w:rPr>
        <w:t>oppressing,</w:t>
      </w:r>
      <w:r>
        <w:rPr>
          <w:color w:val="231F20"/>
          <w:spacing w:val="11"/>
        </w:rPr>
        <w:t xml:space="preserve"> </w:t>
      </w:r>
      <w:r>
        <w:rPr>
          <w:color w:val="231F20"/>
        </w:rPr>
        <w:t>and</w:t>
      </w:r>
      <w:r>
        <w:rPr>
          <w:color w:val="231F20"/>
          <w:spacing w:val="11"/>
        </w:rPr>
        <w:t xml:space="preserve"> </w:t>
      </w:r>
      <w:r>
        <w:rPr>
          <w:color w:val="231F20"/>
        </w:rPr>
        <w:t>by</w:t>
      </w:r>
      <w:r>
        <w:rPr>
          <w:color w:val="231F20"/>
          <w:spacing w:val="11"/>
        </w:rPr>
        <w:t xml:space="preserve"> </w:t>
      </w:r>
      <w:r>
        <w:rPr>
          <w:color w:val="231F20"/>
        </w:rPr>
        <w:t>exploiting</w:t>
      </w:r>
    </w:p>
    <w:p w14:paraId="7BD9D3D5" w14:textId="77777777" w:rsidR="002653E8" w:rsidRDefault="002653E8">
      <w:pPr>
        <w:spacing w:line="264" w:lineRule="auto"/>
        <w:jc w:val="both"/>
        <w:sectPr w:rsidR="002653E8">
          <w:pgSz w:w="8640" w:h="12960"/>
          <w:pgMar w:top="1060" w:right="0" w:bottom="1040" w:left="0" w:header="0" w:footer="850" w:gutter="0"/>
          <w:cols w:space="720"/>
        </w:sectPr>
      </w:pPr>
    </w:p>
    <w:p w14:paraId="6EA090DB" w14:textId="77777777" w:rsidR="002653E8" w:rsidRDefault="003115E3">
      <w:pPr>
        <w:pStyle w:val="a3"/>
        <w:spacing w:before="86" w:line="264" w:lineRule="auto"/>
        <w:ind w:left="1147" w:right="1326"/>
        <w:jc w:val="both"/>
      </w:pPr>
      <w:r>
        <w:rPr>
          <w:color w:val="231F20"/>
        </w:rPr>
        <w:lastRenderedPageBreak/>
        <w:t>others, pigs for whom the whole point of their existence is their career, success, elbowing their way to the top, and taking advantage of others, pigs who take pleasure from the hunger, the misery, and the deprivation of millions of human beings in the Third World and here.</w:t>
      </w:r>
    </w:p>
    <w:p w14:paraId="20E212C7" w14:textId="77777777" w:rsidR="002653E8" w:rsidRDefault="003115E3">
      <w:pPr>
        <w:pStyle w:val="a3"/>
        <w:spacing w:line="264" w:lineRule="auto"/>
        <w:ind w:left="1147" w:right="1326" w:firstLine="210"/>
        <w:jc w:val="both"/>
      </w:pPr>
      <w:r>
        <w:rPr>
          <w:color w:val="231F20"/>
        </w:rPr>
        <w:t xml:space="preserve">What the ruling class hates about us is that despite a hundred years  of repression, of fascism, of anticommunism, of imperialist wars, and    of genocides, the revolution once again raises its head. </w:t>
      </w:r>
      <w:r>
        <w:rPr>
          <w:color w:val="231F20"/>
          <w:spacing w:val="1"/>
        </w:rPr>
        <w:t xml:space="preserve">In </w:t>
      </w:r>
      <w:r>
        <w:rPr>
          <w:color w:val="231F20"/>
        </w:rPr>
        <w:t xml:space="preserve">carrying out psychological warfare, the bourgeoisie, with its police state, sees in us everything that they hate and fear about the people, and this is especially so in the case of Andreas. It is he who is the mob, the street, the </w:t>
      </w:r>
      <w:r>
        <w:rPr>
          <w:color w:val="231F20"/>
          <w:spacing w:val="-3"/>
        </w:rPr>
        <w:t xml:space="preserve">enemy. </w:t>
      </w:r>
      <w:r>
        <w:rPr>
          <w:color w:val="231F20"/>
        </w:rPr>
        <w:t>They see in us that which menaces them and will overthrow them: the determination to provoke the revolution, revolutionary violence, and political and military action. At the same time they see their own powerlessness, for their power ends at the point when the people take</w:t>
      </w:r>
      <w:r>
        <w:rPr>
          <w:color w:val="231F20"/>
          <w:spacing w:val="10"/>
        </w:rPr>
        <w:t xml:space="preserve"> </w:t>
      </w:r>
      <w:r>
        <w:rPr>
          <w:color w:val="231F20"/>
        </w:rPr>
        <w:t>up</w:t>
      </w:r>
      <w:r>
        <w:rPr>
          <w:color w:val="231F20"/>
          <w:spacing w:val="10"/>
        </w:rPr>
        <w:t xml:space="preserve"> </w:t>
      </w:r>
      <w:r>
        <w:rPr>
          <w:color w:val="231F20"/>
        </w:rPr>
        <w:t>arms</w:t>
      </w:r>
      <w:r>
        <w:rPr>
          <w:color w:val="231F20"/>
          <w:spacing w:val="10"/>
        </w:rPr>
        <w:t xml:space="preserve"> </w:t>
      </w:r>
      <w:r>
        <w:rPr>
          <w:color w:val="231F20"/>
        </w:rPr>
        <w:t>and</w:t>
      </w:r>
      <w:r>
        <w:rPr>
          <w:color w:val="231F20"/>
          <w:spacing w:val="10"/>
        </w:rPr>
        <w:t xml:space="preserve"> </w:t>
      </w:r>
      <w:r>
        <w:rPr>
          <w:color w:val="231F20"/>
        </w:rPr>
        <w:t>begin</w:t>
      </w:r>
      <w:r>
        <w:rPr>
          <w:color w:val="231F20"/>
          <w:spacing w:val="10"/>
        </w:rPr>
        <w:t xml:space="preserve"> </w:t>
      </w:r>
      <w:r>
        <w:rPr>
          <w:color w:val="231F20"/>
        </w:rPr>
        <w:t>to</w:t>
      </w:r>
      <w:r>
        <w:rPr>
          <w:color w:val="231F20"/>
          <w:spacing w:val="10"/>
        </w:rPr>
        <w:t xml:space="preserve"> </w:t>
      </w:r>
      <w:r>
        <w:rPr>
          <w:color w:val="231F20"/>
        </w:rPr>
        <w:t>struggle.</w:t>
      </w:r>
    </w:p>
    <w:p w14:paraId="1BF72174" w14:textId="77777777" w:rsidR="002653E8" w:rsidRDefault="003115E3">
      <w:pPr>
        <w:pStyle w:val="a3"/>
        <w:spacing w:line="264" w:lineRule="auto"/>
        <w:ind w:left="1147" w:right="1326" w:firstLine="210"/>
        <w:jc w:val="both"/>
      </w:pPr>
      <w:r>
        <w:rPr>
          <w:color w:val="231F20"/>
        </w:rPr>
        <w:t xml:space="preserve">The system is exposing itself, not  us,  in  its  defamation  campaign. </w:t>
      </w:r>
      <w:r>
        <w:rPr>
          <w:color w:val="231F20"/>
          <w:spacing w:val="1"/>
        </w:rPr>
        <w:t xml:space="preserve">All </w:t>
      </w:r>
      <w:r>
        <w:rPr>
          <w:color w:val="231F20"/>
        </w:rPr>
        <w:t xml:space="preserve">defamation campaigns against the guerilla reveal something about those who </w:t>
      </w:r>
      <w:r>
        <w:rPr>
          <w:color w:val="231F20"/>
          <w:spacing w:val="1"/>
        </w:rPr>
        <w:t xml:space="preserve">carry </w:t>
      </w:r>
      <w:r>
        <w:rPr>
          <w:color w:val="231F20"/>
        </w:rPr>
        <w:t>them out, about their piggishness, about their goals, their ambitions, and their fears.</w:t>
      </w:r>
    </w:p>
    <w:p w14:paraId="72CB2BB7" w14:textId="77777777" w:rsidR="002653E8" w:rsidRDefault="003115E3">
      <w:pPr>
        <w:pStyle w:val="a3"/>
        <w:spacing w:line="264" w:lineRule="auto"/>
        <w:ind w:left="1147" w:right="1326" w:firstLine="210"/>
        <w:jc w:val="both"/>
      </w:pPr>
      <w:r>
        <w:rPr>
          <w:color w:val="231F20"/>
        </w:rPr>
        <w:t xml:space="preserve">And to say we are </w:t>
      </w:r>
      <w:r>
        <w:rPr>
          <w:color w:val="231F20"/>
          <w:spacing w:val="-4"/>
        </w:rPr>
        <w:t xml:space="preserve">“a </w:t>
      </w:r>
      <w:r>
        <w:rPr>
          <w:color w:val="231F20"/>
        </w:rPr>
        <w:t xml:space="preserve">vanguard that designates itself as such” makes no sense. </w:t>
      </w:r>
      <w:r>
        <w:rPr>
          <w:color w:val="231F20"/>
          <w:spacing w:val="-8"/>
        </w:rPr>
        <w:t xml:space="preserve">To </w:t>
      </w:r>
      <w:r>
        <w:rPr>
          <w:color w:val="231F20"/>
        </w:rPr>
        <w:t xml:space="preserve">be the vanguard is a role that we cannot assign ourselves, nor is it one that we can demand. It is a role that the people give to the guerilla in their own consciousness, in the process of developing their consciousness, of rediscovering their role in history as they recognize themselves in the guerilla’s actions, because </w:t>
      </w:r>
      <w:r>
        <w:rPr>
          <w:color w:val="231F20"/>
          <w:spacing w:val="-3"/>
        </w:rPr>
        <w:t xml:space="preserve">they, </w:t>
      </w:r>
      <w:r>
        <w:rPr>
          <w:color w:val="231F20"/>
        </w:rPr>
        <w:t>“in themselves,” recognize the necessity to destroy the system “for themselves” through guerilla actions. The idea of a “vanguard that designates itself as such” reflects ideas of prestige that belong to a ruling class that seeks to dominate. But that has nothing to do with the role of the proletariat, a role that is based on the absence of property, on emancipation, on dialectical</w:t>
      </w:r>
      <w:r>
        <w:rPr>
          <w:color w:val="231F20"/>
          <w:spacing w:val="11"/>
        </w:rPr>
        <w:t xml:space="preserve"> </w:t>
      </w:r>
      <w:r>
        <w:rPr>
          <w:color w:val="231F20"/>
        </w:rPr>
        <w:t>materialism,</w:t>
      </w:r>
      <w:r>
        <w:rPr>
          <w:color w:val="231F20"/>
          <w:spacing w:val="11"/>
        </w:rPr>
        <w:t xml:space="preserve"> </w:t>
      </w:r>
      <w:r>
        <w:rPr>
          <w:color w:val="231F20"/>
        </w:rPr>
        <w:t>and</w:t>
      </w:r>
      <w:r>
        <w:rPr>
          <w:color w:val="231F20"/>
          <w:spacing w:val="11"/>
        </w:rPr>
        <w:t xml:space="preserve"> </w:t>
      </w:r>
      <w:r>
        <w:rPr>
          <w:color w:val="231F20"/>
        </w:rPr>
        <w:t>on</w:t>
      </w:r>
      <w:r>
        <w:rPr>
          <w:color w:val="231F20"/>
          <w:spacing w:val="11"/>
        </w:rPr>
        <w:t xml:space="preserve"> </w:t>
      </w:r>
      <w:r>
        <w:rPr>
          <w:color w:val="231F20"/>
        </w:rPr>
        <w:t>the</w:t>
      </w:r>
      <w:r>
        <w:rPr>
          <w:color w:val="231F20"/>
          <w:spacing w:val="11"/>
        </w:rPr>
        <w:t xml:space="preserve"> </w:t>
      </w:r>
      <w:r>
        <w:rPr>
          <w:color w:val="231F20"/>
        </w:rPr>
        <w:t>struggle</w:t>
      </w:r>
      <w:r>
        <w:rPr>
          <w:color w:val="231F20"/>
          <w:spacing w:val="11"/>
        </w:rPr>
        <w:t xml:space="preserve"> </w:t>
      </w:r>
      <w:r>
        <w:rPr>
          <w:color w:val="231F20"/>
        </w:rPr>
        <w:t>against</w:t>
      </w:r>
      <w:r>
        <w:rPr>
          <w:color w:val="231F20"/>
          <w:spacing w:val="11"/>
        </w:rPr>
        <w:t xml:space="preserve"> </w:t>
      </w:r>
      <w:r>
        <w:rPr>
          <w:color w:val="231F20"/>
        </w:rPr>
        <w:t>imperialism.</w:t>
      </w:r>
    </w:p>
    <w:p w14:paraId="7758FDBE" w14:textId="77777777" w:rsidR="002653E8" w:rsidRDefault="002653E8">
      <w:pPr>
        <w:pStyle w:val="a3"/>
        <w:spacing w:before="5"/>
        <w:rPr>
          <w:sz w:val="17"/>
        </w:rPr>
      </w:pPr>
    </w:p>
    <w:p w14:paraId="2C0B6261" w14:textId="77777777" w:rsidR="002653E8" w:rsidRDefault="003115E3">
      <w:pPr>
        <w:spacing w:line="257" w:lineRule="exact"/>
        <w:ind w:left="1147"/>
      </w:pPr>
      <w:r>
        <w:rPr>
          <w:color w:val="231F20"/>
          <w:w w:val="125"/>
        </w:rPr>
        <w:t>the dialectic</w:t>
      </w:r>
    </w:p>
    <w:p w14:paraId="4BC9DC8F" w14:textId="77777777" w:rsidR="002653E8" w:rsidRDefault="003115E3">
      <w:pPr>
        <w:spacing w:line="257" w:lineRule="exact"/>
        <w:ind w:left="1147"/>
      </w:pPr>
      <w:r>
        <w:rPr>
          <w:color w:val="231F20"/>
          <w:w w:val="130"/>
        </w:rPr>
        <w:t>of revolution and counterrevolution</w:t>
      </w:r>
    </w:p>
    <w:p w14:paraId="1A1F3211" w14:textId="77777777" w:rsidR="002653E8" w:rsidRDefault="003115E3">
      <w:pPr>
        <w:pStyle w:val="a3"/>
        <w:spacing w:before="19" w:line="264" w:lineRule="auto"/>
        <w:ind w:left="1147" w:right="1326"/>
        <w:jc w:val="both"/>
      </w:pPr>
      <w:r>
        <w:rPr>
          <w:color w:val="231F20"/>
        </w:rPr>
        <w:t>That is the dialectic of the anti-imperialist struggle. The enemy unmasks itself by its defensive maneuvers, by the system’s reaction, by the counterrevolutionary escalation, by the transformation of the political state of emergency into a military state of emergency. This is how it shows its true face—and by its terrorism it provokes the masses to rise up against it, reinforcing the contradictions and making revolution inevitable.</w:t>
      </w:r>
    </w:p>
    <w:p w14:paraId="39D08108" w14:textId="77777777" w:rsidR="002653E8" w:rsidRDefault="002653E8">
      <w:pPr>
        <w:spacing w:line="264" w:lineRule="auto"/>
        <w:jc w:val="both"/>
        <w:sectPr w:rsidR="002653E8">
          <w:pgSz w:w="8640" w:h="12960"/>
          <w:pgMar w:top="1060" w:right="0" w:bottom="1040" w:left="0" w:header="0" w:footer="850" w:gutter="0"/>
          <w:cols w:space="720"/>
        </w:sectPr>
      </w:pPr>
    </w:p>
    <w:p w14:paraId="0EF2D4FE" w14:textId="77777777" w:rsidR="002653E8" w:rsidRDefault="003115E3">
      <w:pPr>
        <w:pStyle w:val="a3"/>
        <w:spacing w:before="86"/>
        <w:ind w:left="1537"/>
      </w:pPr>
      <w:r>
        <w:rPr>
          <w:color w:val="231F20"/>
        </w:rPr>
        <w:lastRenderedPageBreak/>
        <w:t>As Marighella said:</w:t>
      </w:r>
    </w:p>
    <w:p w14:paraId="14E1D9E3" w14:textId="77777777" w:rsidR="002653E8" w:rsidRDefault="003115E3">
      <w:pPr>
        <w:spacing w:before="152" w:line="276" w:lineRule="auto"/>
        <w:ind w:left="1747" w:right="1565"/>
        <w:jc w:val="both"/>
        <w:rPr>
          <w:i/>
          <w:sz w:val="19"/>
        </w:rPr>
      </w:pPr>
      <w:r>
        <w:rPr>
          <w:i/>
          <w:color w:val="231F20"/>
          <w:sz w:val="19"/>
        </w:rPr>
        <w:t xml:space="preserve">The basic principle of revolutionary strategy in conditions of permanent political crisis is to develop, in the city as well as in     the countryside, such a breadth of revolutionary activity that the enemy finds himself obliged to transform the political situation in the country into a military situation. In this </w:t>
      </w:r>
      <w:r>
        <w:rPr>
          <w:i/>
          <w:color w:val="231F20"/>
          <w:spacing w:val="-3"/>
          <w:sz w:val="19"/>
        </w:rPr>
        <w:t xml:space="preserve">way </w:t>
      </w:r>
      <w:r>
        <w:rPr>
          <w:i/>
          <w:color w:val="231F20"/>
          <w:sz w:val="19"/>
        </w:rPr>
        <w:t>dissatisfaction spreads to all layers of the population, with the military alone responsible for all of the</w:t>
      </w:r>
      <w:r>
        <w:rPr>
          <w:i/>
          <w:color w:val="231F20"/>
          <w:spacing w:val="12"/>
          <w:sz w:val="19"/>
        </w:rPr>
        <w:t xml:space="preserve"> </w:t>
      </w:r>
      <w:r>
        <w:rPr>
          <w:i/>
          <w:color w:val="231F20"/>
          <w:sz w:val="19"/>
        </w:rPr>
        <w:t>hatred.</w:t>
      </w:r>
    </w:p>
    <w:p w14:paraId="37708320" w14:textId="77777777" w:rsidR="002653E8" w:rsidRDefault="003115E3">
      <w:pPr>
        <w:pStyle w:val="a3"/>
        <w:spacing w:before="132"/>
        <w:ind w:left="1327"/>
      </w:pPr>
      <w:r>
        <w:rPr>
          <w:color w:val="231F20"/>
          <w:w w:val="105"/>
        </w:rPr>
        <w:t>And as a Persian comrade, A.P. Puyan,</w:t>
      </w:r>
      <w:r>
        <w:rPr>
          <w:color w:val="231F20"/>
          <w:w w:val="105"/>
          <w:position w:val="7"/>
          <w:sz w:val="11"/>
        </w:rPr>
        <w:t xml:space="preserve">1 </w:t>
      </w:r>
      <w:r>
        <w:rPr>
          <w:color w:val="231F20"/>
          <w:w w:val="105"/>
        </w:rPr>
        <w:t>said:</w:t>
      </w:r>
    </w:p>
    <w:p w14:paraId="72633C29" w14:textId="77777777" w:rsidR="002653E8" w:rsidRDefault="003115E3">
      <w:pPr>
        <w:spacing w:before="151" w:line="276" w:lineRule="auto"/>
        <w:ind w:left="1747" w:right="1565"/>
        <w:jc w:val="both"/>
        <w:rPr>
          <w:i/>
          <w:sz w:val="19"/>
        </w:rPr>
      </w:pPr>
      <w:r>
        <w:rPr>
          <w:i/>
          <w:color w:val="231F20"/>
          <w:sz w:val="19"/>
        </w:rPr>
        <w:t xml:space="preserve">By extending the violence against the resistance fighters, creating an unanticipated reaction, the repression inevitably hits all other oppressed milieus and classes in an even more massive </w:t>
      </w:r>
      <w:r>
        <w:rPr>
          <w:i/>
          <w:color w:val="231F20"/>
          <w:spacing w:val="-7"/>
          <w:sz w:val="19"/>
        </w:rPr>
        <w:t xml:space="preserve">way. </w:t>
      </w:r>
      <w:r>
        <w:rPr>
          <w:i/>
          <w:color w:val="231F20"/>
          <w:sz w:val="19"/>
        </w:rPr>
        <w:t>As a result, the ruling class augments the contradictions between the oppressed classes and  itself  and  creates  a  climate  which  leads  of necessity to a great leap forward in the consciousness of</w:t>
      </w:r>
      <w:r>
        <w:rPr>
          <w:i/>
          <w:color w:val="231F20"/>
          <w:spacing w:val="10"/>
          <w:sz w:val="19"/>
        </w:rPr>
        <w:t xml:space="preserve"> </w:t>
      </w:r>
      <w:r>
        <w:rPr>
          <w:i/>
          <w:color w:val="231F20"/>
          <w:sz w:val="19"/>
        </w:rPr>
        <w:t>the masses.</w:t>
      </w:r>
    </w:p>
    <w:p w14:paraId="6407F36B" w14:textId="77777777" w:rsidR="002653E8" w:rsidRDefault="003115E3">
      <w:pPr>
        <w:pStyle w:val="a3"/>
        <w:spacing w:before="133"/>
        <w:ind w:left="1327"/>
      </w:pPr>
      <w:r>
        <w:rPr>
          <w:color w:val="231F20"/>
          <w:w w:val="105"/>
        </w:rPr>
        <w:t>And Marx said:</w:t>
      </w:r>
    </w:p>
    <w:p w14:paraId="201239E6" w14:textId="77777777" w:rsidR="002653E8" w:rsidRDefault="003115E3">
      <w:pPr>
        <w:spacing w:before="151" w:line="276" w:lineRule="auto"/>
        <w:ind w:left="1747" w:right="1566"/>
        <w:jc w:val="both"/>
        <w:rPr>
          <w:i/>
          <w:sz w:val="11"/>
        </w:rPr>
      </w:pPr>
      <w:r>
        <w:rPr>
          <w:i/>
          <w:color w:val="231F20"/>
          <w:w w:val="105"/>
          <w:sz w:val="19"/>
        </w:rPr>
        <w:t>Revolutionary progress is proceeding in the right direction</w:t>
      </w:r>
      <w:r>
        <w:rPr>
          <w:i/>
          <w:color w:val="231F20"/>
          <w:spacing w:val="-14"/>
          <w:w w:val="105"/>
          <w:sz w:val="19"/>
        </w:rPr>
        <w:t xml:space="preserve"> </w:t>
      </w:r>
      <w:r>
        <w:rPr>
          <w:i/>
          <w:color w:val="231F20"/>
          <w:w w:val="105"/>
          <w:sz w:val="19"/>
        </w:rPr>
        <w:t>when it</w:t>
      </w:r>
      <w:r>
        <w:rPr>
          <w:i/>
          <w:color w:val="231F20"/>
          <w:spacing w:val="-15"/>
          <w:w w:val="105"/>
          <w:sz w:val="19"/>
        </w:rPr>
        <w:t xml:space="preserve"> </w:t>
      </w:r>
      <w:r>
        <w:rPr>
          <w:i/>
          <w:color w:val="231F20"/>
          <w:w w:val="105"/>
          <w:sz w:val="19"/>
        </w:rPr>
        <w:t>provokes</w:t>
      </w:r>
      <w:r>
        <w:rPr>
          <w:i/>
          <w:color w:val="231F20"/>
          <w:spacing w:val="-15"/>
          <w:w w:val="105"/>
          <w:sz w:val="19"/>
        </w:rPr>
        <w:t xml:space="preserve"> </w:t>
      </w:r>
      <w:r>
        <w:rPr>
          <w:i/>
          <w:color w:val="231F20"/>
          <w:w w:val="105"/>
          <w:sz w:val="19"/>
        </w:rPr>
        <w:t>a</w:t>
      </w:r>
      <w:r>
        <w:rPr>
          <w:i/>
          <w:color w:val="231F20"/>
          <w:spacing w:val="-15"/>
          <w:w w:val="105"/>
          <w:sz w:val="19"/>
        </w:rPr>
        <w:t xml:space="preserve"> </w:t>
      </w:r>
      <w:r>
        <w:rPr>
          <w:i/>
          <w:color w:val="231F20"/>
          <w:w w:val="105"/>
          <w:sz w:val="19"/>
        </w:rPr>
        <w:t>powerful,</w:t>
      </w:r>
      <w:r>
        <w:rPr>
          <w:i/>
          <w:color w:val="231F20"/>
          <w:spacing w:val="-20"/>
          <w:w w:val="105"/>
          <w:sz w:val="19"/>
        </w:rPr>
        <w:t xml:space="preserve"> </w:t>
      </w:r>
      <w:r>
        <w:rPr>
          <w:i/>
          <w:color w:val="231F20"/>
          <w:w w:val="105"/>
          <w:sz w:val="19"/>
        </w:rPr>
        <w:t>unified</w:t>
      </w:r>
      <w:r>
        <w:rPr>
          <w:i/>
          <w:color w:val="231F20"/>
          <w:spacing w:val="-15"/>
          <w:w w:val="105"/>
          <w:sz w:val="19"/>
        </w:rPr>
        <w:t xml:space="preserve"> </w:t>
      </w:r>
      <w:r>
        <w:rPr>
          <w:i/>
          <w:color w:val="231F20"/>
          <w:w w:val="105"/>
          <w:sz w:val="19"/>
        </w:rPr>
        <w:t>counterrevolution,</w:t>
      </w:r>
      <w:r>
        <w:rPr>
          <w:i/>
          <w:color w:val="231F20"/>
          <w:spacing w:val="-20"/>
          <w:w w:val="105"/>
          <w:sz w:val="19"/>
        </w:rPr>
        <w:t xml:space="preserve"> </w:t>
      </w:r>
      <w:r>
        <w:rPr>
          <w:i/>
          <w:color w:val="231F20"/>
          <w:w w:val="105"/>
          <w:sz w:val="19"/>
        </w:rPr>
        <w:t>which</w:t>
      </w:r>
      <w:r>
        <w:rPr>
          <w:i/>
          <w:color w:val="231F20"/>
          <w:spacing w:val="-15"/>
          <w:w w:val="105"/>
          <w:sz w:val="19"/>
        </w:rPr>
        <w:t xml:space="preserve"> </w:t>
      </w:r>
      <w:r>
        <w:rPr>
          <w:i/>
          <w:color w:val="231F20"/>
          <w:w w:val="105"/>
          <w:sz w:val="19"/>
        </w:rPr>
        <w:t>backfires by developing an adversary that cannot lead the party of the insurrection against the counterrevolution except by becoming</w:t>
      </w:r>
      <w:r>
        <w:rPr>
          <w:i/>
          <w:color w:val="231F20"/>
          <w:spacing w:val="-24"/>
          <w:w w:val="105"/>
          <w:sz w:val="19"/>
        </w:rPr>
        <w:t xml:space="preserve"> </w:t>
      </w:r>
      <w:r>
        <w:rPr>
          <w:i/>
          <w:color w:val="231F20"/>
          <w:w w:val="105"/>
          <w:sz w:val="19"/>
        </w:rPr>
        <w:t>a truly revolutionary</w:t>
      </w:r>
      <w:r>
        <w:rPr>
          <w:i/>
          <w:color w:val="231F20"/>
          <w:spacing w:val="13"/>
          <w:w w:val="105"/>
          <w:sz w:val="19"/>
        </w:rPr>
        <w:t xml:space="preserve"> </w:t>
      </w:r>
      <w:r>
        <w:rPr>
          <w:i/>
          <w:color w:val="231F20"/>
          <w:spacing w:val="-3"/>
          <w:w w:val="105"/>
          <w:sz w:val="19"/>
        </w:rPr>
        <w:t>party.</w:t>
      </w:r>
      <w:r>
        <w:rPr>
          <w:i/>
          <w:color w:val="231F20"/>
          <w:spacing w:val="-3"/>
          <w:w w:val="105"/>
          <w:position w:val="6"/>
          <w:sz w:val="11"/>
        </w:rPr>
        <w:t>2</w:t>
      </w:r>
    </w:p>
    <w:p w14:paraId="7643E0DA" w14:textId="77777777" w:rsidR="002653E8" w:rsidRDefault="003115E3">
      <w:pPr>
        <w:pStyle w:val="a3"/>
        <w:spacing w:before="132" w:line="264" w:lineRule="auto"/>
        <w:ind w:left="1328" w:right="1145" w:hanging="1"/>
        <w:jc w:val="both"/>
      </w:pPr>
      <w:r>
        <w:rPr>
          <w:color w:val="231F20"/>
          <w:spacing w:val="1"/>
        </w:rPr>
        <w:t xml:space="preserve">In </w:t>
      </w:r>
      <w:r>
        <w:rPr>
          <w:color w:val="231F20"/>
          <w:spacing w:val="-3"/>
        </w:rPr>
        <w:t xml:space="preserve">1972, </w:t>
      </w:r>
      <w:r>
        <w:rPr>
          <w:color w:val="231F20"/>
        </w:rPr>
        <w:t xml:space="preserve">the cops mobilized </w:t>
      </w:r>
      <w:r>
        <w:rPr>
          <w:color w:val="231F20"/>
          <w:spacing w:val="-3"/>
        </w:rPr>
        <w:t xml:space="preserve">150,000 </w:t>
      </w:r>
      <w:r>
        <w:rPr>
          <w:color w:val="231F20"/>
        </w:rPr>
        <w:t xml:space="preserve">men to hunt the </w:t>
      </w:r>
      <w:r w:rsidR="00C507A5">
        <w:rPr>
          <w:color w:val="231F20"/>
        </w:rPr>
        <w:t>red army faction</w:t>
      </w:r>
      <w:r>
        <w:rPr>
          <w:color w:val="231F20"/>
        </w:rPr>
        <w:t>, using television</w:t>
      </w:r>
      <w:r>
        <w:rPr>
          <w:color w:val="231F20"/>
          <w:spacing w:val="-4"/>
        </w:rPr>
        <w:t xml:space="preserve"> </w:t>
      </w:r>
      <w:r>
        <w:rPr>
          <w:color w:val="231F20"/>
        </w:rPr>
        <w:t>to</w:t>
      </w:r>
      <w:r>
        <w:rPr>
          <w:color w:val="231F20"/>
          <w:spacing w:val="-4"/>
        </w:rPr>
        <w:t xml:space="preserve"> </w:t>
      </w:r>
      <w:r>
        <w:rPr>
          <w:color w:val="231F20"/>
        </w:rPr>
        <w:t>involve</w:t>
      </w:r>
      <w:r>
        <w:rPr>
          <w:color w:val="231F20"/>
          <w:spacing w:val="-4"/>
        </w:rPr>
        <w:t xml:space="preserve"> </w:t>
      </w:r>
      <w:r>
        <w:rPr>
          <w:color w:val="231F20"/>
        </w:rPr>
        <w:t>the</w:t>
      </w:r>
      <w:r>
        <w:rPr>
          <w:color w:val="231F20"/>
          <w:spacing w:val="-4"/>
        </w:rPr>
        <w:t xml:space="preserve"> </w:t>
      </w:r>
      <w:r>
        <w:rPr>
          <w:color w:val="231F20"/>
        </w:rPr>
        <w:t>people</w:t>
      </w:r>
      <w:r>
        <w:rPr>
          <w:color w:val="231F20"/>
          <w:spacing w:val="-4"/>
        </w:rPr>
        <w:t xml:space="preserve"> </w:t>
      </w:r>
      <w:r>
        <w:rPr>
          <w:color w:val="231F20"/>
        </w:rPr>
        <w:t>in</w:t>
      </w:r>
      <w:r>
        <w:rPr>
          <w:color w:val="231F20"/>
          <w:spacing w:val="-4"/>
        </w:rPr>
        <w:t xml:space="preserve"> </w:t>
      </w:r>
      <w:r>
        <w:rPr>
          <w:color w:val="231F20"/>
        </w:rPr>
        <w:t>the</w:t>
      </w:r>
      <w:r>
        <w:rPr>
          <w:color w:val="231F20"/>
          <w:spacing w:val="-4"/>
        </w:rPr>
        <w:t xml:space="preserve"> </w:t>
      </w:r>
      <w:r>
        <w:rPr>
          <w:color w:val="231F20"/>
        </w:rPr>
        <w:t>manhunt,</w:t>
      </w:r>
      <w:r>
        <w:rPr>
          <w:color w:val="231F20"/>
          <w:spacing w:val="-4"/>
        </w:rPr>
        <w:t xml:space="preserve"> </w:t>
      </w:r>
      <w:r>
        <w:rPr>
          <w:color w:val="231F20"/>
        </w:rPr>
        <w:t>having</w:t>
      </w:r>
      <w:r>
        <w:rPr>
          <w:color w:val="231F20"/>
          <w:spacing w:val="-4"/>
        </w:rPr>
        <w:t xml:space="preserve"> </w:t>
      </w:r>
      <w:r>
        <w:rPr>
          <w:color w:val="231F20"/>
        </w:rPr>
        <w:t>the</w:t>
      </w:r>
      <w:r>
        <w:rPr>
          <w:color w:val="231F20"/>
          <w:spacing w:val="-4"/>
        </w:rPr>
        <w:t xml:space="preserve"> </w:t>
      </w:r>
      <w:r>
        <w:rPr>
          <w:color w:val="231F20"/>
        </w:rPr>
        <w:t>Federal</w:t>
      </w:r>
      <w:r>
        <w:rPr>
          <w:color w:val="231F20"/>
          <w:spacing w:val="-4"/>
        </w:rPr>
        <w:t xml:space="preserve"> </w:t>
      </w:r>
      <w:r>
        <w:rPr>
          <w:color w:val="231F20"/>
        </w:rPr>
        <w:t xml:space="preserve">Chancellor intervene, and centralizing all police forces in the hands of the </w:t>
      </w:r>
      <w:r>
        <w:rPr>
          <w:color w:val="231F20"/>
          <w:spacing w:val="2"/>
        </w:rPr>
        <w:t>BKA.</w:t>
      </w:r>
      <w:r>
        <w:rPr>
          <w:color w:val="231F20"/>
          <w:spacing w:val="50"/>
        </w:rPr>
        <w:t xml:space="preserve"> </w:t>
      </w:r>
      <w:r>
        <w:rPr>
          <w:color w:val="231F20"/>
        </w:rPr>
        <w:t>This makes it clear that, already at that point, a numerically insignificant</w:t>
      </w:r>
      <w:r>
        <w:rPr>
          <w:color w:val="231F20"/>
          <w:spacing w:val="16"/>
        </w:rPr>
        <w:t xml:space="preserve"> </w:t>
      </w:r>
      <w:r>
        <w:rPr>
          <w:color w:val="231F20"/>
        </w:rPr>
        <w:t>group</w:t>
      </w:r>
      <w:r>
        <w:rPr>
          <w:color w:val="231F20"/>
          <w:spacing w:val="16"/>
        </w:rPr>
        <w:t xml:space="preserve"> </w:t>
      </w:r>
      <w:r>
        <w:rPr>
          <w:color w:val="231F20"/>
        </w:rPr>
        <w:t>of</w:t>
      </w:r>
      <w:r>
        <w:rPr>
          <w:color w:val="231F20"/>
          <w:spacing w:val="16"/>
        </w:rPr>
        <w:t xml:space="preserve"> </w:t>
      </w:r>
      <w:r>
        <w:rPr>
          <w:color w:val="231F20"/>
        </w:rPr>
        <w:t>revolutionaries</w:t>
      </w:r>
      <w:r>
        <w:rPr>
          <w:color w:val="231F20"/>
          <w:spacing w:val="16"/>
        </w:rPr>
        <w:t xml:space="preserve"> </w:t>
      </w:r>
      <w:r>
        <w:rPr>
          <w:color w:val="231F20"/>
        </w:rPr>
        <w:t>was</w:t>
      </w:r>
      <w:r>
        <w:rPr>
          <w:color w:val="231F20"/>
          <w:spacing w:val="16"/>
        </w:rPr>
        <w:t xml:space="preserve"> </w:t>
      </w:r>
      <w:r>
        <w:rPr>
          <w:color w:val="231F20"/>
        </w:rPr>
        <w:t>all</w:t>
      </w:r>
      <w:r>
        <w:rPr>
          <w:color w:val="231F20"/>
          <w:spacing w:val="16"/>
        </w:rPr>
        <w:t xml:space="preserve"> </w:t>
      </w:r>
      <w:r>
        <w:rPr>
          <w:color w:val="231F20"/>
        </w:rPr>
        <w:t>it</w:t>
      </w:r>
      <w:r>
        <w:rPr>
          <w:color w:val="231F20"/>
          <w:spacing w:val="16"/>
        </w:rPr>
        <w:t xml:space="preserve"> </w:t>
      </w:r>
      <w:r>
        <w:rPr>
          <w:color w:val="231F20"/>
        </w:rPr>
        <w:t>took</w:t>
      </w:r>
      <w:r>
        <w:rPr>
          <w:color w:val="231F20"/>
          <w:spacing w:val="16"/>
        </w:rPr>
        <w:t xml:space="preserve"> </w:t>
      </w:r>
      <w:r>
        <w:rPr>
          <w:color w:val="231F20"/>
        </w:rPr>
        <w:t>to</w:t>
      </w:r>
      <w:r>
        <w:rPr>
          <w:color w:val="231F20"/>
          <w:spacing w:val="16"/>
        </w:rPr>
        <w:t xml:space="preserve"> </w:t>
      </w:r>
      <w:r>
        <w:rPr>
          <w:color w:val="231F20"/>
        </w:rPr>
        <w:t>set</w:t>
      </w:r>
      <w:r>
        <w:rPr>
          <w:color w:val="231F20"/>
          <w:spacing w:val="16"/>
        </w:rPr>
        <w:t xml:space="preserve"> </w:t>
      </w:r>
      <w:r>
        <w:rPr>
          <w:color w:val="231F20"/>
        </w:rPr>
        <w:t>in</w:t>
      </w:r>
      <w:r>
        <w:rPr>
          <w:color w:val="231F20"/>
          <w:spacing w:val="16"/>
        </w:rPr>
        <w:t xml:space="preserve"> </w:t>
      </w:r>
      <w:r>
        <w:rPr>
          <w:color w:val="231F20"/>
        </w:rPr>
        <w:t>motion</w:t>
      </w:r>
      <w:r>
        <w:rPr>
          <w:color w:val="231F20"/>
          <w:spacing w:val="16"/>
        </w:rPr>
        <w:t xml:space="preserve"> </w:t>
      </w:r>
      <w:r>
        <w:rPr>
          <w:color w:val="231F20"/>
        </w:rPr>
        <w:t>all</w:t>
      </w:r>
      <w:r>
        <w:rPr>
          <w:color w:val="231F20"/>
          <w:spacing w:val="16"/>
        </w:rPr>
        <w:t xml:space="preserve"> </w:t>
      </w:r>
      <w:r>
        <w:rPr>
          <w:color w:val="231F20"/>
        </w:rPr>
        <w:t>of</w:t>
      </w:r>
      <w:r>
        <w:rPr>
          <w:color w:val="231F20"/>
          <w:spacing w:val="16"/>
        </w:rPr>
        <w:t xml:space="preserve"> </w:t>
      </w:r>
      <w:r>
        <w:rPr>
          <w:color w:val="231F20"/>
        </w:rPr>
        <w:t>the</w:t>
      </w:r>
    </w:p>
    <w:p w14:paraId="25160328" w14:textId="77777777" w:rsidR="002653E8" w:rsidRDefault="00000000">
      <w:pPr>
        <w:pStyle w:val="a3"/>
        <w:rPr>
          <w:sz w:val="17"/>
        </w:rPr>
      </w:pPr>
      <w:r>
        <w:rPr>
          <w:noProof w:val="0"/>
        </w:rPr>
        <w:pict w14:anchorId="6F181F1A">
          <v:line id="_x0000_s2311" style="position:absolute;z-index:8056;mso-wrap-distance-left:0;mso-wrap-distance-right:0;mso-position-horizontal-relative:page" from="66.4pt,12.2pt" to="138.4pt,12.2pt" strokecolor="#231f20" strokeweight=".5pt">
            <w10:wrap type="topAndBottom" anchorx="page"/>
          </v:line>
        </w:pict>
      </w:r>
    </w:p>
    <w:p w14:paraId="5883E807" w14:textId="77777777" w:rsidR="002653E8" w:rsidRDefault="003115E3">
      <w:pPr>
        <w:pStyle w:val="a4"/>
        <w:numPr>
          <w:ilvl w:val="1"/>
          <w:numId w:val="90"/>
        </w:numPr>
        <w:tabs>
          <w:tab w:val="left" w:pos="1467"/>
        </w:tabs>
        <w:spacing w:before="53" w:line="254" w:lineRule="auto"/>
        <w:ind w:right="1299" w:firstLine="0"/>
        <w:rPr>
          <w:sz w:val="16"/>
        </w:rPr>
      </w:pPr>
      <w:r>
        <w:rPr>
          <w:color w:val="231F20"/>
          <w:spacing w:val="2"/>
          <w:w w:val="105"/>
          <w:sz w:val="16"/>
        </w:rPr>
        <w:t xml:space="preserve">Amir </w:t>
      </w:r>
      <w:r>
        <w:rPr>
          <w:color w:val="231F20"/>
          <w:w w:val="105"/>
          <w:sz w:val="16"/>
        </w:rPr>
        <w:t xml:space="preserve">Parviz Puyan was a prominent member of the Organization of the People’s Fedayeen Guerillas, a </w:t>
      </w:r>
      <w:r>
        <w:rPr>
          <w:color w:val="231F20"/>
          <w:spacing w:val="1"/>
          <w:w w:val="105"/>
          <w:sz w:val="16"/>
        </w:rPr>
        <w:t xml:space="preserve">Marxist-Leninist </w:t>
      </w:r>
      <w:r>
        <w:rPr>
          <w:color w:val="231F20"/>
          <w:w w:val="105"/>
          <w:sz w:val="16"/>
        </w:rPr>
        <w:t>guerilla group established in 1971. By the time of the 1979 revolution, the OPFG was the most significant guerilla group operating in</w:t>
      </w:r>
      <w:r>
        <w:rPr>
          <w:color w:val="231F20"/>
          <w:spacing w:val="15"/>
          <w:w w:val="105"/>
          <w:sz w:val="16"/>
        </w:rPr>
        <w:t xml:space="preserve"> </w:t>
      </w:r>
      <w:r>
        <w:rPr>
          <w:color w:val="231F20"/>
          <w:w w:val="105"/>
          <w:sz w:val="16"/>
        </w:rPr>
        <w:t>Iran.</w:t>
      </w:r>
    </w:p>
    <w:p w14:paraId="57692DDB" w14:textId="77777777" w:rsidR="002653E8" w:rsidRDefault="003115E3">
      <w:pPr>
        <w:pStyle w:val="a4"/>
        <w:numPr>
          <w:ilvl w:val="1"/>
          <w:numId w:val="90"/>
        </w:numPr>
        <w:tabs>
          <w:tab w:val="left" w:pos="1467"/>
        </w:tabs>
        <w:spacing w:line="254" w:lineRule="auto"/>
        <w:ind w:right="1209" w:firstLine="0"/>
        <w:rPr>
          <w:sz w:val="16"/>
        </w:rPr>
      </w:pPr>
      <w:r>
        <w:rPr>
          <w:color w:val="231F20"/>
          <w:w w:val="105"/>
          <w:sz w:val="16"/>
        </w:rPr>
        <w:t xml:space="preserve">Probably quoted from memory, this is a mangled paraphrasing of an argument from Marx’s “The Class Struggles in France.” The  </w:t>
      </w:r>
      <w:r>
        <w:rPr>
          <w:color w:val="231F20"/>
          <w:spacing w:val="1"/>
          <w:w w:val="105"/>
          <w:sz w:val="16"/>
        </w:rPr>
        <w:t xml:space="preserve">full  </w:t>
      </w:r>
      <w:r>
        <w:rPr>
          <w:color w:val="231F20"/>
          <w:w w:val="105"/>
          <w:sz w:val="16"/>
        </w:rPr>
        <w:t xml:space="preserve">passage  as  it  appears  in </w:t>
      </w:r>
      <w:r>
        <w:rPr>
          <w:color w:val="231F20"/>
          <w:spacing w:val="1"/>
          <w:w w:val="105"/>
          <w:sz w:val="16"/>
        </w:rPr>
        <w:t xml:space="preserve">Marx </w:t>
      </w:r>
      <w:r>
        <w:rPr>
          <w:color w:val="231F20"/>
          <w:w w:val="105"/>
          <w:sz w:val="16"/>
        </w:rPr>
        <w:t xml:space="preserve">and Engels, </w:t>
      </w:r>
      <w:r>
        <w:rPr>
          <w:i/>
          <w:color w:val="231F20"/>
          <w:w w:val="105"/>
          <w:sz w:val="16"/>
        </w:rPr>
        <w:t xml:space="preserve">Selected Works </w:t>
      </w:r>
      <w:r>
        <w:rPr>
          <w:i/>
          <w:color w:val="231F20"/>
          <w:spacing w:val="1"/>
          <w:w w:val="105"/>
          <w:sz w:val="16"/>
        </w:rPr>
        <w:t xml:space="preserve">II, </w:t>
      </w:r>
      <w:r>
        <w:rPr>
          <w:color w:val="231F20"/>
          <w:w w:val="105"/>
          <w:sz w:val="16"/>
        </w:rPr>
        <w:t xml:space="preserve">ed. </w:t>
      </w:r>
      <w:r>
        <w:rPr>
          <w:color w:val="231F20"/>
          <w:spacing w:val="-6"/>
          <w:w w:val="105"/>
          <w:sz w:val="16"/>
        </w:rPr>
        <w:t xml:space="preserve">V. </w:t>
      </w:r>
      <w:r>
        <w:rPr>
          <w:color w:val="231F20"/>
          <w:w w:val="105"/>
          <w:sz w:val="16"/>
        </w:rPr>
        <w:t xml:space="preserve">Adoretsky (London: Lawrence  and Wishart, </w:t>
      </w:r>
      <w:r>
        <w:rPr>
          <w:color w:val="231F20"/>
          <w:spacing w:val="-3"/>
          <w:w w:val="105"/>
          <w:sz w:val="16"/>
        </w:rPr>
        <w:t xml:space="preserve">1942), </w:t>
      </w:r>
      <w:r>
        <w:rPr>
          <w:color w:val="231F20"/>
          <w:w w:val="105"/>
          <w:sz w:val="16"/>
        </w:rPr>
        <w:t xml:space="preserve">192: “revolutionary advance made headway not by its immediate tragi-comic achievements, but on the contrary by the creation of a powerful, united counter-revolution, by the creation of an opponent, by fighting which the </w:t>
      </w:r>
      <w:r>
        <w:rPr>
          <w:color w:val="231F20"/>
          <w:spacing w:val="1"/>
          <w:w w:val="105"/>
          <w:sz w:val="16"/>
        </w:rPr>
        <w:t xml:space="preserve">party </w:t>
      </w:r>
      <w:r>
        <w:rPr>
          <w:color w:val="231F20"/>
          <w:w w:val="105"/>
          <w:sz w:val="16"/>
        </w:rPr>
        <w:t>of revolt</w:t>
      </w:r>
      <w:r>
        <w:rPr>
          <w:color w:val="231F20"/>
          <w:spacing w:val="6"/>
          <w:w w:val="105"/>
          <w:sz w:val="16"/>
        </w:rPr>
        <w:t xml:space="preserve"> </w:t>
      </w:r>
      <w:r>
        <w:rPr>
          <w:color w:val="231F20"/>
          <w:w w:val="105"/>
          <w:sz w:val="16"/>
        </w:rPr>
        <w:t>first</w:t>
      </w:r>
      <w:r>
        <w:rPr>
          <w:color w:val="231F20"/>
          <w:spacing w:val="6"/>
          <w:w w:val="105"/>
          <w:sz w:val="16"/>
        </w:rPr>
        <w:t xml:space="preserve"> </w:t>
      </w:r>
      <w:r>
        <w:rPr>
          <w:color w:val="231F20"/>
          <w:w w:val="105"/>
          <w:sz w:val="16"/>
        </w:rPr>
        <w:t>ripened</w:t>
      </w:r>
      <w:r>
        <w:rPr>
          <w:color w:val="231F20"/>
          <w:spacing w:val="6"/>
          <w:w w:val="105"/>
          <w:sz w:val="16"/>
        </w:rPr>
        <w:t xml:space="preserve"> </w:t>
      </w:r>
      <w:r>
        <w:rPr>
          <w:color w:val="231F20"/>
          <w:w w:val="105"/>
          <w:sz w:val="16"/>
        </w:rPr>
        <w:t>into</w:t>
      </w:r>
      <w:r>
        <w:rPr>
          <w:color w:val="231F20"/>
          <w:spacing w:val="6"/>
          <w:w w:val="105"/>
          <w:sz w:val="16"/>
        </w:rPr>
        <w:t xml:space="preserve"> </w:t>
      </w:r>
      <w:r>
        <w:rPr>
          <w:color w:val="231F20"/>
          <w:w w:val="105"/>
          <w:sz w:val="16"/>
        </w:rPr>
        <w:t>a</w:t>
      </w:r>
      <w:r>
        <w:rPr>
          <w:color w:val="231F20"/>
          <w:spacing w:val="6"/>
          <w:w w:val="105"/>
          <w:sz w:val="16"/>
        </w:rPr>
        <w:t xml:space="preserve"> </w:t>
      </w:r>
      <w:r>
        <w:rPr>
          <w:color w:val="231F20"/>
          <w:w w:val="105"/>
          <w:sz w:val="16"/>
        </w:rPr>
        <w:t>real</w:t>
      </w:r>
      <w:r>
        <w:rPr>
          <w:color w:val="231F20"/>
          <w:spacing w:val="6"/>
          <w:w w:val="105"/>
          <w:sz w:val="16"/>
        </w:rPr>
        <w:t xml:space="preserve"> </w:t>
      </w:r>
      <w:r>
        <w:rPr>
          <w:color w:val="231F20"/>
          <w:w w:val="105"/>
          <w:sz w:val="16"/>
        </w:rPr>
        <w:t>revolutionary</w:t>
      </w:r>
      <w:r>
        <w:rPr>
          <w:color w:val="231F20"/>
          <w:spacing w:val="6"/>
          <w:w w:val="105"/>
          <w:sz w:val="16"/>
        </w:rPr>
        <w:t xml:space="preserve"> </w:t>
      </w:r>
      <w:r>
        <w:rPr>
          <w:color w:val="231F20"/>
          <w:w w:val="105"/>
          <w:sz w:val="16"/>
        </w:rPr>
        <w:t>party.”</w:t>
      </w:r>
    </w:p>
    <w:p w14:paraId="7911182D" w14:textId="77777777" w:rsidR="002653E8" w:rsidRDefault="002653E8">
      <w:pPr>
        <w:spacing w:line="254" w:lineRule="auto"/>
        <w:rPr>
          <w:sz w:val="16"/>
        </w:rPr>
        <w:sectPr w:rsidR="002653E8">
          <w:pgSz w:w="8640" w:h="12960"/>
          <w:pgMar w:top="1060" w:right="0" w:bottom="1040" w:left="0" w:header="0" w:footer="850" w:gutter="0"/>
          <w:cols w:space="720"/>
        </w:sectPr>
      </w:pPr>
    </w:p>
    <w:p w14:paraId="1FD96C96" w14:textId="77777777" w:rsidR="002653E8" w:rsidRDefault="003115E3">
      <w:pPr>
        <w:pStyle w:val="a3"/>
        <w:spacing w:before="86" w:line="264" w:lineRule="auto"/>
        <w:ind w:left="1147" w:right="1325"/>
        <w:jc w:val="both"/>
      </w:pPr>
      <w:r>
        <w:rPr>
          <w:color w:val="231F20"/>
        </w:rPr>
        <w:lastRenderedPageBreak/>
        <w:t>material and human resources of the state. It was already clear that the state’s monopoly of violence had material limits, that their forces could be exhausted, that if, on the tactical level, imperialism is a beast that devours humans, on the strategic level it is a paper tiger. It was clear that it is up to us whether the oppression continues, and it is also up to us to smash it.</w:t>
      </w:r>
    </w:p>
    <w:p w14:paraId="7327823E" w14:textId="77777777" w:rsidR="002653E8" w:rsidRDefault="003115E3">
      <w:pPr>
        <w:pStyle w:val="a3"/>
        <w:spacing w:line="264" w:lineRule="auto"/>
        <w:ind w:left="1147" w:right="1325" w:firstLine="210"/>
        <w:jc w:val="both"/>
      </w:pPr>
      <w:r>
        <w:rPr>
          <w:color w:val="231F20"/>
          <w:spacing w:val="-4"/>
        </w:rPr>
        <w:t xml:space="preserve">Now, </w:t>
      </w:r>
      <w:r>
        <w:rPr>
          <w:color w:val="231F20"/>
        </w:rPr>
        <w:t xml:space="preserve">after everything they have carried out against us with their psychological warfare campaign, the pigs are preparing to assassinate Andreas. As of </w:t>
      </w:r>
      <w:r>
        <w:rPr>
          <w:color w:val="231F20"/>
          <w:spacing w:val="-3"/>
        </w:rPr>
        <w:t xml:space="preserve">today, </w:t>
      </w:r>
      <w:r>
        <w:rPr>
          <w:color w:val="231F20"/>
        </w:rPr>
        <w:t xml:space="preserve">we political prisoners, members of the </w:t>
      </w:r>
      <w:r w:rsidR="00C507A5">
        <w:rPr>
          <w:color w:val="231F20"/>
          <w:spacing w:val="5"/>
        </w:rPr>
        <w:t>red army faction</w:t>
      </w:r>
      <w:r>
        <w:rPr>
          <w:color w:val="231F20"/>
          <w:spacing w:val="5"/>
        </w:rPr>
        <w:t xml:space="preserve"> </w:t>
      </w:r>
      <w:r>
        <w:rPr>
          <w:color w:val="231F20"/>
        </w:rPr>
        <w:t>and other anti-imperialist groups, are beginning a hunger strike.</w:t>
      </w:r>
      <w:r>
        <w:rPr>
          <w:color w:val="231F20"/>
          <w:position w:val="7"/>
          <w:sz w:val="11"/>
        </w:rPr>
        <w:t xml:space="preserve">1 </w:t>
      </w:r>
      <w:r>
        <w:rPr>
          <w:color w:val="231F20"/>
          <w:spacing w:val="-5"/>
        </w:rPr>
        <w:t xml:space="preserve">We </w:t>
      </w:r>
      <w:r>
        <w:rPr>
          <w:color w:val="231F20"/>
        </w:rPr>
        <w:t xml:space="preserve">must add the fact that for some years now—in keeping with the police objective of liquidating the </w:t>
      </w:r>
      <w:r w:rsidR="00C507A5">
        <w:rPr>
          <w:color w:val="231F20"/>
        </w:rPr>
        <w:t>red army faction</w:t>
      </w:r>
      <w:r>
        <w:rPr>
          <w:color w:val="231F20"/>
        </w:rPr>
        <w:t>, and consistent with their tactic of psychological warfare—most of us have found ourselves detained in isolation. Which</w:t>
      </w:r>
      <w:r>
        <w:rPr>
          <w:color w:val="231F20"/>
          <w:spacing w:val="-5"/>
        </w:rPr>
        <w:t xml:space="preserve"> </w:t>
      </w:r>
      <w:r>
        <w:rPr>
          <w:color w:val="231F20"/>
        </w:rPr>
        <w:t>is</w:t>
      </w:r>
      <w:r>
        <w:rPr>
          <w:color w:val="231F20"/>
          <w:spacing w:val="-5"/>
        </w:rPr>
        <w:t xml:space="preserve"> </w:t>
      </w:r>
      <w:r>
        <w:rPr>
          <w:color w:val="231F20"/>
        </w:rPr>
        <w:t>to</w:t>
      </w:r>
      <w:r>
        <w:rPr>
          <w:color w:val="231F20"/>
          <w:spacing w:val="-5"/>
        </w:rPr>
        <w:t xml:space="preserve"> </w:t>
      </w:r>
      <w:r>
        <w:rPr>
          <w:color w:val="231F20"/>
          <w:spacing w:val="-4"/>
        </w:rPr>
        <w:t>say,</w:t>
      </w:r>
      <w:r>
        <w:rPr>
          <w:color w:val="231F20"/>
          <w:spacing w:val="-5"/>
        </w:rPr>
        <w:t xml:space="preserve"> </w:t>
      </w:r>
      <w:r>
        <w:rPr>
          <w:color w:val="231F20"/>
        </w:rPr>
        <w:t>we</w:t>
      </w:r>
      <w:r>
        <w:rPr>
          <w:color w:val="231F20"/>
          <w:spacing w:val="-5"/>
        </w:rPr>
        <w:t xml:space="preserve"> </w:t>
      </w:r>
      <w:r>
        <w:rPr>
          <w:color w:val="231F20"/>
        </w:rPr>
        <w:t>have</w:t>
      </w:r>
      <w:r>
        <w:rPr>
          <w:color w:val="231F20"/>
          <w:spacing w:val="-5"/>
        </w:rPr>
        <w:t xml:space="preserve"> </w:t>
      </w:r>
      <w:r>
        <w:rPr>
          <w:color w:val="231F20"/>
        </w:rPr>
        <w:t>found</w:t>
      </w:r>
      <w:r>
        <w:rPr>
          <w:color w:val="231F20"/>
          <w:spacing w:val="-5"/>
        </w:rPr>
        <w:t xml:space="preserve"> </w:t>
      </w:r>
      <w:r>
        <w:rPr>
          <w:color w:val="231F20"/>
        </w:rPr>
        <w:t>ourselves</w:t>
      </w:r>
      <w:r>
        <w:rPr>
          <w:color w:val="231F20"/>
          <w:spacing w:val="-5"/>
        </w:rPr>
        <w:t xml:space="preserve"> </w:t>
      </w:r>
      <w:r>
        <w:rPr>
          <w:color w:val="231F20"/>
        </w:rPr>
        <w:t>in</w:t>
      </w:r>
      <w:r>
        <w:rPr>
          <w:color w:val="231F20"/>
          <w:spacing w:val="-5"/>
        </w:rPr>
        <w:t xml:space="preserve"> </w:t>
      </w:r>
      <w:r>
        <w:rPr>
          <w:color w:val="231F20"/>
        </w:rPr>
        <w:t>the</w:t>
      </w:r>
      <w:r>
        <w:rPr>
          <w:color w:val="231F20"/>
          <w:spacing w:val="-5"/>
        </w:rPr>
        <w:t xml:space="preserve"> </w:t>
      </w:r>
      <w:r>
        <w:rPr>
          <w:color w:val="231F20"/>
        </w:rPr>
        <w:t>process</w:t>
      </w:r>
      <w:r>
        <w:rPr>
          <w:color w:val="231F20"/>
          <w:spacing w:val="-5"/>
        </w:rPr>
        <w:t xml:space="preserve"> </w:t>
      </w:r>
      <w:r>
        <w:rPr>
          <w:color w:val="231F20"/>
        </w:rPr>
        <w:t>of</w:t>
      </w:r>
      <w:r>
        <w:rPr>
          <w:color w:val="231F20"/>
          <w:spacing w:val="-5"/>
        </w:rPr>
        <w:t xml:space="preserve"> </w:t>
      </w:r>
      <w:r>
        <w:rPr>
          <w:color w:val="231F20"/>
        </w:rPr>
        <w:t>being</w:t>
      </w:r>
      <w:r>
        <w:rPr>
          <w:color w:val="231F20"/>
          <w:spacing w:val="-5"/>
        </w:rPr>
        <w:t xml:space="preserve"> </w:t>
      </w:r>
      <w:r>
        <w:rPr>
          <w:color w:val="231F20"/>
        </w:rPr>
        <w:t>exterminated. But we have decided not to stop thinking and struggling: we have decided</w:t>
      </w:r>
      <w:r>
        <w:rPr>
          <w:color w:val="231F20"/>
          <w:spacing w:val="8"/>
        </w:rPr>
        <w:t xml:space="preserve"> </w:t>
      </w:r>
      <w:r>
        <w:rPr>
          <w:color w:val="231F20"/>
        </w:rPr>
        <w:t>to</w:t>
      </w:r>
      <w:r>
        <w:rPr>
          <w:color w:val="231F20"/>
          <w:spacing w:val="8"/>
        </w:rPr>
        <w:t xml:space="preserve"> </w:t>
      </w:r>
      <w:r>
        <w:rPr>
          <w:color w:val="231F20"/>
        </w:rPr>
        <w:t>dump</w:t>
      </w:r>
      <w:r>
        <w:rPr>
          <w:color w:val="231F20"/>
          <w:spacing w:val="8"/>
        </w:rPr>
        <w:t xml:space="preserve"> </w:t>
      </w:r>
      <w:r>
        <w:rPr>
          <w:color w:val="231F20"/>
        </w:rPr>
        <w:t>the</w:t>
      </w:r>
      <w:r>
        <w:rPr>
          <w:color w:val="231F20"/>
          <w:spacing w:val="8"/>
        </w:rPr>
        <w:t xml:space="preserve"> </w:t>
      </w:r>
      <w:r>
        <w:rPr>
          <w:color w:val="231F20"/>
        </w:rPr>
        <w:t>rocks</w:t>
      </w:r>
      <w:r>
        <w:rPr>
          <w:color w:val="231F20"/>
          <w:spacing w:val="10"/>
        </w:rPr>
        <w:t xml:space="preserve"> </w:t>
      </w:r>
      <w:r>
        <w:rPr>
          <w:color w:val="231F20"/>
        </w:rPr>
        <w:t>the</w:t>
      </w:r>
      <w:r>
        <w:rPr>
          <w:color w:val="231F20"/>
          <w:spacing w:val="8"/>
        </w:rPr>
        <w:t xml:space="preserve"> </w:t>
      </w:r>
      <w:r>
        <w:rPr>
          <w:color w:val="231F20"/>
        </w:rPr>
        <w:t>state</w:t>
      </w:r>
      <w:r>
        <w:rPr>
          <w:color w:val="231F20"/>
          <w:spacing w:val="8"/>
        </w:rPr>
        <w:t xml:space="preserve"> </w:t>
      </w:r>
      <w:r>
        <w:rPr>
          <w:color w:val="231F20"/>
        </w:rPr>
        <w:t>has</w:t>
      </w:r>
      <w:r>
        <w:rPr>
          <w:color w:val="231F20"/>
          <w:spacing w:val="8"/>
        </w:rPr>
        <w:t xml:space="preserve"> </w:t>
      </w:r>
      <w:r>
        <w:rPr>
          <w:color w:val="231F20"/>
        </w:rPr>
        <w:t>thrown</w:t>
      </w:r>
      <w:r>
        <w:rPr>
          <w:color w:val="231F20"/>
          <w:spacing w:val="8"/>
        </w:rPr>
        <w:t xml:space="preserve"> </w:t>
      </w:r>
      <w:r>
        <w:rPr>
          <w:color w:val="231F20"/>
        </w:rPr>
        <w:t>at</w:t>
      </w:r>
      <w:r>
        <w:rPr>
          <w:color w:val="231F20"/>
          <w:spacing w:val="8"/>
        </w:rPr>
        <w:t xml:space="preserve"> </w:t>
      </w:r>
      <w:r>
        <w:rPr>
          <w:color w:val="231F20"/>
        </w:rPr>
        <w:t>us</w:t>
      </w:r>
      <w:r>
        <w:rPr>
          <w:color w:val="231F20"/>
          <w:spacing w:val="8"/>
        </w:rPr>
        <w:t xml:space="preserve"> </w:t>
      </w:r>
      <w:r>
        <w:rPr>
          <w:color w:val="231F20"/>
        </w:rPr>
        <w:t>at</w:t>
      </w:r>
      <w:r>
        <w:rPr>
          <w:color w:val="231F20"/>
          <w:spacing w:val="8"/>
        </w:rPr>
        <w:t xml:space="preserve"> </w:t>
      </w:r>
      <w:r>
        <w:rPr>
          <w:color w:val="231F20"/>
        </w:rPr>
        <w:t>its</w:t>
      </w:r>
      <w:r>
        <w:rPr>
          <w:color w:val="231F20"/>
          <w:spacing w:val="8"/>
        </w:rPr>
        <w:t xml:space="preserve"> </w:t>
      </w:r>
      <w:r>
        <w:rPr>
          <w:color w:val="231F20"/>
        </w:rPr>
        <w:t>own</w:t>
      </w:r>
      <w:r>
        <w:rPr>
          <w:color w:val="231F20"/>
          <w:spacing w:val="8"/>
        </w:rPr>
        <w:t xml:space="preserve"> </w:t>
      </w:r>
      <w:r>
        <w:rPr>
          <w:color w:val="231F20"/>
        </w:rPr>
        <w:t>feet.</w:t>
      </w:r>
    </w:p>
    <w:p w14:paraId="4DBC76DD" w14:textId="77777777" w:rsidR="002653E8" w:rsidRDefault="003115E3">
      <w:pPr>
        <w:pStyle w:val="a3"/>
        <w:spacing w:line="264" w:lineRule="auto"/>
        <w:ind w:left="1148" w:right="1325" w:firstLine="210"/>
        <w:jc w:val="both"/>
      </w:pPr>
      <w:r>
        <w:rPr>
          <w:color w:val="231F20"/>
        </w:rPr>
        <w:t>The</w:t>
      </w:r>
      <w:r>
        <w:rPr>
          <w:color w:val="231F20"/>
          <w:spacing w:val="-17"/>
        </w:rPr>
        <w:t xml:space="preserve"> </w:t>
      </w:r>
      <w:r>
        <w:rPr>
          <w:color w:val="231F20"/>
        </w:rPr>
        <w:t>police</w:t>
      </w:r>
      <w:r>
        <w:rPr>
          <w:color w:val="231F20"/>
          <w:spacing w:val="-17"/>
        </w:rPr>
        <w:t xml:space="preserve"> </w:t>
      </w:r>
      <w:r>
        <w:rPr>
          <w:color w:val="231F20"/>
        </w:rPr>
        <w:t>are</w:t>
      </w:r>
      <w:r>
        <w:rPr>
          <w:color w:val="231F20"/>
          <w:spacing w:val="-17"/>
        </w:rPr>
        <w:t xml:space="preserve"> </w:t>
      </w:r>
      <w:r>
        <w:rPr>
          <w:color w:val="231F20"/>
        </w:rPr>
        <w:t>preparing</w:t>
      </w:r>
      <w:r>
        <w:rPr>
          <w:color w:val="231F20"/>
          <w:spacing w:val="-17"/>
        </w:rPr>
        <w:t xml:space="preserve"> </w:t>
      </w:r>
      <w:r>
        <w:rPr>
          <w:color w:val="231F20"/>
        </w:rPr>
        <w:t>to</w:t>
      </w:r>
      <w:r>
        <w:rPr>
          <w:color w:val="231F20"/>
          <w:spacing w:val="-17"/>
        </w:rPr>
        <w:t xml:space="preserve"> </w:t>
      </w:r>
      <w:r>
        <w:rPr>
          <w:color w:val="231F20"/>
        </w:rPr>
        <w:t>assassinate</w:t>
      </w:r>
      <w:r>
        <w:rPr>
          <w:color w:val="231F20"/>
          <w:spacing w:val="-17"/>
        </w:rPr>
        <w:t xml:space="preserve"> </w:t>
      </w:r>
      <w:r>
        <w:rPr>
          <w:color w:val="231F20"/>
        </w:rPr>
        <w:t>Andreas,</w:t>
      </w:r>
      <w:r>
        <w:rPr>
          <w:color w:val="231F20"/>
          <w:spacing w:val="-17"/>
        </w:rPr>
        <w:t xml:space="preserve"> </w:t>
      </w:r>
      <w:r>
        <w:rPr>
          <w:color w:val="231F20"/>
        </w:rPr>
        <w:t>as</w:t>
      </w:r>
      <w:r>
        <w:rPr>
          <w:color w:val="231F20"/>
          <w:spacing w:val="-17"/>
        </w:rPr>
        <w:t xml:space="preserve"> </w:t>
      </w:r>
      <w:r>
        <w:rPr>
          <w:color w:val="231F20"/>
        </w:rPr>
        <w:t>they</w:t>
      </w:r>
      <w:r>
        <w:rPr>
          <w:color w:val="231F20"/>
          <w:spacing w:val="-17"/>
        </w:rPr>
        <w:t xml:space="preserve"> </w:t>
      </w:r>
      <w:r>
        <w:rPr>
          <w:color w:val="231F20"/>
        </w:rPr>
        <w:t>attempted</w:t>
      </w:r>
      <w:r>
        <w:rPr>
          <w:color w:val="231F20"/>
          <w:spacing w:val="-17"/>
        </w:rPr>
        <w:t xml:space="preserve"> </w:t>
      </w:r>
      <w:r>
        <w:rPr>
          <w:color w:val="231F20"/>
        </w:rPr>
        <w:t xml:space="preserve">previously during the summer </w:t>
      </w:r>
      <w:r>
        <w:rPr>
          <w:color w:val="231F20"/>
          <w:spacing w:val="-5"/>
        </w:rPr>
        <w:t xml:space="preserve">1973 </w:t>
      </w:r>
      <w:r>
        <w:rPr>
          <w:color w:val="231F20"/>
        </w:rPr>
        <w:t xml:space="preserve">hunger strike when they deprived him of water. At that time, they attempted to have the lawyers and the public believe that he was allowed to drink again after a few days: in reality he received nothing, and the pig of a doctor at the Schwalmstadt prison, after nine days, when he had already gone blind, said, “If you  </w:t>
      </w:r>
      <w:r>
        <w:rPr>
          <w:color w:val="231F20"/>
          <w:spacing w:val="-3"/>
        </w:rPr>
        <w:t xml:space="preserve">don’t </w:t>
      </w:r>
      <w:r>
        <w:rPr>
          <w:color w:val="231F20"/>
        </w:rPr>
        <w:t xml:space="preserve">drink some milk, you’ll be dead in ten </w:t>
      </w:r>
      <w:r>
        <w:rPr>
          <w:color w:val="231F20"/>
          <w:spacing w:val="-3"/>
        </w:rPr>
        <w:t xml:space="preserve">hours.” </w:t>
      </w:r>
      <w:r>
        <w:rPr>
          <w:color w:val="231F20"/>
        </w:rPr>
        <w:t>The Hessen Minister of Justice came from time to time to have a look in his cell, and the Hessen prison doctors’ group was at that time meeting with the Wiesbaden Minister of Justice. There exists a decree in Hessen that anticipates breaking hunger strikes by withholding all liquids. The complaints filed against the pig of a doctor for attempted murder were rejected, and the procedure</w:t>
      </w:r>
      <w:r>
        <w:rPr>
          <w:color w:val="231F20"/>
          <w:spacing w:val="8"/>
        </w:rPr>
        <w:t xml:space="preserve"> </w:t>
      </w:r>
      <w:r>
        <w:rPr>
          <w:color w:val="231F20"/>
        </w:rPr>
        <w:t>undertaken</w:t>
      </w:r>
      <w:r>
        <w:rPr>
          <w:color w:val="231F20"/>
          <w:spacing w:val="8"/>
        </w:rPr>
        <w:t xml:space="preserve"> </w:t>
      </w:r>
      <w:r>
        <w:rPr>
          <w:color w:val="231F20"/>
        </w:rPr>
        <w:t>to</w:t>
      </w:r>
      <w:r>
        <w:rPr>
          <w:color w:val="231F20"/>
          <w:spacing w:val="8"/>
        </w:rPr>
        <w:t xml:space="preserve"> </w:t>
      </w:r>
      <w:r>
        <w:rPr>
          <w:color w:val="231F20"/>
        </w:rPr>
        <w:t>maintain</w:t>
      </w:r>
      <w:r>
        <w:rPr>
          <w:color w:val="231F20"/>
          <w:spacing w:val="8"/>
        </w:rPr>
        <w:t xml:space="preserve"> </w:t>
      </w:r>
      <w:r>
        <w:rPr>
          <w:color w:val="231F20"/>
        </w:rPr>
        <w:t>the</w:t>
      </w:r>
      <w:r>
        <w:rPr>
          <w:color w:val="231F20"/>
          <w:spacing w:val="8"/>
        </w:rPr>
        <w:t xml:space="preserve"> </w:t>
      </w:r>
      <w:r>
        <w:rPr>
          <w:color w:val="231F20"/>
        </w:rPr>
        <w:t>complaint</w:t>
      </w:r>
      <w:r>
        <w:rPr>
          <w:color w:val="231F20"/>
          <w:spacing w:val="8"/>
        </w:rPr>
        <w:t xml:space="preserve"> </w:t>
      </w:r>
      <w:r>
        <w:rPr>
          <w:color w:val="231F20"/>
        </w:rPr>
        <w:t>was</w:t>
      </w:r>
      <w:r>
        <w:rPr>
          <w:color w:val="231F20"/>
          <w:spacing w:val="8"/>
        </w:rPr>
        <w:t xml:space="preserve"> </w:t>
      </w:r>
      <w:r>
        <w:rPr>
          <w:color w:val="231F20"/>
        </w:rPr>
        <w:t>suspended.</w:t>
      </w:r>
    </w:p>
    <w:p w14:paraId="5228DD51" w14:textId="77777777" w:rsidR="002653E8" w:rsidRDefault="003115E3">
      <w:pPr>
        <w:pStyle w:val="a3"/>
        <w:spacing w:line="220" w:lineRule="exact"/>
        <w:ind w:left="1358"/>
      </w:pPr>
      <w:r>
        <w:rPr>
          <w:color w:val="231F20"/>
        </w:rPr>
        <w:t>We declare today that if the cops attempt to follow through with their</w:t>
      </w:r>
    </w:p>
    <w:p w14:paraId="04BF4EE3" w14:textId="77777777" w:rsidR="002653E8" w:rsidRDefault="003115E3">
      <w:pPr>
        <w:pStyle w:val="a3"/>
        <w:spacing w:before="5" w:line="264" w:lineRule="auto"/>
        <w:ind w:left="1148" w:right="1325"/>
        <w:jc w:val="both"/>
      </w:pPr>
      <w:r>
        <w:rPr>
          <w:color w:val="231F20"/>
        </w:rPr>
        <w:t xml:space="preserve">plans to deprive Andreas of water, all </w:t>
      </w:r>
      <w:r w:rsidR="00C507A5">
        <w:rPr>
          <w:color w:val="231F20"/>
          <w:spacing w:val="5"/>
        </w:rPr>
        <w:t>red army faction</w:t>
      </w:r>
      <w:r>
        <w:rPr>
          <w:color w:val="231F20"/>
          <w:spacing w:val="5"/>
        </w:rPr>
        <w:t xml:space="preserve"> </w:t>
      </w:r>
      <w:r>
        <w:rPr>
          <w:color w:val="231F20"/>
        </w:rPr>
        <w:t xml:space="preserve">prisoners participating in  the hunger strike will immediately react in </w:t>
      </w:r>
      <w:r>
        <w:rPr>
          <w:color w:val="231F20"/>
          <w:spacing w:val="1"/>
        </w:rPr>
        <w:t xml:space="preserve">turn </w:t>
      </w:r>
      <w:r>
        <w:rPr>
          <w:color w:val="231F20"/>
        </w:rPr>
        <w:t xml:space="preserve">by refusing all liquids. </w:t>
      </w:r>
      <w:r>
        <w:rPr>
          <w:color w:val="231F20"/>
          <w:spacing w:val="-5"/>
        </w:rPr>
        <w:t xml:space="preserve">We </w:t>
      </w:r>
      <w:r>
        <w:rPr>
          <w:color w:val="231F20"/>
        </w:rPr>
        <w:t xml:space="preserve">will react in the same </w:t>
      </w:r>
      <w:r>
        <w:rPr>
          <w:color w:val="231F20"/>
          <w:spacing w:val="-2"/>
        </w:rPr>
        <w:t xml:space="preserve">way </w:t>
      </w:r>
      <w:r>
        <w:rPr>
          <w:color w:val="231F20"/>
        </w:rPr>
        <w:t>if faced with any attempted assassination through the withholding of water, no matter where it occurs or against which prisoner it is</w:t>
      </w:r>
      <w:r>
        <w:rPr>
          <w:color w:val="231F20"/>
          <w:spacing w:val="41"/>
        </w:rPr>
        <w:t xml:space="preserve"> </w:t>
      </w:r>
      <w:r>
        <w:rPr>
          <w:color w:val="231F20"/>
        </w:rPr>
        <w:t>used.</w:t>
      </w:r>
    </w:p>
    <w:p w14:paraId="3A420181" w14:textId="77777777" w:rsidR="002653E8" w:rsidRDefault="003115E3">
      <w:pPr>
        <w:pStyle w:val="a3"/>
        <w:spacing w:before="122" w:line="261" w:lineRule="auto"/>
        <w:ind w:left="5610" w:right="1145" w:firstLine="347"/>
      </w:pPr>
      <w:r>
        <w:rPr>
          <w:color w:val="231F20"/>
          <w:w w:val="105"/>
        </w:rPr>
        <w:t xml:space="preserve">Ulrike Meinhof </w:t>
      </w:r>
      <w:r>
        <w:rPr>
          <w:color w:val="231F20"/>
        </w:rPr>
        <w:t>September 13, 1974</w:t>
      </w:r>
    </w:p>
    <w:p w14:paraId="11407DB2" w14:textId="77777777" w:rsidR="002653E8" w:rsidRDefault="00000000">
      <w:pPr>
        <w:pStyle w:val="a3"/>
        <w:spacing w:before="10"/>
        <w:rPr>
          <w:sz w:val="26"/>
        </w:rPr>
      </w:pPr>
      <w:r>
        <w:rPr>
          <w:noProof w:val="0"/>
        </w:rPr>
        <w:pict w14:anchorId="0B6E1864">
          <v:line id="_x0000_s2310" style="position:absolute;z-index:8080;mso-wrap-distance-left:0;mso-wrap-distance-right:0;mso-position-horizontal-relative:page" from="57.4pt,17.95pt" to="129.4pt,17.95pt" strokecolor="#231f20" strokeweight=".5pt">
            <w10:wrap type="topAndBottom" anchorx="page"/>
          </v:line>
        </w:pict>
      </w:r>
    </w:p>
    <w:p w14:paraId="7222C23E" w14:textId="77777777" w:rsidR="002653E8" w:rsidRDefault="003115E3">
      <w:pPr>
        <w:spacing w:before="53"/>
        <w:ind w:left="1147"/>
        <w:rPr>
          <w:sz w:val="16"/>
        </w:rPr>
      </w:pPr>
      <w:r>
        <w:rPr>
          <w:color w:val="231F20"/>
          <w:w w:val="105"/>
          <w:sz w:val="16"/>
        </w:rPr>
        <w:t xml:space="preserve">1 This signaled the third of the </w:t>
      </w:r>
      <w:r w:rsidR="00C507A5">
        <w:rPr>
          <w:color w:val="231F20"/>
          <w:w w:val="105"/>
          <w:sz w:val="16"/>
        </w:rPr>
        <w:t>red army faction</w:t>
      </w:r>
      <w:r>
        <w:rPr>
          <w:color w:val="231F20"/>
          <w:w w:val="105"/>
          <w:sz w:val="16"/>
        </w:rPr>
        <w:t xml:space="preserve"> prisoners’ hunger strikes; see page 253.</w:t>
      </w:r>
    </w:p>
    <w:p w14:paraId="3A82C7A6" w14:textId="77777777" w:rsidR="002653E8" w:rsidRDefault="002653E8">
      <w:pPr>
        <w:rPr>
          <w:sz w:val="16"/>
        </w:rPr>
        <w:sectPr w:rsidR="002653E8">
          <w:footerReference w:type="even" r:id="rId315"/>
          <w:footerReference w:type="default" r:id="rId316"/>
          <w:pgSz w:w="8640" w:h="12960"/>
          <w:pgMar w:top="1060" w:right="0" w:bottom="1040" w:left="0" w:header="0" w:footer="850" w:gutter="0"/>
          <w:cols w:space="720"/>
        </w:sectPr>
      </w:pPr>
    </w:p>
    <w:p w14:paraId="46320059" w14:textId="77777777" w:rsidR="002653E8" w:rsidRDefault="003115E3">
      <w:pPr>
        <w:pStyle w:val="4"/>
        <w:spacing w:line="273" w:lineRule="auto"/>
        <w:ind w:left="2772" w:right="2571" w:firstLine="153"/>
      </w:pPr>
      <w:bookmarkStart w:id="167" w:name="The_Bombing_of_the_Bremen_Train_Station_"/>
      <w:bookmarkStart w:id="168" w:name="_bookmark52"/>
      <w:bookmarkEnd w:id="167"/>
      <w:bookmarkEnd w:id="168"/>
      <w:r>
        <w:rPr>
          <w:color w:val="231F20"/>
          <w:w w:val="105"/>
        </w:rPr>
        <w:lastRenderedPageBreak/>
        <w:t>The Bombing of the Bremen Train</w:t>
      </w:r>
      <w:r>
        <w:rPr>
          <w:color w:val="231F20"/>
          <w:spacing w:val="-56"/>
          <w:w w:val="105"/>
        </w:rPr>
        <w:t xml:space="preserve"> </w:t>
      </w:r>
      <w:r>
        <w:rPr>
          <w:color w:val="231F20"/>
          <w:w w:val="105"/>
        </w:rPr>
        <w:t>Station</w:t>
      </w:r>
    </w:p>
    <w:p w14:paraId="07443665" w14:textId="77777777" w:rsidR="002653E8" w:rsidRDefault="002653E8">
      <w:pPr>
        <w:pStyle w:val="a3"/>
        <w:spacing w:before="2"/>
        <w:rPr>
          <w:rFonts w:ascii="Bookman Old Style"/>
          <w:sz w:val="27"/>
        </w:rPr>
      </w:pPr>
    </w:p>
    <w:p w14:paraId="5EE76EEC" w14:textId="77777777" w:rsidR="002653E8" w:rsidRDefault="00C507A5">
      <w:pPr>
        <w:pStyle w:val="a3"/>
        <w:spacing w:line="264" w:lineRule="auto"/>
        <w:ind w:left="1328" w:right="1145" w:hanging="1"/>
        <w:jc w:val="both"/>
      </w:pPr>
      <w:r>
        <w:rPr>
          <w:color w:val="231F20"/>
          <w:spacing w:val="5"/>
        </w:rPr>
        <w:t>red army faction</w:t>
      </w:r>
      <w:r w:rsidR="003115E3">
        <w:rPr>
          <w:color w:val="231F20"/>
          <w:spacing w:val="5"/>
        </w:rPr>
        <w:t xml:space="preserve"> </w:t>
      </w:r>
      <w:r w:rsidR="003115E3">
        <w:rPr>
          <w:color w:val="231F20"/>
        </w:rPr>
        <w:t xml:space="preserve">actions are never directed  against  the  people.  Given  the  choice of target, the bomb that exploded in the Bremen Central Station on Saturday bears the mark of the ongoing security police operation. </w:t>
      </w:r>
      <w:r w:rsidR="003115E3">
        <w:rPr>
          <w:color w:val="231F20"/>
          <w:spacing w:val="-8"/>
        </w:rPr>
        <w:t xml:space="preserve">To </w:t>
      </w:r>
      <w:r w:rsidR="003115E3">
        <w:rPr>
          <w:color w:val="231F20"/>
        </w:rPr>
        <w:t>intimidate and control the people, they are no longer restricting themselves to the fascist tactic of</w:t>
      </w:r>
      <w:r w:rsidR="003115E3">
        <w:rPr>
          <w:color w:val="231F20"/>
          <w:spacing w:val="17"/>
        </w:rPr>
        <w:t xml:space="preserve"> </w:t>
      </w:r>
      <w:r w:rsidR="003115E3">
        <w:rPr>
          <w:color w:val="231F20"/>
        </w:rPr>
        <w:t>threats:</w:t>
      </w:r>
    </w:p>
    <w:p w14:paraId="6F973058" w14:textId="77777777" w:rsidR="002653E8" w:rsidRDefault="003115E3">
      <w:pPr>
        <w:pStyle w:val="a4"/>
        <w:numPr>
          <w:ilvl w:val="0"/>
          <w:numId w:val="14"/>
        </w:numPr>
        <w:tabs>
          <w:tab w:val="left" w:pos="1824"/>
        </w:tabs>
        <w:spacing w:before="122"/>
        <w:ind w:hanging="240"/>
        <w:rPr>
          <w:sz w:val="20"/>
        </w:rPr>
      </w:pPr>
      <w:r>
        <w:rPr>
          <w:color w:val="231F20"/>
          <w:w w:val="105"/>
          <w:sz w:val="20"/>
        </w:rPr>
        <w:t>of bombings, as in Stuttgart in June</w:t>
      </w:r>
      <w:r>
        <w:rPr>
          <w:color w:val="231F20"/>
          <w:spacing w:val="5"/>
          <w:w w:val="105"/>
          <w:sz w:val="20"/>
        </w:rPr>
        <w:t xml:space="preserve"> </w:t>
      </w:r>
      <w:r>
        <w:rPr>
          <w:color w:val="231F20"/>
          <w:spacing w:val="-3"/>
          <w:w w:val="105"/>
          <w:sz w:val="20"/>
        </w:rPr>
        <w:t>1972;</w:t>
      </w:r>
    </w:p>
    <w:p w14:paraId="16268D4B" w14:textId="77777777" w:rsidR="002653E8" w:rsidRDefault="003115E3">
      <w:pPr>
        <w:pStyle w:val="a4"/>
        <w:numPr>
          <w:ilvl w:val="0"/>
          <w:numId w:val="14"/>
        </w:numPr>
        <w:tabs>
          <w:tab w:val="left" w:pos="1825"/>
        </w:tabs>
        <w:spacing w:before="21" w:line="261" w:lineRule="auto"/>
        <w:ind w:right="1260" w:hanging="240"/>
        <w:rPr>
          <w:sz w:val="20"/>
        </w:rPr>
      </w:pPr>
      <w:r>
        <w:rPr>
          <w:color w:val="231F20"/>
          <w:sz w:val="20"/>
        </w:rPr>
        <w:t xml:space="preserve">of rocket attacks against the millions of spectators at the Soccer </w:t>
      </w:r>
      <w:r>
        <w:rPr>
          <w:color w:val="231F20"/>
          <w:spacing w:val="-4"/>
          <w:sz w:val="20"/>
        </w:rPr>
        <w:t xml:space="preserve">World </w:t>
      </w:r>
      <w:r>
        <w:rPr>
          <w:color w:val="231F20"/>
          <w:sz w:val="20"/>
        </w:rPr>
        <w:t>Cup in March</w:t>
      </w:r>
      <w:r>
        <w:rPr>
          <w:color w:val="231F20"/>
          <w:spacing w:val="13"/>
          <w:sz w:val="20"/>
        </w:rPr>
        <w:t xml:space="preserve"> </w:t>
      </w:r>
      <w:r>
        <w:rPr>
          <w:color w:val="231F20"/>
          <w:spacing w:val="-6"/>
          <w:sz w:val="20"/>
        </w:rPr>
        <w:t>1974;</w:t>
      </w:r>
    </w:p>
    <w:p w14:paraId="60072A52" w14:textId="77777777" w:rsidR="002653E8" w:rsidRDefault="003115E3">
      <w:pPr>
        <w:pStyle w:val="a4"/>
        <w:numPr>
          <w:ilvl w:val="0"/>
          <w:numId w:val="14"/>
        </w:numPr>
        <w:tabs>
          <w:tab w:val="left" w:pos="1824"/>
        </w:tabs>
        <w:spacing w:before="1" w:line="261" w:lineRule="auto"/>
        <w:ind w:right="1249" w:hanging="240"/>
        <w:rPr>
          <w:sz w:val="11"/>
        </w:rPr>
      </w:pPr>
      <w:r>
        <w:rPr>
          <w:color w:val="231F20"/>
          <w:sz w:val="20"/>
        </w:rPr>
        <w:t>of poisoning the people’s drinking water in Baden-Württemberg in August</w:t>
      </w:r>
      <w:r>
        <w:rPr>
          <w:color w:val="231F20"/>
          <w:spacing w:val="22"/>
          <w:sz w:val="20"/>
        </w:rPr>
        <w:t xml:space="preserve"> </w:t>
      </w:r>
      <w:r>
        <w:rPr>
          <w:color w:val="231F20"/>
          <w:spacing w:val="-4"/>
          <w:sz w:val="20"/>
        </w:rPr>
        <w:t>1974.</w:t>
      </w:r>
      <w:r>
        <w:rPr>
          <w:color w:val="231F20"/>
          <w:spacing w:val="-4"/>
          <w:position w:val="7"/>
          <w:sz w:val="11"/>
        </w:rPr>
        <w:t>2</w:t>
      </w:r>
    </w:p>
    <w:p w14:paraId="0DEF6ED9" w14:textId="77777777" w:rsidR="002653E8" w:rsidRDefault="003115E3">
      <w:pPr>
        <w:pStyle w:val="a3"/>
        <w:spacing w:before="135" w:line="264" w:lineRule="auto"/>
        <w:ind w:left="1327" w:right="1513"/>
      </w:pPr>
      <w:r>
        <w:rPr>
          <w:color w:val="231F20"/>
        </w:rPr>
        <w:t>The state security police have now escalated to provocative actions, with</w:t>
      </w:r>
      <w:r>
        <w:rPr>
          <w:color w:val="231F20"/>
          <w:spacing w:val="10"/>
        </w:rPr>
        <w:t xml:space="preserve"> </w:t>
      </w:r>
      <w:r>
        <w:rPr>
          <w:color w:val="231F20"/>
        </w:rPr>
        <w:t>the</w:t>
      </w:r>
      <w:r>
        <w:rPr>
          <w:color w:val="231F20"/>
          <w:spacing w:val="10"/>
        </w:rPr>
        <w:t xml:space="preserve"> </w:t>
      </w:r>
      <w:r>
        <w:rPr>
          <w:color w:val="231F20"/>
        </w:rPr>
        <w:t>risk</w:t>
      </w:r>
      <w:r>
        <w:rPr>
          <w:color w:val="231F20"/>
          <w:spacing w:val="10"/>
        </w:rPr>
        <w:t xml:space="preserve"> </w:t>
      </w:r>
      <w:r>
        <w:rPr>
          <w:color w:val="231F20"/>
        </w:rPr>
        <w:t>of</w:t>
      </w:r>
      <w:r>
        <w:rPr>
          <w:color w:val="231F20"/>
          <w:spacing w:val="10"/>
        </w:rPr>
        <w:t xml:space="preserve"> </w:t>
      </w:r>
      <w:r>
        <w:rPr>
          <w:color w:val="231F20"/>
        </w:rPr>
        <w:t>unleashing</w:t>
      </w:r>
      <w:r>
        <w:rPr>
          <w:color w:val="231F20"/>
          <w:spacing w:val="10"/>
        </w:rPr>
        <w:t xml:space="preserve"> </w:t>
      </w:r>
      <w:r>
        <w:rPr>
          <w:color w:val="231F20"/>
        </w:rPr>
        <w:t>a</w:t>
      </w:r>
      <w:r>
        <w:rPr>
          <w:color w:val="231F20"/>
          <w:spacing w:val="10"/>
        </w:rPr>
        <w:t xml:space="preserve"> </w:t>
      </w:r>
      <w:r>
        <w:rPr>
          <w:color w:val="231F20"/>
        </w:rPr>
        <w:t>bloodbath</w:t>
      </w:r>
      <w:r>
        <w:rPr>
          <w:color w:val="231F20"/>
          <w:spacing w:val="10"/>
        </w:rPr>
        <w:t xml:space="preserve"> </w:t>
      </w:r>
      <w:r>
        <w:rPr>
          <w:color w:val="231F20"/>
        </w:rPr>
        <w:t>upon</w:t>
      </w:r>
      <w:r>
        <w:rPr>
          <w:color w:val="231F20"/>
          <w:spacing w:val="10"/>
        </w:rPr>
        <w:t xml:space="preserve"> </w:t>
      </w:r>
      <w:r>
        <w:rPr>
          <w:color w:val="231F20"/>
        </w:rPr>
        <w:t>the</w:t>
      </w:r>
      <w:r>
        <w:rPr>
          <w:color w:val="231F20"/>
          <w:spacing w:val="10"/>
        </w:rPr>
        <w:t xml:space="preserve"> </w:t>
      </w:r>
      <w:r>
        <w:rPr>
          <w:color w:val="231F20"/>
        </w:rPr>
        <w:t>people.</w:t>
      </w:r>
    </w:p>
    <w:p w14:paraId="357C3341" w14:textId="77777777" w:rsidR="002653E8" w:rsidRDefault="003115E3">
      <w:pPr>
        <w:pStyle w:val="a3"/>
        <w:spacing w:before="125" w:line="261" w:lineRule="auto"/>
        <w:ind w:left="5850" w:right="1146" w:hanging="92"/>
        <w:jc w:val="right"/>
      </w:pPr>
      <w:r>
        <w:rPr>
          <w:color w:val="231F20"/>
          <w:w w:val="105"/>
        </w:rPr>
        <w:t xml:space="preserve">The </w:t>
      </w:r>
      <w:r w:rsidR="00C507A5">
        <w:rPr>
          <w:color w:val="231F20"/>
          <w:w w:val="105"/>
        </w:rPr>
        <w:t>red army faction</w:t>
      </w:r>
      <w:r>
        <w:rPr>
          <w:color w:val="231F20"/>
          <w:w w:val="105"/>
        </w:rPr>
        <w:t xml:space="preserve"> prisoners</w:t>
      </w:r>
      <w:r>
        <w:rPr>
          <w:color w:val="231F20"/>
          <w:w w:val="90"/>
        </w:rPr>
        <w:t xml:space="preserve"> </w:t>
      </w:r>
      <w:r>
        <w:rPr>
          <w:color w:val="231F20"/>
          <w:w w:val="105"/>
        </w:rPr>
        <w:t>December 9, 1974</w:t>
      </w:r>
    </w:p>
    <w:p w14:paraId="78C715D5" w14:textId="77777777" w:rsidR="002653E8" w:rsidRDefault="002653E8">
      <w:pPr>
        <w:pStyle w:val="a3"/>
      </w:pPr>
    </w:p>
    <w:p w14:paraId="089D88B0" w14:textId="77777777" w:rsidR="002653E8" w:rsidRDefault="002653E8">
      <w:pPr>
        <w:pStyle w:val="a3"/>
      </w:pPr>
    </w:p>
    <w:p w14:paraId="1E91889A" w14:textId="77777777" w:rsidR="002653E8" w:rsidRDefault="002653E8">
      <w:pPr>
        <w:pStyle w:val="a3"/>
      </w:pPr>
    </w:p>
    <w:p w14:paraId="50324C6B" w14:textId="77777777" w:rsidR="002653E8" w:rsidRDefault="002653E8">
      <w:pPr>
        <w:pStyle w:val="a3"/>
      </w:pPr>
    </w:p>
    <w:p w14:paraId="34AA81DC" w14:textId="77777777" w:rsidR="002653E8" w:rsidRDefault="002653E8">
      <w:pPr>
        <w:pStyle w:val="a3"/>
      </w:pPr>
    </w:p>
    <w:p w14:paraId="0C44985C" w14:textId="77777777" w:rsidR="002653E8" w:rsidRDefault="002653E8">
      <w:pPr>
        <w:pStyle w:val="a3"/>
      </w:pPr>
    </w:p>
    <w:p w14:paraId="3E95C72E" w14:textId="77777777" w:rsidR="002653E8" w:rsidRDefault="002653E8">
      <w:pPr>
        <w:pStyle w:val="a3"/>
      </w:pPr>
    </w:p>
    <w:p w14:paraId="13070DAD" w14:textId="77777777" w:rsidR="002653E8" w:rsidRDefault="002653E8">
      <w:pPr>
        <w:pStyle w:val="a3"/>
      </w:pPr>
    </w:p>
    <w:p w14:paraId="10A450C9" w14:textId="77777777" w:rsidR="002653E8" w:rsidRDefault="002653E8">
      <w:pPr>
        <w:pStyle w:val="a3"/>
      </w:pPr>
    </w:p>
    <w:p w14:paraId="0ABBE592" w14:textId="77777777" w:rsidR="002653E8" w:rsidRDefault="002653E8">
      <w:pPr>
        <w:pStyle w:val="a3"/>
      </w:pPr>
    </w:p>
    <w:p w14:paraId="6562CE81" w14:textId="77777777" w:rsidR="002653E8" w:rsidRDefault="002653E8">
      <w:pPr>
        <w:pStyle w:val="a3"/>
      </w:pPr>
    </w:p>
    <w:p w14:paraId="1A991B1C" w14:textId="77777777" w:rsidR="002653E8" w:rsidRDefault="002653E8">
      <w:pPr>
        <w:pStyle w:val="a3"/>
      </w:pPr>
    </w:p>
    <w:p w14:paraId="7EB1B864" w14:textId="77777777" w:rsidR="002653E8" w:rsidRDefault="002653E8">
      <w:pPr>
        <w:pStyle w:val="a3"/>
      </w:pPr>
    </w:p>
    <w:p w14:paraId="02FBCF84" w14:textId="77777777" w:rsidR="002653E8" w:rsidRDefault="002653E8">
      <w:pPr>
        <w:pStyle w:val="a3"/>
      </w:pPr>
    </w:p>
    <w:p w14:paraId="11549FBF" w14:textId="77777777" w:rsidR="002653E8" w:rsidRDefault="002653E8">
      <w:pPr>
        <w:pStyle w:val="a3"/>
      </w:pPr>
    </w:p>
    <w:p w14:paraId="76811CFB" w14:textId="77777777" w:rsidR="002653E8" w:rsidRDefault="002653E8">
      <w:pPr>
        <w:pStyle w:val="a3"/>
      </w:pPr>
    </w:p>
    <w:p w14:paraId="5241BBAC" w14:textId="77777777" w:rsidR="002653E8" w:rsidRDefault="002653E8">
      <w:pPr>
        <w:pStyle w:val="a3"/>
      </w:pPr>
    </w:p>
    <w:p w14:paraId="3EC9A44E" w14:textId="77777777" w:rsidR="002653E8" w:rsidRDefault="002653E8">
      <w:pPr>
        <w:pStyle w:val="a3"/>
      </w:pPr>
    </w:p>
    <w:p w14:paraId="58B1109D" w14:textId="77777777" w:rsidR="002653E8" w:rsidRDefault="002653E8">
      <w:pPr>
        <w:pStyle w:val="a3"/>
      </w:pPr>
    </w:p>
    <w:p w14:paraId="1BD72D6E" w14:textId="77777777" w:rsidR="002653E8" w:rsidRDefault="00000000">
      <w:pPr>
        <w:pStyle w:val="a3"/>
        <w:spacing w:before="2"/>
        <w:rPr>
          <w:sz w:val="19"/>
        </w:rPr>
      </w:pPr>
      <w:r>
        <w:rPr>
          <w:noProof w:val="0"/>
        </w:rPr>
        <w:pict w14:anchorId="19AA7631">
          <v:line id="_x0000_s2309" style="position:absolute;z-index:8104;mso-wrap-distance-left:0;mso-wrap-distance-right:0;mso-position-horizontal-relative:page" from="66.4pt,13.5pt" to="138.4pt,13.5pt" strokecolor="#231f20" strokeweight=".5pt">
            <w10:wrap type="topAndBottom" anchorx="page"/>
          </v:line>
        </w:pict>
      </w:r>
    </w:p>
    <w:p w14:paraId="28F698FF" w14:textId="77777777" w:rsidR="002653E8" w:rsidRDefault="003115E3">
      <w:pPr>
        <w:spacing w:before="53"/>
        <w:ind w:left="1327"/>
        <w:rPr>
          <w:sz w:val="16"/>
        </w:rPr>
      </w:pPr>
      <w:r>
        <w:rPr>
          <w:color w:val="231F20"/>
          <w:w w:val="105"/>
          <w:sz w:val="16"/>
        </w:rPr>
        <w:t xml:space="preserve">2 These are actions the police and media claimed the </w:t>
      </w:r>
      <w:r w:rsidR="00C507A5">
        <w:rPr>
          <w:color w:val="231F20"/>
          <w:w w:val="105"/>
          <w:sz w:val="16"/>
        </w:rPr>
        <w:t>red army faction</w:t>
      </w:r>
      <w:r>
        <w:rPr>
          <w:color w:val="231F20"/>
          <w:w w:val="105"/>
          <w:sz w:val="16"/>
        </w:rPr>
        <w:t xml:space="preserve"> was planning.</w:t>
      </w:r>
    </w:p>
    <w:p w14:paraId="175845C8" w14:textId="77777777" w:rsidR="002653E8" w:rsidRDefault="002653E8">
      <w:pPr>
        <w:rPr>
          <w:sz w:val="16"/>
        </w:rPr>
        <w:sectPr w:rsidR="002653E8">
          <w:pgSz w:w="8640" w:h="12960"/>
          <w:pgMar w:top="1220" w:right="0" w:bottom="1040" w:left="0" w:header="0" w:footer="850" w:gutter="0"/>
          <w:cols w:space="720"/>
        </w:sectPr>
      </w:pPr>
    </w:p>
    <w:p w14:paraId="3079C6A6" w14:textId="77777777" w:rsidR="002653E8" w:rsidRDefault="003115E3">
      <w:pPr>
        <w:pStyle w:val="4"/>
        <w:spacing w:line="273" w:lineRule="auto"/>
        <w:ind w:left="2610" w:right="2787"/>
        <w:jc w:val="center"/>
      </w:pPr>
      <w:bookmarkStart w:id="169" w:name="The_Nature_of_the_Stammheim_Trial:_The_P"/>
      <w:bookmarkStart w:id="170" w:name="_bookmark53"/>
      <w:bookmarkEnd w:id="169"/>
      <w:bookmarkEnd w:id="170"/>
      <w:r>
        <w:rPr>
          <w:color w:val="231F20"/>
          <w:w w:val="105"/>
        </w:rPr>
        <w:lastRenderedPageBreak/>
        <w:t>The Nature of the Stammheim Trial: The Prisoners Testify</w:t>
      </w:r>
    </w:p>
    <w:p w14:paraId="4AC6A299" w14:textId="77777777" w:rsidR="002653E8" w:rsidRDefault="002653E8">
      <w:pPr>
        <w:pStyle w:val="a3"/>
        <w:spacing w:before="8"/>
        <w:rPr>
          <w:rFonts w:ascii="Bookman Old Style"/>
          <w:sz w:val="36"/>
        </w:rPr>
      </w:pPr>
    </w:p>
    <w:p w14:paraId="4158AEAF" w14:textId="77777777" w:rsidR="002653E8" w:rsidRDefault="003115E3">
      <w:pPr>
        <w:pStyle w:val="a3"/>
        <w:spacing w:line="264" w:lineRule="auto"/>
        <w:ind w:left="1147" w:right="1325"/>
        <w:jc w:val="both"/>
      </w:pPr>
      <w:r>
        <w:rPr>
          <w:color w:val="231F20"/>
          <w:spacing w:val="1"/>
        </w:rPr>
        <w:t xml:space="preserve">All </w:t>
      </w:r>
      <w:r>
        <w:rPr>
          <w:color w:val="231F20"/>
        </w:rPr>
        <w:t xml:space="preserve">there is to say regarding our identity is that which remains of the moral person in this trial: nothing. </w:t>
      </w:r>
      <w:r>
        <w:rPr>
          <w:color w:val="231F20"/>
          <w:spacing w:val="1"/>
        </w:rPr>
        <w:t xml:space="preserve">In </w:t>
      </w:r>
      <w:r>
        <w:rPr>
          <w:color w:val="231F20"/>
        </w:rPr>
        <w:t xml:space="preserve">this  trial,  the  moral  person— this concept created by the authorities—has been liquidated in every possible way—both through the guilty sentence Schmidt has already pronounced and through the Federal Supreme Court decision relative  to </w:t>
      </w:r>
      <w:r>
        <w:rPr>
          <w:color w:val="231F20"/>
          <w:spacing w:val="-5"/>
          <w:sz w:val="18"/>
        </w:rPr>
        <w:t>§</w:t>
      </w:r>
      <w:r>
        <w:rPr>
          <w:color w:val="231F20"/>
          <w:spacing w:val="-5"/>
        </w:rPr>
        <w:t>231a</w:t>
      </w:r>
      <w:r>
        <w:rPr>
          <w:color w:val="231F20"/>
          <w:spacing w:val="-5"/>
          <w:position w:val="7"/>
          <w:sz w:val="11"/>
        </w:rPr>
        <w:t xml:space="preserve">1 </w:t>
      </w:r>
      <w:r>
        <w:rPr>
          <w:color w:val="231F20"/>
        </w:rPr>
        <w:t xml:space="preserve">of the Penal Code in the recent hearing before the Federal Administrative Court, which, by ratifying the Federal Supreme Court decision, has done </w:t>
      </w:r>
      <w:r>
        <w:rPr>
          <w:color w:val="231F20"/>
          <w:spacing w:val="-3"/>
        </w:rPr>
        <w:t xml:space="preserve">away </w:t>
      </w:r>
      <w:r>
        <w:rPr>
          <w:color w:val="231F20"/>
        </w:rPr>
        <w:t>with the legal fictions of the Basic</w:t>
      </w:r>
      <w:r>
        <w:rPr>
          <w:color w:val="231F20"/>
          <w:spacing w:val="15"/>
        </w:rPr>
        <w:t xml:space="preserve"> </w:t>
      </w:r>
      <w:r>
        <w:rPr>
          <w:color w:val="231F20"/>
          <w:spacing w:val="-4"/>
        </w:rPr>
        <w:t>Law.</w:t>
      </w:r>
    </w:p>
    <w:p w14:paraId="02324705" w14:textId="77777777" w:rsidR="002653E8" w:rsidRDefault="003115E3">
      <w:pPr>
        <w:pStyle w:val="a3"/>
        <w:spacing w:line="264" w:lineRule="auto"/>
        <w:ind w:left="1148" w:right="1325" w:firstLine="210"/>
        <w:jc w:val="both"/>
      </w:pPr>
      <w:r>
        <w:rPr>
          <w:color w:val="231F20"/>
        </w:rPr>
        <w:t xml:space="preserve">Given that the prisoners do not have any recognized rights, our identity is objectively reduced to the trial itself. And the trial </w:t>
      </w:r>
      <w:r>
        <w:rPr>
          <w:color w:val="231F20"/>
          <w:spacing w:val="1"/>
        </w:rPr>
        <w:t xml:space="preserve">is—this </w:t>
      </w:r>
      <w:r>
        <w:rPr>
          <w:color w:val="231F20"/>
        </w:rPr>
        <w:t>much one should perhaps say about the indictment—about an offense committed by an organization. The charges of murder and attempted murder</w:t>
      </w:r>
      <w:r>
        <w:rPr>
          <w:color w:val="231F20"/>
          <w:spacing w:val="-7"/>
        </w:rPr>
        <w:t xml:space="preserve"> </w:t>
      </w:r>
      <w:r>
        <w:rPr>
          <w:color w:val="231F20"/>
        </w:rPr>
        <w:t>are</w:t>
      </w:r>
      <w:r>
        <w:rPr>
          <w:color w:val="231F20"/>
          <w:spacing w:val="-6"/>
        </w:rPr>
        <w:t xml:space="preserve"> </w:t>
      </w:r>
      <w:r>
        <w:rPr>
          <w:color w:val="231F20"/>
        </w:rPr>
        <w:t>based</w:t>
      </w:r>
      <w:r>
        <w:rPr>
          <w:color w:val="231F20"/>
          <w:spacing w:val="-6"/>
        </w:rPr>
        <w:t xml:space="preserve"> </w:t>
      </w:r>
      <w:r>
        <w:rPr>
          <w:color w:val="231F20"/>
        </w:rPr>
        <w:t>on</w:t>
      </w:r>
      <w:r>
        <w:rPr>
          <w:color w:val="231F20"/>
          <w:spacing w:val="-6"/>
        </w:rPr>
        <w:t xml:space="preserve"> </w:t>
      </w:r>
      <w:r>
        <w:rPr>
          <w:color w:val="231F20"/>
        </w:rPr>
        <w:t>the</w:t>
      </w:r>
      <w:r>
        <w:rPr>
          <w:color w:val="231F20"/>
          <w:spacing w:val="-7"/>
        </w:rPr>
        <w:t xml:space="preserve"> </w:t>
      </w:r>
      <w:r>
        <w:rPr>
          <w:color w:val="231F20"/>
        </w:rPr>
        <w:t>concept</w:t>
      </w:r>
      <w:r>
        <w:rPr>
          <w:color w:val="231F20"/>
          <w:spacing w:val="-7"/>
        </w:rPr>
        <w:t xml:space="preserve"> </w:t>
      </w:r>
      <w:r>
        <w:rPr>
          <w:color w:val="231F20"/>
        </w:rPr>
        <w:t>of</w:t>
      </w:r>
      <w:r>
        <w:rPr>
          <w:color w:val="231F20"/>
          <w:spacing w:val="-6"/>
        </w:rPr>
        <w:t xml:space="preserve"> </w:t>
      </w:r>
      <w:r>
        <w:rPr>
          <w:color w:val="231F20"/>
        </w:rPr>
        <w:t>collective</w:t>
      </w:r>
      <w:r>
        <w:rPr>
          <w:color w:val="231F20"/>
          <w:spacing w:val="-6"/>
        </w:rPr>
        <w:t xml:space="preserve"> </w:t>
      </w:r>
      <w:r>
        <w:rPr>
          <w:color w:val="231F20"/>
        </w:rPr>
        <w:t>responsibility,</w:t>
      </w:r>
      <w:r>
        <w:rPr>
          <w:color w:val="231F20"/>
          <w:spacing w:val="-6"/>
        </w:rPr>
        <w:t xml:space="preserve"> </w:t>
      </w:r>
      <w:r>
        <w:rPr>
          <w:color w:val="231F20"/>
        </w:rPr>
        <w:t>a</w:t>
      </w:r>
      <w:r>
        <w:rPr>
          <w:color w:val="231F20"/>
          <w:spacing w:val="-7"/>
        </w:rPr>
        <w:t xml:space="preserve"> </w:t>
      </w:r>
      <w:r>
        <w:rPr>
          <w:color w:val="231F20"/>
        </w:rPr>
        <w:t>concept</w:t>
      </w:r>
      <w:r>
        <w:rPr>
          <w:color w:val="231F20"/>
          <w:spacing w:val="-7"/>
        </w:rPr>
        <w:t xml:space="preserve"> </w:t>
      </w:r>
      <w:r>
        <w:rPr>
          <w:color w:val="231F20"/>
        </w:rPr>
        <w:t xml:space="preserve">which has no basis in </w:t>
      </w:r>
      <w:r>
        <w:rPr>
          <w:color w:val="231F20"/>
          <w:spacing w:val="-4"/>
        </w:rPr>
        <w:t xml:space="preserve">law. </w:t>
      </w:r>
      <w:r>
        <w:rPr>
          <w:color w:val="231F20"/>
        </w:rPr>
        <w:t xml:space="preserve">The entire indictment is demagogy—and this has become clear, just as it has become clear (ever since his outburst during the evidentiary hearing) why Prinzing must exclude us. As a result, it must be demagogically propped up with perjury and restrictions on our depositions. And we see how Prinzing sees things in a </w:t>
      </w:r>
      <w:r>
        <w:rPr>
          <w:color w:val="231F20"/>
          <w:spacing w:val="-2"/>
        </w:rPr>
        <w:t xml:space="preserve">way </w:t>
      </w:r>
      <w:r>
        <w:rPr>
          <w:color w:val="231F20"/>
        </w:rPr>
        <w:t>that allows for a verdict even though there is no evidence; and so it becomes clear why he previously, and now for a second time, felt obliged to decimate the</w:t>
      </w:r>
      <w:r>
        <w:rPr>
          <w:color w:val="231F20"/>
          <w:spacing w:val="10"/>
        </w:rPr>
        <w:t xml:space="preserve"> </w:t>
      </w:r>
      <w:r>
        <w:rPr>
          <w:color w:val="231F20"/>
        </w:rPr>
        <w:t>defense</w:t>
      </w:r>
      <w:r>
        <w:rPr>
          <w:color w:val="231F20"/>
          <w:spacing w:val="10"/>
        </w:rPr>
        <w:t xml:space="preserve"> </w:t>
      </w:r>
      <w:r>
        <w:rPr>
          <w:color w:val="231F20"/>
        </w:rPr>
        <w:t>with</w:t>
      </w:r>
      <w:r>
        <w:rPr>
          <w:color w:val="231F20"/>
          <w:spacing w:val="10"/>
        </w:rPr>
        <w:t xml:space="preserve"> </w:t>
      </w:r>
      <w:r>
        <w:rPr>
          <w:color w:val="231F20"/>
        </w:rPr>
        <w:t>a</w:t>
      </w:r>
      <w:r>
        <w:rPr>
          <w:color w:val="231F20"/>
          <w:spacing w:val="10"/>
        </w:rPr>
        <w:t xml:space="preserve"> </w:t>
      </w:r>
      <w:r>
        <w:rPr>
          <w:color w:val="231F20"/>
        </w:rPr>
        <w:t>volley</w:t>
      </w:r>
      <w:r>
        <w:rPr>
          <w:color w:val="231F20"/>
          <w:spacing w:val="10"/>
        </w:rPr>
        <w:t xml:space="preserve"> </w:t>
      </w:r>
      <w:r>
        <w:rPr>
          <w:color w:val="231F20"/>
        </w:rPr>
        <w:t>of</w:t>
      </w:r>
      <w:r>
        <w:rPr>
          <w:color w:val="231F20"/>
          <w:spacing w:val="10"/>
        </w:rPr>
        <w:t xml:space="preserve"> </w:t>
      </w:r>
      <w:r>
        <w:rPr>
          <w:color w:val="231F20"/>
        </w:rPr>
        <w:t>legislation</w:t>
      </w:r>
      <w:r>
        <w:rPr>
          <w:color w:val="231F20"/>
          <w:spacing w:val="10"/>
        </w:rPr>
        <w:t xml:space="preserve"> </w:t>
      </w:r>
      <w:r>
        <w:rPr>
          <w:color w:val="231F20"/>
        </w:rPr>
        <w:t>and</w:t>
      </w:r>
      <w:r>
        <w:rPr>
          <w:color w:val="231F20"/>
          <w:spacing w:val="10"/>
        </w:rPr>
        <w:t xml:space="preserve"> </w:t>
      </w:r>
      <w:r>
        <w:rPr>
          <w:color w:val="231F20"/>
        </w:rPr>
        <w:t>illegal</w:t>
      </w:r>
      <w:r>
        <w:rPr>
          <w:color w:val="231F20"/>
          <w:spacing w:val="10"/>
        </w:rPr>
        <w:t xml:space="preserve"> </w:t>
      </w:r>
      <w:r>
        <w:rPr>
          <w:color w:val="231F20"/>
        </w:rPr>
        <w:t>attacks.</w:t>
      </w:r>
    </w:p>
    <w:p w14:paraId="5DDB3D51" w14:textId="77777777" w:rsidR="002653E8" w:rsidRDefault="003115E3">
      <w:pPr>
        <w:pStyle w:val="a3"/>
        <w:spacing w:line="220" w:lineRule="exact"/>
        <w:ind w:left="1358"/>
      </w:pPr>
      <w:r>
        <w:rPr>
          <w:color w:val="231F20"/>
        </w:rPr>
        <w:t>We have been amused by this for some time now.</w:t>
      </w:r>
    </w:p>
    <w:p w14:paraId="3ECC369A" w14:textId="77777777" w:rsidR="002653E8" w:rsidRDefault="003115E3">
      <w:pPr>
        <w:pStyle w:val="a3"/>
        <w:spacing w:before="14" w:line="264" w:lineRule="auto"/>
        <w:ind w:left="1148" w:right="1325" w:firstLine="210"/>
        <w:jc w:val="both"/>
      </w:pPr>
      <w:r>
        <w:rPr>
          <w:color w:val="231F20"/>
        </w:rPr>
        <w:t>We consider what is going on here to be a masterpiece of reactionary art. Here, in this “palace of freedom” (as Prinzing calls these state security urinals), state security is pitifully subsumed within a mass of alienated activities. Or in other words, it’s as if the same piece is being played out on three superimposed levels of the same Renaissance stage—the military level, the judicial level, and the political level.</w:t>
      </w:r>
    </w:p>
    <w:p w14:paraId="3B578B2F" w14:textId="77777777" w:rsidR="002653E8" w:rsidRDefault="003115E3">
      <w:pPr>
        <w:pStyle w:val="a3"/>
        <w:spacing w:line="228" w:lineRule="exact"/>
        <w:ind w:left="1358"/>
      </w:pPr>
      <w:r>
        <w:rPr>
          <w:color w:val="231F20"/>
        </w:rPr>
        <w:t>The indictment is based on a pack of lies.</w:t>
      </w:r>
    </w:p>
    <w:p w14:paraId="288370BA" w14:textId="77777777" w:rsidR="002653E8" w:rsidRDefault="00000000">
      <w:pPr>
        <w:pStyle w:val="a3"/>
        <w:spacing w:before="4"/>
        <w:rPr>
          <w:sz w:val="27"/>
        </w:rPr>
      </w:pPr>
      <w:r>
        <w:rPr>
          <w:noProof w:val="0"/>
        </w:rPr>
        <w:pict w14:anchorId="3B8502AE">
          <v:line id="_x0000_s2308" style="position:absolute;z-index:8128;mso-wrap-distance-left:0;mso-wrap-distance-right:0;mso-position-horizontal-relative:page" from="57.4pt,18.25pt" to="129.4pt,18.25pt" strokecolor="#231f20" strokeweight=".5pt">
            <w10:wrap type="topAndBottom" anchorx="page"/>
          </v:line>
        </w:pict>
      </w:r>
    </w:p>
    <w:p w14:paraId="55886390" w14:textId="77777777" w:rsidR="002653E8" w:rsidRDefault="003115E3">
      <w:pPr>
        <w:spacing w:before="53" w:line="254" w:lineRule="auto"/>
        <w:ind w:left="1147" w:right="1739"/>
        <w:jc w:val="both"/>
        <w:rPr>
          <w:sz w:val="16"/>
        </w:rPr>
      </w:pPr>
      <w:r>
        <w:rPr>
          <w:color w:val="231F20"/>
          <w:w w:val="105"/>
          <w:sz w:val="16"/>
        </w:rPr>
        <w:t xml:space="preserve">1 </w:t>
      </w:r>
      <w:r>
        <w:rPr>
          <w:color w:val="231F20"/>
          <w:spacing w:val="-3"/>
          <w:w w:val="105"/>
          <w:sz w:val="14"/>
        </w:rPr>
        <w:t>§</w:t>
      </w:r>
      <w:r>
        <w:rPr>
          <w:color w:val="231F20"/>
          <w:spacing w:val="-3"/>
          <w:w w:val="105"/>
          <w:sz w:val="16"/>
        </w:rPr>
        <w:t xml:space="preserve">231a </w:t>
      </w:r>
      <w:r>
        <w:rPr>
          <w:color w:val="231F20"/>
          <w:w w:val="105"/>
          <w:sz w:val="16"/>
        </w:rPr>
        <w:t xml:space="preserve">and </w:t>
      </w:r>
      <w:r>
        <w:rPr>
          <w:color w:val="231F20"/>
          <w:spacing w:val="-4"/>
          <w:w w:val="105"/>
          <w:sz w:val="14"/>
        </w:rPr>
        <w:t>§</w:t>
      </w:r>
      <w:r>
        <w:rPr>
          <w:color w:val="231F20"/>
          <w:spacing w:val="-4"/>
          <w:w w:val="105"/>
          <w:sz w:val="16"/>
        </w:rPr>
        <w:t xml:space="preserve">231b  </w:t>
      </w:r>
      <w:r>
        <w:rPr>
          <w:color w:val="231F20"/>
          <w:w w:val="105"/>
          <w:sz w:val="16"/>
        </w:rPr>
        <w:t>allowed for trials to continue in the absence of a defendant,  if the reason for this absence was found to be of the defendant’s own doing—a stipulation</w:t>
      </w:r>
      <w:r>
        <w:rPr>
          <w:color w:val="231F20"/>
          <w:spacing w:val="5"/>
          <w:w w:val="105"/>
          <w:sz w:val="16"/>
        </w:rPr>
        <w:t xml:space="preserve"> </w:t>
      </w:r>
      <w:r>
        <w:rPr>
          <w:color w:val="231F20"/>
          <w:w w:val="105"/>
          <w:sz w:val="16"/>
        </w:rPr>
        <w:t>directly</w:t>
      </w:r>
      <w:r>
        <w:rPr>
          <w:color w:val="231F20"/>
          <w:spacing w:val="5"/>
          <w:w w:val="105"/>
          <w:sz w:val="16"/>
        </w:rPr>
        <w:t xml:space="preserve"> </w:t>
      </w:r>
      <w:r>
        <w:rPr>
          <w:color w:val="231F20"/>
          <w:w w:val="105"/>
          <w:sz w:val="16"/>
        </w:rPr>
        <w:t>aimed</w:t>
      </w:r>
      <w:r>
        <w:rPr>
          <w:color w:val="231F20"/>
          <w:spacing w:val="5"/>
          <w:w w:val="105"/>
          <w:sz w:val="16"/>
        </w:rPr>
        <w:t xml:space="preserve"> </w:t>
      </w:r>
      <w:r>
        <w:rPr>
          <w:color w:val="231F20"/>
          <w:w w:val="105"/>
          <w:sz w:val="16"/>
        </w:rPr>
        <w:t>at</w:t>
      </w:r>
      <w:r>
        <w:rPr>
          <w:color w:val="231F20"/>
          <w:spacing w:val="5"/>
          <w:w w:val="105"/>
          <w:sz w:val="16"/>
        </w:rPr>
        <w:t xml:space="preserve"> </w:t>
      </w:r>
      <w:r>
        <w:rPr>
          <w:color w:val="231F20"/>
          <w:w w:val="105"/>
          <w:sz w:val="16"/>
        </w:rPr>
        <w:t>the</w:t>
      </w:r>
      <w:r>
        <w:rPr>
          <w:color w:val="231F20"/>
          <w:spacing w:val="5"/>
          <w:w w:val="105"/>
          <w:sz w:val="16"/>
        </w:rPr>
        <w:t xml:space="preserve"> </w:t>
      </w:r>
      <w:r>
        <w:rPr>
          <w:color w:val="231F20"/>
          <w:w w:val="105"/>
          <w:sz w:val="16"/>
        </w:rPr>
        <w:t>prisoners’</w:t>
      </w:r>
      <w:r>
        <w:rPr>
          <w:color w:val="231F20"/>
          <w:spacing w:val="5"/>
          <w:w w:val="105"/>
          <w:sz w:val="16"/>
        </w:rPr>
        <w:t xml:space="preserve"> </w:t>
      </w:r>
      <w:r>
        <w:rPr>
          <w:color w:val="231F20"/>
          <w:w w:val="105"/>
          <w:sz w:val="16"/>
        </w:rPr>
        <w:t>effective</w:t>
      </w:r>
      <w:r>
        <w:rPr>
          <w:color w:val="231F20"/>
          <w:spacing w:val="5"/>
          <w:w w:val="105"/>
          <w:sz w:val="16"/>
        </w:rPr>
        <w:t xml:space="preserve"> </w:t>
      </w:r>
      <w:r>
        <w:rPr>
          <w:color w:val="231F20"/>
          <w:w w:val="105"/>
          <w:sz w:val="16"/>
        </w:rPr>
        <w:t>use</w:t>
      </w:r>
      <w:r>
        <w:rPr>
          <w:color w:val="231F20"/>
          <w:spacing w:val="5"/>
          <w:w w:val="105"/>
          <w:sz w:val="16"/>
        </w:rPr>
        <w:t xml:space="preserve"> </w:t>
      </w:r>
      <w:r>
        <w:rPr>
          <w:color w:val="231F20"/>
          <w:w w:val="105"/>
          <w:sz w:val="16"/>
        </w:rPr>
        <w:t>of</w:t>
      </w:r>
      <w:r>
        <w:rPr>
          <w:color w:val="231F20"/>
          <w:spacing w:val="5"/>
          <w:w w:val="105"/>
          <w:sz w:val="16"/>
        </w:rPr>
        <w:t xml:space="preserve"> </w:t>
      </w:r>
      <w:r>
        <w:rPr>
          <w:color w:val="231F20"/>
          <w:w w:val="105"/>
          <w:sz w:val="16"/>
        </w:rPr>
        <w:t>hunger</w:t>
      </w:r>
      <w:r>
        <w:rPr>
          <w:color w:val="231F20"/>
          <w:spacing w:val="5"/>
          <w:w w:val="105"/>
          <w:sz w:val="16"/>
        </w:rPr>
        <w:t xml:space="preserve"> </w:t>
      </w:r>
      <w:r>
        <w:rPr>
          <w:color w:val="231F20"/>
          <w:w w:val="105"/>
          <w:sz w:val="16"/>
        </w:rPr>
        <w:t>strikes.</w:t>
      </w:r>
    </w:p>
    <w:p w14:paraId="6C607CE7" w14:textId="77777777" w:rsidR="002653E8" w:rsidRDefault="002653E8">
      <w:pPr>
        <w:spacing w:line="254" w:lineRule="auto"/>
        <w:jc w:val="both"/>
        <w:rPr>
          <w:sz w:val="16"/>
        </w:rPr>
        <w:sectPr w:rsidR="002653E8">
          <w:footerReference w:type="even" r:id="rId317"/>
          <w:footerReference w:type="default" r:id="rId318"/>
          <w:pgSz w:w="8640" w:h="12960"/>
          <w:pgMar w:top="1220" w:right="0" w:bottom="1040" w:left="0" w:header="0" w:footer="850" w:gutter="0"/>
          <w:pgNumType w:start="372"/>
          <w:cols w:space="720"/>
        </w:sectPr>
      </w:pPr>
    </w:p>
    <w:p w14:paraId="4CA491D8" w14:textId="77777777" w:rsidR="002653E8" w:rsidRDefault="003115E3">
      <w:pPr>
        <w:pStyle w:val="a3"/>
        <w:spacing w:before="86" w:line="264" w:lineRule="auto"/>
        <w:ind w:left="1327" w:right="1145" w:firstLine="210"/>
        <w:jc w:val="both"/>
      </w:pPr>
      <w:r>
        <w:rPr>
          <w:color w:val="231F20"/>
        </w:rPr>
        <w:lastRenderedPageBreak/>
        <w:t>After state security suppressed nine-tenths of the files—and, as Wunder stated, it wasn’t the BAW, but the BKA: the BAW itself, according to Wunder, is only familiar with a fraction of these files—they have been obliged to work with lies.</w:t>
      </w:r>
    </w:p>
    <w:p w14:paraId="607BE2E9" w14:textId="77777777" w:rsidR="002653E8" w:rsidRDefault="003115E3">
      <w:pPr>
        <w:pStyle w:val="a3"/>
        <w:spacing w:line="264" w:lineRule="auto"/>
        <w:ind w:left="1327" w:right="1146" w:firstLine="210"/>
        <w:jc w:val="both"/>
      </w:pPr>
      <w:r>
        <w:rPr>
          <w:color w:val="231F20"/>
        </w:rPr>
        <w:t xml:space="preserve">One of the lies is the claim that one can, using </w:t>
      </w:r>
      <w:r>
        <w:rPr>
          <w:color w:val="231F20"/>
          <w:spacing w:val="-4"/>
          <w:sz w:val="18"/>
        </w:rPr>
        <w:t>§</w:t>
      </w:r>
      <w:r>
        <w:rPr>
          <w:color w:val="231F20"/>
          <w:spacing w:val="-4"/>
        </w:rPr>
        <w:t xml:space="preserve">129, </w:t>
      </w:r>
      <w:r>
        <w:rPr>
          <w:color w:val="231F20"/>
        </w:rPr>
        <w:t xml:space="preserve">construct an indictment that can allow for a “normal criminal trial”—even though this paragraph, since it inception, that is to say since the communist trials in Cologne in </w:t>
      </w:r>
      <w:r>
        <w:rPr>
          <w:color w:val="231F20"/>
          <w:spacing w:val="-3"/>
        </w:rPr>
        <w:t>1849,</w:t>
      </w:r>
      <w:r>
        <w:rPr>
          <w:color w:val="231F20"/>
          <w:spacing w:val="-3"/>
          <w:position w:val="7"/>
          <w:sz w:val="11"/>
        </w:rPr>
        <w:t xml:space="preserve">2 </w:t>
      </w:r>
      <w:r>
        <w:rPr>
          <w:color w:val="231F20"/>
        </w:rPr>
        <w:t>has been openly used to criminalize political activity, assimilating proletarian politics into criminality. So as to not disrupt normal criminal proceedings, they use the concept of “criminal association,” a concept that historically has only come into play when dealing with proletarian</w:t>
      </w:r>
      <w:r>
        <w:rPr>
          <w:color w:val="231F20"/>
          <w:spacing w:val="35"/>
        </w:rPr>
        <w:t xml:space="preserve"> </w:t>
      </w:r>
      <w:r>
        <w:rPr>
          <w:color w:val="231F20"/>
        </w:rPr>
        <w:t>organizations.</w:t>
      </w:r>
    </w:p>
    <w:p w14:paraId="0BBCDD83" w14:textId="77777777" w:rsidR="002653E8" w:rsidRDefault="003115E3">
      <w:pPr>
        <w:pStyle w:val="a3"/>
        <w:spacing w:line="264" w:lineRule="auto"/>
        <w:ind w:left="1327" w:right="1145" w:firstLine="210"/>
        <w:jc w:val="both"/>
      </w:pPr>
      <w:r>
        <w:rPr>
          <w:color w:val="231F20"/>
        </w:rPr>
        <w:t>It is a lie to say that the goal of a revolutionary organization is to commit reprehensible acts.</w:t>
      </w:r>
    </w:p>
    <w:p w14:paraId="678AAE66" w14:textId="77777777" w:rsidR="002653E8" w:rsidRDefault="003115E3">
      <w:pPr>
        <w:pStyle w:val="a3"/>
        <w:spacing w:line="264" w:lineRule="auto"/>
        <w:ind w:left="1327" w:right="1146" w:firstLine="210"/>
        <w:jc w:val="both"/>
      </w:pPr>
      <w:r>
        <w:rPr>
          <w:color w:val="231F20"/>
        </w:rPr>
        <w:t>The revolutionary organization is not a legal entity, and its aims—we say, its goals and objectives—cannot be understood in dead categories like those found in the penal code, which represents the bourgeoisie’s ahistorical view of itself. As if, outside of the state apparatus and the imperialist financial oligarchy, there is anyone who commits crimes that have as their objective oppression, enslavement, murder, and fraud— which are only the watered down expressions of imperialism’s goals.</w:t>
      </w:r>
    </w:p>
    <w:p w14:paraId="4E5167A7" w14:textId="77777777" w:rsidR="002653E8" w:rsidRDefault="003115E3">
      <w:pPr>
        <w:pStyle w:val="a3"/>
        <w:spacing w:line="264" w:lineRule="auto"/>
        <w:ind w:left="1327" w:right="1145" w:firstLine="210"/>
        <w:jc w:val="both"/>
      </w:pPr>
      <w:r>
        <w:rPr>
          <w:color w:val="231F20"/>
        </w:rPr>
        <w:t xml:space="preserve">Given the role and the function that  </w:t>
      </w:r>
      <w:r>
        <w:rPr>
          <w:color w:val="231F20"/>
          <w:spacing w:val="-4"/>
          <w:sz w:val="18"/>
        </w:rPr>
        <w:t>§</w:t>
      </w:r>
      <w:r>
        <w:rPr>
          <w:color w:val="231F20"/>
          <w:spacing w:val="-4"/>
        </w:rPr>
        <w:t xml:space="preserve">129  </w:t>
      </w:r>
      <w:r>
        <w:rPr>
          <w:color w:val="231F20"/>
        </w:rPr>
        <w:t xml:space="preserve">has  had  in  class  con flicts since </w:t>
      </w:r>
      <w:r>
        <w:rPr>
          <w:color w:val="231F20"/>
          <w:spacing w:val="-4"/>
        </w:rPr>
        <w:t xml:space="preserve">1848, </w:t>
      </w:r>
      <w:r>
        <w:rPr>
          <w:color w:val="231F20"/>
        </w:rPr>
        <w:t xml:space="preserve">it is a special </w:t>
      </w:r>
      <w:r>
        <w:rPr>
          <w:color w:val="231F20"/>
          <w:spacing w:val="-4"/>
        </w:rPr>
        <w:t xml:space="preserve">law. </w:t>
      </w:r>
      <w:r>
        <w:rPr>
          <w:color w:val="231F20"/>
        </w:rPr>
        <w:t>Ever since the trial of the Cologne Communists, since the Bismarck Socialist Laws, since the “law against participation in associations that are enemies of the state” during the Weimar Republic, its legacy and essence has been to criminalize the extra-parliamentary opposition by institutionalizing anticommunism within parliament’s legal</w:t>
      </w:r>
      <w:r>
        <w:rPr>
          <w:color w:val="231F20"/>
          <w:spacing w:val="32"/>
        </w:rPr>
        <w:t xml:space="preserve"> </w:t>
      </w:r>
      <w:r>
        <w:rPr>
          <w:color w:val="231F20"/>
        </w:rPr>
        <w:t>machinery.</w:t>
      </w:r>
    </w:p>
    <w:p w14:paraId="24026163" w14:textId="77777777" w:rsidR="002653E8" w:rsidRDefault="003115E3">
      <w:pPr>
        <w:pStyle w:val="a3"/>
        <w:spacing w:line="264" w:lineRule="auto"/>
        <w:ind w:left="1327" w:right="1145" w:firstLine="210"/>
        <w:jc w:val="both"/>
      </w:pPr>
      <w:r>
        <w:rPr>
          <w:color w:val="231F20"/>
        </w:rPr>
        <w:t>In and of itself, bourgeois democracy—which in Germany has taken form as a constitutional state—has always found its fascist complement to the degree that it legalizes the liquidation of the extra-parliamentary opposition, with its tendency to become antagonistic. In this sense, justice has always been class justice, which is to say, political justice.</w:t>
      </w:r>
    </w:p>
    <w:p w14:paraId="0A5EE624" w14:textId="77777777" w:rsidR="002653E8" w:rsidRDefault="00000000">
      <w:pPr>
        <w:pStyle w:val="a3"/>
        <w:spacing w:line="264" w:lineRule="auto"/>
        <w:ind w:left="1328" w:right="1145" w:firstLine="210"/>
        <w:jc w:val="both"/>
      </w:pPr>
      <w:r>
        <w:rPr>
          <w:noProof w:val="0"/>
        </w:rPr>
        <w:pict w14:anchorId="78C48E9F">
          <v:line id="_x0000_s2307" style="position:absolute;left:0;text-align:left;z-index:8152;mso-wrap-distance-left:0;mso-wrap-distance-right:0;mso-position-horizontal-relative:page" from="66.4pt,45.65pt" to="138.4pt,45.65pt" strokecolor="#231f20" strokeweight=".5pt">
            <w10:wrap type="topAndBottom" anchorx="page"/>
          </v:line>
        </w:pict>
      </w:r>
      <w:r w:rsidR="003115E3">
        <w:rPr>
          <w:color w:val="231F20"/>
          <w:spacing w:val="1"/>
        </w:rPr>
        <w:t xml:space="preserve">In </w:t>
      </w:r>
      <w:r w:rsidR="003115E3">
        <w:rPr>
          <w:color w:val="231F20"/>
        </w:rPr>
        <w:t>other words, bourgeois democracy is inherently dysfunctional given its role in stifling class struggle when different factions of capi  tal</w:t>
      </w:r>
      <w:r w:rsidR="003115E3">
        <w:rPr>
          <w:color w:val="231F20"/>
          <w:spacing w:val="33"/>
        </w:rPr>
        <w:t xml:space="preserve"> </w:t>
      </w:r>
      <w:r w:rsidR="003115E3">
        <w:rPr>
          <w:color w:val="231F20"/>
        </w:rPr>
        <w:t>come</w:t>
      </w:r>
      <w:r w:rsidR="003115E3">
        <w:rPr>
          <w:color w:val="231F20"/>
          <w:spacing w:val="33"/>
        </w:rPr>
        <w:t xml:space="preserve"> </w:t>
      </w:r>
      <w:r w:rsidR="003115E3">
        <w:rPr>
          <w:color w:val="231F20"/>
        </w:rPr>
        <w:t>in</w:t>
      </w:r>
      <w:r w:rsidR="003115E3">
        <w:rPr>
          <w:color w:val="231F20"/>
          <w:spacing w:val="33"/>
        </w:rPr>
        <w:t xml:space="preserve"> </w:t>
      </w:r>
      <w:r w:rsidR="003115E3">
        <w:rPr>
          <w:color w:val="231F20"/>
        </w:rPr>
        <w:t>conflict</w:t>
      </w:r>
      <w:r w:rsidR="003115E3">
        <w:rPr>
          <w:color w:val="231F20"/>
          <w:spacing w:val="33"/>
        </w:rPr>
        <w:t xml:space="preserve"> </w:t>
      </w:r>
      <w:r w:rsidR="003115E3">
        <w:rPr>
          <w:color w:val="231F20"/>
        </w:rPr>
        <w:t>with</w:t>
      </w:r>
      <w:r w:rsidR="003115E3">
        <w:rPr>
          <w:color w:val="231F20"/>
          <w:spacing w:val="33"/>
        </w:rPr>
        <w:t xml:space="preserve"> </w:t>
      </w:r>
      <w:r w:rsidR="003115E3">
        <w:rPr>
          <w:color w:val="231F20"/>
        </w:rPr>
        <w:t>each</w:t>
      </w:r>
      <w:r w:rsidR="003115E3">
        <w:rPr>
          <w:color w:val="231F20"/>
          <w:spacing w:val="33"/>
        </w:rPr>
        <w:t xml:space="preserve"> </w:t>
      </w:r>
      <w:r w:rsidR="003115E3">
        <w:rPr>
          <w:color w:val="231F20"/>
        </w:rPr>
        <w:t>other</w:t>
      </w:r>
      <w:r w:rsidR="003115E3">
        <w:rPr>
          <w:color w:val="231F20"/>
          <w:spacing w:val="33"/>
        </w:rPr>
        <w:t xml:space="preserve"> </w:t>
      </w:r>
      <w:r w:rsidR="003115E3">
        <w:rPr>
          <w:color w:val="231F20"/>
        </w:rPr>
        <w:t>within</w:t>
      </w:r>
      <w:r w:rsidR="003115E3">
        <w:rPr>
          <w:color w:val="231F20"/>
          <w:spacing w:val="33"/>
        </w:rPr>
        <w:t xml:space="preserve"> </w:t>
      </w:r>
      <w:r w:rsidR="003115E3">
        <w:rPr>
          <w:color w:val="231F20"/>
        </w:rPr>
        <w:t>the</w:t>
      </w:r>
      <w:r w:rsidR="003115E3">
        <w:rPr>
          <w:color w:val="231F20"/>
          <w:spacing w:val="33"/>
        </w:rPr>
        <w:t xml:space="preserve"> </w:t>
      </w:r>
      <w:r w:rsidR="003115E3">
        <w:rPr>
          <w:color w:val="231F20"/>
        </w:rPr>
        <w:t>competitive</w:t>
      </w:r>
      <w:r w:rsidR="003115E3">
        <w:rPr>
          <w:color w:val="231F20"/>
          <w:spacing w:val="33"/>
        </w:rPr>
        <w:t xml:space="preserve"> </w:t>
      </w:r>
      <w:r w:rsidR="003115E3">
        <w:rPr>
          <w:color w:val="231F20"/>
        </w:rPr>
        <w:t>capitalist</w:t>
      </w:r>
    </w:p>
    <w:p w14:paraId="75AF9804" w14:textId="77777777" w:rsidR="002653E8" w:rsidRDefault="003115E3">
      <w:pPr>
        <w:spacing w:before="53" w:line="254" w:lineRule="auto"/>
        <w:ind w:left="1327" w:right="1145" w:hanging="1"/>
        <w:rPr>
          <w:sz w:val="16"/>
        </w:rPr>
      </w:pPr>
      <w:r>
        <w:rPr>
          <w:color w:val="231F20"/>
          <w:w w:val="105"/>
          <w:sz w:val="16"/>
        </w:rPr>
        <w:t>2 Following the 1848 working class uprising in Germany in which prominent communists including Karl Marx and Friedrich Engels played an important role, a series of trials in Cologne was used in a partially successful attempt to destroy the Communist League, also known as the First International.</w:t>
      </w:r>
    </w:p>
    <w:p w14:paraId="6C67C058" w14:textId="77777777" w:rsidR="002653E8" w:rsidRDefault="002653E8">
      <w:pPr>
        <w:spacing w:line="254" w:lineRule="auto"/>
        <w:rPr>
          <w:sz w:val="16"/>
        </w:rPr>
        <w:sectPr w:rsidR="002653E8">
          <w:pgSz w:w="8640" w:h="12960"/>
          <w:pgMar w:top="1060" w:right="0" w:bottom="1040" w:left="0" w:header="0" w:footer="850" w:gutter="0"/>
          <w:cols w:space="720"/>
        </w:sectPr>
      </w:pPr>
    </w:p>
    <w:p w14:paraId="634AE993" w14:textId="77777777" w:rsidR="002653E8" w:rsidRDefault="003115E3">
      <w:pPr>
        <w:pStyle w:val="a3"/>
        <w:spacing w:before="86" w:line="264" w:lineRule="auto"/>
        <w:ind w:left="1147" w:right="1327"/>
        <w:jc w:val="both"/>
      </w:pPr>
      <w:r>
        <w:rPr>
          <w:color w:val="231F20"/>
        </w:rPr>
        <w:lastRenderedPageBreak/>
        <w:t xml:space="preserve">system. </w:t>
      </w:r>
      <w:r>
        <w:rPr>
          <w:color w:val="231F20"/>
          <w:spacing w:val="1"/>
        </w:rPr>
        <w:t xml:space="preserve">In </w:t>
      </w:r>
      <w:r>
        <w:rPr>
          <w:color w:val="231F20"/>
        </w:rPr>
        <w:t>the bourgeois constitution, it anticipates the class struggle   as class war. Communists have always been outlaws in Germany, and anticommunism a</w:t>
      </w:r>
      <w:r>
        <w:rPr>
          <w:color w:val="231F20"/>
          <w:spacing w:val="21"/>
        </w:rPr>
        <w:t xml:space="preserve"> </w:t>
      </w:r>
      <w:r>
        <w:rPr>
          <w:color w:val="231F20"/>
        </w:rPr>
        <w:t>given.</w:t>
      </w:r>
    </w:p>
    <w:p w14:paraId="4BEFA51D" w14:textId="77777777" w:rsidR="002653E8" w:rsidRDefault="003115E3">
      <w:pPr>
        <w:pStyle w:val="a3"/>
        <w:spacing w:line="264" w:lineRule="auto"/>
        <w:ind w:left="1147" w:right="1325" w:firstLine="210"/>
        <w:jc w:val="both"/>
      </w:pPr>
      <w:r>
        <w:rPr>
          <w:color w:val="231F20"/>
        </w:rPr>
        <w:t xml:space="preserve">That also means that Prinzing—with his absurd claim that this is a “normal criminal trial” despite the fact that the charges are based on this special law—is operating in an absolute historical vacuum, which explains his hysteria. The </w:t>
      </w:r>
      <w:r>
        <w:rPr>
          <w:color w:val="231F20"/>
          <w:spacing w:val="-6"/>
        </w:rPr>
        <w:t xml:space="preserve">BAW </w:t>
      </w:r>
      <w:r>
        <w:rPr>
          <w:color w:val="231F20"/>
        </w:rPr>
        <w:t>operates in a legal vacuum situated somewhere</w:t>
      </w:r>
      <w:r>
        <w:rPr>
          <w:color w:val="231F20"/>
          <w:spacing w:val="-14"/>
        </w:rPr>
        <w:t xml:space="preserve"> </w:t>
      </w:r>
      <w:r>
        <w:rPr>
          <w:color w:val="231F20"/>
        </w:rPr>
        <w:t>between</w:t>
      </w:r>
      <w:r>
        <w:rPr>
          <w:color w:val="231F20"/>
          <w:spacing w:val="-14"/>
        </w:rPr>
        <w:t xml:space="preserve"> </w:t>
      </w:r>
      <w:r>
        <w:rPr>
          <w:color w:val="231F20"/>
        </w:rPr>
        <w:t>the</w:t>
      </w:r>
      <w:r>
        <w:rPr>
          <w:color w:val="231F20"/>
          <w:spacing w:val="-14"/>
        </w:rPr>
        <w:t xml:space="preserve"> </w:t>
      </w:r>
      <w:r>
        <w:rPr>
          <w:color w:val="231F20"/>
        </w:rPr>
        <w:t>bourgeois</w:t>
      </w:r>
      <w:r>
        <w:rPr>
          <w:color w:val="231F20"/>
          <w:spacing w:val="-14"/>
        </w:rPr>
        <w:t xml:space="preserve"> </w:t>
      </w:r>
      <w:r>
        <w:rPr>
          <w:color w:val="231F20"/>
        </w:rPr>
        <w:t>constitutional</w:t>
      </w:r>
      <w:r>
        <w:rPr>
          <w:color w:val="231F20"/>
          <w:spacing w:val="-14"/>
        </w:rPr>
        <w:t xml:space="preserve"> </w:t>
      </w:r>
      <w:r>
        <w:rPr>
          <w:color w:val="231F20"/>
        </w:rPr>
        <w:t>state</w:t>
      </w:r>
      <w:r>
        <w:rPr>
          <w:color w:val="231F20"/>
          <w:spacing w:val="-14"/>
        </w:rPr>
        <w:t xml:space="preserve"> </w:t>
      </w:r>
      <w:r>
        <w:rPr>
          <w:color w:val="231F20"/>
        </w:rPr>
        <w:t>and</w:t>
      </w:r>
      <w:r>
        <w:rPr>
          <w:color w:val="231F20"/>
          <w:spacing w:val="-14"/>
        </w:rPr>
        <w:t xml:space="preserve"> </w:t>
      </w:r>
      <w:r>
        <w:rPr>
          <w:color w:val="231F20"/>
        </w:rPr>
        <w:t>open</w:t>
      </w:r>
      <w:r>
        <w:rPr>
          <w:color w:val="231F20"/>
          <w:spacing w:val="-13"/>
        </w:rPr>
        <w:t xml:space="preserve"> </w:t>
      </w:r>
      <w:r>
        <w:rPr>
          <w:color w:val="231F20"/>
        </w:rPr>
        <w:t xml:space="preserve">fascism. Nothing is normal and everything is the “exception,” with the objective of rendering such a situation the norm. Even the state’s reaction—which of course this judge fails to grasp—places our treatment in the historical tradition of the persecution of extra-parliamentary opposition to the bourgeois state. Prinzing himself, with </w:t>
      </w:r>
      <w:r>
        <w:rPr>
          <w:color w:val="231F20"/>
          <w:spacing w:val="-4"/>
          <w:sz w:val="18"/>
        </w:rPr>
        <w:t>§</w:t>
      </w:r>
      <w:r>
        <w:rPr>
          <w:color w:val="231F20"/>
          <w:spacing w:val="-4"/>
        </w:rPr>
        <w:t xml:space="preserve">129, </w:t>
      </w:r>
      <w:r>
        <w:rPr>
          <w:color w:val="231F20"/>
        </w:rPr>
        <w:t>establishes the historical identity this state shares with the Kaiser’s Reich, the Weimar Republic, and the Third Reich. The latter was simply more thorough in its criminalization and destruction of the extra-parliamentary opposition than the</w:t>
      </w:r>
      <w:r>
        <w:rPr>
          <w:color w:val="231F20"/>
          <w:spacing w:val="10"/>
        </w:rPr>
        <w:t xml:space="preserve"> </w:t>
      </w:r>
      <w:r>
        <w:rPr>
          <w:color w:val="231F20"/>
        </w:rPr>
        <w:t>Weimar</w:t>
      </w:r>
      <w:r>
        <w:rPr>
          <w:color w:val="231F20"/>
          <w:spacing w:val="10"/>
        </w:rPr>
        <w:t xml:space="preserve"> </w:t>
      </w:r>
      <w:r>
        <w:rPr>
          <w:color w:val="231F20"/>
        </w:rPr>
        <w:t>Republic</w:t>
      </w:r>
      <w:r>
        <w:rPr>
          <w:color w:val="231F20"/>
          <w:spacing w:val="10"/>
        </w:rPr>
        <w:t xml:space="preserve"> </w:t>
      </w:r>
      <w:r>
        <w:rPr>
          <w:color w:val="231F20"/>
        </w:rPr>
        <w:t>and</w:t>
      </w:r>
      <w:r>
        <w:rPr>
          <w:color w:val="231F20"/>
          <w:spacing w:val="10"/>
        </w:rPr>
        <w:t xml:space="preserve"> </w:t>
      </w:r>
      <w:r>
        <w:rPr>
          <w:color w:val="231F20"/>
        </w:rPr>
        <w:t>the</w:t>
      </w:r>
      <w:r>
        <w:rPr>
          <w:color w:val="231F20"/>
          <w:spacing w:val="10"/>
        </w:rPr>
        <w:t xml:space="preserve"> </w:t>
      </w:r>
      <w:r>
        <w:rPr>
          <w:color w:val="231F20"/>
        </w:rPr>
        <w:t>Federal</w:t>
      </w:r>
      <w:r>
        <w:rPr>
          <w:color w:val="231F20"/>
          <w:spacing w:val="10"/>
        </w:rPr>
        <w:t xml:space="preserve"> </w:t>
      </w:r>
      <w:r>
        <w:rPr>
          <w:color w:val="231F20"/>
        </w:rPr>
        <w:t>Republic.</w:t>
      </w:r>
    </w:p>
    <w:p w14:paraId="439E14EA" w14:textId="77777777" w:rsidR="002653E8" w:rsidRDefault="003115E3">
      <w:pPr>
        <w:pStyle w:val="a3"/>
        <w:spacing w:line="219" w:lineRule="exact"/>
        <w:ind w:left="1357"/>
      </w:pPr>
      <w:r>
        <w:rPr>
          <w:color w:val="231F20"/>
        </w:rPr>
        <w:t>Finally, this paragraph conveys the conscious nature of this political</w:t>
      </w:r>
    </w:p>
    <w:p w14:paraId="22952482" w14:textId="77777777" w:rsidR="002653E8" w:rsidRDefault="003115E3">
      <w:pPr>
        <w:pStyle w:val="a3"/>
        <w:spacing w:before="19" w:line="264" w:lineRule="auto"/>
        <w:ind w:left="1147" w:right="1326"/>
        <w:jc w:val="both"/>
      </w:pPr>
      <w:r>
        <w:rPr>
          <w:color w:val="231F20"/>
        </w:rPr>
        <w:t xml:space="preserve">corruption of justice, as it violates the constitutional idea that “Nobody can be deprived </w:t>
      </w:r>
      <w:r>
        <w:rPr>
          <w:color w:val="231F20"/>
          <w:spacing w:val="-5"/>
        </w:rPr>
        <w:t xml:space="preserve">of…,” </w:t>
      </w:r>
      <w:r>
        <w:rPr>
          <w:color w:val="231F20"/>
        </w:rPr>
        <w:t xml:space="preserve">and because </w:t>
      </w:r>
      <w:r>
        <w:rPr>
          <w:color w:val="231F20"/>
          <w:spacing w:val="-3"/>
        </w:rPr>
        <w:t xml:space="preserve">today, </w:t>
      </w:r>
      <w:r>
        <w:rPr>
          <w:color w:val="231F20"/>
        </w:rPr>
        <w:t xml:space="preserve">just as in the 50s, it lays the basis for trials based on opinions, that is to </w:t>
      </w:r>
      <w:r>
        <w:rPr>
          <w:color w:val="231F20"/>
          <w:spacing w:val="-4"/>
        </w:rPr>
        <w:t xml:space="preserve">say, </w:t>
      </w:r>
      <w:r>
        <w:rPr>
          <w:color w:val="231F20"/>
        </w:rPr>
        <w:t>for the criminalization  of</w:t>
      </w:r>
      <w:r>
        <w:rPr>
          <w:color w:val="231F20"/>
          <w:spacing w:val="10"/>
        </w:rPr>
        <w:t xml:space="preserve"> </w:t>
      </w:r>
      <w:r>
        <w:rPr>
          <w:color w:val="231F20"/>
        </w:rPr>
        <w:t>opinions.</w:t>
      </w:r>
    </w:p>
    <w:p w14:paraId="4EA65E5A" w14:textId="77777777" w:rsidR="002653E8" w:rsidRDefault="003115E3">
      <w:pPr>
        <w:pStyle w:val="a3"/>
        <w:spacing w:line="264" w:lineRule="auto"/>
        <w:ind w:left="1147" w:right="1327" w:firstLine="210"/>
        <w:jc w:val="both"/>
      </w:pPr>
      <w:r>
        <w:rPr>
          <w:color w:val="231F20"/>
        </w:rPr>
        <w:t>It is a paragraph that is dysfunctional, given that the bourgeois state claims</w:t>
      </w:r>
      <w:r>
        <w:rPr>
          <w:color w:val="231F20"/>
          <w:spacing w:val="-7"/>
        </w:rPr>
        <w:t xml:space="preserve"> </w:t>
      </w:r>
      <w:r>
        <w:rPr>
          <w:color w:val="231F20"/>
        </w:rPr>
        <w:t>that</w:t>
      </w:r>
      <w:r>
        <w:rPr>
          <w:color w:val="231F20"/>
          <w:spacing w:val="-7"/>
        </w:rPr>
        <w:t xml:space="preserve"> </w:t>
      </w:r>
      <w:r>
        <w:rPr>
          <w:color w:val="231F20"/>
        </w:rPr>
        <w:t>the</w:t>
      </w:r>
      <w:r>
        <w:rPr>
          <w:color w:val="231F20"/>
          <w:spacing w:val="-7"/>
        </w:rPr>
        <w:t xml:space="preserve"> </w:t>
      </w:r>
      <w:r>
        <w:rPr>
          <w:color w:val="231F20"/>
        </w:rPr>
        <w:t>bourgeoisie</w:t>
      </w:r>
      <w:r>
        <w:rPr>
          <w:color w:val="231F20"/>
          <w:spacing w:val="-7"/>
        </w:rPr>
        <w:t xml:space="preserve"> </w:t>
      </w:r>
      <w:r>
        <w:rPr>
          <w:color w:val="231F20"/>
        </w:rPr>
        <w:t>is</w:t>
      </w:r>
      <w:r>
        <w:rPr>
          <w:color w:val="231F20"/>
          <w:spacing w:val="-7"/>
        </w:rPr>
        <w:t xml:space="preserve"> </w:t>
      </w:r>
      <w:r>
        <w:rPr>
          <w:color w:val="231F20"/>
        </w:rPr>
        <w:t>by</w:t>
      </w:r>
      <w:r>
        <w:rPr>
          <w:color w:val="231F20"/>
          <w:spacing w:val="-7"/>
        </w:rPr>
        <w:t xml:space="preserve"> </w:t>
      </w:r>
      <w:r>
        <w:rPr>
          <w:color w:val="231F20"/>
        </w:rPr>
        <w:t>its</w:t>
      </w:r>
      <w:r>
        <w:rPr>
          <w:color w:val="231F20"/>
          <w:spacing w:val="-7"/>
        </w:rPr>
        <w:t xml:space="preserve"> </w:t>
      </w:r>
      <w:r>
        <w:rPr>
          <w:color w:val="231F20"/>
        </w:rPr>
        <w:t>very</w:t>
      </w:r>
      <w:r>
        <w:rPr>
          <w:color w:val="231F20"/>
          <w:spacing w:val="-7"/>
        </w:rPr>
        <w:t xml:space="preserve"> </w:t>
      </w:r>
      <w:r>
        <w:rPr>
          <w:color w:val="231F20"/>
        </w:rPr>
        <w:t>nature</w:t>
      </w:r>
      <w:r>
        <w:rPr>
          <w:color w:val="231F20"/>
          <w:spacing w:val="-7"/>
        </w:rPr>
        <w:t xml:space="preserve"> </w:t>
      </w:r>
      <w:r>
        <w:rPr>
          <w:color w:val="231F20"/>
        </w:rPr>
        <w:t>the</w:t>
      </w:r>
      <w:r>
        <w:rPr>
          <w:color w:val="231F20"/>
          <w:spacing w:val="-7"/>
        </w:rPr>
        <w:t xml:space="preserve"> </w:t>
      </w:r>
      <w:r>
        <w:rPr>
          <w:color w:val="231F20"/>
        </w:rPr>
        <w:t>political</w:t>
      </w:r>
      <w:r>
        <w:rPr>
          <w:color w:val="231F20"/>
          <w:spacing w:val="-7"/>
        </w:rPr>
        <w:t xml:space="preserve"> </w:t>
      </w:r>
      <w:r>
        <w:rPr>
          <w:color w:val="231F20"/>
        </w:rPr>
        <w:t>class.</w:t>
      </w:r>
      <w:r>
        <w:rPr>
          <w:color w:val="231F20"/>
          <w:spacing w:val="-7"/>
        </w:rPr>
        <w:t xml:space="preserve"> </w:t>
      </w:r>
      <w:r>
        <w:rPr>
          <w:color w:val="231F20"/>
        </w:rPr>
        <w:t>Within the bourgeois state’s system of self-justification, it reflects the fact that the system—capitalism—is transitory, as their special law against class antagonism</w:t>
      </w:r>
      <w:r>
        <w:rPr>
          <w:color w:val="231F20"/>
          <w:spacing w:val="10"/>
        </w:rPr>
        <w:t xml:space="preserve"> </w:t>
      </w:r>
      <w:r>
        <w:rPr>
          <w:color w:val="231F20"/>
        </w:rPr>
        <w:t>undermines</w:t>
      </w:r>
      <w:r>
        <w:rPr>
          <w:color w:val="231F20"/>
          <w:spacing w:val="10"/>
        </w:rPr>
        <w:t xml:space="preserve"> </w:t>
      </w:r>
      <w:r>
        <w:rPr>
          <w:color w:val="231F20"/>
        </w:rPr>
        <w:t>the</w:t>
      </w:r>
      <w:r>
        <w:rPr>
          <w:color w:val="231F20"/>
          <w:spacing w:val="10"/>
        </w:rPr>
        <w:t xml:space="preserve"> </w:t>
      </w:r>
      <w:r>
        <w:rPr>
          <w:color w:val="231F20"/>
        </w:rPr>
        <w:t>ideology</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bourgeois</w:t>
      </w:r>
      <w:r>
        <w:rPr>
          <w:color w:val="231F20"/>
          <w:spacing w:val="10"/>
        </w:rPr>
        <w:t xml:space="preserve"> </w:t>
      </w:r>
      <w:r>
        <w:rPr>
          <w:color w:val="231F20"/>
        </w:rPr>
        <w:t>state.</w:t>
      </w:r>
    </w:p>
    <w:p w14:paraId="5F7E7557" w14:textId="77777777" w:rsidR="002653E8" w:rsidRDefault="003115E3">
      <w:pPr>
        <w:pStyle w:val="a3"/>
        <w:spacing w:line="264" w:lineRule="auto"/>
        <w:ind w:left="1147" w:right="1325" w:firstLine="210"/>
        <w:jc w:val="both"/>
      </w:pPr>
      <w:r>
        <w:rPr>
          <w:color w:val="231F20"/>
        </w:rPr>
        <w:t xml:space="preserve">As a special </w:t>
      </w:r>
      <w:r>
        <w:rPr>
          <w:color w:val="231F20"/>
          <w:spacing w:val="-4"/>
        </w:rPr>
        <w:t xml:space="preserve">law, </w:t>
      </w:r>
      <w:r>
        <w:rPr>
          <w:color w:val="231F20"/>
        </w:rPr>
        <w:t xml:space="preserve">it cannot produce any consensus, and no consensus is expected. It equates the monopoly of violence with parliamentarianism and private ownership of the means of production. Clearly, this law is also an expression of the weakness of the proletariat here since </w:t>
      </w:r>
      <w:r>
        <w:rPr>
          <w:color w:val="231F20"/>
          <w:spacing w:val="-8"/>
        </w:rPr>
        <w:t xml:space="preserve">45. </w:t>
      </w:r>
      <w:r>
        <w:rPr>
          <w:color w:val="231F20"/>
        </w:rPr>
        <w:t xml:space="preserve">They want to legally safeguard the situation that the </w:t>
      </w:r>
      <w:r>
        <w:rPr>
          <w:color w:val="231F20"/>
          <w:spacing w:val="1"/>
        </w:rPr>
        <w:t xml:space="preserve">U.S. </w:t>
      </w:r>
      <w:r>
        <w:rPr>
          <w:color w:val="231F20"/>
        </w:rPr>
        <w:t>occupation forces established here, by destroying all examples of autonomous and antagonistic</w:t>
      </w:r>
      <w:r>
        <w:rPr>
          <w:color w:val="231F20"/>
          <w:spacing w:val="10"/>
        </w:rPr>
        <w:t xml:space="preserve"> </w:t>
      </w:r>
      <w:r>
        <w:rPr>
          <w:color w:val="231F20"/>
        </w:rPr>
        <w:t>organization.</w:t>
      </w:r>
    </w:p>
    <w:p w14:paraId="116871DC" w14:textId="77777777" w:rsidR="002653E8" w:rsidRDefault="003115E3">
      <w:pPr>
        <w:pStyle w:val="a3"/>
        <w:spacing w:line="264" w:lineRule="auto"/>
        <w:ind w:left="1147" w:right="1326" w:firstLine="210"/>
        <w:jc w:val="both"/>
      </w:pPr>
      <w:r>
        <w:rPr>
          <w:color w:val="231F20"/>
        </w:rPr>
        <w:t>The entire construct, with its lies, simply reveals the degree to which the imperialist superstructure has lost touch with its own base, has lost touch with everything that makes up life and history. It reveals the deep contradiction found at the heart of the break between society and the state. It reveals the degree to which all the factors that mediate between real life and imperialist legality are dispensed with in this, the most</w:t>
      </w:r>
    </w:p>
    <w:p w14:paraId="6EE4C3EF" w14:textId="77777777" w:rsidR="002653E8" w:rsidRDefault="002653E8">
      <w:pPr>
        <w:spacing w:line="264" w:lineRule="auto"/>
        <w:jc w:val="both"/>
        <w:sectPr w:rsidR="002653E8">
          <w:pgSz w:w="8640" w:h="12960"/>
          <w:pgMar w:top="1060" w:right="0" w:bottom="1040" w:left="0" w:header="0" w:footer="850" w:gutter="0"/>
          <w:cols w:space="720"/>
        </w:sectPr>
      </w:pPr>
    </w:p>
    <w:p w14:paraId="593D9ECF" w14:textId="77777777" w:rsidR="002653E8" w:rsidRDefault="003115E3">
      <w:pPr>
        <w:pStyle w:val="a3"/>
        <w:spacing w:before="86" w:line="264" w:lineRule="auto"/>
        <w:ind w:left="1327" w:right="1147"/>
        <w:jc w:val="both"/>
      </w:pPr>
      <w:r>
        <w:rPr>
          <w:color w:val="231F20"/>
        </w:rPr>
        <w:lastRenderedPageBreak/>
        <w:t>advanced stage of imperialism. They are antagonistic. The relationship is one of war, within which maintaining legitimacy is reduced to simply camouflaging nakedly opportunist</w:t>
      </w:r>
      <w:r>
        <w:rPr>
          <w:color w:val="231F20"/>
          <w:spacing w:val="38"/>
        </w:rPr>
        <w:t xml:space="preserve"> </w:t>
      </w:r>
      <w:r>
        <w:rPr>
          <w:color w:val="231F20"/>
        </w:rPr>
        <w:t>calculations.</w:t>
      </w:r>
    </w:p>
    <w:p w14:paraId="2C025620" w14:textId="77777777" w:rsidR="002653E8" w:rsidRDefault="003115E3">
      <w:pPr>
        <w:pStyle w:val="a3"/>
        <w:spacing w:line="264" w:lineRule="auto"/>
        <w:ind w:left="1327" w:right="1146" w:firstLine="210"/>
        <w:jc w:val="both"/>
      </w:pPr>
      <w:r>
        <w:rPr>
          <w:color w:val="231F20"/>
        </w:rPr>
        <w:t>In short, we only intend to refer to the concept of an offense committed by an organization, which forms the entire basis for Buback’s charge, and which—as it is the only way possible—has been developed through propaganda.</w:t>
      </w:r>
    </w:p>
    <w:p w14:paraId="70AEC4D1" w14:textId="77777777" w:rsidR="002653E8" w:rsidRDefault="003115E3">
      <w:pPr>
        <w:pStyle w:val="a3"/>
        <w:spacing w:line="264" w:lineRule="auto"/>
        <w:ind w:left="1328" w:right="1145" w:firstLine="209"/>
        <w:jc w:val="both"/>
      </w:pPr>
      <w:r>
        <w:rPr>
          <w:color w:val="231F20"/>
        </w:rPr>
        <w:t>But we also do this in the sense of Blanqui: the revolutionary organization will naturally be considered criminal until the old order of bourgeois ownership of the means of production that criminalizes us is replaced</w:t>
      </w:r>
      <w:r>
        <w:rPr>
          <w:color w:val="231F20"/>
          <w:spacing w:val="-6"/>
        </w:rPr>
        <w:t xml:space="preserve"> </w:t>
      </w:r>
      <w:r>
        <w:rPr>
          <w:color w:val="231F20"/>
        </w:rPr>
        <w:t>by</w:t>
      </w:r>
      <w:r>
        <w:rPr>
          <w:color w:val="231F20"/>
          <w:spacing w:val="-6"/>
        </w:rPr>
        <w:t xml:space="preserve"> </w:t>
      </w:r>
      <w:r>
        <w:rPr>
          <w:color w:val="231F20"/>
        </w:rPr>
        <w:t>a</w:t>
      </w:r>
      <w:r>
        <w:rPr>
          <w:color w:val="231F20"/>
          <w:spacing w:val="-6"/>
        </w:rPr>
        <w:t xml:space="preserve"> </w:t>
      </w:r>
      <w:r>
        <w:rPr>
          <w:color w:val="231F20"/>
        </w:rPr>
        <w:t>new</w:t>
      </w:r>
      <w:r>
        <w:rPr>
          <w:color w:val="231F20"/>
          <w:spacing w:val="-6"/>
        </w:rPr>
        <w:t xml:space="preserve"> </w:t>
      </w:r>
      <w:r>
        <w:rPr>
          <w:color w:val="231F20"/>
        </w:rPr>
        <w:t>order—an</w:t>
      </w:r>
      <w:r>
        <w:rPr>
          <w:color w:val="231F20"/>
          <w:spacing w:val="-6"/>
        </w:rPr>
        <w:t xml:space="preserve"> </w:t>
      </w:r>
      <w:r>
        <w:rPr>
          <w:color w:val="231F20"/>
        </w:rPr>
        <w:t>order</w:t>
      </w:r>
      <w:r>
        <w:rPr>
          <w:color w:val="231F20"/>
          <w:spacing w:val="-6"/>
        </w:rPr>
        <w:t xml:space="preserve"> </w:t>
      </w:r>
      <w:r>
        <w:rPr>
          <w:color w:val="231F20"/>
        </w:rPr>
        <w:t>that</w:t>
      </w:r>
      <w:r>
        <w:rPr>
          <w:color w:val="231F20"/>
          <w:spacing w:val="-6"/>
        </w:rPr>
        <w:t xml:space="preserve"> </w:t>
      </w:r>
      <w:r>
        <w:rPr>
          <w:color w:val="231F20"/>
        </w:rPr>
        <w:t>establishes</w:t>
      </w:r>
      <w:r>
        <w:rPr>
          <w:color w:val="231F20"/>
          <w:spacing w:val="-6"/>
        </w:rPr>
        <w:t xml:space="preserve"> </w:t>
      </w:r>
      <w:r>
        <w:rPr>
          <w:color w:val="231F20"/>
        </w:rPr>
        <w:t>the</w:t>
      </w:r>
      <w:r>
        <w:rPr>
          <w:color w:val="231F20"/>
          <w:spacing w:val="-6"/>
        </w:rPr>
        <w:t xml:space="preserve"> </w:t>
      </w:r>
      <w:r>
        <w:rPr>
          <w:color w:val="231F20"/>
        </w:rPr>
        <w:t>social</w:t>
      </w:r>
      <w:r>
        <w:rPr>
          <w:color w:val="231F20"/>
          <w:spacing w:val="-6"/>
        </w:rPr>
        <w:t xml:space="preserve"> </w:t>
      </w:r>
      <w:r>
        <w:rPr>
          <w:color w:val="231F20"/>
        </w:rPr>
        <w:t>appropriation of social</w:t>
      </w:r>
      <w:r>
        <w:rPr>
          <w:color w:val="231F20"/>
          <w:spacing w:val="33"/>
        </w:rPr>
        <w:t xml:space="preserve"> </w:t>
      </w:r>
      <w:r>
        <w:rPr>
          <w:color w:val="231F20"/>
        </w:rPr>
        <w:t>production.</w:t>
      </w:r>
    </w:p>
    <w:p w14:paraId="7BC172CB" w14:textId="77777777" w:rsidR="002653E8" w:rsidRDefault="003115E3">
      <w:pPr>
        <w:pStyle w:val="a3"/>
        <w:spacing w:line="264" w:lineRule="auto"/>
        <w:ind w:left="1328" w:right="1145" w:firstLine="210"/>
        <w:jc w:val="both"/>
      </w:pPr>
      <w:r>
        <w:rPr>
          <w:color w:val="231F20"/>
        </w:rPr>
        <w:t>The law, as long as there are classes, as long as human beings dominate other human beings, is a question of power.</w:t>
      </w:r>
    </w:p>
    <w:p w14:paraId="475DD31A" w14:textId="77777777" w:rsidR="002653E8" w:rsidRDefault="003115E3">
      <w:pPr>
        <w:pStyle w:val="a3"/>
        <w:spacing w:before="112" w:line="261" w:lineRule="auto"/>
        <w:ind w:left="6071" w:right="1146" w:hanging="246"/>
        <w:jc w:val="right"/>
      </w:pPr>
      <w:r>
        <w:rPr>
          <w:color w:val="231F20"/>
        </w:rPr>
        <w:t xml:space="preserve">The </w:t>
      </w:r>
      <w:r w:rsidR="00C507A5">
        <w:rPr>
          <w:color w:val="231F20"/>
        </w:rPr>
        <w:t>red army faction</w:t>
      </w:r>
      <w:r>
        <w:rPr>
          <w:color w:val="231F20"/>
        </w:rPr>
        <w:t xml:space="preserve"> Prisoners</w:t>
      </w:r>
      <w:r>
        <w:rPr>
          <w:color w:val="231F20"/>
          <w:w w:val="90"/>
        </w:rPr>
        <w:t xml:space="preserve"> </w:t>
      </w:r>
      <w:r>
        <w:rPr>
          <w:color w:val="231F20"/>
        </w:rPr>
        <w:t>August 19, 1975</w:t>
      </w:r>
    </w:p>
    <w:p w14:paraId="757861F0" w14:textId="77777777" w:rsidR="002653E8" w:rsidRDefault="002653E8">
      <w:pPr>
        <w:spacing w:line="261" w:lineRule="auto"/>
        <w:jc w:val="right"/>
        <w:sectPr w:rsidR="002653E8">
          <w:pgSz w:w="8640" w:h="12960"/>
          <w:pgMar w:top="1060" w:right="0" w:bottom="1040" w:left="0" w:header="0" w:footer="850" w:gutter="0"/>
          <w:cols w:space="720"/>
        </w:sectPr>
      </w:pPr>
    </w:p>
    <w:p w14:paraId="265217B2" w14:textId="77777777" w:rsidR="002653E8" w:rsidRDefault="003115E3">
      <w:pPr>
        <w:spacing w:before="87"/>
        <w:ind w:left="1147"/>
      </w:pPr>
      <w:bookmarkStart w:id="171" w:name="No_Bomb_in_Munich_Central_Station_(Septe"/>
      <w:bookmarkStart w:id="172" w:name="_bookmark54"/>
      <w:bookmarkEnd w:id="171"/>
      <w:bookmarkEnd w:id="172"/>
      <w:r>
        <w:rPr>
          <w:color w:val="231F20"/>
          <w:w w:val="120"/>
        </w:rPr>
        <w:lastRenderedPageBreak/>
        <w:t>the bomb attack in munich central station</w:t>
      </w:r>
    </w:p>
    <w:p w14:paraId="3663C388" w14:textId="77777777" w:rsidR="002653E8" w:rsidRDefault="002653E8">
      <w:pPr>
        <w:pStyle w:val="a3"/>
        <w:spacing w:before="5"/>
        <w:rPr>
          <w:sz w:val="23"/>
        </w:rPr>
      </w:pPr>
    </w:p>
    <w:p w14:paraId="2C511744" w14:textId="77777777" w:rsidR="002653E8" w:rsidRDefault="003115E3">
      <w:pPr>
        <w:spacing w:before="1" w:line="261" w:lineRule="auto"/>
        <w:ind w:left="1147" w:right="1479"/>
        <w:rPr>
          <w:i/>
          <w:sz w:val="20"/>
        </w:rPr>
      </w:pPr>
      <w:r>
        <w:rPr>
          <w:i/>
          <w:color w:val="231F20"/>
          <w:sz w:val="20"/>
        </w:rPr>
        <w:t xml:space="preserve">In order to create  greater  publicity  for  this  </w:t>
      </w:r>
      <w:r>
        <w:rPr>
          <w:i/>
          <w:color w:val="231F20"/>
          <w:spacing w:val="1"/>
          <w:sz w:val="20"/>
        </w:rPr>
        <w:t xml:space="preserve">statement  </w:t>
      </w:r>
      <w:r>
        <w:rPr>
          <w:i/>
          <w:color w:val="231F20"/>
          <w:sz w:val="20"/>
        </w:rPr>
        <w:t xml:space="preserve">from  the </w:t>
      </w:r>
      <w:r>
        <w:rPr>
          <w:i/>
          <w:color w:val="231F20"/>
          <w:spacing w:val="1"/>
          <w:sz w:val="20"/>
        </w:rPr>
        <w:t xml:space="preserve">guerilla </w:t>
      </w:r>
      <w:r>
        <w:rPr>
          <w:i/>
          <w:color w:val="231F20"/>
          <w:sz w:val="20"/>
        </w:rPr>
        <w:t xml:space="preserve">regarding the right-wing </w:t>
      </w:r>
      <w:r>
        <w:rPr>
          <w:i/>
          <w:color w:val="231F20"/>
          <w:spacing w:val="1"/>
          <w:sz w:val="20"/>
        </w:rPr>
        <w:t xml:space="preserve">attacks, </w:t>
      </w:r>
      <w:r>
        <w:rPr>
          <w:i/>
          <w:color w:val="231F20"/>
          <w:sz w:val="20"/>
        </w:rPr>
        <w:t xml:space="preserve">on </w:t>
      </w:r>
      <w:r>
        <w:rPr>
          <w:i/>
          <w:color w:val="231F20"/>
          <w:spacing w:val="1"/>
          <w:sz w:val="20"/>
        </w:rPr>
        <w:t xml:space="preserve">September </w:t>
      </w:r>
      <w:r>
        <w:rPr>
          <w:rFonts w:ascii="Bookman Old Style"/>
          <w:i/>
          <w:color w:val="231F20"/>
          <w:spacing w:val="-3"/>
          <w:sz w:val="20"/>
        </w:rPr>
        <w:t>14</w:t>
      </w:r>
      <w:r>
        <w:rPr>
          <w:i/>
          <w:color w:val="231F20"/>
          <w:spacing w:val="-3"/>
          <w:sz w:val="20"/>
        </w:rPr>
        <w:t xml:space="preserve">, </w:t>
      </w:r>
      <w:r>
        <w:rPr>
          <w:rFonts w:ascii="Bookman Old Style"/>
          <w:i/>
          <w:color w:val="231F20"/>
          <w:sz w:val="20"/>
        </w:rPr>
        <w:t>1975</w:t>
      </w:r>
      <w:r>
        <w:rPr>
          <w:i/>
          <w:color w:val="231F20"/>
          <w:sz w:val="20"/>
        </w:rPr>
        <w:t xml:space="preserve">, we announced that a bomb would explode in Munich  Central  Station  at </w:t>
      </w:r>
      <w:r>
        <w:rPr>
          <w:rFonts w:ascii="Bookman Old Style"/>
          <w:i/>
          <w:color w:val="231F20"/>
          <w:sz w:val="20"/>
        </w:rPr>
        <w:t>6</w:t>
      </w:r>
      <w:r>
        <w:rPr>
          <w:i/>
          <w:color w:val="231F20"/>
          <w:sz w:val="20"/>
        </w:rPr>
        <w:t>:</w:t>
      </w:r>
      <w:r>
        <w:rPr>
          <w:rFonts w:ascii="Bookman Old Style"/>
          <w:i/>
          <w:color w:val="231F20"/>
          <w:sz w:val="20"/>
        </w:rPr>
        <w:t xml:space="preserve">50 </w:t>
      </w:r>
      <w:r>
        <w:rPr>
          <w:rFonts w:ascii="Bookman Old Style"/>
          <w:i/>
          <w:color w:val="231F20"/>
          <w:sz w:val="20"/>
          <w:vertAlign w:val="subscript"/>
        </w:rPr>
        <w:t>pm</w:t>
      </w:r>
      <w:r>
        <w:rPr>
          <w:i/>
          <w:color w:val="231F20"/>
          <w:sz w:val="20"/>
        </w:rPr>
        <w:t xml:space="preserve">. At </w:t>
      </w:r>
      <w:r>
        <w:rPr>
          <w:rFonts w:ascii="Bookman Old Style"/>
          <w:i/>
          <w:color w:val="231F20"/>
          <w:sz w:val="20"/>
        </w:rPr>
        <w:t>6</w:t>
      </w:r>
      <w:r>
        <w:rPr>
          <w:i/>
          <w:color w:val="231F20"/>
          <w:sz w:val="20"/>
        </w:rPr>
        <w:t>:</w:t>
      </w:r>
      <w:r>
        <w:rPr>
          <w:rFonts w:ascii="Bookman Old Style"/>
          <w:i/>
          <w:color w:val="231F20"/>
          <w:sz w:val="20"/>
        </w:rPr>
        <w:t xml:space="preserve">55 </w:t>
      </w:r>
      <w:r>
        <w:rPr>
          <w:rFonts w:ascii="Bookman Old Style"/>
          <w:i/>
          <w:color w:val="231F20"/>
          <w:sz w:val="20"/>
          <w:vertAlign w:val="subscript"/>
        </w:rPr>
        <w:t>pm</w:t>
      </w:r>
      <w:r>
        <w:rPr>
          <w:i/>
          <w:color w:val="231F20"/>
          <w:sz w:val="20"/>
        </w:rPr>
        <w:t xml:space="preserve">, we telephoned to direct the search to locker </w:t>
      </w:r>
      <w:r>
        <w:rPr>
          <w:rFonts w:ascii="Bookman Old Style"/>
          <w:i/>
          <w:color w:val="231F20"/>
          <w:sz w:val="20"/>
        </w:rPr>
        <w:t>2005</w:t>
      </w:r>
      <w:r>
        <w:rPr>
          <w:i/>
          <w:color w:val="231F20"/>
          <w:sz w:val="20"/>
        </w:rPr>
        <w:t>,  in</w:t>
      </w:r>
      <w:r>
        <w:rPr>
          <w:i/>
          <w:color w:val="231F20"/>
          <w:spacing w:val="21"/>
          <w:sz w:val="20"/>
        </w:rPr>
        <w:t xml:space="preserve"> </w:t>
      </w:r>
      <w:r>
        <w:rPr>
          <w:i/>
          <w:color w:val="231F20"/>
          <w:sz w:val="20"/>
        </w:rPr>
        <w:t>which,</w:t>
      </w:r>
      <w:r>
        <w:rPr>
          <w:i/>
          <w:color w:val="231F20"/>
          <w:spacing w:val="21"/>
          <w:sz w:val="20"/>
        </w:rPr>
        <w:t xml:space="preserve"> </w:t>
      </w:r>
      <w:r>
        <w:rPr>
          <w:i/>
          <w:color w:val="231F20"/>
          <w:sz w:val="20"/>
        </w:rPr>
        <w:t>rather</w:t>
      </w:r>
      <w:r>
        <w:rPr>
          <w:i/>
          <w:color w:val="231F20"/>
          <w:spacing w:val="21"/>
          <w:sz w:val="20"/>
        </w:rPr>
        <w:t xml:space="preserve"> </w:t>
      </w:r>
      <w:r>
        <w:rPr>
          <w:i/>
          <w:color w:val="231F20"/>
          <w:sz w:val="20"/>
        </w:rPr>
        <w:t>than</w:t>
      </w:r>
      <w:r>
        <w:rPr>
          <w:i/>
          <w:color w:val="231F20"/>
          <w:spacing w:val="21"/>
          <w:sz w:val="20"/>
        </w:rPr>
        <w:t xml:space="preserve"> </w:t>
      </w:r>
      <w:r>
        <w:rPr>
          <w:i/>
          <w:color w:val="231F20"/>
          <w:sz w:val="20"/>
        </w:rPr>
        <w:t>a</w:t>
      </w:r>
      <w:r>
        <w:rPr>
          <w:i/>
          <w:color w:val="231F20"/>
          <w:spacing w:val="21"/>
          <w:sz w:val="20"/>
        </w:rPr>
        <w:t xml:space="preserve"> </w:t>
      </w:r>
      <w:r>
        <w:rPr>
          <w:i/>
          <w:color w:val="231F20"/>
          <w:sz w:val="20"/>
        </w:rPr>
        <w:t>bomb,</w:t>
      </w:r>
      <w:r>
        <w:rPr>
          <w:i/>
          <w:color w:val="231F20"/>
          <w:spacing w:val="21"/>
          <w:sz w:val="20"/>
        </w:rPr>
        <w:t xml:space="preserve"> </w:t>
      </w:r>
      <w:r>
        <w:rPr>
          <w:i/>
          <w:color w:val="231F20"/>
          <w:sz w:val="20"/>
        </w:rPr>
        <w:t>the</w:t>
      </w:r>
      <w:r>
        <w:rPr>
          <w:i/>
          <w:color w:val="231F20"/>
          <w:spacing w:val="21"/>
          <w:sz w:val="20"/>
        </w:rPr>
        <w:t xml:space="preserve"> </w:t>
      </w:r>
      <w:r>
        <w:rPr>
          <w:i/>
          <w:color w:val="231F20"/>
          <w:sz w:val="20"/>
        </w:rPr>
        <w:t>following</w:t>
      </w:r>
      <w:r>
        <w:rPr>
          <w:i/>
          <w:color w:val="231F20"/>
          <w:spacing w:val="21"/>
          <w:sz w:val="20"/>
        </w:rPr>
        <w:t xml:space="preserve"> </w:t>
      </w:r>
      <w:r>
        <w:rPr>
          <w:i/>
          <w:color w:val="231F20"/>
          <w:spacing w:val="1"/>
          <w:sz w:val="20"/>
        </w:rPr>
        <w:t>statement</w:t>
      </w:r>
      <w:r>
        <w:rPr>
          <w:i/>
          <w:color w:val="231F20"/>
          <w:spacing w:val="21"/>
          <w:sz w:val="20"/>
        </w:rPr>
        <w:t xml:space="preserve"> </w:t>
      </w:r>
      <w:r>
        <w:rPr>
          <w:i/>
          <w:color w:val="231F20"/>
          <w:sz w:val="20"/>
        </w:rPr>
        <w:t>was</w:t>
      </w:r>
      <w:r>
        <w:rPr>
          <w:i/>
          <w:color w:val="231F20"/>
          <w:spacing w:val="21"/>
          <w:sz w:val="20"/>
        </w:rPr>
        <w:t xml:space="preserve"> </w:t>
      </w:r>
      <w:r>
        <w:rPr>
          <w:i/>
          <w:color w:val="231F20"/>
          <w:sz w:val="20"/>
        </w:rPr>
        <w:t>found:</w:t>
      </w:r>
    </w:p>
    <w:p w14:paraId="3DF663E5" w14:textId="77777777" w:rsidR="002653E8" w:rsidRDefault="002653E8">
      <w:pPr>
        <w:pStyle w:val="a3"/>
        <w:rPr>
          <w:i/>
          <w:sz w:val="22"/>
        </w:rPr>
      </w:pPr>
    </w:p>
    <w:p w14:paraId="30631A04" w14:textId="77777777" w:rsidR="002653E8" w:rsidRDefault="002653E8">
      <w:pPr>
        <w:pStyle w:val="a3"/>
        <w:spacing w:before="11"/>
        <w:rPr>
          <w:i/>
          <w:sz w:val="32"/>
        </w:rPr>
      </w:pPr>
    </w:p>
    <w:p w14:paraId="64E9CC6A" w14:textId="77777777" w:rsidR="002653E8" w:rsidRDefault="003115E3">
      <w:pPr>
        <w:pStyle w:val="4"/>
        <w:spacing w:before="0"/>
        <w:ind w:left="1536"/>
      </w:pPr>
      <w:r>
        <w:rPr>
          <w:color w:val="231F20"/>
        </w:rPr>
        <w:t>No Bomb in Munich Central  Station</w:t>
      </w:r>
    </w:p>
    <w:p w14:paraId="7853EADA" w14:textId="77777777" w:rsidR="002653E8" w:rsidRDefault="003115E3">
      <w:pPr>
        <w:pStyle w:val="a3"/>
        <w:spacing w:before="290" w:line="264" w:lineRule="auto"/>
        <w:ind w:left="1147" w:right="1326"/>
        <w:jc w:val="both"/>
      </w:pPr>
      <w:r>
        <w:rPr>
          <w:color w:val="231F20"/>
        </w:rPr>
        <w:t>Disappointed that once again there is no “bloodbath” to blame on “violent anarchists,” as was the case in Birmingham,</w:t>
      </w:r>
      <w:r>
        <w:rPr>
          <w:color w:val="231F20"/>
          <w:position w:val="7"/>
          <w:sz w:val="11"/>
        </w:rPr>
        <w:t xml:space="preserve">1 </w:t>
      </w:r>
      <w:r>
        <w:rPr>
          <w:color w:val="231F20"/>
        </w:rPr>
        <w:t>in Milan,</w:t>
      </w:r>
      <w:r>
        <w:rPr>
          <w:color w:val="231F20"/>
          <w:position w:val="7"/>
          <w:sz w:val="11"/>
        </w:rPr>
        <w:t xml:space="preserve">2 </w:t>
      </w:r>
      <w:r>
        <w:rPr>
          <w:color w:val="231F20"/>
        </w:rPr>
        <w:t>and most recently here at home, in Bremen in December 74, and yesterday in Hamburg?</w:t>
      </w:r>
    </w:p>
    <w:p w14:paraId="4665A00F" w14:textId="77777777" w:rsidR="002653E8" w:rsidRDefault="003115E3">
      <w:pPr>
        <w:pStyle w:val="a3"/>
        <w:spacing w:line="264" w:lineRule="auto"/>
        <w:ind w:left="1147" w:right="1325" w:firstLine="210"/>
        <w:jc w:val="both"/>
      </w:pPr>
      <w:r>
        <w:rPr>
          <w:color w:val="231F20"/>
        </w:rPr>
        <w:t>This is to make something perfectly clear to you cops and those of you</w:t>
      </w:r>
      <w:r>
        <w:rPr>
          <w:color w:val="231F20"/>
          <w:spacing w:val="7"/>
        </w:rPr>
        <w:t xml:space="preserve"> </w:t>
      </w:r>
      <w:r>
        <w:rPr>
          <w:color w:val="231F20"/>
        </w:rPr>
        <w:t>on</w:t>
      </w:r>
      <w:r>
        <w:rPr>
          <w:color w:val="231F20"/>
          <w:spacing w:val="7"/>
        </w:rPr>
        <w:t xml:space="preserve"> </w:t>
      </w:r>
      <w:r>
        <w:rPr>
          <w:color w:val="231F20"/>
        </w:rPr>
        <w:t>the</w:t>
      </w:r>
      <w:r>
        <w:rPr>
          <w:color w:val="231F20"/>
          <w:spacing w:val="7"/>
        </w:rPr>
        <w:t xml:space="preserve"> </w:t>
      </w:r>
      <w:r>
        <w:rPr>
          <w:color w:val="231F20"/>
        </w:rPr>
        <w:t>editorial</w:t>
      </w:r>
      <w:r>
        <w:rPr>
          <w:color w:val="231F20"/>
          <w:spacing w:val="7"/>
        </w:rPr>
        <w:t xml:space="preserve"> </w:t>
      </w:r>
      <w:r>
        <w:rPr>
          <w:color w:val="231F20"/>
        </w:rPr>
        <w:t>staffs</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newspapers</w:t>
      </w:r>
      <w:r>
        <w:rPr>
          <w:color w:val="231F20"/>
          <w:spacing w:val="7"/>
        </w:rPr>
        <w:t xml:space="preserve"> </w:t>
      </w:r>
      <w:r>
        <w:rPr>
          <w:color w:val="231F20"/>
        </w:rPr>
        <w:t>and</w:t>
      </w:r>
      <w:r>
        <w:rPr>
          <w:color w:val="231F20"/>
          <w:spacing w:val="7"/>
        </w:rPr>
        <w:t xml:space="preserve"> </w:t>
      </w:r>
      <w:r>
        <w:rPr>
          <w:color w:val="231F20"/>
        </w:rPr>
        <w:t>the</w:t>
      </w:r>
      <w:r>
        <w:rPr>
          <w:color w:val="231F20"/>
          <w:spacing w:val="7"/>
        </w:rPr>
        <w:t xml:space="preserve"> </w:t>
      </w:r>
      <w:r>
        <w:rPr>
          <w:color w:val="231F20"/>
        </w:rPr>
        <w:t>radio</w:t>
      </w:r>
      <w:r>
        <w:rPr>
          <w:color w:val="231F20"/>
          <w:spacing w:val="7"/>
        </w:rPr>
        <w:t xml:space="preserve"> </w:t>
      </w:r>
      <w:r>
        <w:rPr>
          <w:color w:val="231F20"/>
        </w:rPr>
        <w:t>stations:</w:t>
      </w:r>
    </w:p>
    <w:p w14:paraId="43BA4AD2" w14:textId="77777777" w:rsidR="002653E8" w:rsidRDefault="003115E3">
      <w:pPr>
        <w:pStyle w:val="a3"/>
        <w:spacing w:line="264" w:lineRule="auto"/>
        <w:ind w:left="1147" w:right="1326" w:firstLine="210"/>
        <w:jc w:val="both"/>
      </w:pPr>
      <w:r>
        <w:rPr>
          <w:color w:val="231F20"/>
        </w:rPr>
        <w:t>The guerilla’s statements and practice show that their attacks are directed</w:t>
      </w:r>
      <w:r>
        <w:rPr>
          <w:color w:val="231F20"/>
          <w:spacing w:val="-8"/>
        </w:rPr>
        <w:t xml:space="preserve"> </w:t>
      </w:r>
      <w:r>
        <w:rPr>
          <w:color w:val="231F20"/>
        </w:rPr>
        <w:t>against</w:t>
      </w:r>
      <w:r>
        <w:rPr>
          <w:color w:val="231F20"/>
          <w:spacing w:val="-8"/>
        </w:rPr>
        <w:t xml:space="preserve"> </w:t>
      </w:r>
      <w:r>
        <w:rPr>
          <w:color w:val="231F20"/>
        </w:rPr>
        <w:t>the</w:t>
      </w:r>
      <w:r>
        <w:rPr>
          <w:color w:val="231F20"/>
          <w:spacing w:val="-8"/>
        </w:rPr>
        <w:t xml:space="preserve"> </w:t>
      </w:r>
      <w:r>
        <w:rPr>
          <w:color w:val="231F20"/>
        </w:rPr>
        <w:t>ruling</w:t>
      </w:r>
      <w:r>
        <w:rPr>
          <w:color w:val="231F20"/>
          <w:spacing w:val="-8"/>
        </w:rPr>
        <w:t xml:space="preserve"> </w:t>
      </w:r>
      <w:r>
        <w:rPr>
          <w:color w:val="231F20"/>
        </w:rPr>
        <w:t>class</w:t>
      </w:r>
      <w:r>
        <w:rPr>
          <w:color w:val="231F20"/>
          <w:spacing w:val="-8"/>
        </w:rPr>
        <w:t xml:space="preserve"> </w:t>
      </w:r>
      <w:r>
        <w:rPr>
          <w:color w:val="231F20"/>
        </w:rPr>
        <w:t>and</w:t>
      </w:r>
      <w:r>
        <w:rPr>
          <w:color w:val="231F20"/>
          <w:spacing w:val="-8"/>
        </w:rPr>
        <w:t xml:space="preserve"> </w:t>
      </w:r>
      <w:r>
        <w:rPr>
          <w:color w:val="231F20"/>
        </w:rPr>
        <w:t>their</w:t>
      </w:r>
      <w:r>
        <w:rPr>
          <w:color w:val="231F20"/>
          <w:spacing w:val="-8"/>
        </w:rPr>
        <w:t xml:space="preserve"> </w:t>
      </w:r>
      <w:r>
        <w:rPr>
          <w:color w:val="231F20"/>
        </w:rPr>
        <w:t>resistance</w:t>
      </w:r>
      <w:r>
        <w:rPr>
          <w:color w:val="231F20"/>
          <w:spacing w:val="-8"/>
        </w:rPr>
        <w:t xml:space="preserve"> </w:t>
      </w:r>
      <w:r>
        <w:rPr>
          <w:color w:val="231F20"/>
        </w:rPr>
        <w:t>is</w:t>
      </w:r>
      <w:r>
        <w:rPr>
          <w:color w:val="231F20"/>
          <w:spacing w:val="-8"/>
        </w:rPr>
        <w:t xml:space="preserve"> </w:t>
      </w:r>
      <w:r>
        <w:rPr>
          <w:color w:val="231F20"/>
        </w:rPr>
        <w:t>against</w:t>
      </w:r>
      <w:r>
        <w:rPr>
          <w:color w:val="231F20"/>
          <w:spacing w:val="-8"/>
        </w:rPr>
        <w:t xml:space="preserve"> </w:t>
      </w:r>
      <w:r>
        <w:rPr>
          <w:color w:val="231F20"/>
        </w:rPr>
        <w:t>the</w:t>
      </w:r>
      <w:r>
        <w:rPr>
          <w:color w:val="231F20"/>
          <w:spacing w:val="-8"/>
        </w:rPr>
        <w:t xml:space="preserve"> </w:t>
      </w:r>
      <w:r>
        <w:rPr>
          <w:color w:val="231F20"/>
        </w:rPr>
        <w:t>system’s oppression.</w:t>
      </w:r>
    </w:p>
    <w:p w14:paraId="5CD53F4A" w14:textId="77777777" w:rsidR="002653E8" w:rsidRDefault="003115E3">
      <w:pPr>
        <w:pStyle w:val="a4"/>
        <w:numPr>
          <w:ilvl w:val="0"/>
          <w:numId w:val="89"/>
        </w:numPr>
        <w:tabs>
          <w:tab w:val="left" w:pos="1644"/>
        </w:tabs>
        <w:spacing w:before="117" w:line="261" w:lineRule="auto"/>
        <w:ind w:right="1352"/>
        <w:rPr>
          <w:sz w:val="20"/>
        </w:rPr>
      </w:pPr>
      <w:r>
        <w:rPr>
          <w:color w:val="231F20"/>
          <w:spacing w:val="1"/>
          <w:sz w:val="20"/>
        </w:rPr>
        <w:t xml:space="preserve">In </w:t>
      </w:r>
      <w:r>
        <w:rPr>
          <w:color w:val="231F20"/>
          <w:sz w:val="20"/>
        </w:rPr>
        <w:t xml:space="preserve">June 72, the police tried to create panic  in  Stuttgart  with bomb threats. They used the </w:t>
      </w:r>
      <w:r>
        <w:rPr>
          <w:color w:val="231F20"/>
          <w:spacing w:val="-4"/>
          <w:sz w:val="20"/>
        </w:rPr>
        <w:t xml:space="preserve">World </w:t>
      </w:r>
      <w:r>
        <w:rPr>
          <w:color w:val="231F20"/>
          <w:sz w:val="20"/>
        </w:rPr>
        <w:t xml:space="preserve">Cup to threaten thousands with claims that the guerilla planned rocket attacks against football stadiums. As part of their intimidation, they spoke of a plan  to poison the drinking water in Baden-Würrtemberg. </w:t>
      </w:r>
      <w:r>
        <w:rPr>
          <w:color w:val="231F20"/>
          <w:spacing w:val="1"/>
          <w:sz w:val="20"/>
        </w:rPr>
        <w:t xml:space="preserve">In </w:t>
      </w:r>
      <w:r>
        <w:rPr>
          <w:color w:val="231F20"/>
          <w:sz w:val="20"/>
        </w:rPr>
        <w:t xml:space="preserve">Bremen, in December </w:t>
      </w:r>
      <w:r>
        <w:rPr>
          <w:color w:val="231F20"/>
          <w:spacing w:val="-6"/>
          <w:sz w:val="20"/>
        </w:rPr>
        <w:t xml:space="preserve">74, </w:t>
      </w:r>
      <w:r>
        <w:rPr>
          <w:color w:val="231F20"/>
          <w:sz w:val="20"/>
        </w:rPr>
        <w:t>and yesterday in Hamburg, provocateurs acted for real: explosives were set off in the midst of large groups of people. Without any consideration for the health and wellbeing   of the people, they turned their threats into deeds, doing everything they can to increase the agitation against the radical left  and the</w:t>
      </w:r>
      <w:r>
        <w:rPr>
          <w:color w:val="231F20"/>
          <w:spacing w:val="21"/>
          <w:sz w:val="20"/>
        </w:rPr>
        <w:t xml:space="preserve"> </w:t>
      </w:r>
      <w:r>
        <w:rPr>
          <w:color w:val="231F20"/>
          <w:sz w:val="20"/>
        </w:rPr>
        <w:t>guerilla.</w:t>
      </w:r>
    </w:p>
    <w:p w14:paraId="7BE9F463" w14:textId="77777777" w:rsidR="002653E8" w:rsidRDefault="002653E8">
      <w:pPr>
        <w:pStyle w:val="a3"/>
      </w:pPr>
    </w:p>
    <w:p w14:paraId="5951797E" w14:textId="77777777" w:rsidR="002653E8" w:rsidRDefault="00000000">
      <w:pPr>
        <w:pStyle w:val="a3"/>
        <w:rPr>
          <w:sz w:val="12"/>
        </w:rPr>
      </w:pPr>
      <w:r>
        <w:rPr>
          <w:noProof w:val="0"/>
        </w:rPr>
        <w:pict w14:anchorId="27A0598E">
          <v:line id="_x0000_s2306" style="position:absolute;z-index:8176;mso-wrap-distance-left:0;mso-wrap-distance-right:0;mso-position-horizontal-relative:page" from="57.4pt,9.25pt" to="129.4pt,9.25pt" strokecolor="#231f20" strokeweight=".5pt">
            <w10:wrap type="topAndBottom" anchorx="page"/>
          </v:line>
        </w:pict>
      </w:r>
    </w:p>
    <w:p w14:paraId="25AEB69C" w14:textId="77777777" w:rsidR="002653E8" w:rsidRDefault="003115E3">
      <w:pPr>
        <w:pStyle w:val="a4"/>
        <w:numPr>
          <w:ilvl w:val="0"/>
          <w:numId w:val="88"/>
        </w:numPr>
        <w:tabs>
          <w:tab w:val="left" w:pos="1287"/>
        </w:tabs>
        <w:spacing w:before="53" w:line="254" w:lineRule="auto"/>
        <w:ind w:right="2066" w:firstLine="0"/>
        <w:jc w:val="left"/>
        <w:rPr>
          <w:sz w:val="16"/>
        </w:rPr>
      </w:pPr>
      <w:r>
        <w:rPr>
          <w:color w:val="231F20"/>
          <w:w w:val="105"/>
          <w:sz w:val="16"/>
        </w:rPr>
        <w:t xml:space="preserve">On November 21, </w:t>
      </w:r>
      <w:r>
        <w:rPr>
          <w:color w:val="231F20"/>
          <w:spacing w:val="-4"/>
          <w:w w:val="105"/>
          <w:sz w:val="16"/>
        </w:rPr>
        <w:t xml:space="preserve">1974, </w:t>
      </w:r>
      <w:r>
        <w:rPr>
          <w:color w:val="231F20"/>
          <w:w w:val="105"/>
          <w:sz w:val="16"/>
        </w:rPr>
        <w:t xml:space="preserve">bombs in two pubs in </w:t>
      </w:r>
      <w:r>
        <w:rPr>
          <w:color w:val="231F20"/>
          <w:spacing w:val="1"/>
          <w:w w:val="105"/>
          <w:sz w:val="16"/>
        </w:rPr>
        <w:t xml:space="preserve">Birmingham, </w:t>
      </w:r>
      <w:r>
        <w:rPr>
          <w:color w:val="231F20"/>
          <w:w w:val="105"/>
          <w:sz w:val="16"/>
        </w:rPr>
        <w:t>England claimed</w:t>
      </w:r>
      <w:r>
        <w:rPr>
          <w:color w:val="231F20"/>
          <w:spacing w:val="5"/>
          <w:w w:val="105"/>
          <w:sz w:val="16"/>
        </w:rPr>
        <w:t xml:space="preserve"> </w:t>
      </w:r>
      <w:r>
        <w:rPr>
          <w:color w:val="231F20"/>
          <w:w w:val="105"/>
          <w:sz w:val="16"/>
        </w:rPr>
        <w:t>twenty-one</w:t>
      </w:r>
      <w:r>
        <w:rPr>
          <w:color w:val="231F20"/>
          <w:spacing w:val="5"/>
          <w:w w:val="105"/>
          <w:sz w:val="16"/>
        </w:rPr>
        <w:t xml:space="preserve"> </w:t>
      </w:r>
      <w:r>
        <w:rPr>
          <w:color w:val="231F20"/>
          <w:w w:val="105"/>
          <w:sz w:val="16"/>
        </w:rPr>
        <w:t>lives.</w:t>
      </w:r>
      <w:r>
        <w:rPr>
          <w:color w:val="231F20"/>
          <w:spacing w:val="5"/>
          <w:w w:val="105"/>
          <w:sz w:val="16"/>
        </w:rPr>
        <w:t xml:space="preserve"> </w:t>
      </w:r>
      <w:r>
        <w:rPr>
          <w:color w:val="231F20"/>
          <w:w w:val="105"/>
          <w:sz w:val="16"/>
        </w:rPr>
        <w:t>These</w:t>
      </w:r>
      <w:r>
        <w:rPr>
          <w:color w:val="231F20"/>
          <w:spacing w:val="5"/>
          <w:w w:val="105"/>
          <w:sz w:val="16"/>
        </w:rPr>
        <w:t xml:space="preserve"> </w:t>
      </w:r>
      <w:r>
        <w:rPr>
          <w:color w:val="231F20"/>
          <w:w w:val="105"/>
          <w:sz w:val="16"/>
        </w:rPr>
        <w:t>bombings</w:t>
      </w:r>
      <w:r>
        <w:rPr>
          <w:color w:val="231F20"/>
          <w:spacing w:val="5"/>
          <w:w w:val="105"/>
          <w:sz w:val="16"/>
        </w:rPr>
        <w:t xml:space="preserve"> </w:t>
      </w:r>
      <w:r>
        <w:rPr>
          <w:color w:val="231F20"/>
          <w:w w:val="105"/>
          <w:sz w:val="16"/>
        </w:rPr>
        <w:t>were</w:t>
      </w:r>
      <w:r>
        <w:rPr>
          <w:color w:val="231F20"/>
          <w:spacing w:val="5"/>
          <w:w w:val="105"/>
          <w:sz w:val="16"/>
        </w:rPr>
        <w:t xml:space="preserve"> </w:t>
      </w:r>
      <w:r>
        <w:rPr>
          <w:color w:val="231F20"/>
          <w:w w:val="105"/>
          <w:sz w:val="16"/>
        </w:rPr>
        <w:t>denounced</w:t>
      </w:r>
      <w:r>
        <w:rPr>
          <w:color w:val="231F20"/>
          <w:spacing w:val="5"/>
          <w:w w:val="105"/>
          <w:sz w:val="16"/>
        </w:rPr>
        <w:t xml:space="preserve"> </w:t>
      </w:r>
      <w:r>
        <w:rPr>
          <w:color w:val="231F20"/>
          <w:w w:val="105"/>
          <w:sz w:val="16"/>
        </w:rPr>
        <w:t>by</w:t>
      </w:r>
      <w:r>
        <w:rPr>
          <w:color w:val="231F20"/>
          <w:spacing w:val="5"/>
          <w:w w:val="105"/>
          <w:sz w:val="16"/>
        </w:rPr>
        <w:t xml:space="preserve"> </w:t>
      </w:r>
      <w:r>
        <w:rPr>
          <w:color w:val="231F20"/>
          <w:w w:val="105"/>
          <w:sz w:val="16"/>
        </w:rPr>
        <w:t>the</w:t>
      </w:r>
      <w:r>
        <w:rPr>
          <w:color w:val="231F20"/>
          <w:spacing w:val="5"/>
          <w:w w:val="105"/>
          <w:sz w:val="16"/>
        </w:rPr>
        <w:t xml:space="preserve"> </w:t>
      </w:r>
      <w:r>
        <w:rPr>
          <w:color w:val="231F20"/>
          <w:w w:val="105"/>
          <w:sz w:val="16"/>
        </w:rPr>
        <w:t>left</w:t>
      </w:r>
      <w:r>
        <w:rPr>
          <w:color w:val="231F20"/>
          <w:spacing w:val="5"/>
          <w:w w:val="105"/>
          <w:sz w:val="16"/>
        </w:rPr>
        <w:t xml:space="preserve"> </w:t>
      </w:r>
      <w:r>
        <w:rPr>
          <w:color w:val="231F20"/>
          <w:w w:val="105"/>
          <w:sz w:val="16"/>
        </w:rPr>
        <w:t>as</w:t>
      </w:r>
      <w:r>
        <w:rPr>
          <w:color w:val="231F20"/>
          <w:spacing w:val="5"/>
          <w:w w:val="105"/>
          <w:sz w:val="16"/>
        </w:rPr>
        <w:t xml:space="preserve"> </w:t>
      </w:r>
      <w:r>
        <w:rPr>
          <w:color w:val="231F20"/>
          <w:w w:val="105"/>
          <w:sz w:val="16"/>
        </w:rPr>
        <w:t>a</w:t>
      </w:r>
    </w:p>
    <w:p w14:paraId="3AA03E5D" w14:textId="77777777" w:rsidR="002653E8" w:rsidRDefault="003115E3">
      <w:pPr>
        <w:spacing w:before="1" w:line="254" w:lineRule="auto"/>
        <w:ind w:left="1147" w:right="1382" w:hanging="1"/>
        <w:jc w:val="both"/>
        <w:rPr>
          <w:sz w:val="16"/>
        </w:rPr>
      </w:pPr>
      <w:r>
        <w:rPr>
          <w:color w:val="231F20"/>
          <w:sz w:val="16"/>
        </w:rPr>
        <w:t xml:space="preserve">counterinsurgency action meant to discredit the Irish nationalist  movement,  but  the </w:t>
      </w:r>
      <w:r>
        <w:rPr>
          <w:color w:val="231F20"/>
          <w:spacing w:val="3"/>
          <w:sz w:val="16"/>
        </w:rPr>
        <w:t>IRA</w:t>
      </w:r>
      <w:r>
        <w:rPr>
          <w:color w:val="231F20"/>
          <w:spacing w:val="11"/>
          <w:sz w:val="16"/>
        </w:rPr>
        <w:t xml:space="preserve"> </w:t>
      </w:r>
      <w:r>
        <w:rPr>
          <w:color w:val="231F20"/>
          <w:sz w:val="16"/>
        </w:rPr>
        <w:t>acknowledged</w:t>
      </w:r>
      <w:r>
        <w:rPr>
          <w:color w:val="231F20"/>
          <w:spacing w:val="11"/>
          <w:sz w:val="16"/>
        </w:rPr>
        <w:t xml:space="preserve"> </w:t>
      </w:r>
      <w:r>
        <w:rPr>
          <w:color w:val="231F20"/>
          <w:sz w:val="16"/>
        </w:rPr>
        <w:t>its</w:t>
      </w:r>
      <w:r>
        <w:rPr>
          <w:color w:val="231F20"/>
          <w:spacing w:val="11"/>
          <w:sz w:val="16"/>
        </w:rPr>
        <w:t xml:space="preserve"> </w:t>
      </w:r>
      <w:r>
        <w:rPr>
          <w:color w:val="231F20"/>
          <w:sz w:val="16"/>
        </w:rPr>
        <w:t>responsibility</w:t>
      </w:r>
      <w:r>
        <w:rPr>
          <w:color w:val="231F20"/>
          <w:spacing w:val="11"/>
          <w:sz w:val="16"/>
        </w:rPr>
        <w:t xml:space="preserve"> </w:t>
      </w:r>
      <w:r>
        <w:rPr>
          <w:color w:val="231F20"/>
          <w:sz w:val="16"/>
        </w:rPr>
        <w:t>some</w:t>
      </w:r>
      <w:r>
        <w:rPr>
          <w:color w:val="231F20"/>
          <w:spacing w:val="11"/>
          <w:sz w:val="16"/>
        </w:rPr>
        <w:t xml:space="preserve"> </w:t>
      </w:r>
      <w:r>
        <w:rPr>
          <w:color w:val="231F20"/>
          <w:sz w:val="16"/>
        </w:rPr>
        <w:t>years</w:t>
      </w:r>
      <w:r>
        <w:rPr>
          <w:color w:val="231F20"/>
          <w:spacing w:val="11"/>
          <w:sz w:val="16"/>
        </w:rPr>
        <w:t xml:space="preserve"> </w:t>
      </w:r>
      <w:r>
        <w:rPr>
          <w:color w:val="231F20"/>
          <w:sz w:val="16"/>
        </w:rPr>
        <w:t>later.</w:t>
      </w:r>
    </w:p>
    <w:p w14:paraId="30853866" w14:textId="77777777" w:rsidR="002653E8" w:rsidRDefault="003115E3">
      <w:pPr>
        <w:pStyle w:val="a4"/>
        <w:numPr>
          <w:ilvl w:val="0"/>
          <w:numId w:val="88"/>
        </w:numPr>
        <w:tabs>
          <w:tab w:val="left" w:pos="1279"/>
        </w:tabs>
        <w:spacing w:before="40" w:line="254" w:lineRule="auto"/>
        <w:ind w:left="1148" w:right="1325" w:firstLine="0"/>
        <w:jc w:val="both"/>
        <w:rPr>
          <w:sz w:val="16"/>
        </w:rPr>
      </w:pPr>
      <w:r>
        <w:rPr>
          <w:color w:val="231F20"/>
          <w:w w:val="105"/>
          <w:sz w:val="16"/>
        </w:rPr>
        <w:t xml:space="preserve">On December 12, 1969, a bomb exploded in a public square in </w:t>
      </w:r>
      <w:r>
        <w:rPr>
          <w:color w:val="231F20"/>
          <w:spacing w:val="1"/>
          <w:w w:val="105"/>
          <w:sz w:val="16"/>
        </w:rPr>
        <w:t xml:space="preserve">Milan </w:t>
      </w:r>
      <w:r>
        <w:rPr>
          <w:color w:val="231F20"/>
          <w:w w:val="105"/>
          <w:sz w:val="16"/>
        </w:rPr>
        <w:t>killing a large number of people. Initially blamed on anarchists, the action was subsequently proven to be the work of fascists supported by the Italian security services and</w:t>
      </w:r>
      <w:r>
        <w:rPr>
          <w:color w:val="231F20"/>
          <w:spacing w:val="5"/>
          <w:w w:val="105"/>
          <w:sz w:val="16"/>
        </w:rPr>
        <w:t xml:space="preserve"> </w:t>
      </w:r>
      <w:r>
        <w:rPr>
          <w:color w:val="231F20"/>
          <w:w w:val="105"/>
          <w:sz w:val="16"/>
        </w:rPr>
        <w:t>NATO.</w:t>
      </w:r>
    </w:p>
    <w:p w14:paraId="01D166E4" w14:textId="77777777" w:rsidR="002653E8" w:rsidRDefault="002653E8">
      <w:pPr>
        <w:spacing w:line="254" w:lineRule="auto"/>
        <w:jc w:val="both"/>
        <w:rPr>
          <w:sz w:val="16"/>
        </w:rPr>
        <w:sectPr w:rsidR="002653E8">
          <w:pgSz w:w="8640" w:h="12960"/>
          <w:pgMar w:top="1040" w:right="0" w:bottom="1040" w:left="0" w:header="0" w:footer="850" w:gutter="0"/>
          <w:cols w:space="720"/>
        </w:sectPr>
      </w:pPr>
    </w:p>
    <w:p w14:paraId="5964F764" w14:textId="77777777" w:rsidR="002653E8" w:rsidRDefault="003115E3">
      <w:pPr>
        <w:pStyle w:val="a4"/>
        <w:numPr>
          <w:ilvl w:val="1"/>
          <w:numId w:val="88"/>
        </w:numPr>
        <w:tabs>
          <w:tab w:val="left" w:pos="1824"/>
        </w:tabs>
        <w:spacing w:before="86" w:line="261" w:lineRule="auto"/>
        <w:ind w:right="1158"/>
        <w:rPr>
          <w:sz w:val="11"/>
        </w:rPr>
      </w:pPr>
      <w:r>
        <w:rPr>
          <w:color w:val="231F20"/>
          <w:sz w:val="20"/>
        </w:rPr>
        <w:lastRenderedPageBreak/>
        <w:t xml:space="preserve">The guerilla in Germany has attacked the </w:t>
      </w:r>
      <w:r>
        <w:rPr>
          <w:color w:val="231F20"/>
          <w:spacing w:val="1"/>
          <w:sz w:val="20"/>
        </w:rPr>
        <w:t xml:space="preserve">U.S. </w:t>
      </w:r>
      <w:r>
        <w:rPr>
          <w:color w:val="231F20"/>
          <w:sz w:val="20"/>
        </w:rPr>
        <w:t>Army, which was engaged in a war against the  Vietnamese  people.  The  guerilla has bombed the Federal Constitutional Court, the capitalist associations, and the enemies of the Chilean and Palestinian people. They kidnapped the CDU leader Lorenz to gain the freedom of political prisoners. They struggle against rising prices and the increased pressure brought to bear on the people, e.g.,   the Berlin transit price</w:t>
      </w:r>
      <w:r>
        <w:rPr>
          <w:color w:val="231F20"/>
          <w:spacing w:val="42"/>
          <w:sz w:val="20"/>
        </w:rPr>
        <w:t xml:space="preserve"> </w:t>
      </w:r>
      <w:r>
        <w:rPr>
          <w:color w:val="231F20"/>
          <w:sz w:val="20"/>
        </w:rPr>
        <w:t>actions.</w:t>
      </w:r>
      <w:r>
        <w:rPr>
          <w:color w:val="231F20"/>
          <w:position w:val="7"/>
          <w:sz w:val="11"/>
        </w:rPr>
        <w:t>3</w:t>
      </w:r>
    </w:p>
    <w:p w14:paraId="1173AAE0" w14:textId="77777777" w:rsidR="002653E8" w:rsidRDefault="002653E8">
      <w:pPr>
        <w:pStyle w:val="a3"/>
        <w:spacing w:before="4"/>
        <w:rPr>
          <w:sz w:val="14"/>
        </w:rPr>
      </w:pPr>
    </w:p>
    <w:p w14:paraId="1D6EFAF1" w14:textId="77777777" w:rsidR="002653E8" w:rsidRDefault="003115E3">
      <w:pPr>
        <w:pStyle w:val="a3"/>
        <w:spacing w:before="99" w:line="264" w:lineRule="auto"/>
        <w:ind w:left="1327" w:right="1146"/>
        <w:jc w:val="both"/>
      </w:pPr>
      <w:r>
        <w:rPr>
          <w:color w:val="231F20"/>
          <w:spacing w:val="-5"/>
        </w:rPr>
        <w:t xml:space="preserve">We </w:t>
      </w:r>
      <w:r>
        <w:rPr>
          <w:color w:val="231F20"/>
        </w:rPr>
        <w:t xml:space="preserve">demand that the press, the radios, and </w:t>
      </w:r>
      <w:r>
        <w:rPr>
          <w:color w:val="231F20"/>
          <w:spacing w:val="5"/>
        </w:rPr>
        <w:t xml:space="preserve">TV  </w:t>
      </w:r>
      <w:r>
        <w:rPr>
          <w:color w:val="231F20"/>
        </w:rPr>
        <w:t>broadcast  this  statement!</w:t>
      </w:r>
    </w:p>
    <w:p w14:paraId="459D9F6E" w14:textId="77777777" w:rsidR="002653E8" w:rsidRDefault="003115E3">
      <w:pPr>
        <w:pStyle w:val="a3"/>
        <w:spacing w:line="232" w:lineRule="exact"/>
        <w:ind w:left="1537"/>
      </w:pPr>
      <w:r>
        <w:rPr>
          <w:color w:val="231F20"/>
        </w:rPr>
        <w:t>We are the urban guerilla groups</w:t>
      </w:r>
    </w:p>
    <w:p w14:paraId="4AFA1B6C" w14:textId="77777777" w:rsidR="002653E8" w:rsidRDefault="002653E8">
      <w:pPr>
        <w:pStyle w:val="a3"/>
        <w:spacing w:before="2"/>
        <w:rPr>
          <w:sz w:val="23"/>
        </w:rPr>
      </w:pPr>
    </w:p>
    <w:p w14:paraId="77FADD9D" w14:textId="77777777" w:rsidR="002653E8" w:rsidRDefault="003115E3">
      <w:pPr>
        <w:pStyle w:val="a3"/>
        <w:ind w:left="2527"/>
      </w:pPr>
      <w:r>
        <w:rPr>
          <w:color w:val="231F20"/>
        </w:rPr>
        <w:t>Red Army Faction</w:t>
      </w:r>
    </w:p>
    <w:p w14:paraId="6E14D900" w14:textId="77777777" w:rsidR="002653E8" w:rsidRDefault="003115E3">
      <w:pPr>
        <w:pStyle w:val="a3"/>
        <w:spacing w:before="22" w:line="261" w:lineRule="auto"/>
        <w:ind w:left="2527" w:right="3115"/>
      </w:pPr>
      <w:r>
        <w:rPr>
          <w:color w:val="231F20"/>
        </w:rPr>
        <w:t>2nd of June Movement Revolutionary Cells</w:t>
      </w:r>
    </w:p>
    <w:p w14:paraId="30D5D6B4" w14:textId="77777777" w:rsidR="002653E8" w:rsidRDefault="002653E8">
      <w:pPr>
        <w:pStyle w:val="a3"/>
        <w:spacing w:before="9"/>
        <w:rPr>
          <w:sz w:val="22"/>
        </w:rPr>
      </w:pPr>
    </w:p>
    <w:p w14:paraId="169A7B0E" w14:textId="77777777" w:rsidR="002653E8" w:rsidRDefault="003115E3">
      <w:pPr>
        <w:pStyle w:val="a3"/>
        <w:spacing w:before="1" w:line="264" w:lineRule="auto"/>
        <w:ind w:left="1327" w:right="1147"/>
        <w:jc w:val="both"/>
        <w:rPr>
          <w:sz w:val="11"/>
        </w:rPr>
      </w:pPr>
      <w:r>
        <w:rPr>
          <w:color w:val="231F20"/>
        </w:rPr>
        <w:t>And above all struggle against those who are responsible for planning and carrying out the attacks in Bremen and Hamburg. The choice of targets shows who the culprits are. […]</w:t>
      </w:r>
      <w:r>
        <w:rPr>
          <w:color w:val="231F20"/>
          <w:position w:val="7"/>
          <w:sz w:val="11"/>
        </w:rPr>
        <w:t>4</w:t>
      </w:r>
    </w:p>
    <w:p w14:paraId="3F6F7C63" w14:textId="77777777" w:rsidR="002653E8" w:rsidRDefault="003115E3">
      <w:pPr>
        <w:pStyle w:val="a3"/>
        <w:spacing w:before="124" w:line="261" w:lineRule="auto"/>
        <w:ind w:left="5494" w:right="1146" w:firstLine="395"/>
        <w:jc w:val="right"/>
      </w:pPr>
      <w:r>
        <w:rPr>
          <w:color w:val="231F20"/>
        </w:rPr>
        <w:t>Red Army Faction</w:t>
      </w:r>
      <w:r>
        <w:rPr>
          <w:color w:val="231F20"/>
          <w:w w:val="99"/>
        </w:rPr>
        <w:t xml:space="preserve"> </w:t>
      </w:r>
      <w:r>
        <w:rPr>
          <w:color w:val="231F20"/>
        </w:rPr>
        <w:t>2nd of June Movement</w:t>
      </w:r>
      <w:r>
        <w:rPr>
          <w:color w:val="231F20"/>
          <w:w w:val="98"/>
        </w:rPr>
        <w:t xml:space="preserve"> </w:t>
      </w:r>
      <w:r>
        <w:rPr>
          <w:color w:val="231F20"/>
        </w:rPr>
        <w:t>Revolutionary Cells</w:t>
      </w:r>
      <w:r>
        <w:rPr>
          <w:color w:val="231F20"/>
          <w:w w:val="90"/>
        </w:rPr>
        <w:t xml:space="preserve"> </w:t>
      </w:r>
      <w:r>
        <w:rPr>
          <w:color w:val="231F20"/>
        </w:rPr>
        <w:t>September 14, 1975</w:t>
      </w:r>
    </w:p>
    <w:p w14:paraId="3303B390" w14:textId="77777777" w:rsidR="002653E8" w:rsidRDefault="002653E8">
      <w:pPr>
        <w:pStyle w:val="a3"/>
      </w:pPr>
    </w:p>
    <w:p w14:paraId="300C6DBC" w14:textId="77777777" w:rsidR="002653E8" w:rsidRDefault="002653E8">
      <w:pPr>
        <w:pStyle w:val="a3"/>
      </w:pPr>
    </w:p>
    <w:p w14:paraId="67DA97A4" w14:textId="77777777" w:rsidR="002653E8" w:rsidRDefault="002653E8">
      <w:pPr>
        <w:pStyle w:val="a3"/>
      </w:pPr>
    </w:p>
    <w:p w14:paraId="47F86052" w14:textId="77777777" w:rsidR="002653E8" w:rsidRDefault="002653E8">
      <w:pPr>
        <w:pStyle w:val="a3"/>
      </w:pPr>
    </w:p>
    <w:p w14:paraId="1E93F94A" w14:textId="77777777" w:rsidR="002653E8" w:rsidRDefault="002653E8">
      <w:pPr>
        <w:pStyle w:val="a3"/>
      </w:pPr>
    </w:p>
    <w:p w14:paraId="2DCF5B02" w14:textId="77777777" w:rsidR="002653E8" w:rsidRDefault="002653E8">
      <w:pPr>
        <w:pStyle w:val="a3"/>
      </w:pPr>
    </w:p>
    <w:p w14:paraId="06E32E60" w14:textId="77777777" w:rsidR="002653E8" w:rsidRDefault="002653E8">
      <w:pPr>
        <w:pStyle w:val="a3"/>
      </w:pPr>
    </w:p>
    <w:p w14:paraId="5476D9C3" w14:textId="77777777" w:rsidR="002653E8" w:rsidRDefault="002653E8">
      <w:pPr>
        <w:pStyle w:val="a3"/>
      </w:pPr>
    </w:p>
    <w:p w14:paraId="6E8CF337" w14:textId="77777777" w:rsidR="002653E8" w:rsidRDefault="002653E8">
      <w:pPr>
        <w:pStyle w:val="a3"/>
      </w:pPr>
    </w:p>
    <w:p w14:paraId="305B7BF8" w14:textId="77777777" w:rsidR="002653E8" w:rsidRDefault="002653E8">
      <w:pPr>
        <w:pStyle w:val="a3"/>
      </w:pPr>
    </w:p>
    <w:p w14:paraId="40AF9DA7" w14:textId="77777777" w:rsidR="002653E8" w:rsidRDefault="002653E8">
      <w:pPr>
        <w:pStyle w:val="a3"/>
      </w:pPr>
    </w:p>
    <w:p w14:paraId="2C3FF13A" w14:textId="77777777" w:rsidR="002653E8" w:rsidRDefault="002653E8">
      <w:pPr>
        <w:pStyle w:val="a3"/>
      </w:pPr>
    </w:p>
    <w:p w14:paraId="2C160494" w14:textId="77777777" w:rsidR="002653E8" w:rsidRDefault="002653E8">
      <w:pPr>
        <w:pStyle w:val="a3"/>
      </w:pPr>
    </w:p>
    <w:p w14:paraId="63BA78AE" w14:textId="77777777" w:rsidR="002653E8" w:rsidRDefault="00000000">
      <w:pPr>
        <w:pStyle w:val="a3"/>
        <w:spacing w:before="5"/>
        <w:rPr>
          <w:sz w:val="14"/>
        </w:rPr>
      </w:pPr>
      <w:r>
        <w:rPr>
          <w:noProof w:val="0"/>
        </w:rPr>
        <w:pict w14:anchorId="4D9876B9">
          <v:line id="_x0000_s2305" style="position:absolute;z-index:8200;mso-wrap-distance-left:0;mso-wrap-distance-right:0;mso-position-horizontal-relative:page" from="66.4pt,10.65pt" to="138.4pt,10.65pt" strokecolor="#231f20" strokeweight=".5pt">
            <w10:wrap type="topAndBottom" anchorx="page"/>
          </v:line>
        </w:pict>
      </w:r>
    </w:p>
    <w:p w14:paraId="03B4A007" w14:textId="77777777" w:rsidR="002653E8" w:rsidRDefault="003115E3">
      <w:pPr>
        <w:pStyle w:val="a4"/>
        <w:numPr>
          <w:ilvl w:val="0"/>
          <w:numId w:val="88"/>
        </w:numPr>
        <w:tabs>
          <w:tab w:val="left" w:pos="1467"/>
        </w:tabs>
        <w:spacing w:before="53" w:line="254" w:lineRule="auto"/>
        <w:ind w:left="1328" w:right="1333" w:hanging="1"/>
        <w:jc w:val="left"/>
        <w:rPr>
          <w:sz w:val="16"/>
        </w:rPr>
      </w:pPr>
      <w:r>
        <w:rPr>
          <w:color w:val="231F20"/>
          <w:w w:val="105"/>
          <w:sz w:val="16"/>
        </w:rPr>
        <w:t>Many of the actions listed here were carried out by the Revolutionary Cells. For more</w:t>
      </w:r>
      <w:r>
        <w:rPr>
          <w:color w:val="231F20"/>
          <w:spacing w:val="7"/>
          <w:w w:val="105"/>
          <w:sz w:val="16"/>
        </w:rPr>
        <w:t xml:space="preserve"> </w:t>
      </w:r>
      <w:r>
        <w:rPr>
          <w:color w:val="231F20"/>
          <w:w w:val="105"/>
          <w:sz w:val="16"/>
        </w:rPr>
        <w:t>on</w:t>
      </w:r>
      <w:r>
        <w:rPr>
          <w:color w:val="231F20"/>
          <w:spacing w:val="7"/>
          <w:w w:val="105"/>
          <w:sz w:val="16"/>
        </w:rPr>
        <w:t xml:space="preserve"> </w:t>
      </w:r>
      <w:r>
        <w:rPr>
          <w:color w:val="231F20"/>
          <w:w w:val="105"/>
          <w:sz w:val="16"/>
        </w:rPr>
        <w:t>this</w:t>
      </w:r>
      <w:r>
        <w:rPr>
          <w:color w:val="231F20"/>
          <w:spacing w:val="7"/>
          <w:w w:val="105"/>
          <w:sz w:val="16"/>
        </w:rPr>
        <w:t xml:space="preserve"> </w:t>
      </w:r>
      <w:r>
        <w:rPr>
          <w:color w:val="231F20"/>
          <w:w w:val="105"/>
          <w:sz w:val="16"/>
        </w:rPr>
        <w:t>guerilla</w:t>
      </w:r>
      <w:r>
        <w:rPr>
          <w:color w:val="231F20"/>
          <w:spacing w:val="7"/>
          <w:w w:val="105"/>
          <w:sz w:val="16"/>
        </w:rPr>
        <w:t xml:space="preserve"> </w:t>
      </w:r>
      <w:r>
        <w:rPr>
          <w:color w:val="231F20"/>
          <w:w w:val="105"/>
          <w:sz w:val="16"/>
        </w:rPr>
        <w:t>organization,</w:t>
      </w:r>
      <w:r>
        <w:rPr>
          <w:color w:val="231F20"/>
          <w:spacing w:val="7"/>
          <w:w w:val="105"/>
          <w:sz w:val="16"/>
        </w:rPr>
        <w:t xml:space="preserve"> </w:t>
      </w:r>
      <w:r>
        <w:rPr>
          <w:color w:val="231F20"/>
          <w:w w:val="105"/>
          <w:sz w:val="16"/>
        </w:rPr>
        <w:t>see</w:t>
      </w:r>
      <w:r>
        <w:rPr>
          <w:color w:val="231F20"/>
          <w:spacing w:val="7"/>
          <w:w w:val="105"/>
          <w:sz w:val="16"/>
        </w:rPr>
        <w:t xml:space="preserve"> </w:t>
      </w:r>
      <w:r>
        <w:rPr>
          <w:color w:val="231F20"/>
          <w:w w:val="105"/>
          <w:sz w:val="16"/>
        </w:rPr>
        <w:t>pages</w:t>
      </w:r>
      <w:r>
        <w:rPr>
          <w:color w:val="231F20"/>
          <w:spacing w:val="7"/>
          <w:w w:val="105"/>
          <w:sz w:val="16"/>
        </w:rPr>
        <w:t xml:space="preserve"> </w:t>
      </w:r>
      <w:r>
        <w:rPr>
          <w:color w:val="231F20"/>
          <w:spacing w:val="-3"/>
          <w:w w:val="105"/>
          <w:sz w:val="16"/>
        </w:rPr>
        <w:t>436-41.</w:t>
      </w:r>
    </w:p>
    <w:p w14:paraId="436BE6D6" w14:textId="77777777" w:rsidR="002653E8" w:rsidRDefault="003115E3">
      <w:pPr>
        <w:pStyle w:val="a4"/>
        <w:numPr>
          <w:ilvl w:val="0"/>
          <w:numId w:val="88"/>
        </w:numPr>
        <w:tabs>
          <w:tab w:val="left" w:pos="1467"/>
        </w:tabs>
        <w:ind w:left="1466" w:hanging="138"/>
        <w:jc w:val="left"/>
        <w:rPr>
          <w:sz w:val="16"/>
        </w:rPr>
      </w:pPr>
      <w:r>
        <w:rPr>
          <w:color w:val="231F20"/>
          <w:spacing w:val="1"/>
          <w:w w:val="105"/>
          <w:sz w:val="16"/>
        </w:rPr>
        <w:t>This</w:t>
      </w:r>
      <w:r>
        <w:rPr>
          <w:color w:val="231F20"/>
          <w:spacing w:val="6"/>
          <w:w w:val="105"/>
          <w:sz w:val="16"/>
        </w:rPr>
        <w:t xml:space="preserve"> </w:t>
      </w:r>
      <w:r>
        <w:rPr>
          <w:color w:val="231F20"/>
          <w:w w:val="105"/>
          <w:sz w:val="16"/>
        </w:rPr>
        <w:t>was</w:t>
      </w:r>
      <w:r>
        <w:rPr>
          <w:color w:val="231F20"/>
          <w:spacing w:val="6"/>
          <w:w w:val="105"/>
          <w:sz w:val="16"/>
        </w:rPr>
        <w:t xml:space="preserve"> </w:t>
      </w:r>
      <w:r>
        <w:rPr>
          <w:color w:val="231F20"/>
          <w:w w:val="105"/>
          <w:sz w:val="16"/>
        </w:rPr>
        <w:t>the</w:t>
      </w:r>
      <w:r>
        <w:rPr>
          <w:color w:val="231F20"/>
          <w:spacing w:val="6"/>
          <w:w w:val="105"/>
          <w:sz w:val="16"/>
        </w:rPr>
        <w:t xml:space="preserve"> </w:t>
      </w:r>
      <w:r>
        <w:rPr>
          <w:color w:val="231F20"/>
          <w:w w:val="105"/>
          <w:sz w:val="16"/>
        </w:rPr>
        <w:t>most</w:t>
      </w:r>
      <w:r>
        <w:rPr>
          <w:color w:val="231F20"/>
          <w:spacing w:val="6"/>
          <w:w w:val="105"/>
          <w:sz w:val="16"/>
        </w:rPr>
        <w:t xml:space="preserve"> </w:t>
      </w:r>
      <w:r>
        <w:rPr>
          <w:color w:val="231F20"/>
          <w:w w:val="105"/>
          <w:sz w:val="16"/>
        </w:rPr>
        <w:t>complete</w:t>
      </w:r>
      <w:r>
        <w:rPr>
          <w:color w:val="231F20"/>
          <w:spacing w:val="6"/>
          <w:w w:val="105"/>
          <w:sz w:val="16"/>
        </w:rPr>
        <w:t xml:space="preserve"> </w:t>
      </w:r>
      <w:r>
        <w:rPr>
          <w:color w:val="231F20"/>
          <w:w w:val="105"/>
          <w:sz w:val="16"/>
        </w:rPr>
        <w:t>version</w:t>
      </w:r>
      <w:r>
        <w:rPr>
          <w:color w:val="231F20"/>
          <w:spacing w:val="6"/>
          <w:w w:val="105"/>
          <w:sz w:val="16"/>
        </w:rPr>
        <w:t xml:space="preserve"> </w:t>
      </w:r>
      <w:r>
        <w:rPr>
          <w:color w:val="231F20"/>
          <w:w w:val="105"/>
          <w:sz w:val="16"/>
        </w:rPr>
        <w:t>of</w:t>
      </w:r>
      <w:r>
        <w:rPr>
          <w:color w:val="231F20"/>
          <w:spacing w:val="6"/>
          <w:w w:val="105"/>
          <w:sz w:val="16"/>
        </w:rPr>
        <w:t xml:space="preserve"> </w:t>
      </w:r>
      <w:r>
        <w:rPr>
          <w:color w:val="231F20"/>
          <w:w w:val="105"/>
          <w:sz w:val="16"/>
        </w:rPr>
        <w:t>this</w:t>
      </w:r>
      <w:r>
        <w:rPr>
          <w:color w:val="231F20"/>
          <w:spacing w:val="6"/>
          <w:w w:val="105"/>
          <w:sz w:val="16"/>
        </w:rPr>
        <w:t xml:space="preserve"> </w:t>
      </w:r>
      <w:r>
        <w:rPr>
          <w:color w:val="231F20"/>
          <w:w w:val="105"/>
          <w:sz w:val="16"/>
        </w:rPr>
        <w:t>document</w:t>
      </w:r>
      <w:r>
        <w:rPr>
          <w:color w:val="231F20"/>
          <w:spacing w:val="6"/>
          <w:w w:val="105"/>
          <w:sz w:val="16"/>
        </w:rPr>
        <w:t xml:space="preserve"> </w:t>
      </w:r>
      <w:r>
        <w:rPr>
          <w:color w:val="231F20"/>
          <w:w w:val="105"/>
          <w:sz w:val="16"/>
        </w:rPr>
        <w:t>available</w:t>
      </w:r>
      <w:r>
        <w:rPr>
          <w:color w:val="231F20"/>
          <w:spacing w:val="6"/>
          <w:w w:val="105"/>
          <w:sz w:val="16"/>
        </w:rPr>
        <w:t xml:space="preserve"> </w:t>
      </w:r>
      <w:r>
        <w:rPr>
          <w:color w:val="231F20"/>
          <w:w w:val="105"/>
          <w:sz w:val="16"/>
        </w:rPr>
        <w:t>to</w:t>
      </w:r>
      <w:r>
        <w:rPr>
          <w:color w:val="231F20"/>
          <w:spacing w:val="6"/>
          <w:w w:val="105"/>
          <w:sz w:val="16"/>
        </w:rPr>
        <w:t xml:space="preserve"> </w:t>
      </w:r>
      <w:r>
        <w:rPr>
          <w:color w:val="231F20"/>
          <w:w w:val="105"/>
          <w:sz w:val="16"/>
        </w:rPr>
        <w:t>us.</w:t>
      </w:r>
    </w:p>
    <w:p w14:paraId="1D8385B9" w14:textId="77777777" w:rsidR="002653E8" w:rsidRDefault="002653E8">
      <w:pPr>
        <w:rPr>
          <w:sz w:val="16"/>
        </w:rPr>
        <w:sectPr w:rsidR="002653E8">
          <w:footerReference w:type="even" r:id="rId319"/>
          <w:footerReference w:type="default" r:id="rId320"/>
          <w:pgSz w:w="8640" w:h="12960"/>
          <w:pgMar w:top="1060" w:right="0" w:bottom="1040" w:left="0" w:header="0" w:footer="850" w:gutter="0"/>
          <w:pgNumType w:start="377"/>
          <w:cols w:space="720"/>
        </w:sectPr>
      </w:pPr>
    </w:p>
    <w:p w14:paraId="59ADC5D9" w14:textId="77777777" w:rsidR="002653E8" w:rsidRDefault="003115E3">
      <w:pPr>
        <w:pStyle w:val="4"/>
        <w:spacing w:line="273" w:lineRule="auto"/>
        <w:ind w:left="2487" w:right="1848" w:firstLine="258"/>
      </w:pPr>
      <w:bookmarkStart w:id="173" w:name="The_Bombing_of_the_Hamburg_Train_Station"/>
      <w:bookmarkStart w:id="174" w:name="_bookmark55"/>
      <w:bookmarkEnd w:id="173"/>
      <w:bookmarkEnd w:id="174"/>
      <w:r>
        <w:rPr>
          <w:color w:val="231F20"/>
        </w:rPr>
        <w:lastRenderedPageBreak/>
        <w:t>The Bombing of the Hamburg Train Station</w:t>
      </w:r>
    </w:p>
    <w:p w14:paraId="7A8C0625" w14:textId="77777777" w:rsidR="002653E8" w:rsidRDefault="002653E8">
      <w:pPr>
        <w:pStyle w:val="a3"/>
        <w:spacing w:before="2"/>
        <w:rPr>
          <w:rFonts w:ascii="Bookman Old Style"/>
          <w:sz w:val="27"/>
        </w:rPr>
      </w:pPr>
    </w:p>
    <w:p w14:paraId="68D4C45B" w14:textId="77777777" w:rsidR="002653E8" w:rsidRDefault="003115E3">
      <w:pPr>
        <w:pStyle w:val="a3"/>
        <w:spacing w:line="264" w:lineRule="auto"/>
        <w:ind w:left="1147" w:right="1326"/>
        <w:jc w:val="both"/>
      </w:pPr>
      <w:r>
        <w:rPr>
          <w:color w:val="231F20"/>
          <w:spacing w:val="1"/>
        </w:rPr>
        <w:t>In</w:t>
      </w:r>
      <w:r>
        <w:rPr>
          <w:color w:val="231F20"/>
          <w:spacing w:val="-6"/>
        </w:rPr>
        <w:t xml:space="preserve"> </w:t>
      </w:r>
      <w:r>
        <w:rPr>
          <w:color w:val="231F20"/>
        </w:rPr>
        <w:t>the</w:t>
      </w:r>
      <w:r>
        <w:rPr>
          <w:color w:val="231F20"/>
          <w:spacing w:val="-6"/>
        </w:rPr>
        <w:t xml:space="preserve"> </w:t>
      </w:r>
      <w:r>
        <w:rPr>
          <w:color w:val="231F20"/>
        </w:rPr>
        <w:t>face</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state</w:t>
      </w:r>
      <w:r>
        <w:rPr>
          <w:color w:val="231F20"/>
          <w:spacing w:val="-6"/>
        </w:rPr>
        <w:t xml:space="preserve"> </w:t>
      </w:r>
      <w:r>
        <w:rPr>
          <w:color w:val="231F20"/>
        </w:rPr>
        <w:t>propaganda</w:t>
      </w:r>
      <w:r>
        <w:rPr>
          <w:color w:val="231F20"/>
          <w:spacing w:val="-6"/>
        </w:rPr>
        <w:t xml:space="preserve"> </w:t>
      </w:r>
      <w:r>
        <w:rPr>
          <w:color w:val="231F20"/>
        </w:rPr>
        <w:t>effort</w:t>
      </w:r>
      <w:r>
        <w:rPr>
          <w:color w:val="231F20"/>
          <w:spacing w:val="-6"/>
        </w:rPr>
        <w:t xml:space="preserve"> </w:t>
      </w:r>
      <w:r>
        <w:rPr>
          <w:color w:val="231F20"/>
        </w:rPr>
        <w:t>to</w:t>
      </w:r>
      <w:r>
        <w:rPr>
          <w:color w:val="231F20"/>
          <w:spacing w:val="-6"/>
        </w:rPr>
        <w:t xml:space="preserve"> </w:t>
      </w:r>
      <w:r>
        <w:rPr>
          <w:color w:val="231F20"/>
        </w:rPr>
        <w:t>tie</w:t>
      </w:r>
      <w:r>
        <w:rPr>
          <w:color w:val="231F20"/>
          <w:spacing w:val="-6"/>
        </w:rPr>
        <w:t xml:space="preserve"> </w:t>
      </w:r>
      <w:r>
        <w:rPr>
          <w:color w:val="231F20"/>
        </w:rPr>
        <w:t>the</w:t>
      </w:r>
      <w:r>
        <w:rPr>
          <w:color w:val="231F20"/>
          <w:spacing w:val="-6"/>
        </w:rPr>
        <w:t xml:space="preserve"> </w:t>
      </w:r>
      <w:r>
        <w:rPr>
          <w:color w:val="231F20"/>
        </w:rPr>
        <w:t>attack</w:t>
      </w:r>
      <w:r>
        <w:rPr>
          <w:color w:val="231F20"/>
          <w:spacing w:val="-6"/>
        </w:rPr>
        <w:t xml:space="preserve"> </w:t>
      </w:r>
      <w:r>
        <w:rPr>
          <w:color w:val="231F20"/>
        </w:rPr>
        <w:t>at</w:t>
      </w:r>
      <w:r>
        <w:rPr>
          <w:color w:val="231F20"/>
          <w:spacing w:val="-6"/>
        </w:rPr>
        <w:t xml:space="preserve"> </w:t>
      </w:r>
      <w:r>
        <w:rPr>
          <w:color w:val="231F20"/>
        </w:rPr>
        <w:t>the</w:t>
      </w:r>
      <w:r>
        <w:rPr>
          <w:color w:val="231F20"/>
          <w:spacing w:val="-6"/>
        </w:rPr>
        <w:t xml:space="preserve"> </w:t>
      </w:r>
      <w:r>
        <w:rPr>
          <w:color w:val="231F20"/>
        </w:rPr>
        <w:t xml:space="preserve">Hamburg Central Station to the </w:t>
      </w:r>
      <w:r w:rsidR="00C507A5">
        <w:rPr>
          <w:color w:val="231F20"/>
        </w:rPr>
        <w:t>red army faction</w:t>
      </w:r>
      <w:r>
        <w:rPr>
          <w:color w:val="231F20"/>
        </w:rPr>
        <w:t>, we state clearly: the nature of this explo sion speaks the language of reaction. It can only be understood as part of the psychological war that state security is waging against the urban guerilla. The method and objective of this crime against the people bear the mark of a fascist</w:t>
      </w:r>
      <w:r>
        <w:rPr>
          <w:color w:val="231F20"/>
          <w:spacing w:val="12"/>
        </w:rPr>
        <w:t xml:space="preserve"> </w:t>
      </w:r>
      <w:r>
        <w:rPr>
          <w:color w:val="231F20"/>
        </w:rPr>
        <w:t>provocation.</w:t>
      </w:r>
    </w:p>
    <w:p w14:paraId="457DCE45" w14:textId="77777777" w:rsidR="002653E8" w:rsidRDefault="003115E3">
      <w:pPr>
        <w:pStyle w:val="a3"/>
        <w:spacing w:line="264" w:lineRule="auto"/>
        <w:ind w:left="1147" w:right="1325" w:firstLine="210"/>
        <w:jc w:val="both"/>
      </w:pPr>
      <w:r>
        <w:rPr>
          <w:color w:val="231F20"/>
        </w:rPr>
        <w:t xml:space="preserve">The political-military actions of the urban guerilla are never directed against the people. The </w:t>
      </w:r>
      <w:r w:rsidR="00C507A5">
        <w:rPr>
          <w:color w:val="231F20"/>
        </w:rPr>
        <w:t>red army faction</w:t>
      </w:r>
      <w:r>
        <w:rPr>
          <w:color w:val="231F20"/>
        </w:rPr>
        <w:t>’s attacks target the imperialist apparatus, its military, political, economic, and cultural institutions and its functionaries in the repressive and ideological state structures.</w:t>
      </w:r>
    </w:p>
    <w:p w14:paraId="065F0689" w14:textId="77777777" w:rsidR="002653E8" w:rsidRDefault="003115E3">
      <w:pPr>
        <w:pStyle w:val="a3"/>
        <w:spacing w:line="264" w:lineRule="auto"/>
        <w:ind w:left="1148" w:right="1327" w:firstLine="210"/>
        <w:jc w:val="both"/>
      </w:pPr>
      <w:r>
        <w:rPr>
          <w:color w:val="231F20"/>
        </w:rPr>
        <w:t>In its offensive against the state, the urban guerilla cannot resort to terrorism as a weapon. The urban guerilla operates in the rift between the state and the masses, working to widen it and to develop political consciousness, revolutionary solidarity, and proletarian power against the state.</w:t>
      </w:r>
    </w:p>
    <w:p w14:paraId="068A649B" w14:textId="77777777" w:rsidR="002653E8" w:rsidRDefault="003115E3">
      <w:pPr>
        <w:pStyle w:val="a3"/>
        <w:spacing w:line="264" w:lineRule="auto"/>
        <w:ind w:left="1148" w:right="1326" w:firstLine="210"/>
        <w:jc w:val="both"/>
      </w:pPr>
      <w:r>
        <w:rPr>
          <w:color w:val="231F20"/>
        </w:rPr>
        <w:t>In opposition to this, this intelligence service-directed terrorist provocation against the people is meant to increase fear and strengthen the people’s identification with the state. At the Hessen Forum, Wassermann, the President of the Braunschweig Court of Appeals explained the state security countertactic—in his words, one must “increase citizens’ feelings of insecurity” and “act on the basis of this subjective feeling of fear.”</w:t>
      </w:r>
    </w:p>
    <w:p w14:paraId="06422F95" w14:textId="77777777" w:rsidR="002653E8" w:rsidRDefault="003115E3">
      <w:pPr>
        <w:pStyle w:val="a3"/>
        <w:spacing w:line="264" w:lineRule="auto"/>
        <w:ind w:left="1148" w:right="1325" w:firstLine="210"/>
        <w:jc w:val="both"/>
      </w:pPr>
      <w:r>
        <w:rPr>
          <w:color w:val="231F20"/>
          <w:spacing w:val="1"/>
        </w:rPr>
        <w:t xml:space="preserve">In </w:t>
      </w:r>
      <w:r>
        <w:rPr>
          <w:color w:val="231F20"/>
        </w:rPr>
        <w:t xml:space="preserve">the meantime, the </w:t>
      </w:r>
      <w:r>
        <w:rPr>
          <w:i/>
          <w:color w:val="231F20"/>
        </w:rPr>
        <w:t xml:space="preserve">Frankfurter Rundschau </w:t>
      </w:r>
      <w:r>
        <w:rPr>
          <w:color w:val="231F20"/>
        </w:rPr>
        <w:t xml:space="preserve">report (September </w:t>
      </w:r>
      <w:r>
        <w:rPr>
          <w:color w:val="231F20"/>
          <w:spacing w:val="-6"/>
        </w:rPr>
        <w:t xml:space="preserve">9) </w:t>
      </w:r>
      <w:r>
        <w:rPr>
          <w:color w:val="231F20"/>
        </w:rPr>
        <w:t xml:space="preserve">confirmed that the state security counter-operations conducted since  72 (bomb threats against Stuttgart, threats to poison drinking water, stolen stocks of mustard gas, </w:t>
      </w:r>
      <w:r>
        <w:rPr>
          <w:color w:val="231F20"/>
          <w:spacing w:val="1"/>
        </w:rPr>
        <w:t xml:space="preserve">SAM </w:t>
      </w:r>
      <w:r>
        <w:rPr>
          <w:color w:val="231F20"/>
        </w:rPr>
        <w:t xml:space="preserve">rocket attacks on football stadiums, the bomb attack on Bremen Central Station and now in Hamburg) were developed from programs created by the </w:t>
      </w:r>
      <w:r>
        <w:rPr>
          <w:color w:val="231F20"/>
          <w:spacing w:val="3"/>
        </w:rPr>
        <w:t xml:space="preserve">CIA. </w:t>
      </w:r>
      <w:r>
        <w:rPr>
          <w:color w:val="231F20"/>
        </w:rPr>
        <w:t xml:space="preserve">The </w:t>
      </w:r>
      <w:r>
        <w:rPr>
          <w:color w:val="231F20"/>
          <w:spacing w:val="1"/>
        </w:rPr>
        <w:t xml:space="preserve">FR </w:t>
      </w:r>
      <w:r>
        <w:rPr>
          <w:color w:val="231F20"/>
        </w:rPr>
        <w:t xml:space="preserve">is only substantiating what has been known for a long time </w:t>
      </w:r>
      <w:r>
        <w:rPr>
          <w:color w:val="231F20"/>
          <w:spacing w:val="-4"/>
        </w:rPr>
        <w:t xml:space="preserve">now, </w:t>
      </w:r>
      <w:r>
        <w:rPr>
          <w:color w:val="231F20"/>
        </w:rPr>
        <w:t>that the use of poison  in subway tunnels and the contamination of drinking water in large cities is a special warfare countertactic, a “psychological operation” of intelligence services and counterguerilla</w:t>
      </w:r>
      <w:r>
        <w:rPr>
          <w:color w:val="231F20"/>
          <w:spacing w:val="40"/>
        </w:rPr>
        <w:t xml:space="preserve"> </w:t>
      </w:r>
      <w:r>
        <w:rPr>
          <w:color w:val="231F20"/>
        </w:rPr>
        <w:t>units.</w:t>
      </w:r>
    </w:p>
    <w:p w14:paraId="34280D1E" w14:textId="77777777" w:rsidR="002653E8" w:rsidRDefault="003115E3">
      <w:pPr>
        <w:pStyle w:val="a3"/>
        <w:spacing w:line="264" w:lineRule="auto"/>
        <w:ind w:left="1148" w:right="1326" w:firstLine="210"/>
        <w:jc w:val="both"/>
      </w:pPr>
      <w:r>
        <w:rPr>
          <w:color w:val="231F20"/>
        </w:rPr>
        <w:t>At this point, the  question  to  be  answered  is  whether  the  attack  in Hamburg was the act of a lone criminal, of the radical right-wing Bremen group under intelligence service control, of state security</w:t>
      </w:r>
      <w:r>
        <w:rPr>
          <w:color w:val="231F20"/>
          <w:spacing w:val="8"/>
        </w:rPr>
        <w:t xml:space="preserve"> </w:t>
      </w:r>
      <w:r>
        <w:rPr>
          <w:color w:val="231F20"/>
        </w:rPr>
        <w:t>itself,</w:t>
      </w:r>
    </w:p>
    <w:p w14:paraId="7F8C1541" w14:textId="77777777" w:rsidR="002653E8" w:rsidRDefault="002653E8">
      <w:pPr>
        <w:spacing w:line="264" w:lineRule="auto"/>
        <w:jc w:val="both"/>
        <w:sectPr w:rsidR="002653E8">
          <w:pgSz w:w="8640" w:h="12960"/>
          <w:pgMar w:top="1220" w:right="0" w:bottom="1040" w:left="0" w:header="0" w:footer="850" w:gutter="0"/>
          <w:cols w:space="720"/>
        </w:sectPr>
      </w:pPr>
    </w:p>
    <w:p w14:paraId="3C186B41" w14:textId="77777777" w:rsidR="002653E8" w:rsidRDefault="003115E3">
      <w:pPr>
        <w:pStyle w:val="a3"/>
        <w:spacing w:before="86" w:line="264" w:lineRule="auto"/>
        <w:ind w:left="1327" w:right="1137"/>
      </w:pPr>
      <w:r>
        <w:rPr>
          <w:color w:val="231F20"/>
        </w:rPr>
        <w:lastRenderedPageBreak/>
        <w:t>or of the special CIA counterinsurgency unit established at the American embassy in Bonn after Stockholm.</w:t>
      </w:r>
    </w:p>
    <w:p w14:paraId="0FD77435" w14:textId="77777777" w:rsidR="002653E8" w:rsidRDefault="003115E3">
      <w:pPr>
        <w:pStyle w:val="a3"/>
        <w:spacing w:line="264" w:lineRule="auto"/>
        <w:ind w:left="1327" w:right="1145" w:firstLine="210"/>
        <w:jc w:val="both"/>
      </w:pPr>
      <w:r>
        <w:rPr>
          <w:color w:val="231F20"/>
        </w:rPr>
        <w:t xml:space="preserve">What is certain is that state security works within the reactionary structures through a network of  state  security  journalists  who  use  the media conglomerates and public institutions to attack the urban guerilla. High profile figures in this network close to the </w:t>
      </w:r>
      <w:r>
        <w:rPr>
          <w:color w:val="231F20"/>
          <w:spacing w:val="-4"/>
        </w:rPr>
        <w:t xml:space="preserve">BKA’s </w:t>
      </w:r>
      <w:r>
        <w:rPr>
          <w:color w:val="231F20"/>
        </w:rPr>
        <w:t xml:space="preserve">press office and the </w:t>
      </w:r>
      <w:r>
        <w:rPr>
          <w:color w:val="231F20"/>
          <w:spacing w:val="-6"/>
        </w:rPr>
        <w:t xml:space="preserve">BAW </w:t>
      </w:r>
      <w:r>
        <w:rPr>
          <w:color w:val="231F20"/>
        </w:rPr>
        <w:t xml:space="preserve">press conferences are </w:t>
      </w:r>
      <w:r>
        <w:rPr>
          <w:color w:val="231F20"/>
          <w:spacing w:val="2"/>
        </w:rPr>
        <w:t xml:space="preserve">Krumm </w:t>
      </w:r>
      <w:r>
        <w:rPr>
          <w:color w:val="231F20"/>
        </w:rPr>
        <w:t xml:space="preserve">of the </w:t>
      </w:r>
      <w:r>
        <w:rPr>
          <w:i/>
          <w:color w:val="231F20"/>
        </w:rPr>
        <w:t xml:space="preserve">Frankfurter </w:t>
      </w:r>
      <w:r>
        <w:rPr>
          <w:i/>
          <w:color w:val="231F20"/>
          <w:spacing w:val="1"/>
        </w:rPr>
        <w:t xml:space="preserve">Rundschau, </w:t>
      </w:r>
      <w:r>
        <w:rPr>
          <w:color w:val="231F20"/>
        </w:rPr>
        <w:t xml:space="preserve">Busche of the </w:t>
      </w:r>
      <w:r>
        <w:rPr>
          <w:i/>
          <w:color w:val="231F20"/>
        </w:rPr>
        <w:t xml:space="preserve">Frankfurter Allgemeine Zeitung, </w:t>
      </w:r>
      <w:r>
        <w:rPr>
          <w:color w:val="231F20"/>
        </w:rPr>
        <w:t xml:space="preserve">Leicht and Kuchnert of the </w:t>
      </w:r>
      <w:r>
        <w:rPr>
          <w:i/>
          <w:color w:val="231F20"/>
        </w:rPr>
        <w:t xml:space="preserve">Süddeutsche Zeitung, </w:t>
      </w:r>
      <w:r>
        <w:rPr>
          <w:color w:val="231F20"/>
        </w:rPr>
        <w:t xml:space="preserve">and Rieber and Zimmermann,  who are published in many national newspapers. Zimmermann’s article about the alleged connection between the attack, the </w:t>
      </w:r>
      <w:r w:rsidR="00C507A5">
        <w:rPr>
          <w:color w:val="231F20"/>
        </w:rPr>
        <w:t>red army faction</w:t>
      </w:r>
      <w:r>
        <w:rPr>
          <w:color w:val="231F20"/>
        </w:rPr>
        <w:t>, the 2nd of June Movement, and Siegfried Haag was simultaneously published in eight national</w:t>
      </w:r>
      <w:r>
        <w:rPr>
          <w:color w:val="231F20"/>
          <w:spacing w:val="20"/>
        </w:rPr>
        <w:t xml:space="preserve"> </w:t>
      </w:r>
      <w:r>
        <w:rPr>
          <w:color w:val="231F20"/>
        </w:rPr>
        <w:t>newspapers.</w:t>
      </w:r>
    </w:p>
    <w:p w14:paraId="5791D5B1" w14:textId="77777777" w:rsidR="002653E8" w:rsidRDefault="003115E3">
      <w:pPr>
        <w:pStyle w:val="a3"/>
        <w:spacing w:line="264" w:lineRule="auto"/>
        <w:ind w:left="1327" w:right="1145" w:firstLine="210"/>
        <w:jc w:val="both"/>
      </w:pPr>
      <w:r>
        <w:rPr>
          <w:color w:val="231F20"/>
        </w:rPr>
        <w:t xml:space="preserve">The incredible fact that state reaction is now resorting to such measures against the weak urban guerilla here simply indicates the strategic importance of this instability for the Federal Republic as part of the </w:t>
      </w:r>
      <w:r>
        <w:rPr>
          <w:color w:val="231F20"/>
          <w:spacing w:val="1"/>
        </w:rPr>
        <w:t xml:space="preserve">U.S. </w:t>
      </w:r>
      <w:r>
        <w:rPr>
          <w:color w:val="231F20"/>
        </w:rPr>
        <w:t xml:space="preserve">imperialist chain of states. </w:t>
      </w:r>
      <w:r>
        <w:rPr>
          <w:color w:val="231F20"/>
          <w:spacing w:val="1"/>
        </w:rPr>
        <w:t xml:space="preserve">In </w:t>
      </w:r>
      <w:r>
        <w:rPr>
          <w:color w:val="231F20"/>
        </w:rPr>
        <w:t xml:space="preserve">the North-South and East-West conflicts, the FRG is a central base of operations for </w:t>
      </w:r>
      <w:r>
        <w:rPr>
          <w:color w:val="231F20"/>
          <w:spacing w:val="1"/>
        </w:rPr>
        <w:t xml:space="preserve">U.S. </w:t>
      </w:r>
      <w:r>
        <w:rPr>
          <w:color w:val="231F20"/>
        </w:rPr>
        <w:t xml:space="preserve">imperialism; militarily   in </w:t>
      </w:r>
      <w:r>
        <w:rPr>
          <w:color w:val="231F20"/>
          <w:spacing w:val="-3"/>
        </w:rPr>
        <w:t xml:space="preserve">NATO, </w:t>
      </w:r>
      <w:r>
        <w:rPr>
          <w:color w:val="231F20"/>
        </w:rPr>
        <w:t>economically in the European Community, politically and ideologically through the Social Democrats and their leadership role in the Socialist</w:t>
      </w:r>
      <w:r>
        <w:rPr>
          <w:color w:val="231F20"/>
          <w:spacing w:val="21"/>
        </w:rPr>
        <w:t xml:space="preserve"> </w:t>
      </w:r>
      <w:r>
        <w:rPr>
          <w:color w:val="231F20"/>
        </w:rPr>
        <w:t>International.</w:t>
      </w:r>
    </w:p>
    <w:p w14:paraId="10BFC93C" w14:textId="77777777" w:rsidR="002653E8" w:rsidRDefault="003115E3">
      <w:pPr>
        <w:pStyle w:val="a3"/>
        <w:spacing w:line="264" w:lineRule="auto"/>
        <w:ind w:left="1328" w:right="1145" w:firstLine="210"/>
        <w:jc w:val="both"/>
      </w:pPr>
      <w:r>
        <w:rPr>
          <w:color w:val="231F20"/>
        </w:rPr>
        <w:t>The state’s attempt to use its intelligence services to provoke a reactionary mass mobilization is not a response to the guerilla, but is rather a reaction to strategic conditions; namely, the economic and political weakness of the U.S. chain of states. They are responding to the future potential and current reality of revolutionary politics. The objective and function of psychological warfare, in the way it is being waged against every democratic initiative, is to cause splits, isolation, withdrawal and eventually extermination.</w:t>
      </w:r>
    </w:p>
    <w:p w14:paraId="2897C5C9" w14:textId="77777777" w:rsidR="002653E8" w:rsidRDefault="003115E3">
      <w:pPr>
        <w:pStyle w:val="a3"/>
        <w:spacing w:line="264" w:lineRule="auto"/>
        <w:ind w:left="1328" w:right="1145" w:firstLine="210"/>
        <w:jc w:val="both"/>
        <w:rPr>
          <w:sz w:val="11"/>
        </w:rPr>
      </w:pPr>
      <w:r>
        <w:rPr>
          <w:color w:val="231F20"/>
        </w:rPr>
        <w:t xml:space="preserve">Marx said, “Revolutionary progress disrupts the course of a closed and powerful counterrevolution by producing rebels who convert the </w:t>
      </w:r>
      <w:r>
        <w:rPr>
          <w:color w:val="231F20"/>
          <w:spacing w:val="1"/>
        </w:rPr>
        <w:t>party</w:t>
      </w:r>
      <w:r>
        <w:rPr>
          <w:color w:val="231F20"/>
          <w:spacing w:val="11"/>
        </w:rPr>
        <w:t xml:space="preserve"> </w:t>
      </w:r>
      <w:r>
        <w:rPr>
          <w:color w:val="231F20"/>
        </w:rPr>
        <w:t>of</w:t>
      </w:r>
      <w:r>
        <w:rPr>
          <w:color w:val="231F20"/>
          <w:spacing w:val="11"/>
        </w:rPr>
        <w:t xml:space="preserve"> </w:t>
      </w:r>
      <w:r>
        <w:rPr>
          <w:color w:val="231F20"/>
        </w:rPr>
        <w:t>resistance</w:t>
      </w:r>
      <w:r>
        <w:rPr>
          <w:color w:val="231F20"/>
          <w:spacing w:val="11"/>
        </w:rPr>
        <w:t xml:space="preserve"> </w:t>
      </w:r>
      <w:r>
        <w:rPr>
          <w:color w:val="231F20"/>
        </w:rPr>
        <w:t>into</w:t>
      </w:r>
      <w:r>
        <w:rPr>
          <w:color w:val="231F20"/>
          <w:spacing w:val="11"/>
        </w:rPr>
        <w:t xml:space="preserve"> </w:t>
      </w:r>
      <w:r>
        <w:rPr>
          <w:color w:val="231F20"/>
        </w:rPr>
        <w:t>a</w:t>
      </w:r>
      <w:r>
        <w:rPr>
          <w:color w:val="231F20"/>
          <w:spacing w:val="11"/>
        </w:rPr>
        <w:t xml:space="preserve"> </w:t>
      </w:r>
      <w:r>
        <w:rPr>
          <w:color w:val="231F20"/>
        </w:rPr>
        <w:t>truly</w:t>
      </w:r>
      <w:r>
        <w:rPr>
          <w:color w:val="231F20"/>
          <w:spacing w:val="11"/>
        </w:rPr>
        <w:t xml:space="preserve"> </w:t>
      </w:r>
      <w:r>
        <w:rPr>
          <w:color w:val="231F20"/>
        </w:rPr>
        <w:t>revolutionary</w:t>
      </w:r>
      <w:r>
        <w:rPr>
          <w:color w:val="231F20"/>
          <w:spacing w:val="11"/>
        </w:rPr>
        <w:t xml:space="preserve"> </w:t>
      </w:r>
      <w:r>
        <w:rPr>
          <w:color w:val="231F20"/>
          <w:spacing w:val="-3"/>
        </w:rPr>
        <w:t>party.”</w:t>
      </w:r>
      <w:r>
        <w:rPr>
          <w:color w:val="231F20"/>
          <w:spacing w:val="-3"/>
          <w:position w:val="7"/>
          <w:sz w:val="11"/>
        </w:rPr>
        <w:t>1</w:t>
      </w:r>
    </w:p>
    <w:p w14:paraId="618B7254" w14:textId="77777777" w:rsidR="002653E8" w:rsidRDefault="003115E3">
      <w:pPr>
        <w:pStyle w:val="a3"/>
        <w:spacing w:line="264" w:lineRule="auto"/>
        <w:ind w:left="1328" w:right="1147" w:firstLine="210"/>
        <w:jc w:val="both"/>
      </w:pPr>
      <w:r>
        <w:rPr>
          <w:color w:val="231F20"/>
        </w:rPr>
        <w:t xml:space="preserve">The urban guerilla has shown that the only </w:t>
      </w:r>
      <w:r>
        <w:rPr>
          <w:color w:val="231F20"/>
          <w:spacing w:val="-2"/>
        </w:rPr>
        <w:t xml:space="preserve">way </w:t>
      </w:r>
      <w:r>
        <w:rPr>
          <w:color w:val="231F20"/>
        </w:rPr>
        <w:t>to resist state terror is through armed proletarian politics.</w:t>
      </w:r>
    </w:p>
    <w:p w14:paraId="3DADF734" w14:textId="77777777" w:rsidR="002653E8" w:rsidRDefault="003115E3">
      <w:pPr>
        <w:pStyle w:val="a3"/>
        <w:spacing w:before="91"/>
        <w:ind w:left="1212" w:right="1146"/>
        <w:jc w:val="right"/>
      </w:pPr>
      <w:r>
        <w:rPr>
          <w:color w:val="231F20"/>
        </w:rPr>
        <w:t xml:space="preserve">The  </w:t>
      </w:r>
      <w:r w:rsidR="00C507A5">
        <w:rPr>
          <w:color w:val="231F20"/>
        </w:rPr>
        <w:t>red army faction</w:t>
      </w:r>
      <w:r>
        <w:rPr>
          <w:color w:val="231F20"/>
        </w:rPr>
        <w:t xml:space="preserve"> Prisoners</w:t>
      </w:r>
    </w:p>
    <w:p w14:paraId="55F154F0" w14:textId="77777777" w:rsidR="002653E8" w:rsidRDefault="003115E3">
      <w:pPr>
        <w:pStyle w:val="a3"/>
        <w:spacing w:before="21" w:line="261" w:lineRule="auto"/>
        <w:ind w:left="5734" w:right="1146" w:firstLine="667"/>
        <w:jc w:val="right"/>
      </w:pPr>
      <w:r>
        <w:rPr>
          <w:color w:val="231F20"/>
        </w:rPr>
        <w:t>Stammheim September 23, 1975</w:t>
      </w:r>
    </w:p>
    <w:p w14:paraId="26546D3B" w14:textId="77777777" w:rsidR="002653E8" w:rsidRDefault="00000000">
      <w:pPr>
        <w:pStyle w:val="a3"/>
        <w:spacing w:before="11"/>
        <w:rPr>
          <w:sz w:val="9"/>
        </w:rPr>
      </w:pPr>
      <w:r>
        <w:rPr>
          <w:noProof w:val="0"/>
        </w:rPr>
        <w:pict w14:anchorId="6D0F84C0">
          <v:line id="_x0000_s2304" style="position:absolute;z-index:8224;mso-wrap-distance-left:0;mso-wrap-distance-right:0;mso-position-horizontal-relative:page" from="66.4pt,8.05pt" to="138.4pt,8.05pt" strokecolor="#231f20" strokeweight=".5pt">
            <w10:wrap type="topAndBottom" anchorx="page"/>
          </v:line>
        </w:pict>
      </w:r>
    </w:p>
    <w:p w14:paraId="0FEF3572" w14:textId="77777777" w:rsidR="002653E8" w:rsidRDefault="003115E3">
      <w:pPr>
        <w:spacing w:before="53" w:line="254" w:lineRule="auto"/>
        <w:ind w:left="1327" w:right="1479"/>
        <w:rPr>
          <w:sz w:val="16"/>
        </w:rPr>
      </w:pPr>
      <w:r>
        <w:rPr>
          <w:color w:val="231F20"/>
          <w:w w:val="105"/>
          <w:sz w:val="16"/>
        </w:rPr>
        <w:t>1 Probably quoted from memory, this is a very mangled version of a phrase from Marx’s “Class Struggles in France.” See page 367, fn 2.</w:t>
      </w:r>
    </w:p>
    <w:p w14:paraId="66E2150D" w14:textId="77777777" w:rsidR="002653E8" w:rsidRDefault="002653E8">
      <w:pPr>
        <w:spacing w:line="254" w:lineRule="auto"/>
        <w:rPr>
          <w:sz w:val="16"/>
        </w:rPr>
        <w:sectPr w:rsidR="002653E8">
          <w:footerReference w:type="even" r:id="rId321"/>
          <w:footerReference w:type="default" r:id="rId322"/>
          <w:pgSz w:w="8640" w:h="12960"/>
          <w:pgMar w:top="1060" w:right="0" w:bottom="1040" w:left="0" w:header="0" w:footer="850" w:gutter="0"/>
          <w:pgNumType w:start="379"/>
          <w:cols w:space="720"/>
        </w:sectPr>
      </w:pPr>
    </w:p>
    <w:p w14:paraId="0A4E8E3C" w14:textId="77777777" w:rsidR="002653E8" w:rsidRDefault="003115E3">
      <w:pPr>
        <w:pStyle w:val="4"/>
        <w:spacing w:line="273" w:lineRule="auto"/>
        <w:ind w:left="2605" w:right="2767" w:firstLine="139"/>
      </w:pPr>
      <w:bookmarkStart w:id="175" w:name="The_Bombing_of_the_Cologne_Train_Station"/>
      <w:bookmarkStart w:id="176" w:name="_bookmark56"/>
      <w:bookmarkEnd w:id="175"/>
      <w:bookmarkEnd w:id="176"/>
      <w:r>
        <w:rPr>
          <w:color w:val="231F20"/>
        </w:rPr>
        <w:lastRenderedPageBreak/>
        <w:t>The Bombing of the Cologne Train</w:t>
      </w:r>
      <w:r>
        <w:rPr>
          <w:color w:val="231F20"/>
          <w:spacing w:val="55"/>
        </w:rPr>
        <w:t xml:space="preserve"> </w:t>
      </w:r>
      <w:r>
        <w:rPr>
          <w:color w:val="231F20"/>
        </w:rPr>
        <w:t>Station</w:t>
      </w:r>
    </w:p>
    <w:p w14:paraId="02B3469A" w14:textId="77777777" w:rsidR="002653E8" w:rsidRDefault="002653E8">
      <w:pPr>
        <w:pStyle w:val="a3"/>
        <w:spacing w:before="2"/>
        <w:rPr>
          <w:rFonts w:ascii="Bookman Old Style"/>
          <w:sz w:val="27"/>
        </w:rPr>
      </w:pPr>
    </w:p>
    <w:p w14:paraId="32A83B44" w14:textId="77777777" w:rsidR="002653E8" w:rsidRDefault="003115E3">
      <w:pPr>
        <w:pStyle w:val="a3"/>
        <w:spacing w:line="264" w:lineRule="auto"/>
        <w:ind w:left="1147" w:right="1326"/>
        <w:jc w:val="both"/>
      </w:pPr>
      <w:r>
        <w:rPr>
          <w:color w:val="231F20"/>
        </w:rPr>
        <w:t>On the night of November 11-12, state security agents and/or fascists again set off a bomb in a train station—first Hamburg and Nuremberg, and now Cologne.</w:t>
      </w:r>
    </w:p>
    <w:p w14:paraId="7AF677D1" w14:textId="77777777" w:rsidR="002653E8" w:rsidRDefault="003115E3">
      <w:pPr>
        <w:pStyle w:val="a3"/>
        <w:spacing w:line="264" w:lineRule="auto"/>
        <w:ind w:left="1147" w:right="1325" w:firstLine="210"/>
        <w:jc w:val="both"/>
      </w:pPr>
      <w:r>
        <w:rPr>
          <w:color w:val="231F20"/>
        </w:rPr>
        <w:t xml:space="preserve">The federal government’s Terrorism Division and the cops hoped to create a bloodbath with this pointless act of terrorism. </w:t>
      </w:r>
      <w:r>
        <w:rPr>
          <w:color w:val="231F20"/>
          <w:spacing w:val="1"/>
        </w:rPr>
        <w:t xml:space="preserve">In </w:t>
      </w:r>
      <w:r>
        <w:rPr>
          <w:color w:val="231F20"/>
        </w:rPr>
        <w:t xml:space="preserve">Bremen and Hamburg, the bombs exploded on Federal Football League game days. </w:t>
      </w:r>
      <w:r>
        <w:rPr>
          <w:color w:val="231F20"/>
          <w:spacing w:val="1"/>
        </w:rPr>
        <w:t xml:space="preserve">In </w:t>
      </w:r>
      <w:r>
        <w:rPr>
          <w:color w:val="231F20"/>
        </w:rPr>
        <w:t xml:space="preserve">Cologne, the Carnival began on November </w:t>
      </w:r>
      <w:r>
        <w:rPr>
          <w:color w:val="231F20"/>
          <w:spacing w:val="-4"/>
        </w:rPr>
        <w:t xml:space="preserve">11,  </w:t>
      </w:r>
      <w:r>
        <w:rPr>
          <w:color w:val="231F20"/>
        </w:rPr>
        <w:t>certainly  a  night  when many people would be out; it was only by chance that no one was injured.</w:t>
      </w:r>
      <w:r>
        <w:rPr>
          <w:color w:val="231F20"/>
          <w:spacing w:val="10"/>
        </w:rPr>
        <w:t xml:space="preserve"> </w:t>
      </w:r>
      <w:r>
        <w:rPr>
          <w:color w:val="231F20"/>
          <w:spacing w:val="-8"/>
        </w:rPr>
        <w:t>[…]</w:t>
      </w:r>
    </w:p>
    <w:p w14:paraId="5C5F9525" w14:textId="77777777" w:rsidR="002653E8" w:rsidRDefault="003115E3">
      <w:pPr>
        <w:pStyle w:val="a3"/>
        <w:spacing w:line="264" w:lineRule="auto"/>
        <w:ind w:left="1147" w:right="1326" w:firstLine="210"/>
        <w:jc w:val="both"/>
        <w:rPr>
          <w:sz w:val="11"/>
        </w:rPr>
      </w:pPr>
      <w:r>
        <w:rPr>
          <w:color w:val="231F20"/>
        </w:rPr>
        <w:t>The urban guerilla has often stated, and has proven through its practice since 1970, that its actions are never and have never been directed against the people. […]</w:t>
      </w:r>
      <w:r>
        <w:rPr>
          <w:color w:val="231F20"/>
          <w:position w:val="7"/>
          <w:sz w:val="11"/>
        </w:rPr>
        <w:t>1</w:t>
      </w:r>
    </w:p>
    <w:p w14:paraId="59E98EF9" w14:textId="77777777" w:rsidR="002653E8" w:rsidRDefault="003115E3">
      <w:pPr>
        <w:pStyle w:val="a3"/>
        <w:spacing w:before="114" w:line="261" w:lineRule="auto"/>
        <w:ind w:left="5314" w:right="1326" w:firstLine="395"/>
        <w:jc w:val="right"/>
      </w:pPr>
      <w:r>
        <w:rPr>
          <w:color w:val="231F20"/>
        </w:rPr>
        <w:t>Red Army Faction</w:t>
      </w:r>
      <w:r>
        <w:rPr>
          <w:color w:val="231F20"/>
          <w:w w:val="99"/>
        </w:rPr>
        <w:t xml:space="preserve"> </w:t>
      </w:r>
      <w:r>
        <w:rPr>
          <w:color w:val="231F20"/>
        </w:rPr>
        <w:t>2nd of June Movement</w:t>
      </w:r>
      <w:r>
        <w:rPr>
          <w:color w:val="231F20"/>
          <w:w w:val="98"/>
        </w:rPr>
        <w:t xml:space="preserve"> </w:t>
      </w:r>
      <w:r>
        <w:rPr>
          <w:color w:val="231F20"/>
        </w:rPr>
        <w:t>Revolutionary Cells</w:t>
      </w:r>
      <w:r>
        <w:rPr>
          <w:color w:val="231F20"/>
          <w:w w:val="90"/>
        </w:rPr>
        <w:t xml:space="preserve"> </w:t>
      </w:r>
      <w:r>
        <w:rPr>
          <w:color w:val="231F20"/>
        </w:rPr>
        <w:t>November 1975</w:t>
      </w:r>
    </w:p>
    <w:p w14:paraId="701EBAD3" w14:textId="77777777" w:rsidR="002653E8" w:rsidRDefault="002653E8">
      <w:pPr>
        <w:pStyle w:val="a3"/>
      </w:pPr>
    </w:p>
    <w:p w14:paraId="65F21EB8" w14:textId="77777777" w:rsidR="002653E8" w:rsidRDefault="002653E8">
      <w:pPr>
        <w:pStyle w:val="a3"/>
      </w:pPr>
    </w:p>
    <w:p w14:paraId="1491729B" w14:textId="77777777" w:rsidR="002653E8" w:rsidRDefault="002653E8">
      <w:pPr>
        <w:pStyle w:val="a3"/>
      </w:pPr>
    </w:p>
    <w:p w14:paraId="2AE65E28" w14:textId="77777777" w:rsidR="002653E8" w:rsidRDefault="002653E8">
      <w:pPr>
        <w:pStyle w:val="a3"/>
      </w:pPr>
    </w:p>
    <w:p w14:paraId="62B6E0B2" w14:textId="77777777" w:rsidR="002653E8" w:rsidRDefault="002653E8">
      <w:pPr>
        <w:pStyle w:val="a3"/>
      </w:pPr>
    </w:p>
    <w:p w14:paraId="1CD70766" w14:textId="77777777" w:rsidR="002653E8" w:rsidRDefault="002653E8">
      <w:pPr>
        <w:pStyle w:val="a3"/>
      </w:pPr>
    </w:p>
    <w:p w14:paraId="00439BC4" w14:textId="77777777" w:rsidR="002653E8" w:rsidRDefault="002653E8">
      <w:pPr>
        <w:pStyle w:val="a3"/>
      </w:pPr>
    </w:p>
    <w:p w14:paraId="3CBB5B29" w14:textId="77777777" w:rsidR="002653E8" w:rsidRDefault="002653E8">
      <w:pPr>
        <w:pStyle w:val="a3"/>
      </w:pPr>
    </w:p>
    <w:p w14:paraId="7AA50D22" w14:textId="77777777" w:rsidR="002653E8" w:rsidRDefault="002653E8">
      <w:pPr>
        <w:pStyle w:val="a3"/>
      </w:pPr>
    </w:p>
    <w:p w14:paraId="28F5C664" w14:textId="77777777" w:rsidR="002653E8" w:rsidRDefault="002653E8">
      <w:pPr>
        <w:pStyle w:val="a3"/>
      </w:pPr>
    </w:p>
    <w:p w14:paraId="77C8B9AD" w14:textId="77777777" w:rsidR="002653E8" w:rsidRDefault="002653E8">
      <w:pPr>
        <w:pStyle w:val="a3"/>
      </w:pPr>
    </w:p>
    <w:p w14:paraId="6A880965" w14:textId="77777777" w:rsidR="002653E8" w:rsidRDefault="002653E8">
      <w:pPr>
        <w:pStyle w:val="a3"/>
      </w:pPr>
    </w:p>
    <w:p w14:paraId="7FDD6917" w14:textId="77777777" w:rsidR="002653E8" w:rsidRDefault="002653E8">
      <w:pPr>
        <w:pStyle w:val="a3"/>
      </w:pPr>
    </w:p>
    <w:p w14:paraId="6C158BCB" w14:textId="77777777" w:rsidR="002653E8" w:rsidRDefault="002653E8">
      <w:pPr>
        <w:pStyle w:val="a3"/>
      </w:pPr>
    </w:p>
    <w:p w14:paraId="11A0CF14" w14:textId="77777777" w:rsidR="002653E8" w:rsidRDefault="002653E8">
      <w:pPr>
        <w:pStyle w:val="a3"/>
      </w:pPr>
    </w:p>
    <w:p w14:paraId="6134EE22" w14:textId="77777777" w:rsidR="002653E8" w:rsidRDefault="002653E8">
      <w:pPr>
        <w:pStyle w:val="a3"/>
      </w:pPr>
    </w:p>
    <w:p w14:paraId="46A06D36" w14:textId="77777777" w:rsidR="002653E8" w:rsidRDefault="002653E8">
      <w:pPr>
        <w:pStyle w:val="a3"/>
      </w:pPr>
    </w:p>
    <w:p w14:paraId="138A88D0" w14:textId="77777777" w:rsidR="002653E8" w:rsidRDefault="002653E8">
      <w:pPr>
        <w:pStyle w:val="a3"/>
      </w:pPr>
    </w:p>
    <w:p w14:paraId="44AF3F05" w14:textId="77777777" w:rsidR="002653E8" w:rsidRDefault="00000000">
      <w:pPr>
        <w:pStyle w:val="a3"/>
        <w:spacing w:before="6"/>
        <w:rPr>
          <w:sz w:val="17"/>
        </w:rPr>
      </w:pPr>
      <w:r>
        <w:rPr>
          <w:noProof w:val="0"/>
        </w:rPr>
        <w:pict w14:anchorId="0764A906">
          <v:line id="_x0000_s2303" style="position:absolute;z-index:8248;mso-wrap-distance-left:0;mso-wrap-distance-right:0;mso-position-horizontal-relative:page" from="57.4pt,12.5pt" to="129.4pt,12.5pt" strokecolor="#231f20" strokeweight=".5pt">
            <w10:wrap type="topAndBottom" anchorx="page"/>
          </v:line>
        </w:pict>
      </w:r>
    </w:p>
    <w:p w14:paraId="12118A25" w14:textId="77777777" w:rsidR="002653E8" w:rsidRDefault="003115E3">
      <w:pPr>
        <w:pStyle w:val="a4"/>
        <w:numPr>
          <w:ilvl w:val="0"/>
          <w:numId w:val="87"/>
        </w:numPr>
        <w:tabs>
          <w:tab w:val="left" w:pos="1287"/>
        </w:tabs>
        <w:spacing w:before="53"/>
        <w:ind w:firstLine="0"/>
        <w:jc w:val="left"/>
        <w:rPr>
          <w:sz w:val="16"/>
        </w:rPr>
      </w:pPr>
      <w:r>
        <w:rPr>
          <w:color w:val="231F20"/>
          <w:spacing w:val="1"/>
          <w:w w:val="105"/>
          <w:sz w:val="16"/>
        </w:rPr>
        <w:t>This</w:t>
      </w:r>
      <w:r>
        <w:rPr>
          <w:color w:val="231F20"/>
          <w:spacing w:val="6"/>
          <w:w w:val="105"/>
          <w:sz w:val="16"/>
        </w:rPr>
        <w:t xml:space="preserve"> </w:t>
      </w:r>
      <w:r>
        <w:rPr>
          <w:color w:val="231F20"/>
          <w:w w:val="105"/>
          <w:sz w:val="16"/>
        </w:rPr>
        <w:t>was</w:t>
      </w:r>
      <w:r>
        <w:rPr>
          <w:color w:val="231F20"/>
          <w:spacing w:val="6"/>
          <w:w w:val="105"/>
          <w:sz w:val="16"/>
        </w:rPr>
        <w:t xml:space="preserve"> </w:t>
      </w:r>
      <w:r>
        <w:rPr>
          <w:color w:val="231F20"/>
          <w:w w:val="105"/>
          <w:sz w:val="16"/>
        </w:rPr>
        <w:t>the</w:t>
      </w:r>
      <w:r>
        <w:rPr>
          <w:color w:val="231F20"/>
          <w:spacing w:val="6"/>
          <w:w w:val="105"/>
          <w:sz w:val="16"/>
        </w:rPr>
        <w:t xml:space="preserve"> </w:t>
      </w:r>
      <w:r>
        <w:rPr>
          <w:color w:val="231F20"/>
          <w:w w:val="105"/>
          <w:sz w:val="16"/>
        </w:rPr>
        <w:t>most</w:t>
      </w:r>
      <w:r>
        <w:rPr>
          <w:color w:val="231F20"/>
          <w:spacing w:val="6"/>
          <w:w w:val="105"/>
          <w:sz w:val="16"/>
        </w:rPr>
        <w:t xml:space="preserve"> </w:t>
      </w:r>
      <w:r>
        <w:rPr>
          <w:color w:val="231F20"/>
          <w:w w:val="105"/>
          <w:sz w:val="16"/>
        </w:rPr>
        <w:t>complete</w:t>
      </w:r>
      <w:r>
        <w:rPr>
          <w:color w:val="231F20"/>
          <w:spacing w:val="6"/>
          <w:w w:val="105"/>
          <w:sz w:val="16"/>
        </w:rPr>
        <w:t xml:space="preserve"> </w:t>
      </w:r>
      <w:r>
        <w:rPr>
          <w:color w:val="231F20"/>
          <w:w w:val="105"/>
          <w:sz w:val="16"/>
        </w:rPr>
        <w:t>version</w:t>
      </w:r>
      <w:r>
        <w:rPr>
          <w:color w:val="231F20"/>
          <w:spacing w:val="6"/>
          <w:w w:val="105"/>
          <w:sz w:val="16"/>
        </w:rPr>
        <w:t xml:space="preserve"> </w:t>
      </w:r>
      <w:r>
        <w:rPr>
          <w:color w:val="231F20"/>
          <w:w w:val="105"/>
          <w:sz w:val="16"/>
        </w:rPr>
        <w:t>of</w:t>
      </w:r>
      <w:r>
        <w:rPr>
          <w:color w:val="231F20"/>
          <w:spacing w:val="6"/>
          <w:w w:val="105"/>
          <w:sz w:val="16"/>
        </w:rPr>
        <w:t xml:space="preserve"> </w:t>
      </w:r>
      <w:r>
        <w:rPr>
          <w:color w:val="231F20"/>
          <w:w w:val="105"/>
          <w:sz w:val="16"/>
        </w:rPr>
        <w:t>this</w:t>
      </w:r>
      <w:r>
        <w:rPr>
          <w:color w:val="231F20"/>
          <w:spacing w:val="6"/>
          <w:w w:val="105"/>
          <w:sz w:val="16"/>
        </w:rPr>
        <w:t xml:space="preserve"> </w:t>
      </w:r>
      <w:r>
        <w:rPr>
          <w:color w:val="231F20"/>
          <w:w w:val="105"/>
          <w:sz w:val="16"/>
        </w:rPr>
        <w:t>document</w:t>
      </w:r>
      <w:r>
        <w:rPr>
          <w:color w:val="231F20"/>
          <w:spacing w:val="6"/>
          <w:w w:val="105"/>
          <w:sz w:val="16"/>
        </w:rPr>
        <w:t xml:space="preserve"> </w:t>
      </w:r>
      <w:r>
        <w:rPr>
          <w:color w:val="231F20"/>
          <w:w w:val="105"/>
          <w:sz w:val="16"/>
        </w:rPr>
        <w:t>available</w:t>
      </w:r>
      <w:r>
        <w:rPr>
          <w:color w:val="231F20"/>
          <w:spacing w:val="6"/>
          <w:w w:val="105"/>
          <w:sz w:val="16"/>
        </w:rPr>
        <w:t xml:space="preserve"> </w:t>
      </w:r>
      <w:r>
        <w:rPr>
          <w:color w:val="231F20"/>
          <w:w w:val="105"/>
          <w:sz w:val="16"/>
        </w:rPr>
        <w:t>to</w:t>
      </w:r>
      <w:r>
        <w:rPr>
          <w:color w:val="231F20"/>
          <w:spacing w:val="6"/>
          <w:w w:val="105"/>
          <w:sz w:val="16"/>
        </w:rPr>
        <w:t xml:space="preserve"> </w:t>
      </w:r>
      <w:r>
        <w:rPr>
          <w:color w:val="231F20"/>
          <w:w w:val="105"/>
          <w:sz w:val="16"/>
        </w:rPr>
        <w:t>us.</w:t>
      </w:r>
    </w:p>
    <w:p w14:paraId="45ED736D" w14:textId="77777777" w:rsidR="002653E8" w:rsidRDefault="002653E8">
      <w:pPr>
        <w:rPr>
          <w:sz w:val="16"/>
        </w:rPr>
        <w:sectPr w:rsidR="002653E8">
          <w:pgSz w:w="8640" w:h="12960"/>
          <w:pgMar w:top="1220" w:right="0" w:bottom="1040" w:left="0" w:header="0" w:footer="850" w:gutter="0"/>
          <w:cols w:space="720"/>
        </w:sectPr>
      </w:pPr>
    </w:p>
    <w:p w14:paraId="4171E91A" w14:textId="77777777" w:rsidR="002653E8" w:rsidRDefault="002653E8">
      <w:pPr>
        <w:pStyle w:val="a3"/>
      </w:pPr>
    </w:p>
    <w:p w14:paraId="4A084F61" w14:textId="77777777" w:rsidR="002653E8" w:rsidRDefault="002653E8">
      <w:pPr>
        <w:pStyle w:val="a3"/>
      </w:pPr>
    </w:p>
    <w:p w14:paraId="3BDA1A46" w14:textId="77777777" w:rsidR="002653E8" w:rsidRDefault="002653E8">
      <w:pPr>
        <w:pStyle w:val="a3"/>
      </w:pPr>
    </w:p>
    <w:p w14:paraId="392EC7B2" w14:textId="77777777" w:rsidR="002653E8" w:rsidRDefault="002653E8">
      <w:pPr>
        <w:pStyle w:val="a3"/>
      </w:pPr>
    </w:p>
    <w:p w14:paraId="52AFD074" w14:textId="77777777" w:rsidR="002653E8" w:rsidRDefault="002653E8">
      <w:pPr>
        <w:pStyle w:val="a3"/>
        <w:spacing w:before="2"/>
        <w:rPr>
          <w:sz w:val="29"/>
        </w:rPr>
      </w:pPr>
    </w:p>
    <w:p w14:paraId="3DDCD559" w14:textId="77777777" w:rsidR="002653E8" w:rsidRDefault="003115E3">
      <w:pPr>
        <w:pStyle w:val="4"/>
        <w:tabs>
          <w:tab w:val="left" w:pos="6962"/>
          <w:tab w:val="left" w:pos="7491"/>
        </w:tabs>
        <w:spacing w:before="86"/>
        <w:rPr>
          <w:rFonts w:ascii="Lucida Sans"/>
          <w:b/>
        </w:rPr>
      </w:pPr>
      <w:bookmarkStart w:id="177" w:name="10_The_Murder_of_Ulrike_Meinhof__"/>
      <w:bookmarkStart w:id="178" w:name="_bookmark57"/>
      <w:bookmarkEnd w:id="177"/>
      <w:bookmarkEnd w:id="178"/>
      <w:r>
        <w:rPr>
          <w:rFonts w:ascii="Lucida Sans"/>
          <w:b/>
          <w:color w:val="FFFFFF"/>
          <w:w w:val="87"/>
          <w:shd w:val="clear" w:color="auto" w:fill="231F20"/>
        </w:rPr>
        <w:t xml:space="preserve"> </w:t>
      </w:r>
      <w:r>
        <w:rPr>
          <w:rFonts w:ascii="Lucida Sans"/>
          <w:b/>
          <w:color w:val="FFFFFF"/>
          <w:shd w:val="clear" w:color="auto" w:fill="231F20"/>
        </w:rPr>
        <w:tab/>
      </w:r>
      <w:r>
        <w:rPr>
          <w:rFonts w:ascii="Lucida Sans"/>
          <w:b/>
          <w:color w:val="FFFFFF"/>
          <w:spacing w:val="-6"/>
          <w:w w:val="95"/>
          <w:shd w:val="clear" w:color="auto" w:fill="231F20"/>
        </w:rPr>
        <w:t>10</w:t>
      </w:r>
      <w:r>
        <w:rPr>
          <w:rFonts w:ascii="Lucida Sans"/>
          <w:b/>
          <w:color w:val="FFFFFF"/>
          <w:spacing w:val="-6"/>
          <w:shd w:val="clear" w:color="auto" w:fill="231F20"/>
        </w:rPr>
        <w:tab/>
      </w:r>
    </w:p>
    <w:p w14:paraId="5BF17DB0" w14:textId="77777777" w:rsidR="002653E8" w:rsidRDefault="002653E8">
      <w:pPr>
        <w:pStyle w:val="a3"/>
        <w:rPr>
          <w:rFonts w:ascii="Lucida Sans"/>
          <w:b/>
          <w:sz w:val="36"/>
        </w:rPr>
      </w:pPr>
    </w:p>
    <w:p w14:paraId="5A6FB848" w14:textId="77777777" w:rsidR="002653E8" w:rsidRDefault="002653E8">
      <w:pPr>
        <w:pStyle w:val="a3"/>
        <w:spacing w:before="1"/>
        <w:rPr>
          <w:rFonts w:ascii="Lucida Sans"/>
          <w:b/>
          <w:sz w:val="38"/>
        </w:rPr>
      </w:pPr>
    </w:p>
    <w:p w14:paraId="0AFD78DA" w14:textId="77777777" w:rsidR="002653E8" w:rsidRDefault="003115E3">
      <w:pPr>
        <w:ind w:left="2651"/>
        <w:rPr>
          <w:rFonts w:ascii="Lucida Sans"/>
          <w:b/>
          <w:sz w:val="36"/>
        </w:rPr>
      </w:pPr>
      <w:r>
        <w:rPr>
          <w:rFonts w:ascii="Lucida Sans"/>
          <w:b/>
          <w:color w:val="231F20"/>
          <w:sz w:val="36"/>
        </w:rPr>
        <w:t>the Murder of Ulrike Meinhof</w:t>
      </w:r>
    </w:p>
    <w:p w14:paraId="3911FCBE" w14:textId="77777777" w:rsidR="002653E8" w:rsidRDefault="002653E8">
      <w:pPr>
        <w:pStyle w:val="a3"/>
        <w:rPr>
          <w:rFonts w:ascii="Lucida Sans"/>
          <w:b/>
          <w:sz w:val="42"/>
        </w:rPr>
      </w:pPr>
    </w:p>
    <w:p w14:paraId="0219CBAF" w14:textId="77777777" w:rsidR="002653E8" w:rsidRDefault="002653E8">
      <w:pPr>
        <w:pStyle w:val="a3"/>
        <w:rPr>
          <w:rFonts w:ascii="Lucida Sans"/>
          <w:b/>
          <w:sz w:val="42"/>
        </w:rPr>
      </w:pPr>
    </w:p>
    <w:p w14:paraId="32A7B711" w14:textId="77777777" w:rsidR="002653E8" w:rsidRDefault="003115E3">
      <w:pPr>
        <w:pStyle w:val="a3"/>
        <w:spacing w:before="310" w:line="211" w:lineRule="auto"/>
        <w:ind w:left="1328" w:right="1145" w:hanging="1"/>
      </w:pPr>
      <w:r>
        <w:rPr>
          <w:rFonts w:ascii="Verdana"/>
          <w:color w:val="231F20"/>
          <w:w w:val="99"/>
          <w:sz w:val="48"/>
        </w:rPr>
        <w:t>O</w:t>
      </w:r>
      <w:r>
        <w:rPr>
          <w:color w:val="231F20"/>
          <w:w w:val="109"/>
        </w:rPr>
        <w:t>n</w:t>
      </w:r>
      <w:r>
        <w:rPr>
          <w:color w:val="231F20"/>
        </w:rPr>
        <w:t xml:space="preserve"> </w:t>
      </w:r>
      <w:r>
        <w:rPr>
          <w:color w:val="231F20"/>
          <w:w w:val="93"/>
        </w:rPr>
        <w:t>m</w:t>
      </w:r>
      <w:r>
        <w:rPr>
          <w:color w:val="231F20"/>
          <w:w w:val="113"/>
        </w:rPr>
        <w:t>a</w:t>
      </w:r>
      <w:r>
        <w:rPr>
          <w:color w:val="231F20"/>
          <w:w w:val="110"/>
        </w:rPr>
        <w:t>y</w:t>
      </w:r>
      <w:r>
        <w:rPr>
          <w:color w:val="231F20"/>
        </w:rPr>
        <w:t xml:space="preserve"> 9</w:t>
      </w:r>
      <w:r>
        <w:rPr>
          <w:color w:val="231F20"/>
          <w:w w:val="135"/>
        </w:rPr>
        <w:t>,</w:t>
      </w:r>
      <w:r>
        <w:rPr>
          <w:color w:val="231F20"/>
        </w:rPr>
        <w:t xml:space="preserve"> 1976</w:t>
      </w:r>
      <w:r>
        <w:rPr>
          <w:color w:val="231F20"/>
          <w:w w:val="135"/>
        </w:rPr>
        <w:t>,</w:t>
      </w:r>
      <w:r>
        <w:rPr>
          <w:color w:val="231F20"/>
        </w:rPr>
        <w:t xml:space="preserve"> </w:t>
      </w:r>
      <w:r>
        <w:rPr>
          <w:color w:val="231F20"/>
          <w:w w:val="147"/>
        </w:rPr>
        <w:t>t</w:t>
      </w:r>
      <w:r>
        <w:rPr>
          <w:color w:val="231F20"/>
          <w:w w:val="120"/>
        </w:rPr>
        <w:t>h</w:t>
      </w:r>
      <w:r>
        <w:rPr>
          <w:color w:val="231F20"/>
          <w:w w:val="102"/>
        </w:rPr>
        <w:t>e</w:t>
      </w:r>
      <w:r>
        <w:rPr>
          <w:color w:val="231F20"/>
        </w:rPr>
        <w:t xml:space="preserve"> </w:t>
      </w:r>
      <w:r>
        <w:rPr>
          <w:color w:val="231F20"/>
          <w:w w:val="90"/>
        </w:rPr>
        <w:t>s</w:t>
      </w:r>
      <w:r>
        <w:rPr>
          <w:color w:val="231F20"/>
          <w:w w:val="98"/>
        </w:rPr>
        <w:t>t</w:t>
      </w:r>
      <w:r>
        <w:rPr>
          <w:color w:val="231F20"/>
          <w:w w:val="102"/>
        </w:rPr>
        <w:t>a</w:t>
      </w:r>
      <w:r>
        <w:rPr>
          <w:color w:val="231F20"/>
          <w:w w:val="98"/>
        </w:rPr>
        <w:t>t</w:t>
      </w:r>
      <w:r>
        <w:rPr>
          <w:color w:val="231F20"/>
          <w:w w:val="91"/>
        </w:rPr>
        <w:t>e</w:t>
      </w:r>
      <w:r>
        <w:rPr>
          <w:color w:val="231F20"/>
        </w:rPr>
        <w:t xml:space="preserve"> </w:t>
      </w:r>
      <w:r>
        <w:rPr>
          <w:color w:val="231F20"/>
          <w:w w:val="102"/>
        </w:rPr>
        <w:t>a</w:t>
      </w:r>
      <w:r>
        <w:rPr>
          <w:color w:val="231F20"/>
          <w:w w:val="99"/>
        </w:rPr>
        <w:t>nn</w:t>
      </w:r>
      <w:r>
        <w:rPr>
          <w:color w:val="231F20"/>
          <w:w w:val="104"/>
        </w:rPr>
        <w:t>o</w:t>
      </w:r>
      <w:r>
        <w:rPr>
          <w:color w:val="231F20"/>
        </w:rPr>
        <w:t>u</w:t>
      </w:r>
      <w:r>
        <w:rPr>
          <w:color w:val="231F20"/>
          <w:w w:val="99"/>
        </w:rPr>
        <w:t>n</w:t>
      </w:r>
      <w:r>
        <w:rPr>
          <w:color w:val="231F20"/>
        </w:rPr>
        <w:t>c</w:t>
      </w:r>
      <w:r>
        <w:rPr>
          <w:color w:val="231F20"/>
          <w:w w:val="91"/>
        </w:rPr>
        <w:t>e</w:t>
      </w:r>
      <w:r>
        <w:rPr>
          <w:color w:val="231F20"/>
        </w:rPr>
        <w:t xml:space="preserve">d </w:t>
      </w:r>
      <w:r>
        <w:rPr>
          <w:color w:val="231F20"/>
          <w:w w:val="98"/>
        </w:rPr>
        <w:t>t</w:t>
      </w:r>
      <w:r>
        <w:rPr>
          <w:color w:val="231F20"/>
        </w:rPr>
        <w:t>h</w:t>
      </w:r>
      <w:r>
        <w:rPr>
          <w:color w:val="231F20"/>
          <w:w w:val="102"/>
        </w:rPr>
        <w:t>a</w:t>
      </w:r>
      <w:r>
        <w:rPr>
          <w:color w:val="231F20"/>
          <w:w w:val="98"/>
        </w:rPr>
        <w:t>t</w:t>
      </w:r>
      <w:r>
        <w:rPr>
          <w:color w:val="231F20"/>
        </w:rPr>
        <w:t xml:space="preserve"> </w:t>
      </w:r>
      <w:r>
        <w:rPr>
          <w:color w:val="231F20"/>
          <w:w w:val="111"/>
        </w:rPr>
        <w:t>U</w:t>
      </w:r>
      <w:r>
        <w:rPr>
          <w:color w:val="231F20"/>
          <w:w w:val="102"/>
        </w:rPr>
        <w:t>l</w:t>
      </w:r>
      <w:r>
        <w:rPr>
          <w:color w:val="231F20"/>
          <w:w w:val="94"/>
        </w:rPr>
        <w:t>r</w:t>
      </w:r>
      <w:r>
        <w:rPr>
          <w:color w:val="231F20"/>
        </w:rPr>
        <w:t>i</w:t>
      </w:r>
      <w:r>
        <w:rPr>
          <w:color w:val="231F20"/>
          <w:w w:val="106"/>
        </w:rPr>
        <w:t>k</w:t>
      </w:r>
      <w:r>
        <w:rPr>
          <w:color w:val="231F20"/>
          <w:w w:val="91"/>
        </w:rPr>
        <w:t>e</w:t>
      </w:r>
      <w:r>
        <w:rPr>
          <w:color w:val="231F20"/>
        </w:rPr>
        <w:t xml:space="preserve"> </w:t>
      </w:r>
      <w:r>
        <w:rPr>
          <w:color w:val="231F20"/>
          <w:w w:val="122"/>
        </w:rPr>
        <w:t>M</w:t>
      </w:r>
      <w:r>
        <w:rPr>
          <w:color w:val="231F20"/>
          <w:w w:val="91"/>
        </w:rPr>
        <w:t>e</w:t>
      </w:r>
      <w:r>
        <w:rPr>
          <w:color w:val="231F20"/>
        </w:rPr>
        <w:t>i</w:t>
      </w:r>
      <w:r>
        <w:rPr>
          <w:color w:val="231F20"/>
          <w:w w:val="99"/>
        </w:rPr>
        <w:t>n</w:t>
      </w:r>
      <w:r>
        <w:rPr>
          <w:color w:val="231F20"/>
        </w:rPr>
        <w:t>h</w:t>
      </w:r>
      <w:r>
        <w:rPr>
          <w:color w:val="231F20"/>
          <w:w w:val="104"/>
        </w:rPr>
        <w:t>o</w:t>
      </w:r>
      <w:r>
        <w:rPr>
          <w:color w:val="231F20"/>
          <w:w w:val="109"/>
        </w:rPr>
        <w:t>f</w:t>
      </w:r>
      <w:r>
        <w:rPr>
          <w:color w:val="231F20"/>
        </w:rPr>
        <w:t xml:space="preserve"> h</w:t>
      </w:r>
      <w:r>
        <w:rPr>
          <w:color w:val="231F20"/>
          <w:w w:val="102"/>
        </w:rPr>
        <w:t>a</w:t>
      </w:r>
      <w:r>
        <w:rPr>
          <w:color w:val="231F20"/>
        </w:rPr>
        <w:t>d c</w:t>
      </w:r>
      <w:r>
        <w:rPr>
          <w:color w:val="231F20"/>
          <w:w w:val="104"/>
        </w:rPr>
        <w:t>o</w:t>
      </w:r>
      <w:r>
        <w:rPr>
          <w:color w:val="231F20"/>
          <w:w w:val="99"/>
        </w:rPr>
        <w:t>m</w:t>
      </w:r>
      <w:r>
        <w:rPr>
          <w:color w:val="231F20"/>
          <w:w w:val="105"/>
        </w:rPr>
        <w:t>mitted suicide.</w:t>
      </w:r>
    </w:p>
    <w:p w14:paraId="6726CD62" w14:textId="77777777" w:rsidR="002653E8" w:rsidRDefault="003115E3">
      <w:pPr>
        <w:pStyle w:val="a3"/>
        <w:spacing w:before="28" w:line="264" w:lineRule="auto"/>
        <w:ind w:left="1328" w:right="1145" w:firstLine="210"/>
        <w:jc w:val="both"/>
      </w:pPr>
      <w:r>
        <w:rPr>
          <w:color w:val="231F20"/>
        </w:rPr>
        <w:t>Government officials claimed that the guerilla leader had hanged herself following a period of extreme depression provoked by tension with her co-defendants, particularly Andreas Baader.</w:t>
      </w:r>
    </w:p>
    <w:p w14:paraId="56A22103" w14:textId="77777777" w:rsidR="002653E8" w:rsidRDefault="003115E3">
      <w:pPr>
        <w:pStyle w:val="a3"/>
        <w:spacing w:line="264" w:lineRule="auto"/>
        <w:ind w:left="1328" w:right="1145" w:firstLine="210"/>
        <w:jc w:val="both"/>
      </w:pPr>
      <w:r>
        <w:rPr>
          <w:color w:val="231F20"/>
        </w:rPr>
        <w:t>The prisoners’ lawyers responded to the alleged suicide almost immediately. One of her attorneys, Michael Oberwinder, challenged the claim that Meinhof had been suffering from extreme depression:</w:t>
      </w:r>
    </w:p>
    <w:p w14:paraId="24D945F6" w14:textId="77777777" w:rsidR="002653E8" w:rsidRDefault="003115E3">
      <w:pPr>
        <w:spacing w:before="123" w:line="276" w:lineRule="auto"/>
        <w:ind w:left="1747" w:right="1559"/>
        <w:jc w:val="both"/>
        <w:rPr>
          <w:i/>
          <w:sz w:val="11"/>
        </w:rPr>
      </w:pPr>
      <w:r>
        <w:rPr>
          <w:i/>
          <w:color w:val="231F20"/>
          <w:w w:val="105"/>
          <w:sz w:val="19"/>
        </w:rPr>
        <w:t>I myself talked with Frau Meinhof… last Wednesday… regarding the suits. There was not the least sign of disinterest on her part, rather we had an animated discussion in the context of which Frau Meinhof explained the group’s point of view.</w:t>
      </w:r>
      <w:r>
        <w:rPr>
          <w:i/>
          <w:color w:val="231F20"/>
          <w:w w:val="105"/>
          <w:position w:val="6"/>
          <w:sz w:val="11"/>
        </w:rPr>
        <w:t>2</w:t>
      </w:r>
    </w:p>
    <w:p w14:paraId="3E5DA7FD" w14:textId="77777777" w:rsidR="002653E8" w:rsidRDefault="003115E3">
      <w:pPr>
        <w:pStyle w:val="a3"/>
        <w:spacing w:before="131"/>
        <w:ind w:left="1327"/>
      </w:pPr>
      <w:r>
        <w:rPr>
          <w:color w:val="231F20"/>
        </w:rPr>
        <w:t>He further added:</w:t>
      </w:r>
    </w:p>
    <w:p w14:paraId="2A02628A" w14:textId="77777777" w:rsidR="002653E8" w:rsidRDefault="003115E3">
      <w:pPr>
        <w:spacing w:before="151" w:line="276" w:lineRule="auto"/>
        <w:ind w:left="1748" w:right="1565" w:hanging="1"/>
        <w:jc w:val="both"/>
        <w:rPr>
          <w:i/>
          <w:sz w:val="19"/>
        </w:rPr>
      </w:pPr>
      <w:r>
        <w:rPr>
          <w:i/>
          <w:color w:val="231F20"/>
          <w:w w:val="105"/>
          <w:sz w:val="19"/>
        </w:rPr>
        <w:t>If Federal Prosecutor Kaul, as it says here, speaks of a certain coldness between Ulrike Meinhof and Andreas Baader, that is a monstrous claim that doesn’t correspond to reality.</w:t>
      </w:r>
    </w:p>
    <w:p w14:paraId="388B0281" w14:textId="77777777" w:rsidR="002653E8" w:rsidRDefault="002653E8">
      <w:pPr>
        <w:pStyle w:val="a3"/>
        <w:rPr>
          <w:i/>
        </w:rPr>
      </w:pPr>
    </w:p>
    <w:p w14:paraId="47EBD572" w14:textId="77777777" w:rsidR="002653E8" w:rsidRDefault="002653E8">
      <w:pPr>
        <w:pStyle w:val="a3"/>
        <w:rPr>
          <w:i/>
        </w:rPr>
      </w:pPr>
    </w:p>
    <w:p w14:paraId="3D68544D" w14:textId="77777777" w:rsidR="002653E8" w:rsidRDefault="002653E8">
      <w:pPr>
        <w:pStyle w:val="a3"/>
        <w:rPr>
          <w:i/>
        </w:rPr>
      </w:pPr>
    </w:p>
    <w:p w14:paraId="6676D84D" w14:textId="77777777" w:rsidR="002653E8" w:rsidRDefault="00000000">
      <w:pPr>
        <w:pStyle w:val="a3"/>
        <w:spacing w:before="5"/>
        <w:rPr>
          <w:i/>
          <w:sz w:val="10"/>
        </w:rPr>
      </w:pPr>
      <w:r>
        <w:rPr>
          <w:noProof w:val="0"/>
        </w:rPr>
        <w:pict w14:anchorId="3BB4F49E">
          <v:line id="_x0000_s2302" style="position:absolute;z-index:8272;mso-wrap-distance-left:0;mso-wrap-distance-right:0;mso-position-horizontal-relative:page" from="66.4pt,8.35pt" to="138.4pt,8.35pt" strokecolor="#231f20" strokeweight=".5pt">
            <w10:wrap type="topAndBottom" anchorx="page"/>
          </v:line>
        </w:pict>
      </w:r>
    </w:p>
    <w:p w14:paraId="7854E300" w14:textId="77777777" w:rsidR="002653E8" w:rsidRDefault="003115E3">
      <w:pPr>
        <w:spacing w:before="53"/>
        <w:ind w:left="1327"/>
        <w:rPr>
          <w:sz w:val="16"/>
        </w:rPr>
      </w:pPr>
      <w:r>
        <w:rPr>
          <w:color w:val="231F20"/>
          <w:w w:val="105"/>
          <w:sz w:val="16"/>
        </w:rPr>
        <w:t>2 Commission internationale d’enquête sur la mort d’Ulrike Meinhof, 9.</w:t>
      </w:r>
    </w:p>
    <w:p w14:paraId="6B957FD1" w14:textId="77777777" w:rsidR="002653E8" w:rsidRDefault="002653E8">
      <w:pPr>
        <w:rPr>
          <w:sz w:val="16"/>
        </w:rPr>
        <w:sectPr w:rsidR="002653E8">
          <w:footerReference w:type="even" r:id="rId323"/>
          <w:footerReference w:type="default" r:id="rId324"/>
          <w:pgSz w:w="8640" w:h="12960"/>
          <w:pgMar w:top="1220" w:right="0" w:bottom="1040" w:left="0" w:header="0" w:footer="850" w:gutter="0"/>
          <w:cols w:space="720"/>
        </w:sectPr>
      </w:pPr>
    </w:p>
    <w:p w14:paraId="615568D7" w14:textId="77777777" w:rsidR="002653E8" w:rsidRDefault="003115E3">
      <w:pPr>
        <w:pStyle w:val="a3"/>
        <w:spacing w:before="86"/>
        <w:ind w:left="1147"/>
      </w:pPr>
      <w:r>
        <w:rPr>
          <w:color w:val="231F20"/>
        </w:rPr>
        <w:lastRenderedPageBreak/>
        <w:t>Defense attorney Otto Schily further posed some interesting questions:</w:t>
      </w:r>
    </w:p>
    <w:p w14:paraId="24A3D9F2" w14:textId="77777777" w:rsidR="002653E8" w:rsidRDefault="003115E3">
      <w:pPr>
        <w:spacing w:before="152" w:line="276" w:lineRule="auto"/>
        <w:ind w:left="1567" w:right="1745"/>
        <w:jc w:val="both"/>
        <w:rPr>
          <w:i/>
          <w:sz w:val="11"/>
        </w:rPr>
      </w:pPr>
      <w:r>
        <w:rPr>
          <w:i/>
          <w:color w:val="231F20"/>
          <w:w w:val="105"/>
          <w:sz w:val="19"/>
        </w:rPr>
        <w:t>Why didn’t they allow a trusted doctor chosen by (Meinhof’s) sister</w:t>
      </w:r>
      <w:r>
        <w:rPr>
          <w:i/>
          <w:color w:val="231F20"/>
          <w:spacing w:val="-12"/>
          <w:w w:val="105"/>
          <w:sz w:val="19"/>
        </w:rPr>
        <w:t xml:space="preserve"> </w:t>
      </w:r>
      <w:r>
        <w:rPr>
          <w:i/>
          <w:color w:val="231F20"/>
          <w:w w:val="105"/>
          <w:sz w:val="19"/>
        </w:rPr>
        <w:t>to</w:t>
      </w:r>
      <w:r>
        <w:rPr>
          <w:i/>
          <w:color w:val="231F20"/>
          <w:spacing w:val="-12"/>
          <w:w w:val="105"/>
          <w:sz w:val="19"/>
        </w:rPr>
        <w:t xml:space="preserve"> </w:t>
      </w:r>
      <w:r>
        <w:rPr>
          <w:i/>
          <w:color w:val="231F20"/>
          <w:w w:val="105"/>
          <w:sz w:val="19"/>
        </w:rPr>
        <w:t>assist</w:t>
      </w:r>
      <w:r>
        <w:rPr>
          <w:i/>
          <w:color w:val="231F20"/>
          <w:spacing w:val="-12"/>
          <w:w w:val="105"/>
          <w:sz w:val="19"/>
        </w:rPr>
        <w:t xml:space="preserve"> </w:t>
      </w:r>
      <w:r>
        <w:rPr>
          <w:i/>
          <w:color w:val="231F20"/>
          <w:w w:val="105"/>
          <w:sz w:val="19"/>
        </w:rPr>
        <w:t>in</w:t>
      </w:r>
      <w:r>
        <w:rPr>
          <w:i/>
          <w:color w:val="231F20"/>
          <w:spacing w:val="-12"/>
          <w:w w:val="105"/>
          <w:sz w:val="19"/>
        </w:rPr>
        <w:t xml:space="preserve"> </w:t>
      </w:r>
      <w:r>
        <w:rPr>
          <w:i/>
          <w:color w:val="231F20"/>
          <w:w w:val="105"/>
          <w:sz w:val="19"/>
        </w:rPr>
        <w:t>the</w:t>
      </w:r>
      <w:r>
        <w:rPr>
          <w:i/>
          <w:color w:val="231F20"/>
          <w:spacing w:val="-12"/>
          <w:w w:val="105"/>
          <w:sz w:val="19"/>
        </w:rPr>
        <w:t xml:space="preserve"> </w:t>
      </w:r>
      <w:r>
        <w:rPr>
          <w:i/>
          <w:color w:val="231F20"/>
          <w:w w:val="105"/>
          <w:sz w:val="19"/>
        </w:rPr>
        <w:t>autopsy?</w:t>
      </w:r>
      <w:r>
        <w:rPr>
          <w:i/>
          <w:color w:val="231F20"/>
          <w:spacing w:val="-17"/>
          <w:w w:val="105"/>
          <w:sz w:val="19"/>
        </w:rPr>
        <w:t xml:space="preserve"> </w:t>
      </w:r>
      <w:r>
        <w:rPr>
          <w:i/>
          <w:color w:val="231F20"/>
          <w:w w:val="105"/>
          <w:sz w:val="19"/>
        </w:rPr>
        <w:t>Why</w:t>
      </w:r>
      <w:r>
        <w:rPr>
          <w:i/>
          <w:color w:val="231F20"/>
          <w:spacing w:val="-12"/>
          <w:w w:val="105"/>
          <w:sz w:val="19"/>
        </w:rPr>
        <w:t xml:space="preserve"> </w:t>
      </w:r>
      <w:r>
        <w:rPr>
          <w:i/>
          <w:color w:val="231F20"/>
          <w:w w:val="105"/>
          <w:sz w:val="19"/>
        </w:rPr>
        <w:t>the</w:t>
      </w:r>
      <w:r>
        <w:rPr>
          <w:i/>
          <w:color w:val="231F20"/>
          <w:spacing w:val="-12"/>
          <w:w w:val="105"/>
          <w:sz w:val="19"/>
        </w:rPr>
        <w:t xml:space="preserve"> </w:t>
      </w:r>
      <w:r>
        <w:rPr>
          <w:i/>
          <w:color w:val="231F20"/>
          <w:w w:val="105"/>
          <w:sz w:val="19"/>
        </w:rPr>
        <w:t>suspicious</w:t>
      </w:r>
      <w:r>
        <w:rPr>
          <w:i/>
          <w:color w:val="231F20"/>
          <w:spacing w:val="-12"/>
          <w:w w:val="105"/>
          <w:sz w:val="19"/>
        </w:rPr>
        <w:t xml:space="preserve"> </w:t>
      </w:r>
      <w:r>
        <w:rPr>
          <w:i/>
          <w:color w:val="231F20"/>
          <w:w w:val="105"/>
          <w:sz w:val="19"/>
        </w:rPr>
        <w:t>haste</w:t>
      </w:r>
      <w:r>
        <w:rPr>
          <w:i/>
          <w:color w:val="231F20"/>
          <w:spacing w:val="-12"/>
          <w:w w:val="105"/>
          <w:sz w:val="19"/>
        </w:rPr>
        <w:t xml:space="preserve"> </w:t>
      </w:r>
      <w:r>
        <w:rPr>
          <w:i/>
          <w:color w:val="231F20"/>
          <w:w w:val="105"/>
          <w:sz w:val="19"/>
        </w:rPr>
        <w:t>regarding the</w:t>
      </w:r>
      <w:r>
        <w:rPr>
          <w:i/>
          <w:color w:val="231F20"/>
          <w:spacing w:val="6"/>
          <w:w w:val="105"/>
          <w:sz w:val="19"/>
        </w:rPr>
        <w:t xml:space="preserve"> </w:t>
      </w:r>
      <w:r>
        <w:rPr>
          <w:i/>
          <w:color w:val="231F20"/>
          <w:w w:val="105"/>
          <w:sz w:val="19"/>
        </w:rPr>
        <w:t>autopsy?</w:t>
      </w:r>
      <w:r>
        <w:rPr>
          <w:i/>
          <w:color w:val="231F20"/>
          <w:w w:val="105"/>
          <w:position w:val="6"/>
          <w:sz w:val="11"/>
        </w:rPr>
        <w:t>1</w:t>
      </w:r>
    </w:p>
    <w:p w14:paraId="3CECEA96" w14:textId="77777777" w:rsidR="002653E8" w:rsidRDefault="003115E3">
      <w:pPr>
        <w:pStyle w:val="a3"/>
        <w:spacing w:before="130"/>
        <w:ind w:left="1147"/>
      </w:pPr>
      <w:r>
        <w:rPr>
          <w:color w:val="231F20"/>
        </w:rPr>
        <w:t>Her attorney Axel Azzola dismissed the theory out of hand:</w:t>
      </w:r>
    </w:p>
    <w:p w14:paraId="67F055E1" w14:textId="77777777" w:rsidR="002653E8" w:rsidRDefault="003115E3">
      <w:pPr>
        <w:spacing w:before="151" w:line="276" w:lineRule="auto"/>
        <w:ind w:left="1567" w:right="1746"/>
        <w:jc w:val="both"/>
        <w:rPr>
          <w:i/>
          <w:sz w:val="11"/>
        </w:rPr>
      </w:pPr>
      <w:r>
        <w:rPr>
          <w:i/>
          <w:color w:val="231F20"/>
          <w:sz w:val="19"/>
        </w:rPr>
        <w:t>The authorities are responsible for her death. There is no such thing</w:t>
      </w:r>
      <w:r>
        <w:rPr>
          <w:i/>
          <w:color w:val="231F20"/>
          <w:spacing w:val="15"/>
          <w:sz w:val="19"/>
        </w:rPr>
        <w:t xml:space="preserve"> </w:t>
      </w:r>
      <w:r>
        <w:rPr>
          <w:i/>
          <w:color w:val="231F20"/>
          <w:sz w:val="19"/>
        </w:rPr>
        <w:t>as</w:t>
      </w:r>
      <w:r>
        <w:rPr>
          <w:i/>
          <w:color w:val="231F20"/>
          <w:spacing w:val="15"/>
          <w:sz w:val="19"/>
        </w:rPr>
        <w:t xml:space="preserve"> </w:t>
      </w:r>
      <w:r>
        <w:rPr>
          <w:i/>
          <w:color w:val="231F20"/>
          <w:sz w:val="19"/>
        </w:rPr>
        <w:t>suicide. There</w:t>
      </w:r>
      <w:r>
        <w:rPr>
          <w:i/>
          <w:color w:val="231F20"/>
          <w:spacing w:val="15"/>
          <w:sz w:val="19"/>
        </w:rPr>
        <w:t xml:space="preserve"> </w:t>
      </w:r>
      <w:r>
        <w:rPr>
          <w:i/>
          <w:color w:val="231F20"/>
          <w:sz w:val="19"/>
        </w:rPr>
        <w:t>are</w:t>
      </w:r>
      <w:r>
        <w:rPr>
          <w:i/>
          <w:color w:val="231F20"/>
          <w:spacing w:val="15"/>
          <w:sz w:val="19"/>
        </w:rPr>
        <w:t xml:space="preserve"> </w:t>
      </w:r>
      <w:r>
        <w:rPr>
          <w:i/>
          <w:color w:val="231F20"/>
          <w:sz w:val="19"/>
        </w:rPr>
        <w:t>only</w:t>
      </w:r>
      <w:r>
        <w:rPr>
          <w:i/>
          <w:color w:val="231F20"/>
          <w:spacing w:val="15"/>
          <w:sz w:val="19"/>
        </w:rPr>
        <w:t xml:space="preserve"> </w:t>
      </w:r>
      <w:r>
        <w:rPr>
          <w:i/>
          <w:color w:val="231F20"/>
          <w:sz w:val="19"/>
        </w:rPr>
        <w:t>the</w:t>
      </w:r>
      <w:r>
        <w:rPr>
          <w:i/>
          <w:color w:val="231F20"/>
          <w:spacing w:val="15"/>
          <w:sz w:val="19"/>
        </w:rPr>
        <w:t xml:space="preserve"> </w:t>
      </w:r>
      <w:r>
        <w:rPr>
          <w:i/>
          <w:color w:val="231F20"/>
          <w:sz w:val="19"/>
        </w:rPr>
        <w:t>pursuers</w:t>
      </w:r>
      <w:r>
        <w:rPr>
          <w:i/>
          <w:color w:val="231F20"/>
          <w:spacing w:val="15"/>
          <w:sz w:val="19"/>
        </w:rPr>
        <w:t xml:space="preserve"> </w:t>
      </w:r>
      <w:r>
        <w:rPr>
          <w:i/>
          <w:color w:val="231F20"/>
          <w:sz w:val="19"/>
        </w:rPr>
        <w:t>and</w:t>
      </w:r>
      <w:r>
        <w:rPr>
          <w:i/>
          <w:color w:val="231F20"/>
          <w:spacing w:val="15"/>
          <w:sz w:val="19"/>
        </w:rPr>
        <w:t xml:space="preserve"> </w:t>
      </w:r>
      <w:r>
        <w:rPr>
          <w:i/>
          <w:color w:val="231F20"/>
          <w:sz w:val="19"/>
        </w:rPr>
        <w:t>the</w:t>
      </w:r>
      <w:r>
        <w:rPr>
          <w:i/>
          <w:color w:val="231F20"/>
          <w:spacing w:val="15"/>
          <w:sz w:val="19"/>
        </w:rPr>
        <w:t xml:space="preserve"> </w:t>
      </w:r>
      <w:r>
        <w:rPr>
          <w:i/>
          <w:color w:val="231F20"/>
          <w:sz w:val="19"/>
        </w:rPr>
        <w:t>pursued.</w:t>
      </w:r>
      <w:r>
        <w:rPr>
          <w:i/>
          <w:color w:val="231F20"/>
          <w:position w:val="6"/>
          <w:sz w:val="11"/>
        </w:rPr>
        <w:t>2</w:t>
      </w:r>
    </w:p>
    <w:p w14:paraId="0A1B8D55" w14:textId="77777777" w:rsidR="002653E8" w:rsidRDefault="003115E3">
      <w:pPr>
        <w:pStyle w:val="a3"/>
        <w:spacing w:before="129" w:line="264" w:lineRule="auto"/>
        <w:ind w:left="1147" w:right="1325"/>
        <w:jc w:val="both"/>
      </w:pPr>
      <w:r>
        <w:rPr>
          <w:color w:val="231F20"/>
        </w:rPr>
        <w:t xml:space="preserve">The defense attorneys called for an independent investigation. As a result, on July </w:t>
      </w:r>
      <w:r>
        <w:rPr>
          <w:color w:val="231F20"/>
          <w:spacing w:val="-4"/>
        </w:rPr>
        <w:t xml:space="preserve">16, 1976, </w:t>
      </w:r>
      <w:r>
        <w:rPr>
          <w:color w:val="231F20"/>
        </w:rPr>
        <w:t>an International Investigatory Commission into the Death of Ulrike Meinhof was formed;</w:t>
      </w:r>
      <w:r>
        <w:rPr>
          <w:color w:val="231F20"/>
          <w:position w:val="7"/>
          <w:sz w:val="11"/>
        </w:rPr>
        <w:t xml:space="preserve">3 </w:t>
      </w:r>
      <w:r>
        <w:rPr>
          <w:color w:val="231F20"/>
        </w:rPr>
        <w:t xml:space="preserve">its findings, delivered on December </w:t>
      </w:r>
      <w:r>
        <w:rPr>
          <w:color w:val="231F20"/>
          <w:spacing w:val="-8"/>
        </w:rPr>
        <w:t xml:space="preserve">15, </w:t>
      </w:r>
      <w:r>
        <w:rPr>
          <w:color w:val="231F20"/>
          <w:spacing w:val="-4"/>
        </w:rPr>
        <w:t xml:space="preserve">1978, </w:t>
      </w:r>
      <w:r>
        <w:rPr>
          <w:color w:val="231F20"/>
        </w:rPr>
        <w:t>revealed compelling evidence that Meinhof  had been brutally raped and</w:t>
      </w:r>
      <w:r>
        <w:rPr>
          <w:color w:val="231F20"/>
          <w:spacing w:val="41"/>
        </w:rPr>
        <w:t xml:space="preserve"> </w:t>
      </w:r>
      <w:r>
        <w:rPr>
          <w:color w:val="231F20"/>
        </w:rPr>
        <w:t>murdered.</w:t>
      </w:r>
    </w:p>
    <w:p w14:paraId="5E099B44" w14:textId="77777777" w:rsidR="002653E8" w:rsidRDefault="003115E3">
      <w:pPr>
        <w:pStyle w:val="a3"/>
        <w:spacing w:line="264" w:lineRule="auto"/>
        <w:ind w:left="1148" w:right="1325" w:firstLine="210"/>
        <w:jc w:val="both"/>
      </w:pPr>
      <w:r>
        <w:rPr>
          <w:color w:val="231F20"/>
        </w:rPr>
        <w:t>In examining the autopsy report, the Commission uncovered a  series of medical contradictions. A group of English doctors noted the absence of usual signs of asphyxiation, the normal cause of death in a suicide by hanging:</w:t>
      </w:r>
    </w:p>
    <w:p w14:paraId="3196720B" w14:textId="77777777" w:rsidR="002653E8" w:rsidRDefault="003115E3">
      <w:pPr>
        <w:spacing w:before="119" w:line="276" w:lineRule="auto"/>
        <w:ind w:left="1567" w:right="1739"/>
        <w:jc w:val="both"/>
        <w:rPr>
          <w:i/>
          <w:sz w:val="19"/>
        </w:rPr>
      </w:pPr>
      <w:r>
        <w:rPr>
          <w:i/>
          <w:color w:val="231F20"/>
          <w:sz w:val="19"/>
        </w:rPr>
        <w:t xml:space="preserve">The report mentions  neither  bulging  of  the  eyes  or  tongue,  nor a cyanosis (bruising) of the face, habitual signs of death by asphyxiation. In spite of the fracture of the  hyoid  bone  at  the  base of the tongue, there is no swelling of the neck in the area of  the mark left by the “rope made from a bath towel” from which    the prisoner was hanging. The negative results are irregular for a death by asphyxiation, that is the least we can </w:t>
      </w:r>
      <w:r>
        <w:rPr>
          <w:i/>
          <w:color w:val="231F20"/>
          <w:spacing w:val="-6"/>
          <w:sz w:val="19"/>
        </w:rPr>
        <w:t xml:space="preserve">say. </w:t>
      </w:r>
      <w:r>
        <w:rPr>
          <w:i/>
          <w:color w:val="231F20"/>
          <w:sz w:val="19"/>
        </w:rPr>
        <w:t xml:space="preserve">On the other hand, they fit a death by pneumo-cartic compression  very  well, that is to say a death by pressure on the carotid </w:t>
      </w:r>
      <w:r>
        <w:rPr>
          <w:i/>
          <w:color w:val="231F20"/>
          <w:spacing w:val="-3"/>
          <w:sz w:val="19"/>
        </w:rPr>
        <w:t xml:space="preserve">artery, </w:t>
      </w:r>
      <w:r>
        <w:rPr>
          <w:i/>
          <w:color w:val="231F20"/>
          <w:sz w:val="19"/>
        </w:rPr>
        <w:t>which can provoke</w:t>
      </w:r>
      <w:r>
        <w:rPr>
          <w:i/>
          <w:color w:val="231F20"/>
          <w:spacing w:val="10"/>
          <w:sz w:val="19"/>
        </w:rPr>
        <w:t xml:space="preserve"> </w:t>
      </w:r>
      <w:r>
        <w:rPr>
          <w:i/>
          <w:color w:val="231F20"/>
          <w:sz w:val="19"/>
        </w:rPr>
        <w:t>death</w:t>
      </w:r>
      <w:r>
        <w:rPr>
          <w:i/>
          <w:color w:val="231F20"/>
          <w:spacing w:val="10"/>
          <w:sz w:val="19"/>
        </w:rPr>
        <w:t xml:space="preserve"> </w:t>
      </w:r>
      <w:r>
        <w:rPr>
          <w:i/>
          <w:color w:val="231F20"/>
          <w:sz w:val="19"/>
        </w:rPr>
        <w:t>by</w:t>
      </w:r>
      <w:r>
        <w:rPr>
          <w:i/>
          <w:color w:val="231F20"/>
          <w:spacing w:val="10"/>
          <w:sz w:val="19"/>
        </w:rPr>
        <w:t xml:space="preserve"> </w:t>
      </w:r>
      <w:r>
        <w:rPr>
          <w:i/>
          <w:color w:val="231F20"/>
          <w:sz w:val="19"/>
        </w:rPr>
        <w:t>a</w:t>
      </w:r>
      <w:r>
        <w:rPr>
          <w:i/>
          <w:color w:val="231F20"/>
          <w:spacing w:val="10"/>
          <w:sz w:val="19"/>
        </w:rPr>
        <w:t xml:space="preserve"> </w:t>
      </w:r>
      <w:r>
        <w:rPr>
          <w:i/>
          <w:color w:val="231F20"/>
          <w:sz w:val="19"/>
        </w:rPr>
        <w:t>reflexive</w:t>
      </w:r>
      <w:r>
        <w:rPr>
          <w:i/>
          <w:color w:val="231F20"/>
          <w:spacing w:val="10"/>
          <w:sz w:val="19"/>
        </w:rPr>
        <w:t xml:space="preserve"> </w:t>
      </w:r>
      <w:r>
        <w:rPr>
          <w:i/>
          <w:color w:val="231F20"/>
          <w:sz w:val="19"/>
        </w:rPr>
        <w:t>cardiac</w:t>
      </w:r>
      <w:r>
        <w:rPr>
          <w:i/>
          <w:color w:val="231F20"/>
          <w:spacing w:val="10"/>
          <w:sz w:val="19"/>
        </w:rPr>
        <w:t xml:space="preserve"> </w:t>
      </w:r>
      <w:r>
        <w:rPr>
          <w:i/>
          <w:color w:val="231F20"/>
          <w:sz w:val="19"/>
        </w:rPr>
        <w:t>arrest.</w:t>
      </w:r>
    </w:p>
    <w:p w14:paraId="73A1F0E0" w14:textId="77777777" w:rsidR="002653E8" w:rsidRDefault="002653E8">
      <w:pPr>
        <w:pStyle w:val="a3"/>
        <w:rPr>
          <w:i/>
        </w:rPr>
      </w:pPr>
    </w:p>
    <w:p w14:paraId="26A2BC42" w14:textId="77777777" w:rsidR="002653E8" w:rsidRDefault="002653E8">
      <w:pPr>
        <w:pStyle w:val="a3"/>
        <w:rPr>
          <w:i/>
        </w:rPr>
      </w:pPr>
    </w:p>
    <w:p w14:paraId="4C1D059F" w14:textId="77777777" w:rsidR="002653E8" w:rsidRDefault="00000000">
      <w:pPr>
        <w:pStyle w:val="a3"/>
        <w:spacing w:before="6"/>
        <w:rPr>
          <w:i/>
          <w:sz w:val="24"/>
        </w:rPr>
      </w:pPr>
      <w:r>
        <w:rPr>
          <w:noProof w:val="0"/>
        </w:rPr>
        <w:pict w14:anchorId="28191609">
          <v:line id="_x0000_s2301" style="position:absolute;z-index:8296;mso-wrap-distance-left:0;mso-wrap-distance-right:0;mso-position-horizontal-relative:page" from="57.4pt,16.55pt" to="129.4pt,16.55pt" strokecolor="#231f20" strokeweight=".5pt">
            <w10:wrap type="topAndBottom" anchorx="page"/>
          </v:line>
        </w:pict>
      </w:r>
    </w:p>
    <w:p w14:paraId="106D6FD8" w14:textId="77777777" w:rsidR="002653E8" w:rsidRDefault="003115E3">
      <w:pPr>
        <w:spacing w:before="53"/>
        <w:ind w:left="1147"/>
        <w:rPr>
          <w:sz w:val="16"/>
        </w:rPr>
      </w:pPr>
      <w:r>
        <w:rPr>
          <w:color w:val="231F20"/>
          <w:w w:val="115"/>
          <w:sz w:val="16"/>
        </w:rPr>
        <w:t>1 Ibid., 10.</w:t>
      </w:r>
    </w:p>
    <w:p w14:paraId="51686518" w14:textId="77777777" w:rsidR="002653E8" w:rsidRDefault="003115E3">
      <w:pPr>
        <w:pStyle w:val="a4"/>
        <w:numPr>
          <w:ilvl w:val="0"/>
          <w:numId w:val="87"/>
        </w:numPr>
        <w:tabs>
          <w:tab w:val="left" w:pos="1287"/>
        </w:tabs>
        <w:spacing w:before="51"/>
        <w:ind w:left="1286"/>
        <w:jc w:val="left"/>
        <w:rPr>
          <w:i/>
          <w:sz w:val="16"/>
        </w:rPr>
      </w:pPr>
      <w:r>
        <w:rPr>
          <w:color w:val="231F20"/>
          <w:w w:val="105"/>
          <w:sz w:val="16"/>
        </w:rPr>
        <w:t xml:space="preserve">United Press International, “German rebel hangs herself,” </w:t>
      </w:r>
      <w:r>
        <w:rPr>
          <w:i/>
          <w:color w:val="231F20"/>
          <w:w w:val="105"/>
          <w:sz w:val="16"/>
        </w:rPr>
        <w:t>Pharos</w:t>
      </w:r>
      <w:r>
        <w:rPr>
          <w:i/>
          <w:color w:val="231F20"/>
          <w:spacing w:val="10"/>
          <w:w w:val="105"/>
          <w:sz w:val="16"/>
        </w:rPr>
        <w:t xml:space="preserve"> </w:t>
      </w:r>
      <w:r>
        <w:rPr>
          <w:i/>
          <w:color w:val="231F20"/>
          <w:w w:val="105"/>
          <w:sz w:val="16"/>
        </w:rPr>
        <w:t>Tribune,</w:t>
      </w:r>
    </w:p>
    <w:p w14:paraId="2CFB2954" w14:textId="77777777" w:rsidR="002653E8" w:rsidRDefault="003115E3">
      <w:pPr>
        <w:spacing w:before="12"/>
        <w:ind w:left="1147"/>
        <w:rPr>
          <w:sz w:val="16"/>
        </w:rPr>
      </w:pPr>
      <w:r>
        <w:rPr>
          <w:color w:val="231F20"/>
          <w:w w:val="115"/>
          <w:sz w:val="16"/>
        </w:rPr>
        <w:t>May 10, 1976.</w:t>
      </w:r>
    </w:p>
    <w:p w14:paraId="3A6D4CAA" w14:textId="77777777" w:rsidR="002653E8" w:rsidRDefault="003115E3">
      <w:pPr>
        <w:pStyle w:val="a4"/>
        <w:numPr>
          <w:ilvl w:val="0"/>
          <w:numId w:val="87"/>
        </w:numPr>
        <w:tabs>
          <w:tab w:val="left" w:pos="1287"/>
        </w:tabs>
        <w:spacing w:before="52" w:line="254" w:lineRule="auto"/>
        <w:ind w:right="1385" w:firstLine="0"/>
        <w:jc w:val="left"/>
        <w:rPr>
          <w:sz w:val="16"/>
        </w:rPr>
      </w:pPr>
      <w:r>
        <w:rPr>
          <w:color w:val="231F20"/>
          <w:sz w:val="16"/>
        </w:rPr>
        <w:t xml:space="preserve">The commissioners were: Michelle Beauvillard  </w:t>
      </w:r>
      <w:r>
        <w:rPr>
          <w:color w:val="231F20"/>
          <w:spacing w:val="-3"/>
          <w:sz w:val="16"/>
        </w:rPr>
        <w:t xml:space="preserve">(a  </w:t>
      </w:r>
      <w:r>
        <w:rPr>
          <w:color w:val="231F20"/>
          <w:sz w:val="16"/>
        </w:rPr>
        <w:t xml:space="preserve">lawyer  from  Paris),  Claude Bourdet </w:t>
      </w:r>
      <w:r>
        <w:rPr>
          <w:color w:val="231F20"/>
          <w:spacing w:val="-3"/>
          <w:sz w:val="16"/>
        </w:rPr>
        <w:t xml:space="preserve">(a </w:t>
      </w:r>
      <w:r>
        <w:rPr>
          <w:color w:val="231F20"/>
          <w:sz w:val="16"/>
        </w:rPr>
        <w:t xml:space="preserve">journalist from Paris), Georges Casalis </w:t>
      </w:r>
      <w:r>
        <w:rPr>
          <w:color w:val="231F20"/>
          <w:spacing w:val="-3"/>
          <w:sz w:val="16"/>
        </w:rPr>
        <w:t xml:space="preserve">(a </w:t>
      </w:r>
      <w:r>
        <w:rPr>
          <w:color w:val="231F20"/>
          <w:sz w:val="16"/>
        </w:rPr>
        <w:t xml:space="preserve">theologian from Paris), Robert Davezies </w:t>
      </w:r>
      <w:r>
        <w:rPr>
          <w:color w:val="231F20"/>
          <w:spacing w:val="-3"/>
          <w:sz w:val="16"/>
        </w:rPr>
        <w:t xml:space="preserve">(a </w:t>
      </w:r>
      <w:r>
        <w:rPr>
          <w:color w:val="231F20"/>
          <w:sz w:val="16"/>
        </w:rPr>
        <w:t xml:space="preserve">journalist from Paris), Joachim Israel </w:t>
      </w:r>
      <w:r>
        <w:rPr>
          <w:color w:val="231F20"/>
          <w:spacing w:val="-3"/>
          <w:sz w:val="16"/>
        </w:rPr>
        <w:t xml:space="preserve">(a </w:t>
      </w:r>
      <w:r>
        <w:rPr>
          <w:color w:val="231F20"/>
          <w:sz w:val="16"/>
        </w:rPr>
        <w:t xml:space="preserve">sociology professor from Copenhagen), Panayotis Kanelakis </w:t>
      </w:r>
      <w:r>
        <w:rPr>
          <w:color w:val="231F20"/>
          <w:spacing w:val="-3"/>
          <w:sz w:val="16"/>
        </w:rPr>
        <w:t xml:space="preserve">(a </w:t>
      </w:r>
      <w:r>
        <w:rPr>
          <w:color w:val="231F20"/>
          <w:sz w:val="16"/>
        </w:rPr>
        <w:t xml:space="preserve">lawyer from  Athens),  Henrik  Kaufholz  </w:t>
      </w:r>
      <w:r>
        <w:rPr>
          <w:color w:val="231F20"/>
          <w:spacing w:val="-3"/>
          <w:sz w:val="16"/>
        </w:rPr>
        <w:t xml:space="preserve">(a </w:t>
      </w:r>
      <w:r>
        <w:rPr>
          <w:color w:val="231F20"/>
          <w:sz w:val="16"/>
        </w:rPr>
        <w:t xml:space="preserve">journalist from  Denmark),  John  </w:t>
      </w:r>
      <w:r>
        <w:rPr>
          <w:color w:val="231F20"/>
          <w:spacing w:val="1"/>
          <w:sz w:val="16"/>
        </w:rPr>
        <w:t xml:space="preserve">McGuffin  </w:t>
      </w:r>
      <w:r>
        <w:rPr>
          <w:color w:val="231F20"/>
          <w:spacing w:val="-3"/>
          <w:sz w:val="16"/>
        </w:rPr>
        <w:t xml:space="preserve">(a  </w:t>
      </w:r>
      <w:r>
        <w:rPr>
          <w:color w:val="231F20"/>
          <w:sz w:val="16"/>
        </w:rPr>
        <w:t xml:space="preserve">writer  from  Belfast),  Hans-Joachim Meyer </w:t>
      </w:r>
      <w:r>
        <w:rPr>
          <w:color w:val="231F20"/>
          <w:spacing w:val="-3"/>
          <w:sz w:val="16"/>
        </w:rPr>
        <w:t xml:space="preserve">(a </w:t>
      </w:r>
      <w:r>
        <w:rPr>
          <w:color w:val="231F20"/>
          <w:sz w:val="16"/>
        </w:rPr>
        <w:t xml:space="preserve">neuropsychiatrist from the FRG),  and  Jean-Pierre  Vigier  </w:t>
      </w:r>
      <w:r>
        <w:rPr>
          <w:color w:val="231F20"/>
          <w:spacing w:val="-3"/>
          <w:sz w:val="16"/>
        </w:rPr>
        <w:t xml:space="preserve">(a  </w:t>
      </w:r>
      <w:r>
        <w:rPr>
          <w:color w:val="231F20"/>
          <w:sz w:val="16"/>
        </w:rPr>
        <w:t>doctor  from Paris).</w:t>
      </w:r>
    </w:p>
    <w:p w14:paraId="0E22E4BC" w14:textId="77777777" w:rsidR="002653E8" w:rsidRDefault="002653E8">
      <w:pPr>
        <w:spacing w:line="254" w:lineRule="auto"/>
        <w:rPr>
          <w:sz w:val="16"/>
        </w:rPr>
        <w:sectPr w:rsidR="002653E8">
          <w:pgSz w:w="8640" w:h="12960"/>
          <w:pgMar w:top="1060" w:right="0" w:bottom="1040" w:left="0" w:header="0" w:footer="850" w:gutter="0"/>
          <w:cols w:space="720"/>
        </w:sectPr>
      </w:pPr>
    </w:p>
    <w:p w14:paraId="6BADC501" w14:textId="77777777" w:rsidR="002653E8" w:rsidRDefault="003115E3">
      <w:pPr>
        <w:pStyle w:val="a3"/>
        <w:spacing w:before="86" w:line="264" w:lineRule="auto"/>
        <w:ind w:left="1327" w:right="1146"/>
        <w:jc w:val="both"/>
      </w:pPr>
      <w:r>
        <w:rPr>
          <w:color w:val="231F20"/>
        </w:rPr>
        <w:lastRenderedPageBreak/>
        <w:t>To many supporters, this evidence seemed to indicate that Meinhof was strangled to death before being hanged.</w:t>
      </w:r>
    </w:p>
    <w:p w14:paraId="046BA6DC" w14:textId="77777777" w:rsidR="002653E8" w:rsidRDefault="003115E3">
      <w:pPr>
        <w:pStyle w:val="a3"/>
        <w:spacing w:line="264" w:lineRule="auto"/>
        <w:ind w:left="1327" w:right="1146" w:firstLine="210"/>
        <w:jc w:val="both"/>
      </w:pPr>
      <w:r>
        <w:rPr>
          <w:color w:val="231F20"/>
        </w:rPr>
        <w:t>Furthermore, the autopsy results suggested to the Commission that Meinhof had been raped before she was murdered:</w:t>
      </w:r>
    </w:p>
    <w:p w14:paraId="30ED0430" w14:textId="77777777" w:rsidR="002653E8" w:rsidRDefault="003115E3">
      <w:pPr>
        <w:spacing w:before="125" w:line="276" w:lineRule="auto"/>
        <w:ind w:left="1747" w:right="1565"/>
        <w:jc w:val="both"/>
        <w:rPr>
          <w:i/>
          <w:sz w:val="11"/>
        </w:rPr>
      </w:pPr>
      <w:r>
        <w:rPr>
          <w:i/>
          <w:color w:val="231F20"/>
          <w:w w:val="105"/>
          <w:sz w:val="19"/>
        </w:rPr>
        <w:t>The two autopsy reports mention a marked edema in the external genital area and swelling of the two calves. The two reports mention an abrasion covered with clotted blood on the left buttock. The Janssen report also mentions an ecchymosis on the right hip. The chemical analysis for sperm had, according to the official statement, a positive result, in spite of the absence of spermatozoa.</w:t>
      </w:r>
      <w:r>
        <w:rPr>
          <w:i/>
          <w:color w:val="231F20"/>
          <w:w w:val="105"/>
          <w:position w:val="6"/>
          <w:sz w:val="11"/>
        </w:rPr>
        <w:t>4</w:t>
      </w:r>
    </w:p>
    <w:p w14:paraId="0FC67D1B" w14:textId="77777777" w:rsidR="002653E8" w:rsidRDefault="003115E3">
      <w:pPr>
        <w:pStyle w:val="a3"/>
        <w:spacing w:before="133" w:line="264" w:lineRule="auto"/>
        <w:ind w:left="1327" w:right="1146"/>
        <w:jc w:val="both"/>
        <w:rPr>
          <w:sz w:val="11"/>
        </w:rPr>
      </w:pPr>
      <w:r>
        <w:rPr>
          <w:color w:val="231F20"/>
        </w:rPr>
        <w:t xml:space="preserve">A letter from </w:t>
      </w:r>
      <w:r>
        <w:rPr>
          <w:color w:val="231F20"/>
          <w:spacing w:val="-3"/>
        </w:rPr>
        <w:t xml:space="preserve">Dr.  </w:t>
      </w:r>
      <w:r>
        <w:rPr>
          <w:color w:val="231F20"/>
        </w:rPr>
        <w:t xml:space="preserve">Klaus Jarosch, a professor at the University of </w:t>
      </w:r>
      <w:r>
        <w:rPr>
          <w:color w:val="231F20"/>
          <w:spacing w:val="1"/>
        </w:rPr>
        <w:t xml:space="preserve">Linz,     </w:t>
      </w:r>
      <w:r>
        <w:rPr>
          <w:color w:val="231F20"/>
        </w:rPr>
        <w:t xml:space="preserve">to defense attorney Michael Oberwinder, dated August </w:t>
      </w:r>
      <w:r>
        <w:rPr>
          <w:color w:val="231F20"/>
          <w:spacing w:val="-7"/>
        </w:rPr>
        <w:t xml:space="preserve">17, </w:t>
      </w:r>
      <w:r>
        <w:rPr>
          <w:color w:val="231F20"/>
          <w:spacing w:val="-4"/>
        </w:rPr>
        <w:t xml:space="preserve">1976, </w:t>
      </w:r>
      <w:r>
        <w:rPr>
          <w:color w:val="231F20"/>
        </w:rPr>
        <w:t>concurred with the opinion of the English doctors: “It certainly does not appear</w:t>
      </w:r>
      <w:r>
        <w:rPr>
          <w:color w:val="231F20"/>
          <w:spacing w:val="15"/>
        </w:rPr>
        <w:t xml:space="preserve"> </w:t>
      </w:r>
      <w:r>
        <w:rPr>
          <w:color w:val="231F20"/>
        </w:rPr>
        <w:t>to</w:t>
      </w:r>
      <w:r>
        <w:rPr>
          <w:color w:val="231F20"/>
          <w:spacing w:val="15"/>
        </w:rPr>
        <w:t xml:space="preserve"> </w:t>
      </w:r>
      <w:r>
        <w:rPr>
          <w:color w:val="231F20"/>
        </w:rPr>
        <w:t>be</w:t>
      </w:r>
      <w:r>
        <w:rPr>
          <w:color w:val="231F20"/>
          <w:spacing w:val="15"/>
        </w:rPr>
        <w:t xml:space="preserve"> </w:t>
      </w:r>
      <w:r>
        <w:rPr>
          <w:color w:val="231F20"/>
        </w:rPr>
        <w:t>a</w:t>
      </w:r>
      <w:r>
        <w:rPr>
          <w:color w:val="231F20"/>
          <w:spacing w:val="15"/>
        </w:rPr>
        <w:t xml:space="preserve"> </w:t>
      </w:r>
      <w:r>
        <w:rPr>
          <w:color w:val="231F20"/>
        </w:rPr>
        <w:t>typical</w:t>
      </w:r>
      <w:r>
        <w:rPr>
          <w:color w:val="231F20"/>
          <w:spacing w:val="15"/>
        </w:rPr>
        <w:t xml:space="preserve"> </w:t>
      </w:r>
      <w:r>
        <w:rPr>
          <w:color w:val="231F20"/>
        </w:rPr>
        <w:t>death</w:t>
      </w:r>
      <w:r>
        <w:rPr>
          <w:color w:val="231F20"/>
          <w:spacing w:val="15"/>
        </w:rPr>
        <w:t xml:space="preserve"> </w:t>
      </w:r>
      <w:r>
        <w:rPr>
          <w:color w:val="231F20"/>
        </w:rPr>
        <w:t>by</w:t>
      </w:r>
      <w:r>
        <w:rPr>
          <w:color w:val="231F20"/>
          <w:spacing w:val="15"/>
        </w:rPr>
        <w:t xml:space="preserve"> </w:t>
      </w:r>
      <w:r>
        <w:rPr>
          <w:color w:val="231F20"/>
        </w:rPr>
        <w:t>asphyxiation</w:t>
      </w:r>
      <w:r>
        <w:rPr>
          <w:color w:val="231F20"/>
          <w:spacing w:val="15"/>
        </w:rPr>
        <w:t xml:space="preserve"> </w:t>
      </w:r>
      <w:r>
        <w:rPr>
          <w:color w:val="231F20"/>
        </w:rPr>
        <w:t>due</w:t>
      </w:r>
      <w:r>
        <w:rPr>
          <w:color w:val="231F20"/>
          <w:spacing w:val="15"/>
        </w:rPr>
        <w:t xml:space="preserve"> </w:t>
      </w:r>
      <w:r>
        <w:rPr>
          <w:color w:val="231F20"/>
        </w:rPr>
        <w:t>to</w:t>
      </w:r>
      <w:r>
        <w:rPr>
          <w:color w:val="231F20"/>
          <w:spacing w:val="15"/>
        </w:rPr>
        <w:t xml:space="preserve"> </w:t>
      </w:r>
      <w:r>
        <w:rPr>
          <w:color w:val="231F20"/>
        </w:rPr>
        <w:t>hanging….”</w:t>
      </w:r>
      <w:r>
        <w:rPr>
          <w:color w:val="231F20"/>
          <w:position w:val="7"/>
          <w:sz w:val="11"/>
        </w:rPr>
        <w:t>5</w:t>
      </w:r>
    </w:p>
    <w:p w14:paraId="4CBA3C37" w14:textId="07B26A5C" w:rsidR="002653E8" w:rsidRDefault="003115E3">
      <w:pPr>
        <w:pStyle w:val="a3"/>
        <w:spacing w:line="264" w:lineRule="auto"/>
        <w:ind w:left="1327" w:right="1145" w:firstLine="210"/>
        <w:jc w:val="both"/>
      </w:pPr>
      <w:r>
        <w:rPr>
          <w:color w:val="231F20"/>
        </w:rPr>
        <w:t xml:space="preserve">There were several problems with the claim that Meinhof had used her prison towel to fashion a rope for hanging herself. Both the report of </w:t>
      </w:r>
      <w:r>
        <w:rPr>
          <w:color w:val="231F20"/>
          <w:spacing w:val="-3"/>
        </w:rPr>
        <w:t xml:space="preserve">West </w:t>
      </w:r>
      <w:r>
        <w:rPr>
          <w:color w:val="231F20"/>
        </w:rPr>
        <w:t>German neuropsychiatrist Hans-Joachim Meyer</w:t>
      </w:r>
      <w:r>
        <w:rPr>
          <w:color w:val="231F20"/>
          <w:position w:val="7"/>
          <w:sz w:val="11"/>
        </w:rPr>
        <w:t xml:space="preserve">6 </w:t>
      </w:r>
      <w:r>
        <w:rPr>
          <w:color w:val="231F20"/>
        </w:rPr>
        <w:t>and that of the Stuttgart-based Technical Institute of Criminology</w:t>
      </w:r>
      <w:r>
        <w:rPr>
          <w:color w:val="231F20"/>
          <w:position w:val="7"/>
          <w:sz w:val="11"/>
        </w:rPr>
        <w:t xml:space="preserve">7 </w:t>
      </w:r>
      <w:r>
        <w:rPr>
          <w:color w:val="231F20"/>
        </w:rPr>
        <w:t xml:space="preserve">noted  discrepancies in the width and length of the towel-rope found in Meinhof’s cell, and the other towels in Stammheim. Furthermore, the </w:t>
      </w:r>
      <w:r>
        <w:rPr>
          <w:color w:val="231F20"/>
          <w:spacing w:val="1"/>
        </w:rPr>
        <w:t xml:space="preserve">TIC </w:t>
      </w:r>
      <w:r>
        <w:rPr>
          <w:color w:val="231F20"/>
        </w:rPr>
        <w:t>noted that neither Meinhof’s scissors nor the table knife in her cell had any traces of fiber on them, raising the question of how the towel would have been cut.</w:t>
      </w:r>
      <w:r>
        <w:rPr>
          <w:color w:val="231F20"/>
          <w:position w:val="7"/>
          <w:sz w:val="11"/>
        </w:rPr>
        <w:t xml:space="preserve">8 </w:t>
      </w:r>
      <w:r>
        <w:rPr>
          <w:color w:val="231F20"/>
        </w:rPr>
        <w:t xml:space="preserve">Finally, </w:t>
      </w:r>
      <w:r w:rsidR="00C507A5">
        <w:rPr>
          <w:color w:val="231F20"/>
          <w:spacing w:val="5"/>
        </w:rPr>
        <w:t>red army faction</w:t>
      </w:r>
      <w:r>
        <w:rPr>
          <w:color w:val="231F20"/>
          <w:spacing w:val="5"/>
        </w:rPr>
        <w:t xml:space="preserve"> </w:t>
      </w:r>
      <w:r>
        <w:rPr>
          <w:color w:val="231F20"/>
        </w:rPr>
        <w:t>prisoner Ingrid Schubert declared that the prisoners had</w:t>
      </w:r>
      <w:r>
        <w:rPr>
          <w:color w:val="231F20"/>
          <w:spacing w:val="5"/>
        </w:rPr>
        <w:t xml:space="preserve"> </w:t>
      </w:r>
      <w:r>
        <w:rPr>
          <w:color w:val="231F20"/>
        </w:rPr>
        <w:t>carried</w:t>
      </w:r>
      <w:r>
        <w:rPr>
          <w:color w:val="231F20"/>
          <w:spacing w:val="5"/>
        </w:rPr>
        <w:t xml:space="preserve"> </w:t>
      </w:r>
      <w:r>
        <w:rPr>
          <w:color w:val="231F20"/>
        </w:rPr>
        <w:t>out</w:t>
      </w:r>
      <w:r>
        <w:rPr>
          <w:color w:val="231F20"/>
          <w:spacing w:val="5"/>
        </w:rPr>
        <w:t xml:space="preserve"> </w:t>
      </w:r>
      <w:r>
        <w:rPr>
          <w:color w:val="231F20"/>
        </w:rPr>
        <w:t>a</w:t>
      </w:r>
      <w:r>
        <w:rPr>
          <w:color w:val="231F20"/>
          <w:spacing w:val="5"/>
        </w:rPr>
        <w:t xml:space="preserve"> </w:t>
      </w:r>
      <w:r>
        <w:rPr>
          <w:color w:val="231F20"/>
        </w:rPr>
        <w:t>series</w:t>
      </w:r>
      <w:r>
        <w:rPr>
          <w:color w:val="231F20"/>
          <w:spacing w:val="5"/>
        </w:rPr>
        <w:t xml:space="preserve"> </w:t>
      </w:r>
      <w:r>
        <w:rPr>
          <w:color w:val="231F20"/>
        </w:rPr>
        <w:t>of</w:t>
      </w:r>
      <w:r>
        <w:rPr>
          <w:color w:val="231F20"/>
          <w:spacing w:val="5"/>
        </w:rPr>
        <w:t xml:space="preserve"> </w:t>
      </w:r>
      <w:r>
        <w:rPr>
          <w:color w:val="231F20"/>
        </w:rPr>
        <w:t>tests</w:t>
      </w:r>
      <w:r>
        <w:rPr>
          <w:color w:val="231F20"/>
          <w:spacing w:val="5"/>
        </w:rPr>
        <w:t xml:space="preserve"> </w:t>
      </w:r>
      <w:r>
        <w:rPr>
          <w:color w:val="231F20"/>
        </w:rPr>
        <w:t>with</w:t>
      </w:r>
      <w:r>
        <w:rPr>
          <w:color w:val="231F20"/>
          <w:spacing w:val="5"/>
        </w:rPr>
        <w:t xml:space="preserve"> </w:t>
      </w:r>
      <w:r>
        <w:rPr>
          <w:color w:val="231F20"/>
        </w:rPr>
        <w:t>their</w:t>
      </w:r>
      <w:r>
        <w:rPr>
          <w:color w:val="231F20"/>
          <w:spacing w:val="5"/>
        </w:rPr>
        <w:t xml:space="preserve"> </w:t>
      </w:r>
      <w:r>
        <w:rPr>
          <w:color w:val="231F20"/>
        </w:rPr>
        <w:t>own</w:t>
      </w:r>
      <w:r>
        <w:rPr>
          <w:color w:val="231F20"/>
          <w:spacing w:val="5"/>
        </w:rPr>
        <w:t xml:space="preserve"> </w:t>
      </w:r>
      <w:r>
        <w:rPr>
          <w:color w:val="231F20"/>
        </w:rPr>
        <w:t>prison</w:t>
      </w:r>
      <w:r>
        <w:rPr>
          <w:color w:val="231F20"/>
          <w:spacing w:val="5"/>
        </w:rPr>
        <w:t xml:space="preserve"> </w:t>
      </w:r>
      <w:r>
        <w:rPr>
          <w:color w:val="231F20"/>
        </w:rPr>
        <w:t>issue</w:t>
      </w:r>
      <w:r>
        <w:rPr>
          <w:color w:val="231F20"/>
          <w:spacing w:val="5"/>
        </w:rPr>
        <w:t xml:space="preserve"> </w:t>
      </w:r>
      <w:r>
        <w:rPr>
          <w:color w:val="231F20"/>
        </w:rPr>
        <w:t>towels,</w:t>
      </w:r>
      <w:r>
        <w:rPr>
          <w:color w:val="231F20"/>
          <w:spacing w:val="5"/>
        </w:rPr>
        <w:t xml:space="preserve"> </w:t>
      </w:r>
      <w:r>
        <w:rPr>
          <w:color w:val="231F20"/>
        </w:rPr>
        <w:t>and</w:t>
      </w:r>
    </w:p>
    <w:p w14:paraId="1FA4E7CB" w14:textId="77777777" w:rsidR="002653E8" w:rsidRDefault="00000000">
      <w:pPr>
        <w:pStyle w:val="a3"/>
        <w:spacing w:before="7"/>
        <w:rPr>
          <w:sz w:val="25"/>
        </w:rPr>
      </w:pPr>
      <w:r>
        <w:rPr>
          <w:noProof w:val="0"/>
        </w:rPr>
        <w:pict w14:anchorId="656F196E">
          <v:line id="_x0000_s2300" style="position:absolute;z-index:8320;mso-wrap-distance-left:0;mso-wrap-distance-right:0;mso-position-horizontal-relative:page" from="66.4pt,17.2pt" to="138.4pt,17.2pt" strokecolor="#231f20" strokeweight=".5pt">
            <w10:wrap type="topAndBottom" anchorx="page"/>
          </v:line>
        </w:pict>
      </w:r>
    </w:p>
    <w:p w14:paraId="145D1A1C" w14:textId="77777777" w:rsidR="002653E8" w:rsidRDefault="003115E3">
      <w:pPr>
        <w:pStyle w:val="a4"/>
        <w:numPr>
          <w:ilvl w:val="0"/>
          <w:numId w:val="87"/>
        </w:numPr>
        <w:tabs>
          <w:tab w:val="left" w:pos="1467"/>
        </w:tabs>
        <w:spacing w:before="53" w:line="254" w:lineRule="auto"/>
        <w:ind w:left="1327" w:right="1193" w:firstLine="0"/>
        <w:jc w:val="left"/>
        <w:rPr>
          <w:sz w:val="16"/>
        </w:rPr>
      </w:pPr>
      <w:r>
        <w:rPr>
          <w:color w:val="231F20"/>
          <w:w w:val="105"/>
          <w:sz w:val="16"/>
        </w:rPr>
        <w:t xml:space="preserve">Commission internationale d’enquête sur la mort d’Ulrike Meinhof, </w:t>
      </w:r>
      <w:r>
        <w:rPr>
          <w:color w:val="231F20"/>
          <w:spacing w:val="-5"/>
          <w:w w:val="105"/>
          <w:sz w:val="16"/>
        </w:rPr>
        <w:t xml:space="preserve">25.  </w:t>
      </w:r>
      <w:r>
        <w:rPr>
          <w:color w:val="231F20"/>
          <w:w w:val="105"/>
          <w:sz w:val="16"/>
        </w:rPr>
        <w:t xml:space="preserve">It should   be noted that Stefan Aust, the most intelligent defender of the state’s version of events, objects that “the ‘sperm test’ was a phosphatase test customarily carried out to establish the presence of </w:t>
      </w:r>
      <w:r>
        <w:rPr>
          <w:color w:val="231F20"/>
          <w:spacing w:val="1"/>
          <w:w w:val="105"/>
          <w:sz w:val="16"/>
        </w:rPr>
        <w:t xml:space="preserve">certain </w:t>
      </w:r>
      <w:r>
        <w:rPr>
          <w:color w:val="231F20"/>
          <w:w w:val="105"/>
          <w:sz w:val="16"/>
        </w:rPr>
        <w:t xml:space="preserve">yeasts. There are many of these, found not only  in sperm but in all proteins, also occurring as a result of bacterial contamination. Thus, such a test will be positive in the majority of cases. Only if it gives a negative result are </w:t>
      </w:r>
      <w:r>
        <w:rPr>
          <w:color w:val="231F20"/>
          <w:spacing w:val="1"/>
          <w:w w:val="105"/>
          <w:sz w:val="16"/>
        </w:rPr>
        <w:t xml:space="preserve">further </w:t>
      </w:r>
      <w:r>
        <w:rPr>
          <w:color w:val="231F20"/>
          <w:w w:val="105"/>
          <w:sz w:val="16"/>
        </w:rPr>
        <w:t xml:space="preserve">specialized tests unnecessary. </w:t>
      </w:r>
      <w:r>
        <w:rPr>
          <w:color w:val="231F20"/>
          <w:spacing w:val="1"/>
          <w:w w:val="105"/>
          <w:sz w:val="16"/>
        </w:rPr>
        <w:t xml:space="preserve">In </w:t>
      </w:r>
      <w:r>
        <w:rPr>
          <w:color w:val="231F20"/>
          <w:w w:val="105"/>
          <w:sz w:val="16"/>
        </w:rPr>
        <w:t xml:space="preserve">Ulrike Meinhof’s case, </w:t>
      </w:r>
      <w:r>
        <w:rPr>
          <w:color w:val="231F20"/>
          <w:spacing w:val="1"/>
          <w:w w:val="105"/>
          <w:sz w:val="16"/>
        </w:rPr>
        <w:t xml:space="preserve">further </w:t>
      </w:r>
      <w:r>
        <w:rPr>
          <w:color w:val="231F20"/>
          <w:w w:val="105"/>
          <w:sz w:val="16"/>
        </w:rPr>
        <w:t>microchemical</w:t>
      </w:r>
      <w:r>
        <w:rPr>
          <w:color w:val="231F20"/>
          <w:spacing w:val="6"/>
          <w:w w:val="105"/>
          <w:sz w:val="16"/>
        </w:rPr>
        <w:t xml:space="preserve"> </w:t>
      </w:r>
      <w:r>
        <w:rPr>
          <w:color w:val="231F20"/>
          <w:w w:val="105"/>
          <w:sz w:val="16"/>
        </w:rPr>
        <w:t>and</w:t>
      </w:r>
      <w:r>
        <w:rPr>
          <w:color w:val="231F20"/>
          <w:spacing w:val="6"/>
          <w:w w:val="105"/>
          <w:sz w:val="16"/>
        </w:rPr>
        <w:t xml:space="preserve"> </w:t>
      </w:r>
      <w:r>
        <w:rPr>
          <w:color w:val="231F20"/>
          <w:w w:val="105"/>
          <w:sz w:val="16"/>
        </w:rPr>
        <w:t>microscopic</w:t>
      </w:r>
      <w:r>
        <w:rPr>
          <w:color w:val="231F20"/>
          <w:spacing w:val="6"/>
          <w:w w:val="105"/>
          <w:sz w:val="16"/>
        </w:rPr>
        <w:t xml:space="preserve"> </w:t>
      </w:r>
      <w:r>
        <w:rPr>
          <w:color w:val="231F20"/>
          <w:w w:val="105"/>
          <w:sz w:val="16"/>
        </w:rPr>
        <w:t>tests</w:t>
      </w:r>
      <w:r>
        <w:rPr>
          <w:color w:val="231F20"/>
          <w:spacing w:val="6"/>
          <w:w w:val="105"/>
          <w:sz w:val="16"/>
        </w:rPr>
        <w:t xml:space="preserve"> </w:t>
      </w:r>
      <w:r>
        <w:rPr>
          <w:color w:val="231F20"/>
          <w:w w:val="105"/>
          <w:sz w:val="16"/>
        </w:rPr>
        <w:t>were</w:t>
      </w:r>
      <w:r>
        <w:rPr>
          <w:color w:val="231F20"/>
          <w:spacing w:val="6"/>
          <w:w w:val="105"/>
          <w:sz w:val="16"/>
        </w:rPr>
        <w:t xml:space="preserve"> </w:t>
      </w:r>
      <w:r>
        <w:rPr>
          <w:color w:val="231F20"/>
          <w:w w:val="105"/>
          <w:sz w:val="16"/>
        </w:rPr>
        <w:t>carried</w:t>
      </w:r>
      <w:r>
        <w:rPr>
          <w:color w:val="231F20"/>
          <w:spacing w:val="6"/>
          <w:w w:val="105"/>
          <w:sz w:val="16"/>
        </w:rPr>
        <w:t xml:space="preserve"> </w:t>
      </w:r>
      <w:r>
        <w:rPr>
          <w:color w:val="231F20"/>
          <w:w w:val="105"/>
          <w:sz w:val="16"/>
        </w:rPr>
        <w:t>out,</w:t>
      </w:r>
      <w:r>
        <w:rPr>
          <w:color w:val="231F20"/>
          <w:spacing w:val="6"/>
          <w:w w:val="105"/>
          <w:sz w:val="16"/>
        </w:rPr>
        <w:t xml:space="preserve"> </w:t>
      </w:r>
      <w:r>
        <w:rPr>
          <w:color w:val="231F20"/>
          <w:w w:val="105"/>
          <w:sz w:val="16"/>
        </w:rPr>
        <w:t>and</w:t>
      </w:r>
      <w:r>
        <w:rPr>
          <w:color w:val="231F20"/>
          <w:spacing w:val="6"/>
          <w:w w:val="105"/>
          <w:sz w:val="16"/>
        </w:rPr>
        <w:t xml:space="preserve"> </w:t>
      </w:r>
      <w:r>
        <w:rPr>
          <w:color w:val="231F20"/>
          <w:w w:val="105"/>
          <w:sz w:val="16"/>
        </w:rPr>
        <w:t>clearly</w:t>
      </w:r>
      <w:r>
        <w:rPr>
          <w:color w:val="231F20"/>
          <w:spacing w:val="6"/>
          <w:w w:val="105"/>
          <w:sz w:val="16"/>
        </w:rPr>
        <w:t xml:space="preserve"> </w:t>
      </w:r>
      <w:r>
        <w:rPr>
          <w:color w:val="231F20"/>
          <w:w w:val="105"/>
          <w:sz w:val="16"/>
        </w:rPr>
        <w:t>showed</w:t>
      </w:r>
      <w:r>
        <w:rPr>
          <w:color w:val="231F20"/>
          <w:spacing w:val="6"/>
          <w:w w:val="105"/>
          <w:sz w:val="16"/>
        </w:rPr>
        <w:t xml:space="preserve"> </w:t>
      </w:r>
      <w:r>
        <w:rPr>
          <w:color w:val="231F20"/>
          <w:w w:val="105"/>
          <w:sz w:val="16"/>
        </w:rPr>
        <w:t>that</w:t>
      </w:r>
    </w:p>
    <w:p w14:paraId="52BF62F6" w14:textId="77777777" w:rsidR="002653E8" w:rsidRDefault="003115E3">
      <w:pPr>
        <w:spacing w:before="3" w:line="254" w:lineRule="auto"/>
        <w:ind w:left="1327" w:right="1186"/>
        <w:rPr>
          <w:sz w:val="16"/>
        </w:rPr>
      </w:pPr>
      <w:r>
        <w:rPr>
          <w:color w:val="231F20"/>
          <w:w w:val="105"/>
          <w:sz w:val="16"/>
        </w:rPr>
        <w:t>the protein traces were not spermatic filaments.” (Aust, 346-7) The editors of this volume are highly skeptical of the state’s story, and yet feel readers are best situated to make up their own minds on the matter.</w:t>
      </w:r>
    </w:p>
    <w:p w14:paraId="13445974" w14:textId="77777777" w:rsidR="002653E8" w:rsidRDefault="003115E3">
      <w:pPr>
        <w:pStyle w:val="a4"/>
        <w:numPr>
          <w:ilvl w:val="0"/>
          <w:numId w:val="87"/>
        </w:numPr>
        <w:tabs>
          <w:tab w:val="left" w:pos="1467"/>
        </w:tabs>
        <w:spacing w:line="307" w:lineRule="auto"/>
        <w:ind w:left="1327" w:right="1937" w:firstLine="0"/>
        <w:jc w:val="left"/>
        <w:rPr>
          <w:sz w:val="16"/>
        </w:rPr>
      </w:pPr>
      <w:r>
        <w:rPr>
          <w:color w:val="231F20"/>
          <w:w w:val="105"/>
          <w:sz w:val="16"/>
        </w:rPr>
        <w:t>Commission internationale d’enquête sur la mort d’Ulrike Meinhof, 28.   6 Ibid.,</w:t>
      </w:r>
      <w:r>
        <w:rPr>
          <w:color w:val="231F20"/>
          <w:spacing w:val="16"/>
          <w:w w:val="105"/>
          <w:sz w:val="16"/>
        </w:rPr>
        <w:t xml:space="preserve"> </w:t>
      </w:r>
      <w:r>
        <w:rPr>
          <w:color w:val="231F20"/>
          <w:w w:val="105"/>
          <w:sz w:val="16"/>
        </w:rPr>
        <w:t>32-34.</w:t>
      </w:r>
    </w:p>
    <w:p w14:paraId="402861B3" w14:textId="77777777" w:rsidR="002653E8" w:rsidRDefault="003115E3">
      <w:pPr>
        <w:spacing w:line="186" w:lineRule="exact"/>
        <w:ind w:left="1328"/>
        <w:rPr>
          <w:sz w:val="16"/>
        </w:rPr>
      </w:pPr>
      <w:r>
        <w:rPr>
          <w:color w:val="231F20"/>
          <w:w w:val="110"/>
          <w:sz w:val="16"/>
        </w:rPr>
        <w:t>7 Ibid., 45-46.</w:t>
      </w:r>
    </w:p>
    <w:p w14:paraId="6838F075" w14:textId="77777777" w:rsidR="002653E8" w:rsidRDefault="003115E3">
      <w:pPr>
        <w:spacing w:before="52"/>
        <w:ind w:left="1328"/>
        <w:rPr>
          <w:sz w:val="16"/>
        </w:rPr>
      </w:pPr>
      <w:r>
        <w:rPr>
          <w:color w:val="231F20"/>
          <w:w w:val="115"/>
          <w:sz w:val="16"/>
        </w:rPr>
        <w:t>8 Ibid., 46.</w:t>
      </w:r>
    </w:p>
    <w:p w14:paraId="6B6DAFF0" w14:textId="77777777" w:rsidR="002653E8" w:rsidRDefault="002653E8">
      <w:pPr>
        <w:rPr>
          <w:sz w:val="16"/>
        </w:rPr>
        <w:sectPr w:rsidR="002653E8">
          <w:footerReference w:type="even" r:id="rId325"/>
          <w:footerReference w:type="default" r:id="rId326"/>
          <w:pgSz w:w="8640" w:h="12960"/>
          <w:pgMar w:top="1060" w:right="0" w:bottom="1040" w:left="0" w:header="0" w:footer="850" w:gutter="0"/>
          <w:pgNumType w:start="383"/>
          <w:cols w:space="720"/>
        </w:sectPr>
      </w:pPr>
    </w:p>
    <w:p w14:paraId="6A03788E" w14:textId="77777777" w:rsidR="002653E8" w:rsidRDefault="003115E3">
      <w:pPr>
        <w:pStyle w:val="a3"/>
        <w:spacing w:before="86" w:line="264" w:lineRule="auto"/>
        <w:ind w:left="1147" w:right="1326"/>
        <w:jc w:val="both"/>
        <w:rPr>
          <w:sz w:val="11"/>
        </w:rPr>
      </w:pPr>
      <w:r>
        <w:rPr>
          <w:color w:val="231F20"/>
        </w:rPr>
        <w:lastRenderedPageBreak/>
        <w:t>that neither new nor old towels had managed to bear a weight of more than fifty kilos without tearing out of the window grating.</w:t>
      </w:r>
      <w:r>
        <w:rPr>
          <w:color w:val="231F20"/>
          <w:position w:val="7"/>
          <w:sz w:val="11"/>
        </w:rPr>
        <w:t>1</w:t>
      </w:r>
    </w:p>
    <w:p w14:paraId="2234CEDB" w14:textId="77777777" w:rsidR="002653E8" w:rsidRDefault="003115E3">
      <w:pPr>
        <w:pStyle w:val="a3"/>
        <w:spacing w:line="264" w:lineRule="auto"/>
        <w:ind w:left="1147" w:right="1325" w:firstLine="210"/>
        <w:jc w:val="both"/>
        <w:rPr>
          <w:sz w:val="11"/>
        </w:rPr>
      </w:pPr>
      <w:r>
        <w:rPr>
          <w:color w:val="231F20"/>
        </w:rPr>
        <w:t xml:space="preserve">There were also significant contradictions regarding a chair allegedly used in the hanging. The report of the legal doctor and that of the criminal police claimed that the chair placed on top of a mattress was supporting Meinhof’s left leg. The chair is not mentioned in the report  of Schreitmüller, a prison functionary, who explicitly stated, “I did not see a </w:t>
      </w:r>
      <w:r>
        <w:rPr>
          <w:color w:val="231F20"/>
          <w:spacing w:val="-3"/>
        </w:rPr>
        <w:t xml:space="preserve">chair.” </w:t>
      </w:r>
      <w:r>
        <w:rPr>
          <w:color w:val="231F20"/>
        </w:rPr>
        <w:t xml:space="preserve">When questioned by Croissant, he even went so far as to state that the report of a chair, published in </w:t>
      </w:r>
      <w:r>
        <w:rPr>
          <w:i/>
          <w:color w:val="231F20"/>
        </w:rPr>
        <w:t>Spiegel</w:t>
      </w:r>
      <w:r>
        <w:rPr>
          <w:color w:val="231F20"/>
        </w:rPr>
        <w:t xml:space="preserve">, was false. Prison doctor Henck stated in his report, “The feet were 20 cm from the </w:t>
      </w:r>
      <w:r>
        <w:rPr>
          <w:color w:val="231F20"/>
          <w:spacing w:val="-4"/>
        </w:rPr>
        <w:t xml:space="preserve">floor.” </w:t>
      </w:r>
      <w:r>
        <w:rPr>
          <w:color w:val="231F20"/>
        </w:rPr>
        <w:t>Police reports mentioned neither the chair nor the mattress. The prisoners, in their statement, noted that a chair on such an unstable base would surely have tipped as a result of reflex motions, and that such reflex</w:t>
      </w:r>
      <w:r>
        <w:rPr>
          <w:color w:val="231F20"/>
          <w:spacing w:val="7"/>
        </w:rPr>
        <w:t xml:space="preserve"> </w:t>
      </w:r>
      <w:r>
        <w:rPr>
          <w:color w:val="231F20"/>
        </w:rPr>
        <w:t>motions</w:t>
      </w:r>
      <w:r>
        <w:rPr>
          <w:color w:val="231F20"/>
          <w:spacing w:val="7"/>
        </w:rPr>
        <w:t xml:space="preserve"> </w:t>
      </w:r>
      <w:r>
        <w:rPr>
          <w:color w:val="231F20"/>
        </w:rPr>
        <w:t>would</w:t>
      </w:r>
      <w:r>
        <w:rPr>
          <w:color w:val="231F20"/>
          <w:spacing w:val="7"/>
        </w:rPr>
        <w:t xml:space="preserve"> </w:t>
      </w:r>
      <w:r>
        <w:rPr>
          <w:color w:val="231F20"/>
        </w:rPr>
        <w:t>have</w:t>
      </w:r>
      <w:r>
        <w:rPr>
          <w:color w:val="231F20"/>
          <w:spacing w:val="7"/>
        </w:rPr>
        <w:t xml:space="preserve"> </w:t>
      </w:r>
      <w:r>
        <w:rPr>
          <w:color w:val="231F20"/>
        </w:rPr>
        <w:t>caused</w:t>
      </w:r>
      <w:r>
        <w:rPr>
          <w:color w:val="231F20"/>
          <w:spacing w:val="7"/>
        </w:rPr>
        <w:t xml:space="preserve"> </w:t>
      </w:r>
      <w:r>
        <w:rPr>
          <w:color w:val="231F20"/>
        </w:rPr>
        <w:t>severe</w:t>
      </w:r>
      <w:r>
        <w:rPr>
          <w:color w:val="231F20"/>
          <w:spacing w:val="7"/>
        </w:rPr>
        <w:t xml:space="preserve"> </w:t>
      </w:r>
      <w:r>
        <w:rPr>
          <w:color w:val="231F20"/>
        </w:rPr>
        <w:t>bruising</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legs.</w:t>
      </w:r>
      <w:r>
        <w:rPr>
          <w:color w:val="231F20"/>
          <w:position w:val="7"/>
          <w:sz w:val="11"/>
        </w:rPr>
        <w:t>2</w:t>
      </w:r>
    </w:p>
    <w:p w14:paraId="5EF07748" w14:textId="77777777" w:rsidR="002653E8" w:rsidRDefault="003115E3">
      <w:pPr>
        <w:pStyle w:val="a3"/>
        <w:spacing w:line="221" w:lineRule="exact"/>
        <w:ind w:left="1357"/>
      </w:pPr>
      <w:r>
        <w:rPr>
          <w:color w:val="231F20"/>
        </w:rPr>
        <w:t>Important objects were missing in the inventory of her cell taken fol-</w:t>
      </w:r>
    </w:p>
    <w:p w14:paraId="4A1CE92F" w14:textId="77777777" w:rsidR="002653E8" w:rsidRDefault="003115E3">
      <w:pPr>
        <w:pStyle w:val="a3"/>
        <w:spacing w:before="21" w:line="264" w:lineRule="auto"/>
        <w:ind w:left="1148" w:right="1325" w:hanging="1"/>
        <w:jc w:val="both"/>
        <w:rPr>
          <w:sz w:val="11"/>
        </w:rPr>
      </w:pPr>
      <w:r>
        <w:rPr>
          <w:color w:val="231F20"/>
        </w:rPr>
        <w:t xml:space="preserve">lowing her death. A blanket she always used, on which Andreas  Baader’s name was sewn, had gone missing, and was never found. Similarly, Meinhof was found dead wearing black pants and a grey  </w:t>
      </w:r>
      <w:r>
        <w:rPr>
          <w:color w:val="231F20"/>
          <w:spacing w:val="1"/>
        </w:rPr>
        <w:t xml:space="preserve">shirt, </w:t>
      </w:r>
      <w:r>
        <w:rPr>
          <w:color w:val="231F20"/>
        </w:rPr>
        <w:t xml:space="preserve">whereas that day she had been wearing blue jeans and a red </w:t>
      </w:r>
      <w:r>
        <w:rPr>
          <w:color w:val="231F20"/>
          <w:spacing w:val="1"/>
        </w:rPr>
        <w:t xml:space="preserve">shirt. </w:t>
      </w:r>
      <w:r>
        <w:rPr>
          <w:color w:val="231F20"/>
        </w:rPr>
        <w:t>The Commission posed the question as to why a woman intent on committing suicide would change before doing so, and noted that investigators never made any effort to examine the clothing she had been wearing earlier that</w:t>
      </w:r>
      <w:r>
        <w:rPr>
          <w:color w:val="231F20"/>
          <w:spacing w:val="32"/>
        </w:rPr>
        <w:t xml:space="preserve"> </w:t>
      </w:r>
      <w:r>
        <w:rPr>
          <w:color w:val="231F20"/>
          <w:spacing w:val="-3"/>
        </w:rPr>
        <w:t>day.</w:t>
      </w:r>
      <w:r>
        <w:rPr>
          <w:color w:val="231F20"/>
          <w:spacing w:val="-3"/>
          <w:position w:val="7"/>
          <w:sz w:val="11"/>
        </w:rPr>
        <w:t>3</w:t>
      </w:r>
    </w:p>
    <w:p w14:paraId="522A9CB8" w14:textId="77777777" w:rsidR="002653E8" w:rsidRDefault="003115E3">
      <w:pPr>
        <w:pStyle w:val="a3"/>
        <w:spacing w:line="264" w:lineRule="auto"/>
        <w:ind w:left="1147" w:right="1326" w:firstLine="210"/>
        <w:jc w:val="both"/>
        <w:rPr>
          <w:sz w:val="11"/>
        </w:rPr>
      </w:pPr>
      <w:r>
        <w:rPr>
          <w:color w:val="231F20"/>
        </w:rPr>
        <w:t>On the evening of her death, the duty guard removed the light bulbs from Meinhof’s cell, as was standard procedure. However, the May 10 inventory turned up a light bulb in Meinhof’s desk lamp. A test for fingerprints produced some partial prints, insufficient for positive identification, but in no way matching those of Ulrike Meinhof. The Commission further noted that the result of these fingerprint tests was only sent to the investigators after the investigation had been closed.</w:t>
      </w:r>
      <w:r>
        <w:rPr>
          <w:color w:val="231F20"/>
          <w:position w:val="7"/>
          <w:sz w:val="11"/>
        </w:rPr>
        <w:t>4</w:t>
      </w:r>
    </w:p>
    <w:p w14:paraId="47CB2738" w14:textId="77777777" w:rsidR="002653E8" w:rsidRDefault="003115E3">
      <w:pPr>
        <w:pStyle w:val="a3"/>
        <w:spacing w:line="264" w:lineRule="auto"/>
        <w:ind w:left="1147" w:right="1326" w:firstLine="210"/>
        <w:jc w:val="both"/>
      </w:pPr>
      <w:r>
        <w:rPr>
          <w:color w:val="231F20"/>
        </w:rPr>
        <w:t xml:space="preserve">The </w:t>
      </w:r>
      <w:r>
        <w:rPr>
          <w:color w:val="231F20"/>
          <w:spacing w:val="-2"/>
        </w:rPr>
        <w:t xml:space="preserve">way </w:t>
      </w:r>
      <w:r>
        <w:rPr>
          <w:color w:val="231F20"/>
        </w:rPr>
        <w:t xml:space="preserve">in which the autopsy was conducted also raised serious concerns. Neither the prisoners nor their lawyers were permitted to see  the body before the </w:t>
      </w:r>
      <w:r>
        <w:rPr>
          <w:color w:val="231F20"/>
          <w:spacing w:val="-3"/>
        </w:rPr>
        <w:t xml:space="preserve">autopsy. </w:t>
      </w:r>
      <w:r>
        <w:rPr>
          <w:color w:val="231F20"/>
        </w:rPr>
        <w:t xml:space="preserve">Professor Rauschke, the specialist in legal medicine appointed by the state to conduct the </w:t>
      </w:r>
      <w:r>
        <w:rPr>
          <w:color w:val="231F20"/>
          <w:spacing w:val="-3"/>
        </w:rPr>
        <w:t xml:space="preserve">autopsy, </w:t>
      </w:r>
      <w:r>
        <w:rPr>
          <w:color w:val="231F20"/>
        </w:rPr>
        <w:t xml:space="preserve">failed to </w:t>
      </w:r>
      <w:r>
        <w:rPr>
          <w:color w:val="231F20"/>
          <w:spacing w:val="1"/>
        </w:rPr>
        <w:t xml:space="preserve">carry </w:t>
      </w:r>
      <w:r>
        <w:rPr>
          <w:color w:val="231F20"/>
        </w:rPr>
        <w:t>out</w:t>
      </w:r>
      <w:r>
        <w:rPr>
          <w:color w:val="231F20"/>
          <w:spacing w:val="15"/>
        </w:rPr>
        <w:t xml:space="preserve"> </w:t>
      </w:r>
      <w:r>
        <w:rPr>
          <w:color w:val="231F20"/>
        </w:rPr>
        <w:t>skin</w:t>
      </w:r>
      <w:r>
        <w:rPr>
          <w:color w:val="231F20"/>
          <w:spacing w:val="15"/>
        </w:rPr>
        <w:t xml:space="preserve"> </w:t>
      </w:r>
      <w:r>
        <w:rPr>
          <w:color w:val="231F20"/>
        </w:rPr>
        <w:t>tests</w:t>
      </w:r>
      <w:r>
        <w:rPr>
          <w:color w:val="231F20"/>
          <w:spacing w:val="15"/>
        </w:rPr>
        <w:t xml:space="preserve"> </w:t>
      </w:r>
      <w:r>
        <w:rPr>
          <w:color w:val="231F20"/>
        </w:rPr>
        <w:t>that</w:t>
      </w:r>
      <w:r>
        <w:rPr>
          <w:color w:val="231F20"/>
          <w:spacing w:val="15"/>
        </w:rPr>
        <w:t xml:space="preserve"> </w:t>
      </w:r>
      <w:r>
        <w:rPr>
          <w:color w:val="231F20"/>
        </w:rPr>
        <w:t>could</w:t>
      </w:r>
      <w:r>
        <w:rPr>
          <w:color w:val="231F20"/>
          <w:spacing w:val="15"/>
        </w:rPr>
        <w:t xml:space="preserve"> </w:t>
      </w:r>
      <w:r>
        <w:rPr>
          <w:color w:val="231F20"/>
        </w:rPr>
        <w:t>have</w:t>
      </w:r>
      <w:r>
        <w:rPr>
          <w:color w:val="231F20"/>
          <w:spacing w:val="15"/>
        </w:rPr>
        <w:t xml:space="preserve"> </w:t>
      </w:r>
      <w:r>
        <w:rPr>
          <w:color w:val="231F20"/>
        </w:rPr>
        <w:t>established</w:t>
      </w:r>
      <w:r>
        <w:rPr>
          <w:color w:val="231F20"/>
          <w:spacing w:val="15"/>
        </w:rPr>
        <w:t xml:space="preserve"> </w:t>
      </w:r>
      <w:r>
        <w:rPr>
          <w:color w:val="231F20"/>
        </w:rPr>
        <w:t>whether</w:t>
      </w:r>
      <w:r>
        <w:rPr>
          <w:color w:val="231F20"/>
          <w:spacing w:val="15"/>
        </w:rPr>
        <w:t xml:space="preserve"> </w:t>
      </w:r>
      <w:r>
        <w:rPr>
          <w:color w:val="231F20"/>
        </w:rPr>
        <w:t>or</w:t>
      </w:r>
      <w:r>
        <w:rPr>
          <w:color w:val="231F20"/>
          <w:spacing w:val="15"/>
        </w:rPr>
        <w:t xml:space="preserve"> </w:t>
      </w:r>
      <w:r>
        <w:rPr>
          <w:color w:val="231F20"/>
        </w:rPr>
        <w:t>not</w:t>
      </w:r>
      <w:r>
        <w:rPr>
          <w:color w:val="231F20"/>
          <w:spacing w:val="15"/>
        </w:rPr>
        <w:t xml:space="preserve"> </w:t>
      </w:r>
      <w:r>
        <w:rPr>
          <w:color w:val="231F20"/>
        </w:rPr>
        <w:t>Meinhof</w:t>
      </w:r>
      <w:r>
        <w:rPr>
          <w:color w:val="231F20"/>
          <w:spacing w:val="15"/>
        </w:rPr>
        <w:t xml:space="preserve"> </w:t>
      </w:r>
      <w:r>
        <w:rPr>
          <w:color w:val="231F20"/>
        </w:rPr>
        <w:t>was</w:t>
      </w:r>
    </w:p>
    <w:p w14:paraId="57AC6A28" w14:textId="77777777" w:rsidR="002653E8" w:rsidRDefault="00000000">
      <w:pPr>
        <w:pStyle w:val="a3"/>
        <w:spacing w:before="2"/>
        <w:rPr>
          <w:sz w:val="18"/>
        </w:rPr>
      </w:pPr>
      <w:r>
        <w:rPr>
          <w:noProof w:val="0"/>
        </w:rPr>
        <w:pict w14:anchorId="722F79B5">
          <v:line id="_x0000_s2299" style="position:absolute;z-index:8344;mso-wrap-distance-left:0;mso-wrap-distance-right:0;mso-position-horizontal-relative:page" from="57.4pt,12.85pt" to="129.4pt,12.85pt" strokecolor="#231f20" strokeweight=".5pt">
            <w10:wrap type="topAndBottom" anchorx="page"/>
          </v:line>
        </w:pict>
      </w:r>
    </w:p>
    <w:p w14:paraId="0C716011" w14:textId="77777777" w:rsidR="002653E8" w:rsidRDefault="003115E3">
      <w:pPr>
        <w:spacing w:before="53"/>
        <w:ind w:left="1147"/>
        <w:rPr>
          <w:sz w:val="16"/>
        </w:rPr>
      </w:pPr>
      <w:r>
        <w:rPr>
          <w:color w:val="231F20"/>
          <w:w w:val="110"/>
          <w:sz w:val="16"/>
        </w:rPr>
        <w:t>1 Ibid., 42-43.</w:t>
      </w:r>
    </w:p>
    <w:p w14:paraId="747F365A" w14:textId="77777777" w:rsidR="002653E8" w:rsidRDefault="003115E3">
      <w:pPr>
        <w:spacing w:before="51"/>
        <w:ind w:left="1147"/>
        <w:rPr>
          <w:sz w:val="16"/>
        </w:rPr>
      </w:pPr>
      <w:r>
        <w:rPr>
          <w:color w:val="231F20"/>
          <w:w w:val="115"/>
          <w:sz w:val="16"/>
        </w:rPr>
        <w:t>2 Ibid., 46.</w:t>
      </w:r>
    </w:p>
    <w:p w14:paraId="4F551427" w14:textId="77777777" w:rsidR="002653E8" w:rsidRDefault="003115E3">
      <w:pPr>
        <w:spacing w:before="52"/>
        <w:ind w:left="1147"/>
        <w:rPr>
          <w:sz w:val="16"/>
        </w:rPr>
      </w:pPr>
      <w:r>
        <w:rPr>
          <w:color w:val="231F20"/>
          <w:w w:val="110"/>
          <w:sz w:val="16"/>
        </w:rPr>
        <w:t>3 Ibid., 47-49.</w:t>
      </w:r>
    </w:p>
    <w:p w14:paraId="0DF306F2" w14:textId="77777777" w:rsidR="002653E8" w:rsidRDefault="003115E3">
      <w:pPr>
        <w:spacing w:before="52"/>
        <w:ind w:left="1147"/>
        <w:rPr>
          <w:sz w:val="16"/>
        </w:rPr>
      </w:pPr>
      <w:r>
        <w:rPr>
          <w:color w:val="231F20"/>
          <w:w w:val="110"/>
          <w:sz w:val="16"/>
        </w:rPr>
        <w:t>4 Ibid., 47-48.</w:t>
      </w:r>
    </w:p>
    <w:p w14:paraId="3F5E1F2C" w14:textId="77777777" w:rsidR="002653E8" w:rsidRDefault="002653E8">
      <w:pPr>
        <w:rPr>
          <w:sz w:val="16"/>
        </w:rPr>
        <w:sectPr w:rsidR="002653E8">
          <w:pgSz w:w="8640" w:h="12960"/>
          <w:pgMar w:top="1060" w:right="0" w:bottom="1040" w:left="0" w:header="0" w:footer="850" w:gutter="0"/>
          <w:cols w:space="720"/>
        </w:sectPr>
      </w:pPr>
    </w:p>
    <w:p w14:paraId="18DEA9BD" w14:textId="77777777" w:rsidR="002653E8" w:rsidRDefault="00000000">
      <w:pPr>
        <w:pStyle w:val="a3"/>
        <w:spacing w:before="3"/>
        <w:rPr>
          <w:sz w:val="26"/>
        </w:rPr>
      </w:pPr>
      <w:r>
        <w:rPr>
          <w:noProof w:val="0"/>
        </w:rPr>
        <w:lastRenderedPageBreak/>
        <w:pict w14:anchorId="225D1269">
          <v:group id="_x0000_s2291" style="position:absolute;margin-left:81.95pt;margin-top:64.1pt;width:277.1pt;height:494.4pt;z-index:-456280;mso-position-horizontal-relative:page;mso-position-vertical-relative:page" coordorigin="1639,1282" coordsize="5542,9888">
            <v:rect id="_x0000_s2298" style="position:absolute;left:1639;top:1282;width:5542;height:9888" fillcolor="#e6e7e8" stroked="f"/>
            <v:line id="_x0000_s2297" style="position:absolute" from="1834,9660" to="3274,9660" strokecolor="#231f20" strokeweight=".5pt"/>
            <v:line id="_x0000_s2296" style="position:absolute" from="1647,1342" to="1647,11125" strokecolor="#231f20">
              <v:stroke dashstyle="3 1"/>
            </v:line>
            <v:line id="_x0000_s2295" style="position:absolute" from="1699,11162" to="7136,11162" strokecolor="#231f20">
              <v:stroke dashstyle="3 1"/>
            </v:line>
            <v:line id="_x0000_s2294" style="position:absolute" from="7173,11110" to="7173,1327" strokecolor="#231f20">
              <v:stroke dashstyle="3 1"/>
            </v:line>
            <v:line id="_x0000_s2293" style="position:absolute" from="7121,1290" to="1684,1290" strokecolor="#231f20">
              <v:stroke dashstyle="3 1"/>
            </v:line>
            <v:shape id="_x0000_s2292" style="position:absolute;top:3109;width:5527;height:9873" coordorigin=",3110" coordsize="5527,9873" o:spt="100" adj="0,,0" path="m1647,11140r,22l1669,11162t5482,l7173,11162r,-22m7173,1312r,-22l7151,1290t-5482,l1647,1290r,22e" filled="f" strokecolor="#231f20">
              <v:stroke joinstyle="round"/>
              <v:formulas/>
              <v:path arrowok="t" o:connecttype="segments"/>
            </v:shape>
            <w10:wrap anchorx="page" anchory="page"/>
          </v:group>
        </w:pict>
      </w:r>
    </w:p>
    <w:p w14:paraId="31226777" w14:textId="77777777" w:rsidR="002653E8" w:rsidRDefault="003115E3">
      <w:pPr>
        <w:spacing w:before="89"/>
        <w:ind w:left="203"/>
        <w:jc w:val="center"/>
        <w:rPr>
          <w:rFonts w:ascii="Lucida Sans" w:hAnsi="Lucida Sans"/>
          <w:b/>
          <w:sz w:val="24"/>
        </w:rPr>
      </w:pPr>
      <w:bookmarkStart w:id="179" w:name="ulrike’s_brain_"/>
      <w:bookmarkStart w:id="180" w:name="_bookmark58"/>
      <w:bookmarkEnd w:id="179"/>
      <w:bookmarkEnd w:id="180"/>
      <w:r>
        <w:rPr>
          <w:rFonts w:ascii="Lucida Sans" w:hAnsi="Lucida Sans"/>
          <w:b/>
          <w:color w:val="231F20"/>
          <w:w w:val="95"/>
          <w:sz w:val="24"/>
        </w:rPr>
        <w:t>Ulrike’s Brain</w:t>
      </w:r>
      <w:r>
        <w:rPr>
          <w:rFonts w:ascii="Lucida Sans" w:hAnsi="Lucida Sans"/>
          <w:b/>
          <w:color w:val="231F20"/>
          <w:sz w:val="24"/>
        </w:rPr>
        <w:t xml:space="preserve"> </w:t>
      </w:r>
    </w:p>
    <w:p w14:paraId="0FE815BA" w14:textId="77777777" w:rsidR="002653E8" w:rsidRDefault="002653E8">
      <w:pPr>
        <w:pStyle w:val="a3"/>
        <w:spacing w:before="1"/>
        <w:rPr>
          <w:rFonts w:ascii="Lucida Sans"/>
          <w:b/>
          <w:sz w:val="24"/>
        </w:rPr>
      </w:pPr>
    </w:p>
    <w:p w14:paraId="55963DB6" w14:textId="77777777" w:rsidR="002653E8" w:rsidRDefault="003115E3">
      <w:pPr>
        <w:spacing w:line="266" w:lineRule="auto"/>
        <w:ind w:left="1834" w:right="1580"/>
        <w:rPr>
          <w:rFonts w:ascii="Calibri" w:hAnsi="Calibri"/>
          <w:sz w:val="19"/>
        </w:rPr>
      </w:pPr>
      <w:r>
        <w:rPr>
          <w:rFonts w:ascii="Calibri" w:hAnsi="Calibri"/>
          <w:color w:val="231F20"/>
          <w:w w:val="110"/>
          <w:sz w:val="19"/>
        </w:rPr>
        <w:t>A gruesome postscript to Ulrike Meinhof’s death and the subsequent cover up surfaced decades later.</w:t>
      </w:r>
    </w:p>
    <w:p w14:paraId="7FCA5158" w14:textId="77777777" w:rsidR="002653E8" w:rsidRDefault="003115E3">
      <w:pPr>
        <w:spacing w:line="266" w:lineRule="auto"/>
        <w:ind w:left="1834" w:right="1890" w:firstLine="209"/>
        <w:rPr>
          <w:rFonts w:ascii="Calibri" w:hAnsi="Calibri"/>
          <w:sz w:val="19"/>
        </w:rPr>
      </w:pPr>
      <w:r>
        <w:rPr>
          <w:rFonts w:ascii="Calibri" w:hAnsi="Calibri"/>
          <w:color w:val="231F20"/>
          <w:w w:val="105"/>
          <w:sz w:val="19"/>
        </w:rPr>
        <w:t xml:space="preserve">In </w:t>
      </w:r>
      <w:r>
        <w:rPr>
          <w:rFonts w:ascii="Arial" w:hAnsi="Arial"/>
          <w:color w:val="231F20"/>
          <w:w w:val="105"/>
          <w:sz w:val="19"/>
        </w:rPr>
        <w:t>2002</w:t>
      </w:r>
      <w:r>
        <w:rPr>
          <w:rFonts w:ascii="Calibri" w:hAnsi="Calibri"/>
          <w:color w:val="231F20"/>
          <w:w w:val="105"/>
          <w:sz w:val="19"/>
        </w:rPr>
        <w:t xml:space="preserve">, it came to light  that  the  BAW  had  arranged for Meinhof’s brain to be surreptitiously removed  during her autopsy and delivered  to  the  neurologist  Jürgen Peiffer at Tübingen University. The state was still curious    as to whether “left-wing terrorism” might in </w:t>
      </w:r>
      <w:r>
        <w:rPr>
          <w:rFonts w:ascii="Calibri" w:hAnsi="Calibri"/>
          <w:color w:val="231F20"/>
          <w:spacing w:val="1"/>
          <w:w w:val="105"/>
          <w:sz w:val="19"/>
        </w:rPr>
        <w:t xml:space="preserve">fact </w:t>
      </w:r>
      <w:r>
        <w:rPr>
          <w:rFonts w:ascii="Calibri" w:hAnsi="Calibri"/>
          <w:color w:val="231F20"/>
          <w:w w:val="105"/>
          <w:sz w:val="19"/>
        </w:rPr>
        <w:t>be the result of some kind of neurological disorder. Peiffer was happy to oblige, and after carrying out his tests  claimed that</w:t>
      </w:r>
      <w:r>
        <w:rPr>
          <w:rFonts w:ascii="Calibri" w:hAnsi="Calibri"/>
          <w:color w:val="231F20"/>
          <w:spacing w:val="25"/>
          <w:w w:val="105"/>
          <w:sz w:val="19"/>
        </w:rPr>
        <w:t xml:space="preserve"> </w:t>
      </w:r>
      <w:r>
        <w:rPr>
          <w:rFonts w:ascii="Calibri" w:hAnsi="Calibri"/>
          <w:color w:val="231F20"/>
          <w:w w:val="105"/>
          <w:sz w:val="19"/>
        </w:rPr>
        <w:t>Meinhof</w:t>
      </w:r>
      <w:r>
        <w:rPr>
          <w:rFonts w:ascii="Calibri" w:hAnsi="Calibri"/>
          <w:color w:val="231F20"/>
          <w:spacing w:val="25"/>
          <w:w w:val="105"/>
          <w:sz w:val="19"/>
        </w:rPr>
        <w:t xml:space="preserve"> </w:t>
      </w:r>
      <w:r>
        <w:rPr>
          <w:rFonts w:ascii="Calibri" w:hAnsi="Calibri"/>
          <w:color w:val="231F20"/>
          <w:w w:val="105"/>
          <w:sz w:val="19"/>
        </w:rPr>
        <w:t>did</w:t>
      </w:r>
      <w:r>
        <w:rPr>
          <w:rFonts w:ascii="Calibri" w:hAnsi="Calibri"/>
          <w:color w:val="231F20"/>
          <w:spacing w:val="25"/>
          <w:w w:val="105"/>
          <w:sz w:val="19"/>
        </w:rPr>
        <w:t xml:space="preserve"> </w:t>
      </w:r>
      <w:r>
        <w:rPr>
          <w:rFonts w:ascii="Calibri" w:hAnsi="Calibri"/>
          <w:color w:val="231F20"/>
          <w:w w:val="105"/>
          <w:sz w:val="19"/>
        </w:rPr>
        <w:t>indeed</w:t>
      </w:r>
      <w:r>
        <w:rPr>
          <w:rFonts w:ascii="Calibri" w:hAnsi="Calibri"/>
          <w:color w:val="231F20"/>
          <w:spacing w:val="25"/>
          <w:w w:val="105"/>
          <w:sz w:val="19"/>
        </w:rPr>
        <w:t xml:space="preserve"> </w:t>
      </w:r>
      <w:r>
        <w:rPr>
          <w:rFonts w:ascii="Calibri" w:hAnsi="Calibri"/>
          <w:color w:val="231F20"/>
          <w:w w:val="105"/>
          <w:sz w:val="19"/>
        </w:rPr>
        <w:t>suffer</w:t>
      </w:r>
      <w:r>
        <w:rPr>
          <w:rFonts w:ascii="Calibri" w:hAnsi="Calibri"/>
          <w:color w:val="231F20"/>
          <w:spacing w:val="25"/>
          <w:w w:val="105"/>
          <w:sz w:val="19"/>
        </w:rPr>
        <w:t xml:space="preserve"> </w:t>
      </w:r>
      <w:r>
        <w:rPr>
          <w:rFonts w:ascii="Calibri" w:hAnsi="Calibri"/>
          <w:color w:val="231F20"/>
          <w:w w:val="105"/>
          <w:sz w:val="19"/>
        </w:rPr>
        <w:t>from</w:t>
      </w:r>
      <w:r>
        <w:rPr>
          <w:rFonts w:ascii="Calibri" w:hAnsi="Calibri"/>
          <w:color w:val="231F20"/>
          <w:spacing w:val="25"/>
          <w:w w:val="105"/>
          <w:sz w:val="19"/>
        </w:rPr>
        <w:t xml:space="preserve"> </w:t>
      </w:r>
      <w:r>
        <w:rPr>
          <w:rFonts w:ascii="Calibri" w:hAnsi="Calibri"/>
          <w:color w:val="231F20"/>
          <w:w w:val="105"/>
          <w:sz w:val="19"/>
        </w:rPr>
        <w:t>brain</w:t>
      </w:r>
      <w:r>
        <w:rPr>
          <w:rFonts w:ascii="Calibri" w:hAnsi="Calibri"/>
          <w:color w:val="231F20"/>
          <w:spacing w:val="25"/>
          <w:w w:val="105"/>
          <w:sz w:val="19"/>
        </w:rPr>
        <w:t xml:space="preserve"> </w:t>
      </w:r>
      <w:r>
        <w:rPr>
          <w:rFonts w:ascii="Calibri" w:hAnsi="Calibri"/>
          <w:color w:val="231F20"/>
          <w:w w:val="105"/>
          <w:sz w:val="19"/>
        </w:rPr>
        <w:t>damage,</w:t>
      </w:r>
      <w:r>
        <w:rPr>
          <w:rFonts w:ascii="Calibri" w:hAnsi="Calibri"/>
          <w:color w:val="231F20"/>
          <w:spacing w:val="25"/>
          <w:w w:val="105"/>
          <w:sz w:val="19"/>
        </w:rPr>
        <w:t xml:space="preserve"> </w:t>
      </w:r>
      <w:r>
        <w:rPr>
          <w:rFonts w:ascii="Calibri" w:hAnsi="Calibri"/>
          <w:color w:val="231F20"/>
          <w:w w:val="105"/>
          <w:sz w:val="19"/>
        </w:rPr>
        <w:t>which</w:t>
      </w:r>
    </w:p>
    <w:p w14:paraId="0F9FA232" w14:textId="77777777" w:rsidR="002653E8" w:rsidRDefault="003115E3">
      <w:pPr>
        <w:spacing w:line="266" w:lineRule="auto"/>
        <w:ind w:left="1834" w:right="1580"/>
        <w:rPr>
          <w:rFonts w:ascii="Calibri" w:hAnsi="Calibri"/>
          <w:sz w:val="11"/>
        </w:rPr>
      </w:pPr>
      <w:r>
        <w:rPr>
          <w:rFonts w:ascii="Calibri" w:hAnsi="Calibri"/>
          <w:color w:val="231F20"/>
          <w:w w:val="110"/>
          <w:sz w:val="19"/>
        </w:rPr>
        <w:t>“undoubtedly gives cause to raise questions in court about how responsible she was for her action.”</w:t>
      </w:r>
      <w:r>
        <w:rPr>
          <w:rFonts w:ascii="Calibri" w:hAnsi="Calibri"/>
          <w:color w:val="231F20"/>
          <w:w w:val="110"/>
          <w:position w:val="6"/>
          <w:sz w:val="11"/>
        </w:rPr>
        <w:t>1</w:t>
      </w:r>
    </w:p>
    <w:p w14:paraId="7A1E0A23" w14:textId="77777777" w:rsidR="002653E8" w:rsidRDefault="003115E3">
      <w:pPr>
        <w:spacing w:line="266" w:lineRule="auto"/>
        <w:ind w:left="1834" w:right="1898" w:firstLine="209"/>
        <w:rPr>
          <w:rFonts w:ascii="Calibri" w:hAnsi="Calibri"/>
          <w:sz w:val="11"/>
        </w:rPr>
      </w:pPr>
      <w:r>
        <w:rPr>
          <w:rFonts w:ascii="Calibri" w:hAnsi="Calibri"/>
          <w:color w:val="231F20"/>
          <w:w w:val="105"/>
          <w:sz w:val="19"/>
        </w:rPr>
        <w:t xml:space="preserve">Following this, Meinhof’s brain was stored away in a cardboard box where it remained untouched for </w:t>
      </w:r>
      <w:r>
        <w:rPr>
          <w:rFonts w:ascii="Calibri" w:hAnsi="Calibri"/>
          <w:color w:val="231F20"/>
          <w:spacing w:val="1"/>
          <w:w w:val="105"/>
          <w:sz w:val="19"/>
        </w:rPr>
        <w:t xml:space="preserve">twenty </w:t>
      </w:r>
      <w:r>
        <w:rPr>
          <w:rFonts w:ascii="Calibri" w:hAnsi="Calibri"/>
          <w:color w:val="231F20"/>
          <w:w w:val="105"/>
          <w:sz w:val="19"/>
        </w:rPr>
        <w:t xml:space="preserve">years, until </w:t>
      </w:r>
      <w:r>
        <w:rPr>
          <w:rFonts w:ascii="Arial" w:hAnsi="Arial"/>
          <w:color w:val="231F20"/>
          <w:spacing w:val="-4"/>
          <w:w w:val="105"/>
          <w:sz w:val="19"/>
        </w:rPr>
        <w:t xml:space="preserve">1997 </w:t>
      </w:r>
      <w:r>
        <w:rPr>
          <w:rFonts w:ascii="Calibri" w:hAnsi="Calibri"/>
          <w:color w:val="231F20"/>
          <w:w w:val="105"/>
          <w:sz w:val="19"/>
        </w:rPr>
        <w:t xml:space="preserve">when it was transferred to the Psychiatric Clinic in Magdeburg. There, </w:t>
      </w:r>
      <w:r>
        <w:rPr>
          <w:rFonts w:ascii="Calibri" w:hAnsi="Calibri"/>
          <w:color w:val="231F20"/>
          <w:spacing w:val="-4"/>
          <w:w w:val="105"/>
          <w:sz w:val="19"/>
        </w:rPr>
        <w:t xml:space="preserve">dr. </w:t>
      </w:r>
      <w:r>
        <w:rPr>
          <w:rFonts w:ascii="Calibri" w:hAnsi="Calibri"/>
          <w:color w:val="231F20"/>
          <w:w w:val="105"/>
          <w:sz w:val="19"/>
        </w:rPr>
        <w:t>Bernhard Bogerts, a psychiatrist, studied it for five years, coming to a similarly totalitarian conclusion, namely that “The slide into terror can be explained by the brain</w:t>
      </w:r>
      <w:r>
        <w:rPr>
          <w:rFonts w:ascii="Calibri" w:hAnsi="Calibri"/>
          <w:color w:val="231F20"/>
          <w:spacing w:val="17"/>
          <w:w w:val="105"/>
          <w:sz w:val="19"/>
        </w:rPr>
        <w:t xml:space="preserve"> </w:t>
      </w:r>
      <w:r>
        <w:rPr>
          <w:rFonts w:ascii="Calibri" w:hAnsi="Calibri"/>
          <w:color w:val="231F20"/>
          <w:w w:val="105"/>
          <w:sz w:val="19"/>
        </w:rPr>
        <w:t>illness.”</w:t>
      </w:r>
      <w:r>
        <w:rPr>
          <w:rFonts w:ascii="Calibri" w:hAnsi="Calibri"/>
          <w:color w:val="231F20"/>
          <w:w w:val="105"/>
          <w:position w:val="6"/>
          <w:sz w:val="11"/>
        </w:rPr>
        <w:t>2</w:t>
      </w:r>
    </w:p>
    <w:p w14:paraId="6D77E6D6" w14:textId="77777777" w:rsidR="002653E8" w:rsidRDefault="003115E3">
      <w:pPr>
        <w:spacing w:line="266" w:lineRule="auto"/>
        <w:ind w:left="1834" w:right="1848" w:firstLine="209"/>
        <w:rPr>
          <w:rFonts w:ascii="Calibri" w:hAnsi="Calibri"/>
          <w:sz w:val="19"/>
        </w:rPr>
      </w:pPr>
      <w:r>
        <w:rPr>
          <w:rFonts w:ascii="Calibri" w:hAnsi="Calibri"/>
          <w:color w:val="231F20"/>
          <w:w w:val="105"/>
          <w:sz w:val="19"/>
        </w:rPr>
        <w:t xml:space="preserve">At the demand of her daughters, Meinhof’s brain was interred at her burial place on december </w:t>
      </w:r>
      <w:r>
        <w:rPr>
          <w:rFonts w:ascii="Arial" w:hAnsi="Arial"/>
          <w:color w:val="231F20"/>
          <w:w w:val="105"/>
          <w:sz w:val="19"/>
        </w:rPr>
        <w:t>22</w:t>
      </w:r>
      <w:r>
        <w:rPr>
          <w:rFonts w:ascii="Calibri" w:hAnsi="Calibri"/>
          <w:color w:val="231F20"/>
          <w:w w:val="105"/>
          <w:sz w:val="19"/>
        </w:rPr>
        <w:t xml:space="preserve">, </w:t>
      </w:r>
      <w:r>
        <w:rPr>
          <w:rFonts w:ascii="Arial" w:hAnsi="Arial"/>
          <w:color w:val="231F20"/>
          <w:w w:val="105"/>
          <w:sz w:val="19"/>
        </w:rPr>
        <w:t>2002</w:t>
      </w:r>
      <w:r>
        <w:rPr>
          <w:rFonts w:ascii="Calibri" w:hAnsi="Calibri"/>
          <w:color w:val="231F20"/>
          <w:w w:val="105"/>
          <w:sz w:val="19"/>
        </w:rPr>
        <w:t>.</w:t>
      </w:r>
    </w:p>
    <w:p w14:paraId="2BDF7EFA" w14:textId="77777777" w:rsidR="002653E8" w:rsidRDefault="003115E3">
      <w:pPr>
        <w:spacing w:line="231" w:lineRule="exact"/>
        <w:ind w:left="2044"/>
        <w:rPr>
          <w:rFonts w:ascii="Calibri"/>
          <w:sz w:val="19"/>
        </w:rPr>
      </w:pPr>
      <w:r>
        <w:rPr>
          <w:rFonts w:ascii="Calibri"/>
          <w:color w:val="231F20"/>
          <w:w w:val="105"/>
          <w:sz w:val="19"/>
        </w:rPr>
        <w:t xml:space="preserve">In </w:t>
      </w:r>
      <w:r>
        <w:rPr>
          <w:rFonts w:ascii="Arial"/>
          <w:color w:val="231F20"/>
          <w:w w:val="105"/>
          <w:sz w:val="19"/>
        </w:rPr>
        <w:t>2002</w:t>
      </w:r>
      <w:r>
        <w:rPr>
          <w:rFonts w:ascii="Calibri"/>
          <w:color w:val="231F20"/>
          <w:w w:val="105"/>
          <w:sz w:val="19"/>
        </w:rPr>
        <w:t>, it was also revealed that Andreas Baader,</w:t>
      </w:r>
    </w:p>
    <w:p w14:paraId="38171191" w14:textId="77777777" w:rsidR="002653E8" w:rsidRDefault="003115E3">
      <w:pPr>
        <w:spacing w:before="13" w:line="266" w:lineRule="auto"/>
        <w:ind w:left="1834" w:right="1580"/>
        <w:rPr>
          <w:rFonts w:ascii="Calibri" w:hAnsi="Calibri"/>
          <w:sz w:val="19"/>
        </w:rPr>
      </w:pPr>
      <w:r>
        <w:rPr>
          <w:rFonts w:ascii="Calibri" w:hAnsi="Calibri"/>
          <w:color w:val="231F20"/>
          <w:w w:val="110"/>
          <w:sz w:val="19"/>
        </w:rPr>
        <w:t xml:space="preserve">Jan-Carl Raspe and Gudrun Ensslin—who had all been similarly “suicided” in Stammheim—had all had their brains removed prior to burial in </w:t>
      </w:r>
      <w:r>
        <w:rPr>
          <w:rFonts w:ascii="Arial" w:hAnsi="Arial"/>
          <w:color w:val="231F20"/>
          <w:w w:val="110"/>
          <w:sz w:val="19"/>
        </w:rPr>
        <w:t>1977</w:t>
      </w:r>
      <w:r>
        <w:rPr>
          <w:rFonts w:ascii="Calibri" w:hAnsi="Calibri"/>
          <w:color w:val="231F20"/>
          <w:w w:val="110"/>
          <w:sz w:val="19"/>
        </w:rPr>
        <w:t>, without their relatives’ knowledge or consent.</w:t>
      </w:r>
    </w:p>
    <w:p w14:paraId="6809ABDC" w14:textId="77777777" w:rsidR="002653E8" w:rsidRDefault="003115E3">
      <w:pPr>
        <w:spacing w:line="230" w:lineRule="exact"/>
        <w:ind w:left="2044"/>
        <w:rPr>
          <w:rFonts w:ascii="Calibri"/>
          <w:sz w:val="11"/>
        </w:rPr>
      </w:pPr>
      <w:r>
        <w:rPr>
          <w:rFonts w:ascii="Calibri"/>
          <w:color w:val="231F20"/>
          <w:w w:val="105"/>
          <w:sz w:val="19"/>
        </w:rPr>
        <w:t>The whereabouts of their brains remains unknown today.</w:t>
      </w:r>
      <w:r>
        <w:rPr>
          <w:rFonts w:ascii="Calibri"/>
          <w:color w:val="231F20"/>
          <w:w w:val="105"/>
          <w:position w:val="6"/>
          <w:sz w:val="11"/>
        </w:rPr>
        <w:t>3</w:t>
      </w:r>
    </w:p>
    <w:p w14:paraId="5612FC00" w14:textId="77777777" w:rsidR="002653E8" w:rsidRDefault="002653E8">
      <w:pPr>
        <w:pStyle w:val="a3"/>
        <w:rPr>
          <w:rFonts w:ascii="Calibri"/>
        </w:rPr>
      </w:pPr>
    </w:p>
    <w:p w14:paraId="315A671D" w14:textId="77777777" w:rsidR="002653E8" w:rsidRDefault="002653E8">
      <w:pPr>
        <w:pStyle w:val="a3"/>
        <w:rPr>
          <w:rFonts w:ascii="Calibri"/>
          <w:sz w:val="25"/>
        </w:rPr>
      </w:pPr>
    </w:p>
    <w:p w14:paraId="74329893" w14:textId="77777777" w:rsidR="002653E8" w:rsidRDefault="003115E3">
      <w:pPr>
        <w:spacing w:before="104"/>
        <w:ind w:left="1834"/>
        <w:rPr>
          <w:sz w:val="16"/>
        </w:rPr>
      </w:pPr>
      <w:r>
        <w:rPr>
          <w:color w:val="231F20"/>
          <w:w w:val="110"/>
          <w:position w:val="6"/>
          <w:sz w:val="9"/>
        </w:rPr>
        <w:t xml:space="preserve">1 </w:t>
      </w:r>
      <w:r>
        <w:rPr>
          <w:color w:val="231F20"/>
          <w:w w:val="110"/>
          <w:sz w:val="16"/>
        </w:rPr>
        <w:t>Roger Boyles, “Daughter Defies State Over Ulrike Meinhof’s Brain,”</w:t>
      </w:r>
    </w:p>
    <w:p w14:paraId="541445D3" w14:textId="77777777" w:rsidR="002653E8" w:rsidRDefault="003115E3">
      <w:pPr>
        <w:spacing w:before="12"/>
        <w:ind w:left="1834"/>
        <w:rPr>
          <w:sz w:val="16"/>
        </w:rPr>
      </w:pPr>
      <w:r>
        <w:rPr>
          <w:i/>
          <w:color w:val="231F20"/>
          <w:w w:val="110"/>
          <w:sz w:val="16"/>
        </w:rPr>
        <w:t xml:space="preserve">The Times </w:t>
      </w:r>
      <w:r>
        <w:rPr>
          <w:color w:val="231F20"/>
          <w:w w:val="110"/>
          <w:sz w:val="16"/>
        </w:rPr>
        <w:t>[online], November 9, 2002.</w:t>
      </w:r>
    </w:p>
    <w:p w14:paraId="28C78466" w14:textId="77777777" w:rsidR="002653E8" w:rsidRDefault="003115E3">
      <w:pPr>
        <w:spacing w:before="52" w:line="254" w:lineRule="auto"/>
        <w:ind w:left="1833" w:right="2448"/>
        <w:rPr>
          <w:sz w:val="16"/>
        </w:rPr>
      </w:pPr>
      <w:r>
        <w:rPr>
          <w:color w:val="231F20"/>
          <w:w w:val="110"/>
          <w:position w:val="6"/>
          <w:sz w:val="9"/>
        </w:rPr>
        <w:t xml:space="preserve">2 </w:t>
      </w:r>
      <w:r>
        <w:rPr>
          <w:i/>
          <w:color w:val="231F20"/>
          <w:w w:val="110"/>
          <w:sz w:val="16"/>
        </w:rPr>
        <w:t xml:space="preserve">BBC News </w:t>
      </w:r>
      <w:r>
        <w:rPr>
          <w:color w:val="231F20"/>
          <w:w w:val="110"/>
          <w:sz w:val="16"/>
        </w:rPr>
        <w:t>[online], “Meinhof Brain Study yields Clues,” November 12, 2002.</w:t>
      </w:r>
    </w:p>
    <w:p w14:paraId="092F013E" w14:textId="77777777" w:rsidR="002653E8" w:rsidRPr="00846956" w:rsidRDefault="003115E3">
      <w:pPr>
        <w:spacing w:before="40" w:line="254" w:lineRule="auto"/>
        <w:ind w:left="1834" w:right="1848" w:hanging="1"/>
        <w:rPr>
          <w:sz w:val="16"/>
          <w:lang w:val="de-DE"/>
        </w:rPr>
      </w:pPr>
      <w:r w:rsidRPr="00846956">
        <w:rPr>
          <w:color w:val="231F20"/>
          <w:w w:val="110"/>
          <w:position w:val="6"/>
          <w:sz w:val="9"/>
          <w:lang w:val="de-DE"/>
        </w:rPr>
        <w:t xml:space="preserve">3 </w:t>
      </w:r>
      <w:r w:rsidRPr="00846956">
        <w:rPr>
          <w:i/>
          <w:color w:val="231F20"/>
          <w:w w:val="110"/>
          <w:sz w:val="16"/>
          <w:lang w:val="de-DE"/>
        </w:rPr>
        <w:t xml:space="preserve">Spiegel </w:t>
      </w:r>
      <w:r w:rsidRPr="00846956">
        <w:rPr>
          <w:color w:val="231F20"/>
          <w:w w:val="110"/>
          <w:sz w:val="16"/>
          <w:lang w:val="de-DE"/>
        </w:rPr>
        <w:t xml:space="preserve">[online], “Gehirne der toten </w:t>
      </w:r>
      <w:r w:rsidR="00C507A5" w:rsidRPr="00846956">
        <w:rPr>
          <w:color w:val="231F20"/>
          <w:w w:val="110"/>
          <w:sz w:val="16"/>
          <w:lang w:val="de-DE"/>
        </w:rPr>
        <w:t>red army faction</w:t>
      </w:r>
      <w:r w:rsidRPr="00846956">
        <w:rPr>
          <w:color w:val="231F20"/>
          <w:w w:val="110"/>
          <w:sz w:val="16"/>
          <w:lang w:val="de-DE"/>
        </w:rPr>
        <w:t>-Terroristen verschwunden,” November 16, 2002.</w:t>
      </w:r>
    </w:p>
    <w:p w14:paraId="6B4F663C" w14:textId="77777777" w:rsidR="002653E8" w:rsidRPr="00846956" w:rsidRDefault="002653E8">
      <w:pPr>
        <w:spacing w:line="254" w:lineRule="auto"/>
        <w:rPr>
          <w:sz w:val="16"/>
          <w:lang w:val="de-DE"/>
        </w:rPr>
        <w:sectPr w:rsidR="002653E8" w:rsidRPr="00846956">
          <w:pgSz w:w="8640" w:h="12960"/>
          <w:pgMar w:top="1220" w:right="0" w:bottom="1040" w:left="0" w:header="0" w:footer="850" w:gutter="0"/>
          <w:cols w:space="720"/>
        </w:sectPr>
      </w:pPr>
    </w:p>
    <w:p w14:paraId="60120D45" w14:textId="77777777" w:rsidR="002653E8" w:rsidRDefault="003115E3">
      <w:pPr>
        <w:pStyle w:val="a3"/>
        <w:spacing w:before="86" w:line="264" w:lineRule="auto"/>
        <w:ind w:left="1147" w:right="1326"/>
        <w:jc w:val="both"/>
        <w:rPr>
          <w:sz w:val="11"/>
        </w:rPr>
      </w:pPr>
      <w:r>
        <w:rPr>
          <w:color w:val="231F20"/>
        </w:rPr>
        <w:lastRenderedPageBreak/>
        <w:t>dead prior to being hanged.</w:t>
      </w:r>
      <w:r>
        <w:rPr>
          <w:color w:val="231F20"/>
          <w:position w:val="7"/>
          <w:sz w:val="11"/>
        </w:rPr>
        <w:t xml:space="preserve">1 </w:t>
      </w:r>
      <w:r>
        <w:rPr>
          <w:color w:val="231F20"/>
        </w:rPr>
        <w:t>Rauschke had also performed the autopsy on Siegfried Hausner, and some supporters and members of the guerilla would point to this as further evidence of a cover-up, given the theory some held at that time that Hausner’s autopsy had been used to camouflage the fact that he had been beaten to death by the Swedish police.</w:t>
      </w:r>
      <w:r>
        <w:rPr>
          <w:color w:val="231F20"/>
          <w:position w:val="7"/>
          <w:sz w:val="11"/>
        </w:rPr>
        <w:t>2</w:t>
      </w:r>
    </w:p>
    <w:p w14:paraId="2F940B7A" w14:textId="0551F4BA" w:rsidR="002653E8" w:rsidRDefault="003115E3">
      <w:pPr>
        <w:pStyle w:val="a3"/>
        <w:spacing w:line="264" w:lineRule="auto"/>
        <w:ind w:left="1147" w:right="1325" w:firstLine="210"/>
        <w:jc w:val="both"/>
        <w:rPr>
          <w:sz w:val="11"/>
        </w:rPr>
      </w:pPr>
      <w:r>
        <w:rPr>
          <w:color w:val="231F20"/>
        </w:rPr>
        <w:t>There were also problems regarding the inspection of the cell. Klaus Croissant, Meinhof’s sister Inge Wienke Zitzlaff, and her step-daughter Anja Röhl were all denied the right to attend the inventory, while attorney Michael Oberwinder was only permitted to stay in the hallway outside of the cell as the Criminal Police searched it for five hours.</w:t>
      </w:r>
      <w:r>
        <w:rPr>
          <w:color w:val="231F20"/>
          <w:position w:val="7"/>
          <w:sz w:val="11"/>
        </w:rPr>
        <w:t xml:space="preserve">3 </w:t>
      </w:r>
      <w:r>
        <w:rPr>
          <w:color w:val="231F20"/>
        </w:rPr>
        <w:t>Two days after her death, the entire cell, including the window grating, was painted. This is not standard procedure. It was not until after this that lawyers and relatives were permitted inside the cell.</w:t>
      </w:r>
      <w:r>
        <w:rPr>
          <w:color w:val="231F20"/>
          <w:position w:val="7"/>
          <w:sz w:val="11"/>
        </w:rPr>
        <w:t>4</w:t>
      </w:r>
    </w:p>
    <w:p w14:paraId="5D890103" w14:textId="77777777" w:rsidR="002653E8" w:rsidRDefault="003115E3">
      <w:pPr>
        <w:pStyle w:val="a3"/>
        <w:spacing w:line="226" w:lineRule="exact"/>
        <w:ind w:left="1357"/>
      </w:pPr>
      <w:r>
        <w:rPr>
          <w:color w:val="231F20"/>
        </w:rPr>
        <w:t>Given the mass of evidence, the Commission concluded:</w:t>
      </w:r>
    </w:p>
    <w:p w14:paraId="6BF8CB0B" w14:textId="77777777" w:rsidR="002653E8" w:rsidRDefault="003115E3">
      <w:pPr>
        <w:spacing w:before="146" w:line="276" w:lineRule="auto"/>
        <w:ind w:left="1567" w:right="1746"/>
        <w:jc w:val="both"/>
        <w:rPr>
          <w:i/>
          <w:sz w:val="11"/>
        </w:rPr>
      </w:pPr>
      <w:r>
        <w:rPr>
          <w:i/>
          <w:color w:val="231F20"/>
          <w:w w:val="105"/>
          <w:sz w:val="19"/>
        </w:rPr>
        <w:t>The totality of the medical and legal contradictions, facts, and evidence that we have uncovered and proven, rule out the possibility of suicide as the cause of Meinhof’s death.</w:t>
      </w:r>
      <w:r>
        <w:rPr>
          <w:i/>
          <w:color w:val="231F20"/>
          <w:w w:val="105"/>
          <w:position w:val="6"/>
          <w:sz w:val="11"/>
        </w:rPr>
        <w:t>5</w:t>
      </w:r>
    </w:p>
    <w:p w14:paraId="429267F9" w14:textId="77777777" w:rsidR="002653E8" w:rsidRDefault="003115E3">
      <w:pPr>
        <w:pStyle w:val="a3"/>
        <w:spacing w:before="130" w:line="264" w:lineRule="auto"/>
        <w:ind w:left="1147" w:right="1326"/>
        <w:jc w:val="both"/>
        <w:rPr>
          <w:sz w:val="11"/>
        </w:rPr>
      </w:pPr>
      <w:r>
        <w:rPr>
          <w:color w:val="231F20"/>
          <w:w w:val="105"/>
        </w:rPr>
        <w:t xml:space="preserve">At a conference in May </w:t>
      </w:r>
      <w:r>
        <w:rPr>
          <w:color w:val="231F20"/>
          <w:spacing w:val="-6"/>
          <w:w w:val="105"/>
        </w:rPr>
        <w:t xml:space="preserve">1975, </w:t>
      </w:r>
      <w:r>
        <w:rPr>
          <w:color w:val="231F20"/>
          <w:spacing w:val="-3"/>
          <w:w w:val="105"/>
        </w:rPr>
        <w:t xml:space="preserve">Dr. </w:t>
      </w:r>
      <w:r>
        <w:rPr>
          <w:color w:val="231F20"/>
          <w:w w:val="105"/>
        </w:rPr>
        <w:t>Hans Josef Horchem, at the time head</w:t>
      </w:r>
      <w:r>
        <w:rPr>
          <w:color w:val="231F20"/>
          <w:spacing w:val="-17"/>
          <w:w w:val="105"/>
        </w:rPr>
        <w:t xml:space="preserve"> </w:t>
      </w:r>
      <w:r>
        <w:rPr>
          <w:color w:val="231F20"/>
          <w:w w:val="105"/>
        </w:rPr>
        <w:t>of</w:t>
      </w:r>
      <w:r>
        <w:rPr>
          <w:color w:val="231F20"/>
          <w:spacing w:val="-17"/>
          <w:w w:val="105"/>
        </w:rPr>
        <w:t xml:space="preserve"> </w:t>
      </w:r>
      <w:r>
        <w:rPr>
          <w:color w:val="231F20"/>
          <w:w w:val="105"/>
        </w:rPr>
        <w:t>the</w:t>
      </w:r>
      <w:r>
        <w:rPr>
          <w:color w:val="231F20"/>
          <w:spacing w:val="-16"/>
          <w:w w:val="105"/>
        </w:rPr>
        <w:t xml:space="preserve"> </w:t>
      </w:r>
      <w:r>
        <w:rPr>
          <w:i/>
          <w:color w:val="231F20"/>
          <w:w w:val="105"/>
        </w:rPr>
        <w:t>Verfassungsschutz</w:t>
      </w:r>
      <w:r>
        <w:rPr>
          <w:color w:val="231F20"/>
          <w:w w:val="105"/>
        </w:rPr>
        <w:t>,</w:t>
      </w:r>
      <w:r>
        <w:rPr>
          <w:color w:val="231F20"/>
          <w:spacing w:val="-17"/>
          <w:w w:val="105"/>
        </w:rPr>
        <w:t xml:space="preserve"> </w:t>
      </w:r>
      <w:r>
        <w:rPr>
          <w:color w:val="231F20"/>
          <w:w w:val="105"/>
        </w:rPr>
        <w:t>had</w:t>
      </w:r>
      <w:r>
        <w:rPr>
          <w:color w:val="231F20"/>
          <w:spacing w:val="-17"/>
          <w:w w:val="105"/>
        </w:rPr>
        <w:t xml:space="preserve"> </w:t>
      </w:r>
      <w:r>
        <w:rPr>
          <w:color w:val="231F20"/>
          <w:w w:val="105"/>
        </w:rPr>
        <w:t>underscored</w:t>
      </w:r>
      <w:r>
        <w:rPr>
          <w:color w:val="231F20"/>
          <w:spacing w:val="-17"/>
          <w:w w:val="105"/>
        </w:rPr>
        <w:t xml:space="preserve"> </w:t>
      </w:r>
      <w:r>
        <w:rPr>
          <w:color w:val="231F20"/>
          <w:w w:val="105"/>
        </w:rPr>
        <w:t>Meinhof’s</w:t>
      </w:r>
      <w:r>
        <w:rPr>
          <w:color w:val="231F20"/>
          <w:spacing w:val="-17"/>
          <w:w w:val="105"/>
        </w:rPr>
        <w:t xml:space="preserve"> </w:t>
      </w:r>
      <w:r>
        <w:rPr>
          <w:color w:val="231F20"/>
          <w:w w:val="105"/>
        </w:rPr>
        <w:t>importance in the eyes of the state. “Through the lack of new ideologues of</w:t>
      </w:r>
      <w:r>
        <w:rPr>
          <w:color w:val="231F20"/>
          <w:spacing w:val="-28"/>
          <w:w w:val="105"/>
        </w:rPr>
        <w:t xml:space="preserve"> </w:t>
      </w:r>
      <w:r>
        <w:rPr>
          <w:color w:val="231F20"/>
          <w:w w:val="105"/>
        </w:rPr>
        <w:t xml:space="preserve">Ulrike Meinhof’s </w:t>
      </w:r>
      <w:r>
        <w:rPr>
          <w:color w:val="231F20"/>
          <w:spacing w:val="-3"/>
          <w:w w:val="105"/>
        </w:rPr>
        <w:t xml:space="preserve">quality,” </w:t>
      </w:r>
      <w:r>
        <w:rPr>
          <w:color w:val="231F20"/>
          <w:w w:val="105"/>
        </w:rPr>
        <w:t>the head of the political police had mused, “the continuation of the phenomenon of terror could be</w:t>
      </w:r>
      <w:r>
        <w:rPr>
          <w:color w:val="231F20"/>
          <w:spacing w:val="-11"/>
          <w:w w:val="105"/>
        </w:rPr>
        <w:t xml:space="preserve"> </w:t>
      </w:r>
      <w:r>
        <w:rPr>
          <w:color w:val="231F20"/>
          <w:w w:val="105"/>
        </w:rPr>
        <w:t>curtailed.”</w:t>
      </w:r>
      <w:r>
        <w:rPr>
          <w:color w:val="231F20"/>
          <w:w w:val="105"/>
          <w:position w:val="7"/>
          <w:sz w:val="11"/>
        </w:rPr>
        <w:t>6</w:t>
      </w:r>
    </w:p>
    <w:p w14:paraId="05AB826B" w14:textId="77777777" w:rsidR="002653E8" w:rsidRDefault="003115E3">
      <w:pPr>
        <w:pStyle w:val="a3"/>
        <w:spacing w:line="229" w:lineRule="exact"/>
        <w:ind w:left="1357"/>
      </w:pPr>
      <w:r>
        <w:rPr>
          <w:color w:val="231F20"/>
        </w:rPr>
        <w:t>Noting this, the Commission concluded:</w:t>
      </w:r>
    </w:p>
    <w:p w14:paraId="1FB6F6E0" w14:textId="77777777" w:rsidR="002653E8" w:rsidRDefault="003115E3">
      <w:pPr>
        <w:spacing w:before="131" w:line="276" w:lineRule="auto"/>
        <w:ind w:left="1567" w:right="1738"/>
        <w:jc w:val="both"/>
        <w:rPr>
          <w:i/>
          <w:sz w:val="11"/>
        </w:rPr>
      </w:pPr>
      <w:r>
        <w:rPr>
          <w:i/>
          <w:color w:val="231F20"/>
          <w:w w:val="105"/>
          <w:sz w:val="19"/>
        </w:rPr>
        <w:t>It</w:t>
      </w:r>
      <w:r>
        <w:rPr>
          <w:i/>
          <w:color w:val="231F20"/>
          <w:spacing w:val="-16"/>
          <w:w w:val="105"/>
          <w:sz w:val="19"/>
        </w:rPr>
        <w:t xml:space="preserve"> </w:t>
      </w:r>
      <w:r>
        <w:rPr>
          <w:i/>
          <w:color w:val="231F20"/>
          <w:w w:val="105"/>
          <w:sz w:val="19"/>
        </w:rPr>
        <w:t>is</w:t>
      </w:r>
      <w:r>
        <w:rPr>
          <w:i/>
          <w:color w:val="231F20"/>
          <w:spacing w:val="-16"/>
          <w:w w:val="105"/>
          <w:sz w:val="19"/>
        </w:rPr>
        <w:t xml:space="preserve"> </w:t>
      </w:r>
      <w:r>
        <w:rPr>
          <w:i/>
          <w:color w:val="231F20"/>
          <w:w w:val="105"/>
          <w:sz w:val="19"/>
        </w:rPr>
        <w:t>not</w:t>
      </w:r>
      <w:r>
        <w:rPr>
          <w:i/>
          <w:color w:val="231F20"/>
          <w:spacing w:val="-16"/>
          <w:w w:val="105"/>
          <w:sz w:val="19"/>
        </w:rPr>
        <w:t xml:space="preserve"> </w:t>
      </w:r>
      <w:r>
        <w:rPr>
          <w:i/>
          <w:color w:val="231F20"/>
          <w:w w:val="105"/>
          <w:sz w:val="19"/>
        </w:rPr>
        <w:t>impossible</w:t>
      </w:r>
      <w:r>
        <w:rPr>
          <w:i/>
          <w:color w:val="231F20"/>
          <w:spacing w:val="-16"/>
          <w:w w:val="105"/>
          <w:sz w:val="19"/>
        </w:rPr>
        <w:t xml:space="preserve"> </w:t>
      </w:r>
      <w:r>
        <w:rPr>
          <w:i/>
          <w:color w:val="231F20"/>
          <w:w w:val="105"/>
          <w:sz w:val="19"/>
        </w:rPr>
        <w:t>that</w:t>
      </w:r>
      <w:r>
        <w:rPr>
          <w:i/>
          <w:color w:val="231F20"/>
          <w:spacing w:val="-16"/>
          <w:w w:val="105"/>
          <w:sz w:val="19"/>
        </w:rPr>
        <w:t xml:space="preserve"> </w:t>
      </w:r>
      <w:r>
        <w:rPr>
          <w:i/>
          <w:color w:val="231F20"/>
          <w:w w:val="105"/>
          <w:sz w:val="19"/>
        </w:rPr>
        <w:t>Ulrike</w:t>
      </w:r>
      <w:r>
        <w:rPr>
          <w:i/>
          <w:color w:val="231F20"/>
          <w:spacing w:val="-16"/>
          <w:w w:val="105"/>
          <w:sz w:val="19"/>
        </w:rPr>
        <w:t xml:space="preserve"> </w:t>
      </w:r>
      <w:r>
        <w:rPr>
          <w:i/>
          <w:color w:val="231F20"/>
          <w:w w:val="105"/>
          <w:sz w:val="19"/>
        </w:rPr>
        <w:t>Meinhof’s</w:t>
      </w:r>
      <w:r>
        <w:rPr>
          <w:i/>
          <w:color w:val="231F20"/>
          <w:spacing w:val="-16"/>
          <w:w w:val="105"/>
          <w:sz w:val="19"/>
        </w:rPr>
        <w:t xml:space="preserve"> </w:t>
      </w:r>
      <w:r>
        <w:rPr>
          <w:i/>
          <w:color w:val="231F20"/>
          <w:w w:val="105"/>
          <w:sz w:val="19"/>
        </w:rPr>
        <w:t>death</w:t>
      </w:r>
      <w:r>
        <w:rPr>
          <w:i/>
          <w:color w:val="231F20"/>
          <w:spacing w:val="-16"/>
          <w:w w:val="105"/>
          <w:sz w:val="19"/>
        </w:rPr>
        <w:t xml:space="preserve"> </w:t>
      </w:r>
      <w:r>
        <w:rPr>
          <w:i/>
          <w:color w:val="231F20"/>
          <w:w w:val="105"/>
          <w:sz w:val="19"/>
        </w:rPr>
        <w:t>was</w:t>
      </w:r>
      <w:r>
        <w:rPr>
          <w:i/>
          <w:color w:val="231F20"/>
          <w:spacing w:val="-16"/>
          <w:w w:val="105"/>
          <w:sz w:val="19"/>
        </w:rPr>
        <w:t xml:space="preserve"> </w:t>
      </w:r>
      <w:r>
        <w:rPr>
          <w:i/>
          <w:color w:val="231F20"/>
          <w:w w:val="105"/>
          <w:sz w:val="19"/>
        </w:rPr>
        <w:t>part</w:t>
      </w:r>
      <w:r>
        <w:rPr>
          <w:i/>
          <w:color w:val="231F20"/>
          <w:spacing w:val="-16"/>
          <w:w w:val="105"/>
          <w:sz w:val="19"/>
        </w:rPr>
        <w:t xml:space="preserve"> </w:t>
      </w:r>
      <w:r>
        <w:rPr>
          <w:i/>
          <w:color w:val="231F20"/>
          <w:w w:val="105"/>
          <w:sz w:val="19"/>
        </w:rPr>
        <w:t>of</w:t>
      </w:r>
      <w:r>
        <w:rPr>
          <w:i/>
          <w:color w:val="231F20"/>
          <w:spacing w:val="-16"/>
          <w:w w:val="105"/>
          <w:sz w:val="19"/>
        </w:rPr>
        <w:t xml:space="preserve"> </w:t>
      </w:r>
      <w:r>
        <w:rPr>
          <w:i/>
          <w:color w:val="231F20"/>
          <w:w w:val="105"/>
          <w:sz w:val="19"/>
        </w:rPr>
        <w:t>a</w:t>
      </w:r>
      <w:r>
        <w:rPr>
          <w:i/>
          <w:color w:val="231F20"/>
          <w:spacing w:val="-16"/>
          <w:w w:val="105"/>
          <w:sz w:val="19"/>
        </w:rPr>
        <w:t xml:space="preserve"> </w:t>
      </w:r>
      <w:r>
        <w:rPr>
          <w:i/>
          <w:color w:val="231F20"/>
          <w:w w:val="105"/>
          <w:sz w:val="19"/>
        </w:rPr>
        <w:t xml:space="preserve">secret service strategy to combat the </w:t>
      </w:r>
      <w:r w:rsidR="00C507A5">
        <w:rPr>
          <w:i/>
          <w:color w:val="231F20"/>
          <w:spacing w:val="-7"/>
          <w:w w:val="105"/>
          <w:sz w:val="19"/>
        </w:rPr>
        <w:t>red army faction</w:t>
      </w:r>
      <w:r>
        <w:rPr>
          <w:i/>
          <w:color w:val="231F20"/>
          <w:spacing w:val="-7"/>
          <w:w w:val="105"/>
          <w:sz w:val="19"/>
        </w:rPr>
        <w:t xml:space="preserve">. </w:t>
      </w:r>
      <w:r>
        <w:rPr>
          <w:i/>
          <w:color w:val="231F20"/>
          <w:w w:val="105"/>
          <w:sz w:val="19"/>
        </w:rPr>
        <w:t xml:space="preserve">In which case, her “suicide” would have been meant to show everyone how her politics and those of the </w:t>
      </w:r>
      <w:r w:rsidR="00C507A5">
        <w:rPr>
          <w:i/>
          <w:color w:val="231F20"/>
          <w:w w:val="105"/>
          <w:sz w:val="19"/>
        </w:rPr>
        <w:t>red army faction</w:t>
      </w:r>
      <w:r>
        <w:rPr>
          <w:i/>
          <w:color w:val="231F20"/>
          <w:w w:val="105"/>
          <w:sz w:val="19"/>
        </w:rPr>
        <w:t xml:space="preserve"> had failed, and </w:t>
      </w:r>
      <w:r>
        <w:rPr>
          <w:i/>
          <w:color w:val="231F20"/>
          <w:spacing w:val="-5"/>
          <w:w w:val="105"/>
          <w:sz w:val="19"/>
        </w:rPr>
        <w:t xml:space="preserve">how, </w:t>
      </w:r>
      <w:r>
        <w:rPr>
          <w:i/>
          <w:color w:val="231F20"/>
          <w:w w:val="105"/>
          <w:sz w:val="19"/>
        </w:rPr>
        <w:t xml:space="preserve">by her </w:t>
      </w:r>
      <w:r>
        <w:rPr>
          <w:i/>
          <w:color w:val="231F20"/>
          <w:spacing w:val="-3"/>
          <w:w w:val="105"/>
          <w:sz w:val="19"/>
        </w:rPr>
        <w:t xml:space="preserve">“suicide,” </w:t>
      </w:r>
      <w:r>
        <w:rPr>
          <w:i/>
          <w:color w:val="231F20"/>
          <w:w w:val="105"/>
          <w:sz w:val="19"/>
        </w:rPr>
        <w:t>she herself had recognized this</w:t>
      </w:r>
      <w:r>
        <w:rPr>
          <w:i/>
          <w:color w:val="231F20"/>
          <w:spacing w:val="20"/>
          <w:w w:val="105"/>
          <w:sz w:val="19"/>
        </w:rPr>
        <w:t xml:space="preserve"> </w:t>
      </w:r>
      <w:r>
        <w:rPr>
          <w:i/>
          <w:color w:val="231F20"/>
          <w:w w:val="105"/>
          <w:sz w:val="19"/>
        </w:rPr>
        <w:t>failure.</w:t>
      </w:r>
      <w:r>
        <w:rPr>
          <w:i/>
          <w:color w:val="231F20"/>
          <w:w w:val="105"/>
          <w:position w:val="6"/>
          <w:sz w:val="11"/>
        </w:rPr>
        <w:t>7</w:t>
      </w:r>
    </w:p>
    <w:p w14:paraId="4929A519" w14:textId="77777777" w:rsidR="002653E8" w:rsidRDefault="00000000">
      <w:pPr>
        <w:pStyle w:val="a3"/>
        <w:spacing w:before="4"/>
        <w:rPr>
          <w:i/>
          <w:sz w:val="13"/>
        </w:rPr>
      </w:pPr>
      <w:r>
        <w:rPr>
          <w:noProof w:val="0"/>
        </w:rPr>
        <w:pict w14:anchorId="67981125">
          <v:line id="_x0000_s2290" style="position:absolute;z-index:8392;mso-wrap-distance-left:0;mso-wrap-distance-right:0;mso-position-horizontal-relative:page" from="57.4pt,10.05pt" to="129.4pt,10.05pt" strokecolor="#231f20" strokeweight=".5pt">
            <w10:wrap type="topAndBottom" anchorx="page"/>
          </v:line>
        </w:pict>
      </w:r>
    </w:p>
    <w:p w14:paraId="5DAF92FC" w14:textId="77777777" w:rsidR="002653E8" w:rsidRDefault="003115E3">
      <w:pPr>
        <w:spacing w:before="53"/>
        <w:ind w:left="1147"/>
        <w:rPr>
          <w:sz w:val="16"/>
        </w:rPr>
      </w:pPr>
      <w:r>
        <w:rPr>
          <w:color w:val="231F20"/>
          <w:w w:val="110"/>
          <w:sz w:val="16"/>
        </w:rPr>
        <w:t>1 Ibid., 62-64.</w:t>
      </w:r>
    </w:p>
    <w:p w14:paraId="33A6C4C2" w14:textId="77777777" w:rsidR="002653E8" w:rsidRDefault="003115E3">
      <w:pPr>
        <w:pStyle w:val="a4"/>
        <w:numPr>
          <w:ilvl w:val="0"/>
          <w:numId w:val="86"/>
        </w:numPr>
        <w:tabs>
          <w:tab w:val="left" w:pos="1287"/>
        </w:tabs>
        <w:spacing w:before="51" w:line="254" w:lineRule="auto"/>
        <w:ind w:right="1480" w:firstLine="0"/>
        <w:rPr>
          <w:sz w:val="16"/>
        </w:rPr>
      </w:pPr>
      <w:r>
        <w:rPr>
          <w:color w:val="231F20"/>
          <w:spacing w:val="1"/>
          <w:sz w:val="16"/>
        </w:rPr>
        <w:t xml:space="preserve">This </w:t>
      </w:r>
      <w:r>
        <w:rPr>
          <w:color w:val="231F20"/>
          <w:sz w:val="16"/>
        </w:rPr>
        <w:t xml:space="preserve">theory regarding Hausner’s death disappeared  from  </w:t>
      </w:r>
      <w:r w:rsidR="00C507A5">
        <w:rPr>
          <w:color w:val="231F20"/>
          <w:spacing w:val="3"/>
          <w:sz w:val="16"/>
        </w:rPr>
        <w:t>red army faction</w:t>
      </w:r>
      <w:r>
        <w:rPr>
          <w:color w:val="231F20"/>
          <w:spacing w:val="3"/>
          <w:sz w:val="16"/>
        </w:rPr>
        <w:t xml:space="preserve">  </w:t>
      </w:r>
      <w:r>
        <w:rPr>
          <w:color w:val="231F20"/>
          <w:sz w:val="16"/>
        </w:rPr>
        <w:t>statements  before the</w:t>
      </w:r>
      <w:r>
        <w:rPr>
          <w:color w:val="231F20"/>
          <w:spacing w:val="12"/>
          <w:sz w:val="16"/>
        </w:rPr>
        <w:t xml:space="preserve"> </w:t>
      </w:r>
      <w:r>
        <w:rPr>
          <w:color w:val="231F20"/>
          <w:sz w:val="16"/>
        </w:rPr>
        <w:t>end</w:t>
      </w:r>
      <w:r>
        <w:rPr>
          <w:color w:val="231F20"/>
          <w:spacing w:val="12"/>
          <w:sz w:val="16"/>
        </w:rPr>
        <w:t xml:space="preserve"> </w:t>
      </w:r>
      <w:r>
        <w:rPr>
          <w:color w:val="231F20"/>
          <w:sz w:val="16"/>
        </w:rPr>
        <w:t>of</w:t>
      </w:r>
      <w:r>
        <w:rPr>
          <w:color w:val="231F20"/>
          <w:spacing w:val="12"/>
          <w:sz w:val="16"/>
        </w:rPr>
        <w:t xml:space="preserve"> </w:t>
      </w:r>
      <w:r>
        <w:rPr>
          <w:color w:val="231F20"/>
          <w:sz w:val="16"/>
        </w:rPr>
        <w:t>the</w:t>
      </w:r>
      <w:r>
        <w:rPr>
          <w:color w:val="231F20"/>
          <w:spacing w:val="12"/>
          <w:sz w:val="16"/>
        </w:rPr>
        <w:t xml:space="preserve"> </w:t>
      </w:r>
      <w:r>
        <w:rPr>
          <w:color w:val="231F20"/>
          <w:sz w:val="16"/>
        </w:rPr>
        <w:t>decade.</w:t>
      </w:r>
      <w:r>
        <w:rPr>
          <w:color w:val="231F20"/>
          <w:spacing w:val="12"/>
          <w:sz w:val="16"/>
        </w:rPr>
        <w:t xml:space="preserve"> </w:t>
      </w:r>
      <w:r>
        <w:rPr>
          <w:color w:val="231F20"/>
          <w:sz w:val="16"/>
        </w:rPr>
        <w:t>For</w:t>
      </w:r>
      <w:r>
        <w:rPr>
          <w:color w:val="231F20"/>
          <w:spacing w:val="12"/>
          <w:sz w:val="16"/>
        </w:rPr>
        <w:t xml:space="preserve"> </w:t>
      </w:r>
      <w:r>
        <w:rPr>
          <w:color w:val="231F20"/>
          <w:sz w:val="16"/>
        </w:rPr>
        <w:t>a</w:t>
      </w:r>
      <w:r>
        <w:rPr>
          <w:color w:val="231F20"/>
          <w:spacing w:val="12"/>
          <w:sz w:val="16"/>
        </w:rPr>
        <w:t xml:space="preserve"> </w:t>
      </w:r>
      <w:r>
        <w:rPr>
          <w:color w:val="231F20"/>
          <w:sz w:val="16"/>
        </w:rPr>
        <w:t>synopsis,</w:t>
      </w:r>
      <w:r>
        <w:rPr>
          <w:color w:val="231F20"/>
          <w:spacing w:val="12"/>
          <w:sz w:val="16"/>
        </w:rPr>
        <w:t xml:space="preserve"> </w:t>
      </w:r>
      <w:r>
        <w:rPr>
          <w:color w:val="231F20"/>
          <w:sz w:val="16"/>
        </w:rPr>
        <w:t>see</w:t>
      </w:r>
      <w:r>
        <w:rPr>
          <w:color w:val="231F20"/>
          <w:spacing w:val="12"/>
          <w:sz w:val="16"/>
        </w:rPr>
        <w:t xml:space="preserve"> </w:t>
      </w:r>
      <w:r>
        <w:rPr>
          <w:color w:val="231F20"/>
          <w:sz w:val="16"/>
        </w:rPr>
        <w:t>sidebar,</w:t>
      </w:r>
      <w:r>
        <w:rPr>
          <w:color w:val="231F20"/>
          <w:spacing w:val="12"/>
          <w:sz w:val="16"/>
        </w:rPr>
        <w:t xml:space="preserve"> </w:t>
      </w:r>
      <w:r>
        <w:rPr>
          <w:color w:val="231F20"/>
          <w:sz w:val="16"/>
        </w:rPr>
        <w:t>page</w:t>
      </w:r>
      <w:r>
        <w:rPr>
          <w:color w:val="231F20"/>
          <w:spacing w:val="13"/>
          <w:sz w:val="16"/>
        </w:rPr>
        <w:t xml:space="preserve"> </w:t>
      </w:r>
      <w:r>
        <w:rPr>
          <w:color w:val="231F20"/>
          <w:spacing w:val="-3"/>
          <w:sz w:val="16"/>
        </w:rPr>
        <w:t>334.</w:t>
      </w:r>
    </w:p>
    <w:p w14:paraId="1FD71FF1" w14:textId="77777777" w:rsidR="002653E8" w:rsidRDefault="003115E3">
      <w:pPr>
        <w:pStyle w:val="a4"/>
        <w:numPr>
          <w:ilvl w:val="0"/>
          <w:numId w:val="86"/>
        </w:numPr>
        <w:tabs>
          <w:tab w:val="left" w:pos="1287"/>
        </w:tabs>
        <w:ind w:left="1286"/>
        <w:rPr>
          <w:sz w:val="16"/>
        </w:rPr>
      </w:pPr>
      <w:r>
        <w:rPr>
          <w:color w:val="231F20"/>
          <w:spacing w:val="1"/>
          <w:w w:val="110"/>
          <w:sz w:val="16"/>
        </w:rPr>
        <w:t>Ditfurth,</w:t>
      </w:r>
      <w:r>
        <w:rPr>
          <w:color w:val="231F20"/>
          <w:spacing w:val="5"/>
          <w:w w:val="110"/>
          <w:sz w:val="16"/>
        </w:rPr>
        <w:t xml:space="preserve"> </w:t>
      </w:r>
      <w:r>
        <w:rPr>
          <w:color w:val="231F20"/>
          <w:w w:val="110"/>
          <w:sz w:val="16"/>
        </w:rPr>
        <w:t>440.</w:t>
      </w:r>
    </w:p>
    <w:p w14:paraId="1AF135BF" w14:textId="77777777" w:rsidR="002653E8" w:rsidRDefault="003115E3">
      <w:pPr>
        <w:pStyle w:val="a4"/>
        <w:numPr>
          <w:ilvl w:val="0"/>
          <w:numId w:val="86"/>
        </w:numPr>
        <w:tabs>
          <w:tab w:val="left" w:pos="1287"/>
        </w:tabs>
        <w:spacing w:before="52" w:line="307" w:lineRule="auto"/>
        <w:ind w:right="1882" w:firstLine="0"/>
        <w:rPr>
          <w:sz w:val="16"/>
        </w:rPr>
      </w:pPr>
      <w:r>
        <w:rPr>
          <w:color w:val="231F20"/>
          <w:w w:val="105"/>
          <w:sz w:val="16"/>
        </w:rPr>
        <w:t>Commission internationale d’enquête sur la mort d’Ulrike Meinhof, 64-65.   5 Ibid.,</w:t>
      </w:r>
      <w:r>
        <w:rPr>
          <w:color w:val="231F20"/>
          <w:spacing w:val="16"/>
          <w:w w:val="105"/>
          <w:sz w:val="16"/>
        </w:rPr>
        <w:t xml:space="preserve"> </w:t>
      </w:r>
      <w:r>
        <w:rPr>
          <w:color w:val="231F20"/>
          <w:w w:val="105"/>
          <w:sz w:val="16"/>
        </w:rPr>
        <w:t>50.</w:t>
      </w:r>
    </w:p>
    <w:p w14:paraId="32A7A805" w14:textId="77777777" w:rsidR="002653E8" w:rsidRDefault="003115E3">
      <w:pPr>
        <w:spacing w:line="186" w:lineRule="exact"/>
        <w:ind w:left="1147"/>
        <w:rPr>
          <w:sz w:val="16"/>
        </w:rPr>
      </w:pPr>
      <w:r>
        <w:rPr>
          <w:color w:val="231F20"/>
          <w:w w:val="115"/>
          <w:sz w:val="16"/>
        </w:rPr>
        <w:t>6 Ibid., 81.</w:t>
      </w:r>
    </w:p>
    <w:p w14:paraId="64E5942B" w14:textId="77777777" w:rsidR="002653E8" w:rsidRDefault="003115E3">
      <w:pPr>
        <w:spacing w:before="51" w:line="254" w:lineRule="auto"/>
        <w:ind w:left="1147" w:right="1498" w:hanging="1"/>
        <w:rPr>
          <w:sz w:val="16"/>
        </w:rPr>
      </w:pPr>
      <w:r>
        <w:rPr>
          <w:color w:val="231F20"/>
          <w:w w:val="105"/>
          <w:sz w:val="16"/>
        </w:rPr>
        <w:t xml:space="preserve">7 Ibid., </w:t>
      </w:r>
      <w:r>
        <w:rPr>
          <w:color w:val="231F20"/>
          <w:spacing w:val="-3"/>
          <w:w w:val="105"/>
          <w:sz w:val="16"/>
        </w:rPr>
        <w:t xml:space="preserve">81. </w:t>
      </w:r>
      <w:r>
        <w:rPr>
          <w:color w:val="231F20"/>
          <w:w w:val="105"/>
          <w:sz w:val="16"/>
        </w:rPr>
        <w:t xml:space="preserve">For instance, immediately after Meinhof’s death, one </w:t>
      </w:r>
      <w:r>
        <w:rPr>
          <w:color w:val="231F20"/>
          <w:spacing w:val="1"/>
          <w:w w:val="105"/>
          <w:sz w:val="16"/>
        </w:rPr>
        <w:t xml:space="preserve">UPI </w:t>
      </w:r>
      <w:r>
        <w:rPr>
          <w:color w:val="231F20"/>
          <w:w w:val="105"/>
          <w:sz w:val="16"/>
        </w:rPr>
        <w:t>article was claiming that “Acquaintances said  Mrs. Meinhof may have killed herself because  she despaired of achieving her goal of overthrowing what she called the ‘repressive capitalist</w:t>
      </w:r>
      <w:r>
        <w:rPr>
          <w:color w:val="231F20"/>
          <w:spacing w:val="17"/>
          <w:w w:val="105"/>
          <w:sz w:val="16"/>
        </w:rPr>
        <w:t xml:space="preserve"> </w:t>
      </w:r>
      <w:r>
        <w:rPr>
          <w:color w:val="231F20"/>
          <w:w w:val="105"/>
          <w:sz w:val="16"/>
        </w:rPr>
        <w:t>bourgeois</w:t>
      </w:r>
      <w:r>
        <w:rPr>
          <w:color w:val="231F20"/>
          <w:spacing w:val="17"/>
          <w:w w:val="105"/>
          <w:sz w:val="16"/>
        </w:rPr>
        <w:t xml:space="preserve"> </w:t>
      </w:r>
      <w:r>
        <w:rPr>
          <w:color w:val="231F20"/>
          <w:w w:val="105"/>
          <w:sz w:val="16"/>
        </w:rPr>
        <w:t>system.’”</w:t>
      </w:r>
      <w:r>
        <w:rPr>
          <w:color w:val="231F20"/>
          <w:spacing w:val="17"/>
          <w:w w:val="105"/>
          <w:sz w:val="16"/>
        </w:rPr>
        <w:t xml:space="preserve"> </w:t>
      </w:r>
      <w:r>
        <w:rPr>
          <w:color w:val="231F20"/>
          <w:w w:val="105"/>
          <w:sz w:val="16"/>
        </w:rPr>
        <w:t>(United</w:t>
      </w:r>
      <w:r>
        <w:rPr>
          <w:color w:val="231F20"/>
          <w:spacing w:val="17"/>
          <w:w w:val="105"/>
          <w:sz w:val="16"/>
        </w:rPr>
        <w:t xml:space="preserve"> </w:t>
      </w:r>
      <w:r>
        <w:rPr>
          <w:color w:val="231F20"/>
          <w:w w:val="105"/>
          <w:sz w:val="16"/>
        </w:rPr>
        <w:t>Press</w:t>
      </w:r>
      <w:r>
        <w:rPr>
          <w:color w:val="231F20"/>
          <w:spacing w:val="17"/>
          <w:w w:val="105"/>
          <w:sz w:val="16"/>
        </w:rPr>
        <w:t xml:space="preserve"> </w:t>
      </w:r>
      <w:r>
        <w:rPr>
          <w:color w:val="231F20"/>
          <w:w w:val="105"/>
          <w:sz w:val="16"/>
        </w:rPr>
        <w:t>International,</w:t>
      </w:r>
      <w:r>
        <w:rPr>
          <w:color w:val="231F20"/>
          <w:spacing w:val="17"/>
          <w:w w:val="105"/>
          <w:sz w:val="16"/>
        </w:rPr>
        <w:t xml:space="preserve"> </w:t>
      </w:r>
      <w:r>
        <w:rPr>
          <w:color w:val="231F20"/>
          <w:w w:val="105"/>
          <w:sz w:val="16"/>
        </w:rPr>
        <w:t>“German</w:t>
      </w:r>
      <w:r>
        <w:rPr>
          <w:color w:val="231F20"/>
          <w:spacing w:val="17"/>
          <w:w w:val="105"/>
          <w:sz w:val="16"/>
        </w:rPr>
        <w:t xml:space="preserve"> </w:t>
      </w:r>
      <w:r>
        <w:rPr>
          <w:color w:val="231F20"/>
          <w:w w:val="105"/>
          <w:sz w:val="16"/>
        </w:rPr>
        <w:t>Rebel</w:t>
      </w:r>
      <w:r>
        <w:rPr>
          <w:color w:val="231F20"/>
          <w:spacing w:val="17"/>
          <w:w w:val="105"/>
          <w:sz w:val="16"/>
        </w:rPr>
        <w:t xml:space="preserve"> </w:t>
      </w:r>
      <w:r>
        <w:rPr>
          <w:color w:val="231F20"/>
          <w:w w:val="105"/>
          <w:sz w:val="16"/>
        </w:rPr>
        <w:t>Hangs</w:t>
      </w:r>
    </w:p>
    <w:p w14:paraId="567212FB" w14:textId="77777777" w:rsidR="002653E8" w:rsidRDefault="002653E8">
      <w:pPr>
        <w:spacing w:line="254" w:lineRule="auto"/>
        <w:rPr>
          <w:sz w:val="16"/>
        </w:rPr>
        <w:sectPr w:rsidR="002653E8">
          <w:pgSz w:w="8640" w:h="12960"/>
          <w:pgMar w:top="1060" w:right="0" w:bottom="1040" w:left="0" w:header="0" w:footer="850" w:gutter="0"/>
          <w:cols w:space="720"/>
        </w:sectPr>
      </w:pPr>
    </w:p>
    <w:p w14:paraId="714F0D75" w14:textId="77777777" w:rsidR="002653E8" w:rsidRDefault="003115E3">
      <w:pPr>
        <w:pStyle w:val="a3"/>
        <w:spacing w:before="86" w:line="264" w:lineRule="auto"/>
        <w:ind w:left="1327" w:right="4466"/>
        <w:jc w:val="both"/>
        <w:rPr>
          <w:sz w:val="11"/>
        </w:rPr>
      </w:pPr>
      <w:r>
        <w:lastRenderedPageBreak/>
        <w:drawing>
          <wp:anchor distT="0" distB="0" distL="0" distR="0" simplePos="0" relativeHeight="8440" behindDoc="0" locked="0" layoutInCell="1" allowOverlap="1" wp14:anchorId="4FD6B1D3" wp14:editId="7A70CF61">
            <wp:simplePos x="0" y="0"/>
            <wp:positionH relativeFrom="page">
              <wp:posOffset>2790317</wp:posOffset>
            </wp:positionH>
            <wp:positionV relativeFrom="paragraph">
              <wp:posOffset>93615</wp:posOffset>
            </wp:positionV>
            <wp:extent cx="1967123" cy="2690888"/>
            <wp:effectExtent l="0" t="0" r="0" b="0"/>
            <wp:wrapNone/>
            <wp:docPr id="5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png"/>
                    <pic:cNvPicPr/>
                  </pic:nvPicPr>
                  <pic:blipFill>
                    <a:blip r:embed="rId327" cstate="print"/>
                    <a:stretch>
                      <a:fillRect/>
                    </a:stretch>
                  </pic:blipFill>
                  <pic:spPr>
                    <a:xfrm>
                      <a:off x="0" y="0"/>
                      <a:ext cx="1967123" cy="2690888"/>
                    </a:xfrm>
                    <a:prstGeom prst="rect">
                      <a:avLst/>
                    </a:prstGeom>
                  </pic:spPr>
                </pic:pic>
              </a:graphicData>
            </a:graphic>
          </wp:anchor>
        </w:drawing>
      </w:r>
      <w:r>
        <w:rPr>
          <w:color w:val="231F20"/>
        </w:rPr>
        <w:t xml:space="preserve">The Commission further noted that the murder of Ulrike Meinhof would be far from inconsistent with past treatment of </w:t>
      </w:r>
      <w:r w:rsidR="00C507A5">
        <w:rPr>
          <w:color w:val="231F20"/>
          <w:spacing w:val="5"/>
        </w:rPr>
        <w:t>red army faction</w:t>
      </w:r>
      <w:r>
        <w:rPr>
          <w:color w:val="231F20"/>
          <w:spacing w:val="5"/>
        </w:rPr>
        <w:t xml:space="preserve"> </w:t>
      </w:r>
      <w:r>
        <w:rPr>
          <w:color w:val="231F20"/>
        </w:rPr>
        <w:t xml:space="preserve">prisoners. Andreas Baader, Ronald Augustin, and </w:t>
      </w:r>
      <w:r>
        <w:rPr>
          <w:color w:val="231F20"/>
          <w:spacing w:val="1"/>
        </w:rPr>
        <w:t xml:space="preserve">Ali </w:t>
      </w:r>
      <w:r>
        <w:rPr>
          <w:color w:val="231F20"/>
        </w:rPr>
        <w:t>Jansen had been deprived of water for extensive periods during hunger strikes.</w:t>
      </w:r>
      <w:r>
        <w:rPr>
          <w:color w:val="231F20"/>
          <w:position w:val="7"/>
          <w:sz w:val="11"/>
        </w:rPr>
        <w:t xml:space="preserve">8 </w:t>
      </w:r>
      <w:r>
        <w:rPr>
          <w:color w:val="231F20"/>
        </w:rPr>
        <w:t>They also  noted  that Holger Meins, Katharina Hammerschmidt, and Siegfried Hausner had all died as a result of medical</w:t>
      </w:r>
      <w:r>
        <w:rPr>
          <w:color w:val="231F20"/>
          <w:spacing w:val="23"/>
        </w:rPr>
        <w:t xml:space="preserve"> </w:t>
      </w:r>
      <w:r>
        <w:rPr>
          <w:color w:val="231F20"/>
        </w:rPr>
        <w:t>mistreatment.</w:t>
      </w:r>
      <w:r>
        <w:rPr>
          <w:color w:val="231F20"/>
          <w:position w:val="7"/>
          <w:sz w:val="11"/>
        </w:rPr>
        <w:t>9</w:t>
      </w:r>
    </w:p>
    <w:p w14:paraId="00C43F63" w14:textId="77777777" w:rsidR="002653E8" w:rsidRDefault="003115E3">
      <w:pPr>
        <w:pStyle w:val="a3"/>
        <w:spacing w:line="220" w:lineRule="exact"/>
        <w:ind w:left="1537"/>
      </w:pPr>
      <w:r>
        <w:rPr>
          <w:color w:val="231F20"/>
          <w:w w:val="105"/>
        </w:rPr>
        <w:t>The timing of Meinhof’s death</w:t>
      </w:r>
    </w:p>
    <w:p w14:paraId="03C07270" w14:textId="77777777" w:rsidR="002653E8" w:rsidRDefault="003115E3">
      <w:pPr>
        <w:pStyle w:val="a3"/>
        <w:spacing w:before="23" w:line="264" w:lineRule="auto"/>
        <w:ind w:left="1327" w:right="4466"/>
        <w:jc w:val="both"/>
      </w:pPr>
      <w:r>
        <w:rPr>
          <w:color w:val="231F20"/>
        </w:rPr>
        <w:t>was also taken by some as evidence of a counterinsurgency operation.  On  May   4,  the  prison-</w:t>
      </w:r>
    </w:p>
    <w:p w14:paraId="08F2F262" w14:textId="77777777" w:rsidR="002653E8" w:rsidRDefault="003115E3">
      <w:pPr>
        <w:pStyle w:val="a3"/>
        <w:spacing w:line="264" w:lineRule="auto"/>
        <w:ind w:left="1327" w:right="1145"/>
        <w:jc w:val="both"/>
      </w:pPr>
      <w:r>
        <w:rPr>
          <w:color w:val="231F20"/>
        </w:rPr>
        <w:t>ers had filed demands for the production of evidence. The demands were aimed at unmasking specific political and union figures, and, in particular, at revealing that both the current SPD Chancellor, Helmut Schmidt, and his predecessor, Willy Brandt, had ties to the CIA.</w:t>
      </w:r>
    </w:p>
    <w:p w14:paraId="6B494158" w14:textId="77777777" w:rsidR="002653E8" w:rsidRDefault="003115E3">
      <w:pPr>
        <w:pStyle w:val="a3"/>
        <w:spacing w:line="264" w:lineRule="auto"/>
        <w:ind w:left="1327" w:right="1147" w:firstLine="210"/>
        <w:jc w:val="both"/>
        <w:rPr>
          <w:sz w:val="11"/>
        </w:rPr>
      </w:pPr>
      <w:r>
        <w:rPr>
          <w:color w:val="231F20"/>
        </w:rPr>
        <w:t>According to the Commission, “It is clear that the confrontation  would</w:t>
      </w:r>
      <w:r>
        <w:rPr>
          <w:color w:val="231F20"/>
          <w:spacing w:val="11"/>
        </w:rPr>
        <w:t xml:space="preserve"> </w:t>
      </w:r>
      <w:r>
        <w:rPr>
          <w:color w:val="231F20"/>
        </w:rPr>
        <w:t>have</w:t>
      </w:r>
      <w:r>
        <w:rPr>
          <w:color w:val="231F20"/>
          <w:spacing w:val="11"/>
        </w:rPr>
        <w:t xml:space="preserve"> </w:t>
      </w:r>
      <w:r>
        <w:rPr>
          <w:color w:val="231F20"/>
        </w:rPr>
        <w:t>reached</w:t>
      </w:r>
      <w:r>
        <w:rPr>
          <w:color w:val="231F20"/>
          <w:spacing w:val="11"/>
        </w:rPr>
        <w:t xml:space="preserve"> </w:t>
      </w:r>
      <w:r>
        <w:rPr>
          <w:color w:val="231F20"/>
        </w:rPr>
        <w:t>its</w:t>
      </w:r>
      <w:r>
        <w:rPr>
          <w:color w:val="231F20"/>
          <w:spacing w:val="11"/>
        </w:rPr>
        <w:t xml:space="preserve"> </w:t>
      </w:r>
      <w:r>
        <w:rPr>
          <w:color w:val="231F20"/>
        </w:rPr>
        <w:t>climax</w:t>
      </w:r>
      <w:r>
        <w:rPr>
          <w:color w:val="231F20"/>
          <w:spacing w:val="11"/>
        </w:rPr>
        <w:t xml:space="preserve"> </w:t>
      </w:r>
      <w:r>
        <w:rPr>
          <w:color w:val="231F20"/>
        </w:rPr>
        <w:t>at</w:t>
      </w:r>
      <w:r>
        <w:rPr>
          <w:color w:val="231F20"/>
          <w:spacing w:val="11"/>
        </w:rPr>
        <w:t xml:space="preserve"> </w:t>
      </w:r>
      <w:r>
        <w:rPr>
          <w:color w:val="231F20"/>
        </w:rPr>
        <w:t>this</w:t>
      </w:r>
      <w:r>
        <w:rPr>
          <w:color w:val="231F20"/>
          <w:spacing w:val="11"/>
        </w:rPr>
        <w:t xml:space="preserve"> </w:t>
      </w:r>
      <w:r>
        <w:rPr>
          <w:color w:val="231F20"/>
        </w:rPr>
        <w:t>point</w:t>
      </w:r>
      <w:r>
        <w:rPr>
          <w:color w:val="231F20"/>
          <w:spacing w:val="11"/>
        </w:rPr>
        <w:t xml:space="preserve"> </w:t>
      </w:r>
      <w:r>
        <w:rPr>
          <w:color w:val="231F20"/>
        </w:rPr>
        <w:t>in</w:t>
      </w:r>
      <w:r>
        <w:rPr>
          <w:color w:val="231F20"/>
          <w:spacing w:val="11"/>
        </w:rPr>
        <w:t xml:space="preserve"> </w:t>
      </w:r>
      <w:r>
        <w:rPr>
          <w:color w:val="231F20"/>
        </w:rPr>
        <w:t>the</w:t>
      </w:r>
      <w:r>
        <w:rPr>
          <w:color w:val="231F20"/>
          <w:spacing w:val="11"/>
        </w:rPr>
        <w:t xml:space="preserve"> </w:t>
      </w:r>
      <w:r>
        <w:rPr>
          <w:color w:val="231F20"/>
        </w:rPr>
        <w:t>trial.”</w:t>
      </w:r>
      <w:r>
        <w:rPr>
          <w:color w:val="231F20"/>
          <w:position w:val="7"/>
          <w:sz w:val="11"/>
        </w:rPr>
        <w:t>10</w:t>
      </w:r>
    </w:p>
    <w:p w14:paraId="745CC030" w14:textId="77777777" w:rsidR="002653E8" w:rsidRDefault="003115E3">
      <w:pPr>
        <w:pStyle w:val="a3"/>
        <w:spacing w:line="264" w:lineRule="auto"/>
        <w:ind w:left="1327" w:right="1146" w:firstLine="210"/>
        <w:jc w:val="both"/>
      </w:pPr>
      <w:r>
        <w:rPr>
          <w:color w:val="231F20"/>
        </w:rPr>
        <w:t>These demands, as it turns out, were based on Meinhof’s work. Documents pertinent to this subject, as well as those pertinent to other work she was doing, documents that she always kept with her, were never seen again after her death.</w:t>
      </w:r>
    </w:p>
    <w:p w14:paraId="2545E128" w14:textId="77777777" w:rsidR="002653E8" w:rsidRDefault="003115E3">
      <w:pPr>
        <w:pStyle w:val="a3"/>
        <w:spacing w:line="264" w:lineRule="auto"/>
        <w:ind w:left="1327" w:right="1146" w:firstLine="210"/>
        <w:jc w:val="both"/>
      </w:pPr>
      <w:r>
        <w:rPr>
          <w:color w:val="231F20"/>
        </w:rPr>
        <w:t>As far as the Commission was concerned, the question was not whether Meinhof’s strategy might have damaged well-known politicians. Rather, the Commissioners noted that Meinhof’s plan risked</w:t>
      </w:r>
    </w:p>
    <w:p w14:paraId="04DB8EC8" w14:textId="77777777" w:rsidR="002653E8" w:rsidRDefault="00000000">
      <w:pPr>
        <w:pStyle w:val="a3"/>
        <w:spacing w:before="1"/>
        <w:rPr>
          <w:sz w:val="29"/>
        </w:rPr>
      </w:pPr>
      <w:r>
        <w:rPr>
          <w:noProof w:val="0"/>
        </w:rPr>
        <w:pict w14:anchorId="54D0B360">
          <v:line id="_x0000_s2289" style="position:absolute;z-index:8416;mso-wrap-distance-left:0;mso-wrap-distance-right:0;mso-position-horizontal-relative:page" from="66.4pt,19.55pt" to="354.4pt,19.55pt" strokecolor="#231f20" strokeweight="1pt">
            <w10:wrap type="topAndBottom" anchorx="page"/>
          </v:line>
        </w:pict>
      </w:r>
    </w:p>
    <w:p w14:paraId="76013A90" w14:textId="77777777" w:rsidR="002653E8" w:rsidRDefault="003115E3">
      <w:pPr>
        <w:spacing w:before="8" w:line="254" w:lineRule="auto"/>
        <w:ind w:left="1327" w:right="1411"/>
        <w:rPr>
          <w:sz w:val="16"/>
        </w:rPr>
      </w:pPr>
      <w:r>
        <w:rPr>
          <w:color w:val="231F20"/>
          <w:w w:val="105"/>
          <w:sz w:val="16"/>
        </w:rPr>
        <w:t xml:space="preserve">Herself”). </w:t>
      </w:r>
      <w:r>
        <w:rPr>
          <w:i/>
          <w:color w:val="231F20"/>
          <w:w w:val="105"/>
          <w:sz w:val="16"/>
        </w:rPr>
        <w:t xml:space="preserve">Bild </w:t>
      </w:r>
      <w:r>
        <w:rPr>
          <w:color w:val="231F20"/>
          <w:w w:val="105"/>
          <w:sz w:val="16"/>
        </w:rPr>
        <w:t>was, of course, more crude, implying Meinhof was jealous  of Ensslin’s relationship with Baader: after stating that the guerilla leader had “made herself look beautiful one more time,” it claimed that she killed herself because    she “could see how it was not only their shared convictions that united Andreas Baader</w:t>
      </w:r>
      <w:r>
        <w:rPr>
          <w:color w:val="231F20"/>
          <w:spacing w:val="6"/>
          <w:w w:val="105"/>
          <w:sz w:val="16"/>
        </w:rPr>
        <w:t xml:space="preserve"> </w:t>
      </w:r>
      <w:r>
        <w:rPr>
          <w:color w:val="231F20"/>
          <w:w w:val="105"/>
          <w:sz w:val="16"/>
        </w:rPr>
        <w:t>and</w:t>
      </w:r>
      <w:r>
        <w:rPr>
          <w:color w:val="231F20"/>
          <w:spacing w:val="7"/>
          <w:w w:val="105"/>
          <w:sz w:val="16"/>
        </w:rPr>
        <w:t xml:space="preserve"> </w:t>
      </w:r>
      <w:r>
        <w:rPr>
          <w:color w:val="231F20"/>
          <w:spacing w:val="1"/>
          <w:w w:val="105"/>
          <w:sz w:val="16"/>
        </w:rPr>
        <w:t>Gudrun</w:t>
      </w:r>
      <w:r>
        <w:rPr>
          <w:color w:val="231F20"/>
          <w:spacing w:val="6"/>
          <w:w w:val="105"/>
          <w:sz w:val="16"/>
        </w:rPr>
        <w:t xml:space="preserve"> </w:t>
      </w:r>
      <w:r>
        <w:rPr>
          <w:color w:val="231F20"/>
          <w:w w:val="105"/>
          <w:sz w:val="16"/>
        </w:rPr>
        <w:t>Ensslin</w:t>
      </w:r>
      <w:r>
        <w:rPr>
          <w:color w:val="231F20"/>
          <w:spacing w:val="6"/>
          <w:w w:val="105"/>
          <w:sz w:val="16"/>
        </w:rPr>
        <w:t xml:space="preserve"> </w:t>
      </w:r>
      <w:r>
        <w:rPr>
          <w:color w:val="231F20"/>
          <w:w w:val="105"/>
          <w:sz w:val="16"/>
        </w:rPr>
        <w:t>but</w:t>
      </w:r>
      <w:r>
        <w:rPr>
          <w:color w:val="231F20"/>
          <w:spacing w:val="6"/>
          <w:w w:val="105"/>
          <w:sz w:val="16"/>
        </w:rPr>
        <w:t xml:space="preserve"> </w:t>
      </w:r>
      <w:r>
        <w:rPr>
          <w:color w:val="231F20"/>
          <w:w w:val="105"/>
          <w:sz w:val="16"/>
        </w:rPr>
        <w:t>also</w:t>
      </w:r>
      <w:r>
        <w:rPr>
          <w:color w:val="231F20"/>
          <w:spacing w:val="6"/>
          <w:w w:val="105"/>
          <w:sz w:val="16"/>
        </w:rPr>
        <w:t xml:space="preserve"> </w:t>
      </w:r>
      <w:r>
        <w:rPr>
          <w:color w:val="231F20"/>
          <w:w w:val="105"/>
          <w:sz w:val="16"/>
        </w:rPr>
        <w:t>recollections</w:t>
      </w:r>
      <w:r>
        <w:rPr>
          <w:color w:val="231F20"/>
          <w:spacing w:val="7"/>
          <w:w w:val="105"/>
          <w:sz w:val="16"/>
        </w:rPr>
        <w:t xml:space="preserve"> </w:t>
      </w:r>
      <w:r>
        <w:rPr>
          <w:color w:val="231F20"/>
          <w:w w:val="105"/>
          <w:sz w:val="16"/>
        </w:rPr>
        <w:t>of</w:t>
      </w:r>
      <w:r>
        <w:rPr>
          <w:color w:val="231F20"/>
          <w:spacing w:val="6"/>
          <w:w w:val="105"/>
          <w:sz w:val="16"/>
        </w:rPr>
        <w:t xml:space="preserve"> </w:t>
      </w:r>
      <w:r>
        <w:rPr>
          <w:color w:val="231F20"/>
          <w:w w:val="105"/>
          <w:sz w:val="16"/>
        </w:rPr>
        <w:t>their</w:t>
      </w:r>
      <w:r>
        <w:rPr>
          <w:color w:val="231F20"/>
          <w:spacing w:val="6"/>
          <w:w w:val="105"/>
          <w:sz w:val="16"/>
        </w:rPr>
        <w:t xml:space="preserve"> </w:t>
      </w:r>
      <w:r>
        <w:rPr>
          <w:color w:val="231F20"/>
          <w:w w:val="105"/>
          <w:sz w:val="16"/>
        </w:rPr>
        <w:t>shared</w:t>
      </w:r>
      <w:r>
        <w:rPr>
          <w:color w:val="231F20"/>
          <w:spacing w:val="6"/>
          <w:w w:val="105"/>
          <w:sz w:val="16"/>
        </w:rPr>
        <w:t xml:space="preserve"> </w:t>
      </w:r>
      <w:r>
        <w:rPr>
          <w:color w:val="231F20"/>
          <w:w w:val="105"/>
          <w:sz w:val="16"/>
        </w:rPr>
        <w:t>pleasures</w:t>
      </w:r>
      <w:r>
        <w:rPr>
          <w:color w:val="231F20"/>
          <w:spacing w:val="6"/>
          <w:w w:val="105"/>
          <w:sz w:val="16"/>
        </w:rPr>
        <w:t xml:space="preserve"> </w:t>
      </w:r>
      <w:r>
        <w:rPr>
          <w:color w:val="231F20"/>
          <w:w w:val="105"/>
          <w:sz w:val="16"/>
        </w:rPr>
        <w:t>in</w:t>
      </w:r>
      <w:r>
        <w:rPr>
          <w:color w:val="231F20"/>
          <w:spacing w:val="6"/>
          <w:w w:val="105"/>
          <w:sz w:val="16"/>
        </w:rPr>
        <w:t xml:space="preserve"> </w:t>
      </w:r>
      <w:r>
        <w:rPr>
          <w:color w:val="231F20"/>
          <w:w w:val="105"/>
          <w:sz w:val="16"/>
        </w:rPr>
        <w:t>the</w:t>
      </w:r>
    </w:p>
    <w:p w14:paraId="28309116" w14:textId="77777777" w:rsidR="002653E8" w:rsidRDefault="003115E3">
      <w:pPr>
        <w:spacing w:before="2" w:line="254" w:lineRule="auto"/>
        <w:ind w:left="1327" w:right="1174"/>
        <w:rPr>
          <w:sz w:val="16"/>
        </w:rPr>
      </w:pPr>
      <w:r>
        <w:rPr>
          <w:color w:val="231F20"/>
          <w:w w:val="110"/>
          <w:sz w:val="16"/>
        </w:rPr>
        <w:t>bedroom.” (Quoted in Clare Bielby, “‘Bonnie und Kleid’: Female Terrorists and the Hysterical Feminine.”)</w:t>
      </w:r>
    </w:p>
    <w:p w14:paraId="6A3ACCAF" w14:textId="77777777" w:rsidR="002653E8" w:rsidRDefault="003115E3">
      <w:pPr>
        <w:pStyle w:val="a4"/>
        <w:numPr>
          <w:ilvl w:val="0"/>
          <w:numId w:val="13"/>
        </w:numPr>
        <w:tabs>
          <w:tab w:val="left" w:pos="1467"/>
        </w:tabs>
        <w:spacing w:before="40"/>
        <w:ind w:hanging="1"/>
        <w:rPr>
          <w:sz w:val="16"/>
        </w:rPr>
      </w:pPr>
      <w:r>
        <w:rPr>
          <w:color w:val="231F20"/>
          <w:w w:val="110"/>
          <w:sz w:val="16"/>
        </w:rPr>
        <w:t>Komitees gegen Folter, 28,</w:t>
      </w:r>
      <w:r>
        <w:rPr>
          <w:color w:val="231F20"/>
          <w:spacing w:val="21"/>
          <w:w w:val="110"/>
          <w:sz w:val="16"/>
        </w:rPr>
        <w:t xml:space="preserve"> </w:t>
      </w:r>
      <w:r>
        <w:rPr>
          <w:color w:val="231F20"/>
          <w:w w:val="110"/>
          <w:sz w:val="16"/>
        </w:rPr>
        <w:t>30.</w:t>
      </w:r>
    </w:p>
    <w:p w14:paraId="6CCB51A7" w14:textId="77777777" w:rsidR="002653E8" w:rsidRDefault="003115E3">
      <w:pPr>
        <w:pStyle w:val="a4"/>
        <w:numPr>
          <w:ilvl w:val="0"/>
          <w:numId w:val="13"/>
        </w:numPr>
        <w:tabs>
          <w:tab w:val="left" w:pos="1467"/>
        </w:tabs>
        <w:spacing w:before="52" w:line="307" w:lineRule="auto"/>
        <w:ind w:right="1716" w:firstLine="0"/>
        <w:rPr>
          <w:sz w:val="16"/>
        </w:rPr>
      </w:pPr>
      <w:r>
        <w:rPr>
          <w:color w:val="231F20"/>
          <w:w w:val="105"/>
          <w:sz w:val="16"/>
        </w:rPr>
        <w:t xml:space="preserve">Commission internationale d’enquête sur la mort d’Ulrike Meinhof, </w:t>
      </w:r>
      <w:r>
        <w:rPr>
          <w:color w:val="231F20"/>
          <w:spacing w:val="-4"/>
          <w:w w:val="105"/>
          <w:sz w:val="16"/>
        </w:rPr>
        <w:t xml:space="preserve">74-75. </w:t>
      </w:r>
      <w:r>
        <w:rPr>
          <w:color w:val="231F20"/>
          <w:spacing w:val="-3"/>
          <w:w w:val="105"/>
          <w:sz w:val="16"/>
        </w:rPr>
        <w:t xml:space="preserve">10 </w:t>
      </w:r>
      <w:r>
        <w:rPr>
          <w:color w:val="231F20"/>
          <w:w w:val="105"/>
          <w:sz w:val="16"/>
        </w:rPr>
        <w:t>Ibid.,</w:t>
      </w:r>
      <w:r>
        <w:rPr>
          <w:color w:val="231F20"/>
          <w:spacing w:val="-14"/>
          <w:w w:val="105"/>
          <w:sz w:val="16"/>
        </w:rPr>
        <w:t xml:space="preserve"> </w:t>
      </w:r>
      <w:r>
        <w:rPr>
          <w:color w:val="231F20"/>
          <w:w w:val="105"/>
          <w:sz w:val="16"/>
        </w:rPr>
        <w:t>80-81.</w:t>
      </w:r>
    </w:p>
    <w:p w14:paraId="4F086C14" w14:textId="77777777" w:rsidR="002653E8" w:rsidRDefault="002653E8">
      <w:pPr>
        <w:spacing w:line="307" w:lineRule="auto"/>
        <w:rPr>
          <w:sz w:val="16"/>
        </w:rPr>
        <w:sectPr w:rsidR="002653E8">
          <w:pgSz w:w="8640" w:h="12960"/>
          <w:pgMar w:top="1060" w:right="0" w:bottom="1040" w:left="0" w:header="0" w:footer="850" w:gutter="0"/>
          <w:cols w:space="720"/>
        </w:sectPr>
      </w:pPr>
    </w:p>
    <w:p w14:paraId="11271136" w14:textId="77777777" w:rsidR="002653E8" w:rsidRDefault="003115E3">
      <w:pPr>
        <w:pStyle w:val="a3"/>
        <w:spacing w:before="86" w:line="264" w:lineRule="auto"/>
        <w:ind w:left="1147" w:right="1326"/>
        <w:jc w:val="both"/>
      </w:pPr>
      <w:r>
        <w:rPr>
          <w:color w:val="231F20"/>
        </w:rPr>
        <w:lastRenderedPageBreak/>
        <w:t>dealing a serious blow to the Attorney General’s use of the Stammheim trial to depoliticize the defendants and the actions for which they were being held accountable.</w:t>
      </w:r>
    </w:p>
    <w:p w14:paraId="22CC0535" w14:textId="77777777" w:rsidR="002653E8" w:rsidRDefault="003115E3">
      <w:pPr>
        <w:pStyle w:val="a3"/>
        <w:spacing w:line="264" w:lineRule="auto"/>
        <w:ind w:left="1147" w:right="1325" w:firstLine="210"/>
        <w:jc w:val="right"/>
      </w:pPr>
      <w:r>
        <w:rPr>
          <w:color w:val="231F20"/>
        </w:rPr>
        <w:t>The</w:t>
      </w:r>
      <w:r>
        <w:rPr>
          <w:color w:val="231F20"/>
          <w:spacing w:val="28"/>
        </w:rPr>
        <w:t xml:space="preserve"> </w:t>
      </w:r>
      <w:r>
        <w:rPr>
          <w:color w:val="231F20"/>
        </w:rPr>
        <w:t>prisoners</w:t>
      </w:r>
      <w:r>
        <w:rPr>
          <w:color w:val="231F20"/>
          <w:spacing w:val="28"/>
        </w:rPr>
        <w:t xml:space="preserve"> </w:t>
      </w:r>
      <w:r>
        <w:rPr>
          <w:color w:val="231F20"/>
        </w:rPr>
        <w:t>would</w:t>
      </w:r>
      <w:r>
        <w:rPr>
          <w:color w:val="231F20"/>
          <w:spacing w:val="28"/>
        </w:rPr>
        <w:t xml:space="preserve"> </w:t>
      </w:r>
      <w:r>
        <w:rPr>
          <w:color w:val="231F20"/>
        </w:rPr>
        <w:t xml:space="preserve">subsequently </w:t>
      </w:r>
      <w:r>
        <w:rPr>
          <w:color w:val="231F20"/>
          <w:spacing w:val="28"/>
        </w:rPr>
        <w:t xml:space="preserve"> </w:t>
      </w:r>
      <w:r>
        <w:rPr>
          <w:color w:val="231F20"/>
        </w:rPr>
        <w:t xml:space="preserve">insist </w:t>
      </w:r>
      <w:r>
        <w:rPr>
          <w:color w:val="231F20"/>
          <w:spacing w:val="28"/>
        </w:rPr>
        <w:t xml:space="preserve"> </w:t>
      </w:r>
      <w:r>
        <w:rPr>
          <w:color w:val="231F20"/>
        </w:rPr>
        <w:t xml:space="preserve">that </w:t>
      </w:r>
      <w:r>
        <w:rPr>
          <w:color w:val="231F20"/>
          <w:spacing w:val="28"/>
        </w:rPr>
        <w:t xml:space="preserve"> </w:t>
      </w:r>
      <w:r>
        <w:rPr>
          <w:color w:val="231F20"/>
        </w:rPr>
        <w:t xml:space="preserve">even </w:t>
      </w:r>
      <w:r>
        <w:rPr>
          <w:color w:val="231F20"/>
          <w:spacing w:val="28"/>
        </w:rPr>
        <w:t xml:space="preserve"> </w:t>
      </w:r>
      <w:r>
        <w:rPr>
          <w:color w:val="231F20"/>
        </w:rPr>
        <w:t xml:space="preserve">the </w:t>
      </w:r>
      <w:r>
        <w:rPr>
          <w:color w:val="231F20"/>
          <w:spacing w:val="28"/>
        </w:rPr>
        <w:t xml:space="preserve"> </w:t>
      </w:r>
      <w:r>
        <w:rPr>
          <w:color w:val="231F20"/>
        </w:rPr>
        <w:t>concept</w:t>
      </w:r>
      <w:r>
        <w:rPr>
          <w:color w:val="231F20"/>
          <w:w w:val="99"/>
        </w:rPr>
        <w:t xml:space="preserve"> </w:t>
      </w:r>
      <w:r>
        <w:rPr>
          <w:color w:val="231F20"/>
        </w:rPr>
        <w:t>of</w:t>
      </w:r>
      <w:r>
        <w:rPr>
          <w:color w:val="231F20"/>
          <w:spacing w:val="20"/>
        </w:rPr>
        <w:t xml:space="preserve"> </w:t>
      </w:r>
      <w:r>
        <w:rPr>
          <w:color w:val="231F20"/>
        </w:rPr>
        <w:t>institutional</w:t>
      </w:r>
      <w:r>
        <w:rPr>
          <w:color w:val="231F20"/>
          <w:spacing w:val="20"/>
        </w:rPr>
        <w:t xml:space="preserve"> </w:t>
      </w:r>
      <w:r>
        <w:rPr>
          <w:color w:val="231F20"/>
        </w:rPr>
        <w:t>murder</w:t>
      </w:r>
      <w:r>
        <w:rPr>
          <w:color w:val="231F20"/>
          <w:spacing w:val="20"/>
        </w:rPr>
        <w:t xml:space="preserve"> </w:t>
      </w:r>
      <w:r>
        <w:rPr>
          <w:color w:val="231F20"/>
        </w:rPr>
        <w:t>regarding</w:t>
      </w:r>
      <w:r>
        <w:rPr>
          <w:color w:val="231F20"/>
          <w:spacing w:val="20"/>
        </w:rPr>
        <w:t xml:space="preserve"> </w:t>
      </w:r>
      <w:r>
        <w:rPr>
          <w:color w:val="231F20"/>
        </w:rPr>
        <w:t>Meinhof’s</w:t>
      </w:r>
      <w:r>
        <w:rPr>
          <w:color w:val="231F20"/>
          <w:spacing w:val="20"/>
        </w:rPr>
        <w:t xml:space="preserve"> </w:t>
      </w:r>
      <w:r>
        <w:rPr>
          <w:color w:val="231F20"/>
        </w:rPr>
        <w:t>death</w:t>
      </w:r>
      <w:r>
        <w:rPr>
          <w:color w:val="231F20"/>
          <w:spacing w:val="20"/>
        </w:rPr>
        <w:t xml:space="preserve"> </w:t>
      </w:r>
      <w:r>
        <w:rPr>
          <w:color w:val="231F20"/>
        </w:rPr>
        <w:t>was</w:t>
      </w:r>
      <w:r>
        <w:rPr>
          <w:color w:val="231F20"/>
          <w:spacing w:val="20"/>
        </w:rPr>
        <w:t xml:space="preserve"> </w:t>
      </w:r>
      <w:r>
        <w:rPr>
          <w:color w:val="231F20"/>
        </w:rPr>
        <w:t>not</w:t>
      </w:r>
      <w:r>
        <w:rPr>
          <w:color w:val="231F20"/>
          <w:spacing w:val="20"/>
        </w:rPr>
        <w:t xml:space="preserve"> </w:t>
      </w:r>
      <w:r>
        <w:rPr>
          <w:color w:val="231F20"/>
        </w:rPr>
        <w:t>precise</w:t>
      </w:r>
      <w:r>
        <w:rPr>
          <w:color w:val="231F20"/>
          <w:w w:val="91"/>
        </w:rPr>
        <w:t xml:space="preserve"> </w:t>
      </w:r>
      <w:r>
        <w:rPr>
          <w:color w:val="231F20"/>
        </w:rPr>
        <w:t>enough.</w:t>
      </w:r>
      <w:r>
        <w:rPr>
          <w:color w:val="231F20"/>
          <w:spacing w:val="23"/>
        </w:rPr>
        <w:t xml:space="preserve"> </w:t>
      </w:r>
      <w:r>
        <w:rPr>
          <w:color w:val="231F20"/>
        </w:rPr>
        <w:t>Rather,</w:t>
      </w:r>
      <w:r>
        <w:rPr>
          <w:color w:val="231F20"/>
          <w:spacing w:val="23"/>
        </w:rPr>
        <w:t xml:space="preserve"> </w:t>
      </w:r>
      <w:r>
        <w:rPr>
          <w:color w:val="231F20"/>
        </w:rPr>
        <w:t>it</w:t>
      </w:r>
      <w:r>
        <w:rPr>
          <w:color w:val="231F20"/>
          <w:spacing w:val="23"/>
        </w:rPr>
        <w:t xml:space="preserve"> </w:t>
      </w:r>
      <w:r>
        <w:rPr>
          <w:color w:val="231F20"/>
        </w:rPr>
        <w:t>was</w:t>
      </w:r>
      <w:r>
        <w:rPr>
          <w:color w:val="231F20"/>
          <w:spacing w:val="23"/>
        </w:rPr>
        <w:t xml:space="preserve"> </w:t>
      </w:r>
      <w:r>
        <w:rPr>
          <w:color w:val="231F20"/>
        </w:rPr>
        <w:t>the</w:t>
      </w:r>
      <w:r>
        <w:rPr>
          <w:color w:val="231F20"/>
          <w:spacing w:val="23"/>
        </w:rPr>
        <w:t xml:space="preserve"> </w:t>
      </w:r>
      <w:r>
        <w:rPr>
          <w:color w:val="231F20"/>
        </w:rPr>
        <w:t>execution</w:t>
      </w:r>
      <w:r>
        <w:rPr>
          <w:color w:val="231F20"/>
          <w:spacing w:val="23"/>
        </w:rPr>
        <w:t xml:space="preserve"> </w:t>
      </w:r>
      <w:r>
        <w:rPr>
          <w:color w:val="231F20"/>
        </w:rPr>
        <w:t>of</w:t>
      </w:r>
      <w:r>
        <w:rPr>
          <w:color w:val="231F20"/>
          <w:spacing w:val="23"/>
        </w:rPr>
        <w:t xml:space="preserve"> </w:t>
      </w:r>
      <w:r>
        <w:rPr>
          <w:color w:val="231F20"/>
        </w:rPr>
        <w:t>a</w:t>
      </w:r>
      <w:r>
        <w:rPr>
          <w:color w:val="231F20"/>
          <w:spacing w:val="23"/>
        </w:rPr>
        <w:t xml:space="preserve"> </w:t>
      </w:r>
      <w:r>
        <w:rPr>
          <w:color w:val="231F20"/>
        </w:rPr>
        <w:t>revolutionary</w:t>
      </w:r>
      <w:r>
        <w:rPr>
          <w:color w:val="231F20"/>
          <w:spacing w:val="23"/>
        </w:rPr>
        <w:t xml:space="preserve"> </w:t>
      </w:r>
      <w:r>
        <w:rPr>
          <w:color w:val="231F20"/>
        </w:rPr>
        <w:t>in</w:t>
      </w:r>
      <w:r>
        <w:rPr>
          <w:color w:val="231F20"/>
          <w:spacing w:val="23"/>
        </w:rPr>
        <w:t xml:space="preserve"> </w:t>
      </w:r>
      <w:r>
        <w:rPr>
          <w:color w:val="231F20"/>
        </w:rPr>
        <w:t>the</w:t>
      </w:r>
      <w:r>
        <w:rPr>
          <w:color w:val="231F20"/>
          <w:spacing w:val="23"/>
        </w:rPr>
        <w:t xml:space="preserve"> </w:t>
      </w:r>
      <w:r>
        <w:rPr>
          <w:color w:val="231F20"/>
        </w:rPr>
        <w:t>context</w:t>
      </w:r>
      <w:r>
        <w:rPr>
          <w:color w:val="231F20"/>
          <w:w w:val="98"/>
        </w:rPr>
        <w:t xml:space="preserve"> </w:t>
      </w:r>
      <w:r>
        <w:rPr>
          <w:color w:val="231F20"/>
        </w:rPr>
        <w:t>of a military conflict.</w:t>
      </w:r>
      <w:r>
        <w:rPr>
          <w:color w:val="231F20"/>
          <w:position w:val="7"/>
          <w:sz w:val="11"/>
        </w:rPr>
        <w:t xml:space="preserve">1 </w:t>
      </w:r>
      <w:r>
        <w:rPr>
          <w:color w:val="231F20"/>
        </w:rPr>
        <w:t>As Meinhof herself had said in court</w:t>
      </w:r>
      <w:r>
        <w:rPr>
          <w:color w:val="231F20"/>
          <w:spacing w:val="20"/>
        </w:rPr>
        <w:t xml:space="preserve"> </w:t>
      </w:r>
      <w:r>
        <w:rPr>
          <w:color w:val="231F20"/>
        </w:rPr>
        <w:t>the day</w:t>
      </w:r>
      <w:r>
        <w:rPr>
          <w:color w:val="231F20"/>
          <w:w w:val="99"/>
        </w:rPr>
        <w:t xml:space="preserve"> </w:t>
      </w:r>
      <w:r>
        <w:rPr>
          <w:color w:val="231F20"/>
        </w:rPr>
        <w:t>before she was found dead, “It is, of course, a police tactic</w:t>
      </w:r>
      <w:r>
        <w:rPr>
          <w:color w:val="231F20"/>
          <w:spacing w:val="-4"/>
        </w:rPr>
        <w:t xml:space="preserve"> </w:t>
      </w:r>
      <w:r>
        <w:rPr>
          <w:color w:val="231F20"/>
        </w:rPr>
        <w:t>in</w:t>
      </w:r>
      <w:r>
        <w:rPr>
          <w:color w:val="231F20"/>
          <w:spacing w:val="40"/>
        </w:rPr>
        <w:t xml:space="preserve"> </w:t>
      </w:r>
      <w:r>
        <w:rPr>
          <w:color w:val="231F20"/>
        </w:rPr>
        <w:t>counterinsurgency conflicts, in guerilla warfare, to take out</w:t>
      </w:r>
      <w:r>
        <w:rPr>
          <w:color w:val="231F20"/>
          <w:spacing w:val="-1"/>
        </w:rPr>
        <w:t xml:space="preserve"> </w:t>
      </w:r>
      <w:r>
        <w:rPr>
          <w:color w:val="231F20"/>
        </w:rPr>
        <w:t>the</w:t>
      </w:r>
      <w:r>
        <w:rPr>
          <w:color w:val="231F20"/>
          <w:spacing w:val="37"/>
        </w:rPr>
        <w:t xml:space="preserve"> </w:t>
      </w:r>
      <w:r>
        <w:rPr>
          <w:color w:val="231F20"/>
        </w:rPr>
        <w:t>leaders.”</w:t>
      </w:r>
      <w:r>
        <w:rPr>
          <w:color w:val="231F20"/>
          <w:position w:val="7"/>
          <w:sz w:val="11"/>
        </w:rPr>
        <w:t>2</w:t>
      </w:r>
      <w:r>
        <w:rPr>
          <w:color w:val="231F20"/>
          <w:w w:val="106"/>
          <w:position w:val="7"/>
          <w:sz w:val="11"/>
        </w:rPr>
        <w:t xml:space="preserve"> </w:t>
      </w:r>
      <w:r>
        <w:rPr>
          <w:color w:val="231F20"/>
        </w:rPr>
        <w:t>Meinhof’s sister, Inge Wienke Zitzlaff, similarly rejected</w:t>
      </w:r>
      <w:r>
        <w:rPr>
          <w:color w:val="231F20"/>
          <w:spacing w:val="-6"/>
        </w:rPr>
        <w:t xml:space="preserve"> </w:t>
      </w:r>
      <w:r>
        <w:rPr>
          <w:color w:val="231F20"/>
        </w:rPr>
        <w:t>the</w:t>
      </w:r>
      <w:r>
        <w:rPr>
          <w:color w:val="231F20"/>
          <w:spacing w:val="35"/>
        </w:rPr>
        <w:t xml:space="preserve"> </w:t>
      </w:r>
      <w:r>
        <w:rPr>
          <w:color w:val="231F20"/>
        </w:rPr>
        <w:t>state’s</w:t>
      </w:r>
      <w:r>
        <w:rPr>
          <w:color w:val="231F20"/>
          <w:w w:val="90"/>
        </w:rPr>
        <w:t xml:space="preserve"> </w:t>
      </w:r>
      <w:r>
        <w:rPr>
          <w:color w:val="231F20"/>
        </w:rPr>
        <w:t>version</w:t>
      </w:r>
      <w:r>
        <w:rPr>
          <w:color w:val="231F20"/>
          <w:spacing w:val="8"/>
        </w:rPr>
        <w:t xml:space="preserve"> </w:t>
      </w:r>
      <w:r>
        <w:rPr>
          <w:color w:val="231F20"/>
        </w:rPr>
        <w:t>of</w:t>
      </w:r>
      <w:r>
        <w:rPr>
          <w:color w:val="231F20"/>
          <w:spacing w:val="8"/>
        </w:rPr>
        <w:t xml:space="preserve"> </w:t>
      </w:r>
      <w:r>
        <w:rPr>
          <w:color w:val="231F20"/>
        </w:rPr>
        <w:t>events.</w:t>
      </w:r>
      <w:r>
        <w:rPr>
          <w:color w:val="231F20"/>
          <w:spacing w:val="8"/>
        </w:rPr>
        <w:t xml:space="preserve"> </w:t>
      </w:r>
      <w:r>
        <w:rPr>
          <w:color w:val="231F20"/>
          <w:spacing w:val="-3"/>
        </w:rPr>
        <w:t>“My</w:t>
      </w:r>
      <w:r>
        <w:rPr>
          <w:color w:val="231F20"/>
          <w:spacing w:val="8"/>
        </w:rPr>
        <w:t xml:space="preserve"> </w:t>
      </w:r>
      <w:r>
        <w:rPr>
          <w:color w:val="231F20"/>
        </w:rPr>
        <w:t>sister</w:t>
      </w:r>
      <w:r>
        <w:rPr>
          <w:color w:val="231F20"/>
          <w:spacing w:val="8"/>
        </w:rPr>
        <w:t xml:space="preserve"> </w:t>
      </w:r>
      <w:r>
        <w:rPr>
          <w:color w:val="231F20"/>
        </w:rPr>
        <w:t>once</w:t>
      </w:r>
      <w:r>
        <w:rPr>
          <w:color w:val="231F20"/>
          <w:spacing w:val="8"/>
        </w:rPr>
        <w:t xml:space="preserve"> </w:t>
      </w:r>
      <w:r>
        <w:rPr>
          <w:color w:val="231F20"/>
        </w:rPr>
        <w:t>told</w:t>
      </w:r>
      <w:r>
        <w:rPr>
          <w:color w:val="231F20"/>
          <w:spacing w:val="8"/>
        </w:rPr>
        <w:t xml:space="preserve"> </w:t>
      </w:r>
      <w:r>
        <w:rPr>
          <w:color w:val="231F20"/>
        </w:rPr>
        <w:t>me</w:t>
      </w:r>
      <w:r>
        <w:rPr>
          <w:color w:val="231F20"/>
          <w:spacing w:val="8"/>
        </w:rPr>
        <w:t xml:space="preserve"> </w:t>
      </w:r>
      <w:r>
        <w:rPr>
          <w:color w:val="231F20"/>
        </w:rPr>
        <w:t>very</w:t>
      </w:r>
      <w:r>
        <w:rPr>
          <w:color w:val="231F20"/>
          <w:spacing w:val="8"/>
        </w:rPr>
        <w:t xml:space="preserve"> </w:t>
      </w:r>
      <w:r>
        <w:rPr>
          <w:color w:val="231F20"/>
        </w:rPr>
        <w:t>clearly</w:t>
      </w:r>
      <w:r>
        <w:rPr>
          <w:color w:val="231F20"/>
          <w:spacing w:val="8"/>
        </w:rPr>
        <w:t xml:space="preserve"> </w:t>
      </w:r>
      <w:r>
        <w:rPr>
          <w:color w:val="231F20"/>
        </w:rPr>
        <w:t>she</w:t>
      </w:r>
      <w:r>
        <w:rPr>
          <w:color w:val="231F20"/>
          <w:spacing w:val="8"/>
        </w:rPr>
        <w:t xml:space="preserve"> </w:t>
      </w:r>
      <w:r>
        <w:rPr>
          <w:color w:val="231F20"/>
        </w:rPr>
        <w:t>never</w:t>
      </w:r>
      <w:r>
        <w:rPr>
          <w:color w:val="231F20"/>
          <w:spacing w:val="8"/>
        </w:rPr>
        <w:t xml:space="preserve"> </w:t>
      </w:r>
      <w:r>
        <w:rPr>
          <w:color w:val="231F20"/>
        </w:rPr>
        <w:t>would commit</w:t>
      </w:r>
      <w:r>
        <w:rPr>
          <w:color w:val="231F20"/>
          <w:spacing w:val="33"/>
        </w:rPr>
        <w:t xml:space="preserve"> </w:t>
      </w:r>
      <w:r>
        <w:rPr>
          <w:color w:val="231F20"/>
        </w:rPr>
        <w:t>suicide,”</w:t>
      </w:r>
      <w:r>
        <w:rPr>
          <w:color w:val="231F20"/>
          <w:spacing w:val="33"/>
        </w:rPr>
        <w:t xml:space="preserve"> </w:t>
      </w:r>
      <w:r>
        <w:rPr>
          <w:color w:val="231F20"/>
        </w:rPr>
        <w:t>she</w:t>
      </w:r>
      <w:r>
        <w:rPr>
          <w:color w:val="231F20"/>
          <w:spacing w:val="33"/>
        </w:rPr>
        <w:t xml:space="preserve"> </w:t>
      </w:r>
      <w:r>
        <w:rPr>
          <w:color w:val="231F20"/>
        </w:rPr>
        <w:t>remembered.</w:t>
      </w:r>
      <w:r>
        <w:rPr>
          <w:color w:val="231F20"/>
          <w:spacing w:val="33"/>
        </w:rPr>
        <w:t xml:space="preserve"> </w:t>
      </w:r>
      <w:r>
        <w:rPr>
          <w:color w:val="231F20"/>
        </w:rPr>
        <w:t>“She</w:t>
      </w:r>
      <w:r>
        <w:rPr>
          <w:color w:val="231F20"/>
          <w:spacing w:val="33"/>
        </w:rPr>
        <w:t xml:space="preserve"> </w:t>
      </w:r>
      <w:r>
        <w:rPr>
          <w:color w:val="231F20"/>
        </w:rPr>
        <w:t>said</w:t>
      </w:r>
      <w:r>
        <w:rPr>
          <w:color w:val="231F20"/>
          <w:spacing w:val="33"/>
        </w:rPr>
        <w:t xml:space="preserve"> </w:t>
      </w:r>
      <w:r>
        <w:rPr>
          <w:color w:val="231F20"/>
        </w:rPr>
        <w:t>if</w:t>
      </w:r>
      <w:r>
        <w:rPr>
          <w:color w:val="231F20"/>
          <w:spacing w:val="33"/>
        </w:rPr>
        <w:t xml:space="preserve"> </w:t>
      </w:r>
      <w:r>
        <w:rPr>
          <w:color w:val="231F20"/>
        </w:rPr>
        <w:t>it</w:t>
      </w:r>
      <w:r>
        <w:rPr>
          <w:color w:val="231F20"/>
          <w:spacing w:val="33"/>
        </w:rPr>
        <w:t xml:space="preserve"> </w:t>
      </w:r>
      <w:r>
        <w:rPr>
          <w:color w:val="231F20"/>
        </w:rPr>
        <w:t>ever</w:t>
      </w:r>
      <w:r>
        <w:rPr>
          <w:color w:val="231F20"/>
          <w:spacing w:val="33"/>
        </w:rPr>
        <w:t xml:space="preserve"> </w:t>
      </w:r>
      <w:r>
        <w:rPr>
          <w:color w:val="231F20"/>
        </w:rPr>
        <w:t>were</w:t>
      </w:r>
      <w:r>
        <w:rPr>
          <w:color w:val="231F20"/>
          <w:spacing w:val="33"/>
        </w:rPr>
        <w:t xml:space="preserve"> </w:t>
      </w:r>
      <w:r>
        <w:rPr>
          <w:color w:val="231F20"/>
        </w:rPr>
        <w:t>reported</w:t>
      </w:r>
    </w:p>
    <w:p w14:paraId="07F08BC3" w14:textId="77777777" w:rsidR="002653E8" w:rsidRDefault="003115E3">
      <w:pPr>
        <w:pStyle w:val="a3"/>
        <w:spacing w:line="264" w:lineRule="auto"/>
        <w:ind w:left="1357" w:right="1325" w:hanging="210"/>
      </w:pPr>
      <w:r>
        <w:rPr>
          <w:color w:val="231F20"/>
          <w:w w:val="105"/>
        </w:rPr>
        <w:t>that she killed herself then I would know she had been murdered.”</w:t>
      </w:r>
      <w:r>
        <w:rPr>
          <w:color w:val="231F20"/>
          <w:w w:val="105"/>
          <w:position w:val="7"/>
          <w:sz w:val="11"/>
        </w:rPr>
        <w:t xml:space="preserve">3 </w:t>
      </w:r>
      <w:r>
        <w:rPr>
          <w:color w:val="231F20"/>
          <w:w w:val="105"/>
        </w:rPr>
        <w:t xml:space="preserve">Not only members of the </w:t>
      </w:r>
      <w:r w:rsidR="00C507A5">
        <w:rPr>
          <w:color w:val="231F20"/>
          <w:w w:val="105"/>
        </w:rPr>
        <w:t>red army faction</w:t>
      </w:r>
      <w:r>
        <w:rPr>
          <w:color w:val="231F20"/>
          <w:w w:val="105"/>
        </w:rPr>
        <w:t xml:space="preserve"> support scene, but also many in the</w:t>
      </w:r>
    </w:p>
    <w:p w14:paraId="322E7296" w14:textId="77777777" w:rsidR="002653E8" w:rsidRDefault="003115E3">
      <w:pPr>
        <w:pStyle w:val="a3"/>
        <w:spacing w:line="264" w:lineRule="auto"/>
        <w:ind w:left="1147" w:right="1326"/>
        <w:jc w:val="both"/>
      </w:pPr>
      <w:r>
        <w:rPr>
          <w:color w:val="231F20"/>
        </w:rPr>
        <w:t>undogmatic left and the K-groups, agreed that Meinhof’s death must have been a case of murder.</w:t>
      </w:r>
    </w:p>
    <w:p w14:paraId="3AEEA78E" w14:textId="77777777" w:rsidR="002653E8" w:rsidRDefault="00000000">
      <w:pPr>
        <w:pStyle w:val="a3"/>
        <w:spacing w:line="218" w:lineRule="exact"/>
        <w:ind w:left="4254"/>
      </w:pPr>
      <w:r>
        <w:rPr>
          <w:noProof w:val="0"/>
        </w:rPr>
        <w:pict w14:anchorId="657E3C85">
          <v:group id="_x0000_s2286" style="position:absolute;left:0;text-align:left;margin-left:56.4pt;margin-top:2.6pt;width:135.85pt;height:185.85pt;z-index:8488;mso-position-horizontal-relative:page" coordorigin="1128,52" coordsize="2717,3717">
            <v:shape id="_x0000_s2288" type="#_x0000_t75" style="position:absolute;left:1148;top:160;width:2615;height:3506">
              <v:imagedata r:id="rId328" o:title=""/>
            </v:shape>
            <v:rect id="_x0000_s2287" style="position:absolute;left:1137;top:62;width:2698;height:3698" filled="f" strokecolor="#231f20" strokeweight=".34678mm"/>
            <w10:wrap anchorx="page"/>
          </v:group>
        </w:pict>
      </w:r>
      <w:r w:rsidR="003115E3">
        <w:rPr>
          <w:color w:val="231F20"/>
        </w:rPr>
        <w:t>An open letter signed by various</w:t>
      </w:r>
    </w:p>
    <w:p w14:paraId="709EBBDD" w14:textId="77777777" w:rsidR="002653E8" w:rsidRDefault="003115E3">
      <w:pPr>
        <w:pStyle w:val="a3"/>
        <w:spacing w:before="22" w:line="264" w:lineRule="auto"/>
        <w:ind w:left="4044" w:right="1325"/>
        <w:jc w:val="both"/>
        <w:rPr>
          <w:sz w:val="11"/>
        </w:rPr>
      </w:pPr>
      <w:r>
        <w:rPr>
          <w:color w:val="231F20"/>
        </w:rPr>
        <w:t>intellectuals—including Jean-Paul Sartre and Simone de Beauvoir— compared it to the worst crimes of  the Nazi era.</w:t>
      </w:r>
      <w:r>
        <w:rPr>
          <w:color w:val="231F20"/>
          <w:position w:val="7"/>
          <w:sz w:val="11"/>
        </w:rPr>
        <w:t xml:space="preserve">4 </w:t>
      </w:r>
      <w:r>
        <w:rPr>
          <w:color w:val="231F20"/>
        </w:rPr>
        <w:t>Left-wing poet—and former anti-Nazi resistance fighter— Erich Fried described the fallen guerilla as “the most important  woman in German politics since Rosa Luxemburg.”</w:t>
      </w:r>
      <w:r>
        <w:rPr>
          <w:color w:val="231F20"/>
          <w:position w:val="7"/>
          <w:sz w:val="11"/>
        </w:rPr>
        <w:t>5</w:t>
      </w:r>
    </w:p>
    <w:p w14:paraId="1499FFDA" w14:textId="77777777" w:rsidR="002653E8" w:rsidRDefault="003115E3">
      <w:pPr>
        <w:pStyle w:val="a3"/>
        <w:spacing w:line="264" w:lineRule="auto"/>
        <w:ind w:left="4044" w:right="1326" w:firstLine="210"/>
        <w:jc w:val="both"/>
      </w:pPr>
      <w:r>
        <w:rPr>
          <w:color w:val="231F20"/>
        </w:rPr>
        <w:t xml:space="preserve">There was a wave of low-level attacks against German targets across Europe.  </w:t>
      </w:r>
      <w:r>
        <w:rPr>
          <w:color w:val="231F20"/>
          <w:spacing w:val="1"/>
        </w:rPr>
        <w:t xml:space="preserve">In  </w:t>
      </w:r>
      <w:r>
        <w:rPr>
          <w:color w:val="231F20"/>
        </w:rPr>
        <w:t xml:space="preserve">Paris,   the   offices   of  two </w:t>
      </w:r>
      <w:r>
        <w:rPr>
          <w:color w:val="231F20"/>
          <w:spacing w:val="-3"/>
        </w:rPr>
        <w:t xml:space="preserve">West </w:t>
      </w:r>
      <w:r>
        <w:rPr>
          <w:color w:val="231F20"/>
        </w:rPr>
        <w:t>German steel companies were bombed, as was the</w:t>
      </w:r>
      <w:r>
        <w:rPr>
          <w:color w:val="231F20"/>
          <w:spacing w:val="30"/>
        </w:rPr>
        <w:t xml:space="preserve"> </w:t>
      </w:r>
      <w:r>
        <w:rPr>
          <w:color w:val="231F20"/>
        </w:rPr>
        <w:t>German</w:t>
      </w:r>
    </w:p>
    <w:p w14:paraId="72F91DB1" w14:textId="77777777" w:rsidR="002653E8" w:rsidRDefault="002653E8">
      <w:pPr>
        <w:pStyle w:val="a3"/>
      </w:pPr>
    </w:p>
    <w:p w14:paraId="59F504C9" w14:textId="77777777" w:rsidR="002653E8" w:rsidRDefault="00000000">
      <w:pPr>
        <w:pStyle w:val="a3"/>
        <w:rPr>
          <w:sz w:val="15"/>
        </w:rPr>
      </w:pPr>
      <w:r>
        <w:rPr>
          <w:noProof w:val="0"/>
        </w:rPr>
        <w:pict w14:anchorId="36E4A192">
          <v:line id="_x0000_s2285" style="position:absolute;z-index:8464;mso-wrap-distance-left:0;mso-wrap-distance-right:0;mso-position-horizontal-relative:page" from="57.4pt,11pt" to="129.4pt,11pt" strokecolor="#231f20" strokeweight=".5pt">
            <w10:wrap type="topAndBottom" anchorx="page"/>
          </v:line>
        </w:pict>
      </w:r>
    </w:p>
    <w:p w14:paraId="27C58C08" w14:textId="77777777" w:rsidR="002653E8" w:rsidRDefault="003115E3">
      <w:pPr>
        <w:pStyle w:val="a4"/>
        <w:numPr>
          <w:ilvl w:val="0"/>
          <w:numId w:val="85"/>
        </w:numPr>
        <w:tabs>
          <w:tab w:val="left" w:pos="1287"/>
        </w:tabs>
        <w:spacing w:before="53"/>
        <w:ind w:hanging="1"/>
        <w:jc w:val="left"/>
        <w:rPr>
          <w:sz w:val="16"/>
        </w:rPr>
      </w:pPr>
      <w:r>
        <w:rPr>
          <w:color w:val="231F20"/>
          <w:w w:val="105"/>
          <w:sz w:val="16"/>
        </w:rPr>
        <w:t>Interview</w:t>
      </w:r>
      <w:r>
        <w:rPr>
          <w:color w:val="231F20"/>
          <w:spacing w:val="7"/>
          <w:w w:val="105"/>
          <w:sz w:val="16"/>
        </w:rPr>
        <w:t xml:space="preserve"> </w:t>
      </w:r>
      <w:r>
        <w:rPr>
          <w:color w:val="231F20"/>
          <w:w w:val="105"/>
          <w:sz w:val="16"/>
        </w:rPr>
        <w:t>with</w:t>
      </w:r>
      <w:r>
        <w:rPr>
          <w:color w:val="231F20"/>
          <w:spacing w:val="7"/>
          <w:w w:val="105"/>
          <w:sz w:val="16"/>
        </w:rPr>
        <w:t xml:space="preserve"> </w:t>
      </w:r>
      <w:r>
        <w:rPr>
          <w:color w:val="231F20"/>
          <w:spacing w:val="1"/>
          <w:w w:val="105"/>
          <w:sz w:val="16"/>
        </w:rPr>
        <w:t>Le</w:t>
      </w:r>
      <w:r>
        <w:rPr>
          <w:color w:val="231F20"/>
          <w:spacing w:val="7"/>
          <w:w w:val="105"/>
          <w:sz w:val="16"/>
        </w:rPr>
        <w:t xml:space="preserve"> </w:t>
      </w:r>
      <w:r>
        <w:rPr>
          <w:color w:val="231F20"/>
          <w:w w:val="105"/>
          <w:sz w:val="16"/>
        </w:rPr>
        <w:t>Monde</w:t>
      </w:r>
      <w:r>
        <w:rPr>
          <w:color w:val="231F20"/>
          <w:spacing w:val="7"/>
          <w:w w:val="105"/>
          <w:sz w:val="16"/>
        </w:rPr>
        <w:t xml:space="preserve"> </w:t>
      </w:r>
      <w:r>
        <w:rPr>
          <w:color w:val="231F20"/>
          <w:w w:val="105"/>
          <w:sz w:val="16"/>
        </w:rPr>
        <w:t>Diplomatique,</w:t>
      </w:r>
      <w:r>
        <w:rPr>
          <w:color w:val="231F20"/>
          <w:spacing w:val="7"/>
          <w:w w:val="105"/>
          <w:sz w:val="16"/>
        </w:rPr>
        <w:t xml:space="preserve"> </w:t>
      </w:r>
      <w:r>
        <w:rPr>
          <w:color w:val="231F20"/>
          <w:w w:val="105"/>
          <w:sz w:val="16"/>
        </w:rPr>
        <w:t>see</w:t>
      </w:r>
      <w:r>
        <w:rPr>
          <w:color w:val="231F20"/>
          <w:spacing w:val="7"/>
          <w:w w:val="105"/>
          <w:sz w:val="16"/>
        </w:rPr>
        <w:t xml:space="preserve"> </w:t>
      </w:r>
      <w:r>
        <w:rPr>
          <w:color w:val="231F20"/>
          <w:w w:val="105"/>
          <w:sz w:val="16"/>
        </w:rPr>
        <w:t>page</w:t>
      </w:r>
      <w:r>
        <w:rPr>
          <w:color w:val="231F20"/>
          <w:spacing w:val="7"/>
          <w:w w:val="105"/>
          <w:sz w:val="16"/>
        </w:rPr>
        <w:t xml:space="preserve"> </w:t>
      </w:r>
      <w:r>
        <w:rPr>
          <w:color w:val="231F20"/>
          <w:w w:val="105"/>
          <w:sz w:val="16"/>
        </w:rPr>
        <w:t>408.</w:t>
      </w:r>
    </w:p>
    <w:p w14:paraId="6099CFCB" w14:textId="77777777" w:rsidR="002653E8" w:rsidRDefault="003115E3">
      <w:pPr>
        <w:pStyle w:val="a4"/>
        <w:numPr>
          <w:ilvl w:val="0"/>
          <w:numId w:val="85"/>
        </w:numPr>
        <w:tabs>
          <w:tab w:val="left" w:pos="1287"/>
        </w:tabs>
        <w:spacing w:before="51" w:line="254" w:lineRule="auto"/>
        <w:ind w:right="1537" w:firstLine="0"/>
        <w:jc w:val="left"/>
        <w:rPr>
          <w:sz w:val="16"/>
        </w:rPr>
      </w:pPr>
      <w:r>
        <w:rPr>
          <w:i/>
          <w:color w:val="231F20"/>
          <w:w w:val="110"/>
          <w:sz w:val="16"/>
        </w:rPr>
        <w:t>Deutsche</w:t>
      </w:r>
      <w:r>
        <w:rPr>
          <w:i/>
          <w:color w:val="231F20"/>
          <w:spacing w:val="-7"/>
          <w:w w:val="110"/>
          <w:sz w:val="16"/>
        </w:rPr>
        <w:t xml:space="preserve"> </w:t>
      </w:r>
      <w:r>
        <w:rPr>
          <w:i/>
          <w:color w:val="231F20"/>
          <w:w w:val="110"/>
          <w:sz w:val="16"/>
        </w:rPr>
        <w:t>Welle</w:t>
      </w:r>
      <w:r>
        <w:rPr>
          <w:i/>
          <w:color w:val="231F20"/>
          <w:spacing w:val="-7"/>
          <w:w w:val="110"/>
          <w:sz w:val="16"/>
        </w:rPr>
        <w:t xml:space="preserve"> </w:t>
      </w:r>
      <w:r>
        <w:rPr>
          <w:color w:val="231F20"/>
          <w:w w:val="110"/>
          <w:sz w:val="16"/>
        </w:rPr>
        <w:t>[online],</w:t>
      </w:r>
      <w:r>
        <w:rPr>
          <w:color w:val="231F20"/>
          <w:spacing w:val="-7"/>
          <w:w w:val="110"/>
          <w:sz w:val="16"/>
        </w:rPr>
        <w:t xml:space="preserve"> </w:t>
      </w:r>
      <w:r>
        <w:rPr>
          <w:color w:val="231F20"/>
          <w:w w:val="110"/>
          <w:sz w:val="16"/>
        </w:rPr>
        <w:t>“Journalists</w:t>
      </w:r>
      <w:r>
        <w:rPr>
          <w:color w:val="231F20"/>
          <w:spacing w:val="-7"/>
          <w:w w:val="110"/>
          <w:sz w:val="16"/>
        </w:rPr>
        <w:t xml:space="preserve"> </w:t>
      </w:r>
      <w:r>
        <w:rPr>
          <w:color w:val="231F20"/>
          <w:w w:val="110"/>
          <w:sz w:val="16"/>
        </w:rPr>
        <w:t>Unearth</w:t>
      </w:r>
      <w:r>
        <w:rPr>
          <w:color w:val="231F20"/>
          <w:spacing w:val="-7"/>
          <w:w w:val="110"/>
          <w:sz w:val="16"/>
        </w:rPr>
        <w:t xml:space="preserve"> </w:t>
      </w:r>
      <w:r>
        <w:rPr>
          <w:color w:val="231F20"/>
          <w:w w:val="110"/>
          <w:sz w:val="16"/>
        </w:rPr>
        <w:t>Rare</w:t>
      </w:r>
      <w:r>
        <w:rPr>
          <w:color w:val="231F20"/>
          <w:spacing w:val="-7"/>
          <w:w w:val="110"/>
          <w:sz w:val="16"/>
        </w:rPr>
        <w:t xml:space="preserve"> </w:t>
      </w:r>
      <w:r>
        <w:rPr>
          <w:color w:val="231F20"/>
          <w:w w:val="110"/>
          <w:sz w:val="16"/>
        </w:rPr>
        <w:t>Terrorism</w:t>
      </w:r>
      <w:r>
        <w:rPr>
          <w:color w:val="231F20"/>
          <w:spacing w:val="-7"/>
          <w:w w:val="110"/>
          <w:sz w:val="16"/>
        </w:rPr>
        <w:t xml:space="preserve"> </w:t>
      </w:r>
      <w:r>
        <w:rPr>
          <w:color w:val="231F20"/>
          <w:w w:val="110"/>
          <w:sz w:val="16"/>
        </w:rPr>
        <w:t>Trial</w:t>
      </w:r>
      <w:r>
        <w:rPr>
          <w:color w:val="231F20"/>
          <w:spacing w:val="-7"/>
          <w:w w:val="110"/>
          <w:sz w:val="16"/>
        </w:rPr>
        <w:t xml:space="preserve"> </w:t>
      </w:r>
      <w:r>
        <w:rPr>
          <w:color w:val="231F20"/>
          <w:w w:val="110"/>
          <w:sz w:val="16"/>
        </w:rPr>
        <w:t>Tapes</w:t>
      </w:r>
      <w:r>
        <w:rPr>
          <w:color w:val="231F20"/>
          <w:spacing w:val="-7"/>
          <w:w w:val="110"/>
          <w:sz w:val="16"/>
        </w:rPr>
        <w:t xml:space="preserve"> </w:t>
      </w:r>
      <w:r>
        <w:rPr>
          <w:color w:val="231F20"/>
          <w:w w:val="110"/>
          <w:sz w:val="16"/>
        </w:rPr>
        <w:t xml:space="preserve">from 1970s,” July </w:t>
      </w:r>
      <w:r>
        <w:rPr>
          <w:color w:val="231F20"/>
          <w:spacing w:val="-3"/>
          <w:w w:val="110"/>
          <w:sz w:val="16"/>
        </w:rPr>
        <w:t>31,</w:t>
      </w:r>
      <w:r>
        <w:rPr>
          <w:color w:val="231F20"/>
          <w:spacing w:val="18"/>
          <w:w w:val="110"/>
          <w:sz w:val="16"/>
        </w:rPr>
        <w:t xml:space="preserve"> </w:t>
      </w:r>
      <w:r>
        <w:rPr>
          <w:color w:val="231F20"/>
          <w:w w:val="110"/>
          <w:sz w:val="16"/>
        </w:rPr>
        <w:t>2007.</w:t>
      </w:r>
    </w:p>
    <w:p w14:paraId="07C58421" w14:textId="77777777" w:rsidR="002653E8" w:rsidRDefault="003115E3">
      <w:pPr>
        <w:pStyle w:val="a4"/>
        <w:numPr>
          <w:ilvl w:val="0"/>
          <w:numId w:val="85"/>
        </w:numPr>
        <w:tabs>
          <w:tab w:val="left" w:pos="1287"/>
        </w:tabs>
        <w:ind w:left="1286" w:hanging="138"/>
        <w:jc w:val="left"/>
        <w:rPr>
          <w:sz w:val="16"/>
        </w:rPr>
      </w:pPr>
      <w:r>
        <w:rPr>
          <w:color w:val="231F20"/>
          <w:w w:val="110"/>
          <w:sz w:val="16"/>
        </w:rPr>
        <w:t>United Press International,“Urban Guerilla Leader Hangs Herself in</w:t>
      </w:r>
      <w:r>
        <w:rPr>
          <w:color w:val="231F20"/>
          <w:spacing w:val="1"/>
          <w:w w:val="110"/>
          <w:sz w:val="16"/>
        </w:rPr>
        <w:t xml:space="preserve"> </w:t>
      </w:r>
      <w:r>
        <w:rPr>
          <w:color w:val="231F20"/>
          <w:w w:val="110"/>
          <w:sz w:val="16"/>
        </w:rPr>
        <w:t>Cell,”</w:t>
      </w:r>
    </w:p>
    <w:p w14:paraId="3F6A9040" w14:textId="77777777" w:rsidR="002653E8" w:rsidRDefault="003115E3">
      <w:pPr>
        <w:spacing w:before="12"/>
        <w:ind w:left="1148"/>
        <w:rPr>
          <w:sz w:val="16"/>
        </w:rPr>
      </w:pPr>
      <w:r>
        <w:rPr>
          <w:i/>
          <w:color w:val="231F20"/>
          <w:w w:val="115"/>
          <w:sz w:val="16"/>
        </w:rPr>
        <w:t xml:space="preserve">Hayward Daily Review, </w:t>
      </w:r>
      <w:r>
        <w:rPr>
          <w:color w:val="231F20"/>
          <w:w w:val="115"/>
          <w:sz w:val="16"/>
        </w:rPr>
        <w:t>May 10, 1976.</w:t>
      </w:r>
    </w:p>
    <w:p w14:paraId="762CABCE" w14:textId="77777777" w:rsidR="002653E8" w:rsidRDefault="003115E3">
      <w:pPr>
        <w:pStyle w:val="a4"/>
        <w:numPr>
          <w:ilvl w:val="0"/>
          <w:numId w:val="85"/>
        </w:numPr>
        <w:tabs>
          <w:tab w:val="left" w:pos="1287"/>
        </w:tabs>
        <w:spacing w:before="51" w:line="254" w:lineRule="auto"/>
        <w:ind w:left="1147" w:right="1903" w:firstLine="1"/>
        <w:jc w:val="left"/>
        <w:rPr>
          <w:sz w:val="16"/>
        </w:rPr>
      </w:pPr>
      <w:r>
        <w:rPr>
          <w:color w:val="231F20"/>
          <w:spacing w:val="7"/>
          <w:w w:val="126"/>
          <w:sz w:val="16"/>
        </w:rPr>
        <w:t>N</w:t>
      </w:r>
      <w:r>
        <w:rPr>
          <w:color w:val="231F20"/>
          <w:spacing w:val="5"/>
          <w:w w:val="115"/>
          <w:sz w:val="16"/>
        </w:rPr>
        <w:t>E</w:t>
      </w:r>
      <w:r>
        <w:rPr>
          <w:color w:val="231F20"/>
          <w:spacing w:val="10"/>
          <w:w w:val="115"/>
          <w:sz w:val="16"/>
        </w:rPr>
        <w:t>A</w:t>
      </w:r>
      <w:r>
        <w:rPr>
          <w:color w:val="231F20"/>
          <w:spacing w:val="8"/>
          <w:w w:val="58"/>
          <w:sz w:val="16"/>
        </w:rPr>
        <w:t>/</w:t>
      </w:r>
      <w:r>
        <w:rPr>
          <w:color w:val="231F20"/>
          <w:spacing w:val="5"/>
          <w:w w:val="118"/>
          <w:sz w:val="16"/>
        </w:rPr>
        <w:t>L</w:t>
      </w:r>
      <w:r>
        <w:rPr>
          <w:color w:val="231F20"/>
          <w:w w:val="108"/>
          <w:sz w:val="16"/>
        </w:rPr>
        <w:t>o</w:t>
      </w:r>
      <w:r>
        <w:rPr>
          <w:color w:val="231F20"/>
          <w:w w:val="103"/>
          <w:sz w:val="16"/>
        </w:rPr>
        <w:t>nd</w:t>
      </w:r>
      <w:r>
        <w:rPr>
          <w:color w:val="231F20"/>
          <w:w w:val="108"/>
          <w:sz w:val="16"/>
        </w:rPr>
        <w:t>o</w:t>
      </w:r>
      <w:r>
        <w:rPr>
          <w:color w:val="231F20"/>
          <w:w w:val="103"/>
          <w:sz w:val="16"/>
        </w:rPr>
        <w:t>n</w:t>
      </w:r>
      <w:r>
        <w:rPr>
          <w:color w:val="231F20"/>
          <w:spacing w:val="10"/>
          <w:sz w:val="16"/>
        </w:rPr>
        <w:t xml:space="preserve"> </w:t>
      </w:r>
      <w:r>
        <w:rPr>
          <w:color w:val="231F20"/>
          <w:spacing w:val="6"/>
          <w:w w:val="110"/>
          <w:sz w:val="16"/>
        </w:rPr>
        <w:t>E</w:t>
      </w:r>
      <w:r>
        <w:rPr>
          <w:color w:val="231F20"/>
          <w:w w:val="104"/>
          <w:sz w:val="16"/>
        </w:rPr>
        <w:t>c</w:t>
      </w:r>
      <w:r>
        <w:rPr>
          <w:color w:val="231F20"/>
          <w:w w:val="108"/>
          <w:sz w:val="16"/>
        </w:rPr>
        <w:t>o</w:t>
      </w:r>
      <w:r>
        <w:rPr>
          <w:color w:val="231F20"/>
          <w:w w:val="103"/>
          <w:sz w:val="16"/>
        </w:rPr>
        <w:t>n</w:t>
      </w:r>
      <w:r>
        <w:rPr>
          <w:color w:val="231F20"/>
          <w:w w:val="108"/>
          <w:sz w:val="16"/>
        </w:rPr>
        <w:t>o</w:t>
      </w:r>
      <w:r>
        <w:rPr>
          <w:color w:val="231F20"/>
          <w:spacing w:val="3"/>
          <w:w w:val="103"/>
          <w:sz w:val="16"/>
        </w:rPr>
        <w:t>m</w:t>
      </w:r>
      <w:r>
        <w:rPr>
          <w:color w:val="231F20"/>
          <w:spacing w:val="1"/>
          <w:w w:val="103"/>
          <w:sz w:val="16"/>
        </w:rPr>
        <w:t>i</w:t>
      </w:r>
      <w:r>
        <w:rPr>
          <w:color w:val="231F20"/>
          <w:spacing w:val="1"/>
          <w:w w:val="93"/>
          <w:sz w:val="16"/>
        </w:rPr>
        <w:t>s</w:t>
      </w:r>
      <w:r>
        <w:rPr>
          <w:color w:val="231F20"/>
          <w:w w:val="102"/>
          <w:sz w:val="16"/>
        </w:rPr>
        <w:t>t</w:t>
      </w:r>
      <w:r>
        <w:rPr>
          <w:color w:val="231F20"/>
          <w:spacing w:val="10"/>
          <w:sz w:val="16"/>
        </w:rPr>
        <w:t xml:space="preserve"> </w:t>
      </w:r>
      <w:r>
        <w:rPr>
          <w:color w:val="231F20"/>
          <w:spacing w:val="2"/>
          <w:w w:val="126"/>
          <w:sz w:val="16"/>
        </w:rPr>
        <w:t>N</w:t>
      </w:r>
      <w:r>
        <w:rPr>
          <w:color w:val="231F20"/>
          <w:spacing w:val="1"/>
          <w:w w:val="94"/>
          <w:sz w:val="16"/>
        </w:rPr>
        <w:t>e</w:t>
      </w:r>
      <w:r>
        <w:rPr>
          <w:color w:val="231F20"/>
          <w:spacing w:val="1"/>
          <w:w w:val="104"/>
          <w:sz w:val="16"/>
        </w:rPr>
        <w:t>w</w:t>
      </w:r>
      <w:r>
        <w:rPr>
          <w:color w:val="231F20"/>
          <w:w w:val="93"/>
          <w:sz w:val="16"/>
        </w:rPr>
        <w:t>s</w:t>
      </w:r>
      <w:r>
        <w:rPr>
          <w:color w:val="231F20"/>
          <w:spacing w:val="10"/>
          <w:sz w:val="16"/>
        </w:rPr>
        <w:t xml:space="preserve"> </w:t>
      </w:r>
      <w:r>
        <w:rPr>
          <w:color w:val="231F20"/>
          <w:spacing w:val="5"/>
          <w:w w:val="104"/>
          <w:sz w:val="16"/>
        </w:rPr>
        <w:t>S</w:t>
      </w:r>
      <w:r>
        <w:rPr>
          <w:color w:val="231F20"/>
          <w:w w:val="94"/>
          <w:sz w:val="16"/>
        </w:rPr>
        <w:t>e</w:t>
      </w:r>
      <w:r>
        <w:rPr>
          <w:color w:val="231F20"/>
          <w:spacing w:val="5"/>
          <w:w w:val="97"/>
          <w:sz w:val="16"/>
        </w:rPr>
        <w:t>r</w:t>
      </w:r>
      <w:r>
        <w:rPr>
          <w:color w:val="231F20"/>
          <w:spacing w:val="2"/>
          <w:w w:val="102"/>
          <w:sz w:val="16"/>
        </w:rPr>
        <w:t>v</w:t>
      </w:r>
      <w:r>
        <w:rPr>
          <w:color w:val="231F20"/>
          <w:w w:val="103"/>
          <w:sz w:val="16"/>
        </w:rPr>
        <w:t>i</w:t>
      </w:r>
      <w:r>
        <w:rPr>
          <w:color w:val="231F20"/>
          <w:spacing w:val="2"/>
          <w:w w:val="104"/>
          <w:sz w:val="16"/>
        </w:rPr>
        <w:t>c</w:t>
      </w:r>
      <w:r>
        <w:rPr>
          <w:color w:val="231F20"/>
          <w:spacing w:val="2"/>
          <w:w w:val="94"/>
          <w:sz w:val="16"/>
        </w:rPr>
        <w:t>e</w:t>
      </w:r>
      <w:r>
        <w:rPr>
          <w:color w:val="231F20"/>
          <w:w w:val="140"/>
          <w:sz w:val="16"/>
        </w:rPr>
        <w:t>,</w:t>
      </w:r>
      <w:r>
        <w:rPr>
          <w:color w:val="231F20"/>
          <w:spacing w:val="10"/>
          <w:sz w:val="16"/>
        </w:rPr>
        <w:t xml:space="preserve"> </w:t>
      </w:r>
      <w:r>
        <w:rPr>
          <w:color w:val="231F20"/>
          <w:w w:val="153"/>
          <w:sz w:val="16"/>
        </w:rPr>
        <w:t>“</w:t>
      </w:r>
      <w:r>
        <w:rPr>
          <w:color w:val="231F20"/>
          <w:spacing w:val="-1"/>
          <w:w w:val="107"/>
          <w:sz w:val="16"/>
        </w:rPr>
        <w:t>F</w:t>
      </w:r>
      <w:r>
        <w:rPr>
          <w:color w:val="231F20"/>
          <w:spacing w:val="2"/>
          <w:w w:val="97"/>
          <w:sz w:val="16"/>
        </w:rPr>
        <w:t>r</w:t>
      </w:r>
      <w:r>
        <w:rPr>
          <w:color w:val="231F20"/>
          <w:w w:val="103"/>
          <w:sz w:val="16"/>
        </w:rPr>
        <w:t>i</w:t>
      </w:r>
      <w:r>
        <w:rPr>
          <w:color w:val="231F20"/>
          <w:w w:val="94"/>
          <w:sz w:val="16"/>
        </w:rPr>
        <w:t>e</w:t>
      </w:r>
      <w:r>
        <w:rPr>
          <w:color w:val="231F20"/>
          <w:w w:val="103"/>
          <w:sz w:val="16"/>
        </w:rPr>
        <w:t>n</w:t>
      </w:r>
      <w:r>
        <w:rPr>
          <w:color w:val="231F20"/>
          <w:spacing w:val="2"/>
          <w:w w:val="103"/>
          <w:sz w:val="16"/>
        </w:rPr>
        <w:t>d</w:t>
      </w:r>
      <w:r>
        <w:rPr>
          <w:color w:val="231F20"/>
          <w:w w:val="93"/>
          <w:sz w:val="16"/>
        </w:rPr>
        <w:t>s</w:t>
      </w:r>
      <w:r>
        <w:rPr>
          <w:color w:val="231F20"/>
          <w:spacing w:val="10"/>
          <w:sz w:val="16"/>
        </w:rPr>
        <w:t xml:space="preserve"> </w:t>
      </w:r>
      <w:r>
        <w:rPr>
          <w:color w:val="231F20"/>
          <w:w w:val="127"/>
          <w:sz w:val="16"/>
        </w:rPr>
        <w:t>M</w:t>
      </w:r>
      <w:r>
        <w:rPr>
          <w:color w:val="231F20"/>
          <w:w w:val="108"/>
          <w:sz w:val="16"/>
        </w:rPr>
        <w:t>o</w:t>
      </w:r>
      <w:r>
        <w:rPr>
          <w:color w:val="231F20"/>
          <w:spacing w:val="5"/>
          <w:w w:val="104"/>
          <w:sz w:val="16"/>
        </w:rPr>
        <w:t>u</w:t>
      </w:r>
      <w:r>
        <w:rPr>
          <w:color w:val="231F20"/>
          <w:spacing w:val="3"/>
          <w:w w:val="97"/>
          <w:sz w:val="16"/>
        </w:rPr>
        <w:t>r</w:t>
      </w:r>
      <w:r>
        <w:rPr>
          <w:color w:val="231F20"/>
          <w:w w:val="103"/>
          <w:sz w:val="16"/>
        </w:rPr>
        <w:t>n</w:t>
      </w:r>
      <w:r>
        <w:rPr>
          <w:color w:val="231F20"/>
          <w:spacing w:val="10"/>
          <w:sz w:val="16"/>
        </w:rPr>
        <w:t xml:space="preserve"> </w:t>
      </w:r>
      <w:r>
        <w:rPr>
          <w:color w:val="231F20"/>
          <w:spacing w:val="1"/>
          <w:w w:val="127"/>
          <w:sz w:val="16"/>
        </w:rPr>
        <w:t>M</w:t>
      </w:r>
      <w:r>
        <w:rPr>
          <w:color w:val="231F20"/>
          <w:w w:val="94"/>
          <w:sz w:val="16"/>
        </w:rPr>
        <w:t>e</w:t>
      </w:r>
      <w:r>
        <w:rPr>
          <w:color w:val="231F20"/>
          <w:spacing w:val="3"/>
          <w:w w:val="103"/>
          <w:sz w:val="16"/>
        </w:rPr>
        <w:t>in</w:t>
      </w:r>
      <w:r>
        <w:rPr>
          <w:color w:val="231F20"/>
          <w:w w:val="104"/>
          <w:sz w:val="16"/>
        </w:rPr>
        <w:t>h</w:t>
      </w:r>
      <w:r>
        <w:rPr>
          <w:color w:val="231F20"/>
          <w:spacing w:val="-1"/>
          <w:w w:val="108"/>
          <w:sz w:val="16"/>
        </w:rPr>
        <w:t>o</w:t>
      </w:r>
      <w:r>
        <w:rPr>
          <w:color w:val="231F20"/>
          <w:spacing w:val="5"/>
          <w:w w:val="114"/>
          <w:sz w:val="16"/>
        </w:rPr>
        <w:t>f</w:t>
      </w:r>
      <w:r>
        <w:rPr>
          <w:color w:val="231F20"/>
          <w:spacing w:val="-8"/>
          <w:w w:val="130"/>
          <w:sz w:val="16"/>
        </w:rPr>
        <w:t>’</w:t>
      </w:r>
      <w:r>
        <w:rPr>
          <w:color w:val="231F20"/>
          <w:w w:val="93"/>
          <w:sz w:val="16"/>
        </w:rPr>
        <w:t>s</w:t>
      </w:r>
      <w:r>
        <w:rPr>
          <w:color w:val="231F20"/>
          <w:spacing w:val="10"/>
          <w:sz w:val="16"/>
        </w:rPr>
        <w:t xml:space="preserve"> </w:t>
      </w:r>
      <w:r>
        <w:rPr>
          <w:color w:val="231F20"/>
          <w:spacing w:val="-7"/>
          <w:w w:val="116"/>
          <w:sz w:val="16"/>
        </w:rPr>
        <w:t>T</w:t>
      </w:r>
      <w:r>
        <w:rPr>
          <w:color w:val="231F20"/>
          <w:w w:val="97"/>
          <w:sz w:val="16"/>
        </w:rPr>
        <w:t>r</w:t>
      </w:r>
      <w:r>
        <w:rPr>
          <w:color w:val="231F20"/>
          <w:w w:val="106"/>
          <w:sz w:val="16"/>
        </w:rPr>
        <w:t>a</w:t>
      </w:r>
      <w:r>
        <w:rPr>
          <w:color w:val="231F20"/>
          <w:spacing w:val="3"/>
          <w:w w:val="104"/>
          <w:sz w:val="16"/>
        </w:rPr>
        <w:t>g</w:t>
      </w:r>
      <w:r>
        <w:rPr>
          <w:color w:val="231F20"/>
          <w:w w:val="103"/>
          <w:sz w:val="16"/>
        </w:rPr>
        <w:t>i</w:t>
      </w:r>
      <w:r>
        <w:rPr>
          <w:color w:val="231F20"/>
          <w:w w:val="104"/>
          <w:sz w:val="16"/>
        </w:rPr>
        <w:t xml:space="preserve">c </w:t>
      </w:r>
      <w:r>
        <w:rPr>
          <w:color w:val="231F20"/>
          <w:w w:val="105"/>
          <w:sz w:val="16"/>
        </w:rPr>
        <w:t xml:space="preserve">Death,” </w:t>
      </w:r>
      <w:r>
        <w:rPr>
          <w:i/>
          <w:color w:val="231F20"/>
          <w:w w:val="105"/>
          <w:sz w:val="16"/>
        </w:rPr>
        <w:t xml:space="preserve">Pharos Tribune, </w:t>
      </w:r>
      <w:r>
        <w:rPr>
          <w:color w:val="231F20"/>
          <w:w w:val="105"/>
          <w:sz w:val="16"/>
        </w:rPr>
        <w:t>May 23,</w:t>
      </w:r>
      <w:r>
        <w:rPr>
          <w:color w:val="231F20"/>
          <w:spacing w:val="15"/>
          <w:w w:val="105"/>
          <w:sz w:val="16"/>
        </w:rPr>
        <w:t xml:space="preserve"> </w:t>
      </w:r>
      <w:r>
        <w:rPr>
          <w:color w:val="231F20"/>
          <w:spacing w:val="-3"/>
          <w:w w:val="105"/>
          <w:sz w:val="16"/>
        </w:rPr>
        <w:t>1976.</w:t>
      </w:r>
    </w:p>
    <w:p w14:paraId="2AC805C2" w14:textId="77777777" w:rsidR="002653E8" w:rsidRPr="00846956" w:rsidRDefault="003115E3">
      <w:pPr>
        <w:pStyle w:val="a4"/>
        <w:numPr>
          <w:ilvl w:val="0"/>
          <w:numId w:val="85"/>
        </w:numPr>
        <w:tabs>
          <w:tab w:val="left" w:pos="1287"/>
        </w:tabs>
        <w:ind w:hanging="1"/>
        <w:jc w:val="left"/>
        <w:rPr>
          <w:sz w:val="16"/>
          <w:lang w:val="de-DE"/>
        </w:rPr>
      </w:pPr>
      <w:r w:rsidRPr="00846956">
        <w:rPr>
          <w:i/>
          <w:color w:val="231F20"/>
          <w:spacing w:val="1"/>
          <w:w w:val="105"/>
          <w:sz w:val="16"/>
          <w:lang w:val="de-DE"/>
        </w:rPr>
        <w:t>Frankfurter</w:t>
      </w:r>
      <w:r w:rsidRPr="00846956">
        <w:rPr>
          <w:i/>
          <w:color w:val="231F20"/>
          <w:spacing w:val="10"/>
          <w:w w:val="105"/>
          <w:sz w:val="16"/>
          <w:lang w:val="de-DE"/>
        </w:rPr>
        <w:t xml:space="preserve"> </w:t>
      </w:r>
      <w:r w:rsidRPr="00846956">
        <w:rPr>
          <w:i/>
          <w:color w:val="231F20"/>
          <w:spacing w:val="1"/>
          <w:w w:val="105"/>
          <w:sz w:val="16"/>
          <w:lang w:val="de-DE"/>
        </w:rPr>
        <w:t>Allgemeine</w:t>
      </w:r>
      <w:r w:rsidRPr="00846956">
        <w:rPr>
          <w:i/>
          <w:color w:val="231F20"/>
          <w:spacing w:val="10"/>
          <w:w w:val="105"/>
          <w:sz w:val="16"/>
          <w:lang w:val="de-DE"/>
        </w:rPr>
        <w:t xml:space="preserve"> </w:t>
      </w:r>
      <w:r w:rsidRPr="00846956">
        <w:rPr>
          <w:i/>
          <w:color w:val="231F20"/>
          <w:spacing w:val="1"/>
          <w:w w:val="105"/>
          <w:sz w:val="16"/>
          <w:lang w:val="de-DE"/>
        </w:rPr>
        <w:t>Zeitung,</w:t>
      </w:r>
      <w:r w:rsidRPr="00846956">
        <w:rPr>
          <w:i/>
          <w:color w:val="231F20"/>
          <w:spacing w:val="10"/>
          <w:w w:val="105"/>
          <w:sz w:val="16"/>
          <w:lang w:val="de-DE"/>
        </w:rPr>
        <w:t xml:space="preserve"> </w:t>
      </w:r>
      <w:r w:rsidRPr="00846956">
        <w:rPr>
          <w:color w:val="231F20"/>
          <w:w w:val="105"/>
          <w:sz w:val="16"/>
          <w:lang w:val="de-DE"/>
        </w:rPr>
        <w:t>May</w:t>
      </w:r>
      <w:r w:rsidRPr="00846956">
        <w:rPr>
          <w:color w:val="231F20"/>
          <w:spacing w:val="10"/>
          <w:w w:val="105"/>
          <w:sz w:val="16"/>
          <w:lang w:val="de-DE"/>
        </w:rPr>
        <w:t xml:space="preserve"> </w:t>
      </w:r>
      <w:r w:rsidRPr="00846956">
        <w:rPr>
          <w:color w:val="231F20"/>
          <w:spacing w:val="-5"/>
          <w:w w:val="105"/>
          <w:sz w:val="16"/>
          <w:lang w:val="de-DE"/>
        </w:rPr>
        <w:t>17,</w:t>
      </w:r>
      <w:r w:rsidRPr="00846956">
        <w:rPr>
          <w:color w:val="231F20"/>
          <w:spacing w:val="10"/>
          <w:w w:val="105"/>
          <w:sz w:val="16"/>
          <w:lang w:val="de-DE"/>
        </w:rPr>
        <w:t xml:space="preserve"> </w:t>
      </w:r>
      <w:r w:rsidRPr="00846956">
        <w:rPr>
          <w:color w:val="231F20"/>
          <w:w w:val="105"/>
          <w:sz w:val="16"/>
          <w:lang w:val="de-DE"/>
        </w:rPr>
        <w:t>1976,</w:t>
      </w:r>
      <w:r w:rsidRPr="00846956">
        <w:rPr>
          <w:color w:val="231F20"/>
          <w:spacing w:val="10"/>
          <w:w w:val="105"/>
          <w:sz w:val="16"/>
          <w:lang w:val="de-DE"/>
        </w:rPr>
        <w:t xml:space="preserve"> </w:t>
      </w:r>
      <w:r w:rsidRPr="00846956">
        <w:rPr>
          <w:color w:val="231F20"/>
          <w:w w:val="105"/>
          <w:sz w:val="16"/>
          <w:lang w:val="de-DE"/>
        </w:rPr>
        <w:t>quoted</w:t>
      </w:r>
      <w:r w:rsidRPr="00846956">
        <w:rPr>
          <w:color w:val="231F20"/>
          <w:spacing w:val="10"/>
          <w:w w:val="105"/>
          <w:sz w:val="16"/>
          <w:lang w:val="de-DE"/>
        </w:rPr>
        <w:t xml:space="preserve"> </w:t>
      </w:r>
      <w:r w:rsidRPr="00846956">
        <w:rPr>
          <w:color w:val="231F20"/>
          <w:w w:val="105"/>
          <w:sz w:val="16"/>
          <w:lang w:val="de-DE"/>
        </w:rPr>
        <w:t>in</w:t>
      </w:r>
      <w:r w:rsidRPr="00846956">
        <w:rPr>
          <w:color w:val="231F20"/>
          <w:spacing w:val="10"/>
          <w:w w:val="105"/>
          <w:sz w:val="16"/>
          <w:lang w:val="de-DE"/>
        </w:rPr>
        <w:t xml:space="preserve"> </w:t>
      </w:r>
      <w:r w:rsidRPr="00846956">
        <w:rPr>
          <w:color w:val="231F20"/>
          <w:w w:val="105"/>
          <w:sz w:val="16"/>
          <w:lang w:val="de-DE"/>
        </w:rPr>
        <w:t>Kramer,</w:t>
      </w:r>
      <w:r w:rsidRPr="00846956">
        <w:rPr>
          <w:color w:val="231F20"/>
          <w:spacing w:val="10"/>
          <w:w w:val="105"/>
          <w:sz w:val="16"/>
          <w:lang w:val="de-DE"/>
        </w:rPr>
        <w:t xml:space="preserve"> </w:t>
      </w:r>
      <w:r w:rsidRPr="00846956">
        <w:rPr>
          <w:color w:val="231F20"/>
          <w:spacing w:val="-5"/>
          <w:w w:val="105"/>
          <w:sz w:val="16"/>
          <w:lang w:val="de-DE"/>
        </w:rPr>
        <w:t>195.</w:t>
      </w:r>
    </w:p>
    <w:p w14:paraId="5691AA22" w14:textId="77777777" w:rsidR="002653E8" w:rsidRPr="00846956" w:rsidRDefault="002653E8">
      <w:pPr>
        <w:rPr>
          <w:sz w:val="16"/>
          <w:lang w:val="de-DE"/>
        </w:rPr>
        <w:sectPr w:rsidR="002653E8" w:rsidRPr="00846956">
          <w:pgSz w:w="8640" w:h="12960"/>
          <w:pgMar w:top="1060" w:right="0" w:bottom="1040" w:left="0" w:header="0" w:footer="850" w:gutter="0"/>
          <w:cols w:space="720"/>
        </w:sectPr>
      </w:pPr>
    </w:p>
    <w:p w14:paraId="2D38BF35" w14:textId="77777777" w:rsidR="002653E8" w:rsidRDefault="003115E3">
      <w:pPr>
        <w:pStyle w:val="a3"/>
        <w:spacing w:before="86" w:line="264" w:lineRule="auto"/>
        <w:ind w:left="1327" w:right="1145" w:hanging="1"/>
        <w:jc w:val="both"/>
      </w:pPr>
      <w:r>
        <w:rPr>
          <w:color w:val="231F20"/>
        </w:rPr>
        <w:lastRenderedPageBreak/>
        <w:t>Cultural Center in Toulouse</w:t>
      </w:r>
      <w:r>
        <w:rPr>
          <w:color w:val="231F20"/>
          <w:position w:val="7"/>
          <w:sz w:val="11"/>
        </w:rPr>
        <w:t xml:space="preserve">6 </w:t>
      </w:r>
      <w:r>
        <w:rPr>
          <w:color w:val="231F20"/>
        </w:rPr>
        <w:t>and Daimler-Benz in Nimes. In Italy, the German Academy and the West German Travel Bureau in Rome were firebombed;</w:t>
      </w:r>
      <w:r>
        <w:rPr>
          <w:color w:val="231F20"/>
          <w:position w:val="7"/>
          <w:sz w:val="11"/>
        </w:rPr>
        <w:t xml:space="preserve">7 </w:t>
      </w:r>
      <w:r>
        <w:rPr>
          <w:color w:val="231F20"/>
        </w:rPr>
        <w:t>in Milan, targets associated with Bosch and Volkswagen were attacked. The West German consulate in Venice was similarly firebombed. On May 11, the West German consulate in Copenhagen was firebombed.</w:t>
      </w:r>
    </w:p>
    <w:p w14:paraId="750C1A75" w14:textId="77777777" w:rsidR="002653E8" w:rsidRDefault="003115E3">
      <w:pPr>
        <w:pStyle w:val="a3"/>
        <w:spacing w:line="264" w:lineRule="auto"/>
        <w:ind w:left="1327" w:right="1145" w:firstLine="210"/>
        <w:jc w:val="both"/>
      </w:pPr>
      <w:r>
        <w:rPr>
          <w:color w:val="231F20"/>
        </w:rPr>
        <w:t xml:space="preserve">Meanwhile, back in the  FRG,  bombs  went  off  in  Munich  outside  the </w:t>
      </w:r>
      <w:r>
        <w:rPr>
          <w:color w:val="231F20"/>
          <w:spacing w:val="1"/>
        </w:rPr>
        <w:t xml:space="preserve">U.S. </w:t>
      </w:r>
      <w:r>
        <w:rPr>
          <w:color w:val="231F20"/>
        </w:rPr>
        <w:t>Armed Forces radio station and in a shopping center in the middle of the night,</w:t>
      </w:r>
      <w:r>
        <w:rPr>
          <w:color w:val="231F20"/>
          <w:position w:val="7"/>
          <w:sz w:val="11"/>
        </w:rPr>
        <w:t xml:space="preserve">8 </w:t>
      </w:r>
      <w:r>
        <w:rPr>
          <w:color w:val="231F20"/>
        </w:rPr>
        <w:t xml:space="preserve">and a molotov cocktail was thrown at the </w:t>
      </w:r>
      <w:r>
        <w:rPr>
          <w:i/>
          <w:color w:val="231F20"/>
          <w:spacing w:val="1"/>
        </w:rPr>
        <w:t xml:space="preserve">Land </w:t>
      </w:r>
      <w:r>
        <w:rPr>
          <w:color w:val="231F20"/>
        </w:rPr>
        <w:t>Courthouse in</w:t>
      </w:r>
      <w:r>
        <w:rPr>
          <w:color w:val="231F20"/>
          <w:spacing w:val="22"/>
        </w:rPr>
        <w:t xml:space="preserve"> </w:t>
      </w:r>
      <w:r>
        <w:rPr>
          <w:color w:val="231F20"/>
        </w:rPr>
        <w:t>Wuppertal.</w:t>
      </w:r>
    </w:p>
    <w:p w14:paraId="6C600246" w14:textId="77777777" w:rsidR="002653E8" w:rsidRDefault="003115E3">
      <w:pPr>
        <w:pStyle w:val="a3"/>
        <w:spacing w:line="264" w:lineRule="auto"/>
        <w:ind w:left="1328" w:right="1146" w:firstLine="210"/>
        <w:jc w:val="both"/>
      </w:pPr>
      <w:r>
        <w:rPr>
          <w:color w:val="231F20"/>
        </w:rPr>
        <w:t>Thousands reacted with sorrow and rage, demonstrations took place across the country, and both social and political prisoners in BerlinTegel Prison held a three-day hunger strike, as did thirty-six captives at the Hessen Women’s Prison.</w:t>
      </w:r>
    </w:p>
    <w:p w14:paraId="3A44165D" w14:textId="77777777" w:rsidR="002653E8" w:rsidRDefault="003115E3">
      <w:pPr>
        <w:pStyle w:val="a3"/>
        <w:spacing w:line="264" w:lineRule="auto"/>
        <w:ind w:left="1327" w:right="1146" w:firstLine="210"/>
        <w:jc w:val="both"/>
        <w:rPr>
          <w:sz w:val="11"/>
        </w:rPr>
      </w:pPr>
      <w:r>
        <w:rPr>
          <w:color w:val="231F20"/>
        </w:rPr>
        <w:t xml:space="preserve">Fighting was particularly fierce in Frankfurt; according to one police spokesperson, it was “the most brutal in the postwar history of the </w:t>
      </w:r>
      <w:r>
        <w:rPr>
          <w:color w:val="231F20"/>
          <w:spacing w:val="-4"/>
        </w:rPr>
        <w:t>city.”</w:t>
      </w:r>
      <w:r>
        <w:rPr>
          <w:color w:val="231F20"/>
          <w:spacing w:val="-4"/>
          <w:position w:val="7"/>
          <w:sz w:val="11"/>
        </w:rPr>
        <w:t xml:space="preserve">9 </w:t>
      </w:r>
      <w:r>
        <w:rPr>
          <w:color w:val="231F20"/>
        </w:rPr>
        <w:t xml:space="preserve">Following a rally organized by the </w:t>
      </w:r>
      <w:r>
        <w:rPr>
          <w:i/>
          <w:color w:val="231F20"/>
        </w:rPr>
        <w:t xml:space="preserve">sponti </w:t>
      </w:r>
      <w:r>
        <w:rPr>
          <w:color w:val="231F20"/>
        </w:rPr>
        <w:t>left,</w:t>
      </w:r>
      <w:r>
        <w:rPr>
          <w:color w:val="231F20"/>
          <w:position w:val="7"/>
          <w:sz w:val="11"/>
        </w:rPr>
        <w:t xml:space="preserve">10 </w:t>
      </w:r>
      <w:r>
        <w:rPr>
          <w:color w:val="231F20"/>
        </w:rPr>
        <w:t xml:space="preserve">with the watchword that “Ulrike Meinhof is Dead—Let’s Rescue the Living,”  hun dreds of people rampaged through the downtown area, breaking the windows at American Express and the America House cultural center, setting up barricades and defending them against police water cannons with molotov cocktails. </w:t>
      </w:r>
      <w:r>
        <w:rPr>
          <w:color w:val="231F20"/>
          <w:spacing w:val="-5"/>
        </w:rPr>
        <w:t xml:space="preserve">Twelve </w:t>
      </w:r>
      <w:r>
        <w:rPr>
          <w:color w:val="231F20"/>
        </w:rPr>
        <w:t>people were arrested and seven cops were injured, one of them seriously when his car was set ablaze as he sat in</w:t>
      </w:r>
      <w:r>
        <w:rPr>
          <w:color w:val="231F20"/>
          <w:spacing w:val="21"/>
        </w:rPr>
        <w:t xml:space="preserve"> </w:t>
      </w:r>
      <w:r>
        <w:rPr>
          <w:color w:val="231F20"/>
          <w:spacing w:val="-3"/>
        </w:rPr>
        <w:t>it.</w:t>
      </w:r>
      <w:r>
        <w:rPr>
          <w:color w:val="231F20"/>
          <w:spacing w:val="-3"/>
          <w:position w:val="7"/>
          <w:sz w:val="11"/>
        </w:rPr>
        <w:t>11</w:t>
      </w:r>
    </w:p>
    <w:p w14:paraId="611ACD04" w14:textId="17941465" w:rsidR="002653E8" w:rsidRDefault="003115E3">
      <w:pPr>
        <w:pStyle w:val="a3"/>
        <w:spacing w:line="264" w:lineRule="auto"/>
        <w:ind w:left="1327" w:right="1147" w:firstLine="210"/>
        <w:jc w:val="both"/>
      </w:pPr>
      <w:r>
        <w:rPr>
          <w:color w:val="231F20"/>
        </w:rPr>
        <w:t xml:space="preserve">As we shall see in Section </w:t>
      </w:r>
      <w:r>
        <w:rPr>
          <w:color w:val="231F20"/>
          <w:spacing w:val="-4"/>
        </w:rPr>
        <w:t xml:space="preserve">11, </w:t>
      </w:r>
      <w:r>
        <w:rPr>
          <w:color w:val="231F20"/>
        </w:rPr>
        <w:t>this demonstration and the reaction to  it</w:t>
      </w:r>
      <w:r>
        <w:rPr>
          <w:color w:val="231F20"/>
          <w:spacing w:val="10"/>
        </w:rPr>
        <w:t xml:space="preserve"> </w:t>
      </w:r>
      <w:r>
        <w:rPr>
          <w:color w:val="231F20"/>
        </w:rPr>
        <w:t>constituted</w:t>
      </w:r>
      <w:r>
        <w:rPr>
          <w:color w:val="231F20"/>
          <w:spacing w:val="10"/>
        </w:rPr>
        <w:t xml:space="preserve"> </w:t>
      </w:r>
      <w:r>
        <w:rPr>
          <w:color w:val="231F20"/>
        </w:rPr>
        <w:t>a</w:t>
      </w:r>
      <w:r>
        <w:rPr>
          <w:color w:val="231F20"/>
          <w:spacing w:val="10"/>
        </w:rPr>
        <w:t xml:space="preserve"> </w:t>
      </w:r>
      <w:r>
        <w:rPr>
          <w:color w:val="231F20"/>
        </w:rPr>
        <w:t>turning</w:t>
      </w:r>
      <w:r>
        <w:rPr>
          <w:color w:val="231F20"/>
          <w:spacing w:val="10"/>
        </w:rPr>
        <w:t xml:space="preserve"> </w:t>
      </w:r>
      <w:r>
        <w:rPr>
          <w:color w:val="231F20"/>
        </w:rPr>
        <w:t>point</w:t>
      </w:r>
      <w:r>
        <w:rPr>
          <w:color w:val="231F20"/>
          <w:spacing w:val="10"/>
        </w:rPr>
        <w:t xml:space="preserve"> </w:t>
      </w:r>
      <w:r>
        <w:rPr>
          <w:color w:val="231F20"/>
        </w:rPr>
        <w:t>for</w:t>
      </w:r>
      <w:r>
        <w:rPr>
          <w:color w:val="231F20"/>
          <w:spacing w:val="10"/>
        </w:rPr>
        <w:t xml:space="preserve"> </w:t>
      </w:r>
      <w:r>
        <w:rPr>
          <w:color w:val="231F20"/>
        </w:rPr>
        <w:t>the</w:t>
      </w:r>
      <w:r>
        <w:rPr>
          <w:color w:val="231F20"/>
          <w:spacing w:val="11"/>
        </w:rPr>
        <w:t xml:space="preserve"> </w:t>
      </w:r>
      <w:r>
        <w:rPr>
          <w:i/>
          <w:color w:val="231F20"/>
        </w:rPr>
        <w:t>sponti</w:t>
      </w:r>
      <w:r>
        <w:rPr>
          <w:i/>
          <w:color w:val="231F20"/>
          <w:spacing w:val="10"/>
        </w:rPr>
        <w:t xml:space="preserve"> </w:t>
      </w:r>
      <w:r>
        <w:rPr>
          <w:color w:val="231F20"/>
        </w:rPr>
        <w:t>scene.</w:t>
      </w:r>
    </w:p>
    <w:p w14:paraId="5C380D7C" w14:textId="77777777" w:rsidR="002653E8" w:rsidRDefault="003115E3">
      <w:pPr>
        <w:pStyle w:val="a3"/>
        <w:spacing w:line="264" w:lineRule="auto"/>
        <w:ind w:left="1327" w:right="1146" w:firstLine="210"/>
        <w:jc w:val="both"/>
      </w:pPr>
      <w:r>
        <w:rPr>
          <w:color w:val="231F20"/>
        </w:rPr>
        <w:t>On May 15, some 7,000 people, many with their faces blackened and heads covered to avoid identification by the police, attended Meinhof’s funeral in West Berlin.</w:t>
      </w:r>
      <w:r>
        <w:rPr>
          <w:color w:val="231F20"/>
          <w:position w:val="7"/>
          <w:sz w:val="11"/>
        </w:rPr>
        <w:t xml:space="preserve">12 </w:t>
      </w:r>
      <w:r>
        <w:rPr>
          <w:color w:val="231F20"/>
        </w:rPr>
        <w:t>Wienke Zitzlaff requested that in lieu of flowers,</w:t>
      </w:r>
    </w:p>
    <w:p w14:paraId="6D6A31A0" w14:textId="77777777" w:rsidR="002653E8" w:rsidRDefault="002653E8">
      <w:pPr>
        <w:pStyle w:val="a3"/>
      </w:pPr>
    </w:p>
    <w:p w14:paraId="1DFEB054" w14:textId="77777777" w:rsidR="002653E8" w:rsidRDefault="00000000">
      <w:pPr>
        <w:pStyle w:val="a3"/>
        <w:spacing w:before="8"/>
        <w:rPr>
          <w:sz w:val="16"/>
        </w:rPr>
      </w:pPr>
      <w:r>
        <w:rPr>
          <w:noProof w:val="0"/>
        </w:rPr>
        <w:pict w14:anchorId="7C171D0D">
          <v:line id="_x0000_s2284" style="position:absolute;z-index:8512;mso-wrap-distance-left:0;mso-wrap-distance-right:0;mso-position-horizontal-relative:page" from="66.4pt,12pt" to="138.4pt,12pt" strokecolor="#231f20" strokeweight=".5pt">
            <w10:wrap type="topAndBottom" anchorx="page"/>
          </v:line>
        </w:pict>
      </w:r>
    </w:p>
    <w:p w14:paraId="4EBF3AE4" w14:textId="77777777" w:rsidR="002653E8" w:rsidRDefault="003115E3">
      <w:pPr>
        <w:pStyle w:val="a4"/>
        <w:numPr>
          <w:ilvl w:val="0"/>
          <w:numId w:val="85"/>
        </w:numPr>
        <w:tabs>
          <w:tab w:val="left" w:pos="1467"/>
        </w:tabs>
        <w:spacing w:before="53"/>
        <w:ind w:left="1466"/>
        <w:jc w:val="left"/>
        <w:rPr>
          <w:sz w:val="16"/>
        </w:rPr>
      </w:pPr>
      <w:r>
        <w:rPr>
          <w:color w:val="231F20"/>
          <w:w w:val="105"/>
          <w:sz w:val="16"/>
        </w:rPr>
        <w:t>United</w:t>
      </w:r>
      <w:r>
        <w:rPr>
          <w:color w:val="231F20"/>
          <w:spacing w:val="10"/>
          <w:w w:val="105"/>
          <w:sz w:val="16"/>
        </w:rPr>
        <w:t xml:space="preserve"> </w:t>
      </w:r>
      <w:r>
        <w:rPr>
          <w:color w:val="231F20"/>
          <w:w w:val="105"/>
          <w:sz w:val="16"/>
        </w:rPr>
        <w:t>Press</w:t>
      </w:r>
      <w:r>
        <w:rPr>
          <w:color w:val="231F20"/>
          <w:spacing w:val="10"/>
          <w:w w:val="105"/>
          <w:sz w:val="16"/>
        </w:rPr>
        <w:t xml:space="preserve"> </w:t>
      </w:r>
      <w:r>
        <w:rPr>
          <w:color w:val="231F20"/>
          <w:w w:val="105"/>
          <w:sz w:val="16"/>
        </w:rPr>
        <w:t>International,</w:t>
      </w:r>
      <w:r>
        <w:rPr>
          <w:color w:val="231F20"/>
          <w:spacing w:val="10"/>
          <w:w w:val="105"/>
          <w:sz w:val="16"/>
        </w:rPr>
        <w:t xml:space="preserve"> </w:t>
      </w:r>
      <w:r>
        <w:rPr>
          <w:color w:val="231F20"/>
          <w:w w:val="105"/>
          <w:sz w:val="16"/>
        </w:rPr>
        <w:t>“German</w:t>
      </w:r>
      <w:r>
        <w:rPr>
          <w:color w:val="231F20"/>
          <w:spacing w:val="10"/>
          <w:w w:val="105"/>
          <w:sz w:val="16"/>
        </w:rPr>
        <w:t xml:space="preserve"> </w:t>
      </w:r>
      <w:r>
        <w:rPr>
          <w:color w:val="231F20"/>
          <w:w w:val="105"/>
          <w:sz w:val="16"/>
        </w:rPr>
        <w:t>Terrorist</w:t>
      </w:r>
      <w:r>
        <w:rPr>
          <w:color w:val="231F20"/>
          <w:spacing w:val="10"/>
          <w:w w:val="105"/>
          <w:sz w:val="16"/>
        </w:rPr>
        <w:t xml:space="preserve"> </w:t>
      </w:r>
      <w:r>
        <w:rPr>
          <w:color w:val="231F20"/>
          <w:w w:val="105"/>
          <w:sz w:val="16"/>
        </w:rPr>
        <w:t>Dies</w:t>
      </w:r>
      <w:r>
        <w:rPr>
          <w:color w:val="231F20"/>
          <w:spacing w:val="10"/>
          <w:w w:val="105"/>
          <w:sz w:val="16"/>
        </w:rPr>
        <w:t xml:space="preserve"> </w:t>
      </w:r>
      <w:r>
        <w:rPr>
          <w:color w:val="231F20"/>
          <w:w w:val="105"/>
          <w:sz w:val="16"/>
        </w:rPr>
        <w:t>Violent</w:t>
      </w:r>
      <w:r>
        <w:rPr>
          <w:color w:val="231F20"/>
          <w:spacing w:val="10"/>
          <w:w w:val="105"/>
          <w:sz w:val="16"/>
        </w:rPr>
        <w:t xml:space="preserve"> </w:t>
      </w:r>
      <w:r>
        <w:rPr>
          <w:color w:val="231F20"/>
          <w:w w:val="105"/>
          <w:sz w:val="16"/>
        </w:rPr>
        <w:t>Death</w:t>
      </w:r>
      <w:r>
        <w:rPr>
          <w:color w:val="231F20"/>
          <w:spacing w:val="10"/>
          <w:w w:val="105"/>
          <w:sz w:val="16"/>
        </w:rPr>
        <w:t xml:space="preserve"> </w:t>
      </w:r>
      <w:r>
        <w:rPr>
          <w:color w:val="231F20"/>
          <w:w w:val="105"/>
          <w:sz w:val="16"/>
        </w:rPr>
        <w:t>in</w:t>
      </w:r>
      <w:r>
        <w:rPr>
          <w:color w:val="231F20"/>
          <w:spacing w:val="10"/>
          <w:w w:val="105"/>
          <w:sz w:val="16"/>
        </w:rPr>
        <w:t xml:space="preserve"> </w:t>
      </w:r>
      <w:r>
        <w:rPr>
          <w:color w:val="231F20"/>
          <w:w w:val="105"/>
          <w:sz w:val="16"/>
        </w:rPr>
        <w:t>Prison,”</w:t>
      </w:r>
    </w:p>
    <w:p w14:paraId="19431565" w14:textId="77777777" w:rsidR="002653E8" w:rsidRDefault="003115E3">
      <w:pPr>
        <w:spacing w:before="11"/>
        <w:ind w:left="1327"/>
        <w:rPr>
          <w:sz w:val="16"/>
        </w:rPr>
      </w:pPr>
      <w:r>
        <w:rPr>
          <w:i/>
          <w:color w:val="231F20"/>
          <w:w w:val="115"/>
          <w:sz w:val="16"/>
        </w:rPr>
        <w:t xml:space="preserve">Coshocton Tribune, </w:t>
      </w:r>
      <w:r>
        <w:rPr>
          <w:color w:val="231F20"/>
          <w:w w:val="115"/>
          <w:sz w:val="16"/>
        </w:rPr>
        <w:t>May 10, 1976.</w:t>
      </w:r>
    </w:p>
    <w:p w14:paraId="3D9891FE" w14:textId="77777777" w:rsidR="002653E8" w:rsidRDefault="003115E3">
      <w:pPr>
        <w:pStyle w:val="a4"/>
        <w:numPr>
          <w:ilvl w:val="0"/>
          <w:numId w:val="85"/>
        </w:numPr>
        <w:tabs>
          <w:tab w:val="left" w:pos="1467"/>
        </w:tabs>
        <w:spacing w:before="52" w:line="254" w:lineRule="auto"/>
        <w:ind w:left="1327" w:right="1292" w:firstLine="0"/>
        <w:jc w:val="left"/>
        <w:rPr>
          <w:sz w:val="16"/>
        </w:rPr>
      </w:pPr>
      <w:r>
        <w:rPr>
          <w:color w:val="231F20"/>
          <w:spacing w:val="7"/>
          <w:w w:val="126"/>
          <w:sz w:val="16"/>
        </w:rPr>
        <w:t>N</w:t>
      </w:r>
      <w:r>
        <w:rPr>
          <w:color w:val="231F20"/>
          <w:spacing w:val="5"/>
          <w:w w:val="115"/>
          <w:sz w:val="16"/>
        </w:rPr>
        <w:t>E</w:t>
      </w:r>
      <w:r>
        <w:rPr>
          <w:color w:val="231F20"/>
          <w:spacing w:val="10"/>
          <w:w w:val="115"/>
          <w:sz w:val="16"/>
        </w:rPr>
        <w:t>A</w:t>
      </w:r>
      <w:r>
        <w:rPr>
          <w:color w:val="231F20"/>
          <w:spacing w:val="8"/>
          <w:w w:val="58"/>
          <w:sz w:val="16"/>
        </w:rPr>
        <w:t>/</w:t>
      </w:r>
      <w:r>
        <w:rPr>
          <w:color w:val="231F20"/>
          <w:spacing w:val="5"/>
          <w:w w:val="118"/>
          <w:sz w:val="16"/>
        </w:rPr>
        <w:t>L</w:t>
      </w:r>
      <w:r>
        <w:rPr>
          <w:color w:val="231F20"/>
          <w:w w:val="108"/>
          <w:sz w:val="16"/>
        </w:rPr>
        <w:t>o</w:t>
      </w:r>
      <w:r>
        <w:rPr>
          <w:color w:val="231F20"/>
          <w:w w:val="103"/>
          <w:sz w:val="16"/>
        </w:rPr>
        <w:t>nd</w:t>
      </w:r>
      <w:r>
        <w:rPr>
          <w:color w:val="231F20"/>
          <w:w w:val="108"/>
          <w:sz w:val="16"/>
        </w:rPr>
        <w:t>o</w:t>
      </w:r>
      <w:r>
        <w:rPr>
          <w:color w:val="231F20"/>
          <w:w w:val="103"/>
          <w:sz w:val="16"/>
        </w:rPr>
        <w:t>n</w:t>
      </w:r>
      <w:r>
        <w:rPr>
          <w:color w:val="231F20"/>
          <w:spacing w:val="10"/>
          <w:sz w:val="16"/>
        </w:rPr>
        <w:t xml:space="preserve"> </w:t>
      </w:r>
      <w:r>
        <w:rPr>
          <w:color w:val="231F20"/>
          <w:spacing w:val="6"/>
          <w:w w:val="110"/>
          <w:sz w:val="16"/>
        </w:rPr>
        <w:t>E</w:t>
      </w:r>
      <w:r>
        <w:rPr>
          <w:color w:val="231F20"/>
          <w:w w:val="104"/>
          <w:sz w:val="16"/>
        </w:rPr>
        <w:t>c</w:t>
      </w:r>
      <w:r>
        <w:rPr>
          <w:color w:val="231F20"/>
          <w:w w:val="108"/>
          <w:sz w:val="16"/>
        </w:rPr>
        <w:t>o</w:t>
      </w:r>
      <w:r>
        <w:rPr>
          <w:color w:val="231F20"/>
          <w:w w:val="103"/>
          <w:sz w:val="16"/>
        </w:rPr>
        <w:t>n</w:t>
      </w:r>
      <w:r>
        <w:rPr>
          <w:color w:val="231F20"/>
          <w:w w:val="108"/>
          <w:sz w:val="16"/>
        </w:rPr>
        <w:t>o</w:t>
      </w:r>
      <w:r>
        <w:rPr>
          <w:color w:val="231F20"/>
          <w:spacing w:val="3"/>
          <w:w w:val="103"/>
          <w:sz w:val="16"/>
        </w:rPr>
        <w:t>m</w:t>
      </w:r>
      <w:r>
        <w:rPr>
          <w:color w:val="231F20"/>
          <w:w w:val="103"/>
          <w:sz w:val="16"/>
        </w:rPr>
        <w:t>i</w:t>
      </w:r>
      <w:r>
        <w:rPr>
          <w:color w:val="231F20"/>
          <w:w w:val="104"/>
          <w:sz w:val="16"/>
        </w:rPr>
        <w:t>c</w:t>
      </w:r>
      <w:r>
        <w:rPr>
          <w:color w:val="231F20"/>
          <w:spacing w:val="10"/>
          <w:sz w:val="16"/>
        </w:rPr>
        <w:t xml:space="preserve"> </w:t>
      </w:r>
      <w:r>
        <w:rPr>
          <w:color w:val="231F20"/>
          <w:spacing w:val="2"/>
          <w:w w:val="126"/>
          <w:sz w:val="16"/>
        </w:rPr>
        <w:t>N</w:t>
      </w:r>
      <w:r>
        <w:rPr>
          <w:color w:val="231F20"/>
          <w:spacing w:val="1"/>
          <w:w w:val="94"/>
          <w:sz w:val="16"/>
        </w:rPr>
        <w:t>e</w:t>
      </w:r>
      <w:r>
        <w:rPr>
          <w:color w:val="231F20"/>
          <w:spacing w:val="1"/>
          <w:w w:val="104"/>
          <w:sz w:val="16"/>
        </w:rPr>
        <w:t>w</w:t>
      </w:r>
      <w:r>
        <w:rPr>
          <w:color w:val="231F20"/>
          <w:w w:val="93"/>
          <w:sz w:val="16"/>
        </w:rPr>
        <w:t>s</w:t>
      </w:r>
      <w:r>
        <w:rPr>
          <w:color w:val="231F20"/>
          <w:spacing w:val="10"/>
          <w:sz w:val="16"/>
        </w:rPr>
        <w:t xml:space="preserve"> </w:t>
      </w:r>
      <w:r>
        <w:rPr>
          <w:color w:val="231F20"/>
          <w:spacing w:val="5"/>
          <w:w w:val="104"/>
          <w:sz w:val="16"/>
        </w:rPr>
        <w:t>S</w:t>
      </w:r>
      <w:r>
        <w:rPr>
          <w:color w:val="231F20"/>
          <w:w w:val="94"/>
          <w:sz w:val="16"/>
        </w:rPr>
        <w:t>e</w:t>
      </w:r>
      <w:r>
        <w:rPr>
          <w:color w:val="231F20"/>
          <w:spacing w:val="5"/>
          <w:w w:val="97"/>
          <w:sz w:val="16"/>
        </w:rPr>
        <w:t>r</w:t>
      </w:r>
      <w:r>
        <w:rPr>
          <w:color w:val="231F20"/>
          <w:spacing w:val="2"/>
          <w:w w:val="102"/>
          <w:sz w:val="16"/>
        </w:rPr>
        <w:t>v</w:t>
      </w:r>
      <w:r>
        <w:rPr>
          <w:color w:val="231F20"/>
          <w:w w:val="103"/>
          <w:sz w:val="16"/>
        </w:rPr>
        <w:t>i</w:t>
      </w:r>
      <w:r>
        <w:rPr>
          <w:color w:val="231F20"/>
          <w:spacing w:val="2"/>
          <w:w w:val="104"/>
          <w:sz w:val="16"/>
        </w:rPr>
        <w:t>c</w:t>
      </w:r>
      <w:r>
        <w:rPr>
          <w:color w:val="231F20"/>
          <w:spacing w:val="2"/>
          <w:w w:val="94"/>
          <w:sz w:val="16"/>
        </w:rPr>
        <w:t>e</w:t>
      </w:r>
      <w:r>
        <w:rPr>
          <w:color w:val="231F20"/>
          <w:w w:val="140"/>
          <w:sz w:val="16"/>
        </w:rPr>
        <w:t>,</w:t>
      </w:r>
      <w:r>
        <w:rPr>
          <w:color w:val="231F20"/>
          <w:spacing w:val="10"/>
          <w:sz w:val="16"/>
        </w:rPr>
        <w:t xml:space="preserve"> </w:t>
      </w:r>
      <w:r>
        <w:rPr>
          <w:color w:val="231F20"/>
          <w:w w:val="153"/>
          <w:sz w:val="16"/>
        </w:rPr>
        <w:t>“</w:t>
      </w:r>
      <w:r>
        <w:rPr>
          <w:color w:val="231F20"/>
          <w:spacing w:val="-7"/>
          <w:w w:val="116"/>
          <w:sz w:val="16"/>
        </w:rPr>
        <w:t>T</w:t>
      </w:r>
      <w:r>
        <w:rPr>
          <w:color w:val="231F20"/>
          <w:w w:val="97"/>
          <w:sz w:val="16"/>
        </w:rPr>
        <w:t>r</w:t>
      </w:r>
      <w:r>
        <w:rPr>
          <w:color w:val="231F20"/>
          <w:w w:val="106"/>
          <w:sz w:val="16"/>
        </w:rPr>
        <w:t>a</w:t>
      </w:r>
      <w:r>
        <w:rPr>
          <w:color w:val="231F20"/>
          <w:spacing w:val="3"/>
          <w:w w:val="104"/>
          <w:sz w:val="16"/>
        </w:rPr>
        <w:t>g</w:t>
      </w:r>
      <w:r>
        <w:rPr>
          <w:color w:val="231F20"/>
          <w:w w:val="103"/>
          <w:sz w:val="16"/>
        </w:rPr>
        <w:t>i</w:t>
      </w:r>
      <w:r>
        <w:rPr>
          <w:color w:val="231F20"/>
          <w:w w:val="104"/>
          <w:sz w:val="16"/>
        </w:rPr>
        <w:t>c</w:t>
      </w:r>
      <w:r>
        <w:rPr>
          <w:color w:val="231F20"/>
          <w:spacing w:val="10"/>
          <w:sz w:val="16"/>
        </w:rPr>
        <w:t xml:space="preserve"> </w:t>
      </w:r>
      <w:r>
        <w:rPr>
          <w:color w:val="231F20"/>
          <w:spacing w:val="2"/>
          <w:w w:val="121"/>
          <w:sz w:val="16"/>
        </w:rPr>
        <w:t>D</w:t>
      </w:r>
      <w:r>
        <w:rPr>
          <w:color w:val="231F20"/>
          <w:spacing w:val="2"/>
          <w:w w:val="94"/>
          <w:sz w:val="16"/>
        </w:rPr>
        <w:t>e</w:t>
      </w:r>
      <w:r>
        <w:rPr>
          <w:color w:val="231F20"/>
          <w:spacing w:val="-1"/>
          <w:w w:val="106"/>
          <w:sz w:val="16"/>
        </w:rPr>
        <w:t>a</w:t>
      </w:r>
      <w:r>
        <w:rPr>
          <w:color w:val="231F20"/>
          <w:spacing w:val="3"/>
          <w:w w:val="102"/>
          <w:sz w:val="16"/>
        </w:rPr>
        <w:t>t</w:t>
      </w:r>
      <w:r>
        <w:rPr>
          <w:color w:val="231F20"/>
          <w:w w:val="104"/>
          <w:sz w:val="16"/>
        </w:rPr>
        <w:t>h</w:t>
      </w:r>
      <w:r>
        <w:rPr>
          <w:color w:val="231F20"/>
          <w:spacing w:val="10"/>
          <w:sz w:val="16"/>
        </w:rPr>
        <w:t xml:space="preserve"> </w:t>
      </w:r>
      <w:r>
        <w:rPr>
          <w:color w:val="231F20"/>
          <w:spacing w:val="1"/>
          <w:w w:val="103"/>
          <w:sz w:val="16"/>
        </w:rPr>
        <w:t>i</w:t>
      </w:r>
      <w:r>
        <w:rPr>
          <w:color w:val="231F20"/>
          <w:w w:val="93"/>
          <w:sz w:val="16"/>
        </w:rPr>
        <w:t>s</w:t>
      </w:r>
      <w:r>
        <w:rPr>
          <w:color w:val="231F20"/>
          <w:spacing w:val="10"/>
          <w:sz w:val="16"/>
        </w:rPr>
        <w:t xml:space="preserve"> </w:t>
      </w:r>
      <w:r>
        <w:rPr>
          <w:color w:val="231F20"/>
          <w:w w:val="127"/>
          <w:sz w:val="16"/>
        </w:rPr>
        <w:t>M</w:t>
      </w:r>
      <w:r>
        <w:rPr>
          <w:color w:val="231F20"/>
          <w:w w:val="108"/>
          <w:sz w:val="16"/>
        </w:rPr>
        <w:t>o</w:t>
      </w:r>
      <w:r>
        <w:rPr>
          <w:color w:val="231F20"/>
          <w:spacing w:val="5"/>
          <w:w w:val="104"/>
          <w:sz w:val="16"/>
        </w:rPr>
        <w:t>u</w:t>
      </w:r>
      <w:r>
        <w:rPr>
          <w:color w:val="231F20"/>
          <w:spacing w:val="3"/>
          <w:w w:val="97"/>
          <w:sz w:val="16"/>
        </w:rPr>
        <w:t>r</w:t>
      </w:r>
      <w:r>
        <w:rPr>
          <w:color w:val="231F20"/>
          <w:w w:val="103"/>
          <w:sz w:val="16"/>
        </w:rPr>
        <w:t>n</w:t>
      </w:r>
      <w:r>
        <w:rPr>
          <w:color w:val="231F20"/>
          <w:spacing w:val="1"/>
          <w:w w:val="94"/>
          <w:sz w:val="16"/>
        </w:rPr>
        <w:t>e</w:t>
      </w:r>
      <w:r>
        <w:rPr>
          <w:color w:val="231F20"/>
          <w:spacing w:val="3"/>
          <w:w w:val="103"/>
          <w:sz w:val="16"/>
        </w:rPr>
        <w:t>d</w:t>
      </w:r>
      <w:r>
        <w:rPr>
          <w:color w:val="231F20"/>
          <w:spacing w:val="-9"/>
          <w:w w:val="140"/>
          <w:sz w:val="16"/>
        </w:rPr>
        <w:t>,</w:t>
      </w:r>
      <w:r>
        <w:rPr>
          <w:color w:val="231F20"/>
          <w:w w:val="153"/>
          <w:sz w:val="16"/>
        </w:rPr>
        <w:t>”</w:t>
      </w:r>
      <w:r>
        <w:rPr>
          <w:color w:val="231F20"/>
          <w:spacing w:val="10"/>
          <w:sz w:val="16"/>
        </w:rPr>
        <w:t xml:space="preserve"> </w:t>
      </w:r>
      <w:r>
        <w:rPr>
          <w:i/>
          <w:color w:val="231F20"/>
          <w:spacing w:val="1"/>
          <w:w w:val="127"/>
          <w:sz w:val="16"/>
        </w:rPr>
        <w:t>U</w:t>
      </w:r>
      <w:r>
        <w:rPr>
          <w:i/>
          <w:color w:val="231F20"/>
          <w:spacing w:val="2"/>
          <w:w w:val="107"/>
          <w:sz w:val="16"/>
        </w:rPr>
        <w:t>n</w:t>
      </w:r>
      <w:r>
        <w:rPr>
          <w:i/>
          <w:color w:val="231F20"/>
          <w:spacing w:val="1"/>
          <w:w w:val="106"/>
          <w:sz w:val="16"/>
        </w:rPr>
        <w:t>i</w:t>
      </w:r>
      <w:r>
        <w:rPr>
          <w:i/>
          <w:color w:val="231F20"/>
          <w:spacing w:val="2"/>
          <w:w w:val="113"/>
          <w:sz w:val="16"/>
        </w:rPr>
        <w:t>o</w:t>
      </w:r>
      <w:r>
        <w:rPr>
          <w:i/>
          <w:color w:val="231F20"/>
          <w:spacing w:val="1"/>
          <w:w w:val="108"/>
          <w:sz w:val="16"/>
        </w:rPr>
        <w:t>nt</w:t>
      </w:r>
      <w:r>
        <w:rPr>
          <w:i/>
          <w:color w:val="231F20"/>
          <w:spacing w:val="2"/>
          <w:w w:val="108"/>
          <w:sz w:val="16"/>
        </w:rPr>
        <w:t>o</w:t>
      </w:r>
      <w:r>
        <w:rPr>
          <w:i/>
          <w:color w:val="231F20"/>
          <w:spacing w:val="5"/>
          <w:w w:val="110"/>
          <w:sz w:val="16"/>
        </w:rPr>
        <w:t>w</w:t>
      </w:r>
      <w:r>
        <w:rPr>
          <w:i/>
          <w:color w:val="231F20"/>
          <w:w w:val="107"/>
          <w:sz w:val="16"/>
        </w:rPr>
        <w:t xml:space="preserve">n </w:t>
      </w:r>
      <w:r>
        <w:rPr>
          <w:i/>
          <w:color w:val="231F20"/>
          <w:w w:val="105"/>
          <w:sz w:val="16"/>
        </w:rPr>
        <w:t xml:space="preserve">Morning Herald, </w:t>
      </w:r>
      <w:r>
        <w:rPr>
          <w:color w:val="231F20"/>
          <w:w w:val="105"/>
          <w:sz w:val="16"/>
        </w:rPr>
        <w:t xml:space="preserve">May </w:t>
      </w:r>
      <w:r>
        <w:rPr>
          <w:color w:val="231F20"/>
          <w:spacing w:val="-6"/>
          <w:w w:val="105"/>
          <w:sz w:val="16"/>
        </w:rPr>
        <w:t>27,</w:t>
      </w:r>
      <w:r>
        <w:rPr>
          <w:color w:val="231F20"/>
          <w:spacing w:val="7"/>
          <w:w w:val="105"/>
          <w:sz w:val="16"/>
        </w:rPr>
        <w:t xml:space="preserve"> </w:t>
      </w:r>
      <w:r>
        <w:rPr>
          <w:color w:val="231F20"/>
          <w:spacing w:val="-3"/>
          <w:w w:val="105"/>
          <w:sz w:val="16"/>
        </w:rPr>
        <w:t>1976.</w:t>
      </w:r>
    </w:p>
    <w:p w14:paraId="21258FFF" w14:textId="77777777" w:rsidR="002653E8" w:rsidRDefault="003115E3">
      <w:pPr>
        <w:pStyle w:val="a4"/>
        <w:numPr>
          <w:ilvl w:val="0"/>
          <w:numId w:val="85"/>
        </w:numPr>
        <w:tabs>
          <w:tab w:val="left" w:pos="1467"/>
        </w:tabs>
        <w:spacing w:line="307" w:lineRule="auto"/>
        <w:ind w:left="1327" w:right="2358" w:firstLine="0"/>
        <w:jc w:val="left"/>
        <w:rPr>
          <w:sz w:val="16"/>
        </w:rPr>
      </w:pPr>
      <w:r>
        <w:rPr>
          <w:i/>
          <w:color w:val="231F20"/>
          <w:spacing w:val="2"/>
          <w:w w:val="110"/>
          <w:sz w:val="16"/>
        </w:rPr>
        <w:t xml:space="preserve">Corpus </w:t>
      </w:r>
      <w:r>
        <w:rPr>
          <w:i/>
          <w:color w:val="231F20"/>
          <w:spacing w:val="1"/>
          <w:w w:val="110"/>
          <w:sz w:val="16"/>
        </w:rPr>
        <w:t xml:space="preserve">Christi </w:t>
      </w:r>
      <w:r>
        <w:rPr>
          <w:i/>
          <w:color w:val="231F20"/>
          <w:w w:val="110"/>
          <w:sz w:val="16"/>
        </w:rPr>
        <w:t xml:space="preserve">Times, </w:t>
      </w:r>
      <w:r>
        <w:rPr>
          <w:color w:val="231F20"/>
          <w:w w:val="110"/>
          <w:sz w:val="16"/>
        </w:rPr>
        <w:t xml:space="preserve">“Bombing seen as protest,” May 14, </w:t>
      </w:r>
      <w:r>
        <w:rPr>
          <w:color w:val="231F20"/>
          <w:spacing w:val="-3"/>
          <w:w w:val="110"/>
          <w:sz w:val="16"/>
        </w:rPr>
        <w:t xml:space="preserve">1976. </w:t>
      </w:r>
      <w:r>
        <w:rPr>
          <w:color w:val="231F20"/>
          <w:w w:val="110"/>
          <w:sz w:val="16"/>
        </w:rPr>
        <w:t xml:space="preserve">9 </w:t>
      </w:r>
      <w:r>
        <w:rPr>
          <w:i/>
          <w:color w:val="231F20"/>
          <w:w w:val="110"/>
          <w:sz w:val="16"/>
        </w:rPr>
        <w:t xml:space="preserve">Winnipeg Free Press, </w:t>
      </w:r>
      <w:r>
        <w:rPr>
          <w:color w:val="231F20"/>
          <w:w w:val="110"/>
          <w:sz w:val="16"/>
        </w:rPr>
        <w:t xml:space="preserve">“Uneven contest,” May </w:t>
      </w:r>
      <w:r>
        <w:rPr>
          <w:color w:val="231F20"/>
          <w:spacing w:val="-3"/>
          <w:w w:val="110"/>
          <w:sz w:val="16"/>
        </w:rPr>
        <w:t>19,</w:t>
      </w:r>
      <w:r>
        <w:rPr>
          <w:color w:val="231F20"/>
          <w:spacing w:val="12"/>
          <w:w w:val="110"/>
          <w:sz w:val="16"/>
        </w:rPr>
        <w:t xml:space="preserve"> </w:t>
      </w:r>
      <w:r>
        <w:rPr>
          <w:color w:val="231F20"/>
          <w:spacing w:val="-3"/>
          <w:w w:val="110"/>
          <w:sz w:val="16"/>
        </w:rPr>
        <w:t>1976.</w:t>
      </w:r>
    </w:p>
    <w:p w14:paraId="3911F17E" w14:textId="77777777" w:rsidR="002653E8" w:rsidRDefault="003115E3">
      <w:pPr>
        <w:pStyle w:val="a4"/>
        <w:numPr>
          <w:ilvl w:val="0"/>
          <w:numId w:val="84"/>
        </w:numPr>
        <w:tabs>
          <w:tab w:val="left" w:pos="1555"/>
        </w:tabs>
        <w:spacing w:before="0" w:line="186" w:lineRule="exact"/>
        <w:ind w:firstLine="0"/>
        <w:rPr>
          <w:sz w:val="16"/>
        </w:rPr>
      </w:pPr>
      <w:r>
        <w:rPr>
          <w:color w:val="231F20"/>
          <w:w w:val="105"/>
          <w:sz w:val="16"/>
        </w:rPr>
        <w:t>Roger</w:t>
      </w:r>
      <w:r>
        <w:rPr>
          <w:color w:val="231F20"/>
          <w:spacing w:val="10"/>
          <w:w w:val="105"/>
          <w:sz w:val="16"/>
        </w:rPr>
        <w:t xml:space="preserve"> </w:t>
      </w:r>
      <w:r>
        <w:rPr>
          <w:color w:val="231F20"/>
          <w:w w:val="105"/>
          <w:sz w:val="16"/>
        </w:rPr>
        <w:t>Cohen,</w:t>
      </w:r>
      <w:r>
        <w:rPr>
          <w:color w:val="231F20"/>
          <w:spacing w:val="10"/>
          <w:w w:val="105"/>
          <w:sz w:val="16"/>
        </w:rPr>
        <w:t xml:space="preserve"> </w:t>
      </w:r>
      <w:r>
        <w:rPr>
          <w:color w:val="231F20"/>
          <w:w w:val="105"/>
          <w:sz w:val="16"/>
        </w:rPr>
        <w:t>“Germany’s</w:t>
      </w:r>
      <w:r>
        <w:rPr>
          <w:color w:val="231F20"/>
          <w:spacing w:val="10"/>
          <w:w w:val="105"/>
          <w:sz w:val="16"/>
        </w:rPr>
        <w:t xml:space="preserve"> </w:t>
      </w:r>
      <w:r>
        <w:rPr>
          <w:color w:val="231F20"/>
          <w:w w:val="105"/>
          <w:sz w:val="16"/>
        </w:rPr>
        <w:t>Foreign</w:t>
      </w:r>
      <w:r>
        <w:rPr>
          <w:color w:val="231F20"/>
          <w:spacing w:val="10"/>
          <w:w w:val="105"/>
          <w:sz w:val="16"/>
        </w:rPr>
        <w:t xml:space="preserve"> </w:t>
      </w:r>
      <w:r>
        <w:rPr>
          <w:color w:val="231F20"/>
          <w:w w:val="105"/>
          <w:sz w:val="16"/>
        </w:rPr>
        <w:t>Minister</w:t>
      </w:r>
      <w:r>
        <w:rPr>
          <w:color w:val="231F20"/>
          <w:spacing w:val="10"/>
          <w:w w:val="105"/>
          <w:sz w:val="16"/>
        </w:rPr>
        <w:t xml:space="preserve"> </w:t>
      </w:r>
      <w:r>
        <w:rPr>
          <w:color w:val="231F20"/>
          <w:w w:val="105"/>
          <w:sz w:val="16"/>
        </w:rPr>
        <w:t>is</w:t>
      </w:r>
      <w:r>
        <w:rPr>
          <w:color w:val="231F20"/>
          <w:spacing w:val="10"/>
          <w:w w:val="105"/>
          <w:sz w:val="16"/>
        </w:rPr>
        <w:t xml:space="preserve"> </w:t>
      </w:r>
      <w:r>
        <w:rPr>
          <w:color w:val="231F20"/>
          <w:w w:val="105"/>
          <w:sz w:val="16"/>
        </w:rPr>
        <w:t>Pursued</w:t>
      </w:r>
      <w:r>
        <w:rPr>
          <w:color w:val="231F20"/>
          <w:spacing w:val="10"/>
          <w:w w:val="105"/>
          <w:sz w:val="16"/>
        </w:rPr>
        <w:t xml:space="preserve"> </w:t>
      </w:r>
      <w:r>
        <w:rPr>
          <w:color w:val="231F20"/>
          <w:w w:val="105"/>
          <w:sz w:val="16"/>
        </w:rPr>
        <w:t>by</w:t>
      </w:r>
      <w:r>
        <w:rPr>
          <w:color w:val="231F20"/>
          <w:spacing w:val="10"/>
          <w:w w:val="105"/>
          <w:sz w:val="16"/>
        </w:rPr>
        <w:t xml:space="preserve"> </w:t>
      </w:r>
      <w:r>
        <w:rPr>
          <w:color w:val="231F20"/>
          <w:w w:val="105"/>
          <w:sz w:val="16"/>
        </w:rPr>
        <w:t>his</w:t>
      </w:r>
      <w:r>
        <w:rPr>
          <w:color w:val="231F20"/>
          <w:spacing w:val="10"/>
          <w:w w:val="105"/>
          <w:sz w:val="16"/>
        </w:rPr>
        <w:t xml:space="preserve"> </w:t>
      </w:r>
      <w:r>
        <w:rPr>
          <w:color w:val="231F20"/>
          <w:w w:val="105"/>
          <w:sz w:val="16"/>
        </w:rPr>
        <w:t>Firebrand</w:t>
      </w:r>
      <w:r>
        <w:rPr>
          <w:color w:val="231F20"/>
          <w:spacing w:val="10"/>
          <w:w w:val="105"/>
          <w:sz w:val="16"/>
        </w:rPr>
        <w:t xml:space="preserve"> </w:t>
      </w:r>
      <w:r>
        <w:rPr>
          <w:color w:val="231F20"/>
          <w:w w:val="105"/>
          <w:sz w:val="16"/>
        </w:rPr>
        <w:t>Self,”</w:t>
      </w:r>
    </w:p>
    <w:p w14:paraId="006A5009" w14:textId="77777777" w:rsidR="002653E8" w:rsidRDefault="003115E3">
      <w:pPr>
        <w:spacing w:before="11"/>
        <w:ind w:left="1327"/>
        <w:rPr>
          <w:sz w:val="16"/>
        </w:rPr>
      </w:pPr>
      <w:r>
        <w:rPr>
          <w:i/>
          <w:color w:val="231F20"/>
          <w:w w:val="110"/>
          <w:sz w:val="16"/>
        </w:rPr>
        <w:t xml:space="preserve">New York Times </w:t>
      </w:r>
      <w:r>
        <w:rPr>
          <w:color w:val="231F20"/>
          <w:w w:val="110"/>
          <w:sz w:val="16"/>
        </w:rPr>
        <w:t>[online], January 15, 2001.</w:t>
      </w:r>
    </w:p>
    <w:p w14:paraId="098D13E8" w14:textId="77777777" w:rsidR="002653E8" w:rsidRDefault="003115E3">
      <w:pPr>
        <w:pStyle w:val="a4"/>
        <w:numPr>
          <w:ilvl w:val="0"/>
          <w:numId w:val="84"/>
        </w:numPr>
        <w:tabs>
          <w:tab w:val="left" w:pos="1553"/>
        </w:tabs>
        <w:spacing w:before="52" w:line="307" w:lineRule="auto"/>
        <w:ind w:right="2118" w:firstLine="0"/>
        <w:rPr>
          <w:sz w:val="16"/>
        </w:rPr>
      </w:pPr>
      <w:r>
        <w:rPr>
          <w:i/>
          <w:color w:val="231F20"/>
          <w:w w:val="110"/>
          <w:sz w:val="16"/>
        </w:rPr>
        <w:t xml:space="preserve">Lincoln Star, </w:t>
      </w:r>
      <w:r>
        <w:rPr>
          <w:color w:val="231F20"/>
          <w:w w:val="110"/>
          <w:sz w:val="16"/>
        </w:rPr>
        <w:t xml:space="preserve">“Anarchist’s Death Causes Bombings,” May 11, </w:t>
      </w:r>
      <w:r>
        <w:rPr>
          <w:color w:val="231F20"/>
          <w:spacing w:val="-3"/>
          <w:w w:val="110"/>
          <w:sz w:val="16"/>
        </w:rPr>
        <w:t xml:space="preserve">1976. </w:t>
      </w:r>
      <w:r>
        <w:rPr>
          <w:color w:val="231F20"/>
          <w:w w:val="110"/>
          <w:sz w:val="16"/>
        </w:rPr>
        <w:t>12 Varon,</w:t>
      </w:r>
      <w:r>
        <w:rPr>
          <w:color w:val="231F20"/>
          <w:spacing w:val="12"/>
          <w:w w:val="110"/>
          <w:sz w:val="16"/>
        </w:rPr>
        <w:t xml:space="preserve"> </w:t>
      </w:r>
      <w:r>
        <w:rPr>
          <w:color w:val="231F20"/>
          <w:w w:val="110"/>
          <w:sz w:val="16"/>
        </w:rPr>
        <w:t>234.</w:t>
      </w:r>
    </w:p>
    <w:p w14:paraId="04416C53" w14:textId="77777777" w:rsidR="002653E8" w:rsidRDefault="002653E8">
      <w:pPr>
        <w:spacing w:line="307" w:lineRule="auto"/>
        <w:rPr>
          <w:sz w:val="16"/>
        </w:rPr>
        <w:sectPr w:rsidR="002653E8">
          <w:pgSz w:w="8640" w:h="12960"/>
          <w:pgMar w:top="1060" w:right="0" w:bottom="1040" w:left="0" w:header="0" w:footer="850" w:gutter="0"/>
          <w:cols w:space="720"/>
        </w:sectPr>
      </w:pPr>
    </w:p>
    <w:p w14:paraId="5CE55E3E" w14:textId="77777777" w:rsidR="002653E8" w:rsidRDefault="003115E3">
      <w:pPr>
        <w:pStyle w:val="a3"/>
        <w:tabs>
          <w:tab w:val="left" w:pos="4461"/>
        </w:tabs>
        <w:ind w:left="1147"/>
      </w:pPr>
      <w:r>
        <w:lastRenderedPageBreak/>
        <w:drawing>
          <wp:inline distT="0" distB="0" distL="0" distR="0" wp14:anchorId="1DC272B6" wp14:editId="47B774AD">
            <wp:extent cx="1813027" cy="2609659"/>
            <wp:effectExtent l="0" t="0" r="0" b="0"/>
            <wp:docPr id="5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2.png"/>
                    <pic:cNvPicPr/>
                  </pic:nvPicPr>
                  <pic:blipFill>
                    <a:blip r:embed="rId329" cstate="print"/>
                    <a:stretch>
                      <a:fillRect/>
                    </a:stretch>
                  </pic:blipFill>
                  <pic:spPr>
                    <a:xfrm>
                      <a:off x="0" y="0"/>
                      <a:ext cx="1813027" cy="2609659"/>
                    </a:xfrm>
                    <a:prstGeom prst="rect">
                      <a:avLst/>
                    </a:prstGeom>
                  </pic:spPr>
                </pic:pic>
              </a:graphicData>
            </a:graphic>
          </wp:inline>
        </w:drawing>
      </w:r>
      <w:r>
        <w:tab/>
      </w:r>
      <w:r>
        <w:drawing>
          <wp:inline distT="0" distB="0" distL="0" distR="0" wp14:anchorId="6403F267" wp14:editId="0677464B">
            <wp:extent cx="1809326" cy="2609659"/>
            <wp:effectExtent l="0" t="0" r="0" b="0"/>
            <wp:docPr id="5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3.png"/>
                    <pic:cNvPicPr/>
                  </pic:nvPicPr>
                  <pic:blipFill>
                    <a:blip r:embed="rId330" cstate="print"/>
                    <a:stretch>
                      <a:fillRect/>
                    </a:stretch>
                  </pic:blipFill>
                  <pic:spPr>
                    <a:xfrm>
                      <a:off x="0" y="0"/>
                      <a:ext cx="1809326" cy="2609659"/>
                    </a:xfrm>
                    <a:prstGeom prst="rect">
                      <a:avLst/>
                    </a:prstGeom>
                  </pic:spPr>
                </pic:pic>
              </a:graphicData>
            </a:graphic>
          </wp:inline>
        </w:drawing>
      </w:r>
    </w:p>
    <w:p w14:paraId="665D478D" w14:textId="77777777" w:rsidR="002653E8" w:rsidRDefault="003115E3">
      <w:pPr>
        <w:spacing w:before="99" w:line="244" w:lineRule="auto"/>
        <w:ind w:left="1148" w:right="1580"/>
        <w:rPr>
          <w:i/>
          <w:sz w:val="18"/>
        </w:rPr>
      </w:pPr>
      <w:r>
        <w:rPr>
          <w:i/>
          <w:color w:val="231F20"/>
          <w:w w:val="105"/>
          <w:sz w:val="18"/>
        </w:rPr>
        <w:t>Meinhof, described as “the most important woman in German politics since Rosa Luxemburg,” would not be forgotten by future generations.</w:t>
      </w:r>
    </w:p>
    <w:p w14:paraId="238ED845" w14:textId="77777777" w:rsidR="002653E8" w:rsidRDefault="003115E3">
      <w:pPr>
        <w:spacing w:before="162"/>
        <w:ind w:left="1148"/>
        <w:rPr>
          <w:i/>
          <w:sz w:val="18"/>
        </w:rPr>
      </w:pPr>
      <w:r>
        <w:rPr>
          <w:i/>
          <w:color w:val="231F20"/>
          <w:w w:val="105"/>
          <w:sz w:val="18"/>
        </w:rPr>
        <w:t>left: “Ulrike Meinhof, murdered 9.5.1976 in Stammheim prison—</w:t>
      </w:r>
    </w:p>
    <w:p w14:paraId="3A0BA60F" w14:textId="77777777" w:rsidR="002653E8" w:rsidRDefault="003115E3">
      <w:pPr>
        <w:spacing w:before="5" w:line="244" w:lineRule="auto"/>
        <w:ind w:left="1148" w:right="1580"/>
        <w:rPr>
          <w:i/>
          <w:sz w:val="18"/>
        </w:rPr>
      </w:pPr>
      <w:r>
        <w:rPr>
          <w:i/>
          <w:color w:val="231F20"/>
          <w:w w:val="105"/>
          <w:sz w:val="18"/>
        </w:rPr>
        <w:t>Protest is when I say I don’t like this and that. Resistance is when I see to it that things that I don’t like no longer occur.”</w:t>
      </w:r>
    </w:p>
    <w:p w14:paraId="6BEE62DD" w14:textId="77777777" w:rsidR="002653E8" w:rsidRDefault="003115E3">
      <w:pPr>
        <w:spacing w:before="121" w:line="244" w:lineRule="auto"/>
        <w:ind w:left="1148" w:right="1848"/>
        <w:rPr>
          <w:i/>
          <w:sz w:val="18"/>
        </w:rPr>
      </w:pPr>
      <w:r>
        <w:rPr>
          <w:i/>
          <w:color w:val="231F20"/>
          <w:sz w:val="18"/>
        </w:rPr>
        <w:t xml:space="preserve">right: “Because freedom </w:t>
      </w:r>
      <w:r>
        <w:rPr>
          <w:i/>
          <w:color w:val="231F20"/>
          <w:spacing w:val="1"/>
          <w:sz w:val="18"/>
        </w:rPr>
        <w:t xml:space="preserve">is </w:t>
      </w:r>
      <w:r>
        <w:rPr>
          <w:i/>
          <w:color w:val="231F20"/>
          <w:sz w:val="18"/>
        </w:rPr>
        <w:t xml:space="preserve">only possible in the struggle for liberation; </w:t>
      </w:r>
      <w:r>
        <w:rPr>
          <w:i/>
          <w:color w:val="231F20"/>
          <w:spacing w:val="1"/>
          <w:sz w:val="18"/>
        </w:rPr>
        <w:t xml:space="preserve">Lesbian </w:t>
      </w:r>
      <w:r>
        <w:rPr>
          <w:i/>
          <w:color w:val="231F20"/>
          <w:sz w:val="18"/>
        </w:rPr>
        <w:t xml:space="preserve">demostration at Ulrike’s grave on  October  </w:t>
      </w:r>
      <w:r>
        <w:rPr>
          <w:i/>
          <w:color w:val="231F20"/>
          <w:spacing w:val="-7"/>
          <w:sz w:val="18"/>
        </w:rPr>
        <w:t xml:space="preserve">7,  </w:t>
      </w:r>
      <w:r>
        <w:rPr>
          <w:i/>
          <w:color w:val="231F20"/>
          <w:sz w:val="18"/>
        </w:rPr>
        <w:t xml:space="preserve">1995; </w:t>
      </w:r>
      <w:r>
        <w:rPr>
          <w:i/>
          <w:color w:val="231F20"/>
          <w:spacing w:val="1"/>
          <w:sz w:val="18"/>
        </w:rPr>
        <w:t xml:space="preserve">Internationalist Feminists </w:t>
      </w:r>
      <w:r>
        <w:rPr>
          <w:i/>
          <w:color w:val="231F20"/>
          <w:sz w:val="18"/>
        </w:rPr>
        <w:t xml:space="preserve">will celebrate Ulrike Meinhof’s 61st birthday; Build a </w:t>
      </w:r>
      <w:r>
        <w:rPr>
          <w:i/>
          <w:color w:val="231F20"/>
          <w:spacing w:val="1"/>
          <w:sz w:val="18"/>
        </w:rPr>
        <w:t xml:space="preserve">Revolutionary </w:t>
      </w:r>
      <w:r>
        <w:rPr>
          <w:i/>
          <w:color w:val="231F20"/>
          <w:sz w:val="18"/>
        </w:rPr>
        <w:t>Women’s</w:t>
      </w:r>
      <w:r>
        <w:rPr>
          <w:i/>
          <w:color w:val="231F20"/>
          <w:spacing w:val="-21"/>
          <w:sz w:val="18"/>
        </w:rPr>
        <w:t xml:space="preserve"> </w:t>
      </w:r>
      <w:r>
        <w:rPr>
          <w:i/>
          <w:color w:val="231F20"/>
          <w:sz w:val="18"/>
        </w:rPr>
        <w:t>Movement”</w:t>
      </w:r>
    </w:p>
    <w:p w14:paraId="3353BB30" w14:textId="77777777" w:rsidR="002653E8" w:rsidRDefault="00000000">
      <w:pPr>
        <w:pStyle w:val="a3"/>
        <w:spacing w:before="11"/>
        <w:rPr>
          <w:i/>
          <w:sz w:val="12"/>
        </w:rPr>
      </w:pPr>
      <w:r>
        <w:rPr>
          <w:noProof w:val="0"/>
        </w:rPr>
        <w:pict w14:anchorId="28D05BCD">
          <v:line id="_x0000_s2283" style="position:absolute;z-index:8536;mso-wrap-distance-left:0;mso-wrap-distance-right:0;mso-position-horizontal-relative:page" from="57.4pt,10.55pt" to="363.6pt,10.55pt" strokecolor="#231f20" strokeweight="2pt">
            <v:stroke dashstyle="3 1"/>
            <w10:wrap type="topAndBottom" anchorx="page"/>
          </v:line>
        </w:pict>
      </w:r>
    </w:p>
    <w:p w14:paraId="2E40E081" w14:textId="77777777" w:rsidR="002653E8" w:rsidRDefault="002653E8">
      <w:pPr>
        <w:pStyle w:val="a3"/>
        <w:spacing w:before="1"/>
        <w:rPr>
          <w:i/>
          <w:sz w:val="16"/>
        </w:rPr>
      </w:pPr>
    </w:p>
    <w:p w14:paraId="09F173F5" w14:textId="77777777" w:rsidR="002653E8" w:rsidRDefault="003115E3">
      <w:pPr>
        <w:pStyle w:val="a3"/>
        <w:spacing w:line="264" w:lineRule="auto"/>
        <w:ind w:left="1085" w:right="1325" w:hanging="1"/>
        <w:jc w:val="right"/>
      </w:pPr>
      <w:r>
        <w:rPr>
          <w:color w:val="231F20"/>
        </w:rPr>
        <w:t>donations be made to the prisoners’ support campaign.</w:t>
      </w:r>
      <w:r>
        <w:rPr>
          <w:color w:val="231F20"/>
          <w:position w:val="7"/>
          <w:sz w:val="11"/>
        </w:rPr>
        <w:t xml:space="preserve">1 </w:t>
      </w:r>
      <w:r>
        <w:rPr>
          <w:color w:val="231F20"/>
        </w:rPr>
        <w:t>When they left</w:t>
      </w:r>
      <w:r>
        <w:rPr>
          <w:color w:val="231F20"/>
          <w:w w:val="98"/>
        </w:rPr>
        <w:t xml:space="preserve"> </w:t>
      </w:r>
      <w:r>
        <w:rPr>
          <w:color w:val="231F20"/>
        </w:rPr>
        <w:t>the cemetery, mourners joined with demonstrations in downtown West</w:t>
      </w:r>
      <w:r>
        <w:rPr>
          <w:color w:val="231F20"/>
          <w:w w:val="98"/>
        </w:rPr>
        <w:t xml:space="preserve"> </w:t>
      </w:r>
      <w:r>
        <w:rPr>
          <w:color w:val="231F20"/>
        </w:rPr>
        <w:t>Berlin and at the Moabit courthouse where Meinhof had been sentenced two years earlier in her trial with Horst Mahler and Hans-Jürgen Bäcker.</w:t>
      </w:r>
      <w:r>
        <w:rPr>
          <w:color w:val="231F20"/>
          <w:position w:val="7"/>
          <w:sz w:val="11"/>
        </w:rPr>
        <w:t>2</w:t>
      </w:r>
      <w:r>
        <w:rPr>
          <w:color w:val="231F20"/>
          <w:w w:val="106"/>
          <w:position w:val="7"/>
          <w:sz w:val="11"/>
        </w:rPr>
        <w:t xml:space="preserve"> </w:t>
      </w:r>
      <w:r>
        <w:rPr>
          <w:color w:val="231F20"/>
        </w:rPr>
        <w:t>That same day, there were bomb attacks in Hamm in North Rhine-</w:t>
      </w:r>
    </w:p>
    <w:p w14:paraId="0EFA2F3C" w14:textId="0C456D5B" w:rsidR="002653E8" w:rsidRDefault="003115E3">
      <w:pPr>
        <w:pStyle w:val="a3"/>
        <w:spacing w:line="229" w:lineRule="exact"/>
        <w:ind w:left="1148"/>
      </w:pPr>
      <w:r>
        <w:rPr>
          <w:color w:val="231F20"/>
          <w:w w:val="105"/>
        </w:rPr>
        <w:t>Westphalia, and also in Rome, Seville, and Zurich.</w:t>
      </w:r>
    </w:p>
    <w:p w14:paraId="2EF2D13D" w14:textId="77777777" w:rsidR="002653E8" w:rsidRDefault="003115E3">
      <w:pPr>
        <w:pStyle w:val="a3"/>
        <w:spacing w:before="22" w:line="264" w:lineRule="auto"/>
        <w:ind w:left="1148" w:right="1325" w:firstLine="210"/>
        <w:jc w:val="both"/>
      </w:pPr>
      <w:r>
        <w:rPr>
          <w:color w:val="231F20"/>
        </w:rPr>
        <w:t>Three days later, there was another demonstration of 8,000 people in West Berlin, during which several police officers were injured. Bombs continued to go off in France, and cars with German license plates and</w:t>
      </w:r>
    </w:p>
    <w:p w14:paraId="3451CCBB" w14:textId="77777777" w:rsidR="002653E8" w:rsidRDefault="00000000">
      <w:pPr>
        <w:pStyle w:val="a3"/>
        <w:spacing w:before="9"/>
        <w:rPr>
          <w:sz w:val="12"/>
        </w:rPr>
      </w:pPr>
      <w:r>
        <w:rPr>
          <w:noProof w:val="0"/>
        </w:rPr>
        <w:pict w14:anchorId="5C5E95EC">
          <v:line id="_x0000_s2282" style="position:absolute;z-index:8560;mso-wrap-distance-left:0;mso-wrap-distance-right:0;mso-position-horizontal-relative:page" from="57.4pt,9.7pt" to="129.4pt,9.7pt" strokecolor="#231f20" strokeweight=".5pt">
            <w10:wrap type="topAndBottom" anchorx="page"/>
          </v:line>
        </w:pict>
      </w:r>
    </w:p>
    <w:p w14:paraId="4127E4EB" w14:textId="77777777" w:rsidR="002653E8" w:rsidRDefault="003115E3">
      <w:pPr>
        <w:pStyle w:val="a4"/>
        <w:numPr>
          <w:ilvl w:val="0"/>
          <w:numId w:val="83"/>
        </w:numPr>
        <w:tabs>
          <w:tab w:val="left" w:pos="1287"/>
        </w:tabs>
        <w:spacing w:before="53"/>
        <w:ind w:hanging="179"/>
        <w:jc w:val="left"/>
        <w:rPr>
          <w:sz w:val="16"/>
        </w:rPr>
      </w:pPr>
      <w:r>
        <w:rPr>
          <w:color w:val="231F20"/>
          <w:w w:val="110"/>
          <w:sz w:val="16"/>
        </w:rPr>
        <w:t xml:space="preserve">Associated Press, “Anarchist Buried,” </w:t>
      </w:r>
      <w:r>
        <w:rPr>
          <w:i/>
          <w:color w:val="231F20"/>
          <w:w w:val="110"/>
          <w:sz w:val="16"/>
        </w:rPr>
        <w:t xml:space="preserve">Waterloo Courier, </w:t>
      </w:r>
      <w:r>
        <w:rPr>
          <w:color w:val="231F20"/>
          <w:w w:val="110"/>
          <w:sz w:val="16"/>
        </w:rPr>
        <w:t xml:space="preserve">May </w:t>
      </w:r>
      <w:r>
        <w:rPr>
          <w:color w:val="231F20"/>
          <w:spacing w:val="-3"/>
          <w:w w:val="110"/>
          <w:sz w:val="16"/>
        </w:rPr>
        <w:t>16,</w:t>
      </w:r>
      <w:r>
        <w:rPr>
          <w:color w:val="231F20"/>
          <w:spacing w:val="15"/>
          <w:w w:val="110"/>
          <w:sz w:val="16"/>
        </w:rPr>
        <w:t xml:space="preserve"> </w:t>
      </w:r>
      <w:r>
        <w:rPr>
          <w:color w:val="231F20"/>
          <w:spacing w:val="-3"/>
          <w:w w:val="110"/>
          <w:sz w:val="16"/>
        </w:rPr>
        <w:t>1976.</w:t>
      </w:r>
    </w:p>
    <w:p w14:paraId="3285F40C" w14:textId="77777777" w:rsidR="002653E8" w:rsidRDefault="003115E3">
      <w:pPr>
        <w:pStyle w:val="a4"/>
        <w:numPr>
          <w:ilvl w:val="0"/>
          <w:numId w:val="83"/>
        </w:numPr>
        <w:tabs>
          <w:tab w:val="left" w:pos="1287"/>
        </w:tabs>
        <w:spacing w:before="51"/>
        <w:ind w:hanging="179"/>
        <w:jc w:val="left"/>
        <w:rPr>
          <w:i/>
          <w:sz w:val="16"/>
        </w:rPr>
      </w:pPr>
      <w:r>
        <w:rPr>
          <w:color w:val="231F20"/>
          <w:w w:val="110"/>
          <w:sz w:val="16"/>
        </w:rPr>
        <w:t xml:space="preserve">United Press International, “Funeral to demonstration,” </w:t>
      </w:r>
      <w:r>
        <w:rPr>
          <w:i/>
          <w:color w:val="231F20"/>
          <w:w w:val="110"/>
          <w:sz w:val="16"/>
        </w:rPr>
        <w:t>Playground Daily</w:t>
      </w:r>
      <w:r>
        <w:rPr>
          <w:i/>
          <w:color w:val="231F20"/>
          <w:spacing w:val="1"/>
          <w:w w:val="110"/>
          <w:sz w:val="16"/>
        </w:rPr>
        <w:t xml:space="preserve"> </w:t>
      </w:r>
      <w:r>
        <w:rPr>
          <w:i/>
          <w:color w:val="231F20"/>
          <w:w w:val="110"/>
          <w:sz w:val="16"/>
        </w:rPr>
        <w:t>News,</w:t>
      </w:r>
    </w:p>
    <w:p w14:paraId="57F040AE" w14:textId="77777777" w:rsidR="002653E8" w:rsidRDefault="003115E3">
      <w:pPr>
        <w:spacing w:before="12"/>
        <w:ind w:left="1148"/>
        <w:rPr>
          <w:sz w:val="16"/>
        </w:rPr>
      </w:pPr>
      <w:r>
        <w:rPr>
          <w:color w:val="231F20"/>
          <w:w w:val="115"/>
          <w:sz w:val="16"/>
        </w:rPr>
        <w:t>May 16, 1976.</w:t>
      </w:r>
    </w:p>
    <w:p w14:paraId="36EE48A0" w14:textId="77777777" w:rsidR="002653E8" w:rsidRDefault="002653E8">
      <w:pPr>
        <w:rPr>
          <w:sz w:val="16"/>
        </w:rPr>
        <w:sectPr w:rsidR="002653E8">
          <w:footerReference w:type="even" r:id="rId331"/>
          <w:footerReference w:type="default" r:id="rId332"/>
          <w:pgSz w:w="8640" w:h="12960"/>
          <w:pgMar w:top="1200" w:right="0" w:bottom="1040" w:left="0" w:header="0" w:footer="850" w:gutter="0"/>
          <w:cols w:space="720"/>
        </w:sectPr>
      </w:pPr>
    </w:p>
    <w:p w14:paraId="6E64EDCD" w14:textId="77777777" w:rsidR="002653E8" w:rsidRDefault="003115E3">
      <w:pPr>
        <w:pStyle w:val="a3"/>
        <w:spacing w:before="86" w:line="264" w:lineRule="auto"/>
        <w:ind w:left="1327" w:right="1146"/>
        <w:jc w:val="both"/>
      </w:pPr>
      <w:r>
        <w:rPr>
          <w:color w:val="231F20"/>
          <w:w w:val="105"/>
        </w:rPr>
        <w:lastRenderedPageBreak/>
        <w:t>the offices of a right-wing newspaper were targeted.</w:t>
      </w:r>
      <w:r>
        <w:rPr>
          <w:color w:val="231F20"/>
          <w:w w:val="105"/>
          <w:position w:val="7"/>
          <w:sz w:val="11"/>
        </w:rPr>
        <w:t xml:space="preserve">3 </w:t>
      </w:r>
      <w:r>
        <w:rPr>
          <w:color w:val="231F20"/>
          <w:w w:val="105"/>
        </w:rPr>
        <w:t>On June 2, the Revolutionary Cells bombed the U.S. Army Headquarters and U.S. Officers’ Club in Frankfurt, carrying out the attack under the banner of the “Ulrike Meinhof Commando.”</w:t>
      </w:r>
      <w:r>
        <w:rPr>
          <w:color w:val="231F20"/>
          <w:w w:val="105"/>
          <w:position w:val="7"/>
          <w:sz w:val="11"/>
        </w:rPr>
        <w:t xml:space="preserve">4 </w:t>
      </w:r>
      <w:r>
        <w:rPr>
          <w:color w:val="231F20"/>
          <w:w w:val="105"/>
        </w:rPr>
        <w:t>That same day, just outside the city, two fully loaded military trucks at a U.S. airbase were blown up.</w:t>
      </w:r>
    </w:p>
    <w:p w14:paraId="3103BCD9" w14:textId="77777777" w:rsidR="002653E8" w:rsidRDefault="003115E3">
      <w:pPr>
        <w:pStyle w:val="a3"/>
        <w:spacing w:line="264" w:lineRule="auto"/>
        <w:ind w:left="1327" w:right="1146" w:firstLine="210"/>
        <w:jc w:val="both"/>
      </w:pPr>
      <w:r>
        <w:rPr>
          <w:color w:val="231F20"/>
        </w:rPr>
        <w:t xml:space="preserve">Claims that Meinhof had committed suicide were interpreted by the </w:t>
      </w:r>
      <w:r w:rsidR="00C507A5">
        <w:rPr>
          <w:color w:val="231F20"/>
        </w:rPr>
        <w:t>red army faction</w:t>
      </w:r>
      <w:r>
        <w:rPr>
          <w:color w:val="231F20"/>
        </w:rPr>
        <w:t xml:space="preserve"> as part of the state’s psychological warfare campaign, a horrible escalation intended to discredit the guerilla in general and Meinhof’s participation in particular.</w:t>
      </w:r>
    </w:p>
    <w:p w14:paraId="77708F8B" w14:textId="77777777" w:rsidR="002653E8" w:rsidRDefault="003115E3">
      <w:pPr>
        <w:pStyle w:val="a3"/>
        <w:spacing w:line="264" w:lineRule="auto"/>
        <w:ind w:left="1328" w:right="1145" w:firstLine="210"/>
        <w:jc w:val="both"/>
      </w:pPr>
      <w:r>
        <w:rPr>
          <w:color w:val="231F20"/>
        </w:rPr>
        <w:t>In an attempt to refute claims that there had been a falling out between Meinhof and the others, or that she was weakening in her resolve, the prisoners opted to release several documents she had written just before her death.</w:t>
      </w:r>
    </w:p>
    <w:p w14:paraId="343FC8F9" w14:textId="77777777" w:rsidR="002653E8" w:rsidRDefault="003115E3">
      <w:pPr>
        <w:pStyle w:val="a3"/>
        <w:spacing w:line="264" w:lineRule="auto"/>
        <w:ind w:left="1328" w:right="1147" w:firstLine="210"/>
        <w:jc w:val="both"/>
      </w:pPr>
      <w:r>
        <w:rPr>
          <w:color w:val="231F20"/>
        </w:rPr>
        <w:t>These documents were accompanied by the following stipulation by Jan-Carl Raspe:</w:t>
      </w:r>
    </w:p>
    <w:p w14:paraId="0E0DCD81" w14:textId="77777777" w:rsidR="002653E8" w:rsidRDefault="003115E3">
      <w:pPr>
        <w:spacing w:before="153" w:line="276" w:lineRule="auto"/>
        <w:ind w:left="1747" w:right="1565"/>
        <w:jc w:val="both"/>
        <w:rPr>
          <w:i/>
          <w:sz w:val="19"/>
        </w:rPr>
      </w:pPr>
      <w:r>
        <w:rPr>
          <w:i/>
          <w:color w:val="231F20"/>
          <w:w w:val="105"/>
          <w:sz w:val="19"/>
        </w:rPr>
        <w:t xml:space="preserve">This is a fragment about the structure of the group, which Ulrike insisted on presenting in Stammheim, in order to destroy the leadership theory around which the </w:t>
      </w:r>
      <w:r>
        <w:rPr>
          <w:i/>
          <w:color w:val="231F20"/>
          <w:spacing w:val="-10"/>
          <w:w w:val="105"/>
          <w:sz w:val="19"/>
        </w:rPr>
        <w:t xml:space="preserve">BAW </w:t>
      </w:r>
      <w:r>
        <w:rPr>
          <w:i/>
          <w:color w:val="231F20"/>
          <w:w w:val="105"/>
          <w:sz w:val="19"/>
        </w:rPr>
        <w:t>wanted to build this trial. Andreas was opposed, and we all wanted to write it differently.</w:t>
      </w:r>
    </w:p>
    <w:p w14:paraId="4291878F" w14:textId="77777777" w:rsidR="002653E8" w:rsidRDefault="003115E3">
      <w:pPr>
        <w:spacing w:before="39" w:line="276" w:lineRule="auto"/>
        <w:ind w:left="1747" w:right="1565"/>
        <w:jc w:val="both"/>
        <w:rPr>
          <w:i/>
          <w:sz w:val="19"/>
        </w:rPr>
      </w:pPr>
      <w:r>
        <w:rPr>
          <w:i/>
          <w:color w:val="231F20"/>
          <w:w w:val="105"/>
          <w:sz w:val="19"/>
        </w:rPr>
        <w:t>It</w:t>
      </w:r>
      <w:r>
        <w:rPr>
          <w:i/>
          <w:color w:val="231F20"/>
          <w:spacing w:val="-17"/>
          <w:w w:val="105"/>
          <w:sz w:val="19"/>
        </w:rPr>
        <w:t xml:space="preserve"> </w:t>
      </w:r>
      <w:r>
        <w:rPr>
          <w:i/>
          <w:color w:val="231F20"/>
          <w:w w:val="105"/>
          <w:sz w:val="19"/>
        </w:rPr>
        <w:t>is</w:t>
      </w:r>
      <w:r>
        <w:rPr>
          <w:i/>
          <w:color w:val="231F20"/>
          <w:spacing w:val="-17"/>
          <w:w w:val="105"/>
          <w:sz w:val="19"/>
        </w:rPr>
        <w:t xml:space="preserve"> </w:t>
      </w:r>
      <w:r>
        <w:rPr>
          <w:i/>
          <w:color w:val="231F20"/>
          <w:w w:val="105"/>
          <w:sz w:val="19"/>
        </w:rPr>
        <w:t>not</w:t>
      </w:r>
      <w:r>
        <w:rPr>
          <w:i/>
          <w:color w:val="231F20"/>
          <w:spacing w:val="-17"/>
          <w:w w:val="105"/>
          <w:sz w:val="19"/>
        </w:rPr>
        <w:t xml:space="preserve"> </w:t>
      </w:r>
      <w:r>
        <w:rPr>
          <w:i/>
          <w:color w:val="231F20"/>
          <w:w w:val="105"/>
          <w:sz w:val="19"/>
        </w:rPr>
        <w:t>very</w:t>
      </w:r>
      <w:r>
        <w:rPr>
          <w:i/>
          <w:color w:val="231F20"/>
          <w:spacing w:val="-17"/>
          <w:w w:val="105"/>
          <w:sz w:val="19"/>
        </w:rPr>
        <w:t xml:space="preserve"> </w:t>
      </w:r>
      <w:r>
        <w:rPr>
          <w:i/>
          <w:color w:val="231F20"/>
          <w:w w:val="105"/>
          <w:sz w:val="19"/>
        </w:rPr>
        <w:t>important,</w:t>
      </w:r>
      <w:r>
        <w:rPr>
          <w:i/>
          <w:color w:val="231F20"/>
          <w:spacing w:val="-22"/>
          <w:w w:val="105"/>
          <w:sz w:val="19"/>
        </w:rPr>
        <w:t xml:space="preserve"> </w:t>
      </w:r>
      <w:r>
        <w:rPr>
          <w:i/>
          <w:color w:val="231F20"/>
          <w:w w:val="105"/>
          <w:sz w:val="19"/>
        </w:rPr>
        <w:t>but</w:t>
      </w:r>
      <w:r>
        <w:rPr>
          <w:i/>
          <w:color w:val="231F20"/>
          <w:spacing w:val="-17"/>
          <w:w w:val="105"/>
          <w:sz w:val="19"/>
        </w:rPr>
        <w:t xml:space="preserve"> </w:t>
      </w:r>
      <w:r>
        <w:rPr>
          <w:i/>
          <w:color w:val="231F20"/>
          <w:w w:val="105"/>
          <w:sz w:val="19"/>
        </w:rPr>
        <w:t>I</w:t>
      </w:r>
      <w:r>
        <w:rPr>
          <w:i/>
          <w:color w:val="231F20"/>
          <w:spacing w:val="-17"/>
          <w:w w:val="105"/>
          <w:sz w:val="19"/>
        </w:rPr>
        <w:t xml:space="preserve"> </w:t>
      </w:r>
      <w:r>
        <w:rPr>
          <w:i/>
          <w:color w:val="231F20"/>
          <w:w w:val="105"/>
          <w:sz w:val="19"/>
        </w:rPr>
        <w:t>have</w:t>
      </w:r>
      <w:r>
        <w:rPr>
          <w:i/>
          <w:color w:val="231F20"/>
          <w:spacing w:val="-17"/>
          <w:w w:val="105"/>
          <w:sz w:val="19"/>
        </w:rPr>
        <w:t xml:space="preserve"> </w:t>
      </w:r>
      <w:r>
        <w:rPr>
          <w:i/>
          <w:color w:val="231F20"/>
          <w:w w:val="105"/>
          <w:sz w:val="19"/>
        </w:rPr>
        <w:t>put</w:t>
      </w:r>
      <w:r>
        <w:rPr>
          <w:i/>
          <w:color w:val="231F20"/>
          <w:spacing w:val="-17"/>
          <w:w w:val="105"/>
          <w:sz w:val="19"/>
        </w:rPr>
        <w:t xml:space="preserve"> </w:t>
      </w:r>
      <w:r>
        <w:rPr>
          <w:i/>
          <w:color w:val="231F20"/>
          <w:w w:val="105"/>
          <w:sz w:val="19"/>
        </w:rPr>
        <w:t>it</w:t>
      </w:r>
      <w:r>
        <w:rPr>
          <w:i/>
          <w:color w:val="231F20"/>
          <w:spacing w:val="-17"/>
          <w:w w:val="105"/>
          <w:sz w:val="19"/>
        </w:rPr>
        <w:t xml:space="preserve"> </w:t>
      </w:r>
      <w:r>
        <w:rPr>
          <w:i/>
          <w:color w:val="231F20"/>
          <w:w w:val="105"/>
          <w:sz w:val="19"/>
        </w:rPr>
        <w:t>out</w:t>
      </w:r>
      <w:r>
        <w:rPr>
          <w:i/>
          <w:color w:val="231F20"/>
          <w:spacing w:val="-17"/>
          <w:w w:val="105"/>
          <w:sz w:val="19"/>
        </w:rPr>
        <w:t xml:space="preserve"> </w:t>
      </w:r>
      <w:r>
        <w:rPr>
          <w:i/>
          <w:color w:val="231F20"/>
          <w:w w:val="105"/>
          <w:sz w:val="19"/>
        </w:rPr>
        <w:t>today</w:t>
      </w:r>
      <w:r>
        <w:rPr>
          <w:i/>
          <w:color w:val="231F20"/>
          <w:spacing w:val="-17"/>
          <w:w w:val="105"/>
          <w:sz w:val="19"/>
        </w:rPr>
        <w:t xml:space="preserve"> </w:t>
      </w:r>
      <w:r>
        <w:rPr>
          <w:i/>
          <w:color w:val="231F20"/>
          <w:spacing w:val="-3"/>
          <w:w w:val="105"/>
          <w:sz w:val="19"/>
        </w:rPr>
        <w:t>anyway</w:t>
      </w:r>
      <w:r>
        <w:rPr>
          <w:i/>
          <w:color w:val="231F20"/>
          <w:spacing w:val="-17"/>
          <w:w w:val="105"/>
          <w:sz w:val="19"/>
        </w:rPr>
        <w:t xml:space="preserve"> </w:t>
      </w:r>
      <w:r>
        <w:rPr>
          <w:i/>
          <w:color w:val="231F20"/>
          <w:w w:val="105"/>
          <w:sz w:val="19"/>
        </w:rPr>
        <w:t xml:space="preserve">because it refutes </w:t>
      </w:r>
      <w:r>
        <w:rPr>
          <w:i/>
          <w:color w:val="231F20"/>
          <w:spacing w:val="-3"/>
          <w:w w:val="105"/>
          <w:sz w:val="19"/>
        </w:rPr>
        <w:t xml:space="preserve">Buback’s </w:t>
      </w:r>
      <w:r>
        <w:rPr>
          <w:i/>
          <w:color w:val="231F20"/>
          <w:w w:val="105"/>
          <w:sz w:val="19"/>
        </w:rPr>
        <w:t>filthy lies—“the conflict”—and because this is what Ulrike was working on</w:t>
      </w:r>
      <w:r>
        <w:rPr>
          <w:i/>
          <w:color w:val="231F20"/>
          <w:spacing w:val="35"/>
          <w:w w:val="105"/>
          <w:sz w:val="19"/>
        </w:rPr>
        <w:t xml:space="preserve"> </w:t>
      </w:r>
      <w:r>
        <w:rPr>
          <w:i/>
          <w:color w:val="231F20"/>
          <w:w w:val="105"/>
          <w:sz w:val="19"/>
        </w:rPr>
        <w:t>last.</w:t>
      </w:r>
    </w:p>
    <w:p w14:paraId="640A4D8B" w14:textId="77777777" w:rsidR="002653E8" w:rsidRDefault="003115E3">
      <w:pPr>
        <w:spacing w:before="39" w:line="276" w:lineRule="auto"/>
        <w:ind w:left="1747" w:right="1566"/>
        <w:jc w:val="both"/>
        <w:rPr>
          <w:i/>
          <w:sz w:val="19"/>
        </w:rPr>
      </w:pPr>
      <w:r>
        <w:rPr>
          <w:i/>
          <w:color w:val="231F20"/>
          <w:w w:val="105"/>
          <w:sz w:val="19"/>
        </w:rPr>
        <w:t>It must only be published in its entirety, accompanied by the two letters to Hanna Krabbe and the one to the Hamburg prisoners.</w:t>
      </w:r>
    </w:p>
    <w:p w14:paraId="7A4DAA1B" w14:textId="77777777" w:rsidR="002653E8" w:rsidRDefault="002653E8">
      <w:pPr>
        <w:pStyle w:val="a3"/>
        <w:spacing w:before="4"/>
        <w:rPr>
          <w:i/>
          <w:sz w:val="23"/>
        </w:rPr>
      </w:pPr>
    </w:p>
    <w:p w14:paraId="1083BB22" w14:textId="77777777" w:rsidR="002653E8" w:rsidRDefault="003115E3">
      <w:pPr>
        <w:pStyle w:val="a3"/>
        <w:spacing w:line="264" w:lineRule="auto"/>
        <w:ind w:left="1327" w:right="1145"/>
        <w:jc w:val="both"/>
      </w:pPr>
      <w:r>
        <w:rPr>
          <w:color w:val="231F20"/>
        </w:rPr>
        <w:t xml:space="preserve">These documents were intended to refute  allegations  that  Meinhof  had committed suicide by showing her to be as committed and determined as ever. Ironically, this makes them amongst the least interesting of the statements from the captured combatants. Meinhof’s praise for the </w:t>
      </w:r>
      <w:r w:rsidR="00C507A5">
        <w:rPr>
          <w:color w:val="231F20"/>
          <w:spacing w:val="1"/>
        </w:rPr>
        <w:t>red army faction</w:t>
      </w:r>
      <w:r>
        <w:rPr>
          <w:color w:val="231F20"/>
          <w:spacing w:val="1"/>
        </w:rPr>
        <w:t xml:space="preserve">’s </w:t>
      </w:r>
      <w:r>
        <w:rPr>
          <w:color w:val="231F20"/>
        </w:rPr>
        <w:t>collective process and for Baader as an individual, taken out of context, may seem naïve, while her letters to other prisoners, which were not written for broad publication, would strike many as unduly</w:t>
      </w:r>
      <w:r>
        <w:rPr>
          <w:color w:val="231F20"/>
          <w:spacing w:val="10"/>
        </w:rPr>
        <w:t xml:space="preserve"> </w:t>
      </w:r>
      <w:r>
        <w:rPr>
          <w:color w:val="231F20"/>
        </w:rPr>
        <w:t>harsh.</w:t>
      </w:r>
    </w:p>
    <w:p w14:paraId="28AEBB6E" w14:textId="77777777" w:rsidR="002653E8" w:rsidRDefault="00000000">
      <w:pPr>
        <w:pStyle w:val="a3"/>
        <w:spacing w:before="1"/>
        <w:rPr>
          <w:sz w:val="26"/>
        </w:rPr>
      </w:pPr>
      <w:r>
        <w:rPr>
          <w:noProof w:val="0"/>
        </w:rPr>
        <w:pict w14:anchorId="33AA5F65">
          <v:line id="_x0000_s2281" style="position:absolute;z-index:8584;mso-wrap-distance-left:0;mso-wrap-distance-right:0;mso-position-horizontal-relative:page" from="66.4pt,17.55pt" to="138.4pt,17.55pt" strokecolor="#231f20" strokeweight=".5pt">
            <w10:wrap type="topAndBottom" anchorx="page"/>
          </v:line>
        </w:pict>
      </w:r>
    </w:p>
    <w:p w14:paraId="525927A7" w14:textId="77777777" w:rsidR="002653E8" w:rsidRDefault="003115E3">
      <w:pPr>
        <w:pStyle w:val="a4"/>
        <w:numPr>
          <w:ilvl w:val="0"/>
          <w:numId w:val="83"/>
        </w:numPr>
        <w:tabs>
          <w:tab w:val="left" w:pos="1467"/>
        </w:tabs>
        <w:spacing w:before="53"/>
        <w:ind w:left="1466"/>
        <w:jc w:val="left"/>
        <w:rPr>
          <w:i/>
          <w:sz w:val="16"/>
        </w:rPr>
      </w:pPr>
      <w:r>
        <w:rPr>
          <w:color w:val="231F20"/>
          <w:w w:val="105"/>
          <w:sz w:val="16"/>
        </w:rPr>
        <w:t>Associated</w:t>
      </w:r>
      <w:r>
        <w:rPr>
          <w:color w:val="231F20"/>
          <w:spacing w:val="11"/>
          <w:w w:val="105"/>
          <w:sz w:val="16"/>
        </w:rPr>
        <w:t xml:space="preserve"> </w:t>
      </w:r>
      <w:r>
        <w:rPr>
          <w:color w:val="231F20"/>
          <w:w w:val="105"/>
          <w:sz w:val="16"/>
        </w:rPr>
        <w:t>Press,</w:t>
      </w:r>
      <w:r>
        <w:rPr>
          <w:color w:val="231F20"/>
          <w:spacing w:val="11"/>
          <w:w w:val="105"/>
          <w:sz w:val="16"/>
        </w:rPr>
        <w:t xml:space="preserve"> </w:t>
      </w:r>
      <w:r>
        <w:rPr>
          <w:color w:val="231F20"/>
          <w:w w:val="105"/>
          <w:sz w:val="16"/>
        </w:rPr>
        <w:t>“Bombs</w:t>
      </w:r>
      <w:r>
        <w:rPr>
          <w:color w:val="231F20"/>
          <w:spacing w:val="11"/>
          <w:w w:val="105"/>
          <w:sz w:val="16"/>
        </w:rPr>
        <w:t xml:space="preserve"> </w:t>
      </w:r>
      <w:r>
        <w:rPr>
          <w:color w:val="231F20"/>
          <w:w w:val="105"/>
          <w:sz w:val="16"/>
        </w:rPr>
        <w:t>damage</w:t>
      </w:r>
      <w:r>
        <w:rPr>
          <w:color w:val="231F20"/>
          <w:spacing w:val="11"/>
          <w:w w:val="105"/>
          <w:sz w:val="16"/>
        </w:rPr>
        <w:t xml:space="preserve"> </w:t>
      </w:r>
      <w:r>
        <w:rPr>
          <w:color w:val="231F20"/>
          <w:w w:val="105"/>
          <w:sz w:val="16"/>
        </w:rPr>
        <w:t>building</w:t>
      </w:r>
      <w:r>
        <w:rPr>
          <w:color w:val="231F20"/>
          <w:spacing w:val="11"/>
          <w:w w:val="105"/>
          <w:sz w:val="16"/>
        </w:rPr>
        <w:t xml:space="preserve"> </w:t>
      </w:r>
      <w:r>
        <w:rPr>
          <w:color w:val="231F20"/>
          <w:w w:val="105"/>
          <w:sz w:val="16"/>
        </w:rPr>
        <w:t>in</w:t>
      </w:r>
      <w:r>
        <w:rPr>
          <w:color w:val="231F20"/>
          <w:spacing w:val="11"/>
          <w:w w:val="105"/>
          <w:sz w:val="16"/>
        </w:rPr>
        <w:t xml:space="preserve"> </w:t>
      </w:r>
      <w:r>
        <w:rPr>
          <w:color w:val="231F20"/>
          <w:w w:val="105"/>
          <w:sz w:val="16"/>
        </w:rPr>
        <w:t>Paris,”</w:t>
      </w:r>
      <w:r>
        <w:rPr>
          <w:color w:val="231F20"/>
          <w:spacing w:val="11"/>
          <w:w w:val="105"/>
          <w:sz w:val="16"/>
        </w:rPr>
        <w:t xml:space="preserve"> </w:t>
      </w:r>
      <w:r>
        <w:rPr>
          <w:i/>
          <w:color w:val="231F20"/>
          <w:w w:val="105"/>
          <w:sz w:val="16"/>
        </w:rPr>
        <w:t>Oxnard</w:t>
      </w:r>
      <w:r>
        <w:rPr>
          <w:i/>
          <w:color w:val="231F20"/>
          <w:spacing w:val="11"/>
          <w:w w:val="105"/>
          <w:sz w:val="16"/>
        </w:rPr>
        <w:t xml:space="preserve"> </w:t>
      </w:r>
      <w:r>
        <w:rPr>
          <w:i/>
          <w:color w:val="231F20"/>
          <w:w w:val="105"/>
          <w:sz w:val="16"/>
        </w:rPr>
        <w:t>Press</w:t>
      </w:r>
      <w:r>
        <w:rPr>
          <w:i/>
          <w:color w:val="231F20"/>
          <w:spacing w:val="11"/>
          <w:w w:val="105"/>
          <w:sz w:val="16"/>
        </w:rPr>
        <w:t xml:space="preserve"> </w:t>
      </w:r>
      <w:r>
        <w:rPr>
          <w:i/>
          <w:color w:val="231F20"/>
          <w:w w:val="105"/>
          <w:sz w:val="16"/>
        </w:rPr>
        <w:t>Courier,</w:t>
      </w:r>
    </w:p>
    <w:p w14:paraId="41531074" w14:textId="77777777" w:rsidR="002653E8" w:rsidRDefault="003115E3">
      <w:pPr>
        <w:spacing w:before="11"/>
        <w:ind w:left="1327"/>
        <w:rPr>
          <w:sz w:val="16"/>
        </w:rPr>
      </w:pPr>
      <w:r>
        <w:rPr>
          <w:color w:val="231F20"/>
          <w:w w:val="115"/>
          <w:sz w:val="16"/>
        </w:rPr>
        <w:t>May 19, 1976.</w:t>
      </w:r>
    </w:p>
    <w:p w14:paraId="2AAB035D" w14:textId="77777777" w:rsidR="002653E8" w:rsidRDefault="003115E3">
      <w:pPr>
        <w:pStyle w:val="a4"/>
        <w:numPr>
          <w:ilvl w:val="0"/>
          <w:numId w:val="83"/>
        </w:numPr>
        <w:tabs>
          <w:tab w:val="left" w:pos="1467"/>
        </w:tabs>
        <w:spacing w:before="52" w:line="254" w:lineRule="auto"/>
        <w:ind w:right="1230" w:firstLine="0"/>
        <w:jc w:val="left"/>
        <w:rPr>
          <w:sz w:val="16"/>
        </w:rPr>
      </w:pPr>
      <w:r>
        <w:rPr>
          <w:color w:val="231F20"/>
          <w:w w:val="105"/>
          <w:sz w:val="16"/>
        </w:rPr>
        <w:t xml:space="preserve">United Press International, “Army Headquarters Hit by Terrorist Bombs,” </w:t>
      </w:r>
      <w:r>
        <w:rPr>
          <w:i/>
          <w:color w:val="231F20"/>
          <w:w w:val="105"/>
          <w:sz w:val="16"/>
        </w:rPr>
        <w:t xml:space="preserve">Valley Morning Star, </w:t>
      </w:r>
      <w:r>
        <w:rPr>
          <w:color w:val="231F20"/>
          <w:w w:val="105"/>
          <w:sz w:val="16"/>
        </w:rPr>
        <w:t>June 2,</w:t>
      </w:r>
      <w:r>
        <w:rPr>
          <w:color w:val="231F20"/>
          <w:spacing w:val="35"/>
          <w:w w:val="105"/>
          <w:sz w:val="16"/>
        </w:rPr>
        <w:t xml:space="preserve"> </w:t>
      </w:r>
      <w:r>
        <w:rPr>
          <w:color w:val="231F20"/>
          <w:spacing w:val="-3"/>
          <w:w w:val="105"/>
          <w:sz w:val="16"/>
        </w:rPr>
        <w:t>1976.</w:t>
      </w:r>
    </w:p>
    <w:p w14:paraId="7DACDCB9" w14:textId="77777777" w:rsidR="002653E8" w:rsidRDefault="002653E8">
      <w:pPr>
        <w:spacing w:line="254" w:lineRule="auto"/>
        <w:rPr>
          <w:sz w:val="16"/>
        </w:rPr>
        <w:sectPr w:rsidR="002653E8">
          <w:pgSz w:w="8640" w:h="12960"/>
          <w:pgMar w:top="1060" w:right="0" w:bottom="1040" w:left="0" w:header="0" w:footer="850" w:gutter="0"/>
          <w:cols w:space="720"/>
        </w:sectPr>
      </w:pPr>
    </w:p>
    <w:p w14:paraId="6B9CB285" w14:textId="77777777" w:rsidR="002653E8" w:rsidRDefault="003115E3">
      <w:pPr>
        <w:pStyle w:val="a3"/>
        <w:spacing w:before="86" w:line="264" w:lineRule="auto"/>
        <w:ind w:left="1147" w:right="1325" w:firstLine="210"/>
        <w:jc w:val="both"/>
      </w:pPr>
      <w:r>
        <w:rPr>
          <w:color w:val="231F20"/>
        </w:rPr>
        <w:lastRenderedPageBreak/>
        <w:t xml:space="preserve">The prisoners were aware of this, and their reticence is noted by Raspe, but countering the suicide story was clearly viewed as being of greater importance. After all, the state had shown that it was prepared to incorporate the death or even murder of prisoners into its psychological warfare campaign. How could countering this campaign </w:t>
      </w:r>
      <w:r>
        <w:rPr>
          <w:i/>
          <w:color w:val="231F20"/>
        </w:rPr>
        <w:t xml:space="preserve">not </w:t>
      </w:r>
      <w:r>
        <w:rPr>
          <w:color w:val="231F20"/>
        </w:rPr>
        <w:t>assume the highest</w:t>
      </w:r>
      <w:r>
        <w:rPr>
          <w:color w:val="231F20"/>
          <w:spacing w:val="30"/>
        </w:rPr>
        <w:t xml:space="preserve"> </w:t>
      </w:r>
      <w:r>
        <w:rPr>
          <w:color w:val="231F20"/>
        </w:rPr>
        <w:t>priority?</w:t>
      </w:r>
    </w:p>
    <w:p w14:paraId="75798855" w14:textId="77777777" w:rsidR="002653E8" w:rsidRDefault="003115E3">
      <w:pPr>
        <w:pStyle w:val="a3"/>
        <w:spacing w:line="264" w:lineRule="auto"/>
        <w:ind w:left="1147" w:right="1325" w:firstLine="210"/>
        <w:jc w:val="both"/>
      </w:pPr>
      <w:r>
        <w:rPr>
          <w:color w:val="231F20"/>
        </w:rPr>
        <w:t xml:space="preserve">Apart from releasing Meinhof’s last documents, the defense attorneys arranged for a collective interview with the prisoners, meant to be published in </w:t>
      </w:r>
      <w:r>
        <w:rPr>
          <w:i/>
          <w:color w:val="231F20"/>
          <w:spacing w:val="1"/>
        </w:rPr>
        <w:t xml:space="preserve">Le </w:t>
      </w:r>
      <w:r>
        <w:rPr>
          <w:i/>
          <w:color w:val="231F20"/>
        </w:rPr>
        <w:t>Monde Diplomatique</w:t>
      </w:r>
      <w:r>
        <w:rPr>
          <w:color w:val="231F20"/>
        </w:rPr>
        <w:t xml:space="preserve">, one of France’s most important newspapers. Here, the prisoners put forward their view of the murder, the state’s propaganda campaign, and the </w:t>
      </w:r>
      <w:r>
        <w:rPr>
          <w:color w:val="231F20"/>
          <w:spacing w:val="-2"/>
        </w:rPr>
        <w:t xml:space="preserve">way </w:t>
      </w:r>
      <w:r>
        <w:rPr>
          <w:color w:val="231F20"/>
        </w:rPr>
        <w:t xml:space="preserve">in which their broken former comrades were used against them. (Although this interview was widely circulated within the radical left, to the best of our knowledge     it was never in fact  published  in  </w:t>
      </w:r>
      <w:r>
        <w:rPr>
          <w:i/>
          <w:color w:val="231F20"/>
          <w:spacing w:val="1"/>
        </w:rPr>
        <w:t xml:space="preserve">Le  </w:t>
      </w:r>
      <w:r>
        <w:rPr>
          <w:i/>
          <w:color w:val="231F20"/>
        </w:rPr>
        <w:t xml:space="preserve">Monde  Diplomatique,  </w:t>
      </w:r>
      <w:r>
        <w:rPr>
          <w:color w:val="231F20"/>
        </w:rPr>
        <w:t>although  the information was parsed into a series of articles that appeared at  that</w:t>
      </w:r>
      <w:r>
        <w:rPr>
          <w:color w:val="231F20"/>
          <w:spacing w:val="10"/>
        </w:rPr>
        <w:t xml:space="preserve"> </w:t>
      </w:r>
      <w:r>
        <w:rPr>
          <w:color w:val="231F20"/>
        </w:rPr>
        <w:t>time.)</w:t>
      </w:r>
    </w:p>
    <w:p w14:paraId="527013FF" w14:textId="77777777" w:rsidR="002653E8" w:rsidRDefault="003115E3">
      <w:pPr>
        <w:pStyle w:val="a3"/>
        <w:spacing w:line="264" w:lineRule="auto"/>
        <w:ind w:left="1147" w:right="1326" w:firstLine="210"/>
        <w:jc w:val="both"/>
      </w:pPr>
      <w:r>
        <w:rPr>
          <w:color w:val="231F20"/>
        </w:rPr>
        <w:t>The state’s psychological warfare campaign failed in its attempt to turn Meinhof’s death against the prisoners. The story it floated—that she had had a “falling out” with the others, supposedly as a result of the Springer bombing four years earlier</w:t>
      </w:r>
      <w:r>
        <w:rPr>
          <w:color w:val="231F20"/>
          <w:position w:val="7"/>
          <w:sz w:val="11"/>
        </w:rPr>
        <w:t>1</w:t>
      </w:r>
      <w:r>
        <w:rPr>
          <w:color w:val="231F20"/>
        </w:rPr>
        <w:t>—was simply not credible.</w:t>
      </w:r>
    </w:p>
    <w:p w14:paraId="30BC05DD" w14:textId="77777777" w:rsidR="002653E8" w:rsidRDefault="003115E3">
      <w:pPr>
        <w:pStyle w:val="a3"/>
        <w:spacing w:line="264" w:lineRule="auto"/>
        <w:ind w:left="1147" w:right="1326" w:firstLine="280"/>
        <w:jc w:val="both"/>
      </w:pPr>
      <w:r>
        <w:rPr>
          <w:color w:val="231F20"/>
        </w:rPr>
        <w:t xml:space="preserve">Meinhof’s death may have traumatized the </w:t>
      </w:r>
      <w:r w:rsidR="00C507A5">
        <w:rPr>
          <w:color w:val="231F20"/>
          <w:spacing w:val="5"/>
        </w:rPr>
        <w:t>red army faction</w:t>
      </w:r>
      <w:r>
        <w:rPr>
          <w:color w:val="231F20"/>
          <w:spacing w:val="5"/>
        </w:rPr>
        <w:t xml:space="preserve"> </w:t>
      </w:r>
      <w:r>
        <w:rPr>
          <w:color w:val="231F20"/>
        </w:rPr>
        <w:t xml:space="preserve">and its prisoners, but it certainly did not lessen their resolve. The stakes now seemed higher than ever, and </w:t>
      </w:r>
      <w:r>
        <w:rPr>
          <w:color w:val="231F20"/>
          <w:spacing w:val="-3"/>
        </w:rPr>
        <w:t xml:space="preserve">West </w:t>
      </w:r>
      <w:r>
        <w:rPr>
          <w:color w:val="231F20"/>
        </w:rPr>
        <w:t>Germany’s “fascist drift” seemed well nigh indisputable.</w:t>
      </w:r>
    </w:p>
    <w:p w14:paraId="3839BC2A" w14:textId="77777777" w:rsidR="002653E8" w:rsidRDefault="003115E3">
      <w:pPr>
        <w:pStyle w:val="a3"/>
        <w:spacing w:line="264" w:lineRule="auto"/>
        <w:ind w:left="1357" w:right="2686"/>
      </w:pPr>
      <w:r>
        <w:rPr>
          <w:color w:val="231F20"/>
        </w:rPr>
        <w:t>As never before, circumstances cried out for action. The cry would not go unanswered.</w:t>
      </w:r>
    </w:p>
    <w:p w14:paraId="19F458AC" w14:textId="77777777" w:rsidR="002653E8" w:rsidRDefault="002653E8">
      <w:pPr>
        <w:pStyle w:val="a3"/>
      </w:pPr>
    </w:p>
    <w:p w14:paraId="4DFA87EA" w14:textId="77777777" w:rsidR="002653E8" w:rsidRDefault="002653E8">
      <w:pPr>
        <w:pStyle w:val="a3"/>
      </w:pPr>
    </w:p>
    <w:p w14:paraId="1F3CF626" w14:textId="77777777" w:rsidR="002653E8" w:rsidRDefault="002653E8">
      <w:pPr>
        <w:pStyle w:val="a3"/>
      </w:pPr>
    </w:p>
    <w:p w14:paraId="00BBD6FE" w14:textId="77777777" w:rsidR="002653E8" w:rsidRDefault="002653E8">
      <w:pPr>
        <w:pStyle w:val="a3"/>
      </w:pPr>
    </w:p>
    <w:p w14:paraId="413370D1" w14:textId="77777777" w:rsidR="002653E8" w:rsidRDefault="002653E8">
      <w:pPr>
        <w:pStyle w:val="a3"/>
      </w:pPr>
    </w:p>
    <w:p w14:paraId="6D7BD1A6" w14:textId="77777777" w:rsidR="002653E8" w:rsidRDefault="002653E8">
      <w:pPr>
        <w:pStyle w:val="a3"/>
      </w:pPr>
    </w:p>
    <w:p w14:paraId="4226BCCC" w14:textId="77777777" w:rsidR="002653E8" w:rsidRDefault="002653E8">
      <w:pPr>
        <w:pStyle w:val="a3"/>
      </w:pPr>
    </w:p>
    <w:p w14:paraId="6325C2BC" w14:textId="77777777" w:rsidR="002653E8" w:rsidRDefault="002653E8">
      <w:pPr>
        <w:pStyle w:val="a3"/>
      </w:pPr>
    </w:p>
    <w:p w14:paraId="3AACA454" w14:textId="77777777" w:rsidR="002653E8" w:rsidRDefault="002653E8">
      <w:pPr>
        <w:pStyle w:val="a3"/>
      </w:pPr>
    </w:p>
    <w:p w14:paraId="0C28F1ED" w14:textId="77777777" w:rsidR="002653E8" w:rsidRDefault="00000000">
      <w:pPr>
        <w:pStyle w:val="a3"/>
        <w:spacing w:before="1"/>
        <w:rPr>
          <w:sz w:val="11"/>
        </w:rPr>
      </w:pPr>
      <w:r>
        <w:rPr>
          <w:noProof w:val="0"/>
        </w:rPr>
        <w:pict w14:anchorId="2A1A654F">
          <v:line id="_x0000_s2280" style="position:absolute;z-index:8608;mso-wrap-distance-left:0;mso-wrap-distance-right:0;mso-position-horizontal-relative:page" from="57.4pt,8.75pt" to="129.4pt,8.75pt" strokecolor="#231f20" strokeweight=".5pt">
            <w10:wrap type="topAndBottom" anchorx="page"/>
          </v:line>
        </w:pict>
      </w:r>
    </w:p>
    <w:p w14:paraId="19D5C88C" w14:textId="77777777" w:rsidR="002653E8" w:rsidRDefault="003115E3">
      <w:pPr>
        <w:spacing w:before="53" w:line="254" w:lineRule="auto"/>
        <w:ind w:left="1147" w:right="1414"/>
        <w:rPr>
          <w:sz w:val="16"/>
        </w:rPr>
      </w:pPr>
      <w:r>
        <w:rPr>
          <w:color w:val="231F20"/>
          <w:w w:val="105"/>
          <w:sz w:val="16"/>
        </w:rPr>
        <w:t xml:space="preserve">1 The state would claim that Meinhof  had  organized  this  bombing,  which  the others disagreed with because of the risk posed to innocent bystanders. </w:t>
      </w:r>
      <w:r>
        <w:rPr>
          <w:color w:val="231F20"/>
          <w:spacing w:val="1"/>
          <w:w w:val="105"/>
          <w:sz w:val="16"/>
        </w:rPr>
        <w:t xml:space="preserve">This </w:t>
      </w:r>
      <w:r>
        <w:rPr>
          <w:color w:val="231F20"/>
          <w:w w:val="105"/>
          <w:sz w:val="16"/>
        </w:rPr>
        <w:t xml:space="preserve">version of events was flatly contradicted by Brigitte Mohnhaupt’s testimony in </w:t>
      </w:r>
      <w:r>
        <w:rPr>
          <w:color w:val="231F20"/>
          <w:spacing w:val="1"/>
          <w:w w:val="105"/>
          <w:sz w:val="16"/>
        </w:rPr>
        <w:t xml:space="preserve">Stammheim </w:t>
      </w:r>
      <w:r>
        <w:rPr>
          <w:color w:val="231F20"/>
          <w:w w:val="105"/>
          <w:sz w:val="16"/>
        </w:rPr>
        <w:t xml:space="preserve">(see pages </w:t>
      </w:r>
      <w:r>
        <w:rPr>
          <w:color w:val="231F20"/>
          <w:spacing w:val="-5"/>
          <w:w w:val="105"/>
          <w:sz w:val="16"/>
        </w:rPr>
        <w:t xml:space="preserve">357-58).  </w:t>
      </w:r>
      <w:r>
        <w:rPr>
          <w:color w:val="231F20"/>
          <w:w w:val="105"/>
          <w:sz w:val="16"/>
        </w:rPr>
        <w:t>Not to mention that since the Springer bombing, Meinhof and    the others had continued to struggle together through isolation and three brutal hunger</w:t>
      </w:r>
      <w:r>
        <w:rPr>
          <w:color w:val="231F20"/>
          <w:spacing w:val="7"/>
          <w:w w:val="105"/>
          <w:sz w:val="16"/>
        </w:rPr>
        <w:t xml:space="preserve"> </w:t>
      </w:r>
      <w:r>
        <w:rPr>
          <w:color w:val="231F20"/>
          <w:w w:val="105"/>
          <w:sz w:val="16"/>
        </w:rPr>
        <w:t>strikes.</w:t>
      </w:r>
    </w:p>
    <w:p w14:paraId="397B6638" w14:textId="77777777" w:rsidR="002653E8" w:rsidRDefault="002653E8">
      <w:pPr>
        <w:spacing w:line="254" w:lineRule="auto"/>
        <w:rPr>
          <w:sz w:val="16"/>
        </w:rPr>
        <w:sectPr w:rsidR="002653E8">
          <w:footerReference w:type="even" r:id="rId333"/>
          <w:footerReference w:type="default" r:id="rId334"/>
          <w:pgSz w:w="8640" w:h="12960"/>
          <w:pgMar w:top="1060" w:right="0" w:bottom="1040" w:left="0" w:header="0" w:footer="850" w:gutter="0"/>
          <w:pgNumType w:start="392"/>
          <w:cols w:space="720"/>
        </w:sectPr>
      </w:pPr>
    </w:p>
    <w:p w14:paraId="4E0D577F" w14:textId="77777777" w:rsidR="002653E8" w:rsidRDefault="00000000">
      <w:pPr>
        <w:pStyle w:val="a3"/>
        <w:spacing w:before="4"/>
        <w:rPr>
          <w:sz w:val="16"/>
        </w:rPr>
      </w:pPr>
      <w:r>
        <w:rPr>
          <w:noProof w:val="0"/>
        </w:rPr>
        <w:lastRenderedPageBreak/>
        <w:pict w14:anchorId="51AD4357">
          <v:group id="_x0000_s2272" style="position:absolute;margin-left:66.4pt;margin-top:54pt;width:308.25pt;height:514.6pt;z-index:-456016;mso-position-horizontal-relative:page;mso-position-vertical-relative:page" coordorigin="1328,1080" coordsize="6165,10292">
            <v:rect id="_x0000_s2279" style="position:absolute;left:1327;top:1080;width:6165;height:10292" fillcolor="#e6e7e8" stroked="f"/>
            <v:line id="_x0000_s2278" style="position:absolute" from="1603,10938" to="3043,10938" strokecolor="#231f20" strokeweight=".5pt"/>
            <v:line id="_x0000_s2277" style="position:absolute" from="1335,1140" to="1335,11327" strokecolor="#231f20">
              <v:stroke dashstyle="3 1"/>
            </v:line>
            <v:line id="_x0000_s2276" style="position:absolute" from="1388,11364" to="7447,11364" strokecolor="#231f20">
              <v:stroke dashstyle="3 1"/>
            </v:line>
            <v:line id="_x0000_s2275" style="position:absolute" from="7485,11312" to="7485,1125" strokecolor="#231f20">
              <v:stroke dashstyle="3 1"/>
            </v:line>
            <v:line id="_x0000_s2274" style="position:absolute" from="7432,1088" to="1373,1088" strokecolor="#231f20">
              <v:stroke dashstyle="3 1"/>
            </v:line>
            <v:shape id="_x0000_s2273" style="position:absolute;top:2705;width:6150;height:10277" coordorigin=",2706" coordsize="6150,10277" o:spt="100" adj="0,,0" path="m1335,11342r,22l1358,11364t6104,l7485,11364r,-22m7485,1110r,-22l7462,1088t-6104,l1335,1088r,22e" filled="f" strokecolor="#231f20">
              <v:stroke joinstyle="round"/>
              <v:formulas/>
              <v:path arrowok="t" o:connecttype="segments"/>
            </v:shape>
            <w10:wrap anchorx="page" anchory="page"/>
          </v:group>
        </w:pict>
      </w:r>
    </w:p>
    <w:p w14:paraId="70E28537" w14:textId="77777777" w:rsidR="002653E8" w:rsidRDefault="003115E3">
      <w:pPr>
        <w:spacing w:before="88"/>
        <w:ind w:left="1963"/>
        <w:rPr>
          <w:rFonts w:ascii="Lucida Sans"/>
          <w:b/>
          <w:sz w:val="24"/>
        </w:rPr>
      </w:pPr>
      <w:bookmarkStart w:id="181" w:name="meinhof:_the_suicide-murder_debate_"/>
      <w:bookmarkStart w:id="182" w:name="_bookmark59"/>
      <w:bookmarkEnd w:id="181"/>
      <w:bookmarkEnd w:id="182"/>
      <w:r>
        <w:rPr>
          <w:rFonts w:ascii="Lucida Sans"/>
          <w:b/>
          <w:color w:val="231F20"/>
          <w:spacing w:val="18"/>
          <w:sz w:val="24"/>
        </w:rPr>
        <w:t xml:space="preserve">Meinhof: </w:t>
      </w:r>
      <w:r>
        <w:rPr>
          <w:rFonts w:ascii="Lucida Sans"/>
          <w:b/>
          <w:color w:val="231F20"/>
          <w:spacing w:val="15"/>
          <w:sz w:val="24"/>
        </w:rPr>
        <w:t xml:space="preserve">the </w:t>
      </w:r>
      <w:r>
        <w:rPr>
          <w:rFonts w:ascii="Lucida Sans"/>
          <w:b/>
          <w:color w:val="231F20"/>
          <w:spacing w:val="18"/>
          <w:sz w:val="24"/>
        </w:rPr>
        <w:t xml:space="preserve">suicide </w:t>
      </w:r>
      <w:r>
        <w:rPr>
          <w:rFonts w:ascii="Lucida Sans"/>
          <w:b/>
          <w:color w:val="231F20"/>
          <w:spacing w:val="17"/>
          <w:sz w:val="24"/>
        </w:rPr>
        <w:t>Murder</w:t>
      </w:r>
      <w:r>
        <w:rPr>
          <w:rFonts w:ascii="Lucida Sans"/>
          <w:b/>
          <w:color w:val="231F20"/>
          <w:spacing w:val="-36"/>
          <w:sz w:val="24"/>
        </w:rPr>
        <w:t xml:space="preserve"> </w:t>
      </w:r>
      <w:r>
        <w:rPr>
          <w:rFonts w:ascii="Lucida Sans"/>
          <w:b/>
          <w:color w:val="231F20"/>
          <w:spacing w:val="17"/>
          <w:sz w:val="24"/>
        </w:rPr>
        <w:t>Debate</w:t>
      </w:r>
    </w:p>
    <w:p w14:paraId="3D1D8644" w14:textId="77777777" w:rsidR="002653E8" w:rsidRDefault="003115E3">
      <w:pPr>
        <w:spacing w:before="146" w:line="264" w:lineRule="auto"/>
        <w:ind w:left="1602" w:right="1848"/>
        <w:rPr>
          <w:rFonts w:ascii="Calibri"/>
          <w:sz w:val="19"/>
        </w:rPr>
      </w:pPr>
      <w:r>
        <w:rPr>
          <w:rFonts w:ascii="Calibri"/>
          <w:color w:val="231F20"/>
          <w:spacing w:val="1"/>
          <w:w w:val="105"/>
          <w:sz w:val="19"/>
        </w:rPr>
        <w:t xml:space="preserve">As </w:t>
      </w:r>
      <w:r>
        <w:rPr>
          <w:rFonts w:ascii="Calibri"/>
          <w:color w:val="231F20"/>
          <w:w w:val="105"/>
          <w:sz w:val="19"/>
        </w:rPr>
        <w:t xml:space="preserve">strongly as we can, the editors of this book are putting </w:t>
      </w:r>
      <w:r>
        <w:rPr>
          <w:rFonts w:ascii="Calibri"/>
          <w:color w:val="231F20"/>
          <w:spacing w:val="1"/>
          <w:w w:val="105"/>
          <w:sz w:val="19"/>
        </w:rPr>
        <w:t xml:space="preserve">forth </w:t>
      </w:r>
      <w:r>
        <w:rPr>
          <w:rFonts w:ascii="Calibri"/>
          <w:color w:val="231F20"/>
          <w:w w:val="105"/>
          <w:sz w:val="19"/>
        </w:rPr>
        <w:t>the thesis that Ulrike Meinhof was murdered, while in no way presenting</w:t>
      </w:r>
      <w:r>
        <w:rPr>
          <w:rFonts w:ascii="Calibri"/>
          <w:color w:val="231F20"/>
          <w:spacing w:val="13"/>
          <w:w w:val="105"/>
          <w:sz w:val="19"/>
        </w:rPr>
        <w:t xml:space="preserve"> </w:t>
      </w:r>
      <w:r>
        <w:rPr>
          <w:rFonts w:ascii="Calibri"/>
          <w:color w:val="231F20"/>
          <w:w w:val="105"/>
          <w:sz w:val="19"/>
        </w:rPr>
        <w:t>any</w:t>
      </w:r>
      <w:r>
        <w:rPr>
          <w:rFonts w:ascii="Calibri"/>
          <w:color w:val="231F20"/>
          <w:spacing w:val="13"/>
          <w:w w:val="105"/>
          <w:sz w:val="19"/>
        </w:rPr>
        <w:t xml:space="preserve"> </w:t>
      </w:r>
      <w:r>
        <w:rPr>
          <w:rFonts w:ascii="Calibri"/>
          <w:color w:val="231F20"/>
          <w:w w:val="105"/>
          <w:sz w:val="19"/>
        </w:rPr>
        <w:t>information</w:t>
      </w:r>
      <w:r>
        <w:rPr>
          <w:rFonts w:ascii="Calibri"/>
          <w:color w:val="231F20"/>
          <w:spacing w:val="13"/>
          <w:w w:val="105"/>
          <w:sz w:val="19"/>
        </w:rPr>
        <w:t xml:space="preserve"> </w:t>
      </w:r>
      <w:r>
        <w:rPr>
          <w:rFonts w:ascii="Calibri"/>
          <w:color w:val="231F20"/>
          <w:w w:val="105"/>
          <w:sz w:val="19"/>
        </w:rPr>
        <w:t>that</w:t>
      </w:r>
      <w:r>
        <w:rPr>
          <w:rFonts w:ascii="Calibri"/>
          <w:color w:val="231F20"/>
          <w:spacing w:val="13"/>
          <w:w w:val="105"/>
          <w:sz w:val="19"/>
        </w:rPr>
        <w:t xml:space="preserve"> </w:t>
      </w:r>
      <w:r>
        <w:rPr>
          <w:rFonts w:ascii="Calibri"/>
          <w:color w:val="231F20"/>
          <w:w w:val="105"/>
          <w:sz w:val="19"/>
        </w:rPr>
        <w:t>we</w:t>
      </w:r>
      <w:r>
        <w:rPr>
          <w:rFonts w:ascii="Calibri"/>
          <w:color w:val="231F20"/>
          <w:spacing w:val="13"/>
          <w:w w:val="105"/>
          <w:sz w:val="19"/>
        </w:rPr>
        <w:t xml:space="preserve"> </w:t>
      </w:r>
      <w:r>
        <w:rPr>
          <w:rFonts w:ascii="Calibri"/>
          <w:color w:val="231F20"/>
          <w:w w:val="105"/>
          <w:sz w:val="19"/>
        </w:rPr>
        <w:t>do</w:t>
      </w:r>
      <w:r>
        <w:rPr>
          <w:rFonts w:ascii="Calibri"/>
          <w:color w:val="231F20"/>
          <w:spacing w:val="13"/>
          <w:w w:val="105"/>
          <w:sz w:val="19"/>
        </w:rPr>
        <w:t xml:space="preserve"> </w:t>
      </w:r>
      <w:r>
        <w:rPr>
          <w:rFonts w:ascii="Calibri"/>
          <w:color w:val="231F20"/>
          <w:w w:val="105"/>
          <w:sz w:val="19"/>
        </w:rPr>
        <w:t>not</w:t>
      </w:r>
      <w:r>
        <w:rPr>
          <w:rFonts w:ascii="Calibri"/>
          <w:color w:val="231F20"/>
          <w:spacing w:val="13"/>
          <w:w w:val="105"/>
          <w:sz w:val="19"/>
        </w:rPr>
        <w:t xml:space="preserve"> </w:t>
      </w:r>
      <w:r>
        <w:rPr>
          <w:rFonts w:ascii="Calibri"/>
          <w:color w:val="231F20"/>
          <w:w w:val="105"/>
          <w:sz w:val="19"/>
        </w:rPr>
        <w:t>firmly</w:t>
      </w:r>
      <w:r>
        <w:rPr>
          <w:rFonts w:ascii="Calibri"/>
          <w:color w:val="231F20"/>
          <w:spacing w:val="13"/>
          <w:w w:val="105"/>
          <w:sz w:val="19"/>
        </w:rPr>
        <w:t xml:space="preserve"> </w:t>
      </w:r>
      <w:r>
        <w:rPr>
          <w:rFonts w:ascii="Calibri"/>
          <w:color w:val="231F20"/>
          <w:w w:val="105"/>
          <w:sz w:val="19"/>
        </w:rPr>
        <w:t>believe</w:t>
      </w:r>
      <w:r>
        <w:rPr>
          <w:rFonts w:ascii="Calibri"/>
          <w:color w:val="231F20"/>
          <w:spacing w:val="13"/>
          <w:w w:val="105"/>
          <w:sz w:val="19"/>
        </w:rPr>
        <w:t xml:space="preserve"> </w:t>
      </w:r>
      <w:r>
        <w:rPr>
          <w:rFonts w:ascii="Calibri"/>
          <w:color w:val="231F20"/>
          <w:w w:val="105"/>
          <w:sz w:val="19"/>
        </w:rPr>
        <w:t>to</w:t>
      </w:r>
    </w:p>
    <w:p w14:paraId="30B4BF23" w14:textId="77777777" w:rsidR="002653E8" w:rsidRDefault="003115E3">
      <w:pPr>
        <w:spacing w:before="3"/>
        <w:ind w:left="1602"/>
        <w:rPr>
          <w:rFonts w:ascii="Calibri"/>
          <w:sz w:val="19"/>
        </w:rPr>
      </w:pPr>
      <w:r>
        <w:rPr>
          <w:rFonts w:ascii="Calibri"/>
          <w:color w:val="231F20"/>
          <w:w w:val="110"/>
          <w:sz w:val="19"/>
        </w:rPr>
        <w:t>be true.</w:t>
      </w:r>
    </w:p>
    <w:p w14:paraId="211572CA" w14:textId="77777777" w:rsidR="002653E8" w:rsidRDefault="003115E3">
      <w:pPr>
        <w:spacing w:before="24" w:line="264" w:lineRule="auto"/>
        <w:ind w:left="1602" w:right="1493" w:firstLine="209"/>
        <w:rPr>
          <w:rFonts w:ascii="Calibri" w:hAnsi="Calibri"/>
          <w:sz w:val="19"/>
        </w:rPr>
      </w:pPr>
      <w:r>
        <w:rPr>
          <w:rFonts w:ascii="Calibri" w:hAnsi="Calibri"/>
          <w:color w:val="231F20"/>
          <w:w w:val="110"/>
          <w:sz w:val="19"/>
        </w:rPr>
        <w:t xml:space="preserve">The history of the </w:t>
      </w:r>
      <w:r w:rsidR="00C507A5">
        <w:rPr>
          <w:rFonts w:ascii="Calibri" w:hAnsi="Calibri"/>
          <w:color w:val="231F20"/>
          <w:w w:val="110"/>
          <w:sz w:val="19"/>
        </w:rPr>
        <w:t>red army faction</w:t>
      </w:r>
      <w:r>
        <w:rPr>
          <w:rFonts w:ascii="Calibri" w:hAnsi="Calibri"/>
          <w:color w:val="231F20"/>
          <w:w w:val="110"/>
          <w:sz w:val="19"/>
        </w:rPr>
        <w:t xml:space="preserve"> and its support scene is only comprehensible if one appreciates that there was—and is—real evidence with which to dispute the state’s suicide thesis. The belief that the state had murdered a revolutionary leader is based on neither paranoia nor flakey conspiracy theories, but on an abundance of inconsistencies and irregularities in how it dealt with her death, and on its culpability in the deaths of several other </w:t>
      </w:r>
      <w:r w:rsidR="00C507A5">
        <w:rPr>
          <w:rFonts w:ascii="Calibri" w:hAnsi="Calibri"/>
          <w:color w:val="231F20"/>
          <w:w w:val="110"/>
          <w:sz w:val="19"/>
        </w:rPr>
        <w:t>red army faction</w:t>
      </w:r>
      <w:r>
        <w:rPr>
          <w:rFonts w:ascii="Calibri" w:hAnsi="Calibri"/>
          <w:color w:val="231F20"/>
          <w:w w:val="110"/>
          <w:sz w:val="19"/>
        </w:rPr>
        <w:t xml:space="preserve"> combatants—katharina Hammerschmidt, Holger Meins, and Siegfried Hausner.</w:t>
      </w:r>
    </w:p>
    <w:p w14:paraId="4EE17763" w14:textId="77777777" w:rsidR="002653E8" w:rsidRDefault="003115E3">
      <w:pPr>
        <w:spacing w:before="8" w:line="264" w:lineRule="auto"/>
        <w:ind w:left="1602" w:right="1513" w:firstLine="209"/>
        <w:rPr>
          <w:rFonts w:ascii="Calibri" w:hAnsi="Calibri"/>
          <w:sz w:val="19"/>
        </w:rPr>
      </w:pPr>
      <w:r>
        <w:rPr>
          <w:rFonts w:ascii="Calibri" w:hAnsi="Calibri"/>
          <w:color w:val="231F20"/>
          <w:w w:val="110"/>
          <w:sz w:val="19"/>
        </w:rPr>
        <w:t>In the years immediately following her death, progressive commentators would always refer to Meinhof’s death as having occurred “under suspicious circumstances,” a phrase which indicated skepticism regarding the state’s claims that she had committed suicide. The radical left was in near unanimity about her murder, despite the lack of hard proof one way or the other.</w:t>
      </w:r>
    </w:p>
    <w:p w14:paraId="3AAE0029" w14:textId="77777777" w:rsidR="002653E8" w:rsidRDefault="003115E3">
      <w:pPr>
        <w:spacing w:before="5" w:line="264" w:lineRule="auto"/>
        <w:ind w:left="1602" w:right="1513" w:firstLine="209"/>
        <w:rPr>
          <w:rFonts w:ascii="Calibri" w:hAnsi="Calibri"/>
          <w:sz w:val="19"/>
        </w:rPr>
      </w:pPr>
      <w:r>
        <w:rPr>
          <w:rFonts w:ascii="Calibri" w:hAnsi="Calibri"/>
          <w:color w:val="231F20"/>
          <w:w w:val="110"/>
          <w:sz w:val="19"/>
        </w:rPr>
        <w:t>It was enough that the government’s story simply did not add up, and the onus was felt to be on the state to explain these inconsistencies.</w:t>
      </w:r>
    </w:p>
    <w:p w14:paraId="4048EDA6" w14:textId="77777777" w:rsidR="002653E8" w:rsidRDefault="003115E3">
      <w:pPr>
        <w:spacing w:before="2" w:line="264" w:lineRule="auto"/>
        <w:ind w:left="1602" w:right="1848" w:firstLine="209"/>
        <w:rPr>
          <w:rFonts w:ascii="Calibri" w:hAnsi="Calibri"/>
          <w:sz w:val="19"/>
        </w:rPr>
      </w:pPr>
      <w:r>
        <w:rPr>
          <w:rFonts w:ascii="Calibri" w:hAnsi="Calibri"/>
          <w:color w:val="231F20"/>
          <w:w w:val="105"/>
          <w:sz w:val="19"/>
        </w:rPr>
        <w:t xml:space="preserve">Over the years, this position has reversed itself in scholarly, historical, and journalistic accounts. Although the many inconsistencies in the state’s </w:t>
      </w:r>
      <w:r>
        <w:rPr>
          <w:rFonts w:ascii="Calibri" w:hAnsi="Calibri"/>
          <w:color w:val="231F20"/>
          <w:spacing w:val="2"/>
          <w:w w:val="105"/>
          <w:sz w:val="19"/>
        </w:rPr>
        <w:t xml:space="preserve">story </w:t>
      </w:r>
      <w:r>
        <w:rPr>
          <w:rFonts w:ascii="Calibri" w:hAnsi="Calibri"/>
          <w:color w:val="231F20"/>
          <w:w w:val="105"/>
          <w:sz w:val="19"/>
        </w:rPr>
        <w:t xml:space="preserve">remain, it continues to  be said that these are more likely evidence of “incompetence” or “mistakes” than of a cover-up. </w:t>
      </w:r>
      <w:r>
        <w:rPr>
          <w:rFonts w:ascii="Calibri" w:hAnsi="Calibri"/>
          <w:color w:val="231F20"/>
          <w:spacing w:val="1"/>
          <w:w w:val="105"/>
          <w:sz w:val="19"/>
        </w:rPr>
        <w:t xml:space="preserve">As </w:t>
      </w:r>
      <w:r>
        <w:rPr>
          <w:rFonts w:ascii="Calibri" w:hAnsi="Calibri"/>
          <w:color w:val="231F20"/>
          <w:w w:val="105"/>
          <w:sz w:val="19"/>
        </w:rPr>
        <w:t xml:space="preserve">Meinhof’s biographer Jutta </w:t>
      </w:r>
      <w:r>
        <w:rPr>
          <w:rFonts w:ascii="Calibri" w:hAnsi="Calibri"/>
          <w:color w:val="231F20"/>
          <w:spacing w:val="1"/>
          <w:w w:val="105"/>
          <w:sz w:val="19"/>
        </w:rPr>
        <w:t xml:space="preserve">ditfurth </w:t>
      </w:r>
      <w:r>
        <w:rPr>
          <w:rFonts w:ascii="Calibri" w:hAnsi="Calibri"/>
          <w:color w:val="231F20"/>
          <w:w w:val="105"/>
          <w:sz w:val="19"/>
        </w:rPr>
        <w:t>explains</w:t>
      </w:r>
      <w:r>
        <w:rPr>
          <w:rFonts w:ascii="Calibri" w:hAnsi="Calibri"/>
          <w:color w:val="231F20"/>
          <w:spacing w:val="12"/>
          <w:w w:val="105"/>
          <w:sz w:val="19"/>
        </w:rPr>
        <w:t xml:space="preserve"> </w:t>
      </w:r>
      <w:r>
        <w:rPr>
          <w:rFonts w:ascii="Calibri" w:hAnsi="Calibri"/>
          <w:color w:val="231F20"/>
          <w:w w:val="105"/>
          <w:sz w:val="19"/>
        </w:rPr>
        <w:t>it,</w:t>
      </w:r>
    </w:p>
    <w:p w14:paraId="48D1E174" w14:textId="77777777" w:rsidR="002653E8" w:rsidRDefault="003115E3">
      <w:pPr>
        <w:spacing w:before="126" w:line="276" w:lineRule="auto"/>
        <w:ind w:left="2022" w:right="1840"/>
        <w:jc w:val="both"/>
        <w:rPr>
          <w:i/>
          <w:sz w:val="11"/>
        </w:rPr>
      </w:pPr>
      <w:r>
        <w:rPr>
          <w:i/>
          <w:color w:val="231F20"/>
          <w:w w:val="105"/>
          <w:sz w:val="19"/>
        </w:rPr>
        <w:t>The suspicion that Ulrike Meinhof might have been murdered continues to this day, and this has much to do with the careless, unprofessional, and hasty way that the responsible authorities mishandled the corpse.</w:t>
      </w:r>
      <w:r>
        <w:rPr>
          <w:i/>
          <w:color w:val="231F20"/>
          <w:w w:val="105"/>
          <w:position w:val="6"/>
          <w:sz w:val="11"/>
        </w:rPr>
        <w:t>2</w:t>
      </w:r>
    </w:p>
    <w:p w14:paraId="36C30B6A" w14:textId="77777777" w:rsidR="002653E8" w:rsidRDefault="003115E3">
      <w:pPr>
        <w:spacing w:before="119" w:line="264" w:lineRule="auto"/>
        <w:ind w:left="1602" w:right="1427"/>
        <w:rPr>
          <w:rFonts w:ascii="Calibri"/>
          <w:sz w:val="19"/>
        </w:rPr>
      </w:pPr>
      <w:r>
        <w:rPr>
          <w:rFonts w:ascii="Calibri"/>
          <w:color w:val="231F20"/>
          <w:w w:val="110"/>
          <w:sz w:val="19"/>
        </w:rPr>
        <w:t>According to most people, including many on the left, the onus now lies with those who disbelieve the suicide theory to come up</w:t>
      </w:r>
    </w:p>
    <w:p w14:paraId="7399A70A" w14:textId="77777777" w:rsidR="002653E8" w:rsidRDefault="002653E8">
      <w:pPr>
        <w:pStyle w:val="a3"/>
        <w:spacing w:before="6"/>
        <w:rPr>
          <w:rFonts w:ascii="Calibri"/>
          <w:sz w:val="15"/>
        </w:rPr>
      </w:pPr>
    </w:p>
    <w:p w14:paraId="68AA1A0D" w14:textId="77777777" w:rsidR="002653E8" w:rsidRDefault="003115E3">
      <w:pPr>
        <w:spacing w:before="105"/>
        <w:ind w:left="1602"/>
        <w:rPr>
          <w:sz w:val="16"/>
        </w:rPr>
      </w:pPr>
      <w:r>
        <w:rPr>
          <w:color w:val="231F20"/>
          <w:w w:val="110"/>
          <w:sz w:val="16"/>
        </w:rPr>
        <w:t>2 Ditfurth, 444.</w:t>
      </w:r>
    </w:p>
    <w:p w14:paraId="60B64275" w14:textId="77777777" w:rsidR="002653E8" w:rsidRDefault="002653E8">
      <w:pPr>
        <w:rPr>
          <w:sz w:val="16"/>
        </w:rPr>
        <w:sectPr w:rsidR="002653E8">
          <w:pgSz w:w="8640" w:h="12960"/>
          <w:pgMar w:top="1080" w:right="0" w:bottom="1040" w:left="0" w:header="0" w:footer="850" w:gutter="0"/>
          <w:cols w:space="720"/>
        </w:sectPr>
      </w:pPr>
    </w:p>
    <w:p w14:paraId="4B206542" w14:textId="77777777" w:rsidR="002653E8" w:rsidRDefault="00000000">
      <w:pPr>
        <w:pStyle w:val="a3"/>
        <w:spacing w:before="6"/>
        <w:rPr>
          <w:sz w:val="10"/>
        </w:rPr>
      </w:pPr>
      <w:r>
        <w:rPr>
          <w:noProof w:val="0"/>
        </w:rPr>
        <w:lastRenderedPageBreak/>
        <w:pict w14:anchorId="7EFD50EB">
          <v:group id="_x0000_s2264" style="position:absolute;margin-left:57.4pt;margin-top:54pt;width:308.25pt;height:514.6pt;z-index:-455992;mso-position-horizontal-relative:page;mso-position-vertical-relative:page" coordorigin="1148,1080" coordsize="6165,10292">
            <v:rect id="_x0000_s2271" style="position:absolute;left:1147;top:1080;width:6165;height:10292" fillcolor="#e6e7e8" stroked="f"/>
            <v:line id="_x0000_s2270" style="position:absolute" from="1423,10938" to="2863,10938" strokecolor="#231f20" strokeweight=".5pt"/>
            <v:line id="_x0000_s2269" style="position:absolute" from="1155,1140" to="1155,11327" strokecolor="#231f20">
              <v:stroke dashstyle="3 1"/>
            </v:line>
            <v:line id="_x0000_s2268" style="position:absolute" from="1208,11364" to="7267,11364" strokecolor="#231f20">
              <v:stroke dashstyle="3 1"/>
            </v:line>
            <v:line id="_x0000_s2267" style="position:absolute" from="7305,11312" to="7305,1125" strokecolor="#231f20">
              <v:stroke dashstyle="3 1"/>
            </v:line>
            <v:line id="_x0000_s2266" style="position:absolute" from="7252,1088" to="1193,1088" strokecolor="#231f20">
              <v:stroke dashstyle="3 1"/>
            </v:line>
            <v:shape id="_x0000_s2265" style="position:absolute;top:2705;width:6150;height:10277" coordorigin=",2706" coordsize="6150,10277" o:spt="100" adj="0,,0" path="m1155,11342r,22l1178,11364t6104,l7305,11364r,-22m7305,1110r,-22l7282,1088t-6104,l1155,1088r,22e" filled="f" strokecolor="#231f20">
              <v:stroke joinstyle="round"/>
              <v:formulas/>
              <v:path arrowok="t" o:connecttype="segments"/>
            </v:shape>
            <w10:wrap anchorx="page" anchory="page"/>
          </v:group>
        </w:pict>
      </w:r>
    </w:p>
    <w:p w14:paraId="34D97E40" w14:textId="77777777" w:rsidR="002653E8" w:rsidRDefault="003115E3">
      <w:pPr>
        <w:spacing w:before="94" w:line="264" w:lineRule="auto"/>
        <w:ind w:left="1422" w:right="1729"/>
        <w:rPr>
          <w:rFonts w:ascii="Calibri" w:hAnsi="Calibri"/>
          <w:sz w:val="19"/>
        </w:rPr>
      </w:pPr>
      <w:r>
        <w:rPr>
          <w:rFonts w:ascii="Calibri" w:hAnsi="Calibri"/>
          <w:color w:val="231F20"/>
          <w:w w:val="105"/>
          <w:sz w:val="19"/>
        </w:rPr>
        <w:t>with incontrovertible  evidence—perhaps  a  signed  confession  or a</w:t>
      </w:r>
      <w:r>
        <w:rPr>
          <w:rFonts w:ascii="Calibri" w:hAnsi="Calibri"/>
          <w:color w:val="231F20"/>
          <w:spacing w:val="22"/>
          <w:w w:val="105"/>
          <w:sz w:val="19"/>
        </w:rPr>
        <w:t xml:space="preserve"> </w:t>
      </w:r>
      <w:r>
        <w:rPr>
          <w:rFonts w:ascii="Calibri" w:hAnsi="Calibri"/>
          <w:color w:val="231F20"/>
          <w:w w:val="105"/>
          <w:sz w:val="19"/>
        </w:rPr>
        <w:t>secret</w:t>
      </w:r>
      <w:r>
        <w:rPr>
          <w:rFonts w:ascii="Calibri" w:hAnsi="Calibri"/>
          <w:color w:val="231F20"/>
          <w:spacing w:val="22"/>
          <w:w w:val="105"/>
          <w:sz w:val="19"/>
        </w:rPr>
        <w:t xml:space="preserve"> </w:t>
      </w:r>
      <w:r>
        <w:rPr>
          <w:rFonts w:ascii="Calibri" w:hAnsi="Calibri"/>
          <w:color w:val="231F20"/>
          <w:w w:val="105"/>
          <w:sz w:val="19"/>
        </w:rPr>
        <w:t>service</w:t>
      </w:r>
      <w:r>
        <w:rPr>
          <w:rFonts w:ascii="Calibri" w:hAnsi="Calibri"/>
          <w:color w:val="231F20"/>
          <w:spacing w:val="22"/>
          <w:w w:val="105"/>
          <w:sz w:val="19"/>
        </w:rPr>
        <w:t xml:space="preserve"> </w:t>
      </w:r>
      <w:r>
        <w:rPr>
          <w:rFonts w:ascii="Calibri" w:hAnsi="Calibri"/>
          <w:color w:val="231F20"/>
          <w:w w:val="105"/>
          <w:sz w:val="19"/>
        </w:rPr>
        <w:t>memo—proving</w:t>
      </w:r>
      <w:r>
        <w:rPr>
          <w:rFonts w:ascii="Calibri" w:hAnsi="Calibri"/>
          <w:color w:val="231F20"/>
          <w:spacing w:val="22"/>
          <w:w w:val="105"/>
          <w:sz w:val="19"/>
        </w:rPr>
        <w:t xml:space="preserve"> </w:t>
      </w:r>
      <w:r>
        <w:rPr>
          <w:rFonts w:ascii="Calibri" w:hAnsi="Calibri"/>
          <w:color w:val="231F20"/>
          <w:w w:val="105"/>
          <w:sz w:val="19"/>
        </w:rPr>
        <w:t>that</w:t>
      </w:r>
      <w:r>
        <w:rPr>
          <w:rFonts w:ascii="Calibri" w:hAnsi="Calibri"/>
          <w:color w:val="231F20"/>
          <w:spacing w:val="22"/>
          <w:w w:val="105"/>
          <w:sz w:val="19"/>
        </w:rPr>
        <w:t xml:space="preserve"> </w:t>
      </w:r>
      <w:r>
        <w:rPr>
          <w:rFonts w:ascii="Calibri" w:hAnsi="Calibri"/>
          <w:color w:val="231F20"/>
          <w:w w:val="105"/>
          <w:sz w:val="19"/>
        </w:rPr>
        <w:t>Meinhof</w:t>
      </w:r>
      <w:r>
        <w:rPr>
          <w:rFonts w:ascii="Calibri" w:hAnsi="Calibri"/>
          <w:color w:val="231F20"/>
          <w:spacing w:val="22"/>
          <w:w w:val="105"/>
          <w:sz w:val="19"/>
        </w:rPr>
        <w:t xml:space="preserve"> </w:t>
      </w:r>
      <w:r>
        <w:rPr>
          <w:rFonts w:ascii="Calibri" w:hAnsi="Calibri"/>
          <w:color w:val="231F20"/>
          <w:w w:val="105"/>
          <w:sz w:val="19"/>
        </w:rPr>
        <w:t>was</w:t>
      </w:r>
      <w:r>
        <w:rPr>
          <w:rFonts w:ascii="Calibri" w:hAnsi="Calibri"/>
          <w:color w:val="231F20"/>
          <w:spacing w:val="22"/>
          <w:w w:val="105"/>
          <w:sz w:val="19"/>
        </w:rPr>
        <w:t xml:space="preserve"> </w:t>
      </w:r>
      <w:r>
        <w:rPr>
          <w:rFonts w:ascii="Calibri" w:hAnsi="Calibri"/>
          <w:color w:val="231F20"/>
          <w:w w:val="105"/>
          <w:sz w:val="19"/>
        </w:rPr>
        <w:t>murdered.</w:t>
      </w:r>
    </w:p>
    <w:p w14:paraId="16CD3EF6" w14:textId="77777777" w:rsidR="002653E8" w:rsidRDefault="003115E3">
      <w:pPr>
        <w:spacing w:before="2" w:line="264" w:lineRule="auto"/>
        <w:ind w:left="1422" w:right="1848" w:firstLine="209"/>
        <w:rPr>
          <w:rFonts w:ascii="Calibri"/>
          <w:sz w:val="19"/>
        </w:rPr>
      </w:pPr>
      <w:r>
        <w:rPr>
          <w:rFonts w:ascii="Calibri"/>
          <w:color w:val="231F20"/>
          <w:w w:val="105"/>
          <w:sz w:val="19"/>
        </w:rPr>
        <w:t xml:space="preserve">This principle of trusting the state and being skeptical of its adversaries says far more about the political culture in which we  are living </w:t>
      </w:r>
      <w:r>
        <w:rPr>
          <w:rFonts w:ascii="Calibri"/>
          <w:color w:val="231F20"/>
          <w:spacing w:val="-2"/>
          <w:w w:val="105"/>
          <w:sz w:val="19"/>
        </w:rPr>
        <w:t xml:space="preserve">today, </w:t>
      </w:r>
      <w:r>
        <w:rPr>
          <w:rFonts w:ascii="Calibri"/>
          <w:color w:val="231F20"/>
          <w:w w:val="105"/>
          <w:sz w:val="19"/>
        </w:rPr>
        <w:t xml:space="preserve">than about any proof or evidence of suicide that has ever come to light, for the essential </w:t>
      </w:r>
      <w:r>
        <w:rPr>
          <w:rFonts w:ascii="Calibri"/>
          <w:color w:val="231F20"/>
          <w:spacing w:val="1"/>
          <w:w w:val="105"/>
          <w:sz w:val="19"/>
        </w:rPr>
        <w:t xml:space="preserve">facts </w:t>
      </w:r>
      <w:r>
        <w:rPr>
          <w:rFonts w:ascii="Calibri"/>
          <w:color w:val="231F20"/>
          <w:w w:val="105"/>
          <w:sz w:val="19"/>
        </w:rPr>
        <w:t>known remain the same</w:t>
      </w:r>
      <w:r>
        <w:rPr>
          <w:rFonts w:ascii="Calibri"/>
          <w:color w:val="231F20"/>
          <w:spacing w:val="8"/>
          <w:w w:val="105"/>
          <w:sz w:val="19"/>
        </w:rPr>
        <w:t xml:space="preserve"> </w:t>
      </w:r>
      <w:r>
        <w:rPr>
          <w:rFonts w:ascii="Calibri"/>
          <w:color w:val="231F20"/>
          <w:w w:val="105"/>
          <w:sz w:val="19"/>
        </w:rPr>
        <w:t>now</w:t>
      </w:r>
      <w:r>
        <w:rPr>
          <w:rFonts w:ascii="Calibri"/>
          <w:color w:val="231F20"/>
          <w:spacing w:val="8"/>
          <w:w w:val="105"/>
          <w:sz w:val="19"/>
        </w:rPr>
        <w:t xml:space="preserve"> </w:t>
      </w:r>
      <w:r>
        <w:rPr>
          <w:rFonts w:ascii="Calibri"/>
          <w:color w:val="231F20"/>
          <w:w w:val="105"/>
          <w:sz w:val="19"/>
        </w:rPr>
        <w:t>as</w:t>
      </w:r>
      <w:r>
        <w:rPr>
          <w:rFonts w:ascii="Calibri"/>
          <w:color w:val="231F20"/>
          <w:spacing w:val="8"/>
          <w:w w:val="105"/>
          <w:sz w:val="19"/>
        </w:rPr>
        <w:t xml:space="preserve"> </w:t>
      </w:r>
      <w:r>
        <w:rPr>
          <w:rFonts w:ascii="Calibri"/>
          <w:color w:val="231F20"/>
          <w:w w:val="105"/>
          <w:sz w:val="19"/>
        </w:rPr>
        <w:t>they</w:t>
      </w:r>
      <w:r>
        <w:rPr>
          <w:rFonts w:ascii="Calibri"/>
          <w:color w:val="231F20"/>
          <w:spacing w:val="8"/>
          <w:w w:val="105"/>
          <w:sz w:val="19"/>
        </w:rPr>
        <w:t xml:space="preserve"> </w:t>
      </w:r>
      <w:r>
        <w:rPr>
          <w:rFonts w:ascii="Calibri"/>
          <w:color w:val="231F20"/>
          <w:w w:val="105"/>
          <w:sz w:val="19"/>
        </w:rPr>
        <w:t>were</w:t>
      </w:r>
      <w:r>
        <w:rPr>
          <w:rFonts w:ascii="Calibri"/>
          <w:color w:val="231F20"/>
          <w:spacing w:val="8"/>
          <w:w w:val="105"/>
          <w:sz w:val="19"/>
        </w:rPr>
        <w:t xml:space="preserve"> </w:t>
      </w:r>
      <w:r>
        <w:rPr>
          <w:rFonts w:ascii="Calibri"/>
          <w:color w:val="231F20"/>
          <w:spacing w:val="1"/>
          <w:w w:val="105"/>
          <w:sz w:val="19"/>
        </w:rPr>
        <w:t>thirty</w:t>
      </w:r>
      <w:r>
        <w:rPr>
          <w:rFonts w:ascii="Calibri"/>
          <w:color w:val="231F20"/>
          <w:spacing w:val="8"/>
          <w:w w:val="105"/>
          <w:sz w:val="19"/>
        </w:rPr>
        <w:t xml:space="preserve"> </w:t>
      </w:r>
      <w:r>
        <w:rPr>
          <w:rFonts w:ascii="Calibri"/>
          <w:color w:val="231F20"/>
          <w:w w:val="105"/>
          <w:sz w:val="19"/>
        </w:rPr>
        <w:t>some</w:t>
      </w:r>
      <w:r>
        <w:rPr>
          <w:rFonts w:ascii="Calibri"/>
          <w:color w:val="231F20"/>
          <w:spacing w:val="8"/>
          <w:w w:val="105"/>
          <w:sz w:val="19"/>
        </w:rPr>
        <w:t xml:space="preserve"> </w:t>
      </w:r>
      <w:r>
        <w:rPr>
          <w:rFonts w:ascii="Calibri"/>
          <w:color w:val="231F20"/>
          <w:w w:val="105"/>
          <w:sz w:val="19"/>
        </w:rPr>
        <w:t>years</w:t>
      </w:r>
      <w:r>
        <w:rPr>
          <w:rFonts w:ascii="Calibri"/>
          <w:color w:val="231F20"/>
          <w:spacing w:val="8"/>
          <w:w w:val="105"/>
          <w:sz w:val="19"/>
        </w:rPr>
        <w:t xml:space="preserve"> </w:t>
      </w:r>
      <w:r>
        <w:rPr>
          <w:rFonts w:ascii="Calibri"/>
          <w:color w:val="231F20"/>
          <w:w w:val="105"/>
          <w:sz w:val="19"/>
        </w:rPr>
        <w:t>ago.</w:t>
      </w:r>
    </w:p>
    <w:p w14:paraId="5AF51172" w14:textId="77777777" w:rsidR="002653E8" w:rsidRDefault="003115E3">
      <w:pPr>
        <w:spacing w:before="4" w:line="264" w:lineRule="auto"/>
        <w:ind w:left="1422" w:right="1634" w:firstLine="209"/>
        <w:rPr>
          <w:rFonts w:ascii="Calibri" w:hAnsi="Calibri"/>
          <w:sz w:val="19"/>
        </w:rPr>
      </w:pPr>
      <w:r>
        <w:rPr>
          <w:rFonts w:ascii="Calibri" w:hAnsi="Calibri"/>
          <w:color w:val="231F20"/>
          <w:w w:val="110"/>
          <w:sz w:val="19"/>
        </w:rPr>
        <w:t xml:space="preserve">Without a shadow of a doubt, the decline of the murder thesis is a direct consequence of the decline of the </w:t>
      </w:r>
      <w:r w:rsidR="00C507A5">
        <w:rPr>
          <w:rFonts w:ascii="Calibri" w:hAnsi="Calibri"/>
          <w:color w:val="231F20"/>
          <w:w w:val="110"/>
          <w:sz w:val="19"/>
        </w:rPr>
        <w:t>red army faction</w:t>
      </w:r>
      <w:r>
        <w:rPr>
          <w:rFonts w:ascii="Calibri" w:hAnsi="Calibri"/>
          <w:color w:val="231F20"/>
          <w:w w:val="110"/>
          <w:sz w:val="19"/>
        </w:rPr>
        <w:t xml:space="preserve"> and its support scene. It is a chilling example of how, once a revolutionary tendency disappears, the state’s version simply wins the contest by acclamation, no actual facts required.</w:t>
      </w:r>
    </w:p>
    <w:p w14:paraId="06AB3775" w14:textId="77777777" w:rsidR="002653E8" w:rsidRDefault="003115E3">
      <w:pPr>
        <w:spacing w:before="4" w:line="264" w:lineRule="auto"/>
        <w:ind w:left="1422" w:right="1681" w:firstLine="209"/>
        <w:rPr>
          <w:rFonts w:ascii="Calibri" w:hAnsi="Calibri"/>
          <w:sz w:val="19"/>
        </w:rPr>
      </w:pPr>
      <w:r>
        <w:rPr>
          <w:rFonts w:ascii="Calibri" w:hAnsi="Calibri"/>
          <w:color w:val="231F20"/>
          <w:w w:val="110"/>
          <w:sz w:val="19"/>
        </w:rPr>
        <w:t>Unlike the state, we do not claim there is a “correct position” on a question of fact that has yet to be proven. But we find it singularly unhealthy—and dishonest—when authors boldly state that “special investigations… amassed overwhelming evidence that Meinhof committed suicide,”</w:t>
      </w:r>
      <w:r>
        <w:rPr>
          <w:rFonts w:ascii="Calibri" w:hAnsi="Calibri"/>
          <w:color w:val="231F20"/>
          <w:w w:val="110"/>
          <w:position w:val="6"/>
          <w:sz w:val="11"/>
        </w:rPr>
        <w:t xml:space="preserve">1 </w:t>
      </w:r>
      <w:r>
        <w:rPr>
          <w:rFonts w:ascii="Calibri" w:hAnsi="Calibri"/>
          <w:color w:val="231F20"/>
          <w:w w:val="110"/>
          <w:sz w:val="19"/>
        </w:rPr>
        <w:t>all the while failing to provide any of this “overwhelming evidence.”</w:t>
      </w:r>
    </w:p>
    <w:p w14:paraId="717B2C56" w14:textId="77777777" w:rsidR="002653E8" w:rsidRDefault="003115E3">
      <w:pPr>
        <w:spacing w:before="6" w:line="264" w:lineRule="auto"/>
        <w:ind w:left="1422" w:right="1848" w:firstLine="210"/>
        <w:rPr>
          <w:rFonts w:ascii="Calibri" w:hAnsi="Calibri"/>
          <w:sz w:val="19"/>
        </w:rPr>
      </w:pPr>
      <w:r>
        <w:rPr>
          <w:rFonts w:ascii="Calibri" w:hAnsi="Calibri"/>
          <w:color w:val="231F20"/>
          <w:spacing w:val="-7"/>
          <w:w w:val="105"/>
          <w:sz w:val="19"/>
        </w:rPr>
        <w:t xml:space="preserve">To </w:t>
      </w:r>
      <w:r>
        <w:rPr>
          <w:rFonts w:ascii="Calibri" w:hAnsi="Calibri"/>
          <w:color w:val="231F20"/>
          <w:w w:val="105"/>
          <w:sz w:val="19"/>
        </w:rPr>
        <w:t xml:space="preserve">understand the </w:t>
      </w:r>
      <w:r w:rsidR="00C507A5">
        <w:rPr>
          <w:rFonts w:ascii="Calibri" w:hAnsi="Calibri"/>
          <w:color w:val="231F20"/>
          <w:w w:val="105"/>
          <w:sz w:val="19"/>
        </w:rPr>
        <w:t>red army faction</w:t>
      </w:r>
      <w:r>
        <w:rPr>
          <w:rFonts w:ascii="Calibri" w:hAnsi="Calibri"/>
          <w:color w:val="231F20"/>
          <w:w w:val="105"/>
          <w:sz w:val="19"/>
        </w:rPr>
        <w:t>’s history, it is necessary to appreciate the shadowy and bizarre behavior of the state’s functionaries in this matter, behavior for which the easiest explanation remains that they had something to</w:t>
      </w:r>
      <w:r>
        <w:rPr>
          <w:rFonts w:ascii="Calibri" w:hAnsi="Calibri"/>
          <w:color w:val="231F20"/>
          <w:spacing w:val="41"/>
          <w:w w:val="105"/>
          <w:sz w:val="19"/>
        </w:rPr>
        <w:t xml:space="preserve"> </w:t>
      </w:r>
      <w:r>
        <w:rPr>
          <w:rFonts w:ascii="Calibri" w:hAnsi="Calibri"/>
          <w:color w:val="231F20"/>
          <w:w w:val="105"/>
          <w:sz w:val="19"/>
        </w:rPr>
        <w:t>hide.</w:t>
      </w:r>
    </w:p>
    <w:p w14:paraId="1D60DF39" w14:textId="77777777" w:rsidR="002653E8" w:rsidRDefault="003115E3">
      <w:pPr>
        <w:spacing w:before="3" w:line="264" w:lineRule="auto"/>
        <w:ind w:left="1422" w:right="1848" w:firstLine="209"/>
        <w:rPr>
          <w:rFonts w:ascii="Calibri"/>
          <w:sz w:val="19"/>
        </w:rPr>
      </w:pPr>
      <w:r>
        <w:rPr>
          <w:rFonts w:ascii="Calibri"/>
          <w:color w:val="231F20"/>
          <w:spacing w:val="1"/>
          <w:w w:val="105"/>
          <w:sz w:val="19"/>
        </w:rPr>
        <w:t xml:space="preserve">As </w:t>
      </w:r>
      <w:r>
        <w:rPr>
          <w:rFonts w:ascii="Calibri"/>
          <w:color w:val="231F20"/>
          <w:w w:val="105"/>
          <w:sz w:val="19"/>
        </w:rPr>
        <w:t>a matter of respect to a fallen revolutionary, it is necessary  to</w:t>
      </w:r>
      <w:r>
        <w:rPr>
          <w:rFonts w:ascii="Calibri"/>
          <w:color w:val="231F20"/>
          <w:spacing w:val="10"/>
          <w:w w:val="105"/>
          <w:sz w:val="19"/>
        </w:rPr>
        <w:t xml:space="preserve"> </w:t>
      </w:r>
      <w:r>
        <w:rPr>
          <w:rFonts w:ascii="Calibri"/>
          <w:color w:val="231F20"/>
          <w:w w:val="105"/>
          <w:sz w:val="19"/>
        </w:rPr>
        <w:t>remember</w:t>
      </w:r>
      <w:r>
        <w:rPr>
          <w:rFonts w:ascii="Calibri"/>
          <w:color w:val="231F20"/>
          <w:spacing w:val="10"/>
          <w:w w:val="105"/>
          <w:sz w:val="19"/>
        </w:rPr>
        <w:t xml:space="preserve"> </w:t>
      </w:r>
      <w:r>
        <w:rPr>
          <w:rFonts w:ascii="Calibri"/>
          <w:color w:val="231F20"/>
          <w:w w:val="105"/>
          <w:sz w:val="19"/>
        </w:rPr>
        <w:t>that</w:t>
      </w:r>
      <w:r>
        <w:rPr>
          <w:rFonts w:ascii="Calibri"/>
          <w:color w:val="231F20"/>
          <w:spacing w:val="10"/>
          <w:w w:val="105"/>
          <w:sz w:val="19"/>
        </w:rPr>
        <w:t xml:space="preserve"> </w:t>
      </w:r>
      <w:r>
        <w:rPr>
          <w:rFonts w:ascii="Calibri"/>
          <w:color w:val="231F20"/>
          <w:w w:val="105"/>
          <w:sz w:val="19"/>
        </w:rPr>
        <w:t>this</w:t>
      </w:r>
      <w:r>
        <w:rPr>
          <w:rFonts w:ascii="Calibri"/>
          <w:color w:val="231F20"/>
          <w:spacing w:val="10"/>
          <w:w w:val="105"/>
          <w:sz w:val="19"/>
        </w:rPr>
        <w:t xml:space="preserve"> </w:t>
      </w:r>
      <w:r>
        <w:rPr>
          <w:rFonts w:ascii="Calibri"/>
          <w:color w:val="231F20"/>
          <w:w w:val="105"/>
          <w:sz w:val="19"/>
        </w:rPr>
        <w:t>question</w:t>
      </w:r>
      <w:r>
        <w:rPr>
          <w:rFonts w:ascii="Calibri"/>
          <w:color w:val="231F20"/>
          <w:spacing w:val="10"/>
          <w:w w:val="105"/>
          <w:sz w:val="19"/>
        </w:rPr>
        <w:t xml:space="preserve"> </w:t>
      </w:r>
      <w:r>
        <w:rPr>
          <w:rFonts w:ascii="Calibri"/>
          <w:color w:val="231F20"/>
          <w:w w:val="105"/>
          <w:sz w:val="19"/>
        </w:rPr>
        <w:t>remains</w:t>
      </w:r>
      <w:r>
        <w:rPr>
          <w:rFonts w:ascii="Calibri"/>
          <w:color w:val="231F20"/>
          <w:spacing w:val="10"/>
          <w:w w:val="105"/>
          <w:sz w:val="19"/>
        </w:rPr>
        <w:t xml:space="preserve"> </w:t>
      </w:r>
      <w:r>
        <w:rPr>
          <w:rFonts w:ascii="Calibri"/>
          <w:color w:val="231F20"/>
          <w:w w:val="105"/>
          <w:sz w:val="19"/>
        </w:rPr>
        <w:t>on</w:t>
      </w:r>
      <w:r>
        <w:rPr>
          <w:rFonts w:ascii="Calibri"/>
          <w:color w:val="231F20"/>
          <w:spacing w:val="10"/>
          <w:w w:val="105"/>
          <w:sz w:val="19"/>
        </w:rPr>
        <w:t xml:space="preserve"> </w:t>
      </w:r>
      <w:r>
        <w:rPr>
          <w:rFonts w:ascii="Calibri"/>
          <w:color w:val="231F20"/>
          <w:w w:val="105"/>
          <w:sz w:val="19"/>
        </w:rPr>
        <w:t>the</w:t>
      </w:r>
      <w:r>
        <w:rPr>
          <w:rFonts w:ascii="Calibri"/>
          <w:color w:val="231F20"/>
          <w:spacing w:val="10"/>
          <w:w w:val="105"/>
          <w:sz w:val="19"/>
        </w:rPr>
        <w:t xml:space="preserve"> </w:t>
      </w:r>
      <w:r>
        <w:rPr>
          <w:rFonts w:ascii="Calibri"/>
          <w:color w:val="231F20"/>
          <w:w w:val="105"/>
          <w:sz w:val="19"/>
        </w:rPr>
        <w:t>table.</w:t>
      </w:r>
    </w:p>
    <w:p w14:paraId="28604A7A" w14:textId="77777777" w:rsidR="002653E8" w:rsidRDefault="002653E8">
      <w:pPr>
        <w:pStyle w:val="a3"/>
        <w:rPr>
          <w:rFonts w:ascii="Calibri"/>
        </w:rPr>
      </w:pPr>
    </w:p>
    <w:p w14:paraId="1115E9B6" w14:textId="77777777" w:rsidR="002653E8" w:rsidRDefault="002653E8">
      <w:pPr>
        <w:pStyle w:val="a3"/>
        <w:rPr>
          <w:rFonts w:ascii="Calibri"/>
        </w:rPr>
      </w:pPr>
    </w:p>
    <w:p w14:paraId="10B3B839" w14:textId="77777777" w:rsidR="002653E8" w:rsidRDefault="002653E8">
      <w:pPr>
        <w:pStyle w:val="a3"/>
        <w:rPr>
          <w:rFonts w:ascii="Calibri"/>
        </w:rPr>
      </w:pPr>
    </w:p>
    <w:p w14:paraId="59AF12A9" w14:textId="77777777" w:rsidR="002653E8" w:rsidRDefault="002653E8">
      <w:pPr>
        <w:pStyle w:val="a3"/>
        <w:rPr>
          <w:rFonts w:ascii="Calibri"/>
        </w:rPr>
      </w:pPr>
    </w:p>
    <w:p w14:paraId="2C6BC0D3" w14:textId="77777777" w:rsidR="002653E8" w:rsidRDefault="002653E8">
      <w:pPr>
        <w:pStyle w:val="a3"/>
        <w:rPr>
          <w:rFonts w:ascii="Calibri"/>
        </w:rPr>
      </w:pPr>
    </w:p>
    <w:p w14:paraId="3CD139EA" w14:textId="77777777" w:rsidR="002653E8" w:rsidRDefault="002653E8">
      <w:pPr>
        <w:pStyle w:val="a3"/>
        <w:rPr>
          <w:rFonts w:ascii="Calibri"/>
        </w:rPr>
      </w:pPr>
    </w:p>
    <w:p w14:paraId="41A7A8FD" w14:textId="77777777" w:rsidR="002653E8" w:rsidRDefault="002653E8">
      <w:pPr>
        <w:pStyle w:val="a3"/>
        <w:rPr>
          <w:rFonts w:ascii="Calibri"/>
        </w:rPr>
      </w:pPr>
    </w:p>
    <w:p w14:paraId="580AC9BA" w14:textId="77777777" w:rsidR="002653E8" w:rsidRDefault="002653E8">
      <w:pPr>
        <w:pStyle w:val="a3"/>
        <w:rPr>
          <w:rFonts w:ascii="Calibri"/>
        </w:rPr>
      </w:pPr>
    </w:p>
    <w:p w14:paraId="30E9B9EA" w14:textId="77777777" w:rsidR="002653E8" w:rsidRDefault="002653E8">
      <w:pPr>
        <w:pStyle w:val="a3"/>
        <w:rPr>
          <w:rFonts w:ascii="Calibri"/>
        </w:rPr>
      </w:pPr>
    </w:p>
    <w:p w14:paraId="118E1B94" w14:textId="77777777" w:rsidR="002653E8" w:rsidRDefault="002653E8">
      <w:pPr>
        <w:pStyle w:val="a3"/>
        <w:rPr>
          <w:rFonts w:ascii="Calibri"/>
        </w:rPr>
      </w:pPr>
    </w:p>
    <w:p w14:paraId="13C4C0E1" w14:textId="77777777" w:rsidR="002653E8" w:rsidRDefault="002653E8">
      <w:pPr>
        <w:pStyle w:val="a3"/>
        <w:rPr>
          <w:rFonts w:ascii="Calibri"/>
        </w:rPr>
      </w:pPr>
    </w:p>
    <w:p w14:paraId="7E282F7B" w14:textId="77777777" w:rsidR="002653E8" w:rsidRDefault="002653E8">
      <w:pPr>
        <w:pStyle w:val="a3"/>
        <w:rPr>
          <w:rFonts w:ascii="Calibri"/>
        </w:rPr>
      </w:pPr>
    </w:p>
    <w:p w14:paraId="66B28747" w14:textId="77777777" w:rsidR="002653E8" w:rsidRDefault="002653E8">
      <w:pPr>
        <w:pStyle w:val="a3"/>
        <w:rPr>
          <w:rFonts w:ascii="Calibri"/>
        </w:rPr>
      </w:pPr>
    </w:p>
    <w:p w14:paraId="69FCA9E6" w14:textId="77777777" w:rsidR="002653E8" w:rsidRDefault="002653E8">
      <w:pPr>
        <w:pStyle w:val="a3"/>
        <w:spacing w:before="1"/>
        <w:rPr>
          <w:rFonts w:ascii="Calibri"/>
          <w:sz w:val="25"/>
        </w:rPr>
      </w:pPr>
    </w:p>
    <w:p w14:paraId="1D0EC71B" w14:textId="77777777" w:rsidR="002653E8" w:rsidRDefault="003115E3">
      <w:pPr>
        <w:spacing w:before="105"/>
        <w:ind w:left="1422"/>
        <w:rPr>
          <w:sz w:val="16"/>
        </w:rPr>
      </w:pPr>
      <w:r>
        <w:rPr>
          <w:color w:val="231F20"/>
          <w:w w:val="110"/>
          <w:sz w:val="16"/>
        </w:rPr>
        <w:t>1 Hockenos, 119.</w:t>
      </w:r>
    </w:p>
    <w:p w14:paraId="5AF91586" w14:textId="77777777" w:rsidR="002653E8" w:rsidRDefault="002653E8">
      <w:pPr>
        <w:rPr>
          <w:sz w:val="16"/>
        </w:rPr>
        <w:sectPr w:rsidR="002653E8">
          <w:pgSz w:w="8640" w:h="12960"/>
          <w:pgMar w:top="1080" w:right="0" w:bottom="1040" w:left="0" w:header="0" w:footer="850" w:gutter="0"/>
          <w:cols w:space="720"/>
        </w:sectPr>
      </w:pPr>
    </w:p>
    <w:p w14:paraId="20BB90CB" w14:textId="77777777" w:rsidR="002653E8" w:rsidRDefault="003115E3">
      <w:pPr>
        <w:pStyle w:val="4"/>
        <w:ind w:left="189"/>
        <w:jc w:val="center"/>
      </w:pPr>
      <w:bookmarkStart w:id="183" w:name="Jan-Carl_Raspe:_On_the_Murder_of_Ulrike_"/>
      <w:bookmarkStart w:id="184" w:name="_bookmark60"/>
      <w:bookmarkEnd w:id="183"/>
      <w:bookmarkEnd w:id="184"/>
      <w:r>
        <w:rPr>
          <w:color w:val="231F20"/>
        </w:rPr>
        <w:lastRenderedPageBreak/>
        <w:t>Jan-Carl Raspe:</w:t>
      </w:r>
    </w:p>
    <w:p w14:paraId="56AE90CA" w14:textId="77777777" w:rsidR="002653E8" w:rsidRDefault="003115E3">
      <w:pPr>
        <w:spacing w:before="48"/>
        <w:ind w:left="1897"/>
        <w:rPr>
          <w:rFonts w:ascii="Bookman Old Style"/>
          <w:sz w:val="30"/>
        </w:rPr>
      </w:pPr>
      <w:r>
        <w:rPr>
          <w:rFonts w:ascii="Bookman Old Style"/>
          <w:color w:val="231F20"/>
          <w:w w:val="105"/>
          <w:sz w:val="30"/>
        </w:rPr>
        <w:t>On the Murder of Ulrike Meinhof</w:t>
      </w:r>
    </w:p>
    <w:p w14:paraId="01F57572" w14:textId="77777777" w:rsidR="002653E8" w:rsidRDefault="002653E8">
      <w:pPr>
        <w:pStyle w:val="a3"/>
        <w:spacing w:before="5"/>
        <w:rPr>
          <w:rFonts w:ascii="Bookman Old Style"/>
          <w:sz w:val="31"/>
        </w:rPr>
      </w:pPr>
    </w:p>
    <w:p w14:paraId="40A744A5" w14:textId="77777777" w:rsidR="002653E8" w:rsidRDefault="003115E3">
      <w:pPr>
        <w:pStyle w:val="a3"/>
        <w:ind w:left="1327"/>
      </w:pPr>
      <w:r>
        <w:rPr>
          <w:color w:val="231F20"/>
          <w:w w:val="105"/>
        </w:rPr>
        <w:t>I don’t have much to say.</w:t>
      </w:r>
    </w:p>
    <w:p w14:paraId="6C014A8E" w14:textId="77777777" w:rsidR="002653E8" w:rsidRDefault="003115E3">
      <w:pPr>
        <w:pStyle w:val="a3"/>
        <w:spacing w:before="23" w:line="264" w:lineRule="auto"/>
        <w:ind w:left="1327" w:right="1146" w:firstLine="210"/>
        <w:jc w:val="both"/>
      </w:pPr>
      <w:r>
        <w:rPr>
          <w:color w:val="231F20"/>
          <w:spacing w:val="-5"/>
          <w:w w:val="105"/>
        </w:rPr>
        <w:t>We</w:t>
      </w:r>
      <w:r>
        <w:rPr>
          <w:color w:val="231F20"/>
          <w:spacing w:val="-8"/>
          <w:w w:val="105"/>
        </w:rPr>
        <w:t xml:space="preserve"> </w:t>
      </w:r>
      <w:r>
        <w:rPr>
          <w:color w:val="231F20"/>
          <w:w w:val="105"/>
        </w:rPr>
        <w:t>believe</w:t>
      </w:r>
      <w:r>
        <w:rPr>
          <w:color w:val="231F20"/>
          <w:spacing w:val="-8"/>
          <w:w w:val="105"/>
        </w:rPr>
        <w:t xml:space="preserve"> </w:t>
      </w:r>
      <w:r>
        <w:rPr>
          <w:color w:val="231F20"/>
          <w:w w:val="105"/>
        </w:rPr>
        <w:t>Ulrike</w:t>
      </w:r>
      <w:r>
        <w:rPr>
          <w:color w:val="231F20"/>
          <w:spacing w:val="-8"/>
          <w:w w:val="105"/>
        </w:rPr>
        <w:t xml:space="preserve"> </w:t>
      </w:r>
      <w:r>
        <w:rPr>
          <w:color w:val="231F20"/>
          <w:w w:val="105"/>
        </w:rPr>
        <w:t>was</w:t>
      </w:r>
      <w:r>
        <w:rPr>
          <w:color w:val="231F20"/>
          <w:spacing w:val="-8"/>
          <w:w w:val="105"/>
        </w:rPr>
        <w:t xml:space="preserve"> </w:t>
      </w:r>
      <w:r>
        <w:rPr>
          <w:color w:val="231F20"/>
          <w:w w:val="105"/>
        </w:rPr>
        <w:t>executed.</w:t>
      </w:r>
      <w:r>
        <w:rPr>
          <w:color w:val="231F20"/>
          <w:spacing w:val="-8"/>
          <w:w w:val="105"/>
        </w:rPr>
        <w:t xml:space="preserve"> </w:t>
      </w:r>
      <w:r>
        <w:rPr>
          <w:color w:val="231F20"/>
          <w:spacing w:val="-5"/>
          <w:w w:val="105"/>
        </w:rPr>
        <w:t>We</w:t>
      </w:r>
      <w:r>
        <w:rPr>
          <w:color w:val="231F20"/>
          <w:spacing w:val="-8"/>
          <w:w w:val="105"/>
        </w:rPr>
        <w:t xml:space="preserve"> </w:t>
      </w:r>
      <w:r>
        <w:rPr>
          <w:color w:val="231F20"/>
          <w:spacing w:val="-3"/>
          <w:w w:val="105"/>
        </w:rPr>
        <w:t>don’t</w:t>
      </w:r>
      <w:r>
        <w:rPr>
          <w:color w:val="231F20"/>
          <w:spacing w:val="-8"/>
          <w:w w:val="105"/>
        </w:rPr>
        <w:t xml:space="preserve"> </w:t>
      </w:r>
      <w:r>
        <w:rPr>
          <w:color w:val="231F20"/>
          <w:w w:val="105"/>
        </w:rPr>
        <w:t>know</w:t>
      </w:r>
      <w:r>
        <w:rPr>
          <w:color w:val="231F20"/>
          <w:spacing w:val="-8"/>
          <w:w w:val="105"/>
        </w:rPr>
        <w:t xml:space="preserve"> </w:t>
      </w:r>
      <w:r>
        <w:rPr>
          <w:color w:val="231F20"/>
          <w:spacing w:val="-4"/>
          <w:w w:val="105"/>
        </w:rPr>
        <w:t>how,</w:t>
      </w:r>
      <w:r>
        <w:rPr>
          <w:color w:val="231F20"/>
          <w:spacing w:val="-8"/>
          <w:w w:val="105"/>
        </w:rPr>
        <w:t xml:space="preserve"> </w:t>
      </w:r>
      <w:r>
        <w:rPr>
          <w:color w:val="231F20"/>
          <w:w w:val="105"/>
        </w:rPr>
        <w:t>but</w:t>
      </w:r>
      <w:r>
        <w:rPr>
          <w:color w:val="231F20"/>
          <w:spacing w:val="-8"/>
          <w:w w:val="105"/>
        </w:rPr>
        <w:t xml:space="preserve"> </w:t>
      </w:r>
      <w:r>
        <w:rPr>
          <w:color w:val="231F20"/>
          <w:w w:val="105"/>
        </w:rPr>
        <w:t>we</w:t>
      </w:r>
      <w:r>
        <w:rPr>
          <w:color w:val="231F20"/>
          <w:spacing w:val="-8"/>
          <w:w w:val="105"/>
        </w:rPr>
        <w:t xml:space="preserve"> </w:t>
      </w:r>
      <w:r>
        <w:rPr>
          <w:color w:val="231F20"/>
          <w:w w:val="105"/>
        </w:rPr>
        <w:t>understand</w:t>
      </w:r>
      <w:r>
        <w:rPr>
          <w:color w:val="231F20"/>
          <w:spacing w:val="-8"/>
          <w:w w:val="105"/>
        </w:rPr>
        <w:t xml:space="preserve"> </w:t>
      </w:r>
      <w:r>
        <w:rPr>
          <w:color w:val="231F20"/>
          <w:w w:val="105"/>
        </w:rPr>
        <w:t>the</w:t>
      </w:r>
      <w:r>
        <w:rPr>
          <w:color w:val="231F20"/>
          <w:spacing w:val="-8"/>
          <w:w w:val="105"/>
        </w:rPr>
        <w:t xml:space="preserve"> </w:t>
      </w:r>
      <w:r>
        <w:rPr>
          <w:color w:val="231F20"/>
          <w:w w:val="105"/>
        </w:rPr>
        <w:t>reasoning</w:t>
      </w:r>
      <w:r>
        <w:rPr>
          <w:color w:val="231F20"/>
          <w:spacing w:val="-8"/>
          <w:w w:val="105"/>
        </w:rPr>
        <w:t xml:space="preserve"> </w:t>
      </w:r>
      <w:r>
        <w:rPr>
          <w:color w:val="231F20"/>
          <w:w w:val="105"/>
        </w:rPr>
        <w:t>behind</w:t>
      </w:r>
      <w:r>
        <w:rPr>
          <w:color w:val="231F20"/>
          <w:spacing w:val="-8"/>
          <w:w w:val="105"/>
        </w:rPr>
        <w:t xml:space="preserve"> </w:t>
      </w:r>
      <w:r>
        <w:rPr>
          <w:color w:val="231F20"/>
          <w:w w:val="105"/>
        </w:rPr>
        <w:t>the</w:t>
      </w:r>
      <w:r>
        <w:rPr>
          <w:color w:val="231F20"/>
          <w:spacing w:val="-8"/>
          <w:w w:val="105"/>
        </w:rPr>
        <w:t xml:space="preserve"> </w:t>
      </w:r>
      <w:r>
        <w:rPr>
          <w:color w:val="231F20"/>
          <w:w w:val="105"/>
        </w:rPr>
        <w:t>method</w:t>
      </w:r>
      <w:r>
        <w:rPr>
          <w:color w:val="231F20"/>
          <w:spacing w:val="-8"/>
          <w:w w:val="105"/>
        </w:rPr>
        <w:t xml:space="preserve"> </w:t>
      </w:r>
      <w:r>
        <w:rPr>
          <w:color w:val="231F20"/>
          <w:w w:val="105"/>
        </w:rPr>
        <w:t>chosen.</w:t>
      </w:r>
      <w:r>
        <w:rPr>
          <w:color w:val="231F20"/>
          <w:spacing w:val="-8"/>
          <w:w w:val="105"/>
        </w:rPr>
        <w:t xml:space="preserve"> </w:t>
      </w:r>
      <w:r>
        <w:rPr>
          <w:color w:val="231F20"/>
          <w:w w:val="105"/>
        </w:rPr>
        <w:t>I</w:t>
      </w:r>
      <w:r>
        <w:rPr>
          <w:color w:val="231F20"/>
          <w:spacing w:val="-8"/>
          <w:w w:val="105"/>
        </w:rPr>
        <w:t xml:space="preserve"> </w:t>
      </w:r>
      <w:r>
        <w:rPr>
          <w:color w:val="231F20"/>
          <w:w w:val="105"/>
        </w:rPr>
        <w:t>recall</w:t>
      </w:r>
      <w:r>
        <w:rPr>
          <w:color w:val="231F20"/>
          <w:spacing w:val="-8"/>
          <w:w w:val="105"/>
        </w:rPr>
        <w:t xml:space="preserve"> </w:t>
      </w:r>
      <w:r>
        <w:rPr>
          <w:color w:val="231F20"/>
          <w:spacing w:val="-3"/>
          <w:w w:val="105"/>
        </w:rPr>
        <w:t>Herold’s</w:t>
      </w:r>
      <w:r>
        <w:rPr>
          <w:color w:val="231F20"/>
          <w:spacing w:val="-8"/>
          <w:w w:val="105"/>
        </w:rPr>
        <w:t xml:space="preserve"> </w:t>
      </w:r>
      <w:r>
        <w:rPr>
          <w:color w:val="231F20"/>
          <w:w w:val="105"/>
        </w:rPr>
        <w:t>statement,</w:t>
      </w:r>
      <w:r>
        <w:rPr>
          <w:color w:val="231F20"/>
          <w:spacing w:val="-8"/>
          <w:w w:val="105"/>
        </w:rPr>
        <w:t xml:space="preserve"> </w:t>
      </w:r>
      <w:r>
        <w:rPr>
          <w:color w:val="231F20"/>
          <w:w w:val="105"/>
        </w:rPr>
        <w:t>“Actions</w:t>
      </w:r>
      <w:r>
        <w:rPr>
          <w:color w:val="231F20"/>
          <w:spacing w:val="-8"/>
          <w:w w:val="105"/>
        </w:rPr>
        <w:t xml:space="preserve"> </w:t>
      </w:r>
      <w:r>
        <w:rPr>
          <w:color w:val="231F20"/>
          <w:w w:val="105"/>
        </w:rPr>
        <w:t>against</w:t>
      </w:r>
      <w:r>
        <w:rPr>
          <w:color w:val="231F20"/>
          <w:spacing w:val="-8"/>
          <w:w w:val="105"/>
        </w:rPr>
        <w:t xml:space="preserve"> </w:t>
      </w:r>
      <w:r>
        <w:rPr>
          <w:color w:val="231F20"/>
          <w:w w:val="105"/>
        </w:rPr>
        <w:t>the</w:t>
      </w:r>
      <w:r>
        <w:rPr>
          <w:color w:val="231F20"/>
          <w:spacing w:val="-8"/>
          <w:w w:val="105"/>
        </w:rPr>
        <w:t xml:space="preserve"> </w:t>
      </w:r>
      <w:r w:rsidR="00C507A5">
        <w:rPr>
          <w:color w:val="231F20"/>
          <w:spacing w:val="5"/>
          <w:w w:val="105"/>
        </w:rPr>
        <w:t>red army faction</w:t>
      </w:r>
      <w:r>
        <w:rPr>
          <w:color w:val="231F20"/>
          <w:spacing w:val="-8"/>
          <w:w w:val="105"/>
        </w:rPr>
        <w:t xml:space="preserve"> </w:t>
      </w:r>
      <w:r>
        <w:rPr>
          <w:color w:val="231F20"/>
          <w:w w:val="105"/>
        </w:rPr>
        <w:t>must</w:t>
      </w:r>
      <w:r>
        <w:rPr>
          <w:color w:val="231F20"/>
          <w:spacing w:val="-8"/>
          <w:w w:val="105"/>
        </w:rPr>
        <w:t xml:space="preserve"> </w:t>
      </w:r>
      <w:r>
        <w:rPr>
          <w:color w:val="231F20"/>
          <w:w w:val="105"/>
        </w:rPr>
        <w:t>primarily</w:t>
      </w:r>
      <w:r>
        <w:rPr>
          <w:color w:val="231F20"/>
          <w:spacing w:val="-8"/>
          <w:w w:val="105"/>
        </w:rPr>
        <w:t xml:space="preserve"> </w:t>
      </w:r>
      <w:r>
        <w:rPr>
          <w:color w:val="231F20"/>
          <w:w w:val="105"/>
        </w:rPr>
        <w:t>be</w:t>
      </w:r>
      <w:r>
        <w:rPr>
          <w:color w:val="231F20"/>
          <w:spacing w:val="-8"/>
          <w:w w:val="105"/>
        </w:rPr>
        <w:t xml:space="preserve"> </w:t>
      </w:r>
      <w:r>
        <w:rPr>
          <w:color w:val="231F20"/>
          <w:w w:val="105"/>
        </w:rPr>
        <w:t>developed</w:t>
      </w:r>
      <w:r>
        <w:rPr>
          <w:color w:val="231F20"/>
          <w:spacing w:val="-8"/>
          <w:w w:val="105"/>
        </w:rPr>
        <w:t xml:space="preserve"> </w:t>
      </w:r>
      <w:r>
        <w:rPr>
          <w:color w:val="231F20"/>
          <w:w w:val="105"/>
        </w:rPr>
        <w:t>in</w:t>
      </w:r>
      <w:r>
        <w:rPr>
          <w:color w:val="231F20"/>
          <w:spacing w:val="-8"/>
          <w:w w:val="105"/>
        </w:rPr>
        <w:t xml:space="preserve"> </w:t>
      </w:r>
      <w:r>
        <w:rPr>
          <w:color w:val="231F20"/>
          <w:w w:val="105"/>
        </w:rPr>
        <w:t>such</w:t>
      </w:r>
      <w:r>
        <w:rPr>
          <w:color w:val="231F20"/>
          <w:spacing w:val="-8"/>
          <w:w w:val="105"/>
        </w:rPr>
        <w:t xml:space="preserve"> </w:t>
      </w:r>
      <w:r>
        <w:rPr>
          <w:color w:val="231F20"/>
          <w:w w:val="105"/>
        </w:rPr>
        <w:t xml:space="preserve">a </w:t>
      </w:r>
      <w:r>
        <w:rPr>
          <w:color w:val="231F20"/>
          <w:spacing w:val="-2"/>
          <w:w w:val="105"/>
        </w:rPr>
        <w:t xml:space="preserve">way </w:t>
      </w:r>
      <w:r>
        <w:rPr>
          <w:color w:val="231F20"/>
          <w:w w:val="105"/>
        </w:rPr>
        <w:t>as to undermine the positions held by</w:t>
      </w:r>
      <w:r>
        <w:rPr>
          <w:color w:val="231F20"/>
          <w:spacing w:val="5"/>
          <w:w w:val="105"/>
        </w:rPr>
        <w:t xml:space="preserve"> </w:t>
      </w:r>
      <w:r>
        <w:rPr>
          <w:color w:val="231F20"/>
          <w:w w:val="105"/>
        </w:rPr>
        <w:t>sympathizers.”</w:t>
      </w:r>
    </w:p>
    <w:p w14:paraId="0896078D" w14:textId="77777777" w:rsidR="002653E8" w:rsidRDefault="003115E3">
      <w:pPr>
        <w:pStyle w:val="a3"/>
        <w:spacing w:line="264" w:lineRule="auto"/>
        <w:ind w:left="1327" w:right="1146" w:firstLine="210"/>
        <w:jc w:val="both"/>
      </w:pPr>
      <w:r>
        <w:rPr>
          <w:color w:val="231F20"/>
        </w:rPr>
        <w:t>And Buback said, “State security is given life by those who are committed to it. People like Herold and myself, we always find a way.”</w:t>
      </w:r>
    </w:p>
    <w:p w14:paraId="7EAC574E" w14:textId="77777777" w:rsidR="002653E8" w:rsidRDefault="003115E3">
      <w:pPr>
        <w:pStyle w:val="a3"/>
        <w:spacing w:line="264" w:lineRule="auto"/>
        <w:ind w:left="1327" w:right="1146" w:firstLine="210"/>
        <w:jc w:val="both"/>
      </w:pPr>
      <w:r>
        <w:rPr>
          <w:color w:val="231F20"/>
        </w:rPr>
        <w:t>It was a cold, calculated execution, just like with Holger, just like with Siegfried Hausner. If Ulrike had decided to end it all, to die, because she saw this as her last chance to save herself—to save her revolutionary identity—from the slow destruction of her will in isolation—then she would have told us—or at least she would have told Andreas: that was the nature of their relationship.</w:t>
      </w:r>
    </w:p>
    <w:p w14:paraId="349E362F" w14:textId="77777777" w:rsidR="002653E8" w:rsidRDefault="003115E3">
      <w:pPr>
        <w:pStyle w:val="a3"/>
        <w:spacing w:line="264" w:lineRule="auto"/>
        <w:ind w:left="1327" w:right="1146" w:firstLine="210"/>
        <w:jc w:val="both"/>
      </w:pPr>
      <w:r>
        <w:rPr>
          <w:color w:val="231F20"/>
        </w:rPr>
        <w:t xml:space="preserve">I believe that the execution of Ulrike </w:t>
      </w:r>
      <w:r>
        <w:rPr>
          <w:color w:val="231F20"/>
          <w:spacing w:val="-4"/>
        </w:rPr>
        <w:t xml:space="preserve">now, </w:t>
      </w:r>
      <w:r>
        <w:rPr>
          <w:color w:val="231F20"/>
        </w:rPr>
        <w:t xml:space="preserve">at this moment, is a result of developments—an initial political breakthrough in the conflict between the international guerilla and the imperialist state in the Federal Republic. </w:t>
      </w:r>
      <w:r>
        <w:rPr>
          <w:color w:val="231F20"/>
          <w:spacing w:val="-8"/>
        </w:rPr>
        <w:t xml:space="preserve">To </w:t>
      </w:r>
      <w:r>
        <w:rPr>
          <w:color w:val="231F20"/>
        </w:rPr>
        <w:t xml:space="preserve">say anything more about this would require getting into things I </w:t>
      </w:r>
      <w:r>
        <w:rPr>
          <w:color w:val="231F20"/>
          <w:spacing w:val="-3"/>
        </w:rPr>
        <w:t xml:space="preserve">don’t </w:t>
      </w:r>
      <w:r>
        <w:rPr>
          <w:color w:val="231F20"/>
        </w:rPr>
        <w:t>wish to</w:t>
      </w:r>
      <w:r>
        <w:rPr>
          <w:color w:val="231F20"/>
          <w:spacing w:val="18"/>
        </w:rPr>
        <w:t xml:space="preserve"> </w:t>
      </w:r>
      <w:r>
        <w:rPr>
          <w:color w:val="231F20"/>
        </w:rPr>
        <w:t>discuss.</w:t>
      </w:r>
    </w:p>
    <w:p w14:paraId="4D7A9B21" w14:textId="196C68D8" w:rsidR="002653E8" w:rsidRDefault="003115E3" w:rsidP="005C3D1F">
      <w:pPr>
        <w:pStyle w:val="a3"/>
        <w:spacing w:line="264" w:lineRule="auto"/>
        <w:ind w:left="1272" w:right="1145" w:firstLine="210"/>
      </w:pPr>
      <w:r>
        <w:rPr>
          <w:color w:val="231F20"/>
        </w:rPr>
        <w:t xml:space="preserve">This murder is consistent with all of the state’s attempts to deal with us over the past six years—the physical and psychological extermination of the </w:t>
      </w:r>
      <w:r w:rsidR="00C507A5">
        <w:rPr>
          <w:color w:val="231F20"/>
        </w:rPr>
        <w:t>red army faction</w:t>
      </w:r>
      <w:r>
        <w:rPr>
          <w:color w:val="231F20"/>
        </w:rPr>
        <w:t>—and it is aimed at all of the guerilla groups in the</w:t>
      </w:r>
      <w:r>
        <w:rPr>
          <w:color w:val="231F20"/>
          <w:w w:val="91"/>
        </w:rPr>
        <w:t xml:space="preserve"> </w:t>
      </w:r>
      <w:r>
        <w:rPr>
          <w:color w:val="231F20"/>
        </w:rPr>
        <w:t>Federal Republic, for whom Ulrike played an essential ideological role.</w:t>
      </w:r>
      <w:r>
        <w:rPr>
          <w:color w:val="231F20"/>
          <w:w w:val="135"/>
        </w:rPr>
        <w:t xml:space="preserve"> </w:t>
      </w:r>
      <w:r>
        <w:rPr>
          <w:color w:val="231F20"/>
        </w:rPr>
        <w:t>Now I want to say that as long as I’ve been witness to the relationship between Ulrike and Andreas—and I’ve witnessed it for the past</w:t>
      </w:r>
      <w:r>
        <w:rPr>
          <w:color w:val="231F20"/>
          <w:w w:val="98"/>
        </w:rPr>
        <w:t xml:space="preserve"> </w:t>
      </w:r>
      <w:r>
        <w:rPr>
          <w:color w:val="231F20"/>
        </w:rPr>
        <w:t>seven years—it was marked by intensity and tenderness, sensitivity, and</w:t>
      </w:r>
      <w:r w:rsidR="005C3D1F">
        <w:rPr>
          <w:color w:val="231F20"/>
        </w:rPr>
        <w:t xml:space="preserve"> </w:t>
      </w:r>
      <w:r>
        <w:rPr>
          <w:color w:val="231F20"/>
        </w:rPr>
        <w:t>clarity.</w:t>
      </w:r>
    </w:p>
    <w:p w14:paraId="739E0F49" w14:textId="77777777" w:rsidR="002653E8" w:rsidRDefault="003115E3">
      <w:pPr>
        <w:pStyle w:val="a3"/>
        <w:spacing w:before="3" w:line="264" w:lineRule="auto"/>
        <w:ind w:left="1328" w:right="1147" w:firstLine="210"/>
        <w:jc w:val="both"/>
      </w:pPr>
      <w:r>
        <w:rPr>
          <w:color w:val="231F20"/>
        </w:rPr>
        <w:t>And I believe that it was precisely because of this relationship that Ulrike was able to survive the eight months in the dead wing.</w:t>
      </w:r>
    </w:p>
    <w:p w14:paraId="11BD5C9B" w14:textId="77777777" w:rsidR="002653E8" w:rsidRDefault="003115E3">
      <w:pPr>
        <w:pStyle w:val="a3"/>
        <w:spacing w:line="264" w:lineRule="auto"/>
        <w:ind w:left="1328" w:right="1148" w:firstLine="210"/>
        <w:jc w:val="both"/>
      </w:pPr>
      <w:r>
        <w:rPr>
          <w:color w:val="231F20"/>
        </w:rPr>
        <w:t>It was a relationship like that which can develop between siblings, oriented around a common objective and based on shared politics.</w:t>
      </w:r>
    </w:p>
    <w:p w14:paraId="28966E2B" w14:textId="77777777" w:rsidR="002653E8" w:rsidRDefault="003115E3">
      <w:pPr>
        <w:pStyle w:val="a3"/>
        <w:spacing w:line="264" w:lineRule="auto"/>
        <w:ind w:left="1328" w:right="1146" w:firstLine="210"/>
        <w:jc w:val="both"/>
      </w:pPr>
      <w:r>
        <w:rPr>
          <w:color w:val="231F20"/>
        </w:rPr>
        <w:t>And she was free, because freedom is only possible in the struggle for liberation.</w:t>
      </w:r>
    </w:p>
    <w:p w14:paraId="05023BAF" w14:textId="4186B324" w:rsidR="002653E8" w:rsidRDefault="003115E3" w:rsidP="005C3D1F">
      <w:pPr>
        <w:pStyle w:val="a3"/>
        <w:spacing w:line="264" w:lineRule="auto"/>
        <w:ind w:left="1327" w:right="1146" w:firstLine="210"/>
        <w:jc w:val="both"/>
      </w:pPr>
      <w:r>
        <w:rPr>
          <w:color w:val="231F20"/>
        </w:rPr>
        <w:t xml:space="preserve">There was no breakdown in their relationship during these years. There couldn’t have been, because it was based on the politics of the </w:t>
      </w:r>
      <w:r w:rsidR="00C507A5">
        <w:rPr>
          <w:color w:val="231F20"/>
        </w:rPr>
        <w:t>red army faction</w:t>
      </w:r>
      <w:r>
        <w:rPr>
          <w:color w:val="231F20"/>
        </w:rPr>
        <w:t>, and when there were fundamental contradictions within the</w:t>
      </w:r>
      <w:r w:rsidR="005C3D1F">
        <w:rPr>
          <w:color w:val="231F20"/>
        </w:rPr>
        <w:t xml:space="preserve"> </w:t>
      </w:r>
      <w:r>
        <w:rPr>
          <w:color w:val="231F20"/>
        </w:rPr>
        <w:t xml:space="preserve">group, they were addressed concretely through praxis. No reason </w:t>
      </w:r>
      <w:r>
        <w:rPr>
          <w:color w:val="231F20"/>
        </w:rPr>
        <w:lastRenderedPageBreak/>
        <w:t>for such a breakdown can be found in the course of our theoretical work, the only kind that remains possible in prison—nor can it be found in  the</w:t>
      </w:r>
      <w:r>
        <w:rPr>
          <w:color w:val="231F20"/>
          <w:spacing w:val="10"/>
        </w:rPr>
        <w:t xml:space="preserve"> </w:t>
      </w:r>
      <w:r>
        <w:rPr>
          <w:color w:val="231F20"/>
        </w:rPr>
        <w:t>shared</w:t>
      </w:r>
      <w:r>
        <w:rPr>
          <w:color w:val="231F20"/>
          <w:spacing w:val="10"/>
        </w:rPr>
        <w:t xml:space="preserve"> </w:t>
      </w:r>
      <w:r>
        <w:rPr>
          <w:color w:val="231F20"/>
        </w:rPr>
        <w:t>nature</w:t>
      </w:r>
      <w:r>
        <w:rPr>
          <w:color w:val="231F20"/>
          <w:spacing w:val="10"/>
        </w:rPr>
        <w:t xml:space="preserve"> </w:t>
      </w:r>
      <w:r>
        <w:rPr>
          <w:color w:val="231F20"/>
        </w:rPr>
        <w:t>of</w:t>
      </w:r>
      <w:r>
        <w:rPr>
          <w:color w:val="231F20"/>
          <w:spacing w:val="10"/>
        </w:rPr>
        <w:t xml:space="preserve"> </w:t>
      </w:r>
      <w:r>
        <w:rPr>
          <w:color w:val="231F20"/>
        </w:rPr>
        <w:t>our</w:t>
      </w:r>
      <w:r>
        <w:rPr>
          <w:color w:val="231F20"/>
          <w:spacing w:val="10"/>
        </w:rPr>
        <w:t xml:space="preserve"> </w:t>
      </w:r>
      <w:r>
        <w:rPr>
          <w:color w:val="231F20"/>
        </w:rPr>
        <w:t>struggle</w:t>
      </w:r>
      <w:r>
        <w:rPr>
          <w:color w:val="231F20"/>
          <w:spacing w:val="10"/>
        </w:rPr>
        <w:t xml:space="preserve"> </w:t>
      </w:r>
      <w:r>
        <w:rPr>
          <w:color w:val="231F20"/>
        </w:rPr>
        <w:t>or</w:t>
      </w:r>
      <w:r>
        <w:rPr>
          <w:color w:val="231F20"/>
          <w:spacing w:val="10"/>
        </w:rPr>
        <w:t xml:space="preserve"> </w:t>
      </w:r>
      <w:r>
        <w:rPr>
          <w:color w:val="231F20"/>
        </w:rPr>
        <w:t>the</w:t>
      </w:r>
      <w:r>
        <w:rPr>
          <w:color w:val="231F20"/>
          <w:spacing w:val="10"/>
        </w:rPr>
        <w:t xml:space="preserve"> </w:t>
      </w:r>
      <w:r>
        <w:rPr>
          <w:color w:val="231F20"/>
        </w:rPr>
        <w:t>history</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group.</w:t>
      </w:r>
    </w:p>
    <w:p w14:paraId="41B84F2A" w14:textId="77777777" w:rsidR="002653E8" w:rsidRDefault="003115E3">
      <w:pPr>
        <w:pStyle w:val="a3"/>
        <w:spacing w:line="264" w:lineRule="auto"/>
        <w:ind w:left="1147" w:right="1327" w:firstLine="210"/>
        <w:jc w:val="both"/>
      </w:pPr>
      <w:r>
        <w:rPr>
          <w:color w:val="231F20"/>
        </w:rPr>
        <w:t>This can be clearly seen in the discussions and Ulrike’s letters and manuscripts in the period leading up to Friday evening. They  show what this relationship was really</w:t>
      </w:r>
      <w:r>
        <w:rPr>
          <w:color w:val="231F20"/>
          <w:spacing w:val="10"/>
        </w:rPr>
        <w:t xml:space="preserve"> </w:t>
      </w:r>
      <w:r>
        <w:rPr>
          <w:color w:val="231F20"/>
        </w:rPr>
        <w:t>like.</w:t>
      </w:r>
    </w:p>
    <w:p w14:paraId="56C1C6A3" w14:textId="77777777" w:rsidR="002653E8" w:rsidRDefault="003115E3">
      <w:pPr>
        <w:pStyle w:val="a3"/>
        <w:spacing w:line="264" w:lineRule="auto"/>
        <w:ind w:left="1147" w:right="1326" w:firstLine="210"/>
        <w:jc w:val="both"/>
      </w:pPr>
      <w:r>
        <w:rPr>
          <w:color w:val="231F20"/>
        </w:rPr>
        <w:t>It is a crude and sinister smear, a bid to use Ulrike’s execution for psychological warfare purposes, to now claim that “tensions” and “estrangement” existed between Ulrike and Andreas, between Ulrike and us. This is Buback in all his stupidity.</w:t>
      </w:r>
    </w:p>
    <w:p w14:paraId="62EE46E3" w14:textId="77777777" w:rsidR="002653E8" w:rsidRDefault="003115E3">
      <w:pPr>
        <w:pStyle w:val="a3"/>
        <w:spacing w:line="264" w:lineRule="auto"/>
        <w:ind w:left="1147" w:right="1326" w:firstLine="210"/>
        <w:jc w:val="both"/>
      </w:pPr>
      <w:r>
        <w:rPr>
          <w:color w:val="231F20"/>
        </w:rPr>
        <w:t>So far all such efforts have simply further exposed the fascist nature of</w:t>
      </w:r>
      <w:r>
        <w:rPr>
          <w:color w:val="231F20"/>
          <w:spacing w:val="10"/>
        </w:rPr>
        <w:t xml:space="preserve"> </w:t>
      </w:r>
      <w:r>
        <w:rPr>
          <w:color w:val="231F20"/>
        </w:rPr>
        <w:t>the</w:t>
      </w:r>
      <w:r>
        <w:rPr>
          <w:color w:val="231F20"/>
          <w:spacing w:val="10"/>
        </w:rPr>
        <w:t xml:space="preserve"> </w:t>
      </w:r>
      <w:r>
        <w:rPr>
          <w:color w:val="231F20"/>
        </w:rPr>
        <w:t>reactionary</w:t>
      </w:r>
      <w:r>
        <w:rPr>
          <w:color w:val="231F20"/>
          <w:spacing w:val="10"/>
        </w:rPr>
        <w:t xml:space="preserve"> </w:t>
      </w:r>
      <w:r>
        <w:rPr>
          <w:color w:val="231F20"/>
        </w:rPr>
        <w:t>forces</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Federal</w:t>
      </w:r>
      <w:r>
        <w:rPr>
          <w:color w:val="231F20"/>
          <w:spacing w:val="10"/>
        </w:rPr>
        <w:t xml:space="preserve"> </w:t>
      </w:r>
      <w:r>
        <w:rPr>
          <w:color w:val="231F20"/>
        </w:rPr>
        <w:t>Republic.</w:t>
      </w:r>
    </w:p>
    <w:p w14:paraId="6A224CFA" w14:textId="77777777" w:rsidR="002653E8" w:rsidRDefault="003115E3">
      <w:pPr>
        <w:pStyle w:val="a3"/>
        <w:spacing w:before="113" w:line="261" w:lineRule="auto"/>
        <w:ind w:left="6062" w:right="1325" w:hanging="129"/>
        <w:jc w:val="right"/>
      </w:pPr>
      <w:r>
        <w:rPr>
          <w:color w:val="231F20"/>
          <w:w w:val="105"/>
        </w:rPr>
        <w:t>Jan-Carl Raspe</w:t>
      </w:r>
      <w:r>
        <w:rPr>
          <w:color w:val="231F20"/>
          <w:w w:val="91"/>
        </w:rPr>
        <w:t xml:space="preserve"> </w:t>
      </w:r>
      <w:r>
        <w:rPr>
          <w:color w:val="231F20"/>
          <w:w w:val="105"/>
        </w:rPr>
        <w:t>May 11, 1976</w:t>
      </w:r>
    </w:p>
    <w:p w14:paraId="40EFFCD8" w14:textId="77777777" w:rsidR="002653E8" w:rsidRDefault="002653E8">
      <w:pPr>
        <w:spacing w:line="261" w:lineRule="auto"/>
        <w:jc w:val="right"/>
        <w:sectPr w:rsidR="002653E8">
          <w:footerReference w:type="even" r:id="rId335"/>
          <w:footerReference w:type="default" r:id="rId336"/>
          <w:pgSz w:w="8640" w:h="12960"/>
          <w:pgMar w:top="1060" w:right="0" w:bottom="1040" w:left="0" w:header="0" w:footer="850" w:gutter="0"/>
          <w:cols w:space="720"/>
        </w:sectPr>
      </w:pPr>
    </w:p>
    <w:p w14:paraId="51C3C522" w14:textId="77777777" w:rsidR="002653E8" w:rsidRDefault="003115E3">
      <w:pPr>
        <w:spacing w:before="66" w:line="264" w:lineRule="auto"/>
        <w:ind w:left="1327" w:right="1325"/>
        <w:rPr>
          <w:i/>
          <w:sz w:val="20"/>
        </w:rPr>
      </w:pPr>
      <w:bookmarkStart w:id="185" w:name="Fragment_Regarding_Structure_(Ulrike_Mei"/>
      <w:bookmarkStart w:id="186" w:name="_bookmark61"/>
      <w:bookmarkEnd w:id="185"/>
      <w:bookmarkEnd w:id="186"/>
      <w:r>
        <w:rPr>
          <w:i/>
          <w:color w:val="231F20"/>
          <w:w w:val="105"/>
          <w:sz w:val="20"/>
        </w:rPr>
        <w:lastRenderedPageBreak/>
        <w:t>This is a fragment about the structure of the group, which Ulrike insisted on presenting in Stammheim, in order to destroy the leadership theory around which the BAW wanted to build this trial. Andreas was opposed, and we all wanted to write it differently.</w:t>
      </w:r>
    </w:p>
    <w:p w14:paraId="5E6E7AF2" w14:textId="77777777" w:rsidR="002653E8" w:rsidRDefault="003115E3">
      <w:pPr>
        <w:spacing w:line="264" w:lineRule="auto"/>
        <w:ind w:left="1327" w:right="1580"/>
        <w:rPr>
          <w:i/>
          <w:sz w:val="20"/>
        </w:rPr>
      </w:pPr>
      <w:r>
        <w:rPr>
          <w:i/>
          <w:color w:val="231F20"/>
          <w:w w:val="105"/>
          <w:sz w:val="20"/>
        </w:rPr>
        <w:t>It is not very important, but I have put it out today anyway because it refutes Buback’s filthy lies—“the conflict”—and because this is what Ulrike was working on last.</w:t>
      </w:r>
    </w:p>
    <w:p w14:paraId="4F6F8EB3" w14:textId="77777777" w:rsidR="002653E8" w:rsidRDefault="003115E3">
      <w:pPr>
        <w:spacing w:before="32" w:line="261" w:lineRule="auto"/>
        <w:ind w:left="1327" w:right="1580"/>
        <w:rPr>
          <w:i/>
          <w:sz w:val="20"/>
        </w:rPr>
      </w:pPr>
      <w:r>
        <w:rPr>
          <w:i/>
          <w:color w:val="231F20"/>
          <w:w w:val="105"/>
          <w:sz w:val="20"/>
        </w:rPr>
        <w:t>It must only be published in its entirety, accompanied by the two letters to Hanna Krabbe and the one to the Hamburg prisoners.</w:t>
      </w:r>
    </w:p>
    <w:p w14:paraId="05C23B61" w14:textId="77777777" w:rsidR="002653E8" w:rsidRDefault="003115E3">
      <w:pPr>
        <w:spacing w:before="81" w:line="261" w:lineRule="auto"/>
        <w:ind w:left="6228" w:right="1146" w:firstLine="927"/>
        <w:jc w:val="right"/>
        <w:rPr>
          <w:rFonts w:ascii="Bookman Old Style"/>
          <w:i/>
          <w:sz w:val="20"/>
        </w:rPr>
      </w:pPr>
      <w:r>
        <w:rPr>
          <w:i/>
          <w:color w:val="231F20"/>
          <w:w w:val="105"/>
          <w:sz w:val="20"/>
        </w:rPr>
        <w:t xml:space="preserve">Jan </w:t>
      </w:r>
      <w:r>
        <w:rPr>
          <w:i/>
          <w:color w:val="231F20"/>
          <w:sz w:val="20"/>
        </w:rPr>
        <w:t xml:space="preserve">May </w:t>
      </w:r>
      <w:r>
        <w:rPr>
          <w:rFonts w:ascii="Bookman Old Style"/>
          <w:i/>
          <w:color w:val="231F20"/>
          <w:sz w:val="20"/>
        </w:rPr>
        <w:t>11</w:t>
      </w:r>
      <w:r>
        <w:rPr>
          <w:i/>
          <w:color w:val="231F20"/>
          <w:sz w:val="20"/>
        </w:rPr>
        <w:t xml:space="preserve">, </w:t>
      </w:r>
      <w:r>
        <w:rPr>
          <w:rFonts w:ascii="Bookman Old Style"/>
          <w:i/>
          <w:color w:val="231F20"/>
          <w:sz w:val="20"/>
        </w:rPr>
        <w:t>1976</w:t>
      </w:r>
    </w:p>
    <w:p w14:paraId="076C9D42" w14:textId="77777777" w:rsidR="002653E8" w:rsidRDefault="002653E8">
      <w:pPr>
        <w:pStyle w:val="a3"/>
        <w:spacing w:before="6"/>
        <w:rPr>
          <w:rFonts w:ascii="Bookman Old Style"/>
          <w:i/>
          <w:sz w:val="32"/>
        </w:rPr>
      </w:pPr>
    </w:p>
    <w:p w14:paraId="6CD9961C" w14:textId="77777777" w:rsidR="002653E8" w:rsidRDefault="003115E3">
      <w:pPr>
        <w:pStyle w:val="4"/>
        <w:spacing w:before="0"/>
        <w:ind w:left="2091"/>
      </w:pPr>
      <w:r>
        <w:rPr>
          <w:color w:val="231F20"/>
          <w:w w:val="105"/>
        </w:rPr>
        <w:t>Fragment Regarding Structure</w:t>
      </w:r>
    </w:p>
    <w:p w14:paraId="7260A5A8" w14:textId="77777777" w:rsidR="002653E8" w:rsidRDefault="002653E8">
      <w:pPr>
        <w:pStyle w:val="a3"/>
        <w:spacing w:before="11"/>
        <w:rPr>
          <w:rFonts w:ascii="Bookman Old Style"/>
          <w:sz w:val="36"/>
        </w:rPr>
      </w:pPr>
    </w:p>
    <w:p w14:paraId="00C0170B" w14:textId="3F97F55A" w:rsidR="002653E8" w:rsidRDefault="003115E3">
      <w:pPr>
        <w:pStyle w:val="a3"/>
        <w:spacing w:line="264" w:lineRule="auto"/>
        <w:ind w:left="1327" w:right="1146"/>
        <w:jc w:val="both"/>
      </w:pPr>
      <w:r>
        <w:rPr>
          <w:color w:val="231F20"/>
        </w:rPr>
        <w:t>Concepts developed by Habermas provide a starting point, from which we can draw conclusions about proletarianization in the metropole: isolation resulting from the alienation which exists throughout the entire system of production. Isolation is the basis for manipulation.</w:t>
      </w:r>
    </w:p>
    <w:p w14:paraId="6440C1F5" w14:textId="77777777" w:rsidR="002653E8" w:rsidRDefault="003115E3">
      <w:pPr>
        <w:pStyle w:val="a3"/>
        <w:spacing w:line="264" w:lineRule="auto"/>
        <w:ind w:left="1327" w:right="1146" w:firstLine="210"/>
        <w:jc w:val="both"/>
      </w:pPr>
      <w:r>
        <w:rPr>
          <w:color w:val="231F20"/>
        </w:rPr>
        <w:t>Freedom in the face of this system is only possible through its total negation, that is to say, through an attack on the system as part of a fighting collective, the guerilla, a guerilla that is necessary if a genuine strategy is to be developed, if victory is to be had.</w:t>
      </w:r>
    </w:p>
    <w:p w14:paraId="235DC05A" w14:textId="77777777" w:rsidR="002653E8" w:rsidRDefault="003115E3">
      <w:pPr>
        <w:pStyle w:val="a3"/>
        <w:spacing w:line="264" w:lineRule="auto"/>
        <w:ind w:left="1327" w:right="1146" w:firstLine="210"/>
        <w:jc w:val="both"/>
      </w:pPr>
      <w:r>
        <w:rPr>
          <w:color w:val="231F20"/>
        </w:rPr>
        <w:t>The collective is a key part of the guerilla’s structure, and once subjectivity is understood as the basis of each person’s decision to fight,   the collective becomes the most important element. The collective is a group</w:t>
      </w:r>
      <w:r>
        <w:rPr>
          <w:color w:val="231F20"/>
          <w:spacing w:val="10"/>
        </w:rPr>
        <w:t xml:space="preserve"> </w:t>
      </w:r>
      <w:r>
        <w:rPr>
          <w:color w:val="231F20"/>
        </w:rPr>
        <w:t>that</w:t>
      </w:r>
      <w:r>
        <w:rPr>
          <w:color w:val="231F20"/>
          <w:spacing w:val="10"/>
        </w:rPr>
        <w:t xml:space="preserve"> </w:t>
      </w:r>
      <w:r>
        <w:rPr>
          <w:color w:val="231F20"/>
        </w:rPr>
        <w:t>thinks,</w:t>
      </w:r>
      <w:r>
        <w:rPr>
          <w:color w:val="231F20"/>
          <w:spacing w:val="10"/>
        </w:rPr>
        <w:t xml:space="preserve"> </w:t>
      </w:r>
      <w:r>
        <w:rPr>
          <w:color w:val="231F20"/>
        </w:rPr>
        <w:t>feels,</w:t>
      </w:r>
      <w:r>
        <w:rPr>
          <w:color w:val="231F20"/>
          <w:spacing w:val="10"/>
        </w:rPr>
        <w:t xml:space="preserve"> </w:t>
      </w:r>
      <w:r>
        <w:rPr>
          <w:color w:val="231F20"/>
        </w:rPr>
        <w:t>and</w:t>
      </w:r>
      <w:r>
        <w:rPr>
          <w:color w:val="231F20"/>
          <w:spacing w:val="10"/>
        </w:rPr>
        <w:t xml:space="preserve"> </w:t>
      </w:r>
      <w:r>
        <w:rPr>
          <w:color w:val="231F20"/>
        </w:rPr>
        <w:t>acts</w:t>
      </w:r>
      <w:r>
        <w:rPr>
          <w:color w:val="231F20"/>
          <w:spacing w:val="10"/>
        </w:rPr>
        <w:t xml:space="preserve"> </w:t>
      </w:r>
      <w:r>
        <w:rPr>
          <w:color w:val="231F20"/>
        </w:rPr>
        <w:t>as</w:t>
      </w:r>
      <w:r>
        <w:rPr>
          <w:color w:val="231F20"/>
          <w:spacing w:val="10"/>
        </w:rPr>
        <w:t xml:space="preserve"> </w:t>
      </w:r>
      <w:r>
        <w:rPr>
          <w:color w:val="231F20"/>
        </w:rPr>
        <w:t>a</w:t>
      </w:r>
      <w:r>
        <w:rPr>
          <w:color w:val="231F20"/>
          <w:spacing w:val="10"/>
        </w:rPr>
        <w:t xml:space="preserve"> </w:t>
      </w:r>
      <w:r>
        <w:rPr>
          <w:color w:val="231F20"/>
        </w:rPr>
        <w:t>group.</w:t>
      </w:r>
    </w:p>
    <w:p w14:paraId="5EA914A9" w14:textId="77777777" w:rsidR="002653E8" w:rsidRDefault="003115E3">
      <w:pPr>
        <w:pStyle w:val="a3"/>
        <w:spacing w:line="264" w:lineRule="auto"/>
        <w:ind w:left="1327" w:right="1146" w:firstLine="210"/>
        <w:jc w:val="both"/>
      </w:pPr>
      <w:r>
        <w:rPr>
          <w:color w:val="231F20"/>
        </w:rPr>
        <w:t>The guerilla leadership consists of the individual or individuals who maintain the open and collective functioning of the group and who organize the group through their practice—anti-imperialist struggle, based on each individual’s self-determination and decision to be part of the intervention, understanding that he can only achieve what he wants to achieve collectively, meaning within the group in all its dimensions, military and strategic, and as the embryo of the new society, developing and conducting the anti-imperialist struggle through the group process.</w:t>
      </w:r>
    </w:p>
    <w:p w14:paraId="758CDF34" w14:textId="4595B538" w:rsidR="002653E8" w:rsidRDefault="003115E3" w:rsidP="00923E04">
      <w:pPr>
        <w:pStyle w:val="a3"/>
        <w:spacing w:line="264" w:lineRule="auto"/>
        <w:ind w:left="1327" w:right="1146" w:firstLine="210"/>
        <w:jc w:val="both"/>
      </w:pPr>
      <w:r>
        <w:rPr>
          <w:color w:val="231F20"/>
        </w:rPr>
        <w:t>The line, which is to say a rational and logical strategy geared towards a single purpose—action—is developed collectively. It is the result of a process of discussion informed by everyone’s experiences and</w:t>
      </w:r>
      <w:r w:rsidR="00923E04">
        <w:rPr>
          <w:rFonts w:eastAsiaTheme="minorEastAsia"/>
        </w:rPr>
        <w:t xml:space="preserve"> </w:t>
      </w:r>
      <w:r>
        <w:rPr>
          <w:color w:val="231F20"/>
        </w:rPr>
        <w:t xml:space="preserve">knowledge, and is therefore collectively formulated and serves to draw people together. In other words, the line is developed in the course of practice, through an analysis of conditions, experiences, and </w:t>
      </w:r>
      <w:r>
        <w:rPr>
          <w:color w:val="231F20"/>
        </w:rPr>
        <w:lastRenderedPageBreak/>
        <w:t>objectives. Coordination is only possible because there is unanimity regarding the goal and the will to achieve it.</w:t>
      </w:r>
    </w:p>
    <w:p w14:paraId="385BCB52" w14:textId="77777777" w:rsidR="002653E8" w:rsidRDefault="003115E3">
      <w:pPr>
        <w:pStyle w:val="a3"/>
        <w:spacing w:line="264" w:lineRule="auto"/>
        <w:ind w:left="1147" w:right="1326" w:firstLine="210"/>
        <w:jc w:val="both"/>
      </w:pPr>
      <w:r>
        <w:rPr>
          <w:color w:val="231F20"/>
        </w:rPr>
        <w:t>Once the line has been developed and understood, the group’s practice can be coordinated according to a military command structure. Its execution requires absolute discipline, and, at the same time, absolute autonomy, that is to say, an autonomous orientation and decision-making capacity regardless of the circumstances.</w:t>
      </w:r>
    </w:p>
    <w:p w14:paraId="3493E554" w14:textId="77777777" w:rsidR="002653E8" w:rsidRDefault="003115E3">
      <w:pPr>
        <w:pStyle w:val="a3"/>
        <w:spacing w:line="264" w:lineRule="auto"/>
        <w:ind w:left="1147" w:right="1326" w:firstLine="210"/>
        <w:jc w:val="both"/>
      </w:pPr>
      <w:r>
        <w:rPr>
          <w:color w:val="231F20"/>
        </w:rPr>
        <w:t>What unites the guerilla at all times is each individual’s determination to carry on the struggle.</w:t>
      </w:r>
    </w:p>
    <w:p w14:paraId="28D18782" w14:textId="77777777" w:rsidR="002653E8" w:rsidRDefault="003115E3">
      <w:pPr>
        <w:pStyle w:val="a3"/>
        <w:spacing w:line="264" w:lineRule="auto"/>
        <w:ind w:left="1147" w:right="1326" w:firstLine="210"/>
        <w:jc w:val="both"/>
      </w:pPr>
      <w:r>
        <w:rPr>
          <w:color w:val="231F20"/>
        </w:rPr>
        <w:t xml:space="preserve">Leadership is a function that the guerilla requires. Leadership cannot be usurped. It is exactly the opposite of what psychological warfare describes as the </w:t>
      </w:r>
      <w:r w:rsidR="00C507A5">
        <w:rPr>
          <w:color w:val="231F20"/>
          <w:spacing w:val="1"/>
        </w:rPr>
        <w:t>red army faction</w:t>
      </w:r>
      <w:r>
        <w:rPr>
          <w:color w:val="231F20"/>
          <w:spacing w:val="1"/>
        </w:rPr>
        <w:t xml:space="preserve">’s </w:t>
      </w:r>
      <w:r>
        <w:rPr>
          <w:color w:val="231F20"/>
        </w:rPr>
        <w:t xml:space="preserve">leadership principle. Andreas has stated that if  he had in fact acted in the </w:t>
      </w:r>
      <w:r>
        <w:rPr>
          <w:color w:val="231F20"/>
          <w:spacing w:val="-2"/>
        </w:rPr>
        <w:t xml:space="preserve">way </w:t>
      </w:r>
      <w:r>
        <w:rPr>
          <w:color w:val="231F20"/>
        </w:rPr>
        <w:t xml:space="preserve">described by the </w:t>
      </w:r>
      <w:r>
        <w:rPr>
          <w:color w:val="231F20"/>
          <w:spacing w:val="-8"/>
        </w:rPr>
        <w:t xml:space="preserve">BAW,  </w:t>
      </w:r>
      <w:r>
        <w:rPr>
          <w:color w:val="231F20"/>
        </w:rPr>
        <w:t xml:space="preserve">there would be  no </w:t>
      </w:r>
      <w:r w:rsidR="00C507A5">
        <w:rPr>
          <w:color w:val="231F20"/>
          <w:spacing w:val="5"/>
        </w:rPr>
        <w:t>red army faction</w:t>
      </w:r>
      <w:r>
        <w:rPr>
          <w:color w:val="231F20"/>
          <w:spacing w:val="5"/>
        </w:rPr>
        <w:t xml:space="preserve"> </w:t>
      </w:r>
      <w:r>
        <w:rPr>
          <w:color w:val="231F20"/>
        </w:rPr>
        <w:t xml:space="preserve">and the political events of the past five years would not have occurred. Simply stated, we would not exist. </w:t>
      </w:r>
      <w:r>
        <w:rPr>
          <w:color w:val="231F20"/>
          <w:spacing w:val="1"/>
        </w:rPr>
        <w:t xml:space="preserve">If </w:t>
      </w:r>
      <w:r>
        <w:rPr>
          <w:color w:val="231F20"/>
        </w:rPr>
        <w:t xml:space="preserve">he assumed leadership  of the </w:t>
      </w:r>
      <w:r w:rsidR="00C507A5">
        <w:rPr>
          <w:color w:val="231F20"/>
        </w:rPr>
        <w:t>red army faction</w:t>
      </w:r>
      <w:r>
        <w:rPr>
          <w:color w:val="231F20"/>
        </w:rPr>
        <w:t>, it is because from the beginning he has always had that which the guerilla needs most: willpower, an awareness of the goals, determination, and a sense of</w:t>
      </w:r>
      <w:r>
        <w:rPr>
          <w:color w:val="231F20"/>
          <w:spacing w:val="11"/>
        </w:rPr>
        <w:t xml:space="preserve"> </w:t>
      </w:r>
      <w:r>
        <w:rPr>
          <w:color w:val="231F20"/>
        </w:rPr>
        <w:t>collectivity.</w:t>
      </w:r>
    </w:p>
    <w:p w14:paraId="09483E5A" w14:textId="77777777" w:rsidR="002653E8" w:rsidRDefault="003115E3">
      <w:pPr>
        <w:pStyle w:val="a3"/>
        <w:spacing w:line="264" w:lineRule="auto"/>
        <w:ind w:left="1148" w:right="1325" w:firstLine="210"/>
        <w:jc w:val="both"/>
      </w:pPr>
      <w:r>
        <w:rPr>
          <w:color w:val="231F20"/>
        </w:rPr>
        <w:t>When we say that the line is developed in the course of practice, through an analysis of conditions, experiences, and objectives, what we mean is that leadership falls to the individual who has the broadest vision, the greatest sensitivity, and the greatest skill for coordinating the collective process.</w:t>
      </w:r>
    </w:p>
    <w:p w14:paraId="338CB80C" w14:textId="77777777" w:rsidR="002653E8" w:rsidRDefault="003115E3">
      <w:pPr>
        <w:pStyle w:val="a3"/>
        <w:spacing w:line="264" w:lineRule="auto"/>
        <w:ind w:left="1148" w:right="1326" w:firstLine="210"/>
        <w:jc w:val="both"/>
      </w:pPr>
      <w:r>
        <w:rPr>
          <w:color w:val="231F20"/>
        </w:rPr>
        <w:t>Leadership must have as its goal the independence and autonomy of each individual—militarily speaking, of each combatant.</w:t>
      </w:r>
    </w:p>
    <w:p w14:paraId="387D646D" w14:textId="77777777" w:rsidR="002653E8" w:rsidRDefault="003115E3">
      <w:pPr>
        <w:pStyle w:val="a3"/>
        <w:spacing w:line="264" w:lineRule="auto"/>
        <w:ind w:left="1148" w:right="1326" w:firstLine="210"/>
        <w:jc w:val="both"/>
      </w:pPr>
      <w:r>
        <w:rPr>
          <w:color w:val="231F20"/>
        </w:rPr>
        <w:t xml:space="preserve">This process can’t be organized in an authoritarian </w:t>
      </w:r>
      <w:r>
        <w:rPr>
          <w:color w:val="231F20"/>
          <w:spacing w:val="-5"/>
        </w:rPr>
        <w:t xml:space="preserve">way. </w:t>
      </w:r>
      <w:r>
        <w:rPr>
          <w:color w:val="231F20"/>
        </w:rPr>
        <w:t>No group  can</w:t>
      </w:r>
      <w:r>
        <w:rPr>
          <w:color w:val="231F20"/>
          <w:spacing w:val="11"/>
        </w:rPr>
        <w:t xml:space="preserve"> </w:t>
      </w:r>
      <w:r>
        <w:rPr>
          <w:color w:val="231F20"/>
        </w:rPr>
        <w:t>work</w:t>
      </w:r>
      <w:r>
        <w:rPr>
          <w:color w:val="231F20"/>
          <w:spacing w:val="11"/>
        </w:rPr>
        <w:t xml:space="preserve"> </w:t>
      </w:r>
      <w:r>
        <w:rPr>
          <w:color w:val="231F20"/>
        </w:rPr>
        <w:t>this</w:t>
      </w:r>
      <w:r>
        <w:rPr>
          <w:color w:val="231F20"/>
          <w:spacing w:val="11"/>
        </w:rPr>
        <w:t xml:space="preserve"> </w:t>
      </w:r>
      <w:r>
        <w:rPr>
          <w:color w:val="231F20"/>
          <w:spacing w:val="-5"/>
        </w:rPr>
        <w:t>way.</w:t>
      </w:r>
      <w:r>
        <w:rPr>
          <w:color w:val="231F20"/>
          <w:spacing w:val="11"/>
        </w:rPr>
        <w:t xml:space="preserve"> </w:t>
      </w:r>
      <w:r>
        <w:rPr>
          <w:color w:val="231F20"/>
        </w:rPr>
        <w:t>The</w:t>
      </w:r>
      <w:r>
        <w:rPr>
          <w:color w:val="231F20"/>
          <w:spacing w:val="11"/>
        </w:rPr>
        <w:t xml:space="preserve"> </w:t>
      </w:r>
      <w:r>
        <w:rPr>
          <w:color w:val="231F20"/>
        </w:rPr>
        <w:t>idea</w:t>
      </w:r>
      <w:r>
        <w:rPr>
          <w:color w:val="231F20"/>
          <w:spacing w:val="11"/>
        </w:rPr>
        <w:t xml:space="preserve"> </w:t>
      </w:r>
      <w:r>
        <w:rPr>
          <w:color w:val="231F20"/>
        </w:rPr>
        <w:t>of</w:t>
      </w:r>
      <w:r>
        <w:rPr>
          <w:color w:val="231F20"/>
          <w:spacing w:val="11"/>
        </w:rPr>
        <w:t xml:space="preserve"> </w:t>
      </w:r>
      <w:r>
        <w:rPr>
          <w:color w:val="231F20"/>
        </w:rPr>
        <w:t>a</w:t>
      </w:r>
      <w:r>
        <w:rPr>
          <w:color w:val="231F20"/>
          <w:spacing w:val="11"/>
        </w:rPr>
        <w:t xml:space="preserve"> </w:t>
      </w:r>
      <w:r>
        <w:rPr>
          <w:color w:val="231F20"/>
        </w:rPr>
        <w:t>ringleader</w:t>
      </w:r>
      <w:r>
        <w:rPr>
          <w:color w:val="231F20"/>
          <w:spacing w:val="11"/>
        </w:rPr>
        <w:t xml:space="preserve"> </w:t>
      </w:r>
      <w:r>
        <w:rPr>
          <w:color w:val="231F20"/>
        </w:rPr>
        <w:t>is</w:t>
      </w:r>
      <w:r>
        <w:rPr>
          <w:color w:val="231F20"/>
          <w:spacing w:val="11"/>
        </w:rPr>
        <w:t xml:space="preserve"> </w:t>
      </w:r>
      <w:r>
        <w:rPr>
          <w:color w:val="231F20"/>
        </w:rPr>
        <w:t>out</w:t>
      </w:r>
      <w:r>
        <w:rPr>
          <w:color w:val="231F20"/>
          <w:spacing w:val="11"/>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question.</w:t>
      </w:r>
    </w:p>
    <w:p w14:paraId="3D8268B0" w14:textId="77777777" w:rsidR="002653E8" w:rsidRDefault="003115E3">
      <w:pPr>
        <w:pStyle w:val="a3"/>
        <w:spacing w:line="264" w:lineRule="auto"/>
        <w:ind w:left="1148" w:right="1325" w:firstLine="210"/>
        <w:jc w:val="both"/>
      </w:pPr>
      <w:r>
        <w:rPr>
          <w:color w:val="231F20"/>
        </w:rPr>
        <w:t>The goal of the BAW’s smear campaign against Andreas is clear: they are laying the groundwork for the pacification of public opinion in the event he is murdered. They present the entire issue as if it is only necessary to snuff out this one guy, Andreas, and that would solve the whole problem the urban guerilla poses this state—according to Maihofer, the only problem this state does not have under control.</w:t>
      </w:r>
    </w:p>
    <w:p w14:paraId="4EF6FF87" w14:textId="77777777" w:rsidR="002653E8" w:rsidRDefault="003115E3">
      <w:pPr>
        <w:pStyle w:val="a3"/>
        <w:spacing w:line="264" w:lineRule="auto"/>
        <w:ind w:left="1148" w:right="1325" w:firstLine="210"/>
        <w:jc w:val="both"/>
      </w:pPr>
      <w:r>
        <w:rPr>
          <w:color w:val="231F20"/>
        </w:rPr>
        <w:t>We doubt that. Over these past five years, we have learned from Andreas—because he was the example we needed—specifically, someone from whom one could learn to struggle, struggle again, always struggle.</w:t>
      </w:r>
    </w:p>
    <w:p w14:paraId="74B5C4D7" w14:textId="77777777" w:rsidR="002653E8" w:rsidRDefault="002653E8">
      <w:pPr>
        <w:spacing w:line="264" w:lineRule="auto"/>
        <w:jc w:val="both"/>
        <w:sectPr w:rsidR="002653E8">
          <w:footerReference w:type="even" r:id="rId337"/>
          <w:footerReference w:type="default" r:id="rId338"/>
          <w:pgSz w:w="8640" w:h="12960"/>
          <w:pgMar w:top="1060" w:right="0" w:bottom="1040" w:left="0" w:header="0" w:footer="850" w:gutter="0"/>
          <w:cols w:space="720"/>
        </w:sectPr>
      </w:pPr>
    </w:p>
    <w:p w14:paraId="7C4D7466" w14:textId="77777777" w:rsidR="002653E8" w:rsidRDefault="003115E3">
      <w:pPr>
        <w:pStyle w:val="a3"/>
        <w:spacing w:before="86" w:line="264" w:lineRule="auto"/>
        <w:ind w:left="1328" w:right="1145" w:firstLine="209"/>
        <w:jc w:val="both"/>
      </w:pPr>
      <w:r>
        <w:rPr>
          <w:color w:val="231F20"/>
        </w:rPr>
        <w:lastRenderedPageBreak/>
        <w:t>What he and we are doing is in no way irrational, involves no compulsion, and is not evil.</w:t>
      </w:r>
    </w:p>
    <w:p w14:paraId="4277567B" w14:textId="77777777" w:rsidR="002653E8" w:rsidRDefault="003115E3">
      <w:pPr>
        <w:pStyle w:val="a3"/>
        <w:spacing w:line="264" w:lineRule="auto"/>
        <w:ind w:left="1328" w:right="1146" w:firstLine="209"/>
        <w:jc w:val="both"/>
      </w:pPr>
      <w:r>
        <w:rPr>
          <w:color w:val="231F20"/>
        </w:rPr>
        <w:t xml:space="preserve">One reason that the </w:t>
      </w:r>
      <w:r>
        <w:rPr>
          <w:color w:val="231F20"/>
          <w:spacing w:val="-6"/>
        </w:rPr>
        <w:t xml:space="preserve">BAW </w:t>
      </w:r>
      <w:r>
        <w:rPr>
          <w:color w:val="231F20"/>
        </w:rPr>
        <w:t xml:space="preserve">hates Andreas in particular is because he makes effective use of all available weapons in the struggle. It was from him that we learned that the bourgeoisie has no weapons that we can’t </w:t>
      </w:r>
      <w:r>
        <w:rPr>
          <w:color w:val="231F20"/>
          <w:spacing w:val="1"/>
        </w:rPr>
        <w:t xml:space="preserve">turn </w:t>
      </w:r>
      <w:r>
        <w:rPr>
          <w:color w:val="231F20"/>
        </w:rPr>
        <w:t>against them—a tactical principle drawn from the  observation that revolutionary contradictions can be developed within capitalism. So</w:t>
      </w:r>
      <w:r>
        <w:rPr>
          <w:color w:val="231F20"/>
          <w:spacing w:val="20"/>
        </w:rPr>
        <w:t xml:space="preserve"> </w:t>
      </w:r>
      <w:r>
        <w:rPr>
          <w:color w:val="231F20"/>
        </w:rPr>
        <w:t>Andreas</w:t>
      </w:r>
      <w:r>
        <w:rPr>
          <w:color w:val="231F20"/>
          <w:spacing w:val="20"/>
        </w:rPr>
        <w:t xml:space="preserve"> </w:t>
      </w:r>
      <w:r>
        <w:rPr>
          <w:color w:val="231F20"/>
        </w:rPr>
        <w:t>is</w:t>
      </w:r>
      <w:r>
        <w:rPr>
          <w:color w:val="231F20"/>
          <w:spacing w:val="20"/>
        </w:rPr>
        <w:t xml:space="preserve"> </w:t>
      </w:r>
      <w:r>
        <w:rPr>
          <w:color w:val="231F20"/>
        </w:rPr>
        <w:t>the</w:t>
      </w:r>
      <w:r>
        <w:rPr>
          <w:color w:val="231F20"/>
          <w:spacing w:val="20"/>
        </w:rPr>
        <w:t xml:space="preserve"> </w:t>
      </w:r>
      <w:r>
        <w:rPr>
          <w:color w:val="231F20"/>
        </w:rPr>
        <w:t>guerilla</w:t>
      </w:r>
      <w:r>
        <w:rPr>
          <w:color w:val="231F20"/>
          <w:spacing w:val="20"/>
        </w:rPr>
        <w:t xml:space="preserve"> </w:t>
      </w:r>
      <w:r>
        <w:rPr>
          <w:color w:val="231F20"/>
        </w:rPr>
        <w:t>about</w:t>
      </w:r>
      <w:r>
        <w:rPr>
          <w:color w:val="231F20"/>
          <w:spacing w:val="20"/>
        </w:rPr>
        <w:t xml:space="preserve"> </w:t>
      </w:r>
      <w:r>
        <w:rPr>
          <w:color w:val="231F20"/>
        </w:rPr>
        <w:t>whom</w:t>
      </w:r>
      <w:r>
        <w:rPr>
          <w:color w:val="231F20"/>
          <w:spacing w:val="20"/>
        </w:rPr>
        <w:t xml:space="preserve"> </w:t>
      </w:r>
      <w:r>
        <w:rPr>
          <w:color w:val="231F20"/>
        </w:rPr>
        <w:t>Che</w:t>
      </w:r>
      <w:r>
        <w:rPr>
          <w:color w:val="231F20"/>
          <w:spacing w:val="20"/>
        </w:rPr>
        <w:t xml:space="preserve"> </w:t>
      </w:r>
      <w:r>
        <w:rPr>
          <w:color w:val="231F20"/>
        </w:rPr>
        <w:t>said,</w:t>
      </w:r>
      <w:r>
        <w:rPr>
          <w:color w:val="231F20"/>
          <w:spacing w:val="20"/>
        </w:rPr>
        <w:t xml:space="preserve"> </w:t>
      </w:r>
      <w:r>
        <w:rPr>
          <w:color w:val="231F20"/>
        </w:rPr>
        <w:t>“He</w:t>
      </w:r>
      <w:r>
        <w:rPr>
          <w:color w:val="231F20"/>
          <w:spacing w:val="20"/>
        </w:rPr>
        <w:t xml:space="preserve"> </w:t>
      </w:r>
      <w:r>
        <w:rPr>
          <w:color w:val="231F20"/>
        </w:rPr>
        <w:t>is</w:t>
      </w:r>
      <w:r>
        <w:rPr>
          <w:color w:val="231F20"/>
          <w:spacing w:val="20"/>
        </w:rPr>
        <w:t xml:space="preserve"> </w:t>
      </w:r>
      <w:r>
        <w:rPr>
          <w:color w:val="231F20"/>
        </w:rPr>
        <w:t>the</w:t>
      </w:r>
      <w:r>
        <w:rPr>
          <w:color w:val="231F20"/>
          <w:spacing w:val="20"/>
        </w:rPr>
        <w:t xml:space="preserve"> </w:t>
      </w:r>
      <w:r>
        <w:rPr>
          <w:color w:val="231F20"/>
          <w:spacing w:val="-3"/>
        </w:rPr>
        <w:t>group.”</w:t>
      </w:r>
    </w:p>
    <w:p w14:paraId="773D7609" w14:textId="77777777" w:rsidR="002653E8" w:rsidRDefault="003115E3">
      <w:pPr>
        <w:pStyle w:val="a3"/>
        <w:spacing w:line="264" w:lineRule="auto"/>
        <w:ind w:left="1328" w:right="1145" w:firstLine="210"/>
        <w:jc w:val="both"/>
      </w:pPr>
      <w:r>
        <w:rPr>
          <w:color w:val="231F20"/>
        </w:rPr>
        <w:t>Of us, he is the one who has consistently and for a long time now made the function of rejecting individual possessions clear. It was he who anticipated the role of the guerilla and of the group and who was able to direct the process, because he understood that it was necessary. It was he who understood the complete dispossession implicit in proletarianization as it exists in the metropole. It was he who understood that the guerilla’s isolation required the development of strength, subjectivity, and willpower in order to build a guerilla organization in the Federal</w:t>
      </w:r>
      <w:r>
        <w:rPr>
          <w:color w:val="231F20"/>
          <w:spacing w:val="10"/>
        </w:rPr>
        <w:t xml:space="preserve"> </w:t>
      </w:r>
      <w:r>
        <w:rPr>
          <w:color w:val="231F20"/>
        </w:rPr>
        <w:t>Republic.</w:t>
      </w:r>
    </w:p>
    <w:p w14:paraId="0BE630CF" w14:textId="77777777" w:rsidR="002653E8" w:rsidRDefault="003115E3">
      <w:pPr>
        <w:pStyle w:val="a3"/>
        <w:spacing w:line="264" w:lineRule="auto"/>
        <w:ind w:left="1328" w:right="1146" w:firstLine="210"/>
        <w:jc w:val="both"/>
      </w:pPr>
      <w:r>
        <w:rPr>
          <w:color w:val="231F20"/>
        </w:rPr>
        <w:t>Once again, we must not forget that all revolutionary initiatives are initially instinctive processes—for us, the massive wave of strikes in Russia in 1905 and the October Revolution come to mind—direction, coherence, continuity, and political power encouraged individuals to develop their resolve and willpower.</w:t>
      </w:r>
    </w:p>
    <w:p w14:paraId="18EB1A4B" w14:textId="77777777" w:rsidR="002653E8" w:rsidRDefault="003115E3">
      <w:pPr>
        <w:pStyle w:val="a3"/>
        <w:spacing w:line="264" w:lineRule="auto"/>
        <w:ind w:left="1328" w:right="1146" w:firstLine="210"/>
        <w:jc w:val="both"/>
      </w:pPr>
      <w:r>
        <w:rPr>
          <w:color w:val="231F20"/>
        </w:rPr>
        <w:t>For Gramsci, willpower was the sine qua non; strength of will as the motor force of the revolutionary process in which subjectivity plays an important role.</w:t>
      </w:r>
    </w:p>
    <w:p w14:paraId="0E5C5F5A" w14:textId="77777777" w:rsidR="002653E8" w:rsidRDefault="003115E3">
      <w:pPr>
        <w:pStyle w:val="a3"/>
        <w:spacing w:before="100"/>
        <w:ind w:left="1212" w:right="1146"/>
        <w:jc w:val="right"/>
      </w:pPr>
      <w:r>
        <w:rPr>
          <w:color w:val="231F20"/>
        </w:rPr>
        <w:t>Ulrike  Meinhof</w:t>
      </w:r>
    </w:p>
    <w:p w14:paraId="08C2CAB4" w14:textId="77777777" w:rsidR="002653E8" w:rsidRDefault="003115E3">
      <w:pPr>
        <w:pStyle w:val="a3"/>
        <w:spacing w:before="21"/>
        <w:ind w:left="1212" w:right="1145"/>
        <w:jc w:val="right"/>
      </w:pPr>
      <w:r>
        <w:rPr>
          <w:color w:val="231F20"/>
        </w:rPr>
        <w:t>1976</w:t>
      </w:r>
    </w:p>
    <w:p w14:paraId="33E7080D" w14:textId="77777777" w:rsidR="002653E8" w:rsidRDefault="002653E8">
      <w:pPr>
        <w:jc w:val="right"/>
        <w:sectPr w:rsidR="002653E8">
          <w:pgSz w:w="8640" w:h="12960"/>
          <w:pgMar w:top="1060" w:right="0" w:bottom="1040" w:left="0" w:header="0" w:footer="850" w:gutter="0"/>
          <w:cols w:space="720"/>
        </w:sectPr>
      </w:pPr>
    </w:p>
    <w:p w14:paraId="412C9817" w14:textId="77777777" w:rsidR="002653E8" w:rsidRDefault="003115E3">
      <w:pPr>
        <w:pStyle w:val="4"/>
        <w:ind w:left="1956"/>
      </w:pPr>
      <w:bookmarkStart w:id="187" w:name="Two_Letters_to_Hanna_Krabbe_(Ulrike_Mein"/>
      <w:bookmarkStart w:id="188" w:name="_bookmark62"/>
      <w:bookmarkEnd w:id="187"/>
      <w:bookmarkEnd w:id="188"/>
      <w:r>
        <w:rPr>
          <w:color w:val="231F20"/>
          <w:w w:val="105"/>
        </w:rPr>
        <w:lastRenderedPageBreak/>
        <w:t>Two Letters To Hanna Krabbe</w:t>
      </w:r>
    </w:p>
    <w:p w14:paraId="66D37B20" w14:textId="77777777" w:rsidR="002653E8" w:rsidRDefault="002653E8">
      <w:pPr>
        <w:pStyle w:val="a3"/>
        <w:spacing w:before="4"/>
        <w:rPr>
          <w:rFonts w:ascii="Bookman Old Style"/>
          <w:sz w:val="30"/>
        </w:rPr>
      </w:pPr>
    </w:p>
    <w:p w14:paraId="5A27737C" w14:textId="77777777" w:rsidR="002653E8" w:rsidRDefault="003115E3">
      <w:pPr>
        <w:spacing w:line="261" w:lineRule="auto"/>
        <w:ind w:left="1547" w:right="2067"/>
        <w:rPr>
          <w:i/>
          <w:sz w:val="20"/>
        </w:rPr>
      </w:pPr>
      <w:r>
        <w:rPr>
          <w:i/>
          <w:color w:val="231F20"/>
          <w:w w:val="105"/>
          <w:sz w:val="20"/>
        </w:rPr>
        <w:t xml:space="preserve">Krabbe, along with the other members of the Holger Meins </w:t>
      </w:r>
      <w:r>
        <w:rPr>
          <w:i/>
          <w:color w:val="231F20"/>
          <w:spacing w:val="1"/>
          <w:w w:val="105"/>
          <w:sz w:val="20"/>
        </w:rPr>
        <w:t xml:space="preserve">Commando, </w:t>
      </w:r>
      <w:r>
        <w:rPr>
          <w:i/>
          <w:color w:val="231F20"/>
          <w:w w:val="105"/>
          <w:sz w:val="20"/>
        </w:rPr>
        <w:t xml:space="preserve">was to go on trial in </w:t>
      </w:r>
      <w:r>
        <w:rPr>
          <w:i/>
          <w:color w:val="231F20"/>
          <w:spacing w:val="1"/>
          <w:w w:val="105"/>
          <w:sz w:val="20"/>
        </w:rPr>
        <w:t xml:space="preserve">May </w:t>
      </w:r>
      <w:r>
        <w:rPr>
          <w:rFonts w:ascii="Bookman Old Style"/>
          <w:i/>
          <w:color w:val="231F20"/>
          <w:w w:val="105"/>
          <w:sz w:val="20"/>
        </w:rPr>
        <w:t xml:space="preserve">1976 </w:t>
      </w:r>
      <w:r>
        <w:rPr>
          <w:i/>
          <w:color w:val="231F20"/>
          <w:w w:val="105"/>
          <w:sz w:val="20"/>
        </w:rPr>
        <w:t xml:space="preserve">on charges relating to the Stockholm action. </w:t>
      </w:r>
      <w:r>
        <w:rPr>
          <w:i/>
          <w:color w:val="231F20"/>
          <w:spacing w:val="10"/>
          <w:w w:val="105"/>
          <w:sz w:val="20"/>
        </w:rPr>
        <w:t xml:space="preserve">(M.&amp; </w:t>
      </w:r>
      <w:r>
        <w:rPr>
          <w:i/>
          <w:color w:val="231F20"/>
          <w:spacing w:val="1"/>
          <w:w w:val="105"/>
          <w:sz w:val="20"/>
        </w:rPr>
        <w:t>S.)</w:t>
      </w:r>
    </w:p>
    <w:p w14:paraId="3686355D" w14:textId="77777777" w:rsidR="002653E8" w:rsidRDefault="002653E8">
      <w:pPr>
        <w:pStyle w:val="a3"/>
        <w:rPr>
          <w:i/>
          <w:sz w:val="22"/>
        </w:rPr>
      </w:pPr>
    </w:p>
    <w:p w14:paraId="55B9F80A" w14:textId="77777777" w:rsidR="002653E8" w:rsidRDefault="003115E3">
      <w:pPr>
        <w:spacing w:before="138"/>
        <w:ind w:left="1147"/>
        <w:rPr>
          <w:sz w:val="20"/>
        </w:rPr>
      </w:pPr>
      <w:r>
        <w:rPr>
          <w:color w:val="231F20"/>
          <w:spacing w:val="17"/>
          <w:w w:val="120"/>
        </w:rPr>
        <w:t xml:space="preserve">first </w:t>
      </w:r>
      <w:r>
        <w:rPr>
          <w:color w:val="231F20"/>
          <w:spacing w:val="21"/>
          <w:w w:val="120"/>
        </w:rPr>
        <w:t xml:space="preserve">letter </w:t>
      </w:r>
      <w:r>
        <w:rPr>
          <w:color w:val="231F20"/>
          <w:spacing w:val="5"/>
          <w:w w:val="115"/>
          <w:sz w:val="20"/>
        </w:rPr>
        <w:t>(</w:t>
      </w:r>
      <w:r>
        <w:rPr>
          <w:color w:val="231F20"/>
          <w:spacing w:val="5"/>
          <w:w w:val="115"/>
        </w:rPr>
        <w:t xml:space="preserve">m </w:t>
      </w:r>
      <w:r>
        <w:rPr>
          <w:color w:val="231F20"/>
          <w:spacing w:val="16"/>
          <w:w w:val="120"/>
        </w:rPr>
        <w:t xml:space="preserve">arch </w:t>
      </w:r>
      <w:r>
        <w:rPr>
          <w:color w:val="231F20"/>
          <w:spacing w:val="6"/>
          <w:w w:val="120"/>
        </w:rPr>
        <w:t>19,</w:t>
      </w:r>
      <w:r>
        <w:rPr>
          <w:color w:val="231F20"/>
          <w:spacing w:val="57"/>
          <w:w w:val="120"/>
        </w:rPr>
        <w:t xml:space="preserve"> </w:t>
      </w:r>
      <w:r>
        <w:rPr>
          <w:color w:val="231F20"/>
          <w:spacing w:val="8"/>
          <w:w w:val="115"/>
        </w:rPr>
        <w:t xml:space="preserve">1976 </w:t>
      </w:r>
      <w:r>
        <w:rPr>
          <w:color w:val="231F20"/>
          <w:w w:val="115"/>
          <w:sz w:val="20"/>
        </w:rPr>
        <w:t>)</w:t>
      </w:r>
    </w:p>
    <w:p w14:paraId="5A6D8DDE" w14:textId="3C3113E9" w:rsidR="002653E8" w:rsidRDefault="003115E3">
      <w:pPr>
        <w:pStyle w:val="a3"/>
        <w:spacing w:before="18" w:line="264" w:lineRule="auto"/>
        <w:ind w:left="1147" w:right="1326"/>
        <w:jc w:val="both"/>
      </w:pPr>
      <w:r>
        <w:rPr>
          <w:color w:val="231F20"/>
          <w:w w:val="105"/>
        </w:rPr>
        <w:t>The</w:t>
      </w:r>
      <w:r>
        <w:rPr>
          <w:color w:val="231F20"/>
          <w:spacing w:val="-3"/>
          <w:w w:val="105"/>
        </w:rPr>
        <w:t xml:space="preserve"> </w:t>
      </w:r>
      <w:r>
        <w:rPr>
          <w:color w:val="231F20"/>
          <w:w w:val="105"/>
        </w:rPr>
        <w:t>politicians’</w:t>
      </w:r>
      <w:r>
        <w:rPr>
          <w:color w:val="231F20"/>
          <w:spacing w:val="-3"/>
          <w:w w:val="105"/>
        </w:rPr>
        <w:t xml:space="preserve"> </w:t>
      </w:r>
      <w:r>
        <w:rPr>
          <w:color w:val="231F20"/>
          <w:w w:val="105"/>
        </w:rPr>
        <w:t>drivel</w:t>
      </w:r>
      <w:r>
        <w:rPr>
          <w:color w:val="231F20"/>
          <w:spacing w:val="-3"/>
          <w:w w:val="105"/>
        </w:rPr>
        <w:t xml:space="preserve"> </w:t>
      </w:r>
      <w:r>
        <w:rPr>
          <w:color w:val="231F20"/>
          <w:w w:val="105"/>
        </w:rPr>
        <w:t>is</w:t>
      </w:r>
      <w:r>
        <w:rPr>
          <w:color w:val="231F20"/>
          <w:spacing w:val="-3"/>
          <w:w w:val="105"/>
        </w:rPr>
        <w:t xml:space="preserve"> </w:t>
      </w:r>
      <w:r>
        <w:rPr>
          <w:color w:val="231F20"/>
          <w:w w:val="105"/>
        </w:rPr>
        <w:t>not</w:t>
      </w:r>
      <w:r>
        <w:rPr>
          <w:color w:val="231F20"/>
          <w:spacing w:val="-3"/>
          <w:w w:val="105"/>
        </w:rPr>
        <w:t xml:space="preserve"> </w:t>
      </w:r>
      <w:r>
        <w:rPr>
          <w:color w:val="231F20"/>
          <w:w w:val="105"/>
        </w:rPr>
        <w:t>what</w:t>
      </w:r>
      <w:r>
        <w:rPr>
          <w:color w:val="231F20"/>
          <w:spacing w:val="-3"/>
          <w:w w:val="105"/>
        </w:rPr>
        <w:t xml:space="preserve"> </w:t>
      </w:r>
      <w:r>
        <w:rPr>
          <w:color w:val="231F20"/>
          <w:w w:val="105"/>
        </w:rPr>
        <w:t>the</w:t>
      </w:r>
      <w:r>
        <w:rPr>
          <w:color w:val="231F20"/>
          <w:spacing w:val="-3"/>
          <w:w w:val="105"/>
        </w:rPr>
        <w:t xml:space="preserve"> </w:t>
      </w:r>
      <w:r>
        <w:rPr>
          <w:color w:val="231F20"/>
          <w:w w:val="105"/>
        </w:rPr>
        <w:t>people</w:t>
      </w:r>
      <w:r>
        <w:rPr>
          <w:color w:val="231F20"/>
          <w:spacing w:val="-3"/>
          <w:w w:val="105"/>
        </w:rPr>
        <w:t xml:space="preserve"> </w:t>
      </w:r>
      <w:r>
        <w:rPr>
          <w:color w:val="231F20"/>
          <w:w w:val="105"/>
        </w:rPr>
        <w:t>think,</w:t>
      </w:r>
      <w:r>
        <w:rPr>
          <w:color w:val="231F20"/>
          <w:spacing w:val="-3"/>
          <w:w w:val="105"/>
        </w:rPr>
        <w:t xml:space="preserve"> </w:t>
      </w:r>
      <w:r>
        <w:rPr>
          <w:color w:val="231F20"/>
          <w:w w:val="105"/>
        </w:rPr>
        <w:t>but</w:t>
      </w:r>
      <w:r>
        <w:rPr>
          <w:color w:val="231F20"/>
          <w:spacing w:val="-3"/>
          <w:w w:val="105"/>
        </w:rPr>
        <w:t xml:space="preserve"> </w:t>
      </w:r>
      <w:r>
        <w:rPr>
          <w:color w:val="231F20"/>
          <w:w w:val="105"/>
        </w:rPr>
        <w:t>what</w:t>
      </w:r>
      <w:r>
        <w:rPr>
          <w:color w:val="231F20"/>
          <w:spacing w:val="-3"/>
          <w:w w:val="105"/>
        </w:rPr>
        <w:t xml:space="preserve"> </w:t>
      </w:r>
      <w:r>
        <w:rPr>
          <w:color w:val="231F20"/>
          <w:w w:val="105"/>
        </w:rPr>
        <w:t>the</w:t>
      </w:r>
      <w:r>
        <w:rPr>
          <w:color w:val="231F20"/>
          <w:spacing w:val="-3"/>
          <w:w w:val="105"/>
        </w:rPr>
        <w:t xml:space="preserve"> </w:t>
      </w:r>
      <w:r>
        <w:rPr>
          <w:color w:val="231F20"/>
          <w:w w:val="105"/>
        </w:rPr>
        <w:t xml:space="preserve">politicians need them to think. And when they say </w:t>
      </w:r>
      <w:r>
        <w:rPr>
          <w:color w:val="231F20"/>
          <w:spacing w:val="-3"/>
          <w:w w:val="105"/>
        </w:rPr>
        <w:t xml:space="preserve">“we,” </w:t>
      </w:r>
      <w:r>
        <w:rPr>
          <w:color w:val="231F20"/>
          <w:w w:val="105"/>
        </w:rPr>
        <w:t xml:space="preserve">they are only trying with their drivel to mold what the people think and how they think it. The state wouldn’t need opinion polls, nor would it need the </w:t>
      </w:r>
      <w:r>
        <w:rPr>
          <w:i/>
          <w:color w:val="231F20"/>
          <w:w w:val="105"/>
        </w:rPr>
        <w:t>Verfassungsschutz</w:t>
      </w:r>
      <w:r>
        <w:rPr>
          <w:color w:val="231F20"/>
          <w:w w:val="105"/>
        </w:rPr>
        <w:t>, if indoctrination by psychological warfare was as simple as</w:t>
      </w:r>
      <w:r>
        <w:rPr>
          <w:color w:val="231F20"/>
          <w:spacing w:val="15"/>
          <w:w w:val="105"/>
        </w:rPr>
        <w:t xml:space="preserve"> </w:t>
      </w:r>
      <w:r>
        <w:rPr>
          <w:color w:val="231F20"/>
          <w:w w:val="105"/>
        </w:rPr>
        <w:t>that.</w:t>
      </w:r>
    </w:p>
    <w:p w14:paraId="37E86F9D" w14:textId="77777777" w:rsidR="002653E8" w:rsidRDefault="003115E3">
      <w:pPr>
        <w:pStyle w:val="a3"/>
        <w:spacing w:line="264" w:lineRule="auto"/>
        <w:ind w:left="1147" w:right="1325" w:firstLine="210"/>
        <w:jc w:val="both"/>
      </w:pPr>
      <w:r>
        <w:rPr>
          <w:color w:val="231F20"/>
        </w:rPr>
        <w:t xml:space="preserve">As Gramsci said, the legal country is not the real country; or more plainly stated: the dominant opinion is not the opinion of the dominated. What you say is bullshit. </w:t>
      </w:r>
      <w:r>
        <w:rPr>
          <w:color w:val="231F20"/>
          <w:spacing w:val="-7"/>
        </w:rPr>
        <w:t xml:space="preserve">you </w:t>
      </w:r>
      <w:r>
        <w:rPr>
          <w:color w:val="231F20"/>
        </w:rPr>
        <w:t xml:space="preserve">reason in the realm of the imaginary, as if the enemy is the ideology which he sputters, the drivel, the platitudes that they’ve drummed into you from their bag of tricks with the politicians’ cadence of consensus, as if the media and the people whom they pour all this shit on were one and the same thing. It is not real; it is the product of the counterinsurgency machine constructed by the </w:t>
      </w:r>
      <w:r>
        <w:rPr>
          <w:color w:val="231F20"/>
          <w:spacing w:val="2"/>
        </w:rPr>
        <w:t xml:space="preserve">BKA, </w:t>
      </w:r>
      <w:r>
        <w:rPr>
          <w:color w:val="231F20"/>
        </w:rPr>
        <w:t xml:space="preserve">the </w:t>
      </w:r>
      <w:r>
        <w:rPr>
          <w:color w:val="231F20"/>
          <w:spacing w:val="-8"/>
        </w:rPr>
        <w:t xml:space="preserve">BAW, </w:t>
      </w:r>
      <w:r>
        <w:rPr>
          <w:color w:val="231F20"/>
        </w:rPr>
        <w:t xml:space="preserve">the </w:t>
      </w:r>
      <w:r>
        <w:rPr>
          <w:i/>
          <w:color w:val="231F20"/>
        </w:rPr>
        <w:t>Verfassungsschutz</w:t>
      </w:r>
      <w:r>
        <w:rPr>
          <w:color w:val="231F20"/>
        </w:rPr>
        <w:t>, the government, the media, the secret services,</w:t>
      </w:r>
      <w:r>
        <w:rPr>
          <w:color w:val="231F20"/>
          <w:spacing w:val="30"/>
        </w:rPr>
        <w:t xml:space="preserve"> </w:t>
      </w:r>
      <w:r>
        <w:rPr>
          <w:color w:val="231F20"/>
        </w:rPr>
        <w:t>etc.</w:t>
      </w:r>
    </w:p>
    <w:p w14:paraId="6B0EBE70" w14:textId="77777777" w:rsidR="002653E8" w:rsidRDefault="003115E3">
      <w:pPr>
        <w:pStyle w:val="a3"/>
        <w:spacing w:line="224" w:lineRule="exact"/>
        <w:ind w:left="1357"/>
      </w:pPr>
      <w:r>
        <w:rPr>
          <w:color w:val="231F20"/>
        </w:rPr>
        <w:t>Just as the enemy is non-material, rather than material.</w:t>
      </w:r>
    </w:p>
    <w:p w14:paraId="2FACB7D0" w14:textId="77777777" w:rsidR="002653E8" w:rsidRDefault="003115E3">
      <w:pPr>
        <w:pStyle w:val="a3"/>
        <w:spacing w:before="16" w:line="264" w:lineRule="auto"/>
        <w:ind w:left="1147" w:right="1325" w:firstLine="210"/>
        <w:jc w:val="both"/>
      </w:pPr>
      <w:r>
        <w:rPr>
          <w:color w:val="231F20"/>
          <w:spacing w:val="-7"/>
        </w:rPr>
        <w:t xml:space="preserve">you </w:t>
      </w:r>
      <w:r>
        <w:rPr>
          <w:color w:val="231F20"/>
          <w:spacing w:val="-3"/>
        </w:rPr>
        <w:t xml:space="preserve">don’t </w:t>
      </w:r>
      <w:r>
        <w:rPr>
          <w:color w:val="231F20"/>
        </w:rPr>
        <w:t xml:space="preserve">ask yourself what the condition that Brandt calls “normal” really </w:t>
      </w:r>
      <w:r>
        <w:rPr>
          <w:color w:val="231F20"/>
          <w:spacing w:val="1"/>
        </w:rPr>
        <w:t xml:space="preserve">is—and </w:t>
      </w:r>
      <w:r>
        <w:rPr>
          <w:color w:val="231F20"/>
        </w:rPr>
        <w:t xml:space="preserve">you </w:t>
      </w:r>
      <w:r>
        <w:rPr>
          <w:color w:val="231F20"/>
          <w:spacing w:val="-3"/>
        </w:rPr>
        <w:t xml:space="preserve">don’t </w:t>
      </w:r>
      <w:r>
        <w:rPr>
          <w:color w:val="231F20"/>
        </w:rPr>
        <w:t xml:space="preserve">recognize in Buback’s statement that he has determined the conflict—war and its dimensions—to be international, and that he speaks as a representative of </w:t>
      </w:r>
      <w:r>
        <w:rPr>
          <w:color w:val="231F20"/>
          <w:spacing w:val="1"/>
        </w:rPr>
        <w:t xml:space="preserve">U.S. </w:t>
      </w:r>
      <w:r>
        <w:rPr>
          <w:color w:val="231F20"/>
        </w:rPr>
        <w:t xml:space="preserve">capital’s international interests. </w:t>
      </w:r>
      <w:r>
        <w:rPr>
          <w:color w:val="231F20"/>
          <w:spacing w:val="-7"/>
        </w:rPr>
        <w:t>you</w:t>
      </w:r>
      <w:r>
        <w:rPr>
          <w:color w:val="231F20"/>
          <w:spacing w:val="30"/>
        </w:rPr>
        <w:t xml:space="preserve"> </w:t>
      </w:r>
      <w:r>
        <w:rPr>
          <w:color w:val="231F20"/>
        </w:rPr>
        <w:t xml:space="preserve">only find it </w:t>
      </w:r>
      <w:r>
        <w:rPr>
          <w:color w:val="231F20"/>
          <w:spacing w:val="-3"/>
        </w:rPr>
        <w:t xml:space="preserve">“absurd,” </w:t>
      </w:r>
      <w:r>
        <w:rPr>
          <w:color w:val="231F20"/>
        </w:rPr>
        <w:t xml:space="preserve">and instead of analyzing  it,  you  offer a single word—“CIA”—which is a metaphor for  Buback’s  morally decadent policy—and which is gratuitous. </w:t>
      </w:r>
      <w:r>
        <w:rPr>
          <w:color w:val="231F20"/>
          <w:spacing w:val="-7"/>
        </w:rPr>
        <w:t xml:space="preserve">you </w:t>
      </w:r>
      <w:r>
        <w:rPr>
          <w:color w:val="231F20"/>
        </w:rPr>
        <w:t>thereby incriminate yourself, because, in practice, you whine about the fact that this is war, after having clearly stood on our side in this war and having begun to struggle.</w:t>
      </w:r>
    </w:p>
    <w:p w14:paraId="10147A69" w14:textId="77777777" w:rsidR="002653E8" w:rsidRDefault="003115E3">
      <w:pPr>
        <w:pStyle w:val="a3"/>
        <w:spacing w:line="264" w:lineRule="auto"/>
        <w:ind w:left="1147" w:right="1325" w:firstLine="210"/>
        <w:jc w:val="both"/>
      </w:pPr>
      <w:r>
        <w:rPr>
          <w:color w:val="231F20"/>
        </w:rPr>
        <w:t>your text resembles that of the legal American civil rights movement, which begs the question, if that is how you see things, why are you in here and not out there?</w:t>
      </w:r>
    </w:p>
    <w:p w14:paraId="7CA8CB6F" w14:textId="77777777" w:rsidR="002653E8" w:rsidRDefault="003115E3">
      <w:pPr>
        <w:pStyle w:val="a3"/>
        <w:spacing w:line="231" w:lineRule="exact"/>
        <w:ind w:left="1357"/>
      </w:pPr>
      <w:r>
        <w:rPr>
          <w:color w:val="231F20"/>
        </w:rPr>
        <w:t>In any event, you are here.</w:t>
      </w:r>
    </w:p>
    <w:p w14:paraId="7291517D" w14:textId="77777777" w:rsidR="002653E8" w:rsidRDefault="002653E8">
      <w:pPr>
        <w:spacing w:line="231" w:lineRule="exact"/>
        <w:sectPr w:rsidR="002653E8">
          <w:pgSz w:w="8640" w:h="12960"/>
          <w:pgMar w:top="1220" w:right="0" w:bottom="1040" w:left="0" w:header="0" w:footer="850" w:gutter="0"/>
          <w:cols w:space="720"/>
        </w:sectPr>
      </w:pPr>
    </w:p>
    <w:p w14:paraId="4BF02577" w14:textId="77777777" w:rsidR="002653E8" w:rsidRDefault="003115E3">
      <w:pPr>
        <w:pStyle w:val="a3"/>
        <w:spacing w:before="86" w:line="264" w:lineRule="auto"/>
        <w:ind w:left="1328" w:right="1137" w:firstLine="209"/>
        <w:jc w:val="both"/>
      </w:pPr>
      <w:r>
        <w:rPr>
          <w:color w:val="231F20"/>
        </w:rPr>
        <w:lastRenderedPageBreak/>
        <w:t xml:space="preserve">The internationalism that you have struggled for and which the </w:t>
      </w:r>
      <w:r w:rsidR="00C507A5">
        <w:rPr>
          <w:color w:val="231F20"/>
        </w:rPr>
        <w:t>red army faction</w:t>
      </w:r>
      <w:r>
        <w:rPr>
          <w:color w:val="231F20"/>
        </w:rPr>
        <w:t xml:space="preserve"> represents is not that of international, inter-state organizations like the United Nations or Geneva; it is the internationalism of the war against imperialism being waged by the liberation movements in the Third World and in the metropole.</w:t>
      </w:r>
    </w:p>
    <w:p w14:paraId="56DA2636" w14:textId="77777777" w:rsidR="002653E8" w:rsidRDefault="003115E3">
      <w:pPr>
        <w:pStyle w:val="a3"/>
        <w:spacing w:line="264" w:lineRule="auto"/>
        <w:ind w:left="1327" w:right="1146" w:firstLine="210"/>
        <w:jc w:val="both"/>
      </w:pPr>
      <w:r>
        <w:rPr>
          <w:color w:val="231F20"/>
        </w:rPr>
        <w:t>War—that is all. you won’t find your bearings here by relying on rumors, but only by studying the facts and their connection to the class struggle.</w:t>
      </w:r>
    </w:p>
    <w:p w14:paraId="09F8D99C" w14:textId="77777777" w:rsidR="002653E8" w:rsidRDefault="003115E3">
      <w:pPr>
        <w:pStyle w:val="a3"/>
        <w:spacing w:line="264" w:lineRule="auto"/>
        <w:ind w:left="1327" w:right="1145" w:firstLine="210"/>
        <w:jc w:val="both"/>
      </w:pPr>
      <w:r>
        <w:rPr>
          <w:color w:val="231F20"/>
          <w:spacing w:val="1"/>
        </w:rPr>
        <w:t xml:space="preserve">If </w:t>
      </w:r>
      <w:r>
        <w:rPr>
          <w:color w:val="231F20"/>
        </w:rPr>
        <w:t xml:space="preserve">in isolation you do not make an effort to persistently and continuously analyze reality by understanding it on a material basis, in the context of the </w:t>
      </w:r>
      <w:r>
        <w:rPr>
          <w:color w:val="231F20"/>
          <w:spacing w:val="1"/>
        </w:rPr>
        <w:t xml:space="preserve">struggle—class </w:t>
      </w:r>
      <w:r>
        <w:rPr>
          <w:color w:val="231F20"/>
        </w:rPr>
        <w:t>struggle understood as war—it is</w:t>
      </w:r>
      <w:r>
        <w:rPr>
          <w:color w:val="231F20"/>
          <w:spacing w:val="-31"/>
        </w:rPr>
        <w:t xml:space="preserve"> </w:t>
      </w:r>
      <w:r>
        <w:rPr>
          <w:color w:val="231F20"/>
        </w:rPr>
        <w:t xml:space="preserve">because </w:t>
      </w:r>
      <w:r>
        <w:rPr>
          <w:color w:val="231F20"/>
          <w:spacing w:val="-3"/>
        </w:rPr>
        <w:t xml:space="preserve">you’ve </w:t>
      </w:r>
      <w:r>
        <w:rPr>
          <w:color w:val="231F20"/>
        </w:rPr>
        <w:t xml:space="preserve">lost touch, </w:t>
      </w:r>
      <w:r>
        <w:rPr>
          <w:color w:val="231F20"/>
          <w:spacing w:val="-4"/>
        </w:rPr>
        <w:t xml:space="preserve">you’re </w:t>
      </w:r>
      <w:r>
        <w:rPr>
          <w:color w:val="231F20"/>
        </w:rPr>
        <w:t>coming apart, you are sick, which means you are starting to have a sick relationship with reality. That constitutes a betrayal in the face of the reality of torture and the effort that resistance demands</w:t>
      </w:r>
      <w:r>
        <w:rPr>
          <w:color w:val="231F20"/>
          <w:spacing w:val="10"/>
        </w:rPr>
        <w:t xml:space="preserve"> </w:t>
      </w:r>
      <w:r>
        <w:rPr>
          <w:color w:val="231F20"/>
        </w:rPr>
        <w:t>if</w:t>
      </w:r>
      <w:r>
        <w:rPr>
          <w:color w:val="231F20"/>
          <w:spacing w:val="10"/>
        </w:rPr>
        <w:t xml:space="preserve"> </w:t>
      </w:r>
      <w:r>
        <w:rPr>
          <w:color w:val="231F20"/>
        </w:rPr>
        <w:t>it</w:t>
      </w:r>
      <w:r>
        <w:rPr>
          <w:color w:val="231F20"/>
          <w:spacing w:val="10"/>
        </w:rPr>
        <w:t xml:space="preserve"> </w:t>
      </w:r>
      <w:r>
        <w:rPr>
          <w:color w:val="231F20"/>
        </w:rPr>
        <w:t>is</w:t>
      </w:r>
      <w:r>
        <w:rPr>
          <w:color w:val="231F20"/>
          <w:spacing w:val="10"/>
        </w:rPr>
        <w:t xml:space="preserve"> </w:t>
      </w:r>
      <w:r>
        <w:rPr>
          <w:color w:val="231F20"/>
        </w:rPr>
        <w:t>to</w:t>
      </w:r>
      <w:r>
        <w:rPr>
          <w:color w:val="231F20"/>
          <w:spacing w:val="10"/>
        </w:rPr>
        <w:t xml:space="preserve"> </w:t>
      </w:r>
      <w:r>
        <w:rPr>
          <w:color w:val="231F20"/>
        </w:rPr>
        <w:t>be</w:t>
      </w:r>
      <w:r>
        <w:rPr>
          <w:color w:val="231F20"/>
          <w:spacing w:val="10"/>
        </w:rPr>
        <w:t xml:space="preserve"> </w:t>
      </w:r>
      <w:r>
        <w:rPr>
          <w:color w:val="231F20"/>
        </w:rPr>
        <w:t>more</w:t>
      </w:r>
      <w:r>
        <w:rPr>
          <w:color w:val="231F20"/>
          <w:spacing w:val="10"/>
        </w:rPr>
        <w:t xml:space="preserve"> </w:t>
      </w:r>
      <w:r>
        <w:rPr>
          <w:color w:val="231F20"/>
        </w:rPr>
        <w:t>than</w:t>
      </w:r>
      <w:r>
        <w:rPr>
          <w:color w:val="231F20"/>
          <w:spacing w:val="10"/>
        </w:rPr>
        <w:t xml:space="preserve"> </w:t>
      </w:r>
      <w:r>
        <w:rPr>
          <w:color w:val="231F20"/>
        </w:rPr>
        <w:t>just</w:t>
      </w:r>
      <w:r>
        <w:rPr>
          <w:color w:val="231F20"/>
          <w:spacing w:val="10"/>
        </w:rPr>
        <w:t xml:space="preserve"> </w:t>
      </w:r>
      <w:r>
        <w:rPr>
          <w:color w:val="231F20"/>
        </w:rPr>
        <w:t>a</w:t>
      </w:r>
      <w:r>
        <w:rPr>
          <w:color w:val="231F20"/>
          <w:spacing w:val="10"/>
        </w:rPr>
        <w:t xml:space="preserve"> </w:t>
      </w:r>
      <w:r>
        <w:rPr>
          <w:color w:val="231F20"/>
        </w:rPr>
        <w:t>word.</w:t>
      </w:r>
    </w:p>
    <w:p w14:paraId="2AC0F00B" w14:textId="77777777" w:rsidR="002653E8" w:rsidRDefault="003115E3">
      <w:pPr>
        <w:pStyle w:val="a3"/>
        <w:spacing w:line="264" w:lineRule="auto"/>
        <w:ind w:left="1327" w:right="1145" w:firstLine="210"/>
        <w:jc w:val="both"/>
      </w:pPr>
      <w:r>
        <w:rPr>
          <w:color w:val="231F20"/>
        </w:rPr>
        <w:t xml:space="preserve">It is not acceptable—in isolation you can’t permit yourself, on top of everything else, to torment yourself. That, as Andreas has said, doesn’t mean that you can </w:t>
      </w:r>
      <w:r>
        <w:rPr>
          <w:color w:val="231F20"/>
          <w:spacing w:val="-3"/>
        </w:rPr>
        <w:t xml:space="preserve">avoid </w:t>
      </w:r>
      <w:r>
        <w:rPr>
          <w:color w:val="231F20"/>
        </w:rPr>
        <w:t>certain experiences in the process of liberation from alienation. But it is one thing to be destroyed because of trying     to understand politics, the facts and how they relate to each other, to understand the group so as to act—and quite another to be destroyed because isolation strips you of all illusions about yourself, which can be a very hard pill to</w:t>
      </w:r>
      <w:r>
        <w:rPr>
          <w:color w:val="231F20"/>
          <w:spacing w:val="10"/>
        </w:rPr>
        <w:t xml:space="preserve"> </w:t>
      </w:r>
      <w:r>
        <w:rPr>
          <w:color w:val="231F20"/>
        </w:rPr>
        <w:t>swallow.</w:t>
      </w:r>
    </w:p>
    <w:p w14:paraId="46C59C94" w14:textId="77777777" w:rsidR="002653E8" w:rsidRDefault="003115E3">
      <w:pPr>
        <w:pStyle w:val="a3"/>
        <w:spacing w:line="264" w:lineRule="auto"/>
        <w:ind w:left="1327" w:right="1146" w:firstLine="210"/>
        <w:jc w:val="both"/>
      </w:pPr>
      <w:r>
        <w:rPr>
          <w:color w:val="231F20"/>
        </w:rPr>
        <w:t>And if it is the case that your capacity to act is based on socialization through fear and despair, then struggle on the basis of that.</w:t>
      </w:r>
    </w:p>
    <w:p w14:paraId="2614B7A7" w14:textId="77777777" w:rsidR="002653E8" w:rsidRDefault="003115E3">
      <w:pPr>
        <w:pStyle w:val="a3"/>
        <w:spacing w:line="264" w:lineRule="auto"/>
        <w:ind w:left="1327" w:right="1146" w:firstLine="210"/>
        <w:jc w:val="both"/>
      </w:pPr>
      <w:r>
        <w:rPr>
          <w:color w:val="231F20"/>
        </w:rPr>
        <w:t>Eventually you may understand—I can’t say for sure—that we can only achieve something with words if they lead to a correct understanding of the situation in which each of us finds ourselves under imperialism, that it is senseless to want to fight with words, when one can only fight with clarity and truth.</w:t>
      </w:r>
    </w:p>
    <w:p w14:paraId="03D64C00" w14:textId="77777777" w:rsidR="002653E8" w:rsidRDefault="003115E3">
      <w:pPr>
        <w:pStyle w:val="a3"/>
        <w:spacing w:line="264" w:lineRule="auto"/>
        <w:ind w:left="1327" w:right="1146" w:firstLine="210"/>
        <w:jc w:val="both"/>
      </w:pPr>
      <w:r>
        <w:rPr>
          <w:color w:val="231F20"/>
        </w:rPr>
        <w:t>Given the environment in which we are struggling—the postfascist state, consumer culture, metropolitan chauvinism, media manipulation of the masses, psychological warfare, and social democracy—and faced with the repression that confronts us here, indignation is not a weapon. It is pointless and empty. Whoever is truly indignant, that is to say, is concerned and engaged, does not scream, but instead reflects on what can be done.</w:t>
      </w:r>
    </w:p>
    <w:p w14:paraId="4F2E56AB" w14:textId="77777777" w:rsidR="002653E8" w:rsidRDefault="003115E3">
      <w:pPr>
        <w:pStyle w:val="a3"/>
        <w:spacing w:line="264" w:lineRule="auto"/>
        <w:ind w:left="1328" w:right="1146" w:firstLine="209"/>
        <w:jc w:val="both"/>
      </w:pPr>
      <w:r>
        <w:rPr>
          <w:color w:val="231F20"/>
        </w:rPr>
        <w:t>That’s the SPK—replacing the struggle with screams. It is not simply distasteful: in isolation it will destroy you, because it means opposing brutal, material repression with nothing more than ideology, instead of</w:t>
      </w:r>
    </w:p>
    <w:p w14:paraId="3FBFC094" w14:textId="77777777" w:rsidR="002653E8" w:rsidRDefault="002653E8">
      <w:pPr>
        <w:spacing w:line="264" w:lineRule="auto"/>
        <w:jc w:val="both"/>
        <w:sectPr w:rsidR="002653E8">
          <w:footerReference w:type="even" r:id="rId339"/>
          <w:footerReference w:type="default" r:id="rId340"/>
          <w:pgSz w:w="8640" w:h="12960"/>
          <w:pgMar w:top="1060" w:right="0" w:bottom="1040" w:left="0" w:header="0" w:footer="850" w:gutter="0"/>
          <w:pgNumType w:start="401"/>
          <w:cols w:space="720"/>
        </w:sectPr>
      </w:pPr>
    </w:p>
    <w:p w14:paraId="3A4BBB2B" w14:textId="77777777" w:rsidR="002653E8" w:rsidRDefault="003115E3">
      <w:pPr>
        <w:pStyle w:val="a3"/>
        <w:spacing w:before="86" w:line="264" w:lineRule="auto"/>
        <w:ind w:left="1147" w:right="1580"/>
      </w:pPr>
      <w:r>
        <w:rPr>
          <w:color w:val="231F20"/>
        </w:rPr>
        <w:lastRenderedPageBreak/>
        <w:t>opposing it with a psychological effort, which also implies a physical effort.</w:t>
      </w:r>
    </w:p>
    <w:p w14:paraId="06582C74" w14:textId="77777777" w:rsidR="002653E8" w:rsidRDefault="003115E3">
      <w:pPr>
        <w:pStyle w:val="a3"/>
        <w:spacing w:line="264" w:lineRule="auto"/>
        <w:ind w:left="1147" w:right="1326" w:firstLine="210"/>
        <w:jc w:val="both"/>
      </w:pPr>
      <w:r>
        <w:rPr>
          <w:color w:val="231F20"/>
        </w:rPr>
        <w:t>Arm the masses—even now, capital is doing this much more quickly: the cops, the army, and the radical right. So before you give up on the West German masses, or “the masses” in general, think about what it’s really like here. Ho</w:t>
      </w:r>
      <w:r>
        <w:rPr>
          <w:color w:val="231F20"/>
          <w:position w:val="7"/>
          <w:sz w:val="11"/>
        </w:rPr>
        <w:t xml:space="preserve">1 </w:t>
      </w:r>
      <w:r>
        <w:rPr>
          <w:color w:val="231F20"/>
        </w:rPr>
        <w:t xml:space="preserve">wrote in </w:t>
      </w:r>
      <w:r>
        <w:rPr>
          <w:i/>
          <w:color w:val="231F20"/>
        </w:rPr>
        <w:t>l’Humanit</w:t>
      </w:r>
      <w:r>
        <w:rPr>
          <w:color w:val="231F20"/>
        </w:rPr>
        <w:t>é,</w:t>
      </w:r>
      <w:r>
        <w:rPr>
          <w:i/>
          <w:color w:val="231F20"/>
          <w:position w:val="7"/>
          <w:sz w:val="11"/>
        </w:rPr>
        <w:t xml:space="preserve">2 </w:t>
      </w:r>
      <w:r>
        <w:rPr>
          <w:color w:val="231F20"/>
        </w:rPr>
        <w:t>in 1922, “The masses are fundamentally ready for rebellion, but completely ignorant. They want to liberate themselves, but they don’t know how to begin.”</w:t>
      </w:r>
    </w:p>
    <w:p w14:paraId="7FAE0AB8" w14:textId="77777777" w:rsidR="002653E8" w:rsidRDefault="003115E3">
      <w:pPr>
        <w:pStyle w:val="a3"/>
        <w:spacing w:line="228" w:lineRule="exact"/>
        <w:ind w:left="1358"/>
      </w:pPr>
      <w:r>
        <w:rPr>
          <w:color w:val="231F20"/>
        </w:rPr>
        <w:t>That is not our situation.</w:t>
      </w:r>
    </w:p>
    <w:p w14:paraId="52DE37F8" w14:textId="77777777" w:rsidR="002653E8" w:rsidRDefault="003115E3">
      <w:pPr>
        <w:pStyle w:val="a3"/>
        <w:spacing w:before="21" w:line="264" w:lineRule="auto"/>
        <w:ind w:left="1148" w:right="1325" w:firstLine="210"/>
        <w:jc w:val="both"/>
      </w:pPr>
      <w:r>
        <w:rPr>
          <w:color w:val="231F20"/>
          <w:spacing w:val="1"/>
        </w:rPr>
        <w:t xml:space="preserve">In </w:t>
      </w:r>
      <w:r>
        <w:rPr>
          <w:color w:val="231F20"/>
        </w:rPr>
        <w:t xml:space="preserve">our situation here and </w:t>
      </w:r>
      <w:r>
        <w:rPr>
          <w:color w:val="231F20"/>
          <w:spacing w:val="-4"/>
        </w:rPr>
        <w:t xml:space="preserve">now, </w:t>
      </w:r>
      <w:r>
        <w:rPr>
          <w:color w:val="231F20"/>
        </w:rPr>
        <w:t>the most pressing issue we must address is how to explain the at times gruesome experiences we have had in isolation—which are intended to foster betrayal, capitulation, selfdestruction, and de-politicization—so that you will not have to experience them any more. For if it is true that in the guerilla each individual can learn from every other individual, then it must be possible to communicate our experiences—the condition for which is understanding the collective as a process—a process for which the institutionalization of</w:t>
      </w:r>
      <w:r>
        <w:rPr>
          <w:color w:val="231F20"/>
          <w:spacing w:val="10"/>
        </w:rPr>
        <w:t xml:space="preserve"> </w:t>
      </w:r>
      <w:r>
        <w:rPr>
          <w:color w:val="231F20"/>
        </w:rPr>
        <w:t>people</w:t>
      </w:r>
      <w:r>
        <w:rPr>
          <w:color w:val="231F20"/>
          <w:spacing w:val="10"/>
        </w:rPr>
        <w:t xml:space="preserve"> </w:t>
      </w:r>
      <w:r>
        <w:rPr>
          <w:color w:val="231F20"/>
        </w:rPr>
        <w:t>in</w:t>
      </w:r>
      <w:r>
        <w:rPr>
          <w:color w:val="231F20"/>
          <w:spacing w:val="10"/>
        </w:rPr>
        <w:t xml:space="preserve"> </w:t>
      </w:r>
      <w:r>
        <w:rPr>
          <w:color w:val="231F20"/>
        </w:rPr>
        <w:t>authoritarian</w:t>
      </w:r>
      <w:r>
        <w:rPr>
          <w:color w:val="231F20"/>
          <w:spacing w:val="10"/>
        </w:rPr>
        <w:t xml:space="preserve"> </w:t>
      </w:r>
      <w:r>
        <w:rPr>
          <w:color w:val="231F20"/>
        </w:rPr>
        <w:t>boxes</w:t>
      </w:r>
      <w:r>
        <w:rPr>
          <w:color w:val="231F20"/>
          <w:spacing w:val="10"/>
        </w:rPr>
        <w:t xml:space="preserve"> </w:t>
      </w:r>
      <w:r>
        <w:rPr>
          <w:color w:val="231F20"/>
        </w:rPr>
        <w:t>is</w:t>
      </w:r>
      <w:r>
        <w:rPr>
          <w:color w:val="231F20"/>
          <w:spacing w:val="10"/>
        </w:rPr>
        <w:t xml:space="preserve"> </w:t>
      </w:r>
      <w:r>
        <w:rPr>
          <w:color w:val="231F20"/>
        </w:rPr>
        <w:t>anathema.</w:t>
      </w:r>
    </w:p>
    <w:p w14:paraId="3215FA23" w14:textId="77777777" w:rsidR="002653E8" w:rsidRDefault="003115E3">
      <w:pPr>
        <w:pStyle w:val="a3"/>
        <w:spacing w:line="264" w:lineRule="auto"/>
        <w:ind w:left="1148" w:right="1326" w:firstLine="210"/>
        <w:jc w:val="both"/>
      </w:pPr>
      <w:r>
        <w:rPr>
          <w:color w:val="231F20"/>
        </w:rPr>
        <w:t>Understanding the collective as a process means struggling together against the system, which is very real and not at all imaginary.</w:t>
      </w:r>
    </w:p>
    <w:p w14:paraId="1029F0C7" w14:textId="77777777" w:rsidR="002653E8" w:rsidRDefault="003115E3">
      <w:pPr>
        <w:pStyle w:val="a3"/>
        <w:spacing w:before="114" w:line="261" w:lineRule="auto"/>
        <w:ind w:left="5875" w:right="1325" w:firstLine="37"/>
        <w:jc w:val="right"/>
      </w:pPr>
      <w:r>
        <w:rPr>
          <w:color w:val="231F20"/>
          <w:w w:val="105"/>
        </w:rPr>
        <w:t>Ulrike Meinhof</w:t>
      </w:r>
      <w:r>
        <w:rPr>
          <w:color w:val="231F20"/>
          <w:w w:val="109"/>
        </w:rPr>
        <w:t xml:space="preserve"> </w:t>
      </w:r>
      <w:r>
        <w:rPr>
          <w:color w:val="231F20"/>
          <w:w w:val="105"/>
        </w:rPr>
        <w:t>March 19, 1976</w:t>
      </w:r>
    </w:p>
    <w:p w14:paraId="3406B086" w14:textId="77777777" w:rsidR="002653E8" w:rsidRDefault="002653E8">
      <w:pPr>
        <w:pStyle w:val="a3"/>
      </w:pPr>
    </w:p>
    <w:p w14:paraId="7FAEE14A" w14:textId="77777777" w:rsidR="002653E8" w:rsidRDefault="002653E8">
      <w:pPr>
        <w:pStyle w:val="a3"/>
      </w:pPr>
    </w:p>
    <w:p w14:paraId="7305C133" w14:textId="77777777" w:rsidR="002653E8" w:rsidRDefault="002653E8">
      <w:pPr>
        <w:pStyle w:val="a3"/>
      </w:pPr>
    </w:p>
    <w:p w14:paraId="3ED1C254" w14:textId="77777777" w:rsidR="002653E8" w:rsidRDefault="002653E8">
      <w:pPr>
        <w:pStyle w:val="a3"/>
      </w:pPr>
    </w:p>
    <w:p w14:paraId="1018F3A6" w14:textId="77777777" w:rsidR="002653E8" w:rsidRDefault="002653E8">
      <w:pPr>
        <w:pStyle w:val="a3"/>
      </w:pPr>
    </w:p>
    <w:p w14:paraId="2847E6B2" w14:textId="77777777" w:rsidR="002653E8" w:rsidRDefault="002653E8">
      <w:pPr>
        <w:pStyle w:val="a3"/>
      </w:pPr>
    </w:p>
    <w:p w14:paraId="696A07C3" w14:textId="77777777" w:rsidR="002653E8" w:rsidRDefault="002653E8">
      <w:pPr>
        <w:pStyle w:val="a3"/>
      </w:pPr>
    </w:p>
    <w:p w14:paraId="23B8C086" w14:textId="77777777" w:rsidR="002653E8" w:rsidRDefault="002653E8">
      <w:pPr>
        <w:pStyle w:val="a3"/>
      </w:pPr>
    </w:p>
    <w:p w14:paraId="01BE91C0" w14:textId="77777777" w:rsidR="002653E8" w:rsidRDefault="002653E8">
      <w:pPr>
        <w:pStyle w:val="a3"/>
      </w:pPr>
    </w:p>
    <w:p w14:paraId="06EA27A7" w14:textId="77777777" w:rsidR="002653E8" w:rsidRDefault="002653E8">
      <w:pPr>
        <w:pStyle w:val="a3"/>
      </w:pPr>
    </w:p>
    <w:p w14:paraId="5FFFEE49" w14:textId="77777777" w:rsidR="002653E8" w:rsidRDefault="002653E8">
      <w:pPr>
        <w:pStyle w:val="a3"/>
      </w:pPr>
    </w:p>
    <w:p w14:paraId="78655553" w14:textId="77777777" w:rsidR="002653E8" w:rsidRDefault="002653E8">
      <w:pPr>
        <w:pStyle w:val="a3"/>
      </w:pPr>
    </w:p>
    <w:p w14:paraId="62875ADE" w14:textId="77777777" w:rsidR="002653E8" w:rsidRDefault="002653E8">
      <w:pPr>
        <w:pStyle w:val="a3"/>
      </w:pPr>
    </w:p>
    <w:p w14:paraId="7DB5F174" w14:textId="77777777" w:rsidR="002653E8" w:rsidRDefault="002653E8">
      <w:pPr>
        <w:pStyle w:val="a3"/>
      </w:pPr>
    </w:p>
    <w:p w14:paraId="47FCE42E" w14:textId="77777777" w:rsidR="002653E8" w:rsidRDefault="002653E8">
      <w:pPr>
        <w:pStyle w:val="a3"/>
      </w:pPr>
    </w:p>
    <w:p w14:paraId="4BCA880F" w14:textId="77777777" w:rsidR="002653E8" w:rsidRDefault="00000000">
      <w:pPr>
        <w:pStyle w:val="a3"/>
        <w:spacing w:before="1"/>
        <w:rPr>
          <w:sz w:val="18"/>
        </w:rPr>
      </w:pPr>
      <w:r>
        <w:rPr>
          <w:noProof w:val="0"/>
        </w:rPr>
        <w:pict w14:anchorId="57165249">
          <v:line id="_x0000_s2263" style="position:absolute;z-index:8680;mso-wrap-distance-left:0;mso-wrap-distance-right:0;mso-position-horizontal-relative:page" from="57.4pt,12.85pt" to="129.4pt,12.85pt" strokecolor="#231f20" strokeweight=".5pt">
            <w10:wrap type="topAndBottom" anchorx="page"/>
          </v:line>
        </w:pict>
      </w:r>
    </w:p>
    <w:p w14:paraId="33D28F00" w14:textId="77777777" w:rsidR="002653E8" w:rsidRDefault="003115E3">
      <w:pPr>
        <w:pStyle w:val="a4"/>
        <w:numPr>
          <w:ilvl w:val="0"/>
          <w:numId w:val="82"/>
        </w:numPr>
        <w:tabs>
          <w:tab w:val="left" w:pos="1287"/>
        </w:tabs>
        <w:spacing w:before="53" w:line="254" w:lineRule="auto"/>
        <w:ind w:right="1372" w:firstLine="0"/>
        <w:jc w:val="left"/>
        <w:rPr>
          <w:sz w:val="16"/>
        </w:rPr>
      </w:pPr>
      <w:r>
        <w:rPr>
          <w:color w:val="231F20"/>
          <w:w w:val="105"/>
          <w:sz w:val="16"/>
        </w:rPr>
        <w:t xml:space="preserve">Ho Chi </w:t>
      </w:r>
      <w:r>
        <w:rPr>
          <w:color w:val="231F20"/>
          <w:spacing w:val="1"/>
          <w:w w:val="105"/>
          <w:sz w:val="16"/>
        </w:rPr>
        <w:t xml:space="preserve">Minh </w:t>
      </w:r>
      <w:r>
        <w:rPr>
          <w:color w:val="231F20"/>
          <w:w w:val="105"/>
          <w:sz w:val="16"/>
        </w:rPr>
        <w:t xml:space="preserve">was a founder and the leading figure in the Vietnamese Communist </w:t>
      </w:r>
      <w:r>
        <w:rPr>
          <w:color w:val="231F20"/>
          <w:spacing w:val="1"/>
          <w:w w:val="105"/>
          <w:sz w:val="16"/>
        </w:rPr>
        <w:t>Party</w:t>
      </w:r>
      <w:r>
        <w:rPr>
          <w:color w:val="231F20"/>
          <w:spacing w:val="6"/>
          <w:w w:val="105"/>
          <w:sz w:val="16"/>
        </w:rPr>
        <w:t xml:space="preserve"> </w:t>
      </w:r>
      <w:r>
        <w:rPr>
          <w:color w:val="231F20"/>
          <w:w w:val="105"/>
          <w:sz w:val="16"/>
        </w:rPr>
        <w:t>from</w:t>
      </w:r>
      <w:r>
        <w:rPr>
          <w:color w:val="231F20"/>
          <w:spacing w:val="6"/>
          <w:w w:val="105"/>
          <w:sz w:val="16"/>
        </w:rPr>
        <w:t xml:space="preserve"> </w:t>
      </w:r>
      <w:r>
        <w:rPr>
          <w:color w:val="231F20"/>
          <w:spacing w:val="-3"/>
          <w:w w:val="105"/>
          <w:sz w:val="16"/>
        </w:rPr>
        <w:t>1941</w:t>
      </w:r>
      <w:r>
        <w:rPr>
          <w:color w:val="231F20"/>
          <w:spacing w:val="6"/>
          <w:w w:val="105"/>
          <w:sz w:val="16"/>
        </w:rPr>
        <w:t xml:space="preserve"> </w:t>
      </w:r>
      <w:r>
        <w:rPr>
          <w:color w:val="231F20"/>
          <w:w w:val="105"/>
          <w:sz w:val="16"/>
        </w:rPr>
        <w:t>until</w:t>
      </w:r>
      <w:r>
        <w:rPr>
          <w:color w:val="231F20"/>
          <w:spacing w:val="6"/>
          <w:w w:val="105"/>
          <w:sz w:val="16"/>
        </w:rPr>
        <w:t xml:space="preserve"> </w:t>
      </w:r>
      <w:r>
        <w:rPr>
          <w:color w:val="231F20"/>
          <w:w w:val="105"/>
          <w:sz w:val="16"/>
        </w:rPr>
        <w:t>his</w:t>
      </w:r>
      <w:r>
        <w:rPr>
          <w:color w:val="231F20"/>
          <w:spacing w:val="6"/>
          <w:w w:val="105"/>
          <w:sz w:val="16"/>
        </w:rPr>
        <w:t xml:space="preserve"> </w:t>
      </w:r>
      <w:r>
        <w:rPr>
          <w:color w:val="231F20"/>
          <w:w w:val="105"/>
          <w:sz w:val="16"/>
        </w:rPr>
        <w:t>death</w:t>
      </w:r>
      <w:r>
        <w:rPr>
          <w:color w:val="231F20"/>
          <w:spacing w:val="6"/>
          <w:w w:val="105"/>
          <w:sz w:val="16"/>
        </w:rPr>
        <w:t xml:space="preserve"> </w:t>
      </w:r>
      <w:r>
        <w:rPr>
          <w:color w:val="231F20"/>
          <w:w w:val="105"/>
          <w:sz w:val="16"/>
        </w:rPr>
        <w:t>in</w:t>
      </w:r>
      <w:r>
        <w:rPr>
          <w:color w:val="231F20"/>
          <w:spacing w:val="6"/>
          <w:w w:val="105"/>
          <w:sz w:val="16"/>
        </w:rPr>
        <w:t xml:space="preserve"> </w:t>
      </w:r>
      <w:r>
        <w:rPr>
          <w:color w:val="231F20"/>
          <w:w w:val="105"/>
          <w:sz w:val="16"/>
        </w:rPr>
        <w:t>1969</w:t>
      </w:r>
      <w:r>
        <w:rPr>
          <w:color w:val="231F20"/>
          <w:spacing w:val="6"/>
          <w:w w:val="105"/>
          <w:sz w:val="16"/>
        </w:rPr>
        <w:t xml:space="preserve"> </w:t>
      </w:r>
      <w:r>
        <w:rPr>
          <w:color w:val="231F20"/>
          <w:w w:val="105"/>
          <w:sz w:val="16"/>
        </w:rPr>
        <w:t>at</w:t>
      </w:r>
      <w:r>
        <w:rPr>
          <w:color w:val="231F20"/>
          <w:spacing w:val="6"/>
          <w:w w:val="105"/>
          <w:sz w:val="16"/>
        </w:rPr>
        <w:t xml:space="preserve"> </w:t>
      </w:r>
      <w:r>
        <w:rPr>
          <w:color w:val="231F20"/>
          <w:w w:val="105"/>
          <w:sz w:val="16"/>
        </w:rPr>
        <w:t>the</w:t>
      </w:r>
      <w:r>
        <w:rPr>
          <w:color w:val="231F20"/>
          <w:spacing w:val="6"/>
          <w:w w:val="105"/>
          <w:sz w:val="16"/>
        </w:rPr>
        <w:t xml:space="preserve"> </w:t>
      </w:r>
      <w:r>
        <w:rPr>
          <w:color w:val="231F20"/>
          <w:w w:val="105"/>
          <w:sz w:val="16"/>
        </w:rPr>
        <w:t>age</w:t>
      </w:r>
      <w:r>
        <w:rPr>
          <w:color w:val="231F20"/>
          <w:spacing w:val="6"/>
          <w:w w:val="105"/>
          <w:sz w:val="16"/>
        </w:rPr>
        <w:t xml:space="preserve"> </w:t>
      </w:r>
      <w:r>
        <w:rPr>
          <w:color w:val="231F20"/>
          <w:w w:val="105"/>
          <w:sz w:val="16"/>
        </w:rPr>
        <w:t>of</w:t>
      </w:r>
      <w:r>
        <w:rPr>
          <w:color w:val="231F20"/>
          <w:spacing w:val="6"/>
          <w:w w:val="105"/>
          <w:sz w:val="16"/>
        </w:rPr>
        <w:t xml:space="preserve"> </w:t>
      </w:r>
      <w:r>
        <w:rPr>
          <w:color w:val="231F20"/>
          <w:w w:val="105"/>
          <w:sz w:val="16"/>
        </w:rPr>
        <w:t>seventy-nine.</w:t>
      </w:r>
    </w:p>
    <w:p w14:paraId="2FC4CDE4" w14:textId="77777777" w:rsidR="002653E8" w:rsidRDefault="003115E3">
      <w:pPr>
        <w:pStyle w:val="a4"/>
        <w:numPr>
          <w:ilvl w:val="0"/>
          <w:numId w:val="82"/>
        </w:numPr>
        <w:tabs>
          <w:tab w:val="left" w:pos="1287"/>
        </w:tabs>
        <w:ind w:left="1286"/>
        <w:jc w:val="left"/>
        <w:rPr>
          <w:sz w:val="16"/>
        </w:rPr>
      </w:pPr>
      <w:r>
        <w:rPr>
          <w:i/>
          <w:color w:val="231F20"/>
          <w:spacing w:val="1"/>
          <w:w w:val="105"/>
          <w:sz w:val="16"/>
        </w:rPr>
        <w:t>l’Humanité</w:t>
      </w:r>
      <w:r>
        <w:rPr>
          <w:i/>
          <w:color w:val="231F20"/>
          <w:spacing w:val="7"/>
          <w:w w:val="105"/>
          <w:sz w:val="16"/>
        </w:rPr>
        <w:t xml:space="preserve"> </w:t>
      </w:r>
      <w:r>
        <w:rPr>
          <w:color w:val="231F20"/>
          <w:w w:val="105"/>
          <w:sz w:val="16"/>
        </w:rPr>
        <w:t>is</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newspaper</w:t>
      </w:r>
      <w:r>
        <w:rPr>
          <w:color w:val="231F20"/>
          <w:spacing w:val="7"/>
          <w:w w:val="105"/>
          <w:sz w:val="16"/>
        </w:rPr>
        <w:t xml:space="preserve"> </w:t>
      </w:r>
      <w:r>
        <w:rPr>
          <w:color w:val="231F20"/>
          <w:w w:val="105"/>
          <w:sz w:val="16"/>
        </w:rPr>
        <w:t>of</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French</w:t>
      </w:r>
      <w:r>
        <w:rPr>
          <w:color w:val="231F20"/>
          <w:spacing w:val="7"/>
          <w:w w:val="105"/>
          <w:sz w:val="16"/>
        </w:rPr>
        <w:t xml:space="preserve"> </w:t>
      </w:r>
      <w:r>
        <w:rPr>
          <w:color w:val="231F20"/>
          <w:w w:val="105"/>
          <w:sz w:val="16"/>
        </w:rPr>
        <w:t>Communist</w:t>
      </w:r>
      <w:r>
        <w:rPr>
          <w:color w:val="231F20"/>
          <w:spacing w:val="7"/>
          <w:w w:val="105"/>
          <w:sz w:val="16"/>
        </w:rPr>
        <w:t xml:space="preserve"> </w:t>
      </w:r>
      <w:r>
        <w:rPr>
          <w:color w:val="231F20"/>
          <w:w w:val="105"/>
          <w:sz w:val="16"/>
        </w:rPr>
        <w:t>Party.</w:t>
      </w:r>
    </w:p>
    <w:p w14:paraId="2C1B63F8" w14:textId="77777777" w:rsidR="002653E8" w:rsidRDefault="002653E8">
      <w:pPr>
        <w:rPr>
          <w:sz w:val="16"/>
        </w:rPr>
        <w:sectPr w:rsidR="002653E8">
          <w:pgSz w:w="8640" w:h="12960"/>
          <w:pgMar w:top="1060" w:right="0" w:bottom="1040" w:left="0" w:header="0" w:footer="850" w:gutter="0"/>
          <w:cols w:space="720"/>
        </w:sectPr>
      </w:pPr>
    </w:p>
    <w:p w14:paraId="31D6E727" w14:textId="77777777" w:rsidR="002653E8" w:rsidRDefault="003115E3">
      <w:pPr>
        <w:spacing w:before="87" w:line="256" w:lineRule="auto"/>
        <w:ind w:left="1328" w:right="3115" w:hanging="1"/>
        <w:rPr>
          <w:sz w:val="20"/>
        </w:rPr>
      </w:pPr>
      <w:r>
        <w:rPr>
          <w:color w:val="231F20"/>
          <w:w w:val="115"/>
        </w:rPr>
        <w:lastRenderedPageBreak/>
        <w:t xml:space="preserve">second letter </w:t>
      </w:r>
      <w:r>
        <w:rPr>
          <w:color w:val="231F20"/>
          <w:w w:val="110"/>
          <w:sz w:val="20"/>
        </w:rPr>
        <w:t>(</w:t>
      </w:r>
      <w:r>
        <w:rPr>
          <w:color w:val="231F20"/>
          <w:w w:val="110"/>
        </w:rPr>
        <w:t xml:space="preserve">m </w:t>
      </w:r>
      <w:r>
        <w:rPr>
          <w:color w:val="231F20"/>
          <w:w w:val="115"/>
        </w:rPr>
        <w:t xml:space="preserve">arch 23, 1976 </w:t>
      </w:r>
      <w:r>
        <w:rPr>
          <w:color w:val="231F20"/>
          <w:w w:val="110"/>
          <w:sz w:val="20"/>
        </w:rPr>
        <w:t xml:space="preserve">) </w:t>
      </w:r>
      <w:r>
        <w:rPr>
          <w:color w:val="231F20"/>
          <w:w w:val="115"/>
          <w:sz w:val="20"/>
        </w:rPr>
        <w:t>It’s bullshit: the “psychiatric” section.</w:t>
      </w:r>
    </w:p>
    <w:p w14:paraId="1C6E96A4" w14:textId="77777777" w:rsidR="002653E8" w:rsidRDefault="003115E3">
      <w:pPr>
        <w:pStyle w:val="a3"/>
        <w:spacing w:before="6" w:line="264" w:lineRule="auto"/>
        <w:ind w:left="1328" w:right="1145" w:firstLine="210"/>
        <w:jc w:val="both"/>
      </w:pPr>
      <w:r>
        <w:rPr>
          <w:color w:val="231F20"/>
        </w:rPr>
        <w:t>The objective at Ossendorf, like everywhere else, is extermination, and the psychiatrists participate, developing the methods which are applied by state security—psychiatry as a thoroughly imperialist science  is a means, not an</w:t>
      </w:r>
      <w:r>
        <w:rPr>
          <w:color w:val="231F20"/>
          <w:spacing w:val="10"/>
        </w:rPr>
        <w:t xml:space="preserve"> </w:t>
      </w:r>
      <w:r>
        <w:rPr>
          <w:color w:val="231F20"/>
        </w:rPr>
        <w:t>end.</w:t>
      </w:r>
    </w:p>
    <w:p w14:paraId="5995D264" w14:textId="77777777" w:rsidR="002653E8" w:rsidRDefault="003115E3">
      <w:pPr>
        <w:pStyle w:val="a3"/>
        <w:spacing w:line="264" w:lineRule="auto"/>
        <w:ind w:left="1328" w:right="1145" w:firstLine="210"/>
        <w:jc w:val="both"/>
      </w:pPr>
      <w:r>
        <w:rPr>
          <w:color w:val="231F20"/>
        </w:rPr>
        <w:t>Psychiatric</w:t>
      </w:r>
      <w:r>
        <w:rPr>
          <w:color w:val="231F20"/>
          <w:spacing w:val="-4"/>
        </w:rPr>
        <w:t xml:space="preserve"> </w:t>
      </w:r>
      <w:r>
        <w:rPr>
          <w:color w:val="231F20"/>
        </w:rPr>
        <w:t>treatment</w:t>
      </w:r>
      <w:r>
        <w:rPr>
          <w:color w:val="231F20"/>
          <w:spacing w:val="-4"/>
        </w:rPr>
        <w:t xml:space="preserve"> </w:t>
      </w:r>
      <w:r>
        <w:rPr>
          <w:color w:val="231F20"/>
        </w:rPr>
        <w:t>is</w:t>
      </w:r>
      <w:r>
        <w:rPr>
          <w:color w:val="231F20"/>
          <w:spacing w:val="-4"/>
        </w:rPr>
        <w:t xml:space="preserve"> </w:t>
      </w:r>
      <w:r>
        <w:rPr>
          <w:color w:val="231F20"/>
        </w:rPr>
        <w:t>a</w:t>
      </w:r>
      <w:r>
        <w:rPr>
          <w:color w:val="231F20"/>
          <w:spacing w:val="-4"/>
        </w:rPr>
        <w:t xml:space="preserve"> </w:t>
      </w:r>
      <w:r>
        <w:rPr>
          <w:color w:val="231F20"/>
        </w:rPr>
        <w:t>front</w:t>
      </w:r>
      <w:r>
        <w:rPr>
          <w:color w:val="231F20"/>
          <w:spacing w:val="-4"/>
        </w:rPr>
        <w:t xml:space="preserve"> </w:t>
      </w:r>
      <w:r>
        <w:rPr>
          <w:color w:val="231F20"/>
        </w:rPr>
        <w:t>in</w:t>
      </w:r>
      <w:r>
        <w:rPr>
          <w:color w:val="231F20"/>
          <w:spacing w:val="-4"/>
        </w:rPr>
        <w:t xml:space="preserve"> </w:t>
      </w:r>
      <w:r>
        <w:rPr>
          <w:color w:val="231F20"/>
        </w:rPr>
        <w:t>the</w:t>
      </w:r>
      <w:r>
        <w:rPr>
          <w:color w:val="231F20"/>
          <w:spacing w:val="-4"/>
        </w:rPr>
        <w:t xml:space="preserve"> </w:t>
      </w:r>
      <w:r>
        <w:rPr>
          <w:color w:val="231F20"/>
        </w:rPr>
        <w:t>psychological</w:t>
      </w:r>
      <w:r>
        <w:rPr>
          <w:color w:val="231F20"/>
          <w:spacing w:val="-4"/>
        </w:rPr>
        <w:t xml:space="preserve"> </w:t>
      </w:r>
      <w:r>
        <w:rPr>
          <w:color w:val="231F20"/>
        </w:rPr>
        <w:t>war;</w:t>
      </w:r>
      <w:r>
        <w:rPr>
          <w:color w:val="231F20"/>
          <w:spacing w:val="-4"/>
        </w:rPr>
        <w:t xml:space="preserve"> </w:t>
      </w:r>
      <w:r>
        <w:rPr>
          <w:color w:val="231F20"/>
        </w:rPr>
        <w:t>it</w:t>
      </w:r>
      <w:r>
        <w:rPr>
          <w:color w:val="231F20"/>
          <w:spacing w:val="-4"/>
        </w:rPr>
        <w:t xml:space="preserve"> </w:t>
      </w:r>
      <w:r>
        <w:rPr>
          <w:color w:val="231F20"/>
        </w:rPr>
        <w:t>is</w:t>
      </w:r>
      <w:r>
        <w:rPr>
          <w:color w:val="231F20"/>
          <w:spacing w:val="-4"/>
        </w:rPr>
        <w:t xml:space="preserve"> </w:t>
      </w:r>
      <w:r>
        <w:rPr>
          <w:color w:val="231F20"/>
        </w:rPr>
        <w:t>intended to persuade broken fighters of the absurdity of revolutionary politics,  to deprive the fighters of their convictions. It is also a police tactic for destruction through “forced liberation,” as Buback calls it, and its mili</w:t>
      </w:r>
      <w:r>
        <w:rPr>
          <w:color w:val="231F20"/>
          <w:spacing w:val="1"/>
        </w:rPr>
        <w:t xml:space="preserve">tary </w:t>
      </w:r>
      <w:r>
        <w:rPr>
          <w:color w:val="231F20"/>
        </w:rPr>
        <w:t>interest is in recruitment—establishing</w:t>
      </w:r>
      <w:r>
        <w:rPr>
          <w:color w:val="231F20"/>
          <w:spacing w:val="3"/>
        </w:rPr>
        <w:t xml:space="preserve"> </w:t>
      </w:r>
      <w:r>
        <w:rPr>
          <w:color w:val="231F20"/>
        </w:rPr>
        <w:t>control.</w:t>
      </w:r>
    </w:p>
    <w:p w14:paraId="63B524BC" w14:textId="790FFC46" w:rsidR="002653E8" w:rsidRDefault="003115E3">
      <w:pPr>
        <w:pStyle w:val="a3"/>
        <w:spacing w:line="264" w:lineRule="auto"/>
        <w:ind w:left="1327" w:right="1146" w:firstLine="210"/>
        <w:jc w:val="both"/>
      </w:pPr>
      <w:r>
        <w:rPr>
          <w:color w:val="231F20"/>
        </w:rPr>
        <w:t>What Bücker</w:t>
      </w:r>
      <w:r>
        <w:rPr>
          <w:color w:val="231F20"/>
          <w:position w:val="7"/>
          <w:sz w:val="11"/>
        </w:rPr>
        <w:t xml:space="preserve">3 </w:t>
      </w:r>
      <w:r>
        <w:rPr>
          <w:color w:val="231F20"/>
        </w:rPr>
        <w:t xml:space="preserve">does </w:t>
      </w:r>
      <w:r>
        <w:rPr>
          <w:color w:val="231F20"/>
          <w:spacing w:val="-3"/>
        </w:rPr>
        <w:t xml:space="preserve">isn’t </w:t>
      </w:r>
      <w:r>
        <w:rPr>
          <w:color w:val="231F20"/>
        </w:rPr>
        <w:t xml:space="preserve">psychiatric treatment—it’s terror. He wants to wear you down. Using terms like </w:t>
      </w:r>
      <w:r>
        <w:rPr>
          <w:color w:val="231F20"/>
          <w:spacing w:val="-3"/>
        </w:rPr>
        <w:t xml:space="preserve">therapy, </w:t>
      </w:r>
      <w:r>
        <w:rPr>
          <w:color w:val="231F20"/>
        </w:rPr>
        <w:t>brainwashing leaves you absolutely</w:t>
      </w:r>
      <w:r>
        <w:rPr>
          <w:color w:val="231F20"/>
          <w:spacing w:val="13"/>
        </w:rPr>
        <w:t xml:space="preserve"> </w:t>
      </w:r>
      <w:r>
        <w:rPr>
          <w:color w:val="231F20"/>
        </w:rPr>
        <w:t>twisted.</w:t>
      </w:r>
      <w:r>
        <w:rPr>
          <w:color w:val="231F20"/>
          <w:spacing w:val="13"/>
        </w:rPr>
        <w:t xml:space="preserve"> </w:t>
      </w:r>
      <w:r>
        <w:rPr>
          <w:color w:val="231F20"/>
          <w:spacing w:val="-6"/>
        </w:rPr>
        <w:t>you</w:t>
      </w:r>
      <w:r>
        <w:rPr>
          <w:color w:val="231F20"/>
          <w:spacing w:val="13"/>
        </w:rPr>
        <w:t xml:space="preserve"> </w:t>
      </w:r>
      <w:r>
        <w:rPr>
          <w:color w:val="231F20"/>
        </w:rPr>
        <w:t>must</w:t>
      </w:r>
      <w:r>
        <w:rPr>
          <w:color w:val="231F20"/>
          <w:spacing w:val="13"/>
        </w:rPr>
        <w:t xml:space="preserve"> </w:t>
      </w:r>
      <w:r>
        <w:rPr>
          <w:color w:val="231F20"/>
        </w:rPr>
        <w:t>raise</w:t>
      </w:r>
      <w:r>
        <w:rPr>
          <w:color w:val="231F20"/>
          <w:spacing w:val="13"/>
        </w:rPr>
        <w:t xml:space="preserve"> </w:t>
      </w:r>
      <w:r>
        <w:rPr>
          <w:color w:val="231F20"/>
        </w:rPr>
        <w:t>a</w:t>
      </w:r>
      <w:r>
        <w:rPr>
          <w:color w:val="231F20"/>
          <w:spacing w:val="13"/>
        </w:rPr>
        <w:t xml:space="preserve"> </w:t>
      </w:r>
      <w:r>
        <w:rPr>
          <w:color w:val="231F20"/>
        </w:rPr>
        <w:t>shield</w:t>
      </w:r>
      <w:r>
        <w:rPr>
          <w:color w:val="231F20"/>
          <w:spacing w:val="13"/>
        </w:rPr>
        <w:t xml:space="preserve"> </w:t>
      </w:r>
      <w:r>
        <w:rPr>
          <w:color w:val="231F20"/>
        </w:rPr>
        <w:t>against</w:t>
      </w:r>
      <w:r>
        <w:rPr>
          <w:color w:val="231F20"/>
          <w:spacing w:val="13"/>
        </w:rPr>
        <w:t xml:space="preserve"> </w:t>
      </w:r>
      <w:r>
        <w:rPr>
          <w:color w:val="231F20"/>
        </w:rPr>
        <w:t>this</w:t>
      </w:r>
      <w:r>
        <w:rPr>
          <w:color w:val="231F20"/>
          <w:spacing w:val="13"/>
        </w:rPr>
        <w:t xml:space="preserve"> </w:t>
      </w:r>
      <w:r>
        <w:rPr>
          <w:color w:val="231F20"/>
        </w:rPr>
        <w:t>frontal</w:t>
      </w:r>
      <w:r>
        <w:rPr>
          <w:color w:val="231F20"/>
          <w:spacing w:val="13"/>
        </w:rPr>
        <w:t xml:space="preserve"> </w:t>
      </w:r>
      <w:r>
        <w:rPr>
          <w:color w:val="231F20"/>
        </w:rPr>
        <w:t>assault.</w:t>
      </w:r>
    </w:p>
    <w:p w14:paraId="374F3B68" w14:textId="77777777" w:rsidR="002653E8" w:rsidRDefault="003115E3">
      <w:pPr>
        <w:pStyle w:val="a3"/>
        <w:spacing w:line="264" w:lineRule="auto"/>
        <w:ind w:left="1327" w:right="1146" w:firstLine="210"/>
        <w:jc w:val="both"/>
      </w:pPr>
      <w:r>
        <w:rPr>
          <w:color w:val="231F20"/>
        </w:rPr>
        <w:t>The Ossendorf method is the typical prison method, but at Ossendorf its design and application have been perfected, and are epitomized by Bücker and Lodt.</w:t>
      </w:r>
      <w:r>
        <w:rPr>
          <w:color w:val="231F20"/>
          <w:position w:val="7"/>
          <w:sz w:val="11"/>
        </w:rPr>
        <w:t xml:space="preserve">4  </w:t>
      </w:r>
      <w:r>
        <w:rPr>
          <w:color w:val="231F20"/>
        </w:rPr>
        <w:t xml:space="preserve">It is aseptic and total. They deprive the prisoner of   air until he finally loses his dignity, all sense of self, and all perception  of what terror is. The goal is extermination. Psychiatric treatment is only one aspect, only one instrument among others. </w:t>
      </w:r>
      <w:r>
        <w:rPr>
          <w:color w:val="231F20"/>
          <w:spacing w:val="1"/>
        </w:rPr>
        <w:t xml:space="preserve">If </w:t>
      </w:r>
      <w:r>
        <w:rPr>
          <w:color w:val="231F20"/>
        </w:rPr>
        <w:t>you allow yourself to be paralyzed by it, like a deer in the headlights, if you fail to resist it, what else can be</w:t>
      </w:r>
      <w:r>
        <w:rPr>
          <w:color w:val="231F20"/>
          <w:spacing w:val="10"/>
        </w:rPr>
        <w:t xml:space="preserve"> </w:t>
      </w:r>
      <w:r>
        <w:rPr>
          <w:color w:val="231F20"/>
        </w:rPr>
        <w:t>expected.</w:t>
      </w:r>
    </w:p>
    <w:p w14:paraId="75A6C8F7" w14:textId="77777777" w:rsidR="002653E8" w:rsidRDefault="003115E3">
      <w:pPr>
        <w:pStyle w:val="a3"/>
        <w:spacing w:line="264" w:lineRule="auto"/>
        <w:ind w:left="1327" w:right="1146" w:firstLine="210"/>
        <w:jc w:val="both"/>
      </w:pPr>
      <w:r>
        <w:rPr>
          <w:color w:val="231F20"/>
          <w:w w:val="105"/>
        </w:rPr>
        <w:t>“No windows”—obviously. But there are even more unimaginable things</w:t>
      </w:r>
      <w:r>
        <w:rPr>
          <w:color w:val="231F20"/>
          <w:spacing w:val="-17"/>
          <w:w w:val="105"/>
        </w:rPr>
        <w:t xml:space="preserve"> </w:t>
      </w:r>
      <w:r>
        <w:rPr>
          <w:color w:val="231F20"/>
          <w:w w:val="105"/>
        </w:rPr>
        <w:t>about</w:t>
      </w:r>
      <w:r>
        <w:rPr>
          <w:color w:val="231F20"/>
          <w:spacing w:val="-17"/>
          <w:w w:val="105"/>
        </w:rPr>
        <w:t xml:space="preserve"> </w:t>
      </w:r>
      <w:r>
        <w:rPr>
          <w:color w:val="231F20"/>
          <w:w w:val="105"/>
        </w:rPr>
        <w:t>isolation—the</w:t>
      </w:r>
      <w:r>
        <w:rPr>
          <w:color w:val="231F20"/>
          <w:spacing w:val="-17"/>
          <w:w w:val="105"/>
        </w:rPr>
        <w:t xml:space="preserve"> </w:t>
      </w:r>
      <w:r>
        <w:rPr>
          <w:color w:val="231F20"/>
          <w:w w:val="105"/>
        </w:rPr>
        <w:t>sadism</w:t>
      </w:r>
      <w:r>
        <w:rPr>
          <w:color w:val="231F20"/>
          <w:spacing w:val="-17"/>
          <w:w w:val="105"/>
        </w:rPr>
        <w:t xml:space="preserve"> </w:t>
      </w:r>
      <w:r>
        <w:rPr>
          <w:color w:val="231F20"/>
          <w:w w:val="105"/>
        </w:rPr>
        <w:t>with</w:t>
      </w:r>
      <w:r>
        <w:rPr>
          <w:color w:val="231F20"/>
          <w:spacing w:val="-17"/>
          <w:w w:val="105"/>
        </w:rPr>
        <w:t xml:space="preserve"> </w:t>
      </w:r>
      <w:r>
        <w:rPr>
          <w:color w:val="231F20"/>
          <w:w w:val="105"/>
        </w:rPr>
        <w:t>which</w:t>
      </w:r>
      <w:r>
        <w:rPr>
          <w:color w:val="231F20"/>
          <w:spacing w:val="-17"/>
          <w:w w:val="105"/>
        </w:rPr>
        <w:t xml:space="preserve"> </w:t>
      </w:r>
      <w:r>
        <w:rPr>
          <w:color w:val="231F20"/>
          <w:w w:val="105"/>
        </w:rPr>
        <w:t>it</w:t>
      </w:r>
      <w:r>
        <w:rPr>
          <w:color w:val="231F20"/>
          <w:spacing w:val="-17"/>
          <w:w w:val="105"/>
        </w:rPr>
        <w:t xml:space="preserve"> </w:t>
      </w:r>
      <w:r>
        <w:rPr>
          <w:color w:val="231F20"/>
          <w:w w:val="105"/>
        </w:rPr>
        <w:t>is</w:t>
      </w:r>
      <w:r>
        <w:rPr>
          <w:color w:val="231F20"/>
          <w:spacing w:val="-17"/>
          <w:w w:val="105"/>
        </w:rPr>
        <w:t xml:space="preserve"> </w:t>
      </w:r>
      <w:r>
        <w:rPr>
          <w:color w:val="231F20"/>
          <w:w w:val="105"/>
        </w:rPr>
        <w:t>developed,</w:t>
      </w:r>
      <w:r>
        <w:rPr>
          <w:color w:val="231F20"/>
          <w:spacing w:val="-17"/>
          <w:w w:val="105"/>
        </w:rPr>
        <w:t xml:space="preserve"> </w:t>
      </w:r>
      <w:r>
        <w:rPr>
          <w:color w:val="231F20"/>
          <w:w w:val="105"/>
        </w:rPr>
        <w:t>the</w:t>
      </w:r>
      <w:r>
        <w:rPr>
          <w:color w:val="231F20"/>
          <w:spacing w:val="-17"/>
          <w:w w:val="105"/>
        </w:rPr>
        <w:t xml:space="preserve"> </w:t>
      </w:r>
      <w:r>
        <w:rPr>
          <w:color w:val="231F20"/>
          <w:w w:val="105"/>
        </w:rPr>
        <w:t>perfection of its application, the totality of the extermination pursued by the</w:t>
      </w:r>
      <w:r>
        <w:rPr>
          <w:color w:val="231F20"/>
          <w:spacing w:val="-5"/>
          <w:w w:val="105"/>
        </w:rPr>
        <w:t xml:space="preserve"> </w:t>
      </w:r>
      <w:r>
        <w:rPr>
          <w:color w:val="231F20"/>
          <w:w w:val="105"/>
        </w:rPr>
        <w:t>Security</w:t>
      </w:r>
      <w:r>
        <w:rPr>
          <w:color w:val="231F20"/>
          <w:spacing w:val="-5"/>
          <w:w w:val="105"/>
        </w:rPr>
        <w:t xml:space="preserve"> </w:t>
      </w:r>
      <w:r>
        <w:rPr>
          <w:color w:val="231F20"/>
          <w:w w:val="105"/>
        </w:rPr>
        <w:t>Group,</w:t>
      </w:r>
      <w:r>
        <w:rPr>
          <w:color w:val="231F20"/>
          <w:spacing w:val="-5"/>
          <w:w w:val="105"/>
        </w:rPr>
        <w:t xml:space="preserve"> </w:t>
      </w:r>
      <w:r>
        <w:rPr>
          <w:color w:val="231F20"/>
          <w:w w:val="105"/>
        </w:rPr>
        <w:t>and</w:t>
      </w:r>
      <w:r>
        <w:rPr>
          <w:color w:val="231F20"/>
          <w:spacing w:val="-5"/>
          <w:w w:val="105"/>
        </w:rPr>
        <w:t xml:space="preserve"> </w:t>
      </w:r>
      <w:r>
        <w:rPr>
          <w:color w:val="231F20"/>
          <w:w w:val="105"/>
        </w:rPr>
        <w:t>the</w:t>
      </w:r>
      <w:r>
        <w:rPr>
          <w:color w:val="231F20"/>
          <w:spacing w:val="-5"/>
          <w:w w:val="105"/>
        </w:rPr>
        <w:t xml:space="preserve"> </w:t>
      </w:r>
      <w:r>
        <w:rPr>
          <w:color w:val="231F20"/>
          <w:w w:val="105"/>
        </w:rPr>
        <w:t>shock</w:t>
      </w:r>
      <w:r>
        <w:rPr>
          <w:color w:val="231F20"/>
          <w:spacing w:val="-5"/>
          <w:w w:val="105"/>
        </w:rPr>
        <w:t xml:space="preserve"> </w:t>
      </w:r>
      <w:r>
        <w:rPr>
          <w:color w:val="231F20"/>
          <w:w w:val="105"/>
        </w:rPr>
        <w:t>we</w:t>
      </w:r>
      <w:r>
        <w:rPr>
          <w:color w:val="231F20"/>
          <w:spacing w:val="-5"/>
          <w:w w:val="105"/>
        </w:rPr>
        <w:t xml:space="preserve"> </w:t>
      </w:r>
      <w:r>
        <w:rPr>
          <w:color w:val="231F20"/>
          <w:w w:val="105"/>
        </w:rPr>
        <w:t>experience</w:t>
      </w:r>
      <w:r>
        <w:rPr>
          <w:color w:val="231F20"/>
          <w:spacing w:val="-5"/>
          <w:w w:val="105"/>
        </w:rPr>
        <w:t xml:space="preserve"> </w:t>
      </w:r>
      <w:r>
        <w:rPr>
          <w:color w:val="231F20"/>
          <w:w w:val="105"/>
        </w:rPr>
        <w:t>when</w:t>
      </w:r>
      <w:r>
        <w:rPr>
          <w:color w:val="231F20"/>
          <w:spacing w:val="-5"/>
          <w:w w:val="105"/>
        </w:rPr>
        <w:t xml:space="preserve"> </w:t>
      </w:r>
      <w:r>
        <w:rPr>
          <w:color w:val="231F20"/>
          <w:w w:val="105"/>
        </w:rPr>
        <w:t>we</w:t>
      </w:r>
      <w:r>
        <w:rPr>
          <w:color w:val="231F20"/>
          <w:spacing w:val="-5"/>
          <w:w w:val="105"/>
        </w:rPr>
        <w:t xml:space="preserve"> </w:t>
      </w:r>
      <w:r>
        <w:rPr>
          <w:color w:val="231F20"/>
          <w:w w:val="105"/>
        </w:rPr>
        <w:t>realize</w:t>
      </w:r>
      <w:r>
        <w:rPr>
          <w:color w:val="231F20"/>
          <w:spacing w:val="-5"/>
          <w:w w:val="105"/>
        </w:rPr>
        <w:t xml:space="preserve"> </w:t>
      </w:r>
      <w:r>
        <w:rPr>
          <w:color w:val="231F20"/>
          <w:w w:val="105"/>
        </w:rPr>
        <w:t>the intensity of the antagonism within which we have chosen to</w:t>
      </w:r>
      <w:r>
        <w:rPr>
          <w:color w:val="231F20"/>
          <w:spacing w:val="-24"/>
          <w:w w:val="105"/>
        </w:rPr>
        <w:t xml:space="preserve"> </w:t>
      </w:r>
      <w:r>
        <w:rPr>
          <w:color w:val="231F20"/>
          <w:w w:val="105"/>
        </w:rPr>
        <w:t>struggle, and</w:t>
      </w:r>
      <w:r>
        <w:rPr>
          <w:color w:val="231F20"/>
          <w:spacing w:val="-19"/>
          <w:w w:val="105"/>
        </w:rPr>
        <w:t xml:space="preserve"> </w:t>
      </w:r>
      <w:r>
        <w:rPr>
          <w:color w:val="231F20"/>
          <w:w w:val="105"/>
        </w:rPr>
        <w:t>when</w:t>
      </w:r>
      <w:r>
        <w:rPr>
          <w:color w:val="231F20"/>
          <w:spacing w:val="-19"/>
          <w:w w:val="105"/>
        </w:rPr>
        <w:t xml:space="preserve"> </w:t>
      </w:r>
      <w:r>
        <w:rPr>
          <w:color w:val="231F20"/>
          <w:w w:val="105"/>
        </w:rPr>
        <w:t>we</w:t>
      </w:r>
      <w:r>
        <w:rPr>
          <w:color w:val="231F20"/>
          <w:spacing w:val="-19"/>
          <w:w w:val="105"/>
        </w:rPr>
        <w:t xml:space="preserve"> </w:t>
      </w:r>
      <w:r>
        <w:rPr>
          <w:color w:val="231F20"/>
          <w:w w:val="105"/>
        </w:rPr>
        <w:t>recognize</w:t>
      </w:r>
      <w:r>
        <w:rPr>
          <w:color w:val="231F20"/>
          <w:spacing w:val="-19"/>
          <w:w w:val="105"/>
        </w:rPr>
        <w:t xml:space="preserve"> </w:t>
      </w:r>
      <w:r>
        <w:rPr>
          <w:color w:val="231F20"/>
          <w:w w:val="105"/>
        </w:rPr>
        <w:t>the</w:t>
      </w:r>
      <w:r>
        <w:rPr>
          <w:color w:val="231F20"/>
          <w:spacing w:val="-19"/>
          <w:w w:val="105"/>
        </w:rPr>
        <w:t xml:space="preserve"> </w:t>
      </w:r>
      <w:r>
        <w:rPr>
          <w:color w:val="231F20"/>
          <w:w w:val="105"/>
        </w:rPr>
        <w:t>nature</w:t>
      </w:r>
      <w:r>
        <w:rPr>
          <w:color w:val="231F20"/>
          <w:spacing w:val="-19"/>
          <w:w w:val="105"/>
        </w:rPr>
        <w:t xml:space="preserve"> </w:t>
      </w:r>
      <w:r>
        <w:rPr>
          <w:color w:val="231F20"/>
          <w:w w:val="105"/>
        </w:rPr>
        <w:t>of</w:t>
      </w:r>
      <w:r>
        <w:rPr>
          <w:color w:val="231F20"/>
          <w:spacing w:val="-19"/>
          <w:w w:val="105"/>
        </w:rPr>
        <w:t xml:space="preserve"> </w:t>
      </w:r>
      <w:r>
        <w:rPr>
          <w:color w:val="231F20"/>
          <w:w w:val="105"/>
        </w:rPr>
        <w:t>the</w:t>
      </w:r>
      <w:r>
        <w:rPr>
          <w:color w:val="231F20"/>
          <w:spacing w:val="-19"/>
          <w:w w:val="105"/>
        </w:rPr>
        <w:t xml:space="preserve"> </w:t>
      </w:r>
      <w:r>
        <w:rPr>
          <w:color w:val="231F20"/>
          <w:w w:val="105"/>
        </w:rPr>
        <w:t>fascism</w:t>
      </w:r>
      <w:r>
        <w:rPr>
          <w:color w:val="231F20"/>
          <w:spacing w:val="-19"/>
          <w:w w:val="105"/>
        </w:rPr>
        <w:t xml:space="preserve"> </w:t>
      </w:r>
      <w:r>
        <w:rPr>
          <w:color w:val="231F20"/>
          <w:w w:val="105"/>
        </w:rPr>
        <w:t>that</w:t>
      </w:r>
      <w:r>
        <w:rPr>
          <w:color w:val="231F20"/>
          <w:spacing w:val="-19"/>
          <w:w w:val="105"/>
        </w:rPr>
        <w:t xml:space="preserve"> </w:t>
      </w:r>
      <w:r>
        <w:rPr>
          <w:color w:val="231F20"/>
          <w:w w:val="105"/>
        </w:rPr>
        <w:t>rules</w:t>
      </w:r>
      <w:r>
        <w:rPr>
          <w:color w:val="231F20"/>
          <w:spacing w:val="-19"/>
          <w:w w:val="105"/>
        </w:rPr>
        <w:t xml:space="preserve"> </w:t>
      </w:r>
      <w:r>
        <w:rPr>
          <w:color w:val="231F20"/>
          <w:w w:val="105"/>
        </w:rPr>
        <w:t>here.</w:t>
      </w:r>
      <w:r>
        <w:rPr>
          <w:color w:val="231F20"/>
          <w:spacing w:val="-19"/>
          <w:w w:val="105"/>
        </w:rPr>
        <w:t xml:space="preserve"> </w:t>
      </w:r>
      <w:r>
        <w:rPr>
          <w:color w:val="231F20"/>
          <w:w w:val="105"/>
        </w:rPr>
        <w:t>This</w:t>
      </w:r>
      <w:r>
        <w:rPr>
          <w:color w:val="231F20"/>
          <w:spacing w:val="-19"/>
          <w:w w:val="105"/>
        </w:rPr>
        <w:t xml:space="preserve"> </w:t>
      </w:r>
      <w:r>
        <w:rPr>
          <w:color w:val="231F20"/>
          <w:w w:val="105"/>
        </w:rPr>
        <w:t>is not</w:t>
      </w:r>
      <w:r>
        <w:rPr>
          <w:color w:val="231F20"/>
          <w:spacing w:val="-16"/>
          <w:w w:val="105"/>
        </w:rPr>
        <w:t xml:space="preserve"> </w:t>
      </w:r>
      <w:r>
        <w:rPr>
          <w:color w:val="231F20"/>
          <w:w w:val="105"/>
        </w:rPr>
        <w:t>simply</w:t>
      </w:r>
      <w:r>
        <w:rPr>
          <w:color w:val="231F20"/>
          <w:spacing w:val="-16"/>
          <w:w w:val="105"/>
        </w:rPr>
        <w:t xml:space="preserve"> </w:t>
      </w:r>
      <w:r>
        <w:rPr>
          <w:color w:val="231F20"/>
          <w:w w:val="105"/>
        </w:rPr>
        <w:t>rhetoric</w:t>
      </w:r>
      <w:r>
        <w:rPr>
          <w:color w:val="231F20"/>
          <w:spacing w:val="-16"/>
          <w:w w:val="105"/>
        </w:rPr>
        <w:t xml:space="preserve"> </w:t>
      </w:r>
      <w:r>
        <w:rPr>
          <w:color w:val="231F20"/>
          <w:w w:val="105"/>
        </w:rPr>
        <w:t>that</w:t>
      </w:r>
      <w:r>
        <w:rPr>
          <w:color w:val="231F20"/>
          <w:spacing w:val="-16"/>
          <w:w w:val="105"/>
        </w:rPr>
        <w:t xml:space="preserve"> </w:t>
      </w:r>
      <w:r>
        <w:rPr>
          <w:color w:val="231F20"/>
          <w:w w:val="105"/>
        </w:rPr>
        <w:t>we</w:t>
      </w:r>
      <w:r>
        <w:rPr>
          <w:color w:val="231F20"/>
          <w:spacing w:val="-16"/>
          <w:w w:val="105"/>
        </w:rPr>
        <w:t xml:space="preserve"> </w:t>
      </w:r>
      <w:r>
        <w:rPr>
          <w:color w:val="231F20"/>
          <w:w w:val="105"/>
        </w:rPr>
        <w:t>are</w:t>
      </w:r>
      <w:r>
        <w:rPr>
          <w:color w:val="231F20"/>
          <w:spacing w:val="-16"/>
          <w:w w:val="105"/>
        </w:rPr>
        <w:t xml:space="preserve"> </w:t>
      </w:r>
      <w:r>
        <w:rPr>
          <w:color w:val="231F20"/>
          <w:w w:val="105"/>
        </w:rPr>
        <w:t>using,</w:t>
      </w:r>
      <w:r>
        <w:rPr>
          <w:color w:val="231F20"/>
          <w:spacing w:val="-16"/>
          <w:w w:val="105"/>
        </w:rPr>
        <w:t xml:space="preserve"> </w:t>
      </w:r>
      <w:r>
        <w:rPr>
          <w:color w:val="231F20"/>
          <w:w w:val="105"/>
        </w:rPr>
        <w:t>but</w:t>
      </w:r>
      <w:r>
        <w:rPr>
          <w:color w:val="231F20"/>
          <w:spacing w:val="-16"/>
          <w:w w:val="105"/>
        </w:rPr>
        <w:t xml:space="preserve"> </w:t>
      </w:r>
      <w:r>
        <w:rPr>
          <w:color w:val="231F20"/>
          <w:w w:val="105"/>
        </w:rPr>
        <w:t>is</w:t>
      </w:r>
      <w:r>
        <w:rPr>
          <w:color w:val="231F20"/>
          <w:spacing w:val="-16"/>
          <w:w w:val="105"/>
        </w:rPr>
        <w:t xml:space="preserve"> </w:t>
      </w:r>
      <w:r>
        <w:rPr>
          <w:color w:val="231F20"/>
          <w:w w:val="105"/>
        </w:rPr>
        <w:t>in</w:t>
      </w:r>
      <w:r>
        <w:rPr>
          <w:color w:val="231F20"/>
          <w:spacing w:val="-16"/>
          <w:w w:val="105"/>
        </w:rPr>
        <w:t xml:space="preserve"> </w:t>
      </w:r>
      <w:r>
        <w:rPr>
          <w:color w:val="231F20"/>
          <w:w w:val="105"/>
        </w:rPr>
        <w:t>fact</w:t>
      </w:r>
      <w:r>
        <w:rPr>
          <w:color w:val="231F20"/>
          <w:spacing w:val="-16"/>
          <w:w w:val="105"/>
        </w:rPr>
        <w:t xml:space="preserve"> </w:t>
      </w:r>
      <w:r>
        <w:rPr>
          <w:color w:val="231F20"/>
          <w:w w:val="105"/>
        </w:rPr>
        <w:t>an</w:t>
      </w:r>
      <w:r>
        <w:rPr>
          <w:color w:val="231F20"/>
          <w:spacing w:val="-16"/>
          <w:w w:val="105"/>
        </w:rPr>
        <w:t xml:space="preserve"> </w:t>
      </w:r>
      <w:r>
        <w:rPr>
          <w:color w:val="231F20"/>
          <w:w w:val="105"/>
        </w:rPr>
        <w:t>accurate</w:t>
      </w:r>
      <w:r>
        <w:rPr>
          <w:color w:val="231F20"/>
          <w:spacing w:val="-16"/>
          <w:w w:val="105"/>
        </w:rPr>
        <w:t xml:space="preserve"> </w:t>
      </w:r>
      <w:r>
        <w:rPr>
          <w:color w:val="231F20"/>
          <w:w w:val="105"/>
        </w:rPr>
        <w:t>description</w:t>
      </w:r>
      <w:r>
        <w:rPr>
          <w:color w:val="231F20"/>
          <w:spacing w:val="-12"/>
          <w:w w:val="105"/>
        </w:rPr>
        <w:t xml:space="preserve"> </w:t>
      </w:r>
      <w:r>
        <w:rPr>
          <w:color w:val="231F20"/>
          <w:w w:val="105"/>
        </w:rPr>
        <w:t>of</w:t>
      </w:r>
      <w:r>
        <w:rPr>
          <w:color w:val="231F20"/>
          <w:spacing w:val="-12"/>
          <w:w w:val="105"/>
        </w:rPr>
        <w:t xml:space="preserve"> </w:t>
      </w:r>
      <w:r>
        <w:rPr>
          <w:color w:val="231F20"/>
          <w:w w:val="105"/>
        </w:rPr>
        <w:t>the</w:t>
      </w:r>
      <w:r>
        <w:rPr>
          <w:color w:val="231F20"/>
          <w:spacing w:val="-12"/>
          <w:w w:val="105"/>
        </w:rPr>
        <w:t xml:space="preserve"> </w:t>
      </w:r>
      <w:r>
        <w:rPr>
          <w:color w:val="231F20"/>
          <w:w w:val="105"/>
        </w:rPr>
        <w:t>repression</w:t>
      </w:r>
      <w:r>
        <w:rPr>
          <w:color w:val="231F20"/>
          <w:spacing w:val="-12"/>
          <w:w w:val="105"/>
        </w:rPr>
        <w:t xml:space="preserve"> </w:t>
      </w:r>
      <w:r>
        <w:rPr>
          <w:color w:val="231F20"/>
          <w:w w:val="105"/>
        </w:rPr>
        <w:t>one</w:t>
      </w:r>
      <w:r>
        <w:rPr>
          <w:color w:val="231F20"/>
          <w:spacing w:val="-12"/>
          <w:w w:val="105"/>
        </w:rPr>
        <w:t xml:space="preserve"> </w:t>
      </w:r>
      <w:r>
        <w:rPr>
          <w:color w:val="231F20"/>
          <w:w w:val="105"/>
        </w:rPr>
        <w:t>encounters</w:t>
      </w:r>
      <w:r>
        <w:rPr>
          <w:color w:val="231F20"/>
          <w:spacing w:val="-12"/>
          <w:w w:val="105"/>
        </w:rPr>
        <w:t xml:space="preserve"> </w:t>
      </w:r>
      <w:r>
        <w:rPr>
          <w:color w:val="231F20"/>
          <w:w w:val="105"/>
        </w:rPr>
        <w:t>if</w:t>
      </w:r>
      <w:r>
        <w:rPr>
          <w:color w:val="231F20"/>
          <w:spacing w:val="-12"/>
          <w:w w:val="105"/>
        </w:rPr>
        <w:t xml:space="preserve"> </w:t>
      </w:r>
      <w:r>
        <w:rPr>
          <w:color w:val="231F20"/>
          <w:w w:val="105"/>
        </w:rPr>
        <w:t>one</w:t>
      </w:r>
      <w:r>
        <w:rPr>
          <w:color w:val="231F20"/>
          <w:spacing w:val="-12"/>
          <w:w w:val="105"/>
        </w:rPr>
        <w:t xml:space="preserve"> </w:t>
      </w:r>
      <w:r>
        <w:rPr>
          <w:color w:val="231F20"/>
          <w:w w:val="105"/>
        </w:rPr>
        <w:t>starts</w:t>
      </w:r>
      <w:r>
        <w:rPr>
          <w:color w:val="231F20"/>
          <w:spacing w:val="-12"/>
          <w:w w:val="105"/>
        </w:rPr>
        <w:t xml:space="preserve"> </w:t>
      </w:r>
      <w:r>
        <w:rPr>
          <w:color w:val="231F20"/>
          <w:w w:val="105"/>
        </w:rPr>
        <w:t>to</w:t>
      </w:r>
      <w:r>
        <w:rPr>
          <w:color w:val="231F20"/>
          <w:spacing w:val="-12"/>
          <w:w w:val="105"/>
        </w:rPr>
        <w:t xml:space="preserve"> </w:t>
      </w:r>
      <w:r>
        <w:rPr>
          <w:color w:val="231F20"/>
          <w:w w:val="105"/>
        </w:rPr>
        <w:t>engage</w:t>
      </w:r>
      <w:r>
        <w:rPr>
          <w:color w:val="231F20"/>
          <w:spacing w:val="-12"/>
          <w:w w:val="105"/>
        </w:rPr>
        <w:t xml:space="preserve"> </w:t>
      </w:r>
      <w:r>
        <w:rPr>
          <w:color w:val="231F20"/>
          <w:w w:val="105"/>
        </w:rPr>
        <w:t>in</w:t>
      </w:r>
      <w:r>
        <w:rPr>
          <w:color w:val="231F20"/>
          <w:spacing w:val="-12"/>
          <w:w w:val="105"/>
        </w:rPr>
        <w:t xml:space="preserve"> </w:t>
      </w:r>
      <w:r>
        <w:rPr>
          <w:color w:val="231F20"/>
          <w:w w:val="105"/>
        </w:rPr>
        <w:t>revolutionary politics in this</w:t>
      </w:r>
      <w:r>
        <w:rPr>
          <w:color w:val="231F20"/>
          <w:spacing w:val="28"/>
          <w:w w:val="105"/>
        </w:rPr>
        <w:t xml:space="preserve"> </w:t>
      </w:r>
      <w:r>
        <w:rPr>
          <w:color w:val="231F20"/>
          <w:w w:val="105"/>
        </w:rPr>
        <w:t>country.</w:t>
      </w:r>
    </w:p>
    <w:p w14:paraId="1A7890D0" w14:textId="77777777" w:rsidR="002653E8" w:rsidRDefault="003115E3">
      <w:pPr>
        <w:pStyle w:val="a3"/>
        <w:spacing w:line="264" w:lineRule="auto"/>
        <w:ind w:left="1327" w:right="1146" w:firstLine="209"/>
        <w:jc w:val="both"/>
      </w:pPr>
      <w:r>
        <w:rPr>
          <w:color w:val="231F20"/>
        </w:rPr>
        <w:t xml:space="preserve">They cannot use psychiatry against someone who doesn’t accept or want it. </w:t>
      </w:r>
      <w:r>
        <w:rPr>
          <w:color w:val="231F20"/>
          <w:spacing w:val="-4"/>
        </w:rPr>
        <w:t xml:space="preserve">your </w:t>
      </w:r>
      <w:r>
        <w:rPr>
          <w:color w:val="231F20"/>
        </w:rPr>
        <w:t>shrieks about psychiatry mystify the realities of isolation.  It is effective—it must be struggled against, and, naturally, you must engage in war against Bücker’s</w:t>
      </w:r>
      <w:r>
        <w:rPr>
          <w:color w:val="231F20"/>
          <w:spacing w:val="10"/>
        </w:rPr>
        <w:t xml:space="preserve"> </w:t>
      </w:r>
      <w:r>
        <w:rPr>
          <w:color w:val="231F20"/>
        </w:rPr>
        <w:t>bullying.</w:t>
      </w:r>
    </w:p>
    <w:p w14:paraId="1E583064" w14:textId="77777777" w:rsidR="002653E8" w:rsidRDefault="003115E3">
      <w:pPr>
        <w:pStyle w:val="a3"/>
        <w:spacing w:line="264" w:lineRule="auto"/>
        <w:ind w:left="1327" w:right="1146" w:firstLine="210"/>
        <w:jc w:val="both"/>
      </w:pPr>
      <w:r>
        <w:rPr>
          <w:color w:val="231F20"/>
        </w:rPr>
        <w:t>So demand an end to acoustic surveillance; accept only visual surveillance, like in Stammheim. Naturally, it was also a struggle here to get</w:t>
      </w:r>
    </w:p>
    <w:p w14:paraId="384521FA" w14:textId="77777777" w:rsidR="002653E8" w:rsidRDefault="00000000">
      <w:pPr>
        <w:pStyle w:val="a3"/>
        <w:spacing w:before="10"/>
        <w:rPr>
          <w:sz w:val="13"/>
        </w:rPr>
      </w:pPr>
      <w:r>
        <w:rPr>
          <w:noProof w:val="0"/>
        </w:rPr>
        <w:pict w14:anchorId="0E5FB1BC">
          <v:line id="_x0000_s2262" style="position:absolute;z-index:8704;mso-wrap-distance-left:0;mso-wrap-distance-right:0;mso-position-horizontal-relative:page" from="66.4pt,10.35pt" to="138.4pt,10.35pt" strokecolor="#231f20" strokeweight=".5pt">
            <w10:wrap type="topAndBottom" anchorx="page"/>
          </v:line>
        </w:pict>
      </w:r>
    </w:p>
    <w:p w14:paraId="4F354FC2" w14:textId="77777777" w:rsidR="002653E8" w:rsidRDefault="003115E3">
      <w:pPr>
        <w:pStyle w:val="a4"/>
        <w:numPr>
          <w:ilvl w:val="0"/>
          <w:numId w:val="82"/>
        </w:numPr>
        <w:tabs>
          <w:tab w:val="left" w:pos="1467"/>
        </w:tabs>
        <w:spacing w:before="53"/>
        <w:ind w:left="1466"/>
        <w:jc w:val="left"/>
        <w:rPr>
          <w:sz w:val="16"/>
        </w:rPr>
      </w:pPr>
      <w:r>
        <w:rPr>
          <w:color w:val="231F20"/>
          <w:w w:val="105"/>
          <w:sz w:val="16"/>
        </w:rPr>
        <w:t>Georg</w:t>
      </w:r>
      <w:r>
        <w:rPr>
          <w:color w:val="231F20"/>
          <w:spacing w:val="7"/>
          <w:w w:val="105"/>
          <w:sz w:val="16"/>
        </w:rPr>
        <w:t xml:space="preserve"> </w:t>
      </w:r>
      <w:r>
        <w:rPr>
          <w:color w:val="231F20"/>
          <w:w w:val="105"/>
          <w:sz w:val="16"/>
        </w:rPr>
        <w:t>Bücker</w:t>
      </w:r>
      <w:r>
        <w:rPr>
          <w:color w:val="231F20"/>
          <w:spacing w:val="7"/>
          <w:w w:val="105"/>
          <w:sz w:val="16"/>
        </w:rPr>
        <w:t xml:space="preserve"> </w:t>
      </w:r>
      <w:r>
        <w:rPr>
          <w:color w:val="231F20"/>
          <w:w w:val="105"/>
          <w:sz w:val="16"/>
        </w:rPr>
        <w:t>was,</w:t>
      </w:r>
      <w:r>
        <w:rPr>
          <w:color w:val="231F20"/>
          <w:spacing w:val="7"/>
          <w:w w:val="105"/>
          <w:sz w:val="16"/>
        </w:rPr>
        <w:t xml:space="preserve"> </w:t>
      </w:r>
      <w:r>
        <w:rPr>
          <w:color w:val="231F20"/>
          <w:w w:val="105"/>
          <w:sz w:val="16"/>
        </w:rPr>
        <w:t>at</w:t>
      </w:r>
      <w:r>
        <w:rPr>
          <w:color w:val="231F20"/>
          <w:spacing w:val="7"/>
          <w:w w:val="105"/>
          <w:sz w:val="16"/>
        </w:rPr>
        <w:t xml:space="preserve"> </w:t>
      </w:r>
      <w:r>
        <w:rPr>
          <w:color w:val="231F20"/>
          <w:w w:val="105"/>
          <w:sz w:val="16"/>
        </w:rPr>
        <w:t>this</w:t>
      </w:r>
      <w:r>
        <w:rPr>
          <w:color w:val="231F20"/>
          <w:spacing w:val="7"/>
          <w:w w:val="105"/>
          <w:sz w:val="16"/>
        </w:rPr>
        <w:t xml:space="preserve"> </w:t>
      </w:r>
      <w:r>
        <w:rPr>
          <w:color w:val="231F20"/>
          <w:w w:val="105"/>
          <w:sz w:val="16"/>
        </w:rPr>
        <w:t>time,</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warden</w:t>
      </w:r>
      <w:r>
        <w:rPr>
          <w:color w:val="231F20"/>
          <w:spacing w:val="7"/>
          <w:w w:val="105"/>
          <w:sz w:val="16"/>
        </w:rPr>
        <w:t xml:space="preserve"> </w:t>
      </w:r>
      <w:r>
        <w:rPr>
          <w:color w:val="231F20"/>
          <w:w w:val="105"/>
          <w:sz w:val="16"/>
        </w:rPr>
        <w:t>at</w:t>
      </w:r>
      <w:r>
        <w:rPr>
          <w:color w:val="231F20"/>
          <w:spacing w:val="7"/>
          <w:w w:val="105"/>
          <w:sz w:val="16"/>
        </w:rPr>
        <w:t xml:space="preserve"> </w:t>
      </w:r>
      <w:r>
        <w:rPr>
          <w:color w:val="231F20"/>
          <w:w w:val="105"/>
          <w:sz w:val="16"/>
        </w:rPr>
        <w:t>Ossendorf</w:t>
      </w:r>
      <w:r>
        <w:rPr>
          <w:color w:val="231F20"/>
          <w:spacing w:val="7"/>
          <w:w w:val="105"/>
          <w:sz w:val="16"/>
        </w:rPr>
        <w:t xml:space="preserve"> </w:t>
      </w:r>
      <w:r>
        <w:rPr>
          <w:color w:val="231F20"/>
          <w:w w:val="105"/>
          <w:sz w:val="16"/>
        </w:rPr>
        <w:t>penitentiary.</w:t>
      </w:r>
    </w:p>
    <w:p w14:paraId="4B419A72" w14:textId="77777777" w:rsidR="002653E8" w:rsidRDefault="003115E3">
      <w:pPr>
        <w:pStyle w:val="a4"/>
        <w:numPr>
          <w:ilvl w:val="0"/>
          <w:numId w:val="82"/>
        </w:numPr>
        <w:tabs>
          <w:tab w:val="left" w:pos="1467"/>
        </w:tabs>
        <w:spacing w:before="51"/>
        <w:ind w:left="1466"/>
        <w:jc w:val="left"/>
        <w:rPr>
          <w:sz w:val="16"/>
        </w:rPr>
      </w:pPr>
      <w:r>
        <w:rPr>
          <w:color w:val="231F20"/>
          <w:w w:val="105"/>
          <w:sz w:val="16"/>
        </w:rPr>
        <w:t>Lodt</w:t>
      </w:r>
      <w:r>
        <w:rPr>
          <w:color w:val="231F20"/>
          <w:spacing w:val="7"/>
          <w:w w:val="105"/>
          <w:sz w:val="16"/>
        </w:rPr>
        <w:t xml:space="preserve"> </w:t>
      </w:r>
      <w:r>
        <w:rPr>
          <w:color w:val="231F20"/>
          <w:w w:val="105"/>
          <w:sz w:val="16"/>
        </w:rPr>
        <w:t>was,</w:t>
      </w:r>
      <w:r>
        <w:rPr>
          <w:color w:val="231F20"/>
          <w:spacing w:val="7"/>
          <w:w w:val="105"/>
          <w:sz w:val="16"/>
        </w:rPr>
        <w:t xml:space="preserve"> </w:t>
      </w:r>
      <w:r>
        <w:rPr>
          <w:color w:val="231F20"/>
          <w:w w:val="105"/>
          <w:sz w:val="16"/>
        </w:rPr>
        <w:t>at</w:t>
      </w:r>
      <w:r>
        <w:rPr>
          <w:color w:val="231F20"/>
          <w:spacing w:val="7"/>
          <w:w w:val="105"/>
          <w:sz w:val="16"/>
        </w:rPr>
        <w:t xml:space="preserve"> </w:t>
      </w:r>
      <w:r>
        <w:rPr>
          <w:color w:val="231F20"/>
          <w:w w:val="105"/>
          <w:sz w:val="16"/>
        </w:rPr>
        <w:t>this</w:t>
      </w:r>
      <w:r>
        <w:rPr>
          <w:color w:val="231F20"/>
          <w:spacing w:val="7"/>
          <w:w w:val="105"/>
          <w:sz w:val="16"/>
        </w:rPr>
        <w:t xml:space="preserve"> </w:t>
      </w:r>
      <w:r>
        <w:rPr>
          <w:color w:val="231F20"/>
          <w:w w:val="105"/>
          <w:sz w:val="16"/>
        </w:rPr>
        <w:t>time,</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Inspector</w:t>
      </w:r>
      <w:r>
        <w:rPr>
          <w:color w:val="231F20"/>
          <w:spacing w:val="7"/>
          <w:w w:val="105"/>
          <w:sz w:val="16"/>
        </w:rPr>
        <w:t xml:space="preserve"> </w:t>
      </w:r>
      <w:r>
        <w:rPr>
          <w:color w:val="231F20"/>
          <w:w w:val="105"/>
          <w:sz w:val="16"/>
        </w:rPr>
        <w:t>for</w:t>
      </w:r>
      <w:r>
        <w:rPr>
          <w:color w:val="231F20"/>
          <w:spacing w:val="7"/>
          <w:w w:val="105"/>
          <w:sz w:val="16"/>
        </w:rPr>
        <w:t xml:space="preserve"> </w:t>
      </w:r>
      <w:r>
        <w:rPr>
          <w:color w:val="231F20"/>
          <w:spacing w:val="1"/>
          <w:w w:val="105"/>
          <w:sz w:val="16"/>
        </w:rPr>
        <w:t>Security</w:t>
      </w:r>
      <w:r>
        <w:rPr>
          <w:color w:val="231F20"/>
          <w:spacing w:val="7"/>
          <w:w w:val="105"/>
          <w:sz w:val="16"/>
        </w:rPr>
        <w:t xml:space="preserve"> </w:t>
      </w:r>
      <w:r>
        <w:rPr>
          <w:color w:val="231F20"/>
          <w:w w:val="105"/>
          <w:sz w:val="16"/>
        </w:rPr>
        <w:t>at</w:t>
      </w:r>
      <w:r>
        <w:rPr>
          <w:color w:val="231F20"/>
          <w:spacing w:val="7"/>
          <w:w w:val="105"/>
          <w:sz w:val="16"/>
        </w:rPr>
        <w:t xml:space="preserve"> </w:t>
      </w:r>
      <w:r>
        <w:rPr>
          <w:color w:val="231F20"/>
          <w:w w:val="105"/>
          <w:sz w:val="16"/>
        </w:rPr>
        <w:t>Ossendorf</w:t>
      </w:r>
      <w:r>
        <w:rPr>
          <w:color w:val="231F20"/>
          <w:spacing w:val="7"/>
          <w:w w:val="105"/>
          <w:sz w:val="16"/>
        </w:rPr>
        <w:t xml:space="preserve"> </w:t>
      </w:r>
      <w:r>
        <w:rPr>
          <w:color w:val="231F20"/>
          <w:w w:val="105"/>
          <w:sz w:val="16"/>
        </w:rPr>
        <w:t>penitentiary.</w:t>
      </w:r>
    </w:p>
    <w:p w14:paraId="2ECEE081" w14:textId="77777777" w:rsidR="002653E8" w:rsidRDefault="002653E8">
      <w:pPr>
        <w:rPr>
          <w:sz w:val="16"/>
        </w:rPr>
        <w:sectPr w:rsidR="002653E8">
          <w:pgSz w:w="8640" w:h="12960"/>
          <w:pgMar w:top="1040" w:right="0" w:bottom="1040" w:left="0" w:header="0" w:footer="850" w:gutter="0"/>
          <w:cols w:space="720"/>
        </w:sectPr>
      </w:pPr>
    </w:p>
    <w:p w14:paraId="51878D94" w14:textId="77777777" w:rsidR="002653E8" w:rsidRDefault="003115E3">
      <w:pPr>
        <w:pStyle w:val="a3"/>
        <w:spacing w:before="86" w:line="264" w:lineRule="auto"/>
        <w:ind w:left="1147" w:right="1325"/>
      </w:pPr>
      <w:r>
        <w:rPr>
          <w:color w:val="231F20"/>
        </w:rPr>
        <w:lastRenderedPageBreak/>
        <w:t>rid of the cop who came to listen to us, to be allowed to sit on the floor, etc. For you, only repression exists. That’s perfectly clear.</w:t>
      </w:r>
    </w:p>
    <w:p w14:paraId="584F4300" w14:textId="77777777" w:rsidR="002653E8" w:rsidRDefault="003115E3">
      <w:pPr>
        <w:pStyle w:val="a3"/>
        <w:spacing w:line="264" w:lineRule="auto"/>
        <w:ind w:left="1147" w:right="1326" w:firstLine="210"/>
        <w:jc w:val="both"/>
      </w:pPr>
      <w:r>
        <w:rPr>
          <w:color w:val="231F20"/>
        </w:rPr>
        <w:t xml:space="preserve">Also, you are a pig. </w:t>
      </w:r>
      <w:r>
        <w:rPr>
          <w:color w:val="231F20"/>
          <w:spacing w:val="-7"/>
        </w:rPr>
        <w:t xml:space="preserve">you </w:t>
      </w:r>
      <w:r>
        <w:rPr>
          <w:color w:val="231F20"/>
        </w:rPr>
        <w:t>pull the demand for association and the line on “prisoners of war” out of your bag of tricks, as if they are a threat— against Müller.</w:t>
      </w:r>
      <w:r>
        <w:rPr>
          <w:color w:val="231F20"/>
          <w:position w:val="7"/>
          <w:sz w:val="11"/>
        </w:rPr>
        <w:t xml:space="preserve">1 </w:t>
      </w:r>
      <w:r>
        <w:rPr>
          <w:color w:val="231F20"/>
        </w:rPr>
        <w:t xml:space="preserve">That is nonsense. </w:t>
      </w:r>
      <w:r>
        <w:rPr>
          <w:color w:val="231F20"/>
          <w:spacing w:val="-5"/>
        </w:rPr>
        <w:t xml:space="preserve">We </w:t>
      </w:r>
      <w:r>
        <w:rPr>
          <w:color w:val="231F20"/>
        </w:rPr>
        <w:t>must have association and the application of the Geneva Convention, but what do you expect from Müller?</w:t>
      </w:r>
    </w:p>
    <w:p w14:paraId="73CA47D7" w14:textId="77777777" w:rsidR="002653E8" w:rsidRDefault="003115E3">
      <w:pPr>
        <w:pStyle w:val="a3"/>
        <w:spacing w:line="264" w:lineRule="auto"/>
        <w:ind w:left="1147" w:right="1326" w:firstLine="210"/>
        <w:jc w:val="both"/>
      </w:pPr>
      <w:r>
        <w:rPr>
          <w:color w:val="231F20"/>
          <w:spacing w:val="-5"/>
          <w:w w:val="105"/>
        </w:rPr>
        <w:t>We</w:t>
      </w:r>
      <w:r>
        <w:rPr>
          <w:color w:val="231F20"/>
          <w:spacing w:val="-24"/>
          <w:w w:val="105"/>
        </w:rPr>
        <w:t xml:space="preserve"> </w:t>
      </w:r>
      <w:r>
        <w:rPr>
          <w:color w:val="231F20"/>
          <w:w w:val="105"/>
        </w:rPr>
        <w:t>struggle</w:t>
      </w:r>
      <w:r>
        <w:rPr>
          <w:color w:val="231F20"/>
          <w:spacing w:val="-24"/>
          <w:w w:val="105"/>
        </w:rPr>
        <w:t xml:space="preserve"> </w:t>
      </w:r>
      <w:r>
        <w:rPr>
          <w:color w:val="231F20"/>
          <w:w w:val="105"/>
        </w:rPr>
        <w:t>against</w:t>
      </w:r>
      <w:r>
        <w:rPr>
          <w:color w:val="231F20"/>
          <w:spacing w:val="-24"/>
          <w:w w:val="105"/>
        </w:rPr>
        <w:t xml:space="preserve"> </w:t>
      </w:r>
      <w:r>
        <w:rPr>
          <w:color w:val="231F20"/>
          <w:w w:val="105"/>
        </w:rPr>
        <w:t>them</w:t>
      </w:r>
      <w:r>
        <w:rPr>
          <w:color w:val="231F20"/>
          <w:spacing w:val="-24"/>
          <w:w w:val="105"/>
        </w:rPr>
        <w:t xml:space="preserve"> </w:t>
      </w:r>
      <w:r>
        <w:rPr>
          <w:color w:val="231F20"/>
          <w:w w:val="105"/>
        </w:rPr>
        <w:t>and</w:t>
      </w:r>
      <w:r>
        <w:rPr>
          <w:color w:val="231F20"/>
          <w:spacing w:val="-24"/>
          <w:w w:val="105"/>
        </w:rPr>
        <w:t xml:space="preserve"> </w:t>
      </w:r>
      <w:r>
        <w:rPr>
          <w:color w:val="231F20"/>
          <w:w w:val="105"/>
        </w:rPr>
        <w:t>the</w:t>
      </w:r>
      <w:r>
        <w:rPr>
          <w:color w:val="231F20"/>
          <w:spacing w:val="-24"/>
          <w:w w:val="105"/>
        </w:rPr>
        <w:t xml:space="preserve"> </w:t>
      </w:r>
      <w:r>
        <w:rPr>
          <w:color w:val="231F20"/>
          <w:w w:val="105"/>
        </w:rPr>
        <w:t>struggle</w:t>
      </w:r>
      <w:r>
        <w:rPr>
          <w:color w:val="231F20"/>
          <w:spacing w:val="-24"/>
          <w:w w:val="105"/>
        </w:rPr>
        <w:t xml:space="preserve"> </w:t>
      </w:r>
      <w:r>
        <w:rPr>
          <w:color w:val="231F20"/>
          <w:w w:val="105"/>
        </w:rPr>
        <w:t>never</w:t>
      </w:r>
      <w:r>
        <w:rPr>
          <w:color w:val="231F20"/>
          <w:spacing w:val="-24"/>
          <w:w w:val="105"/>
        </w:rPr>
        <w:t xml:space="preserve"> </w:t>
      </w:r>
      <w:r>
        <w:rPr>
          <w:color w:val="231F20"/>
          <w:w w:val="105"/>
        </w:rPr>
        <w:t>ends,</w:t>
      </w:r>
      <w:r>
        <w:rPr>
          <w:color w:val="231F20"/>
          <w:spacing w:val="-24"/>
          <w:w w:val="105"/>
        </w:rPr>
        <w:t xml:space="preserve"> </w:t>
      </w:r>
      <w:r>
        <w:rPr>
          <w:color w:val="231F20"/>
          <w:w w:val="105"/>
        </w:rPr>
        <w:t>and</w:t>
      </w:r>
      <w:r>
        <w:rPr>
          <w:color w:val="231F20"/>
          <w:spacing w:val="-24"/>
          <w:w w:val="105"/>
        </w:rPr>
        <w:t xml:space="preserve"> </w:t>
      </w:r>
      <w:r>
        <w:rPr>
          <w:color w:val="231F20"/>
          <w:w w:val="105"/>
        </w:rPr>
        <w:t>they</w:t>
      </w:r>
      <w:r>
        <w:rPr>
          <w:color w:val="231F20"/>
          <w:spacing w:val="-24"/>
          <w:w w:val="105"/>
        </w:rPr>
        <w:t xml:space="preserve"> </w:t>
      </w:r>
      <w:r>
        <w:rPr>
          <w:color w:val="231F20"/>
          <w:spacing w:val="-4"/>
          <w:w w:val="105"/>
        </w:rPr>
        <w:t xml:space="preserve">won’t </w:t>
      </w:r>
      <w:r>
        <w:rPr>
          <w:color w:val="231F20"/>
          <w:w w:val="105"/>
        </w:rPr>
        <w:t>make the struggle any easier for us. Obviously, if you only think in terms</w:t>
      </w:r>
      <w:r>
        <w:rPr>
          <w:color w:val="231F20"/>
          <w:spacing w:val="-7"/>
          <w:w w:val="105"/>
        </w:rPr>
        <w:t xml:space="preserve"> </w:t>
      </w:r>
      <w:r>
        <w:rPr>
          <w:color w:val="231F20"/>
          <w:w w:val="105"/>
        </w:rPr>
        <w:t>of</w:t>
      </w:r>
      <w:r>
        <w:rPr>
          <w:color w:val="231F20"/>
          <w:spacing w:val="-7"/>
          <w:w w:val="105"/>
        </w:rPr>
        <w:t xml:space="preserve"> </w:t>
      </w:r>
      <w:r>
        <w:rPr>
          <w:color w:val="231F20"/>
          <w:w w:val="105"/>
        </w:rPr>
        <w:t>bourgeois</w:t>
      </w:r>
      <w:r>
        <w:rPr>
          <w:color w:val="231F20"/>
          <w:spacing w:val="-7"/>
          <w:w w:val="105"/>
        </w:rPr>
        <w:t xml:space="preserve"> </w:t>
      </w:r>
      <w:r>
        <w:rPr>
          <w:color w:val="231F20"/>
          <w:w w:val="105"/>
        </w:rPr>
        <w:t>morality,</w:t>
      </w:r>
      <w:r>
        <w:rPr>
          <w:color w:val="231F20"/>
          <w:spacing w:val="-7"/>
          <w:w w:val="105"/>
        </w:rPr>
        <w:t xml:space="preserve"> </w:t>
      </w:r>
      <w:r>
        <w:rPr>
          <w:color w:val="231F20"/>
          <w:w w:val="105"/>
        </w:rPr>
        <w:t>you</w:t>
      </w:r>
      <w:r>
        <w:rPr>
          <w:color w:val="231F20"/>
          <w:spacing w:val="-7"/>
          <w:w w:val="105"/>
        </w:rPr>
        <w:t xml:space="preserve"> </w:t>
      </w:r>
      <w:r>
        <w:rPr>
          <w:color w:val="231F20"/>
          <w:w w:val="105"/>
        </w:rPr>
        <w:t>will</w:t>
      </w:r>
      <w:r>
        <w:rPr>
          <w:color w:val="231F20"/>
          <w:spacing w:val="-7"/>
          <w:w w:val="105"/>
        </w:rPr>
        <w:t xml:space="preserve"> </w:t>
      </w:r>
      <w:r>
        <w:rPr>
          <w:color w:val="231F20"/>
          <w:w w:val="105"/>
        </w:rPr>
        <w:t>soon</w:t>
      </w:r>
      <w:r>
        <w:rPr>
          <w:color w:val="231F20"/>
          <w:spacing w:val="-7"/>
          <w:w w:val="105"/>
        </w:rPr>
        <w:t xml:space="preserve"> </w:t>
      </w:r>
      <w:r>
        <w:rPr>
          <w:color w:val="231F20"/>
          <w:w w:val="105"/>
        </w:rPr>
        <w:t>run</w:t>
      </w:r>
      <w:r>
        <w:rPr>
          <w:color w:val="231F20"/>
          <w:spacing w:val="-7"/>
          <w:w w:val="105"/>
        </w:rPr>
        <w:t xml:space="preserve"> </w:t>
      </w:r>
      <w:r>
        <w:rPr>
          <w:color w:val="231F20"/>
          <w:w w:val="105"/>
        </w:rPr>
        <w:t>out</w:t>
      </w:r>
      <w:r>
        <w:rPr>
          <w:color w:val="231F20"/>
          <w:spacing w:val="-7"/>
          <w:w w:val="105"/>
        </w:rPr>
        <w:t xml:space="preserve"> </w:t>
      </w:r>
      <w:r>
        <w:rPr>
          <w:color w:val="231F20"/>
          <w:w w:val="105"/>
        </w:rPr>
        <w:t>of</w:t>
      </w:r>
      <w:r>
        <w:rPr>
          <w:color w:val="231F20"/>
          <w:spacing w:val="-7"/>
          <w:w w:val="105"/>
        </w:rPr>
        <w:t xml:space="preserve"> </w:t>
      </w:r>
      <w:r>
        <w:rPr>
          <w:color w:val="231F20"/>
          <w:w w:val="105"/>
        </w:rPr>
        <w:t>ammunition.</w:t>
      </w:r>
      <w:r>
        <w:rPr>
          <w:color w:val="231F20"/>
          <w:spacing w:val="-7"/>
          <w:w w:val="105"/>
        </w:rPr>
        <w:t xml:space="preserve"> </w:t>
      </w:r>
      <w:r>
        <w:rPr>
          <w:color w:val="231F20"/>
          <w:spacing w:val="-3"/>
          <w:w w:val="105"/>
        </w:rPr>
        <w:t xml:space="preserve">It’s </w:t>
      </w:r>
      <w:r>
        <w:rPr>
          <w:color w:val="231F20"/>
          <w:w w:val="105"/>
        </w:rPr>
        <w:t>idiotic.</w:t>
      </w:r>
      <w:r>
        <w:rPr>
          <w:color w:val="231F20"/>
          <w:spacing w:val="-5"/>
          <w:w w:val="105"/>
        </w:rPr>
        <w:t xml:space="preserve"> </w:t>
      </w:r>
      <w:r>
        <w:rPr>
          <w:color w:val="231F20"/>
          <w:w w:val="105"/>
        </w:rPr>
        <w:t>So,</w:t>
      </w:r>
      <w:r>
        <w:rPr>
          <w:color w:val="231F20"/>
          <w:spacing w:val="-5"/>
          <w:w w:val="105"/>
        </w:rPr>
        <w:t xml:space="preserve"> </w:t>
      </w:r>
      <w:r>
        <w:rPr>
          <w:color w:val="231F20"/>
          <w:w w:val="105"/>
        </w:rPr>
        <w:t>take</w:t>
      </w:r>
      <w:r>
        <w:rPr>
          <w:color w:val="231F20"/>
          <w:spacing w:val="-5"/>
          <w:w w:val="105"/>
        </w:rPr>
        <w:t xml:space="preserve"> </w:t>
      </w:r>
      <w:r>
        <w:rPr>
          <w:color w:val="231F20"/>
          <w:w w:val="105"/>
        </w:rPr>
        <w:t>care</w:t>
      </w:r>
      <w:r>
        <w:rPr>
          <w:color w:val="231F20"/>
          <w:spacing w:val="-5"/>
          <w:w w:val="105"/>
        </w:rPr>
        <w:t xml:space="preserve"> </w:t>
      </w:r>
      <w:r>
        <w:rPr>
          <w:color w:val="231F20"/>
          <w:w w:val="105"/>
        </w:rPr>
        <w:t>of</w:t>
      </w:r>
      <w:r>
        <w:rPr>
          <w:color w:val="231F20"/>
          <w:spacing w:val="-5"/>
          <w:w w:val="105"/>
        </w:rPr>
        <w:t xml:space="preserve"> </w:t>
      </w:r>
      <w:r>
        <w:rPr>
          <w:color w:val="231F20"/>
          <w:w w:val="105"/>
        </w:rPr>
        <w:t>yourself,</w:t>
      </w:r>
      <w:r>
        <w:rPr>
          <w:color w:val="231F20"/>
          <w:spacing w:val="-5"/>
          <w:w w:val="105"/>
        </w:rPr>
        <w:t xml:space="preserve"> </w:t>
      </w:r>
      <w:r>
        <w:rPr>
          <w:color w:val="231F20"/>
          <w:w w:val="105"/>
        </w:rPr>
        <w:t>because</w:t>
      </w:r>
      <w:r>
        <w:rPr>
          <w:color w:val="231F20"/>
          <w:spacing w:val="-5"/>
          <w:w w:val="105"/>
        </w:rPr>
        <w:t xml:space="preserve"> </w:t>
      </w:r>
      <w:r>
        <w:rPr>
          <w:color w:val="231F20"/>
          <w:w w:val="105"/>
        </w:rPr>
        <w:t>nobody</w:t>
      </w:r>
      <w:r>
        <w:rPr>
          <w:color w:val="231F20"/>
          <w:spacing w:val="-5"/>
          <w:w w:val="105"/>
        </w:rPr>
        <w:t xml:space="preserve"> </w:t>
      </w:r>
      <w:r>
        <w:rPr>
          <w:color w:val="231F20"/>
          <w:w w:val="105"/>
        </w:rPr>
        <w:t>else</w:t>
      </w:r>
      <w:r>
        <w:rPr>
          <w:color w:val="231F20"/>
          <w:spacing w:val="-5"/>
          <w:w w:val="105"/>
        </w:rPr>
        <w:t xml:space="preserve"> </w:t>
      </w:r>
      <w:r>
        <w:rPr>
          <w:color w:val="231F20"/>
          <w:w w:val="105"/>
        </w:rPr>
        <w:t>can</w:t>
      </w:r>
      <w:r>
        <w:rPr>
          <w:color w:val="231F20"/>
          <w:spacing w:val="-5"/>
          <w:w w:val="105"/>
        </w:rPr>
        <w:t xml:space="preserve"> </w:t>
      </w:r>
      <w:r>
        <w:rPr>
          <w:color w:val="231F20"/>
          <w:w w:val="105"/>
        </w:rPr>
        <w:t>do</w:t>
      </w:r>
      <w:r>
        <w:rPr>
          <w:color w:val="231F20"/>
          <w:spacing w:val="-5"/>
          <w:w w:val="105"/>
        </w:rPr>
        <w:t xml:space="preserve"> </w:t>
      </w:r>
      <w:r>
        <w:rPr>
          <w:color w:val="231F20"/>
          <w:w w:val="105"/>
        </w:rPr>
        <w:t>it</w:t>
      </w:r>
      <w:r>
        <w:rPr>
          <w:color w:val="231F20"/>
          <w:spacing w:val="-5"/>
          <w:w w:val="105"/>
        </w:rPr>
        <w:t xml:space="preserve"> </w:t>
      </w:r>
      <w:r>
        <w:rPr>
          <w:color w:val="231F20"/>
          <w:w w:val="105"/>
        </w:rPr>
        <w:t>for</w:t>
      </w:r>
      <w:r>
        <w:rPr>
          <w:color w:val="231F20"/>
          <w:spacing w:val="-5"/>
          <w:w w:val="105"/>
        </w:rPr>
        <w:t xml:space="preserve"> </w:t>
      </w:r>
      <w:r>
        <w:rPr>
          <w:color w:val="231F20"/>
          <w:w w:val="105"/>
        </w:rPr>
        <w:t>you in</w:t>
      </w:r>
      <w:r>
        <w:rPr>
          <w:color w:val="231F20"/>
          <w:spacing w:val="7"/>
          <w:w w:val="105"/>
        </w:rPr>
        <w:t xml:space="preserve"> </w:t>
      </w:r>
      <w:r>
        <w:rPr>
          <w:color w:val="231F20"/>
          <w:w w:val="105"/>
        </w:rPr>
        <w:t>isolation.</w:t>
      </w:r>
    </w:p>
    <w:p w14:paraId="3232F213" w14:textId="77777777" w:rsidR="002653E8" w:rsidRDefault="003115E3">
      <w:pPr>
        <w:pStyle w:val="a3"/>
        <w:spacing w:line="229" w:lineRule="exact"/>
        <w:ind w:left="1357"/>
        <w:rPr>
          <w:sz w:val="11"/>
        </w:rPr>
      </w:pPr>
      <w:r>
        <w:rPr>
          <w:color w:val="231F20"/>
          <w:w w:val="105"/>
        </w:rPr>
        <w:t>Not even Bernd.</w:t>
      </w:r>
      <w:r>
        <w:rPr>
          <w:color w:val="231F20"/>
          <w:w w:val="105"/>
          <w:position w:val="7"/>
          <w:sz w:val="11"/>
        </w:rPr>
        <w:t>2</w:t>
      </w:r>
    </w:p>
    <w:p w14:paraId="677D9D30" w14:textId="77777777" w:rsidR="002653E8" w:rsidRDefault="003115E3">
      <w:pPr>
        <w:pStyle w:val="a3"/>
        <w:spacing w:before="143" w:line="261" w:lineRule="auto"/>
        <w:ind w:left="5873" w:right="1326" w:firstLine="40"/>
        <w:jc w:val="right"/>
      </w:pPr>
      <w:r>
        <w:rPr>
          <w:color w:val="231F20"/>
          <w:w w:val="105"/>
        </w:rPr>
        <w:t>Ulrike Meinhof</w:t>
      </w:r>
      <w:r>
        <w:rPr>
          <w:color w:val="231F20"/>
          <w:w w:val="109"/>
        </w:rPr>
        <w:t xml:space="preserve"> </w:t>
      </w:r>
      <w:r>
        <w:rPr>
          <w:color w:val="231F20"/>
          <w:w w:val="105"/>
        </w:rPr>
        <w:t>March 23, 1976</w:t>
      </w:r>
    </w:p>
    <w:p w14:paraId="590435EB" w14:textId="77777777" w:rsidR="002653E8" w:rsidRDefault="002653E8">
      <w:pPr>
        <w:pStyle w:val="a3"/>
      </w:pPr>
    </w:p>
    <w:p w14:paraId="11955F67" w14:textId="77777777" w:rsidR="002653E8" w:rsidRDefault="002653E8">
      <w:pPr>
        <w:pStyle w:val="a3"/>
      </w:pPr>
    </w:p>
    <w:p w14:paraId="2A799C88" w14:textId="77777777" w:rsidR="002653E8" w:rsidRDefault="002653E8">
      <w:pPr>
        <w:pStyle w:val="a3"/>
      </w:pPr>
    </w:p>
    <w:p w14:paraId="1676C408" w14:textId="77777777" w:rsidR="002653E8" w:rsidRDefault="002653E8">
      <w:pPr>
        <w:pStyle w:val="a3"/>
      </w:pPr>
    </w:p>
    <w:p w14:paraId="654B2A57" w14:textId="77777777" w:rsidR="002653E8" w:rsidRDefault="002653E8">
      <w:pPr>
        <w:pStyle w:val="a3"/>
      </w:pPr>
    </w:p>
    <w:p w14:paraId="0FA437BB" w14:textId="77777777" w:rsidR="002653E8" w:rsidRDefault="002653E8">
      <w:pPr>
        <w:pStyle w:val="a3"/>
      </w:pPr>
    </w:p>
    <w:p w14:paraId="29FAB888" w14:textId="77777777" w:rsidR="002653E8" w:rsidRDefault="002653E8">
      <w:pPr>
        <w:pStyle w:val="a3"/>
      </w:pPr>
    </w:p>
    <w:p w14:paraId="12860AB5" w14:textId="77777777" w:rsidR="002653E8" w:rsidRDefault="002653E8">
      <w:pPr>
        <w:pStyle w:val="a3"/>
      </w:pPr>
    </w:p>
    <w:p w14:paraId="3B55784D" w14:textId="77777777" w:rsidR="002653E8" w:rsidRDefault="002653E8">
      <w:pPr>
        <w:pStyle w:val="a3"/>
      </w:pPr>
    </w:p>
    <w:p w14:paraId="58F504CD" w14:textId="77777777" w:rsidR="002653E8" w:rsidRDefault="002653E8">
      <w:pPr>
        <w:pStyle w:val="a3"/>
      </w:pPr>
    </w:p>
    <w:p w14:paraId="4AC61CB7" w14:textId="77777777" w:rsidR="002653E8" w:rsidRDefault="002653E8">
      <w:pPr>
        <w:pStyle w:val="a3"/>
      </w:pPr>
    </w:p>
    <w:p w14:paraId="2D487611" w14:textId="77777777" w:rsidR="002653E8" w:rsidRDefault="002653E8">
      <w:pPr>
        <w:pStyle w:val="a3"/>
      </w:pPr>
    </w:p>
    <w:p w14:paraId="4FE63EFE" w14:textId="77777777" w:rsidR="002653E8" w:rsidRDefault="002653E8">
      <w:pPr>
        <w:pStyle w:val="a3"/>
      </w:pPr>
    </w:p>
    <w:p w14:paraId="4F0B87CA" w14:textId="77777777" w:rsidR="002653E8" w:rsidRDefault="002653E8">
      <w:pPr>
        <w:pStyle w:val="a3"/>
      </w:pPr>
    </w:p>
    <w:p w14:paraId="08653158" w14:textId="77777777" w:rsidR="002653E8" w:rsidRDefault="002653E8">
      <w:pPr>
        <w:pStyle w:val="a3"/>
      </w:pPr>
    </w:p>
    <w:p w14:paraId="2D22B218" w14:textId="77777777" w:rsidR="002653E8" w:rsidRDefault="002653E8">
      <w:pPr>
        <w:pStyle w:val="a3"/>
      </w:pPr>
    </w:p>
    <w:p w14:paraId="2717143E" w14:textId="77777777" w:rsidR="002653E8" w:rsidRDefault="002653E8">
      <w:pPr>
        <w:pStyle w:val="a3"/>
      </w:pPr>
    </w:p>
    <w:p w14:paraId="3B7059FA" w14:textId="77777777" w:rsidR="002653E8" w:rsidRDefault="002653E8">
      <w:pPr>
        <w:pStyle w:val="a3"/>
      </w:pPr>
    </w:p>
    <w:p w14:paraId="6038A249" w14:textId="77777777" w:rsidR="002653E8" w:rsidRDefault="002653E8">
      <w:pPr>
        <w:pStyle w:val="a3"/>
      </w:pPr>
    </w:p>
    <w:p w14:paraId="77B6BBE2" w14:textId="77777777" w:rsidR="002653E8" w:rsidRDefault="002653E8">
      <w:pPr>
        <w:pStyle w:val="a3"/>
      </w:pPr>
    </w:p>
    <w:p w14:paraId="3852C67C" w14:textId="77777777" w:rsidR="002653E8" w:rsidRDefault="002653E8">
      <w:pPr>
        <w:pStyle w:val="a3"/>
      </w:pPr>
    </w:p>
    <w:p w14:paraId="5A9566C6" w14:textId="77777777" w:rsidR="002653E8" w:rsidRDefault="002653E8">
      <w:pPr>
        <w:pStyle w:val="a3"/>
      </w:pPr>
    </w:p>
    <w:p w14:paraId="3094B111" w14:textId="77777777" w:rsidR="002653E8" w:rsidRDefault="002653E8">
      <w:pPr>
        <w:pStyle w:val="a3"/>
      </w:pPr>
    </w:p>
    <w:p w14:paraId="5359ABAC" w14:textId="77777777" w:rsidR="002653E8" w:rsidRDefault="002653E8">
      <w:pPr>
        <w:pStyle w:val="a3"/>
        <w:spacing w:before="6"/>
        <w:rPr>
          <w:sz w:val="22"/>
        </w:rPr>
      </w:pPr>
    </w:p>
    <w:p w14:paraId="321BBECD" w14:textId="77777777" w:rsidR="002653E8" w:rsidRDefault="003115E3">
      <w:pPr>
        <w:pStyle w:val="a4"/>
        <w:numPr>
          <w:ilvl w:val="0"/>
          <w:numId w:val="81"/>
        </w:numPr>
        <w:tabs>
          <w:tab w:val="left" w:pos="1287"/>
        </w:tabs>
        <w:spacing w:before="0" w:line="254" w:lineRule="auto"/>
        <w:ind w:right="2017" w:firstLine="0"/>
        <w:rPr>
          <w:sz w:val="16"/>
        </w:rPr>
      </w:pPr>
      <w:r>
        <w:rPr>
          <w:color w:val="231F20"/>
          <w:w w:val="105"/>
          <w:sz w:val="16"/>
        </w:rPr>
        <w:t>Herman-Josef Müller was the chief judge in the trial of the Holger Meins Commando.</w:t>
      </w:r>
    </w:p>
    <w:p w14:paraId="6D7385BA" w14:textId="77777777" w:rsidR="002653E8" w:rsidRDefault="003115E3">
      <w:pPr>
        <w:pStyle w:val="a4"/>
        <w:numPr>
          <w:ilvl w:val="0"/>
          <w:numId w:val="81"/>
        </w:numPr>
        <w:tabs>
          <w:tab w:val="left" w:pos="1287"/>
        </w:tabs>
        <w:ind w:firstLine="0"/>
        <w:rPr>
          <w:sz w:val="16"/>
        </w:rPr>
      </w:pPr>
      <w:r>
        <w:rPr>
          <w:color w:val="231F20"/>
          <w:w w:val="110"/>
          <w:sz w:val="16"/>
        </w:rPr>
        <w:t>Bernd Rössner, another member of the Holger Meins</w:t>
      </w:r>
      <w:r>
        <w:rPr>
          <w:color w:val="231F20"/>
          <w:spacing w:val="35"/>
          <w:w w:val="110"/>
          <w:sz w:val="16"/>
        </w:rPr>
        <w:t xml:space="preserve"> </w:t>
      </w:r>
      <w:r>
        <w:rPr>
          <w:color w:val="231F20"/>
          <w:w w:val="110"/>
          <w:sz w:val="16"/>
        </w:rPr>
        <w:t>Commando.</w:t>
      </w:r>
    </w:p>
    <w:p w14:paraId="03DE26D0" w14:textId="77777777" w:rsidR="002653E8" w:rsidRDefault="002653E8">
      <w:pPr>
        <w:rPr>
          <w:sz w:val="16"/>
        </w:rPr>
        <w:sectPr w:rsidR="002653E8">
          <w:footerReference w:type="even" r:id="rId341"/>
          <w:footerReference w:type="default" r:id="rId342"/>
          <w:pgSz w:w="8640" w:h="12960"/>
          <w:pgMar w:top="1060" w:right="0" w:bottom="1460" w:left="0" w:header="0" w:footer="1270" w:gutter="0"/>
          <w:cols w:space="720"/>
        </w:sectPr>
      </w:pPr>
    </w:p>
    <w:p w14:paraId="7C839EF3" w14:textId="77777777" w:rsidR="002653E8" w:rsidRDefault="003115E3">
      <w:pPr>
        <w:pStyle w:val="4"/>
        <w:ind w:left="1926"/>
      </w:pPr>
      <w:bookmarkStart w:id="189" w:name="Letter_to_the_Hamburg_Prisoners_(Ulrike_"/>
      <w:bookmarkStart w:id="190" w:name="_bookmark63"/>
      <w:bookmarkEnd w:id="189"/>
      <w:bookmarkEnd w:id="190"/>
      <w:r>
        <w:rPr>
          <w:color w:val="231F20"/>
          <w:w w:val="105"/>
        </w:rPr>
        <w:lastRenderedPageBreak/>
        <w:t>Letter to the Hamburg Prisoners</w:t>
      </w:r>
    </w:p>
    <w:p w14:paraId="6075C29E" w14:textId="77777777" w:rsidR="002653E8" w:rsidRDefault="002653E8">
      <w:pPr>
        <w:pStyle w:val="a3"/>
        <w:spacing w:before="4"/>
        <w:rPr>
          <w:rFonts w:ascii="Bookman Old Style"/>
          <w:sz w:val="30"/>
        </w:rPr>
      </w:pPr>
    </w:p>
    <w:p w14:paraId="20B8086F" w14:textId="77777777" w:rsidR="002653E8" w:rsidRDefault="003115E3">
      <w:pPr>
        <w:spacing w:line="261" w:lineRule="auto"/>
        <w:ind w:left="1728" w:right="3115" w:hanging="1"/>
        <w:rPr>
          <w:i/>
          <w:sz w:val="20"/>
        </w:rPr>
      </w:pPr>
      <w:r>
        <w:rPr>
          <w:i/>
          <w:color w:val="231F20"/>
          <w:w w:val="105"/>
          <w:sz w:val="20"/>
        </w:rPr>
        <w:t xml:space="preserve">This letter was written to </w:t>
      </w:r>
      <w:r w:rsidR="00C507A5">
        <w:rPr>
          <w:i/>
          <w:color w:val="231F20"/>
          <w:w w:val="105"/>
          <w:sz w:val="20"/>
        </w:rPr>
        <w:t>red army faction</w:t>
      </w:r>
      <w:r>
        <w:rPr>
          <w:i/>
          <w:color w:val="231F20"/>
          <w:w w:val="105"/>
          <w:sz w:val="20"/>
        </w:rPr>
        <w:t xml:space="preserve"> prisoner Werner Hoppe, who came to the </w:t>
      </w:r>
      <w:r w:rsidR="00C507A5">
        <w:rPr>
          <w:i/>
          <w:color w:val="231F20"/>
          <w:w w:val="105"/>
          <w:sz w:val="20"/>
        </w:rPr>
        <w:t>red army faction</w:t>
      </w:r>
      <w:r>
        <w:rPr>
          <w:i/>
          <w:color w:val="231F20"/>
          <w:w w:val="105"/>
          <w:sz w:val="20"/>
        </w:rPr>
        <w:t xml:space="preserve"> out of</w:t>
      </w:r>
    </w:p>
    <w:p w14:paraId="4F28466B" w14:textId="77777777" w:rsidR="002653E8" w:rsidRDefault="003115E3">
      <w:pPr>
        <w:spacing w:before="1"/>
        <w:ind w:left="1727"/>
        <w:rPr>
          <w:i/>
          <w:sz w:val="20"/>
        </w:rPr>
      </w:pPr>
      <w:r>
        <w:rPr>
          <w:i/>
          <w:color w:val="231F20"/>
          <w:w w:val="105"/>
          <w:sz w:val="20"/>
        </w:rPr>
        <w:t>communist section of the student movement. (M.&amp; S.)</w:t>
      </w:r>
    </w:p>
    <w:p w14:paraId="57224445" w14:textId="77777777" w:rsidR="002653E8" w:rsidRDefault="002653E8">
      <w:pPr>
        <w:pStyle w:val="a3"/>
        <w:rPr>
          <w:i/>
          <w:sz w:val="22"/>
        </w:rPr>
      </w:pPr>
    </w:p>
    <w:p w14:paraId="58A1FD42" w14:textId="77777777" w:rsidR="002653E8" w:rsidRDefault="002653E8">
      <w:pPr>
        <w:pStyle w:val="a3"/>
        <w:rPr>
          <w:i/>
          <w:sz w:val="22"/>
        </w:rPr>
      </w:pPr>
    </w:p>
    <w:p w14:paraId="597D9FEC" w14:textId="77777777" w:rsidR="002653E8" w:rsidRDefault="003115E3">
      <w:pPr>
        <w:pStyle w:val="a3"/>
        <w:spacing w:before="178" w:line="264" w:lineRule="auto"/>
        <w:ind w:left="1327" w:right="1145"/>
        <w:jc w:val="both"/>
      </w:pPr>
      <w:r>
        <w:rPr>
          <w:color w:val="231F20"/>
          <w:spacing w:val="-5"/>
        </w:rPr>
        <w:t xml:space="preserve">We </w:t>
      </w:r>
      <w:r>
        <w:rPr>
          <w:color w:val="231F20"/>
        </w:rPr>
        <w:t xml:space="preserve">are beginning to find you truly insufferable—the class perspective with which you puff yourselves up. And </w:t>
      </w:r>
      <w:r>
        <w:rPr>
          <w:color w:val="231F20"/>
          <w:spacing w:val="-3"/>
        </w:rPr>
        <w:t xml:space="preserve">it’s </w:t>
      </w:r>
      <w:r>
        <w:rPr>
          <w:color w:val="231F20"/>
        </w:rPr>
        <w:t xml:space="preserve">not because of a question of definition, but because the </w:t>
      </w:r>
      <w:r>
        <w:rPr>
          <w:i/>
          <w:color w:val="231F20"/>
        </w:rPr>
        <w:t>struggle</w:t>
      </w:r>
      <w:r>
        <w:rPr>
          <w:color w:val="231F20"/>
        </w:rPr>
        <w:t xml:space="preserve">, meaning what is essential, doesn’t exist in it. There is nothing there. It is a showpiece that has very little    in common with what </w:t>
      </w:r>
      <w:r>
        <w:rPr>
          <w:i/>
          <w:color w:val="231F20"/>
        </w:rPr>
        <w:t xml:space="preserve">we </w:t>
      </w:r>
      <w:r>
        <w:rPr>
          <w:color w:val="231F20"/>
        </w:rPr>
        <w:t xml:space="preserve">want. What we want is revolution. That is to </w:t>
      </w:r>
      <w:r>
        <w:rPr>
          <w:color w:val="231F20"/>
          <w:spacing w:val="-4"/>
        </w:rPr>
        <w:t xml:space="preserve">say, </w:t>
      </w:r>
      <w:r>
        <w:rPr>
          <w:color w:val="231F20"/>
        </w:rPr>
        <w:t xml:space="preserve">there is a goal, and, with regards to the goal, there </w:t>
      </w:r>
      <w:r>
        <w:rPr>
          <w:color w:val="231F20"/>
          <w:spacing w:val="-3"/>
        </w:rPr>
        <w:t xml:space="preserve">isn’t </w:t>
      </w:r>
      <w:r>
        <w:rPr>
          <w:color w:val="231F20"/>
        </w:rPr>
        <w:t xml:space="preserve">a position, but </w:t>
      </w:r>
      <w:r>
        <w:rPr>
          <w:i/>
          <w:color w:val="231F20"/>
        </w:rPr>
        <w:t xml:space="preserve">only </w:t>
      </w:r>
      <w:r>
        <w:rPr>
          <w:color w:val="231F20"/>
        </w:rPr>
        <w:t xml:space="preserve">the movement, the struggle, the relationship to </w:t>
      </w:r>
      <w:r>
        <w:rPr>
          <w:i/>
          <w:color w:val="231F20"/>
        </w:rPr>
        <w:t>being</w:t>
      </w:r>
      <w:r>
        <w:rPr>
          <w:color w:val="231F20"/>
        </w:rPr>
        <w:t xml:space="preserve">, which,   as you </w:t>
      </w:r>
      <w:r>
        <w:rPr>
          <w:color w:val="231F20"/>
          <w:spacing w:val="-4"/>
        </w:rPr>
        <w:t xml:space="preserve">say, </w:t>
      </w:r>
      <w:r>
        <w:rPr>
          <w:color w:val="231F20"/>
        </w:rPr>
        <w:t>means</w:t>
      </w:r>
      <w:r>
        <w:rPr>
          <w:color w:val="231F20"/>
          <w:spacing w:val="8"/>
        </w:rPr>
        <w:t xml:space="preserve"> </w:t>
      </w:r>
      <w:r>
        <w:rPr>
          <w:color w:val="231F20"/>
        </w:rPr>
        <w:t>struggling.</w:t>
      </w:r>
    </w:p>
    <w:p w14:paraId="436CFD7F" w14:textId="77777777" w:rsidR="002653E8" w:rsidRDefault="003115E3">
      <w:pPr>
        <w:pStyle w:val="a3"/>
        <w:spacing w:line="264" w:lineRule="auto"/>
        <w:ind w:left="1328" w:right="1147" w:firstLine="210"/>
        <w:jc w:val="both"/>
      </w:pPr>
      <w:r>
        <w:rPr>
          <w:color w:val="231F20"/>
        </w:rPr>
        <w:t>There is the class reality: proletariat, proletarianization, declassing, humiliation, abuse, expropriation, servitude, poverty.</w:t>
      </w:r>
    </w:p>
    <w:p w14:paraId="4745C608" w14:textId="77777777" w:rsidR="002653E8" w:rsidRDefault="003115E3">
      <w:pPr>
        <w:pStyle w:val="a3"/>
        <w:spacing w:line="264" w:lineRule="auto"/>
        <w:ind w:left="1328" w:right="1145" w:firstLine="210"/>
        <w:jc w:val="both"/>
      </w:pPr>
      <w:r>
        <w:rPr>
          <w:color w:val="231F20"/>
        </w:rPr>
        <w:t>Under imperialism, the complete penetration of all relationships by the market and the nationalization of society by repressive and ideological state structures leave no place and no time about which you can say: this is my starting point. There is only illegality and liberated territory. Furthermore, you will not achieve illegality as an offensive position for revolutionary intervention until you yourself are on the offensive; without that it is nothing.</w:t>
      </w:r>
    </w:p>
    <w:p w14:paraId="5ACAF307" w14:textId="77777777" w:rsidR="002653E8" w:rsidRDefault="003115E3">
      <w:pPr>
        <w:pStyle w:val="a3"/>
        <w:spacing w:line="264" w:lineRule="auto"/>
        <w:ind w:left="1328" w:right="1145" w:firstLine="210"/>
        <w:jc w:val="both"/>
      </w:pPr>
      <w:r>
        <w:rPr>
          <w:color w:val="231F20"/>
        </w:rPr>
        <w:t>The class position is Soviet foreign policy presented as the class position of the international proletariat, and the U.S.S.R.’s accumulation model presented as socialism.</w:t>
      </w:r>
    </w:p>
    <w:p w14:paraId="36DA3061" w14:textId="6DE06906" w:rsidR="002653E8" w:rsidRDefault="003115E3">
      <w:pPr>
        <w:pStyle w:val="a3"/>
        <w:spacing w:line="264" w:lineRule="auto"/>
        <w:ind w:left="1328" w:right="1145" w:firstLine="210"/>
        <w:jc w:val="both"/>
      </w:pPr>
      <w:r>
        <w:rPr>
          <w:color w:val="231F20"/>
        </w:rPr>
        <w:t>It is the line—the apology—for socialism in one country. Meaning, it is an ideology that aims to secure the domination of a dictatorship that does not proceed offensively against imperialism, but which instead responds</w:t>
      </w:r>
      <w:r>
        <w:rPr>
          <w:color w:val="231F20"/>
          <w:spacing w:val="8"/>
        </w:rPr>
        <w:t xml:space="preserve"> </w:t>
      </w:r>
      <w:r>
        <w:rPr>
          <w:color w:val="231F20"/>
        </w:rPr>
        <w:t>defensively</w:t>
      </w:r>
      <w:r>
        <w:rPr>
          <w:color w:val="231F20"/>
          <w:spacing w:val="8"/>
        </w:rPr>
        <w:t xml:space="preserve"> </w:t>
      </w:r>
      <w:r>
        <w:rPr>
          <w:color w:val="231F20"/>
        </w:rPr>
        <w:t>to</w:t>
      </w:r>
      <w:r>
        <w:rPr>
          <w:color w:val="231F20"/>
          <w:spacing w:val="8"/>
        </w:rPr>
        <w:t xml:space="preserve"> </w:t>
      </w:r>
      <w:r>
        <w:rPr>
          <w:color w:val="231F20"/>
        </w:rPr>
        <w:t>the</w:t>
      </w:r>
      <w:r>
        <w:rPr>
          <w:color w:val="231F20"/>
          <w:spacing w:val="8"/>
        </w:rPr>
        <w:t xml:space="preserve"> </w:t>
      </w:r>
      <w:r>
        <w:rPr>
          <w:color w:val="231F20"/>
        </w:rPr>
        <w:t>encirclement</w:t>
      </w:r>
      <w:r>
        <w:rPr>
          <w:color w:val="231F20"/>
          <w:spacing w:val="8"/>
        </w:rPr>
        <w:t xml:space="preserve"> </w:t>
      </w:r>
      <w:r>
        <w:rPr>
          <w:color w:val="231F20"/>
        </w:rPr>
        <w:t>it</w:t>
      </w:r>
      <w:r>
        <w:rPr>
          <w:color w:val="231F20"/>
          <w:spacing w:val="8"/>
        </w:rPr>
        <w:t xml:space="preserve"> </w:t>
      </w:r>
      <w:r>
        <w:rPr>
          <w:color w:val="231F20"/>
        </w:rPr>
        <w:t>now</w:t>
      </w:r>
      <w:r>
        <w:rPr>
          <w:color w:val="231F20"/>
          <w:spacing w:val="8"/>
        </w:rPr>
        <w:t xml:space="preserve"> </w:t>
      </w:r>
      <w:r>
        <w:rPr>
          <w:color w:val="231F20"/>
        </w:rPr>
        <w:t>faces.</w:t>
      </w:r>
    </w:p>
    <w:p w14:paraId="5F9736B3" w14:textId="32610A0F" w:rsidR="002653E8" w:rsidRDefault="003115E3" w:rsidP="005C3D1F">
      <w:pPr>
        <w:pStyle w:val="a3"/>
        <w:spacing w:line="264" w:lineRule="auto"/>
        <w:ind w:left="1327" w:right="1145" w:firstLine="210"/>
        <w:jc w:val="both"/>
      </w:pPr>
      <w:r>
        <w:rPr>
          <w:color w:val="231F20"/>
          <w:spacing w:val="-7"/>
        </w:rPr>
        <w:t xml:space="preserve">you </w:t>
      </w:r>
      <w:r>
        <w:rPr>
          <w:color w:val="231F20"/>
        </w:rPr>
        <w:t>can say that Soviet domestic and foreign policy was historically necessary,</w:t>
      </w:r>
      <w:r>
        <w:rPr>
          <w:color w:val="231F20"/>
          <w:spacing w:val="-10"/>
        </w:rPr>
        <w:t xml:space="preserve"> </w:t>
      </w:r>
      <w:r>
        <w:rPr>
          <w:color w:val="231F20"/>
        </w:rPr>
        <w:t>but</w:t>
      </w:r>
      <w:r>
        <w:rPr>
          <w:color w:val="231F20"/>
          <w:spacing w:val="-10"/>
        </w:rPr>
        <w:t xml:space="preserve"> </w:t>
      </w:r>
      <w:r>
        <w:rPr>
          <w:color w:val="231F20"/>
        </w:rPr>
        <w:t>you</w:t>
      </w:r>
      <w:r>
        <w:rPr>
          <w:color w:val="231F20"/>
          <w:spacing w:val="-10"/>
        </w:rPr>
        <w:t xml:space="preserve"> </w:t>
      </w:r>
      <w:r>
        <w:rPr>
          <w:color w:val="231F20"/>
        </w:rPr>
        <w:t>can’t</w:t>
      </w:r>
      <w:r>
        <w:rPr>
          <w:color w:val="231F20"/>
          <w:spacing w:val="-10"/>
        </w:rPr>
        <w:t xml:space="preserve"> </w:t>
      </w:r>
      <w:r>
        <w:rPr>
          <w:color w:val="231F20"/>
        </w:rPr>
        <w:t>claim</w:t>
      </w:r>
      <w:r>
        <w:rPr>
          <w:color w:val="231F20"/>
          <w:spacing w:val="-10"/>
        </w:rPr>
        <w:t xml:space="preserve"> </w:t>
      </w:r>
      <w:r>
        <w:rPr>
          <w:color w:val="231F20"/>
        </w:rPr>
        <w:t>that</w:t>
      </w:r>
      <w:r>
        <w:rPr>
          <w:color w:val="231F20"/>
          <w:spacing w:val="-10"/>
        </w:rPr>
        <w:t xml:space="preserve"> </w:t>
      </w:r>
      <w:r>
        <w:rPr>
          <w:color w:val="231F20"/>
        </w:rPr>
        <w:t>makes</w:t>
      </w:r>
      <w:r>
        <w:rPr>
          <w:color w:val="231F20"/>
          <w:spacing w:val="-10"/>
        </w:rPr>
        <w:t xml:space="preserve"> </w:t>
      </w:r>
      <w:r>
        <w:rPr>
          <w:color w:val="231F20"/>
        </w:rPr>
        <w:t>it</w:t>
      </w:r>
      <w:r>
        <w:rPr>
          <w:color w:val="231F20"/>
          <w:spacing w:val="-10"/>
        </w:rPr>
        <w:t xml:space="preserve"> </w:t>
      </w:r>
      <w:r>
        <w:rPr>
          <w:color w:val="231F20"/>
        </w:rPr>
        <w:t>absolute</w:t>
      </w:r>
      <w:r>
        <w:rPr>
          <w:color w:val="231F20"/>
          <w:spacing w:val="-10"/>
        </w:rPr>
        <w:t xml:space="preserve"> </w:t>
      </w:r>
      <w:r>
        <w:rPr>
          <w:color w:val="231F20"/>
        </w:rPr>
        <w:t>as</w:t>
      </w:r>
      <w:r>
        <w:rPr>
          <w:color w:val="231F20"/>
          <w:spacing w:val="-10"/>
        </w:rPr>
        <w:t xml:space="preserve"> </w:t>
      </w:r>
      <w:r>
        <w:rPr>
          <w:color w:val="231F20"/>
        </w:rPr>
        <w:t>the</w:t>
      </w:r>
      <w:r>
        <w:rPr>
          <w:color w:val="231F20"/>
          <w:spacing w:val="-10"/>
        </w:rPr>
        <w:t xml:space="preserve"> </w:t>
      </w:r>
      <w:r>
        <w:rPr>
          <w:color w:val="231F20"/>
        </w:rPr>
        <w:t>class</w:t>
      </w:r>
      <w:r>
        <w:rPr>
          <w:color w:val="231F20"/>
          <w:spacing w:val="-10"/>
        </w:rPr>
        <w:t xml:space="preserve"> </w:t>
      </w:r>
      <w:r>
        <w:rPr>
          <w:color w:val="231F20"/>
        </w:rPr>
        <w:t xml:space="preserve">position. The class position—that is to </w:t>
      </w:r>
      <w:r>
        <w:rPr>
          <w:color w:val="231F20"/>
          <w:spacing w:val="-4"/>
        </w:rPr>
        <w:t xml:space="preserve">say, </w:t>
      </w:r>
      <w:r>
        <w:rPr>
          <w:color w:val="231F20"/>
        </w:rPr>
        <w:t>class interests, class needs, the class obligation to struggle for communism so as to be able to live—is curbed through such politics. I would actually say it is abolished, which is nonsense. Position and movement are mutually exclusive. It is a construct geared towards creating a safety net and self-justification—a</w:t>
      </w:r>
      <w:r>
        <w:rPr>
          <w:color w:val="231F20"/>
          <w:spacing w:val="40"/>
        </w:rPr>
        <w:t xml:space="preserve"> </w:t>
      </w:r>
      <w:r>
        <w:rPr>
          <w:color w:val="231F20"/>
        </w:rPr>
        <w:t>facade.</w:t>
      </w:r>
      <w:r w:rsidR="005C3D1F">
        <w:rPr>
          <w:color w:val="231F20"/>
        </w:rPr>
        <w:t xml:space="preserve"> </w:t>
      </w:r>
      <w:r>
        <w:rPr>
          <w:color w:val="231F20"/>
        </w:rPr>
        <w:t xml:space="preserve">It is a reframing of class politics as economic interests, which is </w:t>
      </w:r>
      <w:r>
        <w:rPr>
          <w:color w:val="231F20"/>
        </w:rPr>
        <w:lastRenderedPageBreak/>
        <w:t>incorrect. Class politics are the result of the confrontation with the politics of capital, and the politics of capital are a function of its economy. I think Poulantzas</w:t>
      </w:r>
      <w:r>
        <w:rPr>
          <w:color w:val="231F20"/>
          <w:position w:val="7"/>
          <w:sz w:val="11"/>
        </w:rPr>
        <w:t xml:space="preserve">1 </w:t>
      </w:r>
      <w:r>
        <w:rPr>
          <w:color w:val="231F20"/>
        </w:rPr>
        <w:t>correctly addressed this when he said that the economic activities of the state are part of its repressive and ideological activities— they are part of the class struggle.</w:t>
      </w:r>
    </w:p>
    <w:p w14:paraId="471A5069" w14:textId="77777777" w:rsidR="002653E8" w:rsidRDefault="003115E3">
      <w:pPr>
        <w:pStyle w:val="a3"/>
        <w:spacing w:line="264" w:lineRule="auto"/>
        <w:ind w:left="1148" w:right="1325" w:firstLine="210"/>
        <w:jc w:val="both"/>
      </w:pPr>
      <w:r>
        <w:rPr>
          <w:color w:val="231F20"/>
        </w:rPr>
        <w:t>Class politics are a struggle against the politics of capital and</w:t>
      </w:r>
      <w:r>
        <w:rPr>
          <w:color w:val="231F20"/>
          <w:spacing w:val="10"/>
        </w:rPr>
        <w:t xml:space="preserve"> </w:t>
      </w:r>
      <w:r>
        <w:rPr>
          <w:color w:val="231F20"/>
        </w:rPr>
        <w:t xml:space="preserve">not against the </w:t>
      </w:r>
      <w:r>
        <w:rPr>
          <w:color w:val="231F20"/>
          <w:spacing w:val="-3"/>
        </w:rPr>
        <w:t xml:space="preserve">economy, </w:t>
      </w:r>
      <w:r>
        <w:rPr>
          <w:color w:val="231F20"/>
        </w:rPr>
        <w:t xml:space="preserve">which, directly or by </w:t>
      </w:r>
      <w:r>
        <w:rPr>
          <w:color w:val="231F20"/>
          <w:spacing w:val="-2"/>
        </w:rPr>
        <w:t xml:space="preserve">way </w:t>
      </w:r>
      <w:r>
        <w:rPr>
          <w:color w:val="231F20"/>
        </w:rPr>
        <w:t xml:space="preserve">of the state, proletarianizes the class. The class position of the proletariat is war. It is a </w:t>
      </w:r>
      <w:r>
        <w:rPr>
          <w:i/>
          <w:color w:val="231F20"/>
        </w:rPr>
        <w:t>contradictio in adjecto</w:t>
      </w:r>
      <w:r>
        <w:rPr>
          <w:color w:val="231F20"/>
        </w:rPr>
        <w:t xml:space="preserve">—it is nonsense. It is nonsense from a class point      of view, because the Soviet Union attempts to promote its state policy under the cover of class struggle. What I am saying is that it is the </w:t>
      </w:r>
      <w:r>
        <w:rPr>
          <w:color w:val="231F20"/>
          <w:spacing w:val="-3"/>
        </w:rPr>
        <w:t>ex</w:t>
      </w:r>
      <w:r>
        <w:rPr>
          <w:color w:val="231F20"/>
        </w:rPr>
        <w:t>pression of Soviet foreign</w:t>
      </w:r>
      <w:r>
        <w:rPr>
          <w:color w:val="231F20"/>
          <w:spacing w:val="42"/>
        </w:rPr>
        <w:t xml:space="preserve"> </w:t>
      </w:r>
      <w:r>
        <w:rPr>
          <w:color w:val="231F20"/>
        </w:rPr>
        <w:t>policy.</w:t>
      </w:r>
    </w:p>
    <w:p w14:paraId="578BAEC0" w14:textId="77777777" w:rsidR="002653E8" w:rsidRDefault="003115E3">
      <w:pPr>
        <w:pStyle w:val="a3"/>
        <w:spacing w:line="264" w:lineRule="auto"/>
        <w:ind w:left="1148" w:right="1325" w:firstLine="210"/>
        <w:jc w:val="both"/>
      </w:pPr>
      <w:r>
        <w:rPr>
          <w:color w:val="231F20"/>
        </w:rPr>
        <w:t xml:space="preserve">Which is to </w:t>
      </w:r>
      <w:r>
        <w:rPr>
          <w:color w:val="231F20"/>
          <w:spacing w:val="-4"/>
        </w:rPr>
        <w:t xml:space="preserve">say, </w:t>
      </w:r>
      <w:r>
        <w:rPr>
          <w:color w:val="231F20"/>
        </w:rPr>
        <w:t xml:space="preserve">they can be allies in the process of liberation, but not protagonists. The protagonist has no position—the protagonist has a goal. The “class position” is always a cudgel. It is always the claim to possess and bestow, by </w:t>
      </w:r>
      <w:r>
        <w:rPr>
          <w:color w:val="231F20"/>
          <w:spacing w:val="-2"/>
        </w:rPr>
        <w:t xml:space="preserve">way </w:t>
      </w:r>
      <w:r>
        <w:rPr>
          <w:color w:val="231F20"/>
        </w:rPr>
        <w:t xml:space="preserve">of the </w:t>
      </w:r>
      <w:r>
        <w:rPr>
          <w:color w:val="231F20"/>
          <w:spacing w:val="1"/>
        </w:rPr>
        <w:t xml:space="preserve">party </w:t>
      </w:r>
      <w:r>
        <w:rPr>
          <w:color w:val="231F20"/>
        </w:rPr>
        <w:t xml:space="preserve">apparatus, a conception of reality different from reality as it is perceived and experienced. Specifically, it is a claim to a class position without class struggle. As you </w:t>
      </w:r>
      <w:r>
        <w:rPr>
          <w:color w:val="231F20"/>
          <w:spacing w:val="-4"/>
        </w:rPr>
        <w:t xml:space="preserve">say,  </w:t>
      </w:r>
      <w:r>
        <w:rPr>
          <w:color w:val="231F20"/>
        </w:rPr>
        <w:t xml:space="preserve">it is  </w:t>
      </w:r>
      <w:r>
        <w:rPr>
          <w:color w:val="231F20"/>
          <w:spacing w:val="-3"/>
        </w:rPr>
        <w:t xml:space="preserve">“on </w:t>
      </w:r>
      <w:r>
        <w:rPr>
          <w:color w:val="231F20"/>
        </w:rPr>
        <w:t>this basis” that we should act, rather than on the basis of how we have been acting up to</w:t>
      </w:r>
      <w:r>
        <w:rPr>
          <w:color w:val="231F20"/>
          <w:spacing w:val="10"/>
        </w:rPr>
        <w:t xml:space="preserve"> </w:t>
      </w:r>
      <w:r>
        <w:rPr>
          <w:color w:val="231F20"/>
          <w:spacing w:val="-5"/>
        </w:rPr>
        <w:t>now.</w:t>
      </w:r>
    </w:p>
    <w:p w14:paraId="24BBD717" w14:textId="77777777" w:rsidR="002653E8" w:rsidRDefault="003115E3">
      <w:pPr>
        <w:pStyle w:val="a3"/>
        <w:spacing w:line="264" w:lineRule="auto"/>
        <w:ind w:left="1147" w:right="1325" w:firstLine="210"/>
        <w:jc w:val="both"/>
      </w:pPr>
      <w:r>
        <w:rPr>
          <w:color w:val="231F20"/>
          <w:spacing w:val="1"/>
        </w:rPr>
        <w:t xml:space="preserve">In </w:t>
      </w:r>
      <w:r>
        <w:rPr>
          <w:color w:val="231F20"/>
          <w:spacing w:val="-4"/>
        </w:rPr>
        <w:t xml:space="preserve">1969, </w:t>
      </w:r>
      <w:r>
        <w:rPr>
          <w:color w:val="231F20"/>
        </w:rPr>
        <w:t xml:space="preserve">it was  the  </w:t>
      </w:r>
      <w:r>
        <w:rPr>
          <w:color w:val="231F20"/>
          <w:spacing w:val="2"/>
        </w:rPr>
        <w:t xml:space="preserve">MLs,  </w:t>
      </w:r>
      <w:r>
        <w:rPr>
          <w:color w:val="231F20"/>
        </w:rPr>
        <w:t xml:space="preserve">the  </w:t>
      </w:r>
      <w:r>
        <w:rPr>
          <w:color w:val="231F20"/>
          <w:spacing w:val="-3"/>
        </w:rPr>
        <w:t xml:space="preserve">KSV,  </w:t>
      </w:r>
      <w:r>
        <w:rPr>
          <w:color w:val="231F20"/>
        </w:rPr>
        <w:t xml:space="preserve">and  the  </w:t>
      </w:r>
      <w:r>
        <w:rPr>
          <w:color w:val="231F20"/>
          <w:spacing w:val="-4"/>
        </w:rPr>
        <w:t xml:space="preserve">AO  </w:t>
      </w:r>
      <w:r>
        <w:rPr>
          <w:color w:val="231F20"/>
        </w:rPr>
        <w:t>groups  who,  with the “class position,” depoliticized the movement in the universities by supporting policies that no student could relate to emotionally. It is a position for the liquidation of the anti-imperialist protest movement. And I think that that is the horrible thing about this concept and what    it represents, the fact that it rules out any emotional identification with proletarian</w:t>
      </w:r>
      <w:r>
        <w:rPr>
          <w:color w:val="231F20"/>
          <w:spacing w:val="10"/>
        </w:rPr>
        <w:t xml:space="preserve"> </w:t>
      </w:r>
      <w:r>
        <w:rPr>
          <w:color w:val="231F20"/>
        </w:rPr>
        <w:t>politics—it</w:t>
      </w:r>
      <w:r>
        <w:rPr>
          <w:color w:val="231F20"/>
          <w:spacing w:val="10"/>
        </w:rPr>
        <w:t xml:space="preserve"> </w:t>
      </w:r>
      <w:r>
        <w:rPr>
          <w:color w:val="231F20"/>
        </w:rPr>
        <w:t>is</w:t>
      </w:r>
      <w:r>
        <w:rPr>
          <w:color w:val="231F20"/>
          <w:spacing w:val="10"/>
        </w:rPr>
        <w:t xml:space="preserve"> </w:t>
      </w:r>
      <w:r>
        <w:rPr>
          <w:color w:val="231F20"/>
        </w:rPr>
        <w:t>a</w:t>
      </w:r>
      <w:r>
        <w:rPr>
          <w:color w:val="231F20"/>
          <w:spacing w:val="10"/>
        </w:rPr>
        <w:t xml:space="preserve"> </w:t>
      </w:r>
      <w:r>
        <w:rPr>
          <w:color w:val="231F20"/>
        </w:rPr>
        <w:t>kind</w:t>
      </w:r>
      <w:r>
        <w:rPr>
          <w:color w:val="231F20"/>
          <w:spacing w:val="10"/>
        </w:rPr>
        <w:t xml:space="preserve"> </w:t>
      </w:r>
      <w:r>
        <w:rPr>
          <w:color w:val="231F20"/>
        </w:rPr>
        <w:t>of</w:t>
      </w:r>
      <w:r>
        <w:rPr>
          <w:color w:val="231F20"/>
          <w:spacing w:val="10"/>
        </w:rPr>
        <w:t xml:space="preserve"> </w:t>
      </w:r>
      <w:r>
        <w:rPr>
          <w:color w:val="231F20"/>
        </w:rPr>
        <w:t>catechism.</w:t>
      </w:r>
    </w:p>
    <w:p w14:paraId="553750F1" w14:textId="77777777" w:rsidR="002653E8" w:rsidRDefault="003115E3">
      <w:pPr>
        <w:pStyle w:val="a3"/>
        <w:spacing w:line="264" w:lineRule="auto"/>
        <w:ind w:left="1147" w:right="1325" w:firstLine="210"/>
        <w:jc w:val="both"/>
      </w:pPr>
      <w:r>
        <w:rPr>
          <w:color w:val="231F20"/>
        </w:rPr>
        <w:t xml:space="preserve">We do </w:t>
      </w:r>
      <w:r>
        <w:rPr>
          <w:i/>
          <w:color w:val="231F20"/>
        </w:rPr>
        <w:t xml:space="preserve">not </w:t>
      </w:r>
      <w:r>
        <w:rPr>
          <w:color w:val="231F20"/>
        </w:rPr>
        <w:t xml:space="preserve">act on the basis of a class position, no matter what its class perspective may be, but on the basis of class </w:t>
      </w:r>
      <w:r>
        <w:rPr>
          <w:i/>
          <w:color w:val="231F20"/>
        </w:rPr>
        <w:t>struggl</w:t>
      </w:r>
      <w:r>
        <w:rPr>
          <w:b/>
          <w:i/>
          <w:color w:val="231F20"/>
        </w:rPr>
        <w:t>e</w:t>
      </w:r>
      <w:r>
        <w:rPr>
          <w:color w:val="231F20"/>
        </w:rPr>
        <w:t xml:space="preserve">, which is the principle of all history, and on the basis of class </w:t>
      </w:r>
      <w:r>
        <w:rPr>
          <w:i/>
          <w:color w:val="231F20"/>
        </w:rPr>
        <w:t xml:space="preserve">war </w:t>
      </w:r>
      <w:r>
        <w:rPr>
          <w:color w:val="231F20"/>
        </w:rPr>
        <w:t>as the reality within which proletarian politics are realized—and, as we have discovered, only in and by war.</w:t>
      </w:r>
    </w:p>
    <w:p w14:paraId="4629013F" w14:textId="77777777" w:rsidR="002653E8" w:rsidRDefault="003115E3">
      <w:pPr>
        <w:pStyle w:val="a3"/>
        <w:spacing w:line="264" w:lineRule="auto"/>
        <w:ind w:left="1147" w:right="1326" w:firstLine="210"/>
        <w:jc w:val="both"/>
      </w:pPr>
      <w:r>
        <w:rPr>
          <w:color w:val="231F20"/>
        </w:rPr>
        <w:t xml:space="preserve">The class position can only be the class </w:t>
      </w:r>
      <w:r>
        <w:rPr>
          <w:b/>
          <w:i/>
          <w:color w:val="231F20"/>
        </w:rPr>
        <w:t xml:space="preserve">movement </w:t>
      </w:r>
      <w:r>
        <w:rPr>
          <w:color w:val="231F20"/>
        </w:rPr>
        <w:t>within the class war, the world proletariat engaged in armed struggle, the true vanguard, the liberation movements.</w:t>
      </w:r>
    </w:p>
    <w:p w14:paraId="2E21A39B" w14:textId="77777777" w:rsidR="002653E8" w:rsidRDefault="002653E8">
      <w:pPr>
        <w:pStyle w:val="a3"/>
      </w:pPr>
    </w:p>
    <w:p w14:paraId="5B8E435B" w14:textId="77777777" w:rsidR="002653E8" w:rsidRDefault="00000000">
      <w:pPr>
        <w:pStyle w:val="a3"/>
        <w:spacing w:before="1"/>
        <w:rPr>
          <w:sz w:val="19"/>
        </w:rPr>
      </w:pPr>
      <w:r>
        <w:rPr>
          <w:noProof w:val="0"/>
        </w:rPr>
        <w:pict w14:anchorId="08322C67">
          <v:line id="_x0000_s2261" style="position:absolute;z-index:8728;mso-wrap-distance-left:0;mso-wrap-distance-right:0;mso-position-horizontal-relative:page" from="57.4pt,13.4pt" to="129.4pt,13.4pt" strokecolor="#231f20" strokeweight=".5pt">
            <w10:wrap type="topAndBottom" anchorx="page"/>
          </v:line>
        </w:pict>
      </w:r>
    </w:p>
    <w:p w14:paraId="7BBACFEC" w14:textId="77777777" w:rsidR="002653E8" w:rsidRDefault="003115E3">
      <w:pPr>
        <w:spacing w:before="53" w:line="254" w:lineRule="auto"/>
        <w:ind w:left="1147" w:right="1580"/>
        <w:rPr>
          <w:sz w:val="16"/>
        </w:rPr>
      </w:pPr>
      <w:r>
        <w:rPr>
          <w:color w:val="231F20"/>
          <w:w w:val="105"/>
          <w:sz w:val="16"/>
        </w:rPr>
        <w:t xml:space="preserve">1 </w:t>
      </w:r>
      <w:bookmarkStart w:id="191" w:name="_Hlk127408141"/>
      <w:r>
        <w:rPr>
          <w:color w:val="231F20"/>
          <w:w w:val="105"/>
          <w:sz w:val="16"/>
        </w:rPr>
        <w:t>Nicos Poulantzas was a Greek Marxist philosopher who was very influential in New Left intellectual circles in the sixties and the seventies.</w:t>
      </w:r>
    </w:p>
    <w:bookmarkEnd w:id="191"/>
    <w:p w14:paraId="48C79715" w14:textId="77777777" w:rsidR="002653E8" w:rsidRDefault="002653E8">
      <w:pPr>
        <w:spacing w:line="254" w:lineRule="auto"/>
        <w:rPr>
          <w:sz w:val="16"/>
        </w:rPr>
        <w:sectPr w:rsidR="002653E8">
          <w:footerReference w:type="even" r:id="rId343"/>
          <w:footerReference w:type="default" r:id="rId344"/>
          <w:pgSz w:w="8640" w:h="12960"/>
          <w:pgMar w:top="1060" w:right="0" w:bottom="1040" w:left="0" w:header="0" w:footer="850" w:gutter="0"/>
          <w:pgNumType w:start="406"/>
          <w:cols w:space="720"/>
        </w:sectPr>
      </w:pPr>
    </w:p>
    <w:p w14:paraId="2BFBCE55" w14:textId="77777777" w:rsidR="002653E8" w:rsidRDefault="003115E3">
      <w:pPr>
        <w:pStyle w:val="a3"/>
        <w:spacing w:before="86" w:line="264" w:lineRule="auto"/>
        <w:ind w:left="1328" w:right="1146" w:firstLine="209"/>
        <w:jc w:val="both"/>
      </w:pPr>
      <w:r>
        <w:rPr>
          <w:color w:val="231F20"/>
          <w:w w:val="105"/>
        </w:rPr>
        <w:lastRenderedPageBreak/>
        <w:t>Or, as Jackson</w:t>
      </w:r>
      <w:r>
        <w:rPr>
          <w:color w:val="231F20"/>
          <w:w w:val="105"/>
          <w:position w:val="7"/>
          <w:sz w:val="11"/>
        </w:rPr>
        <w:t xml:space="preserve">2 </w:t>
      </w:r>
      <w:r>
        <w:rPr>
          <w:color w:val="231F20"/>
          <w:w w:val="105"/>
        </w:rPr>
        <w:t>said, “connections, connections, connections.” As such: movement, interaction, communication, coordination, common struggle—strategy.</w:t>
      </w:r>
    </w:p>
    <w:p w14:paraId="76275437" w14:textId="77777777" w:rsidR="002653E8" w:rsidRDefault="003115E3">
      <w:pPr>
        <w:pStyle w:val="a3"/>
        <w:spacing w:line="264" w:lineRule="auto"/>
        <w:ind w:left="1327" w:right="1145" w:firstLine="210"/>
        <w:jc w:val="both"/>
      </w:pPr>
      <w:r>
        <w:rPr>
          <w:color w:val="231F20"/>
          <w:spacing w:val="1"/>
          <w:w w:val="105"/>
        </w:rPr>
        <w:t>All</w:t>
      </w:r>
      <w:r>
        <w:rPr>
          <w:color w:val="231F20"/>
          <w:spacing w:val="-15"/>
          <w:w w:val="105"/>
        </w:rPr>
        <w:t xml:space="preserve"> </w:t>
      </w:r>
      <w:r>
        <w:rPr>
          <w:color w:val="231F20"/>
          <w:w w:val="105"/>
        </w:rPr>
        <w:t>of</w:t>
      </w:r>
      <w:r>
        <w:rPr>
          <w:color w:val="231F20"/>
          <w:spacing w:val="-15"/>
          <w:w w:val="105"/>
        </w:rPr>
        <w:t xml:space="preserve"> </w:t>
      </w:r>
      <w:r>
        <w:rPr>
          <w:color w:val="231F20"/>
          <w:w w:val="105"/>
        </w:rPr>
        <w:t>this</w:t>
      </w:r>
      <w:r>
        <w:rPr>
          <w:color w:val="231F20"/>
          <w:spacing w:val="-15"/>
          <w:w w:val="105"/>
        </w:rPr>
        <w:t xml:space="preserve"> </w:t>
      </w:r>
      <w:r>
        <w:rPr>
          <w:color w:val="231F20"/>
          <w:w w:val="105"/>
        </w:rPr>
        <w:t>is</w:t>
      </w:r>
      <w:r>
        <w:rPr>
          <w:color w:val="231F20"/>
          <w:spacing w:val="-15"/>
          <w:w w:val="105"/>
        </w:rPr>
        <w:t xml:space="preserve"> </w:t>
      </w:r>
      <w:r>
        <w:rPr>
          <w:color w:val="231F20"/>
          <w:w w:val="105"/>
        </w:rPr>
        <w:t>paralyzed</w:t>
      </w:r>
      <w:r>
        <w:rPr>
          <w:color w:val="231F20"/>
          <w:spacing w:val="-15"/>
          <w:w w:val="105"/>
        </w:rPr>
        <w:t xml:space="preserve"> </w:t>
      </w:r>
      <w:r>
        <w:rPr>
          <w:color w:val="231F20"/>
          <w:w w:val="105"/>
        </w:rPr>
        <w:t>by</w:t>
      </w:r>
      <w:r>
        <w:rPr>
          <w:color w:val="231F20"/>
          <w:spacing w:val="-15"/>
          <w:w w:val="105"/>
        </w:rPr>
        <w:t xml:space="preserve"> </w:t>
      </w:r>
      <w:r>
        <w:rPr>
          <w:color w:val="231F20"/>
          <w:w w:val="105"/>
        </w:rPr>
        <w:t>the</w:t>
      </w:r>
      <w:r>
        <w:rPr>
          <w:color w:val="231F20"/>
          <w:spacing w:val="-15"/>
          <w:w w:val="105"/>
        </w:rPr>
        <w:t xml:space="preserve"> </w:t>
      </w:r>
      <w:r>
        <w:rPr>
          <w:color w:val="231F20"/>
          <w:w w:val="105"/>
        </w:rPr>
        <w:t>concept</w:t>
      </w:r>
      <w:r>
        <w:rPr>
          <w:color w:val="231F20"/>
          <w:spacing w:val="-15"/>
          <w:w w:val="105"/>
        </w:rPr>
        <w:t xml:space="preserve"> </w:t>
      </w:r>
      <w:r>
        <w:rPr>
          <w:color w:val="231F20"/>
          <w:w w:val="105"/>
        </w:rPr>
        <w:t>of</w:t>
      </w:r>
      <w:r>
        <w:rPr>
          <w:color w:val="231F20"/>
          <w:spacing w:val="-15"/>
          <w:w w:val="105"/>
        </w:rPr>
        <w:t xml:space="preserve"> </w:t>
      </w:r>
      <w:r>
        <w:rPr>
          <w:color w:val="231F20"/>
          <w:w w:val="105"/>
        </w:rPr>
        <w:t>“class</w:t>
      </w:r>
      <w:r>
        <w:rPr>
          <w:color w:val="231F20"/>
          <w:spacing w:val="-15"/>
          <w:w w:val="105"/>
        </w:rPr>
        <w:t xml:space="preserve"> </w:t>
      </w:r>
      <w:r>
        <w:rPr>
          <w:color w:val="231F20"/>
          <w:w w:val="105"/>
        </w:rPr>
        <w:t>position”—and</w:t>
      </w:r>
      <w:r>
        <w:rPr>
          <w:color w:val="231F20"/>
          <w:spacing w:val="-15"/>
          <w:w w:val="105"/>
        </w:rPr>
        <w:t xml:space="preserve"> </w:t>
      </w:r>
      <w:r>
        <w:rPr>
          <w:color w:val="231F20"/>
          <w:w w:val="105"/>
        </w:rPr>
        <w:t>that</w:t>
      </w:r>
      <w:r>
        <w:rPr>
          <w:color w:val="231F20"/>
          <w:spacing w:val="-15"/>
          <w:w w:val="105"/>
        </w:rPr>
        <w:t xml:space="preserve"> </w:t>
      </w:r>
      <w:r>
        <w:rPr>
          <w:color w:val="231F20"/>
          <w:w w:val="105"/>
        </w:rPr>
        <w:t>is how</w:t>
      </w:r>
      <w:r>
        <w:rPr>
          <w:color w:val="231F20"/>
          <w:spacing w:val="-6"/>
          <w:w w:val="105"/>
        </w:rPr>
        <w:t xml:space="preserve"> </w:t>
      </w:r>
      <w:r>
        <w:rPr>
          <w:color w:val="231F20"/>
          <w:w w:val="105"/>
        </w:rPr>
        <w:t>you</w:t>
      </w:r>
      <w:r>
        <w:rPr>
          <w:color w:val="231F20"/>
          <w:spacing w:val="-6"/>
          <w:w w:val="105"/>
        </w:rPr>
        <w:t xml:space="preserve"> </w:t>
      </w:r>
      <w:r>
        <w:rPr>
          <w:color w:val="231F20"/>
          <w:w w:val="105"/>
        </w:rPr>
        <w:t>used</w:t>
      </w:r>
      <w:r>
        <w:rPr>
          <w:color w:val="231F20"/>
          <w:spacing w:val="-6"/>
          <w:w w:val="105"/>
        </w:rPr>
        <w:t xml:space="preserve"> </w:t>
      </w:r>
      <w:r>
        <w:rPr>
          <w:color w:val="231F20"/>
          <w:w w:val="105"/>
        </w:rPr>
        <w:t>it</w:t>
      </w:r>
      <w:r>
        <w:rPr>
          <w:color w:val="231F20"/>
          <w:spacing w:val="-6"/>
          <w:w w:val="105"/>
        </w:rPr>
        <w:t xml:space="preserve"> </w:t>
      </w:r>
      <w:r>
        <w:rPr>
          <w:color w:val="231F20"/>
          <w:w w:val="105"/>
        </w:rPr>
        <w:t>when</w:t>
      </w:r>
      <w:r>
        <w:rPr>
          <w:color w:val="231F20"/>
          <w:spacing w:val="-6"/>
          <w:w w:val="105"/>
        </w:rPr>
        <w:t xml:space="preserve"> </w:t>
      </w:r>
      <w:r>
        <w:rPr>
          <w:color w:val="231F20"/>
          <w:w w:val="105"/>
        </w:rPr>
        <w:t>you</w:t>
      </w:r>
      <w:r>
        <w:rPr>
          <w:color w:val="231F20"/>
          <w:spacing w:val="-6"/>
          <w:w w:val="105"/>
        </w:rPr>
        <w:t xml:space="preserve"> </w:t>
      </w:r>
      <w:r>
        <w:rPr>
          <w:color w:val="231F20"/>
          <w:w w:val="105"/>
        </w:rPr>
        <w:t>attempted</w:t>
      </w:r>
      <w:r>
        <w:rPr>
          <w:color w:val="231F20"/>
          <w:spacing w:val="-6"/>
          <w:w w:val="105"/>
        </w:rPr>
        <w:t xml:space="preserve"> </w:t>
      </w:r>
      <w:r>
        <w:rPr>
          <w:color w:val="231F20"/>
          <w:w w:val="105"/>
        </w:rPr>
        <w:t>to</w:t>
      </w:r>
      <w:r>
        <w:rPr>
          <w:color w:val="231F20"/>
          <w:spacing w:val="-6"/>
          <w:w w:val="105"/>
        </w:rPr>
        <w:t xml:space="preserve"> </w:t>
      </w:r>
      <w:r>
        <w:rPr>
          <w:color w:val="231F20"/>
          <w:w w:val="105"/>
        </w:rPr>
        <w:t>win</w:t>
      </w:r>
      <w:r>
        <w:rPr>
          <w:color w:val="231F20"/>
          <w:spacing w:val="-6"/>
          <w:w w:val="105"/>
        </w:rPr>
        <w:t xml:space="preserve"> </w:t>
      </w:r>
      <w:r>
        <w:rPr>
          <w:color w:val="231F20"/>
          <w:w w:val="105"/>
        </w:rPr>
        <w:t>over</w:t>
      </w:r>
      <w:r>
        <w:rPr>
          <w:color w:val="231F20"/>
          <w:spacing w:val="-6"/>
          <w:w w:val="105"/>
        </w:rPr>
        <w:t xml:space="preserve"> </w:t>
      </w:r>
      <w:r>
        <w:rPr>
          <w:color w:val="231F20"/>
          <w:w w:val="105"/>
        </w:rPr>
        <w:t>Ing.</w:t>
      </w:r>
      <w:r>
        <w:rPr>
          <w:color w:val="231F20"/>
          <w:w w:val="105"/>
          <w:position w:val="7"/>
          <w:sz w:val="11"/>
        </w:rPr>
        <w:t>3</w:t>
      </w:r>
      <w:r>
        <w:rPr>
          <w:color w:val="231F20"/>
          <w:spacing w:val="-2"/>
          <w:w w:val="105"/>
          <w:position w:val="7"/>
          <w:sz w:val="11"/>
        </w:rPr>
        <w:t xml:space="preserve"> </w:t>
      </w:r>
      <w:r>
        <w:rPr>
          <w:color w:val="231F20"/>
          <w:spacing w:val="-7"/>
          <w:w w:val="105"/>
        </w:rPr>
        <w:t>you</w:t>
      </w:r>
      <w:r>
        <w:rPr>
          <w:color w:val="231F20"/>
          <w:spacing w:val="-6"/>
          <w:w w:val="105"/>
        </w:rPr>
        <w:t xml:space="preserve"> </w:t>
      </w:r>
      <w:r>
        <w:rPr>
          <w:color w:val="231F20"/>
          <w:w w:val="105"/>
        </w:rPr>
        <w:t>must</w:t>
      </w:r>
      <w:r>
        <w:rPr>
          <w:color w:val="231F20"/>
          <w:spacing w:val="-6"/>
          <w:w w:val="105"/>
        </w:rPr>
        <w:t xml:space="preserve"> </w:t>
      </w:r>
      <w:r>
        <w:rPr>
          <w:color w:val="231F20"/>
          <w:w w:val="105"/>
        </w:rPr>
        <w:t>know by</w:t>
      </w:r>
      <w:r>
        <w:rPr>
          <w:color w:val="231F20"/>
          <w:spacing w:val="-21"/>
          <w:w w:val="105"/>
        </w:rPr>
        <w:t xml:space="preserve"> </w:t>
      </w:r>
      <w:r>
        <w:rPr>
          <w:color w:val="231F20"/>
          <w:w w:val="105"/>
        </w:rPr>
        <w:t>now</w:t>
      </w:r>
      <w:r>
        <w:rPr>
          <w:color w:val="231F20"/>
          <w:spacing w:val="-21"/>
          <w:w w:val="105"/>
        </w:rPr>
        <w:t xml:space="preserve"> </w:t>
      </w:r>
      <w:r>
        <w:rPr>
          <w:color w:val="231F20"/>
          <w:w w:val="105"/>
        </w:rPr>
        <w:t>that</w:t>
      </w:r>
      <w:r>
        <w:rPr>
          <w:color w:val="231F20"/>
          <w:spacing w:val="-21"/>
          <w:w w:val="105"/>
        </w:rPr>
        <w:t xml:space="preserve"> </w:t>
      </w:r>
      <w:r>
        <w:rPr>
          <w:color w:val="231F20"/>
          <w:w w:val="105"/>
        </w:rPr>
        <w:t>there</w:t>
      </w:r>
      <w:r>
        <w:rPr>
          <w:color w:val="231F20"/>
          <w:spacing w:val="-21"/>
          <w:w w:val="105"/>
        </w:rPr>
        <w:t xml:space="preserve"> </w:t>
      </w:r>
      <w:r>
        <w:rPr>
          <w:color w:val="231F20"/>
          <w:w w:val="105"/>
        </w:rPr>
        <w:t>is</w:t>
      </w:r>
      <w:r>
        <w:rPr>
          <w:color w:val="231F20"/>
          <w:spacing w:val="-21"/>
          <w:w w:val="105"/>
        </w:rPr>
        <w:t xml:space="preserve"> </w:t>
      </w:r>
      <w:r>
        <w:rPr>
          <w:color w:val="231F20"/>
          <w:w w:val="105"/>
        </w:rPr>
        <w:t>not</w:t>
      </w:r>
      <w:r>
        <w:rPr>
          <w:color w:val="231F20"/>
          <w:spacing w:val="-21"/>
          <w:w w:val="105"/>
        </w:rPr>
        <w:t xml:space="preserve"> </w:t>
      </w:r>
      <w:r>
        <w:rPr>
          <w:color w:val="231F20"/>
          <w:w w:val="105"/>
        </w:rPr>
        <w:t>much</w:t>
      </w:r>
      <w:r>
        <w:rPr>
          <w:color w:val="231F20"/>
          <w:spacing w:val="-21"/>
          <w:w w:val="105"/>
        </w:rPr>
        <w:t xml:space="preserve"> </w:t>
      </w:r>
      <w:r>
        <w:rPr>
          <w:color w:val="231F20"/>
          <w:w w:val="105"/>
        </w:rPr>
        <w:t>worse</w:t>
      </w:r>
      <w:r>
        <w:rPr>
          <w:color w:val="231F20"/>
          <w:spacing w:val="-21"/>
          <w:w w:val="105"/>
        </w:rPr>
        <w:t xml:space="preserve"> </w:t>
      </w:r>
      <w:r>
        <w:rPr>
          <w:color w:val="231F20"/>
          <w:w w:val="105"/>
        </w:rPr>
        <w:t>than</w:t>
      </w:r>
      <w:r>
        <w:rPr>
          <w:color w:val="231F20"/>
          <w:spacing w:val="-21"/>
          <w:w w:val="105"/>
        </w:rPr>
        <w:t xml:space="preserve"> </w:t>
      </w:r>
      <w:r>
        <w:rPr>
          <w:color w:val="231F20"/>
          <w:w w:val="105"/>
        </w:rPr>
        <w:t>being</w:t>
      </w:r>
      <w:r>
        <w:rPr>
          <w:color w:val="231F20"/>
          <w:spacing w:val="-21"/>
          <w:w w:val="105"/>
        </w:rPr>
        <w:t xml:space="preserve"> </w:t>
      </w:r>
      <w:r>
        <w:rPr>
          <w:color w:val="231F20"/>
          <w:w w:val="105"/>
        </w:rPr>
        <w:t>fed</w:t>
      </w:r>
      <w:r>
        <w:rPr>
          <w:color w:val="231F20"/>
          <w:spacing w:val="-21"/>
          <w:w w:val="105"/>
        </w:rPr>
        <w:t xml:space="preserve"> </w:t>
      </w:r>
      <w:r>
        <w:rPr>
          <w:color w:val="231F20"/>
          <w:w w:val="105"/>
        </w:rPr>
        <w:t>complete</w:t>
      </w:r>
      <w:r>
        <w:rPr>
          <w:color w:val="231F20"/>
          <w:spacing w:val="-21"/>
          <w:w w:val="105"/>
        </w:rPr>
        <w:t xml:space="preserve"> </w:t>
      </w:r>
      <w:r>
        <w:rPr>
          <w:color w:val="231F20"/>
          <w:w w:val="105"/>
        </w:rPr>
        <w:t>nonsense</w:t>
      </w:r>
    </w:p>
    <w:p w14:paraId="5DD6AACE" w14:textId="77777777" w:rsidR="002653E8" w:rsidRDefault="003115E3">
      <w:pPr>
        <w:pStyle w:val="a3"/>
        <w:spacing w:line="264" w:lineRule="auto"/>
        <w:ind w:left="1537" w:right="1145"/>
      </w:pPr>
      <w:r>
        <w:rPr>
          <w:color w:val="231F20"/>
        </w:rPr>
        <w:t>Which is all to say, the class position is a triumphalist position. Certainly,   there   is   also   something   heroic   about   it.   However,</w:t>
      </w:r>
    </w:p>
    <w:p w14:paraId="0F637F2D" w14:textId="77777777" w:rsidR="002653E8" w:rsidRDefault="003115E3">
      <w:pPr>
        <w:pStyle w:val="a3"/>
        <w:spacing w:line="264" w:lineRule="auto"/>
        <w:ind w:left="1327" w:right="1580"/>
      </w:pPr>
      <w:r>
        <w:rPr>
          <w:color w:val="231F20"/>
        </w:rPr>
        <w:t>we’re not concerned with that. We are, instead, concerned with its consequences.</w:t>
      </w:r>
    </w:p>
    <w:p w14:paraId="771288C2" w14:textId="77777777" w:rsidR="002653E8" w:rsidRDefault="003115E3">
      <w:pPr>
        <w:pStyle w:val="a3"/>
        <w:spacing w:line="264" w:lineRule="auto"/>
        <w:ind w:left="1327" w:right="1146" w:firstLine="210"/>
        <w:jc w:val="both"/>
      </w:pPr>
      <w:r>
        <w:rPr>
          <w:color w:val="231F20"/>
        </w:rPr>
        <w:t>But that’s enough. I have the impression that I’m talking to a wall,  and that is not the point of all of this. The goal is to have you climb  down from your</w:t>
      </w:r>
      <w:r>
        <w:rPr>
          <w:color w:val="231F20"/>
          <w:spacing w:val="32"/>
        </w:rPr>
        <w:t xml:space="preserve"> </w:t>
      </w:r>
      <w:r>
        <w:rPr>
          <w:color w:val="231F20"/>
        </w:rPr>
        <w:t>pedestal.</w:t>
      </w:r>
    </w:p>
    <w:p w14:paraId="1D156926" w14:textId="77777777" w:rsidR="002653E8" w:rsidRDefault="003115E3">
      <w:pPr>
        <w:pStyle w:val="a3"/>
        <w:spacing w:line="231" w:lineRule="exact"/>
        <w:ind w:left="1537"/>
      </w:pPr>
      <w:r>
        <w:rPr>
          <w:color w:val="231F20"/>
          <w:w w:val="105"/>
        </w:rPr>
        <w:t>So, come on down. you’re boasting.</w:t>
      </w:r>
    </w:p>
    <w:p w14:paraId="596F9538" w14:textId="77777777" w:rsidR="002653E8" w:rsidRDefault="003115E3">
      <w:pPr>
        <w:pStyle w:val="a3"/>
        <w:spacing w:before="139" w:line="261" w:lineRule="auto"/>
        <w:ind w:left="6184" w:right="1145" w:hanging="103"/>
        <w:jc w:val="right"/>
      </w:pPr>
      <w:r>
        <w:rPr>
          <w:color w:val="231F20"/>
          <w:w w:val="105"/>
        </w:rPr>
        <w:t>Ulrike Meinhof</w:t>
      </w:r>
      <w:r>
        <w:rPr>
          <w:color w:val="231F20"/>
          <w:w w:val="109"/>
        </w:rPr>
        <w:t xml:space="preserve"> </w:t>
      </w:r>
      <w:r>
        <w:rPr>
          <w:color w:val="231F20"/>
          <w:w w:val="105"/>
        </w:rPr>
        <w:t>April 13, 1976</w:t>
      </w:r>
    </w:p>
    <w:p w14:paraId="28BC6AF3" w14:textId="77777777" w:rsidR="002653E8" w:rsidRDefault="002653E8">
      <w:pPr>
        <w:pStyle w:val="a3"/>
      </w:pPr>
    </w:p>
    <w:p w14:paraId="5F5FAB71" w14:textId="77777777" w:rsidR="002653E8" w:rsidRDefault="002653E8">
      <w:pPr>
        <w:pStyle w:val="a3"/>
      </w:pPr>
    </w:p>
    <w:p w14:paraId="7440EC9B" w14:textId="77777777" w:rsidR="002653E8" w:rsidRDefault="002653E8">
      <w:pPr>
        <w:pStyle w:val="a3"/>
      </w:pPr>
    </w:p>
    <w:p w14:paraId="79C1FF59" w14:textId="77777777" w:rsidR="002653E8" w:rsidRDefault="002653E8">
      <w:pPr>
        <w:pStyle w:val="a3"/>
      </w:pPr>
    </w:p>
    <w:p w14:paraId="226E0214" w14:textId="77777777" w:rsidR="002653E8" w:rsidRDefault="002653E8">
      <w:pPr>
        <w:pStyle w:val="a3"/>
      </w:pPr>
    </w:p>
    <w:p w14:paraId="71527FC5" w14:textId="77777777" w:rsidR="002653E8" w:rsidRDefault="002653E8">
      <w:pPr>
        <w:pStyle w:val="a3"/>
      </w:pPr>
    </w:p>
    <w:p w14:paraId="04FCA5DA" w14:textId="77777777" w:rsidR="002653E8" w:rsidRDefault="002653E8">
      <w:pPr>
        <w:pStyle w:val="a3"/>
      </w:pPr>
    </w:p>
    <w:p w14:paraId="6B734448" w14:textId="77777777" w:rsidR="002653E8" w:rsidRDefault="002653E8">
      <w:pPr>
        <w:pStyle w:val="a3"/>
      </w:pPr>
    </w:p>
    <w:p w14:paraId="400F5ED0" w14:textId="77777777" w:rsidR="002653E8" w:rsidRDefault="002653E8">
      <w:pPr>
        <w:pStyle w:val="a3"/>
      </w:pPr>
    </w:p>
    <w:p w14:paraId="28B537B1" w14:textId="77777777" w:rsidR="002653E8" w:rsidRDefault="002653E8">
      <w:pPr>
        <w:pStyle w:val="a3"/>
      </w:pPr>
    </w:p>
    <w:p w14:paraId="4B264AE1" w14:textId="77777777" w:rsidR="002653E8" w:rsidRDefault="002653E8">
      <w:pPr>
        <w:pStyle w:val="a3"/>
      </w:pPr>
    </w:p>
    <w:p w14:paraId="171381D1" w14:textId="77777777" w:rsidR="002653E8" w:rsidRDefault="002653E8">
      <w:pPr>
        <w:pStyle w:val="a3"/>
      </w:pPr>
    </w:p>
    <w:p w14:paraId="6267EDDD" w14:textId="77777777" w:rsidR="002653E8" w:rsidRDefault="002653E8">
      <w:pPr>
        <w:pStyle w:val="a3"/>
      </w:pPr>
    </w:p>
    <w:p w14:paraId="481D274E" w14:textId="77777777" w:rsidR="002653E8" w:rsidRDefault="002653E8">
      <w:pPr>
        <w:pStyle w:val="a3"/>
      </w:pPr>
    </w:p>
    <w:p w14:paraId="2179A405" w14:textId="77777777" w:rsidR="002653E8" w:rsidRDefault="002653E8">
      <w:pPr>
        <w:pStyle w:val="a3"/>
      </w:pPr>
    </w:p>
    <w:p w14:paraId="52960EA2" w14:textId="77777777" w:rsidR="002653E8" w:rsidRDefault="002653E8">
      <w:pPr>
        <w:pStyle w:val="a3"/>
      </w:pPr>
    </w:p>
    <w:p w14:paraId="61BC4D3E" w14:textId="77777777" w:rsidR="002653E8" w:rsidRDefault="002653E8">
      <w:pPr>
        <w:pStyle w:val="a3"/>
      </w:pPr>
    </w:p>
    <w:p w14:paraId="0FEC2F0C" w14:textId="77777777" w:rsidR="002653E8" w:rsidRDefault="002653E8">
      <w:pPr>
        <w:pStyle w:val="a3"/>
      </w:pPr>
    </w:p>
    <w:p w14:paraId="72D5ABEF" w14:textId="77777777" w:rsidR="002653E8" w:rsidRDefault="00000000">
      <w:pPr>
        <w:pStyle w:val="a3"/>
        <w:spacing w:before="6"/>
        <w:rPr>
          <w:sz w:val="21"/>
        </w:rPr>
      </w:pPr>
      <w:r>
        <w:rPr>
          <w:noProof w:val="0"/>
        </w:rPr>
        <w:pict w14:anchorId="07DE1A40">
          <v:line id="_x0000_s2260" style="position:absolute;z-index:8752;mso-wrap-distance-left:0;mso-wrap-distance-right:0;mso-position-horizontal-relative:page" from="66.4pt,14.85pt" to="138.4pt,14.85pt" strokecolor="#231f20" strokeweight=".5pt">
            <w10:wrap type="topAndBottom" anchorx="page"/>
          </v:line>
        </w:pict>
      </w:r>
    </w:p>
    <w:p w14:paraId="0A31E218" w14:textId="77777777" w:rsidR="002653E8" w:rsidRDefault="003115E3">
      <w:pPr>
        <w:pStyle w:val="a4"/>
        <w:numPr>
          <w:ilvl w:val="0"/>
          <w:numId w:val="12"/>
        </w:numPr>
        <w:tabs>
          <w:tab w:val="left" w:pos="1467"/>
        </w:tabs>
        <w:spacing w:before="53"/>
        <w:ind w:firstLine="0"/>
        <w:rPr>
          <w:sz w:val="16"/>
        </w:rPr>
      </w:pPr>
      <w:r>
        <w:rPr>
          <w:color w:val="231F20"/>
          <w:w w:val="105"/>
          <w:sz w:val="16"/>
        </w:rPr>
        <w:t>George</w:t>
      </w:r>
      <w:r>
        <w:rPr>
          <w:color w:val="231F20"/>
          <w:spacing w:val="7"/>
          <w:w w:val="105"/>
          <w:sz w:val="16"/>
        </w:rPr>
        <w:t xml:space="preserve"> </w:t>
      </w:r>
      <w:r>
        <w:rPr>
          <w:color w:val="231F20"/>
          <w:w w:val="105"/>
          <w:sz w:val="16"/>
        </w:rPr>
        <w:t>Jackson</w:t>
      </w:r>
      <w:r>
        <w:rPr>
          <w:color w:val="231F20"/>
          <w:spacing w:val="7"/>
          <w:w w:val="105"/>
          <w:sz w:val="16"/>
        </w:rPr>
        <w:t xml:space="preserve"> </w:t>
      </w:r>
      <w:r>
        <w:rPr>
          <w:color w:val="231F20"/>
          <w:w w:val="105"/>
          <w:sz w:val="16"/>
        </w:rPr>
        <w:t>was</w:t>
      </w:r>
      <w:r>
        <w:rPr>
          <w:color w:val="231F20"/>
          <w:spacing w:val="7"/>
          <w:w w:val="105"/>
          <w:sz w:val="16"/>
        </w:rPr>
        <w:t xml:space="preserve"> </w:t>
      </w:r>
      <w:r>
        <w:rPr>
          <w:color w:val="231F20"/>
          <w:w w:val="105"/>
          <w:sz w:val="16"/>
        </w:rPr>
        <w:t>a</w:t>
      </w:r>
      <w:r>
        <w:rPr>
          <w:color w:val="231F20"/>
          <w:spacing w:val="7"/>
          <w:w w:val="105"/>
          <w:sz w:val="16"/>
        </w:rPr>
        <w:t xml:space="preserve"> </w:t>
      </w:r>
      <w:r>
        <w:rPr>
          <w:color w:val="231F20"/>
          <w:w w:val="105"/>
          <w:sz w:val="16"/>
        </w:rPr>
        <w:t>young</w:t>
      </w:r>
      <w:r>
        <w:rPr>
          <w:color w:val="231F20"/>
          <w:spacing w:val="7"/>
          <w:w w:val="105"/>
          <w:sz w:val="16"/>
        </w:rPr>
        <w:t xml:space="preserve"> </w:t>
      </w:r>
      <w:r>
        <w:rPr>
          <w:color w:val="231F20"/>
          <w:w w:val="105"/>
          <w:sz w:val="16"/>
        </w:rPr>
        <w:t>Black</w:t>
      </w:r>
      <w:r>
        <w:rPr>
          <w:color w:val="231F20"/>
          <w:spacing w:val="7"/>
          <w:w w:val="105"/>
          <w:sz w:val="16"/>
        </w:rPr>
        <w:t xml:space="preserve"> </w:t>
      </w:r>
      <w:r>
        <w:rPr>
          <w:color w:val="231F20"/>
          <w:w w:val="105"/>
          <w:sz w:val="16"/>
        </w:rPr>
        <w:t>social</w:t>
      </w:r>
      <w:r>
        <w:rPr>
          <w:color w:val="231F20"/>
          <w:spacing w:val="7"/>
          <w:w w:val="105"/>
          <w:sz w:val="16"/>
        </w:rPr>
        <w:t xml:space="preserve"> </w:t>
      </w:r>
      <w:r>
        <w:rPr>
          <w:color w:val="231F20"/>
          <w:w w:val="105"/>
          <w:sz w:val="16"/>
        </w:rPr>
        <w:t>prisoner</w:t>
      </w:r>
      <w:r>
        <w:rPr>
          <w:color w:val="231F20"/>
          <w:spacing w:val="7"/>
          <w:w w:val="105"/>
          <w:sz w:val="16"/>
        </w:rPr>
        <w:t xml:space="preserve"> </w:t>
      </w:r>
      <w:r>
        <w:rPr>
          <w:color w:val="231F20"/>
          <w:w w:val="105"/>
          <w:sz w:val="16"/>
        </w:rPr>
        <w:t>politicized</w:t>
      </w:r>
      <w:r>
        <w:rPr>
          <w:color w:val="231F20"/>
          <w:spacing w:val="7"/>
          <w:w w:val="105"/>
          <w:sz w:val="16"/>
        </w:rPr>
        <w:t xml:space="preserve"> </w:t>
      </w:r>
      <w:r>
        <w:rPr>
          <w:color w:val="231F20"/>
          <w:w w:val="105"/>
          <w:sz w:val="16"/>
        </w:rPr>
        <w:t>in</w:t>
      </w:r>
      <w:r>
        <w:rPr>
          <w:color w:val="231F20"/>
          <w:spacing w:val="7"/>
          <w:w w:val="105"/>
          <w:sz w:val="16"/>
        </w:rPr>
        <w:t xml:space="preserve"> </w:t>
      </w:r>
      <w:r>
        <w:rPr>
          <w:color w:val="231F20"/>
          <w:w w:val="105"/>
          <w:sz w:val="16"/>
        </w:rPr>
        <w:t>prison</w:t>
      </w:r>
      <w:r>
        <w:rPr>
          <w:color w:val="231F20"/>
          <w:spacing w:val="7"/>
          <w:w w:val="105"/>
          <w:sz w:val="16"/>
        </w:rPr>
        <w:t xml:space="preserve"> </w:t>
      </w:r>
      <w:r>
        <w:rPr>
          <w:color w:val="231F20"/>
          <w:w w:val="105"/>
          <w:sz w:val="16"/>
        </w:rPr>
        <w:t>in</w:t>
      </w:r>
      <w:r>
        <w:rPr>
          <w:color w:val="231F20"/>
          <w:spacing w:val="7"/>
          <w:w w:val="105"/>
          <w:sz w:val="16"/>
        </w:rPr>
        <w:t xml:space="preserve"> </w:t>
      </w:r>
      <w:r>
        <w:rPr>
          <w:color w:val="231F20"/>
          <w:w w:val="105"/>
          <w:sz w:val="16"/>
        </w:rPr>
        <w:t>the</w:t>
      </w:r>
    </w:p>
    <w:p w14:paraId="36BB6658" w14:textId="77777777" w:rsidR="002653E8" w:rsidRDefault="003115E3">
      <w:pPr>
        <w:spacing w:before="11" w:line="254" w:lineRule="auto"/>
        <w:ind w:left="1327" w:right="1325"/>
        <w:rPr>
          <w:sz w:val="16"/>
        </w:rPr>
      </w:pPr>
      <w:r>
        <w:rPr>
          <w:color w:val="231F20"/>
          <w:spacing w:val="1"/>
          <w:w w:val="105"/>
          <w:sz w:val="16"/>
        </w:rPr>
        <w:t xml:space="preserve">U.S. </w:t>
      </w:r>
      <w:r>
        <w:rPr>
          <w:color w:val="231F20"/>
          <w:w w:val="105"/>
          <w:sz w:val="16"/>
        </w:rPr>
        <w:t xml:space="preserve">in the late 60s. He was the author of </w:t>
      </w:r>
      <w:r>
        <w:rPr>
          <w:i/>
          <w:color w:val="231F20"/>
          <w:w w:val="105"/>
          <w:sz w:val="16"/>
        </w:rPr>
        <w:t xml:space="preserve">Blood in My Eye, </w:t>
      </w:r>
      <w:r>
        <w:rPr>
          <w:color w:val="231F20"/>
          <w:w w:val="105"/>
          <w:sz w:val="16"/>
        </w:rPr>
        <w:t>a strategic manual for</w:t>
      </w:r>
      <w:r>
        <w:rPr>
          <w:color w:val="231F20"/>
          <w:spacing w:val="35"/>
          <w:w w:val="105"/>
          <w:sz w:val="16"/>
        </w:rPr>
        <w:t xml:space="preserve"> </w:t>
      </w:r>
      <w:r>
        <w:rPr>
          <w:color w:val="231F20"/>
          <w:w w:val="105"/>
          <w:sz w:val="16"/>
        </w:rPr>
        <w:t xml:space="preserve">Black revolution, and </w:t>
      </w:r>
      <w:r>
        <w:rPr>
          <w:i/>
          <w:color w:val="231F20"/>
          <w:w w:val="105"/>
          <w:sz w:val="16"/>
        </w:rPr>
        <w:t xml:space="preserve">Soledad Brother, </w:t>
      </w:r>
      <w:r>
        <w:rPr>
          <w:color w:val="231F20"/>
          <w:w w:val="105"/>
          <w:sz w:val="16"/>
        </w:rPr>
        <w:t xml:space="preserve">a collection of writings consisting primarily   of letters. He joined the Black Panther </w:t>
      </w:r>
      <w:r>
        <w:rPr>
          <w:color w:val="231F20"/>
          <w:spacing w:val="1"/>
          <w:w w:val="105"/>
          <w:sz w:val="16"/>
        </w:rPr>
        <w:t xml:space="preserve">Party </w:t>
      </w:r>
      <w:r>
        <w:rPr>
          <w:color w:val="231F20"/>
          <w:w w:val="105"/>
          <w:sz w:val="16"/>
        </w:rPr>
        <w:t>while in the prison. He was killed by guards</w:t>
      </w:r>
      <w:r>
        <w:rPr>
          <w:color w:val="231F20"/>
          <w:spacing w:val="7"/>
          <w:w w:val="105"/>
          <w:sz w:val="16"/>
        </w:rPr>
        <w:t xml:space="preserve"> </w:t>
      </w:r>
      <w:r>
        <w:rPr>
          <w:color w:val="231F20"/>
          <w:w w:val="105"/>
          <w:sz w:val="16"/>
        </w:rPr>
        <w:t>during</w:t>
      </w:r>
      <w:r>
        <w:rPr>
          <w:color w:val="231F20"/>
          <w:spacing w:val="7"/>
          <w:w w:val="105"/>
          <w:sz w:val="16"/>
        </w:rPr>
        <w:t xml:space="preserve"> </w:t>
      </w:r>
      <w:r>
        <w:rPr>
          <w:color w:val="231F20"/>
          <w:w w:val="105"/>
          <w:sz w:val="16"/>
        </w:rPr>
        <w:t>an</w:t>
      </w:r>
      <w:r>
        <w:rPr>
          <w:color w:val="231F20"/>
          <w:spacing w:val="7"/>
          <w:w w:val="105"/>
          <w:sz w:val="16"/>
        </w:rPr>
        <w:t xml:space="preserve"> </w:t>
      </w:r>
      <w:r>
        <w:rPr>
          <w:color w:val="231F20"/>
          <w:w w:val="105"/>
          <w:sz w:val="16"/>
        </w:rPr>
        <w:t>alleged</w:t>
      </w:r>
      <w:r>
        <w:rPr>
          <w:color w:val="231F20"/>
          <w:spacing w:val="7"/>
          <w:w w:val="105"/>
          <w:sz w:val="16"/>
        </w:rPr>
        <w:t xml:space="preserve"> </w:t>
      </w:r>
      <w:r>
        <w:rPr>
          <w:color w:val="231F20"/>
          <w:w w:val="105"/>
          <w:sz w:val="16"/>
        </w:rPr>
        <w:t>escape</w:t>
      </w:r>
      <w:r>
        <w:rPr>
          <w:color w:val="231F20"/>
          <w:spacing w:val="7"/>
          <w:w w:val="105"/>
          <w:sz w:val="16"/>
        </w:rPr>
        <w:t xml:space="preserve"> </w:t>
      </w:r>
      <w:r>
        <w:rPr>
          <w:color w:val="231F20"/>
          <w:w w:val="105"/>
          <w:sz w:val="16"/>
        </w:rPr>
        <w:t>attempt</w:t>
      </w:r>
      <w:r>
        <w:rPr>
          <w:color w:val="231F20"/>
          <w:spacing w:val="7"/>
          <w:w w:val="105"/>
          <w:sz w:val="16"/>
        </w:rPr>
        <w:t xml:space="preserve"> </w:t>
      </w:r>
      <w:r>
        <w:rPr>
          <w:color w:val="231F20"/>
          <w:w w:val="105"/>
          <w:sz w:val="16"/>
        </w:rPr>
        <w:t>on</w:t>
      </w:r>
      <w:r>
        <w:rPr>
          <w:color w:val="231F20"/>
          <w:spacing w:val="7"/>
          <w:w w:val="105"/>
          <w:sz w:val="16"/>
        </w:rPr>
        <w:t xml:space="preserve"> </w:t>
      </w:r>
      <w:r>
        <w:rPr>
          <w:color w:val="231F20"/>
          <w:w w:val="105"/>
          <w:sz w:val="16"/>
        </w:rPr>
        <w:t>August</w:t>
      </w:r>
      <w:r>
        <w:rPr>
          <w:color w:val="231F20"/>
          <w:spacing w:val="7"/>
          <w:w w:val="105"/>
          <w:sz w:val="16"/>
        </w:rPr>
        <w:t xml:space="preserve"> </w:t>
      </w:r>
      <w:r>
        <w:rPr>
          <w:color w:val="231F20"/>
          <w:w w:val="105"/>
          <w:sz w:val="16"/>
        </w:rPr>
        <w:t>21,</w:t>
      </w:r>
      <w:r>
        <w:rPr>
          <w:color w:val="231F20"/>
          <w:spacing w:val="7"/>
          <w:w w:val="105"/>
          <w:sz w:val="16"/>
        </w:rPr>
        <w:t xml:space="preserve"> </w:t>
      </w:r>
      <w:r>
        <w:rPr>
          <w:color w:val="231F20"/>
          <w:w w:val="105"/>
          <w:sz w:val="16"/>
        </w:rPr>
        <w:t>1971.</w:t>
      </w:r>
    </w:p>
    <w:p w14:paraId="4E521D94" w14:textId="77777777" w:rsidR="002653E8" w:rsidRDefault="003115E3">
      <w:pPr>
        <w:pStyle w:val="a4"/>
        <w:numPr>
          <w:ilvl w:val="0"/>
          <w:numId w:val="12"/>
        </w:numPr>
        <w:tabs>
          <w:tab w:val="left" w:pos="1467"/>
        </w:tabs>
        <w:spacing w:before="42" w:line="254" w:lineRule="auto"/>
        <w:ind w:right="1456" w:firstLine="0"/>
        <w:rPr>
          <w:sz w:val="16"/>
        </w:rPr>
      </w:pPr>
      <w:r>
        <w:rPr>
          <w:color w:val="231F20"/>
          <w:w w:val="105"/>
          <w:sz w:val="16"/>
        </w:rPr>
        <w:t>Apparently an abbreviated pseudonym; translated as Ilse in the French version published by Maspero in</w:t>
      </w:r>
      <w:r>
        <w:rPr>
          <w:color w:val="231F20"/>
          <w:spacing w:val="35"/>
          <w:w w:val="105"/>
          <w:sz w:val="16"/>
        </w:rPr>
        <w:t xml:space="preserve"> </w:t>
      </w:r>
      <w:r>
        <w:rPr>
          <w:color w:val="231F20"/>
          <w:spacing w:val="-4"/>
          <w:w w:val="105"/>
          <w:sz w:val="16"/>
        </w:rPr>
        <w:t>1977.</w:t>
      </w:r>
    </w:p>
    <w:p w14:paraId="3F4587EA" w14:textId="77777777" w:rsidR="002653E8" w:rsidRDefault="002653E8">
      <w:pPr>
        <w:spacing w:line="254" w:lineRule="auto"/>
        <w:rPr>
          <w:sz w:val="16"/>
        </w:rPr>
        <w:sectPr w:rsidR="002653E8">
          <w:pgSz w:w="8640" w:h="12960"/>
          <w:pgMar w:top="1060" w:right="0" w:bottom="1040" w:left="0" w:header="0" w:footer="850" w:gutter="0"/>
          <w:cols w:space="720"/>
        </w:sectPr>
      </w:pPr>
    </w:p>
    <w:p w14:paraId="697BEAFB" w14:textId="77777777" w:rsidR="002653E8" w:rsidRDefault="003115E3">
      <w:pPr>
        <w:pStyle w:val="4"/>
        <w:ind w:left="760" w:right="937"/>
        <w:jc w:val="center"/>
      </w:pPr>
      <w:bookmarkStart w:id="192" w:name="Interview_with_Le_Monde_Diplomatique_(Ju"/>
      <w:bookmarkStart w:id="193" w:name="_bookmark64"/>
      <w:bookmarkEnd w:id="192"/>
      <w:bookmarkEnd w:id="193"/>
      <w:r>
        <w:rPr>
          <w:color w:val="231F20"/>
          <w:w w:val="105"/>
        </w:rPr>
        <w:lastRenderedPageBreak/>
        <w:t>Interview with</w:t>
      </w:r>
    </w:p>
    <w:p w14:paraId="51F28A41" w14:textId="77777777" w:rsidR="002653E8" w:rsidRDefault="003115E3">
      <w:pPr>
        <w:spacing w:before="48"/>
        <w:ind w:left="2449"/>
        <w:rPr>
          <w:rFonts w:ascii="Bookman Old Style"/>
          <w:sz w:val="30"/>
        </w:rPr>
      </w:pPr>
      <w:r>
        <w:rPr>
          <w:rFonts w:ascii="Bookman Old Style"/>
          <w:color w:val="231F20"/>
          <w:w w:val="105"/>
          <w:sz w:val="30"/>
        </w:rPr>
        <w:t>Le Monde Diplomatique</w:t>
      </w:r>
    </w:p>
    <w:p w14:paraId="60AECF1B" w14:textId="77777777" w:rsidR="002653E8" w:rsidRDefault="002653E8">
      <w:pPr>
        <w:pStyle w:val="a3"/>
        <w:spacing w:before="8"/>
        <w:rPr>
          <w:rFonts w:ascii="Bookman Old Style"/>
          <w:sz w:val="36"/>
        </w:rPr>
      </w:pPr>
    </w:p>
    <w:p w14:paraId="2D4C2370" w14:textId="4BA39EDC" w:rsidR="002653E8" w:rsidRDefault="003115E3">
      <w:pPr>
        <w:spacing w:line="261" w:lineRule="auto"/>
        <w:ind w:left="1547" w:right="1408"/>
        <w:rPr>
          <w:i/>
          <w:sz w:val="20"/>
        </w:rPr>
      </w:pPr>
      <w:r>
        <w:rPr>
          <w:i/>
          <w:color w:val="231F20"/>
          <w:w w:val="105"/>
          <w:sz w:val="20"/>
        </w:rPr>
        <w:t>This interview originated from questions presented to the lawyers by Le Monde Diplomatique. The political parts of the questions were answered by the prisoners. While we are not aware of the interview ever being published by the liberal French newspaper, copies were distributed by the prisoners’ supporters. The date normally given for this document is June 10, 1976.</w:t>
      </w:r>
    </w:p>
    <w:p w14:paraId="5CF8575A" w14:textId="77777777" w:rsidR="002653E8" w:rsidRDefault="003115E3">
      <w:pPr>
        <w:spacing w:before="130" w:line="261" w:lineRule="auto"/>
        <w:ind w:left="1547" w:right="1848"/>
        <w:rPr>
          <w:i/>
          <w:sz w:val="20"/>
        </w:rPr>
      </w:pPr>
      <w:r>
        <w:rPr>
          <w:i/>
          <w:color w:val="231F20"/>
          <w:sz w:val="20"/>
        </w:rPr>
        <w:t xml:space="preserve">A somewhat expanded version of the </w:t>
      </w:r>
      <w:r>
        <w:rPr>
          <w:i/>
          <w:color w:val="231F20"/>
          <w:spacing w:val="1"/>
          <w:sz w:val="20"/>
        </w:rPr>
        <w:t xml:space="preserve">interview </w:t>
      </w:r>
      <w:r>
        <w:rPr>
          <w:i/>
          <w:color w:val="231F20"/>
          <w:sz w:val="20"/>
        </w:rPr>
        <w:t xml:space="preserve">addressing </w:t>
      </w:r>
      <w:r>
        <w:rPr>
          <w:i/>
          <w:color w:val="231F20"/>
          <w:spacing w:val="1"/>
          <w:sz w:val="20"/>
        </w:rPr>
        <w:t xml:space="preserve">supplementary </w:t>
      </w:r>
      <w:r>
        <w:rPr>
          <w:i/>
          <w:color w:val="231F20"/>
          <w:sz w:val="20"/>
        </w:rPr>
        <w:t xml:space="preserve">questions exists. However, the  only  version  of that text available to </w:t>
      </w:r>
      <w:r>
        <w:rPr>
          <w:i/>
          <w:color w:val="231F20"/>
          <w:spacing w:val="1"/>
          <w:sz w:val="20"/>
        </w:rPr>
        <w:t xml:space="preserve">us  </w:t>
      </w:r>
      <w:r>
        <w:rPr>
          <w:i/>
          <w:color w:val="231F20"/>
          <w:sz w:val="20"/>
        </w:rPr>
        <w:t xml:space="preserve">was  an  extremely  poorly  translated and badly organized English-language version. Faced with this problem, we decided to base our translation on the </w:t>
      </w:r>
      <w:r>
        <w:rPr>
          <w:i/>
          <w:color w:val="231F20"/>
          <w:spacing w:val="2"/>
          <w:sz w:val="20"/>
        </w:rPr>
        <w:t>German</w:t>
      </w:r>
      <w:r>
        <w:rPr>
          <w:i/>
          <w:color w:val="231F20"/>
          <w:sz w:val="20"/>
        </w:rPr>
        <w:t>language</w:t>
      </w:r>
      <w:r>
        <w:rPr>
          <w:i/>
          <w:color w:val="231F20"/>
          <w:spacing w:val="16"/>
          <w:sz w:val="20"/>
        </w:rPr>
        <w:t xml:space="preserve"> </w:t>
      </w:r>
      <w:r>
        <w:rPr>
          <w:i/>
          <w:color w:val="231F20"/>
          <w:sz w:val="20"/>
        </w:rPr>
        <w:t>version</w:t>
      </w:r>
      <w:r>
        <w:rPr>
          <w:i/>
          <w:color w:val="231F20"/>
          <w:spacing w:val="16"/>
          <w:sz w:val="20"/>
        </w:rPr>
        <w:t xml:space="preserve"> </w:t>
      </w:r>
      <w:r>
        <w:rPr>
          <w:i/>
          <w:color w:val="231F20"/>
          <w:sz w:val="20"/>
        </w:rPr>
        <w:t>available</w:t>
      </w:r>
      <w:r>
        <w:rPr>
          <w:i/>
          <w:color w:val="231F20"/>
          <w:spacing w:val="16"/>
          <w:sz w:val="20"/>
        </w:rPr>
        <w:t xml:space="preserve"> </w:t>
      </w:r>
      <w:r>
        <w:rPr>
          <w:i/>
          <w:color w:val="231F20"/>
          <w:sz w:val="20"/>
        </w:rPr>
        <w:t>on</w:t>
      </w:r>
      <w:r>
        <w:rPr>
          <w:i/>
          <w:color w:val="231F20"/>
          <w:spacing w:val="16"/>
          <w:sz w:val="20"/>
        </w:rPr>
        <w:t xml:space="preserve"> </w:t>
      </w:r>
      <w:r>
        <w:rPr>
          <w:i/>
          <w:color w:val="231F20"/>
          <w:sz w:val="20"/>
        </w:rPr>
        <w:t>a</w:t>
      </w:r>
      <w:r>
        <w:rPr>
          <w:i/>
          <w:color w:val="231F20"/>
          <w:spacing w:val="16"/>
          <w:sz w:val="20"/>
        </w:rPr>
        <w:t xml:space="preserve"> </w:t>
      </w:r>
      <w:r>
        <w:rPr>
          <w:i/>
          <w:color w:val="231F20"/>
          <w:sz w:val="20"/>
        </w:rPr>
        <w:t>website</w:t>
      </w:r>
      <w:r>
        <w:rPr>
          <w:i/>
          <w:color w:val="231F20"/>
          <w:spacing w:val="16"/>
          <w:sz w:val="20"/>
        </w:rPr>
        <w:t xml:space="preserve"> </w:t>
      </w:r>
      <w:r>
        <w:rPr>
          <w:i/>
          <w:color w:val="231F20"/>
          <w:sz w:val="20"/>
        </w:rPr>
        <w:t>maintained</w:t>
      </w:r>
      <w:r>
        <w:rPr>
          <w:i/>
          <w:color w:val="231F20"/>
          <w:spacing w:val="16"/>
          <w:sz w:val="20"/>
        </w:rPr>
        <w:t xml:space="preserve"> </w:t>
      </w:r>
      <w:r>
        <w:rPr>
          <w:i/>
          <w:color w:val="231F20"/>
          <w:sz w:val="20"/>
        </w:rPr>
        <w:t>by</w:t>
      </w:r>
    </w:p>
    <w:p w14:paraId="3E3C0577" w14:textId="77777777" w:rsidR="002653E8" w:rsidRDefault="003115E3">
      <w:pPr>
        <w:spacing w:before="3" w:line="261" w:lineRule="auto"/>
        <w:ind w:left="1547" w:right="1513"/>
        <w:rPr>
          <w:i/>
          <w:sz w:val="20"/>
        </w:rPr>
      </w:pPr>
      <w:r>
        <w:rPr>
          <w:i/>
          <w:color w:val="231F20"/>
          <w:w w:val="105"/>
          <w:sz w:val="20"/>
        </w:rPr>
        <w:t xml:space="preserve">former </w:t>
      </w:r>
      <w:r w:rsidR="00C507A5">
        <w:rPr>
          <w:i/>
          <w:color w:val="231F20"/>
          <w:w w:val="105"/>
          <w:sz w:val="20"/>
        </w:rPr>
        <w:t>red army faction</w:t>
      </w:r>
      <w:r>
        <w:rPr>
          <w:i/>
          <w:color w:val="231F20"/>
          <w:w w:val="105"/>
          <w:sz w:val="20"/>
        </w:rPr>
        <w:t xml:space="preserve"> member Ronald Augustin. The English-language translation of the longer version available to us indicates that little of substance was added to what is presented here. (M.&amp; S.)</w:t>
      </w:r>
    </w:p>
    <w:p w14:paraId="1FAA840B" w14:textId="77777777" w:rsidR="002653E8" w:rsidRDefault="002653E8">
      <w:pPr>
        <w:pStyle w:val="a3"/>
        <w:rPr>
          <w:i/>
          <w:sz w:val="22"/>
        </w:rPr>
      </w:pPr>
    </w:p>
    <w:p w14:paraId="6B985D5B" w14:textId="77777777" w:rsidR="002653E8" w:rsidRDefault="002653E8">
      <w:pPr>
        <w:pStyle w:val="a3"/>
        <w:spacing w:before="9"/>
        <w:rPr>
          <w:i/>
          <w:sz w:val="28"/>
        </w:rPr>
      </w:pPr>
    </w:p>
    <w:p w14:paraId="4F425136" w14:textId="77777777" w:rsidR="002653E8" w:rsidRDefault="003115E3">
      <w:pPr>
        <w:pStyle w:val="a3"/>
        <w:spacing w:line="264" w:lineRule="auto"/>
        <w:ind w:left="1147" w:right="1326"/>
        <w:jc w:val="both"/>
      </w:pPr>
      <w:r>
        <w:rPr>
          <w:color w:val="231F20"/>
        </w:rPr>
        <w:t>Q.: The alleged suicide of Ulrike Meinhof is seen overwhelmingly by the left and critical observers as an institutional murder, the culmination of 4 years of soul-destroying solitary confinement.</w:t>
      </w:r>
    </w:p>
    <w:p w14:paraId="3E3266D9" w14:textId="77777777" w:rsidR="002653E8" w:rsidRDefault="002653E8">
      <w:pPr>
        <w:pStyle w:val="a3"/>
        <w:spacing w:before="7"/>
        <w:rPr>
          <w:sz w:val="21"/>
        </w:rPr>
      </w:pPr>
    </w:p>
    <w:p w14:paraId="2EA071B1" w14:textId="77777777" w:rsidR="002653E8" w:rsidRDefault="003115E3">
      <w:pPr>
        <w:pStyle w:val="a3"/>
        <w:spacing w:line="264" w:lineRule="auto"/>
        <w:ind w:left="1147" w:right="1325"/>
        <w:jc w:val="both"/>
      </w:pPr>
      <w:r>
        <w:rPr>
          <w:color w:val="231F20"/>
        </w:rPr>
        <w:t>A: The concept of institutional murder is not precise enough. It is more accurate to say that, in  a  military  conflict,  imprisoned  revolutionaries will be executed. We are certain that, as with Holger Meins and Siegfried Hausner, it was murder—a premeditated execution following the years of psychological warfare. We are trying to find out the details of how this murder was committed. It is clear that the state has done everything possible to hide the facts, while state security and the state security journalism organized by the BAW attempt to exploit the situation for propaganda purposes. Nothing indicates suicide, but there are many facts that suggest murder:</w:t>
      </w:r>
    </w:p>
    <w:p w14:paraId="5C366B7D" w14:textId="77777777" w:rsidR="002653E8" w:rsidRDefault="003115E3">
      <w:pPr>
        <w:pStyle w:val="a3"/>
        <w:spacing w:line="264" w:lineRule="auto"/>
        <w:ind w:left="1147" w:right="1145" w:firstLine="210"/>
      </w:pPr>
      <w:r>
        <w:rPr>
          <w:color w:val="231F20"/>
        </w:rPr>
        <w:t>The prisoners were not allowed to see their dead comrade. Her corpse was rushed out of the prison as the first lawyer arrived to visit Gudrun</w:t>
      </w:r>
    </w:p>
    <w:p w14:paraId="2EC69299" w14:textId="77777777" w:rsidR="002653E8" w:rsidRDefault="002653E8">
      <w:pPr>
        <w:spacing w:line="264" w:lineRule="auto"/>
        <w:sectPr w:rsidR="002653E8">
          <w:pgSz w:w="8640" w:h="12960"/>
          <w:pgMar w:top="1220" w:right="0" w:bottom="1040" w:left="0" w:header="0" w:footer="850" w:gutter="0"/>
          <w:cols w:space="720"/>
        </w:sectPr>
      </w:pPr>
    </w:p>
    <w:p w14:paraId="12F2B88C" w14:textId="77777777" w:rsidR="002653E8" w:rsidRDefault="003115E3">
      <w:pPr>
        <w:pStyle w:val="a3"/>
        <w:spacing w:before="86" w:line="264" w:lineRule="auto"/>
        <w:ind w:left="1327" w:right="1145"/>
        <w:jc w:val="both"/>
      </w:pPr>
      <w:r>
        <w:rPr>
          <w:color w:val="231F20"/>
        </w:rPr>
        <w:lastRenderedPageBreak/>
        <w:t>Ensslin. The corpse underwent an autopsy by order of the BAW, without the lawyers or relatives having an opportunity to see her, in spite of their demands to do so. Her sister was denied the right to bring in a pathologist of her choosing. The corpse was so mangled after the autopsy that the second pathologist could not deliver any precise findings—for example, a 25 cm long caesarean scar from the birth of her children could not be located.</w:t>
      </w:r>
    </w:p>
    <w:p w14:paraId="049E98D9" w14:textId="77777777" w:rsidR="002653E8" w:rsidRDefault="003115E3">
      <w:pPr>
        <w:pStyle w:val="a3"/>
        <w:spacing w:line="227" w:lineRule="exact"/>
        <w:ind w:left="1537"/>
      </w:pPr>
      <w:r>
        <w:rPr>
          <w:color w:val="231F20"/>
        </w:rPr>
        <w:t>Her brain and internal organs were removed.</w:t>
      </w:r>
    </w:p>
    <w:p w14:paraId="535A62F8" w14:textId="77777777" w:rsidR="002653E8" w:rsidRDefault="003115E3">
      <w:pPr>
        <w:pStyle w:val="a3"/>
        <w:spacing w:before="23" w:line="264" w:lineRule="auto"/>
        <w:ind w:left="1327" w:right="1146" w:firstLine="210"/>
        <w:jc w:val="both"/>
      </w:pPr>
      <w:r>
        <w:rPr>
          <w:color w:val="231F20"/>
        </w:rPr>
        <w:t>Nevertheless,</w:t>
      </w:r>
      <w:r>
        <w:rPr>
          <w:color w:val="231F20"/>
          <w:spacing w:val="-7"/>
        </w:rPr>
        <w:t xml:space="preserve"> </w:t>
      </w:r>
      <w:r>
        <w:rPr>
          <w:color w:val="231F20"/>
        </w:rPr>
        <w:t>the</w:t>
      </w:r>
      <w:r>
        <w:rPr>
          <w:color w:val="231F20"/>
          <w:spacing w:val="-7"/>
        </w:rPr>
        <w:t xml:space="preserve"> </w:t>
      </w:r>
      <w:r>
        <w:rPr>
          <w:color w:val="231F20"/>
        </w:rPr>
        <w:t>effects</w:t>
      </w:r>
      <w:r>
        <w:rPr>
          <w:color w:val="231F20"/>
          <w:spacing w:val="-7"/>
        </w:rPr>
        <w:t xml:space="preserve"> </w:t>
      </w:r>
      <w:r>
        <w:rPr>
          <w:color w:val="231F20"/>
        </w:rPr>
        <w:t>of</w:t>
      </w:r>
      <w:r>
        <w:rPr>
          <w:color w:val="231F20"/>
          <w:spacing w:val="-7"/>
        </w:rPr>
        <w:t xml:space="preserve"> </w:t>
      </w:r>
      <w:r>
        <w:rPr>
          <w:color w:val="231F20"/>
        </w:rPr>
        <w:t>numerous</w:t>
      </w:r>
      <w:r>
        <w:rPr>
          <w:color w:val="231F20"/>
          <w:spacing w:val="-7"/>
        </w:rPr>
        <w:t xml:space="preserve"> </w:t>
      </w:r>
      <w:r>
        <w:rPr>
          <w:color w:val="231F20"/>
        </w:rPr>
        <w:t>injuries</w:t>
      </w:r>
      <w:r>
        <w:rPr>
          <w:color w:val="231F20"/>
          <w:spacing w:val="-7"/>
        </w:rPr>
        <w:t xml:space="preserve"> </w:t>
      </w:r>
      <w:r>
        <w:rPr>
          <w:color w:val="231F20"/>
        </w:rPr>
        <w:t>from</w:t>
      </w:r>
      <w:r>
        <w:rPr>
          <w:color w:val="231F20"/>
          <w:spacing w:val="-7"/>
        </w:rPr>
        <w:t xml:space="preserve"> </w:t>
      </w:r>
      <w:r>
        <w:rPr>
          <w:color w:val="231F20"/>
        </w:rPr>
        <w:t>blunt</w:t>
      </w:r>
      <w:r>
        <w:rPr>
          <w:color w:val="231F20"/>
          <w:spacing w:val="-7"/>
        </w:rPr>
        <w:t xml:space="preserve"> </w:t>
      </w:r>
      <w:r>
        <w:rPr>
          <w:color w:val="231F20"/>
        </w:rPr>
        <w:t>objects</w:t>
      </w:r>
      <w:r>
        <w:rPr>
          <w:color w:val="231F20"/>
          <w:spacing w:val="-7"/>
        </w:rPr>
        <w:t xml:space="preserve"> </w:t>
      </w:r>
      <w:r>
        <w:rPr>
          <w:color w:val="231F20"/>
        </w:rPr>
        <w:t>were visible on her</w:t>
      </w:r>
      <w:r>
        <w:rPr>
          <w:color w:val="231F20"/>
          <w:spacing w:val="31"/>
        </w:rPr>
        <w:t xml:space="preserve"> </w:t>
      </w:r>
      <w:r>
        <w:rPr>
          <w:color w:val="231F20"/>
        </w:rPr>
        <w:t>legs.</w:t>
      </w:r>
    </w:p>
    <w:p w14:paraId="4D93AF64" w14:textId="77777777" w:rsidR="002653E8" w:rsidRDefault="003115E3">
      <w:pPr>
        <w:pStyle w:val="a3"/>
        <w:spacing w:line="264" w:lineRule="auto"/>
        <w:ind w:left="1327" w:right="1147" w:firstLine="210"/>
        <w:jc w:val="both"/>
      </w:pPr>
      <w:r>
        <w:rPr>
          <w:color w:val="231F20"/>
        </w:rPr>
        <w:t xml:space="preserve">And the injuries to the organs in her throat </w:t>
      </w:r>
      <w:r>
        <w:rPr>
          <w:color w:val="231F20"/>
          <w:spacing w:val="-4"/>
        </w:rPr>
        <w:t xml:space="preserve">(a  </w:t>
      </w:r>
      <w:r>
        <w:rPr>
          <w:color w:val="231F20"/>
        </w:rPr>
        <w:t>broken hyoid bone  and the damage to the thyroid cartilage) virtually rule out “death by hanging.”</w:t>
      </w:r>
    </w:p>
    <w:p w14:paraId="35BC6D5D" w14:textId="77777777" w:rsidR="002653E8" w:rsidRDefault="003115E3">
      <w:pPr>
        <w:pStyle w:val="a3"/>
        <w:spacing w:line="264" w:lineRule="auto"/>
        <w:ind w:left="1327" w:right="1147" w:firstLine="210"/>
        <w:jc w:val="both"/>
      </w:pPr>
      <w:r>
        <w:rPr>
          <w:color w:val="231F20"/>
        </w:rPr>
        <w:t xml:space="preserve">The request to have the cell inspected by her lawyer, her executor,   or a relative was denied. The cell was </w:t>
      </w:r>
      <w:r>
        <w:rPr>
          <w:color w:val="231F20"/>
          <w:spacing w:val="-3"/>
        </w:rPr>
        <w:t xml:space="preserve">“renovated,” </w:t>
      </w:r>
      <w:r>
        <w:rPr>
          <w:color w:val="231F20"/>
        </w:rPr>
        <w:t>totally repainted,  two days after her death, even though the wing in which she died is    not occupied. So far, neither the lawyers nor the relatives have received any answers from the authorities, besides the terse assertion that it was “suicide by</w:t>
      </w:r>
      <w:r>
        <w:rPr>
          <w:color w:val="231F20"/>
          <w:spacing w:val="22"/>
        </w:rPr>
        <w:t xml:space="preserve"> </w:t>
      </w:r>
      <w:r>
        <w:rPr>
          <w:color w:val="231F20"/>
        </w:rPr>
        <w:t>hanging.”</w:t>
      </w:r>
    </w:p>
    <w:p w14:paraId="18BC610E" w14:textId="77777777" w:rsidR="002653E8" w:rsidRDefault="003115E3">
      <w:pPr>
        <w:pStyle w:val="a3"/>
        <w:spacing w:line="264" w:lineRule="auto"/>
        <w:ind w:left="1327" w:right="1146" w:firstLine="210"/>
        <w:jc w:val="both"/>
      </w:pPr>
      <w:r>
        <w:rPr>
          <w:color w:val="231F20"/>
          <w:spacing w:val="1"/>
        </w:rPr>
        <w:t xml:space="preserve">In </w:t>
      </w:r>
      <w:r>
        <w:rPr>
          <w:color w:val="231F20"/>
        </w:rPr>
        <w:t xml:space="preserve">the press statements from the political judiciary, there are five contradictory versions regarding how the rope was secured. The one that ultimately became the official version and which was published was that she had rolled a hand towel into a 5 cm thick rope and fastened it tightly around her neck. Then she climbed onto a chair and threaded and fastened this 5 cm thick rope through the mesh of a screen, through which not even the small finger of a child would fit </w:t>
      </w:r>
      <w:r>
        <w:rPr>
          <w:color w:val="231F20"/>
          <w:spacing w:val="-3"/>
        </w:rPr>
        <w:t xml:space="preserve">(for </w:t>
      </w:r>
      <w:r>
        <w:rPr>
          <w:color w:val="231F20"/>
        </w:rPr>
        <w:t>this an instrument would be needed, and none was found). Then she is supposed to have turned herself around and</w:t>
      </w:r>
      <w:r>
        <w:rPr>
          <w:color w:val="231F20"/>
          <w:spacing w:val="10"/>
        </w:rPr>
        <w:t xml:space="preserve"> </w:t>
      </w:r>
      <w:r>
        <w:rPr>
          <w:color w:val="231F20"/>
        </w:rPr>
        <w:t>jumped.</w:t>
      </w:r>
    </w:p>
    <w:p w14:paraId="0DE40884" w14:textId="77777777" w:rsidR="002653E8" w:rsidRDefault="003115E3">
      <w:pPr>
        <w:pStyle w:val="a3"/>
        <w:spacing w:line="264" w:lineRule="auto"/>
        <w:ind w:left="1327" w:right="1146" w:firstLine="210"/>
        <w:jc w:val="both"/>
      </w:pPr>
      <w:r>
        <w:rPr>
          <w:color w:val="231F20"/>
        </w:rPr>
        <w:t>Before this version was decided upon, the prison warden, who was one of the first in the cell, stated that there was no chair near the corpse, and the prison doctor who examined her first declared that her feet were 20 cm from the floor.</w:t>
      </w:r>
    </w:p>
    <w:p w14:paraId="00276CCD" w14:textId="77777777" w:rsidR="002653E8" w:rsidRDefault="003115E3">
      <w:pPr>
        <w:pStyle w:val="a3"/>
        <w:spacing w:line="264" w:lineRule="auto"/>
        <w:ind w:left="1327" w:right="1146" w:firstLine="210"/>
        <w:jc w:val="both"/>
      </w:pPr>
      <w:r>
        <w:rPr>
          <w:color w:val="231F20"/>
          <w:spacing w:val="1"/>
        </w:rPr>
        <w:t xml:space="preserve">In </w:t>
      </w:r>
      <w:r>
        <w:rPr>
          <w:color w:val="231F20"/>
        </w:rPr>
        <w:t xml:space="preserve">the statements from the political judiciary, one finds only contradictions. Nonetheless, there has been no inspection of the files, and they have adamantly refused to share information with the relatives,  the lawyers or neutral authorities. Regarding the possibility of an international committee of inquiry, which has been demanded throughout Europe, the </w:t>
      </w:r>
      <w:r>
        <w:rPr>
          <w:color w:val="231F20"/>
          <w:spacing w:val="1"/>
        </w:rPr>
        <w:t xml:space="preserve">Ministry </w:t>
      </w:r>
      <w:r>
        <w:rPr>
          <w:color w:val="231F20"/>
        </w:rPr>
        <w:t>of Justice declared, “There is neither the grounds nor</w:t>
      </w:r>
      <w:r>
        <w:rPr>
          <w:color w:val="231F20"/>
          <w:spacing w:val="10"/>
        </w:rPr>
        <w:t xml:space="preserve"> </w:t>
      </w:r>
      <w:r>
        <w:rPr>
          <w:color w:val="231F20"/>
        </w:rPr>
        <w:t>the</w:t>
      </w:r>
      <w:r>
        <w:rPr>
          <w:color w:val="231F20"/>
          <w:spacing w:val="10"/>
        </w:rPr>
        <w:t xml:space="preserve"> </w:t>
      </w:r>
      <w:r>
        <w:rPr>
          <w:color w:val="231F20"/>
        </w:rPr>
        <w:t>scope</w:t>
      </w:r>
      <w:r>
        <w:rPr>
          <w:color w:val="231F20"/>
          <w:spacing w:val="10"/>
        </w:rPr>
        <w:t xml:space="preserve"> </w:t>
      </w:r>
      <w:r>
        <w:rPr>
          <w:color w:val="231F20"/>
        </w:rPr>
        <w:t>for</w:t>
      </w:r>
      <w:r>
        <w:rPr>
          <w:color w:val="231F20"/>
          <w:spacing w:val="10"/>
        </w:rPr>
        <w:t xml:space="preserve"> </w:t>
      </w:r>
      <w:r>
        <w:rPr>
          <w:color w:val="231F20"/>
        </w:rPr>
        <w:t>any</w:t>
      </w:r>
      <w:r>
        <w:rPr>
          <w:color w:val="231F20"/>
          <w:spacing w:val="10"/>
        </w:rPr>
        <w:t xml:space="preserve"> </w:t>
      </w:r>
      <w:r>
        <w:rPr>
          <w:color w:val="231F20"/>
        </w:rPr>
        <w:t>international</w:t>
      </w:r>
      <w:r>
        <w:rPr>
          <w:color w:val="231F20"/>
          <w:spacing w:val="10"/>
        </w:rPr>
        <w:t xml:space="preserve"> </w:t>
      </w:r>
      <w:r>
        <w:rPr>
          <w:color w:val="231F20"/>
          <w:spacing w:val="-5"/>
        </w:rPr>
        <w:t>body.”</w:t>
      </w:r>
    </w:p>
    <w:p w14:paraId="03859479" w14:textId="77777777" w:rsidR="002653E8" w:rsidRDefault="002653E8">
      <w:pPr>
        <w:spacing w:line="264" w:lineRule="auto"/>
        <w:jc w:val="both"/>
        <w:sectPr w:rsidR="002653E8">
          <w:footerReference w:type="even" r:id="rId345"/>
          <w:footerReference w:type="default" r:id="rId346"/>
          <w:pgSz w:w="8640" w:h="12960"/>
          <w:pgMar w:top="1060" w:right="0" w:bottom="1040" w:left="0" w:header="0" w:footer="850" w:gutter="0"/>
          <w:cols w:space="720"/>
        </w:sectPr>
      </w:pPr>
    </w:p>
    <w:p w14:paraId="369D8894" w14:textId="77777777" w:rsidR="002653E8" w:rsidRDefault="003115E3">
      <w:pPr>
        <w:pStyle w:val="a3"/>
        <w:spacing w:before="86"/>
        <w:ind w:left="1147"/>
      </w:pPr>
      <w:r>
        <w:rPr>
          <w:color w:val="231F20"/>
        </w:rPr>
        <w:lastRenderedPageBreak/>
        <w:t>Q: Against which background is deliberate murder to be seen?</w:t>
      </w:r>
    </w:p>
    <w:p w14:paraId="548D5477" w14:textId="77777777" w:rsidR="002653E8" w:rsidRDefault="002653E8">
      <w:pPr>
        <w:pStyle w:val="a3"/>
        <w:spacing w:before="10"/>
        <w:rPr>
          <w:sz w:val="23"/>
        </w:rPr>
      </w:pPr>
    </w:p>
    <w:p w14:paraId="4CEE43DA" w14:textId="77777777" w:rsidR="002653E8" w:rsidRDefault="003115E3">
      <w:pPr>
        <w:pStyle w:val="a3"/>
        <w:spacing w:line="264" w:lineRule="auto"/>
        <w:ind w:left="1147" w:right="1326"/>
        <w:jc w:val="both"/>
      </w:pPr>
      <w:r>
        <w:rPr>
          <w:color w:val="231F20"/>
        </w:rPr>
        <w:t xml:space="preserve">A: The story behind this murder is documented in the files. On the government’s behalf, and using all available political and moral means, the Attorney General has tried for six years to “exterminate” the </w:t>
      </w:r>
      <w:r w:rsidR="00C507A5">
        <w:rPr>
          <w:color w:val="231F20"/>
          <w:spacing w:val="5"/>
        </w:rPr>
        <w:t>red army faction</w:t>
      </w:r>
      <w:r>
        <w:rPr>
          <w:color w:val="231F20"/>
          <w:spacing w:val="5"/>
        </w:rPr>
        <w:t xml:space="preserve"> </w:t>
      </w:r>
      <w:r>
        <w:rPr>
          <w:color w:val="231F20"/>
        </w:rPr>
        <w:t>prisoners, especially Ulrike and Andreas, and to “wipe out” the example they set in resisting the new fascism’s institutional strategy, as formulated</w:t>
      </w:r>
      <w:r>
        <w:rPr>
          <w:color w:val="231F20"/>
          <w:spacing w:val="10"/>
        </w:rPr>
        <w:t xml:space="preserve"> </w:t>
      </w:r>
      <w:r>
        <w:rPr>
          <w:color w:val="231F20"/>
        </w:rPr>
        <w:t>by</w:t>
      </w:r>
      <w:r>
        <w:rPr>
          <w:color w:val="231F20"/>
          <w:spacing w:val="10"/>
        </w:rPr>
        <w:t xml:space="preserve"> </w:t>
      </w:r>
      <w:r>
        <w:rPr>
          <w:color w:val="231F20"/>
        </w:rPr>
        <w:t>Schmidt</w:t>
      </w:r>
      <w:r>
        <w:rPr>
          <w:color w:val="231F20"/>
          <w:spacing w:val="10"/>
        </w:rPr>
        <w:t xml:space="preserve"> </w:t>
      </w:r>
      <w:r>
        <w:rPr>
          <w:color w:val="231F20"/>
        </w:rPr>
        <w:t>in</w:t>
      </w:r>
      <w:r>
        <w:rPr>
          <w:color w:val="231F20"/>
          <w:spacing w:val="10"/>
        </w:rPr>
        <w:t xml:space="preserve"> </w:t>
      </w:r>
      <w:r>
        <w:rPr>
          <w:color w:val="231F20"/>
        </w:rPr>
        <w:t>government</w:t>
      </w:r>
      <w:r>
        <w:rPr>
          <w:color w:val="231F20"/>
          <w:spacing w:val="10"/>
        </w:rPr>
        <w:t xml:space="preserve"> </w:t>
      </w:r>
      <w:r>
        <w:rPr>
          <w:color w:val="231F20"/>
        </w:rPr>
        <w:t>statements</w:t>
      </w:r>
      <w:r>
        <w:rPr>
          <w:color w:val="231F20"/>
          <w:spacing w:val="10"/>
        </w:rPr>
        <w:t xml:space="preserve"> </w:t>
      </w:r>
      <w:r>
        <w:rPr>
          <w:color w:val="231F20"/>
        </w:rPr>
        <w:t>and</w:t>
      </w:r>
      <w:r>
        <w:rPr>
          <w:color w:val="231F20"/>
          <w:spacing w:val="10"/>
        </w:rPr>
        <w:t xml:space="preserve"> </w:t>
      </w:r>
      <w:r>
        <w:rPr>
          <w:color w:val="231F20"/>
        </w:rPr>
        <w:t>programs.</w:t>
      </w:r>
    </w:p>
    <w:p w14:paraId="6BADEE3D" w14:textId="77777777" w:rsidR="002653E8" w:rsidRDefault="003115E3">
      <w:pPr>
        <w:pStyle w:val="a3"/>
        <w:spacing w:line="264" w:lineRule="auto"/>
        <w:ind w:left="1147" w:right="1325" w:firstLine="210"/>
        <w:jc w:val="both"/>
      </w:pPr>
      <w:r>
        <w:rPr>
          <w:color w:val="231F20"/>
        </w:rPr>
        <w:t xml:space="preserve">For as long as the </w:t>
      </w:r>
      <w:r w:rsidR="00C507A5">
        <w:rPr>
          <w:color w:val="231F20"/>
          <w:spacing w:val="5"/>
        </w:rPr>
        <w:t>red army faction</w:t>
      </w:r>
      <w:r>
        <w:rPr>
          <w:color w:val="231F20"/>
          <w:spacing w:val="5"/>
        </w:rPr>
        <w:t xml:space="preserve"> </w:t>
      </w:r>
      <w:r>
        <w:rPr>
          <w:color w:val="231F20"/>
        </w:rPr>
        <w:t xml:space="preserve">has existed, the Attorney General’s plan for Ulrike was to use her to personalize and pathologize revolutionary politics. Therefore, after her arrest, she was to be broken in the dead wing and psychiatrically restructured before her trial. After her arrest, she was imprisoned, by order of the </w:t>
      </w:r>
      <w:r>
        <w:rPr>
          <w:color w:val="231F20"/>
          <w:spacing w:val="-8"/>
        </w:rPr>
        <w:t xml:space="preserve">BAW, </w:t>
      </w:r>
      <w:r>
        <w:rPr>
          <w:color w:val="231F20"/>
        </w:rPr>
        <w:t xml:space="preserve">from June </w:t>
      </w:r>
      <w:r>
        <w:rPr>
          <w:color w:val="231F20"/>
          <w:spacing w:val="-4"/>
        </w:rPr>
        <w:t xml:space="preserve">16, </w:t>
      </w:r>
      <w:r>
        <w:rPr>
          <w:color w:val="231F20"/>
          <w:spacing w:val="-3"/>
        </w:rPr>
        <w:t xml:space="preserve">1972, </w:t>
      </w:r>
      <w:r>
        <w:rPr>
          <w:color w:val="231F20"/>
        </w:rPr>
        <w:t xml:space="preserve">until February 9, 1973—that is </w:t>
      </w:r>
      <w:r>
        <w:rPr>
          <w:color w:val="231F20"/>
          <w:spacing w:val="-5"/>
        </w:rPr>
        <w:t xml:space="preserve">237 </w:t>
      </w:r>
      <w:r>
        <w:rPr>
          <w:color w:val="231F20"/>
        </w:rPr>
        <w:t xml:space="preserve">days—in a dead wing, which means total acoustic isolation. That is the prison in which state security houses prisoners during the phase of interrogation and “preparation for trial.” It     is an extreme form of torture. No human can endure a lengthy period   in an acoustic and social vacuum. </w:t>
      </w:r>
      <w:r>
        <w:rPr>
          <w:color w:val="231F20"/>
          <w:spacing w:val="-3"/>
        </w:rPr>
        <w:t xml:space="preserve">One’s </w:t>
      </w:r>
      <w:r>
        <w:rPr>
          <w:color w:val="231F20"/>
        </w:rPr>
        <w:t xml:space="preserve">sense of time and </w:t>
      </w:r>
      <w:r>
        <w:rPr>
          <w:color w:val="231F20"/>
          <w:spacing w:val="-3"/>
        </w:rPr>
        <w:t xml:space="preserve">one’s </w:t>
      </w:r>
      <w:r>
        <w:rPr>
          <w:color w:val="231F20"/>
        </w:rPr>
        <w:t>physical equilibrium are destroyed. One aspect of white torture is that the prisoner’s agony is magnified, not reduced, as the torture continues.  The ultimate result is irreversible brainwashing, which, to begin with, dissolves the control the tortured person has over what he says, over</w:t>
      </w:r>
      <w:r>
        <w:rPr>
          <w:color w:val="231F20"/>
          <w:spacing w:val="-30"/>
        </w:rPr>
        <w:t xml:space="preserve"> </w:t>
      </w:r>
      <w:r>
        <w:rPr>
          <w:color w:val="231F20"/>
        </w:rPr>
        <w:t>his speech; he</w:t>
      </w:r>
      <w:r>
        <w:rPr>
          <w:color w:val="231F20"/>
          <w:spacing w:val="20"/>
        </w:rPr>
        <w:t xml:space="preserve"> </w:t>
      </w:r>
      <w:r>
        <w:rPr>
          <w:color w:val="231F20"/>
        </w:rPr>
        <w:t>babbles.</w:t>
      </w:r>
    </w:p>
    <w:p w14:paraId="0A999785" w14:textId="77777777" w:rsidR="002653E8" w:rsidRDefault="003115E3">
      <w:pPr>
        <w:pStyle w:val="a3"/>
        <w:spacing w:line="218" w:lineRule="exact"/>
        <w:ind w:left="1358"/>
      </w:pPr>
      <w:r>
        <w:rPr>
          <w:color w:val="231F20"/>
        </w:rPr>
        <w:t>And his ability to grasp even a single thought is destroyed. What is</w:t>
      </w:r>
    </w:p>
    <w:p w14:paraId="41567872" w14:textId="77777777" w:rsidR="002653E8" w:rsidRDefault="003115E3">
      <w:pPr>
        <w:pStyle w:val="a3"/>
        <w:spacing w:before="16"/>
        <w:ind w:left="1148"/>
      </w:pPr>
      <w:r>
        <w:rPr>
          <w:color w:val="231F20"/>
        </w:rPr>
        <w:t>left is a body, which on the outside shows hardly any sign of injury.</w:t>
      </w:r>
    </w:p>
    <w:p w14:paraId="2D5790EC" w14:textId="77777777" w:rsidR="002653E8" w:rsidRDefault="003115E3">
      <w:pPr>
        <w:pStyle w:val="a3"/>
        <w:spacing w:before="23" w:line="264" w:lineRule="auto"/>
        <w:ind w:left="1147" w:right="1326" w:firstLine="210"/>
        <w:jc w:val="both"/>
      </w:pPr>
      <w:r>
        <w:rPr>
          <w:color w:val="231F20"/>
        </w:rPr>
        <w:t xml:space="preserve">The program was at all times  under  the  control  of  the  </w:t>
      </w:r>
      <w:r>
        <w:rPr>
          <w:color w:val="231F20"/>
          <w:spacing w:val="-6"/>
        </w:rPr>
        <w:t>BAW</w:t>
      </w:r>
      <w:r>
        <w:rPr>
          <w:color w:val="231F20"/>
          <w:spacing w:val="31"/>
        </w:rPr>
        <w:t xml:space="preserve"> </w:t>
      </w:r>
      <w:r>
        <w:rPr>
          <w:color w:val="231F20"/>
        </w:rPr>
        <w:t xml:space="preserve">and the state security psychiatrist, Götte. But Ulrike endured the </w:t>
      </w:r>
      <w:r>
        <w:rPr>
          <w:color w:val="231F20"/>
          <w:spacing w:val="-5"/>
        </w:rPr>
        <w:t xml:space="preserve">237 </w:t>
      </w:r>
      <w:r>
        <w:rPr>
          <w:color w:val="231F20"/>
        </w:rPr>
        <w:t xml:space="preserve">days, because she fought. </w:t>
      </w:r>
      <w:r>
        <w:rPr>
          <w:color w:val="231F20"/>
          <w:spacing w:val="1"/>
        </w:rPr>
        <w:t xml:space="preserve">All </w:t>
      </w:r>
      <w:r>
        <w:rPr>
          <w:color w:val="231F20"/>
        </w:rPr>
        <w:t>of us could see that her mind and her will remained</w:t>
      </w:r>
      <w:r>
        <w:rPr>
          <w:color w:val="231F20"/>
          <w:spacing w:val="10"/>
        </w:rPr>
        <w:t xml:space="preserve"> </w:t>
      </w:r>
      <w:r>
        <w:rPr>
          <w:color w:val="231F20"/>
        </w:rPr>
        <w:t>unbroken.</w:t>
      </w:r>
    </w:p>
    <w:p w14:paraId="135F699B" w14:textId="77777777" w:rsidR="002653E8" w:rsidRDefault="003115E3">
      <w:pPr>
        <w:pStyle w:val="a3"/>
        <w:spacing w:line="264" w:lineRule="auto"/>
        <w:ind w:left="1147" w:right="1326" w:firstLine="210"/>
        <w:jc w:val="both"/>
      </w:pPr>
      <w:r>
        <w:rPr>
          <w:color w:val="231F20"/>
        </w:rPr>
        <w:t xml:space="preserve">Another </w:t>
      </w:r>
      <w:r w:rsidR="00C507A5">
        <w:rPr>
          <w:color w:val="231F20"/>
        </w:rPr>
        <w:t>red army faction</w:t>
      </w:r>
      <w:r>
        <w:rPr>
          <w:color w:val="231F20"/>
        </w:rPr>
        <w:t xml:space="preserve"> prisoner, Astrid,</w:t>
      </w:r>
      <w:r>
        <w:rPr>
          <w:color w:val="231F20"/>
          <w:position w:val="7"/>
          <w:sz w:val="11"/>
        </w:rPr>
        <w:t xml:space="preserve">1 </w:t>
      </w:r>
      <w:r>
        <w:rPr>
          <w:color w:val="231F20"/>
        </w:rPr>
        <w:t>who had previously spent three months in the dead wing, never recovered—not even after her release three years ago. Even today she is seriously ill.</w:t>
      </w:r>
    </w:p>
    <w:p w14:paraId="4E6317CE" w14:textId="77777777" w:rsidR="002653E8" w:rsidRDefault="003115E3">
      <w:pPr>
        <w:pStyle w:val="a3"/>
        <w:spacing w:line="264" w:lineRule="auto"/>
        <w:ind w:left="1147" w:right="1326" w:firstLine="210"/>
        <w:jc w:val="both"/>
      </w:pPr>
      <w:r>
        <w:rPr>
          <w:color w:val="231F20"/>
        </w:rPr>
        <w:t xml:space="preserve">The </w:t>
      </w:r>
      <w:r>
        <w:rPr>
          <w:color w:val="231F20"/>
          <w:spacing w:val="-6"/>
        </w:rPr>
        <w:t xml:space="preserve">BAW  </w:t>
      </w:r>
      <w:r>
        <w:rPr>
          <w:color w:val="231F20"/>
        </w:rPr>
        <w:t xml:space="preserve">assumed that Ulrike would be broken by the dead wing.   On January 4, </w:t>
      </w:r>
      <w:r>
        <w:rPr>
          <w:color w:val="231F20"/>
          <w:spacing w:val="-5"/>
        </w:rPr>
        <w:t xml:space="preserve">1973, </w:t>
      </w:r>
      <w:r>
        <w:rPr>
          <w:color w:val="231F20"/>
        </w:rPr>
        <w:t>Buback—the Attorney General—wrote that Ulrike was to be committed “to a  public  sanitarium—or  a  nursing  home— so that a report on her mental health could be prepared.” The public, which the defense lawyers were able to mobilize, just barely managed to</w:t>
      </w:r>
      <w:r>
        <w:rPr>
          <w:color w:val="231F20"/>
          <w:spacing w:val="22"/>
        </w:rPr>
        <w:t xml:space="preserve"> </w:t>
      </w:r>
      <w:r>
        <w:rPr>
          <w:color w:val="231F20"/>
        </w:rPr>
        <w:t>prevent</w:t>
      </w:r>
      <w:r>
        <w:rPr>
          <w:color w:val="231F20"/>
          <w:spacing w:val="22"/>
        </w:rPr>
        <w:t xml:space="preserve"> </w:t>
      </w:r>
      <w:r>
        <w:rPr>
          <w:color w:val="231F20"/>
        </w:rPr>
        <w:t>this.</w:t>
      </w:r>
      <w:r>
        <w:rPr>
          <w:color w:val="231F20"/>
          <w:spacing w:val="22"/>
        </w:rPr>
        <w:t xml:space="preserve"> </w:t>
      </w:r>
      <w:r>
        <w:rPr>
          <w:color w:val="231F20"/>
        </w:rPr>
        <w:t>But</w:t>
      </w:r>
      <w:r>
        <w:rPr>
          <w:color w:val="231F20"/>
          <w:spacing w:val="22"/>
        </w:rPr>
        <w:t xml:space="preserve"> </w:t>
      </w:r>
      <w:r>
        <w:rPr>
          <w:color w:val="231F20"/>
        </w:rPr>
        <w:t>the</w:t>
      </w:r>
      <w:r>
        <w:rPr>
          <w:color w:val="231F20"/>
          <w:spacing w:val="23"/>
        </w:rPr>
        <w:t xml:space="preserve"> </w:t>
      </w:r>
      <w:r>
        <w:rPr>
          <w:color w:val="231F20"/>
          <w:spacing w:val="-6"/>
        </w:rPr>
        <w:t>BAW</w:t>
      </w:r>
      <w:r>
        <w:rPr>
          <w:color w:val="231F20"/>
          <w:spacing w:val="22"/>
        </w:rPr>
        <w:t xml:space="preserve"> </w:t>
      </w:r>
      <w:r>
        <w:rPr>
          <w:color w:val="231F20"/>
        </w:rPr>
        <w:t>tenaciously</w:t>
      </w:r>
      <w:r>
        <w:rPr>
          <w:color w:val="231F20"/>
          <w:spacing w:val="22"/>
        </w:rPr>
        <w:t xml:space="preserve"> </w:t>
      </w:r>
      <w:r>
        <w:rPr>
          <w:color w:val="231F20"/>
        </w:rPr>
        <w:t>pursued</w:t>
      </w:r>
      <w:r>
        <w:rPr>
          <w:color w:val="231F20"/>
          <w:spacing w:val="22"/>
        </w:rPr>
        <w:t xml:space="preserve"> </w:t>
      </w:r>
      <w:r>
        <w:rPr>
          <w:color w:val="231F20"/>
        </w:rPr>
        <w:t>their</w:t>
      </w:r>
      <w:r>
        <w:rPr>
          <w:color w:val="231F20"/>
          <w:spacing w:val="22"/>
        </w:rPr>
        <w:t xml:space="preserve"> </w:t>
      </w:r>
      <w:r>
        <w:rPr>
          <w:color w:val="231F20"/>
        </w:rPr>
        <w:t>goal</w:t>
      </w:r>
      <w:r>
        <w:rPr>
          <w:color w:val="231F20"/>
          <w:spacing w:val="22"/>
        </w:rPr>
        <w:t xml:space="preserve"> </w:t>
      </w:r>
      <w:r>
        <w:rPr>
          <w:color w:val="231F20"/>
        </w:rPr>
        <w:t>of</w:t>
      </w:r>
      <w:r>
        <w:rPr>
          <w:color w:val="231F20"/>
          <w:spacing w:val="22"/>
        </w:rPr>
        <w:t xml:space="preserve"> </w:t>
      </w:r>
      <w:r>
        <w:rPr>
          <w:color w:val="231F20"/>
        </w:rPr>
        <w:t>having</w:t>
      </w:r>
    </w:p>
    <w:p w14:paraId="4A951207" w14:textId="77777777" w:rsidR="002653E8" w:rsidRDefault="00000000">
      <w:pPr>
        <w:pStyle w:val="a3"/>
        <w:spacing w:before="3"/>
        <w:rPr>
          <w:sz w:val="14"/>
        </w:rPr>
      </w:pPr>
      <w:r>
        <w:rPr>
          <w:noProof w:val="0"/>
        </w:rPr>
        <w:pict w14:anchorId="6EA1D0E1">
          <v:line id="_x0000_s2259" style="position:absolute;z-index:8776;mso-wrap-distance-left:0;mso-wrap-distance-right:0;mso-position-horizontal-relative:page" from="57.4pt,10.6pt" to="129.4pt,10.6pt" strokecolor="#231f20" strokeweight=".5pt">
            <w10:wrap type="topAndBottom" anchorx="page"/>
          </v:line>
        </w:pict>
      </w:r>
    </w:p>
    <w:p w14:paraId="53E1685D" w14:textId="77777777" w:rsidR="002653E8" w:rsidRDefault="003115E3">
      <w:pPr>
        <w:spacing w:before="53"/>
        <w:ind w:left="1147"/>
        <w:rPr>
          <w:sz w:val="16"/>
        </w:rPr>
      </w:pPr>
      <w:r>
        <w:rPr>
          <w:color w:val="231F20"/>
          <w:w w:val="105"/>
          <w:sz w:val="16"/>
        </w:rPr>
        <w:t xml:space="preserve">1 Astrid Proll, a founding member of the </w:t>
      </w:r>
      <w:r w:rsidR="00C507A5">
        <w:rPr>
          <w:color w:val="231F20"/>
          <w:w w:val="105"/>
          <w:sz w:val="16"/>
        </w:rPr>
        <w:t>red army faction</w:t>
      </w:r>
      <w:r>
        <w:rPr>
          <w:color w:val="231F20"/>
          <w:w w:val="105"/>
          <w:sz w:val="16"/>
        </w:rPr>
        <w:t>.</w:t>
      </w:r>
    </w:p>
    <w:p w14:paraId="096D9F1D" w14:textId="77777777" w:rsidR="002653E8" w:rsidRDefault="002653E8">
      <w:pPr>
        <w:rPr>
          <w:sz w:val="16"/>
        </w:rPr>
        <w:sectPr w:rsidR="002653E8">
          <w:pgSz w:w="8640" w:h="12960"/>
          <w:pgMar w:top="1060" w:right="0" w:bottom="1040" w:left="0" w:header="0" w:footer="850" w:gutter="0"/>
          <w:cols w:space="720"/>
        </w:sectPr>
      </w:pPr>
    </w:p>
    <w:p w14:paraId="4D7DE185" w14:textId="77777777" w:rsidR="002653E8" w:rsidRDefault="003115E3">
      <w:pPr>
        <w:pStyle w:val="a3"/>
        <w:spacing w:before="86" w:line="264" w:lineRule="auto"/>
        <w:ind w:left="1327" w:right="1146"/>
        <w:jc w:val="both"/>
      </w:pPr>
      <w:r>
        <w:rPr>
          <w:color w:val="231F20"/>
        </w:rPr>
        <w:lastRenderedPageBreak/>
        <w:t>Ulrike declared mentally ill. On April 18, 1973, Buback directed the justice system psychiatrist Witter to deliver an opinion on Ulrike’s sanity. In his letter, he said:</w:t>
      </w:r>
    </w:p>
    <w:p w14:paraId="714177D1" w14:textId="77777777" w:rsidR="002653E8" w:rsidRDefault="003115E3">
      <w:pPr>
        <w:spacing w:before="126" w:line="276" w:lineRule="auto"/>
        <w:ind w:left="1747" w:right="1559"/>
        <w:jc w:val="both"/>
        <w:rPr>
          <w:i/>
          <w:sz w:val="19"/>
        </w:rPr>
      </w:pPr>
      <w:r>
        <w:rPr>
          <w:i/>
          <w:color w:val="231F20"/>
          <w:w w:val="105"/>
          <w:sz w:val="19"/>
        </w:rPr>
        <w:t xml:space="preserve">On the basis of </w:t>
      </w:r>
      <w:r>
        <w:rPr>
          <w:i/>
          <w:color w:val="231F20"/>
          <w:spacing w:val="-3"/>
          <w:w w:val="105"/>
          <w:sz w:val="19"/>
        </w:rPr>
        <w:t xml:space="preserve">Frau </w:t>
      </w:r>
      <w:r>
        <w:rPr>
          <w:i/>
          <w:color w:val="231F20"/>
          <w:w w:val="105"/>
          <w:sz w:val="19"/>
        </w:rPr>
        <w:t>Meinhof’s conduct to date, it seems doubtful she</w:t>
      </w:r>
      <w:r>
        <w:rPr>
          <w:i/>
          <w:color w:val="231F20"/>
          <w:spacing w:val="-31"/>
          <w:w w:val="105"/>
          <w:sz w:val="19"/>
        </w:rPr>
        <w:t xml:space="preserve"> </w:t>
      </w:r>
      <w:r>
        <w:rPr>
          <w:i/>
          <w:color w:val="231F20"/>
          <w:w w:val="105"/>
          <w:sz w:val="19"/>
        </w:rPr>
        <w:t>would</w:t>
      </w:r>
      <w:r>
        <w:rPr>
          <w:i/>
          <w:color w:val="231F20"/>
          <w:spacing w:val="-31"/>
          <w:w w:val="105"/>
          <w:sz w:val="19"/>
        </w:rPr>
        <w:t xml:space="preserve"> </w:t>
      </w:r>
      <w:r>
        <w:rPr>
          <w:i/>
          <w:color w:val="231F20"/>
          <w:w w:val="105"/>
          <w:sz w:val="19"/>
        </w:rPr>
        <w:t>cooperate</w:t>
      </w:r>
      <w:r>
        <w:rPr>
          <w:i/>
          <w:color w:val="231F20"/>
          <w:spacing w:val="-31"/>
          <w:w w:val="105"/>
          <w:sz w:val="19"/>
        </w:rPr>
        <w:t xml:space="preserve"> </w:t>
      </w:r>
      <w:r>
        <w:rPr>
          <w:i/>
          <w:color w:val="231F20"/>
          <w:w w:val="105"/>
          <w:sz w:val="19"/>
        </w:rPr>
        <w:t>regarding</w:t>
      </w:r>
      <w:r>
        <w:rPr>
          <w:i/>
          <w:color w:val="231F20"/>
          <w:spacing w:val="-31"/>
          <w:w w:val="105"/>
          <w:sz w:val="19"/>
        </w:rPr>
        <w:t xml:space="preserve"> </w:t>
      </w:r>
      <w:r>
        <w:rPr>
          <w:i/>
          <w:color w:val="231F20"/>
          <w:w w:val="105"/>
          <w:sz w:val="19"/>
        </w:rPr>
        <w:t>particular</w:t>
      </w:r>
      <w:r>
        <w:rPr>
          <w:i/>
          <w:color w:val="231F20"/>
          <w:spacing w:val="-31"/>
          <w:w w:val="105"/>
          <w:sz w:val="19"/>
        </w:rPr>
        <w:t xml:space="preserve"> </w:t>
      </w:r>
      <w:r>
        <w:rPr>
          <w:i/>
          <w:color w:val="231F20"/>
          <w:w w:val="105"/>
          <w:sz w:val="19"/>
        </w:rPr>
        <w:t>examinations</w:t>
      </w:r>
      <w:r>
        <w:rPr>
          <w:i/>
          <w:color w:val="231F20"/>
          <w:spacing w:val="-31"/>
          <w:w w:val="105"/>
          <w:sz w:val="19"/>
        </w:rPr>
        <w:t xml:space="preserve"> </w:t>
      </w:r>
      <w:r>
        <w:rPr>
          <w:i/>
          <w:color w:val="231F20"/>
          <w:w w:val="105"/>
          <w:sz w:val="19"/>
        </w:rPr>
        <w:t>or</w:t>
      </w:r>
      <w:r>
        <w:rPr>
          <w:i/>
          <w:color w:val="231F20"/>
          <w:spacing w:val="-31"/>
          <w:w w:val="105"/>
          <w:sz w:val="19"/>
        </w:rPr>
        <w:t xml:space="preserve"> </w:t>
      </w:r>
      <w:r>
        <w:rPr>
          <w:i/>
          <w:color w:val="231F20"/>
          <w:w w:val="105"/>
          <w:sz w:val="19"/>
        </w:rPr>
        <w:t>consent to</w:t>
      </w:r>
      <w:r>
        <w:rPr>
          <w:i/>
          <w:color w:val="231F20"/>
          <w:spacing w:val="-19"/>
          <w:w w:val="105"/>
          <w:sz w:val="19"/>
        </w:rPr>
        <w:t xml:space="preserve"> </w:t>
      </w:r>
      <w:r>
        <w:rPr>
          <w:i/>
          <w:color w:val="231F20"/>
          <w:w w:val="105"/>
          <w:sz w:val="19"/>
        </w:rPr>
        <w:t>surgical</w:t>
      </w:r>
      <w:r>
        <w:rPr>
          <w:i/>
          <w:color w:val="231F20"/>
          <w:spacing w:val="-19"/>
          <w:w w:val="105"/>
          <w:sz w:val="19"/>
        </w:rPr>
        <w:t xml:space="preserve"> </w:t>
      </w:r>
      <w:r>
        <w:rPr>
          <w:i/>
          <w:color w:val="231F20"/>
          <w:w w:val="105"/>
          <w:sz w:val="19"/>
        </w:rPr>
        <w:t>treatment.</w:t>
      </w:r>
      <w:r>
        <w:rPr>
          <w:i/>
          <w:color w:val="231F20"/>
          <w:spacing w:val="-23"/>
          <w:w w:val="105"/>
          <w:sz w:val="19"/>
        </w:rPr>
        <w:t xml:space="preserve"> </w:t>
      </w:r>
      <w:r>
        <w:rPr>
          <w:i/>
          <w:color w:val="231F20"/>
          <w:w w:val="105"/>
          <w:sz w:val="19"/>
        </w:rPr>
        <w:t>If</w:t>
      </w:r>
      <w:r>
        <w:rPr>
          <w:i/>
          <w:color w:val="231F20"/>
          <w:spacing w:val="-19"/>
          <w:w w:val="105"/>
          <w:sz w:val="19"/>
        </w:rPr>
        <w:t xml:space="preserve"> </w:t>
      </w:r>
      <w:r>
        <w:rPr>
          <w:i/>
          <w:color w:val="231F20"/>
          <w:w w:val="105"/>
          <w:sz w:val="19"/>
        </w:rPr>
        <w:t>professional</w:t>
      </w:r>
      <w:r>
        <w:rPr>
          <w:i/>
          <w:color w:val="231F20"/>
          <w:spacing w:val="-19"/>
          <w:w w:val="105"/>
          <w:sz w:val="19"/>
        </w:rPr>
        <w:t xml:space="preserve"> </w:t>
      </w:r>
      <w:r>
        <w:rPr>
          <w:i/>
          <w:color w:val="231F20"/>
          <w:w w:val="105"/>
          <w:sz w:val="19"/>
        </w:rPr>
        <w:t>opinion</w:t>
      </w:r>
      <w:r>
        <w:rPr>
          <w:i/>
          <w:color w:val="231F20"/>
          <w:spacing w:val="-19"/>
          <w:w w:val="105"/>
          <w:sz w:val="19"/>
        </w:rPr>
        <w:t xml:space="preserve"> </w:t>
      </w:r>
      <w:r>
        <w:rPr>
          <w:i/>
          <w:color w:val="231F20"/>
          <w:w w:val="105"/>
          <w:sz w:val="19"/>
        </w:rPr>
        <w:t>suggests</w:t>
      </w:r>
      <w:r>
        <w:rPr>
          <w:i/>
          <w:color w:val="231F20"/>
          <w:spacing w:val="-19"/>
          <w:w w:val="105"/>
          <w:sz w:val="19"/>
        </w:rPr>
        <w:t xml:space="preserve"> </w:t>
      </w:r>
      <w:r>
        <w:rPr>
          <w:i/>
          <w:color w:val="231F20"/>
          <w:w w:val="105"/>
          <w:sz w:val="19"/>
        </w:rPr>
        <w:t>that</w:t>
      </w:r>
      <w:r>
        <w:rPr>
          <w:i/>
          <w:color w:val="231F20"/>
          <w:spacing w:val="-19"/>
          <w:w w:val="105"/>
          <w:sz w:val="19"/>
        </w:rPr>
        <w:t xml:space="preserve"> </w:t>
      </w:r>
      <w:r>
        <w:rPr>
          <w:i/>
          <w:color w:val="231F20"/>
          <w:w w:val="105"/>
          <w:sz w:val="19"/>
        </w:rPr>
        <w:t>certain interventions are necessary, I would ask you to report to me</w:t>
      </w:r>
      <w:r>
        <w:rPr>
          <w:i/>
          <w:color w:val="231F20"/>
          <w:spacing w:val="-31"/>
          <w:w w:val="105"/>
          <w:sz w:val="19"/>
        </w:rPr>
        <w:t xml:space="preserve"> </w:t>
      </w:r>
      <w:r>
        <w:rPr>
          <w:i/>
          <w:color w:val="231F20"/>
          <w:w w:val="105"/>
          <w:sz w:val="19"/>
        </w:rPr>
        <w:t>with detailed</w:t>
      </w:r>
      <w:r>
        <w:rPr>
          <w:i/>
          <w:color w:val="231F20"/>
          <w:spacing w:val="-13"/>
          <w:w w:val="105"/>
          <w:sz w:val="19"/>
        </w:rPr>
        <w:t xml:space="preserve"> </w:t>
      </w:r>
      <w:r>
        <w:rPr>
          <w:i/>
          <w:color w:val="231F20"/>
          <w:w w:val="105"/>
          <w:sz w:val="19"/>
        </w:rPr>
        <w:t>information</w:t>
      </w:r>
      <w:r>
        <w:rPr>
          <w:i/>
          <w:color w:val="231F20"/>
          <w:spacing w:val="-13"/>
          <w:w w:val="105"/>
          <w:sz w:val="19"/>
        </w:rPr>
        <w:t xml:space="preserve"> </w:t>
      </w:r>
      <w:r>
        <w:rPr>
          <w:i/>
          <w:color w:val="231F20"/>
          <w:w w:val="105"/>
          <w:sz w:val="19"/>
        </w:rPr>
        <w:t>on</w:t>
      </w:r>
      <w:r>
        <w:rPr>
          <w:i/>
          <w:color w:val="231F20"/>
          <w:spacing w:val="-13"/>
          <w:w w:val="105"/>
          <w:sz w:val="19"/>
        </w:rPr>
        <w:t xml:space="preserve"> </w:t>
      </w:r>
      <w:r>
        <w:rPr>
          <w:i/>
          <w:color w:val="231F20"/>
          <w:w w:val="105"/>
          <w:sz w:val="19"/>
        </w:rPr>
        <w:t>the</w:t>
      </w:r>
      <w:r>
        <w:rPr>
          <w:i/>
          <w:color w:val="231F20"/>
          <w:spacing w:val="-13"/>
          <w:w w:val="105"/>
          <w:sz w:val="19"/>
        </w:rPr>
        <w:t xml:space="preserve"> </w:t>
      </w:r>
      <w:r>
        <w:rPr>
          <w:i/>
          <w:color w:val="231F20"/>
          <w:w w:val="105"/>
          <w:sz w:val="19"/>
        </w:rPr>
        <w:t>examination</w:t>
      </w:r>
      <w:r>
        <w:rPr>
          <w:i/>
          <w:color w:val="231F20"/>
          <w:spacing w:val="-13"/>
          <w:w w:val="105"/>
          <w:sz w:val="19"/>
        </w:rPr>
        <w:t xml:space="preserve"> </w:t>
      </w:r>
      <w:r>
        <w:rPr>
          <w:i/>
          <w:color w:val="231F20"/>
          <w:w w:val="105"/>
          <w:sz w:val="19"/>
        </w:rPr>
        <w:t>considered</w:t>
      </w:r>
      <w:r>
        <w:rPr>
          <w:i/>
          <w:color w:val="231F20"/>
          <w:spacing w:val="-13"/>
          <w:w w:val="105"/>
          <w:sz w:val="19"/>
        </w:rPr>
        <w:t xml:space="preserve"> </w:t>
      </w:r>
      <w:r>
        <w:rPr>
          <w:i/>
          <w:color w:val="231F20"/>
          <w:w w:val="105"/>
          <w:sz w:val="19"/>
        </w:rPr>
        <w:t>necessary,</w:t>
      </w:r>
      <w:r>
        <w:rPr>
          <w:i/>
          <w:color w:val="231F20"/>
          <w:spacing w:val="-17"/>
          <w:w w:val="105"/>
          <w:sz w:val="19"/>
        </w:rPr>
        <w:t xml:space="preserve"> </w:t>
      </w:r>
      <w:r>
        <w:rPr>
          <w:i/>
          <w:color w:val="231F20"/>
          <w:w w:val="105"/>
          <w:sz w:val="19"/>
        </w:rPr>
        <w:t>so that, under §</w:t>
      </w:r>
      <w:r>
        <w:rPr>
          <w:rFonts w:ascii="Bookman Old Style" w:hAnsi="Bookman Old Style"/>
          <w:i/>
          <w:color w:val="231F20"/>
          <w:w w:val="105"/>
          <w:sz w:val="19"/>
        </w:rPr>
        <w:t xml:space="preserve">81 </w:t>
      </w:r>
      <w:r>
        <w:rPr>
          <w:i/>
          <w:color w:val="231F20"/>
          <w:w w:val="105"/>
          <w:sz w:val="19"/>
        </w:rPr>
        <w:t>of the Criminal Code, the pertinent court order can be obtained. Should it be necessary to involve a neurologist,</w:t>
      </w:r>
      <w:r>
        <w:rPr>
          <w:i/>
          <w:color w:val="231F20"/>
          <w:spacing w:val="-33"/>
          <w:w w:val="105"/>
          <w:sz w:val="19"/>
        </w:rPr>
        <w:t xml:space="preserve"> </w:t>
      </w:r>
      <w:r>
        <w:rPr>
          <w:i/>
          <w:color w:val="231F20"/>
          <w:w w:val="105"/>
          <w:sz w:val="19"/>
        </w:rPr>
        <w:t>I would</w:t>
      </w:r>
      <w:r>
        <w:rPr>
          <w:i/>
          <w:color w:val="231F20"/>
          <w:spacing w:val="-14"/>
          <w:w w:val="105"/>
          <w:sz w:val="19"/>
        </w:rPr>
        <w:t xml:space="preserve"> </w:t>
      </w:r>
      <w:r>
        <w:rPr>
          <w:i/>
          <w:color w:val="231F20"/>
          <w:w w:val="105"/>
          <w:sz w:val="19"/>
        </w:rPr>
        <w:t>suggest</w:t>
      </w:r>
      <w:r>
        <w:rPr>
          <w:i/>
          <w:color w:val="231F20"/>
          <w:spacing w:val="-14"/>
          <w:w w:val="105"/>
          <w:sz w:val="19"/>
        </w:rPr>
        <w:t xml:space="preserve"> </w:t>
      </w:r>
      <w:r>
        <w:rPr>
          <w:i/>
          <w:color w:val="231F20"/>
          <w:w w:val="105"/>
          <w:sz w:val="19"/>
        </w:rPr>
        <w:t>making</w:t>
      </w:r>
      <w:r>
        <w:rPr>
          <w:i/>
          <w:color w:val="231F20"/>
          <w:spacing w:val="-14"/>
          <w:w w:val="105"/>
          <w:sz w:val="19"/>
        </w:rPr>
        <w:t xml:space="preserve"> </w:t>
      </w:r>
      <w:r>
        <w:rPr>
          <w:i/>
          <w:color w:val="231F20"/>
          <w:w w:val="105"/>
          <w:sz w:val="19"/>
        </w:rPr>
        <w:t>arrangements</w:t>
      </w:r>
      <w:r>
        <w:rPr>
          <w:i/>
          <w:color w:val="231F20"/>
          <w:spacing w:val="-14"/>
          <w:w w:val="105"/>
          <w:sz w:val="19"/>
        </w:rPr>
        <w:t xml:space="preserve"> </w:t>
      </w:r>
      <w:r>
        <w:rPr>
          <w:i/>
          <w:color w:val="231F20"/>
          <w:w w:val="105"/>
          <w:sz w:val="19"/>
        </w:rPr>
        <w:t>to</w:t>
      </w:r>
      <w:r>
        <w:rPr>
          <w:i/>
          <w:color w:val="231F20"/>
          <w:spacing w:val="-14"/>
          <w:w w:val="105"/>
          <w:sz w:val="19"/>
        </w:rPr>
        <w:t xml:space="preserve"> </w:t>
      </w:r>
      <w:r>
        <w:rPr>
          <w:i/>
          <w:color w:val="231F20"/>
          <w:w w:val="105"/>
          <w:sz w:val="19"/>
        </w:rPr>
        <w:t>obtain</w:t>
      </w:r>
      <w:r>
        <w:rPr>
          <w:i/>
          <w:color w:val="231F20"/>
          <w:spacing w:val="-14"/>
          <w:w w:val="105"/>
          <w:sz w:val="19"/>
        </w:rPr>
        <w:t xml:space="preserve"> </w:t>
      </w:r>
      <w:r>
        <w:rPr>
          <w:i/>
          <w:color w:val="231F20"/>
          <w:w w:val="105"/>
          <w:sz w:val="19"/>
        </w:rPr>
        <w:t>the</w:t>
      </w:r>
      <w:r>
        <w:rPr>
          <w:i/>
          <w:color w:val="231F20"/>
          <w:spacing w:val="-14"/>
          <w:w w:val="105"/>
          <w:sz w:val="19"/>
        </w:rPr>
        <w:t xml:space="preserve"> </w:t>
      </w:r>
      <w:r>
        <w:rPr>
          <w:i/>
          <w:color w:val="231F20"/>
          <w:w w:val="105"/>
          <w:sz w:val="19"/>
        </w:rPr>
        <w:t>cooperation</w:t>
      </w:r>
      <w:r>
        <w:rPr>
          <w:i/>
          <w:color w:val="231F20"/>
          <w:spacing w:val="-14"/>
          <w:w w:val="105"/>
          <w:sz w:val="19"/>
        </w:rPr>
        <w:t xml:space="preserve"> </w:t>
      </w:r>
      <w:r>
        <w:rPr>
          <w:i/>
          <w:color w:val="231F20"/>
          <w:w w:val="105"/>
          <w:sz w:val="19"/>
        </w:rPr>
        <w:t xml:space="preserve">of the Director of the University Neurological Clinic in Homburg, Professor </w:t>
      </w:r>
      <w:r>
        <w:rPr>
          <w:i/>
          <w:color w:val="231F20"/>
          <w:spacing w:val="-8"/>
          <w:w w:val="105"/>
          <w:sz w:val="19"/>
        </w:rPr>
        <w:t>Dr.</w:t>
      </w:r>
      <w:r>
        <w:rPr>
          <w:i/>
          <w:color w:val="231F20"/>
          <w:spacing w:val="10"/>
          <w:w w:val="105"/>
          <w:sz w:val="19"/>
        </w:rPr>
        <w:t xml:space="preserve"> </w:t>
      </w:r>
      <w:r>
        <w:rPr>
          <w:i/>
          <w:color w:val="231F20"/>
          <w:spacing w:val="-4"/>
          <w:w w:val="105"/>
          <w:sz w:val="19"/>
        </w:rPr>
        <w:t>Loew.</w:t>
      </w:r>
    </w:p>
    <w:p w14:paraId="779E7838" w14:textId="77777777" w:rsidR="002653E8" w:rsidRDefault="003115E3">
      <w:pPr>
        <w:pStyle w:val="a3"/>
        <w:spacing w:before="133" w:line="264" w:lineRule="auto"/>
        <w:ind w:left="1327" w:right="1146"/>
        <w:jc w:val="both"/>
      </w:pPr>
      <w:r>
        <w:rPr>
          <w:color w:val="231F20"/>
        </w:rPr>
        <w:t>At this point the attempt to gain control of Ulrike’s brain became obvious. Loew is one of the most notorious neurosurgeons in Germany. He experiments with “adaptive surgery” on prisoners.</w:t>
      </w:r>
    </w:p>
    <w:p w14:paraId="157700BF" w14:textId="77777777" w:rsidR="002653E8" w:rsidRDefault="003115E3">
      <w:pPr>
        <w:pStyle w:val="a3"/>
        <w:spacing w:line="264" w:lineRule="auto"/>
        <w:ind w:left="1327" w:right="1146" w:firstLine="210"/>
        <w:jc w:val="both"/>
      </w:pPr>
      <w:r>
        <w:rPr>
          <w:color w:val="231F20"/>
        </w:rPr>
        <w:t>Witter, in his answer, initially requested an x-ray of the skull and a scintigraphy.</w:t>
      </w:r>
      <w:r>
        <w:rPr>
          <w:color w:val="231F20"/>
          <w:position w:val="7"/>
          <w:sz w:val="11"/>
        </w:rPr>
        <w:t xml:space="preserve">2 </w:t>
      </w:r>
      <w:r>
        <w:rPr>
          <w:color w:val="231F20"/>
        </w:rPr>
        <w:t>But in the same letter, he explains to the BAW that the examination could be carried out under anesthesia, should Ulrike, to quote, “refuse to cooperate.”</w:t>
      </w:r>
    </w:p>
    <w:p w14:paraId="1164515E" w14:textId="77777777" w:rsidR="002653E8" w:rsidRDefault="003115E3">
      <w:pPr>
        <w:pStyle w:val="a3"/>
        <w:spacing w:line="264" w:lineRule="auto"/>
        <w:ind w:left="1327" w:right="1146" w:firstLine="210"/>
        <w:jc w:val="both"/>
      </w:pPr>
      <w:r>
        <w:rPr>
          <w:color w:val="231F20"/>
        </w:rPr>
        <w:t xml:space="preserve">The objective of this intervention is made clear in an August  28, </w:t>
      </w:r>
      <w:r>
        <w:rPr>
          <w:color w:val="231F20"/>
          <w:spacing w:val="-5"/>
        </w:rPr>
        <w:t xml:space="preserve">1973, </w:t>
      </w:r>
      <w:r>
        <w:rPr>
          <w:color w:val="231F20"/>
        </w:rPr>
        <w:t xml:space="preserve">letter to the Attorney General. It says, </w:t>
      </w:r>
      <w:r>
        <w:rPr>
          <w:color w:val="231F20"/>
          <w:spacing w:val="-4"/>
        </w:rPr>
        <w:t xml:space="preserve">“Above  </w:t>
      </w:r>
      <w:r>
        <w:rPr>
          <w:color w:val="231F20"/>
        </w:rPr>
        <w:t>all,  proof  of  a  brain tumor could be an important indication of the need for a therapeutic</w:t>
      </w:r>
      <w:r>
        <w:rPr>
          <w:color w:val="231F20"/>
          <w:spacing w:val="10"/>
        </w:rPr>
        <w:t xml:space="preserve"> </w:t>
      </w:r>
      <w:r>
        <w:rPr>
          <w:color w:val="231F20"/>
        </w:rPr>
        <w:t>operation.”</w:t>
      </w:r>
    </w:p>
    <w:p w14:paraId="50923C8B" w14:textId="77777777" w:rsidR="002653E8" w:rsidRDefault="003115E3">
      <w:pPr>
        <w:pStyle w:val="a3"/>
        <w:spacing w:line="264" w:lineRule="auto"/>
        <w:ind w:left="1327" w:right="1145" w:firstLine="210"/>
        <w:jc w:val="both"/>
      </w:pPr>
      <w:r>
        <w:rPr>
          <w:color w:val="231F20"/>
        </w:rPr>
        <w:t>“Important indication” here means that permission for cretinization is not required from either the prisoner or the prisoner’s relatives. The psychiatrist decides “after consideration” about whether to proceed with stereotactical</w:t>
      </w:r>
      <w:r>
        <w:rPr>
          <w:color w:val="231F20"/>
          <w:position w:val="7"/>
          <w:sz w:val="11"/>
        </w:rPr>
        <w:t xml:space="preserve">3 </w:t>
      </w:r>
      <w:r>
        <w:rPr>
          <w:color w:val="231F20"/>
        </w:rPr>
        <w:t xml:space="preserve">mutilation. The </w:t>
      </w:r>
      <w:r>
        <w:rPr>
          <w:color w:val="231F20"/>
          <w:spacing w:val="-6"/>
        </w:rPr>
        <w:t xml:space="preserve">BAW </w:t>
      </w:r>
      <w:r>
        <w:rPr>
          <w:color w:val="231F20"/>
        </w:rPr>
        <w:t>then files a petition with the investigating judge and after receiving the decision orders the intervention, with the proviso that “These measures can be undertaken against the will of the accused, and if necessary by use of direct force and under anesthesia.”</w:t>
      </w:r>
    </w:p>
    <w:p w14:paraId="15297F95" w14:textId="1ED1EC4C" w:rsidR="002653E8" w:rsidRPr="00F46613" w:rsidRDefault="00000000">
      <w:pPr>
        <w:pStyle w:val="a3"/>
        <w:spacing w:before="11"/>
        <w:rPr>
          <w:rFonts w:eastAsiaTheme="minorEastAsia"/>
          <w:sz w:val="17"/>
        </w:rPr>
      </w:pPr>
      <w:r>
        <w:rPr>
          <w:noProof w:val="0"/>
        </w:rPr>
        <w:pict w14:anchorId="50D73A74">
          <v:line id="_x0000_s2258" style="position:absolute;z-index:8800;mso-wrap-distance-left:0;mso-wrap-distance-right:0;mso-position-horizontal-relative:page" from="66.4pt,12.75pt" to="138.4pt,12.75pt" strokecolor="#231f20" strokeweight=".5pt">
            <w10:wrap type="topAndBottom" anchorx="page"/>
          </v:line>
        </w:pict>
      </w:r>
    </w:p>
    <w:p w14:paraId="74103DDC" w14:textId="77777777" w:rsidR="002653E8" w:rsidRDefault="003115E3">
      <w:pPr>
        <w:pStyle w:val="a4"/>
        <w:numPr>
          <w:ilvl w:val="0"/>
          <w:numId w:val="11"/>
        </w:numPr>
        <w:tabs>
          <w:tab w:val="left" w:pos="1467"/>
        </w:tabs>
        <w:spacing w:before="53" w:line="254" w:lineRule="auto"/>
        <w:ind w:right="1279" w:firstLine="0"/>
        <w:jc w:val="both"/>
        <w:rPr>
          <w:sz w:val="16"/>
        </w:rPr>
      </w:pPr>
      <w:r>
        <w:rPr>
          <w:color w:val="231F20"/>
          <w:w w:val="110"/>
          <w:sz w:val="16"/>
        </w:rPr>
        <w:t xml:space="preserve">According to the MedicineNet.com, scintigraphy is </w:t>
      </w:r>
      <w:r>
        <w:rPr>
          <w:color w:val="231F20"/>
          <w:spacing w:val="-7"/>
          <w:w w:val="110"/>
          <w:sz w:val="16"/>
        </w:rPr>
        <w:t xml:space="preserve">“A </w:t>
      </w:r>
      <w:r>
        <w:rPr>
          <w:color w:val="231F20"/>
          <w:w w:val="110"/>
          <w:sz w:val="16"/>
        </w:rPr>
        <w:t>diagnostic test in which a two-dimensional</w:t>
      </w:r>
      <w:r>
        <w:rPr>
          <w:color w:val="231F20"/>
          <w:spacing w:val="-12"/>
          <w:w w:val="110"/>
          <w:sz w:val="16"/>
        </w:rPr>
        <w:t xml:space="preserve"> </w:t>
      </w:r>
      <w:r>
        <w:rPr>
          <w:color w:val="231F20"/>
          <w:w w:val="110"/>
          <w:sz w:val="16"/>
        </w:rPr>
        <w:t>picture</w:t>
      </w:r>
      <w:r>
        <w:rPr>
          <w:color w:val="231F20"/>
          <w:spacing w:val="-12"/>
          <w:w w:val="110"/>
          <w:sz w:val="16"/>
        </w:rPr>
        <w:t xml:space="preserve"> </w:t>
      </w:r>
      <w:r>
        <w:rPr>
          <w:color w:val="231F20"/>
          <w:w w:val="110"/>
          <w:sz w:val="16"/>
        </w:rPr>
        <w:t>of</w:t>
      </w:r>
      <w:r>
        <w:rPr>
          <w:color w:val="231F20"/>
          <w:spacing w:val="-12"/>
          <w:w w:val="110"/>
          <w:sz w:val="16"/>
        </w:rPr>
        <w:t xml:space="preserve"> </w:t>
      </w:r>
      <w:r>
        <w:rPr>
          <w:color w:val="231F20"/>
          <w:w w:val="110"/>
          <w:sz w:val="16"/>
        </w:rPr>
        <w:t>a</w:t>
      </w:r>
      <w:r>
        <w:rPr>
          <w:color w:val="231F20"/>
          <w:spacing w:val="-12"/>
          <w:w w:val="110"/>
          <w:sz w:val="16"/>
        </w:rPr>
        <w:t xml:space="preserve"> </w:t>
      </w:r>
      <w:r>
        <w:rPr>
          <w:color w:val="231F20"/>
          <w:w w:val="110"/>
          <w:sz w:val="16"/>
        </w:rPr>
        <w:t>body</w:t>
      </w:r>
      <w:r>
        <w:rPr>
          <w:color w:val="231F20"/>
          <w:spacing w:val="-12"/>
          <w:w w:val="110"/>
          <w:sz w:val="16"/>
        </w:rPr>
        <w:t xml:space="preserve"> </w:t>
      </w:r>
      <w:r>
        <w:rPr>
          <w:color w:val="231F20"/>
          <w:w w:val="110"/>
          <w:sz w:val="16"/>
        </w:rPr>
        <w:t>radiation</w:t>
      </w:r>
      <w:r>
        <w:rPr>
          <w:color w:val="231F20"/>
          <w:spacing w:val="-12"/>
          <w:w w:val="110"/>
          <w:sz w:val="16"/>
        </w:rPr>
        <w:t xml:space="preserve"> </w:t>
      </w:r>
      <w:r>
        <w:rPr>
          <w:color w:val="231F20"/>
          <w:w w:val="110"/>
          <w:sz w:val="16"/>
        </w:rPr>
        <w:t>source</w:t>
      </w:r>
      <w:r>
        <w:rPr>
          <w:color w:val="231F20"/>
          <w:spacing w:val="-12"/>
          <w:w w:val="110"/>
          <w:sz w:val="16"/>
        </w:rPr>
        <w:t xml:space="preserve"> </w:t>
      </w:r>
      <w:r>
        <w:rPr>
          <w:color w:val="231F20"/>
          <w:w w:val="110"/>
          <w:sz w:val="16"/>
        </w:rPr>
        <w:t>is</w:t>
      </w:r>
      <w:r>
        <w:rPr>
          <w:color w:val="231F20"/>
          <w:spacing w:val="-12"/>
          <w:w w:val="110"/>
          <w:sz w:val="16"/>
        </w:rPr>
        <w:t xml:space="preserve"> </w:t>
      </w:r>
      <w:r>
        <w:rPr>
          <w:color w:val="231F20"/>
          <w:w w:val="110"/>
          <w:sz w:val="16"/>
        </w:rPr>
        <w:t>obtained</w:t>
      </w:r>
      <w:r>
        <w:rPr>
          <w:color w:val="231F20"/>
          <w:spacing w:val="-12"/>
          <w:w w:val="110"/>
          <w:sz w:val="16"/>
        </w:rPr>
        <w:t xml:space="preserve"> </w:t>
      </w:r>
      <w:r>
        <w:rPr>
          <w:color w:val="231F20"/>
          <w:w w:val="110"/>
          <w:sz w:val="16"/>
        </w:rPr>
        <w:t>through</w:t>
      </w:r>
      <w:r>
        <w:rPr>
          <w:color w:val="231F20"/>
          <w:spacing w:val="-12"/>
          <w:w w:val="110"/>
          <w:sz w:val="16"/>
        </w:rPr>
        <w:t xml:space="preserve"> </w:t>
      </w:r>
      <w:r>
        <w:rPr>
          <w:color w:val="231F20"/>
          <w:w w:val="110"/>
          <w:sz w:val="16"/>
        </w:rPr>
        <w:t>the</w:t>
      </w:r>
      <w:r>
        <w:rPr>
          <w:color w:val="231F20"/>
          <w:spacing w:val="-12"/>
          <w:w w:val="110"/>
          <w:sz w:val="16"/>
        </w:rPr>
        <w:t xml:space="preserve"> </w:t>
      </w:r>
      <w:r>
        <w:rPr>
          <w:color w:val="231F20"/>
          <w:w w:val="110"/>
          <w:sz w:val="16"/>
        </w:rPr>
        <w:t>use</w:t>
      </w:r>
      <w:r>
        <w:rPr>
          <w:color w:val="231F20"/>
          <w:spacing w:val="-12"/>
          <w:w w:val="110"/>
          <w:sz w:val="16"/>
        </w:rPr>
        <w:t xml:space="preserve"> </w:t>
      </w:r>
      <w:r>
        <w:rPr>
          <w:color w:val="231F20"/>
          <w:w w:val="110"/>
          <w:sz w:val="16"/>
        </w:rPr>
        <w:t>of radioisotopes.”</w:t>
      </w:r>
    </w:p>
    <w:p w14:paraId="2E220CBF" w14:textId="77777777" w:rsidR="002653E8" w:rsidRDefault="003115E3">
      <w:pPr>
        <w:pStyle w:val="a4"/>
        <w:numPr>
          <w:ilvl w:val="0"/>
          <w:numId w:val="11"/>
        </w:numPr>
        <w:tabs>
          <w:tab w:val="left" w:pos="1467"/>
        </w:tabs>
        <w:spacing w:line="254" w:lineRule="auto"/>
        <w:ind w:right="1183" w:firstLine="0"/>
        <w:rPr>
          <w:sz w:val="16"/>
        </w:rPr>
      </w:pPr>
      <w:r>
        <w:rPr>
          <w:color w:val="231F20"/>
          <w:sz w:val="16"/>
        </w:rPr>
        <w:t xml:space="preserve">According  to  the  </w:t>
      </w:r>
      <w:r>
        <w:rPr>
          <w:i/>
          <w:color w:val="231F20"/>
          <w:spacing w:val="2"/>
          <w:sz w:val="16"/>
        </w:rPr>
        <w:t xml:space="preserve">American </w:t>
      </w:r>
      <w:r>
        <w:rPr>
          <w:i/>
          <w:color w:val="231F20"/>
          <w:spacing w:val="40"/>
          <w:sz w:val="16"/>
        </w:rPr>
        <w:t xml:space="preserve"> </w:t>
      </w:r>
      <w:r>
        <w:rPr>
          <w:i/>
          <w:color w:val="231F20"/>
          <w:sz w:val="16"/>
        </w:rPr>
        <w:t xml:space="preserve">Medical   Heritage   Dictionary,   </w:t>
      </w:r>
      <w:r>
        <w:rPr>
          <w:color w:val="231F20"/>
          <w:sz w:val="16"/>
        </w:rPr>
        <w:t xml:space="preserve">stereotactical   </w:t>
      </w:r>
      <w:r>
        <w:rPr>
          <w:color w:val="231F20"/>
          <w:spacing w:val="1"/>
          <w:sz w:val="16"/>
        </w:rPr>
        <w:t xml:space="preserve">pertains </w:t>
      </w:r>
      <w:r>
        <w:rPr>
          <w:color w:val="231F20"/>
          <w:sz w:val="16"/>
        </w:rPr>
        <w:t xml:space="preserve">to stereotaxis, which is </w:t>
      </w:r>
      <w:r>
        <w:rPr>
          <w:color w:val="231F20"/>
          <w:spacing w:val="-7"/>
          <w:w w:val="110"/>
          <w:sz w:val="16"/>
        </w:rPr>
        <w:t xml:space="preserve">“A </w:t>
      </w:r>
      <w:r>
        <w:rPr>
          <w:color w:val="231F20"/>
          <w:sz w:val="16"/>
        </w:rPr>
        <w:t>surgical technique that uses medical imaging to  precisely locate in three dimensions an anatomical site  to  which  a  surgical  instrument  or  a beam of radiation is</w:t>
      </w:r>
      <w:r>
        <w:rPr>
          <w:color w:val="231F20"/>
          <w:spacing w:val="10"/>
          <w:sz w:val="16"/>
        </w:rPr>
        <w:t xml:space="preserve"> </w:t>
      </w:r>
      <w:r>
        <w:rPr>
          <w:color w:val="231F20"/>
          <w:sz w:val="16"/>
        </w:rPr>
        <w:t>directed.”</w:t>
      </w:r>
    </w:p>
    <w:p w14:paraId="6B4FBD8C" w14:textId="77777777" w:rsidR="002653E8" w:rsidRDefault="002653E8">
      <w:pPr>
        <w:spacing w:line="254" w:lineRule="auto"/>
        <w:rPr>
          <w:sz w:val="16"/>
        </w:rPr>
        <w:sectPr w:rsidR="002653E8">
          <w:footerReference w:type="even" r:id="rId347"/>
          <w:footerReference w:type="default" r:id="rId348"/>
          <w:pgSz w:w="8640" w:h="12960"/>
          <w:pgMar w:top="1060" w:right="0" w:bottom="1040" w:left="0" w:header="0" w:footer="850" w:gutter="0"/>
          <w:cols w:space="720"/>
        </w:sectPr>
      </w:pPr>
    </w:p>
    <w:p w14:paraId="6D278C9B" w14:textId="77777777" w:rsidR="002653E8" w:rsidRDefault="003115E3">
      <w:pPr>
        <w:pStyle w:val="a3"/>
        <w:spacing w:before="86" w:line="264" w:lineRule="auto"/>
        <w:ind w:left="1147" w:right="1326" w:firstLine="210"/>
        <w:jc w:val="both"/>
      </w:pPr>
      <w:r>
        <w:rPr>
          <w:color w:val="231F20"/>
        </w:rPr>
        <w:lastRenderedPageBreak/>
        <w:t>The whole thing eventually failed as a result of massive international protest, including that of many doctors.</w:t>
      </w:r>
    </w:p>
    <w:p w14:paraId="214A141E" w14:textId="77777777" w:rsidR="002653E8" w:rsidRDefault="003115E3">
      <w:pPr>
        <w:pStyle w:val="a3"/>
        <w:spacing w:line="264" w:lineRule="auto"/>
        <w:ind w:left="1147" w:right="1325" w:firstLine="210"/>
        <w:jc w:val="both"/>
      </w:pPr>
      <w:r>
        <w:rPr>
          <w:color w:val="231F20"/>
        </w:rPr>
        <w:t xml:space="preserve">Striving for an orderly retreat, the </w:t>
      </w:r>
      <w:r>
        <w:rPr>
          <w:color w:val="231F20"/>
          <w:spacing w:val="-6"/>
        </w:rPr>
        <w:t xml:space="preserve">BAW </w:t>
      </w:r>
      <w:r>
        <w:rPr>
          <w:color w:val="231F20"/>
        </w:rPr>
        <w:t xml:space="preserve">declared that they had only  at this point become aware of Ulrike’s medical history, which had been published in the </w:t>
      </w:r>
      <w:r>
        <w:rPr>
          <w:i/>
          <w:color w:val="231F20"/>
        </w:rPr>
        <w:t xml:space="preserve">Zentralblatt für Neorochirurgie </w:t>
      </w:r>
      <w:r>
        <w:rPr>
          <w:color w:val="231F20"/>
        </w:rPr>
        <w:t xml:space="preserve">in </w:t>
      </w:r>
      <w:r>
        <w:rPr>
          <w:color w:val="231F20"/>
          <w:spacing w:val="-4"/>
        </w:rPr>
        <w:t xml:space="preserve">1968  </w:t>
      </w:r>
      <w:r>
        <w:rPr>
          <w:color w:val="231F20"/>
        </w:rPr>
        <w:t xml:space="preserve">and in </w:t>
      </w:r>
      <w:r>
        <w:rPr>
          <w:i/>
          <w:color w:val="231F20"/>
          <w:spacing w:val="1"/>
        </w:rPr>
        <w:t xml:space="preserve">Stern    </w:t>
      </w:r>
      <w:r>
        <w:rPr>
          <w:color w:val="231F20"/>
        </w:rPr>
        <w:t xml:space="preserve">in </w:t>
      </w:r>
      <w:r>
        <w:rPr>
          <w:color w:val="231F20"/>
          <w:spacing w:val="-3"/>
        </w:rPr>
        <w:t xml:space="preserve">1972. </w:t>
      </w:r>
      <w:r>
        <w:rPr>
          <w:color w:val="231F20"/>
        </w:rPr>
        <w:t>That is a stupid lie, as, according to the files, Ulrike was identified by state security after her arrest in 72 by referring to the x-rays in her medical</w:t>
      </w:r>
      <w:r>
        <w:rPr>
          <w:color w:val="231F20"/>
          <w:spacing w:val="20"/>
        </w:rPr>
        <w:t xml:space="preserve"> </w:t>
      </w:r>
      <w:r>
        <w:rPr>
          <w:color w:val="231F20"/>
        </w:rPr>
        <w:t>files.</w:t>
      </w:r>
    </w:p>
    <w:p w14:paraId="3D919419" w14:textId="795E394B" w:rsidR="002653E8" w:rsidRDefault="003115E3" w:rsidP="00541CDA">
      <w:pPr>
        <w:pStyle w:val="a3"/>
        <w:spacing w:line="264" w:lineRule="auto"/>
        <w:ind w:left="1148" w:right="1325" w:firstLine="210"/>
        <w:jc w:val="both"/>
      </w:pPr>
      <w:r>
        <w:rPr>
          <w:color w:val="231F20"/>
        </w:rPr>
        <w:t>After that, Ulrike was placed in the dead wing on two more occasions—alone from December 21, 1973, until January 3, 1974, and to-</w:t>
      </w:r>
      <w:r>
        <w:rPr>
          <w:color w:val="231F20"/>
          <w:w w:val="105"/>
        </w:rPr>
        <w:t>gether with Gudrun from February 5, 1974, until April 28, 1974.</w:t>
      </w:r>
    </w:p>
    <w:p w14:paraId="14EB6790" w14:textId="77777777" w:rsidR="002653E8" w:rsidRDefault="003115E3">
      <w:pPr>
        <w:pStyle w:val="a3"/>
        <w:spacing w:before="14" w:line="264" w:lineRule="auto"/>
        <w:ind w:left="1147" w:right="1326" w:firstLine="210"/>
        <w:jc w:val="both"/>
      </w:pPr>
      <w:r>
        <w:rPr>
          <w:color w:val="231F20"/>
        </w:rPr>
        <w:t>But the incarceration of the two prisoners in the dead wing met with such strong international protests that the SPD government had to drop their plan to pathologize Ulrike in order to depict fundamental opposition to the Federal Republic as constituting an illness. The project, a “quiet and determined assertion of normality,” was an attempt to present, through torture and neurosurgery, a destroyed mind at a political show trial. It failed. That is the back story.</w:t>
      </w:r>
    </w:p>
    <w:p w14:paraId="25F0C90B" w14:textId="77777777" w:rsidR="002653E8" w:rsidRDefault="003115E3">
      <w:pPr>
        <w:pStyle w:val="a3"/>
        <w:spacing w:line="264" w:lineRule="auto"/>
        <w:ind w:left="1147" w:right="1326" w:firstLine="210"/>
        <w:jc w:val="both"/>
      </w:pPr>
      <w:r>
        <w:rPr>
          <w:color w:val="231F20"/>
          <w:spacing w:val="1"/>
        </w:rPr>
        <w:t xml:space="preserve">All </w:t>
      </w:r>
      <w:r>
        <w:rPr>
          <w:color w:val="231F20"/>
        </w:rPr>
        <w:t xml:space="preserve">the facts, which are gradually becoming known, suggest that on the night of May 8-9, </w:t>
      </w:r>
      <w:r>
        <w:rPr>
          <w:color w:val="231F20"/>
          <w:spacing w:val="-4"/>
        </w:rPr>
        <w:t xml:space="preserve">1976, </w:t>
      </w:r>
      <w:r>
        <w:rPr>
          <w:color w:val="231F20"/>
        </w:rPr>
        <w:t>Ulrike was murdered by state security, because the years of torture had failed to destroy her political identity, her revolutionary</w:t>
      </w:r>
      <w:r>
        <w:rPr>
          <w:color w:val="231F20"/>
          <w:spacing w:val="10"/>
        </w:rPr>
        <w:t xml:space="preserve"> </w:t>
      </w:r>
      <w:r>
        <w:rPr>
          <w:color w:val="231F20"/>
        </w:rPr>
        <w:t>consciousness,</w:t>
      </w:r>
      <w:r>
        <w:rPr>
          <w:color w:val="231F20"/>
          <w:spacing w:val="10"/>
        </w:rPr>
        <w:t xml:space="preserve"> </w:t>
      </w:r>
      <w:r>
        <w:rPr>
          <w:color w:val="231F20"/>
        </w:rPr>
        <w:t>and</w:t>
      </w:r>
      <w:r>
        <w:rPr>
          <w:color w:val="231F20"/>
          <w:spacing w:val="10"/>
        </w:rPr>
        <w:t xml:space="preserve"> </w:t>
      </w:r>
      <w:r>
        <w:rPr>
          <w:color w:val="231F20"/>
        </w:rPr>
        <w:t>her</w:t>
      </w:r>
      <w:r>
        <w:rPr>
          <w:color w:val="231F20"/>
          <w:spacing w:val="10"/>
        </w:rPr>
        <w:t xml:space="preserve"> </w:t>
      </w:r>
      <w:r>
        <w:rPr>
          <w:color w:val="231F20"/>
        </w:rPr>
        <w:t>will</w:t>
      </w:r>
      <w:r>
        <w:rPr>
          <w:color w:val="231F20"/>
          <w:spacing w:val="10"/>
        </w:rPr>
        <w:t xml:space="preserve"> </w:t>
      </w:r>
      <w:r>
        <w:rPr>
          <w:color w:val="231F20"/>
        </w:rPr>
        <w:t>to</w:t>
      </w:r>
      <w:r>
        <w:rPr>
          <w:color w:val="231F20"/>
          <w:spacing w:val="10"/>
        </w:rPr>
        <w:t xml:space="preserve"> </w:t>
      </w:r>
      <w:r>
        <w:rPr>
          <w:color w:val="231F20"/>
        </w:rPr>
        <w:t>fight.</w:t>
      </w:r>
    </w:p>
    <w:p w14:paraId="215D7AA6" w14:textId="77777777" w:rsidR="002653E8" w:rsidRDefault="003115E3">
      <w:pPr>
        <w:pStyle w:val="a3"/>
        <w:spacing w:line="264" w:lineRule="auto"/>
        <w:ind w:left="1147" w:right="1325" w:firstLine="210"/>
        <w:jc w:val="both"/>
      </w:pPr>
      <w:r>
        <w:rPr>
          <w:color w:val="231F20"/>
        </w:rPr>
        <w:t xml:space="preserve">The staging of the suicide follows the exact psychological warfare  line that state security has followed since </w:t>
      </w:r>
      <w:r>
        <w:rPr>
          <w:color w:val="231F20"/>
          <w:spacing w:val="-4"/>
        </w:rPr>
        <w:t xml:space="preserve">1970. </w:t>
      </w:r>
      <w:r>
        <w:rPr>
          <w:color w:val="231F20"/>
        </w:rPr>
        <w:t xml:space="preserve">Physical liquidation and the political extermination of the </w:t>
      </w:r>
      <w:r w:rsidR="00C507A5">
        <w:rPr>
          <w:color w:val="231F20"/>
          <w:spacing w:val="5"/>
        </w:rPr>
        <w:t>red army faction</w:t>
      </w:r>
      <w:r>
        <w:rPr>
          <w:color w:val="231F20"/>
          <w:spacing w:val="5"/>
        </w:rPr>
        <w:t xml:space="preserve"> </w:t>
      </w:r>
      <w:r>
        <w:rPr>
          <w:color w:val="231F20"/>
        </w:rPr>
        <w:t xml:space="preserve">were the objectives of the massive hate and counterinsurgency campaign. </w:t>
      </w:r>
      <w:r>
        <w:rPr>
          <w:color w:val="231F20"/>
          <w:spacing w:val="-7"/>
        </w:rPr>
        <w:t xml:space="preserve">Two </w:t>
      </w:r>
      <w:r>
        <w:rPr>
          <w:color w:val="231F20"/>
        </w:rPr>
        <w:t xml:space="preserve">months ago, Buback, the Attorney General, held that the second package of special legislation that had been rushed through was no longer needed for this trial, because, </w:t>
      </w:r>
      <w:r>
        <w:rPr>
          <w:color w:val="231F20"/>
          <w:spacing w:val="-3"/>
        </w:rPr>
        <w:t xml:space="preserve">“We </w:t>
      </w:r>
      <w:r>
        <w:rPr>
          <w:color w:val="231F20"/>
        </w:rPr>
        <w:t xml:space="preserve">do not need any legal provisions. State security is given life by those who are committed to it. People like Herold and myself, we always find a </w:t>
      </w:r>
      <w:r>
        <w:rPr>
          <w:color w:val="231F20"/>
          <w:spacing w:val="-5"/>
        </w:rPr>
        <w:t xml:space="preserve">way. </w:t>
      </w:r>
      <w:r>
        <w:rPr>
          <w:color w:val="231F20"/>
          <w:spacing w:val="1"/>
        </w:rPr>
        <w:t xml:space="preserve">If </w:t>
      </w:r>
      <w:r>
        <w:rPr>
          <w:color w:val="231F20"/>
        </w:rPr>
        <w:t>there are statutory provisions that must from time to</w:t>
      </w:r>
      <w:r>
        <w:rPr>
          <w:color w:val="231F20"/>
          <w:spacing w:val="10"/>
        </w:rPr>
        <w:t xml:space="preserve"> </w:t>
      </w:r>
      <w:r>
        <w:rPr>
          <w:color w:val="231F20"/>
        </w:rPr>
        <w:t>time</w:t>
      </w:r>
      <w:r>
        <w:rPr>
          <w:color w:val="231F20"/>
          <w:spacing w:val="10"/>
        </w:rPr>
        <w:t xml:space="preserve"> </w:t>
      </w:r>
      <w:r>
        <w:rPr>
          <w:color w:val="231F20"/>
        </w:rPr>
        <w:t>be</w:t>
      </w:r>
      <w:r>
        <w:rPr>
          <w:color w:val="231F20"/>
          <w:spacing w:val="10"/>
        </w:rPr>
        <w:t xml:space="preserve"> </w:t>
      </w:r>
      <w:r>
        <w:rPr>
          <w:color w:val="231F20"/>
        </w:rPr>
        <w:t>stretched,</w:t>
      </w:r>
      <w:r>
        <w:rPr>
          <w:color w:val="231F20"/>
          <w:spacing w:val="10"/>
        </w:rPr>
        <w:t xml:space="preserve"> </w:t>
      </w:r>
      <w:r>
        <w:rPr>
          <w:color w:val="231F20"/>
        </w:rPr>
        <w:t>they</w:t>
      </w:r>
      <w:r>
        <w:rPr>
          <w:color w:val="231F20"/>
          <w:spacing w:val="10"/>
        </w:rPr>
        <w:t xml:space="preserve"> </w:t>
      </w:r>
      <w:r>
        <w:rPr>
          <w:color w:val="231F20"/>
        </w:rPr>
        <w:t>will</w:t>
      </w:r>
      <w:r>
        <w:rPr>
          <w:color w:val="231F20"/>
          <w:spacing w:val="10"/>
        </w:rPr>
        <w:t xml:space="preserve"> </w:t>
      </w:r>
      <w:r>
        <w:rPr>
          <w:color w:val="231F20"/>
        </w:rPr>
        <w:t>for</w:t>
      </w:r>
      <w:r>
        <w:rPr>
          <w:color w:val="231F20"/>
          <w:spacing w:val="10"/>
        </w:rPr>
        <w:t xml:space="preserve"> </w:t>
      </w:r>
      <w:r>
        <w:rPr>
          <w:color w:val="231F20"/>
        </w:rPr>
        <w:t>the</w:t>
      </w:r>
      <w:r>
        <w:rPr>
          <w:color w:val="231F20"/>
          <w:spacing w:val="10"/>
        </w:rPr>
        <w:t xml:space="preserve"> </w:t>
      </w:r>
      <w:r>
        <w:rPr>
          <w:color w:val="231F20"/>
        </w:rPr>
        <w:t>most</w:t>
      </w:r>
      <w:r>
        <w:rPr>
          <w:color w:val="231F20"/>
          <w:spacing w:val="10"/>
        </w:rPr>
        <w:t xml:space="preserve"> </w:t>
      </w:r>
      <w:r>
        <w:rPr>
          <w:color w:val="231F20"/>
        </w:rPr>
        <w:t>part</w:t>
      </w:r>
      <w:r>
        <w:rPr>
          <w:color w:val="231F20"/>
          <w:spacing w:val="10"/>
        </w:rPr>
        <w:t xml:space="preserve"> </w:t>
      </w:r>
      <w:r>
        <w:rPr>
          <w:color w:val="231F20"/>
        </w:rPr>
        <w:t>be</w:t>
      </w:r>
      <w:r>
        <w:rPr>
          <w:color w:val="231F20"/>
          <w:spacing w:val="10"/>
        </w:rPr>
        <w:t xml:space="preserve"> </w:t>
      </w:r>
      <w:r>
        <w:rPr>
          <w:color w:val="231F20"/>
        </w:rPr>
        <w:t>ineffective.”</w:t>
      </w:r>
    </w:p>
    <w:p w14:paraId="1A36E901" w14:textId="77777777" w:rsidR="002653E8" w:rsidRDefault="003115E3">
      <w:pPr>
        <w:pStyle w:val="a3"/>
        <w:spacing w:line="264" w:lineRule="auto"/>
        <w:ind w:left="1147" w:right="1326" w:firstLine="210"/>
        <w:jc w:val="both"/>
      </w:pPr>
      <w:r>
        <w:rPr>
          <w:color w:val="231F20"/>
          <w:w w:val="105"/>
        </w:rPr>
        <w:t>While</w:t>
      </w:r>
      <w:r>
        <w:rPr>
          <w:color w:val="231F20"/>
          <w:spacing w:val="-8"/>
          <w:w w:val="105"/>
        </w:rPr>
        <w:t xml:space="preserve"> </w:t>
      </w:r>
      <w:r>
        <w:rPr>
          <w:color w:val="231F20"/>
          <w:w w:val="105"/>
        </w:rPr>
        <w:t>Herold,</w:t>
      </w:r>
      <w:r>
        <w:rPr>
          <w:color w:val="231F20"/>
          <w:spacing w:val="-7"/>
          <w:w w:val="105"/>
        </w:rPr>
        <w:t xml:space="preserve"> </w:t>
      </w:r>
      <w:r>
        <w:rPr>
          <w:color w:val="231F20"/>
          <w:w w:val="105"/>
        </w:rPr>
        <w:t>the</w:t>
      </w:r>
      <w:r>
        <w:rPr>
          <w:color w:val="231F20"/>
          <w:spacing w:val="-8"/>
          <w:w w:val="105"/>
        </w:rPr>
        <w:t xml:space="preserve"> </w:t>
      </w:r>
      <w:r>
        <w:rPr>
          <w:color w:val="231F20"/>
          <w:w w:val="105"/>
        </w:rPr>
        <w:t>President</w:t>
      </w:r>
      <w:r>
        <w:rPr>
          <w:color w:val="231F20"/>
          <w:spacing w:val="-8"/>
          <w:w w:val="105"/>
        </w:rPr>
        <w:t xml:space="preserve"> </w:t>
      </w:r>
      <w:r>
        <w:rPr>
          <w:color w:val="231F20"/>
          <w:w w:val="105"/>
        </w:rPr>
        <w:t>of</w:t>
      </w:r>
      <w:r>
        <w:rPr>
          <w:color w:val="231F20"/>
          <w:spacing w:val="-7"/>
          <w:w w:val="105"/>
        </w:rPr>
        <w:t xml:space="preserve"> </w:t>
      </w:r>
      <w:r>
        <w:rPr>
          <w:color w:val="231F20"/>
          <w:w w:val="105"/>
        </w:rPr>
        <w:t>the</w:t>
      </w:r>
      <w:r>
        <w:rPr>
          <w:color w:val="231F20"/>
          <w:spacing w:val="-7"/>
          <w:w w:val="105"/>
        </w:rPr>
        <w:t xml:space="preserve"> </w:t>
      </w:r>
      <w:r>
        <w:rPr>
          <w:color w:val="231F20"/>
          <w:spacing w:val="2"/>
          <w:w w:val="105"/>
        </w:rPr>
        <w:t>BKA,</w:t>
      </w:r>
      <w:r>
        <w:rPr>
          <w:color w:val="231F20"/>
          <w:spacing w:val="-7"/>
          <w:w w:val="105"/>
        </w:rPr>
        <w:t xml:space="preserve"> </w:t>
      </w:r>
      <w:r>
        <w:rPr>
          <w:color w:val="231F20"/>
          <w:w w:val="105"/>
        </w:rPr>
        <w:t>said</w:t>
      </w:r>
      <w:r>
        <w:rPr>
          <w:color w:val="231F20"/>
          <w:spacing w:val="-8"/>
          <w:w w:val="105"/>
        </w:rPr>
        <w:t xml:space="preserve"> </w:t>
      </w:r>
      <w:r>
        <w:rPr>
          <w:color w:val="231F20"/>
          <w:w w:val="105"/>
        </w:rPr>
        <w:t>at</w:t>
      </w:r>
      <w:r>
        <w:rPr>
          <w:color w:val="231F20"/>
          <w:spacing w:val="-7"/>
          <w:w w:val="105"/>
        </w:rPr>
        <w:t xml:space="preserve"> </w:t>
      </w:r>
      <w:r>
        <w:rPr>
          <w:color w:val="231F20"/>
          <w:w w:val="105"/>
        </w:rPr>
        <w:t>a</w:t>
      </w:r>
      <w:r>
        <w:rPr>
          <w:color w:val="231F20"/>
          <w:spacing w:val="-8"/>
          <w:w w:val="105"/>
        </w:rPr>
        <w:t xml:space="preserve"> </w:t>
      </w:r>
      <w:r>
        <w:rPr>
          <w:color w:val="231F20"/>
          <w:w w:val="105"/>
        </w:rPr>
        <w:t>meeting</w:t>
      </w:r>
      <w:r>
        <w:rPr>
          <w:color w:val="231F20"/>
          <w:spacing w:val="-7"/>
          <w:w w:val="105"/>
        </w:rPr>
        <w:t xml:space="preserve"> </w:t>
      </w:r>
      <w:r>
        <w:rPr>
          <w:color w:val="231F20"/>
          <w:w w:val="105"/>
        </w:rPr>
        <w:t>regarding the</w:t>
      </w:r>
      <w:r>
        <w:rPr>
          <w:color w:val="231F20"/>
          <w:spacing w:val="-16"/>
          <w:w w:val="105"/>
        </w:rPr>
        <w:t xml:space="preserve"> </w:t>
      </w:r>
      <w:r>
        <w:rPr>
          <w:color w:val="231F20"/>
          <w:w w:val="105"/>
        </w:rPr>
        <w:t>problem</w:t>
      </w:r>
      <w:r>
        <w:rPr>
          <w:color w:val="231F20"/>
          <w:spacing w:val="-16"/>
          <w:w w:val="105"/>
        </w:rPr>
        <w:t xml:space="preserve"> </w:t>
      </w:r>
      <w:r>
        <w:rPr>
          <w:color w:val="231F20"/>
          <w:w w:val="105"/>
        </w:rPr>
        <w:t>of</w:t>
      </w:r>
      <w:r>
        <w:rPr>
          <w:color w:val="231F20"/>
          <w:spacing w:val="-16"/>
          <w:w w:val="105"/>
        </w:rPr>
        <w:t xml:space="preserve"> </w:t>
      </w:r>
      <w:r>
        <w:rPr>
          <w:color w:val="231F20"/>
          <w:w w:val="105"/>
        </w:rPr>
        <w:t>these</w:t>
      </w:r>
      <w:r>
        <w:rPr>
          <w:color w:val="231F20"/>
          <w:spacing w:val="-16"/>
          <w:w w:val="105"/>
        </w:rPr>
        <w:t xml:space="preserve"> </w:t>
      </w:r>
      <w:r>
        <w:rPr>
          <w:color w:val="231F20"/>
          <w:w w:val="105"/>
        </w:rPr>
        <w:t>prisoners,</w:t>
      </w:r>
      <w:r>
        <w:rPr>
          <w:color w:val="231F20"/>
          <w:spacing w:val="-16"/>
          <w:w w:val="105"/>
        </w:rPr>
        <w:t xml:space="preserve"> </w:t>
      </w:r>
      <w:r>
        <w:rPr>
          <w:color w:val="231F20"/>
          <w:w w:val="105"/>
        </w:rPr>
        <w:t>“Actions</w:t>
      </w:r>
      <w:r>
        <w:rPr>
          <w:color w:val="231F20"/>
          <w:spacing w:val="-16"/>
          <w:w w:val="105"/>
        </w:rPr>
        <w:t xml:space="preserve"> </w:t>
      </w:r>
      <w:r>
        <w:rPr>
          <w:color w:val="231F20"/>
          <w:w w:val="105"/>
        </w:rPr>
        <w:t>against</w:t>
      </w:r>
      <w:r>
        <w:rPr>
          <w:color w:val="231F20"/>
          <w:spacing w:val="-16"/>
          <w:w w:val="105"/>
        </w:rPr>
        <w:t xml:space="preserve"> </w:t>
      </w:r>
      <w:r>
        <w:rPr>
          <w:color w:val="231F20"/>
          <w:w w:val="105"/>
        </w:rPr>
        <w:t>the</w:t>
      </w:r>
      <w:r>
        <w:rPr>
          <w:color w:val="231F20"/>
          <w:spacing w:val="-15"/>
          <w:w w:val="105"/>
        </w:rPr>
        <w:t xml:space="preserve"> </w:t>
      </w:r>
      <w:r w:rsidR="00C507A5">
        <w:rPr>
          <w:color w:val="231F20"/>
          <w:spacing w:val="5"/>
          <w:w w:val="105"/>
        </w:rPr>
        <w:t>red army faction</w:t>
      </w:r>
      <w:r>
        <w:rPr>
          <w:color w:val="231F20"/>
          <w:spacing w:val="-16"/>
          <w:w w:val="105"/>
        </w:rPr>
        <w:t xml:space="preserve"> </w:t>
      </w:r>
      <w:r>
        <w:rPr>
          <w:color w:val="231F20"/>
          <w:w w:val="105"/>
        </w:rPr>
        <w:t>must</w:t>
      </w:r>
      <w:r>
        <w:rPr>
          <w:color w:val="231F20"/>
          <w:spacing w:val="-16"/>
          <w:w w:val="105"/>
        </w:rPr>
        <w:t xml:space="preserve"> </w:t>
      </w:r>
      <w:r>
        <w:rPr>
          <w:color w:val="231F20"/>
          <w:w w:val="105"/>
        </w:rPr>
        <w:t xml:space="preserve">primarily be developed in such a </w:t>
      </w:r>
      <w:r>
        <w:rPr>
          <w:color w:val="231F20"/>
          <w:spacing w:val="-2"/>
          <w:w w:val="105"/>
        </w:rPr>
        <w:t xml:space="preserve">way </w:t>
      </w:r>
      <w:r>
        <w:rPr>
          <w:color w:val="231F20"/>
          <w:w w:val="105"/>
        </w:rPr>
        <w:t>as to undermine the positions held by sympathizers.”</w:t>
      </w:r>
    </w:p>
    <w:p w14:paraId="0E6D713B" w14:textId="2C6767C2" w:rsidR="002653E8" w:rsidRDefault="003115E3" w:rsidP="0048310C">
      <w:pPr>
        <w:pStyle w:val="a3"/>
        <w:spacing w:line="264" w:lineRule="auto"/>
        <w:ind w:left="1148" w:right="1325" w:firstLine="209"/>
        <w:jc w:val="both"/>
      </w:pPr>
      <w:r>
        <w:rPr>
          <w:color w:val="231F20"/>
          <w:w w:val="105"/>
        </w:rPr>
        <w:t xml:space="preserve">As an example, four hours after her death, the </w:t>
      </w:r>
      <w:r>
        <w:rPr>
          <w:color w:val="231F20"/>
          <w:spacing w:val="-6"/>
          <w:w w:val="105"/>
        </w:rPr>
        <w:t xml:space="preserve">BAW </w:t>
      </w:r>
      <w:r>
        <w:rPr>
          <w:color w:val="231F20"/>
          <w:w w:val="105"/>
        </w:rPr>
        <w:t xml:space="preserve">disseminated rumors through the press regarding the motive: “tensions within the </w:t>
      </w:r>
      <w:r>
        <w:rPr>
          <w:color w:val="231F20"/>
          <w:spacing w:val="-3"/>
          <w:w w:val="105"/>
        </w:rPr>
        <w:t xml:space="preserve">group,” </w:t>
      </w:r>
      <w:r>
        <w:rPr>
          <w:color w:val="231F20"/>
          <w:w w:val="105"/>
        </w:rPr>
        <w:t xml:space="preserve">“far-reaching differences,” etc., and the </w:t>
      </w:r>
      <w:r>
        <w:rPr>
          <w:color w:val="231F20"/>
          <w:spacing w:val="-5"/>
          <w:w w:val="105"/>
        </w:rPr>
        <w:t xml:space="preserve">BAW’s </w:t>
      </w:r>
      <w:r>
        <w:rPr>
          <w:color w:val="231F20"/>
          <w:w w:val="105"/>
        </w:rPr>
        <w:t>statement was nothing</w:t>
      </w:r>
      <w:r>
        <w:rPr>
          <w:color w:val="231F20"/>
          <w:spacing w:val="-21"/>
          <w:w w:val="105"/>
        </w:rPr>
        <w:t xml:space="preserve"> </w:t>
      </w:r>
      <w:r>
        <w:rPr>
          <w:color w:val="231F20"/>
          <w:spacing w:val="-4"/>
          <w:w w:val="105"/>
        </w:rPr>
        <w:t>new.</w:t>
      </w:r>
      <w:r>
        <w:rPr>
          <w:color w:val="231F20"/>
          <w:spacing w:val="-21"/>
          <w:w w:val="105"/>
        </w:rPr>
        <w:t xml:space="preserve"> </w:t>
      </w:r>
      <w:r>
        <w:rPr>
          <w:color w:val="231F20"/>
          <w:w w:val="105"/>
        </w:rPr>
        <w:t>It</w:t>
      </w:r>
      <w:r>
        <w:rPr>
          <w:color w:val="231F20"/>
          <w:spacing w:val="-21"/>
          <w:w w:val="105"/>
        </w:rPr>
        <w:t xml:space="preserve"> </w:t>
      </w:r>
      <w:r>
        <w:rPr>
          <w:color w:val="231F20"/>
          <w:w w:val="105"/>
        </w:rPr>
        <w:t>is</w:t>
      </w:r>
      <w:r>
        <w:rPr>
          <w:color w:val="231F20"/>
          <w:spacing w:val="-21"/>
          <w:w w:val="105"/>
        </w:rPr>
        <w:t xml:space="preserve"> </w:t>
      </w:r>
      <w:r>
        <w:rPr>
          <w:color w:val="231F20"/>
          <w:w w:val="105"/>
        </w:rPr>
        <w:t>a</w:t>
      </w:r>
      <w:r>
        <w:rPr>
          <w:color w:val="231F20"/>
          <w:spacing w:val="-21"/>
          <w:w w:val="105"/>
        </w:rPr>
        <w:t xml:space="preserve"> </w:t>
      </w:r>
      <w:r>
        <w:rPr>
          <w:color w:val="231F20"/>
          <w:w w:val="105"/>
        </w:rPr>
        <w:t>word</w:t>
      </w:r>
      <w:r>
        <w:rPr>
          <w:color w:val="231F20"/>
          <w:spacing w:val="-21"/>
          <w:w w:val="105"/>
        </w:rPr>
        <w:t xml:space="preserve"> </w:t>
      </w:r>
      <w:r>
        <w:rPr>
          <w:color w:val="231F20"/>
          <w:w w:val="105"/>
        </w:rPr>
        <w:t>for</w:t>
      </w:r>
      <w:r>
        <w:rPr>
          <w:color w:val="231F20"/>
          <w:spacing w:val="-21"/>
          <w:w w:val="105"/>
        </w:rPr>
        <w:t xml:space="preserve"> </w:t>
      </w:r>
      <w:r>
        <w:rPr>
          <w:color w:val="231F20"/>
          <w:w w:val="105"/>
        </w:rPr>
        <w:t>word</w:t>
      </w:r>
      <w:r>
        <w:rPr>
          <w:color w:val="231F20"/>
          <w:spacing w:val="-21"/>
          <w:w w:val="105"/>
        </w:rPr>
        <w:t xml:space="preserve"> </w:t>
      </w:r>
      <w:r>
        <w:rPr>
          <w:color w:val="231F20"/>
          <w:w w:val="105"/>
        </w:rPr>
        <w:t>repetition</w:t>
      </w:r>
      <w:r>
        <w:rPr>
          <w:color w:val="231F20"/>
          <w:spacing w:val="-21"/>
          <w:w w:val="105"/>
        </w:rPr>
        <w:t xml:space="preserve"> </w:t>
      </w:r>
      <w:r>
        <w:rPr>
          <w:color w:val="231F20"/>
          <w:w w:val="105"/>
        </w:rPr>
        <w:t>of</w:t>
      </w:r>
      <w:r>
        <w:rPr>
          <w:color w:val="231F20"/>
          <w:spacing w:val="-21"/>
          <w:w w:val="105"/>
        </w:rPr>
        <w:t xml:space="preserve"> </w:t>
      </w:r>
      <w:r>
        <w:rPr>
          <w:color w:val="231F20"/>
          <w:w w:val="105"/>
        </w:rPr>
        <w:t>a</w:t>
      </w:r>
      <w:r>
        <w:rPr>
          <w:color w:val="231F20"/>
          <w:spacing w:val="-21"/>
          <w:w w:val="105"/>
        </w:rPr>
        <w:t xml:space="preserve"> </w:t>
      </w:r>
      <w:r>
        <w:rPr>
          <w:color w:val="231F20"/>
          <w:w w:val="105"/>
        </w:rPr>
        <w:t>formulation</w:t>
      </w:r>
      <w:r>
        <w:rPr>
          <w:color w:val="231F20"/>
          <w:spacing w:val="-21"/>
          <w:w w:val="105"/>
        </w:rPr>
        <w:t xml:space="preserve"> </w:t>
      </w:r>
      <w:r>
        <w:rPr>
          <w:color w:val="231F20"/>
          <w:w w:val="105"/>
        </w:rPr>
        <w:t>published</w:t>
      </w:r>
      <w:r w:rsidR="0048310C">
        <w:rPr>
          <w:rFonts w:eastAsiaTheme="minorEastAsia"/>
        </w:rPr>
        <w:t xml:space="preserve"> </w:t>
      </w:r>
      <w:r>
        <w:rPr>
          <w:color w:val="231F20"/>
        </w:rPr>
        <w:lastRenderedPageBreak/>
        <w:t xml:space="preserve">in 1971, five years ago, as part of a state security disorientation campaign. Then it was: Ulrike Meinhof has created “tensions” and “farreaching differences” within the </w:t>
      </w:r>
      <w:r w:rsidR="00C507A5">
        <w:rPr>
          <w:color w:val="231F20"/>
        </w:rPr>
        <w:t>red army faction</w:t>
      </w:r>
      <w:r>
        <w:rPr>
          <w:color w:val="231F20"/>
        </w:rPr>
        <w:t>.</w:t>
      </w:r>
    </w:p>
    <w:p w14:paraId="179D8BD9" w14:textId="77777777" w:rsidR="002653E8" w:rsidRDefault="003115E3">
      <w:pPr>
        <w:pStyle w:val="a3"/>
        <w:spacing w:line="264" w:lineRule="auto"/>
        <w:ind w:left="1327" w:right="1146" w:firstLine="210"/>
        <w:jc w:val="both"/>
      </w:pPr>
      <w:r>
        <w:rPr>
          <w:color w:val="231F20"/>
        </w:rPr>
        <w:t>But Ulrike’s last letters and the experiences of everyone who knows the group—and the experiences of all the lawyers who have seen the group over the past twelve months—prove that the relationships within the group were intense, loving, disciplined, and mutually open.</w:t>
      </w:r>
    </w:p>
    <w:p w14:paraId="120ACC24" w14:textId="77777777" w:rsidR="002653E8" w:rsidRDefault="003115E3">
      <w:pPr>
        <w:pStyle w:val="a3"/>
        <w:spacing w:line="230" w:lineRule="exact"/>
        <w:ind w:left="1537"/>
      </w:pPr>
      <w:r>
        <w:rPr>
          <w:color w:val="231F20"/>
        </w:rPr>
        <w:t>Everyone could see this.</w:t>
      </w:r>
    </w:p>
    <w:p w14:paraId="43463F6B" w14:textId="77777777" w:rsidR="002653E8" w:rsidRDefault="003115E3">
      <w:pPr>
        <w:pStyle w:val="a3"/>
        <w:spacing w:before="20" w:line="264" w:lineRule="auto"/>
        <w:ind w:left="1327" w:right="1145" w:firstLine="210"/>
        <w:jc w:val="both"/>
      </w:pPr>
      <w:r>
        <w:rPr>
          <w:color w:val="231F20"/>
        </w:rPr>
        <w:t xml:space="preserve">Five years ago, in </w:t>
      </w:r>
      <w:r>
        <w:rPr>
          <w:color w:val="231F20"/>
          <w:spacing w:val="-4"/>
        </w:rPr>
        <w:t xml:space="preserve">1971,  </w:t>
      </w:r>
      <w:r>
        <w:rPr>
          <w:color w:val="231F20"/>
        </w:rPr>
        <w:t>the state was unable to get at Ulrike. She   was free, because she was underground. So as part of the psychological warfare campaign, state security claimed she was dead.</w:t>
      </w:r>
      <w:r>
        <w:rPr>
          <w:color w:val="231F20"/>
          <w:position w:val="7"/>
          <w:sz w:val="11"/>
        </w:rPr>
        <w:t xml:space="preserve">1 </w:t>
      </w:r>
      <w:r>
        <w:rPr>
          <w:color w:val="231F20"/>
        </w:rPr>
        <w:t>Now she was defenseless and imprisoned, so she was killed, because she continued to struggle</w:t>
      </w:r>
      <w:r>
        <w:rPr>
          <w:color w:val="231F20"/>
          <w:spacing w:val="10"/>
        </w:rPr>
        <w:t xml:space="preserve"> </w:t>
      </w:r>
      <w:r>
        <w:rPr>
          <w:color w:val="231F20"/>
        </w:rPr>
        <w:t>in</w:t>
      </w:r>
      <w:r>
        <w:rPr>
          <w:color w:val="231F20"/>
          <w:spacing w:val="10"/>
        </w:rPr>
        <w:t xml:space="preserve"> </w:t>
      </w:r>
      <w:r>
        <w:rPr>
          <w:color w:val="231F20"/>
        </w:rPr>
        <w:t>prison</w:t>
      </w:r>
      <w:r>
        <w:rPr>
          <w:color w:val="231F20"/>
          <w:spacing w:val="10"/>
        </w:rPr>
        <w:t xml:space="preserve"> </w:t>
      </w:r>
      <w:r>
        <w:rPr>
          <w:color w:val="231F20"/>
        </w:rPr>
        <w:t>and</w:t>
      </w:r>
      <w:r>
        <w:rPr>
          <w:color w:val="231F20"/>
          <w:spacing w:val="10"/>
        </w:rPr>
        <w:t xml:space="preserve"> </w:t>
      </w:r>
      <w:r>
        <w:rPr>
          <w:color w:val="231F20"/>
        </w:rPr>
        <w:t>at</w:t>
      </w:r>
      <w:r>
        <w:rPr>
          <w:color w:val="231F20"/>
          <w:spacing w:val="10"/>
        </w:rPr>
        <w:t xml:space="preserve"> </w:t>
      </w:r>
      <w:r>
        <w:rPr>
          <w:color w:val="231F20"/>
        </w:rPr>
        <w:t>the</w:t>
      </w:r>
      <w:r>
        <w:rPr>
          <w:color w:val="231F20"/>
          <w:spacing w:val="10"/>
        </w:rPr>
        <w:t xml:space="preserve"> </w:t>
      </w:r>
      <w:r>
        <w:rPr>
          <w:color w:val="231F20"/>
        </w:rPr>
        <w:t>trial.</w:t>
      </w:r>
    </w:p>
    <w:p w14:paraId="78FBCA81" w14:textId="77777777" w:rsidR="002653E8" w:rsidRDefault="003115E3">
      <w:pPr>
        <w:pStyle w:val="a3"/>
        <w:spacing w:line="264" w:lineRule="auto"/>
        <w:ind w:left="1327" w:right="1146" w:firstLine="210"/>
        <w:jc w:val="both"/>
      </w:pPr>
      <w:r>
        <w:rPr>
          <w:color w:val="231F20"/>
        </w:rPr>
        <w:t>One must understand at what point in time this murder was staged: four days earlier, the prisoners had filed evidentiary petitions, for which Ulrike had done the essential work.</w:t>
      </w:r>
    </w:p>
    <w:p w14:paraId="6E94A082" w14:textId="77777777" w:rsidR="002653E8" w:rsidRDefault="003115E3">
      <w:pPr>
        <w:pStyle w:val="a3"/>
        <w:spacing w:line="231" w:lineRule="exact"/>
        <w:ind w:left="1537"/>
      </w:pPr>
      <w:r>
        <w:rPr>
          <w:color w:val="231F20"/>
        </w:rPr>
        <w:t>These petitions addressed:</w:t>
      </w:r>
    </w:p>
    <w:p w14:paraId="56DE9FEC" w14:textId="77777777" w:rsidR="002653E8" w:rsidRDefault="002653E8">
      <w:pPr>
        <w:pStyle w:val="a3"/>
        <w:rPr>
          <w:sz w:val="24"/>
        </w:rPr>
      </w:pPr>
    </w:p>
    <w:p w14:paraId="35AA14F3" w14:textId="77777777" w:rsidR="002653E8" w:rsidRDefault="003115E3">
      <w:pPr>
        <w:pStyle w:val="a4"/>
        <w:numPr>
          <w:ilvl w:val="1"/>
          <w:numId w:val="11"/>
        </w:numPr>
        <w:tabs>
          <w:tab w:val="left" w:pos="2037"/>
        </w:tabs>
        <w:spacing w:before="0" w:line="273" w:lineRule="auto"/>
        <w:ind w:right="1565" w:firstLine="0"/>
        <w:jc w:val="both"/>
        <w:rPr>
          <w:i/>
          <w:sz w:val="19"/>
        </w:rPr>
      </w:pPr>
      <w:r>
        <w:rPr>
          <w:i/>
          <w:color w:val="231F20"/>
          <w:w w:val="105"/>
          <w:sz w:val="19"/>
        </w:rPr>
        <w:t xml:space="preserve">the fact that, in violation of international </w:t>
      </w:r>
      <w:r>
        <w:rPr>
          <w:i/>
          <w:color w:val="231F20"/>
          <w:spacing w:val="-5"/>
          <w:w w:val="105"/>
          <w:sz w:val="19"/>
        </w:rPr>
        <w:t xml:space="preserve">law, </w:t>
      </w:r>
      <w:r>
        <w:rPr>
          <w:i/>
          <w:color w:val="231F20"/>
          <w:w w:val="105"/>
          <w:sz w:val="19"/>
        </w:rPr>
        <w:t>since its foundation the territory of the Federal Republic of Germany has been</w:t>
      </w:r>
      <w:r>
        <w:rPr>
          <w:i/>
          <w:color w:val="231F20"/>
          <w:spacing w:val="-23"/>
          <w:w w:val="105"/>
          <w:sz w:val="19"/>
        </w:rPr>
        <w:t xml:space="preserve"> </w:t>
      </w:r>
      <w:r>
        <w:rPr>
          <w:i/>
          <w:color w:val="231F20"/>
          <w:w w:val="105"/>
          <w:sz w:val="19"/>
        </w:rPr>
        <w:t>a</w:t>
      </w:r>
      <w:r>
        <w:rPr>
          <w:i/>
          <w:color w:val="231F20"/>
          <w:spacing w:val="-23"/>
          <w:w w:val="105"/>
          <w:sz w:val="19"/>
        </w:rPr>
        <w:t xml:space="preserve"> </w:t>
      </w:r>
      <w:r>
        <w:rPr>
          <w:i/>
          <w:color w:val="231F20"/>
          <w:w w:val="105"/>
          <w:sz w:val="19"/>
        </w:rPr>
        <w:t>strategic</w:t>
      </w:r>
      <w:r>
        <w:rPr>
          <w:i/>
          <w:color w:val="231F20"/>
          <w:spacing w:val="-23"/>
          <w:w w:val="105"/>
          <w:sz w:val="19"/>
        </w:rPr>
        <w:t xml:space="preserve"> </w:t>
      </w:r>
      <w:r>
        <w:rPr>
          <w:i/>
          <w:color w:val="231F20"/>
          <w:w w:val="105"/>
          <w:sz w:val="19"/>
        </w:rPr>
        <w:t>base</w:t>
      </w:r>
      <w:r>
        <w:rPr>
          <w:i/>
          <w:color w:val="231F20"/>
          <w:spacing w:val="-23"/>
          <w:w w:val="105"/>
          <w:sz w:val="19"/>
        </w:rPr>
        <w:t xml:space="preserve"> </w:t>
      </w:r>
      <w:r>
        <w:rPr>
          <w:i/>
          <w:color w:val="231F20"/>
          <w:w w:val="105"/>
          <w:sz w:val="19"/>
        </w:rPr>
        <w:t>for</w:t>
      </w:r>
      <w:r>
        <w:rPr>
          <w:i/>
          <w:color w:val="231F20"/>
          <w:spacing w:val="-23"/>
          <w:w w:val="105"/>
          <w:sz w:val="19"/>
        </w:rPr>
        <w:t xml:space="preserve"> </w:t>
      </w:r>
      <w:r>
        <w:rPr>
          <w:i/>
          <w:color w:val="231F20"/>
          <w:w w:val="105"/>
          <w:sz w:val="19"/>
        </w:rPr>
        <w:t>the</w:t>
      </w:r>
      <w:r>
        <w:rPr>
          <w:i/>
          <w:color w:val="231F20"/>
          <w:spacing w:val="-23"/>
          <w:w w:val="105"/>
          <w:sz w:val="19"/>
        </w:rPr>
        <w:t xml:space="preserve"> </w:t>
      </w:r>
      <w:r>
        <w:rPr>
          <w:i/>
          <w:color w:val="231F20"/>
          <w:w w:val="105"/>
          <w:sz w:val="19"/>
        </w:rPr>
        <w:t>aggressive,</w:t>
      </w:r>
      <w:r>
        <w:rPr>
          <w:i/>
          <w:color w:val="231F20"/>
          <w:spacing w:val="-27"/>
          <w:w w:val="105"/>
          <w:sz w:val="19"/>
        </w:rPr>
        <w:t xml:space="preserve"> </w:t>
      </w:r>
      <w:r>
        <w:rPr>
          <w:i/>
          <w:color w:val="231F20"/>
          <w:w w:val="105"/>
          <w:sz w:val="19"/>
        </w:rPr>
        <w:t>expansionist</w:t>
      </w:r>
      <w:r>
        <w:rPr>
          <w:i/>
          <w:color w:val="231F20"/>
          <w:spacing w:val="-23"/>
          <w:w w:val="105"/>
          <w:sz w:val="19"/>
        </w:rPr>
        <w:t xml:space="preserve"> </w:t>
      </w:r>
      <w:r>
        <w:rPr>
          <w:i/>
          <w:color w:val="231F20"/>
          <w:w w:val="105"/>
          <w:sz w:val="19"/>
        </w:rPr>
        <w:t>policies</w:t>
      </w:r>
      <w:r>
        <w:rPr>
          <w:i/>
          <w:color w:val="231F20"/>
          <w:spacing w:val="-23"/>
          <w:w w:val="105"/>
          <w:sz w:val="19"/>
        </w:rPr>
        <w:t xml:space="preserve"> </w:t>
      </w:r>
      <w:r>
        <w:rPr>
          <w:i/>
          <w:color w:val="231F20"/>
          <w:w w:val="105"/>
          <w:sz w:val="19"/>
        </w:rPr>
        <w:t>of</w:t>
      </w:r>
      <w:r>
        <w:rPr>
          <w:i/>
          <w:color w:val="231F20"/>
          <w:spacing w:val="-23"/>
          <w:w w:val="105"/>
          <w:sz w:val="19"/>
        </w:rPr>
        <w:t xml:space="preserve"> </w:t>
      </w:r>
      <w:r>
        <w:rPr>
          <w:i/>
          <w:color w:val="231F20"/>
          <w:w w:val="105"/>
          <w:sz w:val="19"/>
        </w:rPr>
        <w:t>the</w:t>
      </w:r>
    </w:p>
    <w:p w14:paraId="58F27D8D" w14:textId="77777777" w:rsidR="002653E8" w:rsidRDefault="003115E3">
      <w:pPr>
        <w:spacing w:before="4" w:line="276" w:lineRule="auto"/>
        <w:ind w:left="1748" w:right="1565"/>
        <w:jc w:val="both"/>
        <w:rPr>
          <w:i/>
          <w:sz w:val="19"/>
        </w:rPr>
      </w:pPr>
      <w:r>
        <w:rPr>
          <w:i/>
          <w:color w:val="231F20"/>
          <w:w w:val="105"/>
          <w:sz w:val="19"/>
        </w:rPr>
        <w:t>U.S.A.</w:t>
      </w:r>
      <w:r>
        <w:rPr>
          <w:i/>
          <w:color w:val="231F20"/>
          <w:spacing w:val="-22"/>
          <w:w w:val="105"/>
          <w:sz w:val="19"/>
        </w:rPr>
        <w:t xml:space="preserve"> </w:t>
      </w:r>
      <w:r>
        <w:rPr>
          <w:i/>
          <w:color w:val="231F20"/>
          <w:w w:val="105"/>
          <w:sz w:val="19"/>
        </w:rPr>
        <w:t>against</w:t>
      </w:r>
      <w:r>
        <w:rPr>
          <w:i/>
          <w:color w:val="231F20"/>
          <w:spacing w:val="-17"/>
          <w:w w:val="105"/>
          <w:sz w:val="19"/>
        </w:rPr>
        <w:t xml:space="preserve"> </w:t>
      </w:r>
      <w:r>
        <w:rPr>
          <w:i/>
          <w:color w:val="231F20"/>
          <w:w w:val="105"/>
          <w:sz w:val="19"/>
        </w:rPr>
        <w:t>third</w:t>
      </w:r>
      <w:r>
        <w:rPr>
          <w:i/>
          <w:color w:val="231F20"/>
          <w:spacing w:val="-17"/>
          <w:w w:val="105"/>
          <w:sz w:val="19"/>
        </w:rPr>
        <w:t xml:space="preserve"> </w:t>
      </w:r>
      <w:r>
        <w:rPr>
          <w:i/>
          <w:color w:val="231F20"/>
          <w:w w:val="105"/>
          <w:sz w:val="19"/>
        </w:rPr>
        <w:t>states,</w:t>
      </w:r>
      <w:r>
        <w:rPr>
          <w:i/>
          <w:color w:val="231F20"/>
          <w:spacing w:val="-22"/>
          <w:w w:val="105"/>
          <w:sz w:val="19"/>
        </w:rPr>
        <w:t xml:space="preserve"> </w:t>
      </w:r>
      <w:r>
        <w:rPr>
          <w:i/>
          <w:color w:val="231F20"/>
          <w:w w:val="105"/>
          <w:sz w:val="19"/>
        </w:rPr>
        <w:t>against</w:t>
      </w:r>
      <w:r>
        <w:rPr>
          <w:i/>
          <w:color w:val="231F20"/>
          <w:spacing w:val="-17"/>
          <w:w w:val="105"/>
          <w:sz w:val="19"/>
        </w:rPr>
        <w:t xml:space="preserve"> </w:t>
      </w:r>
      <w:r>
        <w:rPr>
          <w:i/>
          <w:color w:val="231F20"/>
          <w:w w:val="105"/>
          <w:sz w:val="19"/>
        </w:rPr>
        <w:t>the</w:t>
      </w:r>
      <w:r>
        <w:rPr>
          <w:i/>
          <w:color w:val="231F20"/>
          <w:spacing w:val="-17"/>
          <w:w w:val="105"/>
          <w:sz w:val="19"/>
        </w:rPr>
        <w:t xml:space="preserve"> </w:t>
      </w:r>
      <w:r>
        <w:rPr>
          <w:i/>
          <w:color w:val="231F20"/>
          <w:w w:val="105"/>
          <w:sz w:val="19"/>
        </w:rPr>
        <w:t>constitutional</w:t>
      </w:r>
      <w:r>
        <w:rPr>
          <w:i/>
          <w:color w:val="231F20"/>
          <w:spacing w:val="-17"/>
          <w:w w:val="105"/>
          <w:sz w:val="19"/>
        </w:rPr>
        <w:t xml:space="preserve"> </w:t>
      </w:r>
      <w:r>
        <w:rPr>
          <w:i/>
          <w:color w:val="231F20"/>
          <w:w w:val="105"/>
          <w:sz w:val="19"/>
        </w:rPr>
        <w:t>governments of third states, and against the anticolonial, national, and antiimperialist liberation movements in the Third</w:t>
      </w:r>
      <w:r>
        <w:rPr>
          <w:i/>
          <w:color w:val="231F20"/>
          <w:spacing w:val="15"/>
          <w:w w:val="105"/>
          <w:sz w:val="19"/>
        </w:rPr>
        <w:t xml:space="preserve"> </w:t>
      </w:r>
      <w:r>
        <w:rPr>
          <w:i/>
          <w:color w:val="231F20"/>
          <w:spacing w:val="-3"/>
          <w:w w:val="105"/>
          <w:sz w:val="19"/>
        </w:rPr>
        <w:t>World,</w:t>
      </w:r>
    </w:p>
    <w:p w14:paraId="69C76ACE" w14:textId="77777777" w:rsidR="002653E8" w:rsidRDefault="003115E3">
      <w:pPr>
        <w:spacing w:before="40" w:line="276" w:lineRule="auto"/>
        <w:ind w:left="1748" w:right="1565"/>
        <w:jc w:val="both"/>
        <w:rPr>
          <w:i/>
          <w:sz w:val="19"/>
        </w:rPr>
      </w:pPr>
      <w:r>
        <w:rPr>
          <w:i/>
          <w:color w:val="231F20"/>
          <w:sz w:val="19"/>
        </w:rPr>
        <w:t>in the course of which, amongst other things, all relevant overt and covert military and secret service operations against the Warsaw Pact states and against legitimate parliamentary changes of government in the West European states, against anti-imperialist liberation movements in the Middle East, in Africa, and in SouthEast Asia, were planned, organized, orchestrated, supported, and overseen by U.S. intelligence services based on the territory of the Federal Republic of Germany,</w:t>
      </w:r>
    </w:p>
    <w:p w14:paraId="22593FD9" w14:textId="77777777" w:rsidR="002653E8" w:rsidRDefault="003115E3">
      <w:pPr>
        <w:spacing w:before="38"/>
        <w:ind w:left="1748"/>
        <w:jc w:val="both"/>
        <w:rPr>
          <w:i/>
          <w:sz w:val="19"/>
        </w:rPr>
      </w:pPr>
      <w:r>
        <w:rPr>
          <w:i/>
          <w:color w:val="231F20"/>
          <w:sz w:val="19"/>
        </w:rPr>
        <w:t>specifically</w:t>
      </w:r>
    </w:p>
    <w:p w14:paraId="54F32798" w14:textId="77777777" w:rsidR="002653E8" w:rsidRDefault="002653E8">
      <w:pPr>
        <w:pStyle w:val="a3"/>
        <w:rPr>
          <w:i/>
        </w:rPr>
      </w:pPr>
    </w:p>
    <w:p w14:paraId="0F42E22A" w14:textId="77777777" w:rsidR="002653E8" w:rsidRDefault="002653E8">
      <w:pPr>
        <w:pStyle w:val="a3"/>
        <w:rPr>
          <w:i/>
        </w:rPr>
      </w:pPr>
    </w:p>
    <w:p w14:paraId="13EB26F9" w14:textId="77777777" w:rsidR="002653E8" w:rsidRDefault="00000000">
      <w:pPr>
        <w:pStyle w:val="a3"/>
        <w:spacing w:before="7"/>
        <w:rPr>
          <w:i/>
          <w:sz w:val="13"/>
        </w:rPr>
      </w:pPr>
      <w:r>
        <w:rPr>
          <w:noProof w:val="0"/>
        </w:rPr>
        <w:pict w14:anchorId="6BEA5193">
          <v:line id="_x0000_s2257" style="position:absolute;z-index:8824;mso-wrap-distance-left:0;mso-wrap-distance-right:0;mso-position-horizontal-relative:page" from="66.4pt,10.2pt" to="138.4pt,10.2pt" strokecolor="#231f20" strokeweight=".5pt">
            <w10:wrap type="topAndBottom" anchorx="page"/>
          </v:line>
        </w:pict>
      </w:r>
    </w:p>
    <w:p w14:paraId="3F42DD66" w14:textId="77777777" w:rsidR="002653E8" w:rsidRDefault="003115E3">
      <w:pPr>
        <w:spacing w:before="53" w:line="254" w:lineRule="auto"/>
        <w:ind w:left="1327" w:right="1264"/>
        <w:rPr>
          <w:sz w:val="16"/>
        </w:rPr>
      </w:pPr>
      <w:r>
        <w:rPr>
          <w:color w:val="231F20"/>
          <w:w w:val="105"/>
          <w:sz w:val="16"/>
        </w:rPr>
        <w:t xml:space="preserve">1 </w:t>
      </w:r>
      <w:r>
        <w:rPr>
          <w:color w:val="231F20"/>
          <w:spacing w:val="1"/>
          <w:w w:val="105"/>
          <w:sz w:val="16"/>
        </w:rPr>
        <w:t xml:space="preserve">In </w:t>
      </w:r>
      <w:r>
        <w:rPr>
          <w:color w:val="231F20"/>
          <w:w w:val="105"/>
          <w:sz w:val="16"/>
        </w:rPr>
        <w:t xml:space="preserve">early 1972, the </w:t>
      </w:r>
      <w:r>
        <w:rPr>
          <w:color w:val="231F20"/>
          <w:spacing w:val="2"/>
          <w:w w:val="105"/>
          <w:sz w:val="16"/>
        </w:rPr>
        <w:t xml:space="preserve">BKA </w:t>
      </w:r>
      <w:r>
        <w:rPr>
          <w:color w:val="231F20"/>
          <w:w w:val="105"/>
          <w:sz w:val="16"/>
        </w:rPr>
        <w:t xml:space="preserve">lost all trace of  Meinhof  (according  to  Stefan  Aust,  she was in Italy at the time). Rumours began to be spread, </w:t>
      </w:r>
      <w:r>
        <w:rPr>
          <w:i/>
          <w:color w:val="231F20"/>
          <w:w w:val="105"/>
          <w:sz w:val="16"/>
        </w:rPr>
        <w:t xml:space="preserve">Bild </w:t>
      </w:r>
      <w:r>
        <w:rPr>
          <w:color w:val="231F20"/>
          <w:w w:val="105"/>
          <w:sz w:val="16"/>
        </w:rPr>
        <w:t xml:space="preserve">publishing an article  under the headline, “Has Ulrike Meinhof Committed Suicide?” and the </w:t>
      </w:r>
      <w:r>
        <w:rPr>
          <w:i/>
          <w:color w:val="231F20"/>
          <w:spacing w:val="1"/>
          <w:w w:val="105"/>
          <w:sz w:val="16"/>
        </w:rPr>
        <w:t xml:space="preserve">Frankfurter Allgemeine </w:t>
      </w:r>
      <w:r>
        <w:rPr>
          <w:i/>
          <w:color w:val="231F20"/>
          <w:w w:val="105"/>
          <w:sz w:val="16"/>
        </w:rPr>
        <w:t xml:space="preserve">Zeitung </w:t>
      </w:r>
      <w:r>
        <w:rPr>
          <w:color w:val="231F20"/>
          <w:w w:val="105"/>
          <w:sz w:val="16"/>
        </w:rPr>
        <w:t>quoting unnamed government sources to the effect that she had been</w:t>
      </w:r>
      <w:r>
        <w:rPr>
          <w:color w:val="231F20"/>
          <w:spacing w:val="8"/>
          <w:w w:val="105"/>
          <w:sz w:val="16"/>
        </w:rPr>
        <w:t xml:space="preserve"> </w:t>
      </w:r>
      <w:r>
        <w:rPr>
          <w:color w:val="231F20"/>
          <w:w w:val="105"/>
          <w:sz w:val="16"/>
        </w:rPr>
        <w:t>dead</w:t>
      </w:r>
      <w:r>
        <w:rPr>
          <w:color w:val="231F20"/>
          <w:spacing w:val="8"/>
          <w:w w:val="105"/>
          <w:sz w:val="16"/>
        </w:rPr>
        <w:t xml:space="preserve"> </w:t>
      </w:r>
      <w:r>
        <w:rPr>
          <w:color w:val="231F20"/>
          <w:w w:val="105"/>
          <w:sz w:val="16"/>
        </w:rPr>
        <w:t>for</w:t>
      </w:r>
      <w:r>
        <w:rPr>
          <w:color w:val="231F20"/>
          <w:spacing w:val="8"/>
          <w:w w:val="105"/>
          <w:sz w:val="16"/>
        </w:rPr>
        <w:t xml:space="preserve"> </w:t>
      </w:r>
      <w:r>
        <w:rPr>
          <w:color w:val="231F20"/>
          <w:w w:val="105"/>
          <w:sz w:val="16"/>
        </w:rPr>
        <w:t>months,</w:t>
      </w:r>
      <w:r>
        <w:rPr>
          <w:color w:val="231F20"/>
          <w:spacing w:val="8"/>
          <w:w w:val="105"/>
          <w:sz w:val="16"/>
        </w:rPr>
        <w:t xml:space="preserve"> </w:t>
      </w:r>
      <w:r>
        <w:rPr>
          <w:color w:val="231F20"/>
          <w:w w:val="105"/>
          <w:sz w:val="16"/>
        </w:rPr>
        <w:t>either</w:t>
      </w:r>
      <w:r>
        <w:rPr>
          <w:color w:val="231F20"/>
          <w:spacing w:val="8"/>
          <w:w w:val="105"/>
          <w:sz w:val="16"/>
        </w:rPr>
        <w:t xml:space="preserve"> </w:t>
      </w:r>
      <w:r>
        <w:rPr>
          <w:color w:val="231F20"/>
          <w:w w:val="105"/>
          <w:sz w:val="16"/>
        </w:rPr>
        <w:t>from</w:t>
      </w:r>
      <w:r>
        <w:rPr>
          <w:color w:val="231F20"/>
          <w:spacing w:val="8"/>
          <w:w w:val="105"/>
          <w:sz w:val="16"/>
        </w:rPr>
        <w:t xml:space="preserve"> </w:t>
      </w:r>
      <w:r>
        <w:rPr>
          <w:color w:val="231F20"/>
          <w:w w:val="105"/>
          <w:sz w:val="16"/>
        </w:rPr>
        <w:t>a</w:t>
      </w:r>
      <w:r>
        <w:rPr>
          <w:color w:val="231F20"/>
          <w:spacing w:val="8"/>
          <w:w w:val="105"/>
          <w:sz w:val="16"/>
        </w:rPr>
        <w:t xml:space="preserve"> </w:t>
      </w:r>
      <w:r>
        <w:rPr>
          <w:color w:val="231F20"/>
          <w:spacing w:val="1"/>
          <w:w w:val="105"/>
          <w:sz w:val="16"/>
        </w:rPr>
        <w:t>tumour</w:t>
      </w:r>
      <w:r>
        <w:rPr>
          <w:color w:val="231F20"/>
          <w:spacing w:val="8"/>
          <w:w w:val="105"/>
          <w:sz w:val="16"/>
        </w:rPr>
        <w:t xml:space="preserve"> </w:t>
      </w:r>
      <w:r>
        <w:rPr>
          <w:color w:val="231F20"/>
          <w:w w:val="105"/>
          <w:sz w:val="16"/>
        </w:rPr>
        <w:t>or</w:t>
      </w:r>
      <w:r>
        <w:rPr>
          <w:color w:val="231F20"/>
          <w:spacing w:val="8"/>
          <w:w w:val="105"/>
          <w:sz w:val="16"/>
        </w:rPr>
        <w:t xml:space="preserve"> </w:t>
      </w:r>
      <w:r>
        <w:rPr>
          <w:color w:val="231F20"/>
          <w:w w:val="105"/>
          <w:sz w:val="16"/>
        </w:rPr>
        <w:t>from</w:t>
      </w:r>
      <w:r>
        <w:rPr>
          <w:color w:val="231F20"/>
          <w:spacing w:val="8"/>
          <w:w w:val="105"/>
          <w:sz w:val="16"/>
        </w:rPr>
        <w:t xml:space="preserve"> </w:t>
      </w:r>
      <w:r>
        <w:rPr>
          <w:color w:val="231F20"/>
          <w:w w:val="105"/>
          <w:sz w:val="16"/>
        </w:rPr>
        <w:t>suicide.</w:t>
      </w:r>
      <w:r>
        <w:rPr>
          <w:color w:val="231F20"/>
          <w:spacing w:val="8"/>
          <w:w w:val="105"/>
          <w:sz w:val="16"/>
        </w:rPr>
        <w:t xml:space="preserve"> </w:t>
      </w:r>
      <w:r>
        <w:rPr>
          <w:color w:val="231F20"/>
          <w:w w:val="105"/>
          <w:sz w:val="16"/>
        </w:rPr>
        <w:t>See:</w:t>
      </w:r>
      <w:r>
        <w:rPr>
          <w:color w:val="231F20"/>
          <w:spacing w:val="8"/>
          <w:w w:val="105"/>
          <w:sz w:val="16"/>
        </w:rPr>
        <w:t xml:space="preserve"> </w:t>
      </w:r>
      <w:r>
        <w:rPr>
          <w:color w:val="231F20"/>
          <w:w w:val="105"/>
          <w:sz w:val="16"/>
        </w:rPr>
        <w:t>Aust,</w:t>
      </w:r>
      <w:r>
        <w:rPr>
          <w:color w:val="231F20"/>
          <w:spacing w:val="10"/>
          <w:w w:val="105"/>
          <w:sz w:val="16"/>
        </w:rPr>
        <w:t xml:space="preserve"> </w:t>
      </w:r>
      <w:r>
        <w:rPr>
          <w:color w:val="231F20"/>
          <w:w w:val="105"/>
          <w:sz w:val="16"/>
        </w:rPr>
        <w:t>200.</w:t>
      </w:r>
    </w:p>
    <w:p w14:paraId="03345BB7" w14:textId="77777777" w:rsidR="002653E8" w:rsidRDefault="002653E8">
      <w:pPr>
        <w:spacing w:line="254" w:lineRule="auto"/>
        <w:rPr>
          <w:sz w:val="16"/>
        </w:rPr>
        <w:sectPr w:rsidR="002653E8">
          <w:footerReference w:type="even" r:id="rId349"/>
          <w:footerReference w:type="default" r:id="rId350"/>
          <w:pgSz w:w="8640" w:h="12960"/>
          <w:pgMar w:top="1060" w:right="0" w:bottom="1040" w:left="0" w:header="0" w:footer="850" w:gutter="0"/>
          <w:pgNumType w:start="413"/>
          <w:cols w:space="720"/>
        </w:sectPr>
      </w:pPr>
    </w:p>
    <w:p w14:paraId="0AAF1DCD" w14:textId="77777777" w:rsidR="002653E8" w:rsidRDefault="003115E3">
      <w:pPr>
        <w:pStyle w:val="a4"/>
        <w:numPr>
          <w:ilvl w:val="0"/>
          <w:numId w:val="10"/>
        </w:numPr>
        <w:tabs>
          <w:tab w:val="left" w:pos="1870"/>
        </w:tabs>
        <w:spacing w:before="75" w:line="276" w:lineRule="auto"/>
        <w:ind w:right="1745" w:firstLine="0"/>
        <w:jc w:val="both"/>
        <w:rPr>
          <w:i/>
          <w:sz w:val="19"/>
        </w:rPr>
      </w:pPr>
      <w:r>
        <w:rPr>
          <w:i/>
          <w:color w:val="231F20"/>
          <w:w w:val="105"/>
          <w:sz w:val="19"/>
        </w:rPr>
        <w:lastRenderedPageBreak/>
        <w:t>that the IG Farben building in Frankfurt am Main functioned as the headquarters of several U.S. secret service organizations throughout</w:t>
      </w:r>
      <w:r>
        <w:rPr>
          <w:i/>
          <w:color w:val="231F20"/>
          <w:spacing w:val="13"/>
          <w:w w:val="105"/>
          <w:sz w:val="19"/>
        </w:rPr>
        <w:t xml:space="preserve"> </w:t>
      </w:r>
      <w:r>
        <w:rPr>
          <w:i/>
          <w:color w:val="231F20"/>
          <w:w w:val="105"/>
          <w:sz w:val="19"/>
        </w:rPr>
        <w:t>the</w:t>
      </w:r>
      <w:r>
        <w:rPr>
          <w:i/>
          <w:color w:val="231F20"/>
          <w:spacing w:val="13"/>
          <w:w w:val="105"/>
          <w:sz w:val="19"/>
        </w:rPr>
        <w:t xml:space="preserve"> </w:t>
      </w:r>
      <w:r>
        <w:rPr>
          <w:i/>
          <w:color w:val="231F20"/>
          <w:w w:val="105"/>
          <w:sz w:val="19"/>
        </w:rPr>
        <w:t>entire</w:t>
      </w:r>
      <w:r>
        <w:rPr>
          <w:i/>
          <w:color w:val="231F20"/>
          <w:spacing w:val="13"/>
          <w:w w:val="105"/>
          <w:sz w:val="19"/>
        </w:rPr>
        <w:t xml:space="preserve"> </w:t>
      </w:r>
      <w:r>
        <w:rPr>
          <w:i/>
          <w:color w:val="231F20"/>
          <w:w w:val="105"/>
          <w:sz w:val="19"/>
        </w:rPr>
        <w:t>duration</w:t>
      </w:r>
      <w:r>
        <w:rPr>
          <w:i/>
          <w:color w:val="231F20"/>
          <w:spacing w:val="13"/>
          <w:w w:val="105"/>
          <w:sz w:val="19"/>
        </w:rPr>
        <w:t xml:space="preserve"> </w:t>
      </w:r>
      <w:r>
        <w:rPr>
          <w:i/>
          <w:color w:val="231F20"/>
          <w:w w:val="105"/>
          <w:sz w:val="19"/>
        </w:rPr>
        <w:t>of</w:t>
      </w:r>
      <w:r>
        <w:rPr>
          <w:i/>
          <w:color w:val="231F20"/>
          <w:spacing w:val="13"/>
          <w:w w:val="105"/>
          <w:sz w:val="19"/>
        </w:rPr>
        <w:t xml:space="preserve"> </w:t>
      </w:r>
      <w:r>
        <w:rPr>
          <w:i/>
          <w:color w:val="231F20"/>
          <w:w w:val="105"/>
          <w:sz w:val="19"/>
        </w:rPr>
        <w:t>the</w:t>
      </w:r>
      <w:r>
        <w:rPr>
          <w:i/>
          <w:color w:val="231F20"/>
          <w:spacing w:val="13"/>
          <w:w w:val="105"/>
          <w:sz w:val="19"/>
        </w:rPr>
        <w:t xml:space="preserve"> </w:t>
      </w:r>
      <w:r>
        <w:rPr>
          <w:i/>
          <w:color w:val="231F20"/>
          <w:w w:val="105"/>
          <w:sz w:val="19"/>
        </w:rPr>
        <w:t>illegal</w:t>
      </w:r>
      <w:r>
        <w:rPr>
          <w:i/>
          <w:color w:val="231F20"/>
          <w:spacing w:val="13"/>
          <w:w w:val="105"/>
          <w:sz w:val="19"/>
        </w:rPr>
        <w:t xml:space="preserve"> </w:t>
      </w:r>
      <w:r>
        <w:rPr>
          <w:i/>
          <w:color w:val="231F20"/>
          <w:w w:val="105"/>
          <w:sz w:val="19"/>
        </w:rPr>
        <w:t>aggression</w:t>
      </w:r>
      <w:r>
        <w:rPr>
          <w:i/>
          <w:color w:val="231F20"/>
          <w:spacing w:val="13"/>
          <w:w w:val="105"/>
          <w:sz w:val="19"/>
        </w:rPr>
        <w:t xml:space="preserve"> </w:t>
      </w:r>
      <w:r>
        <w:rPr>
          <w:i/>
          <w:color w:val="231F20"/>
          <w:w w:val="105"/>
          <w:sz w:val="19"/>
        </w:rPr>
        <w:t>of</w:t>
      </w:r>
      <w:r>
        <w:rPr>
          <w:i/>
          <w:color w:val="231F20"/>
          <w:spacing w:val="13"/>
          <w:w w:val="105"/>
          <w:sz w:val="19"/>
        </w:rPr>
        <w:t xml:space="preserve"> </w:t>
      </w:r>
      <w:r>
        <w:rPr>
          <w:i/>
          <w:color w:val="231F20"/>
          <w:w w:val="105"/>
          <w:sz w:val="19"/>
        </w:rPr>
        <w:t>the</w:t>
      </w:r>
    </w:p>
    <w:p w14:paraId="7B16FC4A" w14:textId="77777777" w:rsidR="002653E8" w:rsidRDefault="003115E3">
      <w:pPr>
        <w:spacing w:line="222" w:lineRule="exact"/>
        <w:ind w:left="1659"/>
        <w:jc w:val="both"/>
        <w:rPr>
          <w:i/>
          <w:sz w:val="19"/>
        </w:rPr>
      </w:pPr>
      <w:r>
        <w:rPr>
          <w:i/>
          <w:color w:val="231F20"/>
          <w:w w:val="110"/>
          <w:sz w:val="19"/>
        </w:rPr>
        <w:t>U.S.A. in Indochina;</w:t>
      </w:r>
    </w:p>
    <w:p w14:paraId="3BD9AA45" w14:textId="78FDDB42" w:rsidR="002653E8" w:rsidRDefault="003115E3">
      <w:pPr>
        <w:pStyle w:val="a4"/>
        <w:numPr>
          <w:ilvl w:val="0"/>
          <w:numId w:val="10"/>
        </w:numPr>
        <w:tabs>
          <w:tab w:val="left" w:pos="1873"/>
        </w:tabs>
        <w:spacing w:before="73" w:line="276" w:lineRule="auto"/>
        <w:ind w:right="1739" w:firstLine="0"/>
        <w:jc w:val="both"/>
        <w:rPr>
          <w:i/>
          <w:sz w:val="19"/>
        </w:rPr>
      </w:pPr>
      <w:r>
        <w:rPr>
          <w:i/>
          <w:color w:val="231F20"/>
          <w:w w:val="110"/>
          <w:sz w:val="19"/>
        </w:rPr>
        <w:t>that</w:t>
      </w:r>
      <w:r>
        <w:rPr>
          <w:i/>
          <w:color w:val="231F20"/>
          <w:spacing w:val="-32"/>
          <w:w w:val="110"/>
          <w:sz w:val="19"/>
        </w:rPr>
        <w:t xml:space="preserve"> </w:t>
      </w:r>
      <w:r>
        <w:rPr>
          <w:i/>
          <w:color w:val="231F20"/>
          <w:w w:val="110"/>
          <w:sz w:val="19"/>
        </w:rPr>
        <w:t>these</w:t>
      </w:r>
      <w:r>
        <w:rPr>
          <w:i/>
          <w:color w:val="231F20"/>
          <w:spacing w:val="-32"/>
          <w:w w:val="110"/>
          <w:sz w:val="19"/>
        </w:rPr>
        <w:t xml:space="preserve"> </w:t>
      </w:r>
      <w:r>
        <w:rPr>
          <w:i/>
          <w:color w:val="231F20"/>
          <w:w w:val="110"/>
          <w:sz w:val="19"/>
        </w:rPr>
        <w:t>U.S.</w:t>
      </w:r>
      <w:r>
        <w:rPr>
          <w:i/>
          <w:color w:val="231F20"/>
          <w:spacing w:val="-34"/>
          <w:w w:val="110"/>
          <w:sz w:val="19"/>
        </w:rPr>
        <w:t xml:space="preserve"> </w:t>
      </w:r>
      <w:r>
        <w:rPr>
          <w:i/>
          <w:color w:val="231F20"/>
          <w:w w:val="110"/>
          <w:sz w:val="19"/>
        </w:rPr>
        <w:t>agencies</w:t>
      </w:r>
      <w:r>
        <w:rPr>
          <w:i/>
          <w:color w:val="231F20"/>
          <w:spacing w:val="-32"/>
          <w:w w:val="110"/>
          <w:sz w:val="19"/>
        </w:rPr>
        <w:t xml:space="preserve"> </w:t>
      </w:r>
      <w:r>
        <w:rPr>
          <w:i/>
          <w:color w:val="231F20"/>
          <w:w w:val="110"/>
          <w:sz w:val="19"/>
        </w:rPr>
        <w:t>in</w:t>
      </w:r>
      <w:r>
        <w:rPr>
          <w:i/>
          <w:color w:val="231F20"/>
          <w:spacing w:val="-32"/>
          <w:w w:val="110"/>
          <w:sz w:val="19"/>
        </w:rPr>
        <w:t xml:space="preserve"> </w:t>
      </w:r>
      <w:r>
        <w:rPr>
          <w:i/>
          <w:color w:val="231F20"/>
          <w:w w:val="110"/>
          <w:sz w:val="19"/>
        </w:rPr>
        <w:t>the</w:t>
      </w:r>
      <w:r>
        <w:rPr>
          <w:i/>
          <w:color w:val="231F20"/>
          <w:spacing w:val="-32"/>
          <w:w w:val="110"/>
          <w:sz w:val="19"/>
        </w:rPr>
        <w:t xml:space="preserve"> </w:t>
      </w:r>
      <w:r>
        <w:rPr>
          <w:i/>
          <w:color w:val="231F20"/>
          <w:w w:val="110"/>
          <w:sz w:val="19"/>
        </w:rPr>
        <w:t>IG</w:t>
      </w:r>
      <w:r>
        <w:rPr>
          <w:i/>
          <w:color w:val="231F20"/>
          <w:spacing w:val="-32"/>
          <w:w w:val="110"/>
          <w:sz w:val="19"/>
        </w:rPr>
        <w:t xml:space="preserve"> </w:t>
      </w:r>
      <w:r>
        <w:rPr>
          <w:i/>
          <w:color w:val="231F20"/>
          <w:w w:val="110"/>
          <w:sz w:val="19"/>
        </w:rPr>
        <w:t>Farben</w:t>
      </w:r>
      <w:r>
        <w:rPr>
          <w:i/>
          <w:color w:val="231F20"/>
          <w:spacing w:val="-32"/>
          <w:w w:val="110"/>
          <w:sz w:val="19"/>
        </w:rPr>
        <w:t xml:space="preserve"> </w:t>
      </w:r>
      <w:r>
        <w:rPr>
          <w:i/>
          <w:color w:val="231F20"/>
          <w:w w:val="110"/>
          <w:sz w:val="19"/>
        </w:rPr>
        <w:t>building</w:t>
      </w:r>
      <w:r>
        <w:rPr>
          <w:i/>
          <w:color w:val="231F20"/>
          <w:spacing w:val="-32"/>
          <w:w w:val="110"/>
          <w:sz w:val="19"/>
        </w:rPr>
        <w:t xml:space="preserve"> </w:t>
      </w:r>
      <w:r>
        <w:rPr>
          <w:i/>
          <w:color w:val="231F20"/>
          <w:w w:val="110"/>
          <w:sz w:val="19"/>
        </w:rPr>
        <w:t>in</w:t>
      </w:r>
      <w:r>
        <w:rPr>
          <w:i/>
          <w:color w:val="231F20"/>
          <w:spacing w:val="-32"/>
          <w:w w:val="110"/>
          <w:sz w:val="19"/>
        </w:rPr>
        <w:t xml:space="preserve"> </w:t>
      </w:r>
      <w:r>
        <w:rPr>
          <w:i/>
          <w:color w:val="231F20"/>
          <w:w w:val="110"/>
          <w:sz w:val="19"/>
        </w:rPr>
        <w:t xml:space="preserve">Frankfurt </w:t>
      </w:r>
      <w:r>
        <w:rPr>
          <w:i/>
          <w:color w:val="231F20"/>
          <w:w w:val="105"/>
          <w:sz w:val="19"/>
        </w:rPr>
        <w:t xml:space="preserve">am Main carried out strategic military planning, management, </w:t>
      </w:r>
      <w:r>
        <w:rPr>
          <w:i/>
          <w:color w:val="231F20"/>
          <w:w w:val="110"/>
          <w:sz w:val="19"/>
        </w:rPr>
        <w:t>coordination, and control functions for both the operations and</w:t>
      </w:r>
      <w:r>
        <w:rPr>
          <w:i/>
          <w:color w:val="231F20"/>
          <w:spacing w:val="-14"/>
          <w:w w:val="110"/>
          <w:sz w:val="19"/>
        </w:rPr>
        <w:t xml:space="preserve"> </w:t>
      </w:r>
      <w:r>
        <w:rPr>
          <w:i/>
          <w:color w:val="231F20"/>
          <w:w w:val="110"/>
          <w:sz w:val="19"/>
        </w:rPr>
        <w:t>logistics</w:t>
      </w:r>
      <w:r>
        <w:rPr>
          <w:i/>
          <w:color w:val="231F20"/>
          <w:spacing w:val="-14"/>
          <w:w w:val="110"/>
          <w:sz w:val="19"/>
        </w:rPr>
        <w:t xml:space="preserve"> </w:t>
      </w:r>
      <w:r>
        <w:rPr>
          <w:i/>
          <w:color w:val="231F20"/>
          <w:w w:val="110"/>
          <w:sz w:val="19"/>
        </w:rPr>
        <w:t>of</w:t>
      </w:r>
      <w:r>
        <w:rPr>
          <w:i/>
          <w:color w:val="231F20"/>
          <w:spacing w:val="-14"/>
          <w:w w:val="110"/>
          <w:sz w:val="19"/>
        </w:rPr>
        <w:t xml:space="preserve"> </w:t>
      </w:r>
      <w:r>
        <w:rPr>
          <w:i/>
          <w:color w:val="231F20"/>
          <w:w w:val="110"/>
          <w:sz w:val="19"/>
        </w:rPr>
        <w:t>the</w:t>
      </w:r>
      <w:r>
        <w:rPr>
          <w:i/>
          <w:color w:val="231F20"/>
          <w:spacing w:val="-14"/>
          <w:w w:val="110"/>
          <w:sz w:val="19"/>
        </w:rPr>
        <w:t xml:space="preserve"> </w:t>
      </w:r>
      <w:r>
        <w:rPr>
          <w:i/>
          <w:color w:val="231F20"/>
          <w:w w:val="110"/>
          <w:sz w:val="19"/>
        </w:rPr>
        <w:t>U.S.</w:t>
      </w:r>
      <w:r>
        <w:rPr>
          <w:i/>
          <w:color w:val="231F20"/>
          <w:spacing w:val="-17"/>
          <w:w w:val="110"/>
          <w:sz w:val="19"/>
        </w:rPr>
        <w:t xml:space="preserve"> </w:t>
      </w:r>
      <w:r>
        <w:rPr>
          <w:i/>
          <w:color w:val="231F20"/>
          <w:w w:val="110"/>
          <w:sz w:val="19"/>
        </w:rPr>
        <w:t>military</w:t>
      </w:r>
      <w:r>
        <w:rPr>
          <w:i/>
          <w:color w:val="231F20"/>
          <w:spacing w:val="-14"/>
          <w:w w:val="110"/>
          <w:sz w:val="19"/>
        </w:rPr>
        <w:t xml:space="preserve"> </w:t>
      </w:r>
      <w:r>
        <w:rPr>
          <w:i/>
          <w:color w:val="231F20"/>
          <w:w w:val="110"/>
          <w:sz w:val="19"/>
        </w:rPr>
        <w:t>forces</w:t>
      </w:r>
      <w:r>
        <w:rPr>
          <w:i/>
          <w:color w:val="231F20"/>
          <w:spacing w:val="-14"/>
          <w:w w:val="110"/>
          <w:sz w:val="19"/>
        </w:rPr>
        <w:t xml:space="preserve"> </w:t>
      </w:r>
      <w:r>
        <w:rPr>
          <w:i/>
          <w:color w:val="231F20"/>
          <w:w w:val="110"/>
          <w:sz w:val="19"/>
        </w:rPr>
        <w:t>in</w:t>
      </w:r>
      <w:r>
        <w:rPr>
          <w:i/>
          <w:color w:val="231F20"/>
          <w:spacing w:val="-14"/>
          <w:w w:val="110"/>
          <w:sz w:val="19"/>
        </w:rPr>
        <w:t xml:space="preserve"> </w:t>
      </w:r>
      <w:r>
        <w:rPr>
          <w:i/>
          <w:color w:val="231F20"/>
          <w:w w:val="110"/>
          <w:sz w:val="19"/>
        </w:rPr>
        <w:t>Indochina</w:t>
      </w:r>
      <w:r>
        <w:rPr>
          <w:i/>
          <w:color w:val="231F20"/>
          <w:spacing w:val="-14"/>
          <w:w w:val="110"/>
          <w:sz w:val="19"/>
        </w:rPr>
        <w:t xml:space="preserve"> </w:t>
      </w:r>
      <w:r>
        <w:rPr>
          <w:i/>
          <w:color w:val="231F20"/>
          <w:w w:val="110"/>
          <w:sz w:val="19"/>
        </w:rPr>
        <w:t>and</w:t>
      </w:r>
      <w:r>
        <w:rPr>
          <w:i/>
          <w:color w:val="231F20"/>
          <w:spacing w:val="-14"/>
          <w:w w:val="110"/>
          <w:sz w:val="19"/>
        </w:rPr>
        <w:t xml:space="preserve"> </w:t>
      </w:r>
      <w:r>
        <w:rPr>
          <w:i/>
          <w:color w:val="231F20"/>
          <w:w w:val="110"/>
          <w:sz w:val="19"/>
        </w:rPr>
        <w:t>secret operations</w:t>
      </w:r>
      <w:r>
        <w:rPr>
          <w:i/>
          <w:color w:val="231F20"/>
          <w:spacing w:val="-6"/>
          <w:w w:val="110"/>
          <w:sz w:val="19"/>
        </w:rPr>
        <w:t xml:space="preserve"> </w:t>
      </w:r>
      <w:r>
        <w:rPr>
          <w:i/>
          <w:color w:val="231F20"/>
          <w:w w:val="110"/>
          <w:sz w:val="19"/>
        </w:rPr>
        <w:t>of</w:t>
      </w:r>
      <w:r>
        <w:rPr>
          <w:i/>
          <w:color w:val="231F20"/>
          <w:spacing w:val="-5"/>
          <w:w w:val="110"/>
          <w:sz w:val="19"/>
        </w:rPr>
        <w:t xml:space="preserve"> </w:t>
      </w:r>
      <w:r>
        <w:rPr>
          <w:i/>
          <w:color w:val="231F20"/>
          <w:w w:val="110"/>
          <w:sz w:val="19"/>
        </w:rPr>
        <w:t>U.S.</w:t>
      </w:r>
      <w:r>
        <w:rPr>
          <w:i/>
          <w:color w:val="231F20"/>
          <w:spacing w:val="-11"/>
          <w:w w:val="110"/>
          <w:sz w:val="19"/>
        </w:rPr>
        <w:t xml:space="preserve"> </w:t>
      </w:r>
      <w:r>
        <w:rPr>
          <w:i/>
          <w:color w:val="231F20"/>
          <w:w w:val="110"/>
          <w:sz w:val="19"/>
        </w:rPr>
        <w:t>intelligence</w:t>
      </w:r>
      <w:r>
        <w:rPr>
          <w:i/>
          <w:color w:val="231F20"/>
          <w:spacing w:val="-6"/>
          <w:w w:val="110"/>
          <w:sz w:val="19"/>
        </w:rPr>
        <w:t xml:space="preserve"> </w:t>
      </w:r>
      <w:r>
        <w:rPr>
          <w:i/>
          <w:color w:val="231F20"/>
          <w:w w:val="110"/>
          <w:sz w:val="19"/>
        </w:rPr>
        <w:t>agencies</w:t>
      </w:r>
      <w:r>
        <w:rPr>
          <w:i/>
          <w:color w:val="231F20"/>
          <w:spacing w:val="-6"/>
          <w:w w:val="110"/>
          <w:sz w:val="19"/>
        </w:rPr>
        <w:t xml:space="preserve"> </w:t>
      </w:r>
      <w:r>
        <w:rPr>
          <w:i/>
          <w:color w:val="231F20"/>
          <w:w w:val="110"/>
          <w:sz w:val="19"/>
        </w:rPr>
        <w:t>in</w:t>
      </w:r>
      <w:r>
        <w:rPr>
          <w:i/>
          <w:color w:val="231F20"/>
          <w:spacing w:val="-6"/>
          <w:w w:val="110"/>
          <w:sz w:val="19"/>
        </w:rPr>
        <w:t xml:space="preserve"> </w:t>
      </w:r>
      <w:r>
        <w:rPr>
          <w:i/>
          <w:color w:val="231F20"/>
          <w:w w:val="110"/>
          <w:sz w:val="19"/>
        </w:rPr>
        <w:t>Indochina;</w:t>
      </w:r>
    </w:p>
    <w:p w14:paraId="2865EC50" w14:textId="77777777" w:rsidR="002653E8" w:rsidRDefault="003115E3">
      <w:pPr>
        <w:pStyle w:val="a4"/>
        <w:numPr>
          <w:ilvl w:val="1"/>
          <w:numId w:val="11"/>
        </w:numPr>
        <w:tabs>
          <w:tab w:val="left" w:pos="1804"/>
        </w:tabs>
        <w:spacing w:before="40" w:line="273" w:lineRule="auto"/>
        <w:ind w:left="1568" w:right="1746" w:firstLine="0"/>
        <w:jc w:val="both"/>
        <w:rPr>
          <w:i/>
          <w:sz w:val="19"/>
        </w:rPr>
      </w:pPr>
      <w:r>
        <w:rPr>
          <w:i/>
          <w:color w:val="231F20"/>
          <w:w w:val="105"/>
          <w:sz w:val="19"/>
        </w:rPr>
        <w:t>that the structuring of the Federal Republic of Germany as a state</w:t>
      </w:r>
      <w:r>
        <w:rPr>
          <w:i/>
          <w:color w:val="231F20"/>
          <w:spacing w:val="-28"/>
          <w:w w:val="105"/>
          <w:sz w:val="19"/>
        </w:rPr>
        <w:t xml:space="preserve"> </w:t>
      </w:r>
      <w:r>
        <w:rPr>
          <w:i/>
          <w:color w:val="231F20"/>
          <w:w w:val="105"/>
          <w:sz w:val="19"/>
        </w:rPr>
        <w:t>after</w:t>
      </w:r>
      <w:r>
        <w:rPr>
          <w:i/>
          <w:color w:val="231F20"/>
          <w:spacing w:val="-28"/>
          <w:w w:val="105"/>
          <w:sz w:val="19"/>
        </w:rPr>
        <w:t xml:space="preserve"> </w:t>
      </w:r>
      <w:r>
        <w:rPr>
          <w:rFonts w:ascii="Bookman Old Style" w:hAnsi="Bookman Old Style"/>
          <w:i/>
          <w:color w:val="231F20"/>
          <w:w w:val="105"/>
          <w:sz w:val="19"/>
        </w:rPr>
        <w:t>1945</w:t>
      </w:r>
      <w:r>
        <w:rPr>
          <w:rFonts w:ascii="Bookman Old Style" w:hAnsi="Bookman Old Style"/>
          <w:i/>
          <w:color w:val="231F20"/>
          <w:spacing w:val="-44"/>
          <w:w w:val="105"/>
          <w:sz w:val="19"/>
        </w:rPr>
        <w:t xml:space="preserve"> </w:t>
      </w:r>
      <w:r>
        <w:rPr>
          <w:i/>
          <w:color w:val="231F20"/>
          <w:w w:val="105"/>
          <w:sz w:val="19"/>
        </w:rPr>
        <w:t>was</w:t>
      </w:r>
      <w:r>
        <w:rPr>
          <w:i/>
          <w:color w:val="231F20"/>
          <w:spacing w:val="-28"/>
          <w:w w:val="105"/>
          <w:sz w:val="19"/>
        </w:rPr>
        <w:t xml:space="preserve"> </w:t>
      </w:r>
      <w:r>
        <w:rPr>
          <w:i/>
          <w:color w:val="231F20"/>
          <w:w w:val="105"/>
          <w:sz w:val="19"/>
        </w:rPr>
        <w:t>carried</w:t>
      </w:r>
      <w:r>
        <w:rPr>
          <w:i/>
          <w:color w:val="231F20"/>
          <w:spacing w:val="-28"/>
          <w:w w:val="105"/>
          <w:sz w:val="19"/>
        </w:rPr>
        <w:t xml:space="preserve"> </w:t>
      </w:r>
      <w:r>
        <w:rPr>
          <w:i/>
          <w:color w:val="231F20"/>
          <w:w w:val="105"/>
          <w:sz w:val="19"/>
        </w:rPr>
        <w:t>out</w:t>
      </w:r>
      <w:r>
        <w:rPr>
          <w:i/>
          <w:color w:val="231F20"/>
          <w:spacing w:val="-28"/>
          <w:w w:val="105"/>
          <w:sz w:val="19"/>
        </w:rPr>
        <w:t xml:space="preserve"> </w:t>
      </w:r>
      <w:r>
        <w:rPr>
          <w:i/>
          <w:color w:val="231F20"/>
          <w:w w:val="105"/>
          <w:sz w:val="19"/>
        </w:rPr>
        <w:t>and</w:t>
      </w:r>
      <w:r>
        <w:rPr>
          <w:i/>
          <w:color w:val="231F20"/>
          <w:spacing w:val="-28"/>
          <w:w w:val="105"/>
          <w:sz w:val="19"/>
        </w:rPr>
        <w:t xml:space="preserve"> </w:t>
      </w:r>
      <w:r>
        <w:rPr>
          <w:i/>
          <w:color w:val="231F20"/>
          <w:w w:val="105"/>
          <w:sz w:val="19"/>
        </w:rPr>
        <w:t>developed</w:t>
      </w:r>
      <w:r>
        <w:rPr>
          <w:i/>
          <w:color w:val="231F20"/>
          <w:spacing w:val="-28"/>
          <w:w w:val="105"/>
          <w:sz w:val="19"/>
        </w:rPr>
        <w:t xml:space="preserve"> </w:t>
      </w:r>
      <w:r>
        <w:rPr>
          <w:i/>
          <w:color w:val="231F20"/>
          <w:w w:val="105"/>
          <w:sz w:val="19"/>
        </w:rPr>
        <w:t>by</w:t>
      </w:r>
      <w:r>
        <w:rPr>
          <w:i/>
          <w:color w:val="231F20"/>
          <w:spacing w:val="-28"/>
          <w:w w:val="105"/>
          <w:sz w:val="19"/>
        </w:rPr>
        <w:t xml:space="preserve"> </w:t>
      </w:r>
      <w:r>
        <w:rPr>
          <w:i/>
          <w:color w:val="231F20"/>
          <w:w w:val="105"/>
          <w:sz w:val="19"/>
        </w:rPr>
        <w:t>the</w:t>
      </w:r>
      <w:r>
        <w:rPr>
          <w:i/>
          <w:color w:val="231F20"/>
          <w:spacing w:val="-28"/>
          <w:w w:val="105"/>
          <w:sz w:val="19"/>
        </w:rPr>
        <w:t xml:space="preserve"> </w:t>
      </w:r>
      <w:r>
        <w:rPr>
          <w:i/>
          <w:color w:val="231F20"/>
          <w:w w:val="105"/>
          <w:sz w:val="19"/>
        </w:rPr>
        <w:t>U.S.A.</w:t>
      </w:r>
      <w:r>
        <w:rPr>
          <w:i/>
          <w:color w:val="231F20"/>
          <w:spacing w:val="-32"/>
          <w:w w:val="105"/>
          <w:sz w:val="19"/>
        </w:rPr>
        <w:t xml:space="preserve"> </w:t>
      </w:r>
      <w:r>
        <w:rPr>
          <w:i/>
          <w:color w:val="231F20"/>
          <w:w w:val="105"/>
          <w:sz w:val="19"/>
        </w:rPr>
        <w:t>as</w:t>
      </w:r>
      <w:r>
        <w:rPr>
          <w:i/>
          <w:color w:val="231F20"/>
          <w:spacing w:val="-28"/>
          <w:w w:val="105"/>
          <w:sz w:val="19"/>
        </w:rPr>
        <w:t xml:space="preserve"> </w:t>
      </w:r>
      <w:r>
        <w:rPr>
          <w:i/>
          <w:color w:val="231F20"/>
          <w:w w:val="105"/>
          <w:sz w:val="19"/>
        </w:rPr>
        <w:t>part of their expansionist strategy directed towards world</w:t>
      </w:r>
      <w:r>
        <w:rPr>
          <w:i/>
          <w:color w:val="231F20"/>
          <w:spacing w:val="-33"/>
          <w:w w:val="105"/>
          <w:sz w:val="19"/>
        </w:rPr>
        <w:t xml:space="preserve"> </w:t>
      </w:r>
      <w:r>
        <w:rPr>
          <w:i/>
          <w:color w:val="231F20"/>
          <w:w w:val="105"/>
          <w:sz w:val="19"/>
        </w:rPr>
        <w:t>power—</w:t>
      </w:r>
    </w:p>
    <w:p w14:paraId="2D1926A7" w14:textId="0ABEBBB4" w:rsidR="002653E8" w:rsidRDefault="003115E3" w:rsidP="00541CDA">
      <w:pPr>
        <w:spacing w:before="42"/>
        <w:ind w:left="1568"/>
        <w:jc w:val="both"/>
        <w:rPr>
          <w:i/>
          <w:sz w:val="19"/>
        </w:rPr>
      </w:pPr>
      <w:r>
        <w:rPr>
          <w:i/>
          <w:color w:val="231F20"/>
          <w:sz w:val="19"/>
        </w:rPr>
        <w:t>particularly</w:t>
      </w:r>
      <w:r w:rsidR="00541CDA">
        <w:rPr>
          <w:i/>
          <w:color w:val="231F20"/>
          <w:sz w:val="19"/>
        </w:rPr>
        <w:t xml:space="preserve"> </w:t>
      </w:r>
      <w:r>
        <w:rPr>
          <w:i/>
          <w:color w:val="231F20"/>
          <w:w w:val="105"/>
          <w:sz w:val="19"/>
        </w:rPr>
        <w:t xml:space="preserve">that after the Second </w:t>
      </w:r>
      <w:r>
        <w:rPr>
          <w:i/>
          <w:color w:val="231F20"/>
          <w:spacing w:val="-3"/>
          <w:w w:val="105"/>
          <w:sz w:val="19"/>
        </w:rPr>
        <w:t xml:space="preserve">World </w:t>
      </w:r>
      <w:r>
        <w:rPr>
          <w:i/>
          <w:color w:val="231F20"/>
          <w:spacing w:val="-9"/>
          <w:w w:val="105"/>
          <w:sz w:val="19"/>
        </w:rPr>
        <w:t xml:space="preserve">War, </w:t>
      </w:r>
      <w:r>
        <w:rPr>
          <w:i/>
          <w:color w:val="231F20"/>
          <w:w w:val="105"/>
          <w:sz w:val="19"/>
        </w:rPr>
        <w:t xml:space="preserve">the CIA, founded as an illegal arm of American foreign </w:t>
      </w:r>
      <w:r>
        <w:rPr>
          <w:i/>
          <w:color w:val="231F20"/>
          <w:spacing w:val="-4"/>
          <w:w w:val="105"/>
          <w:sz w:val="19"/>
        </w:rPr>
        <w:t xml:space="preserve">policy, </w:t>
      </w:r>
      <w:r>
        <w:rPr>
          <w:i/>
          <w:color w:val="231F20"/>
          <w:w w:val="105"/>
          <w:sz w:val="19"/>
        </w:rPr>
        <w:t>directly controlled all relevant political, economic, and cultural institutions in the Federal Republicduring</w:t>
      </w:r>
      <w:r>
        <w:rPr>
          <w:i/>
          <w:color w:val="231F20"/>
          <w:spacing w:val="-20"/>
          <w:w w:val="105"/>
          <w:sz w:val="19"/>
        </w:rPr>
        <w:t xml:space="preserve"> </w:t>
      </w:r>
      <w:r>
        <w:rPr>
          <w:i/>
          <w:color w:val="231F20"/>
          <w:w w:val="105"/>
          <w:sz w:val="19"/>
        </w:rPr>
        <w:t>the</w:t>
      </w:r>
      <w:r>
        <w:rPr>
          <w:i/>
          <w:color w:val="231F20"/>
          <w:spacing w:val="-20"/>
          <w:w w:val="105"/>
          <w:sz w:val="19"/>
        </w:rPr>
        <w:t xml:space="preserve"> </w:t>
      </w:r>
      <w:r>
        <w:rPr>
          <w:i/>
          <w:color w:val="231F20"/>
          <w:w w:val="105"/>
          <w:sz w:val="19"/>
        </w:rPr>
        <w:t>Cold</w:t>
      </w:r>
      <w:r>
        <w:rPr>
          <w:i/>
          <w:color w:val="231F20"/>
          <w:spacing w:val="-26"/>
          <w:w w:val="105"/>
          <w:sz w:val="19"/>
        </w:rPr>
        <w:t xml:space="preserve"> </w:t>
      </w:r>
      <w:r>
        <w:rPr>
          <w:i/>
          <w:color w:val="231F20"/>
          <w:spacing w:val="-9"/>
          <w:w w:val="105"/>
          <w:sz w:val="19"/>
        </w:rPr>
        <w:t>War,</w:t>
      </w:r>
      <w:r>
        <w:rPr>
          <w:i/>
          <w:color w:val="231F20"/>
          <w:spacing w:val="-26"/>
          <w:w w:val="105"/>
          <w:sz w:val="19"/>
        </w:rPr>
        <w:t xml:space="preserve"> </w:t>
      </w:r>
      <w:r>
        <w:rPr>
          <w:i/>
          <w:color w:val="231F20"/>
          <w:w w:val="105"/>
          <w:sz w:val="19"/>
        </w:rPr>
        <w:t>through</w:t>
      </w:r>
      <w:r>
        <w:rPr>
          <w:i/>
          <w:color w:val="231F20"/>
          <w:spacing w:val="-20"/>
          <w:w w:val="105"/>
          <w:sz w:val="19"/>
        </w:rPr>
        <w:t xml:space="preserve"> </w:t>
      </w:r>
      <w:r>
        <w:rPr>
          <w:i/>
          <w:color w:val="231F20"/>
          <w:w w:val="105"/>
          <w:sz w:val="19"/>
        </w:rPr>
        <w:t>civilian</w:t>
      </w:r>
      <w:r>
        <w:rPr>
          <w:i/>
          <w:color w:val="231F20"/>
          <w:spacing w:val="-20"/>
          <w:w w:val="105"/>
          <w:sz w:val="19"/>
        </w:rPr>
        <w:t xml:space="preserve"> </w:t>
      </w:r>
      <w:r>
        <w:rPr>
          <w:i/>
          <w:color w:val="231F20"/>
          <w:w w:val="105"/>
          <w:sz w:val="19"/>
        </w:rPr>
        <w:t>front</w:t>
      </w:r>
      <w:r>
        <w:rPr>
          <w:i/>
          <w:color w:val="231F20"/>
          <w:spacing w:val="-20"/>
          <w:w w:val="105"/>
          <w:sz w:val="19"/>
        </w:rPr>
        <w:t xml:space="preserve"> </w:t>
      </w:r>
      <w:r>
        <w:rPr>
          <w:i/>
          <w:color w:val="231F20"/>
          <w:w w:val="105"/>
          <w:sz w:val="19"/>
        </w:rPr>
        <w:t>organizations, or through the businesses, unions, cultural organizations, and student organizations that they controlled, and later through the financing of political parties and trade unions, as well as by educating, financing, and sponsoring politicians and</w:t>
      </w:r>
      <w:r>
        <w:rPr>
          <w:i/>
          <w:color w:val="231F20"/>
          <w:spacing w:val="-17"/>
          <w:w w:val="105"/>
          <w:sz w:val="19"/>
        </w:rPr>
        <w:t xml:space="preserve"> </w:t>
      </w:r>
      <w:r>
        <w:rPr>
          <w:i/>
          <w:color w:val="231F20"/>
          <w:w w:val="105"/>
          <w:sz w:val="19"/>
        </w:rPr>
        <w:t>officials;</w:t>
      </w:r>
    </w:p>
    <w:p w14:paraId="38ECA84A" w14:textId="77777777" w:rsidR="002653E8" w:rsidRDefault="003115E3">
      <w:pPr>
        <w:pStyle w:val="a4"/>
        <w:numPr>
          <w:ilvl w:val="1"/>
          <w:numId w:val="11"/>
        </w:numPr>
        <w:tabs>
          <w:tab w:val="left" w:pos="1800"/>
        </w:tabs>
        <w:spacing w:before="39" w:line="276" w:lineRule="auto"/>
        <w:ind w:left="1567" w:right="1745" w:firstLine="0"/>
        <w:jc w:val="both"/>
        <w:rPr>
          <w:i/>
          <w:sz w:val="19"/>
        </w:rPr>
      </w:pPr>
      <w:r>
        <w:rPr>
          <w:i/>
          <w:color w:val="231F20"/>
          <w:sz w:val="19"/>
        </w:rPr>
        <w:t>that through overt and covert, direct and indirect pressure, in the form of illegal interference in the internal affairs of the Federal Republic, and through the complete economic, military, and political hegemony of the U.S.A. over the Federal Republic, the Kiesinger/Brandt and Brandt/Scheel governments were</w:t>
      </w:r>
      <w:r>
        <w:rPr>
          <w:i/>
          <w:color w:val="231F20"/>
          <w:spacing w:val="30"/>
          <w:sz w:val="19"/>
        </w:rPr>
        <w:t xml:space="preserve"> </w:t>
      </w:r>
      <w:r>
        <w:rPr>
          <w:i/>
          <w:color w:val="231F20"/>
          <w:sz w:val="19"/>
        </w:rPr>
        <w:t xml:space="preserve">involved in the overt and covert, aggressive, genocidal strategy against the Third </w:t>
      </w:r>
      <w:r>
        <w:rPr>
          <w:i/>
          <w:color w:val="231F20"/>
          <w:spacing w:val="-3"/>
          <w:sz w:val="19"/>
        </w:rPr>
        <w:t xml:space="preserve">World </w:t>
      </w:r>
      <w:r>
        <w:rPr>
          <w:i/>
          <w:color w:val="231F20"/>
          <w:sz w:val="19"/>
        </w:rPr>
        <w:t>liberation movements, particularly in</w:t>
      </w:r>
      <w:r>
        <w:rPr>
          <w:i/>
          <w:color w:val="231F20"/>
          <w:spacing w:val="6"/>
          <w:sz w:val="19"/>
        </w:rPr>
        <w:t xml:space="preserve"> </w:t>
      </w:r>
      <w:r>
        <w:rPr>
          <w:i/>
          <w:color w:val="231F20"/>
          <w:sz w:val="19"/>
        </w:rPr>
        <w:t>Indochina,</w:t>
      </w:r>
    </w:p>
    <w:p w14:paraId="6A00EDA1" w14:textId="77777777" w:rsidR="002653E8" w:rsidRDefault="003115E3">
      <w:pPr>
        <w:pStyle w:val="a4"/>
        <w:numPr>
          <w:ilvl w:val="2"/>
          <w:numId w:val="11"/>
        </w:numPr>
        <w:tabs>
          <w:tab w:val="left" w:pos="1865"/>
        </w:tabs>
        <w:spacing w:before="36" w:line="276" w:lineRule="auto"/>
        <w:ind w:right="1739" w:firstLine="0"/>
        <w:jc w:val="both"/>
        <w:rPr>
          <w:i/>
          <w:sz w:val="19"/>
        </w:rPr>
      </w:pPr>
      <w:r>
        <w:rPr>
          <w:i/>
          <w:color w:val="231F20"/>
          <w:w w:val="105"/>
          <w:sz w:val="19"/>
        </w:rPr>
        <w:t>in</w:t>
      </w:r>
      <w:r>
        <w:rPr>
          <w:i/>
          <w:color w:val="231F20"/>
          <w:spacing w:val="-20"/>
          <w:w w:val="105"/>
          <w:sz w:val="19"/>
        </w:rPr>
        <w:t xml:space="preserve"> </w:t>
      </w:r>
      <w:r>
        <w:rPr>
          <w:i/>
          <w:color w:val="231F20"/>
          <w:w w:val="105"/>
          <w:sz w:val="19"/>
        </w:rPr>
        <w:t>that</w:t>
      </w:r>
      <w:r>
        <w:rPr>
          <w:i/>
          <w:color w:val="231F20"/>
          <w:spacing w:val="-20"/>
          <w:w w:val="105"/>
          <w:sz w:val="19"/>
        </w:rPr>
        <w:t xml:space="preserve"> </w:t>
      </w:r>
      <w:r>
        <w:rPr>
          <w:i/>
          <w:color w:val="231F20"/>
          <w:w w:val="105"/>
          <w:sz w:val="19"/>
        </w:rPr>
        <w:t>they</w:t>
      </w:r>
      <w:r>
        <w:rPr>
          <w:i/>
          <w:color w:val="231F20"/>
          <w:spacing w:val="-20"/>
          <w:w w:val="105"/>
          <w:sz w:val="19"/>
        </w:rPr>
        <w:t xml:space="preserve"> </w:t>
      </w:r>
      <w:r>
        <w:rPr>
          <w:i/>
          <w:color w:val="231F20"/>
          <w:w w:val="105"/>
          <w:sz w:val="19"/>
        </w:rPr>
        <w:t>supported</w:t>
      </w:r>
      <w:r>
        <w:rPr>
          <w:i/>
          <w:color w:val="231F20"/>
          <w:spacing w:val="-20"/>
          <w:w w:val="105"/>
          <w:sz w:val="19"/>
        </w:rPr>
        <w:t xml:space="preserve"> </w:t>
      </w:r>
      <w:r>
        <w:rPr>
          <w:i/>
          <w:color w:val="231F20"/>
          <w:w w:val="105"/>
          <w:sz w:val="19"/>
        </w:rPr>
        <w:t>the</w:t>
      </w:r>
      <w:r>
        <w:rPr>
          <w:i/>
          <w:color w:val="231F20"/>
          <w:spacing w:val="-20"/>
          <w:w w:val="105"/>
          <w:sz w:val="19"/>
        </w:rPr>
        <w:t xml:space="preserve"> </w:t>
      </w:r>
      <w:r>
        <w:rPr>
          <w:i/>
          <w:color w:val="231F20"/>
          <w:w w:val="105"/>
          <w:sz w:val="19"/>
        </w:rPr>
        <w:t>aggression</w:t>
      </w:r>
      <w:r>
        <w:rPr>
          <w:i/>
          <w:color w:val="231F20"/>
          <w:spacing w:val="-20"/>
          <w:w w:val="105"/>
          <w:sz w:val="19"/>
        </w:rPr>
        <w:t xml:space="preserve"> </w:t>
      </w:r>
      <w:r>
        <w:rPr>
          <w:i/>
          <w:color w:val="231F20"/>
          <w:w w:val="105"/>
          <w:sz w:val="19"/>
        </w:rPr>
        <w:t>politically,</w:t>
      </w:r>
      <w:r>
        <w:rPr>
          <w:i/>
          <w:color w:val="231F20"/>
          <w:spacing w:val="-24"/>
          <w:w w:val="105"/>
          <w:sz w:val="19"/>
        </w:rPr>
        <w:t xml:space="preserve"> </w:t>
      </w:r>
      <w:r>
        <w:rPr>
          <w:i/>
          <w:color w:val="231F20"/>
          <w:w w:val="105"/>
          <w:sz w:val="19"/>
        </w:rPr>
        <w:t>economically, and through propaganda, and allowed the U.S. Army to use military bases on the Federal Republic’s</w:t>
      </w:r>
      <w:r>
        <w:rPr>
          <w:i/>
          <w:color w:val="231F20"/>
          <w:spacing w:val="21"/>
          <w:w w:val="105"/>
          <w:sz w:val="19"/>
        </w:rPr>
        <w:t xml:space="preserve"> </w:t>
      </w:r>
      <w:r>
        <w:rPr>
          <w:i/>
          <w:color w:val="231F20"/>
          <w:w w:val="105"/>
          <w:sz w:val="19"/>
        </w:rPr>
        <w:t>territory;</w:t>
      </w:r>
    </w:p>
    <w:p w14:paraId="40A93605" w14:textId="77777777" w:rsidR="002653E8" w:rsidRDefault="003115E3">
      <w:pPr>
        <w:pStyle w:val="a4"/>
        <w:numPr>
          <w:ilvl w:val="2"/>
          <w:numId w:val="11"/>
        </w:numPr>
        <w:tabs>
          <w:tab w:val="left" w:pos="1890"/>
        </w:tabs>
        <w:spacing w:before="40" w:line="276" w:lineRule="auto"/>
        <w:ind w:right="1738" w:firstLine="0"/>
        <w:jc w:val="both"/>
        <w:rPr>
          <w:i/>
          <w:sz w:val="19"/>
        </w:rPr>
      </w:pPr>
      <w:r>
        <w:rPr>
          <w:i/>
          <w:color w:val="231F20"/>
          <w:w w:val="105"/>
          <w:sz w:val="19"/>
        </w:rPr>
        <w:t xml:space="preserve">in that </w:t>
      </w:r>
      <w:r>
        <w:rPr>
          <w:i/>
          <w:color w:val="231F20"/>
          <w:spacing w:val="-5"/>
          <w:w w:val="105"/>
          <w:sz w:val="19"/>
        </w:rPr>
        <w:t xml:space="preserve">they, </w:t>
      </w:r>
      <w:r>
        <w:rPr>
          <w:i/>
          <w:color w:val="231F20"/>
          <w:w w:val="105"/>
          <w:sz w:val="19"/>
        </w:rPr>
        <w:t xml:space="preserve">as a sub-center of U.S. imperialism, developed a policy of illegal interference in the internal affairs of the Third </w:t>
      </w:r>
      <w:r>
        <w:rPr>
          <w:i/>
          <w:color w:val="231F20"/>
          <w:spacing w:val="-3"/>
          <w:w w:val="105"/>
          <w:sz w:val="19"/>
        </w:rPr>
        <w:t xml:space="preserve">World, </w:t>
      </w:r>
      <w:r>
        <w:rPr>
          <w:i/>
          <w:color w:val="231F20"/>
          <w:w w:val="105"/>
          <w:sz w:val="19"/>
        </w:rPr>
        <w:t>particularly in regards to Indochina and the European periphery. This was done using their own intelligence services and</w:t>
      </w:r>
      <w:r>
        <w:rPr>
          <w:i/>
          <w:color w:val="231F20"/>
          <w:spacing w:val="-12"/>
          <w:w w:val="105"/>
          <w:sz w:val="19"/>
        </w:rPr>
        <w:t xml:space="preserve"> </w:t>
      </w:r>
      <w:r>
        <w:rPr>
          <w:i/>
          <w:color w:val="231F20"/>
          <w:w w:val="105"/>
          <w:sz w:val="19"/>
        </w:rPr>
        <w:t>through</w:t>
      </w:r>
      <w:r>
        <w:rPr>
          <w:i/>
          <w:color w:val="231F20"/>
          <w:spacing w:val="-12"/>
          <w:w w:val="105"/>
          <w:sz w:val="19"/>
        </w:rPr>
        <w:t xml:space="preserve"> </w:t>
      </w:r>
      <w:r>
        <w:rPr>
          <w:i/>
          <w:color w:val="231F20"/>
          <w:w w:val="105"/>
          <w:sz w:val="19"/>
        </w:rPr>
        <w:t>the</w:t>
      </w:r>
      <w:r>
        <w:rPr>
          <w:i/>
          <w:color w:val="231F20"/>
          <w:spacing w:val="-12"/>
          <w:w w:val="105"/>
          <w:sz w:val="19"/>
        </w:rPr>
        <w:t xml:space="preserve"> </w:t>
      </w:r>
      <w:r>
        <w:rPr>
          <w:i/>
          <w:color w:val="231F20"/>
          <w:w w:val="105"/>
          <w:sz w:val="19"/>
        </w:rPr>
        <w:t>export</w:t>
      </w:r>
      <w:r>
        <w:rPr>
          <w:i/>
          <w:color w:val="231F20"/>
          <w:spacing w:val="-12"/>
          <w:w w:val="105"/>
          <w:sz w:val="19"/>
        </w:rPr>
        <w:t xml:space="preserve"> </w:t>
      </w:r>
      <w:r>
        <w:rPr>
          <w:i/>
          <w:color w:val="231F20"/>
          <w:w w:val="105"/>
          <w:sz w:val="19"/>
        </w:rPr>
        <w:t>of</w:t>
      </w:r>
      <w:r>
        <w:rPr>
          <w:i/>
          <w:color w:val="231F20"/>
          <w:spacing w:val="-12"/>
          <w:w w:val="105"/>
          <w:sz w:val="19"/>
        </w:rPr>
        <w:t xml:space="preserve"> </w:t>
      </w:r>
      <w:r>
        <w:rPr>
          <w:i/>
          <w:color w:val="231F20"/>
          <w:w w:val="105"/>
          <w:sz w:val="19"/>
        </w:rPr>
        <w:t>police</w:t>
      </w:r>
      <w:r>
        <w:rPr>
          <w:i/>
          <w:color w:val="231F20"/>
          <w:spacing w:val="-12"/>
          <w:w w:val="105"/>
          <w:sz w:val="19"/>
        </w:rPr>
        <w:t xml:space="preserve"> </w:t>
      </w:r>
      <w:r>
        <w:rPr>
          <w:i/>
          <w:color w:val="231F20"/>
          <w:w w:val="105"/>
          <w:sz w:val="19"/>
        </w:rPr>
        <w:t>and</w:t>
      </w:r>
      <w:r>
        <w:rPr>
          <w:i/>
          <w:color w:val="231F20"/>
          <w:spacing w:val="-12"/>
          <w:w w:val="105"/>
          <w:sz w:val="19"/>
        </w:rPr>
        <w:t xml:space="preserve"> </w:t>
      </w:r>
      <w:r>
        <w:rPr>
          <w:i/>
          <w:color w:val="231F20"/>
          <w:w w:val="105"/>
          <w:sz w:val="19"/>
        </w:rPr>
        <w:t>military,</w:t>
      </w:r>
      <w:r>
        <w:rPr>
          <w:i/>
          <w:color w:val="231F20"/>
          <w:spacing w:val="-18"/>
          <w:w w:val="105"/>
          <w:sz w:val="19"/>
        </w:rPr>
        <w:t xml:space="preserve"> </w:t>
      </w:r>
      <w:r>
        <w:rPr>
          <w:i/>
          <w:color w:val="231F20"/>
          <w:w w:val="105"/>
          <w:sz w:val="19"/>
        </w:rPr>
        <w:t>weapons,</w:t>
      </w:r>
      <w:r>
        <w:rPr>
          <w:i/>
          <w:color w:val="231F20"/>
          <w:spacing w:val="-18"/>
          <w:w w:val="105"/>
          <w:sz w:val="19"/>
        </w:rPr>
        <w:t xml:space="preserve"> </w:t>
      </w:r>
      <w:r>
        <w:rPr>
          <w:i/>
          <w:color w:val="231F20"/>
          <w:w w:val="105"/>
          <w:sz w:val="19"/>
        </w:rPr>
        <w:t xml:space="preserve">training, </w:t>
      </w:r>
      <w:r>
        <w:rPr>
          <w:i/>
          <w:color w:val="231F20"/>
          <w:spacing w:val="-3"/>
          <w:w w:val="105"/>
          <w:sz w:val="19"/>
        </w:rPr>
        <w:t xml:space="preserve">technology, </w:t>
      </w:r>
      <w:r>
        <w:rPr>
          <w:i/>
          <w:color w:val="231F20"/>
          <w:w w:val="105"/>
          <w:sz w:val="19"/>
        </w:rPr>
        <w:t>and logistics, through the financing of political parties, politicians, etc., as well as through economic</w:t>
      </w:r>
      <w:r>
        <w:rPr>
          <w:i/>
          <w:color w:val="231F20"/>
          <w:spacing w:val="-30"/>
          <w:w w:val="105"/>
          <w:sz w:val="19"/>
        </w:rPr>
        <w:t xml:space="preserve"> </w:t>
      </w:r>
      <w:r>
        <w:rPr>
          <w:i/>
          <w:color w:val="231F20"/>
          <w:w w:val="105"/>
          <w:sz w:val="19"/>
        </w:rPr>
        <w:t>pressure;</w:t>
      </w:r>
    </w:p>
    <w:p w14:paraId="368A334F" w14:textId="77777777" w:rsidR="002653E8" w:rsidRDefault="002653E8">
      <w:pPr>
        <w:spacing w:line="276" w:lineRule="auto"/>
        <w:jc w:val="both"/>
        <w:rPr>
          <w:sz w:val="19"/>
        </w:rPr>
        <w:sectPr w:rsidR="002653E8">
          <w:pgSz w:w="8640" w:h="12960"/>
          <w:pgMar w:top="1080" w:right="0" w:bottom="1040" w:left="0" w:header="0" w:footer="850" w:gutter="0"/>
          <w:cols w:space="720"/>
        </w:sectPr>
      </w:pPr>
    </w:p>
    <w:p w14:paraId="6EDF4134" w14:textId="77777777" w:rsidR="002653E8" w:rsidRDefault="003115E3">
      <w:pPr>
        <w:pStyle w:val="a4"/>
        <w:numPr>
          <w:ilvl w:val="1"/>
          <w:numId w:val="11"/>
        </w:numPr>
        <w:tabs>
          <w:tab w:val="left" w:pos="1970"/>
        </w:tabs>
        <w:spacing w:before="75"/>
        <w:ind w:left="1969" w:hanging="222"/>
        <w:jc w:val="left"/>
        <w:rPr>
          <w:i/>
          <w:sz w:val="19"/>
        </w:rPr>
      </w:pPr>
      <w:r>
        <w:rPr>
          <w:i/>
          <w:color w:val="231F20"/>
          <w:w w:val="105"/>
          <w:sz w:val="19"/>
        </w:rPr>
        <w:lastRenderedPageBreak/>
        <w:t>that the Federal Republic of</w:t>
      </w:r>
      <w:r>
        <w:rPr>
          <w:i/>
          <w:color w:val="231F20"/>
          <w:spacing w:val="35"/>
          <w:w w:val="105"/>
          <w:sz w:val="19"/>
        </w:rPr>
        <w:t xml:space="preserve"> </w:t>
      </w:r>
      <w:r>
        <w:rPr>
          <w:i/>
          <w:color w:val="231F20"/>
          <w:w w:val="105"/>
          <w:sz w:val="19"/>
        </w:rPr>
        <w:t>Germany</w:t>
      </w:r>
    </w:p>
    <w:p w14:paraId="05D54A20" w14:textId="77777777" w:rsidR="002653E8" w:rsidRDefault="003115E3">
      <w:pPr>
        <w:pStyle w:val="a4"/>
        <w:numPr>
          <w:ilvl w:val="2"/>
          <w:numId w:val="11"/>
        </w:numPr>
        <w:tabs>
          <w:tab w:val="left" w:pos="2061"/>
        </w:tabs>
        <w:spacing w:before="72" w:line="276" w:lineRule="auto"/>
        <w:ind w:left="1839" w:right="1566" w:firstLine="0"/>
        <w:jc w:val="both"/>
        <w:rPr>
          <w:i/>
          <w:sz w:val="19"/>
        </w:rPr>
      </w:pPr>
      <w:r>
        <w:rPr>
          <w:i/>
          <w:color w:val="231F20"/>
          <w:w w:val="105"/>
          <w:sz w:val="19"/>
        </w:rPr>
        <w:t>on the basis of its origins as a product of the dictatorship of the Allied military powers led by the</w:t>
      </w:r>
      <w:r>
        <w:rPr>
          <w:i/>
          <w:color w:val="231F20"/>
          <w:spacing w:val="10"/>
          <w:w w:val="105"/>
          <w:sz w:val="19"/>
        </w:rPr>
        <w:t xml:space="preserve"> </w:t>
      </w:r>
      <w:r>
        <w:rPr>
          <w:i/>
          <w:color w:val="231F20"/>
          <w:w w:val="105"/>
          <w:sz w:val="19"/>
        </w:rPr>
        <w:t>U.S.A.,</w:t>
      </w:r>
    </w:p>
    <w:p w14:paraId="62896632" w14:textId="77777777" w:rsidR="002653E8" w:rsidRDefault="003115E3">
      <w:pPr>
        <w:pStyle w:val="a4"/>
        <w:numPr>
          <w:ilvl w:val="2"/>
          <w:numId w:val="11"/>
        </w:numPr>
        <w:tabs>
          <w:tab w:val="left" w:pos="2050"/>
        </w:tabs>
        <w:spacing w:before="39" w:line="276" w:lineRule="auto"/>
        <w:ind w:left="1839" w:right="1559" w:firstLine="0"/>
        <w:jc w:val="both"/>
        <w:rPr>
          <w:i/>
          <w:sz w:val="19"/>
        </w:rPr>
      </w:pPr>
      <w:r>
        <w:rPr>
          <w:i/>
          <w:color w:val="231F20"/>
          <w:w w:val="105"/>
          <w:sz w:val="19"/>
        </w:rPr>
        <w:t>on</w:t>
      </w:r>
      <w:r>
        <w:rPr>
          <w:i/>
          <w:color w:val="231F20"/>
          <w:spacing w:val="-20"/>
          <w:w w:val="105"/>
          <w:sz w:val="19"/>
        </w:rPr>
        <w:t xml:space="preserve"> </w:t>
      </w:r>
      <w:r>
        <w:rPr>
          <w:i/>
          <w:color w:val="231F20"/>
          <w:w w:val="105"/>
          <w:sz w:val="19"/>
        </w:rPr>
        <w:t>the</w:t>
      </w:r>
      <w:r>
        <w:rPr>
          <w:i/>
          <w:color w:val="231F20"/>
          <w:spacing w:val="-20"/>
          <w:w w:val="105"/>
          <w:sz w:val="19"/>
        </w:rPr>
        <w:t xml:space="preserve"> </w:t>
      </w:r>
      <w:r>
        <w:rPr>
          <w:i/>
          <w:color w:val="231F20"/>
          <w:w w:val="105"/>
          <w:sz w:val="19"/>
        </w:rPr>
        <w:t>basis</w:t>
      </w:r>
      <w:r>
        <w:rPr>
          <w:i/>
          <w:color w:val="231F20"/>
          <w:spacing w:val="-20"/>
          <w:w w:val="105"/>
          <w:sz w:val="19"/>
        </w:rPr>
        <w:t xml:space="preserve"> </w:t>
      </w:r>
      <w:r>
        <w:rPr>
          <w:i/>
          <w:color w:val="231F20"/>
          <w:w w:val="105"/>
          <w:sz w:val="19"/>
        </w:rPr>
        <w:t>of</w:t>
      </w:r>
      <w:r>
        <w:rPr>
          <w:i/>
          <w:color w:val="231F20"/>
          <w:spacing w:val="-20"/>
          <w:w w:val="105"/>
          <w:sz w:val="19"/>
        </w:rPr>
        <w:t xml:space="preserve"> </w:t>
      </w:r>
      <w:r>
        <w:rPr>
          <w:i/>
          <w:color w:val="231F20"/>
          <w:w w:val="105"/>
          <w:sz w:val="19"/>
        </w:rPr>
        <w:t>conditions</w:t>
      </w:r>
      <w:r>
        <w:rPr>
          <w:i/>
          <w:color w:val="231F20"/>
          <w:spacing w:val="-20"/>
          <w:w w:val="105"/>
          <w:sz w:val="19"/>
        </w:rPr>
        <w:t xml:space="preserve"> </w:t>
      </w:r>
      <w:r>
        <w:rPr>
          <w:i/>
          <w:color w:val="231F20"/>
          <w:w w:val="105"/>
          <w:sz w:val="19"/>
        </w:rPr>
        <w:t>and</w:t>
      </w:r>
      <w:r>
        <w:rPr>
          <w:i/>
          <w:color w:val="231F20"/>
          <w:spacing w:val="-20"/>
          <w:w w:val="105"/>
          <w:sz w:val="19"/>
        </w:rPr>
        <w:t xml:space="preserve"> </w:t>
      </w:r>
      <w:r>
        <w:rPr>
          <w:i/>
          <w:color w:val="231F20"/>
          <w:w w:val="105"/>
          <w:sz w:val="19"/>
        </w:rPr>
        <w:t>requirements</w:t>
      </w:r>
      <w:r>
        <w:rPr>
          <w:i/>
          <w:color w:val="231F20"/>
          <w:spacing w:val="-20"/>
          <w:w w:val="105"/>
          <w:sz w:val="19"/>
        </w:rPr>
        <w:t xml:space="preserve"> </w:t>
      </w:r>
      <w:r>
        <w:rPr>
          <w:i/>
          <w:color w:val="231F20"/>
          <w:w w:val="105"/>
          <w:sz w:val="19"/>
        </w:rPr>
        <w:t>assuring</w:t>
      </w:r>
      <w:r>
        <w:rPr>
          <w:i/>
          <w:color w:val="231F20"/>
          <w:spacing w:val="-20"/>
          <w:w w:val="105"/>
          <w:sz w:val="19"/>
        </w:rPr>
        <w:t xml:space="preserve"> </w:t>
      </w:r>
      <w:r>
        <w:rPr>
          <w:i/>
          <w:color w:val="231F20"/>
          <w:w w:val="105"/>
          <w:sz w:val="19"/>
        </w:rPr>
        <w:t>the</w:t>
      </w:r>
      <w:r>
        <w:rPr>
          <w:i/>
          <w:color w:val="231F20"/>
          <w:spacing w:val="-20"/>
          <w:w w:val="105"/>
          <w:sz w:val="19"/>
        </w:rPr>
        <w:t xml:space="preserve"> </w:t>
      </w:r>
      <w:r>
        <w:rPr>
          <w:i/>
          <w:color w:val="231F20"/>
          <w:w w:val="105"/>
          <w:sz w:val="19"/>
        </w:rPr>
        <w:t>rights of the occupying powers under the leadership of the U.S.A., control was handed over to the German</w:t>
      </w:r>
      <w:r>
        <w:rPr>
          <w:i/>
          <w:color w:val="231F20"/>
          <w:spacing w:val="35"/>
          <w:w w:val="105"/>
          <w:sz w:val="19"/>
        </w:rPr>
        <w:t xml:space="preserve"> </w:t>
      </w:r>
      <w:r>
        <w:rPr>
          <w:i/>
          <w:color w:val="231F20"/>
          <w:w w:val="105"/>
          <w:sz w:val="19"/>
        </w:rPr>
        <w:t>authorities,</w:t>
      </w:r>
    </w:p>
    <w:p w14:paraId="4C226B53" w14:textId="77777777" w:rsidR="002653E8" w:rsidRDefault="003115E3">
      <w:pPr>
        <w:pStyle w:val="a4"/>
        <w:numPr>
          <w:ilvl w:val="2"/>
          <w:numId w:val="11"/>
        </w:numPr>
        <w:tabs>
          <w:tab w:val="left" w:pos="2050"/>
        </w:tabs>
        <w:spacing w:before="40"/>
        <w:ind w:left="2049" w:hanging="210"/>
        <w:rPr>
          <w:rFonts w:ascii="Bookman Old Style"/>
          <w:i/>
          <w:sz w:val="19"/>
        </w:rPr>
      </w:pPr>
      <w:r>
        <w:rPr>
          <w:i/>
          <w:color w:val="231F20"/>
          <w:w w:val="105"/>
          <w:sz w:val="19"/>
        </w:rPr>
        <w:t>on</w:t>
      </w:r>
      <w:r>
        <w:rPr>
          <w:i/>
          <w:color w:val="231F20"/>
          <w:spacing w:val="13"/>
          <w:w w:val="105"/>
          <w:sz w:val="19"/>
        </w:rPr>
        <w:t xml:space="preserve"> </w:t>
      </w:r>
      <w:r>
        <w:rPr>
          <w:i/>
          <w:color w:val="231F20"/>
          <w:w w:val="105"/>
          <w:sz w:val="19"/>
        </w:rPr>
        <w:t>the</w:t>
      </w:r>
      <w:r>
        <w:rPr>
          <w:i/>
          <w:color w:val="231F20"/>
          <w:spacing w:val="13"/>
          <w:w w:val="105"/>
          <w:sz w:val="19"/>
        </w:rPr>
        <w:t xml:space="preserve"> </w:t>
      </w:r>
      <w:r>
        <w:rPr>
          <w:i/>
          <w:color w:val="231F20"/>
          <w:w w:val="105"/>
          <w:sz w:val="19"/>
        </w:rPr>
        <w:t>basis</w:t>
      </w:r>
      <w:r>
        <w:rPr>
          <w:i/>
          <w:color w:val="231F20"/>
          <w:spacing w:val="13"/>
          <w:w w:val="105"/>
          <w:sz w:val="19"/>
        </w:rPr>
        <w:t xml:space="preserve"> </w:t>
      </w:r>
      <w:r>
        <w:rPr>
          <w:i/>
          <w:color w:val="231F20"/>
          <w:w w:val="105"/>
          <w:sz w:val="19"/>
        </w:rPr>
        <w:t>of</w:t>
      </w:r>
      <w:r>
        <w:rPr>
          <w:i/>
          <w:color w:val="231F20"/>
          <w:spacing w:val="13"/>
          <w:w w:val="105"/>
          <w:sz w:val="19"/>
        </w:rPr>
        <w:t xml:space="preserve"> </w:t>
      </w:r>
      <w:r>
        <w:rPr>
          <w:i/>
          <w:color w:val="231F20"/>
          <w:w w:val="105"/>
          <w:sz w:val="19"/>
        </w:rPr>
        <w:t>the</w:t>
      </w:r>
      <w:r>
        <w:rPr>
          <w:i/>
          <w:color w:val="231F20"/>
          <w:spacing w:val="13"/>
          <w:w w:val="105"/>
          <w:sz w:val="19"/>
        </w:rPr>
        <w:t xml:space="preserve"> </w:t>
      </w:r>
      <w:r>
        <w:rPr>
          <w:i/>
          <w:color w:val="231F20"/>
          <w:w w:val="105"/>
          <w:sz w:val="19"/>
        </w:rPr>
        <w:t>provisions</w:t>
      </w:r>
      <w:r>
        <w:rPr>
          <w:i/>
          <w:color w:val="231F20"/>
          <w:spacing w:val="15"/>
          <w:w w:val="105"/>
          <w:sz w:val="19"/>
        </w:rPr>
        <w:t xml:space="preserve"> </w:t>
      </w:r>
      <w:r>
        <w:rPr>
          <w:i/>
          <w:color w:val="231F20"/>
          <w:w w:val="105"/>
          <w:sz w:val="19"/>
        </w:rPr>
        <w:t>of</w:t>
      </w:r>
      <w:r>
        <w:rPr>
          <w:i/>
          <w:color w:val="231F20"/>
          <w:spacing w:val="13"/>
          <w:w w:val="105"/>
          <w:sz w:val="19"/>
        </w:rPr>
        <w:t xml:space="preserve"> </w:t>
      </w:r>
      <w:r>
        <w:rPr>
          <w:i/>
          <w:color w:val="231F20"/>
          <w:w w:val="105"/>
          <w:sz w:val="19"/>
        </w:rPr>
        <w:t>the</w:t>
      </w:r>
      <w:r>
        <w:rPr>
          <w:i/>
          <w:color w:val="231F20"/>
          <w:spacing w:val="13"/>
          <w:w w:val="105"/>
          <w:sz w:val="19"/>
        </w:rPr>
        <w:t xml:space="preserve"> </w:t>
      </w:r>
      <w:r>
        <w:rPr>
          <w:i/>
          <w:color w:val="231F20"/>
          <w:w w:val="105"/>
          <w:sz w:val="19"/>
        </w:rPr>
        <w:t>German</w:t>
      </w:r>
      <w:r>
        <w:rPr>
          <w:i/>
          <w:color w:val="231F20"/>
          <w:spacing w:val="6"/>
          <w:w w:val="105"/>
          <w:sz w:val="19"/>
        </w:rPr>
        <w:t xml:space="preserve"> </w:t>
      </w:r>
      <w:r>
        <w:rPr>
          <w:i/>
          <w:color w:val="231F20"/>
          <w:w w:val="105"/>
          <w:sz w:val="19"/>
        </w:rPr>
        <w:t>Treaty</w:t>
      </w:r>
      <w:r>
        <w:rPr>
          <w:i/>
          <w:color w:val="231F20"/>
          <w:spacing w:val="13"/>
          <w:w w:val="105"/>
          <w:sz w:val="19"/>
        </w:rPr>
        <w:t xml:space="preserve"> </w:t>
      </w:r>
      <w:r>
        <w:rPr>
          <w:i/>
          <w:color w:val="231F20"/>
          <w:w w:val="105"/>
          <w:sz w:val="19"/>
        </w:rPr>
        <w:t>of</w:t>
      </w:r>
      <w:r>
        <w:rPr>
          <w:i/>
          <w:color w:val="231F20"/>
          <w:spacing w:val="15"/>
          <w:w w:val="105"/>
          <w:sz w:val="19"/>
        </w:rPr>
        <w:t xml:space="preserve"> </w:t>
      </w:r>
      <w:r>
        <w:rPr>
          <w:rFonts w:ascii="Bookman Old Style"/>
          <w:i/>
          <w:color w:val="231F20"/>
          <w:w w:val="105"/>
          <w:sz w:val="19"/>
        </w:rPr>
        <w:t>1956</w:t>
      </w:r>
    </w:p>
    <w:p w14:paraId="5F7C1CDA" w14:textId="77777777" w:rsidR="002653E8" w:rsidRDefault="003115E3">
      <w:pPr>
        <w:spacing w:before="31" w:line="319" w:lineRule="auto"/>
        <w:ind w:left="1747" w:right="3699" w:firstLine="91"/>
        <w:rPr>
          <w:i/>
          <w:sz w:val="19"/>
        </w:rPr>
      </w:pPr>
      <w:r>
        <w:rPr>
          <w:i/>
          <w:color w:val="231F20"/>
          <w:w w:val="105"/>
          <w:sz w:val="19"/>
        </w:rPr>
        <w:t>and later modifications of the Treaty, particularly</w:t>
      </w:r>
    </w:p>
    <w:p w14:paraId="376BBEE6" w14:textId="77777777" w:rsidR="002653E8" w:rsidRDefault="003115E3">
      <w:pPr>
        <w:spacing w:line="276" w:lineRule="auto"/>
        <w:ind w:left="1747" w:right="1566" w:hanging="1"/>
        <w:jc w:val="both"/>
        <w:rPr>
          <w:i/>
          <w:sz w:val="19"/>
        </w:rPr>
      </w:pPr>
      <w:r>
        <w:rPr>
          <w:i/>
          <w:color w:val="231F20"/>
          <w:w w:val="105"/>
          <w:sz w:val="19"/>
        </w:rPr>
        <w:t>the CIA-controlled dependence of the Federal Republic on the U.S.A.,</w:t>
      </w:r>
      <w:r>
        <w:rPr>
          <w:i/>
          <w:color w:val="231F20"/>
          <w:spacing w:val="-12"/>
          <w:w w:val="105"/>
          <w:sz w:val="19"/>
        </w:rPr>
        <w:t xml:space="preserve"> </w:t>
      </w:r>
      <w:r>
        <w:rPr>
          <w:i/>
          <w:color w:val="231F20"/>
          <w:w w:val="105"/>
          <w:sz w:val="19"/>
        </w:rPr>
        <w:t>without</w:t>
      </w:r>
      <w:r>
        <w:rPr>
          <w:i/>
          <w:color w:val="231F20"/>
          <w:spacing w:val="-6"/>
          <w:w w:val="105"/>
          <w:sz w:val="19"/>
        </w:rPr>
        <w:t xml:space="preserve"> </w:t>
      </w:r>
      <w:r>
        <w:rPr>
          <w:i/>
          <w:color w:val="231F20"/>
          <w:w w:val="105"/>
          <w:sz w:val="19"/>
        </w:rPr>
        <w:t>it</w:t>
      </w:r>
      <w:r>
        <w:rPr>
          <w:i/>
          <w:color w:val="231F20"/>
          <w:spacing w:val="-6"/>
          <w:w w:val="105"/>
          <w:sz w:val="19"/>
        </w:rPr>
        <w:t xml:space="preserve"> </w:t>
      </w:r>
      <w:r>
        <w:rPr>
          <w:i/>
          <w:color w:val="231F20"/>
          <w:w w:val="105"/>
          <w:sz w:val="19"/>
        </w:rPr>
        <w:t>being</w:t>
      </w:r>
      <w:r>
        <w:rPr>
          <w:i/>
          <w:color w:val="231F20"/>
          <w:spacing w:val="-6"/>
          <w:w w:val="105"/>
          <w:sz w:val="19"/>
        </w:rPr>
        <w:t xml:space="preserve"> </w:t>
      </w:r>
      <w:r>
        <w:rPr>
          <w:i/>
          <w:color w:val="231F20"/>
          <w:w w:val="105"/>
          <w:sz w:val="19"/>
        </w:rPr>
        <w:t>a</w:t>
      </w:r>
      <w:r>
        <w:rPr>
          <w:i/>
          <w:color w:val="231F20"/>
          <w:spacing w:val="-6"/>
          <w:w w:val="105"/>
          <w:sz w:val="19"/>
        </w:rPr>
        <w:t xml:space="preserve"> </w:t>
      </w:r>
      <w:r>
        <w:rPr>
          <w:i/>
          <w:color w:val="231F20"/>
          <w:w w:val="105"/>
          <w:sz w:val="19"/>
        </w:rPr>
        <w:t>colony</w:t>
      </w:r>
      <w:r>
        <w:rPr>
          <w:i/>
          <w:color w:val="231F20"/>
          <w:spacing w:val="-6"/>
          <w:w w:val="105"/>
          <w:sz w:val="19"/>
        </w:rPr>
        <w:t xml:space="preserve"> </w:t>
      </w:r>
      <w:r>
        <w:rPr>
          <w:i/>
          <w:color w:val="231F20"/>
          <w:w w:val="105"/>
          <w:sz w:val="19"/>
        </w:rPr>
        <w:t>under</w:t>
      </w:r>
      <w:r>
        <w:rPr>
          <w:i/>
          <w:color w:val="231F20"/>
          <w:spacing w:val="-6"/>
          <w:w w:val="105"/>
          <w:sz w:val="19"/>
        </w:rPr>
        <w:t xml:space="preserve"> </w:t>
      </w:r>
      <w:r>
        <w:rPr>
          <w:i/>
          <w:color w:val="231F20"/>
          <w:w w:val="105"/>
          <w:sz w:val="19"/>
        </w:rPr>
        <w:t>international</w:t>
      </w:r>
      <w:r>
        <w:rPr>
          <w:i/>
          <w:color w:val="231F20"/>
          <w:spacing w:val="-6"/>
          <w:w w:val="105"/>
          <w:sz w:val="19"/>
        </w:rPr>
        <w:t xml:space="preserve"> </w:t>
      </w:r>
      <w:r>
        <w:rPr>
          <w:i/>
          <w:color w:val="231F20"/>
          <w:spacing w:val="-5"/>
          <w:w w:val="105"/>
          <w:sz w:val="19"/>
        </w:rPr>
        <w:t>law,</w:t>
      </w:r>
      <w:r>
        <w:rPr>
          <w:i/>
          <w:color w:val="231F20"/>
          <w:spacing w:val="-12"/>
          <w:w w:val="105"/>
          <w:sz w:val="19"/>
        </w:rPr>
        <w:t xml:space="preserve"> </w:t>
      </w:r>
      <w:r>
        <w:rPr>
          <w:i/>
          <w:color w:val="231F20"/>
          <w:w w:val="105"/>
          <w:sz w:val="19"/>
        </w:rPr>
        <w:t>but</w:t>
      </w:r>
      <w:r>
        <w:rPr>
          <w:i/>
          <w:color w:val="231F20"/>
          <w:spacing w:val="-6"/>
          <w:w w:val="105"/>
          <w:sz w:val="19"/>
        </w:rPr>
        <w:t xml:space="preserve"> </w:t>
      </w:r>
      <w:r>
        <w:rPr>
          <w:i/>
          <w:color w:val="231F20"/>
          <w:w w:val="105"/>
          <w:sz w:val="19"/>
        </w:rPr>
        <w:t>with no declared national sovereignty in relationship to the</w:t>
      </w:r>
      <w:r>
        <w:rPr>
          <w:i/>
          <w:color w:val="231F20"/>
          <w:spacing w:val="30"/>
          <w:w w:val="105"/>
          <w:sz w:val="19"/>
        </w:rPr>
        <w:t xml:space="preserve"> </w:t>
      </w:r>
      <w:r>
        <w:rPr>
          <w:i/>
          <w:color w:val="231F20"/>
          <w:w w:val="105"/>
          <w:sz w:val="19"/>
        </w:rPr>
        <w:t>U.S.A.</w:t>
      </w:r>
    </w:p>
    <w:p w14:paraId="3B874004" w14:textId="77777777" w:rsidR="002653E8" w:rsidRDefault="002653E8">
      <w:pPr>
        <w:pStyle w:val="a3"/>
        <w:spacing w:before="9"/>
        <w:rPr>
          <w:i/>
          <w:sz w:val="26"/>
        </w:rPr>
      </w:pPr>
    </w:p>
    <w:p w14:paraId="4EAFB7B6" w14:textId="77777777" w:rsidR="002653E8" w:rsidRDefault="003115E3">
      <w:pPr>
        <w:pStyle w:val="a3"/>
        <w:ind w:left="1327"/>
      </w:pPr>
      <w:r>
        <w:rPr>
          <w:color w:val="231F20"/>
        </w:rPr>
        <w:t>That was an extract.</w:t>
      </w:r>
    </w:p>
    <w:p w14:paraId="4627AE4A" w14:textId="77777777" w:rsidR="002653E8" w:rsidRDefault="003115E3">
      <w:pPr>
        <w:pStyle w:val="a3"/>
        <w:spacing w:before="23" w:line="264" w:lineRule="auto"/>
        <w:ind w:left="1327" w:right="1146" w:firstLine="210"/>
        <w:jc w:val="both"/>
      </w:pPr>
      <w:r>
        <w:rPr>
          <w:color w:val="231F20"/>
        </w:rPr>
        <w:t>One line in the petitions, for example, dealt with how social democracy and the trade unions, with the help of CIA-bought politicians like Willy Brandt and Rosenberg,</w:t>
      </w:r>
      <w:r>
        <w:rPr>
          <w:color w:val="231F20"/>
          <w:position w:val="7"/>
          <w:sz w:val="11"/>
        </w:rPr>
        <w:t xml:space="preserve">1 </w:t>
      </w:r>
      <w:r>
        <w:rPr>
          <w:color w:val="231F20"/>
        </w:rPr>
        <w:t xml:space="preserve">used career “advancement” and “positions” in the </w:t>
      </w:r>
      <w:r>
        <w:rPr>
          <w:color w:val="231F20"/>
          <w:spacing w:val="1"/>
        </w:rPr>
        <w:t xml:space="preserve">party </w:t>
      </w:r>
      <w:r>
        <w:rPr>
          <w:color w:val="231F20"/>
        </w:rPr>
        <w:t xml:space="preserve">and the trade union leadership, etc. to win support for the aggression and the consolidation of </w:t>
      </w:r>
      <w:r>
        <w:rPr>
          <w:color w:val="231F20"/>
          <w:spacing w:val="1"/>
        </w:rPr>
        <w:t xml:space="preserve">U.S. </w:t>
      </w:r>
      <w:r>
        <w:rPr>
          <w:color w:val="231F20"/>
        </w:rPr>
        <w:t xml:space="preserve">imperialism in Europe and in the Third </w:t>
      </w:r>
      <w:r>
        <w:rPr>
          <w:color w:val="231F20"/>
          <w:spacing w:val="-3"/>
        </w:rPr>
        <w:t xml:space="preserve">World. </w:t>
      </w:r>
      <w:r>
        <w:rPr>
          <w:color w:val="231F20"/>
        </w:rPr>
        <w:t>This was established through extremely well documented investigations by comrades and friends, using witnesses who were directly</w:t>
      </w:r>
      <w:r>
        <w:rPr>
          <w:color w:val="231F20"/>
          <w:spacing w:val="31"/>
        </w:rPr>
        <w:t xml:space="preserve"> </w:t>
      </w:r>
      <w:r>
        <w:rPr>
          <w:color w:val="231F20"/>
        </w:rPr>
        <w:t>involved.</w:t>
      </w:r>
    </w:p>
    <w:p w14:paraId="7B56194E" w14:textId="77777777" w:rsidR="002653E8" w:rsidRDefault="003115E3">
      <w:pPr>
        <w:pStyle w:val="a3"/>
        <w:spacing w:line="264" w:lineRule="auto"/>
        <w:ind w:left="1327" w:right="1145" w:firstLine="210"/>
        <w:jc w:val="both"/>
      </w:pPr>
      <w:r>
        <w:rPr>
          <w:color w:val="231F20"/>
        </w:rPr>
        <w:t xml:space="preserve">The  </w:t>
      </w:r>
      <w:r>
        <w:rPr>
          <w:color w:val="231F20"/>
          <w:spacing w:val="-6"/>
        </w:rPr>
        <w:t>BAW</w:t>
      </w:r>
      <w:r>
        <w:rPr>
          <w:color w:val="231F20"/>
          <w:spacing w:val="31"/>
        </w:rPr>
        <w:t xml:space="preserve"> </w:t>
      </w:r>
      <w:r>
        <w:rPr>
          <w:color w:val="231F20"/>
        </w:rPr>
        <w:t xml:space="preserve">coordinates  matters  between  the  domestic  and   foreign intelligence services—that is to </w:t>
      </w:r>
      <w:r>
        <w:rPr>
          <w:color w:val="231F20"/>
          <w:spacing w:val="-4"/>
        </w:rPr>
        <w:t xml:space="preserve">say, </w:t>
      </w:r>
      <w:r>
        <w:rPr>
          <w:color w:val="231F20"/>
        </w:rPr>
        <w:t xml:space="preserve">between the </w:t>
      </w:r>
      <w:r>
        <w:rPr>
          <w:color w:val="231F20"/>
          <w:spacing w:val="3"/>
        </w:rPr>
        <w:t xml:space="preserve">CIA, </w:t>
      </w:r>
      <w:r>
        <w:rPr>
          <w:color w:val="231F20"/>
        </w:rPr>
        <w:t xml:space="preserve">BND, </w:t>
      </w:r>
      <w:r>
        <w:rPr>
          <w:i/>
          <w:color w:val="231F20"/>
        </w:rPr>
        <w:t>Verfassungsschutz</w:t>
      </w:r>
      <w:r>
        <w:rPr>
          <w:color w:val="231F20"/>
        </w:rPr>
        <w:t xml:space="preserve">, </w:t>
      </w:r>
      <w:r>
        <w:rPr>
          <w:color w:val="231F20"/>
          <w:spacing w:val="1"/>
        </w:rPr>
        <w:t xml:space="preserve">Military </w:t>
      </w:r>
      <w:r>
        <w:rPr>
          <w:color w:val="231F20"/>
        </w:rPr>
        <w:t xml:space="preserve">Counter-Intelligence Service, etc.—and is also the point of intersection between the propaganda and ideological functions of the political judiciary. With these petitions, the </w:t>
      </w:r>
      <w:r>
        <w:rPr>
          <w:color w:val="231F20"/>
          <w:spacing w:val="-6"/>
        </w:rPr>
        <w:t xml:space="preserve">BAW </w:t>
      </w:r>
      <w:r>
        <w:rPr>
          <w:color w:val="231F20"/>
        </w:rPr>
        <w:t xml:space="preserve">was confronted with the problem that the crude theatrics with which they had hoped to depoliticize the trial—four years of torture, hate campaigns, psychological warfare, special legislation, a special court, the liquidation of the defense, etc.—were all crumbling in </w:t>
      </w:r>
      <w:r>
        <w:rPr>
          <w:color w:val="231F20"/>
          <w:spacing w:val="1"/>
        </w:rPr>
        <w:t xml:space="preserve">full </w:t>
      </w:r>
      <w:r>
        <w:rPr>
          <w:color w:val="231F20"/>
        </w:rPr>
        <w:t xml:space="preserve">public </w:t>
      </w:r>
      <w:r>
        <w:rPr>
          <w:color w:val="231F20"/>
          <w:spacing w:val="-3"/>
        </w:rPr>
        <w:t xml:space="preserve">view. </w:t>
      </w:r>
      <w:r>
        <w:rPr>
          <w:color w:val="231F20"/>
        </w:rPr>
        <w:t xml:space="preserve">And at exactly this point, Ulrike would give </w:t>
      </w:r>
      <w:r>
        <w:rPr>
          <w:color w:val="231F20"/>
          <w:spacing w:val="-3"/>
        </w:rPr>
        <w:t xml:space="preserve">up? </w:t>
      </w:r>
      <w:r>
        <w:rPr>
          <w:color w:val="231F20"/>
        </w:rPr>
        <w:t>It is absurd: the prisoners knew that the confrontation would come to a head here, and Ulrike was determined to fight to establish the facts during the trial, as were we all. Her letters and manuscripts, her speeches, and her work for the trial,</w:t>
      </w:r>
      <w:r>
        <w:rPr>
          <w:color w:val="231F20"/>
          <w:spacing w:val="12"/>
        </w:rPr>
        <w:t xml:space="preserve"> </w:t>
      </w:r>
      <w:r>
        <w:rPr>
          <w:color w:val="231F20"/>
        </w:rPr>
        <w:t>for</w:t>
      </w:r>
      <w:r>
        <w:rPr>
          <w:color w:val="231F20"/>
          <w:spacing w:val="12"/>
        </w:rPr>
        <w:t xml:space="preserve"> </w:t>
      </w:r>
      <w:r>
        <w:rPr>
          <w:color w:val="231F20"/>
        </w:rPr>
        <w:t>example,</w:t>
      </w:r>
      <w:r>
        <w:rPr>
          <w:color w:val="231F20"/>
          <w:spacing w:val="12"/>
        </w:rPr>
        <w:t xml:space="preserve"> </w:t>
      </w:r>
      <w:r>
        <w:rPr>
          <w:color w:val="231F20"/>
        </w:rPr>
        <w:t>are</w:t>
      </w:r>
      <w:r>
        <w:rPr>
          <w:color w:val="231F20"/>
          <w:spacing w:val="12"/>
        </w:rPr>
        <w:t xml:space="preserve"> </w:t>
      </w:r>
      <w:r>
        <w:rPr>
          <w:color w:val="231F20"/>
        </w:rPr>
        <w:t>proof</w:t>
      </w:r>
      <w:r>
        <w:rPr>
          <w:color w:val="231F20"/>
          <w:spacing w:val="12"/>
        </w:rPr>
        <w:t xml:space="preserve"> </w:t>
      </w:r>
      <w:r>
        <w:rPr>
          <w:color w:val="231F20"/>
        </w:rPr>
        <w:t>of</w:t>
      </w:r>
      <w:r>
        <w:rPr>
          <w:color w:val="231F20"/>
          <w:spacing w:val="12"/>
        </w:rPr>
        <w:t xml:space="preserve"> </w:t>
      </w:r>
      <w:r>
        <w:rPr>
          <w:color w:val="231F20"/>
        </w:rPr>
        <w:t>this</w:t>
      </w:r>
      <w:r>
        <w:rPr>
          <w:color w:val="231F20"/>
          <w:spacing w:val="12"/>
        </w:rPr>
        <w:t xml:space="preserve"> </w:t>
      </w:r>
      <w:r>
        <w:rPr>
          <w:color w:val="231F20"/>
        </w:rPr>
        <w:t>right</w:t>
      </w:r>
      <w:r>
        <w:rPr>
          <w:color w:val="231F20"/>
          <w:spacing w:val="12"/>
        </w:rPr>
        <w:t xml:space="preserve"> </w:t>
      </w:r>
      <w:r>
        <w:rPr>
          <w:color w:val="231F20"/>
        </w:rPr>
        <w:t>up</w:t>
      </w:r>
      <w:r>
        <w:rPr>
          <w:color w:val="231F20"/>
          <w:spacing w:val="12"/>
        </w:rPr>
        <w:t xml:space="preserve"> </w:t>
      </w:r>
      <w:r>
        <w:rPr>
          <w:color w:val="231F20"/>
        </w:rPr>
        <w:t>until</w:t>
      </w:r>
      <w:r>
        <w:rPr>
          <w:color w:val="231F20"/>
          <w:spacing w:val="12"/>
        </w:rPr>
        <w:t xml:space="preserve"> </w:t>
      </w:r>
      <w:r>
        <w:rPr>
          <w:color w:val="231F20"/>
        </w:rPr>
        <w:t>the</w:t>
      </w:r>
      <w:r>
        <w:rPr>
          <w:color w:val="231F20"/>
          <w:spacing w:val="12"/>
        </w:rPr>
        <w:t xml:space="preserve"> </w:t>
      </w:r>
      <w:r>
        <w:rPr>
          <w:color w:val="231F20"/>
        </w:rPr>
        <w:t>very</w:t>
      </w:r>
      <w:r>
        <w:rPr>
          <w:color w:val="231F20"/>
          <w:spacing w:val="12"/>
        </w:rPr>
        <w:t xml:space="preserve"> </w:t>
      </w:r>
      <w:r>
        <w:rPr>
          <w:color w:val="231F20"/>
        </w:rPr>
        <w:t>last</w:t>
      </w:r>
      <w:r>
        <w:rPr>
          <w:color w:val="231F20"/>
          <w:spacing w:val="12"/>
        </w:rPr>
        <w:t xml:space="preserve"> </w:t>
      </w:r>
      <w:r>
        <w:rPr>
          <w:color w:val="231F20"/>
          <w:spacing w:val="-5"/>
        </w:rPr>
        <w:t>day.</w:t>
      </w:r>
    </w:p>
    <w:p w14:paraId="3115D008" w14:textId="77777777" w:rsidR="002653E8" w:rsidRDefault="00000000">
      <w:pPr>
        <w:pStyle w:val="a3"/>
        <w:spacing w:before="5"/>
        <w:rPr>
          <w:sz w:val="18"/>
        </w:rPr>
      </w:pPr>
      <w:r>
        <w:rPr>
          <w:noProof w:val="0"/>
        </w:rPr>
        <w:pict w14:anchorId="174861A7">
          <v:line id="_x0000_s2256" style="position:absolute;z-index:8848;mso-wrap-distance-left:0;mso-wrap-distance-right:0;mso-position-horizontal-relative:page" from="66.4pt,13pt" to="138.4pt,13pt" strokecolor="#231f20" strokeweight=".5pt">
            <w10:wrap type="topAndBottom" anchorx="page"/>
          </v:line>
        </w:pict>
      </w:r>
    </w:p>
    <w:p w14:paraId="2CDA7EC7" w14:textId="77777777" w:rsidR="002653E8" w:rsidRDefault="003115E3">
      <w:pPr>
        <w:spacing w:before="53" w:line="254" w:lineRule="auto"/>
        <w:ind w:left="1327" w:right="1580"/>
        <w:rPr>
          <w:sz w:val="16"/>
        </w:rPr>
      </w:pPr>
      <w:r>
        <w:rPr>
          <w:color w:val="231F20"/>
          <w:w w:val="105"/>
          <w:sz w:val="16"/>
        </w:rPr>
        <w:t xml:space="preserve">1 Ludwig Rosenberg was, at this time, the Chairman of the </w:t>
      </w:r>
      <w:r>
        <w:rPr>
          <w:i/>
          <w:color w:val="231F20"/>
          <w:w w:val="105"/>
          <w:sz w:val="16"/>
        </w:rPr>
        <w:t xml:space="preserve">Deutschen Gewerkschaftsbund </w:t>
      </w:r>
      <w:r>
        <w:rPr>
          <w:color w:val="231F20"/>
          <w:w w:val="105"/>
          <w:sz w:val="16"/>
        </w:rPr>
        <w:t>(DGB—German Union Association).</w:t>
      </w:r>
    </w:p>
    <w:p w14:paraId="553E50CA" w14:textId="77777777" w:rsidR="002653E8" w:rsidRDefault="002653E8">
      <w:pPr>
        <w:spacing w:line="254" w:lineRule="auto"/>
        <w:rPr>
          <w:sz w:val="16"/>
        </w:rPr>
        <w:sectPr w:rsidR="002653E8">
          <w:pgSz w:w="8640" w:h="12960"/>
          <w:pgMar w:top="1080" w:right="0" w:bottom="1040" w:left="0" w:header="0" w:footer="850" w:gutter="0"/>
          <w:cols w:space="720"/>
        </w:sectPr>
      </w:pPr>
    </w:p>
    <w:p w14:paraId="52AE2D93" w14:textId="77777777" w:rsidR="002653E8" w:rsidRDefault="003115E3">
      <w:pPr>
        <w:pStyle w:val="a3"/>
        <w:spacing w:before="86" w:line="264" w:lineRule="auto"/>
        <w:ind w:left="1148" w:right="1325" w:firstLine="209"/>
        <w:jc w:val="both"/>
      </w:pPr>
      <w:r>
        <w:rPr>
          <w:color w:val="231F20"/>
        </w:rPr>
        <w:lastRenderedPageBreak/>
        <w:t xml:space="preserve">She was murdered once it became clear to  the  </w:t>
      </w:r>
      <w:r>
        <w:rPr>
          <w:color w:val="231F20"/>
          <w:spacing w:val="-6"/>
        </w:rPr>
        <w:t xml:space="preserve">BAW  </w:t>
      </w:r>
      <w:r>
        <w:rPr>
          <w:color w:val="231F20"/>
        </w:rPr>
        <w:t>that  the  fascist example of the victory of the political judiciary and the Federal Republic over the guerilla—the show trial in Stammheim—might collapse despite all the</w:t>
      </w:r>
      <w:r>
        <w:rPr>
          <w:color w:val="231F20"/>
          <w:spacing w:val="40"/>
        </w:rPr>
        <w:t xml:space="preserve"> </w:t>
      </w:r>
      <w:r>
        <w:rPr>
          <w:color w:val="231F20"/>
        </w:rPr>
        <w:t>repression.</w:t>
      </w:r>
    </w:p>
    <w:p w14:paraId="7F173238" w14:textId="77777777" w:rsidR="002653E8" w:rsidRDefault="003115E3">
      <w:pPr>
        <w:pStyle w:val="a3"/>
        <w:spacing w:line="264" w:lineRule="auto"/>
        <w:ind w:left="1148" w:right="1327" w:firstLine="210"/>
        <w:jc w:val="both"/>
      </w:pPr>
      <w:r>
        <w:rPr>
          <w:color w:val="231F20"/>
        </w:rPr>
        <w:t>Stammheim was meant to demonstrate the hopelessness of any and all resistance within the Federal Republic.</w:t>
      </w:r>
    </w:p>
    <w:p w14:paraId="37EE9C09" w14:textId="77777777" w:rsidR="002653E8" w:rsidRDefault="003115E3">
      <w:pPr>
        <w:pStyle w:val="a3"/>
        <w:spacing w:line="264" w:lineRule="auto"/>
        <w:ind w:left="1148" w:right="1325" w:firstLine="210"/>
        <w:jc w:val="both"/>
      </w:pPr>
      <w:r>
        <w:rPr>
          <w:color w:val="231F20"/>
        </w:rPr>
        <w:t>In this regard, for four years, “all possible means” were used—as had been expressly sanctioned by Schmidt and the Federal Constitutional Court. One can now say that they were unsuccessful.</w:t>
      </w:r>
    </w:p>
    <w:p w14:paraId="57E4CB54" w14:textId="77777777" w:rsidR="002653E8" w:rsidRDefault="003115E3">
      <w:pPr>
        <w:pStyle w:val="a3"/>
        <w:spacing w:line="264" w:lineRule="auto"/>
        <w:ind w:left="1148" w:right="1325" w:firstLine="210"/>
        <w:jc w:val="both"/>
      </w:pPr>
      <w:r>
        <w:rPr>
          <w:color w:val="231F20"/>
        </w:rPr>
        <w:t>What the struggle of the Stammheim prisoners established and communicated is the necessity, the possibility, and the logic of politics based on revolutionary action in the Federal Republic.</w:t>
      </w:r>
    </w:p>
    <w:p w14:paraId="7F5928FB" w14:textId="77777777" w:rsidR="002653E8" w:rsidRDefault="002653E8">
      <w:pPr>
        <w:pStyle w:val="a3"/>
        <w:spacing w:before="9"/>
      </w:pPr>
    </w:p>
    <w:p w14:paraId="1A8632BA" w14:textId="77777777" w:rsidR="002653E8" w:rsidRDefault="003115E3">
      <w:pPr>
        <w:pStyle w:val="a3"/>
        <w:spacing w:line="264" w:lineRule="auto"/>
        <w:ind w:left="1148" w:right="1325"/>
        <w:jc w:val="both"/>
      </w:pPr>
      <w:r>
        <w:rPr>
          <w:color w:val="231F20"/>
        </w:rPr>
        <w:t>Q: The accused have fought with their last remaining means, the hunger strike, against the prison conditions. Has this achieved a change in the conditions of solitary confinement? Does the court take the state of health of the accused into account?</w:t>
      </w:r>
    </w:p>
    <w:p w14:paraId="2954C1B1" w14:textId="77777777" w:rsidR="002653E8" w:rsidRDefault="002653E8">
      <w:pPr>
        <w:pStyle w:val="a3"/>
        <w:spacing w:before="6"/>
        <w:rPr>
          <w:sz w:val="21"/>
        </w:rPr>
      </w:pPr>
    </w:p>
    <w:p w14:paraId="33977F04" w14:textId="77777777" w:rsidR="002653E8" w:rsidRDefault="003115E3">
      <w:pPr>
        <w:pStyle w:val="a3"/>
        <w:spacing w:before="1"/>
        <w:ind w:left="1148"/>
      </w:pPr>
      <w:r>
        <w:rPr>
          <w:color w:val="231F20"/>
          <w:w w:val="120"/>
        </w:rPr>
        <w:t>A: No.</w:t>
      </w:r>
    </w:p>
    <w:p w14:paraId="55F07C84" w14:textId="77777777" w:rsidR="002653E8" w:rsidRDefault="003115E3">
      <w:pPr>
        <w:pStyle w:val="a3"/>
        <w:spacing w:before="22" w:line="264" w:lineRule="auto"/>
        <w:ind w:left="1147" w:right="1325" w:firstLine="210"/>
        <w:jc w:val="both"/>
      </w:pPr>
      <w:r>
        <w:rPr>
          <w:color w:val="231F20"/>
        </w:rPr>
        <w:t xml:space="preserve">At the time the prisoners broke off their hunger strike, after five months, it had become clear that the legal left could not manage a second mass mobilization like the one that followed the murder of Holger Meins. Furthermore, it had become clear that the </w:t>
      </w:r>
      <w:r>
        <w:rPr>
          <w:color w:val="231F20"/>
          <w:spacing w:val="-6"/>
        </w:rPr>
        <w:t>BAW</w:t>
      </w:r>
      <w:r>
        <w:rPr>
          <w:color w:val="231F20"/>
          <w:spacing w:val="31"/>
        </w:rPr>
        <w:t xml:space="preserve"> </w:t>
      </w:r>
      <w:r>
        <w:rPr>
          <w:color w:val="231F20"/>
        </w:rPr>
        <w:t xml:space="preserve">and  Buback were determined to use the hunger strike to kill even more prisoners from the </w:t>
      </w:r>
      <w:r w:rsidR="00C507A5">
        <w:rPr>
          <w:color w:val="231F20"/>
        </w:rPr>
        <w:t>red army faction</w:t>
      </w:r>
      <w:r>
        <w:rPr>
          <w:color w:val="231F20"/>
        </w:rPr>
        <w:t xml:space="preserve">, accompanying this with a bombastic display of medi    cal window dressing. At this point, the </w:t>
      </w:r>
      <w:r w:rsidR="00C507A5">
        <w:rPr>
          <w:color w:val="231F20"/>
          <w:spacing w:val="5"/>
        </w:rPr>
        <w:t>red army faction</w:t>
      </w:r>
      <w:r>
        <w:rPr>
          <w:color w:val="231F20"/>
          <w:spacing w:val="5"/>
        </w:rPr>
        <w:t xml:space="preserve"> </w:t>
      </w:r>
      <w:r>
        <w:rPr>
          <w:color w:val="231F20"/>
        </w:rPr>
        <w:t>on the outside issued a statement ordering the prisoners to end the strike, even though their demand, the end of solitary confinement, had not been achieved. The statement</w:t>
      </w:r>
      <w:r>
        <w:rPr>
          <w:color w:val="231F20"/>
          <w:spacing w:val="10"/>
        </w:rPr>
        <w:t xml:space="preserve"> </w:t>
      </w:r>
      <w:r>
        <w:rPr>
          <w:color w:val="231F20"/>
        </w:rPr>
        <w:t>said:</w:t>
      </w:r>
    </w:p>
    <w:p w14:paraId="05E5B969" w14:textId="77777777" w:rsidR="002653E8" w:rsidRDefault="003115E3">
      <w:pPr>
        <w:spacing w:before="118" w:line="276" w:lineRule="auto"/>
        <w:ind w:left="1567" w:right="1745"/>
        <w:jc w:val="both"/>
        <w:rPr>
          <w:i/>
          <w:sz w:val="19"/>
        </w:rPr>
      </w:pPr>
      <w:r>
        <w:rPr>
          <w:i/>
          <w:color w:val="231F20"/>
          <w:spacing w:val="-6"/>
          <w:sz w:val="19"/>
        </w:rPr>
        <w:t xml:space="preserve">We </w:t>
      </w:r>
      <w:r>
        <w:rPr>
          <w:i/>
          <w:color w:val="231F20"/>
          <w:sz w:val="19"/>
        </w:rPr>
        <w:t>are saying that the prisoners’ strike has done everything it could to mediate, mobilize, and organize anti-imperialist politics here. Its escalation would not contribute anything qualitative to the</w:t>
      </w:r>
      <w:r>
        <w:rPr>
          <w:i/>
          <w:color w:val="231F20"/>
          <w:spacing w:val="10"/>
          <w:sz w:val="19"/>
        </w:rPr>
        <w:t xml:space="preserve"> </w:t>
      </w:r>
      <w:r>
        <w:rPr>
          <w:i/>
          <w:color w:val="231F20"/>
          <w:sz w:val="19"/>
        </w:rPr>
        <w:t>struggle.</w:t>
      </w:r>
    </w:p>
    <w:p w14:paraId="5906A25F" w14:textId="77777777" w:rsidR="002653E8" w:rsidRDefault="003115E3">
      <w:pPr>
        <w:spacing w:before="50" w:line="276" w:lineRule="auto"/>
        <w:ind w:left="1567" w:right="1745"/>
        <w:jc w:val="both"/>
        <w:rPr>
          <w:i/>
          <w:sz w:val="19"/>
        </w:rPr>
      </w:pPr>
      <w:r>
        <w:rPr>
          <w:i/>
          <w:color w:val="231F20"/>
          <w:w w:val="105"/>
          <w:sz w:val="19"/>
        </w:rPr>
        <w:t>The</w:t>
      </w:r>
      <w:r>
        <w:rPr>
          <w:i/>
          <w:color w:val="231F20"/>
          <w:spacing w:val="-7"/>
          <w:w w:val="105"/>
          <w:sz w:val="19"/>
        </w:rPr>
        <w:t xml:space="preserve"> </w:t>
      </w:r>
      <w:r>
        <w:rPr>
          <w:i/>
          <w:color w:val="231F20"/>
          <w:w w:val="105"/>
          <w:sz w:val="19"/>
        </w:rPr>
        <w:t>state</w:t>
      </w:r>
      <w:r>
        <w:rPr>
          <w:i/>
          <w:color w:val="231F20"/>
          <w:spacing w:val="-7"/>
          <w:w w:val="105"/>
          <w:sz w:val="19"/>
        </w:rPr>
        <w:t xml:space="preserve"> </w:t>
      </w:r>
      <w:r>
        <w:rPr>
          <w:i/>
          <w:color w:val="231F20"/>
          <w:w w:val="105"/>
          <w:sz w:val="19"/>
        </w:rPr>
        <w:t>has</w:t>
      </w:r>
      <w:r>
        <w:rPr>
          <w:i/>
          <w:color w:val="231F20"/>
          <w:spacing w:val="-7"/>
          <w:w w:val="105"/>
          <w:sz w:val="19"/>
        </w:rPr>
        <w:t xml:space="preserve"> </w:t>
      </w:r>
      <w:r>
        <w:rPr>
          <w:i/>
          <w:color w:val="231F20"/>
          <w:w w:val="105"/>
          <w:sz w:val="19"/>
        </w:rPr>
        <w:t>calculated</w:t>
      </w:r>
      <w:r>
        <w:rPr>
          <w:i/>
          <w:color w:val="231F20"/>
          <w:spacing w:val="-7"/>
          <w:w w:val="105"/>
          <w:sz w:val="19"/>
        </w:rPr>
        <w:t xml:space="preserve"> </w:t>
      </w:r>
      <w:r>
        <w:rPr>
          <w:i/>
          <w:color w:val="231F20"/>
          <w:w w:val="105"/>
          <w:sz w:val="19"/>
        </w:rPr>
        <w:t>that</w:t>
      </w:r>
      <w:r>
        <w:rPr>
          <w:i/>
          <w:color w:val="231F20"/>
          <w:spacing w:val="-7"/>
          <w:w w:val="105"/>
          <w:sz w:val="19"/>
        </w:rPr>
        <w:t xml:space="preserve"> </w:t>
      </w:r>
      <w:r>
        <w:rPr>
          <w:i/>
          <w:color w:val="231F20"/>
          <w:w w:val="105"/>
          <w:sz w:val="19"/>
        </w:rPr>
        <w:t>it</w:t>
      </w:r>
      <w:r>
        <w:rPr>
          <w:i/>
          <w:color w:val="231F20"/>
          <w:spacing w:val="-7"/>
          <w:w w:val="105"/>
          <w:sz w:val="19"/>
        </w:rPr>
        <w:t xml:space="preserve"> </w:t>
      </w:r>
      <w:r>
        <w:rPr>
          <w:i/>
          <w:color w:val="231F20"/>
          <w:w w:val="105"/>
          <w:sz w:val="19"/>
        </w:rPr>
        <w:t>will</w:t>
      </w:r>
      <w:r>
        <w:rPr>
          <w:i/>
          <w:color w:val="231F20"/>
          <w:spacing w:val="-7"/>
          <w:w w:val="105"/>
          <w:sz w:val="19"/>
        </w:rPr>
        <w:t xml:space="preserve"> </w:t>
      </w:r>
      <w:r>
        <w:rPr>
          <w:i/>
          <w:color w:val="231F20"/>
          <w:w w:val="105"/>
          <w:sz w:val="19"/>
        </w:rPr>
        <w:t>be</w:t>
      </w:r>
      <w:r>
        <w:rPr>
          <w:i/>
          <w:color w:val="231F20"/>
          <w:spacing w:val="-7"/>
          <w:w w:val="105"/>
          <w:sz w:val="19"/>
        </w:rPr>
        <w:t xml:space="preserve"> </w:t>
      </w:r>
      <w:r>
        <w:rPr>
          <w:i/>
          <w:color w:val="231F20"/>
          <w:w w:val="105"/>
          <w:sz w:val="19"/>
        </w:rPr>
        <w:t>able</w:t>
      </w:r>
      <w:r>
        <w:rPr>
          <w:i/>
          <w:color w:val="231F20"/>
          <w:spacing w:val="-7"/>
          <w:w w:val="105"/>
          <w:sz w:val="19"/>
        </w:rPr>
        <w:t xml:space="preserve"> </w:t>
      </w:r>
      <w:r>
        <w:rPr>
          <w:i/>
          <w:color w:val="231F20"/>
          <w:w w:val="105"/>
          <w:sz w:val="19"/>
        </w:rPr>
        <w:t>to</w:t>
      </w:r>
      <w:r>
        <w:rPr>
          <w:i/>
          <w:color w:val="231F20"/>
          <w:spacing w:val="-7"/>
          <w:w w:val="105"/>
          <w:sz w:val="19"/>
        </w:rPr>
        <w:t xml:space="preserve"> </w:t>
      </w:r>
      <w:r>
        <w:rPr>
          <w:i/>
          <w:color w:val="231F20"/>
          <w:w w:val="105"/>
          <w:sz w:val="19"/>
        </w:rPr>
        <w:t>create</w:t>
      </w:r>
      <w:r>
        <w:rPr>
          <w:i/>
          <w:color w:val="231F20"/>
          <w:spacing w:val="-7"/>
          <w:w w:val="105"/>
          <w:sz w:val="19"/>
        </w:rPr>
        <w:t xml:space="preserve"> </w:t>
      </w:r>
      <w:r>
        <w:rPr>
          <w:i/>
          <w:color w:val="231F20"/>
          <w:w w:val="105"/>
          <w:sz w:val="19"/>
        </w:rPr>
        <w:t>propaganda from the execution of guerilla prisoners—who struggle, always struggle, in spite of everything struggle—that would make resistance</w:t>
      </w:r>
      <w:r>
        <w:rPr>
          <w:i/>
          <w:color w:val="231F20"/>
          <w:spacing w:val="-22"/>
          <w:w w:val="105"/>
          <w:sz w:val="19"/>
        </w:rPr>
        <w:t xml:space="preserve"> </w:t>
      </w:r>
      <w:r>
        <w:rPr>
          <w:i/>
          <w:color w:val="231F20"/>
          <w:w w:val="105"/>
          <w:sz w:val="19"/>
        </w:rPr>
        <w:t>seem</w:t>
      </w:r>
      <w:r>
        <w:rPr>
          <w:i/>
          <w:color w:val="231F20"/>
          <w:spacing w:val="-22"/>
          <w:w w:val="105"/>
          <w:sz w:val="19"/>
        </w:rPr>
        <w:t xml:space="preserve"> </w:t>
      </w:r>
      <w:r>
        <w:rPr>
          <w:i/>
          <w:color w:val="231F20"/>
          <w:w w:val="105"/>
          <w:sz w:val="19"/>
        </w:rPr>
        <w:t>hopeless.</w:t>
      </w:r>
      <w:r>
        <w:rPr>
          <w:i/>
          <w:color w:val="231F20"/>
          <w:spacing w:val="-32"/>
          <w:w w:val="105"/>
          <w:sz w:val="19"/>
        </w:rPr>
        <w:t xml:space="preserve"> </w:t>
      </w:r>
      <w:r>
        <w:rPr>
          <w:i/>
          <w:color w:val="231F20"/>
          <w:w w:val="105"/>
          <w:sz w:val="19"/>
        </w:rPr>
        <w:t>Allowing</w:t>
      </w:r>
      <w:r>
        <w:rPr>
          <w:i/>
          <w:color w:val="231F20"/>
          <w:spacing w:val="-22"/>
          <w:w w:val="105"/>
          <w:sz w:val="19"/>
        </w:rPr>
        <w:t xml:space="preserve"> </w:t>
      </w:r>
      <w:r>
        <w:rPr>
          <w:i/>
          <w:color w:val="231F20"/>
          <w:w w:val="105"/>
          <w:sz w:val="19"/>
        </w:rPr>
        <w:t>you</w:t>
      </w:r>
      <w:r>
        <w:rPr>
          <w:i/>
          <w:color w:val="231F20"/>
          <w:spacing w:val="-22"/>
          <w:w w:val="105"/>
          <w:sz w:val="19"/>
        </w:rPr>
        <w:t xml:space="preserve"> </w:t>
      </w:r>
      <w:r>
        <w:rPr>
          <w:i/>
          <w:color w:val="231F20"/>
          <w:w w:val="105"/>
          <w:sz w:val="19"/>
        </w:rPr>
        <w:t>to</w:t>
      </w:r>
      <w:r>
        <w:rPr>
          <w:i/>
          <w:color w:val="231F20"/>
          <w:spacing w:val="-22"/>
          <w:w w:val="105"/>
          <w:sz w:val="19"/>
        </w:rPr>
        <w:t xml:space="preserve"> </w:t>
      </w:r>
      <w:r>
        <w:rPr>
          <w:i/>
          <w:color w:val="231F20"/>
          <w:w w:val="105"/>
          <w:sz w:val="19"/>
        </w:rPr>
        <w:t>continue</w:t>
      </w:r>
      <w:r>
        <w:rPr>
          <w:i/>
          <w:color w:val="231F20"/>
          <w:spacing w:val="-22"/>
          <w:w w:val="105"/>
          <w:sz w:val="19"/>
        </w:rPr>
        <w:t xml:space="preserve"> </w:t>
      </w:r>
      <w:r>
        <w:rPr>
          <w:i/>
          <w:color w:val="231F20"/>
          <w:w w:val="105"/>
          <w:sz w:val="19"/>
        </w:rPr>
        <w:t>in</w:t>
      </w:r>
      <w:r>
        <w:rPr>
          <w:i/>
          <w:color w:val="231F20"/>
          <w:spacing w:val="-22"/>
          <w:w w:val="105"/>
          <w:sz w:val="19"/>
        </w:rPr>
        <w:t xml:space="preserve"> </w:t>
      </w:r>
      <w:r>
        <w:rPr>
          <w:i/>
          <w:color w:val="231F20"/>
          <w:w w:val="105"/>
          <w:sz w:val="19"/>
        </w:rPr>
        <w:t>this</w:t>
      </w:r>
      <w:r>
        <w:rPr>
          <w:i/>
          <w:color w:val="231F20"/>
          <w:spacing w:val="-22"/>
          <w:w w:val="105"/>
          <w:sz w:val="19"/>
        </w:rPr>
        <w:t xml:space="preserve"> </w:t>
      </w:r>
      <w:r>
        <w:rPr>
          <w:i/>
          <w:color w:val="231F20"/>
          <w:w w:val="105"/>
          <w:sz w:val="19"/>
        </w:rPr>
        <w:t>situation would amount to sacrificing</w:t>
      </w:r>
      <w:r>
        <w:rPr>
          <w:i/>
          <w:color w:val="231F20"/>
          <w:spacing w:val="27"/>
          <w:w w:val="105"/>
          <w:sz w:val="19"/>
        </w:rPr>
        <w:t xml:space="preserve"> </w:t>
      </w:r>
      <w:r>
        <w:rPr>
          <w:i/>
          <w:color w:val="231F20"/>
          <w:w w:val="105"/>
          <w:sz w:val="19"/>
        </w:rPr>
        <w:t>you.</w:t>
      </w:r>
    </w:p>
    <w:p w14:paraId="6E8FFD50" w14:textId="77777777" w:rsidR="002653E8" w:rsidRDefault="002653E8">
      <w:pPr>
        <w:spacing w:line="276" w:lineRule="auto"/>
        <w:jc w:val="both"/>
        <w:rPr>
          <w:sz w:val="19"/>
        </w:rPr>
        <w:sectPr w:rsidR="002653E8">
          <w:pgSz w:w="8640" w:h="12960"/>
          <w:pgMar w:top="1060" w:right="0" w:bottom="1040" w:left="0" w:header="0" w:footer="850" w:gutter="0"/>
          <w:cols w:space="720"/>
        </w:sectPr>
      </w:pPr>
    </w:p>
    <w:p w14:paraId="24F5C7FF" w14:textId="77777777" w:rsidR="002653E8" w:rsidRDefault="003115E3">
      <w:pPr>
        <w:spacing w:before="75" w:line="276" w:lineRule="auto"/>
        <w:ind w:left="1747" w:right="1565"/>
        <w:jc w:val="both"/>
        <w:rPr>
          <w:i/>
          <w:sz w:val="11"/>
        </w:rPr>
      </w:pPr>
      <w:r>
        <w:rPr>
          <w:i/>
          <w:color w:val="231F20"/>
          <w:sz w:val="19"/>
        </w:rPr>
        <w:lastRenderedPageBreak/>
        <w:t>We are taking this weapon away from you, because the prisoners’ struggle—given the existing balance of power—is now something that we must settle with our weapons.</w:t>
      </w:r>
      <w:r>
        <w:rPr>
          <w:i/>
          <w:color w:val="231F20"/>
          <w:position w:val="6"/>
          <w:sz w:val="11"/>
        </w:rPr>
        <w:t>1</w:t>
      </w:r>
    </w:p>
    <w:p w14:paraId="040644B4" w14:textId="77777777" w:rsidR="002653E8" w:rsidRDefault="002653E8">
      <w:pPr>
        <w:pStyle w:val="a3"/>
        <w:spacing w:before="4"/>
        <w:rPr>
          <w:i/>
          <w:sz w:val="21"/>
        </w:rPr>
      </w:pPr>
    </w:p>
    <w:p w14:paraId="7F86504E" w14:textId="77777777" w:rsidR="002653E8" w:rsidRDefault="003115E3">
      <w:pPr>
        <w:pStyle w:val="a3"/>
        <w:ind w:left="1327"/>
      </w:pPr>
      <w:r>
        <w:rPr>
          <w:color w:val="231F20"/>
        </w:rPr>
        <w:t>This was a realistic appraisal of the balance of power.</w:t>
      </w:r>
    </w:p>
    <w:p w14:paraId="5EC3B2E6" w14:textId="77777777" w:rsidR="002653E8" w:rsidRDefault="003115E3">
      <w:pPr>
        <w:pStyle w:val="a3"/>
        <w:spacing w:before="22" w:line="264" w:lineRule="auto"/>
        <w:ind w:left="1327" w:right="1146" w:firstLine="210"/>
        <w:jc w:val="both"/>
        <w:rPr>
          <w:sz w:val="11"/>
        </w:rPr>
      </w:pPr>
      <w:r>
        <w:rPr>
          <w:color w:val="231F20"/>
        </w:rPr>
        <w:t xml:space="preserve">The court had arrived at the conclusion that the prisoners, weakened by years of isolation, were only capable of attending the trial for two    or three hours a </w:t>
      </w:r>
      <w:r>
        <w:rPr>
          <w:color w:val="231F20"/>
          <w:spacing w:val="-4"/>
        </w:rPr>
        <w:t xml:space="preserve">day, </w:t>
      </w:r>
      <w:r>
        <w:rPr>
          <w:color w:val="231F20"/>
        </w:rPr>
        <w:t xml:space="preserve">which effectively excluded them from the trial. Disagreeing with the court-appointed doctors </w:t>
      </w:r>
      <w:r>
        <w:rPr>
          <w:color w:val="231F20"/>
          <w:spacing w:val="-3"/>
        </w:rPr>
        <w:t xml:space="preserve">(no </w:t>
      </w:r>
      <w:r>
        <w:rPr>
          <w:color w:val="231F20"/>
        </w:rPr>
        <w:t>expert for the defense was accepted), whose involvement the defense finally succeeded in obtaining after months of fighting, the court maintained that the prisoners’</w:t>
      </w:r>
      <w:r>
        <w:rPr>
          <w:color w:val="231F20"/>
          <w:spacing w:val="-3"/>
        </w:rPr>
        <w:t xml:space="preserve"> </w:t>
      </w:r>
      <w:r>
        <w:rPr>
          <w:color w:val="231F20"/>
        </w:rPr>
        <w:t>inability</w:t>
      </w:r>
      <w:r>
        <w:rPr>
          <w:color w:val="231F20"/>
          <w:spacing w:val="-3"/>
        </w:rPr>
        <w:t xml:space="preserve"> </w:t>
      </w:r>
      <w:r>
        <w:rPr>
          <w:color w:val="231F20"/>
        </w:rPr>
        <w:t>to</w:t>
      </w:r>
      <w:r>
        <w:rPr>
          <w:color w:val="231F20"/>
          <w:spacing w:val="-3"/>
        </w:rPr>
        <w:t xml:space="preserve"> </w:t>
      </w:r>
      <w:r>
        <w:rPr>
          <w:color w:val="231F20"/>
        </w:rPr>
        <w:t>appear</w:t>
      </w:r>
      <w:r>
        <w:rPr>
          <w:color w:val="231F20"/>
          <w:spacing w:val="-3"/>
        </w:rPr>
        <w:t xml:space="preserve"> </w:t>
      </w:r>
      <w:r>
        <w:rPr>
          <w:color w:val="231F20"/>
        </w:rPr>
        <w:t>was</w:t>
      </w:r>
      <w:r>
        <w:rPr>
          <w:color w:val="231F20"/>
          <w:spacing w:val="-3"/>
        </w:rPr>
        <w:t xml:space="preserve"> </w:t>
      </w:r>
      <w:r>
        <w:rPr>
          <w:color w:val="231F20"/>
        </w:rPr>
        <w:t>a</w:t>
      </w:r>
      <w:r>
        <w:rPr>
          <w:color w:val="231F20"/>
          <w:spacing w:val="-3"/>
        </w:rPr>
        <w:t xml:space="preserve"> </w:t>
      </w:r>
      <w:r>
        <w:rPr>
          <w:color w:val="231F20"/>
        </w:rPr>
        <w:t>result</w:t>
      </w:r>
      <w:r>
        <w:rPr>
          <w:color w:val="231F20"/>
          <w:spacing w:val="-3"/>
        </w:rPr>
        <w:t xml:space="preserve"> </w:t>
      </w:r>
      <w:r>
        <w:rPr>
          <w:color w:val="231F20"/>
        </w:rPr>
        <w:t>of</w:t>
      </w:r>
      <w:r>
        <w:rPr>
          <w:color w:val="231F20"/>
          <w:spacing w:val="-3"/>
        </w:rPr>
        <w:t xml:space="preserve"> </w:t>
      </w:r>
      <w:r>
        <w:rPr>
          <w:color w:val="231F20"/>
        </w:rPr>
        <w:t>the</w:t>
      </w:r>
      <w:r>
        <w:rPr>
          <w:color w:val="231F20"/>
          <w:spacing w:val="-3"/>
        </w:rPr>
        <w:t xml:space="preserve"> </w:t>
      </w:r>
      <w:r>
        <w:rPr>
          <w:color w:val="231F20"/>
        </w:rPr>
        <w:t>hunger</w:t>
      </w:r>
      <w:r>
        <w:rPr>
          <w:color w:val="231F20"/>
          <w:spacing w:val="-3"/>
        </w:rPr>
        <w:t xml:space="preserve"> </w:t>
      </w:r>
      <w:r>
        <w:rPr>
          <w:color w:val="231F20"/>
        </w:rPr>
        <w:t>strike,</w:t>
      </w:r>
      <w:r>
        <w:rPr>
          <w:color w:val="231F20"/>
          <w:spacing w:val="-3"/>
        </w:rPr>
        <w:t xml:space="preserve"> </w:t>
      </w:r>
      <w:r>
        <w:rPr>
          <w:color w:val="231F20"/>
        </w:rPr>
        <w:t>and</w:t>
      </w:r>
      <w:r>
        <w:rPr>
          <w:color w:val="231F20"/>
          <w:spacing w:val="-3"/>
        </w:rPr>
        <w:t xml:space="preserve"> </w:t>
      </w:r>
      <w:r>
        <w:rPr>
          <w:color w:val="231F20"/>
        </w:rPr>
        <w:t>as</w:t>
      </w:r>
      <w:r>
        <w:rPr>
          <w:color w:val="231F20"/>
          <w:spacing w:val="-3"/>
        </w:rPr>
        <w:t xml:space="preserve"> </w:t>
      </w:r>
      <w:r>
        <w:rPr>
          <w:color w:val="231F20"/>
        </w:rPr>
        <w:t>such</w:t>
      </w:r>
      <w:r>
        <w:rPr>
          <w:color w:val="231F20"/>
          <w:spacing w:val="-3"/>
        </w:rPr>
        <w:t xml:space="preserve"> </w:t>
      </w:r>
      <w:r>
        <w:rPr>
          <w:color w:val="231F20"/>
        </w:rPr>
        <w:t>was deliberate and</w:t>
      </w:r>
      <w:r>
        <w:rPr>
          <w:color w:val="231F20"/>
          <w:spacing w:val="21"/>
        </w:rPr>
        <w:t xml:space="preserve"> </w:t>
      </w:r>
      <w:r>
        <w:rPr>
          <w:color w:val="231F20"/>
        </w:rPr>
        <w:t>self-inflicted.</w:t>
      </w:r>
      <w:r>
        <w:rPr>
          <w:color w:val="231F20"/>
          <w:position w:val="7"/>
          <w:sz w:val="11"/>
        </w:rPr>
        <w:t>2</w:t>
      </w:r>
    </w:p>
    <w:p w14:paraId="14B3176B" w14:textId="69210F89" w:rsidR="002653E8" w:rsidRDefault="003115E3">
      <w:pPr>
        <w:pStyle w:val="a3"/>
        <w:spacing w:line="264" w:lineRule="auto"/>
        <w:ind w:left="1327" w:right="1144" w:firstLine="210"/>
        <w:jc w:val="both"/>
      </w:pPr>
      <w:r>
        <w:rPr>
          <w:color w:val="231F20"/>
          <w:spacing w:val="1"/>
        </w:rPr>
        <w:t xml:space="preserve">In </w:t>
      </w:r>
      <w:r>
        <w:rPr>
          <w:color w:val="231F20"/>
        </w:rPr>
        <w:t>their expert opinion, the doctors clearly state that the prisoners’ miserable</w:t>
      </w:r>
      <w:r>
        <w:rPr>
          <w:color w:val="231F20"/>
          <w:spacing w:val="-8"/>
        </w:rPr>
        <w:t xml:space="preserve"> </w:t>
      </w:r>
      <w:r>
        <w:rPr>
          <w:color w:val="231F20"/>
        </w:rPr>
        <w:t>state</w:t>
      </w:r>
      <w:r>
        <w:rPr>
          <w:color w:val="231F20"/>
          <w:spacing w:val="-8"/>
        </w:rPr>
        <w:t xml:space="preserve"> </w:t>
      </w:r>
      <w:r>
        <w:rPr>
          <w:color w:val="231F20"/>
        </w:rPr>
        <w:t>of</w:t>
      </w:r>
      <w:r>
        <w:rPr>
          <w:color w:val="231F20"/>
          <w:spacing w:val="-8"/>
        </w:rPr>
        <w:t xml:space="preserve"> </w:t>
      </w:r>
      <w:r>
        <w:rPr>
          <w:color w:val="231F20"/>
        </w:rPr>
        <w:t>health</w:t>
      </w:r>
      <w:r>
        <w:rPr>
          <w:color w:val="231F20"/>
          <w:spacing w:val="-8"/>
        </w:rPr>
        <w:t xml:space="preserve"> </w:t>
      </w:r>
      <w:r>
        <w:rPr>
          <w:color w:val="231F20"/>
        </w:rPr>
        <w:t>is</w:t>
      </w:r>
      <w:r>
        <w:rPr>
          <w:color w:val="231F20"/>
          <w:spacing w:val="-8"/>
        </w:rPr>
        <w:t xml:space="preserve"> </w:t>
      </w:r>
      <w:r>
        <w:rPr>
          <w:color w:val="231F20"/>
        </w:rPr>
        <w:t>caused</w:t>
      </w:r>
      <w:r>
        <w:rPr>
          <w:color w:val="231F20"/>
          <w:spacing w:val="-8"/>
        </w:rPr>
        <w:t xml:space="preserve"> </w:t>
      </w:r>
      <w:r>
        <w:rPr>
          <w:color w:val="231F20"/>
        </w:rPr>
        <w:t>by</w:t>
      </w:r>
      <w:r>
        <w:rPr>
          <w:color w:val="231F20"/>
          <w:spacing w:val="-8"/>
        </w:rPr>
        <w:t xml:space="preserve"> </w:t>
      </w:r>
      <w:r>
        <w:rPr>
          <w:color w:val="231F20"/>
        </w:rPr>
        <w:t>their</w:t>
      </w:r>
      <w:r>
        <w:rPr>
          <w:color w:val="231F20"/>
          <w:spacing w:val="-8"/>
        </w:rPr>
        <w:t xml:space="preserve"> </w:t>
      </w:r>
      <w:r>
        <w:rPr>
          <w:color w:val="231F20"/>
        </w:rPr>
        <w:t>prison</w:t>
      </w:r>
      <w:r>
        <w:rPr>
          <w:color w:val="231F20"/>
          <w:spacing w:val="-8"/>
        </w:rPr>
        <w:t xml:space="preserve"> </w:t>
      </w:r>
      <w:r>
        <w:rPr>
          <w:color w:val="231F20"/>
        </w:rPr>
        <w:t>conditions.</w:t>
      </w:r>
      <w:r>
        <w:rPr>
          <w:color w:val="231F20"/>
          <w:spacing w:val="-8"/>
        </w:rPr>
        <w:t xml:space="preserve"> </w:t>
      </w:r>
      <w:r>
        <w:rPr>
          <w:color w:val="231F20"/>
        </w:rPr>
        <w:t>Eight</w:t>
      </w:r>
      <w:r>
        <w:rPr>
          <w:color w:val="231F20"/>
          <w:spacing w:val="-8"/>
        </w:rPr>
        <w:t xml:space="preserve"> </w:t>
      </w:r>
      <w:r>
        <w:rPr>
          <w:color w:val="231F20"/>
        </w:rPr>
        <w:t xml:space="preserve">other expert opinions from public health agency doctors, etc. in </w:t>
      </w:r>
      <w:r w:rsidR="00C507A5">
        <w:rPr>
          <w:color w:val="231F20"/>
          <w:spacing w:val="5"/>
        </w:rPr>
        <w:t>red army faction</w:t>
      </w:r>
      <w:r>
        <w:rPr>
          <w:color w:val="231F20"/>
          <w:spacing w:val="5"/>
        </w:rPr>
        <w:t xml:space="preserve"> </w:t>
      </w:r>
      <w:r>
        <w:rPr>
          <w:color w:val="231F20"/>
        </w:rPr>
        <w:t>trials reached an identical conclusion: years of solitary confinement equals extermination.</w:t>
      </w:r>
    </w:p>
    <w:p w14:paraId="359632FF" w14:textId="77777777" w:rsidR="002653E8" w:rsidRDefault="003115E3">
      <w:pPr>
        <w:pStyle w:val="a3"/>
        <w:spacing w:line="264" w:lineRule="auto"/>
        <w:ind w:left="1327" w:right="1146" w:firstLine="210"/>
        <w:jc w:val="both"/>
      </w:pPr>
      <w:r>
        <w:rPr>
          <w:color w:val="231F20"/>
        </w:rPr>
        <w:t xml:space="preserve">The Federal Supreme Court has used disinformation to stretch the definition of “self-inflicted”. Unlike the court, they  do  not  claim  that the inability to appear is due to the hunger </w:t>
      </w:r>
      <w:r>
        <w:rPr>
          <w:color w:val="231F20"/>
          <w:spacing w:val="1"/>
        </w:rPr>
        <w:t>strike—extracts</w:t>
      </w:r>
      <w:r>
        <w:rPr>
          <w:color w:val="231F20"/>
          <w:spacing w:val="-32"/>
        </w:rPr>
        <w:t xml:space="preserve"> </w:t>
      </w:r>
      <w:r>
        <w:rPr>
          <w:color w:val="231F20"/>
        </w:rPr>
        <w:t xml:space="preserve">from the expert opinions, which refute this claim, have been published since then. Instead, the Federal Supreme Court claims that the prisoners have, through their behavior in custody, forced the authorities to impose these prison conditions. The Federal Supreme Court eventually adopted this position and declared torture constitutional. </w:t>
      </w:r>
      <w:r>
        <w:rPr>
          <w:color w:val="231F20"/>
          <w:spacing w:val="1"/>
        </w:rPr>
        <w:t xml:space="preserve">In </w:t>
      </w:r>
      <w:r>
        <w:rPr>
          <w:color w:val="231F20"/>
        </w:rPr>
        <w:t xml:space="preserve">fact the custodial judge has already asked the prison warden to make sure that such prisoners are held in isolation. The Federal Supreme Court and the Federal Supreme Court judge who arrived at this decision know what they are doing. The judge consciously supported the objectives of the police and the Bonn Security </w:t>
      </w:r>
      <w:r>
        <w:rPr>
          <w:color w:val="231F20"/>
          <w:spacing w:val="-3"/>
        </w:rPr>
        <w:t xml:space="preserve">Group’s “Terrorism” </w:t>
      </w:r>
      <w:r>
        <w:rPr>
          <w:color w:val="231F20"/>
        </w:rPr>
        <w:t xml:space="preserve">Section—they and the </w:t>
      </w:r>
      <w:r>
        <w:rPr>
          <w:color w:val="231F20"/>
          <w:spacing w:val="-12"/>
        </w:rPr>
        <w:t>BAW</w:t>
      </w:r>
      <w:r>
        <w:rPr>
          <w:color w:val="231F20"/>
          <w:spacing w:val="20"/>
        </w:rPr>
        <w:t xml:space="preserve"> </w:t>
      </w:r>
      <w:r>
        <w:rPr>
          <w:color w:val="231F20"/>
        </w:rPr>
        <w:t>dictate prison conditions. Political justice in the Federal Republic is a function of the counterinsurgency</w:t>
      </w:r>
      <w:r>
        <w:rPr>
          <w:color w:val="231F20"/>
          <w:spacing w:val="2"/>
        </w:rPr>
        <w:t xml:space="preserve"> </w:t>
      </w:r>
      <w:r>
        <w:rPr>
          <w:color w:val="231F20"/>
        </w:rPr>
        <w:t>campaign.</w:t>
      </w:r>
    </w:p>
    <w:p w14:paraId="53CF3868" w14:textId="0C34CB1F" w:rsidR="002653E8" w:rsidRDefault="003115E3" w:rsidP="006A32D9">
      <w:pPr>
        <w:pStyle w:val="a3"/>
        <w:spacing w:line="218" w:lineRule="exact"/>
        <w:ind w:left="1538"/>
      </w:pPr>
      <w:r>
        <w:rPr>
          <w:color w:val="231F20"/>
        </w:rPr>
        <w:t>The rulings clearly state that the prison conditions can and will be</w:t>
      </w:r>
      <w:r w:rsidR="006A32D9">
        <w:rPr>
          <w:color w:val="231F20"/>
        </w:rPr>
        <w:t xml:space="preserve"> </w:t>
      </w:r>
      <w:r>
        <w:rPr>
          <w:color w:val="231F20"/>
        </w:rPr>
        <w:t>changed if the prisoners renounce their politics, provide evidence, and place themselves at the disposal of the psychological warfare campaign</w:t>
      </w:r>
    </w:p>
    <w:p w14:paraId="4FB3D329" w14:textId="77777777" w:rsidR="002653E8" w:rsidRDefault="00000000">
      <w:pPr>
        <w:pStyle w:val="a3"/>
        <w:spacing w:before="9"/>
        <w:rPr>
          <w:sz w:val="21"/>
        </w:rPr>
      </w:pPr>
      <w:r>
        <w:rPr>
          <w:noProof w:val="0"/>
        </w:rPr>
        <w:pict w14:anchorId="4ED6F0D9">
          <v:line id="_x0000_s2255" style="position:absolute;z-index:8872;mso-wrap-distance-left:0;mso-wrap-distance-right:0;mso-position-horizontal-relative:page" from="66.4pt,14.95pt" to="138.4pt,14.95pt" strokecolor="#231f20" strokeweight=".5pt">
            <w10:wrap type="topAndBottom" anchorx="page"/>
          </v:line>
        </w:pict>
      </w:r>
    </w:p>
    <w:p w14:paraId="40B89C85" w14:textId="77777777" w:rsidR="002653E8" w:rsidRDefault="003115E3">
      <w:pPr>
        <w:pStyle w:val="a4"/>
        <w:numPr>
          <w:ilvl w:val="0"/>
          <w:numId w:val="80"/>
        </w:numPr>
        <w:tabs>
          <w:tab w:val="left" w:pos="1467"/>
        </w:tabs>
        <w:spacing w:before="53"/>
        <w:ind w:firstLine="0"/>
        <w:rPr>
          <w:sz w:val="16"/>
        </w:rPr>
      </w:pPr>
      <w:r>
        <w:rPr>
          <w:color w:val="231F20"/>
          <w:spacing w:val="1"/>
          <w:w w:val="105"/>
          <w:sz w:val="16"/>
        </w:rPr>
        <w:t>Letter</w:t>
      </w:r>
      <w:r>
        <w:rPr>
          <w:color w:val="231F20"/>
          <w:spacing w:val="7"/>
          <w:w w:val="105"/>
          <w:sz w:val="16"/>
        </w:rPr>
        <w:t xml:space="preserve"> </w:t>
      </w:r>
      <w:r>
        <w:rPr>
          <w:color w:val="231F20"/>
          <w:w w:val="105"/>
          <w:sz w:val="16"/>
        </w:rPr>
        <w:t>from</w:t>
      </w:r>
      <w:r>
        <w:rPr>
          <w:color w:val="231F20"/>
          <w:spacing w:val="7"/>
          <w:w w:val="105"/>
          <w:sz w:val="16"/>
        </w:rPr>
        <w:t xml:space="preserve"> </w:t>
      </w:r>
      <w:r>
        <w:rPr>
          <w:color w:val="231F20"/>
          <w:w w:val="105"/>
          <w:sz w:val="16"/>
        </w:rPr>
        <w:t>the</w:t>
      </w:r>
      <w:r>
        <w:rPr>
          <w:color w:val="231F20"/>
          <w:spacing w:val="7"/>
          <w:w w:val="105"/>
          <w:sz w:val="16"/>
        </w:rPr>
        <w:t xml:space="preserve"> </w:t>
      </w:r>
      <w:r w:rsidR="00C507A5">
        <w:rPr>
          <w:color w:val="231F20"/>
          <w:spacing w:val="3"/>
          <w:w w:val="105"/>
          <w:sz w:val="16"/>
        </w:rPr>
        <w:t>red army faction</w:t>
      </w:r>
      <w:r>
        <w:rPr>
          <w:color w:val="231F20"/>
          <w:spacing w:val="7"/>
          <w:w w:val="105"/>
          <w:sz w:val="16"/>
        </w:rPr>
        <w:t xml:space="preserve"> </w:t>
      </w:r>
      <w:r>
        <w:rPr>
          <w:color w:val="231F20"/>
          <w:w w:val="105"/>
          <w:sz w:val="16"/>
        </w:rPr>
        <w:t>to</w:t>
      </w:r>
      <w:r>
        <w:rPr>
          <w:color w:val="231F20"/>
          <w:spacing w:val="7"/>
          <w:w w:val="105"/>
          <w:sz w:val="16"/>
        </w:rPr>
        <w:t xml:space="preserve"> </w:t>
      </w:r>
      <w:r>
        <w:rPr>
          <w:color w:val="231F20"/>
          <w:w w:val="105"/>
          <w:sz w:val="16"/>
        </w:rPr>
        <w:t>the</w:t>
      </w:r>
      <w:r>
        <w:rPr>
          <w:color w:val="231F20"/>
          <w:spacing w:val="7"/>
          <w:w w:val="105"/>
          <w:sz w:val="16"/>
        </w:rPr>
        <w:t xml:space="preserve"> </w:t>
      </w:r>
      <w:r w:rsidR="00C507A5">
        <w:rPr>
          <w:color w:val="231F20"/>
          <w:spacing w:val="3"/>
          <w:w w:val="105"/>
          <w:sz w:val="16"/>
        </w:rPr>
        <w:t>red army faction</w:t>
      </w:r>
      <w:r>
        <w:rPr>
          <w:color w:val="231F20"/>
          <w:spacing w:val="7"/>
          <w:w w:val="105"/>
          <w:sz w:val="16"/>
        </w:rPr>
        <w:t xml:space="preserve"> </w:t>
      </w:r>
      <w:r>
        <w:rPr>
          <w:color w:val="231F20"/>
          <w:w w:val="105"/>
          <w:sz w:val="16"/>
        </w:rPr>
        <w:t>prisoners,</w:t>
      </w:r>
      <w:r>
        <w:rPr>
          <w:color w:val="231F20"/>
          <w:spacing w:val="7"/>
          <w:w w:val="105"/>
          <w:sz w:val="16"/>
        </w:rPr>
        <w:t xml:space="preserve"> </w:t>
      </w:r>
      <w:r>
        <w:rPr>
          <w:color w:val="231F20"/>
          <w:w w:val="105"/>
          <w:sz w:val="16"/>
        </w:rPr>
        <w:t>cf</w:t>
      </w:r>
      <w:r>
        <w:rPr>
          <w:color w:val="231F20"/>
          <w:spacing w:val="7"/>
          <w:w w:val="105"/>
          <w:sz w:val="16"/>
        </w:rPr>
        <w:t xml:space="preserve"> </w:t>
      </w:r>
      <w:r>
        <w:rPr>
          <w:color w:val="231F20"/>
          <w:spacing w:val="-5"/>
          <w:w w:val="105"/>
          <w:sz w:val="16"/>
        </w:rPr>
        <w:t>338</w:t>
      </w:r>
    </w:p>
    <w:p w14:paraId="05595EE1" w14:textId="77777777" w:rsidR="002653E8" w:rsidRDefault="003115E3">
      <w:pPr>
        <w:pStyle w:val="a4"/>
        <w:numPr>
          <w:ilvl w:val="0"/>
          <w:numId w:val="80"/>
        </w:numPr>
        <w:tabs>
          <w:tab w:val="left" w:pos="1467"/>
        </w:tabs>
        <w:spacing w:before="51" w:line="254" w:lineRule="auto"/>
        <w:ind w:right="1198" w:firstLine="1"/>
        <w:rPr>
          <w:sz w:val="16"/>
        </w:rPr>
      </w:pPr>
      <w:r>
        <w:rPr>
          <w:color w:val="231F20"/>
          <w:w w:val="105"/>
          <w:sz w:val="16"/>
        </w:rPr>
        <w:t xml:space="preserve">According to </w:t>
      </w:r>
      <w:r>
        <w:rPr>
          <w:color w:val="231F20"/>
          <w:spacing w:val="-4"/>
          <w:w w:val="105"/>
          <w:sz w:val="14"/>
        </w:rPr>
        <w:t>§§</w:t>
      </w:r>
      <w:r>
        <w:rPr>
          <w:color w:val="231F20"/>
          <w:spacing w:val="-4"/>
          <w:w w:val="105"/>
          <w:sz w:val="16"/>
        </w:rPr>
        <w:t xml:space="preserve">231-231b, </w:t>
      </w:r>
      <w:r>
        <w:rPr>
          <w:color w:val="231F20"/>
          <w:w w:val="105"/>
          <w:sz w:val="16"/>
        </w:rPr>
        <w:t xml:space="preserve">passed in June </w:t>
      </w:r>
      <w:r>
        <w:rPr>
          <w:color w:val="231F20"/>
          <w:spacing w:val="-4"/>
          <w:w w:val="105"/>
          <w:sz w:val="16"/>
        </w:rPr>
        <w:t xml:space="preserve">1975, </w:t>
      </w:r>
      <w:r>
        <w:rPr>
          <w:color w:val="231F20"/>
          <w:w w:val="105"/>
          <w:sz w:val="16"/>
        </w:rPr>
        <w:t>trials could proceed in the absence  of</w:t>
      </w:r>
      <w:r>
        <w:rPr>
          <w:color w:val="231F20"/>
          <w:spacing w:val="7"/>
          <w:w w:val="105"/>
          <w:sz w:val="16"/>
        </w:rPr>
        <w:t xml:space="preserve"> </w:t>
      </w:r>
      <w:r>
        <w:rPr>
          <w:color w:val="231F20"/>
          <w:w w:val="105"/>
          <w:sz w:val="16"/>
        </w:rPr>
        <w:t>defendants</w:t>
      </w:r>
      <w:r>
        <w:rPr>
          <w:color w:val="231F20"/>
          <w:spacing w:val="7"/>
          <w:w w:val="105"/>
          <w:sz w:val="16"/>
        </w:rPr>
        <w:t xml:space="preserve"> </w:t>
      </w:r>
      <w:r>
        <w:rPr>
          <w:color w:val="231F20"/>
          <w:w w:val="105"/>
          <w:sz w:val="16"/>
        </w:rPr>
        <w:t>if</w:t>
      </w:r>
      <w:r>
        <w:rPr>
          <w:color w:val="231F20"/>
          <w:spacing w:val="7"/>
          <w:w w:val="105"/>
          <w:sz w:val="16"/>
        </w:rPr>
        <w:t xml:space="preserve"> </w:t>
      </w:r>
      <w:r>
        <w:rPr>
          <w:color w:val="231F20"/>
          <w:w w:val="105"/>
          <w:sz w:val="16"/>
        </w:rPr>
        <w:t>this</w:t>
      </w:r>
      <w:r>
        <w:rPr>
          <w:color w:val="231F20"/>
          <w:spacing w:val="7"/>
          <w:w w:val="105"/>
          <w:sz w:val="16"/>
        </w:rPr>
        <w:t xml:space="preserve"> </w:t>
      </w:r>
      <w:r>
        <w:rPr>
          <w:color w:val="231F20"/>
          <w:w w:val="105"/>
          <w:sz w:val="16"/>
        </w:rPr>
        <w:t>was</w:t>
      </w:r>
      <w:r>
        <w:rPr>
          <w:color w:val="231F20"/>
          <w:spacing w:val="7"/>
          <w:w w:val="105"/>
          <w:sz w:val="16"/>
        </w:rPr>
        <w:t xml:space="preserve"> </w:t>
      </w:r>
      <w:r>
        <w:rPr>
          <w:color w:val="231F20"/>
          <w:w w:val="105"/>
          <w:sz w:val="16"/>
        </w:rPr>
        <w:t>due</w:t>
      </w:r>
      <w:r>
        <w:rPr>
          <w:color w:val="231F20"/>
          <w:spacing w:val="7"/>
          <w:w w:val="105"/>
          <w:sz w:val="16"/>
        </w:rPr>
        <w:t xml:space="preserve"> </w:t>
      </w:r>
      <w:r>
        <w:rPr>
          <w:color w:val="231F20"/>
          <w:w w:val="105"/>
          <w:sz w:val="16"/>
        </w:rPr>
        <w:t>to</w:t>
      </w:r>
      <w:r>
        <w:rPr>
          <w:color w:val="231F20"/>
          <w:spacing w:val="7"/>
          <w:w w:val="105"/>
          <w:sz w:val="16"/>
        </w:rPr>
        <w:t xml:space="preserve"> </w:t>
      </w:r>
      <w:r>
        <w:rPr>
          <w:color w:val="231F20"/>
          <w:w w:val="105"/>
          <w:sz w:val="16"/>
        </w:rPr>
        <w:t>self-inflicted</w:t>
      </w:r>
      <w:r>
        <w:rPr>
          <w:color w:val="231F20"/>
          <w:spacing w:val="7"/>
          <w:w w:val="105"/>
          <w:sz w:val="16"/>
        </w:rPr>
        <w:t xml:space="preserve"> </w:t>
      </w:r>
      <w:r>
        <w:rPr>
          <w:color w:val="231F20"/>
          <w:w w:val="105"/>
          <w:sz w:val="16"/>
        </w:rPr>
        <w:t>health</w:t>
      </w:r>
      <w:r>
        <w:rPr>
          <w:color w:val="231F20"/>
          <w:spacing w:val="7"/>
          <w:w w:val="105"/>
          <w:sz w:val="16"/>
        </w:rPr>
        <w:t xml:space="preserve"> </w:t>
      </w:r>
      <w:r>
        <w:rPr>
          <w:color w:val="231F20"/>
          <w:w w:val="105"/>
          <w:sz w:val="16"/>
        </w:rPr>
        <w:t>concerns.</w:t>
      </w:r>
    </w:p>
    <w:p w14:paraId="509998EE" w14:textId="77777777" w:rsidR="002653E8" w:rsidRDefault="002653E8">
      <w:pPr>
        <w:spacing w:line="254" w:lineRule="auto"/>
        <w:rPr>
          <w:sz w:val="16"/>
        </w:rPr>
        <w:sectPr w:rsidR="002653E8">
          <w:pgSz w:w="8640" w:h="12960"/>
          <w:pgMar w:top="1080" w:right="0" w:bottom="1040" w:left="0" w:header="0" w:footer="850" w:gutter="0"/>
          <w:cols w:space="720"/>
        </w:sectPr>
      </w:pPr>
    </w:p>
    <w:p w14:paraId="2F8CCF55" w14:textId="77777777" w:rsidR="002653E8" w:rsidRDefault="003115E3">
      <w:pPr>
        <w:pStyle w:val="a3"/>
        <w:spacing w:before="86" w:line="264" w:lineRule="auto"/>
        <w:ind w:left="1148" w:right="1325" w:hanging="1"/>
        <w:jc w:val="both"/>
      </w:pPr>
      <w:r>
        <w:rPr>
          <w:color w:val="231F20"/>
        </w:rPr>
        <w:lastRenderedPageBreak/>
        <w:t>against the urban guerilla. As regards such rulings, torture is clearly defined in international conventions as those means employed to destroy the prisoner with the objective of extorting statements that can be used in propaganda. It is in just this way that the West German justice system has legalized extermination imprisonment, so as to use the prisoners’ state of health against the political prisoners.</w:t>
      </w:r>
    </w:p>
    <w:p w14:paraId="47FAC6CC" w14:textId="77777777" w:rsidR="002653E8" w:rsidRDefault="002653E8">
      <w:pPr>
        <w:pStyle w:val="a3"/>
        <w:spacing w:before="4"/>
        <w:rPr>
          <w:sz w:val="21"/>
        </w:rPr>
      </w:pPr>
    </w:p>
    <w:p w14:paraId="7AA94E8E" w14:textId="77777777" w:rsidR="002653E8" w:rsidRDefault="003115E3">
      <w:pPr>
        <w:pStyle w:val="a3"/>
        <w:spacing w:before="1" w:line="264" w:lineRule="auto"/>
        <w:ind w:left="1148" w:right="1326"/>
        <w:jc w:val="both"/>
      </w:pPr>
      <w:r>
        <w:rPr>
          <w:color w:val="231F20"/>
        </w:rPr>
        <w:t xml:space="preserve">Q: Has a political defense of the </w:t>
      </w:r>
      <w:r w:rsidR="00C507A5">
        <w:rPr>
          <w:color w:val="231F20"/>
        </w:rPr>
        <w:t>red army faction</w:t>
      </w:r>
      <w:r>
        <w:rPr>
          <w:color w:val="231F20"/>
        </w:rPr>
        <w:t xml:space="preserve"> been possible at any time during the Stuttgart-Stammheim proceedings? Are the accused free to explain their political motives and objectives at this trial?</w:t>
      </w:r>
    </w:p>
    <w:p w14:paraId="4C37A49B" w14:textId="77777777" w:rsidR="002653E8" w:rsidRDefault="002653E8">
      <w:pPr>
        <w:pStyle w:val="a3"/>
        <w:spacing w:before="7"/>
        <w:rPr>
          <w:sz w:val="21"/>
        </w:rPr>
      </w:pPr>
    </w:p>
    <w:p w14:paraId="0DB2B470" w14:textId="77777777" w:rsidR="002653E8" w:rsidRDefault="003115E3">
      <w:pPr>
        <w:pStyle w:val="a3"/>
        <w:spacing w:line="264" w:lineRule="auto"/>
        <w:ind w:left="1147" w:right="1325"/>
        <w:jc w:val="both"/>
      </w:pPr>
      <w:r>
        <w:rPr>
          <w:color w:val="231F20"/>
        </w:rPr>
        <w:t xml:space="preserve">A: </w:t>
      </w:r>
      <w:bookmarkStart w:id="194" w:name="_Hlk128870520"/>
      <w:r>
        <w:rPr>
          <w:color w:val="231F20"/>
        </w:rPr>
        <w:t xml:space="preserve">So far, the prisoners have seldom been able to utter a sentence without being interrupted by Prinzing, or else the </w:t>
      </w:r>
      <w:r>
        <w:rPr>
          <w:color w:val="231F20"/>
          <w:spacing w:val="-6"/>
        </w:rPr>
        <w:t xml:space="preserve">BAW </w:t>
      </w:r>
      <w:r>
        <w:rPr>
          <w:color w:val="231F20"/>
        </w:rPr>
        <w:t>intervenes. Bobby Seale was at least publicly gagged.</w:t>
      </w:r>
      <w:r>
        <w:rPr>
          <w:color w:val="231F20"/>
          <w:position w:val="7"/>
          <w:sz w:val="11"/>
        </w:rPr>
        <w:t xml:space="preserve">1 </w:t>
      </w:r>
      <w:r>
        <w:rPr>
          <w:color w:val="231F20"/>
        </w:rPr>
        <w:t xml:space="preserve">Here the court just switches off the prisoners’ microphones, and if the prisoners still continue to speak, it bars them from the proceedings for at least four weeks. This method    of interruption is effective. </w:t>
      </w:r>
      <w:r>
        <w:rPr>
          <w:color w:val="231F20"/>
          <w:spacing w:val="1"/>
        </w:rPr>
        <w:t xml:space="preserve">If </w:t>
      </w:r>
      <w:r>
        <w:rPr>
          <w:color w:val="231F20"/>
          <w:spacing w:val="-3"/>
        </w:rPr>
        <w:t xml:space="preserve">one’s </w:t>
      </w:r>
      <w:r>
        <w:rPr>
          <w:color w:val="231F20"/>
        </w:rPr>
        <w:t>thought process is interrupted ten times, then it is derailed. The spectators get the impression of mental redundancy. The trial’s political significance is blocked. Every minute of the proceedings is simply psychological</w:t>
      </w:r>
      <w:r>
        <w:rPr>
          <w:color w:val="231F20"/>
          <w:spacing w:val="10"/>
        </w:rPr>
        <w:t xml:space="preserve"> </w:t>
      </w:r>
      <w:r>
        <w:rPr>
          <w:color w:val="231F20"/>
        </w:rPr>
        <w:t>warfare.</w:t>
      </w:r>
    </w:p>
    <w:bookmarkEnd w:id="194"/>
    <w:p w14:paraId="1BC0F645" w14:textId="77777777" w:rsidR="002653E8" w:rsidRDefault="003115E3">
      <w:pPr>
        <w:pStyle w:val="a3"/>
        <w:spacing w:line="264" w:lineRule="auto"/>
        <w:ind w:left="1147" w:right="1325" w:firstLine="210"/>
        <w:jc w:val="both"/>
      </w:pPr>
      <w:r>
        <w:rPr>
          <w:color w:val="231F20"/>
        </w:rPr>
        <w:t xml:space="preserve">There was an attempt to present a political defense, that is to </w:t>
      </w:r>
      <w:r>
        <w:rPr>
          <w:color w:val="231F20"/>
          <w:spacing w:val="-4"/>
        </w:rPr>
        <w:t xml:space="preserve">say,    </w:t>
      </w:r>
      <w:r>
        <w:rPr>
          <w:color w:val="231F20"/>
          <w:spacing w:val="35"/>
        </w:rPr>
        <w:t xml:space="preserve"> </w:t>
      </w:r>
      <w:r>
        <w:rPr>
          <w:color w:val="231F20"/>
        </w:rPr>
        <w:t xml:space="preserve">to reconstruct the defense after the lawyers who had prepared it were barred shortly before the trial began. The court reacted by barring six more lawyers. Using challenges, denials, and, above all, court-appointed public defenders, the </w:t>
      </w:r>
      <w:r>
        <w:rPr>
          <w:color w:val="231F20"/>
          <w:spacing w:val="-6"/>
        </w:rPr>
        <w:t xml:space="preserve">BAW </w:t>
      </w:r>
      <w:r>
        <w:rPr>
          <w:color w:val="231F20"/>
        </w:rPr>
        <w:t>has established Disciplinary Committees,</w:t>
      </w:r>
      <w:r>
        <w:rPr>
          <w:color w:val="231F20"/>
          <w:position w:val="7"/>
          <w:sz w:val="11"/>
        </w:rPr>
        <w:t xml:space="preserve">2 </w:t>
      </w:r>
      <w:r>
        <w:rPr>
          <w:color w:val="231F20"/>
        </w:rPr>
        <w:t xml:space="preserve">with the aim of applying the </w:t>
      </w:r>
      <w:r>
        <w:rPr>
          <w:i/>
          <w:color w:val="231F20"/>
        </w:rPr>
        <w:t>Berufsverbot</w:t>
      </w:r>
      <w:r>
        <w:rPr>
          <w:color w:val="231F20"/>
        </w:rPr>
        <w:t>. And it works. The Bar Association’s Disciplinary Committee has a new staff made up of lawyers</w:t>
      </w:r>
      <w:r>
        <w:rPr>
          <w:color w:val="231F20"/>
          <w:spacing w:val="8"/>
        </w:rPr>
        <w:t xml:space="preserve"> </w:t>
      </w:r>
      <w:r>
        <w:rPr>
          <w:color w:val="231F20"/>
        </w:rPr>
        <w:t>who</w:t>
      </w:r>
      <w:r>
        <w:rPr>
          <w:color w:val="231F20"/>
          <w:spacing w:val="8"/>
        </w:rPr>
        <w:t xml:space="preserve"> </w:t>
      </w:r>
      <w:r>
        <w:rPr>
          <w:color w:val="231F20"/>
        </w:rPr>
        <w:t>specifically</w:t>
      </w:r>
      <w:r>
        <w:rPr>
          <w:color w:val="231F20"/>
          <w:spacing w:val="8"/>
        </w:rPr>
        <w:t xml:space="preserve"> </w:t>
      </w:r>
      <w:r>
        <w:rPr>
          <w:color w:val="231F20"/>
        </w:rPr>
        <w:t>represent</w:t>
      </w:r>
      <w:r>
        <w:rPr>
          <w:color w:val="231F20"/>
          <w:spacing w:val="8"/>
        </w:rPr>
        <w:t xml:space="preserve"> </w:t>
      </w:r>
      <w:r>
        <w:rPr>
          <w:color w:val="231F20"/>
        </w:rPr>
        <w:t>the</w:t>
      </w:r>
      <w:r>
        <w:rPr>
          <w:color w:val="231F20"/>
          <w:spacing w:val="8"/>
        </w:rPr>
        <w:t xml:space="preserve"> </w:t>
      </w:r>
      <w:r>
        <w:rPr>
          <w:color w:val="231F20"/>
        </w:rPr>
        <w:t>interests</w:t>
      </w:r>
      <w:r>
        <w:rPr>
          <w:color w:val="231F20"/>
          <w:spacing w:val="8"/>
        </w:rPr>
        <w:t xml:space="preserve"> </w:t>
      </w:r>
      <w:r>
        <w:rPr>
          <w:color w:val="231F20"/>
        </w:rPr>
        <w:t>of</w:t>
      </w:r>
      <w:r>
        <w:rPr>
          <w:color w:val="231F20"/>
          <w:spacing w:val="8"/>
        </w:rPr>
        <w:t xml:space="preserve"> </w:t>
      </w:r>
      <w:r>
        <w:rPr>
          <w:color w:val="231F20"/>
        </w:rPr>
        <w:t>the</w:t>
      </w:r>
      <w:r>
        <w:rPr>
          <w:color w:val="231F20"/>
          <w:spacing w:val="8"/>
        </w:rPr>
        <w:t xml:space="preserve"> </w:t>
      </w:r>
      <w:r>
        <w:rPr>
          <w:color w:val="231F20"/>
          <w:spacing w:val="-8"/>
        </w:rPr>
        <w:t>BAW.</w:t>
      </w:r>
    </w:p>
    <w:p w14:paraId="54B476C7" w14:textId="77777777" w:rsidR="002653E8" w:rsidRDefault="00000000">
      <w:pPr>
        <w:pStyle w:val="a3"/>
        <w:spacing w:line="264" w:lineRule="auto"/>
        <w:ind w:left="1147" w:right="1325" w:firstLine="210"/>
        <w:jc w:val="both"/>
      </w:pPr>
      <w:r>
        <w:rPr>
          <w:noProof w:val="0"/>
        </w:rPr>
        <w:pict w14:anchorId="26E2A2FA">
          <v:line id="_x0000_s2254" style="position:absolute;left:0;text-align:left;z-index:8896;mso-wrap-distance-left:0;mso-wrap-distance-right:0;mso-position-horizontal-relative:page" from="57.4pt,97.9pt" to="129.4pt,97.9pt" strokecolor="#231f20" strokeweight=".5pt">
            <w10:wrap type="topAndBottom" anchorx="page"/>
          </v:line>
        </w:pict>
      </w:r>
      <w:r w:rsidR="003115E3">
        <w:rPr>
          <w:color w:val="231F20"/>
        </w:rPr>
        <w:t xml:space="preserve">The Chairman of the Law Society admitted this openly during a radio interview a few months ago. Now the circle of special legislation will    be closed. </w:t>
      </w:r>
      <w:r w:rsidR="003115E3">
        <w:rPr>
          <w:color w:val="231F20"/>
          <w:spacing w:val="1"/>
        </w:rPr>
        <w:t xml:space="preserve">In </w:t>
      </w:r>
      <w:r w:rsidR="003115E3">
        <w:rPr>
          <w:color w:val="231F20"/>
        </w:rPr>
        <w:t xml:space="preserve">June, the SPD presented parliament with a new “package” of special legislation that would perfect the existing ones. Now a prosecution motion will be sufficient to begin Disciplinary Committee proceedings against a lawyer so as to disbar him and initiate </w:t>
      </w:r>
      <w:r w:rsidR="003115E3">
        <w:rPr>
          <w:i/>
          <w:color w:val="231F20"/>
        </w:rPr>
        <w:t xml:space="preserve">Berufsverbot </w:t>
      </w:r>
      <w:r w:rsidR="003115E3">
        <w:rPr>
          <w:color w:val="231F20"/>
        </w:rPr>
        <w:t xml:space="preserve">proceedings against </w:t>
      </w:r>
      <w:r w:rsidR="003115E3">
        <w:rPr>
          <w:color w:val="231F20"/>
          <w:spacing w:val="1"/>
        </w:rPr>
        <w:t>him,</w:t>
      </w:r>
      <w:r w:rsidR="003115E3">
        <w:rPr>
          <w:color w:val="231F20"/>
          <w:spacing w:val="33"/>
        </w:rPr>
        <w:t xml:space="preserve"> </w:t>
      </w:r>
      <w:r w:rsidR="003115E3">
        <w:rPr>
          <w:color w:val="231F20"/>
        </w:rPr>
        <w:t>etc.</w:t>
      </w:r>
    </w:p>
    <w:p w14:paraId="2A3D9599" w14:textId="77777777" w:rsidR="002653E8" w:rsidRDefault="003115E3">
      <w:pPr>
        <w:pStyle w:val="a4"/>
        <w:numPr>
          <w:ilvl w:val="0"/>
          <w:numId w:val="79"/>
        </w:numPr>
        <w:tabs>
          <w:tab w:val="left" w:pos="1287"/>
        </w:tabs>
        <w:spacing w:before="53" w:line="254" w:lineRule="auto"/>
        <w:ind w:right="1423" w:firstLine="0"/>
        <w:jc w:val="left"/>
        <w:rPr>
          <w:sz w:val="16"/>
        </w:rPr>
      </w:pPr>
      <w:r>
        <w:rPr>
          <w:color w:val="231F20"/>
          <w:w w:val="105"/>
          <w:sz w:val="16"/>
        </w:rPr>
        <w:t>A founding member of the Black Panther Party, Seale was tied to a chair and gagged during the Chicago 8 trial, at which he and seven white codefendants (none of whom were tied or gagged in spite of disruptive behaviour) were charged in connection</w:t>
      </w:r>
      <w:r>
        <w:rPr>
          <w:color w:val="231F20"/>
          <w:spacing w:val="13"/>
          <w:w w:val="105"/>
          <w:sz w:val="16"/>
        </w:rPr>
        <w:t xml:space="preserve"> </w:t>
      </w:r>
      <w:r>
        <w:rPr>
          <w:color w:val="231F20"/>
          <w:w w:val="105"/>
          <w:sz w:val="16"/>
        </w:rPr>
        <w:t>with</w:t>
      </w:r>
      <w:r>
        <w:rPr>
          <w:color w:val="231F20"/>
          <w:spacing w:val="13"/>
          <w:w w:val="105"/>
          <w:sz w:val="16"/>
        </w:rPr>
        <w:t xml:space="preserve"> </w:t>
      </w:r>
      <w:r>
        <w:rPr>
          <w:color w:val="231F20"/>
          <w:w w:val="105"/>
          <w:sz w:val="16"/>
        </w:rPr>
        <w:t>violent</w:t>
      </w:r>
      <w:r>
        <w:rPr>
          <w:color w:val="231F20"/>
          <w:spacing w:val="13"/>
          <w:w w:val="105"/>
          <w:sz w:val="16"/>
        </w:rPr>
        <w:t xml:space="preserve"> </w:t>
      </w:r>
      <w:r>
        <w:rPr>
          <w:color w:val="231F20"/>
          <w:w w:val="105"/>
          <w:sz w:val="16"/>
        </w:rPr>
        <w:t>protests</w:t>
      </w:r>
      <w:r>
        <w:rPr>
          <w:color w:val="231F20"/>
          <w:spacing w:val="13"/>
          <w:w w:val="105"/>
          <w:sz w:val="16"/>
        </w:rPr>
        <w:t xml:space="preserve"> </w:t>
      </w:r>
      <w:r>
        <w:rPr>
          <w:color w:val="231F20"/>
          <w:w w:val="105"/>
          <w:sz w:val="16"/>
        </w:rPr>
        <w:t>during</w:t>
      </w:r>
      <w:r>
        <w:rPr>
          <w:color w:val="231F20"/>
          <w:spacing w:val="13"/>
          <w:w w:val="105"/>
          <w:sz w:val="16"/>
        </w:rPr>
        <w:t xml:space="preserve"> </w:t>
      </w:r>
      <w:r>
        <w:rPr>
          <w:color w:val="231F20"/>
          <w:w w:val="105"/>
          <w:sz w:val="16"/>
        </w:rPr>
        <w:t>the</w:t>
      </w:r>
      <w:r>
        <w:rPr>
          <w:color w:val="231F20"/>
          <w:spacing w:val="13"/>
          <w:w w:val="105"/>
          <w:sz w:val="16"/>
        </w:rPr>
        <w:t xml:space="preserve"> </w:t>
      </w:r>
      <w:r>
        <w:rPr>
          <w:color w:val="231F20"/>
          <w:w w:val="105"/>
          <w:sz w:val="16"/>
        </w:rPr>
        <w:t>Chicago</w:t>
      </w:r>
      <w:r>
        <w:rPr>
          <w:color w:val="231F20"/>
          <w:spacing w:val="15"/>
          <w:w w:val="105"/>
          <w:sz w:val="16"/>
        </w:rPr>
        <w:t xml:space="preserve"> </w:t>
      </w:r>
      <w:r>
        <w:rPr>
          <w:color w:val="231F20"/>
          <w:w w:val="105"/>
          <w:sz w:val="16"/>
        </w:rPr>
        <w:t>1968</w:t>
      </w:r>
      <w:r>
        <w:rPr>
          <w:color w:val="231F20"/>
          <w:spacing w:val="13"/>
          <w:w w:val="105"/>
          <w:sz w:val="16"/>
        </w:rPr>
        <w:t xml:space="preserve"> </w:t>
      </w:r>
      <w:r>
        <w:rPr>
          <w:color w:val="231F20"/>
          <w:w w:val="105"/>
          <w:sz w:val="16"/>
        </w:rPr>
        <w:t>Democratic</w:t>
      </w:r>
      <w:r>
        <w:rPr>
          <w:color w:val="231F20"/>
          <w:spacing w:val="13"/>
          <w:w w:val="105"/>
          <w:sz w:val="16"/>
        </w:rPr>
        <w:t xml:space="preserve"> </w:t>
      </w:r>
      <w:r>
        <w:rPr>
          <w:color w:val="231F20"/>
          <w:w w:val="105"/>
          <w:sz w:val="16"/>
        </w:rPr>
        <w:t>Convention.</w:t>
      </w:r>
    </w:p>
    <w:p w14:paraId="17A0D83D" w14:textId="77777777" w:rsidR="002653E8" w:rsidRDefault="003115E3">
      <w:pPr>
        <w:pStyle w:val="a4"/>
        <w:numPr>
          <w:ilvl w:val="0"/>
          <w:numId w:val="79"/>
        </w:numPr>
        <w:tabs>
          <w:tab w:val="left" w:pos="1287"/>
        </w:tabs>
        <w:ind w:left="1286"/>
        <w:jc w:val="left"/>
        <w:rPr>
          <w:sz w:val="16"/>
        </w:rPr>
      </w:pPr>
      <w:r>
        <w:rPr>
          <w:color w:val="231F20"/>
          <w:w w:val="110"/>
          <w:sz w:val="16"/>
        </w:rPr>
        <w:t xml:space="preserve">Literally, “Courts of Honor,” or </w:t>
      </w:r>
      <w:r>
        <w:rPr>
          <w:i/>
          <w:color w:val="231F20"/>
          <w:w w:val="110"/>
          <w:sz w:val="16"/>
        </w:rPr>
        <w:t xml:space="preserve">Ehrengericht </w:t>
      </w:r>
      <w:r>
        <w:rPr>
          <w:color w:val="231F20"/>
          <w:w w:val="110"/>
          <w:sz w:val="16"/>
        </w:rPr>
        <w:t>in</w:t>
      </w:r>
      <w:r>
        <w:rPr>
          <w:color w:val="231F20"/>
          <w:spacing w:val="8"/>
          <w:w w:val="110"/>
          <w:sz w:val="16"/>
        </w:rPr>
        <w:t xml:space="preserve"> </w:t>
      </w:r>
      <w:r>
        <w:rPr>
          <w:color w:val="231F20"/>
          <w:w w:val="110"/>
          <w:sz w:val="16"/>
        </w:rPr>
        <w:t>German.</w:t>
      </w:r>
    </w:p>
    <w:p w14:paraId="109464D8" w14:textId="77777777" w:rsidR="002653E8" w:rsidRDefault="002653E8">
      <w:pPr>
        <w:rPr>
          <w:sz w:val="16"/>
        </w:rPr>
        <w:sectPr w:rsidR="002653E8">
          <w:pgSz w:w="8640" w:h="12960"/>
          <w:pgMar w:top="1060" w:right="0" w:bottom="1040" w:left="0" w:header="0" w:footer="850" w:gutter="0"/>
          <w:cols w:space="720"/>
        </w:sectPr>
      </w:pPr>
    </w:p>
    <w:p w14:paraId="27ED6D4A" w14:textId="77777777" w:rsidR="002653E8" w:rsidRDefault="003115E3">
      <w:pPr>
        <w:pStyle w:val="a3"/>
        <w:spacing w:before="86" w:line="264" w:lineRule="auto"/>
        <w:ind w:left="1327" w:right="1147" w:firstLine="210"/>
        <w:jc w:val="both"/>
      </w:pPr>
      <w:r>
        <w:rPr>
          <w:color w:val="231F20"/>
        </w:rPr>
        <w:lastRenderedPageBreak/>
        <w:t>The law will also be applied to trials that are already underway—in effect retroactively.</w:t>
      </w:r>
    </w:p>
    <w:p w14:paraId="5A8679E9" w14:textId="77777777" w:rsidR="002653E8" w:rsidRDefault="003115E3">
      <w:pPr>
        <w:pStyle w:val="a3"/>
        <w:spacing w:line="264" w:lineRule="auto"/>
        <w:ind w:left="1327" w:right="1146" w:firstLine="210"/>
        <w:jc w:val="both"/>
      </w:pPr>
      <w:r>
        <w:rPr>
          <w:color w:val="231F20"/>
        </w:rPr>
        <w:t>It is the second wave of special legislation, all for a single trial. As the trial was underway, Ströbele and Croissant were arrested and all of the defense material on which they were working was seized, and this after the BAW had already confiscated all of the prisoners’ defense materials in three cell raids.</w:t>
      </w:r>
    </w:p>
    <w:p w14:paraId="73FFCB2A" w14:textId="77777777" w:rsidR="002653E8" w:rsidRDefault="003115E3">
      <w:pPr>
        <w:pStyle w:val="a3"/>
        <w:spacing w:line="264" w:lineRule="auto"/>
        <w:ind w:left="1327" w:right="1145" w:firstLine="210"/>
        <w:jc w:val="both"/>
      </w:pPr>
      <w:r>
        <w:rPr>
          <w:color w:val="231F20"/>
        </w:rPr>
        <w:t xml:space="preserve">A detail worth adding is that the office of Andreas Baader’s last remaining lawyer, Haag, who avoided arrest, was searched  by  Zeis,  one of the federal prosecutors from Stammheim. This means that the </w:t>
      </w:r>
      <w:r>
        <w:rPr>
          <w:color w:val="231F20"/>
          <w:spacing w:val="-3"/>
        </w:rPr>
        <w:t xml:space="preserve">BAW—by </w:t>
      </w:r>
      <w:r>
        <w:rPr>
          <w:color w:val="231F20"/>
        </w:rPr>
        <w:t xml:space="preserve">having the same federal prosecutor </w:t>
      </w:r>
      <w:r>
        <w:rPr>
          <w:color w:val="231F20"/>
          <w:spacing w:val="1"/>
        </w:rPr>
        <w:t xml:space="preserve">carry </w:t>
      </w:r>
      <w:r>
        <w:rPr>
          <w:color w:val="231F20"/>
        </w:rPr>
        <w:t>out both the persecution of the lawyers and the prosecution of the prisoners—does not even feel the need to hide why it is criminalizing the lawyers. That is the whole problem in the Federal Republic. Fascism is open, but there is no consciousness of it, and hardly any</w:t>
      </w:r>
      <w:r>
        <w:rPr>
          <w:color w:val="231F20"/>
          <w:spacing w:val="20"/>
        </w:rPr>
        <w:t xml:space="preserve"> </w:t>
      </w:r>
      <w:r>
        <w:rPr>
          <w:color w:val="231F20"/>
        </w:rPr>
        <w:t>resistance.</w:t>
      </w:r>
    </w:p>
    <w:p w14:paraId="3721FD33" w14:textId="77777777" w:rsidR="002653E8" w:rsidRDefault="002653E8">
      <w:pPr>
        <w:pStyle w:val="a3"/>
        <w:spacing w:before="6"/>
      </w:pPr>
    </w:p>
    <w:p w14:paraId="2DFB5995" w14:textId="77777777" w:rsidR="002653E8" w:rsidRDefault="003115E3">
      <w:pPr>
        <w:pStyle w:val="a3"/>
        <w:spacing w:line="264" w:lineRule="auto"/>
        <w:ind w:left="1328" w:right="1146"/>
        <w:jc w:val="both"/>
      </w:pPr>
      <w:r>
        <w:rPr>
          <w:color w:val="231F20"/>
        </w:rPr>
        <w:t xml:space="preserve">Q: </w:t>
      </w:r>
      <w:r>
        <w:rPr>
          <w:color w:val="231F20"/>
          <w:spacing w:val="1"/>
        </w:rPr>
        <w:t xml:space="preserve">In </w:t>
      </w:r>
      <w:r>
        <w:rPr>
          <w:color w:val="231F20"/>
        </w:rPr>
        <w:t>a petition for a stay of proceedings, one of the defense lawyers described the trial as a military-political conflict rather than  a  legal one. What measures did the ruling class use to ensure that this conflict would be carried out with unequal</w:t>
      </w:r>
      <w:r>
        <w:rPr>
          <w:color w:val="231F20"/>
          <w:spacing w:val="20"/>
        </w:rPr>
        <w:t xml:space="preserve"> </w:t>
      </w:r>
      <w:r>
        <w:rPr>
          <w:color w:val="231F20"/>
        </w:rPr>
        <w:t>weapons?</w:t>
      </w:r>
    </w:p>
    <w:p w14:paraId="1EA86A9E" w14:textId="77777777" w:rsidR="002653E8" w:rsidRDefault="002653E8">
      <w:pPr>
        <w:pStyle w:val="a3"/>
        <w:spacing w:before="6"/>
        <w:rPr>
          <w:sz w:val="21"/>
        </w:rPr>
      </w:pPr>
    </w:p>
    <w:p w14:paraId="3E0EFFCC" w14:textId="77777777" w:rsidR="002653E8" w:rsidRDefault="003115E3">
      <w:pPr>
        <w:pStyle w:val="a3"/>
        <w:spacing w:line="264" w:lineRule="auto"/>
        <w:ind w:left="1327" w:right="1146"/>
        <w:jc w:val="both"/>
      </w:pPr>
      <w:r>
        <w:rPr>
          <w:color w:val="231F20"/>
        </w:rPr>
        <w:t xml:space="preserve">A: Special legislation, a judge illegally pushed into the head position, a </w:t>
      </w:r>
      <w:r>
        <w:rPr>
          <w:color w:val="231F20"/>
          <w:spacing w:val="-6"/>
        </w:rPr>
        <w:t xml:space="preserve">16  </w:t>
      </w:r>
      <w:r>
        <w:rPr>
          <w:color w:val="231F20"/>
        </w:rPr>
        <w:t xml:space="preserve">million </w:t>
      </w:r>
      <w:r>
        <w:rPr>
          <w:color w:val="231F20"/>
          <w:spacing w:val="-4"/>
        </w:rPr>
        <w:t>dm</w:t>
      </w:r>
      <w:r>
        <w:rPr>
          <w:color w:val="231F20"/>
          <w:spacing w:val="-4"/>
          <w:position w:val="7"/>
          <w:sz w:val="11"/>
        </w:rPr>
        <w:t xml:space="preserve">3  </w:t>
      </w:r>
      <w:r>
        <w:rPr>
          <w:color w:val="231F20"/>
        </w:rPr>
        <w:t xml:space="preserve">bunker built just for this trial on the outskirts of town  far </w:t>
      </w:r>
      <w:r>
        <w:rPr>
          <w:color w:val="231F20"/>
          <w:spacing w:val="-3"/>
        </w:rPr>
        <w:t xml:space="preserve">away </w:t>
      </w:r>
      <w:r>
        <w:rPr>
          <w:color w:val="231F20"/>
        </w:rPr>
        <w:t>from any public transportation, the confiscation of 90</w:t>
      </w:r>
      <w:r>
        <w:rPr>
          <w:color w:val="231F20"/>
          <w:sz w:val="16"/>
        </w:rPr>
        <w:t xml:space="preserve">% </w:t>
      </w:r>
      <w:r>
        <w:rPr>
          <w:color w:val="231F20"/>
        </w:rPr>
        <w:t xml:space="preserve">of the files by the </w:t>
      </w:r>
      <w:r>
        <w:rPr>
          <w:color w:val="231F20"/>
          <w:spacing w:val="-6"/>
        </w:rPr>
        <w:t xml:space="preserve">BAW </w:t>
      </w:r>
      <w:r>
        <w:rPr>
          <w:color w:val="231F20"/>
        </w:rPr>
        <w:t xml:space="preserve">and the </w:t>
      </w:r>
      <w:r>
        <w:rPr>
          <w:color w:val="231F20"/>
          <w:spacing w:val="2"/>
        </w:rPr>
        <w:t xml:space="preserve">BKA, </w:t>
      </w:r>
      <w:r>
        <w:rPr>
          <w:color w:val="231F20"/>
        </w:rPr>
        <w:t>witnesses coached by the police and presenting testimony that has been structured for propaganda purposes, the persecution of lawyers, which of course handicaps the remaining lawyers at the</w:t>
      </w:r>
      <w:r>
        <w:rPr>
          <w:color w:val="231F20"/>
          <w:spacing w:val="31"/>
        </w:rPr>
        <w:t xml:space="preserve"> </w:t>
      </w:r>
      <w:r>
        <w:rPr>
          <w:color w:val="231F20"/>
        </w:rPr>
        <w:t>trial.</w:t>
      </w:r>
    </w:p>
    <w:p w14:paraId="60780B20" w14:textId="77777777" w:rsidR="002653E8" w:rsidRDefault="003115E3">
      <w:pPr>
        <w:pStyle w:val="a3"/>
        <w:spacing w:line="264" w:lineRule="auto"/>
        <w:ind w:left="1327" w:right="1146" w:firstLine="210"/>
        <w:jc w:val="both"/>
      </w:pPr>
      <w:r>
        <w:rPr>
          <w:color w:val="231F20"/>
        </w:rPr>
        <w:t>Lawyers depend on a minimum of constitutional consistency. If, as in these</w:t>
      </w:r>
      <w:r>
        <w:rPr>
          <w:color w:val="231F20"/>
          <w:spacing w:val="-10"/>
        </w:rPr>
        <w:t xml:space="preserve"> </w:t>
      </w:r>
      <w:r>
        <w:rPr>
          <w:color w:val="231F20"/>
        </w:rPr>
        <w:t>proceedings,</w:t>
      </w:r>
      <w:r>
        <w:rPr>
          <w:color w:val="231F20"/>
          <w:spacing w:val="-10"/>
        </w:rPr>
        <w:t xml:space="preserve"> </w:t>
      </w:r>
      <w:r>
        <w:rPr>
          <w:color w:val="231F20"/>
        </w:rPr>
        <w:t>it</w:t>
      </w:r>
      <w:r>
        <w:rPr>
          <w:color w:val="231F20"/>
          <w:spacing w:val="-10"/>
        </w:rPr>
        <w:t xml:space="preserve"> </w:t>
      </w:r>
      <w:r>
        <w:rPr>
          <w:color w:val="231F20"/>
        </w:rPr>
        <w:t>is</w:t>
      </w:r>
      <w:r>
        <w:rPr>
          <w:color w:val="231F20"/>
          <w:spacing w:val="-10"/>
        </w:rPr>
        <w:t xml:space="preserve"> </w:t>
      </w:r>
      <w:r>
        <w:rPr>
          <w:color w:val="231F20"/>
        </w:rPr>
        <w:t>totally</w:t>
      </w:r>
      <w:r>
        <w:rPr>
          <w:color w:val="231F20"/>
          <w:spacing w:val="-10"/>
        </w:rPr>
        <w:t xml:space="preserve"> </w:t>
      </w:r>
      <w:r>
        <w:rPr>
          <w:color w:val="231F20"/>
        </w:rPr>
        <w:t>absent</w:t>
      </w:r>
      <w:r>
        <w:rPr>
          <w:color w:val="231F20"/>
          <w:spacing w:val="-10"/>
        </w:rPr>
        <w:t xml:space="preserve"> </w:t>
      </w:r>
      <w:r>
        <w:rPr>
          <w:color w:val="231F20"/>
        </w:rPr>
        <w:t>due</w:t>
      </w:r>
      <w:r>
        <w:rPr>
          <w:color w:val="231F20"/>
          <w:spacing w:val="-10"/>
        </w:rPr>
        <w:t xml:space="preserve"> </w:t>
      </w:r>
      <w:r>
        <w:rPr>
          <w:color w:val="231F20"/>
        </w:rPr>
        <w:t>to</w:t>
      </w:r>
      <w:r>
        <w:rPr>
          <w:color w:val="231F20"/>
          <w:spacing w:val="-10"/>
        </w:rPr>
        <w:t xml:space="preserve"> </w:t>
      </w:r>
      <w:r>
        <w:rPr>
          <w:color w:val="231F20"/>
        </w:rPr>
        <w:t>blatant</w:t>
      </w:r>
      <w:r>
        <w:rPr>
          <w:color w:val="231F20"/>
          <w:spacing w:val="-10"/>
        </w:rPr>
        <w:t xml:space="preserve"> </w:t>
      </w:r>
      <w:r>
        <w:rPr>
          <w:color w:val="231F20"/>
        </w:rPr>
        <w:t>repressive</w:t>
      </w:r>
      <w:r>
        <w:rPr>
          <w:color w:val="231F20"/>
          <w:spacing w:val="-10"/>
        </w:rPr>
        <w:t xml:space="preserve"> </w:t>
      </w:r>
      <w:r>
        <w:rPr>
          <w:color w:val="231F20"/>
        </w:rPr>
        <w:t>measures, then the lawyers are helpless. Special legislation for these big trials has reduced the number of defense counsel for each prisoner to three, and the successive banning of lawyers and the ban on the collective defense of</w:t>
      </w:r>
      <w:r>
        <w:rPr>
          <w:color w:val="231F20"/>
          <w:spacing w:val="7"/>
        </w:rPr>
        <w:t xml:space="preserve"> </w:t>
      </w:r>
      <w:r>
        <w:rPr>
          <w:color w:val="231F20"/>
        </w:rPr>
        <w:t>the</w:t>
      </w:r>
      <w:r>
        <w:rPr>
          <w:color w:val="231F20"/>
          <w:spacing w:val="7"/>
        </w:rPr>
        <w:t xml:space="preserve"> </w:t>
      </w:r>
      <w:r>
        <w:rPr>
          <w:color w:val="231F20"/>
        </w:rPr>
        <w:t>accused</w:t>
      </w:r>
      <w:r>
        <w:rPr>
          <w:color w:val="231F20"/>
          <w:spacing w:val="7"/>
        </w:rPr>
        <w:t xml:space="preserve"> </w:t>
      </w:r>
      <w:r>
        <w:rPr>
          <w:color w:val="231F20"/>
        </w:rPr>
        <w:t>precludes</w:t>
      </w:r>
      <w:r>
        <w:rPr>
          <w:color w:val="231F20"/>
          <w:spacing w:val="7"/>
        </w:rPr>
        <w:t xml:space="preserve"> </w:t>
      </w:r>
      <w:r>
        <w:rPr>
          <w:color w:val="231F20"/>
        </w:rPr>
        <w:t>any</w:t>
      </w:r>
      <w:r>
        <w:rPr>
          <w:color w:val="231F20"/>
          <w:spacing w:val="7"/>
        </w:rPr>
        <w:t xml:space="preserve"> </w:t>
      </w:r>
      <w:r>
        <w:rPr>
          <w:color w:val="231F20"/>
        </w:rPr>
        <w:t>division</w:t>
      </w:r>
      <w:r>
        <w:rPr>
          <w:color w:val="231F20"/>
          <w:spacing w:val="7"/>
        </w:rPr>
        <w:t xml:space="preserve"> </w:t>
      </w:r>
      <w:r>
        <w:rPr>
          <w:color w:val="231F20"/>
        </w:rPr>
        <w:t>of</w:t>
      </w:r>
      <w:r>
        <w:rPr>
          <w:color w:val="231F20"/>
          <w:spacing w:val="7"/>
        </w:rPr>
        <w:t xml:space="preserve"> </w:t>
      </w:r>
      <w:r>
        <w:rPr>
          <w:color w:val="231F20"/>
        </w:rPr>
        <w:t>labor</w:t>
      </w:r>
      <w:r>
        <w:rPr>
          <w:color w:val="231F20"/>
          <w:spacing w:val="7"/>
        </w:rPr>
        <w:t xml:space="preserve"> </w:t>
      </w:r>
      <w:r>
        <w:rPr>
          <w:color w:val="231F20"/>
        </w:rPr>
        <w:t>between</w:t>
      </w:r>
      <w:r>
        <w:rPr>
          <w:color w:val="231F20"/>
          <w:spacing w:val="7"/>
        </w:rPr>
        <w:t xml:space="preserve"> </w:t>
      </w:r>
      <w:r>
        <w:rPr>
          <w:color w:val="231F20"/>
        </w:rPr>
        <w:t>the</w:t>
      </w:r>
      <w:r>
        <w:rPr>
          <w:color w:val="231F20"/>
          <w:spacing w:val="7"/>
        </w:rPr>
        <w:t xml:space="preserve"> </w:t>
      </w:r>
      <w:r>
        <w:rPr>
          <w:color w:val="231F20"/>
        </w:rPr>
        <w:t>lawyers.</w:t>
      </w:r>
    </w:p>
    <w:p w14:paraId="784FB88B" w14:textId="77777777" w:rsidR="002653E8" w:rsidRDefault="003115E3">
      <w:pPr>
        <w:pStyle w:val="a3"/>
        <w:spacing w:line="264" w:lineRule="auto"/>
        <w:ind w:left="1327" w:right="1145" w:firstLine="210"/>
        <w:jc w:val="both"/>
      </w:pPr>
      <w:r>
        <w:rPr>
          <w:color w:val="231F20"/>
        </w:rPr>
        <w:t>The</w:t>
      </w:r>
      <w:r>
        <w:rPr>
          <w:color w:val="231F20"/>
          <w:spacing w:val="-12"/>
        </w:rPr>
        <w:t xml:space="preserve"> </w:t>
      </w:r>
      <w:r>
        <w:rPr>
          <w:color w:val="231F20"/>
        </w:rPr>
        <w:t>despotic,</w:t>
      </w:r>
      <w:r>
        <w:rPr>
          <w:color w:val="231F20"/>
          <w:spacing w:val="-12"/>
        </w:rPr>
        <w:t xml:space="preserve"> </w:t>
      </w:r>
      <w:r>
        <w:rPr>
          <w:color w:val="231F20"/>
        </w:rPr>
        <w:t>secret</w:t>
      </w:r>
      <w:r>
        <w:rPr>
          <w:color w:val="231F20"/>
          <w:spacing w:val="-12"/>
        </w:rPr>
        <w:t xml:space="preserve"> </w:t>
      </w:r>
      <w:r>
        <w:rPr>
          <w:color w:val="231F20"/>
        </w:rPr>
        <w:t>administrative</w:t>
      </w:r>
      <w:r>
        <w:rPr>
          <w:color w:val="231F20"/>
          <w:spacing w:val="-12"/>
        </w:rPr>
        <w:t xml:space="preserve"> </w:t>
      </w:r>
      <w:r>
        <w:rPr>
          <w:color w:val="231F20"/>
        </w:rPr>
        <w:t>exclusions,</w:t>
      </w:r>
      <w:r>
        <w:rPr>
          <w:color w:val="231F20"/>
          <w:spacing w:val="-12"/>
        </w:rPr>
        <w:t xml:space="preserve"> </w:t>
      </w:r>
      <w:r>
        <w:rPr>
          <w:color w:val="231F20"/>
        </w:rPr>
        <w:t>which</w:t>
      </w:r>
      <w:r>
        <w:rPr>
          <w:color w:val="231F20"/>
          <w:spacing w:val="-12"/>
        </w:rPr>
        <w:t xml:space="preserve"> </w:t>
      </w:r>
      <w:r>
        <w:rPr>
          <w:color w:val="231F20"/>
        </w:rPr>
        <w:t>are</w:t>
      </w:r>
      <w:r>
        <w:rPr>
          <w:color w:val="231F20"/>
          <w:spacing w:val="-12"/>
        </w:rPr>
        <w:t xml:space="preserve"> </w:t>
      </w:r>
      <w:r>
        <w:rPr>
          <w:color w:val="231F20"/>
        </w:rPr>
        <w:t>effected</w:t>
      </w:r>
      <w:r>
        <w:rPr>
          <w:color w:val="231F20"/>
          <w:spacing w:val="-12"/>
        </w:rPr>
        <w:t xml:space="preserve"> </w:t>
      </w:r>
      <w:r>
        <w:rPr>
          <w:color w:val="231F20"/>
        </w:rPr>
        <w:t xml:space="preserve">with random, arbitrarily constructed accusations, including the </w:t>
      </w:r>
      <w:r>
        <w:rPr>
          <w:i/>
          <w:color w:val="231F20"/>
        </w:rPr>
        <w:t xml:space="preserve">Berufsverbot </w:t>
      </w:r>
      <w:r>
        <w:rPr>
          <w:color w:val="231F20"/>
        </w:rPr>
        <w:t xml:space="preserve">executed by the Bar Association—and one must say it—resemble the state security orgies of </w:t>
      </w:r>
      <w:r>
        <w:rPr>
          <w:color w:val="231F20"/>
          <w:spacing w:val="-7"/>
        </w:rPr>
        <w:t>1933.</w:t>
      </w:r>
      <w:r>
        <w:rPr>
          <w:color w:val="231F20"/>
          <w:spacing w:val="30"/>
        </w:rPr>
        <w:t xml:space="preserve"> </w:t>
      </w:r>
      <w:r>
        <w:rPr>
          <w:color w:val="231F20"/>
        </w:rPr>
        <w:t>The arrests; the terrorism against</w:t>
      </w:r>
      <w:r>
        <w:rPr>
          <w:color w:val="231F20"/>
          <w:spacing w:val="13"/>
        </w:rPr>
        <w:t xml:space="preserve"> </w:t>
      </w:r>
      <w:r>
        <w:rPr>
          <w:color w:val="231F20"/>
        </w:rPr>
        <w:t>the</w:t>
      </w:r>
    </w:p>
    <w:p w14:paraId="2567983F" w14:textId="77777777" w:rsidR="002653E8" w:rsidRDefault="00000000">
      <w:pPr>
        <w:pStyle w:val="a3"/>
        <w:rPr>
          <w:sz w:val="14"/>
        </w:rPr>
      </w:pPr>
      <w:r>
        <w:rPr>
          <w:noProof w:val="0"/>
        </w:rPr>
        <w:pict w14:anchorId="5F932B1B">
          <v:line id="_x0000_s2253" style="position:absolute;z-index:8920;mso-wrap-distance-left:0;mso-wrap-distance-right:0;mso-position-horizontal-relative:page" from="66.4pt,10.45pt" to="138.4pt,10.45pt" strokecolor="#231f20" strokeweight=".5pt">
            <w10:wrap type="topAndBottom" anchorx="page"/>
          </v:line>
        </w:pict>
      </w:r>
    </w:p>
    <w:p w14:paraId="12486428" w14:textId="77777777" w:rsidR="002653E8" w:rsidRDefault="003115E3">
      <w:pPr>
        <w:pStyle w:val="a4"/>
        <w:numPr>
          <w:ilvl w:val="0"/>
          <w:numId w:val="79"/>
        </w:numPr>
        <w:tabs>
          <w:tab w:val="left" w:pos="1467"/>
        </w:tabs>
        <w:spacing w:before="53"/>
        <w:ind w:left="1466"/>
        <w:jc w:val="left"/>
        <w:rPr>
          <w:sz w:val="16"/>
        </w:rPr>
      </w:pPr>
      <w:r>
        <w:rPr>
          <w:color w:val="231F20"/>
          <w:w w:val="105"/>
          <w:sz w:val="16"/>
        </w:rPr>
        <w:t>Roughly $6.25 million at the</w:t>
      </w:r>
      <w:r>
        <w:rPr>
          <w:color w:val="231F20"/>
          <w:spacing w:val="5"/>
          <w:w w:val="105"/>
          <w:sz w:val="16"/>
        </w:rPr>
        <w:t xml:space="preserve"> </w:t>
      </w:r>
      <w:r>
        <w:rPr>
          <w:color w:val="231F20"/>
          <w:w w:val="105"/>
          <w:sz w:val="16"/>
        </w:rPr>
        <w:t>time.</w:t>
      </w:r>
    </w:p>
    <w:p w14:paraId="7E372001" w14:textId="77777777" w:rsidR="002653E8" w:rsidRDefault="002653E8">
      <w:pPr>
        <w:rPr>
          <w:sz w:val="16"/>
        </w:rPr>
        <w:sectPr w:rsidR="002653E8">
          <w:pgSz w:w="8640" w:h="12960"/>
          <w:pgMar w:top="1060" w:right="0" w:bottom="1040" w:left="0" w:header="0" w:footer="850" w:gutter="0"/>
          <w:cols w:space="720"/>
        </w:sectPr>
      </w:pPr>
    </w:p>
    <w:p w14:paraId="23D3BF86" w14:textId="0E0BF8A4" w:rsidR="002653E8" w:rsidRDefault="003115E3">
      <w:pPr>
        <w:pStyle w:val="a3"/>
        <w:spacing w:before="86" w:line="264" w:lineRule="auto"/>
        <w:ind w:left="1147" w:right="1325"/>
        <w:jc w:val="both"/>
      </w:pPr>
      <w:r>
        <w:rPr>
          <w:color w:val="231F20"/>
        </w:rPr>
        <w:lastRenderedPageBreak/>
        <w:t xml:space="preserve">lawyers’ offices, with the confiscation of all of their files, including files from other proceedings, which a political lawyer depends on to make a living; the terrorism through open surveillance; the open intimidation  of former clients, who are sought out, questioned, and pressured by the </w:t>
      </w:r>
      <w:r>
        <w:rPr>
          <w:color w:val="231F20"/>
          <w:spacing w:val="2"/>
        </w:rPr>
        <w:t xml:space="preserve">BKA </w:t>
      </w:r>
      <w:r>
        <w:rPr>
          <w:color w:val="231F20"/>
        </w:rPr>
        <w:t xml:space="preserve">squads; the loss of mandates; the criminal charges; the convictions based on defense arguments presented in court, etc., etc.—all of this leaves the lawyers helpless. The lawyers were confronted with false documents fabricated by the </w:t>
      </w:r>
      <w:r>
        <w:rPr>
          <w:color w:val="231F20"/>
          <w:spacing w:val="-8"/>
        </w:rPr>
        <w:t xml:space="preserve">BAW, </w:t>
      </w:r>
      <w:r>
        <w:rPr>
          <w:color w:val="231F20"/>
        </w:rPr>
        <w:t xml:space="preserve">documents which were published with false quotes in the propaganda magazines of the Federal </w:t>
      </w:r>
      <w:r>
        <w:rPr>
          <w:color w:val="231F20"/>
          <w:spacing w:val="1"/>
        </w:rPr>
        <w:t xml:space="preserve">Ministry </w:t>
      </w:r>
      <w:r>
        <w:rPr>
          <w:color w:val="231F20"/>
        </w:rPr>
        <w:t>of the Interior, and which were distributed to schools, etc. in their millions;</w:t>
      </w:r>
      <w:r>
        <w:rPr>
          <w:color w:val="231F20"/>
          <w:spacing w:val="10"/>
        </w:rPr>
        <w:t xml:space="preserve"> </w:t>
      </w:r>
      <w:r>
        <w:rPr>
          <w:color w:val="231F20"/>
        </w:rPr>
        <w:t>they</w:t>
      </w:r>
      <w:r>
        <w:rPr>
          <w:color w:val="231F20"/>
          <w:spacing w:val="10"/>
        </w:rPr>
        <w:t xml:space="preserve"> </w:t>
      </w:r>
      <w:r>
        <w:rPr>
          <w:color w:val="231F20"/>
        </w:rPr>
        <w:t>are</w:t>
      </w:r>
      <w:r>
        <w:rPr>
          <w:color w:val="231F20"/>
          <w:spacing w:val="10"/>
        </w:rPr>
        <w:t xml:space="preserve"> </w:t>
      </w:r>
      <w:r>
        <w:rPr>
          <w:color w:val="231F20"/>
        </w:rPr>
        <w:t>encircled</w:t>
      </w:r>
      <w:r>
        <w:rPr>
          <w:color w:val="231F20"/>
          <w:spacing w:val="10"/>
        </w:rPr>
        <w:t xml:space="preserve"> </w:t>
      </w:r>
      <w:r>
        <w:rPr>
          <w:color w:val="231F20"/>
        </w:rPr>
        <w:t>by</w:t>
      </w:r>
      <w:r>
        <w:rPr>
          <w:color w:val="231F20"/>
          <w:spacing w:val="10"/>
        </w:rPr>
        <w:t xml:space="preserve"> </w:t>
      </w:r>
      <w:r>
        <w:rPr>
          <w:color w:val="231F20"/>
        </w:rPr>
        <w:t>the</w:t>
      </w:r>
      <w:r>
        <w:rPr>
          <w:color w:val="231F20"/>
          <w:spacing w:val="10"/>
        </w:rPr>
        <w:t xml:space="preserve"> </w:t>
      </w:r>
      <w:r>
        <w:rPr>
          <w:color w:val="231F20"/>
        </w:rPr>
        <w:t>police</w:t>
      </w:r>
      <w:r>
        <w:rPr>
          <w:color w:val="231F20"/>
          <w:spacing w:val="10"/>
        </w:rPr>
        <w:t xml:space="preserve"> </w:t>
      </w:r>
      <w:r>
        <w:rPr>
          <w:color w:val="231F20"/>
        </w:rPr>
        <w:t>and</w:t>
      </w:r>
      <w:r>
        <w:rPr>
          <w:color w:val="231F20"/>
          <w:spacing w:val="10"/>
        </w:rPr>
        <w:t xml:space="preserve"> </w:t>
      </w:r>
      <w:r>
        <w:rPr>
          <w:color w:val="231F20"/>
        </w:rPr>
        <w:t>by</w:t>
      </w:r>
      <w:r>
        <w:rPr>
          <w:color w:val="231F20"/>
          <w:spacing w:val="10"/>
        </w:rPr>
        <w:t xml:space="preserve"> </w:t>
      </w:r>
      <w:r>
        <w:rPr>
          <w:color w:val="231F20"/>
        </w:rPr>
        <w:t>propaganda.</w:t>
      </w:r>
    </w:p>
    <w:p w14:paraId="0D674695" w14:textId="77777777" w:rsidR="002653E8" w:rsidRDefault="003115E3">
      <w:pPr>
        <w:pStyle w:val="a3"/>
        <w:spacing w:line="264" w:lineRule="auto"/>
        <w:ind w:left="1148" w:right="1326" w:firstLine="210"/>
        <w:jc w:val="both"/>
      </w:pPr>
      <w:r>
        <w:rPr>
          <w:color w:val="231F20"/>
        </w:rPr>
        <w:t>The prisoners say that in the legal vacuum of these proceedings, the lawyers are like chickens with their heads cut off. They are no match for the pragmatism, military in its precision, which extends over the whole repressive legal structure, from the government to the lawless terror of state security—just as was the case in 1933.</w:t>
      </w:r>
    </w:p>
    <w:p w14:paraId="4E0B7FDF" w14:textId="77777777" w:rsidR="002653E8" w:rsidRDefault="003115E3">
      <w:pPr>
        <w:pStyle w:val="a3"/>
        <w:spacing w:line="264" w:lineRule="auto"/>
        <w:ind w:left="1148" w:right="1326" w:firstLine="210"/>
        <w:jc w:val="both"/>
      </w:pPr>
      <w:r>
        <w:rPr>
          <w:color w:val="231F20"/>
        </w:rPr>
        <w:t>Either one sides with the prisoners’ politics, the anti-imperialist struggle—because the persecution of the lawyers is also part of the struggle to eliminate these politics—or one succumbs to the repression. Some become opportunists, submitting themselves to the directives and threats that are present in each of these trials, where they function to prevent attempts to clarify the facts and organize solidarity. Others pull back, take flight, or fall silent, sometimes going so far as to no longer present the line that was developed by the defense team long ago.</w:t>
      </w:r>
    </w:p>
    <w:p w14:paraId="2A355B44" w14:textId="77777777" w:rsidR="002653E8" w:rsidRDefault="003115E3">
      <w:pPr>
        <w:pStyle w:val="a3"/>
        <w:spacing w:line="264" w:lineRule="auto"/>
        <w:ind w:left="1148" w:right="1325" w:firstLine="210"/>
        <w:jc w:val="both"/>
      </w:pPr>
      <w:r>
        <w:rPr>
          <w:color w:val="231F20"/>
          <w:spacing w:val="-3"/>
        </w:rPr>
        <w:t xml:space="preserve">Jan’s </w:t>
      </w:r>
      <w:r>
        <w:rPr>
          <w:color w:val="231F20"/>
        </w:rPr>
        <w:t>lawyer, in a state of psychological distress, resigned from his mandate in the current Stammheim trial at the very moment when the key defense motion was to be presented—the basis for resistance in human rights law and for the application of prison conditions as mandated for prisoners of war in the Geneva Convention.</w:t>
      </w:r>
      <w:r>
        <w:rPr>
          <w:color w:val="231F20"/>
          <w:position w:val="7"/>
          <w:sz w:val="11"/>
        </w:rPr>
        <w:t xml:space="preserve">1 </w:t>
      </w:r>
      <w:r>
        <w:rPr>
          <w:color w:val="231F20"/>
        </w:rPr>
        <w:t xml:space="preserve">He had worked  on it for three years. The evidentiary motion had as its theme the opposition to the Vietnam </w:t>
      </w:r>
      <w:r>
        <w:rPr>
          <w:color w:val="231F20"/>
          <w:spacing w:val="-3"/>
        </w:rPr>
        <w:t xml:space="preserve">War </w:t>
      </w:r>
      <w:r>
        <w:rPr>
          <w:color w:val="231F20"/>
        </w:rPr>
        <w:t>between 67 and 72 and the political conclusions</w:t>
      </w:r>
      <w:r>
        <w:rPr>
          <w:color w:val="231F20"/>
          <w:spacing w:val="10"/>
        </w:rPr>
        <w:t xml:space="preserve"> </w:t>
      </w:r>
      <w:r>
        <w:rPr>
          <w:color w:val="231F20"/>
        </w:rPr>
        <w:t>the</w:t>
      </w:r>
      <w:r>
        <w:rPr>
          <w:color w:val="231F20"/>
          <w:spacing w:val="10"/>
        </w:rPr>
        <w:t xml:space="preserve"> </w:t>
      </w:r>
      <w:r w:rsidR="00C507A5">
        <w:rPr>
          <w:color w:val="231F20"/>
          <w:spacing w:val="5"/>
        </w:rPr>
        <w:t>red army faction</w:t>
      </w:r>
      <w:r>
        <w:rPr>
          <w:color w:val="231F20"/>
          <w:spacing w:val="10"/>
        </w:rPr>
        <w:t xml:space="preserve"> </w:t>
      </w:r>
      <w:r>
        <w:rPr>
          <w:color w:val="231F20"/>
        </w:rPr>
        <w:t>had</w:t>
      </w:r>
      <w:r>
        <w:rPr>
          <w:color w:val="231F20"/>
          <w:spacing w:val="10"/>
        </w:rPr>
        <w:t xml:space="preserve"> </w:t>
      </w:r>
      <w:r>
        <w:rPr>
          <w:color w:val="231F20"/>
        </w:rPr>
        <w:t>arrived</w:t>
      </w:r>
      <w:r>
        <w:rPr>
          <w:color w:val="231F20"/>
          <w:spacing w:val="10"/>
        </w:rPr>
        <w:t xml:space="preserve"> </w:t>
      </w:r>
      <w:r>
        <w:rPr>
          <w:color w:val="231F20"/>
        </w:rPr>
        <w:t>at</w:t>
      </w:r>
      <w:r>
        <w:rPr>
          <w:color w:val="231F20"/>
          <w:spacing w:val="10"/>
        </w:rPr>
        <w:t xml:space="preserve"> </w:t>
      </w:r>
      <w:r>
        <w:rPr>
          <w:color w:val="231F20"/>
        </w:rPr>
        <w:t>as</w:t>
      </w:r>
      <w:r>
        <w:rPr>
          <w:color w:val="231F20"/>
          <w:spacing w:val="10"/>
        </w:rPr>
        <w:t xml:space="preserve"> </w:t>
      </w:r>
      <w:r>
        <w:rPr>
          <w:color w:val="231F20"/>
        </w:rPr>
        <w:t>a</w:t>
      </w:r>
      <w:r>
        <w:rPr>
          <w:color w:val="231F20"/>
          <w:spacing w:val="10"/>
        </w:rPr>
        <w:t xml:space="preserve"> </w:t>
      </w:r>
      <w:r>
        <w:rPr>
          <w:color w:val="231F20"/>
        </w:rPr>
        <w:t>result.</w:t>
      </w:r>
    </w:p>
    <w:p w14:paraId="5BFAFD98" w14:textId="77777777" w:rsidR="002653E8" w:rsidRDefault="003115E3">
      <w:pPr>
        <w:pStyle w:val="a3"/>
        <w:spacing w:line="264" w:lineRule="auto"/>
        <w:ind w:left="1147" w:right="1326" w:firstLine="210"/>
        <w:jc w:val="both"/>
      </w:pPr>
      <w:r>
        <w:rPr>
          <w:color w:val="231F20"/>
        </w:rPr>
        <w:t xml:space="preserve">This means that the threat of the Disciplinary Committee, that is to </w:t>
      </w:r>
      <w:r>
        <w:rPr>
          <w:color w:val="231F20"/>
          <w:spacing w:val="-4"/>
        </w:rPr>
        <w:t xml:space="preserve">say, </w:t>
      </w:r>
      <w:r>
        <w:rPr>
          <w:color w:val="231F20"/>
        </w:rPr>
        <w:t xml:space="preserve">the threat of the </w:t>
      </w:r>
      <w:r>
        <w:rPr>
          <w:i/>
          <w:color w:val="231F20"/>
        </w:rPr>
        <w:t>Berufsverbot</w:t>
      </w:r>
      <w:r>
        <w:rPr>
          <w:color w:val="231F20"/>
        </w:rPr>
        <w:t xml:space="preserve">, has caused these lawyers to abandon their professional principles and duties, it has prevented them from struggling to assure the minimum level of human rights for their clients, all in order to </w:t>
      </w:r>
      <w:r>
        <w:rPr>
          <w:color w:val="231F20"/>
          <w:spacing w:val="-3"/>
        </w:rPr>
        <w:t xml:space="preserve">avoid </w:t>
      </w:r>
      <w:r>
        <w:rPr>
          <w:color w:val="231F20"/>
        </w:rPr>
        <w:t>risking their own position within the legal profession.</w:t>
      </w:r>
      <w:r>
        <w:rPr>
          <w:color w:val="231F20"/>
          <w:spacing w:val="25"/>
        </w:rPr>
        <w:t xml:space="preserve"> </w:t>
      </w:r>
      <w:r>
        <w:rPr>
          <w:color w:val="231F20"/>
        </w:rPr>
        <w:t>The</w:t>
      </w:r>
      <w:r>
        <w:rPr>
          <w:color w:val="231F20"/>
          <w:spacing w:val="25"/>
        </w:rPr>
        <w:t xml:space="preserve"> </w:t>
      </w:r>
      <w:r>
        <w:rPr>
          <w:color w:val="231F20"/>
        </w:rPr>
        <w:t>heightened</w:t>
      </w:r>
      <w:r>
        <w:rPr>
          <w:color w:val="231F20"/>
          <w:spacing w:val="25"/>
        </w:rPr>
        <w:t xml:space="preserve"> </w:t>
      </w:r>
      <w:r>
        <w:rPr>
          <w:color w:val="231F20"/>
        </w:rPr>
        <w:t>repression</w:t>
      </w:r>
      <w:r>
        <w:rPr>
          <w:color w:val="231F20"/>
          <w:spacing w:val="25"/>
        </w:rPr>
        <w:t xml:space="preserve"> </w:t>
      </w:r>
      <w:r>
        <w:rPr>
          <w:color w:val="231F20"/>
        </w:rPr>
        <w:t>has</w:t>
      </w:r>
      <w:r>
        <w:rPr>
          <w:color w:val="231F20"/>
          <w:spacing w:val="25"/>
        </w:rPr>
        <w:t xml:space="preserve"> </w:t>
      </w:r>
      <w:r>
        <w:rPr>
          <w:color w:val="231F20"/>
        </w:rPr>
        <w:t>brought</w:t>
      </w:r>
      <w:r>
        <w:rPr>
          <w:color w:val="231F20"/>
          <w:spacing w:val="25"/>
        </w:rPr>
        <w:t xml:space="preserve"> </w:t>
      </w:r>
      <w:r>
        <w:rPr>
          <w:color w:val="231F20"/>
        </w:rPr>
        <w:t>them</w:t>
      </w:r>
      <w:r>
        <w:rPr>
          <w:color w:val="231F20"/>
          <w:spacing w:val="25"/>
        </w:rPr>
        <w:t xml:space="preserve"> </w:t>
      </w:r>
      <w:r>
        <w:rPr>
          <w:color w:val="231F20"/>
        </w:rPr>
        <w:t>back</w:t>
      </w:r>
      <w:r>
        <w:rPr>
          <w:color w:val="231F20"/>
          <w:spacing w:val="25"/>
        </w:rPr>
        <w:t xml:space="preserve"> </w:t>
      </w:r>
      <w:r>
        <w:rPr>
          <w:color w:val="231F20"/>
        </w:rPr>
        <w:t>in</w:t>
      </w:r>
      <w:r>
        <w:rPr>
          <w:color w:val="231F20"/>
          <w:spacing w:val="25"/>
        </w:rPr>
        <w:t xml:space="preserve"> </w:t>
      </w:r>
      <w:r>
        <w:rPr>
          <w:color w:val="231F20"/>
        </w:rPr>
        <w:t>line;</w:t>
      </w:r>
    </w:p>
    <w:p w14:paraId="46DF8B68" w14:textId="77777777" w:rsidR="002653E8" w:rsidRDefault="00000000">
      <w:pPr>
        <w:pStyle w:val="a3"/>
        <w:spacing w:before="1"/>
        <w:rPr>
          <w:sz w:val="12"/>
        </w:rPr>
      </w:pPr>
      <w:r>
        <w:rPr>
          <w:noProof w:val="0"/>
        </w:rPr>
        <w:pict w14:anchorId="2BE9A64B">
          <v:line id="_x0000_s2252" style="position:absolute;z-index:8944;mso-wrap-distance-left:0;mso-wrap-distance-right:0;mso-position-horizontal-relative:page" from="57.4pt,9.3pt" to="129.4pt,9.3pt" strokecolor="#231f20" strokeweight=".5pt">
            <w10:wrap type="topAndBottom" anchorx="page"/>
          </v:line>
        </w:pict>
      </w:r>
    </w:p>
    <w:p w14:paraId="08F3F0CC" w14:textId="77777777" w:rsidR="002653E8" w:rsidRDefault="003115E3">
      <w:pPr>
        <w:spacing w:before="53"/>
        <w:ind w:left="1147"/>
        <w:rPr>
          <w:sz w:val="16"/>
        </w:rPr>
      </w:pPr>
      <w:r>
        <w:rPr>
          <w:color w:val="231F20"/>
          <w:sz w:val="16"/>
        </w:rPr>
        <w:t>1 For more on this defense motion, see pages 455-56.</w:t>
      </w:r>
    </w:p>
    <w:p w14:paraId="116977B0" w14:textId="77777777" w:rsidR="002653E8" w:rsidRDefault="002653E8">
      <w:pPr>
        <w:rPr>
          <w:sz w:val="16"/>
        </w:rPr>
        <w:sectPr w:rsidR="002653E8">
          <w:footerReference w:type="even" r:id="rId351"/>
          <w:footerReference w:type="default" r:id="rId352"/>
          <w:pgSz w:w="8640" w:h="12960"/>
          <w:pgMar w:top="1060" w:right="0" w:bottom="1040" w:left="0" w:header="0" w:footer="850" w:gutter="0"/>
          <w:cols w:space="720"/>
        </w:sectPr>
      </w:pPr>
    </w:p>
    <w:p w14:paraId="1621498C" w14:textId="77777777" w:rsidR="002653E8" w:rsidRDefault="003115E3">
      <w:pPr>
        <w:pStyle w:val="a3"/>
        <w:spacing w:before="86" w:line="264" w:lineRule="auto"/>
        <w:ind w:left="1327" w:right="1147"/>
        <w:jc w:val="both"/>
      </w:pPr>
      <w:r>
        <w:rPr>
          <w:color w:val="231F20"/>
        </w:rPr>
        <w:lastRenderedPageBreak/>
        <w:t>they accept the dismantling of the defendants’ rights. It’s grotesque. As political lawyers, they are, therefore, completely corrupt.</w:t>
      </w:r>
    </w:p>
    <w:p w14:paraId="160F3297" w14:textId="77777777" w:rsidR="002653E8" w:rsidRDefault="003115E3">
      <w:pPr>
        <w:pStyle w:val="a3"/>
        <w:spacing w:line="264" w:lineRule="auto"/>
        <w:ind w:left="1327" w:right="1146" w:firstLine="210"/>
        <w:jc w:val="both"/>
      </w:pPr>
      <w:r>
        <w:rPr>
          <w:color w:val="231F20"/>
        </w:rPr>
        <w:t xml:space="preserve">Besides the barriers with which the </w:t>
      </w:r>
      <w:r>
        <w:rPr>
          <w:color w:val="231F20"/>
          <w:spacing w:val="-6"/>
        </w:rPr>
        <w:t xml:space="preserve">BAW </w:t>
      </w:r>
      <w:r>
        <w:rPr>
          <w:color w:val="231F20"/>
        </w:rPr>
        <w:t xml:space="preserve">has institutionally—through parliament, the courts, the board of  the  Bar  Association,  the  </w:t>
      </w:r>
      <w:r>
        <w:rPr>
          <w:color w:val="231F20"/>
          <w:spacing w:val="-4"/>
        </w:rPr>
        <w:t xml:space="preserve">LAWs,  </w:t>
      </w:r>
      <w:r>
        <w:rPr>
          <w:color w:val="231F20"/>
        </w:rPr>
        <w:t>the law schools, etc.—made it difficult to accept a mandate in these proceedings, it has become almost impossible to find lawyers who are prepared</w:t>
      </w:r>
      <w:r>
        <w:rPr>
          <w:color w:val="231F20"/>
          <w:spacing w:val="10"/>
        </w:rPr>
        <w:t xml:space="preserve"> </w:t>
      </w:r>
      <w:r>
        <w:rPr>
          <w:color w:val="231F20"/>
        </w:rPr>
        <w:t>to</w:t>
      </w:r>
      <w:r>
        <w:rPr>
          <w:color w:val="231F20"/>
          <w:spacing w:val="10"/>
        </w:rPr>
        <w:t xml:space="preserve"> </w:t>
      </w:r>
      <w:r>
        <w:rPr>
          <w:color w:val="231F20"/>
        </w:rPr>
        <w:t>come</w:t>
      </w:r>
      <w:r>
        <w:rPr>
          <w:color w:val="231F20"/>
          <w:spacing w:val="10"/>
        </w:rPr>
        <w:t xml:space="preserve"> </w:t>
      </w:r>
      <w:r>
        <w:rPr>
          <w:color w:val="231F20"/>
        </w:rPr>
        <w:t>to</w:t>
      </w:r>
      <w:r>
        <w:rPr>
          <w:color w:val="231F20"/>
          <w:spacing w:val="10"/>
        </w:rPr>
        <w:t xml:space="preserve"> </w:t>
      </w:r>
      <w:r>
        <w:rPr>
          <w:color w:val="231F20"/>
        </w:rPr>
        <w:t>Stammheim.</w:t>
      </w:r>
      <w:r>
        <w:rPr>
          <w:color w:val="231F20"/>
          <w:spacing w:val="10"/>
        </w:rPr>
        <w:t xml:space="preserve"> </w:t>
      </w:r>
      <w:r>
        <w:rPr>
          <w:color w:val="231F20"/>
        </w:rPr>
        <w:t>Fear</w:t>
      </w:r>
      <w:r>
        <w:rPr>
          <w:color w:val="231F20"/>
          <w:spacing w:val="10"/>
        </w:rPr>
        <w:t xml:space="preserve"> </w:t>
      </w:r>
      <w:r>
        <w:rPr>
          <w:color w:val="231F20"/>
        </w:rPr>
        <w:t>reigns.</w:t>
      </w:r>
    </w:p>
    <w:p w14:paraId="60147D35" w14:textId="77777777" w:rsidR="002653E8" w:rsidRDefault="003115E3">
      <w:pPr>
        <w:pStyle w:val="a3"/>
        <w:spacing w:line="264" w:lineRule="auto"/>
        <w:ind w:left="1327" w:right="1145" w:firstLine="210"/>
        <w:jc w:val="both"/>
      </w:pPr>
      <w:r>
        <w:rPr>
          <w:color w:val="231F20"/>
        </w:rPr>
        <w:t>The confiscation of 90</w:t>
      </w:r>
      <w:r>
        <w:rPr>
          <w:color w:val="231F20"/>
          <w:sz w:val="16"/>
        </w:rPr>
        <w:t xml:space="preserve">% </w:t>
      </w:r>
      <w:r>
        <w:rPr>
          <w:color w:val="231F20"/>
        </w:rPr>
        <w:t xml:space="preserve">of the files—over 1,000 file folders—is part of this mix of terror and fear. The suppression of the evidentiary files was necessary in order to be able to actually charge the prisoners. It is part of determining the outcome. Besides, the selective use of files is necessary for the </w:t>
      </w:r>
      <w:r>
        <w:rPr>
          <w:color w:val="231F20"/>
          <w:spacing w:val="-5"/>
        </w:rPr>
        <w:t xml:space="preserve">BAW’s </w:t>
      </w:r>
      <w:r>
        <w:rPr>
          <w:color w:val="231F20"/>
        </w:rPr>
        <w:t xml:space="preserve">ringleader construct. But, above all, the publication of the files would shed light on the manhunt that occurred between </w:t>
      </w:r>
      <w:r>
        <w:rPr>
          <w:color w:val="231F20"/>
          <w:spacing w:val="-4"/>
        </w:rPr>
        <w:t xml:space="preserve">1970 </w:t>
      </w:r>
      <w:r>
        <w:rPr>
          <w:color w:val="231F20"/>
        </w:rPr>
        <w:t xml:space="preserve">and </w:t>
      </w:r>
      <w:r>
        <w:rPr>
          <w:color w:val="231F20"/>
          <w:spacing w:val="-3"/>
        </w:rPr>
        <w:t xml:space="preserve">1972,  </w:t>
      </w:r>
      <w:r>
        <w:rPr>
          <w:color w:val="231F20"/>
        </w:rPr>
        <w:t>the extent of the police investigation, and the  size of the police apparatus, of which one is aware—the government continually</w:t>
      </w:r>
      <w:r>
        <w:rPr>
          <w:color w:val="231F20"/>
          <w:spacing w:val="11"/>
        </w:rPr>
        <w:t xml:space="preserve"> </w:t>
      </w:r>
      <w:r>
        <w:rPr>
          <w:color w:val="231F20"/>
        </w:rPr>
        <w:t>crows</w:t>
      </w:r>
      <w:r>
        <w:rPr>
          <w:color w:val="231F20"/>
          <w:spacing w:val="11"/>
        </w:rPr>
        <w:t xml:space="preserve"> </w:t>
      </w:r>
      <w:r>
        <w:rPr>
          <w:color w:val="231F20"/>
        </w:rPr>
        <w:t>about</w:t>
      </w:r>
      <w:r>
        <w:rPr>
          <w:color w:val="231F20"/>
          <w:spacing w:val="11"/>
        </w:rPr>
        <w:t xml:space="preserve"> </w:t>
      </w:r>
      <w:r>
        <w:rPr>
          <w:color w:val="231F20"/>
        </w:rPr>
        <w:t>it—but</w:t>
      </w:r>
      <w:r>
        <w:rPr>
          <w:color w:val="231F20"/>
          <w:spacing w:val="11"/>
        </w:rPr>
        <w:t xml:space="preserve"> </w:t>
      </w:r>
      <w:r>
        <w:rPr>
          <w:color w:val="231F20"/>
        </w:rPr>
        <w:t>which</w:t>
      </w:r>
      <w:r>
        <w:rPr>
          <w:color w:val="231F20"/>
          <w:spacing w:val="11"/>
        </w:rPr>
        <w:t xml:space="preserve"> </w:t>
      </w:r>
      <w:r>
        <w:rPr>
          <w:color w:val="231F20"/>
        </w:rPr>
        <w:t>one</w:t>
      </w:r>
      <w:r>
        <w:rPr>
          <w:color w:val="231F20"/>
          <w:spacing w:val="11"/>
        </w:rPr>
        <w:t xml:space="preserve"> </w:t>
      </w:r>
      <w:r>
        <w:rPr>
          <w:color w:val="231F20"/>
        </w:rPr>
        <w:t>cannot</w:t>
      </w:r>
      <w:r>
        <w:rPr>
          <w:color w:val="231F20"/>
          <w:spacing w:val="11"/>
        </w:rPr>
        <w:t xml:space="preserve"> </w:t>
      </w:r>
      <w:r>
        <w:rPr>
          <w:color w:val="231F20"/>
        </w:rPr>
        <w:t>visualize.</w:t>
      </w:r>
    </w:p>
    <w:p w14:paraId="0D14367E" w14:textId="5445BCF5" w:rsidR="002653E8" w:rsidRDefault="003115E3">
      <w:pPr>
        <w:pStyle w:val="a3"/>
        <w:spacing w:line="264" w:lineRule="auto"/>
        <w:ind w:left="1327" w:right="1145" w:firstLine="210"/>
        <w:jc w:val="both"/>
      </w:pPr>
      <w:r>
        <w:rPr>
          <w:color w:val="231F20"/>
        </w:rPr>
        <w:t xml:space="preserve">“One thinks </w:t>
      </w:r>
      <w:r>
        <w:rPr>
          <w:color w:val="231F20"/>
          <w:spacing w:val="-3"/>
        </w:rPr>
        <w:t xml:space="preserve">away </w:t>
      </w:r>
      <w:r>
        <w:rPr>
          <w:color w:val="231F20"/>
        </w:rPr>
        <w:t xml:space="preserve">from </w:t>
      </w:r>
      <w:r>
        <w:rPr>
          <w:color w:val="231F20"/>
          <w:spacing w:val="-3"/>
        </w:rPr>
        <w:t xml:space="preserve">it,” </w:t>
      </w:r>
      <w:r>
        <w:rPr>
          <w:color w:val="231F20"/>
        </w:rPr>
        <w:t>filmmaker Kluge</w:t>
      </w:r>
      <w:r>
        <w:rPr>
          <w:color w:val="231F20"/>
          <w:position w:val="7"/>
          <w:sz w:val="11"/>
        </w:rPr>
        <w:t xml:space="preserve">2  </w:t>
      </w:r>
      <w:r>
        <w:rPr>
          <w:color w:val="231F20"/>
        </w:rPr>
        <w:t xml:space="preserve">recently  said,  and rightly so. The Bonn Security Group, with the </w:t>
      </w:r>
      <w:r>
        <w:rPr>
          <w:i/>
          <w:color w:val="231F20"/>
        </w:rPr>
        <w:t>Verfassungsschutz</w:t>
      </w:r>
      <w:r>
        <w:rPr>
          <w:color w:val="231F20"/>
        </w:rPr>
        <w:t xml:space="preserve">, the BND, the </w:t>
      </w:r>
      <w:r>
        <w:rPr>
          <w:color w:val="231F20"/>
          <w:spacing w:val="1"/>
        </w:rPr>
        <w:t xml:space="preserve">Military </w:t>
      </w:r>
      <w:r>
        <w:rPr>
          <w:color w:val="231F20"/>
        </w:rPr>
        <w:t xml:space="preserve">Counter-Intelligence Service, and the </w:t>
      </w:r>
      <w:r>
        <w:rPr>
          <w:color w:val="231F20"/>
          <w:spacing w:val="3"/>
        </w:rPr>
        <w:t xml:space="preserve">CIA, </w:t>
      </w:r>
      <w:r>
        <w:rPr>
          <w:color w:val="231F20"/>
        </w:rPr>
        <w:t xml:space="preserve">investigated the entire </w:t>
      </w:r>
      <w:r>
        <w:rPr>
          <w:color w:val="231F20"/>
          <w:spacing w:val="-3"/>
        </w:rPr>
        <w:t xml:space="preserve">West </w:t>
      </w:r>
      <w:r>
        <w:rPr>
          <w:color w:val="231F20"/>
        </w:rPr>
        <w:t xml:space="preserve">German left, which, as a result, is now fully identified and within the grasp of state security. They have monitored telephones all the </w:t>
      </w:r>
      <w:r>
        <w:rPr>
          <w:color w:val="231F20"/>
          <w:spacing w:val="-2"/>
        </w:rPr>
        <w:t xml:space="preserve">way </w:t>
      </w:r>
      <w:r>
        <w:rPr>
          <w:color w:val="231F20"/>
        </w:rPr>
        <w:t>to the top of the ministerial bureaucracy,</w:t>
      </w:r>
      <w:r>
        <w:rPr>
          <w:color w:val="231F20"/>
          <w:position w:val="7"/>
          <w:sz w:val="11"/>
        </w:rPr>
        <w:t xml:space="preserve">3 </w:t>
      </w:r>
      <w:r>
        <w:rPr>
          <w:color w:val="231F20"/>
        </w:rPr>
        <w:t xml:space="preserve">spied on people, and sown suspicion. </w:t>
      </w:r>
      <w:r>
        <w:rPr>
          <w:color w:val="231F20"/>
          <w:spacing w:val="-3"/>
        </w:rPr>
        <w:t xml:space="preserve">Trade </w:t>
      </w:r>
      <w:r>
        <w:rPr>
          <w:color w:val="231F20"/>
        </w:rPr>
        <w:t xml:space="preserve">unions, </w:t>
      </w:r>
      <w:r>
        <w:rPr>
          <w:color w:val="231F20"/>
          <w:spacing w:val="1"/>
        </w:rPr>
        <w:t xml:space="preserve">party </w:t>
      </w:r>
      <w:r>
        <w:rPr>
          <w:color w:val="231F20"/>
        </w:rPr>
        <w:t xml:space="preserve">youth sections, writers, journalists, and ministers were spied on. </w:t>
      </w:r>
      <w:r>
        <w:rPr>
          <w:color w:val="231F20"/>
          <w:spacing w:val="-3"/>
        </w:rPr>
        <w:t xml:space="preserve">Were </w:t>
      </w:r>
      <w:r>
        <w:rPr>
          <w:color w:val="231F20"/>
        </w:rPr>
        <w:t xml:space="preserve">the files to become public, people would see how much control the police have over society and the state, the degree of mistrust and insecurity, the massive lack of legitimacy. Seeing this, they would see how fragile the consensus is within the state, this state that lacks national identity and legitimacy, this state inflamed by its chauvinism and its dependency on the </w:t>
      </w:r>
      <w:r>
        <w:rPr>
          <w:color w:val="231F20"/>
          <w:spacing w:val="2"/>
        </w:rPr>
        <w:t xml:space="preserve">U.S.A.   </w:t>
      </w:r>
      <w:r>
        <w:rPr>
          <w:color w:val="231F20"/>
        </w:rPr>
        <w:t>It would be public incitement to</w:t>
      </w:r>
      <w:r>
        <w:rPr>
          <w:color w:val="231F20"/>
          <w:spacing w:val="17"/>
        </w:rPr>
        <w:t xml:space="preserve"> </w:t>
      </w:r>
      <w:r>
        <w:rPr>
          <w:color w:val="231F20"/>
        </w:rPr>
        <w:t>resistance.</w:t>
      </w:r>
    </w:p>
    <w:p w14:paraId="5B7B4A40" w14:textId="77777777" w:rsidR="002653E8" w:rsidRDefault="002653E8">
      <w:pPr>
        <w:pStyle w:val="a3"/>
        <w:spacing w:before="2"/>
        <w:rPr>
          <w:sz w:val="19"/>
        </w:rPr>
      </w:pPr>
    </w:p>
    <w:p w14:paraId="23DC6839" w14:textId="77777777" w:rsidR="002653E8" w:rsidRDefault="003115E3">
      <w:pPr>
        <w:pStyle w:val="a3"/>
        <w:spacing w:line="264" w:lineRule="auto"/>
        <w:ind w:left="1327" w:right="1146"/>
        <w:jc w:val="both"/>
      </w:pPr>
      <w:r>
        <w:rPr>
          <w:color w:val="231F20"/>
        </w:rPr>
        <w:t xml:space="preserve">Q: The mass media in the FRG more or less ignores the trial. Before the trial began, there were a series of press campaigns against the </w:t>
      </w:r>
      <w:r w:rsidR="00C507A5">
        <w:rPr>
          <w:color w:val="231F20"/>
        </w:rPr>
        <w:t>red army faction</w:t>
      </w:r>
      <w:r>
        <w:rPr>
          <w:color w:val="231F20"/>
        </w:rPr>
        <w:t>, the defense attorneys, and sympathizers. Is this the result of psychological warfare?</w:t>
      </w:r>
    </w:p>
    <w:p w14:paraId="5997068E" w14:textId="77777777" w:rsidR="002653E8" w:rsidRDefault="00000000">
      <w:pPr>
        <w:pStyle w:val="a3"/>
        <w:spacing w:before="6"/>
        <w:rPr>
          <w:sz w:val="9"/>
        </w:rPr>
      </w:pPr>
      <w:r>
        <w:rPr>
          <w:noProof w:val="0"/>
        </w:rPr>
        <w:pict w14:anchorId="3D9D4BE9">
          <v:line id="_x0000_s2251" style="position:absolute;z-index:8968;mso-wrap-distance-left:0;mso-wrap-distance-right:0;mso-position-horizontal-relative:page" from="66.4pt,7.8pt" to="138.4pt,7.8pt" strokecolor="#231f20" strokeweight=".5pt">
            <w10:wrap type="topAndBottom" anchorx="page"/>
          </v:line>
        </w:pict>
      </w:r>
    </w:p>
    <w:p w14:paraId="11E36A1A" w14:textId="77777777" w:rsidR="002653E8" w:rsidRDefault="003115E3">
      <w:pPr>
        <w:pStyle w:val="a4"/>
        <w:numPr>
          <w:ilvl w:val="0"/>
          <w:numId w:val="9"/>
        </w:numPr>
        <w:tabs>
          <w:tab w:val="left" w:pos="1467"/>
        </w:tabs>
        <w:spacing w:before="53" w:line="254" w:lineRule="auto"/>
        <w:ind w:right="1455" w:firstLine="0"/>
        <w:rPr>
          <w:sz w:val="16"/>
        </w:rPr>
      </w:pPr>
      <w:r>
        <w:rPr>
          <w:color w:val="231F20"/>
          <w:w w:val="105"/>
          <w:sz w:val="16"/>
        </w:rPr>
        <w:t xml:space="preserve">Alexander Kluge of </w:t>
      </w:r>
      <w:r>
        <w:rPr>
          <w:i/>
          <w:color w:val="231F20"/>
          <w:spacing w:val="1"/>
          <w:w w:val="105"/>
          <w:sz w:val="16"/>
        </w:rPr>
        <w:t xml:space="preserve">Gruppe </w:t>
      </w:r>
      <w:r>
        <w:rPr>
          <w:i/>
          <w:color w:val="231F20"/>
          <w:w w:val="105"/>
          <w:sz w:val="16"/>
        </w:rPr>
        <w:t xml:space="preserve">47 </w:t>
      </w:r>
      <w:r>
        <w:rPr>
          <w:color w:val="231F20"/>
          <w:w w:val="105"/>
          <w:sz w:val="16"/>
        </w:rPr>
        <w:t>was a lawyer, filmmaker, television producer, screenplay writer, and author, best known for pioneering the New German Film style of the sixties and</w:t>
      </w:r>
      <w:r>
        <w:rPr>
          <w:color w:val="231F20"/>
          <w:spacing w:val="1"/>
          <w:w w:val="105"/>
          <w:sz w:val="16"/>
        </w:rPr>
        <w:t xml:space="preserve"> </w:t>
      </w:r>
      <w:r>
        <w:rPr>
          <w:color w:val="231F20"/>
          <w:w w:val="105"/>
          <w:sz w:val="16"/>
        </w:rPr>
        <w:t>seventies.</w:t>
      </w:r>
    </w:p>
    <w:p w14:paraId="5C6A2C3A" w14:textId="77777777" w:rsidR="002653E8" w:rsidRDefault="003115E3">
      <w:pPr>
        <w:pStyle w:val="a4"/>
        <w:numPr>
          <w:ilvl w:val="0"/>
          <w:numId w:val="9"/>
        </w:numPr>
        <w:tabs>
          <w:tab w:val="left" w:pos="1467"/>
        </w:tabs>
        <w:spacing w:line="254" w:lineRule="auto"/>
        <w:ind w:right="1198" w:firstLine="0"/>
        <w:rPr>
          <w:sz w:val="16"/>
        </w:rPr>
      </w:pPr>
      <w:r>
        <w:rPr>
          <w:color w:val="231F20"/>
          <w:w w:val="105"/>
          <w:sz w:val="16"/>
        </w:rPr>
        <w:t>Earlier in 1976, Klaus Traube, one the highest placed men in the nuclear industry, had</w:t>
      </w:r>
      <w:r>
        <w:rPr>
          <w:color w:val="231F20"/>
          <w:spacing w:val="10"/>
          <w:w w:val="105"/>
          <w:sz w:val="16"/>
        </w:rPr>
        <w:t xml:space="preserve"> </w:t>
      </w:r>
      <w:r>
        <w:rPr>
          <w:color w:val="231F20"/>
          <w:w w:val="105"/>
          <w:sz w:val="16"/>
        </w:rPr>
        <w:t>had</w:t>
      </w:r>
      <w:r>
        <w:rPr>
          <w:color w:val="231F20"/>
          <w:spacing w:val="10"/>
          <w:w w:val="105"/>
          <w:sz w:val="16"/>
        </w:rPr>
        <w:t xml:space="preserve"> </w:t>
      </w:r>
      <w:r>
        <w:rPr>
          <w:color w:val="231F20"/>
          <w:w w:val="105"/>
          <w:sz w:val="16"/>
        </w:rPr>
        <w:t>his</w:t>
      </w:r>
      <w:r>
        <w:rPr>
          <w:color w:val="231F20"/>
          <w:spacing w:val="10"/>
          <w:w w:val="105"/>
          <w:sz w:val="16"/>
        </w:rPr>
        <w:t xml:space="preserve"> </w:t>
      </w:r>
      <w:r>
        <w:rPr>
          <w:color w:val="231F20"/>
          <w:w w:val="105"/>
          <w:sz w:val="16"/>
        </w:rPr>
        <w:t>home</w:t>
      </w:r>
      <w:r>
        <w:rPr>
          <w:color w:val="231F20"/>
          <w:spacing w:val="10"/>
          <w:w w:val="105"/>
          <w:sz w:val="16"/>
        </w:rPr>
        <w:t xml:space="preserve"> </w:t>
      </w:r>
      <w:r>
        <w:rPr>
          <w:color w:val="231F20"/>
          <w:w w:val="105"/>
          <w:sz w:val="16"/>
        </w:rPr>
        <w:t>and</w:t>
      </w:r>
      <w:r>
        <w:rPr>
          <w:color w:val="231F20"/>
          <w:spacing w:val="10"/>
          <w:w w:val="105"/>
          <w:sz w:val="16"/>
        </w:rPr>
        <w:t xml:space="preserve"> </w:t>
      </w:r>
      <w:r>
        <w:rPr>
          <w:color w:val="231F20"/>
          <w:w w:val="105"/>
          <w:sz w:val="16"/>
        </w:rPr>
        <w:t>office</w:t>
      </w:r>
      <w:r>
        <w:rPr>
          <w:color w:val="231F20"/>
          <w:spacing w:val="10"/>
          <w:w w:val="105"/>
          <w:sz w:val="16"/>
        </w:rPr>
        <w:t xml:space="preserve"> </w:t>
      </w:r>
      <w:r>
        <w:rPr>
          <w:color w:val="231F20"/>
          <w:w w:val="105"/>
          <w:sz w:val="16"/>
        </w:rPr>
        <w:t>bugged</w:t>
      </w:r>
      <w:r>
        <w:rPr>
          <w:color w:val="231F20"/>
          <w:spacing w:val="10"/>
          <w:w w:val="105"/>
          <w:sz w:val="16"/>
        </w:rPr>
        <w:t xml:space="preserve"> </w:t>
      </w:r>
      <w:r>
        <w:rPr>
          <w:color w:val="231F20"/>
          <w:w w:val="105"/>
          <w:sz w:val="16"/>
        </w:rPr>
        <w:t>by</w:t>
      </w:r>
      <w:r>
        <w:rPr>
          <w:color w:val="231F20"/>
          <w:spacing w:val="10"/>
          <w:w w:val="105"/>
          <w:sz w:val="16"/>
        </w:rPr>
        <w:t xml:space="preserve"> </w:t>
      </w:r>
      <w:r>
        <w:rPr>
          <w:color w:val="231F20"/>
          <w:w w:val="105"/>
          <w:sz w:val="16"/>
        </w:rPr>
        <w:t>the</w:t>
      </w:r>
      <w:r>
        <w:rPr>
          <w:color w:val="231F20"/>
          <w:spacing w:val="10"/>
          <w:w w:val="105"/>
          <w:sz w:val="16"/>
        </w:rPr>
        <w:t xml:space="preserve"> </w:t>
      </w:r>
      <w:r>
        <w:rPr>
          <w:color w:val="231F20"/>
          <w:w w:val="105"/>
          <w:sz w:val="16"/>
        </w:rPr>
        <w:t>BND.</w:t>
      </w:r>
      <w:r>
        <w:rPr>
          <w:color w:val="231F20"/>
          <w:spacing w:val="10"/>
          <w:w w:val="105"/>
          <w:sz w:val="16"/>
        </w:rPr>
        <w:t xml:space="preserve"> </w:t>
      </w:r>
      <w:r>
        <w:rPr>
          <w:color w:val="231F20"/>
          <w:spacing w:val="1"/>
          <w:w w:val="105"/>
          <w:sz w:val="16"/>
        </w:rPr>
        <w:t>See</w:t>
      </w:r>
      <w:r>
        <w:rPr>
          <w:color w:val="231F20"/>
          <w:spacing w:val="10"/>
          <w:w w:val="105"/>
          <w:sz w:val="16"/>
        </w:rPr>
        <w:t xml:space="preserve"> </w:t>
      </w:r>
      <w:r>
        <w:rPr>
          <w:color w:val="231F20"/>
          <w:w w:val="105"/>
          <w:sz w:val="16"/>
        </w:rPr>
        <w:t>Aust,</w:t>
      </w:r>
      <w:r>
        <w:rPr>
          <w:color w:val="231F20"/>
          <w:spacing w:val="10"/>
          <w:w w:val="105"/>
          <w:sz w:val="16"/>
        </w:rPr>
        <w:t xml:space="preserve"> </w:t>
      </w:r>
      <w:r>
        <w:rPr>
          <w:color w:val="231F20"/>
          <w:spacing w:val="-3"/>
          <w:w w:val="105"/>
          <w:sz w:val="16"/>
        </w:rPr>
        <w:t>387-388.</w:t>
      </w:r>
    </w:p>
    <w:p w14:paraId="702FA388" w14:textId="77777777" w:rsidR="002653E8" w:rsidRDefault="002653E8">
      <w:pPr>
        <w:spacing w:line="254" w:lineRule="auto"/>
        <w:rPr>
          <w:sz w:val="16"/>
        </w:rPr>
        <w:sectPr w:rsidR="002653E8">
          <w:pgSz w:w="8640" w:h="12960"/>
          <w:pgMar w:top="1060" w:right="0" w:bottom="1040" w:left="0" w:header="0" w:footer="850" w:gutter="0"/>
          <w:cols w:space="720"/>
        </w:sectPr>
      </w:pPr>
    </w:p>
    <w:p w14:paraId="6EA178E9" w14:textId="77777777" w:rsidR="002653E8" w:rsidRDefault="003115E3">
      <w:pPr>
        <w:pStyle w:val="a3"/>
        <w:spacing w:before="86" w:line="264" w:lineRule="auto"/>
        <w:ind w:left="1147" w:right="1325"/>
        <w:jc w:val="both"/>
      </w:pPr>
      <w:r>
        <w:rPr>
          <w:color w:val="231F20"/>
        </w:rPr>
        <w:lastRenderedPageBreak/>
        <w:t xml:space="preserve">A: The total synchronization of the mass media is a prerequisite for this police trial. Buback prepared a judicial press conference for the </w:t>
      </w:r>
      <w:r>
        <w:rPr>
          <w:color w:val="231F20"/>
          <w:spacing w:val="-12"/>
        </w:rPr>
        <w:t xml:space="preserve">BAW    </w:t>
      </w:r>
      <w:r>
        <w:rPr>
          <w:color w:val="231F20"/>
          <w:spacing w:val="20"/>
        </w:rPr>
        <w:t xml:space="preserve"> </w:t>
      </w:r>
      <w:r>
        <w:rPr>
          <w:color w:val="231F20"/>
        </w:rPr>
        <w:t xml:space="preserve">in Karlsruhe; institutional press conferences are normally only held by the federal government and </w:t>
      </w:r>
      <w:r>
        <w:rPr>
          <w:i/>
          <w:color w:val="231F20"/>
          <w:spacing w:val="2"/>
        </w:rPr>
        <w:t xml:space="preserve">Länder </w:t>
      </w:r>
      <w:r>
        <w:rPr>
          <w:color w:val="231F20"/>
        </w:rPr>
        <w:t xml:space="preserve">bodies.  They  are  an  instrument for what is called “offensive information,” which is another expression of information policy making use of police tactics. At the same time, Buback also has a network of state security journalists at his disposal in the media, in the corporate editorial boards, and in the public institutions, who ensure that the trial is not simply ignored. The reports that appear are all similarly structured. Never a word of what the prisoners </w:t>
      </w:r>
      <w:r>
        <w:rPr>
          <w:color w:val="231F20"/>
          <w:spacing w:val="-5"/>
        </w:rPr>
        <w:t xml:space="preserve">say. </w:t>
      </w:r>
      <w:r>
        <w:rPr>
          <w:color w:val="231F20"/>
        </w:rPr>
        <w:t>The defense line is falsified, with the result that witnesses’ testimony</w:t>
      </w:r>
      <w:r>
        <w:rPr>
          <w:color w:val="231F20"/>
          <w:spacing w:val="10"/>
        </w:rPr>
        <w:t xml:space="preserve"> </w:t>
      </w:r>
      <w:r>
        <w:rPr>
          <w:color w:val="231F20"/>
        </w:rPr>
        <w:t>is</w:t>
      </w:r>
      <w:r>
        <w:rPr>
          <w:color w:val="231F20"/>
          <w:spacing w:val="10"/>
        </w:rPr>
        <w:t xml:space="preserve"> </w:t>
      </w:r>
      <w:r>
        <w:rPr>
          <w:color w:val="231F20"/>
        </w:rPr>
        <w:t>twisted</w:t>
      </w:r>
      <w:r>
        <w:rPr>
          <w:color w:val="231F20"/>
          <w:spacing w:val="10"/>
        </w:rPr>
        <w:t xml:space="preserve"> </w:t>
      </w:r>
      <w:r>
        <w:rPr>
          <w:color w:val="231F20"/>
        </w:rPr>
        <w:t>around</w:t>
      </w:r>
      <w:r>
        <w:rPr>
          <w:color w:val="231F20"/>
          <w:spacing w:val="10"/>
        </w:rPr>
        <w:t xml:space="preserve"> </w:t>
      </w:r>
      <w:r>
        <w:rPr>
          <w:color w:val="231F20"/>
        </w:rPr>
        <w:t>to</w:t>
      </w:r>
      <w:r>
        <w:rPr>
          <w:color w:val="231F20"/>
          <w:spacing w:val="10"/>
        </w:rPr>
        <w:t xml:space="preserve"> </w:t>
      </w:r>
      <w:r>
        <w:rPr>
          <w:color w:val="231F20"/>
        </w:rPr>
        <w:t>mean</w:t>
      </w:r>
      <w:r>
        <w:rPr>
          <w:color w:val="231F20"/>
          <w:spacing w:val="10"/>
        </w:rPr>
        <w:t xml:space="preserve"> </w:t>
      </w:r>
      <w:r>
        <w:rPr>
          <w:color w:val="231F20"/>
        </w:rPr>
        <w:t>the</w:t>
      </w:r>
      <w:r>
        <w:rPr>
          <w:color w:val="231F20"/>
          <w:spacing w:val="10"/>
        </w:rPr>
        <w:t xml:space="preserve"> </w:t>
      </w:r>
      <w:r>
        <w:rPr>
          <w:color w:val="231F20"/>
        </w:rPr>
        <w:t>opposite</w:t>
      </w:r>
      <w:r>
        <w:rPr>
          <w:color w:val="231F20"/>
          <w:spacing w:val="10"/>
        </w:rPr>
        <w:t xml:space="preserve"> </w:t>
      </w:r>
      <w:r>
        <w:rPr>
          <w:color w:val="231F20"/>
        </w:rPr>
        <w:t>of</w:t>
      </w:r>
      <w:r>
        <w:rPr>
          <w:color w:val="231F20"/>
          <w:spacing w:val="10"/>
        </w:rPr>
        <w:t xml:space="preserve"> </w:t>
      </w:r>
      <w:r>
        <w:rPr>
          <w:color w:val="231F20"/>
        </w:rPr>
        <w:t>what</w:t>
      </w:r>
      <w:r>
        <w:rPr>
          <w:color w:val="231F20"/>
          <w:spacing w:val="10"/>
        </w:rPr>
        <w:t xml:space="preserve"> </w:t>
      </w:r>
      <w:r>
        <w:rPr>
          <w:color w:val="231F20"/>
        </w:rPr>
        <w:t>was</w:t>
      </w:r>
      <w:r>
        <w:rPr>
          <w:color w:val="231F20"/>
          <w:spacing w:val="10"/>
        </w:rPr>
        <w:t xml:space="preserve"> </w:t>
      </w:r>
      <w:r>
        <w:rPr>
          <w:color w:val="231F20"/>
        </w:rPr>
        <w:t>said.</w:t>
      </w:r>
    </w:p>
    <w:p w14:paraId="43A8810C" w14:textId="77777777" w:rsidR="002653E8" w:rsidRDefault="003115E3">
      <w:pPr>
        <w:pStyle w:val="a3"/>
        <w:spacing w:line="221" w:lineRule="exact"/>
        <w:ind w:left="1358"/>
      </w:pPr>
      <w:r>
        <w:rPr>
          <w:color w:val="231F20"/>
        </w:rPr>
        <w:t>For example, the fact that the witness Hoff is completely discred-</w:t>
      </w:r>
    </w:p>
    <w:p w14:paraId="326B93AF" w14:textId="77777777" w:rsidR="002653E8" w:rsidRDefault="003115E3">
      <w:pPr>
        <w:pStyle w:val="a3"/>
        <w:spacing w:before="23" w:line="264" w:lineRule="auto"/>
        <w:ind w:left="1147" w:right="1325"/>
        <w:jc w:val="both"/>
      </w:pPr>
      <w:r>
        <w:rPr>
          <w:color w:val="231F20"/>
        </w:rPr>
        <w:t xml:space="preserve">ited doesn’t appear in the newspapers. Hoff’s appearance had been trumpeted by the </w:t>
      </w:r>
      <w:r>
        <w:rPr>
          <w:color w:val="231F20"/>
          <w:spacing w:val="-6"/>
        </w:rPr>
        <w:t xml:space="preserve">BAW </w:t>
      </w:r>
      <w:r>
        <w:rPr>
          <w:color w:val="231F20"/>
        </w:rPr>
        <w:t xml:space="preserve">in a press campaign that lasted months, his testimony was described as crucial to establishing the facts. What was published was that he, speaking for the government, denied the testimony of another witness who unmasked him. Hoff was  a  militant from the Frankfurt scene who was involved in the SDS at the time of   the student movement between 67 and 71, and who had worked for the Algerian liberation movement in the early 60s. </w:t>
      </w:r>
      <w:r>
        <w:rPr>
          <w:color w:val="231F20"/>
          <w:spacing w:val="1"/>
        </w:rPr>
        <w:t xml:space="preserve">In </w:t>
      </w:r>
      <w:r>
        <w:rPr>
          <w:color w:val="231F20"/>
        </w:rPr>
        <w:t xml:space="preserve">prison he was bribed with promises and turned. Now he stammers exactly what state security has trained him to </w:t>
      </w:r>
      <w:r>
        <w:rPr>
          <w:color w:val="231F20"/>
          <w:spacing w:val="-4"/>
        </w:rPr>
        <w:t xml:space="preserve">say, </w:t>
      </w:r>
      <w:r>
        <w:rPr>
          <w:color w:val="231F20"/>
        </w:rPr>
        <w:t xml:space="preserve">none of which confirms what the </w:t>
      </w:r>
      <w:r>
        <w:rPr>
          <w:color w:val="231F20"/>
          <w:spacing w:val="-6"/>
        </w:rPr>
        <w:t xml:space="preserve">BAW </w:t>
      </w:r>
      <w:r>
        <w:rPr>
          <w:color w:val="231F20"/>
        </w:rPr>
        <w:t>has been claiming through press headlines for the past six months. The joke was that he really couldn’t incriminate Andreas. But on that day when he admitted in Stammheim that he could not even identify Andreas, all the</w:t>
      </w:r>
      <w:r>
        <w:rPr>
          <w:color w:val="231F20"/>
          <w:spacing w:val="10"/>
        </w:rPr>
        <w:t xml:space="preserve"> </w:t>
      </w:r>
      <w:r>
        <w:rPr>
          <w:color w:val="231F20"/>
        </w:rPr>
        <w:t>German</w:t>
      </w:r>
      <w:r>
        <w:rPr>
          <w:color w:val="231F20"/>
          <w:spacing w:val="10"/>
        </w:rPr>
        <w:t xml:space="preserve"> </w:t>
      </w:r>
      <w:r>
        <w:rPr>
          <w:color w:val="231F20"/>
        </w:rPr>
        <w:t>press</w:t>
      </w:r>
      <w:r>
        <w:rPr>
          <w:color w:val="231F20"/>
          <w:spacing w:val="10"/>
        </w:rPr>
        <w:t xml:space="preserve"> </w:t>
      </w:r>
      <w:r>
        <w:rPr>
          <w:color w:val="231F20"/>
        </w:rPr>
        <w:t>printed</w:t>
      </w:r>
      <w:r>
        <w:rPr>
          <w:color w:val="231F20"/>
          <w:spacing w:val="10"/>
        </w:rPr>
        <w:t xml:space="preserve"> </w:t>
      </w:r>
      <w:r>
        <w:rPr>
          <w:color w:val="231F20"/>
        </w:rPr>
        <w:t>that</w:t>
      </w:r>
      <w:r>
        <w:rPr>
          <w:color w:val="231F20"/>
          <w:spacing w:val="10"/>
        </w:rPr>
        <w:t xml:space="preserve"> </w:t>
      </w:r>
      <w:r>
        <w:rPr>
          <w:color w:val="231F20"/>
        </w:rPr>
        <w:t>he</w:t>
      </w:r>
      <w:r>
        <w:rPr>
          <w:color w:val="231F20"/>
          <w:spacing w:val="10"/>
        </w:rPr>
        <w:t xml:space="preserve"> </w:t>
      </w:r>
      <w:r>
        <w:rPr>
          <w:color w:val="231F20"/>
        </w:rPr>
        <w:t>had</w:t>
      </w:r>
      <w:r>
        <w:rPr>
          <w:color w:val="231F20"/>
          <w:spacing w:val="10"/>
        </w:rPr>
        <w:t xml:space="preserve"> </w:t>
      </w:r>
      <w:r>
        <w:rPr>
          <w:color w:val="231F20"/>
        </w:rPr>
        <w:t>identified</w:t>
      </w:r>
      <w:r>
        <w:rPr>
          <w:color w:val="231F20"/>
          <w:spacing w:val="10"/>
        </w:rPr>
        <w:t xml:space="preserve"> </w:t>
      </w:r>
      <w:r>
        <w:rPr>
          <w:color w:val="231F20"/>
        </w:rPr>
        <w:t>him.</w:t>
      </w:r>
    </w:p>
    <w:p w14:paraId="640D70BF" w14:textId="77777777" w:rsidR="002653E8" w:rsidRDefault="003115E3">
      <w:pPr>
        <w:pStyle w:val="a3"/>
        <w:spacing w:line="220" w:lineRule="exact"/>
        <w:ind w:left="1358"/>
      </w:pPr>
      <w:r>
        <w:rPr>
          <w:color w:val="231F20"/>
        </w:rPr>
        <w:t>There  are  also  a  couple  of  dozen  other  examples  from significant</w:t>
      </w:r>
    </w:p>
    <w:p w14:paraId="72AB36DC" w14:textId="77777777" w:rsidR="002653E8" w:rsidRDefault="003115E3">
      <w:pPr>
        <w:pStyle w:val="a3"/>
        <w:spacing w:before="22" w:line="264" w:lineRule="auto"/>
        <w:ind w:left="1148" w:right="1326"/>
        <w:jc w:val="both"/>
      </w:pPr>
      <w:r>
        <w:rPr>
          <w:color w:val="231F20"/>
          <w:w w:val="105"/>
        </w:rPr>
        <w:t>points</w:t>
      </w:r>
      <w:r>
        <w:rPr>
          <w:color w:val="231F20"/>
          <w:spacing w:val="-12"/>
          <w:w w:val="105"/>
        </w:rPr>
        <w:t xml:space="preserve"> </w:t>
      </w:r>
      <w:r>
        <w:rPr>
          <w:color w:val="231F20"/>
          <w:w w:val="105"/>
        </w:rPr>
        <w:t>during</w:t>
      </w:r>
      <w:r>
        <w:rPr>
          <w:color w:val="231F20"/>
          <w:spacing w:val="-12"/>
          <w:w w:val="105"/>
        </w:rPr>
        <w:t xml:space="preserve"> </w:t>
      </w:r>
      <w:r>
        <w:rPr>
          <w:color w:val="231F20"/>
          <w:w w:val="105"/>
        </w:rPr>
        <w:t>the</w:t>
      </w:r>
      <w:r>
        <w:rPr>
          <w:color w:val="231F20"/>
          <w:spacing w:val="-12"/>
          <w:w w:val="105"/>
        </w:rPr>
        <w:t xml:space="preserve"> </w:t>
      </w:r>
      <w:r>
        <w:rPr>
          <w:color w:val="231F20"/>
          <w:w w:val="105"/>
        </w:rPr>
        <w:t>trials.</w:t>
      </w:r>
      <w:r>
        <w:rPr>
          <w:color w:val="231F20"/>
          <w:spacing w:val="-12"/>
          <w:w w:val="105"/>
        </w:rPr>
        <w:t xml:space="preserve"> </w:t>
      </w:r>
      <w:r>
        <w:rPr>
          <w:color w:val="231F20"/>
          <w:w w:val="105"/>
        </w:rPr>
        <w:t>For</w:t>
      </w:r>
      <w:r>
        <w:rPr>
          <w:color w:val="231F20"/>
          <w:spacing w:val="-12"/>
          <w:w w:val="105"/>
        </w:rPr>
        <w:t xml:space="preserve"> </w:t>
      </w:r>
      <w:r>
        <w:rPr>
          <w:color w:val="231F20"/>
          <w:w w:val="105"/>
        </w:rPr>
        <w:t>example,</w:t>
      </w:r>
      <w:r>
        <w:rPr>
          <w:color w:val="231F20"/>
          <w:spacing w:val="-12"/>
          <w:w w:val="105"/>
        </w:rPr>
        <w:t xml:space="preserve"> </w:t>
      </w:r>
      <w:r>
        <w:rPr>
          <w:color w:val="231F20"/>
          <w:w w:val="105"/>
        </w:rPr>
        <w:t>it</w:t>
      </w:r>
      <w:r>
        <w:rPr>
          <w:color w:val="231F20"/>
          <w:spacing w:val="-12"/>
          <w:w w:val="105"/>
        </w:rPr>
        <w:t xml:space="preserve"> </w:t>
      </w:r>
      <w:r>
        <w:rPr>
          <w:color w:val="231F20"/>
          <w:w w:val="105"/>
        </w:rPr>
        <w:t>was</w:t>
      </w:r>
      <w:r>
        <w:rPr>
          <w:color w:val="231F20"/>
          <w:spacing w:val="-12"/>
          <w:w w:val="105"/>
        </w:rPr>
        <w:t xml:space="preserve"> </w:t>
      </w:r>
      <w:r>
        <w:rPr>
          <w:color w:val="231F20"/>
          <w:w w:val="105"/>
        </w:rPr>
        <w:t>reported</w:t>
      </w:r>
      <w:r>
        <w:rPr>
          <w:color w:val="231F20"/>
          <w:spacing w:val="-12"/>
          <w:w w:val="105"/>
        </w:rPr>
        <w:t xml:space="preserve"> </w:t>
      </w:r>
      <w:r>
        <w:rPr>
          <w:color w:val="231F20"/>
          <w:w w:val="105"/>
        </w:rPr>
        <w:t>in</w:t>
      </w:r>
      <w:r>
        <w:rPr>
          <w:color w:val="231F20"/>
          <w:spacing w:val="-12"/>
          <w:w w:val="105"/>
        </w:rPr>
        <w:t xml:space="preserve"> </w:t>
      </w:r>
      <w:r>
        <w:rPr>
          <w:color w:val="231F20"/>
          <w:w w:val="105"/>
        </w:rPr>
        <w:t>the</w:t>
      </w:r>
      <w:r>
        <w:rPr>
          <w:color w:val="231F20"/>
          <w:spacing w:val="-12"/>
          <w:w w:val="105"/>
        </w:rPr>
        <w:t xml:space="preserve"> </w:t>
      </w:r>
      <w:r>
        <w:rPr>
          <w:color w:val="231F20"/>
          <w:w w:val="105"/>
        </w:rPr>
        <w:t>media</w:t>
      </w:r>
      <w:r>
        <w:rPr>
          <w:color w:val="231F20"/>
          <w:spacing w:val="-12"/>
          <w:w w:val="105"/>
        </w:rPr>
        <w:t xml:space="preserve"> </w:t>
      </w:r>
      <w:r>
        <w:rPr>
          <w:color w:val="231F20"/>
          <w:w w:val="105"/>
        </w:rPr>
        <w:t xml:space="preserve">that the prisoners had taken responsibility for the attack on the Springer Building. </w:t>
      </w:r>
      <w:r>
        <w:rPr>
          <w:color w:val="231F20"/>
          <w:spacing w:val="1"/>
          <w:w w:val="105"/>
        </w:rPr>
        <w:t xml:space="preserve">In </w:t>
      </w:r>
      <w:r>
        <w:rPr>
          <w:color w:val="231F20"/>
          <w:w w:val="105"/>
        </w:rPr>
        <w:t xml:space="preserve">fact, they had, in their explanation about the attacks against the </w:t>
      </w:r>
      <w:r>
        <w:rPr>
          <w:color w:val="231F20"/>
          <w:spacing w:val="1"/>
          <w:w w:val="105"/>
        </w:rPr>
        <w:t xml:space="preserve">U.S. </w:t>
      </w:r>
      <w:r>
        <w:rPr>
          <w:color w:val="231F20"/>
          <w:w w:val="105"/>
        </w:rPr>
        <w:t>Headquarters in Frankfurt and Heidelberg, expressly stated</w:t>
      </w:r>
      <w:r>
        <w:rPr>
          <w:color w:val="231F20"/>
          <w:spacing w:val="-10"/>
          <w:w w:val="105"/>
        </w:rPr>
        <w:t xml:space="preserve"> </w:t>
      </w:r>
      <w:r>
        <w:rPr>
          <w:color w:val="231F20"/>
          <w:w w:val="105"/>
        </w:rPr>
        <w:t>that</w:t>
      </w:r>
      <w:r>
        <w:rPr>
          <w:color w:val="231F20"/>
          <w:spacing w:val="-10"/>
          <w:w w:val="105"/>
        </w:rPr>
        <w:t xml:space="preserve"> </w:t>
      </w:r>
      <w:r>
        <w:rPr>
          <w:color w:val="231F20"/>
          <w:w w:val="105"/>
        </w:rPr>
        <w:t>they</w:t>
      </w:r>
      <w:r>
        <w:rPr>
          <w:color w:val="231F20"/>
          <w:spacing w:val="-10"/>
          <w:w w:val="105"/>
        </w:rPr>
        <w:t xml:space="preserve"> </w:t>
      </w:r>
      <w:r>
        <w:rPr>
          <w:color w:val="231F20"/>
          <w:w w:val="105"/>
        </w:rPr>
        <w:t>didn’t</w:t>
      </w:r>
      <w:r>
        <w:rPr>
          <w:color w:val="231F20"/>
          <w:spacing w:val="-10"/>
          <w:w w:val="105"/>
        </w:rPr>
        <w:t xml:space="preserve"> </w:t>
      </w:r>
      <w:r>
        <w:rPr>
          <w:color w:val="231F20"/>
          <w:w w:val="105"/>
        </w:rPr>
        <w:t>know</w:t>
      </w:r>
      <w:r>
        <w:rPr>
          <w:color w:val="231F20"/>
          <w:spacing w:val="-10"/>
          <w:w w:val="105"/>
        </w:rPr>
        <w:t xml:space="preserve"> </w:t>
      </w:r>
      <w:r>
        <w:rPr>
          <w:color w:val="231F20"/>
          <w:w w:val="105"/>
        </w:rPr>
        <w:t>about</w:t>
      </w:r>
      <w:r>
        <w:rPr>
          <w:color w:val="231F20"/>
          <w:spacing w:val="-10"/>
          <w:w w:val="105"/>
        </w:rPr>
        <w:t xml:space="preserve"> </w:t>
      </w:r>
      <w:r>
        <w:rPr>
          <w:color w:val="231F20"/>
          <w:w w:val="105"/>
        </w:rPr>
        <w:t>the</w:t>
      </w:r>
      <w:r>
        <w:rPr>
          <w:color w:val="231F20"/>
          <w:spacing w:val="-10"/>
          <w:w w:val="105"/>
        </w:rPr>
        <w:t xml:space="preserve"> </w:t>
      </w:r>
      <w:r>
        <w:rPr>
          <w:color w:val="231F20"/>
          <w:w w:val="105"/>
        </w:rPr>
        <w:t>attack</w:t>
      </w:r>
      <w:r>
        <w:rPr>
          <w:color w:val="231F20"/>
          <w:spacing w:val="-10"/>
          <w:w w:val="105"/>
        </w:rPr>
        <w:t xml:space="preserve"> </w:t>
      </w:r>
      <w:r>
        <w:rPr>
          <w:color w:val="231F20"/>
          <w:w w:val="105"/>
        </w:rPr>
        <w:t>on</w:t>
      </w:r>
      <w:r>
        <w:rPr>
          <w:color w:val="231F20"/>
          <w:spacing w:val="-10"/>
          <w:w w:val="105"/>
        </w:rPr>
        <w:t xml:space="preserve"> </w:t>
      </w:r>
      <w:r>
        <w:rPr>
          <w:color w:val="231F20"/>
          <w:w w:val="105"/>
        </w:rPr>
        <w:t>the</w:t>
      </w:r>
      <w:r>
        <w:rPr>
          <w:color w:val="231F20"/>
          <w:spacing w:val="-10"/>
          <w:w w:val="105"/>
        </w:rPr>
        <w:t xml:space="preserve"> </w:t>
      </w:r>
      <w:r>
        <w:rPr>
          <w:color w:val="231F20"/>
          <w:w w:val="105"/>
        </w:rPr>
        <w:t>Springer</w:t>
      </w:r>
      <w:r>
        <w:rPr>
          <w:color w:val="231F20"/>
          <w:spacing w:val="-10"/>
          <w:w w:val="105"/>
        </w:rPr>
        <w:t xml:space="preserve"> </w:t>
      </w:r>
      <w:r>
        <w:rPr>
          <w:color w:val="231F20"/>
          <w:w w:val="105"/>
        </w:rPr>
        <w:t>Building and</w:t>
      </w:r>
      <w:r>
        <w:rPr>
          <w:color w:val="231F20"/>
          <w:spacing w:val="-20"/>
          <w:w w:val="105"/>
        </w:rPr>
        <w:t xml:space="preserve"> </w:t>
      </w:r>
      <w:r>
        <w:rPr>
          <w:color w:val="231F20"/>
          <w:w w:val="105"/>
        </w:rPr>
        <w:t>did</w:t>
      </w:r>
      <w:r>
        <w:rPr>
          <w:color w:val="231F20"/>
          <w:spacing w:val="-20"/>
          <w:w w:val="105"/>
        </w:rPr>
        <w:t xml:space="preserve"> </w:t>
      </w:r>
      <w:r>
        <w:rPr>
          <w:color w:val="231F20"/>
          <w:w w:val="105"/>
        </w:rPr>
        <w:t>not</w:t>
      </w:r>
      <w:r>
        <w:rPr>
          <w:color w:val="231F20"/>
          <w:spacing w:val="-20"/>
          <w:w w:val="105"/>
        </w:rPr>
        <w:t xml:space="preserve"> </w:t>
      </w:r>
      <w:r>
        <w:rPr>
          <w:color w:val="231F20"/>
          <w:w w:val="105"/>
        </w:rPr>
        <w:t>approve</w:t>
      </w:r>
      <w:r>
        <w:rPr>
          <w:color w:val="231F20"/>
          <w:spacing w:val="-20"/>
          <w:w w:val="105"/>
        </w:rPr>
        <w:t xml:space="preserve"> </w:t>
      </w:r>
      <w:r>
        <w:rPr>
          <w:color w:val="231F20"/>
          <w:w w:val="105"/>
        </w:rPr>
        <w:t>of</w:t>
      </w:r>
      <w:r>
        <w:rPr>
          <w:color w:val="231F20"/>
          <w:spacing w:val="-20"/>
          <w:w w:val="105"/>
        </w:rPr>
        <w:t xml:space="preserve"> </w:t>
      </w:r>
      <w:r>
        <w:rPr>
          <w:color w:val="231F20"/>
          <w:w w:val="105"/>
        </w:rPr>
        <w:t>it</w:t>
      </w:r>
      <w:r>
        <w:rPr>
          <w:color w:val="231F20"/>
          <w:spacing w:val="-20"/>
          <w:w w:val="105"/>
        </w:rPr>
        <w:t xml:space="preserve"> </w:t>
      </w:r>
      <w:r>
        <w:rPr>
          <w:color w:val="231F20"/>
          <w:w w:val="105"/>
        </w:rPr>
        <w:t>conceptually.</w:t>
      </w:r>
      <w:r>
        <w:rPr>
          <w:color w:val="231F20"/>
          <w:w w:val="105"/>
          <w:position w:val="7"/>
          <w:sz w:val="11"/>
        </w:rPr>
        <w:t>1</w:t>
      </w:r>
      <w:r>
        <w:rPr>
          <w:color w:val="231F20"/>
          <w:spacing w:val="-11"/>
          <w:w w:val="105"/>
          <w:position w:val="7"/>
          <w:sz w:val="11"/>
        </w:rPr>
        <w:t xml:space="preserve"> </w:t>
      </w:r>
      <w:r>
        <w:rPr>
          <w:color w:val="231F20"/>
          <w:w w:val="105"/>
        </w:rPr>
        <w:t>But</w:t>
      </w:r>
      <w:r>
        <w:rPr>
          <w:color w:val="231F20"/>
          <w:spacing w:val="-20"/>
          <w:w w:val="105"/>
        </w:rPr>
        <w:t xml:space="preserve"> </w:t>
      </w:r>
      <w:r>
        <w:rPr>
          <w:color w:val="231F20"/>
          <w:w w:val="105"/>
        </w:rPr>
        <w:t>these</w:t>
      </w:r>
      <w:r>
        <w:rPr>
          <w:color w:val="231F20"/>
          <w:spacing w:val="-20"/>
          <w:w w:val="105"/>
        </w:rPr>
        <w:t xml:space="preserve"> </w:t>
      </w:r>
      <w:r>
        <w:rPr>
          <w:color w:val="231F20"/>
          <w:w w:val="105"/>
        </w:rPr>
        <w:t>are</w:t>
      </w:r>
      <w:r>
        <w:rPr>
          <w:color w:val="231F20"/>
          <w:spacing w:val="-20"/>
          <w:w w:val="105"/>
        </w:rPr>
        <w:t xml:space="preserve"> </w:t>
      </w:r>
      <w:r>
        <w:rPr>
          <w:color w:val="231F20"/>
          <w:w w:val="105"/>
        </w:rPr>
        <w:t>only</w:t>
      </w:r>
      <w:r>
        <w:rPr>
          <w:color w:val="231F20"/>
          <w:spacing w:val="-20"/>
          <w:w w:val="105"/>
        </w:rPr>
        <w:t xml:space="preserve"> </w:t>
      </w:r>
      <w:r>
        <w:rPr>
          <w:color w:val="231F20"/>
          <w:w w:val="105"/>
        </w:rPr>
        <w:t>details.</w:t>
      </w:r>
      <w:r>
        <w:rPr>
          <w:color w:val="231F20"/>
          <w:spacing w:val="-20"/>
          <w:w w:val="105"/>
        </w:rPr>
        <w:t xml:space="preserve"> </w:t>
      </w:r>
      <w:r>
        <w:rPr>
          <w:color w:val="231F20"/>
          <w:w w:val="105"/>
        </w:rPr>
        <w:t>What</w:t>
      </w:r>
    </w:p>
    <w:p w14:paraId="2D649035" w14:textId="77777777" w:rsidR="002653E8" w:rsidRDefault="00000000">
      <w:pPr>
        <w:pStyle w:val="a3"/>
        <w:spacing w:before="8"/>
        <w:rPr>
          <w:sz w:val="17"/>
        </w:rPr>
      </w:pPr>
      <w:r>
        <w:rPr>
          <w:noProof w:val="0"/>
        </w:rPr>
        <w:pict w14:anchorId="5675FA1E">
          <v:line id="_x0000_s2250" style="position:absolute;z-index:8992;mso-wrap-distance-left:0;mso-wrap-distance-right:0;mso-position-horizontal-relative:page" from="57.4pt,12.6pt" to="129.4pt,12.6pt" strokecolor="#231f20" strokeweight=".5pt">
            <w10:wrap type="topAndBottom" anchorx="page"/>
          </v:line>
        </w:pict>
      </w:r>
    </w:p>
    <w:p w14:paraId="05FD0584" w14:textId="77777777" w:rsidR="002653E8" w:rsidRDefault="003115E3">
      <w:pPr>
        <w:spacing w:before="53" w:line="254" w:lineRule="auto"/>
        <w:ind w:left="1147" w:right="1513"/>
        <w:rPr>
          <w:sz w:val="16"/>
        </w:rPr>
      </w:pPr>
      <w:r>
        <w:rPr>
          <w:color w:val="231F20"/>
          <w:w w:val="105"/>
          <w:sz w:val="16"/>
        </w:rPr>
        <w:t>1 The explanation referred to here is not the communiqué which accompanied the Springer action and which is reprinted in this volume, but rather a court statement Gudrun Ensslin presented during in the Stammheim trial. Those who believe Meinhof committed suicide often point to this court statement as a motivating factor, as they claim Meinhof had been involved in organizing the Springer action and that Ensslin was rebuking her. These claims were vehemently denied by the</w:t>
      </w:r>
    </w:p>
    <w:p w14:paraId="56C95EA3" w14:textId="77777777" w:rsidR="002653E8" w:rsidRDefault="002653E8">
      <w:pPr>
        <w:spacing w:line="254" w:lineRule="auto"/>
        <w:rPr>
          <w:sz w:val="16"/>
        </w:rPr>
        <w:sectPr w:rsidR="002653E8">
          <w:footerReference w:type="even" r:id="rId353"/>
          <w:footerReference w:type="default" r:id="rId354"/>
          <w:pgSz w:w="8640" w:h="12960"/>
          <w:pgMar w:top="1060" w:right="0" w:bottom="1040" w:left="0" w:header="0" w:footer="850" w:gutter="0"/>
          <w:pgNumType w:start="422"/>
          <w:cols w:space="720"/>
        </w:sectPr>
      </w:pPr>
    </w:p>
    <w:p w14:paraId="06406A36" w14:textId="77777777" w:rsidR="002653E8" w:rsidRDefault="003115E3">
      <w:pPr>
        <w:pStyle w:val="a3"/>
        <w:spacing w:before="86" w:line="264" w:lineRule="auto"/>
        <w:ind w:left="1327" w:right="1146"/>
        <w:jc w:val="both"/>
      </w:pPr>
      <w:r>
        <w:rPr>
          <w:color w:val="231F20"/>
        </w:rPr>
        <w:lastRenderedPageBreak/>
        <w:t>one had with Hoff was a programmed, brainwashed police recording, not a high point, but a pile of shit.</w:t>
      </w:r>
    </w:p>
    <w:p w14:paraId="703748AB" w14:textId="77777777" w:rsidR="002653E8" w:rsidRDefault="003115E3" w:rsidP="00BC7112">
      <w:pPr>
        <w:pStyle w:val="a3"/>
        <w:spacing w:line="264" w:lineRule="auto"/>
        <w:ind w:left="1327" w:right="1145" w:firstLine="210"/>
      </w:pPr>
      <w:r>
        <w:rPr>
          <w:color w:val="231F20"/>
          <w:w w:val="105"/>
        </w:rPr>
        <w:t>One must understand what happened. Hoff had</w:t>
      </w:r>
      <w:r>
        <w:rPr>
          <w:color w:val="231F20"/>
          <w:spacing w:val="41"/>
          <w:w w:val="105"/>
        </w:rPr>
        <w:t xml:space="preserve"> </w:t>
      </w:r>
      <w:r>
        <w:rPr>
          <w:color w:val="231F20"/>
          <w:w w:val="105"/>
        </w:rPr>
        <w:t>so</w:t>
      </w:r>
      <w:r>
        <w:rPr>
          <w:color w:val="231F20"/>
          <w:spacing w:val="5"/>
          <w:w w:val="105"/>
        </w:rPr>
        <w:t xml:space="preserve"> </w:t>
      </w:r>
      <w:r>
        <w:rPr>
          <w:color w:val="231F20"/>
          <w:w w:val="105"/>
        </w:rPr>
        <w:t>thoroughly</w:t>
      </w:r>
      <w:r>
        <w:rPr>
          <w:color w:val="231F20"/>
          <w:w w:val="99"/>
        </w:rPr>
        <w:t xml:space="preserve"> </w:t>
      </w:r>
      <w:r>
        <w:rPr>
          <w:color w:val="231F20"/>
          <w:w w:val="105"/>
        </w:rPr>
        <w:t>memorized</w:t>
      </w:r>
      <w:r>
        <w:rPr>
          <w:color w:val="231F20"/>
          <w:spacing w:val="-10"/>
          <w:w w:val="105"/>
        </w:rPr>
        <w:t xml:space="preserve"> </w:t>
      </w:r>
      <w:r>
        <w:rPr>
          <w:color w:val="231F20"/>
          <w:w w:val="105"/>
        </w:rPr>
        <w:t>the</w:t>
      </w:r>
      <w:r>
        <w:rPr>
          <w:color w:val="231F20"/>
          <w:spacing w:val="-10"/>
          <w:w w:val="105"/>
        </w:rPr>
        <w:t xml:space="preserve"> </w:t>
      </w:r>
      <w:r>
        <w:rPr>
          <w:color w:val="231F20"/>
          <w:w w:val="105"/>
        </w:rPr>
        <w:t>testimony</w:t>
      </w:r>
      <w:r>
        <w:rPr>
          <w:color w:val="231F20"/>
          <w:spacing w:val="-10"/>
          <w:w w:val="105"/>
        </w:rPr>
        <w:t xml:space="preserve"> </w:t>
      </w:r>
      <w:r>
        <w:rPr>
          <w:color w:val="231F20"/>
          <w:w w:val="105"/>
        </w:rPr>
        <w:t>that</w:t>
      </w:r>
      <w:r>
        <w:rPr>
          <w:color w:val="231F20"/>
          <w:spacing w:val="-10"/>
          <w:w w:val="105"/>
        </w:rPr>
        <w:t xml:space="preserve"> </w:t>
      </w:r>
      <w:r>
        <w:rPr>
          <w:color w:val="231F20"/>
          <w:w w:val="105"/>
        </w:rPr>
        <w:t>had</w:t>
      </w:r>
      <w:r>
        <w:rPr>
          <w:color w:val="231F20"/>
          <w:spacing w:val="-10"/>
          <w:w w:val="105"/>
        </w:rPr>
        <w:t xml:space="preserve"> </w:t>
      </w:r>
      <w:r>
        <w:rPr>
          <w:color w:val="231F20"/>
          <w:w w:val="105"/>
        </w:rPr>
        <w:t>been</w:t>
      </w:r>
      <w:r>
        <w:rPr>
          <w:color w:val="231F20"/>
          <w:spacing w:val="-10"/>
          <w:w w:val="105"/>
        </w:rPr>
        <w:t xml:space="preserve"> </w:t>
      </w:r>
      <w:r>
        <w:rPr>
          <w:color w:val="231F20"/>
          <w:w w:val="105"/>
        </w:rPr>
        <w:t>formulated</w:t>
      </w:r>
      <w:r>
        <w:rPr>
          <w:color w:val="231F20"/>
          <w:spacing w:val="-10"/>
          <w:w w:val="105"/>
        </w:rPr>
        <w:t xml:space="preserve"> </w:t>
      </w:r>
      <w:r>
        <w:rPr>
          <w:color w:val="231F20"/>
          <w:w w:val="105"/>
        </w:rPr>
        <w:t>by</w:t>
      </w:r>
      <w:r>
        <w:rPr>
          <w:color w:val="231F20"/>
          <w:spacing w:val="-10"/>
          <w:w w:val="105"/>
        </w:rPr>
        <w:t xml:space="preserve"> </w:t>
      </w:r>
      <w:r>
        <w:rPr>
          <w:color w:val="231F20"/>
          <w:w w:val="105"/>
        </w:rPr>
        <w:t>the</w:t>
      </w:r>
      <w:r>
        <w:rPr>
          <w:color w:val="231F20"/>
          <w:spacing w:val="-10"/>
          <w:w w:val="105"/>
        </w:rPr>
        <w:t xml:space="preserve"> </w:t>
      </w:r>
      <w:r>
        <w:rPr>
          <w:color w:val="231F20"/>
          <w:w w:val="105"/>
        </w:rPr>
        <w:t>investigating</w:t>
      </w:r>
      <w:r>
        <w:rPr>
          <w:color w:val="231F20"/>
          <w:spacing w:val="-11"/>
          <w:w w:val="105"/>
        </w:rPr>
        <w:t xml:space="preserve"> </w:t>
      </w:r>
      <w:r>
        <w:rPr>
          <w:color w:val="231F20"/>
          <w:w w:val="105"/>
        </w:rPr>
        <w:t>judge</w:t>
      </w:r>
      <w:r>
        <w:rPr>
          <w:color w:val="231F20"/>
          <w:spacing w:val="-11"/>
          <w:w w:val="105"/>
        </w:rPr>
        <w:t xml:space="preserve"> </w:t>
      </w:r>
      <w:r>
        <w:rPr>
          <w:color w:val="231F20"/>
          <w:w w:val="105"/>
        </w:rPr>
        <w:t>that</w:t>
      </w:r>
      <w:r>
        <w:rPr>
          <w:color w:val="231F20"/>
          <w:spacing w:val="-11"/>
          <w:w w:val="105"/>
        </w:rPr>
        <w:t xml:space="preserve"> </w:t>
      </w:r>
      <w:r>
        <w:rPr>
          <w:color w:val="231F20"/>
          <w:w w:val="105"/>
        </w:rPr>
        <w:t>every</w:t>
      </w:r>
      <w:r>
        <w:rPr>
          <w:color w:val="231F20"/>
          <w:spacing w:val="-11"/>
          <w:w w:val="105"/>
        </w:rPr>
        <w:t xml:space="preserve"> </w:t>
      </w:r>
      <w:r>
        <w:rPr>
          <w:color w:val="231F20"/>
          <w:w w:val="105"/>
        </w:rPr>
        <w:t>time</w:t>
      </w:r>
      <w:r>
        <w:rPr>
          <w:color w:val="231F20"/>
          <w:spacing w:val="-11"/>
          <w:w w:val="105"/>
        </w:rPr>
        <w:t xml:space="preserve"> </w:t>
      </w:r>
      <w:r>
        <w:rPr>
          <w:color w:val="231F20"/>
          <w:w w:val="105"/>
        </w:rPr>
        <w:t>the</w:t>
      </w:r>
      <w:r>
        <w:rPr>
          <w:color w:val="231F20"/>
          <w:spacing w:val="-11"/>
          <w:w w:val="105"/>
        </w:rPr>
        <w:t xml:space="preserve"> </w:t>
      </w:r>
      <w:r>
        <w:rPr>
          <w:color w:val="231F20"/>
          <w:w w:val="105"/>
        </w:rPr>
        <w:t>word</w:t>
      </w:r>
      <w:r>
        <w:rPr>
          <w:color w:val="231F20"/>
          <w:spacing w:val="-11"/>
          <w:w w:val="105"/>
        </w:rPr>
        <w:t xml:space="preserve"> </w:t>
      </w:r>
      <w:r>
        <w:rPr>
          <w:color w:val="231F20"/>
          <w:w w:val="105"/>
        </w:rPr>
        <w:t>“pause”</w:t>
      </w:r>
      <w:r>
        <w:rPr>
          <w:color w:val="231F20"/>
          <w:spacing w:val="-11"/>
          <w:w w:val="105"/>
        </w:rPr>
        <w:t xml:space="preserve"> </w:t>
      </w:r>
      <w:r>
        <w:rPr>
          <w:color w:val="231F20"/>
          <w:w w:val="105"/>
        </w:rPr>
        <w:t>appeared</w:t>
      </w:r>
      <w:r>
        <w:rPr>
          <w:color w:val="231F20"/>
          <w:spacing w:val="-11"/>
          <w:w w:val="105"/>
        </w:rPr>
        <w:t xml:space="preserve"> </w:t>
      </w:r>
      <w:r>
        <w:rPr>
          <w:color w:val="231F20"/>
          <w:w w:val="105"/>
        </w:rPr>
        <w:t>in</w:t>
      </w:r>
      <w:r>
        <w:rPr>
          <w:color w:val="231F20"/>
          <w:spacing w:val="-11"/>
          <w:w w:val="105"/>
        </w:rPr>
        <w:t xml:space="preserve"> </w:t>
      </w:r>
      <w:r>
        <w:rPr>
          <w:color w:val="231F20"/>
          <w:w w:val="105"/>
        </w:rPr>
        <w:t>the</w:t>
      </w:r>
      <w:r>
        <w:rPr>
          <w:color w:val="231F20"/>
          <w:spacing w:val="-11"/>
          <w:w w:val="105"/>
        </w:rPr>
        <w:t xml:space="preserve"> </w:t>
      </w:r>
      <w:r>
        <w:rPr>
          <w:color w:val="231F20"/>
          <w:w w:val="105"/>
        </w:rPr>
        <w:t>transcript,</w:t>
      </w:r>
      <w:r>
        <w:rPr>
          <w:color w:val="231F20"/>
          <w:w w:val="135"/>
        </w:rPr>
        <w:t xml:space="preserve"> </w:t>
      </w:r>
      <w:r>
        <w:rPr>
          <w:color w:val="231F20"/>
          <w:w w:val="105"/>
        </w:rPr>
        <w:t>because his dinner came or whatever, he came to a standstill.</w:t>
      </w:r>
      <w:r>
        <w:rPr>
          <w:color w:val="231F20"/>
          <w:spacing w:val="33"/>
          <w:w w:val="105"/>
        </w:rPr>
        <w:t xml:space="preserve"> </w:t>
      </w:r>
      <w:r>
        <w:rPr>
          <w:color w:val="231F20"/>
          <w:w w:val="105"/>
        </w:rPr>
        <w:t>On</w:t>
      </w:r>
      <w:r>
        <w:rPr>
          <w:color w:val="231F20"/>
          <w:spacing w:val="2"/>
          <w:w w:val="105"/>
        </w:rPr>
        <w:t xml:space="preserve"> </w:t>
      </w:r>
      <w:r>
        <w:rPr>
          <w:color w:val="231F20"/>
          <w:w w:val="105"/>
        </w:rPr>
        <w:t>the</w:t>
      </w:r>
      <w:r>
        <w:rPr>
          <w:color w:val="231F20"/>
          <w:w w:val="91"/>
        </w:rPr>
        <w:t xml:space="preserve"> </w:t>
      </w:r>
      <w:r>
        <w:rPr>
          <w:color w:val="231F20"/>
          <w:w w:val="105"/>
        </w:rPr>
        <w:t>other</w:t>
      </w:r>
      <w:r>
        <w:rPr>
          <w:color w:val="231F20"/>
          <w:spacing w:val="-5"/>
          <w:w w:val="105"/>
        </w:rPr>
        <w:t xml:space="preserve"> </w:t>
      </w:r>
      <w:r>
        <w:rPr>
          <w:color w:val="231F20"/>
          <w:w w:val="105"/>
        </w:rPr>
        <w:t>hand,</w:t>
      </w:r>
      <w:r>
        <w:rPr>
          <w:color w:val="231F20"/>
          <w:spacing w:val="-5"/>
          <w:w w:val="105"/>
        </w:rPr>
        <w:t xml:space="preserve"> </w:t>
      </w:r>
      <w:r>
        <w:rPr>
          <w:color w:val="231F20"/>
          <w:w w:val="105"/>
        </w:rPr>
        <w:t>he</w:t>
      </w:r>
      <w:r>
        <w:rPr>
          <w:color w:val="231F20"/>
          <w:spacing w:val="-5"/>
          <w:w w:val="105"/>
        </w:rPr>
        <w:t xml:space="preserve"> </w:t>
      </w:r>
      <w:r>
        <w:rPr>
          <w:color w:val="231F20"/>
          <w:w w:val="105"/>
        </w:rPr>
        <w:t>could</w:t>
      </w:r>
      <w:r>
        <w:rPr>
          <w:color w:val="231F20"/>
          <w:spacing w:val="-5"/>
          <w:w w:val="105"/>
        </w:rPr>
        <w:t xml:space="preserve"> </w:t>
      </w:r>
      <w:r>
        <w:rPr>
          <w:color w:val="231F20"/>
          <w:w w:val="105"/>
        </w:rPr>
        <w:t>not</w:t>
      </w:r>
      <w:r>
        <w:rPr>
          <w:color w:val="231F20"/>
          <w:spacing w:val="-5"/>
          <w:w w:val="105"/>
        </w:rPr>
        <w:t xml:space="preserve"> </w:t>
      </w:r>
      <w:r>
        <w:rPr>
          <w:color w:val="231F20"/>
          <w:w w:val="105"/>
        </w:rPr>
        <w:t>repeat</w:t>
      </w:r>
      <w:r>
        <w:rPr>
          <w:color w:val="231F20"/>
          <w:spacing w:val="-5"/>
          <w:w w:val="105"/>
        </w:rPr>
        <w:t xml:space="preserve"> </w:t>
      </w:r>
      <w:r>
        <w:rPr>
          <w:color w:val="231F20"/>
          <w:w w:val="105"/>
        </w:rPr>
        <w:t>a</w:t>
      </w:r>
      <w:r>
        <w:rPr>
          <w:color w:val="231F20"/>
          <w:spacing w:val="-5"/>
          <w:w w:val="105"/>
        </w:rPr>
        <w:t xml:space="preserve"> </w:t>
      </w:r>
      <w:r>
        <w:rPr>
          <w:color w:val="231F20"/>
          <w:w w:val="105"/>
        </w:rPr>
        <w:t>single</w:t>
      </w:r>
      <w:r>
        <w:rPr>
          <w:color w:val="231F20"/>
          <w:spacing w:val="-5"/>
          <w:w w:val="105"/>
        </w:rPr>
        <w:t xml:space="preserve"> </w:t>
      </w:r>
      <w:r>
        <w:rPr>
          <w:color w:val="231F20"/>
          <w:w w:val="105"/>
        </w:rPr>
        <w:t>sentence</w:t>
      </w:r>
      <w:r>
        <w:rPr>
          <w:color w:val="231F20"/>
          <w:spacing w:val="-5"/>
          <w:w w:val="105"/>
        </w:rPr>
        <w:t xml:space="preserve"> </w:t>
      </w:r>
      <w:r>
        <w:rPr>
          <w:color w:val="231F20"/>
          <w:w w:val="105"/>
        </w:rPr>
        <w:t>from</w:t>
      </w:r>
      <w:r>
        <w:rPr>
          <w:color w:val="231F20"/>
          <w:spacing w:val="-5"/>
          <w:w w:val="105"/>
        </w:rPr>
        <w:t xml:space="preserve"> </w:t>
      </w:r>
      <w:r>
        <w:rPr>
          <w:color w:val="231F20"/>
          <w:w w:val="105"/>
        </w:rPr>
        <w:t>the</w:t>
      </w:r>
      <w:r>
        <w:rPr>
          <w:color w:val="231F20"/>
          <w:spacing w:val="-5"/>
          <w:w w:val="105"/>
        </w:rPr>
        <w:t xml:space="preserve"> </w:t>
      </w:r>
      <w:r>
        <w:rPr>
          <w:color w:val="231F20"/>
          <w:w w:val="105"/>
        </w:rPr>
        <w:t>transcript.</w:t>
      </w:r>
      <w:r>
        <w:rPr>
          <w:color w:val="231F20"/>
          <w:w w:val="135"/>
        </w:rPr>
        <w:t xml:space="preserve"> </w:t>
      </w:r>
      <w:r>
        <w:rPr>
          <w:color w:val="231F20"/>
          <w:w w:val="105"/>
        </w:rPr>
        <w:t>He</w:t>
      </w:r>
      <w:r>
        <w:rPr>
          <w:color w:val="231F20"/>
          <w:spacing w:val="11"/>
          <w:w w:val="105"/>
        </w:rPr>
        <w:t xml:space="preserve"> </w:t>
      </w:r>
      <w:r>
        <w:rPr>
          <w:color w:val="231F20"/>
          <w:w w:val="105"/>
        </w:rPr>
        <w:t>did</w:t>
      </w:r>
      <w:r>
        <w:rPr>
          <w:color w:val="231F20"/>
          <w:spacing w:val="11"/>
          <w:w w:val="105"/>
        </w:rPr>
        <w:t xml:space="preserve"> </w:t>
      </w:r>
      <w:r>
        <w:rPr>
          <w:color w:val="231F20"/>
          <w:w w:val="105"/>
        </w:rPr>
        <w:t>not</w:t>
      </w:r>
      <w:r>
        <w:rPr>
          <w:color w:val="231F20"/>
          <w:spacing w:val="11"/>
          <w:w w:val="105"/>
        </w:rPr>
        <w:t xml:space="preserve"> </w:t>
      </w:r>
      <w:r>
        <w:rPr>
          <w:color w:val="231F20"/>
          <w:w w:val="105"/>
        </w:rPr>
        <w:t>understand</w:t>
      </w:r>
      <w:r>
        <w:rPr>
          <w:color w:val="231F20"/>
          <w:spacing w:val="11"/>
          <w:w w:val="105"/>
        </w:rPr>
        <w:t xml:space="preserve"> </w:t>
      </w:r>
      <w:r>
        <w:rPr>
          <w:color w:val="231F20"/>
          <w:w w:val="105"/>
        </w:rPr>
        <w:t>the</w:t>
      </w:r>
      <w:r>
        <w:rPr>
          <w:color w:val="231F20"/>
          <w:spacing w:val="11"/>
          <w:w w:val="105"/>
        </w:rPr>
        <w:t xml:space="preserve"> </w:t>
      </w:r>
      <w:r>
        <w:rPr>
          <w:color w:val="231F20"/>
          <w:w w:val="105"/>
        </w:rPr>
        <w:t>content</w:t>
      </w:r>
      <w:r>
        <w:rPr>
          <w:color w:val="231F20"/>
          <w:spacing w:val="11"/>
          <w:w w:val="105"/>
        </w:rPr>
        <w:t xml:space="preserve"> </w:t>
      </w:r>
      <w:r>
        <w:rPr>
          <w:color w:val="231F20"/>
          <w:w w:val="105"/>
        </w:rPr>
        <w:t>of</w:t>
      </w:r>
      <w:r>
        <w:rPr>
          <w:color w:val="231F20"/>
          <w:spacing w:val="11"/>
          <w:w w:val="105"/>
        </w:rPr>
        <w:t xml:space="preserve"> </w:t>
      </w:r>
      <w:r>
        <w:rPr>
          <w:color w:val="231F20"/>
          <w:w w:val="105"/>
        </w:rPr>
        <w:t>his</w:t>
      </w:r>
      <w:r>
        <w:rPr>
          <w:color w:val="231F20"/>
          <w:spacing w:val="11"/>
          <w:w w:val="105"/>
        </w:rPr>
        <w:t xml:space="preserve"> </w:t>
      </w:r>
      <w:r>
        <w:rPr>
          <w:color w:val="231F20"/>
          <w:w w:val="105"/>
        </w:rPr>
        <w:t>testimony.</w:t>
      </w:r>
      <w:r>
        <w:rPr>
          <w:color w:val="231F20"/>
          <w:spacing w:val="11"/>
          <w:w w:val="105"/>
        </w:rPr>
        <w:t xml:space="preserve"> </w:t>
      </w:r>
      <w:r>
        <w:rPr>
          <w:color w:val="231F20"/>
          <w:w w:val="105"/>
        </w:rPr>
        <w:t>One</w:t>
      </w:r>
      <w:r>
        <w:rPr>
          <w:color w:val="231F20"/>
          <w:spacing w:val="11"/>
          <w:w w:val="105"/>
        </w:rPr>
        <w:t xml:space="preserve"> </w:t>
      </w:r>
      <w:r>
        <w:rPr>
          <w:color w:val="231F20"/>
          <w:w w:val="105"/>
        </w:rPr>
        <w:t>could</w:t>
      </w:r>
      <w:r>
        <w:rPr>
          <w:color w:val="231F20"/>
          <w:spacing w:val="11"/>
          <w:w w:val="105"/>
        </w:rPr>
        <w:t xml:space="preserve"> </w:t>
      </w:r>
      <w:r>
        <w:rPr>
          <w:color w:val="231F20"/>
          <w:w w:val="105"/>
        </w:rPr>
        <w:t>read</w:t>
      </w:r>
      <w:r>
        <w:rPr>
          <w:color w:val="231F20"/>
        </w:rPr>
        <w:t xml:space="preserve"> </w:t>
      </w:r>
      <w:r>
        <w:rPr>
          <w:color w:val="231F20"/>
          <w:w w:val="105"/>
        </w:rPr>
        <w:t>along and see how he got stuck in a passage and was only able</w:t>
      </w:r>
      <w:r>
        <w:rPr>
          <w:color w:val="231F20"/>
          <w:spacing w:val="35"/>
          <w:w w:val="105"/>
        </w:rPr>
        <w:t xml:space="preserve"> </w:t>
      </w:r>
      <w:r>
        <w:rPr>
          <w:color w:val="231F20"/>
          <w:w w:val="105"/>
        </w:rPr>
        <w:t>to</w:t>
      </w:r>
      <w:r>
        <w:rPr>
          <w:color w:val="231F20"/>
          <w:spacing w:val="1"/>
          <w:w w:val="105"/>
        </w:rPr>
        <w:t xml:space="preserve"> </w:t>
      </w:r>
      <w:r>
        <w:rPr>
          <w:color w:val="231F20"/>
          <w:w w:val="105"/>
        </w:rPr>
        <w:t>get</w:t>
      </w:r>
      <w:r>
        <w:rPr>
          <w:color w:val="231F20"/>
          <w:w w:val="98"/>
        </w:rPr>
        <w:t xml:space="preserve"> </w:t>
      </w:r>
      <w:r>
        <w:rPr>
          <w:color w:val="231F20"/>
          <w:w w:val="105"/>
        </w:rPr>
        <w:t>past</w:t>
      </w:r>
      <w:r>
        <w:rPr>
          <w:color w:val="231F20"/>
          <w:spacing w:val="10"/>
          <w:w w:val="105"/>
        </w:rPr>
        <w:t xml:space="preserve"> </w:t>
      </w:r>
      <w:r>
        <w:rPr>
          <w:color w:val="231F20"/>
          <w:w w:val="105"/>
        </w:rPr>
        <w:t>the</w:t>
      </w:r>
      <w:r>
        <w:rPr>
          <w:color w:val="231F20"/>
          <w:spacing w:val="10"/>
          <w:w w:val="105"/>
        </w:rPr>
        <w:t xml:space="preserve"> </w:t>
      </w:r>
      <w:r>
        <w:rPr>
          <w:color w:val="231F20"/>
          <w:w w:val="105"/>
        </w:rPr>
        <w:t>pauses</w:t>
      </w:r>
      <w:r>
        <w:rPr>
          <w:color w:val="231F20"/>
          <w:spacing w:val="10"/>
          <w:w w:val="105"/>
        </w:rPr>
        <w:t xml:space="preserve"> </w:t>
      </w:r>
      <w:r>
        <w:rPr>
          <w:color w:val="231F20"/>
          <w:w w:val="105"/>
        </w:rPr>
        <w:t>with</w:t>
      </w:r>
      <w:r>
        <w:rPr>
          <w:color w:val="231F20"/>
          <w:spacing w:val="10"/>
          <w:w w:val="105"/>
        </w:rPr>
        <w:t xml:space="preserve"> </w:t>
      </w:r>
      <w:r>
        <w:rPr>
          <w:color w:val="231F20"/>
          <w:w w:val="105"/>
        </w:rPr>
        <w:t>his</w:t>
      </w:r>
      <w:r>
        <w:rPr>
          <w:color w:val="231F20"/>
          <w:spacing w:val="10"/>
          <w:w w:val="105"/>
        </w:rPr>
        <w:t xml:space="preserve"> </w:t>
      </w:r>
      <w:r>
        <w:rPr>
          <w:color w:val="231F20"/>
          <w:w w:val="105"/>
        </w:rPr>
        <w:t>lawyer’s</w:t>
      </w:r>
      <w:r>
        <w:rPr>
          <w:color w:val="231F20"/>
          <w:spacing w:val="10"/>
          <w:w w:val="105"/>
        </w:rPr>
        <w:t xml:space="preserve"> </w:t>
      </w:r>
      <w:r>
        <w:rPr>
          <w:color w:val="231F20"/>
          <w:w w:val="105"/>
        </w:rPr>
        <w:t>help,</w:t>
      </w:r>
      <w:r>
        <w:rPr>
          <w:color w:val="231F20"/>
          <w:spacing w:val="10"/>
          <w:w w:val="105"/>
        </w:rPr>
        <w:t xml:space="preserve"> </w:t>
      </w:r>
      <w:r>
        <w:rPr>
          <w:color w:val="231F20"/>
          <w:w w:val="105"/>
        </w:rPr>
        <w:t>and</w:t>
      </w:r>
      <w:r>
        <w:rPr>
          <w:color w:val="231F20"/>
          <w:spacing w:val="10"/>
          <w:w w:val="105"/>
        </w:rPr>
        <w:t xml:space="preserve"> </w:t>
      </w:r>
      <w:r>
        <w:rPr>
          <w:color w:val="231F20"/>
          <w:w w:val="105"/>
        </w:rPr>
        <w:t>at</w:t>
      </w:r>
      <w:r>
        <w:rPr>
          <w:color w:val="231F20"/>
          <w:spacing w:val="10"/>
          <w:w w:val="105"/>
        </w:rPr>
        <w:t xml:space="preserve"> </w:t>
      </w:r>
      <w:r>
        <w:rPr>
          <w:color w:val="231F20"/>
          <w:w w:val="105"/>
        </w:rPr>
        <w:t>other</w:t>
      </w:r>
      <w:r>
        <w:rPr>
          <w:color w:val="231F20"/>
          <w:spacing w:val="10"/>
          <w:w w:val="105"/>
        </w:rPr>
        <w:t xml:space="preserve"> </w:t>
      </w:r>
      <w:r>
        <w:rPr>
          <w:color w:val="231F20"/>
          <w:w w:val="105"/>
        </w:rPr>
        <w:t>times</w:t>
      </w:r>
      <w:r>
        <w:rPr>
          <w:color w:val="231F20"/>
          <w:spacing w:val="10"/>
          <w:w w:val="105"/>
        </w:rPr>
        <w:t xml:space="preserve"> </w:t>
      </w:r>
      <w:r>
        <w:rPr>
          <w:color w:val="231F20"/>
          <w:w w:val="105"/>
        </w:rPr>
        <w:t>had</w:t>
      </w:r>
      <w:r>
        <w:rPr>
          <w:color w:val="231F20"/>
          <w:spacing w:val="10"/>
          <w:w w:val="105"/>
        </w:rPr>
        <w:t xml:space="preserve"> </w:t>
      </w:r>
      <w:r>
        <w:rPr>
          <w:color w:val="231F20"/>
          <w:w w:val="105"/>
        </w:rPr>
        <w:t>to</w:t>
      </w:r>
      <w:r>
        <w:rPr>
          <w:color w:val="231F20"/>
          <w:spacing w:val="10"/>
          <w:w w:val="105"/>
        </w:rPr>
        <w:t xml:space="preserve"> </w:t>
      </w:r>
      <w:r>
        <w:rPr>
          <w:color w:val="231F20"/>
          <w:w w:val="105"/>
        </w:rPr>
        <w:t>be</w:t>
      </w:r>
      <w:r>
        <w:rPr>
          <w:color w:val="231F20"/>
          <w:w w:val="91"/>
        </w:rPr>
        <w:t xml:space="preserve"> </w:t>
      </w:r>
      <w:r>
        <w:rPr>
          <w:color w:val="231F20"/>
          <w:w w:val="105"/>
        </w:rPr>
        <w:t>stopped.</w:t>
      </w:r>
      <w:r>
        <w:rPr>
          <w:color w:val="231F20"/>
          <w:spacing w:val="-8"/>
          <w:w w:val="105"/>
        </w:rPr>
        <w:t xml:space="preserve"> </w:t>
      </w:r>
      <w:r>
        <w:rPr>
          <w:color w:val="231F20"/>
          <w:w w:val="105"/>
        </w:rPr>
        <w:t>A</w:t>
      </w:r>
      <w:r>
        <w:rPr>
          <w:color w:val="231F20"/>
          <w:spacing w:val="-8"/>
          <w:w w:val="105"/>
        </w:rPr>
        <w:t xml:space="preserve"> </w:t>
      </w:r>
      <w:r>
        <w:rPr>
          <w:color w:val="231F20"/>
          <w:w w:val="105"/>
        </w:rPr>
        <w:t>macabre</w:t>
      </w:r>
      <w:r>
        <w:rPr>
          <w:color w:val="231F20"/>
          <w:spacing w:val="-8"/>
          <w:w w:val="105"/>
        </w:rPr>
        <w:t xml:space="preserve"> </w:t>
      </w:r>
      <w:r>
        <w:rPr>
          <w:color w:val="231F20"/>
          <w:w w:val="105"/>
        </w:rPr>
        <w:t>spectacle.</w:t>
      </w:r>
      <w:r>
        <w:rPr>
          <w:color w:val="231F20"/>
          <w:spacing w:val="-8"/>
          <w:w w:val="105"/>
        </w:rPr>
        <w:t xml:space="preserve"> </w:t>
      </w:r>
      <w:r>
        <w:rPr>
          <w:color w:val="231F20"/>
          <w:w w:val="105"/>
        </w:rPr>
        <w:t>Prinzing</w:t>
      </w:r>
      <w:r>
        <w:rPr>
          <w:color w:val="231F20"/>
          <w:spacing w:val="-8"/>
          <w:w w:val="105"/>
        </w:rPr>
        <w:t xml:space="preserve"> </w:t>
      </w:r>
      <w:r>
        <w:rPr>
          <w:color w:val="231F20"/>
          <w:w w:val="105"/>
        </w:rPr>
        <w:t>treated</w:t>
      </w:r>
      <w:r>
        <w:rPr>
          <w:color w:val="231F20"/>
          <w:spacing w:val="-8"/>
          <w:w w:val="105"/>
        </w:rPr>
        <w:t xml:space="preserve"> </w:t>
      </w:r>
      <w:r>
        <w:rPr>
          <w:color w:val="231F20"/>
          <w:w w:val="105"/>
        </w:rPr>
        <w:t>him</w:t>
      </w:r>
      <w:r>
        <w:rPr>
          <w:color w:val="231F20"/>
          <w:spacing w:val="-8"/>
          <w:w w:val="105"/>
        </w:rPr>
        <w:t xml:space="preserve"> </w:t>
      </w:r>
      <w:r>
        <w:rPr>
          <w:color w:val="231F20"/>
          <w:w w:val="105"/>
        </w:rPr>
        <w:t>obsequiously</w:t>
      </w:r>
      <w:r>
        <w:rPr>
          <w:color w:val="231F20"/>
          <w:spacing w:val="-8"/>
          <w:w w:val="105"/>
        </w:rPr>
        <w:t xml:space="preserve"> </w:t>
      </w:r>
      <w:r>
        <w:rPr>
          <w:color w:val="231F20"/>
          <w:w w:val="105"/>
        </w:rPr>
        <w:t>and</w:t>
      </w:r>
      <w:r>
        <w:rPr>
          <w:color w:val="231F20"/>
        </w:rPr>
        <w:t xml:space="preserve"> </w:t>
      </w:r>
      <w:r>
        <w:rPr>
          <w:color w:val="231F20"/>
          <w:w w:val="105"/>
        </w:rPr>
        <w:t>assiduously. He was accompanied 24 hours a day by</w:t>
      </w:r>
      <w:r>
        <w:rPr>
          <w:color w:val="231F20"/>
          <w:spacing w:val="-11"/>
          <w:w w:val="105"/>
        </w:rPr>
        <w:t xml:space="preserve"> </w:t>
      </w:r>
      <w:r>
        <w:rPr>
          <w:color w:val="231F20"/>
          <w:w w:val="105"/>
        </w:rPr>
        <w:t>a</w:t>
      </w:r>
      <w:r>
        <w:rPr>
          <w:color w:val="231F20"/>
          <w:spacing w:val="-2"/>
          <w:w w:val="105"/>
        </w:rPr>
        <w:t xml:space="preserve"> </w:t>
      </w:r>
      <w:r>
        <w:rPr>
          <w:color w:val="231F20"/>
          <w:w w:val="105"/>
        </w:rPr>
        <w:t>“psychological</w:t>
      </w:r>
      <w:r>
        <w:rPr>
          <w:color w:val="231F20"/>
          <w:w w:val="102"/>
        </w:rPr>
        <w:t xml:space="preserve"> </w:t>
      </w:r>
      <w:r>
        <w:rPr>
          <w:color w:val="231F20"/>
          <w:w w:val="105"/>
        </w:rPr>
        <w:t>caretaker”</w:t>
      </w:r>
      <w:r>
        <w:rPr>
          <w:color w:val="231F20"/>
          <w:spacing w:val="10"/>
          <w:w w:val="105"/>
        </w:rPr>
        <w:t xml:space="preserve"> </w:t>
      </w:r>
      <w:r>
        <w:rPr>
          <w:color w:val="231F20"/>
          <w:w w:val="105"/>
        </w:rPr>
        <w:t>from</w:t>
      </w:r>
      <w:r>
        <w:rPr>
          <w:color w:val="231F20"/>
          <w:spacing w:val="10"/>
          <w:w w:val="105"/>
        </w:rPr>
        <w:t xml:space="preserve"> </w:t>
      </w:r>
      <w:r>
        <w:rPr>
          <w:color w:val="231F20"/>
          <w:w w:val="105"/>
        </w:rPr>
        <w:t>the</w:t>
      </w:r>
      <w:r>
        <w:rPr>
          <w:color w:val="231F20"/>
          <w:spacing w:val="10"/>
          <w:w w:val="105"/>
        </w:rPr>
        <w:t xml:space="preserve"> </w:t>
      </w:r>
      <w:r>
        <w:rPr>
          <w:color w:val="231F20"/>
          <w:spacing w:val="2"/>
          <w:w w:val="105"/>
        </w:rPr>
        <w:t>BKA,</w:t>
      </w:r>
      <w:r>
        <w:rPr>
          <w:color w:val="231F20"/>
          <w:spacing w:val="10"/>
          <w:w w:val="105"/>
        </w:rPr>
        <w:t xml:space="preserve"> </w:t>
      </w:r>
      <w:r>
        <w:rPr>
          <w:color w:val="231F20"/>
          <w:w w:val="105"/>
        </w:rPr>
        <w:t>and</w:t>
      </w:r>
      <w:r>
        <w:rPr>
          <w:color w:val="231F20"/>
          <w:spacing w:val="10"/>
          <w:w w:val="105"/>
        </w:rPr>
        <w:t xml:space="preserve"> </w:t>
      </w:r>
      <w:r>
        <w:rPr>
          <w:color w:val="231F20"/>
          <w:w w:val="105"/>
        </w:rPr>
        <w:t>during</w:t>
      </w:r>
      <w:r>
        <w:rPr>
          <w:color w:val="231F20"/>
          <w:spacing w:val="10"/>
          <w:w w:val="105"/>
        </w:rPr>
        <w:t xml:space="preserve"> </w:t>
      </w:r>
      <w:r>
        <w:rPr>
          <w:color w:val="231F20"/>
          <w:w w:val="105"/>
        </w:rPr>
        <w:t>the</w:t>
      </w:r>
      <w:r>
        <w:rPr>
          <w:color w:val="231F20"/>
          <w:spacing w:val="10"/>
          <w:w w:val="105"/>
        </w:rPr>
        <w:t xml:space="preserve"> </w:t>
      </w:r>
      <w:r>
        <w:rPr>
          <w:color w:val="231F20"/>
          <w:w w:val="105"/>
        </w:rPr>
        <w:t>breaks</w:t>
      </w:r>
      <w:r>
        <w:rPr>
          <w:color w:val="231F20"/>
          <w:spacing w:val="10"/>
          <w:w w:val="105"/>
        </w:rPr>
        <w:t xml:space="preserve"> </w:t>
      </w:r>
      <w:r>
        <w:rPr>
          <w:color w:val="231F20"/>
          <w:w w:val="105"/>
        </w:rPr>
        <w:t>in</w:t>
      </w:r>
      <w:r>
        <w:rPr>
          <w:color w:val="231F20"/>
          <w:spacing w:val="10"/>
          <w:w w:val="105"/>
        </w:rPr>
        <w:t xml:space="preserve"> </w:t>
      </w:r>
      <w:r>
        <w:rPr>
          <w:color w:val="231F20"/>
          <w:w w:val="105"/>
        </w:rPr>
        <w:t>the</w:t>
      </w:r>
      <w:r>
        <w:rPr>
          <w:color w:val="231F20"/>
          <w:spacing w:val="10"/>
          <w:w w:val="105"/>
        </w:rPr>
        <w:t xml:space="preserve"> </w:t>
      </w:r>
      <w:r>
        <w:rPr>
          <w:color w:val="231F20"/>
          <w:w w:val="105"/>
        </w:rPr>
        <w:t>trial</w:t>
      </w:r>
      <w:r>
        <w:rPr>
          <w:color w:val="231F20"/>
          <w:spacing w:val="10"/>
          <w:w w:val="105"/>
        </w:rPr>
        <w:t xml:space="preserve"> </w:t>
      </w:r>
      <w:r>
        <w:rPr>
          <w:color w:val="231F20"/>
          <w:w w:val="105"/>
        </w:rPr>
        <w:t>he</w:t>
      </w:r>
      <w:r>
        <w:rPr>
          <w:color w:val="231F20"/>
          <w:spacing w:val="10"/>
          <w:w w:val="105"/>
        </w:rPr>
        <w:t xml:space="preserve"> </w:t>
      </w:r>
      <w:r>
        <w:rPr>
          <w:color w:val="231F20"/>
          <w:w w:val="105"/>
        </w:rPr>
        <w:t>went</w:t>
      </w:r>
      <w:r>
        <w:rPr>
          <w:color w:val="231F20"/>
          <w:w w:val="98"/>
        </w:rPr>
        <w:t xml:space="preserve"> </w:t>
      </w:r>
      <w:r>
        <w:rPr>
          <w:color w:val="231F20"/>
          <w:w w:val="105"/>
        </w:rPr>
        <w:t>over</w:t>
      </w:r>
      <w:r>
        <w:rPr>
          <w:color w:val="231F20"/>
          <w:spacing w:val="-8"/>
          <w:w w:val="105"/>
        </w:rPr>
        <w:t xml:space="preserve"> </w:t>
      </w:r>
      <w:r>
        <w:rPr>
          <w:color w:val="231F20"/>
          <w:w w:val="105"/>
        </w:rPr>
        <w:t>his</w:t>
      </w:r>
      <w:r>
        <w:rPr>
          <w:color w:val="231F20"/>
          <w:spacing w:val="-8"/>
          <w:w w:val="105"/>
        </w:rPr>
        <w:t xml:space="preserve"> </w:t>
      </w:r>
      <w:r>
        <w:rPr>
          <w:color w:val="231F20"/>
          <w:w w:val="105"/>
        </w:rPr>
        <w:t>lines</w:t>
      </w:r>
      <w:r>
        <w:rPr>
          <w:color w:val="231F20"/>
          <w:spacing w:val="-8"/>
          <w:w w:val="105"/>
        </w:rPr>
        <w:t xml:space="preserve"> </w:t>
      </w:r>
      <w:r>
        <w:rPr>
          <w:color w:val="231F20"/>
          <w:w w:val="105"/>
        </w:rPr>
        <w:t>with</w:t>
      </w:r>
      <w:r>
        <w:rPr>
          <w:color w:val="231F20"/>
          <w:spacing w:val="-8"/>
          <w:w w:val="105"/>
        </w:rPr>
        <w:t xml:space="preserve"> </w:t>
      </w:r>
      <w:r>
        <w:rPr>
          <w:color w:val="231F20"/>
          <w:w w:val="105"/>
        </w:rPr>
        <w:t>his</w:t>
      </w:r>
      <w:r>
        <w:rPr>
          <w:color w:val="231F20"/>
          <w:spacing w:val="-7"/>
          <w:w w:val="105"/>
        </w:rPr>
        <w:t xml:space="preserve"> </w:t>
      </w:r>
      <w:r>
        <w:rPr>
          <w:color w:val="231F20"/>
          <w:spacing w:val="2"/>
          <w:w w:val="105"/>
        </w:rPr>
        <w:t>BKA</w:t>
      </w:r>
      <w:r>
        <w:rPr>
          <w:color w:val="231F20"/>
          <w:spacing w:val="-7"/>
          <w:w w:val="105"/>
        </w:rPr>
        <w:t xml:space="preserve"> </w:t>
      </w:r>
      <w:r>
        <w:rPr>
          <w:color w:val="231F20"/>
          <w:w w:val="105"/>
        </w:rPr>
        <w:t>interrogators.</w:t>
      </w:r>
      <w:r>
        <w:rPr>
          <w:color w:val="231F20"/>
          <w:spacing w:val="-8"/>
          <w:w w:val="105"/>
        </w:rPr>
        <w:t xml:space="preserve"> </w:t>
      </w:r>
      <w:r>
        <w:rPr>
          <w:color w:val="231F20"/>
          <w:w w:val="105"/>
        </w:rPr>
        <w:t>On</w:t>
      </w:r>
      <w:r>
        <w:rPr>
          <w:color w:val="231F20"/>
          <w:spacing w:val="-8"/>
          <w:w w:val="105"/>
        </w:rPr>
        <w:t xml:space="preserve"> </w:t>
      </w:r>
      <w:r>
        <w:rPr>
          <w:color w:val="231F20"/>
          <w:w w:val="105"/>
        </w:rPr>
        <w:t>the</w:t>
      </w:r>
      <w:r>
        <w:rPr>
          <w:color w:val="231F20"/>
          <w:spacing w:val="-8"/>
          <w:w w:val="105"/>
        </w:rPr>
        <w:t xml:space="preserve"> </w:t>
      </w:r>
      <w:r>
        <w:rPr>
          <w:color w:val="231F20"/>
          <w:w w:val="105"/>
        </w:rPr>
        <w:t>other</w:t>
      </w:r>
      <w:r>
        <w:rPr>
          <w:color w:val="231F20"/>
          <w:spacing w:val="-8"/>
          <w:w w:val="105"/>
        </w:rPr>
        <w:t xml:space="preserve"> </w:t>
      </w:r>
      <w:r>
        <w:rPr>
          <w:color w:val="231F20"/>
          <w:w w:val="105"/>
        </w:rPr>
        <w:t>hand,</w:t>
      </w:r>
      <w:r>
        <w:rPr>
          <w:color w:val="231F20"/>
          <w:spacing w:val="-8"/>
          <w:w w:val="105"/>
        </w:rPr>
        <w:t xml:space="preserve"> </w:t>
      </w:r>
      <w:r>
        <w:rPr>
          <w:color w:val="231F20"/>
          <w:w w:val="105"/>
        </w:rPr>
        <w:t>the</w:t>
      </w:r>
      <w:r>
        <w:rPr>
          <w:color w:val="231F20"/>
          <w:spacing w:val="-6"/>
          <w:w w:val="105"/>
        </w:rPr>
        <w:t xml:space="preserve"> </w:t>
      </w:r>
      <w:r>
        <w:rPr>
          <w:color w:val="231F20"/>
          <w:spacing w:val="-12"/>
          <w:w w:val="105"/>
        </w:rPr>
        <w:t>BAW</w:t>
      </w:r>
      <w:r>
        <w:rPr>
          <w:color w:val="231F20"/>
          <w:spacing w:val="-17"/>
          <w:w w:val="111"/>
        </w:rPr>
        <w:t xml:space="preserve"> </w:t>
      </w:r>
      <w:r>
        <w:rPr>
          <w:color w:val="231F20"/>
          <w:w w:val="105"/>
        </w:rPr>
        <w:t>immediately</w:t>
      </w:r>
      <w:r>
        <w:rPr>
          <w:color w:val="231F20"/>
          <w:spacing w:val="-11"/>
          <w:w w:val="105"/>
        </w:rPr>
        <w:t xml:space="preserve"> </w:t>
      </w:r>
      <w:r>
        <w:rPr>
          <w:color w:val="231F20"/>
          <w:w w:val="105"/>
        </w:rPr>
        <w:t>threatened</w:t>
      </w:r>
      <w:r>
        <w:rPr>
          <w:color w:val="231F20"/>
          <w:spacing w:val="-11"/>
          <w:w w:val="105"/>
        </w:rPr>
        <w:t xml:space="preserve"> </w:t>
      </w:r>
      <w:r>
        <w:rPr>
          <w:color w:val="231F20"/>
          <w:w w:val="105"/>
        </w:rPr>
        <w:t>witnesses</w:t>
      </w:r>
      <w:r>
        <w:rPr>
          <w:color w:val="231F20"/>
          <w:spacing w:val="-11"/>
          <w:w w:val="105"/>
        </w:rPr>
        <w:t xml:space="preserve"> </w:t>
      </w:r>
      <w:r>
        <w:rPr>
          <w:color w:val="231F20"/>
          <w:w w:val="105"/>
        </w:rPr>
        <w:t>who</w:t>
      </w:r>
      <w:r>
        <w:rPr>
          <w:color w:val="231F20"/>
          <w:spacing w:val="-11"/>
          <w:w w:val="105"/>
        </w:rPr>
        <w:t xml:space="preserve"> </w:t>
      </w:r>
      <w:r>
        <w:rPr>
          <w:color w:val="231F20"/>
          <w:w w:val="105"/>
        </w:rPr>
        <w:t>disputed</w:t>
      </w:r>
      <w:r>
        <w:rPr>
          <w:color w:val="231F20"/>
          <w:spacing w:val="-11"/>
          <w:w w:val="105"/>
        </w:rPr>
        <w:t xml:space="preserve"> </w:t>
      </w:r>
      <w:r>
        <w:rPr>
          <w:color w:val="231F20"/>
          <w:w w:val="105"/>
        </w:rPr>
        <w:t>Hoff’s</w:t>
      </w:r>
      <w:r>
        <w:rPr>
          <w:color w:val="231F20"/>
          <w:spacing w:val="-11"/>
          <w:w w:val="105"/>
        </w:rPr>
        <w:t xml:space="preserve"> </w:t>
      </w:r>
      <w:r>
        <w:rPr>
          <w:color w:val="231F20"/>
          <w:w w:val="105"/>
        </w:rPr>
        <w:t>story</w:t>
      </w:r>
      <w:r>
        <w:rPr>
          <w:color w:val="231F20"/>
          <w:spacing w:val="-11"/>
          <w:w w:val="105"/>
        </w:rPr>
        <w:t xml:space="preserve"> </w:t>
      </w:r>
      <w:r>
        <w:rPr>
          <w:color w:val="231F20"/>
          <w:w w:val="105"/>
        </w:rPr>
        <w:t>with</w:t>
      </w:r>
      <w:r>
        <w:rPr>
          <w:color w:val="231F20"/>
          <w:spacing w:val="-11"/>
          <w:w w:val="105"/>
        </w:rPr>
        <w:t xml:space="preserve"> </w:t>
      </w:r>
      <w:r>
        <w:rPr>
          <w:color w:val="231F20"/>
          <w:w w:val="105"/>
        </w:rPr>
        <w:t>the</w:t>
      </w:r>
      <w:r>
        <w:rPr>
          <w:color w:val="231F20"/>
          <w:w w:val="91"/>
        </w:rPr>
        <w:t xml:space="preserve"> </w:t>
      </w:r>
      <w:r>
        <w:rPr>
          <w:color w:val="231F20"/>
          <w:w w:val="105"/>
        </w:rPr>
        <w:t>complete</w:t>
      </w:r>
      <w:r>
        <w:rPr>
          <w:color w:val="231F20"/>
          <w:spacing w:val="-11"/>
          <w:w w:val="105"/>
        </w:rPr>
        <w:t xml:space="preserve"> </w:t>
      </w:r>
      <w:r>
        <w:rPr>
          <w:color w:val="231F20"/>
          <w:w w:val="105"/>
        </w:rPr>
        <w:t>disruption</w:t>
      </w:r>
      <w:r>
        <w:rPr>
          <w:color w:val="231F20"/>
          <w:spacing w:val="-11"/>
          <w:w w:val="105"/>
        </w:rPr>
        <w:t xml:space="preserve"> </w:t>
      </w:r>
      <w:r>
        <w:rPr>
          <w:color w:val="231F20"/>
          <w:w w:val="105"/>
        </w:rPr>
        <w:t>of</w:t>
      </w:r>
      <w:r>
        <w:rPr>
          <w:color w:val="231F20"/>
          <w:spacing w:val="-11"/>
          <w:w w:val="105"/>
        </w:rPr>
        <w:t xml:space="preserve"> </w:t>
      </w:r>
      <w:r>
        <w:rPr>
          <w:color w:val="231F20"/>
          <w:w w:val="105"/>
        </w:rPr>
        <w:t>their</w:t>
      </w:r>
      <w:r>
        <w:rPr>
          <w:color w:val="231F20"/>
          <w:spacing w:val="-11"/>
          <w:w w:val="105"/>
        </w:rPr>
        <w:t xml:space="preserve"> </w:t>
      </w:r>
      <w:r>
        <w:rPr>
          <w:color w:val="231F20"/>
          <w:w w:val="105"/>
        </w:rPr>
        <w:t>lives:</w:t>
      </w:r>
      <w:r>
        <w:rPr>
          <w:color w:val="231F20"/>
          <w:spacing w:val="-11"/>
          <w:w w:val="105"/>
        </w:rPr>
        <w:t xml:space="preserve"> </w:t>
      </w:r>
      <w:r>
        <w:rPr>
          <w:i/>
          <w:color w:val="231F20"/>
          <w:w w:val="105"/>
        </w:rPr>
        <w:t>Berufsverbot</w:t>
      </w:r>
      <w:r>
        <w:rPr>
          <w:i/>
          <w:color w:val="231F20"/>
          <w:spacing w:val="-11"/>
          <w:w w:val="105"/>
        </w:rPr>
        <w:t xml:space="preserve"> </w:t>
      </w:r>
      <w:r>
        <w:rPr>
          <w:color w:val="231F20"/>
          <w:w w:val="105"/>
        </w:rPr>
        <w:t>and</w:t>
      </w:r>
      <w:r>
        <w:rPr>
          <w:color w:val="231F20"/>
          <w:spacing w:val="-11"/>
          <w:w w:val="105"/>
        </w:rPr>
        <w:t xml:space="preserve"> </w:t>
      </w:r>
      <w:r>
        <w:rPr>
          <w:color w:val="231F20"/>
          <w:w w:val="105"/>
        </w:rPr>
        <w:t>the</w:t>
      </w:r>
      <w:r>
        <w:rPr>
          <w:color w:val="231F20"/>
          <w:spacing w:val="-11"/>
          <w:w w:val="105"/>
        </w:rPr>
        <w:t xml:space="preserve"> </w:t>
      </w:r>
      <w:r>
        <w:rPr>
          <w:color w:val="231F20"/>
          <w:w w:val="105"/>
        </w:rPr>
        <w:t>withdrawal</w:t>
      </w:r>
      <w:r>
        <w:rPr>
          <w:color w:val="231F20"/>
          <w:spacing w:val="-11"/>
          <w:w w:val="105"/>
        </w:rPr>
        <w:t xml:space="preserve"> </w:t>
      </w:r>
      <w:r>
        <w:rPr>
          <w:color w:val="231F20"/>
          <w:w w:val="105"/>
        </w:rPr>
        <w:t>of</w:t>
      </w:r>
      <w:r>
        <w:rPr>
          <w:color w:val="231F20"/>
          <w:w w:val="109"/>
        </w:rPr>
        <w:t xml:space="preserve"> </w:t>
      </w:r>
      <w:r>
        <w:rPr>
          <w:color w:val="231F20"/>
          <w:w w:val="105"/>
        </w:rPr>
        <w:t>their</w:t>
      </w:r>
      <w:r>
        <w:rPr>
          <w:color w:val="231F20"/>
          <w:spacing w:val="-10"/>
          <w:w w:val="105"/>
        </w:rPr>
        <w:t xml:space="preserve"> </w:t>
      </w:r>
      <w:r>
        <w:rPr>
          <w:color w:val="231F20"/>
          <w:w w:val="105"/>
        </w:rPr>
        <w:t>passports.</w:t>
      </w:r>
      <w:r>
        <w:rPr>
          <w:color w:val="231F20"/>
          <w:spacing w:val="-10"/>
          <w:w w:val="105"/>
        </w:rPr>
        <w:t xml:space="preserve"> </w:t>
      </w:r>
      <w:r>
        <w:rPr>
          <w:color w:val="231F20"/>
          <w:w w:val="105"/>
        </w:rPr>
        <w:t>The</w:t>
      </w:r>
      <w:r>
        <w:rPr>
          <w:color w:val="231F20"/>
          <w:spacing w:val="-10"/>
          <w:w w:val="105"/>
        </w:rPr>
        <w:t xml:space="preserve"> </w:t>
      </w:r>
      <w:r>
        <w:rPr>
          <w:color w:val="231F20"/>
          <w:w w:val="105"/>
        </w:rPr>
        <w:t>trial</w:t>
      </w:r>
      <w:r>
        <w:rPr>
          <w:color w:val="231F20"/>
          <w:spacing w:val="-10"/>
          <w:w w:val="105"/>
        </w:rPr>
        <w:t xml:space="preserve"> </w:t>
      </w:r>
      <w:r>
        <w:rPr>
          <w:color w:val="231F20"/>
          <w:w w:val="105"/>
        </w:rPr>
        <w:t>is</w:t>
      </w:r>
      <w:r>
        <w:rPr>
          <w:color w:val="231F20"/>
          <w:spacing w:val="-10"/>
          <w:w w:val="105"/>
        </w:rPr>
        <w:t xml:space="preserve"> </w:t>
      </w:r>
      <w:r>
        <w:rPr>
          <w:color w:val="231F20"/>
          <w:w w:val="105"/>
        </w:rPr>
        <w:t>a</w:t>
      </w:r>
      <w:r>
        <w:rPr>
          <w:color w:val="231F20"/>
          <w:spacing w:val="-10"/>
          <w:w w:val="105"/>
        </w:rPr>
        <w:t xml:space="preserve"> </w:t>
      </w:r>
      <w:r>
        <w:rPr>
          <w:color w:val="231F20"/>
          <w:w w:val="105"/>
        </w:rPr>
        <w:t>government</w:t>
      </w:r>
      <w:r>
        <w:rPr>
          <w:color w:val="231F20"/>
          <w:spacing w:val="-10"/>
          <w:w w:val="105"/>
        </w:rPr>
        <w:t xml:space="preserve"> </w:t>
      </w:r>
      <w:r>
        <w:rPr>
          <w:color w:val="231F20"/>
          <w:w w:val="105"/>
        </w:rPr>
        <w:t>operation,</w:t>
      </w:r>
      <w:r>
        <w:rPr>
          <w:color w:val="231F20"/>
          <w:spacing w:val="-10"/>
          <w:w w:val="105"/>
        </w:rPr>
        <w:t xml:space="preserve"> </w:t>
      </w:r>
      <w:r>
        <w:rPr>
          <w:color w:val="231F20"/>
          <w:w w:val="105"/>
        </w:rPr>
        <w:t>and</w:t>
      </w:r>
      <w:r>
        <w:rPr>
          <w:color w:val="231F20"/>
          <w:spacing w:val="-10"/>
          <w:w w:val="105"/>
        </w:rPr>
        <w:t xml:space="preserve"> </w:t>
      </w:r>
      <w:r>
        <w:rPr>
          <w:color w:val="231F20"/>
          <w:w w:val="105"/>
        </w:rPr>
        <w:t>so</w:t>
      </w:r>
      <w:r>
        <w:rPr>
          <w:color w:val="231F20"/>
          <w:spacing w:val="-10"/>
          <w:w w:val="105"/>
        </w:rPr>
        <w:t xml:space="preserve"> </w:t>
      </w:r>
      <w:r>
        <w:rPr>
          <w:color w:val="231F20"/>
          <w:w w:val="105"/>
        </w:rPr>
        <w:t>the</w:t>
      </w:r>
      <w:r>
        <w:rPr>
          <w:color w:val="231F20"/>
          <w:spacing w:val="-10"/>
          <w:w w:val="105"/>
        </w:rPr>
        <w:t xml:space="preserve"> </w:t>
      </w:r>
      <w:r>
        <w:rPr>
          <w:color w:val="231F20"/>
          <w:w w:val="105"/>
        </w:rPr>
        <w:t>cover</w:t>
      </w:r>
      <w:r>
        <w:rPr>
          <w:color w:val="231F20"/>
        </w:rPr>
        <w:t>age is seamless propaganda, completely structured by</w:t>
      </w:r>
      <w:r>
        <w:rPr>
          <w:color w:val="231F20"/>
          <w:spacing w:val="38"/>
        </w:rPr>
        <w:t xml:space="preserve"> </w:t>
      </w:r>
      <w:r>
        <w:rPr>
          <w:color w:val="231F20"/>
        </w:rPr>
        <w:t>the</w:t>
      </w:r>
      <w:r>
        <w:rPr>
          <w:color w:val="231F20"/>
          <w:spacing w:val="5"/>
        </w:rPr>
        <w:t xml:space="preserve"> </w:t>
      </w:r>
      <w:r>
        <w:rPr>
          <w:color w:val="231F20"/>
        </w:rPr>
        <w:t>government.</w:t>
      </w:r>
      <w:r>
        <w:rPr>
          <w:color w:val="231F20"/>
          <w:w w:val="135"/>
        </w:rPr>
        <w:t xml:space="preserve"> </w:t>
      </w:r>
      <w:r>
        <w:rPr>
          <w:color w:val="231F20"/>
          <w:w w:val="105"/>
        </w:rPr>
        <w:t xml:space="preserve">A comparison to the Third </w:t>
      </w:r>
      <w:r>
        <w:rPr>
          <w:color w:val="231F20"/>
          <w:spacing w:val="-3"/>
          <w:w w:val="105"/>
        </w:rPr>
        <w:t>Reich’s</w:t>
      </w:r>
      <w:r>
        <w:rPr>
          <w:color w:val="231F20"/>
          <w:spacing w:val="-27"/>
          <w:w w:val="105"/>
        </w:rPr>
        <w:t xml:space="preserve"> </w:t>
      </w:r>
      <w:r>
        <w:rPr>
          <w:i/>
          <w:color w:val="231F20"/>
          <w:spacing w:val="1"/>
          <w:w w:val="105"/>
        </w:rPr>
        <w:t>Reichsschrifttumkammer</w:t>
      </w:r>
      <w:r>
        <w:rPr>
          <w:color w:val="231F20"/>
          <w:spacing w:val="1"/>
          <w:w w:val="105"/>
          <w:position w:val="7"/>
          <w:sz w:val="11"/>
        </w:rPr>
        <w:t xml:space="preserve">2 </w:t>
      </w:r>
      <w:r>
        <w:rPr>
          <w:color w:val="231F20"/>
          <w:w w:val="105"/>
        </w:rPr>
        <w:t>or</w:t>
      </w:r>
      <w:r>
        <w:rPr>
          <w:color w:val="231F20"/>
          <w:spacing w:val="-5"/>
          <w:w w:val="105"/>
        </w:rPr>
        <w:t xml:space="preserve"> </w:t>
      </w:r>
      <w:r>
        <w:rPr>
          <w:color w:val="231F20"/>
          <w:w w:val="105"/>
        </w:rPr>
        <w:t>the</w:t>
      </w:r>
      <w:r>
        <w:rPr>
          <w:color w:val="231F20"/>
          <w:w w:val="91"/>
        </w:rPr>
        <w:t xml:space="preserve"> </w:t>
      </w:r>
      <w:r>
        <w:rPr>
          <w:i/>
          <w:color w:val="231F20"/>
          <w:w w:val="105"/>
        </w:rPr>
        <w:t>Volksgerichtshof</w:t>
      </w:r>
      <w:r>
        <w:rPr>
          <w:color w:val="231F20"/>
          <w:w w:val="105"/>
          <w:position w:val="7"/>
          <w:sz w:val="11"/>
        </w:rPr>
        <w:t>3</w:t>
      </w:r>
      <w:r>
        <w:rPr>
          <w:color w:val="231F20"/>
          <w:spacing w:val="-2"/>
          <w:w w:val="105"/>
          <w:position w:val="7"/>
          <w:sz w:val="11"/>
        </w:rPr>
        <w:t xml:space="preserve"> </w:t>
      </w:r>
      <w:r>
        <w:rPr>
          <w:color w:val="231F20"/>
          <w:w w:val="105"/>
        </w:rPr>
        <w:t>reporting</w:t>
      </w:r>
      <w:r>
        <w:rPr>
          <w:color w:val="231F20"/>
          <w:spacing w:val="-6"/>
          <w:w w:val="105"/>
        </w:rPr>
        <w:t xml:space="preserve"> </w:t>
      </w:r>
      <w:r>
        <w:rPr>
          <w:color w:val="231F20"/>
          <w:w w:val="105"/>
        </w:rPr>
        <w:t>is</w:t>
      </w:r>
      <w:r>
        <w:rPr>
          <w:color w:val="231F20"/>
          <w:spacing w:val="-6"/>
          <w:w w:val="105"/>
        </w:rPr>
        <w:t xml:space="preserve"> </w:t>
      </w:r>
      <w:r>
        <w:rPr>
          <w:color w:val="231F20"/>
          <w:w w:val="105"/>
        </w:rPr>
        <w:t>accurate.</w:t>
      </w:r>
      <w:r>
        <w:rPr>
          <w:color w:val="231F20"/>
          <w:spacing w:val="-6"/>
          <w:w w:val="105"/>
        </w:rPr>
        <w:t xml:space="preserve"> </w:t>
      </w:r>
      <w:r>
        <w:rPr>
          <w:color w:val="231F20"/>
          <w:w w:val="105"/>
        </w:rPr>
        <w:t>The</w:t>
      </w:r>
      <w:r>
        <w:rPr>
          <w:color w:val="231F20"/>
          <w:spacing w:val="-6"/>
          <w:w w:val="105"/>
        </w:rPr>
        <w:t xml:space="preserve"> </w:t>
      </w:r>
      <w:r>
        <w:rPr>
          <w:color w:val="231F20"/>
          <w:w w:val="105"/>
        </w:rPr>
        <w:t>only</w:t>
      </w:r>
      <w:r>
        <w:rPr>
          <w:color w:val="231F20"/>
          <w:spacing w:val="-6"/>
          <w:w w:val="105"/>
        </w:rPr>
        <w:t xml:space="preserve"> </w:t>
      </w:r>
      <w:r>
        <w:rPr>
          <w:color w:val="231F20"/>
          <w:w w:val="105"/>
        </w:rPr>
        <w:t>difference</w:t>
      </w:r>
      <w:r>
        <w:rPr>
          <w:color w:val="231F20"/>
          <w:spacing w:val="-6"/>
          <w:w w:val="105"/>
        </w:rPr>
        <w:t xml:space="preserve"> </w:t>
      </w:r>
      <w:r>
        <w:rPr>
          <w:color w:val="231F20"/>
          <w:w w:val="105"/>
        </w:rPr>
        <w:t>is</w:t>
      </w:r>
      <w:r>
        <w:rPr>
          <w:color w:val="231F20"/>
          <w:spacing w:val="-6"/>
          <w:w w:val="105"/>
        </w:rPr>
        <w:t xml:space="preserve"> </w:t>
      </w:r>
      <w:r>
        <w:rPr>
          <w:color w:val="231F20"/>
          <w:w w:val="105"/>
        </w:rPr>
        <w:t>that</w:t>
      </w:r>
      <w:r>
        <w:rPr>
          <w:color w:val="231F20"/>
          <w:spacing w:val="-6"/>
          <w:w w:val="105"/>
        </w:rPr>
        <w:t xml:space="preserve"> </w:t>
      </w:r>
      <w:r>
        <w:rPr>
          <w:color w:val="231F20"/>
          <w:w w:val="105"/>
        </w:rPr>
        <w:t>the</w:t>
      </w:r>
      <w:r>
        <w:rPr>
          <w:color w:val="231F20"/>
          <w:w w:val="91"/>
        </w:rPr>
        <w:t xml:space="preserve"> </w:t>
      </w:r>
      <w:r>
        <w:rPr>
          <w:color w:val="231F20"/>
          <w:w w:val="105"/>
        </w:rPr>
        <w:t>forms</w:t>
      </w:r>
      <w:r>
        <w:rPr>
          <w:color w:val="231F20"/>
          <w:spacing w:val="10"/>
          <w:w w:val="105"/>
        </w:rPr>
        <w:t xml:space="preserve"> </w:t>
      </w:r>
      <w:r>
        <w:rPr>
          <w:color w:val="231F20"/>
          <w:w w:val="105"/>
        </w:rPr>
        <w:t>of</w:t>
      </w:r>
      <w:r>
        <w:rPr>
          <w:color w:val="231F20"/>
          <w:spacing w:val="10"/>
          <w:w w:val="105"/>
        </w:rPr>
        <w:t xml:space="preserve"> </w:t>
      </w:r>
      <w:r>
        <w:rPr>
          <w:color w:val="231F20"/>
          <w:w w:val="105"/>
        </w:rPr>
        <w:t>manipulation</w:t>
      </w:r>
      <w:r>
        <w:rPr>
          <w:color w:val="231F20"/>
          <w:spacing w:val="10"/>
          <w:w w:val="105"/>
        </w:rPr>
        <w:t xml:space="preserve"> </w:t>
      </w:r>
      <w:r>
        <w:rPr>
          <w:color w:val="231F20"/>
          <w:w w:val="105"/>
        </w:rPr>
        <w:t>have</w:t>
      </w:r>
      <w:r>
        <w:rPr>
          <w:color w:val="231F20"/>
          <w:spacing w:val="10"/>
          <w:w w:val="105"/>
        </w:rPr>
        <w:t xml:space="preserve"> </w:t>
      </w:r>
      <w:r>
        <w:rPr>
          <w:color w:val="231F20"/>
          <w:w w:val="105"/>
        </w:rPr>
        <w:t>now</w:t>
      </w:r>
      <w:r>
        <w:rPr>
          <w:color w:val="231F20"/>
          <w:spacing w:val="10"/>
          <w:w w:val="105"/>
        </w:rPr>
        <w:t xml:space="preserve"> </w:t>
      </w:r>
      <w:r>
        <w:rPr>
          <w:color w:val="231F20"/>
          <w:w w:val="105"/>
        </w:rPr>
        <w:t>been</w:t>
      </w:r>
      <w:r>
        <w:rPr>
          <w:color w:val="231F20"/>
          <w:spacing w:val="10"/>
          <w:w w:val="105"/>
        </w:rPr>
        <w:t xml:space="preserve"> </w:t>
      </w:r>
      <w:r>
        <w:rPr>
          <w:color w:val="231F20"/>
          <w:w w:val="105"/>
        </w:rPr>
        <w:t>perfected;</w:t>
      </w:r>
      <w:r>
        <w:rPr>
          <w:color w:val="231F20"/>
          <w:spacing w:val="10"/>
          <w:w w:val="105"/>
        </w:rPr>
        <w:t xml:space="preserve"> </w:t>
      </w:r>
      <w:r>
        <w:rPr>
          <w:color w:val="231F20"/>
          <w:w w:val="105"/>
        </w:rPr>
        <w:t>the</w:t>
      </w:r>
      <w:r>
        <w:rPr>
          <w:color w:val="231F20"/>
          <w:spacing w:val="10"/>
          <w:w w:val="105"/>
        </w:rPr>
        <w:t xml:space="preserve"> </w:t>
      </w:r>
      <w:r>
        <w:rPr>
          <w:color w:val="231F20"/>
          <w:w w:val="105"/>
        </w:rPr>
        <w:t>instruments</w:t>
      </w:r>
      <w:r>
        <w:rPr>
          <w:color w:val="231F20"/>
          <w:spacing w:val="10"/>
          <w:w w:val="105"/>
        </w:rPr>
        <w:t xml:space="preserve"> </w:t>
      </w:r>
      <w:r>
        <w:rPr>
          <w:color w:val="231F20"/>
          <w:w w:val="105"/>
        </w:rPr>
        <w:t>of</w:t>
      </w:r>
      <w:r>
        <w:rPr>
          <w:color w:val="231F20"/>
          <w:w w:val="109"/>
        </w:rPr>
        <w:t xml:space="preserve"> </w:t>
      </w:r>
      <w:r>
        <w:rPr>
          <w:color w:val="231F20"/>
          <w:w w:val="105"/>
        </w:rPr>
        <w:t>psychological</w:t>
      </w:r>
      <w:r>
        <w:rPr>
          <w:color w:val="231F20"/>
          <w:spacing w:val="-19"/>
          <w:w w:val="105"/>
        </w:rPr>
        <w:t xml:space="preserve"> </w:t>
      </w:r>
      <w:r>
        <w:rPr>
          <w:color w:val="231F20"/>
          <w:w w:val="105"/>
        </w:rPr>
        <w:t>warfare</w:t>
      </w:r>
      <w:r>
        <w:rPr>
          <w:color w:val="231F20"/>
          <w:spacing w:val="-19"/>
          <w:w w:val="105"/>
        </w:rPr>
        <w:t xml:space="preserve"> </w:t>
      </w:r>
      <w:r>
        <w:rPr>
          <w:color w:val="231F20"/>
          <w:w w:val="105"/>
        </w:rPr>
        <w:t>are</w:t>
      </w:r>
      <w:r>
        <w:rPr>
          <w:color w:val="231F20"/>
          <w:spacing w:val="-19"/>
          <w:w w:val="105"/>
        </w:rPr>
        <w:t xml:space="preserve"> </w:t>
      </w:r>
      <w:r>
        <w:rPr>
          <w:color w:val="231F20"/>
          <w:w w:val="105"/>
        </w:rPr>
        <w:t>more</w:t>
      </w:r>
      <w:r>
        <w:rPr>
          <w:color w:val="231F20"/>
          <w:spacing w:val="-19"/>
          <w:w w:val="105"/>
        </w:rPr>
        <w:t xml:space="preserve"> </w:t>
      </w:r>
      <w:r>
        <w:rPr>
          <w:color w:val="231F20"/>
          <w:w w:val="105"/>
        </w:rPr>
        <w:t>difficult</w:t>
      </w:r>
      <w:r>
        <w:rPr>
          <w:color w:val="231F20"/>
          <w:spacing w:val="-19"/>
          <w:w w:val="105"/>
        </w:rPr>
        <w:t xml:space="preserve"> </w:t>
      </w:r>
      <w:r>
        <w:rPr>
          <w:color w:val="231F20"/>
          <w:w w:val="105"/>
        </w:rPr>
        <w:t>to</w:t>
      </w:r>
      <w:r>
        <w:rPr>
          <w:color w:val="231F20"/>
          <w:spacing w:val="-19"/>
          <w:w w:val="105"/>
        </w:rPr>
        <w:t xml:space="preserve"> </w:t>
      </w:r>
      <w:r>
        <w:rPr>
          <w:color w:val="231F20"/>
          <w:w w:val="105"/>
        </w:rPr>
        <w:t>see</w:t>
      </w:r>
      <w:r>
        <w:rPr>
          <w:color w:val="231F20"/>
          <w:spacing w:val="-19"/>
          <w:w w:val="105"/>
        </w:rPr>
        <w:t xml:space="preserve"> </w:t>
      </w:r>
      <w:r>
        <w:rPr>
          <w:color w:val="231F20"/>
          <w:w w:val="105"/>
        </w:rPr>
        <w:t>through</w:t>
      </w:r>
      <w:r>
        <w:rPr>
          <w:color w:val="231F20"/>
          <w:spacing w:val="-19"/>
          <w:w w:val="105"/>
        </w:rPr>
        <w:t xml:space="preserve"> </w:t>
      </w:r>
      <w:r>
        <w:rPr>
          <w:color w:val="231F20"/>
          <w:w w:val="105"/>
        </w:rPr>
        <w:t>than</w:t>
      </w:r>
      <w:r>
        <w:rPr>
          <w:color w:val="231F20"/>
          <w:spacing w:val="-19"/>
          <w:w w:val="105"/>
        </w:rPr>
        <w:t xml:space="preserve"> </w:t>
      </w:r>
      <w:r>
        <w:rPr>
          <w:color w:val="231F20"/>
          <w:w w:val="105"/>
        </w:rPr>
        <w:t>the</w:t>
      </w:r>
      <w:r>
        <w:rPr>
          <w:color w:val="231F20"/>
          <w:spacing w:val="-19"/>
          <w:w w:val="105"/>
        </w:rPr>
        <w:t xml:space="preserve"> </w:t>
      </w:r>
      <w:r>
        <w:rPr>
          <w:color w:val="231F20"/>
          <w:w w:val="105"/>
        </w:rPr>
        <w:t>fascist</w:t>
      </w:r>
    </w:p>
    <w:p w14:paraId="13EBCB06" w14:textId="77777777" w:rsidR="002653E8" w:rsidRDefault="003115E3">
      <w:pPr>
        <w:pStyle w:val="a3"/>
        <w:spacing w:line="213" w:lineRule="exact"/>
        <w:ind w:left="1327"/>
      </w:pPr>
      <w:r>
        <w:rPr>
          <w:color w:val="231F20"/>
          <w:w w:val="105"/>
        </w:rPr>
        <w:t>propaganda of that time.</w:t>
      </w:r>
    </w:p>
    <w:p w14:paraId="57D8653E" w14:textId="77777777" w:rsidR="002653E8" w:rsidRDefault="002653E8">
      <w:pPr>
        <w:pStyle w:val="a3"/>
        <w:spacing w:before="8"/>
        <w:rPr>
          <w:sz w:val="23"/>
        </w:rPr>
      </w:pPr>
    </w:p>
    <w:p w14:paraId="23B0E0FA" w14:textId="77777777" w:rsidR="002653E8" w:rsidRDefault="003115E3">
      <w:pPr>
        <w:pStyle w:val="a3"/>
        <w:spacing w:line="264" w:lineRule="auto"/>
        <w:ind w:left="1328" w:right="1152" w:hanging="1"/>
        <w:jc w:val="both"/>
      </w:pPr>
      <w:r>
        <w:rPr>
          <w:color w:val="231F20"/>
        </w:rPr>
        <w:t xml:space="preserve">Q: What attitude do the democratic and anticapitalist forces in the FRG have towards the </w:t>
      </w:r>
      <w:r w:rsidR="00C507A5">
        <w:rPr>
          <w:color w:val="231F20"/>
        </w:rPr>
        <w:t>red army faction</w:t>
      </w:r>
      <w:r>
        <w:rPr>
          <w:color w:val="231F20"/>
        </w:rPr>
        <w:t xml:space="preserve"> trial?</w:t>
      </w:r>
    </w:p>
    <w:p w14:paraId="53B3AE69" w14:textId="77777777" w:rsidR="002653E8" w:rsidRDefault="002653E8">
      <w:pPr>
        <w:pStyle w:val="a3"/>
        <w:spacing w:before="8"/>
        <w:rPr>
          <w:sz w:val="21"/>
        </w:rPr>
      </w:pPr>
    </w:p>
    <w:p w14:paraId="2F36D8F3" w14:textId="77777777" w:rsidR="002653E8" w:rsidRDefault="003115E3">
      <w:pPr>
        <w:pStyle w:val="a3"/>
        <w:spacing w:line="264" w:lineRule="auto"/>
        <w:ind w:left="1327" w:right="1146"/>
        <w:jc w:val="both"/>
      </w:pPr>
      <w:r>
        <w:rPr>
          <w:color w:val="231F20"/>
        </w:rPr>
        <w:t xml:space="preserve">A: The left is afraid. The small, subversively-inclined groups push </w:t>
      </w:r>
      <w:r>
        <w:rPr>
          <w:color w:val="231F20"/>
          <w:spacing w:val="-3"/>
        </w:rPr>
        <w:t xml:space="preserve">away </w:t>
      </w:r>
      <w:r>
        <w:rPr>
          <w:color w:val="231F20"/>
        </w:rPr>
        <w:t xml:space="preserve">the trial. They know </w:t>
      </w:r>
      <w:r>
        <w:rPr>
          <w:color w:val="231F20"/>
          <w:spacing w:val="-3"/>
        </w:rPr>
        <w:t xml:space="preserve">it’s </w:t>
      </w:r>
      <w:r>
        <w:rPr>
          <w:color w:val="231F20"/>
        </w:rPr>
        <w:t xml:space="preserve">their trial, that in the end </w:t>
      </w:r>
      <w:r>
        <w:rPr>
          <w:color w:val="231F20"/>
          <w:spacing w:val="-3"/>
        </w:rPr>
        <w:t xml:space="preserve">it’s </w:t>
      </w:r>
      <w:r>
        <w:rPr>
          <w:color w:val="231F20"/>
        </w:rPr>
        <w:t xml:space="preserve">the Vietnam opposition of the 60s which is to be liquidated. They know that state security’s psychological war against the </w:t>
      </w:r>
      <w:r w:rsidR="00C507A5">
        <w:rPr>
          <w:color w:val="231F20"/>
        </w:rPr>
        <w:t>red army faction</w:t>
      </w:r>
      <w:r>
        <w:rPr>
          <w:color w:val="231F20"/>
        </w:rPr>
        <w:t xml:space="preserve">, in which the trials play a role and Stammheim is the </w:t>
      </w:r>
      <w:r>
        <w:rPr>
          <w:color w:val="231F20"/>
          <w:spacing w:val="-4"/>
        </w:rPr>
        <w:t xml:space="preserve">key, </w:t>
      </w:r>
      <w:r>
        <w:rPr>
          <w:color w:val="231F20"/>
        </w:rPr>
        <w:t>is directed against all opposition, and,  as such, against them as well. And the terror is effective. They agonize. They</w:t>
      </w:r>
      <w:r>
        <w:rPr>
          <w:color w:val="231F20"/>
          <w:spacing w:val="10"/>
        </w:rPr>
        <w:t xml:space="preserve"> </w:t>
      </w:r>
      <w:r>
        <w:rPr>
          <w:color w:val="231F20"/>
        </w:rPr>
        <w:t>are</w:t>
      </w:r>
      <w:r>
        <w:rPr>
          <w:color w:val="231F20"/>
          <w:spacing w:val="10"/>
        </w:rPr>
        <w:t xml:space="preserve"> </w:t>
      </w:r>
      <w:r>
        <w:rPr>
          <w:color w:val="231F20"/>
        </w:rPr>
        <w:t>angry,</w:t>
      </w:r>
      <w:r>
        <w:rPr>
          <w:color w:val="231F20"/>
          <w:spacing w:val="10"/>
        </w:rPr>
        <w:t xml:space="preserve"> </w:t>
      </w:r>
      <w:r>
        <w:rPr>
          <w:color w:val="231F20"/>
        </w:rPr>
        <w:t>but</w:t>
      </w:r>
      <w:r>
        <w:rPr>
          <w:color w:val="231F20"/>
          <w:spacing w:val="10"/>
        </w:rPr>
        <w:t xml:space="preserve"> </w:t>
      </w:r>
      <w:r>
        <w:rPr>
          <w:color w:val="231F20"/>
        </w:rPr>
        <w:t>stick</w:t>
      </w:r>
      <w:r>
        <w:rPr>
          <w:color w:val="231F20"/>
          <w:spacing w:val="10"/>
        </w:rPr>
        <w:t xml:space="preserve"> </w:t>
      </w:r>
      <w:r>
        <w:rPr>
          <w:color w:val="231F20"/>
        </w:rPr>
        <w:t>their</w:t>
      </w:r>
      <w:r>
        <w:rPr>
          <w:color w:val="231F20"/>
          <w:spacing w:val="10"/>
        </w:rPr>
        <w:t xml:space="preserve"> </w:t>
      </w:r>
      <w:r>
        <w:rPr>
          <w:color w:val="231F20"/>
        </w:rPr>
        <w:t>heads</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sand.</w:t>
      </w:r>
    </w:p>
    <w:p w14:paraId="662D9DD8" w14:textId="77777777" w:rsidR="002653E8" w:rsidRDefault="00000000">
      <w:pPr>
        <w:pStyle w:val="a3"/>
        <w:spacing w:before="9"/>
        <w:rPr>
          <w:sz w:val="13"/>
        </w:rPr>
      </w:pPr>
      <w:r>
        <w:rPr>
          <w:noProof w:val="0"/>
        </w:rPr>
        <w:pict w14:anchorId="07092DE3">
          <v:line id="_x0000_s2249" style="position:absolute;z-index:9016;mso-wrap-distance-left:0;mso-wrap-distance-right:0;mso-position-horizontal-relative:page" from="66.4pt,10.55pt" to="354.4pt,10.55pt" strokecolor="#231f20" strokeweight="1pt">
            <w10:wrap type="topAndBottom" anchorx="page"/>
          </v:line>
        </w:pict>
      </w:r>
    </w:p>
    <w:p w14:paraId="7F0D50D0" w14:textId="77777777" w:rsidR="002653E8" w:rsidRDefault="003115E3">
      <w:pPr>
        <w:spacing w:before="8" w:line="254" w:lineRule="auto"/>
        <w:ind w:left="1327" w:right="1145"/>
        <w:rPr>
          <w:sz w:val="16"/>
        </w:rPr>
      </w:pPr>
      <w:r>
        <w:rPr>
          <w:color w:val="231F20"/>
          <w:w w:val="105"/>
          <w:sz w:val="16"/>
        </w:rPr>
        <w:t>prisoners themselves; see Brigitte Mohnhaupt’s Testimony at the Stammheim Trial, July 22, 1976, cf 357-8.</w:t>
      </w:r>
    </w:p>
    <w:p w14:paraId="3CE24A9A" w14:textId="77777777" w:rsidR="002653E8" w:rsidRDefault="003115E3">
      <w:pPr>
        <w:pStyle w:val="a4"/>
        <w:numPr>
          <w:ilvl w:val="0"/>
          <w:numId w:val="8"/>
        </w:numPr>
        <w:tabs>
          <w:tab w:val="left" w:pos="1467"/>
        </w:tabs>
        <w:spacing w:line="254" w:lineRule="auto"/>
        <w:ind w:right="1313" w:firstLine="0"/>
        <w:rPr>
          <w:sz w:val="16"/>
        </w:rPr>
      </w:pPr>
      <w:bookmarkStart w:id="195" w:name="_Hlk130588821"/>
      <w:r>
        <w:rPr>
          <w:i/>
          <w:color w:val="231F20"/>
          <w:spacing w:val="1"/>
          <w:w w:val="105"/>
          <w:sz w:val="16"/>
        </w:rPr>
        <w:t xml:space="preserve">Reichsschrifttumkammer </w:t>
      </w:r>
      <w:r>
        <w:rPr>
          <w:color w:val="231F20"/>
          <w:w w:val="105"/>
          <w:sz w:val="16"/>
        </w:rPr>
        <w:t>(Reich Writers Chamber): a legal body responsible for classifying literature during the Third</w:t>
      </w:r>
      <w:r>
        <w:rPr>
          <w:color w:val="231F20"/>
          <w:spacing w:val="6"/>
          <w:w w:val="105"/>
          <w:sz w:val="16"/>
        </w:rPr>
        <w:t xml:space="preserve"> </w:t>
      </w:r>
      <w:r>
        <w:rPr>
          <w:color w:val="231F20"/>
          <w:w w:val="105"/>
          <w:sz w:val="16"/>
        </w:rPr>
        <w:t>Reich.</w:t>
      </w:r>
    </w:p>
    <w:p w14:paraId="5054C658" w14:textId="77777777" w:rsidR="002653E8" w:rsidRDefault="003115E3">
      <w:pPr>
        <w:pStyle w:val="a4"/>
        <w:numPr>
          <w:ilvl w:val="0"/>
          <w:numId w:val="8"/>
        </w:numPr>
        <w:tabs>
          <w:tab w:val="left" w:pos="1467"/>
        </w:tabs>
        <w:spacing w:before="40" w:line="254" w:lineRule="auto"/>
        <w:ind w:right="1201" w:firstLine="0"/>
        <w:rPr>
          <w:sz w:val="16"/>
        </w:rPr>
      </w:pPr>
      <w:r>
        <w:rPr>
          <w:i/>
          <w:color w:val="231F20"/>
          <w:w w:val="105"/>
          <w:sz w:val="16"/>
        </w:rPr>
        <w:t xml:space="preserve">Volksgerichthof </w:t>
      </w:r>
      <w:r>
        <w:rPr>
          <w:color w:val="231F20"/>
          <w:w w:val="105"/>
          <w:sz w:val="16"/>
        </w:rPr>
        <w:t>(People’s Court): the Nazi puppet court that hounded opponents, usually</w:t>
      </w:r>
      <w:r>
        <w:rPr>
          <w:color w:val="231F20"/>
          <w:spacing w:val="5"/>
          <w:w w:val="105"/>
          <w:sz w:val="16"/>
        </w:rPr>
        <w:t xml:space="preserve"> </w:t>
      </w:r>
      <w:r>
        <w:rPr>
          <w:color w:val="231F20"/>
          <w:w w:val="105"/>
          <w:sz w:val="16"/>
        </w:rPr>
        <w:t>sentencing</w:t>
      </w:r>
      <w:r>
        <w:rPr>
          <w:color w:val="231F20"/>
          <w:spacing w:val="5"/>
          <w:w w:val="105"/>
          <w:sz w:val="16"/>
        </w:rPr>
        <w:t xml:space="preserve"> </w:t>
      </w:r>
      <w:r>
        <w:rPr>
          <w:color w:val="231F20"/>
          <w:w w:val="105"/>
          <w:sz w:val="16"/>
        </w:rPr>
        <w:t>them</w:t>
      </w:r>
      <w:r>
        <w:rPr>
          <w:color w:val="231F20"/>
          <w:spacing w:val="5"/>
          <w:w w:val="105"/>
          <w:sz w:val="16"/>
        </w:rPr>
        <w:t xml:space="preserve"> </w:t>
      </w:r>
      <w:r>
        <w:rPr>
          <w:color w:val="231F20"/>
          <w:w w:val="105"/>
          <w:sz w:val="16"/>
        </w:rPr>
        <w:t>to</w:t>
      </w:r>
      <w:r>
        <w:rPr>
          <w:color w:val="231F20"/>
          <w:spacing w:val="5"/>
          <w:w w:val="105"/>
          <w:sz w:val="16"/>
        </w:rPr>
        <w:t xml:space="preserve"> </w:t>
      </w:r>
      <w:r>
        <w:rPr>
          <w:color w:val="231F20"/>
          <w:w w:val="105"/>
          <w:sz w:val="16"/>
        </w:rPr>
        <w:t>death</w:t>
      </w:r>
      <w:r>
        <w:rPr>
          <w:color w:val="231F20"/>
          <w:spacing w:val="5"/>
          <w:w w:val="105"/>
          <w:sz w:val="16"/>
        </w:rPr>
        <w:t xml:space="preserve"> </w:t>
      </w:r>
      <w:r>
        <w:rPr>
          <w:color w:val="231F20"/>
          <w:w w:val="105"/>
          <w:sz w:val="16"/>
        </w:rPr>
        <w:t>on</w:t>
      </w:r>
      <w:r>
        <w:rPr>
          <w:color w:val="231F20"/>
          <w:spacing w:val="5"/>
          <w:w w:val="105"/>
          <w:sz w:val="16"/>
        </w:rPr>
        <w:t xml:space="preserve"> </w:t>
      </w:r>
      <w:r>
        <w:rPr>
          <w:color w:val="231F20"/>
          <w:w w:val="105"/>
          <w:sz w:val="16"/>
        </w:rPr>
        <w:t>the</w:t>
      </w:r>
      <w:r>
        <w:rPr>
          <w:color w:val="231F20"/>
          <w:spacing w:val="5"/>
          <w:w w:val="105"/>
          <w:sz w:val="16"/>
        </w:rPr>
        <w:t xml:space="preserve"> </w:t>
      </w:r>
      <w:r>
        <w:rPr>
          <w:color w:val="231F20"/>
          <w:w w:val="105"/>
          <w:sz w:val="16"/>
        </w:rPr>
        <w:t>basis</w:t>
      </w:r>
      <w:r>
        <w:rPr>
          <w:color w:val="231F20"/>
          <w:spacing w:val="5"/>
          <w:w w:val="105"/>
          <w:sz w:val="16"/>
        </w:rPr>
        <w:t xml:space="preserve"> </w:t>
      </w:r>
      <w:r>
        <w:rPr>
          <w:color w:val="231F20"/>
          <w:w w:val="105"/>
          <w:sz w:val="16"/>
        </w:rPr>
        <w:t>of</w:t>
      </w:r>
      <w:r>
        <w:rPr>
          <w:color w:val="231F20"/>
          <w:spacing w:val="5"/>
          <w:w w:val="105"/>
          <w:sz w:val="16"/>
        </w:rPr>
        <w:t xml:space="preserve"> </w:t>
      </w:r>
      <w:r>
        <w:rPr>
          <w:color w:val="231F20"/>
          <w:w w:val="105"/>
          <w:sz w:val="16"/>
        </w:rPr>
        <w:t>coerced</w:t>
      </w:r>
      <w:r>
        <w:rPr>
          <w:color w:val="231F20"/>
          <w:spacing w:val="5"/>
          <w:w w:val="105"/>
          <w:sz w:val="16"/>
        </w:rPr>
        <w:t xml:space="preserve"> </w:t>
      </w:r>
      <w:r>
        <w:rPr>
          <w:color w:val="231F20"/>
          <w:w w:val="105"/>
          <w:sz w:val="16"/>
        </w:rPr>
        <w:t>and</w:t>
      </w:r>
      <w:r>
        <w:rPr>
          <w:color w:val="231F20"/>
          <w:spacing w:val="5"/>
          <w:w w:val="105"/>
          <w:sz w:val="16"/>
        </w:rPr>
        <w:t xml:space="preserve"> </w:t>
      </w:r>
      <w:r>
        <w:rPr>
          <w:color w:val="231F20"/>
          <w:w w:val="105"/>
          <w:sz w:val="16"/>
        </w:rPr>
        <w:t>falsified</w:t>
      </w:r>
      <w:r>
        <w:rPr>
          <w:color w:val="231F20"/>
          <w:spacing w:val="5"/>
          <w:w w:val="105"/>
          <w:sz w:val="16"/>
        </w:rPr>
        <w:t xml:space="preserve"> </w:t>
      </w:r>
      <w:r>
        <w:rPr>
          <w:color w:val="231F20"/>
          <w:w w:val="105"/>
          <w:sz w:val="16"/>
        </w:rPr>
        <w:t>testimony.</w:t>
      </w:r>
    </w:p>
    <w:bookmarkEnd w:id="195"/>
    <w:p w14:paraId="5F49F3FC" w14:textId="77777777" w:rsidR="002653E8" w:rsidRDefault="002653E8">
      <w:pPr>
        <w:spacing w:line="254" w:lineRule="auto"/>
        <w:rPr>
          <w:sz w:val="16"/>
        </w:rPr>
        <w:sectPr w:rsidR="002653E8">
          <w:pgSz w:w="8640" w:h="12960"/>
          <w:pgMar w:top="1060" w:right="0" w:bottom="1040" w:left="0" w:header="0" w:footer="850" w:gutter="0"/>
          <w:cols w:space="720"/>
        </w:sectPr>
      </w:pPr>
    </w:p>
    <w:p w14:paraId="3321F878" w14:textId="77777777" w:rsidR="002653E8" w:rsidRDefault="003115E3">
      <w:pPr>
        <w:pStyle w:val="a3"/>
        <w:spacing w:before="86" w:line="264" w:lineRule="auto"/>
        <w:ind w:left="1147" w:right="1325" w:firstLine="210"/>
        <w:jc w:val="both"/>
      </w:pPr>
      <w:r>
        <w:rPr>
          <w:color w:val="231F20"/>
          <w:spacing w:val="-3"/>
          <w:w w:val="105"/>
        </w:rPr>
        <w:lastRenderedPageBreak/>
        <w:t xml:space="preserve">It’s </w:t>
      </w:r>
      <w:r>
        <w:rPr>
          <w:color w:val="231F20"/>
          <w:w w:val="105"/>
        </w:rPr>
        <w:t xml:space="preserve">gone so far that </w:t>
      </w:r>
      <w:r>
        <w:rPr>
          <w:i/>
          <w:color w:val="231F20"/>
          <w:w w:val="105"/>
        </w:rPr>
        <w:t xml:space="preserve">Informationsdienst, </w:t>
      </w:r>
      <w:r>
        <w:rPr>
          <w:color w:val="231F20"/>
          <w:w w:val="105"/>
        </w:rPr>
        <w:t>which published, in the Federal</w:t>
      </w:r>
      <w:r>
        <w:rPr>
          <w:color w:val="231F20"/>
          <w:spacing w:val="-14"/>
          <w:w w:val="105"/>
        </w:rPr>
        <w:t xml:space="preserve"> </w:t>
      </w:r>
      <w:r>
        <w:rPr>
          <w:color w:val="231F20"/>
          <w:w w:val="105"/>
        </w:rPr>
        <w:t>Republic,</w:t>
      </w:r>
      <w:r>
        <w:rPr>
          <w:color w:val="231F20"/>
          <w:spacing w:val="-14"/>
          <w:w w:val="105"/>
        </w:rPr>
        <w:t xml:space="preserve"> </w:t>
      </w:r>
      <w:r>
        <w:rPr>
          <w:color w:val="231F20"/>
          <w:w w:val="105"/>
        </w:rPr>
        <w:t>the</w:t>
      </w:r>
      <w:r>
        <w:rPr>
          <w:color w:val="231F20"/>
          <w:spacing w:val="-14"/>
          <w:w w:val="105"/>
        </w:rPr>
        <w:t xml:space="preserve"> </w:t>
      </w:r>
      <w:r>
        <w:rPr>
          <w:color w:val="231F20"/>
          <w:w w:val="105"/>
        </w:rPr>
        <w:t>names</w:t>
      </w:r>
      <w:r>
        <w:rPr>
          <w:color w:val="231F20"/>
          <w:spacing w:val="-14"/>
          <w:w w:val="105"/>
        </w:rPr>
        <w:t xml:space="preserve"> </w:t>
      </w:r>
      <w:r>
        <w:rPr>
          <w:color w:val="231F20"/>
          <w:w w:val="105"/>
        </w:rPr>
        <w:t>of</w:t>
      </w:r>
      <w:r>
        <w:rPr>
          <w:color w:val="231F20"/>
          <w:spacing w:val="-14"/>
          <w:w w:val="105"/>
        </w:rPr>
        <w:t xml:space="preserve"> </w:t>
      </w:r>
      <w:r>
        <w:rPr>
          <w:color w:val="231F20"/>
          <w:w w:val="105"/>
        </w:rPr>
        <w:t>a</w:t>
      </w:r>
      <w:r>
        <w:rPr>
          <w:color w:val="231F20"/>
          <w:spacing w:val="-14"/>
          <w:w w:val="105"/>
        </w:rPr>
        <w:t xml:space="preserve"> </w:t>
      </w:r>
      <w:r>
        <w:rPr>
          <w:color w:val="231F20"/>
          <w:w w:val="105"/>
        </w:rPr>
        <w:t>few</w:t>
      </w:r>
      <w:r>
        <w:rPr>
          <w:color w:val="231F20"/>
          <w:spacing w:val="-14"/>
          <w:w w:val="105"/>
        </w:rPr>
        <w:t xml:space="preserve"> </w:t>
      </w:r>
      <w:r>
        <w:rPr>
          <w:color w:val="231F20"/>
          <w:spacing w:val="3"/>
          <w:w w:val="105"/>
        </w:rPr>
        <w:t>CIA</w:t>
      </w:r>
      <w:r>
        <w:rPr>
          <w:color w:val="231F20"/>
          <w:spacing w:val="-14"/>
          <w:w w:val="105"/>
        </w:rPr>
        <w:t xml:space="preserve"> </w:t>
      </w:r>
      <w:r>
        <w:rPr>
          <w:color w:val="231F20"/>
          <w:w w:val="105"/>
        </w:rPr>
        <w:t>agents</w:t>
      </w:r>
      <w:r>
        <w:rPr>
          <w:color w:val="231F20"/>
          <w:spacing w:val="-14"/>
          <w:w w:val="105"/>
        </w:rPr>
        <w:t xml:space="preserve"> </w:t>
      </w:r>
      <w:r>
        <w:rPr>
          <w:color w:val="231F20"/>
          <w:w w:val="105"/>
        </w:rPr>
        <w:t>from</w:t>
      </w:r>
      <w:r>
        <w:rPr>
          <w:color w:val="231F20"/>
          <w:spacing w:val="-14"/>
          <w:w w:val="105"/>
        </w:rPr>
        <w:t xml:space="preserve"> </w:t>
      </w:r>
      <w:r>
        <w:rPr>
          <w:color w:val="231F20"/>
          <w:w w:val="105"/>
        </w:rPr>
        <w:t>the</w:t>
      </w:r>
      <w:r>
        <w:rPr>
          <w:color w:val="231F20"/>
          <w:spacing w:val="-14"/>
          <w:w w:val="105"/>
        </w:rPr>
        <w:t xml:space="preserve"> </w:t>
      </w:r>
      <w:r>
        <w:rPr>
          <w:color w:val="231F20"/>
          <w:spacing w:val="1"/>
          <w:w w:val="105"/>
        </w:rPr>
        <w:t>U.S.</w:t>
      </w:r>
      <w:r>
        <w:rPr>
          <w:color w:val="231F20"/>
          <w:spacing w:val="-14"/>
          <w:w w:val="105"/>
        </w:rPr>
        <w:t xml:space="preserve"> </w:t>
      </w:r>
      <w:r>
        <w:rPr>
          <w:color w:val="231F20"/>
          <w:w w:val="105"/>
        </w:rPr>
        <w:t xml:space="preserve">embassy in Bonn, does not dare to publish prisoners’ texts that have already been read in public. Of the Maoist groups, the KBW has at least criticized the trial from a legal point of </w:t>
      </w:r>
      <w:r>
        <w:rPr>
          <w:color w:val="231F20"/>
          <w:spacing w:val="-3"/>
          <w:w w:val="105"/>
        </w:rPr>
        <w:t xml:space="preserve">view. </w:t>
      </w:r>
      <w:r>
        <w:rPr>
          <w:color w:val="231F20"/>
          <w:w w:val="105"/>
        </w:rPr>
        <w:t xml:space="preserve">They </w:t>
      </w:r>
      <w:r>
        <w:rPr>
          <w:color w:val="231F20"/>
          <w:spacing w:val="-3"/>
          <w:w w:val="105"/>
        </w:rPr>
        <w:t xml:space="preserve">don’t </w:t>
      </w:r>
      <w:r>
        <w:rPr>
          <w:color w:val="231F20"/>
          <w:w w:val="105"/>
        </w:rPr>
        <w:t xml:space="preserve">understand that the violations of the </w:t>
      </w:r>
      <w:r>
        <w:rPr>
          <w:color w:val="231F20"/>
          <w:spacing w:val="-4"/>
          <w:w w:val="105"/>
        </w:rPr>
        <w:t xml:space="preserve">law, </w:t>
      </w:r>
      <w:r>
        <w:rPr>
          <w:color w:val="231F20"/>
          <w:w w:val="105"/>
        </w:rPr>
        <w:t>the legalization of isolation torture by the Federal</w:t>
      </w:r>
      <w:r>
        <w:rPr>
          <w:color w:val="231F20"/>
          <w:spacing w:val="-10"/>
          <w:w w:val="105"/>
        </w:rPr>
        <w:t xml:space="preserve"> </w:t>
      </w:r>
      <w:r>
        <w:rPr>
          <w:color w:val="231F20"/>
          <w:w w:val="105"/>
        </w:rPr>
        <w:t>Supreme</w:t>
      </w:r>
      <w:r>
        <w:rPr>
          <w:color w:val="231F20"/>
          <w:spacing w:val="-10"/>
          <w:w w:val="105"/>
        </w:rPr>
        <w:t xml:space="preserve"> </w:t>
      </w:r>
      <w:r>
        <w:rPr>
          <w:color w:val="231F20"/>
          <w:w w:val="105"/>
        </w:rPr>
        <w:t>Court</w:t>
      </w:r>
      <w:r>
        <w:rPr>
          <w:color w:val="231F20"/>
          <w:spacing w:val="-10"/>
          <w:w w:val="105"/>
        </w:rPr>
        <w:t xml:space="preserve"> </w:t>
      </w:r>
      <w:r>
        <w:rPr>
          <w:color w:val="231F20"/>
          <w:w w:val="105"/>
        </w:rPr>
        <w:t>and</w:t>
      </w:r>
      <w:r>
        <w:rPr>
          <w:color w:val="231F20"/>
          <w:spacing w:val="-10"/>
          <w:w w:val="105"/>
        </w:rPr>
        <w:t xml:space="preserve"> </w:t>
      </w:r>
      <w:r>
        <w:rPr>
          <w:color w:val="231F20"/>
          <w:w w:val="105"/>
        </w:rPr>
        <w:t>the</w:t>
      </w:r>
      <w:r>
        <w:rPr>
          <w:color w:val="231F20"/>
          <w:spacing w:val="-10"/>
          <w:w w:val="105"/>
        </w:rPr>
        <w:t xml:space="preserve"> </w:t>
      </w:r>
      <w:r>
        <w:rPr>
          <w:color w:val="231F20"/>
          <w:w w:val="105"/>
        </w:rPr>
        <w:t>Federal</w:t>
      </w:r>
      <w:r>
        <w:rPr>
          <w:color w:val="231F20"/>
          <w:spacing w:val="-10"/>
          <w:w w:val="105"/>
        </w:rPr>
        <w:t xml:space="preserve"> </w:t>
      </w:r>
      <w:r>
        <w:rPr>
          <w:color w:val="231F20"/>
          <w:w w:val="105"/>
        </w:rPr>
        <w:t>Constitutional</w:t>
      </w:r>
      <w:r>
        <w:rPr>
          <w:color w:val="231F20"/>
          <w:spacing w:val="-10"/>
          <w:w w:val="105"/>
        </w:rPr>
        <w:t xml:space="preserve"> </w:t>
      </w:r>
      <w:r>
        <w:rPr>
          <w:color w:val="231F20"/>
          <w:w w:val="105"/>
        </w:rPr>
        <w:t>Court</w:t>
      </w:r>
      <w:r>
        <w:rPr>
          <w:color w:val="231F20"/>
          <w:spacing w:val="-10"/>
          <w:w w:val="105"/>
        </w:rPr>
        <w:t xml:space="preserve"> </w:t>
      </w:r>
      <w:r>
        <w:rPr>
          <w:color w:val="231F20"/>
          <w:w w:val="105"/>
        </w:rPr>
        <w:t>are</w:t>
      </w:r>
      <w:r>
        <w:rPr>
          <w:color w:val="231F20"/>
          <w:spacing w:val="-10"/>
          <w:w w:val="105"/>
        </w:rPr>
        <w:t xml:space="preserve"> </w:t>
      </w:r>
      <w:r>
        <w:rPr>
          <w:color w:val="231F20"/>
          <w:w w:val="105"/>
        </w:rPr>
        <w:t>signs of</w:t>
      </w:r>
      <w:r>
        <w:rPr>
          <w:color w:val="231F20"/>
          <w:spacing w:val="-26"/>
          <w:w w:val="105"/>
        </w:rPr>
        <w:t xml:space="preserve"> </w:t>
      </w:r>
      <w:r>
        <w:rPr>
          <w:color w:val="231F20"/>
          <w:w w:val="105"/>
        </w:rPr>
        <w:t>war</w:t>
      </w:r>
      <w:r>
        <w:rPr>
          <w:color w:val="231F20"/>
          <w:spacing w:val="-26"/>
          <w:w w:val="105"/>
        </w:rPr>
        <w:t xml:space="preserve"> </w:t>
      </w:r>
      <w:r>
        <w:rPr>
          <w:color w:val="231F20"/>
          <w:w w:val="105"/>
        </w:rPr>
        <w:t>and</w:t>
      </w:r>
      <w:r>
        <w:rPr>
          <w:color w:val="231F20"/>
          <w:spacing w:val="-26"/>
          <w:w w:val="105"/>
        </w:rPr>
        <w:t xml:space="preserve"> </w:t>
      </w:r>
      <w:r>
        <w:rPr>
          <w:color w:val="231F20"/>
          <w:w w:val="105"/>
        </w:rPr>
        <w:t>fascism.</w:t>
      </w:r>
      <w:r>
        <w:rPr>
          <w:color w:val="231F20"/>
          <w:spacing w:val="-26"/>
          <w:w w:val="105"/>
        </w:rPr>
        <w:t xml:space="preserve"> </w:t>
      </w:r>
      <w:r>
        <w:rPr>
          <w:color w:val="231F20"/>
          <w:w w:val="105"/>
        </w:rPr>
        <w:t>With</w:t>
      </w:r>
      <w:r>
        <w:rPr>
          <w:color w:val="231F20"/>
          <w:spacing w:val="-26"/>
          <w:w w:val="105"/>
        </w:rPr>
        <w:t xml:space="preserve"> </w:t>
      </w:r>
      <w:r>
        <w:rPr>
          <w:color w:val="231F20"/>
          <w:w w:val="105"/>
        </w:rPr>
        <w:t>their</w:t>
      </w:r>
      <w:r>
        <w:rPr>
          <w:color w:val="231F20"/>
          <w:spacing w:val="-26"/>
          <w:w w:val="105"/>
        </w:rPr>
        <w:t xml:space="preserve"> </w:t>
      </w:r>
      <w:r>
        <w:rPr>
          <w:color w:val="231F20"/>
          <w:w w:val="105"/>
        </w:rPr>
        <w:t>stupid</w:t>
      </w:r>
      <w:r>
        <w:rPr>
          <w:color w:val="231F20"/>
          <w:spacing w:val="-26"/>
          <w:w w:val="105"/>
        </w:rPr>
        <w:t xml:space="preserve"> </w:t>
      </w:r>
      <w:r>
        <w:rPr>
          <w:color w:val="231F20"/>
          <w:w w:val="105"/>
        </w:rPr>
        <w:t>dogmatism,</w:t>
      </w:r>
      <w:r>
        <w:rPr>
          <w:color w:val="231F20"/>
          <w:spacing w:val="-26"/>
          <w:w w:val="105"/>
        </w:rPr>
        <w:t xml:space="preserve"> </w:t>
      </w:r>
      <w:r>
        <w:rPr>
          <w:color w:val="231F20"/>
          <w:w w:val="105"/>
        </w:rPr>
        <w:t>they</w:t>
      </w:r>
      <w:r>
        <w:rPr>
          <w:color w:val="231F20"/>
          <w:spacing w:val="-26"/>
          <w:w w:val="105"/>
        </w:rPr>
        <w:t xml:space="preserve"> </w:t>
      </w:r>
      <w:r>
        <w:rPr>
          <w:color w:val="231F20"/>
          <w:w w:val="105"/>
        </w:rPr>
        <w:t>misrepresent</w:t>
      </w:r>
      <w:r>
        <w:rPr>
          <w:color w:val="231F20"/>
          <w:spacing w:val="-26"/>
          <w:w w:val="105"/>
        </w:rPr>
        <w:t xml:space="preserve"> </w:t>
      </w:r>
      <w:r>
        <w:rPr>
          <w:color w:val="231F20"/>
          <w:w w:val="105"/>
        </w:rPr>
        <w:t>the prisoners’</w:t>
      </w:r>
      <w:r>
        <w:rPr>
          <w:color w:val="231F20"/>
          <w:spacing w:val="-25"/>
          <w:w w:val="105"/>
        </w:rPr>
        <w:t xml:space="preserve"> </w:t>
      </w:r>
      <w:r>
        <w:rPr>
          <w:color w:val="231F20"/>
          <w:w w:val="105"/>
        </w:rPr>
        <w:t>politics</w:t>
      </w:r>
      <w:r>
        <w:rPr>
          <w:color w:val="231F20"/>
          <w:spacing w:val="-25"/>
          <w:w w:val="105"/>
        </w:rPr>
        <w:t xml:space="preserve"> </w:t>
      </w:r>
      <w:r>
        <w:rPr>
          <w:color w:val="231F20"/>
          <w:w w:val="105"/>
        </w:rPr>
        <w:t>and</w:t>
      </w:r>
      <w:r>
        <w:rPr>
          <w:color w:val="231F20"/>
          <w:spacing w:val="-25"/>
          <w:w w:val="105"/>
        </w:rPr>
        <w:t xml:space="preserve"> </w:t>
      </w:r>
      <w:r>
        <w:rPr>
          <w:color w:val="231F20"/>
          <w:w w:val="105"/>
        </w:rPr>
        <w:t>defend</w:t>
      </w:r>
      <w:r>
        <w:rPr>
          <w:color w:val="231F20"/>
          <w:spacing w:val="-25"/>
          <w:w w:val="105"/>
        </w:rPr>
        <w:t xml:space="preserve"> </w:t>
      </w:r>
      <w:r>
        <w:rPr>
          <w:color w:val="231F20"/>
          <w:w w:val="105"/>
        </w:rPr>
        <w:t>democratic</w:t>
      </w:r>
      <w:r>
        <w:rPr>
          <w:color w:val="231F20"/>
          <w:spacing w:val="-25"/>
          <w:w w:val="105"/>
        </w:rPr>
        <w:t xml:space="preserve"> </w:t>
      </w:r>
      <w:r>
        <w:rPr>
          <w:color w:val="231F20"/>
          <w:w w:val="105"/>
        </w:rPr>
        <w:t>rights,</w:t>
      </w:r>
      <w:r>
        <w:rPr>
          <w:color w:val="231F20"/>
          <w:spacing w:val="-25"/>
          <w:w w:val="105"/>
        </w:rPr>
        <w:t xml:space="preserve"> </w:t>
      </w:r>
      <w:r>
        <w:rPr>
          <w:color w:val="231F20"/>
          <w:w w:val="105"/>
        </w:rPr>
        <w:t>which</w:t>
      </w:r>
      <w:r>
        <w:rPr>
          <w:color w:val="231F20"/>
          <w:spacing w:val="-25"/>
          <w:w w:val="105"/>
        </w:rPr>
        <w:t xml:space="preserve"> </w:t>
      </w:r>
      <w:r>
        <w:rPr>
          <w:color w:val="231F20"/>
          <w:w w:val="105"/>
        </w:rPr>
        <w:t>were</w:t>
      </w:r>
      <w:r>
        <w:rPr>
          <w:color w:val="231F20"/>
          <w:spacing w:val="-25"/>
          <w:w w:val="105"/>
        </w:rPr>
        <w:t xml:space="preserve"> </w:t>
      </w:r>
      <w:r>
        <w:rPr>
          <w:color w:val="231F20"/>
          <w:w w:val="105"/>
        </w:rPr>
        <w:t>never</w:t>
      </w:r>
      <w:r>
        <w:rPr>
          <w:color w:val="231F20"/>
          <w:spacing w:val="-25"/>
          <w:w w:val="105"/>
        </w:rPr>
        <w:t xml:space="preserve"> </w:t>
      </w:r>
      <w:r>
        <w:rPr>
          <w:color w:val="231F20"/>
          <w:w w:val="105"/>
        </w:rPr>
        <w:t>real in the Federal Republic, and which are embedded in the Constitution only</w:t>
      </w:r>
      <w:r>
        <w:rPr>
          <w:color w:val="231F20"/>
          <w:spacing w:val="-24"/>
          <w:w w:val="105"/>
        </w:rPr>
        <w:t xml:space="preserve"> </w:t>
      </w:r>
      <w:r>
        <w:rPr>
          <w:color w:val="231F20"/>
          <w:w w:val="105"/>
        </w:rPr>
        <w:t>as</w:t>
      </w:r>
      <w:r>
        <w:rPr>
          <w:color w:val="231F20"/>
          <w:spacing w:val="-24"/>
          <w:w w:val="105"/>
        </w:rPr>
        <w:t xml:space="preserve"> </w:t>
      </w:r>
      <w:r>
        <w:rPr>
          <w:color w:val="231F20"/>
          <w:w w:val="105"/>
        </w:rPr>
        <w:t>a</w:t>
      </w:r>
      <w:r>
        <w:rPr>
          <w:color w:val="231F20"/>
          <w:spacing w:val="-24"/>
          <w:w w:val="105"/>
        </w:rPr>
        <w:t xml:space="preserve"> </w:t>
      </w:r>
      <w:r>
        <w:rPr>
          <w:color w:val="231F20"/>
          <w:w w:val="105"/>
        </w:rPr>
        <w:t>vehicle</w:t>
      </w:r>
      <w:r>
        <w:rPr>
          <w:color w:val="231F20"/>
          <w:spacing w:val="-24"/>
          <w:w w:val="105"/>
        </w:rPr>
        <w:t xml:space="preserve"> </w:t>
      </w:r>
      <w:r>
        <w:rPr>
          <w:color w:val="231F20"/>
          <w:w w:val="105"/>
        </w:rPr>
        <w:t>for</w:t>
      </w:r>
      <w:r>
        <w:rPr>
          <w:color w:val="231F20"/>
          <w:spacing w:val="-24"/>
          <w:w w:val="105"/>
        </w:rPr>
        <w:t xml:space="preserve"> </w:t>
      </w:r>
      <w:r>
        <w:rPr>
          <w:color w:val="231F20"/>
          <w:w w:val="105"/>
        </w:rPr>
        <w:t>anticommunism.</w:t>
      </w:r>
      <w:r>
        <w:rPr>
          <w:color w:val="231F20"/>
          <w:spacing w:val="-24"/>
          <w:w w:val="105"/>
        </w:rPr>
        <w:t xml:space="preserve"> </w:t>
      </w:r>
      <w:r>
        <w:rPr>
          <w:color w:val="231F20"/>
          <w:w w:val="105"/>
        </w:rPr>
        <w:t>But</w:t>
      </w:r>
      <w:r>
        <w:rPr>
          <w:color w:val="231F20"/>
          <w:spacing w:val="-24"/>
          <w:w w:val="105"/>
        </w:rPr>
        <w:t xml:space="preserve"> </w:t>
      </w:r>
      <w:r>
        <w:rPr>
          <w:color w:val="231F20"/>
          <w:w w:val="105"/>
        </w:rPr>
        <w:t>that</w:t>
      </w:r>
      <w:r>
        <w:rPr>
          <w:color w:val="231F20"/>
          <w:spacing w:val="-24"/>
          <w:w w:val="105"/>
        </w:rPr>
        <w:t xml:space="preserve"> </w:t>
      </w:r>
      <w:r>
        <w:rPr>
          <w:color w:val="231F20"/>
          <w:w w:val="105"/>
        </w:rPr>
        <w:t>doesn’t</w:t>
      </w:r>
      <w:r>
        <w:rPr>
          <w:color w:val="231F20"/>
          <w:spacing w:val="-24"/>
          <w:w w:val="105"/>
        </w:rPr>
        <w:t xml:space="preserve"> </w:t>
      </w:r>
      <w:r>
        <w:rPr>
          <w:color w:val="231F20"/>
          <w:w w:val="105"/>
        </w:rPr>
        <w:t>work</w:t>
      </w:r>
      <w:r>
        <w:rPr>
          <w:color w:val="231F20"/>
          <w:spacing w:val="-24"/>
          <w:w w:val="105"/>
        </w:rPr>
        <w:t xml:space="preserve"> </w:t>
      </w:r>
      <w:r>
        <w:rPr>
          <w:color w:val="231F20"/>
          <w:w w:val="105"/>
        </w:rPr>
        <w:t>for</w:t>
      </w:r>
      <w:r>
        <w:rPr>
          <w:color w:val="231F20"/>
          <w:spacing w:val="-24"/>
          <w:w w:val="105"/>
        </w:rPr>
        <w:t xml:space="preserve"> </w:t>
      </w:r>
      <w:r>
        <w:rPr>
          <w:color w:val="231F20"/>
          <w:w w:val="105"/>
        </w:rPr>
        <w:t>the</w:t>
      </w:r>
      <w:r>
        <w:rPr>
          <w:color w:val="231F20"/>
          <w:spacing w:val="-24"/>
          <w:w w:val="105"/>
        </w:rPr>
        <w:t xml:space="preserve"> </w:t>
      </w:r>
      <w:r>
        <w:rPr>
          <w:color w:val="231F20"/>
          <w:w w:val="105"/>
        </w:rPr>
        <w:t>state apologists</w:t>
      </w:r>
      <w:r>
        <w:rPr>
          <w:color w:val="231F20"/>
          <w:spacing w:val="-8"/>
          <w:w w:val="105"/>
        </w:rPr>
        <w:t xml:space="preserve"> </w:t>
      </w:r>
      <w:r>
        <w:rPr>
          <w:color w:val="231F20"/>
          <w:w w:val="105"/>
        </w:rPr>
        <w:t>who</w:t>
      </w:r>
      <w:r>
        <w:rPr>
          <w:color w:val="231F20"/>
          <w:spacing w:val="-8"/>
          <w:w w:val="105"/>
        </w:rPr>
        <w:t xml:space="preserve"> </w:t>
      </w:r>
      <w:r>
        <w:rPr>
          <w:color w:val="231F20"/>
          <w:w w:val="105"/>
        </w:rPr>
        <w:t>define</w:t>
      </w:r>
      <w:r>
        <w:rPr>
          <w:color w:val="231F20"/>
          <w:spacing w:val="-8"/>
          <w:w w:val="105"/>
        </w:rPr>
        <w:t xml:space="preserve"> </w:t>
      </w:r>
      <w:r>
        <w:rPr>
          <w:color w:val="231F20"/>
          <w:w w:val="105"/>
        </w:rPr>
        <w:t>themselves</w:t>
      </w:r>
      <w:r>
        <w:rPr>
          <w:color w:val="231F20"/>
          <w:spacing w:val="-8"/>
          <w:w w:val="105"/>
        </w:rPr>
        <w:t xml:space="preserve"> </w:t>
      </w:r>
      <w:r>
        <w:rPr>
          <w:color w:val="231F20"/>
          <w:w w:val="105"/>
        </w:rPr>
        <w:t>according</w:t>
      </w:r>
      <w:r>
        <w:rPr>
          <w:color w:val="231F20"/>
          <w:spacing w:val="-8"/>
          <w:w w:val="105"/>
        </w:rPr>
        <w:t xml:space="preserve"> </w:t>
      </w:r>
      <w:r>
        <w:rPr>
          <w:color w:val="231F20"/>
          <w:w w:val="105"/>
        </w:rPr>
        <w:t>to</w:t>
      </w:r>
      <w:r>
        <w:rPr>
          <w:color w:val="231F20"/>
          <w:spacing w:val="-8"/>
          <w:w w:val="105"/>
        </w:rPr>
        <w:t xml:space="preserve"> </w:t>
      </w:r>
      <w:r>
        <w:rPr>
          <w:color w:val="231F20"/>
          <w:w w:val="105"/>
        </w:rPr>
        <w:t>Lenin’s</w:t>
      </w:r>
      <w:r>
        <w:rPr>
          <w:color w:val="231F20"/>
          <w:spacing w:val="-8"/>
          <w:w w:val="105"/>
        </w:rPr>
        <w:t xml:space="preserve"> </w:t>
      </w:r>
      <w:r>
        <w:rPr>
          <w:color w:val="231F20"/>
          <w:w w:val="105"/>
        </w:rPr>
        <w:t>organizational model or according to the pre-party formation</w:t>
      </w:r>
      <w:r>
        <w:rPr>
          <w:color w:val="231F20"/>
          <w:spacing w:val="21"/>
          <w:w w:val="105"/>
        </w:rPr>
        <w:t xml:space="preserve"> </w:t>
      </w:r>
      <w:r>
        <w:rPr>
          <w:color w:val="231F20"/>
          <w:w w:val="105"/>
        </w:rPr>
        <w:t>model.</w:t>
      </w:r>
    </w:p>
    <w:p w14:paraId="3945D8FA" w14:textId="77777777" w:rsidR="002653E8" w:rsidRDefault="003115E3">
      <w:pPr>
        <w:pStyle w:val="a3"/>
        <w:spacing w:line="220" w:lineRule="exact"/>
        <w:ind w:left="1358"/>
      </w:pPr>
      <w:r>
        <w:rPr>
          <w:color w:val="231F20"/>
          <w:spacing w:val="5"/>
          <w:w w:val="112"/>
        </w:rPr>
        <w:t>T</w:t>
      </w:r>
      <w:r>
        <w:rPr>
          <w:color w:val="231F20"/>
          <w:spacing w:val="-1"/>
          <w:w w:val="96"/>
        </w:rPr>
        <w:t>h</w:t>
      </w:r>
      <w:r>
        <w:rPr>
          <w:color w:val="231F20"/>
          <w:w w:val="96"/>
        </w:rPr>
        <w:t>e</w:t>
      </w:r>
      <w:r>
        <w:rPr>
          <w:color w:val="231F20"/>
        </w:rPr>
        <w:t xml:space="preserve"> </w:t>
      </w:r>
      <w:r>
        <w:rPr>
          <w:color w:val="231F20"/>
          <w:spacing w:val="-12"/>
        </w:rPr>
        <w:t xml:space="preserve"> </w:t>
      </w:r>
      <w:r>
        <w:rPr>
          <w:color w:val="231F20"/>
          <w:spacing w:val="7"/>
          <w:w w:val="114"/>
        </w:rPr>
        <w:t>K</w:t>
      </w:r>
      <w:r>
        <w:rPr>
          <w:color w:val="231F20"/>
          <w:w w:val="108"/>
        </w:rPr>
        <w:t>PD</w:t>
      </w:r>
      <w:r>
        <w:rPr>
          <w:color w:val="231F20"/>
        </w:rPr>
        <w:t xml:space="preserve"> </w:t>
      </w:r>
      <w:r>
        <w:rPr>
          <w:color w:val="231F20"/>
          <w:spacing w:val="-12"/>
        </w:rPr>
        <w:t xml:space="preserve"> </w:t>
      </w:r>
      <w:r>
        <w:rPr>
          <w:color w:val="231F20"/>
          <w:spacing w:val="2"/>
          <w:w w:val="102"/>
        </w:rPr>
        <w:t>a</w:t>
      </w:r>
      <w:r>
        <w:rPr>
          <w:color w:val="231F20"/>
          <w:spacing w:val="-1"/>
          <w:w w:val="99"/>
        </w:rPr>
        <w:t>n</w:t>
      </w:r>
      <w:r>
        <w:rPr>
          <w:color w:val="231F20"/>
        </w:rPr>
        <w:t xml:space="preserve">d </w:t>
      </w:r>
      <w:r>
        <w:rPr>
          <w:color w:val="231F20"/>
          <w:spacing w:val="-12"/>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12"/>
        </w:rPr>
        <w:t xml:space="preserve"> </w:t>
      </w:r>
      <w:r>
        <w:rPr>
          <w:color w:val="231F20"/>
          <w:spacing w:val="7"/>
          <w:w w:val="114"/>
        </w:rPr>
        <w:t>K</w:t>
      </w:r>
      <w:r>
        <w:rPr>
          <w:color w:val="231F20"/>
          <w:w w:val="108"/>
        </w:rPr>
        <w:t>PD</w:t>
      </w:r>
      <w:r>
        <w:rPr>
          <w:color w:val="231F20"/>
          <w:spacing w:val="6"/>
          <w:w w:val="56"/>
        </w:rPr>
        <w:t>/</w:t>
      </w:r>
      <w:r>
        <w:rPr>
          <w:color w:val="231F20"/>
          <w:spacing w:val="6"/>
          <w:w w:val="119"/>
        </w:rPr>
        <w:t>M</w:t>
      </w:r>
      <w:r>
        <w:rPr>
          <w:color w:val="231F20"/>
          <w:spacing w:val="10"/>
          <w:w w:val="119"/>
        </w:rPr>
        <w:t>L</w:t>
      </w:r>
      <w:r>
        <w:rPr>
          <w:color w:val="231F20"/>
          <w:w w:val="135"/>
        </w:rPr>
        <w:t>,</w:t>
      </w:r>
      <w:r>
        <w:rPr>
          <w:color w:val="231F20"/>
        </w:rPr>
        <w:t xml:space="preserve"> </w:t>
      </w:r>
      <w:r>
        <w:rPr>
          <w:color w:val="231F20"/>
          <w:spacing w:val="-12"/>
        </w:rPr>
        <w:t xml:space="preserve"> </w:t>
      </w:r>
      <w:r>
        <w:rPr>
          <w:color w:val="231F20"/>
          <w:w w:val="102"/>
        </w:rPr>
        <w:t>a</w:t>
      </w:r>
      <w:r>
        <w:rPr>
          <w:color w:val="231F20"/>
          <w:w w:val="90"/>
        </w:rPr>
        <w:t>s</w:t>
      </w:r>
      <w:r>
        <w:rPr>
          <w:color w:val="231F20"/>
        </w:rPr>
        <w:t xml:space="preserve"> </w:t>
      </w:r>
      <w:r>
        <w:rPr>
          <w:color w:val="231F20"/>
          <w:spacing w:val="-12"/>
        </w:rPr>
        <w:t xml:space="preserve"> </w:t>
      </w:r>
      <w:r>
        <w:rPr>
          <w:color w:val="231F20"/>
          <w:spacing w:val="3"/>
          <w:w w:val="122"/>
        </w:rPr>
        <w:t>M</w:t>
      </w:r>
      <w:r>
        <w:rPr>
          <w:color w:val="231F20"/>
          <w:spacing w:val="-3"/>
          <w:w w:val="102"/>
        </w:rPr>
        <w:t>a</w:t>
      </w:r>
      <w:r>
        <w:rPr>
          <w:color w:val="231F20"/>
          <w:spacing w:val="-1"/>
          <w:w w:val="104"/>
        </w:rPr>
        <w:t>o</w:t>
      </w:r>
      <w:r>
        <w:rPr>
          <w:color w:val="231F20"/>
        </w:rPr>
        <w:t>i</w:t>
      </w:r>
      <w:r>
        <w:rPr>
          <w:color w:val="231F20"/>
          <w:w w:val="90"/>
        </w:rPr>
        <w:t>s</w:t>
      </w:r>
      <w:r>
        <w:rPr>
          <w:color w:val="231F20"/>
          <w:spacing w:val="2"/>
          <w:w w:val="98"/>
        </w:rPr>
        <w:t>t</w:t>
      </w:r>
      <w:r>
        <w:rPr>
          <w:color w:val="231F20"/>
          <w:spacing w:val="2"/>
          <w:w w:val="90"/>
        </w:rPr>
        <w:t>s</w:t>
      </w:r>
      <w:r>
        <w:rPr>
          <w:color w:val="231F20"/>
          <w:w w:val="135"/>
        </w:rPr>
        <w:t>,</w:t>
      </w:r>
      <w:r>
        <w:rPr>
          <w:color w:val="231F20"/>
        </w:rPr>
        <w:t xml:space="preserve"> </w:t>
      </w:r>
      <w:r>
        <w:rPr>
          <w:color w:val="231F20"/>
          <w:spacing w:val="-12"/>
        </w:rPr>
        <w:t xml:space="preserve"> </w:t>
      </w:r>
      <w:r>
        <w:rPr>
          <w:color w:val="231F20"/>
          <w:spacing w:val="3"/>
          <w:w w:val="102"/>
        </w:rPr>
        <w:t>a</w:t>
      </w:r>
      <w:r>
        <w:rPr>
          <w:color w:val="231F20"/>
          <w:spacing w:val="-1"/>
          <w:w w:val="94"/>
        </w:rPr>
        <w:t>r</w:t>
      </w:r>
      <w:r>
        <w:rPr>
          <w:color w:val="231F20"/>
          <w:w w:val="91"/>
        </w:rPr>
        <w:t>e</w:t>
      </w:r>
      <w:r>
        <w:rPr>
          <w:color w:val="231F20"/>
        </w:rPr>
        <w:t xml:space="preserve"> </w:t>
      </w:r>
      <w:r>
        <w:rPr>
          <w:color w:val="231F20"/>
          <w:spacing w:val="-12"/>
        </w:rPr>
        <w:t xml:space="preserve"> </w:t>
      </w:r>
      <w:r>
        <w:rPr>
          <w:color w:val="231F20"/>
          <w:w w:val="91"/>
        </w:rPr>
        <w:t>e</w:t>
      </w:r>
      <w:r>
        <w:rPr>
          <w:color w:val="231F20"/>
          <w:spacing w:val="-2"/>
          <w:w w:val="99"/>
        </w:rPr>
        <w:t>n</w:t>
      </w:r>
      <w:r>
        <w:rPr>
          <w:color w:val="231F20"/>
          <w:spacing w:val="2"/>
          <w:w w:val="98"/>
        </w:rPr>
        <w:t>t</w:t>
      </w:r>
      <w:r>
        <w:rPr>
          <w:color w:val="231F20"/>
          <w:spacing w:val="3"/>
        </w:rPr>
        <w:t>i</w:t>
      </w:r>
      <w:r>
        <w:rPr>
          <w:color w:val="231F20"/>
          <w:spacing w:val="-1"/>
          <w:w w:val="94"/>
        </w:rPr>
        <w:t>r</w:t>
      </w:r>
      <w:r>
        <w:rPr>
          <w:color w:val="231F20"/>
          <w:spacing w:val="-1"/>
          <w:w w:val="91"/>
        </w:rPr>
        <w:t>e</w:t>
      </w:r>
      <w:r>
        <w:rPr>
          <w:color w:val="231F20"/>
          <w:spacing w:val="-2"/>
          <w:w w:val="102"/>
        </w:rPr>
        <w:t>l</w:t>
      </w:r>
      <w:r>
        <w:rPr>
          <w:color w:val="231F20"/>
          <w:w w:val="99"/>
        </w:rPr>
        <w:t>y</w:t>
      </w:r>
      <w:r>
        <w:rPr>
          <w:color w:val="231F20"/>
        </w:rPr>
        <w:t xml:space="preserve"> </w:t>
      </w:r>
      <w:r>
        <w:rPr>
          <w:color w:val="231F20"/>
          <w:spacing w:val="-12"/>
        </w:rPr>
        <w:t xml:space="preserve"> </w:t>
      </w:r>
      <w:r>
        <w:rPr>
          <w:color w:val="231F20"/>
          <w:spacing w:val="-1"/>
          <w:w w:val="90"/>
        </w:rPr>
        <w:t>s</w:t>
      </w:r>
      <w:r>
        <w:rPr>
          <w:color w:val="231F20"/>
          <w:spacing w:val="-1"/>
        </w:rPr>
        <w:t>u</w:t>
      </w:r>
      <w:r>
        <w:rPr>
          <w:color w:val="231F20"/>
        </w:rPr>
        <w:t>b</w:t>
      </w:r>
      <w:r>
        <w:rPr>
          <w:color w:val="231F20"/>
          <w:spacing w:val="3"/>
        </w:rPr>
        <w:t>m</w:t>
      </w:r>
      <w:r>
        <w:rPr>
          <w:color w:val="231F20"/>
        </w:rPr>
        <w:t>i</w:t>
      </w:r>
      <w:r>
        <w:rPr>
          <w:color w:val="231F20"/>
          <w:spacing w:val="1"/>
          <w:w w:val="90"/>
        </w:rPr>
        <w:t>s</w:t>
      </w:r>
      <w:r>
        <w:rPr>
          <w:color w:val="231F20"/>
          <w:spacing w:val="-1"/>
          <w:w w:val="90"/>
        </w:rPr>
        <w:t>s</w:t>
      </w:r>
      <w:r>
        <w:rPr>
          <w:color w:val="231F20"/>
          <w:spacing w:val="-2"/>
        </w:rPr>
        <w:t>i</w:t>
      </w:r>
      <w:r>
        <w:rPr>
          <w:color w:val="231F20"/>
          <w:spacing w:val="-2"/>
          <w:w w:val="99"/>
        </w:rPr>
        <w:t>v</w:t>
      </w:r>
      <w:r>
        <w:rPr>
          <w:color w:val="231F20"/>
          <w:w w:val="91"/>
        </w:rPr>
        <w:t>e</w:t>
      </w:r>
      <w:r>
        <w:rPr>
          <w:color w:val="231F20"/>
        </w:rPr>
        <w:t xml:space="preserve"> </w:t>
      </w:r>
      <w:r>
        <w:rPr>
          <w:color w:val="231F20"/>
          <w:spacing w:val="-12"/>
        </w:rPr>
        <w:t xml:space="preserve"> </w:t>
      </w:r>
      <w:r>
        <w:rPr>
          <w:color w:val="231F20"/>
          <w:spacing w:val="-2"/>
          <w:w w:val="98"/>
        </w:rPr>
        <w:t>t</w:t>
      </w:r>
      <w:r>
        <w:rPr>
          <w:color w:val="231F20"/>
          <w:w w:val="104"/>
        </w:rPr>
        <w:t>o</w:t>
      </w:r>
    </w:p>
    <w:p w14:paraId="47A1D04D" w14:textId="77777777" w:rsidR="002653E8" w:rsidRDefault="003115E3">
      <w:pPr>
        <w:pStyle w:val="a3"/>
        <w:spacing w:before="23" w:line="264" w:lineRule="auto"/>
        <w:ind w:left="1147" w:right="1325"/>
        <w:jc w:val="both"/>
      </w:pPr>
      <w:r>
        <w:rPr>
          <w:color w:val="231F20"/>
        </w:rPr>
        <w:t>Peking.</w:t>
      </w:r>
      <w:r>
        <w:rPr>
          <w:color w:val="231F20"/>
          <w:spacing w:val="-8"/>
        </w:rPr>
        <w:t xml:space="preserve"> </w:t>
      </w:r>
      <w:r>
        <w:rPr>
          <w:color w:val="231F20"/>
        </w:rPr>
        <w:t>They</w:t>
      </w:r>
      <w:r>
        <w:rPr>
          <w:color w:val="231F20"/>
          <w:spacing w:val="-9"/>
        </w:rPr>
        <w:t xml:space="preserve"> </w:t>
      </w:r>
      <w:r>
        <w:rPr>
          <w:color w:val="231F20"/>
        </w:rPr>
        <w:t>openly</w:t>
      </w:r>
      <w:r>
        <w:rPr>
          <w:color w:val="231F20"/>
          <w:spacing w:val="-9"/>
        </w:rPr>
        <w:t xml:space="preserve"> </w:t>
      </w:r>
      <w:r>
        <w:rPr>
          <w:color w:val="231F20"/>
        </w:rPr>
        <w:t>support</w:t>
      </w:r>
      <w:r>
        <w:rPr>
          <w:color w:val="231F20"/>
          <w:spacing w:val="-9"/>
        </w:rPr>
        <w:t xml:space="preserve"> </w:t>
      </w:r>
      <w:r>
        <w:rPr>
          <w:color w:val="231F20"/>
        </w:rPr>
        <w:t>the</w:t>
      </w:r>
      <w:r>
        <w:rPr>
          <w:color w:val="231F20"/>
          <w:spacing w:val="-9"/>
        </w:rPr>
        <w:t xml:space="preserve"> </w:t>
      </w:r>
      <w:r>
        <w:rPr>
          <w:color w:val="231F20"/>
          <w:spacing w:val="1"/>
        </w:rPr>
        <w:t>U.S.</w:t>
      </w:r>
      <w:r>
        <w:rPr>
          <w:color w:val="231F20"/>
          <w:spacing w:val="-9"/>
        </w:rPr>
        <w:t xml:space="preserve"> </w:t>
      </w:r>
      <w:r>
        <w:rPr>
          <w:color w:val="231F20"/>
        </w:rPr>
        <w:t>military</w:t>
      </w:r>
      <w:r>
        <w:rPr>
          <w:color w:val="231F20"/>
          <w:spacing w:val="-9"/>
        </w:rPr>
        <w:t xml:space="preserve"> </w:t>
      </w:r>
      <w:r>
        <w:rPr>
          <w:color w:val="231F20"/>
        </w:rPr>
        <w:t>strategy;</w:t>
      </w:r>
      <w:r>
        <w:rPr>
          <w:color w:val="231F20"/>
          <w:spacing w:val="-9"/>
        </w:rPr>
        <w:t xml:space="preserve"> </w:t>
      </w:r>
      <w:r>
        <w:rPr>
          <w:color w:val="231F20"/>
        </w:rPr>
        <w:t>the</w:t>
      </w:r>
      <w:r>
        <w:rPr>
          <w:color w:val="231F20"/>
          <w:spacing w:val="-9"/>
        </w:rPr>
        <w:t xml:space="preserve"> </w:t>
      </w:r>
      <w:r>
        <w:rPr>
          <w:color w:val="231F20"/>
        </w:rPr>
        <w:t xml:space="preserve">strengthening of </w:t>
      </w:r>
      <w:r>
        <w:rPr>
          <w:color w:val="231F20"/>
          <w:spacing w:val="-3"/>
        </w:rPr>
        <w:t xml:space="preserve">NATO </w:t>
      </w:r>
      <w:r>
        <w:rPr>
          <w:color w:val="231F20"/>
        </w:rPr>
        <w:t xml:space="preserve">and the </w:t>
      </w:r>
      <w:r>
        <w:rPr>
          <w:i/>
          <w:color w:val="231F20"/>
        </w:rPr>
        <w:t xml:space="preserve">Bundeswehr </w:t>
      </w:r>
      <w:r>
        <w:rPr>
          <w:color w:val="231F20"/>
        </w:rPr>
        <w:t xml:space="preserve">so as to entrench the hegemony of </w:t>
      </w:r>
      <w:r>
        <w:rPr>
          <w:color w:val="231F20"/>
          <w:spacing w:val="-3"/>
        </w:rPr>
        <w:t xml:space="preserve">West </w:t>
      </w:r>
      <w:r>
        <w:rPr>
          <w:color w:val="231F20"/>
        </w:rPr>
        <w:t xml:space="preserve">German imperialism in Western Europe. Defense of the Fatherland. The </w:t>
      </w:r>
      <w:r w:rsidR="00C507A5">
        <w:rPr>
          <w:color w:val="231F20"/>
          <w:spacing w:val="5"/>
        </w:rPr>
        <w:t>red army faction</w:t>
      </w:r>
      <w:r>
        <w:rPr>
          <w:color w:val="231F20"/>
          <w:spacing w:val="5"/>
        </w:rPr>
        <w:t xml:space="preserve"> </w:t>
      </w:r>
      <w:r>
        <w:rPr>
          <w:color w:val="231F20"/>
        </w:rPr>
        <w:t xml:space="preserve">thinks otherwise: they attacked the </w:t>
      </w:r>
      <w:r>
        <w:rPr>
          <w:color w:val="231F20"/>
          <w:spacing w:val="1"/>
        </w:rPr>
        <w:t xml:space="preserve">U.S. </w:t>
      </w:r>
      <w:r>
        <w:rPr>
          <w:color w:val="231F20"/>
        </w:rPr>
        <w:t xml:space="preserve">presence in the Federal </w:t>
      </w:r>
      <w:r>
        <w:rPr>
          <w:color w:val="231F20"/>
          <w:w w:val="116"/>
        </w:rPr>
        <w:t>R</w:t>
      </w:r>
      <w:r>
        <w:rPr>
          <w:color w:val="231F20"/>
          <w:w w:val="91"/>
        </w:rPr>
        <w:t>e</w:t>
      </w:r>
      <w:r>
        <w:rPr>
          <w:color w:val="231F20"/>
          <w:spacing w:val="-2"/>
          <w:w w:val="99"/>
        </w:rPr>
        <w:t>p</w:t>
      </w:r>
      <w:r>
        <w:rPr>
          <w:color w:val="231F20"/>
          <w:spacing w:val="-1"/>
        </w:rPr>
        <w:t>u</w:t>
      </w:r>
      <w:r>
        <w:rPr>
          <w:color w:val="231F20"/>
          <w:spacing w:val="-2"/>
          <w:w w:val="101"/>
        </w:rPr>
        <w:t>b</w:t>
      </w:r>
      <w:r>
        <w:rPr>
          <w:color w:val="231F20"/>
          <w:spacing w:val="2"/>
          <w:w w:val="102"/>
        </w:rPr>
        <w:t>l</w:t>
      </w:r>
      <w:r>
        <w:rPr>
          <w:color w:val="231F20"/>
        </w:rPr>
        <w:t xml:space="preserve">ic </w:t>
      </w:r>
      <w:r>
        <w:rPr>
          <w:color w:val="231F20"/>
          <w:spacing w:val="-13"/>
        </w:rPr>
        <w:t xml:space="preserve"> </w:t>
      </w:r>
      <w:r>
        <w:rPr>
          <w:color w:val="231F20"/>
          <w:spacing w:val="2"/>
          <w:w w:val="102"/>
        </w:rPr>
        <w:t>a</w:t>
      </w:r>
      <w:r>
        <w:rPr>
          <w:color w:val="231F20"/>
          <w:spacing w:val="-1"/>
          <w:w w:val="99"/>
        </w:rPr>
        <w:t>n</w:t>
      </w:r>
      <w:r>
        <w:rPr>
          <w:color w:val="231F20"/>
        </w:rPr>
        <w:t xml:space="preserve">d </w:t>
      </w:r>
      <w:r>
        <w:rPr>
          <w:color w:val="231F20"/>
          <w:spacing w:val="-13"/>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13"/>
        </w:rPr>
        <w:t xml:space="preserve"> </w:t>
      </w:r>
      <w:r>
        <w:rPr>
          <w:color w:val="231F20"/>
          <w:w w:val="99"/>
        </w:rPr>
        <w:t>p</w:t>
      </w:r>
      <w:r>
        <w:rPr>
          <w:color w:val="231F20"/>
          <w:spacing w:val="-2"/>
          <w:w w:val="104"/>
        </w:rPr>
        <w:t>o</w:t>
      </w:r>
      <w:r>
        <w:rPr>
          <w:color w:val="231F20"/>
          <w:spacing w:val="2"/>
          <w:w w:val="102"/>
        </w:rPr>
        <w:t>l</w:t>
      </w:r>
      <w:r>
        <w:rPr>
          <w:color w:val="231F20"/>
          <w:spacing w:val="-2"/>
        </w:rPr>
        <w:t>i</w:t>
      </w:r>
      <w:r>
        <w:rPr>
          <w:color w:val="231F20"/>
          <w:spacing w:val="2"/>
          <w:w w:val="98"/>
        </w:rPr>
        <w:t>t</w:t>
      </w:r>
      <w:r>
        <w:rPr>
          <w:color w:val="231F20"/>
        </w:rPr>
        <w:t>i</w:t>
      </w:r>
      <w:r>
        <w:rPr>
          <w:color w:val="231F20"/>
          <w:spacing w:val="2"/>
        </w:rPr>
        <w:t>c</w:t>
      </w:r>
      <w:r>
        <w:rPr>
          <w:color w:val="231F20"/>
          <w:w w:val="90"/>
        </w:rPr>
        <w:t>s</w:t>
      </w:r>
      <w:r>
        <w:rPr>
          <w:color w:val="231F20"/>
        </w:rPr>
        <w:t xml:space="preserve"> </w:t>
      </w:r>
      <w:r>
        <w:rPr>
          <w:color w:val="231F20"/>
          <w:spacing w:val="-13"/>
        </w:rPr>
        <w:t xml:space="preserve"> </w:t>
      </w:r>
      <w:r>
        <w:rPr>
          <w:color w:val="231F20"/>
          <w:spacing w:val="-2"/>
          <w:w w:val="104"/>
        </w:rPr>
        <w:t>o</w:t>
      </w:r>
      <w:r>
        <w:rPr>
          <w:color w:val="231F20"/>
          <w:w w:val="109"/>
        </w:rPr>
        <w:t>f</w:t>
      </w:r>
      <w:r>
        <w:rPr>
          <w:color w:val="231F20"/>
        </w:rPr>
        <w:t xml:space="preserve"> </w:t>
      </w:r>
      <w:r>
        <w:rPr>
          <w:color w:val="231F20"/>
          <w:spacing w:val="-13"/>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12"/>
        </w:rPr>
        <w:t xml:space="preserve"> </w:t>
      </w:r>
      <w:r>
        <w:rPr>
          <w:color w:val="231F20"/>
          <w:spacing w:val="1"/>
          <w:w w:val="99"/>
        </w:rPr>
        <w:t>B</w:t>
      </w:r>
      <w:r>
        <w:rPr>
          <w:color w:val="231F20"/>
          <w:spacing w:val="-1"/>
          <w:w w:val="94"/>
        </w:rPr>
        <w:t>r</w:t>
      </w:r>
      <w:r>
        <w:rPr>
          <w:color w:val="231F20"/>
          <w:spacing w:val="2"/>
          <w:w w:val="102"/>
        </w:rPr>
        <w:t>a</w:t>
      </w:r>
      <w:r>
        <w:rPr>
          <w:color w:val="231F20"/>
          <w:spacing w:val="-1"/>
          <w:w w:val="99"/>
        </w:rPr>
        <w:t>n</w:t>
      </w:r>
      <w:r>
        <w:rPr>
          <w:color w:val="231F20"/>
          <w:spacing w:val="-1"/>
        </w:rPr>
        <w:t>d</w:t>
      </w:r>
      <w:r>
        <w:rPr>
          <w:color w:val="231F20"/>
          <w:spacing w:val="7"/>
          <w:w w:val="98"/>
        </w:rPr>
        <w:t>t</w:t>
      </w:r>
      <w:r>
        <w:rPr>
          <w:color w:val="231F20"/>
          <w:spacing w:val="2"/>
          <w:w w:val="56"/>
        </w:rPr>
        <w:t>/</w:t>
      </w:r>
      <w:r>
        <w:rPr>
          <w:color w:val="231F20"/>
          <w:spacing w:val="5"/>
        </w:rPr>
        <w:t>S</w:t>
      </w:r>
      <w:r>
        <w:rPr>
          <w:color w:val="231F20"/>
        </w:rPr>
        <w:t>c</w:t>
      </w:r>
      <w:r>
        <w:rPr>
          <w:color w:val="231F20"/>
          <w:spacing w:val="-1"/>
        </w:rPr>
        <w:t>h</w:t>
      </w:r>
      <w:r>
        <w:rPr>
          <w:color w:val="231F20"/>
          <w:spacing w:val="1"/>
          <w:w w:val="91"/>
        </w:rPr>
        <w:t>e</w:t>
      </w:r>
      <w:r>
        <w:rPr>
          <w:color w:val="231F20"/>
          <w:spacing w:val="-1"/>
          <w:w w:val="91"/>
        </w:rPr>
        <w:t>e</w:t>
      </w:r>
      <w:r>
        <w:rPr>
          <w:color w:val="231F20"/>
          <w:w w:val="102"/>
        </w:rPr>
        <w:t>l</w:t>
      </w:r>
      <w:r>
        <w:rPr>
          <w:color w:val="231F20"/>
        </w:rPr>
        <w:t xml:space="preserve"> </w:t>
      </w:r>
      <w:r>
        <w:rPr>
          <w:color w:val="231F20"/>
          <w:spacing w:val="-13"/>
        </w:rPr>
        <w:t xml:space="preserve"> </w:t>
      </w:r>
      <w:r>
        <w:rPr>
          <w:color w:val="231F20"/>
          <w:spacing w:val="2"/>
          <w:w w:val="102"/>
        </w:rPr>
        <w:t>a</w:t>
      </w:r>
      <w:r>
        <w:rPr>
          <w:color w:val="231F20"/>
          <w:spacing w:val="-1"/>
          <w:w w:val="99"/>
        </w:rPr>
        <w:t>n</w:t>
      </w:r>
      <w:r>
        <w:rPr>
          <w:color w:val="231F20"/>
        </w:rPr>
        <w:t xml:space="preserve">d </w:t>
      </w:r>
      <w:r>
        <w:rPr>
          <w:color w:val="231F20"/>
          <w:spacing w:val="-13"/>
        </w:rPr>
        <w:t xml:space="preserve"> </w:t>
      </w:r>
      <w:r>
        <w:rPr>
          <w:color w:val="231F20"/>
          <w:spacing w:val="5"/>
        </w:rPr>
        <w:t>S</w:t>
      </w:r>
      <w:r>
        <w:rPr>
          <w:color w:val="231F20"/>
        </w:rPr>
        <w:t>c</w:t>
      </w:r>
      <w:r>
        <w:rPr>
          <w:color w:val="231F20"/>
          <w:spacing w:val="3"/>
        </w:rPr>
        <w:t>h</w:t>
      </w:r>
      <w:r>
        <w:rPr>
          <w:color w:val="231F20"/>
          <w:spacing w:val="3"/>
          <w:w w:val="99"/>
        </w:rPr>
        <w:t>m</w:t>
      </w:r>
      <w:r>
        <w:rPr>
          <w:color w:val="231F20"/>
          <w:spacing w:val="-2"/>
        </w:rPr>
        <w:t>i</w:t>
      </w:r>
      <w:r>
        <w:rPr>
          <w:color w:val="231F20"/>
          <w:spacing w:val="-1"/>
        </w:rPr>
        <w:t>d</w:t>
      </w:r>
      <w:r>
        <w:rPr>
          <w:color w:val="231F20"/>
          <w:spacing w:val="7"/>
          <w:w w:val="98"/>
        </w:rPr>
        <w:t>t</w:t>
      </w:r>
      <w:r>
        <w:rPr>
          <w:color w:val="231F20"/>
          <w:w w:val="56"/>
        </w:rPr>
        <w:t>/</w:t>
      </w:r>
      <w:r>
        <w:rPr>
          <w:color w:val="231F20"/>
          <w:spacing w:val="5"/>
          <w:w w:val="127"/>
        </w:rPr>
        <w:t>G</w:t>
      </w:r>
      <w:r>
        <w:rPr>
          <w:color w:val="231F20"/>
          <w:w w:val="91"/>
        </w:rPr>
        <w:t>e</w:t>
      </w:r>
      <w:r>
        <w:rPr>
          <w:color w:val="231F20"/>
          <w:spacing w:val="1"/>
          <w:w w:val="99"/>
        </w:rPr>
        <w:t>n</w:t>
      </w:r>
      <w:r>
        <w:rPr>
          <w:color w:val="231F20"/>
          <w:spacing w:val="1"/>
          <w:w w:val="90"/>
        </w:rPr>
        <w:t>s</w:t>
      </w:r>
      <w:r>
        <w:rPr>
          <w:color w:val="231F20"/>
        </w:rPr>
        <w:t>c</w:t>
      </w:r>
      <w:r>
        <w:rPr>
          <w:color w:val="231F20"/>
          <w:spacing w:val="-1"/>
        </w:rPr>
        <w:t>h</w:t>
      </w:r>
      <w:r>
        <w:rPr>
          <w:color w:val="231F20"/>
          <w:w w:val="92"/>
        </w:rPr>
        <w:t xml:space="preserve">er </w:t>
      </w:r>
      <w:r>
        <w:rPr>
          <w:color w:val="231F20"/>
        </w:rPr>
        <w:t xml:space="preserve">governments, which served the interests of </w:t>
      </w:r>
      <w:r>
        <w:rPr>
          <w:color w:val="231F20"/>
          <w:spacing w:val="1"/>
        </w:rPr>
        <w:t xml:space="preserve">U.S. </w:t>
      </w:r>
      <w:r>
        <w:rPr>
          <w:color w:val="231F20"/>
        </w:rPr>
        <w:t xml:space="preserve">capital in the Federal Republic, that strategic sub-center of </w:t>
      </w:r>
      <w:r>
        <w:rPr>
          <w:color w:val="231F20"/>
          <w:spacing w:val="1"/>
        </w:rPr>
        <w:t xml:space="preserve">U.S. </w:t>
      </w:r>
      <w:r>
        <w:rPr>
          <w:color w:val="231F20"/>
        </w:rPr>
        <w:t>imperialism. One cannot regret the fact that these sects ignore the trial, given that the reactionary content of their political practice makes their anti-imperialist rhetoric purely</w:t>
      </w:r>
      <w:r>
        <w:rPr>
          <w:color w:val="231F20"/>
          <w:spacing w:val="10"/>
        </w:rPr>
        <w:t xml:space="preserve"> </w:t>
      </w:r>
      <w:r>
        <w:rPr>
          <w:color w:val="231F20"/>
        </w:rPr>
        <w:t>abstract.</w:t>
      </w:r>
    </w:p>
    <w:p w14:paraId="25C0FFE1" w14:textId="77777777" w:rsidR="002653E8" w:rsidRDefault="003115E3">
      <w:pPr>
        <w:pStyle w:val="a3"/>
        <w:spacing w:line="264" w:lineRule="auto"/>
        <w:ind w:left="1147" w:right="1325" w:firstLine="210"/>
        <w:jc w:val="both"/>
      </w:pPr>
      <w:r>
        <w:rPr>
          <w:color w:val="231F20"/>
        </w:rPr>
        <w:t xml:space="preserve">For as long as it has existed, the </w:t>
      </w:r>
      <w:r>
        <w:rPr>
          <w:color w:val="231F20"/>
          <w:spacing w:val="1"/>
        </w:rPr>
        <w:t xml:space="preserve">DKP </w:t>
      </w:r>
      <w:r>
        <w:rPr>
          <w:color w:val="231F20"/>
        </w:rPr>
        <w:t xml:space="preserve">has been licking the boots of social democracy. They are doubtless the most corrupt communist party, at least in Western Europe. As far as I </w:t>
      </w:r>
      <w:r>
        <w:rPr>
          <w:color w:val="231F20"/>
          <w:spacing w:val="-3"/>
        </w:rPr>
        <w:t xml:space="preserve">know, </w:t>
      </w:r>
      <w:r>
        <w:rPr>
          <w:color w:val="231F20"/>
        </w:rPr>
        <w:t xml:space="preserve">one thing that has contributed to </w:t>
      </w:r>
      <w:r>
        <w:rPr>
          <w:color w:val="231F20"/>
          <w:spacing w:val="1"/>
        </w:rPr>
        <w:t xml:space="preserve">this—and </w:t>
      </w:r>
      <w:r>
        <w:rPr>
          <w:color w:val="231F20"/>
        </w:rPr>
        <w:t xml:space="preserve">this is </w:t>
      </w:r>
      <w:r>
        <w:rPr>
          <w:color w:val="231F20"/>
          <w:spacing w:val="-5"/>
        </w:rPr>
        <w:t xml:space="preserve">why, </w:t>
      </w:r>
      <w:r>
        <w:rPr>
          <w:color w:val="231F20"/>
        </w:rPr>
        <w:t xml:space="preserve">for example, Ulrike, who had previously </w:t>
      </w:r>
      <w:r>
        <w:rPr>
          <w:color w:val="231F20"/>
          <w:spacing w:val="1"/>
        </w:rPr>
        <w:t xml:space="preserve">fulfilled </w:t>
      </w:r>
      <w:r>
        <w:rPr>
          <w:color w:val="231F20"/>
        </w:rPr>
        <w:t xml:space="preserve">important functions for the illegal KPD, broke with them—is the </w:t>
      </w:r>
      <w:r>
        <w:rPr>
          <w:color w:val="231F20"/>
          <w:spacing w:val="-2"/>
        </w:rPr>
        <w:t xml:space="preserve">way </w:t>
      </w:r>
      <w:r>
        <w:rPr>
          <w:color w:val="231F20"/>
        </w:rPr>
        <w:t xml:space="preserve">in which this </w:t>
      </w:r>
      <w:r>
        <w:rPr>
          <w:color w:val="231F20"/>
          <w:spacing w:val="1"/>
        </w:rPr>
        <w:t xml:space="preserve">party </w:t>
      </w:r>
      <w:r>
        <w:rPr>
          <w:color w:val="231F20"/>
        </w:rPr>
        <w:t>began to adjust its political line to accommodate</w:t>
      </w:r>
      <w:r>
        <w:rPr>
          <w:color w:val="231F20"/>
          <w:spacing w:val="10"/>
        </w:rPr>
        <w:t xml:space="preserve"> </w:t>
      </w:r>
      <w:r>
        <w:rPr>
          <w:color w:val="231F20"/>
        </w:rPr>
        <w:t>the</w:t>
      </w:r>
      <w:r>
        <w:rPr>
          <w:color w:val="231F20"/>
          <w:spacing w:val="10"/>
        </w:rPr>
        <w:t xml:space="preserve"> </w:t>
      </w:r>
      <w:r>
        <w:rPr>
          <w:color w:val="231F20"/>
        </w:rPr>
        <w:t>SPD</w:t>
      </w:r>
      <w:r>
        <w:rPr>
          <w:color w:val="231F20"/>
          <w:spacing w:val="10"/>
        </w:rPr>
        <w:t xml:space="preserve"> </w:t>
      </w:r>
      <w:r>
        <w:rPr>
          <w:color w:val="231F20"/>
        </w:rPr>
        <w:t>so</w:t>
      </w:r>
      <w:r>
        <w:rPr>
          <w:color w:val="231F20"/>
          <w:spacing w:val="10"/>
        </w:rPr>
        <w:t xml:space="preserve"> </w:t>
      </w:r>
      <w:r>
        <w:rPr>
          <w:color w:val="231F20"/>
        </w:rPr>
        <w:t>as</w:t>
      </w:r>
      <w:r>
        <w:rPr>
          <w:color w:val="231F20"/>
          <w:spacing w:val="10"/>
        </w:rPr>
        <w:t xml:space="preserve"> </w:t>
      </w:r>
      <w:r>
        <w:rPr>
          <w:color w:val="231F20"/>
        </w:rPr>
        <w:t>to</w:t>
      </w:r>
      <w:r>
        <w:rPr>
          <w:color w:val="231F20"/>
          <w:spacing w:val="10"/>
        </w:rPr>
        <w:t xml:space="preserve"> </w:t>
      </w:r>
      <w:r>
        <w:rPr>
          <w:color w:val="231F20"/>
        </w:rPr>
        <w:t>facilitate</w:t>
      </w:r>
      <w:r>
        <w:rPr>
          <w:color w:val="231F20"/>
          <w:spacing w:val="10"/>
        </w:rPr>
        <w:t xml:space="preserve"> </w:t>
      </w:r>
      <w:r>
        <w:rPr>
          <w:color w:val="231F20"/>
        </w:rPr>
        <w:t>its</w:t>
      </w:r>
      <w:r>
        <w:rPr>
          <w:color w:val="231F20"/>
          <w:spacing w:val="10"/>
        </w:rPr>
        <w:t xml:space="preserve"> </w:t>
      </w:r>
      <w:r>
        <w:rPr>
          <w:color w:val="231F20"/>
        </w:rPr>
        <w:t>legalization.</w:t>
      </w:r>
    </w:p>
    <w:p w14:paraId="78250F69" w14:textId="77777777" w:rsidR="002653E8" w:rsidRDefault="003115E3">
      <w:pPr>
        <w:pStyle w:val="a3"/>
        <w:spacing w:line="264" w:lineRule="auto"/>
        <w:ind w:left="1147" w:right="1326" w:firstLine="210"/>
        <w:jc w:val="both"/>
      </w:pPr>
      <w:r>
        <w:rPr>
          <w:color w:val="231F20"/>
        </w:rPr>
        <w:t xml:space="preserve">The problem is the overall depoliticization of the left. </w:t>
      </w:r>
      <w:r>
        <w:rPr>
          <w:color w:val="231F20"/>
          <w:spacing w:val="1"/>
        </w:rPr>
        <w:t xml:space="preserve">In </w:t>
      </w:r>
      <w:r>
        <w:rPr>
          <w:color w:val="231F20"/>
        </w:rPr>
        <w:t xml:space="preserve">fact, at no time during the campaign against the </w:t>
      </w:r>
      <w:r>
        <w:rPr>
          <w:i/>
          <w:color w:val="231F20"/>
        </w:rPr>
        <w:t xml:space="preserve">Berufsverbot </w:t>
      </w:r>
      <w:r>
        <w:rPr>
          <w:color w:val="231F20"/>
        </w:rPr>
        <w:t xml:space="preserve">was the question      of the state addressed; what sort of state it is and whose state it is that the left is publicly sanitizing. The left, claiming a strategic perspective, began the march through the institutions in 68—although the ambivalence as to whether </w:t>
      </w:r>
      <w:r>
        <w:rPr>
          <w:color w:val="231F20"/>
          <w:spacing w:val="-4"/>
        </w:rPr>
        <w:t xml:space="preserve">“a </w:t>
      </w:r>
      <w:r>
        <w:rPr>
          <w:color w:val="231F20"/>
        </w:rPr>
        <w:t>revolutionary career perspective” was not simply another term for “an official’s salary” was already apparent at the time.</w:t>
      </w:r>
      <w:r>
        <w:rPr>
          <w:color w:val="231F20"/>
          <w:spacing w:val="12"/>
        </w:rPr>
        <w:t xml:space="preserve"> </w:t>
      </w:r>
      <w:r>
        <w:rPr>
          <w:color w:val="231F20"/>
        </w:rPr>
        <w:t>The</w:t>
      </w:r>
      <w:r>
        <w:rPr>
          <w:color w:val="231F20"/>
          <w:spacing w:val="12"/>
        </w:rPr>
        <w:t xml:space="preserve"> </w:t>
      </w:r>
      <w:r>
        <w:rPr>
          <w:color w:val="231F20"/>
        </w:rPr>
        <w:t>hue</w:t>
      </w:r>
      <w:r>
        <w:rPr>
          <w:color w:val="231F20"/>
          <w:spacing w:val="12"/>
        </w:rPr>
        <w:t xml:space="preserve"> </w:t>
      </w:r>
      <w:r>
        <w:rPr>
          <w:color w:val="231F20"/>
        </w:rPr>
        <w:t>and</w:t>
      </w:r>
      <w:r>
        <w:rPr>
          <w:color w:val="231F20"/>
          <w:spacing w:val="12"/>
        </w:rPr>
        <w:t xml:space="preserve"> </w:t>
      </w:r>
      <w:r>
        <w:rPr>
          <w:color w:val="231F20"/>
        </w:rPr>
        <w:t>cry</w:t>
      </w:r>
      <w:r>
        <w:rPr>
          <w:color w:val="231F20"/>
          <w:spacing w:val="12"/>
        </w:rPr>
        <w:t xml:space="preserve"> </w:t>
      </w:r>
      <w:r>
        <w:rPr>
          <w:color w:val="231F20"/>
        </w:rPr>
        <w:t>about</w:t>
      </w:r>
      <w:r>
        <w:rPr>
          <w:color w:val="231F20"/>
          <w:spacing w:val="12"/>
        </w:rPr>
        <w:t xml:space="preserve"> </w:t>
      </w:r>
      <w:r>
        <w:rPr>
          <w:color w:val="231F20"/>
        </w:rPr>
        <w:t>the</w:t>
      </w:r>
      <w:r>
        <w:rPr>
          <w:color w:val="231F20"/>
          <w:spacing w:val="15"/>
        </w:rPr>
        <w:t xml:space="preserve"> </w:t>
      </w:r>
      <w:r>
        <w:rPr>
          <w:i/>
          <w:color w:val="231F20"/>
        </w:rPr>
        <w:t>Berufsverbot</w:t>
      </w:r>
      <w:r>
        <w:rPr>
          <w:i/>
          <w:color w:val="231F20"/>
          <w:spacing w:val="12"/>
        </w:rPr>
        <w:t xml:space="preserve"> </w:t>
      </w:r>
      <w:r>
        <w:rPr>
          <w:color w:val="231F20"/>
        </w:rPr>
        <w:t>disguised</w:t>
      </w:r>
      <w:r>
        <w:rPr>
          <w:color w:val="231F20"/>
          <w:spacing w:val="12"/>
        </w:rPr>
        <w:t xml:space="preserve"> </w:t>
      </w:r>
      <w:r>
        <w:rPr>
          <w:color w:val="231F20"/>
        </w:rPr>
        <w:t>their</w:t>
      </w:r>
      <w:r>
        <w:rPr>
          <w:color w:val="231F20"/>
          <w:spacing w:val="12"/>
        </w:rPr>
        <w:t xml:space="preserve"> </w:t>
      </w:r>
      <w:r>
        <w:rPr>
          <w:color w:val="231F20"/>
        </w:rPr>
        <w:t>objective.</w:t>
      </w:r>
    </w:p>
    <w:p w14:paraId="40CD2395" w14:textId="77777777" w:rsidR="002653E8" w:rsidRDefault="002653E8">
      <w:pPr>
        <w:spacing w:line="264" w:lineRule="auto"/>
        <w:jc w:val="both"/>
        <w:sectPr w:rsidR="002653E8">
          <w:pgSz w:w="8640" w:h="12960"/>
          <w:pgMar w:top="1060" w:right="0" w:bottom="1040" w:left="0" w:header="0" w:footer="850" w:gutter="0"/>
          <w:cols w:space="720"/>
        </w:sectPr>
      </w:pPr>
    </w:p>
    <w:p w14:paraId="18DAEF76" w14:textId="77777777" w:rsidR="002653E8" w:rsidRDefault="003115E3">
      <w:pPr>
        <w:pStyle w:val="a3"/>
        <w:spacing w:before="86" w:line="264" w:lineRule="auto"/>
        <w:ind w:left="1327" w:right="1146"/>
        <w:jc w:val="both"/>
      </w:pPr>
      <w:r>
        <w:rPr>
          <w:color w:val="231F20"/>
        </w:rPr>
        <w:lastRenderedPageBreak/>
        <w:t xml:space="preserve">State security must preserve the entire civil service so as </w:t>
      </w:r>
      <w:r>
        <w:rPr>
          <w:color w:val="231F20"/>
          <w:spacing w:val="1"/>
        </w:rPr>
        <w:t xml:space="preserve">to—and </w:t>
      </w:r>
      <w:r>
        <w:rPr>
          <w:color w:val="231F20"/>
        </w:rPr>
        <w:t xml:space="preserve">this   is the case in the </w:t>
      </w:r>
      <w:r>
        <w:rPr>
          <w:color w:val="231F20"/>
          <w:spacing w:val="1"/>
        </w:rPr>
        <w:t xml:space="preserve">trials—shift </w:t>
      </w:r>
      <w:r>
        <w:rPr>
          <w:color w:val="231F20"/>
        </w:rPr>
        <w:t xml:space="preserve">the whole institution to the right. The extremely aggressive </w:t>
      </w:r>
      <w:r>
        <w:rPr>
          <w:color w:val="231F20"/>
          <w:spacing w:val="-2"/>
        </w:rPr>
        <w:t xml:space="preserve">way </w:t>
      </w:r>
      <w:r>
        <w:rPr>
          <w:color w:val="231F20"/>
        </w:rPr>
        <w:t xml:space="preserve">in which they pursue this objective, without running up against any resistance, is a function of the postfascist state  in the Federal Republic. Part of this is the structure of the state and       its unbroken continuity with the Third Reich, which includes the political hygiene practiced through the eradication of opposition between </w:t>
      </w:r>
      <w:r>
        <w:rPr>
          <w:color w:val="231F20"/>
          <w:spacing w:val="-7"/>
        </w:rPr>
        <w:t xml:space="preserve">33 </w:t>
      </w:r>
      <w:r>
        <w:rPr>
          <w:color w:val="231F20"/>
        </w:rPr>
        <w:t xml:space="preserve">and </w:t>
      </w:r>
      <w:r>
        <w:rPr>
          <w:color w:val="231F20"/>
          <w:spacing w:val="-7"/>
        </w:rPr>
        <w:t xml:space="preserve">45, </w:t>
      </w:r>
      <w:r>
        <w:rPr>
          <w:color w:val="231F20"/>
        </w:rPr>
        <w:t xml:space="preserve">and after </w:t>
      </w:r>
      <w:r>
        <w:rPr>
          <w:color w:val="231F20"/>
          <w:spacing w:val="-7"/>
        </w:rPr>
        <w:t xml:space="preserve">45 </w:t>
      </w:r>
      <w:r>
        <w:rPr>
          <w:color w:val="231F20"/>
        </w:rPr>
        <w:t xml:space="preserve">the gagging, paralyzing, and integrating of the groups emerging from illegality, groups which had been corrupted in exile and which were eventually brought under the control of the </w:t>
      </w:r>
      <w:r>
        <w:rPr>
          <w:color w:val="231F20"/>
          <w:spacing w:val="1"/>
        </w:rPr>
        <w:t xml:space="preserve">U.S. </w:t>
      </w:r>
      <w:r>
        <w:rPr>
          <w:color w:val="231F20"/>
        </w:rPr>
        <w:t>occupying</w:t>
      </w:r>
      <w:r>
        <w:rPr>
          <w:color w:val="231F20"/>
          <w:spacing w:val="15"/>
        </w:rPr>
        <w:t xml:space="preserve"> </w:t>
      </w:r>
      <w:r>
        <w:rPr>
          <w:color w:val="231F20"/>
        </w:rPr>
        <w:t>power,</w:t>
      </w:r>
      <w:r>
        <w:rPr>
          <w:color w:val="231F20"/>
          <w:spacing w:val="15"/>
        </w:rPr>
        <w:t xml:space="preserve"> </w:t>
      </w:r>
      <w:r>
        <w:rPr>
          <w:color w:val="231F20"/>
        </w:rPr>
        <w:t>the</w:t>
      </w:r>
      <w:r>
        <w:rPr>
          <w:color w:val="231F20"/>
          <w:spacing w:val="15"/>
        </w:rPr>
        <w:t xml:space="preserve"> </w:t>
      </w:r>
      <w:r>
        <w:rPr>
          <w:color w:val="231F20"/>
          <w:spacing w:val="3"/>
        </w:rPr>
        <w:t>CIA,</w:t>
      </w:r>
      <w:r>
        <w:rPr>
          <w:color w:val="231F20"/>
          <w:spacing w:val="15"/>
        </w:rPr>
        <w:t xml:space="preserve"> </w:t>
      </w:r>
      <w:r>
        <w:rPr>
          <w:color w:val="231F20"/>
        </w:rPr>
        <w:t>etc.</w:t>
      </w:r>
      <w:r>
        <w:rPr>
          <w:color w:val="231F20"/>
          <w:spacing w:val="15"/>
        </w:rPr>
        <w:t xml:space="preserve"> </w:t>
      </w:r>
      <w:r>
        <w:rPr>
          <w:color w:val="231F20"/>
        </w:rPr>
        <w:t>during</w:t>
      </w:r>
      <w:r>
        <w:rPr>
          <w:color w:val="231F20"/>
          <w:spacing w:val="15"/>
        </w:rPr>
        <w:t xml:space="preserve"> </w:t>
      </w:r>
      <w:r>
        <w:rPr>
          <w:color w:val="231F20"/>
        </w:rPr>
        <w:t>the</w:t>
      </w:r>
      <w:r>
        <w:rPr>
          <w:color w:val="231F20"/>
          <w:spacing w:val="15"/>
        </w:rPr>
        <w:t xml:space="preserve"> </w:t>
      </w:r>
      <w:r>
        <w:rPr>
          <w:color w:val="231F20"/>
        </w:rPr>
        <w:t>Cold</w:t>
      </w:r>
      <w:r>
        <w:rPr>
          <w:color w:val="231F20"/>
          <w:spacing w:val="15"/>
        </w:rPr>
        <w:t xml:space="preserve"> </w:t>
      </w:r>
      <w:r>
        <w:rPr>
          <w:color w:val="231F20"/>
          <w:spacing w:val="-4"/>
        </w:rPr>
        <w:t>War.</w:t>
      </w:r>
    </w:p>
    <w:p w14:paraId="22213DAA" w14:textId="77777777" w:rsidR="002653E8" w:rsidRDefault="003115E3">
      <w:pPr>
        <w:pStyle w:val="a3"/>
        <w:spacing w:line="264" w:lineRule="auto"/>
        <w:ind w:left="1328" w:right="1145" w:firstLine="210"/>
        <w:jc w:val="both"/>
      </w:pPr>
      <w:r>
        <w:rPr>
          <w:color w:val="231F20"/>
          <w:w w:val="105"/>
        </w:rPr>
        <w:t>The</w:t>
      </w:r>
      <w:r>
        <w:rPr>
          <w:color w:val="231F20"/>
          <w:spacing w:val="-9"/>
          <w:w w:val="105"/>
        </w:rPr>
        <w:t xml:space="preserve"> </w:t>
      </w:r>
      <w:r>
        <w:rPr>
          <w:color w:val="231F20"/>
          <w:w w:val="105"/>
        </w:rPr>
        <w:t>qualitative</w:t>
      </w:r>
      <w:r>
        <w:rPr>
          <w:color w:val="231F20"/>
          <w:spacing w:val="-9"/>
          <w:w w:val="105"/>
        </w:rPr>
        <w:t xml:space="preserve"> </w:t>
      </w:r>
      <w:r>
        <w:rPr>
          <w:color w:val="231F20"/>
          <w:w w:val="105"/>
        </w:rPr>
        <w:t>leaps</w:t>
      </w:r>
      <w:r>
        <w:rPr>
          <w:color w:val="231F20"/>
          <w:spacing w:val="-9"/>
          <w:w w:val="105"/>
        </w:rPr>
        <w:t xml:space="preserve"> </w:t>
      </w:r>
      <w:r>
        <w:rPr>
          <w:color w:val="231F20"/>
          <w:w w:val="105"/>
        </w:rPr>
        <w:t>which</w:t>
      </w:r>
      <w:r>
        <w:rPr>
          <w:color w:val="231F20"/>
          <w:spacing w:val="-9"/>
          <w:w w:val="105"/>
        </w:rPr>
        <w:t xml:space="preserve"> </w:t>
      </w:r>
      <w:r>
        <w:rPr>
          <w:color w:val="231F20"/>
          <w:w w:val="105"/>
        </w:rPr>
        <w:t>take</w:t>
      </w:r>
      <w:r>
        <w:rPr>
          <w:color w:val="231F20"/>
          <w:spacing w:val="-9"/>
          <w:w w:val="105"/>
        </w:rPr>
        <w:t xml:space="preserve"> </w:t>
      </w:r>
      <w:r>
        <w:rPr>
          <w:color w:val="231F20"/>
          <w:w w:val="105"/>
        </w:rPr>
        <w:t>place</w:t>
      </w:r>
      <w:r>
        <w:rPr>
          <w:color w:val="231F20"/>
          <w:spacing w:val="-9"/>
          <w:w w:val="105"/>
        </w:rPr>
        <w:t xml:space="preserve"> </w:t>
      </w:r>
      <w:r>
        <w:rPr>
          <w:color w:val="231F20"/>
          <w:w w:val="105"/>
        </w:rPr>
        <w:t>as</w:t>
      </w:r>
      <w:r>
        <w:rPr>
          <w:color w:val="231F20"/>
          <w:spacing w:val="-9"/>
          <w:w w:val="105"/>
        </w:rPr>
        <w:t xml:space="preserve"> </w:t>
      </w:r>
      <w:r>
        <w:rPr>
          <w:color w:val="231F20"/>
          <w:w w:val="105"/>
        </w:rPr>
        <w:t>fascism</w:t>
      </w:r>
      <w:r>
        <w:rPr>
          <w:color w:val="231F20"/>
          <w:spacing w:val="-9"/>
          <w:w w:val="105"/>
        </w:rPr>
        <w:t xml:space="preserve"> </w:t>
      </w:r>
      <w:r>
        <w:rPr>
          <w:color w:val="231F20"/>
          <w:w w:val="105"/>
        </w:rPr>
        <w:t>develops</w:t>
      </w:r>
      <w:r>
        <w:rPr>
          <w:color w:val="231F20"/>
          <w:spacing w:val="-9"/>
          <w:w w:val="105"/>
        </w:rPr>
        <w:t xml:space="preserve"> </w:t>
      </w:r>
      <w:r>
        <w:rPr>
          <w:color w:val="231F20"/>
          <w:w w:val="105"/>
        </w:rPr>
        <w:t>have</w:t>
      </w:r>
      <w:r>
        <w:rPr>
          <w:color w:val="231F20"/>
          <w:spacing w:val="-9"/>
          <w:w w:val="105"/>
        </w:rPr>
        <w:t xml:space="preserve"> </w:t>
      </w:r>
      <w:r>
        <w:rPr>
          <w:color w:val="231F20"/>
          <w:w w:val="105"/>
        </w:rPr>
        <w:t xml:space="preserve">not </w:t>
      </w:r>
      <w:r>
        <w:rPr>
          <w:color w:val="231F20"/>
        </w:rPr>
        <w:t>been</w:t>
      </w:r>
      <w:r>
        <w:rPr>
          <w:color w:val="231F20"/>
          <w:spacing w:val="-12"/>
        </w:rPr>
        <w:t xml:space="preserve"> </w:t>
      </w:r>
      <w:r>
        <w:rPr>
          <w:color w:val="231F20"/>
        </w:rPr>
        <w:t>grasped.</w:t>
      </w:r>
      <w:r>
        <w:rPr>
          <w:color w:val="231F20"/>
          <w:spacing w:val="-12"/>
        </w:rPr>
        <w:t xml:space="preserve"> </w:t>
      </w:r>
      <w:r>
        <w:rPr>
          <w:color w:val="231F20"/>
        </w:rPr>
        <w:t>Not</w:t>
      </w:r>
      <w:r>
        <w:rPr>
          <w:color w:val="231F20"/>
          <w:spacing w:val="-12"/>
        </w:rPr>
        <w:t xml:space="preserve"> </w:t>
      </w:r>
      <w:r>
        <w:rPr>
          <w:color w:val="231F20"/>
        </w:rPr>
        <w:t>so</w:t>
      </w:r>
      <w:r>
        <w:rPr>
          <w:color w:val="231F20"/>
          <w:spacing w:val="-12"/>
        </w:rPr>
        <w:t xml:space="preserve"> </w:t>
      </w:r>
      <w:r>
        <w:rPr>
          <w:color w:val="231F20"/>
        </w:rPr>
        <w:t>long</w:t>
      </w:r>
      <w:r>
        <w:rPr>
          <w:color w:val="231F20"/>
          <w:spacing w:val="-12"/>
        </w:rPr>
        <w:t xml:space="preserve"> </w:t>
      </w:r>
      <w:r>
        <w:rPr>
          <w:color w:val="231F20"/>
        </w:rPr>
        <w:t>ago</w:t>
      </w:r>
      <w:r>
        <w:rPr>
          <w:color w:val="231F20"/>
          <w:spacing w:val="-12"/>
        </w:rPr>
        <w:t xml:space="preserve"> </w:t>
      </w:r>
      <w:r>
        <w:rPr>
          <w:color w:val="231F20"/>
        </w:rPr>
        <w:t>even</w:t>
      </w:r>
      <w:r>
        <w:rPr>
          <w:color w:val="231F20"/>
          <w:spacing w:val="-11"/>
        </w:rPr>
        <w:t xml:space="preserve"> </w:t>
      </w:r>
      <w:r>
        <w:rPr>
          <w:color w:val="231F20"/>
          <w:spacing w:val="1"/>
        </w:rPr>
        <w:t>Amnesty</w:t>
      </w:r>
      <w:r>
        <w:rPr>
          <w:color w:val="231F20"/>
          <w:spacing w:val="-12"/>
        </w:rPr>
        <w:t xml:space="preserve"> </w:t>
      </w:r>
      <w:r>
        <w:rPr>
          <w:color w:val="231F20"/>
        </w:rPr>
        <w:t>International,</w:t>
      </w:r>
      <w:r>
        <w:rPr>
          <w:color w:val="231F20"/>
          <w:spacing w:val="-12"/>
        </w:rPr>
        <w:t xml:space="preserve"> </w:t>
      </w:r>
      <w:r>
        <w:rPr>
          <w:color w:val="231F20"/>
        </w:rPr>
        <w:t>an</w:t>
      </w:r>
      <w:r>
        <w:rPr>
          <w:color w:val="231F20"/>
          <w:spacing w:val="-12"/>
        </w:rPr>
        <w:t xml:space="preserve"> </w:t>
      </w:r>
      <w:r>
        <w:rPr>
          <w:color w:val="231F20"/>
        </w:rPr>
        <w:t>active</w:t>
      </w:r>
      <w:r>
        <w:rPr>
          <w:color w:val="231F20"/>
          <w:spacing w:val="-12"/>
        </w:rPr>
        <w:t xml:space="preserve"> </w:t>
      </w:r>
      <w:r>
        <w:rPr>
          <w:color w:val="231F20"/>
        </w:rPr>
        <w:t>anti</w:t>
      </w:r>
      <w:r>
        <w:rPr>
          <w:color w:val="231F20"/>
          <w:w w:val="105"/>
        </w:rPr>
        <w:t>communist</w:t>
      </w:r>
      <w:r>
        <w:rPr>
          <w:color w:val="231F20"/>
          <w:spacing w:val="-26"/>
          <w:w w:val="105"/>
        </w:rPr>
        <w:t xml:space="preserve"> </w:t>
      </w:r>
      <w:r>
        <w:rPr>
          <w:color w:val="231F20"/>
          <w:w w:val="105"/>
        </w:rPr>
        <w:t>organization,</w:t>
      </w:r>
      <w:r>
        <w:rPr>
          <w:color w:val="231F20"/>
          <w:spacing w:val="-26"/>
          <w:w w:val="105"/>
        </w:rPr>
        <w:t xml:space="preserve"> </w:t>
      </w:r>
      <w:r>
        <w:rPr>
          <w:color w:val="231F20"/>
          <w:w w:val="105"/>
        </w:rPr>
        <w:t>or</w:t>
      </w:r>
      <w:r>
        <w:rPr>
          <w:color w:val="231F20"/>
          <w:spacing w:val="-26"/>
          <w:w w:val="105"/>
        </w:rPr>
        <w:t xml:space="preserve"> </w:t>
      </w:r>
      <w:r>
        <w:rPr>
          <w:color w:val="231F20"/>
          <w:w w:val="105"/>
        </w:rPr>
        <w:t>anti-Soviet</w:t>
      </w:r>
      <w:r>
        <w:rPr>
          <w:color w:val="231F20"/>
          <w:spacing w:val="-26"/>
          <w:w w:val="105"/>
        </w:rPr>
        <w:t xml:space="preserve"> </w:t>
      </w:r>
      <w:r>
        <w:rPr>
          <w:color w:val="231F20"/>
          <w:w w:val="105"/>
        </w:rPr>
        <w:t>in</w:t>
      </w:r>
      <w:r>
        <w:rPr>
          <w:color w:val="231F20"/>
          <w:spacing w:val="-26"/>
          <w:w w:val="105"/>
        </w:rPr>
        <w:t xml:space="preserve"> </w:t>
      </w:r>
      <w:r>
        <w:rPr>
          <w:color w:val="231F20"/>
          <w:w w:val="105"/>
        </w:rPr>
        <w:t>any</w:t>
      </w:r>
      <w:r>
        <w:rPr>
          <w:color w:val="231F20"/>
          <w:spacing w:val="-26"/>
          <w:w w:val="105"/>
        </w:rPr>
        <w:t xml:space="preserve"> </w:t>
      </w:r>
      <w:r>
        <w:rPr>
          <w:color w:val="231F20"/>
          <w:w w:val="105"/>
        </w:rPr>
        <w:t>event,</w:t>
      </w:r>
      <w:r>
        <w:rPr>
          <w:color w:val="231F20"/>
          <w:spacing w:val="-26"/>
          <w:w w:val="105"/>
        </w:rPr>
        <w:t xml:space="preserve"> </w:t>
      </w:r>
      <w:r>
        <w:rPr>
          <w:color w:val="231F20"/>
          <w:w w:val="105"/>
        </w:rPr>
        <w:t>that</w:t>
      </w:r>
      <w:r>
        <w:rPr>
          <w:color w:val="231F20"/>
          <w:spacing w:val="-26"/>
          <w:w w:val="105"/>
        </w:rPr>
        <w:t xml:space="preserve"> </w:t>
      </w:r>
      <w:r>
        <w:rPr>
          <w:color w:val="231F20"/>
          <w:w w:val="105"/>
        </w:rPr>
        <w:t>acts</w:t>
      </w:r>
      <w:r>
        <w:rPr>
          <w:color w:val="231F20"/>
          <w:spacing w:val="-26"/>
          <w:w w:val="105"/>
        </w:rPr>
        <w:t xml:space="preserve"> </w:t>
      </w:r>
      <w:r>
        <w:rPr>
          <w:color w:val="231F20"/>
          <w:w w:val="105"/>
        </w:rPr>
        <w:t>primarily in</w:t>
      </w:r>
      <w:r>
        <w:rPr>
          <w:color w:val="231F20"/>
          <w:spacing w:val="-6"/>
          <w:w w:val="105"/>
        </w:rPr>
        <w:t xml:space="preserve"> </w:t>
      </w:r>
      <w:r>
        <w:rPr>
          <w:color w:val="231F20"/>
          <w:w w:val="105"/>
        </w:rPr>
        <w:t>a</w:t>
      </w:r>
      <w:r>
        <w:rPr>
          <w:color w:val="231F20"/>
          <w:spacing w:val="-6"/>
          <w:w w:val="105"/>
        </w:rPr>
        <w:t xml:space="preserve"> </w:t>
      </w:r>
      <w:r>
        <w:rPr>
          <w:color w:val="231F20"/>
          <w:spacing w:val="-2"/>
          <w:w w:val="105"/>
        </w:rPr>
        <w:t>way</w:t>
      </w:r>
      <w:r>
        <w:rPr>
          <w:color w:val="231F20"/>
          <w:spacing w:val="-6"/>
          <w:w w:val="105"/>
        </w:rPr>
        <w:t xml:space="preserve"> </w:t>
      </w:r>
      <w:r>
        <w:rPr>
          <w:color w:val="231F20"/>
          <w:w w:val="105"/>
        </w:rPr>
        <w:t>that</w:t>
      </w:r>
      <w:r>
        <w:rPr>
          <w:color w:val="231F20"/>
          <w:spacing w:val="-6"/>
          <w:w w:val="105"/>
        </w:rPr>
        <w:t xml:space="preserve"> </w:t>
      </w:r>
      <w:r>
        <w:rPr>
          <w:color w:val="231F20"/>
          <w:w w:val="105"/>
        </w:rPr>
        <w:t>is</w:t>
      </w:r>
      <w:r>
        <w:rPr>
          <w:color w:val="231F20"/>
          <w:spacing w:val="-6"/>
          <w:w w:val="105"/>
        </w:rPr>
        <w:t xml:space="preserve"> </w:t>
      </w:r>
      <w:r>
        <w:rPr>
          <w:color w:val="231F20"/>
          <w:w w:val="105"/>
        </w:rPr>
        <w:t>supportive</w:t>
      </w:r>
      <w:r>
        <w:rPr>
          <w:color w:val="231F20"/>
          <w:spacing w:val="-6"/>
          <w:w w:val="105"/>
        </w:rPr>
        <w:t xml:space="preserve"> </w:t>
      </w:r>
      <w:r>
        <w:rPr>
          <w:color w:val="231F20"/>
          <w:w w:val="105"/>
        </w:rPr>
        <w:t>of</w:t>
      </w:r>
      <w:r>
        <w:rPr>
          <w:color w:val="231F20"/>
          <w:spacing w:val="-6"/>
          <w:w w:val="105"/>
        </w:rPr>
        <w:t xml:space="preserve"> </w:t>
      </w:r>
      <w:r>
        <w:rPr>
          <w:color w:val="231F20"/>
          <w:w w:val="105"/>
        </w:rPr>
        <w:t>the</w:t>
      </w:r>
      <w:r>
        <w:rPr>
          <w:color w:val="231F20"/>
          <w:spacing w:val="-5"/>
          <w:w w:val="105"/>
        </w:rPr>
        <w:t xml:space="preserve"> </w:t>
      </w:r>
      <w:r>
        <w:rPr>
          <w:color w:val="231F20"/>
          <w:w w:val="105"/>
        </w:rPr>
        <w:t>FRG,</w:t>
      </w:r>
      <w:r>
        <w:rPr>
          <w:color w:val="231F20"/>
          <w:spacing w:val="-6"/>
          <w:w w:val="105"/>
        </w:rPr>
        <w:t xml:space="preserve"> </w:t>
      </w:r>
      <w:r>
        <w:rPr>
          <w:color w:val="231F20"/>
          <w:w w:val="105"/>
        </w:rPr>
        <w:t>complained</w:t>
      </w:r>
      <w:r>
        <w:rPr>
          <w:color w:val="231F20"/>
          <w:spacing w:val="-6"/>
          <w:w w:val="105"/>
        </w:rPr>
        <w:t xml:space="preserve"> </w:t>
      </w:r>
      <w:r>
        <w:rPr>
          <w:color w:val="231F20"/>
          <w:w w:val="105"/>
        </w:rPr>
        <w:t>that</w:t>
      </w:r>
      <w:r>
        <w:rPr>
          <w:color w:val="231F20"/>
          <w:spacing w:val="-6"/>
          <w:w w:val="105"/>
        </w:rPr>
        <w:t xml:space="preserve"> </w:t>
      </w:r>
      <w:r>
        <w:rPr>
          <w:color w:val="231F20"/>
          <w:w w:val="105"/>
        </w:rPr>
        <w:t>people</w:t>
      </w:r>
      <w:r>
        <w:rPr>
          <w:color w:val="231F20"/>
          <w:spacing w:val="-6"/>
          <w:w w:val="105"/>
        </w:rPr>
        <w:t xml:space="preserve"> </w:t>
      </w:r>
      <w:r>
        <w:rPr>
          <w:color w:val="231F20"/>
          <w:w w:val="105"/>
        </w:rPr>
        <w:t>no</w:t>
      </w:r>
      <w:r>
        <w:rPr>
          <w:color w:val="231F20"/>
          <w:spacing w:val="-6"/>
          <w:w w:val="105"/>
        </w:rPr>
        <w:t xml:space="preserve"> </w:t>
      </w:r>
      <w:r>
        <w:rPr>
          <w:color w:val="231F20"/>
          <w:w w:val="105"/>
        </w:rPr>
        <w:t>longer</w:t>
      </w:r>
      <w:r>
        <w:rPr>
          <w:color w:val="231F20"/>
          <w:spacing w:val="-12"/>
          <w:w w:val="105"/>
        </w:rPr>
        <w:t xml:space="preserve"> </w:t>
      </w:r>
      <w:r>
        <w:rPr>
          <w:color w:val="231F20"/>
          <w:w w:val="105"/>
        </w:rPr>
        <w:t>dare</w:t>
      </w:r>
      <w:r>
        <w:rPr>
          <w:color w:val="231F20"/>
          <w:spacing w:val="-12"/>
          <w:w w:val="105"/>
        </w:rPr>
        <w:t xml:space="preserve"> </w:t>
      </w:r>
      <w:r>
        <w:rPr>
          <w:color w:val="231F20"/>
          <w:w w:val="105"/>
        </w:rPr>
        <w:t>to</w:t>
      </w:r>
      <w:r>
        <w:rPr>
          <w:color w:val="231F20"/>
          <w:spacing w:val="-12"/>
          <w:w w:val="105"/>
        </w:rPr>
        <w:t xml:space="preserve"> </w:t>
      </w:r>
      <w:r>
        <w:rPr>
          <w:color w:val="231F20"/>
          <w:w w:val="105"/>
        </w:rPr>
        <w:t>sign</w:t>
      </w:r>
      <w:r>
        <w:rPr>
          <w:color w:val="231F20"/>
          <w:spacing w:val="-12"/>
          <w:w w:val="105"/>
        </w:rPr>
        <w:t xml:space="preserve"> </w:t>
      </w:r>
      <w:r>
        <w:rPr>
          <w:color w:val="231F20"/>
          <w:w w:val="105"/>
        </w:rPr>
        <w:t>petitions</w:t>
      </w:r>
      <w:r>
        <w:rPr>
          <w:color w:val="231F20"/>
          <w:spacing w:val="-12"/>
          <w:w w:val="105"/>
        </w:rPr>
        <w:t xml:space="preserve"> </w:t>
      </w:r>
      <w:r>
        <w:rPr>
          <w:color w:val="231F20"/>
          <w:w w:val="105"/>
        </w:rPr>
        <w:t>opposing</w:t>
      </w:r>
      <w:r>
        <w:rPr>
          <w:color w:val="231F20"/>
          <w:spacing w:val="-12"/>
          <w:w w:val="105"/>
        </w:rPr>
        <w:t xml:space="preserve"> </w:t>
      </w:r>
      <w:r>
        <w:rPr>
          <w:color w:val="231F20"/>
          <w:w w:val="105"/>
        </w:rPr>
        <w:t>torture</w:t>
      </w:r>
      <w:r>
        <w:rPr>
          <w:color w:val="231F20"/>
          <w:spacing w:val="-12"/>
          <w:w w:val="105"/>
        </w:rPr>
        <w:t xml:space="preserve"> </w:t>
      </w:r>
      <w:r>
        <w:rPr>
          <w:color w:val="231F20"/>
          <w:w w:val="105"/>
        </w:rPr>
        <w:t>in</w:t>
      </w:r>
      <w:r>
        <w:rPr>
          <w:color w:val="231F20"/>
          <w:spacing w:val="-12"/>
          <w:w w:val="105"/>
        </w:rPr>
        <w:t xml:space="preserve"> </w:t>
      </w:r>
      <w:r>
        <w:rPr>
          <w:color w:val="231F20"/>
          <w:w w:val="105"/>
        </w:rPr>
        <w:t>Latin</w:t>
      </w:r>
      <w:r>
        <w:rPr>
          <w:color w:val="231F20"/>
          <w:spacing w:val="-12"/>
          <w:w w:val="105"/>
        </w:rPr>
        <w:t xml:space="preserve"> </w:t>
      </w:r>
      <w:r>
        <w:rPr>
          <w:color w:val="231F20"/>
          <w:w w:val="105"/>
        </w:rPr>
        <w:t>America</w:t>
      </w:r>
      <w:r>
        <w:rPr>
          <w:color w:val="231F20"/>
          <w:spacing w:val="-12"/>
          <w:w w:val="105"/>
        </w:rPr>
        <w:t xml:space="preserve"> </w:t>
      </w:r>
      <w:r>
        <w:rPr>
          <w:color w:val="231F20"/>
          <w:w w:val="105"/>
        </w:rPr>
        <w:t>and</w:t>
      </w:r>
      <w:r>
        <w:rPr>
          <w:color w:val="231F20"/>
          <w:spacing w:val="-12"/>
          <w:w w:val="105"/>
        </w:rPr>
        <w:t xml:space="preserve"> </w:t>
      </w:r>
      <w:r>
        <w:rPr>
          <w:color w:val="231F20"/>
          <w:w w:val="105"/>
        </w:rPr>
        <w:t xml:space="preserve">South East Asia out of fear of being registered with the </w:t>
      </w:r>
      <w:r>
        <w:rPr>
          <w:i/>
          <w:color w:val="231F20"/>
          <w:w w:val="105"/>
        </w:rPr>
        <w:t>Verfassungsschutz</w:t>
      </w:r>
      <w:r>
        <w:rPr>
          <w:color w:val="231F20"/>
          <w:w w:val="105"/>
        </w:rPr>
        <w:t>. And they will be registered. The fear is well</w:t>
      </w:r>
      <w:r>
        <w:rPr>
          <w:color w:val="231F20"/>
          <w:spacing w:val="35"/>
          <w:w w:val="105"/>
        </w:rPr>
        <w:t xml:space="preserve"> </w:t>
      </w:r>
      <w:r>
        <w:rPr>
          <w:color w:val="231F20"/>
          <w:w w:val="105"/>
        </w:rPr>
        <w:t>founded.</w:t>
      </w:r>
    </w:p>
    <w:p w14:paraId="70475448" w14:textId="77777777" w:rsidR="002653E8" w:rsidRDefault="003115E3">
      <w:pPr>
        <w:pStyle w:val="a3"/>
        <w:spacing w:line="264" w:lineRule="auto"/>
        <w:ind w:left="1327" w:right="1145" w:firstLine="210"/>
        <w:jc w:val="both"/>
      </w:pPr>
      <w:r>
        <w:rPr>
          <w:color w:val="231F20"/>
        </w:rPr>
        <w:t xml:space="preserve">The </w:t>
      </w:r>
      <w:r>
        <w:rPr>
          <w:color w:val="231F20"/>
          <w:spacing w:val="1"/>
        </w:rPr>
        <w:t xml:space="preserve">full </w:t>
      </w:r>
      <w:r>
        <w:rPr>
          <w:color w:val="231F20"/>
        </w:rPr>
        <w:t xml:space="preserve">extent of the problem is apparent in the process of adopting a new </w:t>
      </w:r>
      <w:r>
        <w:rPr>
          <w:i/>
          <w:color w:val="231F20"/>
        </w:rPr>
        <w:t xml:space="preserve">Verfassungsschutz </w:t>
      </w:r>
      <w:r>
        <w:rPr>
          <w:color w:val="231F20"/>
        </w:rPr>
        <w:t xml:space="preserve">law in Lower </w:t>
      </w:r>
      <w:r>
        <w:rPr>
          <w:color w:val="231F20"/>
          <w:spacing w:val="-3"/>
        </w:rPr>
        <w:t xml:space="preserve">Saxony. </w:t>
      </w:r>
      <w:r>
        <w:rPr>
          <w:color w:val="231F20"/>
        </w:rPr>
        <w:t xml:space="preserve">Almost all other </w:t>
      </w:r>
      <w:r>
        <w:rPr>
          <w:i/>
          <w:color w:val="231F20"/>
          <w:spacing w:val="2"/>
        </w:rPr>
        <w:t xml:space="preserve">Länder </w:t>
      </w:r>
      <w:r>
        <w:rPr>
          <w:color w:val="231F20"/>
        </w:rPr>
        <w:t xml:space="preserve">already have such a </w:t>
      </w:r>
      <w:r>
        <w:rPr>
          <w:color w:val="231F20"/>
          <w:spacing w:val="-4"/>
        </w:rPr>
        <w:t xml:space="preserve">law, </w:t>
      </w:r>
      <w:r>
        <w:rPr>
          <w:color w:val="231F20"/>
        </w:rPr>
        <w:t xml:space="preserve">in accord with the principles issued centrally by the Interior Ministers Conference. The law decrees that all employees and officials of the civil service and radio and </w:t>
      </w:r>
      <w:r>
        <w:rPr>
          <w:color w:val="231F20"/>
          <w:spacing w:val="5"/>
        </w:rPr>
        <w:t xml:space="preserve">TV </w:t>
      </w:r>
      <w:r>
        <w:rPr>
          <w:color w:val="231F20"/>
        </w:rPr>
        <w:t xml:space="preserve">corporations have a duty to provide information to the </w:t>
      </w:r>
      <w:r>
        <w:rPr>
          <w:i/>
          <w:color w:val="231F20"/>
        </w:rPr>
        <w:t>Verfassungsschutz</w:t>
      </w:r>
      <w:r>
        <w:rPr>
          <w:color w:val="231F20"/>
        </w:rPr>
        <w:t xml:space="preserve">. At the same time, the </w:t>
      </w:r>
      <w:r>
        <w:rPr>
          <w:color w:val="231F20"/>
          <w:spacing w:val="2"/>
        </w:rPr>
        <w:t xml:space="preserve">BKA, </w:t>
      </w:r>
      <w:r>
        <w:rPr>
          <w:color w:val="231F20"/>
        </w:rPr>
        <w:t>equipped with the largest database in the world, is screening the entire left. What is taking place is, in practice, the almost complete control and registration of the political scene in the Federal Republic, which is a more far-reaching process than the physical internment that has taken place in Chile. The political climate resembles that which follows a fascist putsch. Accordingly, panic rules.</w:t>
      </w:r>
    </w:p>
    <w:p w14:paraId="781ECCD3" w14:textId="7D99B4B4" w:rsidR="002653E8" w:rsidRDefault="003115E3" w:rsidP="005C3D1F">
      <w:pPr>
        <w:pStyle w:val="a3"/>
        <w:spacing w:line="222" w:lineRule="exact"/>
        <w:ind w:left="1538" w:rightChars="512" w:right="1126"/>
      </w:pPr>
      <w:r>
        <w:rPr>
          <w:color w:val="231F20"/>
        </w:rPr>
        <w:t xml:space="preserve">The fact that the guerilla and the prisoners from the </w:t>
      </w:r>
      <w:r w:rsidR="00C507A5">
        <w:rPr>
          <w:color w:val="231F20"/>
        </w:rPr>
        <w:t>red army faction</w:t>
      </w:r>
      <w:r>
        <w:rPr>
          <w:color w:val="231F20"/>
        </w:rPr>
        <w:t xml:space="preserve"> do not have</w:t>
      </w:r>
      <w:r w:rsidR="005C3D1F">
        <w:rPr>
          <w:color w:val="231F20"/>
        </w:rPr>
        <w:t xml:space="preserve"> </w:t>
      </w:r>
      <w:r>
        <w:rPr>
          <w:color w:val="231F20"/>
        </w:rPr>
        <w:t>this problem of fear is the result of having a political coherence that has its political history, but not its political center, in the Federal Republic. Its identity is international.</w:t>
      </w:r>
    </w:p>
    <w:p w14:paraId="50A4A593" w14:textId="77777777" w:rsidR="002653E8" w:rsidRDefault="003115E3">
      <w:pPr>
        <w:pStyle w:val="a3"/>
        <w:spacing w:line="264" w:lineRule="auto"/>
        <w:ind w:left="1327" w:right="1146" w:firstLine="210"/>
        <w:jc w:val="both"/>
      </w:pPr>
      <w:r>
        <w:rPr>
          <w:color w:val="231F20"/>
        </w:rPr>
        <w:t>If the fascist drift is to be understood at all in the Federal Republic, then it will be understood through the guerilla struggle. The guerilla struggle tempers the demoralization of the left, allowing one to develop a self-critical relationship with one’s own corruption; and it does that through Stammheim, through the prisoners’ struggle, and through resis-</w:t>
      </w:r>
    </w:p>
    <w:p w14:paraId="5770DA08" w14:textId="77777777" w:rsidR="002653E8" w:rsidRDefault="002653E8">
      <w:pPr>
        <w:spacing w:line="264" w:lineRule="auto"/>
        <w:jc w:val="both"/>
        <w:sectPr w:rsidR="002653E8">
          <w:pgSz w:w="8640" w:h="12960"/>
          <w:pgMar w:top="1060" w:right="0" w:bottom="1040" w:left="0" w:header="0" w:footer="850" w:gutter="0"/>
          <w:cols w:space="720"/>
        </w:sectPr>
      </w:pPr>
    </w:p>
    <w:p w14:paraId="1F6958BF" w14:textId="77777777" w:rsidR="002653E8" w:rsidRDefault="003115E3">
      <w:pPr>
        <w:pStyle w:val="a3"/>
        <w:spacing w:before="86" w:line="264" w:lineRule="auto"/>
        <w:ind w:left="1147" w:right="1326"/>
        <w:jc w:val="both"/>
      </w:pPr>
      <w:r>
        <w:rPr>
          <w:color w:val="231F20"/>
        </w:rPr>
        <w:lastRenderedPageBreak/>
        <w:t>tance. However, within this state, the fact that the enormous repression in the prisons has not broken the prisoners has very little impact on the overall depoliticization of this left.</w:t>
      </w:r>
    </w:p>
    <w:p w14:paraId="277E6A2F" w14:textId="77777777" w:rsidR="002653E8" w:rsidRDefault="002653E8">
      <w:pPr>
        <w:pStyle w:val="a3"/>
        <w:spacing w:before="8"/>
        <w:rPr>
          <w:sz w:val="21"/>
        </w:rPr>
      </w:pPr>
    </w:p>
    <w:p w14:paraId="37BC5BE6" w14:textId="77777777" w:rsidR="002653E8" w:rsidRDefault="003115E3">
      <w:pPr>
        <w:pStyle w:val="a3"/>
        <w:spacing w:line="264" w:lineRule="auto"/>
        <w:ind w:left="1147" w:right="1326"/>
        <w:jc w:val="both"/>
      </w:pPr>
      <w:r>
        <w:rPr>
          <w:color w:val="231F20"/>
        </w:rPr>
        <w:t xml:space="preserve">Q: What is the significance of the </w:t>
      </w:r>
      <w:r w:rsidR="00C507A5">
        <w:rPr>
          <w:color w:val="231F20"/>
        </w:rPr>
        <w:t>red army faction</w:t>
      </w:r>
      <w:r>
        <w:rPr>
          <w:color w:val="231F20"/>
        </w:rPr>
        <w:t xml:space="preserve"> trials in the current political and economic situation in the FRG?</w:t>
      </w:r>
    </w:p>
    <w:p w14:paraId="501E63B1" w14:textId="77777777" w:rsidR="002653E8" w:rsidRDefault="002653E8">
      <w:pPr>
        <w:pStyle w:val="a3"/>
        <w:spacing w:before="8"/>
        <w:rPr>
          <w:sz w:val="21"/>
        </w:rPr>
      </w:pPr>
    </w:p>
    <w:p w14:paraId="38E34EAC" w14:textId="77777777" w:rsidR="002653E8" w:rsidRDefault="003115E3">
      <w:pPr>
        <w:pStyle w:val="a3"/>
        <w:spacing w:line="264" w:lineRule="auto"/>
        <w:ind w:left="1147" w:right="1326"/>
        <w:jc w:val="both"/>
      </w:pPr>
      <w:r>
        <w:rPr>
          <w:color w:val="231F20"/>
        </w:rPr>
        <w:t>A: The prisoners say the trials are irrelevant. State security is in total control of the terrain. The trials are thoroughly preprogrammed. One must</w:t>
      </w:r>
      <w:r>
        <w:rPr>
          <w:color w:val="231F20"/>
          <w:spacing w:val="-5"/>
        </w:rPr>
        <w:t xml:space="preserve"> </w:t>
      </w:r>
      <w:r>
        <w:rPr>
          <w:color w:val="231F20"/>
        </w:rPr>
        <w:t>fight</w:t>
      </w:r>
      <w:r>
        <w:rPr>
          <w:color w:val="231F20"/>
          <w:spacing w:val="-5"/>
        </w:rPr>
        <w:t xml:space="preserve"> </w:t>
      </w:r>
      <w:r>
        <w:rPr>
          <w:color w:val="231F20"/>
        </w:rPr>
        <w:t>because</w:t>
      </w:r>
      <w:r>
        <w:rPr>
          <w:color w:val="231F20"/>
          <w:spacing w:val="-5"/>
        </w:rPr>
        <w:t xml:space="preserve"> </w:t>
      </w:r>
      <w:r>
        <w:rPr>
          <w:color w:val="231F20"/>
        </w:rPr>
        <w:t>one</w:t>
      </w:r>
      <w:r>
        <w:rPr>
          <w:color w:val="231F20"/>
          <w:spacing w:val="-5"/>
        </w:rPr>
        <w:t xml:space="preserve"> </w:t>
      </w:r>
      <w:r>
        <w:rPr>
          <w:color w:val="231F20"/>
        </w:rPr>
        <w:t>must</w:t>
      </w:r>
      <w:r>
        <w:rPr>
          <w:color w:val="231F20"/>
          <w:spacing w:val="-5"/>
        </w:rPr>
        <w:t xml:space="preserve"> </w:t>
      </w:r>
      <w:r>
        <w:rPr>
          <w:color w:val="231F20"/>
        </w:rPr>
        <w:t>always</w:t>
      </w:r>
      <w:r>
        <w:rPr>
          <w:color w:val="231F20"/>
          <w:spacing w:val="-5"/>
        </w:rPr>
        <w:t xml:space="preserve"> </w:t>
      </w:r>
      <w:r>
        <w:rPr>
          <w:color w:val="231F20"/>
        </w:rPr>
        <w:t>fight,</w:t>
      </w:r>
      <w:r>
        <w:rPr>
          <w:color w:val="231F20"/>
          <w:spacing w:val="-5"/>
        </w:rPr>
        <w:t xml:space="preserve"> </w:t>
      </w:r>
      <w:r>
        <w:rPr>
          <w:color w:val="231F20"/>
        </w:rPr>
        <w:t>but</w:t>
      </w:r>
      <w:r>
        <w:rPr>
          <w:color w:val="231F20"/>
          <w:spacing w:val="-5"/>
        </w:rPr>
        <w:t xml:space="preserve"> </w:t>
      </w:r>
      <w:r>
        <w:rPr>
          <w:color w:val="231F20"/>
        </w:rPr>
        <w:t>the</w:t>
      </w:r>
      <w:r>
        <w:rPr>
          <w:color w:val="231F20"/>
          <w:spacing w:val="-5"/>
        </w:rPr>
        <w:t xml:space="preserve"> </w:t>
      </w:r>
      <w:r>
        <w:rPr>
          <w:color w:val="231F20"/>
        </w:rPr>
        <w:t>machine</w:t>
      </w:r>
      <w:r>
        <w:rPr>
          <w:color w:val="231F20"/>
          <w:spacing w:val="-5"/>
        </w:rPr>
        <w:t xml:space="preserve"> </w:t>
      </w:r>
      <w:r>
        <w:rPr>
          <w:color w:val="231F20"/>
        </w:rPr>
        <w:t xml:space="preserve">demonstrates that nothing can be achieved at this level. But the procedural measures, including the dressing up of military methods and goals as the rituals   of normal criminal proceedings, are an organic expression of the break in </w:t>
      </w:r>
      <w:r>
        <w:rPr>
          <w:color w:val="231F20"/>
          <w:spacing w:val="1"/>
        </w:rPr>
        <w:t xml:space="preserve">U.S. </w:t>
      </w:r>
      <w:r>
        <w:rPr>
          <w:color w:val="231F20"/>
        </w:rPr>
        <w:t xml:space="preserve">capital’s strategy since its defeat in Vietnam. The intensity of    the whole thing indicates the defensive position of </w:t>
      </w:r>
      <w:r>
        <w:rPr>
          <w:color w:val="231F20"/>
          <w:spacing w:val="1"/>
        </w:rPr>
        <w:t xml:space="preserve">U.S. </w:t>
      </w:r>
      <w:r>
        <w:rPr>
          <w:color w:val="231F20"/>
        </w:rPr>
        <w:t>capital and the resistance to its strategy since</w:t>
      </w:r>
      <w:r>
        <w:rPr>
          <w:color w:val="231F20"/>
          <w:spacing w:val="8"/>
        </w:rPr>
        <w:t xml:space="preserve"> </w:t>
      </w:r>
      <w:r>
        <w:rPr>
          <w:color w:val="231F20"/>
        </w:rPr>
        <w:t>Vietnam.</w:t>
      </w:r>
    </w:p>
    <w:p w14:paraId="034E005E" w14:textId="77777777" w:rsidR="002653E8" w:rsidRDefault="003115E3">
      <w:pPr>
        <w:pStyle w:val="a3"/>
        <w:spacing w:line="264" w:lineRule="auto"/>
        <w:ind w:left="1147" w:right="1325" w:firstLine="210"/>
        <w:jc w:val="both"/>
      </w:pPr>
      <w:r>
        <w:rPr>
          <w:color w:val="231F20"/>
          <w:w w:val="105"/>
        </w:rPr>
        <w:t>Within the FRG, the trials are meant to accustom the population to the</w:t>
      </w:r>
      <w:r>
        <w:rPr>
          <w:color w:val="231F20"/>
          <w:spacing w:val="-9"/>
          <w:w w:val="105"/>
        </w:rPr>
        <w:t xml:space="preserve"> </w:t>
      </w:r>
      <w:r>
        <w:rPr>
          <w:color w:val="231F20"/>
          <w:w w:val="105"/>
        </w:rPr>
        <w:t>State</w:t>
      </w:r>
      <w:r>
        <w:rPr>
          <w:color w:val="231F20"/>
          <w:spacing w:val="-9"/>
          <w:w w:val="105"/>
        </w:rPr>
        <w:t xml:space="preserve"> </w:t>
      </w:r>
      <w:r>
        <w:rPr>
          <w:color w:val="231F20"/>
          <w:w w:val="105"/>
        </w:rPr>
        <w:t>of</w:t>
      </w:r>
      <w:r>
        <w:rPr>
          <w:color w:val="231F20"/>
          <w:spacing w:val="-9"/>
          <w:w w:val="105"/>
        </w:rPr>
        <w:t xml:space="preserve"> </w:t>
      </w:r>
      <w:r>
        <w:rPr>
          <w:color w:val="231F20"/>
          <w:w w:val="105"/>
        </w:rPr>
        <w:t>Emergency,</w:t>
      </w:r>
      <w:r>
        <w:rPr>
          <w:color w:val="231F20"/>
          <w:spacing w:val="-9"/>
          <w:w w:val="105"/>
        </w:rPr>
        <w:t xml:space="preserve"> </w:t>
      </w:r>
      <w:r>
        <w:rPr>
          <w:color w:val="231F20"/>
          <w:w w:val="105"/>
        </w:rPr>
        <w:t>so</w:t>
      </w:r>
      <w:r>
        <w:rPr>
          <w:color w:val="231F20"/>
          <w:spacing w:val="-9"/>
          <w:w w:val="105"/>
        </w:rPr>
        <w:t xml:space="preserve"> </w:t>
      </w:r>
      <w:r>
        <w:rPr>
          <w:color w:val="231F20"/>
          <w:w w:val="105"/>
        </w:rPr>
        <w:t>that</w:t>
      </w:r>
      <w:r>
        <w:rPr>
          <w:color w:val="231F20"/>
          <w:spacing w:val="-9"/>
          <w:w w:val="105"/>
        </w:rPr>
        <w:t xml:space="preserve"> </w:t>
      </w:r>
      <w:r>
        <w:rPr>
          <w:color w:val="231F20"/>
          <w:w w:val="105"/>
        </w:rPr>
        <w:t>it</w:t>
      </w:r>
      <w:r>
        <w:rPr>
          <w:color w:val="231F20"/>
          <w:spacing w:val="-9"/>
          <w:w w:val="105"/>
        </w:rPr>
        <w:t xml:space="preserve"> </w:t>
      </w:r>
      <w:r>
        <w:rPr>
          <w:color w:val="231F20"/>
          <w:w w:val="105"/>
        </w:rPr>
        <w:t>is</w:t>
      </w:r>
      <w:r>
        <w:rPr>
          <w:color w:val="231F20"/>
          <w:spacing w:val="-9"/>
          <w:w w:val="105"/>
        </w:rPr>
        <w:t xml:space="preserve"> </w:t>
      </w:r>
      <w:r>
        <w:rPr>
          <w:color w:val="231F20"/>
          <w:w w:val="105"/>
        </w:rPr>
        <w:t>accepted</w:t>
      </w:r>
      <w:r>
        <w:rPr>
          <w:color w:val="231F20"/>
          <w:spacing w:val="-9"/>
          <w:w w:val="105"/>
        </w:rPr>
        <w:t xml:space="preserve"> </w:t>
      </w:r>
      <w:r>
        <w:rPr>
          <w:color w:val="231F20"/>
          <w:w w:val="105"/>
        </w:rPr>
        <w:t>as</w:t>
      </w:r>
      <w:r>
        <w:rPr>
          <w:color w:val="231F20"/>
          <w:spacing w:val="-9"/>
          <w:w w:val="105"/>
        </w:rPr>
        <w:t xml:space="preserve"> </w:t>
      </w:r>
      <w:r>
        <w:rPr>
          <w:color w:val="231F20"/>
          <w:w w:val="105"/>
        </w:rPr>
        <w:t>normal</w:t>
      </w:r>
      <w:r>
        <w:rPr>
          <w:color w:val="231F20"/>
          <w:spacing w:val="-9"/>
          <w:w w:val="105"/>
        </w:rPr>
        <w:t xml:space="preserve"> </w:t>
      </w:r>
      <w:r>
        <w:rPr>
          <w:color w:val="231F20"/>
          <w:w w:val="105"/>
        </w:rPr>
        <w:t>and</w:t>
      </w:r>
      <w:r>
        <w:rPr>
          <w:color w:val="231F20"/>
          <w:spacing w:val="-9"/>
          <w:w w:val="105"/>
        </w:rPr>
        <w:t xml:space="preserve"> </w:t>
      </w:r>
      <w:r>
        <w:rPr>
          <w:color w:val="231F20"/>
          <w:w w:val="105"/>
        </w:rPr>
        <w:t>those</w:t>
      </w:r>
      <w:r>
        <w:rPr>
          <w:color w:val="231F20"/>
          <w:spacing w:val="-9"/>
          <w:w w:val="105"/>
        </w:rPr>
        <w:t xml:space="preserve"> </w:t>
      </w:r>
      <w:r>
        <w:rPr>
          <w:color w:val="231F20"/>
          <w:w w:val="105"/>
        </w:rPr>
        <w:t>who resist</w:t>
      </w:r>
      <w:r>
        <w:rPr>
          <w:color w:val="231F20"/>
          <w:spacing w:val="-25"/>
          <w:w w:val="105"/>
        </w:rPr>
        <w:t xml:space="preserve"> </w:t>
      </w:r>
      <w:r>
        <w:rPr>
          <w:color w:val="231F20"/>
          <w:w w:val="105"/>
        </w:rPr>
        <w:t>can</w:t>
      </w:r>
      <w:r>
        <w:rPr>
          <w:color w:val="231F20"/>
          <w:spacing w:val="-25"/>
          <w:w w:val="105"/>
        </w:rPr>
        <w:t xml:space="preserve"> </w:t>
      </w:r>
      <w:r>
        <w:rPr>
          <w:color w:val="231F20"/>
          <w:w w:val="105"/>
        </w:rPr>
        <w:t>be</w:t>
      </w:r>
      <w:r>
        <w:rPr>
          <w:color w:val="231F20"/>
          <w:spacing w:val="-25"/>
          <w:w w:val="105"/>
        </w:rPr>
        <w:t xml:space="preserve"> </w:t>
      </w:r>
      <w:r>
        <w:rPr>
          <w:color w:val="231F20"/>
          <w:w w:val="105"/>
        </w:rPr>
        <w:t>destroyed.</w:t>
      </w:r>
      <w:r>
        <w:rPr>
          <w:color w:val="231F20"/>
          <w:spacing w:val="-25"/>
          <w:w w:val="105"/>
        </w:rPr>
        <w:t xml:space="preserve"> </w:t>
      </w:r>
      <w:r>
        <w:rPr>
          <w:color w:val="231F20"/>
          <w:w w:val="105"/>
        </w:rPr>
        <w:t>That</w:t>
      </w:r>
      <w:r>
        <w:rPr>
          <w:color w:val="231F20"/>
          <w:spacing w:val="-25"/>
          <w:w w:val="105"/>
        </w:rPr>
        <w:t xml:space="preserve"> </w:t>
      </w:r>
      <w:r>
        <w:rPr>
          <w:color w:val="231F20"/>
          <w:w w:val="105"/>
        </w:rPr>
        <w:t>is</w:t>
      </w:r>
      <w:r>
        <w:rPr>
          <w:color w:val="231F20"/>
          <w:spacing w:val="-25"/>
          <w:w w:val="105"/>
        </w:rPr>
        <w:t xml:space="preserve"> </w:t>
      </w:r>
      <w:r>
        <w:rPr>
          <w:color w:val="231F20"/>
          <w:w w:val="105"/>
        </w:rPr>
        <w:t>the</w:t>
      </w:r>
      <w:r>
        <w:rPr>
          <w:color w:val="231F20"/>
          <w:spacing w:val="-25"/>
          <w:w w:val="105"/>
        </w:rPr>
        <w:t xml:space="preserve"> </w:t>
      </w:r>
      <w:r>
        <w:rPr>
          <w:color w:val="231F20"/>
          <w:w w:val="105"/>
        </w:rPr>
        <w:t>lesson</w:t>
      </w:r>
      <w:r>
        <w:rPr>
          <w:color w:val="231F20"/>
          <w:spacing w:val="-25"/>
          <w:w w:val="105"/>
        </w:rPr>
        <w:t xml:space="preserve"> </w:t>
      </w:r>
      <w:r>
        <w:rPr>
          <w:color w:val="231F20"/>
          <w:w w:val="105"/>
        </w:rPr>
        <w:t>state</w:t>
      </w:r>
      <w:r>
        <w:rPr>
          <w:color w:val="231F20"/>
          <w:spacing w:val="-25"/>
          <w:w w:val="105"/>
        </w:rPr>
        <w:t xml:space="preserve"> </w:t>
      </w:r>
      <w:r>
        <w:rPr>
          <w:color w:val="231F20"/>
          <w:w w:val="105"/>
        </w:rPr>
        <w:t>security</w:t>
      </w:r>
      <w:r>
        <w:rPr>
          <w:color w:val="231F20"/>
          <w:spacing w:val="-25"/>
          <w:w w:val="105"/>
        </w:rPr>
        <w:t xml:space="preserve"> </w:t>
      </w:r>
      <w:r>
        <w:rPr>
          <w:color w:val="231F20"/>
          <w:w w:val="105"/>
        </w:rPr>
        <w:t>hopes</w:t>
      </w:r>
      <w:r>
        <w:rPr>
          <w:color w:val="231F20"/>
          <w:spacing w:val="-25"/>
          <w:w w:val="105"/>
        </w:rPr>
        <w:t xml:space="preserve"> </w:t>
      </w:r>
      <w:r>
        <w:rPr>
          <w:color w:val="231F20"/>
          <w:w w:val="105"/>
        </w:rPr>
        <w:t>to</w:t>
      </w:r>
      <w:r>
        <w:rPr>
          <w:color w:val="231F20"/>
          <w:spacing w:val="-25"/>
          <w:w w:val="105"/>
        </w:rPr>
        <w:t xml:space="preserve"> </w:t>
      </w:r>
      <w:r>
        <w:rPr>
          <w:color w:val="231F20"/>
          <w:w w:val="105"/>
        </w:rPr>
        <w:t>impart with these trials. And at home, it works. Abroad, it doesn’t. Abroad, the</w:t>
      </w:r>
      <w:r>
        <w:rPr>
          <w:color w:val="231F20"/>
          <w:spacing w:val="-24"/>
          <w:w w:val="105"/>
        </w:rPr>
        <w:t xml:space="preserve"> </w:t>
      </w:r>
      <w:r>
        <w:rPr>
          <w:color w:val="231F20"/>
          <w:w w:val="105"/>
        </w:rPr>
        <w:t>exceptional</w:t>
      </w:r>
      <w:r>
        <w:rPr>
          <w:color w:val="231F20"/>
          <w:spacing w:val="-24"/>
          <w:w w:val="105"/>
        </w:rPr>
        <w:t xml:space="preserve"> </w:t>
      </w:r>
      <w:r>
        <w:rPr>
          <w:color w:val="231F20"/>
          <w:w w:val="105"/>
        </w:rPr>
        <w:t>character</w:t>
      </w:r>
      <w:r>
        <w:rPr>
          <w:color w:val="231F20"/>
          <w:spacing w:val="-24"/>
          <w:w w:val="105"/>
        </w:rPr>
        <w:t xml:space="preserve"> </w:t>
      </w:r>
      <w:r>
        <w:rPr>
          <w:color w:val="231F20"/>
          <w:w w:val="105"/>
        </w:rPr>
        <w:t>of</w:t>
      </w:r>
      <w:r>
        <w:rPr>
          <w:color w:val="231F20"/>
          <w:spacing w:val="-24"/>
          <w:w w:val="105"/>
        </w:rPr>
        <w:t xml:space="preserve"> </w:t>
      </w:r>
      <w:r>
        <w:rPr>
          <w:color w:val="231F20"/>
          <w:w w:val="105"/>
        </w:rPr>
        <w:t>repression</w:t>
      </w:r>
      <w:r>
        <w:rPr>
          <w:color w:val="231F20"/>
          <w:spacing w:val="-24"/>
          <w:w w:val="105"/>
        </w:rPr>
        <w:t xml:space="preserve"> </w:t>
      </w:r>
      <w:r>
        <w:rPr>
          <w:color w:val="231F20"/>
          <w:w w:val="105"/>
        </w:rPr>
        <w:t>in</w:t>
      </w:r>
      <w:r>
        <w:rPr>
          <w:color w:val="231F20"/>
          <w:spacing w:val="-24"/>
          <w:w w:val="105"/>
        </w:rPr>
        <w:t xml:space="preserve"> </w:t>
      </w:r>
      <w:r>
        <w:rPr>
          <w:color w:val="231F20"/>
          <w:w w:val="105"/>
        </w:rPr>
        <w:t>the</w:t>
      </w:r>
      <w:r>
        <w:rPr>
          <w:color w:val="231F20"/>
          <w:spacing w:val="-24"/>
          <w:w w:val="105"/>
        </w:rPr>
        <w:t xml:space="preserve"> </w:t>
      </w:r>
      <w:r>
        <w:rPr>
          <w:color w:val="231F20"/>
          <w:w w:val="105"/>
        </w:rPr>
        <w:t>FRG</w:t>
      </w:r>
      <w:r>
        <w:rPr>
          <w:color w:val="231F20"/>
          <w:spacing w:val="-24"/>
          <w:w w:val="105"/>
        </w:rPr>
        <w:t xml:space="preserve"> </w:t>
      </w:r>
      <w:r>
        <w:rPr>
          <w:color w:val="231F20"/>
          <w:w w:val="105"/>
        </w:rPr>
        <w:t>has</w:t>
      </w:r>
      <w:r>
        <w:rPr>
          <w:color w:val="231F20"/>
          <w:spacing w:val="-24"/>
          <w:w w:val="105"/>
        </w:rPr>
        <w:t xml:space="preserve"> </w:t>
      </w:r>
      <w:r>
        <w:rPr>
          <w:color w:val="231F20"/>
          <w:w w:val="105"/>
        </w:rPr>
        <w:t>been</w:t>
      </w:r>
      <w:r>
        <w:rPr>
          <w:color w:val="231F20"/>
          <w:spacing w:val="-24"/>
          <w:w w:val="105"/>
        </w:rPr>
        <w:t xml:space="preserve"> </w:t>
      </w:r>
      <w:r>
        <w:rPr>
          <w:color w:val="231F20"/>
          <w:w w:val="105"/>
        </w:rPr>
        <w:t>recognized, and</w:t>
      </w:r>
      <w:r>
        <w:rPr>
          <w:color w:val="231F20"/>
          <w:spacing w:val="-15"/>
          <w:w w:val="105"/>
        </w:rPr>
        <w:t xml:space="preserve"> </w:t>
      </w:r>
      <w:r>
        <w:rPr>
          <w:color w:val="231F20"/>
          <w:w w:val="105"/>
        </w:rPr>
        <w:t>the</w:t>
      </w:r>
      <w:r>
        <w:rPr>
          <w:color w:val="231F20"/>
          <w:spacing w:val="-15"/>
          <w:w w:val="105"/>
        </w:rPr>
        <w:t xml:space="preserve"> </w:t>
      </w:r>
      <w:r>
        <w:rPr>
          <w:color w:val="231F20"/>
          <w:w w:val="105"/>
        </w:rPr>
        <w:t>government’s</w:t>
      </w:r>
      <w:r>
        <w:rPr>
          <w:color w:val="231F20"/>
          <w:spacing w:val="-15"/>
          <w:w w:val="105"/>
        </w:rPr>
        <w:t xml:space="preserve"> </w:t>
      </w:r>
      <w:r>
        <w:rPr>
          <w:color w:val="231F20"/>
          <w:w w:val="105"/>
        </w:rPr>
        <w:t>domestic</w:t>
      </w:r>
      <w:r>
        <w:rPr>
          <w:color w:val="231F20"/>
          <w:spacing w:val="-15"/>
          <w:w w:val="105"/>
        </w:rPr>
        <w:t xml:space="preserve"> </w:t>
      </w:r>
      <w:r>
        <w:rPr>
          <w:color w:val="231F20"/>
          <w:w w:val="105"/>
        </w:rPr>
        <w:t>policies,</w:t>
      </w:r>
      <w:r>
        <w:rPr>
          <w:color w:val="231F20"/>
          <w:spacing w:val="-15"/>
          <w:w w:val="105"/>
        </w:rPr>
        <w:t xml:space="preserve"> </w:t>
      </w:r>
      <w:r>
        <w:rPr>
          <w:color w:val="231F20"/>
          <w:w w:val="105"/>
        </w:rPr>
        <w:t>which</w:t>
      </w:r>
      <w:r>
        <w:rPr>
          <w:color w:val="231F20"/>
          <w:spacing w:val="-15"/>
          <w:w w:val="105"/>
        </w:rPr>
        <w:t xml:space="preserve"> </w:t>
      </w:r>
      <w:r>
        <w:rPr>
          <w:color w:val="231F20"/>
          <w:w w:val="105"/>
        </w:rPr>
        <w:t>in</w:t>
      </w:r>
      <w:r>
        <w:rPr>
          <w:color w:val="231F20"/>
          <w:spacing w:val="-15"/>
          <w:w w:val="105"/>
        </w:rPr>
        <w:t xml:space="preserve"> </w:t>
      </w:r>
      <w:r>
        <w:rPr>
          <w:color w:val="231F20"/>
          <w:w w:val="105"/>
        </w:rPr>
        <w:t>the</w:t>
      </w:r>
      <w:r>
        <w:rPr>
          <w:color w:val="231F20"/>
          <w:spacing w:val="-14"/>
          <w:w w:val="105"/>
        </w:rPr>
        <w:t xml:space="preserve"> </w:t>
      </w:r>
      <w:r>
        <w:rPr>
          <w:color w:val="231F20"/>
          <w:w w:val="105"/>
        </w:rPr>
        <w:t>FRG</w:t>
      </w:r>
      <w:r>
        <w:rPr>
          <w:color w:val="231F20"/>
          <w:spacing w:val="-15"/>
          <w:w w:val="105"/>
        </w:rPr>
        <w:t xml:space="preserve"> </w:t>
      </w:r>
      <w:r>
        <w:rPr>
          <w:color w:val="231F20"/>
          <w:w w:val="105"/>
        </w:rPr>
        <w:t>are</w:t>
      </w:r>
      <w:r>
        <w:rPr>
          <w:color w:val="231F20"/>
          <w:spacing w:val="-15"/>
          <w:w w:val="105"/>
        </w:rPr>
        <w:t xml:space="preserve"> </w:t>
      </w:r>
      <w:r>
        <w:rPr>
          <w:color w:val="231F20"/>
          <w:w w:val="105"/>
        </w:rPr>
        <w:t>always</w:t>
      </w:r>
      <w:r>
        <w:rPr>
          <w:color w:val="231F20"/>
          <w:spacing w:val="-15"/>
          <w:w w:val="105"/>
        </w:rPr>
        <w:t xml:space="preserve"> </w:t>
      </w:r>
      <w:r>
        <w:rPr>
          <w:color w:val="231F20"/>
          <w:w w:val="105"/>
        </w:rPr>
        <w:t>a function</w:t>
      </w:r>
      <w:r>
        <w:rPr>
          <w:color w:val="231F20"/>
          <w:spacing w:val="-7"/>
          <w:w w:val="105"/>
        </w:rPr>
        <w:t xml:space="preserve"> </w:t>
      </w:r>
      <w:r>
        <w:rPr>
          <w:color w:val="231F20"/>
          <w:w w:val="105"/>
        </w:rPr>
        <w:t>of</w:t>
      </w:r>
      <w:r>
        <w:rPr>
          <w:color w:val="231F20"/>
          <w:spacing w:val="-7"/>
          <w:w w:val="105"/>
        </w:rPr>
        <w:t xml:space="preserve"> </w:t>
      </w:r>
      <w:r>
        <w:rPr>
          <w:color w:val="231F20"/>
          <w:spacing w:val="1"/>
          <w:w w:val="105"/>
        </w:rPr>
        <w:t>U.S.</w:t>
      </w:r>
      <w:r>
        <w:rPr>
          <w:color w:val="231F20"/>
          <w:spacing w:val="-7"/>
          <w:w w:val="105"/>
        </w:rPr>
        <w:t xml:space="preserve"> </w:t>
      </w:r>
      <w:r>
        <w:rPr>
          <w:color w:val="231F20"/>
          <w:w w:val="105"/>
        </w:rPr>
        <w:t>foreign</w:t>
      </w:r>
      <w:r>
        <w:rPr>
          <w:color w:val="231F20"/>
          <w:spacing w:val="-7"/>
          <w:w w:val="105"/>
        </w:rPr>
        <w:t xml:space="preserve"> </w:t>
      </w:r>
      <w:r>
        <w:rPr>
          <w:color w:val="231F20"/>
          <w:w w:val="105"/>
        </w:rPr>
        <w:t>policy—that</w:t>
      </w:r>
      <w:r>
        <w:rPr>
          <w:color w:val="231F20"/>
          <w:spacing w:val="-7"/>
          <w:w w:val="105"/>
        </w:rPr>
        <w:t xml:space="preserve"> </w:t>
      </w:r>
      <w:r>
        <w:rPr>
          <w:color w:val="231F20"/>
          <w:w w:val="105"/>
        </w:rPr>
        <w:t>has</w:t>
      </w:r>
      <w:r>
        <w:rPr>
          <w:color w:val="231F20"/>
          <w:spacing w:val="-7"/>
          <w:w w:val="105"/>
        </w:rPr>
        <w:t xml:space="preserve"> </w:t>
      </w:r>
      <w:r>
        <w:rPr>
          <w:color w:val="231F20"/>
          <w:w w:val="105"/>
        </w:rPr>
        <w:t>been</w:t>
      </w:r>
      <w:r>
        <w:rPr>
          <w:color w:val="231F20"/>
          <w:spacing w:val="-7"/>
          <w:w w:val="105"/>
        </w:rPr>
        <w:t xml:space="preserve"> </w:t>
      </w:r>
      <w:r>
        <w:rPr>
          <w:color w:val="231F20"/>
          <w:w w:val="105"/>
        </w:rPr>
        <w:t>the</w:t>
      </w:r>
      <w:r>
        <w:rPr>
          <w:color w:val="231F20"/>
          <w:spacing w:val="-7"/>
          <w:w w:val="105"/>
        </w:rPr>
        <w:t xml:space="preserve"> </w:t>
      </w:r>
      <w:r>
        <w:rPr>
          <w:color w:val="231F20"/>
          <w:w w:val="105"/>
        </w:rPr>
        <w:t>strategic</w:t>
      </w:r>
      <w:r>
        <w:rPr>
          <w:color w:val="231F20"/>
          <w:spacing w:val="-7"/>
          <w:w w:val="105"/>
        </w:rPr>
        <w:t xml:space="preserve"> </w:t>
      </w:r>
      <w:r>
        <w:rPr>
          <w:color w:val="231F20"/>
          <w:w w:val="105"/>
        </w:rPr>
        <w:t>function</w:t>
      </w:r>
      <w:r>
        <w:rPr>
          <w:color w:val="231F20"/>
          <w:spacing w:val="-7"/>
          <w:w w:val="105"/>
        </w:rPr>
        <w:t xml:space="preserve"> </w:t>
      </w:r>
      <w:r>
        <w:rPr>
          <w:color w:val="231F20"/>
          <w:w w:val="105"/>
        </w:rPr>
        <w:t xml:space="preserve">of the FRG for American capital since </w:t>
      </w:r>
      <w:r>
        <w:rPr>
          <w:color w:val="231F20"/>
          <w:spacing w:val="-7"/>
          <w:w w:val="105"/>
        </w:rPr>
        <w:t xml:space="preserve">45, </w:t>
      </w:r>
      <w:r>
        <w:rPr>
          <w:color w:val="231F20"/>
          <w:w w:val="105"/>
        </w:rPr>
        <w:t>or at least since its founding in 1949—are recognized as</w:t>
      </w:r>
      <w:r>
        <w:rPr>
          <w:color w:val="231F20"/>
          <w:spacing w:val="17"/>
          <w:w w:val="105"/>
        </w:rPr>
        <w:t xml:space="preserve"> </w:t>
      </w:r>
      <w:r>
        <w:rPr>
          <w:color w:val="231F20"/>
          <w:w w:val="105"/>
        </w:rPr>
        <w:t>dysfunctional.</w:t>
      </w:r>
    </w:p>
    <w:p w14:paraId="6270CE7E" w14:textId="77777777" w:rsidR="002653E8" w:rsidRDefault="003115E3">
      <w:pPr>
        <w:pStyle w:val="a3"/>
        <w:spacing w:line="264" w:lineRule="auto"/>
        <w:ind w:left="1147" w:right="1326" w:firstLine="210"/>
        <w:jc w:val="both"/>
      </w:pPr>
      <w:r>
        <w:rPr>
          <w:color w:val="231F20"/>
        </w:rPr>
        <w:t xml:space="preserve">This is exactly what social democracy is meant to hide: the fact that </w:t>
      </w:r>
      <w:r>
        <w:rPr>
          <w:color w:val="231F20"/>
          <w:spacing w:val="-3"/>
        </w:rPr>
        <w:t xml:space="preserve">today, </w:t>
      </w:r>
      <w:r>
        <w:rPr>
          <w:color w:val="231F20"/>
        </w:rPr>
        <w:t xml:space="preserve">serving the interests of international </w:t>
      </w:r>
      <w:r>
        <w:rPr>
          <w:color w:val="231F20"/>
          <w:spacing w:val="1"/>
        </w:rPr>
        <w:t xml:space="preserve">U.S. </w:t>
      </w:r>
      <w:r>
        <w:rPr>
          <w:color w:val="231F20"/>
        </w:rPr>
        <w:t xml:space="preserve">capital, </w:t>
      </w:r>
      <w:r>
        <w:rPr>
          <w:color w:val="231F20"/>
          <w:spacing w:val="-3"/>
        </w:rPr>
        <w:t xml:space="preserve">West </w:t>
      </w:r>
      <w:r>
        <w:rPr>
          <w:color w:val="231F20"/>
        </w:rPr>
        <w:t xml:space="preserve">German imperialism is no different than the old fascism—this time without a reactionary mass mobilization, but rather as an institutional state strategy </w:t>
      </w:r>
      <w:r>
        <w:rPr>
          <w:color w:val="231F20"/>
          <w:spacing w:val="-3"/>
        </w:rPr>
        <w:t xml:space="preserve">(over  </w:t>
      </w:r>
      <w:r>
        <w:rPr>
          <w:color w:val="231F20"/>
        </w:rPr>
        <w:t xml:space="preserve">which </w:t>
      </w:r>
      <w:r>
        <w:rPr>
          <w:color w:val="231F20"/>
          <w:spacing w:val="1"/>
        </w:rPr>
        <w:t xml:space="preserve">U.S. </w:t>
      </w:r>
      <w:r>
        <w:rPr>
          <w:color w:val="231F20"/>
        </w:rPr>
        <w:t>capital has total control). This only became clear  in</w:t>
      </w:r>
      <w:r>
        <w:rPr>
          <w:color w:val="231F20"/>
          <w:spacing w:val="10"/>
        </w:rPr>
        <w:t xml:space="preserve"> </w:t>
      </w:r>
      <w:r>
        <w:rPr>
          <w:color w:val="231F20"/>
        </w:rPr>
        <w:t>the</w:t>
      </w:r>
      <w:r>
        <w:rPr>
          <w:color w:val="231F20"/>
          <w:spacing w:val="10"/>
        </w:rPr>
        <w:t xml:space="preserve"> </w:t>
      </w:r>
      <w:r>
        <w:rPr>
          <w:color w:val="231F20"/>
        </w:rPr>
        <w:t>state’s</w:t>
      </w:r>
      <w:r>
        <w:rPr>
          <w:color w:val="231F20"/>
          <w:spacing w:val="10"/>
        </w:rPr>
        <w:t xml:space="preserve"> </w:t>
      </w:r>
      <w:r>
        <w:rPr>
          <w:color w:val="231F20"/>
        </w:rPr>
        <w:t>reaction</w:t>
      </w:r>
      <w:r>
        <w:rPr>
          <w:color w:val="231F20"/>
          <w:spacing w:val="10"/>
        </w:rPr>
        <w:t xml:space="preserve"> </w:t>
      </w:r>
      <w:r>
        <w:rPr>
          <w:color w:val="231F20"/>
        </w:rPr>
        <w:t>to</w:t>
      </w:r>
      <w:r>
        <w:rPr>
          <w:color w:val="231F20"/>
          <w:spacing w:val="10"/>
        </w:rPr>
        <w:t xml:space="preserve"> </w:t>
      </w:r>
      <w:r>
        <w:rPr>
          <w:color w:val="231F20"/>
        </w:rPr>
        <w:t>the</w:t>
      </w:r>
      <w:r>
        <w:rPr>
          <w:color w:val="231F20"/>
          <w:spacing w:val="10"/>
        </w:rPr>
        <w:t xml:space="preserve"> </w:t>
      </w:r>
      <w:r>
        <w:rPr>
          <w:color w:val="231F20"/>
        </w:rPr>
        <w:t>politics</w:t>
      </w:r>
      <w:r>
        <w:rPr>
          <w:color w:val="231F20"/>
          <w:spacing w:val="10"/>
        </w:rPr>
        <w:t xml:space="preserve"> </w:t>
      </w:r>
      <w:r>
        <w:rPr>
          <w:color w:val="231F20"/>
        </w:rPr>
        <w:t>of</w:t>
      </w:r>
      <w:r>
        <w:rPr>
          <w:color w:val="231F20"/>
          <w:spacing w:val="10"/>
        </w:rPr>
        <w:t xml:space="preserve"> </w:t>
      </w:r>
      <w:r>
        <w:rPr>
          <w:color w:val="231F20"/>
        </w:rPr>
        <w:t>the</w:t>
      </w:r>
      <w:r>
        <w:rPr>
          <w:color w:val="231F20"/>
          <w:spacing w:val="11"/>
        </w:rPr>
        <w:t xml:space="preserve"> </w:t>
      </w:r>
      <w:r w:rsidR="00C507A5">
        <w:rPr>
          <w:color w:val="231F20"/>
        </w:rPr>
        <w:t>red army faction</w:t>
      </w:r>
      <w:r>
        <w:rPr>
          <w:color w:val="231F20"/>
        </w:rPr>
        <w:t>.</w:t>
      </w:r>
    </w:p>
    <w:p w14:paraId="1CAEA865" w14:textId="77777777" w:rsidR="002653E8" w:rsidRDefault="003115E3">
      <w:pPr>
        <w:pStyle w:val="a3"/>
        <w:spacing w:line="264" w:lineRule="auto"/>
        <w:ind w:left="1147" w:right="1325" w:firstLine="210"/>
        <w:jc w:val="both"/>
      </w:pPr>
      <w:r>
        <w:rPr>
          <w:color w:val="231F20"/>
        </w:rPr>
        <w:t xml:space="preserve">The prisoners say the preventive counterrevolution only makes sense when its relationship to the global system is considered: the repression within the state is a function of the strategic role the  FRG plays    for American capital. Just  as  its  strategic  operations  in  Europe  and  in the Common Market are a function of </w:t>
      </w:r>
      <w:r>
        <w:rPr>
          <w:color w:val="231F20"/>
          <w:spacing w:val="1"/>
        </w:rPr>
        <w:t xml:space="preserve">U.S.  </w:t>
      </w:r>
      <w:r>
        <w:rPr>
          <w:color w:val="231F20"/>
        </w:rPr>
        <w:t xml:space="preserve">capital’s  defensive  action in the Third </w:t>
      </w:r>
      <w:r>
        <w:rPr>
          <w:color w:val="231F20"/>
          <w:spacing w:val="-3"/>
        </w:rPr>
        <w:t xml:space="preserve">World, </w:t>
      </w:r>
      <w:r>
        <w:rPr>
          <w:color w:val="231F20"/>
        </w:rPr>
        <w:t>as are those in the Mediterranean states of Europe and North Africa which are meant to secure military control      of Middle Eastern oil—by assuring the existence of counterrevolution</w:t>
      </w:r>
      <w:r>
        <w:rPr>
          <w:color w:val="231F20"/>
          <w:spacing w:val="1"/>
        </w:rPr>
        <w:t>ary</w:t>
      </w:r>
      <w:r>
        <w:rPr>
          <w:color w:val="231F20"/>
          <w:spacing w:val="10"/>
        </w:rPr>
        <w:t xml:space="preserve"> </w:t>
      </w:r>
      <w:r>
        <w:rPr>
          <w:color w:val="231F20"/>
        </w:rPr>
        <w:t>forces,</w:t>
      </w:r>
      <w:r>
        <w:rPr>
          <w:color w:val="231F20"/>
          <w:spacing w:val="10"/>
        </w:rPr>
        <w:t xml:space="preserve"> </w:t>
      </w:r>
      <w:r>
        <w:rPr>
          <w:color w:val="231F20"/>
        </w:rPr>
        <w:t>which</w:t>
      </w:r>
      <w:r>
        <w:rPr>
          <w:color w:val="231F20"/>
          <w:spacing w:val="10"/>
        </w:rPr>
        <w:t xml:space="preserve"> </w:t>
      </w:r>
      <w:r>
        <w:rPr>
          <w:color w:val="231F20"/>
        </w:rPr>
        <w:t>they</w:t>
      </w:r>
      <w:r>
        <w:rPr>
          <w:color w:val="231F20"/>
          <w:spacing w:val="10"/>
        </w:rPr>
        <w:t xml:space="preserve"> </w:t>
      </w:r>
      <w:r>
        <w:rPr>
          <w:color w:val="231F20"/>
        </w:rPr>
        <w:t>control</w:t>
      </w:r>
      <w:r>
        <w:rPr>
          <w:color w:val="231F20"/>
          <w:spacing w:val="10"/>
        </w:rPr>
        <w:t xml:space="preserve"> </w:t>
      </w:r>
      <w:r>
        <w:rPr>
          <w:color w:val="231F20"/>
        </w:rPr>
        <w:t>in</w:t>
      </w:r>
      <w:r>
        <w:rPr>
          <w:color w:val="231F20"/>
          <w:spacing w:val="10"/>
        </w:rPr>
        <w:t xml:space="preserve"> </w:t>
      </w:r>
      <w:r>
        <w:rPr>
          <w:color w:val="231F20"/>
        </w:rPr>
        <w:t>these</w:t>
      </w:r>
      <w:r>
        <w:rPr>
          <w:color w:val="231F20"/>
          <w:spacing w:val="10"/>
        </w:rPr>
        <w:t xml:space="preserve"> </w:t>
      </w:r>
      <w:r>
        <w:rPr>
          <w:color w:val="231F20"/>
        </w:rPr>
        <w:t>states.</w:t>
      </w:r>
      <w:r>
        <w:rPr>
          <w:color w:val="231F20"/>
          <w:spacing w:val="10"/>
        </w:rPr>
        <w:t xml:space="preserve"> </w:t>
      </w:r>
      <w:r>
        <w:rPr>
          <w:color w:val="231F20"/>
          <w:spacing w:val="1"/>
        </w:rPr>
        <w:t>In</w:t>
      </w:r>
      <w:r>
        <w:rPr>
          <w:color w:val="231F20"/>
          <w:spacing w:val="10"/>
        </w:rPr>
        <w:t xml:space="preserve"> </w:t>
      </w:r>
      <w:r>
        <w:rPr>
          <w:color w:val="231F20"/>
        </w:rPr>
        <w:t>this</w:t>
      </w:r>
      <w:r>
        <w:rPr>
          <w:color w:val="231F20"/>
          <w:spacing w:val="10"/>
        </w:rPr>
        <w:t xml:space="preserve"> </w:t>
      </w:r>
      <w:r>
        <w:rPr>
          <w:color w:val="231F20"/>
        </w:rPr>
        <w:t>global</w:t>
      </w:r>
      <w:r>
        <w:rPr>
          <w:color w:val="231F20"/>
          <w:spacing w:val="10"/>
        </w:rPr>
        <w:t xml:space="preserve"> </w:t>
      </w:r>
      <w:r>
        <w:rPr>
          <w:color w:val="231F20"/>
        </w:rPr>
        <w:t>system,</w:t>
      </w:r>
      <w:r>
        <w:rPr>
          <w:color w:val="231F20"/>
          <w:spacing w:val="10"/>
        </w:rPr>
        <w:t xml:space="preserve"> </w:t>
      </w:r>
      <w:r>
        <w:rPr>
          <w:color w:val="231F20"/>
        </w:rPr>
        <w:t>the</w:t>
      </w:r>
    </w:p>
    <w:p w14:paraId="737EF564" w14:textId="77777777" w:rsidR="002653E8" w:rsidRDefault="002653E8">
      <w:pPr>
        <w:spacing w:line="264" w:lineRule="auto"/>
        <w:jc w:val="both"/>
        <w:sectPr w:rsidR="002653E8">
          <w:pgSz w:w="8640" w:h="12960"/>
          <w:pgMar w:top="1060" w:right="0" w:bottom="1040" w:left="0" w:header="0" w:footer="850" w:gutter="0"/>
          <w:cols w:space="720"/>
        </w:sectPr>
      </w:pPr>
    </w:p>
    <w:p w14:paraId="68990133" w14:textId="77777777" w:rsidR="002653E8" w:rsidRDefault="003115E3">
      <w:pPr>
        <w:pStyle w:val="a3"/>
        <w:spacing w:before="86" w:line="264" w:lineRule="auto"/>
        <w:ind w:left="1327" w:right="1137"/>
        <w:jc w:val="both"/>
        <w:rPr>
          <w:sz w:val="11"/>
        </w:rPr>
      </w:pPr>
      <w:r>
        <w:rPr>
          <w:color w:val="231F20"/>
        </w:rPr>
        <w:lastRenderedPageBreak/>
        <w:t xml:space="preserve">legal attacks on anti-imperialist politics in the FRG have political relevance, because they completely unmask social democracy. The </w:t>
      </w:r>
      <w:r w:rsidR="00C507A5">
        <w:rPr>
          <w:color w:val="231F20"/>
          <w:spacing w:val="6"/>
        </w:rPr>
        <w:t>red army faction</w:t>
      </w:r>
      <w:r>
        <w:rPr>
          <w:color w:val="231F20"/>
          <w:spacing w:val="6"/>
        </w:rPr>
        <w:t xml:space="preserve"> </w:t>
      </w:r>
      <w:r>
        <w:rPr>
          <w:color w:val="231F20"/>
        </w:rPr>
        <w:t xml:space="preserve">was clear that this was how it would unfold and that the SPD was the transmission belt of the new fascism. The </w:t>
      </w:r>
      <w:r w:rsidR="00C507A5">
        <w:rPr>
          <w:color w:val="231F20"/>
          <w:spacing w:val="5"/>
        </w:rPr>
        <w:t>red army faction</w:t>
      </w:r>
      <w:r>
        <w:rPr>
          <w:color w:val="231F20"/>
          <w:spacing w:val="5"/>
        </w:rPr>
        <w:t xml:space="preserve"> </w:t>
      </w:r>
      <w:r>
        <w:rPr>
          <w:color w:val="231F20"/>
        </w:rPr>
        <w:t>analyzed and anticipated this development long before it became obvious to world opinion in</w:t>
      </w:r>
      <w:r>
        <w:rPr>
          <w:color w:val="231F20"/>
          <w:spacing w:val="21"/>
        </w:rPr>
        <w:t xml:space="preserve"> </w:t>
      </w:r>
      <w:r>
        <w:rPr>
          <w:color w:val="231F20"/>
        </w:rPr>
        <w:t>Portugal.</w:t>
      </w:r>
      <w:r>
        <w:rPr>
          <w:color w:val="231F20"/>
          <w:position w:val="7"/>
          <w:sz w:val="11"/>
        </w:rPr>
        <w:t>1</w:t>
      </w:r>
    </w:p>
    <w:p w14:paraId="50CFF5BE" w14:textId="77777777" w:rsidR="002653E8" w:rsidRDefault="003115E3">
      <w:pPr>
        <w:pStyle w:val="a3"/>
        <w:spacing w:line="264" w:lineRule="auto"/>
        <w:ind w:left="1328" w:right="1145" w:firstLine="209"/>
        <w:jc w:val="both"/>
      </w:pPr>
      <w:r>
        <w:rPr>
          <w:color w:val="231F20"/>
        </w:rPr>
        <w:t>Brandt wrote in a letter to Palme:</w:t>
      </w:r>
      <w:r>
        <w:rPr>
          <w:color w:val="231F20"/>
          <w:position w:val="7"/>
          <w:sz w:val="11"/>
        </w:rPr>
        <w:t xml:space="preserve">2 </w:t>
      </w:r>
      <w:r>
        <w:rPr>
          <w:color w:val="231F20"/>
        </w:rPr>
        <w:t>“Social democratic politics anticipate catastrophe so as to prevent it.”</w:t>
      </w:r>
    </w:p>
    <w:p w14:paraId="5FEFC931" w14:textId="373222CD" w:rsidR="002653E8" w:rsidRDefault="003115E3" w:rsidP="00623713">
      <w:pPr>
        <w:pStyle w:val="a3"/>
        <w:spacing w:line="264" w:lineRule="auto"/>
        <w:ind w:left="1327" w:right="1146" w:firstLine="210"/>
        <w:jc w:val="both"/>
      </w:pPr>
      <w:r>
        <w:rPr>
          <w:color w:val="231F20"/>
        </w:rPr>
        <w:t xml:space="preserve">The </w:t>
      </w:r>
      <w:r w:rsidR="00C507A5">
        <w:rPr>
          <w:color w:val="231F20"/>
          <w:spacing w:val="5"/>
        </w:rPr>
        <w:t>red army faction</w:t>
      </w:r>
      <w:r>
        <w:rPr>
          <w:color w:val="231F20"/>
          <w:spacing w:val="5"/>
        </w:rPr>
        <w:t xml:space="preserve">  </w:t>
      </w:r>
      <w:r>
        <w:rPr>
          <w:color w:val="231F20"/>
        </w:rPr>
        <w:t xml:space="preserve">says  that  the  strategic  project  of  </w:t>
      </w:r>
      <w:r>
        <w:rPr>
          <w:color w:val="231F20"/>
          <w:spacing w:val="1"/>
        </w:rPr>
        <w:t xml:space="preserve">U.S.  </w:t>
      </w:r>
      <w:r>
        <w:rPr>
          <w:color w:val="231F20"/>
        </w:rPr>
        <w:t>imperialism  that  is carried through by German social democracy and the Socialist International</w:t>
      </w:r>
      <w:r>
        <w:rPr>
          <w:color w:val="231F20"/>
          <w:position w:val="7"/>
          <w:sz w:val="11"/>
        </w:rPr>
        <w:t xml:space="preserve">3 </w:t>
      </w:r>
      <w:r>
        <w:rPr>
          <w:color w:val="231F20"/>
        </w:rPr>
        <w:t xml:space="preserve">represents the smooth unfolding of the fascist </w:t>
      </w:r>
      <w:r>
        <w:rPr>
          <w:color w:val="231F20"/>
          <w:spacing w:val="1"/>
        </w:rPr>
        <w:t xml:space="preserve">drift  </w:t>
      </w:r>
      <w:r>
        <w:rPr>
          <w:color w:val="231F20"/>
        </w:rPr>
        <w:t xml:space="preserve">within civilian state structures. This is the “unique nature” of their relationship. Here in a social democratic police state, that with socialist rhetoric and through the usurping of the old antifascism is celebrated  as </w:t>
      </w:r>
      <w:r>
        <w:rPr>
          <w:i/>
          <w:color w:val="231F20"/>
        </w:rPr>
        <w:t>Modell Deutschland</w:t>
      </w:r>
      <w:r>
        <w:rPr>
          <w:color w:val="231F20"/>
        </w:rPr>
        <w:t>, this policy was forced to take an extremely developed form. That this was due to a social revolutionary guerilla representing positions held by a tiny minority has nothing to do with provocation. The armed struggle here has a tactical quality—it is a factor which clarifies reality and represents the only option for proletarian resistance</w:t>
      </w:r>
      <w:r>
        <w:rPr>
          <w:color w:val="231F20"/>
          <w:spacing w:val="12"/>
        </w:rPr>
        <w:t xml:space="preserve"> </w:t>
      </w:r>
      <w:r>
        <w:rPr>
          <w:color w:val="231F20"/>
        </w:rPr>
        <w:t>to</w:t>
      </w:r>
      <w:r>
        <w:rPr>
          <w:color w:val="231F20"/>
          <w:spacing w:val="12"/>
        </w:rPr>
        <w:t xml:space="preserve"> </w:t>
      </w:r>
      <w:r>
        <w:rPr>
          <w:color w:val="231F20"/>
        </w:rPr>
        <w:t>the</w:t>
      </w:r>
      <w:r>
        <w:rPr>
          <w:color w:val="231F20"/>
          <w:spacing w:val="12"/>
        </w:rPr>
        <w:t xml:space="preserve"> </w:t>
      </w:r>
      <w:r>
        <w:rPr>
          <w:color w:val="231F20"/>
        </w:rPr>
        <w:t>reactionary</w:t>
      </w:r>
      <w:r>
        <w:rPr>
          <w:color w:val="231F20"/>
          <w:spacing w:val="12"/>
        </w:rPr>
        <w:t xml:space="preserve"> </w:t>
      </w:r>
      <w:r>
        <w:rPr>
          <w:color w:val="231F20"/>
        </w:rPr>
        <w:t>integration</w:t>
      </w:r>
      <w:r>
        <w:rPr>
          <w:color w:val="231F20"/>
          <w:spacing w:val="12"/>
        </w:rPr>
        <w:t xml:space="preserve"> </w:t>
      </w:r>
      <w:r>
        <w:rPr>
          <w:color w:val="231F20"/>
        </w:rPr>
        <w:t>of</w:t>
      </w:r>
      <w:r>
        <w:rPr>
          <w:color w:val="231F20"/>
          <w:spacing w:val="12"/>
        </w:rPr>
        <w:t xml:space="preserve"> </w:t>
      </w:r>
      <w:r>
        <w:rPr>
          <w:color w:val="231F20"/>
        </w:rPr>
        <w:t>Western</w:t>
      </w:r>
      <w:r>
        <w:rPr>
          <w:color w:val="231F20"/>
          <w:spacing w:val="12"/>
        </w:rPr>
        <w:t xml:space="preserve"> </w:t>
      </w:r>
      <w:r>
        <w:rPr>
          <w:color w:val="231F20"/>
        </w:rPr>
        <w:t>Europe,</w:t>
      </w:r>
      <w:r>
        <w:rPr>
          <w:color w:val="231F20"/>
          <w:spacing w:val="12"/>
        </w:rPr>
        <w:t xml:space="preserve"> </w:t>
      </w:r>
      <w:r>
        <w:rPr>
          <w:color w:val="231F20"/>
        </w:rPr>
        <w:t>which</w:t>
      </w:r>
      <w:r>
        <w:rPr>
          <w:color w:val="231F20"/>
          <w:spacing w:val="12"/>
        </w:rPr>
        <w:t xml:space="preserve"> </w:t>
      </w:r>
      <w:r>
        <w:rPr>
          <w:color w:val="231F20"/>
        </w:rPr>
        <w:t>the</w:t>
      </w:r>
      <w:r w:rsidR="00623713">
        <w:rPr>
          <w:color w:val="231F20"/>
        </w:rPr>
        <w:t xml:space="preserve"> </w:t>
      </w:r>
      <w:r>
        <w:rPr>
          <w:color w:val="231F20"/>
          <w:w w:val="105"/>
        </w:rPr>
        <w:t>U.S. is pushing through using West German social democracy.</w:t>
      </w:r>
    </w:p>
    <w:p w14:paraId="0D063BD0" w14:textId="77777777" w:rsidR="002653E8" w:rsidRDefault="003115E3">
      <w:pPr>
        <w:pStyle w:val="a3"/>
        <w:spacing w:before="14"/>
        <w:ind w:left="1537"/>
      </w:pPr>
      <w:r>
        <w:rPr>
          <w:color w:val="231F20"/>
        </w:rPr>
        <w:t>On this topic, a statement from the prisoners:</w:t>
      </w:r>
    </w:p>
    <w:p w14:paraId="43315A54" w14:textId="77777777" w:rsidR="002653E8" w:rsidRDefault="003115E3">
      <w:pPr>
        <w:spacing w:before="151" w:line="276" w:lineRule="auto"/>
        <w:ind w:left="1747" w:right="1565"/>
        <w:jc w:val="both"/>
        <w:rPr>
          <w:i/>
          <w:sz w:val="19"/>
        </w:rPr>
      </w:pPr>
      <w:r>
        <w:rPr>
          <w:i/>
          <w:color w:val="231F20"/>
          <w:sz w:val="19"/>
        </w:rPr>
        <w:t>The entire discussion turns on this perspective. Mediated by the political-military attack, the repressive structuring of the entire capitalist machine becomes central to the system, and in this way the response to its decisive crisis is already anticipated.</w:t>
      </w:r>
    </w:p>
    <w:p w14:paraId="57631218" w14:textId="77777777" w:rsidR="002653E8" w:rsidRDefault="003115E3">
      <w:pPr>
        <w:spacing w:before="40" w:line="276" w:lineRule="auto"/>
        <w:ind w:left="1747" w:right="1566"/>
        <w:jc w:val="both"/>
        <w:rPr>
          <w:i/>
          <w:sz w:val="19"/>
        </w:rPr>
      </w:pPr>
      <w:r>
        <w:rPr>
          <w:i/>
          <w:color w:val="231F20"/>
          <w:sz w:val="19"/>
        </w:rPr>
        <w:t>Through the attack, capital’s internal strategy is certainly and simultaneously  disrupted  by  the  obligation   to   react.   They must mobilize their forces and dialectically this provokes</w:t>
      </w:r>
      <w:r>
        <w:rPr>
          <w:i/>
          <w:color w:val="231F20"/>
          <w:spacing w:val="17"/>
          <w:sz w:val="19"/>
        </w:rPr>
        <w:t xml:space="preserve"> </w:t>
      </w:r>
      <w:r>
        <w:rPr>
          <w:i/>
          <w:color w:val="231F20"/>
          <w:sz w:val="19"/>
        </w:rPr>
        <w:t>an</w:t>
      </w:r>
    </w:p>
    <w:p w14:paraId="0EBA0ACC" w14:textId="77777777" w:rsidR="002653E8" w:rsidRDefault="00000000">
      <w:pPr>
        <w:pStyle w:val="a3"/>
        <w:rPr>
          <w:i/>
          <w:sz w:val="22"/>
        </w:rPr>
      </w:pPr>
      <w:r>
        <w:rPr>
          <w:noProof w:val="0"/>
        </w:rPr>
        <w:pict w14:anchorId="063220E7">
          <v:line id="_x0000_s2248" style="position:absolute;z-index:9040;mso-wrap-distance-left:0;mso-wrap-distance-right:0;mso-position-horizontal-relative:page" from="66.4pt,15.15pt" to="138.4pt,15.15pt" strokecolor="#231f20" strokeweight=".5pt">
            <w10:wrap type="topAndBottom" anchorx="page"/>
          </v:line>
        </w:pict>
      </w:r>
    </w:p>
    <w:p w14:paraId="123CF30D" w14:textId="77777777" w:rsidR="002653E8" w:rsidRDefault="003115E3">
      <w:pPr>
        <w:pStyle w:val="a4"/>
        <w:numPr>
          <w:ilvl w:val="0"/>
          <w:numId w:val="78"/>
        </w:numPr>
        <w:tabs>
          <w:tab w:val="left" w:pos="1467"/>
        </w:tabs>
        <w:spacing w:before="53" w:line="254" w:lineRule="auto"/>
        <w:ind w:right="1157" w:firstLine="0"/>
        <w:rPr>
          <w:sz w:val="16"/>
        </w:rPr>
      </w:pPr>
      <w:r>
        <w:rPr>
          <w:color w:val="231F20"/>
          <w:spacing w:val="2"/>
          <w:sz w:val="16"/>
        </w:rPr>
        <w:t xml:space="preserve">An  </w:t>
      </w:r>
      <w:r>
        <w:rPr>
          <w:color w:val="231F20"/>
          <w:sz w:val="16"/>
        </w:rPr>
        <w:t xml:space="preserve">antifascist  </w:t>
      </w:r>
      <w:r>
        <w:rPr>
          <w:color w:val="231F20"/>
          <w:spacing w:val="1"/>
          <w:sz w:val="16"/>
        </w:rPr>
        <w:t xml:space="preserve">military  </w:t>
      </w:r>
      <w:r>
        <w:rPr>
          <w:color w:val="231F20"/>
          <w:sz w:val="16"/>
        </w:rPr>
        <w:t xml:space="preserve">coup  heralded  an  end  to  the  Portuguese  Salazar dictatorship in </w:t>
      </w:r>
      <w:r>
        <w:rPr>
          <w:color w:val="231F20"/>
          <w:spacing w:val="-4"/>
          <w:sz w:val="16"/>
        </w:rPr>
        <w:t xml:space="preserve">1974, </w:t>
      </w:r>
      <w:r>
        <w:rPr>
          <w:color w:val="231F20"/>
          <w:sz w:val="16"/>
        </w:rPr>
        <w:t xml:space="preserve">setting off a popular but limited upheaval during which people occupied  factories  and  seized  land,  while  demanding  retribution  for  the  crimes  of the fascist regime. The Portuguese Socialist  </w:t>
      </w:r>
      <w:r>
        <w:rPr>
          <w:color w:val="231F20"/>
          <w:spacing w:val="1"/>
          <w:sz w:val="16"/>
        </w:rPr>
        <w:t xml:space="preserve">Party  </w:t>
      </w:r>
      <w:r>
        <w:rPr>
          <w:color w:val="231F20"/>
          <w:sz w:val="16"/>
        </w:rPr>
        <w:t xml:space="preserve">(later  the  Social  Democrat  Party) was instrumental in reining in this revolt, and  within  a  few  years,  the  PS’s  Mario Soares  was  subjecting  Portugal  to  </w:t>
      </w:r>
      <w:r>
        <w:rPr>
          <w:color w:val="231F20"/>
          <w:spacing w:val="3"/>
          <w:sz w:val="16"/>
        </w:rPr>
        <w:t xml:space="preserve">IMF  </w:t>
      </w:r>
      <w:r>
        <w:rPr>
          <w:color w:val="231F20"/>
          <w:sz w:val="16"/>
        </w:rPr>
        <w:t>dictates  and  entering  into  a  coalition  with the</w:t>
      </w:r>
      <w:r>
        <w:rPr>
          <w:color w:val="231F20"/>
          <w:spacing w:val="12"/>
          <w:sz w:val="16"/>
        </w:rPr>
        <w:t xml:space="preserve"> </w:t>
      </w:r>
      <w:r>
        <w:rPr>
          <w:color w:val="231F20"/>
          <w:sz w:val="16"/>
        </w:rPr>
        <w:t>ultra-right</w:t>
      </w:r>
      <w:r>
        <w:rPr>
          <w:color w:val="231F20"/>
          <w:spacing w:val="12"/>
          <w:sz w:val="16"/>
        </w:rPr>
        <w:t xml:space="preserve"> </w:t>
      </w:r>
      <w:r>
        <w:rPr>
          <w:color w:val="231F20"/>
          <w:sz w:val="16"/>
        </w:rPr>
        <w:t>Democratic</w:t>
      </w:r>
      <w:r>
        <w:rPr>
          <w:color w:val="231F20"/>
          <w:spacing w:val="12"/>
          <w:sz w:val="16"/>
        </w:rPr>
        <w:t xml:space="preserve"> </w:t>
      </w:r>
      <w:r>
        <w:rPr>
          <w:color w:val="231F20"/>
          <w:sz w:val="16"/>
        </w:rPr>
        <w:t>and</w:t>
      </w:r>
      <w:r>
        <w:rPr>
          <w:color w:val="231F20"/>
          <w:spacing w:val="12"/>
          <w:sz w:val="16"/>
        </w:rPr>
        <w:t xml:space="preserve"> </w:t>
      </w:r>
      <w:r>
        <w:rPr>
          <w:color w:val="231F20"/>
          <w:sz w:val="16"/>
        </w:rPr>
        <w:t>Social</w:t>
      </w:r>
      <w:r>
        <w:rPr>
          <w:color w:val="231F20"/>
          <w:spacing w:val="12"/>
          <w:sz w:val="16"/>
        </w:rPr>
        <w:t xml:space="preserve"> </w:t>
      </w:r>
      <w:r>
        <w:rPr>
          <w:color w:val="231F20"/>
          <w:sz w:val="16"/>
        </w:rPr>
        <w:t>Center</w:t>
      </w:r>
      <w:r>
        <w:rPr>
          <w:color w:val="231F20"/>
          <w:spacing w:val="12"/>
          <w:sz w:val="16"/>
        </w:rPr>
        <w:t xml:space="preserve"> </w:t>
      </w:r>
      <w:r>
        <w:rPr>
          <w:color w:val="231F20"/>
          <w:sz w:val="16"/>
        </w:rPr>
        <w:t>Party.</w:t>
      </w:r>
    </w:p>
    <w:p w14:paraId="47450361" w14:textId="77777777" w:rsidR="002653E8" w:rsidRDefault="003115E3">
      <w:pPr>
        <w:pStyle w:val="a4"/>
        <w:numPr>
          <w:ilvl w:val="0"/>
          <w:numId w:val="78"/>
        </w:numPr>
        <w:tabs>
          <w:tab w:val="left" w:pos="1467"/>
        </w:tabs>
        <w:spacing w:before="42" w:line="254" w:lineRule="auto"/>
        <w:ind w:right="1225" w:firstLine="0"/>
        <w:rPr>
          <w:sz w:val="16"/>
        </w:rPr>
      </w:pPr>
      <w:bookmarkStart w:id="196" w:name="_Hlk130597141"/>
      <w:r>
        <w:rPr>
          <w:color w:val="231F20"/>
          <w:w w:val="105"/>
          <w:sz w:val="16"/>
        </w:rPr>
        <w:t>Olaf Palme</w:t>
      </w:r>
      <w:bookmarkEnd w:id="196"/>
      <w:r>
        <w:rPr>
          <w:color w:val="231F20"/>
          <w:w w:val="105"/>
          <w:sz w:val="16"/>
        </w:rPr>
        <w:t xml:space="preserve"> was the Social Democratic Prime Minister of Sweden from 1969 until his assassination in</w:t>
      </w:r>
      <w:r>
        <w:rPr>
          <w:color w:val="231F20"/>
          <w:spacing w:val="25"/>
          <w:w w:val="105"/>
          <w:sz w:val="16"/>
        </w:rPr>
        <w:t xml:space="preserve"> </w:t>
      </w:r>
      <w:r>
        <w:rPr>
          <w:color w:val="231F20"/>
          <w:spacing w:val="-3"/>
          <w:w w:val="105"/>
          <w:sz w:val="16"/>
        </w:rPr>
        <w:t>1986.</w:t>
      </w:r>
    </w:p>
    <w:p w14:paraId="3D9F68EB" w14:textId="77777777" w:rsidR="002653E8" w:rsidRDefault="003115E3">
      <w:pPr>
        <w:pStyle w:val="a4"/>
        <w:numPr>
          <w:ilvl w:val="0"/>
          <w:numId w:val="78"/>
        </w:numPr>
        <w:tabs>
          <w:tab w:val="left" w:pos="1467"/>
        </w:tabs>
        <w:spacing w:line="254" w:lineRule="auto"/>
        <w:ind w:right="1502" w:firstLine="0"/>
        <w:rPr>
          <w:sz w:val="16"/>
        </w:rPr>
      </w:pPr>
      <w:r>
        <w:rPr>
          <w:color w:val="231F20"/>
          <w:w w:val="105"/>
          <w:sz w:val="16"/>
        </w:rPr>
        <w:t>The Second International, the international organization of social democratic parties.</w:t>
      </w:r>
    </w:p>
    <w:p w14:paraId="2788E08E" w14:textId="77777777" w:rsidR="002653E8" w:rsidRDefault="002653E8">
      <w:pPr>
        <w:spacing w:line="254" w:lineRule="auto"/>
        <w:rPr>
          <w:sz w:val="16"/>
        </w:rPr>
        <w:sectPr w:rsidR="002653E8">
          <w:pgSz w:w="8640" w:h="12960"/>
          <w:pgMar w:top="1060" w:right="0" w:bottom="1040" w:left="0" w:header="0" w:footer="850" w:gutter="0"/>
          <w:cols w:space="720"/>
        </w:sectPr>
      </w:pPr>
    </w:p>
    <w:p w14:paraId="491B719D" w14:textId="77777777" w:rsidR="002653E8" w:rsidRDefault="003115E3">
      <w:pPr>
        <w:spacing w:before="75" w:line="276" w:lineRule="auto"/>
        <w:ind w:left="1567" w:right="1745"/>
        <w:jc w:val="both"/>
        <w:rPr>
          <w:i/>
          <w:sz w:val="19"/>
        </w:rPr>
      </w:pPr>
      <w:r>
        <w:rPr>
          <w:i/>
          <w:color w:val="231F20"/>
          <w:w w:val="105"/>
          <w:sz w:val="19"/>
        </w:rPr>
        <w:lastRenderedPageBreak/>
        <w:t>overall understanding of resistance that includes the concept of revolution. An experience and an understanding of imperialism in the metropole reveals the clear necessity for fundamental opposition, both nationally and internationally. And it also develops a strategic line: the internationalism of the guerilla as the form of proletarian politics that is antagonistic to capitalist development in the context of the class war.</w:t>
      </w:r>
    </w:p>
    <w:p w14:paraId="3CE27F8F" w14:textId="77777777" w:rsidR="002653E8" w:rsidRDefault="002653E8">
      <w:pPr>
        <w:pStyle w:val="a3"/>
        <w:spacing w:before="7"/>
        <w:rPr>
          <w:i/>
          <w:sz w:val="21"/>
        </w:rPr>
      </w:pPr>
    </w:p>
    <w:p w14:paraId="58445D86" w14:textId="77777777" w:rsidR="002653E8" w:rsidRDefault="003115E3">
      <w:pPr>
        <w:pStyle w:val="a3"/>
        <w:ind w:left="1147"/>
      </w:pPr>
      <w:r>
        <w:rPr>
          <w:color w:val="231F20"/>
        </w:rPr>
        <w:t>This is the case because of two coinciding factors:</w:t>
      </w:r>
    </w:p>
    <w:p w14:paraId="51C4CFF2" w14:textId="77777777" w:rsidR="002653E8" w:rsidRDefault="003115E3">
      <w:pPr>
        <w:pStyle w:val="a3"/>
        <w:spacing w:before="22" w:line="264" w:lineRule="auto"/>
        <w:ind w:left="1147" w:right="1326" w:firstLine="210"/>
        <w:jc w:val="both"/>
      </w:pPr>
      <w:r>
        <w:rPr>
          <w:color w:val="231F20"/>
        </w:rPr>
        <w:t>Nationally, it is the tactic of resistance against fascism in the form of the terrorist national security state.</w:t>
      </w:r>
    </w:p>
    <w:p w14:paraId="066A50D5" w14:textId="77777777" w:rsidR="002653E8" w:rsidRDefault="003115E3">
      <w:pPr>
        <w:pStyle w:val="a3"/>
        <w:spacing w:line="264" w:lineRule="auto"/>
        <w:ind w:left="1147" w:right="1326" w:firstLine="210"/>
        <w:jc w:val="both"/>
      </w:pPr>
      <w:r>
        <w:rPr>
          <w:color w:val="231F20"/>
        </w:rPr>
        <w:t>Internationally, in the strategic sub-centre of the U.S.A.—the Federal Republic—it serves an offensive function on behalf of the anti-imperialist liberation struggles.</w:t>
      </w:r>
    </w:p>
    <w:p w14:paraId="37ABADA8" w14:textId="77777777" w:rsidR="002653E8" w:rsidRDefault="003115E3">
      <w:pPr>
        <w:pStyle w:val="a3"/>
        <w:spacing w:line="264" w:lineRule="auto"/>
        <w:ind w:left="1147" w:right="1327" w:firstLine="210"/>
        <w:jc w:val="both"/>
      </w:pPr>
      <w:r>
        <w:rPr>
          <w:color w:val="231F20"/>
        </w:rPr>
        <w:t>Naturally, this tactical understanding is also the line the prisoners  are</w:t>
      </w:r>
      <w:r>
        <w:rPr>
          <w:color w:val="231F20"/>
          <w:spacing w:val="10"/>
        </w:rPr>
        <w:t xml:space="preserve"> </w:t>
      </w:r>
      <w:r>
        <w:rPr>
          <w:color w:val="231F20"/>
        </w:rPr>
        <w:t>asserting</w:t>
      </w:r>
      <w:r>
        <w:rPr>
          <w:color w:val="231F20"/>
          <w:spacing w:val="10"/>
        </w:rPr>
        <w:t xml:space="preserve"> </w:t>
      </w:r>
      <w:r>
        <w:rPr>
          <w:color w:val="231F20"/>
        </w:rPr>
        <w:t>at</w:t>
      </w:r>
      <w:r>
        <w:rPr>
          <w:color w:val="231F20"/>
          <w:spacing w:val="10"/>
        </w:rPr>
        <w:t xml:space="preserve"> </w:t>
      </w:r>
      <w:r>
        <w:rPr>
          <w:color w:val="231F20"/>
        </w:rPr>
        <w:t>the</w:t>
      </w:r>
      <w:r>
        <w:rPr>
          <w:color w:val="231F20"/>
          <w:spacing w:val="10"/>
        </w:rPr>
        <w:t xml:space="preserve"> </w:t>
      </w:r>
      <w:r>
        <w:rPr>
          <w:color w:val="231F20"/>
        </w:rPr>
        <w:t>trial,</w:t>
      </w:r>
      <w:r>
        <w:rPr>
          <w:color w:val="231F20"/>
          <w:spacing w:val="10"/>
        </w:rPr>
        <w:t xml:space="preserve"> </w:t>
      </w:r>
      <w:r>
        <w:rPr>
          <w:color w:val="231F20"/>
        </w:rPr>
        <w:t>about</w:t>
      </w:r>
      <w:r>
        <w:rPr>
          <w:color w:val="231F20"/>
          <w:spacing w:val="10"/>
        </w:rPr>
        <w:t xml:space="preserve"> </w:t>
      </w:r>
      <w:r>
        <w:rPr>
          <w:color w:val="231F20"/>
        </w:rPr>
        <w:t>which</w:t>
      </w:r>
      <w:r>
        <w:rPr>
          <w:color w:val="231F20"/>
          <w:spacing w:val="10"/>
        </w:rPr>
        <w:t xml:space="preserve"> </w:t>
      </w:r>
      <w:r>
        <w:rPr>
          <w:color w:val="231F20"/>
        </w:rPr>
        <w:t>it</w:t>
      </w:r>
      <w:r>
        <w:rPr>
          <w:color w:val="231F20"/>
          <w:spacing w:val="10"/>
        </w:rPr>
        <w:t xml:space="preserve"> </w:t>
      </w:r>
      <w:r>
        <w:rPr>
          <w:color w:val="231F20"/>
        </w:rPr>
        <w:t>is</w:t>
      </w:r>
      <w:r>
        <w:rPr>
          <w:color w:val="231F20"/>
          <w:spacing w:val="10"/>
        </w:rPr>
        <w:t xml:space="preserve"> </w:t>
      </w:r>
      <w:r>
        <w:rPr>
          <w:color w:val="231F20"/>
        </w:rPr>
        <w:t>still</w:t>
      </w:r>
      <w:r>
        <w:rPr>
          <w:color w:val="231F20"/>
          <w:spacing w:val="10"/>
        </w:rPr>
        <w:t xml:space="preserve"> </w:t>
      </w:r>
      <w:r>
        <w:rPr>
          <w:color w:val="231F20"/>
        </w:rPr>
        <w:t>possible</w:t>
      </w:r>
      <w:r>
        <w:rPr>
          <w:color w:val="231F20"/>
          <w:spacing w:val="10"/>
        </w:rPr>
        <w:t xml:space="preserve"> </w:t>
      </w:r>
      <w:r>
        <w:rPr>
          <w:color w:val="231F20"/>
        </w:rPr>
        <w:t>to</w:t>
      </w:r>
      <w:r>
        <w:rPr>
          <w:color w:val="231F20"/>
          <w:spacing w:val="10"/>
        </w:rPr>
        <w:t xml:space="preserve"> </w:t>
      </w:r>
      <w:r>
        <w:rPr>
          <w:color w:val="231F20"/>
        </w:rPr>
        <w:t>say:</w:t>
      </w:r>
    </w:p>
    <w:p w14:paraId="5031DB4D" w14:textId="77777777" w:rsidR="002653E8" w:rsidRDefault="003115E3">
      <w:pPr>
        <w:spacing w:before="121" w:line="276" w:lineRule="auto"/>
        <w:ind w:left="1567" w:right="1745"/>
        <w:jc w:val="both"/>
        <w:rPr>
          <w:i/>
          <w:sz w:val="19"/>
        </w:rPr>
      </w:pPr>
      <w:r>
        <w:rPr>
          <w:i/>
          <w:color w:val="231F20"/>
          <w:w w:val="105"/>
          <w:sz w:val="19"/>
        </w:rPr>
        <w:t>It is not enough to talk loudly about fascism—but presenting a defense</w:t>
      </w:r>
      <w:r>
        <w:rPr>
          <w:i/>
          <w:color w:val="231F20"/>
          <w:spacing w:val="-11"/>
          <w:w w:val="105"/>
          <w:sz w:val="19"/>
        </w:rPr>
        <w:t xml:space="preserve"> </w:t>
      </w:r>
      <w:r>
        <w:rPr>
          <w:i/>
          <w:color w:val="231F20"/>
          <w:w w:val="105"/>
          <w:sz w:val="19"/>
        </w:rPr>
        <w:t>at</w:t>
      </w:r>
      <w:r>
        <w:rPr>
          <w:i/>
          <w:color w:val="231F20"/>
          <w:spacing w:val="-11"/>
          <w:w w:val="105"/>
          <w:sz w:val="19"/>
        </w:rPr>
        <w:t xml:space="preserve"> </w:t>
      </w:r>
      <w:r>
        <w:rPr>
          <w:i/>
          <w:color w:val="231F20"/>
          <w:w w:val="105"/>
          <w:sz w:val="19"/>
        </w:rPr>
        <w:t>this</w:t>
      </w:r>
      <w:r>
        <w:rPr>
          <w:i/>
          <w:color w:val="231F20"/>
          <w:spacing w:val="-11"/>
          <w:w w:val="105"/>
          <w:sz w:val="19"/>
        </w:rPr>
        <w:t xml:space="preserve"> </w:t>
      </w:r>
      <w:r>
        <w:rPr>
          <w:i/>
          <w:color w:val="231F20"/>
          <w:w w:val="105"/>
          <w:sz w:val="19"/>
        </w:rPr>
        <w:t>trial</w:t>
      </w:r>
      <w:r>
        <w:rPr>
          <w:i/>
          <w:color w:val="231F20"/>
          <w:spacing w:val="-11"/>
          <w:w w:val="105"/>
          <w:sz w:val="19"/>
        </w:rPr>
        <w:t xml:space="preserve"> </w:t>
      </w:r>
      <w:r>
        <w:rPr>
          <w:i/>
          <w:color w:val="231F20"/>
          <w:w w:val="105"/>
          <w:sz w:val="19"/>
        </w:rPr>
        <w:t>makes</w:t>
      </w:r>
      <w:r>
        <w:rPr>
          <w:i/>
          <w:color w:val="231F20"/>
          <w:spacing w:val="-11"/>
          <w:w w:val="105"/>
          <w:sz w:val="19"/>
        </w:rPr>
        <w:t xml:space="preserve"> </w:t>
      </w:r>
      <w:r>
        <w:rPr>
          <w:i/>
          <w:color w:val="231F20"/>
          <w:w w:val="105"/>
          <w:sz w:val="19"/>
        </w:rPr>
        <w:t>sense</w:t>
      </w:r>
      <w:r>
        <w:rPr>
          <w:i/>
          <w:color w:val="231F20"/>
          <w:spacing w:val="-11"/>
          <w:w w:val="105"/>
          <w:sz w:val="19"/>
        </w:rPr>
        <w:t xml:space="preserve"> </w:t>
      </w:r>
      <w:r>
        <w:rPr>
          <w:i/>
          <w:color w:val="231F20"/>
          <w:w w:val="105"/>
          <w:sz w:val="19"/>
        </w:rPr>
        <w:t>if</w:t>
      </w:r>
      <w:r>
        <w:rPr>
          <w:i/>
          <w:color w:val="231F20"/>
          <w:spacing w:val="-11"/>
          <w:w w:val="105"/>
          <w:sz w:val="19"/>
        </w:rPr>
        <w:t xml:space="preserve"> </w:t>
      </w:r>
      <w:r>
        <w:rPr>
          <w:i/>
          <w:color w:val="231F20"/>
          <w:w w:val="105"/>
          <w:sz w:val="19"/>
        </w:rPr>
        <w:t>it</w:t>
      </w:r>
      <w:r>
        <w:rPr>
          <w:i/>
          <w:color w:val="231F20"/>
          <w:spacing w:val="-11"/>
          <w:w w:val="105"/>
          <w:sz w:val="19"/>
        </w:rPr>
        <w:t xml:space="preserve"> </w:t>
      </w:r>
      <w:r>
        <w:rPr>
          <w:i/>
          <w:color w:val="231F20"/>
          <w:w w:val="105"/>
          <w:sz w:val="19"/>
        </w:rPr>
        <w:t>clarifies</w:t>
      </w:r>
      <w:r>
        <w:rPr>
          <w:i/>
          <w:color w:val="231F20"/>
          <w:spacing w:val="-11"/>
          <w:w w:val="105"/>
          <w:sz w:val="19"/>
        </w:rPr>
        <w:t xml:space="preserve"> </w:t>
      </w:r>
      <w:r>
        <w:rPr>
          <w:i/>
          <w:color w:val="231F20"/>
          <w:w w:val="105"/>
          <w:sz w:val="19"/>
        </w:rPr>
        <w:t>the</w:t>
      </w:r>
      <w:r>
        <w:rPr>
          <w:i/>
          <w:color w:val="231F20"/>
          <w:spacing w:val="-11"/>
          <w:w w:val="105"/>
          <w:sz w:val="19"/>
        </w:rPr>
        <w:t xml:space="preserve"> </w:t>
      </w:r>
      <w:r>
        <w:rPr>
          <w:i/>
          <w:color w:val="231F20"/>
          <w:w w:val="105"/>
          <w:sz w:val="19"/>
        </w:rPr>
        <w:t>necessity</w:t>
      </w:r>
      <w:r>
        <w:rPr>
          <w:i/>
          <w:color w:val="231F20"/>
          <w:spacing w:val="-11"/>
          <w:w w:val="105"/>
          <w:sz w:val="19"/>
        </w:rPr>
        <w:t xml:space="preserve"> </w:t>
      </w:r>
      <w:r>
        <w:rPr>
          <w:i/>
          <w:color w:val="231F20"/>
          <w:w w:val="105"/>
          <w:sz w:val="19"/>
        </w:rPr>
        <w:t>and</w:t>
      </w:r>
      <w:r>
        <w:rPr>
          <w:i/>
          <w:color w:val="231F20"/>
          <w:spacing w:val="-11"/>
          <w:w w:val="105"/>
          <w:sz w:val="19"/>
        </w:rPr>
        <w:t xml:space="preserve"> </w:t>
      </w:r>
      <w:r>
        <w:rPr>
          <w:i/>
          <w:color w:val="231F20"/>
          <w:w w:val="105"/>
          <w:sz w:val="19"/>
        </w:rPr>
        <w:t>the possibility</w:t>
      </w:r>
      <w:r>
        <w:rPr>
          <w:i/>
          <w:color w:val="231F20"/>
          <w:spacing w:val="-4"/>
          <w:w w:val="105"/>
          <w:sz w:val="19"/>
        </w:rPr>
        <w:t xml:space="preserve"> </w:t>
      </w:r>
      <w:r>
        <w:rPr>
          <w:i/>
          <w:color w:val="231F20"/>
          <w:w w:val="105"/>
          <w:sz w:val="19"/>
        </w:rPr>
        <w:t>for</w:t>
      </w:r>
      <w:r>
        <w:rPr>
          <w:i/>
          <w:color w:val="231F20"/>
          <w:spacing w:val="-4"/>
          <w:w w:val="105"/>
          <w:sz w:val="19"/>
        </w:rPr>
        <w:t xml:space="preserve"> </w:t>
      </w:r>
      <w:r>
        <w:rPr>
          <w:i/>
          <w:color w:val="231F20"/>
          <w:w w:val="105"/>
          <w:sz w:val="19"/>
        </w:rPr>
        <w:t>armed</w:t>
      </w:r>
      <w:r>
        <w:rPr>
          <w:i/>
          <w:color w:val="231F20"/>
          <w:spacing w:val="-4"/>
          <w:w w:val="105"/>
          <w:sz w:val="19"/>
        </w:rPr>
        <w:t xml:space="preserve"> </w:t>
      </w:r>
      <w:r>
        <w:rPr>
          <w:i/>
          <w:color w:val="231F20"/>
          <w:w w:val="105"/>
          <w:sz w:val="19"/>
        </w:rPr>
        <w:t>resistance</w:t>
      </w:r>
      <w:r>
        <w:rPr>
          <w:i/>
          <w:color w:val="231F20"/>
          <w:spacing w:val="-4"/>
          <w:w w:val="105"/>
          <w:sz w:val="19"/>
        </w:rPr>
        <w:t xml:space="preserve"> </w:t>
      </w:r>
      <w:r>
        <w:rPr>
          <w:i/>
          <w:color w:val="231F20"/>
          <w:w w:val="105"/>
          <w:sz w:val="19"/>
        </w:rPr>
        <w:t>as</w:t>
      </w:r>
      <w:r>
        <w:rPr>
          <w:i/>
          <w:color w:val="231F20"/>
          <w:spacing w:val="-4"/>
          <w:w w:val="105"/>
          <w:sz w:val="19"/>
        </w:rPr>
        <w:t xml:space="preserve"> </w:t>
      </w:r>
      <w:r>
        <w:rPr>
          <w:i/>
          <w:color w:val="231F20"/>
          <w:w w:val="105"/>
          <w:sz w:val="19"/>
        </w:rPr>
        <w:t>a</w:t>
      </w:r>
      <w:r>
        <w:rPr>
          <w:i/>
          <w:color w:val="231F20"/>
          <w:spacing w:val="-4"/>
          <w:w w:val="105"/>
          <w:sz w:val="19"/>
        </w:rPr>
        <w:t xml:space="preserve"> </w:t>
      </w:r>
      <w:r>
        <w:rPr>
          <w:i/>
          <w:color w:val="231F20"/>
          <w:w w:val="105"/>
          <w:sz w:val="19"/>
        </w:rPr>
        <w:t>factor</w:t>
      </w:r>
      <w:r>
        <w:rPr>
          <w:i/>
          <w:color w:val="231F20"/>
          <w:spacing w:val="-4"/>
          <w:w w:val="105"/>
          <w:sz w:val="19"/>
        </w:rPr>
        <w:t xml:space="preserve"> </w:t>
      </w:r>
      <w:r>
        <w:rPr>
          <w:i/>
          <w:color w:val="231F20"/>
          <w:w w:val="105"/>
          <w:sz w:val="19"/>
        </w:rPr>
        <w:t>in</w:t>
      </w:r>
      <w:r>
        <w:rPr>
          <w:i/>
          <w:color w:val="231F20"/>
          <w:spacing w:val="-4"/>
          <w:w w:val="105"/>
          <w:sz w:val="19"/>
        </w:rPr>
        <w:t xml:space="preserve"> </w:t>
      </w:r>
      <w:r>
        <w:rPr>
          <w:i/>
          <w:color w:val="231F20"/>
          <w:w w:val="105"/>
          <w:sz w:val="19"/>
        </w:rPr>
        <w:t>political</w:t>
      </w:r>
      <w:r>
        <w:rPr>
          <w:i/>
          <w:color w:val="231F20"/>
          <w:spacing w:val="-4"/>
          <w:w w:val="105"/>
          <w:sz w:val="19"/>
        </w:rPr>
        <w:t xml:space="preserve"> </w:t>
      </w:r>
      <w:r>
        <w:rPr>
          <w:i/>
          <w:color w:val="231F20"/>
          <w:w w:val="105"/>
          <w:sz w:val="19"/>
        </w:rPr>
        <w:t>opposition here in the FRG—and this must be the case if it needs to be smashed as brutally as is the case in</w:t>
      </w:r>
      <w:r>
        <w:rPr>
          <w:i/>
          <w:color w:val="231F20"/>
          <w:spacing w:val="32"/>
          <w:w w:val="105"/>
          <w:sz w:val="19"/>
        </w:rPr>
        <w:t xml:space="preserve"> </w:t>
      </w:r>
      <w:r>
        <w:rPr>
          <w:i/>
          <w:color w:val="231F20"/>
          <w:w w:val="105"/>
          <w:sz w:val="19"/>
        </w:rPr>
        <w:t>Stammheim.</w:t>
      </w:r>
    </w:p>
    <w:p w14:paraId="23B6E793" w14:textId="69746F3D" w:rsidR="002653E8" w:rsidRDefault="003115E3">
      <w:pPr>
        <w:pStyle w:val="a3"/>
        <w:spacing w:before="132" w:line="264" w:lineRule="auto"/>
        <w:ind w:left="1147" w:right="1326"/>
        <w:jc w:val="both"/>
      </w:pPr>
      <w:r>
        <w:rPr>
          <w:color w:val="231F20"/>
        </w:rPr>
        <w:t xml:space="preserve">And one must add—if it weren’t for the </w:t>
      </w:r>
      <w:r w:rsidR="00C507A5">
        <w:rPr>
          <w:color w:val="231F20"/>
        </w:rPr>
        <w:t>red army faction</w:t>
      </w:r>
      <w:r>
        <w:rPr>
          <w:color w:val="231F20"/>
        </w:rPr>
        <w:t>, what would anyone in France, Italy, Holland, or the Scandinavian states know about the reactionary role of social democracy in the Federal Republic?</w:t>
      </w:r>
    </w:p>
    <w:p w14:paraId="3ADEBAA2" w14:textId="77777777" w:rsidR="002653E8" w:rsidRDefault="002653E8">
      <w:pPr>
        <w:pStyle w:val="a3"/>
        <w:spacing w:before="7"/>
        <w:rPr>
          <w:sz w:val="21"/>
        </w:rPr>
      </w:pPr>
    </w:p>
    <w:p w14:paraId="0DAAB697" w14:textId="77777777" w:rsidR="002653E8" w:rsidRDefault="003115E3">
      <w:pPr>
        <w:pStyle w:val="a3"/>
        <w:spacing w:line="264" w:lineRule="auto"/>
        <w:ind w:left="1147" w:right="1326"/>
        <w:jc w:val="both"/>
      </w:pPr>
      <w:r>
        <w:rPr>
          <w:color w:val="231F20"/>
          <w:w w:val="105"/>
        </w:rPr>
        <w:t>Q.</w:t>
      </w:r>
      <w:r>
        <w:rPr>
          <w:color w:val="231F20"/>
          <w:spacing w:val="-9"/>
          <w:w w:val="105"/>
        </w:rPr>
        <w:t xml:space="preserve"> </w:t>
      </w:r>
      <w:r>
        <w:rPr>
          <w:color w:val="231F20"/>
          <w:w w:val="105"/>
        </w:rPr>
        <w:t>Is</w:t>
      </w:r>
      <w:r>
        <w:rPr>
          <w:color w:val="231F20"/>
          <w:spacing w:val="-9"/>
          <w:w w:val="105"/>
        </w:rPr>
        <w:t xml:space="preserve"> </w:t>
      </w:r>
      <w:r>
        <w:rPr>
          <w:color w:val="231F20"/>
          <w:w w:val="105"/>
        </w:rPr>
        <w:t>there</w:t>
      </w:r>
      <w:r>
        <w:rPr>
          <w:color w:val="231F20"/>
          <w:spacing w:val="-9"/>
          <w:w w:val="105"/>
        </w:rPr>
        <w:t xml:space="preserve"> </w:t>
      </w:r>
      <w:r>
        <w:rPr>
          <w:color w:val="231F20"/>
          <w:w w:val="105"/>
        </w:rPr>
        <w:t>not</w:t>
      </w:r>
      <w:r>
        <w:rPr>
          <w:color w:val="231F20"/>
          <w:spacing w:val="-9"/>
          <w:w w:val="105"/>
        </w:rPr>
        <w:t xml:space="preserve"> </w:t>
      </w:r>
      <w:r>
        <w:rPr>
          <w:color w:val="231F20"/>
          <w:w w:val="105"/>
        </w:rPr>
        <w:t>a</w:t>
      </w:r>
      <w:r>
        <w:rPr>
          <w:color w:val="231F20"/>
          <w:spacing w:val="-9"/>
          <w:w w:val="105"/>
        </w:rPr>
        <w:t xml:space="preserve"> </w:t>
      </w:r>
      <w:r>
        <w:rPr>
          <w:color w:val="231F20"/>
          <w:w w:val="105"/>
        </w:rPr>
        <w:t>danger</w:t>
      </w:r>
      <w:r>
        <w:rPr>
          <w:color w:val="231F20"/>
          <w:spacing w:val="-9"/>
          <w:w w:val="105"/>
        </w:rPr>
        <w:t xml:space="preserve"> </w:t>
      </w:r>
      <w:r>
        <w:rPr>
          <w:color w:val="231F20"/>
          <w:w w:val="105"/>
        </w:rPr>
        <w:t>of</w:t>
      </w:r>
      <w:r>
        <w:rPr>
          <w:color w:val="231F20"/>
          <w:spacing w:val="-9"/>
          <w:w w:val="105"/>
        </w:rPr>
        <w:t xml:space="preserve"> </w:t>
      </w:r>
      <w:r>
        <w:rPr>
          <w:color w:val="231F20"/>
          <w:w w:val="105"/>
        </w:rPr>
        <w:t>a</w:t>
      </w:r>
      <w:r>
        <w:rPr>
          <w:color w:val="231F20"/>
          <w:spacing w:val="-9"/>
          <w:w w:val="105"/>
        </w:rPr>
        <w:t xml:space="preserve"> </w:t>
      </w:r>
      <w:r>
        <w:rPr>
          <w:color w:val="231F20"/>
          <w:w w:val="105"/>
        </w:rPr>
        <w:t>collective</w:t>
      </w:r>
      <w:r>
        <w:rPr>
          <w:color w:val="231F20"/>
          <w:spacing w:val="-9"/>
          <w:w w:val="105"/>
        </w:rPr>
        <w:t xml:space="preserve"> </w:t>
      </w:r>
      <w:r>
        <w:rPr>
          <w:color w:val="231F20"/>
          <w:w w:val="105"/>
        </w:rPr>
        <w:t>conviction</w:t>
      </w:r>
      <w:r>
        <w:rPr>
          <w:color w:val="231F20"/>
          <w:spacing w:val="-9"/>
          <w:w w:val="105"/>
        </w:rPr>
        <w:t xml:space="preserve"> </w:t>
      </w:r>
      <w:r>
        <w:rPr>
          <w:color w:val="231F20"/>
          <w:w w:val="105"/>
        </w:rPr>
        <w:t>of</w:t>
      </w:r>
      <w:r>
        <w:rPr>
          <w:color w:val="231F20"/>
          <w:spacing w:val="-9"/>
          <w:w w:val="105"/>
        </w:rPr>
        <w:t xml:space="preserve"> </w:t>
      </w:r>
      <w:r>
        <w:rPr>
          <w:color w:val="231F20"/>
          <w:w w:val="105"/>
        </w:rPr>
        <w:t>the</w:t>
      </w:r>
      <w:r>
        <w:rPr>
          <w:color w:val="231F20"/>
          <w:spacing w:val="-9"/>
          <w:w w:val="105"/>
        </w:rPr>
        <w:t xml:space="preserve"> </w:t>
      </w:r>
      <w:r>
        <w:rPr>
          <w:color w:val="231F20"/>
          <w:w w:val="105"/>
        </w:rPr>
        <w:t>accused,</w:t>
      </w:r>
      <w:r>
        <w:rPr>
          <w:color w:val="231F20"/>
          <w:spacing w:val="-9"/>
          <w:w w:val="105"/>
        </w:rPr>
        <w:t xml:space="preserve"> </w:t>
      </w:r>
      <w:r>
        <w:rPr>
          <w:color w:val="231F20"/>
          <w:w w:val="105"/>
        </w:rPr>
        <w:t>as</w:t>
      </w:r>
      <w:r>
        <w:rPr>
          <w:color w:val="231F20"/>
          <w:spacing w:val="-9"/>
          <w:w w:val="105"/>
        </w:rPr>
        <w:t xml:space="preserve"> </w:t>
      </w:r>
      <w:r>
        <w:rPr>
          <w:color w:val="231F20"/>
          <w:w w:val="105"/>
        </w:rPr>
        <w:t>the prosecution</w:t>
      </w:r>
      <w:r>
        <w:rPr>
          <w:color w:val="231F20"/>
          <w:spacing w:val="-20"/>
          <w:w w:val="105"/>
        </w:rPr>
        <w:t xml:space="preserve"> </w:t>
      </w:r>
      <w:r>
        <w:rPr>
          <w:color w:val="231F20"/>
          <w:w w:val="105"/>
        </w:rPr>
        <w:t>evidently</w:t>
      </w:r>
      <w:r>
        <w:rPr>
          <w:color w:val="231F20"/>
          <w:spacing w:val="-20"/>
          <w:w w:val="105"/>
        </w:rPr>
        <w:t xml:space="preserve"> </w:t>
      </w:r>
      <w:r>
        <w:rPr>
          <w:color w:val="231F20"/>
          <w:w w:val="105"/>
        </w:rPr>
        <w:t>has</w:t>
      </w:r>
      <w:r>
        <w:rPr>
          <w:color w:val="231F20"/>
          <w:spacing w:val="-20"/>
          <w:w w:val="105"/>
        </w:rPr>
        <w:t xml:space="preserve"> </w:t>
      </w:r>
      <w:r>
        <w:rPr>
          <w:color w:val="231F20"/>
          <w:w w:val="105"/>
        </w:rPr>
        <w:t>difficulty</w:t>
      </w:r>
      <w:r>
        <w:rPr>
          <w:color w:val="231F20"/>
          <w:spacing w:val="-20"/>
          <w:w w:val="105"/>
        </w:rPr>
        <w:t xml:space="preserve"> </w:t>
      </w:r>
      <w:r>
        <w:rPr>
          <w:color w:val="231F20"/>
          <w:w w:val="105"/>
        </w:rPr>
        <w:t>proving</w:t>
      </w:r>
      <w:r>
        <w:rPr>
          <w:color w:val="231F20"/>
          <w:spacing w:val="-20"/>
          <w:w w:val="105"/>
        </w:rPr>
        <w:t xml:space="preserve"> </w:t>
      </w:r>
      <w:r>
        <w:rPr>
          <w:color w:val="231F20"/>
          <w:w w:val="105"/>
        </w:rPr>
        <w:t>the</w:t>
      </w:r>
      <w:r>
        <w:rPr>
          <w:color w:val="231F20"/>
          <w:spacing w:val="-20"/>
          <w:w w:val="105"/>
        </w:rPr>
        <w:t xml:space="preserve"> </w:t>
      </w:r>
      <w:r>
        <w:rPr>
          <w:color w:val="231F20"/>
          <w:w w:val="105"/>
        </w:rPr>
        <w:t>guilt</w:t>
      </w:r>
      <w:r>
        <w:rPr>
          <w:color w:val="231F20"/>
          <w:spacing w:val="-20"/>
          <w:w w:val="105"/>
        </w:rPr>
        <w:t xml:space="preserve"> </w:t>
      </w:r>
      <w:r>
        <w:rPr>
          <w:color w:val="231F20"/>
          <w:w w:val="105"/>
        </w:rPr>
        <w:t>of</w:t>
      </w:r>
      <w:r>
        <w:rPr>
          <w:color w:val="231F20"/>
          <w:spacing w:val="-20"/>
          <w:w w:val="105"/>
        </w:rPr>
        <w:t xml:space="preserve"> </w:t>
      </w:r>
      <w:r>
        <w:rPr>
          <w:color w:val="231F20"/>
          <w:w w:val="105"/>
        </w:rPr>
        <w:t>each</w:t>
      </w:r>
      <w:r>
        <w:rPr>
          <w:color w:val="231F20"/>
          <w:spacing w:val="-20"/>
          <w:w w:val="105"/>
        </w:rPr>
        <w:t xml:space="preserve"> </w:t>
      </w:r>
      <w:r>
        <w:rPr>
          <w:color w:val="231F20"/>
          <w:w w:val="105"/>
        </w:rPr>
        <w:t>individual on</w:t>
      </w:r>
      <w:r>
        <w:rPr>
          <w:color w:val="231F20"/>
          <w:spacing w:val="-12"/>
          <w:w w:val="105"/>
        </w:rPr>
        <w:t xml:space="preserve"> </w:t>
      </w:r>
      <w:r>
        <w:rPr>
          <w:color w:val="231F20"/>
          <w:w w:val="105"/>
        </w:rPr>
        <w:t>the</w:t>
      </w:r>
      <w:r>
        <w:rPr>
          <w:color w:val="231F20"/>
          <w:spacing w:val="-12"/>
          <w:w w:val="105"/>
        </w:rPr>
        <w:t xml:space="preserve"> </w:t>
      </w:r>
      <w:r>
        <w:rPr>
          <w:color w:val="231F20"/>
          <w:w w:val="105"/>
        </w:rPr>
        <w:t>basis</w:t>
      </w:r>
      <w:r>
        <w:rPr>
          <w:color w:val="231F20"/>
          <w:spacing w:val="-12"/>
          <w:w w:val="105"/>
        </w:rPr>
        <w:t xml:space="preserve"> </w:t>
      </w:r>
      <w:r>
        <w:rPr>
          <w:color w:val="231F20"/>
          <w:w w:val="105"/>
        </w:rPr>
        <w:t>of</w:t>
      </w:r>
      <w:r>
        <w:rPr>
          <w:color w:val="231F20"/>
          <w:spacing w:val="-12"/>
          <w:w w:val="105"/>
        </w:rPr>
        <w:t xml:space="preserve"> </w:t>
      </w:r>
      <w:r>
        <w:rPr>
          <w:color w:val="231F20"/>
          <w:w w:val="105"/>
        </w:rPr>
        <w:t>the</w:t>
      </w:r>
      <w:r>
        <w:rPr>
          <w:color w:val="231F20"/>
          <w:spacing w:val="-12"/>
          <w:w w:val="105"/>
        </w:rPr>
        <w:t xml:space="preserve"> </w:t>
      </w:r>
      <w:r>
        <w:rPr>
          <w:color w:val="231F20"/>
          <w:w w:val="105"/>
        </w:rPr>
        <w:t>evidence?</w:t>
      </w:r>
      <w:r>
        <w:rPr>
          <w:color w:val="231F20"/>
          <w:spacing w:val="-12"/>
          <w:w w:val="105"/>
        </w:rPr>
        <w:t xml:space="preserve"> </w:t>
      </w:r>
      <w:r>
        <w:rPr>
          <w:color w:val="231F20"/>
          <w:w w:val="105"/>
        </w:rPr>
        <w:t>And</w:t>
      </w:r>
      <w:r>
        <w:rPr>
          <w:color w:val="231F20"/>
          <w:spacing w:val="-12"/>
          <w:w w:val="105"/>
        </w:rPr>
        <w:t xml:space="preserve"> </w:t>
      </w:r>
      <w:r>
        <w:rPr>
          <w:color w:val="231F20"/>
          <w:w w:val="105"/>
        </w:rPr>
        <w:t>how</w:t>
      </w:r>
      <w:r>
        <w:rPr>
          <w:color w:val="231F20"/>
          <w:spacing w:val="-12"/>
          <w:w w:val="105"/>
        </w:rPr>
        <w:t xml:space="preserve"> </w:t>
      </w:r>
      <w:r>
        <w:rPr>
          <w:color w:val="231F20"/>
          <w:w w:val="105"/>
        </w:rPr>
        <w:t>is</w:t>
      </w:r>
      <w:r>
        <w:rPr>
          <w:color w:val="231F20"/>
          <w:spacing w:val="-12"/>
          <w:w w:val="105"/>
        </w:rPr>
        <w:t xml:space="preserve"> </w:t>
      </w:r>
      <w:r>
        <w:rPr>
          <w:color w:val="231F20"/>
          <w:w w:val="105"/>
        </w:rPr>
        <w:t>your</w:t>
      </w:r>
      <w:r>
        <w:rPr>
          <w:color w:val="231F20"/>
          <w:spacing w:val="-12"/>
          <w:w w:val="105"/>
        </w:rPr>
        <w:t xml:space="preserve"> </w:t>
      </w:r>
      <w:r>
        <w:rPr>
          <w:color w:val="231F20"/>
          <w:w w:val="105"/>
        </w:rPr>
        <w:t>concept</w:t>
      </w:r>
      <w:r>
        <w:rPr>
          <w:color w:val="231F20"/>
          <w:spacing w:val="-12"/>
          <w:w w:val="105"/>
        </w:rPr>
        <w:t xml:space="preserve"> </w:t>
      </w:r>
      <w:r>
        <w:rPr>
          <w:color w:val="231F20"/>
          <w:w w:val="105"/>
        </w:rPr>
        <w:t>of</w:t>
      </w:r>
      <w:r>
        <w:rPr>
          <w:color w:val="231F20"/>
          <w:spacing w:val="-12"/>
          <w:w w:val="105"/>
        </w:rPr>
        <w:t xml:space="preserve"> </w:t>
      </w:r>
      <w:r>
        <w:rPr>
          <w:color w:val="231F20"/>
          <w:w w:val="105"/>
        </w:rPr>
        <w:t>the</w:t>
      </w:r>
      <w:r>
        <w:rPr>
          <w:color w:val="231F20"/>
          <w:spacing w:val="-12"/>
          <w:w w:val="105"/>
        </w:rPr>
        <w:t xml:space="preserve"> </w:t>
      </w:r>
      <w:r>
        <w:rPr>
          <w:color w:val="231F20"/>
          <w:w w:val="105"/>
        </w:rPr>
        <w:t>“principal guiding function” for the Stammheim trial to be</w:t>
      </w:r>
      <w:r>
        <w:rPr>
          <w:color w:val="231F20"/>
          <w:spacing w:val="15"/>
          <w:w w:val="105"/>
        </w:rPr>
        <w:t xml:space="preserve"> </w:t>
      </w:r>
      <w:r>
        <w:rPr>
          <w:color w:val="231F20"/>
          <w:w w:val="105"/>
        </w:rPr>
        <w:t>understood?</w:t>
      </w:r>
    </w:p>
    <w:p w14:paraId="692B7B3F" w14:textId="77777777" w:rsidR="002653E8" w:rsidRDefault="002653E8">
      <w:pPr>
        <w:pStyle w:val="a3"/>
        <w:spacing w:before="6"/>
        <w:rPr>
          <w:sz w:val="21"/>
        </w:rPr>
      </w:pPr>
    </w:p>
    <w:p w14:paraId="44240929" w14:textId="77777777" w:rsidR="002653E8" w:rsidRDefault="003115E3">
      <w:pPr>
        <w:pStyle w:val="a4"/>
        <w:numPr>
          <w:ilvl w:val="0"/>
          <w:numId w:val="77"/>
        </w:numPr>
        <w:tabs>
          <w:tab w:val="left" w:pos="1432"/>
        </w:tabs>
        <w:spacing w:before="0" w:line="264" w:lineRule="auto"/>
        <w:ind w:right="1326" w:firstLine="0"/>
        <w:jc w:val="both"/>
        <w:rPr>
          <w:sz w:val="20"/>
        </w:rPr>
      </w:pPr>
      <w:r>
        <w:rPr>
          <w:color w:val="231F20"/>
          <w:sz w:val="20"/>
        </w:rPr>
        <w:t>They were already convicted before the trial began, by the media hate campaign, by the prison conditions, by isolation, by sensory deprivation, by deprivation of water, by the attempt at a stereotactical intervention, by drugging during interrogation, etc.—and by statements made by the Chancellor during the parliamentary debates after the Stockholm action. State security murdered four prisoners in a single year: Holger Meins, Katharina Hammerschmidt,  Siegfried  Hausner,  and Ulrike Meinhof. Meanwhile, isolation units have been  built  in  about</w:t>
      </w:r>
      <w:r>
        <w:rPr>
          <w:color w:val="231F20"/>
          <w:spacing w:val="20"/>
          <w:sz w:val="20"/>
        </w:rPr>
        <w:t xml:space="preserve"> </w:t>
      </w:r>
      <w:r>
        <w:rPr>
          <w:color w:val="231F20"/>
          <w:spacing w:val="-9"/>
          <w:sz w:val="20"/>
        </w:rPr>
        <w:t>15</w:t>
      </w:r>
      <w:r>
        <w:rPr>
          <w:color w:val="231F20"/>
          <w:spacing w:val="20"/>
          <w:sz w:val="20"/>
        </w:rPr>
        <w:t xml:space="preserve"> </w:t>
      </w:r>
      <w:r>
        <w:rPr>
          <w:color w:val="231F20"/>
          <w:sz w:val="20"/>
        </w:rPr>
        <w:t>prisons.</w:t>
      </w:r>
      <w:r>
        <w:rPr>
          <w:color w:val="231F20"/>
          <w:spacing w:val="20"/>
          <w:sz w:val="20"/>
        </w:rPr>
        <w:t xml:space="preserve"> </w:t>
      </w:r>
      <w:r>
        <w:rPr>
          <w:color w:val="231F20"/>
          <w:sz w:val="20"/>
        </w:rPr>
        <w:t>There</w:t>
      </w:r>
      <w:r>
        <w:rPr>
          <w:color w:val="231F20"/>
          <w:spacing w:val="20"/>
          <w:sz w:val="20"/>
        </w:rPr>
        <w:t xml:space="preserve"> </w:t>
      </w:r>
      <w:r>
        <w:rPr>
          <w:color w:val="231F20"/>
          <w:sz w:val="20"/>
        </w:rPr>
        <w:t>are</w:t>
      </w:r>
      <w:r>
        <w:rPr>
          <w:color w:val="231F20"/>
          <w:spacing w:val="20"/>
          <w:sz w:val="20"/>
        </w:rPr>
        <w:t xml:space="preserve"> </w:t>
      </w:r>
      <w:r>
        <w:rPr>
          <w:color w:val="231F20"/>
          <w:sz w:val="20"/>
        </w:rPr>
        <w:t>not</w:t>
      </w:r>
      <w:r>
        <w:rPr>
          <w:color w:val="231F20"/>
          <w:spacing w:val="20"/>
          <w:sz w:val="20"/>
        </w:rPr>
        <w:t xml:space="preserve"> </w:t>
      </w:r>
      <w:r>
        <w:rPr>
          <w:color w:val="231F20"/>
          <w:sz w:val="20"/>
        </w:rPr>
        <w:t>four,</w:t>
      </w:r>
      <w:r>
        <w:rPr>
          <w:color w:val="231F20"/>
          <w:spacing w:val="20"/>
          <w:sz w:val="20"/>
        </w:rPr>
        <w:t xml:space="preserve"> </w:t>
      </w:r>
      <w:r>
        <w:rPr>
          <w:color w:val="231F20"/>
          <w:sz w:val="20"/>
        </w:rPr>
        <w:t>but</w:t>
      </w:r>
      <w:r>
        <w:rPr>
          <w:color w:val="231F20"/>
          <w:spacing w:val="20"/>
          <w:sz w:val="20"/>
        </w:rPr>
        <w:t xml:space="preserve"> </w:t>
      </w:r>
      <w:r>
        <w:rPr>
          <w:color w:val="231F20"/>
          <w:sz w:val="20"/>
        </w:rPr>
        <w:t>about</w:t>
      </w:r>
      <w:r>
        <w:rPr>
          <w:color w:val="231F20"/>
          <w:spacing w:val="20"/>
          <w:sz w:val="20"/>
        </w:rPr>
        <w:t xml:space="preserve"> </w:t>
      </w:r>
      <w:r>
        <w:rPr>
          <w:color w:val="231F20"/>
          <w:sz w:val="20"/>
        </w:rPr>
        <w:t>120</w:t>
      </w:r>
      <w:r>
        <w:rPr>
          <w:color w:val="231F20"/>
          <w:spacing w:val="20"/>
          <w:sz w:val="20"/>
        </w:rPr>
        <w:t xml:space="preserve"> </w:t>
      </w:r>
      <w:r>
        <w:rPr>
          <w:color w:val="231F20"/>
          <w:sz w:val="20"/>
        </w:rPr>
        <w:t>prisoners</w:t>
      </w:r>
      <w:r>
        <w:rPr>
          <w:color w:val="231F20"/>
          <w:spacing w:val="20"/>
          <w:sz w:val="20"/>
        </w:rPr>
        <w:t xml:space="preserve"> </w:t>
      </w:r>
      <w:r>
        <w:rPr>
          <w:color w:val="231F20"/>
          <w:sz w:val="20"/>
        </w:rPr>
        <w:t>who,</w:t>
      </w:r>
      <w:r>
        <w:rPr>
          <w:color w:val="231F20"/>
          <w:spacing w:val="20"/>
          <w:sz w:val="20"/>
        </w:rPr>
        <w:t xml:space="preserve"> </w:t>
      </w:r>
      <w:r>
        <w:rPr>
          <w:color w:val="231F20"/>
          <w:sz w:val="20"/>
        </w:rPr>
        <w:t>in</w:t>
      </w:r>
    </w:p>
    <w:p w14:paraId="35804B9A" w14:textId="77777777" w:rsidR="002653E8" w:rsidRDefault="002653E8">
      <w:pPr>
        <w:spacing w:line="264" w:lineRule="auto"/>
        <w:jc w:val="both"/>
        <w:rPr>
          <w:sz w:val="20"/>
        </w:rPr>
        <w:sectPr w:rsidR="002653E8">
          <w:pgSz w:w="8640" w:h="12960"/>
          <w:pgMar w:top="1080" w:right="0" w:bottom="1040" w:left="0" w:header="0" w:footer="850" w:gutter="0"/>
          <w:cols w:space="720"/>
        </w:sectPr>
      </w:pPr>
    </w:p>
    <w:p w14:paraId="15E12764" w14:textId="77777777" w:rsidR="002653E8" w:rsidRDefault="003115E3">
      <w:pPr>
        <w:pStyle w:val="a3"/>
        <w:spacing w:before="86" w:line="264" w:lineRule="auto"/>
        <w:ind w:left="1327" w:right="1145"/>
      </w:pPr>
      <w:r>
        <w:rPr>
          <w:color w:val="231F20"/>
        </w:rPr>
        <w:lastRenderedPageBreak/>
        <w:t>this context, are subjected to the same prison conditions, and, out of these 120, 4 have been selected to support the “ringleader” construct.</w:t>
      </w:r>
    </w:p>
    <w:p w14:paraId="79B0F600" w14:textId="77777777" w:rsidR="002653E8" w:rsidRDefault="003115E3">
      <w:pPr>
        <w:pStyle w:val="a3"/>
        <w:spacing w:line="264" w:lineRule="auto"/>
        <w:ind w:left="1327" w:right="1146" w:firstLine="210"/>
        <w:jc w:val="both"/>
      </w:pPr>
      <w:r>
        <w:rPr>
          <w:color w:val="231F20"/>
        </w:rPr>
        <w:t>In the last weeks before Ulrike’s murder, this treatment was focused on two of the prisoners, Andreas and Ulrike, as part of the psychological warfare strategy of personalizing revolutionary politics, and the policy of the intelligence services in all counterrevolutionary projects of cutting off the head.</w:t>
      </w:r>
    </w:p>
    <w:p w14:paraId="14DA5391" w14:textId="77777777" w:rsidR="002653E8" w:rsidRDefault="003115E3">
      <w:pPr>
        <w:pStyle w:val="a3"/>
        <w:spacing w:line="264" w:lineRule="auto"/>
        <w:ind w:left="1327" w:right="1146" w:firstLine="210"/>
        <w:jc w:val="both"/>
      </w:pPr>
      <w:r>
        <w:rPr>
          <w:color w:val="231F20"/>
        </w:rPr>
        <w:t>Andreas is the prisoner against whom state security concentrated their hate campaign, because he organized both the collective politics   of the group, even in the situation of complete isolation in prison, and the all-out defensive strategy. When the trial began, he no longer had a lawyer</w:t>
      </w:r>
      <w:r>
        <w:rPr>
          <w:color w:val="231F20"/>
          <w:spacing w:val="8"/>
        </w:rPr>
        <w:t xml:space="preserve"> </w:t>
      </w:r>
      <w:r>
        <w:rPr>
          <w:color w:val="231F20"/>
        </w:rPr>
        <w:t>and</w:t>
      </w:r>
      <w:r>
        <w:rPr>
          <w:color w:val="231F20"/>
          <w:spacing w:val="8"/>
        </w:rPr>
        <w:t xml:space="preserve"> </w:t>
      </w:r>
      <w:r>
        <w:rPr>
          <w:color w:val="231F20"/>
        </w:rPr>
        <w:t>he</w:t>
      </w:r>
      <w:r>
        <w:rPr>
          <w:color w:val="231F20"/>
          <w:spacing w:val="8"/>
        </w:rPr>
        <w:t xml:space="preserve"> </w:t>
      </w:r>
      <w:r>
        <w:rPr>
          <w:color w:val="231F20"/>
        </w:rPr>
        <w:t>faced</w:t>
      </w:r>
      <w:r>
        <w:rPr>
          <w:color w:val="231F20"/>
          <w:spacing w:val="8"/>
        </w:rPr>
        <w:t xml:space="preserve"> </w:t>
      </w:r>
      <w:r>
        <w:rPr>
          <w:color w:val="231F20"/>
        </w:rPr>
        <w:t>three</w:t>
      </w:r>
      <w:r>
        <w:rPr>
          <w:color w:val="231F20"/>
          <w:spacing w:val="8"/>
        </w:rPr>
        <w:t xml:space="preserve"> </w:t>
      </w:r>
      <w:r>
        <w:rPr>
          <w:color w:val="231F20"/>
        </w:rPr>
        <w:t>counts</w:t>
      </w:r>
      <w:r>
        <w:rPr>
          <w:color w:val="231F20"/>
          <w:spacing w:val="8"/>
        </w:rPr>
        <w:t xml:space="preserve"> </w:t>
      </w:r>
      <w:r>
        <w:rPr>
          <w:color w:val="231F20"/>
        </w:rPr>
        <w:t>of</w:t>
      </w:r>
      <w:r>
        <w:rPr>
          <w:color w:val="231F20"/>
          <w:spacing w:val="8"/>
        </w:rPr>
        <w:t xml:space="preserve"> </w:t>
      </w:r>
      <w:r>
        <w:rPr>
          <w:color w:val="231F20"/>
        </w:rPr>
        <w:t>attempted</w:t>
      </w:r>
      <w:r>
        <w:rPr>
          <w:color w:val="231F20"/>
          <w:spacing w:val="8"/>
        </w:rPr>
        <w:t xml:space="preserve"> </w:t>
      </w:r>
      <w:r>
        <w:rPr>
          <w:color w:val="231F20"/>
        </w:rPr>
        <w:t>murder.</w:t>
      </w:r>
    </w:p>
    <w:p w14:paraId="16C49501" w14:textId="77777777" w:rsidR="002653E8" w:rsidRDefault="003115E3">
      <w:pPr>
        <w:pStyle w:val="a3"/>
        <w:spacing w:line="264" w:lineRule="auto"/>
        <w:ind w:left="1328" w:right="1145" w:firstLine="209"/>
        <w:jc w:val="both"/>
      </w:pPr>
      <w:r>
        <w:rPr>
          <w:color w:val="231F20"/>
        </w:rPr>
        <w:t xml:space="preserve">Since </w:t>
      </w:r>
      <w:r>
        <w:rPr>
          <w:color w:val="231F20"/>
          <w:spacing w:val="-5"/>
        </w:rPr>
        <w:t xml:space="preserve">65, </w:t>
      </w:r>
      <w:r>
        <w:rPr>
          <w:color w:val="231F20"/>
        </w:rPr>
        <w:t xml:space="preserve">Ulrike had played a guiding ideological role for the revolutionary left in the Federal Republic. She was to be broken in the dead wing through white torture, pathologized, and eventually turned into     a cretin with a brain operation, so as to be used in the trial as evidence against the </w:t>
      </w:r>
      <w:r w:rsidR="00C507A5">
        <w:rPr>
          <w:color w:val="231F20"/>
          <w:spacing w:val="1"/>
        </w:rPr>
        <w:t>red army faction</w:t>
      </w:r>
      <w:r>
        <w:rPr>
          <w:color w:val="231F20"/>
          <w:spacing w:val="1"/>
        </w:rPr>
        <w:t xml:space="preserve">’s </w:t>
      </w:r>
      <w:r>
        <w:rPr>
          <w:color w:val="231F20"/>
        </w:rPr>
        <w:t>politics and against the broader anti-imperialist struggle in the FRG. Because the group struggled as a group, and we could still</w:t>
      </w:r>
      <w:r>
        <w:rPr>
          <w:color w:val="231F20"/>
          <w:spacing w:val="12"/>
        </w:rPr>
        <w:t xml:space="preserve"> </w:t>
      </w:r>
      <w:r>
        <w:rPr>
          <w:color w:val="231F20"/>
        </w:rPr>
        <w:t>mobilize</w:t>
      </w:r>
      <w:r>
        <w:rPr>
          <w:color w:val="231F20"/>
          <w:spacing w:val="12"/>
        </w:rPr>
        <w:t xml:space="preserve"> </w:t>
      </w:r>
      <w:r>
        <w:rPr>
          <w:color w:val="231F20"/>
        </w:rPr>
        <w:t>public</w:t>
      </w:r>
      <w:r>
        <w:rPr>
          <w:color w:val="231F20"/>
          <w:spacing w:val="12"/>
        </w:rPr>
        <w:t xml:space="preserve"> </w:t>
      </w:r>
      <w:r>
        <w:rPr>
          <w:color w:val="231F20"/>
        </w:rPr>
        <w:t>opposition,</w:t>
      </w:r>
      <w:r>
        <w:rPr>
          <w:color w:val="231F20"/>
          <w:spacing w:val="12"/>
        </w:rPr>
        <w:t xml:space="preserve"> </w:t>
      </w:r>
      <w:r>
        <w:rPr>
          <w:color w:val="231F20"/>
        </w:rPr>
        <w:t>this</w:t>
      </w:r>
      <w:r>
        <w:rPr>
          <w:color w:val="231F20"/>
          <w:spacing w:val="12"/>
        </w:rPr>
        <w:t xml:space="preserve"> </w:t>
      </w:r>
      <w:r>
        <w:rPr>
          <w:color w:val="231F20"/>
        </w:rPr>
        <w:t>project</w:t>
      </w:r>
      <w:r>
        <w:rPr>
          <w:color w:val="231F20"/>
          <w:spacing w:val="12"/>
        </w:rPr>
        <w:t xml:space="preserve"> </w:t>
      </w:r>
      <w:r>
        <w:rPr>
          <w:color w:val="231F20"/>
        </w:rPr>
        <w:t>had</w:t>
      </w:r>
      <w:r>
        <w:rPr>
          <w:color w:val="231F20"/>
          <w:spacing w:val="12"/>
        </w:rPr>
        <w:t xml:space="preserve"> </w:t>
      </w:r>
      <w:r>
        <w:rPr>
          <w:color w:val="231F20"/>
        </w:rPr>
        <w:t>to</w:t>
      </w:r>
      <w:r>
        <w:rPr>
          <w:color w:val="231F20"/>
          <w:spacing w:val="12"/>
        </w:rPr>
        <w:t xml:space="preserve"> </w:t>
      </w:r>
      <w:r>
        <w:rPr>
          <w:color w:val="231F20"/>
        </w:rPr>
        <w:t>be</w:t>
      </w:r>
      <w:r>
        <w:rPr>
          <w:color w:val="231F20"/>
          <w:spacing w:val="12"/>
        </w:rPr>
        <w:t xml:space="preserve"> </w:t>
      </w:r>
      <w:r>
        <w:rPr>
          <w:color w:val="231F20"/>
        </w:rPr>
        <w:t>abandoned.</w:t>
      </w:r>
    </w:p>
    <w:p w14:paraId="0E950B1A" w14:textId="77777777" w:rsidR="002653E8" w:rsidRDefault="003115E3">
      <w:pPr>
        <w:pStyle w:val="a3"/>
        <w:spacing w:line="264" w:lineRule="auto"/>
        <w:ind w:left="1327" w:right="1145" w:firstLine="210"/>
        <w:jc w:val="both"/>
      </w:pPr>
      <w:r>
        <w:rPr>
          <w:color w:val="231F20"/>
        </w:rPr>
        <w:t xml:space="preserve">Then Ulrike was killed—as on each previous occasion when a conflict with the prisoners came to a head and became public knowledge, a </w:t>
      </w:r>
      <w:r w:rsidR="00C507A5">
        <w:rPr>
          <w:color w:val="231F20"/>
        </w:rPr>
        <w:t>red army faction</w:t>
      </w:r>
      <w:r>
        <w:rPr>
          <w:color w:val="231F20"/>
        </w:rPr>
        <w:t xml:space="preserve"> cadre was executed:</w:t>
      </w:r>
    </w:p>
    <w:p w14:paraId="06D79FB8" w14:textId="77777777" w:rsidR="002653E8" w:rsidRDefault="003115E3">
      <w:pPr>
        <w:pStyle w:val="a4"/>
        <w:numPr>
          <w:ilvl w:val="1"/>
          <w:numId w:val="77"/>
        </w:numPr>
        <w:tabs>
          <w:tab w:val="left" w:pos="1880"/>
        </w:tabs>
        <w:spacing w:before="104"/>
        <w:ind w:hanging="240"/>
        <w:rPr>
          <w:sz w:val="20"/>
        </w:rPr>
      </w:pPr>
      <w:r>
        <w:rPr>
          <w:color w:val="231F20"/>
          <w:sz w:val="20"/>
        </w:rPr>
        <w:t>Holger</w:t>
      </w:r>
      <w:r>
        <w:rPr>
          <w:color w:val="231F20"/>
          <w:spacing w:val="10"/>
          <w:sz w:val="20"/>
        </w:rPr>
        <w:t xml:space="preserve"> </w:t>
      </w:r>
      <w:r>
        <w:rPr>
          <w:color w:val="231F20"/>
          <w:sz w:val="20"/>
        </w:rPr>
        <w:t>Meins,</w:t>
      </w:r>
      <w:r>
        <w:rPr>
          <w:color w:val="231F20"/>
          <w:spacing w:val="10"/>
          <w:sz w:val="20"/>
        </w:rPr>
        <w:t xml:space="preserve"> </w:t>
      </w:r>
      <w:r>
        <w:rPr>
          <w:color w:val="231F20"/>
          <w:sz w:val="20"/>
        </w:rPr>
        <w:t>to</w:t>
      </w:r>
      <w:r>
        <w:rPr>
          <w:color w:val="231F20"/>
          <w:spacing w:val="10"/>
          <w:sz w:val="20"/>
        </w:rPr>
        <w:t xml:space="preserve"> </w:t>
      </w:r>
      <w:r>
        <w:rPr>
          <w:color w:val="231F20"/>
          <w:sz w:val="20"/>
        </w:rPr>
        <w:t>break</w:t>
      </w:r>
      <w:r>
        <w:rPr>
          <w:color w:val="231F20"/>
          <w:spacing w:val="10"/>
          <w:sz w:val="20"/>
        </w:rPr>
        <w:t xml:space="preserve"> </w:t>
      </w:r>
      <w:r>
        <w:rPr>
          <w:color w:val="231F20"/>
          <w:sz w:val="20"/>
        </w:rPr>
        <w:t>the</w:t>
      </w:r>
      <w:r>
        <w:rPr>
          <w:color w:val="231F20"/>
          <w:spacing w:val="10"/>
          <w:sz w:val="20"/>
        </w:rPr>
        <w:t xml:space="preserve"> </w:t>
      </w:r>
      <w:r>
        <w:rPr>
          <w:color w:val="231F20"/>
          <w:sz w:val="20"/>
        </w:rPr>
        <w:t>hunger</w:t>
      </w:r>
      <w:r>
        <w:rPr>
          <w:color w:val="231F20"/>
          <w:spacing w:val="10"/>
          <w:sz w:val="20"/>
        </w:rPr>
        <w:t xml:space="preserve"> </w:t>
      </w:r>
      <w:r>
        <w:rPr>
          <w:color w:val="231F20"/>
          <w:sz w:val="20"/>
        </w:rPr>
        <w:t>strike.</w:t>
      </w:r>
    </w:p>
    <w:p w14:paraId="1916FCF6" w14:textId="77777777" w:rsidR="002653E8" w:rsidRDefault="003115E3">
      <w:pPr>
        <w:pStyle w:val="a4"/>
        <w:numPr>
          <w:ilvl w:val="1"/>
          <w:numId w:val="77"/>
        </w:numPr>
        <w:tabs>
          <w:tab w:val="left" w:pos="1824"/>
        </w:tabs>
        <w:spacing w:before="21" w:line="261" w:lineRule="auto"/>
        <w:ind w:right="1338" w:hanging="240"/>
        <w:rPr>
          <w:sz w:val="20"/>
        </w:rPr>
      </w:pPr>
      <w:r>
        <w:rPr>
          <w:color w:val="231F20"/>
          <w:sz w:val="20"/>
        </w:rPr>
        <w:t xml:space="preserve">Siegfried Hausner, during the action in Stockholm to free the prisoners, when the embassy was blown up by the Hamburg </w:t>
      </w:r>
      <w:r>
        <w:rPr>
          <w:color w:val="231F20"/>
          <w:spacing w:val="2"/>
          <w:sz w:val="20"/>
        </w:rPr>
        <w:t xml:space="preserve">MEK </w:t>
      </w:r>
      <w:r>
        <w:rPr>
          <w:color w:val="231F20"/>
          <w:sz w:val="20"/>
        </w:rPr>
        <w:t xml:space="preserve">to conceal their entry. Siegfried led  the  group  and  laid the explosives. He could have proved that the explosion was caused by </w:t>
      </w:r>
      <w:r>
        <w:rPr>
          <w:color w:val="231F20"/>
          <w:spacing w:val="-3"/>
          <w:sz w:val="20"/>
        </w:rPr>
        <w:t xml:space="preserve">West </w:t>
      </w:r>
      <w:r>
        <w:rPr>
          <w:color w:val="231F20"/>
          <w:sz w:val="20"/>
        </w:rPr>
        <w:t xml:space="preserve">German state security. State security knew this when they removed him from the hospital in Stockholm. </w:t>
      </w:r>
      <w:r>
        <w:rPr>
          <w:color w:val="231F20"/>
          <w:spacing w:val="1"/>
          <w:sz w:val="20"/>
        </w:rPr>
        <w:t xml:space="preserve">In </w:t>
      </w:r>
      <w:r>
        <w:rPr>
          <w:color w:val="231F20"/>
          <w:sz w:val="20"/>
        </w:rPr>
        <w:t>order</w:t>
      </w:r>
      <w:r>
        <w:rPr>
          <w:color w:val="231F20"/>
          <w:spacing w:val="10"/>
          <w:sz w:val="20"/>
        </w:rPr>
        <w:t xml:space="preserve"> </w:t>
      </w:r>
      <w:r>
        <w:rPr>
          <w:color w:val="231F20"/>
          <w:sz w:val="20"/>
        </w:rPr>
        <w:t>to</w:t>
      </w:r>
      <w:r>
        <w:rPr>
          <w:color w:val="231F20"/>
          <w:spacing w:val="10"/>
          <w:sz w:val="20"/>
        </w:rPr>
        <w:t xml:space="preserve"> </w:t>
      </w:r>
      <w:r>
        <w:rPr>
          <w:color w:val="231F20"/>
          <w:sz w:val="20"/>
        </w:rPr>
        <w:t>liquidate</w:t>
      </w:r>
      <w:r>
        <w:rPr>
          <w:color w:val="231F20"/>
          <w:spacing w:val="10"/>
          <w:sz w:val="20"/>
        </w:rPr>
        <w:t xml:space="preserve"> </w:t>
      </w:r>
      <w:r>
        <w:rPr>
          <w:color w:val="231F20"/>
          <w:spacing w:val="1"/>
          <w:sz w:val="20"/>
        </w:rPr>
        <w:t>him,</w:t>
      </w:r>
      <w:r>
        <w:rPr>
          <w:color w:val="231F20"/>
          <w:spacing w:val="10"/>
          <w:sz w:val="20"/>
        </w:rPr>
        <w:t xml:space="preserve"> </w:t>
      </w:r>
      <w:r>
        <w:rPr>
          <w:color w:val="231F20"/>
          <w:sz w:val="20"/>
        </w:rPr>
        <w:t>they</w:t>
      </w:r>
      <w:r>
        <w:rPr>
          <w:color w:val="231F20"/>
          <w:spacing w:val="10"/>
          <w:sz w:val="20"/>
        </w:rPr>
        <w:t xml:space="preserve"> </w:t>
      </w:r>
      <w:r>
        <w:rPr>
          <w:color w:val="231F20"/>
          <w:sz w:val="20"/>
        </w:rPr>
        <w:t>chose</w:t>
      </w:r>
      <w:r>
        <w:rPr>
          <w:color w:val="231F20"/>
          <w:spacing w:val="10"/>
          <w:sz w:val="20"/>
        </w:rPr>
        <w:t xml:space="preserve"> </w:t>
      </w:r>
      <w:r>
        <w:rPr>
          <w:color w:val="231F20"/>
          <w:sz w:val="20"/>
        </w:rPr>
        <w:t>not</w:t>
      </w:r>
      <w:r>
        <w:rPr>
          <w:color w:val="231F20"/>
          <w:spacing w:val="10"/>
          <w:sz w:val="20"/>
        </w:rPr>
        <w:t xml:space="preserve"> </w:t>
      </w:r>
      <w:r>
        <w:rPr>
          <w:color w:val="231F20"/>
          <w:sz w:val="20"/>
        </w:rPr>
        <w:t>to</w:t>
      </w:r>
      <w:r>
        <w:rPr>
          <w:color w:val="231F20"/>
          <w:spacing w:val="10"/>
          <w:sz w:val="20"/>
        </w:rPr>
        <w:t xml:space="preserve"> </w:t>
      </w:r>
      <w:r>
        <w:rPr>
          <w:color w:val="231F20"/>
          <w:sz w:val="20"/>
        </w:rPr>
        <w:t>bring</w:t>
      </w:r>
      <w:r>
        <w:rPr>
          <w:color w:val="231F20"/>
          <w:spacing w:val="10"/>
          <w:sz w:val="20"/>
        </w:rPr>
        <w:t xml:space="preserve"> </w:t>
      </w:r>
      <w:r>
        <w:rPr>
          <w:color w:val="231F20"/>
          <w:sz w:val="20"/>
        </w:rPr>
        <w:t>him</w:t>
      </w:r>
      <w:r>
        <w:rPr>
          <w:color w:val="231F20"/>
          <w:spacing w:val="10"/>
          <w:sz w:val="20"/>
        </w:rPr>
        <w:t xml:space="preserve"> </w:t>
      </w:r>
      <w:r>
        <w:rPr>
          <w:color w:val="231F20"/>
          <w:sz w:val="20"/>
        </w:rPr>
        <w:t>to</w:t>
      </w:r>
      <w:r>
        <w:rPr>
          <w:color w:val="231F20"/>
          <w:spacing w:val="10"/>
          <w:sz w:val="20"/>
        </w:rPr>
        <w:t xml:space="preserve"> </w:t>
      </w:r>
      <w:r>
        <w:rPr>
          <w:color w:val="231F20"/>
          <w:sz w:val="20"/>
        </w:rPr>
        <w:t>a</w:t>
      </w:r>
      <w:r>
        <w:rPr>
          <w:color w:val="231F20"/>
          <w:spacing w:val="10"/>
          <w:sz w:val="20"/>
        </w:rPr>
        <w:t xml:space="preserve"> </w:t>
      </w:r>
      <w:r>
        <w:rPr>
          <w:color w:val="231F20"/>
          <w:sz w:val="20"/>
        </w:rPr>
        <w:t>hospi-</w:t>
      </w:r>
    </w:p>
    <w:p w14:paraId="21F315CD" w14:textId="77777777" w:rsidR="002653E8" w:rsidRDefault="003115E3">
      <w:pPr>
        <w:pStyle w:val="a3"/>
        <w:spacing w:before="3" w:line="261" w:lineRule="auto"/>
        <w:ind w:left="1823" w:right="1325"/>
      </w:pPr>
      <w:r>
        <w:rPr>
          <w:color w:val="231F20"/>
        </w:rPr>
        <w:t>tal, but rather to keep him completely out of the public eye—for example, a visit from his lawyer, which  he  had  demanded— they brought him to Stammheim’s hermetically-sealed hospital ward—where, without qualified medical attention, he died.</w:t>
      </w:r>
    </w:p>
    <w:p w14:paraId="0598284D" w14:textId="77777777" w:rsidR="002653E8" w:rsidRDefault="003115E3">
      <w:pPr>
        <w:pStyle w:val="a4"/>
        <w:numPr>
          <w:ilvl w:val="1"/>
          <w:numId w:val="77"/>
        </w:numPr>
        <w:tabs>
          <w:tab w:val="left" w:pos="1824"/>
        </w:tabs>
        <w:spacing w:before="2" w:line="261" w:lineRule="auto"/>
        <w:ind w:right="1350" w:hanging="240"/>
        <w:rPr>
          <w:sz w:val="20"/>
        </w:rPr>
      </w:pPr>
      <w:r>
        <w:rPr>
          <w:color w:val="231F20"/>
          <w:sz w:val="20"/>
        </w:rPr>
        <w:t xml:space="preserve">Ulrike Meinhof, before the decisive  intervention  in  the  trial, by which the whole doctrine of the show trial was in danger of being turned against the </w:t>
      </w:r>
      <w:r>
        <w:rPr>
          <w:color w:val="231F20"/>
          <w:spacing w:val="-6"/>
          <w:sz w:val="20"/>
        </w:rPr>
        <w:t xml:space="preserve">BAW </w:t>
      </w:r>
      <w:r>
        <w:rPr>
          <w:color w:val="231F20"/>
          <w:sz w:val="20"/>
        </w:rPr>
        <w:t>and the</w:t>
      </w:r>
      <w:r>
        <w:rPr>
          <w:color w:val="231F20"/>
          <w:spacing w:val="7"/>
          <w:sz w:val="20"/>
        </w:rPr>
        <w:t xml:space="preserve"> </w:t>
      </w:r>
      <w:r>
        <w:rPr>
          <w:color w:val="231F20"/>
          <w:sz w:val="20"/>
        </w:rPr>
        <w:t>government.</w:t>
      </w:r>
    </w:p>
    <w:p w14:paraId="394EC8BF" w14:textId="77777777" w:rsidR="002653E8" w:rsidRDefault="002653E8">
      <w:pPr>
        <w:spacing w:line="261" w:lineRule="auto"/>
        <w:rPr>
          <w:sz w:val="20"/>
        </w:rPr>
        <w:sectPr w:rsidR="002653E8">
          <w:pgSz w:w="8640" w:h="12960"/>
          <w:pgMar w:top="1060" w:right="0" w:bottom="1040" w:left="0" w:header="0" w:footer="850" w:gutter="0"/>
          <w:cols w:space="720"/>
        </w:sectPr>
      </w:pPr>
    </w:p>
    <w:p w14:paraId="1E7818C3" w14:textId="77777777" w:rsidR="002653E8" w:rsidRDefault="003115E3">
      <w:pPr>
        <w:pStyle w:val="a3"/>
        <w:spacing w:before="86" w:line="264" w:lineRule="auto"/>
        <w:ind w:left="1147" w:right="1326"/>
        <w:jc w:val="both"/>
      </w:pPr>
      <w:r>
        <w:rPr>
          <w:color w:val="231F20"/>
        </w:rPr>
        <w:lastRenderedPageBreak/>
        <w:t>Since the latest guerilla attack against the U.S. Headquarters in Frankfurt,</w:t>
      </w:r>
      <w:r>
        <w:rPr>
          <w:color w:val="231F20"/>
          <w:position w:val="7"/>
          <w:sz w:val="11"/>
        </w:rPr>
        <w:t xml:space="preserve">1 </w:t>
      </w:r>
      <w:r>
        <w:rPr>
          <w:color w:val="231F20"/>
        </w:rPr>
        <w:t>every day we must be prepared for the possibility that a prisoner may be murdered.</w:t>
      </w:r>
    </w:p>
    <w:p w14:paraId="005AAE5C" w14:textId="77777777" w:rsidR="002653E8" w:rsidRDefault="003115E3">
      <w:pPr>
        <w:pStyle w:val="a3"/>
        <w:spacing w:line="264" w:lineRule="auto"/>
        <w:ind w:left="1147" w:right="1325" w:firstLine="210"/>
        <w:jc w:val="both"/>
      </w:pPr>
      <w:r>
        <w:rPr>
          <w:color w:val="231F20"/>
          <w:spacing w:val="1"/>
        </w:rPr>
        <w:t xml:space="preserve">All </w:t>
      </w:r>
      <w:r>
        <w:rPr>
          <w:color w:val="231F20"/>
        </w:rPr>
        <w:t xml:space="preserve">of the legal proceedings against </w:t>
      </w:r>
      <w:r w:rsidR="00C507A5">
        <w:rPr>
          <w:color w:val="231F20"/>
          <w:spacing w:val="5"/>
        </w:rPr>
        <w:t>red army faction</w:t>
      </w:r>
      <w:r>
        <w:rPr>
          <w:color w:val="231F20"/>
          <w:spacing w:val="5"/>
        </w:rPr>
        <w:t xml:space="preserve"> </w:t>
      </w:r>
      <w:r>
        <w:rPr>
          <w:color w:val="231F20"/>
        </w:rPr>
        <w:t xml:space="preserve">prisoners are part of one single focused operation. The decision of the </w:t>
      </w:r>
      <w:r>
        <w:rPr>
          <w:color w:val="231F20"/>
          <w:spacing w:val="-6"/>
        </w:rPr>
        <w:t xml:space="preserve">BAW </w:t>
      </w:r>
      <w:r>
        <w:rPr>
          <w:color w:val="231F20"/>
        </w:rPr>
        <w:t xml:space="preserve">to organize the tri als separately reflects the information they have. </w:t>
      </w:r>
      <w:r>
        <w:rPr>
          <w:color w:val="231F20"/>
          <w:spacing w:val="1"/>
        </w:rPr>
        <w:t xml:space="preserve">In </w:t>
      </w:r>
      <w:r>
        <w:rPr>
          <w:color w:val="231F20"/>
        </w:rPr>
        <w:t xml:space="preserve">a regional trial, in which the </w:t>
      </w:r>
      <w:r>
        <w:rPr>
          <w:color w:val="231F20"/>
          <w:spacing w:val="-6"/>
        </w:rPr>
        <w:t xml:space="preserve">BAW </w:t>
      </w:r>
      <w:r>
        <w:rPr>
          <w:color w:val="231F20"/>
        </w:rPr>
        <w:t xml:space="preserve">had no business, a former federal prosecutor suddenly appeared to organize the prosecution’s strategy along the lines of the </w:t>
      </w:r>
      <w:r>
        <w:rPr>
          <w:color w:val="231F20"/>
          <w:spacing w:val="-5"/>
        </w:rPr>
        <w:t xml:space="preserve">BAW’s </w:t>
      </w:r>
      <w:r>
        <w:rPr>
          <w:color w:val="231F20"/>
        </w:rPr>
        <w:t>principal guiding function. There is the example of the former Federal Prosecutor Kirsch, who turned the trial in Kaiserslautern into a vehicle</w:t>
      </w:r>
      <w:r>
        <w:rPr>
          <w:color w:val="231F20"/>
          <w:spacing w:val="10"/>
        </w:rPr>
        <w:t xml:space="preserve"> </w:t>
      </w:r>
      <w:r>
        <w:rPr>
          <w:color w:val="231F20"/>
        </w:rPr>
        <w:t>for</w:t>
      </w:r>
      <w:r>
        <w:rPr>
          <w:color w:val="231F20"/>
          <w:spacing w:val="10"/>
        </w:rPr>
        <w:t xml:space="preserve"> </w:t>
      </w:r>
      <w:r>
        <w:rPr>
          <w:color w:val="231F20"/>
        </w:rPr>
        <w:t>the</w:t>
      </w:r>
      <w:r>
        <w:rPr>
          <w:color w:val="231F20"/>
          <w:spacing w:val="10"/>
        </w:rPr>
        <w:t xml:space="preserve"> </w:t>
      </w:r>
      <w:r>
        <w:rPr>
          <w:color w:val="231F20"/>
        </w:rPr>
        <w:t>hate</w:t>
      </w:r>
      <w:r>
        <w:rPr>
          <w:color w:val="231F20"/>
          <w:spacing w:val="10"/>
        </w:rPr>
        <w:t xml:space="preserve"> </w:t>
      </w:r>
      <w:r>
        <w:rPr>
          <w:color w:val="231F20"/>
        </w:rPr>
        <w:t>campaign</w:t>
      </w:r>
      <w:r>
        <w:rPr>
          <w:color w:val="231F20"/>
          <w:spacing w:val="10"/>
        </w:rPr>
        <w:t xml:space="preserve"> </w:t>
      </w:r>
      <w:r>
        <w:rPr>
          <w:color w:val="231F20"/>
        </w:rPr>
        <w:t>against</w:t>
      </w:r>
      <w:r>
        <w:rPr>
          <w:color w:val="231F20"/>
          <w:spacing w:val="11"/>
        </w:rPr>
        <w:t xml:space="preserve"> </w:t>
      </w:r>
      <w:r>
        <w:rPr>
          <w:color w:val="231F20"/>
        </w:rPr>
        <w:t>Andreas.</w:t>
      </w:r>
    </w:p>
    <w:p w14:paraId="31DFB7C5" w14:textId="77777777" w:rsidR="002653E8" w:rsidRDefault="003115E3">
      <w:pPr>
        <w:pStyle w:val="a3"/>
        <w:spacing w:line="264" w:lineRule="auto"/>
        <w:ind w:left="1148" w:right="1326" w:firstLine="210"/>
        <w:jc w:val="both"/>
      </w:pPr>
      <w:r>
        <w:rPr>
          <w:color w:val="231F20"/>
        </w:rPr>
        <w:t>Stammheim’s</w:t>
      </w:r>
      <w:r>
        <w:rPr>
          <w:color w:val="231F20"/>
          <w:spacing w:val="-10"/>
        </w:rPr>
        <w:t xml:space="preserve"> </w:t>
      </w:r>
      <w:r>
        <w:rPr>
          <w:color w:val="231F20"/>
        </w:rPr>
        <w:t>principal</w:t>
      </w:r>
      <w:r>
        <w:rPr>
          <w:color w:val="231F20"/>
          <w:spacing w:val="-10"/>
        </w:rPr>
        <w:t xml:space="preserve"> </w:t>
      </w:r>
      <w:r>
        <w:rPr>
          <w:color w:val="231F20"/>
        </w:rPr>
        <w:t>guiding</w:t>
      </w:r>
      <w:r>
        <w:rPr>
          <w:color w:val="231F20"/>
          <w:spacing w:val="-10"/>
        </w:rPr>
        <w:t xml:space="preserve"> </w:t>
      </w:r>
      <w:r>
        <w:rPr>
          <w:color w:val="231F20"/>
        </w:rPr>
        <w:t>function</w:t>
      </w:r>
      <w:r>
        <w:rPr>
          <w:color w:val="231F20"/>
          <w:spacing w:val="-10"/>
        </w:rPr>
        <w:t xml:space="preserve"> </w:t>
      </w:r>
      <w:r>
        <w:rPr>
          <w:color w:val="231F20"/>
        </w:rPr>
        <w:t>is</w:t>
      </w:r>
      <w:r>
        <w:rPr>
          <w:color w:val="231F20"/>
          <w:spacing w:val="-10"/>
        </w:rPr>
        <w:t xml:space="preserve"> </w:t>
      </w:r>
      <w:r>
        <w:rPr>
          <w:color w:val="231F20"/>
        </w:rPr>
        <w:t>to</w:t>
      </w:r>
      <w:r>
        <w:rPr>
          <w:color w:val="231F20"/>
          <w:spacing w:val="-10"/>
        </w:rPr>
        <w:t xml:space="preserve"> </w:t>
      </w:r>
      <w:r>
        <w:rPr>
          <w:color w:val="231F20"/>
        </w:rPr>
        <w:t>set</w:t>
      </w:r>
      <w:r>
        <w:rPr>
          <w:color w:val="231F20"/>
          <w:spacing w:val="-10"/>
        </w:rPr>
        <w:t xml:space="preserve"> </w:t>
      </w:r>
      <w:r>
        <w:rPr>
          <w:color w:val="231F20"/>
        </w:rPr>
        <w:t>the</w:t>
      </w:r>
      <w:r>
        <w:rPr>
          <w:color w:val="231F20"/>
          <w:spacing w:val="-10"/>
        </w:rPr>
        <w:t xml:space="preserve"> </w:t>
      </w:r>
      <w:r>
        <w:rPr>
          <w:color w:val="231F20"/>
        </w:rPr>
        <w:t>tone</w:t>
      </w:r>
      <w:r>
        <w:rPr>
          <w:color w:val="231F20"/>
          <w:spacing w:val="-10"/>
        </w:rPr>
        <w:t xml:space="preserve"> </w:t>
      </w:r>
      <w:r>
        <w:rPr>
          <w:color w:val="231F20"/>
        </w:rPr>
        <w:t>for</w:t>
      </w:r>
      <w:r>
        <w:rPr>
          <w:color w:val="231F20"/>
          <w:spacing w:val="-10"/>
        </w:rPr>
        <w:t xml:space="preserve"> </w:t>
      </w:r>
      <w:r>
        <w:rPr>
          <w:color w:val="231F20"/>
        </w:rPr>
        <w:t>the</w:t>
      </w:r>
      <w:r>
        <w:rPr>
          <w:color w:val="231F20"/>
          <w:spacing w:val="-10"/>
        </w:rPr>
        <w:t xml:space="preserve"> </w:t>
      </w:r>
      <w:r>
        <w:rPr>
          <w:color w:val="231F20"/>
        </w:rPr>
        <w:t>entire judiciary. The Stammheim measures establish a legal vacuum in which all trials are expected to run smoothly, even those with less propaganda value,</w:t>
      </w:r>
      <w:r>
        <w:rPr>
          <w:color w:val="231F20"/>
          <w:spacing w:val="10"/>
        </w:rPr>
        <w:t xml:space="preserve"> </w:t>
      </w:r>
      <w:r>
        <w:rPr>
          <w:color w:val="231F20"/>
        </w:rPr>
        <w:t>less</w:t>
      </w:r>
      <w:r>
        <w:rPr>
          <w:color w:val="231F20"/>
          <w:spacing w:val="10"/>
        </w:rPr>
        <w:t xml:space="preserve"> </w:t>
      </w:r>
      <w:r>
        <w:rPr>
          <w:color w:val="231F20"/>
        </w:rPr>
        <w:t>manipulation</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facts,</w:t>
      </w:r>
      <w:r>
        <w:rPr>
          <w:color w:val="231F20"/>
          <w:spacing w:val="10"/>
        </w:rPr>
        <w:t xml:space="preserve"> </w:t>
      </w:r>
      <w:r>
        <w:rPr>
          <w:color w:val="231F20"/>
        </w:rPr>
        <w:t>and</w:t>
      </w:r>
      <w:r>
        <w:rPr>
          <w:color w:val="231F20"/>
          <w:spacing w:val="10"/>
        </w:rPr>
        <w:t xml:space="preserve"> </w:t>
      </w:r>
      <w:r>
        <w:rPr>
          <w:color w:val="231F20"/>
        </w:rPr>
        <w:t>less</w:t>
      </w:r>
      <w:r>
        <w:rPr>
          <w:color w:val="231F20"/>
          <w:spacing w:val="10"/>
        </w:rPr>
        <w:t xml:space="preserve"> </w:t>
      </w:r>
      <w:r>
        <w:rPr>
          <w:color w:val="231F20"/>
        </w:rPr>
        <w:t>witness</w:t>
      </w:r>
      <w:r>
        <w:rPr>
          <w:color w:val="231F20"/>
          <w:spacing w:val="10"/>
        </w:rPr>
        <w:t xml:space="preserve"> </w:t>
      </w:r>
      <w:r>
        <w:rPr>
          <w:color w:val="231F20"/>
        </w:rPr>
        <w:t>preparation.</w:t>
      </w:r>
    </w:p>
    <w:p w14:paraId="6E99CAD2" w14:textId="77777777" w:rsidR="002653E8" w:rsidRDefault="003115E3">
      <w:pPr>
        <w:pStyle w:val="a3"/>
        <w:spacing w:line="264" w:lineRule="auto"/>
        <w:ind w:left="1148" w:right="1325" w:firstLine="210"/>
        <w:jc w:val="both"/>
      </w:pPr>
      <w:r>
        <w:rPr>
          <w:color w:val="231F20"/>
        </w:rPr>
        <w:t>The Stammheim measures have a bottom-up effect. The court can  and does proceed with the assumption that the higher authorities will sanction each of its measures. There is no appellate authority. The entire state—a monstrous counterinsurgency machine—stands behind  the</w:t>
      </w:r>
      <w:r>
        <w:rPr>
          <w:color w:val="231F20"/>
          <w:spacing w:val="10"/>
        </w:rPr>
        <w:t xml:space="preserve"> </w:t>
      </w:r>
      <w:r>
        <w:rPr>
          <w:color w:val="231F20"/>
        </w:rPr>
        <w:t>court.</w:t>
      </w:r>
    </w:p>
    <w:p w14:paraId="1D06C2BE" w14:textId="77777777" w:rsidR="002653E8" w:rsidRDefault="003115E3">
      <w:pPr>
        <w:pStyle w:val="a3"/>
        <w:spacing w:line="264" w:lineRule="auto"/>
        <w:ind w:left="1147" w:right="1326" w:firstLine="210"/>
        <w:jc w:val="both"/>
      </w:pPr>
      <w:r>
        <w:rPr>
          <w:color w:val="231F20"/>
        </w:rPr>
        <w:t xml:space="preserve">The prisoners do not deny their responsibility for the </w:t>
      </w:r>
      <w:r w:rsidR="00C507A5">
        <w:rPr>
          <w:color w:val="231F20"/>
          <w:spacing w:val="1"/>
        </w:rPr>
        <w:t>red army faction</w:t>
      </w:r>
      <w:r>
        <w:rPr>
          <w:color w:val="231F20"/>
          <w:spacing w:val="1"/>
        </w:rPr>
        <w:t xml:space="preserve">’s </w:t>
      </w:r>
      <w:r>
        <w:rPr>
          <w:color w:val="231F20"/>
        </w:rPr>
        <w:t xml:space="preserve">attacks against the </w:t>
      </w:r>
      <w:r>
        <w:rPr>
          <w:color w:val="231F20"/>
          <w:spacing w:val="1"/>
        </w:rPr>
        <w:t xml:space="preserve">U.S. </w:t>
      </w:r>
      <w:r>
        <w:rPr>
          <w:color w:val="231F20"/>
        </w:rPr>
        <w:t xml:space="preserve">military installations in the Federal Republic or their policy of using military means against the  </w:t>
      </w:r>
      <w:r>
        <w:rPr>
          <w:color w:val="231F20"/>
          <w:spacing w:val="1"/>
        </w:rPr>
        <w:t xml:space="preserve">U.S. </w:t>
      </w:r>
      <w:r>
        <w:rPr>
          <w:color w:val="231F20"/>
        </w:rPr>
        <w:t xml:space="preserve">genocide  in  Vietnam; not one </w:t>
      </w:r>
      <w:r w:rsidR="00C507A5">
        <w:rPr>
          <w:color w:val="231F20"/>
          <w:spacing w:val="5"/>
        </w:rPr>
        <w:t>red army faction</w:t>
      </w:r>
      <w:r>
        <w:rPr>
          <w:color w:val="231F20"/>
          <w:spacing w:val="5"/>
        </w:rPr>
        <w:t xml:space="preserve"> </w:t>
      </w:r>
      <w:r>
        <w:rPr>
          <w:color w:val="231F20"/>
        </w:rPr>
        <w:t xml:space="preserve">prisoner denies this. The defense  strategy  is  to  expose the role of the Federal Republic as a strategic sub-centre, and the fact that this role is both a necessary condition for and a function of the aggressive human rights violations and the belligerence of the </w:t>
      </w:r>
      <w:r>
        <w:rPr>
          <w:color w:val="231F20"/>
          <w:spacing w:val="1"/>
        </w:rPr>
        <w:t xml:space="preserve">U.S. </w:t>
      </w:r>
      <w:r>
        <w:rPr>
          <w:color w:val="231F20"/>
        </w:rPr>
        <w:t>war machine in</w:t>
      </w:r>
      <w:r>
        <w:rPr>
          <w:color w:val="231F20"/>
          <w:spacing w:val="22"/>
        </w:rPr>
        <w:t xml:space="preserve"> </w:t>
      </w:r>
      <w:r>
        <w:rPr>
          <w:color w:val="231F20"/>
        </w:rPr>
        <w:t>Vietnam.</w:t>
      </w:r>
    </w:p>
    <w:p w14:paraId="2769AE98" w14:textId="77777777" w:rsidR="002653E8" w:rsidRDefault="00000000">
      <w:pPr>
        <w:pStyle w:val="a3"/>
        <w:spacing w:line="264" w:lineRule="auto"/>
        <w:ind w:left="1147" w:right="1325" w:firstLine="210"/>
        <w:jc w:val="both"/>
      </w:pPr>
      <w:r>
        <w:rPr>
          <w:noProof w:val="0"/>
        </w:rPr>
        <w:pict w14:anchorId="4C2503AD">
          <v:line id="_x0000_s2247" style="position:absolute;left:0;text-align:left;z-index:9064;mso-wrap-distance-left:0;mso-wrap-distance-right:0;mso-position-horizontal-relative:page" from="57.4pt,109.85pt" to="129.4pt,109.85pt" strokecolor="#231f20" strokeweight=".5pt">
            <w10:wrap type="topAndBottom" anchorx="page"/>
          </v:line>
        </w:pict>
      </w:r>
      <w:r w:rsidR="003115E3">
        <w:rPr>
          <w:color w:val="231F20"/>
        </w:rPr>
        <w:t xml:space="preserve">The Federal Republic is totally integrated into  </w:t>
      </w:r>
      <w:r w:rsidR="003115E3">
        <w:rPr>
          <w:color w:val="231F20"/>
          <w:spacing w:val="1"/>
        </w:rPr>
        <w:t xml:space="preserve">U.S.  </w:t>
      </w:r>
      <w:r w:rsidR="003115E3">
        <w:rPr>
          <w:color w:val="231F20"/>
        </w:rPr>
        <w:t xml:space="preserve">foreign  policy and military strategy, both actively and </w:t>
      </w:r>
      <w:r w:rsidR="003115E3">
        <w:rPr>
          <w:color w:val="231F20"/>
          <w:spacing w:val="-3"/>
        </w:rPr>
        <w:t xml:space="preserve">passively. </w:t>
      </w:r>
      <w:r w:rsidR="003115E3">
        <w:rPr>
          <w:color w:val="231F20"/>
        </w:rPr>
        <w:t xml:space="preserve">The Federal Republic is a supply base, a training center, a troop transfer point, a centre for  the </w:t>
      </w:r>
      <w:r w:rsidR="003115E3">
        <w:rPr>
          <w:color w:val="231F20"/>
          <w:spacing w:val="1"/>
        </w:rPr>
        <w:t xml:space="preserve">U.S. </w:t>
      </w:r>
      <w:r w:rsidR="003115E3">
        <w:rPr>
          <w:color w:val="231F20"/>
        </w:rPr>
        <w:t xml:space="preserve">electronics and logistics used in Vietnam, a staging point, and rear base area in the war against Vietnam. From this it follows conclusively that, since the failure and disintegration of the opposition to the Vietnam </w:t>
      </w:r>
      <w:r w:rsidR="003115E3">
        <w:rPr>
          <w:color w:val="231F20"/>
          <w:spacing w:val="-3"/>
        </w:rPr>
        <w:t xml:space="preserve">War, </w:t>
      </w:r>
      <w:r w:rsidR="003115E3">
        <w:rPr>
          <w:color w:val="231F20"/>
        </w:rPr>
        <w:t>everyone in the Federal Republic had and has, under human</w:t>
      </w:r>
      <w:r w:rsidR="003115E3">
        <w:rPr>
          <w:color w:val="231F20"/>
          <w:spacing w:val="31"/>
        </w:rPr>
        <w:t xml:space="preserve"> </w:t>
      </w:r>
      <w:r w:rsidR="003115E3">
        <w:rPr>
          <w:color w:val="231F20"/>
        </w:rPr>
        <w:t>rights</w:t>
      </w:r>
      <w:r w:rsidR="003115E3">
        <w:rPr>
          <w:color w:val="231F20"/>
          <w:spacing w:val="31"/>
        </w:rPr>
        <w:t xml:space="preserve"> </w:t>
      </w:r>
      <w:r w:rsidR="003115E3">
        <w:rPr>
          <w:color w:val="231F20"/>
          <w:spacing w:val="-4"/>
        </w:rPr>
        <w:t>law,</w:t>
      </w:r>
      <w:r w:rsidR="003115E3">
        <w:rPr>
          <w:color w:val="231F20"/>
          <w:spacing w:val="31"/>
        </w:rPr>
        <w:t xml:space="preserve"> </w:t>
      </w:r>
      <w:r w:rsidR="003115E3">
        <w:rPr>
          <w:color w:val="231F20"/>
        </w:rPr>
        <w:t>the</w:t>
      </w:r>
      <w:r w:rsidR="003115E3">
        <w:rPr>
          <w:color w:val="231F20"/>
          <w:spacing w:val="31"/>
        </w:rPr>
        <w:t xml:space="preserve"> </w:t>
      </w:r>
      <w:r w:rsidR="003115E3">
        <w:rPr>
          <w:color w:val="231F20"/>
        </w:rPr>
        <w:t>right</w:t>
      </w:r>
      <w:r w:rsidR="003115E3">
        <w:rPr>
          <w:color w:val="231F20"/>
          <w:spacing w:val="31"/>
        </w:rPr>
        <w:t xml:space="preserve"> </w:t>
      </w:r>
      <w:r w:rsidR="003115E3">
        <w:rPr>
          <w:color w:val="231F20"/>
        </w:rPr>
        <w:t>to</w:t>
      </w:r>
      <w:r w:rsidR="003115E3">
        <w:rPr>
          <w:color w:val="231F20"/>
          <w:spacing w:val="31"/>
        </w:rPr>
        <w:t xml:space="preserve"> </w:t>
      </w:r>
      <w:r w:rsidR="003115E3">
        <w:rPr>
          <w:color w:val="231F20"/>
        </w:rPr>
        <w:t>armed</w:t>
      </w:r>
      <w:r w:rsidR="003115E3">
        <w:rPr>
          <w:color w:val="231F20"/>
          <w:spacing w:val="31"/>
        </w:rPr>
        <w:t xml:space="preserve"> </w:t>
      </w:r>
      <w:r w:rsidR="003115E3">
        <w:rPr>
          <w:color w:val="231F20"/>
        </w:rPr>
        <w:t>resistance.</w:t>
      </w:r>
      <w:r w:rsidR="003115E3">
        <w:rPr>
          <w:color w:val="231F20"/>
          <w:spacing w:val="31"/>
        </w:rPr>
        <w:t xml:space="preserve"> </w:t>
      </w:r>
      <w:r w:rsidR="003115E3">
        <w:rPr>
          <w:color w:val="231F20"/>
        </w:rPr>
        <w:t>These</w:t>
      </w:r>
      <w:r w:rsidR="003115E3">
        <w:rPr>
          <w:color w:val="231F20"/>
          <w:spacing w:val="31"/>
        </w:rPr>
        <w:t xml:space="preserve"> </w:t>
      </w:r>
      <w:r w:rsidR="003115E3">
        <w:rPr>
          <w:color w:val="231F20"/>
        </w:rPr>
        <w:t>prisoners</w:t>
      </w:r>
      <w:r w:rsidR="003115E3">
        <w:rPr>
          <w:color w:val="231F20"/>
          <w:spacing w:val="31"/>
        </w:rPr>
        <w:t xml:space="preserve"> </w:t>
      </w:r>
      <w:r w:rsidR="003115E3">
        <w:rPr>
          <w:color w:val="231F20"/>
        </w:rPr>
        <w:t>are</w:t>
      </w:r>
    </w:p>
    <w:p w14:paraId="1C5BC035" w14:textId="77777777" w:rsidR="002653E8" w:rsidRDefault="003115E3">
      <w:pPr>
        <w:spacing w:before="53" w:line="254" w:lineRule="auto"/>
        <w:ind w:left="1147" w:right="1580"/>
        <w:rPr>
          <w:sz w:val="16"/>
        </w:rPr>
      </w:pPr>
      <w:r>
        <w:rPr>
          <w:color w:val="231F20"/>
          <w:w w:val="105"/>
          <w:sz w:val="16"/>
        </w:rPr>
        <w:t xml:space="preserve">1 On June 2, 1976, the Revolutionary Cells  bombed  the  </w:t>
      </w:r>
      <w:r>
        <w:rPr>
          <w:color w:val="231F20"/>
          <w:spacing w:val="1"/>
          <w:w w:val="105"/>
          <w:sz w:val="16"/>
        </w:rPr>
        <w:t xml:space="preserve">U.S. </w:t>
      </w:r>
      <w:r>
        <w:rPr>
          <w:color w:val="231F20"/>
          <w:w w:val="105"/>
          <w:sz w:val="16"/>
        </w:rPr>
        <w:t xml:space="preserve">Army  Headquarters and </w:t>
      </w:r>
      <w:r>
        <w:rPr>
          <w:color w:val="231F20"/>
          <w:spacing w:val="1"/>
          <w:w w:val="105"/>
          <w:sz w:val="16"/>
        </w:rPr>
        <w:t xml:space="preserve">U.S. </w:t>
      </w:r>
      <w:r>
        <w:rPr>
          <w:color w:val="231F20"/>
          <w:w w:val="105"/>
          <w:sz w:val="16"/>
        </w:rPr>
        <w:t xml:space="preserve">Officers’ Club in </w:t>
      </w:r>
      <w:r>
        <w:rPr>
          <w:color w:val="231F20"/>
          <w:spacing w:val="1"/>
          <w:w w:val="105"/>
          <w:sz w:val="16"/>
        </w:rPr>
        <w:t xml:space="preserve">Frankfurt, carrying </w:t>
      </w:r>
      <w:r>
        <w:rPr>
          <w:color w:val="231F20"/>
          <w:w w:val="105"/>
          <w:sz w:val="16"/>
        </w:rPr>
        <w:t xml:space="preserve">out the  attack  under  the  banner  of the “Ulrike Meinhof Commando.” That same day, two fully loaded </w:t>
      </w:r>
      <w:r>
        <w:rPr>
          <w:color w:val="231F20"/>
          <w:spacing w:val="1"/>
          <w:w w:val="105"/>
          <w:sz w:val="16"/>
        </w:rPr>
        <w:t xml:space="preserve">military </w:t>
      </w:r>
      <w:r>
        <w:rPr>
          <w:color w:val="231F20"/>
          <w:w w:val="105"/>
          <w:sz w:val="16"/>
        </w:rPr>
        <w:t xml:space="preserve">trucks   </w:t>
      </w:r>
      <w:r>
        <w:rPr>
          <w:color w:val="231F20"/>
          <w:spacing w:val="35"/>
          <w:w w:val="105"/>
          <w:sz w:val="16"/>
        </w:rPr>
        <w:t xml:space="preserve"> </w:t>
      </w:r>
      <w:r>
        <w:rPr>
          <w:color w:val="231F20"/>
          <w:w w:val="105"/>
          <w:sz w:val="16"/>
        </w:rPr>
        <w:t>at</w:t>
      </w:r>
      <w:r>
        <w:rPr>
          <w:color w:val="231F20"/>
          <w:spacing w:val="7"/>
          <w:w w:val="105"/>
          <w:sz w:val="16"/>
        </w:rPr>
        <w:t xml:space="preserve"> </w:t>
      </w:r>
      <w:r>
        <w:rPr>
          <w:color w:val="231F20"/>
          <w:w w:val="105"/>
          <w:sz w:val="16"/>
        </w:rPr>
        <w:t>a</w:t>
      </w:r>
      <w:r>
        <w:rPr>
          <w:color w:val="231F20"/>
          <w:spacing w:val="7"/>
          <w:w w:val="105"/>
          <w:sz w:val="16"/>
        </w:rPr>
        <w:t xml:space="preserve"> </w:t>
      </w:r>
      <w:r>
        <w:rPr>
          <w:color w:val="231F20"/>
          <w:spacing w:val="1"/>
          <w:w w:val="105"/>
          <w:sz w:val="16"/>
        </w:rPr>
        <w:t>U.S.</w:t>
      </w:r>
      <w:r>
        <w:rPr>
          <w:color w:val="231F20"/>
          <w:spacing w:val="7"/>
          <w:w w:val="105"/>
          <w:sz w:val="16"/>
        </w:rPr>
        <w:t xml:space="preserve"> </w:t>
      </w:r>
      <w:r>
        <w:rPr>
          <w:color w:val="231F20"/>
          <w:w w:val="105"/>
          <w:sz w:val="16"/>
        </w:rPr>
        <w:t>airbase</w:t>
      </w:r>
      <w:r>
        <w:rPr>
          <w:color w:val="231F20"/>
          <w:spacing w:val="7"/>
          <w:w w:val="105"/>
          <w:sz w:val="16"/>
        </w:rPr>
        <w:t xml:space="preserve"> </w:t>
      </w:r>
      <w:r>
        <w:rPr>
          <w:color w:val="231F20"/>
          <w:w w:val="105"/>
          <w:sz w:val="16"/>
        </w:rPr>
        <w:t>were</w:t>
      </w:r>
      <w:r>
        <w:rPr>
          <w:color w:val="231F20"/>
          <w:spacing w:val="7"/>
          <w:w w:val="105"/>
          <w:sz w:val="16"/>
        </w:rPr>
        <w:t xml:space="preserve"> </w:t>
      </w:r>
      <w:r>
        <w:rPr>
          <w:color w:val="231F20"/>
          <w:w w:val="105"/>
          <w:sz w:val="16"/>
        </w:rPr>
        <w:t>blown</w:t>
      </w:r>
      <w:r>
        <w:rPr>
          <w:color w:val="231F20"/>
          <w:spacing w:val="7"/>
          <w:w w:val="105"/>
          <w:sz w:val="16"/>
        </w:rPr>
        <w:t xml:space="preserve"> </w:t>
      </w:r>
      <w:r>
        <w:rPr>
          <w:color w:val="231F20"/>
          <w:w w:val="105"/>
          <w:sz w:val="16"/>
        </w:rPr>
        <w:t>up</w:t>
      </w:r>
      <w:r>
        <w:rPr>
          <w:color w:val="231F20"/>
          <w:spacing w:val="7"/>
          <w:w w:val="105"/>
          <w:sz w:val="16"/>
        </w:rPr>
        <w:t xml:space="preserve"> </w:t>
      </w:r>
      <w:r>
        <w:rPr>
          <w:color w:val="231F20"/>
          <w:w w:val="105"/>
          <w:sz w:val="16"/>
        </w:rPr>
        <w:t>just</w:t>
      </w:r>
      <w:r>
        <w:rPr>
          <w:color w:val="231F20"/>
          <w:spacing w:val="7"/>
          <w:w w:val="105"/>
          <w:sz w:val="16"/>
        </w:rPr>
        <w:t xml:space="preserve"> </w:t>
      </w:r>
      <w:r>
        <w:rPr>
          <w:color w:val="231F20"/>
          <w:w w:val="105"/>
          <w:sz w:val="16"/>
        </w:rPr>
        <w:t>outside</w:t>
      </w:r>
      <w:r>
        <w:rPr>
          <w:color w:val="231F20"/>
          <w:spacing w:val="7"/>
          <w:w w:val="105"/>
          <w:sz w:val="16"/>
        </w:rPr>
        <w:t xml:space="preserve"> </w:t>
      </w:r>
      <w:r>
        <w:rPr>
          <w:color w:val="231F20"/>
          <w:w w:val="105"/>
          <w:sz w:val="16"/>
        </w:rPr>
        <w:t>of</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city.</w:t>
      </w:r>
    </w:p>
    <w:p w14:paraId="06E97392" w14:textId="77777777" w:rsidR="002653E8" w:rsidRDefault="002653E8">
      <w:pPr>
        <w:spacing w:line="254" w:lineRule="auto"/>
        <w:rPr>
          <w:sz w:val="16"/>
        </w:rPr>
        <w:sectPr w:rsidR="002653E8">
          <w:footerReference w:type="even" r:id="rId355"/>
          <w:footerReference w:type="default" r:id="rId356"/>
          <w:pgSz w:w="8640" w:h="12960"/>
          <w:pgMar w:top="1060" w:right="0" w:bottom="1040" w:left="0" w:header="0" w:footer="850" w:gutter="0"/>
          <w:cols w:space="720"/>
        </w:sectPr>
      </w:pPr>
    </w:p>
    <w:p w14:paraId="45035200" w14:textId="77777777" w:rsidR="002653E8" w:rsidRDefault="003115E3">
      <w:pPr>
        <w:pStyle w:val="a3"/>
        <w:spacing w:before="86" w:line="264" w:lineRule="auto"/>
        <w:ind w:left="1328" w:right="1145" w:hanging="1"/>
        <w:jc w:val="both"/>
      </w:pPr>
      <w:r>
        <w:rPr>
          <w:color w:val="231F20"/>
        </w:rPr>
        <w:lastRenderedPageBreak/>
        <w:t>prisoners of war. Furthermore, when all means of protest against isolation torture available within this state have been exhausted, we must do what is necessary so that the prisoners are recognized as prisoners of war by the United Nations and the International Red Cross, and that,     as a result, the prison conditions established in the Geneva Convention are</w:t>
      </w:r>
      <w:r>
        <w:rPr>
          <w:color w:val="231F20"/>
          <w:spacing w:val="10"/>
        </w:rPr>
        <w:t xml:space="preserve"> </w:t>
      </w:r>
      <w:r>
        <w:rPr>
          <w:color w:val="231F20"/>
        </w:rPr>
        <w:t>applied.</w:t>
      </w:r>
    </w:p>
    <w:p w14:paraId="2B6D990D" w14:textId="77777777" w:rsidR="002653E8" w:rsidRDefault="003115E3">
      <w:pPr>
        <w:pStyle w:val="a3"/>
        <w:spacing w:line="264" w:lineRule="auto"/>
        <w:ind w:left="1327" w:right="1145" w:firstLine="210"/>
        <w:jc w:val="both"/>
      </w:pPr>
      <w:r>
        <w:rPr>
          <w:color w:val="231F20"/>
        </w:rPr>
        <w:t xml:space="preserve">Naturally, the prisoners don’t deny that they were and are organized in the </w:t>
      </w:r>
      <w:r w:rsidR="00C507A5">
        <w:rPr>
          <w:color w:val="231F20"/>
        </w:rPr>
        <w:t>red army faction</w:t>
      </w:r>
      <w:r>
        <w:rPr>
          <w:color w:val="231F20"/>
        </w:rPr>
        <w:t xml:space="preserve">, that they have struggled and still struggle as part of the </w:t>
      </w:r>
      <w:r w:rsidR="00C507A5">
        <w:rPr>
          <w:color w:val="231F20"/>
        </w:rPr>
        <w:t>red army faction</w:t>
      </w:r>
      <w:r>
        <w:rPr>
          <w:color w:val="231F20"/>
        </w:rPr>
        <w:t>—if one can put it that way at this point—and that they have contributed to its analysis and strategy both conceptually and in practice.</w:t>
      </w:r>
    </w:p>
    <w:p w14:paraId="26955367" w14:textId="77777777" w:rsidR="002653E8" w:rsidRDefault="003115E3">
      <w:pPr>
        <w:pStyle w:val="a3"/>
        <w:spacing w:line="264" w:lineRule="auto"/>
        <w:ind w:left="1328" w:right="1145" w:firstLine="210"/>
        <w:jc w:val="both"/>
      </w:pPr>
      <w:r>
        <w:rPr>
          <w:color w:val="231F20"/>
        </w:rPr>
        <w:t xml:space="preserve">What the national security state hopes to achieve with Stammheim, false witnesses, the manipulation of files, and the totally obscure charges—because “joint responsibility” does not exist in the Criminal Code here—is a blatantly farcical conviction, in which the true dimensions of the confrontation are meant to be overshadowed by proving concrete participation in the actions. The goal of neutralizing the politics of the conflict in an underwater ballet of thousands of </w:t>
      </w:r>
      <w:r>
        <w:rPr>
          <w:color w:val="231F20"/>
          <w:spacing w:val="2"/>
        </w:rPr>
        <w:t xml:space="preserve">BKA </w:t>
      </w:r>
      <w:r>
        <w:rPr>
          <w:color w:val="231F20"/>
        </w:rPr>
        <w:t>experts is also, therefore, absurd, because, given the documents and the facts that</w:t>
      </w:r>
      <w:r>
        <w:rPr>
          <w:color w:val="231F20"/>
          <w:spacing w:val="11"/>
        </w:rPr>
        <w:t xml:space="preserve"> </w:t>
      </w:r>
      <w:r>
        <w:rPr>
          <w:color w:val="231F20"/>
        </w:rPr>
        <w:t>are</w:t>
      </w:r>
      <w:r>
        <w:rPr>
          <w:color w:val="231F20"/>
          <w:spacing w:val="11"/>
        </w:rPr>
        <w:t xml:space="preserve"> </w:t>
      </w:r>
      <w:r>
        <w:rPr>
          <w:color w:val="231F20"/>
        </w:rPr>
        <w:t>known</w:t>
      </w:r>
      <w:r>
        <w:rPr>
          <w:color w:val="231F20"/>
          <w:spacing w:val="11"/>
        </w:rPr>
        <w:t xml:space="preserve"> </w:t>
      </w:r>
      <w:r>
        <w:rPr>
          <w:color w:val="231F20"/>
        </w:rPr>
        <w:t>to</w:t>
      </w:r>
      <w:r>
        <w:rPr>
          <w:color w:val="231F20"/>
          <w:spacing w:val="11"/>
        </w:rPr>
        <w:t xml:space="preserve"> </w:t>
      </w:r>
      <w:r>
        <w:rPr>
          <w:color w:val="231F20"/>
        </w:rPr>
        <w:t>us,</w:t>
      </w:r>
      <w:r>
        <w:rPr>
          <w:color w:val="231F20"/>
          <w:spacing w:val="11"/>
        </w:rPr>
        <w:t xml:space="preserve"> </w:t>
      </w:r>
      <w:r>
        <w:rPr>
          <w:color w:val="231F20"/>
        </w:rPr>
        <w:t>no</w:t>
      </w:r>
      <w:r>
        <w:rPr>
          <w:color w:val="231F20"/>
          <w:spacing w:val="11"/>
        </w:rPr>
        <w:t xml:space="preserve"> </w:t>
      </w:r>
      <w:r>
        <w:rPr>
          <w:color w:val="231F20"/>
        </w:rPr>
        <w:t>criminal</w:t>
      </w:r>
      <w:r>
        <w:rPr>
          <w:color w:val="231F20"/>
          <w:spacing w:val="11"/>
        </w:rPr>
        <w:t xml:space="preserve"> </w:t>
      </w:r>
      <w:r>
        <w:rPr>
          <w:color w:val="231F20"/>
        </w:rPr>
        <w:t>indictments</w:t>
      </w:r>
      <w:r>
        <w:rPr>
          <w:color w:val="231F20"/>
          <w:spacing w:val="11"/>
        </w:rPr>
        <w:t xml:space="preserve"> </w:t>
      </w:r>
      <w:r>
        <w:rPr>
          <w:color w:val="231F20"/>
        </w:rPr>
        <w:t>are</w:t>
      </w:r>
      <w:r>
        <w:rPr>
          <w:color w:val="231F20"/>
          <w:spacing w:val="11"/>
        </w:rPr>
        <w:t xml:space="preserve"> </w:t>
      </w:r>
      <w:r>
        <w:rPr>
          <w:color w:val="231F20"/>
        </w:rPr>
        <w:t>possible.</w:t>
      </w:r>
    </w:p>
    <w:p w14:paraId="49AD5B6D" w14:textId="77777777" w:rsidR="002653E8" w:rsidRDefault="003115E3">
      <w:pPr>
        <w:pStyle w:val="a3"/>
        <w:spacing w:line="264" w:lineRule="auto"/>
        <w:ind w:left="1327" w:right="1145" w:firstLine="210"/>
        <w:jc w:val="both"/>
      </w:pPr>
      <w:r>
        <w:rPr>
          <w:color w:val="231F20"/>
        </w:rPr>
        <w:t xml:space="preserve">Because the conflict is political, the state insists on understanding it in military terms: the moral, psychological, and physical extermination of “the enemy”—as Prinzing once let slip—at the level of criminalistics. What would be best in the view of the </w:t>
      </w:r>
      <w:r>
        <w:rPr>
          <w:color w:val="231F20"/>
          <w:spacing w:val="-6"/>
        </w:rPr>
        <w:t xml:space="preserve">BAW </w:t>
      </w:r>
      <w:r>
        <w:rPr>
          <w:color w:val="231F20"/>
        </w:rPr>
        <w:t xml:space="preserve">would be one big high treason trial against all </w:t>
      </w:r>
      <w:r w:rsidR="00C507A5">
        <w:rPr>
          <w:color w:val="231F20"/>
          <w:spacing w:val="5"/>
        </w:rPr>
        <w:t>red army faction</w:t>
      </w:r>
      <w:r>
        <w:rPr>
          <w:color w:val="231F20"/>
          <w:spacing w:val="5"/>
        </w:rPr>
        <w:t xml:space="preserve"> </w:t>
      </w:r>
      <w:r>
        <w:rPr>
          <w:color w:val="231F20"/>
        </w:rPr>
        <w:t>prisoners. The clichéd elements of high treason—threatening the existence of the Federal Republic and its constitutional order by violence or threat of violence—are present in all the court decrees, charges, etc. against this group. But to do so would mean admitting that there exists fundamental political opposition within the Federal Republic and that revolutionary politics are possible even in this</w:t>
      </w:r>
      <w:r>
        <w:rPr>
          <w:color w:val="231F20"/>
          <w:spacing w:val="10"/>
        </w:rPr>
        <w:t xml:space="preserve"> </w:t>
      </w:r>
      <w:r>
        <w:rPr>
          <w:color w:val="231F20"/>
        </w:rPr>
        <w:t>state.</w:t>
      </w:r>
    </w:p>
    <w:p w14:paraId="4FCAE485" w14:textId="017BBC3E" w:rsidR="002653E8" w:rsidRDefault="003115E3" w:rsidP="005C3D1F">
      <w:pPr>
        <w:pStyle w:val="a3"/>
        <w:spacing w:line="264" w:lineRule="auto"/>
        <w:ind w:left="1327" w:right="1146" w:firstLine="210"/>
        <w:jc w:val="both"/>
      </w:pPr>
      <w:r>
        <w:rPr>
          <w:color w:val="231F20"/>
        </w:rPr>
        <w:t xml:space="preserve">That would not fit into the concept developed by social democracy. Their plan is to “quietly” and “decisively” maintain that the State of Emergency is the “normal state of affairs,” and they do this by all manner of manipulation, psychological warfare, repression, control, registration, police penetration of society and its social neutralization, and covert police actions. The normal state of affairs in the Federal Republic should be one in which there is no opposition to the presence of the </w:t>
      </w:r>
      <w:r>
        <w:rPr>
          <w:color w:val="231F20"/>
          <w:spacing w:val="1"/>
        </w:rPr>
        <w:t xml:space="preserve">U.S. </w:t>
      </w:r>
      <w:r>
        <w:rPr>
          <w:color w:val="231F20"/>
        </w:rPr>
        <w:t xml:space="preserve">military machine, </w:t>
      </w:r>
      <w:r>
        <w:rPr>
          <w:color w:val="231F20"/>
          <w:spacing w:val="1"/>
        </w:rPr>
        <w:t xml:space="preserve">U.S. </w:t>
      </w:r>
      <w:r>
        <w:rPr>
          <w:color w:val="231F20"/>
        </w:rPr>
        <w:t xml:space="preserve">capital, the state, or social democracy. That is wishful thinking, given that the </w:t>
      </w:r>
      <w:r w:rsidR="00C507A5">
        <w:rPr>
          <w:color w:val="231F20"/>
          <w:spacing w:val="5"/>
        </w:rPr>
        <w:t>red army faction</w:t>
      </w:r>
      <w:r>
        <w:rPr>
          <w:color w:val="231F20"/>
          <w:spacing w:val="5"/>
        </w:rPr>
        <w:t xml:space="preserve"> </w:t>
      </w:r>
      <w:r>
        <w:rPr>
          <w:color w:val="231F20"/>
        </w:rPr>
        <w:t xml:space="preserve">is a result of the politicization of  the Vietnam opposition and of the </w:t>
      </w:r>
      <w:r>
        <w:rPr>
          <w:color w:val="231F20"/>
        </w:rPr>
        <w:lastRenderedPageBreak/>
        <w:t>proletarianization and</w:t>
      </w:r>
      <w:r>
        <w:rPr>
          <w:color w:val="231F20"/>
          <w:spacing w:val="42"/>
        </w:rPr>
        <w:t xml:space="preserve"> </w:t>
      </w:r>
      <w:r>
        <w:rPr>
          <w:color w:val="231F20"/>
        </w:rPr>
        <w:t>declassing</w:t>
      </w:r>
      <w:r w:rsidR="005C3D1F">
        <w:rPr>
          <w:color w:val="231F20"/>
        </w:rPr>
        <w:t xml:space="preserve"> </w:t>
      </w:r>
      <w:r>
        <w:rPr>
          <w:color w:val="231F20"/>
        </w:rPr>
        <w:t>that occurred in the 60s, and which led to an offensive break with the legality of the imperialist state.</w:t>
      </w:r>
    </w:p>
    <w:p w14:paraId="35ADA200" w14:textId="77777777" w:rsidR="002653E8" w:rsidRDefault="003115E3">
      <w:pPr>
        <w:pStyle w:val="a3"/>
        <w:spacing w:line="264" w:lineRule="auto"/>
        <w:ind w:left="1147" w:right="1326" w:firstLine="210"/>
        <w:jc w:val="both"/>
      </w:pPr>
      <w:r>
        <w:rPr>
          <w:color w:val="231F20"/>
          <w:w w:val="105"/>
        </w:rPr>
        <w:t>Stammheim, where a mass of falsified and fabricated criminal details</w:t>
      </w:r>
      <w:r>
        <w:rPr>
          <w:color w:val="231F20"/>
          <w:spacing w:val="-17"/>
          <w:w w:val="105"/>
        </w:rPr>
        <w:t xml:space="preserve"> </w:t>
      </w:r>
      <w:r>
        <w:rPr>
          <w:color w:val="231F20"/>
          <w:w w:val="105"/>
        </w:rPr>
        <w:t>are</w:t>
      </w:r>
      <w:r>
        <w:rPr>
          <w:color w:val="231F20"/>
          <w:spacing w:val="-17"/>
          <w:w w:val="105"/>
        </w:rPr>
        <w:t xml:space="preserve"> </w:t>
      </w:r>
      <w:r>
        <w:rPr>
          <w:color w:val="231F20"/>
          <w:w w:val="105"/>
        </w:rPr>
        <w:t>meant</w:t>
      </w:r>
      <w:r>
        <w:rPr>
          <w:color w:val="231F20"/>
          <w:spacing w:val="-17"/>
          <w:w w:val="105"/>
        </w:rPr>
        <w:t xml:space="preserve"> </w:t>
      </w:r>
      <w:r>
        <w:rPr>
          <w:color w:val="231F20"/>
          <w:w w:val="105"/>
        </w:rPr>
        <w:t>to</w:t>
      </w:r>
      <w:r>
        <w:rPr>
          <w:color w:val="231F20"/>
          <w:spacing w:val="-17"/>
          <w:w w:val="105"/>
        </w:rPr>
        <w:t xml:space="preserve"> </w:t>
      </w:r>
      <w:r>
        <w:rPr>
          <w:color w:val="231F20"/>
          <w:w w:val="105"/>
        </w:rPr>
        <w:t>undermine</w:t>
      </w:r>
      <w:r>
        <w:rPr>
          <w:color w:val="231F20"/>
          <w:spacing w:val="-17"/>
          <w:w w:val="105"/>
        </w:rPr>
        <w:t xml:space="preserve"> </w:t>
      </w:r>
      <w:r>
        <w:rPr>
          <w:color w:val="231F20"/>
          <w:w w:val="105"/>
        </w:rPr>
        <w:t>the</w:t>
      </w:r>
      <w:r>
        <w:rPr>
          <w:color w:val="231F20"/>
          <w:spacing w:val="-17"/>
          <w:w w:val="105"/>
        </w:rPr>
        <w:t xml:space="preserve"> </w:t>
      </w:r>
      <w:r>
        <w:rPr>
          <w:color w:val="231F20"/>
          <w:w w:val="105"/>
        </w:rPr>
        <w:t>political</w:t>
      </w:r>
      <w:r>
        <w:rPr>
          <w:color w:val="231F20"/>
          <w:spacing w:val="-17"/>
          <w:w w:val="105"/>
        </w:rPr>
        <w:t xml:space="preserve"> </w:t>
      </w:r>
      <w:r>
        <w:rPr>
          <w:color w:val="231F20"/>
          <w:w w:val="105"/>
        </w:rPr>
        <w:t>content</w:t>
      </w:r>
      <w:r>
        <w:rPr>
          <w:color w:val="231F20"/>
          <w:spacing w:val="-17"/>
          <w:w w:val="105"/>
        </w:rPr>
        <w:t xml:space="preserve"> </w:t>
      </w:r>
      <w:r>
        <w:rPr>
          <w:color w:val="231F20"/>
          <w:w w:val="105"/>
        </w:rPr>
        <w:t>of</w:t>
      </w:r>
      <w:r>
        <w:rPr>
          <w:color w:val="231F20"/>
          <w:spacing w:val="-17"/>
          <w:w w:val="105"/>
        </w:rPr>
        <w:t xml:space="preserve"> </w:t>
      </w:r>
      <w:r>
        <w:rPr>
          <w:color w:val="231F20"/>
          <w:w w:val="105"/>
        </w:rPr>
        <w:t>the</w:t>
      </w:r>
      <w:r>
        <w:rPr>
          <w:color w:val="231F20"/>
          <w:spacing w:val="-17"/>
          <w:w w:val="105"/>
        </w:rPr>
        <w:t xml:space="preserve"> </w:t>
      </w:r>
      <w:r>
        <w:rPr>
          <w:color w:val="231F20"/>
          <w:w w:val="105"/>
        </w:rPr>
        <w:t>confrontation, makes it clear what the issue is in the Federal Republic: fascism. The filthy,</w:t>
      </w:r>
      <w:r>
        <w:rPr>
          <w:color w:val="231F20"/>
          <w:spacing w:val="-7"/>
          <w:w w:val="105"/>
        </w:rPr>
        <w:t xml:space="preserve"> </w:t>
      </w:r>
      <w:r>
        <w:rPr>
          <w:color w:val="231F20"/>
          <w:w w:val="105"/>
        </w:rPr>
        <w:t>old</w:t>
      </w:r>
      <w:r>
        <w:rPr>
          <w:color w:val="231F20"/>
          <w:spacing w:val="-7"/>
          <w:w w:val="105"/>
        </w:rPr>
        <w:t xml:space="preserve"> </w:t>
      </w:r>
      <w:r>
        <w:rPr>
          <w:color w:val="231F20"/>
          <w:w w:val="105"/>
        </w:rPr>
        <w:t>political</w:t>
      </w:r>
      <w:r>
        <w:rPr>
          <w:color w:val="231F20"/>
          <w:spacing w:val="-7"/>
          <w:w w:val="105"/>
        </w:rPr>
        <w:t xml:space="preserve"> </w:t>
      </w:r>
      <w:r>
        <w:rPr>
          <w:color w:val="231F20"/>
          <w:w w:val="105"/>
        </w:rPr>
        <w:t>machine</w:t>
      </w:r>
      <w:r>
        <w:rPr>
          <w:color w:val="231F20"/>
          <w:spacing w:val="-7"/>
          <w:w w:val="105"/>
        </w:rPr>
        <w:t xml:space="preserve"> </w:t>
      </w:r>
      <w:r>
        <w:rPr>
          <w:color w:val="231F20"/>
          <w:w w:val="105"/>
        </w:rPr>
        <w:t>we</w:t>
      </w:r>
      <w:r>
        <w:rPr>
          <w:color w:val="231F20"/>
          <w:spacing w:val="-7"/>
          <w:w w:val="105"/>
        </w:rPr>
        <w:t xml:space="preserve"> </w:t>
      </w:r>
      <w:r>
        <w:rPr>
          <w:color w:val="231F20"/>
          <w:w w:val="105"/>
        </w:rPr>
        <w:t>know</w:t>
      </w:r>
      <w:r>
        <w:rPr>
          <w:color w:val="231F20"/>
          <w:spacing w:val="-7"/>
          <w:w w:val="105"/>
        </w:rPr>
        <w:t xml:space="preserve"> </w:t>
      </w:r>
      <w:r>
        <w:rPr>
          <w:color w:val="231F20"/>
          <w:w w:val="105"/>
        </w:rPr>
        <w:t>so</w:t>
      </w:r>
      <w:r>
        <w:rPr>
          <w:color w:val="231F20"/>
          <w:spacing w:val="-7"/>
          <w:w w:val="105"/>
        </w:rPr>
        <w:t xml:space="preserve"> </w:t>
      </w:r>
      <w:r>
        <w:rPr>
          <w:color w:val="231F20"/>
          <w:w w:val="105"/>
        </w:rPr>
        <w:t>well,</w:t>
      </w:r>
      <w:r>
        <w:rPr>
          <w:color w:val="231F20"/>
          <w:spacing w:val="-7"/>
          <w:w w:val="105"/>
        </w:rPr>
        <w:t xml:space="preserve"> </w:t>
      </w:r>
      <w:r>
        <w:rPr>
          <w:color w:val="231F20"/>
          <w:w w:val="105"/>
        </w:rPr>
        <w:t>in</w:t>
      </w:r>
      <w:r>
        <w:rPr>
          <w:color w:val="231F20"/>
          <w:spacing w:val="-7"/>
          <w:w w:val="105"/>
        </w:rPr>
        <w:t xml:space="preserve"> </w:t>
      </w:r>
      <w:r>
        <w:rPr>
          <w:color w:val="231F20"/>
          <w:w w:val="105"/>
        </w:rPr>
        <w:t>a</w:t>
      </w:r>
      <w:r>
        <w:rPr>
          <w:color w:val="231F20"/>
          <w:spacing w:val="-7"/>
          <w:w w:val="105"/>
        </w:rPr>
        <w:t xml:space="preserve"> </w:t>
      </w:r>
      <w:r>
        <w:rPr>
          <w:color w:val="231F20"/>
          <w:w w:val="105"/>
        </w:rPr>
        <w:t>new</w:t>
      </w:r>
      <w:r>
        <w:rPr>
          <w:color w:val="231F20"/>
          <w:spacing w:val="-7"/>
          <w:w w:val="105"/>
        </w:rPr>
        <w:t xml:space="preserve"> </w:t>
      </w:r>
      <w:r>
        <w:rPr>
          <w:color w:val="231F20"/>
          <w:w w:val="105"/>
        </w:rPr>
        <w:t>and</w:t>
      </w:r>
      <w:r>
        <w:rPr>
          <w:color w:val="231F20"/>
          <w:spacing w:val="-7"/>
          <w:w w:val="105"/>
        </w:rPr>
        <w:t xml:space="preserve"> </w:t>
      </w:r>
      <w:r>
        <w:rPr>
          <w:color w:val="231F20"/>
          <w:w w:val="105"/>
        </w:rPr>
        <w:t>more</w:t>
      </w:r>
      <w:r>
        <w:rPr>
          <w:color w:val="231F20"/>
          <w:spacing w:val="-7"/>
          <w:w w:val="105"/>
        </w:rPr>
        <w:t xml:space="preserve"> </w:t>
      </w:r>
      <w:r>
        <w:rPr>
          <w:color w:val="231F20"/>
          <w:w w:val="105"/>
        </w:rPr>
        <w:t>monstrous</w:t>
      </w:r>
      <w:r>
        <w:rPr>
          <w:color w:val="231F20"/>
          <w:spacing w:val="-14"/>
          <w:w w:val="105"/>
        </w:rPr>
        <w:t xml:space="preserve"> </w:t>
      </w:r>
      <w:r>
        <w:rPr>
          <w:color w:val="231F20"/>
          <w:w w:val="105"/>
        </w:rPr>
        <w:t>form—no</w:t>
      </w:r>
      <w:r>
        <w:rPr>
          <w:color w:val="231F20"/>
          <w:spacing w:val="-14"/>
          <w:w w:val="105"/>
        </w:rPr>
        <w:t xml:space="preserve"> </w:t>
      </w:r>
      <w:r>
        <w:rPr>
          <w:color w:val="231F20"/>
          <w:w w:val="105"/>
        </w:rPr>
        <w:t>longer</w:t>
      </w:r>
      <w:r>
        <w:rPr>
          <w:color w:val="231F20"/>
          <w:spacing w:val="-14"/>
          <w:w w:val="105"/>
        </w:rPr>
        <w:t xml:space="preserve"> </w:t>
      </w:r>
      <w:r>
        <w:rPr>
          <w:color w:val="231F20"/>
          <w:w w:val="105"/>
        </w:rPr>
        <w:t>as</w:t>
      </w:r>
      <w:r>
        <w:rPr>
          <w:color w:val="231F20"/>
          <w:spacing w:val="-14"/>
          <w:w w:val="105"/>
        </w:rPr>
        <w:t xml:space="preserve"> </w:t>
      </w:r>
      <w:r>
        <w:rPr>
          <w:color w:val="231F20"/>
          <w:w w:val="105"/>
        </w:rPr>
        <w:t>a</w:t>
      </w:r>
      <w:r>
        <w:rPr>
          <w:color w:val="231F20"/>
          <w:spacing w:val="-14"/>
          <w:w w:val="105"/>
        </w:rPr>
        <w:t xml:space="preserve"> </w:t>
      </w:r>
      <w:r>
        <w:rPr>
          <w:color w:val="231F20"/>
          <w:w w:val="105"/>
        </w:rPr>
        <w:t>function</w:t>
      </w:r>
      <w:r>
        <w:rPr>
          <w:color w:val="231F20"/>
          <w:spacing w:val="-14"/>
          <w:w w:val="105"/>
        </w:rPr>
        <w:t xml:space="preserve"> </w:t>
      </w:r>
      <w:r>
        <w:rPr>
          <w:color w:val="231F20"/>
          <w:w w:val="105"/>
        </w:rPr>
        <w:t>of</w:t>
      </w:r>
      <w:r>
        <w:rPr>
          <w:color w:val="231F20"/>
          <w:spacing w:val="-14"/>
          <w:w w:val="105"/>
        </w:rPr>
        <w:t xml:space="preserve"> </w:t>
      </w:r>
      <w:r>
        <w:rPr>
          <w:color w:val="231F20"/>
          <w:w w:val="105"/>
        </w:rPr>
        <w:t>national</w:t>
      </w:r>
      <w:r>
        <w:rPr>
          <w:color w:val="231F20"/>
          <w:spacing w:val="-14"/>
          <w:w w:val="105"/>
        </w:rPr>
        <w:t xml:space="preserve"> </w:t>
      </w:r>
      <w:r>
        <w:rPr>
          <w:color w:val="231F20"/>
          <w:w w:val="105"/>
        </w:rPr>
        <w:t>monopoly</w:t>
      </w:r>
      <w:r>
        <w:rPr>
          <w:color w:val="231F20"/>
          <w:spacing w:val="-14"/>
          <w:w w:val="105"/>
        </w:rPr>
        <w:t xml:space="preserve"> </w:t>
      </w:r>
      <w:r>
        <w:rPr>
          <w:color w:val="231F20"/>
          <w:w w:val="105"/>
        </w:rPr>
        <w:t xml:space="preserve">capitalism, but as part of the globalization of </w:t>
      </w:r>
      <w:r>
        <w:rPr>
          <w:color w:val="231F20"/>
          <w:spacing w:val="1"/>
          <w:w w:val="105"/>
        </w:rPr>
        <w:t>U.S.</w:t>
      </w:r>
      <w:r>
        <w:rPr>
          <w:color w:val="231F20"/>
          <w:spacing w:val="10"/>
          <w:w w:val="105"/>
        </w:rPr>
        <w:t xml:space="preserve"> </w:t>
      </w:r>
      <w:r>
        <w:rPr>
          <w:color w:val="231F20"/>
          <w:w w:val="105"/>
        </w:rPr>
        <w:t>capital.</w:t>
      </w:r>
    </w:p>
    <w:p w14:paraId="612CB21D" w14:textId="77777777" w:rsidR="002653E8" w:rsidRDefault="003115E3">
      <w:pPr>
        <w:pStyle w:val="a3"/>
        <w:spacing w:line="264" w:lineRule="auto"/>
        <w:ind w:left="1147" w:right="1326" w:firstLine="210"/>
        <w:jc w:val="both"/>
      </w:pPr>
      <w:r>
        <w:rPr>
          <w:color w:val="231F20"/>
        </w:rPr>
        <w:t xml:space="preserve">The prisoners say that it is because of the strategic function that the Federal Republic plays for </w:t>
      </w:r>
      <w:r>
        <w:rPr>
          <w:color w:val="231F20"/>
          <w:spacing w:val="1"/>
        </w:rPr>
        <w:t xml:space="preserve">U.S. </w:t>
      </w:r>
      <w:r>
        <w:rPr>
          <w:color w:val="231F20"/>
        </w:rPr>
        <w:t>capital that the urban guerilla can destabilize things here—and it makes no difference how small a minority they are. Their strategy clarifies why it is extremely difficult to develop a revolutionary position in the Federal Republic, as well as why it is necessary to do so. That it is possible has been proven in the six years since the first</w:t>
      </w:r>
      <w:r>
        <w:rPr>
          <w:color w:val="231F20"/>
          <w:spacing w:val="31"/>
        </w:rPr>
        <w:t xml:space="preserve"> </w:t>
      </w:r>
      <w:r>
        <w:rPr>
          <w:color w:val="231F20"/>
        </w:rPr>
        <w:t>action.</w:t>
      </w:r>
    </w:p>
    <w:p w14:paraId="0AB9F3C1" w14:textId="77777777" w:rsidR="002653E8" w:rsidRDefault="002653E8">
      <w:pPr>
        <w:spacing w:line="264" w:lineRule="auto"/>
        <w:jc w:val="both"/>
        <w:sectPr w:rsidR="002653E8">
          <w:footerReference w:type="even" r:id="rId357"/>
          <w:footerReference w:type="default" r:id="rId358"/>
          <w:pgSz w:w="8640" w:h="12960"/>
          <w:pgMar w:top="1060" w:right="0" w:bottom="1040" w:left="0" w:header="0" w:footer="850" w:gutter="0"/>
          <w:cols w:space="720"/>
        </w:sectPr>
      </w:pPr>
    </w:p>
    <w:p w14:paraId="3A31BDF6" w14:textId="77777777" w:rsidR="002653E8" w:rsidRDefault="003115E3">
      <w:pPr>
        <w:pStyle w:val="4"/>
        <w:tabs>
          <w:tab w:val="left" w:pos="6970"/>
          <w:tab w:val="left" w:pos="7491"/>
        </w:tabs>
        <w:spacing w:before="86"/>
        <w:rPr>
          <w:rFonts w:ascii="Lucida Sans"/>
          <w:b/>
        </w:rPr>
      </w:pPr>
      <w:bookmarkStart w:id="197" w:name="11_Meanwhile,_Elsewhere_on_the_Left…_(An"/>
      <w:bookmarkStart w:id="198" w:name="_bookmark65"/>
      <w:bookmarkEnd w:id="197"/>
      <w:bookmarkEnd w:id="198"/>
      <w:r>
        <w:rPr>
          <w:rFonts w:ascii="Lucida Sans"/>
          <w:b/>
          <w:color w:val="FFFFFF"/>
          <w:w w:val="87"/>
          <w:shd w:val="clear" w:color="auto" w:fill="231F20"/>
        </w:rPr>
        <w:lastRenderedPageBreak/>
        <w:t xml:space="preserve"> </w:t>
      </w:r>
      <w:r>
        <w:rPr>
          <w:rFonts w:ascii="Lucida Sans"/>
          <w:b/>
          <w:color w:val="FFFFFF"/>
          <w:shd w:val="clear" w:color="auto" w:fill="231F20"/>
        </w:rPr>
        <w:tab/>
      </w:r>
      <w:r>
        <w:rPr>
          <w:rFonts w:ascii="Lucida Sans"/>
          <w:b/>
          <w:color w:val="FFFFFF"/>
          <w:spacing w:val="-14"/>
          <w:w w:val="95"/>
          <w:shd w:val="clear" w:color="auto" w:fill="231F20"/>
        </w:rPr>
        <w:t>11</w:t>
      </w:r>
      <w:r>
        <w:rPr>
          <w:rFonts w:ascii="Lucida Sans"/>
          <w:b/>
          <w:color w:val="FFFFFF"/>
          <w:spacing w:val="-14"/>
          <w:shd w:val="clear" w:color="auto" w:fill="231F20"/>
        </w:rPr>
        <w:tab/>
      </w:r>
    </w:p>
    <w:p w14:paraId="21516108" w14:textId="77777777" w:rsidR="002653E8" w:rsidRDefault="002653E8">
      <w:pPr>
        <w:pStyle w:val="a3"/>
        <w:rPr>
          <w:rFonts w:ascii="Lucida Sans"/>
          <w:b/>
          <w:sz w:val="36"/>
        </w:rPr>
      </w:pPr>
    </w:p>
    <w:p w14:paraId="4A044181" w14:textId="77777777" w:rsidR="002653E8" w:rsidRDefault="002653E8">
      <w:pPr>
        <w:pStyle w:val="a3"/>
        <w:spacing w:before="1"/>
        <w:rPr>
          <w:rFonts w:ascii="Lucida Sans"/>
          <w:b/>
          <w:sz w:val="38"/>
        </w:rPr>
      </w:pPr>
    </w:p>
    <w:p w14:paraId="2051C449" w14:textId="77777777" w:rsidR="002653E8" w:rsidRDefault="003115E3">
      <w:pPr>
        <w:ind w:left="1617"/>
        <w:rPr>
          <w:rFonts w:ascii="Lucida Sans" w:hAnsi="Lucida Sans"/>
          <w:b/>
          <w:sz w:val="36"/>
        </w:rPr>
      </w:pPr>
      <w:r>
        <w:rPr>
          <w:rFonts w:ascii="Lucida Sans" w:hAnsi="Lucida Sans"/>
          <w:b/>
          <w:color w:val="231F20"/>
          <w:w w:val="90"/>
          <w:sz w:val="36"/>
        </w:rPr>
        <w:t>Meanwhile, elsewhere on the Left…</w:t>
      </w:r>
    </w:p>
    <w:p w14:paraId="7BE3F6DD" w14:textId="77777777" w:rsidR="002653E8" w:rsidRDefault="003115E3">
      <w:pPr>
        <w:spacing w:before="10"/>
        <w:ind w:left="3562"/>
        <w:rPr>
          <w:rFonts w:ascii="Lucida Sans"/>
          <w:i/>
          <w:sz w:val="36"/>
        </w:rPr>
      </w:pPr>
      <w:r>
        <w:rPr>
          <w:rFonts w:ascii="Lucida Sans"/>
          <w:i/>
          <w:color w:val="231F20"/>
          <w:w w:val="90"/>
          <w:sz w:val="36"/>
        </w:rPr>
        <w:t>(an intermission of sorts)</w:t>
      </w:r>
    </w:p>
    <w:p w14:paraId="73826E06" w14:textId="77777777" w:rsidR="002653E8" w:rsidRDefault="002653E8">
      <w:pPr>
        <w:pStyle w:val="a3"/>
        <w:rPr>
          <w:rFonts w:ascii="Lucida Sans"/>
          <w:i/>
          <w:sz w:val="42"/>
        </w:rPr>
      </w:pPr>
    </w:p>
    <w:p w14:paraId="6DC3D230" w14:textId="77777777" w:rsidR="002653E8" w:rsidRDefault="003115E3">
      <w:pPr>
        <w:pStyle w:val="a3"/>
        <w:spacing w:before="371" w:line="211" w:lineRule="auto"/>
        <w:ind w:left="1327" w:right="1146"/>
        <w:jc w:val="both"/>
      </w:pPr>
      <w:r>
        <w:rPr>
          <w:rFonts w:ascii="Verdana"/>
          <w:color w:val="231F20"/>
          <w:sz w:val="48"/>
        </w:rPr>
        <w:t>I</w:t>
      </w:r>
      <w:r>
        <w:rPr>
          <w:color w:val="231F20"/>
          <w:w w:val="109"/>
        </w:rPr>
        <w:t>n</w:t>
      </w:r>
      <w:r>
        <w:rPr>
          <w:color w:val="231F20"/>
        </w:rPr>
        <w:t xml:space="preserve"> 1976</w:t>
      </w:r>
      <w:r>
        <w:rPr>
          <w:color w:val="231F20"/>
          <w:w w:val="135"/>
        </w:rPr>
        <w:t>,</w:t>
      </w:r>
      <w:r>
        <w:rPr>
          <w:color w:val="231F20"/>
        </w:rPr>
        <w:t xml:space="preserve"> </w:t>
      </w:r>
      <w:r>
        <w:rPr>
          <w:color w:val="231F20"/>
          <w:w w:val="147"/>
        </w:rPr>
        <w:t>t</w:t>
      </w:r>
      <w:r>
        <w:rPr>
          <w:color w:val="231F20"/>
          <w:w w:val="120"/>
        </w:rPr>
        <w:t>h</w:t>
      </w:r>
      <w:r>
        <w:rPr>
          <w:color w:val="231F20"/>
          <w:w w:val="102"/>
        </w:rPr>
        <w:t>e</w:t>
      </w:r>
      <w:r>
        <w:rPr>
          <w:color w:val="231F20"/>
        </w:rPr>
        <w:t xml:space="preserve"> </w:t>
      </w:r>
      <w:r w:rsidR="00C507A5">
        <w:rPr>
          <w:color w:val="231F20"/>
          <w:w w:val="116"/>
        </w:rPr>
        <w:t>red army faction</w:t>
      </w:r>
      <w:r>
        <w:rPr>
          <w:color w:val="231F20"/>
        </w:rPr>
        <w:t xml:space="preserve"> </w:t>
      </w:r>
      <w:r>
        <w:rPr>
          <w:color w:val="231F20"/>
          <w:w w:val="134"/>
        </w:rPr>
        <w:t>r</w:t>
      </w:r>
      <w:r>
        <w:rPr>
          <w:color w:val="231F20"/>
          <w:w w:val="102"/>
        </w:rPr>
        <w:t>e</w:t>
      </w:r>
      <w:r>
        <w:rPr>
          <w:color w:val="231F20"/>
          <w:w w:val="93"/>
        </w:rPr>
        <w:t>m</w:t>
      </w:r>
      <w:r>
        <w:rPr>
          <w:color w:val="231F20"/>
          <w:w w:val="113"/>
        </w:rPr>
        <w:t>a</w:t>
      </w:r>
      <w:r>
        <w:rPr>
          <w:color w:val="231F20"/>
          <w:w w:val="119"/>
        </w:rPr>
        <w:t>i</w:t>
      </w:r>
      <w:r>
        <w:rPr>
          <w:color w:val="231F20"/>
          <w:w w:val="109"/>
        </w:rPr>
        <w:t>n</w:t>
      </w:r>
      <w:r>
        <w:rPr>
          <w:color w:val="231F20"/>
          <w:w w:val="102"/>
        </w:rPr>
        <w:t>e</w:t>
      </w:r>
      <w:r>
        <w:rPr>
          <w:color w:val="231F20"/>
          <w:w w:val="120"/>
        </w:rPr>
        <w:t>d</w:t>
      </w:r>
      <w:r>
        <w:rPr>
          <w:color w:val="231F20"/>
        </w:rPr>
        <w:t xml:space="preserve"> </w:t>
      </w:r>
      <w:r>
        <w:rPr>
          <w:color w:val="231F20"/>
          <w:w w:val="102"/>
        </w:rPr>
        <w:t>a</w:t>
      </w:r>
      <w:r>
        <w:rPr>
          <w:color w:val="231F20"/>
        </w:rPr>
        <w:t xml:space="preserve"> </w:t>
      </w:r>
      <w:r>
        <w:rPr>
          <w:color w:val="231F20"/>
          <w:w w:val="94"/>
        </w:rPr>
        <w:t>r</w:t>
      </w:r>
      <w:r>
        <w:rPr>
          <w:color w:val="231F20"/>
          <w:w w:val="91"/>
        </w:rPr>
        <w:t>e</w:t>
      </w:r>
      <w:r>
        <w:rPr>
          <w:color w:val="231F20"/>
        </w:rPr>
        <w:t>c</w:t>
      </w:r>
      <w:r>
        <w:rPr>
          <w:color w:val="231F20"/>
          <w:w w:val="104"/>
        </w:rPr>
        <w:t>o</w:t>
      </w:r>
      <w:r>
        <w:rPr>
          <w:color w:val="231F20"/>
          <w:w w:val="101"/>
        </w:rPr>
        <w:t>g</w:t>
      </w:r>
      <w:r>
        <w:rPr>
          <w:color w:val="231F20"/>
          <w:w w:val="99"/>
        </w:rPr>
        <w:t>n</w:t>
      </w:r>
      <w:r>
        <w:rPr>
          <w:color w:val="231F20"/>
        </w:rPr>
        <w:t>i</w:t>
      </w:r>
      <w:r>
        <w:rPr>
          <w:color w:val="231F20"/>
          <w:w w:val="97"/>
        </w:rPr>
        <w:t>z</w:t>
      </w:r>
      <w:r>
        <w:rPr>
          <w:color w:val="231F20"/>
          <w:w w:val="91"/>
        </w:rPr>
        <w:t>e</w:t>
      </w:r>
      <w:r>
        <w:rPr>
          <w:color w:val="231F20"/>
        </w:rPr>
        <w:t xml:space="preserve">d </w:t>
      </w:r>
      <w:r>
        <w:rPr>
          <w:color w:val="231F20"/>
          <w:w w:val="99"/>
        </w:rPr>
        <w:t>p</w:t>
      </w:r>
      <w:r>
        <w:rPr>
          <w:color w:val="231F20"/>
          <w:w w:val="102"/>
        </w:rPr>
        <w:t>a</w:t>
      </w:r>
      <w:r>
        <w:rPr>
          <w:color w:val="231F20"/>
          <w:w w:val="94"/>
        </w:rPr>
        <w:t>r</w:t>
      </w:r>
      <w:r>
        <w:rPr>
          <w:color w:val="231F20"/>
          <w:w w:val="98"/>
        </w:rPr>
        <w:t>t</w:t>
      </w:r>
      <w:r>
        <w:rPr>
          <w:color w:val="231F20"/>
        </w:rPr>
        <w:t xml:space="preserve"> </w:t>
      </w:r>
      <w:r>
        <w:rPr>
          <w:color w:val="231F20"/>
          <w:w w:val="104"/>
        </w:rPr>
        <w:t>o</w:t>
      </w:r>
      <w:r>
        <w:rPr>
          <w:color w:val="231F20"/>
          <w:w w:val="109"/>
        </w:rPr>
        <w:t>f</w:t>
      </w:r>
      <w:r>
        <w:rPr>
          <w:color w:val="231F20"/>
        </w:rPr>
        <w:t xml:space="preserve"> </w:t>
      </w:r>
      <w:r>
        <w:rPr>
          <w:color w:val="231F20"/>
          <w:w w:val="98"/>
        </w:rPr>
        <w:t>t</w:t>
      </w:r>
      <w:r>
        <w:rPr>
          <w:color w:val="231F20"/>
        </w:rPr>
        <w:t>h</w:t>
      </w:r>
      <w:r>
        <w:rPr>
          <w:color w:val="231F20"/>
          <w:w w:val="91"/>
        </w:rPr>
        <w:t>e</w:t>
      </w:r>
      <w:r>
        <w:rPr>
          <w:color w:val="231F20"/>
        </w:rPr>
        <w:t xml:space="preserve"> </w:t>
      </w:r>
      <w:r>
        <w:rPr>
          <w:color w:val="231F20"/>
          <w:w w:val="94"/>
        </w:rPr>
        <w:t>r</w:t>
      </w:r>
      <w:r>
        <w:rPr>
          <w:color w:val="231F20"/>
          <w:w w:val="91"/>
        </w:rPr>
        <w:t>e</w:t>
      </w:r>
      <w:r>
        <w:rPr>
          <w:color w:val="231F20"/>
          <w:w w:val="99"/>
        </w:rPr>
        <w:t>v</w:t>
      </w:r>
      <w:r>
        <w:rPr>
          <w:color w:val="231F20"/>
          <w:w w:val="104"/>
        </w:rPr>
        <w:t>o</w:t>
      </w:r>
      <w:r>
        <w:rPr>
          <w:color w:val="231F20"/>
          <w:w w:val="102"/>
        </w:rPr>
        <w:t>l</w:t>
      </w:r>
      <w:r>
        <w:rPr>
          <w:color w:val="231F20"/>
        </w:rPr>
        <w:t>u</w:t>
      </w:r>
      <w:r>
        <w:rPr>
          <w:color w:val="231F20"/>
          <w:w w:val="98"/>
        </w:rPr>
        <w:t>t</w:t>
      </w:r>
      <w:r>
        <w:rPr>
          <w:color w:val="231F20"/>
        </w:rPr>
        <w:t>i</w:t>
      </w:r>
      <w:r>
        <w:rPr>
          <w:color w:val="231F20"/>
          <w:w w:val="104"/>
        </w:rPr>
        <w:t>o</w:t>
      </w:r>
      <w:r>
        <w:rPr>
          <w:color w:val="231F20"/>
          <w:w w:val="99"/>
        </w:rPr>
        <w:t>n</w:t>
      </w:r>
      <w:r>
        <w:rPr>
          <w:color w:val="231F20"/>
          <w:w w:val="102"/>
        </w:rPr>
        <w:t>a</w:t>
      </w:r>
      <w:r>
        <w:rPr>
          <w:color w:val="231F20"/>
          <w:w w:val="94"/>
        </w:rPr>
        <w:t>r</w:t>
      </w:r>
      <w:r>
        <w:rPr>
          <w:color w:val="231F20"/>
          <w:w w:val="99"/>
        </w:rPr>
        <w:t xml:space="preserve">y </w:t>
      </w:r>
      <w:r>
        <w:rPr>
          <w:color w:val="231F20"/>
        </w:rPr>
        <w:t>left. years of psychological operations may have seriously compromised</w:t>
      </w:r>
    </w:p>
    <w:p w14:paraId="0C637EF1" w14:textId="77777777" w:rsidR="002653E8" w:rsidRDefault="003115E3">
      <w:pPr>
        <w:pStyle w:val="a3"/>
        <w:spacing w:before="28" w:line="264" w:lineRule="auto"/>
        <w:ind w:left="1327" w:right="1147"/>
        <w:jc w:val="both"/>
      </w:pPr>
      <w:r>
        <w:rPr>
          <w:color w:val="231F20"/>
        </w:rPr>
        <w:t>it in the eyes of liberals and the general public, but the state had failed</w:t>
      </w:r>
      <w:r>
        <w:rPr>
          <w:color w:val="231F20"/>
          <w:spacing w:val="-28"/>
        </w:rPr>
        <w:t xml:space="preserve"> </w:t>
      </w:r>
      <w:r>
        <w:rPr>
          <w:color w:val="231F20"/>
        </w:rPr>
        <w:t>to completely isolate it despite all its efforts to do so. The group benefited from sympathy in some quarters, and a smaller number of people even found its struggle</w:t>
      </w:r>
      <w:r>
        <w:rPr>
          <w:color w:val="231F20"/>
          <w:spacing w:val="32"/>
        </w:rPr>
        <w:t xml:space="preserve"> </w:t>
      </w:r>
      <w:r>
        <w:rPr>
          <w:color w:val="231F20"/>
        </w:rPr>
        <w:t>inspirational.</w:t>
      </w:r>
    </w:p>
    <w:p w14:paraId="60098EA2" w14:textId="77777777" w:rsidR="002653E8" w:rsidRDefault="003115E3">
      <w:pPr>
        <w:pStyle w:val="a3"/>
        <w:spacing w:line="264" w:lineRule="auto"/>
        <w:ind w:left="1327" w:right="1145" w:firstLine="210"/>
        <w:jc w:val="both"/>
      </w:pPr>
      <w:r>
        <w:rPr>
          <w:color w:val="231F20"/>
        </w:rPr>
        <w:t xml:space="preserve">yet, the left itself was changing; the </w:t>
      </w:r>
      <w:r w:rsidR="00C507A5">
        <w:rPr>
          <w:color w:val="231F20"/>
        </w:rPr>
        <w:t>red army faction</w:t>
      </w:r>
      <w:r>
        <w:rPr>
          <w:color w:val="231F20"/>
        </w:rPr>
        <w:t>, with its core cadre in prison and its supporters focused almost solely on their release, was not in a position to follow these developments as closely as it should have.</w:t>
      </w:r>
    </w:p>
    <w:p w14:paraId="69B1C7B2" w14:textId="77777777" w:rsidR="002653E8" w:rsidRDefault="003115E3">
      <w:pPr>
        <w:pStyle w:val="a3"/>
        <w:spacing w:line="264" w:lineRule="auto"/>
        <w:ind w:left="1327" w:right="1145" w:firstLine="209"/>
        <w:jc w:val="both"/>
      </w:pPr>
      <w:r>
        <w:rPr>
          <w:color w:val="231F20"/>
          <w:w w:val="105"/>
        </w:rPr>
        <w:t xml:space="preserve">With the collapse of the APO, many leftists turned towards the Social Democrats, the SPD acquiring over </w:t>
      </w:r>
      <w:r>
        <w:rPr>
          <w:color w:val="231F20"/>
          <w:spacing w:val="1"/>
          <w:w w:val="105"/>
        </w:rPr>
        <w:t xml:space="preserve">200,000 </w:t>
      </w:r>
      <w:r>
        <w:rPr>
          <w:color w:val="231F20"/>
          <w:w w:val="105"/>
        </w:rPr>
        <w:t xml:space="preserve">new members between </w:t>
      </w:r>
      <w:r>
        <w:rPr>
          <w:color w:val="231F20"/>
          <w:spacing w:val="-4"/>
          <w:w w:val="105"/>
        </w:rPr>
        <w:t xml:space="preserve">1969 </w:t>
      </w:r>
      <w:r>
        <w:rPr>
          <w:color w:val="231F20"/>
          <w:w w:val="105"/>
        </w:rPr>
        <w:t xml:space="preserve">and </w:t>
      </w:r>
      <w:r>
        <w:rPr>
          <w:color w:val="231F20"/>
          <w:spacing w:val="-6"/>
          <w:w w:val="105"/>
        </w:rPr>
        <w:t>1974.</w:t>
      </w:r>
      <w:r>
        <w:rPr>
          <w:color w:val="231F20"/>
          <w:spacing w:val="-6"/>
          <w:w w:val="105"/>
          <w:position w:val="7"/>
          <w:sz w:val="11"/>
        </w:rPr>
        <w:t xml:space="preserve">1 </w:t>
      </w:r>
      <w:r>
        <w:rPr>
          <w:color w:val="231F20"/>
          <w:w w:val="105"/>
        </w:rPr>
        <w:t>For all the youthful exuberance of the sixties movement,</w:t>
      </w:r>
      <w:r>
        <w:rPr>
          <w:color w:val="231F20"/>
          <w:spacing w:val="-18"/>
          <w:w w:val="105"/>
        </w:rPr>
        <w:t xml:space="preserve"> </w:t>
      </w:r>
      <w:r>
        <w:rPr>
          <w:color w:val="231F20"/>
          <w:w w:val="105"/>
        </w:rPr>
        <w:t>in</w:t>
      </w:r>
      <w:r>
        <w:rPr>
          <w:color w:val="231F20"/>
          <w:spacing w:val="-18"/>
          <w:w w:val="105"/>
        </w:rPr>
        <w:t xml:space="preserve"> </w:t>
      </w:r>
      <w:r>
        <w:rPr>
          <w:color w:val="231F20"/>
          <w:w w:val="105"/>
        </w:rPr>
        <w:t>the</w:t>
      </w:r>
      <w:r>
        <w:rPr>
          <w:color w:val="231F20"/>
          <w:spacing w:val="-18"/>
          <w:w w:val="105"/>
        </w:rPr>
        <w:t xml:space="preserve"> </w:t>
      </w:r>
      <w:r>
        <w:rPr>
          <w:color w:val="231F20"/>
          <w:w w:val="105"/>
        </w:rPr>
        <w:t>end,</w:t>
      </w:r>
      <w:r>
        <w:rPr>
          <w:color w:val="231F20"/>
          <w:spacing w:val="-18"/>
          <w:w w:val="105"/>
        </w:rPr>
        <w:t xml:space="preserve"> </w:t>
      </w:r>
      <w:r>
        <w:rPr>
          <w:color w:val="231F20"/>
          <w:w w:val="105"/>
        </w:rPr>
        <w:t>many</w:t>
      </w:r>
      <w:r>
        <w:rPr>
          <w:color w:val="231F20"/>
          <w:spacing w:val="-18"/>
          <w:w w:val="105"/>
        </w:rPr>
        <w:t xml:space="preserve"> </w:t>
      </w:r>
      <w:r>
        <w:rPr>
          <w:color w:val="231F20"/>
          <w:w w:val="105"/>
        </w:rPr>
        <w:t>students</w:t>
      </w:r>
      <w:r>
        <w:rPr>
          <w:color w:val="231F20"/>
          <w:spacing w:val="-18"/>
          <w:w w:val="105"/>
        </w:rPr>
        <w:t xml:space="preserve"> </w:t>
      </w:r>
      <w:r>
        <w:rPr>
          <w:color w:val="231F20"/>
          <w:w w:val="105"/>
        </w:rPr>
        <w:t>had</w:t>
      </w:r>
      <w:r>
        <w:rPr>
          <w:color w:val="231F20"/>
          <w:spacing w:val="-18"/>
          <w:w w:val="105"/>
        </w:rPr>
        <w:t xml:space="preserve"> </w:t>
      </w:r>
      <w:r>
        <w:rPr>
          <w:color w:val="231F20"/>
          <w:w w:val="105"/>
        </w:rPr>
        <w:t>been</w:t>
      </w:r>
      <w:r>
        <w:rPr>
          <w:color w:val="231F20"/>
          <w:spacing w:val="-18"/>
          <w:w w:val="105"/>
        </w:rPr>
        <w:t xml:space="preserve"> </w:t>
      </w:r>
      <w:r>
        <w:rPr>
          <w:color w:val="231F20"/>
          <w:w w:val="105"/>
        </w:rPr>
        <w:t>integrated</w:t>
      </w:r>
      <w:r>
        <w:rPr>
          <w:color w:val="231F20"/>
          <w:spacing w:val="-18"/>
          <w:w w:val="105"/>
        </w:rPr>
        <w:t xml:space="preserve"> </w:t>
      </w:r>
      <w:r>
        <w:rPr>
          <w:color w:val="231F20"/>
          <w:w w:val="105"/>
        </w:rPr>
        <w:t>into</w:t>
      </w:r>
      <w:r>
        <w:rPr>
          <w:color w:val="231F20"/>
          <w:spacing w:val="-18"/>
          <w:w w:val="105"/>
        </w:rPr>
        <w:t xml:space="preserve"> </w:t>
      </w:r>
      <w:r>
        <w:rPr>
          <w:color w:val="231F20"/>
          <w:w w:val="105"/>
        </w:rPr>
        <w:t>the</w:t>
      </w:r>
      <w:r>
        <w:rPr>
          <w:color w:val="231F20"/>
          <w:spacing w:val="-18"/>
          <w:w w:val="105"/>
        </w:rPr>
        <w:t xml:space="preserve"> </w:t>
      </w:r>
      <w:r>
        <w:rPr>
          <w:color w:val="231F20"/>
          <w:w w:val="105"/>
        </w:rPr>
        <w:t>system.</w:t>
      </w:r>
      <w:r>
        <w:rPr>
          <w:color w:val="231F20"/>
          <w:spacing w:val="-17"/>
          <w:w w:val="105"/>
        </w:rPr>
        <w:t xml:space="preserve"> </w:t>
      </w:r>
      <w:r>
        <w:rPr>
          <w:color w:val="231F20"/>
          <w:w w:val="105"/>
        </w:rPr>
        <w:t>The</w:t>
      </w:r>
      <w:r>
        <w:rPr>
          <w:color w:val="231F20"/>
          <w:spacing w:val="-17"/>
          <w:w w:val="105"/>
        </w:rPr>
        <w:t xml:space="preserve"> </w:t>
      </w:r>
      <w:r>
        <w:rPr>
          <w:color w:val="231F20"/>
          <w:w w:val="105"/>
        </w:rPr>
        <w:t>situation</w:t>
      </w:r>
      <w:r>
        <w:rPr>
          <w:color w:val="231F20"/>
          <w:spacing w:val="-17"/>
          <w:w w:val="105"/>
        </w:rPr>
        <w:t xml:space="preserve"> </w:t>
      </w:r>
      <w:r>
        <w:rPr>
          <w:color w:val="231F20"/>
          <w:w w:val="105"/>
        </w:rPr>
        <w:t>only</w:t>
      </w:r>
      <w:r>
        <w:rPr>
          <w:color w:val="231F20"/>
          <w:spacing w:val="-17"/>
          <w:w w:val="105"/>
        </w:rPr>
        <w:t xml:space="preserve"> </w:t>
      </w:r>
      <w:r>
        <w:rPr>
          <w:color w:val="231F20"/>
          <w:w w:val="105"/>
        </w:rPr>
        <w:t>worsened,</w:t>
      </w:r>
      <w:r>
        <w:rPr>
          <w:color w:val="231F20"/>
          <w:spacing w:val="-17"/>
          <w:w w:val="105"/>
        </w:rPr>
        <w:t xml:space="preserve"> </w:t>
      </w:r>
      <w:r>
        <w:rPr>
          <w:color w:val="231F20"/>
          <w:w w:val="105"/>
        </w:rPr>
        <w:t>the</w:t>
      </w:r>
      <w:r>
        <w:rPr>
          <w:color w:val="231F20"/>
          <w:spacing w:val="-16"/>
          <w:w w:val="105"/>
        </w:rPr>
        <w:t xml:space="preserve"> </w:t>
      </w:r>
      <w:r>
        <w:rPr>
          <w:color w:val="231F20"/>
          <w:spacing w:val="-3"/>
          <w:w w:val="105"/>
        </w:rPr>
        <w:t>SPD’s</w:t>
      </w:r>
      <w:r>
        <w:rPr>
          <w:color w:val="231F20"/>
          <w:spacing w:val="-17"/>
          <w:w w:val="105"/>
        </w:rPr>
        <w:t xml:space="preserve"> </w:t>
      </w:r>
      <w:r>
        <w:rPr>
          <w:color w:val="231F20"/>
          <w:spacing w:val="1"/>
          <w:w w:val="105"/>
        </w:rPr>
        <w:t>drift</w:t>
      </w:r>
      <w:r>
        <w:rPr>
          <w:color w:val="231F20"/>
          <w:spacing w:val="-17"/>
          <w:w w:val="105"/>
        </w:rPr>
        <w:t xml:space="preserve"> </w:t>
      </w:r>
      <w:r>
        <w:rPr>
          <w:color w:val="231F20"/>
          <w:w w:val="105"/>
        </w:rPr>
        <w:t>to</w:t>
      </w:r>
      <w:r>
        <w:rPr>
          <w:color w:val="231F20"/>
          <w:spacing w:val="-17"/>
          <w:w w:val="105"/>
        </w:rPr>
        <w:t xml:space="preserve"> </w:t>
      </w:r>
      <w:r>
        <w:rPr>
          <w:color w:val="231F20"/>
          <w:w w:val="105"/>
        </w:rPr>
        <w:t>the</w:t>
      </w:r>
      <w:r>
        <w:rPr>
          <w:color w:val="231F20"/>
          <w:spacing w:val="-17"/>
          <w:w w:val="105"/>
        </w:rPr>
        <w:t xml:space="preserve"> </w:t>
      </w:r>
      <w:r>
        <w:rPr>
          <w:color w:val="231F20"/>
          <w:w w:val="105"/>
        </w:rPr>
        <w:t>right</w:t>
      </w:r>
      <w:r>
        <w:rPr>
          <w:color w:val="231F20"/>
          <w:spacing w:val="-17"/>
          <w:w w:val="105"/>
        </w:rPr>
        <w:t xml:space="preserve"> </w:t>
      </w:r>
      <w:r>
        <w:rPr>
          <w:color w:val="231F20"/>
          <w:w w:val="105"/>
        </w:rPr>
        <w:t>accelerating</w:t>
      </w:r>
      <w:r>
        <w:rPr>
          <w:color w:val="231F20"/>
          <w:spacing w:val="-13"/>
          <w:w w:val="105"/>
        </w:rPr>
        <w:t xml:space="preserve"> </w:t>
      </w:r>
      <w:r>
        <w:rPr>
          <w:color w:val="231F20"/>
          <w:w w:val="105"/>
        </w:rPr>
        <w:t>in</w:t>
      </w:r>
      <w:r>
        <w:rPr>
          <w:color w:val="231F20"/>
          <w:spacing w:val="-13"/>
          <w:w w:val="105"/>
        </w:rPr>
        <w:t xml:space="preserve"> </w:t>
      </w:r>
      <w:r>
        <w:rPr>
          <w:color w:val="231F20"/>
          <w:spacing w:val="-7"/>
          <w:w w:val="105"/>
        </w:rPr>
        <w:t>1974</w:t>
      </w:r>
      <w:r>
        <w:rPr>
          <w:color w:val="231F20"/>
          <w:spacing w:val="-13"/>
          <w:w w:val="105"/>
        </w:rPr>
        <w:t xml:space="preserve"> </w:t>
      </w:r>
      <w:r>
        <w:rPr>
          <w:color w:val="231F20"/>
          <w:w w:val="105"/>
        </w:rPr>
        <w:t>when</w:t>
      </w:r>
      <w:r>
        <w:rPr>
          <w:color w:val="231F20"/>
          <w:spacing w:val="-13"/>
          <w:w w:val="105"/>
        </w:rPr>
        <w:t xml:space="preserve"> </w:t>
      </w:r>
      <w:r>
        <w:rPr>
          <w:color w:val="231F20"/>
          <w:w w:val="105"/>
        </w:rPr>
        <w:t>an</w:t>
      </w:r>
      <w:r>
        <w:rPr>
          <w:color w:val="231F20"/>
          <w:spacing w:val="-13"/>
          <w:w w:val="105"/>
        </w:rPr>
        <w:t xml:space="preserve"> </w:t>
      </w:r>
      <w:r>
        <w:rPr>
          <w:color w:val="231F20"/>
          <w:w w:val="105"/>
        </w:rPr>
        <w:t>espionage</w:t>
      </w:r>
      <w:r>
        <w:rPr>
          <w:color w:val="231F20"/>
          <w:spacing w:val="-13"/>
          <w:w w:val="105"/>
        </w:rPr>
        <w:t xml:space="preserve"> </w:t>
      </w:r>
      <w:r>
        <w:rPr>
          <w:color w:val="231F20"/>
          <w:w w:val="105"/>
        </w:rPr>
        <w:t>scandal</w:t>
      </w:r>
      <w:r>
        <w:rPr>
          <w:color w:val="231F20"/>
          <w:spacing w:val="-13"/>
          <w:w w:val="105"/>
        </w:rPr>
        <w:t xml:space="preserve"> </w:t>
      </w:r>
      <w:r>
        <w:rPr>
          <w:color w:val="231F20"/>
          <w:w w:val="105"/>
        </w:rPr>
        <w:t>forced</w:t>
      </w:r>
      <w:r>
        <w:rPr>
          <w:color w:val="231F20"/>
          <w:spacing w:val="-13"/>
          <w:w w:val="105"/>
        </w:rPr>
        <w:t xml:space="preserve"> </w:t>
      </w:r>
      <w:r>
        <w:rPr>
          <w:color w:val="231F20"/>
          <w:w w:val="105"/>
        </w:rPr>
        <w:t>Brandt</w:t>
      </w:r>
      <w:r>
        <w:rPr>
          <w:color w:val="231F20"/>
          <w:spacing w:val="-13"/>
          <w:w w:val="105"/>
        </w:rPr>
        <w:t xml:space="preserve"> </w:t>
      </w:r>
      <w:r>
        <w:rPr>
          <w:color w:val="231F20"/>
          <w:w w:val="105"/>
        </w:rPr>
        <w:t>to</w:t>
      </w:r>
      <w:r>
        <w:rPr>
          <w:color w:val="231F20"/>
          <w:spacing w:val="-13"/>
          <w:w w:val="105"/>
        </w:rPr>
        <w:t xml:space="preserve"> </w:t>
      </w:r>
      <w:r>
        <w:rPr>
          <w:color w:val="231F20"/>
          <w:w w:val="105"/>
        </w:rPr>
        <w:t>relinquish</w:t>
      </w:r>
      <w:r>
        <w:rPr>
          <w:color w:val="231F20"/>
          <w:spacing w:val="-13"/>
          <w:w w:val="105"/>
        </w:rPr>
        <w:t xml:space="preserve"> </w:t>
      </w:r>
      <w:r>
        <w:rPr>
          <w:color w:val="231F20"/>
          <w:w w:val="105"/>
        </w:rPr>
        <w:t>the Chancellor’s office to Helmut</w:t>
      </w:r>
      <w:r>
        <w:rPr>
          <w:color w:val="231F20"/>
          <w:spacing w:val="30"/>
          <w:w w:val="105"/>
        </w:rPr>
        <w:t xml:space="preserve"> </w:t>
      </w:r>
      <w:r>
        <w:rPr>
          <w:color w:val="231F20"/>
          <w:w w:val="105"/>
        </w:rPr>
        <w:t>Schmidt.</w:t>
      </w:r>
    </w:p>
    <w:p w14:paraId="6446F89D" w14:textId="77777777" w:rsidR="002653E8" w:rsidRDefault="003115E3">
      <w:pPr>
        <w:pStyle w:val="a3"/>
        <w:spacing w:line="264" w:lineRule="auto"/>
        <w:ind w:left="1328" w:right="1145" w:firstLine="209"/>
        <w:jc w:val="both"/>
      </w:pPr>
      <w:r>
        <w:rPr>
          <w:color w:val="231F20"/>
        </w:rPr>
        <w:t xml:space="preserve">Nevertheless, throughout the 1970s, the numbers of people organizing politically outside of the establishment continued to grow, albeit in  a less culturally spectacular </w:t>
      </w:r>
      <w:r>
        <w:rPr>
          <w:color w:val="231F20"/>
          <w:spacing w:val="-2"/>
        </w:rPr>
        <w:t xml:space="preserve">way </w:t>
      </w:r>
      <w:r>
        <w:rPr>
          <w:color w:val="231F20"/>
        </w:rPr>
        <w:t>than in the preceding</w:t>
      </w:r>
      <w:r>
        <w:rPr>
          <w:color w:val="231F20"/>
          <w:spacing w:val="15"/>
        </w:rPr>
        <w:t xml:space="preserve"> </w:t>
      </w:r>
      <w:r>
        <w:rPr>
          <w:color w:val="231F20"/>
        </w:rPr>
        <w:t>decade.</w:t>
      </w:r>
    </w:p>
    <w:p w14:paraId="11BC9008" w14:textId="77777777" w:rsidR="002653E8" w:rsidRDefault="002653E8">
      <w:pPr>
        <w:pStyle w:val="a3"/>
      </w:pPr>
    </w:p>
    <w:p w14:paraId="09EE3317" w14:textId="77777777" w:rsidR="002653E8" w:rsidRDefault="00000000">
      <w:pPr>
        <w:pStyle w:val="a3"/>
        <w:spacing w:before="10"/>
        <w:rPr>
          <w:sz w:val="15"/>
        </w:rPr>
      </w:pPr>
      <w:r>
        <w:rPr>
          <w:noProof w:val="0"/>
        </w:rPr>
        <w:pict w14:anchorId="430AE1CF">
          <v:line id="_x0000_s2246" style="position:absolute;z-index:9088;mso-wrap-distance-left:0;mso-wrap-distance-right:0;mso-position-horizontal-relative:page" from="66.4pt,11.55pt" to="138.4pt,11.55pt" strokecolor="#231f20" strokeweight=".5pt">
            <w10:wrap type="topAndBottom" anchorx="page"/>
          </v:line>
        </w:pict>
      </w:r>
    </w:p>
    <w:p w14:paraId="122AA4F8" w14:textId="77777777" w:rsidR="002653E8" w:rsidRDefault="003115E3">
      <w:pPr>
        <w:spacing w:before="53"/>
        <w:ind w:left="1327"/>
        <w:rPr>
          <w:sz w:val="16"/>
        </w:rPr>
      </w:pPr>
      <w:r>
        <w:rPr>
          <w:color w:val="231F20"/>
          <w:w w:val="110"/>
          <w:sz w:val="16"/>
        </w:rPr>
        <w:t>1 Hülsberg, 45.</w:t>
      </w:r>
    </w:p>
    <w:p w14:paraId="090766A2" w14:textId="77777777" w:rsidR="002653E8" w:rsidRDefault="002653E8">
      <w:pPr>
        <w:rPr>
          <w:sz w:val="16"/>
        </w:rPr>
        <w:sectPr w:rsidR="002653E8">
          <w:pgSz w:w="8640" w:h="12960"/>
          <w:pgMar w:top="1220" w:right="0" w:bottom="1040" w:left="0" w:header="0" w:footer="850" w:gutter="0"/>
          <w:cols w:space="720"/>
        </w:sectPr>
      </w:pPr>
    </w:p>
    <w:p w14:paraId="7BF91297" w14:textId="77777777" w:rsidR="002653E8" w:rsidRDefault="003115E3">
      <w:pPr>
        <w:spacing w:before="87"/>
        <w:ind w:left="1147"/>
      </w:pPr>
      <w:r>
        <w:rPr>
          <w:color w:val="231F20"/>
          <w:w w:val="115"/>
        </w:rPr>
        <w:lastRenderedPageBreak/>
        <w:t>the kgroups</w:t>
      </w:r>
    </w:p>
    <w:p w14:paraId="1D4B1E79" w14:textId="2134F6BF" w:rsidR="002653E8" w:rsidRDefault="003115E3">
      <w:pPr>
        <w:pStyle w:val="a3"/>
        <w:spacing w:before="18" w:line="264" w:lineRule="auto"/>
        <w:ind w:left="1147" w:right="1325" w:hanging="1"/>
        <w:jc w:val="both"/>
      </w:pPr>
      <w:r>
        <w:rPr>
          <w:color w:val="231F20"/>
        </w:rPr>
        <w:t xml:space="preserve">As we have already seen, the APO as it had existed was incapable of rising to the challenge posed by the Social-Liberal Coalition, and many of those who retained their radical opposition to capitalism found themselves joining one of the many newly-founded Marxist-Leninist organizations, the K-groups. These had much in common with other new communist parties which sprang up throughout the western world at this time, combining an enthusiastic (if somewhat unhealthy) </w:t>
      </w:r>
      <w:r>
        <w:rPr>
          <w:i/>
          <w:color w:val="231F20"/>
        </w:rPr>
        <w:t xml:space="preserve">esprit de corps </w:t>
      </w:r>
      <w:r>
        <w:rPr>
          <w:color w:val="231F20"/>
        </w:rPr>
        <w:t>with a more conservative approach to political organizing. As elsewhere, Maoism in the FRG peaked in the first half of the 1970s, declining rapidly near the end of the decade.</w:t>
      </w:r>
    </w:p>
    <w:p w14:paraId="65DCC5EC" w14:textId="77777777" w:rsidR="002653E8" w:rsidRDefault="003115E3">
      <w:pPr>
        <w:pStyle w:val="a3"/>
        <w:spacing w:line="264" w:lineRule="auto"/>
        <w:ind w:left="1147" w:right="1326" w:firstLine="210"/>
        <w:jc w:val="both"/>
      </w:pPr>
      <w:r>
        <w:rPr>
          <w:color w:val="231F20"/>
        </w:rPr>
        <w:t xml:space="preserve">As the years wore on, some of these Marxist-Leninist organizations would develop positions reminiscent of the postwar KPD’s “patriotic communism.” The Bavaria-based </w:t>
      </w:r>
      <w:r>
        <w:rPr>
          <w:i/>
          <w:color w:val="231F20"/>
        </w:rPr>
        <w:t>Arbeiterbund</w:t>
      </w:r>
      <w:r>
        <w:rPr>
          <w:color w:val="231F20"/>
        </w:rPr>
        <w:t>, for instance, held that the German nation was divided and oppressed by both U.S. imperialism and Soviet “social imperialism,” and thus advanced the troublesome slogan, “Germany to the Germans.”</w:t>
      </w:r>
    </w:p>
    <w:p w14:paraId="61A1D0E4" w14:textId="77777777" w:rsidR="002653E8" w:rsidRDefault="003115E3">
      <w:pPr>
        <w:pStyle w:val="a3"/>
        <w:spacing w:line="264" w:lineRule="auto"/>
        <w:ind w:left="1147" w:right="1327" w:firstLine="209"/>
        <w:jc w:val="both"/>
      </w:pPr>
      <w:r>
        <w:rPr>
          <w:color w:val="231F20"/>
        </w:rPr>
        <w:t xml:space="preserve">The </w:t>
      </w:r>
      <w:r w:rsidR="00C507A5">
        <w:rPr>
          <w:color w:val="231F20"/>
        </w:rPr>
        <w:t>red army faction</w:t>
      </w:r>
      <w:r>
        <w:rPr>
          <w:color w:val="231F20"/>
        </w:rPr>
        <w:t>’s insistence that West Germany was itself an oppressor nation, and that even its working class constituted a labor aristocracy, would contrast sharply with this.</w:t>
      </w:r>
    </w:p>
    <w:p w14:paraId="17D792B9" w14:textId="77777777" w:rsidR="002653E8" w:rsidRDefault="003115E3">
      <w:pPr>
        <w:pStyle w:val="a3"/>
        <w:spacing w:line="264" w:lineRule="auto"/>
        <w:ind w:left="3567" w:right="1317" w:firstLine="210"/>
        <w:jc w:val="both"/>
      </w:pPr>
      <w:r>
        <w:drawing>
          <wp:anchor distT="0" distB="0" distL="0" distR="0" simplePos="0" relativeHeight="9112" behindDoc="0" locked="0" layoutInCell="1" allowOverlap="1" wp14:anchorId="13859380" wp14:editId="06784C0D">
            <wp:simplePos x="0" y="0"/>
            <wp:positionH relativeFrom="page">
              <wp:posOffset>735048</wp:posOffset>
            </wp:positionH>
            <wp:positionV relativeFrom="paragraph">
              <wp:posOffset>65955</wp:posOffset>
            </wp:positionV>
            <wp:extent cx="1382198" cy="2084681"/>
            <wp:effectExtent l="0" t="0" r="0" b="0"/>
            <wp:wrapNone/>
            <wp:docPr id="5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4.png"/>
                    <pic:cNvPicPr/>
                  </pic:nvPicPr>
                  <pic:blipFill>
                    <a:blip r:embed="rId359" cstate="print"/>
                    <a:stretch>
                      <a:fillRect/>
                    </a:stretch>
                  </pic:blipFill>
                  <pic:spPr>
                    <a:xfrm>
                      <a:off x="0" y="0"/>
                      <a:ext cx="1382198" cy="2084681"/>
                    </a:xfrm>
                    <a:prstGeom prst="rect">
                      <a:avLst/>
                    </a:prstGeom>
                  </pic:spPr>
                </pic:pic>
              </a:graphicData>
            </a:graphic>
          </wp:anchor>
        </w:drawing>
      </w:r>
      <w:r>
        <w:rPr>
          <w:color w:val="231F20"/>
        </w:rPr>
        <w:t xml:space="preserve">The K-groups could not be expected to offer any substantial support to the </w:t>
      </w:r>
      <w:r w:rsidR="00C507A5">
        <w:rPr>
          <w:color w:val="231F20"/>
          <w:spacing w:val="6"/>
        </w:rPr>
        <w:t>red army faction</w:t>
      </w:r>
      <w:r>
        <w:rPr>
          <w:color w:val="231F20"/>
          <w:spacing w:val="6"/>
        </w:rPr>
        <w:t xml:space="preserve"> </w:t>
      </w:r>
      <w:r>
        <w:rPr>
          <w:color w:val="231F20"/>
        </w:rPr>
        <w:t xml:space="preserve">given their opposition to guerilla  activi ties in the First </w:t>
      </w:r>
      <w:r>
        <w:rPr>
          <w:color w:val="231F20"/>
          <w:spacing w:val="-3"/>
        </w:rPr>
        <w:t xml:space="preserve">World, </w:t>
      </w:r>
      <w:r>
        <w:rPr>
          <w:color w:val="231F20"/>
        </w:rPr>
        <w:t xml:space="preserve">which most of them perceived as adventurist and even counterrevolutionary. Perhaps of equal importance, their “anti-revisionist”  trajectory and uncritical support for China’s foreign policy led many Maoists to oppose those national liberation movements in the Third </w:t>
      </w:r>
      <w:r>
        <w:rPr>
          <w:color w:val="231F20"/>
          <w:spacing w:val="-4"/>
        </w:rPr>
        <w:t xml:space="preserve">World </w:t>
      </w:r>
      <w:r>
        <w:rPr>
          <w:color w:val="231F20"/>
        </w:rPr>
        <w:t>which received aid from the East Bloc countries. Eventually, some K-groups would even go so far as to support the</w:t>
      </w:r>
      <w:r>
        <w:rPr>
          <w:color w:val="231F20"/>
          <w:spacing w:val="-6"/>
        </w:rPr>
        <w:t xml:space="preserve"> </w:t>
      </w:r>
      <w:r>
        <w:rPr>
          <w:color w:val="231F20"/>
        </w:rPr>
        <w:t>same</w:t>
      </w:r>
    </w:p>
    <w:p w14:paraId="44247928" w14:textId="77777777" w:rsidR="002653E8" w:rsidRDefault="002653E8">
      <w:pPr>
        <w:spacing w:line="264" w:lineRule="auto"/>
        <w:jc w:val="both"/>
        <w:sectPr w:rsidR="002653E8">
          <w:footerReference w:type="even" r:id="rId360"/>
          <w:footerReference w:type="default" r:id="rId361"/>
          <w:pgSz w:w="8640" w:h="12960"/>
          <w:pgMar w:top="1040" w:right="0" w:bottom="1040" w:left="0" w:header="0" w:footer="850" w:gutter="0"/>
          <w:pgNumType w:start="434"/>
          <w:cols w:space="720"/>
        </w:sectPr>
      </w:pPr>
    </w:p>
    <w:p w14:paraId="4648C4FA" w14:textId="77777777" w:rsidR="002653E8" w:rsidRDefault="003115E3">
      <w:pPr>
        <w:spacing w:before="74" w:line="244" w:lineRule="auto"/>
        <w:ind w:left="1327" w:right="240"/>
        <w:jc w:val="center"/>
        <w:rPr>
          <w:i/>
          <w:sz w:val="18"/>
        </w:rPr>
      </w:pPr>
      <w:r>
        <w:rPr>
          <w:color w:val="231F20"/>
          <w:sz w:val="18"/>
        </w:rPr>
        <w:t>“</w:t>
      </w:r>
      <w:r>
        <w:rPr>
          <w:i/>
          <w:color w:val="231F20"/>
          <w:sz w:val="18"/>
        </w:rPr>
        <w:t xml:space="preserve">Forward in the struggle for the  rights of the working </w:t>
      </w:r>
      <w:r>
        <w:rPr>
          <w:i/>
          <w:color w:val="231F20"/>
          <w:spacing w:val="1"/>
          <w:sz w:val="18"/>
        </w:rPr>
        <w:t xml:space="preserve">class and </w:t>
      </w:r>
      <w:r>
        <w:rPr>
          <w:i/>
          <w:color w:val="231F20"/>
          <w:sz w:val="18"/>
        </w:rPr>
        <w:t xml:space="preserve">the people— Forward  in  the struggle for the </w:t>
      </w:r>
      <w:r>
        <w:rPr>
          <w:i/>
          <w:color w:val="231F20"/>
          <w:spacing w:val="1"/>
          <w:sz w:val="18"/>
        </w:rPr>
        <w:t xml:space="preserve">victory </w:t>
      </w:r>
      <w:r>
        <w:rPr>
          <w:i/>
          <w:color w:val="231F20"/>
          <w:sz w:val="18"/>
        </w:rPr>
        <w:t>of</w:t>
      </w:r>
      <w:r>
        <w:rPr>
          <w:i/>
          <w:color w:val="231F20"/>
          <w:spacing w:val="18"/>
          <w:sz w:val="18"/>
        </w:rPr>
        <w:t xml:space="preserve"> </w:t>
      </w:r>
      <w:r>
        <w:rPr>
          <w:i/>
          <w:color w:val="231F20"/>
          <w:sz w:val="18"/>
        </w:rPr>
        <w:t>socialism”</w:t>
      </w:r>
    </w:p>
    <w:p w14:paraId="70B995AA" w14:textId="77777777" w:rsidR="002653E8" w:rsidRDefault="003115E3">
      <w:pPr>
        <w:pStyle w:val="a3"/>
        <w:spacing w:line="200" w:lineRule="exact"/>
        <w:ind w:left="193"/>
      </w:pPr>
      <w:r>
        <w:br w:type="column"/>
      </w:r>
      <w:r>
        <w:rPr>
          <w:color w:val="231F20"/>
        </w:rPr>
        <w:t>anticommunist guerillas that the United</w:t>
      </w:r>
    </w:p>
    <w:p w14:paraId="1AAF9BB6" w14:textId="77777777" w:rsidR="002653E8" w:rsidRDefault="003115E3">
      <w:pPr>
        <w:pStyle w:val="a3"/>
        <w:spacing w:before="22"/>
        <w:ind w:left="193"/>
      </w:pPr>
      <w:r>
        <w:rPr>
          <w:color w:val="231F20"/>
        </w:rPr>
        <w:t>States was backing at the time.</w:t>
      </w:r>
    </w:p>
    <w:p w14:paraId="5DF55FD2" w14:textId="17BE73E6" w:rsidR="002653E8" w:rsidRDefault="003115E3">
      <w:pPr>
        <w:pStyle w:val="a3"/>
        <w:spacing w:before="22" w:line="264" w:lineRule="auto"/>
        <w:ind w:left="193" w:right="1326" w:firstLine="210"/>
        <w:jc w:val="both"/>
      </w:pPr>
      <w:r>
        <w:rPr>
          <w:color w:val="231F20"/>
        </w:rPr>
        <w:t xml:space="preserve">Despite these differences, certain </w:t>
      </w:r>
      <w:r>
        <w:rPr>
          <w:color w:val="231F20"/>
          <w:w w:val="114"/>
        </w:rPr>
        <w:t>K</w:t>
      </w:r>
      <w:r>
        <w:rPr>
          <w:color w:val="231F20"/>
        </w:rPr>
        <w:t>-</w:t>
      </w:r>
      <w:r>
        <w:rPr>
          <w:color w:val="231F20"/>
          <w:w w:val="101"/>
        </w:rPr>
        <w:t>g</w:t>
      </w:r>
      <w:r>
        <w:rPr>
          <w:color w:val="231F20"/>
          <w:w w:val="94"/>
        </w:rPr>
        <w:t>r</w:t>
      </w:r>
      <w:r>
        <w:rPr>
          <w:color w:val="231F20"/>
          <w:w w:val="104"/>
        </w:rPr>
        <w:t>o</w:t>
      </w:r>
      <w:r>
        <w:rPr>
          <w:color w:val="231F20"/>
        </w:rPr>
        <w:t>u</w:t>
      </w:r>
      <w:r>
        <w:rPr>
          <w:color w:val="231F20"/>
          <w:w w:val="99"/>
        </w:rPr>
        <w:t>p</w:t>
      </w:r>
      <w:r>
        <w:rPr>
          <w:color w:val="231F20"/>
          <w:w w:val="90"/>
        </w:rPr>
        <w:t>s</w:t>
      </w:r>
      <w:r>
        <w:rPr>
          <w:color w:val="231F20"/>
        </w:rPr>
        <w:t>—</w:t>
      </w:r>
      <w:r>
        <w:rPr>
          <w:color w:val="231F20"/>
          <w:w w:val="99"/>
        </w:rPr>
        <w:t>n</w:t>
      </w:r>
      <w:r>
        <w:rPr>
          <w:color w:val="231F20"/>
          <w:w w:val="104"/>
        </w:rPr>
        <w:t>o</w:t>
      </w:r>
      <w:r>
        <w:rPr>
          <w:color w:val="231F20"/>
          <w:w w:val="98"/>
        </w:rPr>
        <w:t>t</w:t>
      </w:r>
      <w:r>
        <w:rPr>
          <w:color w:val="231F20"/>
          <w:w w:val="102"/>
        </w:rPr>
        <w:t>a</w:t>
      </w:r>
      <w:r>
        <w:rPr>
          <w:color w:val="231F20"/>
          <w:w w:val="101"/>
        </w:rPr>
        <w:t>b</w:t>
      </w:r>
      <w:r>
        <w:rPr>
          <w:color w:val="231F20"/>
          <w:w w:val="102"/>
        </w:rPr>
        <w:t>l</w:t>
      </w:r>
      <w:r>
        <w:rPr>
          <w:color w:val="231F20"/>
          <w:w w:val="99"/>
        </w:rPr>
        <w:t>y</w:t>
      </w:r>
      <w:r>
        <w:rPr>
          <w:color w:val="231F20"/>
        </w:rPr>
        <w:t xml:space="preserve">      </w:t>
      </w:r>
      <w:r>
        <w:rPr>
          <w:color w:val="231F20"/>
          <w:w w:val="98"/>
        </w:rPr>
        <w:t>t</w:t>
      </w:r>
      <w:r>
        <w:rPr>
          <w:color w:val="231F20"/>
        </w:rPr>
        <w:t>h</w:t>
      </w:r>
      <w:r>
        <w:rPr>
          <w:color w:val="231F20"/>
          <w:w w:val="91"/>
        </w:rPr>
        <w:t>e</w:t>
      </w:r>
      <w:r>
        <w:rPr>
          <w:color w:val="231F20"/>
        </w:rPr>
        <w:t xml:space="preserve">      </w:t>
      </w:r>
      <w:r>
        <w:rPr>
          <w:color w:val="231F20"/>
          <w:w w:val="114"/>
        </w:rPr>
        <w:t>K</w:t>
      </w:r>
      <w:r>
        <w:rPr>
          <w:color w:val="231F20"/>
          <w:w w:val="108"/>
        </w:rPr>
        <w:t>PD</w:t>
      </w:r>
      <w:r>
        <w:rPr>
          <w:color w:val="231F20"/>
          <w:w w:val="56"/>
        </w:rPr>
        <w:t>/</w:t>
      </w:r>
      <w:r>
        <w:rPr>
          <w:color w:val="231F20"/>
          <w:w w:val="119"/>
        </w:rPr>
        <w:t>ML</w:t>
      </w:r>
      <w:r>
        <w:rPr>
          <w:color w:val="231F20"/>
        </w:rPr>
        <w:t>—did offer important and much appreciated support to the prisoners during their third hunger strike in 1974.</w:t>
      </w:r>
    </w:p>
    <w:p w14:paraId="2969D8CD" w14:textId="77777777" w:rsidR="002653E8" w:rsidRDefault="002653E8">
      <w:pPr>
        <w:spacing w:line="264" w:lineRule="auto"/>
        <w:jc w:val="both"/>
        <w:sectPr w:rsidR="002653E8">
          <w:type w:val="continuous"/>
          <w:pgSz w:w="8640" w:h="12960"/>
          <w:pgMar w:top="0" w:right="0" w:bottom="0" w:left="0" w:header="720" w:footer="720" w:gutter="0"/>
          <w:cols w:num="2" w:space="720" w:equalWidth="0">
            <w:col w:w="3335" w:space="40"/>
            <w:col w:w="5265"/>
          </w:cols>
        </w:sectPr>
      </w:pPr>
    </w:p>
    <w:p w14:paraId="5CAEFE52" w14:textId="77777777" w:rsidR="002653E8" w:rsidRDefault="003115E3">
      <w:pPr>
        <w:spacing w:before="87"/>
        <w:ind w:left="1327"/>
      </w:pPr>
      <w:r>
        <w:rPr>
          <w:color w:val="231F20"/>
          <w:w w:val="125"/>
        </w:rPr>
        <w:lastRenderedPageBreak/>
        <w:t>the spontis and the revolutionary cells</w:t>
      </w:r>
    </w:p>
    <w:p w14:paraId="405F856D" w14:textId="6DA5DF7A" w:rsidR="002653E8" w:rsidRDefault="003115E3">
      <w:pPr>
        <w:pStyle w:val="a3"/>
        <w:spacing w:before="18" w:line="264" w:lineRule="auto"/>
        <w:ind w:left="1327" w:right="1145"/>
        <w:jc w:val="both"/>
      </w:pPr>
      <w:r>
        <w:rPr>
          <w:color w:val="231F20"/>
          <w:spacing w:val="1"/>
        </w:rPr>
        <w:t xml:space="preserve">If </w:t>
      </w:r>
      <w:r>
        <w:rPr>
          <w:color w:val="231F20"/>
        </w:rPr>
        <w:t xml:space="preserve">the K-groups represented one answer to the APO’s shortcomings, other militants, especially those who remained based in the universities and the counterculture, had set out on a very different trajectory. Anarchism, anti-vanguardist Marxism, and even simple “actionism” revealing a bias against any political  theory,  combined  and  fed  into the </w:t>
      </w:r>
      <w:r>
        <w:rPr>
          <w:i/>
          <w:color w:val="231F20"/>
        </w:rPr>
        <w:t xml:space="preserve">sponti </w:t>
      </w:r>
      <w:r>
        <w:rPr>
          <w:color w:val="231F20"/>
        </w:rPr>
        <w:t xml:space="preserve">scene. These activists placed great store in  the  politicization of everyday life, and </w:t>
      </w:r>
      <w:r>
        <w:rPr>
          <w:color w:val="231F20"/>
          <w:spacing w:val="-3"/>
        </w:rPr>
        <w:t xml:space="preserve">one’s </w:t>
      </w:r>
      <w:r>
        <w:rPr>
          <w:color w:val="231F20"/>
        </w:rPr>
        <w:t>personal liberation from authoritarian institutions—a process which they felt could only be made possible in spaces freed from capitalist domination. Later in the decade, parts of this scene would be instrumental in spreading the ideas of autonomist communism</w:t>
      </w:r>
      <w:r>
        <w:rPr>
          <w:color w:val="231F20"/>
          <w:spacing w:val="10"/>
        </w:rPr>
        <w:t xml:space="preserve"> </w:t>
      </w:r>
      <w:r>
        <w:rPr>
          <w:color w:val="231F20"/>
        </w:rPr>
        <w:t>from</w:t>
      </w:r>
      <w:r>
        <w:rPr>
          <w:color w:val="231F20"/>
          <w:spacing w:val="10"/>
        </w:rPr>
        <w:t xml:space="preserve"> </w:t>
      </w:r>
      <w:r>
        <w:rPr>
          <w:color w:val="231F20"/>
        </w:rPr>
        <w:t>Italy</w:t>
      </w:r>
      <w:r>
        <w:rPr>
          <w:color w:val="231F20"/>
          <w:spacing w:val="10"/>
        </w:rPr>
        <w:t xml:space="preserve"> </w:t>
      </w:r>
      <w:r>
        <w:rPr>
          <w:color w:val="231F20"/>
        </w:rPr>
        <w:t>to</w:t>
      </w:r>
      <w:r>
        <w:rPr>
          <w:color w:val="231F20"/>
          <w:spacing w:val="10"/>
        </w:rPr>
        <w:t xml:space="preserve"> </w:t>
      </w:r>
      <w:r>
        <w:rPr>
          <w:color w:val="231F20"/>
        </w:rPr>
        <w:t>the</w:t>
      </w:r>
      <w:r>
        <w:rPr>
          <w:color w:val="231F20"/>
          <w:spacing w:val="10"/>
        </w:rPr>
        <w:t xml:space="preserve"> </w:t>
      </w:r>
      <w:r>
        <w:rPr>
          <w:color w:val="231F20"/>
        </w:rPr>
        <w:t>Federal</w:t>
      </w:r>
      <w:r>
        <w:rPr>
          <w:color w:val="231F20"/>
          <w:spacing w:val="10"/>
        </w:rPr>
        <w:t xml:space="preserve"> </w:t>
      </w:r>
      <w:r>
        <w:rPr>
          <w:color w:val="231F20"/>
        </w:rPr>
        <w:t>Republic.</w:t>
      </w:r>
    </w:p>
    <w:p w14:paraId="2B8E872F" w14:textId="77777777" w:rsidR="002653E8" w:rsidRDefault="00000000">
      <w:pPr>
        <w:pStyle w:val="a3"/>
        <w:spacing w:line="264" w:lineRule="auto"/>
        <w:ind w:left="1327" w:right="1146" w:firstLine="210"/>
        <w:jc w:val="both"/>
      </w:pPr>
      <w:r>
        <w:rPr>
          <w:noProof w:val="0"/>
        </w:rPr>
        <w:pict w14:anchorId="500A4B30">
          <v:group id="_x0000_s2243" style="position:absolute;left:0;text-align:left;margin-left:261.1pt;margin-top:68.3pt;width:113.55pt;height:159.55pt;z-index:-455488;mso-position-horizontal-relative:page" coordorigin="5222,1366" coordsize="2271,3191">
            <v:shape id="_x0000_s2245" type="#_x0000_t75" style="position:absolute;left:5279;top:1420;width:2175;height:3082">
              <v:imagedata r:id="rId362" o:title=""/>
            </v:shape>
            <v:rect id="_x0000_s2244" style="position:absolute;left:5231;top:1376;width:2251;height:3171" filled="f" strokecolor="#231f20" strokeweight="1pt"/>
            <w10:wrap anchorx="page"/>
          </v:group>
        </w:pict>
      </w:r>
      <w:r w:rsidR="003115E3">
        <w:rPr>
          <w:color w:val="231F20"/>
          <w:spacing w:val="1"/>
        </w:rPr>
        <w:t xml:space="preserve">In </w:t>
      </w:r>
      <w:r w:rsidR="003115E3">
        <w:rPr>
          <w:color w:val="231F20"/>
        </w:rPr>
        <w:t xml:space="preserve">the early seventies, the </w:t>
      </w:r>
      <w:r w:rsidR="003115E3">
        <w:rPr>
          <w:i/>
          <w:color w:val="231F20"/>
        </w:rPr>
        <w:t xml:space="preserve">spontis </w:t>
      </w:r>
      <w:r w:rsidR="003115E3">
        <w:rPr>
          <w:color w:val="231F20"/>
        </w:rPr>
        <w:t xml:space="preserve">lead militant squatters’ movements in Frankfurt and Hamburg, although these were unfortunately unable  to survive repeated police attacks. More than one </w:t>
      </w:r>
      <w:r w:rsidR="00C507A5">
        <w:rPr>
          <w:color w:val="231F20"/>
          <w:spacing w:val="5"/>
        </w:rPr>
        <w:t>red army faction</w:t>
      </w:r>
      <w:r w:rsidR="003115E3">
        <w:rPr>
          <w:color w:val="231F20"/>
          <w:spacing w:val="5"/>
        </w:rPr>
        <w:t xml:space="preserve"> </w:t>
      </w:r>
      <w:r w:rsidR="003115E3">
        <w:rPr>
          <w:color w:val="231F20"/>
        </w:rPr>
        <w:t>member came out of these squatting scenes</w:t>
      </w:r>
      <w:r w:rsidR="003115E3">
        <w:rPr>
          <w:color w:val="231F20"/>
          <w:position w:val="7"/>
          <w:sz w:val="11"/>
        </w:rPr>
        <w:t xml:space="preserve">1 </w:t>
      </w:r>
      <w:r w:rsidR="003115E3">
        <w:rPr>
          <w:color w:val="231F20"/>
        </w:rPr>
        <w:t xml:space="preserve">that during their brief existence played a role similar to that of the communes in the </w:t>
      </w:r>
      <w:r w:rsidR="003115E3">
        <w:rPr>
          <w:color w:val="231F20"/>
          <w:spacing w:val="1"/>
        </w:rPr>
        <w:t xml:space="preserve">APO </w:t>
      </w:r>
      <w:r w:rsidR="003115E3">
        <w:rPr>
          <w:color w:val="231F20"/>
        </w:rPr>
        <w:t>days, providing spaces where people could create their own</w:t>
      </w:r>
      <w:r w:rsidR="003115E3">
        <w:rPr>
          <w:color w:val="231F20"/>
          <w:spacing w:val="-5"/>
        </w:rPr>
        <w:t xml:space="preserve"> </w:t>
      </w:r>
      <w:r w:rsidR="003115E3">
        <w:rPr>
          <w:color w:val="231F20"/>
        </w:rPr>
        <w:t>cul-</w:t>
      </w:r>
    </w:p>
    <w:p w14:paraId="15E4CEB9" w14:textId="77777777" w:rsidR="002653E8" w:rsidRDefault="003115E3">
      <w:pPr>
        <w:pStyle w:val="a3"/>
        <w:spacing w:line="264" w:lineRule="auto"/>
        <w:ind w:left="1328" w:right="3617"/>
        <w:jc w:val="both"/>
      </w:pPr>
      <w:r>
        <w:rPr>
          <w:color w:val="231F20"/>
        </w:rPr>
        <w:t>tures and relationships while being pulled in a militant direction by the very fact that they were living in illegal conditions.</w:t>
      </w:r>
    </w:p>
    <w:p w14:paraId="05DB4EFA" w14:textId="77777777" w:rsidR="002653E8" w:rsidRDefault="003115E3">
      <w:pPr>
        <w:pStyle w:val="a3"/>
        <w:spacing w:line="264" w:lineRule="auto"/>
        <w:ind w:left="1327" w:right="3616" w:firstLine="210"/>
        <w:jc w:val="both"/>
      </w:pPr>
      <w:r>
        <w:rPr>
          <w:color w:val="231F20"/>
          <w:spacing w:val="1"/>
          <w:w w:val="105"/>
        </w:rPr>
        <w:t>In</w:t>
      </w:r>
      <w:r>
        <w:rPr>
          <w:color w:val="231F20"/>
          <w:spacing w:val="-20"/>
          <w:w w:val="105"/>
        </w:rPr>
        <w:t xml:space="preserve"> </w:t>
      </w:r>
      <w:r>
        <w:rPr>
          <w:color w:val="231F20"/>
          <w:spacing w:val="-6"/>
          <w:w w:val="105"/>
        </w:rPr>
        <w:t>1974,</w:t>
      </w:r>
      <w:r>
        <w:rPr>
          <w:color w:val="231F20"/>
          <w:spacing w:val="-20"/>
          <w:w w:val="105"/>
        </w:rPr>
        <w:t xml:space="preserve"> </w:t>
      </w:r>
      <w:r>
        <w:rPr>
          <w:color w:val="231F20"/>
          <w:w w:val="105"/>
        </w:rPr>
        <w:t>the</w:t>
      </w:r>
      <w:r>
        <w:rPr>
          <w:color w:val="231F20"/>
          <w:spacing w:val="-20"/>
          <w:w w:val="105"/>
        </w:rPr>
        <w:t xml:space="preserve"> </w:t>
      </w:r>
      <w:r>
        <w:rPr>
          <w:color w:val="231F20"/>
          <w:w w:val="105"/>
        </w:rPr>
        <w:t>movement</w:t>
      </w:r>
      <w:r>
        <w:rPr>
          <w:color w:val="231F20"/>
          <w:spacing w:val="-20"/>
          <w:w w:val="105"/>
        </w:rPr>
        <w:t xml:space="preserve"> </w:t>
      </w:r>
      <w:r>
        <w:rPr>
          <w:color w:val="231F20"/>
          <w:w w:val="105"/>
        </w:rPr>
        <w:t>acquired</w:t>
      </w:r>
      <w:r>
        <w:rPr>
          <w:color w:val="231F20"/>
          <w:spacing w:val="-20"/>
          <w:w w:val="105"/>
        </w:rPr>
        <w:t xml:space="preserve"> </w:t>
      </w:r>
      <w:r>
        <w:rPr>
          <w:color w:val="231F20"/>
          <w:w w:val="105"/>
        </w:rPr>
        <w:t>its</w:t>
      </w:r>
      <w:r>
        <w:rPr>
          <w:color w:val="231F20"/>
          <w:spacing w:val="-20"/>
          <w:w w:val="105"/>
        </w:rPr>
        <w:t xml:space="preserve"> </w:t>
      </w:r>
      <w:r>
        <w:rPr>
          <w:color w:val="231F20"/>
          <w:w w:val="105"/>
        </w:rPr>
        <w:t xml:space="preserve">own national newspaper, </w:t>
      </w:r>
      <w:r>
        <w:rPr>
          <w:i/>
          <w:color w:val="231F20"/>
          <w:w w:val="105"/>
        </w:rPr>
        <w:t>Info-BUG,</w:t>
      </w:r>
      <w:r>
        <w:rPr>
          <w:color w:val="231F20"/>
          <w:w w:val="105"/>
          <w:position w:val="7"/>
          <w:sz w:val="11"/>
        </w:rPr>
        <w:t xml:space="preserve">2 </w:t>
      </w:r>
      <w:r>
        <w:rPr>
          <w:color w:val="231F20"/>
          <w:w w:val="105"/>
        </w:rPr>
        <w:t xml:space="preserve">based in </w:t>
      </w:r>
      <w:r>
        <w:rPr>
          <w:color w:val="231F20"/>
          <w:spacing w:val="-3"/>
          <w:w w:val="105"/>
        </w:rPr>
        <w:t xml:space="preserve">West </w:t>
      </w:r>
      <w:r>
        <w:rPr>
          <w:color w:val="231F20"/>
          <w:w w:val="105"/>
        </w:rPr>
        <w:t xml:space="preserve">Berlin. The other important newspaper associated with the </w:t>
      </w:r>
      <w:r>
        <w:rPr>
          <w:i/>
          <w:color w:val="231F20"/>
          <w:w w:val="105"/>
        </w:rPr>
        <w:t xml:space="preserve">spontis </w:t>
      </w:r>
      <w:r>
        <w:rPr>
          <w:color w:val="231F20"/>
          <w:w w:val="105"/>
        </w:rPr>
        <w:t xml:space="preserve">was Daniel Cohn-Bendit’s </w:t>
      </w:r>
      <w:r>
        <w:rPr>
          <w:i/>
          <w:color w:val="231F20"/>
          <w:spacing w:val="1"/>
          <w:w w:val="105"/>
        </w:rPr>
        <w:t>Pflasterstrand</w:t>
      </w:r>
      <w:r>
        <w:rPr>
          <w:color w:val="231F20"/>
          <w:spacing w:val="1"/>
          <w:w w:val="105"/>
        </w:rPr>
        <w:t xml:space="preserve">, </w:t>
      </w:r>
      <w:r>
        <w:rPr>
          <w:color w:val="231F20"/>
          <w:w w:val="105"/>
        </w:rPr>
        <w:t xml:space="preserve">founded in </w:t>
      </w:r>
      <w:r>
        <w:rPr>
          <w:color w:val="231F20"/>
          <w:spacing w:val="-5"/>
          <w:w w:val="105"/>
        </w:rPr>
        <w:t xml:space="preserve">1976 </w:t>
      </w:r>
      <w:r>
        <w:rPr>
          <w:color w:val="231F20"/>
          <w:w w:val="105"/>
        </w:rPr>
        <w:t xml:space="preserve">and based in Frankfurt. </w:t>
      </w:r>
      <w:r>
        <w:rPr>
          <w:i/>
          <w:color w:val="231F20"/>
          <w:w w:val="105"/>
        </w:rPr>
        <w:t>Informationsdienst</w:t>
      </w:r>
      <w:r>
        <w:rPr>
          <w:color w:val="231F20"/>
          <w:w w:val="105"/>
        </w:rPr>
        <w:t xml:space="preserve">, more radical than </w:t>
      </w:r>
      <w:r>
        <w:rPr>
          <w:i/>
          <w:color w:val="231F20"/>
          <w:spacing w:val="1"/>
          <w:w w:val="105"/>
        </w:rPr>
        <w:t>Pflasterstrand</w:t>
      </w:r>
      <w:r>
        <w:rPr>
          <w:i/>
          <w:color w:val="231F20"/>
          <w:spacing w:val="-15"/>
          <w:w w:val="105"/>
        </w:rPr>
        <w:t xml:space="preserve"> </w:t>
      </w:r>
      <w:r>
        <w:rPr>
          <w:color w:val="231F20"/>
          <w:w w:val="105"/>
        </w:rPr>
        <w:t>and</w:t>
      </w:r>
      <w:r>
        <w:rPr>
          <w:color w:val="231F20"/>
          <w:spacing w:val="-15"/>
          <w:w w:val="105"/>
        </w:rPr>
        <w:t xml:space="preserve"> </w:t>
      </w:r>
      <w:r>
        <w:rPr>
          <w:color w:val="231F20"/>
          <w:w w:val="105"/>
        </w:rPr>
        <w:t>also</w:t>
      </w:r>
      <w:r>
        <w:rPr>
          <w:color w:val="231F20"/>
          <w:spacing w:val="-15"/>
          <w:w w:val="105"/>
        </w:rPr>
        <w:t xml:space="preserve"> </w:t>
      </w:r>
      <w:r>
        <w:rPr>
          <w:color w:val="231F20"/>
          <w:w w:val="105"/>
        </w:rPr>
        <w:t>with</w:t>
      </w:r>
      <w:r>
        <w:rPr>
          <w:color w:val="231F20"/>
          <w:spacing w:val="-15"/>
          <w:w w:val="105"/>
        </w:rPr>
        <w:t xml:space="preserve"> </w:t>
      </w:r>
      <w:r>
        <w:rPr>
          <w:color w:val="231F20"/>
          <w:w w:val="105"/>
        </w:rPr>
        <w:t>a</w:t>
      </w:r>
      <w:r>
        <w:rPr>
          <w:color w:val="231F20"/>
          <w:spacing w:val="-15"/>
          <w:w w:val="105"/>
        </w:rPr>
        <w:t xml:space="preserve"> </w:t>
      </w:r>
      <w:r>
        <w:rPr>
          <w:color w:val="231F20"/>
          <w:w w:val="105"/>
        </w:rPr>
        <w:t>broader</w:t>
      </w:r>
      <w:r>
        <w:rPr>
          <w:color w:val="231F20"/>
          <w:spacing w:val="-15"/>
          <w:w w:val="105"/>
        </w:rPr>
        <w:t xml:space="preserve"> </w:t>
      </w:r>
      <w:r>
        <w:rPr>
          <w:color w:val="231F20"/>
          <w:w w:val="105"/>
        </w:rPr>
        <w:t>appeal, was yet another regular</w:t>
      </w:r>
      <w:r>
        <w:rPr>
          <w:color w:val="231F20"/>
          <w:spacing w:val="27"/>
          <w:w w:val="105"/>
        </w:rPr>
        <w:t xml:space="preserve"> </w:t>
      </w:r>
      <w:r>
        <w:rPr>
          <w:color w:val="231F20"/>
          <w:w w:val="105"/>
        </w:rPr>
        <w:t>movement</w:t>
      </w:r>
    </w:p>
    <w:p w14:paraId="49717009" w14:textId="77777777" w:rsidR="002653E8" w:rsidRDefault="002653E8">
      <w:pPr>
        <w:spacing w:line="264" w:lineRule="auto"/>
        <w:jc w:val="both"/>
        <w:sectPr w:rsidR="002653E8">
          <w:pgSz w:w="8640" w:h="12960"/>
          <w:pgMar w:top="1040" w:right="0" w:bottom="1040" w:left="0" w:header="0" w:footer="850" w:gutter="0"/>
          <w:cols w:space="720"/>
        </w:sectPr>
      </w:pPr>
    </w:p>
    <w:p w14:paraId="1FE3F159" w14:textId="77777777" w:rsidR="002653E8" w:rsidRDefault="003115E3">
      <w:pPr>
        <w:pStyle w:val="a3"/>
        <w:spacing w:line="204" w:lineRule="exact"/>
        <w:ind w:left="1327"/>
      </w:pPr>
      <w:r>
        <w:rPr>
          <w:color w:val="231F20"/>
        </w:rPr>
        <w:t>publication that had been coming out of</w:t>
      </w:r>
    </w:p>
    <w:p w14:paraId="06AEA247" w14:textId="77777777" w:rsidR="002653E8" w:rsidRDefault="003115E3">
      <w:pPr>
        <w:pStyle w:val="a3"/>
        <w:spacing w:before="22"/>
        <w:ind w:left="1327"/>
      </w:pPr>
      <w:r>
        <w:rPr>
          <w:color w:val="231F20"/>
        </w:rPr>
        <w:t>that city since 1973.</w:t>
      </w:r>
    </w:p>
    <w:p w14:paraId="74942115" w14:textId="77777777" w:rsidR="002653E8" w:rsidRDefault="003115E3">
      <w:pPr>
        <w:pStyle w:val="a3"/>
        <w:spacing w:before="22" w:line="264" w:lineRule="auto"/>
        <w:ind w:left="1327" w:firstLine="210"/>
        <w:jc w:val="both"/>
      </w:pPr>
      <w:r>
        <w:rPr>
          <w:color w:val="231F20"/>
        </w:rPr>
        <w:t xml:space="preserve">The </w:t>
      </w:r>
      <w:r>
        <w:rPr>
          <w:i/>
          <w:color w:val="231F20"/>
        </w:rPr>
        <w:t xml:space="preserve">spontis </w:t>
      </w:r>
      <w:r>
        <w:rPr>
          <w:color w:val="231F20"/>
        </w:rPr>
        <w:t>formed the radical edge of the undogmatic left, and of all the various non-guerilla scenes, they were closest to</w:t>
      </w:r>
    </w:p>
    <w:p w14:paraId="71C611AC" w14:textId="77777777" w:rsidR="002653E8" w:rsidRDefault="003115E3">
      <w:pPr>
        <w:spacing w:line="160" w:lineRule="exact"/>
        <w:ind w:left="562"/>
        <w:rPr>
          <w:i/>
          <w:sz w:val="18"/>
        </w:rPr>
      </w:pPr>
      <w:r>
        <w:br w:type="column"/>
      </w:r>
      <w:r>
        <w:rPr>
          <w:i/>
          <w:color w:val="231F20"/>
          <w:sz w:val="18"/>
        </w:rPr>
        <w:t>Poster for a sponti</w:t>
      </w:r>
    </w:p>
    <w:p w14:paraId="56A0D4D1" w14:textId="77777777" w:rsidR="002653E8" w:rsidRDefault="003115E3">
      <w:pPr>
        <w:spacing w:before="5" w:line="244" w:lineRule="auto"/>
        <w:ind w:left="405" w:right="1265" w:firstLine="279"/>
        <w:rPr>
          <w:i/>
          <w:sz w:val="18"/>
        </w:rPr>
      </w:pPr>
      <w:r>
        <w:rPr>
          <w:i/>
          <w:color w:val="231F20"/>
          <w:w w:val="110"/>
          <w:sz w:val="18"/>
        </w:rPr>
        <w:t xml:space="preserve">demonstration: “The LHG Struggles </w:t>
      </w:r>
      <w:r>
        <w:rPr>
          <w:i/>
          <w:color w:val="231F20"/>
          <w:w w:val="105"/>
          <w:sz w:val="18"/>
        </w:rPr>
        <w:t>Against the Education</w:t>
      </w:r>
    </w:p>
    <w:p w14:paraId="73112DF7" w14:textId="77777777" w:rsidR="002653E8" w:rsidRDefault="003115E3">
      <w:pPr>
        <w:spacing w:before="2"/>
        <w:ind w:left="922" w:right="1908"/>
        <w:jc w:val="center"/>
        <w:rPr>
          <w:i/>
          <w:sz w:val="18"/>
        </w:rPr>
      </w:pPr>
      <w:r>
        <w:rPr>
          <w:i/>
          <w:color w:val="231F20"/>
          <w:w w:val="110"/>
          <w:sz w:val="18"/>
        </w:rPr>
        <w:t>Factory”</w:t>
      </w:r>
    </w:p>
    <w:p w14:paraId="751D46FA" w14:textId="77777777" w:rsidR="002653E8" w:rsidRDefault="002653E8">
      <w:pPr>
        <w:jc w:val="center"/>
        <w:rPr>
          <w:sz w:val="18"/>
        </w:rPr>
        <w:sectPr w:rsidR="002653E8">
          <w:type w:val="continuous"/>
          <w:pgSz w:w="8640" w:h="12960"/>
          <w:pgMar w:top="0" w:right="0" w:bottom="0" w:left="0" w:header="720" w:footer="720" w:gutter="0"/>
          <w:cols w:num="2" w:space="720" w:equalWidth="0">
            <w:col w:w="5022" w:space="40"/>
            <w:col w:w="3578"/>
          </w:cols>
        </w:sectPr>
      </w:pPr>
    </w:p>
    <w:p w14:paraId="7F38D489" w14:textId="77777777" w:rsidR="002653E8" w:rsidRDefault="002653E8">
      <w:pPr>
        <w:pStyle w:val="a3"/>
        <w:rPr>
          <w:i/>
          <w:sz w:val="13"/>
        </w:rPr>
      </w:pPr>
    </w:p>
    <w:p w14:paraId="423E8561" w14:textId="77777777" w:rsidR="002653E8" w:rsidRDefault="00000000">
      <w:pPr>
        <w:pStyle w:val="a3"/>
        <w:spacing w:line="20" w:lineRule="exact"/>
        <w:ind w:left="1322"/>
        <w:rPr>
          <w:sz w:val="2"/>
        </w:rPr>
      </w:pPr>
      <w:r>
        <w:rPr>
          <w:sz w:val="2"/>
        </w:rPr>
      </w:r>
      <w:r>
        <w:rPr>
          <w:sz w:val="2"/>
        </w:rPr>
        <w:pict w14:anchorId="54D0D0CC">
          <v:group id="_x0000_s2241" style="width:1in;height:.5pt;mso-position-horizontal-relative:char;mso-position-vertical-relative:line" coordsize="1440,10">
            <v:line id="_x0000_s2242" style="position:absolute" from="0,5" to="1440,5" strokecolor="#231f20" strokeweight=".5pt"/>
            <w10:anchorlock/>
          </v:group>
        </w:pict>
      </w:r>
    </w:p>
    <w:p w14:paraId="738FAC95" w14:textId="77777777" w:rsidR="002653E8" w:rsidRDefault="003115E3">
      <w:pPr>
        <w:pStyle w:val="a4"/>
        <w:numPr>
          <w:ilvl w:val="0"/>
          <w:numId w:val="76"/>
        </w:numPr>
        <w:tabs>
          <w:tab w:val="left" w:pos="1467"/>
        </w:tabs>
        <w:spacing w:before="72" w:line="254" w:lineRule="auto"/>
        <w:ind w:right="1266" w:firstLine="0"/>
        <w:rPr>
          <w:sz w:val="16"/>
        </w:rPr>
      </w:pPr>
      <w:r>
        <w:rPr>
          <w:color w:val="231F20"/>
          <w:w w:val="105"/>
          <w:sz w:val="16"/>
        </w:rPr>
        <w:t xml:space="preserve">For instance, Karl-Heinz Dellwo and Bernd Rössner of the </w:t>
      </w:r>
      <w:r w:rsidR="00C507A5">
        <w:rPr>
          <w:color w:val="231F20"/>
          <w:spacing w:val="1"/>
          <w:w w:val="105"/>
          <w:sz w:val="16"/>
        </w:rPr>
        <w:t>red army faction</w:t>
      </w:r>
      <w:r>
        <w:rPr>
          <w:color w:val="231F20"/>
          <w:spacing w:val="1"/>
          <w:w w:val="105"/>
          <w:sz w:val="16"/>
        </w:rPr>
        <w:t xml:space="preserve">’s </w:t>
      </w:r>
      <w:r>
        <w:rPr>
          <w:color w:val="231F20"/>
          <w:w w:val="105"/>
          <w:sz w:val="16"/>
        </w:rPr>
        <w:t xml:space="preserve">Holger Meins Commando had both been active in the Hamburg squatters’ scene, as had Susanne Albrecht, Silke Maier-Witt, and Siegrid Sternebeck who would </w:t>
      </w:r>
      <w:r>
        <w:rPr>
          <w:color w:val="231F20"/>
          <w:spacing w:val="1"/>
          <w:w w:val="105"/>
          <w:sz w:val="16"/>
        </w:rPr>
        <w:t xml:space="preserve">carry </w:t>
      </w:r>
      <w:r>
        <w:rPr>
          <w:color w:val="231F20"/>
          <w:w w:val="105"/>
          <w:sz w:val="16"/>
        </w:rPr>
        <w:t>out the  illfated attack on Jürgen</w:t>
      </w:r>
      <w:r>
        <w:rPr>
          <w:color w:val="231F20"/>
          <w:spacing w:val="33"/>
          <w:w w:val="105"/>
          <w:sz w:val="16"/>
        </w:rPr>
        <w:t xml:space="preserve"> </w:t>
      </w:r>
      <w:r>
        <w:rPr>
          <w:color w:val="231F20"/>
          <w:w w:val="105"/>
          <w:sz w:val="16"/>
        </w:rPr>
        <w:t>Ponto.</w:t>
      </w:r>
    </w:p>
    <w:p w14:paraId="69DCC1DE" w14:textId="77777777" w:rsidR="002653E8" w:rsidRDefault="003115E3">
      <w:pPr>
        <w:pStyle w:val="a4"/>
        <w:numPr>
          <w:ilvl w:val="0"/>
          <w:numId w:val="76"/>
        </w:numPr>
        <w:tabs>
          <w:tab w:val="left" w:pos="1467"/>
        </w:tabs>
        <w:ind w:left="1466"/>
        <w:rPr>
          <w:sz w:val="16"/>
        </w:rPr>
      </w:pPr>
      <w:r>
        <w:rPr>
          <w:color w:val="231F20"/>
          <w:spacing w:val="2"/>
          <w:w w:val="105"/>
          <w:sz w:val="16"/>
        </w:rPr>
        <w:t xml:space="preserve">An </w:t>
      </w:r>
      <w:r>
        <w:rPr>
          <w:color w:val="231F20"/>
          <w:w w:val="105"/>
          <w:sz w:val="16"/>
        </w:rPr>
        <w:t>acronym for “Info Berlin Undogmatic</w:t>
      </w:r>
      <w:r>
        <w:rPr>
          <w:color w:val="231F20"/>
          <w:spacing w:val="18"/>
          <w:w w:val="105"/>
          <w:sz w:val="16"/>
        </w:rPr>
        <w:t xml:space="preserve"> </w:t>
      </w:r>
      <w:r>
        <w:rPr>
          <w:color w:val="231F20"/>
          <w:w w:val="105"/>
          <w:sz w:val="16"/>
        </w:rPr>
        <w:t>Groups.”</w:t>
      </w:r>
    </w:p>
    <w:p w14:paraId="550657A9" w14:textId="77777777" w:rsidR="002653E8" w:rsidRDefault="002653E8">
      <w:pPr>
        <w:rPr>
          <w:sz w:val="16"/>
        </w:rPr>
        <w:sectPr w:rsidR="002653E8">
          <w:type w:val="continuous"/>
          <w:pgSz w:w="8640" w:h="12960"/>
          <w:pgMar w:top="0" w:right="0" w:bottom="0" w:left="0" w:header="720" w:footer="720" w:gutter="0"/>
          <w:cols w:space="720"/>
        </w:sectPr>
      </w:pPr>
    </w:p>
    <w:p w14:paraId="6F5DCB74" w14:textId="77777777" w:rsidR="002653E8" w:rsidRDefault="003115E3">
      <w:pPr>
        <w:pStyle w:val="a3"/>
        <w:spacing w:before="86" w:line="264" w:lineRule="auto"/>
        <w:ind w:left="1147" w:right="1325"/>
        <w:jc w:val="both"/>
        <w:rPr>
          <w:sz w:val="11"/>
        </w:rPr>
      </w:pPr>
      <w:r>
        <w:rPr>
          <w:color w:val="231F20"/>
        </w:rPr>
        <w:lastRenderedPageBreak/>
        <w:t xml:space="preserve">the </w:t>
      </w:r>
      <w:r w:rsidR="00C507A5">
        <w:rPr>
          <w:color w:val="231F20"/>
        </w:rPr>
        <w:t>red army faction</w:t>
      </w:r>
      <w:r>
        <w:rPr>
          <w:color w:val="231F20"/>
        </w:rPr>
        <w:t>. As a result of their squatting experiences, the Frankfurt scene in particular had had to develop a capacity to defend itself from the police, and had even built up a fighting squad, the Putz Group,</w:t>
      </w:r>
      <w:r>
        <w:rPr>
          <w:color w:val="231F20"/>
          <w:position w:val="7"/>
          <w:sz w:val="11"/>
        </w:rPr>
        <w:t xml:space="preserve">1 </w:t>
      </w:r>
      <w:r>
        <w:rPr>
          <w:color w:val="231F20"/>
        </w:rPr>
        <w:t xml:space="preserve">whose job it was to take on the cops at demos. </w:t>
      </w:r>
      <w:r>
        <w:rPr>
          <w:color w:val="231F20"/>
          <w:spacing w:val="1"/>
        </w:rPr>
        <w:t xml:space="preserve">In </w:t>
      </w:r>
      <w:r>
        <w:rPr>
          <w:color w:val="231F20"/>
        </w:rPr>
        <w:t xml:space="preserve">regular training sessions, the Putz members practiced stone-throwing, one-on-one combat, unarresting comrades, and, according to some accounts, the use of molotov cocktails. As one former member recalled, </w:t>
      </w:r>
      <w:r>
        <w:rPr>
          <w:color w:val="231F20"/>
          <w:spacing w:val="-3"/>
        </w:rPr>
        <w:t xml:space="preserve">“We </w:t>
      </w:r>
      <w:r>
        <w:rPr>
          <w:color w:val="231F20"/>
        </w:rPr>
        <w:t>had the complete gear that</w:t>
      </w:r>
      <w:r>
        <w:rPr>
          <w:color w:val="231F20"/>
          <w:spacing w:val="10"/>
        </w:rPr>
        <w:t xml:space="preserve"> </w:t>
      </w:r>
      <w:r>
        <w:rPr>
          <w:color w:val="231F20"/>
        </w:rPr>
        <w:t>the</w:t>
      </w:r>
      <w:r>
        <w:rPr>
          <w:color w:val="231F20"/>
          <w:spacing w:val="10"/>
        </w:rPr>
        <w:t xml:space="preserve"> </w:t>
      </w:r>
      <w:r>
        <w:rPr>
          <w:color w:val="231F20"/>
        </w:rPr>
        <w:t>cops</w:t>
      </w:r>
      <w:r>
        <w:rPr>
          <w:color w:val="231F20"/>
          <w:spacing w:val="10"/>
        </w:rPr>
        <w:t xml:space="preserve"> </w:t>
      </w:r>
      <w:r>
        <w:rPr>
          <w:color w:val="231F20"/>
        </w:rPr>
        <w:t>had,</w:t>
      </w:r>
      <w:r>
        <w:rPr>
          <w:color w:val="231F20"/>
          <w:spacing w:val="10"/>
        </w:rPr>
        <w:t xml:space="preserve"> </w:t>
      </w:r>
      <w:r>
        <w:rPr>
          <w:color w:val="231F20"/>
        </w:rPr>
        <w:t>except</w:t>
      </w:r>
      <w:r>
        <w:rPr>
          <w:color w:val="231F20"/>
          <w:spacing w:val="10"/>
        </w:rPr>
        <w:t xml:space="preserve"> </w:t>
      </w:r>
      <w:r>
        <w:rPr>
          <w:color w:val="231F20"/>
        </w:rPr>
        <w:t>for</w:t>
      </w:r>
      <w:r>
        <w:rPr>
          <w:color w:val="231F20"/>
          <w:spacing w:val="10"/>
        </w:rPr>
        <w:t xml:space="preserve"> </w:t>
      </w:r>
      <w:r>
        <w:rPr>
          <w:color w:val="231F20"/>
        </w:rPr>
        <w:t>guns.”</w:t>
      </w:r>
      <w:r>
        <w:rPr>
          <w:color w:val="231F20"/>
          <w:position w:val="7"/>
          <w:sz w:val="11"/>
        </w:rPr>
        <w:t>2</w:t>
      </w:r>
    </w:p>
    <w:p w14:paraId="7C5311E8" w14:textId="77777777" w:rsidR="002653E8" w:rsidRDefault="003115E3">
      <w:pPr>
        <w:pStyle w:val="a3"/>
        <w:spacing w:line="264" w:lineRule="auto"/>
        <w:ind w:left="1147" w:right="1326" w:firstLine="210"/>
        <w:jc w:val="both"/>
      </w:pPr>
      <w:r>
        <w:rPr>
          <w:color w:val="231F20"/>
        </w:rPr>
        <w:t xml:space="preserve">According to one historian of the period, there was a great deal of overlap and cross-pollination between the </w:t>
      </w:r>
      <w:r>
        <w:rPr>
          <w:i/>
          <w:color w:val="231F20"/>
        </w:rPr>
        <w:t xml:space="preserve">spontis </w:t>
      </w:r>
      <w:r>
        <w:rPr>
          <w:color w:val="231F20"/>
        </w:rPr>
        <w:t>and squats and the circles in which the guerillas and their supporters moved.</w:t>
      </w:r>
      <w:r>
        <w:rPr>
          <w:color w:val="231F20"/>
          <w:position w:val="7"/>
          <w:sz w:val="11"/>
        </w:rPr>
        <w:t xml:space="preserve">3 </w:t>
      </w:r>
      <w:r>
        <w:rPr>
          <w:color w:val="231F20"/>
        </w:rPr>
        <w:t>Perhaps for this precise reason, the most acrimonious debate over armed politics occurred within this scene.</w:t>
      </w:r>
    </w:p>
    <w:p w14:paraId="19E2D95C" w14:textId="77777777" w:rsidR="002653E8" w:rsidRDefault="003115E3">
      <w:pPr>
        <w:pStyle w:val="a3"/>
        <w:spacing w:line="264" w:lineRule="auto"/>
        <w:ind w:left="1147" w:right="1325" w:firstLine="210"/>
        <w:jc w:val="both"/>
        <w:rPr>
          <w:sz w:val="11"/>
        </w:rPr>
      </w:pPr>
      <w:r>
        <w:rPr>
          <w:color w:val="231F20"/>
        </w:rPr>
        <w:t xml:space="preserve">Shortly after Holger Meins’ death in </w:t>
      </w:r>
      <w:r>
        <w:rPr>
          <w:color w:val="231F20"/>
          <w:spacing w:val="-6"/>
        </w:rPr>
        <w:t xml:space="preserve">1974, </w:t>
      </w:r>
      <w:r>
        <w:rPr>
          <w:color w:val="231F20"/>
        </w:rPr>
        <w:t xml:space="preserve">the organization Revolutionary Struggle, led by Cohn-Bendit and his friend Joschka Fischer, had joined with the squatting council and other </w:t>
      </w:r>
      <w:r>
        <w:rPr>
          <w:i/>
          <w:color w:val="231F20"/>
        </w:rPr>
        <w:t xml:space="preserve">sponti </w:t>
      </w:r>
      <w:r>
        <w:rPr>
          <w:color w:val="231F20"/>
        </w:rPr>
        <w:t>groups to issue a declaration of unambiguous solidarity with the guerilla.</w:t>
      </w:r>
      <w:r>
        <w:rPr>
          <w:color w:val="231F20"/>
          <w:position w:val="7"/>
          <w:sz w:val="11"/>
        </w:rPr>
        <w:t xml:space="preserve">4 </w:t>
      </w:r>
      <w:r>
        <w:rPr>
          <w:color w:val="231F20"/>
        </w:rPr>
        <w:t>Shortly afterwards, however, Revolutionary Struggle issued another statement, “Mass-Militancy vs. the Guerilla,” meant to initiate debate over  the  most appropriate use of political violence in the scene and questioning the logic of clandestine armed</w:t>
      </w:r>
      <w:r>
        <w:rPr>
          <w:color w:val="231F20"/>
          <w:spacing w:val="11"/>
        </w:rPr>
        <w:t xml:space="preserve"> </w:t>
      </w:r>
      <w:r>
        <w:rPr>
          <w:color w:val="231F20"/>
        </w:rPr>
        <w:t>struggle.</w:t>
      </w:r>
      <w:r>
        <w:rPr>
          <w:color w:val="231F20"/>
          <w:position w:val="7"/>
          <w:sz w:val="11"/>
        </w:rPr>
        <w:t>5</w:t>
      </w:r>
    </w:p>
    <w:p w14:paraId="2EB95D70" w14:textId="77777777" w:rsidR="002653E8" w:rsidRDefault="003115E3">
      <w:pPr>
        <w:pStyle w:val="a3"/>
        <w:spacing w:line="264" w:lineRule="auto"/>
        <w:ind w:left="1147" w:right="1326" w:firstLine="210"/>
        <w:jc w:val="both"/>
      </w:pPr>
      <w:r>
        <w:rPr>
          <w:color w:val="231F20"/>
        </w:rPr>
        <w:t xml:space="preserve">At the same time, another guerilla organization had formed which represented the politics and practice of the </w:t>
      </w:r>
      <w:r>
        <w:rPr>
          <w:i/>
          <w:color w:val="231F20"/>
        </w:rPr>
        <w:t xml:space="preserve">sponti </w:t>
      </w:r>
      <w:r>
        <w:rPr>
          <w:color w:val="231F20"/>
        </w:rPr>
        <w:t xml:space="preserve">scene far better than the </w:t>
      </w:r>
      <w:r w:rsidR="00C507A5">
        <w:rPr>
          <w:color w:val="231F20"/>
        </w:rPr>
        <w:t>red army faction</w:t>
      </w:r>
      <w:r>
        <w:rPr>
          <w:color w:val="231F20"/>
        </w:rPr>
        <w:t>: this was the Revolutionary Cells, or RZ.</w:t>
      </w:r>
    </w:p>
    <w:p w14:paraId="18426250" w14:textId="77777777" w:rsidR="002653E8" w:rsidRDefault="003115E3">
      <w:pPr>
        <w:pStyle w:val="a3"/>
        <w:spacing w:line="264" w:lineRule="auto"/>
        <w:ind w:left="1148" w:right="2686" w:firstLine="209"/>
      </w:pPr>
      <w:r>
        <w:drawing>
          <wp:anchor distT="0" distB="0" distL="0" distR="0" simplePos="0" relativeHeight="267980015" behindDoc="1" locked="0" layoutInCell="1" allowOverlap="1" wp14:anchorId="69E6F6ED" wp14:editId="5C9BD39D">
            <wp:simplePos x="0" y="0"/>
            <wp:positionH relativeFrom="page">
              <wp:posOffset>3342957</wp:posOffset>
            </wp:positionH>
            <wp:positionV relativeFrom="paragraph">
              <wp:posOffset>6400</wp:posOffset>
            </wp:positionV>
            <wp:extent cx="1300182" cy="1194020"/>
            <wp:effectExtent l="0" t="0" r="0" b="0"/>
            <wp:wrapNone/>
            <wp:docPr id="5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6.png"/>
                    <pic:cNvPicPr/>
                  </pic:nvPicPr>
                  <pic:blipFill>
                    <a:blip r:embed="rId363" cstate="print"/>
                    <a:stretch>
                      <a:fillRect/>
                    </a:stretch>
                  </pic:blipFill>
                  <pic:spPr>
                    <a:xfrm>
                      <a:off x="0" y="0"/>
                      <a:ext cx="1300182" cy="1194020"/>
                    </a:xfrm>
                    <a:prstGeom prst="rect">
                      <a:avLst/>
                    </a:prstGeom>
                  </pic:spPr>
                </pic:pic>
              </a:graphicData>
            </a:graphic>
          </wp:anchor>
        </w:drawing>
      </w:r>
      <w:r>
        <w:rPr>
          <w:color w:val="231F20"/>
        </w:rPr>
        <w:t>The RZ’s first actions were carried out in November 1973, two months after a CIA-backed coup had toppled the socialist Allende government in Chile. On</w:t>
      </w:r>
    </w:p>
    <w:p w14:paraId="45C25B9F" w14:textId="77777777" w:rsidR="002653E8" w:rsidRDefault="003115E3">
      <w:pPr>
        <w:pStyle w:val="a3"/>
        <w:spacing w:line="264" w:lineRule="auto"/>
        <w:ind w:left="1147" w:right="3115"/>
      </w:pPr>
      <w:r>
        <w:rPr>
          <w:color w:val="231F20"/>
          <w:w w:val="105"/>
        </w:rPr>
        <w:t xml:space="preserve">the weekend of November </w:t>
      </w:r>
      <w:r>
        <w:rPr>
          <w:color w:val="231F20"/>
          <w:spacing w:val="-6"/>
          <w:w w:val="105"/>
        </w:rPr>
        <w:t xml:space="preserve">16 </w:t>
      </w:r>
      <w:r>
        <w:rPr>
          <w:color w:val="231F20"/>
          <w:w w:val="105"/>
        </w:rPr>
        <w:t xml:space="preserve">and  </w:t>
      </w:r>
      <w:r>
        <w:rPr>
          <w:color w:val="231F20"/>
          <w:spacing w:val="-7"/>
          <w:w w:val="105"/>
        </w:rPr>
        <w:t xml:space="preserve">17,  </w:t>
      </w:r>
      <w:r>
        <w:rPr>
          <w:color w:val="231F20"/>
          <w:w w:val="105"/>
        </w:rPr>
        <w:t xml:space="preserve">bombs went off at the offices of an </w:t>
      </w:r>
      <w:r>
        <w:rPr>
          <w:color w:val="231F20"/>
          <w:spacing w:val="5"/>
          <w:w w:val="105"/>
        </w:rPr>
        <w:t xml:space="preserve">ITT </w:t>
      </w:r>
      <w:r>
        <w:rPr>
          <w:color w:val="231F20"/>
          <w:w w:val="105"/>
        </w:rPr>
        <w:t xml:space="preserve">subsidiary  in both </w:t>
      </w:r>
      <w:r>
        <w:rPr>
          <w:color w:val="231F20"/>
          <w:spacing w:val="-3"/>
          <w:w w:val="105"/>
        </w:rPr>
        <w:t xml:space="preserve">West </w:t>
      </w:r>
      <w:r>
        <w:rPr>
          <w:color w:val="231F20"/>
          <w:w w:val="105"/>
        </w:rPr>
        <w:t>Berlin and Nuremberg, causing</w:t>
      </w:r>
      <w:r>
        <w:rPr>
          <w:color w:val="231F20"/>
          <w:spacing w:val="35"/>
          <w:w w:val="105"/>
        </w:rPr>
        <w:t xml:space="preserve"> </w:t>
      </w:r>
      <w:r>
        <w:rPr>
          <w:color w:val="231F20"/>
          <w:w w:val="105"/>
        </w:rPr>
        <w:t>over</w:t>
      </w:r>
    </w:p>
    <w:p w14:paraId="4C41C451" w14:textId="77777777" w:rsidR="002653E8" w:rsidRDefault="003115E3">
      <w:pPr>
        <w:pStyle w:val="a3"/>
        <w:spacing w:line="231" w:lineRule="exact"/>
        <w:ind w:left="1147"/>
        <w:rPr>
          <w:sz w:val="11"/>
        </w:rPr>
      </w:pPr>
      <w:r>
        <w:rPr>
          <w:color w:val="231F20"/>
          <w:w w:val="105"/>
        </w:rPr>
        <w:t>$200,000 in damages.</w:t>
      </w:r>
      <w:r>
        <w:rPr>
          <w:color w:val="231F20"/>
          <w:w w:val="105"/>
          <w:position w:val="7"/>
          <w:sz w:val="11"/>
        </w:rPr>
        <w:t>6</w:t>
      </w:r>
    </w:p>
    <w:p w14:paraId="1215444D" w14:textId="77777777" w:rsidR="002653E8" w:rsidRDefault="00000000">
      <w:pPr>
        <w:pStyle w:val="a3"/>
        <w:spacing w:before="4"/>
        <w:rPr>
          <w:sz w:val="15"/>
        </w:rPr>
      </w:pPr>
      <w:r>
        <w:rPr>
          <w:noProof w:val="0"/>
        </w:rPr>
        <w:pict w14:anchorId="61120EFE">
          <v:line id="_x0000_s2240" style="position:absolute;z-index:9184;mso-wrap-distance-left:0;mso-wrap-distance-right:0;mso-position-horizontal-relative:page" from="57.4pt,11.2pt" to="129.4pt,11.2pt" strokecolor="#231f20" strokeweight=".5pt">
            <w10:wrap type="topAndBottom" anchorx="page"/>
          </v:line>
        </w:pict>
      </w:r>
    </w:p>
    <w:p w14:paraId="54E9EE86" w14:textId="77777777" w:rsidR="002653E8" w:rsidRDefault="003115E3">
      <w:pPr>
        <w:pStyle w:val="a4"/>
        <w:numPr>
          <w:ilvl w:val="0"/>
          <w:numId w:val="75"/>
        </w:numPr>
        <w:tabs>
          <w:tab w:val="left" w:pos="1287"/>
        </w:tabs>
        <w:spacing w:before="53" w:line="254" w:lineRule="auto"/>
        <w:ind w:right="1492" w:hanging="1"/>
        <w:rPr>
          <w:sz w:val="16"/>
        </w:rPr>
      </w:pPr>
      <w:r>
        <w:rPr>
          <w:color w:val="231F20"/>
          <w:spacing w:val="1"/>
          <w:w w:val="105"/>
          <w:sz w:val="16"/>
        </w:rPr>
        <w:t xml:space="preserve">As </w:t>
      </w:r>
      <w:r>
        <w:rPr>
          <w:color w:val="231F20"/>
          <w:w w:val="105"/>
          <w:sz w:val="16"/>
        </w:rPr>
        <w:t xml:space="preserve">author Paul Hockenos explains, “In </w:t>
      </w:r>
      <w:r>
        <w:rPr>
          <w:color w:val="231F20"/>
          <w:spacing w:val="1"/>
          <w:w w:val="105"/>
          <w:sz w:val="16"/>
        </w:rPr>
        <w:t xml:space="preserve">German, </w:t>
      </w:r>
      <w:r>
        <w:rPr>
          <w:i/>
          <w:color w:val="231F20"/>
          <w:w w:val="105"/>
          <w:sz w:val="16"/>
        </w:rPr>
        <w:t xml:space="preserve">auf </w:t>
      </w:r>
      <w:r>
        <w:rPr>
          <w:i/>
          <w:color w:val="231F20"/>
          <w:spacing w:val="1"/>
          <w:w w:val="105"/>
          <w:sz w:val="16"/>
        </w:rPr>
        <w:t xml:space="preserve">den </w:t>
      </w:r>
      <w:r>
        <w:rPr>
          <w:i/>
          <w:color w:val="231F20"/>
          <w:w w:val="105"/>
          <w:sz w:val="16"/>
        </w:rPr>
        <w:t xml:space="preserve">Putz </w:t>
      </w:r>
      <w:r>
        <w:rPr>
          <w:color w:val="231F20"/>
          <w:w w:val="105"/>
          <w:sz w:val="16"/>
        </w:rPr>
        <w:t>hauen is slang for having</w:t>
      </w:r>
      <w:r>
        <w:rPr>
          <w:color w:val="231F20"/>
          <w:spacing w:val="8"/>
          <w:w w:val="105"/>
          <w:sz w:val="16"/>
        </w:rPr>
        <w:t xml:space="preserve"> </w:t>
      </w:r>
      <w:r>
        <w:rPr>
          <w:color w:val="231F20"/>
          <w:w w:val="105"/>
          <w:sz w:val="16"/>
        </w:rPr>
        <w:t>a</w:t>
      </w:r>
      <w:r>
        <w:rPr>
          <w:color w:val="231F20"/>
          <w:spacing w:val="8"/>
          <w:w w:val="105"/>
          <w:sz w:val="16"/>
        </w:rPr>
        <w:t xml:space="preserve"> </w:t>
      </w:r>
      <w:r>
        <w:rPr>
          <w:color w:val="231F20"/>
          <w:w w:val="105"/>
          <w:sz w:val="16"/>
        </w:rPr>
        <w:t>wild,</w:t>
      </w:r>
      <w:r>
        <w:rPr>
          <w:color w:val="231F20"/>
          <w:spacing w:val="8"/>
          <w:w w:val="105"/>
          <w:sz w:val="16"/>
        </w:rPr>
        <w:t xml:space="preserve"> </w:t>
      </w:r>
      <w:r>
        <w:rPr>
          <w:color w:val="231F20"/>
          <w:w w:val="105"/>
          <w:sz w:val="16"/>
        </w:rPr>
        <w:t>rowdy</w:t>
      </w:r>
      <w:r>
        <w:rPr>
          <w:color w:val="231F20"/>
          <w:spacing w:val="8"/>
          <w:w w:val="105"/>
          <w:sz w:val="16"/>
        </w:rPr>
        <w:t xml:space="preserve"> </w:t>
      </w:r>
      <w:r>
        <w:rPr>
          <w:color w:val="231F20"/>
          <w:w w:val="105"/>
          <w:sz w:val="16"/>
        </w:rPr>
        <w:t>time.</w:t>
      </w:r>
      <w:r>
        <w:rPr>
          <w:color w:val="231F20"/>
          <w:spacing w:val="8"/>
          <w:w w:val="105"/>
          <w:sz w:val="16"/>
        </w:rPr>
        <w:t xml:space="preserve"> </w:t>
      </w:r>
      <w:r>
        <w:rPr>
          <w:color w:val="231F20"/>
          <w:w w:val="105"/>
          <w:sz w:val="16"/>
        </w:rPr>
        <w:t>Perhaps</w:t>
      </w:r>
      <w:r>
        <w:rPr>
          <w:color w:val="231F20"/>
          <w:spacing w:val="8"/>
          <w:w w:val="105"/>
          <w:sz w:val="16"/>
        </w:rPr>
        <w:t xml:space="preserve"> </w:t>
      </w:r>
      <w:r>
        <w:rPr>
          <w:color w:val="231F20"/>
          <w:w w:val="105"/>
          <w:sz w:val="16"/>
        </w:rPr>
        <w:t>‘to</w:t>
      </w:r>
      <w:r>
        <w:rPr>
          <w:color w:val="231F20"/>
          <w:spacing w:val="8"/>
          <w:w w:val="105"/>
          <w:sz w:val="16"/>
        </w:rPr>
        <w:t xml:space="preserve"> </w:t>
      </w:r>
      <w:r>
        <w:rPr>
          <w:color w:val="231F20"/>
          <w:w w:val="105"/>
          <w:sz w:val="16"/>
        </w:rPr>
        <w:t>raise</w:t>
      </w:r>
      <w:r>
        <w:rPr>
          <w:color w:val="231F20"/>
          <w:spacing w:val="8"/>
          <w:w w:val="105"/>
          <w:sz w:val="16"/>
        </w:rPr>
        <w:t xml:space="preserve"> </w:t>
      </w:r>
      <w:r>
        <w:rPr>
          <w:color w:val="231F20"/>
          <w:w w:val="105"/>
          <w:sz w:val="16"/>
        </w:rPr>
        <w:t>hell’</w:t>
      </w:r>
      <w:r>
        <w:rPr>
          <w:color w:val="231F20"/>
          <w:spacing w:val="8"/>
          <w:w w:val="105"/>
          <w:sz w:val="16"/>
        </w:rPr>
        <w:t xml:space="preserve"> </w:t>
      </w:r>
      <w:r>
        <w:rPr>
          <w:color w:val="231F20"/>
          <w:w w:val="105"/>
          <w:sz w:val="16"/>
        </w:rPr>
        <w:t>fits</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meaning</w:t>
      </w:r>
      <w:r>
        <w:rPr>
          <w:color w:val="231F20"/>
          <w:spacing w:val="8"/>
          <w:w w:val="105"/>
          <w:sz w:val="16"/>
        </w:rPr>
        <w:t xml:space="preserve"> </w:t>
      </w:r>
      <w:r>
        <w:rPr>
          <w:color w:val="231F20"/>
          <w:w w:val="105"/>
          <w:sz w:val="16"/>
        </w:rPr>
        <w:t>best.”</w:t>
      </w:r>
      <w:r>
        <w:rPr>
          <w:color w:val="231F20"/>
          <w:spacing w:val="8"/>
          <w:w w:val="105"/>
          <w:sz w:val="16"/>
        </w:rPr>
        <w:t xml:space="preserve"> </w:t>
      </w:r>
      <w:r>
        <w:rPr>
          <w:color w:val="231F20"/>
          <w:spacing w:val="-5"/>
          <w:w w:val="105"/>
          <w:sz w:val="16"/>
        </w:rPr>
        <w:t>(117).</w:t>
      </w:r>
    </w:p>
    <w:p w14:paraId="2D707F7F" w14:textId="77777777" w:rsidR="002653E8" w:rsidRDefault="003115E3">
      <w:pPr>
        <w:pStyle w:val="a4"/>
        <w:numPr>
          <w:ilvl w:val="0"/>
          <w:numId w:val="75"/>
        </w:numPr>
        <w:tabs>
          <w:tab w:val="left" w:pos="1287"/>
        </w:tabs>
        <w:spacing w:line="307" w:lineRule="auto"/>
        <w:ind w:left="1147" w:right="3920" w:firstLine="0"/>
        <w:rPr>
          <w:sz w:val="16"/>
        </w:rPr>
      </w:pPr>
      <w:r>
        <w:rPr>
          <w:color w:val="231F20"/>
          <w:w w:val="110"/>
          <w:sz w:val="16"/>
        </w:rPr>
        <w:t>Hans-Joachim Klein quoted in Hockenos, 124. 3 Ibid.,</w:t>
      </w:r>
      <w:r>
        <w:rPr>
          <w:color w:val="231F20"/>
          <w:spacing w:val="11"/>
          <w:w w:val="110"/>
          <w:sz w:val="16"/>
        </w:rPr>
        <w:t xml:space="preserve"> </w:t>
      </w:r>
      <w:r>
        <w:rPr>
          <w:color w:val="231F20"/>
          <w:spacing w:val="-5"/>
          <w:w w:val="110"/>
          <w:sz w:val="16"/>
        </w:rPr>
        <w:t>114-115.</w:t>
      </w:r>
    </w:p>
    <w:p w14:paraId="4FD7E56E" w14:textId="77777777" w:rsidR="002653E8" w:rsidRDefault="003115E3">
      <w:pPr>
        <w:spacing w:line="186" w:lineRule="exact"/>
        <w:ind w:left="1147"/>
        <w:rPr>
          <w:sz w:val="16"/>
        </w:rPr>
      </w:pPr>
      <w:r>
        <w:rPr>
          <w:color w:val="231F20"/>
          <w:w w:val="110"/>
          <w:sz w:val="16"/>
        </w:rPr>
        <w:t>4 Cf 264-5.</w:t>
      </w:r>
    </w:p>
    <w:p w14:paraId="288992F1" w14:textId="77777777" w:rsidR="002653E8" w:rsidRDefault="003115E3">
      <w:pPr>
        <w:pStyle w:val="a4"/>
        <w:numPr>
          <w:ilvl w:val="0"/>
          <w:numId w:val="74"/>
        </w:numPr>
        <w:tabs>
          <w:tab w:val="left" w:pos="1287"/>
        </w:tabs>
        <w:spacing w:before="51"/>
        <w:ind w:hanging="180"/>
        <w:jc w:val="left"/>
        <w:rPr>
          <w:sz w:val="16"/>
        </w:rPr>
      </w:pPr>
      <w:r w:rsidRPr="00846956">
        <w:rPr>
          <w:color w:val="231F20"/>
          <w:w w:val="110"/>
          <w:sz w:val="16"/>
          <w:lang w:val="de-DE"/>
        </w:rPr>
        <w:t xml:space="preserve">Geronimo, </w:t>
      </w:r>
      <w:bookmarkStart w:id="199" w:name="_Hlk130689074"/>
      <w:r w:rsidRPr="00846956">
        <w:rPr>
          <w:i/>
          <w:color w:val="231F20"/>
          <w:spacing w:val="2"/>
          <w:w w:val="110"/>
          <w:sz w:val="16"/>
          <w:lang w:val="de-DE"/>
        </w:rPr>
        <w:t xml:space="preserve">Feuer </w:t>
      </w:r>
      <w:r w:rsidRPr="00846956">
        <w:rPr>
          <w:i/>
          <w:color w:val="231F20"/>
          <w:spacing w:val="1"/>
          <w:w w:val="110"/>
          <w:sz w:val="16"/>
          <w:lang w:val="de-DE"/>
        </w:rPr>
        <w:t xml:space="preserve">und Flamme: </w:t>
      </w:r>
      <w:r w:rsidRPr="00846956">
        <w:rPr>
          <w:i/>
          <w:color w:val="231F20"/>
          <w:w w:val="110"/>
          <w:sz w:val="16"/>
          <w:lang w:val="de-DE"/>
        </w:rPr>
        <w:t xml:space="preserve">Zur Geschichte </w:t>
      </w:r>
      <w:r w:rsidRPr="00846956">
        <w:rPr>
          <w:i/>
          <w:color w:val="231F20"/>
          <w:spacing w:val="1"/>
          <w:w w:val="110"/>
          <w:sz w:val="16"/>
          <w:lang w:val="de-DE"/>
        </w:rPr>
        <w:t>der Autonomen</w:t>
      </w:r>
      <w:bookmarkEnd w:id="199"/>
      <w:r w:rsidRPr="00846956">
        <w:rPr>
          <w:i/>
          <w:color w:val="231F20"/>
          <w:spacing w:val="1"/>
          <w:w w:val="110"/>
          <w:sz w:val="16"/>
          <w:lang w:val="de-DE"/>
        </w:rPr>
        <w:t>.</w:t>
      </w:r>
      <w:r w:rsidRPr="00846956">
        <w:rPr>
          <w:i/>
          <w:color w:val="231F20"/>
          <w:spacing w:val="3"/>
          <w:w w:val="110"/>
          <w:sz w:val="16"/>
          <w:lang w:val="de-DE"/>
        </w:rPr>
        <w:t xml:space="preserve"> </w:t>
      </w:r>
      <w:r>
        <w:rPr>
          <w:color w:val="231F20"/>
          <w:w w:val="110"/>
          <w:sz w:val="16"/>
        </w:rPr>
        <w:t>(Berlin:</w:t>
      </w:r>
    </w:p>
    <w:p w14:paraId="40D6E332" w14:textId="77777777" w:rsidR="002653E8" w:rsidRDefault="003115E3">
      <w:pPr>
        <w:spacing w:before="12" w:line="254" w:lineRule="auto"/>
        <w:ind w:left="1148" w:right="1580" w:hanging="1"/>
        <w:rPr>
          <w:sz w:val="16"/>
        </w:rPr>
      </w:pPr>
      <w:r>
        <w:rPr>
          <w:color w:val="231F20"/>
          <w:w w:val="105"/>
          <w:sz w:val="16"/>
        </w:rPr>
        <w:t>ID-Archiv, 1990). An English translation of this book is due to be published by PM Press in 2009.</w:t>
      </w:r>
    </w:p>
    <w:p w14:paraId="0ED6BF1F" w14:textId="77777777" w:rsidR="002653E8" w:rsidRDefault="003115E3">
      <w:pPr>
        <w:pStyle w:val="a4"/>
        <w:numPr>
          <w:ilvl w:val="0"/>
          <w:numId w:val="74"/>
        </w:numPr>
        <w:tabs>
          <w:tab w:val="left" w:pos="1287"/>
        </w:tabs>
        <w:ind w:left="1286" w:hanging="138"/>
        <w:jc w:val="left"/>
        <w:rPr>
          <w:i/>
          <w:sz w:val="16"/>
        </w:rPr>
      </w:pPr>
      <w:r>
        <w:rPr>
          <w:color w:val="231F20"/>
          <w:w w:val="110"/>
          <w:sz w:val="16"/>
        </w:rPr>
        <w:t>Associated</w:t>
      </w:r>
      <w:r>
        <w:rPr>
          <w:color w:val="231F20"/>
          <w:spacing w:val="6"/>
          <w:w w:val="110"/>
          <w:sz w:val="16"/>
        </w:rPr>
        <w:t xml:space="preserve"> </w:t>
      </w:r>
      <w:r>
        <w:rPr>
          <w:color w:val="231F20"/>
          <w:w w:val="110"/>
          <w:sz w:val="16"/>
        </w:rPr>
        <w:t>Press,</w:t>
      </w:r>
      <w:r>
        <w:rPr>
          <w:color w:val="231F20"/>
          <w:spacing w:val="6"/>
          <w:w w:val="110"/>
          <w:sz w:val="16"/>
        </w:rPr>
        <w:t xml:space="preserve"> </w:t>
      </w:r>
      <w:r>
        <w:rPr>
          <w:color w:val="231F20"/>
          <w:spacing w:val="-3"/>
          <w:w w:val="110"/>
          <w:sz w:val="16"/>
        </w:rPr>
        <w:t>“W.</w:t>
      </w:r>
      <w:r>
        <w:rPr>
          <w:color w:val="231F20"/>
          <w:spacing w:val="6"/>
          <w:w w:val="110"/>
          <w:sz w:val="16"/>
        </w:rPr>
        <w:t xml:space="preserve"> </w:t>
      </w:r>
      <w:r>
        <w:rPr>
          <w:color w:val="231F20"/>
          <w:w w:val="110"/>
          <w:sz w:val="16"/>
        </w:rPr>
        <w:t>German</w:t>
      </w:r>
      <w:r>
        <w:rPr>
          <w:color w:val="231F20"/>
          <w:spacing w:val="7"/>
          <w:w w:val="110"/>
          <w:sz w:val="16"/>
        </w:rPr>
        <w:t xml:space="preserve"> </w:t>
      </w:r>
      <w:r>
        <w:rPr>
          <w:color w:val="231F20"/>
          <w:spacing w:val="3"/>
          <w:w w:val="110"/>
          <w:sz w:val="16"/>
        </w:rPr>
        <w:t>ITT</w:t>
      </w:r>
      <w:r>
        <w:rPr>
          <w:color w:val="231F20"/>
          <w:spacing w:val="6"/>
          <w:w w:val="110"/>
          <w:sz w:val="16"/>
        </w:rPr>
        <w:t xml:space="preserve"> </w:t>
      </w:r>
      <w:r>
        <w:rPr>
          <w:color w:val="231F20"/>
          <w:w w:val="110"/>
          <w:sz w:val="16"/>
        </w:rPr>
        <w:t>Offices</w:t>
      </w:r>
      <w:r>
        <w:rPr>
          <w:color w:val="231F20"/>
          <w:spacing w:val="6"/>
          <w:w w:val="110"/>
          <w:sz w:val="16"/>
        </w:rPr>
        <w:t xml:space="preserve"> </w:t>
      </w:r>
      <w:r>
        <w:rPr>
          <w:color w:val="231F20"/>
          <w:w w:val="110"/>
          <w:sz w:val="16"/>
        </w:rPr>
        <w:t>Bombed,”</w:t>
      </w:r>
      <w:r>
        <w:rPr>
          <w:color w:val="231F20"/>
          <w:spacing w:val="6"/>
          <w:w w:val="110"/>
          <w:sz w:val="16"/>
        </w:rPr>
        <w:t xml:space="preserve"> </w:t>
      </w:r>
      <w:r>
        <w:rPr>
          <w:i/>
          <w:color w:val="231F20"/>
          <w:w w:val="110"/>
          <w:sz w:val="16"/>
        </w:rPr>
        <w:t>Des</w:t>
      </w:r>
      <w:r>
        <w:rPr>
          <w:i/>
          <w:color w:val="231F20"/>
          <w:spacing w:val="6"/>
          <w:w w:val="110"/>
          <w:sz w:val="16"/>
        </w:rPr>
        <w:t xml:space="preserve"> </w:t>
      </w:r>
      <w:r>
        <w:rPr>
          <w:i/>
          <w:color w:val="231F20"/>
          <w:w w:val="110"/>
          <w:sz w:val="16"/>
        </w:rPr>
        <w:t>Moines</w:t>
      </w:r>
      <w:r>
        <w:rPr>
          <w:i/>
          <w:color w:val="231F20"/>
          <w:spacing w:val="6"/>
          <w:w w:val="110"/>
          <w:sz w:val="16"/>
        </w:rPr>
        <w:t xml:space="preserve"> </w:t>
      </w:r>
      <w:r>
        <w:rPr>
          <w:i/>
          <w:color w:val="231F20"/>
          <w:w w:val="110"/>
          <w:sz w:val="16"/>
        </w:rPr>
        <w:t>Register,</w:t>
      </w:r>
    </w:p>
    <w:p w14:paraId="5F6EC673" w14:textId="77777777" w:rsidR="002653E8" w:rsidRDefault="002653E8">
      <w:pPr>
        <w:rPr>
          <w:sz w:val="16"/>
        </w:rPr>
        <w:sectPr w:rsidR="002653E8">
          <w:pgSz w:w="8640" w:h="12960"/>
          <w:pgMar w:top="1060" w:right="0" w:bottom="1040" w:left="0" w:header="0" w:footer="850" w:gutter="0"/>
          <w:cols w:space="720"/>
        </w:sectPr>
      </w:pPr>
    </w:p>
    <w:p w14:paraId="37C020D7" w14:textId="77777777" w:rsidR="002653E8" w:rsidRDefault="003115E3">
      <w:pPr>
        <w:pStyle w:val="a3"/>
        <w:spacing w:before="86"/>
        <w:ind w:left="1537"/>
      </w:pPr>
      <w:r>
        <w:rPr>
          <w:color w:val="231F20"/>
        </w:rPr>
        <w:lastRenderedPageBreak/>
        <w:t>A communiqué explained:</w:t>
      </w:r>
    </w:p>
    <w:p w14:paraId="60B8A3A2" w14:textId="77777777" w:rsidR="002653E8" w:rsidRDefault="003115E3">
      <w:pPr>
        <w:spacing w:before="142" w:line="273" w:lineRule="auto"/>
        <w:ind w:left="1747" w:right="1565"/>
        <w:jc w:val="both"/>
        <w:rPr>
          <w:i/>
          <w:sz w:val="19"/>
        </w:rPr>
      </w:pPr>
      <w:r>
        <w:rPr>
          <w:i/>
          <w:color w:val="231F20"/>
          <w:w w:val="105"/>
          <w:sz w:val="19"/>
        </w:rPr>
        <w:t xml:space="preserve">The Revolutionary Cells claim responsibility for the attack on the ITT branches in Berlin and Nuremberg on November </w:t>
      </w:r>
      <w:r>
        <w:rPr>
          <w:rFonts w:ascii="Bookman Old Style"/>
          <w:i/>
          <w:color w:val="231F20"/>
          <w:w w:val="105"/>
          <w:sz w:val="19"/>
        </w:rPr>
        <w:t>16</w:t>
      </w:r>
      <w:r>
        <w:rPr>
          <w:rFonts w:ascii="Bookman Old Style"/>
          <w:i/>
          <w:color w:val="231F20"/>
          <w:spacing w:val="58"/>
          <w:w w:val="105"/>
          <w:sz w:val="19"/>
        </w:rPr>
        <w:t xml:space="preserve"> </w:t>
      </w:r>
      <w:r>
        <w:rPr>
          <w:i/>
          <w:color w:val="231F20"/>
          <w:w w:val="105"/>
          <w:sz w:val="19"/>
        </w:rPr>
        <w:t xml:space="preserve">and </w:t>
      </w:r>
      <w:r>
        <w:rPr>
          <w:rFonts w:ascii="Bookman Old Style"/>
          <w:i/>
          <w:color w:val="231F20"/>
          <w:w w:val="105"/>
          <w:sz w:val="19"/>
        </w:rPr>
        <w:t>17</w:t>
      </w:r>
      <w:r>
        <w:rPr>
          <w:i/>
          <w:color w:val="231F20"/>
          <w:w w:val="105"/>
          <w:sz w:val="19"/>
        </w:rPr>
        <w:t xml:space="preserve">, </w:t>
      </w:r>
      <w:r>
        <w:rPr>
          <w:rFonts w:ascii="Bookman Old Style"/>
          <w:i/>
          <w:color w:val="231F20"/>
          <w:w w:val="105"/>
          <w:sz w:val="19"/>
        </w:rPr>
        <w:t>1973</w:t>
      </w:r>
      <w:r>
        <w:rPr>
          <w:i/>
          <w:color w:val="231F20"/>
          <w:w w:val="105"/>
          <w:sz w:val="19"/>
        </w:rPr>
        <w:t xml:space="preserve">. </w:t>
      </w:r>
      <w:r>
        <w:rPr>
          <w:i/>
          <w:color w:val="231F20"/>
          <w:spacing w:val="-6"/>
          <w:w w:val="105"/>
          <w:sz w:val="19"/>
        </w:rPr>
        <w:t xml:space="preserve">We </w:t>
      </w:r>
      <w:r>
        <w:rPr>
          <w:i/>
          <w:color w:val="231F20"/>
          <w:w w:val="105"/>
          <w:sz w:val="19"/>
        </w:rPr>
        <w:t>attacked the ITT branches, because ITT is responsible for the torture and murder of women, workers, and peasants.</w:t>
      </w:r>
    </w:p>
    <w:p w14:paraId="266A5B4A" w14:textId="77777777" w:rsidR="002653E8" w:rsidRDefault="003115E3">
      <w:pPr>
        <w:spacing w:before="46" w:line="276" w:lineRule="auto"/>
        <w:ind w:left="1747" w:right="1558"/>
        <w:jc w:val="both"/>
        <w:rPr>
          <w:i/>
          <w:sz w:val="11"/>
        </w:rPr>
      </w:pPr>
      <w:r>
        <w:rPr>
          <w:i/>
          <w:color w:val="231F20"/>
          <w:w w:val="105"/>
          <w:sz w:val="19"/>
        </w:rPr>
        <w:t xml:space="preserve">As early as </w:t>
      </w:r>
      <w:r>
        <w:rPr>
          <w:rFonts w:ascii="Bookman Old Style" w:hAnsi="Bookman Old Style"/>
          <w:i/>
          <w:color w:val="231F20"/>
          <w:w w:val="105"/>
          <w:sz w:val="19"/>
        </w:rPr>
        <w:t>1971</w:t>
      </w:r>
      <w:r>
        <w:rPr>
          <w:i/>
          <w:color w:val="231F20"/>
          <w:w w:val="105"/>
          <w:sz w:val="19"/>
        </w:rPr>
        <w:t xml:space="preserve">, ITT wanted, with the help of the then head    of the CIA, McCone, who also sat  on  </w:t>
      </w:r>
      <w:r>
        <w:rPr>
          <w:i/>
          <w:color w:val="231F20"/>
          <w:spacing w:val="-4"/>
          <w:w w:val="105"/>
          <w:sz w:val="19"/>
        </w:rPr>
        <w:t xml:space="preserve">ITT’s  </w:t>
      </w:r>
      <w:r>
        <w:rPr>
          <w:i/>
          <w:color w:val="231F20"/>
          <w:w w:val="105"/>
          <w:sz w:val="19"/>
        </w:rPr>
        <w:t xml:space="preserve">Board  of  Directors, to prevent Allende’s electoral </w:t>
      </w:r>
      <w:r>
        <w:rPr>
          <w:i/>
          <w:color w:val="231F20"/>
          <w:spacing w:val="-3"/>
          <w:w w:val="105"/>
          <w:sz w:val="19"/>
        </w:rPr>
        <w:t xml:space="preserve">victory, </w:t>
      </w:r>
      <w:r>
        <w:rPr>
          <w:i/>
          <w:color w:val="231F20"/>
          <w:w w:val="105"/>
          <w:sz w:val="19"/>
        </w:rPr>
        <w:t xml:space="preserve">using </w:t>
      </w:r>
      <w:r>
        <w:rPr>
          <w:i/>
          <w:color w:val="231F20"/>
          <w:spacing w:val="-4"/>
          <w:w w:val="105"/>
          <w:sz w:val="19"/>
        </w:rPr>
        <w:t xml:space="preserve">ITT’s </w:t>
      </w:r>
      <w:r>
        <w:rPr>
          <w:i/>
          <w:color w:val="231F20"/>
          <w:w w:val="105"/>
          <w:sz w:val="19"/>
        </w:rPr>
        <w:t xml:space="preserve">own domestic politics section, the news services, and the counterintelligence services, while, of course, supported by the mass murderer Nixon. </w:t>
      </w:r>
      <w:r>
        <w:rPr>
          <w:i/>
          <w:color w:val="231F20"/>
          <w:spacing w:val="-4"/>
          <w:w w:val="105"/>
          <w:sz w:val="19"/>
        </w:rPr>
        <w:t xml:space="preserve">Towards </w:t>
      </w:r>
      <w:r>
        <w:rPr>
          <w:i/>
          <w:color w:val="231F20"/>
          <w:w w:val="105"/>
          <w:sz w:val="19"/>
        </w:rPr>
        <w:t xml:space="preserve">this end, ITT provided the CIA with </w:t>
      </w:r>
      <w:r>
        <w:rPr>
          <w:rFonts w:ascii="Bookman Old Style" w:hAnsi="Bookman Old Style"/>
          <w:i/>
          <w:color w:val="231F20"/>
          <w:w w:val="105"/>
          <w:sz w:val="19"/>
        </w:rPr>
        <w:t xml:space="preserve">1 </w:t>
      </w:r>
      <w:r>
        <w:rPr>
          <w:i/>
          <w:color w:val="231F20"/>
          <w:w w:val="105"/>
          <w:sz w:val="19"/>
        </w:rPr>
        <w:t xml:space="preserve">million dollars. ITT allowed the assassination of the much-loved General </w:t>
      </w:r>
      <w:r>
        <w:rPr>
          <w:i/>
          <w:color w:val="231F20"/>
          <w:spacing w:val="-3"/>
          <w:w w:val="105"/>
          <w:sz w:val="19"/>
        </w:rPr>
        <w:t xml:space="preserve">Schneider, </w:t>
      </w:r>
      <w:r>
        <w:rPr>
          <w:i/>
          <w:color w:val="231F20"/>
          <w:w w:val="105"/>
          <w:sz w:val="19"/>
        </w:rPr>
        <w:t>so as to provoke a putsch. This was unsuccessful, because the Chilean people knew that they had to fight for their freedom and that the ruling class would use all the means at its disposal</w:t>
      </w:r>
      <w:r>
        <w:rPr>
          <w:i/>
          <w:color w:val="231F20"/>
          <w:spacing w:val="-10"/>
          <w:w w:val="105"/>
          <w:sz w:val="19"/>
        </w:rPr>
        <w:t xml:space="preserve"> </w:t>
      </w:r>
      <w:r>
        <w:rPr>
          <w:i/>
          <w:color w:val="231F20"/>
          <w:w w:val="105"/>
          <w:sz w:val="19"/>
        </w:rPr>
        <w:t>to</w:t>
      </w:r>
      <w:r>
        <w:rPr>
          <w:i/>
          <w:color w:val="231F20"/>
          <w:spacing w:val="-10"/>
          <w:w w:val="105"/>
          <w:sz w:val="19"/>
        </w:rPr>
        <w:t xml:space="preserve"> </w:t>
      </w:r>
      <w:r>
        <w:rPr>
          <w:i/>
          <w:color w:val="231F20"/>
          <w:w w:val="105"/>
          <w:sz w:val="19"/>
        </w:rPr>
        <w:t>oppress</w:t>
      </w:r>
      <w:r>
        <w:rPr>
          <w:i/>
          <w:color w:val="231F20"/>
          <w:spacing w:val="-10"/>
          <w:w w:val="105"/>
          <w:sz w:val="19"/>
        </w:rPr>
        <w:t xml:space="preserve"> </w:t>
      </w:r>
      <w:r>
        <w:rPr>
          <w:i/>
          <w:color w:val="231F20"/>
          <w:w w:val="105"/>
          <w:sz w:val="19"/>
        </w:rPr>
        <w:t>the</w:t>
      </w:r>
      <w:r>
        <w:rPr>
          <w:i/>
          <w:color w:val="231F20"/>
          <w:spacing w:val="-10"/>
          <w:w w:val="105"/>
          <w:sz w:val="19"/>
        </w:rPr>
        <w:t xml:space="preserve"> </w:t>
      </w:r>
      <w:r>
        <w:rPr>
          <w:i/>
          <w:color w:val="231F20"/>
          <w:w w:val="105"/>
          <w:sz w:val="19"/>
        </w:rPr>
        <w:t>people—the</w:t>
      </w:r>
      <w:r>
        <w:rPr>
          <w:i/>
          <w:color w:val="231F20"/>
          <w:spacing w:val="-10"/>
          <w:w w:val="105"/>
          <w:sz w:val="19"/>
        </w:rPr>
        <w:t xml:space="preserve"> </w:t>
      </w:r>
      <w:r>
        <w:rPr>
          <w:i/>
          <w:color w:val="231F20"/>
          <w:w w:val="105"/>
          <w:sz w:val="19"/>
        </w:rPr>
        <w:t>capitalist</w:t>
      </w:r>
      <w:r>
        <w:rPr>
          <w:i/>
          <w:color w:val="231F20"/>
          <w:spacing w:val="-10"/>
          <w:w w:val="105"/>
          <w:sz w:val="19"/>
        </w:rPr>
        <w:t xml:space="preserve"> </w:t>
      </w:r>
      <w:r>
        <w:rPr>
          <w:i/>
          <w:color w:val="231F20"/>
          <w:w w:val="105"/>
          <w:sz w:val="19"/>
        </w:rPr>
        <w:t>system—they</w:t>
      </w:r>
      <w:r>
        <w:rPr>
          <w:i/>
          <w:color w:val="231F20"/>
          <w:spacing w:val="-10"/>
          <w:w w:val="105"/>
          <w:sz w:val="19"/>
        </w:rPr>
        <w:t xml:space="preserve"> </w:t>
      </w:r>
      <w:r>
        <w:rPr>
          <w:i/>
          <w:color w:val="231F20"/>
          <w:w w:val="105"/>
          <w:sz w:val="19"/>
        </w:rPr>
        <w:t>don’t give a shit how many people must die in the</w:t>
      </w:r>
      <w:r>
        <w:rPr>
          <w:i/>
          <w:color w:val="231F20"/>
          <w:spacing w:val="5"/>
          <w:w w:val="105"/>
          <w:sz w:val="19"/>
        </w:rPr>
        <w:t xml:space="preserve"> </w:t>
      </w:r>
      <w:r>
        <w:rPr>
          <w:i/>
          <w:color w:val="231F20"/>
          <w:w w:val="105"/>
          <w:sz w:val="19"/>
        </w:rPr>
        <w:t>process.</w:t>
      </w:r>
      <w:r>
        <w:rPr>
          <w:i/>
          <w:color w:val="231F20"/>
          <w:w w:val="105"/>
          <w:position w:val="6"/>
          <w:sz w:val="11"/>
        </w:rPr>
        <w:t>7</w:t>
      </w:r>
    </w:p>
    <w:p w14:paraId="593CECC4" w14:textId="77777777" w:rsidR="002653E8" w:rsidRDefault="003115E3">
      <w:pPr>
        <w:pStyle w:val="a3"/>
        <w:spacing w:before="107" w:line="264" w:lineRule="auto"/>
        <w:ind w:left="1327" w:right="1142"/>
      </w:pPr>
      <w:r>
        <w:rPr>
          <w:color w:val="231F20"/>
          <w:w w:val="105"/>
        </w:rPr>
        <w:t>These</w:t>
      </w:r>
      <w:r>
        <w:rPr>
          <w:color w:val="231F20"/>
          <w:spacing w:val="-20"/>
          <w:w w:val="105"/>
        </w:rPr>
        <w:t xml:space="preserve"> </w:t>
      </w:r>
      <w:r>
        <w:rPr>
          <w:color w:val="231F20"/>
          <w:w w:val="105"/>
        </w:rPr>
        <w:t>were</w:t>
      </w:r>
      <w:r>
        <w:rPr>
          <w:color w:val="231F20"/>
          <w:spacing w:val="-20"/>
          <w:w w:val="105"/>
        </w:rPr>
        <w:t xml:space="preserve"> </w:t>
      </w:r>
      <w:r>
        <w:rPr>
          <w:color w:val="231F20"/>
          <w:w w:val="105"/>
        </w:rPr>
        <w:t>the</w:t>
      </w:r>
      <w:r>
        <w:rPr>
          <w:color w:val="231F20"/>
          <w:spacing w:val="-20"/>
          <w:w w:val="105"/>
        </w:rPr>
        <w:t xml:space="preserve"> </w:t>
      </w:r>
      <w:r>
        <w:rPr>
          <w:color w:val="231F20"/>
          <w:w w:val="105"/>
        </w:rPr>
        <w:t>opening</w:t>
      </w:r>
      <w:r>
        <w:rPr>
          <w:color w:val="231F20"/>
          <w:spacing w:val="-20"/>
          <w:w w:val="105"/>
        </w:rPr>
        <w:t xml:space="preserve"> </w:t>
      </w:r>
      <w:r>
        <w:rPr>
          <w:color w:val="231F20"/>
          <w:w w:val="105"/>
        </w:rPr>
        <w:t>salvos</w:t>
      </w:r>
      <w:r>
        <w:rPr>
          <w:color w:val="231F20"/>
          <w:spacing w:val="-20"/>
          <w:w w:val="105"/>
        </w:rPr>
        <w:t xml:space="preserve"> </w:t>
      </w:r>
      <w:r>
        <w:rPr>
          <w:color w:val="231F20"/>
          <w:w w:val="105"/>
        </w:rPr>
        <w:t>of</w:t>
      </w:r>
      <w:r>
        <w:rPr>
          <w:color w:val="231F20"/>
          <w:spacing w:val="-20"/>
          <w:w w:val="105"/>
        </w:rPr>
        <w:t xml:space="preserve"> </w:t>
      </w:r>
      <w:r>
        <w:rPr>
          <w:color w:val="231F20"/>
          <w:w w:val="105"/>
        </w:rPr>
        <w:t>one</w:t>
      </w:r>
      <w:r>
        <w:rPr>
          <w:color w:val="231F20"/>
          <w:spacing w:val="-20"/>
          <w:w w:val="105"/>
        </w:rPr>
        <w:t xml:space="preserve"> </w:t>
      </w:r>
      <w:r>
        <w:rPr>
          <w:color w:val="231F20"/>
          <w:w w:val="105"/>
        </w:rPr>
        <w:t>of</w:t>
      </w:r>
      <w:r>
        <w:rPr>
          <w:color w:val="231F20"/>
          <w:spacing w:val="-20"/>
          <w:w w:val="105"/>
        </w:rPr>
        <w:t xml:space="preserve"> </w:t>
      </w:r>
      <w:r>
        <w:rPr>
          <w:color w:val="231F20"/>
          <w:spacing w:val="-3"/>
          <w:w w:val="105"/>
        </w:rPr>
        <w:t>West</w:t>
      </w:r>
      <w:r>
        <w:rPr>
          <w:color w:val="231F20"/>
          <w:spacing w:val="-20"/>
          <w:w w:val="105"/>
        </w:rPr>
        <w:t xml:space="preserve"> </w:t>
      </w:r>
      <w:r>
        <w:rPr>
          <w:color w:val="231F20"/>
          <w:w w:val="105"/>
        </w:rPr>
        <w:t>Germany’s</w:t>
      </w:r>
      <w:r>
        <w:rPr>
          <w:color w:val="231F20"/>
          <w:spacing w:val="-20"/>
          <w:w w:val="105"/>
        </w:rPr>
        <w:t xml:space="preserve"> </w:t>
      </w:r>
      <w:r>
        <w:rPr>
          <w:color w:val="231F20"/>
          <w:w w:val="105"/>
        </w:rPr>
        <w:t>most</w:t>
      </w:r>
      <w:r>
        <w:rPr>
          <w:color w:val="231F20"/>
          <w:spacing w:val="-20"/>
          <w:w w:val="105"/>
        </w:rPr>
        <w:t xml:space="preserve"> </w:t>
      </w:r>
      <w:r>
        <w:rPr>
          <w:color w:val="231F20"/>
          <w:w w:val="105"/>
        </w:rPr>
        <w:t>interesting, and least known, guerilla</w:t>
      </w:r>
      <w:r>
        <w:rPr>
          <w:color w:val="231F20"/>
          <w:spacing w:val="35"/>
          <w:w w:val="105"/>
        </w:rPr>
        <w:t xml:space="preserve"> </w:t>
      </w:r>
      <w:r>
        <w:rPr>
          <w:color w:val="231F20"/>
          <w:w w:val="105"/>
        </w:rPr>
        <w:t>groups.</w:t>
      </w:r>
    </w:p>
    <w:p w14:paraId="1153EE9A" w14:textId="77777777" w:rsidR="002653E8" w:rsidRDefault="003115E3">
      <w:pPr>
        <w:pStyle w:val="a3"/>
        <w:spacing w:line="264" w:lineRule="auto"/>
        <w:ind w:left="1327" w:right="1145" w:firstLine="210"/>
        <w:jc w:val="both"/>
      </w:pPr>
      <w:r>
        <w:rPr>
          <w:color w:val="231F20"/>
        </w:rPr>
        <w:t xml:space="preserve">Dubbed “the after work guerillas,” the </w:t>
      </w:r>
      <w:r>
        <w:rPr>
          <w:color w:val="231F20"/>
          <w:spacing w:val="3"/>
        </w:rPr>
        <w:t xml:space="preserve">RZ </w:t>
      </w:r>
      <w:r>
        <w:rPr>
          <w:color w:val="231F20"/>
        </w:rPr>
        <w:t xml:space="preserve">adopted a very different approach from either the </w:t>
      </w:r>
      <w:r w:rsidR="00C507A5">
        <w:rPr>
          <w:color w:val="231F20"/>
          <w:spacing w:val="5"/>
        </w:rPr>
        <w:t>red army faction</w:t>
      </w:r>
      <w:r>
        <w:rPr>
          <w:color w:val="231F20"/>
          <w:spacing w:val="5"/>
        </w:rPr>
        <w:t xml:space="preserve"> </w:t>
      </w:r>
      <w:r>
        <w:rPr>
          <w:color w:val="231F20"/>
        </w:rPr>
        <w:t xml:space="preserve">or the 2JM. Anybody could </w:t>
      </w:r>
      <w:r>
        <w:rPr>
          <w:color w:val="231F20"/>
          <w:spacing w:val="1"/>
        </w:rPr>
        <w:t xml:space="preserve">carry </w:t>
      </w:r>
      <w:r>
        <w:rPr>
          <w:color w:val="231F20"/>
        </w:rPr>
        <w:t xml:space="preserve">out an action within the context of the RZ’s politics—defined as anti-imperialism, anti-Zionism, and “supporting the struggles of workers, </w:t>
      </w:r>
      <w:r>
        <w:rPr>
          <w:color w:val="231F20"/>
          <w:spacing w:val="1"/>
        </w:rPr>
        <w:t xml:space="preserve">wimmin </w:t>
      </w:r>
      <w:r>
        <w:rPr>
          <w:color w:val="231F20"/>
        </w:rPr>
        <w:t>and youth”</w:t>
      </w:r>
      <w:r>
        <w:rPr>
          <w:color w:val="231F20"/>
          <w:position w:val="7"/>
          <w:sz w:val="11"/>
        </w:rPr>
        <w:t>8</w:t>
      </w:r>
      <w:r>
        <w:rPr>
          <w:color w:val="231F20"/>
        </w:rPr>
        <w:t xml:space="preserve">—and claim it as an </w:t>
      </w:r>
      <w:r>
        <w:rPr>
          <w:color w:val="231F20"/>
          <w:spacing w:val="3"/>
        </w:rPr>
        <w:t xml:space="preserve">RZ </w:t>
      </w:r>
      <w:r>
        <w:rPr>
          <w:color w:val="231F20"/>
        </w:rPr>
        <w:t xml:space="preserve">action. </w:t>
      </w:r>
      <w:r>
        <w:rPr>
          <w:color w:val="231F20"/>
          <w:spacing w:val="1"/>
        </w:rPr>
        <w:t xml:space="preserve">In </w:t>
      </w:r>
      <w:r>
        <w:rPr>
          <w:color w:val="231F20"/>
        </w:rPr>
        <w:t>line with this, the Cells   did not field underground militants, but rather advised comrades</w:t>
      </w:r>
      <w:r>
        <w:rPr>
          <w:color w:val="231F20"/>
          <w:spacing w:val="16"/>
        </w:rPr>
        <w:t xml:space="preserve"> </w:t>
      </w:r>
      <w:r>
        <w:rPr>
          <w:color w:val="231F20"/>
        </w:rPr>
        <w:t xml:space="preserve">to maintain their “legal” existence while carrying out clandestine armed activities. Finally, the </w:t>
      </w:r>
      <w:r>
        <w:rPr>
          <w:color w:val="231F20"/>
          <w:spacing w:val="-3"/>
        </w:rPr>
        <w:t xml:space="preserve">group’s </w:t>
      </w:r>
      <w:r>
        <w:rPr>
          <w:color w:val="231F20"/>
        </w:rPr>
        <w:t xml:space="preserve">domestic wing purposefully stopped short of carrying out lethal attacks, the sole fatality during their entire nineteen-year existence being a politician who bled out when an </w:t>
      </w:r>
      <w:r>
        <w:rPr>
          <w:color w:val="231F20"/>
          <w:spacing w:val="3"/>
        </w:rPr>
        <w:t xml:space="preserve">RZ </w:t>
      </w:r>
      <w:r>
        <w:rPr>
          <w:color w:val="231F20"/>
        </w:rPr>
        <w:t xml:space="preserve">cell knee-capped him in </w:t>
      </w:r>
      <w:r>
        <w:rPr>
          <w:color w:val="231F20"/>
          <w:spacing w:val="-6"/>
        </w:rPr>
        <w:t xml:space="preserve">1981. </w:t>
      </w:r>
      <w:r>
        <w:rPr>
          <w:color w:val="231F20"/>
        </w:rPr>
        <w:t>(The group subsequently issued a communiqué</w:t>
      </w:r>
      <w:r>
        <w:rPr>
          <w:color w:val="231F20"/>
          <w:spacing w:val="11"/>
        </w:rPr>
        <w:t xml:space="preserve"> </w:t>
      </w:r>
      <w:r>
        <w:rPr>
          <w:color w:val="231F20"/>
        </w:rPr>
        <w:t>explaining</w:t>
      </w:r>
      <w:r>
        <w:rPr>
          <w:color w:val="231F20"/>
          <w:spacing w:val="11"/>
        </w:rPr>
        <w:t xml:space="preserve"> </w:t>
      </w:r>
      <w:r>
        <w:rPr>
          <w:color w:val="231F20"/>
        </w:rPr>
        <w:t>that</w:t>
      </w:r>
      <w:r>
        <w:rPr>
          <w:color w:val="231F20"/>
          <w:spacing w:val="11"/>
        </w:rPr>
        <w:t xml:space="preserve"> </w:t>
      </w:r>
      <w:r>
        <w:rPr>
          <w:color w:val="231F20"/>
        </w:rPr>
        <w:t>they</w:t>
      </w:r>
      <w:r>
        <w:rPr>
          <w:color w:val="231F20"/>
          <w:spacing w:val="11"/>
        </w:rPr>
        <w:t xml:space="preserve"> </w:t>
      </w:r>
      <w:r>
        <w:rPr>
          <w:color w:val="231F20"/>
        </w:rPr>
        <w:t>had</w:t>
      </w:r>
      <w:r>
        <w:rPr>
          <w:color w:val="231F20"/>
          <w:spacing w:val="11"/>
        </w:rPr>
        <w:t xml:space="preserve"> </w:t>
      </w:r>
      <w:r>
        <w:rPr>
          <w:color w:val="231F20"/>
        </w:rPr>
        <w:t>not</w:t>
      </w:r>
      <w:r>
        <w:rPr>
          <w:color w:val="231F20"/>
          <w:spacing w:val="11"/>
        </w:rPr>
        <w:t xml:space="preserve"> </w:t>
      </w:r>
      <w:r>
        <w:rPr>
          <w:color w:val="231F20"/>
        </w:rPr>
        <w:t>meant</w:t>
      </w:r>
      <w:r>
        <w:rPr>
          <w:color w:val="231F20"/>
          <w:spacing w:val="11"/>
        </w:rPr>
        <w:t xml:space="preserve"> </w:t>
      </w:r>
      <w:r>
        <w:rPr>
          <w:color w:val="231F20"/>
        </w:rPr>
        <w:t>to</w:t>
      </w:r>
      <w:r>
        <w:rPr>
          <w:color w:val="231F20"/>
          <w:spacing w:val="11"/>
        </w:rPr>
        <w:t xml:space="preserve"> </w:t>
      </w:r>
      <w:r>
        <w:rPr>
          <w:color w:val="231F20"/>
        </w:rPr>
        <w:t>kill</w:t>
      </w:r>
      <w:r>
        <w:rPr>
          <w:color w:val="231F20"/>
          <w:spacing w:val="11"/>
        </w:rPr>
        <w:t xml:space="preserve"> </w:t>
      </w:r>
      <w:r>
        <w:rPr>
          <w:color w:val="231F20"/>
        </w:rPr>
        <w:t>him.)</w:t>
      </w:r>
    </w:p>
    <w:p w14:paraId="5BF543CA" w14:textId="77777777" w:rsidR="002653E8" w:rsidRDefault="00000000">
      <w:pPr>
        <w:pStyle w:val="a3"/>
        <w:rPr>
          <w:sz w:val="18"/>
        </w:rPr>
      </w:pPr>
      <w:r>
        <w:rPr>
          <w:noProof w:val="0"/>
        </w:rPr>
        <w:pict w14:anchorId="0CD601C4">
          <v:line id="_x0000_s2239" style="position:absolute;z-index:9232;mso-wrap-distance-left:0;mso-wrap-distance-right:0;mso-position-horizontal-relative:page" from="66.4pt,13pt" to="354.4pt,13pt" strokecolor="#231f20" strokeweight="1pt">
            <w10:wrap type="topAndBottom" anchorx="page"/>
          </v:line>
        </w:pict>
      </w:r>
    </w:p>
    <w:p w14:paraId="6B367EE9" w14:textId="77777777" w:rsidR="002653E8" w:rsidRDefault="003115E3">
      <w:pPr>
        <w:spacing w:before="8"/>
        <w:ind w:left="1327"/>
        <w:rPr>
          <w:sz w:val="16"/>
        </w:rPr>
      </w:pPr>
      <w:r>
        <w:rPr>
          <w:color w:val="231F20"/>
          <w:w w:val="105"/>
          <w:sz w:val="16"/>
        </w:rPr>
        <w:t>November 19, 1973; Associated Press, “Bomb rips ITT subsidiary office in Berlin,”</w:t>
      </w:r>
    </w:p>
    <w:p w14:paraId="24AFAB61" w14:textId="77777777" w:rsidR="002653E8" w:rsidRDefault="003115E3">
      <w:pPr>
        <w:spacing w:before="11"/>
        <w:ind w:left="1328"/>
        <w:rPr>
          <w:sz w:val="16"/>
        </w:rPr>
      </w:pPr>
      <w:r>
        <w:rPr>
          <w:i/>
          <w:color w:val="231F20"/>
          <w:w w:val="110"/>
          <w:sz w:val="16"/>
        </w:rPr>
        <w:t xml:space="preserve">European Stars and Stripes, </w:t>
      </w:r>
      <w:r>
        <w:rPr>
          <w:color w:val="231F20"/>
          <w:w w:val="110"/>
          <w:sz w:val="16"/>
        </w:rPr>
        <w:t>November 18, 1973.</w:t>
      </w:r>
    </w:p>
    <w:p w14:paraId="024E7019" w14:textId="77777777" w:rsidR="002653E8" w:rsidRPr="00846956" w:rsidRDefault="003115E3">
      <w:pPr>
        <w:pStyle w:val="a4"/>
        <w:numPr>
          <w:ilvl w:val="0"/>
          <w:numId w:val="74"/>
        </w:numPr>
        <w:tabs>
          <w:tab w:val="left" w:pos="1467"/>
        </w:tabs>
        <w:spacing w:before="52" w:line="254" w:lineRule="auto"/>
        <w:ind w:right="2768" w:firstLine="1"/>
        <w:jc w:val="left"/>
        <w:rPr>
          <w:sz w:val="16"/>
          <w:lang w:val="de-DE"/>
        </w:rPr>
      </w:pPr>
      <w:bookmarkStart w:id="200" w:name="_Hlk130689435"/>
      <w:r w:rsidRPr="00846956">
        <w:rPr>
          <w:color w:val="231F20"/>
          <w:w w:val="105"/>
          <w:sz w:val="16"/>
          <w:lang w:val="de-DE"/>
        </w:rPr>
        <w:t xml:space="preserve">“Aktionen gegen </w:t>
      </w:r>
      <w:r w:rsidRPr="00846956">
        <w:rPr>
          <w:color w:val="231F20"/>
          <w:spacing w:val="3"/>
          <w:w w:val="105"/>
          <w:sz w:val="16"/>
          <w:lang w:val="de-DE"/>
        </w:rPr>
        <w:t xml:space="preserve">ITT </w:t>
      </w:r>
      <w:r w:rsidRPr="00846956">
        <w:rPr>
          <w:color w:val="231F20"/>
          <w:w w:val="105"/>
          <w:sz w:val="16"/>
          <w:lang w:val="de-DE"/>
        </w:rPr>
        <w:t xml:space="preserve">Berlin und Nürnberg (November </w:t>
      </w:r>
      <w:r w:rsidRPr="00846956">
        <w:rPr>
          <w:color w:val="231F20"/>
          <w:spacing w:val="-7"/>
          <w:w w:val="105"/>
          <w:sz w:val="16"/>
          <w:lang w:val="de-DE"/>
        </w:rPr>
        <w:t>73),”</w:t>
      </w:r>
      <w:hyperlink r:id="rId364">
        <w:r w:rsidRPr="00846956">
          <w:rPr>
            <w:color w:val="231F20"/>
            <w:spacing w:val="-7"/>
            <w:w w:val="105"/>
            <w:sz w:val="16"/>
            <w:lang w:val="de-DE"/>
          </w:rPr>
          <w:t xml:space="preserve"> </w:t>
        </w:r>
        <w:r w:rsidRPr="00846956">
          <w:rPr>
            <w:color w:val="231F20"/>
            <w:w w:val="104"/>
            <w:sz w:val="16"/>
            <w:lang w:val="de-DE"/>
          </w:rPr>
          <w:t>h</w:t>
        </w:r>
        <w:r w:rsidRPr="00846956">
          <w:rPr>
            <w:color w:val="231F20"/>
            <w:spacing w:val="5"/>
            <w:w w:val="102"/>
            <w:sz w:val="16"/>
            <w:lang w:val="de-DE"/>
          </w:rPr>
          <w:t>t</w:t>
        </w:r>
        <w:r w:rsidRPr="00846956">
          <w:rPr>
            <w:color w:val="231F20"/>
            <w:spacing w:val="3"/>
            <w:w w:val="102"/>
            <w:sz w:val="16"/>
            <w:lang w:val="de-DE"/>
          </w:rPr>
          <w:t>t</w:t>
        </w:r>
        <w:r w:rsidRPr="00846956">
          <w:rPr>
            <w:color w:val="231F20"/>
            <w:w w:val="103"/>
            <w:sz w:val="16"/>
            <w:lang w:val="de-DE"/>
          </w:rPr>
          <w:t>p</w:t>
        </w:r>
        <w:r w:rsidRPr="00846956">
          <w:rPr>
            <w:color w:val="231F20"/>
            <w:spacing w:val="5"/>
            <w:w w:val="109"/>
            <w:sz w:val="16"/>
            <w:lang w:val="de-DE"/>
          </w:rPr>
          <w:t>:</w:t>
        </w:r>
        <w:r w:rsidRPr="00846956">
          <w:rPr>
            <w:color w:val="231F20"/>
            <w:spacing w:val="-1"/>
            <w:w w:val="58"/>
            <w:sz w:val="16"/>
            <w:lang w:val="de-DE"/>
          </w:rPr>
          <w:t>/</w:t>
        </w:r>
        <w:r w:rsidRPr="00846956">
          <w:rPr>
            <w:color w:val="231F20"/>
            <w:spacing w:val="2"/>
            <w:w w:val="58"/>
            <w:sz w:val="16"/>
            <w:lang w:val="de-DE"/>
          </w:rPr>
          <w:t>/</w:t>
        </w:r>
        <w:r w:rsidRPr="00846956">
          <w:rPr>
            <w:color w:val="231F20"/>
            <w:spacing w:val="6"/>
            <w:w w:val="104"/>
            <w:sz w:val="16"/>
            <w:lang w:val="de-DE"/>
          </w:rPr>
          <w:t>ww</w:t>
        </w:r>
        <w:r w:rsidRPr="00846956">
          <w:rPr>
            <w:color w:val="231F20"/>
            <w:spacing w:val="-9"/>
            <w:w w:val="104"/>
            <w:sz w:val="16"/>
            <w:lang w:val="de-DE"/>
          </w:rPr>
          <w:t>w</w:t>
        </w:r>
        <w:r w:rsidRPr="00846956">
          <w:rPr>
            <w:color w:val="231F20"/>
            <w:w w:val="140"/>
            <w:sz w:val="16"/>
            <w:lang w:val="de-DE"/>
          </w:rPr>
          <w:t>.</w:t>
        </w:r>
        <w:r w:rsidRPr="00846956">
          <w:rPr>
            <w:color w:val="231F20"/>
            <w:spacing w:val="3"/>
            <w:w w:val="114"/>
            <w:sz w:val="16"/>
            <w:lang w:val="de-DE"/>
          </w:rPr>
          <w:t>f</w:t>
        </w:r>
        <w:r w:rsidRPr="00846956">
          <w:rPr>
            <w:color w:val="231F20"/>
            <w:w w:val="97"/>
            <w:sz w:val="16"/>
            <w:lang w:val="de-DE"/>
          </w:rPr>
          <w:t>re</w:t>
        </w:r>
        <w:r w:rsidRPr="00846956">
          <w:rPr>
            <w:color w:val="231F20"/>
            <w:spacing w:val="2"/>
            <w:w w:val="97"/>
            <w:sz w:val="16"/>
            <w:lang w:val="de-DE"/>
          </w:rPr>
          <w:t>i</w:t>
        </w:r>
        <w:r w:rsidRPr="00846956">
          <w:rPr>
            <w:color w:val="231F20"/>
            <w:spacing w:val="1"/>
            <w:w w:val="106"/>
            <w:sz w:val="16"/>
            <w:lang w:val="de-DE"/>
          </w:rPr>
          <w:t>la</w:t>
        </w:r>
        <w:r w:rsidRPr="00846956">
          <w:rPr>
            <w:color w:val="231F20"/>
            <w:spacing w:val="1"/>
            <w:w w:val="93"/>
            <w:sz w:val="16"/>
            <w:lang w:val="de-DE"/>
          </w:rPr>
          <w:t>s</w:t>
        </w:r>
        <w:r w:rsidRPr="00846956">
          <w:rPr>
            <w:color w:val="231F20"/>
            <w:w w:val="99"/>
            <w:sz w:val="16"/>
            <w:lang w:val="de-DE"/>
          </w:rPr>
          <w:t>s</w:t>
        </w:r>
        <w:r w:rsidRPr="00846956">
          <w:rPr>
            <w:color w:val="231F20"/>
            <w:spacing w:val="3"/>
            <w:w w:val="99"/>
            <w:sz w:val="16"/>
            <w:lang w:val="de-DE"/>
          </w:rPr>
          <w:t>u</w:t>
        </w:r>
        <w:r w:rsidRPr="00846956">
          <w:rPr>
            <w:color w:val="231F20"/>
            <w:w w:val="103"/>
            <w:sz w:val="16"/>
            <w:lang w:val="de-DE"/>
          </w:rPr>
          <w:t>n</w:t>
        </w:r>
        <w:r w:rsidRPr="00846956">
          <w:rPr>
            <w:color w:val="231F20"/>
            <w:spacing w:val="1"/>
            <w:w w:val="104"/>
            <w:sz w:val="16"/>
            <w:lang w:val="de-DE"/>
          </w:rPr>
          <w:t>g</w:t>
        </w:r>
        <w:r w:rsidRPr="00846956">
          <w:rPr>
            <w:color w:val="231F20"/>
            <w:w w:val="140"/>
            <w:sz w:val="16"/>
            <w:lang w:val="de-DE"/>
          </w:rPr>
          <w:t>.</w:t>
        </w:r>
        <w:r w:rsidRPr="00846956">
          <w:rPr>
            <w:color w:val="231F20"/>
            <w:w w:val="103"/>
            <w:sz w:val="16"/>
            <w:lang w:val="de-DE"/>
          </w:rPr>
          <w:t>d</w:t>
        </w:r>
        <w:r w:rsidRPr="00846956">
          <w:rPr>
            <w:color w:val="231F20"/>
            <w:spacing w:val="5"/>
            <w:w w:val="94"/>
            <w:sz w:val="16"/>
            <w:lang w:val="de-DE"/>
          </w:rPr>
          <w:t>e</w:t>
        </w:r>
        <w:r w:rsidRPr="00846956">
          <w:rPr>
            <w:color w:val="231F20"/>
            <w:spacing w:val="-3"/>
            <w:w w:val="58"/>
            <w:sz w:val="16"/>
            <w:lang w:val="de-DE"/>
          </w:rPr>
          <w:t>/</w:t>
        </w:r>
        <w:r w:rsidRPr="00846956">
          <w:rPr>
            <w:color w:val="231F20"/>
            <w:spacing w:val="3"/>
            <w:w w:val="103"/>
            <w:sz w:val="16"/>
            <w:lang w:val="de-DE"/>
          </w:rPr>
          <w:t>d</w:t>
        </w:r>
        <w:r w:rsidRPr="00846956">
          <w:rPr>
            <w:color w:val="231F20"/>
            <w:spacing w:val="-1"/>
            <w:w w:val="103"/>
            <w:sz w:val="16"/>
            <w:lang w:val="de-DE"/>
          </w:rPr>
          <w:t>i</w:t>
        </w:r>
        <w:r w:rsidRPr="00846956">
          <w:rPr>
            <w:color w:val="231F20"/>
            <w:spacing w:val="-1"/>
            <w:w w:val="102"/>
            <w:sz w:val="16"/>
            <w:lang w:val="de-DE"/>
          </w:rPr>
          <w:t>v</w:t>
        </w:r>
        <w:r w:rsidRPr="00846956">
          <w:rPr>
            <w:color w:val="231F20"/>
            <w:spacing w:val="1"/>
            <w:w w:val="58"/>
            <w:sz w:val="16"/>
            <w:lang w:val="de-DE"/>
          </w:rPr>
          <w:t>/</w:t>
        </w:r>
        <w:r w:rsidRPr="00846956">
          <w:rPr>
            <w:color w:val="231F20"/>
            <w:spacing w:val="1"/>
            <w:w w:val="102"/>
            <w:sz w:val="16"/>
            <w:lang w:val="de-DE"/>
          </w:rPr>
          <w:t>t</w:t>
        </w:r>
        <w:r w:rsidRPr="00846956">
          <w:rPr>
            <w:color w:val="231F20"/>
            <w:w w:val="94"/>
            <w:sz w:val="16"/>
            <w:lang w:val="de-DE"/>
          </w:rPr>
          <w:t>e</w:t>
        </w:r>
        <w:r w:rsidRPr="00846956">
          <w:rPr>
            <w:color w:val="231F20"/>
            <w:spacing w:val="5"/>
            <w:w w:val="119"/>
            <w:sz w:val="16"/>
            <w:lang w:val="de-DE"/>
          </w:rPr>
          <w:t>x</w:t>
        </w:r>
        <w:r w:rsidRPr="00846956">
          <w:rPr>
            <w:color w:val="231F20"/>
            <w:spacing w:val="1"/>
            <w:w w:val="102"/>
            <w:sz w:val="16"/>
            <w:lang w:val="de-DE"/>
          </w:rPr>
          <w:t>t</w:t>
        </w:r>
        <w:r w:rsidRPr="00846956">
          <w:rPr>
            <w:color w:val="231F20"/>
            <w:spacing w:val="5"/>
            <w:w w:val="94"/>
            <w:sz w:val="16"/>
            <w:lang w:val="de-DE"/>
          </w:rPr>
          <w:t>e</w:t>
        </w:r>
        <w:r w:rsidRPr="00846956">
          <w:rPr>
            <w:color w:val="231F20"/>
            <w:w w:val="58"/>
            <w:sz w:val="16"/>
            <w:lang w:val="de-DE"/>
          </w:rPr>
          <w:t>/</w:t>
        </w:r>
        <w:r w:rsidRPr="00846956">
          <w:rPr>
            <w:color w:val="231F20"/>
            <w:spacing w:val="2"/>
            <w:w w:val="97"/>
            <w:sz w:val="16"/>
            <w:lang w:val="de-DE"/>
          </w:rPr>
          <w:t>r</w:t>
        </w:r>
        <w:r w:rsidRPr="00846956">
          <w:rPr>
            <w:color w:val="231F20"/>
            <w:spacing w:val="6"/>
            <w:w w:val="101"/>
            <w:sz w:val="16"/>
            <w:lang w:val="de-DE"/>
          </w:rPr>
          <w:t>z</w:t>
        </w:r>
        <w:r w:rsidRPr="00846956">
          <w:rPr>
            <w:color w:val="231F20"/>
            <w:w w:val="58"/>
            <w:sz w:val="16"/>
            <w:lang w:val="de-DE"/>
          </w:rPr>
          <w:t>/</w:t>
        </w:r>
        <w:r w:rsidRPr="00846956">
          <w:rPr>
            <w:color w:val="231F20"/>
            <w:spacing w:val="1"/>
            <w:w w:val="101"/>
            <w:sz w:val="16"/>
            <w:lang w:val="de-DE"/>
          </w:rPr>
          <w:t>z</w:t>
        </w:r>
        <w:r w:rsidRPr="00846956">
          <w:rPr>
            <w:color w:val="231F20"/>
            <w:w w:val="108"/>
            <w:sz w:val="16"/>
            <w:lang w:val="de-DE"/>
          </w:rPr>
          <w:t>o</w:t>
        </w:r>
        <w:r w:rsidRPr="00846956">
          <w:rPr>
            <w:color w:val="231F20"/>
            <w:spacing w:val="3"/>
            <w:w w:val="97"/>
            <w:sz w:val="16"/>
            <w:lang w:val="de-DE"/>
          </w:rPr>
          <w:t>r</w:t>
        </w:r>
        <w:r w:rsidRPr="00846956">
          <w:rPr>
            <w:color w:val="231F20"/>
            <w:spacing w:val="8"/>
            <w:w w:val="103"/>
            <w:sz w:val="16"/>
            <w:lang w:val="de-DE"/>
          </w:rPr>
          <w:t>n</w:t>
        </w:r>
        <w:r w:rsidRPr="00846956">
          <w:rPr>
            <w:color w:val="231F20"/>
            <w:spacing w:val="5"/>
            <w:w w:val="58"/>
            <w:sz w:val="16"/>
            <w:lang w:val="de-DE"/>
          </w:rPr>
          <w:t>/</w:t>
        </w:r>
        <w:r w:rsidRPr="00846956">
          <w:rPr>
            <w:color w:val="231F20"/>
            <w:spacing w:val="5"/>
            <w:w w:val="139"/>
            <w:sz w:val="16"/>
            <w:lang w:val="de-DE"/>
          </w:rPr>
          <w:t>Z</w:t>
        </w:r>
        <w:r w:rsidRPr="00846956">
          <w:rPr>
            <w:color w:val="231F20"/>
            <w:w w:val="108"/>
            <w:sz w:val="16"/>
            <w:lang w:val="de-DE"/>
          </w:rPr>
          <w:t>o</w:t>
        </w:r>
        <w:r w:rsidRPr="00846956">
          <w:rPr>
            <w:color w:val="231F20"/>
            <w:spacing w:val="3"/>
            <w:w w:val="97"/>
            <w:sz w:val="16"/>
            <w:lang w:val="de-DE"/>
          </w:rPr>
          <w:t>r</w:t>
        </w:r>
        <w:r w:rsidRPr="00846956">
          <w:rPr>
            <w:color w:val="231F20"/>
            <w:w w:val="103"/>
            <w:sz w:val="16"/>
            <w:lang w:val="de-DE"/>
          </w:rPr>
          <w:t>n</w:t>
        </w:r>
        <w:r w:rsidRPr="00846956">
          <w:rPr>
            <w:color w:val="231F20"/>
            <w:spacing w:val="-3"/>
            <w:w w:val="104"/>
            <w:sz w:val="16"/>
            <w:lang w:val="de-DE"/>
          </w:rPr>
          <w:t>1</w:t>
        </w:r>
        <w:r w:rsidRPr="00846956">
          <w:rPr>
            <w:color w:val="231F20"/>
            <w:spacing w:val="1"/>
            <w:w w:val="104"/>
            <w:sz w:val="16"/>
            <w:lang w:val="de-DE"/>
          </w:rPr>
          <w:t>2</w:t>
        </w:r>
        <w:r w:rsidRPr="00846956">
          <w:rPr>
            <w:color w:val="231F20"/>
            <w:spacing w:val="1"/>
            <w:w w:val="140"/>
            <w:sz w:val="16"/>
            <w:lang w:val="de-DE"/>
          </w:rPr>
          <w:t>.</w:t>
        </w:r>
        <w:r w:rsidRPr="00846956">
          <w:rPr>
            <w:color w:val="231F20"/>
            <w:w w:val="103"/>
            <w:sz w:val="16"/>
            <w:lang w:val="de-DE"/>
          </w:rPr>
          <w:t>h</w:t>
        </w:r>
        <w:r w:rsidRPr="00846956">
          <w:rPr>
            <w:color w:val="231F20"/>
            <w:spacing w:val="3"/>
            <w:w w:val="103"/>
            <w:sz w:val="16"/>
            <w:lang w:val="de-DE"/>
          </w:rPr>
          <w:t>t</w:t>
        </w:r>
        <w:r w:rsidRPr="00846956">
          <w:rPr>
            <w:color w:val="231F20"/>
            <w:spacing w:val="1"/>
            <w:w w:val="103"/>
            <w:sz w:val="16"/>
            <w:lang w:val="de-DE"/>
          </w:rPr>
          <w:t>m</w:t>
        </w:r>
        <w:r w:rsidRPr="00846956">
          <w:rPr>
            <w:color w:val="231F20"/>
            <w:w w:val="140"/>
            <w:sz w:val="16"/>
            <w:lang w:val="de-DE"/>
          </w:rPr>
          <w:t>.</w:t>
        </w:r>
      </w:hyperlink>
    </w:p>
    <w:p w14:paraId="162F29FB" w14:textId="77777777" w:rsidR="002653E8" w:rsidRDefault="003115E3">
      <w:pPr>
        <w:pStyle w:val="a4"/>
        <w:numPr>
          <w:ilvl w:val="0"/>
          <w:numId w:val="74"/>
        </w:numPr>
        <w:tabs>
          <w:tab w:val="left" w:pos="1467"/>
        </w:tabs>
        <w:spacing w:line="254" w:lineRule="auto"/>
        <w:ind w:left="1328" w:right="1474" w:firstLine="0"/>
        <w:jc w:val="both"/>
        <w:rPr>
          <w:sz w:val="16"/>
        </w:rPr>
      </w:pPr>
      <w:r>
        <w:rPr>
          <w:color w:val="231F20"/>
          <w:w w:val="110"/>
          <w:sz w:val="16"/>
        </w:rPr>
        <w:t xml:space="preserve">Autonome Forum, </w:t>
      </w:r>
      <w:r>
        <w:rPr>
          <w:color w:val="231F20"/>
          <w:spacing w:val="-7"/>
          <w:w w:val="110"/>
          <w:sz w:val="16"/>
        </w:rPr>
        <w:t xml:space="preserve">“A </w:t>
      </w:r>
      <w:r>
        <w:rPr>
          <w:color w:val="231F20"/>
          <w:w w:val="110"/>
          <w:sz w:val="16"/>
        </w:rPr>
        <w:t xml:space="preserve">Herstory Of The Revolutionary Cells And Rote Zora— </w:t>
      </w:r>
      <w:r>
        <w:rPr>
          <w:color w:val="231F20"/>
          <w:spacing w:val="6"/>
          <w:w w:val="120"/>
          <w:sz w:val="16"/>
        </w:rPr>
        <w:t>A</w:t>
      </w:r>
      <w:r>
        <w:rPr>
          <w:color w:val="231F20"/>
          <w:spacing w:val="2"/>
          <w:w w:val="97"/>
          <w:sz w:val="16"/>
        </w:rPr>
        <w:t>r</w:t>
      </w:r>
      <w:r>
        <w:rPr>
          <w:color w:val="231F20"/>
          <w:w w:val="103"/>
          <w:sz w:val="16"/>
        </w:rPr>
        <w:t>m</w:t>
      </w:r>
      <w:r>
        <w:rPr>
          <w:color w:val="231F20"/>
          <w:spacing w:val="1"/>
          <w:w w:val="94"/>
          <w:sz w:val="16"/>
        </w:rPr>
        <w:t>e</w:t>
      </w:r>
      <w:r>
        <w:rPr>
          <w:color w:val="231F20"/>
          <w:w w:val="103"/>
          <w:sz w:val="16"/>
        </w:rPr>
        <w:t>d</w:t>
      </w:r>
      <w:r>
        <w:rPr>
          <w:color w:val="231F20"/>
          <w:spacing w:val="10"/>
          <w:sz w:val="16"/>
        </w:rPr>
        <w:t xml:space="preserve"> </w:t>
      </w:r>
      <w:r>
        <w:rPr>
          <w:color w:val="231F20"/>
          <w:spacing w:val="1"/>
          <w:w w:val="120"/>
          <w:sz w:val="16"/>
        </w:rPr>
        <w:t>R</w:t>
      </w:r>
      <w:r>
        <w:rPr>
          <w:color w:val="231F20"/>
          <w:spacing w:val="2"/>
          <w:w w:val="94"/>
          <w:sz w:val="16"/>
        </w:rPr>
        <w:t>e</w:t>
      </w:r>
      <w:r>
        <w:rPr>
          <w:color w:val="231F20"/>
          <w:w w:val="93"/>
          <w:sz w:val="16"/>
        </w:rPr>
        <w:t>s</w:t>
      </w:r>
      <w:r>
        <w:rPr>
          <w:color w:val="231F20"/>
          <w:spacing w:val="1"/>
          <w:w w:val="103"/>
          <w:sz w:val="16"/>
        </w:rPr>
        <w:t>i</w:t>
      </w:r>
      <w:r>
        <w:rPr>
          <w:color w:val="231F20"/>
          <w:spacing w:val="1"/>
          <w:w w:val="93"/>
          <w:sz w:val="16"/>
        </w:rPr>
        <w:t>s</w:t>
      </w:r>
      <w:r>
        <w:rPr>
          <w:color w:val="231F20"/>
          <w:spacing w:val="3"/>
          <w:w w:val="102"/>
          <w:sz w:val="16"/>
        </w:rPr>
        <w:t>t</w:t>
      </w:r>
      <w:r>
        <w:rPr>
          <w:color w:val="231F20"/>
          <w:spacing w:val="3"/>
          <w:w w:val="106"/>
          <w:sz w:val="16"/>
        </w:rPr>
        <w:t>a</w:t>
      </w:r>
      <w:r>
        <w:rPr>
          <w:color w:val="231F20"/>
          <w:w w:val="103"/>
          <w:sz w:val="16"/>
        </w:rPr>
        <w:t>n</w:t>
      </w:r>
      <w:r>
        <w:rPr>
          <w:color w:val="231F20"/>
          <w:spacing w:val="2"/>
          <w:w w:val="104"/>
          <w:sz w:val="16"/>
        </w:rPr>
        <w:t>c</w:t>
      </w:r>
      <w:r>
        <w:rPr>
          <w:color w:val="231F20"/>
          <w:w w:val="94"/>
          <w:sz w:val="16"/>
        </w:rPr>
        <w:t>e</w:t>
      </w:r>
      <w:r>
        <w:rPr>
          <w:color w:val="231F20"/>
          <w:spacing w:val="10"/>
          <w:sz w:val="16"/>
        </w:rPr>
        <w:t xml:space="preserve"> </w:t>
      </w:r>
      <w:r>
        <w:rPr>
          <w:color w:val="231F20"/>
          <w:spacing w:val="3"/>
          <w:w w:val="103"/>
          <w:sz w:val="16"/>
        </w:rPr>
        <w:t>i</w:t>
      </w:r>
      <w:r>
        <w:rPr>
          <w:color w:val="231F20"/>
          <w:w w:val="103"/>
          <w:sz w:val="16"/>
        </w:rPr>
        <w:t>n</w:t>
      </w:r>
      <w:r>
        <w:rPr>
          <w:color w:val="231F20"/>
          <w:spacing w:val="10"/>
          <w:sz w:val="16"/>
        </w:rPr>
        <w:t xml:space="preserve"> </w:t>
      </w:r>
      <w:r>
        <w:rPr>
          <w:color w:val="231F20"/>
          <w:spacing w:val="-7"/>
          <w:w w:val="112"/>
          <w:sz w:val="16"/>
        </w:rPr>
        <w:t>W</w:t>
      </w:r>
      <w:r>
        <w:rPr>
          <w:color w:val="231F20"/>
          <w:spacing w:val="2"/>
          <w:w w:val="94"/>
          <w:sz w:val="16"/>
        </w:rPr>
        <w:t>e</w:t>
      </w:r>
      <w:r>
        <w:rPr>
          <w:color w:val="231F20"/>
          <w:spacing w:val="1"/>
          <w:w w:val="93"/>
          <w:sz w:val="16"/>
        </w:rPr>
        <w:t>s</w:t>
      </w:r>
      <w:r>
        <w:rPr>
          <w:color w:val="231F20"/>
          <w:w w:val="102"/>
          <w:sz w:val="16"/>
        </w:rPr>
        <w:t>t</w:t>
      </w:r>
      <w:r>
        <w:rPr>
          <w:color w:val="231F20"/>
          <w:spacing w:val="10"/>
          <w:sz w:val="16"/>
        </w:rPr>
        <w:t xml:space="preserve"> </w:t>
      </w:r>
      <w:r>
        <w:rPr>
          <w:color w:val="231F20"/>
          <w:spacing w:val="5"/>
          <w:w w:val="132"/>
          <w:sz w:val="16"/>
        </w:rPr>
        <w:t>G</w:t>
      </w:r>
      <w:r>
        <w:rPr>
          <w:color w:val="231F20"/>
          <w:w w:val="94"/>
          <w:sz w:val="16"/>
        </w:rPr>
        <w:t>e</w:t>
      </w:r>
      <w:r>
        <w:rPr>
          <w:color w:val="231F20"/>
          <w:spacing w:val="2"/>
          <w:w w:val="97"/>
          <w:sz w:val="16"/>
        </w:rPr>
        <w:t>r</w:t>
      </w:r>
      <w:r>
        <w:rPr>
          <w:color w:val="231F20"/>
          <w:spacing w:val="2"/>
          <w:w w:val="103"/>
          <w:sz w:val="16"/>
        </w:rPr>
        <w:t>m</w:t>
      </w:r>
      <w:r>
        <w:rPr>
          <w:color w:val="231F20"/>
          <w:spacing w:val="3"/>
          <w:w w:val="106"/>
          <w:sz w:val="16"/>
        </w:rPr>
        <w:t>a</w:t>
      </w:r>
      <w:r>
        <w:rPr>
          <w:color w:val="231F20"/>
          <w:spacing w:val="-1"/>
          <w:w w:val="103"/>
          <w:sz w:val="16"/>
        </w:rPr>
        <w:t>n</w:t>
      </w:r>
      <w:r>
        <w:rPr>
          <w:color w:val="231F20"/>
          <w:spacing w:val="-8"/>
          <w:w w:val="102"/>
          <w:sz w:val="16"/>
        </w:rPr>
        <w:t>y</w:t>
      </w:r>
      <w:r>
        <w:rPr>
          <w:color w:val="231F20"/>
          <w:spacing w:val="-9"/>
          <w:w w:val="140"/>
          <w:sz w:val="16"/>
        </w:rPr>
        <w:t>,</w:t>
      </w:r>
      <w:r>
        <w:rPr>
          <w:color w:val="231F20"/>
          <w:w w:val="153"/>
          <w:sz w:val="16"/>
        </w:rPr>
        <w:t>”</w:t>
      </w:r>
      <w:r>
        <w:rPr>
          <w:color w:val="231F20"/>
          <w:spacing w:val="10"/>
          <w:sz w:val="16"/>
        </w:rPr>
        <w:t xml:space="preserve"> </w:t>
      </w:r>
      <w:hyperlink r:id="rId365">
        <w:r>
          <w:rPr>
            <w:color w:val="231F20"/>
            <w:w w:val="103"/>
            <w:sz w:val="16"/>
          </w:rPr>
          <w:t>h</w:t>
        </w:r>
        <w:r>
          <w:rPr>
            <w:color w:val="231F20"/>
            <w:spacing w:val="5"/>
            <w:w w:val="103"/>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w w:val="140"/>
            <w:sz w:val="16"/>
          </w:rPr>
          <w:t>.</w:t>
        </w:r>
        <w:r>
          <w:rPr>
            <w:color w:val="231F20"/>
            <w:spacing w:val="2"/>
            <w:w w:val="94"/>
            <w:sz w:val="16"/>
          </w:rPr>
          <w:t>e</w:t>
        </w:r>
        <w:r>
          <w:rPr>
            <w:color w:val="231F20"/>
            <w:spacing w:val="1"/>
            <w:w w:val="102"/>
            <w:sz w:val="16"/>
          </w:rPr>
          <w:t>t</w:t>
        </w:r>
        <w:r>
          <w:rPr>
            <w:color w:val="231F20"/>
            <w:w w:val="94"/>
            <w:sz w:val="16"/>
          </w:rPr>
          <w:t>e</w:t>
        </w:r>
        <w:r>
          <w:rPr>
            <w:color w:val="231F20"/>
            <w:spacing w:val="5"/>
            <w:w w:val="119"/>
            <w:sz w:val="16"/>
          </w:rPr>
          <w:t>x</w:t>
        </w:r>
        <w:r>
          <w:rPr>
            <w:color w:val="231F20"/>
            <w:spacing w:val="2"/>
            <w:w w:val="102"/>
            <w:sz w:val="16"/>
          </w:rPr>
          <w:t>t</w:t>
        </w:r>
        <w:r>
          <w:rPr>
            <w:color w:val="231F20"/>
            <w:w w:val="140"/>
            <w:sz w:val="16"/>
          </w:rPr>
          <w:t>.</w:t>
        </w:r>
        <w:r>
          <w:rPr>
            <w:color w:val="231F20"/>
            <w:w w:val="108"/>
            <w:sz w:val="16"/>
          </w:rPr>
          <w:t>o</w:t>
        </w:r>
        <w:r>
          <w:rPr>
            <w:color w:val="231F20"/>
            <w:spacing w:val="1"/>
            <w:w w:val="97"/>
            <w:sz w:val="16"/>
          </w:rPr>
          <w:t>r</w:t>
        </w:r>
        <w:r>
          <w:rPr>
            <w:color w:val="231F20"/>
            <w:spacing w:val="8"/>
            <w:w w:val="104"/>
            <w:sz w:val="16"/>
          </w:rPr>
          <w:t>g</w:t>
        </w:r>
        <w:r>
          <w:rPr>
            <w:color w:val="231F20"/>
            <w:spacing w:val="10"/>
            <w:w w:val="58"/>
            <w:sz w:val="16"/>
          </w:rPr>
          <w:t>/</w:t>
        </w:r>
        <w:r>
          <w:rPr>
            <w:color w:val="231F20"/>
            <w:spacing w:val="-2"/>
            <w:w w:val="101"/>
            <w:sz w:val="16"/>
          </w:rPr>
          <w:t>P</w:t>
        </w:r>
        <w:r>
          <w:rPr>
            <w:color w:val="231F20"/>
            <w:w w:val="108"/>
            <w:sz w:val="16"/>
          </w:rPr>
          <w:t>o</w:t>
        </w:r>
        <w:r>
          <w:rPr>
            <w:color w:val="231F20"/>
            <w:spacing w:val="2"/>
            <w:w w:val="106"/>
            <w:sz w:val="16"/>
          </w:rPr>
          <w:t>l</w:t>
        </w:r>
        <w:r>
          <w:rPr>
            <w:color w:val="231F20"/>
            <w:spacing w:val="-1"/>
            <w:w w:val="103"/>
            <w:sz w:val="16"/>
          </w:rPr>
          <w:t>i</w:t>
        </w:r>
        <w:r>
          <w:rPr>
            <w:color w:val="231F20"/>
            <w:spacing w:val="2"/>
            <w:w w:val="102"/>
            <w:sz w:val="16"/>
          </w:rPr>
          <w:t>t</w:t>
        </w:r>
        <w:r>
          <w:rPr>
            <w:color w:val="231F20"/>
            <w:w w:val="103"/>
            <w:sz w:val="16"/>
          </w:rPr>
          <w:t>i</w:t>
        </w:r>
        <w:r>
          <w:rPr>
            <w:color w:val="231F20"/>
            <w:spacing w:val="2"/>
            <w:w w:val="104"/>
            <w:sz w:val="16"/>
          </w:rPr>
          <w:t>c</w:t>
        </w:r>
        <w:r>
          <w:rPr>
            <w:color w:val="231F20"/>
            <w:spacing w:val="5"/>
            <w:w w:val="93"/>
            <w:sz w:val="16"/>
          </w:rPr>
          <w:t>s</w:t>
        </w:r>
        <w:r>
          <w:rPr>
            <w:color w:val="231F20"/>
            <w:spacing w:val="-5"/>
            <w:w w:val="58"/>
            <w:sz w:val="16"/>
          </w:rPr>
          <w:t>/</w:t>
        </w:r>
        <w:r>
          <w:rPr>
            <w:color w:val="231F20"/>
            <w:w w:val="120"/>
            <w:sz w:val="16"/>
          </w:rPr>
          <w:t>A</w:t>
        </w:r>
        <w:r>
          <w:rPr>
            <w:color w:val="231F20"/>
            <w:w w:val="104"/>
            <w:sz w:val="16"/>
          </w:rPr>
          <w:t>u</w:t>
        </w:r>
        <w:r>
          <w:rPr>
            <w:color w:val="231F20"/>
            <w:w w:val="102"/>
            <w:sz w:val="16"/>
          </w:rPr>
          <w:t>t</w:t>
        </w:r>
        <w:r>
          <w:rPr>
            <w:color w:val="231F20"/>
            <w:w w:val="108"/>
            <w:sz w:val="16"/>
          </w:rPr>
          <w:t>o</w:t>
        </w:r>
        <w:r>
          <w:rPr>
            <w:color w:val="231F20"/>
            <w:w w:val="103"/>
            <w:sz w:val="16"/>
          </w:rPr>
          <w:t>n</w:t>
        </w:r>
        <w:r>
          <w:rPr>
            <w:color w:val="231F20"/>
            <w:w w:val="108"/>
            <w:sz w:val="16"/>
          </w:rPr>
          <w:t>o</w:t>
        </w:r>
        <w:r>
          <w:rPr>
            <w:color w:val="231F20"/>
            <w:w w:val="103"/>
            <w:sz w:val="16"/>
          </w:rPr>
          <w:t>m</w:t>
        </w:r>
        <w:r>
          <w:rPr>
            <w:color w:val="231F20"/>
            <w:spacing w:val="1"/>
            <w:w w:val="94"/>
            <w:sz w:val="16"/>
          </w:rPr>
          <w:t>e</w:t>
        </w:r>
        <w:r>
          <w:rPr>
            <w:color w:val="231F20"/>
            <w:w w:val="140"/>
            <w:sz w:val="16"/>
          </w:rPr>
          <w:t>.</w:t>
        </w:r>
      </w:hyperlink>
      <w:r>
        <w:rPr>
          <w:color w:val="231F20"/>
          <w:w w:val="140"/>
          <w:sz w:val="16"/>
        </w:rPr>
        <w:t xml:space="preserve"> </w:t>
      </w:r>
      <w:r>
        <w:rPr>
          <w:color w:val="231F20"/>
          <w:w w:val="107"/>
          <w:sz w:val="16"/>
        </w:rPr>
        <w:t>F</w:t>
      </w:r>
      <w:r>
        <w:rPr>
          <w:color w:val="231F20"/>
          <w:w w:val="103"/>
          <w:sz w:val="16"/>
        </w:rPr>
        <w:t>o</w:t>
      </w:r>
      <w:r>
        <w:rPr>
          <w:color w:val="231F20"/>
          <w:spacing w:val="3"/>
          <w:w w:val="103"/>
          <w:sz w:val="16"/>
        </w:rPr>
        <w:t>r</w:t>
      </w:r>
      <w:r>
        <w:rPr>
          <w:color w:val="231F20"/>
          <w:spacing w:val="5"/>
          <w:w w:val="104"/>
          <w:sz w:val="16"/>
        </w:rPr>
        <w:t>u</w:t>
      </w:r>
      <w:r>
        <w:rPr>
          <w:color w:val="231F20"/>
          <w:spacing w:val="8"/>
          <w:w w:val="103"/>
          <w:sz w:val="16"/>
        </w:rPr>
        <w:t>m</w:t>
      </w:r>
      <w:r>
        <w:rPr>
          <w:color w:val="231F20"/>
          <w:w w:val="58"/>
          <w:sz w:val="16"/>
        </w:rPr>
        <w:t>/</w:t>
      </w:r>
      <w:r>
        <w:rPr>
          <w:color w:val="231F20"/>
          <w:spacing w:val="2"/>
          <w:w w:val="132"/>
          <w:sz w:val="16"/>
        </w:rPr>
        <w:t>G</w:t>
      </w:r>
      <w:r>
        <w:rPr>
          <w:color w:val="231F20"/>
          <w:w w:val="104"/>
          <w:sz w:val="16"/>
        </w:rPr>
        <w:t>u</w:t>
      </w:r>
      <w:r>
        <w:rPr>
          <w:color w:val="231F20"/>
          <w:w w:val="94"/>
          <w:sz w:val="16"/>
        </w:rPr>
        <w:t>e</w:t>
      </w:r>
      <w:r>
        <w:rPr>
          <w:color w:val="231F20"/>
          <w:spacing w:val="2"/>
          <w:w w:val="97"/>
          <w:sz w:val="16"/>
        </w:rPr>
        <w:t>rr</w:t>
      </w:r>
      <w:r>
        <w:rPr>
          <w:color w:val="231F20"/>
          <w:spacing w:val="2"/>
          <w:w w:val="103"/>
          <w:sz w:val="16"/>
        </w:rPr>
        <w:t>i</w:t>
      </w:r>
      <w:r>
        <w:rPr>
          <w:color w:val="231F20"/>
          <w:spacing w:val="2"/>
          <w:w w:val="106"/>
          <w:sz w:val="16"/>
        </w:rPr>
        <w:t>l</w:t>
      </w:r>
      <w:r>
        <w:rPr>
          <w:color w:val="231F20"/>
          <w:spacing w:val="1"/>
          <w:w w:val="106"/>
          <w:sz w:val="16"/>
        </w:rPr>
        <w:t>l</w:t>
      </w:r>
      <w:r>
        <w:rPr>
          <w:color w:val="231F20"/>
          <w:spacing w:val="6"/>
          <w:w w:val="106"/>
          <w:sz w:val="16"/>
        </w:rPr>
        <w:t>a</w:t>
      </w:r>
      <w:r>
        <w:rPr>
          <w:color w:val="231F20"/>
          <w:spacing w:val="8"/>
          <w:w w:val="58"/>
          <w:sz w:val="16"/>
        </w:rPr>
        <w:t>/</w:t>
      </w:r>
      <w:r>
        <w:rPr>
          <w:color w:val="231F20"/>
          <w:spacing w:val="1"/>
          <w:w w:val="110"/>
          <w:sz w:val="16"/>
        </w:rPr>
        <w:t>E</w:t>
      </w:r>
      <w:r>
        <w:rPr>
          <w:color w:val="231F20"/>
          <w:spacing w:val="5"/>
          <w:w w:val="104"/>
          <w:sz w:val="16"/>
        </w:rPr>
        <w:t>u</w:t>
      </w:r>
      <w:r>
        <w:rPr>
          <w:color w:val="231F20"/>
          <w:w w:val="97"/>
          <w:sz w:val="16"/>
        </w:rPr>
        <w:t>r</w:t>
      </w:r>
      <w:r>
        <w:rPr>
          <w:color w:val="231F20"/>
          <w:w w:val="108"/>
          <w:sz w:val="16"/>
        </w:rPr>
        <w:t>o</w:t>
      </w:r>
      <w:r>
        <w:rPr>
          <w:color w:val="231F20"/>
          <w:spacing w:val="2"/>
          <w:w w:val="103"/>
          <w:sz w:val="16"/>
        </w:rPr>
        <w:t>p</w:t>
      </w:r>
      <w:r>
        <w:rPr>
          <w:color w:val="231F20"/>
          <w:spacing w:val="5"/>
          <w:w w:val="94"/>
          <w:sz w:val="16"/>
        </w:rPr>
        <w:t>e</w:t>
      </w:r>
      <w:r>
        <w:rPr>
          <w:color w:val="231F20"/>
          <w:spacing w:val="8"/>
          <w:w w:val="58"/>
          <w:sz w:val="16"/>
        </w:rPr>
        <w:t>/</w:t>
      </w:r>
      <w:r>
        <w:rPr>
          <w:color w:val="231F20"/>
          <w:w w:val="120"/>
          <w:sz w:val="16"/>
        </w:rPr>
        <w:t>R</w:t>
      </w:r>
      <w:r>
        <w:rPr>
          <w:color w:val="231F20"/>
          <w:w w:val="108"/>
          <w:sz w:val="16"/>
        </w:rPr>
        <w:t>o</w:t>
      </w:r>
      <w:r>
        <w:rPr>
          <w:color w:val="231F20"/>
          <w:spacing w:val="1"/>
          <w:w w:val="102"/>
          <w:sz w:val="16"/>
        </w:rPr>
        <w:t>t</w:t>
      </w:r>
      <w:r>
        <w:rPr>
          <w:color w:val="231F20"/>
          <w:spacing w:val="1"/>
          <w:w w:val="94"/>
          <w:sz w:val="16"/>
        </w:rPr>
        <w:t>e</w:t>
      </w:r>
      <w:r>
        <w:rPr>
          <w:color w:val="231F20"/>
          <w:spacing w:val="5"/>
          <w:w w:val="140"/>
          <w:sz w:val="16"/>
        </w:rPr>
        <w:t>.</w:t>
      </w:r>
      <w:r>
        <w:rPr>
          <w:color w:val="231F20"/>
          <w:spacing w:val="5"/>
          <w:w w:val="139"/>
          <w:sz w:val="16"/>
        </w:rPr>
        <w:t>Z</w:t>
      </w:r>
      <w:r>
        <w:rPr>
          <w:color w:val="231F20"/>
          <w:w w:val="103"/>
          <w:sz w:val="16"/>
        </w:rPr>
        <w:t>or</w:t>
      </w:r>
      <w:r>
        <w:rPr>
          <w:color w:val="231F20"/>
          <w:spacing w:val="6"/>
          <w:w w:val="106"/>
          <w:sz w:val="16"/>
        </w:rPr>
        <w:t>a</w:t>
      </w:r>
      <w:r>
        <w:rPr>
          <w:color w:val="231F20"/>
          <w:w w:val="87"/>
          <w:sz w:val="16"/>
        </w:rPr>
        <w:t>/</w:t>
      </w:r>
      <w:r>
        <w:rPr>
          <w:color w:val="231F20"/>
          <w:spacing w:val="3"/>
          <w:w w:val="87"/>
          <w:sz w:val="16"/>
        </w:rPr>
        <w:t>m</w:t>
      </w:r>
      <w:r>
        <w:rPr>
          <w:color w:val="231F20"/>
          <w:spacing w:val="3"/>
          <w:w w:val="103"/>
          <w:sz w:val="16"/>
        </w:rPr>
        <w:t>in</w:t>
      </w:r>
      <w:r>
        <w:rPr>
          <w:color w:val="231F20"/>
          <w:w w:val="103"/>
          <w:sz w:val="16"/>
        </w:rPr>
        <w:t>i</w:t>
      </w:r>
      <w:r>
        <w:rPr>
          <w:color w:val="231F20"/>
          <w:spacing w:val="1"/>
          <w:w w:val="104"/>
          <w:sz w:val="16"/>
        </w:rPr>
        <w:t>-</w:t>
      </w:r>
      <w:r>
        <w:rPr>
          <w:color w:val="231F20"/>
          <w:w w:val="104"/>
          <w:sz w:val="16"/>
        </w:rPr>
        <w:t>h</w:t>
      </w:r>
      <w:r>
        <w:rPr>
          <w:color w:val="231F20"/>
          <w:w w:val="94"/>
          <w:sz w:val="16"/>
        </w:rPr>
        <w:t>e</w:t>
      </w:r>
      <w:r>
        <w:rPr>
          <w:color w:val="231F20"/>
          <w:spacing w:val="1"/>
          <w:w w:val="97"/>
          <w:sz w:val="16"/>
        </w:rPr>
        <w:t>r</w:t>
      </w:r>
      <w:r>
        <w:rPr>
          <w:color w:val="231F20"/>
          <w:spacing w:val="1"/>
          <w:w w:val="93"/>
          <w:sz w:val="16"/>
        </w:rPr>
        <w:t>s</w:t>
      </w:r>
      <w:r>
        <w:rPr>
          <w:color w:val="231F20"/>
          <w:w w:val="102"/>
          <w:sz w:val="16"/>
        </w:rPr>
        <w:t>t</w:t>
      </w:r>
      <w:r>
        <w:rPr>
          <w:color w:val="231F20"/>
          <w:w w:val="103"/>
          <w:sz w:val="16"/>
        </w:rPr>
        <w:t>o</w:t>
      </w:r>
      <w:r>
        <w:rPr>
          <w:color w:val="231F20"/>
          <w:spacing w:val="5"/>
          <w:w w:val="103"/>
          <w:sz w:val="16"/>
        </w:rPr>
        <w:t>r</w:t>
      </w:r>
      <w:r>
        <w:rPr>
          <w:color w:val="231F20"/>
          <w:spacing w:val="-10"/>
          <w:w w:val="102"/>
          <w:sz w:val="16"/>
        </w:rPr>
        <w:t>y</w:t>
      </w:r>
      <w:r>
        <w:rPr>
          <w:color w:val="231F20"/>
          <w:spacing w:val="-3"/>
          <w:w w:val="140"/>
          <w:sz w:val="16"/>
        </w:rPr>
        <w:t>.</w:t>
      </w:r>
      <w:r>
        <w:rPr>
          <w:color w:val="231F20"/>
          <w:spacing w:val="-6"/>
          <w:w w:val="104"/>
          <w:sz w:val="16"/>
        </w:rPr>
        <w:t>1</w:t>
      </w:r>
      <w:r>
        <w:rPr>
          <w:color w:val="231F20"/>
          <w:spacing w:val="-2"/>
          <w:w w:val="104"/>
          <w:sz w:val="16"/>
        </w:rPr>
        <w:t>98</w:t>
      </w:r>
      <w:r>
        <w:rPr>
          <w:color w:val="231F20"/>
          <w:spacing w:val="-3"/>
          <w:w w:val="104"/>
          <w:sz w:val="16"/>
        </w:rPr>
        <w:t>8</w:t>
      </w:r>
      <w:r>
        <w:rPr>
          <w:color w:val="231F20"/>
          <w:w w:val="140"/>
          <w:sz w:val="16"/>
        </w:rPr>
        <w:t>.</w:t>
      </w:r>
    </w:p>
    <w:bookmarkEnd w:id="200"/>
    <w:p w14:paraId="2A6A2CD2" w14:textId="77777777" w:rsidR="002653E8" w:rsidRDefault="002653E8">
      <w:pPr>
        <w:spacing w:line="254" w:lineRule="auto"/>
        <w:jc w:val="both"/>
        <w:rPr>
          <w:sz w:val="16"/>
        </w:rPr>
        <w:sectPr w:rsidR="002653E8">
          <w:pgSz w:w="8640" w:h="12960"/>
          <w:pgMar w:top="1060" w:right="0" w:bottom="1040" w:left="0" w:header="0" w:footer="850" w:gutter="0"/>
          <w:cols w:space="720"/>
        </w:sectPr>
      </w:pPr>
    </w:p>
    <w:p w14:paraId="46464C54" w14:textId="77777777" w:rsidR="002653E8" w:rsidRDefault="003115E3">
      <w:pPr>
        <w:pStyle w:val="a3"/>
        <w:spacing w:before="86" w:line="264" w:lineRule="auto"/>
        <w:ind w:left="1147" w:right="1325" w:firstLine="210"/>
        <w:jc w:val="both"/>
      </w:pPr>
      <w:r>
        <w:rPr>
          <w:color w:val="231F20"/>
        </w:rPr>
        <w:lastRenderedPageBreak/>
        <w:t xml:space="preserve">The </w:t>
      </w:r>
      <w:r>
        <w:rPr>
          <w:color w:val="231F20"/>
          <w:spacing w:val="3"/>
        </w:rPr>
        <w:t xml:space="preserve">RZ </w:t>
      </w:r>
      <w:r>
        <w:rPr>
          <w:color w:val="231F20"/>
        </w:rPr>
        <w:t xml:space="preserve">would suffer few arrests, and even fewer casualties, all the while carrying out far more attacks than the </w:t>
      </w:r>
      <w:r w:rsidR="00C507A5">
        <w:rPr>
          <w:color w:val="231F20"/>
          <w:spacing w:val="5"/>
        </w:rPr>
        <w:t>red army faction</w:t>
      </w:r>
      <w:r>
        <w:rPr>
          <w:color w:val="231F20"/>
          <w:spacing w:val="5"/>
        </w:rPr>
        <w:t xml:space="preserve"> </w:t>
      </w:r>
      <w:r>
        <w:rPr>
          <w:color w:val="231F20"/>
        </w:rPr>
        <w:t xml:space="preserve">and 2JM combined.     It should, however, be noted that many of these attacks were of a limited nature similar to those carried out by </w:t>
      </w:r>
      <w:r w:rsidR="00C507A5">
        <w:rPr>
          <w:color w:val="231F20"/>
          <w:spacing w:val="5"/>
        </w:rPr>
        <w:t>red army faction</w:t>
      </w:r>
      <w:r>
        <w:rPr>
          <w:color w:val="231F20"/>
          <w:spacing w:val="5"/>
        </w:rPr>
        <w:t xml:space="preserve"> </w:t>
      </w:r>
      <w:r>
        <w:rPr>
          <w:color w:val="231F20"/>
        </w:rPr>
        <w:t xml:space="preserve">supporters who were likewise living and working in the legal movement. Apart from bombing the Chilean consulate, the offices of El Al, police stations, </w:t>
      </w:r>
      <w:r>
        <w:rPr>
          <w:color w:val="231F20"/>
          <w:spacing w:val="1"/>
        </w:rPr>
        <w:t xml:space="preserve">U.S. </w:t>
      </w:r>
      <w:r>
        <w:rPr>
          <w:color w:val="231F20"/>
        </w:rPr>
        <w:t xml:space="preserve">army bases, government buildings, and bosses’ cars, for years the </w:t>
      </w:r>
      <w:r>
        <w:rPr>
          <w:color w:val="231F20"/>
          <w:spacing w:val="3"/>
        </w:rPr>
        <w:t xml:space="preserve">RZ </w:t>
      </w:r>
      <w:r>
        <w:rPr>
          <w:color w:val="231F20"/>
        </w:rPr>
        <w:t xml:space="preserve">also forged transit passes which were widely distributed, and food vouchers which were passed out to homeless families. Starting on May Day </w:t>
      </w:r>
      <w:r>
        <w:rPr>
          <w:color w:val="231F20"/>
          <w:spacing w:val="-6"/>
        </w:rPr>
        <w:t xml:space="preserve">1975, </w:t>
      </w:r>
      <w:r>
        <w:rPr>
          <w:color w:val="231F20"/>
        </w:rPr>
        <w:t xml:space="preserve">the Cells issued an annual newspaper, </w:t>
      </w:r>
      <w:r>
        <w:rPr>
          <w:i/>
          <w:color w:val="231F20"/>
        </w:rPr>
        <w:t xml:space="preserve">Revolutionärer </w:t>
      </w:r>
      <w:r>
        <w:rPr>
          <w:i/>
          <w:color w:val="231F20"/>
          <w:spacing w:val="1"/>
        </w:rPr>
        <w:t xml:space="preserve">Zorn </w:t>
      </w:r>
      <w:r>
        <w:rPr>
          <w:color w:val="231F20"/>
        </w:rPr>
        <w:t xml:space="preserve">(Revolutionary Rage), explaining their positions and actions; it was immediately banned under </w:t>
      </w:r>
      <w:r>
        <w:rPr>
          <w:color w:val="231F20"/>
          <w:spacing w:val="-3"/>
          <w:sz w:val="18"/>
        </w:rPr>
        <w:t>§</w:t>
      </w:r>
      <w:r>
        <w:rPr>
          <w:color w:val="231F20"/>
          <w:spacing w:val="-3"/>
        </w:rPr>
        <w:t xml:space="preserve">88a, </w:t>
      </w:r>
      <w:r>
        <w:rPr>
          <w:color w:val="231F20"/>
        </w:rPr>
        <w:t>but broadly distributed and widely read in the scene</w:t>
      </w:r>
      <w:r>
        <w:rPr>
          <w:color w:val="231F20"/>
          <w:spacing w:val="30"/>
        </w:rPr>
        <w:t xml:space="preserve"> </w:t>
      </w:r>
      <w:r>
        <w:rPr>
          <w:color w:val="231F20"/>
        </w:rPr>
        <w:t>regardless.</w:t>
      </w:r>
    </w:p>
    <w:p w14:paraId="11EB1CC4" w14:textId="77777777" w:rsidR="002653E8" w:rsidRDefault="003115E3">
      <w:pPr>
        <w:pStyle w:val="a3"/>
        <w:spacing w:line="220" w:lineRule="exact"/>
        <w:ind w:left="1357"/>
      </w:pPr>
      <w:r>
        <w:rPr>
          <w:color w:val="231F20"/>
          <w:w w:val="105"/>
        </w:rPr>
        <w:t>Eventually, an autonomous women’s guerilla group, Rote Zora</w:t>
      </w:r>
    </w:p>
    <w:p w14:paraId="03BB5469" w14:textId="77777777" w:rsidR="002653E8" w:rsidRDefault="003115E3">
      <w:pPr>
        <w:pStyle w:val="a3"/>
        <w:spacing w:before="23" w:line="264" w:lineRule="auto"/>
        <w:ind w:left="1147" w:right="1325"/>
        <w:jc w:val="both"/>
      </w:pPr>
      <w:r>
        <w:rPr>
          <w:color w:val="231F20"/>
        </w:rPr>
        <w:t xml:space="preserve">(named after a Pippy Longstocking-type character from a children’s book) would emerge from the Cells, bombing the Federal Doctors’ Association in Karlsruhe on April 29, </w:t>
      </w:r>
      <w:r>
        <w:rPr>
          <w:color w:val="231F20"/>
          <w:spacing w:val="-6"/>
        </w:rPr>
        <w:t xml:space="preserve">1977, </w:t>
      </w:r>
      <w:r>
        <w:rPr>
          <w:color w:val="231F20"/>
        </w:rPr>
        <w:t>as payback for the associa</w:t>
      </w:r>
      <w:r>
        <w:rPr>
          <w:color w:val="231F20"/>
          <w:spacing w:val="-3"/>
        </w:rPr>
        <w:t xml:space="preserve">tion’s </w:t>
      </w:r>
      <w:r>
        <w:rPr>
          <w:color w:val="231F20"/>
        </w:rPr>
        <w:t>opposition to abortion reform.</w:t>
      </w:r>
      <w:r>
        <w:rPr>
          <w:color w:val="231F20"/>
          <w:position w:val="7"/>
          <w:sz w:val="11"/>
        </w:rPr>
        <w:t xml:space="preserve">1 </w:t>
      </w:r>
      <w:r>
        <w:rPr>
          <w:color w:val="231F20"/>
        </w:rPr>
        <w:t xml:space="preserve">While Rote Zora was  independent of the </w:t>
      </w:r>
      <w:r>
        <w:rPr>
          <w:color w:val="231F20"/>
          <w:spacing w:val="5"/>
        </w:rPr>
        <w:t xml:space="preserve">RZ, </w:t>
      </w:r>
      <w:r>
        <w:rPr>
          <w:color w:val="231F20"/>
        </w:rPr>
        <w:t>the two organizations always worked closely together   in both theoretical and practical</w:t>
      </w:r>
      <w:r>
        <w:rPr>
          <w:color w:val="231F20"/>
          <w:spacing w:val="12"/>
        </w:rPr>
        <w:t xml:space="preserve"> </w:t>
      </w:r>
      <w:r>
        <w:rPr>
          <w:color w:val="231F20"/>
        </w:rPr>
        <w:t>matters.</w:t>
      </w:r>
    </w:p>
    <w:p w14:paraId="44A20561" w14:textId="77777777" w:rsidR="002653E8" w:rsidRDefault="003115E3">
      <w:pPr>
        <w:pStyle w:val="a3"/>
        <w:spacing w:line="264" w:lineRule="auto"/>
        <w:ind w:left="1147" w:right="1325" w:firstLine="209"/>
        <w:jc w:val="both"/>
      </w:pPr>
      <w:r>
        <w:rPr>
          <w:color w:val="231F20"/>
        </w:rPr>
        <w:t xml:space="preserve">Some militants from the founding generation of the </w:t>
      </w:r>
      <w:r>
        <w:rPr>
          <w:color w:val="231F20"/>
          <w:spacing w:val="3"/>
        </w:rPr>
        <w:t xml:space="preserve">RZ </w:t>
      </w:r>
      <w:r>
        <w:rPr>
          <w:color w:val="231F20"/>
        </w:rPr>
        <w:t xml:space="preserve">felt they would best serve the international anti-imperialist revolution by literally fighting alongside the Third  </w:t>
      </w:r>
      <w:r>
        <w:rPr>
          <w:color w:val="231F20"/>
          <w:spacing w:val="-4"/>
        </w:rPr>
        <w:t xml:space="preserve">World  </w:t>
      </w:r>
      <w:r>
        <w:rPr>
          <w:color w:val="231F20"/>
        </w:rPr>
        <w:t xml:space="preserve">guerilla  in  joint  commandos. </w:t>
      </w:r>
      <w:r>
        <w:rPr>
          <w:color w:val="231F20"/>
          <w:spacing w:val="1"/>
        </w:rPr>
        <w:t xml:space="preserve">In </w:t>
      </w:r>
      <w:r>
        <w:rPr>
          <w:color w:val="231F20"/>
        </w:rPr>
        <w:t xml:space="preserve">practical terms, this meant working under the direction of a </w:t>
      </w:r>
      <w:r>
        <w:rPr>
          <w:color w:val="231F20"/>
          <w:spacing w:val="1"/>
        </w:rPr>
        <w:t xml:space="preserve">PFLP  </w:t>
      </w:r>
      <w:r>
        <w:rPr>
          <w:color w:val="231F20"/>
        </w:rPr>
        <w:t xml:space="preserve">splinter faction operating out of South </w:t>
      </w:r>
      <w:r>
        <w:rPr>
          <w:color w:val="231F20"/>
          <w:spacing w:val="-3"/>
        </w:rPr>
        <w:t xml:space="preserve">yemen, </w:t>
      </w:r>
      <w:r>
        <w:rPr>
          <w:color w:val="231F20"/>
        </w:rPr>
        <w:t xml:space="preserve">lead by Waddi Haddad: the </w:t>
      </w:r>
      <w:r>
        <w:rPr>
          <w:color w:val="231F20"/>
          <w:spacing w:val="1"/>
        </w:rPr>
        <w:t xml:space="preserve">PFLP </w:t>
      </w:r>
      <w:r>
        <w:rPr>
          <w:color w:val="231F20"/>
        </w:rPr>
        <w:t>(External Operations).</w:t>
      </w:r>
      <w:r>
        <w:rPr>
          <w:color w:val="231F20"/>
          <w:position w:val="7"/>
          <w:sz w:val="11"/>
        </w:rPr>
        <w:t xml:space="preserve">2 </w:t>
      </w:r>
      <w:r>
        <w:rPr>
          <w:color w:val="231F20"/>
        </w:rPr>
        <w:t xml:space="preserve">While the </w:t>
      </w:r>
      <w:r>
        <w:rPr>
          <w:color w:val="231F20"/>
          <w:spacing w:val="3"/>
        </w:rPr>
        <w:t xml:space="preserve">RZ </w:t>
      </w:r>
      <w:r>
        <w:rPr>
          <w:color w:val="231F20"/>
        </w:rPr>
        <w:t>tendency concerned is often described as the “international wing,” it actually represented a very small number of militants and only participated in a handful of actions, none of which were particularly succesful, while one constituted  a decisive military and political</w:t>
      </w:r>
      <w:r>
        <w:rPr>
          <w:color w:val="231F20"/>
          <w:spacing w:val="11"/>
        </w:rPr>
        <w:t xml:space="preserve"> </w:t>
      </w:r>
      <w:r>
        <w:rPr>
          <w:color w:val="231F20"/>
        </w:rPr>
        <w:t>defeat.</w:t>
      </w:r>
    </w:p>
    <w:p w14:paraId="16B52DC9" w14:textId="77777777" w:rsidR="002653E8" w:rsidRDefault="003115E3">
      <w:pPr>
        <w:pStyle w:val="a3"/>
        <w:spacing w:line="264" w:lineRule="auto"/>
        <w:ind w:left="1148" w:right="1325" w:firstLine="209"/>
        <w:jc w:val="both"/>
      </w:pPr>
      <w:r>
        <w:rPr>
          <w:color w:val="231F20"/>
        </w:rPr>
        <w:t xml:space="preserve">The first of these occurred on December 24, </w:t>
      </w:r>
      <w:r>
        <w:rPr>
          <w:color w:val="231F20"/>
          <w:spacing w:val="-6"/>
        </w:rPr>
        <w:t xml:space="preserve">1975, </w:t>
      </w:r>
      <w:r>
        <w:rPr>
          <w:color w:val="231F20"/>
        </w:rPr>
        <w:t>with Hans-Joachim Klein and former 2JM member Gabriele Kröcher-Tiedemann participating in a joint German-Palestinian commando under the control of  the</w:t>
      </w:r>
      <w:r>
        <w:rPr>
          <w:color w:val="231F20"/>
          <w:spacing w:val="10"/>
        </w:rPr>
        <w:t xml:space="preserve"> </w:t>
      </w:r>
      <w:r>
        <w:rPr>
          <w:color w:val="231F20"/>
        </w:rPr>
        <w:t>Venezuelan</w:t>
      </w:r>
      <w:r>
        <w:rPr>
          <w:color w:val="231F20"/>
          <w:spacing w:val="10"/>
        </w:rPr>
        <w:t xml:space="preserve"> </w:t>
      </w:r>
      <w:r>
        <w:rPr>
          <w:color w:val="231F20"/>
        </w:rPr>
        <w:t>adventurer</w:t>
      </w:r>
      <w:r>
        <w:rPr>
          <w:color w:val="231F20"/>
          <w:spacing w:val="10"/>
        </w:rPr>
        <w:t xml:space="preserve"> </w:t>
      </w:r>
      <w:r>
        <w:rPr>
          <w:color w:val="231F20"/>
        </w:rPr>
        <w:t>Ilich</w:t>
      </w:r>
      <w:r>
        <w:rPr>
          <w:color w:val="231F20"/>
          <w:spacing w:val="11"/>
        </w:rPr>
        <w:t xml:space="preserve"> </w:t>
      </w:r>
      <w:r>
        <w:rPr>
          <w:color w:val="231F20"/>
        </w:rPr>
        <w:t>Ramírez</w:t>
      </w:r>
      <w:r>
        <w:rPr>
          <w:color w:val="231F20"/>
          <w:spacing w:val="10"/>
        </w:rPr>
        <w:t xml:space="preserve"> </w:t>
      </w:r>
      <w:r>
        <w:rPr>
          <w:color w:val="231F20"/>
        </w:rPr>
        <w:t>Sánchez,</w:t>
      </w:r>
      <w:r>
        <w:rPr>
          <w:color w:val="231F20"/>
          <w:spacing w:val="10"/>
        </w:rPr>
        <w:t xml:space="preserve"> </w:t>
      </w:r>
      <w:r>
        <w:rPr>
          <w:color w:val="231F20"/>
        </w:rPr>
        <w:t>better</w:t>
      </w:r>
      <w:r>
        <w:rPr>
          <w:color w:val="231F20"/>
          <w:spacing w:val="10"/>
        </w:rPr>
        <w:t xml:space="preserve"> </w:t>
      </w:r>
      <w:r>
        <w:rPr>
          <w:color w:val="231F20"/>
        </w:rPr>
        <w:t>known</w:t>
      </w:r>
      <w:r>
        <w:rPr>
          <w:color w:val="231F20"/>
          <w:spacing w:val="10"/>
        </w:rPr>
        <w:t xml:space="preserve"> </w:t>
      </w:r>
      <w:r>
        <w:rPr>
          <w:color w:val="231F20"/>
        </w:rPr>
        <w:t>as</w:t>
      </w:r>
    </w:p>
    <w:p w14:paraId="3FAA3FCD" w14:textId="77777777" w:rsidR="002653E8" w:rsidRDefault="00000000">
      <w:pPr>
        <w:pStyle w:val="a3"/>
        <w:spacing w:before="11"/>
        <w:rPr>
          <w:sz w:val="12"/>
        </w:rPr>
      </w:pPr>
      <w:r>
        <w:rPr>
          <w:noProof w:val="0"/>
        </w:rPr>
        <w:pict w14:anchorId="090E675E">
          <v:line id="_x0000_s2238" style="position:absolute;z-index:9256;mso-wrap-distance-left:0;mso-wrap-distance-right:0;mso-position-horizontal-relative:page" from="57.4pt,9.8pt" to="129.4pt,9.8pt" strokecolor="#231f20" strokeweight=".5pt">
            <w10:wrap type="topAndBottom" anchorx="page"/>
          </v:line>
        </w:pict>
      </w:r>
    </w:p>
    <w:p w14:paraId="015E75C4" w14:textId="77777777" w:rsidR="002653E8" w:rsidRDefault="003115E3">
      <w:pPr>
        <w:pStyle w:val="a4"/>
        <w:numPr>
          <w:ilvl w:val="0"/>
          <w:numId w:val="73"/>
        </w:numPr>
        <w:tabs>
          <w:tab w:val="left" w:pos="1287"/>
        </w:tabs>
        <w:spacing w:before="53" w:line="254" w:lineRule="auto"/>
        <w:ind w:right="1380" w:firstLine="0"/>
        <w:jc w:val="left"/>
        <w:rPr>
          <w:sz w:val="16"/>
        </w:rPr>
      </w:pPr>
      <w:bookmarkStart w:id="201" w:name="_Hlk130689826"/>
      <w:r>
        <w:rPr>
          <w:color w:val="231F20"/>
          <w:w w:val="153"/>
          <w:sz w:val="16"/>
        </w:rPr>
        <w:t>“</w:t>
      </w:r>
      <w:r>
        <w:rPr>
          <w:color w:val="231F20"/>
          <w:spacing w:val="5"/>
          <w:w w:val="106"/>
          <w:sz w:val="16"/>
        </w:rPr>
        <w:t>I</w:t>
      </w:r>
      <w:r>
        <w:rPr>
          <w:color w:val="231F20"/>
          <w:w w:val="102"/>
          <w:sz w:val="16"/>
        </w:rPr>
        <w:t>n</w:t>
      </w:r>
      <w:r>
        <w:rPr>
          <w:color w:val="231F20"/>
          <w:spacing w:val="1"/>
          <w:w w:val="102"/>
          <w:sz w:val="16"/>
        </w:rPr>
        <w:t>t</w:t>
      </w:r>
      <w:r>
        <w:rPr>
          <w:color w:val="231F20"/>
          <w:w w:val="94"/>
          <w:sz w:val="16"/>
        </w:rPr>
        <w:t>e</w:t>
      </w:r>
      <w:r>
        <w:rPr>
          <w:color w:val="231F20"/>
          <w:spacing w:val="5"/>
          <w:w w:val="97"/>
          <w:sz w:val="16"/>
        </w:rPr>
        <w:t>r</w:t>
      </w:r>
      <w:r>
        <w:rPr>
          <w:color w:val="231F20"/>
          <w:spacing w:val="2"/>
          <w:w w:val="102"/>
          <w:sz w:val="16"/>
        </w:rPr>
        <w:t>v</w:t>
      </w:r>
      <w:r>
        <w:rPr>
          <w:color w:val="231F20"/>
          <w:w w:val="103"/>
          <w:sz w:val="16"/>
        </w:rPr>
        <w:t>i</w:t>
      </w:r>
      <w:r>
        <w:rPr>
          <w:color w:val="231F20"/>
          <w:spacing w:val="1"/>
          <w:w w:val="94"/>
          <w:sz w:val="16"/>
        </w:rPr>
        <w:t>e</w:t>
      </w:r>
      <w:r>
        <w:rPr>
          <w:color w:val="231F20"/>
          <w:w w:val="104"/>
          <w:sz w:val="16"/>
        </w:rPr>
        <w:t>w</w:t>
      </w:r>
      <w:r>
        <w:rPr>
          <w:color w:val="231F20"/>
          <w:spacing w:val="10"/>
          <w:sz w:val="16"/>
        </w:rPr>
        <w:t xml:space="preserve"> </w:t>
      </w:r>
      <w:r>
        <w:rPr>
          <w:color w:val="231F20"/>
          <w:spacing w:val="3"/>
          <w:w w:val="103"/>
          <w:sz w:val="16"/>
        </w:rPr>
        <w:t>m</w:t>
      </w:r>
      <w:r>
        <w:rPr>
          <w:color w:val="231F20"/>
          <w:spacing w:val="-1"/>
          <w:w w:val="103"/>
          <w:sz w:val="16"/>
        </w:rPr>
        <w:t>i</w:t>
      </w:r>
      <w:r>
        <w:rPr>
          <w:color w:val="231F20"/>
          <w:w w:val="102"/>
          <w:sz w:val="16"/>
        </w:rPr>
        <w:t>t</w:t>
      </w:r>
      <w:r>
        <w:rPr>
          <w:color w:val="231F20"/>
          <w:spacing w:val="10"/>
          <w:sz w:val="16"/>
        </w:rPr>
        <w:t xml:space="preserve"> </w:t>
      </w:r>
      <w:r>
        <w:rPr>
          <w:color w:val="231F20"/>
          <w:w w:val="103"/>
          <w:sz w:val="16"/>
        </w:rPr>
        <w:t>d</w:t>
      </w:r>
      <w:r>
        <w:rPr>
          <w:color w:val="231F20"/>
          <w:w w:val="94"/>
          <w:sz w:val="16"/>
        </w:rPr>
        <w:t>e</w:t>
      </w:r>
      <w:r>
        <w:rPr>
          <w:color w:val="231F20"/>
          <w:w w:val="97"/>
          <w:sz w:val="16"/>
        </w:rPr>
        <w:t>r</w:t>
      </w:r>
      <w:r>
        <w:rPr>
          <w:color w:val="231F20"/>
          <w:spacing w:val="10"/>
          <w:sz w:val="16"/>
        </w:rPr>
        <w:t xml:space="preserve"> </w:t>
      </w:r>
      <w:r>
        <w:rPr>
          <w:color w:val="231F20"/>
          <w:w w:val="115"/>
          <w:sz w:val="16"/>
        </w:rPr>
        <w:t>Ro</w:t>
      </w:r>
      <w:r>
        <w:rPr>
          <w:color w:val="231F20"/>
          <w:spacing w:val="1"/>
          <w:w w:val="102"/>
          <w:sz w:val="16"/>
        </w:rPr>
        <w:t>t</w:t>
      </w:r>
      <w:r>
        <w:rPr>
          <w:color w:val="231F20"/>
          <w:w w:val="94"/>
          <w:sz w:val="16"/>
        </w:rPr>
        <w:t>e</w:t>
      </w:r>
      <w:r>
        <w:rPr>
          <w:color w:val="231F20"/>
          <w:w w:val="103"/>
          <w:sz w:val="16"/>
        </w:rPr>
        <w:t>n</w:t>
      </w:r>
      <w:r>
        <w:rPr>
          <w:color w:val="231F20"/>
          <w:spacing w:val="10"/>
          <w:sz w:val="16"/>
        </w:rPr>
        <w:t xml:space="preserve"> </w:t>
      </w:r>
      <w:r>
        <w:rPr>
          <w:color w:val="231F20"/>
          <w:spacing w:val="5"/>
          <w:w w:val="139"/>
          <w:sz w:val="16"/>
        </w:rPr>
        <w:t>Z</w:t>
      </w:r>
      <w:r>
        <w:rPr>
          <w:color w:val="231F20"/>
          <w:w w:val="108"/>
          <w:sz w:val="16"/>
        </w:rPr>
        <w:t>o</w:t>
      </w:r>
      <w:r>
        <w:rPr>
          <w:color w:val="231F20"/>
          <w:w w:val="97"/>
          <w:sz w:val="16"/>
        </w:rPr>
        <w:t>r</w:t>
      </w:r>
      <w:r>
        <w:rPr>
          <w:color w:val="231F20"/>
          <w:w w:val="106"/>
          <w:sz w:val="16"/>
        </w:rPr>
        <w:t>a</w:t>
      </w:r>
      <w:r>
        <w:rPr>
          <w:color w:val="231F20"/>
          <w:spacing w:val="10"/>
          <w:sz w:val="16"/>
        </w:rPr>
        <w:t xml:space="preserve"> </w:t>
      </w:r>
      <w:r>
        <w:rPr>
          <w:color w:val="231F20"/>
          <w:w w:val="114"/>
          <w:sz w:val="16"/>
        </w:rPr>
        <w:t>J</w:t>
      </w:r>
      <w:r>
        <w:rPr>
          <w:color w:val="231F20"/>
          <w:spacing w:val="3"/>
          <w:w w:val="114"/>
          <w:sz w:val="16"/>
        </w:rPr>
        <w:t>u</w:t>
      </w:r>
      <w:r>
        <w:rPr>
          <w:color w:val="231F20"/>
          <w:spacing w:val="3"/>
          <w:w w:val="103"/>
          <w:sz w:val="16"/>
        </w:rPr>
        <w:t>n</w:t>
      </w:r>
      <w:r>
        <w:rPr>
          <w:color w:val="231F20"/>
          <w:w w:val="103"/>
          <w:sz w:val="16"/>
        </w:rPr>
        <w:t>i</w:t>
      </w:r>
      <w:r>
        <w:rPr>
          <w:color w:val="231F20"/>
          <w:spacing w:val="10"/>
          <w:sz w:val="16"/>
        </w:rPr>
        <w:t xml:space="preserve"> </w:t>
      </w:r>
      <w:r>
        <w:rPr>
          <w:color w:val="231F20"/>
          <w:spacing w:val="-6"/>
          <w:w w:val="104"/>
          <w:sz w:val="16"/>
        </w:rPr>
        <w:t>1</w:t>
      </w:r>
      <w:r>
        <w:rPr>
          <w:color w:val="231F20"/>
          <w:spacing w:val="-2"/>
          <w:w w:val="104"/>
          <w:sz w:val="16"/>
        </w:rPr>
        <w:t>98</w:t>
      </w:r>
      <w:r>
        <w:rPr>
          <w:color w:val="231F20"/>
          <w:spacing w:val="-10"/>
          <w:w w:val="104"/>
          <w:sz w:val="16"/>
        </w:rPr>
        <w:t>4</w:t>
      </w:r>
      <w:r>
        <w:rPr>
          <w:color w:val="231F20"/>
          <w:w w:val="153"/>
          <w:sz w:val="16"/>
        </w:rPr>
        <w:t>”</w:t>
      </w:r>
      <w:r>
        <w:rPr>
          <w:color w:val="231F20"/>
          <w:spacing w:val="10"/>
          <w:sz w:val="16"/>
        </w:rPr>
        <w:t xml:space="preserve"> </w:t>
      </w:r>
      <w:r>
        <w:rPr>
          <w:color w:val="231F20"/>
          <w:spacing w:val="-1"/>
          <w:w w:val="106"/>
          <w:sz w:val="16"/>
        </w:rPr>
        <w:t>a</w:t>
      </w:r>
      <w:r>
        <w:rPr>
          <w:color w:val="231F20"/>
          <w:w w:val="102"/>
          <w:sz w:val="16"/>
        </w:rPr>
        <w:t>t</w:t>
      </w:r>
      <w:r>
        <w:rPr>
          <w:color w:val="231F20"/>
          <w:spacing w:val="10"/>
          <w:sz w:val="16"/>
        </w:rPr>
        <w:t xml:space="preserve"> </w:t>
      </w:r>
      <w:hyperlink r:id="rId366">
        <w:r>
          <w:rPr>
            <w:color w:val="231F20"/>
            <w:w w:val="103"/>
            <w:sz w:val="16"/>
          </w:rPr>
          <w:t>h</w:t>
        </w:r>
        <w:r>
          <w:rPr>
            <w:color w:val="231F20"/>
            <w:spacing w:val="5"/>
            <w:w w:val="103"/>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w w:val="140"/>
            <w:sz w:val="16"/>
          </w:rPr>
          <w:t>.</w:t>
        </w:r>
        <w:r>
          <w:rPr>
            <w:color w:val="231F20"/>
            <w:spacing w:val="3"/>
            <w:w w:val="114"/>
            <w:sz w:val="16"/>
          </w:rPr>
          <w:t>f</w:t>
        </w:r>
        <w:r>
          <w:rPr>
            <w:color w:val="231F20"/>
            <w:w w:val="97"/>
            <w:sz w:val="16"/>
          </w:rPr>
          <w:t>r</w:t>
        </w:r>
        <w:r>
          <w:rPr>
            <w:color w:val="231F20"/>
            <w:w w:val="94"/>
            <w:sz w:val="16"/>
          </w:rPr>
          <w:t>e</w:t>
        </w:r>
        <w:r>
          <w:rPr>
            <w:color w:val="231F20"/>
            <w:spacing w:val="2"/>
            <w:w w:val="103"/>
            <w:sz w:val="16"/>
          </w:rPr>
          <w:t>i</w:t>
        </w:r>
        <w:r>
          <w:rPr>
            <w:color w:val="231F20"/>
            <w:spacing w:val="1"/>
            <w:w w:val="106"/>
            <w:sz w:val="16"/>
          </w:rPr>
          <w:t>la</w:t>
        </w:r>
        <w:r>
          <w:rPr>
            <w:color w:val="231F20"/>
            <w:spacing w:val="1"/>
            <w:w w:val="93"/>
            <w:sz w:val="16"/>
          </w:rPr>
          <w:t>s</w:t>
        </w:r>
        <w:r>
          <w:rPr>
            <w:color w:val="231F20"/>
            <w:w w:val="93"/>
            <w:sz w:val="16"/>
          </w:rPr>
          <w:t>s</w:t>
        </w:r>
        <w:r>
          <w:rPr>
            <w:color w:val="231F20"/>
            <w:spacing w:val="3"/>
            <w:w w:val="104"/>
            <w:sz w:val="16"/>
          </w:rPr>
          <w:t>u</w:t>
        </w:r>
        <w:r>
          <w:rPr>
            <w:color w:val="231F20"/>
            <w:w w:val="103"/>
            <w:sz w:val="16"/>
          </w:rPr>
          <w:t>n</w:t>
        </w:r>
        <w:r>
          <w:rPr>
            <w:color w:val="231F20"/>
            <w:spacing w:val="1"/>
            <w:w w:val="104"/>
            <w:sz w:val="16"/>
          </w:rPr>
          <w:t>g</w:t>
        </w:r>
        <w:r>
          <w:rPr>
            <w:color w:val="231F20"/>
            <w:w w:val="140"/>
            <w:sz w:val="16"/>
          </w:rPr>
          <w:t>.</w:t>
        </w:r>
        <w:r>
          <w:rPr>
            <w:color w:val="231F20"/>
            <w:w w:val="103"/>
            <w:sz w:val="16"/>
          </w:rPr>
          <w:t>d</w:t>
        </w:r>
        <w:r>
          <w:rPr>
            <w:color w:val="231F20"/>
            <w:spacing w:val="5"/>
            <w:w w:val="94"/>
            <w:sz w:val="16"/>
          </w:rPr>
          <w:t>e</w:t>
        </w:r>
        <w:r>
          <w:rPr>
            <w:color w:val="231F20"/>
            <w:spacing w:val="-3"/>
            <w:w w:val="58"/>
            <w:sz w:val="16"/>
          </w:rPr>
          <w:t>/</w:t>
        </w:r>
        <w:r>
          <w:rPr>
            <w:color w:val="231F20"/>
            <w:spacing w:val="3"/>
            <w:w w:val="103"/>
            <w:sz w:val="16"/>
          </w:rPr>
          <w:t>d</w:t>
        </w:r>
        <w:r>
          <w:rPr>
            <w:color w:val="231F20"/>
            <w:spacing w:val="-1"/>
            <w:w w:val="103"/>
            <w:sz w:val="16"/>
          </w:rPr>
          <w:t>i</w:t>
        </w:r>
        <w:r>
          <w:rPr>
            <w:color w:val="231F20"/>
            <w:spacing w:val="-1"/>
            <w:w w:val="102"/>
            <w:sz w:val="16"/>
          </w:rPr>
          <w:t>v</w:t>
        </w:r>
        <w:r>
          <w:rPr>
            <w:color w:val="231F20"/>
            <w:spacing w:val="1"/>
            <w:w w:val="58"/>
            <w:sz w:val="16"/>
          </w:rPr>
          <w:t>/</w:t>
        </w:r>
        <w:r>
          <w:rPr>
            <w:color w:val="231F20"/>
            <w:spacing w:val="1"/>
            <w:w w:val="102"/>
            <w:sz w:val="16"/>
          </w:rPr>
          <w:t>t</w:t>
        </w:r>
        <w:r>
          <w:rPr>
            <w:color w:val="231F20"/>
            <w:w w:val="94"/>
            <w:sz w:val="16"/>
          </w:rPr>
          <w:t>e</w:t>
        </w:r>
        <w:r>
          <w:rPr>
            <w:color w:val="231F20"/>
            <w:spacing w:val="5"/>
            <w:w w:val="119"/>
            <w:sz w:val="16"/>
          </w:rPr>
          <w:t>x</w:t>
        </w:r>
        <w:r>
          <w:rPr>
            <w:color w:val="231F20"/>
            <w:spacing w:val="1"/>
            <w:w w:val="102"/>
            <w:sz w:val="16"/>
          </w:rPr>
          <w:t>t</w:t>
        </w:r>
        <w:r>
          <w:rPr>
            <w:color w:val="231F20"/>
            <w:spacing w:val="5"/>
            <w:w w:val="94"/>
            <w:sz w:val="16"/>
          </w:rPr>
          <w:t>e</w:t>
        </w:r>
        <w:r>
          <w:rPr>
            <w:color w:val="231F20"/>
            <w:w w:val="58"/>
            <w:sz w:val="16"/>
          </w:rPr>
          <w:t>/</w:t>
        </w:r>
      </w:hyperlink>
      <w:r>
        <w:rPr>
          <w:color w:val="231F20"/>
          <w:w w:val="58"/>
          <w:sz w:val="16"/>
        </w:rPr>
        <w:t xml:space="preserve"> </w:t>
      </w:r>
      <w:r>
        <w:rPr>
          <w:color w:val="231F20"/>
          <w:spacing w:val="2"/>
          <w:w w:val="97"/>
          <w:sz w:val="16"/>
        </w:rPr>
        <w:t>r</w:t>
      </w:r>
      <w:r>
        <w:rPr>
          <w:color w:val="231F20"/>
          <w:spacing w:val="6"/>
          <w:w w:val="101"/>
          <w:sz w:val="16"/>
        </w:rPr>
        <w:t>z</w:t>
      </w:r>
      <w:r>
        <w:rPr>
          <w:color w:val="231F20"/>
          <w:w w:val="58"/>
          <w:sz w:val="16"/>
        </w:rPr>
        <w:t>/</w:t>
      </w:r>
      <w:r>
        <w:rPr>
          <w:color w:val="231F20"/>
          <w:spacing w:val="1"/>
          <w:w w:val="101"/>
          <w:sz w:val="16"/>
        </w:rPr>
        <w:t>z</w:t>
      </w:r>
      <w:r>
        <w:rPr>
          <w:color w:val="231F20"/>
          <w:w w:val="103"/>
          <w:sz w:val="16"/>
        </w:rPr>
        <w:t>o</w:t>
      </w:r>
      <w:r>
        <w:rPr>
          <w:color w:val="231F20"/>
          <w:spacing w:val="3"/>
          <w:w w:val="103"/>
          <w:sz w:val="16"/>
        </w:rPr>
        <w:t>r</w:t>
      </w:r>
      <w:r>
        <w:rPr>
          <w:color w:val="231F20"/>
          <w:spacing w:val="8"/>
          <w:w w:val="103"/>
          <w:sz w:val="16"/>
        </w:rPr>
        <w:t>n</w:t>
      </w:r>
      <w:r>
        <w:rPr>
          <w:color w:val="231F20"/>
          <w:spacing w:val="5"/>
          <w:w w:val="58"/>
          <w:sz w:val="16"/>
        </w:rPr>
        <w:t>/</w:t>
      </w:r>
      <w:r>
        <w:rPr>
          <w:color w:val="231F20"/>
          <w:spacing w:val="5"/>
          <w:w w:val="139"/>
          <w:sz w:val="16"/>
        </w:rPr>
        <w:t>Z</w:t>
      </w:r>
      <w:r>
        <w:rPr>
          <w:color w:val="231F20"/>
          <w:w w:val="103"/>
          <w:sz w:val="16"/>
        </w:rPr>
        <w:t>o</w:t>
      </w:r>
      <w:r>
        <w:rPr>
          <w:color w:val="231F20"/>
          <w:spacing w:val="3"/>
          <w:w w:val="103"/>
          <w:sz w:val="16"/>
        </w:rPr>
        <w:t>r</w:t>
      </w:r>
      <w:r>
        <w:rPr>
          <w:color w:val="231F20"/>
          <w:spacing w:val="-9"/>
          <w:w w:val="103"/>
          <w:sz w:val="16"/>
        </w:rPr>
        <w:t>n</w:t>
      </w:r>
      <w:r>
        <w:rPr>
          <w:color w:val="231F20"/>
          <w:spacing w:val="-4"/>
          <w:w w:val="104"/>
          <w:sz w:val="16"/>
        </w:rPr>
        <w:t>5</w:t>
      </w:r>
      <w:r>
        <w:rPr>
          <w:color w:val="231F20"/>
          <w:spacing w:val="-1"/>
          <w:w w:val="104"/>
          <w:sz w:val="16"/>
        </w:rPr>
        <w:t>0</w:t>
      </w:r>
      <w:r>
        <w:rPr>
          <w:color w:val="231F20"/>
          <w:spacing w:val="1"/>
          <w:w w:val="140"/>
          <w:sz w:val="16"/>
        </w:rPr>
        <w:t>.</w:t>
      </w:r>
      <w:r>
        <w:rPr>
          <w:color w:val="231F20"/>
          <w:w w:val="103"/>
          <w:sz w:val="16"/>
        </w:rPr>
        <w:t>h</w:t>
      </w:r>
      <w:r>
        <w:rPr>
          <w:color w:val="231F20"/>
          <w:spacing w:val="3"/>
          <w:w w:val="103"/>
          <w:sz w:val="16"/>
        </w:rPr>
        <w:t>t</w:t>
      </w:r>
      <w:r>
        <w:rPr>
          <w:color w:val="231F20"/>
          <w:spacing w:val="1"/>
          <w:w w:val="103"/>
          <w:sz w:val="16"/>
        </w:rPr>
        <w:t>m</w:t>
      </w:r>
      <w:r>
        <w:rPr>
          <w:color w:val="231F20"/>
          <w:w w:val="140"/>
          <w:sz w:val="16"/>
        </w:rPr>
        <w:t>.</w:t>
      </w:r>
      <w:r>
        <w:rPr>
          <w:color w:val="231F20"/>
          <w:spacing w:val="10"/>
          <w:sz w:val="16"/>
        </w:rPr>
        <w:t xml:space="preserve"> </w:t>
      </w:r>
      <w:r>
        <w:rPr>
          <w:color w:val="231F20"/>
          <w:spacing w:val="5"/>
          <w:w w:val="116"/>
          <w:sz w:val="16"/>
        </w:rPr>
        <w:t>T</w:t>
      </w:r>
      <w:r>
        <w:rPr>
          <w:color w:val="231F20"/>
          <w:w w:val="104"/>
          <w:sz w:val="16"/>
        </w:rPr>
        <w:t>h</w:t>
      </w:r>
      <w:r>
        <w:rPr>
          <w:color w:val="231F20"/>
          <w:w w:val="94"/>
          <w:sz w:val="16"/>
        </w:rPr>
        <w:t>e</w:t>
      </w:r>
      <w:r>
        <w:rPr>
          <w:color w:val="231F20"/>
          <w:spacing w:val="10"/>
          <w:sz w:val="16"/>
        </w:rPr>
        <w:t xml:space="preserve"> </w:t>
      </w:r>
      <w:r>
        <w:rPr>
          <w:color w:val="231F20"/>
          <w:w w:val="99"/>
          <w:sz w:val="16"/>
        </w:rPr>
        <w:t>f</w:t>
      </w:r>
      <w:r>
        <w:rPr>
          <w:color w:val="231F20"/>
          <w:spacing w:val="5"/>
          <w:w w:val="99"/>
          <w:sz w:val="16"/>
        </w:rPr>
        <w:t>i</w:t>
      </w:r>
      <w:r>
        <w:rPr>
          <w:color w:val="231F20"/>
          <w:spacing w:val="1"/>
          <w:w w:val="97"/>
          <w:sz w:val="16"/>
        </w:rPr>
        <w:t>r</w:t>
      </w:r>
      <w:r>
        <w:rPr>
          <w:color w:val="231F20"/>
          <w:spacing w:val="1"/>
          <w:w w:val="93"/>
          <w:sz w:val="16"/>
        </w:rPr>
        <w:t>s</w:t>
      </w:r>
      <w:r>
        <w:rPr>
          <w:color w:val="231F20"/>
          <w:w w:val="102"/>
          <w:sz w:val="16"/>
        </w:rPr>
        <w:t>t</w:t>
      </w:r>
      <w:r>
        <w:rPr>
          <w:color w:val="231F20"/>
          <w:spacing w:val="10"/>
          <w:sz w:val="16"/>
        </w:rPr>
        <w:t xml:space="preserve"> </w:t>
      </w:r>
      <w:r>
        <w:rPr>
          <w:color w:val="231F20"/>
          <w:w w:val="115"/>
          <w:sz w:val="16"/>
        </w:rPr>
        <w:t>Ro</w:t>
      </w:r>
      <w:r>
        <w:rPr>
          <w:color w:val="231F20"/>
          <w:spacing w:val="1"/>
          <w:w w:val="102"/>
          <w:sz w:val="16"/>
        </w:rPr>
        <w:t>t</w:t>
      </w:r>
      <w:r>
        <w:rPr>
          <w:color w:val="231F20"/>
          <w:w w:val="94"/>
          <w:sz w:val="16"/>
        </w:rPr>
        <w:t>e</w:t>
      </w:r>
      <w:r>
        <w:rPr>
          <w:color w:val="231F20"/>
          <w:spacing w:val="10"/>
          <w:sz w:val="16"/>
        </w:rPr>
        <w:t xml:space="preserve"> </w:t>
      </w:r>
      <w:r>
        <w:rPr>
          <w:color w:val="231F20"/>
          <w:spacing w:val="5"/>
          <w:w w:val="139"/>
          <w:sz w:val="16"/>
        </w:rPr>
        <w:t>Z</w:t>
      </w:r>
      <w:r>
        <w:rPr>
          <w:color w:val="231F20"/>
          <w:w w:val="108"/>
          <w:sz w:val="16"/>
        </w:rPr>
        <w:t>o</w:t>
      </w:r>
      <w:r>
        <w:rPr>
          <w:color w:val="231F20"/>
          <w:w w:val="97"/>
          <w:sz w:val="16"/>
        </w:rPr>
        <w:t>r</w:t>
      </w:r>
      <w:r>
        <w:rPr>
          <w:color w:val="231F20"/>
          <w:w w:val="106"/>
          <w:sz w:val="16"/>
        </w:rPr>
        <w:t>a</w:t>
      </w:r>
      <w:r>
        <w:rPr>
          <w:color w:val="231F20"/>
          <w:spacing w:val="10"/>
          <w:sz w:val="16"/>
        </w:rPr>
        <w:t xml:space="preserve"> </w:t>
      </w:r>
      <w:r>
        <w:rPr>
          <w:color w:val="231F20"/>
          <w:w w:val="106"/>
          <w:sz w:val="16"/>
        </w:rPr>
        <w:t>a</w:t>
      </w:r>
      <w:r>
        <w:rPr>
          <w:color w:val="231F20"/>
          <w:spacing w:val="3"/>
          <w:w w:val="104"/>
          <w:sz w:val="16"/>
        </w:rPr>
        <w:t>c</w:t>
      </w:r>
      <w:r>
        <w:rPr>
          <w:color w:val="231F20"/>
          <w:spacing w:val="2"/>
          <w:w w:val="102"/>
          <w:sz w:val="16"/>
        </w:rPr>
        <w:t>t</w:t>
      </w:r>
      <w:r>
        <w:rPr>
          <w:color w:val="231F20"/>
          <w:w w:val="107"/>
          <w:sz w:val="16"/>
        </w:rPr>
        <w:t>io</w:t>
      </w:r>
      <w:r>
        <w:rPr>
          <w:color w:val="231F20"/>
          <w:w w:val="103"/>
          <w:sz w:val="16"/>
        </w:rPr>
        <w:t>n</w:t>
      </w:r>
      <w:r>
        <w:rPr>
          <w:color w:val="231F20"/>
          <w:spacing w:val="10"/>
          <w:sz w:val="16"/>
        </w:rPr>
        <w:t xml:space="preserve"> </w:t>
      </w:r>
      <w:r>
        <w:rPr>
          <w:color w:val="231F20"/>
          <w:spacing w:val="1"/>
          <w:w w:val="103"/>
          <w:sz w:val="16"/>
        </w:rPr>
        <w:t>i</w:t>
      </w:r>
      <w:r>
        <w:rPr>
          <w:color w:val="231F20"/>
          <w:w w:val="93"/>
          <w:sz w:val="16"/>
        </w:rPr>
        <w:t>s</w:t>
      </w:r>
      <w:r>
        <w:rPr>
          <w:color w:val="231F20"/>
          <w:spacing w:val="10"/>
          <w:sz w:val="16"/>
        </w:rPr>
        <w:t xml:space="preserve"> </w:t>
      </w:r>
      <w:r>
        <w:rPr>
          <w:color w:val="231F20"/>
          <w:spacing w:val="-1"/>
          <w:w w:val="108"/>
          <w:sz w:val="16"/>
        </w:rPr>
        <w:t>o</w:t>
      </w:r>
      <w:r>
        <w:rPr>
          <w:color w:val="231F20"/>
          <w:spacing w:val="5"/>
          <w:w w:val="114"/>
          <w:sz w:val="16"/>
        </w:rPr>
        <w:t>f</w:t>
      </w:r>
      <w:r>
        <w:rPr>
          <w:color w:val="231F20"/>
          <w:spacing w:val="1"/>
          <w:w w:val="102"/>
          <w:sz w:val="16"/>
        </w:rPr>
        <w:t>t</w:t>
      </w:r>
      <w:r>
        <w:rPr>
          <w:color w:val="231F20"/>
          <w:w w:val="94"/>
          <w:sz w:val="16"/>
        </w:rPr>
        <w:t>e</w:t>
      </w:r>
      <w:r>
        <w:rPr>
          <w:color w:val="231F20"/>
          <w:w w:val="103"/>
          <w:sz w:val="16"/>
        </w:rPr>
        <w:t>n</w:t>
      </w:r>
      <w:r>
        <w:rPr>
          <w:color w:val="231F20"/>
          <w:spacing w:val="10"/>
          <w:sz w:val="16"/>
        </w:rPr>
        <w:t xml:space="preserve"> </w:t>
      </w:r>
      <w:r>
        <w:rPr>
          <w:color w:val="231F20"/>
          <w:spacing w:val="2"/>
          <w:w w:val="103"/>
          <w:sz w:val="16"/>
        </w:rPr>
        <w:t>d</w:t>
      </w:r>
      <w:r>
        <w:rPr>
          <w:color w:val="231F20"/>
          <w:spacing w:val="-1"/>
          <w:w w:val="106"/>
          <w:sz w:val="16"/>
        </w:rPr>
        <w:t>a</w:t>
      </w:r>
      <w:r>
        <w:rPr>
          <w:color w:val="231F20"/>
          <w:spacing w:val="1"/>
          <w:w w:val="102"/>
          <w:sz w:val="16"/>
        </w:rPr>
        <w:t>t</w:t>
      </w:r>
      <w:r>
        <w:rPr>
          <w:color w:val="231F20"/>
          <w:spacing w:val="1"/>
          <w:w w:val="94"/>
          <w:sz w:val="16"/>
        </w:rPr>
        <w:t>e</w:t>
      </w:r>
      <w:r>
        <w:rPr>
          <w:color w:val="231F20"/>
          <w:w w:val="103"/>
          <w:sz w:val="16"/>
        </w:rPr>
        <w:t>d</w:t>
      </w:r>
      <w:r>
        <w:rPr>
          <w:color w:val="231F20"/>
          <w:spacing w:val="10"/>
          <w:sz w:val="16"/>
        </w:rPr>
        <w:t xml:space="preserve"> </w:t>
      </w:r>
      <w:r>
        <w:rPr>
          <w:color w:val="231F20"/>
          <w:spacing w:val="-6"/>
          <w:w w:val="104"/>
          <w:sz w:val="16"/>
        </w:rPr>
        <w:t>1</w:t>
      </w:r>
      <w:r>
        <w:rPr>
          <w:color w:val="231F20"/>
          <w:w w:val="104"/>
          <w:sz w:val="16"/>
        </w:rPr>
        <w:t>9</w:t>
      </w:r>
      <w:r>
        <w:rPr>
          <w:color w:val="231F20"/>
          <w:spacing w:val="-8"/>
          <w:w w:val="104"/>
          <w:sz w:val="16"/>
        </w:rPr>
        <w:t>7</w:t>
      </w:r>
      <w:r>
        <w:rPr>
          <w:color w:val="231F20"/>
          <w:spacing w:val="-4"/>
          <w:w w:val="104"/>
          <w:sz w:val="16"/>
        </w:rPr>
        <w:t>5</w:t>
      </w:r>
      <w:r>
        <w:rPr>
          <w:color w:val="231F20"/>
          <w:w w:val="140"/>
          <w:sz w:val="16"/>
        </w:rPr>
        <w:t>,</w:t>
      </w:r>
      <w:r>
        <w:rPr>
          <w:color w:val="231F20"/>
          <w:spacing w:val="10"/>
          <w:sz w:val="16"/>
        </w:rPr>
        <w:t xml:space="preserve"> </w:t>
      </w:r>
      <w:r>
        <w:rPr>
          <w:color w:val="231F20"/>
          <w:w w:val="104"/>
          <w:sz w:val="16"/>
        </w:rPr>
        <w:t>w</w:t>
      </w:r>
      <w:r>
        <w:rPr>
          <w:color w:val="231F20"/>
          <w:spacing w:val="3"/>
          <w:w w:val="104"/>
          <w:sz w:val="16"/>
        </w:rPr>
        <w:t>h</w:t>
      </w:r>
      <w:r>
        <w:rPr>
          <w:color w:val="231F20"/>
          <w:w w:val="103"/>
          <w:sz w:val="16"/>
        </w:rPr>
        <w:t>i</w:t>
      </w:r>
      <w:r>
        <w:rPr>
          <w:color w:val="231F20"/>
          <w:w w:val="104"/>
          <w:sz w:val="16"/>
        </w:rPr>
        <w:t>c</w:t>
      </w:r>
      <w:r>
        <w:rPr>
          <w:color w:val="231F20"/>
          <w:spacing w:val="3"/>
          <w:w w:val="104"/>
          <w:sz w:val="16"/>
        </w:rPr>
        <w:t>h</w:t>
      </w:r>
      <w:r>
        <w:rPr>
          <w:color w:val="231F20"/>
          <w:w w:val="140"/>
          <w:sz w:val="16"/>
        </w:rPr>
        <w:t>,</w:t>
      </w:r>
      <w:r>
        <w:rPr>
          <w:color w:val="231F20"/>
          <w:spacing w:val="10"/>
          <w:sz w:val="16"/>
        </w:rPr>
        <w:t xml:space="preserve"> </w:t>
      </w:r>
      <w:r>
        <w:rPr>
          <w:color w:val="231F20"/>
          <w:w w:val="104"/>
          <w:sz w:val="16"/>
        </w:rPr>
        <w:t>w</w:t>
      </w:r>
      <w:r>
        <w:rPr>
          <w:color w:val="231F20"/>
          <w:spacing w:val="3"/>
          <w:w w:val="104"/>
          <w:sz w:val="16"/>
        </w:rPr>
        <w:t>h</w:t>
      </w:r>
      <w:r>
        <w:rPr>
          <w:color w:val="231F20"/>
          <w:spacing w:val="2"/>
          <w:w w:val="103"/>
          <w:sz w:val="16"/>
        </w:rPr>
        <w:t>i</w:t>
      </w:r>
      <w:r>
        <w:rPr>
          <w:color w:val="231F20"/>
          <w:w w:val="106"/>
          <w:sz w:val="16"/>
        </w:rPr>
        <w:t>l</w:t>
      </w:r>
      <w:r>
        <w:rPr>
          <w:color w:val="231F20"/>
          <w:w w:val="94"/>
          <w:sz w:val="16"/>
        </w:rPr>
        <w:t xml:space="preserve">e </w:t>
      </w:r>
      <w:r>
        <w:rPr>
          <w:color w:val="231F20"/>
          <w:sz w:val="16"/>
        </w:rPr>
        <w:t>understandable, is technically incorrect,  as  previous  bombings  were  claimed  simply by</w:t>
      </w:r>
      <w:r>
        <w:rPr>
          <w:color w:val="231F20"/>
          <w:spacing w:val="12"/>
          <w:sz w:val="16"/>
        </w:rPr>
        <w:t xml:space="preserve"> </w:t>
      </w:r>
      <w:r>
        <w:rPr>
          <w:color w:val="231F20"/>
          <w:sz w:val="16"/>
        </w:rPr>
        <w:t>“Women</w:t>
      </w:r>
      <w:r>
        <w:rPr>
          <w:color w:val="231F20"/>
          <w:spacing w:val="12"/>
          <w:sz w:val="16"/>
        </w:rPr>
        <w:t xml:space="preserve"> </w:t>
      </w:r>
      <w:r>
        <w:rPr>
          <w:color w:val="231F20"/>
          <w:sz w:val="16"/>
        </w:rPr>
        <w:t>of</w:t>
      </w:r>
      <w:r>
        <w:rPr>
          <w:color w:val="231F20"/>
          <w:spacing w:val="12"/>
          <w:sz w:val="16"/>
        </w:rPr>
        <w:t xml:space="preserve"> </w:t>
      </w:r>
      <w:r>
        <w:rPr>
          <w:color w:val="231F20"/>
          <w:sz w:val="16"/>
        </w:rPr>
        <w:t>the</w:t>
      </w:r>
      <w:r>
        <w:rPr>
          <w:color w:val="231F20"/>
          <w:spacing w:val="12"/>
          <w:sz w:val="16"/>
        </w:rPr>
        <w:t xml:space="preserve"> </w:t>
      </w:r>
      <w:r>
        <w:rPr>
          <w:color w:val="231F20"/>
          <w:sz w:val="16"/>
        </w:rPr>
        <w:t>Revolutionary</w:t>
      </w:r>
      <w:r>
        <w:rPr>
          <w:color w:val="231F20"/>
          <w:spacing w:val="12"/>
          <w:sz w:val="16"/>
        </w:rPr>
        <w:t xml:space="preserve"> </w:t>
      </w:r>
      <w:r>
        <w:rPr>
          <w:color w:val="231F20"/>
          <w:sz w:val="16"/>
        </w:rPr>
        <w:t>Cells.”</w:t>
      </w:r>
    </w:p>
    <w:p w14:paraId="1FD88EF6" w14:textId="77777777" w:rsidR="002653E8" w:rsidRDefault="003115E3">
      <w:pPr>
        <w:pStyle w:val="a4"/>
        <w:numPr>
          <w:ilvl w:val="0"/>
          <w:numId w:val="73"/>
        </w:numPr>
        <w:tabs>
          <w:tab w:val="left" w:pos="1287"/>
        </w:tabs>
        <w:spacing w:line="254" w:lineRule="auto"/>
        <w:ind w:right="1668" w:firstLine="0"/>
        <w:jc w:val="left"/>
        <w:rPr>
          <w:sz w:val="16"/>
        </w:rPr>
      </w:pPr>
      <w:r>
        <w:rPr>
          <w:color w:val="231F20"/>
          <w:w w:val="105"/>
          <w:sz w:val="16"/>
        </w:rPr>
        <w:t xml:space="preserve">For more on this see Appendix </w:t>
      </w:r>
      <w:r>
        <w:rPr>
          <w:color w:val="231F20"/>
          <w:spacing w:val="1"/>
          <w:w w:val="105"/>
          <w:sz w:val="16"/>
        </w:rPr>
        <w:t xml:space="preserve">VI—The </w:t>
      </w:r>
      <w:r>
        <w:rPr>
          <w:color w:val="231F20"/>
          <w:w w:val="105"/>
          <w:sz w:val="16"/>
        </w:rPr>
        <w:t xml:space="preserve">German Guerilla’s Palestinian Allies: Waddi Haddad’s </w:t>
      </w:r>
      <w:r>
        <w:rPr>
          <w:color w:val="231F20"/>
          <w:spacing w:val="1"/>
          <w:w w:val="105"/>
          <w:sz w:val="16"/>
        </w:rPr>
        <w:t xml:space="preserve">PFLP </w:t>
      </w:r>
      <w:r>
        <w:rPr>
          <w:color w:val="231F20"/>
          <w:w w:val="105"/>
          <w:sz w:val="16"/>
        </w:rPr>
        <w:t>(EO), pages</w:t>
      </w:r>
      <w:r>
        <w:rPr>
          <w:color w:val="231F20"/>
          <w:spacing w:val="25"/>
          <w:w w:val="105"/>
          <w:sz w:val="16"/>
        </w:rPr>
        <w:t xml:space="preserve"> </w:t>
      </w:r>
      <w:r>
        <w:rPr>
          <w:color w:val="231F20"/>
          <w:spacing w:val="-3"/>
          <w:w w:val="105"/>
          <w:sz w:val="16"/>
        </w:rPr>
        <w:t>559-61.</w:t>
      </w:r>
    </w:p>
    <w:bookmarkEnd w:id="201"/>
    <w:p w14:paraId="51F13408" w14:textId="77777777" w:rsidR="002653E8" w:rsidRDefault="002653E8">
      <w:pPr>
        <w:spacing w:line="254" w:lineRule="auto"/>
        <w:rPr>
          <w:sz w:val="16"/>
        </w:rPr>
        <w:sectPr w:rsidR="002653E8">
          <w:pgSz w:w="8640" w:h="12960"/>
          <w:pgMar w:top="1060" w:right="0" w:bottom="1040" w:left="0" w:header="0" w:footer="850" w:gutter="0"/>
          <w:cols w:space="720"/>
        </w:sectPr>
      </w:pPr>
    </w:p>
    <w:p w14:paraId="2D65F2E2" w14:textId="77777777" w:rsidR="002653E8" w:rsidRDefault="003115E3">
      <w:pPr>
        <w:pStyle w:val="a3"/>
        <w:spacing w:before="86" w:line="264" w:lineRule="auto"/>
        <w:ind w:left="1327" w:right="1145"/>
        <w:jc w:val="both"/>
      </w:pPr>
      <w:r>
        <w:rPr>
          <w:color w:val="231F20"/>
        </w:rPr>
        <w:lastRenderedPageBreak/>
        <w:t xml:space="preserve">“Carlos.” Klein had moved from the Committees Against Torture and  the Putz Group to the </w:t>
      </w:r>
      <w:r>
        <w:rPr>
          <w:color w:val="231F20"/>
          <w:spacing w:val="3"/>
        </w:rPr>
        <w:t xml:space="preserve">RZ </w:t>
      </w:r>
      <w:r>
        <w:rPr>
          <w:color w:val="231F20"/>
        </w:rPr>
        <w:t>following Holger Meins’ death.</w:t>
      </w:r>
      <w:r>
        <w:rPr>
          <w:color w:val="231F20"/>
          <w:position w:val="7"/>
          <w:sz w:val="11"/>
        </w:rPr>
        <w:t xml:space="preserve">3 </w:t>
      </w:r>
      <w:r>
        <w:rPr>
          <w:color w:val="231F20"/>
        </w:rPr>
        <w:t xml:space="preserve">Given that Klein was the only </w:t>
      </w:r>
      <w:r>
        <w:rPr>
          <w:color w:val="231F20"/>
          <w:spacing w:val="3"/>
        </w:rPr>
        <w:t xml:space="preserve">RZ </w:t>
      </w:r>
      <w:r>
        <w:rPr>
          <w:color w:val="231F20"/>
        </w:rPr>
        <w:t>member to have participated, and that he subsequently broke from the guerilla, some people do not consider the RZ’s international wing to have been involved. (As for Kröcher-Tiedemann, she was certainly acting independently of 2JM in this</w:t>
      </w:r>
      <w:r>
        <w:rPr>
          <w:color w:val="231F20"/>
          <w:spacing w:val="22"/>
        </w:rPr>
        <w:t xml:space="preserve"> </w:t>
      </w:r>
      <w:r>
        <w:rPr>
          <w:color w:val="231F20"/>
        </w:rPr>
        <w:t>operation.)</w:t>
      </w:r>
    </w:p>
    <w:p w14:paraId="3B238D56" w14:textId="77777777" w:rsidR="002653E8" w:rsidRDefault="003115E3">
      <w:pPr>
        <w:pStyle w:val="a3"/>
        <w:spacing w:line="264" w:lineRule="auto"/>
        <w:ind w:left="1327" w:right="1146" w:firstLine="210"/>
        <w:jc w:val="both"/>
      </w:pPr>
      <w:r>
        <w:rPr>
          <w:color w:val="231F20"/>
        </w:rPr>
        <w:t xml:space="preserve">The so-called “December </w:t>
      </w:r>
      <w:r>
        <w:rPr>
          <w:color w:val="231F20"/>
          <w:spacing w:val="-3"/>
        </w:rPr>
        <w:t xml:space="preserve">21st </w:t>
      </w:r>
      <w:r>
        <w:rPr>
          <w:color w:val="231F20"/>
        </w:rPr>
        <w:t xml:space="preserve">Movement of the Arabic Revolution” delivered a bloody nose to the Organization of Petroleum Exporting Countries as it met in Vienna. </w:t>
      </w:r>
      <w:r>
        <w:rPr>
          <w:color w:val="231F20"/>
          <w:spacing w:val="1"/>
        </w:rPr>
        <w:t xml:space="preserve">Sixty </w:t>
      </w:r>
      <w:r>
        <w:rPr>
          <w:color w:val="231F20"/>
        </w:rPr>
        <w:t xml:space="preserve">oil ministers from  around  the  world were taken hostage, and both an Austrian police officer and a Libyan diplomat were killed in the process. </w:t>
      </w:r>
      <w:r>
        <w:rPr>
          <w:color w:val="231F20"/>
          <w:spacing w:val="1"/>
        </w:rPr>
        <w:t xml:space="preserve">In </w:t>
      </w:r>
      <w:r>
        <w:rPr>
          <w:color w:val="231F20"/>
        </w:rPr>
        <w:t xml:space="preserve">exchange for the ministers’ release, the guerilla demanded—and received—a </w:t>
      </w:r>
      <w:r>
        <w:rPr>
          <w:color w:val="231F20"/>
          <w:spacing w:val="-4"/>
        </w:rPr>
        <w:t xml:space="preserve">$5 </w:t>
      </w:r>
      <w:r>
        <w:rPr>
          <w:color w:val="231F20"/>
        </w:rPr>
        <w:t>million ransom, and all were flown to Algeria from whence they returned to the underground.</w:t>
      </w:r>
    </w:p>
    <w:p w14:paraId="5DF1EFC9" w14:textId="77777777" w:rsidR="002653E8" w:rsidRDefault="003115E3">
      <w:pPr>
        <w:pStyle w:val="a3"/>
        <w:spacing w:line="264" w:lineRule="auto"/>
        <w:ind w:left="1328" w:right="1145" w:firstLine="209"/>
        <w:jc w:val="both"/>
      </w:pPr>
      <w:r>
        <w:rPr>
          <w:color w:val="231F20"/>
        </w:rPr>
        <w:t xml:space="preserve">The operation had been meant to punish OPEC for its recent decision to </w:t>
      </w:r>
      <w:r>
        <w:rPr>
          <w:color w:val="231F20"/>
          <w:spacing w:val="1"/>
        </w:rPr>
        <w:t xml:space="preserve">lift </w:t>
      </w:r>
      <w:r>
        <w:rPr>
          <w:color w:val="231F20"/>
        </w:rPr>
        <w:t xml:space="preserve">its embargo against Israel. </w:t>
      </w:r>
      <w:r>
        <w:rPr>
          <w:color w:val="231F20"/>
          <w:spacing w:val="-3"/>
        </w:rPr>
        <w:t xml:space="preserve">yet, </w:t>
      </w:r>
      <w:r>
        <w:rPr>
          <w:color w:val="231F20"/>
        </w:rPr>
        <w:t>it was not considered a success: the plan had been for the Carlos-led guerilla to execute diplomats from Saudi Arabia and Iran, both of which were important American allies; instead, Carlos negotiated a ransom for their freedom. Many reports claim that he was in fact excluded from Haddad’s organization for this</w:t>
      </w:r>
      <w:r>
        <w:rPr>
          <w:color w:val="231F20"/>
          <w:spacing w:val="21"/>
        </w:rPr>
        <w:t xml:space="preserve"> </w:t>
      </w:r>
      <w:r>
        <w:rPr>
          <w:color w:val="231F20"/>
        </w:rPr>
        <w:t>breach.</w:t>
      </w:r>
    </w:p>
    <w:p w14:paraId="2588E02B" w14:textId="77777777" w:rsidR="002653E8" w:rsidRDefault="003115E3">
      <w:pPr>
        <w:pStyle w:val="a3"/>
        <w:spacing w:line="264" w:lineRule="auto"/>
        <w:ind w:left="1327" w:right="1146" w:firstLine="210"/>
        <w:jc w:val="both"/>
      </w:pPr>
      <w:r>
        <w:rPr>
          <w:color w:val="231F20"/>
        </w:rPr>
        <w:t>Not that this less bloody outcome assuaged the operation’s many critics: officials from  the  PLO  accused  Carlos  of  having  orchestrated a “criminal act” designed to “undermine the nature of the Palestinian struggle,” claiming that the raid was such a disaster it could have been an imperialist false flag operation—which it wasn’t.</w:t>
      </w:r>
      <w:r>
        <w:rPr>
          <w:color w:val="231F20"/>
          <w:position w:val="7"/>
          <w:sz w:val="11"/>
        </w:rPr>
        <w:t xml:space="preserve">4 </w:t>
      </w:r>
      <w:r>
        <w:rPr>
          <w:color w:val="231F20"/>
        </w:rPr>
        <w:t>Nevertheless, all of the guerillas had survived (though Klein had been seriously wounded), and</w:t>
      </w:r>
      <w:r>
        <w:rPr>
          <w:color w:val="231F20"/>
          <w:spacing w:val="10"/>
        </w:rPr>
        <w:t xml:space="preserve"> </w:t>
      </w:r>
      <w:r>
        <w:rPr>
          <w:color w:val="231F20"/>
        </w:rPr>
        <w:t>so</w:t>
      </w:r>
      <w:r>
        <w:rPr>
          <w:color w:val="231F20"/>
          <w:spacing w:val="10"/>
        </w:rPr>
        <w:t xml:space="preserve"> </w:t>
      </w:r>
      <w:r>
        <w:rPr>
          <w:color w:val="231F20"/>
        </w:rPr>
        <w:t>it</w:t>
      </w:r>
      <w:r>
        <w:rPr>
          <w:color w:val="231F20"/>
          <w:spacing w:val="10"/>
        </w:rPr>
        <w:t xml:space="preserve"> </w:t>
      </w:r>
      <w:r>
        <w:rPr>
          <w:color w:val="231F20"/>
        </w:rPr>
        <w:t>could</w:t>
      </w:r>
      <w:r>
        <w:rPr>
          <w:color w:val="231F20"/>
          <w:spacing w:val="10"/>
        </w:rPr>
        <w:t xml:space="preserve"> </w:t>
      </w:r>
      <w:r>
        <w:rPr>
          <w:color w:val="231F20"/>
        </w:rPr>
        <w:t>not</w:t>
      </w:r>
      <w:r>
        <w:rPr>
          <w:color w:val="231F20"/>
          <w:spacing w:val="10"/>
        </w:rPr>
        <w:t xml:space="preserve"> </w:t>
      </w:r>
      <w:r>
        <w:rPr>
          <w:color w:val="231F20"/>
        </w:rPr>
        <w:t>be</w:t>
      </w:r>
      <w:r>
        <w:rPr>
          <w:color w:val="231F20"/>
          <w:spacing w:val="10"/>
        </w:rPr>
        <w:t xml:space="preserve"> </w:t>
      </w:r>
      <w:r>
        <w:rPr>
          <w:color w:val="231F20"/>
        </w:rPr>
        <w:t>considered</w:t>
      </w:r>
      <w:r>
        <w:rPr>
          <w:color w:val="231F20"/>
          <w:spacing w:val="10"/>
        </w:rPr>
        <w:t xml:space="preserve"> </w:t>
      </w:r>
      <w:r>
        <w:rPr>
          <w:color w:val="231F20"/>
        </w:rPr>
        <w:t>an</w:t>
      </w:r>
      <w:r>
        <w:rPr>
          <w:color w:val="231F20"/>
          <w:spacing w:val="10"/>
        </w:rPr>
        <w:t xml:space="preserve"> </w:t>
      </w:r>
      <w:r>
        <w:rPr>
          <w:color w:val="231F20"/>
        </w:rPr>
        <w:t>unmitigated</w:t>
      </w:r>
      <w:r>
        <w:rPr>
          <w:color w:val="231F20"/>
          <w:spacing w:val="10"/>
        </w:rPr>
        <w:t xml:space="preserve"> </w:t>
      </w:r>
      <w:r>
        <w:rPr>
          <w:color w:val="231F20"/>
        </w:rPr>
        <w:t>failure.</w:t>
      </w:r>
    </w:p>
    <w:p w14:paraId="0F0C858D" w14:textId="77777777" w:rsidR="002653E8" w:rsidRDefault="003115E3">
      <w:pPr>
        <w:pStyle w:val="a3"/>
        <w:spacing w:line="264" w:lineRule="auto"/>
        <w:ind w:left="1327" w:right="1146" w:firstLine="210"/>
        <w:jc w:val="both"/>
      </w:pPr>
      <w:r>
        <w:rPr>
          <w:color w:val="231F20"/>
        </w:rPr>
        <w:t>The same could not be said for the next operation to include members of the RZ’s international wing.</w:t>
      </w:r>
    </w:p>
    <w:p w14:paraId="6E6C20FA" w14:textId="77777777" w:rsidR="002653E8" w:rsidRDefault="003115E3">
      <w:pPr>
        <w:pStyle w:val="a3"/>
        <w:spacing w:line="264" w:lineRule="auto"/>
        <w:ind w:left="1327" w:right="1146" w:firstLine="210"/>
        <w:jc w:val="both"/>
      </w:pPr>
      <w:r>
        <w:rPr>
          <w:color w:val="231F20"/>
        </w:rPr>
        <w:t xml:space="preserve">On June </w:t>
      </w:r>
      <w:r>
        <w:rPr>
          <w:color w:val="231F20"/>
          <w:spacing w:val="-8"/>
        </w:rPr>
        <w:t xml:space="preserve">27, </w:t>
      </w:r>
      <w:r>
        <w:rPr>
          <w:color w:val="231F20"/>
          <w:spacing w:val="-4"/>
        </w:rPr>
        <w:t xml:space="preserve">1976, </w:t>
      </w:r>
      <w:r>
        <w:rPr>
          <w:color w:val="231F20"/>
        </w:rPr>
        <w:t xml:space="preserve">a joint commando made up of members  of  the </w:t>
      </w:r>
      <w:r>
        <w:rPr>
          <w:color w:val="231F20"/>
          <w:spacing w:val="1"/>
        </w:rPr>
        <w:t xml:space="preserve">PFLP </w:t>
      </w:r>
      <w:r>
        <w:rPr>
          <w:color w:val="231F20"/>
        </w:rPr>
        <w:t xml:space="preserve">(EO) and members of the </w:t>
      </w:r>
      <w:r>
        <w:rPr>
          <w:color w:val="231F20"/>
          <w:spacing w:val="2"/>
        </w:rPr>
        <w:t>RZ</w:t>
      </w:r>
      <w:r>
        <w:rPr>
          <w:color w:val="231F20"/>
          <w:spacing w:val="2"/>
          <w:position w:val="7"/>
          <w:sz w:val="11"/>
        </w:rPr>
        <w:t xml:space="preserve">5 </w:t>
      </w:r>
      <w:r>
        <w:rPr>
          <w:color w:val="231F20"/>
        </w:rPr>
        <w:t xml:space="preserve">hijacked an </w:t>
      </w:r>
      <w:r>
        <w:rPr>
          <w:color w:val="231F20"/>
          <w:spacing w:val="1"/>
        </w:rPr>
        <w:t xml:space="preserve">Air </w:t>
      </w:r>
      <w:r>
        <w:rPr>
          <w:color w:val="231F20"/>
        </w:rPr>
        <w:t>France airliner traveling</w:t>
      </w:r>
      <w:r>
        <w:rPr>
          <w:color w:val="231F20"/>
          <w:spacing w:val="31"/>
        </w:rPr>
        <w:t xml:space="preserve"> </w:t>
      </w:r>
      <w:r>
        <w:rPr>
          <w:color w:val="231F20"/>
        </w:rPr>
        <w:t>from</w:t>
      </w:r>
      <w:r>
        <w:rPr>
          <w:color w:val="231F20"/>
          <w:spacing w:val="31"/>
        </w:rPr>
        <w:t xml:space="preserve"> </w:t>
      </w:r>
      <w:r>
        <w:rPr>
          <w:color w:val="231F20"/>
          <w:spacing w:val="-5"/>
        </w:rPr>
        <w:t>Tel</w:t>
      </w:r>
      <w:r>
        <w:rPr>
          <w:color w:val="231F20"/>
          <w:spacing w:val="31"/>
        </w:rPr>
        <w:t xml:space="preserve"> </w:t>
      </w:r>
      <w:r>
        <w:rPr>
          <w:color w:val="231F20"/>
          <w:spacing w:val="-3"/>
        </w:rPr>
        <w:t>Aviv</w:t>
      </w:r>
      <w:r>
        <w:rPr>
          <w:color w:val="231F20"/>
          <w:spacing w:val="31"/>
        </w:rPr>
        <w:t xml:space="preserve"> </w:t>
      </w:r>
      <w:r>
        <w:rPr>
          <w:color w:val="231F20"/>
        </w:rPr>
        <w:t>to</w:t>
      </w:r>
      <w:r>
        <w:rPr>
          <w:color w:val="231F20"/>
          <w:spacing w:val="31"/>
        </w:rPr>
        <w:t xml:space="preserve"> </w:t>
      </w:r>
      <w:r>
        <w:rPr>
          <w:color w:val="231F20"/>
        </w:rPr>
        <w:t>Paris,</w:t>
      </w:r>
      <w:r>
        <w:rPr>
          <w:color w:val="231F20"/>
          <w:spacing w:val="31"/>
        </w:rPr>
        <w:t xml:space="preserve"> </w:t>
      </w:r>
      <w:r>
        <w:rPr>
          <w:color w:val="231F20"/>
        </w:rPr>
        <w:t>diverting</w:t>
      </w:r>
      <w:r>
        <w:rPr>
          <w:color w:val="231F20"/>
          <w:spacing w:val="31"/>
        </w:rPr>
        <w:t xml:space="preserve"> </w:t>
      </w:r>
      <w:r>
        <w:rPr>
          <w:color w:val="231F20"/>
        </w:rPr>
        <w:t>it</w:t>
      </w:r>
      <w:r>
        <w:rPr>
          <w:color w:val="231F20"/>
          <w:spacing w:val="31"/>
        </w:rPr>
        <w:t xml:space="preserve"> </w:t>
      </w:r>
      <w:r>
        <w:rPr>
          <w:color w:val="231F20"/>
        </w:rPr>
        <w:t>to</w:t>
      </w:r>
      <w:r>
        <w:rPr>
          <w:color w:val="231F20"/>
          <w:spacing w:val="31"/>
        </w:rPr>
        <w:t xml:space="preserve"> </w:t>
      </w:r>
      <w:r>
        <w:rPr>
          <w:color w:val="231F20"/>
        </w:rPr>
        <w:t>Entebbe,</w:t>
      </w:r>
      <w:r>
        <w:rPr>
          <w:color w:val="231F20"/>
          <w:spacing w:val="31"/>
        </w:rPr>
        <w:t xml:space="preserve"> </w:t>
      </w:r>
      <w:r>
        <w:rPr>
          <w:color w:val="231F20"/>
        </w:rPr>
        <w:t>Uganda.</w:t>
      </w:r>
      <w:r>
        <w:rPr>
          <w:color w:val="231F20"/>
          <w:spacing w:val="31"/>
        </w:rPr>
        <w:t xml:space="preserve"> </w:t>
      </w:r>
      <w:r>
        <w:rPr>
          <w:color w:val="231F20"/>
        </w:rPr>
        <w:t>The</w:t>
      </w:r>
    </w:p>
    <w:p w14:paraId="4539FDD9" w14:textId="77777777" w:rsidR="002653E8" w:rsidRDefault="00000000">
      <w:pPr>
        <w:pStyle w:val="a3"/>
        <w:spacing w:before="3"/>
        <w:rPr>
          <w:sz w:val="13"/>
        </w:rPr>
      </w:pPr>
      <w:r>
        <w:rPr>
          <w:noProof w:val="0"/>
        </w:rPr>
        <w:pict w14:anchorId="08A0263E">
          <v:line id="_x0000_s2237" style="position:absolute;z-index:9280;mso-wrap-distance-left:0;mso-wrap-distance-right:0;mso-position-horizontal-relative:page" from="66.4pt,10pt" to="138.4pt,10pt" strokecolor="#231f20" strokeweight=".5pt">
            <w10:wrap type="topAndBottom" anchorx="page"/>
          </v:line>
        </w:pict>
      </w:r>
    </w:p>
    <w:p w14:paraId="5CCC3E61" w14:textId="77777777" w:rsidR="002653E8" w:rsidRDefault="003115E3">
      <w:pPr>
        <w:pStyle w:val="a4"/>
        <w:numPr>
          <w:ilvl w:val="0"/>
          <w:numId w:val="73"/>
        </w:numPr>
        <w:tabs>
          <w:tab w:val="left" w:pos="1467"/>
        </w:tabs>
        <w:spacing w:before="53" w:line="254" w:lineRule="auto"/>
        <w:ind w:left="1328" w:right="1191" w:hanging="1"/>
        <w:jc w:val="left"/>
        <w:rPr>
          <w:sz w:val="16"/>
        </w:rPr>
      </w:pPr>
      <w:bookmarkStart w:id="202" w:name="_Hlk130690665"/>
      <w:r>
        <w:rPr>
          <w:color w:val="231F20"/>
          <w:spacing w:val="1"/>
          <w:w w:val="105"/>
          <w:sz w:val="16"/>
        </w:rPr>
        <w:t xml:space="preserve">Imre </w:t>
      </w:r>
      <w:r>
        <w:rPr>
          <w:color w:val="231F20"/>
          <w:w w:val="105"/>
          <w:sz w:val="16"/>
        </w:rPr>
        <w:t xml:space="preserve">Karacs, “After </w:t>
      </w:r>
      <w:r>
        <w:rPr>
          <w:color w:val="231F20"/>
          <w:spacing w:val="-5"/>
          <w:w w:val="105"/>
          <w:sz w:val="16"/>
        </w:rPr>
        <w:t xml:space="preserve">25 </w:t>
      </w:r>
      <w:r>
        <w:rPr>
          <w:color w:val="231F20"/>
          <w:w w:val="105"/>
          <w:sz w:val="16"/>
        </w:rPr>
        <w:t xml:space="preserve">years Carlos the Jackal gets his revenge,” </w:t>
      </w:r>
      <w:r>
        <w:rPr>
          <w:i/>
          <w:color w:val="231F20"/>
          <w:spacing w:val="1"/>
          <w:w w:val="105"/>
          <w:sz w:val="16"/>
        </w:rPr>
        <w:t xml:space="preserve">(London) Independent </w:t>
      </w:r>
      <w:r>
        <w:rPr>
          <w:color w:val="231F20"/>
          <w:w w:val="105"/>
          <w:sz w:val="16"/>
        </w:rPr>
        <w:t xml:space="preserve">[online], October </w:t>
      </w:r>
      <w:r>
        <w:rPr>
          <w:color w:val="231F20"/>
          <w:spacing w:val="-3"/>
          <w:w w:val="105"/>
          <w:sz w:val="16"/>
        </w:rPr>
        <w:t xml:space="preserve">18, </w:t>
      </w:r>
      <w:r>
        <w:rPr>
          <w:color w:val="231F20"/>
          <w:spacing w:val="1"/>
          <w:w w:val="105"/>
          <w:sz w:val="16"/>
        </w:rPr>
        <w:t xml:space="preserve">2000.  </w:t>
      </w:r>
      <w:r>
        <w:rPr>
          <w:color w:val="231F20"/>
          <w:w w:val="105"/>
          <w:sz w:val="16"/>
        </w:rPr>
        <w:t>Klein  later  recalled  that  with  Meins’ death, “It became clear to me that we must do something more than support people in</w:t>
      </w:r>
      <w:r>
        <w:rPr>
          <w:color w:val="231F20"/>
          <w:spacing w:val="6"/>
          <w:w w:val="105"/>
          <w:sz w:val="16"/>
        </w:rPr>
        <w:t xml:space="preserve"> </w:t>
      </w:r>
      <w:r>
        <w:rPr>
          <w:color w:val="231F20"/>
          <w:w w:val="105"/>
          <w:sz w:val="16"/>
        </w:rPr>
        <w:t>prison.</w:t>
      </w:r>
      <w:r>
        <w:rPr>
          <w:color w:val="231F20"/>
          <w:spacing w:val="6"/>
          <w:w w:val="105"/>
          <w:sz w:val="16"/>
        </w:rPr>
        <w:t xml:space="preserve"> </w:t>
      </w:r>
      <w:r>
        <w:rPr>
          <w:color w:val="231F20"/>
          <w:spacing w:val="1"/>
          <w:w w:val="105"/>
          <w:sz w:val="16"/>
        </w:rPr>
        <w:t>In</w:t>
      </w:r>
      <w:r>
        <w:rPr>
          <w:color w:val="231F20"/>
          <w:spacing w:val="6"/>
          <w:w w:val="105"/>
          <w:sz w:val="16"/>
        </w:rPr>
        <w:t xml:space="preserve"> </w:t>
      </w:r>
      <w:r>
        <w:rPr>
          <w:color w:val="231F20"/>
          <w:w w:val="105"/>
          <w:sz w:val="16"/>
        </w:rPr>
        <w:t>an</w:t>
      </w:r>
      <w:r>
        <w:rPr>
          <w:color w:val="231F20"/>
          <w:spacing w:val="6"/>
          <w:w w:val="105"/>
          <w:sz w:val="16"/>
        </w:rPr>
        <w:t xml:space="preserve"> </w:t>
      </w:r>
      <w:r>
        <w:rPr>
          <w:color w:val="231F20"/>
          <w:w w:val="105"/>
          <w:sz w:val="16"/>
        </w:rPr>
        <w:t>emergency,</w:t>
      </w:r>
      <w:r>
        <w:rPr>
          <w:color w:val="231F20"/>
          <w:spacing w:val="6"/>
          <w:w w:val="105"/>
          <w:sz w:val="16"/>
        </w:rPr>
        <w:t xml:space="preserve"> </w:t>
      </w:r>
      <w:r>
        <w:rPr>
          <w:color w:val="231F20"/>
          <w:w w:val="105"/>
          <w:sz w:val="16"/>
        </w:rPr>
        <w:t>we</w:t>
      </w:r>
      <w:r>
        <w:rPr>
          <w:color w:val="231F20"/>
          <w:spacing w:val="6"/>
          <w:w w:val="105"/>
          <w:sz w:val="16"/>
        </w:rPr>
        <w:t xml:space="preserve"> </w:t>
      </w:r>
      <w:r>
        <w:rPr>
          <w:color w:val="231F20"/>
          <w:w w:val="105"/>
          <w:sz w:val="16"/>
        </w:rPr>
        <w:t>had</w:t>
      </w:r>
      <w:r>
        <w:rPr>
          <w:color w:val="231F20"/>
          <w:spacing w:val="6"/>
          <w:w w:val="105"/>
          <w:sz w:val="16"/>
        </w:rPr>
        <w:t xml:space="preserve"> </w:t>
      </w:r>
      <w:r>
        <w:rPr>
          <w:color w:val="231F20"/>
          <w:w w:val="105"/>
          <w:sz w:val="16"/>
        </w:rPr>
        <w:t>to</w:t>
      </w:r>
      <w:r>
        <w:rPr>
          <w:color w:val="231F20"/>
          <w:spacing w:val="6"/>
          <w:w w:val="105"/>
          <w:sz w:val="16"/>
        </w:rPr>
        <w:t xml:space="preserve"> </w:t>
      </w:r>
      <w:r>
        <w:rPr>
          <w:color w:val="231F20"/>
          <w:w w:val="105"/>
          <w:sz w:val="16"/>
        </w:rPr>
        <w:t>participate</w:t>
      </w:r>
      <w:r>
        <w:rPr>
          <w:color w:val="231F20"/>
          <w:spacing w:val="6"/>
          <w:w w:val="105"/>
          <w:sz w:val="16"/>
        </w:rPr>
        <w:t xml:space="preserve"> </w:t>
      </w:r>
      <w:r>
        <w:rPr>
          <w:color w:val="231F20"/>
          <w:w w:val="105"/>
          <w:sz w:val="16"/>
        </w:rPr>
        <w:t>in</w:t>
      </w:r>
      <w:r>
        <w:rPr>
          <w:color w:val="231F20"/>
          <w:spacing w:val="6"/>
          <w:w w:val="105"/>
          <w:sz w:val="16"/>
        </w:rPr>
        <w:t xml:space="preserve"> </w:t>
      </w:r>
      <w:r>
        <w:rPr>
          <w:color w:val="231F20"/>
          <w:w w:val="105"/>
          <w:sz w:val="16"/>
        </w:rPr>
        <w:t>armed</w:t>
      </w:r>
      <w:r>
        <w:rPr>
          <w:color w:val="231F20"/>
          <w:spacing w:val="6"/>
          <w:w w:val="105"/>
          <w:sz w:val="16"/>
        </w:rPr>
        <w:t xml:space="preserve"> </w:t>
      </w:r>
      <w:r>
        <w:rPr>
          <w:color w:val="231F20"/>
          <w:w w:val="105"/>
          <w:sz w:val="16"/>
        </w:rPr>
        <w:t>actions</w:t>
      </w:r>
      <w:r>
        <w:rPr>
          <w:color w:val="231F20"/>
          <w:spacing w:val="6"/>
          <w:w w:val="105"/>
          <w:sz w:val="16"/>
        </w:rPr>
        <w:t xml:space="preserve"> </w:t>
      </w:r>
      <w:r>
        <w:rPr>
          <w:color w:val="231F20"/>
          <w:w w:val="105"/>
          <w:sz w:val="16"/>
        </w:rPr>
        <w:t>ourselves.”</w:t>
      </w:r>
    </w:p>
    <w:p w14:paraId="2281F332" w14:textId="77777777" w:rsidR="002653E8" w:rsidRDefault="003115E3">
      <w:pPr>
        <w:pStyle w:val="a4"/>
        <w:numPr>
          <w:ilvl w:val="0"/>
          <w:numId w:val="73"/>
        </w:numPr>
        <w:tabs>
          <w:tab w:val="left" w:pos="1467"/>
        </w:tabs>
        <w:ind w:left="1466" w:hanging="138"/>
        <w:jc w:val="left"/>
        <w:rPr>
          <w:sz w:val="16"/>
        </w:rPr>
      </w:pPr>
      <w:r>
        <w:rPr>
          <w:i/>
          <w:color w:val="231F20"/>
          <w:w w:val="110"/>
          <w:sz w:val="16"/>
        </w:rPr>
        <w:t>Time</w:t>
      </w:r>
      <w:r>
        <w:rPr>
          <w:i/>
          <w:color w:val="231F20"/>
          <w:spacing w:val="5"/>
          <w:w w:val="110"/>
          <w:sz w:val="16"/>
        </w:rPr>
        <w:t xml:space="preserve"> </w:t>
      </w:r>
      <w:r>
        <w:rPr>
          <w:i/>
          <w:color w:val="231F20"/>
          <w:w w:val="110"/>
          <w:sz w:val="16"/>
        </w:rPr>
        <w:t>Magazine</w:t>
      </w:r>
      <w:r>
        <w:rPr>
          <w:i/>
          <w:color w:val="231F20"/>
          <w:spacing w:val="5"/>
          <w:w w:val="110"/>
          <w:sz w:val="16"/>
        </w:rPr>
        <w:t xml:space="preserve"> </w:t>
      </w:r>
      <w:r>
        <w:rPr>
          <w:color w:val="231F20"/>
          <w:w w:val="110"/>
          <w:sz w:val="16"/>
        </w:rPr>
        <w:t>[online],</w:t>
      </w:r>
      <w:r>
        <w:rPr>
          <w:color w:val="231F20"/>
          <w:spacing w:val="5"/>
          <w:w w:val="110"/>
          <w:sz w:val="16"/>
        </w:rPr>
        <w:t xml:space="preserve"> </w:t>
      </w:r>
      <w:r>
        <w:rPr>
          <w:color w:val="231F20"/>
          <w:w w:val="110"/>
          <w:sz w:val="16"/>
        </w:rPr>
        <w:t>“Kidnaping</w:t>
      </w:r>
      <w:r>
        <w:rPr>
          <w:color w:val="231F20"/>
          <w:spacing w:val="5"/>
          <w:w w:val="110"/>
          <w:sz w:val="16"/>
        </w:rPr>
        <w:t xml:space="preserve"> </w:t>
      </w:r>
      <w:r>
        <w:rPr>
          <w:color w:val="231F20"/>
          <w:w w:val="110"/>
          <w:sz w:val="16"/>
        </w:rPr>
        <w:t>in</w:t>
      </w:r>
      <w:r>
        <w:rPr>
          <w:color w:val="231F20"/>
          <w:spacing w:val="5"/>
          <w:w w:val="110"/>
          <w:sz w:val="16"/>
        </w:rPr>
        <w:t xml:space="preserve"> </w:t>
      </w:r>
      <w:r>
        <w:rPr>
          <w:color w:val="231F20"/>
          <w:w w:val="110"/>
          <w:sz w:val="16"/>
        </w:rPr>
        <w:t>Vienna,</w:t>
      </w:r>
      <w:r>
        <w:rPr>
          <w:color w:val="231F20"/>
          <w:spacing w:val="5"/>
          <w:w w:val="110"/>
          <w:sz w:val="16"/>
        </w:rPr>
        <w:t xml:space="preserve"> </w:t>
      </w:r>
      <w:r>
        <w:rPr>
          <w:color w:val="231F20"/>
          <w:w w:val="110"/>
          <w:sz w:val="16"/>
        </w:rPr>
        <w:t>Murder</w:t>
      </w:r>
      <w:r>
        <w:rPr>
          <w:color w:val="231F20"/>
          <w:spacing w:val="5"/>
          <w:w w:val="110"/>
          <w:sz w:val="16"/>
        </w:rPr>
        <w:t xml:space="preserve"> </w:t>
      </w:r>
      <w:r>
        <w:rPr>
          <w:color w:val="231F20"/>
          <w:w w:val="110"/>
          <w:sz w:val="16"/>
        </w:rPr>
        <w:t>in</w:t>
      </w:r>
      <w:r>
        <w:rPr>
          <w:color w:val="231F20"/>
          <w:spacing w:val="5"/>
          <w:w w:val="110"/>
          <w:sz w:val="16"/>
        </w:rPr>
        <w:t xml:space="preserve"> </w:t>
      </w:r>
      <w:r>
        <w:rPr>
          <w:color w:val="231F20"/>
          <w:w w:val="110"/>
          <w:sz w:val="16"/>
        </w:rPr>
        <w:t>Athens,”</w:t>
      </w:r>
      <w:r>
        <w:rPr>
          <w:color w:val="231F20"/>
          <w:spacing w:val="5"/>
          <w:w w:val="110"/>
          <w:sz w:val="16"/>
        </w:rPr>
        <w:t xml:space="preserve"> </w:t>
      </w:r>
      <w:r>
        <w:rPr>
          <w:color w:val="231F20"/>
          <w:w w:val="110"/>
          <w:sz w:val="16"/>
        </w:rPr>
        <w:t>Jan.</w:t>
      </w:r>
      <w:r>
        <w:rPr>
          <w:color w:val="231F20"/>
          <w:spacing w:val="6"/>
          <w:w w:val="110"/>
          <w:sz w:val="16"/>
        </w:rPr>
        <w:t xml:space="preserve"> </w:t>
      </w:r>
      <w:r>
        <w:rPr>
          <w:color w:val="231F20"/>
          <w:w w:val="110"/>
          <w:sz w:val="16"/>
        </w:rPr>
        <w:t>5,</w:t>
      </w:r>
      <w:r>
        <w:rPr>
          <w:color w:val="231F20"/>
          <w:spacing w:val="5"/>
          <w:w w:val="110"/>
          <w:sz w:val="16"/>
        </w:rPr>
        <w:t xml:space="preserve"> </w:t>
      </w:r>
      <w:r>
        <w:rPr>
          <w:color w:val="231F20"/>
          <w:spacing w:val="-3"/>
          <w:w w:val="110"/>
          <w:sz w:val="16"/>
        </w:rPr>
        <w:t>1976.</w:t>
      </w:r>
    </w:p>
    <w:p w14:paraId="6E5B847A" w14:textId="77777777" w:rsidR="002653E8" w:rsidRDefault="003115E3">
      <w:pPr>
        <w:pStyle w:val="a4"/>
        <w:numPr>
          <w:ilvl w:val="0"/>
          <w:numId w:val="73"/>
        </w:numPr>
        <w:tabs>
          <w:tab w:val="left" w:pos="1467"/>
        </w:tabs>
        <w:spacing w:before="52" w:line="254" w:lineRule="auto"/>
        <w:ind w:left="1328" w:right="1903" w:firstLine="0"/>
        <w:jc w:val="left"/>
        <w:rPr>
          <w:sz w:val="16"/>
        </w:rPr>
      </w:pPr>
      <w:r>
        <w:rPr>
          <w:color w:val="231F20"/>
          <w:w w:val="105"/>
          <w:sz w:val="16"/>
        </w:rPr>
        <w:t xml:space="preserve">Wilfried Böse and Brigitte </w:t>
      </w:r>
      <w:r>
        <w:rPr>
          <w:color w:val="231F20"/>
          <w:spacing w:val="1"/>
          <w:w w:val="105"/>
          <w:sz w:val="16"/>
        </w:rPr>
        <w:t xml:space="preserve">Kuhlmann, </w:t>
      </w:r>
      <w:r>
        <w:rPr>
          <w:color w:val="231F20"/>
          <w:w w:val="105"/>
          <w:sz w:val="16"/>
        </w:rPr>
        <w:t xml:space="preserve">both founding members from the </w:t>
      </w:r>
      <w:r>
        <w:rPr>
          <w:color w:val="231F20"/>
          <w:spacing w:val="1"/>
          <w:w w:val="105"/>
          <w:sz w:val="16"/>
        </w:rPr>
        <w:t>Frankfurt</w:t>
      </w:r>
      <w:r>
        <w:rPr>
          <w:color w:val="231F20"/>
          <w:spacing w:val="7"/>
          <w:w w:val="105"/>
          <w:sz w:val="16"/>
        </w:rPr>
        <w:t xml:space="preserve"> </w:t>
      </w:r>
      <w:r>
        <w:rPr>
          <w:color w:val="231F20"/>
          <w:w w:val="105"/>
          <w:sz w:val="16"/>
        </w:rPr>
        <w:t>scene.</w:t>
      </w:r>
    </w:p>
    <w:bookmarkEnd w:id="202"/>
    <w:p w14:paraId="47F628D1" w14:textId="77777777" w:rsidR="002653E8" w:rsidRDefault="002653E8">
      <w:pPr>
        <w:spacing w:line="254" w:lineRule="auto"/>
        <w:rPr>
          <w:sz w:val="16"/>
        </w:rPr>
        <w:sectPr w:rsidR="002653E8">
          <w:pgSz w:w="8640" w:h="12960"/>
          <w:pgMar w:top="1060" w:right="0" w:bottom="1040" w:left="0" w:header="0" w:footer="850" w:gutter="0"/>
          <w:cols w:space="720"/>
        </w:sectPr>
      </w:pPr>
    </w:p>
    <w:p w14:paraId="4988B45D" w14:textId="77777777" w:rsidR="002653E8" w:rsidRDefault="003115E3">
      <w:pPr>
        <w:pStyle w:val="a3"/>
        <w:spacing w:before="86" w:line="264" w:lineRule="auto"/>
        <w:ind w:left="1147" w:right="1326"/>
        <w:jc w:val="both"/>
      </w:pPr>
      <w:r>
        <w:rPr>
          <w:color w:val="231F20"/>
        </w:rPr>
        <w:lastRenderedPageBreak/>
        <w:t xml:space="preserve">guerillas demanded the release of </w:t>
      </w:r>
      <w:r>
        <w:rPr>
          <w:color w:val="231F20"/>
          <w:spacing w:val="-5"/>
        </w:rPr>
        <w:t xml:space="preserve">53 </w:t>
      </w:r>
      <w:r>
        <w:rPr>
          <w:color w:val="231F20"/>
        </w:rPr>
        <w:t xml:space="preserve">political prisoners held by Israel, </w:t>
      </w:r>
      <w:r>
        <w:rPr>
          <w:color w:val="231F20"/>
          <w:spacing w:val="-3"/>
        </w:rPr>
        <w:t xml:space="preserve">West </w:t>
      </w:r>
      <w:r>
        <w:rPr>
          <w:color w:val="231F20"/>
        </w:rPr>
        <w:t xml:space="preserve">Germany, France, Switzerland, and Kenya. The </w:t>
      </w:r>
      <w:r>
        <w:rPr>
          <w:color w:val="231F20"/>
          <w:spacing w:val="-3"/>
        </w:rPr>
        <w:t xml:space="preserve">West </w:t>
      </w:r>
      <w:r>
        <w:rPr>
          <w:color w:val="231F20"/>
        </w:rPr>
        <w:t xml:space="preserve">Germans demanded were </w:t>
      </w:r>
      <w:r w:rsidR="00C507A5">
        <w:rPr>
          <w:color w:val="231F20"/>
          <w:spacing w:val="5"/>
        </w:rPr>
        <w:t>red army faction</w:t>
      </w:r>
      <w:r>
        <w:rPr>
          <w:color w:val="231F20"/>
          <w:spacing w:val="5"/>
        </w:rPr>
        <w:t xml:space="preserve"> </w:t>
      </w:r>
      <w:r>
        <w:rPr>
          <w:color w:val="231F20"/>
        </w:rPr>
        <w:t>members Werner Hoppe, Jan-Carl Raspe, and Ingrid Schubert, and 2JM members Ralf Reinders, Fritz  Teufel,  and  Inge</w:t>
      </w:r>
      <w:r>
        <w:rPr>
          <w:color w:val="231F20"/>
          <w:spacing w:val="10"/>
        </w:rPr>
        <w:t xml:space="preserve"> </w:t>
      </w:r>
      <w:r>
        <w:rPr>
          <w:color w:val="231F20"/>
        </w:rPr>
        <w:t>Viett.</w:t>
      </w:r>
    </w:p>
    <w:p w14:paraId="1C7C36D8" w14:textId="77777777" w:rsidR="002653E8" w:rsidRDefault="003115E3">
      <w:pPr>
        <w:pStyle w:val="a3"/>
        <w:spacing w:line="264" w:lineRule="auto"/>
        <w:ind w:left="1148" w:right="1325" w:firstLine="210"/>
        <w:jc w:val="both"/>
      </w:pPr>
      <w:r>
        <w:rPr>
          <w:color w:val="231F20"/>
        </w:rPr>
        <w:t xml:space="preserve">The hostage taking was a drawn out affair, in part because so many governments were involved. After a week of holding all 260 passengers and </w:t>
      </w:r>
      <w:r>
        <w:rPr>
          <w:color w:val="231F20"/>
          <w:spacing w:val="-3"/>
        </w:rPr>
        <w:t xml:space="preserve">crew, </w:t>
      </w:r>
      <w:r>
        <w:rPr>
          <w:color w:val="231F20"/>
        </w:rPr>
        <w:t>the guerillas arranged to release the non-Jewish passengers: the Jews were to be held back so that they would be the ones killed if  the commando’s demands were not</w:t>
      </w:r>
      <w:r>
        <w:rPr>
          <w:color w:val="231F20"/>
          <w:spacing w:val="8"/>
        </w:rPr>
        <w:t xml:space="preserve"> </w:t>
      </w:r>
      <w:r>
        <w:rPr>
          <w:color w:val="231F20"/>
        </w:rPr>
        <w:t>met.</w:t>
      </w:r>
    </w:p>
    <w:p w14:paraId="6450B4E3" w14:textId="77777777" w:rsidR="002653E8" w:rsidRDefault="003115E3">
      <w:pPr>
        <w:pStyle w:val="a3"/>
        <w:spacing w:line="264" w:lineRule="auto"/>
        <w:ind w:left="1148" w:right="1325" w:firstLine="210"/>
        <w:jc w:val="both"/>
      </w:pPr>
      <w:r>
        <w:rPr>
          <w:color w:val="231F20"/>
        </w:rPr>
        <w:t>On July 4, an Israeli commando raided the airport,  killing  forty seven Ugandan soldiers who were guarding the area, and all of the guerillas. Over one hundred Jewish hostages were saved and quickly flown out of the</w:t>
      </w:r>
      <w:r>
        <w:rPr>
          <w:color w:val="231F20"/>
          <w:spacing w:val="32"/>
        </w:rPr>
        <w:t xml:space="preserve"> </w:t>
      </w:r>
      <w:r>
        <w:rPr>
          <w:color w:val="231F20"/>
        </w:rPr>
        <w:t>country.</w:t>
      </w:r>
    </w:p>
    <w:p w14:paraId="0738600E" w14:textId="77777777" w:rsidR="002653E8" w:rsidRDefault="003115E3">
      <w:pPr>
        <w:pStyle w:val="a3"/>
        <w:spacing w:line="264" w:lineRule="auto"/>
        <w:ind w:left="1148" w:right="1325" w:firstLine="210"/>
        <w:jc w:val="both"/>
        <w:rPr>
          <w:sz w:val="11"/>
        </w:rPr>
      </w:pPr>
      <w:r>
        <w:rPr>
          <w:color w:val="231F20"/>
        </w:rPr>
        <w:t>Entebbe was a fiasco, doing so much harm to the Palestinian cause that British diplomats at the time even considered the possibility that it might be a Mossad false flag attack—but it wasn’t.</w:t>
      </w:r>
      <w:r>
        <w:rPr>
          <w:color w:val="231F20"/>
          <w:position w:val="7"/>
          <w:sz w:val="11"/>
        </w:rPr>
        <w:t>1</w:t>
      </w:r>
    </w:p>
    <w:p w14:paraId="18C9A8AB" w14:textId="77777777" w:rsidR="002653E8" w:rsidRDefault="003115E3">
      <w:pPr>
        <w:pStyle w:val="a3"/>
        <w:spacing w:line="264" w:lineRule="auto"/>
        <w:ind w:left="1147" w:right="1325" w:firstLine="210"/>
        <w:jc w:val="both"/>
      </w:pPr>
      <w:r>
        <w:rPr>
          <w:color w:val="231F20"/>
        </w:rPr>
        <w:t>Some observers eventually concluded that the singling out of Jews for execution represented a political defeat far greater than any military failure. Certainly, Entebbe provides a stark example of the inability some</w:t>
      </w:r>
      <w:r>
        <w:rPr>
          <w:color w:val="231F20"/>
          <w:spacing w:val="10"/>
        </w:rPr>
        <w:t xml:space="preserve"> </w:t>
      </w:r>
      <w:r>
        <w:rPr>
          <w:color w:val="231F20"/>
        </w:rPr>
        <w:t>leftists</w:t>
      </w:r>
      <w:r>
        <w:rPr>
          <w:color w:val="231F20"/>
          <w:spacing w:val="10"/>
        </w:rPr>
        <w:t xml:space="preserve"> </w:t>
      </w:r>
      <w:r>
        <w:rPr>
          <w:color w:val="231F20"/>
        </w:rPr>
        <w:t>had</w:t>
      </w:r>
      <w:r>
        <w:rPr>
          <w:color w:val="231F20"/>
          <w:spacing w:val="10"/>
        </w:rPr>
        <w:t xml:space="preserve"> </w:t>
      </w:r>
      <w:r>
        <w:rPr>
          <w:color w:val="231F20"/>
        </w:rPr>
        <w:t>in</w:t>
      </w:r>
      <w:r>
        <w:rPr>
          <w:color w:val="231F20"/>
          <w:spacing w:val="10"/>
        </w:rPr>
        <w:t xml:space="preserve"> </w:t>
      </w:r>
      <w:r>
        <w:rPr>
          <w:color w:val="231F20"/>
        </w:rPr>
        <w:t>recognizing</w:t>
      </w:r>
      <w:r>
        <w:rPr>
          <w:color w:val="231F20"/>
          <w:spacing w:val="10"/>
        </w:rPr>
        <w:t xml:space="preserve"> </w:t>
      </w:r>
      <w:r>
        <w:rPr>
          <w:color w:val="231F20"/>
        </w:rPr>
        <w:t>or</w:t>
      </w:r>
      <w:r>
        <w:rPr>
          <w:color w:val="231F20"/>
          <w:spacing w:val="10"/>
        </w:rPr>
        <w:t xml:space="preserve"> </w:t>
      </w:r>
      <w:r>
        <w:rPr>
          <w:color w:val="231F20"/>
        </w:rPr>
        <w:t>rejecting</w:t>
      </w:r>
      <w:r>
        <w:rPr>
          <w:color w:val="231F20"/>
          <w:spacing w:val="10"/>
        </w:rPr>
        <w:t xml:space="preserve"> </w:t>
      </w:r>
      <w:r>
        <w:rPr>
          <w:color w:val="231F20"/>
        </w:rPr>
        <w:t>antisemitism.</w:t>
      </w:r>
    </w:p>
    <w:p w14:paraId="0B5868B6" w14:textId="77777777" w:rsidR="002653E8" w:rsidRDefault="003115E3">
      <w:pPr>
        <w:pStyle w:val="a3"/>
        <w:spacing w:line="264" w:lineRule="auto"/>
        <w:ind w:left="1147" w:right="1326" w:firstLine="210"/>
        <w:jc w:val="both"/>
        <w:rPr>
          <w:sz w:val="11"/>
        </w:rPr>
      </w:pPr>
      <w:r>
        <w:rPr>
          <w:color w:val="231F20"/>
        </w:rPr>
        <w:t xml:space="preserve">At the time, however, it is unclear how this racist selection was actually viewed. Many German gentiles failed to understand why the separation of Jews was antisemitic, and </w:t>
      </w:r>
      <w:r>
        <w:rPr>
          <w:i/>
          <w:color w:val="231F20"/>
        </w:rPr>
        <w:t xml:space="preserve">Spiegel </w:t>
      </w:r>
      <w:r>
        <w:rPr>
          <w:color w:val="231F20"/>
        </w:rPr>
        <w:t>went so far as to describe it as a sophisticated tactic.</w:t>
      </w:r>
      <w:r>
        <w:rPr>
          <w:color w:val="231F20"/>
          <w:position w:val="7"/>
          <w:sz w:val="11"/>
        </w:rPr>
        <w:t xml:space="preserve">2 </w:t>
      </w:r>
      <w:r>
        <w:rPr>
          <w:color w:val="231F20"/>
        </w:rPr>
        <w:t xml:space="preserve">Detlev Claussen, a member of the </w:t>
      </w:r>
      <w:r>
        <w:rPr>
          <w:i/>
          <w:color w:val="231F20"/>
        </w:rPr>
        <w:t>Sozialistisches Büro</w:t>
      </w:r>
      <w:r>
        <w:rPr>
          <w:color w:val="231F20"/>
        </w:rPr>
        <w:t>, was one of the few to tackle the question head on, arguing that   the</w:t>
      </w:r>
      <w:r>
        <w:rPr>
          <w:color w:val="231F20"/>
          <w:spacing w:val="12"/>
        </w:rPr>
        <w:t xml:space="preserve"> </w:t>
      </w:r>
      <w:r>
        <w:rPr>
          <w:color w:val="231F20"/>
        </w:rPr>
        <w:t>Entebbe</w:t>
      </w:r>
      <w:r>
        <w:rPr>
          <w:color w:val="231F20"/>
          <w:spacing w:val="12"/>
        </w:rPr>
        <w:t xml:space="preserve"> </w:t>
      </w:r>
      <w:r>
        <w:rPr>
          <w:color w:val="231F20"/>
        </w:rPr>
        <w:t>represented</w:t>
      </w:r>
      <w:r>
        <w:rPr>
          <w:color w:val="231F20"/>
          <w:spacing w:val="12"/>
        </w:rPr>
        <w:t xml:space="preserve"> </w:t>
      </w:r>
      <w:r>
        <w:rPr>
          <w:color w:val="231F20"/>
        </w:rPr>
        <w:t>the</w:t>
      </w:r>
      <w:r>
        <w:rPr>
          <w:color w:val="231F20"/>
          <w:spacing w:val="12"/>
        </w:rPr>
        <w:t xml:space="preserve"> </w:t>
      </w:r>
      <w:r>
        <w:rPr>
          <w:color w:val="231F20"/>
        </w:rPr>
        <w:t>“continuity</w:t>
      </w:r>
      <w:r>
        <w:rPr>
          <w:color w:val="231F20"/>
          <w:spacing w:val="12"/>
        </w:rPr>
        <w:t xml:space="preserve"> </w:t>
      </w:r>
      <w:r>
        <w:rPr>
          <w:color w:val="231F20"/>
        </w:rPr>
        <w:t>of</w:t>
      </w:r>
      <w:r>
        <w:rPr>
          <w:color w:val="231F20"/>
          <w:spacing w:val="12"/>
        </w:rPr>
        <w:t xml:space="preserve"> </w:t>
      </w:r>
      <w:r>
        <w:rPr>
          <w:color w:val="231F20"/>
        </w:rPr>
        <w:t>German</w:t>
      </w:r>
      <w:r>
        <w:rPr>
          <w:color w:val="231F20"/>
          <w:spacing w:val="12"/>
        </w:rPr>
        <w:t xml:space="preserve"> </w:t>
      </w:r>
      <w:r>
        <w:rPr>
          <w:color w:val="231F20"/>
        </w:rPr>
        <w:t>antisemitism.”</w:t>
      </w:r>
      <w:r>
        <w:rPr>
          <w:color w:val="231F20"/>
          <w:position w:val="7"/>
          <w:sz w:val="11"/>
        </w:rPr>
        <w:t>3</w:t>
      </w:r>
    </w:p>
    <w:p w14:paraId="59B5D79F" w14:textId="77777777" w:rsidR="002653E8" w:rsidRDefault="003115E3">
      <w:pPr>
        <w:pStyle w:val="a3"/>
        <w:spacing w:line="264" w:lineRule="auto"/>
        <w:ind w:left="1147" w:right="1325" w:firstLine="210"/>
        <w:jc w:val="both"/>
      </w:pPr>
      <w:r>
        <w:rPr>
          <w:color w:val="231F20"/>
        </w:rPr>
        <w:t xml:space="preserve">Within the radical scene, the issue was hardly debated. With very   few exceptions, the revolutionary left would only repudiate the operation years later, looking back on it with some shame. Finally, in a </w:t>
      </w:r>
      <w:r>
        <w:rPr>
          <w:color w:val="231F20"/>
          <w:spacing w:val="-4"/>
        </w:rPr>
        <w:t xml:space="preserve">1992 </w:t>
      </w:r>
      <w:r>
        <w:rPr>
          <w:color w:val="231F20"/>
        </w:rPr>
        <w:t>self-criticism</w:t>
      </w:r>
      <w:r>
        <w:rPr>
          <w:color w:val="231F20"/>
          <w:spacing w:val="27"/>
        </w:rPr>
        <w:t xml:space="preserve"> </w:t>
      </w:r>
      <w:r>
        <w:rPr>
          <w:color w:val="231F20"/>
        </w:rPr>
        <w:t>that</w:t>
      </w:r>
      <w:r>
        <w:rPr>
          <w:color w:val="231F20"/>
          <w:spacing w:val="27"/>
        </w:rPr>
        <w:t xml:space="preserve"> </w:t>
      </w:r>
      <w:r>
        <w:rPr>
          <w:color w:val="231F20"/>
        </w:rPr>
        <w:t>very</w:t>
      </w:r>
      <w:r>
        <w:rPr>
          <w:color w:val="231F20"/>
          <w:spacing w:val="27"/>
        </w:rPr>
        <w:t xml:space="preserve"> </w:t>
      </w:r>
      <w:r>
        <w:rPr>
          <w:color w:val="231F20"/>
        </w:rPr>
        <w:t>much</w:t>
      </w:r>
      <w:r>
        <w:rPr>
          <w:color w:val="231F20"/>
          <w:spacing w:val="27"/>
        </w:rPr>
        <w:t xml:space="preserve"> </w:t>
      </w:r>
      <w:r>
        <w:rPr>
          <w:color w:val="231F20"/>
        </w:rPr>
        <w:t>marked</w:t>
      </w:r>
      <w:r>
        <w:rPr>
          <w:color w:val="231F20"/>
          <w:spacing w:val="27"/>
        </w:rPr>
        <w:t xml:space="preserve"> </w:t>
      </w:r>
      <w:r>
        <w:rPr>
          <w:color w:val="231F20"/>
        </w:rPr>
        <w:t>the</w:t>
      </w:r>
      <w:r>
        <w:rPr>
          <w:color w:val="231F20"/>
          <w:spacing w:val="27"/>
        </w:rPr>
        <w:t xml:space="preserve"> </w:t>
      </w:r>
      <w:r>
        <w:rPr>
          <w:color w:val="231F20"/>
        </w:rPr>
        <w:t>end</w:t>
      </w:r>
      <w:r>
        <w:rPr>
          <w:color w:val="231F20"/>
          <w:spacing w:val="27"/>
        </w:rPr>
        <w:t xml:space="preserve"> </w:t>
      </w:r>
      <w:r>
        <w:rPr>
          <w:color w:val="231F20"/>
        </w:rPr>
        <w:t>of</w:t>
      </w:r>
      <w:r>
        <w:rPr>
          <w:color w:val="231F20"/>
          <w:spacing w:val="27"/>
        </w:rPr>
        <w:t xml:space="preserve"> </w:t>
      </w:r>
      <w:r>
        <w:rPr>
          <w:color w:val="231F20"/>
        </w:rPr>
        <w:t>the</w:t>
      </w:r>
      <w:r>
        <w:rPr>
          <w:color w:val="231F20"/>
          <w:spacing w:val="27"/>
        </w:rPr>
        <w:t xml:space="preserve"> </w:t>
      </w:r>
      <w:r>
        <w:rPr>
          <w:color w:val="231F20"/>
        </w:rPr>
        <w:t>organization,</w:t>
      </w:r>
      <w:r>
        <w:rPr>
          <w:color w:val="231F20"/>
          <w:spacing w:val="27"/>
        </w:rPr>
        <w:t xml:space="preserve"> </w:t>
      </w:r>
      <w:r>
        <w:rPr>
          <w:color w:val="231F20"/>
        </w:rPr>
        <w:t>the</w:t>
      </w:r>
    </w:p>
    <w:p w14:paraId="301DCFDF" w14:textId="77777777" w:rsidR="002653E8" w:rsidRDefault="00000000">
      <w:pPr>
        <w:pStyle w:val="a3"/>
        <w:spacing w:before="4"/>
        <w:rPr>
          <w:sz w:val="23"/>
        </w:rPr>
      </w:pPr>
      <w:r>
        <w:rPr>
          <w:noProof w:val="0"/>
        </w:rPr>
        <w:pict w14:anchorId="02E7C8A2">
          <v:line id="_x0000_s2236" style="position:absolute;z-index:9304;mso-wrap-distance-left:0;mso-wrap-distance-right:0;mso-position-horizontal-relative:page" from="57.4pt,15.9pt" to="129.4pt,15.9pt" strokecolor="#231f20" strokeweight=".5pt">
            <w10:wrap type="topAndBottom" anchorx="page"/>
          </v:line>
        </w:pict>
      </w:r>
    </w:p>
    <w:p w14:paraId="02BC6114" w14:textId="77777777" w:rsidR="002653E8" w:rsidRDefault="003115E3">
      <w:pPr>
        <w:pStyle w:val="a4"/>
        <w:numPr>
          <w:ilvl w:val="0"/>
          <w:numId w:val="72"/>
        </w:numPr>
        <w:tabs>
          <w:tab w:val="left" w:pos="1287"/>
        </w:tabs>
        <w:spacing w:before="53" w:line="254" w:lineRule="auto"/>
        <w:ind w:right="1745" w:firstLine="0"/>
        <w:jc w:val="left"/>
        <w:rPr>
          <w:sz w:val="16"/>
        </w:rPr>
      </w:pPr>
      <w:bookmarkStart w:id="203" w:name="_Hlk130691676"/>
      <w:r>
        <w:rPr>
          <w:color w:val="231F20"/>
          <w:w w:val="110"/>
          <w:sz w:val="16"/>
        </w:rPr>
        <w:t>Fran</w:t>
      </w:r>
      <w:r>
        <w:rPr>
          <w:color w:val="231F20"/>
          <w:spacing w:val="-10"/>
          <w:w w:val="110"/>
          <w:sz w:val="16"/>
        </w:rPr>
        <w:t xml:space="preserve"> </w:t>
      </w:r>
      <w:r>
        <w:rPr>
          <w:color w:val="231F20"/>
          <w:w w:val="110"/>
          <w:sz w:val="16"/>
        </w:rPr>
        <w:t>yeoman,</w:t>
      </w:r>
      <w:r>
        <w:rPr>
          <w:color w:val="231F20"/>
          <w:spacing w:val="-10"/>
          <w:w w:val="110"/>
          <w:sz w:val="16"/>
        </w:rPr>
        <w:t xml:space="preserve"> </w:t>
      </w:r>
      <w:r>
        <w:rPr>
          <w:color w:val="231F20"/>
          <w:w w:val="110"/>
          <w:sz w:val="16"/>
        </w:rPr>
        <w:t>“Diplomats</w:t>
      </w:r>
      <w:r>
        <w:rPr>
          <w:color w:val="231F20"/>
          <w:spacing w:val="-10"/>
          <w:w w:val="110"/>
          <w:sz w:val="16"/>
        </w:rPr>
        <w:t xml:space="preserve"> </w:t>
      </w:r>
      <w:r>
        <w:rPr>
          <w:color w:val="231F20"/>
          <w:w w:val="110"/>
          <w:sz w:val="16"/>
        </w:rPr>
        <w:t>suspected</w:t>
      </w:r>
      <w:r>
        <w:rPr>
          <w:color w:val="231F20"/>
          <w:spacing w:val="-10"/>
          <w:w w:val="110"/>
          <w:sz w:val="16"/>
        </w:rPr>
        <w:t xml:space="preserve"> </w:t>
      </w:r>
      <w:r>
        <w:rPr>
          <w:color w:val="231F20"/>
          <w:w w:val="110"/>
          <w:sz w:val="16"/>
        </w:rPr>
        <w:t>Entebbe</w:t>
      </w:r>
      <w:r>
        <w:rPr>
          <w:color w:val="231F20"/>
          <w:spacing w:val="-10"/>
          <w:w w:val="110"/>
          <w:sz w:val="16"/>
        </w:rPr>
        <w:t xml:space="preserve"> </w:t>
      </w:r>
      <w:r>
        <w:rPr>
          <w:color w:val="231F20"/>
          <w:w w:val="110"/>
          <w:sz w:val="16"/>
        </w:rPr>
        <w:t>hijacking</w:t>
      </w:r>
      <w:r>
        <w:rPr>
          <w:color w:val="231F20"/>
          <w:spacing w:val="-10"/>
          <w:w w:val="110"/>
          <w:sz w:val="16"/>
        </w:rPr>
        <w:t xml:space="preserve"> </w:t>
      </w:r>
      <w:r>
        <w:rPr>
          <w:color w:val="231F20"/>
          <w:w w:val="110"/>
          <w:sz w:val="16"/>
        </w:rPr>
        <w:t>was</w:t>
      </w:r>
      <w:r>
        <w:rPr>
          <w:color w:val="231F20"/>
          <w:spacing w:val="-10"/>
          <w:w w:val="110"/>
          <w:sz w:val="16"/>
        </w:rPr>
        <w:t xml:space="preserve"> </w:t>
      </w:r>
      <w:r>
        <w:rPr>
          <w:color w:val="231F20"/>
          <w:w w:val="110"/>
          <w:sz w:val="16"/>
        </w:rPr>
        <w:t>an</w:t>
      </w:r>
      <w:r>
        <w:rPr>
          <w:color w:val="231F20"/>
          <w:spacing w:val="-10"/>
          <w:w w:val="110"/>
          <w:sz w:val="16"/>
        </w:rPr>
        <w:t xml:space="preserve"> </w:t>
      </w:r>
      <w:r>
        <w:rPr>
          <w:color w:val="231F20"/>
          <w:w w:val="110"/>
          <w:sz w:val="16"/>
        </w:rPr>
        <w:t>Israeli</w:t>
      </w:r>
      <w:r>
        <w:rPr>
          <w:color w:val="231F20"/>
          <w:spacing w:val="-10"/>
          <w:w w:val="110"/>
          <w:sz w:val="16"/>
        </w:rPr>
        <w:t xml:space="preserve"> </w:t>
      </w:r>
      <w:r>
        <w:rPr>
          <w:color w:val="231F20"/>
          <w:w w:val="110"/>
          <w:sz w:val="16"/>
        </w:rPr>
        <w:t>plot</w:t>
      </w:r>
      <w:r>
        <w:rPr>
          <w:color w:val="231F20"/>
          <w:spacing w:val="-10"/>
          <w:w w:val="110"/>
          <w:sz w:val="16"/>
        </w:rPr>
        <w:t xml:space="preserve"> </w:t>
      </w:r>
      <w:r>
        <w:rPr>
          <w:color w:val="231F20"/>
          <w:w w:val="110"/>
          <w:sz w:val="16"/>
        </w:rPr>
        <w:t xml:space="preserve">to discredit the PLO,” </w:t>
      </w:r>
      <w:r>
        <w:rPr>
          <w:i/>
          <w:color w:val="231F20"/>
          <w:w w:val="110"/>
          <w:sz w:val="16"/>
        </w:rPr>
        <w:t xml:space="preserve">Times </w:t>
      </w:r>
      <w:r>
        <w:rPr>
          <w:i/>
          <w:color w:val="231F20"/>
          <w:spacing w:val="1"/>
          <w:w w:val="110"/>
          <w:sz w:val="16"/>
        </w:rPr>
        <w:t xml:space="preserve">Online, </w:t>
      </w:r>
      <w:r>
        <w:rPr>
          <w:color w:val="231F20"/>
          <w:w w:val="110"/>
          <w:sz w:val="16"/>
        </w:rPr>
        <w:t>June 1,</w:t>
      </w:r>
      <w:r>
        <w:rPr>
          <w:color w:val="231F20"/>
          <w:spacing w:val="7"/>
          <w:w w:val="110"/>
          <w:sz w:val="16"/>
        </w:rPr>
        <w:t xml:space="preserve"> </w:t>
      </w:r>
      <w:r>
        <w:rPr>
          <w:color w:val="231F20"/>
          <w:w w:val="110"/>
          <w:sz w:val="16"/>
        </w:rPr>
        <w:t>2007.</w:t>
      </w:r>
    </w:p>
    <w:p w14:paraId="0FE4DF2F" w14:textId="77777777" w:rsidR="002653E8" w:rsidRPr="00846956" w:rsidRDefault="003115E3">
      <w:pPr>
        <w:pStyle w:val="a4"/>
        <w:numPr>
          <w:ilvl w:val="0"/>
          <w:numId w:val="72"/>
        </w:numPr>
        <w:tabs>
          <w:tab w:val="left" w:pos="1287"/>
        </w:tabs>
        <w:spacing w:line="254" w:lineRule="auto"/>
        <w:ind w:left="1148" w:right="1450" w:hanging="1"/>
        <w:jc w:val="left"/>
        <w:rPr>
          <w:sz w:val="16"/>
          <w:lang w:val="de-DE"/>
        </w:rPr>
      </w:pPr>
      <w:r w:rsidRPr="00846956">
        <w:rPr>
          <w:i/>
          <w:color w:val="231F20"/>
          <w:w w:val="105"/>
          <w:sz w:val="16"/>
          <w:lang w:val="de-DE"/>
        </w:rPr>
        <w:t xml:space="preserve">Spiegel, </w:t>
      </w:r>
      <w:r w:rsidRPr="00846956">
        <w:rPr>
          <w:color w:val="231F20"/>
          <w:spacing w:val="1"/>
          <w:w w:val="105"/>
          <w:sz w:val="16"/>
          <w:lang w:val="de-DE"/>
        </w:rPr>
        <w:t xml:space="preserve">“Härte </w:t>
      </w:r>
      <w:r w:rsidRPr="00846956">
        <w:rPr>
          <w:color w:val="231F20"/>
          <w:w w:val="105"/>
          <w:sz w:val="16"/>
          <w:lang w:val="de-DE"/>
        </w:rPr>
        <w:t xml:space="preserve">bedeutet Massaker,” July 5, 1976, quoted in </w:t>
      </w:r>
      <w:r w:rsidRPr="00846956">
        <w:rPr>
          <w:color w:val="231F20"/>
          <w:spacing w:val="1"/>
          <w:w w:val="105"/>
          <w:sz w:val="16"/>
          <w:lang w:val="de-DE"/>
        </w:rPr>
        <w:t xml:space="preserve">Annette </w:t>
      </w:r>
      <w:r w:rsidRPr="00846956">
        <w:rPr>
          <w:color w:val="231F20"/>
          <w:w w:val="105"/>
          <w:sz w:val="16"/>
          <w:lang w:val="de-DE"/>
        </w:rPr>
        <w:t xml:space="preserve">Vowinckel, “Der kurze Weg nach Entebbe oder die Verlängerung der deutschen Geschichte in </w:t>
      </w:r>
      <w:r w:rsidRPr="00846956">
        <w:rPr>
          <w:color w:val="231F20"/>
          <w:w w:val="103"/>
          <w:sz w:val="16"/>
          <w:lang w:val="de-DE"/>
        </w:rPr>
        <w:t>d</w:t>
      </w:r>
      <w:r w:rsidRPr="00846956">
        <w:rPr>
          <w:color w:val="231F20"/>
          <w:w w:val="94"/>
          <w:sz w:val="16"/>
          <w:lang w:val="de-DE"/>
        </w:rPr>
        <w:t>e</w:t>
      </w:r>
      <w:r w:rsidRPr="00846956">
        <w:rPr>
          <w:color w:val="231F20"/>
          <w:w w:val="103"/>
          <w:sz w:val="16"/>
          <w:lang w:val="de-DE"/>
        </w:rPr>
        <w:t>n</w:t>
      </w:r>
      <w:r w:rsidRPr="00846956">
        <w:rPr>
          <w:color w:val="231F20"/>
          <w:spacing w:val="10"/>
          <w:sz w:val="16"/>
          <w:lang w:val="de-DE"/>
        </w:rPr>
        <w:t xml:space="preserve"> </w:t>
      </w:r>
      <w:r w:rsidRPr="00846956">
        <w:rPr>
          <w:color w:val="231F20"/>
          <w:w w:val="126"/>
          <w:sz w:val="16"/>
          <w:lang w:val="de-DE"/>
        </w:rPr>
        <w:t>N</w:t>
      </w:r>
      <w:r w:rsidRPr="00846956">
        <w:rPr>
          <w:color w:val="231F20"/>
          <w:spacing w:val="3"/>
          <w:w w:val="106"/>
          <w:sz w:val="16"/>
          <w:lang w:val="de-DE"/>
        </w:rPr>
        <w:t>a</w:t>
      </w:r>
      <w:r w:rsidRPr="00846956">
        <w:rPr>
          <w:color w:val="231F20"/>
          <w:w w:val="104"/>
          <w:sz w:val="16"/>
          <w:lang w:val="de-DE"/>
        </w:rPr>
        <w:t>h</w:t>
      </w:r>
      <w:r w:rsidRPr="00846956">
        <w:rPr>
          <w:color w:val="231F20"/>
          <w:w w:val="94"/>
          <w:sz w:val="16"/>
          <w:lang w:val="de-DE"/>
        </w:rPr>
        <w:t>e</w:t>
      </w:r>
      <w:r w:rsidRPr="00846956">
        <w:rPr>
          <w:color w:val="231F20"/>
          <w:w w:val="103"/>
          <w:sz w:val="16"/>
          <w:lang w:val="de-DE"/>
        </w:rPr>
        <w:t>n</w:t>
      </w:r>
      <w:r w:rsidRPr="00846956">
        <w:rPr>
          <w:color w:val="231F20"/>
          <w:spacing w:val="10"/>
          <w:sz w:val="16"/>
          <w:lang w:val="de-DE"/>
        </w:rPr>
        <w:t xml:space="preserve"> </w:t>
      </w:r>
      <w:r w:rsidRPr="00846956">
        <w:rPr>
          <w:color w:val="231F20"/>
          <w:spacing w:val="2"/>
          <w:w w:val="132"/>
          <w:sz w:val="16"/>
          <w:lang w:val="de-DE"/>
        </w:rPr>
        <w:t>O</w:t>
      </w:r>
      <w:r w:rsidRPr="00846956">
        <w:rPr>
          <w:color w:val="231F20"/>
          <w:spacing w:val="1"/>
          <w:w w:val="93"/>
          <w:sz w:val="16"/>
          <w:lang w:val="de-DE"/>
        </w:rPr>
        <w:t>s</w:t>
      </w:r>
      <w:r w:rsidRPr="00846956">
        <w:rPr>
          <w:color w:val="231F20"/>
          <w:spacing w:val="1"/>
          <w:w w:val="102"/>
          <w:sz w:val="16"/>
          <w:lang w:val="de-DE"/>
        </w:rPr>
        <w:t>t</w:t>
      </w:r>
      <w:r w:rsidRPr="00846956">
        <w:rPr>
          <w:color w:val="231F20"/>
          <w:w w:val="94"/>
          <w:sz w:val="16"/>
          <w:lang w:val="de-DE"/>
        </w:rPr>
        <w:t>e</w:t>
      </w:r>
      <w:r w:rsidRPr="00846956">
        <w:rPr>
          <w:color w:val="231F20"/>
          <w:spacing w:val="3"/>
          <w:w w:val="103"/>
          <w:sz w:val="16"/>
          <w:lang w:val="de-DE"/>
        </w:rPr>
        <w:t>n</w:t>
      </w:r>
      <w:r w:rsidRPr="00846956">
        <w:rPr>
          <w:color w:val="231F20"/>
          <w:spacing w:val="-9"/>
          <w:w w:val="140"/>
          <w:sz w:val="16"/>
          <w:lang w:val="de-DE"/>
        </w:rPr>
        <w:t>,</w:t>
      </w:r>
      <w:r w:rsidRPr="00846956">
        <w:rPr>
          <w:color w:val="231F20"/>
          <w:w w:val="153"/>
          <w:sz w:val="16"/>
          <w:lang w:val="de-DE"/>
        </w:rPr>
        <w:t>”</w:t>
      </w:r>
      <w:r w:rsidRPr="00846956">
        <w:rPr>
          <w:color w:val="231F20"/>
          <w:spacing w:val="10"/>
          <w:sz w:val="16"/>
          <w:lang w:val="de-DE"/>
        </w:rPr>
        <w:t xml:space="preserve"> </w:t>
      </w:r>
      <w:hyperlink r:id="rId367">
        <w:r w:rsidRPr="00846956">
          <w:rPr>
            <w:color w:val="231F20"/>
            <w:w w:val="103"/>
            <w:sz w:val="16"/>
            <w:lang w:val="de-DE"/>
          </w:rPr>
          <w:t>h</w:t>
        </w:r>
        <w:r w:rsidRPr="00846956">
          <w:rPr>
            <w:color w:val="231F20"/>
            <w:spacing w:val="5"/>
            <w:w w:val="103"/>
            <w:sz w:val="16"/>
            <w:lang w:val="de-DE"/>
          </w:rPr>
          <w:t>t</w:t>
        </w:r>
        <w:r w:rsidRPr="00846956">
          <w:rPr>
            <w:color w:val="231F20"/>
            <w:spacing w:val="3"/>
            <w:w w:val="102"/>
            <w:sz w:val="16"/>
            <w:lang w:val="de-DE"/>
          </w:rPr>
          <w:t>t</w:t>
        </w:r>
        <w:r w:rsidRPr="00846956">
          <w:rPr>
            <w:color w:val="231F20"/>
            <w:w w:val="103"/>
            <w:sz w:val="16"/>
            <w:lang w:val="de-DE"/>
          </w:rPr>
          <w:t>p</w:t>
        </w:r>
        <w:r w:rsidRPr="00846956">
          <w:rPr>
            <w:color w:val="231F20"/>
            <w:spacing w:val="5"/>
            <w:w w:val="109"/>
            <w:sz w:val="16"/>
            <w:lang w:val="de-DE"/>
          </w:rPr>
          <w:t>:</w:t>
        </w:r>
        <w:r w:rsidRPr="00846956">
          <w:rPr>
            <w:color w:val="231F20"/>
            <w:spacing w:val="-1"/>
            <w:w w:val="58"/>
            <w:sz w:val="16"/>
            <w:lang w:val="de-DE"/>
          </w:rPr>
          <w:t>/</w:t>
        </w:r>
        <w:r w:rsidRPr="00846956">
          <w:rPr>
            <w:color w:val="231F20"/>
            <w:spacing w:val="2"/>
            <w:w w:val="58"/>
            <w:sz w:val="16"/>
            <w:lang w:val="de-DE"/>
          </w:rPr>
          <w:t>/</w:t>
        </w:r>
        <w:r w:rsidRPr="00846956">
          <w:rPr>
            <w:color w:val="231F20"/>
            <w:spacing w:val="6"/>
            <w:w w:val="104"/>
            <w:sz w:val="16"/>
            <w:lang w:val="de-DE"/>
          </w:rPr>
          <w:t>ww</w:t>
        </w:r>
        <w:r w:rsidRPr="00846956">
          <w:rPr>
            <w:color w:val="231F20"/>
            <w:spacing w:val="-9"/>
            <w:w w:val="104"/>
            <w:sz w:val="16"/>
            <w:lang w:val="de-DE"/>
          </w:rPr>
          <w:t>w</w:t>
        </w:r>
        <w:r w:rsidRPr="00846956">
          <w:rPr>
            <w:color w:val="231F20"/>
            <w:spacing w:val="1"/>
            <w:w w:val="140"/>
            <w:sz w:val="16"/>
            <w:lang w:val="de-DE"/>
          </w:rPr>
          <w:t>.</w:t>
        </w:r>
        <w:r w:rsidRPr="00846956">
          <w:rPr>
            <w:color w:val="231F20"/>
            <w:spacing w:val="2"/>
            <w:w w:val="101"/>
            <w:sz w:val="16"/>
            <w:lang w:val="de-DE"/>
          </w:rPr>
          <w:t>z</w:t>
        </w:r>
        <w:r w:rsidRPr="00846956">
          <w:rPr>
            <w:color w:val="231F20"/>
            <w:w w:val="94"/>
            <w:sz w:val="16"/>
            <w:lang w:val="de-DE"/>
          </w:rPr>
          <w:t>e</w:t>
        </w:r>
        <w:r w:rsidRPr="00846956">
          <w:rPr>
            <w:color w:val="231F20"/>
            <w:spacing w:val="-1"/>
            <w:w w:val="103"/>
            <w:sz w:val="16"/>
            <w:lang w:val="de-DE"/>
          </w:rPr>
          <w:t>i</w:t>
        </w:r>
        <w:r w:rsidRPr="00846956">
          <w:rPr>
            <w:color w:val="231F20"/>
            <w:spacing w:val="3"/>
            <w:w w:val="102"/>
            <w:sz w:val="16"/>
            <w:lang w:val="de-DE"/>
          </w:rPr>
          <w:t>t</w:t>
        </w:r>
        <w:r w:rsidRPr="00846956">
          <w:rPr>
            <w:color w:val="231F20"/>
            <w:spacing w:val="3"/>
            <w:w w:val="104"/>
            <w:sz w:val="16"/>
            <w:lang w:val="de-DE"/>
          </w:rPr>
          <w:t>h</w:t>
        </w:r>
        <w:r w:rsidRPr="00846956">
          <w:rPr>
            <w:color w:val="231F20"/>
            <w:spacing w:val="1"/>
            <w:w w:val="103"/>
            <w:sz w:val="16"/>
            <w:lang w:val="de-DE"/>
          </w:rPr>
          <w:t>i</w:t>
        </w:r>
        <w:r w:rsidRPr="00846956">
          <w:rPr>
            <w:color w:val="231F20"/>
            <w:spacing w:val="1"/>
            <w:w w:val="93"/>
            <w:sz w:val="16"/>
            <w:lang w:val="de-DE"/>
          </w:rPr>
          <w:t>s</w:t>
        </w:r>
        <w:r w:rsidRPr="00846956">
          <w:rPr>
            <w:color w:val="231F20"/>
            <w:w w:val="102"/>
            <w:sz w:val="16"/>
            <w:lang w:val="de-DE"/>
          </w:rPr>
          <w:t>t</w:t>
        </w:r>
        <w:r w:rsidRPr="00846956">
          <w:rPr>
            <w:color w:val="231F20"/>
            <w:w w:val="108"/>
            <w:sz w:val="16"/>
            <w:lang w:val="de-DE"/>
          </w:rPr>
          <w:t>o</w:t>
        </w:r>
        <w:r w:rsidRPr="00846956">
          <w:rPr>
            <w:color w:val="231F20"/>
            <w:spacing w:val="2"/>
            <w:w w:val="97"/>
            <w:sz w:val="16"/>
            <w:lang w:val="de-DE"/>
          </w:rPr>
          <w:t>r</w:t>
        </w:r>
        <w:r w:rsidRPr="00846956">
          <w:rPr>
            <w:color w:val="231F20"/>
            <w:spacing w:val="1"/>
            <w:w w:val="103"/>
            <w:sz w:val="16"/>
            <w:lang w:val="de-DE"/>
          </w:rPr>
          <w:t>i</w:t>
        </w:r>
        <w:r w:rsidRPr="00846956">
          <w:rPr>
            <w:color w:val="231F20"/>
            <w:spacing w:val="2"/>
            <w:w w:val="93"/>
            <w:sz w:val="16"/>
            <w:lang w:val="de-DE"/>
          </w:rPr>
          <w:t>s</w:t>
        </w:r>
        <w:r w:rsidRPr="00846956">
          <w:rPr>
            <w:color w:val="231F20"/>
            <w:w w:val="104"/>
            <w:sz w:val="16"/>
            <w:lang w:val="de-DE"/>
          </w:rPr>
          <w:t>ch</w:t>
        </w:r>
        <w:r w:rsidRPr="00846956">
          <w:rPr>
            <w:color w:val="231F20"/>
            <w:spacing w:val="3"/>
            <w:w w:val="94"/>
            <w:sz w:val="16"/>
            <w:lang w:val="de-DE"/>
          </w:rPr>
          <w:t>e</w:t>
        </w:r>
        <w:r w:rsidRPr="00846956">
          <w:rPr>
            <w:color w:val="231F20"/>
            <w:w w:val="104"/>
            <w:sz w:val="16"/>
            <w:lang w:val="de-DE"/>
          </w:rPr>
          <w:t>-</w:t>
        </w:r>
        <w:r w:rsidRPr="00846956">
          <w:rPr>
            <w:color w:val="231F20"/>
            <w:w w:val="114"/>
            <w:sz w:val="16"/>
            <w:lang w:val="de-DE"/>
          </w:rPr>
          <w:t>f</w:t>
        </w:r>
        <w:r w:rsidRPr="00846956">
          <w:rPr>
            <w:color w:val="231F20"/>
            <w:w w:val="108"/>
            <w:sz w:val="16"/>
            <w:lang w:val="de-DE"/>
          </w:rPr>
          <w:t>o</w:t>
        </w:r>
        <w:r w:rsidRPr="00846956">
          <w:rPr>
            <w:color w:val="231F20"/>
            <w:spacing w:val="1"/>
            <w:w w:val="97"/>
            <w:sz w:val="16"/>
            <w:lang w:val="de-DE"/>
          </w:rPr>
          <w:t>r</w:t>
        </w:r>
        <w:r w:rsidRPr="00846956">
          <w:rPr>
            <w:color w:val="231F20"/>
            <w:spacing w:val="2"/>
            <w:w w:val="93"/>
            <w:sz w:val="16"/>
            <w:lang w:val="de-DE"/>
          </w:rPr>
          <w:t>s</w:t>
        </w:r>
        <w:r w:rsidRPr="00846956">
          <w:rPr>
            <w:color w:val="231F20"/>
            <w:w w:val="104"/>
            <w:sz w:val="16"/>
            <w:lang w:val="de-DE"/>
          </w:rPr>
          <w:t>c</w:t>
        </w:r>
        <w:r w:rsidRPr="00846956">
          <w:rPr>
            <w:color w:val="231F20"/>
            <w:spacing w:val="-2"/>
            <w:w w:val="104"/>
            <w:sz w:val="16"/>
            <w:lang w:val="de-DE"/>
          </w:rPr>
          <w:t>h</w:t>
        </w:r>
        <w:r w:rsidRPr="00846956">
          <w:rPr>
            <w:color w:val="231F20"/>
            <w:spacing w:val="3"/>
            <w:w w:val="104"/>
            <w:sz w:val="16"/>
            <w:lang w:val="de-DE"/>
          </w:rPr>
          <w:t>u</w:t>
        </w:r>
        <w:r w:rsidRPr="00846956">
          <w:rPr>
            <w:color w:val="231F20"/>
            <w:w w:val="103"/>
            <w:sz w:val="16"/>
            <w:lang w:val="de-DE"/>
          </w:rPr>
          <w:t>n</w:t>
        </w:r>
        <w:r w:rsidRPr="00846956">
          <w:rPr>
            <w:color w:val="231F20"/>
            <w:w w:val="104"/>
            <w:sz w:val="16"/>
            <w:lang w:val="de-DE"/>
          </w:rPr>
          <w:t>g</w:t>
        </w:r>
        <w:r w:rsidRPr="00846956">
          <w:rPr>
            <w:color w:val="231F20"/>
            <w:w w:val="94"/>
            <w:sz w:val="16"/>
            <w:lang w:val="de-DE"/>
          </w:rPr>
          <w:t>e</w:t>
        </w:r>
        <w:r w:rsidRPr="00846956">
          <w:rPr>
            <w:color w:val="231F20"/>
            <w:spacing w:val="1"/>
            <w:w w:val="103"/>
            <w:sz w:val="16"/>
            <w:lang w:val="de-DE"/>
          </w:rPr>
          <w:t>n</w:t>
        </w:r>
        <w:r w:rsidRPr="00846956">
          <w:rPr>
            <w:color w:val="231F20"/>
            <w:w w:val="140"/>
            <w:sz w:val="16"/>
            <w:lang w:val="de-DE"/>
          </w:rPr>
          <w:t>.</w:t>
        </w:r>
        <w:r w:rsidRPr="00846956">
          <w:rPr>
            <w:color w:val="231F20"/>
            <w:w w:val="103"/>
            <w:sz w:val="16"/>
            <w:lang w:val="de-DE"/>
          </w:rPr>
          <w:t>d</w:t>
        </w:r>
        <w:r w:rsidRPr="00846956">
          <w:rPr>
            <w:color w:val="231F20"/>
            <w:spacing w:val="5"/>
            <w:w w:val="94"/>
            <w:sz w:val="16"/>
            <w:lang w:val="de-DE"/>
          </w:rPr>
          <w:t>e</w:t>
        </w:r>
        <w:r w:rsidRPr="00846956">
          <w:rPr>
            <w:color w:val="231F20"/>
            <w:spacing w:val="-2"/>
            <w:w w:val="58"/>
            <w:sz w:val="16"/>
            <w:lang w:val="de-DE"/>
          </w:rPr>
          <w:t>/</w:t>
        </w:r>
        <w:r w:rsidRPr="00846956">
          <w:rPr>
            <w:color w:val="231F20"/>
            <w:w w:val="93"/>
            <w:sz w:val="16"/>
            <w:lang w:val="de-DE"/>
          </w:rPr>
          <w:t>s</w:t>
        </w:r>
        <w:r w:rsidRPr="00846956">
          <w:rPr>
            <w:color w:val="231F20"/>
            <w:spacing w:val="-1"/>
            <w:w w:val="103"/>
            <w:sz w:val="16"/>
            <w:lang w:val="de-DE"/>
          </w:rPr>
          <w:t>i</w:t>
        </w:r>
        <w:r w:rsidRPr="00846956">
          <w:rPr>
            <w:color w:val="231F20"/>
            <w:w w:val="102"/>
            <w:sz w:val="16"/>
            <w:lang w:val="de-DE"/>
          </w:rPr>
          <w:t>t</w:t>
        </w:r>
        <w:r w:rsidRPr="00846956">
          <w:rPr>
            <w:color w:val="231F20"/>
            <w:spacing w:val="5"/>
            <w:w w:val="94"/>
            <w:sz w:val="16"/>
            <w:lang w:val="de-DE"/>
          </w:rPr>
          <w:t>e</w:t>
        </w:r>
        <w:r w:rsidRPr="00846956">
          <w:rPr>
            <w:color w:val="231F20"/>
            <w:spacing w:val="-6"/>
            <w:w w:val="58"/>
            <w:sz w:val="16"/>
            <w:lang w:val="de-DE"/>
          </w:rPr>
          <w:t>/</w:t>
        </w:r>
        <w:r w:rsidRPr="00846956">
          <w:rPr>
            <w:color w:val="231F20"/>
            <w:w w:val="104"/>
            <w:sz w:val="16"/>
            <w:lang w:val="de-DE"/>
          </w:rPr>
          <w:t>40</w:t>
        </w:r>
        <w:r w:rsidRPr="00846956">
          <w:rPr>
            <w:color w:val="231F20"/>
            <w:spacing w:val="3"/>
            <w:w w:val="104"/>
            <w:sz w:val="16"/>
            <w:lang w:val="de-DE"/>
          </w:rPr>
          <w:t>2</w:t>
        </w:r>
        <w:r w:rsidRPr="00846956">
          <w:rPr>
            <w:color w:val="231F20"/>
            <w:w w:val="104"/>
            <w:sz w:val="16"/>
            <w:lang w:val="de-DE"/>
          </w:rPr>
          <w:t>0</w:t>
        </w:r>
        <w:r w:rsidRPr="00846956">
          <w:rPr>
            <w:color w:val="231F20"/>
            <w:spacing w:val="-6"/>
            <w:w w:val="104"/>
            <w:sz w:val="16"/>
            <w:lang w:val="de-DE"/>
          </w:rPr>
          <w:t>8</w:t>
        </w:r>
        <w:r w:rsidRPr="00846956">
          <w:rPr>
            <w:color w:val="231F20"/>
            <w:spacing w:val="-2"/>
            <w:w w:val="104"/>
            <w:sz w:val="16"/>
            <w:lang w:val="de-DE"/>
          </w:rPr>
          <w:t>2</w:t>
        </w:r>
        <w:r w:rsidRPr="00846956">
          <w:rPr>
            <w:color w:val="231F20"/>
            <w:spacing w:val="-3"/>
            <w:w w:val="104"/>
            <w:sz w:val="16"/>
            <w:lang w:val="de-DE"/>
          </w:rPr>
          <w:t>1</w:t>
        </w:r>
        <w:r w:rsidRPr="00846956">
          <w:rPr>
            <w:color w:val="231F20"/>
            <w:spacing w:val="6"/>
            <w:w w:val="104"/>
            <w:sz w:val="16"/>
            <w:lang w:val="de-DE"/>
          </w:rPr>
          <w:t>2</w:t>
        </w:r>
        <w:r w:rsidRPr="00846956">
          <w:rPr>
            <w:color w:val="231F20"/>
            <w:w w:val="58"/>
            <w:sz w:val="16"/>
            <w:lang w:val="de-DE"/>
          </w:rPr>
          <w:t>/</w:t>
        </w:r>
      </w:hyperlink>
      <w:r w:rsidRPr="00846956">
        <w:rPr>
          <w:color w:val="231F20"/>
          <w:w w:val="58"/>
          <w:sz w:val="16"/>
          <w:lang w:val="de-DE"/>
        </w:rPr>
        <w:t xml:space="preserve"> </w:t>
      </w:r>
      <w:r w:rsidRPr="00846956">
        <w:rPr>
          <w:color w:val="231F20"/>
          <w:w w:val="105"/>
          <w:sz w:val="16"/>
          <w:lang w:val="de-DE"/>
        </w:rPr>
        <w:t>default.aspx#pgfId-1033195a.</w:t>
      </w:r>
    </w:p>
    <w:p w14:paraId="5A52DA47" w14:textId="77777777" w:rsidR="002653E8" w:rsidRDefault="003115E3">
      <w:pPr>
        <w:pStyle w:val="a4"/>
        <w:numPr>
          <w:ilvl w:val="0"/>
          <w:numId w:val="72"/>
        </w:numPr>
        <w:tabs>
          <w:tab w:val="left" w:pos="1287"/>
        </w:tabs>
        <w:spacing w:line="254" w:lineRule="auto"/>
        <w:ind w:left="1148" w:right="1912" w:firstLine="0"/>
        <w:jc w:val="left"/>
        <w:rPr>
          <w:sz w:val="16"/>
        </w:rPr>
      </w:pPr>
      <w:r>
        <w:rPr>
          <w:color w:val="231F20"/>
          <w:w w:val="110"/>
          <w:sz w:val="16"/>
        </w:rPr>
        <w:t xml:space="preserve">Jeffrey Herf, “The ‘Holocaust’ Reception in West Germany: </w:t>
      </w:r>
      <w:r>
        <w:rPr>
          <w:color w:val="231F20"/>
          <w:spacing w:val="1"/>
          <w:w w:val="110"/>
          <w:sz w:val="16"/>
        </w:rPr>
        <w:t xml:space="preserve">Right, </w:t>
      </w:r>
      <w:r>
        <w:rPr>
          <w:color w:val="231F20"/>
          <w:w w:val="110"/>
          <w:sz w:val="16"/>
        </w:rPr>
        <w:t xml:space="preserve">Center and Left,” </w:t>
      </w:r>
      <w:r>
        <w:rPr>
          <w:i/>
          <w:color w:val="231F20"/>
          <w:w w:val="110"/>
          <w:sz w:val="16"/>
        </w:rPr>
        <w:t xml:space="preserve">New </w:t>
      </w:r>
      <w:r>
        <w:rPr>
          <w:i/>
          <w:color w:val="231F20"/>
          <w:spacing w:val="2"/>
          <w:w w:val="110"/>
          <w:sz w:val="16"/>
        </w:rPr>
        <w:t xml:space="preserve">German </w:t>
      </w:r>
      <w:r>
        <w:rPr>
          <w:i/>
          <w:color w:val="231F20"/>
          <w:w w:val="110"/>
          <w:sz w:val="16"/>
        </w:rPr>
        <w:t xml:space="preserve">Critique </w:t>
      </w:r>
      <w:r>
        <w:rPr>
          <w:color w:val="231F20"/>
          <w:spacing w:val="-3"/>
          <w:w w:val="110"/>
          <w:sz w:val="16"/>
        </w:rPr>
        <w:t xml:space="preserve">19, </w:t>
      </w:r>
      <w:r>
        <w:rPr>
          <w:color w:val="231F20"/>
          <w:w w:val="110"/>
          <w:sz w:val="16"/>
        </w:rPr>
        <w:t xml:space="preserve">special issue, Germans and Jews (Winter, </w:t>
      </w:r>
      <w:r>
        <w:rPr>
          <w:color w:val="231F20"/>
          <w:spacing w:val="-3"/>
          <w:w w:val="110"/>
          <w:sz w:val="16"/>
        </w:rPr>
        <w:t>1980):</w:t>
      </w:r>
      <w:r>
        <w:rPr>
          <w:color w:val="231F20"/>
          <w:spacing w:val="11"/>
          <w:w w:val="110"/>
          <w:sz w:val="16"/>
        </w:rPr>
        <w:t xml:space="preserve"> </w:t>
      </w:r>
      <w:r>
        <w:rPr>
          <w:color w:val="231F20"/>
          <w:w w:val="110"/>
          <w:sz w:val="16"/>
        </w:rPr>
        <w:t>44.</w:t>
      </w:r>
    </w:p>
    <w:bookmarkEnd w:id="203"/>
    <w:p w14:paraId="378CBC39" w14:textId="77777777" w:rsidR="002653E8" w:rsidRDefault="002653E8">
      <w:pPr>
        <w:spacing w:line="254" w:lineRule="auto"/>
        <w:rPr>
          <w:sz w:val="16"/>
        </w:rPr>
        <w:sectPr w:rsidR="002653E8">
          <w:footerReference w:type="even" r:id="rId368"/>
          <w:footerReference w:type="default" r:id="rId369"/>
          <w:pgSz w:w="8640" w:h="12960"/>
          <w:pgMar w:top="1060" w:right="0" w:bottom="1040" w:left="0" w:header="0" w:footer="850" w:gutter="0"/>
          <w:cols w:space="720"/>
        </w:sectPr>
      </w:pPr>
    </w:p>
    <w:p w14:paraId="2D1D95CC" w14:textId="77777777" w:rsidR="002653E8" w:rsidRDefault="003115E3">
      <w:pPr>
        <w:pStyle w:val="a3"/>
        <w:spacing w:before="86" w:line="264" w:lineRule="auto"/>
        <w:ind w:left="1327" w:right="1145"/>
      </w:pPr>
      <w:r>
        <w:rPr>
          <w:color w:val="231F20"/>
        </w:rPr>
        <w:lastRenderedPageBreak/>
        <w:t>RZ explained how they had experienced and failed to react to the facts around the antisemitic selection:</w:t>
      </w:r>
    </w:p>
    <w:p w14:paraId="63088AB3" w14:textId="77777777" w:rsidR="002653E8" w:rsidRDefault="003115E3">
      <w:pPr>
        <w:spacing w:before="127" w:line="276" w:lineRule="auto"/>
        <w:ind w:left="1747" w:right="1559"/>
        <w:jc w:val="both"/>
        <w:rPr>
          <w:i/>
          <w:sz w:val="11"/>
        </w:rPr>
      </w:pPr>
      <w:r>
        <w:rPr>
          <w:i/>
          <w:color w:val="231F20"/>
          <w:sz w:val="19"/>
        </w:rPr>
        <w:t>It took years for us to absorb this setback. As a result of the impact of the loss of our friends, we were initially unable to assess the political dimensions of the catastrophe that Entebbe was for us. Instead of appreciating what  confronted  us, specifically  that  we as an organization had taken part in an operation in which Israeli citizens and Jewish passengers of other nationalities were singled out and taken hostage, we occupied ourselves above all with the military aspects of the action and its violent conclusion… Our understanding of solidarity prevented criticism of the comrades;  we rejected a discussion about the mistakes, as  if  solidarity  did not in principle include the truth that some comrades make mistakes.</w:t>
      </w:r>
      <w:r>
        <w:rPr>
          <w:i/>
          <w:color w:val="231F20"/>
          <w:position w:val="6"/>
          <w:sz w:val="11"/>
        </w:rPr>
        <w:t>4</w:t>
      </w:r>
    </w:p>
    <w:p w14:paraId="59BDDBD4" w14:textId="77777777" w:rsidR="002653E8" w:rsidRDefault="003115E3">
      <w:pPr>
        <w:pStyle w:val="a3"/>
        <w:spacing w:before="136" w:line="264" w:lineRule="auto"/>
        <w:ind w:left="1327" w:right="1325"/>
      </w:pPr>
      <w:r>
        <w:rPr>
          <w:color w:val="231F20"/>
        </w:rPr>
        <w:t xml:space="preserve">Horrible as it was, in </w:t>
      </w:r>
      <w:r>
        <w:rPr>
          <w:color w:val="231F20"/>
          <w:spacing w:val="-4"/>
        </w:rPr>
        <w:t xml:space="preserve">1976, </w:t>
      </w:r>
      <w:r>
        <w:rPr>
          <w:color w:val="231F20"/>
        </w:rPr>
        <w:t xml:space="preserve">Entebbe was just another disaster hitting  the already shell-shocked </w:t>
      </w:r>
      <w:r>
        <w:rPr>
          <w:i/>
          <w:color w:val="231F20"/>
        </w:rPr>
        <w:t>sponti</w:t>
      </w:r>
      <w:r>
        <w:rPr>
          <w:i/>
          <w:color w:val="231F20"/>
          <w:spacing w:val="42"/>
        </w:rPr>
        <w:t xml:space="preserve"> </w:t>
      </w:r>
      <w:r>
        <w:rPr>
          <w:color w:val="231F20"/>
        </w:rPr>
        <w:t>scene.</w:t>
      </w:r>
    </w:p>
    <w:p w14:paraId="63A735F2" w14:textId="77777777" w:rsidR="002653E8" w:rsidRDefault="003115E3">
      <w:pPr>
        <w:pStyle w:val="a3"/>
        <w:spacing w:line="264" w:lineRule="auto"/>
        <w:ind w:left="1327" w:right="1146" w:firstLine="210"/>
        <w:jc w:val="both"/>
        <w:rPr>
          <w:sz w:val="11"/>
        </w:rPr>
      </w:pPr>
      <w:r>
        <w:rPr>
          <w:color w:val="231F20"/>
        </w:rPr>
        <w:t xml:space="preserve">The “Mass Militancy vs. the Guerilla” debate had taken on a sense      of urgency with the May </w:t>
      </w:r>
      <w:r>
        <w:rPr>
          <w:color w:val="231F20"/>
          <w:spacing w:val="-3"/>
        </w:rPr>
        <w:t xml:space="preserve">10, </w:t>
      </w:r>
      <w:r>
        <w:rPr>
          <w:color w:val="231F20"/>
          <w:spacing w:val="-4"/>
        </w:rPr>
        <w:t xml:space="preserve">1976, </w:t>
      </w:r>
      <w:r>
        <w:rPr>
          <w:color w:val="231F20"/>
        </w:rPr>
        <w:t>Frankfurt protests, the day after Meinhof’s death in prison. During the Frankfurt riots, a cop was nearly killed when persons unknown lobbed several molotov cocktails at his car. One bounced in through the window exploding on top of him: the twenty-three-year-old</w:t>
      </w:r>
      <w:r>
        <w:rPr>
          <w:color w:val="231F20"/>
          <w:spacing w:val="-8"/>
        </w:rPr>
        <w:t xml:space="preserve"> </w:t>
      </w:r>
      <w:r>
        <w:rPr>
          <w:color w:val="231F20"/>
        </w:rPr>
        <w:t>police</w:t>
      </w:r>
      <w:r>
        <w:rPr>
          <w:color w:val="231F20"/>
          <w:spacing w:val="-8"/>
        </w:rPr>
        <w:t xml:space="preserve"> </w:t>
      </w:r>
      <w:r>
        <w:rPr>
          <w:color w:val="231F20"/>
        </w:rPr>
        <w:t>officer,</w:t>
      </w:r>
      <w:r>
        <w:rPr>
          <w:color w:val="231F20"/>
          <w:spacing w:val="-7"/>
        </w:rPr>
        <w:t xml:space="preserve"> </w:t>
      </w:r>
      <w:r>
        <w:rPr>
          <w:color w:val="231F20"/>
        </w:rPr>
        <w:t>Jürgen</w:t>
      </w:r>
      <w:r>
        <w:rPr>
          <w:color w:val="231F20"/>
          <w:spacing w:val="-8"/>
        </w:rPr>
        <w:t xml:space="preserve"> </w:t>
      </w:r>
      <w:r>
        <w:rPr>
          <w:color w:val="231F20"/>
          <w:spacing w:val="-3"/>
        </w:rPr>
        <w:t>Weber,</w:t>
      </w:r>
      <w:r>
        <w:rPr>
          <w:color w:val="231F20"/>
          <w:spacing w:val="-8"/>
        </w:rPr>
        <w:t xml:space="preserve"> </w:t>
      </w:r>
      <w:r>
        <w:rPr>
          <w:color w:val="231F20"/>
        </w:rPr>
        <w:t>sustained</w:t>
      </w:r>
      <w:r>
        <w:rPr>
          <w:color w:val="231F20"/>
          <w:spacing w:val="-8"/>
        </w:rPr>
        <w:t xml:space="preserve"> </w:t>
      </w:r>
      <w:r>
        <w:rPr>
          <w:color w:val="231F20"/>
        </w:rPr>
        <w:t>burns</w:t>
      </w:r>
      <w:r>
        <w:rPr>
          <w:color w:val="231F20"/>
          <w:spacing w:val="-8"/>
        </w:rPr>
        <w:t xml:space="preserve"> </w:t>
      </w:r>
      <w:r>
        <w:rPr>
          <w:color w:val="231F20"/>
        </w:rPr>
        <w:t>over 60</w:t>
      </w:r>
      <w:r>
        <w:rPr>
          <w:color w:val="231F20"/>
          <w:sz w:val="16"/>
        </w:rPr>
        <w:t>%</w:t>
      </w:r>
      <w:r>
        <w:rPr>
          <w:color w:val="231F20"/>
          <w:spacing w:val="11"/>
          <w:sz w:val="16"/>
        </w:rPr>
        <w:t xml:space="preserve"> </w:t>
      </w:r>
      <w:r>
        <w:rPr>
          <w:color w:val="231F20"/>
        </w:rPr>
        <w:t>of</w:t>
      </w:r>
      <w:r>
        <w:rPr>
          <w:color w:val="231F20"/>
          <w:spacing w:val="13"/>
        </w:rPr>
        <w:t xml:space="preserve"> </w:t>
      </w:r>
      <w:r>
        <w:rPr>
          <w:color w:val="231F20"/>
        </w:rPr>
        <w:t>his</w:t>
      </w:r>
      <w:r>
        <w:rPr>
          <w:color w:val="231F20"/>
          <w:spacing w:val="13"/>
        </w:rPr>
        <w:t xml:space="preserve"> </w:t>
      </w:r>
      <w:r>
        <w:rPr>
          <w:color w:val="231F20"/>
          <w:spacing w:val="-3"/>
        </w:rPr>
        <w:t>body.</w:t>
      </w:r>
      <w:r>
        <w:rPr>
          <w:color w:val="231F20"/>
          <w:spacing w:val="13"/>
        </w:rPr>
        <w:t xml:space="preserve"> </w:t>
      </w:r>
      <w:r>
        <w:rPr>
          <w:color w:val="231F20"/>
        </w:rPr>
        <w:t>His</w:t>
      </w:r>
      <w:r>
        <w:rPr>
          <w:color w:val="231F20"/>
          <w:spacing w:val="13"/>
        </w:rPr>
        <w:t xml:space="preserve"> </w:t>
      </w:r>
      <w:r>
        <w:rPr>
          <w:color w:val="231F20"/>
        </w:rPr>
        <w:t>survival</w:t>
      </w:r>
      <w:r>
        <w:rPr>
          <w:color w:val="231F20"/>
          <w:spacing w:val="13"/>
        </w:rPr>
        <w:t xml:space="preserve"> </w:t>
      </w:r>
      <w:r>
        <w:rPr>
          <w:color w:val="231F20"/>
        </w:rPr>
        <w:t>remained</w:t>
      </w:r>
      <w:r>
        <w:rPr>
          <w:color w:val="231F20"/>
          <w:spacing w:val="13"/>
        </w:rPr>
        <w:t xml:space="preserve"> </w:t>
      </w:r>
      <w:r>
        <w:rPr>
          <w:color w:val="231F20"/>
        </w:rPr>
        <w:t>uncertain</w:t>
      </w:r>
      <w:r>
        <w:rPr>
          <w:color w:val="231F20"/>
          <w:spacing w:val="13"/>
        </w:rPr>
        <w:t xml:space="preserve"> </w:t>
      </w:r>
      <w:r>
        <w:rPr>
          <w:color w:val="231F20"/>
        </w:rPr>
        <w:t>for</w:t>
      </w:r>
      <w:r>
        <w:rPr>
          <w:color w:val="231F20"/>
          <w:spacing w:val="13"/>
        </w:rPr>
        <w:t xml:space="preserve"> </w:t>
      </w:r>
      <w:r>
        <w:rPr>
          <w:color w:val="231F20"/>
        </w:rPr>
        <w:t>several</w:t>
      </w:r>
      <w:r>
        <w:rPr>
          <w:color w:val="231F20"/>
          <w:spacing w:val="13"/>
        </w:rPr>
        <w:t xml:space="preserve"> </w:t>
      </w:r>
      <w:r>
        <w:rPr>
          <w:color w:val="231F20"/>
        </w:rPr>
        <w:t>days.</w:t>
      </w:r>
      <w:r>
        <w:rPr>
          <w:color w:val="231F20"/>
          <w:position w:val="7"/>
          <w:sz w:val="11"/>
        </w:rPr>
        <w:t>5</w:t>
      </w:r>
    </w:p>
    <w:p w14:paraId="20CD6E44" w14:textId="77777777" w:rsidR="002653E8" w:rsidRDefault="003115E3">
      <w:pPr>
        <w:pStyle w:val="a3"/>
        <w:spacing w:line="264" w:lineRule="auto"/>
        <w:ind w:left="1327" w:right="1146" w:firstLine="210"/>
        <w:jc w:val="both"/>
        <w:rPr>
          <w:sz w:val="11"/>
        </w:rPr>
      </w:pPr>
      <w:r>
        <w:rPr>
          <w:color w:val="231F20"/>
        </w:rPr>
        <w:t xml:space="preserve">A $20,000 reward was posted for information leading to Weber’s assailants. Then, on May 14, police raided a dozen collective houses, arresting fourteen people on suspicion of attempted murder, first-degree assault, and membership in a criminal organization under </w:t>
      </w:r>
      <w:r>
        <w:rPr>
          <w:color w:val="231F20"/>
          <w:sz w:val="18"/>
        </w:rPr>
        <w:t>§</w:t>
      </w:r>
      <w:r>
        <w:rPr>
          <w:color w:val="231F20"/>
        </w:rPr>
        <w:t>129.</w:t>
      </w:r>
      <w:r>
        <w:rPr>
          <w:color w:val="231F20"/>
          <w:position w:val="7"/>
          <w:sz w:val="11"/>
        </w:rPr>
        <w:t>6</w:t>
      </w:r>
    </w:p>
    <w:p w14:paraId="040BE905" w14:textId="77777777" w:rsidR="002653E8" w:rsidRDefault="003115E3">
      <w:pPr>
        <w:pStyle w:val="a3"/>
        <w:spacing w:line="264" w:lineRule="auto"/>
        <w:ind w:left="1327" w:right="1146" w:firstLine="210"/>
        <w:jc w:val="both"/>
      </w:pPr>
      <w:r>
        <w:rPr>
          <w:color w:val="231F20"/>
        </w:rPr>
        <w:t xml:space="preserve">The fourteen were all released the next day, but the night in jail had momentous ramifications. Whether out of fear or introspection, one of the arrestees—Joschka Fischer, the alpha male of the </w:t>
      </w:r>
      <w:r>
        <w:rPr>
          <w:i/>
          <w:color w:val="231F20"/>
        </w:rPr>
        <w:t xml:space="preserve">sponti </w:t>
      </w:r>
      <w:r>
        <w:rPr>
          <w:color w:val="231F20"/>
        </w:rPr>
        <w:t>scene—decided that night that militant protest had gone too far. Upon his release, he broached the subject with his friend Cohn-Bendit, who agreed, and the two men set upon planning how to win over the rest of the scene.</w:t>
      </w:r>
    </w:p>
    <w:p w14:paraId="57F70EC6" w14:textId="77777777" w:rsidR="002653E8" w:rsidRDefault="00000000">
      <w:pPr>
        <w:pStyle w:val="a3"/>
        <w:spacing w:before="7"/>
        <w:rPr>
          <w:sz w:val="26"/>
        </w:rPr>
      </w:pPr>
      <w:r>
        <w:rPr>
          <w:noProof w:val="0"/>
        </w:rPr>
        <w:pict w14:anchorId="1108937F">
          <v:line id="_x0000_s2235" style="position:absolute;z-index:9328;mso-wrap-distance-left:0;mso-wrap-distance-right:0;mso-position-horizontal-relative:page" from="66.4pt,17.85pt" to="138.4pt,17.85pt" strokecolor="#231f20" strokeweight=".5pt">
            <w10:wrap type="topAndBottom" anchorx="page"/>
          </v:line>
        </w:pict>
      </w:r>
    </w:p>
    <w:p w14:paraId="3BFEB758" w14:textId="77777777" w:rsidR="002653E8" w:rsidRDefault="003115E3">
      <w:pPr>
        <w:pStyle w:val="a4"/>
        <w:numPr>
          <w:ilvl w:val="0"/>
          <w:numId w:val="72"/>
        </w:numPr>
        <w:tabs>
          <w:tab w:val="left" w:pos="1467"/>
        </w:tabs>
        <w:spacing w:before="53" w:line="307" w:lineRule="auto"/>
        <w:ind w:left="1328" w:right="1237" w:hanging="1"/>
        <w:jc w:val="left"/>
        <w:rPr>
          <w:sz w:val="16"/>
        </w:rPr>
      </w:pPr>
      <w:bookmarkStart w:id="204" w:name="_Hlk130692075"/>
      <w:r>
        <w:rPr>
          <w:color w:val="231F20"/>
          <w:spacing w:val="-1"/>
          <w:w w:val="153"/>
          <w:sz w:val="16"/>
        </w:rPr>
        <w:t>“</w:t>
      </w:r>
      <w:r>
        <w:rPr>
          <w:color w:val="231F20"/>
          <w:spacing w:val="5"/>
          <w:w w:val="132"/>
          <w:sz w:val="16"/>
        </w:rPr>
        <w:t>G</w:t>
      </w:r>
      <w:r>
        <w:rPr>
          <w:color w:val="231F20"/>
          <w:w w:val="94"/>
          <w:sz w:val="16"/>
        </w:rPr>
        <w:t>e</w:t>
      </w:r>
      <w:r>
        <w:rPr>
          <w:color w:val="231F20"/>
          <w:spacing w:val="-1"/>
          <w:w w:val="97"/>
          <w:sz w:val="16"/>
        </w:rPr>
        <w:t>r</w:t>
      </w:r>
      <w:r>
        <w:rPr>
          <w:color w:val="231F20"/>
          <w:w w:val="103"/>
          <w:sz w:val="16"/>
        </w:rPr>
        <w:t>d</w:t>
      </w:r>
      <w:r>
        <w:rPr>
          <w:color w:val="231F20"/>
          <w:spacing w:val="10"/>
          <w:sz w:val="16"/>
        </w:rPr>
        <w:t xml:space="preserve"> </w:t>
      </w:r>
      <w:r>
        <w:rPr>
          <w:color w:val="231F20"/>
          <w:spacing w:val="5"/>
          <w:w w:val="120"/>
          <w:sz w:val="16"/>
        </w:rPr>
        <w:t>A</w:t>
      </w:r>
      <w:r>
        <w:rPr>
          <w:color w:val="231F20"/>
          <w:spacing w:val="-1"/>
          <w:w w:val="106"/>
          <w:sz w:val="16"/>
        </w:rPr>
        <w:t>l</w:t>
      </w:r>
      <w:r>
        <w:rPr>
          <w:color w:val="231F20"/>
          <w:w w:val="105"/>
          <w:sz w:val="16"/>
        </w:rPr>
        <w:t>b</w:t>
      </w:r>
      <w:r>
        <w:rPr>
          <w:color w:val="231F20"/>
          <w:spacing w:val="3"/>
          <w:w w:val="106"/>
          <w:sz w:val="16"/>
        </w:rPr>
        <w:t>a</w:t>
      </w:r>
      <w:r>
        <w:rPr>
          <w:color w:val="231F20"/>
          <w:spacing w:val="5"/>
          <w:w w:val="97"/>
          <w:sz w:val="16"/>
        </w:rPr>
        <w:t>r</w:t>
      </w:r>
      <w:r>
        <w:rPr>
          <w:color w:val="231F20"/>
          <w:spacing w:val="3"/>
          <w:w w:val="102"/>
          <w:sz w:val="16"/>
        </w:rPr>
        <w:t>t</w:t>
      </w:r>
      <w:r>
        <w:rPr>
          <w:color w:val="231F20"/>
          <w:spacing w:val="2"/>
          <w:w w:val="104"/>
          <w:sz w:val="16"/>
        </w:rPr>
        <w:t>u</w:t>
      </w:r>
      <w:r>
        <w:rPr>
          <w:color w:val="231F20"/>
          <w:w w:val="93"/>
          <w:sz w:val="16"/>
        </w:rPr>
        <w:t>s</w:t>
      </w:r>
      <w:r>
        <w:rPr>
          <w:color w:val="231F20"/>
          <w:spacing w:val="10"/>
          <w:sz w:val="16"/>
        </w:rPr>
        <w:t xml:space="preserve"> </w:t>
      </w:r>
      <w:r>
        <w:rPr>
          <w:color w:val="231F20"/>
          <w:spacing w:val="1"/>
          <w:w w:val="103"/>
          <w:sz w:val="16"/>
        </w:rPr>
        <w:t>i</w:t>
      </w:r>
      <w:r>
        <w:rPr>
          <w:color w:val="231F20"/>
          <w:spacing w:val="1"/>
          <w:w w:val="93"/>
          <w:sz w:val="16"/>
        </w:rPr>
        <w:t>s</w:t>
      </w:r>
      <w:r>
        <w:rPr>
          <w:color w:val="231F20"/>
          <w:w w:val="102"/>
          <w:sz w:val="16"/>
        </w:rPr>
        <w:t>t</w:t>
      </w:r>
      <w:r>
        <w:rPr>
          <w:color w:val="231F20"/>
          <w:spacing w:val="10"/>
          <w:sz w:val="16"/>
        </w:rPr>
        <w:t xml:space="preserve"> </w:t>
      </w:r>
      <w:r>
        <w:rPr>
          <w:color w:val="231F20"/>
          <w:w w:val="102"/>
          <w:sz w:val="16"/>
        </w:rPr>
        <w:t>t</w:t>
      </w:r>
      <w:r>
        <w:rPr>
          <w:color w:val="231F20"/>
          <w:w w:val="108"/>
          <w:sz w:val="16"/>
        </w:rPr>
        <w:t>o</w:t>
      </w:r>
      <w:r>
        <w:rPr>
          <w:color w:val="231F20"/>
          <w:spacing w:val="3"/>
          <w:w w:val="102"/>
          <w:sz w:val="16"/>
        </w:rPr>
        <w:t>t</w:t>
      </w:r>
      <w:r>
        <w:rPr>
          <w:color w:val="231F20"/>
          <w:spacing w:val="-9"/>
          <w:w w:val="140"/>
          <w:sz w:val="16"/>
        </w:rPr>
        <w:t>,</w:t>
      </w:r>
      <w:r>
        <w:rPr>
          <w:color w:val="231F20"/>
          <w:w w:val="153"/>
          <w:sz w:val="16"/>
        </w:rPr>
        <w:t>”</w:t>
      </w:r>
      <w:r>
        <w:rPr>
          <w:color w:val="231F20"/>
          <w:spacing w:val="10"/>
          <w:sz w:val="16"/>
        </w:rPr>
        <w:t xml:space="preserve"> </w:t>
      </w:r>
      <w:hyperlink r:id="rId370">
        <w:r>
          <w:rPr>
            <w:color w:val="231F20"/>
            <w:w w:val="103"/>
            <w:sz w:val="16"/>
          </w:rPr>
          <w:t>h</w:t>
        </w:r>
        <w:r>
          <w:rPr>
            <w:color w:val="231F20"/>
            <w:spacing w:val="5"/>
            <w:w w:val="103"/>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spacing w:val="1"/>
            <w:w w:val="140"/>
            <w:sz w:val="16"/>
          </w:rPr>
          <w:t>.</w:t>
        </w:r>
        <w:r>
          <w:rPr>
            <w:color w:val="231F20"/>
            <w:spacing w:val="3"/>
            <w:w w:val="114"/>
            <w:sz w:val="16"/>
          </w:rPr>
          <w:t>f</w:t>
        </w:r>
        <w:r>
          <w:rPr>
            <w:color w:val="231F20"/>
            <w:w w:val="97"/>
            <w:sz w:val="16"/>
          </w:rPr>
          <w:t>r</w:t>
        </w:r>
        <w:r>
          <w:rPr>
            <w:color w:val="231F20"/>
            <w:w w:val="94"/>
            <w:sz w:val="16"/>
          </w:rPr>
          <w:t>e</w:t>
        </w:r>
        <w:r>
          <w:rPr>
            <w:color w:val="231F20"/>
            <w:spacing w:val="2"/>
            <w:w w:val="103"/>
            <w:sz w:val="16"/>
          </w:rPr>
          <w:t>i</w:t>
        </w:r>
        <w:r>
          <w:rPr>
            <w:color w:val="231F20"/>
            <w:spacing w:val="1"/>
            <w:w w:val="106"/>
            <w:sz w:val="16"/>
          </w:rPr>
          <w:t>la</w:t>
        </w:r>
        <w:r>
          <w:rPr>
            <w:color w:val="231F20"/>
            <w:spacing w:val="1"/>
            <w:w w:val="93"/>
            <w:sz w:val="16"/>
          </w:rPr>
          <w:t>s</w:t>
        </w:r>
        <w:r>
          <w:rPr>
            <w:color w:val="231F20"/>
            <w:w w:val="93"/>
            <w:sz w:val="16"/>
          </w:rPr>
          <w:t>s</w:t>
        </w:r>
        <w:r>
          <w:rPr>
            <w:color w:val="231F20"/>
            <w:spacing w:val="3"/>
            <w:w w:val="104"/>
            <w:sz w:val="16"/>
          </w:rPr>
          <w:t>u</w:t>
        </w:r>
        <w:r>
          <w:rPr>
            <w:color w:val="231F20"/>
            <w:w w:val="103"/>
            <w:sz w:val="16"/>
          </w:rPr>
          <w:t>n</w:t>
        </w:r>
        <w:r>
          <w:rPr>
            <w:color w:val="231F20"/>
            <w:spacing w:val="1"/>
            <w:w w:val="104"/>
            <w:sz w:val="16"/>
          </w:rPr>
          <w:t>g</w:t>
        </w:r>
        <w:r>
          <w:rPr>
            <w:color w:val="231F20"/>
            <w:w w:val="140"/>
            <w:sz w:val="16"/>
          </w:rPr>
          <w:t>.</w:t>
        </w:r>
        <w:r>
          <w:rPr>
            <w:color w:val="231F20"/>
            <w:w w:val="103"/>
            <w:sz w:val="16"/>
          </w:rPr>
          <w:t>d</w:t>
        </w:r>
        <w:r>
          <w:rPr>
            <w:color w:val="231F20"/>
            <w:spacing w:val="5"/>
            <w:w w:val="94"/>
            <w:sz w:val="16"/>
          </w:rPr>
          <w:t>e</w:t>
        </w:r>
        <w:r>
          <w:rPr>
            <w:color w:val="231F20"/>
            <w:spacing w:val="-3"/>
            <w:w w:val="58"/>
            <w:sz w:val="16"/>
          </w:rPr>
          <w:t>/</w:t>
        </w:r>
        <w:r>
          <w:rPr>
            <w:color w:val="231F20"/>
            <w:spacing w:val="3"/>
            <w:w w:val="103"/>
            <w:sz w:val="16"/>
          </w:rPr>
          <w:t>d</w:t>
        </w:r>
        <w:r>
          <w:rPr>
            <w:color w:val="231F20"/>
            <w:spacing w:val="-1"/>
            <w:w w:val="103"/>
            <w:sz w:val="16"/>
          </w:rPr>
          <w:t>i</w:t>
        </w:r>
        <w:r>
          <w:rPr>
            <w:color w:val="231F20"/>
            <w:spacing w:val="-1"/>
            <w:w w:val="102"/>
            <w:sz w:val="16"/>
          </w:rPr>
          <w:t>v</w:t>
        </w:r>
        <w:r>
          <w:rPr>
            <w:color w:val="231F20"/>
            <w:spacing w:val="1"/>
            <w:w w:val="58"/>
            <w:sz w:val="16"/>
          </w:rPr>
          <w:t>/</w:t>
        </w:r>
        <w:r>
          <w:rPr>
            <w:color w:val="231F20"/>
            <w:spacing w:val="1"/>
            <w:w w:val="102"/>
            <w:sz w:val="16"/>
          </w:rPr>
          <w:t>t</w:t>
        </w:r>
        <w:r>
          <w:rPr>
            <w:color w:val="231F20"/>
            <w:w w:val="94"/>
            <w:sz w:val="16"/>
          </w:rPr>
          <w:t>e</w:t>
        </w:r>
        <w:r>
          <w:rPr>
            <w:color w:val="231F20"/>
            <w:spacing w:val="5"/>
            <w:w w:val="119"/>
            <w:sz w:val="16"/>
          </w:rPr>
          <w:t>x</w:t>
        </w:r>
        <w:r>
          <w:rPr>
            <w:color w:val="231F20"/>
            <w:spacing w:val="1"/>
            <w:w w:val="102"/>
            <w:sz w:val="16"/>
          </w:rPr>
          <w:t>t</w:t>
        </w:r>
        <w:r>
          <w:rPr>
            <w:color w:val="231F20"/>
            <w:spacing w:val="5"/>
            <w:w w:val="94"/>
            <w:sz w:val="16"/>
          </w:rPr>
          <w:t>e</w:t>
        </w:r>
        <w:r>
          <w:rPr>
            <w:color w:val="231F20"/>
            <w:w w:val="58"/>
            <w:sz w:val="16"/>
          </w:rPr>
          <w:t>/</w:t>
        </w:r>
        <w:r>
          <w:rPr>
            <w:color w:val="231F20"/>
            <w:spacing w:val="2"/>
            <w:w w:val="97"/>
            <w:sz w:val="16"/>
          </w:rPr>
          <w:t>r</w:t>
        </w:r>
        <w:r>
          <w:rPr>
            <w:color w:val="231F20"/>
            <w:spacing w:val="6"/>
            <w:w w:val="101"/>
            <w:sz w:val="16"/>
          </w:rPr>
          <w:t>z</w:t>
        </w:r>
        <w:r>
          <w:rPr>
            <w:color w:val="231F20"/>
            <w:w w:val="58"/>
            <w:sz w:val="16"/>
          </w:rPr>
          <w:t>/</w:t>
        </w:r>
        <w:r>
          <w:rPr>
            <w:color w:val="231F20"/>
            <w:spacing w:val="1"/>
            <w:w w:val="101"/>
            <w:sz w:val="16"/>
          </w:rPr>
          <w:t>z</w:t>
        </w:r>
        <w:r>
          <w:rPr>
            <w:color w:val="231F20"/>
            <w:w w:val="108"/>
            <w:sz w:val="16"/>
          </w:rPr>
          <w:t>o</w:t>
        </w:r>
        <w:r>
          <w:rPr>
            <w:color w:val="231F20"/>
            <w:spacing w:val="3"/>
            <w:w w:val="97"/>
            <w:sz w:val="16"/>
          </w:rPr>
          <w:t>r</w:t>
        </w:r>
        <w:r>
          <w:rPr>
            <w:color w:val="231F20"/>
            <w:spacing w:val="8"/>
            <w:w w:val="103"/>
            <w:sz w:val="16"/>
          </w:rPr>
          <w:t>n</w:t>
        </w:r>
        <w:r>
          <w:rPr>
            <w:color w:val="231F20"/>
            <w:spacing w:val="5"/>
            <w:w w:val="58"/>
            <w:sz w:val="16"/>
          </w:rPr>
          <w:t>/</w:t>
        </w:r>
        <w:r>
          <w:rPr>
            <w:color w:val="231F20"/>
            <w:spacing w:val="5"/>
            <w:w w:val="139"/>
            <w:sz w:val="16"/>
          </w:rPr>
          <w:t>Z</w:t>
        </w:r>
        <w:r>
          <w:rPr>
            <w:color w:val="231F20"/>
            <w:w w:val="108"/>
            <w:sz w:val="16"/>
          </w:rPr>
          <w:t>o</w:t>
        </w:r>
        <w:r>
          <w:rPr>
            <w:color w:val="231F20"/>
            <w:spacing w:val="3"/>
            <w:w w:val="97"/>
            <w:sz w:val="16"/>
          </w:rPr>
          <w:t>r</w:t>
        </w:r>
        <w:r>
          <w:rPr>
            <w:color w:val="231F20"/>
            <w:w w:val="103"/>
            <w:sz w:val="16"/>
          </w:rPr>
          <w:t>n</w:t>
        </w:r>
        <w:r>
          <w:rPr>
            <w:color w:val="231F20"/>
            <w:w w:val="104"/>
            <w:sz w:val="16"/>
          </w:rPr>
          <w:t>04</w:t>
        </w:r>
        <w:r>
          <w:rPr>
            <w:color w:val="231F20"/>
            <w:spacing w:val="1"/>
            <w:w w:val="140"/>
            <w:sz w:val="16"/>
          </w:rPr>
          <w:t>.</w:t>
        </w:r>
        <w:r>
          <w:rPr>
            <w:color w:val="231F20"/>
            <w:w w:val="103"/>
            <w:sz w:val="16"/>
          </w:rPr>
          <w:t>h</w:t>
        </w:r>
        <w:r>
          <w:rPr>
            <w:color w:val="231F20"/>
            <w:spacing w:val="3"/>
            <w:w w:val="103"/>
            <w:sz w:val="16"/>
          </w:rPr>
          <w:t>t</w:t>
        </w:r>
        <w:r>
          <w:rPr>
            <w:color w:val="231F20"/>
            <w:w w:val="103"/>
            <w:sz w:val="16"/>
          </w:rPr>
          <w:t>m</w:t>
        </w:r>
      </w:hyperlink>
      <w:r>
        <w:rPr>
          <w:color w:val="231F20"/>
          <w:w w:val="103"/>
          <w:sz w:val="16"/>
        </w:rPr>
        <w:t xml:space="preserve"> </w:t>
      </w:r>
      <w:r>
        <w:rPr>
          <w:color w:val="231F20"/>
          <w:w w:val="105"/>
          <w:sz w:val="16"/>
        </w:rPr>
        <w:t>5 Cohen; see also: Hockenos,</w:t>
      </w:r>
      <w:r>
        <w:rPr>
          <w:color w:val="231F20"/>
          <w:spacing w:val="7"/>
          <w:w w:val="105"/>
          <w:sz w:val="16"/>
        </w:rPr>
        <w:t xml:space="preserve"> </w:t>
      </w:r>
      <w:r>
        <w:rPr>
          <w:color w:val="231F20"/>
          <w:w w:val="105"/>
          <w:sz w:val="16"/>
        </w:rPr>
        <w:t>120.</w:t>
      </w:r>
    </w:p>
    <w:p w14:paraId="35CC76A6" w14:textId="77777777" w:rsidR="002653E8" w:rsidRDefault="003115E3">
      <w:pPr>
        <w:spacing w:line="254" w:lineRule="auto"/>
        <w:ind w:left="1327" w:right="1580"/>
        <w:rPr>
          <w:sz w:val="16"/>
        </w:rPr>
      </w:pPr>
      <w:r w:rsidRPr="00846956">
        <w:rPr>
          <w:color w:val="231F20"/>
          <w:w w:val="105"/>
          <w:sz w:val="16"/>
          <w:lang w:val="de-DE"/>
        </w:rPr>
        <w:t xml:space="preserve">6 “Festnahmen nach Frankfurter Ausschreitungen,” </w:t>
      </w:r>
      <w:r w:rsidRPr="00846956">
        <w:rPr>
          <w:i/>
          <w:color w:val="231F20"/>
          <w:w w:val="105"/>
          <w:sz w:val="16"/>
          <w:lang w:val="de-DE"/>
        </w:rPr>
        <w:t xml:space="preserve">Frankfurter Allgemeine Zeitung. </w:t>
      </w:r>
      <w:r>
        <w:rPr>
          <w:color w:val="231F20"/>
          <w:w w:val="105"/>
          <w:sz w:val="16"/>
        </w:rPr>
        <w:t>See also Hockenos, 120, though note that his assertion that the arrests occurred in June seems incorrect.</w:t>
      </w:r>
    </w:p>
    <w:bookmarkEnd w:id="204"/>
    <w:p w14:paraId="7FF0834F" w14:textId="77777777" w:rsidR="002653E8" w:rsidRDefault="002653E8">
      <w:pPr>
        <w:spacing w:line="254" w:lineRule="auto"/>
        <w:rPr>
          <w:sz w:val="16"/>
        </w:rPr>
        <w:sectPr w:rsidR="002653E8">
          <w:pgSz w:w="8640" w:h="12960"/>
          <w:pgMar w:top="1060" w:right="0" w:bottom="1040" w:left="0" w:header="0" w:footer="850" w:gutter="0"/>
          <w:cols w:space="720"/>
        </w:sectPr>
      </w:pPr>
    </w:p>
    <w:p w14:paraId="48EA7911" w14:textId="77777777" w:rsidR="002653E8" w:rsidRDefault="003115E3">
      <w:pPr>
        <w:pStyle w:val="a3"/>
        <w:spacing w:before="86" w:line="264" w:lineRule="auto"/>
        <w:ind w:left="1147" w:right="1321" w:firstLine="209"/>
        <w:jc w:val="both"/>
      </w:pPr>
      <w:r>
        <w:rPr>
          <w:color w:val="231F20"/>
        </w:rPr>
        <w:lastRenderedPageBreak/>
        <w:t xml:space="preserve">The first opportunity to present their new position was an AntiRepression Conference organized by the </w:t>
      </w:r>
      <w:r>
        <w:rPr>
          <w:i/>
          <w:color w:val="231F20"/>
        </w:rPr>
        <w:t xml:space="preserve">Sozialistisches Büro </w:t>
      </w:r>
      <w:r>
        <w:rPr>
          <w:color w:val="231F20"/>
        </w:rPr>
        <w:t xml:space="preserve">over the weekend of June 5-7. There, Fischer addressed a rally of over 10,000 people, many of them militants and street fighters like himself. Arguing that political violence had hit a brick wall, he warned that the </w:t>
      </w:r>
      <w:r>
        <w:rPr>
          <w:i/>
          <w:color w:val="231F20"/>
        </w:rPr>
        <w:t xml:space="preserve">sponti </w:t>
      </w:r>
      <w:r>
        <w:rPr>
          <w:color w:val="231F20"/>
        </w:rPr>
        <w:t>scene risked falling into the same trap as the guerilla, which he describe as “lashing out blindly” due to its own “hopelessness.” Directing his comments at the guerilla itself, he beseeched them:</w:t>
      </w:r>
    </w:p>
    <w:p w14:paraId="66335551" w14:textId="77777777" w:rsidR="002653E8" w:rsidRDefault="003115E3">
      <w:pPr>
        <w:spacing w:before="120" w:line="276" w:lineRule="auto"/>
        <w:ind w:left="1567" w:right="1745"/>
        <w:jc w:val="both"/>
        <w:rPr>
          <w:i/>
          <w:sz w:val="11"/>
        </w:rPr>
      </w:pPr>
      <w:r>
        <w:rPr>
          <w:i/>
          <w:color w:val="231F20"/>
          <w:w w:val="105"/>
          <w:sz w:val="19"/>
        </w:rPr>
        <w:t>For</w:t>
      </w:r>
      <w:r>
        <w:rPr>
          <w:i/>
          <w:color w:val="231F20"/>
          <w:spacing w:val="-13"/>
          <w:w w:val="105"/>
          <w:sz w:val="19"/>
        </w:rPr>
        <w:t xml:space="preserve"> </w:t>
      </w:r>
      <w:r>
        <w:rPr>
          <w:i/>
          <w:color w:val="231F20"/>
          <w:w w:val="105"/>
          <w:sz w:val="19"/>
        </w:rPr>
        <w:t>the</w:t>
      </w:r>
      <w:r>
        <w:rPr>
          <w:i/>
          <w:color w:val="231F20"/>
          <w:spacing w:val="-13"/>
          <w:w w:val="105"/>
          <w:sz w:val="19"/>
        </w:rPr>
        <w:t xml:space="preserve"> </w:t>
      </w:r>
      <w:r>
        <w:rPr>
          <w:i/>
          <w:color w:val="231F20"/>
          <w:w w:val="105"/>
          <w:sz w:val="19"/>
        </w:rPr>
        <w:t>very</w:t>
      </w:r>
      <w:r>
        <w:rPr>
          <w:i/>
          <w:color w:val="231F20"/>
          <w:spacing w:val="-13"/>
          <w:w w:val="105"/>
          <w:sz w:val="19"/>
        </w:rPr>
        <w:t xml:space="preserve"> </w:t>
      </w:r>
      <w:r>
        <w:rPr>
          <w:i/>
          <w:color w:val="231F20"/>
          <w:w w:val="105"/>
          <w:sz w:val="19"/>
        </w:rPr>
        <w:t>reason</w:t>
      </w:r>
      <w:r>
        <w:rPr>
          <w:i/>
          <w:color w:val="231F20"/>
          <w:spacing w:val="-13"/>
          <w:w w:val="105"/>
          <w:sz w:val="19"/>
        </w:rPr>
        <w:t xml:space="preserve"> </w:t>
      </w:r>
      <w:r>
        <w:rPr>
          <w:i/>
          <w:color w:val="231F20"/>
          <w:w w:val="105"/>
          <w:sz w:val="19"/>
        </w:rPr>
        <w:t>that</w:t>
      </w:r>
      <w:r>
        <w:rPr>
          <w:i/>
          <w:color w:val="231F20"/>
          <w:spacing w:val="-13"/>
          <w:w w:val="105"/>
          <w:sz w:val="19"/>
        </w:rPr>
        <w:t xml:space="preserve"> </w:t>
      </w:r>
      <w:r>
        <w:rPr>
          <w:i/>
          <w:color w:val="231F20"/>
          <w:w w:val="105"/>
          <w:sz w:val="19"/>
        </w:rPr>
        <w:t>our</w:t>
      </w:r>
      <w:r>
        <w:rPr>
          <w:i/>
          <w:color w:val="231F20"/>
          <w:spacing w:val="-13"/>
          <w:w w:val="105"/>
          <w:sz w:val="19"/>
        </w:rPr>
        <w:t xml:space="preserve"> </w:t>
      </w:r>
      <w:r>
        <w:rPr>
          <w:i/>
          <w:color w:val="231F20"/>
          <w:w w:val="105"/>
          <w:sz w:val="19"/>
        </w:rPr>
        <w:t>solidarity</w:t>
      </w:r>
      <w:r>
        <w:rPr>
          <w:i/>
          <w:color w:val="231F20"/>
          <w:spacing w:val="-13"/>
          <w:w w:val="105"/>
          <w:sz w:val="19"/>
        </w:rPr>
        <w:t xml:space="preserve"> </w:t>
      </w:r>
      <w:r>
        <w:rPr>
          <w:i/>
          <w:color w:val="231F20"/>
          <w:w w:val="105"/>
          <w:sz w:val="19"/>
        </w:rPr>
        <w:t>belongs</w:t>
      </w:r>
      <w:r>
        <w:rPr>
          <w:i/>
          <w:color w:val="231F20"/>
          <w:spacing w:val="-13"/>
          <w:w w:val="105"/>
          <w:sz w:val="19"/>
        </w:rPr>
        <w:t xml:space="preserve"> </w:t>
      </w:r>
      <w:r>
        <w:rPr>
          <w:i/>
          <w:color w:val="231F20"/>
          <w:w w:val="105"/>
          <w:sz w:val="19"/>
        </w:rPr>
        <w:t>with</w:t>
      </w:r>
      <w:r>
        <w:rPr>
          <w:i/>
          <w:color w:val="231F20"/>
          <w:spacing w:val="-13"/>
          <w:w w:val="105"/>
          <w:sz w:val="19"/>
        </w:rPr>
        <w:t xml:space="preserve"> </w:t>
      </w:r>
      <w:r>
        <w:rPr>
          <w:i/>
          <w:color w:val="231F20"/>
          <w:w w:val="105"/>
          <w:sz w:val="19"/>
        </w:rPr>
        <w:t>our</w:t>
      </w:r>
      <w:r>
        <w:rPr>
          <w:i/>
          <w:color w:val="231F20"/>
          <w:spacing w:val="-13"/>
          <w:w w:val="105"/>
          <w:sz w:val="19"/>
        </w:rPr>
        <w:t xml:space="preserve"> </w:t>
      </w:r>
      <w:r>
        <w:rPr>
          <w:i/>
          <w:color w:val="231F20"/>
          <w:w w:val="105"/>
          <w:sz w:val="19"/>
        </w:rPr>
        <w:t xml:space="preserve">comrades in the underground and because we feel so closely linked with them, we call upon them to end this death trip at once, to return from their “armed self-isolation.” </w:t>
      </w:r>
      <w:r>
        <w:rPr>
          <w:i/>
          <w:color w:val="231F20"/>
          <w:spacing w:val="-6"/>
          <w:w w:val="105"/>
          <w:sz w:val="19"/>
        </w:rPr>
        <w:t xml:space="preserve">We </w:t>
      </w:r>
      <w:r>
        <w:rPr>
          <w:i/>
          <w:color w:val="231F20"/>
          <w:w w:val="105"/>
          <w:sz w:val="19"/>
        </w:rPr>
        <w:t>call upon them to put</w:t>
      </w:r>
      <w:r>
        <w:rPr>
          <w:i/>
          <w:color w:val="231F20"/>
          <w:spacing w:val="-13"/>
          <w:w w:val="105"/>
          <w:sz w:val="19"/>
        </w:rPr>
        <w:t xml:space="preserve"> </w:t>
      </w:r>
      <w:r>
        <w:rPr>
          <w:i/>
          <w:color w:val="231F20"/>
          <w:w w:val="105"/>
          <w:sz w:val="19"/>
        </w:rPr>
        <w:t>down the bombs and to pick up stones</w:t>
      </w:r>
      <w:r>
        <w:rPr>
          <w:i/>
          <w:color w:val="231F20"/>
          <w:spacing w:val="2"/>
          <w:w w:val="105"/>
          <w:sz w:val="19"/>
        </w:rPr>
        <w:t xml:space="preserve"> </w:t>
      </w:r>
      <w:r>
        <w:rPr>
          <w:i/>
          <w:color w:val="231F20"/>
          <w:w w:val="105"/>
          <w:sz w:val="19"/>
        </w:rPr>
        <w:t>again.</w:t>
      </w:r>
      <w:r>
        <w:rPr>
          <w:i/>
          <w:color w:val="231F20"/>
          <w:w w:val="105"/>
          <w:position w:val="6"/>
          <w:sz w:val="11"/>
        </w:rPr>
        <w:t>1</w:t>
      </w:r>
    </w:p>
    <w:p w14:paraId="5A5D03F4" w14:textId="77777777" w:rsidR="002653E8" w:rsidRDefault="003115E3">
      <w:pPr>
        <w:pStyle w:val="a3"/>
        <w:spacing w:before="132" w:line="264" w:lineRule="auto"/>
        <w:ind w:left="1147" w:right="1326"/>
        <w:jc w:val="both"/>
      </w:pPr>
      <w:r>
        <w:rPr>
          <w:color w:val="231F20"/>
        </w:rPr>
        <w:t>According to several contemporaries, only Fischer, who had credibil ity as a seasoned activist and a Putz Group leader, could have gotten       a hearing for such views. As it happens, he reportedly received wild applause.</w:t>
      </w:r>
    </w:p>
    <w:p w14:paraId="3D6D8753" w14:textId="77777777" w:rsidR="002653E8" w:rsidRDefault="003115E3">
      <w:pPr>
        <w:pStyle w:val="a3"/>
        <w:spacing w:line="264" w:lineRule="auto"/>
        <w:ind w:left="1147" w:right="1326" w:firstLine="210"/>
        <w:jc w:val="both"/>
      </w:pPr>
      <w:r>
        <w:rPr>
          <w:color w:val="231F20"/>
        </w:rPr>
        <w:t xml:space="preserve">Why Fischer adopted a hard line against the guerilla is not clear. </w:t>
      </w:r>
      <w:r>
        <w:rPr>
          <w:color w:val="231F20"/>
          <w:spacing w:val="1"/>
        </w:rPr>
        <w:t xml:space="preserve">In </w:t>
      </w:r>
      <w:r>
        <w:rPr>
          <w:color w:val="231F20"/>
        </w:rPr>
        <w:t xml:space="preserve">later years, he pointed to the horror of Entebbe—like many Frankfurt militants, he had known the </w:t>
      </w:r>
      <w:r>
        <w:rPr>
          <w:color w:val="231F20"/>
          <w:spacing w:val="3"/>
        </w:rPr>
        <w:t xml:space="preserve">RZ </w:t>
      </w:r>
      <w:r>
        <w:rPr>
          <w:color w:val="231F20"/>
        </w:rPr>
        <w:t>fighters who died there—and also to  the fear he had seen in a policeman’s eyes as he beat him up a year previously.</w:t>
      </w:r>
    </w:p>
    <w:p w14:paraId="2DED5345" w14:textId="77777777" w:rsidR="002653E8" w:rsidRDefault="003115E3">
      <w:pPr>
        <w:pStyle w:val="a3"/>
        <w:spacing w:line="264" w:lineRule="auto"/>
        <w:ind w:left="1147" w:right="1325" w:firstLine="210"/>
        <w:jc w:val="both"/>
      </w:pPr>
      <w:r>
        <w:rPr>
          <w:color w:val="231F20"/>
        </w:rPr>
        <w:t>Obviously, the Meinhof demonstration, and the realization that continued militancy might lead to prison, played a very large part in the equation. years later, Cohn-Bendit would explain:</w:t>
      </w:r>
    </w:p>
    <w:p w14:paraId="04A048EC" w14:textId="77777777" w:rsidR="002653E8" w:rsidRDefault="003115E3">
      <w:pPr>
        <w:spacing w:before="116" w:line="276" w:lineRule="auto"/>
        <w:ind w:left="1567" w:right="1739"/>
        <w:jc w:val="both"/>
        <w:rPr>
          <w:i/>
          <w:sz w:val="11"/>
        </w:rPr>
      </w:pPr>
      <w:r>
        <w:rPr>
          <w:i/>
          <w:color w:val="231F20"/>
          <w:sz w:val="19"/>
        </w:rPr>
        <w:t>The Meinhof demonstration was a decisive experience. One was faced with the fact that a dynamic could lead to a fatal outcome. That was the beginning of the radical dissociation of the entire scene from the terrorists and of a new discussion about the state and our resistance to it.</w:t>
      </w:r>
      <w:r>
        <w:rPr>
          <w:i/>
          <w:color w:val="231F20"/>
          <w:position w:val="6"/>
          <w:sz w:val="11"/>
        </w:rPr>
        <w:t>2</w:t>
      </w:r>
    </w:p>
    <w:p w14:paraId="141A4AD2" w14:textId="77777777" w:rsidR="002653E8" w:rsidRDefault="003115E3">
      <w:pPr>
        <w:pStyle w:val="a3"/>
        <w:spacing w:before="131" w:line="264" w:lineRule="auto"/>
        <w:ind w:left="1147" w:right="1326"/>
        <w:jc w:val="both"/>
      </w:pPr>
      <w:r>
        <w:rPr>
          <w:color w:val="231F20"/>
        </w:rPr>
        <w:t>Despite this reference to “resistance,” and Fischer’s words at the AntiRepression Conference about “picking up stones,” what was soon being</w:t>
      </w:r>
    </w:p>
    <w:p w14:paraId="4FB51FE6" w14:textId="77777777" w:rsidR="002653E8" w:rsidRDefault="00000000">
      <w:pPr>
        <w:pStyle w:val="a3"/>
        <w:spacing w:before="7"/>
        <w:rPr>
          <w:sz w:val="14"/>
        </w:rPr>
      </w:pPr>
      <w:r>
        <w:rPr>
          <w:noProof w:val="0"/>
        </w:rPr>
        <w:pict w14:anchorId="110F1BCD">
          <v:line id="_x0000_s2234" style="position:absolute;z-index:9352;mso-wrap-distance-left:0;mso-wrap-distance-right:0;mso-position-horizontal-relative:page" from="57.4pt,10.8pt" to="129.4pt,10.8pt" strokecolor="#231f20" strokeweight=".5pt">
            <w10:wrap type="topAndBottom" anchorx="page"/>
          </v:line>
        </w:pict>
      </w:r>
    </w:p>
    <w:p w14:paraId="72958A93" w14:textId="77777777" w:rsidR="002653E8" w:rsidRDefault="003115E3">
      <w:pPr>
        <w:pStyle w:val="a4"/>
        <w:numPr>
          <w:ilvl w:val="0"/>
          <w:numId w:val="71"/>
        </w:numPr>
        <w:tabs>
          <w:tab w:val="left" w:pos="1287"/>
        </w:tabs>
        <w:spacing w:before="53" w:line="254" w:lineRule="auto"/>
        <w:ind w:right="1371" w:firstLine="0"/>
        <w:jc w:val="left"/>
        <w:rPr>
          <w:sz w:val="16"/>
        </w:rPr>
      </w:pPr>
      <w:bookmarkStart w:id="205" w:name="_Hlk130692774"/>
      <w:r>
        <w:rPr>
          <w:color w:val="231F20"/>
          <w:w w:val="105"/>
          <w:sz w:val="16"/>
        </w:rPr>
        <w:t xml:space="preserve">Hockenos, </w:t>
      </w:r>
      <w:r>
        <w:rPr>
          <w:color w:val="231F20"/>
          <w:spacing w:val="-3"/>
          <w:w w:val="105"/>
          <w:sz w:val="16"/>
        </w:rPr>
        <w:t>121-122</w:t>
      </w:r>
      <w:bookmarkEnd w:id="205"/>
      <w:r>
        <w:rPr>
          <w:color w:val="231F20"/>
          <w:spacing w:val="-3"/>
          <w:w w:val="105"/>
          <w:sz w:val="16"/>
        </w:rPr>
        <w:t xml:space="preserve">. </w:t>
      </w:r>
      <w:r>
        <w:rPr>
          <w:color w:val="231F20"/>
          <w:w w:val="105"/>
          <w:sz w:val="16"/>
        </w:rPr>
        <w:t xml:space="preserve">Please note that a large excerpt of Fischer’s speech, or else a text closely based on it, is credited “anonymous” and reprinted in </w:t>
      </w:r>
      <w:r>
        <w:rPr>
          <w:i/>
          <w:color w:val="231F20"/>
          <w:w w:val="105"/>
          <w:sz w:val="16"/>
        </w:rPr>
        <w:t>semiotext(e)</w:t>
      </w:r>
      <w:bookmarkStart w:id="206" w:name="_Hlk130692872"/>
      <w:r>
        <w:rPr>
          <w:i/>
          <w:color w:val="231F20"/>
          <w:w w:val="105"/>
          <w:sz w:val="16"/>
        </w:rPr>
        <w:t xml:space="preserve">: The </w:t>
      </w:r>
      <w:r>
        <w:rPr>
          <w:i/>
          <w:color w:val="231F20"/>
          <w:spacing w:val="2"/>
          <w:w w:val="105"/>
          <w:sz w:val="16"/>
        </w:rPr>
        <w:t xml:space="preserve">German </w:t>
      </w:r>
      <w:r>
        <w:rPr>
          <w:i/>
          <w:color w:val="231F20"/>
          <w:w w:val="105"/>
          <w:sz w:val="16"/>
        </w:rPr>
        <w:t xml:space="preserve">Issue </w:t>
      </w:r>
      <w:r>
        <w:rPr>
          <w:color w:val="231F20"/>
          <w:w w:val="105"/>
          <w:sz w:val="16"/>
        </w:rPr>
        <w:t xml:space="preserve">[Anonymous, </w:t>
      </w:r>
      <w:r>
        <w:rPr>
          <w:color w:val="231F20"/>
          <w:spacing w:val="-4"/>
          <w:w w:val="105"/>
          <w:sz w:val="16"/>
        </w:rPr>
        <w:t xml:space="preserve">“To </w:t>
      </w:r>
      <w:r>
        <w:rPr>
          <w:color w:val="231F20"/>
          <w:w w:val="105"/>
          <w:sz w:val="16"/>
        </w:rPr>
        <w:t xml:space="preserve">Have Done with Armed Isolation,” translated by Wynn Gunderson. </w:t>
      </w:r>
      <w:r>
        <w:rPr>
          <w:i/>
          <w:color w:val="231F20"/>
          <w:w w:val="105"/>
          <w:sz w:val="16"/>
        </w:rPr>
        <w:t xml:space="preserve">semiotext(e) </w:t>
      </w:r>
      <w:r>
        <w:rPr>
          <w:color w:val="231F20"/>
          <w:w w:val="105"/>
          <w:sz w:val="16"/>
        </w:rPr>
        <w:t>4, no. 2</w:t>
      </w:r>
      <w:r>
        <w:rPr>
          <w:color w:val="231F20"/>
          <w:spacing w:val="1"/>
          <w:w w:val="105"/>
          <w:sz w:val="16"/>
        </w:rPr>
        <w:t xml:space="preserve"> </w:t>
      </w:r>
      <w:r>
        <w:rPr>
          <w:color w:val="231F20"/>
          <w:spacing w:val="-4"/>
          <w:w w:val="105"/>
          <w:sz w:val="16"/>
        </w:rPr>
        <w:t xml:space="preserve">(1982): </w:t>
      </w:r>
      <w:r>
        <w:rPr>
          <w:color w:val="231F20"/>
          <w:spacing w:val="-5"/>
          <w:w w:val="105"/>
          <w:sz w:val="16"/>
        </w:rPr>
        <w:t>130-133].</w:t>
      </w:r>
    </w:p>
    <w:p w14:paraId="6DF2294D" w14:textId="77777777" w:rsidR="002653E8" w:rsidRDefault="003115E3">
      <w:pPr>
        <w:pStyle w:val="a4"/>
        <w:numPr>
          <w:ilvl w:val="0"/>
          <w:numId w:val="71"/>
        </w:numPr>
        <w:tabs>
          <w:tab w:val="left" w:pos="1287"/>
        </w:tabs>
        <w:spacing w:line="254" w:lineRule="auto"/>
        <w:ind w:left="1148" w:right="1351" w:firstLine="0"/>
        <w:jc w:val="left"/>
        <w:rPr>
          <w:sz w:val="16"/>
        </w:rPr>
      </w:pPr>
      <w:bookmarkStart w:id="207" w:name="_Hlk130692898"/>
      <w:bookmarkEnd w:id="206"/>
      <w:r>
        <w:rPr>
          <w:color w:val="231F20"/>
          <w:w w:val="110"/>
          <w:sz w:val="16"/>
        </w:rPr>
        <w:t xml:space="preserve">Daniel Cohn-Bendit, interviewed by Stefan Aust, Gunther Latsch, Georg Mascolo and Gerhard Spörl, “Ein Segen </w:t>
      </w:r>
      <w:r>
        <w:rPr>
          <w:color w:val="231F20"/>
          <w:spacing w:val="2"/>
          <w:w w:val="110"/>
          <w:sz w:val="16"/>
        </w:rPr>
        <w:t xml:space="preserve">für </w:t>
      </w:r>
      <w:r>
        <w:rPr>
          <w:color w:val="231F20"/>
          <w:w w:val="110"/>
          <w:sz w:val="16"/>
        </w:rPr>
        <w:t xml:space="preserve">dieses Land,” </w:t>
      </w:r>
      <w:r>
        <w:rPr>
          <w:i/>
          <w:color w:val="231F20"/>
          <w:w w:val="110"/>
          <w:sz w:val="16"/>
        </w:rPr>
        <w:t xml:space="preserve">Spiegel </w:t>
      </w:r>
      <w:r>
        <w:rPr>
          <w:color w:val="231F20"/>
          <w:w w:val="110"/>
          <w:sz w:val="16"/>
        </w:rPr>
        <w:t>[online], May</w:t>
      </w:r>
      <w:r>
        <w:rPr>
          <w:color w:val="231F20"/>
          <w:spacing w:val="30"/>
          <w:w w:val="110"/>
          <w:sz w:val="16"/>
        </w:rPr>
        <w:t xml:space="preserve"> </w:t>
      </w:r>
      <w:r>
        <w:rPr>
          <w:color w:val="231F20"/>
          <w:w w:val="110"/>
          <w:sz w:val="16"/>
        </w:rPr>
        <w:t>2001.</w:t>
      </w:r>
    </w:p>
    <w:bookmarkEnd w:id="207"/>
    <w:p w14:paraId="7E277192" w14:textId="77777777" w:rsidR="002653E8" w:rsidRDefault="002653E8">
      <w:pPr>
        <w:spacing w:line="254" w:lineRule="auto"/>
        <w:rPr>
          <w:sz w:val="16"/>
        </w:rPr>
        <w:sectPr w:rsidR="002653E8">
          <w:footerReference w:type="even" r:id="rId371"/>
          <w:footerReference w:type="default" r:id="rId372"/>
          <w:pgSz w:w="8640" w:h="12960"/>
          <w:pgMar w:top="1060" w:right="0" w:bottom="1040" w:left="0" w:header="0" w:footer="850" w:gutter="0"/>
          <w:pgNumType w:start="442"/>
          <w:cols w:space="720"/>
        </w:sectPr>
      </w:pPr>
    </w:p>
    <w:p w14:paraId="4A3CDEF5" w14:textId="77777777" w:rsidR="002653E8" w:rsidRDefault="003115E3">
      <w:pPr>
        <w:pStyle w:val="a3"/>
        <w:spacing w:before="86" w:line="264" w:lineRule="auto"/>
        <w:ind w:left="1327" w:right="1146"/>
        <w:jc w:val="both"/>
      </w:pPr>
      <w:r>
        <w:rPr>
          <w:color w:val="231F20"/>
        </w:rPr>
        <w:lastRenderedPageBreak/>
        <w:t xml:space="preserve">put forth was that militancy altogether should be toned down, if not cut out. The Putz Group was disbanded, </w:t>
      </w:r>
      <w:r>
        <w:rPr>
          <w:i/>
          <w:color w:val="231F20"/>
        </w:rPr>
        <w:t xml:space="preserve">Pflasterstrand </w:t>
      </w:r>
      <w:r>
        <w:rPr>
          <w:color w:val="231F20"/>
        </w:rPr>
        <w:t xml:space="preserve">began pushing the anti-violence line, and by 1977 Fischer had repudiated revolution as a goal. As former </w:t>
      </w:r>
      <w:r>
        <w:rPr>
          <w:i/>
          <w:color w:val="231F20"/>
        </w:rPr>
        <w:t xml:space="preserve">sponti </w:t>
      </w:r>
      <w:r>
        <w:rPr>
          <w:color w:val="231F20"/>
        </w:rPr>
        <w:t>Wolfgang Kraushaar has suggested:</w:t>
      </w:r>
    </w:p>
    <w:p w14:paraId="1C422CA8" w14:textId="77777777" w:rsidR="002653E8" w:rsidRDefault="003115E3">
      <w:pPr>
        <w:spacing w:before="125" w:line="276" w:lineRule="auto"/>
        <w:ind w:left="1747" w:right="1565"/>
        <w:jc w:val="both"/>
        <w:rPr>
          <w:i/>
          <w:sz w:val="11"/>
        </w:rPr>
      </w:pPr>
      <w:r>
        <w:rPr>
          <w:i/>
          <w:color w:val="231F20"/>
          <w:w w:val="105"/>
          <w:sz w:val="19"/>
        </w:rPr>
        <w:t>When confronted with a crisis, which [Fischer] had until then understood as revolutionary violence, he began to question the whole</w:t>
      </w:r>
      <w:r>
        <w:rPr>
          <w:i/>
          <w:color w:val="231F20"/>
          <w:spacing w:val="-21"/>
          <w:w w:val="105"/>
          <w:sz w:val="19"/>
        </w:rPr>
        <w:t xml:space="preserve"> </w:t>
      </w:r>
      <w:r>
        <w:rPr>
          <w:i/>
          <w:color w:val="231F20"/>
          <w:w w:val="105"/>
          <w:sz w:val="19"/>
        </w:rPr>
        <w:t>notion</w:t>
      </w:r>
      <w:r>
        <w:rPr>
          <w:i/>
          <w:color w:val="231F20"/>
          <w:spacing w:val="-21"/>
          <w:w w:val="105"/>
          <w:sz w:val="19"/>
        </w:rPr>
        <w:t xml:space="preserve"> </w:t>
      </w:r>
      <w:r>
        <w:rPr>
          <w:i/>
          <w:color w:val="231F20"/>
          <w:w w:val="105"/>
          <w:sz w:val="19"/>
        </w:rPr>
        <w:t>of</w:t>
      </w:r>
      <w:r>
        <w:rPr>
          <w:i/>
          <w:color w:val="231F20"/>
          <w:spacing w:val="-21"/>
          <w:w w:val="105"/>
          <w:sz w:val="19"/>
        </w:rPr>
        <w:t xml:space="preserve"> </w:t>
      </w:r>
      <w:r>
        <w:rPr>
          <w:i/>
          <w:color w:val="231F20"/>
          <w:w w:val="105"/>
          <w:sz w:val="19"/>
        </w:rPr>
        <w:t>proletarian</w:t>
      </w:r>
      <w:r>
        <w:rPr>
          <w:i/>
          <w:color w:val="231F20"/>
          <w:spacing w:val="-21"/>
          <w:w w:val="105"/>
          <w:sz w:val="19"/>
        </w:rPr>
        <w:t xml:space="preserve"> </w:t>
      </w:r>
      <w:r>
        <w:rPr>
          <w:i/>
          <w:color w:val="231F20"/>
          <w:w w:val="105"/>
          <w:sz w:val="19"/>
        </w:rPr>
        <w:t>revolution.</w:t>
      </w:r>
      <w:r>
        <w:rPr>
          <w:i/>
          <w:color w:val="231F20"/>
          <w:spacing w:val="-30"/>
          <w:w w:val="105"/>
          <w:sz w:val="19"/>
        </w:rPr>
        <w:t xml:space="preserve"> </w:t>
      </w:r>
      <w:r>
        <w:rPr>
          <w:i/>
          <w:color w:val="231F20"/>
          <w:w w:val="105"/>
          <w:sz w:val="19"/>
        </w:rPr>
        <w:t>The</w:t>
      </w:r>
      <w:r>
        <w:rPr>
          <w:i/>
          <w:color w:val="231F20"/>
          <w:spacing w:val="-21"/>
          <w:w w:val="105"/>
          <w:sz w:val="19"/>
        </w:rPr>
        <w:t xml:space="preserve"> </w:t>
      </w:r>
      <w:r>
        <w:rPr>
          <w:i/>
          <w:color w:val="231F20"/>
          <w:w w:val="105"/>
          <w:sz w:val="19"/>
        </w:rPr>
        <w:t>fact</w:t>
      </w:r>
      <w:r>
        <w:rPr>
          <w:i/>
          <w:color w:val="231F20"/>
          <w:spacing w:val="-21"/>
          <w:w w:val="105"/>
          <w:sz w:val="19"/>
        </w:rPr>
        <w:t xml:space="preserve"> </w:t>
      </w:r>
      <w:r>
        <w:rPr>
          <w:i/>
          <w:color w:val="231F20"/>
          <w:w w:val="105"/>
          <w:sz w:val="19"/>
        </w:rPr>
        <w:t>that</w:t>
      </w:r>
      <w:r>
        <w:rPr>
          <w:i/>
          <w:color w:val="231F20"/>
          <w:spacing w:val="-21"/>
          <w:w w:val="105"/>
          <w:sz w:val="19"/>
        </w:rPr>
        <w:t xml:space="preserve"> </w:t>
      </w:r>
      <w:r>
        <w:rPr>
          <w:i/>
          <w:color w:val="231F20"/>
          <w:w w:val="105"/>
          <w:sz w:val="19"/>
        </w:rPr>
        <w:t>his</w:t>
      </w:r>
      <w:r>
        <w:rPr>
          <w:i/>
          <w:color w:val="231F20"/>
          <w:spacing w:val="-21"/>
          <w:w w:val="105"/>
          <w:sz w:val="19"/>
        </w:rPr>
        <w:t xml:space="preserve"> </w:t>
      </w:r>
      <w:r>
        <w:rPr>
          <w:i/>
          <w:color w:val="231F20"/>
          <w:w w:val="105"/>
          <w:sz w:val="19"/>
        </w:rPr>
        <w:t>existential experience</w:t>
      </w:r>
      <w:r>
        <w:rPr>
          <w:i/>
          <w:color w:val="231F20"/>
          <w:spacing w:val="-11"/>
          <w:w w:val="105"/>
          <w:sz w:val="19"/>
        </w:rPr>
        <w:t xml:space="preserve"> </w:t>
      </w:r>
      <w:r>
        <w:rPr>
          <w:i/>
          <w:color w:val="231F20"/>
          <w:w w:val="105"/>
          <w:sz w:val="19"/>
        </w:rPr>
        <w:t>with</w:t>
      </w:r>
      <w:r>
        <w:rPr>
          <w:i/>
          <w:color w:val="231F20"/>
          <w:spacing w:val="-11"/>
          <w:w w:val="105"/>
          <w:sz w:val="19"/>
        </w:rPr>
        <w:t xml:space="preserve"> </w:t>
      </w:r>
      <w:r>
        <w:rPr>
          <w:i/>
          <w:color w:val="231F20"/>
          <w:w w:val="105"/>
          <w:sz w:val="19"/>
        </w:rPr>
        <w:t>violence</w:t>
      </w:r>
      <w:r>
        <w:rPr>
          <w:i/>
          <w:color w:val="231F20"/>
          <w:spacing w:val="-11"/>
          <w:w w:val="105"/>
          <w:sz w:val="19"/>
        </w:rPr>
        <w:t xml:space="preserve"> </w:t>
      </w:r>
      <w:r>
        <w:rPr>
          <w:i/>
          <w:color w:val="231F20"/>
          <w:w w:val="105"/>
          <w:sz w:val="19"/>
        </w:rPr>
        <w:t>resulted</w:t>
      </w:r>
      <w:r>
        <w:rPr>
          <w:i/>
          <w:color w:val="231F20"/>
          <w:spacing w:val="-11"/>
          <w:w w:val="105"/>
          <w:sz w:val="19"/>
        </w:rPr>
        <w:t xml:space="preserve"> </w:t>
      </w:r>
      <w:r>
        <w:rPr>
          <w:i/>
          <w:color w:val="231F20"/>
          <w:w w:val="105"/>
          <w:sz w:val="19"/>
        </w:rPr>
        <w:t>in</w:t>
      </w:r>
      <w:r>
        <w:rPr>
          <w:i/>
          <w:color w:val="231F20"/>
          <w:spacing w:val="-11"/>
          <w:w w:val="105"/>
          <w:sz w:val="19"/>
        </w:rPr>
        <w:t xml:space="preserve"> </w:t>
      </w:r>
      <w:r>
        <w:rPr>
          <w:i/>
          <w:color w:val="231F20"/>
          <w:w w:val="105"/>
          <w:sz w:val="19"/>
        </w:rPr>
        <w:t>his</w:t>
      </w:r>
      <w:r>
        <w:rPr>
          <w:i/>
          <w:color w:val="231F20"/>
          <w:spacing w:val="-11"/>
          <w:w w:val="105"/>
          <w:sz w:val="19"/>
        </w:rPr>
        <w:t xml:space="preserve"> </w:t>
      </w:r>
      <w:r>
        <w:rPr>
          <w:i/>
          <w:color w:val="231F20"/>
          <w:w w:val="105"/>
          <w:sz w:val="19"/>
        </w:rPr>
        <w:t>reassessment</w:t>
      </w:r>
      <w:r>
        <w:rPr>
          <w:i/>
          <w:color w:val="231F20"/>
          <w:spacing w:val="-11"/>
          <w:w w:val="105"/>
          <w:sz w:val="19"/>
        </w:rPr>
        <w:t xml:space="preserve"> </w:t>
      </w:r>
      <w:r>
        <w:rPr>
          <w:i/>
          <w:color w:val="231F20"/>
          <w:w w:val="105"/>
          <w:sz w:val="19"/>
        </w:rPr>
        <w:t>of</w:t>
      </w:r>
      <w:r>
        <w:rPr>
          <w:i/>
          <w:color w:val="231F20"/>
          <w:spacing w:val="-11"/>
          <w:w w:val="105"/>
          <w:sz w:val="19"/>
        </w:rPr>
        <w:t xml:space="preserve"> </w:t>
      </w:r>
      <w:r>
        <w:rPr>
          <w:i/>
          <w:color w:val="231F20"/>
          <w:w w:val="105"/>
          <w:sz w:val="19"/>
        </w:rPr>
        <w:t>the</w:t>
      </w:r>
      <w:r>
        <w:rPr>
          <w:i/>
          <w:color w:val="231F20"/>
          <w:spacing w:val="-11"/>
          <w:w w:val="105"/>
          <w:sz w:val="19"/>
        </w:rPr>
        <w:t xml:space="preserve"> </w:t>
      </w:r>
      <w:r>
        <w:rPr>
          <w:i/>
          <w:color w:val="231F20"/>
          <w:w w:val="105"/>
          <w:sz w:val="19"/>
        </w:rPr>
        <w:t>entire revolutionary process being in a state of crisis was probably due to his own lack of political</w:t>
      </w:r>
      <w:r>
        <w:rPr>
          <w:i/>
          <w:color w:val="231F20"/>
          <w:spacing w:val="37"/>
          <w:w w:val="105"/>
          <w:sz w:val="19"/>
        </w:rPr>
        <w:t xml:space="preserve"> </w:t>
      </w:r>
      <w:r>
        <w:rPr>
          <w:i/>
          <w:color w:val="231F20"/>
          <w:w w:val="105"/>
          <w:sz w:val="19"/>
        </w:rPr>
        <w:t>self-understanding.</w:t>
      </w:r>
      <w:r>
        <w:rPr>
          <w:i/>
          <w:color w:val="231F20"/>
          <w:w w:val="105"/>
          <w:position w:val="6"/>
          <w:sz w:val="11"/>
        </w:rPr>
        <w:t>3</w:t>
      </w:r>
    </w:p>
    <w:p w14:paraId="31B7DFBB" w14:textId="77777777" w:rsidR="002653E8" w:rsidRDefault="003115E3">
      <w:pPr>
        <w:pStyle w:val="a3"/>
        <w:spacing w:before="132" w:line="264" w:lineRule="auto"/>
        <w:ind w:left="1327" w:right="1147"/>
        <w:jc w:val="both"/>
      </w:pPr>
      <w:r>
        <w:rPr>
          <w:color w:val="231F20"/>
        </w:rPr>
        <w:t xml:space="preserve">While not everyone followed Fischer in this retreat, many did, and the </w:t>
      </w:r>
      <w:r>
        <w:rPr>
          <w:i/>
          <w:color w:val="231F20"/>
        </w:rPr>
        <w:t xml:space="preserve">sponti </w:t>
      </w:r>
      <w:r>
        <w:rPr>
          <w:color w:val="231F20"/>
        </w:rPr>
        <w:t>scene’s inability to cope with escalation as it occurred indicated that it had indeed reached its limits. A long period of decline ensued.</w:t>
      </w:r>
    </w:p>
    <w:p w14:paraId="760ED356" w14:textId="77777777" w:rsidR="002653E8" w:rsidRDefault="003115E3">
      <w:pPr>
        <w:pStyle w:val="a3"/>
        <w:spacing w:line="264" w:lineRule="auto"/>
        <w:ind w:left="1327" w:right="1145" w:firstLine="210"/>
        <w:jc w:val="both"/>
        <w:rPr>
          <w:sz w:val="11"/>
        </w:rPr>
      </w:pPr>
      <w:r>
        <w:rPr>
          <w:color w:val="231F20"/>
        </w:rPr>
        <w:t>By the winter of 1977-78, as the postwar generation lay besieged by the</w:t>
      </w:r>
      <w:r>
        <w:rPr>
          <w:color w:val="231F20"/>
          <w:spacing w:val="-8"/>
        </w:rPr>
        <w:t xml:space="preserve"> </w:t>
      </w:r>
      <w:r>
        <w:rPr>
          <w:color w:val="231F20"/>
        </w:rPr>
        <w:t>worst</w:t>
      </w:r>
      <w:r>
        <w:rPr>
          <w:color w:val="231F20"/>
          <w:spacing w:val="-8"/>
        </w:rPr>
        <w:t xml:space="preserve"> </w:t>
      </w:r>
      <w:r>
        <w:rPr>
          <w:color w:val="231F20"/>
        </w:rPr>
        <w:t>repression</w:t>
      </w:r>
      <w:r>
        <w:rPr>
          <w:color w:val="231F20"/>
          <w:spacing w:val="-8"/>
        </w:rPr>
        <w:t xml:space="preserve"> </w:t>
      </w:r>
      <w:r>
        <w:rPr>
          <w:color w:val="231F20"/>
        </w:rPr>
        <w:t>they</w:t>
      </w:r>
      <w:r>
        <w:rPr>
          <w:color w:val="231F20"/>
          <w:spacing w:val="-8"/>
        </w:rPr>
        <w:t xml:space="preserve"> </w:t>
      </w:r>
      <w:r>
        <w:rPr>
          <w:color w:val="231F20"/>
        </w:rPr>
        <w:t>had</w:t>
      </w:r>
      <w:r>
        <w:rPr>
          <w:color w:val="231F20"/>
          <w:spacing w:val="-8"/>
        </w:rPr>
        <w:t xml:space="preserve"> </w:t>
      </w:r>
      <w:r>
        <w:rPr>
          <w:color w:val="231F20"/>
        </w:rPr>
        <w:t>ever</w:t>
      </w:r>
      <w:r>
        <w:rPr>
          <w:color w:val="231F20"/>
          <w:spacing w:val="-8"/>
        </w:rPr>
        <w:t xml:space="preserve"> </w:t>
      </w:r>
      <w:r>
        <w:rPr>
          <w:color w:val="231F20"/>
        </w:rPr>
        <w:t>experienced,</w:t>
      </w:r>
      <w:r>
        <w:rPr>
          <w:color w:val="231F20"/>
          <w:spacing w:val="-7"/>
        </w:rPr>
        <w:t xml:space="preserve"> </w:t>
      </w:r>
      <w:r>
        <w:rPr>
          <w:i/>
          <w:color w:val="231F20"/>
          <w:spacing w:val="1"/>
        </w:rPr>
        <w:t>Pflasterstrand</w:t>
      </w:r>
      <w:r>
        <w:rPr>
          <w:i/>
          <w:color w:val="231F20"/>
          <w:spacing w:val="-8"/>
        </w:rPr>
        <w:t xml:space="preserve"> </w:t>
      </w:r>
      <w:r>
        <w:rPr>
          <w:color w:val="231F20"/>
        </w:rPr>
        <w:t>would</w:t>
      </w:r>
      <w:r>
        <w:rPr>
          <w:color w:val="231F20"/>
          <w:spacing w:val="-8"/>
        </w:rPr>
        <w:t xml:space="preserve"> </w:t>
      </w:r>
      <w:r>
        <w:rPr>
          <w:color w:val="231F20"/>
        </w:rPr>
        <w:t>be focusing on male anxieties about non-penetrative sex,</w:t>
      </w:r>
      <w:r>
        <w:rPr>
          <w:color w:val="231F20"/>
          <w:position w:val="7"/>
          <w:sz w:val="11"/>
        </w:rPr>
        <w:t xml:space="preserve">4 </w:t>
      </w:r>
      <w:r>
        <w:rPr>
          <w:color w:val="231F20"/>
        </w:rPr>
        <w:t xml:space="preserve">and, by the early 1980s, Fischer and Cohn-Bendit were leading former </w:t>
      </w:r>
      <w:r>
        <w:rPr>
          <w:i/>
          <w:color w:val="231F20"/>
        </w:rPr>
        <w:t xml:space="preserve">spontis </w:t>
      </w:r>
      <w:r>
        <w:rPr>
          <w:color w:val="231F20"/>
        </w:rPr>
        <w:t>and other leftists into the Green Party, where they coalesced in a “realo” faction opposing the Greens’ more radical grassroots wing.</w:t>
      </w:r>
      <w:r>
        <w:rPr>
          <w:color w:val="231F20"/>
          <w:position w:val="7"/>
          <w:sz w:val="11"/>
        </w:rPr>
        <w:t xml:space="preserve">5 </w:t>
      </w:r>
      <w:r>
        <w:rPr>
          <w:color w:val="231F20"/>
        </w:rPr>
        <w:t xml:space="preserve">By </w:t>
      </w:r>
      <w:r>
        <w:rPr>
          <w:color w:val="231F20"/>
          <w:spacing w:val="-4"/>
        </w:rPr>
        <w:t xml:space="preserve">1998, </w:t>
      </w:r>
      <w:r>
        <w:rPr>
          <w:color w:val="231F20"/>
        </w:rPr>
        <w:t xml:space="preserve">the former street fighter had become Germany’s Green Foreign Minister, who was instrumental in formulating the country’s decision to take part in </w:t>
      </w:r>
      <w:r>
        <w:rPr>
          <w:color w:val="231F20"/>
          <w:spacing w:val="-4"/>
        </w:rPr>
        <w:t xml:space="preserve">NATO’s </w:t>
      </w:r>
      <w:r>
        <w:rPr>
          <w:color w:val="231F20"/>
        </w:rPr>
        <w:t>war against Serbia in</w:t>
      </w:r>
      <w:r>
        <w:rPr>
          <w:color w:val="231F20"/>
          <w:spacing w:val="30"/>
        </w:rPr>
        <w:t xml:space="preserve"> </w:t>
      </w:r>
      <w:r>
        <w:rPr>
          <w:color w:val="231F20"/>
          <w:spacing w:val="-3"/>
        </w:rPr>
        <w:t>1999.</w:t>
      </w:r>
      <w:r>
        <w:rPr>
          <w:color w:val="231F20"/>
          <w:spacing w:val="-3"/>
          <w:position w:val="7"/>
          <w:sz w:val="11"/>
        </w:rPr>
        <w:t>6</w:t>
      </w:r>
    </w:p>
    <w:p w14:paraId="31CE723E" w14:textId="77777777" w:rsidR="002653E8" w:rsidRDefault="003115E3">
      <w:pPr>
        <w:pStyle w:val="a3"/>
        <w:spacing w:line="264" w:lineRule="auto"/>
        <w:ind w:left="1327" w:right="1146" w:firstLine="210"/>
        <w:jc w:val="both"/>
      </w:pPr>
      <w:r>
        <w:rPr>
          <w:color w:val="231F20"/>
        </w:rPr>
        <w:t xml:space="preserve">As a somewhat Shakespearian postscript to Fischer’s colorful career, in 2001, Ulrike Meinhof’s daughter </w:t>
      </w:r>
      <w:r>
        <w:rPr>
          <w:color w:val="231F20"/>
          <w:spacing w:val="1"/>
        </w:rPr>
        <w:t xml:space="preserve">Bettina </w:t>
      </w:r>
      <w:r>
        <w:rPr>
          <w:color w:val="231F20"/>
        </w:rPr>
        <w:t xml:space="preserve">Röhl came into possession  of photographs of the Foreign Minister in his Putz Group days beating up a cop. Clearly marked by her mother’s larger than life experiences, Röhl is a woman with an axe to grind against anyone and everyone connected to the seventies radical left. She  published  the  photos  on her website, provoking a furor in Germany, but failing to really dam age Fischer’s reputation in any </w:t>
      </w:r>
      <w:r>
        <w:rPr>
          <w:color w:val="231F20"/>
          <w:spacing w:val="-5"/>
        </w:rPr>
        <w:t xml:space="preserve">way, </w:t>
      </w:r>
      <w:r>
        <w:rPr>
          <w:color w:val="231F20"/>
        </w:rPr>
        <w:t>though greatly raising his profile internationally.</w:t>
      </w:r>
    </w:p>
    <w:p w14:paraId="580192DB" w14:textId="77777777" w:rsidR="002653E8" w:rsidRDefault="003115E3">
      <w:pPr>
        <w:pStyle w:val="a3"/>
        <w:spacing w:line="264" w:lineRule="auto"/>
        <w:ind w:left="1327" w:right="1146" w:firstLine="210"/>
        <w:jc w:val="both"/>
      </w:pPr>
      <w:r>
        <w:rPr>
          <w:color w:val="231F20"/>
        </w:rPr>
        <w:t>It was not that the man was untouchable; rather, his own life arc was simply a more vivid version of that of countless men and women of his generation.</w:t>
      </w:r>
    </w:p>
    <w:p w14:paraId="4F6BCFB2" w14:textId="77777777" w:rsidR="002653E8" w:rsidRDefault="00000000">
      <w:pPr>
        <w:pStyle w:val="a3"/>
        <w:spacing w:before="10"/>
        <w:rPr>
          <w:sz w:val="17"/>
        </w:rPr>
      </w:pPr>
      <w:r>
        <w:rPr>
          <w:noProof w:val="0"/>
        </w:rPr>
        <w:pict w14:anchorId="0BAA357B">
          <v:line id="_x0000_s2233" style="position:absolute;z-index:9376;mso-wrap-distance-left:0;mso-wrap-distance-right:0;mso-position-horizontal-relative:page" from="66.4pt,12.65pt" to="138.4pt,12.65pt" strokecolor="#231f20" strokeweight=".5pt">
            <w10:wrap type="topAndBottom" anchorx="page"/>
          </v:line>
        </w:pict>
      </w:r>
    </w:p>
    <w:p w14:paraId="760BCE55" w14:textId="77777777" w:rsidR="002653E8" w:rsidRDefault="003115E3">
      <w:pPr>
        <w:pStyle w:val="a4"/>
        <w:numPr>
          <w:ilvl w:val="0"/>
          <w:numId w:val="71"/>
        </w:numPr>
        <w:tabs>
          <w:tab w:val="left" w:pos="1467"/>
        </w:tabs>
        <w:spacing w:before="53"/>
        <w:ind w:left="1466"/>
        <w:jc w:val="left"/>
        <w:rPr>
          <w:sz w:val="16"/>
        </w:rPr>
      </w:pPr>
      <w:bookmarkStart w:id="208" w:name="_Hlk130693927"/>
      <w:r>
        <w:rPr>
          <w:color w:val="231F20"/>
          <w:w w:val="110"/>
          <w:sz w:val="16"/>
        </w:rPr>
        <w:t>Geronimo.</w:t>
      </w:r>
    </w:p>
    <w:p w14:paraId="3DF77795" w14:textId="77777777" w:rsidR="002653E8" w:rsidRDefault="003115E3">
      <w:pPr>
        <w:spacing w:before="51"/>
        <w:ind w:left="1327"/>
        <w:rPr>
          <w:sz w:val="16"/>
        </w:rPr>
      </w:pPr>
      <w:r>
        <w:rPr>
          <w:color w:val="231F20"/>
          <w:w w:val="110"/>
          <w:sz w:val="16"/>
        </w:rPr>
        <w:t>4 Herzog, 429-430.</w:t>
      </w:r>
    </w:p>
    <w:p w14:paraId="59B36DC3" w14:textId="77777777" w:rsidR="002653E8" w:rsidRDefault="003115E3">
      <w:pPr>
        <w:spacing w:before="52"/>
        <w:ind w:left="1327"/>
        <w:rPr>
          <w:sz w:val="16"/>
        </w:rPr>
      </w:pPr>
      <w:r>
        <w:rPr>
          <w:color w:val="231F20"/>
          <w:w w:val="110"/>
          <w:sz w:val="16"/>
        </w:rPr>
        <w:t>5 Hockenos, 167, 169.</w:t>
      </w:r>
    </w:p>
    <w:p w14:paraId="5386BB7D" w14:textId="77777777" w:rsidR="002653E8" w:rsidRDefault="003115E3">
      <w:pPr>
        <w:spacing w:before="52"/>
        <w:ind w:left="1327"/>
        <w:rPr>
          <w:sz w:val="16"/>
        </w:rPr>
      </w:pPr>
      <w:r>
        <w:rPr>
          <w:color w:val="231F20"/>
          <w:w w:val="110"/>
          <w:sz w:val="16"/>
        </w:rPr>
        <w:t>6 Ibid., 258, 267-268.</w:t>
      </w:r>
    </w:p>
    <w:bookmarkEnd w:id="208"/>
    <w:p w14:paraId="72D38898" w14:textId="77777777" w:rsidR="002653E8" w:rsidRDefault="002653E8">
      <w:pPr>
        <w:rPr>
          <w:sz w:val="16"/>
        </w:rPr>
        <w:sectPr w:rsidR="002653E8">
          <w:pgSz w:w="8640" w:h="12960"/>
          <w:pgMar w:top="1060" w:right="0" w:bottom="1040" w:left="0" w:header="0" w:footer="850" w:gutter="0"/>
          <w:cols w:space="720"/>
        </w:sectPr>
      </w:pPr>
    </w:p>
    <w:p w14:paraId="382C156C" w14:textId="40F3A582" w:rsidR="002653E8" w:rsidRDefault="003115E3">
      <w:pPr>
        <w:spacing w:before="87"/>
        <w:ind w:left="1147"/>
      </w:pPr>
      <w:r>
        <w:rPr>
          <w:color w:val="231F20"/>
          <w:w w:val="120"/>
        </w:rPr>
        <w:lastRenderedPageBreak/>
        <w:t>women</w:t>
      </w:r>
      <w:r>
        <w:rPr>
          <w:color w:val="231F20"/>
          <w:w w:val="120"/>
          <w:sz w:val="19"/>
        </w:rPr>
        <w:t>’</w:t>
      </w:r>
      <w:r>
        <w:rPr>
          <w:color w:val="231F20"/>
          <w:w w:val="120"/>
        </w:rPr>
        <w:t>s liberation</w:t>
      </w:r>
    </w:p>
    <w:p w14:paraId="0E3EA0C9" w14:textId="77777777" w:rsidR="002653E8" w:rsidRDefault="003115E3">
      <w:pPr>
        <w:pStyle w:val="a3"/>
        <w:spacing w:before="18" w:line="264" w:lineRule="auto"/>
        <w:ind w:left="1147" w:right="1326"/>
        <w:jc w:val="both"/>
      </w:pPr>
      <w:r>
        <w:rPr>
          <w:color w:val="231F20"/>
        </w:rPr>
        <w:t xml:space="preserve">Dwarfing the </w:t>
      </w:r>
      <w:r>
        <w:rPr>
          <w:i/>
          <w:color w:val="231F20"/>
        </w:rPr>
        <w:t xml:space="preserve">spontis </w:t>
      </w:r>
      <w:r>
        <w:rPr>
          <w:color w:val="231F20"/>
        </w:rPr>
        <w:t xml:space="preserve">and the K-groups, the strongest movements in the </w:t>
      </w:r>
      <w:r>
        <w:rPr>
          <w:color w:val="231F20"/>
          <w:spacing w:val="-3"/>
        </w:rPr>
        <w:t xml:space="preserve">1970s </w:t>
      </w:r>
      <w:r>
        <w:rPr>
          <w:color w:val="231F20"/>
        </w:rPr>
        <w:t xml:space="preserve">in </w:t>
      </w:r>
      <w:r>
        <w:rPr>
          <w:color w:val="231F20"/>
          <w:spacing w:val="-3"/>
        </w:rPr>
        <w:t xml:space="preserve">West </w:t>
      </w:r>
      <w:r>
        <w:rPr>
          <w:color w:val="231F20"/>
        </w:rPr>
        <w:t xml:space="preserve">Germany were clearly the </w:t>
      </w:r>
      <w:r>
        <w:rPr>
          <w:color w:val="231F20"/>
          <w:spacing w:val="-3"/>
        </w:rPr>
        <w:t xml:space="preserve">women’s </w:t>
      </w:r>
      <w:r>
        <w:rPr>
          <w:color w:val="231F20"/>
        </w:rPr>
        <w:t xml:space="preserve">liberation movement and the </w:t>
      </w:r>
      <w:r>
        <w:rPr>
          <w:i/>
          <w:color w:val="231F20"/>
        </w:rPr>
        <w:t xml:space="preserve">Bürgerinitiativen </w:t>
      </w:r>
      <w:r>
        <w:rPr>
          <w:color w:val="231F20"/>
        </w:rPr>
        <w:t xml:space="preserve">(Citizens Initiatives). At the same time, these movements remained far more interesting than the SPD or its left-wing, the </w:t>
      </w:r>
      <w:r>
        <w:rPr>
          <w:i/>
          <w:color w:val="231F20"/>
        </w:rPr>
        <w:t>Jusos</w:t>
      </w:r>
      <w:r>
        <w:rPr>
          <w:color w:val="231F20"/>
        </w:rPr>
        <w:t>. Of course, the comparison is not really fair, for both these  were broad movements which could, and did, overlap with each other, with the various strains of the radical left, and with sections of the mainstream political</w:t>
      </w:r>
      <w:r>
        <w:rPr>
          <w:color w:val="231F20"/>
          <w:spacing w:val="22"/>
        </w:rPr>
        <w:t xml:space="preserve"> </w:t>
      </w:r>
      <w:r>
        <w:rPr>
          <w:color w:val="231F20"/>
        </w:rPr>
        <w:t>spectrum.</w:t>
      </w:r>
    </w:p>
    <w:p w14:paraId="13AAFC9D" w14:textId="77777777" w:rsidR="002653E8" w:rsidRDefault="003115E3">
      <w:pPr>
        <w:pStyle w:val="a3"/>
        <w:spacing w:line="264" w:lineRule="auto"/>
        <w:ind w:left="1147" w:right="1326" w:firstLine="210"/>
        <w:jc w:val="both"/>
      </w:pPr>
      <w:r>
        <w:rPr>
          <w:color w:val="231F20"/>
        </w:rPr>
        <w:t>While both of these movements drew on the legacy of the APO, neither one fit comfortably within the categories of the left, New or Old,  nor were they preoccupied with doing so. This provided the basis for very</w:t>
      </w:r>
      <w:r>
        <w:rPr>
          <w:color w:val="231F20"/>
          <w:spacing w:val="10"/>
        </w:rPr>
        <w:t xml:space="preserve"> </w:t>
      </w:r>
      <w:r>
        <w:rPr>
          <w:color w:val="231F20"/>
        </w:rPr>
        <w:t>different</w:t>
      </w:r>
      <w:r>
        <w:rPr>
          <w:color w:val="231F20"/>
          <w:spacing w:val="10"/>
        </w:rPr>
        <w:t xml:space="preserve"> </w:t>
      </w:r>
      <w:r>
        <w:rPr>
          <w:color w:val="231F20"/>
        </w:rPr>
        <w:t>reactions</w:t>
      </w:r>
      <w:r>
        <w:rPr>
          <w:color w:val="231F20"/>
          <w:spacing w:val="10"/>
        </w:rPr>
        <w:t xml:space="preserve"> </w:t>
      </w:r>
      <w:r>
        <w:rPr>
          <w:color w:val="231F20"/>
        </w:rPr>
        <w:t>from</w:t>
      </w:r>
      <w:r>
        <w:rPr>
          <w:color w:val="231F20"/>
          <w:spacing w:val="10"/>
        </w:rPr>
        <w:t xml:space="preserve"> </w:t>
      </w:r>
      <w:r>
        <w:rPr>
          <w:color w:val="231F20"/>
        </w:rPr>
        <w:t>the</w:t>
      </w:r>
      <w:r>
        <w:rPr>
          <w:color w:val="231F20"/>
          <w:spacing w:val="10"/>
        </w:rPr>
        <w:t xml:space="preserve"> </w:t>
      </w:r>
      <w:r>
        <w:rPr>
          <w:color w:val="231F20"/>
        </w:rPr>
        <w:t>different</w:t>
      </w:r>
      <w:r>
        <w:rPr>
          <w:color w:val="231F20"/>
          <w:spacing w:val="10"/>
        </w:rPr>
        <w:t xml:space="preserve"> </w:t>
      </w:r>
      <w:r>
        <w:rPr>
          <w:color w:val="231F20"/>
        </w:rPr>
        <w:t>guerilla</w:t>
      </w:r>
      <w:r>
        <w:rPr>
          <w:color w:val="231F20"/>
          <w:spacing w:val="10"/>
        </w:rPr>
        <w:t xml:space="preserve"> </w:t>
      </w:r>
      <w:r>
        <w:rPr>
          <w:color w:val="231F20"/>
        </w:rPr>
        <w:t>groups.</w:t>
      </w:r>
    </w:p>
    <w:p w14:paraId="21A9D25A" w14:textId="77777777" w:rsidR="002653E8" w:rsidRDefault="003115E3">
      <w:pPr>
        <w:pStyle w:val="a3"/>
        <w:spacing w:line="264" w:lineRule="auto"/>
        <w:ind w:left="1147" w:right="1326" w:firstLine="210"/>
        <w:jc w:val="both"/>
      </w:pPr>
      <w:r>
        <w:rPr>
          <w:color w:val="231F20"/>
        </w:rPr>
        <w:t xml:space="preserve">While the significance of the </w:t>
      </w:r>
      <w:r>
        <w:rPr>
          <w:color w:val="231F20"/>
          <w:spacing w:val="-3"/>
        </w:rPr>
        <w:t xml:space="preserve">“women’s  </w:t>
      </w:r>
      <w:r>
        <w:rPr>
          <w:color w:val="231F20"/>
        </w:rPr>
        <w:t>question”  had  obviously  been recognized in Germany since well before the time of the Federal Republic, the 1960s saw the emergence of a new feminism there, as      in many other countries. This new wave was born of the insights and rebellious spirit of the anticolonial revolutions and the students’ movement, but even more so as a result of the frustration radical women experienced when the left failed to live up to its promise, proving itself as</w:t>
      </w:r>
      <w:r>
        <w:rPr>
          <w:color w:val="231F20"/>
          <w:spacing w:val="10"/>
        </w:rPr>
        <w:t xml:space="preserve"> </w:t>
      </w:r>
      <w:r>
        <w:rPr>
          <w:color w:val="231F20"/>
        </w:rPr>
        <w:t>mired</w:t>
      </w:r>
      <w:r>
        <w:rPr>
          <w:color w:val="231F20"/>
          <w:spacing w:val="10"/>
        </w:rPr>
        <w:t xml:space="preserve"> </w:t>
      </w:r>
      <w:r>
        <w:rPr>
          <w:color w:val="231F20"/>
        </w:rPr>
        <w:t>in</w:t>
      </w:r>
      <w:r>
        <w:rPr>
          <w:color w:val="231F20"/>
          <w:spacing w:val="10"/>
        </w:rPr>
        <w:t xml:space="preserve"> </w:t>
      </w:r>
      <w:r>
        <w:rPr>
          <w:color w:val="231F20"/>
        </w:rPr>
        <w:t>sexism</w:t>
      </w:r>
      <w:r>
        <w:rPr>
          <w:color w:val="231F20"/>
          <w:spacing w:val="10"/>
        </w:rPr>
        <w:t xml:space="preserve"> </w:t>
      </w:r>
      <w:r>
        <w:rPr>
          <w:color w:val="231F20"/>
        </w:rPr>
        <w:t>as</w:t>
      </w:r>
      <w:r>
        <w:rPr>
          <w:color w:val="231F20"/>
          <w:spacing w:val="10"/>
        </w:rPr>
        <w:t xml:space="preserve"> </w:t>
      </w:r>
      <w:r>
        <w:rPr>
          <w:color w:val="231F20"/>
        </w:rPr>
        <w:t>the</w:t>
      </w:r>
      <w:r>
        <w:rPr>
          <w:color w:val="231F20"/>
          <w:spacing w:val="10"/>
        </w:rPr>
        <w:t xml:space="preserve"> </w:t>
      </w:r>
      <w:r>
        <w:rPr>
          <w:color w:val="231F20"/>
        </w:rPr>
        <w:t>rest</w:t>
      </w:r>
      <w:r>
        <w:rPr>
          <w:color w:val="231F20"/>
          <w:spacing w:val="10"/>
        </w:rPr>
        <w:t xml:space="preserve"> </w:t>
      </w:r>
      <w:r>
        <w:rPr>
          <w:color w:val="231F20"/>
        </w:rPr>
        <w:t>of</w:t>
      </w:r>
      <w:r>
        <w:rPr>
          <w:color w:val="231F20"/>
          <w:spacing w:val="10"/>
        </w:rPr>
        <w:t xml:space="preserve"> </w:t>
      </w:r>
      <w:r>
        <w:rPr>
          <w:color w:val="231F20"/>
        </w:rPr>
        <w:t>society.</w:t>
      </w:r>
    </w:p>
    <w:p w14:paraId="0AF78CD5" w14:textId="77777777" w:rsidR="002653E8" w:rsidRDefault="002653E8">
      <w:pPr>
        <w:pStyle w:val="a3"/>
      </w:pPr>
    </w:p>
    <w:p w14:paraId="55E27B74" w14:textId="77777777" w:rsidR="002653E8" w:rsidRDefault="003115E3">
      <w:pPr>
        <w:pStyle w:val="a3"/>
        <w:spacing w:before="2"/>
        <w:rPr>
          <w:sz w:val="10"/>
        </w:rPr>
      </w:pPr>
      <w:r>
        <w:drawing>
          <wp:anchor distT="0" distB="0" distL="0" distR="0" simplePos="0" relativeHeight="9400" behindDoc="0" locked="0" layoutInCell="1" allowOverlap="1" wp14:anchorId="1BD27764" wp14:editId="743B0AA5">
            <wp:simplePos x="0" y="0"/>
            <wp:positionH relativeFrom="page">
              <wp:posOffset>1215677</wp:posOffset>
            </wp:positionH>
            <wp:positionV relativeFrom="paragraph">
              <wp:posOffset>101058</wp:posOffset>
            </wp:positionV>
            <wp:extent cx="2954146" cy="1734312"/>
            <wp:effectExtent l="0" t="0" r="0" b="0"/>
            <wp:wrapTopAndBottom/>
            <wp:docPr id="6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7.png"/>
                    <pic:cNvPicPr/>
                  </pic:nvPicPr>
                  <pic:blipFill>
                    <a:blip r:embed="rId373" cstate="print"/>
                    <a:stretch>
                      <a:fillRect/>
                    </a:stretch>
                  </pic:blipFill>
                  <pic:spPr>
                    <a:xfrm>
                      <a:off x="0" y="0"/>
                      <a:ext cx="2954146" cy="1734312"/>
                    </a:xfrm>
                    <a:prstGeom prst="rect">
                      <a:avLst/>
                    </a:prstGeom>
                  </pic:spPr>
                </pic:pic>
              </a:graphicData>
            </a:graphic>
          </wp:anchor>
        </w:drawing>
      </w:r>
    </w:p>
    <w:p w14:paraId="6CA6F432" w14:textId="77777777" w:rsidR="002653E8" w:rsidRDefault="003115E3">
      <w:pPr>
        <w:spacing w:before="143" w:line="244" w:lineRule="auto"/>
        <w:ind w:left="1188" w:right="1405"/>
        <w:rPr>
          <w:i/>
          <w:sz w:val="18"/>
        </w:rPr>
      </w:pPr>
      <w:r>
        <w:rPr>
          <w:i/>
          <w:color w:val="231F20"/>
          <w:spacing w:val="1"/>
          <w:w w:val="105"/>
          <w:sz w:val="18"/>
        </w:rPr>
        <w:t xml:space="preserve">Famous leaflet </w:t>
      </w:r>
      <w:r>
        <w:rPr>
          <w:i/>
          <w:color w:val="231F20"/>
          <w:w w:val="105"/>
          <w:sz w:val="18"/>
        </w:rPr>
        <w:t xml:space="preserve">produced by the “Broad’s Council” of the SDS in 1968: “Liberate the Socialist </w:t>
      </w:r>
      <w:r>
        <w:rPr>
          <w:i/>
          <w:color w:val="231F20"/>
          <w:spacing w:val="1"/>
          <w:w w:val="105"/>
          <w:sz w:val="18"/>
        </w:rPr>
        <w:t xml:space="preserve">Men </w:t>
      </w:r>
      <w:r>
        <w:rPr>
          <w:i/>
          <w:color w:val="231F20"/>
          <w:w w:val="105"/>
          <w:sz w:val="18"/>
        </w:rPr>
        <w:t xml:space="preserve">from their  Bourgeois  Dicks.”  The  </w:t>
      </w:r>
      <w:r>
        <w:rPr>
          <w:i/>
          <w:color w:val="231F20"/>
          <w:spacing w:val="1"/>
          <w:w w:val="105"/>
          <w:sz w:val="18"/>
        </w:rPr>
        <w:t xml:space="preserve">men  </w:t>
      </w:r>
      <w:r>
        <w:rPr>
          <w:i/>
          <w:color w:val="231F20"/>
          <w:w w:val="105"/>
          <w:sz w:val="18"/>
        </w:rPr>
        <w:t xml:space="preserve">whose six penises were mounted on the wall above the </w:t>
      </w:r>
      <w:r>
        <w:rPr>
          <w:i/>
          <w:color w:val="231F20"/>
          <w:spacing w:val="1"/>
          <w:w w:val="105"/>
          <w:sz w:val="18"/>
        </w:rPr>
        <w:t xml:space="preserve">axe-wielding </w:t>
      </w:r>
      <w:r>
        <w:rPr>
          <w:i/>
          <w:color w:val="231F20"/>
          <w:w w:val="105"/>
          <w:sz w:val="18"/>
        </w:rPr>
        <w:t xml:space="preserve">woman had their </w:t>
      </w:r>
      <w:r>
        <w:rPr>
          <w:i/>
          <w:color w:val="231F20"/>
          <w:spacing w:val="1"/>
          <w:w w:val="105"/>
          <w:sz w:val="18"/>
        </w:rPr>
        <w:t xml:space="preserve">names </w:t>
      </w:r>
      <w:r>
        <w:rPr>
          <w:i/>
          <w:color w:val="231F20"/>
          <w:w w:val="105"/>
          <w:sz w:val="18"/>
        </w:rPr>
        <w:t xml:space="preserve">listed below: </w:t>
      </w:r>
      <w:bookmarkStart w:id="209" w:name="_Hlk130694401"/>
      <w:r>
        <w:rPr>
          <w:i/>
          <w:color w:val="231F20"/>
          <w:w w:val="105"/>
          <w:sz w:val="18"/>
        </w:rPr>
        <w:t xml:space="preserve">Helmut Schauer, Peter Gäng, </w:t>
      </w:r>
      <w:r>
        <w:rPr>
          <w:i/>
          <w:color w:val="231F20"/>
          <w:spacing w:val="1"/>
          <w:w w:val="105"/>
          <w:sz w:val="18"/>
        </w:rPr>
        <w:t xml:space="preserve">Dieter Kunzelmann, Hans-Jürgen </w:t>
      </w:r>
      <w:r>
        <w:rPr>
          <w:i/>
          <w:color w:val="231F20"/>
          <w:w w:val="105"/>
          <w:sz w:val="18"/>
        </w:rPr>
        <w:t xml:space="preserve">Krahl, </w:t>
      </w:r>
      <w:r>
        <w:rPr>
          <w:i/>
          <w:color w:val="231F20"/>
          <w:spacing w:val="2"/>
          <w:w w:val="105"/>
          <w:sz w:val="18"/>
        </w:rPr>
        <w:t xml:space="preserve">Bernd </w:t>
      </w:r>
      <w:r>
        <w:rPr>
          <w:i/>
          <w:color w:val="231F20"/>
          <w:w w:val="105"/>
          <w:sz w:val="18"/>
        </w:rPr>
        <w:t xml:space="preserve">Rabehl, </w:t>
      </w:r>
      <w:r>
        <w:rPr>
          <w:i/>
          <w:color w:val="231F20"/>
          <w:spacing w:val="1"/>
          <w:w w:val="105"/>
          <w:sz w:val="18"/>
        </w:rPr>
        <w:t xml:space="preserve">and </w:t>
      </w:r>
      <w:r>
        <w:rPr>
          <w:i/>
          <w:color w:val="231F20"/>
          <w:w w:val="105"/>
          <w:sz w:val="18"/>
        </w:rPr>
        <w:t>Reimut Reiche</w:t>
      </w:r>
      <w:bookmarkEnd w:id="209"/>
      <w:r>
        <w:rPr>
          <w:i/>
          <w:color w:val="231F20"/>
          <w:w w:val="105"/>
          <w:sz w:val="18"/>
        </w:rPr>
        <w:t xml:space="preserve"> were all leading </w:t>
      </w:r>
      <w:r>
        <w:rPr>
          <w:i/>
          <w:color w:val="231F20"/>
          <w:spacing w:val="1"/>
          <w:w w:val="105"/>
          <w:sz w:val="18"/>
        </w:rPr>
        <w:t xml:space="preserve">men </w:t>
      </w:r>
      <w:r>
        <w:rPr>
          <w:i/>
          <w:color w:val="231F20"/>
          <w:w w:val="105"/>
          <w:sz w:val="18"/>
        </w:rPr>
        <w:t>in</w:t>
      </w:r>
      <w:r>
        <w:rPr>
          <w:i/>
          <w:color w:val="231F20"/>
          <w:spacing w:val="8"/>
          <w:w w:val="105"/>
          <w:sz w:val="18"/>
        </w:rPr>
        <w:t xml:space="preserve"> </w:t>
      </w:r>
      <w:r>
        <w:rPr>
          <w:i/>
          <w:color w:val="231F20"/>
          <w:w w:val="105"/>
          <w:sz w:val="18"/>
        </w:rPr>
        <w:t>the</w:t>
      </w:r>
      <w:r>
        <w:rPr>
          <w:i/>
          <w:color w:val="231F20"/>
          <w:spacing w:val="8"/>
          <w:w w:val="105"/>
          <w:sz w:val="18"/>
        </w:rPr>
        <w:t xml:space="preserve"> </w:t>
      </w:r>
      <w:r>
        <w:rPr>
          <w:i/>
          <w:color w:val="231F20"/>
          <w:spacing w:val="1"/>
          <w:w w:val="105"/>
          <w:sz w:val="18"/>
        </w:rPr>
        <w:t>APO.</w:t>
      </w:r>
      <w:r>
        <w:rPr>
          <w:i/>
          <w:color w:val="231F20"/>
          <w:spacing w:val="8"/>
          <w:w w:val="105"/>
          <w:sz w:val="18"/>
        </w:rPr>
        <w:t xml:space="preserve"> </w:t>
      </w:r>
      <w:r>
        <w:rPr>
          <w:i/>
          <w:color w:val="231F20"/>
          <w:w w:val="105"/>
          <w:sz w:val="18"/>
        </w:rPr>
        <w:t>A</w:t>
      </w:r>
      <w:r>
        <w:rPr>
          <w:i/>
          <w:color w:val="231F20"/>
          <w:spacing w:val="8"/>
          <w:w w:val="105"/>
          <w:sz w:val="18"/>
        </w:rPr>
        <w:t xml:space="preserve"> </w:t>
      </w:r>
      <w:r>
        <w:rPr>
          <w:i/>
          <w:color w:val="231F20"/>
          <w:w w:val="105"/>
          <w:sz w:val="18"/>
        </w:rPr>
        <w:t>space</w:t>
      </w:r>
      <w:r>
        <w:rPr>
          <w:i/>
          <w:color w:val="231F20"/>
          <w:spacing w:val="8"/>
          <w:w w:val="105"/>
          <w:sz w:val="18"/>
        </w:rPr>
        <w:t xml:space="preserve"> </w:t>
      </w:r>
      <w:r>
        <w:rPr>
          <w:i/>
          <w:color w:val="231F20"/>
          <w:w w:val="105"/>
          <w:sz w:val="18"/>
        </w:rPr>
        <w:t>for</w:t>
      </w:r>
      <w:r>
        <w:rPr>
          <w:i/>
          <w:color w:val="231F20"/>
          <w:spacing w:val="8"/>
          <w:w w:val="105"/>
          <w:sz w:val="18"/>
        </w:rPr>
        <w:t xml:space="preserve"> </w:t>
      </w:r>
      <w:r>
        <w:rPr>
          <w:i/>
          <w:color w:val="231F20"/>
          <w:w w:val="105"/>
          <w:sz w:val="18"/>
        </w:rPr>
        <w:t>a</w:t>
      </w:r>
      <w:r>
        <w:rPr>
          <w:i/>
          <w:color w:val="231F20"/>
          <w:spacing w:val="8"/>
          <w:w w:val="105"/>
          <w:sz w:val="18"/>
        </w:rPr>
        <w:t xml:space="preserve"> </w:t>
      </w:r>
      <w:r>
        <w:rPr>
          <w:i/>
          <w:color w:val="231F20"/>
          <w:w w:val="105"/>
          <w:sz w:val="18"/>
        </w:rPr>
        <w:t>seventh</w:t>
      </w:r>
      <w:r>
        <w:rPr>
          <w:i/>
          <w:color w:val="231F20"/>
          <w:spacing w:val="8"/>
          <w:w w:val="105"/>
          <w:sz w:val="18"/>
        </w:rPr>
        <w:t xml:space="preserve"> </w:t>
      </w:r>
      <w:r>
        <w:rPr>
          <w:i/>
          <w:color w:val="231F20"/>
          <w:spacing w:val="1"/>
          <w:w w:val="105"/>
          <w:sz w:val="18"/>
        </w:rPr>
        <w:t>name</w:t>
      </w:r>
      <w:r>
        <w:rPr>
          <w:i/>
          <w:color w:val="231F20"/>
          <w:spacing w:val="8"/>
          <w:w w:val="105"/>
          <w:sz w:val="18"/>
        </w:rPr>
        <w:t xml:space="preserve"> </w:t>
      </w:r>
      <w:r>
        <w:rPr>
          <w:i/>
          <w:color w:val="231F20"/>
          <w:w w:val="105"/>
          <w:sz w:val="18"/>
        </w:rPr>
        <w:t>was</w:t>
      </w:r>
      <w:r>
        <w:rPr>
          <w:i/>
          <w:color w:val="231F20"/>
          <w:spacing w:val="8"/>
          <w:w w:val="105"/>
          <w:sz w:val="18"/>
        </w:rPr>
        <w:t xml:space="preserve"> </w:t>
      </w:r>
      <w:r>
        <w:rPr>
          <w:i/>
          <w:color w:val="231F20"/>
          <w:spacing w:val="1"/>
          <w:w w:val="105"/>
          <w:sz w:val="18"/>
        </w:rPr>
        <w:t>left</w:t>
      </w:r>
      <w:r>
        <w:rPr>
          <w:i/>
          <w:color w:val="231F20"/>
          <w:spacing w:val="8"/>
          <w:w w:val="105"/>
          <w:sz w:val="18"/>
        </w:rPr>
        <w:t xml:space="preserve"> </w:t>
      </w:r>
      <w:r>
        <w:rPr>
          <w:i/>
          <w:color w:val="231F20"/>
          <w:w w:val="105"/>
          <w:sz w:val="18"/>
        </w:rPr>
        <w:t>blank.</w:t>
      </w:r>
    </w:p>
    <w:p w14:paraId="5BF300F2" w14:textId="77777777" w:rsidR="002653E8" w:rsidRDefault="002653E8">
      <w:pPr>
        <w:spacing w:line="244" w:lineRule="auto"/>
        <w:rPr>
          <w:sz w:val="18"/>
        </w:rPr>
        <w:sectPr w:rsidR="002653E8">
          <w:pgSz w:w="8640" w:h="12960"/>
          <w:pgMar w:top="1040" w:right="0" w:bottom="1040" w:left="0" w:header="0" w:footer="850" w:gutter="0"/>
          <w:cols w:space="720"/>
        </w:sectPr>
      </w:pPr>
    </w:p>
    <w:p w14:paraId="14783B94" w14:textId="77777777" w:rsidR="002653E8" w:rsidRDefault="003115E3">
      <w:pPr>
        <w:pStyle w:val="a3"/>
        <w:spacing w:before="86" w:line="264" w:lineRule="auto"/>
        <w:ind w:left="1327" w:right="1146" w:firstLine="210"/>
        <w:jc w:val="both"/>
      </w:pPr>
      <w:r>
        <w:rPr>
          <w:color w:val="231F20"/>
        </w:rPr>
        <w:lastRenderedPageBreak/>
        <w:t xml:space="preserve">As  the  </w:t>
      </w:r>
      <w:r>
        <w:rPr>
          <w:color w:val="231F20"/>
          <w:spacing w:val="1"/>
        </w:rPr>
        <w:t xml:space="preserve">APO  </w:t>
      </w:r>
      <w:r>
        <w:rPr>
          <w:color w:val="231F20"/>
        </w:rPr>
        <w:t xml:space="preserve">declined,  the  </w:t>
      </w:r>
      <w:r>
        <w:rPr>
          <w:color w:val="231F20"/>
          <w:spacing w:val="-3"/>
        </w:rPr>
        <w:t xml:space="preserve">women’s  </w:t>
      </w:r>
      <w:r>
        <w:rPr>
          <w:color w:val="231F20"/>
        </w:rPr>
        <w:t>liberation  movement  entered   a period of rapid advance. While many feminists continued to work within the male-dominated left, others separated themselves from its campaigns and organizations to a degree greater than what occurred in most other countries at that time.</w:t>
      </w:r>
      <w:r>
        <w:rPr>
          <w:color w:val="231F20"/>
          <w:position w:val="7"/>
          <w:sz w:val="11"/>
        </w:rPr>
        <w:t xml:space="preserve">1  </w:t>
      </w:r>
      <w:r>
        <w:rPr>
          <w:color w:val="231F20"/>
        </w:rPr>
        <w:t xml:space="preserve">These women had no lack of areas   in which to put their energies, areas which had often been neglected by their male </w:t>
      </w:r>
      <w:r>
        <w:rPr>
          <w:color w:val="231F20"/>
          <w:spacing w:val="-3"/>
        </w:rPr>
        <w:t xml:space="preserve">“comrades”: </w:t>
      </w:r>
      <w:r>
        <w:rPr>
          <w:color w:val="231F20"/>
        </w:rPr>
        <w:t xml:space="preserve">opposing violence against women, organizing collective childcare, struggling for reproductive rights, and much more. This work was often based in autonomous </w:t>
      </w:r>
      <w:r>
        <w:rPr>
          <w:color w:val="231F20"/>
          <w:spacing w:val="-3"/>
        </w:rPr>
        <w:t xml:space="preserve">women’s </w:t>
      </w:r>
      <w:r>
        <w:rPr>
          <w:color w:val="231F20"/>
        </w:rPr>
        <w:t xml:space="preserve">centers, the first ones being established in Frankfurt and </w:t>
      </w:r>
      <w:r>
        <w:rPr>
          <w:color w:val="231F20"/>
          <w:spacing w:val="-3"/>
        </w:rPr>
        <w:t xml:space="preserve">West </w:t>
      </w:r>
      <w:r>
        <w:rPr>
          <w:color w:val="231F20"/>
        </w:rPr>
        <w:t xml:space="preserve">Berlin in </w:t>
      </w:r>
      <w:r>
        <w:rPr>
          <w:color w:val="231F20"/>
          <w:spacing w:val="-3"/>
        </w:rPr>
        <w:t xml:space="preserve">1972, </w:t>
      </w:r>
      <w:r>
        <w:rPr>
          <w:color w:val="231F20"/>
        </w:rPr>
        <w:t>but others soon appearing in cities across the</w:t>
      </w:r>
      <w:r>
        <w:rPr>
          <w:color w:val="231F20"/>
          <w:spacing w:val="18"/>
        </w:rPr>
        <w:t xml:space="preserve"> </w:t>
      </w:r>
      <w:r>
        <w:rPr>
          <w:color w:val="231F20"/>
        </w:rPr>
        <w:t>country.</w:t>
      </w:r>
    </w:p>
    <w:p w14:paraId="63925350" w14:textId="77777777" w:rsidR="002653E8" w:rsidRDefault="003115E3">
      <w:pPr>
        <w:pStyle w:val="a3"/>
        <w:spacing w:line="264" w:lineRule="auto"/>
        <w:ind w:left="1328" w:right="1146" w:firstLine="210"/>
        <w:jc w:val="both"/>
        <w:rPr>
          <w:sz w:val="11"/>
        </w:rPr>
      </w:pPr>
      <w:r>
        <w:rPr>
          <w:color w:val="231F20"/>
          <w:spacing w:val="1"/>
        </w:rPr>
        <w:t xml:space="preserve">If </w:t>
      </w:r>
      <w:r>
        <w:rPr>
          <w:color w:val="231F20"/>
        </w:rPr>
        <w:t xml:space="preserve">the contours of the </w:t>
      </w:r>
      <w:r>
        <w:rPr>
          <w:color w:val="231F20"/>
          <w:spacing w:val="-3"/>
        </w:rPr>
        <w:t xml:space="preserve">West </w:t>
      </w:r>
      <w:r>
        <w:rPr>
          <w:color w:val="231F20"/>
        </w:rPr>
        <w:t xml:space="preserve">German </w:t>
      </w:r>
      <w:r>
        <w:rPr>
          <w:color w:val="231F20"/>
          <w:spacing w:val="-3"/>
        </w:rPr>
        <w:t xml:space="preserve">women’s </w:t>
      </w:r>
      <w:r>
        <w:rPr>
          <w:color w:val="231F20"/>
        </w:rPr>
        <w:t xml:space="preserve">movement were similar to those in other imperialist countries in the seventies, they were not identical. Most observers agree, for instance, that the </w:t>
      </w:r>
      <w:r>
        <w:rPr>
          <w:color w:val="231F20"/>
          <w:spacing w:val="-3"/>
        </w:rPr>
        <w:t xml:space="preserve">West </w:t>
      </w:r>
      <w:r>
        <w:rPr>
          <w:color w:val="231F20"/>
        </w:rPr>
        <w:t xml:space="preserve">German experience was marked by the lack of an official national organization, such as the American National Organization of Women,  and  also  by less contact with professional political </w:t>
      </w:r>
      <w:r>
        <w:rPr>
          <w:color w:val="231F20"/>
          <w:spacing w:val="-3"/>
        </w:rPr>
        <w:t xml:space="preserve">women’s </w:t>
      </w:r>
      <w:r>
        <w:rPr>
          <w:color w:val="231F20"/>
        </w:rPr>
        <w:t xml:space="preserve">organizations in the main parties. These differences allowed the </w:t>
      </w:r>
      <w:r>
        <w:rPr>
          <w:color w:val="231F20"/>
          <w:spacing w:val="-3"/>
        </w:rPr>
        <w:t xml:space="preserve">West  </w:t>
      </w:r>
      <w:r>
        <w:rPr>
          <w:color w:val="231F20"/>
        </w:rPr>
        <w:t xml:space="preserve">German movement   to develop a far greater emphasis on </w:t>
      </w:r>
      <w:r>
        <w:rPr>
          <w:color w:val="231F20"/>
          <w:spacing w:val="-3"/>
        </w:rPr>
        <w:t xml:space="preserve">autonomy, </w:t>
      </w:r>
      <w:r>
        <w:rPr>
          <w:color w:val="231F20"/>
        </w:rPr>
        <w:t>not only from men, but also</w:t>
      </w:r>
      <w:r>
        <w:rPr>
          <w:color w:val="231F20"/>
          <w:spacing w:val="11"/>
        </w:rPr>
        <w:t xml:space="preserve"> </w:t>
      </w:r>
      <w:r>
        <w:rPr>
          <w:color w:val="231F20"/>
        </w:rPr>
        <w:t>from</w:t>
      </w:r>
      <w:r>
        <w:rPr>
          <w:color w:val="231F20"/>
          <w:spacing w:val="11"/>
        </w:rPr>
        <w:t xml:space="preserve"> </w:t>
      </w:r>
      <w:r>
        <w:rPr>
          <w:color w:val="231F20"/>
        </w:rPr>
        <w:t>the</w:t>
      </w:r>
      <w:r>
        <w:rPr>
          <w:color w:val="231F20"/>
          <w:spacing w:val="11"/>
        </w:rPr>
        <w:t xml:space="preserve"> </w:t>
      </w:r>
      <w:r>
        <w:rPr>
          <w:color w:val="231F20"/>
        </w:rPr>
        <w:t>political</w:t>
      </w:r>
      <w:r>
        <w:rPr>
          <w:color w:val="231F20"/>
          <w:spacing w:val="11"/>
        </w:rPr>
        <w:t xml:space="preserve"> </w:t>
      </w:r>
      <w:r>
        <w:rPr>
          <w:color w:val="231F20"/>
        </w:rPr>
        <w:t>establishment</w:t>
      </w:r>
      <w:r>
        <w:rPr>
          <w:color w:val="231F20"/>
          <w:spacing w:val="11"/>
        </w:rPr>
        <w:t xml:space="preserve"> </w:t>
      </w:r>
      <w:r>
        <w:rPr>
          <w:color w:val="231F20"/>
        </w:rPr>
        <w:t>and</w:t>
      </w:r>
      <w:r>
        <w:rPr>
          <w:color w:val="231F20"/>
          <w:spacing w:val="11"/>
        </w:rPr>
        <w:t xml:space="preserve"> </w:t>
      </w:r>
      <w:r>
        <w:rPr>
          <w:color w:val="231F20"/>
        </w:rPr>
        <w:t>the</w:t>
      </w:r>
      <w:r>
        <w:rPr>
          <w:color w:val="231F20"/>
          <w:spacing w:val="11"/>
        </w:rPr>
        <w:t xml:space="preserve"> </w:t>
      </w:r>
      <w:r>
        <w:rPr>
          <w:color w:val="231F20"/>
        </w:rPr>
        <w:t>political</w:t>
      </w:r>
      <w:r>
        <w:rPr>
          <w:color w:val="231F20"/>
          <w:spacing w:val="11"/>
        </w:rPr>
        <w:t xml:space="preserve"> </w:t>
      </w:r>
      <w:r>
        <w:rPr>
          <w:color w:val="231F20"/>
        </w:rPr>
        <w:t>left.</w:t>
      </w:r>
      <w:r>
        <w:rPr>
          <w:color w:val="231F20"/>
          <w:position w:val="7"/>
          <w:sz w:val="11"/>
        </w:rPr>
        <w:t>2</w:t>
      </w:r>
    </w:p>
    <w:p w14:paraId="7F9306E4" w14:textId="2DA02EFE" w:rsidR="002653E8" w:rsidRDefault="003115E3">
      <w:pPr>
        <w:pStyle w:val="a3"/>
        <w:spacing w:line="264" w:lineRule="auto"/>
        <w:ind w:left="1327" w:right="1140" w:firstLine="210"/>
        <w:jc w:val="both"/>
        <w:rPr>
          <w:sz w:val="11"/>
        </w:rPr>
      </w:pPr>
      <w:r>
        <w:rPr>
          <w:color w:val="231F20"/>
        </w:rPr>
        <w:t xml:space="preserve">A variety of issues, ranging from sexism in the media to wages for housework, attracted political action, which in turn ranged from petitions to demonstrations to disruptive “go-ins.” However, by far the most important and unifying struggle was the campaign to repeal </w:t>
      </w:r>
      <w:r>
        <w:rPr>
          <w:color w:val="231F20"/>
          <w:sz w:val="18"/>
        </w:rPr>
        <w:t>§</w:t>
      </w:r>
      <w:r>
        <w:rPr>
          <w:color w:val="231F20"/>
        </w:rPr>
        <w:t xml:space="preserve">218 of the Basic Law, the paragraph of the constitution banning abortion under any circumstances. Under </w:t>
      </w:r>
      <w:r>
        <w:rPr>
          <w:color w:val="231F20"/>
          <w:sz w:val="18"/>
        </w:rPr>
        <w:t>§</w:t>
      </w:r>
      <w:r>
        <w:rPr>
          <w:color w:val="231F20"/>
        </w:rPr>
        <w:t>218, a woman who had an abortion was liable to a five-year prison term; anyone who performed such a procedure was liable to a ten-year term.</w:t>
      </w:r>
      <w:r>
        <w:rPr>
          <w:color w:val="231F20"/>
          <w:position w:val="7"/>
          <w:sz w:val="11"/>
        </w:rPr>
        <w:t xml:space="preserve">3 </w:t>
      </w:r>
      <w:r>
        <w:rPr>
          <w:color w:val="231F20"/>
        </w:rPr>
        <w:t>It was estimated that 1,000,000 abortions were nevertheless performed every year, either in often perilous conditions or else necessitating travel to Holland or England where the procedure was not illegal.</w:t>
      </w:r>
      <w:r>
        <w:rPr>
          <w:color w:val="231F20"/>
          <w:position w:val="7"/>
          <w:sz w:val="11"/>
        </w:rPr>
        <w:t>4</w:t>
      </w:r>
    </w:p>
    <w:p w14:paraId="467C4912" w14:textId="77777777" w:rsidR="002653E8" w:rsidRDefault="003115E3">
      <w:pPr>
        <w:pStyle w:val="a3"/>
        <w:spacing w:line="264" w:lineRule="auto"/>
        <w:ind w:left="1327" w:right="1146" w:firstLine="210"/>
        <w:jc w:val="both"/>
      </w:pPr>
      <w:r>
        <w:rPr>
          <w:color w:val="231F20"/>
        </w:rPr>
        <w:t xml:space="preserve">The movement against </w:t>
      </w:r>
      <w:r>
        <w:rPr>
          <w:color w:val="231F20"/>
          <w:spacing w:val="-5"/>
          <w:sz w:val="18"/>
        </w:rPr>
        <w:t>§</w:t>
      </w:r>
      <w:r>
        <w:rPr>
          <w:color w:val="231F20"/>
          <w:spacing w:val="-5"/>
        </w:rPr>
        <w:t xml:space="preserve">218  </w:t>
      </w:r>
      <w:r>
        <w:rPr>
          <w:color w:val="231F20"/>
        </w:rPr>
        <w:t xml:space="preserve">stormed its </w:t>
      </w:r>
      <w:r>
        <w:rPr>
          <w:color w:val="231F20"/>
          <w:spacing w:val="-2"/>
        </w:rPr>
        <w:t xml:space="preserve">way  </w:t>
      </w:r>
      <w:r>
        <w:rPr>
          <w:color w:val="231F20"/>
        </w:rPr>
        <w:t xml:space="preserve">onto the public stage  on June 2, </w:t>
      </w:r>
      <w:r>
        <w:rPr>
          <w:color w:val="231F20"/>
          <w:spacing w:val="-4"/>
        </w:rPr>
        <w:t xml:space="preserve">1971, </w:t>
      </w:r>
      <w:r>
        <w:rPr>
          <w:color w:val="231F20"/>
        </w:rPr>
        <w:t>when feminist journalist Alice Schwarzer</w:t>
      </w:r>
      <w:r>
        <w:rPr>
          <w:color w:val="231F20"/>
          <w:spacing w:val="35"/>
        </w:rPr>
        <w:t xml:space="preserve"> </w:t>
      </w:r>
      <w:r>
        <w:rPr>
          <w:color w:val="231F20"/>
        </w:rPr>
        <w:t>arranged</w:t>
      </w:r>
    </w:p>
    <w:p w14:paraId="290C1547" w14:textId="77777777" w:rsidR="002653E8" w:rsidRDefault="00000000">
      <w:pPr>
        <w:pStyle w:val="a3"/>
        <w:spacing w:before="10"/>
        <w:rPr>
          <w:sz w:val="9"/>
        </w:rPr>
      </w:pPr>
      <w:r>
        <w:rPr>
          <w:noProof w:val="0"/>
        </w:rPr>
        <w:pict w14:anchorId="18145B8C">
          <v:line id="_x0000_s2232" style="position:absolute;z-index:9424;mso-wrap-distance-left:0;mso-wrap-distance-right:0;mso-position-horizontal-relative:page" from="66.4pt,8pt" to="138.4pt,8pt" strokecolor="#231f20" strokeweight=".5pt">
            <w10:wrap type="topAndBottom" anchorx="page"/>
          </v:line>
        </w:pict>
      </w:r>
    </w:p>
    <w:p w14:paraId="4F99012F" w14:textId="77777777" w:rsidR="002653E8" w:rsidRDefault="003115E3">
      <w:pPr>
        <w:pStyle w:val="a4"/>
        <w:numPr>
          <w:ilvl w:val="0"/>
          <w:numId w:val="70"/>
        </w:numPr>
        <w:tabs>
          <w:tab w:val="left" w:pos="1467"/>
        </w:tabs>
        <w:spacing w:before="53" w:line="254" w:lineRule="auto"/>
        <w:ind w:right="1256" w:firstLine="0"/>
        <w:rPr>
          <w:sz w:val="16"/>
        </w:rPr>
      </w:pPr>
      <w:bookmarkStart w:id="210" w:name="_Hlk130771552"/>
      <w:r>
        <w:rPr>
          <w:color w:val="231F20"/>
          <w:w w:val="110"/>
          <w:sz w:val="16"/>
        </w:rPr>
        <w:t xml:space="preserve">Edith Hoshino Altbach, “The New German </w:t>
      </w:r>
      <w:r>
        <w:rPr>
          <w:color w:val="231F20"/>
          <w:spacing w:val="-3"/>
          <w:w w:val="110"/>
          <w:sz w:val="16"/>
        </w:rPr>
        <w:t xml:space="preserve">Women’s </w:t>
      </w:r>
      <w:r>
        <w:rPr>
          <w:color w:val="231F20"/>
          <w:w w:val="110"/>
          <w:sz w:val="16"/>
        </w:rPr>
        <w:t xml:space="preserve">Movement,” </w:t>
      </w:r>
      <w:r>
        <w:rPr>
          <w:i/>
          <w:color w:val="231F20"/>
          <w:spacing w:val="1"/>
          <w:w w:val="110"/>
          <w:sz w:val="16"/>
        </w:rPr>
        <w:t xml:space="preserve">Signs </w:t>
      </w:r>
      <w:r>
        <w:rPr>
          <w:color w:val="231F20"/>
          <w:w w:val="110"/>
          <w:sz w:val="16"/>
        </w:rPr>
        <w:t xml:space="preserve">9, no. 3 (Spring, </w:t>
      </w:r>
      <w:r>
        <w:rPr>
          <w:color w:val="231F20"/>
          <w:spacing w:val="-3"/>
          <w:w w:val="110"/>
          <w:sz w:val="16"/>
        </w:rPr>
        <w:t>1984):</w:t>
      </w:r>
      <w:r>
        <w:rPr>
          <w:color w:val="231F20"/>
          <w:spacing w:val="10"/>
          <w:w w:val="110"/>
          <w:sz w:val="16"/>
        </w:rPr>
        <w:t xml:space="preserve"> </w:t>
      </w:r>
      <w:r>
        <w:rPr>
          <w:color w:val="231F20"/>
          <w:w w:val="110"/>
          <w:sz w:val="16"/>
        </w:rPr>
        <w:t>462.</w:t>
      </w:r>
    </w:p>
    <w:p w14:paraId="3BCF5159" w14:textId="77777777" w:rsidR="002653E8" w:rsidRDefault="003115E3">
      <w:pPr>
        <w:pStyle w:val="a4"/>
        <w:numPr>
          <w:ilvl w:val="0"/>
          <w:numId w:val="70"/>
        </w:numPr>
        <w:tabs>
          <w:tab w:val="left" w:pos="1467"/>
        </w:tabs>
        <w:spacing w:line="254" w:lineRule="auto"/>
        <w:ind w:left="1328" w:right="2013" w:firstLine="0"/>
        <w:rPr>
          <w:sz w:val="16"/>
        </w:rPr>
      </w:pPr>
      <w:r>
        <w:rPr>
          <w:color w:val="231F20"/>
          <w:w w:val="110"/>
          <w:sz w:val="16"/>
        </w:rPr>
        <w:t xml:space="preserve">Hoshino Altbach, “The New German </w:t>
      </w:r>
      <w:r>
        <w:rPr>
          <w:color w:val="231F20"/>
          <w:spacing w:val="-3"/>
          <w:w w:val="110"/>
          <w:sz w:val="16"/>
        </w:rPr>
        <w:t xml:space="preserve">Women’s </w:t>
      </w:r>
      <w:r>
        <w:rPr>
          <w:color w:val="231F20"/>
          <w:w w:val="110"/>
          <w:sz w:val="16"/>
        </w:rPr>
        <w:t xml:space="preserve">Movement,” </w:t>
      </w:r>
      <w:r>
        <w:rPr>
          <w:color w:val="231F20"/>
          <w:spacing w:val="-5"/>
          <w:w w:val="110"/>
          <w:sz w:val="16"/>
        </w:rPr>
        <w:t xml:space="preserve">456, </w:t>
      </w:r>
      <w:r>
        <w:rPr>
          <w:color w:val="231F20"/>
          <w:w w:val="110"/>
          <w:sz w:val="16"/>
        </w:rPr>
        <w:t>462; Katsiaficas,</w:t>
      </w:r>
      <w:r>
        <w:rPr>
          <w:color w:val="231F20"/>
          <w:spacing w:val="6"/>
          <w:w w:val="110"/>
          <w:sz w:val="16"/>
        </w:rPr>
        <w:t xml:space="preserve"> </w:t>
      </w:r>
      <w:r>
        <w:rPr>
          <w:color w:val="231F20"/>
          <w:spacing w:val="-5"/>
          <w:w w:val="110"/>
          <w:sz w:val="16"/>
        </w:rPr>
        <w:t>75.</w:t>
      </w:r>
    </w:p>
    <w:p w14:paraId="1B70A50B" w14:textId="77777777" w:rsidR="002653E8" w:rsidRDefault="003115E3">
      <w:pPr>
        <w:pStyle w:val="a4"/>
        <w:numPr>
          <w:ilvl w:val="0"/>
          <w:numId w:val="70"/>
        </w:numPr>
        <w:tabs>
          <w:tab w:val="left" w:pos="1467"/>
        </w:tabs>
        <w:spacing w:before="40"/>
        <w:ind w:left="1466" w:hanging="138"/>
        <w:rPr>
          <w:sz w:val="16"/>
        </w:rPr>
      </w:pPr>
      <w:r>
        <w:rPr>
          <w:color w:val="231F20"/>
          <w:w w:val="110"/>
          <w:sz w:val="16"/>
        </w:rPr>
        <w:t>K.C.</w:t>
      </w:r>
      <w:r>
        <w:rPr>
          <w:color w:val="231F20"/>
          <w:spacing w:val="6"/>
          <w:w w:val="110"/>
          <w:sz w:val="16"/>
        </w:rPr>
        <w:t xml:space="preserve"> </w:t>
      </w:r>
      <w:r>
        <w:rPr>
          <w:color w:val="231F20"/>
          <w:w w:val="110"/>
          <w:sz w:val="16"/>
        </w:rPr>
        <w:t>Horton,</w:t>
      </w:r>
      <w:r>
        <w:rPr>
          <w:color w:val="231F20"/>
          <w:spacing w:val="6"/>
          <w:w w:val="110"/>
          <w:sz w:val="16"/>
        </w:rPr>
        <w:t xml:space="preserve"> </w:t>
      </w:r>
      <w:r>
        <w:rPr>
          <w:color w:val="231F20"/>
          <w:w w:val="110"/>
          <w:sz w:val="16"/>
        </w:rPr>
        <w:t>“Abortion</w:t>
      </w:r>
      <w:r>
        <w:rPr>
          <w:color w:val="231F20"/>
          <w:spacing w:val="6"/>
          <w:w w:val="110"/>
          <w:sz w:val="16"/>
        </w:rPr>
        <w:t xml:space="preserve"> </w:t>
      </w:r>
      <w:r>
        <w:rPr>
          <w:color w:val="231F20"/>
          <w:w w:val="110"/>
          <w:sz w:val="16"/>
        </w:rPr>
        <w:t>Law</w:t>
      </w:r>
      <w:r>
        <w:rPr>
          <w:color w:val="231F20"/>
          <w:spacing w:val="6"/>
          <w:w w:val="110"/>
          <w:sz w:val="16"/>
        </w:rPr>
        <w:t xml:space="preserve"> </w:t>
      </w:r>
      <w:r>
        <w:rPr>
          <w:color w:val="231F20"/>
          <w:w w:val="110"/>
          <w:sz w:val="16"/>
        </w:rPr>
        <w:t>Reform</w:t>
      </w:r>
      <w:r>
        <w:rPr>
          <w:color w:val="231F20"/>
          <w:spacing w:val="6"/>
          <w:w w:val="110"/>
          <w:sz w:val="16"/>
        </w:rPr>
        <w:t xml:space="preserve"> </w:t>
      </w:r>
      <w:r>
        <w:rPr>
          <w:color w:val="231F20"/>
          <w:w w:val="110"/>
          <w:sz w:val="16"/>
        </w:rPr>
        <w:t>in</w:t>
      </w:r>
      <w:r>
        <w:rPr>
          <w:color w:val="231F20"/>
          <w:spacing w:val="6"/>
          <w:w w:val="110"/>
          <w:sz w:val="16"/>
        </w:rPr>
        <w:t xml:space="preserve"> </w:t>
      </w:r>
      <w:r>
        <w:rPr>
          <w:color w:val="231F20"/>
          <w:w w:val="110"/>
          <w:sz w:val="16"/>
        </w:rPr>
        <w:t>the</w:t>
      </w:r>
      <w:r>
        <w:rPr>
          <w:color w:val="231F20"/>
          <w:spacing w:val="6"/>
          <w:w w:val="110"/>
          <w:sz w:val="16"/>
        </w:rPr>
        <w:t xml:space="preserve"> </w:t>
      </w:r>
      <w:r>
        <w:rPr>
          <w:color w:val="231F20"/>
          <w:w w:val="110"/>
          <w:sz w:val="16"/>
        </w:rPr>
        <w:t>German</w:t>
      </w:r>
      <w:r>
        <w:rPr>
          <w:color w:val="231F20"/>
          <w:spacing w:val="6"/>
          <w:w w:val="110"/>
          <w:sz w:val="16"/>
        </w:rPr>
        <w:t xml:space="preserve"> </w:t>
      </w:r>
      <w:r>
        <w:rPr>
          <w:color w:val="231F20"/>
          <w:w w:val="110"/>
          <w:sz w:val="16"/>
        </w:rPr>
        <w:t>Federal</w:t>
      </w:r>
      <w:r>
        <w:rPr>
          <w:color w:val="231F20"/>
          <w:spacing w:val="6"/>
          <w:w w:val="110"/>
          <w:sz w:val="16"/>
        </w:rPr>
        <w:t xml:space="preserve"> </w:t>
      </w:r>
      <w:r>
        <w:rPr>
          <w:color w:val="231F20"/>
          <w:w w:val="110"/>
          <w:sz w:val="16"/>
        </w:rPr>
        <w:t>Republic,”</w:t>
      </w:r>
    </w:p>
    <w:p w14:paraId="4B784514" w14:textId="77777777" w:rsidR="002653E8" w:rsidRDefault="003115E3">
      <w:pPr>
        <w:spacing w:before="12"/>
        <w:ind w:left="1328"/>
        <w:rPr>
          <w:sz w:val="16"/>
        </w:rPr>
      </w:pPr>
      <w:r>
        <w:rPr>
          <w:i/>
          <w:color w:val="231F20"/>
          <w:w w:val="110"/>
          <w:sz w:val="16"/>
        </w:rPr>
        <w:t xml:space="preserve">International and Comparative Law Quarterly </w:t>
      </w:r>
      <w:r>
        <w:rPr>
          <w:color w:val="231F20"/>
          <w:w w:val="110"/>
          <w:sz w:val="16"/>
        </w:rPr>
        <w:t>28, no. 2 (April 1979): 288-289.</w:t>
      </w:r>
    </w:p>
    <w:p w14:paraId="5FFEDEF0" w14:textId="77777777" w:rsidR="002653E8" w:rsidRDefault="003115E3">
      <w:pPr>
        <w:spacing w:before="52"/>
        <w:ind w:left="1328"/>
        <w:rPr>
          <w:sz w:val="16"/>
        </w:rPr>
      </w:pPr>
      <w:r>
        <w:rPr>
          <w:color w:val="231F20"/>
          <w:w w:val="115"/>
          <w:sz w:val="16"/>
        </w:rPr>
        <w:t>4 Ibid., 290.</w:t>
      </w:r>
    </w:p>
    <w:bookmarkEnd w:id="210"/>
    <w:p w14:paraId="4FBB92C0" w14:textId="77777777" w:rsidR="002653E8" w:rsidRDefault="002653E8">
      <w:pPr>
        <w:rPr>
          <w:sz w:val="16"/>
        </w:rPr>
        <w:sectPr w:rsidR="002653E8">
          <w:pgSz w:w="8640" w:h="12960"/>
          <w:pgMar w:top="1060" w:right="0" w:bottom="1040" w:left="0" w:header="0" w:footer="850" w:gutter="0"/>
          <w:cols w:space="720"/>
        </w:sectPr>
      </w:pPr>
    </w:p>
    <w:p w14:paraId="69F9A95D" w14:textId="77777777" w:rsidR="002653E8" w:rsidRDefault="003115E3">
      <w:pPr>
        <w:pStyle w:val="a3"/>
        <w:spacing w:before="86" w:line="264" w:lineRule="auto"/>
        <w:ind w:left="1147" w:right="1326"/>
        <w:jc w:val="both"/>
        <w:rPr>
          <w:sz w:val="11"/>
        </w:rPr>
      </w:pPr>
      <w:r>
        <w:rPr>
          <w:color w:val="231F20"/>
        </w:rPr>
        <w:lastRenderedPageBreak/>
        <w:t xml:space="preserve">to have 374 women publicly “confess” to having had abortions in the pages of the mainstream magazine </w:t>
      </w:r>
      <w:r>
        <w:rPr>
          <w:i/>
          <w:color w:val="231F20"/>
        </w:rPr>
        <w:t>Stern</w:t>
      </w:r>
      <w:r>
        <w:rPr>
          <w:color w:val="231F20"/>
        </w:rPr>
        <w:t>. Two months later, Schwarzer had collected thousands more “confessions” and tens of thousands of solidarity signatures.</w:t>
      </w:r>
      <w:r>
        <w:rPr>
          <w:color w:val="231F20"/>
          <w:position w:val="7"/>
          <w:sz w:val="11"/>
        </w:rPr>
        <w:t>1</w:t>
      </w:r>
    </w:p>
    <w:p w14:paraId="29E337EB" w14:textId="77777777" w:rsidR="002653E8" w:rsidRDefault="003115E3">
      <w:pPr>
        <w:pStyle w:val="a3"/>
        <w:spacing w:line="264" w:lineRule="auto"/>
        <w:ind w:left="1147" w:right="1326" w:firstLine="210"/>
        <w:jc w:val="both"/>
        <w:rPr>
          <w:sz w:val="11"/>
        </w:rPr>
      </w:pPr>
      <w:r>
        <w:rPr>
          <w:color w:val="231F20"/>
        </w:rPr>
        <w:t>Within a year, the sensation had become a movement, putting its feet on the ground in Frankfurt in March 1972 at the first National Women’s Conference of the postwar period. It was here that an “Aktion 218” working group established plans for a renewed campaign to decriminalize abortion, the beginning of what one German feminist would call “a children’s crusade against the patriarchy.”</w:t>
      </w:r>
      <w:r>
        <w:rPr>
          <w:color w:val="231F20"/>
          <w:position w:val="7"/>
          <w:sz w:val="11"/>
        </w:rPr>
        <w:t>2</w:t>
      </w:r>
    </w:p>
    <w:p w14:paraId="0CE4F1C4" w14:textId="77777777" w:rsidR="002653E8" w:rsidRDefault="003115E3">
      <w:pPr>
        <w:pStyle w:val="a3"/>
        <w:spacing w:line="264" w:lineRule="auto"/>
        <w:ind w:left="1147" w:right="1326" w:firstLine="210"/>
        <w:jc w:val="both"/>
      </w:pPr>
      <w:r>
        <w:rPr>
          <w:color w:val="231F20"/>
        </w:rPr>
        <w:t>The movement grew by leaps and bounds, bringing together women from a variety of political perspectives, including many radicals. A national day of action was called by the Berlin Women’s  Center, and</w:t>
      </w:r>
    </w:p>
    <w:p w14:paraId="461B92F1" w14:textId="77777777" w:rsidR="002653E8" w:rsidRDefault="00000000">
      <w:pPr>
        <w:pStyle w:val="a3"/>
        <w:spacing w:line="264" w:lineRule="auto"/>
        <w:ind w:left="4172" w:right="1326"/>
        <w:jc w:val="both"/>
      </w:pPr>
      <w:r>
        <w:rPr>
          <w:noProof w:val="0"/>
        </w:rPr>
        <w:pict w14:anchorId="6008CA39">
          <v:group id="_x0000_s2229" style="position:absolute;left:0;text-align:left;margin-left:57.9pt;margin-top:6.75pt;width:140.8pt;height:199.4pt;z-index:9472;mso-position-horizontal-relative:page" coordorigin="1158,135" coordsize="2816,3988">
            <v:shape id="_x0000_s2231" type="#_x0000_t75" style="position:absolute;left:1189;top:134;width:2752;height:3962">
              <v:imagedata r:id="rId374" o:title=""/>
            </v:shape>
            <v:rect id="_x0000_s2230" style="position:absolute;left:1168;top:151;width:2796;height:3962" filled="f" strokecolor="#231f20" strokeweight="1pt"/>
            <w10:wrap anchorx="page"/>
          </v:group>
        </w:pict>
      </w:r>
      <w:r w:rsidR="003115E3">
        <w:rPr>
          <w:color w:val="231F20"/>
        </w:rPr>
        <w:t>on March 16, 1974, thousands of women took to the streets against</w:t>
      </w:r>
    </w:p>
    <w:p w14:paraId="2AE0FDDF" w14:textId="77777777" w:rsidR="002653E8" w:rsidRDefault="003115E3">
      <w:pPr>
        <w:pStyle w:val="a3"/>
        <w:spacing w:line="264" w:lineRule="auto"/>
        <w:ind w:left="4173" w:right="1325"/>
        <w:jc w:val="both"/>
      </w:pPr>
      <w:r>
        <w:rPr>
          <w:color w:val="231F20"/>
          <w:spacing w:val="-4"/>
          <w:sz w:val="18"/>
        </w:rPr>
        <w:t>§</w:t>
      </w:r>
      <w:r>
        <w:rPr>
          <w:color w:val="231F20"/>
          <w:spacing w:val="-4"/>
        </w:rPr>
        <w:t xml:space="preserve">218, </w:t>
      </w:r>
      <w:r>
        <w:rPr>
          <w:color w:val="231F20"/>
        </w:rPr>
        <w:t xml:space="preserve">while </w:t>
      </w:r>
      <w:r>
        <w:rPr>
          <w:color w:val="231F20"/>
          <w:spacing w:val="-3"/>
        </w:rPr>
        <w:t xml:space="preserve">329 </w:t>
      </w:r>
      <w:r>
        <w:rPr>
          <w:color w:val="231F20"/>
        </w:rPr>
        <w:t xml:space="preserve">doctors gambled their professional licenses by declaring in </w:t>
      </w:r>
      <w:r>
        <w:rPr>
          <w:i/>
          <w:color w:val="231F20"/>
        </w:rPr>
        <w:t xml:space="preserve">Spiegel </w:t>
      </w:r>
      <w:r>
        <w:rPr>
          <w:color w:val="231F20"/>
        </w:rPr>
        <w:t xml:space="preserve">that they had helped women to obtain illegal abortions. At the same  time,  a  current  affairs television  program  prepared  a show in which thirteen doctors were all to assist in an illegal abortion. Following protests from the Churches and the CDU </w:t>
      </w:r>
      <w:r>
        <w:rPr>
          <w:color w:val="231F20"/>
          <w:spacing w:val="-3"/>
        </w:rPr>
        <w:t xml:space="preserve">(“[the </w:t>
      </w:r>
      <w:r>
        <w:rPr>
          <w:color w:val="231F20"/>
        </w:rPr>
        <w:t>telecast would be] an unheard of offense to the moral sense of millions of citizens and an acme of tastelessness”</w:t>
      </w:r>
      <w:r>
        <w:rPr>
          <w:color w:val="231F20"/>
          <w:position w:val="7"/>
          <w:sz w:val="11"/>
        </w:rPr>
        <w:t>3</w:t>
      </w:r>
      <w:r>
        <w:rPr>
          <w:color w:val="231F20"/>
        </w:rPr>
        <w:t>), the  show  was  banned,  and  all</w:t>
      </w:r>
      <w:r>
        <w:rPr>
          <w:color w:val="231F20"/>
          <w:spacing w:val="20"/>
        </w:rPr>
        <w:t xml:space="preserve"> </w:t>
      </w:r>
      <w:r>
        <w:rPr>
          <w:color w:val="231F20"/>
        </w:rPr>
        <w:t>that</w:t>
      </w:r>
    </w:p>
    <w:p w14:paraId="14781115" w14:textId="77777777" w:rsidR="002653E8" w:rsidRDefault="002653E8">
      <w:pPr>
        <w:spacing w:line="264" w:lineRule="auto"/>
        <w:jc w:val="both"/>
        <w:sectPr w:rsidR="002653E8">
          <w:pgSz w:w="8640" w:h="12960"/>
          <w:pgMar w:top="1060" w:right="0" w:bottom="1040" w:left="0" w:header="0" w:footer="850" w:gutter="0"/>
          <w:cols w:space="720"/>
        </w:sectPr>
      </w:pPr>
    </w:p>
    <w:p w14:paraId="5D340787" w14:textId="77777777" w:rsidR="002653E8" w:rsidRDefault="003115E3">
      <w:pPr>
        <w:spacing w:before="29" w:line="244" w:lineRule="auto"/>
        <w:ind w:left="1659" w:hanging="407"/>
        <w:rPr>
          <w:i/>
          <w:sz w:val="18"/>
        </w:rPr>
      </w:pPr>
      <w:r>
        <w:rPr>
          <w:i/>
          <w:color w:val="231F20"/>
          <w:sz w:val="18"/>
        </w:rPr>
        <w:t>Poster for demonstration against the antiabortion §218.</w:t>
      </w:r>
    </w:p>
    <w:p w14:paraId="3011A906" w14:textId="77777777" w:rsidR="002653E8" w:rsidRDefault="003115E3">
      <w:pPr>
        <w:pStyle w:val="a3"/>
        <w:spacing w:line="204" w:lineRule="exact"/>
        <w:ind w:left="265"/>
      </w:pPr>
      <w:r>
        <w:br w:type="column"/>
      </w:r>
      <w:r>
        <w:rPr>
          <w:color w:val="231F20"/>
        </w:rPr>
        <w:t>appeared during the prime time slot</w:t>
      </w:r>
    </w:p>
    <w:p w14:paraId="308E22FF" w14:textId="77777777" w:rsidR="002653E8" w:rsidRDefault="003115E3">
      <w:pPr>
        <w:pStyle w:val="a3"/>
        <w:spacing w:before="22"/>
        <w:ind w:left="265"/>
        <w:rPr>
          <w:sz w:val="11"/>
        </w:rPr>
      </w:pPr>
      <w:r>
        <w:rPr>
          <w:color w:val="231F20"/>
        </w:rPr>
        <w:t>was a blank screen.</w:t>
      </w:r>
      <w:r>
        <w:rPr>
          <w:color w:val="231F20"/>
          <w:position w:val="7"/>
          <w:sz w:val="11"/>
        </w:rPr>
        <w:t>4</w:t>
      </w:r>
    </w:p>
    <w:p w14:paraId="57E165FB" w14:textId="77777777" w:rsidR="002653E8" w:rsidRDefault="002653E8">
      <w:pPr>
        <w:rPr>
          <w:sz w:val="11"/>
        </w:rPr>
        <w:sectPr w:rsidR="002653E8">
          <w:type w:val="continuous"/>
          <w:pgSz w:w="8640" w:h="12960"/>
          <w:pgMar w:top="0" w:right="0" w:bottom="0" w:left="0" w:header="720" w:footer="720" w:gutter="0"/>
          <w:cols w:num="2" w:space="720" w:equalWidth="0">
            <w:col w:w="3868" w:space="40"/>
            <w:col w:w="4732"/>
          </w:cols>
        </w:sectPr>
      </w:pPr>
    </w:p>
    <w:p w14:paraId="7D1223C0" w14:textId="77777777" w:rsidR="002653E8" w:rsidRDefault="002653E8">
      <w:pPr>
        <w:pStyle w:val="a3"/>
        <w:rPr>
          <w:sz w:val="28"/>
        </w:rPr>
      </w:pPr>
    </w:p>
    <w:p w14:paraId="3BF26739" w14:textId="77777777" w:rsidR="002653E8" w:rsidRDefault="00000000">
      <w:pPr>
        <w:pStyle w:val="a3"/>
        <w:spacing w:line="20" w:lineRule="exact"/>
        <w:ind w:left="1142"/>
        <w:rPr>
          <w:sz w:val="2"/>
        </w:rPr>
      </w:pPr>
      <w:r>
        <w:rPr>
          <w:sz w:val="2"/>
        </w:rPr>
      </w:r>
      <w:r>
        <w:rPr>
          <w:sz w:val="2"/>
        </w:rPr>
        <w:pict w14:anchorId="38F2D898">
          <v:group id="_x0000_s2227" style="width:1in;height:.5pt;mso-position-horizontal-relative:char;mso-position-vertical-relative:line" coordsize="1440,10">
            <v:line id="_x0000_s2228" style="position:absolute" from="0,5" to="1440,5" strokecolor="#231f20" strokeweight=".5pt"/>
            <w10:anchorlock/>
          </v:group>
        </w:pict>
      </w:r>
    </w:p>
    <w:p w14:paraId="5D6ED3E4" w14:textId="77777777" w:rsidR="002653E8" w:rsidRDefault="003115E3">
      <w:pPr>
        <w:pStyle w:val="a4"/>
        <w:numPr>
          <w:ilvl w:val="0"/>
          <w:numId w:val="69"/>
        </w:numPr>
        <w:tabs>
          <w:tab w:val="left" w:pos="1287"/>
        </w:tabs>
        <w:spacing w:before="72" w:line="254" w:lineRule="auto"/>
        <w:ind w:right="1518" w:firstLine="0"/>
        <w:jc w:val="left"/>
        <w:rPr>
          <w:sz w:val="16"/>
        </w:rPr>
      </w:pPr>
      <w:bookmarkStart w:id="211" w:name="_Hlk130771896"/>
      <w:r>
        <w:rPr>
          <w:color w:val="231F20"/>
          <w:w w:val="105"/>
          <w:sz w:val="16"/>
        </w:rPr>
        <w:t xml:space="preserve">Katsiaficas, 69. It should be noted that this tactic had been inspired by a similar action in France, where  </w:t>
      </w:r>
      <w:r>
        <w:rPr>
          <w:color w:val="231F20"/>
          <w:spacing w:val="-3"/>
          <w:w w:val="105"/>
          <w:sz w:val="16"/>
        </w:rPr>
        <w:t xml:space="preserve">343  </w:t>
      </w:r>
      <w:r>
        <w:rPr>
          <w:color w:val="231F20"/>
          <w:w w:val="105"/>
          <w:sz w:val="16"/>
        </w:rPr>
        <w:t xml:space="preserve">women had “confessed” in like manner in the pages  of </w:t>
      </w:r>
      <w:r>
        <w:rPr>
          <w:i/>
          <w:color w:val="231F20"/>
          <w:w w:val="105"/>
          <w:sz w:val="16"/>
        </w:rPr>
        <w:t xml:space="preserve">le nouvel </w:t>
      </w:r>
      <w:r>
        <w:rPr>
          <w:i/>
          <w:color w:val="231F20"/>
          <w:spacing w:val="1"/>
          <w:w w:val="105"/>
          <w:sz w:val="16"/>
        </w:rPr>
        <w:t xml:space="preserve">Observateur </w:t>
      </w:r>
      <w:r>
        <w:rPr>
          <w:color w:val="231F20"/>
          <w:w w:val="105"/>
          <w:sz w:val="16"/>
        </w:rPr>
        <w:t>in 1971, at a time when Schwarzer was living in Paris. (Hoshino Altbach (ed.), “German Feminism,”</w:t>
      </w:r>
      <w:r>
        <w:rPr>
          <w:color w:val="231F20"/>
          <w:spacing w:val="15"/>
          <w:w w:val="105"/>
          <w:sz w:val="16"/>
        </w:rPr>
        <w:t xml:space="preserve"> </w:t>
      </w:r>
      <w:r>
        <w:rPr>
          <w:color w:val="231F20"/>
          <w:spacing w:val="-4"/>
          <w:w w:val="105"/>
          <w:sz w:val="16"/>
        </w:rPr>
        <w:t>103.)</w:t>
      </w:r>
    </w:p>
    <w:p w14:paraId="7FC3B807" w14:textId="77777777" w:rsidR="002653E8" w:rsidRDefault="003115E3">
      <w:pPr>
        <w:pStyle w:val="a4"/>
        <w:numPr>
          <w:ilvl w:val="0"/>
          <w:numId w:val="69"/>
        </w:numPr>
        <w:tabs>
          <w:tab w:val="left" w:pos="1287"/>
        </w:tabs>
        <w:spacing w:line="254" w:lineRule="auto"/>
        <w:ind w:right="1491" w:firstLine="0"/>
        <w:jc w:val="left"/>
        <w:rPr>
          <w:sz w:val="16"/>
        </w:rPr>
      </w:pPr>
      <w:r>
        <w:rPr>
          <w:color w:val="231F20"/>
          <w:w w:val="110"/>
          <w:sz w:val="16"/>
        </w:rPr>
        <w:t xml:space="preserve">Gunhild Feigenwinter quoted in Hoshino Altbach, “The New German </w:t>
      </w:r>
      <w:r>
        <w:rPr>
          <w:color w:val="231F20"/>
          <w:spacing w:val="-3"/>
          <w:w w:val="110"/>
          <w:sz w:val="16"/>
        </w:rPr>
        <w:t xml:space="preserve">Women’s </w:t>
      </w:r>
      <w:r>
        <w:rPr>
          <w:color w:val="231F20"/>
          <w:w w:val="110"/>
          <w:sz w:val="16"/>
        </w:rPr>
        <w:t>Movement,”</w:t>
      </w:r>
      <w:r>
        <w:rPr>
          <w:color w:val="231F20"/>
          <w:spacing w:val="5"/>
          <w:w w:val="110"/>
          <w:sz w:val="16"/>
        </w:rPr>
        <w:t xml:space="preserve"> </w:t>
      </w:r>
      <w:r>
        <w:rPr>
          <w:color w:val="231F20"/>
          <w:spacing w:val="-5"/>
          <w:w w:val="110"/>
          <w:sz w:val="16"/>
        </w:rPr>
        <w:t>456.</w:t>
      </w:r>
    </w:p>
    <w:p w14:paraId="1277DB75" w14:textId="77777777" w:rsidR="002653E8" w:rsidRDefault="003115E3">
      <w:pPr>
        <w:pStyle w:val="a4"/>
        <w:numPr>
          <w:ilvl w:val="0"/>
          <w:numId w:val="69"/>
        </w:numPr>
        <w:tabs>
          <w:tab w:val="left" w:pos="1287"/>
        </w:tabs>
        <w:spacing w:line="254" w:lineRule="auto"/>
        <w:ind w:left="1148" w:right="1518" w:hanging="1"/>
        <w:jc w:val="left"/>
        <w:rPr>
          <w:sz w:val="16"/>
        </w:rPr>
      </w:pPr>
      <w:r>
        <w:rPr>
          <w:color w:val="231F20"/>
          <w:w w:val="110"/>
          <w:sz w:val="16"/>
        </w:rPr>
        <w:t xml:space="preserve">Associated Press, “German </w:t>
      </w:r>
      <w:r>
        <w:rPr>
          <w:color w:val="231F20"/>
          <w:spacing w:val="5"/>
          <w:w w:val="110"/>
          <w:sz w:val="16"/>
        </w:rPr>
        <w:t xml:space="preserve">TV </w:t>
      </w:r>
      <w:r>
        <w:rPr>
          <w:color w:val="231F20"/>
          <w:w w:val="110"/>
          <w:sz w:val="16"/>
        </w:rPr>
        <w:t xml:space="preserve">cancels film showing abortion,” </w:t>
      </w:r>
      <w:r>
        <w:rPr>
          <w:i/>
          <w:color w:val="231F20"/>
          <w:w w:val="110"/>
          <w:sz w:val="16"/>
        </w:rPr>
        <w:t xml:space="preserve">European Stars </w:t>
      </w:r>
      <w:r>
        <w:rPr>
          <w:i/>
          <w:color w:val="231F20"/>
          <w:spacing w:val="1"/>
          <w:w w:val="110"/>
          <w:sz w:val="16"/>
        </w:rPr>
        <w:t xml:space="preserve">and </w:t>
      </w:r>
      <w:r>
        <w:rPr>
          <w:i/>
          <w:color w:val="231F20"/>
          <w:w w:val="110"/>
          <w:sz w:val="16"/>
        </w:rPr>
        <w:t xml:space="preserve">Stripes, </w:t>
      </w:r>
      <w:r>
        <w:rPr>
          <w:color w:val="231F20"/>
          <w:w w:val="110"/>
          <w:sz w:val="16"/>
        </w:rPr>
        <w:t xml:space="preserve">March </w:t>
      </w:r>
      <w:r>
        <w:rPr>
          <w:color w:val="231F20"/>
          <w:spacing w:val="-4"/>
          <w:w w:val="110"/>
          <w:sz w:val="16"/>
        </w:rPr>
        <w:t>13,</w:t>
      </w:r>
      <w:r>
        <w:rPr>
          <w:color w:val="231F20"/>
          <w:spacing w:val="23"/>
          <w:w w:val="110"/>
          <w:sz w:val="16"/>
        </w:rPr>
        <w:t xml:space="preserve"> </w:t>
      </w:r>
      <w:r>
        <w:rPr>
          <w:color w:val="231F20"/>
          <w:spacing w:val="-4"/>
          <w:w w:val="110"/>
          <w:sz w:val="16"/>
        </w:rPr>
        <w:t>1974.</w:t>
      </w:r>
    </w:p>
    <w:p w14:paraId="1B2AD52C" w14:textId="77777777" w:rsidR="002653E8" w:rsidRDefault="003115E3">
      <w:pPr>
        <w:pStyle w:val="a4"/>
        <w:numPr>
          <w:ilvl w:val="0"/>
          <w:numId w:val="69"/>
        </w:numPr>
        <w:tabs>
          <w:tab w:val="left" w:pos="1287"/>
        </w:tabs>
        <w:ind w:left="1286"/>
        <w:jc w:val="left"/>
        <w:rPr>
          <w:sz w:val="16"/>
        </w:rPr>
      </w:pPr>
      <w:r>
        <w:rPr>
          <w:color w:val="231F20"/>
          <w:w w:val="110"/>
          <w:sz w:val="16"/>
        </w:rPr>
        <w:t>Katsiaficas,</w:t>
      </w:r>
      <w:r>
        <w:rPr>
          <w:color w:val="231F20"/>
          <w:spacing w:val="6"/>
          <w:w w:val="110"/>
          <w:sz w:val="16"/>
        </w:rPr>
        <w:t xml:space="preserve"> </w:t>
      </w:r>
      <w:r>
        <w:rPr>
          <w:color w:val="231F20"/>
          <w:w w:val="110"/>
          <w:sz w:val="16"/>
        </w:rPr>
        <w:t>72.</w:t>
      </w:r>
    </w:p>
    <w:bookmarkEnd w:id="211"/>
    <w:p w14:paraId="5540BF44" w14:textId="77777777" w:rsidR="002653E8" w:rsidRDefault="002653E8">
      <w:pPr>
        <w:rPr>
          <w:sz w:val="16"/>
        </w:rPr>
        <w:sectPr w:rsidR="002653E8">
          <w:type w:val="continuous"/>
          <w:pgSz w:w="8640" w:h="12960"/>
          <w:pgMar w:top="0" w:right="0" w:bottom="0" w:left="0" w:header="720" w:footer="720" w:gutter="0"/>
          <w:cols w:space="720"/>
        </w:sectPr>
      </w:pPr>
    </w:p>
    <w:p w14:paraId="2FF67C14" w14:textId="77777777" w:rsidR="002653E8" w:rsidRDefault="003115E3">
      <w:pPr>
        <w:pStyle w:val="a3"/>
        <w:spacing w:before="86" w:line="264" w:lineRule="auto"/>
        <w:ind w:left="1327" w:right="1145" w:firstLine="210"/>
        <w:jc w:val="both"/>
        <w:rPr>
          <w:sz w:val="11"/>
        </w:rPr>
      </w:pPr>
      <w:r>
        <w:rPr>
          <w:color w:val="231F20"/>
        </w:rPr>
        <w:lastRenderedPageBreak/>
        <w:t xml:space="preserve">The campaign seemed to have made a breakthrough, and the </w:t>
      </w:r>
      <w:r>
        <w:rPr>
          <w:i/>
          <w:color w:val="231F20"/>
        </w:rPr>
        <w:t xml:space="preserve">Bundestag </w:t>
      </w:r>
      <w:r>
        <w:rPr>
          <w:color w:val="231F20"/>
        </w:rPr>
        <w:t xml:space="preserve">passed an SPD bill in April permitting abortion in the first trimester, which most considered to be a real victory. When the bill became law in July of that year, though, the CDU and CSU immediately appealed to the Federal Constitutional Court, which voted six to two     in February </w:t>
      </w:r>
      <w:r>
        <w:rPr>
          <w:color w:val="231F20"/>
          <w:spacing w:val="-6"/>
        </w:rPr>
        <w:t xml:space="preserve">1975 </w:t>
      </w:r>
      <w:r>
        <w:rPr>
          <w:color w:val="231F20"/>
        </w:rPr>
        <w:t>that the legislation violated the Constitution.</w:t>
      </w:r>
      <w:r>
        <w:rPr>
          <w:color w:val="231F20"/>
          <w:position w:val="7"/>
          <w:sz w:val="11"/>
        </w:rPr>
        <w:t xml:space="preserve">5 </w:t>
      </w:r>
      <w:r>
        <w:rPr>
          <w:color w:val="231F20"/>
        </w:rPr>
        <w:t>The movement had been dealt a major</w:t>
      </w:r>
      <w:r>
        <w:rPr>
          <w:color w:val="231F20"/>
          <w:spacing w:val="20"/>
        </w:rPr>
        <w:t xml:space="preserve"> </w:t>
      </w:r>
      <w:r>
        <w:rPr>
          <w:color w:val="231F20"/>
          <w:spacing w:val="-3"/>
        </w:rPr>
        <w:t>blow.</w:t>
      </w:r>
      <w:r>
        <w:rPr>
          <w:color w:val="231F20"/>
          <w:spacing w:val="-3"/>
          <w:position w:val="7"/>
          <w:sz w:val="11"/>
        </w:rPr>
        <w:t>6</w:t>
      </w:r>
    </w:p>
    <w:p w14:paraId="1E02E615" w14:textId="77777777" w:rsidR="002653E8" w:rsidRDefault="003115E3">
      <w:pPr>
        <w:pStyle w:val="a3"/>
        <w:spacing w:line="227" w:lineRule="exact"/>
        <w:ind w:left="1537"/>
      </w:pPr>
      <w:r>
        <w:rPr>
          <w:color w:val="231F20"/>
        </w:rPr>
        <w:t>One week later, bombs went off in the court’s chambers in Karlsruhe.</w:t>
      </w:r>
    </w:p>
    <w:p w14:paraId="70416CCC" w14:textId="77777777" w:rsidR="002653E8" w:rsidRDefault="003115E3">
      <w:pPr>
        <w:pStyle w:val="a3"/>
        <w:spacing w:before="23"/>
        <w:ind w:left="1327"/>
      </w:pPr>
      <w:r>
        <w:rPr>
          <w:color w:val="231F20"/>
        </w:rPr>
        <w:t>As a communiqué explained:</w:t>
      </w:r>
    </w:p>
    <w:p w14:paraId="18F7BEA8" w14:textId="77777777" w:rsidR="002653E8" w:rsidRDefault="002653E8">
      <w:pPr>
        <w:pStyle w:val="a3"/>
        <w:spacing w:before="1"/>
        <w:rPr>
          <w:sz w:val="22"/>
        </w:rPr>
      </w:pPr>
    </w:p>
    <w:p w14:paraId="7359DFE9" w14:textId="77777777" w:rsidR="002653E8" w:rsidRDefault="003115E3">
      <w:pPr>
        <w:spacing w:line="273" w:lineRule="auto"/>
        <w:ind w:left="1747" w:right="1565"/>
        <w:jc w:val="both"/>
        <w:rPr>
          <w:i/>
          <w:sz w:val="19"/>
        </w:rPr>
      </w:pPr>
      <w:r>
        <w:rPr>
          <w:i/>
          <w:color w:val="231F20"/>
          <w:w w:val="105"/>
          <w:sz w:val="19"/>
        </w:rPr>
        <w:t>On</w:t>
      </w:r>
      <w:r>
        <w:rPr>
          <w:i/>
          <w:color w:val="231F20"/>
          <w:spacing w:val="-2"/>
          <w:w w:val="105"/>
          <w:sz w:val="19"/>
        </w:rPr>
        <w:t xml:space="preserve"> </w:t>
      </w:r>
      <w:r>
        <w:rPr>
          <w:i/>
          <w:color w:val="231F20"/>
          <w:w w:val="105"/>
          <w:sz w:val="19"/>
        </w:rPr>
        <w:t>March</w:t>
      </w:r>
      <w:r>
        <w:rPr>
          <w:i/>
          <w:color w:val="231F20"/>
          <w:spacing w:val="-3"/>
          <w:w w:val="105"/>
          <w:sz w:val="19"/>
        </w:rPr>
        <w:t xml:space="preserve"> </w:t>
      </w:r>
      <w:r>
        <w:rPr>
          <w:rFonts w:ascii="Bookman Old Style"/>
          <w:i/>
          <w:color w:val="231F20"/>
          <w:w w:val="105"/>
          <w:sz w:val="19"/>
        </w:rPr>
        <w:t>4</w:t>
      </w:r>
      <w:r>
        <w:rPr>
          <w:i/>
          <w:color w:val="231F20"/>
          <w:w w:val="105"/>
          <w:sz w:val="19"/>
        </w:rPr>
        <w:t>,</w:t>
      </w:r>
      <w:r>
        <w:rPr>
          <w:i/>
          <w:color w:val="231F20"/>
          <w:spacing w:val="-9"/>
          <w:w w:val="105"/>
          <w:sz w:val="19"/>
        </w:rPr>
        <w:t xml:space="preserve"> </w:t>
      </w:r>
      <w:r>
        <w:rPr>
          <w:rFonts w:ascii="Bookman Old Style"/>
          <w:i/>
          <w:color w:val="231F20"/>
          <w:w w:val="105"/>
          <w:sz w:val="19"/>
        </w:rPr>
        <w:t>1975</w:t>
      </w:r>
      <w:r>
        <w:rPr>
          <w:i/>
          <w:color w:val="231F20"/>
          <w:w w:val="105"/>
          <w:sz w:val="19"/>
        </w:rPr>
        <w:t>,</w:t>
      </w:r>
      <w:r>
        <w:rPr>
          <w:i/>
          <w:color w:val="231F20"/>
          <w:spacing w:val="-9"/>
          <w:w w:val="105"/>
          <w:sz w:val="19"/>
        </w:rPr>
        <w:t xml:space="preserve"> </w:t>
      </w:r>
      <w:r>
        <w:rPr>
          <w:i/>
          <w:color w:val="231F20"/>
          <w:w w:val="105"/>
          <w:sz w:val="19"/>
        </w:rPr>
        <w:t>the</w:t>
      </w:r>
      <w:r>
        <w:rPr>
          <w:i/>
          <w:color w:val="231F20"/>
          <w:spacing w:val="-2"/>
          <w:w w:val="105"/>
          <w:sz w:val="19"/>
        </w:rPr>
        <w:t xml:space="preserve"> </w:t>
      </w:r>
      <w:r>
        <w:rPr>
          <w:i/>
          <w:color w:val="231F20"/>
          <w:w w:val="105"/>
          <w:sz w:val="19"/>
        </w:rPr>
        <w:t>women</w:t>
      </w:r>
      <w:r>
        <w:rPr>
          <w:i/>
          <w:color w:val="231F20"/>
          <w:spacing w:val="-2"/>
          <w:w w:val="105"/>
          <w:sz w:val="19"/>
        </w:rPr>
        <w:t xml:space="preserve"> </w:t>
      </w:r>
      <w:r>
        <w:rPr>
          <w:i/>
          <w:color w:val="231F20"/>
          <w:w w:val="105"/>
          <w:sz w:val="19"/>
        </w:rPr>
        <w:t>of</w:t>
      </w:r>
      <w:r>
        <w:rPr>
          <w:i/>
          <w:color w:val="231F20"/>
          <w:spacing w:val="-2"/>
          <w:w w:val="105"/>
          <w:sz w:val="19"/>
        </w:rPr>
        <w:t xml:space="preserve"> </w:t>
      </w:r>
      <w:r>
        <w:rPr>
          <w:i/>
          <w:color w:val="231F20"/>
          <w:w w:val="105"/>
          <w:sz w:val="19"/>
        </w:rPr>
        <w:t>the</w:t>
      </w:r>
      <w:r>
        <w:rPr>
          <w:i/>
          <w:color w:val="231F20"/>
          <w:spacing w:val="-3"/>
          <w:w w:val="105"/>
          <w:sz w:val="19"/>
        </w:rPr>
        <w:t xml:space="preserve"> </w:t>
      </w:r>
      <w:r>
        <w:rPr>
          <w:i/>
          <w:color w:val="231F20"/>
          <w:w w:val="105"/>
          <w:sz w:val="19"/>
        </w:rPr>
        <w:t>Revolutionary</w:t>
      </w:r>
      <w:r>
        <w:rPr>
          <w:i/>
          <w:color w:val="231F20"/>
          <w:spacing w:val="-2"/>
          <w:w w:val="105"/>
          <w:sz w:val="19"/>
        </w:rPr>
        <w:t xml:space="preserve"> </w:t>
      </w:r>
      <w:r>
        <w:rPr>
          <w:i/>
          <w:color w:val="231F20"/>
          <w:w w:val="105"/>
          <w:sz w:val="19"/>
        </w:rPr>
        <w:t>Cells</w:t>
      </w:r>
      <w:r>
        <w:rPr>
          <w:i/>
          <w:color w:val="231F20"/>
          <w:spacing w:val="-2"/>
          <w:w w:val="105"/>
          <w:sz w:val="19"/>
        </w:rPr>
        <w:t xml:space="preserve"> </w:t>
      </w:r>
      <w:r>
        <w:rPr>
          <w:i/>
          <w:color w:val="231F20"/>
          <w:w w:val="105"/>
          <w:sz w:val="19"/>
        </w:rPr>
        <w:t>carried out an attack against the Federal Constitutional</w:t>
      </w:r>
      <w:r>
        <w:rPr>
          <w:i/>
          <w:color w:val="231F20"/>
          <w:spacing w:val="23"/>
          <w:w w:val="105"/>
          <w:sz w:val="19"/>
        </w:rPr>
        <w:t xml:space="preserve"> </w:t>
      </w:r>
      <w:r>
        <w:rPr>
          <w:i/>
          <w:color w:val="231F20"/>
          <w:w w:val="105"/>
          <w:sz w:val="19"/>
        </w:rPr>
        <w:t>Court.</w:t>
      </w:r>
    </w:p>
    <w:p w14:paraId="59EFE647" w14:textId="77777777" w:rsidR="002653E8" w:rsidRDefault="003115E3">
      <w:pPr>
        <w:spacing w:before="42" w:line="276" w:lineRule="auto"/>
        <w:ind w:left="1747" w:right="1565"/>
        <w:jc w:val="both"/>
        <w:rPr>
          <w:i/>
          <w:sz w:val="11"/>
        </w:rPr>
      </w:pPr>
      <w:r>
        <w:rPr>
          <w:i/>
          <w:color w:val="231F20"/>
          <w:w w:val="105"/>
          <w:sz w:val="19"/>
        </w:rPr>
        <w:t>Not to “defend the constitution from the Federal Constitutional Court”… but to defend ourselves from the constitution. A constitution that provides the legal framework for the daily exploitation, grinding down, and psychological destruction of millions of women and men. A constitution that criminalizes women—many driven to their deaths—if they do not allow the doctors’</w:t>
      </w:r>
      <w:r>
        <w:rPr>
          <w:i/>
          <w:color w:val="231F20"/>
          <w:spacing w:val="-3"/>
          <w:w w:val="105"/>
          <w:sz w:val="19"/>
        </w:rPr>
        <w:t xml:space="preserve"> </w:t>
      </w:r>
      <w:r>
        <w:rPr>
          <w:i/>
          <w:color w:val="231F20"/>
          <w:w w:val="105"/>
          <w:sz w:val="19"/>
        </w:rPr>
        <w:t>mafia</w:t>
      </w:r>
      <w:r>
        <w:rPr>
          <w:i/>
          <w:color w:val="231F20"/>
          <w:spacing w:val="-3"/>
          <w:w w:val="105"/>
          <w:sz w:val="19"/>
        </w:rPr>
        <w:t xml:space="preserve"> </w:t>
      </w:r>
      <w:r>
        <w:rPr>
          <w:i/>
          <w:color w:val="231F20"/>
          <w:w w:val="105"/>
          <w:sz w:val="19"/>
        </w:rPr>
        <w:t>and</w:t>
      </w:r>
      <w:r>
        <w:rPr>
          <w:i/>
          <w:color w:val="231F20"/>
          <w:spacing w:val="-3"/>
          <w:w w:val="105"/>
          <w:sz w:val="19"/>
        </w:rPr>
        <w:t xml:space="preserve"> </w:t>
      </w:r>
      <w:r>
        <w:rPr>
          <w:i/>
          <w:color w:val="231F20"/>
          <w:w w:val="105"/>
          <w:sz w:val="19"/>
        </w:rPr>
        <w:t>the</w:t>
      </w:r>
      <w:r>
        <w:rPr>
          <w:i/>
          <w:color w:val="231F20"/>
          <w:spacing w:val="-3"/>
          <w:w w:val="105"/>
          <w:sz w:val="19"/>
        </w:rPr>
        <w:t xml:space="preserve"> </w:t>
      </w:r>
      <w:r>
        <w:rPr>
          <w:i/>
          <w:color w:val="231F20"/>
          <w:w w:val="105"/>
          <w:sz w:val="19"/>
        </w:rPr>
        <w:t>judges’</w:t>
      </w:r>
      <w:r>
        <w:rPr>
          <w:i/>
          <w:color w:val="231F20"/>
          <w:spacing w:val="-3"/>
          <w:w w:val="105"/>
          <w:sz w:val="19"/>
        </w:rPr>
        <w:t xml:space="preserve"> </w:t>
      </w:r>
      <w:r>
        <w:rPr>
          <w:i/>
          <w:color w:val="231F20"/>
          <w:w w:val="105"/>
          <w:sz w:val="19"/>
        </w:rPr>
        <w:t>mafia</w:t>
      </w:r>
      <w:r>
        <w:rPr>
          <w:i/>
          <w:color w:val="231F20"/>
          <w:spacing w:val="-3"/>
          <w:w w:val="105"/>
          <w:sz w:val="19"/>
        </w:rPr>
        <w:t xml:space="preserve"> </w:t>
      </w:r>
      <w:r>
        <w:rPr>
          <w:i/>
          <w:color w:val="231F20"/>
          <w:w w:val="105"/>
          <w:sz w:val="19"/>
        </w:rPr>
        <w:t>to</w:t>
      </w:r>
      <w:r>
        <w:rPr>
          <w:i/>
          <w:color w:val="231F20"/>
          <w:spacing w:val="-3"/>
          <w:w w:val="105"/>
          <w:sz w:val="19"/>
        </w:rPr>
        <w:t xml:space="preserve"> </w:t>
      </w:r>
      <w:r>
        <w:rPr>
          <w:i/>
          <w:color w:val="231F20"/>
          <w:w w:val="105"/>
          <w:sz w:val="19"/>
        </w:rPr>
        <w:t>control</w:t>
      </w:r>
      <w:r>
        <w:rPr>
          <w:i/>
          <w:color w:val="231F20"/>
          <w:spacing w:val="-3"/>
          <w:w w:val="105"/>
          <w:sz w:val="19"/>
        </w:rPr>
        <w:t xml:space="preserve"> </w:t>
      </w:r>
      <w:r>
        <w:rPr>
          <w:i/>
          <w:color w:val="231F20"/>
          <w:w w:val="105"/>
          <w:sz w:val="19"/>
        </w:rPr>
        <w:t>their</w:t>
      </w:r>
      <w:r>
        <w:rPr>
          <w:i/>
          <w:color w:val="231F20"/>
          <w:spacing w:val="-3"/>
          <w:w w:val="105"/>
          <w:sz w:val="19"/>
        </w:rPr>
        <w:t xml:space="preserve"> </w:t>
      </w:r>
      <w:r>
        <w:rPr>
          <w:i/>
          <w:color w:val="231F20"/>
          <w:w w:val="105"/>
          <w:sz w:val="19"/>
        </w:rPr>
        <w:t>sexuality,</w:t>
      </w:r>
      <w:r>
        <w:rPr>
          <w:i/>
          <w:color w:val="231F20"/>
          <w:spacing w:val="-8"/>
          <w:w w:val="105"/>
          <w:sz w:val="19"/>
        </w:rPr>
        <w:t xml:space="preserve"> </w:t>
      </w:r>
      <w:r>
        <w:rPr>
          <w:i/>
          <w:color w:val="231F20"/>
          <w:w w:val="105"/>
          <w:sz w:val="19"/>
        </w:rPr>
        <w:t>as well as decisions regarding their own bodies and the number of children they will</w:t>
      </w:r>
      <w:r>
        <w:rPr>
          <w:i/>
          <w:color w:val="231F20"/>
          <w:spacing w:val="21"/>
          <w:w w:val="105"/>
          <w:sz w:val="19"/>
        </w:rPr>
        <w:t xml:space="preserve"> </w:t>
      </w:r>
      <w:r>
        <w:rPr>
          <w:i/>
          <w:color w:val="231F20"/>
          <w:w w:val="105"/>
          <w:sz w:val="19"/>
        </w:rPr>
        <w:t>have.</w:t>
      </w:r>
      <w:r>
        <w:rPr>
          <w:i/>
          <w:color w:val="231F20"/>
          <w:w w:val="105"/>
          <w:position w:val="6"/>
          <w:sz w:val="11"/>
        </w:rPr>
        <w:t>7</w:t>
      </w:r>
    </w:p>
    <w:p w14:paraId="63621CB7" w14:textId="77777777" w:rsidR="002653E8" w:rsidRDefault="002653E8">
      <w:pPr>
        <w:pStyle w:val="a3"/>
        <w:spacing w:before="10"/>
        <w:rPr>
          <w:i/>
        </w:rPr>
      </w:pPr>
    </w:p>
    <w:p w14:paraId="45F47A09" w14:textId="77777777" w:rsidR="002653E8" w:rsidRDefault="003115E3">
      <w:pPr>
        <w:pStyle w:val="a3"/>
        <w:spacing w:line="264" w:lineRule="auto"/>
        <w:ind w:left="1327" w:right="1145"/>
        <w:jc w:val="both"/>
      </w:pPr>
      <w:r>
        <w:drawing>
          <wp:anchor distT="0" distB="0" distL="0" distR="0" simplePos="0" relativeHeight="267980327" behindDoc="1" locked="0" layoutInCell="1" allowOverlap="1" wp14:anchorId="576C0128" wp14:editId="65752F60">
            <wp:simplePos x="0" y="0"/>
            <wp:positionH relativeFrom="page">
              <wp:posOffset>3235783</wp:posOffset>
            </wp:positionH>
            <wp:positionV relativeFrom="paragraph">
              <wp:posOffset>391893</wp:posOffset>
            </wp:positionV>
            <wp:extent cx="1387852" cy="1667357"/>
            <wp:effectExtent l="0" t="0" r="0" b="0"/>
            <wp:wrapNone/>
            <wp:docPr id="6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9.png"/>
                    <pic:cNvPicPr/>
                  </pic:nvPicPr>
                  <pic:blipFill>
                    <a:blip r:embed="rId375" cstate="print"/>
                    <a:stretch>
                      <a:fillRect/>
                    </a:stretch>
                  </pic:blipFill>
                  <pic:spPr>
                    <a:xfrm>
                      <a:off x="0" y="0"/>
                      <a:ext cx="1387852" cy="1667357"/>
                    </a:xfrm>
                    <a:prstGeom prst="rect">
                      <a:avLst/>
                    </a:prstGeom>
                  </pic:spPr>
                </pic:pic>
              </a:graphicData>
            </a:graphic>
          </wp:anchor>
        </w:drawing>
      </w:r>
      <w:r>
        <w:rPr>
          <w:color w:val="231F20"/>
        </w:rPr>
        <w:t>From informal conversations, we gather that this was a well-received action, serving to galvanize militant feminism and strengthen the struggle for free and accessible abortion for all</w:t>
      </w:r>
    </w:p>
    <w:p w14:paraId="4EFA9824" w14:textId="77777777" w:rsidR="002653E8" w:rsidRDefault="003115E3">
      <w:pPr>
        <w:pStyle w:val="a3"/>
        <w:spacing w:line="231" w:lineRule="exact"/>
        <w:ind w:left="1328"/>
      </w:pPr>
      <w:r>
        <w:rPr>
          <w:color w:val="231F20"/>
          <w:w w:val="105"/>
        </w:rPr>
        <w:t>women.</w:t>
      </w:r>
    </w:p>
    <w:p w14:paraId="7EAB73FE" w14:textId="77777777" w:rsidR="002653E8" w:rsidRDefault="003115E3">
      <w:pPr>
        <w:pStyle w:val="a3"/>
        <w:spacing w:before="23" w:line="264" w:lineRule="auto"/>
        <w:ind w:left="1328" w:right="3488" w:firstLine="210"/>
      </w:pPr>
      <w:r>
        <w:rPr>
          <w:color w:val="231F20"/>
        </w:rPr>
        <w:t xml:space="preserve">This was one of three bombings carried out by the </w:t>
      </w:r>
      <w:r>
        <w:rPr>
          <w:color w:val="231F20"/>
          <w:spacing w:val="-3"/>
        </w:rPr>
        <w:t xml:space="preserve">Women </w:t>
      </w:r>
      <w:r>
        <w:rPr>
          <w:color w:val="231F20"/>
        </w:rPr>
        <w:t xml:space="preserve">of the  Revolutionary Cells in </w:t>
      </w:r>
      <w:r>
        <w:rPr>
          <w:color w:val="231F20"/>
          <w:spacing w:val="-6"/>
        </w:rPr>
        <w:t xml:space="preserve">1975; </w:t>
      </w:r>
      <w:r>
        <w:rPr>
          <w:color w:val="231F20"/>
        </w:rPr>
        <w:t xml:space="preserve">there were no similar attacks until Rote </w:t>
      </w:r>
      <w:r>
        <w:rPr>
          <w:color w:val="231F20"/>
          <w:spacing w:val="-3"/>
        </w:rPr>
        <w:t xml:space="preserve">Zora’s </w:t>
      </w:r>
      <w:r>
        <w:rPr>
          <w:color w:val="231F20"/>
        </w:rPr>
        <w:t xml:space="preserve">appearance  in  </w:t>
      </w:r>
      <w:r>
        <w:rPr>
          <w:color w:val="231F20"/>
          <w:spacing w:val="-6"/>
        </w:rPr>
        <w:t xml:space="preserve">1977. </w:t>
      </w:r>
      <w:r>
        <w:rPr>
          <w:color w:val="231F20"/>
        </w:rPr>
        <w:t>Clearly there was room to experiment with feminist</w:t>
      </w:r>
      <w:r>
        <w:rPr>
          <w:color w:val="231F20"/>
          <w:spacing w:val="23"/>
        </w:rPr>
        <w:t xml:space="preserve"> </w:t>
      </w:r>
      <w:r>
        <w:rPr>
          <w:color w:val="231F20"/>
        </w:rPr>
        <w:t>armed</w:t>
      </w:r>
      <w:r>
        <w:rPr>
          <w:color w:val="231F20"/>
          <w:spacing w:val="23"/>
        </w:rPr>
        <w:t xml:space="preserve"> </w:t>
      </w:r>
      <w:r>
        <w:rPr>
          <w:color w:val="231F20"/>
        </w:rPr>
        <w:t>politics,</w:t>
      </w:r>
      <w:r>
        <w:rPr>
          <w:color w:val="231F20"/>
          <w:spacing w:val="23"/>
        </w:rPr>
        <w:t xml:space="preserve"> </w:t>
      </w:r>
      <w:r>
        <w:rPr>
          <w:color w:val="231F20"/>
        </w:rPr>
        <w:t>and</w:t>
      </w:r>
      <w:r>
        <w:rPr>
          <w:color w:val="231F20"/>
          <w:spacing w:val="23"/>
        </w:rPr>
        <w:t xml:space="preserve"> </w:t>
      </w:r>
      <w:r>
        <w:rPr>
          <w:color w:val="231F20"/>
        </w:rPr>
        <w:t>some</w:t>
      </w:r>
      <w:r>
        <w:rPr>
          <w:color w:val="231F20"/>
          <w:spacing w:val="23"/>
        </w:rPr>
        <w:t xml:space="preserve"> </w:t>
      </w:r>
      <w:r>
        <w:rPr>
          <w:color w:val="231F20"/>
        </w:rPr>
        <w:t>militants</w:t>
      </w:r>
    </w:p>
    <w:p w14:paraId="128DCC17" w14:textId="77777777" w:rsidR="002653E8" w:rsidRDefault="003115E3">
      <w:pPr>
        <w:pStyle w:val="a3"/>
        <w:spacing w:line="264" w:lineRule="auto"/>
        <w:ind w:left="1328" w:right="3115"/>
      </w:pPr>
      <w:r>
        <w:rPr>
          <w:color w:val="231F20"/>
        </w:rPr>
        <w:t xml:space="preserve">were taking up this challenge. This was not the case with the </w:t>
      </w:r>
      <w:r w:rsidR="00C507A5">
        <w:rPr>
          <w:color w:val="231F20"/>
        </w:rPr>
        <w:t>red army faction</w:t>
      </w:r>
      <w:r>
        <w:rPr>
          <w:color w:val="231F20"/>
        </w:rPr>
        <w:t>.</w:t>
      </w:r>
    </w:p>
    <w:p w14:paraId="64DB48B9" w14:textId="77777777" w:rsidR="002653E8" w:rsidRDefault="00000000">
      <w:pPr>
        <w:pStyle w:val="a3"/>
        <w:spacing w:before="7"/>
        <w:rPr>
          <w:sz w:val="27"/>
        </w:rPr>
      </w:pPr>
      <w:r>
        <w:rPr>
          <w:noProof w:val="0"/>
        </w:rPr>
        <w:pict w14:anchorId="5BA75987">
          <v:line id="_x0000_s2226" style="position:absolute;z-index:9496;mso-wrap-distance-left:0;mso-wrap-distance-right:0;mso-position-horizontal-relative:page" from="66.4pt,18.4pt" to="138.4pt,18.4pt" strokecolor="#231f20" strokeweight=".5pt">
            <w10:wrap type="topAndBottom" anchorx="page"/>
          </v:line>
        </w:pict>
      </w:r>
    </w:p>
    <w:p w14:paraId="4B81CE27" w14:textId="77777777" w:rsidR="002653E8" w:rsidRDefault="003115E3">
      <w:pPr>
        <w:pStyle w:val="a4"/>
        <w:numPr>
          <w:ilvl w:val="0"/>
          <w:numId w:val="69"/>
        </w:numPr>
        <w:tabs>
          <w:tab w:val="left" w:pos="1467"/>
        </w:tabs>
        <w:spacing w:before="53"/>
        <w:ind w:left="1466"/>
        <w:jc w:val="left"/>
        <w:rPr>
          <w:sz w:val="16"/>
        </w:rPr>
      </w:pPr>
      <w:bookmarkStart w:id="212" w:name="_Hlk130772472"/>
      <w:r>
        <w:rPr>
          <w:color w:val="231F20"/>
          <w:w w:val="115"/>
          <w:sz w:val="16"/>
        </w:rPr>
        <w:t>Horton,</w:t>
      </w:r>
      <w:r>
        <w:rPr>
          <w:color w:val="231F20"/>
          <w:spacing w:val="3"/>
          <w:w w:val="115"/>
          <w:sz w:val="16"/>
        </w:rPr>
        <w:t xml:space="preserve"> </w:t>
      </w:r>
      <w:r>
        <w:rPr>
          <w:color w:val="231F20"/>
          <w:spacing w:val="-3"/>
          <w:w w:val="115"/>
          <w:sz w:val="16"/>
        </w:rPr>
        <w:t>291.</w:t>
      </w:r>
    </w:p>
    <w:p w14:paraId="4DCE8C0D" w14:textId="77777777" w:rsidR="002653E8" w:rsidRDefault="003115E3">
      <w:pPr>
        <w:pStyle w:val="a4"/>
        <w:numPr>
          <w:ilvl w:val="0"/>
          <w:numId w:val="69"/>
        </w:numPr>
        <w:tabs>
          <w:tab w:val="left" w:pos="1467"/>
        </w:tabs>
        <w:spacing w:before="51" w:line="254" w:lineRule="auto"/>
        <w:ind w:left="1328" w:right="1855" w:firstLine="0"/>
        <w:jc w:val="left"/>
        <w:rPr>
          <w:sz w:val="16"/>
        </w:rPr>
      </w:pPr>
      <w:r>
        <w:rPr>
          <w:color w:val="231F20"/>
          <w:spacing w:val="1"/>
          <w:w w:val="105"/>
          <w:sz w:val="16"/>
        </w:rPr>
        <w:t xml:space="preserve">In </w:t>
      </w:r>
      <w:r>
        <w:rPr>
          <w:color w:val="231F20"/>
          <w:w w:val="105"/>
          <w:sz w:val="16"/>
        </w:rPr>
        <w:t>1976, abortion was decriminalized for women who agreed to undergo counseling beforehand. (Katsiaficas,</w:t>
      </w:r>
      <w:r>
        <w:rPr>
          <w:color w:val="231F20"/>
          <w:spacing w:val="25"/>
          <w:w w:val="105"/>
          <w:sz w:val="16"/>
        </w:rPr>
        <w:t xml:space="preserve"> </w:t>
      </w:r>
      <w:r>
        <w:rPr>
          <w:color w:val="231F20"/>
          <w:spacing w:val="-3"/>
          <w:w w:val="105"/>
          <w:sz w:val="16"/>
        </w:rPr>
        <w:t>72)</w:t>
      </w:r>
    </w:p>
    <w:p w14:paraId="07DFBF6B" w14:textId="77777777" w:rsidR="002653E8" w:rsidRPr="00846956" w:rsidRDefault="003115E3">
      <w:pPr>
        <w:pStyle w:val="a4"/>
        <w:numPr>
          <w:ilvl w:val="0"/>
          <w:numId w:val="69"/>
        </w:numPr>
        <w:tabs>
          <w:tab w:val="left" w:pos="1467"/>
        </w:tabs>
        <w:spacing w:line="254" w:lineRule="auto"/>
        <w:ind w:left="1328" w:right="3014" w:firstLine="0"/>
        <w:jc w:val="left"/>
        <w:rPr>
          <w:sz w:val="16"/>
          <w:lang w:val="de-DE"/>
        </w:rPr>
      </w:pPr>
      <w:r w:rsidRPr="00846956">
        <w:rPr>
          <w:color w:val="231F20"/>
          <w:w w:val="105"/>
          <w:sz w:val="16"/>
          <w:lang w:val="de-DE"/>
        </w:rPr>
        <w:t xml:space="preserve">“Aktion gegen das Bundesverfassungsgericht (März </w:t>
      </w:r>
      <w:r w:rsidRPr="00846956">
        <w:rPr>
          <w:color w:val="231F20"/>
          <w:spacing w:val="-8"/>
          <w:w w:val="105"/>
          <w:sz w:val="16"/>
          <w:lang w:val="de-DE"/>
        </w:rPr>
        <w:t>75),”</w:t>
      </w:r>
      <w:hyperlink r:id="rId376">
        <w:r w:rsidRPr="00846956">
          <w:rPr>
            <w:color w:val="231F20"/>
            <w:spacing w:val="-8"/>
            <w:w w:val="105"/>
            <w:sz w:val="16"/>
            <w:lang w:val="de-DE"/>
          </w:rPr>
          <w:t xml:space="preserve"> </w:t>
        </w:r>
        <w:r w:rsidRPr="00846956">
          <w:rPr>
            <w:color w:val="231F20"/>
            <w:w w:val="104"/>
            <w:sz w:val="16"/>
            <w:lang w:val="de-DE"/>
          </w:rPr>
          <w:t>h</w:t>
        </w:r>
        <w:r w:rsidRPr="00846956">
          <w:rPr>
            <w:color w:val="231F20"/>
            <w:spacing w:val="5"/>
            <w:w w:val="102"/>
            <w:sz w:val="16"/>
            <w:lang w:val="de-DE"/>
          </w:rPr>
          <w:t>t</w:t>
        </w:r>
        <w:r w:rsidRPr="00846956">
          <w:rPr>
            <w:color w:val="231F20"/>
            <w:spacing w:val="3"/>
            <w:w w:val="102"/>
            <w:sz w:val="16"/>
            <w:lang w:val="de-DE"/>
          </w:rPr>
          <w:t>t</w:t>
        </w:r>
        <w:r w:rsidRPr="00846956">
          <w:rPr>
            <w:color w:val="231F20"/>
            <w:w w:val="103"/>
            <w:sz w:val="16"/>
            <w:lang w:val="de-DE"/>
          </w:rPr>
          <w:t>p</w:t>
        </w:r>
        <w:r w:rsidRPr="00846956">
          <w:rPr>
            <w:color w:val="231F20"/>
            <w:spacing w:val="5"/>
            <w:w w:val="109"/>
            <w:sz w:val="16"/>
            <w:lang w:val="de-DE"/>
          </w:rPr>
          <w:t>:</w:t>
        </w:r>
        <w:r w:rsidRPr="00846956">
          <w:rPr>
            <w:color w:val="231F20"/>
            <w:spacing w:val="-1"/>
            <w:w w:val="58"/>
            <w:sz w:val="16"/>
            <w:lang w:val="de-DE"/>
          </w:rPr>
          <w:t>/</w:t>
        </w:r>
        <w:r w:rsidRPr="00846956">
          <w:rPr>
            <w:color w:val="231F20"/>
            <w:spacing w:val="2"/>
            <w:w w:val="58"/>
            <w:sz w:val="16"/>
            <w:lang w:val="de-DE"/>
          </w:rPr>
          <w:t>/</w:t>
        </w:r>
        <w:r w:rsidRPr="00846956">
          <w:rPr>
            <w:color w:val="231F20"/>
            <w:spacing w:val="6"/>
            <w:w w:val="104"/>
            <w:sz w:val="16"/>
            <w:lang w:val="de-DE"/>
          </w:rPr>
          <w:t>ww</w:t>
        </w:r>
        <w:r w:rsidRPr="00846956">
          <w:rPr>
            <w:color w:val="231F20"/>
            <w:spacing w:val="-9"/>
            <w:w w:val="104"/>
            <w:sz w:val="16"/>
            <w:lang w:val="de-DE"/>
          </w:rPr>
          <w:t>w</w:t>
        </w:r>
        <w:r w:rsidRPr="00846956">
          <w:rPr>
            <w:color w:val="231F20"/>
            <w:w w:val="140"/>
            <w:sz w:val="16"/>
            <w:lang w:val="de-DE"/>
          </w:rPr>
          <w:t>.</w:t>
        </w:r>
        <w:r w:rsidRPr="00846956">
          <w:rPr>
            <w:color w:val="231F20"/>
            <w:spacing w:val="3"/>
            <w:w w:val="114"/>
            <w:sz w:val="16"/>
            <w:lang w:val="de-DE"/>
          </w:rPr>
          <w:t>f</w:t>
        </w:r>
        <w:r w:rsidRPr="00846956">
          <w:rPr>
            <w:color w:val="231F20"/>
            <w:w w:val="97"/>
            <w:sz w:val="16"/>
            <w:lang w:val="de-DE"/>
          </w:rPr>
          <w:t>re</w:t>
        </w:r>
        <w:r w:rsidRPr="00846956">
          <w:rPr>
            <w:color w:val="231F20"/>
            <w:spacing w:val="2"/>
            <w:w w:val="97"/>
            <w:sz w:val="16"/>
            <w:lang w:val="de-DE"/>
          </w:rPr>
          <w:t>i</w:t>
        </w:r>
        <w:r w:rsidRPr="00846956">
          <w:rPr>
            <w:color w:val="231F20"/>
            <w:spacing w:val="1"/>
            <w:w w:val="106"/>
            <w:sz w:val="16"/>
            <w:lang w:val="de-DE"/>
          </w:rPr>
          <w:t>la</w:t>
        </w:r>
        <w:r w:rsidRPr="00846956">
          <w:rPr>
            <w:color w:val="231F20"/>
            <w:spacing w:val="1"/>
            <w:w w:val="93"/>
            <w:sz w:val="16"/>
            <w:lang w:val="de-DE"/>
          </w:rPr>
          <w:t>s</w:t>
        </w:r>
        <w:r w:rsidRPr="00846956">
          <w:rPr>
            <w:color w:val="231F20"/>
            <w:w w:val="99"/>
            <w:sz w:val="16"/>
            <w:lang w:val="de-DE"/>
          </w:rPr>
          <w:t>s</w:t>
        </w:r>
        <w:r w:rsidRPr="00846956">
          <w:rPr>
            <w:color w:val="231F20"/>
            <w:spacing w:val="3"/>
            <w:w w:val="99"/>
            <w:sz w:val="16"/>
            <w:lang w:val="de-DE"/>
          </w:rPr>
          <w:t>u</w:t>
        </w:r>
        <w:r w:rsidRPr="00846956">
          <w:rPr>
            <w:color w:val="231F20"/>
            <w:w w:val="103"/>
            <w:sz w:val="16"/>
            <w:lang w:val="de-DE"/>
          </w:rPr>
          <w:t>n</w:t>
        </w:r>
        <w:r w:rsidRPr="00846956">
          <w:rPr>
            <w:color w:val="231F20"/>
            <w:spacing w:val="1"/>
            <w:w w:val="104"/>
            <w:sz w:val="16"/>
            <w:lang w:val="de-DE"/>
          </w:rPr>
          <w:t>g</w:t>
        </w:r>
        <w:r w:rsidRPr="00846956">
          <w:rPr>
            <w:color w:val="231F20"/>
            <w:w w:val="140"/>
            <w:sz w:val="16"/>
            <w:lang w:val="de-DE"/>
          </w:rPr>
          <w:t>.</w:t>
        </w:r>
        <w:r w:rsidRPr="00846956">
          <w:rPr>
            <w:color w:val="231F20"/>
            <w:w w:val="103"/>
            <w:sz w:val="16"/>
            <w:lang w:val="de-DE"/>
          </w:rPr>
          <w:t>d</w:t>
        </w:r>
        <w:r w:rsidRPr="00846956">
          <w:rPr>
            <w:color w:val="231F20"/>
            <w:spacing w:val="5"/>
            <w:w w:val="94"/>
            <w:sz w:val="16"/>
            <w:lang w:val="de-DE"/>
          </w:rPr>
          <w:t>e</w:t>
        </w:r>
        <w:r w:rsidRPr="00846956">
          <w:rPr>
            <w:color w:val="231F20"/>
            <w:spacing w:val="-3"/>
            <w:w w:val="58"/>
            <w:sz w:val="16"/>
            <w:lang w:val="de-DE"/>
          </w:rPr>
          <w:t>/</w:t>
        </w:r>
        <w:r w:rsidRPr="00846956">
          <w:rPr>
            <w:color w:val="231F20"/>
            <w:spacing w:val="3"/>
            <w:w w:val="103"/>
            <w:sz w:val="16"/>
            <w:lang w:val="de-DE"/>
          </w:rPr>
          <w:t>d</w:t>
        </w:r>
        <w:r w:rsidRPr="00846956">
          <w:rPr>
            <w:color w:val="231F20"/>
            <w:spacing w:val="-1"/>
            <w:w w:val="103"/>
            <w:sz w:val="16"/>
            <w:lang w:val="de-DE"/>
          </w:rPr>
          <w:t>i</w:t>
        </w:r>
        <w:r w:rsidRPr="00846956">
          <w:rPr>
            <w:color w:val="231F20"/>
            <w:spacing w:val="-1"/>
            <w:w w:val="102"/>
            <w:sz w:val="16"/>
            <w:lang w:val="de-DE"/>
          </w:rPr>
          <w:t>v</w:t>
        </w:r>
        <w:r w:rsidRPr="00846956">
          <w:rPr>
            <w:color w:val="231F20"/>
            <w:spacing w:val="1"/>
            <w:w w:val="58"/>
            <w:sz w:val="16"/>
            <w:lang w:val="de-DE"/>
          </w:rPr>
          <w:t>/</w:t>
        </w:r>
        <w:r w:rsidRPr="00846956">
          <w:rPr>
            <w:color w:val="231F20"/>
            <w:spacing w:val="1"/>
            <w:w w:val="102"/>
            <w:sz w:val="16"/>
            <w:lang w:val="de-DE"/>
          </w:rPr>
          <w:t>t</w:t>
        </w:r>
        <w:r w:rsidRPr="00846956">
          <w:rPr>
            <w:color w:val="231F20"/>
            <w:w w:val="94"/>
            <w:sz w:val="16"/>
            <w:lang w:val="de-DE"/>
          </w:rPr>
          <w:t>e</w:t>
        </w:r>
        <w:r w:rsidRPr="00846956">
          <w:rPr>
            <w:color w:val="231F20"/>
            <w:spacing w:val="5"/>
            <w:w w:val="119"/>
            <w:sz w:val="16"/>
            <w:lang w:val="de-DE"/>
          </w:rPr>
          <w:t>x</w:t>
        </w:r>
        <w:r w:rsidRPr="00846956">
          <w:rPr>
            <w:color w:val="231F20"/>
            <w:spacing w:val="1"/>
            <w:w w:val="102"/>
            <w:sz w:val="16"/>
            <w:lang w:val="de-DE"/>
          </w:rPr>
          <w:t>t</w:t>
        </w:r>
        <w:r w:rsidRPr="00846956">
          <w:rPr>
            <w:color w:val="231F20"/>
            <w:spacing w:val="5"/>
            <w:w w:val="94"/>
            <w:sz w:val="16"/>
            <w:lang w:val="de-DE"/>
          </w:rPr>
          <w:t>e</w:t>
        </w:r>
        <w:r w:rsidRPr="00846956">
          <w:rPr>
            <w:color w:val="231F20"/>
            <w:w w:val="58"/>
            <w:sz w:val="16"/>
            <w:lang w:val="de-DE"/>
          </w:rPr>
          <w:t>/</w:t>
        </w:r>
        <w:r w:rsidRPr="00846956">
          <w:rPr>
            <w:color w:val="231F20"/>
            <w:spacing w:val="2"/>
            <w:w w:val="97"/>
            <w:sz w:val="16"/>
            <w:lang w:val="de-DE"/>
          </w:rPr>
          <w:t>r</w:t>
        </w:r>
        <w:r w:rsidRPr="00846956">
          <w:rPr>
            <w:color w:val="231F20"/>
            <w:spacing w:val="6"/>
            <w:w w:val="101"/>
            <w:sz w:val="16"/>
            <w:lang w:val="de-DE"/>
          </w:rPr>
          <w:t>z</w:t>
        </w:r>
        <w:r w:rsidRPr="00846956">
          <w:rPr>
            <w:color w:val="231F20"/>
            <w:w w:val="58"/>
            <w:sz w:val="16"/>
            <w:lang w:val="de-DE"/>
          </w:rPr>
          <w:t>/</w:t>
        </w:r>
        <w:r w:rsidRPr="00846956">
          <w:rPr>
            <w:color w:val="231F20"/>
            <w:spacing w:val="1"/>
            <w:w w:val="101"/>
            <w:sz w:val="16"/>
            <w:lang w:val="de-DE"/>
          </w:rPr>
          <w:t>z</w:t>
        </w:r>
        <w:r w:rsidRPr="00846956">
          <w:rPr>
            <w:color w:val="231F20"/>
            <w:w w:val="108"/>
            <w:sz w:val="16"/>
            <w:lang w:val="de-DE"/>
          </w:rPr>
          <w:t>o</w:t>
        </w:r>
        <w:r w:rsidRPr="00846956">
          <w:rPr>
            <w:color w:val="231F20"/>
            <w:spacing w:val="3"/>
            <w:w w:val="97"/>
            <w:sz w:val="16"/>
            <w:lang w:val="de-DE"/>
          </w:rPr>
          <w:t>r</w:t>
        </w:r>
        <w:r w:rsidRPr="00846956">
          <w:rPr>
            <w:color w:val="231F20"/>
            <w:spacing w:val="8"/>
            <w:w w:val="103"/>
            <w:sz w:val="16"/>
            <w:lang w:val="de-DE"/>
          </w:rPr>
          <w:t>n</w:t>
        </w:r>
        <w:r w:rsidRPr="00846956">
          <w:rPr>
            <w:color w:val="231F20"/>
            <w:spacing w:val="5"/>
            <w:w w:val="58"/>
            <w:sz w:val="16"/>
            <w:lang w:val="de-DE"/>
          </w:rPr>
          <w:t>/</w:t>
        </w:r>
        <w:r w:rsidRPr="00846956">
          <w:rPr>
            <w:color w:val="231F20"/>
            <w:spacing w:val="5"/>
            <w:w w:val="139"/>
            <w:sz w:val="16"/>
            <w:lang w:val="de-DE"/>
          </w:rPr>
          <w:t>Z</w:t>
        </w:r>
        <w:r w:rsidRPr="00846956">
          <w:rPr>
            <w:color w:val="231F20"/>
            <w:w w:val="108"/>
            <w:sz w:val="16"/>
            <w:lang w:val="de-DE"/>
          </w:rPr>
          <w:t>o</w:t>
        </w:r>
        <w:r w:rsidRPr="00846956">
          <w:rPr>
            <w:color w:val="231F20"/>
            <w:spacing w:val="3"/>
            <w:w w:val="97"/>
            <w:sz w:val="16"/>
            <w:lang w:val="de-DE"/>
          </w:rPr>
          <w:t>r</w:t>
        </w:r>
        <w:r w:rsidRPr="00846956">
          <w:rPr>
            <w:color w:val="231F20"/>
            <w:w w:val="103"/>
            <w:sz w:val="16"/>
            <w:lang w:val="de-DE"/>
          </w:rPr>
          <w:t>n</w:t>
        </w:r>
        <w:r w:rsidRPr="00846956">
          <w:rPr>
            <w:color w:val="231F20"/>
            <w:spacing w:val="-3"/>
            <w:w w:val="104"/>
            <w:sz w:val="16"/>
            <w:lang w:val="de-DE"/>
          </w:rPr>
          <w:t>1</w:t>
        </w:r>
        <w:r w:rsidRPr="00846956">
          <w:rPr>
            <w:color w:val="231F20"/>
            <w:spacing w:val="1"/>
            <w:w w:val="104"/>
            <w:sz w:val="16"/>
            <w:lang w:val="de-DE"/>
          </w:rPr>
          <w:t>2</w:t>
        </w:r>
        <w:r w:rsidRPr="00846956">
          <w:rPr>
            <w:color w:val="231F20"/>
            <w:w w:val="103"/>
            <w:sz w:val="16"/>
            <w:lang w:val="de-DE"/>
          </w:rPr>
          <w:t>i</w:t>
        </w:r>
        <w:r w:rsidRPr="00846956">
          <w:rPr>
            <w:color w:val="231F20"/>
            <w:spacing w:val="1"/>
            <w:w w:val="140"/>
            <w:sz w:val="16"/>
            <w:lang w:val="de-DE"/>
          </w:rPr>
          <w:t>.</w:t>
        </w:r>
        <w:r w:rsidRPr="00846956">
          <w:rPr>
            <w:color w:val="231F20"/>
            <w:w w:val="103"/>
            <w:sz w:val="16"/>
            <w:lang w:val="de-DE"/>
          </w:rPr>
          <w:t>h</w:t>
        </w:r>
        <w:r w:rsidRPr="00846956">
          <w:rPr>
            <w:color w:val="231F20"/>
            <w:spacing w:val="3"/>
            <w:w w:val="103"/>
            <w:sz w:val="16"/>
            <w:lang w:val="de-DE"/>
          </w:rPr>
          <w:t>t</w:t>
        </w:r>
        <w:r w:rsidRPr="00846956">
          <w:rPr>
            <w:color w:val="231F20"/>
            <w:w w:val="103"/>
            <w:sz w:val="16"/>
            <w:lang w:val="de-DE"/>
          </w:rPr>
          <w:t>m</w:t>
        </w:r>
      </w:hyperlink>
    </w:p>
    <w:bookmarkEnd w:id="212"/>
    <w:p w14:paraId="2DBF268B" w14:textId="77777777" w:rsidR="002653E8" w:rsidRPr="00846956" w:rsidRDefault="002653E8">
      <w:pPr>
        <w:spacing w:line="254" w:lineRule="auto"/>
        <w:rPr>
          <w:sz w:val="16"/>
          <w:lang w:val="de-DE"/>
        </w:rPr>
        <w:sectPr w:rsidR="002653E8" w:rsidRPr="00846956">
          <w:pgSz w:w="8640" w:h="12960"/>
          <w:pgMar w:top="1060" w:right="0" w:bottom="1040" w:left="0" w:header="0" w:footer="850" w:gutter="0"/>
          <w:cols w:space="720"/>
        </w:sectPr>
      </w:pPr>
    </w:p>
    <w:p w14:paraId="19365E97" w14:textId="77777777" w:rsidR="002653E8" w:rsidRDefault="003115E3">
      <w:pPr>
        <w:pStyle w:val="a3"/>
        <w:spacing w:before="86" w:line="264" w:lineRule="auto"/>
        <w:ind w:left="1147" w:right="1326" w:firstLine="210"/>
        <w:jc w:val="both"/>
      </w:pPr>
      <w:r>
        <w:rPr>
          <w:color w:val="231F20"/>
        </w:rPr>
        <w:lastRenderedPageBreak/>
        <w:t xml:space="preserve">Later in the decade, a number of efforts would be made to define,      or at least explore, the relationship between feminism and armed antiimperialism. This was as a result of developments on the ground, as certain women attempted to grapple with the meaning of the guerilla’s politics, and with the prominence of so many women in the </w:t>
      </w:r>
      <w:r w:rsidR="00C507A5">
        <w:rPr>
          <w:color w:val="231F20"/>
        </w:rPr>
        <w:t>red army faction</w:t>
      </w:r>
      <w:r>
        <w:rPr>
          <w:color w:val="231F20"/>
        </w:rPr>
        <w:t xml:space="preserve">. The process received added impetus as activists from both milieux were brought together within the peace and antinuclear movements that emerged from the other trend the </w:t>
      </w:r>
      <w:r w:rsidR="00C507A5">
        <w:rPr>
          <w:color w:val="231F20"/>
          <w:spacing w:val="5"/>
        </w:rPr>
        <w:t>red army faction</w:t>
      </w:r>
      <w:r>
        <w:rPr>
          <w:color w:val="231F20"/>
          <w:spacing w:val="5"/>
        </w:rPr>
        <w:t xml:space="preserve"> </w:t>
      </w:r>
      <w:r>
        <w:rPr>
          <w:color w:val="231F20"/>
        </w:rPr>
        <w:t>was ignoring: the rise of the Citizens</w:t>
      </w:r>
      <w:r>
        <w:rPr>
          <w:color w:val="231F20"/>
          <w:spacing w:val="10"/>
        </w:rPr>
        <w:t xml:space="preserve"> </w:t>
      </w:r>
      <w:r>
        <w:rPr>
          <w:color w:val="231F20"/>
        </w:rPr>
        <w:t>Initiatives.</w:t>
      </w:r>
    </w:p>
    <w:p w14:paraId="55D79441" w14:textId="77777777" w:rsidR="002653E8" w:rsidRDefault="002653E8">
      <w:pPr>
        <w:pStyle w:val="a3"/>
        <w:spacing w:before="6"/>
        <w:rPr>
          <w:sz w:val="19"/>
        </w:rPr>
      </w:pPr>
    </w:p>
    <w:p w14:paraId="4A5F73CE" w14:textId="77777777" w:rsidR="002653E8" w:rsidRDefault="003115E3">
      <w:pPr>
        <w:ind w:left="1147"/>
      </w:pPr>
      <w:bookmarkStart w:id="213" w:name="_Hlk130772534"/>
      <w:r>
        <w:rPr>
          <w:color w:val="231F20"/>
          <w:w w:val="120"/>
        </w:rPr>
        <w:t>bürgerinitiativen: the citizens initiatives</w:t>
      </w:r>
    </w:p>
    <w:bookmarkEnd w:id="213"/>
    <w:p w14:paraId="4AEA78C8" w14:textId="77777777" w:rsidR="002653E8" w:rsidRDefault="003115E3">
      <w:pPr>
        <w:pStyle w:val="a3"/>
        <w:spacing w:before="18" w:line="264" w:lineRule="auto"/>
        <w:ind w:left="1147" w:right="1325"/>
        <w:jc w:val="both"/>
        <w:rPr>
          <w:sz w:val="11"/>
        </w:rPr>
      </w:pPr>
      <w:r>
        <w:rPr>
          <w:color w:val="231F20"/>
        </w:rPr>
        <w:t xml:space="preserve">The Citizens Initiatives had developed  from  the  least  radical  section of the </w:t>
      </w:r>
      <w:r>
        <w:rPr>
          <w:color w:val="231F20"/>
          <w:spacing w:val="1"/>
        </w:rPr>
        <w:t xml:space="preserve">APO </w:t>
      </w:r>
      <w:r>
        <w:rPr>
          <w:color w:val="231F20"/>
        </w:rPr>
        <w:t xml:space="preserve">in combination with segments  of  the  SPD.  The  term  it self covers what is described in North America as “civil society,” with  the proviso that the groups involved tended to be based in one locality and focused on one single  issue.  This  varied  wildly  from  opposition to nuclear power, highway expansion, or deforestation, to promotion   of the rights of guest workers, tenants, or the </w:t>
      </w:r>
      <w:r>
        <w:rPr>
          <w:color w:val="231F20"/>
          <w:spacing w:val="-3"/>
        </w:rPr>
        <w:t xml:space="preserve">elderly, </w:t>
      </w:r>
      <w:r>
        <w:rPr>
          <w:color w:val="231F20"/>
        </w:rPr>
        <w:t>or work around some particular government policy or piece of legislation, for instance the</w:t>
      </w:r>
      <w:r>
        <w:rPr>
          <w:color w:val="231F20"/>
          <w:spacing w:val="10"/>
        </w:rPr>
        <w:t xml:space="preserve"> </w:t>
      </w:r>
      <w:r>
        <w:rPr>
          <w:i/>
          <w:color w:val="231F20"/>
        </w:rPr>
        <w:t>Berufsverbot</w:t>
      </w:r>
      <w:r>
        <w:rPr>
          <w:color w:val="231F20"/>
        </w:rPr>
        <w:t>.</w:t>
      </w:r>
      <w:r>
        <w:rPr>
          <w:color w:val="231F20"/>
          <w:position w:val="7"/>
          <w:sz w:val="11"/>
        </w:rPr>
        <w:t>1</w:t>
      </w:r>
    </w:p>
    <w:p w14:paraId="20286D6B" w14:textId="77777777" w:rsidR="002653E8" w:rsidRDefault="003115E3">
      <w:pPr>
        <w:pStyle w:val="a3"/>
        <w:spacing w:line="264" w:lineRule="auto"/>
        <w:ind w:left="1147" w:right="1326" w:firstLine="210"/>
        <w:jc w:val="both"/>
      </w:pPr>
      <w:r>
        <w:rPr>
          <w:color w:val="231F20"/>
        </w:rPr>
        <w:t xml:space="preserve">It is difficult to draw a hard and objective line between the Citizens Initiatives and various left or feminist projects, and indeed there was always overlap. However, the explicitly non-ideological and reformist approach that characterized the Initiatives makes the term a meaningful one in examining the struggle in the 1970s. While individuals might work with a Citizens Initiative for their own ideological reasons (i.e., against the </w:t>
      </w:r>
      <w:r>
        <w:rPr>
          <w:i/>
          <w:color w:val="231F20"/>
        </w:rPr>
        <w:t xml:space="preserve">Berufsverbot </w:t>
      </w:r>
      <w:r>
        <w:rPr>
          <w:color w:val="231F20"/>
        </w:rPr>
        <w:t>because they were communists), the idea behind the Initiative itself was the issue being tackled, not how it fit into some greater political scheme. At least initially, the campaigns were ends in themselves, not aspects of some broader strategy.</w:t>
      </w:r>
    </w:p>
    <w:p w14:paraId="49FA76C4" w14:textId="77777777" w:rsidR="002653E8" w:rsidRDefault="003115E3">
      <w:pPr>
        <w:pStyle w:val="a3"/>
        <w:spacing w:line="264" w:lineRule="auto"/>
        <w:ind w:left="1147" w:right="1326" w:firstLine="210"/>
        <w:jc w:val="both"/>
      </w:pPr>
      <w:r>
        <w:rPr>
          <w:color w:val="231F20"/>
        </w:rPr>
        <w:t>As such, the Citizens Initiatives were always consciously reformist, even system-supportive, often firmly anchored in the SPD and hoping  to win over politicians so that they could enact the changes deemed necessary.</w:t>
      </w:r>
    </w:p>
    <w:p w14:paraId="28AB0F54" w14:textId="77777777" w:rsidR="002653E8" w:rsidRDefault="003115E3">
      <w:pPr>
        <w:pStyle w:val="a3"/>
        <w:spacing w:line="264" w:lineRule="auto"/>
        <w:ind w:left="1148" w:right="1325" w:firstLine="209"/>
        <w:jc w:val="both"/>
      </w:pPr>
      <w:r>
        <w:rPr>
          <w:color w:val="231F20"/>
        </w:rPr>
        <w:t>From about a thousand such groups in 1972, the numbers grew several fold by 1975 to an estimated 60,000 to 160,000 people; by the end of the seventies, the total membership has been estimated as anywhere</w:t>
      </w:r>
    </w:p>
    <w:p w14:paraId="4577BFFD" w14:textId="77777777" w:rsidR="002653E8" w:rsidRDefault="00000000">
      <w:pPr>
        <w:pStyle w:val="a3"/>
        <w:rPr>
          <w:sz w:val="18"/>
        </w:rPr>
      </w:pPr>
      <w:r>
        <w:rPr>
          <w:noProof w:val="0"/>
        </w:rPr>
        <w:pict w14:anchorId="3E228036">
          <v:line id="_x0000_s2225" style="position:absolute;z-index:9544;mso-wrap-distance-left:0;mso-wrap-distance-right:0;mso-position-horizontal-relative:page" from="57.4pt,12.8pt" to="129.4pt,12.8pt" strokecolor="#231f20" strokeweight=".5pt">
            <w10:wrap type="topAndBottom" anchorx="page"/>
          </v:line>
        </w:pict>
      </w:r>
    </w:p>
    <w:p w14:paraId="1E0D28C6" w14:textId="77777777" w:rsidR="002653E8" w:rsidRDefault="003115E3">
      <w:pPr>
        <w:spacing w:before="53" w:line="254" w:lineRule="auto"/>
        <w:ind w:left="1147" w:right="1145"/>
        <w:rPr>
          <w:sz w:val="16"/>
        </w:rPr>
      </w:pPr>
      <w:bookmarkStart w:id="214" w:name="_Hlk130772763"/>
      <w:r>
        <w:rPr>
          <w:color w:val="231F20"/>
          <w:w w:val="110"/>
          <w:sz w:val="16"/>
        </w:rPr>
        <w:t xml:space="preserve">1 Michal </w:t>
      </w:r>
      <w:r>
        <w:rPr>
          <w:color w:val="231F20"/>
          <w:w w:val="115"/>
          <w:sz w:val="16"/>
        </w:rPr>
        <w:t xml:space="preserve">y. </w:t>
      </w:r>
      <w:r>
        <w:rPr>
          <w:color w:val="231F20"/>
          <w:w w:val="110"/>
          <w:sz w:val="16"/>
        </w:rPr>
        <w:t xml:space="preserve">Bodemann, “The Green Party and the New Nationalism in the Federal Republic of Germany,” </w:t>
      </w:r>
      <w:r>
        <w:rPr>
          <w:i/>
          <w:color w:val="231F20"/>
          <w:w w:val="110"/>
          <w:sz w:val="16"/>
        </w:rPr>
        <w:t xml:space="preserve">Socialist Register </w:t>
      </w:r>
      <w:r>
        <w:rPr>
          <w:color w:val="231F20"/>
          <w:w w:val="110"/>
          <w:sz w:val="16"/>
        </w:rPr>
        <w:t>(1985-86): 142.</w:t>
      </w:r>
    </w:p>
    <w:p w14:paraId="79E201ED" w14:textId="77777777" w:rsidR="002653E8" w:rsidRDefault="002653E8">
      <w:pPr>
        <w:spacing w:line="254" w:lineRule="auto"/>
        <w:rPr>
          <w:sz w:val="16"/>
        </w:rPr>
        <w:sectPr w:rsidR="002653E8">
          <w:pgSz w:w="8640" w:h="12960"/>
          <w:pgMar w:top="1060" w:right="0" w:bottom="1040" w:left="0" w:header="0" w:footer="850" w:gutter="0"/>
          <w:cols w:space="720"/>
        </w:sectPr>
      </w:pPr>
    </w:p>
    <w:bookmarkEnd w:id="214"/>
    <w:p w14:paraId="6E70E4AB" w14:textId="77777777" w:rsidR="002653E8" w:rsidRDefault="003115E3">
      <w:pPr>
        <w:pStyle w:val="a3"/>
        <w:spacing w:before="86" w:line="264" w:lineRule="auto"/>
        <w:ind w:left="1327" w:right="1580"/>
        <w:rPr>
          <w:sz w:val="11"/>
        </w:rPr>
      </w:pPr>
      <w:r>
        <w:rPr>
          <w:color w:val="231F20"/>
        </w:rPr>
        <w:lastRenderedPageBreak/>
        <w:t>between 300,000 and a half million,</w:t>
      </w:r>
      <w:r>
        <w:rPr>
          <w:color w:val="231F20"/>
          <w:position w:val="7"/>
          <w:sz w:val="11"/>
        </w:rPr>
        <w:t xml:space="preserve">2 </w:t>
      </w:r>
      <w:r>
        <w:rPr>
          <w:color w:val="231F20"/>
        </w:rPr>
        <w:t>all the way up to two or three million people.</w:t>
      </w:r>
      <w:r>
        <w:rPr>
          <w:color w:val="231F20"/>
          <w:position w:val="7"/>
          <w:sz w:val="11"/>
        </w:rPr>
        <w:t>3</w:t>
      </w:r>
    </w:p>
    <w:p w14:paraId="7C0172D2" w14:textId="77777777" w:rsidR="002653E8" w:rsidRDefault="003115E3">
      <w:pPr>
        <w:pStyle w:val="a3"/>
        <w:spacing w:line="264" w:lineRule="auto"/>
        <w:ind w:left="1328" w:right="1145" w:firstLine="209"/>
        <w:jc w:val="both"/>
        <w:rPr>
          <w:sz w:val="11"/>
        </w:rPr>
      </w:pPr>
      <w:r>
        <w:rPr>
          <w:color w:val="231F20"/>
        </w:rPr>
        <w:t>Initially, these citizens’ groups may have been based in the SPD, but as the Schmidt administration carried out a series of massive public investments in new highways, nuclear plants, and heavy industries, those involved became more susceptible to radical ideas, especially those which questioned the logic of capitalist development and environmental</w:t>
      </w:r>
      <w:r>
        <w:rPr>
          <w:color w:val="231F20"/>
          <w:spacing w:val="10"/>
        </w:rPr>
        <w:t xml:space="preserve"> </w:t>
      </w:r>
      <w:r>
        <w:rPr>
          <w:color w:val="231F20"/>
        </w:rPr>
        <w:t>destruction.</w:t>
      </w:r>
      <w:r>
        <w:rPr>
          <w:color w:val="231F20"/>
          <w:position w:val="7"/>
          <w:sz w:val="11"/>
        </w:rPr>
        <w:t>4</w:t>
      </w:r>
    </w:p>
    <w:p w14:paraId="5E9EE87C" w14:textId="77777777" w:rsidR="002653E8" w:rsidRDefault="003115E3">
      <w:pPr>
        <w:pStyle w:val="a3"/>
        <w:spacing w:line="264" w:lineRule="auto"/>
        <w:ind w:left="1327" w:right="1146" w:firstLine="210"/>
        <w:jc w:val="both"/>
      </w:pPr>
      <w:r>
        <w:rPr>
          <w:color w:val="231F20"/>
          <w:spacing w:val="-3"/>
        </w:rPr>
        <w:t xml:space="preserve">West </w:t>
      </w:r>
      <w:r>
        <w:rPr>
          <w:color w:val="231F20"/>
        </w:rPr>
        <w:t xml:space="preserve">Germany’s ecology movement grew directly out of these Initiatives, and opposition to nuclear power became the common denominator binding it together. Even people committed to strictly reformist goals began to find themselves standing against the state, and   in certain circumstances were radicalized by the force of events. </w:t>
      </w:r>
      <w:r>
        <w:rPr>
          <w:color w:val="231F20"/>
          <w:spacing w:val="1"/>
        </w:rPr>
        <w:t xml:space="preserve">In </w:t>
      </w:r>
      <w:r>
        <w:rPr>
          <w:color w:val="231F20"/>
        </w:rPr>
        <w:t xml:space="preserve">this </w:t>
      </w:r>
      <w:r>
        <w:rPr>
          <w:color w:val="231F20"/>
          <w:spacing w:val="-5"/>
        </w:rPr>
        <w:t xml:space="preserve">way, </w:t>
      </w:r>
      <w:r>
        <w:rPr>
          <w:color w:val="231F20"/>
        </w:rPr>
        <w:t>the Initiatives defied the skepticism of many on the revolutionary left, who had not thought them capable of overcoming their reformist origins</w:t>
      </w:r>
      <w:r>
        <w:rPr>
          <w:color w:val="231F20"/>
          <w:spacing w:val="10"/>
        </w:rPr>
        <w:t xml:space="preserve"> </w:t>
      </w:r>
      <w:r>
        <w:rPr>
          <w:color w:val="231F20"/>
        </w:rPr>
        <w:t>and</w:t>
      </w:r>
      <w:r>
        <w:rPr>
          <w:color w:val="231F20"/>
          <w:spacing w:val="10"/>
        </w:rPr>
        <w:t xml:space="preserve"> </w:t>
      </w:r>
      <w:r>
        <w:rPr>
          <w:color w:val="231F20"/>
        </w:rPr>
        <w:t>moving</w:t>
      </w:r>
      <w:r>
        <w:rPr>
          <w:color w:val="231F20"/>
          <w:spacing w:val="10"/>
        </w:rPr>
        <w:t xml:space="preserve"> </w:t>
      </w:r>
      <w:r>
        <w:rPr>
          <w:color w:val="231F20"/>
        </w:rPr>
        <w:t>beyond</w:t>
      </w:r>
      <w:r>
        <w:rPr>
          <w:color w:val="231F20"/>
          <w:spacing w:val="10"/>
        </w:rPr>
        <w:t xml:space="preserve"> </w:t>
      </w:r>
      <w:r>
        <w:rPr>
          <w:color w:val="231F20"/>
        </w:rPr>
        <w:t>their</w:t>
      </w:r>
      <w:r>
        <w:rPr>
          <w:color w:val="231F20"/>
          <w:spacing w:val="10"/>
        </w:rPr>
        <w:t xml:space="preserve"> </w:t>
      </w:r>
      <w:r>
        <w:rPr>
          <w:color w:val="231F20"/>
        </w:rPr>
        <w:t>limited</w:t>
      </w:r>
      <w:r>
        <w:rPr>
          <w:color w:val="231F20"/>
          <w:spacing w:val="10"/>
        </w:rPr>
        <w:t xml:space="preserve"> </w:t>
      </w:r>
      <w:r>
        <w:rPr>
          <w:color w:val="231F20"/>
        </w:rPr>
        <w:t>goals.</w:t>
      </w:r>
    </w:p>
    <w:p w14:paraId="1149C32D" w14:textId="77777777" w:rsidR="002653E8" w:rsidRDefault="003115E3">
      <w:pPr>
        <w:pStyle w:val="a3"/>
        <w:spacing w:line="264" w:lineRule="auto"/>
        <w:ind w:left="1327" w:right="1145" w:firstLine="210"/>
        <w:jc w:val="both"/>
      </w:pPr>
      <w:r>
        <w:rPr>
          <w:color w:val="231F20"/>
        </w:rPr>
        <w:t xml:space="preserve">It was only a bit of a stretch to tie the German nuclear program to relations with the global south, given that atomic energy was proposed as a salve following the OPEC “oil shock” in </w:t>
      </w:r>
      <w:r>
        <w:rPr>
          <w:color w:val="231F20"/>
          <w:spacing w:val="-5"/>
        </w:rPr>
        <w:t xml:space="preserve">1973;  </w:t>
      </w:r>
      <w:r>
        <w:rPr>
          <w:color w:val="231F20"/>
        </w:rPr>
        <w:t xml:space="preserve">some would even     </w:t>
      </w:r>
      <w:r>
        <w:rPr>
          <w:color w:val="231F20"/>
          <w:spacing w:val="1"/>
        </w:rPr>
        <w:t xml:space="preserve">try </w:t>
      </w:r>
      <w:r>
        <w:rPr>
          <w:color w:val="231F20"/>
        </w:rPr>
        <w:t>to conceptualize the antinuclear movement as part of the resistance to</w:t>
      </w:r>
      <w:r>
        <w:rPr>
          <w:color w:val="231F20"/>
          <w:spacing w:val="10"/>
        </w:rPr>
        <w:t xml:space="preserve"> </w:t>
      </w:r>
      <w:r>
        <w:rPr>
          <w:color w:val="231F20"/>
        </w:rPr>
        <w:t>imperialism.</w:t>
      </w:r>
    </w:p>
    <w:p w14:paraId="55D15EED" w14:textId="77777777" w:rsidR="002653E8" w:rsidRDefault="003115E3">
      <w:pPr>
        <w:pStyle w:val="a3"/>
        <w:spacing w:line="264" w:lineRule="auto"/>
        <w:ind w:left="1327" w:right="1145" w:firstLine="210"/>
        <w:jc w:val="both"/>
        <w:rPr>
          <w:sz w:val="11"/>
        </w:rPr>
      </w:pPr>
      <w:r>
        <w:rPr>
          <w:color w:val="231F20"/>
        </w:rPr>
        <w:t xml:space="preserve">This new antinuclear movement first showed its promise in February </w:t>
      </w:r>
      <w:r>
        <w:rPr>
          <w:color w:val="231F20"/>
          <w:spacing w:val="-6"/>
        </w:rPr>
        <w:t xml:space="preserve">1975, </w:t>
      </w:r>
      <w:r>
        <w:rPr>
          <w:color w:val="231F20"/>
        </w:rPr>
        <w:t>when news spread that police had attacked a small protest outside a nuclear power plant: within days, tens of thousands of people had descended on the Wyhl plant.</w:t>
      </w:r>
      <w:r>
        <w:rPr>
          <w:color w:val="231F20"/>
          <w:position w:val="7"/>
          <w:sz w:val="11"/>
        </w:rPr>
        <w:t xml:space="preserve">5 </w:t>
      </w:r>
      <w:r>
        <w:rPr>
          <w:color w:val="231F20"/>
        </w:rPr>
        <w:t xml:space="preserve">Over the years to come, similar rallies outside nuclear power stations mobilized greater and greater numbers as protests evolved into occupations, and police attacks were met with increasingly sophisticated tactics and mass militancy. The </w:t>
      </w:r>
      <w:r>
        <w:rPr>
          <w:color w:val="231F20"/>
          <w:spacing w:val="2"/>
        </w:rPr>
        <w:t xml:space="preserve">BKA </w:t>
      </w:r>
      <w:r>
        <w:rPr>
          <w:color w:val="231F20"/>
        </w:rPr>
        <w:t xml:space="preserve">eventually responded by opening files on “all persons who take part in the preparation for and/or carrying out of violent demonstrations, especially against the building or operation of atomic energy </w:t>
      </w:r>
      <w:r>
        <w:rPr>
          <w:color w:val="231F20"/>
          <w:spacing w:val="-3"/>
        </w:rPr>
        <w:t>plants.”</w:t>
      </w:r>
      <w:r>
        <w:rPr>
          <w:color w:val="231F20"/>
          <w:spacing w:val="-3"/>
          <w:position w:val="7"/>
          <w:sz w:val="11"/>
        </w:rPr>
        <w:t>6</w:t>
      </w:r>
    </w:p>
    <w:p w14:paraId="5C33922C" w14:textId="77777777" w:rsidR="002653E8" w:rsidRDefault="00000000">
      <w:pPr>
        <w:pStyle w:val="a3"/>
        <w:spacing w:line="264" w:lineRule="auto"/>
        <w:ind w:left="1327" w:right="1146" w:firstLine="210"/>
        <w:jc w:val="both"/>
      </w:pPr>
      <w:r>
        <w:rPr>
          <w:noProof w:val="0"/>
        </w:rPr>
        <w:pict w14:anchorId="4C9D6E3C">
          <v:line id="_x0000_s2224" style="position:absolute;left:0;text-align:left;z-index:9568;mso-wrap-distance-left:0;mso-wrap-distance-right:0;mso-position-horizontal-relative:page" from="66.4pt,33.45pt" to="138.4pt,33.45pt" strokecolor="#231f20" strokeweight=".5pt">
            <w10:wrap type="topAndBottom" anchorx="page"/>
          </v:line>
        </w:pict>
      </w:r>
      <w:r w:rsidR="003115E3">
        <w:rPr>
          <w:color w:val="231F20"/>
        </w:rPr>
        <w:t>Most of the left took note of the  growing  antinuclear  movement,  and</w:t>
      </w:r>
      <w:r w:rsidR="003115E3">
        <w:rPr>
          <w:color w:val="231F20"/>
          <w:spacing w:val="20"/>
        </w:rPr>
        <w:t xml:space="preserve"> </w:t>
      </w:r>
      <w:r w:rsidR="003115E3">
        <w:rPr>
          <w:color w:val="231F20"/>
        </w:rPr>
        <w:t>of</w:t>
      </w:r>
      <w:r w:rsidR="003115E3">
        <w:rPr>
          <w:color w:val="231F20"/>
          <w:spacing w:val="20"/>
        </w:rPr>
        <w:t xml:space="preserve"> </w:t>
      </w:r>
      <w:r w:rsidR="003115E3">
        <w:rPr>
          <w:color w:val="231F20"/>
        </w:rPr>
        <w:t>the</w:t>
      </w:r>
      <w:r w:rsidR="003115E3">
        <w:rPr>
          <w:color w:val="231F20"/>
          <w:spacing w:val="20"/>
        </w:rPr>
        <w:t xml:space="preserve"> </w:t>
      </w:r>
      <w:r w:rsidR="003115E3">
        <w:rPr>
          <w:color w:val="231F20"/>
        </w:rPr>
        <w:t>more</w:t>
      </w:r>
      <w:r w:rsidR="003115E3">
        <w:rPr>
          <w:color w:val="231F20"/>
          <w:spacing w:val="20"/>
        </w:rPr>
        <w:t xml:space="preserve"> </w:t>
      </w:r>
      <w:r w:rsidR="003115E3">
        <w:rPr>
          <w:color w:val="231F20"/>
        </w:rPr>
        <w:t>general</w:t>
      </w:r>
      <w:r w:rsidR="003115E3">
        <w:rPr>
          <w:color w:val="231F20"/>
          <w:spacing w:val="20"/>
        </w:rPr>
        <w:t xml:space="preserve"> </w:t>
      </w:r>
      <w:r w:rsidR="003115E3">
        <w:rPr>
          <w:color w:val="231F20"/>
        </w:rPr>
        <w:t>spread</w:t>
      </w:r>
      <w:r w:rsidR="003115E3">
        <w:rPr>
          <w:color w:val="231F20"/>
          <w:spacing w:val="20"/>
        </w:rPr>
        <w:t xml:space="preserve"> </w:t>
      </w:r>
      <w:r w:rsidR="003115E3">
        <w:rPr>
          <w:color w:val="231F20"/>
        </w:rPr>
        <w:t>of</w:t>
      </w:r>
      <w:r w:rsidR="003115E3">
        <w:rPr>
          <w:color w:val="231F20"/>
          <w:spacing w:val="20"/>
        </w:rPr>
        <w:t xml:space="preserve"> </w:t>
      </w:r>
      <w:r w:rsidR="003115E3">
        <w:rPr>
          <w:color w:val="231F20"/>
        </w:rPr>
        <w:t>the</w:t>
      </w:r>
      <w:r w:rsidR="003115E3">
        <w:rPr>
          <w:color w:val="231F20"/>
          <w:spacing w:val="20"/>
        </w:rPr>
        <w:t xml:space="preserve"> </w:t>
      </w:r>
      <w:r w:rsidR="003115E3">
        <w:rPr>
          <w:color w:val="231F20"/>
        </w:rPr>
        <w:t>Citizens</w:t>
      </w:r>
      <w:r w:rsidR="003115E3">
        <w:rPr>
          <w:color w:val="231F20"/>
          <w:spacing w:val="20"/>
        </w:rPr>
        <w:t xml:space="preserve"> </w:t>
      </w:r>
      <w:r w:rsidR="003115E3">
        <w:rPr>
          <w:color w:val="231F20"/>
        </w:rPr>
        <w:t>Initiatives,</w:t>
      </w:r>
      <w:r w:rsidR="003115E3">
        <w:rPr>
          <w:color w:val="231F20"/>
          <w:spacing w:val="20"/>
        </w:rPr>
        <w:t xml:space="preserve"> </w:t>
      </w:r>
      <w:r w:rsidR="003115E3">
        <w:rPr>
          <w:color w:val="231F20"/>
        </w:rPr>
        <w:t>and</w:t>
      </w:r>
      <w:r w:rsidR="003115E3">
        <w:rPr>
          <w:color w:val="231F20"/>
          <w:spacing w:val="20"/>
        </w:rPr>
        <w:t xml:space="preserve"> </w:t>
      </w:r>
      <w:r w:rsidR="003115E3">
        <w:rPr>
          <w:color w:val="231F20"/>
        </w:rPr>
        <w:t>reacted</w:t>
      </w:r>
    </w:p>
    <w:p w14:paraId="417B874A" w14:textId="77777777" w:rsidR="002653E8" w:rsidRDefault="003115E3">
      <w:pPr>
        <w:pStyle w:val="a4"/>
        <w:numPr>
          <w:ilvl w:val="0"/>
          <w:numId w:val="7"/>
        </w:numPr>
        <w:tabs>
          <w:tab w:val="left" w:pos="1467"/>
        </w:tabs>
        <w:spacing w:before="53"/>
        <w:ind w:firstLine="0"/>
        <w:rPr>
          <w:sz w:val="16"/>
        </w:rPr>
      </w:pPr>
      <w:bookmarkStart w:id="215" w:name="_Hlk130772828"/>
      <w:r>
        <w:rPr>
          <w:color w:val="231F20"/>
          <w:w w:val="110"/>
          <w:sz w:val="16"/>
        </w:rPr>
        <w:t xml:space="preserve">Katsiaficas, </w:t>
      </w:r>
      <w:r>
        <w:rPr>
          <w:color w:val="231F20"/>
          <w:spacing w:val="-3"/>
          <w:w w:val="110"/>
          <w:sz w:val="16"/>
        </w:rPr>
        <w:t>63.</w:t>
      </w:r>
    </w:p>
    <w:p w14:paraId="3B01EB8A" w14:textId="77777777" w:rsidR="002653E8" w:rsidRDefault="003115E3">
      <w:pPr>
        <w:pStyle w:val="a4"/>
        <w:numPr>
          <w:ilvl w:val="0"/>
          <w:numId w:val="7"/>
        </w:numPr>
        <w:tabs>
          <w:tab w:val="left" w:pos="1467"/>
        </w:tabs>
        <w:spacing w:before="51"/>
        <w:ind w:firstLine="0"/>
        <w:rPr>
          <w:sz w:val="16"/>
        </w:rPr>
      </w:pPr>
      <w:bookmarkStart w:id="216" w:name="_Hlk130772841"/>
      <w:bookmarkEnd w:id="215"/>
      <w:r>
        <w:rPr>
          <w:color w:val="231F20"/>
          <w:w w:val="110"/>
          <w:sz w:val="16"/>
        </w:rPr>
        <w:t>Hockenos,</w:t>
      </w:r>
      <w:r>
        <w:rPr>
          <w:color w:val="231F20"/>
          <w:spacing w:val="6"/>
          <w:w w:val="110"/>
          <w:sz w:val="16"/>
        </w:rPr>
        <w:t xml:space="preserve"> </w:t>
      </w:r>
      <w:r>
        <w:rPr>
          <w:color w:val="231F20"/>
          <w:spacing w:val="-3"/>
          <w:w w:val="110"/>
          <w:sz w:val="16"/>
        </w:rPr>
        <w:t>134.</w:t>
      </w:r>
    </w:p>
    <w:p w14:paraId="53B5D5D0" w14:textId="77777777" w:rsidR="002653E8" w:rsidRDefault="003115E3">
      <w:pPr>
        <w:pStyle w:val="a4"/>
        <w:numPr>
          <w:ilvl w:val="0"/>
          <w:numId w:val="7"/>
        </w:numPr>
        <w:tabs>
          <w:tab w:val="left" w:pos="1467"/>
        </w:tabs>
        <w:spacing w:before="52"/>
        <w:ind w:firstLine="0"/>
        <w:rPr>
          <w:sz w:val="16"/>
        </w:rPr>
      </w:pPr>
      <w:bookmarkStart w:id="217" w:name="_Hlk130773191"/>
      <w:bookmarkEnd w:id="216"/>
      <w:r>
        <w:rPr>
          <w:color w:val="231F20"/>
          <w:w w:val="110"/>
          <w:sz w:val="16"/>
        </w:rPr>
        <w:t>Bodemann,</w:t>
      </w:r>
      <w:r>
        <w:rPr>
          <w:color w:val="231F20"/>
          <w:spacing w:val="5"/>
          <w:w w:val="110"/>
          <w:sz w:val="16"/>
        </w:rPr>
        <w:t xml:space="preserve"> </w:t>
      </w:r>
      <w:r>
        <w:rPr>
          <w:color w:val="231F20"/>
          <w:w w:val="110"/>
          <w:sz w:val="16"/>
        </w:rPr>
        <w:t>142.</w:t>
      </w:r>
    </w:p>
    <w:p w14:paraId="01D86DC0" w14:textId="77777777" w:rsidR="002653E8" w:rsidRDefault="003115E3">
      <w:pPr>
        <w:pStyle w:val="a4"/>
        <w:numPr>
          <w:ilvl w:val="0"/>
          <w:numId w:val="7"/>
        </w:numPr>
        <w:tabs>
          <w:tab w:val="left" w:pos="1467"/>
        </w:tabs>
        <w:spacing w:before="52"/>
        <w:ind w:firstLine="0"/>
        <w:rPr>
          <w:sz w:val="16"/>
        </w:rPr>
      </w:pPr>
      <w:bookmarkStart w:id="218" w:name="_Hlk130773160"/>
      <w:bookmarkEnd w:id="217"/>
      <w:r>
        <w:rPr>
          <w:color w:val="231F20"/>
          <w:w w:val="110"/>
          <w:sz w:val="16"/>
        </w:rPr>
        <w:t>Katsiaficas,</w:t>
      </w:r>
      <w:r>
        <w:rPr>
          <w:color w:val="231F20"/>
          <w:spacing w:val="6"/>
          <w:w w:val="110"/>
          <w:sz w:val="16"/>
        </w:rPr>
        <w:t xml:space="preserve"> </w:t>
      </w:r>
      <w:r>
        <w:rPr>
          <w:color w:val="231F20"/>
          <w:spacing w:val="-4"/>
          <w:w w:val="110"/>
          <w:sz w:val="16"/>
        </w:rPr>
        <w:t>81-82.</w:t>
      </w:r>
    </w:p>
    <w:p w14:paraId="66F7026A" w14:textId="77777777" w:rsidR="002653E8" w:rsidRDefault="003115E3">
      <w:pPr>
        <w:pStyle w:val="a4"/>
        <w:numPr>
          <w:ilvl w:val="0"/>
          <w:numId w:val="7"/>
        </w:numPr>
        <w:tabs>
          <w:tab w:val="left" w:pos="1467"/>
        </w:tabs>
        <w:spacing w:before="51" w:line="254" w:lineRule="auto"/>
        <w:ind w:right="1180" w:firstLine="0"/>
        <w:rPr>
          <w:sz w:val="16"/>
        </w:rPr>
      </w:pPr>
      <w:r>
        <w:rPr>
          <w:i/>
          <w:color w:val="231F20"/>
          <w:w w:val="110"/>
          <w:sz w:val="16"/>
        </w:rPr>
        <w:t xml:space="preserve">The Atomic </w:t>
      </w:r>
      <w:r>
        <w:rPr>
          <w:i/>
          <w:color w:val="231F20"/>
          <w:spacing w:val="1"/>
          <w:w w:val="110"/>
          <w:sz w:val="16"/>
        </w:rPr>
        <w:t xml:space="preserve">State and </w:t>
      </w:r>
      <w:r>
        <w:rPr>
          <w:i/>
          <w:color w:val="231F20"/>
          <w:w w:val="110"/>
          <w:sz w:val="16"/>
        </w:rPr>
        <w:t xml:space="preserve">the People Who Have to Live In It, </w:t>
      </w:r>
      <w:r>
        <w:rPr>
          <w:color w:val="231F20"/>
          <w:spacing w:val="1"/>
          <w:w w:val="110"/>
          <w:sz w:val="16"/>
        </w:rPr>
        <w:t xml:space="preserve">(D-Bochum: </w:t>
      </w:r>
      <w:r>
        <w:rPr>
          <w:color w:val="231F20"/>
          <w:w w:val="110"/>
          <w:sz w:val="16"/>
        </w:rPr>
        <w:t xml:space="preserve">Campaign against the Model West Germany, </w:t>
      </w:r>
      <w:r>
        <w:rPr>
          <w:color w:val="231F20"/>
          <w:spacing w:val="-4"/>
          <w:w w:val="110"/>
          <w:sz w:val="16"/>
        </w:rPr>
        <w:t xml:space="preserve">1979). </w:t>
      </w:r>
      <w:r>
        <w:rPr>
          <w:color w:val="231F20"/>
          <w:w w:val="110"/>
          <w:sz w:val="16"/>
        </w:rPr>
        <w:t xml:space="preserve">Reprinted in “German war machine targets anti-nukers,” </w:t>
      </w:r>
      <w:r>
        <w:rPr>
          <w:i/>
          <w:color w:val="231F20"/>
          <w:spacing w:val="1"/>
          <w:w w:val="110"/>
          <w:sz w:val="16"/>
        </w:rPr>
        <w:t xml:space="preserve">Open </w:t>
      </w:r>
      <w:r>
        <w:rPr>
          <w:i/>
          <w:color w:val="231F20"/>
          <w:w w:val="110"/>
          <w:sz w:val="16"/>
        </w:rPr>
        <w:t xml:space="preserve">Road </w:t>
      </w:r>
      <w:r>
        <w:rPr>
          <w:color w:val="231F20"/>
          <w:spacing w:val="-3"/>
          <w:w w:val="110"/>
          <w:sz w:val="16"/>
        </w:rPr>
        <w:t xml:space="preserve">11 </w:t>
      </w:r>
      <w:r>
        <w:rPr>
          <w:color w:val="231F20"/>
          <w:w w:val="110"/>
          <w:sz w:val="16"/>
        </w:rPr>
        <w:t>(Summer</w:t>
      </w:r>
      <w:r>
        <w:rPr>
          <w:color w:val="231F20"/>
          <w:spacing w:val="35"/>
          <w:w w:val="110"/>
          <w:sz w:val="16"/>
        </w:rPr>
        <w:t xml:space="preserve"> </w:t>
      </w:r>
      <w:r>
        <w:rPr>
          <w:color w:val="231F20"/>
          <w:spacing w:val="-3"/>
          <w:w w:val="110"/>
          <w:sz w:val="16"/>
        </w:rPr>
        <w:t>1980).</w:t>
      </w:r>
    </w:p>
    <w:bookmarkEnd w:id="218"/>
    <w:p w14:paraId="2D248809" w14:textId="77777777" w:rsidR="002653E8" w:rsidRDefault="002653E8">
      <w:pPr>
        <w:spacing w:line="254" w:lineRule="auto"/>
        <w:rPr>
          <w:sz w:val="16"/>
        </w:rPr>
        <w:sectPr w:rsidR="002653E8">
          <w:pgSz w:w="8640" w:h="12960"/>
          <w:pgMar w:top="1060" w:right="0" w:bottom="1040" w:left="0" w:header="0" w:footer="850" w:gutter="0"/>
          <w:cols w:space="720"/>
        </w:sectPr>
      </w:pPr>
    </w:p>
    <w:p w14:paraId="6D837E7C" w14:textId="77777777" w:rsidR="002653E8" w:rsidRDefault="003115E3">
      <w:pPr>
        <w:pStyle w:val="a3"/>
        <w:spacing w:before="86" w:line="264" w:lineRule="auto"/>
        <w:ind w:left="1147" w:right="1326"/>
        <w:jc w:val="both"/>
      </w:pPr>
      <w:r>
        <w:rPr>
          <w:color w:val="231F20"/>
        </w:rPr>
        <w:lastRenderedPageBreak/>
        <w:t xml:space="preserve">with varying measures of interest and support. Many in the feminist movement discovered a synergy with the new concern with peace and environmentalism, easily framed as </w:t>
      </w:r>
      <w:r>
        <w:rPr>
          <w:color w:val="231F20"/>
          <w:spacing w:val="-3"/>
        </w:rPr>
        <w:t xml:space="preserve">women’s </w:t>
      </w:r>
      <w:r>
        <w:rPr>
          <w:color w:val="231F20"/>
        </w:rPr>
        <w:t xml:space="preserve">issues. </w:t>
      </w:r>
      <w:r>
        <w:rPr>
          <w:color w:val="231F20"/>
          <w:spacing w:val="-8"/>
        </w:rPr>
        <w:t xml:space="preserve">To </w:t>
      </w:r>
      <w:r>
        <w:rPr>
          <w:color w:val="231F20"/>
        </w:rPr>
        <w:t xml:space="preserve">the K-groups, such single-issue campaigns could serve as hunting grounds for new recruits, though by a twist of the dialectic, it was eventually they who were often recruited. Sections of the undogmatic left, more enthusiastic about movementism, found a hospitable home in these increasingly militant protests and the communities of resistance which developed around them. Previous misgivings notwithstanding, as the </w:t>
      </w:r>
      <w:r>
        <w:rPr>
          <w:i/>
          <w:color w:val="231F20"/>
        </w:rPr>
        <w:t xml:space="preserve">sponti </w:t>
      </w:r>
      <w:r>
        <w:rPr>
          <w:color w:val="231F20"/>
        </w:rPr>
        <w:t>scene entered its period of decline, the antinuclear movement provided a convenient</w:t>
      </w:r>
      <w:r>
        <w:rPr>
          <w:color w:val="231F20"/>
          <w:spacing w:val="7"/>
        </w:rPr>
        <w:t xml:space="preserve"> </w:t>
      </w:r>
      <w:r>
        <w:rPr>
          <w:color w:val="231F20"/>
        </w:rPr>
        <w:t>home</w:t>
      </w:r>
      <w:r>
        <w:rPr>
          <w:color w:val="231F20"/>
          <w:spacing w:val="7"/>
        </w:rPr>
        <w:t xml:space="preserve"> </w:t>
      </w:r>
      <w:r>
        <w:rPr>
          <w:color w:val="231F20"/>
        </w:rPr>
        <w:t>for</w:t>
      </w:r>
      <w:r>
        <w:rPr>
          <w:color w:val="231F20"/>
          <w:spacing w:val="7"/>
        </w:rPr>
        <w:t xml:space="preserve"> </w:t>
      </w:r>
      <w:r>
        <w:rPr>
          <w:color w:val="231F20"/>
          <w:spacing w:val="-3"/>
        </w:rPr>
        <w:t>many,</w:t>
      </w:r>
      <w:r>
        <w:rPr>
          <w:color w:val="231F20"/>
          <w:spacing w:val="7"/>
        </w:rPr>
        <w:t xml:space="preserve"> </w:t>
      </w:r>
      <w:r>
        <w:rPr>
          <w:color w:val="231F20"/>
        </w:rPr>
        <w:t>including</w:t>
      </w:r>
      <w:r>
        <w:rPr>
          <w:color w:val="231F20"/>
          <w:spacing w:val="7"/>
        </w:rPr>
        <w:t xml:space="preserve"> </w:t>
      </w:r>
      <w:r>
        <w:rPr>
          <w:color w:val="231F20"/>
        </w:rPr>
        <w:t>not</w:t>
      </w:r>
      <w:r>
        <w:rPr>
          <w:color w:val="231F20"/>
          <w:spacing w:val="7"/>
        </w:rPr>
        <w:t xml:space="preserve"> </w:t>
      </w:r>
      <w:r>
        <w:rPr>
          <w:color w:val="231F20"/>
        </w:rPr>
        <w:t>a</w:t>
      </w:r>
      <w:r>
        <w:rPr>
          <w:color w:val="231F20"/>
          <w:spacing w:val="7"/>
        </w:rPr>
        <w:t xml:space="preserve"> </w:t>
      </w:r>
      <w:r>
        <w:rPr>
          <w:color w:val="231F20"/>
        </w:rPr>
        <w:t>few</w:t>
      </w:r>
      <w:r>
        <w:rPr>
          <w:color w:val="231F20"/>
          <w:spacing w:val="7"/>
        </w:rPr>
        <w:t xml:space="preserve"> </w:t>
      </w:r>
      <w:r>
        <w:rPr>
          <w:color w:val="231F20"/>
        </w:rPr>
        <w:t>erstwhile</w:t>
      </w:r>
      <w:r>
        <w:rPr>
          <w:color w:val="231F20"/>
          <w:spacing w:val="7"/>
        </w:rPr>
        <w:t xml:space="preserve"> </w:t>
      </w:r>
      <w:r>
        <w:rPr>
          <w:color w:val="231F20"/>
        </w:rPr>
        <w:t>street</w:t>
      </w:r>
      <w:r>
        <w:rPr>
          <w:color w:val="231F20"/>
          <w:spacing w:val="7"/>
        </w:rPr>
        <w:t xml:space="preserve"> </w:t>
      </w:r>
      <w:r>
        <w:rPr>
          <w:color w:val="231F20"/>
        </w:rPr>
        <w:t>fighters.</w:t>
      </w:r>
    </w:p>
    <w:p w14:paraId="6898443E" w14:textId="77777777" w:rsidR="002653E8" w:rsidRDefault="003115E3">
      <w:pPr>
        <w:pStyle w:val="a3"/>
        <w:spacing w:line="264" w:lineRule="auto"/>
        <w:ind w:left="1147" w:right="1326" w:firstLine="210"/>
        <w:jc w:val="both"/>
      </w:pPr>
      <w:r>
        <w:rPr>
          <w:color w:val="231F20"/>
        </w:rPr>
        <w:t xml:space="preserve">But the </w:t>
      </w:r>
      <w:r w:rsidR="00C507A5">
        <w:rPr>
          <w:color w:val="231F20"/>
        </w:rPr>
        <w:t>red army faction</w:t>
      </w:r>
      <w:r>
        <w:rPr>
          <w:color w:val="231F20"/>
        </w:rPr>
        <w:t xml:space="preserve"> and its support base were focused on the prisoners and did not respond to these new developments. Guerilla anti-imperialism was by definition illegal, and the only supporters the </w:t>
      </w:r>
      <w:r w:rsidR="00C507A5">
        <w:rPr>
          <w:color w:val="231F20"/>
        </w:rPr>
        <w:t>red army faction</w:t>
      </w:r>
      <w:r>
        <w:rPr>
          <w:color w:val="231F20"/>
        </w:rPr>
        <w:t xml:space="preserve"> felt it needed were those who were already prepared to support its actions. In the mid-seventies, at least, it showed little interest in reaching out to people who would have to be struggled with on this point.</w:t>
      </w:r>
    </w:p>
    <w:p w14:paraId="347EFFA0" w14:textId="77777777" w:rsidR="002653E8" w:rsidRDefault="003115E3">
      <w:pPr>
        <w:pStyle w:val="a3"/>
        <w:spacing w:line="264" w:lineRule="auto"/>
        <w:ind w:left="1147" w:right="1325" w:firstLine="210"/>
        <w:jc w:val="both"/>
      </w:pPr>
      <w:r>
        <w:rPr>
          <w:color w:val="231F20"/>
        </w:rPr>
        <w:t xml:space="preserve">While there are plenty of good reasons to be wary of tailing popular mobilizations, such a strategy also comes with an inevitable cost when there is no large revolutionary movement from which to draw strength. The founding members of the </w:t>
      </w:r>
      <w:r w:rsidR="00C507A5">
        <w:rPr>
          <w:color w:val="231F20"/>
          <w:spacing w:val="5"/>
        </w:rPr>
        <w:t>red army faction</w:t>
      </w:r>
      <w:r>
        <w:rPr>
          <w:color w:val="231F20"/>
          <w:spacing w:val="5"/>
        </w:rPr>
        <w:t xml:space="preserve"> </w:t>
      </w:r>
      <w:r>
        <w:rPr>
          <w:color w:val="231F20"/>
        </w:rPr>
        <w:t xml:space="preserve">had almost all been politically active in the sixties APO, a youth rebellion against the stifling postwar culture, which drew strength and inspiration from the anticolonial revolutions sweeping the world at the time. While they looked to the Third </w:t>
      </w:r>
      <w:r>
        <w:rPr>
          <w:color w:val="231F20"/>
          <w:spacing w:val="-4"/>
        </w:rPr>
        <w:t xml:space="preserve">World </w:t>
      </w:r>
      <w:r>
        <w:rPr>
          <w:color w:val="231F20"/>
        </w:rPr>
        <w:t xml:space="preserve">as the most important theater in the global revolution, the first </w:t>
      </w:r>
      <w:r w:rsidR="00C507A5">
        <w:rPr>
          <w:color w:val="231F20"/>
          <w:spacing w:val="5"/>
        </w:rPr>
        <w:t>red army faction</w:t>
      </w:r>
      <w:r>
        <w:rPr>
          <w:color w:val="231F20"/>
          <w:spacing w:val="12"/>
        </w:rPr>
        <w:t xml:space="preserve"> </w:t>
      </w:r>
      <w:r>
        <w:rPr>
          <w:color w:val="231F20"/>
        </w:rPr>
        <w:t>members</w:t>
      </w:r>
      <w:r>
        <w:rPr>
          <w:color w:val="231F20"/>
          <w:spacing w:val="12"/>
        </w:rPr>
        <w:t xml:space="preserve"> </w:t>
      </w:r>
      <w:r>
        <w:rPr>
          <w:color w:val="231F20"/>
        </w:rPr>
        <w:t>were</w:t>
      </w:r>
      <w:r>
        <w:rPr>
          <w:color w:val="231F20"/>
          <w:spacing w:val="12"/>
        </w:rPr>
        <w:t xml:space="preserve"> </w:t>
      </w:r>
      <w:r>
        <w:rPr>
          <w:color w:val="231F20"/>
        </w:rPr>
        <w:t>all</w:t>
      </w:r>
      <w:r>
        <w:rPr>
          <w:color w:val="231F20"/>
          <w:spacing w:val="12"/>
        </w:rPr>
        <w:t xml:space="preserve"> </w:t>
      </w:r>
      <w:r>
        <w:rPr>
          <w:color w:val="231F20"/>
        </w:rPr>
        <w:t>firmly</w:t>
      </w:r>
      <w:r>
        <w:rPr>
          <w:color w:val="231F20"/>
          <w:spacing w:val="12"/>
        </w:rPr>
        <w:t xml:space="preserve"> </w:t>
      </w:r>
      <w:r>
        <w:rPr>
          <w:color w:val="231F20"/>
        </w:rPr>
        <w:t>rooted</w:t>
      </w:r>
      <w:r>
        <w:rPr>
          <w:color w:val="231F20"/>
          <w:spacing w:val="12"/>
        </w:rPr>
        <w:t xml:space="preserve"> </w:t>
      </w:r>
      <w:r>
        <w:rPr>
          <w:color w:val="231F20"/>
        </w:rPr>
        <w:t>in</w:t>
      </w:r>
      <w:r>
        <w:rPr>
          <w:color w:val="231F20"/>
          <w:spacing w:val="12"/>
        </w:rPr>
        <w:t xml:space="preserve"> </w:t>
      </w:r>
      <w:r>
        <w:rPr>
          <w:color w:val="231F20"/>
        </w:rPr>
        <w:t>the</w:t>
      </w:r>
      <w:r>
        <w:rPr>
          <w:color w:val="231F20"/>
          <w:spacing w:val="12"/>
        </w:rPr>
        <w:t xml:space="preserve"> </w:t>
      </w:r>
      <w:r>
        <w:rPr>
          <w:color w:val="231F20"/>
        </w:rPr>
        <w:t>German</w:t>
      </w:r>
      <w:r>
        <w:rPr>
          <w:color w:val="231F20"/>
          <w:spacing w:val="12"/>
        </w:rPr>
        <w:t xml:space="preserve"> </w:t>
      </w:r>
      <w:r>
        <w:rPr>
          <w:color w:val="231F20"/>
        </w:rPr>
        <w:t>radical</w:t>
      </w:r>
      <w:r>
        <w:rPr>
          <w:color w:val="231F20"/>
          <w:spacing w:val="12"/>
        </w:rPr>
        <w:t xml:space="preserve"> </w:t>
      </w:r>
      <w:r>
        <w:rPr>
          <w:color w:val="231F20"/>
        </w:rPr>
        <w:t>left.</w:t>
      </w:r>
    </w:p>
    <w:p w14:paraId="072175B2" w14:textId="77777777" w:rsidR="002653E8" w:rsidRDefault="002653E8">
      <w:pPr>
        <w:pStyle w:val="a3"/>
        <w:spacing w:before="8"/>
        <w:rPr>
          <w:sz w:val="24"/>
        </w:rPr>
      </w:pPr>
    </w:p>
    <w:p w14:paraId="29ACD59A" w14:textId="77777777" w:rsidR="002653E8" w:rsidRDefault="003115E3">
      <w:pPr>
        <w:spacing w:before="96" w:line="244" w:lineRule="auto"/>
        <w:ind w:left="5585" w:right="1814"/>
        <w:rPr>
          <w:i/>
          <w:sz w:val="18"/>
        </w:rPr>
      </w:pPr>
      <w:r>
        <w:drawing>
          <wp:anchor distT="0" distB="0" distL="0" distR="0" simplePos="0" relativeHeight="9592" behindDoc="0" locked="0" layoutInCell="1" allowOverlap="1" wp14:anchorId="4E9ACCBC" wp14:editId="23AD3971">
            <wp:simplePos x="0" y="0"/>
            <wp:positionH relativeFrom="page">
              <wp:posOffset>728954</wp:posOffset>
            </wp:positionH>
            <wp:positionV relativeFrom="paragraph">
              <wp:posOffset>82243</wp:posOffset>
            </wp:positionV>
            <wp:extent cx="2693060" cy="1793951"/>
            <wp:effectExtent l="0" t="0" r="0" b="0"/>
            <wp:wrapNone/>
            <wp:docPr id="6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0.png"/>
                    <pic:cNvPicPr/>
                  </pic:nvPicPr>
                  <pic:blipFill>
                    <a:blip r:embed="rId377" cstate="print"/>
                    <a:stretch>
                      <a:fillRect/>
                    </a:stretch>
                  </pic:blipFill>
                  <pic:spPr>
                    <a:xfrm>
                      <a:off x="0" y="0"/>
                      <a:ext cx="2693060" cy="1793951"/>
                    </a:xfrm>
                    <a:prstGeom prst="rect">
                      <a:avLst/>
                    </a:prstGeom>
                  </pic:spPr>
                </pic:pic>
              </a:graphicData>
            </a:graphic>
          </wp:anchor>
        </w:drawing>
      </w:r>
      <w:r>
        <w:rPr>
          <w:i/>
          <w:color w:val="231F20"/>
          <w:w w:val="105"/>
          <w:sz w:val="18"/>
        </w:rPr>
        <w:t>Scene from Wyhl protests, February 1975.</w:t>
      </w:r>
    </w:p>
    <w:p w14:paraId="668B47AA" w14:textId="77777777" w:rsidR="002653E8" w:rsidRDefault="003115E3">
      <w:pPr>
        <w:spacing w:before="3" w:line="244" w:lineRule="auto"/>
        <w:ind w:left="5585" w:right="1552"/>
        <w:rPr>
          <w:i/>
          <w:sz w:val="18"/>
        </w:rPr>
      </w:pPr>
      <w:r>
        <w:rPr>
          <w:i/>
          <w:color w:val="231F20"/>
          <w:w w:val="105"/>
          <w:sz w:val="18"/>
        </w:rPr>
        <w:t xml:space="preserve">Note the police armored personnel </w:t>
      </w:r>
      <w:r>
        <w:rPr>
          <w:i/>
          <w:color w:val="231F20"/>
          <w:spacing w:val="2"/>
          <w:w w:val="105"/>
          <w:sz w:val="18"/>
        </w:rPr>
        <w:t xml:space="preserve">carrier </w:t>
      </w:r>
      <w:r>
        <w:rPr>
          <w:i/>
          <w:color w:val="231F20"/>
          <w:spacing w:val="1"/>
          <w:w w:val="105"/>
          <w:sz w:val="18"/>
        </w:rPr>
        <w:t>is</w:t>
      </w:r>
      <w:r>
        <w:rPr>
          <w:i/>
          <w:color w:val="231F20"/>
          <w:spacing w:val="-32"/>
          <w:w w:val="105"/>
          <w:sz w:val="18"/>
        </w:rPr>
        <w:t xml:space="preserve"> </w:t>
      </w:r>
      <w:r>
        <w:rPr>
          <w:i/>
          <w:color w:val="231F20"/>
          <w:w w:val="105"/>
          <w:sz w:val="18"/>
        </w:rPr>
        <w:t xml:space="preserve">graffitied </w:t>
      </w:r>
      <w:r>
        <w:rPr>
          <w:i/>
          <w:color w:val="231F20"/>
          <w:spacing w:val="2"/>
          <w:w w:val="105"/>
          <w:sz w:val="18"/>
        </w:rPr>
        <w:t xml:space="preserve">“KKW     </w:t>
      </w:r>
      <w:r>
        <w:rPr>
          <w:i/>
          <w:color w:val="231F20"/>
          <w:w w:val="105"/>
          <w:sz w:val="18"/>
        </w:rPr>
        <w:t>Nein”: ”No Nuclear Plant”.</w:t>
      </w:r>
    </w:p>
    <w:p w14:paraId="084932FB" w14:textId="77777777" w:rsidR="002653E8" w:rsidRDefault="002653E8">
      <w:pPr>
        <w:spacing w:line="244" w:lineRule="auto"/>
        <w:rPr>
          <w:sz w:val="18"/>
        </w:rPr>
        <w:sectPr w:rsidR="002653E8">
          <w:footerReference w:type="even" r:id="rId378"/>
          <w:footerReference w:type="default" r:id="rId379"/>
          <w:pgSz w:w="8640" w:h="12960"/>
          <w:pgMar w:top="1060" w:right="0" w:bottom="1040" w:left="0" w:header="0" w:footer="850" w:gutter="0"/>
          <w:cols w:space="720"/>
        </w:sectPr>
      </w:pPr>
    </w:p>
    <w:p w14:paraId="7B358213" w14:textId="77777777" w:rsidR="002653E8" w:rsidRDefault="003115E3">
      <w:pPr>
        <w:pStyle w:val="a3"/>
        <w:spacing w:before="86" w:line="264" w:lineRule="auto"/>
        <w:ind w:left="1327" w:right="1147" w:firstLine="210"/>
        <w:jc w:val="both"/>
      </w:pPr>
      <w:r>
        <w:rPr>
          <w:color w:val="231F20"/>
          <w:spacing w:val="1"/>
        </w:rPr>
        <w:lastRenderedPageBreak/>
        <w:t xml:space="preserve">In </w:t>
      </w:r>
      <w:r>
        <w:rPr>
          <w:color w:val="231F20"/>
        </w:rPr>
        <w:t>the intervening years, though, the group and its  support  scene had acquired two paradoxes which made this connection difficult to maintain.</w:t>
      </w:r>
    </w:p>
    <w:p w14:paraId="4ECC0A43" w14:textId="77777777" w:rsidR="002653E8" w:rsidRDefault="003115E3">
      <w:pPr>
        <w:pStyle w:val="a3"/>
        <w:spacing w:line="264" w:lineRule="auto"/>
        <w:ind w:left="1327" w:right="1145" w:firstLine="210"/>
        <w:jc w:val="both"/>
        <w:rPr>
          <w:sz w:val="11"/>
        </w:rPr>
      </w:pPr>
      <w:r>
        <w:rPr>
          <w:color w:val="231F20"/>
        </w:rPr>
        <w:t xml:space="preserve">On the one hand, the guerilla continued to view imperialism as the defining problem of their time, and in theory this could have—and normally should have—meant supporting the struggles of the millions of people in the Third </w:t>
      </w:r>
      <w:r>
        <w:rPr>
          <w:color w:val="231F20"/>
          <w:spacing w:val="-3"/>
        </w:rPr>
        <w:t xml:space="preserve">World. </w:t>
      </w:r>
      <w:r>
        <w:rPr>
          <w:color w:val="231F20"/>
          <w:spacing w:val="1"/>
        </w:rPr>
        <w:t xml:space="preserve">In </w:t>
      </w:r>
      <w:r>
        <w:rPr>
          <w:color w:val="231F20"/>
        </w:rPr>
        <w:t xml:space="preserve">practice, however, the </w:t>
      </w:r>
      <w:r w:rsidR="00C507A5">
        <w:rPr>
          <w:color w:val="231F20"/>
          <w:spacing w:val="1"/>
        </w:rPr>
        <w:t>red army faction</w:t>
      </w:r>
      <w:r>
        <w:rPr>
          <w:color w:val="231F20"/>
          <w:spacing w:val="1"/>
        </w:rPr>
        <w:t xml:space="preserve">’s </w:t>
      </w:r>
      <w:r>
        <w:rPr>
          <w:color w:val="231F20"/>
        </w:rPr>
        <w:t xml:space="preserve">antiimperialism was solely expressed through struggles around prison conditions in the Federal Republic, and even then only with regards      to political prisoners. Karl-Heinz Dellwo tells of how the Hamburg Committee Against Torture was approached by an Eritrean comrade who asked for help in an occupation of the Ethiopian Embassy: </w:t>
      </w:r>
      <w:r>
        <w:rPr>
          <w:color w:val="231F20"/>
          <w:spacing w:val="-3"/>
        </w:rPr>
        <w:t xml:space="preserve">“We </w:t>
      </w:r>
      <w:r>
        <w:rPr>
          <w:color w:val="231F20"/>
        </w:rPr>
        <w:t>were so involved in supporting the prisoners that we declined, explaining</w:t>
      </w:r>
      <w:r>
        <w:rPr>
          <w:color w:val="231F20"/>
          <w:spacing w:val="10"/>
        </w:rPr>
        <w:t xml:space="preserve"> </w:t>
      </w:r>
      <w:r>
        <w:rPr>
          <w:color w:val="231F20"/>
        </w:rPr>
        <w:t>that</w:t>
      </w:r>
      <w:r>
        <w:rPr>
          <w:color w:val="231F20"/>
          <w:spacing w:val="10"/>
        </w:rPr>
        <w:t xml:space="preserve"> </w:t>
      </w:r>
      <w:r>
        <w:rPr>
          <w:color w:val="231F20"/>
        </w:rPr>
        <w:t>we</w:t>
      </w:r>
      <w:r>
        <w:rPr>
          <w:color w:val="231F20"/>
          <w:spacing w:val="10"/>
        </w:rPr>
        <w:t xml:space="preserve"> </w:t>
      </w:r>
      <w:r>
        <w:rPr>
          <w:color w:val="231F20"/>
        </w:rPr>
        <w:t>had</w:t>
      </w:r>
      <w:r>
        <w:rPr>
          <w:color w:val="231F20"/>
          <w:spacing w:val="10"/>
        </w:rPr>
        <w:t xml:space="preserve"> </w:t>
      </w:r>
      <w:r>
        <w:rPr>
          <w:color w:val="231F20"/>
        </w:rPr>
        <w:t>to</w:t>
      </w:r>
      <w:r>
        <w:rPr>
          <w:color w:val="231F20"/>
          <w:spacing w:val="10"/>
        </w:rPr>
        <w:t xml:space="preserve"> </w:t>
      </w:r>
      <w:r>
        <w:rPr>
          <w:color w:val="231F20"/>
        </w:rPr>
        <w:t>deal</w:t>
      </w:r>
      <w:r>
        <w:rPr>
          <w:color w:val="231F20"/>
          <w:spacing w:val="10"/>
        </w:rPr>
        <w:t xml:space="preserve"> </w:t>
      </w:r>
      <w:r>
        <w:rPr>
          <w:color w:val="231F20"/>
        </w:rPr>
        <w:t>with</w:t>
      </w:r>
      <w:r>
        <w:rPr>
          <w:color w:val="231F20"/>
          <w:spacing w:val="10"/>
        </w:rPr>
        <w:t xml:space="preserve"> </w:t>
      </w:r>
      <w:r>
        <w:rPr>
          <w:color w:val="231F20"/>
        </w:rPr>
        <w:t>freeing</w:t>
      </w:r>
      <w:r>
        <w:rPr>
          <w:color w:val="231F20"/>
          <w:spacing w:val="10"/>
        </w:rPr>
        <w:t xml:space="preserve"> </w:t>
      </w:r>
      <w:r>
        <w:rPr>
          <w:color w:val="231F20"/>
        </w:rPr>
        <w:t>our</w:t>
      </w:r>
      <w:r>
        <w:rPr>
          <w:color w:val="231F20"/>
          <w:spacing w:val="10"/>
        </w:rPr>
        <w:t xml:space="preserve"> </w:t>
      </w:r>
      <w:r>
        <w:rPr>
          <w:color w:val="231F20"/>
        </w:rPr>
        <w:t>prisoners</w:t>
      </w:r>
      <w:r>
        <w:rPr>
          <w:color w:val="231F20"/>
          <w:spacing w:val="10"/>
        </w:rPr>
        <w:t xml:space="preserve"> </w:t>
      </w:r>
      <w:r>
        <w:rPr>
          <w:color w:val="231F20"/>
        </w:rPr>
        <w:t>first,”</w:t>
      </w:r>
      <w:r>
        <w:rPr>
          <w:color w:val="231F20"/>
          <w:spacing w:val="10"/>
        </w:rPr>
        <w:t xml:space="preserve"> </w:t>
      </w:r>
      <w:r>
        <w:rPr>
          <w:color w:val="231F20"/>
        </w:rPr>
        <w:t>he</w:t>
      </w:r>
      <w:r>
        <w:rPr>
          <w:color w:val="231F20"/>
          <w:spacing w:val="10"/>
        </w:rPr>
        <w:t xml:space="preserve"> </w:t>
      </w:r>
      <w:r>
        <w:rPr>
          <w:color w:val="231F20"/>
        </w:rPr>
        <w:t>recalls.</w:t>
      </w:r>
      <w:r>
        <w:rPr>
          <w:color w:val="231F20"/>
          <w:position w:val="7"/>
          <w:sz w:val="11"/>
        </w:rPr>
        <w:t>1</w:t>
      </w:r>
    </w:p>
    <w:p w14:paraId="04B293D2" w14:textId="77777777" w:rsidR="002653E8" w:rsidRDefault="003115E3">
      <w:pPr>
        <w:pStyle w:val="a3"/>
        <w:spacing w:line="264" w:lineRule="auto"/>
        <w:ind w:left="1327" w:right="1145" w:firstLine="210"/>
        <w:jc w:val="both"/>
      </w:pPr>
      <w:r>
        <w:rPr>
          <w:color w:val="231F20"/>
        </w:rPr>
        <w:t xml:space="preserve">At the same time, the </w:t>
      </w:r>
      <w:r w:rsidR="00C507A5">
        <w:rPr>
          <w:color w:val="231F20"/>
        </w:rPr>
        <w:t>red army faction</w:t>
      </w:r>
      <w:r>
        <w:rPr>
          <w:color w:val="231F20"/>
        </w:rPr>
        <w:t xml:space="preserve"> prisoners continued to condemn campaigns based on humanitarian concern, or mere solidarity against repression, even as almost all of their recruits since 1973 had joined for precisely these reasons. Emotional identification with the prisoners, and anguish at their torture were by far the most traveled road into the guerilla or its support scene. yet the prisoners rejected this appeal as “bourgeois antifascism.”</w:t>
      </w:r>
    </w:p>
    <w:p w14:paraId="51DD8CD8" w14:textId="77777777" w:rsidR="002653E8" w:rsidRDefault="003115E3">
      <w:pPr>
        <w:pStyle w:val="a3"/>
        <w:spacing w:line="264" w:lineRule="auto"/>
        <w:ind w:left="1327" w:right="1146" w:firstLine="210"/>
        <w:jc w:val="both"/>
      </w:pPr>
      <w:r>
        <w:rPr>
          <w:color w:val="231F20"/>
        </w:rPr>
        <w:t>Neither of these paradoxes constituted errors, or hypocrisy. The gap between theory and practice was not that wide. But they did not make  it easy for activists from the broader radical left to get involved in the guerilla’s struggle. The intellectual and emotional leap required was such that the support scene began to assume an identity distinct from all the other tendencies of the radical left. It was becoming a tendency  in its own</w:t>
      </w:r>
      <w:r>
        <w:rPr>
          <w:color w:val="231F20"/>
          <w:spacing w:val="32"/>
        </w:rPr>
        <w:t xml:space="preserve"> </w:t>
      </w:r>
      <w:r>
        <w:rPr>
          <w:color w:val="231F20"/>
        </w:rPr>
        <w:t>right.</w:t>
      </w:r>
    </w:p>
    <w:p w14:paraId="3B712518" w14:textId="77777777" w:rsidR="002653E8" w:rsidRDefault="003115E3">
      <w:pPr>
        <w:pStyle w:val="a3"/>
        <w:spacing w:line="264" w:lineRule="auto"/>
        <w:ind w:left="1328" w:right="1145" w:firstLine="209"/>
        <w:jc w:val="both"/>
      </w:pPr>
      <w:r>
        <w:rPr>
          <w:color w:val="231F20"/>
        </w:rPr>
        <w:t xml:space="preserve">The comparison with the Revolutionary Cells is telling. The </w:t>
      </w:r>
      <w:r>
        <w:rPr>
          <w:color w:val="231F20"/>
          <w:spacing w:val="3"/>
        </w:rPr>
        <w:t xml:space="preserve">RZ </w:t>
      </w:r>
      <w:r>
        <w:rPr>
          <w:color w:val="231F20"/>
        </w:rPr>
        <w:t>pioneered a strategy of reaching out to activists where they were at, and   in doing so managed to pull several movements—even those based on the Citizens Initiatives—to the left. They specialized in bombings in solidarity with these reformist campaigns, encouraging others to follow suit. With their slogan “Create one, two, many Revolutionary  Cells!” they meant to show people that they themselves could step beyond the lines</w:t>
      </w:r>
      <w:r>
        <w:rPr>
          <w:color w:val="231F20"/>
          <w:spacing w:val="10"/>
        </w:rPr>
        <w:t xml:space="preserve"> </w:t>
      </w:r>
      <w:r>
        <w:rPr>
          <w:color w:val="231F20"/>
        </w:rPr>
        <w:t>of</w:t>
      </w:r>
      <w:r>
        <w:rPr>
          <w:color w:val="231F20"/>
          <w:spacing w:val="10"/>
        </w:rPr>
        <w:t xml:space="preserve"> </w:t>
      </w:r>
      <w:r>
        <w:rPr>
          <w:color w:val="231F20"/>
        </w:rPr>
        <w:t>legal</w:t>
      </w:r>
      <w:r>
        <w:rPr>
          <w:color w:val="231F20"/>
          <w:spacing w:val="10"/>
        </w:rPr>
        <w:t xml:space="preserve"> </w:t>
      </w:r>
      <w:r>
        <w:rPr>
          <w:color w:val="231F20"/>
        </w:rPr>
        <w:t>protest</w:t>
      </w:r>
      <w:r>
        <w:rPr>
          <w:color w:val="231F20"/>
          <w:spacing w:val="10"/>
        </w:rPr>
        <w:t xml:space="preserve"> </w:t>
      </w:r>
      <w:r>
        <w:rPr>
          <w:color w:val="231F20"/>
        </w:rPr>
        <w:t>established</w:t>
      </w:r>
      <w:r>
        <w:rPr>
          <w:color w:val="231F20"/>
          <w:spacing w:val="10"/>
        </w:rPr>
        <w:t xml:space="preserve"> </w:t>
      </w:r>
      <w:r>
        <w:rPr>
          <w:color w:val="231F20"/>
        </w:rPr>
        <w:t>by</w:t>
      </w:r>
      <w:r>
        <w:rPr>
          <w:color w:val="231F20"/>
          <w:spacing w:val="10"/>
        </w:rPr>
        <w:t xml:space="preserve"> </w:t>
      </w:r>
      <w:r>
        <w:rPr>
          <w:color w:val="231F20"/>
        </w:rPr>
        <w:t>the</w:t>
      </w:r>
      <w:r>
        <w:rPr>
          <w:color w:val="231F20"/>
          <w:spacing w:val="10"/>
        </w:rPr>
        <w:t xml:space="preserve"> </w:t>
      </w:r>
      <w:r>
        <w:rPr>
          <w:color w:val="231F20"/>
        </w:rPr>
        <w:t>state.</w:t>
      </w:r>
    </w:p>
    <w:p w14:paraId="7EA8CF66" w14:textId="77777777" w:rsidR="002653E8" w:rsidRDefault="003115E3">
      <w:pPr>
        <w:pStyle w:val="a3"/>
        <w:spacing w:line="264" w:lineRule="auto"/>
        <w:ind w:left="1328" w:right="1145" w:firstLine="210"/>
        <w:jc w:val="both"/>
      </w:pPr>
      <w:r>
        <w:rPr>
          <w:color w:val="231F20"/>
        </w:rPr>
        <w:t>This strategy had its drawbacks, but one of its undeniable strengths was its ability to make armed struggle seem accessible, all the while</w:t>
      </w:r>
    </w:p>
    <w:p w14:paraId="2D297969" w14:textId="77777777" w:rsidR="002653E8" w:rsidRDefault="00000000">
      <w:pPr>
        <w:pStyle w:val="a3"/>
        <w:spacing w:before="1"/>
        <w:rPr>
          <w:sz w:val="12"/>
        </w:rPr>
      </w:pPr>
      <w:r>
        <w:rPr>
          <w:noProof w:val="0"/>
        </w:rPr>
        <w:pict w14:anchorId="4781622B">
          <v:line id="_x0000_s2223" style="position:absolute;z-index:9616;mso-wrap-distance-left:0;mso-wrap-distance-right:0;mso-position-horizontal-relative:page" from="66.4pt,9.3pt" to="138.4pt,9.3pt" strokecolor="#231f20" strokeweight=".5pt">
            <w10:wrap type="topAndBottom" anchorx="page"/>
          </v:line>
        </w:pict>
      </w:r>
    </w:p>
    <w:p w14:paraId="2B2386A4" w14:textId="77777777" w:rsidR="002653E8" w:rsidRDefault="003115E3">
      <w:pPr>
        <w:spacing w:before="53"/>
        <w:ind w:left="1327"/>
        <w:rPr>
          <w:sz w:val="16"/>
        </w:rPr>
      </w:pPr>
      <w:r>
        <w:rPr>
          <w:color w:val="231F20"/>
          <w:w w:val="110"/>
          <w:sz w:val="16"/>
        </w:rPr>
        <w:t xml:space="preserve">1 </w:t>
      </w:r>
      <w:bookmarkStart w:id="219" w:name="_Hlk130773920"/>
      <w:r>
        <w:rPr>
          <w:color w:val="231F20"/>
          <w:w w:val="110"/>
          <w:sz w:val="16"/>
        </w:rPr>
        <w:t>Dellwo, 95.</w:t>
      </w:r>
    </w:p>
    <w:bookmarkEnd w:id="219"/>
    <w:p w14:paraId="0CF0FEB9" w14:textId="77777777" w:rsidR="002653E8" w:rsidRDefault="002653E8">
      <w:pPr>
        <w:rPr>
          <w:sz w:val="16"/>
        </w:rPr>
        <w:sectPr w:rsidR="002653E8">
          <w:pgSz w:w="8640" w:h="12960"/>
          <w:pgMar w:top="1060" w:right="0" w:bottom="1040" w:left="0" w:header="0" w:footer="850" w:gutter="0"/>
          <w:cols w:space="720"/>
        </w:sectPr>
      </w:pPr>
    </w:p>
    <w:p w14:paraId="1468BB14" w14:textId="77777777" w:rsidR="002653E8" w:rsidRDefault="003115E3">
      <w:pPr>
        <w:pStyle w:val="a3"/>
        <w:spacing w:before="86" w:line="264" w:lineRule="auto"/>
        <w:ind w:left="1147" w:right="1513"/>
      </w:pPr>
      <w:r>
        <w:rPr>
          <w:color w:val="231F20"/>
        </w:rPr>
        <w:lastRenderedPageBreak/>
        <w:t>ensuring that the combatants—who did not go underground—would remain connected to the rest of the radical left.</w:t>
      </w:r>
    </w:p>
    <w:p w14:paraId="10DDA6C4" w14:textId="77777777" w:rsidR="002653E8" w:rsidRDefault="003115E3">
      <w:pPr>
        <w:pStyle w:val="a3"/>
        <w:spacing w:line="264" w:lineRule="auto"/>
        <w:ind w:left="1147" w:right="1326" w:firstLine="210"/>
        <w:jc w:val="both"/>
      </w:pPr>
      <w:r>
        <w:rPr>
          <w:color w:val="231F20"/>
        </w:rPr>
        <w:t xml:space="preserve">The </w:t>
      </w:r>
      <w:r w:rsidR="00C507A5">
        <w:rPr>
          <w:color w:val="231F20"/>
          <w:spacing w:val="1"/>
        </w:rPr>
        <w:t>red army faction</w:t>
      </w:r>
      <w:r>
        <w:rPr>
          <w:color w:val="231F20"/>
          <w:spacing w:val="1"/>
        </w:rPr>
        <w:t xml:space="preserve">’s </w:t>
      </w:r>
      <w:r>
        <w:rPr>
          <w:color w:val="231F20"/>
        </w:rPr>
        <w:t xml:space="preserve">single-minded focus on the prisoners in this period may   be a testament to the stature and unflinching resistance of its founding members, who had established the first armed clandestine organization in postwar Germany, repeatedly risked their own lives struggling behind bars, and inspired new waves of guerillas. </w:t>
      </w:r>
      <w:r>
        <w:rPr>
          <w:color w:val="231F20"/>
          <w:spacing w:val="-5"/>
        </w:rPr>
        <w:t xml:space="preserve">yet </w:t>
      </w:r>
      <w:r>
        <w:rPr>
          <w:color w:val="231F20"/>
        </w:rPr>
        <w:t xml:space="preserve">in retrospect, this focus also appears to represent a setback; if not a temporary defeat, then, certainly, a retreat from the </w:t>
      </w:r>
      <w:r w:rsidR="00C507A5">
        <w:rPr>
          <w:color w:val="231F20"/>
          <w:spacing w:val="1"/>
        </w:rPr>
        <w:t>red army faction</w:t>
      </w:r>
      <w:r>
        <w:rPr>
          <w:color w:val="231F20"/>
          <w:spacing w:val="1"/>
        </w:rPr>
        <w:t xml:space="preserve">’s </w:t>
      </w:r>
      <w:r>
        <w:rPr>
          <w:color w:val="231F20"/>
        </w:rPr>
        <w:t>initial impulse, as the guerilla became locked in on the prisoners to the exclusion of all other social contradictions.</w:t>
      </w:r>
    </w:p>
    <w:p w14:paraId="22535F08" w14:textId="77777777" w:rsidR="002653E8" w:rsidRDefault="003115E3">
      <w:pPr>
        <w:pStyle w:val="a3"/>
        <w:spacing w:line="264" w:lineRule="auto"/>
        <w:ind w:left="1147" w:right="1327" w:firstLine="210"/>
        <w:jc w:val="both"/>
      </w:pPr>
      <w:r>
        <w:rPr>
          <w:color w:val="231F20"/>
        </w:rPr>
        <w:t xml:space="preserve">The </w:t>
      </w:r>
      <w:r w:rsidR="00C507A5">
        <w:rPr>
          <w:color w:val="231F20"/>
        </w:rPr>
        <w:t>red army faction</w:t>
      </w:r>
      <w:r>
        <w:rPr>
          <w:color w:val="231F20"/>
        </w:rPr>
        <w:t xml:space="preserve"> would doggedly follow this trail as long as it could, and barely survive the consequences.</w:t>
      </w:r>
    </w:p>
    <w:p w14:paraId="737187BA" w14:textId="77777777" w:rsidR="002653E8" w:rsidRDefault="002653E8">
      <w:pPr>
        <w:spacing w:line="264" w:lineRule="auto"/>
        <w:jc w:val="both"/>
        <w:sectPr w:rsidR="002653E8">
          <w:footerReference w:type="even" r:id="rId380"/>
          <w:footerReference w:type="default" r:id="rId381"/>
          <w:pgSz w:w="8640" w:h="12960"/>
          <w:pgMar w:top="1060" w:right="0" w:bottom="1040" w:left="0" w:header="0" w:footer="850" w:gutter="0"/>
          <w:cols w:space="720"/>
        </w:sectPr>
      </w:pPr>
    </w:p>
    <w:p w14:paraId="6570D1E5" w14:textId="77777777" w:rsidR="002653E8" w:rsidRDefault="002653E8">
      <w:pPr>
        <w:pStyle w:val="a3"/>
      </w:pPr>
    </w:p>
    <w:p w14:paraId="34312A9D" w14:textId="77777777" w:rsidR="002653E8" w:rsidRDefault="002653E8">
      <w:pPr>
        <w:pStyle w:val="a3"/>
      </w:pPr>
    </w:p>
    <w:p w14:paraId="5D3C9C81" w14:textId="77777777" w:rsidR="002653E8" w:rsidRDefault="002653E8">
      <w:pPr>
        <w:pStyle w:val="a3"/>
      </w:pPr>
    </w:p>
    <w:p w14:paraId="794CE809" w14:textId="77777777" w:rsidR="002653E8" w:rsidRDefault="002653E8">
      <w:pPr>
        <w:pStyle w:val="a3"/>
      </w:pPr>
    </w:p>
    <w:p w14:paraId="166EA60C" w14:textId="77777777" w:rsidR="002653E8" w:rsidRDefault="002653E8">
      <w:pPr>
        <w:pStyle w:val="a3"/>
        <w:spacing w:before="2"/>
        <w:rPr>
          <w:sz w:val="29"/>
        </w:rPr>
      </w:pPr>
    </w:p>
    <w:p w14:paraId="2DE4C8BE" w14:textId="77777777" w:rsidR="002653E8" w:rsidRDefault="003115E3">
      <w:pPr>
        <w:pStyle w:val="4"/>
        <w:tabs>
          <w:tab w:val="left" w:pos="6964"/>
          <w:tab w:val="left" w:pos="7491"/>
        </w:tabs>
        <w:spacing w:before="86"/>
        <w:rPr>
          <w:rFonts w:ascii="Lucida Sans"/>
          <w:b/>
        </w:rPr>
      </w:pPr>
      <w:bookmarkStart w:id="220" w:name="12_&amp;_Back_to_the_RAF…__"/>
      <w:bookmarkStart w:id="221" w:name="_bookmark66"/>
      <w:bookmarkEnd w:id="220"/>
      <w:bookmarkEnd w:id="221"/>
      <w:r>
        <w:rPr>
          <w:rFonts w:ascii="Lucida Sans"/>
          <w:b/>
          <w:color w:val="FFFFFF"/>
          <w:w w:val="87"/>
          <w:shd w:val="clear" w:color="auto" w:fill="231F20"/>
        </w:rPr>
        <w:t xml:space="preserve"> </w:t>
      </w:r>
      <w:r>
        <w:rPr>
          <w:rFonts w:ascii="Lucida Sans"/>
          <w:b/>
          <w:color w:val="FFFFFF"/>
          <w:shd w:val="clear" w:color="auto" w:fill="231F20"/>
        </w:rPr>
        <w:tab/>
      </w:r>
      <w:r>
        <w:rPr>
          <w:rFonts w:ascii="Lucida Sans"/>
          <w:b/>
          <w:color w:val="FFFFFF"/>
          <w:spacing w:val="-9"/>
          <w:w w:val="95"/>
          <w:shd w:val="clear" w:color="auto" w:fill="231F20"/>
        </w:rPr>
        <w:t>12</w:t>
      </w:r>
      <w:r>
        <w:rPr>
          <w:rFonts w:ascii="Lucida Sans"/>
          <w:b/>
          <w:color w:val="FFFFFF"/>
          <w:spacing w:val="-9"/>
          <w:shd w:val="clear" w:color="auto" w:fill="231F20"/>
        </w:rPr>
        <w:tab/>
      </w:r>
    </w:p>
    <w:p w14:paraId="3CF5E535" w14:textId="77777777" w:rsidR="002653E8" w:rsidRDefault="002653E8">
      <w:pPr>
        <w:pStyle w:val="a3"/>
        <w:rPr>
          <w:rFonts w:ascii="Lucida Sans"/>
          <w:b/>
          <w:sz w:val="36"/>
        </w:rPr>
      </w:pPr>
    </w:p>
    <w:p w14:paraId="40670755" w14:textId="77777777" w:rsidR="002653E8" w:rsidRDefault="002653E8">
      <w:pPr>
        <w:pStyle w:val="a3"/>
        <w:spacing w:before="1"/>
        <w:rPr>
          <w:rFonts w:ascii="Lucida Sans"/>
          <w:b/>
          <w:sz w:val="38"/>
        </w:rPr>
      </w:pPr>
    </w:p>
    <w:p w14:paraId="4B9122FE" w14:textId="77777777" w:rsidR="002653E8" w:rsidRDefault="003115E3">
      <w:pPr>
        <w:ind w:left="4137"/>
        <w:rPr>
          <w:rFonts w:ascii="Lucida Sans" w:hAnsi="Lucida Sans"/>
          <w:b/>
          <w:sz w:val="36"/>
        </w:rPr>
      </w:pPr>
      <w:r>
        <w:rPr>
          <w:rFonts w:ascii="Lucida Sans" w:hAnsi="Lucida Sans"/>
          <w:b/>
          <w:color w:val="231F20"/>
          <w:sz w:val="36"/>
        </w:rPr>
        <w:t>&amp;</w:t>
      </w:r>
      <w:r>
        <w:rPr>
          <w:rFonts w:ascii="Lucida Sans" w:hAnsi="Lucida Sans"/>
          <w:b/>
          <w:color w:val="231F20"/>
          <w:spacing w:val="-71"/>
          <w:sz w:val="36"/>
        </w:rPr>
        <w:t xml:space="preserve"> </w:t>
      </w:r>
      <w:r>
        <w:rPr>
          <w:rFonts w:ascii="Lucida Sans" w:hAnsi="Lucida Sans"/>
          <w:b/>
          <w:color w:val="231F20"/>
          <w:sz w:val="36"/>
        </w:rPr>
        <w:t>Back</w:t>
      </w:r>
      <w:r>
        <w:rPr>
          <w:rFonts w:ascii="Lucida Sans" w:hAnsi="Lucida Sans"/>
          <w:b/>
          <w:color w:val="231F20"/>
          <w:spacing w:val="-71"/>
          <w:sz w:val="36"/>
        </w:rPr>
        <w:t xml:space="preserve"> </w:t>
      </w:r>
      <w:r>
        <w:rPr>
          <w:rFonts w:ascii="Lucida Sans" w:hAnsi="Lucida Sans"/>
          <w:b/>
          <w:color w:val="231F20"/>
          <w:sz w:val="36"/>
        </w:rPr>
        <w:t>to</w:t>
      </w:r>
      <w:r>
        <w:rPr>
          <w:rFonts w:ascii="Lucida Sans" w:hAnsi="Lucida Sans"/>
          <w:b/>
          <w:color w:val="231F20"/>
          <w:spacing w:val="-71"/>
          <w:sz w:val="36"/>
        </w:rPr>
        <w:t xml:space="preserve"> </w:t>
      </w:r>
      <w:r>
        <w:rPr>
          <w:rFonts w:ascii="Lucida Sans" w:hAnsi="Lucida Sans"/>
          <w:b/>
          <w:color w:val="231F20"/>
          <w:sz w:val="36"/>
        </w:rPr>
        <w:t>the</w:t>
      </w:r>
      <w:r>
        <w:rPr>
          <w:rFonts w:ascii="Lucida Sans" w:hAnsi="Lucida Sans"/>
          <w:b/>
          <w:color w:val="231F20"/>
          <w:spacing w:val="-71"/>
          <w:sz w:val="36"/>
        </w:rPr>
        <w:t xml:space="preserve"> </w:t>
      </w:r>
      <w:r w:rsidR="00C507A5">
        <w:rPr>
          <w:rFonts w:ascii="Lucida Sans" w:hAnsi="Lucida Sans"/>
          <w:b/>
          <w:color w:val="231F20"/>
          <w:sz w:val="36"/>
        </w:rPr>
        <w:t>red army faction</w:t>
      </w:r>
      <w:r>
        <w:rPr>
          <w:rFonts w:ascii="Lucida Sans" w:hAnsi="Lucida Sans"/>
          <w:b/>
          <w:color w:val="231F20"/>
          <w:sz w:val="36"/>
        </w:rPr>
        <w:t>…</w:t>
      </w:r>
    </w:p>
    <w:p w14:paraId="19F83F52" w14:textId="77777777" w:rsidR="002653E8" w:rsidRDefault="002653E8">
      <w:pPr>
        <w:pStyle w:val="a3"/>
        <w:rPr>
          <w:rFonts w:ascii="Lucida Sans"/>
          <w:b/>
          <w:sz w:val="42"/>
        </w:rPr>
      </w:pPr>
    </w:p>
    <w:p w14:paraId="63A1E67B" w14:textId="77777777" w:rsidR="002653E8" w:rsidRDefault="002653E8">
      <w:pPr>
        <w:pStyle w:val="a3"/>
        <w:spacing w:before="5"/>
        <w:rPr>
          <w:rFonts w:ascii="Lucida Sans"/>
          <w:b/>
          <w:sz w:val="42"/>
        </w:rPr>
      </w:pPr>
    </w:p>
    <w:p w14:paraId="7A102B30" w14:textId="130675BA" w:rsidR="002653E8" w:rsidRDefault="003115E3" w:rsidP="00127308">
      <w:pPr>
        <w:pStyle w:val="a3"/>
        <w:spacing w:line="235" w:lineRule="auto"/>
        <w:ind w:left="1327" w:right="1146"/>
        <w:jc w:val="both"/>
      </w:pPr>
      <w:r>
        <w:rPr>
          <w:rFonts w:ascii="Verdana"/>
          <w:color w:val="231F20"/>
          <w:spacing w:val="-12"/>
          <w:sz w:val="48"/>
        </w:rPr>
        <w:t>N</w:t>
      </w:r>
      <w:r>
        <w:rPr>
          <w:color w:val="231F20"/>
          <w:spacing w:val="5"/>
          <w:w w:val="119"/>
        </w:rPr>
        <w:t>i</w:t>
      </w:r>
      <w:r>
        <w:rPr>
          <w:color w:val="231F20"/>
          <w:spacing w:val="5"/>
          <w:w w:val="109"/>
        </w:rPr>
        <w:t>n</w:t>
      </w:r>
      <w:r>
        <w:rPr>
          <w:color w:val="231F20"/>
          <w:spacing w:val="3"/>
          <w:w w:val="102"/>
        </w:rPr>
        <w:t>e</w:t>
      </w:r>
      <w:r>
        <w:rPr>
          <w:color w:val="231F20"/>
          <w:spacing w:val="6"/>
          <w:w w:val="147"/>
        </w:rPr>
        <w:t>t</w:t>
      </w:r>
      <w:r>
        <w:rPr>
          <w:color w:val="231F20"/>
          <w:spacing w:val="5"/>
          <w:w w:val="102"/>
        </w:rPr>
        <w:t>ee</w:t>
      </w:r>
      <w:r>
        <w:rPr>
          <w:color w:val="231F20"/>
          <w:w w:val="109"/>
        </w:rPr>
        <w:t>n</w:t>
      </w:r>
      <w:r>
        <w:rPr>
          <w:color w:val="231F20"/>
          <w:spacing w:val="20"/>
        </w:rPr>
        <w:t xml:space="preserve"> </w:t>
      </w:r>
      <w:r>
        <w:rPr>
          <w:color w:val="231F20"/>
          <w:spacing w:val="-1"/>
          <w:w w:val="103"/>
        </w:rPr>
        <w:t>s</w:t>
      </w:r>
      <w:r>
        <w:rPr>
          <w:color w:val="231F20"/>
          <w:spacing w:val="2"/>
          <w:w w:val="102"/>
        </w:rPr>
        <w:t>e</w:t>
      </w:r>
      <w:r>
        <w:rPr>
          <w:color w:val="231F20"/>
          <w:spacing w:val="7"/>
          <w:w w:val="110"/>
        </w:rPr>
        <w:t>v</w:t>
      </w:r>
      <w:r>
        <w:rPr>
          <w:color w:val="231F20"/>
          <w:spacing w:val="5"/>
          <w:w w:val="102"/>
        </w:rPr>
        <w:t>e</w:t>
      </w:r>
      <w:r>
        <w:rPr>
          <w:color w:val="231F20"/>
          <w:spacing w:val="7"/>
          <w:w w:val="109"/>
        </w:rPr>
        <w:t>n</w:t>
      </w:r>
      <w:r>
        <w:rPr>
          <w:color w:val="231F20"/>
          <w:spacing w:val="10"/>
          <w:w w:val="147"/>
        </w:rPr>
        <w:t>t</w:t>
      </w:r>
      <w:r>
        <w:rPr>
          <w:color w:val="231F20"/>
          <w:w w:val="110"/>
        </w:rPr>
        <w:t>y</w:t>
      </w:r>
      <w:r>
        <w:rPr>
          <w:color w:val="231F20"/>
          <w:spacing w:val="20"/>
        </w:rPr>
        <w:t xml:space="preserve"> </w:t>
      </w:r>
      <w:r>
        <w:rPr>
          <w:color w:val="231F20"/>
          <w:spacing w:val="-2"/>
          <w:w w:val="103"/>
        </w:rPr>
        <w:t>s</w:t>
      </w:r>
      <w:r>
        <w:rPr>
          <w:color w:val="231F20"/>
          <w:spacing w:val="6"/>
          <w:w w:val="119"/>
        </w:rPr>
        <w:t>i</w:t>
      </w:r>
      <w:r>
        <w:rPr>
          <w:color w:val="231F20"/>
          <w:w w:val="115"/>
        </w:rPr>
        <w:t>x</w:t>
      </w:r>
      <w:r>
        <w:rPr>
          <w:color w:val="231F20"/>
          <w:spacing w:val="20"/>
        </w:rPr>
        <w:t xml:space="preserve"> </w:t>
      </w:r>
      <w:r>
        <w:rPr>
          <w:color w:val="231F20"/>
          <w:spacing w:val="-11"/>
        </w:rPr>
        <w:t>w</w:t>
      </w:r>
      <w:r>
        <w:rPr>
          <w:color w:val="231F20"/>
          <w:spacing w:val="3"/>
          <w:w w:val="113"/>
        </w:rPr>
        <w:t>a</w:t>
      </w:r>
      <w:r>
        <w:rPr>
          <w:color w:val="231F20"/>
          <w:w w:val="103"/>
        </w:rPr>
        <w:t>s</w:t>
      </w:r>
      <w:r>
        <w:rPr>
          <w:color w:val="231F20"/>
          <w:spacing w:val="20"/>
        </w:rPr>
        <w:t xml:space="preserve"> </w:t>
      </w:r>
      <w:r>
        <w:rPr>
          <w:color w:val="231F20"/>
          <w:w w:val="113"/>
        </w:rPr>
        <w:t>a</w:t>
      </w:r>
      <w:r>
        <w:rPr>
          <w:color w:val="231F20"/>
          <w:spacing w:val="20"/>
        </w:rPr>
        <w:t xml:space="preserve"> </w:t>
      </w:r>
      <w:r>
        <w:rPr>
          <w:color w:val="231F20"/>
          <w:spacing w:val="3"/>
        </w:rPr>
        <w:t>d</w:t>
      </w:r>
      <w:r>
        <w:rPr>
          <w:color w:val="231F20"/>
          <w:spacing w:val="2"/>
        </w:rPr>
        <w:t>i</w:t>
      </w:r>
      <w:r>
        <w:rPr>
          <w:color w:val="231F20"/>
          <w:spacing w:val="6"/>
          <w:w w:val="109"/>
        </w:rPr>
        <w:t>f</w:t>
      </w:r>
      <w:r>
        <w:rPr>
          <w:color w:val="231F20"/>
          <w:w w:val="95"/>
        </w:rPr>
        <w:t>f</w:t>
      </w:r>
      <w:r>
        <w:rPr>
          <w:color w:val="231F20"/>
          <w:spacing w:val="1"/>
          <w:w w:val="95"/>
        </w:rPr>
        <w:t>i</w:t>
      </w:r>
      <w:r>
        <w:rPr>
          <w:color w:val="231F20"/>
          <w:spacing w:val="2"/>
        </w:rPr>
        <w:t>c</w:t>
      </w:r>
      <w:r>
        <w:rPr>
          <w:color w:val="231F20"/>
          <w:spacing w:val="3"/>
        </w:rPr>
        <w:t>u</w:t>
      </w:r>
      <w:r>
        <w:rPr>
          <w:color w:val="231F20"/>
          <w:spacing w:val="-2"/>
          <w:w w:val="102"/>
        </w:rPr>
        <w:t>l</w:t>
      </w:r>
      <w:r>
        <w:rPr>
          <w:color w:val="231F20"/>
          <w:w w:val="98"/>
        </w:rPr>
        <w:t>t</w:t>
      </w:r>
      <w:r>
        <w:rPr>
          <w:color w:val="231F20"/>
          <w:spacing w:val="20"/>
        </w:rPr>
        <w:t xml:space="preserve"> </w:t>
      </w:r>
      <w:r>
        <w:rPr>
          <w:color w:val="231F20"/>
          <w:spacing w:val="-2"/>
          <w:w w:val="99"/>
        </w:rPr>
        <w:t>y</w:t>
      </w:r>
      <w:r>
        <w:rPr>
          <w:color w:val="231F20"/>
          <w:spacing w:val="1"/>
          <w:w w:val="91"/>
        </w:rPr>
        <w:t>e</w:t>
      </w:r>
      <w:r>
        <w:rPr>
          <w:color w:val="231F20"/>
          <w:spacing w:val="3"/>
          <w:w w:val="102"/>
        </w:rPr>
        <w:t>a</w:t>
      </w:r>
      <w:r>
        <w:rPr>
          <w:color w:val="231F20"/>
          <w:w w:val="94"/>
        </w:rPr>
        <w:t>r</w:t>
      </w:r>
      <w:r>
        <w:rPr>
          <w:color w:val="231F20"/>
          <w:spacing w:val="20"/>
        </w:rPr>
        <w:t xml:space="preserve"> </w:t>
      </w:r>
      <w:r>
        <w:rPr>
          <w:color w:val="231F20"/>
          <w:spacing w:val="-2"/>
          <w:w w:val="109"/>
        </w:rPr>
        <w:t>f</w:t>
      </w:r>
      <w:r>
        <w:rPr>
          <w:color w:val="231F20"/>
          <w:spacing w:val="-1"/>
          <w:w w:val="104"/>
        </w:rPr>
        <w:t>o</w:t>
      </w:r>
      <w:r>
        <w:rPr>
          <w:color w:val="231F20"/>
          <w:w w:val="94"/>
        </w:rPr>
        <w:t>r</w:t>
      </w:r>
      <w:r>
        <w:rPr>
          <w:color w:val="231F20"/>
          <w:spacing w:val="20"/>
        </w:rPr>
        <w:t xml:space="preserve"> </w:t>
      </w:r>
      <w:r>
        <w:rPr>
          <w:color w:val="231F20"/>
          <w:spacing w:val="2"/>
          <w:w w:val="98"/>
        </w:rPr>
        <w:t>t</w:t>
      </w:r>
      <w:r>
        <w:rPr>
          <w:color w:val="231F20"/>
          <w:spacing w:val="-1"/>
        </w:rPr>
        <w:t>h</w:t>
      </w:r>
      <w:r>
        <w:rPr>
          <w:color w:val="231F20"/>
          <w:w w:val="91"/>
        </w:rPr>
        <w:t>e</w:t>
      </w:r>
      <w:r>
        <w:rPr>
          <w:color w:val="231F20"/>
          <w:spacing w:val="20"/>
        </w:rPr>
        <w:t xml:space="preserve"> </w:t>
      </w:r>
      <w:r>
        <w:rPr>
          <w:color w:val="231F20"/>
          <w:spacing w:val="-1"/>
          <w:w w:val="94"/>
        </w:rPr>
        <w:t>r</w:t>
      </w:r>
      <w:r>
        <w:rPr>
          <w:color w:val="231F20"/>
          <w:spacing w:val="-2"/>
          <w:w w:val="102"/>
        </w:rPr>
        <w:t>a</w:t>
      </w:r>
      <w:r>
        <w:rPr>
          <w:color w:val="231F20"/>
          <w:spacing w:val="3"/>
        </w:rPr>
        <w:t>d</w:t>
      </w:r>
      <w:r>
        <w:rPr>
          <w:color w:val="231F20"/>
        </w:rPr>
        <w:t>i</w:t>
      </w:r>
      <w:r>
        <w:rPr>
          <w:color w:val="231F20"/>
          <w:spacing w:val="2"/>
        </w:rPr>
        <w:t>c</w:t>
      </w:r>
      <w:r>
        <w:rPr>
          <w:color w:val="231F20"/>
          <w:spacing w:val="2"/>
          <w:w w:val="102"/>
        </w:rPr>
        <w:t>a</w:t>
      </w:r>
      <w:r>
        <w:rPr>
          <w:color w:val="231F20"/>
          <w:w w:val="102"/>
        </w:rPr>
        <w:t>l</w:t>
      </w:r>
      <w:r>
        <w:rPr>
          <w:color w:val="231F20"/>
          <w:spacing w:val="20"/>
        </w:rPr>
        <w:t xml:space="preserve"> </w:t>
      </w:r>
      <w:r>
        <w:rPr>
          <w:color w:val="231F20"/>
          <w:spacing w:val="-1"/>
          <w:w w:val="102"/>
        </w:rPr>
        <w:t>l</w:t>
      </w:r>
      <w:r>
        <w:rPr>
          <w:color w:val="231F20"/>
          <w:w w:val="98"/>
        </w:rPr>
        <w:t>e</w:t>
      </w:r>
      <w:r>
        <w:rPr>
          <w:color w:val="231F20"/>
          <w:spacing w:val="5"/>
          <w:w w:val="98"/>
        </w:rPr>
        <w:t>f</w:t>
      </w:r>
      <w:r>
        <w:rPr>
          <w:color w:val="231F20"/>
          <w:spacing w:val="3"/>
          <w:w w:val="98"/>
        </w:rPr>
        <w:t>t</w:t>
      </w:r>
      <w:r>
        <w:rPr>
          <w:color w:val="231F20"/>
          <w:w w:val="135"/>
        </w:rPr>
        <w:t>,</w:t>
      </w:r>
      <w:r>
        <w:rPr>
          <w:color w:val="231F20"/>
          <w:spacing w:val="20"/>
        </w:rPr>
        <w:t xml:space="preserve"> </w:t>
      </w:r>
      <w:r>
        <w:rPr>
          <w:color w:val="231F20"/>
          <w:spacing w:val="2"/>
          <w:w w:val="102"/>
        </w:rPr>
        <w:t>a</w:t>
      </w:r>
      <w:r>
        <w:rPr>
          <w:color w:val="231F20"/>
          <w:spacing w:val="-1"/>
          <w:w w:val="99"/>
        </w:rPr>
        <w:t>n</w:t>
      </w:r>
      <w:r>
        <w:rPr>
          <w:color w:val="231F20"/>
        </w:rPr>
        <w:t xml:space="preserve">d especially for the </w:t>
      </w:r>
      <w:r w:rsidR="00C507A5">
        <w:rPr>
          <w:color w:val="231F20"/>
        </w:rPr>
        <w:t>red army faction</w:t>
      </w:r>
      <w:r>
        <w:rPr>
          <w:color w:val="231F20"/>
        </w:rPr>
        <w:t xml:space="preserve">. Losing Ulrike Meinhof was certainly the hard  est </w:t>
      </w:r>
      <w:r>
        <w:rPr>
          <w:color w:val="231F20"/>
          <w:spacing w:val="-4"/>
        </w:rPr>
        <w:t xml:space="preserve">blow, </w:t>
      </w:r>
      <w:r>
        <w:rPr>
          <w:color w:val="231F20"/>
        </w:rPr>
        <w:t>and it was accompanied by another wave of repressive</w:t>
      </w:r>
      <w:r>
        <w:rPr>
          <w:color w:val="231F20"/>
          <w:spacing w:val="35"/>
        </w:rPr>
        <w:t xml:space="preserve"> </w:t>
      </w:r>
      <w:r>
        <w:rPr>
          <w:color w:val="231F20"/>
        </w:rPr>
        <w:t>legisla-tion and renewed attacks on the prisoners’ legal team.</w:t>
      </w:r>
    </w:p>
    <w:p w14:paraId="5955BDC2" w14:textId="77777777" w:rsidR="002653E8" w:rsidRDefault="003115E3">
      <w:pPr>
        <w:pStyle w:val="a3"/>
        <w:spacing w:before="22" w:line="264" w:lineRule="auto"/>
        <w:ind w:left="1328" w:right="1145" w:firstLine="209"/>
        <w:jc w:val="both"/>
      </w:pPr>
      <w:r>
        <w:rPr>
          <w:color w:val="231F20"/>
          <w:spacing w:val="-8"/>
          <w:w w:val="105"/>
        </w:rPr>
        <w:t>To</w:t>
      </w:r>
      <w:r>
        <w:rPr>
          <w:color w:val="231F20"/>
          <w:spacing w:val="-7"/>
          <w:w w:val="105"/>
        </w:rPr>
        <w:t xml:space="preserve"> </w:t>
      </w:r>
      <w:r>
        <w:rPr>
          <w:color w:val="231F20"/>
          <w:w w:val="105"/>
        </w:rPr>
        <w:t>top</w:t>
      </w:r>
      <w:r>
        <w:rPr>
          <w:color w:val="231F20"/>
          <w:spacing w:val="-7"/>
          <w:w w:val="105"/>
        </w:rPr>
        <w:t xml:space="preserve"> </w:t>
      </w:r>
      <w:r>
        <w:rPr>
          <w:color w:val="231F20"/>
          <w:w w:val="105"/>
        </w:rPr>
        <w:t>it</w:t>
      </w:r>
      <w:r>
        <w:rPr>
          <w:color w:val="231F20"/>
          <w:spacing w:val="-7"/>
          <w:w w:val="105"/>
        </w:rPr>
        <w:t xml:space="preserve"> </w:t>
      </w:r>
      <w:r>
        <w:rPr>
          <w:color w:val="231F20"/>
          <w:w w:val="105"/>
        </w:rPr>
        <w:t>off,</w:t>
      </w:r>
      <w:r>
        <w:rPr>
          <w:color w:val="231F20"/>
          <w:spacing w:val="-7"/>
          <w:w w:val="105"/>
        </w:rPr>
        <w:t xml:space="preserve"> </w:t>
      </w:r>
      <w:r>
        <w:rPr>
          <w:color w:val="231F20"/>
          <w:w w:val="105"/>
        </w:rPr>
        <w:t>several</w:t>
      </w:r>
      <w:r>
        <w:rPr>
          <w:color w:val="231F20"/>
          <w:spacing w:val="-7"/>
          <w:w w:val="105"/>
        </w:rPr>
        <w:t xml:space="preserve"> </w:t>
      </w:r>
      <w:r w:rsidR="00C507A5">
        <w:rPr>
          <w:color w:val="231F20"/>
          <w:spacing w:val="5"/>
          <w:w w:val="105"/>
        </w:rPr>
        <w:t>red army faction</w:t>
      </w:r>
      <w:r>
        <w:rPr>
          <w:color w:val="231F20"/>
          <w:spacing w:val="-7"/>
          <w:w w:val="105"/>
        </w:rPr>
        <w:t xml:space="preserve"> </w:t>
      </w:r>
      <w:r>
        <w:rPr>
          <w:color w:val="231F20"/>
          <w:w w:val="105"/>
        </w:rPr>
        <w:t>members</w:t>
      </w:r>
      <w:r>
        <w:rPr>
          <w:color w:val="231F20"/>
          <w:spacing w:val="-7"/>
          <w:w w:val="105"/>
        </w:rPr>
        <w:t xml:space="preserve"> </w:t>
      </w:r>
      <w:r>
        <w:rPr>
          <w:color w:val="231F20"/>
          <w:w w:val="105"/>
        </w:rPr>
        <w:t>were</w:t>
      </w:r>
      <w:r>
        <w:rPr>
          <w:color w:val="231F20"/>
          <w:spacing w:val="-7"/>
          <w:w w:val="105"/>
        </w:rPr>
        <w:t xml:space="preserve"> </w:t>
      </w:r>
      <w:r>
        <w:rPr>
          <w:color w:val="231F20"/>
          <w:w w:val="105"/>
        </w:rPr>
        <w:t>captured</w:t>
      </w:r>
      <w:r>
        <w:rPr>
          <w:color w:val="231F20"/>
          <w:spacing w:val="-7"/>
          <w:w w:val="105"/>
        </w:rPr>
        <w:t xml:space="preserve"> </w:t>
      </w:r>
      <w:r>
        <w:rPr>
          <w:color w:val="231F20"/>
          <w:w w:val="105"/>
        </w:rPr>
        <w:t>that</w:t>
      </w:r>
      <w:r>
        <w:rPr>
          <w:color w:val="231F20"/>
          <w:spacing w:val="-7"/>
          <w:w w:val="105"/>
        </w:rPr>
        <w:t xml:space="preserve"> </w:t>
      </w:r>
      <w:r>
        <w:rPr>
          <w:color w:val="231F20"/>
          <w:w w:val="105"/>
        </w:rPr>
        <w:t>year,</w:t>
      </w:r>
      <w:r>
        <w:rPr>
          <w:color w:val="231F20"/>
          <w:spacing w:val="-7"/>
          <w:w w:val="105"/>
        </w:rPr>
        <w:t xml:space="preserve"> </w:t>
      </w:r>
      <w:r>
        <w:rPr>
          <w:color w:val="231F20"/>
          <w:w w:val="105"/>
        </w:rPr>
        <w:t>including two outside of</w:t>
      </w:r>
      <w:r>
        <w:rPr>
          <w:color w:val="231F20"/>
          <w:spacing w:val="30"/>
          <w:w w:val="105"/>
        </w:rPr>
        <w:t xml:space="preserve"> </w:t>
      </w:r>
      <w:r>
        <w:rPr>
          <w:color w:val="231F20"/>
          <w:w w:val="105"/>
        </w:rPr>
        <w:t>Germany.</w:t>
      </w:r>
    </w:p>
    <w:p w14:paraId="495D95EA" w14:textId="77777777" w:rsidR="002653E8" w:rsidRDefault="003115E3">
      <w:pPr>
        <w:pStyle w:val="a3"/>
        <w:spacing w:line="264" w:lineRule="auto"/>
        <w:ind w:left="1327" w:right="1145" w:firstLine="210"/>
        <w:jc w:val="both"/>
        <w:rPr>
          <w:sz w:val="11"/>
        </w:rPr>
      </w:pPr>
      <w:r>
        <w:rPr>
          <w:color w:val="231F20"/>
        </w:rPr>
        <w:t xml:space="preserve">On July </w:t>
      </w:r>
      <w:r>
        <w:rPr>
          <w:color w:val="231F20"/>
          <w:spacing w:val="-3"/>
        </w:rPr>
        <w:t xml:space="preserve">21, </w:t>
      </w:r>
      <w:r>
        <w:rPr>
          <w:color w:val="231F20"/>
          <w:spacing w:val="-4"/>
        </w:rPr>
        <w:t xml:space="preserve">1976, </w:t>
      </w:r>
      <w:r>
        <w:rPr>
          <w:color w:val="231F20"/>
        </w:rPr>
        <w:t>Rolf Pohle—one of the prisoners exchanged for Peter Lorenz a year earlier—was arrested in Athens. German “super cop” Werner Mauss</w:t>
      </w:r>
      <w:r>
        <w:rPr>
          <w:color w:val="231F20"/>
          <w:position w:val="7"/>
          <w:sz w:val="11"/>
        </w:rPr>
        <w:t xml:space="preserve">1 </w:t>
      </w:r>
      <w:r>
        <w:rPr>
          <w:color w:val="231F20"/>
        </w:rPr>
        <w:t xml:space="preserve">had learned that the fugitive was hiding in the Greek capital; he also knew that Pohle was a regular reader of the </w:t>
      </w:r>
      <w:r>
        <w:rPr>
          <w:i/>
          <w:color w:val="231F20"/>
        </w:rPr>
        <w:t xml:space="preserve">Süddeutsche Zeitung </w:t>
      </w:r>
      <w:r>
        <w:rPr>
          <w:color w:val="231F20"/>
        </w:rPr>
        <w:t>newspaper. Mauss “borrowed” two hundred Athens police officers for a few hours, arranging to have eighty different newspaper stands staked out: when Pohle went to buy the paper, he walked right into the trap.</w:t>
      </w:r>
      <w:r>
        <w:rPr>
          <w:color w:val="231F20"/>
          <w:position w:val="7"/>
          <w:sz w:val="11"/>
        </w:rPr>
        <w:t>2</w:t>
      </w:r>
    </w:p>
    <w:p w14:paraId="264D1511" w14:textId="77777777" w:rsidR="002653E8" w:rsidRDefault="00000000">
      <w:pPr>
        <w:pStyle w:val="a3"/>
        <w:spacing w:before="8"/>
        <w:rPr>
          <w:sz w:val="11"/>
        </w:rPr>
      </w:pPr>
      <w:r>
        <w:rPr>
          <w:noProof w:val="0"/>
        </w:rPr>
        <w:pict w14:anchorId="499FD55A">
          <v:line id="_x0000_s2222" style="position:absolute;z-index:9640;mso-wrap-distance-left:0;mso-wrap-distance-right:0;mso-position-horizontal-relative:page" from="66.4pt,9.05pt" to="138.4pt,9.05pt" strokecolor="#231f20" strokeweight=".5pt">
            <w10:wrap type="topAndBottom" anchorx="page"/>
          </v:line>
        </w:pict>
      </w:r>
    </w:p>
    <w:p w14:paraId="762DE598" w14:textId="77777777" w:rsidR="002653E8" w:rsidRDefault="003115E3">
      <w:pPr>
        <w:pStyle w:val="a4"/>
        <w:numPr>
          <w:ilvl w:val="0"/>
          <w:numId w:val="68"/>
        </w:numPr>
        <w:tabs>
          <w:tab w:val="left" w:pos="1467"/>
        </w:tabs>
        <w:spacing w:before="53" w:line="254" w:lineRule="auto"/>
        <w:ind w:right="1567" w:firstLine="0"/>
        <w:rPr>
          <w:sz w:val="16"/>
        </w:rPr>
      </w:pPr>
      <w:r>
        <w:rPr>
          <w:color w:val="231F20"/>
          <w:sz w:val="16"/>
        </w:rPr>
        <w:t xml:space="preserve">The legends that  surround  Mauss  are  more  fantastic  than  most  spy  thrillers. A “plausibly deniable” agent  for  the  German  state,  newspapers  were  forbidden to publish  his  photograph  in  the  1970s  for  fear  that  this  would  compromise his operations. According to Olivier Schmidt, Mauss was deeply involved in coordinating counterinsurgency operations against the </w:t>
      </w:r>
      <w:r w:rsidR="00C507A5">
        <w:rPr>
          <w:color w:val="231F20"/>
          <w:spacing w:val="3"/>
          <w:sz w:val="16"/>
        </w:rPr>
        <w:t>red army faction</w:t>
      </w:r>
      <w:r>
        <w:rPr>
          <w:color w:val="231F20"/>
          <w:spacing w:val="3"/>
          <w:sz w:val="16"/>
        </w:rPr>
        <w:t xml:space="preserve"> </w:t>
      </w:r>
      <w:r>
        <w:rPr>
          <w:color w:val="231F20"/>
          <w:sz w:val="16"/>
        </w:rPr>
        <w:t>in this period</w:t>
      </w:r>
      <w:r>
        <w:rPr>
          <w:color w:val="231F20"/>
          <w:spacing w:val="20"/>
          <w:sz w:val="16"/>
        </w:rPr>
        <w:t xml:space="preserve"> </w:t>
      </w:r>
      <w:r>
        <w:rPr>
          <w:color w:val="231F20"/>
          <w:sz w:val="16"/>
        </w:rPr>
        <w:t>and</w:t>
      </w:r>
    </w:p>
    <w:p w14:paraId="59CDEFCE" w14:textId="77777777" w:rsidR="002653E8" w:rsidRDefault="003115E3">
      <w:pPr>
        <w:spacing w:before="2" w:line="254" w:lineRule="auto"/>
        <w:ind w:left="1327" w:right="1513"/>
        <w:rPr>
          <w:sz w:val="16"/>
        </w:rPr>
      </w:pPr>
      <w:r>
        <w:rPr>
          <w:color w:val="231F20"/>
          <w:w w:val="105"/>
          <w:sz w:val="16"/>
        </w:rPr>
        <w:t xml:space="preserve">allegedly arranged for certain leading businessmen to pay the secret services for additional protection. (“Free Agent ‘Werner Mauss’ Gets Caught,” </w:t>
      </w:r>
      <w:r>
        <w:rPr>
          <w:i/>
          <w:color w:val="231F20"/>
          <w:w w:val="105"/>
          <w:sz w:val="16"/>
        </w:rPr>
        <w:t xml:space="preserve">Intelligence </w:t>
      </w:r>
      <w:r>
        <w:rPr>
          <w:color w:val="231F20"/>
          <w:w w:val="105"/>
          <w:sz w:val="16"/>
        </w:rPr>
        <w:t>50, December 16, 1996).</w:t>
      </w:r>
    </w:p>
    <w:p w14:paraId="4C7587C7" w14:textId="77777777" w:rsidR="002653E8" w:rsidRDefault="003115E3">
      <w:pPr>
        <w:pStyle w:val="a4"/>
        <w:numPr>
          <w:ilvl w:val="0"/>
          <w:numId w:val="68"/>
        </w:numPr>
        <w:tabs>
          <w:tab w:val="left" w:pos="1467"/>
        </w:tabs>
        <w:spacing w:line="254" w:lineRule="auto"/>
        <w:ind w:right="1625" w:firstLine="0"/>
        <w:rPr>
          <w:sz w:val="16"/>
        </w:rPr>
      </w:pPr>
      <w:bookmarkStart w:id="222" w:name="_Hlk130774545"/>
      <w:r>
        <w:rPr>
          <w:color w:val="231F20"/>
          <w:w w:val="105"/>
          <w:sz w:val="16"/>
        </w:rPr>
        <w:t xml:space="preserve">Karl-Ludwig Günsche and Hans Werner Loose, “Werner Mauss 40 years of fighting against criminality,” </w:t>
      </w:r>
      <w:r>
        <w:rPr>
          <w:i/>
          <w:color w:val="231F20"/>
          <w:w w:val="105"/>
          <w:sz w:val="16"/>
        </w:rPr>
        <w:t xml:space="preserve">Die Welt </w:t>
      </w:r>
      <w:r>
        <w:rPr>
          <w:color w:val="231F20"/>
          <w:w w:val="105"/>
          <w:sz w:val="16"/>
        </w:rPr>
        <w:t xml:space="preserve">July </w:t>
      </w:r>
      <w:r>
        <w:rPr>
          <w:color w:val="231F20"/>
          <w:spacing w:val="-3"/>
          <w:w w:val="105"/>
          <w:sz w:val="16"/>
        </w:rPr>
        <w:t>31,</w:t>
      </w:r>
      <w:r>
        <w:rPr>
          <w:color w:val="231F20"/>
          <w:spacing w:val="6"/>
          <w:w w:val="105"/>
          <w:sz w:val="16"/>
        </w:rPr>
        <w:t xml:space="preserve"> </w:t>
      </w:r>
      <w:r>
        <w:rPr>
          <w:color w:val="231F20"/>
          <w:spacing w:val="-3"/>
          <w:w w:val="105"/>
          <w:sz w:val="16"/>
        </w:rPr>
        <w:t>1998.</w:t>
      </w:r>
    </w:p>
    <w:bookmarkEnd w:id="222"/>
    <w:p w14:paraId="57036E64" w14:textId="77777777" w:rsidR="002653E8" w:rsidRDefault="003115E3">
      <w:pPr>
        <w:pStyle w:val="a3"/>
        <w:spacing w:before="86" w:line="264" w:lineRule="auto"/>
        <w:ind w:left="1147" w:right="1326" w:firstLine="210"/>
        <w:jc w:val="both"/>
      </w:pPr>
      <w:r>
        <w:rPr>
          <w:color w:val="231F20"/>
        </w:rPr>
        <w:lastRenderedPageBreak/>
        <w:t xml:space="preserve">Pohle’s capture made headlines around the world, not because he was a particularly high profile target (he had even denied being a member of the </w:t>
      </w:r>
      <w:r w:rsidR="00C507A5">
        <w:rPr>
          <w:color w:val="231F20"/>
          <w:spacing w:val="1"/>
        </w:rPr>
        <w:t>red army faction</w:t>
      </w:r>
      <w:r>
        <w:rPr>
          <w:color w:val="231F20"/>
          <w:spacing w:val="1"/>
        </w:rPr>
        <w:t xml:space="preserve">), </w:t>
      </w:r>
      <w:r>
        <w:rPr>
          <w:color w:val="231F20"/>
        </w:rPr>
        <w:t xml:space="preserve">but because on August 20, an Athens court turned down Bonn’s request for extradition on the grounds that the crimes      in question had been politically motivated. Helmut Schmidt was not amused, and under intense diplomatic pressure, including threats that </w:t>
      </w:r>
      <w:r>
        <w:rPr>
          <w:color w:val="231F20"/>
          <w:spacing w:val="-3"/>
        </w:rPr>
        <w:t xml:space="preserve">West </w:t>
      </w:r>
      <w:r>
        <w:rPr>
          <w:color w:val="231F20"/>
        </w:rPr>
        <w:t>Germany would block its entry into the European Economic Community, the Greek government quickly, and successfully, appealed this</w:t>
      </w:r>
      <w:r>
        <w:rPr>
          <w:color w:val="231F20"/>
          <w:spacing w:val="10"/>
        </w:rPr>
        <w:t xml:space="preserve"> </w:t>
      </w:r>
      <w:r>
        <w:rPr>
          <w:color w:val="231F20"/>
        </w:rPr>
        <w:t>ruling.</w:t>
      </w:r>
    </w:p>
    <w:p w14:paraId="39AED370" w14:textId="77777777" w:rsidR="002653E8" w:rsidRDefault="003115E3">
      <w:pPr>
        <w:pStyle w:val="a3"/>
        <w:spacing w:line="264" w:lineRule="auto"/>
        <w:ind w:left="1147" w:right="1325" w:firstLine="210"/>
        <w:jc w:val="both"/>
        <w:rPr>
          <w:sz w:val="11"/>
        </w:rPr>
      </w:pPr>
      <w:r>
        <w:rPr>
          <w:color w:val="231F20"/>
        </w:rPr>
        <w:t xml:space="preserve">Pohle was extradited to the Federal Republic on October </w:t>
      </w:r>
      <w:r>
        <w:rPr>
          <w:color w:val="231F20"/>
          <w:spacing w:val="-3"/>
        </w:rPr>
        <w:t xml:space="preserve">1:  </w:t>
      </w:r>
      <w:r>
        <w:rPr>
          <w:color w:val="231F20"/>
        </w:rPr>
        <w:t xml:space="preserve">on top    of his original conviction dating from </w:t>
      </w:r>
      <w:r>
        <w:rPr>
          <w:color w:val="231F20"/>
          <w:spacing w:val="-5"/>
        </w:rPr>
        <w:t xml:space="preserve">1973, </w:t>
      </w:r>
      <w:r>
        <w:rPr>
          <w:color w:val="231F20"/>
        </w:rPr>
        <w:t>he was also sentenced to three years and three months for extortion, as police claimed that during the Lorenz exchange he had threatened that the captive would be killed if the authorities did not hand over all the money that had been demanded.</w:t>
      </w:r>
      <w:r>
        <w:rPr>
          <w:color w:val="231F20"/>
          <w:position w:val="7"/>
          <w:sz w:val="11"/>
        </w:rPr>
        <w:t>1</w:t>
      </w:r>
    </w:p>
    <w:p w14:paraId="02F232C1" w14:textId="77777777" w:rsidR="002653E8" w:rsidRDefault="003115E3">
      <w:pPr>
        <w:pStyle w:val="a3"/>
        <w:spacing w:line="264" w:lineRule="auto"/>
        <w:ind w:left="1147" w:right="1325" w:firstLine="210"/>
        <w:jc w:val="both"/>
      </w:pPr>
      <w:r>
        <w:rPr>
          <w:color w:val="231F20"/>
        </w:rPr>
        <w:t>The kerfuffle around the initial Greek refusal to extradite Pohle provided a convenient backdrop to a meeting of eighteen European heads of state in Strasbourg, France, in late September. The summit was called specifically to pass a draft treaty that would close any “loopholes” that might allow guerillas to seek refuge in any of the countries concerned.</w:t>
      </w:r>
      <w:r>
        <w:rPr>
          <w:color w:val="231F20"/>
          <w:position w:val="7"/>
          <w:sz w:val="11"/>
        </w:rPr>
        <w:t xml:space="preserve">2 </w:t>
      </w:r>
      <w:r>
        <w:rPr>
          <w:color w:val="231F20"/>
        </w:rPr>
        <w:t>This laid the basis for what would become the European Convention on the Suppression of Terrorism in</w:t>
      </w:r>
      <w:r>
        <w:rPr>
          <w:color w:val="231F20"/>
          <w:spacing w:val="8"/>
        </w:rPr>
        <w:t xml:space="preserve"> </w:t>
      </w:r>
      <w:r>
        <w:rPr>
          <w:color w:val="231F20"/>
          <w:spacing w:val="-6"/>
        </w:rPr>
        <w:t>1977.</w:t>
      </w:r>
    </w:p>
    <w:p w14:paraId="2091B908" w14:textId="77777777" w:rsidR="002653E8" w:rsidRDefault="003115E3">
      <w:pPr>
        <w:pStyle w:val="a3"/>
        <w:spacing w:line="264" w:lineRule="auto"/>
        <w:ind w:left="1147" w:right="1326" w:firstLine="210"/>
        <w:jc w:val="both"/>
      </w:pPr>
      <w:r>
        <w:rPr>
          <w:color w:val="231F20"/>
        </w:rPr>
        <w:t xml:space="preserve">Pohle’s extradition and the new antiterrorist convention underscored the increasing amount of time </w:t>
      </w:r>
      <w:r>
        <w:rPr>
          <w:color w:val="231F20"/>
          <w:spacing w:val="-3"/>
        </w:rPr>
        <w:t xml:space="preserve">West </w:t>
      </w:r>
      <w:r>
        <w:rPr>
          <w:color w:val="231F20"/>
        </w:rPr>
        <w:t xml:space="preserve">German guerillas were spending in neighboring countries. Unlike South </w:t>
      </w:r>
      <w:r>
        <w:rPr>
          <w:color w:val="231F20"/>
          <w:spacing w:val="-3"/>
        </w:rPr>
        <w:t xml:space="preserve">yemen </w:t>
      </w:r>
      <w:r>
        <w:rPr>
          <w:color w:val="231F20"/>
        </w:rPr>
        <w:t>or the Palestinian camps in Lebanon, these were not safe havens, but still they afforded a measure of</w:t>
      </w:r>
      <w:r>
        <w:rPr>
          <w:color w:val="231F20"/>
          <w:spacing w:val="11"/>
        </w:rPr>
        <w:t xml:space="preserve"> </w:t>
      </w:r>
      <w:r>
        <w:rPr>
          <w:color w:val="231F20"/>
        </w:rPr>
        <w:t>anonymity</w:t>
      </w:r>
      <w:r>
        <w:rPr>
          <w:color w:val="231F20"/>
          <w:spacing w:val="11"/>
        </w:rPr>
        <w:t xml:space="preserve"> </w:t>
      </w:r>
      <w:r>
        <w:rPr>
          <w:color w:val="231F20"/>
        </w:rPr>
        <w:t>and</w:t>
      </w:r>
      <w:r>
        <w:rPr>
          <w:color w:val="231F20"/>
          <w:spacing w:val="11"/>
        </w:rPr>
        <w:t xml:space="preserve"> </w:t>
      </w:r>
      <w:r>
        <w:rPr>
          <w:color w:val="231F20"/>
        </w:rPr>
        <w:t>breathing</w:t>
      </w:r>
      <w:r>
        <w:rPr>
          <w:color w:val="231F20"/>
          <w:spacing w:val="11"/>
        </w:rPr>
        <w:t xml:space="preserve"> </w:t>
      </w:r>
      <w:r>
        <w:rPr>
          <w:color w:val="231F20"/>
        </w:rPr>
        <w:t>room</w:t>
      </w:r>
      <w:r>
        <w:rPr>
          <w:color w:val="231F20"/>
          <w:spacing w:val="11"/>
        </w:rPr>
        <w:t xml:space="preserve"> </w:t>
      </w:r>
      <w:r>
        <w:rPr>
          <w:color w:val="231F20"/>
        </w:rPr>
        <w:t>to</w:t>
      </w:r>
      <w:r>
        <w:rPr>
          <w:color w:val="231F20"/>
          <w:spacing w:val="11"/>
        </w:rPr>
        <w:t xml:space="preserve"> </w:t>
      </w:r>
      <w:r>
        <w:rPr>
          <w:color w:val="231F20"/>
        </w:rPr>
        <w:t>those</w:t>
      </w:r>
      <w:r>
        <w:rPr>
          <w:color w:val="231F20"/>
          <w:spacing w:val="11"/>
        </w:rPr>
        <w:t xml:space="preserve"> </w:t>
      </w:r>
      <w:r>
        <w:rPr>
          <w:color w:val="231F20"/>
        </w:rPr>
        <w:t>in</w:t>
      </w:r>
      <w:r>
        <w:rPr>
          <w:color w:val="231F20"/>
          <w:spacing w:val="11"/>
        </w:rPr>
        <w:t xml:space="preserve"> </w:t>
      </w:r>
      <w:r>
        <w:rPr>
          <w:color w:val="231F20"/>
        </w:rPr>
        <w:t>the</w:t>
      </w:r>
      <w:r>
        <w:rPr>
          <w:color w:val="231F20"/>
          <w:spacing w:val="11"/>
        </w:rPr>
        <w:t xml:space="preserve"> </w:t>
      </w:r>
      <w:r>
        <w:rPr>
          <w:color w:val="231F20"/>
        </w:rPr>
        <w:t>underground.</w:t>
      </w:r>
    </w:p>
    <w:p w14:paraId="1174341D" w14:textId="77777777" w:rsidR="002653E8" w:rsidRDefault="003115E3">
      <w:pPr>
        <w:pStyle w:val="a3"/>
        <w:spacing w:line="264" w:lineRule="auto"/>
        <w:ind w:left="1147" w:right="1326" w:firstLine="210"/>
        <w:jc w:val="both"/>
      </w:pPr>
      <w:r>
        <w:rPr>
          <w:color w:val="231F20"/>
        </w:rPr>
        <w:t xml:space="preserve">Almost two months after Pohle was returned to the FRG, Siegfried Haag was arrested along with Karlsruhe activist Roland Mayer, driving on the autobahn between Frankfurt and Kassel. The former lawyer had received guerilla training in South </w:t>
      </w:r>
      <w:r>
        <w:rPr>
          <w:color w:val="231F20"/>
          <w:spacing w:val="-3"/>
        </w:rPr>
        <w:t xml:space="preserve">yemen  </w:t>
      </w:r>
      <w:r>
        <w:rPr>
          <w:color w:val="231F20"/>
        </w:rPr>
        <w:t xml:space="preserve">earlier that year, and since  his return had been busy recruiting new members for future actions. </w:t>
      </w:r>
      <w:r>
        <w:rPr>
          <w:color w:val="231F20"/>
          <w:spacing w:val="1"/>
        </w:rPr>
        <w:t xml:space="preserve">In </w:t>
      </w:r>
      <w:r>
        <w:rPr>
          <w:color w:val="231F20"/>
        </w:rPr>
        <w:t>hindsight</w:t>
      </w:r>
      <w:r>
        <w:rPr>
          <w:color w:val="231F20"/>
          <w:spacing w:val="16"/>
        </w:rPr>
        <w:t xml:space="preserve"> </w:t>
      </w:r>
      <w:r>
        <w:rPr>
          <w:color w:val="231F20"/>
        </w:rPr>
        <w:t>it</w:t>
      </w:r>
      <w:r>
        <w:rPr>
          <w:color w:val="231F20"/>
          <w:spacing w:val="16"/>
        </w:rPr>
        <w:t xml:space="preserve"> </w:t>
      </w:r>
      <w:r>
        <w:rPr>
          <w:color w:val="231F20"/>
        </w:rPr>
        <w:t>seems</w:t>
      </w:r>
      <w:r>
        <w:rPr>
          <w:color w:val="231F20"/>
          <w:spacing w:val="16"/>
        </w:rPr>
        <w:t xml:space="preserve"> </w:t>
      </w:r>
      <w:r>
        <w:rPr>
          <w:color w:val="231F20"/>
        </w:rPr>
        <w:t>that</w:t>
      </w:r>
      <w:r>
        <w:rPr>
          <w:color w:val="231F20"/>
          <w:spacing w:val="16"/>
        </w:rPr>
        <w:t xml:space="preserve"> </w:t>
      </w:r>
      <w:r>
        <w:rPr>
          <w:color w:val="231F20"/>
        </w:rPr>
        <w:t>papers</w:t>
      </w:r>
      <w:r>
        <w:rPr>
          <w:color w:val="231F20"/>
          <w:spacing w:val="16"/>
        </w:rPr>
        <w:t xml:space="preserve"> </w:t>
      </w:r>
      <w:r>
        <w:rPr>
          <w:color w:val="231F20"/>
        </w:rPr>
        <w:t>he</w:t>
      </w:r>
      <w:r>
        <w:rPr>
          <w:color w:val="231F20"/>
          <w:spacing w:val="16"/>
        </w:rPr>
        <w:t xml:space="preserve"> </w:t>
      </w:r>
      <w:r>
        <w:rPr>
          <w:color w:val="231F20"/>
        </w:rPr>
        <w:t>was</w:t>
      </w:r>
      <w:r>
        <w:rPr>
          <w:color w:val="231F20"/>
          <w:spacing w:val="16"/>
        </w:rPr>
        <w:t xml:space="preserve"> </w:t>
      </w:r>
      <w:r>
        <w:rPr>
          <w:color w:val="231F20"/>
        </w:rPr>
        <w:t>carrying</w:t>
      </w:r>
      <w:r>
        <w:rPr>
          <w:color w:val="231F20"/>
          <w:spacing w:val="16"/>
        </w:rPr>
        <w:t xml:space="preserve"> </w:t>
      </w:r>
      <w:r>
        <w:rPr>
          <w:color w:val="231F20"/>
        </w:rPr>
        <w:t>when</w:t>
      </w:r>
      <w:r>
        <w:rPr>
          <w:color w:val="231F20"/>
          <w:spacing w:val="16"/>
        </w:rPr>
        <w:t xml:space="preserve"> </w:t>
      </w:r>
      <w:r>
        <w:rPr>
          <w:color w:val="231F20"/>
        </w:rPr>
        <w:t>arrested</w:t>
      </w:r>
      <w:r>
        <w:rPr>
          <w:color w:val="231F20"/>
          <w:spacing w:val="16"/>
        </w:rPr>
        <w:t xml:space="preserve"> </w:t>
      </w:r>
      <w:r>
        <w:rPr>
          <w:color w:val="231F20"/>
        </w:rPr>
        <w:t>were</w:t>
      </w:r>
      <w:r>
        <w:rPr>
          <w:color w:val="231F20"/>
          <w:spacing w:val="16"/>
        </w:rPr>
        <w:t xml:space="preserve"> </w:t>
      </w:r>
      <w:r>
        <w:rPr>
          <w:color w:val="231F20"/>
        </w:rPr>
        <w:t>in</w:t>
      </w:r>
    </w:p>
    <w:p w14:paraId="31FFFC9A" w14:textId="77777777" w:rsidR="002653E8" w:rsidRDefault="00000000">
      <w:pPr>
        <w:pStyle w:val="a3"/>
        <w:spacing w:before="8"/>
        <w:rPr>
          <w:sz w:val="16"/>
        </w:rPr>
      </w:pPr>
      <w:r>
        <w:rPr>
          <w:noProof w:val="0"/>
        </w:rPr>
        <w:pict w14:anchorId="13C8AD59">
          <v:line id="_x0000_s2221" style="position:absolute;z-index:9664;mso-wrap-distance-left:0;mso-wrap-distance-right:0;mso-position-horizontal-relative:page" from="57.4pt,12pt" to="129.4pt,12pt" strokecolor="#231f20" strokeweight=".5pt">
            <w10:wrap type="topAndBottom" anchorx="page"/>
          </v:line>
        </w:pict>
      </w:r>
    </w:p>
    <w:p w14:paraId="448A5F09" w14:textId="77777777" w:rsidR="002653E8" w:rsidRDefault="003115E3">
      <w:pPr>
        <w:pStyle w:val="a4"/>
        <w:numPr>
          <w:ilvl w:val="0"/>
          <w:numId w:val="67"/>
        </w:numPr>
        <w:tabs>
          <w:tab w:val="left" w:pos="1287"/>
        </w:tabs>
        <w:spacing w:before="53" w:line="254" w:lineRule="auto"/>
        <w:ind w:right="1423" w:firstLine="0"/>
        <w:jc w:val="left"/>
        <w:rPr>
          <w:sz w:val="16"/>
        </w:rPr>
      </w:pPr>
      <w:r>
        <w:rPr>
          <w:color w:val="231F20"/>
          <w:w w:val="110"/>
          <w:sz w:val="16"/>
        </w:rPr>
        <w:t>Associated</w:t>
      </w:r>
      <w:r>
        <w:rPr>
          <w:color w:val="231F20"/>
          <w:spacing w:val="-8"/>
          <w:w w:val="110"/>
          <w:sz w:val="16"/>
        </w:rPr>
        <w:t xml:space="preserve"> </w:t>
      </w:r>
      <w:r>
        <w:rPr>
          <w:color w:val="231F20"/>
          <w:w w:val="110"/>
          <w:sz w:val="16"/>
        </w:rPr>
        <w:t>Press,</w:t>
      </w:r>
      <w:r>
        <w:rPr>
          <w:color w:val="231F20"/>
          <w:spacing w:val="-8"/>
          <w:w w:val="110"/>
          <w:sz w:val="16"/>
        </w:rPr>
        <w:t xml:space="preserve"> </w:t>
      </w:r>
      <w:r>
        <w:rPr>
          <w:color w:val="231F20"/>
          <w:w w:val="110"/>
          <w:sz w:val="16"/>
        </w:rPr>
        <w:t>“Terrorist</w:t>
      </w:r>
      <w:r>
        <w:rPr>
          <w:color w:val="231F20"/>
          <w:spacing w:val="-8"/>
          <w:w w:val="110"/>
          <w:sz w:val="16"/>
        </w:rPr>
        <w:t xml:space="preserve"> </w:t>
      </w:r>
      <w:r>
        <w:rPr>
          <w:color w:val="231F20"/>
          <w:w w:val="110"/>
          <w:sz w:val="16"/>
        </w:rPr>
        <w:t>kidnapper</w:t>
      </w:r>
      <w:r>
        <w:rPr>
          <w:color w:val="231F20"/>
          <w:spacing w:val="-8"/>
          <w:w w:val="110"/>
          <w:sz w:val="16"/>
        </w:rPr>
        <w:t xml:space="preserve"> </w:t>
      </w:r>
      <w:r>
        <w:rPr>
          <w:color w:val="231F20"/>
          <w:w w:val="110"/>
          <w:sz w:val="16"/>
        </w:rPr>
        <w:t>jailed</w:t>
      </w:r>
      <w:r>
        <w:rPr>
          <w:color w:val="231F20"/>
          <w:spacing w:val="-8"/>
          <w:w w:val="110"/>
          <w:sz w:val="16"/>
        </w:rPr>
        <w:t xml:space="preserve"> </w:t>
      </w:r>
      <w:r>
        <w:rPr>
          <w:color w:val="231F20"/>
          <w:w w:val="110"/>
          <w:sz w:val="16"/>
        </w:rPr>
        <w:t>for</w:t>
      </w:r>
      <w:r>
        <w:rPr>
          <w:color w:val="231F20"/>
          <w:spacing w:val="-8"/>
          <w:w w:val="110"/>
          <w:sz w:val="16"/>
        </w:rPr>
        <w:t xml:space="preserve"> </w:t>
      </w:r>
      <w:r>
        <w:rPr>
          <w:color w:val="231F20"/>
          <w:w w:val="110"/>
          <w:sz w:val="16"/>
        </w:rPr>
        <w:t>extortion,”</w:t>
      </w:r>
      <w:r>
        <w:rPr>
          <w:color w:val="231F20"/>
          <w:spacing w:val="-7"/>
          <w:w w:val="110"/>
          <w:sz w:val="16"/>
        </w:rPr>
        <w:t xml:space="preserve"> </w:t>
      </w:r>
      <w:r>
        <w:rPr>
          <w:i/>
          <w:color w:val="231F20"/>
          <w:w w:val="110"/>
          <w:sz w:val="16"/>
        </w:rPr>
        <w:t>European</w:t>
      </w:r>
      <w:r>
        <w:rPr>
          <w:i/>
          <w:color w:val="231F20"/>
          <w:spacing w:val="-8"/>
          <w:w w:val="110"/>
          <w:sz w:val="16"/>
        </w:rPr>
        <w:t xml:space="preserve"> </w:t>
      </w:r>
      <w:r>
        <w:rPr>
          <w:i/>
          <w:color w:val="231F20"/>
          <w:w w:val="110"/>
          <w:sz w:val="16"/>
        </w:rPr>
        <w:t>Stars</w:t>
      </w:r>
      <w:r>
        <w:rPr>
          <w:i/>
          <w:color w:val="231F20"/>
          <w:spacing w:val="-8"/>
          <w:w w:val="110"/>
          <w:sz w:val="16"/>
        </w:rPr>
        <w:t xml:space="preserve"> </w:t>
      </w:r>
      <w:r>
        <w:rPr>
          <w:i/>
          <w:color w:val="231F20"/>
          <w:spacing w:val="1"/>
          <w:w w:val="110"/>
          <w:sz w:val="16"/>
        </w:rPr>
        <w:t xml:space="preserve">and </w:t>
      </w:r>
      <w:r>
        <w:rPr>
          <w:i/>
          <w:color w:val="231F20"/>
          <w:w w:val="110"/>
          <w:sz w:val="16"/>
        </w:rPr>
        <w:t xml:space="preserve">Stripes, </w:t>
      </w:r>
      <w:r>
        <w:rPr>
          <w:color w:val="231F20"/>
          <w:w w:val="110"/>
          <w:sz w:val="16"/>
        </w:rPr>
        <w:t xml:space="preserve">March 12, 1978. Pohle was finally released in </w:t>
      </w:r>
      <w:r>
        <w:rPr>
          <w:color w:val="231F20"/>
          <w:spacing w:val="-3"/>
          <w:w w:val="110"/>
          <w:sz w:val="16"/>
        </w:rPr>
        <w:t xml:space="preserve">1982, </w:t>
      </w:r>
      <w:r>
        <w:rPr>
          <w:color w:val="231F20"/>
          <w:w w:val="110"/>
          <w:sz w:val="16"/>
        </w:rPr>
        <w:t>at which point he did not rejoin the guerilla, but returned to Greece. He eventually found a job at the Athens</w:t>
      </w:r>
      <w:r>
        <w:rPr>
          <w:color w:val="231F20"/>
          <w:spacing w:val="-10"/>
          <w:w w:val="110"/>
          <w:sz w:val="16"/>
        </w:rPr>
        <w:t xml:space="preserve"> </w:t>
      </w:r>
      <w:r>
        <w:rPr>
          <w:color w:val="231F20"/>
          <w:w w:val="110"/>
          <w:sz w:val="16"/>
        </w:rPr>
        <w:t>daily</w:t>
      </w:r>
      <w:r>
        <w:rPr>
          <w:color w:val="231F20"/>
          <w:spacing w:val="-10"/>
          <w:w w:val="110"/>
          <w:sz w:val="16"/>
        </w:rPr>
        <w:t xml:space="preserve"> </w:t>
      </w:r>
      <w:r>
        <w:rPr>
          <w:i/>
          <w:color w:val="231F20"/>
          <w:spacing w:val="1"/>
          <w:w w:val="110"/>
          <w:sz w:val="16"/>
        </w:rPr>
        <w:t>Eleftherotypia,</w:t>
      </w:r>
      <w:r>
        <w:rPr>
          <w:i/>
          <w:color w:val="231F20"/>
          <w:spacing w:val="-9"/>
          <w:w w:val="110"/>
          <w:sz w:val="16"/>
        </w:rPr>
        <w:t xml:space="preserve"> </w:t>
      </w:r>
      <w:r>
        <w:rPr>
          <w:color w:val="231F20"/>
          <w:w w:val="110"/>
          <w:sz w:val="16"/>
        </w:rPr>
        <w:t>where</w:t>
      </w:r>
      <w:r>
        <w:rPr>
          <w:color w:val="231F20"/>
          <w:spacing w:val="-10"/>
          <w:w w:val="110"/>
          <w:sz w:val="16"/>
        </w:rPr>
        <w:t xml:space="preserve"> </w:t>
      </w:r>
      <w:r>
        <w:rPr>
          <w:color w:val="231F20"/>
          <w:w w:val="110"/>
          <w:sz w:val="16"/>
        </w:rPr>
        <w:t>he</w:t>
      </w:r>
      <w:r>
        <w:rPr>
          <w:color w:val="231F20"/>
          <w:spacing w:val="-10"/>
          <w:w w:val="110"/>
          <w:sz w:val="16"/>
        </w:rPr>
        <w:t xml:space="preserve"> </w:t>
      </w:r>
      <w:r>
        <w:rPr>
          <w:color w:val="231F20"/>
          <w:w w:val="110"/>
          <w:sz w:val="16"/>
        </w:rPr>
        <w:t>worked</w:t>
      </w:r>
      <w:r>
        <w:rPr>
          <w:color w:val="231F20"/>
          <w:spacing w:val="-10"/>
          <w:w w:val="110"/>
          <w:sz w:val="16"/>
        </w:rPr>
        <w:t xml:space="preserve"> </w:t>
      </w:r>
      <w:r>
        <w:rPr>
          <w:color w:val="231F20"/>
          <w:w w:val="110"/>
          <w:sz w:val="16"/>
        </w:rPr>
        <w:t>until</w:t>
      </w:r>
      <w:r>
        <w:rPr>
          <w:color w:val="231F20"/>
          <w:spacing w:val="-10"/>
          <w:w w:val="110"/>
          <w:sz w:val="16"/>
        </w:rPr>
        <w:t xml:space="preserve"> </w:t>
      </w:r>
      <w:r>
        <w:rPr>
          <w:color w:val="231F20"/>
          <w:w w:val="110"/>
          <w:sz w:val="16"/>
        </w:rPr>
        <w:t>his</w:t>
      </w:r>
      <w:r>
        <w:rPr>
          <w:color w:val="231F20"/>
          <w:spacing w:val="-10"/>
          <w:w w:val="110"/>
          <w:sz w:val="16"/>
        </w:rPr>
        <w:t xml:space="preserve"> </w:t>
      </w:r>
      <w:r>
        <w:rPr>
          <w:color w:val="231F20"/>
          <w:w w:val="110"/>
          <w:sz w:val="16"/>
        </w:rPr>
        <w:t>death</w:t>
      </w:r>
      <w:r>
        <w:rPr>
          <w:color w:val="231F20"/>
          <w:spacing w:val="-10"/>
          <w:w w:val="110"/>
          <w:sz w:val="16"/>
        </w:rPr>
        <w:t xml:space="preserve"> </w:t>
      </w:r>
      <w:r>
        <w:rPr>
          <w:color w:val="231F20"/>
          <w:w w:val="110"/>
          <w:sz w:val="16"/>
        </w:rPr>
        <w:t>from</w:t>
      </w:r>
      <w:r>
        <w:rPr>
          <w:color w:val="231F20"/>
          <w:spacing w:val="-10"/>
          <w:w w:val="110"/>
          <w:sz w:val="16"/>
        </w:rPr>
        <w:t xml:space="preserve"> </w:t>
      </w:r>
      <w:r>
        <w:rPr>
          <w:color w:val="231F20"/>
          <w:w w:val="110"/>
          <w:sz w:val="16"/>
        </w:rPr>
        <w:t>cancer</w:t>
      </w:r>
      <w:r>
        <w:rPr>
          <w:color w:val="231F20"/>
          <w:spacing w:val="-10"/>
          <w:w w:val="110"/>
          <w:sz w:val="16"/>
        </w:rPr>
        <w:t xml:space="preserve"> </w:t>
      </w:r>
      <w:r>
        <w:rPr>
          <w:color w:val="231F20"/>
          <w:w w:val="110"/>
          <w:sz w:val="16"/>
        </w:rPr>
        <w:t>in</w:t>
      </w:r>
      <w:r>
        <w:rPr>
          <w:color w:val="231F20"/>
          <w:spacing w:val="-9"/>
          <w:w w:val="110"/>
          <w:sz w:val="16"/>
        </w:rPr>
        <w:t xml:space="preserve"> </w:t>
      </w:r>
      <w:r>
        <w:rPr>
          <w:color w:val="231F20"/>
          <w:w w:val="110"/>
          <w:sz w:val="16"/>
        </w:rPr>
        <w:t xml:space="preserve">2004. </w:t>
      </w:r>
      <w:bookmarkStart w:id="223" w:name="_Hlk130775078"/>
      <w:r>
        <w:rPr>
          <w:color w:val="231F20"/>
          <w:w w:val="110"/>
          <w:sz w:val="16"/>
        </w:rPr>
        <w:t>(Associated</w:t>
      </w:r>
      <w:r>
        <w:rPr>
          <w:color w:val="231F20"/>
          <w:spacing w:val="5"/>
          <w:w w:val="110"/>
          <w:sz w:val="16"/>
        </w:rPr>
        <w:t xml:space="preserve"> </w:t>
      </w:r>
      <w:r>
        <w:rPr>
          <w:color w:val="231F20"/>
          <w:w w:val="110"/>
          <w:sz w:val="16"/>
        </w:rPr>
        <w:t>Press,</w:t>
      </w:r>
      <w:r>
        <w:rPr>
          <w:color w:val="231F20"/>
          <w:spacing w:val="5"/>
          <w:w w:val="110"/>
          <w:sz w:val="16"/>
        </w:rPr>
        <w:t xml:space="preserve"> </w:t>
      </w:r>
      <w:r>
        <w:rPr>
          <w:color w:val="231F20"/>
          <w:w w:val="110"/>
          <w:sz w:val="16"/>
        </w:rPr>
        <w:t>“Deaths:</w:t>
      </w:r>
      <w:r>
        <w:rPr>
          <w:color w:val="231F20"/>
          <w:spacing w:val="5"/>
          <w:w w:val="110"/>
          <w:sz w:val="16"/>
        </w:rPr>
        <w:t xml:space="preserve"> </w:t>
      </w:r>
      <w:r>
        <w:rPr>
          <w:color w:val="231F20"/>
          <w:w w:val="110"/>
          <w:sz w:val="16"/>
        </w:rPr>
        <w:t>Rolf</w:t>
      </w:r>
      <w:r>
        <w:rPr>
          <w:color w:val="231F20"/>
          <w:spacing w:val="5"/>
          <w:w w:val="110"/>
          <w:sz w:val="16"/>
        </w:rPr>
        <w:t xml:space="preserve"> </w:t>
      </w:r>
      <w:r>
        <w:rPr>
          <w:color w:val="231F20"/>
          <w:w w:val="110"/>
          <w:sz w:val="16"/>
        </w:rPr>
        <w:t>Pohle,”</w:t>
      </w:r>
      <w:r>
        <w:rPr>
          <w:color w:val="231F20"/>
          <w:spacing w:val="5"/>
          <w:w w:val="110"/>
          <w:sz w:val="16"/>
        </w:rPr>
        <w:t xml:space="preserve"> </w:t>
      </w:r>
      <w:r>
        <w:rPr>
          <w:i/>
          <w:color w:val="231F20"/>
          <w:w w:val="110"/>
          <w:sz w:val="16"/>
        </w:rPr>
        <w:t>The</w:t>
      </w:r>
      <w:r>
        <w:rPr>
          <w:i/>
          <w:color w:val="231F20"/>
          <w:spacing w:val="5"/>
          <w:w w:val="110"/>
          <w:sz w:val="16"/>
        </w:rPr>
        <w:t xml:space="preserve"> </w:t>
      </w:r>
      <w:r>
        <w:rPr>
          <w:i/>
          <w:color w:val="231F20"/>
          <w:w w:val="110"/>
          <w:sz w:val="16"/>
        </w:rPr>
        <w:t>Daily</w:t>
      </w:r>
      <w:r>
        <w:rPr>
          <w:i/>
          <w:color w:val="231F20"/>
          <w:spacing w:val="5"/>
          <w:w w:val="110"/>
          <w:sz w:val="16"/>
        </w:rPr>
        <w:t xml:space="preserve"> </w:t>
      </w:r>
      <w:r>
        <w:rPr>
          <w:i/>
          <w:color w:val="231F20"/>
          <w:w w:val="110"/>
          <w:sz w:val="16"/>
        </w:rPr>
        <w:t>Globe,</w:t>
      </w:r>
      <w:r>
        <w:rPr>
          <w:i/>
          <w:color w:val="231F20"/>
          <w:spacing w:val="5"/>
          <w:w w:val="110"/>
          <w:sz w:val="16"/>
        </w:rPr>
        <w:t xml:space="preserve"> </w:t>
      </w:r>
      <w:r>
        <w:rPr>
          <w:color w:val="231F20"/>
          <w:w w:val="110"/>
          <w:sz w:val="16"/>
        </w:rPr>
        <w:t>February</w:t>
      </w:r>
      <w:r>
        <w:rPr>
          <w:color w:val="231F20"/>
          <w:spacing w:val="5"/>
          <w:w w:val="110"/>
          <w:sz w:val="16"/>
        </w:rPr>
        <w:t xml:space="preserve"> </w:t>
      </w:r>
      <w:r>
        <w:rPr>
          <w:color w:val="231F20"/>
          <w:w w:val="110"/>
          <w:sz w:val="16"/>
        </w:rPr>
        <w:t>10,</w:t>
      </w:r>
      <w:r>
        <w:rPr>
          <w:color w:val="231F20"/>
          <w:spacing w:val="5"/>
          <w:w w:val="110"/>
          <w:sz w:val="16"/>
        </w:rPr>
        <w:t xml:space="preserve"> </w:t>
      </w:r>
      <w:r>
        <w:rPr>
          <w:color w:val="231F20"/>
          <w:w w:val="110"/>
          <w:sz w:val="16"/>
        </w:rPr>
        <w:t>2004).</w:t>
      </w:r>
      <w:bookmarkEnd w:id="223"/>
    </w:p>
    <w:p w14:paraId="0B6CB3DD" w14:textId="77777777" w:rsidR="002653E8" w:rsidRDefault="003115E3">
      <w:pPr>
        <w:pStyle w:val="a4"/>
        <w:numPr>
          <w:ilvl w:val="0"/>
          <w:numId w:val="67"/>
        </w:numPr>
        <w:tabs>
          <w:tab w:val="left" w:pos="1287"/>
        </w:tabs>
        <w:spacing w:before="42" w:line="254" w:lineRule="auto"/>
        <w:ind w:right="1873" w:firstLine="0"/>
        <w:jc w:val="left"/>
        <w:rPr>
          <w:sz w:val="16"/>
        </w:rPr>
      </w:pPr>
      <w:r>
        <w:rPr>
          <w:color w:val="231F20"/>
          <w:w w:val="110"/>
          <w:sz w:val="16"/>
        </w:rPr>
        <w:t xml:space="preserve">Craig R. Whitney, “Treaty Seen to Block Asylum for Terrorists,” </w:t>
      </w:r>
      <w:r>
        <w:rPr>
          <w:i/>
          <w:color w:val="231F20"/>
          <w:w w:val="110"/>
          <w:sz w:val="16"/>
        </w:rPr>
        <w:t xml:space="preserve">Salt Lake Tribune, </w:t>
      </w:r>
      <w:r>
        <w:rPr>
          <w:color w:val="231F20"/>
          <w:w w:val="110"/>
          <w:sz w:val="16"/>
        </w:rPr>
        <w:t>September 3,</w:t>
      </w:r>
      <w:r>
        <w:rPr>
          <w:color w:val="231F20"/>
          <w:spacing w:val="16"/>
          <w:w w:val="110"/>
          <w:sz w:val="16"/>
        </w:rPr>
        <w:t xml:space="preserve"> </w:t>
      </w:r>
      <w:r>
        <w:rPr>
          <w:color w:val="231F20"/>
          <w:spacing w:val="-3"/>
          <w:w w:val="110"/>
          <w:sz w:val="16"/>
        </w:rPr>
        <w:t>1976.</w:t>
      </w:r>
    </w:p>
    <w:p w14:paraId="643CE5B9" w14:textId="77777777" w:rsidR="002653E8" w:rsidRDefault="002653E8">
      <w:pPr>
        <w:spacing w:line="254" w:lineRule="auto"/>
        <w:rPr>
          <w:sz w:val="16"/>
        </w:rPr>
        <w:sectPr w:rsidR="002653E8">
          <w:footerReference w:type="even" r:id="rId382"/>
          <w:footerReference w:type="default" r:id="rId383"/>
          <w:pgSz w:w="8640" w:h="12960"/>
          <w:pgMar w:top="1060" w:right="0" w:bottom="1040" w:left="0" w:header="0" w:footer="850" w:gutter="0"/>
          <w:pgNumType w:start="454"/>
          <w:cols w:space="720"/>
        </w:sectPr>
      </w:pPr>
    </w:p>
    <w:p w14:paraId="0F45CC24" w14:textId="77777777" w:rsidR="002653E8" w:rsidRDefault="003115E3">
      <w:pPr>
        <w:pStyle w:val="a3"/>
        <w:spacing w:before="86" w:line="264" w:lineRule="auto"/>
        <w:ind w:left="1327" w:right="1146"/>
        <w:jc w:val="both"/>
      </w:pPr>
      <w:r>
        <w:rPr>
          <w:color w:val="231F20"/>
        </w:rPr>
        <w:lastRenderedPageBreak/>
        <w:t>fact coded notes, listing many of the next year’s targets. He was charged with</w:t>
      </w:r>
      <w:r>
        <w:rPr>
          <w:color w:val="231F20"/>
          <w:spacing w:val="-4"/>
        </w:rPr>
        <w:t xml:space="preserve"> </w:t>
      </w:r>
      <w:r>
        <w:rPr>
          <w:color w:val="231F20"/>
        </w:rPr>
        <w:t>a</w:t>
      </w:r>
      <w:r>
        <w:rPr>
          <w:color w:val="231F20"/>
          <w:spacing w:val="-4"/>
        </w:rPr>
        <w:t xml:space="preserve"> </w:t>
      </w:r>
      <w:r>
        <w:rPr>
          <w:color w:val="231F20"/>
        </w:rPr>
        <w:t>variety</w:t>
      </w:r>
      <w:r>
        <w:rPr>
          <w:color w:val="231F20"/>
          <w:spacing w:val="-4"/>
        </w:rPr>
        <w:t xml:space="preserve"> </w:t>
      </w:r>
      <w:r>
        <w:rPr>
          <w:color w:val="231F20"/>
        </w:rPr>
        <w:t>of</w:t>
      </w:r>
      <w:r>
        <w:rPr>
          <w:color w:val="231F20"/>
          <w:spacing w:val="-4"/>
        </w:rPr>
        <w:t xml:space="preserve"> </w:t>
      </w:r>
      <w:r>
        <w:rPr>
          <w:color w:val="231F20"/>
        </w:rPr>
        <w:t>offenses</w:t>
      </w:r>
      <w:r>
        <w:rPr>
          <w:color w:val="231F20"/>
          <w:spacing w:val="-4"/>
        </w:rPr>
        <w:t xml:space="preserve"> </w:t>
      </w:r>
      <w:r>
        <w:rPr>
          <w:color w:val="231F20"/>
        </w:rPr>
        <w:t>related</w:t>
      </w:r>
      <w:r>
        <w:rPr>
          <w:color w:val="231F20"/>
          <w:spacing w:val="-4"/>
        </w:rPr>
        <w:t xml:space="preserve"> </w:t>
      </w:r>
      <w:r>
        <w:rPr>
          <w:color w:val="231F20"/>
        </w:rPr>
        <w:t>to</w:t>
      </w:r>
      <w:r>
        <w:rPr>
          <w:color w:val="231F20"/>
          <w:spacing w:val="-4"/>
        </w:rPr>
        <w:t xml:space="preserve"> </w:t>
      </w:r>
      <w:r>
        <w:rPr>
          <w:color w:val="231F20"/>
        </w:rPr>
        <w:t>the</w:t>
      </w:r>
      <w:r>
        <w:rPr>
          <w:color w:val="231F20"/>
          <w:spacing w:val="-4"/>
        </w:rPr>
        <w:t xml:space="preserve"> </w:t>
      </w:r>
      <w:r>
        <w:rPr>
          <w:color w:val="231F20"/>
        </w:rPr>
        <w:t>Stockholm</w:t>
      </w:r>
      <w:r>
        <w:rPr>
          <w:color w:val="231F20"/>
          <w:spacing w:val="-4"/>
        </w:rPr>
        <w:t xml:space="preserve"> </w:t>
      </w:r>
      <w:r>
        <w:rPr>
          <w:color w:val="231F20"/>
        </w:rPr>
        <w:t>action,</w:t>
      </w:r>
      <w:r>
        <w:rPr>
          <w:color w:val="231F20"/>
          <w:spacing w:val="-4"/>
        </w:rPr>
        <w:t xml:space="preserve"> </w:t>
      </w:r>
      <w:r>
        <w:rPr>
          <w:color w:val="231F20"/>
        </w:rPr>
        <w:t>and</w:t>
      </w:r>
      <w:r>
        <w:rPr>
          <w:color w:val="231F20"/>
          <w:spacing w:val="-4"/>
        </w:rPr>
        <w:t xml:space="preserve"> </w:t>
      </w:r>
      <w:r>
        <w:rPr>
          <w:color w:val="231F20"/>
        </w:rPr>
        <w:t>in</w:t>
      </w:r>
      <w:r>
        <w:rPr>
          <w:color w:val="231F20"/>
          <w:spacing w:val="-4"/>
        </w:rPr>
        <w:t xml:space="preserve"> 1978 </w:t>
      </w:r>
      <w:r>
        <w:rPr>
          <w:color w:val="231F20"/>
        </w:rPr>
        <w:t>he was sentenced to fifteen years in prison. Mayer received twelve</w:t>
      </w:r>
      <w:r>
        <w:rPr>
          <w:color w:val="231F20"/>
          <w:spacing w:val="28"/>
        </w:rPr>
        <w:t xml:space="preserve"> </w:t>
      </w:r>
      <w:r>
        <w:rPr>
          <w:color w:val="231F20"/>
        </w:rPr>
        <w:t>years.</w:t>
      </w:r>
    </w:p>
    <w:p w14:paraId="03B54411" w14:textId="77777777" w:rsidR="002653E8" w:rsidRDefault="003115E3">
      <w:pPr>
        <w:pStyle w:val="a3"/>
        <w:spacing w:line="264" w:lineRule="auto"/>
        <w:ind w:left="1327" w:right="1145" w:firstLine="210"/>
        <w:jc w:val="both"/>
      </w:pPr>
      <w:r>
        <w:rPr>
          <w:color w:val="231F20"/>
        </w:rPr>
        <w:t xml:space="preserve">The next arrest did not occur in the Federal Republic, but in neighboring Austria. On December 14, </w:t>
      </w:r>
      <w:r>
        <w:rPr>
          <w:color w:val="231F20"/>
          <w:spacing w:val="-4"/>
        </w:rPr>
        <w:t xml:space="preserve">1976, </w:t>
      </w:r>
      <w:r>
        <w:rPr>
          <w:color w:val="231F20"/>
        </w:rPr>
        <w:t xml:space="preserve">Waltraud Boock was caught following a bank robbery in Vienna, while two of her comrades managed to get </w:t>
      </w:r>
      <w:r>
        <w:rPr>
          <w:color w:val="231F20"/>
          <w:spacing w:val="-3"/>
        </w:rPr>
        <w:t xml:space="preserve">away </w:t>
      </w:r>
      <w:r>
        <w:rPr>
          <w:color w:val="231F20"/>
        </w:rPr>
        <w:t xml:space="preserve">with 100,000 shillings. </w:t>
      </w:r>
      <w:r>
        <w:rPr>
          <w:color w:val="231F20"/>
          <w:spacing w:val="1"/>
        </w:rPr>
        <w:t xml:space="preserve">In </w:t>
      </w:r>
      <w:r>
        <w:rPr>
          <w:color w:val="231F20"/>
        </w:rPr>
        <w:t>solidarity with Boock, a bomb exploded in a Vienna police building a few days later, another being disarmed just before it went off in the police  headquarters.</w:t>
      </w:r>
      <w:r>
        <w:rPr>
          <w:color w:val="231F20"/>
          <w:position w:val="7"/>
          <w:sz w:val="11"/>
        </w:rPr>
        <w:t xml:space="preserve">3  </w:t>
      </w:r>
      <w:r>
        <w:rPr>
          <w:color w:val="231F20"/>
        </w:rPr>
        <w:t xml:space="preserve">Boock would be sentenced to fifteen years, to be served in Austrian prisons. The unusually heavy prison sentence for a crime in which no one was hurt was probably meant as a message to </w:t>
      </w:r>
      <w:r>
        <w:rPr>
          <w:color w:val="231F20"/>
          <w:spacing w:val="-3"/>
        </w:rPr>
        <w:t xml:space="preserve">West </w:t>
      </w:r>
      <w:r>
        <w:rPr>
          <w:color w:val="231F20"/>
        </w:rPr>
        <w:t xml:space="preserve">German guerillas, especially after the </w:t>
      </w:r>
      <w:r>
        <w:rPr>
          <w:color w:val="231F20"/>
          <w:spacing w:val="-6"/>
        </w:rPr>
        <w:t xml:space="preserve">1975 </w:t>
      </w:r>
      <w:r>
        <w:rPr>
          <w:color w:val="231F20"/>
        </w:rPr>
        <w:t>OPEC raid, letting them know that crimes committed</w:t>
      </w:r>
      <w:r>
        <w:rPr>
          <w:color w:val="231F20"/>
          <w:spacing w:val="10"/>
        </w:rPr>
        <w:t xml:space="preserve"> </w:t>
      </w:r>
      <w:r>
        <w:rPr>
          <w:color w:val="231F20"/>
        </w:rPr>
        <w:t>in</w:t>
      </w:r>
      <w:r>
        <w:rPr>
          <w:color w:val="231F20"/>
          <w:spacing w:val="10"/>
        </w:rPr>
        <w:t xml:space="preserve"> </w:t>
      </w:r>
      <w:r>
        <w:rPr>
          <w:color w:val="231F20"/>
        </w:rPr>
        <w:t>this</w:t>
      </w:r>
      <w:r>
        <w:rPr>
          <w:color w:val="231F20"/>
          <w:spacing w:val="10"/>
        </w:rPr>
        <w:t xml:space="preserve"> </w:t>
      </w:r>
      <w:r>
        <w:rPr>
          <w:color w:val="231F20"/>
        </w:rPr>
        <w:t>country</w:t>
      </w:r>
      <w:r>
        <w:rPr>
          <w:color w:val="231F20"/>
          <w:spacing w:val="10"/>
        </w:rPr>
        <w:t xml:space="preserve"> </w:t>
      </w:r>
      <w:r>
        <w:rPr>
          <w:color w:val="231F20"/>
        </w:rPr>
        <w:t>would</w:t>
      </w:r>
      <w:r>
        <w:rPr>
          <w:color w:val="231F20"/>
          <w:spacing w:val="10"/>
        </w:rPr>
        <w:t xml:space="preserve"> </w:t>
      </w:r>
      <w:r>
        <w:rPr>
          <w:color w:val="231F20"/>
        </w:rPr>
        <w:t>be</w:t>
      </w:r>
      <w:r>
        <w:rPr>
          <w:color w:val="231F20"/>
          <w:spacing w:val="10"/>
        </w:rPr>
        <w:t xml:space="preserve"> </w:t>
      </w:r>
      <w:r>
        <w:rPr>
          <w:color w:val="231F20"/>
        </w:rPr>
        <w:t>dealt</w:t>
      </w:r>
      <w:r>
        <w:rPr>
          <w:color w:val="231F20"/>
          <w:spacing w:val="10"/>
        </w:rPr>
        <w:t xml:space="preserve"> </w:t>
      </w:r>
      <w:r>
        <w:rPr>
          <w:color w:val="231F20"/>
        </w:rPr>
        <w:t>with</w:t>
      </w:r>
      <w:r>
        <w:rPr>
          <w:color w:val="231F20"/>
          <w:spacing w:val="10"/>
        </w:rPr>
        <w:t xml:space="preserve"> </w:t>
      </w:r>
      <w:r>
        <w:rPr>
          <w:color w:val="231F20"/>
        </w:rPr>
        <w:t>harshly.</w:t>
      </w:r>
    </w:p>
    <w:p w14:paraId="5C01027C" w14:textId="77777777" w:rsidR="002653E8" w:rsidRDefault="003115E3">
      <w:pPr>
        <w:pStyle w:val="a3"/>
        <w:spacing w:line="264" w:lineRule="auto"/>
        <w:ind w:left="1327" w:right="1146" w:firstLine="210"/>
        <w:jc w:val="both"/>
      </w:pPr>
      <w:r>
        <w:rPr>
          <w:color w:val="231F20"/>
        </w:rPr>
        <w:t>While these arrests did constitute setbacks, none of them was decisive. As would become clear in due time, the guerilla had managed to regroup, to attract new members, and had plans for the future.</w:t>
      </w:r>
    </w:p>
    <w:p w14:paraId="2DC945BC" w14:textId="77777777" w:rsidR="002653E8" w:rsidRDefault="003115E3">
      <w:pPr>
        <w:pStyle w:val="a3"/>
        <w:spacing w:line="264" w:lineRule="auto"/>
        <w:ind w:left="1327" w:right="1146" w:firstLine="210"/>
        <w:jc w:val="both"/>
      </w:pPr>
      <w:r>
        <w:rPr>
          <w:color w:val="231F20"/>
        </w:rPr>
        <w:t xml:space="preserve">At the same time, the prisoners also had plans. A new hunger strike was in the works, and a new strategy had been discussed, one which represented a further refinement of the </w:t>
      </w:r>
      <w:r w:rsidR="00C507A5">
        <w:rPr>
          <w:color w:val="231F20"/>
        </w:rPr>
        <w:t>red army faction</w:t>
      </w:r>
      <w:r>
        <w:rPr>
          <w:color w:val="231F20"/>
        </w:rPr>
        <w:t>’s demand for association, and which would have serious implications for some of its supporters.</w:t>
      </w:r>
    </w:p>
    <w:p w14:paraId="1D850C59" w14:textId="77777777" w:rsidR="002653E8" w:rsidRDefault="003115E3">
      <w:pPr>
        <w:pStyle w:val="a3"/>
        <w:spacing w:line="264" w:lineRule="auto"/>
        <w:ind w:left="1327" w:right="1145" w:firstLine="210"/>
        <w:jc w:val="both"/>
      </w:pPr>
      <w:r>
        <w:rPr>
          <w:color w:val="231F20"/>
        </w:rPr>
        <w:t xml:space="preserve">The captured guerillas were going to demand prisoner of war status, as outlined by the Geneva Convention. This was based on a strategy Meinhof had developed in the year before she was murdered, with help from attorney Axel Azzola, a professor of Public Law at Darmstadt Technical University. The </w:t>
      </w:r>
      <w:r w:rsidR="00C507A5">
        <w:rPr>
          <w:color w:val="231F20"/>
        </w:rPr>
        <w:t>red army faction</w:t>
      </w:r>
      <w:r>
        <w:rPr>
          <w:color w:val="231F20"/>
        </w:rPr>
        <w:t xml:space="preserve"> was going to argue that because it had carried out its attacks in solidarity with the anticolonial movements, especially in the context of the Vietnam War, its prisoners were themselves POWs.</w:t>
      </w:r>
    </w:p>
    <w:p w14:paraId="14377E03" w14:textId="77777777" w:rsidR="002653E8" w:rsidRDefault="003115E3">
      <w:pPr>
        <w:pStyle w:val="a3"/>
        <w:spacing w:line="264" w:lineRule="auto"/>
        <w:ind w:left="1327" w:right="1146" w:firstLine="210"/>
        <w:jc w:val="both"/>
      </w:pPr>
      <w:r>
        <w:rPr>
          <w:color w:val="231F20"/>
        </w:rPr>
        <w:t xml:space="preserve">When Azzola had filed a motion to this  effect  in  January  </w:t>
      </w:r>
      <w:r>
        <w:rPr>
          <w:color w:val="231F20"/>
          <w:spacing w:val="-4"/>
        </w:rPr>
        <w:t xml:space="preserve">1976,  </w:t>
      </w:r>
      <w:r>
        <w:rPr>
          <w:color w:val="231F20"/>
        </w:rPr>
        <w:t xml:space="preserve">it had publicly signaled an important shift in the </w:t>
      </w:r>
      <w:r w:rsidR="00C507A5">
        <w:rPr>
          <w:color w:val="231F20"/>
          <w:spacing w:val="1"/>
        </w:rPr>
        <w:t>red army faction</w:t>
      </w:r>
      <w:r>
        <w:rPr>
          <w:color w:val="231F20"/>
          <w:spacing w:val="1"/>
        </w:rPr>
        <w:t xml:space="preserve">’s </w:t>
      </w:r>
      <w:r>
        <w:rPr>
          <w:color w:val="231F20"/>
        </w:rPr>
        <w:t>trial strategy, one which</w:t>
      </w:r>
      <w:r>
        <w:rPr>
          <w:color w:val="231F20"/>
          <w:spacing w:val="5"/>
        </w:rPr>
        <w:t xml:space="preserve"> </w:t>
      </w:r>
      <w:r>
        <w:rPr>
          <w:color w:val="231F20"/>
        </w:rPr>
        <w:t>seems</w:t>
      </w:r>
      <w:r>
        <w:rPr>
          <w:color w:val="231F20"/>
          <w:spacing w:val="5"/>
        </w:rPr>
        <w:t xml:space="preserve"> </w:t>
      </w:r>
      <w:r>
        <w:rPr>
          <w:color w:val="231F20"/>
        </w:rPr>
        <w:t>to</w:t>
      </w:r>
      <w:r>
        <w:rPr>
          <w:color w:val="231F20"/>
          <w:spacing w:val="5"/>
        </w:rPr>
        <w:t xml:space="preserve"> </w:t>
      </w:r>
      <w:r>
        <w:rPr>
          <w:color w:val="231F20"/>
        </w:rPr>
        <w:t>have</w:t>
      </w:r>
      <w:r>
        <w:rPr>
          <w:color w:val="231F20"/>
          <w:spacing w:val="5"/>
        </w:rPr>
        <w:t xml:space="preserve"> </w:t>
      </w:r>
      <w:r>
        <w:rPr>
          <w:color w:val="231F20"/>
        </w:rPr>
        <w:t>enjoyed</w:t>
      </w:r>
      <w:r>
        <w:rPr>
          <w:color w:val="231F20"/>
          <w:spacing w:val="5"/>
        </w:rPr>
        <w:t xml:space="preserve"> </w:t>
      </w:r>
      <w:r>
        <w:rPr>
          <w:color w:val="231F20"/>
        </w:rPr>
        <w:t>the</w:t>
      </w:r>
      <w:r>
        <w:rPr>
          <w:color w:val="231F20"/>
          <w:spacing w:val="5"/>
        </w:rPr>
        <w:t xml:space="preserve"> </w:t>
      </w:r>
      <w:r>
        <w:rPr>
          <w:color w:val="231F20"/>
        </w:rPr>
        <w:t>support</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entire</w:t>
      </w:r>
      <w:r>
        <w:rPr>
          <w:color w:val="231F20"/>
          <w:spacing w:val="5"/>
        </w:rPr>
        <w:t xml:space="preserve"> </w:t>
      </w:r>
      <w:r>
        <w:rPr>
          <w:color w:val="231F20"/>
        </w:rPr>
        <w:t>defense</w:t>
      </w:r>
      <w:r>
        <w:rPr>
          <w:color w:val="231F20"/>
          <w:spacing w:val="5"/>
        </w:rPr>
        <w:t xml:space="preserve"> </w:t>
      </w:r>
      <w:r>
        <w:rPr>
          <w:color w:val="231F20"/>
        </w:rPr>
        <w:t>team.</w:t>
      </w:r>
    </w:p>
    <w:p w14:paraId="2FE9FE1A" w14:textId="77777777" w:rsidR="002653E8" w:rsidRDefault="003115E3">
      <w:pPr>
        <w:pStyle w:val="a3"/>
        <w:spacing w:line="264" w:lineRule="auto"/>
        <w:ind w:left="1327" w:right="1147" w:firstLine="210"/>
        <w:jc w:val="both"/>
      </w:pPr>
      <w:r>
        <w:rPr>
          <w:color w:val="231F20"/>
        </w:rPr>
        <w:t>Andreas Baader would later admit that the prisoners had little hope of</w:t>
      </w:r>
      <w:r>
        <w:rPr>
          <w:color w:val="231F20"/>
          <w:spacing w:val="8"/>
        </w:rPr>
        <w:t xml:space="preserve"> </w:t>
      </w:r>
      <w:r>
        <w:rPr>
          <w:color w:val="231F20"/>
        </w:rPr>
        <w:t>seeing</w:t>
      </w:r>
      <w:r>
        <w:rPr>
          <w:color w:val="231F20"/>
          <w:spacing w:val="8"/>
        </w:rPr>
        <w:t xml:space="preserve"> </w:t>
      </w:r>
      <w:r>
        <w:rPr>
          <w:color w:val="231F20"/>
        </w:rPr>
        <w:t>the</w:t>
      </w:r>
      <w:r>
        <w:rPr>
          <w:color w:val="231F20"/>
          <w:spacing w:val="8"/>
        </w:rPr>
        <w:t xml:space="preserve"> </w:t>
      </w:r>
      <w:r>
        <w:rPr>
          <w:color w:val="231F20"/>
        </w:rPr>
        <w:t>government</w:t>
      </w:r>
      <w:r>
        <w:rPr>
          <w:color w:val="231F20"/>
          <w:spacing w:val="8"/>
        </w:rPr>
        <w:t xml:space="preserve"> </w:t>
      </w:r>
      <w:r>
        <w:rPr>
          <w:color w:val="231F20"/>
        </w:rPr>
        <w:t>agree</w:t>
      </w:r>
      <w:r>
        <w:rPr>
          <w:color w:val="231F20"/>
          <w:spacing w:val="8"/>
        </w:rPr>
        <w:t xml:space="preserve"> </w:t>
      </w:r>
      <w:r>
        <w:rPr>
          <w:color w:val="231F20"/>
        </w:rPr>
        <w:t>to</w:t>
      </w:r>
      <w:r>
        <w:rPr>
          <w:color w:val="231F20"/>
          <w:spacing w:val="8"/>
        </w:rPr>
        <w:t xml:space="preserve"> </w:t>
      </w:r>
      <w:r>
        <w:rPr>
          <w:color w:val="231F20"/>
        </w:rPr>
        <w:t>their</w:t>
      </w:r>
      <w:r>
        <w:rPr>
          <w:color w:val="231F20"/>
          <w:spacing w:val="8"/>
        </w:rPr>
        <w:t xml:space="preserve"> </w:t>
      </w:r>
      <w:r>
        <w:rPr>
          <w:color w:val="231F20"/>
        </w:rPr>
        <w:t>new</w:t>
      </w:r>
      <w:r>
        <w:rPr>
          <w:color w:val="231F20"/>
          <w:spacing w:val="8"/>
        </w:rPr>
        <w:t xml:space="preserve"> </w:t>
      </w:r>
      <w:r>
        <w:rPr>
          <w:color w:val="231F20"/>
        </w:rPr>
        <w:t>line:</w:t>
      </w:r>
    </w:p>
    <w:p w14:paraId="3EC5EA16" w14:textId="77777777" w:rsidR="002653E8" w:rsidRDefault="003115E3">
      <w:pPr>
        <w:spacing w:before="92" w:line="276" w:lineRule="auto"/>
        <w:ind w:left="1747" w:right="1565"/>
        <w:jc w:val="both"/>
        <w:rPr>
          <w:i/>
          <w:sz w:val="19"/>
        </w:rPr>
      </w:pPr>
      <w:r>
        <w:rPr>
          <w:i/>
          <w:color w:val="231F20"/>
          <w:spacing w:val="-6"/>
          <w:sz w:val="19"/>
        </w:rPr>
        <w:t xml:space="preserve">We </w:t>
      </w:r>
      <w:r>
        <w:rPr>
          <w:i/>
          <w:color w:val="231F20"/>
          <w:sz w:val="19"/>
        </w:rPr>
        <w:t xml:space="preserve">don’t believe that this demand on the part of the prisoners will be achieved. </w:t>
      </w:r>
      <w:r>
        <w:rPr>
          <w:i/>
          <w:color w:val="231F20"/>
          <w:spacing w:val="-4"/>
          <w:sz w:val="19"/>
        </w:rPr>
        <w:t xml:space="preserve">We’ve  </w:t>
      </w:r>
      <w:r>
        <w:rPr>
          <w:i/>
          <w:color w:val="231F20"/>
          <w:sz w:val="19"/>
        </w:rPr>
        <w:t>never said that we did. What will be achieved   is</w:t>
      </w:r>
      <w:r>
        <w:rPr>
          <w:i/>
          <w:color w:val="231F20"/>
          <w:spacing w:val="8"/>
          <w:sz w:val="19"/>
        </w:rPr>
        <w:t xml:space="preserve"> </w:t>
      </w:r>
      <w:r>
        <w:rPr>
          <w:i/>
          <w:color w:val="231F20"/>
          <w:sz w:val="19"/>
        </w:rPr>
        <w:t>that</w:t>
      </w:r>
      <w:r>
        <w:rPr>
          <w:i/>
          <w:color w:val="231F20"/>
          <w:spacing w:val="8"/>
          <w:sz w:val="19"/>
        </w:rPr>
        <w:t xml:space="preserve"> </w:t>
      </w:r>
      <w:r>
        <w:rPr>
          <w:i/>
          <w:color w:val="231F20"/>
          <w:sz w:val="19"/>
        </w:rPr>
        <w:t>the</w:t>
      </w:r>
      <w:r>
        <w:rPr>
          <w:i/>
          <w:color w:val="231F20"/>
          <w:spacing w:val="8"/>
          <w:sz w:val="19"/>
        </w:rPr>
        <w:t xml:space="preserve"> </w:t>
      </w:r>
      <w:r>
        <w:rPr>
          <w:i/>
          <w:color w:val="231F20"/>
          <w:sz w:val="19"/>
        </w:rPr>
        <w:t>demand</w:t>
      </w:r>
      <w:r>
        <w:rPr>
          <w:i/>
          <w:color w:val="231F20"/>
          <w:spacing w:val="8"/>
          <w:sz w:val="19"/>
        </w:rPr>
        <w:t xml:space="preserve"> </w:t>
      </w:r>
      <w:r>
        <w:rPr>
          <w:i/>
          <w:color w:val="231F20"/>
          <w:sz w:val="19"/>
        </w:rPr>
        <w:t>will</w:t>
      </w:r>
      <w:r>
        <w:rPr>
          <w:i/>
          <w:color w:val="231F20"/>
          <w:spacing w:val="8"/>
          <w:sz w:val="19"/>
        </w:rPr>
        <w:t xml:space="preserve"> </w:t>
      </w:r>
      <w:r>
        <w:rPr>
          <w:i/>
          <w:color w:val="231F20"/>
          <w:sz w:val="19"/>
        </w:rPr>
        <w:t>raise</w:t>
      </w:r>
      <w:r>
        <w:rPr>
          <w:i/>
          <w:color w:val="231F20"/>
          <w:spacing w:val="8"/>
          <w:sz w:val="19"/>
        </w:rPr>
        <w:t xml:space="preserve"> </w:t>
      </w:r>
      <w:r>
        <w:rPr>
          <w:i/>
          <w:color w:val="231F20"/>
          <w:sz w:val="19"/>
        </w:rPr>
        <w:t>awareness</w:t>
      </w:r>
      <w:r>
        <w:rPr>
          <w:i/>
          <w:color w:val="231F20"/>
          <w:spacing w:val="8"/>
          <w:sz w:val="19"/>
        </w:rPr>
        <w:t xml:space="preserve"> </w:t>
      </w:r>
      <w:r>
        <w:rPr>
          <w:i/>
          <w:color w:val="231F20"/>
          <w:sz w:val="19"/>
        </w:rPr>
        <w:t>and</w:t>
      </w:r>
      <w:r>
        <w:rPr>
          <w:i/>
          <w:color w:val="231F20"/>
          <w:spacing w:val="8"/>
          <w:sz w:val="19"/>
        </w:rPr>
        <w:t xml:space="preserve"> </w:t>
      </w:r>
      <w:r>
        <w:rPr>
          <w:i/>
          <w:color w:val="231F20"/>
          <w:sz w:val="19"/>
        </w:rPr>
        <w:t>resistance</w:t>
      </w:r>
      <w:r>
        <w:rPr>
          <w:i/>
          <w:color w:val="231F20"/>
          <w:spacing w:val="8"/>
          <w:sz w:val="19"/>
        </w:rPr>
        <w:t xml:space="preserve"> </w:t>
      </w:r>
      <w:r>
        <w:rPr>
          <w:i/>
          <w:color w:val="231F20"/>
          <w:sz w:val="19"/>
        </w:rPr>
        <w:t>against</w:t>
      </w:r>
      <w:r>
        <w:rPr>
          <w:i/>
          <w:color w:val="231F20"/>
          <w:spacing w:val="8"/>
          <w:sz w:val="19"/>
        </w:rPr>
        <w:t xml:space="preserve"> </w:t>
      </w:r>
      <w:r>
        <w:rPr>
          <w:i/>
          <w:color w:val="231F20"/>
          <w:sz w:val="19"/>
        </w:rPr>
        <w:t>the</w:t>
      </w:r>
    </w:p>
    <w:p w14:paraId="49B22223" w14:textId="77777777" w:rsidR="002653E8" w:rsidRDefault="00000000">
      <w:pPr>
        <w:pStyle w:val="a3"/>
        <w:spacing w:before="8"/>
        <w:rPr>
          <w:i/>
          <w:sz w:val="26"/>
        </w:rPr>
      </w:pPr>
      <w:r>
        <w:rPr>
          <w:noProof w:val="0"/>
        </w:rPr>
        <w:pict w14:anchorId="14AEE608">
          <v:line id="_x0000_s2220" style="position:absolute;z-index:9688;mso-wrap-distance-left:0;mso-wrap-distance-right:0;mso-position-horizontal-relative:page" from="66.4pt,17.85pt" to="138.4pt,17.85pt" strokecolor="#231f20" strokeweight=".5pt">
            <w10:wrap type="topAndBottom" anchorx="page"/>
          </v:line>
        </w:pict>
      </w:r>
    </w:p>
    <w:p w14:paraId="51D471E1" w14:textId="77777777" w:rsidR="002653E8" w:rsidRDefault="003115E3">
      <w:pPr>
        <w:pStyle w:val="a4"/>
        <w:numPr>
          <w:ilvl w:val="0"/>
          <w:numId w:val="67"/>
        </w:numPr>
        <w:tabs>
          <w:tab w:val="left" w:pos="1467"/>
        </w:tabs>
        <w:spacing w:before="53"/>
        <w:ind w:left="1466"/>
        <w:jc w:val="left"/>
        <w:rPr>
          <w:sz w:val="16"/>
        </w:rPr>
      </w:pPr>
      <w:bookmarkStart w:id="224" w:name="_Hlk130775401"/>
      <w:r>
        <w:rPr>
          <w:i/>
          <w:color w:val="231F20"/>
          <w:spacing w:val="2"/>
          <w:w w:val="110"/>
          <w:sz w:val="16"/>
        </w:rPr>
        <w:t xml:space="preserve">Corpus </w:t>
      </w:r>
      <w:r>
        <w:rPr>
          <w:i/>
          <w:color w:val="231F20"/>
          <w:spacing w:val="1"/>
          <w:w w:val="110"/>
          <w:sz w:val="16"/>
        </w:rPr>
        <w:t xml:space="preserve">Christi </w:t>
      </w:r>
      <w:r>
        <w:rPr>
          <w:i/>
          <w:color w:val="231F20"/>
          <w:w w:val="110"/>
          <w:sz w:val="16"/>
        </w:rPr>
        <w:t xml:space="preserve">Times, </w:t>
      </w:r>
      <w:r>
        <w:rPr>
          <w:color w:val="231F20"/>
          <w:w w:val="110"/>
          <w:sz w:val="16"/>
        </w:rPr>
        <w:t>“Police building hit by bomb,” December</w:t>
      </w:r>
      <w:r>
        <w:rPr>
          <w:color w:val="231F20"/>
          <w:spacing w:val="30"/>
          <w:w w:val="110"/>
          <w:sz w:val="16"/>
        </w:rPr>
        <w:t xml:space="preserve"> </w:t>
      </w:r>
      <w:r>
        <w:rPr>
          <w:color w:val="231F20"/>
          <w:spacing w:val="-5"/>
          <w:w w:val="110"/>
          <w:sz w:val="16"/>
        </w:rPr>
        <w:t xml:space="preserve">17, </w:t>
      </w:r>
      <w:r>
        <w:rPr>
          <w:color w:val="231F20"/>
          <w:spacing w:val="-3"/>
          <w:w w:val="110"/>
          <w:sz w:val="16"/>
        </w:rPr>
        <w:t>1976.</w:t>
      </w:r>
    </w:p>
    <w:bookmarkEnd w:id="224"/>
    <w:p w14:paraId="5E21A46C" w14:textId="77777777" w:rsidR="002653E8" w:rsidRDefault="002653E8">
      <w:pPr>
        <w:rPr>
          <w:sz w:val="16"/>
        </w:rPr>
        <w:sectPr w:rsidR="002653E8">
          <w:pgSz w:w="8640" w:h="12960"/>
          <w:pgMar w:top="1060" w:right="0" w:bottom="1040" w:left="0" w:header="0" w:footer="850" w:gutter="0"/>
          <w:cols w:space="720"/>
        </w:sectPr>
      </w:pPr>
    </w:p>
    <w:p w14:paraId="4BAD9B5A" w14:textId="77777777" w:rsidR="002653E8" w:rsidRDefault="003115E3">
      <w:pPr>
        <w:spacing w:before="75" w:line="276" w:lineRule="auto"/>
        <w:ind w:left="1567" w:right="1746"/>
        <w:jc w:val="both"/>
        <w:rPr>
          <w:i/>
          <w:sz w:val="19"/>
        </w:rPr>
      </w:pPr>
      <w:r>
        <w:rPr>
          <w:i/>
          <w:color w:val="231F20"/>
          <w:sz w:val="19"/>
        </w:rPr>
        <w:lastRenderedPageBreak/>
        <w:t xml:space="preserve">international counterinsurgency line in West Europe, which has now become government policy: the criminalization of the urban guerilla </w:t>
      </w:r>
      <w:r>
        <w:rPr>
          <w:i/>
          <w:color w:val="231F20"/>
          <w:w w:val="110"/>
          <w:sz w:val="19"/>
        </w:rPr>
        <w:t>…</w:t>
      </w:r>
    </w:p>
    <w:p w14:paraId="5E2D968C" w14:textId="77777777" w:rsidR="002653E8" w:rsidRDefault="002653E8">
      <w:pPr>
        <w:pStyle w:val="a3"/>
        <w:spacing w:before="4"/>
        <w:rPr>
          <w:i/>
          <w:sz w:val="21"/>
        </w:rPr>
      </w:pPr>
    </w:p>
    <w:p w14:paraId="15F5644F" w14:textId="77777777" w:rsidR="002653E8" w:rsidRDefault="003115E3">
      <w:pPr>
        <w:pStyle w:val="a3"/>
        <w:spacing w:line="264" w:lineRule="auto"/>
        <w:ind w:left="1147" w:right="1325"/>
        <w:jc w:val="both"/>
        <w:rPr>
          <w:i/>
          <w:sz w:val="11"/>
        </w:rPr>
      </w:pPr>
      <w:r>
        <w:rPr>
          <w:color w:val="231F20"/>
        </w:rPr>
        <w:t xml:space="preserve">Baader was arguing that regardless of its success, the very process of struggling for POW status would provide supporters with an opportunity to promote the </w:t>
      </w:r>
      <w:r w:rsidR="00C507A5">
        <w:rPr>
          <w:color w:val="231F20"/>
        </w:rPr>
        <w:t>red army faction</w:t>
      </w:r>
      <w:r>
        <w:rPr>
          <w:color w:val="231F20"/>
        </w:rPr>
        <w:t xml:space="preserve">’s politics, all the while exposing the inhumane conditions to which the prisoners were subjected. However, it was also clear that the very process of claiming a special status also alienated some supporters, especially (but not only) those from the </w:t>
      </w:r>
      <w:r>
        <w:rPr>
          <w:i/>
          <w:color w:val="231F20"/>
        </w:rPr>
        <w:t xml:space="preserve">sponti </w:t>
      </w:r>
      <w:r>
        <w:rPr>
          <w:color w:val="231F20"/>
        </w:rPr>
        <w:t>scene, which was already splitting over the question of militancy.</w:t>
      </w:r>
      <w:r>
        <w:rPr>
          <w:i/>
          <w:color w:val="231F20"/>
          <w:position w:val="6"/>
          <w:sz w:val="11"/>
        </w:rPr>
        <w:t>1</w:t>
      </w:r>
    </w:p>
    <w:p w14:paraId="0215F050" w14:textId="77777777" w:rsidR="002653E8" w:rsidRDefault="003115E3">
      <w:pPr>
        <w:pStyle w:val="a3"/>
        <w:spacing w:line="264" w:lineRule="auto"/>
        <w:ind w:left="1147" w:right="1326" w:firstLine="210"/>
        <w:jc w:val="both"/>
      </w:pPr>
      <w:r>
        <w:rPr>
          <w:color w:val="231F20"/>
        </w:rPr>
        <w:t xml:space="preserve">These left-wing critics considered the </w:t>
      </w:r>
      <w:r w:rsidR="00C507A5">
        <w:rPr>
          <w:color w:val="231F20"/>
        </w:rPr>
        <w:t>red army faction</w:t>
      </w:r>
      <w:r>
        <w:rPr>
          <w:color w:val="231F20"/>
        </w:rPr>
        <w:t xml:space="preserve">’s new line to be a stretch, muddying the waters of legitimate resistance to the FRG’s “fascist drift” by confusing it with the national liberation struggles in the Third World. Not only that, but by claiming a special status for themselves, it was felt the </w:t>
      </w:r>
      <w:r w:rsidR="00C507A5">
        <w:rPr>
          <w:color w:val="231F20"/>
        </w:rPr>
        <w:t>red army faction</w:t>
      </w:r>
      <w:r>
        <w:rPr>
          <w:color w:val="231F20"/>
        </w:rPr>
        <w:t xml:space="preserve"> was engaging in an arrogant form of vanguardism, elevating itself above other prisoners, including some other political prisoners.</w:t>
      </w:r>
    </w:p>
    <w:p w14:paraId="1EB0D6BA" w14:textId="77777777" w:rsidR="002653E8" w:rsidRDefault="003115E3">
      <w:pPr>
        <w:pStyle w:val="a3"/>
        <w:spacing w:line="264" w:lineRule="auto"/>
        <w:ind w:left="1147" w:right="1325" w:firstLine="210"/>
        <w:jc w:val="both"/>
      </w:pPr>
      <w:r>
        <w:rPr>
          <w:color w:val="231F20"/>
          <w:spacing w:val="1"/>
        </w:rPr>
        <w:t xml:space="preserve">In </w:t>
      </w:r>
      <w:r>
        <w:rPr>
          <w:color w:val="231F20"/>
        </w:rPr>
        <w:t xml:space="preserve">the winter of </w:t>
      </w:r>
      <w:r>
        <w:rPr>
          <w:color w:val="231F20"/>
          <w:spacing w:val="-4"/>
        </w:rPr>
        <w:t xml:space="preserve">1976-77,  </w:t>
      </w:r>
      <w:r>
        <w:rPr>
          <w:color w:val="231F20"/>
        </w:rPr>
        <w:t xml:space="preserve">this criticism would provide the basis for  an unprecedented exchange of letters in the pages of </w:t>
      </w:r>
      <w:r>
        <w:rPr>
          <w:i/>
          <w:color w:val="231F20"/>
        </w:rPr>
        <w:t>Info-BUG</w:t>
      </w:r>
      <w:r>
        <w:rPr>
          <w:color w:val="231F20"/>
        </w:rPr>
        <w:t xml:space="preserve">, the undogmatic left’s magazine in </w:t>
      </w:r>
      <w:r>
        <w:rPr>
          <w:color w:val="231F20"/>
          <w:spacing w:val="-3"/>
        </w:rPr>
        <w:t xml:space="preserve">West  </w:t>
      </w:r>
      <w:r>
        <w:rPr>
          <w:color w:val="231F20"/>
        </w:rPr>
        <w:t xml:space="preserve">Berlin. The Revolutionary Cells sent  in an open letter to the </w:t>
      </w:r>
      <w:r w:rsidR="00C507A5">
        <w:rPr>
          <w:color w:val="231F20"/>
        </w:rPr>
        <w:t>red army faction</w:t>
      </w:r>
      <w:r>
        <w:rPr>
          <w:color w:val="231F20"/>
        </w:rPr>
        <w:t xml:space="preserve">, in which it took them to task not only for their new </w:t>
      </w:r>
      <w:r>
        <w:rPr>
          <w:color w:val="231F20"/>
          <w:spacing w:val="-3"/>
        </w:rPr>
        <w:t xml:space="preserve">POW </w:t>
      </w:r>
      <w:r>
        <w:rPr>
          <w:color w:val="231F20"/>
        </w:rPr>
        <w:t xml:space="preserve">strategy, but also for their growing distance from the radical left. They were voicing a number of concerns and complaints probably shared by many others, activists who were trying to </w:t>
      </w:r>
      <w:r>
        <w:rPr>
          <w:color w:val="231F20"/>
          <w:spacing w:val="-3"/>
        </w:rPr>
        <w:t xml:space="preserve">avoid </w:t>
      </w:r>
      <w:r>
        <w:rPr>
          <w:color w:val="231F20"/>
        </w:rPr>
        <w:t xml:space="preserve">the flight from militancy exemplified by </w:t>
      </w:r>
      <w:r>
        <w:rPr>
          <w:i/>
          <w:color w:val="231F20"/>
          <w:spacing w:val="1"/>
        </w:rPr>
        <w:t>Pflasterstrand</w:t>
      </w:r>
      <w:r>
        <w:rPr>
          <w:color w:val="231F20"/>
          <w:spacing w:val="1"/>
        </w:rPr>
        <w:t xml:space="preserve">, </w:t>
      </w:r>
      <w:r>
        <w:rPr>
          <w:color w:val="231F20"/>
        </w:rPr>
        <w:t>but who also continued</w:t>
      </w:r>
      <w:r>
        <w:rPr>
          <w:color w:val="231F20"/>
          <w:spacing w:val="10"/>
        </w:rPr>
        <w:t xml:space="preserve"> </w:t>
      </w:r>
      <w:r>
        <w:rPr>
          <w:color w:val="231F20"/>
        </w:rPr>
        <w:t>to</w:t>
      </w:r>
      <w:r>
        <w:rPr>
          <w:color w:val="231F20"/>
          <w:spacing w:val="10"/>
        </w:rPr>
        <w:t xml:space="preserve"> </w:t>
      </w:r>
      <w:r>
        <w:rPr>
          <w:color w:val="231F20"/>
        </w:rPr>
        <w:t>disagree</w:t>
      </w:r>
      <w:r>
        <w:rPr>
          <w:color w:val="231F20"/>
          <w:spacing w:val="10"/>
        </w:rPr>
        <w:t xml:space="preserve"> </w:t>
      </w:r>
      <w:r>
        <w:rPr>
          <w:color w:val="231F20"/>
        </w:rPr>
        <w:t>with</w:t>
      </w:r>
      <w:r>
        <w:rPr>
          <w:color w:val="231F20"/>
          <w:spacing w:val="10"/>
        </w:rPr>
        <w:t xml:space="preserve"> </w:t>
      </w:r>
      <w:r>
        <w:rPr>
          <w:color w:val="231F20"/>
        </w:rPr>
        <w:t>key</w:t>
      </w:r>
      <w:r>
        <w:rPr>
          <w:color w:val="231F20"/>
          <w:spacing w:val="10"/>
        </w:rPr>
        <w:t xml:space="preserve"> </w:t>
      </w:r>
      <w:r>
        <w:rPr>
          <w:color w:val="231F20"/>
        </w:rPr>
        <w:t>elements</w:t>
      </w:r>
      <w:r>
        <w:rPr>
          <w:color w:val="231F20"/>
          <w:spacing w:val="10"/>
        </w:rPr>
        <w:t xml:space="preserve"> </w:t>
      </w:r>
      <w:r>
        <w:rPr>
          <w:color w:val="231F20"/>
        </w:rPr>
        <w:t>of</w:t>
      </w:r>
      <w:r>
        <w:rPr>
          <w:color w:val="231F20"/>
          <w:spacing w:val="10"/>
        </w:rPr>
        <w:t xml:space="preserve"> </w:t>
      </w:r>
      <w:r>
        <w:rPr>
          <w:color w:val="231F20"/>
        </w:rPr>
        <w:t>the</w:t>
      </w:r>
      <w:r>
        <w:rPr>
          <w:color w:val="231F20"/>
          <w:spacing w:val="11"/>
        </w:rPr>
        <w:t xml:space="preserve"> </w:t>
      </w:r>
      <w:r w:rsidR="00C507A5">
        <w:rPr>
          <w:color w:val="231F20"/>
          <w:spacing w:val="1"/>
        </w:rPr>
        <w:t>red army faction</w:t>
      </w:r>
      <w:r>
        <w:rPr>
          <w:color w:val="231F20"/>
          <w:spacing w:val="1"/>
        </w:rPr>
        <w:t>’s</w:t>
      </w:r>
      <w:r>
        <w:rPr>
          <w:color w:val="231F20"/>
          <w:spacing w:val="10"/>
        </w:rPr>
        <w:t xml:space="preserve"> </w:t>
      </w:r>
      <w:r>
        <w:rPr>
          <w:color w:val="231F20"/>
        </w:rPr>
        <w:t>politics.</w:t>
      </w:r>
    </w:p>
    <w:p w14:paraId="012A50C1" w14:textId="77777777" w:rsidR="002653E8" w:rsidRDefault="003115E3">
      <w:pPr>
        <w:pStyle w:val="a3"/>
        <w:spacing w:line="264" w:lineRule="auto"/>
        <w:ind w:left="1147" w:right="1326" w:firstLine="209"/>
        <w:jc w:val="both"/>
      </w:pPr>
      <w:r>
        <w:rPr>
          <w:color w:val="231F20"/>
        </w:rPr>
        <w:t xml:space="preserve">It was a dramatic move, and the only time the </w:t>
      </w:r>
      <w:r>
        <w:rPr>
          <w:color w:val="231F20"/>
          <w:spacing w:val="3"/>
        </w:rPr>
        <w:t xml:space="preserve">RZ </w:t>
      </w:r>
      <w:r>
        <w:rPr>
          <w:color w:val="231F20"/>
        </w:rPr>
        <w:t xml:space="preserve">would engage in such public criticism. Perhaps not surprisingly, it provoked an </w:t>
      </w:r>
      <w:r>
        <w:rPr>
          <w:color w:val="231F20"/>
          <w:spacing w:val="1"/>
        </w:rPr>
        <w:t xml:space="preserve">angry  </w:t>
      </w:r>
      <w:r>
        <w:rPr>
          <w:color w:val="231F20"/>
        </w:rPr>
        <w:t xml:space="preserve">and defensive reply from </w:t>
      </w:r>
      <w:r w:rsidR="00C507A5">
        <w:rPr>
          <w:color w:val="231F20"/>
          <w:spacing w:val="5"/>
        </w:rPr>
        <w:t>red army faction</w:t>
      </w:r>
      <w:r>
        <w:rPr>
          <w:color w:val="231F20"/>
          <w:spacing w:val="5"/>
        </w:rPr>
        <w:t xml:space="preserve"> </w:t>
      </w:r>
      <w:r>
        <w:rPr>
          <w:color w:val="231F20"/>
        </w:rPr>
        <w:t xml:space="preserve">prisoner Monika Berberich. </w:t>
      </w:r>
      <w:r>
        <w:rPr>
          <w:color w:val="231F20"/>
          <w:spacing w:val="1"/>
        </w:rPr>
        <w:t xml:space="preserve">In turn, </w:t>
      </w:r>
      <w:r>
        <w:rPr>
          <w:color w:val="231F20"/>
        </w:rPr>
        <w:t xml:space="preserve">this led to a series of letters as readers took positions for or against the </w:t>
      </w:r>
      <w:r w:rsidR="00C507A5">
        <w:rPr>
          <w:color w:val="231F20"/>
          <w:spacing w:val="1"/>
        </w:rPr>
        <w:t>red army faction</w:t>
      </w:r>
      <w:r>
        <w:rPr>
          <w:color w:val="231F20"/>
          <w:spacing w:val="1"/>
        </w:rPr>
        <w:t xml:space="preserve">’s </w:t>
      </w:r>
      <w:r>
        <w:rPr>
          <w:color w:val="231F20"/>
        </w:rPr>
        <w:t>practice to</w:t>
      </w:r>
      <w:r>
        <w:rPr>
          <w:color w:val="231F20"/>
          <w:spacing w:val="32"/>
        </w:rPr>
        <w:t xml:space="preserve"> </w:t>
      </w:r>
      <w:r>
        <w:rPr>
          <w:color w:val="231F20"/>
        </w:rPr>
        <w:t>date.</w:t>
      </w:r>
    </w:p>
    <w:p w14:paraId="4F68A28D" w14:textId="77777777" w:rsidR="002653E8" w:rsidRDefault="003115E3">
      <w:pPr>
        <w:pStyle w:val="a3"/>
        <w:spacing w:line="264" w:lineRule="auto"/>
        <w:ind w:left="1148" w:right="1325" w:firstLine="210"/>
        <w:jc w:val="both"/>
      </w:pPr>
      <w:r>
        <w:rPr>
          <w:color w:val="231F20"/>
        </w:rPr>
        <w:t>Some</w:t>
      </w:r>
      <w:r>
        <w:rPr>
          <w:color w:val="231F20"/>
          <w:spacing w:val="-5"/>
        </w:rPr>
        <w:t xml:space="preserve"> </w:t>
      </w:r>
      <w:r>
        <w:rPr>
          <w:color w:val="231F20"/>
        </w:rPr>
        <w:t>activists</w:t>
      </w:r>
      <w:r>
        <w:rPr>
          <w:color w:val="231F20"/>
          <w:spacing w:val="-5"/>
        </w:rPr>
        <w:t xml:space="preserve"> </w:t>
      </w:r>
      <w:r>
        <w:rPr>
          <w:color w:val="231F20"/>
        </w:rPr>
        <w:t>remember</w:t>
      </w:r>
      <w:r>
        <w:rPr>
          <w:color w:val="231F20"/>
          <w:spacing w:val="-5"/>
        </w:rPr>
        <w:t xml:space="preserve"> </w:t>
      </w:r>
      <w:r>
        <w:rPr>
          <w:color w:val="231F20"/>
        </w:rPr>
        <w:t>this</w:t>
      </w:r>
      <w:r>
        <w:rPr>
          <w:color w:val="231F20"/>
          <w:spacing w:val="-5"/>
        </w:rPr>
        <w:t xml:space="preserve"> </w:t>
      </w:r>
      <w:r>
        <w:rPr>
          <w:color w:val="231F20"/>
        </w:rPr>
        <w:t>debate</w:t>
      </w:r>
      <w:r>
        <w:rPr>
          <w:color w:val="231F20"/>
          <w:spacing w:val="-5"/>
        </w:rPr>
        <w:t xml:space="preserve"> </w:t>
      </w:r>
      <w:r>
        <w:rPr>
          <w:color w:val="231F20"/>
        </w:rPr>
        <w:t>as</w:t>
      </w:r>
      <w:r>
        <w:rPr>
          <w:color w:val="231F20"/>
          <w:spacing w:val="-5"/>
        </w:rPr>
        <w:t xml:space="preserve"> </w:t>
      </w:r>
      <w:r>
        <w:rPr>
          <w:color w:val="231F20"/>
        </w:rPr>
        <w:t>having</w:t>
      </w:r>
      <w:r>
        <w:rPr>
          <w:color w:val="231F20"/>
          <w:spacing w:val="-5"/>
        </w:rPr>
        <w:t xml:space="preserve"> </w:t>
      </w:r>
      <w:r>
        <w:rPr>
          <w:color w:val="231F20"/>
        </w:rPr>
        <w:t>been</w:t>
      </w:r>
      <w:r>
        <w:rPr>
          <w:color w:val="231F20"/>
          <w:spacing w:val="-5"/>
        </w:rPr>
        <w:t xml:space="preserve"> </w:t>
      </w:r>
      <w:r>
        <w:rPr>
          <w:color w:val="231F20"/>
        </w:rPr>
        <w:t>acrimonious,</w:t>
      </w:r>
      <w:r>
        <w:rPr>
          <w:color w:val="231F20"/>
          <w:spacing w:val="-5"/>
        </w:rPr>
        <w:t xml:space="preserve"> </w:t>
      </w:r>
      <w:r>
        <w:rPr>
          <w:color w:val="231F20"/>
        </w:rPr>
        <w:t>and weakening the prisoners’ support scene. While this may be so, events over the next year showed that the prisoners, whether because of or despite their new strategy, remained capable of rallying impressive levels of</w:t>
      </w:r>
      <w:r>
        <w:rPr>
          <w:color w:val="231F20"/>
          <w:spacing w:val="10"/>
        </w:rPr>
        <w:t xml:space="preserve"> </w:t>
      </w:r>
      <w:r>
        <w:rPr>
          <w:color w:val="231F20"/>
        </w:rPr>
        <w:t>support</w:t>
      </w:r>
      <w:r>
        <w:rPr>
          <w:color w:val="231F20"/>
          <w:spacing w:val="10"/>
        </w:rPr>
        <w:t xml:space="preserve"> </w:t>
      </w:r>
      <w:r>
        <w:rPr>
          <w:color w:val="231F20"/>
        </w:rPr>
        <w:t>from</w:t>
      </w:r>
      <w:r>
        <w:rPr>
          <w:color w:val="231F20"/>
          <w:spacing w:val="10"/>
        </w:rPr>
        <w:t xml:space="preserve"> </w:t>
      </w:r>
      <w:r>
        <w:rPr>
          <w:color w:val="231F20"/>
        </w:rPr>
        <w:t>both</w:t>
      </w:r>
      <w:r>
        <w:rPr>
          <w:color w:val="231F20"/>
          <w:spacing w:val="10"/>
        </w:rPr>
        <w:t xml:space="preserve"> </w:t>
      </w:r>
      <w:r>
        <w:rPr>
          <w:color w:val="231F20"/>
        </w:rPr>
        <w:t>the</w:t>
      </w:r>
      <w:r>
        <w:rPr>
          <w:color w:val="231F20"/>
          <w:spacing w:val="10"/>
        </w:rPr>
        <w:t xml:space="preserve"> </w:t>
      </w:r>
      <w:r>
        <w:rPr>
          <w:color w:val="231F20"/>
        </w:rPr>
        <w:t>legal</w:t>
      </w:r>
      <w:r>
        <w:rPr>
          <w:color w:val="231F20"/>
          <w:spacing w:val="10"/>
        </w:rPr>
        <w:t xml:space="preserve"> </w:t>
      </w:r>
      <w:r>
        <w:rPr>
          <w:color w:val="231F20"/>
        </w:rPr>
        <w:t>left</w:t>
      </w:r>
      <w:r>
        <w:rPr>
          <w:color w:val="231F20"/>
          <w:spacing w:val="10"/>
        </w:rPr>
        <w:t xml:space="preserve"> </w:t>
      </w:r>
      <w:r>
        <w:rPr>
          <w:color w:val="231F20"/>
        </w:rPr>
        <w:t>and</w:t>
      </w:r>
      <w:r>
        <w:rPr>
          <w:color w:val="231F20"/>
          <w:spacing w:val="10"/>
        </w:rPr>
        <w:t xml:space="preserve"> </w:t>
      </w:r>
      <w:r>
        <w:rPr>
          <w:color w:val="231F20"/>
        </w:rPr>
        <w:t>the</w:t>
      </w:r>
      <w:r>
        <w:rPr>
          <w:color w:val="231F20"/>
          <w:spacing w:val="10"/>
        </w:rPr>
        <w:t xml:space="preserve"> </w:t>
      </w:r>
      <w:r>
        <w:rPr>
          <w:color w:val="231F20"/>
        </w:rPr>
        <w:t>guerillas</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field.</w:t>
      </w:r>
    </w:p>
    <w:p w14:paraId="7C30DC07" w14:textId="77777777" w:rsidR="002653E8" w:rsidRDefault="002653E8">
      <w:pPr>
        <w:pStyle w:val="a3"/>
      </w:pPr>
    </w:p>
    <w:p w14:paraId="7975F7EB" w14:textId="77777777" w:rsidR="002653E8" w:rsidRDefault="002653E8">
      <w:pPr>
        <w:pStyle w:val="a3"/>
      </w:pPr>
    </w:p>
    <w:p w14:paraId="3DB4EA7B" w14:textId="77777777" w:rsidR="002653E8" w:rsidRDefault="00000000">
      <w:pPr>
        <w:pStyle w:val="a3"/>
        <w:spacing w:before="5"/>
        <w:rPr>
          <w:sz w:val="16"/>
        </w:rPr>
      </w:pPr>
      <w:r>
        <w:rPr>
          <w:noProof w:val="0"/>
        </w:rPr>
        <w:pict w14:anchorId="14BB8B50">
          <v:line id="_x0000_s2219" style="position:absolute;z-index:9712;mso-wrap-distance-left:0;mso-wrap-distance-right:0;mso-position-horizontal-relative:page" from="57.4pt,11.85pt" to="129.4pt,11.85pt" strokecolor="#231f20" strokeweight=".5pt">
            <w10:wrap type="topAndBottom" anchorx="page"/>
          </v:line>
        </w:pict>
      </w:r>
    </w:p>
    <w:p w14:paraId="6094511D" w14:textId="77777777" w:rsidR="002653E8" w:rsidRDefault="003115E3">
      <w:pPr>
        <w:spacing w:before="53"/>
        <w:ind w:left="1147"/>
        <w:rPr>
          <w:sz w:val="16"/>
        </w:rPr>
      </w:pPr>
      <w:r>
        <w:rPr>
          <w:color w:val="231F20"/>
          <w:w w:val="105"/>
          <w:sz w:val="16"/>
        </w:rPr>
        <w:lastRenderedPageBreak/>
        <w:t>1 Andreas Baader on the Geneva Convention, cf 467-8.</w:t>
      </w:r>
    </w:p>
    <w:p w14:paraId="45766477" w14:textId="77777777" w:rsidR="002653E8" w:rsidRDefault="003115E3">
      <w:pPr>
        <w:pStyle w:val="4"/>
        <w:ind w:left="2014"/>
      </w:pPr>
      <w:bookmarkStart w:id="225" w:name="RZ_Letter_to_the_RAF_Comrades_(December_"/>
      <w:bookmarkStart w:id="226" w:name="_bookmark67"/>
      <w:bookmarkEnd w:id="225"/>
      <w:bookmarkEnd w:id="226"/>
      <w:r>
        <w:rPr>
          <w:color w:val="231F20"/>
          <w:w w:val="105"/>
        </w:rPr>
        <w:t xml:space="preserve">RZ Letter to the </w:t>
      </w:r>
      <w:r w:rsidR="00C507A5">
        <w:rPr>
          <w:color w:val="231F20"/>
          <w:w w:val="105"/>
        </w:rPr>
        <w:t>red army faction</w:t>
      </w:r>
      <w:r>
        <w:rPr>
          <w:color w:val="231F20"/>
          <w:w w:val="105"/>
        </w:rPr>
        <w:t xml:space="preserve"> Comrades</w:t>
      </w:r>
    </w:p>
    <w:p w14:paraId="69F8F20F" w14:textId="77777777" w:rsidR="002653E8" w:rsidRDefault="002653E8">
      <w:pPr>
        <w:pStyle w:val="a3"/>
        <w:rPr>
          <w:rFonts w:ascii="Bookman Old Style"/>
          <w:sz w:val="31"/>
        </w:rPr>
      </w:pPr>
    </w:p>
    <w:p w14:paraId="0E6B1892" w14:textId="77777777" w:rsidR="002653E8" w:rsidRDefault="003115E3">
      <w:pPr>
        <w:spacing w:before="1" w:line="261" w:lineRule="auto"/>
        <w:ind w:left="1327" w:right="3356"/>
        <w:rPr>
          <w:i/>
          <w:sz w:val="20"/>
        </w:rPr>
      </w:pPr>
      <w:r>
        <w:rPr>
          <w:i/>
          <w:color w:val="231F20"/>
          <w:w w:val="105"/>
          <w:sz w:val="20"/>
        </w:rPr>
        <w:t xml:space="preserve">This letter is addressed to all </w:t>
      </w:r>
      <w:r w:rsidR="00C507A5">
        <w:rPr>
          <w:i/>
          <w:color w:val="231F20"/>
          <w:w w:val="105"/>
          <w:sz w:val="20"/>
        </w:rPr>
        <w:t>red army faction</w:t>
      </w:r>
      <w:r>
        <w:rPr>
          <w:i/>
          <w:color w:val="231F20"/>
          <w:w w:val="105"/>
          <w:sz w:val="20"/>
        </w:rPr>
        <w:t xml:space="preserve"> comrades. It is an open letter.</w:t>
      </w:r>
    </w:p>
    <w:p w14:paraId="3D9A5AD4" w14:textId="77777777" w:rsidR="002653E8" w:rsidRDefault="003115E3">
      <w:pPr>
        <w:spacing w:line="261" w:lineRule="auto"/>
        <w:ind w:left="1328" w:right="1484" w:hanging="1"/>
        <w:rPr>
          <w:i/>
          <w:sz w:val="20"/>
        </w:rPr>
      </w:pPr>
      <w:r>
        <w:rPr>
          <w:i/>
          <w:color w:val="231F20"/>
          <w:w w:val="105"/>
          <w:sz w:val="20"/>
        </w:rPr>
        <w:t>We are a section of the Revolutionary Cells (RZ). However, many arguments from the undogmatic movement are integrated into this letter, both because we consider these arguments to be correct and because we feel ourselves to be a part of this movement.</w:t>
      </w:r>
    </w:p>
    <w:p w14:paraId="659B3CEC" w14:textId="77777777" w:rsidR="002653E8" w:rsidRDefault="003115E3">
      <w:pPr>
        <w:pStyle w:val="a3"/>
        <w:spacing w:before="155" w:line="264" w:lineRule="auto"/>
        <w:ind w:left="1327" w:right="1145"/>
        <w:jc w:val="both"/>
      </w:pPr>
      <w:r>
        <w:rPr>
          <w:color w:val="231F20"/>
        </w:rPr>
        <w:t>We request that all groups and all comrades (for example, the publishing houses, undogmatic groups from various areas, newspapers, unaffiliated comrades, the 2nd of June Movement…) discuss this letter.</w:t>
      </w:r>
    </w:p>
    <w:p w14:paraId="0F7D15A2" w14:textId="77777777" w:rsidR="002653E8" w:rsidRDefault="003115E3">
      <w:pPr>
        <w:pStyle w:val="a3"/>
        <w:spacing w:line="264" w:lineRule="auto"/>
        <w:ind w:left="1327" w:right="1145" w:firstLine="210"/>
        <w:jc w:val="both"/>
      </w:pPr>
      <w:r>
        <w:rPr>
          <w:color w:val="231F20"/>
        </w:rPr>
        <w:t xml:space="preserve">Truth be told, we have wanted to pose some questions to you—the comrades of the </w:t>
      </w:r>
      <w:r w:rsidR="00C507A5">
        <w:rPr>
          <w:color w:val="231F20"/>
        </w:rPr>
        <w:t>red army faction</w:t>
      </w:r>
      <w:r>
        <w:rPr>
          <w:color w:val="231F20"/>
        </w:rPr>
        <w:t xml:space="preserve">—for some time now. The reason is the rumor that the </w:t>
      </w:r>
      <w:r w:rsidR="00C507A5">
        <w:rPr>
          <w:color w:val="231F20"/>
        </w:rPr>
        <w:t>red army faction</w:t>
      </w:r>
      <w:r>
        <w:rPr>
          <w:color w:val="231F20"/>
        </w:rPr>
        <w:t xml:space="preserve"> prisoners are planning a 4th hunger strike, with the demand that the Geneva Convention be applied and their status as prisoners of war be recognized.</w:t>
      </w:r>
    </w:p>
    <w:p w14:paraId="4CB3B0E8" w14:textId="77777777" w:rsidR="002653E8" w:rsidRDefault="003115E3">
      <w:pPr>
        <w:pStyle w:val="a3"/>
        <w:spacing w:line="264" w:lineRule="auto"/>
        <w:ind w:left="1327" w:right="1146" w:firstLine="210"/>
        <w:jc w:val="both"/>
      </w:pPr>
      <w:r>
        <w:rPr>
          <w:color w:val="231F20"/>
          <w:spacing w:val="-4"/>
        </w:rPr>
        <w:t xml:space="preserve">Now, </w:t>
      </w:r>
      <w:r>
        <w:rPr>
          <w:color w:val="231F20"/>
        </w:rPr>
        <w:t>you might ask us why we feel the need to hold an “open discus</w:t>
      </w:r>
      <w:r>
        <w:rPr>
          <w:color w:val="231F20"/>
          <w:spacing w:val="-3"/>
        </w:rPr>
        <w:t xml:space="preserve">sion.” </w:t>
      </w:r>
      <w:r>
        <w:rPr>
          <w:color w:val="231F20"/>
        </w:rPr>
        <w:t>Comrades, the reason is that we are afraid we might receive an unreasonably hostile response from you. Something suggesting that we are</w:t>
      </w:r>
      <w:r>
        <w:rPr>
          <w:color w:val="231F20"/>
          <w:spacing w:val="-3"/>
        </w:rPr>
        <w:t xml:space="preserve"> </w:t>
      </w:r>
      <w:r>
        <w:rPr>
          <w:color w:val="231F20"/>
        </w:rPr>
        <w:t>at</w:t>
      </w:r>
      <w:r>
        <w:rPr>
          <w:color w:val="231F20"/>
          <w:spacing w:val="-3"/>
        </w:rPr>
        <w:t xml:space="preserve"> </w:t>
      </w:r>
      <w:r>
        <w:rPr>
          <w:color w:val="231F20"/>
        </w:rPr>
        <w:t>least</w:t>
      </w:r>
      <w:r>
        <w:rPr>
          <w:color w:val="231F20"/>
          <w:spacing w:val="-3"/>
        </w:rPr>
        <w:t xml:space="preserve"> </w:t>
      </w:r>
      <w:r>
        <w:rPr>
          <w:color w:val="231F20"/>
        </w:rPr>
        <w:t>objectively</w:t>
      </w:r>
      <w:r>
        <w:rPr>
          <w:color w:val="231F20"/>
          <w:spacing w:val="-3"/>
        </w:rPr>
        <w:t xml:space="preserve"> </w:t>
      </w:r>
      <w:r>
        <w:rPr>
          <w:color w:val="231F20"/>
        </w:rPr>
        <w:t>acting</w:t>
      </w:r>
      <w:r>
        <w:rPr>
          <w:color w:val="231F20"/>
          <w:spacing w:val="-3"/>
        </w:rPr>
        <w:t xml:space="preserve"> </w:t>
      </w:r>
      <w:r>
        <w:rPr>
          <w:color w:val="231F20"/>
        </w:rPr>
        <w:t>as</w:t>
      </w:r>
      <w:r>
        <w:rPr>
          <w:color w:val="231F20"/>
          <w:spacing w:val="-3"/>
        </w:rPr>
        <w:t xml:space="preserve"> </w:t>
      </w:r>
      <w:r>
        <w:rPr>
          <w:color w:val="231F20"/>
        </w:rPr>
        <w:t>cops,</w:t>
      </w:r>
      <w:r>
        <w:rPr>
          <w:color w:val="231F20"/>
          <w:spacing w:val="-3"/>
        </w:rPr>
        <w:t xml:space="preserve"> </w:t>
      </w:r>
      <w:r>
        <w:rPr>
          <w:color w:val="231F20"/>
        </w:rPr>
        <w:t>or</w:t>
      </w:r>
      <w:r>
        <w:rPr>
          <w:color w:val="231F20"/>
          <w:spacing w:val="-3"/>
        </w:rPr>
        <w:t xml:space="preserve"> </w:t>
      </w:r>
      <w:r>
        <w:rPr>
          <w:color w:val="231F20"/>
        </w:rPr>
        <w:t>that</w:t>
      </w:r>
      <w:r>
        <w:rPr>
          <w:color w:val="231F20"/>
          <w:spacing w:val="-3"/>
        </w:rPr>
        <w:t xml:space="preserve"> </w:t>
      </w:r>
      <w:r>
        <w:rPr>
          <w:color w:val="231F20"/>
        </w:rPr>
        <w:t>our</w:t>
      </w:r>
      <w:r>
        <w:rPr>
          <w:color w:val="231F20"/>
          <w:spacing w:val="-3"/>
        </w:rPr>
        <w:t xml:space="preserve"> </w:t>
      </w:r>
      <w:r>
        <w:rPr>
          <w:color w:val="231F20"/>
        </w:rPr>
        <w:t>letter</w:t>
      </w:r>
      <w:r>
        <w:rPr>
          <w:color w:val="231F20"/>
          <w:spacing w:val="-3"/>
        </w:rPr>
        <w:t xml:space="preserve"> </w:t>
      </w:r>
      <w:r>
        <w:rPr>
          <w:color w:val="231F20"/>
        </w:rPr>
        <w:t>is</w:t>
      </w:r>
      <w:r>
        <w:rPr>
          <w:color w:val="231F20"/>
          <w:spacing w:val="-3"/>
        </w:rPr>
        <w:t xml:space="preserve"> </w:t>
      </w:r>
      <w:r>
        <w:rPr>
          <w:color w:val="231F20"/>
        </w:rPr>
        <w:t>a</w:t>
      </w:r>
      <w:r>
        <w:rPr>
          <w:color w:val="231F20"/>
          <w:spacing w:val="-3"/>
        </w:rPr>
        <w:t xml:space="preserve"> </w:t>
      </w:r>
      <w:r>
        <w:rPr>
          <w:color w:val="231F20"/>
        </w:rPr>
        <w:t>state</w:t>
      </w:r>
      <w:r>
        <w:rPr>
          <w:color w:val="231F20"/>
          <w:spacing w:val="-3"/>
        </w:rPr>
        <w:t xml:space="preserve"> </w:t>
      </w:r>
      <w:r>
        <w:rPr>
          <w:color w:val="231F20"/>
        </w:rPr>
        <w:t>security initiative. However, we recognize that we must not allow the possibility of</w:t>
      </w:r>
      <w:r>
        <w:rPr>
          <w:color w:val="231F20"/>
          <w:spacing w:val="10"/>
        </w:rPr>
        <w:t xml:space="preserve"> </w:t>
      </w:r>
      <w:r>
        <w:rPr>
          <w:color w:val="231F20"/>
        </w:rPr>
        <w:t>such</w:t>
      </w:r>
      <w:r>
        <w:rPr>
          <w:color w:val="231F20"/>
          <w:spacing w:val="10"/>
        </w:rPr>
        <w:t xml:space="preserve"> </w:t>
      </w:r>
      <w:r>
        <w:rPr>
          <w:color w:val="231F20"/>
        </w:rPr>
        <w:t>reproaches</w:t>
      </w:r>
      <w:r>
        <w:rPr>
          <w:color w:val="231F20"/>
          <w:spacing w:val="10"/>
        </w:rPr>
        <w:t xml:space="preserve"> </w:t>
      </w:r>
      <w:r>
        <w:rPr>
          <w:color w:val="231F20"/>
        </w:rPr>
        <w:t>to</w:t>
      </w:r>
      <w:r>
        <w:rPr>
          <w:color w:val="231F20"/>
          <w:spacing w:val="10"/>
        </w:rPr>
        <w:t xml:space="preserve"> </w:t>
      </w:r>
      <w:r>
        <w:rPr>
          <w:color w:val="231F20"/>
        </w:rPr>
        <w:t>cause</w:t>
      </w:r>
      <w:r>
        <w:rPr>
          <w:color w:val="231F20"/>
          <w:spacing w:val="10"/>
        </w:rPr>
        <w:t xml:space="preserve"> </w:t>
      </w:r>
      <w:r>
        <w:rPr>
          <w:color w:val="231F20"/>
        </w:rPr>
        <w:t>us</w:t>
      </w:r>
      <w:r>
        <w:rPr>
          <w:color w:val="231F20"/>
          <w:spacing w:val="10"/>
        </w:rPr>
        <w:t xml:space="preserve"> </w:t>
      </w:r>
      <w:r>
        <w:rPr>
          <w:color w:val="231F20"/>
        </w:rPr>
        <w:t>to</w:t>
      </w:r>
      <w:r>
        <w:rPr>
          <w:color w:val="231F20"/>
          <w:spacing w:val="10"/>
        </w:rPr>
        <w:t xml:space="preserve"> </w:t>
      </w:r>
      <w:r>
        <w:rPr>
          <w:color w:val="231F20"/>
        </w:rPr>
        <w:t>shrink</w:t>
      </w:r>
      <w:r>
        <w:rPr>
          <w:color w:val="231F20"/>
          <w:spacing w:val="10"/>
        </w:rPr>
        <w:t xml:space="preserve"> </w:t>
      </w:r>
      <w:r>
        <w:rPr>
          <w:color w:val="231F20"/>
        </w:rPr>
        <w:t>from</w:t>
      </w:r>
      <w:r>
        <w:rPr>
          <w:color w:val="231F20"/>
          <w:spacing w:val="10"/>
        </w:rPr>
        <w:t xml:space="preserve"> </w:t>
      </w:r>
      <w:r>
        <w:rPr>
          <w:color w:val="231F20"/>
        </w:rPr>
        <w:t>a</w:t>
      </w:r>
      <w:r>
        <w:rPr>
          <w:color w:val="231F20"/>
          <w:spacing w:val="10"/>
        </w:rPr>
        <w:t xml:space="preserve"> </w:t>
      </w:r>
      <w:r>
        <w:rPr>
          <w:color w:val="231F20"/>
        </w:rPr>
        <w:t>discussion</w:t>
      </w:r>
      <w:r>
        <w:rPr>
          <w:color w:val="231F20"/>
          <w:spacing w:val="10"/>
        </w:rPr>
        <w:t xml:space="preserve"> </w:t>
      </w:r>
      <w:r>
        <w:rPr>
          <w:color w:val="231F20"/>
        </w:rPr>
        <w:t>with</w:t>
      </w:r>
      <w:r>
        <w:rPr>
          <w:color w:val="231F20"/>
          <w:spacing w:val="10"/>
        </w:rPr>
        <w:t xml:space="preserve"> </w:t>
      </w:r>
      <w:r>
        <w:rPr>
          <w:color w:val="231F20"/>
        </w:rPr>
        <w:t>you.</w:t>
      </w:r>
    </w:p>
    <w:p w14:paraId="249691F2" w14:textId="77777777" w:rsidR="002653E8" w:rsidRDefault="003115E3">
      <w:pPr>
        <w:pStyle w:val="a3"/>
        <w:spacing w:line="264" w:lineRule="auto"/>
        <w:ind w:left="1327" w:right="1146" w:firstLine="210"/>
        <w:jc w:val="both"/>
      </w:pPr>
      <w:r>
        <w:drawing>
          <wp:anchor distT="0" distB="0" distL="0" distR="0" simplePos="0" relativeHeight="267980543" behindDoc="1" locked="0" layoutInCell="1" allowOverlap="1" wp14:anchorId="79DC3DB2" wp14:editId="1137DA5E">
            <wp:simplePos x="0" y="0"/>
            <wp:positionH relativeFrom="page">
              <wp:posOffset>3146876</wp:posOffset>
            </wp:positionH>
            <wp:positionV relativeFrom="paragraph">
              <wp:posOffset>1039613</wp:posOffset>
            </wp:positionV>
            <wp:extent cx="1648656" cy="1514013"/>
            <wp:effectExtent l="0" t="0" r="0" b="0"/>
            <wp:wrapNone/>
            <wp:docPr id="6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1.png"/>
                    <pic:cNvPicPr/>
                  </pic:nvPicPr>
                  <pic:blipFill>
                    <a:blip r:embed="rId384" cstate="print"/>
                    <a:stretch>
                      <a:fillRect/>
                    </a:stretch>
                  </pic:blipFill>
                  <pic:spPr>
                    <a:xfrm>
                      <a:off x="0" y="0"/>
                      <a:ext cx="1648656" cy="1514013"/>
                    </a:xfrm>
                    <a:prstGeom prst="rect">
                      <a:avLst/>
                    </a:prstGeom>
                  </pic:spPr>
                </pic:pic>
              </a:graphicData>
            </a:graphic>
          </wp:anchor>
        </w:drawing>
      </w:r>
      <w:r>
        <w:rPr>
          <w:color w:val="231F20"/>
        </w:rPr>
        <w:t xml:space="preserve">What is important for us now </w:t>
      </w:r>
      <w:r>
        <w:rPr>
          <w:color w:val="231F20"/>
          <w:spacing w:val="-4"/>
        </w:rPr>
        <w:t xml:space="preserve">(!) </w:t>
      </w:r>
      <w:r>
        <w:rPr>
          <w:color w:val="231F20"/>
        </w:rPr>
        <w:t xml:space="preserve">is that we come to an understanding with you. </w:t>
      </w:r>
      <w:r>
        <w:rPr>
          <w:color w:val="231F20"/>
          <w:spacing w:val="1"/>
        </w:rPr>
        <w:t xml:space="preserve">In </w:t>
      </w:r>
      <w:r>
        <w:rPr>
          <w:color w:val="231F20"/>
        </w:rPr>
        <w:t xml:space="preserve">the context of this discussion, it will become clear just how far we have drifted from each other and the need we feel for you   to discuss with us our perspective, our actions, our evolution, and our lives. </w:t>
      </w:r>
      <w:r>
        <w:rPr>
          <w:color w:val="231F20"/>
          <w:spacing w:val="-5"/>
        </w:rPr>
        <w:t xml:space="preserve">We </w:t>
      </w:r>
      <w:r>
        <w:rPr>
          <w:color w:val="231F20"/>
        </w:rPr>
        <w:t>proceed from the belief that you must feel a similar need! Likewise, you must feel the need to more clearly enter into discussion with</w:t>
      </w:r>
      <w:r>
        <w:rPr>
          <w:color w:val="231F20"/>
          <w:spacing w:val="28"/>
        </w:rPr>
        <w:t xml:space="preserve"> </w:t>
      </w:r>
      <w:r>
        <w:rPr>
          <w:color w:val="231F20"/>
        </w:rPr>
        <w:t>the</w:t>
      </w:r>
      <w:r>
        <w:rPr>
          <w:color w:val="231F20"/>
          <w:spacing w:val="28"/>
        </w:rPr>
        <w:t xml:space="preserve"> </w:t>
      </w:r>
      <w:r>
        <w:rPr>
          <w:color w:val="231F20"/>
        </w:rPr>
        <w:t>broader</w:t>
      </w:r>
      <w:r>
        <w:rPr>
          <w:color w:val="231F20"/>
          <w:spacing w:val="28"/>
        </w:rPr>
        <w:t xml:space="preserve"> </w:t>
      </w:r>
      <w:r>
        <w:rPr>
          <w:color w:val="231F20"/>
        </w:rPr>
        <w:t>undogmatic</w:t>
      </w:r>
      <w:r>
        <w:rPr>
          <w:color w:val="231F20"/>
          <w:spacing w:val="28"/>
        </w:rPr>
        <w:t xml:space="preserve"> </w:t>
      </w:r>
      <w:r>
        <w:rPr>
          <w:color w:val="231F20"/>
        </w:rPr>
        <w:t>movement.</w:t>
      </w:r>
      <w:r>
        <w:rPr>
          <w:color w:val="231F20"/>
          <w:spacing w:val="28"/>
        </w:rPr>
        <w:t xml:space="preserve"> </w:t>
      </w:r>
      <w:r>
        <w:rPr>
          <w:color w:val="231F20"/>
        </w:rPr>
        <w:t>Otherwise,</w:t>
      </w:r>
    </w:p>
    <w:p w14:paraId="3F69A657" w14:textId="77777777" w:rsidR="002653E8" w:rsidRDefault="003115E3">
      <w:pPr>
        <w:pStyle w:val="a3"/>
        <w:spacing w:line="264" w:lineRule="auto"/>
        <w:ind w:left="1327" w:right="3115"/>
      </w:pPr>
      <w:r>
        <w:rPr>
          <w:color w:val="231F20"/>
        </w:rPr>
        <w:t>you are elevating yourselves to an arbitrary vanguard position.</w:t>
      </w:r>
    </w:p>
    <w:p w14:paraId="318DA015" w14:textId="678F927F" w:rsidR="002653E8" w:rsidRDefault="003115E3" w:rsidP="003E441E">
      <w:pPr>
        <w:pStyle w:val="a3"/>
        <w:spacing w:line="264" w:lineRule="auto"/>
        <w:ind w:left="1328" w:right="3408" w:firstLine="209"/>
      </w:pPr>
      <w:r>
        <w:rPr>
          <w:color w:val="231F20"/>
        </w:rPr>
        <w:t xml:space="preserve">The 71/72 </w:t>
      </w:r>
      <w:r w:rsidR="00C507A5">
        <w:rPr>
          <w:color w:val="231F20"/>
          <w:spacing w:val="5"/>
        </w:rPr>
        <w:t>red army faction</w:t>
      </w:r>
      <w:r>
        <w:rPr>
          <w:color w:val="231F20"/>
          <w:spacing w:val="5"/>
        </w:rPr>
        <w:t xml:space="preserve"> </w:t>
      </w:r>
      <w:r>
        <w:rPr>
          <w:color w:val="231F20"/>
        </w:rPr>
        <w:t>actions were an important development for many comrades. They  shook  many  people,   including   us, out</w:t>
      </w:r>
      <w:r>
        <w:rPr>
          <w:color w:val="231F20"/>
          <w:spacing w:val="22"/>
        </w:rPr>
        <w:t xml:space="preserve"> </w:t>
      </w:r>
      <w:r>
        <w:rPr>
          <w:color w:val="231F20"/>
        </w:rPr>
        <w:t>of</w:t>
      </w:r>
      <w:r>
        <w:rPr>
          <w:color w:val="231F20"/>
          <w:spacing w:val="22"/>
        </w:rPr>
        <w:t xml:space="preserve"> </w:t>
      </w:r>
      <w:r>
        <w:rPr>
          <w:color w:val="231F20"/>
        </w:rPr>
        <w:t>our</w:t>
      </w:r>
      <w:r>
        <w:rPr>
          <w:color w:val="231F20"/>
          <w:spacing w:val="22"/>
        </w:rPr>
        <w:t xml:space="preserve"> </w:t>
      </w:r>
      <w:r>
        <w:rPr>
          <w:color w:val="231F20"/>
        </w:rPr>
        <w:t>slumber.</w:t>
      </w:r>
      <w:r>
        <w:rPr>
          <w:color w:val="231F20"/>
          <w:spacing w:val="22"/>
        </w:rPr>
        <w:t xml:space="preserve"> </w:t>
      </w:r>
      <w:r>
        <w:rPr>
          <w:color w:val="231F20"/>
        </w:rPr>
        <w:t>As</w:t>
      </w:r>
      <w:r>
        <w:rPr>
          <w:color w:val="231F20"/>
          <w:spacing w:val="22"/>
        </w:rPr>
        <w:t xml:space="preserve"> </w:t>
      </w:r>
      <w:r>
        <w:rPr>
          <w:color w:val="231F20"/>
        </w:rPr>
        <w:t>this</w:t>
      </w:r>
      <w:r>
        <w:rPr>
          <w:color w:val="231F20"/>
          <w:spacing w:val="22"/>
        </w:rPr>
        <w:t xml:space="preserve"> </w:t>
      </w:r>
      <w:r>
        <w:rPr>
          <w:color w:val="231F20"/>
        </w:rPr>
        <w:t>resonated</w:t>
      </w:r>
      <w:r>
        <w:rPr>
          <w:color w:val="231F20"/>
          <w:spacing w:val="22"/>
        </w:rPr>
        <w:t xml:space="preserve"> </w:t>
      </w:r>
      <w:r>
        <w:rPr>
          <w:color w:val="231F20"/>
        </w:rPr>
        <w:t>in</w:t>
      </w:r>
      <w:r>
        <w:rPr>
          <w:color w:val="231F20"/>
          <w:spacing w:val="22"/>
        </w:rPr>
        <w:t xml:space="preserve"> </w:t>
      </w:r>
      <w:r>
        <w:rPr>
          <w:color w:val="231F20"/>
        </w:rPr>
        <w:t xml:space="preserve">dif-ferent areas, a hopeful joy arose regarding the impotence of the entire </w:t>
      </w:r>
      <w:r>
        <w:rPr>
          <w:color w:val="231F20"/>
        </w:rPr>
        <w:lastRenderedPageBreak/>
        <w:t>state apparatus  and the</w:t>
      </w:r>
      <w:r>
        <w:rPr>
          <w:color w:val="231F20"/>
          <w:spacing w:val="11"/>
        </w:rPr>
        <w:t xml:space="preserve"> </w:t>
      </w:r>
      <w:r>
        <w:rPr>
          <w:color w:val="231F20"/>
        </w:rPr>
        <w:t>guerilla’s</w:t>
      </w:r>
      <w:r>
        <w:rPr>
          <w:color w:val="231F20"/>
          <w:spacing w:val="11"/>
        </w:rPr>
        <w:t xml:space="preserve"> </w:t>
      </w:r>
      <w:r>
        <w:rPr>
          <w:color w:val="231F20"/>
        </w:rPr>
        <w:t>capacity</w:t>
      </w:r>
      <w:r>
        <w:rPr>
          <w:color w:val="231F20"/>
          <w:spacing w:val="11"/>
        </w:rPr>
        <w:t xml:space="preserve"> </w:t>
      </w:r>
      <w:r>
        <w:rPr>
          <w:color w:val="231F20"/>
        </w:rPr>
        <w:t>to</w:t>
      </w:r>
      <w:r>
        <w:rPr>
          <w:color w:val="231F20"/>
          <w:spacing w:val="11"/>
        </w:rPr>
        <w:t xml:space="preserve"> </w:t>
      </w:r>
      <w:r>
        <w:rPr>
          <w:color w:val="231F20"/>
          <w:spacing w:val="1"/>
        </w:rPr>
        <w:t>carry</w:t>
      </w:r>
      <w:r>
        <w:rPr>
          <w:color w:val="231F20"/>
          <w:spacing w:val="10"/>
        </w:rPr>
        <w:t xml:space="preserve"> </w:t>
      </w:r>
      <w:r>
        <w:rPr>
          <w:color w:val="231F20"/>
        </w:rPr>
        <w:t>out</w:t>
      </w:r>
      <w:r>
        <w:rPr>
          <w:color w:val="231F20"/>
          <w:spacing w:val="11"/>
        </w:rPr>
        <w:t xml:space="preserve"> </w:t>
      </w:r>
      <w:r>
        <w:rPr>
          <w:color w:val="231F20"/>
        </w:rPr>
        <w:t>actions,</w:t>
      </w:r>
      <w:r w:rsidR="003E441E">
        <w:rPr>
          <w:color w:val="231F20"/>
        </w:rPr>
        <w:t xml:space="preserve"> </w:t>
      </w:r>
      <w:r>
        <w:rPr>
          <w:color w:val="231F20"/>
        </w:rPr>
        <w:t xml:space="preserve">even in the FRG. At the time, these actions drew the widespread antiimperialist movement together, causing the further development of an idea that had been rattling around in the heads of thousands of people. </w:t>
      </w:r>
      <w:r>
        <w:rPr>
          <w:color w:val="231F20"/>
          <w:spacing w:val="-5"/>
        </w:rPr>
        <w:t xml:space="preserve">We </w:t>
      </w:r>
      <w:r>
        <w:rPr>
          <w:color w:val="231F20"/>
        </w:rPr>
        <w:t xml:space="preserve">saw that what had long been thought about was in fact possible. Without the </w:t>
      </w:r>
      <w:r w:rsidR="00C507A5">
        <w:rPr>
          <w:color w:val="231F20"/>
        </w:rPr>
        <w:t>red army faction</w:t>
      </w:r>
      <w:r>
        <w:rPr>
          <w:color w:val="231F20"/>
        </w:rPr>
        <w:t xml:space="preserve">, there wouldn’t be an </w:t>
      </w:r>
      <w:r>
        <w:rPr>
          <w:color w:val="231F20"/>
          <w:spacing w:val="3"/>
        </w:rPr>
        <w:t xml:space="preserve">RZ </w:t>
      </w:r>
      <w:r>
        <w:rPr>
          <w:color w:val="231F20"/>
          <w:spacing w:val="-3"/>
        </w:rPr>
        <w:t xml:space="preserve">today, </w:t>
      </w:r>
      <w:r>
        <w:rPr>
          <w:color w:val="231F20"/>
        </w:rPr>
        <w:t xml:space="preserve">there wouldn’t be groups that understand that resistance doesn’t stop where the criminal code starts. The texts you issued clearly demonstrated the meaning of </w:t>
      </w:r>
      <w:r>
        <w:rPr>
          <w:color w:val="231F20"/>
          <w:spacing w:val="-3"/>
        </w:rPr>
        <w:t xml:space="preserve">“no </w:t>
      </w:r>
      <w:r>
        <w:rPr>
          <w:color w:val="231F20"/>
        </w:rPr>
        <w:t xml:space="preserve">compromise,” </w:t>
      </w:r>
      <w:r>
        <w:rPr>
          <w:color w:val="231F20"/>
          <w:spacing w:val="-3"/>
        </w:rPr>
        <w:t xml:space="preserve">“draw </w:t>
      </w:r>
      <w:r>
        <w:rPr>
          <w:color w:val="231F20"/>
        </w:rPr>
        <w:t xml:space="preserve">a clear dividing line between the enemy and yourself,” and “freedom in the face of this system requires its complete </w:t>
      </w:r>
      <w:r>
        <w:rPr>
          <w:color w:val="231F20"/>
          <w:spacing w:val="-3"/>
        </w:rPr>
        <w:t xml:space="preserve">negation”; </w:t>
      </w:r>
      <w:r>
        <w:rPr>
          <w:color w:val="231F20"/>
        </w:rPr>
        <w:t xml:space="preserve">that is to </w:t>
      </w:r>
      <w:r>
        <w:rPr>
          <w:color w:val="231F20"/>
          <w:spacing w:val="-4"/>
        </w:rPr>
        <w:t xml:space="preserve">say, </w:t>
      </w:r>
      <w:r>
        <w:rPr>
          <w:color w:val="231F20"/>
        </w:rPr>
        <w:t>they demonstrated that it is possible to attack this system in a fighting collective and that we must choose to struggle  if we are to remain</w:t>
      </w:r>
      <w:r>
        <w:rPr>
          <w:color w:val="231F20"/>
          <w:spacing w:val="10"/>
        </w:rPr>
        <w:t xml:space="preserve"> </w:t>
      </w:r>
      <w:r>
        <w:rPr>
          <w:color w:val="231F20"/>
        </w:rPr>
        <w:t>human.</w:t>
      </w:r>
    </w:p>
    <w:p w14:paraId="214320E5" w14:textId="77777777" w:rsidR="002653E8" w:rsidRDefault="003115E3">
      <w:pPr>
        <w:pStyle w:val="a3"/>
        <w:spacing w:line="221" w:lineRule="exact"/>
        <w:ind w:left="1357"/>
      </w:pPr>
      <w:r>
        <w:rPr>
          <w:color w:val="231F20"/>
        </w:rPr>
        <w:t>However, what we now want you to tell us is whether you still stand</w:t>
      </w:r>
    </w:p>
    <w:p w14:paraId="2751ADCF" w14:textId="77777777" w:rsidR="002653E8" w:rsidRDefault="003115E3">
      <w:pPr>
        <w:pStyle w:val="a3"/>
        <w:spacing w:before="23" w:line="264" w:lineRule="auto"/>
        <w:ind w:left="1148" w:right="1325" w:hanging="1"/>
        <w:jc w:val="both"/>
      </w:pPr>
      <w:r>
        <w:rPr>
          <w:color w:val="231F20"/>
        </w:rPr>
        <w:t xml:space="preserve">by what the </w:t>
      </w:r>
      <w:r w:rsidR="00C507A5">
        <w:rPr>
          <w:color w:val="231F20"/>
          <w:spacing w:val="5"/>
        </w:rPr>
        <w:t>red army faction</w:t>
      </w:r>
      <w:r>
        <w:rPr>
          <w:color w:val="231F20"/>
          <w:spacing w:val="5"/>
        </w:rPr>
        <w:t xml:space="preserve"> </w:t>
      </w:r>
      <w:r>
        <w:rPr>
          <w:color w:val="231F20"/>
        </w:rPr>
        <w:t xml:space="preserve">said in 71/72? What do you think about the Stockholm liberation action? What errors do you think </w:t>
      </w:r>
      <w:r>
        <w:rPr>
          <w:color w:val="231F20"/>
          <w:spacing w:val="-3"/>
        </w:rPr>
        <w:t xml:space="preserve">you’ve </w:t>
      </w:r>
      <w:r>
        <w:rPr>
          <w:color w:val="231F20"/>
        </w:rPr>
        <w:t xml:space="preserve">made in the interim? What do you hope to achieve with your trials?—People, </w:t>
      </w:r>
      <w:r>
        <w:rPr>
          <w:color w:val="231F20"/>
          <w:spacing w:val="-3"/>
        </w:rPr>
        <w:t xml:space="preserve">we’re </w:t>
      </w:r>
      <w:r>
        <w:rPr>
          <w:color w:val="231F20"/>
        </w:rPr>
        <w:t xml:space="preserve">asking you these things, because we are no longer clear about your politics. </w:t>
      </w:r>
      <w:r>
        <w:rPr>
          <w:color w:val="231F20"/>
          <w:spacing w:val="-5"/>
        </w:rPr>
        <w:t xml:space="preserve">We </w:t>
      </w:r>
      <w:r>
        <w:rPr>
          <w:color w:val="231F20"/>
        </w:rPr>
        <w:t>recognize</w:t>
      </w:r>
      <w:r>
        <w:rPr>
          <w:color w:val="231F20"/>
          <w:spacing w:val="11"/>
        </w:rPr>
        <w:t xml:space="preserve"> </w:t>
      </w:r>
      <w:r>
        <w:rPr>
          <w:color w:val="231F20"/>
        </w:rPr>
        <w:t>little</w:t>
      </w:r>
      <w:r>
        <w:rPr>
          <w:color w:val="231F20"/>
          <w:spacing w:val="11"/>
        </w:rPr>
        <w:t xml:space="preserve"> </w:t>
      </w:r>
      <w:r>
        <w:rPr>
          <w:color w:val="231F20"/>
        </w:rPr>
        <w:t>of</w:t>
      </w:r>
      <w:r>
        <w:rPr>
          <w:color w:val="231F20"/>
          <w:spacing w:val="11"/>
        </w:rPr>
        <w:t xml:space="preserve"> </w:t>
      </w:r>
      <w:r>
        <w:rPr>
          <w:color w:val="231F20"/>
        </w:rPr>
        <w:t>the</w:t>
      </w:r>
      <w:r>
        <w:rPr>
          <w:color w:val="231F20"/>
          <w:spacing w:val="11"/>
        </w:rPr>
        <w:t xml:space="preserve"> </w:t>
      </w:r>
      <w:r w:rsidR="00C507A5">
        <w:rPr>
          <w:color w:val="231F20"/>
          <w:spacing w:val="1"/>
        </w:rPr>
        <w:t>red army faction</w:t>
      </w:r>
      <w:r>
        <w:rPr>
          <w:color w:val="231F20"/>
          <w:spacing w:val="1"/>
        </w:rPr>
        <w:t>’s</w:t>
      </w:r>
      <w:r>
        <w:rPr>
          <w:color w:val="231F20"/>
          <w:spacing w:val="11"/>
        </w:rPr>
        <w:t xml:space="preserve"> </w:t>
      </w:r>
      <w:r>
        <w:rPr>
          <w:color w:val="231F20"/>
        </w:rPr>
        <w:t>original</w:t>
      </w:r>
      <w:r>
        <w:rPr>
          <w:color w:val="231F20"/>
          <w:spacing w:val="11"/>
        </w:rPr>
        <w:t xml:space="preserve"> </w:t>
      </w:r>
      <w:r>
        <w:rPr>
          <w:color w:val="231F20"/>
        </w:rPr>
        <w:t>orientation.</w:t>
      </w:r>
    </w:p>
    <w:p w14:paraId="0385B605" w14:textId="77777777" w:rsidR="002653E8" w:rsidRDefault="003115E3">
      <w:pPr>
        <w:pStyle w:val="a3"/>
        <w:spacing w:line="264" w:lineRule="auto"/>
        <w:ind w:left="1147" w:right="1325" w:firstLine="210"/>
        <w:jc w:val="both"/>
      </w:pPr>
      <w:r>
        <w:rPr>
          <w:color w:val="231F20"/>
        </w:rPr>
        <w:t>Another important point: address the change. Better yet: rejuvenate the clearly significant impact of the information you provided, the statements you made, and the mobilization that resulted from the way you “made use of the trials.” For instance the way Brigitte Mohnhaupt clarified your structure for that rat Prinzing—using that as the key venue— so as to expose the bought-off witness Müller as a liar.</w:t>
      </w:r>
      <w:r>
        <w:rPr>
          <w:color w:val="231F20"/>
          <w:position w:val="7"/>
          <w:sz w:val="11"/>
        </w:rPr>
        <w:t xml:space="preserve">1 </w:t>
      </w:r>
      <w:r>
        <w:rPr>
          <w:color w:val="231F20"/>
        </w:rPr>
        <w:t xml:space="preserve">Why did it take Müller, Prinzing, Buback </w:t>
      </w:r>
      <w:r>
        <w:rPr>
          <w:color w:val="231F20"/>
          <w:w w:val="115"/>
        </w:rPr>
        <w:t xml:space="preserve">&amp; Co. </w:t>
      </w:r>
      <w:r>
        <w:rPr>
          <w:color w:val="231F20"/>
        </w:rPr>
        <w:t>to get you to say something about your structure, while we and others have waited since 72 for precisely such information and so much more?</w:t>
      </w:r>
    </w:p>
    <w:p w14:paraId="3BA48CCC" w14:textId="28E5CF9A" w:rsidR="002653E8" w:rsidRDefault="003115E3">
      <w:pPr>
        <w:pStyle w:val="a3"/>
        <w:spacing w:line="264" w:lineRule="auto"/>
        <w:ind w:left="1147" w:right="1325" w:firstLine="210"/>
        <w:jc w:val="both"/>
      </w:pPr>
      <w:r>
        <w:rPr>
          <w:color w:val="231F20"/>
        </w:rPr>
        <w:t xml:space="preserve">Comrades, we have a completely practical problem with you. </w:t>
      </w:r>
      <w:r>
        <w:rPr>
          <w:color w:val="231F20"/>
          <w:spacing w:val="-5"/>
        </w:rPr>
        <w:t xml:space="preserve">We  </w:t>
      </w:r>
      <w:r>
        <w:rPr>
          <w:color w:val="231F20"/>
        </w:rPr>
        <w:t xml:space="preserve">have considered you comrades for a long time </w:t>
      </w:r>
      <w:r>
        <w:rPr>
          <w:color w:val="231F20"/>
          <w:spacing w:val="-4"/>
        </w:rPr>
        <w:t xml:space="preserve">now, </w:t>
      </w:r>
      <w:r>
        <w:rPr>
          <w:color w:val="231F20"/>
        </w:rPr>
        <w:t xml:space="preserve">but many people on the outside </w:t>
      </w:r>
      <w:r>
        <w:rPr>
          <w:color w:val="231F20"/>
          <w:spacing w:val="-3"/>
        </w:rPr>
        <w:t xml:space="preserve">don’t </w:t>
      </w:r>
      <w:r>
        <w:rPr>
          <w:color w:val="231F20"/>
        </w:rPr>
        <w:t xml:space="preserve">feel that they are your comrades. </w:t>
      </w:r>
      <w:r>
        <w:rPr>
          <w:color w:val="231F20"/>
          <w:spacing w:val="-5"/>
        </w:rPr>
        <w:t xml:space="preserve">We </w:t>
      </w:r>
      <w:r>
        <w:rPr>
          <w:color w:val="231F20"/>
        </w:rPr>
        <w:t xml:space="preserve">and others have been and will be used and subordinated to your trial strategy, for </w:t>
      </w:r>
      <w:r>
        <w:rPr>
          <w:color w:val="231F20"/>
          <w:spacing w:val="-3"/>
        </w:rPr>
        <w:t>ex</w:t>
      </w:r>
      <w:r>
        <w:rPr>
          <w:color w:val="231F20"/>
        </w:rPr>
        <w:t xml:space="preserve">ample, and for other mobilizations and campaigns as well. It is not </w:t>
      </w:r>
      <w:r>
        <w:rPr>
          <w:color w:val="231F20"/>
        </w:rPr>
        <w:lastRenderedPageBreak/>
        <w:t>possible to develop or discuss a common strategy with you. Obviously it is extremely difficult to do that through the prison walls. But we have the impression</w:t>
      </w:r>
      <w:r>
        <w:rPr>
          <w:color w:val="231F20"/>
          <w:spacing w:val="21"/>
        </w:rPr>
        <w:t xml:space="preserve"> </w:t>
      </w:r>
      <w:r>
        <w:rPr>
          <w:color w:val="231F20"/>
        </w:rPr>
        <w:t>that</w:t>
      </w:r>
      <w:r>
        <w:rPr>
          <w:color w:val="231F20"/>
          <w:spacing w:val="21"/>
        </w:rPr>
        <w:t xml:space="preserve"> </w:t>
      </w:r>
      <w:r>
        <w:rPr>
          <w:color w:val="231F20"/>
        </w:rPr>
        <w:t>that</w:t>
      </w:r>
      <w:r>
        <w:rPr>
          <w:color w:val="231F20"/>
          <w:spacing w:val="21"/>
        </w:rPr>
        <w:t xml:space="preserve"> </w:t>
      </w:r>
      <w:r>
        <w:rPr>
          <w:color w:val="231F20"/>
        </w:rPr>
        <w:t>is</w:t>
      </w:r>
      <w:r>
        <w:rPr>
          <w:color w:val="231F20"/>
          <w:spacing w:val="21"/>
        </w:rPr>
        <w:t xml:space="preserve"> </w:t>
      </w:r>
      <w:r>
        <w:rPr>
          <w:color w:val="231F20"/>
        </w:rPr>
        <w:t>not</w:t>
      </w:r>
      <w:r>
        <w:rPr>
          <w:color w:val="231F20"/>
          <w:spacing w:val="21"/>
        </w:rPr>
        <w:t xml:space="preserve"> </w:t>
      </w:r>
      <w:r>
        <w:rPr>
          <w:color w:val="231F20"/>
        </w:rPr>
        <w:t>the</w:t>
      </w:r>
      <w:r>
        <w:rPr>
          <w:color w:val="231F20"/>
          <w:spacing w:val="21"/>
        </w:rPr>
        <w:t xml:space="preserve"> </w:t>
      </w:r>
      <w:r>
        <w:rPr>
          <w:color w:val="231F20"/>
        </w:rPr>
        <w:t>only</w:t>
      </w:r>
      <w:r>
        <w:rPr>
          <w:color w:val="231F20"/>
          <w:spacing w:val="21"/>
        </w:rPr>
        <w:t xml:space="preserve"> </w:t>
      </w:r>
      <w:r>
        <w:rPr>
          <w:color w:val="231F20"/>
        </w:rPr>
        <w:t>obstacle.</w:t>
      </w:r>
      <w:r>
        <w:rPr>
          <w:color w:val="231F20"/>
          <w:spacing w:val="21"/>
        </w:rPr>
        <w:t xml:space="preserve"> </w:t>
      </w:r>
      <w:r>
        <w:rPr>
          <w:color w:val="231F20"/>
        </w:rPr>
        <w:t>Much</w:t>
      </w:r>
      <w:r>
        <w:rPr>
          <w:color w:val="231F20"/>
          <w:spacing w:val="21"/>
        </w:rPr>
        <w:t xml:space="preserve"> </w:t>
      </w:r>
      <w:r>
        <w:rPr>
          <w:color w:val="231F20"/>
        </w:rPr>
        <w:t>more</w:t>
      </w:r>
      <w:r>
        <w:rPr>
          <w:color w:val="231F20"/>
          <w:spacing w:val="21"/>
        </w:rPr>
        <w:t xml:space="preserve"> </w:t>
      </w:r>
      <w:r>
        <w:rPr>
          <w:color w:val="231F20"/>
        </w:rPr>
        <w:t>important</w:t>
      </w:r>
      <w:r>
        <w:rPr>
          <w:color w:val="231F20"/>
          <w:spacing w:val="21"/>
        </w:rPr>
        <w:t xml:space="preserve"> </w:t>
      </w:r>
      <w:r>
        <w:rPr>
          <w:color w:val="231F20"/>
        </w:rPr>
        <w:t>is</w:t>
      </w:r>
    </w:p>
    <w:p w14:paraId="32BA43AE" w14:textId="77777777" w:rsidR="002653E8" w:rsidRDefault="00000000">
      <w:pPr>
        <w:pStyle w:val="a3"/>
        <w:spacing w:before="3"/>
        <w:rPr>
          <w:sz w:val="11"/>
        </w:rPr>
      </w:pPr>
      <w:r>
        <w:rPr>
          <w:noProof w:val="0"/>
        </w:rPr>
        <w:pict w14:anchorId="26C0EFA3">
          <v:line id="_x0000_s2218" style="position:absolute;z-index:9760;mso-wrap-distance-left:0;mso-wrap-distance-right:0;mso-position-horizontal-relative:page" from="57.4pt,8.85pt" to="129.4pt,8.85pt" strokecolor="#231f20" strokeweight=".5pt">
            <w10:wrap type="topAndBottom" anchorx="page"/>
          </v:line>
        </w:pict>
      </w:r>
    </w:p>
    <w:p w14:paraId="2EC32E52" w14:textId="77777777" w:rsidR="002653E8" w:rsidRDefault="003115E3">
      <w:pPr>
        <w:spacing w:before="53" w:line="254" w:lineRule="auto"/>
        <w:ind w:left="1147" w:right="1381"/>
        <w:rPr>
          <w:sz w:val="16"/>
        </w:rPr>
      </w:pPr>
      <w:r>
        <w:rPr>
          <w:color w:val="231F20"/>
          <w:w w:val="105"/>
          <w:sz w:val="16"/>
        </w:rPr>
        <w:t xml:space="preserve">1 On July 22, 1976, Brigitte Mohnhaupt used her trial testimony to  rebut  claims about the </w:t>
      </w:r>
      <w:r w:rsidR="00C507A5">
        <w:rPr>
          <w:color w:val="231F20"/>
          <w:spacing w:val="1"/>
          <w:w w:val="105"/>
          <w:sz w:val="16"/>
        </w:rPr>
        <w:t>red army faction</w:t>
      </w:r>
      <w:r>
        <w:rPr>
          <w:color w:val="231F20"/>
          <w:spacing w:val="1"/>
          <w:w w:val="105"/>
          <w:sz w:val="16"/>
        </w:rPr>
        <w:t xml:space="preserve">’s </w:t>
      </w:r>
      <w:r>
        <w:rPr>
          <w:color w:val="231F20"/>
          <w:w w:val="105"/>
          <w:sz w:val="16"/>
        </w:rPr>
        <w:t xml:space="preserve">allegedly hierarchical structure. Short excerpts from this statement are reprinted in this volume on pages 173 and </w:t>
      </w:r>
      <w:r>
        <w:rPr>
          <w:color w:val="231F20"/>
          <w:spacing w:val="-6"/>
          <w:w w:val="105"/>
          <w:sz w:val="16"/>
        </w:rPr>
        <w:t xml:space="preserve">355-8. </w:t>
      </w:r>
      <w:r>
        <w:rPr>
          <w:color w:val="231F20"/>
          <w:w w:val="105"/>
          <w:sz w:val="16"/>
        </w:rPr>
        <w:t xml:space="preserve">A less refined translation of the </w:t>
      </w:r>
      <w:r>
        <w:rPr>
          <w:color w:val="231F20"/>
          <w:w w:val="94"/>
          <w:sz w:val="16"/>
        </w:rPr>
        <w:t>e</w:t>
      </w:r>
      <w:r>
        <w:rPr>
          <w:color w:val="231F20"/>
          <w:w w:val="102"/>
          <w:sz w:val="16"/>
        </w:rPr>
        <w:t>n</w:t>
      </w:r>
      <w:r>
        <w:rPr>
          <w:color w:val="231F20"/>
          <w:spacing w:val="2"/>
          <w:w w:val="102"/>
          <w:sz w:val="16"/>
        </w:rPr>
        <w:t>t</w:t>
      </w:r>
      <w:r>
        <w:rPr>
          <w:color w:val="231F20"/>
          <w:spacing w:val="3"/>
          <w:w w:val="103"/>
          <w:sz w:val="16"/>
        </w:rPr>
        <w:t>i</w:t>
      </w:r>
      <w:r>
        <w:rPr>
          <w:color w:val="231F20"/>
          <w:w w:val="97"/>
          <w:sz w:val="16"/>
        </w:rPr>
        <w:t>r</w:t>
      </w:r>
      <w:r>
        <w:rPr>
          <w:color w:val="231F20"/>
          <w:w w:val="94"/>
          <w:sz w:val="16"/>
        </w:rPr>
        <w:t>e</w:t>
      </w:r>
      <w:r>
        <w:rPr>
          <w:color w:val="231F20"/>
          <w:spacing w:val="10"/>
          <w:sz w:val="16"/>
        </w:rPr>
        <w:t xml:space="preserve"> </w:t>
      </w:r>
      <w:r>
        <w:rPr>
          <w:color w:val="231F20"/>
          <w:spacing w:val="1"/>
          <w:w w:val="93"/>
          <w:sz w:val="16"/>
        </w:rPr>
        <w:t>s</w:t>
      </w:r>
      <w:r>
        <w:rPr>
          <w:color w:val="231F20"/>
          <w:spacing w:val="3"/>
          <w:w w:val="102"/>
          <w:sz w:val="16"/>
        </w:rPr>
        <w:t>t</w:t>
      </w:r>
      <w:r>
        <w:rPr>
          <w:color w:val="231F20"/>
          <w:spacing w:val="-1"/>
          <w:w w:val="106"/>
          <w:sz w:val="16"/>
        </w:rPr>
        <w:t>a</w:t>
      </w:r>
      <w:r>
        <w:rPr>
          <w:color w:val="231F20"/>
          <w:spacing w:val="1"/>
          <w:w w:val="102"/>
          <w:sz w:val="16"/>
        </w:rPr>
        <w:t>t</w:t>
      </w:r>
      <w:r>
        <w:rPr>
          <w:color w:val="231F20"/>
          <w:w w:val="94"/>
          <w:sz w:val="16"/>
        </w:rPr>
        <w:t>e</w:t>
      </w:r>
      <w:r>
        <w:rPr>
          <w:color w:val="231F20"/>
          <w:w w:val="103"/>
          <w:sz w:val="16"/>
        </w:rPr>
        <w:t>m</w:t>
      </w:r>
      <w:r>
        <w:rPr>
          <w:color w:val="231F20"/>
          <w:w w:val="94"/>
          <w:sz w:val="16"/>
        </w:rPr>
        <w:t>e</w:t>
      </w:r>
      <w:r>
        <w:rPr>
          <w:color w:val="231F20"/>
          <w:w w:val="102"/>
          <w:sz w:val="16"/>
        </w:rPr>
        <w:t>nt</w:t>
      </w:r>
      <w:r>
        <w:rPr>
          <w:color w:val="231F20"/>
          <w:spacing w:val="10"/>
          <w:sz w:val="16"/>
        </w:rPr>
        <w:t xml:space="preserve"> </w:t>
      </w:r>
      <w:r>
        <w:rPr>
          <w:color w:val="231F20"/>
          <w:spacing w:val="1"/>
          <w:w w:val="103"/>
          <w:sz w:val="16"/>
        </w:rPr>
        <w:t>i</w:t>
      </w:r>
      <w:r>
        <w:rPr>
          <w:color w:val="231F20"/>
          <w:w w:val="93"/>
          <w:sz w:val="16"/>
        </w:rPr>
        <w:t>s</w:t>
      </w:r>
      <w:r>
        <w:rPr>
          <w:color w:val="231F20"/>
          <w:spacing w:val="10"/>
          <w:sz w:val="16"/>
        </w:rPr>
        <w:t xml:space="preserve"> </w:t>
      </w:r>
      <w:r>
        <w:rPr>
          <w:color w:val="231F20"/>
          <w:spacing w:val="-2"/>
          <w:w w:val="106"/>
          <w:sz w:val="16"/>
        </w:rPr>
        <w:t>a</w:t>
      </w:r>
      <w:r>
        <w:rPr>
          <w:color w:val="231F20"/>
          <w:spacing w:val="-1"/>
          <w:w w:val="102"/>
          <w:sz w:val="16"/>
        </w:rPr>
        <w:t>v</w:t>
      </w:r>
      <w:r>
        <w:rPr>
          <w:color w:val="231F20"/>
          <w:spacing w:val="2"/>
          <w:w w:val="106"/>
          <w:sz w:val="16"/>
        </w:rPr>
        <w:t>a</w:t>
      </w:r>
      <w:r>
        <w:rPr>
          <w:color w:val="231F20"/>
          <w:spacing w:val="2"/>
          <w:w w:val="103"/>
          <w:sz w:val="16"/>
        </w:rPr>
        <w:t>i</w:t>
      </w:r>
      <w:r>
        <w:rPr>
          <w:color w:val="231F20"/>
          <w:spacing w:val="1"/>
          <w:w w:val="106"/>
          <w:sz w:val="16"/>
        </w:rPr>
        <w:t>l</w:t>
      </w:r>
      <w:r>
        <w:rPr>
          <w:color w:val="231F20"/>
          <w:spacing w:val="-1"/>
          <w:w w:val="106"/>
          <w:sz w:val="16"/>
        </w:rPr>
        <w:t>a</w:t>
      </w:r>
      <w:r>
        <w:rPr>
          <w:color w:val="231F20"/>
          <w:w w:val="105"/>
          <w:sz w:val="16"/>
        </w:rPr>
        <w:t>b</w:t>
      </w:r>
      <w:r>
        <w:rPr>
          <w:color w:val="231F20"/>
          <w:w w:val="106"/>
          <w:sz w:val="16"/>
        </w:rPr>
        <w:t>l</w:t>
      </w:r>
      <w:r>
        <w:rPr>
          <w:color w:val="231F20"/>
          <w:w w:val="94"/>
          <w:sz w:val="16"/>
        </w:rPr>
        <w:t>e</w:t>
      </w:r>
      <w:r>
        <w:rPr>
          <w:color w:val="231F20"/>
          <w:spacing w:val="10"/>
          <w:sz w:val="16"/>
        </w:rPr>
        <w:t xml:space="preserve"> </w:t>
      </w:r>
      <w:r>
        <w:rPr>
          <w:color w:val="231F20"/>
          <w:w w:val="108"/>
          <w:sz w:val="16"/>
        </w:rPr>
        <w:t>o</w:t>
      </w:r>
      <w:r>
        <w:rPr>
          <w:color w:val="231F20"/>
          <w:spacing w:val="3"/>
          <w:w w:val="103"/>
          <w:sz w:val="16"/>
        </w:rPr>
        <w:t>n</w:t>
      </w:r>
      <w:r>
        <w:rPr>
          <w:color w:val="231F20"/>
          <w:spacing w:val="2"/>
          <w:w w:val="106"/>
          <w:sz w:val="16"/>
        </w:rPr>
        <w:t>l</w:t>
      </w:r>
      <w:r>
        <w:rPr>
          <w:color w:val="231F20"/>
          <w:spacing w:val="3"/>
          <w:w w:val="103"/>
          <w:sz w:val="16"/>
        </w:rPr>
        <w:t>i</w:t>
      </w:r>
      <w:r>
        <w:rPr>
          <w:color w:val="231F20"/>
          <w:w w:val="103"/>
          <w:sz w:val="16"/>
        </w:rPr>
        <w:t>n</w:t>
      </w:r>
      <w:r>
        <w:rPr>
          <w:color w:val="231F20"/>
          <w:w w:val="94"/>
          <w:sz w:val="16"/>
        </w:rPr>
        <w:t>e</w:t>
      </w:r>
      <w:r>
        <w:rPr>
          <w:color w:val="231F20"/>
          <w:spacing w:val="10"/>
          <w:sz w:val="16"/>
        </w:rPr>
        <w:t xml:space="preserve"> </w:t>
      </w:r>
      <w:r>
        <w:rPr>
          <w:color w:val="231F20"/>
          <w:spacing w:val="-1"/>
          <w:w w:val="106"/>
          <w:sz w:val="16"/>
        </w:rPr>
        <w:t>a</w:t>
      </w:r>
      <w:r>
        <w:rPr>
          <w:color w:val="231F20"/>
          <w:w w:val="102"/>
          <w:sz w:val="16"/>
        </w:rPr>
        <w:t>t</w:t>
      </w:r>
      <w:r>
        <w:rPr>
          <w:color w:val="231F20"/>
          <w:spacing w:val="10"/>
          <w:sz w:val="16"/>
        </w:rPr>
        <w:t xml:space="preserve"> </w:t>
      </w:r>
      <w:bookmarkStart w:id="227" w:name="_Hlk130777332"/>
      <w:r>
        <w:fldChar w:fldCharType="begin"/>
      </w:r>
      <w:r>
        <w:instrText>HYPERLINK "http://www.germanguerilla.com/red-army-" \h</w:instrText>
      </w:r>
      <w:r>
        <w:fldChar w:fldCharType="separate"/>
      </w:r>
      <w:r>
        <w:rPr>
          <w:color w:val="231F20"/>
          <w:w w:val="103"/>
          <w:sz w:val="16"/>
        </w:rPr>
        <w:t>h</w:t>
      </w:r>
      <w:r>
        <w:rPr>
          <w:color w:val="231F20"/>
          <w:spacing w:val="5"/>
          <w:w w:val="103"/>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spacing w:val="1"/>
          <w:w w:val="140"/>
          <w:sz w:val="16"/>
        </w:rPr>
        <w:t>.</w:t>
      </w:r>
      <w:r>
        <w:rPr>
          <w:color w:val="231F20"/>
          <w:w w:val="104"/>
          <w:sz w:val="16"/>
        </w:rPr>
        <w:t>g</w:t>
      </w:r>
      <w:r>
        <w:rPr>
          <w:color w:val="231F20"/>
          <w:w w:val="94"/>
          <w:sz w:val="16"/>
        </w:rPr>
        <w:t>e</w:t>
      </w:r>
      <w:r>
        <w:rPr>
          <w:color w:val="231F20"/>
          <w:spacing w:val="2"/>
          <w:w w:val="97"/>
          <w:sz w:val="16"/>
        </w:rPr>
        <w:t>r</w:t>
      </w:r>
      <w:r>
        <w:rPr>
          <w:color w:val="231F20"/>
          <w:spacing w:val="2"/>
          <w:w w:val="103"/>
          <w:sz w:val="16"/>
        </w:rPr>
        <w:t>m</w:t>
      </w:r>
      <w:r>
        <w:rPr>
          <w:color w:val="231F20"/>
          <w:spacing w:val="3"/>
          <w:w w:val="106"/>
          <w:sz w:val="16"/>
        </w:rPr>
        <w:t>a</w:t>
      </w:r>
      <w:r>
        <w:rPr>
          <w:color w:val="231F20"/>
          <w:w w:val="103"/>
          <w:sz w:val="16"/>
        </w:rPr>
        <w:t>n</w:t>
      </w:r>
      <w:r>
        <w:rPr>
          <w:color w:val="231F20"/>
          <w:spacing w:val="3"/>
          <w:w w:val="104"/>
          <w:sz w:val="16"/>
        </w:rPr>
        <w:t>g</w:t>
      </w:r>
      <w:r>
        <w:rPr>
          <w:color w:val="231F20"/>
          <w:w w:val="104"/>
          <w:sz w:val="16"/>
        </w:rPr>
        <w:t>u</w:t>
      </w:r>
      <w:r>
        <w:rPr>
          <w:color w:val="231F20"/>
          <w:w w:val="94"/>
          <w:sz w:val="16"/>
        </w:rPr>
        <w:t>e</w:t>
      </w:r>
      <w:r>
        <w:rPr>
          <w:color w:val="231F20"/>
          <w:spacing w:val="2"/>
          <w:w w:val="97"/>
          <w:sz w:val="16"/>
        </w:rPr>
        <w:t>r</w:t>
      </w:r>
      <w:r>
        <w:rPr>
          <w:color w:val="231F20"/>
          <w:spacing w:val="2"/>
          <w:w w:val="103"/>
          <w:sz w:val="16"/>
        </w:rPr>
        <w:t>i</w:t>
      </w:r>
      <w:r>
        <w:rPr>
          <w:color w:val="231F20"/>
          <w:spacing w:val="2"/>
          <w:w w:val="106"/>
          <w:sz w:val="16"/>
        </w:rPr>
        <w:t>l</w:t>
      </w:r>
      <w:r>
        <w:rPr>
          <w:color w:val="231F20"/>
          <w:spacing w:val="1"/>
          <w:w w:val="106"/>
          <w:sz w:val="16"/>
        </w:rPr>
        <w:t>la</w:t>
      </w:r>
      <w:r>
        <w:rPr>
          <w:color w:val="231F20"/>
          <w:w w:val="140"/>
          <w:sz w:val="16"/>
        </w:rPr>
        <w:t>.</w:t>
      </w:r>
      <w:r>
        <w:rPr>
          <w:color w:val="231F20"/>
          <w:w w:val="104"/>
          <w:sz w:val="16"/>
        </w:rPr>
        <w:t>c</w:t>
      </w:r>
      <w:r>
        <w:rPr>
          <w:color w:val="231F20"/>
          <w:w w:val="108"/>
          <w:sz w:val="16"/>
        </w:rPr>
        <w:t>o</w:t>
      </w:r>
      <w:r>
        <w:rPr>
          <w:color w:val="231F20"/>
          <w:spacing w:val="8"/>
          <w:w w:val="103"/>
          <w:sz w:val="16"/>
        </w:rPr>
        <w:t>m</w:t>
      </w:r>
      <w:r>
        <w:rPr>
          <w:color w:val="231F20"/>
          <w:w w:val="58"/>
          <w:sz w:val="16"/>
        </w:rPr>
        <w:t>/</w:t>
      </w:r>
      <w:r>
        <w:rPr>
          <w:color w:val="231F20"/>
          <w:w w:val="97"/>
          <w:sz w:val="16"/>
        </w:rPr>
        <w:t>r</w:t>
      </w:r>
      <w:r>
        <w:rPr>
          <w:color w:val="231F20"/>
          <w:spacing w:val="1"/>
          <w:w w:val="94"/>
          <w:sz w:val="16"/>
        </w:rPr>
        <w:t>e</w:t>
      </w:r>
      <w:r>
        <w:rPr>
          <w:color w:val="231F20"/>
          <w:spacing w:val="1"/>
          <w:w w:val="103"/>
          <w:sz w:val="16"/>
        </w:rPr>
        <w:t>d</w:t>
      </w:r>
      <w:r>
        <w:rPr>
          <w:color w:val="231F20"/>
          <w:spacing w:val="2"/>
          <w:w w:val="104"/>
          <w:sz w:val="16"/>
        </w:rPr>
        <w:t>-</w:t>
      </w:r>
      <w:r>
        <w:rPr>
          <w:color w:val="231F20"/>
          <w:spacing w:val="3"/>
          <w:w w:val="106"/>
          <w:sz w:val="16"/>
        </w:rPr>
        <w:t>a</w:t>
      </w:r>
      <w:r>
        <w:rPr>
          <w:color w:val="231F20"/>
          <w:spacing w:val="2"/>
          <w:w w:val="97"/>
          <w:sz w:val="16"/>
        </w:rPr>
        <w:t>r</w:t>
      </w:r>
      <w:r>
        <w:rPr>
          <w:color w:val="231F20"/>
          <w:spacing w:val="-1"/>
          <w:w w:val="103"/>
          <w:sz w:val="16"/>
        </w:rPr>
        <w:t>m</w:t>
      </w:r>
      <w:r>
        <w:rPr>
          <w:color w:val="231F20"/>
          <w:spacing w:val="-1"/>
          <w:w w:val="102"/>
          <w:sz w:val="16"/>
        </w:rPr>
        <w:t>y</w:t>
      </w:r>
      <w:r>
        <w:rPr>
          <w:color w:val="231F20"/>
          <w:w w:val="104"/>
          <w:sz w:val="16"/>
        </w:rPr>
        <w:t>-</w:t>
      </w:r>
      <w:r>
        <w:rPr>
          <w:color w:val="231F20"/>
          <w:w w:val="104"/>
          <w:sz w:val="16"/>
        </w:rPr>
        <w:fldChar w:fldCharType="end"/>
      </w:r>
      <w:r>
        <w:rPr>
          <w:color w:val="231F20"/>
          <w:w w:val="104"/>
          <w:sz w:val="16"/>
        </w:rPr>
        <w:t xml:space="preserve"> </w:t>
      </w:r>
      <w:r>
        <w:rPr>
          <w:color w:val="231F20"/>
          <w:w w:val="114"/>
          <w:sz w:val="16"/>
        </w:rPr>
        <w:t>f</w:t>
      </w:r>
      <w:r>
        <w:rPr>
          <w:color w:val="231F20"/>
          <w:w w:val="106"/>
          <w:sz w:val="16"/>
        </w:rPr>
        <w:t>a</w:t>
      </w:r>
      <w:r>
        <w:rPr>
          <w:color w:val="231F20"/>
          <w:spacing w:val="3"/>
          <w:w w:val="104"/>
          <w:sz w:val="16"/>
        </w:rPr>
        <w:t>c</w:t>
      </w:r>
      <w:r>
        <w:rPr>
          <w:color w:val="231F20"/>
          <w:spacing w:val="2"/>
          <w:w w:val="102"/>
          <w:sz w:val="16"/>
        </w:rPr>
        <w:t>t</w:t>
      </w:r>
      <w:r>
        <w:rPr>
          <w:color w:val="231F20"/>
          <w:w w:val="107"/>
          <w:sz w:val="16"/>
        </w:rPr>
        <w:t>io</w:t>
      </w:r>
      <w:r>
        <w:rPr>
          <w:color w:val="231F20"/>
          <w:spacing w:val="8"/>
          <w:w w:val="103"/>
          <w:sz w:val="16"/>
        </w:rPr>
        <w:t>n</w:t>
      </w:r>
      <w:r>
        <w:rPr>
          <w:color w:val="231F20"/>
          <w:spacing w:val="-3"/>
          <w:w w:val="58"/>
          <w:sz w:val="16"/>
        </w:rPr>
        <w:t>/</w:t>
      </w:r>
      <w:r>
        <w:rPr>
          <w:color w:val="231F20"/>
          <w:w w:val="103"/>
          <w:sz w:val="16"/>
        </w:rPr>
        <w:t>d</w:t>
      </w:r>
      <w:r>
        <w:rPr>
          <w:color w:val="231F20"/>
          <w:spacing w:val="2"/>
          <w:w w:val="108"/>
          <w:sz w:val="16"/>
        </w:rPr>
        <w:t>o</w:t>
      </w:r>
      <w:r>
        <w:rPr>
          <w:color w:val="231F20"/>
          <w:spacing w:val="2"/>
          <w:w w:val="104"/>
          <w:sz w:val="16"/>
        </w:rPr>
        <w:t>c</w:t>
      </w:r>
      <w:r>
        <w:rPr>
          <w:color w:val="231F20"/>
          <w:spacing w:val="5"/>
          <w:w w:val="104"/>
          <w:sz w:val="16"/>
        </w:rPr>
        <w:t>u</w:t>
      </w:r>
      <w:r>
        <w:rPr>
          <w:color w:val="231F20"/>
          <w:w w:val="103"/>
          <w:sz w:val="16"/>
        </w:rPr>
        <w:t>m</w:t>
      </w:r>
      <w:r>
        <w:rPr>
          <w:color w:val="231F20"/>
          <w:w w:val="94"/>
          <w:sz w:val="16"/>
        </w:rPr>
        <w:t>e</w:t>
      </w:r>
      <w:r>
        <w:rPr>
          <w:color w:val="231F20"/>
          <w:w w:val="102"/>
          <w:sz w:val="16"/>
        </w:rPr>
        <w:t>n</w:t>
      </w:r>
      <w:r>
        <w:rPr>
          <w:color w:val="231F20"/>
          <w:spacing w:val="2"/>
          <w:w w:val="102"/>
          <w:sz w:val="16"/>
        </w:rPr>
        <w:t>t</w:t>
      </w:r>
      <w:r>
        <w:rPr>
          <w:color w:val="231F20"/>
          <w:spacing w:val="5"/>
          <w:w w:val="93"/>
          <w:sz w:val="16"/>
        </w:rPr>
        <w:t>s</w:t>
      </w:r>
      <w:r>
        <w:rPr>
          <w:color w:val="231F20"/>
          <w:spacing w:val="-1"/>
          <w:w w:val="58"/>
          <w:sz w:val="16"/>
        </w:rPr>
        <w:t>/</w:t>
      </w:r>
      <w:r>
        <w:rPr>
          <w:color w:val="231F20"/>
          <w:spacing w:val="-4"/>
          <w:w w:val="104"/>
          <w:sz w:val="16"/>
        </w:rPr>
        <w:t>7</w:t>
      </w:r>
      <w:r>
        <w:rPr>
          <w:color w:val="231F20"/>
          <w:spacing w:val="2"/>
          <w:w w:val="104"/>
          <w:sz w:val="16"/>
        </w:rPr>
        <w:t>6</w:t>
      </w:r>
      <w:r>
        <w:rPr>
          <w:color w:val="231F20"/>
          <w:spacing w:val="3"/>
          <w:w w:val="139"/>
          <w:sz w:val="16"/>
        </w:rPr>
        <w:t>_</w:t>
      </w:r>
      <w:r>
        <w:rPr>
          <w:color w:val="231F20"/>
          <w:spacing w:val="2"/>
          <w:w w:val="104"/>
          <w:sz w:val="16"/>
        </w:rPr>
        <w:t>0</w:t>
      </w:r>
      <w:r>
        <w:rPr>
          <w:color w:val="231F20"/>
          <w:spacing w:val="-1"/>
          <w:w w:val="104"/>
          <w:sz w:val="16"/>
        </w:rPr>
        <w:t>7</w:t>
      </w:r>
      <w:r>
        <w:rPr>
          <w:color w:val="231F20"/>
          <w:w w:val="104"/>
          <w:sz w:val="16"/>
        </w:rPr>
        <w:t>08</w:t>
      </w:r>
      <w:r>
        <w:rPr>
          <w:color w:val="231F20"/>
          <w:spacing w:val="6"/>
          <w:w w:val="139"/>
          <w:sz w:val="16"/>
        </w:rPr>
        <w:t>_</w:t>
      </w:r>
      <w:r>
        <w:rPr>
          <w:color w:val="231F20"/>
          <w:w w:val="103"/>
          <w:sz w:val="16"/>
        </w:rPr>
        <w:t>m</w:t>
      </w:r>
      <w:r>
        <w:rPr>
          <w:color w:val="231F20"/>
          <w:w w:val="108"/>
          <w:sz w:val="16"/>
        </w:rPr>
        <w:t>o</w:t>
      </w:r>
      <w:r>
        <w:rPr>
          <w:color w:val="231F20"/>
          <w:spacing w:val="3"/>
          <w:w w:val="104"/>
          <w:sz w:val="16"/>
        </w:rPr>
        <w:t>hn</w:t>
      </w:r>
      <w:r>
        <w:rPr>
          <w:color w:val="231F20"/>
          <w:spacing w:val="1"/>
          <w:w w:val="104"/>
          <w:sz w:val="16"/>
        </w:rPr>
        <w:t>h</w:t>
      </w:r>
      <w:r>
        <w:rPr>
          <w:color w:val="231F20"/>
          <w:spacing w:val="-2"/>
          <w:w w:val="106"/>
          <w:sz w:val="16"/>
        </w:rPr>
        <w:t>a</w:t>
      </w:r>
      <w:r>
        <w:rPr>
          <w:color w:val="231F20"/>
          <w:spacing w:val="-1"/>
          <w:w w:val="104"/>
          <w:sz w:val="16"/>
        </w:rPr>
        <w:t>u</w:t>
      </w:r>
      <w:r>
        <w:rPr>
          <w:color w:val="231F20"/>
          <w:w w:val="103"/>
          <w:sz w:val="16"/>
        </w:rPr>
        <w:t>p</w:t>
      </w:r>
      <w:r>
        <w:rPr>
          <w:color w:val="231F20"/>
          <w:spacing w:val="5"/>
          <w:w w:val="102"/>
          <w:sz w:val="16"/>
        </w:rPr>
        <w:t>t</w:t>
      </w:r>
      <w:r>
        <w:rPr>
          <w:color w:val="231F20"/>
          <w:spacing w:val="5"/>
          <w:w w:val="139"/>
          <w:sz w:val="16"/>
        </w:rPr>
        <w:t>_</w:t>
      </w:r>
      <w:r>
        <w:rPr>
          <w:color w:val="231F20"/>
          <w:spacing w:val="1"/>
          <w:w w:val="103"/>
          <w:sz w:val="16"/>
        </w:rPr>
        <w:t>p</w:t>
      </w:r>
      <w:r>
        <w:rPr>
          <w:color w:val="231F20"/>
          <w:w w:val="108"/>
          <w:sz w:val="16"/>
        </w:rPr>
        <w:t>o</w:t>
      </w:r>
      <w:r>
        <w:rPr>
          <w:color w:val="231F20"/>
          <w:spacing w:val="3"/>
          <w:w w:val="104"/>
          <w:sz w:val="16"/>
        </w:rPr>
        <w:t>h</w:t>
      </w:r>
      <w:r>
        <w:rPr>
          <w:color w:val="231F20"/>
          <w:w w:val="106"/>
          <w:sz w:val="16"/>
        </w:rPr>
        <w:t>l</w:t>
      </w:r>
      <w:r>
        <w:rPr>
          <w:color w:val="231F20"/>
          <w:spacing w:val="1"/>
          <w:w w:val="140"/>
          <w:sz w:val="16"/>
        </w:rPr>
        <w:t>.</w:t>
      </w:r>
      <w:r>
        <w:rPr>
          <w:color w:val="231F20"/>
          <w:w w:val="104"/>
          <w:sz w:val="16"/>
        </w:rPr>
        <w:t>h</w:t>
      </w:r>
      <w:r>
        <w:rPr>
          <w:color w:val="231F20"/>
          <w:spacing w:val="3"/>
          <w:w w:val="102"/>
          <w:sz w:val="16"/>
        </w:rPr>
        <w:t>t</w:t>
      </w:r>
      <w:r>
        <w:rPr>
          <w:color w:val="231F20"/>
          <w:spacing w:val="3"/>
          <w:w w:val="104"/>
          <w:sz w:val="16"/>
        </w:rPr>
        <w:t>m</w:t>
      </w:r>
      <w:r>
        <w:rPr>
          <w:color w:val="231F20"/>
          <w:w w:val="104"/>
          <w:sz w:val="16"/>
        </w:rPr>
        <w:t>l</w:t>
      </w:r>
      <w:r>
        <w:rPr>
          <w:color w:val="231F20"/>
          <w:w w:val="140"/>
          <w:sz w:val="16"/>
        </w:rPr>
        <w:t>.</w:t>
      </w:r>
    </w:p>
    <w:bookmarkEnd w:id="227"/>
    <w:p w14:paraId="10D4DDE7" w14:textId="77777777" w:rsidR="002653E8" w:rsidRDefault="002653E8">
      <w:pPr>
        <w:spacing w:line="254" w:lineRule="auto"/>
        <w:rPr>
          <w:sz w:val="16"/>
        </w:rPr>
        <w:sectPr w:rsidR="002653E8">
          <w:footerReference w:type="even" r:id="rId385"/>
          <w:footerReference w:type="default" r:id="rId386"/>
          <w:pgSz w:w="8640" w:h="12960"/>
          <w:pgMar w:top="1060" w:right="0" w:bottom="1040" w:left="0" w:header="0" w:footer="850" w:gutter="0"/>
          <w:cols w:space="720"/>
        </w:sectPr>
      </w:pPr>
    </w:p>
    <w:p w14:paraId="51519FCA" w14:textId="77777777" w:rsidR="002653E8" w:rsidRDefault="003115E3">
      <w:pPr>
        <w:pStyle w:val="a3"/>
        <w:spacing w:before="86" w:line="264" w:lineRule="auto"/>
        <w:ind w:left="1327" w:right="1145"/>
        <w:jc w:val="both"/>
      </w:pPr>
      <w:r>
        <w:rPr>
          <w:color w:val="231F20"/>
        </w:rPr>
        <w:lastRenderedPageBreak/>
        <w:t xml:space="preserve">the fact you were much too quick to judge us. </w:t>
      </w:r>
      <w:r>
        <w:rPr>
          <w:color w:val="231F20"/>
          <w:spacing w:val="1"/>
        </w:rPr>
        <w:t xml:space="preserve">All </w:t>
      </w:r>
      <w:r>
        <w:rPr>
          <w:color w:val="231F20"/>
        </w:rPr>
        <w:t xml:space="preserve">too often you have indicated that you have no faith in our strength or that of others; in those on the outside, who also want to and must struggle, and who also hope to make decisions for themselves. They don’t, however, want to offer you the wrong kind of support, blindly praying that they meet your  rigid demands. Rather, they first want to think things over for themselves. That also goes for a large part of the undogmatic movement.— </w:t>
      </w:r>
      <w:r>
        <w:rPr>
          <w:color w:val="231F20"/>
          <w:spacing w:val="-5"/>
        </w:rPr>
        <w:t xml:space="preserve">yes </w:t>
      </w:r>
      <w:r>
        <w:rPr>
          <w:color w:val="231F20"/>
        </w:rPr>
        <w:t xml:space="preserve">comrades, we appear to be nothing more to you than a tool to be discarded when it is worn out. </w:t>
      </w:r>
      <w:r>
        <w:rPr>
          <w:color w:val="231F20"/>
          <w:spacing w:val="-7"/>
        </w:rPr>
        <w:t xml:space="preserve">you </w:t>
      </w:r>
      <w:r>
        <w:rPr>
          <w:color w:val="231F20"/>
          <w:spacing w:val="-3"/>
        </w:rPr>
        <w:t xml:space="preserve">don’t </w:t>
      </w:r>
      <w:r>
        <w:rPr>
          <w:color w:val="231F20"/>
        </w:rPr>
        <w:t xml:space="preserve">ask why </w:t>
      </w:r>
      <w:r>
        <w:rPr>
          <w:color w:val="231F20"/>
          <w:spacing w:val="-3"/>
        </w:rPr>
        <w:t xml:space="preserve">it’s </w:t>
      </w:r>
      <w:r>
        <w:rPr>
          <w:color w:val="231F20"/>
        </w:rPr>
        <w:t xml:space="preserve">worn out. </w:t>
      </w:r>
      <w:r>
        <w:rPr>
          <w:color w:val="231F20"/>
          <w:spacing w:val="-7"/>
        </w:rPr>
        <w:t xml:space="preserve">you </w:t>
      </w:r>
      <w:r>
        <w:rPr>
          <w:color w:val="231F20"/>
        </w:rPr>
        <w:t>simply assume we are weak and (massively) opportunistic, that we are completely at peace in this corrupt, man-eating system. And that’s depressing.</w:t>
      </w:r>
      <w:r>
        <w:rPr>
          <w:color w:val="231F20"/>
          <w:spacing w:val="10"/>
        </w:rPr>
        <w:t xml:space="preserve"> </w:t>
      </w:r>
      <w:r>
        <w:rPr>
          <w:color w:val="231F20"/>
        </w:rPr>
        <w:t>Enough</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category</w:t>
      </w:r>
      <w:r>
        <w:rPr>
          <w:color w:val="231F20"/>
          <w:spacing w:val="10"/>
        </w:rPr>
        <w:t xml:space="preserve"> </w:t>
      </w:r>
      <w:r>
        <w:rPr>
          <w:color w:val="231F20"/>
        </w:rPr>
        <w:t>of</w:t>
      </w:r>
      <w:r>
        <w:rPr>
          <w:color w:val="231F20"/>
          <w:spacing w:val="10"/>
        </w:rPr>
        <w:t xml:space="preserve"> </w:t>
      </w:r>
      <w:r>
        <w:rPr>
          <w:color w:val="231F20"/>
        </w:rPr>
        <w:t>comrade</w:t>
      </w:r>
      <w:r>
        <w:rPr>
          <w:color w:val="231F20"/>
          <w:spacing w:val="10"/>
        </w:rPr>
        <w:t xml:space="preserve"> </w:t>
      </w:r>
      <w:r>
        <w:rPr>
          <w:color w:val="231F20"/>
        </w:rPr>
        <w:t>or</w:t>
      </w:r>
      <w:r>
        <w:rPr>
          <w:color w:val="231F20"/>
          <w:spacing w:val="10"/>
        </w:rPr>
        <w:t xml:space="preserve"> </w:t>
      </w:r>
      <w:r>
        <w:rPr>
          <w:color w:val="231F20"/>
        </w:rPr>
        <w:t>pig!</w:t>
      </w:r>
    </w:p>
    <w:p w14:paraId="436BDD0D" w14:textId="524B487A" w:rsidR="002653E8" w:rsidRDefault="003115E3">
      <w:pPr>
        <w:pStyle w:val="a3"/>
        <w:spacing w:line="221" w:lineRule="exact"/>
        <w:ind w:left="1537"/>
      </w:pPr>
      <w:r>
        <w:rPr>
          <w:color w:val="231F20"/>
        </w:rPr>
        <w:t>And now listen carefully: it is simply complete, defeatist nonsense</w:t>
      </w:r>
    </w:p>
    <w:p w14:paraId="1C0C1F4E" w14:textId="77777777" w:rsidR="002653E8" w:rsidRDefault="003115E3">
      <w:pPr>
        <w:pStyle w:val="a3"/>
        <w:spacing w:before="23" w:line="264" w:lineRule="auto"/>
        <w:ind w:left="1327" w:right="1145"/>
        <w:jc w:val="both"/>
        <w:rPr>
          <w:sz w:val="11"/>
        </w:rPr>
      </w:pPr>
      <w:r>
        <w:rPr>
          <w:color w:val="231F20"/>
          <w:w w:val="105"/>
        </w:rPr>
        <w:t>to</w:t>
      </w:r>
      <w:r>
        <w:rPr>
          <w:color w:val="231F20"/>
          <w:spacing w:val="-10"/>
          <w:w w:val="105"/>
        </w:rPr>
        <w:t xml:space="preserve"> </w:t>
      </w:r>
      <w:r>
        <w:rPr>
          <w:color w:val="231F20"/>
          <w:w w:val="105"/>
        </w:rPr>
        <w:t>claim</w:t>
      </w:r>
      <w:r>
        <w:rPr>
          <w:color w:val="231F20"/>
          <w:spacing w:val="-10"/>
          <w:w w:val="105"/>
        </w:rPr>
        <w:t xml:space="preserve"> </w:t>
      </w:r>
      <w:r>
        <w:rPr>
          <w:color w:val="231F20"/>
          <w:w w:val="105"/>
        </w:rPr>
        <w:t>that</w:t>
      </w:r>
      <w:r>
        <w:rPr>
          <w:color w:val="231F20"/>
          <w:spacing w:val="-10"/>
          <w:w w:val="105"/>
        </w:rPr>
        <w:t xml:space="preserve"> </w:t>
      </w:r>
      <w:r>
        <w:rPr>
          <w:color w:val="231F20"/>
          <w:w w:val="105"/>
        </w:rPr>
        <w:t>the</w:t>
      </w:r>
      <w:r>
        <w:rPr>
          <w:color w:val="231F20"/>
          <w:spacing w:val="-10"/>
          <w:w w:val="105"/>
        </w:rPr>
        <w:t xml:space="preserve"> </w:t>
      </w:r>
      <w:r>
        <w:rPr>
          <w:color w:val="231F20"/>
          <w:w w:val="105"/>
        </w:rPr>
        <w:t>entire</w:t>
      </w:r>
      <w:r>
        <w:rPr>
          <w:color w:val="231F20"/>
          <w:spacing w:val="-10"/>
          <w:w w:val="105"/>
        </w:rPr>
        <w:t xml:space="preserve"> </w:t>
      </w:r>
      <w:r>
        <w:rPr>
          <w:color w:val="231F20"/>
          <w:w w:val="105"/>
        </w:rPr>
        <w:t>left</w:t>
      </w:r>
      <w:r>
        <w:rPr>
          <w:color w:val="231F20"/>
          <w:spacing w:val="-10"/>
          <w:w w:val="105"/>
        </w:rPr>
        <w:t xml:space="preserve"> </w:t>
      </w:r>
      <w:r>
        <w:rPr>
          <w:color w:val="231F20"/>
          <w:w w:val="105"/>
        </w:rPr>
        <w:t>is</w:t>
      </w:r>
      <w:r>
        <w:rPr>
          <w:color w:val="231F20"/>
          <w:spacing w:val="-10"/>
          <w:w w:val="105"/>
        </w:rPr>
        <w:t xml:space="preserve"> </w:t>
      </w:r>
      <w:r>
        <w:rPr>
          <w:color w:val="231F20"/>
          <w:w w:val="105"/>
        </w:rPr>
        <w:t>on</w:t>
      </w:r>
      <w:r>
        <w:rPr>
          <w:color w:val="231F20"/>
          <w:spacing w:val="-10"/>
          <w:w w:val="105"/>
        </w:rPr>
        <w:t xml:space="preserve"> </w:t>
      </w:r>
      <w:r>
        <w:rPr>
          <w:color w:val="231F20"/>
          <w:w w:val="105"/>
        </w:rPr>
        <w:t>the</w:t>
      </w:r>
      <w:r>
        <w:rPr>
          <w:color w:val="231F20"/>
          <w:spacing w:val="-10"/>
          <w:w w:val="105"/>
        </w:rPr>
        <w:t xml:space="preserve"> </w:t>
      </w:r>
      <w:r>
        <w:rPr>
          <w:color w:val="231F20"/>
          <w:w w:val="105"/>
        </w:rPr>
        <w:t>defensive.</w:t>
      </w:r>
      <w:r>
        <w:rPr>
          <w:color w:val="231F20"/>
          <w:spacing w:val="-10"/>
          <w:w w:val="105"/>
        </w:rPr>
        <w:t xml:space="preserve"> </w:t>
      </w:r>
      <w:r>
        <w:rPr>
          <w:color w:val="231F20"/>
          <w:spacing w:val="-4"/>
          <w:w w:val="105"/>
        </w:rPr>
        <w:t>your</w:t>
      </w:r>
      <w:r>
        <w:rPr>
          <w:color w:val="231F20"/>
          <w:spacing w:val="-10"/>
          <w:w w:val="105"/>
        </w:rPr>
        <w:t xml:space="preserve"> </w:t>
      </w:r>
      <w:r>
        <w:rPr>
          <w:color w:val="231F20"/>
          <w:w w:val="105"/>
        </w:rPr>
        <w:t>disgusting</w:t>
      </w:r>
      <w:r>
        <w:rPr>
          <w:color w:val="231F20"/>
          <w:spacing w:val="-10"/>
          <w:w w:val="105"/>
        </w:rPr>
        <w:t xml:space="preserve"> </w:t>
      </w:r>
      <w:r>
        <w:rPr>
          <w:color w:val="231F20"/>
          <w:w w:val="105"/>
        </w:rPr>
        <w:t>fantasy about us and our strength is really a sign that you are on the defensive… How did you arrive at the decision to break off the last hunger strike,</w:t>
      </w:r>
      <w:r>
        <w:rPr>
          <w:color w:val="231F20"/>
          <w:spacing w:val="-17"/>
          <w:w w:val="105"/>
        </w:rPr>
        <w:t xml:space="preserve"> </w:t>
      </w:r>
      <w:r>
        <w:rPr>
          <w:color w:val="231F20"/>
          <w:w w:val="105"/>
        </w:rPr>
        <w:t>incorrectly</w:t>
      </w:r>
      <w:r>
        <w:rPr>
          <w:color w:val="231F20"/>
          <w:spacing w:val="-17"/>
          <w:w w:val="105"/>
        </w:rPr>
        <w:t xml:space="preserve"> </w:t>
      </w:r>
      <w:r>
        <w:rPr>
          <w:color w:val="231F20"/>
          <w:w w:val="105"/>
        </w:rPr>
        <w:t>claiming</w:t>
      </w:r>
      <w:r>
        <w:rPr>
          <w:color w:val="231F20"/>
          <w:spacing w:val="-17"/>
          <w:w w:val="105"/>
        </w:rPr>
        <w:t xml:space="preserve"> </w:t>
      </w:r>
      <w:r>
        <w:rPr>
          <w:color w:val="231F20"/>
          <w:w w:val="105"/>
        </w:rPr>
        <w:t>that</w:t>
      </w:r>
      <w:r>
        <w:rPr>
          <w:color w:val="231F20"/>
          <w:spacing w:val="-17"/>
          <w:w w:val="105"/>
        </w:rPr>
        <w:t xml:space="preserve"> </w:t>
      </w:r>
      <w:r>
        <w:rPr>
          <w:color w:val="231F20"/>
          <w:w w:val="105"/>
        </w:rPr>
        <w:t>we</w:t>
      </w:r>
      <w:r>
        <w:rPr>
          <w:color w:val="231F20"/>
          <w:spacing w:val="-17"/>
          <w:w w:val="105"/>
        </w:rPr>
        <w:t xml:space="preserve"> </w:t>
      </w:r>
      <w:r>
        <w:rPr>
          <w:color w:val="231F20"/>
          <w:w w:val="105"/>
        </w:rPr>
        <w:t>(the</w:t>
      </w:r>
      <w:r>
        <w:rPr>
          <w:color w:val="231F20"/>
          <w:spacing w:val="-17"/>
          <w:w w:val="105"/>
        </w:rPr>
        <w:t xml:space="preserve"> </w:t>
      </w:r>
      <w:r>
        <w:rPr>
          <w:color w:val="231F20"/>
          <w:spacing w:val="5"/>
          <w:w w:val="105"/>
        </w:rPr>
        <w:t>RZ,</w:t>
      </w:r>
      <w:r>
        <w:rPr>
          <w:color w:val="231F20"/>
          <w:spacing w:val="-17"/>
          <w:w w:val="105"/>
        </w:rPr>
        <w:t xml:space="preserve"> </w:t>
      </w:r>
      <w:r>
        <w:rPr>
          <w:color w:val="231F20"/>
          <w:w w:val="105"/>
        </w:rPr>
        <w:t>the</w:t>
      </w:r>
      <w:r>
        <w:rPr>
          <w:color w:val="231F20"/>
          <w:spacing w:val="-17"/>
          <w:w w:val="105"/>
        </w:rPr>
        <w:t xml:space="preserve"> </w:t>
      </w:r>
      <w:r>
        <w:rPr>
          <w:color w:val="231F20"/>
          <w:w w:val="105"/>
        </w:rPr>
        <w:t>2nd</w:t>
      </w:r>
      <w:r>
        <w:rPr>
          <w:color w:val="231F20"/>
          <w:spacing w:val="-17"/>
          <w:w w:val="105"/>
        </w:rPr>
        <w:t xml:space="preserve"> </w:t>
      </w:r>
      <w:r>
        <w:rPr>
          <w:color w:val="231F20"/>
          <w:w w:val="105"/>
        </w:rPr>
        <w:t>of</w:t>
      </w:r>
      <w:r>
        <w:rPr>
          <w:color w:val="231F20"/>
          <w:spacing w:val="-17"/>
          <w:w w:val="105"/>
        </w:rPr>
        <w:t xml:space="preserve"> </w:t>
      </w:r>
      <w:r>
        <w:rPr>
          <w:color w:val="231F20"/>
          <w:w w:val="105"/>
        </w:rPr>
        <w:t>June</w:t>
      </w:r>
      <w:r>
        <w:rPr>
          <w:color w:val="231F20"/>
          <w:spacing w:val="-17"/>
          <w:w w:val="105"/>
        </w:rPr>
        <w:t xml:space="preserve"> </w:t>
      </w:r>
      <w:r>
        <w:rPr>
          <w:color w:val="231F20"/>
          <w:w w:val="105"/>
        </w:rPr>
        <w:t xml:space="preserve">Movement, the undogmatic groups, and and </w:t>
      </w:r>
      <w:r>
        <w:rPr>
          <w:color w:val="231F20"/>
          <w:spacing w:val="-3"/>
          <w:w w:val="105"/>
        </w:rPr>
        <w:t xml:space="preserve">and…) </w:t>
      </w:r>
      <w:r>
        <w:rPr>
          <w:color w:val="231F20"/>
          <w:w w:val="105"/>
        </w:rPr>
        <w:t xml:space="preserve">were on the </w:t>
      </w:r>
      <w:r>
        <w:rPr>
          <w:color w:val="231F20"/>
          <w:spacing w:val="-3"/>
          <w:w w:val="105"/>
        </w:rPr>
        <w:t xml:space="preserve">defensive??? </w:t>
      </w:r>
      <w:r>
        <w:rPr>
          <w:color w:val="231F20"/>
          <w:spacing w:val="-7"/>
          <w:w w:val="105"/>
        </w:rPr>
        <w:t xml:space="preserve">you </w:t>
      </w:r>
      <w:r>
        <w:rPr>
          <w:color w:val="231F20"/>
          <w:w w:val="105"/>
        </w:rPr>
        <w:t>achieved absolutely nothing with your last hunger strike, while your defense</w:t>
      </w:r>
      <w:r>
        <w:rPr>
          <w:color w:val="231F20"/>
          <w:spacing w:val="-29"/>
          <w:w w:val="105"/>
        </w:rPr>
        <w:t xml:space="preserve"> </w:t>
      </w:r>
      <w:r>
        <w:rPr>
          <w:color w:val="231F20"/>
          <w:w w:val="105"/>
        </w:rPr>
        <w:t>attorneys</w:t>
      </w:r>
      <w:r>
        <w:rPr>
          <w:color w:val="231F20"/>
          <w:spacing w:val="-29"/>
          <w:w w:val="105"/>
        </w:rPr>
        <w:t xml:space="preserve"> </w:t>
      </w:r>
      <w:r>
        <w:rPr>
          <w:color w:val="231F20"/>
          <w:w w:val="105"/>
        </w:rPr>
        <w:t>and</w:t>
      </w:r>
      <w:r>
        <w:rPr>
          <w:color w:val="231F20"/>
          <w:spacing w:val="-29"/>
          <w:w w:val="105"/>
        </w:rPr>
        <w:t xml:space="preserve"> </w:t>
      </w:r>
      <w:r>
        <w:rPr>
          <w:color w:val="231F20"/>
          <w:w w:val="105"/>
        </w:rPr>
        <w:t>the</w:t>
      </w:r>
      <w:r>
        <w:rPr>
          <w:color w:val="231F20"/>
          <w:spacing w:val="-28"/>
          <w:w w:val="105"/>
        </w:rPr>
        <w:t xml:space="preserve"> </w:t>
      </w:r>
      <w:r>
        <w:rPr>
          <w:color w:val="231F20"/>
          <w:w w:val="105"/>
        </w:rPr>
        <w:t>Committees</w:t>
      </w:r>
      <w:r>
        <w:rPr>
          <w:color w:val="231F20"/>
          <w:spacing w:val="-29"/>
          <w:w w:val="105"/>
        </w:rPr>
        <w:t xml:space="preserve"> </w:t>
      </w:r>
      <w:r>
        <w:rPr>
          <w:color w:val="231F20"/>
          <w:w w:val="105"/>
        </w:rPr>
        <w:t>Against</w:t>
      </w:r>
      <w:r>
        <w:rPr>
          <w:color w:val="231F20"/>
          <w:spacing w:val="-29"/>
          <w:w w:val="105"/>
        </w:rPr>
        <w:t xml:space="preserve"> </w:t>
      </w:r>
      <w:r>
        <w:rPr>
          <w:color w:val="231F20"/>
          <w:w w:val="105"/>
        </w:rPr>
        <w:t>Torture</w:t>
      </w:r>
      <w:r>
        <w:rPr>
          <w:color w:val="231F20"/>
          <w:spacing w:val="-29"/>
          <w:w w:val="105"/>
        </w:rPr>
        <w:t xml:space="preserve"> </w:t>
      </w:r>
      <w:r>
        <w:rPr>
          <w:color w:val="231F20"/>
          <w:w w:val="105"/>
        </w:rPr>
        <w:t>gave</w:t>
      </w:r>
      <w:r>
        <w:rPr>
          <w:color w:val="231F20"/>
          <w:spacing w:val="-29"/>
          <w:w w:val="105"/>
        </w:rPr>
        <w:t xml:space="preserve"> </w:t>
      </w:r>
      <w:r>
        <w:rPr>
          <w:color w:val="231F20"/>
          <w:w w:val="105"/>
        </w:rPr>
        <w:t xml:space="preserve">everything </w:t>
      </w:r>
      <w:r>
        <w:rPr>
          <w:color w:val="231F20"/>
        </w:rPr>
        <w:t>they</w:t>
      </w:r>
      <w:r>
        <w:rPr>
          <w:color w:val="231F20"/>
          <w:spacing w:val="-9"/>
        </w:rPr>
        <w:t xml:space="preserve"> </w:t>
      </w:r>
      <w:r>
        <w:rPr>
          <w:color w:val="231F20"/>
        </w:rPr>
        <w:t>had</w:t>
      </w:r>
      <w:r>
        <w:rPr>
          <w:color w:val="231F20"/>
          <w:spacing w:val="-9"/>
        </w:rPr>
        <w:t xml:space="preserve"> </w:t>
      </w:r>
      <w:r>
        <w:rPr>
          <w:color w:val="231F20"/>
        </w:rPr>
        <w:t>to</w:t>
      </w:r>
      <w:r>
        <w:rPr>
          <w:color w:val="231F20"/>
          <w:spacing w:val="-9"/>
        </w:rPr>
        <w:t xml:space="preserve"> </w:t>
      </w:r>
      <w:r>
        <w:rPr>
          <w:color w:val="231F20"/>
        </w:rPr>
        <w:t>support</w:t>
      </w:r>
      <w:r>
        <w:rPr>
          <w:color w:val="231F20"/>
          <w:spacing w:val="-9"/>
        </w:rPr>
        <w:t xml:space="preserve"> </w:t>
      </w:r>
      <w:r>
        <w:rPr>
          <w:color w:val="231F20"/>
        </w:rPr>
        <w:t>your</w:t>
      </w:r>
      <w:r>
        <w:rPr>
          <w:color w:val="231F20"/>
          <w:spacing w:val="-9"/>
        </w:rPr>
        <w:t xml:space="preserve"> </w:t>
      </w:r>
      <w:r>
        <w:rPr>
          <w:color w:val="231F20"/>
        </w:rPr>
        <w:t>demands.</w:t>
      </w:r>
      <w:r>
        <w:rPr>
          <w:color w:val="231F20"/>
          <w:spacing w:val="-9"/>
        </w:rPr>
        <w:t xml:space="preserve"> </w:t>
      </w:r>
      <w:r>
        <w:rPr>
          <w:color w:val="231F20"/>
        </w:rPr>
        <w:t>Professors,</w:t>
      </w:r>
      <w:r>
        <w:rPr>
          <w:color w:val="231F20"/>
          <w:spacing w:val="-9"/>
        </w:rPr>
        <w:t xml:space="preserve"> </w:t>
      </w:r>
      <w:r>
        <w:rPr>
          <w:color w:val="231F20"/>
        </w:rPr>
        <w:t>doctors,</w:t>
      </w:r>
      <w:r>
        <w:rPr>
          <w:color w:val="231F20"/>
          <w:spacing w:val="-9"/>
        </w:rPr>
        <w:t xml:space="preserve"> </w:t>
      </w:r>
      <w:r>
        <w:rPr>
          <w:color w:val="231F20"/>
        </w:rPr>
        <w:t>writers</w:t>
      </w:r>
      <w:r>
        <w:rPr>
          <w:color w:val="231F20"/>
          <w:spacing w:val="-9"/>
        </w:rPr>
        <w:t xml:space="preserve"> </w:t>
      </w:r>
      <w:r>
        <w:rPr>
          <w:color w:val="231F20"/>
        </w:rPr>
        <w:t>(Sartre</w:t>
      </w:r>
      <w:r>
        <w:rPr>
          <w:color w:val="231F20"/>
          <w:position w:val="7"/>
          <w:sz w:val="11"/>
        </w:rPr>
        <w:t>2</w:t>
      </w:r>
      <w:r>
        <w:rPr>
          <w:color w:val="231F20"/>
        </w:rPr>
        <w:t xml:space="preserve">), </w:t>
      </w:r>
      <w:r>
        <w:rPr>
          <w:color w:val="231F20"/>
          <w:w w:val="105"/>
        </w:rPr>
        <w:t>clergy (Scharf</w:t>
      </w:r>
      <w:r>
        <w:rPr>
          <w:color w:val="231F20"/>
          <w:w w:val="105"/>
          <w:position w:val="7"/>
          <w:sz w:val="11"/>
        </w:rPr>
        <w:t>3</w:t>
      </w:r>
      <w:r>
        <w:rPr>
          <w:color w:val="231F20"/>
          <w:w w:val="105"/>
        </w:rPr>
        <w:t xml:space="preserve">), </w:t>
      </w:r>
      <w:r>
        <w:rPr>
          <w:color w:val="231F20"/>
          <w:spacing w:val="1"/>
          <w:w w:val="105"/>
        </w:rPr>
        <w:t xml:space="preserve">Amnesty </w:t>
      </w:r>
      <w:r>
        <w:rPr>
          <w:color w:val="231F20"/>
          <w:w w:val="105"/>
        </w:rPr>
        <w:t>(Austria), many undogmatic and even dog</w:t>
      </w:r>
      <w:r>
        <w:rPr>
          <w:color w:val="231F20"/>
          <w:spacing w:val="1"/>
          <w:w w:val="99"/>
        </w:rPr>
        <w:t>m</w:t>
      </w:r>
      <w:r>
        <w:rPr>
          <w:color w:val="231F20"/>
          <w:spacing w:val="-2"/>
          <w:w w:val="102"/>
        </w:rPr>
        <w:t>a</w:t>
      </w:r>
      <w:r>
        <w:rPr>
          <w:color w:val="231F20"/>
          <w:spacing w:val="2"/>
          <w:w w:val="98"/>
        </w:rPr>
        <w:t>t</w:t>
      </w:r>
      <w:r>
        <w:rPr>
          <w:color w:val="231F20"/>
        </w:rPr>
        <w:t>ic</w:t>
      </w:r>
      <w:r>
        <w:rPr>
          <w:color w:val="231F20"/>
          <w:spacing w:val="20"/>
        </w:rPr>
        <w:t xml:space="preserve"> </w:t>
      </w:r>
      <w:r>
        <w:rPr>
          <w:color w:val="231F20"/>
          <w:spacing w:val="5"/>
          <w:w w:val="101"/>
        </w:rPr>
        <w:t>g</w:t>
      </w:r>
      <w:r>
        <w:rPr>
          <w:color w:val="231F20"/>
          <w:spacing w:val="-2"/>
          <w:w w:val="94"/>
        </w:rPr>
        <w:t>r</w:t>
      </w:r>
      <w:r>
        <w:rPr>
          <w:color w:val="231F20"/>
          <w:spacing w:val="-2"/>
          <w:w w:val="104"/>
        </w:rPr>
        <w:t>o</w:t>
      </w:r>
      <w:r>
        <w:rPr>
          <w:color w:val="231F20"/>
          <w:spacing w:val="-3"/>
        </w:rPr>
        <w:t>u</w:t>
      </w:r>
      <w:r>
        <w:rPr>
          <w:color w:val="231F20"/>
          <w:w w:val="99"/>
        </w:rPr>
        <w:t>p</w:t>
      </w:r>
      <w:r>
        <w:rPr>
          <w:color w:val="231F20"/>
          <w:w w:val="90"/>
        </w:rPr>
        <w:t>s</w:t>
      </w:r>
      <w:r>
        <w:rPr>
          <w:color w:val="231F20"/>
          <w:spacing w:val="20"/>
        </w:rPr>
        <w:t xml:space="preserve"> </w:t>
      </w:r>
      <w:r>
        <w:rPr>
          <w:color w:val="231F20"/>
          <w:spacing w:val="1"/>
          <w:w w:val="87"/>
        </w:rPr>
        <w:t>(</w:t>
      </w:r>
      <w:r>
        <w:rPr>
          <w:color w:val="231F20"/>
          <w:spacing w:val="7"/>
          <w:w w:val="114"/>
        </w:rPr>
        <w:t>K</w:t>
      </w:r>
      <w:r>
        <w:rPr>
          <w:color w:val="231F20"/>
          <w:w w:val="108"/>
        </w:rPr>
        <w:t>PD</w:t>
      </w:r>
      <w:r>
        <w:rPr>
          <w:color w:val="231F20"/>
          <w:spacing w:val="6"/>
          <w:w w:val="56"/>
        </w:rPr>
        <w:t>/</w:t>
      </w:r>
      <w:r>
        <w:rPr>
          <w:color w:val="231F20"/>
          <w:spacing w:val="6"/>
          <w:w w:val="119"/>
        </w:rPr>
        <w:t>M</w:t>
      </w:r>
      <w:r>
        <w:rPr>
          <w:color w:val="231F20"/>
          <w:spacing w:val="-7"/>
          <w:w w:val="119"/>
        </w:rPr>
        <w:t>L</w:t>
      </w:r>
      <w:r>
        <w:rPr>
          <w:color w:val="231F20"/>
          <w:w w:val="87"/>
        </w:rPr>
        <w:t>)</w:t>
      </w:r>
      <w:r>
        <w:rPr>
          <w:color w:val="231F20"/>
          <w:spacing w:val="20"/>
        </w:rPr>
        <w:t xml:space="preserve"> </w:t>
      </w:r>
      <w:r>
        <w:rPr>
          <w:color w:val="231F20"/>
          <w:spacing w:val="-1"/>
          <w:w w:val="90"/>
        </w:rPr>
        <w:t>s</w:t>
      </w:r>
      <w:r>
        <w:rPr>
          <w:color w:val="231F20"/>
          <w:spacing w:val="-3"/>
        </w:rPr>
        <w:t>u</w:t>
      </w:r>
      <w:r>
        <w:rPr>
          <w:color w:val="231F20"/>
          <w:spacing w:val="-2"/>
          <w:w w:val="99"/>
        </w:rPr>
        <w:t>p</w:t>
      </w:r>
      <w:r>
        <w:rPr>
          <w:color w:val="231F20"/>
          <w:w w:val="99"/>
        </w:rPr>
        <w:t>p</w:t>
      </w:r>
      <w:r>
        <w:rPr>
          <w:color w:val="231F20"/>
          <w:spacing w:val="-1"/>
          <w:w w:val="104"/>
        </w:rPr>
        <w:t>o</w:t>
      </w:r>
      <w:r>
        <w:rPr>
          <w:color w:val="231F20"/>
          <w:spacing w:val="5"/>
          <w:w w:val="94"/>
        </w:rPr>
        <w:t>r</w:t>
      </w:r>
      <w:r>
        <w:rPr>
          <w:color w:val="231F20"/>
          <w:w w:val="98"/>
        </w:rPr>
        <w:t>t</w:t>
      </w:r>
      <w:r>
        <w:rPr>
          <w:color w:val="231F20"/>
          <w:w w:val="91"/>
        </w:rPr>
        <w:t>e</w:t>
      </w:r>
      <w:r>
        <w:rPr>
          <w:color w:val="231F20"/>
        </w:rPr>
        <w:t>d</w:t>
      </w:r>
      <w:r>
        <w:rPr>
          <w:color w:val="231F20"/>
          <w:spacing w:val="20"/>
        </w:rPr>
        <w:t xml:space="preserve"> </w:t>
      </w:r>
      <w:r>
        <w:rPr>
          <w:color w:val="231F20"/>
          <w:spacing w:val="-3"/>
          <w:w w:val="99"/>
        </w:rPr>
        <w:t>y</w:t>
      </w:r>
      <w:r>
        <w:rPr>
          <w:color w:val="231F20"/>
          <w:spacing w:val="-2"/>
          <w:w w:val="104"/>
        </w:rPr>
        <w:t>o</w:t>
      </w:r>
      <w:r>
        <w:rPr>
          <w:color w:val="231F20"/>
          <w:spacing w:val="3"/>
        </w:rPr>
        <w:t>u</w:t>
      </w:r>
      <w:r>
        <w:rPr>
          <w:color w:val="231F20"/>
          <w:w w:val="94"/>
        </w:rPr>
        <w:t>r</w:t>
      </w:r>
      <w:r>
        <w:rPr>
          <w:color w:val="231F20"/>
          <w:spacing w:val="20"/>
        </w:rPr>
        <w:t xml:space="preserve"> </w:t>
      </w:r>
      <w:r>
        <w:rPr>
          <w:color w:val="231F20"/>
          <w:spacing w:val="-4"/>
        </w:rPr>
        <w:t>h</w:t>
      </w:r>
      <w:r>
        <w:rPr>
          <w:color w:val="231F20"/>
          <w:spacing w:val="3"/>
        </w:rPr>
        <w:t>u</w:t>
      </w:r>
      <w:r>
        <w:rPr>
          <w:color w:val="231F20"/>
          <w:w w:val="99"/>
        </w:rPr>
        <w:t>n</w:t>
      </w:r>
      <w:r>
        <w:rPr>
          <w:color w:val="231F20"/>
          <w:spacing w:val="-1"/>
          <w:w w:val="101"/>
        </w:rPr>
        <w:t>g</w:t>
      </w:r>
      <w:r>
        <w:rPr>
          <w:color w:val="231F20"/>
          <w:w w:val="92"/>
        </w:rPr>
        <w:t>er</w:t>
      </w:r>
      <w:r>
        <w:rPr>
          <w:color w:val="231F20"/>
          <w:spacing w:val="20"/>
        </w:rPr>
        <w:t xml:space="preserve"> </w:t>
      </w:r>
      <w:r>
        <w:rPr>
          <w:color w:val="231F20"/>
          <w:w w:val="90"/>
        </w:rPr>
        <w:t>s</w:t>
      </w:r>
      <w:r>
        <w:rPr>
          <w:color w:val="231F20"/>
          <w:spacing w:val="3"/>
          <w:w w:val="98"/>
        </w:rPr>
        <w:t>t</w:t>
      </w:r>
      <w:r>
        <w:rPr>
          <w:color w:val="231F20"/>
          <w:spacing w:val="1"/>
          <w:w w:val="94"/>
        </w:rPr>
        <w:t>r</w:t>
      </w:r>
      <w:r>
        <w:rPr>
          <w:color w:val="231F20"/>
          <w:spacing w:val="2"/>
        </w:rPr>
        <w:t>i</w:t>
      </w:r>
      <w:r>
        <w:rPr>
          <w:color w:val="231F20"/>
          <w:spacing w:val="-2"/>
          <w:w w:val="106"/>
        </w:rPr>
        <w:t>k</w:t>
      </w:r>
      <w:r>
        <w:rPr>
          <w:color w:val="231F20"/>
          <w:w w:val="91"/>
        </w:rPr>
        <w:t>e</w:t>
      </w:r>
      <w:r>
        <w:rPr>
          <w:color w:val="231F20"/>
          <w:w w:val="135"/>
        </w:rPr>
        <w:t>.</w:t>
      </w:r>
      <w:r>
        <w:rPr>
          <w:color w:val="231F20"/>
          <w:spacing w:val="20"/>
        </w:rPr>
        <w:t xml:space="preserve"> </w:t>
      </w:r>
      <w:r>
        <w:rPr>
          <w:color w:val="231F20"/>
          <w:spacing w:val="5"/>
          <w:w w:val="112"/>
        </w:rPr>
        <w:t>T</w:t>
      </w:r>
      <w:r>
        <w:rPr>
          <w:color w:val="231F20"/>
          <w:spacing w:val="-1"/>
        </w:rPr>
        <w:t>h</w:t>
      </w:r>
      <w:r>
        <w:rPr>
          <w:color w:val="231F20"/>
          <w:w w:val="91"/>
        </w:rPr>
        <w:t>e</w:t>
      </w:r>
      <w:r>
        <w:rPr>
          <w:color w:val="231F20"/>
          <w:spacing w:val="20"/>
        </w:rPr>
        <w:t xml:space="preserve"> </w:t>
      </w:r>
      <w:r>
        <w:rPr>
          <w:color w:val="231F20"/>
          <w:spacing w:val="-2"/>
        </w:rPr>
        <w:t>m</w:t>
      </w:r>
      <w:r>
        <w:rPr>
          <w:color w:val="231F20"/>
          <w:spacing w:val="3"/>
        </w:rPr>
        <w:t>u</w:t>
      </w:r>
      <w:r>
        <w:rPr>
          <w:color w:val="231F20"/>
          <w:spacing w:val="-3"/>
          <w:w w:val="94"/>
        </w:rPr>
        <w:t>r</w:t>
      </w:r>
      <w:r>
        <w:rPr>
          <w:color w:val="231F20"/>
        </w:rPr>
        <w:t>d</w:t>
      </w:r>
      <w:r>
        <w:rPr>
          <w:color w:val="231F20"/>
          <w:w w:val="92"/>
        </w:rPr>
        <w:t>er</w:t>
      </w:r>
      <w:r>
        <w:rPr>
          <w:color w:val="231F20"/>
          <w:spacing w:val="20"/>
        </w:rPr>
        <w:t xml:space="preserve"> </w:t>
      </w:r>
      <w:r>
        <w:rPr>
          <w:color w:val="231F20"/>
          <w:spacing w:val="-2"/>
          <w:w w:val="104"/>
        </w:rPr>
        <w:t>o</w:t>
      </w:r>
      <w:r>
        <w:rPr>
          <w:color w:val="231F20"/>
          <w:w w:val="109"/>
        </w:rPr>
        <w:t xml:space="preserve">f </w:t>
      </w:r>
      <w:r>
        <w:rPr>
          <w:color w:val="231F20"/>
          <w:w w:val="105"/>
        </w:rPr>
        <w:t>Holger</w:t>
      </w:r>
      <w:r>
        <w:rPr>
          <w:color w:val="231F20"/>
          <w:spacing w:val="-16"/>
          <w:w w:val="105"/>
        </w:rPr>
        <w:t xml:space="preserve"> </w:t>
      </w:r>
      <w:r>
        <w:rPr>
          <w:color w:val="231F20"/>
          <w:w w:val="105"/>
        </w:rPr>
        <w:t>was</w:t>
      </w:r>
      <w:r>
        <w:rPr>
          <w:color w:val="231F20"/>
          <w:spacing w:val="-16"/>
          <w:w w:val="105"/>
        </w:rPr>
        <w:t xml:space="preserve"> </w:t>
      </w:r>
      <w:r>
        <w:rPr>
          <w:color w:val="231F20"/>
          <w:w w:val="105"/>
        </w:rPr>
        <w:t>immediately</w:t>
      </w:r>
      <w:r>
        <w:rPr>
          <w:color w:val="231F20"/>
          <w:spacing w:val="-16"/>
          <w:w w:val="105"/>
        </w:rPr>
        <w:t xml:space="preserve"> </w:t>
      </w:r>
      <w:r>
        <w:rPr>
          <w:color w:val="231F20"/>
          <w:w w:val="105"/>
        </w:rPr>
        <w:t>answered</w:t>
      </w:r>
      <w:r>
        <w:rPr>
          <w:color w:val="231F20"/>
          <w:spacing w:val="-16"/>
          <w:w w:val="105"/>
        </w:rPr>
        <w:t xml:space="preserve"> </w:t>
      </w:r>
      <w:r>
        <w:rPr>
          <w:color w:val="231F20"/>
          <w:w w:val="105"/>
        </w:rPr>
        <w:t>by</w:t>
      </w:r>
      <w:r>
        <w:rPr>
          <w:color w:val="231F20"/>
          <w:spacing w:val="-16"/>
          <w:w w:val="105"/>
        </w:rPr>
        <w:t xml:space="preserve"> </w:t>
      </w:r>
      <w:r>
        <w:rPr>
          <w:color w:val="231F20"/>
          <w:w w:val="105"/>
        </w:rPr>
        <w:t>the</w:t>
      </w:r>
      <w:r>
        <w:rPr>
          <w:color w:val="231F20"/>
          <w:spacing w:val="-16"/>
          <w:w w:val="105"/>
        </w:rPr>
        <w:t xml:space="preserve"> </w:t>
      </w:r>
      <w:r>
        <w:rPr>
          <w:color w:val="231F20"/>
          <w:w w:val="105"/>
        </w:rPr>
        <w:t>shooting</w:t>
      </w:r>
      <w:r>
        <w:rPr>
          <w:color w:val="231F20"/>
          <w:spacing w:val="-16"/>
          <w:w w:val="105"/>
        </w:rPr>
        <w:t xml:space="preserve"> </w:t>
      </w:r>
      <w:r>
        <w:rPr>
          <w:color w:val="231F20"/>
          <w:w w:val="105"/>
        </w:rPr>
        <w:t>of</w:t>
      </w:r>
      <w:r>
        <w:rPr>
          <w:color w:val="231F20"/>
          <w:spacing w:val="-16"/>
          <w:w w:val="105"/>
        </w:rPr>
        <w:t xml:space="preserve"> </w:t>
      </w:r>
      <w:r>
        <w:rPr>
          <w:color w:val="231F20"/>
          <w:w w:val="105"/>
        </w:rPr>
        <w:t>von</w:t>
      </w:r>
      <w:r>
        <w:rPr>
          <w:color w:val="231F20"/>
          <w:spacing w:val="-16"/>
          <w:w w:val="105"/>
        </w:rPr>
        <w:t xml:space="preserve"> </w:t>
      </w:r>
      <w:r>
        <w:rPr>
          <w:color w:val="231F20"/>
          <w:w w:val="105"/>
        </w:rPr>
        <w:t>Drenkmann. Many</w:t>
      </w:r>
      <w:r>
        <w:rPr>
          <w:color w:val="231F20"/>
          <w:spacing w:val="-16"/>
          <w:w w:val="105"/>
        </w:rPr>
        <w:t xml:space="preserve"> </w:t>
      </w:r>
      <w:r>
        <w:rPr>
          <w:color w:val="231F20"/>
          <w:w w:val="105"/>
        </w:rPr>
        <w:t>people</w:t>
      </w:r>
      <w:r>
        <w:rPr>
          <w:color w:val="231F20"/>
          <w:spacing w:val="-16"/>
          <w:w w:val="105"/>
        </w:rPr>
        <w:t xml:space="preserve"> </w:t>
      </w:r>
      <w:r>
        <w:rPr>
          <w:color w:val="231F20"/>
          <w:w w:val="105"/>
        </w:rPr>
        <w:t>understood</w:t>
      </w:r>
      <w:r>
        <w:rPr>
          <w:color w:val="231F20"/>
          <w:spacing w:val="-16"/>
          <w:w w:val="105"/>
        </w:rPr>
        <w:t xml:space="preserve"> </w:t>
      </w:r>
      <w:r>
        <w:rPr>
          <w:color w:val="231F20"/>
          <w:w w:val="105"/>
        </w:rPr>
        <w:t>clearly</w:t>
      </w:r>
      <w:r>
        <w:rPr>
          <w:color w:val="231F20"/>
          <w:spacing w:val="-16"/>
          <w:w w:val="105"/>
        </w:rPr>
        <w:t xml:space="preserve"> </w:t>
      </w:r>
      <w:r>
        <w:rPr>
          <w:color w:val="231F20"/>
          <w:w w:val="105"/>
        </w:rPr>
        <w:t>that</w:t>
      </w:r>
      <w:r>
        <w:rPr>
          <w:color w:val="231F20"/>
          <w:spacing w:val="-16"/>
          <w:w w:val="105"/>
        </w:rPr>
        <w:t xml:space="preserve"> </w:t>
      </w:r>
      <w:r>
        <w:rPr>
          <w:color w:val="231F20"/>
          <w:w w:val="105"/>
        </w:rPr>
        <w:t>torture</w:t>
      </w:r>
      <w:r>
        <w:rPr>
          <w:color w:val="231F20"/>
          <w:spacing w:val="-16"/>
          <w:w w:val="105"/>
        </w:rPr>
        <w:t xml:space="preserve"> </w:t>
      </w:r>
      <w:r>
        <w:rPr>
          <w:color w:val="231F20"/>
          <w:w w:val="105"/>
        </w:rPr>
        <w:t>occurred</w:t>
      </w:r>
      <w:r>
        <w:rPr>
          <w:color w:val="231F20"/>
          <w:spacing w:val="-16"/>
          <w:w w:val="105"/>
        </w:rPr>
        <w:t xml:space="preserve"> </w:t>
      </w:r>
      <w:r>
        <w:rPr>
          <w:color w:val="231F20"/>
          <w:w w:val="105"/>
        </w:rPr>
        <w:t>even</w:t>
      </w:r>
      <w:r>
        <w:rPr>
          <w:color w:val="231F20"/>
          <w:spacing w:val="-16"/>
          <w:w w:val="105"/>
        </w:rPr>
        <w:t xml:space="preserve"> </w:t>
      </w:r>
      <w:r>
        <w:rPr>
          <w:color w:val="231F20"/>
          <w:w w:val="105"/>
        </w:rPr>
        <w:t>in</w:t>
      </w:r>
      <w:r>
        <w:rPr>
          <w:color w:val="231F20"/>
          <w:spacing w:val="-16"/>
          <w:w w:val="105"/>
        </w:rPr>
        <w:t xml:space="preserve"> </w:t>
      </w:r>
      <w:r>
        <w:rPr>
          <w:color w:val="231F20"/>
          <w:w w:val="105"/>
        </w:rPr>
        <w:t>German prisons. Is that really nothing? Do you really see that as a sign of the entire left being on the</w:t>
      </w:r>
      <w:r>
        <w:rPr>
          <w:color w:val="231F20"/>
          <w:spacing w:val="28"/>
          <w:w w:val="105"/>
        </w:rPr>
        <w:t xml:space="preserve"> </w:t>
      </w:r>
      <w:r>
        <w:rPr>
          <w:color w:val="231F20"/>
          <w:w w:val="105"/>
        </w:rPr>
        <w:t>defensive?</w:t>
      </w:r>
      <w:r>
        <w:rPr>
          <w:color w:val="231F20"/>
          <w:w w:val="105"/>
          <w:position w:val="7"/>
          <w:sz w:val="11"/>
        </w:rPr>
        <w:t>4</w:t>
      </w:r>
    </w:p>
    <w:p w14:paraId="1819B62D" w14:textId="77777777" w:rsidR="002653E8" w:rsidRDefault="003115E3">
      <w:pPr>
        <w:pStyle w:val="a3"/>
        <w:spacing w:line="219" w:lineRule="exact"/>
        <w:ind w:left="1537"/>
      </w:pPr>
      <w:r>
        <w:rPr>
          <w:color w:val="231F20"/>
        </w:rPr>
        <w:t>Besides the broad-based solidarity during the hunger strike, things</w:t>
      </w:r>
    </w:p>
    <w:p w14:paraId="2D6E90B9" w14:textId="77777777" w:rsidR="002653E8" w:rsidRDefault="003115E3">
      <w:pPr>
        <w:pStyle w:val="a3"/>
        <w:spacing w:before="22" w:line="264" w:lineRule="auto"/>
        <w:ind w:left="1327" w:right="1146"/>
        <w:jc w:val="both"/>
      </w:pPr>
      <w:r>
        <w:rPr>
          <w:color w:val="231F20"/>
          <w:w w:val="105"/>
        </w:rPr>
        <w:t>have developed and are developing that are far from discouraging, things</w:t>
      </w:r>
      <w:r>
        <w:rPr>
          <w:color w:val="231F20"/>
          <w:spacing w:val="-33"/>
          <w:w w:val="105"/>
        </w:rPr>
        <w:t xml:space="preserve"> </w:t>
      </w:r>
      <w:r>
        <w:rPr>
          <w:color w:val="231F20"/>
          <w:w w:val="105"/>
        </w:rPr>
        <w:t>that</w:t>
      </w:r>
      <w:r>
        <w:rPr>
          <w:color w:val="231F20"/>
          <w:spacing w:val="-33"/>
          <w:w w:val="105"/>
        </w:rPr>
        <w:t xml:space="preserve"> </w:t>
      </w:r>
      <w:r>
        <w:rPr>
          <w:color w:val="231F20"/>
          <w:w w:val="105"/>
        </w:rPr>
        <w:t>you</w:t>
      </w:r>
      <w:r>
        <w:rPr>
          <w:color w:val="231F20"/>
          <w:spacing w:val="-33"/>
          <w:w w:val="105"/>
        </w:rPr>
        <w:t xml:space="preserve"> </w:t>
      </w:r>
      <w:r>
        <w:rPr>
          <w:color w:val="231F20"/>
          <w:w w:val="105"/>
        </w:rPr>
        <w:t>have</w:t>
      </w:r>
      <w:r>
        <w:rPr>
          <w:color w:val="231F20"/>
          <w:spacing w:val="-33"/>
          <w:w w:val="105"/>
        </w:rPr>
        <w:t xml:space="preserve"> </w:t>
      </w:r>
      <w:r>
        <w:rPr>
          <w:color w:val="231F20"/>
          <w:w w:val="105"/>
        </w:rPr>
        <w:t>only</w:t>
      </w:r>
      <w:r>
        <w:rPr>
          <w:color w:val="231F20"/>
          <w:spacing w:val="-33"/>
          <w:w w:val="105"/>
        </w:rPr>
        <w:t xml:space="preserve"> </w:t>
      </w:r>
      <w:r>
        <w:rPr>
          <w:color w:val="231F20"/>
          <w:w w:val="105"/>
        </w:rPr>
        <w:t>partially</w:t>
      </w:r>
      <w:r>
        <w:rPr>
          <w:color w:val="231F20"/>
          <w:spacing w:val="-33"/>
          <w:w w:val="105"/>
        </w:rPr>
        <w:t xml:space="preserve"> </w:t>
      </w:r>
      <w:r>
        <w:rPr>
          <w:color w:val="231F20"/>
          <w:w w:val="105"/>
        </w:rPr>
        <w:t>grasped.</w:t>
      </w:r>
      <w:r>
        <w:rPr>
          <w:color w:val="231F20"/>
          <w:spacing w:val="-33"/>
          <w:w w:val="105"/>
        </w:rPr>
        <w:t xml:space="preserve"> </w:t>
      </w:r>
      <w:r>
        <w:rPr>
          <w:color w:val="231F20"/>
          <w:w w:val="105"/>
        </w:rPr>
        <w:t>Recent</w:t>
      </w:r>
      <w:r>
        <w:rPr>
          <w:color w:val="231F20"/>
          <w:spacing w:val="-33"/>
          <w:w w:val="105"/>
        </w:rPr>
        <w:t xml:space="preserve"> </w:t>
      </w:r>
      <w:r>
        <w:rPr>
          <w:color w:val="231F20"/>
          <w:w w:val="105"/>
        </w:rPr>
        <w:t>history</w:t>
      </w:r>
      <w:r>
        <w:rPr>
          <w:color w:val="231F20"/>
          <w:spacing w:val="-33"/>
          <w:w w:val="105"/>
        </w:rPr>
        <w:t xml:space="preserve"> </w:t>
      </w:r>
      <w:r>
        <w:rPr>
          <w:color w:val="231F20"/>
          <w:w w:val="105"/>
        </w:rPr>
        <w:t>clearly</w:t>
      </w:r>
      <w:r>
        <w:rPr>
          <w:color w:val="231F20"/>
          <w:spacing w:val="-33"/>
          <w:w w:val="105"/>
        </w:rPr>
        <w:t xml:space="preserve"> </w:t>
      </w:r>
      <w:r>
        <w:rPr>
          <w:color w:val="231F20"/>
          <w:w w:val="105"/>
        </w:rPr>
        <w:t>shows that</w:t>
      </w:r>
      <w:r>
        <w:rPr>
          <w:color w:val="231F20"/>
          <w:spacing w:val="-21"/>
          <w:w w:val="105"/>
        </w:rPr>
        <w:t xml:space="preserve"> </w:t>
      </w:r>
      <w:r>
        <w:rPr>
          <w:color w:val="231F20"/>
          <w:w w:val="105"/>
        </w:rPr>
        <w:t>the</w:t>
      </w:r>
      <w:r>
        <w:rPr>
          <w:color w:val="231F20"/>
          <w:spacing w:val="-21"/>
          <w:w w:val="105"/>
        </w:rPr>
        <w:t xml:space="preserve"> </w:t>
      </w:r>
      <w:r>
        <w:rPr>
          <w:color w:val="231F20"/>
          <w:w w:val="105"/>
        </w:rPr>
        <w:t>masses</w:t>
      </w:r>
      <w:r>
        <w:rPr>
          <w:color w:val="231F20"/>
          <w:spacing w:val="-21"/>
          <w:w w:val="105"/>
        </w:rPr>
        <w:t xml:space="preserve"> </w:t>
      </w:r>
      <w:r>
        <w:rPr>
          <w:color w:val="231F20"/>
          <w:w w:val="105"/>
        </w:rPr>
        <w:t>here</w:t>
      </w:r>
      <w:r>
        <w:rPr>
          <w:color w:val="231F20"/>
          <w:spacing w:val="-21"/>
          <w:w w:val="105"/>
        </w:rPr>
        <w:t xml:space="preserve"> </w:t>
      </w:r>
      <w:r>
        <w:rPr>
          <w:color w:val="231F20"/>
          <w:w w:val="105"/>
        </w:rPr>
        <w:t>have</w:t>
      </w:r>
      <w:r>
        <w:rPr>
          <w:color w:val="231F20"/>
          <w:spacing w:val="-21"/>
          <w:w w:val="105"/>
        </w:rPr>
        <w:t xml:space="preserve"> </w:t>
      </w:r>
      <w:r>
        <w:rPr>
          <w:color w:val="231F20"/>
          <w:w w:val="105"/>
        </w:rPr>
        <w:t>not</w:t>
      </w:r>
      <w:r>
        <w:rPr>
          <w:color w:val="231F20"/>
          <w:spacing w:val="-21"/>
          <w:w w:val="105"/>
        </w:rPr>
        <w:t xml:space="preserve"> </w:t>
      </w:r>
      <w:r>
        <w:rPr>
          <w:color w:val="231F20"/>
          <w:w w:val="105"/>
        </w:rPr>
        <w:t>been</w:t>
      </w:r>
      <w:r>
        <w:rPr>
          <w:color w:val="231F20"/>
          <w:spacing w:val="-21"/>
          <w:w w:val="105"/>
        </w:rPr>
        <w:t xml:space="preserve"> </w:t>
      </w:r>
      <w:r>
        <w:rPr>
          <w:color w:val="231F20"/>
          <w:w w:val="105"/>
        </w:rPr>
        <w:t>completely</w:t>
      </w:r>
      <w:r>
        <w:rPr>
          <w:color w:val="231F20"/>
          <w:spacing w:val="-21"/>
          <w:w w:val="105"/>
        </w:rPr>
        <w:t xml:space="preserve"> </w:t>
      </w:r>
      <w:r>
        <w:rPr>
          <w:color w:val="231F20"/>
          <w:w w:val="105"/>
        </w:rPr>
        <w:t>bought</w:t>
      </w:r>
      <w:r>
        <w:rPr>
          <w:color w:val="231F20"/>
          <w:spacing w:val="-21"/>
          <w:w w:val="105"/>
        </w:rPr>
        <w:t xml:space="preserve"> </w:t>
      </w:r>
      <w:r>
        <w:rPr>
          <w:color w:val="231F20"/>
          <w:w w:val="105"/>
        </w:rPr>
        <w:t>off.</w:t>
      </w:r>
      <w:r>
        <w:rPr>
          <w:color w:val="231F20"/>
          <w:spacing w:val="-21"/>
          <w:w w:val="105"/>
        </w:rPr>
        <w:t xml:space="preserve"> </w:t>
      </w:r>
      <w:r>
        <w:rPr>
          <w:color w:val="231F20"/>
          <w:w w:val="105"/>
        </w:rPr>
        <w:t>It</w:t>
      </w:r>
      <w:r>
        <w:rPr>
          <w:color w:val="231F20"/>
          <w:spacing w:val="-21"/>
          <w:w w:val="105"/>
        </w:rPr>
        <w:t xml:space="preserve"> </w:t>
      </w:r>
      <w:r>
        <w:rPr>
          <w:color w:val="231F20"/>
          <w:w w:val="105"/>
        </w:rPr>
        <w:t>also</w:t>
      </w:r>
      <w:r>
        <w:rPr>
          <w:color w:val="231F20"/>
          <w:spacing w:val="-21"/>
          <w:w w:val="105"/>
        </w:rPr>
        <w:t xml:space="preserve"> </w:t>
      </w:r>
      <w:r>
        <w:rPr>
          <w:color w:val="231F20"/>
          <w:w w:val="105"/>
        </w:rPr>
        <w:t>shows how fruitful this terrain can be: the Nordhorn-Range, the September</w:t>
      </w:r>
    </w:p>
    <w:p w14:paraId="05B2E1C7" w14:textId="77777777" w:rsidR="002653E8" w:rsidRDefault="00000000">
      <w:pPr>
        <w:pStyle w:val="a3"/>
        <w:spacing w:before="10"/>
      </w:pPr>
      <w:r>
        <w:rPr>
          <w:noProof w:val="0"/>
        </w:rPr>
        <w:pict w14:anchorId="52B60F7D">
          <v:line id="_x0000_s2217" style="position:absolute;z-index:9784;mso-wrap-distance-left:0;mso-wrap-distance-right:0;mso-position-horizontal-relative:page" from="66.4pt,14.45pt" to="138.4pt,14.45pt" strokecolor="#231f20" strokeweight=".5pt">
            <w10:wrap type="topAndBottom" anchorx="page"/>
          </v:line>
        </w:pict>
      </w:r>
    </w:p>
    <w:p w14:paraId="3A8C373B" w14:textId="77777777" w:rsidR="002653E8" w:rsidRDefault="003115E3">
      <w:pPr>
        <w:pStyle w:val="a4"/>
        <w:numPr>
          <w:ilvl w:val="0"/>
          <w:numId w:val="6"/>
        </w:numPr>
        <w:tabs>
          <w:tab w:val="left" w:pos="1467"/>
        </w:tabs>
        <w:spacing w:before="53" w:line="254" w:lineRule="auto"/>
        <w:ind w:right="1363" w:firstLine="0"/>
        <w:rPr>
          <w:sz w:val="16"/>
        </w:rPr>
      </w:pPr>
      <w:bookmarkStart w:id="228" w:name="_Hlk130777671"/>
      <w:r>
        <w:rPr>
          <w:color w:val="231F20"/>
          <w:sz w:val="16"/>
        </w:rPr>
        <w:t xml:space="preserve">The French playwright and existentialist philosopher had visited Baader in </w:t>
      </w:r>
      <w:r>
        <w:rPr>
          <w:color w:val="231F20"/>
          <w:spacing w:val="1"/>
          <w:sz w:val="16"/>
        </w:rPr>
        <w:t xml:space="preserve">Stammheim </w:t>
      </w:r>
      <w:r>
        <w:rPr>
          <w:color w:val="231F20"/>
          <w:sz w:val="16"/>
        </w:rPr>
        <w:t xml:space="preserve">during the third hunger strike, decrying the isolation conditions  as torture which “provokes deficits in the prisoner; it leads him to stupefaction or to death.” </w:t>
      </w:r>
      <w:r>
        <w:rPr>
          <w:color w:val="231F20"/>
          <w:spacing w:val="1"/>
          <w:sz w:val="16"/>
        </w:rPr>
        <w:t xml:space="preserve">See </w:t>
      </w:r>
      <w:r>
        <w:rPr>
          <w:color w:val="231F20"/>
          <w:sz w:val="16"/>
        </w:rPr>
        <w:t>“The Slow Death of Andreas Baader by Jean-Paul Sartre”</w:t>
      </w:r>
      <w:hyperlink r:id="rId387">
        <w:r>
          <w:rPr>
            <w:color w:val="231F20"/>
            <w:sz w:val="16"/>
          </w:rPr>
          <w:t xml:space="preserve"> </w:t>
        </w:r>
        <w:r>
          <w:rPr>
            <w:color w:val="231F20"/>
            <w:w w:val="104"/>
            <w:sz w:val="16"/>
          </w:rPr>
          <w:t>h</w:t>
        </w:r>
        <w:r>
          <w:rPr>
            <w:color w:val="231F20"/>
            <w:spacing w:val="5"/>
            <w:w w:val="102"/>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spacing w:val="1"/>
            <w:w w:val="140"/>
            <w:sz w:val="16"/>
          </w:rPr>
          <w:t>.</w:t>
        </w:r>
        <w:r>
          <w:rPr>
            <w:color w:val="231F20"/>
            <w:spacing w:val="2"/>
            <w:w w:val="103"/>
            <w:sz w:val="16"/>
          </w:rPr>
          <w:t>m</w:t>
        </w:r>
        <w:r>
          <w:rPr>
            <w:color w:val="231F20"/>
            <w:spacing w:val="3"/>
            <w:w w:val="102"/>
            <w:sz w:val="16"/>
          </w:rPr>
          <w:t>ar</w:t>
        </w:r>
        <w:r>
          <w:rPr>
            <w:color w:val="231F20"/>
            <w:spacing w:val="5"/>
            <w:w w:val="119"/>
            <w:sz w:val="16"/>
          </w:rPr>
          <w:t>x</w:t>
        </w:r>
        <w:r>
          <w:rPr>
            <w:color w:val="231F20"/>
            <w:spacing w:val="1"/>
            <w:w w:val="103"/>
            <w:sz w:val="16"/>
          </w:rPr>
          <w:t>i</w:t>
        </w:r>
        <w:r>
          <w:rPr>
            <w:color w:val="231F20"/>
            <w:spacing w:val="1"/>
            <w:w w:val="93"/>
            <w:sz w:val="16"/>
          </w:rPr>
          <w:t>s</w:t>
        </w:r>
        <w:r>
          <w:rPr>
            <w:color w:val="231F20"/>
            <w:spacing w:val="2"/>
            <w:w w:val="102"/>
            <w:sz w:val="16"/>
          </w:rPr>
          <w:t>t</w:t>
        </w:r>
        <w:r>
          <w:rPr>
            <w:color w:val="231F20"/>
            <w:spacing w:val="1"/>
            <w:w w:val="93"/>
            <w:sz w:val="16"/>
          </w:rPr>
          <w:t>s</w:t>
        </w:r>
        <w:r>
          <w:rPr>
            <w:color w:val="231F20"/>
            <w:w w:val="140"/>
            <w:sz w:val="16"/>
          </w:rPr>
          <w:t>.</w:t>
        </w:r>
        <w:r>
          <w:rPr>
            <w:color w:val="231F20"/>
            <w:w w:val="108"/>
            <w:sz w:val="16"/>
          </w:rPr>
          <w:t>o</w:t>
        </w:r>
        <w:r>
          <w:rPr>
            <w:color w:val="231F20"/>
            <w:spacing w:val="1"/>
            <w:w w:val="97"/>
            <w:sz w:val="16"/>
          </w:rPr>
          <w:t>r</w:t>
        </w:r>
        <w:r>
          <w:rPr>
            <w:color w:val="231F20"/>
            <w:spacing w:val="8"/>
            <w:w w:val="104"/>
            <w:sz w:val="16"/>
          </w:rPr>
          <w:t>g</w:t>
        </w:r>
        <w:r>
          <w:rPr>
            <w:color w:val="231F20"/>
            <w:w w:val="58"/>
            <w:sz w:val="16"/>
          </w:rPr>
          <w:t>/</w:t>
        </w:r>
        <w:r>
          <w:rPr>
            <w:color w:val="231F20"/>
            <w:w w:val="97"/>
            <w:sz w:val="16"/>
          </w:rPr>
          <w:t>r</w:t>
        </w:r>
        <w:r>
          <w:rPr>
            <w:color w:val="231F20"/>
            <w:w w:val="94"/>
            <w:sz w:val="16"/>
          </w:rPr>
          <w:t>e</w:t>
        </w:r>
        <w:r>
          <w:rPr>
            <w:color w:val="231F20"/>
            <w:w w:val="114"/>
            <w:sz w:val="16"/>
          </w:rPr>
          <w:t>f</w:t>
        </w:r>
        <w:r>
          <w:rPr>
            <w:color w:val="231F20"/>
            <w:w w:val="94"/>
            <w:sz w:val="16"/>
          </w:rPr>
          <w:t>e</w:t>
        </w:r>
        <w:r>
          <w:rPr>
            <w:color w:val="231F20"/>
            <w:w w:val="97"/>
            <w:sz w:val="16"/>
          </w:rPr>
          <w:t>r</w:t>
        </w:r>
        <w:r>
          <w:rPr>
            <w:color w:val="231F20"/>
            <w:w w:val="94"/>
            <w:sz w:val="16"/>
          </w:rPr>
          <w:t>e</w:t>
        </w:r>
        <w:r>
          <w:rPr>
            <w:color w:val="231F20"/>
            <w:w w:val="103"/>
            <w:sz w:val="16"/>
          </w:rPr>
          <w:t>n</w:t>
        </w:r>
        <w:r>
          <w:rPr>
            <w:color w:val="231F20"/>
            <w:spacing w:val="2"/>
            <w:w w:val="104"/>
            <w:sz w:val="16"/>
          </w:rPr>
          <w:t>c</w:t>
        </w:r>
        <w:r>
          <w:rPr>
            <w:color w:val="231F20"/>
            <w:spacing w:val="5"/>
            <w:w w:val="94"/>
            <w:sz w:val="16"/>
          </w:rPr>
          <w:t>e</w:t>
        </w:r>
        <w:r>
          <w:rPr>
            <w:color w:val="231F20"/>
            <w:spacing w:val="-3"/>
            <w:w w:val="58"/>
            <w:sz w:val="16"/>
          </w:rPr>
          <w:t>/</w:t>
        </w:r>
        <w:r>
          <w:rPr>
            <w:color w:val="231F20"/>
            <w:spacing w:val="3"/>
            <w:w w:val="102"/>
            <w:sz w:val="16"/>
          </w:rPr>
          <w:t>a</w:t>
        </w:r>
        <w:r>
          <w:rPr>
            <w:color w:val="231F20"/>
            <w:w w:val="102"/>
            <w:sz w:val="16"/>
          </w:rPr>
          <w:t>r</w:t>
        </w:r>
        <w:r>
          <w:rPr>
            <w:color w:val="231F20"/>
            <w:w w:val="104"/>
            <w:sz w:val="16"/>
          </w:rPr>
          <w:t>c</w:t>
        </w:r>
        <w:r>
          <w:rPr>
            <w:color w:val="231F20"/>
            <w:spacing w:val="3"/>
            <w:w w:val="104"/>
            <w:sz w:val="16"/>
          </w:rPr>
          <w:t>h</w:t>
        </w:r>
        <w:r>
          <w:rPr>
            <w:color w:val="231F20"/>
            <w:spacing w:val="-1"/>
            <w:w w:val="104"/>
            <w:sz w:val="16"/>
          </w:rPr>
          <w:t>i</w:t>
        </w:r>
        <w:r>
          <w:rPr>
            <w:color w:val="231F20"/>
            <w:spacing w:val="-1"/>
            <w:w w:val="102"/>
            <w:sz w:val="16"/>
          </w:rPr>
          <w:t>v</w:t>
        </w:r>
        <w:r>
          <w:rPr>
            <w:color w:val="231F20"/>
            <w:spacing w:val="5"/>
            <w:w w:val="94"/>
            <w:sz w:val="16"/>
          </w:rPr>
          <w:t>e</w:t>
        </w:r>
        <w:r>
          <w:rPr>
            <w:color w:val="231F20"/>
            <w:spacing w:val="-2"/>
            <w:w w:val="58"/>
            <w:sz w:val="16"/>
          </w:rPr>
          <w:t>/</w:t>
        </w:r>
        <w:r>
          <w:rPr>
            <w:color w:val="231F20"/>
            <w:spacing w:val="1"/>
            <w:w w:val="93"/>
            <w:sz w:val="16"/>
          </w:rPr>
          <w:t>s</w:t>
        </w:r>
        <w:r>
          <w:rPr>
            <w:color w:val="231F20"/>
            <w:spacing w:val="3"/>
            <w:w w:val="102"/>
            <w:sz w:val="16"/>
          </w:rPr>
          <w:t>a</w:t>
        </w:r>
        <w:r>
          <w:rPr>
            <w:color w:val="231F20"/>
            <w:spacing w:val="5"/>
            <w:w w:val="102"/>
            <w:sz w:val="16"/>
          </w:rPr>
          <w:t>r</w:t>
        </w:r>
        <w:r>
          <w:rPr>
            <w:color w:val="231F20"/>
            <w:spacing w:val="3"/>
            <w:w w:val="99"/>
            <w:sz w:val="16"/>
          </w:rPr>
          <w:t>t</w:t>
        </w:r>
        <w:r>
          <w:rPr>
            <w:color w:val="231F20"/>
            <w:w w:val="99"/>
            <w:sz w:val="16"/>
          </w:rPr>
          <w:t>r</w:t>
        </w:r>
        <w:r>
          <w:rPr>
            <w:color w:val="231F20"/>
            <w:spacing w:val="5"/>
            <w:w w:val="94"/>
            <w:sz w:val="16"/>
          </w:rPr>
          <w:t>e</w:t>
        </w:r>
        <w:r>
          <w:rPr>
            <w:color w:val="231F20"/>
            <w:spacing w:val="-3"/>
            <w:w w:val="58"/>
            <w:sz w:val="16"/>
          </w:rPr>
          <w:t>/</w:t>
        </w:r>
        <w:r>
          <w:rPr>
            <w:color w:val="231F20"/>
            <w:spacing w:val="-6"/>
            <w:w w:val="104"/>
            <w:sz w:val="16"/>
          </w:rPr>
          <w:t>1</w:t>
        </w:r>
        <w:r>
          <w:rPr>
            <w:color w:val="231F20"/>
            <w:w w:val="104"/>
            <w:sz w:val="16"/>
          </w:rPr>
          <w:t>9</w:t>
        </w:r>
        <w:r>
          <w:rPr>
            <w:color w:val="231F20"/>
            <w:spacing w:val="-11"/>
            <w:w w:val="104"/>
            <w:sz w:val="16"/>
          </w:rPr>
          <w:t>7</w:t>
        </w:r>
        <w:r>
          <w:rPr>
            <w:color w:val="231F20"/>
            <w:spacing w:val="5"/>
            <w:w w:val="104"/>
            <w:sz w:val="16"/>
          </w:rPr>
          <w:t>4</w:t>
        </w:r>
        <w:r>
          <w:rPr>
            <w:color w:val="231F20"/>
            <w:spacing w:val="6"/>
            <w:w w:val="58"/>
            <w:sz w:val="16"/>
          </w:rPr>
          <w:t>/</w:t>
        </w:r>
        <w:r>
          <w:rPr>
            <w:color w:val="231F20"/>
            <w:w w:val="105"/>
            <w:sz w:val="16"/>
          </w:rPr>
          <w:t>b</w:t>
        </w:r>
        <w:r>
          <w:rPr>
            <w:color w:val="231F20"/>
            <w:spacing w:val="1"/>
            <w:w w:val="106"/>
            <w:sz w:val="16"/>
          </w:rPr>
          <w:t>a</w:t>
        </w:r>
        <w:r>
          <w:rPr>
            <w:color w:val="231F20"/>
            <w:spacing w:val="-1"/>
            <w:w w:val="106"/>
            <w:sz w:val="16"/>
          </w:rPr>
          <w:t>a</w:t>
        </w:r>
        <w:r>
          <w:rPr>
            <w:color w:val="231F20"/>
            <w:w w:val="103"/>
            <w:sz w:val="16"/>
          </w:rPr>
          <w:t>d</w:t>
        </w:r>
        <w:r>
          <w:rPr>
            <w:color w:val="231F20"/>
            <w:w w:val="94"/>
            <w:sz w:val="16"/>
          </w:rPr>
          <w:t>e</w:t>
        </w:r>
        <w:r>
          <w:rPr>
            <w:color w:val="231F20"/>
            <w:spacing w:val="-4"/>
            <w:w w:val="111"/>
            <w:sz w:val="16"/>
          </w:rPr>
          <w:t>r</w:t>
        </w:r>
        <w:r>
          <w:rPr>
            <w:color w:val="231F20"/>
            <w:spacing w:val="1"/>
            <w:w w:val="111"/>
            <w:sz w:val="16"/>
          </w:rPr>
          <w:t>.</w:t>
        </w:r>
        <w:r>
          <w:rPr>
            <w:color w:val="231F20"/>
            <w:w w:val="104"/>
            <w:sz w:val="16"/>
          </w:rPr>
          <w:t>h</w:t>
        </w:r>
        <w:r>
          <w:rPr>
            <w:color w:val="231F20"/>
            <w:spacing w:val="3"/>
            <w:w w:val="102"/>
            <w:sz w:val="16"/>
          </w:rPr>
          <w:t>t</w:t>
        </w:r>
        <w:r>
          <w:rPr>
            <w:color w:val="231F20"/>
            <w:spacing w:val="1"/>
            <w:w w:val="103"/>
            <w:sz w:val="16"/>
          </w:rPr>
          <w:t>m</w:t>
        </w:r>
        <w:r>
          <w:rPr>
            <w:color w:val="231F20"/>
            <w:w w:val="140"/>
            <w:sz w:val="16"/>
          </w:rPr>
          <w:t>.</w:t>
        </w:r>
      </w:hyperlink>
    </w:p>
    <w:p w14:paraId="302FA528" w14:textId="77777777" w:rsidR="002653E8" w:rsidRDefault="003115E3">
      <w:pPr>
        <w:pStyle w:val="a4"/>
        <w:numPr>
          <w:ilvl w:val="0"/>
          <w:numId w:val="6"/>
        </w:numPr>
        <w:tabs>
          <w:tab w:val="left" w:pos="1467"/>
        </w:tabs>
        <w:spacing w:before="42"/>
        <w:ind w:firstLine="0"/>
        <w:rPr>
          <w:sz w:val="16"/>
        </w:rPr>
      </w:pPr>
      <w:r>
        <w:rPr>
          <w:color w:val="231F20"/>
          <w:w w:val="105"/>
          <w:sz w:val="16"/>
        </w:rPr>
        <w:t>Karl</w:t>
      </w:r>
      <w:r>
        <w:rPr>
          <w:color w:val="231F20"/>
          <w:spacing w:val="7"/>
          <w:w w:val="105"/>
          <w:sz w:val="16"/>
        </w:rPr>
        <w:t xml:space="preserve"> </w:t>
      </w:r>
      <w:r>
        <w:rPr>
          <w:color w:val="231F20"/>
          <w:w w:val="105"/>
          <w:sz w:val="16"/>
        </w:rPr>
        <w:t>Scharf</w:t>
      </w:r>
      <w:r>
        <w:rPr>
          <w:color w:val="231F20"/>
          <w:spacing w:val="7"/>
          <w:w w:val="105"/>
          <w:sz w:val="16"/>
        </w:rPr>
        <w:t xml:space="preserve"> </w:t>
      </w:r>
      <w:r>
        <w:rPr>
          <w:color w:val="231F20"/>
          <w:w w:val="105"/>
          <w:sz w:val="16"/>
        </w:rPr>
        <w:t>was</w:t>
      </w:r>
      <w:r>
        <w:rPr>
          <w:color w:val="231F20"/>
          <w:spacing w:val="7"/>
          <w:w w:val="105"/>
          <w:sz w:val="16"/>
        </w:rPr>
        <w:t xml:space="preserve"> </w:t>
      </w:r>
      <w:r>
        <w:rPr>
          <w:color w:val="231F20"/>
          <w:w w:val="105"/>
          <w:sz w:val="16"/>
        </w:rPr>
        <w:t>at</w:t>
      </w:r>
      <w:r>
        <w:rPr>
          <w:color w:val="231F20"/>
          <w:spacing w:val="7"/>
          <w:w w:val="105"/>
          <w:sz w:val="16"/>
        </w:rPr>
        <w:t xml:space="preserve"> </w:t>
      </w:r>
      <w:r>
        <w:rPr>
          <w:color w:val="231F20"/>
          <w:w w:val="105"/>
          <w:sz w:val="16"/>
        </w:rPr>
        <w:t>this</w:t>
      </w:r>
      <w:r>
        <w:rPr>
          <w:color w:val="231F20"/>
          <w:spacing w:val="7"/>
          <w:w w:val="105"/>
          <w:sz w:val="16"/>
        </w:rPr>
        <w:t xml:space="preserve"> </w:t>
      </w:r>
      <w:r>
        <w:rPr>
          <w:color w:val="231F20"/>
          <w:w w:val="105"/>
          <w:sz w:val="16"/>
        </w:rPr>
        <w:t>time</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Lutheran</w:t>
      </w:r>
      <w:r>
        <w:rPr>
          <w:color w:val="231F20"/>
          <w:spacing w:val="7"/>
          <w:w w:val="105"/>
          <w:sz w:val="16"/>
        </w:rPr>
        <w:t xml:space="preserve"> </w:t>
      </w:r>
      <w:r>
        <w:rPr>
          <w:color w:val="231F20"/>
          <w:w w:val="105"/>
          <w:sz w:val="16"/>
        </w:rPr>
        <w:t>Bishop</w:t>
      </w:r>
      <w:r>
        <w:rPr>
          <w:color w:val="231F20"/>
          <w:spacing w:val="7"/>
          <w:w w:val="105"/>
          <w:sz w:val="16"/>
        </w:rPr>
        <w:t xml:space="preserve"> </w:t>
      </w:r>
      <w:r>
        <w:rPr>
          <w:color w:val="231F20"/>
          <w:w w:val="105"/>
          <w:sz w:val="16"/>
        </w:rPr>
        <w:t>of</w:t>
      </w:r>
      <w:r>
        <w:rPr>
          <w:color w:val="231F20"/>
          <w:spacing w:val="7"/>
          <w:w w:val="105"/>
          <w:sz w:val="16"/>
        </w:rPr>
        <w:t xml:space="preserve"> </w:t>
      </w:r>
      <w:r>
        <w:rPr>
          <w:color w:val="231F20"/>
          <w:w w:val="105"/>
          <w:sz w:val="16"/>
        </w:rPr>
        <w:t>West</w:t>
      </w:r>
      <w:r>
        <w:rPr>
          <w:color w:val="231F20"/>
          <w:spacing w:val="7"/>
          <w:w w:val="105"/>
          <w:sz w:val="16"/>
        </w:rPr>
        <w:t xml:space="preserve"> </w:t>
      </w:r>
      <w:r>
        <w:rPr>
          <w:color w:val="231F20"/>
          <w:w w:val="105"/>
          <w:sz w:val="16"/>
        </w:rPr>
        <w:t>Berlin.</w:t>
      </w:r>
    </w:p>
    <w:p w14:paraId="2EDFB764" w14:textId="77777777" w:rsidR="002653E8" w:rsidRDefault="003115E3">
      <w:pPr>
        <w:pStyle w:val="a4"/>
        <w:numPr>
          <w:ilvl w:val="0"/>
          <w:numId w:val="6"/>
        </w:numPr>
        <w:tabs>
          <w:tab w:val="left" w:pos="1467"/>
        </w:tabs>
        <w:spacing w:before="51" w:line="254" w:lineRule="auto"/>
        <w:ind w:right="1376" w:firstLine="0"/>
        <w:rPr>
          <w:sz w:val="16"/>
        </w:rPr>
      </w:pPr>
      <w:r>
        <w:rPr>
          <w:color w:val="231F20"/>
          <w:spacing w:val="1"/>
          <w:w w:val="105"/>
          <w:sz w:val="16"/>
        </w:rPr>
        <w:t xml:space="preserve">This </w:t>
      </w:r>
      <w:r>
        <w:rPr>
          <w:color w:val="231F20"/>
          <w:w w:val="105"/>
          <w:sz w:val="16"/>
        </w:rPr>
        <w:t xml:space="preserve">paragraph is very much directed at the arguments made in the </w:t>
      </w:r>
      <w:r>
        <w:rPr>
          <w:color w:val="231F20"/>
          <w:spacing w:val="1"/>
          <w:w w:val="105"/>
          <w:sz w:val="16"/>
        </w:rPr>
        <w:t xml:space="preserve">Letter </w:t>
      </w:r>
      <w:r>
        <w:rPr>
          <w:color w:val="231F20"/>
          <w:w w:val="105"/>
          <w:sz w:val="16"/>
        </w:rPr>
        <w:t>from the</w:t>
      </w:r>
      <w:r>
        <w:rPr>
          <w:color w:val="231F20"/>
          <w:spacing w:val="8"/>
          <w:w w:val="105"/>
          <w:sz w:val="16"/>
        </w:rPr>
        <w:t xml:space="preserve"> </w:t>
      </w:r>
      <w:r w:rsidR="00C507A5">
        <w:rPr>
          <w:color w:val="231F20"/>
          <w:spacing w:val="3"/>
          <w:w w:val="105"/>
          <w:sz w:val="16"/>
        </w:rPr>
        <w:t>red army faction</w:t>
      </w:r>
      <w:r>
        <w:rPr>
          <w:color w:val="231F20"/>
          <w:spacing w:val="8"/>
          <w:w w:val="105"/>
          <w:sz w:val="16"/>
        </w:rPr>
        <w:t xml:space="preserve"> </w:t>
      </w:r>
      <w:r>
        <w:rPr>
          <w:color w:val="231F20"/>
          <w:w w:val="105"/>
          <w:sz w:val="16"/>
        </w:rPr>
        <w:t>to</w:t>
      </w:r>
      <w:r>
        <w:rPr>
          <w:color w:val="231F20"/>
          <w:spacing w:val="8"/>
          <w:w w:val="105"/>
          <w:sz w:val="16"/>
        </w:rPr>
        <w:t xml:space="preserve"> </w:t>
      </w:r>
      <w:r>
        <w:rPr>
          <w:color w:val="231F20"/>
          <w:w w:val="105"/>
          <w:sz w:val="16"/>
        </w:rPr>
        <w:t>the</w:t>
      </w:r>
      <w:r>
        <w:rPr>
          <w:color w:val="231F20"/>
          <w:spacing w:val="8"/>
          <w:w w:val="105"/>
          <w:sz w:val="16"/>
        </w:rPr>
        <w:t xml:space="preserve"> </w:t>
      </w:r>
      <w:r w:rsidR="00C507A5">
        <w:rPr>
          <w:color w:val="231F20"/>
          <w:spacing w:val="3"/>
          <w:w w:val="105"/>
          <w:sz w:val="16"/>
        </w:rPr>
        <w:t>red army faction</w:t>
      </w:r>
      <w:r>
        <w:rPr>
          <w:color w:val="231F20"/>
          <w:spacing w:val="8"/>
          <w:w w:val="105"/>
          <w:sz w:val="16"/>
        </w:rPr>
        <w:t xml:space="preserve"> </w:t>
      </w:r>
      <w:r>
        <w:rPr>
          <w:color w:val="231F20"/>
          <w:w w:val="105"/>
          <w:sz w:val="16"/>
        </w:rPr>
        <w:t>prisoners,</w:t>
      </w:r>
      <w:r>
        <w:rPr>
          <w:color w:val="231F20"/>
          <w:spacing w:val="8"/>
          <w:w w:val="105"/>
          <w:sz w:val="16"/>
        </w:rPr>
        <w:t xml:space="preserve"> </w:t>
      </w:r>
      <w:r>
        <w:rPr>
          <w:color w:val="231F20"/>
          <w:w w:val="105"/>
          <w:sz w:val="16"/>
        </w:rPr>
        <w:t>cf</w:t>
      </w:r>
      <w:r>
        <w:rPr>
          <w:color w:val="231F20"/>
          <w:spacing w:val="8"/>
          <w:w w:val="105"/>
          <w:sz w:val="16"/>
        </w:rPr>
        <w:t xml:space="preserve"> </w:t>
      </w:r>
      <w:r>
        <w:rPr>
          <w:color w:val="231F20"/>
          <w:spacing w:val="-5"/>
          <w:w w:val="105"/>
          <w:sz w:val="16"/>
        </w:rPr>
        <w:t>338.</w:t>
      </w:r>
    </w:p>
    <w:bookmarkEnd w:id="228"/>
    <w:p w14:paraId="578B3238" w14:textId="77777777" w:rsidR="002653E8" w:rsidRDefault="002653E8">
      <w:pPr>
        <w:spacing w:line="254" w:lineRule="auto"/>
        <w:rPr>
          <w:sz w:val="16"/>
        </w:rPr>
        <w:sectPr w:rsidR="002653E8">
          <w:pgSz w:w="8640" w:h="12960"/>
          <w:pgMar w:top="1060" w:right="0" w:bottom="1040" w:left="0" w:header="0" w:footer="850" w:gutter="0"/>
          <w:cols w:space="720"/>
        </w:sectPr>
      </w:pPr>
    </w:p>
    <w:p w14:paraId="121285B5" w14:textId="4958F438" w:rsidR="002653E8" w:rsidRDefault="003115E3">
      <w:pPr>
        <w:pStyle w:val="a3"/>
        <w:spacing w:before="86" w:line="264" w:lineRule="auto"/>
        <w:ind w:left="1147" w:right="1325"/>
        <w:jc w:val="both"/>
      </w:pPr>
      <w:r>
        <w:rPr>
          <w:color w:val="231F20"/>
        </w:rPr>
        <w:lastRenderedPageBreak/>
        <w:t xml:space="preserve">strikes of </w:t>
      </w:r>
      <w:r>
        <w:rPr>
          <w:color w:val="231F20"/>
          <w:spacing w:val="-4"/>
        </w:rPr>
        <w:t xml:space="preserve">73, </w:t>
      </w:r>
      <w:r>
        <w:rPr>
          <w:color w:val="231F20"/>
        </w:rPr>
        <w:t xml:space="preserve">the </w:t>
      </w:r>
      <w:r>
        <w:rPr>
          <w:color w:val="231F20"/>
          <w:spacing w:val="3"/>
        </w:rPr>
        <w:t xml:space="preserve">RZ </w:t>
      </w:r>
      <w:r>
        <w:rPr>
          <w:color w:val="231F20"/>
        </w:rPr>
        <w:t xml:space="preserve">attacks on ITT, Wyhl, Brokdorf, </w:t>
      </w:r>
      <w:r>
        <w:rPr>
          <w:color w:val="231F20"/>
          <w:spacing w:val="-3"/>
        </w:rPr>
        <w:t xml:space="preserve">women’s </w:t>
      </w:r>
      <w:r>
        <w:rPr>
          <w:color w:val="231F20"/>
        </w:rPr>
        <w:t xml:space="preserve">groups,  the attack by the women of the </w:t>
      </w:r>
      <w:r>
        <w:rPr>
          <w:color w:val="231F20"/>
          <w:spacing w:val="3"/>
        </w:rPr>
        <w:t xml:space="preserve">RZ </w:t>
      </w:r>
      <w:r>
        <w:rPr>
          <w:color w:val="231F20"/>
        </w:rPr>
        <w:t xml:space="preserve">against the Federal Constitutional Court due to </w:t>
      </w:r>
      <w:r>
        <w:rPr>
          <w:color w:val="231F20"/>
          <w:spacing w:val="-4"/>
          <w:sz w:val="18"/>
        </w:rPr>
        <w:t>§</w:t>
      </w:r>
      <w:r>
        <w:rPr>
          <w:color w:val="231F20"/>
          <w:spacing w:val="-4"/>
        </w:rPr>
        <w:t xml:space="preserve">218, </w:t>
      </w:r>
      <w:r>
        <w:rPr>
          <w:color w:val="231F20"/>
        </w:rPr>
        <w:t>forged public transit passes,</w:t>
      </w:r>
      <w:r>
        <w:rPr>
          <w:color w:val="231F20"/>
          <w:position w:val="7"/>
          <w:sz w:val="11"/>
        </w:rPr>
        <w:t xml:space="preserve">1 </w:t>
      </w:r>
      <w:r>
        <w:rPr>
          <w:color w:val="231F20"/>
        </w:rPr>
        <w:t>increasing struggle and politicization in the prisons, foreigners’ committees and groups, Lorenz and his vacation, riots in Frankfurt against public transit fare increases, squats, etc. That is also partially the result of your practice. Comrades, do these movements simply not exist in your minds? Or do you think they are of no importance? Are they not important enough for you in  the context of internationalism? Or do you consider them irrelevant because</w:t>
      </w:r>
      <w:r>
        <w:rPr>
          <w:color w:val="231F20"/>
          <w:spacing w:val="11"/>
        </w:rPr>
        <w:t xml:space="preserve"> </w:t>
      </w:r>
      <w:r>
        <w:rPr>
          <w:color w:val="231F20"/>
        </w:rPr>
        <w:t>they</w:t>
      </w:r>
      <w:r>
        <w:rPr>
          <w:color w:val="231F20"/>
          <w:spacing w:val="11"/>
        </w:rPr>
        <w:t xml:space="preserve"> </w:t>
      </w:r>
      <w:r>
        <w:rPr>
          <w:color w:val="231F20"/>
          <w:spacing w:val="-3"/>
        </w:rPr>
        <w:t>don’t</w:t>
      </w:r>
      <w:r>
        <w:rPr>
          <w:color w:val="231F20"/>
          <w:spacing w:val="11"/>
        </w:rPr>
        <w:t xml:space="preserve"> </w:t>
      </w:r>
      <w:r>
        <w:rPr>
          <w:color w:val="231F20"/>
        </w:rPr>
        <w:t>have</w:t>
      </w:r>
      <w:r>
        <w:rPr>
          <w:color w:val="231F20"/>
          <w:spacing w:val="11"/>
        </w:rPr>
        <w:t xml:space="preserve"> </w:t>
      </w:r>
      <w:r>
        <w:rPr>
          <w:color w:val="231F20"/>
        </w:rPr>
        <w:t>the</w:t>
      </w:r>
      <w:r>
        <w:rPr>
          <w:color w:val="231F20"/>
          <w:spacing w:val="11"/>
        </w:rPr>
        <w:t xml:space="preserve"> </w:t>
      </w:r>
      <w:r>
        <w:rPr>
          <w:color w:val="231F20"/>
        </w:rPr>
        <w:t>same</w:t>
      </w:r>
      <w:r>
        <w:rPr>
          <w:color w:val="231F20"/>
          <w:spacing w:val="11"/>
        </w:rPr>
        <w:t xml:space="preserve"> </w:t>
      </w:r>
      <w:r>
        <w:rPr>
          <w:color w:val="231F20"/>
        </w:rPr>
        <w:t>political</w:t>
      </w:r>
      <w:r>
        <w:rPr>
          <w:color w:val="231F20"/>
          <w:spacing w:val="11"/>
        </w:rPr>
        <w:t xml:space="preserve"> </w:t>
      </w:r>
      <w:r>
        <w:rPr>
          <w:color w:val="231F20"/>
        </w:rPr>
        <w:t>practice</w:t>
      </w:r>
      <w:r>
        <w:rPr>
          <w:color w:val="231F20"/>
          <w:spacing w:val="11"/>
        </w:rPr>
        <w:t xml:space="preserve"> </w:t>
      </w:r>
      <w:r>
        <w:rPr>
          <w:color w:val="231F20"/>
        </w:rPr>
        <w:t>as</w:t>
      </w:r>
      <w:r>
        <w:rPr>
          <w:color w:val="231F20"/>
          <w:spacing w:val="11"/>
        </w:rPr>
        <w:t xml:space="preserve"> </w:t>
      </w:r>
      <w:r>
        <w:rPr>
          <w:color w:val="231F20"/>
        </w:rPr>
        <w:t>the</w:t>
      </w:r>
      <w:r>
        <w:rPr>
          <w:color w:val="231F20"/>
          <w:spacing w:val="12"/>
        </w:rPr>
        <w:t xml:space="preserve"> </w:t>
      </w:r>
      <w:r w:rsidR="00C507A5">
        <w:rPr>
          <w:color w:val="231F20"/>
          <w:spacing w:val="2"/>
        </w:rPr>
        <w:t>red army faction</w:t>
      </w:r>
      <w:r>
        <w:rPr>
          <w:color w:val="231F20"/>
          <w:spacing w:val="2"/>
        </w:rPr>
        <w:t>?</w:t>
      </w:r>
    </w:p>
    <w:p w14:paraId="6BA031CA" w14:textId="77777777" w:rsidR="002653E8" w:rsidRDefault="003115E3">
      <w:pPr>
        <w:pStyle w:val="a3"/>
        <w:spacing w:line="264" w:lineRule="auto"/>
        <w:ind w:left="1147" w:right="1326" w:firstLine="210"/>
        <w:jc w:val="right"/>
      </w:pPr>
      <w:r>
        <w:rPr>
          <w:color w:val="231F20"/>
          <w:w w:val="105"/>
        </w:rPr>
        <w:t>And now to the particulars: we cannot accept the complete lack</w:t>
      </w:r>
      <w:r>
        <w:rPr>
          <w:color w:val="231F20"/>
          <w:spacing w:val="3"/>
          <w:w w:val="105"/>
        </w:rPr>
        <w:t xml:space="preserve"> </w:t>
      </w:r>
      <w:r>
        <w:rPr>
          <w:color w:val="231F20"/>
          <w:w w:val="105"/>
        </w:rPr>
        <w:t>of</w:t>
      </w:r>
      <w:r>
        <w:rPr>
          <w:color w:val="231F20"/>
          <w:w w:val="109"/>
        </w:rPr>
        <w:t xml:space="preserve"> </w:t>
      </w:r>
      <w:r>
        <w:rPr>
          <w:color w:val="231F20"/>
        </w:rPr>
        <w:t>solidarity with which you treat some comrades from</w:t>
      </w:r>
      <w:r>
        <w:rPr>
          <w:color w:val="231F20"/>
          <w:spacing w:val="37"/>
        </w:rPr>
        <w:t xml:space="preserve"> </w:t>
      </w:r>
      <w:r>
        <w:rPr>
          <w:color w:val="231F20"/>
        </w:rPr>
        <w:t>these</w:t>
      </w:r>
      <w:r>
        <w:rPr>
          <w:color w:val="231F20"/>
          <w:spacing w:val="3"/>
        </w:rPr>
        <w:t xml:space="preserve"> </w:t>
      </w:r>
      <w:r>
        <w:rPr>
          <w:color w:val="231F20"/>
        </w:rPr>
        <w:t>movements:</w:t>
      </w:r>
      <w:r>
        <w:rPr>
          <w:color w:val="231F20"/>
          <w:w w:val="105"/>
        </w:rPr>
        <w:t xml:space="preserve"> For</w:t>
      </w:r>
      <w:r>
        <w:rPr>
          <w:color w:val="231F20"/>
          <w:spacing w:val="10"/>
          <w:w w:val="105"/>
        </w:rPr>
        <w:t xml:space="preserve"> </w:t>
      </w:r>
      <w:r>
        <w:rPr>
          <w:color w:val="231F20"/>
          <w:w w:val="105"/>
        </w:rPr>
        <w:t>example,</w:t>
      </w:r>
      <w:r>
        <w:rPr>
          <w:color w:val="231F20"/>
          <w:spacing w:val="10"/>
          <w:w w:val="105"/>
        </w:rPr>
        <w:t xml:space="preserve"> </w:t>
      </w:r>
      <w:r>
        <w:rPr>
          <w:color w:val="231F20"/>
          <w:w w:val="105"/>
        </w:rPr>
        <w:t>the</w:t>
      </w:r>
      <w:r>
        <w:rPr>
          <w:color w:val="231F20"/>
          <w:spacing w:val="10"/>
          <w:w w:val="105"/>
        </w:rPr>
        <w:t xml:space="preserve"> </w:t>
      </w:r>
      <w:r>
        <w:rPr>
          <w:i/>
          <w:color w:val="231F20"/>
          <w:w w:val="105"/>
        </w:rPr>
        <w:t>Informationsdienst</w:t>
      </w:r>
      <w:r>
        <w:rPr>
          <w:i/>
          <w:color w:val="231F20"/>
          <w:spacing w:val="10"/>
          <w:w w:val="105"/>
        </w:rPr>
        <w:t xml:space="preserve"> </w:t>
      </w:r>
      <w:r>
        <w:rPr>
          <w:color w:val="231F20"/>
          <w:w w:val="105"/>
        </w:rPr>
        <w:t>writer</w:t>
      </w:r>
      <w:r>
        <w:rPr>
          <w:color w:val="231F20"/>
          <w:spacing w:val="10"/>
          <w:w w:val="105"/>
        </w:rPr>
        <w:t xml:space="preserve"> </w:t>
      </w:r>
      <w:r>
        <w:rPr>
          <w:color w:val="231F20"/>
          <w:w w:val="105"/>
        </w:rPr>
        <w:t>who</w:t>
      </w:r>
      <w:r>
        <w:rPr>
          <w:color w:val="231F20"/>
          <w:spacing w:val="10"/>
          <w:w w:val="105"/>
        </w:rPr>
        <w:t xml:space="preserve"> </w:t>
      </w:r>
      <w:r>
        <w:rPr>
          <w:color w:val="231F20"/>
          <w:w w:val="105"/>
        </w:rPr>
        <w:t>reported</w:t>
      </w:r>
      <w:r>
        <w:rPr>
          <w:color w:val="231F20"/>
          <w:spacing w:val="10"/>
          <w:w w:val="105"/>
        </w:rPr>
        <w:t xml:space="preserve"> </w:t>
      </w:r>
      <w:r>
        <w:rPr>
          <w:color w:val="231F20"/>
          <w:w w:val="105"/>
        </w:rPr>
        <w:t>on</w:t>
      </w:r>
      <w:r>
        <w:rPr>
          <w:color w:val="231F20"/>
          <w:spacing w:val="10"/>
          <w:w w:val="105"/>
        </w:rPr>
        <w:t xml:space="preserve"> </w:t>
      </w:r>
      <w:r>
        <w:rPr>
          <w:color w:val="231F20"/>
          <w:w w:val="105"/>
        </w:rPr>
        <w:t>your</w:t>
      </w:r>
      <w:r>
        <w:rPr>
          <w:color w:val="231F20"/>
          <w:w w:val="94"/>
        </w:rPr>
        <w:t xml:space="preserve"> </w:t>
      </w:r>
      <w:r>
        <w:rPr>
          <w:color w:val="231F20"/>
          <w:w w:val="105"/>
        </w:rPr>
        <w:t>trial.</w:t>
      </w:r>
      <w:r>
        <w:rPr>
          <w:color w:val="231F20"/>
          <w:spacing w:val="22"/>
          <w:w w:val="105"/>
        </w:rPr>
        <w:t xml:space="preserve"> </w:t>
      </w:r>
      <w:r>
        <w:rPr>
          <w:color w:val="231F20"/>
          <w:spacing w:val="-7"/>
          <w:w w:val="105"/>
        </w:rPr>
        <w:t>you</w:t>
      </w:r>
      <w:r>
        <w:rPr>
          <w:color w:val="231F20"/>
          <w:spacing w:val="22"/>
          <w:w w:val="105"/>
        </w:rPr>
        <w:t xml:space="preserve"> </w:t>
      </w:r>
      <w:r>
        <w:rPr>
          <w:color w:val="231F20"/>
          <w:w w:val="105"/>
        </w:rPr>
        <w:t>accused</w:t>
      </w:r>
      <w:r>
        <w:rPr>
          <w:color w:val="231F20"/>
          <w:spacing w:val="22"/>
          <w:w w:val="105"/>
        </w:rPr>
        <w:t xml:space="preserve"> </w:t>
      </w:r>
      <w:r>
        <w:rPr>
          <w:color w:val="231F20"/>
          <w:w w:val="105"/>
        </w:rPr>
        <w:t>him</w:t>
      </w:r>
      <w:r>
        <w:rPr>
          <w:color w:val="231F20"/>
          <w:spacing w:val="22"/>
          <w:w w:val="105"/>
        </w:rPr>
        <w:t xml:space="preserve"> </w:t>
      </w:r>
      <w:r>
        <w:rPr>
          <w:color w:val="231F20"/>
          <w:w w:val="105"/>
        </w:rPr>
        <w:t>of</w:t>
      </w:r>
      <w:r>
        <w:rPr>
          <w:color w:val="231F20"/>
          <w:spacing w:val="22"/>
          <w:w w:val="105"/>
        </w:rPr>
        <w:t xml:space="preserve"> </w:t>
      </w:r>
      <w:r>
        <w:rPr>
          <w:color w:val="231F20"/>
          <w:w w:val="105"/>
        </w:rPr>
        <w:t>objectively</w:t>
      </w:r>
      <w:r>
        <w:rPr>
          <w:color w:val="231F20"/>
          <w:spacing w:val="22"/>
          <w:w w:val="105"/>
        </w:rPr>
        <w:t xml:space="preserve"> </w:t>
      </w:r>
      <w:r>
        <w:rPr>
          <w:color w:val="231F20"/>
          <w:w w:val="105"/>
        </w:rPr>
        <w:t>being</w:t>
      </w:r>
      <w:r>
        <w:rPr>
          <w:color w:val="231F20"/>
          <w:spacing w:val="22"/>
          <w:w w:val="105"/>
        </w:rPr>
        <w:t xml:space="preserve"> </w:t>
      </w:r>
      <w:r>
        <w:rPr>
          <w:color w:val="231F20"/>
          <w:w w:val="105"/>
        </w:rPr>
        <w:t>a</w:t>
      </w:r>
      <w:r>
        <w:rPr>
          <w:color w:val="231F20"/>
          <w:spacing w:val="22"/>
          <w:w w:val="105"/>
        </w:rPr>
        <w:t xml:space="preserve"> </w:t>
      </w:r>
      <w:r>
        <w:rPr>
          <w:color w:val="231F20"/>
          <w:w w:val="105"/>
        </w:rPr>
        <w:t>cop,</w:t>
      </w:r>
      <w:r>
        <w:rPr>
          <w:color w:val="231F20"/>
          <w:spacing w:val="22"/>
          <w:w w:val="105"/>
        </w:rPr>
        <w:t xml:space="preserve"> </w:t>
      </w:r>
      <w:r>
        <w:rPr>
          <w:color w:val="231F20"/>
          <w:w w:val="105"/>
        </w:rPr>
        <w:t>because</w:t>
      </w:r>
      <w:r>
        <w:rPr>
          <w:color w:val="231F20"/>
          <w:spacing w:val="22"/>
          <w:w w:val="105"/>
        </w:rPr>
        <w:t xml:space="preserve"> </w:t>
      </w:r>
      <w:r>
        <w:rPr>
          <w:color w:val="231F20"/>
          <w:w w:val="105"/>
        </w:rPr>
        <w:t>he</w:t>
      </w:r>
      <w:r>
        <w:rPr>
          <w:color w:val="231F20"/>
          <w:spacing w:val="22"/>
          <w:w w:val="105"/>
        </w:rPr>
        <w:t xml:space="preserve"> </w:t>
      </w:r>
      <w:r>
        <w:rPr>
          <w:color w:val="231F20"/>
          <w:w w:val="105"/>
        </w:rPr>
        <w:t>didn’t</w:t>
      </w:r>
      <w:r>
        <w:rPr>
          <w:color w:val="231F20"/>
          <w:w w:val="98"/>
        </w:rPr>
        <w:t xml:space="preserve"> </w:t>
      </w:r>
      <w:r>
        <w:rPr>
          <w:color w:val="231F20"/>
          <w:w w:val="105"/>
        </w:rPr>
        <w:t>quote</w:t>
      </w:r>
      <w:r>
        <w:rPr>
          <w:color w:val="231F20"/>
          <w:spacing w:val="8"/>
          <w:w w:val="105"/>
        </w:rPr>
        <w:t xml:space="preserve"> </w:t>
      </w:r>
      <w:r>
        <w:rPr>
          <w:color w:val="231F20"/>
          <w:w w:val="105"/>
        </w:rPr>
        <w:t>Andreas</w:t>
      </w:r>
      <w:r>
        <w:rPr>
          <w:color w:val="231F20"/>
          <w:spacing w:val="8"/>
          <w:w w:val="105"/>
        </w:rPr>
        <w:t xml:space="preserve"> </w:t>
      </w:r>
      <w:r>
        <w:rPr>
          <w:color w:val="231F20"/>
          <w:w w:val="105"/>
        </w:rPr>
        <w:t>Baader</w:t>
      </w:r>
      <w:r>
        <w:rPr>
          <w:color w:val="231F20"/>
          <w:spacing w:val="8"/>
          <w:w w:val="105"/>
        </w:rPr>
        <w:t xml:space="preserve"> </w:t>
      </w:r>
      <w:r>
        <w:rPr>
          <w:color w:val="231F20"/>
          <w:w w:val="105"/>
        </w:rPr>
        <w:t>word</w:t>
      </w:r>
      <w:r>
        <w:rPr>
          <w:color w:val="231F20"/>
          <w:spacing w:val="8"/>
          <w:w w:val="105"/>
        </w:rPr>
        <w:t xml:space="preserve"> </w:t>
      </w:r>
      <w:r>
        <w:rPr>
          <w:color w:val="231F20"/>
          <w:w w:val="105"/>
        </w:rPr>
        <w:t>for</w:t>
      </w:r>
      <w:r>
        <w:rPr>
          <w:color w:val="231F20"/>
          <w:spacing w:val="8"/>
          <w:w w:val="105"/>
        </w:rPr>
        <w:t xml:space="preserve"> </w:t>
      </w:r>
      <w:r>
        <w:rPr>
          <w:color w:val="231F20"/>
          <w:w w:val="105"/>
        </w:rPr>
        <w:t>word.</w:t>
      </w:r>
      <w:r>
        <w:rPr>
          <w:color w:val="231F20"/>
          <w:spacing w:val="8"/>
          <w:w w:val="105"/>
        </w:rPr>
        <w:t xml:space="preserve"> </w:t>
      </w:r>
      <w:r>
        <w:rPr>
          <w:color w:val="231F20"/>
          <w:w w:val="105"/>
        </w:rPr>
        <w:t>When</w:t>
      </w:r>
      <w:r>
        <w:rPr>
          <w:color w:val="231F20"/>
          <w:spacing w:val="8"/>
          <w:w w:val="105"/>
        </w:rPr>
        <w:t xml:space="preserve"> </w:t>
      </w:r>
      <w:r>
        <w:rPr>
          <w:color w:val="231F20"/>
          <w:w w:val="105"/>
        </w:rPr>
        <w:t>this</w:t>
      </w:r>
      <w:r>
        <w:rPr>
          <w:color w:val="231F20"/>
          <w:spacing w:val="8"/>
          <w:w w:val="105"/>
        </w:rPr>
        <w:t xml:space="preserve"> </w:t>
      </w:r>
      <w:r>
        <w:rPr>
          <w:color w:val="231F20"/>
          <w:w w:val="105"/>
        </w:rPr>
        <w:t>“objective</w:t>
      </w:r>
      <w:r>
        <w:rPr>
          <w:color w:val="231F20"/>
          <w:spacing w:val="8"/>
          <w:w w:val="105"/>
        </w:rPr>
        <w:t xml:space="preserve"> </w:t>
      </w:r>
      <w:r>
        <w:rPr>
          <w:color w:val="231F20"/>
          <w:w w:val="105"/>
        </w:rPr>
        <w:t>cop”</w:t>
      </w:r>
      <w:r>
        <w:rPr>
          <w:color w:val="231F20"/>
          <w:spacing w:val="8"/>
          <w:w w:val="105"/>
        </w:rPr>
        <w:t xml:space="preserve"> </w:t>
      </w:r>
      <w:r>
        <w:rPr>
          <w:color w:val="231F20"/>
          <w:w w:val="105"/>
        </w:rPr>
        <w:t>responded</w:t>
      </w:r>
      <w:r>
        <w:rPr>
          <w:color w:val="231F20"/>
          <w:spacing w:val="-16"/>
          <w:w w:val="105"/>
        </w:rPr>
        <w:t xml:space="preserve"> </w:t>
      </w:r>
      <w:r>
        <w:rPr>
          <w:color w:val="231F20"/>
          <w:w w:val="105"/>
        </w:rPr>
        <w:t>in</w:t>
      </w:r>
      <w:r>
        <w:rPr>
          <w:color w:val="231F20"/>
          <w:spacing w:val="-16"/>
          <w:w w:val="105"/>
        </w:rPr>
        <w:t xml:space="preserve"> </w:t>
      </w:r>
      <w:r>
        <w:rPr>
          <w:color w:val="231F20"/>
          <w:w w:val="105"/>
        </w:rPr>
        <w:t>a</w:t>
      </w:r>
      <w:r>
        <w:rPr>
          <w:color w:val="231F20"/>
          <w:spacing w:val="-16"/>
          <w:w w:val="105"/>
        </w:rPr>
        <w:t xml:space="preserve"> </w:t>
      </w:r>
      <w:r>
        <w:rPr>
          <w:color w:val="231F20"/>
          <w:spacing w:val="-2"/>
          <w:w w:val="105"/>
        </w:rPr>
        <w:t>way</w:t>
      </w:r>
      <w:r>
        <w:rPr>
          <w:color w:val="231F20"/>
          <w:spacing w:val="-16"/>
          <w:w w:val="105"/>
        </w:rPr>
        <w:t xml:space="preserve"> </w:t>
      </w:r>
      <w:r>
        <w:rPr>
          <w:color w:val="231F20"/>
          <w:w w:val="105"/>
        </w:rPr>
        <w:t>that</w:t>
      </w:r>
      <w:r>
        <w:rPr>
          <w:color w:val="231F20"/>
          <w:spacing w:val="-16"/>
          <w:w w:val="105"/>
        </w:rPr>
        <w:t xml:space="preserve"> </w:t>
      </w:r>
      <w:r>
        <w:rPr>
          <w:color w:val="231F20"/>
          <w:w w:val="105"/>
        </w:rPr>
        <w:t>showed</w:t>
      </w:r>
      <w:r>
        <w:rPr>
          <w:color w:val="231F20"/>
          <w:spacing w:val="-16"/>
          <w:w w:val="105"/>
        </w:rPr>
        <w:t xml:space="preserve"> </w:t>
      </w:r>
      <w:r>
        <w:rPr>
          <w:color w:val="231F20"/>
          <w:w w:val="105"/>
        </w:rPr>
        <w:t>solidarity,</w:t>
      </w:r>
      <w:r>
        <w:rPr>
          <w:color w:val="231F20"/>
          <w:spacing w:val="-16"/>
          <w:w w:val="105"/>
        </w:rPr>
        <w:t xml:space="preserve"> </w:t>
      </w:r>
      <w:r>
        <w:rPr>
          <w:color w:val="231F20"/>
          <w:w w:val="105"/>
        </w:rPr>
        <w:t>you</w:t>
      </w:r>
      <w:r>
        <w:rPr>
          <w:color w:val="231F20"/>
          <w:spacing w:val="-16"/>
          <w:w w:val="105"/>
        </w:rPr>
        <w:t xml:space="preserve"> </w:t>
      </w:r>
      <w:r>
        <w:rPr>
          <w:color w:val="231F20"/>
          <w:w w:val="105"/>
        </w:rPr>
        <w:t>broke</w:t>
      </w:r>
      <w:r>
        <w:rPr>
          <w:color w:val="231F20"/>
          <w:spacing w:val="-16"/>
          <w:w w:val="105"/>
        </w:rPr>
        <w:t xml:space="preserve"> </w:t>
      </w:r>
      <w:r>
        <w:rPr>
          <w:color w:val="231F20"/>
          <w:w w:val="105"/>
        </w:rPr>
        <w:t>off</w:t>
      </w:r>
      <w:r>
        <w:rPr>
          <w:color w:val="231F20"/>
          <w:spacing w:val="-16"/>
          <w:w w:val="105"/>
        </w:rPr>
        <w:t xml:space="preserve"> </w:t>
      </w:r>
      <w:r>
        <w:rPr>
          <w:color w:val="231F20"/>
          <w:w w:val="105"/>
        </w:rPr>
        <w:t>all</w:t>
      </w:r>
      <w:r>
        <w:rPr>
          <w:color w:val="231F20"/>
          <w:spacing w:val="-16"/>
          <w:w w:val="105"/>
        </w:rPr>
        <w:t xml:space="preserve"> </w:t>
      </w:r>
      <w:r>
        <w:rPr>
          <w:color w:val="231F20"/>
          <w:w w:val="105"/>
        </w:rPr>
        <w:t>communication.</w:t>
      </w:r>
      <w:r>
        <w:rPr>
          <w:color w:val="231F20"/>
          <w:spacing w:val="-12"/>
          <w:w w:val="105"/>
        </w:rPr>
        <w:t xml:space="preserve"> </w:t>
      </w:r>
      <w:r>
        <w:rPr>
          <w:color w:val="231F20"/>
          <w:w w:val="105"/>
        </w:rPr>
        <w:t>Does</w:t>
      </w:r>
      <w:r>
        <w:rPr>
          <w:color w:val="231F20"/>
          <w:spacing w:val="-12"/>
          <w:w w:val="105"/>
        </w:rPr>
        <w:t xml:space="preserve"> </w:t>
      </w:r>
      <w:r>
        <w:rPr>
          <w:color w:val="231F20"/>
          <w:w w:val="105"/>
        </w:rPr>
        <w:t>that</w:t>
      </w:r>
      <w:r>
        <w:rPr>
          <w:color w:val="231F20"/>
          <w:spacing w:val="-12"/>
          <w:w w:val="105"/>
        </w:rPr>
        <w:t xml:space="preserve"> </w:t>
      </w:r>
      <w:r>
        <w:rPr>
          <w:color w:val="231F20"/>
          <w:w w:val="105"/>
        </w:rPr>
        <w:t>mean</w:t>
      </w:r>
      <w:r>
        <w:rPr>
          <w:color w:val="231F20"/>
          <w:spacing w:val="-12"/>
          <w:w w:val="105"/>
        </w:rPr>
        <w:t xml:space="preserve"> </w:t>
      </w:r>
      <w:r>
        <w:rPr>
          <w:color w:val="231F20"/>
          <w:w w:val="105"/>
        </w:rPr>
        <w:t>that</w:t>
      </w:r>
      <w:r>
        <w:rPr>
          <w:color w:val="231F20"/>
          <w:spacing w:val="-12"/>
          <w:w w:val="105"/>
        </w:rPr>
        <w:t xml:space="preserve"> </w:t>
      </w:r>
      <w:r>
        <w:rPr>
          <w:color w:val="231F20"/>
          <w:w w:val="105"/>
        </w:rPr>
        <w:t>you</w:t>
      </w:r>
      <w:r>
        <w:rPr>
          <w:color w:val="231F20"/>
          <w:spacing w:val="-12"/>
          <w:w w:val="105"/>
        </w:rPr>
        <w:t xml:space="preserve"> </w:t>
      </w:r>
      <w:r>
        <w:rPr>
          <w:color w:val="231F20"/>
          <w:w w:val="105"/>
        </w:rPr>
        <w:t>found</w:t>
      </w:r>
      <w:r>
        <w:rPr>
          <w:color w:val="231F20"/>
          <w:spacing w:val="-12"/>
          <w:w w:val="105"/>
        </w:rPr>
        <w:t xml:space="preserve"> </w:t>
      </w:r>
      <w:r>
        <w:rPr>
          <w:color w:val="231F20"/>
          <w:w w:val="105"/>
        </w:rPr>
        <w:t>his</w:t>
      </w:r>
      <w:r>
        <w:rPr>
          <w:color w:val="231F20"/>
          <w:spacing w:val="-12"/>
          <w:w w:val="105"/>
        </w:rPr>
        <w:t xml:space="preserve"> </w:t>
      </w:r>
      <w:r>
        <w:rPr>
          <w:color w:val="231F20"/>
          <w:w w:val="105"/>
        </w:rPr>
        <w:t>criticism</w:t>
      </w:r>
      <w:r>
        <w:rPr>
          <w:color w:val="231F20"/>
          <w:spacing w:val="-12"/>
          <w:w w:val="105"/>
        </w:rPr>
        <w:t xml:space="preserve"> </w:t>
      </w:r>
      <w:r>
        <w:rPr>
          <w:color w:val="231F20"/>
          <w:w w:val="105"/>
        </w:rPr>
        <w:t>to</w:t>
      </w:r>
      <w:r>
        <w:rPr>
          <w:color w:val="231F20"/>
          <w:spacing w:val="-12"/>
          <w:w w:val="105"/>
        </w:rPr>
        <w:t xml:space="preserve"> </w:t>
      </w:r>
      <w:r>
        <w:rPr>
          <w:color w:val="231F20"/>
          <w:w w:val="105"/>
        </w:rPr>
        <w:t>be</w:t>
      </w:r>
      <w:r>
        <w:rPr>
          <w:color w:val="231F20"/>
          <w:spacing w:val="-12"/>
          <w:w w:val="105"/>
        </w:rPr>
        <w:t xml:space="preserve"> </w:t>
      </w:r>
      <w:r>
        <w:rPr>
          <w:color w:val="231F20"/>
          <w:w w:val="105"/>
        </w:rPr>
        <w:t>accurate</w:t>
      </w:r>
      <w:r>
        <w:rPr>
          <w:color w:val="231F20"/>
          <w:spacing w:val="-12"/>
          <w:w w:val="105"/>
        </w:rPr>
        <w:t xml:space="preserve"> </w:t>
      </w:r>
      <w:r>
        <w:rPr>
          <w:color w:val="231F20"/>
          <w:w w:val="105"/>
        </w:rPr>
        <w:t>or</w:t>
      </w:r>
      <w:r>
        <w:rPr>
          <w:color w:val="231F20"/>
          <w:spacing w:val="-12"/>
          <w:w w:val="105"/>
        </w:rPr>
        <w:t xml:space="preserve"> </w:t>
      </w:r>
      <w:r>
        <w:rPr>
          <w:color w:val="231F20"/>
          <w:w w:val="105"/>
        </w:rPr>
        <w:t>that</w:t>
      </w:r>
      <w:r>
        <w:rPr>
          <w:color w:val="231F20"/>
          <w:w w:val="98"/>
        </w:rPr>
        <w:t xml:space="preserve"> </w:t>
      </w:r>
      <w:r>
        <w:rPr>
          <w:color w:val="231F20"/>
          <w:w w:val="105"/>
        </w:rPr>
        <w:t xml:space="preserve">from this point onward, he is simply objectively a cop? This </w:t>
      </w:r>
      <w:r>
        <w:rPr>
          <w:color w:val="231F20"/>
          <w:spacing w:val="2"/>
          <w:w w:val="105"/>
        </w:rPr>
        <w:t>ID</w:t>
      </w:r>
      <w:r>
        <w:rPr>
          <w:color w:val="231F20"/>
          <w:spacing w:val="-28"/>
          <w:w w:val="105"/>
        </w:rPr>
        <w:t xml:space="preserve"> </w:t>
      </w:r>
      <w:r>
        <w:rPr>
          <w:color w:val="231F20"/>
          <w:w w:val="105"/>
        </w:rPr>
        <w:t>writer</w:t>
      </w:r>
    </w:p>
    <w:p w14:paraId="7BA305B2" w14:textId="77777777" w:rsidR="002653E8" w:rsidRDefault="003115E3">
      <w:pPr>
        <w:pStyle w:val="a3"/>
        <w:spacing w:line="226" w:lineRule="exact"/>
        <w:ind w:left="1147"/>
      </w:pPr>
      <w:r>
        <w:rPr>
          <w:color w:val="231F20"/>
        </w:rPr>
        <w:t>subsequently stopped his reporting…</w:t>
      </w:r>
    </w:p>
    <w:p w14:paraId="381E6C7C" w14:textId="77777777" w:rsidR="002653E8" w:rsidRDefault="003115E3">
      <w:pPr>
        <w:pStyle w:val="a3"/>
        <w:spacing w:before="12" w:line="264" w:lineRule="auto"/>
        <w:ind w:left="1147" w:right="1322" w:firstLine="210"/>
        <w:jc w:val="right"/>
      </w:pPr>
      <w:r>
        <w:rPr>
          <w:color w:val="231F20"/>
        </w:rPr>
        <w:t>Also,</w:t>
      </w:r>
      <w:r>
        <w:rPr>
          <w:color w:val="231F20"/>
          <w:spacing w:val="22"/>
        </w:rPr>
        <w:t xml:space="preserve"> </w:t>
      </w:r>
      <w:r>
        <w:rPr>
          <w:color w:val="231F20"/>
        </w:rPr>
        <w:t>we</w:t>
      </w:r>
      <w:r>
        <w:rPr>
          <w:color w:val="231F20"/>
          <w:spacing w:val="22"/>
        </w:rPr>
        <w:t xml:space="preserve"> </w:t>
      </w:r>
      <w:r>
        <w:rPr>
          <w:color w:val="231F20"/>
        </w:rPr>
        <w:t>can’t</w:t>
      </w:r>
      <w:r>
        <w:rPr>
          <w:color w:val="231F20"/>
          <w:spacing w:val="22"/>
        </w:rPr>
        <w:t xml:space="preserve"> </w:t>
      </w:r>
      <w:r>
        <w:rPr>
          <w:color w:val="231F20"/>
        </w:rPr>
        <w:t>accept</w:t>
      </w:r>
      <w:r>
        <w:rPr>
          <w:color w:val="231F20"/>
          <w:spacing w:val="22"/>
        </w:rPr>
        <w:t xml:space="preserve"> </w:t>
      </w:r>
      <w:r>
        <w:rPr>
          <w:color w:val="231F20"/>
        </w:rPr>
        <w:t>some</w:t>
      </w:r>
      <w:r>
        <w:rPr>
          <w:color w:val="231F20"/>
          <w:spacing w:val="22"/>
        </w:rPr>
        <w:t xml:space="preserve"> </w:t>
      </w:r>
      <w:r>
        <w:rPr>
          <w:color w:val="231F20"/>
        </w:rPr>
        <w:t>of</w:t>
      </w:r>
      <w:r>
        <w:rPr>
          <w:color w:val="231F20"/>
          <w:spacing w:val="22"/>
        </w:rPr>
        <w:t xml:space="preserve"> </w:t>
      </w:r>
      <w:r>
        <w:rPr>
          <w:color w:val="231F20"/>
        </w:rPr>
        <w:t>your</w:t>
      </w:r>
      <w:r>
        <w:rPr>
          <w:color w:val="231F20"/>
          <w:spacing w:val="22"/>
        </w:rPr>
        <w:t xml:space="preserve"> </w:t>
      </w:r>
      <w:r>
        <w:rPr>
          <w:color w:val="231F20"/>
        </w:rPr>
        <w:t>denunciations</w:t>
      </w:r>
      <w:r>
        <w:rPr>
          <w:color w:val="231F20"/>
          <w:spacing w:val="22"/>
        </w:rPr>
        <w:t xml:space="preserve"> </w:t>
      </w:r>
      <w:r>
        <w:rPr>
          <w:color w:val="231F20"/>
        </w:rPr>
        <w:t>of</w:t>
      </w:r>
      <w:r>
        <w:rPr>
          <w:color w:val="231F20"/>
          <w:spacing w:val="22"/>
        </w:rPr>
        <w:t xml:space="preserve"> </w:t>
      </w:r>
      <w:r>
        <w:rPr>
          <w:color w:val="231F20"/>
        </w:rPr>
        <w:t>individual</w:t>
      </w:r>
      <w:r>
        <w:rPr>
          <w:color w:val="231F20"/>
          <w:spacing w:val="22"/>
        </w:rPr>
        <w:t xml:space="preserve"> </w:t>
      </w:r>
      <w:r>
        <w:rPr>
          <w:color w:val="231F20"/>
        </w:rPr>
        <w:t>lawyers.</w:t>
      </w:r>
      <w:r>
        <w:rPr>
          <w:color w:val="231F20"/>
          <w:spacing w:val="13"/>
        </w:rPr>
        <w:t xml:space="preserve"> </w:t>
      </w:r>
      <w:r>
        <w:rPr>
          <w:color w:val="231F20"/>
          <w:spacing w:val="-7"/>
        </w:rPr>
        <w:t>you</w:t>
      </w:r>
      <w:r>
        <w:rPr>
          <w:color w:val="231F20"/>
          <w:spacing w:val="13"/>
        </w:rPr>
        <w:t xml:space="preserve"> </w:t>
      </w:r>
      <w:r>
        <w:rPr>
          <w:color w:val="231F20"/>
        </w:rPr>
        <w:t>certainly</w:t>
      </w:r>
      <w:r>
        <w:rPr>
          <w:color w:val="231F20"/>
          <w:spacing w:val="13"/>
        </w:rPr>
        <w:t xml:space="preserve"> </w:t>
      </w:r>
      <w:r>
        <w:rPr>
          <w:color w:val="231F20"/>
        </w:rPr>
        <w:t>know</w:t>
      </w:r>
      <w:r>
        <w:rPr>
          <w:color w:val="231F20"/>
          <w:spacing w:val="13"/>
        </w:rPr>
        <w:t xml:space="preserve"> </w:t>
      </w:r>
      <w:r>
        <w:rPr>
          <w:color w:val="231F20"/>
        </w:rPr>
        <w:t>what</w:t>
      </w:r>
      <w:r>
        <w:rPr>
          <w:color w:val="231F20"/>
          <w:spacing w:val="13"/>
        </w:rPr>
        <w:t xml:space="preserve"> </w:t>
      </w:r>
      <w:r>
        <w:rPr>
          <w:color w:val="231F20"/>
        </w:rPr>
        <w:t>we</w:t>
      </w:r>
      <w:r>
        <w:rPr>
          <w:color w:val="231F20"/>
          <w:spacing w:val="13"/>
        </w:rPr>
        <w:t xml:space="preserve"> </w:t>
      </w:r>
      <w:r>
        <w:rPr>
          <w:color w:val="231F20"/>
        </w:rPr>
        <w:t>mean!</w:t>
      </w:r>
      <w:r>
        <w:rPr>
          <w:color w:val="231F20"/>
          <w:spacing w:val="13"/>
        </w:rPr>
        <w:t xml:space="preserve"> </w:t>
      </w:r>
      <w:r>
        <w:rPr>
          <w:color w:val="231F20"/>
        </w:rPr>
        <w:t>These</w:t>
      </w:r>
      <w:r>
        <w:rPr>
          <w:color w:val="231F20"/>
          <w:spacing w:val="13"/>
        </w:rPr>
        <w:t xml:space="preserve"> </w:t>
      </w:r>
      <w:r>
        <w:rPr>
          <w:color w:val="231F20"/>
        </w:rPr>
        <w:t>lawyers</w:t>
      </w:r>
      <w:r>
        <w:rPr>
          <w:color w:val="231F20"/>
          <w:spacing w:val="13"/>
        </w:rPr>
        <w:t xml:space="preserve"> </w:t>
      </w:r>
      <w:r>
        <w:rPr>
          <w:color w:val="231F20"/>
        </w:rPr>
        <w:t>are</w:t>
      </w:r>
      <w:r>
        <w:rPr>
          <w:color w:val="231F20"/>
          <w:spacing w:val="13"/>
        </w:rPr>
        <w:t xml:space="preserve"> </w:t>
      </w:r>
      <w:r>
        <w:rPr>
          <w:color w:val="231F20"/>
        </w:rPr>
        <w:t>comrades!</w:t>
      </w:r>
      <w:r>
        <w:rPr>
          <w:color w:val="231F20"/>
          <w:w w:val="116"/>
        </w:rPr>
        <w:t xml:space="preserve"> </w:t>
      </w:r>
      <w:r>
        <w:rPr>
          <w:color w:val="231F20"/>
        </w:rPr>
        <w:t>How</w:t>
      </w:r>
      <w:r>
        <w:rPr>
          <w:color w:val="231F20"/>
          <w:spacing w:val="36"/>
        </w:rPr>
        <w:t xml:space="preserve"> </w:t>
      </w:r>
      <w:r>
        <w:rPr>
          <w:color w:val="231F20"/>
        </w:rPr>
        <w:t>did</w:t>
      </w:r>
      <w:r>
        <w:rPr>
          <w:color w:val="231F20"/>
          <w:spacing w:val="36"/>
        </w:rPr>
        <w:t xml:space="preserve"> </w:t>
      </w:r>
      <w:r>
        <w:rPr>
          <w:color w:val="231F20"/>
        </w:rPr>
        <w:t>it</w:t>
      </w:r>
      <w:r>
        <w:rPr>
          <w:color w:val="231F20"/>
          <w:spacing w:val="36"/>
        </w:rPr>
        <w:t xml:space="preserve"> </w:t>
      </w:r>
      <w:r>
        <w:rPr>
          <w:color w:val="231F20"/>
        </w:rPr>
        <w:t>happen</w:t>
      </w:r>
      <w:r>
        <w:rPr>
          <w:color w:val="231F20"/>
          <w:spacing w:val="36"/>
        </w:rPr>
        <w:t xml:space="preserve"> </w:t>
      </w:r>
      <w:r>
        <w:rPr>
          <w:color w:val="231F20"/>
        </w:rPr>
        <w:t>that</w:t>
      </w:r>
      <w:r>
        <w:rPr>
          <w:color w:val="231F20"/>
          <w:spacing w:val="36"/>
        </w:rPr>
        <w:t xml:space="preserve"> </w:t>
      </w:r>
      <w:r>
        <w:rPr>
          <w:color w:val="231F20"/>
        </w:rPr>
        <w:t>the</w:t>
      </w:r>
      <w:r>
        <w:rPr>
          <w:color w:val="231F20"/>
          <w:spacing w:val="36"/>
        </w:rPr>
        <w:t xml:space="preserve"> </w:t>
      </w:r>
      <w:r>
        <w:rPr>
          <w:color w:val="231F20"/>
        </w:rPr>
        <w:t>attorney</w:t>
      </w:r>
      <w:r>
        <w:rPr>
          <w:color w:val="231F20"/>
          <w:spacing w:val="36"/>
        </w:rPr>
        <w:t xml:space="preserve"> </w:t>
      </w:r>
      <w:r>
        <w:rPr>
          <w:color w:val="231F20"/>
        </w:rPr>
        <w:t>Croissant</w:t>
      </w:r>
      <w:r>
        <w:rPr>
          <w:color w:val="231F20"/>
          <w:spacing w:val="36"/>
        </w:rPr>
        <w:t xml:space="preserve"> </w:t>
      </w:r>
      <w:r>
        <w:rPr>
          <w:color w:val="231F20"/>
        </w:rPr>
        <w:t>came</w:t>
      </w:r>
      <w:r>
        <w:rPr>
          <w:color w:val="231F20"/>
          <w:spacing w:val="36"/>
        </w:rPr>
        <w:t xml:space="preserve"> </w:t>
      </w:r>
      <w:r>
        <w:rPr>
          <w:color w:val="231F20"/>
        </w:rPr>
        <w:t>to</w:t>
      </w:r>
      <w:r>
        <w:rPr>
          <w:color w:val="231F20"/>
          <w:spacing w:val="36"/>
        </w:rPr>
        <w:t xml:space="preserve"> </w:t>
      </w:r>
      <w:r>
        <w:rPr>
          <w:color w:val="231F20"/>
        </w:rPr>
        <w:t>be</w:t>
      </w:r>
      <w:r>
        <w:rPr>
          <w:color w:val="231F20"/>
          <w:spacing w:val="36"/>
        </w:rPr>
        <w:t xml:space="preserve"> </w:t>
      </w:r>
      <w:r>
        <w:rPr>
          <w:color w:val="231F20"/>
        </w:rPr>
        <w:t>the</w:t>
      </w:r>
      <w:r>
        <w:rPr>
          <w:color w:val="231F20"/>
          <w:spacing w:val="36"/>
        </w:rPr>
        <w:t xml:space="preserve"> </w:t>
      </w:r>
      <w:r>
        <w:rPr>
          <w:color w:val="231F20"/>
          <w:spacing w:val="-3"/>
        </w:rPr>
        <w:t>ex</w:t>
      </w:r>
      <w:r>
        <w:rPr>
          <w:color w:val="231F20"/>
        </w:rPr>
        <w:t xml:space="preserve">ecutor of Ulrike’s “estate”? Ulrike </w:t>
      </w:r>
      <w:r>
        <w:rPr>
          <w:color w:val="231F20"/>
          <w:spacing w:val="-3"/>
        </w:rPr>
        <w:t xml:space="preserve">isn’t </w:t>
      </w:r>
      <w:r>
        <w:rPr>
          <w:color w:val="231F20"/>
        </w:rPr>
        <w:t>a file. She</w:t>
      </w:r>
      <w:r>
        <w:rPr>
          <w:color w:val="231F20"/>
          <w:spacing w:val="-19"/>
        </w:rPr>
        <w:t xml:space="preserve"> </w:t>
      </w:r>
      <w:r>
        <w:rPr>
          <w:color w:val="231F20"/>
        </w:rPr>
        <w:t>struggled</w:t>
      </w:r>
      <w:r>
        <w:rPr>
          <w:color w:val="231F20"/>
          <w:spacing w:val="35"/>
        </w:rPr>
        <w:t xml:space="preserve"> </w:t>
      </w:r>
      <w:r>
        <w:rPr>
          <w:color w:val="231F20"/>
        </w:rPr>
        <w:t>alongside</w:t>
      </w:r>
      <w:r>
        <w:rPr>
          <w:color w:val="231F20"/>
          <w:w w:val="91"/>
        </w:rPr>
        <w:t xml:space="preserve"> </w:t>
      </w:r>
      <w:r>
        <w:rPr>
          <w:color w:val="231F20"/>
        </w:rPr>
        <w:t xml:space="preserve">you! As you </w:t>
      </w:r>
      <w:r>
        <w:rPr>
          <w:color w:val="231F20"/>
          <w:spacing w:val="-3"/>
        </w:rPr>
        <w:t xml:space="preserve">know, </w:t>
      </w:r>
      <w:r>
        <w:rPr>
          <w:color w:val="231F20"/>
        </w:rPr>
        <w:t>since then Klaus Croissant has gone so far</w:t>
      </w:r>
      <w:r>
        <w:rPr>
          <w:color w:val="231F20"/>
          <w:spacing w:val="28"/>
        </w:rPr>
        <w:t xml:space="preserve"> </w:t>
      </w:r>
      <w:r>
        <w:rPr>
          <w:color w:val="231F20"/>
        </w:rPr>
        <w:t>as</w:t>
      </w:r>
      <w:r>
        <w:rPr>
          <w:color w:val="231F20"/>
          <w:spacing w:val="41"/>
        </w:rPr>
        <w:t xml:space="preserve"> </w:t>
      </w:r>
      <w:r>
        <w:rPr>
          <w:color w:val="231F20"/>
        </w:rPr>
        <w:t>to</w:t>
      </w:r>
      <w:r>
        <w:rPr>
          <w:color w:val="231F20"/>
          <w:w w:val="104"/>
        </w:rPr>
        <w:t xml:space="preserve"> </w:t>
      </w:r>
      <w:r>
        <w:rPr>
          <w:color w:val="231F20"/>
        </w:rPr>
        <w:t>accuse Klaus Wagenbach</w:t>
      </w:r>
      <w:r>
        <w:rPr>
          <w:color w:val="231F20"/>
          <w:position w:val="7"/>
          <w:sz w:val="11"/>
        </w:rPr>
        <w:t xml:space="preserve">2 </w:t>
      </w:r>
      <w:r>
        <w:rPr>
          <w:color w:val="231F20"/>
        </w:rPr>
        <w:t xml:space="preserve">of working hand in hand with </w:t>
      </w:r>
      <w:r>
        <w:rPr>
          <w:color w:val="231F20"/>
          <w:spacing w:val="1"/>
        </w:rPr>
        <w:t xml:space="preserve"> </w:t>
      </w:r>
      <w:r>
        <w:rPr>
          <w:color w:val="231F20"/>
        </w:rPr>
        <w:t>state</w:t>
      </w:r>
      <w:r>
        <w:rPr>
          <w:color w:val="231F20"/>
          <w:spacing w:val="43"/>
        </w:rPr>
        <w:t xml:space="preserve"> </w:t>
      </w:r>
      <w:r>
        <w:rPr>
          <w:color w:val="231F20"/>
        </w:rPr>
        <w:t>security,</w:t>
      </w:r>
      <w:r>
        <w:rPr>
          <w:color w:val="231F20"/>
          <w:spacing w:val="27"/>
        </w:rPr>
        <w:t xml:space="preserve"> </w:t>
      </w:r>
      <w:r>
        <w:rPr>
          <w:color w:val="231F20"/>
        </w:rPr>
        <w:t>and</w:t>
      </w:r>
      <w:r>
        <w:rPr>
          <w:color w:val="231F20"/>
          <w:spacing w:val="27"/>
        </w:rPr>
        <w:t xml:space="preserve"> </w:t>
      </w:r>
      <w:r>
        <w:rPr>
          <w:color w:val="231F20"/>
        </w:rPr>
        <w:t>has</w:t>
      </w:r>
      <w:r>
        <w:rPr>
          <w:color w:val="231F20"/>
          <w:spacing w:val="27"/>
        </w:rPr>
        <w:t xml:space="preserve"> </w:t>
      </w:r>
      <w:r>
        <w:rPr>
          <w:color w:val="231F20"/>
        </w:rPr>
        <w:t>used</w:t>
      </w:r>
      <w:r>
        <w:rPr>
          <w:color w:val="231F20"/>
          <w:spacing w:val="27"/>
        </w:rPr>
        <w:t xml:space="preserve"> </w:t>
      </w:r>
      <w:r>
        <w:rPr>
          <w:color w:val="231F20"/>
        </w:rPr>
        <w:t>the</w:t>
      </w:r>
      <w:r>
        <w:rPr>
          <w:color w:val="231F20"/>
          <w:spacing w:val="27"/>
        </w:rPr>
        <w:t xml:space="preserve"> </w:t>
      </w:r>
      <w:r>
        <w:rPr>
          <w:color w:val="231F20"/>
        </w:rPr>
        <w:t>justice</w:t>
      </w:r>
      <w:r>
        <w:rPr>
          <w:color w:val="231F20"/>
          <w:spacing w:val="27"/>
        </w:rPr>
        <w:t xml:space="preserve"> </w:t>
      </w:r>
      <w:r>
        <w:rPr>
          <w:color w:val="231F20"/>
        </w:rPr>
        <w:t>system</w:t>
      </w:r>
      <w:r>
        <w:rPr>
          <w:color w:val="231F20"/>
          <w:spacing w:val="27"/>
        </w:rPr>
        <w:t xml:space="preserve"> </w:t>
      </w:r>
      <w:r>
        <w:rPr>
          <w:color w:val="231F20"/>
        </w:rPr>
        <w:t>(that</w:t>
      </w:r>
      <w:r>
        <w:rPr>
          <w:color w:val="231F20"/>
          <w:spacing w:val="27"/>
        </w:rPr>
        <w:t xml:space="preserve"> </w:t>
      </w:r>
      <w:r>
        <w:rPr>
          <w:color w:val="231F20"/>
        </w:rPr>
        <w:t>wants</w:t>
      </w:r>
      <w:r>
        <w:rPr>
          <w:color w:val="231F20"/>
          <w:spacing w:val="27"/>
        </w:rPr>
        <w:t xml:space="preserve"> </w:t>
      </w:r>
      <w:r>
        <w:rPr>
          <w:color w:val="231F20"/>
        </w:rPr>
        <w:t>to</w:t>
      </w:r>
      <w:r>
        <w:rPr>
          <w:color w:val="231F20"/>
          <w:spacing w:val="27"/>
        </w:rPr>
        <w:t xml:space="preserve"> </w:t>
      </w:r>
      <w:r>
        <w:rPr>
          <w:color w:val="231F20"/>
        </w:rPr>
        <w:t>exterminate</w:t>
      </w:r>
      <w:r>
        <w:rPr>
          <w:color w:val="231F20"/>
          <w:spacing w:val="27"/>
        </w:rPr>
        <w:t xml:space="preserve"> </w:t>
      </w:r>
      <w:r>
        <w:rPr>
          <w:color w:val="231F20"/>
          <w:spacing w:val="-3"/>
        </w:rPr>
        <w:t>you)</w:t>
      </w:r>
      <w:r>
        <w:rPr>
          <w:color w:val="231F20"/>
          <w:w w:val="87"/>
        </w:rPr>
        <w:t xml:space="preserve"> </w:t>
      </w:r>
      <w:r>
        <w:rPr>
          <w:color w:val="231F20"/>
        </w:rPr>
        <w:t>to</w:t>
      </w:r>
      <w:r>
        <w:rPr>
          <w:color w:val="231F20"/>
          <w:spacing w:val="11"/>
        </w:rPr>
        <w:t xml:space="preserve"> </w:t>
      </w:r>
      <w:r>
        <w:rPr>
          <w:color w:val="231F20"/>
        </w:rPr>
        <w:t>request</w:t>
      </w:r>
      <w:r>
        <w:rPr>
          <w:color w:val="231F20"/>
          <w:spacing w:val="11"/>
        </w:rPr>
        <w:t xml:space="preserve"> </w:t>
      </w:r>
      <w:r>
        <w:rPr>
          <w:color w:val="231F20"/>
        </w:rPr>
        <w:t>a</w:t>
      </w:r>
      <w:r>
        <w:rPr>
          <w:color w:val="231F20"/>
          <w:spacing w:val="11"/>
        </w:rPr>
        <w:t xml:space="preserve"> </w:t>
      </w:r>
      <w:r>
        <w:rPr>
          <w:color w:val="231F20"/>
        </w:rPr>
        <w:t>legal</w:t>
      </w:r>
      <w:r>
        <w:rPr>
          <w:color w:val="231F20"/>
          <w:spacing w:val="11"/>
        </w:rPr>
        <w:t xml:space="preserve"> </w:t>
      </w:r>
      <w:r>
        <w:rPr>
          <w:color w:val="231F20"/>
        </w:rPr>
        <w:t>decision</w:t>
      </w:r>
      <w:r>
        <w:rPr>
          <w:color w:val="231F20"/>
          <w:spacing w:val="11"/>
        </w:rPr>
        <w:t xml:space="preserve"> </w:t>
      </w:r>
      <w:r>
        <w:rPr>
          <w:color w:val="231F20"/>
        </w:rPr>
        <w:t>to</w:t>
      </w:r>
      <w:r>
        <w:rPr>
          <w:color w:val="231F20"/>
          <w:spacing w:val="11"/>
        </w:rPr>
        <w:t xml:space="preserve"> </w:t>
      </w:r>
      <w:r>
        <w:rPr>
          <w:color w:val="231F20"/>
        </w:rPr>
        <w:t>have</w:t>
      </w:r>
      <w:r>
        <w:rPr>
          <w:color w:val="231F20"/>
          <w:spacing w:val="11"/>
        </w:rPr>
        <w:t xml:space="preserve"> </w:t>
      </w:r>
      <w:r>
        <w:rPr>
          <w:color w:val="231F20"/>
        </w:rPr>
        <w:t>Peter</w:t>
      </w:r>
      <w:r>
        <w:rPr>
          <w:color w:val="231F20"/>
          <w:spacing w:val="11"/>
        </w:rPr>
        <w:t xml:space="preserve"> </w:t>
      </w:r>
      <w:r>
        <w:rPr>
          <w:color w:val="231F20"/>
        </w:rPr>
        <w:t>Brückner’s</w:t>
      </w:r>
      <w:r>
        <w:rPr>
          <w:color w:val="231F20"/>
          <w:position w:val="7"/>
          <w:sz w:val="11"/>
        </w:rPr>
        <w:t>3</w:t>
      </w:r>
      <w:r>
        <w:rPr>
          <w:color w:val="231F20"/>
          <w:spacing w:val="7"/>
          <w:position w:val="7"/>
          <w:sz w:val="11"/>
        </w:rPr>
        <w:t xml:space="preserve"> </w:t>
      </w:r>
      <w:r>
        <w:rPr>
          <w:color w:val="231F20"/>
        </w:rPr>
        <w:t>book</w:t>
      </w:r>
      <w:r>
        <w:rPr>
          <w:color w:val="231F20"/>
          <w:spacing w:val="11"/>
        </w:rPr>
        <w:t xml:space="preserve"> </w:t>
      </w:r>
      <w:r>
        <w:rPr>
          <w:color w:val="231F20"/>
        </w:rPr>
        <w:t>about</w:t>
      </w:r>
      <w:r>
        <w:rPr>
          <w:color w:val="231F20"/>
          <w:spacing w:val="11"/>
        </w:rPr>
        <w:t xml:space="preserve"> </w:t>
      </w:r>
      <w:r>
        <w:rPr>
          <w:color w:val="231F20"/>
        </w:rPr>
        <w:t>Ulrike</w:t>
      </w:r>
      <w:r>
        <w:rPr>
          <w:color w:val="231F20"/>
          <w:w w:val="91"/>
        </w:rPr>
        <w:t xml:space="preserve"> </w:t>
      </w:r>
      <w:r>
        <w:rPr>
          <w:color w:val="231F20"/>
        </w:rPr>
        <w:t>Meinhof withdrawn from circulation. Via Klaus Croissant,</w:t>
      </w:r>
      <w:r>
        <w:rPr>
          <w:color w:val="231F20"/>
          <w:spacing w:val="27"/>
        </w:rPr>
        <w:t xml:space="preserve"> </w:t>
      </w:r>
      <w:r>
        <w:rPr>
          <w:color w:val="231F20"/>
          <w:spacing w:val="-3"/>
          <w:sz w:val="18"/>
        </w:rPr>
        <w:t>§</w:t>
      </w:r>
      <w:r>
        <w:rPr>
          <w:color w:val="231F20"/>
          <w:spacing w:val="-3"/>
        </w:rPr>
        <w:t>88a</w:t>
      </w:r>
      <w:r>
        <w:rPr>
          <w:color w:val="231F20"/>
          <w:spacing w:val="-3"/>
          <w:position w:val="7"/>
          <w:sz w:val="11"/>
        </w:rPr>
        <w:t xml:space="preserve">4 </w:t>
      </w:r>
      <w:r>
        <w:rPr>
          <w:color w:val="231F20"/>
          <w:spacing w:val="1"/>
        </w:rPr>
        <w:t>will</w:t>
      </w:r>
    </w:p>
    <w:p w14:paraId="02349D67" w14:textId="77777777" w:rsidR="002653E8" w:rsidRDefault="00000000">
      <w:pPr>
        <w:pStyle w:val="a3"/>
        <w:spacing w:before="7"/>
        <w:rPr>
          <w:sz w:val="19"/>
        </w:rPr>
      </w:pPr>
      <w:r>
        <w:rPr>
          <w:noProof w:val="0"/>
        </w:rPr>
        <w:pict w14:anchorId="2D7D0EFF">
          <v:line id="_x0000_s2216" style="position:absolute;z-index:9808;mso-wrap-distance-left:0;mso-wrap-distance-right:0;mso-position-horizontal-relative:page" from="57.4pt,13.75pt" to="129.4pt,13.75pt" strokecolor="#231f20" strokeweight=".5pt">
            <w10:wrap type="topAndBottom" anchorx="page"/>
          </v:line>
        </w:pict>
      </w:r>
    </w:p>
    <w:p w14:paraId="37872F6B" w14:textId="77777777" w:rsidR="002653E8" w:rsidRDefault="003115E3">
      <w:pPr>
        <w:pStyle w:val="a4"/>
        <w:numPr>
          <w:ilvl w:val="0"/>
          <w:numId w:val="66"/>
        </w:numPr>
        <w:tabs>
          <w:tab w:val="left" w:pos="1287"/>
        </w:tabs>
        <w:spacing w:before="53"/>
        <w:ind w:firstLine="0"/>
        <w:rPr>
          <w:sz w:val="16"/>
        </w:rPr>
      </w:pPr>
      <w:r>
        <w:rPr>
          <w:color w:val="231F20"/>
          <w:w w:val="105"/>
          <w:sz w:val="16"/>
        </w:rPr>
        <w:t>The</w:t>
      </w:r>
      <w:r>
        <w:rPr>
          <w:color w:val="231F20"/>
          <w:spacing w:val="8"/>
          <w:w w:val="105"/>
          <w:sz w:val="16"/>
        </w:rPr>
        <w:t xml:space="preserve"> </w:t>
      </w:r>
      <w:r>
        <w:rPr>
          <w:color w:val="231F20"/>
          <w:spacing w:val="2"/>
          <w:w w:val="105"/>
          <w:sz w:val="16"/>
        </w:rPr>
        <w:t>RZ</w:t>
      </w:r>
      <w:r>
        <w:rPr>
          <w:color w:val="231F20"/>
          <w:spacing w:val="8"/>
          <w:w w:val="105"/>
          <w:sz w:val="16"/>
        </w:rPr>
        <w:t xml:space="preserve"> </w:t>
      </w:r>
      <w:r>
        <w:rPr>
          <w:color w:val="231F20"/>
          <w:w w:val="105"/>
          <w:sz w:val="16"/>
        </w:rPr>
        <w:t>and</w:t>
      </w:r>
      <w:r>
        <w:rPr>
          <w:color w:val="231F20"/>
          <w:spacing w:val="8"/>
          <w:w w:val="105"/>
          <w:sz w:val="16"/>
        </w:rPr>
        <w:t xml:space="preserve"> </w:t>
      </w:r>
      <w:r>
        <w:rPr>
          <w:color w:val="231F20"/>
          <w:w w:val="105"/>
          <w:sz w:val="16"/>
        </w:rPr>
        <w:t>Rote</w:t>
      </w:r>
      <w:r>
        <w:rPr>
          <w:color w:val="231F20"/>
          <w:spacing w:val="8"/>
          <w:w w:val="105"/>
          <w:sz w:val="16"/>
        </w:rPr>
        <w:t xml:space="preserve"> </w:t>
      </w:r>
      <w:r>
        <w:rPr>
          <w:color w:val="231F20"/>
          <w:w w:val="105"/>
          <w:sz w:val="16"/>
        </w:rPr>
        <w:t>Zora</w:t>
      </w:r>
      <w:r>
        <w:rPr>
          <w:color w:val="231F20"/>
          <w:spacing w:val="8"/>
          <w:w w:val="105"/>
          <w:sz w:val="16"/>
        </w:rPr>
        <w:t xml:space="preserve"> </w:t>
      </w:r>
      <w:r>
        <w:rPr>
          <w:color w:val="231F20"/>
          <w:w w:val="105"/>
          <w:sz w:val="16"/>
        </w:rPr>
        <w:t>regularly</w:t>
      </w:r>
      <w:r>
        <w:rPr>
          <w:color w:val="231F20"/>
          <w:spacing w:val="8"/>
          <w:w w:val="105"/>
          <w:sz w:val="16"/>
        </w:rPr>
        <w:t xml:space="preserve"> </w:t>
      </w:r>
      <w:r>
        <w:rPr>
          <w:color w:val="231F20"/>
          <w:w w:val="105"/>
          <w:sz w:val="16"/>
        </w:rPr>
        <w:t>distributed</w:t>
      </w:r>
      <w:r>
        <w:rPr>
          <w:color w:val="231F20"/>
          <w:spacing w:val="8"/>
          <w:w w:val="105"/>
          <w:sz w:val="16"/>
        </w:rPr>
        <w:t xml:space="preserve"> </w:t>
      </w:r>
      <w:r>
        <w:rPr>
          <w:color w:val="231F20"/>
          <w:w w:val="105"/>
          <w:sz w:val="16"/>
        </w:rPr>
        <w:t>forged</w:t>
      </w:r>
      <w:r>
        <w:rPr>
          <w:color w:val="231F20"/>
          <w:spacing w:val="8"/>
          <w:w w:val="105"/>
          <w:sz w:val="16"/>
        </w:rPr>
        <w:t xml:space="preserve"> </w:t>
      </w:r>
      <w:r>
        <w:rPr>
          <w:color w:val="231F20"/>
          <w:w w:val="105"/>
          <w:sz w:val="16"/>
        </w:rPr>
        <w:t>public</w:t>
      </w:r>
      <w:r>
        <w:rPr>
          <w:color w:val="231F20"/>
          <w:spacing w:val="8"/>
          <w:w w:val="105"/>
          <w:sz w:val="16"/>
        </w:rPr>
        <w:t xml:space="preserve"> </w:t>
      </w:r>
      <w:r>
        <w:rPr>
          <w:color w:val="231F20"/>
          <w:w w:val="105"/>
          <w:sz w:val="16"/>
        </w:rPr>
        <w:t>transit</w:t>
      </w:r>
      <w:r>
        <w:rPr>
          <w:color w:val="231F20"/>
          <w:spacing w:val="8"/>
          <w:w w:val="105"/>
          <w:sz w:val="16"/>
        </w:rPr>
        <w:t xml:space="preserve"> </w:t>
      </w:r>
      <w:r>
        <w:rPr>
          <w:color w:val="231F20"/>
          <w:w w:val="105"/>
          <w:sz w:val="16"/>
        </w:rPr>
        <w:t>passes.</w:t>
      </w:r>
    </w:p>
    <w:p w14:paraId="5832DBC9" w14:textId="77777777" w:rsidR="002653E8" w:rsidRDefault="003115E3">
      <w:pPr>
        <w:pStyle w:val="a4"/>
        <w:numPr>
          <w:ilvl w:val="0"/>
          <w:numId w:val="66"/>
        </w:numPr>
        <w:tabs>
          <w:tab w:val="left" w:pos="1287"/>
        </w:tabs>
        <w:spacing w:before="51" w:line="254" w:lineRule="auto"/>
        <w:ind w:right="1554" w:firstLine="0"/>
        <w:rPr>
          <w:sz w:val="16"/>
        </w:rPr>
      </w:pPr>
      <w:r>
        <w:rPr>
          <w:color w:val="231F20"/>
          <w:w w:val="105"/>
          <w:sz w:val="16"/>
        </w:rPr>
        <w:t>Klaus Wagenbach is a prominent left-wing publisher with his roots in the APO. He</w:t>
      </w:r>
      <w:r>
        <w:rPr>
          <w:color w:val="231F20"/>
          <w:spacing w:val="8"/>
          <w:w w:val="105"/>
          <w:sz w:val="16"/>
        </w:rPr>
        <w:t xml:space="preserve"> </w:t>
      </w:r>
      <w:r>
        <w:rPr>
          <w:color w:val="231F20"/>
          <w:w w:val="105"/>
          <w:sz w:val="16"/>
        </w:rPr>
        <w:t>read</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eulogy</w:t>
      </w:r>
      <w:r>
        <w:rPr>
          <w:color w:val="231F20"/>
          <w:spacing w:val="8"/>
          <w:w w:val="105"/>
          <w:sz w:val="16"/>
        </w:rPr>
        <w:t xml:space="preserve"> </w:t>
      </w:r>
      <w:r>
        <w:rPr>
          <w:color w:val="231F20"/>
          <w:w w:val="105"/>
          <w:sz w:val="16"/>
        </w:rPr>
        <w:t>at</w:t>
      </w:r>
      <w:r>
        <w:rPr>
          <w:color w:val="231F20"/>
          <w:spacing w:val="8"/>
          <w:w w:val="105"/>
          <w:sz w:val="16"/>
        </w:rPr>
        <w:t xml:space="preserve"> </w:t>
      </w:r>
      <w:r>
        <w:rPr>
          <w:color w:val="231F20"/>
          <w:w w:val="105"/>
          <w:sz w:val="16"/>
        </w:rPr>
        <w:t>Ulrike</w:t>
      </w:r>
      <w:r>
        <w:rPr>
          <w:color w:val="231F20"/>
          <w:spacing w:val="8"/>
          <w:w w:val="105"/>
          <w:sz w:val="16"/>
        </w:rPr>
        <w:t xml:space="preserve"> </w:t>
      </w:r>
      <w:r>
        <w:rPr>
          <w:color w:val="231F20"/>
          <w:w w:val="105"/>
          <w:sz w:val="16"/>
        </w:rPr>
        <w:t>Meinhof’s</w:t>
      </w:r>
      <w:r>
        <w:rPr>
          <w:color w:val="231F20"/>
          <w:spacing w:val="8"/>
          <w:w w:val="105"/>
          <w:sz w:val="16"/>
        </w:rPr>
        <w:t xml:space="preserve"> </w:t>
      </w:r>
      <w:r>
        <w:rPr>
          <w:color w:val="231F20"/>
          <w:w w:val="105"/>
          <w:sz w:val="16"/>
        </w:rPr>
        <w:t>funeral.</w:t>
      </w:r>
    </w:p>
    <w:p w14:paraId="32269C8A" w14:textId="77777777" w:rsidR="002653E8" w:rsidRDefault="003115E3">
      <w:pPr>
        <w:pStyle w:val="a4"/>
        <w:numPr>
          <w:ilvl w:val="0"/>
          <w:numId w:val="66"/>
        </w:numPr>
        <w:tabs>
          <w:tab w:val="left" w:pos="1287"/>
        </w:tabs>
        <w:spacing w:line="254" w:lineRule="auto"/>
        <w:ind w:right="1324" w:firstLine="0"/>
        <w:rPr>
          <w:sz w:val="16"/>
        </w:rPr>
      </w:pPr>
      <w:r>
        <w:rPr>
          <w:color w:val="231F20"/>
          <w:w w:val="105"/>
          <w:sz w:val="16"/>
        </w:rPr>
        <w:t xml:space="preserve">Peter Brückner was a left-wing psychologist loosely connected to the </w:t>
      </w:r>
      <w:r>
        <w:rPr>
          <w:color w:val="231F20"/>
          <w:spacing w:val="1"/>
          <w:w w:val="105"/>
          <w:sz w:val="16"/>
        </w:rPr>
        <w:t xml:space="preserve">Frankfurt </w:t>
      </w:r>
      <w:r>
        <w:rPr>
          <w:color w:val="231F20"/>
          <w:w w:val="105"/>
          <w:sz w:val="16"/>
        </w:rPr>
        <w:t xml:space="preserve">School. </w:t>
      </w:r>
      <w:r>
        <w:rPr>
          <w:color w:val="231F20"/>
          <w:spacing w:val="1"/>
          <w:w w:val="105"/>
          <w:sz w:val="16"/>
        </w:rPr>
        <w:t xml:space="preserve">In </w:t>
      </w:r>
      <w:r>
        <w:rPr>
          <w:color w:val="231F20"/>
          <w:w w:val="105"/>
          <w:sz w:val="16"/>
        </w:rPr>
        <w:t xml:space="preserve">1972, he was suspended from his position at the Technical University in Hannover for allegedly lending the </w:t>
      </w:r>
      <w:r w:rsidR="00C507A5">
        <w:rPr>
          <w:color w:val="231F20"/>
          <w:spacing w:val="3"/>
          <w:w w:val="105"/>
          <w:sz w:val="16"/>
        </w:rPr>
        <w:t>red army faction</w:t>
      </w:r>
      <w:r>
        <w:rPr>
          <w:color w:val="231F20"/>
          <w:spacing w:val="3"/>
          <w:w w:val="105"/>
          <w:sz w:val="16"/>
        </w:rPr>
        <w:t xml:space="preserve"> </w:t>
      </w:r>
      <w:r>
        <w:rPr>
          <w:color w:val="231F20"/>
          <w:w w:val="105"/>
          <w:sz w:val="16"/>
        </w:rPr>
        <w:t xml:space="preserve">material support (most likely shelter), a charge based on Karl-Heinz Ruhland’s questionable testimony (Varon, 239-240). </w:t>
      </w:r>
      <w:r>
        <w:rPr>
          <w:color w:val="231F20"/>
          <w:spacing w:val="1"/>
          <w:w w:val="105"/>
          <w:sz w:val="16"/>
        </w:rPr>
        <w:t xml:space="preserve">In </w:t>
      </w:r>
      <w:r>
        <w:rPr>
          <w:color w:val="231F20"/>
          <w:w w:val="105"/>
          <w:sz w:val="16"/>
        </w:rPr>
        <w:t xml:space="preserve">1978, he was once again suspended for taking a public stand against the repressive atmosphere the state was attempting to engender through its suppression of </w:t>
      </w:r>
      <w:r>
        <w:rPr>
          <w:i/>
          <w:color w:val="231F20"/>
          <w:w w:val="105"/>
          <w:sz w:val="16"/>
        </w:rPr>
        <w:t xml:space="preserve">Buback: In </w:t>
      </w:r>
      <w:r>
        <w:rPr>
          <w:i/>
          <w:color w:val="231F20"/>
          <w:spacing w:val="1"/>
          <w:w w:val="105"/>
          <w:sz w:val="16"/>
        </w:rPr>
        <w:t xml:space="preserve">Memoriam </w:t>
      </w:r>
      <w:r>
        <w:rPr>
          <w:color w:val="231F20"/>
          <w:w w:val="105"/>
          <w:sz w:val="16"/>
        </w:rPr>
        <w:t xml:space="preserve">(see pages </w:t>
      </w:r>
      <w:r>
        <w:rPr>
          <w:color w:val="231F20"/>
          <w:spacing w:val="-5"/>
          <w:w w:val="105"/>
          <w:sz w:val="16"/>
        </w:rPr>
        <w:t xml:space="preserve">534-35). </w:t>
      </w:r>
      <w:r>
        <w:rPr>
          <w:color w:val="231F20"/>
          <w:w w:val="105"/>
          <w:sz w:val="16"/>
        </w:rPr>
        <w:t xml:space="preserve">He died in </w:t>
      </w:r>
      <w:r>
        <w:rPr>
          <w:color w:val="231F20"/>
          <w:spacing w:val="-4"/>
          <w:w w:val="105"/>
          <w:sz w:val="16"/>
        </w:rPr>
        <w:t xml:space="preserve">1982 </w:t>
      </w:r>
      <w:r>
        <w:rPr>
          <w:color w:val="231F20"/>
          <w:w w:val="105"/>
          <w:sz w:val="16"/>
        </w:rPr>
        <w:t>while still appealing the details of this suspension. (Braunthal,</w:t>
      </w:r>
      <w:r>
        <w:rPr>
          <w:color w:val="231F20"/>
          <w:spacing w:val="23"/>
          <w:w w:val="105"/>
          <w:sz w:val="16"/>
        </w:rPr>
        <w:t xml:space="preserve"> </w:t>
      </w:r>
      <w:r>
        <w:rPr>
          <w:color w:val="231F20"/>
          <w:spacing w:val="-3"/>
          <w:w w:val="105"/>
          <w:sz w:val="16"/>
        </w:rPr>
        <w:t>98)</w:t>
      </w:r>
    </w:p>
    <w:p w14:paraId="0E5030E7" w14:textId="77777777" w:rsidR="002653E8" w:rsidRDefault="003115E3">
      <w:pPr>
        <w:pStyle w:val="a4"/>
        <w:numPr>
          <w:ilvl w:val="0"/>
          <w:numId w:val="66"/>
        </w:numPr>
        <w:tabs>
          <w:tab w:val="left" w:pos="1287"/>
        </w:tabs>
        <w:spacing w:before="43" w:line="254" w:lineRule="auto"/>
        <w:ind w:right="1404" w:firstLine="0"/>
        <w:rPr>
          <w:sz w:val="16"/>
        </w:rPr>
      </w:pPr>
      <w:r>
        <w:rPr>
          <w:color w:val="231F20"/>
          <w:w w:val="105"/>
          <w:sz w:val="14"/>
        </w:rPr>
        <w:lastRenderedPageBreak/>
        <w:t>§</w:t>
      </w:r>
      <w:r>
        <w:rPr>
          <w:color w:val="231F20"/>
          <w:w w:val="105"/>
          <w:sz w:val="16"/>
        </w:rPr>
        <w:t xml:space="preserve">88a, which criminalized literature which “glorifies violence,” passed into law on January </w:t>
      </w:r>
      <w:r>
        <w:rPr>
          <w:color w:val="231F20"/>
          <w:spacing w:val="-3"/>
          <w:w w:val="105"/>
          <w:sz w:val="16"/>
        </w:rPr>
        <w:t>16,</w:t>
      </w:r>
      <w:r>
        <w:rPr>
          <w:color w:val="231F20"/>
          <w:spacing w:val="16"/>
          <w:w w:val="105"/>
          <w:sz w:val="16"/>
        </w:rPr>
        <w:t xml:space="preserve"> </w:t>
      </w:r>
      <w:r>
        <w:rPr>
          <w:color w:val="231F20"/>
          <w:spacing w:val="-3"/>
          <w:w w:val="105"/>
          <w:sz w:val="16"/>
        </w:rPr>
        <w:t>1976.</w:t>
      </w:r>
    </w:p>
    <w:p w14:paraId="3570CE6F" w14:textId="77777777" w:rsidR="002653E8" w:rsidRDefault="002653E8">
      <w:pPr>
        <w:spacing w:line="254" w:lineRule="auto"/>
        <w:rPr>
          <w:sz w:val="16"/>
        </w:rPr>
        <w:sectPr w:rsidR="002653E8">
          <w:footerReference w:type="even" r:id="rId388"/>
          <w:footerReference w:type="default" r:id="rId389"/>
          <w:pgSz w:w="8640" w:h="12960"/>
          <w:pgMar w:top="1060" w:right="0" w:bottom="1040" w:left="0" w:header="0" w:footer="850" w:gutter="0"/>
          <w:cols w:space="720"/>
        </w:sectPr>
      </w:pPr>
    </w:p>
    <w:p w14:paraId="43AC3ADC" w14:textId="77777777" w:rsidR="002653E8" w:rsidRDefault="003115E3">
      <w:pPr>
        <w:pStyle w:val="a3"/>
        <w:spacing w:before="86" w:line="264" w:lineRule="auto"/>
        <w:ind w:left="1328" w:right="1145" w:hanging="1"/>
        <w:jc w:val="both"/>
      </w:pPr>
      <w:r>
        <w:rPr>
          <w:color w:val="231F20"/>
        </w:rPr>
        <w:lastRenderedPageBreak/>
        <w:t xml:space="preserve">be implemented from the left. Nothing like that has ever happened before! Why </w:t>
      </w:r>
      <w:r>
        <w:rPr>
          <w:color w:val="231F20"/>
          <w:spacing w:val="-3"/>
        </w:rPr>
        <w:t xml:space="preserve">don’t  </w:t>
      </w:r>
      <w:r>
        <w:rPr>
          <w:color w:val="231F20"/>
        </w:rPr>
        <w:t>you just talk to Klaus Wagenbach—a comrade? How   do</w:t>
      </w:r>
      <w:r>
        <w:rPr>
          <w:color w:val="231F20"/>
          <w:spacing w:val="10"/>
        </w:rPr>
        <w:t xml:space="preserve"> </w:t>
      </w:r>
      <w:r>
        <w:rPr>
          <w:color w:val="231F20"/>
        </w:rPr>
        <w:t>you</w:t>
      </w:r>
      <w:r>
        <w:rPr>
          <w:color w:val="231F20"/>
          <w:spacing w:val="10"/>
        </w:rPr>
        <w:t xml:space="preserve"> </w:t>
      </w:r>
      <w:r>
        <w:rPr>
          <w:color w:val="231F20"/>
        </w:rPr>
        <w:t>feel</w:t>
      </w:r>
      <w:r>
        <w:rPr>
          <w:color w:val="231F20"/>
          <w:spacing w:val="10"/>
        </w:rPr>
        <w:t xml:space="preserve"> </w:t>
      </w:r>
      <w:r>
        <w:rPr>
          <w:color w:val="231F20"/>
        </w:rPr>
        <w:t>about</w:t>
      </w:r>
      <w:r>
        <w:rPr>
          <w:color w:val="231F20"/>
          <w:spacing w:val="10"/>
        </w:rPr>
        <w:t xml:space="preserve"> </w:t>
      </w:r>
      <w:r>
        <w:rPr>
          <w:color w:val="231F20"/>
        </w:rPr>
        <w:t>the</w:t>
      </w:r>
      <w:r>
        <w:rPr>
          <w:color w:val="231F20"/>
          <w:spacing w:val="10"/>
        </w:rPr>
        <w:t xml:space="preserve"> </w:t>
      </w:r>
      <w:r>
        <w:rPr>
          <w:color w:val="231F20"/>
        </w:rPr>
        <w:t>new</w:t>
      </w:r>
      <w:r>
        <w:rPr>
          <w:color w:val="231F20"/>
          <w:spacing w:val="10"/>
        </w:rPr>
        <w:t xml:space="preserve"> </w:t>
      </w:r>
      <w:r>
        <w:rPr>
          <w:color w:val="231F20"/>
          <w:spacing w:val="-4"/>
          <w:sz w:val="18"/>
        </w:rPr>
        <w:t>§</w:t>
      </w:r>
      <w:r>
        <w:rPr>
          <w:color w:val="231F20"/>
          <w:spacing w:val="-4"/>
        </w:rPr>
        <w:t>88a?</w:t>
      </w:r>
    </w:p>
    <w:p w14:paraId="415AEF26" w14:textId="77777777" w:rsidR="002653E8" w:rsidRDefault="003115E3">
      <w:pPr>
        <w:pStyle w:val="a3"/>
        <w:spacing w:line="264" w:lineRule="auto"/>
        <w:ind w:left="1327" w:right="1145" w:firstLine="209"/>
        <w:jc w:val="both"/>
      </w:pPr>
      <w:r>
        <w:rPr>
          <w:color w:val="231F20"/>
          <w:spacing w:val="-5"/>
        </w:rPr>
        <w:t xml:space="preserve">you’ve </w:t>
      </w:r>
      <w:r>
        <w:rPr>
          <w:color w:val="231F20"/>
        </w:rPr>
        <w:t>maintained complete silence about a very important arti</w:t>
      </w:r>
      <w:r>
        <w:rPr>
          <w:color w:val="231F20"/>
          <w:w w:val="101"/>
        </w:rPr>
        <w:t>c</w:t>
      </w:r>
      <w:r>
        <w:rPr>
          <w:color w:val="231F20"/>
          <w:spacing w:val="-1"/>
          <w:w w:val="101"/>
        </w:rPr>
        <w:t>l</w:t>
      </w:r>
      <w:r>
        <w:rPr>
          <w:color w:val="231F20"/>
          <w:w w:val="91"/>
        </w:rPr>
        <w:t>e</w:t>
      </w:r>
      <w:r>
        <w:rPr>
          <w:color w:val="231F20"/>
        </w:rPr>
        <w:t xml:space="preserve"> </w:t>
      </w:r>
      <w:r>
        <w:rPr>
          <w:color w:val="231F20"/>
          <w:spacing w:val="-5"/>
        </w:rPr>
        <w:t xml:space="preserve"> </w:t>
      </w:r>
      <w:r>
        <w:rPr>
          <w:color w:val="231F20"/>
          <w:spacing w:val="2"/>
          <w:w w:val="109"/>
        </w:rPr>
        <w:t>f</w:t>
      </w:r>
      <w:r>
        <w:rPr>
          <w:color w:val="231F20"/>
          <w:spacing w:val="-2"/>
          <w:w w:val="94"/>
        </w:rPr>
        <w:t>r</w:t>
      </w:r>
      <w:r>
        <w:rPr>
          <w:color w:val="231F20"/>
          <w:spacing w:val="-1"/>
          <w:w w:val="104"/>
        </w:rPr>
        <w:t>o</w:t>
      </w:r>
      <w:r>
        <w:rPr>
          <w:color w:val="231F20"/>
          <w:w w:val="99"/>
        </w:rPr>
        <w:t xml:space="preserve">m </w:t>
      </w:r>
      <w:r>
        <w:rPr>
          <w:color w:val="231F20"/>
          <w:spacing w:val="-5"/>
          <w:w w:val="99"/>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5"/>
        </w:rPr>
        <w:t xml:space="preserve"> </w:t>
      </w:r>
      <w:r>
        <w:rPr>
          <w:color w:val="231F20"/>
          <w:w w:val="116"/>
        </w:rPr>
        <w:t>R</w:t>
      </w:r>
      <w:r>
        <w:rPr>
          <w:color w:val="231F20"/>
          <w:w w:val="91"/>
        </w:rPr>
        <w:t>e</w:t>
      </w:r>
      <w:r>
        <w:rPr>
          <w:color w:val="231F20"/>
        </w:rPr>
        <w:t xml:space="preserve">d </w:t>
      </w:r>
      <w:r>
        <w:rPr>
          <w:color w:val="231F20"/>
          <w:spacing w:val="-5"/>
        </w:rPr>
        <w:t xml:space="preserve"> </w:t>
      </w:r>
      <w:r>
        <w:rPr>
          <w:color w:val="231F20"/>
          <w:spacing w:val="5"/>
          <w:w w:val="115"/>
        </w:rPr>
        <w:t>A</w:t>
      </w:r>
      <w:r>
        <w:rPr>
          <w:color w:val="231F20"/>
          <w:spacing w:val="-2"/>
        </w:rPr>
        <w:t>i</w:t>
      </w:r>
      <w:r>
        <w:rPr>
          <w:color w:val="231F20"/>
          <w:spacing w:val="8"/>
        </w:rPr>
        <w:t>d</w:t>
      </w:r>
      <w:r>
        <w:rPr>
          <w:color w:val="231F20"/>
          <w:spacing w:val="12"/>
          <w:w w:val="56"/>
        </w:rPr>
        <w:t>/</w:t>
      </w:r>
      <w:r>
        <w:rPr>
          <w:color w:val="231F20"/>
          <w:spacing w:val="-10"/>
          <w:w w:val="108"/>
        </w:rPr>
        <w:t>W</w:t>
      </w:r>
      <w:r>
        <w:rPr>
          <w:color w:val="231F20"/>
          <w:spacing w:val="1"/>
          <w:w w:val="91"/>
        </w:rPr>
        <w:t>e</w:t>
      </w:r>
      <w:r>
        <w:rPr>
          <w:color w:val="231F20"/>
          <w:w w:val="90"/>
        </w:rPr>
        <w:t>s</w:t>
      </w:r>
      <w:r>
        <w:rPr>
          <w:color w:val="231F20"/>
          <w:w w:val="98"/>
        </w:rPr>
        <w:t>t</w:t>
      </w:r>
      <w:r>
        <w:rPr>
          <w:color w:val="231F20"/>
        </w:rPr>
        <w:t xml:space="preserve"> </w:t>
      </w:r>
      <w:r>
        <w:rPr>
          <w:color w:val="231F20"/>
          <w:spacing w:val="-5"/>
        </w:rPr>
        <w:t xml:space="preserve"> </w:t>
      </w:r>
      <w:r>
        <w:rPr>
          <w:color w:val="231F20"/>
          <w:spacing w:val="5"/>
          <w:w w:val="99"/>
        </w:rPr>
        <w:t>B</w:t>
      </w:r>
      <w:r>
        <w:rPr>
          <w:color w:val="231F20"/>
          <w:w w:val="92"/>
        </w:rPr>
        <w:t>e</w:t>
      </w:r>
      <w:r>
        <w:rPr>
          <w:color w:val="231F20"/>
          <w:spacing w:val="-3"/>
          <w:w w:val="92"/>
        </w:rPr>
        <w:t>r</w:t>
      </w:r>
      <w:r>
        <w:rPr>
          <w:color w:val="231F20"/>
          <w:spacing w:val="2"/>
          <w:w w:val="102"/>
        </w:rPr>
        <w:t>l</w:t>
      </w:r>
      <w:r>
        <w:rPr>
          <w:color w:val="231F20"/>
          <w:spacing w:val="2"/>
        </w:rPr>
        <w:t>i</w:t>
      </w:r>
      <w:r>
        <w:rPr>
          <w:color w:val="231F20"/>
          <w:w w:val="99"/>
        </w:rPr>
        <w:t>n</w:t>
      </w:r>
      <w:r>
        <w:rPr>
          <w:color w:val="231F20"/>
        </w:rPr>
        <w:t xml:space="preserve"> </w:t>
      </w:r>
      <w:r>
        <w:rPr>
          <w:color w:val="231F20"/>
          <w:spacing w:val="-5"/>
        </w:rPr>
        <w:t xml:space="preserve"> </w:t>
      </w:r>
      <w:r>
        <w:rPr>
          <w:color w:val="231F20"/>
          <w:spacing w:val="1"/>
          <w:w w:val="97"/>
        </w:rPr>
        <w:t>P</w:t>
      </w:r>
      <w:r>
        <w:rPr>
          <w:color w:val="231F20"/>
          <w:spacing w:val="1"/>
          <w:w w:val="94"/>
        </w:rPr>
        <w:t>r</w:t>
      </w:r>
      <w:r>
        <w:rPr>
          <w:color w:val="231F20"/>
        </w:rPr>
        <w:t>i</w:t>
      </w:r>
      <w:r>
        <w:rPr>
          <w:color w:val="231F20"/>
          <w:w w:val="90"/>
        </w:rPr>
        <w:t>s</w:t>
      </w:r>
      <w:r>
        <w:rPr>
          <w:color w:val="231F20"/>
          <w:spacing w:val="-1"/>
          <w:w w:val="104"/>
        </w:rPr>
        <w:t>o</w:t>
      </w:r>
      <w:r>
        <w:rPr>
          <w:color w:val="231F20"/>
          <w:spacing w:val="-1"/>
          <w:w w:val="99"/>
        </w:rPr>
        <w:t>n</w:t>
      </w:r>
      <w:r>
        <w:rPr>
          <w:color w:val="231F20"/>
          <w:w w:val="92"/>
        </w:rPr>
        <w:t>er</w:t>
      </w:r>
      <w:r>
        <w:rPr>
          <w:color w:val="231F20"/>
          <w:spacing w:val="-3"/>
          <w:w w:val="90"/>
        </w:rPr>
        <w:t>s</w:t>
      </w:r>
      <w:r>
        <w:rPr>
          <w:color w:val="231F20"/>
          <w:w w:val="125"/>
        </w:rPr>
        <w:t>’</w:t>
      </w:r>
      <w:r>
        <w:rPr>
          <w:color w:val="231F20"/>
        </w:rPr>
        <w:t xml:space="preserve"> </w:t>
      </w:r>
      <w:r>
        <w:rPr>
          <w:color w:val="231F20"/>
          <w:spacing w:val="-5"/>
        </w:rPr>
        <w:t xml:space="preserve"> </w:t>
      </w:r>
      <w:r>
        <w:rPr>
          <w:color w:val="231F20"/>
          <w:spacing w:val="2"/>
          <w:w w:val="128"/>
        </w:rPr>
        <w:t>C</w:t>
      </w:r>
      <w:r>
        <w:rPr>
          <w:color w:val="231F20"/>
          <w:spacing w:val="-2"/>
          <w:w w:val="104"/>
        </w:rPr>
        <w:t>o</w:t>
      </w:r>
      <w:r>
        <w:rPr>
          <w:color w:val="231F20"/>
          <w:spacing w:val="2"/>
          <w:w w:val="102"/>
        </w:rPr>
        <w:t>l</w:t>
      </w:r>
      <w:r>
        <w:rPr>
          <w:color w:val="231F20"/>
          <w:spacing w:val="-1"/>
          <w:w w:val="102"/>
        </w:rPr>
        <w:t>l</w:t>
      </w:r>
      <w:r>
        <w:rPr>
          <w:color w:val="231F20"/>
          <w:spacing w:val="1"/>
          <w:w w:val="91"/>
        </w:rPr>
        <w:t>e</w:t>
      </w:r>
      <w:r>
        <w:rPr>
          <w:color w:val="231F20"/>
          <w:spacing w:val="3"/>
        </w:rPr>
        <w:t>c</w:t>
      </w:r>
      <w:r>
        <w:rPr>
          <w:color w:val="231F20"/>
          <w:spacing w:val="2"/>
          <w:w w:val="98"/>
        </w:rPr>
        <w:t>t</w:t>
      </w:r>
      <w:r>
        <w:rPr>
          <w:color w:val="231F20"/>
          <w:spacing w:val="-2"/>
        </w:rPr>
        <w:t>i</w:t>
      </w:r>
      <w:r>
        <w:rPr>
          <w:color w:val="231F20"/>
          <w:spacing w:val="-2"/>
          <w:w w:val="99"/>
        </w:rPr>
        <w:t>v</w:t>
      </w:r>
      <w:r>
        <w:rPr>
          <w:color w:val="231F20"/>
          <w:w w:val="91"/>
        </w:rPr>
        <w:t>e</w:t>
      </w:r>
      <w:r>
        <w:rPr>
          <w:color w:val="231F20"/>
        </w:rPr>
        <w:t xml:space="preserve"> </w:t>
      </w:r>
      <w:r>
        <w:rPr>
          <w:color w:val="231F20"/>
          <w:spacing w:val="-5"/>
        </w:rPr>
        <w:t xml:space="preserve"> </w:t>
      </w:r>
      <w:r>
        <w:rPr>
          <w:color w:val="231F20"/>
          <w:spacing w:val="-1"/>
          <w:w w:val="87"/>
        </w:rPr>
        <w:t>(</w:t>
      </w:r>
      <w:r>
        <w:rPr>
          <w:color w:val="231F20"/>
          <w:spacing w:val="-2"/>
          <w:w w:val="99"/>
        </w:rPr>
        <w:t>p</w:t>
      </w:r>
      <w:r>
        <w:rPr>
          <w:color w:val="231F20"/>
          <w:spacing w:val="-1"/>
        </w:rPr>
        <w:t>u</w:t>
      </w:r>
      <w:r>
        <w:rPr>
          <w:color w:val="231F20"/>
          <w:spacing w:val="-2"/>
          <w:w w:val="101"/>
        </w:rPr>
        <w:t>b</w:t>
      </w:r>
      <w:r>
        <w:rPr>
          <w:color w:val="231F20"/>
          <w:spacing w:val="2"/>
          <w:w w:val="102"/>
        </w:rPr>
        <w:t>l</w:t>
      </w:r>
      <w:r>
        <w:rPr>
          <w:color w:val="231F20"/>
        </w:rPr>
        <w:t>i</w:t>
      </w:r>
      <w:r>
        <w:rPr>
          <w:color w:val="231F20"/>
          <w:w w:val="96"/>
        </w:rPr>
        <w:t>s</w:t>
      </w:r>
      <w:r>
        <w:rPr>
          <w:color w:val="231F20"/>
          <w:spacing w:val="-1"/>
          <w:w w:val="96"/>
        </w:rPr>
        <w:t>h</w:t>
      </w:r>
      <w:r>
        <w:rPr>
          <w:color w:val="231F20"/>
          <w:w w:val="91"/>
        </w:rPr>
        <w:t>e</w:t>
      </w:r>
      <w:r>
        <w:rPr>
          <w:color w:val="231F20"/>
        </w:rPr>
        <w:t xml:space="preserve">d </w:t>
      </w:r>
      <w:r>
        <w:rPr>
          <w:color w:val="231F20"/>
          <w:spacing w:val="-5"/>
        </w:rPr>
        <w:t xml:space="preserve"> </w:t>
      </w:r>
      <w:r>
        <w:rPr>
          <w:color w:val="231F20"/>
          <w:spacing w:val="2"/>
        </w:rPr>
        <w:t>i</w:t>
      </w:r>
      <w:r>
        <w:rPr>
          <w:color w:val="231F20"/>
          <w:w w:val="99"/>
        </w:rPr>
        <w:t xml:space="preserve">n </w:t>
      </w:r>
      <w:r>
        <w:rPr>
          <w:i/>
          <w:color w:val="231F20"/>
        </w:rPr>
        <w:t xml:space="preserve">Info-BUG </w:t>
      </w:r>
      <w:r>
        <w:rPr>
          <w:i/>
          <w:color w:val="231F20"/>
          <w:spacing w:val="-6"/>
        </w:rPr>
        <w:t>#</w:t>
      </w:r>
      <w:r>
        <w:rPr>
          <w:color w:val="231F20"/>
          <w:spacing w:val="-6"/>
        </w:rPr>
        <w:t xml:space="preserve">111) </w:t>
      </w:r>
      <w:r>
        <w:rPr>
          <w:color w:val="231F20"/>
        </w:rPr>
        <w:t xml:space="preserve">regarding the problems faced by  </w:t>
      </w:r>
      <w:r>
        <w:rPr>
          <w:color w:val="231F20"/>
          <w:spacing w:val="-4"/>
        </w:rPr>
        <w:t xml:space="preserve">POWs.  </w:t>
      </w:r>
      <w:r>
        <w:rPr>
          <w:color w:val="231F20"/>
          <w:spacing w:val="-5"/>
        </w:rPr>
        <w:t xml:space="preserve">We  </w:t>
      </w:r>
      <w:r>
        <w:rPr>
          <w:color w:val="231F20"/>
        </w:rPr>
        <w:t>think  that’s</w:t>
      </w:r>
      <w:r>
        <w:rPr>
          <w:color w:val="231F20"/>
          <w:spacing w:val="10"/>
        </w:rPr>
        <w:t xml:space="preserve"> </w:t>
      </w:r>
      <w:r>
        <w:rPr>
          <w:color w:val="231F20"/>
        </w:rPr>
        <w:t>bullshit.</w:t>
      </w:r>
    </w:p>
    <w:p w14:paraId="58956DDA" w14:textId="77777777" w:rsidR="002653E8" w:rsidRDefault="003115E3">
      <w:pPr>
        <w:pStyle w:val="a3"/>
        <w:spacing w:line="264" w:lineRule="auto"/>
        <w:ind w:left="1327" w:right="1146" w:firstLine="210"/>
        <w:jc w:val="both"/>
      </w:pPr>
      <w:r>
        <w:rPr>
          <w:color w:val="231F20"/>
        </w:rPr>
        <w:t xml:space="preserve">your silence regarding the Committees Against Torture (they primarily supported the </w:t>
      </w:r>
      <w:r w:rsidR="00C507A5">
        <w:rPr>
          <w:color w:val="231F20"/>
        </w:rPr>
        <w:t>red army faction</w:t>
      </w:r>
      <w:r>
        <w:rPr>
          <w:color w:val="231F20"/>
        </w:rPr>
        <w:t xml:space="preserve"> prisoners) must finally end. Start with their activities up until the persecution through surveillance, raids, and Winter Trip. After that the committees dissolved themselves. Did you agree to this? Were they quickly replaced by a defense committee/support fund?</w:t>
      </w:r>
    </w:p>
    <w:p w14:paraId="77A4375B" w14:textId="77777777" w:rsidR="002653E8" w:rsidRDefault="003115E3">
      <w:pPr>
        <w:pStyle w:val="a3"/>
        <w:spacing w:line="264" w:lineRule="auto"/>
        <w:ind w:left="1327" w:right="1145" w:firstLine="210"/>
        <w:jc w:val="both"/>
      </w:pPr>
      <w:r>
        <w:rPr>
          <w:color w:val="231F20"/>
        </w:rPr>
        <w:t xml:space="preserve">These are only some examples. What </w:t>
      </w:r>
      <w:r>
        <w:rPr>
          <w:color w:val="231F20"/>
          <w:spacing w:val="-3"/>
        </w:rPr>
        <w:t xml:space="preserve">we’re  </w:t>
      </w:r>
      <w:r>
        <w:rPr>
          <w:color w:val="231F20"/>
        </w:rPr>
        <w:t xml:space="preserve">trying to say to you is  that in the future you can’t continue to abuse important comrades in  the movement. </w:t>
      </w:r>
      <w:r>
        <w:rPr>
          <w:color w:val="231F20"/>
          <w:spacing w:val="-7"/>
        </w:rPr>
        <w:t xml:space="preserve">you </w:t>
      </w:r>
      <w:r>
        <w:rPr>
          <w:color w:val="231F20"/>
        </w:rPr>
        <w:t xml:space="preserve">can’t continue to denounce them as objective cops, state security agents, or </w:t>
      </w:r>
      <w:r>
        <w:rPr>
          <w:color w:val="231F20"/>
          <w:spacing w:val="2"/>
        </w:rPr>
        <w:t xml:space="preserve">BKA </w:t>
      </w:r>
      <w:r>
        <w:rPr>
          <w:color w:val="231F20"/>
        </w:rPr>
        <w:t xml:space="preserve">members. It is not only a disgrace, it is extremely dangerous! </w:t>
      </w:r>
      <w:r>
        <w:rPr>
          <w:color w:val="231F20"/>
          <w:spacing w:val="-5"/>
        </w:rPr>
        <w:t xml:space="preserve">We  </w:t>
      </w:r>
      <w:r>
        <w:rPr>
          <w:color w:val="231F20"/>
        </w:rPr>
        <w:t>will not allow you to continue to do this in  the future.</w:t>
      </w:r>
      <w:r>
        <w:rPr>
          <w:color w:val="231F20"/>
          <w:spacing w:val="21"/>
        </w:rPr>
        <w:t xml:space="preserve"> </w:t>
      </w:r>
      <w:r>
        <w:rPr>
          <w:color w:val="231F20"/>
        </w:rPr>
        <w:t>Period!</w:t>
      </w:r>
    </w:p>
    <w:p w14:paraId="71ECA53A" w14:textId="77777777" w:rsidR="002653E8" w:rsidRDefault="003115E3">
      <w:pPr>
        <w:pStyle w:val="a3"/>
        <w:spacing w:line="264" w:lineRule="auto"/>
        <w:ind w:left="1327" w:right="1136" w:firstLine="210"/>
        <w:jc w:val="both"/>
      </w:pPr>
      <w:r>
        <w:rPr>
          <w:color w:val="231F20"/>
        </w:rPr>
        <w:t xml:space="preserve">you, that is to say the </w:t>
      </w:r>
      <w:r w:rsidR="00C507A5">
        <w:rPr>
          <w:color w:val="231F20"/>
        </w:rPr>
        <w:t>red army faction</w:t>
      </w:r>
      <w:r>
        <w:rPr>
          <w:color w:val="231F20"/>
        </w:rPr>
        <w:t xml:space="preserve"> comrades, have drawn attention to an important point. yet again. Specifically, the problem of psychological warfare. Since you first decided to point it out, we have begun to consider the press and interviews and their function in Buback’s strategy much more seriously. So we really don’t understand why you’ve effectively left the field to this regimented media. In the near future an RZ interview will address this.</w:t>
      </w:r>
    </w:p>
    <w:p w14:paraId="1E8B95FD" w14:textId="77777777" w:rsidR="002653E8" w:rsidRDefault="003115E3">
      <w:pPr>
        <w:pStyle w:val="a3"/>
        <w:spacing w:line="264" w:lineRule="auto"/>
        <w:ind w:left="1327" w:right="1145" w:firstLine="210"/>
        <w:jc w:val="both"/>
      </w:pPr>
      <w:r>
        <w:rPr>
          <w:color w:val="231F20"/>
        </w:rPr>
        <w:t xml:space="preserve">We usually first learn of your statements from the </w:t>
      </w:r>
      <w:r>
        <w:rPr>
          <w:i/>
          <w:color w:val="231F20"/>
        </w:rPr>
        <w:t>Frankfurter Rundschau</w:t>
      </w:r>
      <w:r>
        <w:rPr>
          <w:color w:val="231F20"/>
        </w:rPr>
        <w:t xml:space="preserve">, </w:t>
      </w:r>
      <w:r>
        <w:rPr>
          <w:i/>
          <w:color w:val="231F20"/>
        </w:rPr>
        <w:t>Süddeutsche Zeitung</w:t>
      </w:r>
      <w:r>
        <w:rPr>
          <w:color w:val="231F20"/>
        </w:rPr>
        <w:t xml:space="preserve">, </w:t>
      </w:r>
      <w:r>
        <w:rPr>
          <w:i/>
          <w:color w:val="231F20"/>
        </w:rPr>
        <w:t>Berliner Zeitung</w:t>
      </w:r>
      <w:r>
        <w:rPr>
          <w:color w:val="231F20"/>
        </w:rPr>
        <w:t>, etc. Initially, their meaning is only clear to comrades “in the know.” The same is true with regards to the Geneva Convention. It is extremely common that we get our first information about you from random newspapers and news shows. It must be clear to you that as a result rumors and incorrect reports circulate as news about you. It is only very seldom that we get the information from you first. It usually comes too late to correct false reports. As a result many comrades can only then be mobilized for whatever campaign. Often without understanding what it is they’re doing. When you howl about that—without doing anything about it either on the outside or from within prison—how do you make yourselves look? you’re reaction is out of proportion. We cannot in any way accept your treating us or others with scorn.</w:t>
      </w:r>
    </w:p>
    <w:p w14:paraId="6C05BE62" w14:textId="77777777" w:rsidR="002653E8" w:rsidRDefault="002653E8">
      <w:pPr>
        <w:spacing w:line="264" w:lineRule="auto"/>
        <w:jc w:val="both"/>
        <w:sectPr w:rsidR="002653E8">
          <w:pgSz w:w="8640" w:h="12960"/>
          <w:pgMar w:top="1060" w:right="0" w:bottom="1040" w:left="0" w:header="0" w:footer="850" w:gutter="0"/>
          <w:cols w:space="720"/>
        </w:sectPr>
      </w:pPr>
    </w:p>
    <w:p w14:paraId="3365ADA3" w14:textId="77777777" w:rsidR="002653E8" w:rsidRDefault="003115E3">
      <w:pPr>
        <w:pStyle w:val="a3"/>
        <w:spacing w:before="86"/>
        <w:ind w:left="1357"/>
      </w:pPr>
      <w:r>
        <w:rPr>
          <w:color w:val="231F20"/>
        </w:rPr>
        <w:lastRenderedPageBreak/>
        <w:t>Now a few basic questions:</w:t>
      </w:r>
    </w:p>
    <w:p w14:paraId="5EC31FC1" w14:textId="77777777" w:rsidR="002653E8" w:rsidRDefault="003115E3">
      <w:pPr>
        <w:pStyle w:val="a3"/>
        <w:spacing w:before="23" w:line="264" w:lineRule="auto"/>
        <w:ind w:left="1147" w:right="1326" w:firstLine="210"/>
        <w:jc w:val="both"/>
      </w:pPr>
      <w:r>
        <w:rPr>
          <w:color w:val="231F20"/>
        </w:rPr>
        <w:t xml:space="preserve">What’s your position regarding the politics of the  Revolutionary  Cells and the 2nd of June Movement? For instance, the Lorenz kidnapping, forged public transit passes, the attack of the women of the   </w:t>
      </w:r>
      <w:r>
        <w:rPr>
          <w:color w:val="231F20"/>
          <w:spacing w:val="3"/>
        </w:rPr>
        <w:t xml:space="preserve">RZ </w:t>
      </w:r>
      <w:r>
        <w:rPr>
          <w:color w:val="231F20"/>
        </w:rPr>
        <w:t>against the Federal Constitutional Court, forged food vouchers for Berlin’s</w:t>
      </w:r>
      <w:r>
        <w:rPr>
          <w:color w:val="231F20"/>
          <w:spacing w:val="10"/>
        </w:rPr>
        <w:t xml:space="preserve"> </w:t>
      </w:r>
      <w:r>
        <w:rPr>
          <w:color w:val="231F20"/>
        </w:rPr>
        <w:t>homeless…?</w:t>
      </w:r>
    </w:p>
    <w:p w14:paraId="7EA60B46" w14:textId="77777777" w:rsidR="002653E8" w:rsidRDefault="003115E3">
      <w:pPr>
        <w:pStyle w:val="a3"/>
        <w:spacing w:line="264" w:lineRule="auto"/>
        <w:ind w:left="1147" w:right="1326" w:firstLine="210"/>
        <w:jc w:val="both"/>
      </w:pPr>
      <w:r>
        <w:rPr>
          <w:color w:val="231F20"/>
          <w:w w:val="105"/>
        </w:rPr>
        <w:t>How do you support your lawyers, who are directly or indirectly subjected</w:t>
      </w:r>
      <w:r>
        <w:rPr>
          <w:color w:val="231F20"/>
          <w:spacing w:val="-8"/>
          <w:w w:val="105"/>
        </w:rPr>
        <w:t xml:space="preserve"> </w:t>
      </w:r>
      <w:r>
        <w:rPr>
          <w:color w:val="231F20"/>
          <w:w w:val="105"/>
        </w:rPr>
        <w:t>to</w:t>
      </w:r>
      <w:r>
        <w:rPr>
          <w:color w:val="231F20"/>
          <w:spacing w:val="-8"/>
          <w:w w:val="105"/>
        </w:rPr>
        <w:t xml:space="preserve"> </w:t>
      </w:r>
      <w:r>
        <w:rPr>
          <w:color w:val="231F20"/>
          <w:w w:val="105"/>
        </w:rPr>
        <w:t>the</w:t>
      </w:r>
      <w:r>
        <w:rPr>
          <w:color w:val="231F20"/>
          <w:spacing w:val="-8"/>
          <w:w w:val="105"/>
        </w:rPr>
        <w:t xml:space="preserve"> </w:t>
      </w:r>
      <w:r>
        <w:rPr>
          <w:i/>
          <w:color w:val="231F20"/>
          <w:w w:val="105"/>
        </w:rPr>
        <w:t>Berufsverbot</w:t>
      </w:r>
      <w:r>
        <w:rPr>
          <w:color w:val="231F20"/>
          <w:w w:val="105"/>
        </w:rPr>
        <w:t>?</w:t>
      </w:r>
      <w:r>
        <w:rPr>
          <w:color w:val="231F20"/>
          <w:spacing w:val="-8"/>
          <w:w w:val="105"/>
        </w:rPr>
        <w:t xml:space="preserve"> </w:t>
      </w:r>
      <w:r>
        <w:rPr>
          <w:color w:val="231F20"/>
          <w:w w:val="105"/>
        </w:rPr>
        <w:t>Who</w:t>
      </w:r>
      <w:r>
        <w:rPr>
          <w:color w:val="231F20"/>
          <w:spacing w:val="-8"/>
          <w:w w:val="105"/>
        </w:rPr>
        <w:t xml:space="preserve"> </w:t>
      </w:r>
      <w:r>
        <w:rPr>
          <w:color w:val="231F20"/>
          <w:w w:val="105"/>
        </w:rPr>
        <w:t>suffer</w:t>
      </w:r>
      <w:r>
        <w:rPr>
          <w:color w:val="231F20"/>
          <w:spacing w:val="-8"/>
          <w:w w:val="105"/>
        </w:rPr>
        <w:t xml:space="preserve"> </w:t>
      </w:r>
      <w:r>
        <w:rPr>
          <w:color w:val="231F20"/>
          <w:w w:val="105"/>
        </w:rPr>
        <w:t>constant</w:t>
      </w:r>
      <w:r>
        <w:rPr>
          <w:color w:val="231F20"/>
          <w:spacing w:val="-8"/>
          <w:w w:val="105"/>
        </w:rPr>
        <w:t xml:space="preserve"> </w:t>
      </w:r>
      <w:r>
        <w:rPr>
          <w:color w:val="231F20"/>
          <w:w w:val="105"/>
        </w:rPr>
        <w:t>persecution?</w:t>
      </w:r>
      <w:r>
        <w:rPr>
          <w:color w:val="231F20"/>
          <w:spacing w:val="-8"/>
          <w:w w:val="105"/>
        </w:rPr>
        <w:t xml:space="preserve"> </w:t>
      </w:r>
      <w:r>
        <w:rPr>
          <w:color w:val="231F20"/>
          <w:w w:val="105"/>
        </w:rPr>
        <w:t xml:space="preserve">How do you help them keep their COURAGE up, besides railing against Buback </w:t>
      </w:r>
      <w:r>
        <w:rPr>
          <w:color w:val="231F20"/>
          <w:w w:val="110"/>
        </w:rPr>
        <w:t xml:space="preserve">&amp; </w:t>
      </w:r>
      <w:r>
        <w:rPr>
          <w:color w:val="231F20"/>
          <w:w w:val="105"/>
        </w:rPr>
        <w:t xml:space="preserve">Co.? </w:t>
      </w:r>
      <w:r>
        <w:rPr>
          <w:color w:val="231F20"/>
          <w:spacing w:val="-5"/>
          <w:w w:val="105"/>
        </w:rPr>
        <w:t xml:space="preserve">We’re </w:t>
      </w:r>
      <w:r>
        <w:rPr>
          <w:color w:val="231F20"/>
          <w:w w:val="105"/>
        </w:rPr>
        <w:t>asking, because at this point there aren’t many left lawyers remaining to defend revolutionary</w:t>
      </w:r>
      <w:r>
        <w:rPr>
          <w:color w:val="231F20"/>
          <w:spacing w:val="-5"/>
          <w:w w:val="105"/>
        </w:rPr>
        <w:t xml:space="preserve"> </w:t>
      </w:r>
      <w:r>
        <w:rPr>
          <w:color w:val="231F20"/>
          <w:w w:val="105"/>
        </w:rPr>
        <w:t>prisoners.</w:t>
      </w:r>
    </w:p>
    <w:p w14:paraId="430B664E" w14:textId="77777777" w:rsidR="002653E8" w:rsidRDefault="003115E3">
      <w:pPr>
        <w:pStyle w:val="a3"/>
        <w:spacing w:line="264" w:lineRule="auto"/>
        <w:ind w:left="1147" w:right="1326" w:firstLine="210"/>
        <w:jc w:val="both"/>
      </w:pPr>
      <w:r>
        <w:rPr>
          <w:color w:val="231F20"/>
        </w:rPr>
        <w:t>Why, at this point, do you only seek the support of prominent personalities? Is it because they’re in the forefront of the legal movement? We see this as a huge mistake.</w:t>
      </w:r>
    </w:p>
    <w:p w14:paraId="27608B24" w14:textId="77777777" w:rsidR="002653E8" w:rsidRDefault="003115E3">
      <w:pPr>
        <w:pStyle w:val="a3"/>
        <w:spacing w:line="264" w:lineRule="auto"/>
        <w:ind w:left="1147" w:right="1326" w:firstLine="210"/>
        <w:jc w:val="both"/>
      </w:pPr>
      <w:r>
        <w:rPr>
          <w:color w:val="231F20"/>
        </w:rPr>
        <w:t>What’s your position on a common discussion of all political prisoners and all prisoners that have been politicized in prison? We don’t mean by this that you should demand that they all be placed together in the same concentration camp, which is Buback’s idea. That’s a mistake. Rather we mean the mutual strengthening of all prisoners who struggle inside the prisons.</w:t>
      </w:r>
    </w:p>
    <w:p w14:paraId="3DC69E86" w14:textId="77777777" w:rsidR="002653E8" w:rsidRDefault="003115E3">
      <w:pPr>
        <w:pStyle w:val="a3"/>
        <w:spacing w:line="264" w:lineRule="auto"/>
        <w:ind w:left="1147" w:right="1325" w:firstLine="210"/>
        <w:jc w:val="both"/>
      </w:pPr>
      <w:r>
        <w:rPr>
          <w:color w:val="231F20"/>
          <w:spacing w:val="-3"/>
        </w:rPr>
        <w:t xml:space="preserve">Don’t </w:t>
      </w:r>
      <w:r>
        <w:rPr>
          <w:color w:val="231F20"/>
        </w:rPr>
        <w:t>you think that the Stockholm action should be criticized? And certainly not only because the action failed to achieve its demands. That’s not the point. Rather, because the whole action was an unpleasant</w:t>
      </w:r>
      <w:r>
        <w:rPr>
          <w:color w:val="231F20"/>
          <w:spacing w:val="-4"/>
        </w:rPr>
        <w:t xml:space="preserve"> </w:t>
      </w:r>
      <w:r>
        <w:rPr>
          <w:color w:val="231F20"/>
        </w:rPr>
        <w:t>example</w:t>
      </w:r>
      <w:r>
        <w:rPr>
          <w:color w:val="231F20"/>
          <w:spacing w:val="-4"/>
        </w:rPr>
        <w:t xml:space="preserve"> </w:t>
      </w:r>
      <w:r>
        <w:rPr>
          <w:color w:val="231F20"/>
        </w:rPr>
        <w:t>of</w:t>
      </w:r>
      <w:r>
        <w:rPr>
          <w:color w:val="231F20"/>
          <w:spacing w:val="-4"/>
        </w:rPr>
        <w:t xml:space="preserve"> </w:t>
      </w:r>
      <w:r>
        <w:rPr>
          <w:color w:val="231F20"/>
        </w:rPr>
        <w:t>how</w:t>
      </w:r>
      <w:r>
        <w:rPr>
          <w:color w:val="231F20"/>
          <w:spacing w:val="-4"/>
        </w:rPr>
        <w:t xml:space="preserve"> </w:t>
      </w:r>
      <w:r>
        <w:rPr>
          <w:color w:val="231F20"/>
        </w:rPr>
        <w:t>a</w:t>
      </w:r>
      <w:r>
        <w:rPr>
          <w:color w:val="231F20"/>
          <w:spacing w:val="-4"/>
        </w:rPr>
        <w:t xml:space="preserve"> </w:t>
      </w:r>
      <w:r>
        <w:rPr>
          <w:color w:val="231F20"/>
        </w:rPr>
        <w:t>few</w:t>
      </w:r>
      <w:r>
        <w:rPr>
          <w:color w:val="231F20"/>
          <w:spacing w:val="-4"/>
        </w:rPr>
        <w:t xml:space="preserve"> </w:t>
      </w:r>
      <w:r>
        <w:rPr>
          <w:color w:val="231F20"/>
        </w:rPr>
        <w:t>comrades</w:t>
      </w:r>
      <w:r>
        <w:rPr>
          <w:color w:val="231F20"/>
          <w:spacing w:val="-4"/>
        </w:rPr>
        <w:t xml:space="preserve"> </w:t>
      </w:r>
      <w:r>
        <w:rPr>
          <w:color w:val="231F20"/>
        </w:rPr>
        <w:t>totally</w:t>
      </w:r>
      <w:r>
        <w:rPr>
          <w:color w:val="231F20"/>
          <w:spacing w:val="-4"/>
        </w:rPr>
        <w:t xml:space="preserve"> </w:t>
      </w:r>
      <w:r>
        <w:rPr>
          <w:color w:val="231F20"/>
        </w:rPr>
        <w:t>overshadowed</w:t>
      </w:r>
      <w:r>
        <w:rPr>
          <w:color w:val="231F20"/>
          <w:spacing w:val="-4"/>
        </w:rPr>
        <w:t xml:space="preserve"> </w:t>
      </w:r>
      <w:r>
        <w:rPr>
          <w:color w:val="231F20"/>
        </w:rPr>
        <w:t>your</w:t>
      </w:r>
      <w:r>
        <w:rPr>
          <w:color w:val="231F20"/>
          <w:spacing w:val="-4"/>
        </w:rPr>
        <w:t xml:space="preserve"> </w:t>
      </w:r>
      <w:r>
        <w:rPr>
          <w:color w:val="231F20"/>
        </w:rPr>
        <w:t xml:space="preserve">relationships and experiences. They did not mediate anything of a long-term nature. Even the demands themselves bore no relationship to the action. </w:t>
      </w:r>
      <w:r>
        <w:rPr>
          <w:color w:val="231F20"/>
          <w:spacing w:val="-7"/>
        </w:rPr>
        <w:t xml:space="preserve">Two </w:t>
      </w:r>
      <w:r>
        <w:rPr>
          <w:color w:val="231F20"/>
        </w:rPr>
        <w:t xml:space="preserve">comrades paid for the action with their lives. The timeframe for </w:t>
      </w:r>
      <w:r>
        <w:rPr>
          <w:color w:val="231F20"/>
          <w:spacing w:val="1"/>
        </w:rPr>
        <w:t xml:space="preserve">fulfilling </w:t>
      </w:r>
      <w:r>
        <w:rPr>
          <w:color w:val="231F20"/>
        </w:rPr>
        <w:t xml:space="preserve">the demands was far too short.—Mistakes were made that must be completely avoided the next time. So mistakes were made. </w:t>
      </w:r>
      <w:r>
        <w:rPr>
          <w:color w:val="231F20"/>
          <w:spacing w:val="-3"/>
        </w:rPr>
        <w:t xml:space="preserve">Turn </w:t>
      </w:r>
      <w:r>
        <w:rPr>
          <w:color w:val="231F20"/>
        </w:rPr>
        <w:t>every defeat into</w:t>
      </w:r>
      <w:r>
        <w:rPr>
          <w:color w:val="231F20"/>
          <w:spacing w:val="33"/>
        </w:rPr>
        <w:t xml:space="preserve"> </w:t>
      </w:r>
      <w:r>
        <w:rPr>
          <w:color w:val="231F20"/>
        </w:rPr>
        <w:t>victory!…</w:t>
      </w:r>
    </w:p>
    <w:p w14:paraId="07BC483C" w14:textId="77777777" w:rsidR="002653E8" w:rsidRDefault="003115E3">
      <w:pPr>
        <w:pStyle w:val="a3"/>
        <w:spacing w:line="264" w:lineRule="auto"/>
        <w:ind w:left="1147" w:right="1325" w:firstLine="210"/>
        <w:jc w:val="both"/>
      </w:pPr>
      <w:r>
        <w:rPr>
          <w:color w:val="231F20"/>
        </w:rPr>
        <w:t>What, for example, is your position regarding the powerful movements in Brokdorf, Wyhl etc.? And what is your overall position regarding the antinuclear movement?</w:t>
      </w:r>
    </w:p>
    <w:p w14:paraId="5D2BD932" w14:textId="77777777" w:rsidR="002653E8" w:rsidRDefault="003115E3">
      <w:pPr>
        <w:pStyle w:val="a3"/>
        <w:spacing w:line="264" w:lineRule="auto"/>
        <w:ind w:left="1147" w:right="1325" w:firstLine="210"/>
        <w:jc w:val="both"/>
      </w:pPr>
      <w:r>
        <w:rPr>
          <w:color w:val="231F20"/>
          <w:spacing w:val="-5"/>
        </w:rPr>
        <w:t xml:space="preserve">We </w:t>
      </w:r>
      <w:r>
        <w:rPr>
          <w:color w:val="231F20"/>
        </w:rPr>
        <w:t xml:space="preserve">think that state security has reinforced your isolation from each other, and you have completely isolated yourselves from the broader left-wing movement. </w:t>
      </w:r>
      <w:r>
        <w:rPr>
          <w:color w:val="231F20"/>
          <w:spacing w:val="-7"/>
        </w:rPr>
        <w:t xml:space="preserve">you </w:t>
      </w:r>
      <w:r>
        <w:rPr>
          <w:color w:val="231F20"/>
        </w:rPr>
        <w:t xml:space="preserve">must make contact with them  again:  a  fish out of water will die of thirst! Even if you think you </w:t>
      </w:r>
      <w:r>
        <w:rPr>
          <w:color w:val="231F20"/>
          <w:spacing w:val="-3"/>
        </w:rPr>
        <w:t xml:space="preserve">don’t  </w:t>
      </w:r>
      <w:r>
        <w:rPr>
          <w:color w:val="231F20"/>
        </w:rPr>
        <w:t xml:space="preserve">need water    to swim. </w:t>
      </w:r>
      <w:r>
        <w:rPr>
          <w:color w:val="231F20"/>
          <w:spacing w:val="-5"/>
        </w:rPr>
        <w:t xml:space="preserve">We </w:t>
      </w:r>
      <w:r>
        <w:rPr>
          <w:color w:val="231F20"/>
        </w:rPr>
        <w:t>think that the tactics that you share with us are not primarily based on causing criminal damage. Even communiqués must be written</w:t>
      </w:r>
      <w:r>
        <w:rPr>
          <w:color w:val="231F20"/>
          <w:spacing w:val="18"/>
        </w:rPr>
        <w:t xml:space="preserve"> </w:t>
      </w:r>
      <w:r>
        <w:rPr>
          <w:color w:val="231F20"/>
        </w:rPr>
        <w:t>in</w:t>
      </w:r>
      <w:r>
        <w:rPr>
          <w:color w:val="231F20"/>
          <w:spacing w:val="18"/>
        </w:rPr>
        <w:t xml:space="preserve"> </w:t>
      </w:r>
      <w:r>
        <w:rPr>
          <w:color w:val="231F20"/>
          <w:spacing w:val="-3"/>
        </w:rPr>
        <w:t>West</w:t>
      </w:r>
      <w:r>
        <w:rPr>
          <w:color w:val="231F20"/>
          <w:spacing w:val="18"/>
        </w:rPr>
        <w:t xml:space="preserve"> </w:t>
      </w:r>
      <w:r>
        <w:rPr>
          <w:color w:val="231F20"/>
        </w:rPr>
        <w:t>German</w:t>
      </w:r>
      <w:r>
        <w:rPr>
          <w:color w:val="231F20"/>
          <w:spacing w:val="18"/>
        </w:rPr>
        <w:t xml:space="preserve"> </w:t>
      </w:r>
      <w:r>
        <w:rPr>
          <w:color w:val="231F20"/>
        </w:rPr>
        <w:t>so</w:t>
      </w:r>
      <w:r>
        <w:rPr>
          <w:color w:val="231F20"/>
          <w:spacing w:val="18"/>
        </w:rPr>
        <w:t xml:space="preserve"> </w:t>
      </w:r>
      <w:r>
        <w:rPr>
          <w:color w:val="231F20"/>
        </w:rPr>
        <w:t>that</w:t>
      </w:r>
      <w:r>
        <w:rPr>
          <w:color w:val="231F20"/>
          <w:spacing w:val="18"/>
        </w:rPr>
        <w:t xml:space="preserve"> </w:t>
      </w:r>
      <w:r>
        <w:rPr>
          <w:color w:val="231F20"/>
        </w:rPr>
        <w:t>everybody</w:t>
      </w:r>
      <w:r>
        <w:rPr>
          <w:color w:val="231F20"/>
          <w:spacing w:val="18"/>
        </w:rPr>
        <w:t xml:space="preserve"> </w:t>
      </w:r>
      <w:r>
        <w:rPr>
          <w:color w:val="231F20"/>
        </w:rPr>
        <w:t>can</w:t>
      </w:r>
      <w:r>
        <w:rPr>
          <w:color w:val="231F20"/>
          <w:spacing w:val="18"/>
        </w:rPr>
        <w:t xml:space="preserve"> </w:t>
      </w:r>
      <w:r>
        <w:rPr>
          <w:color w:val="231F20"/>
        </w:rPr>
        <w:t>understand</w:t>
      </w:r>
      <w:r>
        <w:rPr>
          <w:color w:val="231F20"/>
          <w:spacing w:val="18"/>
        </w:rPr>
        <w:t xml:space="preserve"> </w:t>
      </w:r>
      <w:r>
        <w:rPr>
          <w:color w:val="231F20"/>
        </w:rPr>
        <w:t>them.</w:t>
      </w:r>
      <w:r>
        <w:rPr>
          <w:color w:val="231F20"/>
          <w:spacing w:val="20"/>
        </w:rPr>
        <w:t xml:space="preserve"> </w:t>
      </w:r>
      <w:r>
        <w:rPr>
          <w:color w:val="231F20"/>
          <w:spacing w:val="-4"/>
        </w:rPr>
        <w:t>your</w:t>
      </w:r>
    </w:p>
    <w:p w14:paraId="7638443A" w14:textId="77777777" w:rsidR="002653E8" w:rsidRDefault="002653E8">
      <w:pPr>
        <w:spacing w:line="264" w:lineRule="auto"/>
        <w:jc w:val="both"/>
        <w:sectPr w:rsidR="002653E8">
          <w:footerReference w:type="even" r:id="rId390"/>
          <w:footerReference w:type="default" r:id="rId391"/>
          <w:pgSz w:w="8640" w:h="12960"/>
          <w:pgMar w:top="1060" w:right="0" w:bottom="1040" w:left="0" w:header="0" w:footer="850" w:gutter="0"/>
          <w:pgNumType w:start="462"/>
          <w:cols w:space="720"/>
        </w:sectPr>
      </w:pPr>
    </w:p>
    <w:p w14:paraId="679E68F1" w14:textId="77777777" w:rsidR="002653E8" w:rsidRDefault="003115E3">
      <w:pPr>
        <w:pStyle w:val="a3"/>
        <w:spacing w:before="86" w:line="264" w:lineRule="auto"/>
        <w:ind w:left="1327" w:right="1147"/>
        <w:jc w:val="both"/>
      </w:pPr>
      <w:r>
        <w:rPr>
          <w:color w:val="231F20"/>
        </w:rPr>
        <w:lastRenderedPageBreak/>
        <w:t>communiqués can no longer be understood by the general public. They can only be understood by insiders. So now mobilizations are the result of psychological pressure, not of objective necessity.</w:t>
      </w:r>
    </w:p>
    <w:p w14:paraId="432CD9C4" w14:textId="77777777" w:rsidR="002653E8" w:rsidRDefault="003115E3">
      <w:pPr>
        <w:spacing w:line="261" w:lineRule="auto"/>
        <w:ind w:left="1327" w:right="1146" w:firstLine="210"/>
        <w:jc w:val="both"/>
        <w:rPr>
          <w:i/>
          <w:sz w:val="20"/>
        </w:rPr>
      </w:pPr>
      <w:r>
        <w:rPr>
          <w:i/>
          <w:color w:val="231F20"/>
          <w:w w:val="105"/>
          <w:sz w:val="20"/>
        </w:rPr>
        <w:t xml:space="preserve">And now, </w:t>
      </w:r>
      <w:r w:rsidR="00C507A5">
        <w:rPr>
          <w:i/>
          <w:color w:val="231F20"/>
          <w:w w:val="105"/>
          <w:sz w:val="20"/>
        </w:rPr>
        <w:t>red army faction</w:t>
      </w:r>
      <w:r>
        <w:rPr>
          <w:i/>
          <w:color w:val="231F20"/>
          <w:w w:val="105"/>
          <w:sz w:val="20"/>
        </w:rPr>
        <w:t xml:space="preserve"> comrades, we arrive at the possibility of a </w:t>
      </w:r>
      <w:r>
        <w:rPr>
          <w:rFonts w:ascii="Bookman Old Style"/>
          <w:i/>
          <w:color w:val="231F20"/>
          <w:w w:val="105"/>
          <w:sz w:val="20"/>
        </w:rPr>
        <w:t>4</w:t>
      </w:r>
      <w:r>
        <w:rPr>
          <w:i/>
          <w:color w:val="231F20"/>
          <w:w w:val="105"/>
          <w:sz w:val="20"/>
        </w:rPr>
        <w:t>th hunger strike:</w:t>
      </w:r>
    </w:p>
    <w:p w14:paraId="2AAB037B" w14:textId="77777777" w:rsidR="002653E8" w:rsidRDefault="003115E3">
      <w:pPr>
        <w:pStyle w:val="a3"/>
        <w:spacing w:line="264" w:lineRule="auto"/>
        <w:ind w:left="1327" w:right="1146" w:firstLine="210"/>
        <w:jc w:val="both"/>
      </w:pPr>
      <w:r>
        <w:rPr>
          <w:color w:val="231F20"/>
          <w:spacing w:val="-5"/>
        </w:rPr>
        <w:t xml:space="preserve">We </w:t>
      </w:r>
      <w:r>
        <w:rPr>
          <w:color w:val="231F20"/>
        </w:rPr>
        <w:t xml:space="preserve">think that there is too much ambiguity and contradiction between you and those who should and could support the hunger strike. </w:t>
      </w:r>
      <w:r>
        <w:rPr>
          <w:color w:val="231F20"/>
          <w:spacing w:val="-5"/>
        </w:rPr>
        <w:t xml:space="preserve">We </w:t>
      </w:r>
      <w:r>
        <w:rPr>
          <w:color w:val="231F20"/>
        </w:rPr>
        <w:t xml:space="preserve">have attempted to identify some of these issues. So this letter should be taken as the beginning of a long discussion. Now you have to put your cards  on the table. Otherwise this </w:t>
      </w:r>
      <w:r>
        <w:rPr>
          <w:color w:val="231F20"/>
          <w:spacing w:val="-3"/>
        </w:rPr>
        <w:t xml:space="preserve">isn’t </w:t>
      </w:r>
      <w:r>
        <w:rPr>
          <w:color w:val="231F20"/>
        </w:rPr>
        <w:t xml:space="preserve">going to work anymore. Otherwise what you want is blind solidarity. </w:t>
      </w:r>
      <w:r>
        <w:rPr>
          <w:color w:val="231F20"/>
          <w:spacing w:val="-7"/>
        </w:rPr>
        <w:t xml:space="preserve">you </w:t>
      </w:r>
      <w:r>
        <w:rPr>
          <w:color w:val="231F20"/>
        </w:rPr>
        <w:t xml:space="preserve">can no longer </w:t>
      </w:r>
      <w:r>
        <w:rPr>
          <w:color w:val="231F20"/>
          <w:spacing w:val="-3"/>
        </w:rPr>
        <w:t xml:space="preserve">avoid </w:t>
      </w:r>
      <w:r>
        <w:rPr>
          <w:color w:val="231F20"/>
        </w:rPr>
        <w:t xml:space="preserve">clarifying whether we and others on the left are your comrades. Whether </w:t>
      </w:r>
      <w:r>
        <w:rPr>
          <w:color w:val="231F20"/>
          <w:spacing w:val="-3"/>
        </w:rPr>
        <w:t xml:space="preserve">we’re </w:t>
      </w:r>
      <w:r>
        <w:rPr>
          <w:color w:val="231F20"/>
        </w:rPr>
        <w:t xml:space="preserve">nothing more than your instrument, now defined as the “left on the </w:t>
      </w:r>
      <w:r>
        <w:rPr>
          <w:color w:val="231F20"/>
          <w:spacing w:val="-3"/>
        </w:rPr>
        <w:t>defensive.”</w:t>
      </w:r>
    </w:p>
    <w:p w14:paraId="7DB13FE6" w14:textId="77777777" w:rsidR="002653E8" w:rsidRDefault="003115E3">
      <w:pPr>
        <w:pStyle w:val="a3"/>
        <w:spacing w:line="264" w:lineRule="auto"/>
        <w:ind w:left="1327" w:right="1145" w:firstLine="210"/>
        <w:jc w:val="both"/>
      </w:pPr>
      <w:r>
        <w:rPr>
          <w:color w:val="231F20"/>
        </w:rPr>
        <w:t xml:space="preserve">Will you choose the Geneva Convention, the closed concentration camp, and with that take a position against us, or will you choose equality with other prisoners, will you choose to break through your isolation, and thereby decide in favor of unity with us? Previously, you demanded the abolition of special conditions and equality with other prisoners. </w:t>
      </w:r>
      <w:r>
        <w:rPr>
          <w:color w:val="231F20"/>
          <w:spacing w:val="-4"/>
        </w:rPr>
        <w:t xml:space="preserve">Now, </w:t>
      </w:r>
      <w:r>
        <w:rPr>
          <w:color w:val="231F20"/>
        </w:rPr>
        <w:t xml:space="preserve">you insist upon a piece of paper, specifically the Geneva Convention. However, </w:t>
      </w:r>
      <w:r>
        <w:rPr>
          <w:color w:val="231F20"/>
          <w:spacing w:val="-3"/>
        </w:rPr>
        <w:t xml:space="preserve">POW </w:t>
      </w:r>
      <w:r>
        <w:rPr>
          <w:color w:val="231F20"/>
        </w:rPr>
        <w:t xml:space="preserve">status implies [illegible in the version provided]. With your demand you overlook the interests of other prisoners. </w:t>
      </w:r>
      <w:r>
        <w:rPr>
          <w:color w:val="231F20"/>
          <w:spacing w:val="-7"/>
        </w:rPr>
        <w:t xml:space="preserve">you </w:t>
      </w:r>
      <w:r>
        <w:rPr>
          <w:color w:val="231F20"/>
        </w:rPr>
        <w:t xml:space="preserve">must be prepared to withdraw your denunciations! Do you really want to throw </w:t>
      </w:r>
      <w:r>
        <w:rPr>
          <w:color w:val="231F20"/>
          <w:spacing w:val="-3"/>
        </w:rPr>
        <w:t xml:space="preserve">away  </w:t>
      </w:r>
      <w:r>
        <w:rPr>
          <w:color w:val="231F20"/>
        </w:rPr>
        <w:t xml:space="preserve">your lives for a foolish demand like </w:t>
      </w:r>
      <w:r>
        <w:rPr>
          <w:color w:val="231F20"/>
          <w:spacing w:val="-3"/>
        </w:rPr>
        <w:t xml:space="preserve">POW  </w:t>
      </w:r>
      <w:r>
        <w:rPr>
          <w:color w:val="231F20"/>
        </w:rPr>
        <w:t>status?   Is it because you think you are no longer necessary? Is it because you think</w:t>
      </w:r>
      <w:r>
        <w:rPr>
          <w:color w:val="231F20"/>
          <w:spacing w:val="10"/>
        </w:rPr>
        <w:t xml:space="preserve"> </w:t>
      </w:r>
      <w:r>
        <w:rPr>
          <w:color w:val="231F20"/>
        </w:rPr>
        <w:t>you</w:t>
      </w:r>
      <w:r>
        <w:rPr>
          <w:color w:val="231F20"/>
          <w:spacing w:val="10"/>
        </w:rPr>
        <w:t xml:space="preserve"> </w:t>
      </w:r>
      <w:r>
        <w:rPr>
          <w:color w:val="231F20"/>
        </w:rPr>
        <w:t>can</w:t>
      </w:r>
      <w:r>
        <w:rPr>
          <w:color w:val="231F20"/>
          <w:spacing w:val="10"/>
        </w:rPr>
        <w:t xml:space="preserve"> </w:t>
      </w:r>
      <w:r>
        <w:rPr>
          <w:color w:val="231F20"/>
        </w:rPr>
        <w:t>no</w:t>
      </w:r>
      <w:r>
        <w:rPr>
          <w:color w:val="231F20"/>
          <w:spacing w:val="10"/>
        </w:rPr>
        <w:t xml:space="preserve"> </w:t>
      </w:r>
      <w:r>
        <w:rPr>
          <w:color w:val="231F20"/>
        </w:rPr>
        <w:t>longer</w:t>
      </w:r>
      <w:r>
        <w:rPr>
          <w:color w:val="231F20"/>
          <w:spacing w:val="10"/>
        </w:rPr>
        <w:t xml:space="preserve"> </w:t>
      </w:r>
      <w:r>
        <w:rPr>
          <w:color w:val="231F20"/>
        </w:rPr>
        <w:t>rely</w:t>
      </w:r>
      <w:r>
        <w:rPr>
          <w:color w:val="231F20"/>
          <w:spacing w:val="10"/>
        </w:rPr>
        <w:t xml:space="preserve"> </w:t>
      </w:r>
      <w:r>
        <w:rPr>
          <w:color w:val="231F20"/>
        </w:rPr>
        <w:t>on</w:t>
      </w:r>
      <w:r>
        <w:rPr>
          <w:color w:val="231F20"/>
          <w:spacing w:val="10"/>
        </w:rPr>
        <w:t xml:space="preserve"> </w:t>
      </w:r>
      <w:r>
        <w:rPr>
          <w:color w:val="231F20"/>
        </w:rPr>
        <w:t>the</w:t>
      </w:r>
      <w:r>
        <w:rPr>
          <w:color w:val="231F20"/>
          <w:spacing w:val="10"/>
        </w:rPr>
        <w:t xml:space="preserve"> </w:t>
      </w:r>
      <w:r>
        <w:rPr>
          <w:color w:val="231F20"/>
        </w:rPr>
        <w:t>movement?</w:t>
      </w:r>
    </w:p>
    <w:p w14:paraId="13ED5FEE" w14:textId="77777777" w:rsidR="002653E8" w:rsidRDefault="003115E3">
      <w:pPr>
        <w:pStyle w:val="a3"/>
        <w:spacing w:line="221" w:lineRule="exact"/>
        <w:ind w:left="1538"/>
      </w:pPr>
      <w:r>
        <w:rPr>
          <w:color w:val="231F20"/>
        </w:rPr>
        <w:t>Should you decide, in spite of everything, to just blow this letter off</w:t>
      </w:r>
    </w:p>
    <w:p w14:paraId="1485ED3A" w14:textId="77777777" w:rsidR="002653E8" w:rsidRDefault="003115E3">
      <w:pPr>
        <w:pStyle w:val="a3"/>
        <w:spacing w:before="10" w:line="264" w:lineRule="auto"/>
        <w:ind w:left="1328" w:right="1146"/>
        <w:jc w:val="both"/>
      </w:pPr>
      <w:r>
        <w:rPr>
          <w:color w:val="231F20"/>
        </w:rPr>
        <w:t>and—as has been the case before—to greet it with silence, and should you decide, in spite of everything, to gamble with your lives for the application of the Geneva Convention, our solidarity will be more a torment than a given.</w:t>
      </w:r>
    </w:p>
    <w:p w14:paraId="70EA93A6" w14:textId="77777777" w:rsidR="002653E8" w:rsidRDefault="003115E3">
      <w:pPr>
        <w:pStyle w:val="a3"/>
        <w:spacing w:before="123" w:line="261" w:lineRule="auto"/>
        <w:ind w:left="6130" w:right="1145" w:hanging="486"/>
        <w:jc w:val="right"/>
      </w:pPr>
      <w:r>
        <w:rPr>
          <w:color w:val="231F20"/>
        </w:rPr>
        <w:t>A Revolutionary Cell</w:t>
      </w:r>
      <w:r>
        <w:rPr>
          <w:color w:val="231F20"/>
          <w:w w:val="102"/>
        </w:rPr>
        <w:t xml:space="preserve"> </w:t>
      </w:r>
      <w:r>
        <w:rPr>
          <w:color w:val="231F20"/>
        </w:rPr>
        <w:t>December 1976</w:t>
      </w:r>
    </w:p>
    <w:p w14:paraId="722F2F61" w14:textId="77777777" w:rsidR="002653E8" w:rsidRDefault="002653E8">
      <w:pPr>
        <w:spacing w:line="261" w:lineRule="auto"/>
        <w:jc w:val="right"/>
        <w:sectPr w:rsidR="002653E8">
          <w:pgSz w:w="8640" w:h="12960"/>
          <w:pgMar w:top="1060" w:right="0" w:bottom="1040" w:left="0" w:header="0" w:footer="850" w:gutter="0"/>
          <w:cols w:space="720"/>
        </w:sectPr>
      </w:pPr>
    </w:p>
    <w:p w14:paraId="1739819E" w14:textId="77777777" w:rsidR="002653E8" w:rsidRDefault="003115E3">
      <w:pPr>
        <w:pStyle w:val="4"/>
        <w:spacing w:line="273" w:lineRule="auto"/>
        <w:ind w:left="2415" w:right="2271" w:hanging="305"/>
      </w:pPr>
      <w:bookmarkStart w:id="229" w:name="Monika_Berberich_Responds_to_the_Alleged"/>
      <w:bookmarkStart w:id="230" w:name="_bookmark68"/>
      <w:bookmarkEnd w:id="229"/>
      <w:bookmarkEnd w:id="230"/>
      <w:r>
        <w:rPr>
          <w:color w:val="231F20"/>
          <w:w w:val="105"/>
        </w:rPr>
        <w:lastRenderedPageBreak/>
        <w:t>Monika</w:t>
      </w:r>
      <w:r>
        <w:rPr>
          <w:color w:val="231F20"/>
          <w:spacing w:val="-51"/>
          <w:w w:val="105"/>
        </w:rPr>
        <w:t xml:space="preserve"> </w:t>
      </w:r>
      <w:r>
        <w:rPr>
          <w:color w:val="231F20"/>
          <w:w w:val="105"/>
        </w:rPr>
        <w:t>Berberich</w:t>
      </w:r>
      <w:r>
        <w:rPr>
          <w:color w:val="231F20"/>
          <w:spacing w:val="-51"/>
          <w:w w:val="105"/>
        </w:rPr>
        <w:t xml:space="preserve"> </w:t>
      </w:r>
      <w:r>
        <w:rPr>
          <w:color w:val="231F20"/>
          <w:w w:val="105"/>
        </w:rPr>
        <w:t>Responds</w:t>
      </w:r>
      <w:r>
        <w:rPr>
          <w:color w:val="231F20"/>
        </w:rPr>
        <w:t xml:space="preserve"> </w:t>
      </w:r>
      <w:r>
        <w:rPr>
          <w:color w:val="231F20"/>
          <w:w w:val="105"/>
        </w:rPr>
        <w:t>to the Alleged RZ Letter</w:t>
      </w:r>
    </w:p>
    <w:p w14:paraId="142E5B19" w14:textId="77777777" w:rsidR="002653E8" w:rsidRDefault="002653E8">
      <w:pPr>
        <w:pStyle w:val="a3"/>
        <w:spacing w:before="2"/>
        <w:rPr>
          <w:rFonts w:ascii="Bookman Old Style"/>
          <w:sz w:val="27"/>
        </w:rPr>
      </w:pPr>
    </w:p>
    <w:p w14:paraId="5169999C" w14:textId="77777777" w:rsidR="002653E8" w:rsidRDefault="003115E3">
      <w:pPr>
        <w:pStyle w:val="a3"/>
        <w:spacing w:line="264" w:lineRule="auto"/>
        <w:ind w:left="1147" w:right="1325"/>
        <w:jc w:val="both"/>
      </w:pPr>
      <w:r>
        <w:rPr>
          <w:color w:val="231F20"/>
        </w:rPr>
        <w:t xml:space="preserve">Only one thing is clear about this letter: its state security function, its function for Buback’s extermination strategy against us in the form it is now taking: psychological warfare to destroy the </w:t>
      </w:r>
      <w:r w:rsidR="00C507A5">
        <w:rPr>
          <w:color w:val="231F20"/>
        </w:rPr>
        <w:t>red army faction</w:t>
      </w:r>
      <w:r>
        <w:rPr>
          <w:color w:val="231F20"/>
        </w:rPr>
        <w:t>’s politics.</w:t>
      </w:r>
    </w:p>
    <w:p w14:paraId="5B36D31B" w14:textId="77777777" w:rsidR="002653E8" w:rsidRDefault="003115E3">
      <w:pPr>
        <w:pStyle w:val="a3"/>
        <w:spacing w:line="264" w:lineRule="auto"/>
        <w:ind w:left="1147" w:right="1325" w:firstLine="210"/>
        <w:jc w:val="both"/>
      </w:pPr>
      <w:r>
        <w:rPr>
          <w:color w:val="231F20"/>
        </w:rPr>
        <w:t xml:space="preserve">That is to </w:t>
      </w:r>
      <w:r>
        <w:rPr>
          <w:color w:val="231F20"/>
          <w:spacing w:val="-4"/>
        </w:rPr>
        <w:t xml:space="preserve">say, </w:t>
      </w:r>
      <w:r>
        <w:rPr>
          <w:color w:val="231F20"/>
        </w:rPr>
        <w:t xml:space="preserve">what is clear in it is the treachery of a section of the undogmatic left, their capitulation to Buback, and their total subservience to his objectives. Even if the letter doesn’t come from the </w:t>
      </w:r>
      <w:r>
        <w:rPr>
          <w:color w:val="231F20"/>
          <w:spacing w:val="5"/>
        </w:rPr>
        <w:t xml:space="preserve">RZ, </w:t>
      </w:r>
      <w:r>
        <w:rPr>
          <w:i/>
          <w:color w:val="231F20"/>
        </w:rPr>
        <w:t xml:space="preserve">InfoBUG </w:t>
      </w:r>
      <w:r>
        <w:rPr>
          <w:color w:val="231F20"/>
        </w:rPr>
        <w:t xml:space="preserve">published and distributed it and nobody from that section of the left did anything to prevent it. The lies, falsehoods, and denunciations   in this letter are nothing </w:t>
      </w:r>
      <w:r>
        <w:rPr>
          <w:color w:val="231F20"/>
          <w:spacing w:val="-3"/>
        </w:rPr>
        <w:t xml:space="preserve">new, </w:t>
      </w:r>
      <w:r>
        <w:rPr>
          <w:color w:val="231F20"/>
        </w:rPr>
        <w:t xml:space="preserve">nor is the fact that </w:t>
      </w:r>
      <w:r>
        <w:rPr>
          <w:i/>
          <w:color w:val="231F20"/>
        </w:rPr>
        <w:t xml:space="preserve">Info </w:t>
      </w:r>
      <w:r>
        <w:rPr>
          <w:color w:val="231F20"/>
        </w:rPr>
        <w:t xml:space="preserve">published it. But this letter is different, because it doesn’t come from a prisoner support group, but from the </w:t>
      </w:r>
      <w:r>
        <w:rPr>
          <w:color w:val="231F20"/>
          <w:spacing w:val="3"/>
        </w:rPr>
        <w:t xml:space="preserve">RZ </w:t>
      </w:r>
      <w:r>
        <w:rPr>
          <w:color w:val="231F20"/>
        </w:rPr>
        <w:t>(in any event, that’s where it claims to come from)—an organization that struggles—and this gives it a totally different kind of credibility and</w:t>
      </w:r>
      <w:r>
        <w:rPr>
          <w:color w:val="231F20"/>
          <w:spacing w:val="11"/>
        </w:rPr>
        <w:t xml:space="preserve"> </w:t>
      </w:r>
      <w:r>
        <w:rPr>
          <w:color w:val="231F20"/>
        </w:rPr>
        <w:t>authority.</w:t>
      </w:r>
    </w:p>
    <w:p w14:paraId="614DA00D" w14:textId="77777777" w:rsidR="002653E8" w:rsidRDefault="003115E3">
      <w:pPr>
        <w:pStyle w:val="a3"/>
        <w:spacing w:line="264" w:lineRule="auto"/>
        <w:ind w:left="1147" w:right="1325" w:firstLine="210"/>
        <w:jc w:val="both"/>
      </w:pPr>
      <w:r>
        <w:rPr>
          <w:color w:val="231F20"/>
        </w:rPr>
        <w:t xml:space="preserve">The function of this letter is to disorient those people in the undogmatic scene who want something other than the private, insubstantial screwing around of the </w:t>
      </w:r>
      <w:r>
        <w:rPr>
          <w:i/>
          <w:color w:val="231F20"/>
        </w:rPr>
        <w:t xml:space="preserve">sponti </w:t>
      </w:r>
      <w:r>
        <w:rPr>
          <w:color w:val="231F20"/>
        </w:rPr>
        <w:t xml:space="preserve">groups, those who really want to know something about us, who want to orient themselves around us, to struggle or to support us. It also serves to let Buback know that the section   of the left that wrote this letter and those who find it accurate will not resist his efforts to liquidate the </w:t>
      </w:r>
      <w:r w:rsidR="00C507A5">
        <w:rPr>
          <w:color w:val="231F20"/>
          <w:spacing w:val="1"/>
        </w:rPr>
        <w:t>red army faction</w:t>
      </w:r>
      <w:r>
        <w:rPr>
          <w:color w:val="231F20"/>
          <w:spacing w:val="1"/>
        </w:rPr>
        <w:t xml:space="preserve">’s </w:t>
      </w:r>
      <w:r>
        <w:rPr>
          <w:color w:val="231F20"/>
        </w:rPr>
        <w:t>politics and the prisoners, to kill Andreas, to completely seal the holes, etc. But not just that: it also tells him that this left is not prepared to support a hunger strike that we believe is necessary; rather it is ready to support and is already supporting the</w:t>
      </w:r>
      <w:r>
        <w:rPr>
          <w:color w:val="231F20"/>
          <w:spacing w:val="10"/>
        </w:rPr>
        <w:t xml:space="preserve"> </w:t>
      </w:r>
      <w:r>
        <w:rPr>
          <w:color w:val="231F20"/>
        </w:rPr>
        <w:t>creation</w:t>
      </w:r>
      <w:r>
        <w:rPr>
          <w:color w:val="231F20"/>
          <w:spacing w:val="10"/>
        </w:rPr>
        <w:t xml:space="preserve"> </w:t>
      </w:r>
      <w:r>
        <w:rPr>
          <w:color w:val="231F20"/>
        </w:rPr>
        <w:t>of</w:t>
      </w:r>
      <w:r>
        <w:rPr>
          <w:color w:val="231F20"/>
          <w:spacing w:val="10"/>
        </w:rPr>
        <w:t xml:space="preserve"> </w:t>
      </w:r>
      <w:r>
        <w:rPr>
          <w:color w:val="231F20"/>
        </w:rPr>
        <w:t>propaganda</w:t>
      </w:r>
      <w:r>
        <w:rPr>
          <w:color w:val="231F20"/>
          <w:spacing w:val="10"/>
        </w:rPr>
        <w:t xml:space="preserve"> </w:t>
      </w:r>
      <w:r>
        <w:rPr>
          <w:color w:val="231F20"/>
        </w:rPr>
        <w:t>to</w:t>
      </w:r>
      <w:r>
        <w:rPr>
          <w:color w:val="231F20"/>
          <w:spacing w:val="10"/>
        </w:rPr>
        <w:t xml:space="preserve"> </w:t>
      </w:r>
      <w:r>
        <w:rPr>
          <w:color w:val="231F20"/>
        </w:rPr>
        <w:t>justify</w:t>
      </w:r>
      <w:r>
        <w:rPr>
          <w:color w:val="231F20"/>
          <w:spacing w:val="10"/>
        </w:rPr>
        <w:t xml:space="preserve"> </w:t>
      </w:r>
      <w:r>
        <w:rPr>
          <w:color w:val="231F20"/>
        </w:rPr>
        <w:t>his</w:t>
      </w:r>
      <w:r>
        <w:rPr>
          <w:color w:val="231F20"/>
          <w:spacing w:val="10"/>
        </w:rPr>
        <w:t xml:space="preserve"> </w:t>
      </w:r>
      <w:r>
        <w:rPr>
          <w:color w:val="231F20"/>
        </w:rPr>
        <w:t>countermeasures.</w:t>
      </w:r>
    </w:p>
    <w:p w14:paraId="7A020C7A" w14:textId="77777777" w:rsidR="002653E8" w:rsidRDefault="003115E3">
      <w:pPr>
        <w:pStyle w:val="a3"/>
        <w:spacing w:line="264" w:lineRule="auto"/>
        <w:ind w:left="1147" w:right="1326" w:firstLine="210"/>
        <w:jc w:val="both"/>
      </w:pPr>
      <w:r>
        <w:rPr>
          <w:color w:val="231F20"/>
        </w:rPr>
        <w:t xml:space="preserve">The disorientation campaign unfolds following the pattern of psychological warfare—through allegations and lies about us. They </w:t>
      </w:r>
      <w:r>
        <w:rPr>
          <w:color w:val="231F20"/>
          <w:spacing w:val="-3"/>
        </w:rPr>
        <w:t xml:space="preserve">don’t </w:t>
      </w:r>
      <w:r>
        <w:rPr>
          <w:color w:val="231F20"/>
        </w:rPr>
        <w:t xml:space="preserve">talk about the state’s repression, just like when the bourgeois media publish state security information about us: “there aren’t many left lawyers remaining to defend revolutionary </w:t>
      </w:r>
      <w:r>
        <w:rPr>
          <w:color w:val="231F20"/>
          <w:spacing w:val="-3"/>
        </w:rPr>
        <w:t xml:space="preserve">prisoners”; </w:t>
      </w:r>
      <w:r>
        <w:rPr>
          <w:color w:val="231F20"/>
        </w:rPr>
        <w:t xml:space="preserve">the support groups disband because of police repression; the  </w:t>
      </w:r>
      <w:r>
        <w:rPr>
          <w:i/>
          <w:color w:val="231F20"/>
        </w:rPr>
        <w:t xml:space="preserve">Informationsdienst  </w:t>
      </w:r>
      <w:r>
        <w:rPr>
          <w:color w:val="231F20"/>
        </w:rPr>
        <w:t>writer  can only respond to criticism like the ultimate bourgeois journalist— aggrieved</w:t>
      </w:r>
      <w:r>
        <w:rPr>
          <w:color w:val="231F20"/>
          <w:spacing w:val="10"/>
        </w:rPr>
        <w:t xml:space="preserve"> </w:t>
      </w:r>
      <w:r>
        <w:rPr>
          <w:color w:val="231F20"/>
        </w:rPr>
        <w:t>and</w:t>
      </w:r>
      <w:r>
        <w:rPr>
          <w:color w:val="231F20"/>
          <w:spacing w:val="10"/>
        </w:rPr>
        <w:t xml:space="preserve"> </w:t>
      </w:r>
      <w:r>
        <w:rPr>
          <w:color w:val="231F20"/>
        </w:rPr>
        <w:t>offended,</w:t>
      </w:r>
      <w:r>
        <w:rPr>
          <w:color w:val="231F20"/>
          <w:spacing w:val="10"/>
        </w:rPr>
        <w:t xml:space="preserve"> </w:t>
      </w:r>
      <w:r>
        <w:rPr>
          <w:color w:val="231F20"/>
        </w:rPr>
        <w:t>as</w:t>
      </w:r>
      <w:r>
        <w:rPr>
          <w:color w:val="231F20"/>
          <w:spacing w:val="10"/>
        </w:rPr>
        <w:t xml:space="preserve"> </w:t>
      </w:r>
      <w:r>
        <w:rPr>
          <w:color w:val="231F20"/>
        </w:rPr>
        <w:t>if</w:t>
      </w:r>
      <w:r>
        <w:rPr>
          <w:color w:val="231F20"/>
          <w:spacing w:val="10"/>
        </w:rPr>
        <w:t xml:space="preserve"> </w:t>
      </w:r>
      <w:r>
        <w:rPr>
          <w:color w:val="231F20"/>
        </w:rPr>
        <w:t>his</w:t>
      </w:r>
      <w:r>
        <w:rPr>
          <w:color w:val="231F20"/>
          <w:spacing w:val="10"/>
        </w:rPr>
        <w:t xml:space="preserve"> </w:t>
      </w:r>
      <w:r>
        <w:rPr>
          <w:color w:val="231F20"/>
        </w:rPr>
        <w:t>article</w:t>
      </w:r>
      <w:r>
        <w:rPr>
          <w:color w:val="231F20"/>
          <w:spacing w:val="10"/>
        </w:rPr>
        <w:t xml:space="preserve"> </w:t>
      </w:r>
      <w:r>
        <w:rPr>
          <w:color w:val="231F20"/>
        </w:rPr>
        <w:t>was</w:t>
      </w:r>
      <w:r>
        <w:rPr>
          <w:color w:val="231F20"/>
          <w:spacing w:val="10"/>
        </w:rPr>
        <w:t xml:space="preserve"> </w:t>
      </w:r>
      <w:r>
        <w:rPr>
          <w:color w:val="231F20"/>
        </w:rPr>
        <w:t>a</w:t>
      </w:r>
      <w:r>
        <w:rPr>
          <w:color w:val="231F20"/>
          <w:spacing w:val="10"/>
        </w:rPr>
        <w:t xml:space="preserve"> </w:t>
      </w:r>
      <w:r>
        <w:rPr>
          <w:color w:val="231F20"/>
        </w:rPr>
        <w:t>favor</w:t>
      </w:r>
      <w:r>
        <w:rPr>
          <w:color w:val="231F20"/>
          <w:spacing w:val="10"/>
        </w:rPr>
        <w:t xml:space="preserve"> </w:t>
      </w:r>
      <w:r>
        <w:rPr>
          <w:color w:val="231F20"/>
        </w:rPr>
        <w:t>to</w:t>
      </w:r>
      <w:r>
        <w:rPr>
          <w:color w:val="231F20"/>
          <w:spacing w:val="10"/>
        </w:rPr>
        <w:t xml:space="preserve"> </w:t>
      </w:r>
      <w:r>
        <w:rPr>
          <w:color w:val="231F20"/>
        </w:rPr>
        <w:t>us.</w:t>
      </w:r>
    </w:p>
    <w:p w14:paraId="70B4D0CA" w14:textId="23ACF1C4" w:rsidR="002653E8" w:rsidRDefault="003115E3" w:rsidP="00FB5D13">
      <w:pPr>
        <w:pStyle w:val="a3"/>
        <w:spacing w:line="264" w:lineRule="auto"/>
        <w:ind w:left="1147" w:right="1326" w:firstLine="210"/>
        <w:jc w:val="both"/>
      </w:pPr>
      <w:r>
        <w:rPr>
          <w:i/>
          <w:color w:val="231F20"/>
          <w:w w:val="121"/>
        </w:rPr>
        <w:t>I</w:t>
      </w:r>
      <w:r>
        <w:rPr>
          <w:i/>
          <w:color w:val="231F20"/>
          <w:w w:val="103"/>
        </w:rPr>
        <w:t>n</w:t>
      </w:r>
      <w:r>
        <w:rPr>
          <w:i/>
          <w:color w:val="231F20"/>
          <w:w w:val="111"/>
        </w:rPr>
        <w:t>fo</w:t>
      </w:r>
      <w:r>
        <w:rPr>
          <w:i/>
          <w:color w:val="231F20"/>
          <w:w w:val="104"/>
        </w:rPr>
        <w:t>-</w:t>
      </w:r>
      <w:r>
        <w:rPr>
          <w:i/>
          <w:color w:val="231F20"/>
          <w:w w:val="117"/>
        </w:rPr>
        <w:t>BU</w:t>
      </w:r>
      <w:r>
        <w:rPr>
          <w:i/>
          <w:color w:val="231F20"/>
          <w:w w:val="142"/>
        </w:rPr>
        <w:t>G</w:t>
      </w:r>
      <w:r>
        <w:rPr>
          <w:i/>
          <w:color w:val="231F20"/>
        </w:rPr>
        <w:t xml:space="preserve"> </w:t>
      </w:r>
      <w:r>
        <w:rPr>
          <w:color w:val="231F20"/>
        </w:rPr>
        <w:t>d</w:t>
      </w:r>
      <w:r>
        <w:rPr>
          <w:color w:val="231F20"/>
          <w:w w:val="91"/>
        </w:rPr>
        <w:t>e</w:t>
      </w:r>
      <w:r>
        <w:rPr>
          <w:color w:val="231F20"/>
          <w:w w:val="99"/>
        </w:rPr>
        <w:t>m</w:t>
      </w:r>
      <w:r>
        <w:rPr>
          <w:color w:val="231F20"/>
          <w:w w:val="102"/>
        </w:rPr>
        <w:t>a</w:t>
      </w:r>
      <w:r>
        <w:rPr>
          <w:color w:val="231F20"/>
          <w:w w:val="99"/>
        </w:rPr>
        <w:t>n</w:t>
      </w:r>
      <w:r>
        <w:rPr>
          <w:color w:val="231F20"/>
        </w:rPr>
        <w:t>d</w:t>
      </w:r>
      <w:r>
        <w:rPr>
          <w:color w:val="231F20"/>
          <w:w w:val="90"/>
        </w:rPr>
        <w:t>s</w:t>
      </w:r>
      <w:r>
        <w:rPr>
          <w:color w:val="231F20"/>
        </w:rPr>
        <w:t xml:space="preserve"> w</w:t>
      </w:r>
      <w:r>
        <w:rPr>
          <w:color w:val="231F20"/>
          <w:w w:val="91"/>
        </w:rPr>
        <w:t>e</w:t>
      </w:r>
      <w:r>
        <w:rPr>
          <w:color w:val="231F20"/>
        </w:rPr>
        <w:t xml:space="preserve"> </w:t>
      </w:r>
      <w:r>
        <w:rPr>
          <w:color w:val="231F20"/>
          <w:w w:val="94"/>
        </w:rPr>
        <w:t>r</w:t>
      </w:r>
      <w:r>
        <w:rPr>
          <w:color w:val="231F20"/>
          <w:w w:val="91"/>
        </w:rPr>
        <w:t>e</w:t>
      </w:r>
      <w:r>
        <w:rPr>
          <w:color w:val="231F20"/>
          <w:w w:val="90"/>
        </w:rPr>
        <w:t>s</w:t>
      </w:r>
      <w:r>
        <w:rPr>
          <w:color w:val="231F20"/>
          <w:w w:val="99"/>
        </w:rPr>
        <w:t>p</w:t>
      </w:r>
      <w:r>
        <w:rPr>
          <w:color w:val="231F20"/>
          <w:w w:val="104"/>
        </w:rPr>
        <w:t>o</w:t>
      </w:r>
      <w:r>
        <w:rPr>
          <w:color w:val="231F20"/>
          <w:w w:val="99"/>
        </w:rPr>
        <w:t>n</w:t>
      </w:r>
      <w:r>
        <w:rPr>
          <w:color w:val="231F20"/>
        </w:rPr>
        <w:t xml:space="preserve">d </w:t>
      </w:r>
      <w:r>
        <w:rPr>
          <w:color w:val="231F20"/>
          <w:w w:val="98"/>
        </w:rPr>
        <w:t>t</w:t>
      </w:r>
      <w:r>
        <w:rPr>
          <w:color w:val="231F20"/>
          <w:w w:val="104"/>
        </w:rPr>
        <w:t>o</w:t>
      </w:r>
      <w:r>
        <w:rPr>
          <w:color w:val="231F20"/>
        </w:rPr>
        <w:t xml:space="preserve"> </w:t>
      </w:r>
      <w:r>
        <w:rPr>
          <w:color w:val="231F20"/>
          <w:w w:val="102"/>
        </w:rPr>
        <w:t>a</w:t>
      </w:r>
      <w:r>
        <w:rPr>
          <w:color w:val="231F20"/>
          <w:w w:val="99"/>
        </w:rPr>
        <w:t>n</w:t>
      </w:r>
      <w:r>
        <w:rPr>
          <w:color w:val="231F20"/>
        </w:rPr>
        <w:t xml:space="preserve"> i</w:t>
      </w:r>
      <w:r>
        <w:rPr>
          <w:color w:val="231F20"/>
          <w:w w:val="99"/>
        </w:rPr>
        <w:t>n</w:t>
      </w:r>
      <w:r>
        <w:rPr>
          <w:color w:val="231F20"/>
          <w:w w:val="90"/>
        </w:rPr>
        <w:t>s</w:t>
      </w:r>
      <w:r>
        <w:rPr>
          <w:color w:val="231F20"/>
        </w:rPr>
        <w:t>i</w:t>
      </w:r>
      <w:r>
        <w:rPr>
          <w:color w:val="231F20"/>
          <w:w w:val="101"/>
        </w:rPr>
        <w:t>g</w:t>
      </w:r>
      <w:r>
        <w:rPr>
          <w:color w:val="231F20"/>
          <w:w w:val="99"/>
        </w:rPr>
        <w:t>n</w:t>
      </w:r>
      <w:r>
        <w:rPr>
          <w:color w:val="231F20"/>
        </w:rPr>
        <w:t>i</w:t>
      </w:r>
      <w:r>
        <w:rPr>
          <w:color w:val="231F20"/>
          <w:w w:val="95"/>
        </w:rPr>
        <w:t>fi</w:t>
      </w:r>
      <w:r>
        <w:rPr>
          <w:color w:val="231F20"/>
        </w:rPr>
        <w:t>c</w:t>
      </w:r>
      <w:r>
        <w:rPr>
          <w:color w:val="231F20"/>
          <w:w w:val="102"/>
        </w:rPr>
        <w:t>a</w:t>
      </w:r>
      <w:r>
        <w:rPr>
          <w:color w:val="231F20"/>
          <w:w w:val="99"/>
        </w:rPr>
        <w:t>n</w:t>
      </w:r>
      <w:r>
        <w:rPr>
          <w:color w:val="231F20"/>
          <w:w w:val="98"/>
        </w:rPr>
        <w:t>t</w:t>
      </w:r>
      <w:r>
        <w:rPr>
          <w:color w:val="231F20"/>
        </w:rPr>
        <w:t xml:space="preserve"> </w:t>
      </w:r>
      <w:r>
        <w:rPr>
          <w:color w:val="231F20"/>
          <w:w w:val="116"/>
        </w:rPr>
        <w:t>R</w:t>
      </w:r>
      <w:r>
        <w:rPr>
          <w:color w:val="231F20"/>
          <w:w w:val="91"/>
        </w:rPr>
        <w:t>e</w:t>
      </w:r>
      <w:r>
        <w:rPr>
          <w:color w:val="231F20"/>
        </w:rPr>
        <w:t xml:space="preserve">d </w:t>
      </w:r>
      <w:r>
        <w:rPr>
          <w:color w:val="231F20"/>
          <w:w w:val="115"/>
        </w:rPr>
        <w:t>A</w:t>
      </w:r>
      <w:r>
        <w:rPr>
          <w:color w:val="231F20"/>
        </w:rPr>
        <w:t>id</w:t>
      </w:r>
      <w:r>
        <w:rPr>
          <w:color w:val="231F20"/>
          <w:w w:val="56"/>
        </w:rPr>
        <w:t>/</w:t>
      </w:r>
      <w:r>
        <w:rPr>
          <w:color w:val="231F20"/>
          <w:w w:val="97"/>
        </w:rPr>
        <w:t>P</w:t>
      </w:r>
      <w:r>
        <w:rPr>
          <w:color w:val="231F20"/>
          <w:w w:val="94"/>
        </w:rPr>
        <w:t>r</w:t>
      </w:r>
      <w:r>
        <w:rPr>
          <w:color w:val="231F20"/>
        </w:rPr>
        <w:t>i</w:t>
      </w:r>
      <w:r>
        <w:rPr>
          <w:color w:val="231F20"/>
          <w:w w:val="90"/>
        </w:rPr>
        <w:t>s</w:t>
      </w:r>
      <w:r>
        <w:rPr>
          <w:color w:val="231F20"/>
          <w:w w:val="104"/>
        </w:rPr>
        <w:t>o</w:t>
      </w:r>
      <w:r>
        <w:rPr>
          <w:color w:val="231F20"/>
          <w:w w:val="99"/>
        </w:rPr>
        <w:t>n</w:t>
      </w:r>
      <w:r>
        <w:rPr>
          <w:color w:val="231F20"/>
          <w:w w:val="92"/>
        </w:rPr>
        <w:t>er</w:t>
      </w:r>
      <w:r>
        <w:rPr>
          <w:color w:val="231F20"/>
          <w:w w:val="90"/>
        </w:rPr>
        <w:t xml:space="preserve">s </w:t>
      </w:r>
      <w:r>
        <w:rPr>
          <w:color w:val="231F20"/>
        </w:rPr>
        <w:t xml:space="preserve">Collective article. The </w:t>
      </w:r>
      <w:r>
        <w:rPr>
          <w:i/>
          <w:color w:val="231F20"/>
        </w:rPr>
        <w:t xml:space="preserve">sponti </w:t>
      </w:r>
      <w:r>
        <w:rPr>
          <w:color w:val="231F20"/>
        </w:rPr>
        <w:t>left, as a result of its many splits and its totally defensive posture, is incapable of grasping the objective and</w:t>
      </w:r>
      <w:r w:rsidR="00FB5D13">
        <w:rPr>
          <w:rFonts w:eastAsiaTheme="minorEastAsia" w:hint="eastAsia"/>
        </w:rPr>
        <w:t xml:space="preserve"> </w:t>
      </w:r>
      <w:r>
        <w:rPr>
          <w:color w:val="231F20"/>
        </w:rPr>
        <w:lastRenderedPageBreak/>
        <w:t>subjective circumstances of the struggle, and is incapable of drawing on the facts and coming to an accurate appraisal of the balance of power. Instead it acts on the basis of a blind, narrow-minded, apolitical selfassessment, or else in an undifferentiated and ill-conceived way on the basis of various concepts and forms of struggle and mobilization. Then there’s the claim that it’s our job to offer revolutionary commentary and assessments of other groups and popular mobilizations. (“What’s your position regarding the politics of the action…”) Solidarity is not a question of politics and consciousness, but of feelings (“don’t feel that they are your comrades”), etc.</w:t>
      </w:r>
    </w:p>
    <w:p w14:paraId="63BAC373" w14:textId="77777777" w:rsidR="002653E8" w:rsidRDefault="003115E3">
      <w:pPr>
        <w:pStyle w:val="a3"/>
        <w:spacing w:line="264" w:lineRule="auto"/>
        <w:ind w:left="1327" w:right="1145" w:firstLine="210"/>
        <w:jc w:val="both"/>
      </w:pPr>
      <w:r>
        <w:rPr>
          <w:color w:val="231F20"/>
          <w:spacing w:val="1"/>
          <w:w w:val="105"/>
        </w:rPr>
        <w:t xml:space="preserve">All </w:t>
      </w:r>
      <w:r>
        <w:rPr>
          <w:color w:val="231F20"/>
          <w:w w:val="105"/>
        </w:rPr>
        <w:t xml:space="preserve">of this has the objective of telling the comrades being written about that they </w:t>
      </w:r>
      <w:r>
        <w:rPr>
          <w:color w:val="231F20"/>
          <w:spacing w:val="-3"/>
          <w:w w:val="105"/>
        </w:rPr>
        <w:t xml:space="preserve">don’t </w:t>
      </w:r>
      <w:r>
        <w:rPr>
          <w:color w:val="231F20"/>
          <w:w w:val="105"/>
        </w:rPr>
        <w:t xml:space="preserve">need to start struggling, to start figuring things out for themselves, or to support us as long as we “greet it with silence” and </w:t>
      </w:r>
      <w:r>
        <w:rPr>
          <w:color w:val="231F20"/>
          <w:spacing w:val="-5"/>
          <w:w w:val="105"/>
        </w:rPr>
        <w:t xml:space="preserve">“don’t </w:t>
      </w:r>
      <w:r>
        <w:rPr>
          <w:color w:val="231F20"/>
          <w:w w:val="105"/>
        </w:rPr>
        <w:t xml:space="preserve">put our cards on the </w:t>
      </w:r>
      <w:r>
        <w:rPr>
          <w:color w:val="231F20"/>
          <w:spacing w:val="-3"/>
          <w:w w:val="105"/>
        </w:rPr>
        <w:t xml:space="preserve">table.” </w:t>
      </w:r>
      <w:r>
        <w:rPr>
          <w:color w:val="231F20"/>
          <w:w w:val="105"/>
        </w:rPr>
        <w:t>It has the objective of preventing the potential mobilization and radicalization that could develop as a result of a new hunger strike. The support for Buback’s extermination strategy is based on the complete acceptance of all</w:t>
      </w:r>
      <w:r>
        <w:rPr>
          <w:color w:val="231F20"/>
          <w:spacing w:val="-15"/>
          <w:w w:val="105"/>
        </w:rPr>
        <w:t xml:space="preserve"> </w:t>
      </w:r>
      <w:r>
        <w:rPr>
          <w:color w:val="231F20"/>
          <w:w w:val="105"/>
        </w:rPr>
        <w:t>the state’s</w:t>
      </w:r>
      <w:r>
        <w:rPr>
          <w:color w:val="231F20"/>
          <w:spacing w:val="-11"/>
          <w:w w:val="105"/>
        </w:rPr>
        <w:t xml:space="preserve"> </w:t>
      </w:r>
      <w:r>
        <w:rPr>
          <w:color w:val="231F20"/>
          <w:w w:val="105"/>
        </w:rPr>
        <w:t>allegations</w:t>
      </w:r>
      <w:r>
        <w:rPr>
          <w:color w:val="231F20"/>
          <w:spacing w:val="-11"/>
          <w:w w:val="105"/>
        </w:rPr>
        <w:t xml:space="preserve"> </w:t>
      </w:r>
      <w:r>
        <w:rPr>
          <w:color w:val="231F20"/>
          <w:w w:val="105"/>
        </w:rPr>
        <w:t>about</w:t>
      </w:r>
      <w:r>
        <w:rPr>
          <w:color w:val="231F20"/>
          <w:spacing w:val="-11"/>
          <w:w w:val="105"/>
        </w:rPr>
        <w:t xml:space="preserve"> </w:t>
      </w:r>
      <w:r>
        <w:rPr>
          <w:color w:val="231F20"/>
          <w:w w:val="105"/>
        </w:rPr>
        <w:t>us,</w:t>
      </w:r>
      <w:r>
        <w:rPr>
          <w:color w:val="231F20"/>
          <w:spacing w:val="-11"/>
          <w:w w:val="105"/>
        </w:rPr>
        <w:t xml:space="preserve"> </w:t>
      </w:r>
      <w:r>
        <w:rPr>
          <w:color w:val="231F20"/>
          <w:w w:val="105"/>
        </w:rPr>
        <w:t>which</w:t>
      </w:r>
      <w:r>
        <w:rPr>
          <w:color w:val="231F20"/>
          <w:spacing w:val="-11"/>
          <w:w w:val="105"/>
        </w:rPr>
        <w:t xml:space="preserve"> </w:t>
      </w:r>
      <w:r>
        <w:rPr>
          <w:color w:val="231F20"/>
          <w:w w:val="105"/>
        </w:rPr>
        <w:t>make</w:t>
      </w:r>
      <w:r>
        <w:rPr>
          <w:color w:val="231F20"/>
          <w:spacing w:val="-11"/>
          <w:w w:val="105"/>
        </w:rPr>
        <w:t xml:space="preserve"> </w:t>
      </w:r>
      <w:r>
        <w:rPr>
          <w:color w:val="231F20"/>
          <w:w w:val="105"/>
        </w:rPr>
        <w:t>up</w:t>
      </w:r>
      <w:r>
        <w:rPr>
          <w:color w:val="231F20"/>
          <w:spacing w:val="-11"/>
          <w:w w:val="105"/>
        </w:rPr>
        <w:t xml:space="preserve"> </w:t>
      </w:r>
      <w:r>
        <w:rPr>
          <w:color w:val="231F20"/>
          <w:w w:val="105"/>
        </w:rPr>
        <w:t>the</w:t>
      </w:r>
      <w:r>
        <w:rPr>
          <w:color w:val="231F20"/>
          <w:spacing w:val="-11"/>
          <w:w w:val="105"/>
        </w:rPr>
        <w:t xml:space="preserve"> </w:t>
      </w:r>
      <w:r>
        <w:rPr>
          <w:color w:val="231F20"/>
          <w:w w:val="105"/>
        </w:rPr>
        <w:t>core</w:t>
      </w:r>
      <w:r>
        <w:rPr>
          <w:color w:val="231F20"/>
          <w:spacing w:val="-11"/>
          <w:w w:val="105"/>
        </w:rPr>
        <w:t xml:space="preserve"> </w:t>
      </w:r>
      <w:r>
        <w:rPr>
          <w:color w:val="231F20"/>
          <w:w w:val="105"/>
        </w:rPr>
        <w:t>of</w:t>
      </w:r>
      <w:r>
        <w:rPr>
          <w:color w:val="231F20"/>
          <w:spacing w:val="-11"/>
          <w:w w:val="105"/>
        </w:rPr>
        <w:t xml:space="preserve"> </w:t>
      </w:r>
      <w:r>
        <w:rPr>
          <w:color w:val="231F20"/>
          <w:w w:val="105"/>
        </w:rPr>
        <w:t>the</w:t>
      </w:r>
      <w:r>
        <w:rPr>
          <w:color w:val="231F20"/>
          <w:spacing w:val="-11"/>
          <w:w w:val="105"/>
        </w:rPr>
        <w:t xml:space="preserve"> </w:t>
      </w:r>
      <w:r>
        <w:rPr>
          <w:color w:val="231F20"/>
          <w:w w:val="105"/>
        </w:rPr>
        <w:t>psychological</w:t>
      </w:r>
      <w:r>
        <w:rPr>
          <w:color w:val="231F20"/>
          <w:spacing w:val="-10"/>
          <w:w w:val="105"/>
        </w:rPr>
        <w:t xml:space="preserve"> </w:t>
      </w:r>
      <w:r>
        <w:rPr>
          <w:color w:val="231F20"/>
          <w:w w:val="105"/>
        </w:rPr>
        <w:t>warfare</w:t>
      </w:r>
      <w:r>
        <w:rPr>
          <w:color w:val="231F20"/>
          <w:spacing w:val="-10"/>
          <w:w w:val="105"/>
        </w:rPr>
        <w:t xml:space="preserve"> </w:t>
      </w:r>
      <w:r>
        <w:rPr>
          <w:color w:val="231F20"/>
          <w:w w:val="105"/>
        </w:rPr>
        <w:t>being</w:t>
      </w:r>
      <w:r>
        <w:rPr>
          <w:color w:val="231F20"/>
          <w:spacing w:val="-10"/>
          <w:w w:val="105"/>
        </w:rPr>
        <w:t xml:space="preserve"> </w:t>
      </w:r>
      <w:r>
        <w:rPr>
          <w:color w:val="231F20"/>
          <w:w w:val="105"/>
        </w:rPr>
        <w:t>waged</w:t>
      </w:r>
      <w:r>
        <w:rPr>
          <w:color w:val="231F20"/>
          <w:spacing w:val="-10"/>
          <w:w w:val="105"/>
        </w:rPr>
        <w:t xml:space="preserve"> </w:t>
      </w:r>
      <w:r>
        <w:rPr>
          <w:color w:val="231F20"/>
          <w:w w:val="105"/>
        </w:rPr>
        <w:t>against</w:t>
      </w:r>
      <w:r>
        <w:rPr>
          <w:color w:val="231F20"/>
          <w:spacing w:val="-10"/>
          <w:w w:val="105"/>
        </w:rPr>
        <w:t xml:space="preserve"> </w:t>
      </w:r>
      <w:r>
        <w:rPr>
          <w:color w:val="231F20"/>
          <w:w w:val="105"/>
        </w:rPr>
        <w:t>us:</w:t>
      </w:r>
      <w:r>
        <w:rPr>
          <w:color w:val="231F20"/>
          <w:spacing w:val="-10"/>
          <w:w w:val="105"/>
        </w:rPr>
        <w:t xml:space="preserve"> </w:t>
      </w:r>
      <w:r>
        <w:rPr>
          <w:color w:val="231F20"/>
          <w:w w:val="105"/>
        </w:rPr>
        <w:t>that</w:t>
      </w:r>
      <w:r>
        <w:rPr>
          <w:color w:val="231F20"/>
          <w:spacing w:val="-10"/>
          <w:w w:val="105"/>
        </w:rPr>
        <w:t xml:space="preserve"> </w:t>
      </w:r>
      <w:r>
        <w:rPr>
          <w:color w:val="231F20"/>
          <w:w w:val="105"/>
        </w:rPr>
        <w:t>the</w:t>
      </w:r>
      <w:r>
        <w:rPr>
          <w:color w:val="231F20"/>
          <w:spacing w:val="-9"/>
          <w:w w:val="105"/>
        </w:rPr>
        <w:t xml:space="preserve"> </w:t>
      </w:r>
      <w:r w:rsidR="00C507A5">
        <w:rPr>
          <w:color w:val="231F20"/>
          <w:spacing w:val="5"/>
          <w:w w:val="105"/>
        </w:rPr>
        <w:t>red army faction</w:t>
      </w:r>
      <w:r>
        <w:rPr>
          <w:color w:val="231F20"/>
          <w:spacing w:val="-10"/>
          <w:w w:val="105"/>
        </w:rPr>
        <w:t xml:space="preserve"> </w:t>
      </w:r>
      <w:r>
        <w:rPr>
          <w:color w:val="231F20"/>
          <w:w w:val="105"/>
        </w:rPr>
        <w:t>has</w:t>
      </w:r>
      <w:r>
        <w:rPr>
          <w:color w:val="231F20"/>
          <w:spacing w:val="-10"/>
          <w:w w:val="105"/>
        </w:rPr>
        <w:t xml:space="preserve"> </w:t>
      </w:r>
      <w:r>
        <w:rPr>
          <w:color w:val="231F20"/>
          <w:w w:val="105"/>
        </w:rPr>
        <w:t>a</w:t>
      </w:r>
      <w:r>
        <w:rPr>
          <w:color w:val="231F20"/>
          <w:spacing w:val="-10"/>
          <w:w w:val="105"/>
        </w:rPr>
        <w:t xml:space="preserve"> </w:t>
      </w:r>
      <w:r>
        <w:rPr>
          <w:color w:val="231F20"/>
          <w:w w:val="105"/>
        </w:rPr>
        <w:t>gang</w:t>
      </w:r>
      <w:r>
        <w:rPr>
          <w:color w:val="231F20"/>
          <w:spacing w:val="-10"/>
          <w:w w:val="105"/>
        </w:rPr>
        <w:t xml:space="preserve"> </w:t>
      </w:r>
      <w:r>
        <w:rPr>
          <w:color w:val="231F20"/>
          <w:w w:val="105"/>
        </w:rPr>
        <w:t>structure, that we are hierarchically structured, “tools” and of course “those at the top”—that is implicit in all the bullshit in this document, in</w:t>
      </w:r>
      <w:r>
        <w:rPr>
          <w:color w:val="231F20"/>
          <w:spacing w:val="-23"/>
          <w:w w:val="105"/>
        </w:rPr>
        <w:t xml:space="preserve"> </w:t>
      </w:r>
      <w:r>
        <w:rPr>
          <w:color w:val="231F20"/>
          <w:w w:val="105"/>
        </w:rPr>
        <w:t>which they</w:t>
      </w:r>
      <w:r>
        <w:rPr>
          <w:color w:val="231F20"/>
          <w:spacing w:val="-7"/>
          <w:w w:val="105"/>
        </w:rPr>
        <w:t xml:space="preserve"> </w:t>
      </w:r>
      <w:r>
        <w:rPr>
          <w:color w:val="231F20"/>
          <w:w w:val="105"/>
        </w:rPr>
        <w:t>characterize</w:t>
      </w:r>
      <w:r>
        <w:rPr>
          <w:color w:val="231F20"/>
          <w:spacing w:val="-7"/>
          <w:w w:val="105"/>
        </w:rPr>
        <w:t xml:space="preserve"> </w:t>
      </w:r>
      <w:r>
        <w:rPr>
          <w:color w:val="231F20"/>
          <w:w w:val="105"/>
        </w:rPr>
        <w:t>their</w:t>
      </w:r>
      <w:r>
        <w:rPr>
          <w:color w:val="231F20"/>
          <w:spacing w:val="-7"/>
          <w:w w:val="105"/>
        </w:rPr>
        <w:t xml:space="preserve"> </w:t>
      </w:r>
      <w:r>
        <w:rPr>
          <w:color w:val="231F20"/>
          <w:w w:val="105"/>
        </w:rPr>
        <w:t>relationship</w:t>
      </w:r>
      <w:r>
        <w:rPr>
          <w:color w:val="231F20"/>
          <w:spacing w:val="-7"/>
          <w:w w:val="105"/>
        </w:rPr>
        <w:t xml:space="preserve"> </w:t>
      </w:r>
      <w:r>
        <w:rPr>
          <w:color w:val="231F20"/>
          <w:w w:val="105"/>
        </w:rPr>
        <w:t>to</w:t>
      </w:r>
      <w:r>
        <w:rPr>
          <w:color w:val="231F20"/>
          <w:spacing w:val="-7"/>
          <w:w w:val="105"/>
        </w:rPr>
        <w:t xml:space="preserve"> </w:t>
      </w:r>
      <w:r>
        <w:rPr>
          <w:color w:val="231F20"/>
          <w:w w:val="105"/>
        </w:rPr>
        <w:t>us</w:t>
      </w:r>
      <w:r>
        <w:rPr>
          <w:color w:val="231F20"/>
          <w:spacing w:val="-7"/>
          <w:w w:val="105"/>
        </w:rPr>
        <w:t xml:space="preserve"> </w:t>
      </w:r>
      <w:r>
        <w:rPr>
          <w:color w:val="231F20"/>
          <w:w w:val="105"/>
        </w:rPr>
        <w:t>in</w:t>
      </w:r>
      <w:r>
        <w:rPr>
          <w:color w:val="231F20"/>
          <w:spacing w:val="-7"/>
          <w:w w:val="105"/>
        </w:rPr>
        <w:t xml:space="preserve"> </w:t>
      </w:r>
      <w:r>
        <w:rPr>
          <w:color w:val="231F20"/>
          <w:w w:val="105"/>
        </w:rPr>
        <w:t>this</w:t>
      </w:r>
      <w:r>
        <w:rPr>
          <w:color w:val="231F20"/>
          <w:spacing w:val="-7"/>
          <w:w w:val="105"/>
        </w:rPr>
        <w:t xml:space="preserve"> </w:t>
      </w:r>
      <w:r>
        <w:rPr>
          <w:color w:val="231F20"/>
          <w:w w:val="105"/>
        </w:rPr>
        <w:t>way:</w:t>
      </w:r>
      <w:r>
        <w:rPr>
          <w:color w:val="231F20"/>
          <w:spacing w:val="-7"/>
          <w:w w:val="105"/>
        </w:rPr>
        <w:t xml:space="preserve"> </w:t>
      </w:r>
      <w:r>
        <w:rPr>
          <w:color w:val="231F20"/>
          <w:w w:val="105"/>
        </w:rPr>
        <w:t>“to</w:t>
      </w:r>
      <w:r>
        <w:rPr>
          <w:color w:val="231F20"/>
          <w:spacing w:val="-7"/>
          <w:w w:val="105"/>
        </w:rPr>
        <w:t xml:space="preserve"> </w:t>
      </w:r>
      <w:r>
        <w:rPr>
          <w:color w:val="231F20"/>
          <w:w w:val="105"/>
        </w:rPr>
        <w:t>all</w:t>
      </w:r>
      <w:r>
        <w:rPr>
          <w:color w:val="231F20"/>
          <w:spacing w:val="-7"/>
          <w:w w:val="105"/>
        </w:rPr>
        <w:t xml:space="preserve"> </w:t>
      </w:r>
      <w:r w:rsidR="00C507A5">
        <w:rPr>
          <w:color w:val="231F20"/>
          <w:spacing w:val="5"/>
          <w:w w:val="105"/>
        </w:rPr>
        <w:t>red army faction</w:t>
      </w:r>
      <w:r>
        <w:rPr>
          <w:color w:val="231F20"/>
          <w:spacing w:val="-7"/>
          <w:w w:val="105"/>
        </w:rPr>
        <w:t xml:space="preserve"> </w:t>
      </w:r>
      <w:r>
        <w:rPr>
          <w:color w:val="231F20"/>
          <w:w w:val="105"/>
        </w:rPr>
        <w:t xml:space="preserve">comrades” (in italics); </w:t>
      </w:r>
      <w:r>
        <w:rPr>
          <w:color w:val="231F20"/>
          <w:spacing w:val="-3"/>
          <w:w w:val="105"/>
        </w:rPr>
        <w:t xml:space="preserve">“We </w:t>
      </w:r>
      <w:r>
        <w:rPr>
          <w:color w:val="231F20"/>
          <w:w w:val="105"/>
        </w:rPr>
        <w:t xml:space="preserve">will be used and </w:t>
      </w:r>
      <w:r>
        <w:rPr>
          <w:color w:val="231F20"/>
          <w:spacing w:val="-3"/>
          <w:w w:val="105"/>
        </w:rPr>
        <w:t xml:space="preserve">subordinated…”; “…blindly </w:t>
      </w:r>
      <w:r>
        <w:rPr>
          <w:color w:val="231F20"/>
          <w:w w:val="105"/>
        </w:rPr>
        <w:t xml:space="preserve">praying that they meet your rigid </w:t>
      </w:r>
      <w:r>
        <w:rPr>
          <w:color w:val="231F20"/>
          <w:spacing w:val="-3"/>
          <w:w w:val="105"/>
        </w:rPr>
        <w:t xml:space="preserve">demands…”; </w:t>
      </w:r>
      <w:r>
        <w:rPr>
          <w:color w:val="231F20"/>
          <w:spacing w:val="-9"/>
          <w:w w:val="105"/>
        </w:rPr>
        <w:t xml:space="preserve">“…we </w:t>
      </w:r>
      <w:r>
        <w:rPr>
          <w:color w:val="231F20"/>
          <w:w w:val="105"/>
        </w:rPr>
        <w:t xml:space="preserve">appear to be nothing more to you than a tool to be </w:t>
      </w:r>
      <w:r>
        <w:rPr>
          <w:color w:val="231F20"/>
          <w:spacing w:val="-3"/>
          <w:w w:val="105"/>
        </w:rPr>
        <w:t xml:space="preserve">discarded…”; </w:t>
      </w:r>
      <w:r>
        <w:rPr>
          <w:color w:val="231F20"/>
          <w:spacing w:val="-9"/>
          <w:w w:val="110"/>
        </w:rPr>
        <w:t xml:space="preserve">“… </w:t>
      </w:r>
      <w:r>
        <w:rPr>
          <w:color w:val="231F20"/>
          <w:w w:val="105"/>
        </w:rPr>
        <w:t xml:space="preserve">as a result many comrades can only then be </w:t>
      </w:r>
      <w:r>
        <w:rPr>
          <w:color w:val="231F20"/>
          <w:spacing w:val="-3"/>
          <w:w w:val="105"/>
        </w:rPr>
        <w:t xml:space="preserve">mobilized…”; </w:t>
      </w:r>
      <w:r>
        <w:rPr>
          <w:color w:val="231F20"/>
          <w:w w:val="105"/>
        </w:rPr>
        <w:t xml:space="preserve">“…mobilizations are the result of psychological </w:t>
      </w:r>
      <w:r>
        <w:rPr>
          <w:color w:val="231F20"/>
          <w:spacing w:val="-3"/>
          <w:w w:val="105"/>
        </w:rPr>
        <w:t xml:space="preserve">pressure…”; </w:t>
      </w:r>
      <w:r>
        <w:rPr>
          <w:color w:val="231F20"/>
          <w:w w:val="105"/>
        </w:rPr>
        <w:t xml:space="preserve">“our solidarity will be more a </w:t>
      </w:r>
      <w:r>
        <w:rPr>
          <w:color w:val="231F20"/>
          <w:spacing w:val="-4"/>
          <w:w w:val="105"/>
        </w:rPr>
        <w:t>torment…”;</w:t>
      </w:r>
      <w:r>
        <w:rPr>
          <w:color w:val="231F20"/>
          <w:spacing w:val="8"/>
          <w:w w:val="105"/>
        </w:rPr>
        <w:t xml:space="preserve"> </w:t>
      </w:r>
      <w:r>
        <w:rPr>
          <w:color w:val="231F20"/>
          <w:w w:val="105"/>
        </w:rPr>
        <w:t>etc..</w:t>
      </w:r>
    </w:p>
    <w:p w14:paraId="0EE90C8A" w14:textId="77777777" w:rsidR="002653E8" w:rsidRDefault="003115E3">
      <w:pPr>
        <w:pStyle w:val="a3"/>
        <w:spacing w:line="215" w:lineRule="exact"/>
        <w:ind w:left="1538"/>
      </w:pPr>
      <w:r>
        <w:rPr>
          <w:color w:val="231F20"/>
          <w:w w:val="105"/>
        </w:rPr>
        <w:t>Then, with teeth bared: we’re “mistaken,” with “foolish ideas,” which</w:t>
      </w:r>
    </w:p>
    <w:p w14:paraId="1D92C3FB" w14:textId="77777777" w:rsidR="002653E8" w:rsidRDefault="003115E3">
      <w:pPr>
        <w:pStyle w:val="a3"/>
        <w:spacing w:before="12" w:line="264" w:lineRule="auto"/>
        <w:ind w:left="1328" w:right="1145"/>
        <w:jc w:val="both"/>
      </w:pPr>
      <w:r>
        <w:rPr>
          <w:color w:val="231F20"/>
        </w:rPr>
        <w:t>have “totally overshadowed our relationships and experiences”—this is the babble of psycho-cops; we have only ourselves to blame if we’re isolated (“…you have isolated yourselves…”)—the Federal Constitutional Court said the same thing in their ruling, in which they legally sanctioned torture; and finally—and this is consistent—we are “throwing away our lives”—which is an endorsement of the state’s claim that Ulrike committed suicide—as with the deaths of Holger, Siegfried, and Katharina, who are “themselves responsible.”</w:t>
      </w:r>
    </w:p>
    <w:p w14:paraId="2275305A" w14:textId="77777777" w:rsidR="002653E8" w:rsidRDefault="003115E3">
      <w:pPr>
        <w:pStyle w:val="a3"/>
        <w:spacing w:line="264" w:lineRule="auto"/>
        <w:ind w:left="1328" w:right="1146" w:firstLine="210"/>
        <w:jc w:val="both"/>
      </w:pPr>
      <w:r>
        <w:rPr>
          <w:color w:val="231F20"/>
        </w:rPr>
        <w:t>In Müller’s case, it took state security three years using isolation, torture, and brainwashing to bring him to the point where he presented</w:t>
      </w:r>
    </w:p>
    <w:p w14:paraId="04CCC112" w14:textId="77777777" w:rsidR="002653E8" w:rsidRDefault="002653E8">
      <w:pPr>
        <w:spacing w:line="264" w:lineRule="auto"/>
        <w:jc w:val="both"/>
        <w:sectPr w:rsidR="002653E8">
          <w:footerReference w:type="even" r:id="rId392"/>
          <w:footerReference w:type="default" r:id="rId393"/>
          <w:pgSz w:w="8640" w:h="12960"/>
          <w:pgMar w:top="1060" w:right="0" w:bottom="1040" w:left="0" w:header="0" w:footer="850" w:gutter="0"/>
          <w:cols w:space="720"/>
        </w:sectPr>
      </w:pPr>
    </w:p>
    <w:p w14:paraId="3E1770E2" w14:textId="77777777" w:rsidR="002653E8" w:rsidRDefault="003115E3">
      <w:pPr>
        <w:pStyle w:val="a3"/>
        <w:spacing w:before="86" w:line="264" w:lineRule="auto"/>
        <w:ind w:left="1147" w:right="1325"/>
        <w:jc w:val="both"/>
      </w:pPr>
      <w:r>
        <w:rPr>
          <w:color w:val="231F20"/>
        </w:rPr>
        <w:lastRenderedPageBreak/>
        <w:t>this idiotic SS</w:t>
      </w:r>
      <w:r>
        <w:rPr>
          <w:color w:val="231F20"/>
          <w:position w:val="7"/>
          <w:sz w:val="11"/>
        </w:rPr>
        <w:t xml:space="preserve">1 </w:t>
      </w:r>
      <w:r>
        <w:rPr>
          <w:color w:val="231F20"/>
        </w:rPr>
        <w:t>construct as his own experience—also precisely on the theme chosen here: the structure of the group. These leftists arrive at these conclusions on their own, facing no concrete threat, just  their own naked fear. Their solidarity with us could cost them the ridiculous privileges</w:t>
      </w:r>
      <w:r>
        <w:rPr>
          <w:color w:val="231F20"/>
          <w:spacing w:val="10"/>
        </w:rPr>
        <w:t xml:space="preserve"> </w:t>
      </w:r>
      <w:r>
        <w:rPr>
          <w:color w:val="231F20"/>
        </w:rPr>
        <w:t>that</w:t>
      </w:r>
      <w:r>
        <w:rPr>
          <w:color w:val="231F20"/>
          <w:spacing w:val="10"/>
        </w:rPr>
        <w:t xml:space="preserve"> </w:t>
      </w:r>
      <w:r>
        <w:rPr>
          <w:color w:val="231F20"/>
        </w:rPr>
        <w:t>they</w:t>
      </w:r>
      <w:r>
        <w:rPr>
          <w:color w:val="231F20"/>
          <w:spacing w:val="10"/>
        </w:rPr>
        <w:t xml:space="preserve"> </w:t>
      </w:r>
      <w:r>
        <w:rPr>
          <w:color w:val="231F20"/>
        </w:rPr>
        <w:t>cultivate</w:t>
      </w:r>
      <w:r>
        <w:rPr>
          <w:color w:val="231F20"/>
          <w:spacing w:val="10"/>
        </w:rPr>
        <w:t xml:space="preserve"> </w:t>
      </w:r>
      <w:r>
        <w:rPr>
          <w:color w:val="231F20"/>
        </w:rPr>
        <w:t>in</w:t>
      </w:r>
      <w:r>
        <w:rPr>
          <w:color w:val="231F20"/>
          <w:spacing w:val="10"/>
        </w:rPr>
        <w:t xml:space="preserve"> </w:t>
      </w:r>
      <w:r>
        <w:rPr>
          <w:color w:val="231F20"/>
        </w:rPr>
        <w:t>their</w:t>
      </w:r>
      <w:r>
        <w:rPr>
          <w:color w:val="231F20"/>
          <w:spacing w:val="10"/>
        </w:rPr>
        <w:t xml:space="preserve"> </w:t>
      </w:r>
      <w:r>
        <w:rPr>
          <w:color w:val="231F20"/>
        </w:rPr>
        <w:t>idyllic</w:t>
      </w:r>
      <w:r>
        <w:rPr>
          <w:color w:val="231F20"/>
          <w:spacing w:val="10"/>
        </w:rPr>
        <w:t xml:space="preserve"> </w:t>
      </w:r>
      <w:r>
        <w:rPr>
          <w:color w:val="231F20"/>
        </w:rPr>
        <w:t>counterculture.</w:t>
      </w:r>
    </w:p>
    <w:p w14:paraId="2452616D" w14:textId="77777777" w:rsidR="002653E8" w:rsidRDefault="003115E3">
      <w:pPr>
        <w:pStyle w:val="a3"/>
        <w:spacing w:line="264" w:lineRule="auto"/>
        <w:ind w:left="1147" w:right="1326" w:firstLine="210"/>
        <w:jc w:val="both"/>
      </w:pPr>
      <w:r>
        <w:rPr>
          <w:color w:val="231F20"/>
        </w:rPr>
        <w:t>One must also understand the method adopted in this letter, with its introduction and explanation about why it was written now, or rather why it wasn’t written sooner (“an unrealistically hostile response—objective cop/state security action”) which is meant to suggest that this letter can in no way be that, and which thereby pre-empts any critique which says that that is in fact exactly what it is.</w:t>
      </w:r>
    </w:p>
    <w:p w14:paraId="0770457A" w14:textId="77777777" w:rsidR="002653E8" w:rsidRDefault="003115E3">
      <w:pPr>
        <w:pStyle w:val="a3"/>
        <w:spacing w:line="264" w:lineRule="auto"/>
        <w:ind w:left="1147" w:right="1326" w:firstLine="210"/>
        <w:jc w:val="both"/>
      </w:pPr>
      <w:r>
        <w:rPr>
          <w:color w:val="231F20"/>
        </w:rPr>
        <w:t>Given the way the letter is constructed, precisely following the pattern and techniques of psychological warfare, it is possible that it is not only objectively a state security product.</w:t>
      </w:r>
    </w:p>
    <w:p w14:paraId="7926199B" w14:textId="77777777" w:rsidR="002653E8" w:rsidRDefault="003115E3">
      <w:pPr>
        <w:pStyle w:val="a3"/>
        <w:spacing w:before="112" w:line="261" w:lineRule="auto"/>
        <w:ind w:left="5755" w:right="1326" w:hanging="80"/>
        <w:jc w:val="right"/>
      </w:pPr>
      <w:r>
        <w:rPr>
          <w:color w:val="231F20"/>
          <w:w w:val="105"/>
        </w:rPr>
        <w:t>Monika Berberich</w:t>
      </w:r>
      <w:r>
        <w:rPr>
          <w:color w:val="231F20"/>
        </w:rPr>
        <w:t xml:space="preserve"> </w:t>
      </w:r>
      <w:r>
        <w:rPr>
          <w:color w:val="231F20"/>
          <w:w w:val="105"/>
        </w:rPr>
        <w:t>January 10, 1977</w:t>
      </w:r>
    </w:p>
    <w:p w14:paraId="45B149AB" w14:textId="77777777" w:rsidR="002653E8" w:rsidRDefault="002653E8">
      <w:pPr>
        <w:pStyle w:val="a3"/>
      </w:pPr>
    </w:p>
    <w:p w14:paraId="3D63F06D" w14:textId="77777777" w:rsidR="002653E8" w:rsidRDefault="002653E8">
      <w:pPr>
        <w:pStyle w:val="a3"/>
      </w:pPr>
    </w:p>
    <w:p w14:paraId="3E0B4E21" w14:textId="77777777" w:rsidR="002653E8" w:rsidRDefault="002653E8">
      <w:pPr>
        <w:pStyle w:val="a3"/>
      </w:pPr>
    </w:p>
    <w:p w14:paraId="52C11B3C" w14:textId="77777777" w:rsidR="002653E8" w:rsidRDefault="002653E8">
      <w:pPr>
        <w:pStyle w:val="a3"/>
      </w:pPr>
    </w:p>
    <w:p w14:paraId="553E9F11" w14:textId="77777777" w:rsidR="002653E8" w:rsidRDefault="002653E8">
      <w:pPr>
        <w:pStyle w:val="a3"/>
      </w:pPr>
    </w:p>
    <w:p w14:paraId="5E6939F2" w14:textId="77777777" w:rsidR="002653E8" w:rsidRDefault="002653E8">
      <w:pPr>
        <w:pStyle w:val="a3"/>
      </w:pPr>
    </w:p>
    <w:p w14:paraId="05E0F2E7" w14:textId="77777777" w:rsidR="002653E8" w:rsidRDefault="002653E8">
      <w:pPr>
        <w:pStyle w:val="a3"/>
      </w:pPr>
    </w:p>
    <w:p w14:paraId="21D3304E" w14:textId="77777777" w:rsidR="002653E8" w:rsidRDefault="002653E8">
      <w:pPr>
        <w:pStyle w:val="a3"/>
      </w:pPr>
    </w:p>
    <w:p w14:paraId="3DF0F681" w14:textId="77777777" w:rsidR="002653E8" w:rsidRDefault="002653E8">
      <w:pPr>
        <w:pStyle w:val="a3"/>
      </w:pPr>
    </w:p>
    <w:p w14:paraId="602D885B" w14:textId="77777777" w:rsidR="002653E8" w:rsidRDefault="002653E8">
      <w:pPr>
        <w:pStyle w:val="a3"/>
      </w:pPr>
    </w:p>
    <w:p w14:paraId="4DD4EE90" w14:textId="77777777" w:rsidR="002653E8" w:rsidRDefault="002653E8">
      <w:pPr>
        <w:pStyle w:val="a3"/>
      </w:pPr>
    </w:p>
    <w:p w14:paraId="7CD0EC8A" w14:textId="77777777" w:rsidR="002653E8" w:rsidRDefault="002653E8">
      <w:pPr>
        <w:pStyle w:val="a3"/>
      </w:pPr>
    </w:p>
    <w:p w14:paraId="760F6F5A" w14:textId="77777777" w:rsidR="002653E8" w:rsidRDefault="002653E8">
      <w:pPr>
        <w:pStyle w:val="a3"/>
      </w:pPr>
    </w:p>
    <w:p w14:paraId="492FCE66" w14:textId="77777777" w:rsidR="002653E8" w:rsidRDefault="002653E8">
      <w:pPr>
        <w:pStyle w:val="a3"/>
      </w:pPr>
    </w:p>
    <w:p w14:paraId="4A0DFEE3" w14:textId="77777777" w:rsidR="002653E8" w:rsidRDefault="002653E8">
      <w:pPr>
        <w:pStyle w:val="a3"/>
      </w:pPr>
    </w:p>
    <w:p w14:paraId="15F83085" w14:textId="77777777" w:rsidR="002653E8" w:rsidRDefault="002653E8">
      <w:pPr>
        <w:pStyle w:val="a3"/>
      </w:pPr>
    </w:p>
    <w:p w14:paraId="6D6A20ED" w14:textId="77777777" w:rsidR="002653E8" w:rsidRDefault="002653E8">
      <w:pPr>
        <w:pStyle w:val="a3"/>
      </w:pPr>
    </w:p>
    <w:p w14:paraId="1B7E104C" w14:textId="77777777" w:rsidR="002653E8" w:rsidRDefault="002653E8">
      <w:pPr>
        <w:pStyle w:val="a3"/>
      </w:pPr>
    </w:p>
    <w:p w14:paraId="4E43F22D" w14:textId="77777777" w:rsidR="002653E8" w:rsidRDefault="002653E8">
      <w:pPr>
        <w:pStyle w:val="a3"/>
      </w:pPr>
    </w:p>
    <w:p w14:paraId="1FAE7587" w14:textId="77777777" w:rsidR="002653E8" w:rsidRDefault="002653E8">
      <w:pPr>
        <w:pStyle w:val="a3"/>
      </w:pPr>
    </w:p>
    <w:p w14:paraId="02DF72F8" w14:textId="77777777" w:rsidR="002653E8" w:rsidRDefault="002653E8">
      <w:pPr>
        <w:pStyle w:val="a3"/>
      </w:pPr>
    </w:p>
    <w:p w14:paraId="514A4D0A" w14:textId="77777777" w:rsidR="002653E8" w:rsidRDefault="002653E8">
      <w:pPr>
        <w:pStyle w:val="a3"/>
      </w:pPr>
    </w:p>
    <w:p w14:paraId="2A7A5446" w14:textId="77777777" w:rsidR="002653E8" w:rsidRDefault="00000000">
      <w:pPr>
        <w:pStyle w:val="a3"/>
        <w:spacing w:before="11"/>
        <w:rPr>
          <w:sz w:val="29"/>
        </w:rPr>
      </w:pPr>
      <w:r>
        <w:rPr>
          <w:noProof w:val="0"/>
        </w:rPr>
        <w:pict w14:anchorId="31B50549">
          <v:line id="_x0000_s2215" style="position:absolute;z-index:9832;mso-wrap-distance-left:0;mso-wrap-distance-right:0;mso-position-horizontal-relative:page" from="57.4pt,19.75pt" to="129.4pt,19.75pt" strokecolor="#231f20" strokeweight=".5pt">
            <w10:wrap type="topAndBottom" anchorx="page"/>
          </v:line>
        </w:pict>
      </w:r>
    </w:p>
    <w:p w14:paraId="31FFD187" w14:textId="77777777" w:rsidR="002653E8" w:rsidRDefault="003115E3">
      <w:pPr>
        <w:spacing w:before="53" w:line="254" w:lineRule="auto"/>
        <w:ind w:left="1147" w:right="1580"/>
        <w:rPr>
          <w:i/>
          <w:sz w:val="16"/>
        </w:rPr>
      </w:pPr>
      <w:r>
        <w:rPr>
          <w:color w:val="231F20"/>
          <w:w w:val="105"/>
          <w:sz w:val="16"/>
        </w:rPr>
        <w:t xml:space="preserve">1 Berberich is purposefully using the acronym for the Nazi SS to indicate state security, or </w:t>
      </w:r>
      <w:r>
        <w:rPr>
          <w:i/>
          <w:color w:val="231F20"/>
          <w:w w:val="105"/>
          <w:sz w:val="16"/>
        </w:rPr>
        <w:t>Staatsicherheit.</w:t>
      </w:r>
    </w:p>
    <w:p w14:paraId="3E16088D" w14:textId="77777777" w:rsidR="002653E8" w:rsidRDefault="002653E8">
      <w:pPr>
        <w:spacing w:line="254" w:lineRule="auto"/>
        <w:rPr>
          <w:sz w:val="16"/>
        </w:rPr>
        <w:sectPr w:rsidR="002653E8">
          <w:pgSz w:w="8640" w:h="12960"/>
          <w:pgMar w:top="1060" w:right="0" w:bottom="1040" w:left="0" w:header="0" w:footer="850" w:gutter="0"/>
          <w:cols w:space="720"/>
        </w:sectPr>
      </w:pPr>
    </w:p>
    <w:p w14:paraId="6E52E143" w14:textId="77777777" w:rsidR="002653E8" w:rsidRDefault="003115E3">
      <w:pPr>
        <w:pStyle w:val="4"/>
        <w:ind w:left="189"/>
        <w:jc w:val="center"/>
      </w:pPr>
      <w:bookmarkStart w:id="231" w:name="Andreas_Baader:_On_the_Geneva_Convention"/>
      <w:bookmarkStart w:id="232" w:name="_bookmark69"/>
      <w:bookmarkEnd w:id="231"/>
      <w:bookmarkEnd w:id="232"/>
      <w:r>
        <w:rPr>
          <w:color w:val="231F20"/>
          <w:w w:val="105"/>
        </w:rPr>
        <w:lastRenderedPageBreak/>
        <w:t>Andreas Baader:</w:t>
      </w:r>
    </w:p>
    <w:p w14:paraId="7C98B196" w14:textId="77777777" w:rsidR="002653E8" w:rsidRDefault="003115E3">
      <w:pPr>
        <w:spacing w:before="48"/>
        <w:ind w:left="2405"/>
        <w:rPr>
          <w:rFonts w:ascii="Bookman Old Style"/>
          <w:sz w:val="30"/>
        </w:rPr>
      </w:pPr>
      <w:r>
        <w:rPr>
          <w:rFonts w:ascii="Bookman Old Style"/>
          <w:color w:val="231F20"/>
          <w:sz w:val="30"/>
        </w:rPr>
        <w:t>On the Geneva</w:t>
      </w:r>
      <w:r>
        <w:rPr>
          <w:rFonts w:ascii="Bookman Old Style"/>
          <w:color w:val="231F20"/>
          <w:spacing w:val="55"/>
          <w:sz w:val="30"/>
        </w:rPr>
        <w:t xml:space="preserve"> </w:t>
      </w:r>
      <w:r>
        <w:rPr>
          <w:rFonts w:ascii="Bookman Old Style"/>
          <w:color w:val="231F20"/>
          <w:sz w:val="30"/>
        </w:rPr>
        <w:t>Convention</w:t>
      </w:r>
    </w:p>
    <w:p w14:paraId="08E1B737" w14:textId="77777777" w:rsidR="002653E8" w:rsidRDefault="002653E8">
      <w:pPr>
        <w:pStyle w:val="a3"/>
        <w:spacing w:before="5"/>
        <w:rPr>
          <w:rFonts w:ascii="Bookman Old Style"/>
          <w:sz w:val="31"/>
        </w:rPr>
      </w:pPr>
    </w:p>
    <w:p w14:paraId="563E65DD" w14:textId="77777777" w:rsidR="002653E8" w:rsidRDefault="003115E3">
      <w:pPr>
        <w:pStyle w:val="a3"/>
        <w:spacing w:line="264" w:lineRule="auto"/>
        <w:ind w:left="1327" w:right="1146"/>
        <w:jc w:val="both"/>
      </w:pPr>
      <w:r>
        <w:rPr>
          <w:color w:val="231F20"/>
        </w:rPr>
        <w:t>The demand for the application of the Geneva Convention is a necessary vehicle for our politics, because the dead wings, isolation, and stress manipulation are being used to break the group in prison, to prepare for show trials, and to gain information, or more accurately, to gain informants. It has been clear since 72, when, for example, Schmidt said in a government statement that the goal of the countertactic is to use prisoners who have been turned to infiltrate the illegal structures.  It is clear that this is easier in prison, where state security and the state security psychiatrists have total control over our living conditions, and where electronic surveillance is easier than it is in the scene, which can respond to repression with semi-conspiratorial measures and a system of</w:t>
      </w:r>
      <w:r>
        <w:rPr>
          <w:color w:val="231F20"/>
          <w:spacing w:val="10"/>
        </w:rPr>
        <w:t xml:space="preserve"> </w:t>
      </w:r>
      <w:r>
        <w:rPr>
          <w:color w:val="231F20"/>
        </w:rPr>
        <w:t>filters,</w:t>
      </w:r>
      <w:r>
        <w:rPr>
          <w:color w:val="231F20"/>
          <w:spacing w:val="10"/>
        </w:rPr>
        <w:t xml:space="preserve"> </w:t>
      </w:r>
      <w:r>
        <w:rPr>
          <w:color w:val="231F20"/>
        </w:rPr>
        <w:t>which</w:t>
      </w:r>
      <w:r>
        <w:rPr>
          <w:color w:val="231F20"/>
          <w:spacing w:val="10"/>
        </w:rPr>
        <w:t xml:space="preserve"> </w:t>
      </w:r>
      <w:r>
        <w:rPr>
          <w:color w:val="231F20"/>
        </w:rPr>
        <w:t>set</w:t>
      </w:r>
      <w:r>
        <w:rPr>
          <w:color w:val="231F20"/>
          <w:spacing w:val="10"/>
        </w:rPr>
        <w:t xml:space="preserve"> </w:t>
      </w:r>
      <w:r>
        <w:rPr>
          <w:color w:val="231F20"/>
        </w:rPr>
        <w:t>in</w:t>
      </w:r>
      <w:r>
        <w:rPr>
          <w:color w:val="231F20"/>
          <w:spacing w:val="10"/>
        </w:rPr>
        <w:t xml:space="preserve"> </w:t>
      </w:r>
      <w:r>
        <w:rPr>
          <w:color w:val="231F20"/>
        </w:rPr>
        <w:t>motion</w:t>
      </w:r>
      <w:r>
        <w:rPr>
          <w:color w:val="231F20"/>
          <w:spacing w:val="10"/>
        </w:rPr>
        <w:t xml:space="preserve"> </w:t>
      </w:r>
      <w:r>
        <w:rPr>
          <w:color w:val="231F20"/>
        </w:rPr>
        <w:t>a</w:t>
      </w:r>
      <w:r>
        <w:rPr>
          <w:color w:val="231F20"/>
          <w:spacing w:val="10"/>
        </w:rPr>
        <w:t xml:space="preserve"> </w:t>
      </w:r>
      <w:r>
        <w:rPr>
          <w:color w:val="231F20"/>
        </w:rPr>
        <w:t>process</w:t>
      </w:r>
      <w:r>
        <w:rPr>
          <w:color w:val="231F20"/>
          <w:spacing w:val="10"/>
        </w:rPr>
        <w:t xml:space="preserve"> </w:t>
      </w:r>
      <w:r>
        <w:rPr>
          <w:color w:val="231F20"/>
        </w:rPr>
        <w:t>of</w:t>
      </w:r>
      <w:r>
        <w:rPr>
          <w:color w:val="231F20"/>
          <w:spacing w:val="10"/>
        </w:rPr>
        <w:t xml:space="preserve"> </w:t>
      </w:r>
      <w:r>
        <w:rPr>
          <w:color w:val="231F20"/>
        </w:rPr>
        <w:t>polarization.</w:t>
      </w:r>
    </w:p>
    <w:p w14:paraId="32D6A18F" w14:textId="77777777" w:rsidR="002653E8" w:rsidRDefault="003115E3">
      <w:pPr>
        <w:pStyle w:val="a3"/>
        <w:spacing w:line="221" w:lineRule="exact"/>
        <w:ind w:left="1537"/>
      </w:pPr>
      <w:r>
        <w:rPr>
          <w:color w:val="231F20"/>
        </w:rPr>
        <w:t>There is a history of illegal resistance groups and there is a history</w:t>
      </w:r>
    </w:p>
    <w:p w14:paraId="6F00AF5B" w14:textId="77777777" w:rsidR="002653E8" w:rsidRDefault="003115E3">
      <w:pPr>
        <w:pStyle w:val="a3"/>
        <w:spacing w:before="23" w:line="264" w:lineRule="auto"/>
        <w:ind w:left="1327" w:right="1146"/>
        <w:jc w:val="both"/>
      </w:pPr>
      <w:r>
        <w:rPr>
          <w:color w:val="231F20"/>
        </w:rPr>
        <w:t>of police tactics. If we don’t understand the latter, and if we don’t recognize them in the measures against us, we will be defeated by the old reality that the police apparatus has a linear learning process and the illegal groups learn by acting, learning in leaps and bounds.</w:t>
      </w:r>
    </w:p>
    <w:p w14:paraId="0854300C" w14:textId="77777777" w:rsidR="002653E8" w:rsidRDefault="003115E3">
      <w:pPr>
        <w:pStyle w:val="a3"/>
        <w:spacing w:line="264" w:lineRule="auto"/>
        <w:ind w:left="1327" w:right="1146" w:firstLine="210"/>
        <w:jc w:val="both"/>
      </w:pPr>
      <w:r>
        <w:rPr>
          <w:color w:val="231F20"/>
          <w:spacing w:val="-5"/>
        </w:rPr>
        <w:t xml:space="preserve">We </w:t>
      </w:r>
      <w:r>
        <w:rPr>
          <w:color w:val="231F20"/>
          <w:spacing w:val="-3"/>
        </w:rPr>
        <w:t xml:space="preserve">don’t  </w:t>
      </w:r>
      <w:r>
        <w:rPr>
          <w:color w:val="231F20"/>
        </w:rPr>
        <w:t xml:space="preserve">believe that this demand on the  part of the prisoners will  be achieved. </w:t>
      </w:r>
      <w:r>
        <w:rPr>
          <w:color w:val="231F20"/>
          <w:spacing w:val="-4"/>
        </w:rPr>
        <w:t xml:space="preserve">We’ve </w:t>
      </w:r>
      <w:r>
        <w:rPr>
          <w:color w:val="231F20"/>
        </w:rPr>
        <w:t>never said that we did. What will be achieved is that the</w:t>
      </w:r>
      <w:r>
        <w:rPr>
          <w:color w:val="231F20"/>
          <w:spacing w:val="-9"/>
        </w:rPr>
        <w:t xml:space="preserve"> </w:t>
      </w:r>
      <w:r>
        <w:rPr>
          <w:color w:val="231F20"/>
        </w:rPr>
        <w:t>demand</w:t>
      </w:r>
      <w:r>
        <w:rPr>
          <w:color w:val="231F20"/>
          <w:spacing w:val="-9"/>
        </w:rPr>
        <w:t xml:space="preserve"> </w:t>
      </w:r>
      <w:r>
        <w:rPr>
          <w:color w:val="231F20"/>
        </w:rPr>
        <w:t>will</w:t>
      </w:r>
      <w:r>
        <w:rPr>
          <w:color w:val="231F20"/>
          <w:spacing w:val="-9"/>
        </w:rPr>
        <w:t xml:space="preserve"> </w:t>
      </w:r>
      <w:r>
        <w:rPr>
          <w:color w:val="231F20"/>
        </w:rPr>
        <w:t>raise</w:t>
      </w:r>
      <w:r>
        <w:rPr>
          <w:color w:val="231F20"/>
          <w:spacing w:val="-9"/>
        </w:rPr>
        <w:t xml:space="preserve"> </w:t>
      </w:r>
      <w:r>
        <w:rPr>
          <w:color w:val="231F20"/>
        </w:rPr>
        <w:t>awareness</w:t>
      </w:r>
      <w:r>
        <w:rPr>
          <w:color w:val="231F20"/>
          <w:spacing w:val="-9"/>
        </w:rPr>
        <w:t xml:space="preserve"> </w:t>
      </w:r>
      <w:r>
        <w:rPr>
          <w:color w:val="231F20"/>
        </w:rPr>
        <w:t>and</w:t>
      </w:r>
      <w:r>
        <w:rPr>
          <w:color w:val="231F20"/>
          <w:spacing w:val="-9"/>
        </w:rPr>
        <w:t xml:space="preserve"> </w:t>
      </w:r>
      <w:r>
        <w:rPr>
          <w:color w:val="231F20"/>
        </w:rPr>
        <w:t>resistance</w:t>
      </w:r>
      <w:r>
        <w:rPr>
          <w:color w:val="231F20"/>
          <w:spacing w:val="-9"/>
        </w:rPr>
        <w:t xml:space="preserve"> </w:t>
      </w:r>
      <w:r>
        <w:rPr>
          <w:color w:val="231F20"/>
        </w:rPr>
        <w:t>against</w:t>
      </w:r>
      <w:r>
        <w:rPr>
          <w:color w:val="231F20"/>
          <w:spacing w:val="-9"/>
        </w:rPr>
        <w:t xml:space="preserve"> </w:t>
      </w:r>
      <w:r>
        <w:rPr>
          <w:color w:val="231F20"/>
        </w:rPr>
        <w:t>the</w:t>
      </w:r>
      <w:r>
        <w:rPr>
          <w:color w:val="231F20"/>
          <w:spacing w:val="-9"/>
        </w:rPr>
        <w:t xml:space="preserve"> </w:t>
      </w:r>
      <w:r>
        <w:rPr>
          <w:color w:val="231F20"/>
        </w:rPr>
        <w:t xml:space="preserve">international counterinsurgency line in </w:t>
      </w:r>
      <w:r>
        <w:rPr>
          <w:color w:val="231F20"/>
          <w:spacing w:val="-3"/>
        </w:rPr>
        <w:t xml:space="preserve">West </w:t>
      </w:r>
      <w:r>
        <w:rPr>
          <w:color w:val="231F20"/>
        </w:rPr>
        <w:t>Europe, which has now become government policy: the criminalization of the urban guerilla (ISC Report</w:t>
      </w:r>
      <w:r>
        <w:rPr>
          <w:color w:val="231F20"/>
          <w:position w:val="7"/>
          <w:sz w:val="11"/>
        </w:rPr>
        <w:t>2</w:t>
      </w:r>
      <w:r>
        <w:rPr>
          <w:color w:val="231F20"/>
        </w:rPr>
        <w:t xml:space="preserve">). </w:t>
      </w:r>
      <w:r>
        <w:rPr>
          <w:color w:val="231F20"/>
          <w:spacing w:val="1"/>
        </w:rPr>
        <w:t xml:space="preserve">In </w:t>
      </w:r>
      <w:r>
        <w:rPr>
          <w:color w:val="231F20"/>
        </w:rPr>
        <w:t xml:space="preserve">any event, what the guerilla is addressing here and what it is struggling for is international awareness. Everything must be concentrated on </w:t>
      </w:r>
      <w:r>
        <w:rPr>
          <w:color w:val="231F20"/>
          <w:spacing w:val="-3"/>
        </w:rPr>
        <w:t>ex</w:t>
      </w:r>
      <w:r>
        <w:rPr>
          <w:color w:val="231F20"/>
        </w:rPr>
        <w:t xml:space="preserve">posing and disrupting the American strategy in </w:t>
      </w:r>
      <w:r>
        <w:rPr>
          <w:color w:val="231F20"/>
          <w:spacing w:val="-3"/>
        </w:rPr>
        <w:t xml:space="preserve">West </w:t>
      </w:r>
      <w:r>
        <w:rPr>
          <w:color w:val="231F20"/>
        </w:rPr>
        <w:t>Europe, which is being carried through by the scripted domestic and foreign policies of the</w:t>
      </w:r>
      <w:r>
        <w:rPr>
          <w:color w:val="231F20"/>
          <w:spacing w:val="10"/>
        </w:rPr>
        <w:t xml:space="preserve"> </w:t>
      </w:r>
      <w:r>
        <w:rPr>
          <w:color w:val="231F20"/>
        </w:rPr>
        <w:t>FRG.</w:t>
      </w:r>
    </w:p>
    <w:p w14:paraId="20C3E4BF" w14:textId="77777777" w:rsidR="002653E8" w:rsidRDefault="003115E3">
      <w:pPr>
        <w:pStyle w:val="a3"/>
        <w:spacing w:line="264" w:lineRule="auto"/>
        <w:ind w:left="1328" w:right="1145" w:firstLine="210"/>
        <w:jc w:val="both"/>
      </w:pPr>
      <w:r>
        <w:rPr>
          <w:color w:val="231F20"/>
        </w:rPr>
        <w:t xml:space="preserve">None of that is </w:t>
      </w:r>
      <w:r>
        <w:rPr>
          <w:color w:val="231F20"/>
          <w:spacing w:val="-4"/>
        </w:rPr>
        <w:t xml:space="preserve">new. </w:t>
      </w:r>
      <w:r>
        <w:rPr>
          <w:color w:val="231F20"/>
        </w:rPr>
        <w:t xml:space="preserve">The weapons used against the prisoners aren’t  all bad, because the aggressive </w:t>
      </w:r>
      <w:r>
        <w:rPr>
          <w:color w:val="231F20"/>
          <w:spacing w:val="-2"/>
        </w:rPr>
        <w:t xml:space="preserve">way </w:t>
      </w:r>
      <w:r>
        <w:rPr>
          <w:color w:val="231F20"/>
        </w:rPr>
        <w:t>in which they use special laws, special courts, special handling, all the special measures in this trial to destroy us, while at the same time denying that they are doing so, will expose</w:t>
      </w:r>
      <w:r>
        <w:rPr>
          <w:color w:val="231F20"/>
          <w:spacing w:val="10"/>
        </w:rPr>
        <w:t xml:space="preserve"> </w:t>
      </w:r>
      <w:r>
        <w:rPr>
          <w:color w:val="231F20"/>
        </w:rPr>
        <w:t>the</w:t>
      </w:r>
      <w:r>
        <w:rPr>
          <w:color w:val="231F20"/>
          <w:spacing w:val="10"/>
        </w:rPr>
        <w:t xml:space="preserve"> </w:t>
      </w:r>
      <w:r>
        <w:rPr>
          <w:color w:val="231F20"/>
        </w:rPr>
        <w:t>system</w:t>
      </w:r>
      <w:r>
        <w:rPr>
          <w:color w:val="231F20"/>
          <w:spacing w:val="10"/>
        </w:rPr>
        <w:t xml:space="preserve"> </w:t>
      </w:r>
      <w:r>
        <w:rPr>
          <w:color w:val="231F20"/>
        </w:rPr>
        <w:t>internationally</w:t>
      </w:r>
      <w:r>
        <w:rPr>
          <w:color w:val="231F20"/>
          <w:spacing w:val="10"/>
        </w:rPr>
        <w:t xml:space="preserve"> </w:t>
      </w:r>
      <w:r>
        <w:rPr>
          <w:color w:val="231F20"/>
        </w:rPr>
        <w:t>and</w:t>
      </w:r>
      <w:r>
        <w:rPr>
          <w:color w:val="231F20"/>
          <w:spacing w:val="10"/>
        </w:rPr>
        <w:t xml:space="preserve"> </w:t>
      </w:r>
      <w:r>
        <w:rPr>
          <w:color w:val="231F20"/>
        </w:rPr>
        <w:t>will</w:t>
      </w:r>
      <w:r>
        <w:rPr>
          <w:color w:val="231F20"/>
          <w:spacing w:val="10"/>
        </w:rPr>
        <w:t xml:space="preserve"> </w:t>
      </w:r>
      <w:r>
        <w:rPr>
          <w:color w:val="231F20"/>
        </w:rPr>
        <w:t>isolate</w:t>
      </w:r>
      <w:r>
        <w:rPr>
          <w:color w:val="231F20"/>
          <w:spacing w:val="10"/>
        </w:rPr>
        <w:t xml:space="preserve"> </w:t>
      </w:r>
      <w:r>
        <w:rPr>
          <w:color w:val="231F20"/>
        </w:rPr>
        <w:t>it.</w:t>
      </w:r>
    </w:p>
    <w:p w14:paraId="162B498F" w14:textId="77777777" w:rsidR="002653E8" w:rsidRDefault="00000000">
      <w:pPr>
        <w:pStyle w:val="a3"/>
        <w:spacing w:before="8"/>
        <w:rPr>
          <w:sz w:val="18"/>
        </w:rPr>
      </w:pPr>
      <w:r>
        <w:rPr>
          <w:noProof w:val="0"/>
        </w:rPr>
        <w:pict w14:anchorId="0898814A">
          <v:line id="_x0000_s2214" style="position:absolute;z-index:9856;mso-wrap-distance-left:0;mso-wrap-distance-right:0;mso-position-horizontal-relative:page" from="66.4pt,13.2pt" to="138.4pt,13.2pt" strokecolor="#231f20" strokeweight=".5pt">
            <w10:wrap type="topAndBottom" anchorx="page"/>
          </v:line>
        </w:pict>
      </w:r>
    </w:p>
    <w:p w14:paraId="15B1A215" w14:textId="77777777" w:rsidR="002653E8" w:rsidRDefault="003115E3">
      <w:pPr>
        <w:spacing w:before="53" w:line="254" w:lineRule="auto"/>
        <w:ind w:left="1327" w:right="1479"/>
        <w:rPr>
          <w:sz w:val="16"/>
        </w:rPr>
      </w:pPr>
      <w:r>
        <w:rPr>
          <w:color w:val="231F20"/>
          <w:w w:val="105"/>
          <w:sz w:val="16"/>
        </w:rPr>
        <w:t>2 Institute for the Study of Conflict, an “antiterrorist” thinktank based in London, England.</w:t>
      </w:r>
    </w:p>
    <w:p w14:paraId="5AA3BCC5" w14:textId="77777777" w:rsidR="002653E8" w:rsidRDefault="002653E8">
      <w:pPr>
        <w:spacing w:line="254" w:lineRule="auto"/>
        <w:rPr>
          <w:sz w:val="16"/>
        </w:rPr>
        <w:sectPr w:rsidR="002653E8">
          <w:footerReference w:type="even" r:id="rId394"/>
          <w:footerReference w:type="default" r:id="rId395"/>
          <w:pgSz w:w="8640" w:h="12960"/>
          <w:pgMar w:top="1220" w:right="0" w:bottom="1040" w:left="0" w:header="0" w:footer="850" w:gutter="0"/>
          <w:cols w:space="720"/>
        </w:sectPr>
      </w:pPr>
    </w:p>
    <w:p w14:paraId="568DB3CC" w14:textId="77777777" w:rsidR="002653E8" w:rsidRDefault="003115E3">
      <w:pPr>
        <w:pStyle w:val="a3"/>
        <w:spacing w:before="86" w:line="264" w:lineRule="auto"/>
        <w:ind w:left="1147" w:right="1326" w:firstLine="210"/>
        <w:jc w:val="both"/>
      </w:pPr>
      <w:r>
        <w:rPr>
          <w:color w:val="231F20"/>
        </w:rPr>
        <w:lastRenderedPageBreak/>
        <w:t xml:space="preserve">By publicizing these measures, which are forbidden by the Geneva Convention (because it is a set of rules for emergency situations that establishes how human rights should be understood in intra-state conflicts, which the discourse no longer addresses) people will be mobilized and radicalized around the critical issue: that the state is at war (which Maihofer made very clear in Karlsruhe) and, therefore, is in a dialec   tic that—because war frames the question of legitimacy along  mili </w:t>
      </w:r>
      <w:r>
        <w:rPr>
          <w:color w:val="231F20"/>
          <w:spacing w:val="1"/>
        </w:rPr>
        <w:t xml:space="preserve">tary </w:t>
      </w:r>
      <w:r>
        <w:rPr>
          <w:color w:val="231F20"/>
        </w:rPr>
        <w:t>lines—destroys the ideological justification of the constitutional state</w:t>
      </w:r>
      <w:r>
        <w:rPr>
          <w:color w:val="231F20"/>
          <w:spacing w:val="10"/>
        </w:rPr>
        <w:t xml:space="preserve"> </w:t>
      </w:r>
      <w:r>
        <w:rPr>
          <w:color w:val="231F20"/>
        </w:rPr>
        <w:t>itself.</w:t>
      </w:r>
    </w:p>
    <w:p w14:paraId="153777F9" w14:textId="77777777" w:rsidR="002653E8" w:rsidRDefault="003115E3">
      <w:pPr>
        <w:pStyle w:val="a3"/>
        <w:spacing w:line="264" w:lineRule="auto"/>
        <w:ind w:left="1147" w:right="1326" w:firstLine="210"/>
        <w:jc w:val="both"/>
      </w:pPr>
      <w:r>
        <w:rPr>
          <w:color w:val="231F20"/>
        </w:rPr>
        <w:t>All of this is about this process and not just a tattered piece of paper. Through it runs the horizontal and vertical learning and polarization process, which is necessary for the struggle to develop. It is the terrain on which we can very concretely organize our logistics, our information, and the defense of our underground members and the prisoners.</w:t>
      </w:r>
    </w:p>
    <w:p w14:paraId="0C023D4A" w14:textId="77777777" w:rsidR="002653E8" w:rsidRDefault="003115E3">
      <w:pPr>
        <w:pStyle w:val="a3"/>
        <w:spacing w:line="264" w:lineRule="auto"/>
        <w:ind w:left="1147" w:right="1326" w:firstLine="209"/>
        <w:jc w:val="both"/>
      </w:pPr>
      <w:r>
        <w:rPr>
          <w:color w:val="231F20"/>
          <w:spacing w:val="-3"/>
        </w:rPr>
        <w:t xml:space="preserve">POW </w:t>
      </w:r>
      <w:r>
        <w:rPr>
          <w:color w:val="231F20"/>
        </w:rPr>
        <w:t>status on its own will never be enough to protect against the coercive psychological and spiritual destruction of the “irregulars”— and if it is ever forced through, it will not be because the prisoners can force</w:t>
      </w:r>
      <w:r>
        <w:rPr>
          <w:color w:val="231F20"/>
          <w:spacing w:val="-4"/>
        </w:rPr>
        <w:t xml:space="preserve"> </w:t>
      </w:r>
      <w:r>
        <w:rPr>
          <w:color w:val="231F20"/>
        </w:rPr>
        <w:t>the</w:t>
      </w:r>
      <w:r>
        <w:rPr>
          <w:color w:val="231F20"/>
          <w:spacing w:val="-4"/>
        </w:rPr>
        <w:t xml:space="preserve"> </w:t>
      </w:r>
      <w:r>
        <w:rPr>
          <w:color w:val="231F20"/>
        </w:rPr>
        <w:t>state</w:t>
      </w:r>
      <w:r>
        <w:rPr>
          <w:color w:val="231F20"/>
          <w:spacing w:val="-4"/>
        </w:rPr>
        <w:t xml:space="preserve"> </w:t>
      </w:r>
      <w:r>
        <w:rPr>
          <w:color w:val="231F20"/>
        </w:rPr>
        <w:t>to</w:t>
      </w:r>
      <w:r>
        <w:rPr>
          <w:color w:val="231F20"/>
          <w:spacing w:val="-4"/>
        </w:rPr>
        <w:t xml:space="preserve"> </w:t>
      </w:r>
      <w:r>
        <w:rPr>
          <w:color w:val="231F20"/>
        </w:rPr>
        <w:t>exercise</w:t>
      </w:r>
      <w:r>
        <w:rPr>
          <w:color w:val="231F20"/>
          <w:spacing w:val="-4"/>
        </w:rPr>
        <w:t xml:space="preserve"> </w:t>
      </w:r>
      <w:r>
        <w:rPr>
          <w:color w:val="231F20"/>
        </w:rPr>
        <w:t>its</w:t>
      </w:r>
      <w:r>
        <w:rPr>
          <w:color w:val="231F20"/>
          <w:spacing w:val="-4"/>
        </w:rPr>
        <w:t xml:space="preserve"> </w:t>
      </w:r>
      <w:r>
        <w:rPr>
          <w:color w:val="231F20"/>
        </w:rPr>
        <w:t>monopoly</w:t>
      </w:r>
      <w:r>
        <w:rPr>
          <w:color w:val="231F20"/>
          <w:spacing w:val="-4"/>
        </w:rPr>
        <w:t xml:space="preserve"> </w:t>
      </w:r>
      <w:r>
        <w:rPr>
          <w:color w:val="231F20"/>
        </w:rPr>
        <w:t>of</w:t>
      </w:r>
      <w:r>
        <w:rPr>
          <w:color w:val="231F20"/>
          <w:spacing w:val="-4"/>
        </w:rPr>
        <w:t xml:space="preserve"> </w:t>
      </w:r>
      <w:r>
        <w:rPr>
          <w:color w:val="231F20"/>
        </w:rPr>
        <w:t>violence</w:t>
      </w:r>
      <w:r>
        <w:rPr>
          <w:color w:val="231F20"/>
          <w:spacing w:val="-4"/>
        </w:rPr>
        <w:t xml:space="preserve"> </w:t>
      </w:r>
      <w:r>
        <w:rPr>
          <w:color w:val="231F20"/>
        </w:rPr>
        <w:t>according</w:t>
      </w:r>
      <w:r>
        <w:rPr>
          <w:color w:val="231F20"/>
          <w:spacing w:val="-4"/>
        </w:rPr>
        <w:t xml:space="preserve"> </w:t>
      </w:r>
      <w:r>
        <w:rPr>
          <w:color w:val="231F20"/>
        </w:rPr>
        <w:t>to</w:t>
      </w:r>
      <w:r>
        <w:rPr>
          <w:color w:val="231F20"/>
          <w:spacing w:val="-4"/>
        </w:rPr>
        <w:t xml:space="preserve"> </w:t>
      </w:r>
      <w:r>
        <w:rPr>
          <w:color w:val="231F20"/>
        </w:rPr>
        <w:t>the</w:t>
      </w:r>
      <w:r>
        <w:rPr>
          <w:color w:val="231F20"/>
          <w:spacing w:val="-4"/>
        </w:rPr>
        <w:t xml:space="preserve"> </w:t>
      </w:r>
      <w:r>
        <w:rPr>
          <w:color w:val="231F20"/>
        </w:rPr>
        <w:t>legal rules of civil war, but as a result of the international character and concrete</w:t>
      </w:r>
      <w:r>
        <w:rPr>
          <w:color w:val="231F20"/>
          <w:spacing w:val="6"/>
        </w:rPr>
        <w:t xml:space="preserve"> </w:t>
      </w:r>
      <w:r>
        <w:rPr>
          <w:color w:val="231F20"/>
        </w:rPr>
        <w:t>reality</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liberation</w:t>
      </w:r>
      <w:r>
        <w:rPr>
          <w:color w:val="231F20"/>
          <w:spacing w:val="6"/>
        </w:rPr>
        <w:t xml:space="preserve"> </w:t>
      </w:r>
      <w:r>
        <w:rPr>
          <w:color w:val="231F20"/>
        </w:rPr>
        <w:t>wars,</w:t>
      </w:r>
      <w:r>
        <w:rPr>
          <w:color w:val="231F20"/>
          <w:spacing w:val="6"/>
        </w:rPr>
        <w:t xml:space="preserve"> </w:t>
      </w:r>
      <w:r>
        <w:rPr>
          <w:color w:val="231F20"/>
        </w:rPr>
        <w:t>which</w:t>
      </w:r>
      <w:r>
        <w:rPr>
          <w:color w:val="231F20"/>
          <w:spacing w:val="6"/>
        </w:rPr>
        <w:t xml:space="preserve"> </w:t>
      </w:r>
      <w:r>
        <w:rPr>
          <w:color w:val="231F20"/>
        </w:rPr>
        <w:t>also</w:t>
      </w:r>
      <w:r>
        <w:rPr>
          <w:color w:val="231F20"/>
          <w:spacing w:val="6"/>
        </w:rPr>
        <w:t xml:space="preserve"> </w:t>
      </w:r>
      <w:r>
        <w:rPr>
          <w:color w:val="231F20"/>
        </w:rPr>
        <w:t>address</w:t>
      </w:r>
      <w:r>
        <w:rPr>
          <w:color w:val="231F20"/>
          <w:spacing w:val="6"/>
        </w:rPr>
        <w:t xml:space="preserve"> </w:t>
      </w:r>
      <w:r>
        <w:rPr>
          <w:color w:val="231F20"/>
        </w:rPr>
        <w:t>these</w:t>
      </w:r>
      <w:r>
        <w:rPr>
          <w:color w:val="231F20"/>
          <w:spacing w:val="6"/>
        </w:rPr>
        <w:t xml:space="preserve"> </w:t>
      </w:r>
      <w:r>
        <w:rPr>
          <w:color w:val="231F20"/>
        </w:rPr>
        <w:t>demands.</w:t>
      </w:r>
    </w:p>
    <w:p w14:paraId="4CF5EB57" w14:textId="77777777" w:rsidR="002653E8" w:rsidRDefault="003115E3">
      <w:pPr>
        <w:pStyle w:val="a3"/>
        <w:spacing w:before="106" w:line="261" w:lineRule="auto"/>
        <w:ind w:left="6159" w:right="1326" w:hanging="277"/>
        <w:jc w:val="right"/>
      </w:pPr>
      <w:r>
        <w:rPr>
          <w:color w:val="231F20"/>
        </w:rPr>
        <w:t>Andreas Baader</w:t>
      </w:r>
      <w:r>
        <w:rPr>
          <w:color w:val="231F20"/>
          <w:w w:val="92"/>
        </w:rPr>
        <w:t xml:space="preserve"> </w:t>
      </w:r>
      <w:r>
        <w:rPr>
          <w:color w:val="231F20"/>
          <w:w w:val="105"/>
        </w:rPr>
        <w:t>June 2, 1977</w:t>
      </w:r>
    </w:p>
    <w:p w14:paraId="11524FEF" w14:textId="77777777" w:rsidR="002653E8" w:rsidRDefault="002653E8">
      <w:pPr>
        <w:spacing w:line="261" w:lineRule="auto"/>
        <w:jc w:val="right"/>
        <w:sectPr w:rsidR="002653E8">
          <w:pgSz w:w="8640" w:h="12960"/>
          <w:pgMar w:top="1060" w:right="0" w:bottom="1040" w:left="0" w:header="0" w:footer="850" w:gutter="0"/>
          <w:cols w:space="720"/>
        </w:sectPr>
      </w:pPr>
    </w:p>
    <w:p w14:paraId="1DD149CF" w14:textId="77777777" w:rsidR="002653E8" w:rsidRDefault="002653E8">
      <w:pPr>
        <w:pStyle w:val="a3"/>
      </w:pPr>
    </w:p>
    <w:p w14:paraId="010956B5" w14:textId="77777777" w:rsidR="002653E8" w:rsidRDefault="002653E8">
      <w:pPr>
        <w:pStyle w:val="a3"/>
      </w:pPr>
    </w:p>
    <w:p w14:paraId="5E4FFC53" w14:textId="77777777" w:rsidR="002653E8" w:rsidRDefault="002653E8">
      <w:pPr>
        <w:pStyle w:val="a3"/>
      </w:pPr>
    </w:p>
    <w:p w14:paraId="3D8FDA30" w14:textId="77777777" w:rsidR="002653E8" w:rsidRDefault="002653E8">
      <w:pPr>
        <w:pStyle w:val="a3"/>
      </w:pPr>
    </w:p>
    <w:p w14:paraId="52B2472B" w14:textId="77777777" w:rsidR="002653E8" w:rsidRDefault="002653E8">
      <w:pPr>
        <w:pStyle w:val="a3"/>
        <w:spacing w:before="2"/>
        <w:rPr>
          <w:sz w:val="29"/>
        </w:rPr>
      </w:pPr>
    </w:p>
    <w:p w14:paraId="1C610D65" w14:textId="77777777" w:rsidR="002653E8" w:rsidRDefault="003115E3">
      <w:pPr>
        <w:pStyle w:val="4"/>
        <w:tabs>
          <w:tab w:val="left" w:pos="6966"/>
          <w:tab w:val="left" w:pos="7491"/>
        </w:tabs>
        <w:spacing w:before="86"/>
        <w:rPr>
          <w:rFonts w:ascii="Lucida Sans"/>
          <w:b/>
        </w:rPr>
      </w:pPr>
      <w:bookmarkStart w:id="233" w:name="13_Daring_to_Struggle,_Failing_to_Win_"/>
      <w:bookmarkStart w:id="234" w:name="_bookmark70"/>
      <w:bookmarkEnd w:id="233"/>
      <w:bookmarkEnd w:id="234"/>
      <w:r>
        <w:rPr>
          <w:rFonts w:ascii="Lucida Sans"/>
          <w:b/>
          <w:color w:val="FFFFFF"/>
          <w:w w:val="87"/>
          <w:shd w:val="clear" w:color="auto" w:fill="231F20"/>
        </w:rPr>
        <w:t xml:space="preserve"> </w:t>
      </w:r>
      <w:r>
        <w:rPr>
          <w:rFonts w:ascii="Lucida Sans"/>
          <w:b/>
          <w:color w:val="FFFFFF"/>
          <w:shd w:val="clear" w:color="auto" w:fill="231F20"/>
        </w:rPr>
        <w:tab/>
      </w:r>
      <w:r>
        <w:rPr>
          <w:rFonts w:ascii="Lucida Sans"/>
          <w:b/>
          <w:color w:val="FFFFFF"/>
          <w:spacing w:val="-11"/>
          <w:w w:val="95"/>
          <w:shd w:val="clear" w:color="auto" w:fill="231F20"/>
        </w:rPr>
        <w:t>13</w:t>
      </w:r>
      <w:r>
        <w:rPr>
          <w:rFonts w:ascii="Lucida Sans"/>
          <w:b/>
          <w:color w:val="FFFFFF"/>
          <w:spacing w:val="-11"/>
          <w:shd w:val="clear" w:color="auto" w:fill="231F20"/>
        </w:rPr>
        <w:tab/>
      </w:r>
    </w:p>
    <w:p w14:paraId="524BAE30" w14:textId="77777777" w:rsidR="002653E8" w:rsidRDefault="002653E8">
      <w:pPr>
        <w:pStyle w:val="a3"/>
        <w:rPr>
          <w:rFonts w:ascii="Lucida Sans"/>
          <w:b/>
          <w:sz w:val="36"/>
        </w:rPr>
      </w:pPr>
    </w:p>
    <w:p w14:paraId="3C6640C1" w14:textId="77777777" w:rsidR="002653E8" w:rsidRDefault="002653E8">
      <w:pPr>
        <w:pStyle w:val="a3"/>
        <w:spacing w:before="1"/>
        <w:rPr>
          <w:rFonts w:ascii="Lucida Sans"/>
          <w:b/>
          <w:sz w:val="38"/>
        </w:rPr>
      </w:pPr>
    </w:p>
    <w:p w14:paraId="39CEF35F" w14:textId="77777777" w:rsidR="002653E8" w:rsidRDefault="003115E3">
      <w:pPr>
        <w:spacing w:line="244" w:lineRule="auto"/>
        <w:ind w:left="5239" w:hanging="881"/>
        <w:rPr>
          <w:rFonts w:ascii="Lucida Sans"/>
          <w:b/>
          <w:sz w:val="36"/>
        </w:rPr>
      </w:pPr>
      <w:r>
        <w:rPr>
          <w:rFonts w:ascii="Lucida Sans"/>
          <w:b/>
          <w:color w:val="231F20"/>
          <w:w w:val="90"/>
          <w:sz w:val="36"/>
        </w:rPr>
        <w:t xml:space="preserve">Daring to struggle, </w:t>
      </w:r>
      <w:r>
        <w:rPr>
          <w:rFonts w:ascii="Lucida Sans"/>
          <w:b/>
          <w:color w:val="231F20"/>
          <w:w w:val="95"/>
          <w:sz w:val="36"/>
        </w:rPr>
        <w:t>Failing</w:t>
      </w:r>
      <w:r>
        <w:rPr>
          <w:rFonts w:ascii="Lucida Sans"/>
          <w:b/>
          <w:color w:val="231F20"/>
          <w:spacing w:val="-75"/>
          <w:w w:val="95"/>
          <w:sz w:val="36"/>
        </w:rPr>
        <w:t xml:space="preserve"> </w:t>
      </w:r>
      <w:r>
        <w:rPr>
          <w:rFonts w:ascii="Lucida Sans"/>
          <w:b/>
          <w:color w:val="231F20"/>
          <w:w w:val="95"/>
          <w:sz w:val="36"/>
        </w:rPr>
        <w:t>to</w:t>
      </w:r>
      <w:r>
        <w:rPr>
          <w:rFonts w:ascii="Lucida Sans"/>
          <w:b/>
          <w:color w:val="231F20"/>
          <w:spacing w:val="-75"/>
          <w:w w:val="95"/>
          <w:sz w:val="36"/>
        </w:rPr>
        <w:t xml:space="preserve"> </w:t>
      </w:r>
      <w:r>
        <w:rPr>
          <w:rFonts w:ascii="Lucida Sans"/>
          <w:b/>
          <w:color w:val="231F20"/>
          <w:w w:val="95"/>
          <w:sz w:val="36"/>
        </w:rPr>
        <w:t>Win</w:t>
      </w:r>
    </w:p>
    <w:p w14:paraId="535B5362" w14:textId="77777777" w:rsidR="002653E8" w:rsidRDefault="002653E8">
      <w:pPr>
        <w:pStyle w:val="a3"/>
        <w:rPr>
          <w:rFonts w:ascii="Lucida Sans"/>
          <w:b/>
          <w:sz w:val="42"/>
        </w:rPr>
      </w:pPr>
    </w:p>
    <w:p w14:paraId="719AC891" w14:textId="77777777" w:rsidR="002653E8" w:rsidRDefault="003115E3">
      <w:pPr>
        <w:pStyle w:val="a3"/>
        <w:spacing w:before="315" w:line="235" w:lineRule="auto"/>
        <w:ind w:left="1327" w:right="1146"/>
        <w:jc w:val="both"/>
      </w:pPr>
      <w:r>
        <w:rPr>
          <w:rFonts w:ascii="Verdana" w:hAnsi="Verdana"/>
          <w:color w:val="231F20"/>
          <w:spacing w:val="-13"/>
          <w:w w:val="99"/>
          <w:sz w:val="48"/>
        </w:rPr>
        <w:t>N</w:t>
      </w:r>
      <w:r>
        <w:rPr>
          <w:color w:val="231F20"/>
          <w:spacing w:val="5"/>
          <w:w w:val="119"/>
        </w:rPr>
        <w:t>i</w:t>
      </w:r>
      <w:r>
        <w:rPr>
          <w:color w:val="231F20"/>
          <w:spacing w:val="5"/>
          <w:w w:val="109"/>
        </w:rPr>
        <w:t>n</w:t>
      </w:r>
      <w:r>
        <w:rPr>
          <w:color w:val="231F20"/>
          <w:spacing w:val="3"/>
          <w:w w:val="102"/>
        </w:rPr>
        <w:t>e</w:t>
      </w:r>
      <w:r>
        <w:rPr>
          <w:color w:val="231F20"/>
          <w:spacing w:val="6"/>
          <w:w w:val="147"/>
        </w:rPr>
        <w:t>t</w:t>
      </w:r>
      <w:r>
        <w:rPr>
          <w:color w:val="231F20"/>
          <w:spacing w:val="5"/>
          <w:w w:val="102"/>
        </w:rPr>
        <w:t>ee</w:t>
      </w:r>
      <w:r>
        <w:rPr>
          <w:color w:val="231F20"/>
          <w:w w:val="109"/>
        </w:rPr>
        <w:t>n</w:t>
      </w:r>
      <w:r>
        <w:rPr>
          <w:color w:val="231F20"/>
          <w:spacing w:val="-2"/>
        </w:rPr>
        <w:t xml:space="preserve"> </w:t>
      </w:r>
      <w:r>
        <w:rPr>
          <w:color w:val="231F20"/>
          <w:spacing w:val="-1"/>
          <w:w w:val="103"/>
        </w:rPr>
        <w:t>s</w:t>
      </w:r>
      <w:r>
        <w:rPr>
          <w:color w:val="231F20"/>
          <w:spacing w:val="2"/>
          <w:w w:val="102"/>
        </w:rPr>
        <w:t>e</w:t>
      </w:r>
      <w:r>
        <w:rPr>
          <w:color w:val="231F20"/>
          <w:spacing w:val="7"/>
          <w:w w:val="110"/>
        </w:rPr>
        <w:t>v</w:t>
      </w:r>
      <w:r>
        <w:rPr>
          <w:color w:val="231F20"/>
          <w:spacing w:val="5"/>
          <w:w w:val="102"/>
        </w:rPr>
        <w:t>e</w:t>
      </w:r>
      <w:r>
        <w:rPr>
          <w:color w:val="231F20"/>
          <w:spacing w:val="7"/>
          <w:w w:val="109"/>
        </w:rPr>
        <w:t>n</w:t>
      </w:r>
      <w:r>
        <w:rPr>
          <w:color w:val="231F20"/>
          <w:spacing w:val="10"/>
          <w:w w:val="147"/>
        </w:rPr>
        <w:t>t</w:t>
      </w:r>
      <w:r>
        <w:rPr>
          <w:color w:val="231F20"/>
          <w:w w:val="110"/>
        </w:rPr>
        <w:t>y</w:t>
      </w:r>
      <w:r>
        <w:rPr>
          <w:color w:val="231F20"/>
          <w:spacing w:val="-2"/>
        </w:rPr>
        <w:t xml:space="preserve"> </w:t>
      </w:r>
      <w:r>
        <w:rPr>
          <w:color w:val="231F20"/>
          <w:spacing w:val="-1"/>
          <w:w w:val="103"/>
        </w:rPr>
        <w:t>s</w:t>
      </w:r>
      <w:r>
        <w:rPr>
          <w:color w:val="231F20"/>
          <w:spacing w:val="2"/>
          <w:w w:val="102"/>
        </w:rPr>
        <w:t>e</w:t>
      </w:r>
      <w:r>
        <w:rPr>
          <w:color w:val="231F20"/>
          <w:spacing w:val="7"/>
          <w:w w:val="110"/>
        </w:rPr>
        <w:t>v</w:t>
      </w:r>
      <w:r>
        <w:rPr>
          <w:color w:val="231F20"/>
          <w:spacing w:val="5"/>
          <w:w w:val="102"/>
        </w:rPr>
        <w:t>e</w:t>
      </w:r>
      <w:r>
        <w:rPr>
          <w:color w:val="231F20"/>
          <w:w w:val="109"/>
        </w:rPr>
        <w:t>n</w:t>
      </w:r>
      <w:r>
        <w:rPr>
          <w:color w:val="231F20"/>
          <w:spacing w:val="-2"/>
        </w:rPr>
        <w:t xml:space="preserve"> </w:t>
      </w:r>
      <w:r>
        <w:rPr>
          <w:color w:val="231F20"/>
          <w:w w:val="119"/>
        </w:rPr>
        <w:t>i</w:t>
      </w:r>
      <w:r>
        <w:rPr>
          <w:color w:val="231F20"/>
          <w:w w:val="103"/>
        </w:rPr>
        <w:t>s</w:t>
      </w:r>
      <w:r>
        <w:rPr>
          <w:color w:val="231F20"/>
          <w:spacing w:val="-2"/>
        </w:rPr>
        <w:t xml:space="preserve"> </w:t>
      </w:r>
      <w:r>
        <w:rPr>
          <w:color w:val="231F20"/>
          <w:spacing w:val="-3"/>
          <w:w w:val="125"/>
        </w:rPr>
        <w:t>o</w:t>
      </w:r>
      <w:r>
        <w:rPr>
          <w:color w:val="231F20"/>
          <w:spacing w:val="6"/>
          <w:w w:val="165"/>
        </w:rPr>
        <w:t>f</w:t>
      </w:r>
      <w:r>
        <w:rPr>
          <w:color w:val="231F20"/>
          <w:spacing w:val="6"/>
          <w:w w:val="147"/>
        </w:rPr>
        <w:t>t</w:t>
      </w:r>
      <w:r>
        <w:rPr>
          <w:color w:val="231F20"/>
          <w:spacing w:val="5"/>
          <w:w w:val="102"/>
        </w:rPr>
        <w:t>e</w:t>
      </w:r>
      <w:r>
        <w:rPr>
          <w:color w:val="231F20"/>
          <w:w w:val="109"/>
        </w:rPr>
        <w:t>n</w:t>
      </w:r>
      <w:r>
        <w:rPr>
          <w:color w:val="231F20"/>
          <w:spacing w:val="-1"/>
        </w:rPr>
        <w:t xml:space="preserve"> </w:t>
      </w:r>
      <w:r>
        <w:rPr>
          <w:color w:val="231F20"/>
        </w:rPr>
        <w:t>d</w:t>
      </w:r>
      <w:r>
        <w:rPr>
          <w:color w:val="231F20"/>
          <w:spacing w:val="1"/>
          <w:w w:val="91"/>
        </w:rPr>
        <w:t>e</w:t>
      </w:r>
      <w:r>
        <w:rPr>
          <w:color w:val="231F20"/>
          <w:spacing w:val="1"/>
          <w:w w:val="90"/>
        </w:rPr>
        <w:t>s</w:t>
      </w:r>
      <w:r>
        <w:rPr>
          <w:color w:val="231F20"/>
        </w:rPr>
        <w:t>c</w:t>
      </w:r>
      <w:r>
        <w:rPr>
          <w:color w:val="231F20"/>
          <w:spacing w:val="1"/>
          <w:w w:val="94"/>
        </w:rPr>
        <w:t>r</w:t>
      </w:r>
      <w:r>
        <w:rPr>
          <w:color w:val="231F20"/>
          <w:spacing w:val="-2"/>
        </w:rPr>
        <w:t>i</w:t>
      </w:r>
      <w:r>
        <w:rPr>
          <w:color w:val="231F20"/>
          <w:spacing w:val="1"/>
          <w:w w:val="101"/>
        </w:rPr>
        <w:t>b</w:t>
      </w:r>
      <w:r>
        <w:rPr>
          <w:color w:val="231F20"/>
          <w:w w:val="91"/>
        </w:rPr>
        <w:t>e</w:t>
      </w:r>
      <w:r>
        <w:rPr>
          <w:color w:val="231F20"/>
        </w:rPr>
        <w:t>d</w:t>
      </w:r>
      <w:r>
        <w:rPr>
          <w:color w:val="231F20"/>
          <w:spacing w:val="-2"/>
        </w:rPr>
        <w:t xml:space="preserve"> </w:t>
      </w:r>
      <w:r>
        <w:rPr>
          <w:color w:val="231F20"/>
          <w:w w:val="102"/>
        </w:rPr>
        <w:t>a</w:t>
      </w:r>
      <w:r>
        <w:rPr>
          <w:color w:val="231F20"/>
          <w:w w:val="90"/>
        </w:rPr>
        <w:t>s</w:t>
      </w:r>
      <w:r>
        <w:rPr>
          <w:color w:val="231F20"/>
          <w:spacing w:val="-2"/>
        </w:rPr>
        <w:t xml:space="preserve"> </w:t>
      </w:r>
      <w:r>
        <w:rPr>
          <w:color w:val="231F20"/>
          <w:spacing w:val="2"/>
          <w:w w:val="98"/>
        </w:rPr>
        <w:t>t</w:t>
      </w:r>
      <w:r>
        <w:rPr>
          <w:color w:val="231F20"/>
          <w:spacing w:val="-1"/>
        </w:rPr>
        <w:t>h</w:t>
      </w:r>
      <w:r>
        <w:rPr>
          <w:color w:val="231F20"/>
          <w:w w:val="91"/>
        </w:rPr>
        <w:t>e</w:t>
      </w:r>
      <w:r>
        <w:rPr>
          <w:color w:val="231F20"/>
          <w:spacing w:val="-2"/>
        </w:rPr>
        <w:t xml:space="preserve"> </w:t>
      </w:r>
      <w:r>
        <w:rPr>
          <w:color w:val="231F20"/>
          <w:spacing w:val="-1"/>
        </w:rPr>
        <w:t>m</w:t>
      </w:r>
      <w:r>
        <w:rPr>
          <w:color w:val="231F20"/>
          <w:spacing w:val="-1"/>
          <w:w w:val="104"/>
        </w:rPr>
        <w:t>o</w:t>
      </w:r>
      <w:r>
        <w:rPr>
          <w:color w:val="231F20"/>
          <w:w w:val="99"/>
        </w:rPr>
        <w:t>m</w:t>
      </w:r>
      <w:r>
        <w:rPr>
          <w:color w:val="231F20"/>
          <w:w w:val="91"/>
        </w:rPr>
        <w:t>e</w:t>
      </w:r>
      <w:r>
        <w:rPr>
          <w:color w:val="231F20"/>
          <w:spacing w:val="-2"/>
          <w:w w:val="99"/>
        </w:rPr>
        <w:t>n</w:t>
      </w:r>
      <w:r>
        <w:rPr>
          <w:color w:val="231F20"/>
          <w:w w:val="98"/>
        </w:rPr>
        <w:t>t</w:t>
      </w:r>
      <w:r>
        <w:rPr>
          <w:color w:val="231F20"/>
          <w:spacing w:val="-2"/>
        </w:rPr>
        <w:t xml:space="preserve"> </w:t>
      </w:r>
      <w:r>
        <w:rPr>
          <w:color w:val="231F20"/>
          <w:spacing w:val="-2"/>
          <w:w w:val="104"/>
        </w:rPr>
        <w:t>o</w:t>
      </w:r>
      <w:r>
        <w:rPr>
          <w:color w:val="231F20"/>
          <w:w w:val="109"/>
        </w:rPr>
        <w:t>f</w:t>
      </w:r>
      <w:r>
        <w:rPr>
          <w:color w:val="231F20"/>
          <w:spacing w:val="-2"/>
        </w:rPr>
        <w:t xml:space="preserve"> </w:t>
      </w:r>
      <w:r>
        <w:rPr>
          <w:color w:val="231F20"/>
          <w:spacing w:val="3"/>
          <w:w w:val="98"/>
        </w:rPr>
        <w:t>t</w:t>
      </w:r>
      <w:r>
        <w:rPr>
          <w:color w:val="231F20"/>
          <w:spacing w:val="3"/>
          <w:w w:val="94"/>
        </w:rPr>
        <w:t>r</w:t>
      </w:r>
      <w:r>
        <w:rPr>
          <w:color w:val="231F20"/>
          <w:spacing w:val="-2"/>
        </w:rPr>
        <w:t>u</w:t>
      </w:r>
      <w:r>
        <w:rPr>
          <w:color w:val="231F20"/>
          <w:spacing w:val="2"/>
          <w:w w:val="98"/>
        </w:rPr>
        <w:t>t</w:t>
      </w:r>
      <w:r>
        <w:rPr>
          <w:color w:val="231F20"/>
        </w:rPr>
        <w:t xml:space="preserve">h </w:t>
      </w:r>
      <w:r>
        <w:rPr>
          <w:color w:val="231F20"/>
          <w:w w:val="110"/>
        </w:rPr>
        <w:t>in</w:t>
      </w:r>
      <w:r>
        <w:rPr>
          <w:color w:val="231F20"/>
          <w:spacing w:val="-15"/>
          <w:w w:val="110"/>
        </w:rPr>
        <w:t xml:space="preserve"> </w:t>
      </w:r>
      <w:r>
        <w:rPr>
          <w:color w:val="231F20"/>
          <w:w w:val="110"/>
        </w:rPr>
        <w:t>the</w:t>
      </w:r>
      <w:r>
        <w:rPr>
          <w:color w:val="231F20"/>
          <w:spacing w:val="-15"/>
          <w:w w:val="110"/>
        </w:rPr>
        <w:t xml:space="preserve"> </w:t>
      </w:r>
      <w:r w:rsidR="00C507A5">
        <w:rPr>
          <w:color w:val="231F20"/>
          <w:spacing w:val="1"/>
          <w:w w:val="110"/>
        </w:rPr>
        <w:t>red army faction</w:t>
      </w:r>
      <w:r>
        <w:rPr>
          <w:color w:val="231F20"/>
          <w:spacing w:val="1"/>
          <w:w w:val="110"/>
        </w:rPr>
        <w:t>’s</w:t>
      </w:r>
      <w:r>
        <w:rPr>
          <w:color w:val="231F20"/>
          <w:spacing w:val="-15"/>
          <w:w w:val="110"/>
        </w:rPr>
        <w:t xml:space="preserve"> </w:t>
      </w:r>
      <w:r>
        <w:rPr>
          <w:color w:val="231F20"/>
          <w:w w:val="110"/>
        </w:rPr>
        <w:t>battle</w:t>
      </w:r>
      <w:r>
        <w:rPr>
          <w:color w:val="231F20"/>
          <w:spacing w:val="-15"/>
          <w:w w:val="110"/>
        </w:rPr>
        <w:t xml:space="preserve"> </w:t>
      </w:r>
      <w:r>
        <w:rPr>
          <w:color w:val="231F20"/>
          <w:w w:val="110"/>
        </w:rPr>
        <w:t>against</w:t>
      </w:r>
      <w:r>
        <w:rPr>
          <w:color w:val="231F20"/>
          <w:spacing w:val="-15"/>
          <w:w w:val="110"/>
        </w:rPr>
        <w:t xml:space="preserve"> </w:t>
      </w:r>
      <w:r>
        <w:rPr>
          <w:color w:val="231F20"/>
          <w:w w:val="110"/>
        </w:rPr>
        <w:t>the</w:t>
      </w:r>
      <w:r>
        <w:rPr>
          <w:color w:val="231F20"/>
          <w:spacing w:val="-15"/>
          <w:w w:val="110"/>
        </w:rPr>
        <w:t xml:space="preserve"> </w:t>
      </w:r>
      <w:r>
        <w:rPr>
          <w:color w:val="231F20"/>
          <w:spacing w:val="-3"/>
          <w:w w:val="110"/>
        </w:rPr>
        <w:t>West</w:t>
      </w:r>
      <w:r>
        <w:rPr>
          <w:color w:val="231F20"/>
          <w:spacing w:val="-15"/>
          <w:w w:val="110"/>
        </w:rPr>
        <w:t xml:space="preserve"> </w:t>
      </w:r>
      <w:r>
        <w:rPr>
          <w:color w:val="231F20"/>
          <w:w w:val="110"/>
        </w:rPr>
        <w:t>German</w:t>
      </w:r>
      <w:r>
        <w:rPr>
          <w:color w:val="231F20"/>
          <w:spacing w:val="-15"/>
          <w:w w:val="110"/>
        </w:rPr>
        <w:t xml:space="preserve"> </w:t>
      </w:r>
      <w:r>
        <w:rPr>
          <w:color w:val="231F20"/>
          <w:w w:val="110"/>
        </w:rPr>
        <w:t>state—for</w:t>
      </w:r>
      <w:r>
        <w:rPr>
          <w:color w:val="231F20"/>
          <w:spacing w:val="-15"/>
          <w:w w:val="110"/>
        </w:rPr>
        <w:t xml:space="preserve"> </w:t>
      </w:r>
      <w:r>
        <w:rPr>
          <w:color w:val="231F20"/>
          <w:w w:val="110"/>
        </w:rPr>
        <w:t>better</w:t>
      </w:r>
      <w:r>
        <w:rPr>
          <w:color w:val="231F20"/>
          <w:spacing w:val="-15"/>
          <w:w w:val="110"/>
        </w:rPr>
        <w:t xml:space="preserve"> </w:t>
      </w:r>
      <w:r>
        <w:rPr>
          <w:color w:val="231F20"/>
          <w:w w:val="110"/>
        </w:rPr>
        <w:t>or</w:t>
      </w:r>
      <w:r>
        <w:rPr>
          <w:color w:val="231F20"/>
          <w:spacing w:val="-15"/>
          <w:w w:val="110"/>
        </w:rPr>
        <w:t xml:space="preserve"> </w:t>
      </w:r>
      <w:r>
        <w:rPr>
          <w:color w:val="231F20"/>
          <w:w w:val="110"/>
        </w:rPr>
        <w:t>for worse.</w:t>
      </w:r>
      <w:r>
        <w:rPr>
          <w:color w:val="231F20"/>
          <w:spacing w:val="-27"/>
          <w:w w:val="110"/>
        </w:rPr>
        <w:t xml:space="preserve"> </w:t>
      </w:r>
      <w:r>
        <w:rPr>
          <w:color w:val="231F20"/>
          <w:spacing w:val="1"/>
          <w:w w:val="110"/>
        </w:rPr>
        <w:t>In</w:t>
      </w:r>
      <w:r>
        <w:rPr>
          <w:color w:val="231F20"/>
          <w:spacing w:val="-27"/>
          <w:w w:val="110"/>
        </w:rPr>
        <w:t xml:space="preserve"> </w:t>
      </w:r>
      <w:r>
        <w:rPr>
          <w:color w:val="231F20"/>
          <w:w w:val="110"/>
        </w:rPr>
        <w:t>fact,</w:t>
      </w:r>
      <w:r>
        <w:rPr>
          <w:color w:val="231F20"/>
          <w:spacing w:val="-27"/>
          <w:w w:val="110"/>
        </w:rPr>
        <w:t xml:space="preserve"> </w:t>
      </w:r>
      <w:r>
        <w:rPr>
          <w:color w:val="231F20"/>
          <w:w w:val="110"/>
        </w:rPr>
        <w:t>most</w:t>
      </w:r>
      <w:r>
        <w:rPr>
          <w:color w:val="231F20"/>
          <w:spacing w:val="-27"/>
          <w:w w:val="110"/>
        </w:rPr>
        <w:t xml:space="preserve"> </w:t>
      </w:r>
      <w:r>
        <w:rPr>
          <w:color w:val="231F20"/>
          <w:w w:val="110"/>
        </w:rPr>
        <w:t>histories</w:t>
      </w:r>
      <w:r>
        <w:rPr>
          <w:color w:val="231F20"/>
          <w:spacing w:val="-27"/>
          <w:w w:val="110"/>
        </w:rPr>
        <w:t xml:space="preserve"> </w:t>
      </w:r>
      <w:r>
        <w:rPr>
          <w:color w:val="231F20"/>
          <w:w w:val="110"/>
        </w:rPr>
        <w:t>of</w:t>
      </w:r>
      <w:r>
        <w:rPr>
          <w:color w:val="231F20"/>
          <w:spacing w:val="-27"/>
          <w:w w:val="110"/>
        </w:rPr>
        <w:t xml:space="preserve"> </w:t>
      </w:r>
      <w:r>
        <w:rPr>
          <w:color w:val="231F20"/>
          <w:w w:val="110"/>
        </w:rPr>
        <w:t>the</w:t>
      </w:r>
      <w:r>
        <w:rPr>
          <w:color w:val="231F20"/>
          <w:spacing w:val="-26"/>
          <w:w w:val="110"/>
        </w:rPr>
        <w:t xml:space="preserve"> </w:t>
      </w:r>
      <w:r w:rsidR="00C507A5">
        <w:rPr>
          <w:color w:val="231F20"/>
          <w:spacing w:val="5"/>
          <w:w w:val="110"/>
        </w:rPr>
        <w:t>red army faction</w:t>
      </w:r>
      <w:r>
        <w:rPr>
          <w:color w:val="231F20"/>
          <w:spacing w:val="-27"/>
          <w:w w:val="110"/>
        </w:rPr>
        <w:t xml:space="preserve"> </w:t>
      </w:r>
      <w:r>
        <w:rPr>
          <w:color w:val="231F20"/>
          <w:w w:val="110"/>
        </w:rPr>
        <w:t>actually</w:t>
      </w:r>
      <w:r>
        <w:rPr>
          <w:color w:val="231F20"/>
          <w:spacing w:val="-27"/>
          <w:w w:val="110"/>
        </w:rPr>
        <w:t xml:space="preserve"> </w:t>
      </w:r>
      <w:r>
        <w:rPr>
          <w:color w:val="231F20"/>
          <w:w w:val="110"/>
        </w:rPr>
        <w:t>stop</w:t>
      </w:r>
      <w:r>
        <w:rPr>
          <w:color w:val="231F20"/>
          <w:spacing w:val="-27"/>
          <w:w w:val="110"/>
        </w:rPr>
        <w:t xml:space="preserve"> </w:t>
      </w:r>
      <w:r>
        <w:rPr>
          <w:color w:val="231F20"/>
          <w:w w:val="110"/>
        </w:rPr>
        <w:t>after</w:t>
      </w:r>
      <w:r>
        <w:rPr>
          <w:color w:val="231F20"/>
          <w:spacing w:val="-27"/>
          <w:w w:val="110"/>
        </w:rPr>
        <w:t xml:space="preserve"> </w:t>
      </w:r>
      <w:r>
        <w:rPr>
          <w:color w:val="231F20"/>
          <w:w w:val="110"/>
        </w:rPr>
        <w:t>this</w:t>
      </w:r>
      <w:r>
        <w:rPr>
          <w:color w:val="231F20"/>
          <w:spacing w:val="-27"/>
          <w:w w:val="110"/>
        </w:rPr>
        <w:t xml:space="preserve"> </w:t>
      </w:r>
      <w:r>
        <w:rPr>
          <w:color w:val="231F20"/>
          <w:w w:val="110"/>
        </w:rPr>
        <w:t>point,</w:t>
      </w:r>
    </w:p>
    <w:p w14:paraId="5A0D4714" w14:textId="77777777" w:rsidR="002653E8" w:rsidRDefault="003115E3">
      <w:pPr>
        <w:pStyle w:val="a3"/>
        <w:spacing w:before="22"/>
        <w:ind w:left="1327"/>
      </w:pPr>
      <w:r>
        <w:rPr>
          <w:color w:val="231F20"/>
        </w:rPr>
        <w:t>or mention all that came afterwards as a barely interesting epilogue.</w:t>
      </w:r>
    </w:p>
    <w:p w14:paraId="4A6CB364" w14:textId="77777777" w:rsidR="002653E8" w:rsidRDefault="003115E3">
      <w:pPr>
        <w:pStyle w:val="a3"/>
        <w:spacing w:before="23" w:line="264" w:lineRule="auto"/>
        <w:ind w:left="1327" w:right="1146" w:firstLine="210"/>
        <w:jc w:val="both"/>
      </w:pPr>
      <w:r>
        <w:rPr>
          <w:color w:val="231F20"/>
        </w:rPr>
        <w:t>Such a perspective is mistaken, and amounts to closing the book before the story is even half done. Nevertheless, it cannot be denied that 1977 was a year like no other, representing an attempt to push things to a qualitatively higher level. As events reached their climax in a bloody series of events known as “The German Autumn,” every sector of society was shaken to the core.</w:t>
      </w:r>
    </w:p>
    <w:p w14:paraId="472AD719" w14:textId="77777777" w:rsidR="002653E8" w:rsidRDefault="003115E3">
      <w:pPr>
        <w:pStyle w:val="a3"/>
        <w:spacing w:line="264" w:lineRule="auto"/>
        <w:ind w:left="1327" w:right="1137" w:firstLine="210"/>
        <w:jc w:val="both"/>
        <w:rPr>
          <w:sz w:val="11"/>
        </w:rPr>
      </w:pPr>
      <w:r>
        <w:rPr>
          <w:color w:val="231F20"/>
        </w:rPr>
        <w:t xml:space="preserve">As debate over the </w:t>
      </w:r>
      <w:r w:rsidR="00C507A5">
        <w:rPr>
          <w:color w:val="231F20"/>
          <w:spacing w:val="1"/>
        </w:rPr>
        <w:t>red army faction</w:t>
      </w:r>
      <w:r>
        <w:rPr>
          <w:color w:val="231F20"/>
          <w:spacing w:val="1"/>
        </w:rPr>
        <w:t xml:space="preserve">’s </w:t>
      </w:r>
      <w:r>
        <w:rPr>
          <w:color w:val="231F20"/>
        </w:rPr>
        <w:t xml:space="preserve">struggle played itself out in the pages of </w:t>
      </w:r>
      <w:r>
        <w:rPr>
          <w:i/>
          <w:color w:val="231F20"/>
        </w:rPr>
        <w:t>Info-BUG</w:t>
      </w:r>
      <w:r>
        <w:rPr>
          <w:color w:val="231F20"/>
        </w:rPr>
        <w:t xml:space="preserve">, state psychological operations continued unabated in the corporate press. Newspapers repeated police allegations that </w:t>
      </w:r>
      <w:r w:rsidR="00C507A5">
        <w:rPr>
          <w:color w:val="231F20"/>
          <w:spacing w:val="6"/>
        </w:rPr>
        <w:t>red army faction</w:t>
      </w:r>
      <w:r>
        <w:rPr>
          <w:color w:val="231F20"/>
          <w:spacing w:val="6"/>
        </w:rPr>
        <w:t xml:space="preserve"> </w:t>
      </w:r>
      <w:r>
        <w:rPr>
          <w:color w:val="231F20"/>
        </w:rPr>
        <w:t>supporters had murdered a banker, his wife and three children, and  also that the guerilla was planning to kidnap the Canadian ambassa</w:t>
      </w:r>
      <w:r>
        <w:rPr>
          <w:color w:val="231F20"/>
          <w:spacing w:val="-4"/>
        </w:rPr>
        <w:t>dor.</w:t>
      </w:r>
      <w:r>
        <w:rPr>
          <w:color w:val="231F20"/>
          <w:spacing w:val="-4"/>
          <w:position w:val="7"/>
          <w:sz w:val="11"/>
        </w:rPr>
        <w:t xml:space="preserve">1 </w:t>
      </w:r>
      <w:r>
        <w:rPr>
          <w:color w:val="231F20"/>
          <w:spacing w:val="1"/>
        </w:rPr>
        <w:t xml:space="preserve">In </w:t>
      </w:r>
      <w:r>
        <w:rPr>
          <w:color w:val="231F20"/>
        </w:rPr>
        <w:t>January, police claimed they found and defused a bomb at the Weisbaden</w:t>
      </w:r>
      <w:r>
        <w:rPr>
          <w:color w:val="231F20"/>
          <w:spacing w:val="11"/>
        </w:rPr>
        <w:t xml:space="preserve"> </w:t>
      </w:r>
      <w:r>
        <w:rPr>
          <w:color w:val="231F20"/>
        </w:rPr>
        <w:t>train</w:t>
      </w:r>
      <w:r>
        <w:rPr>
          <w:color w:val="231F20"/>
          <w:spacing w:val="11"/>
        </w:rPr>
        <w:t xml:space="preserve"> </w:t>
      </w:r>
      <w:r>
        <w:rPr>
          <w:color w:val="231F20"/>
        </w:rPr>
        <w:t>station,</w:t>
      </w:r>
      <w:r>
        <w:rPr>
          <w:color w:val="231F20"/>
          <w:spacing w:val="11"/>
        </w:rPr>
        <w:t xml:space="preserve"> </w:t>
      </w:r>
      <w:r>
        <w:rPr>
          <w:color w:val="231F20"/>
        </w:rPr>
        <w:t>presumably</w:t>
      </w:r>
      <w:r>
        <w:rPr>
          <w:color w:val="231F20"/>
          <w:spacing w:val="11"/>
        </w:rPr>
        <w:t xml:space="preserve"> </w:t>
      </w:r>
      <w:r>
        <w:rPr>
          <w:color w:val="231F20"/>
        </w:rPr>
        <w:t>another</w:t>
      </w:r>
      <w:r>
        <w:rPr>
          <w:color w:val="231F20"/>
          <w:spacing w:val="11"/>
        </w:rPr>
        <w:t xml:space="preserve"> </w:t>
      </w:r>
      <w:r>
        <w:rPr>
          <w:color w:val="231F20"/>
        </w:rPr>
        <w:t>false</w:t>
      </w:r>
      <w:r>
        <w:rPr>
          <w:color w:val="231F20"/>
          <w:spacing w:val="11"/>
        </w:rPr>
        <w:t xml:space="preserve"> </w:t>
      </w:r>
      <w:r>
        <w:rPr>
          <w:color w:val="231F20"/>
        </w:rPr>
        <w:t>flag</w:t>
      </w:r>
      <w:r>
        <w:rPr>
          <w:color w:val="231F20"/>
          <w:spacing w:val="11"/>
        </w:rPr>
        <w:t xml:space="preserve"> </w:t>
      </w:r>
      <w:r>
        <w:rPr>
          <w:color w:val="231F20"/>
        </w:rPr>
        <w:t>attack.</w:t>
      </w:r>
      <w:r>
        <w:rPr>
          <w:color w:val="231F20"/>
          <w:position w:val="7"/>
          <w:sz w:val="11"/>
        </w:rPr>
        <w:t>2</w:t>
      </w:r>
    </w:p>
    <w:p w14:paraId="518AB6C5" w14:textId="77777777" w:rsidR="002653E8" w:rsidRDefault="002653E8">
      <w:pPr>
        <w:pStyle w:val="a3"/>
      </w:pPr>
    </w:p>
    <w:p w14:paraId="5192717E" w14:textId="77777777" w:rsidR="002653E8" w:rsidRDefault="00000000">
      <w:pPr>
        <w:pStyle w:val="a3"/>
        <w:spacing w:before="7"/>
        <w:rPr>
          <w:sz w:val="22"/>
        </w:rPr>
      </w:pPr>
      <w:r>
        <w:rPr>
          <w:noProof w:val="0"/>
        </w:rPr>
        <w:pict w14:anchorId="5DA49719">
          <v:line id="_x0000_s2213" style="position:absolute;z-index:9880;mso-wrap-distance-left:0;mso-wrap-distance-right:0;mso-position-horizontal-relative:page" from="66.4pt,15.5pt" to="138.4pt,15.5pt" strokecolor="#231f20" strokeweight=".5pt">
            <w10:wrap type="topAndBottom" anchorx="page"/>
          </v:line>
        </w:pict>
      </w:r>
    </w:p>
    <w:p w14:paraId="7A18C503" w14:textId="77777777" w:rsidR="002653E8" w:rsidRDefault="003115E3">
      <w:pPr>
        <w:pStyle w:val="a4"/>
        <w:numPr>
          <w:ilvl w:val="0"/>
          <w:numId w:val="65"/>
        </w:numPr>
        <w:tabs>
          <w:tab w:val="left" w:pos="1467"/>
        </w:tabs>
        <w:spacing w:before="53"/>
        <w:ind w:hanging="1"/>
        <w:rPr>
          <w:sz w:val="16"/>
        </w:rPr>
      </w:pPr>
      <w:bookmarkStart w:id="235" w:name="_Hlk130960856"/>
      <w:r>
        <w:rPr>
          <w:color w:val="231F20"/>
          <w:w w:val="110"/>
          <w:sz w:val="16"/>
        </w:rPr>
        <w:t>Reuters,</w:t>
      </w:r>
      <w:r>
        <w:rPr>
          <w:color w:val="231F20"/>
          <w:spacing w:val="5"/>
          <w:w w:val="110"/>
          <w:sz w:val="16"/>
        </w:rPr>
        <w:t xml:space="preserve"> </w:t>
      </w:r>
      <w:r>
        <w:rPr>
          <w:color w:val="231F20"/>
          <w:w w:val="110"/>
          <w:sz w:val="16"/>
        </w:rPr>
        <w:t>“Envoy</w:t>
      </w:r>
      <w:r>
        <w:rPr>
          <w:color w:val="231F20"/>
          <w:spacing w:val="5"/>
          <w:w w:val="110"/>
          <w:sz w:val="16"/>
        </w:rPr>
        <w:t xml:space="preserve"> </w:t>
      </w:r>
      <w:r>
        <w:rPr>
          <w:color w:val="231F20"/>
          <w:spacing w:val="1"/>
          <w:w w:val="110"/>
          <w:sz w:val="16"/>
        </w:rPr>
        <w:t>Gets</w:t>
      </w:r>
      <w:r>
        <w:rPr>
          <w:color w:val="231F20"/>
          <w:spacing w:val="5"/>
          <w:w w:val="110"/>
          <w:sz w:val="16"/>
        </w:rPr>
        <w:t xml:space="preserve"> </w:t>
      </w:r>
      <w:r>
        <w:rPr>
          <w:color w:val="231F20"/>
          <w:w w:val="110"/>
          <w:sz w:val="16"/>
        </w:rPr>
        <w:t>Kidnap</w:t>
      </w:r>
      <w:r>
        <w:rPr>
          <w:color w:val="231F20"/>
          <w:spacing w:val="5"/>
          <w:w w:val="110"/>
          <w:sz w:val="16"/>
        </w:rPr>
        <w:t xml:space="preserve"> </w:t>
      </w:r>
      <w:r>
        <w:rPr>
          <w:color w:val="231F20"/>
          <w:w w:val="110"/>
          <w:sz w:val="16"/>
        </w:rPr>
        <w:t>Threat,”</w:t>
      </w:r>
      <w:r>
        <w:rPr>
          <w:color w:val="231F20"/>
          <w:spacing w:val="5"/>
          <w:w w:val="110"/>
          <w:sz w:val="16"/>
        </w:rPr>
        <w:t xml:space="preserve"> </w:t>
      </w:r>
      <w:r>
        <w:rPr>
          <w:i/>
          <w:color w:val="231F20"/>
          <w:w w:val="110"/>
          <w:sz w:val="16"/>
        </w:rPr>
        <w:t>Winnipeg</w:t>
      </w:r>
      <w:r>
        <w:rPr>
          <w:i/>
          <w:color w:val="231F20"/>
          <w:spacing w:val="5"/>
          <w:w w:val="110"/>
          <w:sz w:val="16"/>
        </w:rPr>
        <w:t xml:space="preserve"> </w:t>
      </w:r>
      <w:r>
        <w:rPr>
          <w:i/>
          <w:color w:val="231F20"/>
          <w:w w:val="110"/>
          <w:sz w:val="16"/>
        </w:rPr>
        <w:t>Free</w:t>
      </w:r>
      <w:r>
        <w:rPr>
          <w:i/>
          <w:color w:val="231F20"/>
          <w:spacing w:val="5"/>
          <w:w w:val="110"/>
          <w:sz w:val="16"/>
        </w:rPr>
        <w:t xml:space="preserve"> </w:t>
      </w:r>
      <w:r>
        <w:rPr>
          <w:i/>
          <w:color w:val="231F20"/>
          <w:w w:val="110"/>
          <w:sz w:val="16"/>
        </w:rPr>
        <w:t>Press,</w:t>
      </w:r>
      <w:r>
        <w:rPr>
          <w:i/>
          <w:color w:val="231F20"/>
          <w:spacing w:val="5"/>
          <w:w w:val="110"/>
          <w:sz w:val="16"/>
        </w:rPr>
        <w:t xml:space="preserve"> </w:t>
      </w:r>
      <w:r>
        <w:rPr>
          <w:color w:val="231F20"/>
          <w:w w:val="110"/>
          <w:sz w:val="16"/>
        </w:rPr>
        <w:t>January</w:t>
      </w:r>
      <w:r>
        <w:rPr>
          <w:color w:val="231F20"/>
          <w:spacing w:val="5"/>
          <w:w w:val="110"/>
          <w:sz w:val="16"/>
        </w:rPr>
        <w:t xml:space="preserve"> </w:t>
      </w:r>
      <w:r>
        <w:rPr>
          <w:color w:val="231F20"/>
          <w:w w:val="110"/>
          <w:sz w:val="16"/>
        </w:rPr>
        <w:t>22,</w:t>
      </w:r>
      <w:r>
        <w:rPr>
          <w:color w:val="231F20"/>
          <w:spacing w:val="5"/>
          <w:w w:val="110"/>
          <w:sz w:val="16"/>
        </w:rPr>
        <w:t xml:space="preserve"> </w:t>
      </w:r>
      <w:r>
        <w:rPr>
          <w:color w:val="231F20"/>
          <w:spacing w:val="-4"/>
          <w:w w:val="110"/>
          <w:sz w:val="16"/>
        </w:rPr>
        <w:t>1977.</w:t>
      </w:r>
    </w:p>
    <w:p w14:paraId="234B06EB" w14:textId="77777777" w:rsidR="002653E8" w:rsidRDefault="003115E3">
      <w:pPr>
        <w:pStyle w:val="a4"/>
        <w:numPr>
          <w:ilvl w:val="0"/>
          <w:numId w:val="65"/>
        </w:numPr>
        <w:tabs>
          <w:tab w:val="left" w:pos="1467"/>
        </w:tabs>
        <w:spacing w:before="51" w:line="254" w:lineRule="auto"/>
        <w:ind w:right="1320" w:firstLine="0"/>
        <w:rPr>
          <w:sz w:val="16"/>
        </w:rPr>
      </w:pPr>
      <w:r>
        <w:rPr>
          <w:color w:val="231F20"/>
          <w:w w:val="105"/>
          <w:sz w:val="16"/>
        </w:rPr>
        <w:t xml:space="preserve">United Press International, “Explosive device defused in Wiesbaden,” </w:t>
      </w:r>
      <w:r>
        <w:rPr>
          <w:i/>
          <w:color w:val="231F20"/>
          <w:w w:val="105"/>
          <w:sz w:val="16"/>
        </w:rPr>
        <w:t xml:space="preserve">European Stars </w:t>
      </w:r>
      <w:r>
        <w:rPr>
          <w:i/>
          <w:color w:val="231F20"/>
          <w:spacing w:val="1"/>
          <w:w w:val="105"/>
          <w:sz w:val="16"/>
        </w:rPr>
        <w:t xml:space="preserve">and </w:t>
      </w:r>
      <w:r>
        <w:rPr>
          <w:i/>
          <w:color w:val="231F20"/>
          <w:w w:val="105"/>
          <w:sz w:val="16"/>
        </w:rPr>
        <w:t xml:space="preserve">Stripes, </w:t>
      </w:r>
      <w:r>
        <w:rPr>
          <w:color w:val="231F20"/>
          <w:w w:val="105"/>
          <w:sz w:val="16"/>
        </w:rPr>
        <w:t>January 26,</w:t>
      </w:r>
      <w:r>
        <w:rPr>
          <w:color w:val="231F20"/>
          <w:spacing w:val="7"/>
          <w:w w:val="105"/>
          <w:sz w:val="16"/>
        </w:rPr>
        <w:t xml:space="preserve"> </w:t>
      </w:r>
      <w:r>
        <w:rPr>
          <w:color w:val="231F20"/>
          <w:spacing w:val="-4"/>
          <w:w w:val="105"/>
          <w:sz w:val="16"/>
        </w:rPr>
        <w:t>1977.</w:t>
      </w:r>
    </w:p>
    <w:bookmarkEnd w:id="235"/>
    <w:p w14:paraId="10551E8B" w14:textId="77777777" w:rsidR="002653E8" w:rsidRDefault="002653E8">
      <w:pPr>
        <w:spacing w:line="254" w:lineRule="auto"/>
        <w:rPr>
          <w:sz w:val="16"/>
        </w:rPr>
        <w:sectPr w:rsidR="002653E8">
          <w:footerReference w:type="even" r:id="rId396"/>
          <w:footerReference w:type="default" r:id="rId397"/>
          <w:pgSz w:w="8640" w:h="12960"/>
          <w:pgMar w:top="1220" w:right="0" w:bottom="1040" w:left="0" w:header="0" w:footer="850" w:gutter="0"/>
          <w:cols w:space="720"/>
        </w:sectPr>
      </w:pPr>
    </w:p>
    <w:p w14:paraId="2C8184AD" w14:textId="77777777" w:rsidR="002653E8" w:rsidRDefault="003115E3">
      <w:pPr>
        <w:pStyle w:val="a3"/>
        <w:spacing w:before="86" w:line="264" w:lineRule="auto"/>
        <w:ind w:left="1147" w:right="1326" w:firstLine="210"/>
        <w:jc w:val="both"/>
      </w:pPr>
      <w:r>
        <w:rPr>
          <w:color w:val="231F20"/>
        </w:rPr>
        <w:lastRenderedPageBreak/>
        <w:t>Then, on February 9, Brigitte Mohnhaupt, who had been captured following the May Offensive, was released from prison: her four-anda-half-year sentence for illegal possession of firearms</w:t>
      </w:r>
      <w:r>
        <w:rPr>
          <w:color w:val="231F20"/>
          <w:position w:val="7"/>
          <w:sz w:val="11"/>
        </w:rPr>
        <w:t xml:space="preserve">1 </w:t>
      </w:r>
      <w:r>
        <w:rPr>
          <w:color w:val="231F20"/>
        </w:rPr>
        <w:t>and membership in a criminal association had come to an end. She immediately went underground, rejoining the guerilla.</w:t>
      </w:r>
    </w:p>
    <w:p w14:paraId="7FCBB3F1" w14:textId="77777777" w:rsidR="002653E8" w:rsidRDefault="003115E3">
      <w:pPr>
        <w:pStyle w:val="a3"/>
        <w:spacing w:line="264" w:lineRule="auto"/>
        <w:ind w:left="1147" w:right="1325" w:firstLine="210"/>
        <w:jc w:val="both"/>
      </w:pPr>
      <w:r>
        <w:rPr>
          <w:color w:val="231F20"/>
        </w:rPr>
        <w:t xml:space="preserve">On March 29, prisoners from the </w:t>
      </w:r>
      <w:r w:rsidR="00C507A5">
        <w:rPr>
          <w:color w:val="231F20"/>
          <w:spacing w:val="5"/>
        </w:rPr>
        <w:t>red army faction</w:t>
      </w:r>
      <w:r>
        <w:rPr>
          <w:color w:val="231F20"/>
          <w:spacing w:val="5"/>
        </w:rPr>
        <w:t xml:space="preserve"> </w:t>
      </w:r>
      <w:r>
        <w:rPr>
          <w:color w:val="231F20"/>
        </w:rPr>
        <w:t xml:space="preserve">and the 2nd of June Movement began their fourth hunger strike, demanding  </w:t>
      </w:r>
      <w:r>
        <w:rPr>
          <w:color w:val="231F20"/>
          <w:spacing w:val="-3"/>
        </w:rPr>
        <w:t xml:space="preserve">POW  </w:t>
      </w:r>
      <w:r>
        <w:rPr>
          <w:color w:val="231F20"/>
        </w:rPr>
        <w:t>status, association  in groups of no less than fifteen, an end to isolation, an international investigation into the deaths of Holger Meins, Siegfried Hausner, and Ulrike Meinhof, and an end to false flag actions and communiqués. Initially,</w:t>
      </w:r>
      <w:r>
        <w:rPr>
          <w:color w:val="231F20"/>
          <w:spacing w:val="-6"/>
        </w:rPr>
        <w:t xml:space="preserve"> </w:t>
      </w:r>
      <w:r>
        <w:rPr>
          <w:color w:val="231F20"/>
        </w:rPr>
        <w:t>thirty-five</w:t>
      </w:r>
      <w:r>
        <w:rPr>
          <w:color w:val="231F20"/>
          <w:spacing w:val="-6"/>
        </w:rPr>
        <w:t xml:space="preserve"> </w:t>
      </w:r>
      <w:r>
        <w:rPr>
          <w:color w:val="231F20"/>
        </w:rPr>
        <w:t>prisoners</w:t>
      </w:r>
      <w:r>
        <w:rPr>
          <w:color w:val="231F20"/>
          <w:spacing w:val="-6"/>
        </w:rPr>
        <w:t xml:space="preserve"> </w:t>
      </w:r>
      <w:r>
        <w:rPr>
          <w:color w:val="231F20"/>
        </w:rPr>
        <w:t>participated,</w:t>
      </w:r>
      <w:r>
        <w:rPr>
          <w:color w:val="231F20"/>
          <w:spacing w:val="-6"/>
        </w:rPr>
        <w:t xml:space="preserve"> </w:t>
      </w:r>
      <w:r>
        <w:rPr>
          <w:color w:val="231F20"/>
        </w:rPr>
        <w:t>but</w:t>
      </w:r>
      <w:r>
        <w:rPr>
          <w:color w:val="231F20"/>
          <w:spacing w:val="-6"/>
        </w:rPr>
        <w:t xml:space="preserve"> </w:t>
      </w:r>
      <w:r>
        <w:rPr>
          <w:color w:val="231F20"/>
        </w:rPr>
        <w:t>soon</w:t>
      </w:r>
      <w:r>
        <w:rPr>
          <w:color w:val="231F20"/>
          <w:spacing w:val="-6"/>
        </w:rPr>
        <w:t xml:space="preserve"> </w:t>
      </w:r>
      <w:r>
        <w:rPr>
          <w:color w:val="231F20"/>
        </w:rPr>
        <w:t>the</w:t>
      </w:r>
      <w:r>
        <w:rPr>
          <w:color w:val="231F20"/>
          <w:spacing w:val="-6"/>
        </w:rPr>
        <w:t xml:space="preserve"> </w:t>
      </w:r>
      <w:r>
        <w:rPr>
          <w:color w:val="231F20"/>
        </w:rPr>
        <w:t>number</w:t>
      </w:r>
      <w:r>
        <w:rPr>
          <w:color w:val="231F20"/>
          <w:spacing w:val="-6"/>
        </w:rPr>
        <w:t xml:space="preserve"> </w:t>
      </w:r>
      <w:r>
        <w:rPr>
          <w:color w:val="231F20"/>
        </w:rPr>
        <w:t>refusing food</w:t>
      </w:r>
      <w:r>
        <w:rPr>
          <w:color w:val="231F20"/>
          <w:spacing w:val="8"/>
        </w:rPr>
        <w:t xml:space="preserve"> </w:t>
      </w:r>
      <w:r>
        <w:rPr>
          <w:color w:val="231F20"/>
        </w:rPr>
        <w:t>surpassed</w:t>
      </w:r>
      <w:r>
        <w:rPr>
          <w:color w:val="231F20"/>
          <w:spacing w:val="8"/>
        </w:rPr>
        <w:t xml:space="preserve"> </w:t>
      </w:r>
      <w:r>
        <w:rPr>
          <w:color w:val="231F20"/>
        </w:rPr>
        <w:t>one</w:t>
      </w:r>
      <w:r>
        <w:rPr>
          <w:color w:val="231F20"/>
          <w:spacing w:val="8"/>
        </w:rPr>
        <w:t xml:space="preserve"> </w:t>
      </w:r>
      <w:r>
        <w:rPr>
          <w:color w:val="231F20"/>
        </w:rPr>
        <w:t>hundred,</w:t>
      </w:r>
      <w:r>
        <w:rPr>
          <w:color w:val="231F20"/>
          <w:spacing w:val="8"/>
        </w:rPr>
        <w:t xml:space="preserve"> </w:t>
      </w:r>
      <w:r>
        <w:rPr>
          <w:color w:val="231F20"/>
        </w:rPr>
        <w:t>and</w:t>
      </w:r>
      <w:r>
        <w:rPr>
          <w:color w:val="231F20"/>
          <w:spacing w:val="8"/>
        </w:rPr>
        <w:t xml:space="preserve"> </w:t>
      </w:r>
      <w:r>
        <w:rPr>
          <w:color w:val="231F20"/>
        </w:rPr>
        <w:t>some</w:t>
      </w:r>
      <w:r>
        <w:rPr>
          <w:color w:val="231F20"/>
          <w:spacing w:val="8"/>
        </w:rPr>
        <w:t xml:space="preserve"> </w:t>
      </w:r>
      <w:r>
        <w:rPr>
          <w:color w:val="231F20"/>
        </w:rPr>
        <w:t>even</w:t>
      </w:r>
      <w:r>
        <w:rPr>
          <w:color w:val="231F20"/>
          <w:spacing w:val="8"/>
        </w:rPr>
        <w:t xml:space="preserve"> </w:t>
      </w:r>
      <w:r>
        <w:rPr>
          <w:color w:val="231F20"/>
        </w:rPr>
        <w:t>began</w:t>
      </w:r>
      <w:r>
        <w:rPr>
          <w:color w:val="231F20"/>
          <w:spacing w:val="8"/>
        </w:rPr>
        <w:t xml:space="preserve"> </w:t>
      </w:r>
      <w:r>
        <w:rPr>
          <w:color w:val="231F20"/>
        </w:rPr>
        <w:t>refusing</w:t>
      </w:r>
      <w:r>
        <w:rPr>
          <w:color w:val="231F20"/>
          <w:spacing w:val="8"/>
        </w:rPr>
        <w:t xml:space="preserve"> </w:t>
      </w:r>
      <w:r>
        <w:rPr>
          <w:color w:val="231F20"/>
        </w:rPr>
        <w:t>liquids.</w:t>
      </w:r>
    </w:p>
    <w:p w14:paraId="44C30F40" w14:textId="77777777" w:rsidR="002653E8" w:rsidRDefault="003115E3">
      <w:pPr>
        <w:pStyle w:val="a3"/>
        <w:spacing w:line="264" w:lineRule="auto"/>
        <w:ind w:left="1148" w:right="1316" w:firstLine="210"/>
        <w:jc w:val="both"/>
      </w:pPr>
      <w:r>
        <w:rPr>
          <w:color w:val="231F20"/>
        </w:rPr>
        <w:t xml:space="preserve">The irony was that the hunger strike for </w:t>
      </w:r>
      <w:r>
        <w:rPr>
          <w:color w:val="231F20"/>
          <w:spacing w:val="-3"/>
        </w:rPr>
        <w:t xml:space="preserve">POW </w:t>
      </w:r>
      <w:r>
        <w:rPr>
          <w:color w:val="231F20"/>
        </w:rPr>
        <w:t xml:space="preserve">status, which the </w:t>
      </w:r>
      <w:r>
        <w:rPr>
          <w:color w:val="231F20"/>
          <w:spacing w:val="7"/>
        </w:rPr>
        <w:t xml:space="preserve">RZ </w:t>
      </w:r>
      <w:r>
        <w:rPr>
          <w:color w:val="231F20"/>
        </w:rPr>
        <w:t xml:space="preserve">had feared would limit itself to an elite group, managed to rally more prisoners than any previous hunger strike. This was </w:t>
      </w:r>
      <w:r>
        <w:rPr>
          <w:color w:val="231F20"/>
          <w:spacing w:val="1"/>
        </w:rPr>
        <w:t xml:space="preserve">grim </w:t>
      </w:r>
      <w:r>
        <w:rPr>
          <w:color w:val="231F20"/>
        </w:rPr>
        <w:t>testimony to the number of combatants who had been captured, along with the number</w:t>
      </w:r>
      <w:r>
        <w:rPr>
          <w:color w:val="231F20"/>
          <w:spacing w:val="8"/>
        </w:rPr>
        <w:t xml:space="preserve"> </w:t>
      </w:r>
      <w:r>
        <w:rPr>
          <w:color w:val="231F20"/>
        </w:rPr>
        <w:t>of</w:t>
      </w:r>
      <w:r>
        <w:rPr>
          <w:color w:val="231F20"/>
          <w:spacing w:val="8"/>
        </w:rPr>
        <w:t xml:space="preserve"> </w:t>
      </w:r>
      <w:r>
        <w:rPr>
          <w:color w:val="231F20"/>
        </w:rPr>
        <w:t>supporters</w:t>
      </w:r>
      <w:r>
        <w:rPr>
          <w:color w:val="231F20"/>
          <w:spacing w:val="8"/>
        </w:rPr>
        <w:t xml:space="preserve"> </w:t>
      </w:r>
      <w:r>
        <w:rPr>
          <w:color w:val="231F20"/>
        </w:rPr>
        <w:t>who</w:t>
      </w:r>
      <w:r>
        <w:rPr>
          <w:color w:val="231F20"/>
          <w:spacing w:val="8"/>
        </w:rPr>
        <w:t xml:space="preserve"> </w:t>
      </w:r>
      <w:r>
        <w:rPr>
          <w:color w:val="231F20"/>
        </w:rPr>
        <w:t>were</w:t>
      </w:r>
      <w:r>
        <w:rPr>
          <w:color w:val="231F20"/>
          <w:spacing w:val="8"/>
        </w:rPr>
        <w:t xml:space="preserve"> </w:t>
      </w:r>
      <w:r>
        <w:rPr>
          <w:color w:val="231F20"/>
        </w:rPr>
        <w:t>now</w:t>
      </w:r>
      <w:r>
        <w:rPr>
          <w:color w:val="231F20"/>
          <w:spacing w:val="8"/>
        </w:rPr>
        <w:t xml:space="preserve"> </w:t>
      </w:r>
      <w:r>
        <w:rPr>
          <w:color w:val="231F20"/>
        </w:rPr>
        <w:t>serving</w:t>
      </w:r>
      <w:r>
        <w:rPr>
          <w:color w:val="231F20"/>
          <w:spacing w:val="8"/>
        </w:rPr>
        <w:t xml:space="preserve"> </w:t>
      </w:r>
      <w:r>
        <w:rPr>
          <w:color w:val="231F20"/>
        </w:rPr>
        <w:t>time</w:t>
      </w:r>
      <w:r>
        <w:rPr>
          <w:color w:val="231F20"/>
          <w:spacing w:val="8"/>
        </w:rPr>
        <w:t xml:space="preserve"> </w:t>
      </w:r>
      <w:r>
        <w:rPr>
          <w:color w:val="231F20"/>
        </w:rPr>
        <w:t>under</w:t>
      </w:r>
      <w:r>
        <w:rPr>
          <w:color w:val="231F20"/>
          <w:spacing w:val="8"/>
        </w:rPr>
        <w:t xml:space="preserve"> </w:t>
      </w:r>
      <w:r>
        <w:rPr>
          <w:color w:val="231F20"/>
          <w:spacing w:val="-4"/>
          <w:sz w:val="18"/>
        </w:rPr>
        <w:t>§</w:t>
      </w:r>
      <w:r>
        <w:rPr>
          <w:color w:val="231F20"/>
          <w:spacing w:val="-4"/>
        </w:rPr>
        <w:t>129.</w:t>
      </w:r>
    </w:p>
    <w:p w14:paraId="0A2CD6E8" w14:textId="77777777" w:rsidR="002653E8" w:rsidRDefault="003115E3">
      <w:pPr>
        <w:pStyle w:val="a3"/>
        <w:spacing w:line="264" w:lineRule="auto"/>
        <w:ind w:left="1147" w:right="1326" w:firstLine="210"/>
        <w:jc w:val="both"/>
      </w:pPr>
      <w:r>
        <w:rPr>
          <w:color w:val="231F20"/>
        </w:rPr>
        <w:t>At the same time, the guerilla was not going to let the prisoners wage this battle on their own.</w:t>
      </w:r>
    </w:p>
    <w:p w14:paraId="753D2EC9" w14:textId="77777777" w:rsidR="002653E8" w:rsidRDefault="003115E3">
      <w:pPr>
        <w:pStyle w:val="a3"/>
        <w:spacing w:line="264" w:lineRule="auto"/>
        <w:ind w:left="1147" w:right="1326" w:firstLine="210"/>
        <w:jc w:val="both"/>
      </w:pPr>
      <w:r>
        <w:rPr>
          <w:color w:val="231F20"/>
        </w:rPr>
        <w:t xml:space="preserve">On April </w:t>
      </w:r>
      <w:r>
        <w:rPr>
          <w:color w:val="231F20"/>
          <w:spacing w:val="-8"/>
        </w:rPr>
        <w:t xml:space="preserve">7, </w:t>
      </w:r>
      <w:r>
        <w:rPr>
          <w:color w:val="231F20"/>
        </w:rPr>
        <w:t>as Attorney General Buback was waiting at a traffic light  in Karlsruhe, two individuals pulled up on a motorcycle alongside his Mercedes. One of them then pulled out a submachine gun and fired, riddling</w:t>
      </w:r>
      <w:r>
        <w:rPr>
          <w:color w:val="231F20"/>
          <w:spacing w:val="11"/>
        </w:rPr>
        <w:t xml:space="preserve"> </w:t>
      </w:r>
      <w:r>
        <w:rPr>
          <w:color w:val="231F20"/>
        </w:rPr>
        <w:t>the</w:t>
      </w:r>
      <w:r>
        <w:rPr>
          <w:color w:val="231F20"/>
          <w:spacing w:val="11"/>
        </w:rPr>
        <w:t xml:space="preserve"> </w:t>
      </w:r>
      <w:r>
        <w:rPr>
          <w:color w:val="231F20"/>
        </w:rPr>
        <w:t>Attorney</w:t>
      </w:r>
      <w:r>
        <w:rPr>
          <w:color w:val="231F20"/>
          <w:spacing w:val="11"/>
        </w:rPr>
        <w:t xml:space="preserve"> </w:t>
      </w:r>
      <w:r>
        <w:rPr>
          <w:color w:val="231F20"/>
        </w:rPr>
        <w:t>General’s</w:t>
      </w:r>
      <w:r>
        <w:rPr>
          <w:color w:val="231F20"/>
          <w:spacing w:val="11"/>
        </w:rPr>
        <w:t xml:space="preserve"> </w:t>
      </w:r>
      <w:r>
        <w:rPr>
          <w:color w:val="231F20"/>
        </w:rPr>
        <w:t>car</w:t>
      </w:r>
      <w:r>
        <w:rPr>
          <w:color w:val="231F20"/>
          <w:spacing w:val="11"/>
        </w:rPr>
        <w:t xml:space="preserve"> </w:t>
      </w:r>
      <w:r>
        <w:rPr>
          <w:color w:val="231F20"/>
        </w:rPr>
        <w:t>with</w:t>
      </w:r>
      <w:r>
        <w:rPr>
          <w:color w:val="231F20"/>
          <w:spacing w:val="11"/>
        </w:rPr>
        <w:t xml:space="preserve"> </w:t>
      </w:r>
      <w:r>
        <w:rPr>
          <w:color w:val="231F20"/>
        </w:rPr>
        <w:t>bullets.</w:t>
      </w:r>
    </w:p>
    <w:p w14:paraId="4738D12D" w14:textId="77777777" w:rsidR="002653E8" w:rsidRDefault="003115E3">
      <w:pPr>
        <w:pStyle w:val="a3"/>
        <w:spacing w:line="264" w:lineRule="auto"/>
        <w:ind w:left="1147" w:right="1326" w:firstLine="210"/>
        <w:jc w:val="both"/>
      </w:pPr>
      <w:r>
        <w:rPr>
          <w:color w:val="231F20"/>
        </w:rPr>
        <w:t>Siegfried Buback, the man who had come to personify the judicial attacks against the guerilla, had been assassinated.</w:t>
      </w:r>
    </w:p>
    <w:p w14:paraId="69BD846F" w14:textId="5C79178B" w:rsidR="002653E8" w:rsidRDefault="003115E3">
      <w:pPr>
        <w:pStyle w:val="a3"/>
        <w:spacing w:line="264" w:lineRule="auto"/>
        <w:ind w:left="1147" w:right="1326" w:firstLine="209"/>
        <w:jc w:val="both"/>
      </w:pPr>
      <w:r>
        <w:rPr>
          <w:color w:val="231F20"/>
        </w:rPr>
        <w:t xml:space="preserve">The </w:t>
      </w:r>
      <w:r w:rsidR="00C507A5">
        <w:rPr>
          <w:color w:val="231F20"/>
          <w:spacing w:val="5"/>
        </w:rPr>
        <w:t>red army faction</w:t>
      </w:r>
      <w:r>
        <w:rPr>
          <w:color w:val="231F20"/>
          <w:spacing w:val="5"/>
        </w:rPr>
        <w:t xml:space="preserve"> </w:t>
      </w:r>
      <w:r>
        <w:rPr>
          <w:color w:val="231F20"/>
        </w:rPr>
        <w:t>immediately issued a communiqué claiming responsibility in the name of the “Ulrike Meinhof Commando” explaining Buback’s responsibility</w:t>
      </w:r>
      <w:r>
        <w:rPr>
          <w:color w:val="231F20"/>
          <w:spacing w:val="15"/>
        </w:rPr>
        <w:t xml:space="preserve"> </w:t>
      </w:r>
      <w:r>
        <w:rPr>
          <w:color w:val="231F20"/>
        </w:rPr>
        <w:t>for</w:t>
      </w:r>
      <w:r>
        <w:rPr>
          <w:color w:val="231F20"/>
          <w:spacing w:val="15"/>
        </w:rPr>
        <w:t xml:space="preserve"> </w:t>
      </w:r>
      <w:r>
        <w:rPr>
          <w:color w:val="231F20"/>
        </w:rPr>
        <w:t>the</w:t>
      </w:r>
      <w:r>
        <w:rPr>
          <w:color w:val="231F20"/>
          <w:spacing w:val="15"/>
        </w:rPr>
        <w:t xml:space="preserve"> </w:t>
      </w:r>
      <w:r>
        <w:rPr>
          <w:color w:val="231F20"/>
        </w:rPr>
        <w:t>deaths</w:t>
      </w:r>
      <w:r>
        <w:rPr>
          <w:color w:val="231F20"/>
          <w:spacing w:val="15"/>
        </w:rPr>
        <w:t xml:space="preserve"> </w:t>
      </w:r>
      <w:r>
        <w:rPr>
          <w:color w:val="231F20"/>
        </w:rPr>
        <w:t>of</w:t>
      </w:r>
      <w:r>
        <w:rPr>
          <w:color w:val="231F20"/>
          <w:spacing w:val="15"/>
        </w:rPr>
        <w:t xml:space="preserve"> </w:t>
      </w:r>
      <w:r>
        <w:rPr>
          <w:color w:val="231F20"/>
        </w:rPr>
        <w:t>Meinhof,</w:t>
      </w:r>
      <w:r>
        <w:rPr>
          <w:color w:val="231F20"/>
          <w:spacing w:val="15"/>
        </w:rPr>
        <w:t xml:space="preserve"> </w:t>
      </w:r>
      <w:r>
        <w:rPr>
          <w:color w:val="231F20"/>
        </w:rPr>
        <w:t>Hausner,</w:t>
      </w:r>
      <w:r>
        <w:rPr>
          <w:color w:val="231F20"/>
          <w:spacing w:val="15"/>
        </w:rPr>
        <w:t xml:space="preserve"> </w:t>
      </w:r>
      <w:r>
        <w:rPr>
          <w:color w:val="231F20"/>
        </w:rPr>
        <w:t>and</w:t>
      </w:r>
      <w:r>
        <w:rPr>
          <w:color w:val="231F20"/>
          <w:spacing w:val="15"/>
        </w:rPr>
        <w:t xml:space="preserve"> </w:t>
      </w:r>
      <w:r>
        <w:rPr>
          <w:color w:val="231F20"/>
        </w:rPr>
        <w:t>Meins.</w:t>
      </w:r>
    </w:p>
    <w:p w14:paraId="268E9568" w14:textId="77777777" w:rsidR="002653E8" w:rsidRDefault="003115E3">
      <w:pPr>
        <w:pStyle w:val="a3"/>
        <w:spacing w:line="264" w:lineRule="auto"/>
        <w:ind w:left="1147" w:right="1326" w:firstLine="210"/>
        <w:jc w:val="both"/>
        <w:rPr>
          <w:sz w:val="11"/>
        </w:rPr>
      </w:pPr>
      <w:r>
        <w:rPr>
          <w:color w:val="231F20"/>
        </w:rPr>
        <w:t>Along with the Attorney General, his chauffeur Wolfgang Göbel and bodyguard Georg Wurster were also killed. Even some of the prisoners’ own lawyers were shocked, Otto Schily declaring on their behalf that they viewed “this senseless and brutal murder with the utmost horror and revulsion.”</w:t>
      </w:r>
      <w:r>
        <w:rPr>
          <w:color w:val="231F20"/>
          <w:position w:val="7"/>
          <w:sz w:val="11"/>
        </w:rPr>
        <w:t>2</w:t>
      </w:r>
    </w:p>
    <w:p w14:paraId="47066CA8" w14:textId="77777777" w:rsidR="002653E8" w:rsidRDefault="003115E3">
      <w:pPr>
        <w:pStyle w:val="a3"/>
        <w:spacing w:line="264" w:lineRule="auto"/>
        <w:ind w:left="1147" w:right="1325" w:firstLine="210"/>
        <w:jc w:val="both"/>
      </w:pPr>
      <w:r>
        <w:rPr>
          <w:color w:val="231F20"/>
        </w:rPr>
        <w:t>Within a day, police announced that Günter Sonnenberg, Christian Klar, and Knut Folkerts (all of whom were formerly active in the prisoner support scene) were being sought in connection to the attack, and</w:t>
      </w:r>
    </w:p>
    <w:p w14:paraId="5C833382" w14:textId="77777777" w:rsidR="002653E8" w:rsidRDefault="00000000">
      <w:pPr>
        <w:pStyle w:val="a3"/>
        <w:spacing w:before="8"/>
        <w:rPr>
          <w:sz w:val="18"/>
        </w:rPr>
      </w:pPr>
      <w:r>
        <w:rPr>
          <w:noProof w:val="0"/>
        </w:rPr>
        <w:pict w14:anchorId="0E458229">
          <v:line id="_x0000_s2212" style="position:absolute;z-index:9904;mso-wrap-distance-left:0;mso-wrap-distance-right:0;mso-position-horizontal-relative:page" from="57.4pt,13.15pt" to="129.4pt,13.15pt" strokecolor="#231f20" strokeweight=".5pt">
            <w10:wrap type="topAndBottom" anchorx="page"/>
          </v:line>
        </w:pict>
      </w:r>
    </w:p>
    <w:p w14:paraId="305BF132" w14:textId="77777777" w:rsidR="002653E8" w:rsidRDefault="003115E3">
      <w:pPr>
        <w:spacing w:before="53" w:line="254" w:lineRule="auto"/>
        <w:ind w:left="1147" w:right="1380"/>
        <w:rPr>
          <w:sz w:val="16"/>
        </w:rPr>
      </w:pPr>
      <w:r>
        <w:rPr>
          <w:color w:val="231F20"/>
          <w:w w:val="110"/>
          <w:sz w:val="16"/>
        </w:rPr>
        <w:t xml:space="preserve">1 United Press International, “4 W. German Terrorists Arrested,” </w:t>
      </w:r>
      <w:r>
        <w:rPr>
          <w:i/>
          <w:color w:val="231F20"/>
          <w:w w:val="110"/>
          <w:sz w:val="16"/>
        </w:rPr>
        <w:t xml:space="preserve">Pacific Stars and </w:t>
      </w:r>
      <w:r>
        <w:rPr>
          <w:i/>
          <w:color w:val="231F20"/>
          <w:w w:val="110"/>
          <w:sz w:val="16"/>
        </w:rPr>
        <w:lastRenderedPageBreak/>
        <w:t xml:space="preserve">Stripes, </w:t>
      </w:r>
      <w:r>
        <w:rPr>
          <w:color w:val="231F20"/>
          <w:w w:val="110"/>
          <w:sz w:val="16"/>
        </w:rPr>
        <w:t>May 31, 1978.</w:t>
      </w:r>
    </w:p>
    <w:p w14:paraId="5240E560" w14:textId="77777777" w:rsidR="002653E8" w:rsidRDefault="003115E3">
      <w:pPr>
        <w:spacing w:before="41"/>
        <w:ind w:left="1147"/>
        <w:rPr>
          <w:sz w:val="16"/>
        </w:rPr>
      </w:pPr>
      <w:r>
        <w:rPr>
          <w:color w:val="231F20"/>
          <w:w w:val="110"/>
          <w:sz w:val="16"/>
        </w:rPr>
        <w:t>2 Aust, 401.</w:t>
      </w:r>
    </w:p>
    <w:p w14:paraId="1EAC8864" w14:textId="77777777" w:rsidR="002653E8" w:rsidRDefault="002653E8">
      <w:pPr>
        <w:rPr>
          <w:sz w:val="16"/>
        </w:rPr>
        <w:sectPr w:rsidR="002653E8">
          <w:pgSz w:w="8640" w:h="12960"/>
          <w:pgMar w:top="1060" w:right="0" w:bottom="1040" w:left="0" w:header="0" w:footer="850" w:gutter="0"/>
          <w:cols w:space="720"/>
        </w:sectPr>
      </w:pPr>
    </w:p>
    <w:p w14:paraId="5BF9291C" w14:textId="77777777" w:rsidR="002653E8" w:rsidRDefault="003115E3">
      <w:pPr>
        <w:pStyle w:val="a3"/>
        <w:spacing w:before="86" w:line="264" w:lineRule="auto"/>
        <w:ind w:left="1327" w:right="1146"/>
        <w:jc w:val="both"/>
        <w:rPr>
          <w:sz w:val="11"/>
        </w:rPr>
      </w:pPr>
      <w:r>
        <w:rPr>
          <w:color w:val="231F20"/>
        </w:rPr>
        <w:lastRenderedPageBreak/>
        <w:t xml:space="preserve">a bounty of </w:t>
      </w:r>
      <w:r>
        <w:rPr>
          <w:color w:val="231F20"/>
          <w:spacing w:val="1"/>
        </w:rPr>
        <w:t xml:space="preserve">200,000 </w:t>
      </w:r>
      <w:r>
        <w:rPr>
          <w:color w:val="231F20"/>
        </w:rPr>
        <w:t>marks</w:t>
      </w:r>
      <w:r>
        <w:rPr>
          <w:color w:val="231F20"/>
          <w:position w:val="7"/>
          <w:sz w:val="11"/>
        </w:rPr>
        <w:t xml:space="preserve">3 </w:t>
      </w:r>
      <w:r>
        <w:rPr>
          <w:color w:val="231F20"/>
        </w:rPr>
        <w:t>was being offered for information leading  to their</w:t>
      </w:r>
      <w:r>
        <w:rPr>
          <w:color w:val="231F20"/>
          <w:spacing w:val="21"/>
        </w:rPr>
        <w:t xml:space="preserve"> </w:t>
      </w:r>
      <w:r>
        <w:rPr>
          <w:color w:val="231F20"/>
        </w:rPr>
        <w:t>capture.</w:t>
      </w:r>
      <w:r>
        <w:rPr>
          <w:color w:val="231F20"/>
          <w:position w:val="7"/>
          <w:sz w:val="11"/>
        </w:rPr>
        <w:t>4</w:t>
      </w:r>
    </w:p>
    <w:p w14:paraId="00AB0DA3" w14:textId="6EC58798" w:rsidR="002653E8" w:rsidRDefault="003115E3">
      <w:pPr>
        <w:pStyle w:val="a3"/>
        <w:spacing w:line="264" w:lineRule="auto"/>
        <w:ind w:left="1327" w:right="1146" w:firstLine="210"/>
        <w:jc w:val="both"/>
      </w:pPr>
      <w:r>
        <w:rPr>
          <w:color w:val="231F20"/>
        </w:rPr>
        <w:t>This assassination occurred not only in the context of Buback’s continuing attacks against the lawyers, but also two weeks before the end of the Stammheim show trial in which Baader, Ensslin and Raspe were found</w:t>
      </w:r>
      <w:r>
        <w:rPr>
          <w:color w:val="231F20"/>
          <w:spacing w:val="18"/>
        </w:rPr>
        <w:t xml:space="preserve"> </w:t>
      </w:r>
      <w:r>
        <w:rPr>
          <w:color w:val="231F20"/>
        </w:rPr>
        <w:t>guilty</w:t>
      </w:r>
      <w:r>
        <w:rPr>
          <w:color w:val="231F20"/>
          <w:spacing w:val="18"/>
        </w:rPr>
        <w:t xml:space="preserve"> </w:t>
      </w:r>
      <w:r>
        <w:rPr>
          <w:color w:val="231F20"/>
        </w:rPr>
        <w:t>of</w:t>
      </w:r>
      <w:r>
        <w:rPr>
          <w:color w:val="231F20"/>
          <w:spacing w:val="18"/>
        </w:rPr>
        <w:t xml:space="preserve"> </w:t>
      </w:r>
      <w:r>
        <w:rPr>
          <w:color w:val="231F20"/>
        </w:rPr>
        <w:t>various</w:t>
      </w:r>
      <w:r>
        <w:rPr>
          <w:color w:val="231F20"/>
          <w:spacing w:val="18"/>
        </w:rPr>
        <w:t xml:space="preserve"> </w:t>
      </w:r>
      <w:r>
        <w:rPr>
          <w:color w:val="231F20"/>
        </w:rPr>
        <w:t>offenses</w:t>
      </w:r>
      <w:r>
        <w:rPr>
          <w:color w:val="231F20"/>
          <w:spacing w:val="18"/>
        </w:rPr>
        <w:t xml:space="preserve"> </w:t>
      </w:r>
      <w:r>
        <w:rPr>
          <w:color w:val="231F20"/>
        </w:rPr>
        <w:t>relating</w:t>
      </w:r>
      <w:r>
        <w:rPr>
          <w:color w:val="231F20"/>
          <w:spacing w:val="18"/>
        </w:rPr>
        <w:t xml:space="preserve"> </w:t>
      </w:r>
      <w:r>
        <w:rPr>
          <w:color w:val="231F20"/>
        </w:rPr>
        <w:t>to</w:t>
      </w:r>
      <w:r>
        <w:rPr>
          <w:color w:val="231F20"/>
          <w:spacing w:val="18"/>
        </w:rPr>
        <w:t xml:space="preserve"> </w:t>
      </w:r>
      <w:r>
        <w:rPr>
          <w:color w:val="231F20"/>
        </w:rPr>
        <w:t>the</w:t>
      </w:r>
      <w:r>
        <w:rPr>
          <w:color w:val="231F20"/>
          <w:spacing w:val="18"/>
        </w:rPr>
        <w:t xml:space="preserve"> </w:t>
      </w:r>
      <w:r>
        <w:rPr>
          <w:color w:val="231F20"/>
        </w:rPr>
        <w:t>May</w:t>
      </w:r>
      <w:r>
        <w:rPr>
          <w:color w:val="231F20"/>
          <w:spacing w:val="18"/>
        </w:rPr>
        <w:t xml:space="preserve"> </w:t>
      </w:r>
      <w:r>
        <w:rPr>
          <w:color w:val="231F20"/>
        </w:rPr>
        <w:t>Offensive</w:t>
      </w:r>
      <w:r>
        <w:rPr>
          <w:color w:val="231F20"/>
          <w:spacing w:val="18"/>
        </w:rPr>
        <w:t xml:space="preserve"> </w:t>
      </w:r>
      <w:r>
        <w:rPr>
          <w:color w:val="231F20"/>
        </w:rPr>
        <w:t>of</w:t>
      </w:r>
      <w:r>
        <w:rPr>
          <w:color w:val="231F20"/>
          <w:spacing w:val="20"/>
        </w:rPr>
        <w:t xml:space="preserve"> </w:t>
      </w:r>
      <w:r>
        <w:rPr>
          <w:color w:val="231F20"/>
          <w:spacing w:val="-3"/>
        </w:rPr>
        <w:t>1972.</w:t>
      </w:r>
    </w:p>
    <w:p w14:paraId="3D36E05C" w14:textId="77777777" w:rsidR="002653E8" w:rsidRDefault="003115E3">
      <w:pPr>
        <w:pStyle w:val="a3"/>
        <w:spacing w:line="230" w:lineRule="exact"/>
        <w:ind w:left="1537"/>
      </w:pPr>
      <w:r>
        <w:rPr>
          <w:color w:val="231F20"/>
        </w:rPr>
        <w:t>As has been noted elsewhere:</w:t>
      </w:r>
    </w:p>
    <w:p w14:paraId="7D4A0176" w14:textId="77777777" w:rsidR="002653E8" w:rsidRDefault="003115E3">
      <w:pPr>
        <w:spacing w:before="149" w:line="276" w:lineRule="auto"/>
        <w:ind w:left="1747" w:right="1565"/>
        <w:jc w:val="both"/>
        <w:rPr>
          <w:i/>
          <w:sz w:val="11"/>
        </w:rPr>
      </w:pPr>
      <w:r>
        <w:rPr>
          <w:i/>
          <w:color w:val="231F20"/>
          <w:sz w:val="19"/>
        </w:rPr>
        <w:t xml:space="preserve">This attack marked a shift to a strategy that would be marked by an overwhelming focus on assassinations of </w:t>
      </w:r>
      <w:r>
        <w:rPr>
          <w:i/>
          <w:color w:val="231F20"/>
          <w:spacing w:val="-3"/>
          <w:sz w:val="19"/>
        </w:rPr>
        <w:t xml:space="preserve">key </w:t>
      </w:r>
      <w:r>
        <w:rPr>
          <w:i/>
          <w:color w:val="231F20"/>
          <w:sz w:val="19"/>
        </w:rPr>
        <w:t xml:space="preserve">members of the state apparatus and the business elite. Although this might not have been recognized at the time, it was a shift to an entirely new phase in the </w:t>
      </w:r>
      <w:r w:rsidR="00C507A5">
        <w:rPr>
          <w:i/>
          <w:color w:val="231F20"/>
          <w:spacing w:val="-4"/>
          <w:sz w:val="19"/>
        </w:rPr>
        <w:t>red army faction</w:t>
      </w:r>
      <w:r>
        <w:rPr>
          <w:i/>
          <w:color w:val="231F20"/>
          <w:spacing w:val="-4"/>
          <w:sz w:val="19"/>
        </w:rPr>
        <w:t>’s</w:t>
      </w:r>
      <w:r>
        <w:rPr>
          <w:i/>
          <w:color w:val="231F20"/>
          <w:spacing w:val="6"/>
          <w:sz w:val="19"/>
        </w:rPr>
        <w:t xml:space="preserve"> </w:t>
      </w:r>
      <w:r>
        <w:rPr>
          <w:i/>
          <w:color w:val="231F20"/>
          <w:sz w:val="19"/>
        </w:rPr>
        <w:t>practice.</w:t>
      </w:r>
      <w:r>
        <w:rPr>
          <w:i/>
          <w:color w:val="231F20"/>
          <w:position w:val="6"/>
          <w:sz w:val="11"/>
        </w:rPr>
        <w:t>5</w:t>
      </w:r>
    </w:p>
    <w:p w14:paraId="1B270195" w14:textId="77777777" w:rsidR="002653E8" w:rsidRDefault="003115E3">
      <w:pPr>
        <w:pStyle w:val="a3"/>
        <w:spacing w:before="132" w:line="264" w:lineRule="auto"/>
        <w:ind w:left="1327" w:right="1146"/>
        <w:jc w:val="both"/>
        <w:rPr>
          <w:sz w:val="11"/>
        </w:rPr>
      </w:pPr>
      <w:r>
        <w:rPr>
          <w:color w:val="231F20"/>
        </w:rPr>
        <w:t>Or, as Knut Folkerts later testified, the assassination “showed that we knew who they were, that we could attack them, and that there was nothing they could do to stop us.”</w:t>
      </w:r>
      <w:r>
        <w:rPr>
          <w:color w:val="231F20"/>
          <w:position w:val="7"/>
          <w:sz w:val="11"/>
        </w:rPr>
        <w:t>6</w:t>
      </w:r>
    </w:p>
    <w:p w14:paraId="42747264" w14:textId="77777777" w:rsidR="002653E8" w:rsidRDefault="003115E3">
      <w:pPr>
        <w:pStyle w:val="a3"/>
        <w:spacing w:line="264" w:lineRule="auto"/>
        <w:ind w:left="1327" w:right="1145" w:firstLine="210"/>
        <w:jc w:val="both"/>
      </w:pPr>
      <w:r>
        <w:rPr>
          <w:color w:val="231F20"/>
        </w:rPr>
        <w:t xml:space="preserve">The hunger strike continued, the prisoners consolidating their support. Soon relatives of the prisoners began a solidarity hunger strike, and on April </w:t>
      </w:r>
      <w:r>
        <w:rPr>
          <w:color w:val="231F20"/>
          <w:spacing w:val="-7"/>
        </w:rPr>
        <w:t xml:space="preserve">17, </w:t>
      </w:r>
      <w:r>
        <w:rPr>
          <w:color w:val="231F20"/>
        </w:rPr>
        <w:t xml:space="preserve">Peter’s Church in Frankfurt was occupied and turned into a hunger strike information center. As the number of prisoners refusing food reached one hundred and twenty, more outside supporters began a second solidarity hunger strike in a Bielefeld Church. On April </w:t>
      </w:r>
      <w:r>
        <w:rPr>
          <w:color w:val="231F20"/>
          <w:spacing w:val="-8"/>
        </w:rPr>
        <w:t xml:space="preserve">27, </w:t>
      </w:r>
      <w:r>
        <w:rPr>
          <w:color w:val="231F20"/>
        </w:rPr>
        <w:t xml:space="preserve">relatives of political prisoners held a demonstration at the United Nations headquarters in Switzerland demanding the application of the Geneva Convention. The next </w:t>
      </w:r>
      <w:r>
        <w:rPr>
          <w:color w:val="231F20"/>
          <w:spacing w:val="-4"/>
        </w:rPr>
        <w:t xml:space="preserve">day, </w:t>
      </w:r>
      <w:r>
        <w:rPr>
          <w:color w:val="231F20"/>
          <w:spacing w:val="1"/>
        </w:rPr>
        <w:t xml:space="preserve">Amnesty </w:t>
      </w:r>
      <w:r>
        <w:rPr>
          <w:color w:val="231F20"/>
        </w:rPr>
        <w:t>International added its voice to that of eighty clergymen and two hundred and forty-five lawyers,</w:t>
      </w:r>
      <w:r>
        <w:rPr>
          <w:color w:val="231F20"/>
          <w:spacing w:val="10"/>
        </w:rPr>
        <w:t xml:space="preserve"> </w:t>
      </w:r>
      <w:r>
        <w:rPr>
          <w:color w:val="231F20"/>
        </w:rPr>
        <w:t>all</w:t>
      </w:r>
      <w:r>
        <w:rPr>
          <w:color w:val="231F20"/>
          <w:spacing w:val="10"/>
        </w:rPr>
        <w:t xml:space="preserve"> </w:t>
      </w:r>
      <w:r>
        <w:rPr>
          <w:color w:val="231F20"/>
        </w:rPr>
        <w:t>urging</w:t>
      </w:r>
      <w:r>
        <w:rPr>
          <w:color w:val="231F20"/>
          <w:spacing w:val="10"/>
        </w:rPr>
        <w:t xml:space="preserve"> </w:t>
      </w:r>
      <w:r>
        <w:rPr>
          <w:color w:val="231F20"/>
        </w:rPr>
        <w:t>the</w:t>
      </w:r>
      <w:r>
        <w:rPr>
          <w:color w:val="231F20"/>
          <w:spacing w:val="10"/>
        </w:rPr>
        <w:t xml:space="preserve"> </w:t>
      </w:r>
      <w:r>
        <w:rPr>
          <w:color w:val="231F20"/>
        </w:rPr>
        <w:t>government</w:t>
      </w:r>
      <w:r>
        <w:rPr>
          <w:color w:val="231F20"/>
          <w:spacing w:val="10"/>
        </w:rPr>
        <w:t xml:space="preserve"> </w:t>
      </w:r>
      <w:r>
        <w:rPr>
          <w:color w:val="231F20"/>
        </w:rPr>
        <w:t>to</w:t>
      </w:r>
      <w:r>
        <w:rPr>
          <w:color w:val="231F20"/>
          <w:spacing w:val="10"/>
        </w:rPr>
        <w:t xml:space="preserve"> </w:t>
      </w:r>
      <w:r>
        <w:rPr>
          <w:color w:val="231F20"/>
        </w:rPr>
        <w:t>abandon</w:t>
      </w:r>
      <w:r>
        <w:rPr>
          <w:color w:val="231F20"/>
          <w:spacing w:val="10"/>
        </w:rPr>
        <w:t xml:space="preserve"> </w:t>
      </w:r>
      <w:r>
        <w:rPr>
          <w:color w:val="231F20"/>
        </w:rPr>
        <w:t>its</w:t>
      </w:r>
      <w:r>
        <w:rPr>
          <w:color w:val="231F20"/>
          <w:spacing w:val="10"/>
        </w:rPr>
        <w:t xml:space="preserve"> </w:t>
      </w:r>
      <w:r>
        <w:rPr>
          <w:color w:val="231F20"/>
        </w:rPr>
        <w:t>hard</w:t>
      </w:r>
      <w:r>
        <w:rPr>
          <w:color w:val="231F20"/>
          <w:spacing w:val="10"/>
        </w:rPr>
        <w:t xml:space="preserve"> </w:t>
      </w:r>
      <w:r>
        <w:rPr>
          <w:color w:val="231F20"/>
        </w:rPr>
        <w:t>line.</w:t>
      </w:r>
    </w:p>
    <w:p w14:paraId="08554830" w14:textId="77777777" w:rsidR="002653E8" w:rsidRDefault="003115E3">
      <w:pPr>
        <w:pStyle w:val="a3"/>
        <w:spacing w:line="264" w:lineRule="auto"/>
        <w:ind w:left="1327" w:right="1146" w:firstLine="210"/>
        <w:jc w:val="both"/>
      </w:pPr>
      <w:r>
        <w:rPr>
          <w:color w:val="231F20"/>
        </w:rPr>
        <w:t xml:space="preserve">Finally, on April 30, it was announced that the prisoners would be granted limited association. </w:t>
      </w:r>
      <w:r>
        <w:rPr>
          <w:color w:val="231F20"/>
          <w:spacing w:val="-3"/>
        </w:rPr>
        <w:t xml:space="preserve">years </w:t>
      </w:r>
      <w:r>
        <w:rPr>
          <w:color w:val="231F20"/>
        </w:rPr>
        <w:t xml:space="preserve">of struggle seemed to have finally paid off. </w:t>
      </w:r>
      <w:r>
        <w:rPr>
          <w:color w:val="231F20"/>
          <w:spacing w:val="1"/>
        </w:rPr>
        <w:t xml:space="preserve">In </w:t>
      </w:r>
      <w:r>
        <w:rPr>
          <w:color w:val="231F20"/>
        </w:rPr>
        <w:t>response to this victory the prisoners agreed to call off their hunger</w:t>
      </w:r>
      <w:r>
        <w:rPr>
          <w:color w:val="231F20"/>
          <w:spacing w:val="10"/>
        </w:rPr>
        <w:t xml:space="preserve"> </w:t>
      </w:r>
      <w:r>
        <w:rPr>
          <w:color w:val="231F20"/>
        </w:rPr>
        <w:t>strike.</w:t>
      </w:r>
    </w:p>
    <w:p w14:paraId="4ABF1574" w14:textId="77777777" w:rsidR="002653E8" w:rsidRDefault="003115E3">
      <w:pPr>
        <w:pStyle w:val="a3"/>
        <w:spacing w:line="264" w:lineRule="auto"/>
        <w:ind w:left="1327" w:right="1146" w:firstLine="210"/>
        <w:jc w:val="both"/>
      </w:pPr>
      <w:r>
        <w:rPr>
          <w:color w:val="231F20"/>
        </w:rPr>
        <w:t>The seventh floor of Stammheim prison—where Baader, Raspe, and Ensslin were held along with Irmgard Möller, who had been transferred</w:t>
      </w:r>
    </w:p>
    <w:p w14:paraId="1FA6EFF0" w14:textId="77777777" w:rsidR="002653E8" w:rsidRDefault="00000000">
      <w:pPr>
        <w:pStyle w:val="a3"/>
        <w:rPr>
          <w:sz w:val="28"/>
        </w:rPr>
      </w:pPr>
      <w:r>
        <w:rPr>
          <w:noProof w:val="0"/>
        </w:rPr>
        <w:pict w14:anchorId="1B9F1DD6">
          <v:line id="_x0000_s2211" style="position:absolute;z-index:9928;mso-wrap-distance-left:0;mso-wrap-distance-right:0;mso-position-horizontal-relative:page" from="66.4pt,18.65pt" to="138.4pt,18.65pt" strokecolor="#231f20" strokeweight=".5pt">
            <w10:wrap type="topAndBottom" anchorx="page"/>
          </v:line>
        </w:pict>
      </w:r>
    </w:p>
    <w:p w14:paraId="624F9A22" w14:textId="77777777" w:rsidR="002653E8" w:rsidRDefault="003115E3">
      <w:pPr>
        <w:spacing w:before="53"/>
        <w:ind w:left="1327"/>
        <w:rPr>
          <w:sz w:val="16"/>
        </w:rPr>
      </w:pPr>
      <w:r>
        <w:rPr>
          <w:color w:val="231F20"/>
          <w:w w:val="110"/>
          <w:sz w:val="16"/>
        </w:rPr>
        <w:t>3 Roughly $88,000.</w:t>
      </w:r>
    </w:p>
    <w:p w14:paraId="22D9034A" w14:textId="77777777" w:rsidR="002653E8" w:rsidRDefault="003115E3">
      <w:pPr>
        <w:spacing w:before="51" w:line="307" w:lineRule="auto"/>
        <w:ind w:left="1328" w:right="1198" w:hanging="1"/>
        <w:rPr>
          <w:sz w:val="16"/>
        </w:rPr>
      </w:pPr>
      <w:r>
        <w:rPr>
          <w:color w:val="231F20"/>
          <w:w w:val="115"/>
          <w:sz w:val="16"/>
        </w:rPr>
        <w:t>4</w:t>
      </w:r>
      <w:r>
        <w:rPr>
          <w:color w:val="231F20"/>
          <w:spacing w:val="-12"/>
          <w:w w:val="115"/>
          <w:sz w:val="16"/>
        </w:rPr>
        <w:t xml:space="preserve"> </w:t>
      </w:r>
      <w:r>
        <w:rPr>
          <w:color w:val="231F20"/>
          <w:w w:val="115"/>
          <w:sz w:val="16"/>
        </w:rPr>
        <w:t>Associated</w:t>
      </w:r>
      <w:r>
        <w:rPr>
          <w:color w:val="231F20"/>
          <w:spacing w:val="-12"/>
          <w:w w:val="115"/>
          <w:sz w:val="16"/>
        </w:rPr>
        <w:t xml:space="preserve"> </w:t>
      </w:r>
      <w:r>
        <w:rPr>
          <w:color w:val="231F20"/>
          <w:w w:val="115"/>
          <w:sz w:val="16"/>
        </w:rPr>
        <w:t>Press,</w:t>
      </w:r>
      <w:r>
        <w:rPr>
          <w:color w:val="231F20"/>
          <w:spacing w:val="-12"/>
          <w:w w:val="115"/>
          <w:sz w:val="16"/>
        </w:rPr>
        <w:t xml:space="preserve"> </w:t>
      </w:r>
      <w:r>
        <w:rPr>
          <w:color w:val="231F20"/>
          <w:spacing w:val="-5"/>
          <w:w w:val="115"/>
          <w:sz w:val="16"/>
        </w:rPr>
        <w:t>“3</w:t>
      </w:r>
      <w:r>
        <w:rPr>
          <w:color w:val="231F20"/>
          <w:spacing w:val="-12"/>
          <w:w w:val="115"/>
          <w:sz w:val="16"/>
        </w:rPr>
        <w:t xml:space="preserve"> </w:t>
      </w:r>
      <w:r>
        <w:rPr>
          <w:color w:val="231F20"/>
          <w:w w:val="115"/>
          <w:sz w:val="16"/>
        </w:rPr>
        <w:t>Sought</w:t>
      </w:r>
      <w:r>
        <w:rPr>
          <w:color w:val="231F20"/>
          <w:spacing w:val="-12"/>
          <w:w w:val="115"/>
          <w:sz w:val="16"/>
        </w:rPr>
        <w:t xml:space="preserve"> </w:t>
      </w:r>
      <w:r>
        <w:rPr>
          <w:color w:val="231F20"/>
          <w:spacing w:val="1"/>
          <w:w w:val="115"/>
          <w:sz w:val="16"/>
        </w:rPr>
        <w:t>In</w:t>
      </w:r>
      <w:r>
        <w:rPr>
          <w:color w:val="231F20"/>
          <w:spacing w:val="-12"/>
          <w:w w:val="115"/>
          <w:sz w:val="16"/>
        </w:rPr>
        <w:t xml:space="preserve"> </w:t>
      </w:r>
      <w:r>
        <w:rPr>
          <w:color w:val="231F20"/>
          <w:w w:val="115"/>
          <w:sz w:val="16"/>
        </w:rPr>
        <w:t>Slaying</w:t>
      </w:r>
      <w:r>
        <w:rPr>
          <w:color w:val="231F20"/>
          <w:spacing w:val="-12"/>
          <w:w w:val="115"/>
          <w:sz w:val="16"/>
        </w:rPr>
        <w:t xml:space="preserve"> </w:t>
      </w:r>
      <w:r>
        <w:rPr>
          <w:color w:val="231F20"/>
          <w:w w:val="115"/>
          <w:sz w:val="16"/>
        </w:rPr>
        <w:t>Of</w:t>
      </w:r>
      <w:r>
        <w:rPr>
          <w:color w:val="231F20"/>
          <w:spacing w:val="-12"/>
          <w:w w:val="115"/>
          <w:sz w:val="16"/>
        </w:rPr>
        <w:t xml:space="preserve"> </w:t>
      </w:r>
      <w:r>
        <w:rPr>
          <w:color w:val="231F20"/>
          <w:w w:val="115"/>
          <w:sz w:val="16"/>
        </w:rPr>
        <w:t>Official,”</w:t>
      </w:r>
      <w:r>
        <w:rPr>
          <w:color w:val="231F20"/>
          <w:spacing w:val="-12"/>
          <w:w w:val="115"/>
          <w:sz w:val="16"/>
        </w:rPr>
        <w:t xml:space="preserve"> </w:t>
      </w:r>
      <w:r>
        <w:rPr>
          <w:i/>
          <w:color w:val="231F20"/>
          <w:w w:val="115"/>
          <w:sz w:val="16"/>
        </w:rPr>
        <w:t>Press</w:t>
      </w:r>
      <w:r>
        <w:rPr>
          <w:i/>
          <w:color w:val="231F20"/>
          <w:spacing w:val="-12"/>
          <w:w w:val="115"/>
          <w:sz w:val="16"/>
        </w:rPr>
        <w:t xml:space="preserve"> </w:t>
      </w:r>
      <w:r>
        <w:rPr>
          <w:i/>
          <w:color w:val="231F20"/>
          <w:w w:val="115"/>
          <w:sz w:val="16"/>
        </w:rPr>
        <w:t>Courier,</w:t>
      </w:r>
      <w:r>
        <w:rPr>
          <w:i/>
          <w:color w:val="231F20"/>
          <w:spacing w:val="-11"/>
          <w:w w:val="115"/>
          <w:sz w:val="16"/>
        </w:rPr>
        <w:t xml:space="preserve"> </w:t>
      </w:r>
      <w:r>
        <w:rPr>
          <w:color w:val="231F20"/>
          <w:w w:val="115"/>
          <w:sz w:val="16"/>
        </w:rPr>
        <w:t>April</w:t>
      </w:r>
      <w:r>
        <w:rPr>
          <w:color w:val="231F20"/>
          <w:spacing w:val="-12"/>
          <w:w w:val="115"/>
          <w:sz w:val="16"/>
        </w:rPr>
        <w:t xml:space="preserve"> </w:t>
      </w:r>
      <w:r>
        <w:rPr>
          <w:color w:val="231F20"/>
          <w:w w:val="115"/>
          <w:sz w:val="16"/>
        </w:rPr>
        <w:t>8,</w:t>
      </w:r>
      <w:r>
        <w:rPr>
          <w:color w:val="231F20"/>
          <w:spacing w:val="-12"/>
          <w:w w:val="115"/>
          <w:sz w:val="16"/>
        </w:rPr>
        <w:t xml:space="preserve"> </w:t>
      </w:r>
      <w:r>
        <w:rPr>
          <w:color w:val="231F20"/>
          <w:spacing w:val="-4"/>
          <w:w w:val="115"/>
          <w:sz w:val="16"/>
        </w:rPr>
        <w:t xml:space="preserve">1977. </w:t>
      </w:r>
      <w:r>
        <w:rPr>
          <w:color w:val="231F20"/>
          <w:w w:val="115"/>
          <w:sz w:val="16"/>
        </w:rPr>
        <w:t xml:space="preserve">5 </w:t>
      </w:r>
      <w:r>
        <w:rPr>
          <w:color w:val="231F20"/>
          <w:spacing w:val="1"/>
          <w:w w:val="115"/>
          <w:sz w:val="16"/>
        </w:rPr>
        <w:t xml:space="preserve">Arm </w:t>
      </w:r>
      <w:r>
        <w:rPr>
          <w:color w:val="231F20"/>
          <w:w w:val="115"/>
          <w:sz w:val="16"/>
        </w:rPr>
        <w:t xml:space="preserve">the Spirit, </w:t>
      </w:r>
      <w:r>
        <w:rPr>
          <w:color w:val="231F20"/>
          <w:spacing w:val="-7"/>
          <w:w w:val="115"/>
          <w:sz w:val="16"/>
        </w:rPr>
        <w:t xml:space="preserve">“A </w:t>
      </w:r>
      <w:r>
        <w:rPr>
          <w:color w:val="231F20"/>
          <w:w w:val="115"/>
          <w:sz w:val="16"/>
        </w:rPr>
        <w:t>Brief History of the Red Army</w:t>
      </w:r>
      <w:r>
        <w:rPr>
          <w:color w:val="231F20"/>
          <w:spacing w:val="7"/>
          <w:w w:val="115"/>
          <w:sz w:val="16"/>
        </w:rPr>
        <w:t xml:space="preserve"> </w:t>
      </w:r>
      <w:r>
        <w:rPr>
          <w:color w:val="231F20"/>
          <w:w w:val="115"/>
          <w:sz w:val="16"/>
        </w:rPr>
        <w:t>Faction.”</w:t>
      </w:r>
    </w:p>
    <w:p w14:paraId="7A5FE7CD" w14:textId="77777777" w:rsidR="002653E8" w:rsidRDefault="003115E3">
      <w:pPr>
        <w:spacing w:line="254" w:lineRule="auto"/>
        <w:ind w:left="1328" w:right="1325"/>
        <w:rPr>
          <w:sz w:val="16"/>
        </w:rPr>
      </w:pPr>
      <w:r>
        <w:rPr>
          <w:color w:val="231F20"/>
          <w:w w:val="105"/>
          <w:sz w:val="16"/>
        </w:rPr>
        <w:t xml:space="preserve">6 “Déclaration de Knut Folkerts dans le procèes contre Brigitte Schulz et Christian Klar (5-6-84) à Stuttgart-Stammheim, concernant l’action contre Buback,” </w:t>
      </w:r>
      <w:r>
        <w:rPr>
          <w:i/>
          <w:color w:val="231F20"/>
          <w:w w:val="105"/>
          <w:sz w:val="16"/>
        </w:rPr>
        <w:t xml:space="preserve">Ligne Rouge </w:t>
      </w:r>
      <w:r>
        <w:rPr>
          <w:color w:val="231F20"/>
          <w:w w:val="105"/>
          <w:sz w:val="16"/>
        </w:rPr>
        <w:t>11, (December 1984).</w:t>
      </w:r>
    </w:p>
    <w:p w14:paraId="4C4C8CF9" w14:textId="77777777" w:rsidR="002653E8" w:rsidRDefault="002653E8">
      <w:pPr>
        <w:spacing w:line="254" w:lineRule="auto"/>
        <w:rPr>
          <w:sz w:val="16"/>
        </w:rPr>
        <w:sectPr w:rsidR="002653E8">
          <w:footerReference w:type="even" r:id="rId398"/>
          <w:footerReference w:type="default" r:id="rId399"/>
          <w:pgSz w:w="8640" w:h="12960"/>
          <w:pgMar w:top="1060" w:right="0" w:bottom="1040" w:left="0" w:header="0" w:footer="850" w:gutter="0"/>
          <w:pgNumType w:start="471"/>
          <w:cols w:space="720"/>
        </w:sectPr>
      </w:pPr>
    </w:p>
    <w:p w14:paraId="2FC8FCB5" w14:textId="77777777" w:rsidR="002653E8" w:rsidRDefault="003115E3">
      <w:pPr>
        <w:pStyle w:val="a3"/>
        <w:spacing w:before="86" w:line="264" w:lineRule="auto"/>
        <w:ind w:left="1147" w:right="1145"/>
      </w:pPr>
      <w:r>
        <w:rPr>
          <w:color w:val="231F20"/>
        </w:rPr>
        <w:lastRenderedPageBreak/>
        <w:t>there in January of that year—was soon being renovated to allow up to sixteen prisoners to be housed together.</w:t>
      </w:r>
    </w:p>
    <w:p w14:paraId="4C9373D6" w14:textId="77777777" w:rsidR="002653E8" w:rsidRDefault="003115E3">
      <w:pPr>
        <w:pStyle w:val="a3"/>
        <w:spacing w:line="232" w:lineRule="exact"/>
        <w:ind w:left="1357"/>
      </w:pPr>
      <w:r>
        <w:rPr>
          <w:color w:val="231F20"/>
        </w:rPr>
        <w:t>At the same time, the hunt for the guerillas in the field continued.</w:t>
      </w:r>
    </w:p>
    <w:p w14:paraId="4FCFA88A" w14:textId="77777777" w:rsidR="002653E8" w:rsidRDefault="003115E3">
      <w:pPr>
        <w:pStyle w:val="a3"/>
        <w:spacing w:before="23" w:line="264" w:lineRule="auto"/>
        <w:ind w:left="1147" w:right="1325" w:firstLine="210"/>
        <w:jc w:val="both"/>
      </w:pPr>
      <w:r>
        <w:rPr>
          <w:color w:val="231F20"/>
        </w:rPr>
        <w:t xml:space="preserve">On May </w:t>
      </w:r>
      <w:r>
        <w:rPr>
          <w:color w:val="231F20"/>
          <w:spacing w:val="-3"/>
        </w:rPr>
        <w:t xml:space="preserve">3, </w:t>
      </w:r>
      <w:r>
        <w:rPr>
          <w:color w:val="231F20"/>
        </w:rPr>
        <w:t xml:space="preserve">Günter Sonnenberg and Verena Becker were captured in the German-Swiss border town of Singen. (In the two years since she had been freed in exchange for Lorenz, Becker had moved from  2JM     to the </w:t>
      </w:r>
      <w:r w:rsidR="00C507A5">
        <w:rPr>
          <w:color w:val="231F20"/>
        </w:rPr>
        <w:t>red army faction</w:t>
      </w:r>
      <w:r>
        <w:rPr>
          <w:color w:val="231F20"/>
        </w:rPr>
        <w:t>.) A woman had tipped off the police after spotting the two   as they sat in a café: she recognized Sonnenberg from the wanted posters that had gone up throughout Western Europe following the Buback assassination.</w:t>
      </w:r>
    </w:p>
    <w:p w14:paraId="6C81A121" w14:textId="77777777" w:rsidR="002653E8" w:rsidRDefault="003115E3">
      <w:pPr>
        <w:pStyle w:val="a3"/>
        <w:spacing w:line="264" w:lineRule="auto"/>
        <w:ind w:left="1147" w:right="1325" w:firstLine="210"/>
        <w:jc w:val="both"/>
      </w:pPr>
      <w:r>
        <w:rPr>
          <w:color w:val="231F20"/>
        </w:rPr>
        <w:t xml:space="preserve">When the police arrived on the scene, the guerillas tried to play it cool, innocently pretending to have left their </w:t>
      </w:r>
      <w:r>
        <w:rPr>
          <w:color w:val="231F20"/>
          <w:spacing w:val="2"/>
        </w:rPr>
        <w:t xml:space="preserve">ID </w:t>
      </w:r>
      <w:r>
        <w:rPr>
          <w:color w:val="231F20"/>
        </w:rPr>
        <w:t>papers in their car. While</w:t>
      </w:r>
      <w:r>
        <w:rPr>
          <w:color w:val="231F20"/>
          <w:spacing w:val="-4"/>
        </w:rPr>
        <w:t xml:space="preserve"> </w:t>
      </w:r>
      <w:r>
        <w:rPr>
          <w:color w:val="231F20"/>
        </w:rPr>
        <w:t>being</w:t>
      </w:r>
      <w:r>
        <w:rPr>
          <w:color w:val="231F20"/>
          <w:spacing w:val="-4"/>
        </w:rPr>
        <w:t xml:space="preserve"> </w:t>
      </w:r>
      <w:r>
        <w:rPr>
          <w:color w:val="231F20"/>
        </w:rPr>
        <w:t>escorted</w:t>
      </w:r>
      <w:r>
        <w:rPr>
          <w:color w:val="231F20"/>
          <w:spacing w:val="-4"/>
        </w:rPr>
        <w:t xml:space="preserve"> </w:t>
      </w:r>
      <w:r>
        <w:rPr>
          <w:color w:val="231F20"/>
        </w:rPr>
        <w:t>from</w:t>
      </w:r>
      <w:r>
        <w:rPr>
          <w:color w:val="231F20"/>
          <w:spacing w:val="-4"/>
        </w:rPr>
        <w:t xml:space="preserve"> </w:t>
      </w:r>
      <w:r>
        <w:rPr>
          <w:color w:val="231F20"/>
        </w:rPr>
        <w:t>the</w:t>
      </w:r>
      <w:r>
        <w:rPr>
          <w:color w:val="231F20"/>
          <w:spacing w:val="-4"/>
        </w:rPr>
        <w:t xml:space="preserve"> </w:t>
      </w:r>
      <w:r>
        <w:rPr>
          <w:color w:val="231F20"/>
        </w:rPr>
        <w:t>café—presumably</w:t>
      </w:r>
      <w:r>
        <w:rPr>
          <w:color w:val="231F20"/>
          <w:spacing w:val="-4"/>
        </w:rPr>
        <w:t xml:space="preserve"> </w:t>
      </w:r>
      <w:r>
        <w:rPr>
          <w:color w:val="231F20"/>
        </w:rPr>
        <w:t>to</w:t>
      </w:r>
      <w:r>
        <w:rPr>
          <w:color w:val="231F20"/>
          <w:spacing w:val="-4"/>
        </w:rPr>
        <w:t xml:space="preserve"> </w:t>
      </w:r>
      <w:r>
        <w:rPr>
          <w:color w:val="231F20"/>
        </w:rPr>
        <w:t>retrieve</w:t>
      </w:r>
      <w:r>
        <w:rPr>
          <w:color w:val="231F20"/>
          <w:spacing w:val="-4"/>
        </w:rPr>
        <w:t xml:space="preserve"> </w:t>
      </w:r>
      <w:r>
        <w:rPr>
          <w:color w:val="231F20"/>
        </w:rPr>
        <w:t>these</w:t>
      </w:r>
      <w:r>
        <w:rPr>
          <w:color w:val="231F20"/>
          <w:spacing w:val="-4"/>
        </w:rPr>
        <w:t xml:space="preserve"> </w:t>
      </w:r>
      <w:r>
        <w:rPr>
          <w:color w:val="231F20"/>
        </w:rPr>
        <w:t xml:space="preserve">phantom </w:t>
      </w:r>
      <w:r>
        <w:rPr>
          <w:color w:val="231F20"/>
          <w:spacing w:val="2"/>
        </w:rPr>
        <w:t xml:space="preserve">ID </w:t>
      </w:r>
      <w:r>
        <w:rPr>
          <w:color w:val="231F20"/>
        </w:rPr>
        <w:t>papers—they drew their weapons and shot the two cops, commandeered a car, and took off.</w:t>
      </w:r>
      <w:r>
        <w:rPr>
          <w:color w:val="231F20"/>
          <w:position w:val="7"/>
          <w:sz w:val="11"/>
        </w:rPr>
        <w:t xml:space="preserve">1 </w:t>
      </w:r>
      <w:r>
        <w:rPr>
          <w:color w:val="231F20"/>
        </w:rPr>
        <w:t xml:space="preserve">Pursued by squad cars alerted to the incident, they took a wrong </w:t>
      </w:r>
      <w:r>
        <w:rPr>
          <w:color w:val="231F20"/>
          <w:spacing w:val="1"/>
        </w:rPr>
        <w:t xml:space="preserve">turn </w:t>
      </w:r>
      <w:r>
        <w:rPr>
          <w:color w:val="231F20"/>
        </w:rPr>
        <w:t>and ended up in a field. This forced them</w:t>
      </w:r>
      <w:r>
        <w:rPr>
          <w:color w:val="231F20"/>
          <w:spacing w:val="10"/>
        </w:rPr>
        <w:t xml:space="preserve"> </w:t>
      </w:r>
      <w:r>
        <w:rPr>
          <w:color w:val="231F20"/>
        </w:rPr>
        <w:t>to</w:t>
      </w:r>
      <w:r>
        <w:rPr>
          <w:color w:val="231F20"/>
          <w:spacing w:val="10"/>
        </w:rPr>
        <w:t xml:space="preserve"> </w:t>
      </w:r>
      <w:r>
        <w:rPr>
          <w:color w:val="231F20"/>
        </w:rPr>
        <w:t>ditch</w:t>
      </w:r>
      <w:r>
        <w:rPr>
          <w:color w:val="231F20"/>
          <w:spacing w:val="10"/>
        </w:rPr>
        <w:t xml:space="preserve"> </w:t>
      </w:r>
      <w:r>
        <w:rPr>
          <w:color w:val="231F20"/>
        </w:rPr>
        <w:t>their</w:t>
      </w:r>
      <w:r>
        <w:rPr>
          <w:color w:val="231F20"/>
          <w:spacing w:val="10"/>
        </w:rPr>
        <w:t xml:space="preserve"> </w:t>
      </w:r>
      <w:r>
        <w:rPr>
          <w:color w:val="231F20"/>
        </w:rPr>
        <w:t>vehicle</w:t>
      </w:r>
      <w:r>
        <w:rPr>
          <w:color w:val="231F20"/>
          <w:spacing w:val="10"/>
        </w:rPr>
        <w:t xml:space="preserve"> </w:t>
      </w:r>
      <w:r>
        <w:rPr>
          <w:color w:val="231F20"/>
        </w:rPr>
        <w:t>and</w:t>
      </w:r>
      <w:r>
        <w:rPr>
          <w:color w:val="231F20"/>
          <w:spacing w:val="10"/>
        </w:rPr>
        <w:t xml:space="preserve"> </w:t>
      </w:r>
      <w:r>
        <w:rPr>
          <w:color w:val="231F20"/>
          <w:spacing w:val="1"/>
        </w:rPr>
        <w:t>try</w:t>
      </w:r>
      <w:r>
        <w:rPr>
          <w:color w:val="231F20"/>
          <w:spacing w:val="10"/>
        </w:rPr>
        <w:t xml:space="preserve"> </w:t>
      </w:r>
      <w:r>
        <w:rPr>
          <w:color w:val="231F20"/>
        </w:rPr>
        <w:t>to</w:t>
      </w:r>
      <w:r>
        <w:rPr>
          <w:color w:val="231F20"/>
          <w:spacing w:val="10"/>
        </w:rPr>
        <w:t xml:space="preserve"> </w:t>
      </w:r>
      <w:r>
        <w:rPr>
          <w:color w:val="231F20"/>
        </w:rPr>
        <w:t>escape</w:t>
      </w:r>
      <w:r>
        <w:rPr>
          <w:color w:val="231F20"/>
          <w:spacing w:val="10"/>
        </w:rPr>
        <w:t xml:space="preserve"> </w:t>
      </w:r>
      <w:r>
        <w:rPr>
          <w:color w:val="231F20"/>
        </w:rPr>
        <w:t>on</w:t>
      </w:r>
      <w:r>
        <w:rPr>
          <w:color w:val="231F20"/>
          <w:spacing w:val="10"/>
        </w:rPr>
        <w:t xml:space="preserve"> </w:t>
      </w:r>
      <w:r>
        <w:rPr>
          <w:color w:val="231F20"/>
        </w:rPr>
        <w:t>foot.</w:t>
      </w:r>
    </w:p>
    <w:p w14:paraId="440F5783" w14:textId="77777777" w:rsidR="002653E8" w:rsidRDefault="003115E3">
      <w:pPr>
        <w:pStyle w:val="a3"/>
        <w:spacing w:line="264" w:lineRule="auto"/>
        <w:ind w:left="1148" w:right="1326" w:firstLine="210"/>
        <w:jc w:val="both"/>
        <w:rPr>
          <w:sz w:val="11"/>
        </w:rPr>
      </w:pPr>
      <w:r>
        <w:rPr>
          <w:color w:val="231F20"/>
        </w:rPr>
        <w:t xml:space="preserve">At this point, one of the guerillas dropped a submachine </w:t>
      </w:r>
      <w:r>
        <w:rPr>
          <w:color w:val="231F20"/>
          <w:spacing w:val="1"/>
        </w:rPr>
        <w:t xml:space="preserve">gun—as </w:t>
      </w:r>
      <w:r>
        <w:rPr>
          <w:color w:val="231F20"/>
        </w:rPr>
        <w:t xml:space="preserve">it would </w:t>
      </w:r>
      <w:r>
        <w:rPr>
          <w:color w:val="231F20"/>
          <w:spacing w:val="1"/>
        </w:rPr>
        <w:t xml:space="preserve">turn </w:t>
      </w:r>
      <w:r>
        <w:rPr>
          <w:color w:val="231F20"/>
        </w:rPr>
        <w:t>out, the same weapon that had been used to kill Buback.       A cop picked the weapon up and fired: Becker was hit in her leg, while Sonnenberg was critically injured, struck by bullets in his torso and head. His wounds were such that it took several hours before he could be positively identified, and days later it was still unclear if he would survive.</w:t>
      </w:r>
      <w:r>
        <w:rPr>
          <w:color w:val="231F20"/>
          <w:position w:val="7"/>
          <w:sz w:val="11"/>
        </w:rPr>
        <w:t>2</w:t>
      </w:r>
    </w:p>
    <w:p w14:paraId="1B9D256B" w14:textId="77777777" w:rsidR="002653E8" w:rsidRDefault="003115E3">
      <w:pPr>
        <w:pStyle w:val="a3"/>
        <w:spacing w:line="264" w:lineRule="auto"/>
        <w:ind w:left="1147" w:right="1326" w:firstLine="210"/>
        <w:jc w:val="both"/>
      </w:pPr>
      <w:r>
        <w:rPr>
          <w:color w:val="231F20"/>
        </w:rPr>
        <w:t>As a result of his injuries, Sonnenberg suffered brain damage, and is prone to epileptic seizures to this day. years later, he would recall his condition following capture:</w:t>
      </w:r>
    </w:p>
    <w:p w14:paraId="76B131C4" w14:textId="77777777" w:rsidR="002653E8" w:rsidRDefault="003115E3">
      <w:pPr>
        <w:spacing w:before="103" w:line="276" w:lineRule="auto"/>
        <w:ind w:left="1567" w:right="1745"/>
        <w:jc w:val="both"/>
        <w:rPr>
          <w:i/>
          <w:sz w:val="11"/>
        </w:rPr>
      </w:pPr>
      <w:r>
        <w:rPr>
          <w:i/>
          <w:color w:val="231F20"/>
          <w:w w:val="105"/>
          <w:sz w:val="19"/>
        </w:rPr>
        <w:t>I didn’t know anything except my name. I could neither read nor write,</w:t>
      </w:r>
      <w:r>
        <w:rPr>
          <w:i/>
          <w:color w:val="231F20"/>
          <w:spacing w:val="-15"/>
          <w:w w:val="105"/>
          <w:sz w:val="19"/>
        </w:rPr>
        <w:t xml:space="preserve"> </w:t>
      </w:r>
      <w:r>
        <w:rPr>
          <w:i/>
          <w:color w:val="231F20"/>
          <w:w w:val="105"/>
          <w:sz w:val="19"/>
        </w:rPr>
        <w:t>nor</w:t>
      </w:r>
      <w:r>
        <w:rPr>
          <w:i/>
          <w:color w:val="231F20"/>
          <w:spacing w:val="-10"/>
          <w:w w:val="105"/>
          <w:sz w:val="19"/>
        </w:rPr>
        <w:t xml:space="preserve"> </w:t>
      </w:r>
      <w:r>
        <w:rPr>
          <w:i/>
          <w:color w:val="231F20"/>
          <w:w w:val="105"/>
          <w:sz w:val="19"/>
        </w:rPr>
        <w:t>formulate</w:t>
      </w:r>
      <w:r>
        <w:rPr>
          <w:i/>
          <w:color w:val="231F20"/>
          <w:spacing w:val="-10"/>
          <w:w w:val="105"/>
          <w:sz w:val="19"/>
        </w:rPr>
        <w:t xml:space="preserve"> </w:t>
      </w:r>
      <w:r>
        <w:rPr>
          <w:i/>
          <w:color w:val="231F20"/>
          <w:w w:val="105"/>
          <w:sz w:val="19"/>
        </w:rPr>
        <w:t>things</w:t>
      </w:r>
      <w:r>
        <w:rPr>
          <w:i/>
          <w:color w:val="231F20"/>
          <w:spacing w:val="-10"/>
          <w:w w:val="105"/>
          <w:sz w:val="19"/>
        </w:rPr>
        <w:t xml:space="preserve"> </w:t>
      </w:r>
      <w:r>
        <w:rPr>
          <w:i/>
          <w:color w:val="231F20"/>
          <w:w w:val="105"/>
          <w:sz w:val="19"/>
        </w:rPr>
        <w:t>in</w:t>
      </w:r>
      <w:r>
        <w:rPr>
          <w:i/>
          <w:color w:val="231F20"/>
          <w:spacing w:val="-10"/>
          <w:w w:val="105"/>
          <w:sz w:val="19"/>
        </w:rPr>
        <w:t xml:space="preserve"> </w:t>
      </w:r>
      <w:r>
        <w:rPr>
          <w:i/>
          <w:color w:val="231F20"/>
          <w:w w:val="105"/>
          <w:sz w:val="19"/>
        </w:rPr>
        <w:t>any</w:t>
      </w:r>
      <w:r>
        <w:rPr>
          <w:i/>
          <w:color w:val="231F20"/>
          <w:spacing w:val="-10"/>
          <w:w w:val="105"/>
          <w:sz w:val="19"/>
        </w:rPr>
        <w:t xml:space="preserve"> </w:t>
      </w:r>
      <w:r>
        <w:rPr>
          <w:i/>
          <w:color w:val="231F20"/>
          <w:w w:val="105"/>
          <w:sz w:val="19"/>
        </w:rPr>
        <w:t>form.</w:t>
      </w:r>
      <w:r>
        <w:rPr>
          <w:i/>
          <w:color w:val="231F20"/>
          <w:spacing w:val="-21"/>
          <w:w w:val="105"/>
          <w:sz w:val="19"/>
        </w:rPr>
        <w:t xml:space="preserve"> </w:t>
      </w:r>
      <w:r>
        <w:rPr>
          <w:i/>
          <w:color w:val="231F20"/>
          <w:spacing w:val="-3"/>
          <w:w w:val="105"/>
          <w:sz w:val="19"/>
        </w:rPr>
        <w:t>Words</w:t>
      </w:r>
      <w:r>
        <w:rPr>
          <w:i/>
          <w:color w:val="231F20"/>
          <w:spacing w:val="-10"/>
          <w:w w:val="105"/>
          <w:sz w:val="19"/>
        </w:rPr>
        <w:t xml:space="preserve"> </w:t>
      </w:r>
      <w:r>
        <w:rPr>
          <w:i/>
          <w:color w:val="231F20"/>
          <w:w w:val="105"/>
          <w:sz w:val="19"/>
        </w:rPr>
        <w:t>and</w:t>
      </w:r>
      <w:r>
        <w:rPr>
          <w:i/>
          <w:color w:val="231F20"/>
          <w:spacing w:val="-10"/>
          <w:w w:val="105"/>
          <w:sz w:val="19"/>
        </w:rPr>
        <w:t xml:space="preserve"> </w:t>
      </w:r>
      <w:r>
        <w:rPr>
          <w:i/>
          <w:color w:val="231F20"/>
          <w:w w:val="105"/>
          <w:sz w:val="19"/>
        </w:rPr>
        <w:t>concepts</w:t>
      </w:r>
      <w:r>
        <w:rPr>
          <w:i/>
          <w:color w:val="231F20"/>
          <w:spacing w:val="-10"/>
          <w:w w:val="105"/>
          <w:sz w:val="19"/>
        </w:rPr>
        <w:t xml:space="preserve"> </w:t>
      </w:r>
      <w:r>
        <w:rPr>
          <w:i/>
          <w:color w:val="231F20"/>
          <w:w w:val="105"/>
          <w:sz w:val="19"/>
        </w:rPr>
        <w:t>were utterly foreign to me. Even things having to do with daily life— like plate and spoon, bed and sink, book and radio—I no longer knew these words and</w:t>
      </w:r>
      <w:r>
        <w:rPr>
          <w:i/>
          <w:color w:val="231F20"/>
          <w:spacing w:val="27"/>
          <w:w w:val="105"/>
          <w:sz w:val="19"/>
        </w:rPr>
        <w:t xml:space="preserve"> </w:t>
      </w:r>
      <w:r>
        <w:rPr>
          <w:i/>
          <w:color w:val="231F20"/>
          <w:w w:val="105"/>
          <w:sz w:val="19"/>
        </w:rPr>
        <w:t>concepts.</w:t>
      </w:r>
      <w:r>
        <w:rPr>
          <w:i/>
          <w:color w:val="231F20"/>
          <w:w w:val="105"/>
          <w:position w:val="6"/>
          <w:sz w:val="11"/>
        </w:rPr>
        <w:t>3</w:t>
      </w:r>
    </w:p>
    <w:p w14:paraId="06CF1961" w14:textId="77777777" w:rsidR="002653E8" w:rsidRDefault="003115E3">
      <w:pPr>
        <w:pStyle w:val="a3"/>
        <w:spacing w:before="131" w:line="264" w:lineRule="auto"/>
        <w:ind w:left="1147" w:right="1145"/>
      </w:pPr>
      <w:r>
        <w:rPr>
          <w:color w:val="231F20"/>
        </w:rPr>
        <w:t>Two days later, on May 5, Uwe Folkerts (Knut’s brother) and Johannes Thimme were both arrested in Holland, the police claiming that they</w:t>
      </w:r>
    </w:p>
    <w:p w14:paraId="520D4460" w14:textId="77777777" w:rsidR="002653E8" w:rsidRDefault="00000000">
      <w:pPr>
        <w:pStyle w:val="a3"/>
        <w:spacing w:before="3"/>
        <w:rPr>
          <w:sz w:val="23"/>
        </w:rPr>
      </w:pPr>
      <w:r>
        <w:rPr>
          <w:noProof w:val="0"/>
        </w:rPr>
        <w:pict w14:anchorId="42486466">
          <v:line id="_x0000_s2210" style="position:absolute;z-index:9952;mso-wrap-distance-left:0;mso-wrap-distance-right:0;mso-position-horizontal-relative:page" from="57.4pt,15.85pt" to="129.4pt,15.85pt" strokecolor="#231f20" strokeweight=".5pt">
            <w10:wrap type="topAndBottom" anchorx="page"/>
          </v:line>
        </w:pict>
      </w:r>
    </w:p>
    <w:p w14:paraId="6205022C" w14:textId="77777777" w:rsidR="002653E8" w:rsidRDefault="003115E3">
      <w:pPr>
        <w:pStyle w:val="a4"/>
        <w:numPr>
          <w:ilvl w:val="0"/>
          <w:numId w:val="64"/>
        </w:numPr>
        <w:tabs>
          <w:tab w:val="left" w:pos="1287"/>
        </w:tabs>
        <w:spacing w:before="53"/>
        <w:ind w:hanging="1"/>
        <w:jc w:val="left"/>
        <w:rPr>
          <w:sz w:val="16"/>
        </w:rPr>
      </w:pPr>
      <w:r>
        <w:rPr>
          <w:color w:val="231F20"/>
          <w:w w:val="110"/>
          <w:sz w:val="16"/>
        </w:rPr>
        <w:t>Reuters,</w:t>
      </w:r>
      <w:r>
        <w:rPr>
          <w:color w:val="231F20"/>
          <w:spacing w:val="5"/>
          <w:w w:val="110"/>
          <w:sz w:val="16"/>
        </w:rPr>
        <w:t xml:space="preserve"> </w:t>
      </w:r>
      <w:r>
        <w:rPr>
          <w:color w:val="231F20"/>
          <w:w w:val="110"/>
          <w:sz w:val="16"/>
        </w:rPr>
        <w:t>“Suspects</w:t>
      </w:r>
      <w:r>
        <w:rPr>
          <w:color w:val="231F20"/>
          <w:spacing w:val="5"/>
          <w:w w:val="110"/>
          <w:sz w:val="16"/>
        </w:rPr>
        <w:t xml:space="preserve"> </w:t>
      </w:r>
      <w:r>
        <w:rPr>
          <w:color w:val="231F20"/>
          <w:w w:val="110"/>
          <w:sz w:val="16"/>
        </w:rPr>
        <w:t>shot</w:t>
      </w:r>
      <w:r>
        <w:rPr>
          <w:color w:val="231F20"/>
          <w:spacing w:val="5"/>
          <w:w w:val="110"/>
          <w:sz w:val="16"/>
        </w:rPr>
        <w:t xml:space="preserve"> </w:t>
      </w:r>
      <w:r>
        <w:rPr>
          <w:color w:val="231F20"/>
          <w:w w:val="110"/>
          <w:sz w:val="16"/>
        </w:rPr>
        <w:t>in</w:t>
      </w:r>
      <w:r>
        <w:rPr>
          <w:color w:val="231F20"/>
          <w:spacing w:val="5"/>
          <w:w w:val="110"/>
          <w:sz w:val="16"/>
        </w:rPr>
        <w:t xml:space="preserve"> </w:t>
      </w:r>
      <w:r>
        <w:rPr>
          <w:color w:val="231F20"/>
          <w:w w:val="110"/>
          <w:sz w:val="16"/>
        </w:rPr>
        <w:t>gun</w:t>
      </w:r>
      <w:r>
        <w:rPr>
          <w:color w:val="231F20"/>
          <w:spacing w:val="5"/>
          <w:w w:val="110"/>
          <w:sz w:val="16"/>
        </w:rPr>
        <w:t xml:space="preserve"> </w:t>
      </w:r>
      <w:r>
        <w:rPr>
          <w:color w:val="231F20"/>
          <w:w w:val="110"/>
          <w:sz w:val="16"/>
        </w:rPr>
        <w:t>battle,”</w:t>
      </w:r>
      <w:r>
        <w:rPr>
          <w:color w:val="231F20"/>
          <w:spacing w:val="5"/>
          <w:w w:val="110"/>
          <w:sz w:val="16"/>
        </w:rPr>
        <w:t xml:space="preserve"> </w:t>
      </w:r>
      <w:r>
        <w:rPr>
          <w:i/>
          <w:color w:val="231F20"/>
          <w:w w:val="110"/>
          <w:sz w:val="16"/>
        </w:rPr>
        <w:t>Winnipeg</w:t>
      </w:r>
      <w:r>
        <w:rPr>
          <w:i/>
          <w:color w:val="231F20"/>
          <w:spacing w:val="5"/>
          <w:w w:val="110"/>
          <w:sz w:val="16"/>
        </w:rPr>
        <w:t xml:space="preserve"> </w:t>
      </w:r>
      <w:r>
        <w:rPr>
          <w:i/>
          <w:color w:val="231F20"/>
          <w:w w:val="110"/>
          <w:sz w:val="16"/>
        </w:rPr>
        <w:t>Free</w:t>
      </w:r>
      <w:r>
        <w:rPr>
          <w:i/>
          <w:color w:val="231F20"/>
          <w:spacing w:val="5"/>
          <w:w w:val="110"/>
          <w:sz w:val="16"/>
        </w:rPr>
        <w:t xml:space="preserve"> </w:t>
      </w:r>
      <w:r>
        <w:rPr>
          <w:i/>
          <w:color w:val="231F20"/>
          <w:w w:val="110"/>
          <w:sz w:val="16"/>
        </w:rPr>
        <w:t>Press,</w:t>
      </w:r>
      <w:r>
        <w:rPr>
          <w:i/>
          <w:color w:val="231F20"/>
          <w:spacing w:val="5"/>
          <w:w w:val="110"/>
          <w:sz w:val="16"/>
        </w:rPr>
        <w:t xml:space="preserve"> </w:t>
      </w:r>
      <w:r>
        <w:rPr>
          <w:color w:val="231F20"/>
          <w:w w:val="110"/>
          <w:sz w:val="16"/>
        </w:rPr>
        <w:t>May</w:t>
      </w:r>
      <w:r>
        <w:rPr>
          <w:color w:val="231F20"/>
          <w:spacing w:val="5"/>
          <w:w w:val="110"/>
          <w:sz w:val="16"/>
        </w:rPr>
        <w:t xml:space="preserve"> </w:t>
      </w:r>
      <w:r>
        <w:rPr>
          <w:color w:val="231F20"/>
          <w:w w:val="110"/>
          <w:sz w:val="16"/>
        </w:rPr>
        <w:t>4,</w:t>
      </w:r>
      <w:r>
        <w:rPr>
          <w:color w:val="231F20"/>
          <w:spacing w:val="5"/>
          <w:w w:val="110"/>
          <w:sz w:val="16"/>
        </w:rPr>
        <w:t xml:space="preserve"> </w:t>
      </w:r>
      <w:r>
        <w:rPr>
          <w:color w:val="231F20"/>
          <w:spacing w:val="-4"/>
          <w:w w:val="110"/>
          <w:sz w:val="16"/>
        </w:rPr>
        <w:t>1977.</w:t>
      </w:r>
    </w:p>
    <w:p w14:paraId="75313004" w14:textId="77777777" w:rsidR="002653E8" w:rsidRDefault="003115E3">
      <w:pPr>
        <w:pStyle w:val="a4"/>
        <w:numPr>
          <w:ilvl w:val="0"/>
          <w:numId w:val="64"/>
        </w:numPr>
        <w:tabs>
          <w:tab w:val="left" w:pos="1287"/>
        </w:tabs>
        <w:spacing w:before="51" w:line="254" w:lineRule="auto"/>
        <w:ind w:right="2009" w:firstLine="0"/>
        <w:jc w:val="left"/>
        <w:rPr>
          <w:sz w:val="16"/>
        </w:rPr>
      </w:pPr>
      <w:r>
        <w:rPr>
          <w:color w:val="231F20"/>
          <w:w w:val="110"/>
          <w:sz w:val="16"/>
        </w:rPr>
        <w:t>United</w:t>
      </w:r>
      <w:r>
        <w:rPr>
          <w:color w:val="231F20"/>
          <w:spacing w:val="-8"/>
          <w:w w:val="110"/>
          <w:sz w:val="16"/>
        </w:rPr>
        <w:t xml:space="preserve"> </w:t>
      </w:r>
      <w:r>
        <w:rPr>
          <w:color w:val="231F20"/>
          <w:w w:val="110"/>
          <w:sz w:val="16"/>
        </w:rPr>
        <w:t>Press</w:t>
      </w:r>
      <w:r>
        <w:rPr>
          <w:color w:val="231F20"/>
          <w:spacing w:val="-8"/>
          <w:w w:val="110"/>
          <w:sz w:val="16"/>
        </w:rPr>
        <w:t xml:space="preserve"> </w:t>
      </w:r>
      <w:r>
        <w:rPr>
          <w:color w:val="231F20"/>
          <w:w w:val="110"/>
          <w:sz w:val="16"/>
        </w:rPr>
        <w:t>International,</w:t>
      </w:r>
      <w:r>
        <w:rPr>
          <w:color w:val="231F20"/>
          <w:spacing w:val="-8"/>
          <w:w w:val="110"/>
          <w:sz w:val="16"/>
        </w:rPr>
        <w:t xml:space="preserve"> </w:t>
      </w:r>
      <w:r>
        <w:rPr>
          <w:color w:val="231F20"/>
          <w:w w:val="110"/>
          <w:sz w:val="16"/>
        </w:rPr>
        <w:t>“Captured</w:t>
      </w:r>
      <w:r>
        <w:rPr>
          <w:color w:val="231F20"/>
          <w:spacing w:val="-8"/>
          <w:w w:val="110"/>
          <w:sz w:val="16"/>
        </w:rPr>
        <w:t xml:space="preserve"> </w:t>
      </w:r>
      <w:r>
        <w:rPr>
          <w:color w:val="231F20"/>
          <w:w w:val="110"/>
          <w:sz w:val="16"/>
        </w:rPr>
        <w:t>Gun</w:t>
      </w:r>
      <w:r>
        <w:rPr>
          <w:color w:val="231F20"/>
          <w:spacing w:val="-8"/>
          <w:w w:val="110"/>
          <w:sz w:val="16"/>
        </w:rPr>
        <w:t xml:space="preserve"> </w:t>
      </w:r>
      <w:r>
        <w:rPr>
          <w:color w:val="231F20"/>
          <w:w w:val="110"/>
          <w:sz w:val="16"/>
        </w:rPr>
        <w:t>confirmed</w:t>
      </w:r>
      <w:r>
        <w:rPr>
          <w:color w:val="231F20"/>
          <w:spacing w:val="-8"/>
          <w:w w:val="110"/>
          <w:sz w:val="16"/>
        </w:rPr>
        <w:t xml:space="preserve"> </w:t>
      </w:r>
      <w:r>
        <w:rPr>
          <w:color w:val="231F20"/>
          <w:w w:val="110"/>
          <w:sz w:val="16"/>
        </w:rPr>
        <w:t>as</w:t>
      </w:r>
      <w:r>
        <w:rPr>
          <w:color w:val="231F20"/>
          <w:spacing w:val="-8"/>
          <w:w w:val="110"/>
          <w:sz w:val="16"/>
        </w:rPr>
        <w:t xml:space="preserve"> </w:t>
      </w:r>
      <w:r>
        <w:rPr>
          <w:color w:val="231F20"/>
          <w:w w:val="110"/>
          <w:sz w:val="16"/>
        </w:rPr>
        <w:t>Buback</w:t>
      </w:r>
      <w:r>
        <w:rPr>
          <w:color w:val="231F20"/>
          <w:spacing w:val="-8"/>
          <w:w w:val="110"/>
          <w:sz w:val="16"/>
        </w:rPr>
        <w:t xml:space="preserve"> </w:t>
      </w:r>
      <w:r>
        <w:rPr>
          <w:color w:val="231F20"/>
          <w:w w:val="110"/>
          <w:sz w:val="16"/>
        </w:rPr>
        <w:t xml:space="preserve">Murder Weapon,” </w:t>
      </w:r>
      <w:r>
        <w:rPr>
          <w:i/>
          <w:color w:val="231F20"/>
          <w:w w:val="110"/>
          <w:sz w:val="16"/>
        </w:rPr>
        <w:t xml:space="preserve">European Stars </w:t>
      </w:r>
      <w:r>
        <w:rPr>
          <w:i/>
          <w:color w:val="231F20"/>
          <w:spacing w:val="1"/>
          <w:w w:val="110"/>
          <w:sz w:val="16"/>
        </w:rPr>
        <w:t xml:space="preserve">and </w:t>
      </w:r>
      <w:r>
        <w:rPr>
          <w:i/>
          <w:color w:val="231F20"/>
          <w:w w:val="110"/>
          <w:sz w:val="16"/>
        </w:rPr>
        <w:t xml:space="preserve">Stripes, </w:t>
      </w:r>
      <w:r>
        <w:rPr>
          <w:color w:val="231F20"/>
          <w:w w:val="110"/>
          <w:sz w:val="16"/>
        </w:rPr>
        <w:t>May 5,</w:t>
      </w:r>
      <w:r>
        <w:rPr>
          <w:color w:val="231F20"/>
          <w:spacing w:val="5"/>
          <w:w w:val="110"/>
          <w:sz w:val="16"/>
        </w:rPr>
        <w:t xml:space="preserve"> </w:t>
      </w:r>
      <w:r>
        <w:rPr>
          <w:color w:val="231F20"/>
          <w:spacing w:val="-4"/>
          <w:w w:val="110"/>
          <w:sz w:val="16"/>
        </w:rPr>
        <w:t>1977.</w:t>
      </w:r>
    </w:p>
    <w:p w14:paraId="7B0C0814" w14:textId="77777777" w:rsidR="002653E8" w:rsidRPr="00846956" w:rsidRDefault="003115E3">
      <w:pPr>
        <w:pStyle w:val="a4"/>
        <w:numPr>
          <w:ilvl w:val="0"/>
          <w:numId w:val="64"/>
        </w:numPr>
        <w:tabs>
          <w:tab w:val="left" w:pos="1287"/>
        </w:tabs>
        <w:ind w:left="1286" w:hanging="138"/>
        <w:jc w:val="left"/>
        <w:rPr>
          <w:sz w:val="16"/>
          <w:lang w:val="de-DE"/>
        </w:rPr>
      </w:pPr>
      <w:r w:rsidRPr="00846956">
        <w:rPr>
          <w:color w:val="231F20"/>
          <w:spacing w:val="1"/>
          <w:w w:val="105"/>
          <w:sz w:val="16"/>
          <w:lang w:val="de-DE"/>
        </w:rPr>
        <w:t xml:space="preserve">Letter </w:t>
      </w:r>
      <w:r w:rsidRPr="00846956">
        <w:rPr>
          <w:color w:val="231F20"/>
          <w:w w:val="105"/>
          <w:sz w:val="16"/>
          <w:lang w:val="de-DE"/>
        </w:rPr>
        <w:t xml:space="preserve">from Günter Sonnenberg in </w:t>
      </w:r>
      <w:r w:rsidRPr="00846956">
        <w:rPr>
          <w:i/>
          <w:color w:val="231F20"/>
          <w:w w:val="105"/>
          <w:sz w:val="16"/>
          <w:lang w:val="de-DE"/>
        </w:rPr>
        <w:t xml:space="preserve">Angehörigen Info </w:t>
      </w:r>
      <w:r w:rsidRPr="00846956">
        <w:rPr>
          <w:color w:val="231F20"/>
          <w:spacing w:val="-5"/>
          <w:w w:val="105"/>
          <w:sz w:val="16"/>
          <w:lang w:val="de-DE"/>
        </w:rPr>
        <w:t xml:space="preserve">87, </w:t>
      </w:r>
      <w:r w:rsidRPr="00846956">
        <w:rPr>
          <w:color w:val="231F20"/>
          <w:w w:val="105"/>
          <w:sz w:val="16"/>
          <w:lang w:val="de-DE"/>
        </w:rPr>
        <w:t xml:space="preserve">January </w:t>
      </w:r>
      <w:r w:rsidRPr="00846956">
        <w:rPr>
          <w:color w:val="231F20"/>
          <w:spacing w:val="-3"/>
          <w:w w:val="105"/>
          <w:sz w:val="16"/>
          <w:lang w:val="de-DE"/>
        </w:rPr>
        <w:t>18,</w:t>
      </w:r>
      <w:r w:rsidRPr="00846956">
        <w:rPr>
          <w:color w:val="231F20"/>
          <w:spacing w:val="6"/>
          <w:w w:val="105"/>
          <w:sz w:val="16"/>
          <w:lang w:val="de-DE"/>
        </w:rPr>
        <w:t xml:space="preserve"> </w:t>
      </w:r>
      <w:r w:rsidRPr="00846956">
        <w:rPr>
          <w:color w:val="231F20"/>
          <w:w w:val="105"/>
          <w:sz w:val="16"/>
          <w:lang w:val="de-DE"/>
        </w:rPr>
        <w:t>1992.</w:t>
      </w:r>
    </w:p>
    <w:p w14:paraId="179EE692" w14:textId="77777777" w:rsidR="002653E8" w:rsidRPr="00846956" w:rsidRDefault="002653E8">
      <w:pPr>
        <w:rPr>
          <w:sz w:val="16"/>
          <w:lang w:val="de-DE"/>
        </w:rPr>
        <w:sectPr w:rsidR="002653E8" w:rsidRPr="00846956">
          <w:pgSz w:w="8640" w:h="12960"/>
          <w:pgMar w:top="1060" w:right="0" w:bottom="1040" w:left="0" w:header="0" w:footer="850" w:gutter="0"/>
          <w:cols w:space="720"/>
        </w:sectPr>
      </w:pPr>
    </w:p>
    <w:p w14:paraId="460039E4" w14:textId="77777777" w:rsidR="002653E8" w:rsidRDefault="003115E3">
      <w:pPr>
        <w:pStyle w:val="a3"/>
        <w:spacing w:before="86" w:line="264" w:lineRule="auto"/>
        <w:ind w:left="1328" w:right="1145" w:hanging="1"/>
        <w:rPr>
          <w:sz w:val="11"/>
        </w:rPr>
      </w:pPr>
      <w:r>
        <w:rPr>
          <w:color w:val="231F20"/>
        </w:rPr>
        <w:lastRenderedPageBreak/>
        <w:t>had been involved in the Buback assassination, as well as with alleged plans to seize hostages to exchange for the prisoners.</w:t>
      </w:r>
      <w:r>
        <w:rPr>
          <w:color w:val="231F20"/>
          <w:position w:val="7"/>
          <w:sz w:val="11"/>
        </w:rPr>
        <w:t>4</w:t>
      </w:r>
    </w:p>
    <w:p w14:paraId="11B9CB47" w14:textId="77777777" w:rsidR="002653E8" w:rsidRDefault="003115E3">
      <w:pPr>
        <w:pStyle w:val="a3"/>
        <w:spacing w:line="264" w:lineRule="auto"/>
        <w:ind w:left="1327" w:right="1146" w:firstLine="210"/>
        <w:jc w:val="both"/>
      </w:pPr>
      <w:r>
        <w:rPr>
          <w:color w:val="231F20"/>
        </w:rPr>
        <w:t xml:space="preserve">Throughout the summer, different </w:t>
      </w:r>
      <w:r w:rsidR="00C507A5">
        <w:rPr>
          <w:color w:val="231F20"/>
        </w:rPr>
        <w:t>red army faction</w:t>
      </w:r>
      <w:r>
        <w:rPr>
          <w:color w:val="231F20"/>
        </w:rPr>
        <w:t xml:space="preserve"> prisoners would go back on hunger strike for various periods of time, demanding the association they had been promised.</w:t>
      </w:r>
    </w:p>
    <w:p w14:paraId="1FB82867" w14:textId="77777777" w:rsidR="002653E8" w:rsidRDefault="003115E3">
      <w:pPr>
        <w:pStyle w:val="a3"/>
        <w:spacing w:line="264" w:lineRule="auto"/>
        <w:ind w:left="1327" w:right="1145" w:firstLine="210"/>
        <w:jc w:val="both"/>
        <w:rPr>
          <w:sz w:val="11"/>
        </w:rPr>
      </w:pPr>
      <w:r>
        <w:rPr>
          <w:color w:val="231F20"/>
        </w:rPr>
        <w:t xml:space="preserve">At the same time, the state was not letting up on its attacks against the lawyers. </w:t>
      </w:r>
      <w:r>
        <w:rPr>
          <w:color w:val="231F20"/>
          <w:spacing w:val="1"/>
        </w:rPr>
        <w:t xml:space="preserve">In </w:t>
      </w:r>
      <w:r>
        <w:rPr>
          <w:color w:val="231F20"/>
        </w:rPr>
        <w:t xml:space="preserve">one particularly incredible move, attorneys </w:t>
      </w:r>
      <w:r>
        <w:rPr>
          <w:color w:val="231F20"/>
          <w:spacing w:val="1"/>
        </w:rPr>
        <w:t xml:space="preserve">Armin </w:t>
      </w:r>
      <w:r>
        <w:rPr>
          <w:color w:val="231F20"/>
        </w:rPr>
        <w:t>Newerla and Arndt Müller were charged with attempted murder on the grounds that they did not discourage their clients Verena Becker and Sabine Schmitz</w:t>
      </w:r>
      <w:r>
        <w:rPr>
          <w:color w:val="231F20"/>
          <w:position w:val="7"/>
          <w:sz w:val="11"/>
        </w:rPr>
        <w:t xml:space="preserve">5 </w:t>
      </w:r>
      <w:r>
        <w:rPr>
          <w:color w:val="231F20"/>
        </w:rPr>
        <w:t>from hunger striking.</w:t>
      </w:r>
      <w:r>
        <w:rPr>
          <w:color w:val="231F20"/>
          <w:position w:val="7"/>
          <w:sz w:val="11"/>
        </w:rPr>
        <w:t xml:space="preserve">6 </w:t>
      </w:r>
      <w:r>
        <w:rPr>
          <w:color w:val="231F20"/>
        </w:rPr>
        <w:t xml:space="preserve">On July 8, Klaus Croissant fled  the country: on June 26 he had been subjected to a partial </w:t>
      </w:r>
      <w:r>
        <w:rPr>
          <w:i/>
          <w:color w:val="231F20"/>
        </w:rPr>
        <w:t>Berufsverbot</w:t>
      </w:r>
      <w:r>
        <w:rPr>
          <w:color w:val="231F20"/>
        </w:rPr>
        <w:t>, and there were signs he might be arrested at any time. Pieter Bakker Schut, Ronald Augustin’s Dutch attorney, suggested he go to the Netherlands, but Croissant chose Paris, where he held a press conference four days later, requesting political  asylum.</w:t>
      </w:r>
      <w:r>
        <w:rPr>
          <w:color w:val="231F20"/>
          <w:position w:val="7"/>
          <w:sz w:val="11"/>
        </w:rPr>
        <w:t xml:space="preserve">7  </w:t>
      </w:r>
      <w:r>
        <w:rPr>
          <w:color w:val="231F20"/>
        </w:rPr>
        <w:t xml:space="preserve">The lawyer pointed  to the years of harassment he had endured, and noted that with the ongoing confrontation things were getting worse: he was facing a third arrest and, as he was now subjected to the </w:t>
      </w:r>
      <w:r>
        <w:rPr>
          <w:i/>
          <w:color w:val="231F20"/>
        </w:rPr>
        <w:t>Berufsverbot</w:t>
      </w:r>
      <w:r>
        <w:rPr>
          <w:color w:val="231F20"/>
        </w:rPr>
        <w:t xml:space="preserve">, could neither defend himself nor continue to defend his clients except from outside the country. His home, office, and telephone had all been bugged, and surrounding buildings were used for physical surveillance, which included state agents openly photographing everyone who entered his office. On December </w:t>
      </w:r>
      <w:r>
        <w:rPr>
          <w:color w:val="231F20"/>
          <w:spacing w:val="-8"/>
        </w:rPr>
        <w:t xml:space="preserve">15, </w:t>
      </w:r>
      <w:r>
        <w:rPr>
          <w:color w:val="231F20"/>
          <w:spacing w:val="-4"/>
        </w:rPr>
        <w:t xml:space="preserve">1976, </w:t>
      </w:r>
      <w:r>
        <w:rPr>
          <w:color w:val="231F20"/>
        </w:rPr>
        <w:t xml:space="preserve">one of his secretaries had been offered several thousand dm by the </w:t>
      </w:r>
      <w:r>
        <w:rPr>
          <w:i/>
          <w:color w:val="231F20"/>
        </w:rPr>
        <w:t xml:space="preserve">Verfassungsschutz </w:t>
      </w:r>
      <w:r>
        <w:rPr>
          <w:color w:val="231F20"/>
        </w:rPr>
        <w:t>in exchange for copies   of legal notes and a list of his clients. Finally, he pointed to the fact that he was followed to and from his office by uniformed police, which he described</w:t>
      </w:r>
      <w:r>
        <w:rPr>
          <w:color w:val="231F20"/>
          <w:spacing w:val="10"/>
        </w:rPr>
        <w:t xml:space="preserve"> </w:t>
      </w:r>
      <w:r>
        <w:rPr>
          <w:color w:val="231F20"/>
        </w:rPr>
        <w:t>as</w:t>
      </w:r>
      <w:r>
        <w:rPr>
          <w:color w:val="231F20"/>
          <w:spacing w:val="10"/>
        </w:rPr>
        <w:t xml:space="preserve"> </w:t>
      </w:r>
      <w:r>
        <w:rPr>
          <w:color w:val="231F20"/>
        </w:rPr>
        <w:t>a</w:t>
      </w:r>
      <w:r>
        <w:rPr>
          <w:color w:val="231F20"/>
          <w:spacing w:val="10"/>
        </w:rPr>
        <w:t xml:space="preserve"> </w:t>
      </w:r>
      <w:r>
        <w:rPr>
          <w:color w:val="231F20"/>
        </w:rPr>
        <w:t>form</w:t>
      </w:r>
      <w:r>
        <w:rPr>
          <w:color w:val="231F20"/>
          <w:spacing w:val="10"/>
        </w:rPr>
        <w:t xml:space="preserve"> </w:t>
      </w:r>
      <w:r>
        <w:rPr>
          <w:color w:val="231F20"/>
        </w:rPr>
        <w:t>of</w:t>
      </w:r>
      <w:r>
        <w:rPr>
          <w:color w:val="231F20"/>
          <w:spacing w:val="10"/>
        </w:rPr>
        <w:t xml:space="preserve"> </w:t>
      </w:r>
      <w:r>
        <w:rPr>
          <w:color w:val="231F20"/>
        </w:rPr>
        <w:t>psychological</w:t>
      </w:r>
      <w:r>
        <w:rPr>
          <w:color w:val="231F20"/>
          <w:spacing w:val="10"/>
        </w:rPr>
        <w:t xml:space="preserve"> </w:t>
      </w:r>
      <w:r>
        <w:rPr>
          <w:color w:val="231F20"/>
        </w:rPr>
        <w:t>terrorism.</w:t>
      </w:r>
      <w:r>
        <w:rPr>
          <w:color w:val="231F20"/>
          <w:position w:val="7"/>
          <w:sz w:val="11"/>
        </w:rPr>
        <w:t>8</w:t>
      </w:r>
    </w:p>
    <w:p w14:paraId="76F2C770" w14:textId="77777777" w:rsidR="002653E8" w:rsidRDefault="00000000">
      <w:pPr>
        <w:pStyle w:val="a3"/>
        <w:spacing w:before="6"/>
        <w:rPr>
          <w:sz w:val="19"/>
        </w:rPr>
      </w:pPr>
      <w:r>
        <w:rPr>
          <w:noProof w:val="0"/>
        </w:rPr>
        <w:pict w14:anchorId="6E4065BC">
          <v:line id="_x0000_s2209" style="position:absolute;z-index:9976;mso-wrap-distance-left:0;mso-wrap-distance-right:0;mso-position-horizontal-relative:page" from="66.4pt,13.65pt" to="138.4pt,13.65pt" strokecolor="#231f20" strokeweight=".5pt">
            <w10:wrap type="topAndBottom" anchorx="page"/>
          </v:line>
        </w:pict>
      </w:r>
    </w:p>
    <w:p w14:paraId="5ADA1397" w14:textId="77777777" w:rsidR="002653E8" w:rsidRDefault="003115E3">
      <w:pPr>
        <w:pStyle w:val="a4"/>
        <w:numPr>
          <w:ilvl w:val="0"/>
          <w:numId w:val="64"/>
        </w:numPr>
        <w:tabs>
          <w:tab w:val="left" w:pos="1465"/>
        </w:tabs>
        <w:spacing w:before="53" w:line="254" w:lineRule="auto"/>
        <w:ind w:left="1327" w:right="1146" w:firstLine="0"/>
        <w:jc w:val="left"/>
        <w:rPr>
          <w:sz w:val="16"/>
        </w:rPr>
      </w:pPr>
      <w:r>
        <w:rPr>
          <w:color w:val="231F20"/>
          <w:sz w:val="16"/>
        </w:rPr>
        <w:t xml:space="preserve">United Press International, “Germans  seize  brother  of  Buback  case  suspect,” </w:t>
      </w:r>
      <w:r>
        <w:rPr>
          <w:i/>
          <w:color w:val="231F20"/>
          <w:sz w:val="16"/>
        </w:rPr>
        <w:t xml:space="preserve">European  Stars  </w:t>
      </w:r>
      <w:r>
        <w:rPr>
          <w:i/>
          <w:color w:val="231F20"/>
          <w:spacing w:val="1"/>
          <w:sz w:val="16"/>
        </w:rPr>
        <w:t xml:space="preserve">and  </w:t>
      </w:r>
      <w:r>
        <w:rPr>
          <w:i/>
          <w:color w:val="231F20"/>
          <w:sz w:val="16"/>
        </w:rPr>
        <w:t xml:space="preserve">Stripes,  </w:t>
      </w:r>
      <w:r>
        <w:rPr>
          <w:color w:val="231F20"/>
          <w:sz w:val="16"/>
        </w:rPr>
        <w:t xml:space="preserve">May  6,  </w:t>
      </w:r>
      <w:r>
        <w:rPr>
          <w:color w:val="231F20"/>
          <w:spacing w:val="-4"/>
          <w:sz w:val="16"/>
        </w:rPr>
        <w:t xml:space="preserve">1977.  </w:t>
      </w:r>
      <w:r>
        <w:rPr>
          <w:color w:val="231F20"/>
          <w:spacing w:val="1"/>
          <w:sz w:val="16"/>
        </w:rPr>
        <w:t xml:space="preserve">In  </w:t>
      </w:r>
      <w:r>
        <w:rPr>
          <w:color w:val="231F20"/>
          <w:sz w:val="16"/>
        </w:rPr>
        <w:t xml:space="preserve">late  1978,  Uwe  Folkerts  was  found </w:t>
      </w:r>
      <w:r>
        <w:rPr>
          <w:color w:val="231F20"/>
          <w:spacing w:val="1"/>
          <w:sz w:val="16"/>
        </w:rPr>
        <w:t xml:space="preserve">guilty </w:t>
      </w:r>
      <w:r>
        <w:rPr>
          <w:color w:val="231F20"/>
          <w:sz w:val="16"/>
        </w:rPr>
        <w:t xml:space="preserve">of lending his car to  </w:t>
      </w:r>
      <w:r w:rsidR="00C507A5">
        <w:rPr>
          <w:color w:val="231F20"/>
          <w:spacing w:val="3"/>
          <w:sz w:val="16"/>
        </w:rPr>
        <w:t>red army faction</w:t>
      </w:r>
      <w:r>
        <w:rPr>
          <w:color w:val="231F20"/>
          <w:spacing w:val="3"/>
          <w:sz w:val="16"/>
        </w:rPr>
        <w:t xml:space="preserve">  </w:t>
      </w:r>
      <w:r>
        <w:rPr>
          <w:color w:val="231F20"/>
          <w:sz w:val="16"/>
        </w:rPr>
        <w:t xml:space="preserve">members  Adelheid  Shultz  and  Sabine  </w:t>
      </w:r>
      <w:r>
        <w:rPr>
          <w:color w:val="231F20"/>
          <w:spacing w:val="1"/>
          <w:sz w:val="16"/>
        </w:rPr>
        <w:t xml:space="preserve">Schmitz,  </w:t>
      </w:r>
      <w:r>
        <w:rPr>
          <w:color w:val="231F20"/>
          <w:sz w:val="16"/>
        </w:rPr>
        <w:t xml:space="preserve">and was sentenced to sixteen months in prison; as he had already served eighteen months     by that point, he was immediately released. </w:t>
      </w:r>
      <w:r>
        <w:rPr>
          <w:color w:val="231F20"/>
          <w:spacing w:val="1"/>
          <w:sz w:val="16"/>
        </w:rPr>
        <w:t xml:space="preserve">Thimme </w:t>
      </w:r>
      <w:r>
        <w:rPr>
          <w:color w:val="231F20"/>
          <w:sz w:val="16"/>
        </w:rPr>
        <w:t xml:space="preserve">eventually received a similar sentence; upon release, he remained active within  the  guerilla’s  semi-clandestine support scene until he blew himself up </w:t>
      </w:r>
      <w:r>
        <w:rPr>
          <w:color w:val="231F20"/>
          <w:spacing w:val="1"/>
          <w:sz w:val="16"/>
        </w:rPr>
        <w:t xml:space="preserve">trying </w:t>
      </w:r>
      <w:r>
        <w:rPr>
          <w:color w:val="231F20"/>
          <w:sz w:val="16"/>
        </w:rPr>
        <w:t xml:space="preserve">to plant a  bomb  in  </w:t>
      </w:r>
      <w:r>
        <w:rPr>
          <w:color w:val="231F20"/>
          <w:spacing w:val="-4"/>
          <w:sz w:val="16"/>
        </w:rPr>
        <w:t xml:space="preserve">1985.  </w:t>
      </w:r>
      <w:r>
        <w:rPr>
          <w:color w:val="231F20"/>
          <w:sz w:val="16"/>
        </w:rPr>
        <w:t xml:space="preserve">(Associated Press, “New Blast in Germany,” </w:t>
      </w:r>
      <w:r>
        <w:rPr>
          <w:i/>
          <w:color w:val="231F20"/>
          <w:sz w:val="16"/>
        </w:rPr>
        <w:t xml:space="preserve">Syracuse </w:t>
      </w:r>
      <w:r>
        <w:rPr>
          <w:i/>
          <w:color w:val="231F20"/>
          <w:spacing w:val="1"/>
          <w:sz w:val="16"/>
        </w:rPr>
        <w:t xml:space="preserve">Herald-Journal, </w:t>
      </w:r>
      <w:r>
        <w:rPr>
          <w:color w:val="231F20"/>
          <w:sz w:val="16"/>
        </w:rPr>
        <w:t>January 21,</w:t>
      </w:r>
      <w:r>
        <w:rPr>
          <w:color w:val="231F20"/>
          <w:spacing w:val="2"/>
          <w:sz w:val="16"/>
        </w:rPr>
        <w:t xml:space="preserve"> </w:t>
      </w:r>
      <w:r>
        <w:rPr>
          <w:color w:val="231F20"/>
          <w:spacing w:val="-5"/>
          <w:sz w:val="16"/>
        </w:rPr>
        <w:t>1985)</w:t>
      </w:r>
    </w:p>
    <w:p w14:paraId="7B2E6417" w14:textId="77777777" w:rsidR="002653E8" w:rsidRDefault="003115E3">
      <w:pPr>
        <w:pStyle w:val="a4"/>
        <w:numPr>
          <w:ilvl w:val="0"/>
          <w:numId w:val="64"/>
        </w:numPr>
        <w:tabs>
          <w:tab w:val="left" w:pos="1467"/>
        </w:tabs>
        <w:spacing w:before="43" w:line="254" w:lineRule="auto"/>
        <w:ind w:left="1328" w:right="1146" w:firstLine="0"/>
        <w:jc w:val="left"/>
        <w:rPr>
          <w:sz w:val="16"/>
        </w:rPr>
      </w:pPr>
      <w:r>
        <w:rPr>
          <w:color w:val="231F20"/>
          <w:spacing w:val="1"/>
          <w:w w:val="105"/>
          <w:sz w:val="16"/>
        </w:rPr>
        <w:t xml:space="preserve">Schmitz </w:t>
      </w:r>
      <w:r>
        <w:rPr>
          <w:color w:val="231F20"/>
          <w:w w:val="105"/>
          <w:sz w:val="16"/>
        </w:rPr>
        <w:t xml:space="preserve">had been arrested in December </w:t>
      </w:r>
      <w:r>
        <w:rPr>
          <w:color w:val="231F20"/>
          <w:spacing w:val="-3"/>
          <w:w w:val="105"/>
          <w:sz w:val="16"/>
        </w:rPr>
        <w:t xml:space="preserve">1976 </w:t>
      </w:r>
      <w:r>
        <w:rPr>
          <w:color w:val="231F20"/>
          <w:w w:val="105"/>
          <w:sz w:val="16"/>
        </w:rPr>
        <w:t xml:space="preserve">and charged under </w:t>
      </w:r>
      <w:r>
        <w:rPr>
          <w:color w:val="231F20"/>
          <w:w w:val="105"/>
          <w:sz w:val="14"/>
        </w:rPr>
        <w:t>§</w:t>
      </w:r>
      <w:r>
        <w:rPr>
          <w:color w:val="231F20"/>
          <w:w w:val="105"/>
          <w:sz w:val="16"/>
        </w:rPr>
        <w:t xml:space="preserve">129. See: United Press International, “German police  hunt  Haag  helpers,”  </w:t>
      </w:r>
      <w:r>
        <w:rPr>
          <w:i/>
          <w:color w:val="231F20"/>
          <w:w w:val="105"/>
          <w:sz w:val="16"/>
        </w:rPr>
        <w:t xml:space="preserve">European  Stars  </w:t>
      </w:r>
      <w:r>
        <w:rPr>
          <w:i/>
          <w:color w:val="231F20"/>
          <w:spacing w:val="1"/>
          <w:w w:val="105"/>
          <w:sz w:val="16"/>
        </w:rPr>
        <w:t xml:space="preserve">and </w:t>
      </w:r>
      <w:r>
        <w:rPr>
          <w:i/>
          <w:color w:val="231F20"/>
          <w:w w:val="105"/>
          <w:sz w:val="16"/>
        </w:rPr>
        <w:t xml:space="preserve">Stripes, </w:t>
      </w:r>
      <w:r>
        <w:rPr>
          <w:color w:val="231F20"/>
          <w:w w:val="105"/>
          <w:sz w:val="16"/>
        </w:rPr>
        <w:t>December 8,</w:t>
      </w:r>
      <w:r>
        <w:rPr>
          <w:color w:val="231F20"/>
          <w:spacing w:val="25"/>
          <w:w w:val="105"/>
          <w:sz w:val="16"/>
        </w:rPr>
        <w:t xml:space="preserve"> </w:t>
      </w:r>
      <w:r>
        <w:rPr>
          <w:color w:val="231F20"/>
          <w:spacing w:val="-3"/>
          <w:w w:val="105"/>
          <w:sz w:val="16"/>
        </w:rPr>
        <w:t>1976.</w:t>
      </w:r>
    </w:p>
    <w:p w14:paraId="3DC2B733" w14:textId="77777777" w:rsidR="002653E8" w:rsidRDefault="003115E3">
      <w:pPr>
        <w:pStyle w:val="a4"/>
        <w:numPr>
          <w:ilvl w:val="0"/>
          <w:numId w:val="64"/>
        </w:numPr>
        <w:tabs>
          <w:tab w:val="left" w:pos="1467"/>
        </w:tabs>
        <w:ind w:left="1466" w:hanging="138"/>
        <w:jc w:val="left"/>
        <w:rPr>
          <w:sz w:val="16"/>
        </w:rPr>
      </w:pPr>
      <w:r>
        <w:rPr>
          <w:color w:val="231F20"/>
          <w:w w:val="105"/>
          <w:sz w:val="16"/>
        </w:rPr>
        <w:t xml:space="preserve">Bakker Schut, </w:t>
      </w:r>
      <w:r>
        <w:rPr>
          <w:i/>
          <w:color w:val="231F20"/>
          <w:spacing w:val="1"/>
          <w:w w:val="105"/>
          <w:sz w:val="16"/>
        </w:rPr>
        <w:t>Stammheim</w:t>
      </w:r>
      <w:r>
        <w:rPr>
          <w:i/>
          <w:color w:val="231F20"/>
          <w:spacing w:val="27"/>
          <w:w w:val="105"/>
          <w:sz w:val="16"/>
        </w:rPr>
        <w:t xml:space="preserve"> </w:t>
      </w:r>
      <w:r>
        <w:rPr>
          <w:color w:val="231F20"/>
          <w:spacing w:val="-3"/>
          <w:w w:val="105"/>
          <w:sz w:val="16"/>
        </w:rPr>
        <w:t>465-473.</w:t>
      </w:r>
    </w:p>
    <w:p w14:paraId="71FAE848" w14:textId="77777777" w:rsidR="002653E8" w:rsidRDefault="003115E3">
      <w:pPr>
        <w:spacing w:before="52"/>
        <w:ind w:left="1328"/>
        <w:rPr>
          <w:sz w:val="16"/>
        </w:rPr>
      </w:pPr>
      <w:r>
        <w:rPr>
          <w:color w:val="231F20"/>
          <w:w w:val="115"/>
          <w:sz w:val="16"/>
        </w:rPr>
        <w:t>7 Ibid., 532.</w:t>
      </w:r>
    </w:p>
    <w:p w14:paraId="41ADFA4F" w14:textId="77777777" w:rsidR="002653E8" w:rsidRDefault="003115E3">
      <w:pPr>
        <w:spacing w:before="51"/>
        <w:ind w:left="1328"/>
        <w:rPr>
          <w:sz w:val="16"/>
        </w:rPr>
      </w:pPr>
      <w:r>
        <w:rPr>
          <w:color w:val="231F20"/>
          <w:w w:val="110"/>
          <w:sz w:val="16"/>
        </w:rPr>
        <w:t xml:space="preserve">8 </w:t>
      </w:r>
      <w:r>
        <w:rPr>
          <w:i/>
          <w:color w:val="231F20"/>
          <w:w w:val="110"/>
          <w:sz w:val="16"/>
        </w:rPr>
        <w:t xml:space="preserve">Actualité de la Résistance Anti-Impérialiste, </w:t>
      </w:r>
      <w:r>
        <w:rPr>
          <w:color w:val="231F20"/>
          <w:w w:val="110"/>
          <w:sz w:val="16"/>
        </w:rPr>
        <w:t>no. 3, Paris, June 6, 1978: 8, 10.</w:t>
      </w:r>
    </w:p>
    <w:p w14:paraId="4A686EC2" w14:textId="77777777" w:rsidR="002653E8" w:rsidRDefault="002653E8">
      <w:pPr>
        <w:rPr>
          <w:sz w:val="16"/>
        </w:rPr>
        <w:sectPr w:rsidR="002653E8">
          <w:pgSz w:w="8640" w:h="12960"/>
          <w:pgMar w:top="1060" w:right="0" w:bottom="1040" w:left="0" w:header="0" w:footer="850" w:gutter="0"/>
          <w:cols w:space="720"/>
        </w:sectPr>
      </w:pPr>
    </w:p>
    <w:p w14:paraId="236DDBF3" w14:textId="77777777" w:rsidR="002653E8" w:rsidRDefault="003115E3">
      <w:pPr>
        <w:pStyle w:val="a3"/>
        <w:spacing w:before="86" w:line="264" w:lineRule="auto"/>
        <w:ind w:left="1147" w:right="1326" w:firstLine="210"/>
        <w:jc w:val="both"/>
      </w:pPr>
      <w:r>
        <w:rPr>
          <w:color w:val="231F20"/>
        </w:rPr>
        <w:lastRenderedPageBreak/>
        <w:t>As we shall see, while Croissant’s plea would raise international awareness about what was happening in the Federal Republic, it would not be sufficient to keep him safe. Nevertheless, for the time being he was allowed to remain in Paris, as the French authorities tried to decide how to handle the affair.</w:t>
      </w:r>
    </w:p>
    <w:p w14:paraId="489BBA17" w14:textId="77777777" w:rsidR="002653E8" w:rsidRDefault="003115E3">
      <w:pPr>
        <w:pStyle w:val="a3"/>
        <w:spacing w:line="264" w:lineRule="auto"/>
        <w:ind w:left="1147" w:right="1326" w:firstLine="210"/>
        <w:jc w:val="both"/>
      </w:pPr>
      <w:r>
        <w:rPr>
          <w:color w:val="231F20"/>
        </w:rPr>
        <w:t xml:space="preserve">The next attack occurred on July </w:t>
      </w:r>
      <w:r>
        <w:rPr>
          <w:color w:val="231F20"/>
          <w:spacing w:val="-3"/>
        </w:rPr>
        <w:t xml:space="preserve">30 </w:t>
      </w:r>
      <w:r>
        <w:rPr>
          <w:color w:val="231F20"/>
        </w:rPr>
        <w:t xml:space="preserve">in the wealthy Frankfurt suburb of Oberursel. Three </w:t>
      </w:r>
      <w:r w:rsidR="00C507A5">
        <w:rPr>
          <w:color w:val="231F20"/>
          <w:spacing w:val="5"/>
        </w:rPr>
        <w:t>red army faction</w:t>
      </w:r>
      <w:r>
        <w:rPr>
          <w:color w:val="231F20"/>
          <w:spacing w:val="5"/>
        </w:rPr>
        <w:t xml:space="preserve"> </w:t>
      </w:r>
      <w:r>
        <w:rPr>
          <w:color w:val="231F20"/>
        </w:rPr>
        <w:t xml:space="preserve">members, including a young woman named Susanne Albrecht, came with red roses to the door of a thirty-room villa belonging to Jürgen </w:t>
      </w:r>
      <w:r>
        <w:rPr>
          <w:color w:val="231F20"/>
          <w:spacing w:val="-3"/>
        </w:rPr>
        <w:t>Ponto.</w:t>
      </w:r>
      <w:r>
        <w:rPr>
          <w:color w:val="231F20"/>
          <w:spacing w:val="-3"/>
          <w:position w:val="7"/>
          <w:sz w:val="11"/>
        </w:rPr>
        <w:t xml:space="preserve">1 </w:t>
      </w:r>
      <w:r>
        <w:rPr>
          <w:color w:val="231F20"/>
        </w:rPr>
        <w:t xml:space="preserve">One of the most important businessmen in </w:t>
      </w:r>
      <w:r>
        <w:rPr>
          <w:color w:val="231F20"/>
          <w:spacing w:val="-3"/>
        </w:rPr>
        <w:t xml:space="preserve">West </w:t>
      </w:r>
      <w:r>
        <w:rPr>
          <w:color w:val="231F20"/>
        </w:rPr>
        <w:t xml:space="preserve">Germany, Ponto had direct ties to many Third </w:t>
      </w:r>
      <w:r>
        <w:rPr>
          <w:color w:val="231F20"/>
          <w:spacing w:val="-4"/>
        </w:rPr>
        <w:t xml:space="preserve">World </w:t>
      </w:r>
      <w:r>
        <w:rPr>
          <w:color w:val="231F20"/>
        </w:rPr>
        <w:t>governments and had served as an advisor to South Africa’s infamous apartheid regime. He was also godfather to Albrecht’s sister and a close friend of   her</w:t>
      </w:r>
      <w:r>
        <w:rPr>
          <w:color w:val="231F20"/>
          <w:spacing w:val="10"/>
        </w:rPr>
        <w:t xml:space="preserve"> </w:t>
      </w:r>
      <w:r>
        <w:rPr>
          <w:color w:val="231F20"/>
        </w:rPr>
        <w:t>parents.</w:t>
      </w:r>
    </w:p>
    <w:p w14:paraId="193EE2C5" w14:textId="77777777" w:rsidR="002653E8" w:rsidRDefault="003115E3">
      <w:pPr>
        <w:pStyle w:val="a3"/>
        <w:spacing w:line="264" w:lineRule="auto"/>
        <w:ind w:left="1147" w:right="1326" w:firstLine="210"/>
        <w:jc w:val="both"/>
      </w:pPr>
      <w:r>
        <w:rPr>
          <w:color w:val="231F20"/>
        </w:rPr>
        <w:t>The guerillas attempted to abduct the businessman, but when he resisted they opened fire, shooting him five times. He died on his kitchen floor.</w:t>
      </w:r>
    </w:p>
    <w:p w14:paraId="1C8E4DF3" w14:textId="77777777" w:rsidR="002653E8" w:rsidRDefault="003115E3">
      <w:pPr>
        <w:pStyle w:val="a3"/>
        <w:spacing w:line="264" w:lineRule="auto"/>
        <w:ind w:left="1147" w:right="1323" w:firstLine="210"/>
        <w:jc w:val="both"/>
      </w:pPr>
      <w:r>
        <w:rPr>
          <w:color w:val="231F20"/>
        </w:rPr>
        <w:t xml:space="preserve">As Albrecht had been recognized by </w:t>
      </w:r>
      <w:r>
        <w:rPr>
          <w:color w:val="231F20"/>
          <w:spacing w:val="-4"/>
        </w:rPr>
        <w:t xml:space="preserve">Ponto’s </w:t>
      </w:r>
      <w:r>
        <w:rPr>
          <w:color w:val="231F20"/>
        </w:rPr>
        <w:t xml:space="preserve">wife, she signed  her name to the guerilla’s communiqué for this action. She was sought for this attack along with Angelika Speitel, Silke Maier-Witt, and Siegrid Sternebeck. With the exception of Speitel, who had been underground for some years </w:t>
      </w:r>
      <w:r>
        <w:rPr>
          <w:color w:val="231F20"/>
          <w:spacing w:val="-4"/>
        </w:rPr>
        <w:t xml:space="preserve">now, </w:t>
      </w:r>
      <w:r>
        <w:rPr>
          <w:color w:val="231F20"/>
        </w:rPr>
        <w:t xml:space="preserve">the women had all been active together since </w:t>
      </w:r>
      <w:r>
        <w:rPr>
          <w:color w:val="231F20"/>
          <w:spacing w:val="-6"/>
        </w:rPr>
        <w:t xml:space="preserve">1974, </w:t>
      </w:r>
      <w:r>
        <w:rPr>
          <w:color w:val="231F20"/>
        </w:rPr>
        <w:t xml:space="preserve">meeting through the Hamburg squats, Red Aid, and the Committees Against Torture. They had all known members of the Holger Meins Commando who had carried out the ill-fated Stockholm action in </w:t>
      </w:r>
      <w:r>
        <w:rPr>
          <w:color w:val="231F20"/>
          <w:spacing w:val="-7"/>
        </w:rPr>
        <w:t xml:space="preserve">1975. </w:t>
      </w:r>
      <w:r>
        <w:rPr>
          <w:color w:val="231F20"/>
          <w:spacing w:val="1"/>
        </w:rPr>
        <w:t xml:space="preserve">All </w:t>
      </w:r>
      <w:r>
        <w:rPr>
          <w:color w:val="231F20"/>
        </w:rPr>
        <w:t>four went underground</w:t>
      </w:r>
      <w:r>
        <w:rPr>
          <w:color w:val="231F20"/>
          <w:spacing w:val="41"/>
        </w:rPr>
        <w:t xml:space="preserve"> </w:t>
      </w:r>
      <w:r>
        <w:rPr>
          <w:color w:val="231F20"/>
        </w:rPr>
        <w:t>immediately.</w:t>
      </w:r>
    </w:p>
    <w:p w14:paraId="1A512777" w14:textId="77777777" w:rsidR="002653E8" w:rsidRDefault="003115E3">
      <w:pPr>
        <w:pStyle w:val="a3"/>
        <w:spacing w:line="264" w:lineRule="auto"/>
        <w:ind w:left="1147" w:right="1325" w:firstLine="210"/>
        <w:jc w:val="both"/>
        <w:rPr>
          <w:sz w:val="11"/>
        </w:rPr>
      </w:pPr>
      <w:r>
        <w:rPr>
          <w:color w:val="231F20"/>
        </w:rPr>
        <w:t xml:space="preserve">(A political storm ensued when it was learned that Ponto had never been warned that police knew Albrecht was close to the </w:t>
      </w:r>
      <w:r w:rsidR="00C507A5">
        <w:rPr>
          <w:color w:val="231F20"/>
        </w:rPr>
        <w:t>red army faction</w:t>
      </w:r>
      <w:r>
        <w:rPr>
          <w:color w:val="231F20"/>
        </w:rPr>
        <w:t>. This led the FDP Federal Minister of the Interior Werner Maihofer to famously state that, “There is no capitalist who does not have a terrorist in his own intimate circle of friends or relations.”)</w:t>
      </w:r>
      <w:r>
        <w:rPr>
          <w:color w:val="231F20"/>
          <w:position w:val="7"/>
          <w:sz w:val="11"/>
        </w:rPr>
        <w:t>2</w:t>
      </w:r>
    </w:p>
    <w:p w14:paraId="3663BEF2" w14:textId="77777777" w:rsidR="002653E8" w:rsidRDefault="003115E3">
      <w:pPr>
        <w:pStyle w:val="a3"/>
        <w:spacing w:line="264" w:lineRule="auto"/>
        <w:ind w:left="1148" w:right="1325" w:firstLine="209"/>
        <w:jc w:val="both"/>
      </w:pPr>
      <w:r>
        <w:rPr>
          <w:color w:val="231F20"/>
        </w:rPr>
        <w:t>On August 8, Helmut Pohl,  Wolfgang  Beer,  and  Werner  Hoppe,  who had been moved to be with the others in Stammheim just a month earlier, were transferred back to Hamburg. The precise excuse  used was a “fight” with guards—essentially a set up whereby the guards provoked an incident and used it as an excuse to attack and beat all       of</w:t>
      </w:r>
      <w:r>
        <w:rPr>
          <w:color w:val="231F20"/>
          <w:spacing w:val="26"/>
        </w:rPr>
        <w:t xml:space="preserve"> </w:t>
      </w:r>
      <w:r>
        <w:rPr>
          <w:color w:val="231F20"/>
        </w:rPr>
        <w:t>the</w:t>
      </w:r>
      <w:r>
        <w:rPr>
          <w:color w:val="231F20"/>
          <w:spacing w:val="26"/>
        </w:rPr>
        <w:t xml:space="preserve"> </w:t>
      </w:r>
      <w:r>
        <w:rPr>
          <w:color w:val="231F20"/>
        </w:rPr>
        <w:t>prisoners</w:t>
      </w:r>
      <w:r>
        <w:rPr>
          <w:color w:val="231F20"/>
          <w:spacing w:val="26"/>
        </w:rPr>
        <w:t xml:space="preserve"> </w:t>
      </w:r>
      <w:r>
        <w:rPr>
          <w:color w:val="231F20"/>
        </w:rPr>
        <w:t>on</w:t>
      </w:r>
      <w:r>
        <w:rPr>
          <w:color w:val="231F20"/>
          <w:spacing w:val="26"/>
        </w:rPr>
        <w:t xml:space="preserve"> </w:t>
      </w:r>
      <w:r>
        <w:rPr>
          <w:color w:val="231F20"/>
        </w:rPr>
        <w:t>the</w:t>
      </w:r>
      <w:r>
        <w:rPr>
          <w:color w:val="231F20"/>
          <w:spacing w:val="26"/>
        </w:rPr>
        <w:t xml:space="preserve"> </w:t>
      </w:r>
      <w:r>
        <w:rPr>
          <w:color w:val="231F20"/>
        </w:rPr>
        <w:t>floor.</w:t>
      </w:r>
      <w:r>
        <w:rPr>
          <w:color w:val="231F20"/>
          <w:position w:val="7"/>
          <w:sz w:val="11"/>
        </w:rPr>
        <w:t>3</w:t>
      </w:r>
      <w:r>
        <w:rPr>
          <w:color w:val="231F20"/>
          <w:spacing w:val="15"/>
          <w:position w:val="7"/>
          <w:sz w:val="11"/>
        </w:rPr>
        <w:t xml:space="preserve"> </w:t>
      </w:r>
      <w:r>
        <w:rPr>
          <w:color w:val="231F20"/>
        </w:rPr>
        <w:t>It</w:t>
      </w:r>
      <w:r>
        <w:rPr>
          <w:color w:val="231F20"/>
          <w:spacing w:val="26"/>
        </w:rPr>
        <w:t xml:space="preserve"> </w:t>
      </w:r>
      <w:r>
        <w:rPr>
          <w:color w:val="231F20"/>
        </w:rPr>
        <w:t>appeared</w:t>
      </w:r>
      <w:r>
        <w:rPr>
          <w:color w:val="231F20"/>
          <w:spacing w:val="26"/>
        </w:rPr>
        <w:t xml:space="preserve"> </w:t>
      </w:r>
      <w:r>
        <w:rPr>
          <w:color w:val="231F20"/>
        </w:rPr>
        <w:t>that</w:t>
      </w:r>
      <w:r>
        <w:rPr>
          <w:color w:val="231F20"/>
          <w:spacing w:val="26"/>
        </w:rPr>
        <w:t xml:space="preserve"> </w:t>
      </w:r>
      <w:r>
        <w:rPr>
          <w:color w:val="231F20"/>
        </w:rPr>
        <w:t>Buback’s</w:t>
      </w:r>
      <w:r>
        <w:rPr>
          <w:color w:val="231F20"/>
          <w:spacing w:val="26"/>
        </w:rPr>
        <w:t xml:space="preserve"> </w:t>
      </w:r>
      <w:r>
        <w:rPr>
          <w:color w:val="231F20"/>
        </w:rPr>
        <w:t>replacement,</w:t>
      </w:r>
    </w:p>
    <w:p w14:paraId="2BA12507" w14:textId="77777777" w:rsidR="002653E8" w:rsidRDefault="00000000">
      <w:pPr>
        <w:pStyle w:val="a3"/>
        <w:spacing w:before="3"/>
        <w:rPr>
          <w:sz w:val="15"/>
        </w:rPr>
      </w:pPr>
      <w:r>
        <w:rPr>
          <w:noProof w:val="0"/>
        </w:rPr>
        <w:pict w14:anchorId="378BBE7B">
          <v:line id="_x0000_s2208" style="position:absolute;z-index:10000;mso-wrap-distance-left:0;mso-wrap-distance-right:0;mso-position-horizontal-relative:page" from="57.4pt,11.15pt" to="129.4pt,11.15pt" strokecolor="#231f20" strokeweight=".5pt">
            <w10:wrap type="topAndBottom" anchorx="page"/>
          </v:line>
        </w:pict>
      </w:r>
    </w:p>
    <w:p w14:paraId="60165296" w14:textId="77777777" w:rsidR="002653E8" w:rsidRDefault="003115E3">
      <w:pPr>
        <w:spacing w:before="53" w:line="307" w:lineRule="auto"/>
        <w:ind w:left="1148" w:right="2009" w:hanging="1"/>
        <w:rPr>
          <w:sz w:val="16"/>
        </w:rPr>
      </w:pPr>
      <w:r>
        <w:rPr>
          <w:color w:val="231F20"/>
          <w:w w:val="110"/>
          <w:sz w:val="16"/>
        </w:rPr>
        <w:t xml:space="preserve">1 Associated Press, “Terror Suspect Nabbed,” </w:t>
      </w:r>
      <w:r>
        <w:rPr>
          <w:i/>
          <w:color w:val="231F20"/>
          <w:w w:val="110"/>
          <w:sz w:val="16"/>
        </w:rPr>
        <w:t xml:space="preserve">The Times, </w:t>
      </w:r>
      <w:r>
        <w:rPr>
          <w:color w:val="231F20"/>
          <w:w w:val="110"/>
          <w:sz w:val="16"/>
        </w:rPr>
        <w:t>August 2, 1977. 2 Aust, 418.</w:t>
      </w:r>
    </w:p>
    <w:p w14:paraId="536B248D" w14:textId="77777777" w:rsidR="002653E8" w:rsidRDefault="003115E3">
      <w:pPr>
        <w:spacing w:line="186" w:lineRule="exact"/>
        <w:ind w:left="1148"/>
        <w:rPr>
          <w:sz w:val="16"/>
        </w:rPr>
      </w:pPr>
      <w:r>
        <w:rPr>
          <w:color w:val="231F20"/>
          <w:w w:val="110"/>
          <w:sz w:val="16"/>
        </w:rPr>
        <w:t>3 Ibid., 411-412.</w:t>
      </w:r>
    </w:p>
    <w:p w14:paraId="506609D1" w14:textId="77777777" w:rsidR="002653E8" w:rsidRDefault="002653E8">
      <w:pPr>
        <w:spacing w:line="186" w:lineRule="exact"/>
        <w:rPr>
          <w:sz w:val="16"/>
        </w:rPr>
        <w:sectPr w:rsidR="002653E8">
          <w:pgSz w:w="8640" w:h="12960"/>
          <w:pgMar w:top="1060" w:right="0" w:bottom="1040" w:left="0" w:header="0" w:footer="850" w:gutter="0"/>
          <w:cols w:space="720"/>
        </w:sectPr>
      </w:pPr>
    </w:p>
    <w:p w14:paraId="75937389" w14:textId="77777777" w:rsidR="002653E8" w:rsidRDefault="003115E3">
      <w:pPr>
        <w:pStyle w:val="a3"/>
        <w:spacing w:before="86" w:line="264" w:lineRule="auto"/>
        <w:ind w:left="1327" w:right="1580"/>
      </w:pPr>
      <w:r>
        <w:rPr>
          <w:color w:val="231F20"/>
        </w:rPr>
        <w:lastRenderedPageBreak/>
        <w:t>Kurt Rebmann, had moved to reverse his previous agreement for association.</w:t>
      </w:r>
    </w:p>
    <w:p w14:paraId="34C43C17" w14:textId="77777777" w:rsidR="002653E8" w:rsidRDefault="003115E3">
      <w:pPr>
        <w:pStyle w:val="a3"/>
        <w:spacing w:line="264" w:lineRule="auto"/>
        <w:ind w:left="1328" w:right="1137" w:firstLine="209"/>
        <w:jc w:val="both"/>
      </w:pPr>
      <w:r>
        <w:rPr>
          <w:color w:val="231F20"/>
        </w:rPr>
        <w:t xml:space="preserve">In reaction to these shenanigans and to the attack on Ponto, all </w:t>
      </w:r>
      <w:r w:rsidR="00C507A5">
        <w:rPr>
          <w:color w:val="231F20"/>
        </w:rPr>
        <w:t>red army faction</w:t>
      </w:r>
      <w:r>
        <w:rPr>
          <w:color w:val="231F20"/>
        </w:rPr>
        <w:t xml:space="preserve"> prisoners went on hunger strike, some escalating to a thirst strike almost immediately.</w:t>
      </w:r>
    </w:p>
    <w:p w14:paraId="674218CB" w14:textId="77777777" w:rsidR="002653E8" w:rsidRDefault="003115E3">
      <w:pPr>
        <w:pStyle w:val="a3"/>
        <w:spacing w:line="231" w:lineRule="exact"/>
        <w:ind w:left="1538"/>
      </w:pPr>
      <w:r>
        <w:rPr>
          <w:color w:val="231F20"/>
        </w:rPr>
        <w:t>It was only days before the force-feeding began.</w:t>
      </w:r>
    </w:p>
    <w:p w14:paraId="6DBE06CD" w14:textId="77777777" w:rsidR="002653E8" w:rsidRDefault="003115E3">
      <w:pPr>
        <w:pStyle w:val="a3"/>
        <w:spacing w:before="21" w:line="264" w:lineRule="auto"/>
        <w:ind w:left="1328" w:right="1145" w:firstLine="210"/>
        <w:jc w:val="both"/>
        <w:rPr>
          <w:sz w:val="11"/>
        </w:rPr>
      </w:pPr>
      <w:r>
        <w:rPr>
          <w:color w:val="231F20"/>
        </w:rPr>
        <w:t xml:space="preserve">Defense attorneys Newerla and Müller began organizing public support for the striking prisoners, and became subject to even heavier levels of harassment and outright repression. On August </w:t>
      </w:r>
      <w:r>
        <w:rPr>
          <w:color w:val="231F20"/>
          <w:spacing w:val="-8"/>
        </w:rPr>
        <w:t xml:space="preserve">15, </w:t>
      </w:r>
      <w:r>
        <w:rPr>
          <w:color w:val="231F20"/>
        </w:rPr>
        <w:t xml:space="preserve">the lawyers’ offices were bombed, almost certainly with the collusion of the police who had the premises under surveillance twenty-four hours a </w:t>
      </w:r>
      <w:r>
        <w:rPr>
          <w:color w:val="231F20"/>
          <w:spacing w:val="-5"/>
        </w:rPr>
        <w:t xml:space="preserve">day. </w:t>
      </w:r>
      <w:r>
        <w:rPr>
          <w:color w:val="231F20"/>
        </w:rPr>
        <w:t xml:space="preserve">Müller and assistant </w:t>
      </w:r>
      <w:r>
        <w:rPr>
          <w:color w:val="231F20"/>
          <w:spacing w:val="-3"/>
        </w:rPr>
        <w:t xml:space="preserve">Volker </w:t>
      </w:r>
      <w:r>
        <w:rPr>
          <w:color w:val="231F20"/>
        </w:rPr>
        <w:t>Speitel were there at the time, but were not injured.</w:t>
      </w:r>
      <w:r>
        <w:rPr>
          <w:color w:val="231F20"/>
          <w:position w:val="7"/>
          <w:sz w:val="11"/>
        </w:rPr>
        <w:t xml:space="preserve">4 </w:t>
      </w:r>
      <w:r>
        <w:rPr>
          <w:color w:val="231F20"/>
        </w:rPr>
        <w:t xml:space="preserve">Newerla was subsequently arrested when multiple copies of the left-wing magazine </w:t>
      </w:r>
      <w:r>
        <w:rPr>
          <w:i/>
          <w:color w:val="231F20"/>
        </w:rPr>
        <w:t xml:space="preserve">MOB </w:t>
      </w:r>
      <w:r>
        <w:rPr>
          <w:color w:val="231F20"/>
        </w:rPr>
        <w:t>which supported the prisoners were found in his car: he was charged with “supporting a terrorist organization” under</w:t>
      </w:r>
      <w:r>
        <w:rPr>
          <w:color w:val="231F20"/>
          <w:spacing w:val="10"/>
        </w:rPr>
        <w:t xml:space="preserve"> </w:t>
      </w:r>
      <w:r>
        <w:rPr>
          <w:color w:val="231F20"/>
          <w:sz w:val="18"/>
        </w:rPr>
        <w:t>§</w:t>
      </w:r>
      <w:r>
        <w:rPr>
          <w:color w:val="231F20"/>
        </w:rPr>
        <w:t>129a.</w:t>
      </w:r>
      <w:r>
        <w:rPr>
          <w:color w:val="231F20"/>
          <w:position w:val="7"/>
          <w:sz w:val="11"/>
        </w:rPr>
        <w:t>5</w:t>
      </w:r>
    </w:p>
    <w:p w14:paraId="2E17C542" w14:textId="77777777" w:rsidR="002653E8" w:rsidRDefault="003115E3">
      <w:pPr>
        <w:pStyle w:val="a3"/>
        <w:spacing w:line="264" w:lineRule="auto"/>
        <w:ind w:left="1327" w:right="1146" w:firstLine="210"/>
        <w:jc w:val="both"/>
      </w:pPr>
      <w:r>
        <w:rPr>
          <w:color w:val="231F20"/>
        </w:rPr>
        <w:t>The new Attorney General staked out the “hard-line” position for which he would be remembered. “I know that the population is not at  all interested if these people go on hunger and thirst strikes,” Rebmann told the press. “The population wants these people to be hit hard, just  as</w:t>
      </w:r>
      <w:r>
        <w:rPr>
          <w:color w:val="231F20"/>
          <w:spacing w:val="10"/>
        </w:rPr>
        <w:t xml:space="preserve"> </w:t>
      </w:r>
      <w:r>
        <w:rPr>
          <w:color w:val="231F20"/>
        </w:rPr>
        <w:t>hard</w:t>
      </w:r>
      <w:r>
        <w:rPr>
          <w:color w:val="231F20"/>
          <w:spacing w:val="10"/>
        </w:rPr>
        <w:t xml:space="preserve"> </w:t>
      </w:r>
      <w:r>
        <w:rPr>
          <w:color w:val="231F20"/>
        </w:rPr>
        <w:t>as</w:t>
      </w:r>
      <w:r>
        <w:rPr>
          <w:color w:val="231F20"/>
          <w:spacing w:val="10"/>
        </w:rPr>
        <w:t xml:space="preserve"> </w:t>
      </w:r>
      <w:r>
        <w:rPr>
          <w:color w:val="231F20"/>
        </w:rPr>
        <w:t>they</w:t>
      </w:r>
      <w:r>
        <w:rPr>
          <w:color w:val="231F20"/>
          <w:spacing w:val="10"/>
        </w:rPr>
        <w:t xml:space="preserve"> </w:t>
      </w:r>
      <w:r>
        <w:rPr>
          <w:color w:val="231F20"/>
        </w:rPr>
        <w:t>have</w:t>
      </w:r>
      <w:r>
        <w:rPr>
          <w:color w:val="231F20"/>
          <w:spacing w:val="10"/>
        </w:rPr>
        <w:t xml:space="preserve"> </w:t>
      </w:r>
      <w:r>
        <w:rPr>
          <w:color w:val="231F20"/>
        </w:rPr>
        <w:t>earned</w:t>
      </w:r>
      <w:r>
        <w:rPr>
          <w:color w:val="231F20"/>
          <w:spacing w:val="10"/>
        </w:rPr>
        <w:t xml:space="preserve"> </w:t>
      </w:r>
      <w:r>
        <w:rPr>
          <w:color w:val="231F20"/>
        </w:rPr>
        <w:t>with</w:t>
      </w:r>
      <w:r>
        <w:rPr>
          <w:color w:val="231F20"/>
          <w:spacing w:val="10"/>
        </w:rPr>
        <w:t xml:space="preserve"> </w:t>
      </w:r>
      <w:r>
        <w:rPr>
          <w:color w:val="231F20"/>
        </w:rPr>
        <w:t>their</w:t>
      </w:r>
      <w:r>
        <w:rPr>
          <w:color w:val="231F20"/>
          <w:spacing w:val="10"/>
        </w:rPr>
        <w:t xml:space="preserve"> </w:t>
      </w:r>
      <w:r>
        <w:rPr>
          <w:color w:val="231F20"/>
        </w:rPr>
        <w:t>brutal</w:t>
      </w:r>
      <w:r>
        <w:rPr>
          <w:color w:val="231F20"/>
          <w:spacing w:val="10"/>
        </w:rPr>
        <w:t xml:space="preserve"> </w:t>
      </w:r>
      <w:r>
        <w:rPr>
          <w:color w:val="231F20"/>
          <w:spacing w:val="-3"/>
        </w:rPr>
        <w:t>deed.”</w:t>
      </w:r>
    </w:p>
    <w:p w14:paraId="60F74646" w14:textId="77777777" w:rsidR="002653E8" w:rsidRDefault="003115E3">
      <w:pPr>
        <w:pStyle w:val="a3"/>
        <w:spacing w:line="264" w:lineRule="auto"/>
        <w:ind w:left="1327" w:right="1147" w:firstLine="210"/>
        <w:jc w:val="both"/>
        <w:rPr>
          <w:sz w:val="11"/>
        </w:rPr>
      </w:pPr>
      <w:r>
        <w:rPr>
          <w:color w:val="231F20"/>
          <w:w w:val="105"/>
        </w:rPr>
        <w:t>He</w:t>
      </w:r>
      <w:r>
        <w:rPr>
          <w:color w:val="231F20"/>
          <w:spacing w:val="-25"/>
          <w:w w:val="105"/>
        </w:rPr>
        <w:t xml:space="preserve"> </w:t>
      </w:r>
      <w:r>
        <w:rPr>
          <w:color w:val="231F20"/>
          <w:w w:val="105"/>
        </w:rPr>
        <w:t>was</w:t>
      </w:r>
      <w:r>
        <w:rPr>
          <w:color w:val="231F20"/>
          <w:spacing w:val="-25"/>
          <w:w w:val="105"/>
        </w:rPr>
        <w:t xml:space="preserve"> </w:t>
      </w:r>
      <w:r>
        <w:rPr>
          <w:color w:val="231F20"/>
          <w:w w:val="105"/>
        </w:rPr>
        <w:t>asked</w:t>
      </w:r>
      <w:r>
        <w:rPr>
          <w:color w:val="231F20"/>
          <w:spacing w:val="-25"/>
          <w:w w:val="105"/>
        </w:rPr>
        <w:t xml:space="preserve"> </w:t>
      </w:r>
      <w:r>
        <w:rPr>
          <w:color w:val="231F20"/>
          <w:w w:val="105"/>
        </w:rPr>
        <w:t>about</w:t>
      </w:r>
      <w:r>
        <w:rPr>
          <w:color w:val="231F20"/>
          <w:spacing w:val="-25"/>
          <w:w w:val="105"/>
        </w:rPr>
        <w:t xml:space="preserve"> </w:t>
      </w:r>
      <w:r>
        <w:rPr>
          <w:color w:val="231F20"/>
          <w:w w:val="105"/>
        </w:rPr>
        <w:t>the</w:t>
      </w:r>
      <w:r>
        <w:rPr>
          <w:color w:val="231F20"/>
          <w:spacing w:val="-25"/>
          <w:w w:val="105"/>
        </w:rPr>
        <w:t xml:space="preserve"> </w:t>
      </w:r>
      <w:r>
        <w:rPr>
          <w:color w:val="231F20"/>
          <w:w w:val="105"/>
        </w:rPr>
        <w:t>possibility</w:t>
      </w:r>
      <w:r>
        <w:rPr>
          <w:color w:val="231F20"/>
          <w:spacing w:val="-25"/>
          <w:w w:val="105"/>
        </w:rPr>
        <w:t xml:space="preserve"> </w:t>
      </w:r>
      <w:r>
        <w:rPr>
          <w:color w:val="231F20"/>
          <w:w w:val="105"/>
        </w:rPr>
        <w:t>of</w:t>
      </w:r>
      <w:r>
        <w:rPr>
          <w:color w:val="231F20"/>
          <w:spacing w:val="-25"/>
          <w:w w:val="105"/>
        </w:rPr>
        <w:t xml:space="preserve"> </w:t>
      </w:r>
      <w:r>
        <w:rPr>
          <w:color w:val="231F20"/>
          <w:w w:val="105"/>
        </w:rPr>
        <w:t>prisoners</w:t>
      </w:r>
      <w:r>
        <w:rPr>
          <w:color w:val="231F20"/>
          <w:spacing w:val="-25"/>
          <w:w w:val="105"/>
        </w:rPr>
        <w:t xml:space="preserve"> </w:t>
      </w:r>
      <w:r>
        <w:rPr>
          <w:color w:val="231F20"/>
          <w:w w:val="105"/>
        </w:rPr>
        <w:t>dying.</w:t>
      </w:r>
      <w:r>
        <w:rPr>
          <w:color w:val="231F20"/>
          <w:spacing w:val="-25"/>
          <w:w w:val="105"/>
        </w:rPr>
        <w:t xml:space="preserve"> </w:t>
      </w:r>
      <w:r>
        <w:rPr>
          <w:color w:val="231F20"/>
          <w:w w:val="105"/>
        </w:rPr>
        <w:t>“That</w:t>
      </w:r>
      <w:r>
        <w:rPr>
          <w:color w:val="231F20"/>
          <w:spacing w:val="-25"/>
          <w:w w:val="105"/>
        </w:rPr>
        <w:t xml:space="preserve"> </w:t>
      </w:r>
      <w:r>
        <w:rPr>
          <w:color w:val="231F20"/>
          <w:w w:val="105"/>
        </w:rPr>
        <w:t>is</w:t>
      </w:r>
      <w:r>
        <w:rPr>
          <w:color w:val="231F20"/>
          <w:spacing w:val="-25"/>
          <w:w w:val="105"/>
        </w:rPr>
        <w:t xml:space="preserve"> </w:t>
      </w:r>
      <w:r>
        <w:rPr>
          <w:color w:val="231F20"/>
          <w:w w:val="105"/>
        </w:rPr>
        <w:t>always a</w:t>
      </w:r>
      <w:r>
        <w:rPr>
          <w:color w:val="231F20"/>
          <w:spacing w:val="-14"/>
          <w:w w:val="105"/>
        </w:rPr>
        <w:t xml:space="preserve"> </w:t>
      </w:r>
      <w:r>
        <w:rPr>
          <w:color w:val="231F20"/>
          <w:w w:val="105"/>
        </w:rPr>
        <w:t>bad</w:t>
      </w:r>
      <w:r>
        <w:rPr>
          <w:color w:val="231F20"/>
          <w:spacing w:val="-14"/>
          <w:w w:val="105"/>
        </w:rPr>
        <w:t xml:space="preserve"> </w:t>
      </w:r>
      <w:r>
        <w:rPr>
          <w:color w:val="231F20"/>
          <w:w w:val="105"/>
        </w:rPr>
        <w:t>thing,”</w:t>
      </w:r>
      <w:r>
        <w:rPr>
          <w:color w:val="231F20"/>
          <w:spacing w:val="-14"/>
          <w:w w:val="105"/>
        </w:rPr>
        <w:t xml:space="preserve"> </w:t>
      </w:r>
      <w:r>
        <w:rPr>
          <w:color w:val="231F20"/>
          <w:w w:val="105"/>
        </w:rPr>
        <w:t>he</w:t>
      </w:r>
      <w:r>
        <w:rPr>
          <w:color w:val="231F20"/>
          <w:spacing w:val="-14"/>
          <w:w w:val="105"/>
        </w:rPr>
        <w:t xml:space="preserve"> </w:t>
      </w:r>
      <w:r>
        <w:rPr>
          <w:color w:val="231F20"/>
          <w:w w:val="105"/>
        </w:rPr>
        <w:t>answered,</w:t>
      </w:r>
      <w:r>
        <w:rPr>
          <w:color w:val="231F20"/>
          <w:spacing w:val="-14"/>
          <w:w w:val="105"/>
        </w:rPr>
        <w:t xml:space="preserve"> </w:t>
      </w:r>
      <w:r>
        <w:rPr>
          <w:color w:val="231F20"/>
          <w:w w:val="105"/>
        </w:rPr>
        <w:t>“but</w:t>
      </w:r>
      <w:r>
        <w:rPr>
          <w:color w:val="231F20"/>
          <w:spacing w:val="-14"/>
          <w:w w:val="105"/>
        </w:rPr>
        <w:t xml:space="preserve"> </w:t>
      </w:r>
      <w:r>
        <w:rPr>
          <w:color w:val="231F20"/>
          <w:w w:val="105"/>
        </w:rPr>
        <w:t>it</w:t>
      </w:r>
      <w:r>
        <w:rPr>
          <w:color w:val="231F20"/>
          <w:spacing w:val="-14"/>
          <w:w w:val="105"/>
        </w:rPr>
        <w:t xml:space="preserve"> </w:t>
      </w:r>
      <w:r>
        <w:rPr>
          <w:color w:val="231F20"/>
          <w:w w:val="105"/>
        </w:rPr>
        <w:t>would</w:t>
      </w:r>
      <w:r>
        <w:rPr>
          <w:color w:val="231F20"/>
          <w:spacing w:val="-14"/>
          <w:w w:val="105"/>
        </w:rPr>
        <w:t xml:space="preserve"> </w:t>
      </w:r>
      <w:r>
        <w:rPr>
          <w:color w:val="231F20"/>
          <w:w w:val="105"/>
        </w:rPr>
        <w:t>be</w:t>
      </w:r>
      <w:r>
        <w:rPr>
          <w:color w:val="231F20"/>
          <w:spacing w:val="-14"/>
          <w:w w:val="105"/>
        </w:rPr>
        <w:t xml:space="preserve"> </w:t>
      </w:r>
      <w:r>
        <w:rPr>
          <w:color w:val="231F20"/>
          <w:w w:val="105"/>
        </w:rPr>
        <w:t>the</w:t>
      </w:r>
      <w:r>
        <w:rPr>
          <w:color w:val="231F20"/>
          <w:spacing w:val="-14"/>
          <w:w w:val="105"/>
        </w:rPr>
        <w:t xml:space="preserve"> </w:t>
      </w:r>
      <w:r>
        <w:rPr>
          <w:color w:val="231F20"/>
          <w:w w:val="105"/>
        </w:rPr>
        <w:t>consequence</w:t>
      </w:r>
      <w:r>
        <w:rPr>
          <w:color w:val="231F20"/>
          <w:spacing w:val="-14"/>
          <w:w w:val="105"/>
        </w:rPr>
        <w:t xml:space="preserve"> </w:t>
      </w:r>
      <w:r>
        <w:rPr>
          <w:color w:val="231F20"/>
          <w:w w:val="105"/>
        </w:rPr>
        <w:t>which</w:t>
      </w:r>
      <w:r>
        <w:rPr>
          <w:color w:val="231F20"/>
          <w:spacing w:val="-14"/>
          <w:w w:val="105"/>
        </w:rPr>
        <w:t xml:space="preserve"> </w:t>
      </w:r>
      <w:r>
        <w:rPr>
          <w:color w:val="231F20"/>
          <w:w w:val="105"/>
        </w:rPr>
        <w:t>has been</w:t>
      </w:r>
      <w:r>
        <w:rPr>
          <w:color w:val="231F20"/>
          <w:spacing w:val="-9"/>
          <w:w w:val="105"/>
        </w:rPr>
        <w:t xml:space="preserve"> </w:t>
      </w:r>
      <w:r>
        <w:rPr>
          <w:color w:val="231F20"/>
          <w:w w:val="105"/>
        </w:rPr>
        <w:t>made</w:t>
      </w:r>
      <w:r>
        <w:rPr>
          <w:color w:val="231F20"/>
          <w:spacing w:val="-9"/>
          <w:w w:val="105"/>
        </w:rPr>
        <w:t xml:space="preserve"> </w:t>
      </w:r>
      <w:r>
        <w:rPr>
          <w:color w:val="231F20"/>
          <w:w w:val="105"/>
        </w:rPr>
        <w:t>clear</w:t>
      </w:r>
      <w:r>
        <w:rPr>
          <w:color w:val="231F20"/>
          <w:spacing w:val="-9"/>
          <w:w w:val="105"/>
        </w:rPr>
        <w:t xml:space="preserve"> </w:t>
      </w:r>
      <w:r>
        <w:rPr>
          <w:color w:val="231F20"/>
          <w:w w:val="105"/>
        </w:rPr>
        <w:t>to</w:t>
      </w:r>
      <w:r>
        <w:rPr>
          <w:color w:val="231F20"/>
          <w:spacing w:val="-9"/>
          <w:w w:val="105"/>
        </w:rPr>
        <w:t xml:space="preserve"> </w:t>
      </w:r>
      <w:r>
        <w:rPr>
          <w:color w:val="231F20"/>
          <w:w w:val="105"/>
        </w:rPr>
        <w:t>them</w:t>
      </w:r>
      <w:r>
        <w:rPr>
          <w:color w:val="231F20"/>
          <w:spacing w:val="-9"/>
          <w:w w:val="105"/>
        </w:rPr>
        <w:t xml:space="preserve"> </w:t>
      </w:r>
      <w:r>
        <w:rPr>
          <w:color w:val="231F20"/>
          <w:w w:val="105"/>
        </w:rPr>
        <w:t>and</w:t>
      </w:r>
      <w:r>
        <w:rPr>
          <w:color w:val="231F20"/>
          <w:spacing w:val="-9"/>
          <w:w w:val="105"/>
        </w:rPr>
        <w:t xml:space="preserve"> </w:t>
      </w:r>
      <w:r>
        <w:rPr>
          <w:color w:val="231F20"/>
          <w:w w:val="105"/>
        </w:rPr>
        <w:t>their</w:t>
      </w:r>
      <w:r>
        <w:rPr>
          <w:color w:val="231F20"/>
          <w:spacing w:val="-9"/>
          <w:w w:val="105"/>
        </w:rPr>
        <w:t xml:space="preserve"> </w:t>
      </w:r>
      <w:r>
        <w:rPr>
          <w:color w:val="231F20"/>
          <w:w w:val="105"/>
        </w:rPr>
        <w:t>lawyers</w:t>
      </w:r>
      <w:r>
        <w:rPr>
          <w:color w:val="231F20"/>
          <w:spacing w:val="-9"/>
          <w:w w:val="105"/>
        </w:rPr>
        <w:t xml:space="preserve"> </w:t>
      </w:r>
      <w:r>
        <w:rPr>
          <w:color w:val="231F20"/>
          <w:w w:val="105"/>
        </w:rPr>
        <w:t>and</w:t>
      </w:r>
      <w:r>
        <w:rPr>
          <w:color w:val="231F20"/>
          <w:spacing w:val="-9"/>
          <w:w w:val="105"/>
        </w:rPr>
        <w:t xml:space="preserve"> </w:t>
      </w:r>
      <w:r>
        <w:rPr>
          <w:color w:val="231F20"/>
          <w:w w:val="105"/>
        </w:rPr>
        <w:t>which</w:t>
      </w:r>
      <w:r>
        <w:rPr>
          <w:color w:val="231F20"/>
          <w:spacing w:val="-9"/>
          <w:w w:val="105"/>
        </w:rPr>
        <w:t xml:space="preserve"> </w:t>
      </w:r>
      <w:r>
        <w:rPr>
          <w:color w:val="231F20"/>
          <w:w w:val="105"/>
        </w:rPr>
        <w:t>is</w:t>
      </w:r>
      <w:r>
        <w:rPr>
          <w:color w:val="231F20"/>
          <w:spacing w:val="-9"/>
          <w:w w:val="105"/>
        </w:rPr>
        <w:t xml:space="preserve"> </w:t>
      </w:r>
      <w:r>
        <w:rPr>
          <w:color w:val="231F20"/>
          <w:w w:val="105"/>
        </w:rPr>
        <w:t>clear</w:t>
      </w:r>
      <w:r>
        <w:rPr>
          <w:color w:val="231F20"/>
          <w:spacing w:val="-9"/>
          <w:w w:val="105"/>
        </w:rPr>
        <w:t xml:space="preserve"> </w:t>
      </w:r>
      <w:r>
        <w:rPr>
          <w:color w:val="231F20"/>
          <w:w w:val="105"/>
        </w:rPr>
        <w:t>to</w:t>
      </w:r>
      <w:r>
        <w:rPr>
          <w:color w:val="231F20"/>
          <w:spacing w:val="-9"/>
          <w:w w:val="105"/>
        </w:rPr>
        <w:t xml:space="preserve"> </w:t>
      </w:r>
      <w:r>
        <w:rPr>
          <w:color w:val="231F20"/>
          <w:w w:val="105"/>
        </w:rPr>
        <w:t xml:space="preserve">them. The conditions of imprisonment </w:t>
      </w:r>
      <w:r>
        <w:rPr>
          <w:color w:val="231F20"/>
          <w:spacing w:val="-3"/>
          <w:w w:val="105"/>
        </w:rPr>
        <w:t xml:space="preserve">don’t </w:t>
      </w:r>
      <w:r>
        <w:rPr>
          <w:color w:val="231F20"/>
          <w:w w:val="105"/>
        </w:rPr>
        <w:t>justify such a strike; they are doing very well considering the</w:t>
      </w:r>
      <w:r>
        <w:rPr>
          <w:color w:val="231F20"/>
          <w:spacing w:val="20"/>
          <w:w w:val="105"/>
        </w:rPr>
        <w:t xml:space="preserve"> </w:t>
      </w:r>
      <w:r>
        <w:rPr>
          <w:color w:val="231F20"/>
          <w:w w:val="105"/>
        </w:rPr>
        <w:t>circumstances.”</w:t>
      </w:r>
      <w:r>
        <w:rPr>
          <w:color w:val="231F20"/>
          <w:w w:val="105"/>
          <w:position w:val="7"/>
          <w:sz w:val="11"/>
        </w:rPr>
        <w:t>6</w:t>
      </w:r>
    </w:p>
    <w:p w14:paraId="094FC858" w14:textId="77777777" w:rsidR="002653E8" w:rsidRDefault="003115E3">
      <w:pPr>
        <w:pStyle w:val="a3"/>
        <w:spacing w:line="264" w:lineRule="auto"/>
        <w:ind w:left="1327" w:right="1146" w:firstLine="210"/>
        <w:jc w:val="both"/>
      </w:pPr>
      <w:r>
        <w:rPr>
          <w:color w:val="231F20"/>
        </w:rPr>
        <w:t xml:space="preserve">On August </w:t>
      </w:r>
      <w:r>
        <w:rPr>
          <w:color w:val="231F20"/>
          <w:spacing w:val="-7"/>
        </w:rPr>
        <w:t xml:space="preserve">25, </w:t>
      </w:r>
      <w:r>
        <w:rPr>
          <w:color w:val="231F20"/>
        </w:rPr>
        <w:t xml:space="preserve">the </w:t>
      </w:r>
      <w:r w:rsidR="00C507A5">
        <w:rPr>
          <w:color w:val="231F20"/>
          <w:spacing w:val="5"/>
        </w:rPr>
        <w:t>red army faction</w:t>
      </w:r>
      <w:r>
        <w:rPr>
          <w:color w:val="231F20"/>
          <w:spacing w:val="5"/>
        </w:rPr>
        <w:t xml:space="preserve"> </w:t>
      </w:r>
      <w:r>
        <w:rPr>
          <w:color w:val="231F20"/>
        </w:rPr>
        <w:t xml:space="preserve">responded by targeting Rebmann’s offices. Peter-Jürgen Boock (the husband of Waltraud Boock) set up an improvised rocket launcher aimed at the Attorney General’s headquarters, but the timing device was not set </w:t>
      </w:r>
      <w:r>
        <w:rPr>
          <w:color w:val="231F20"/>
          <w:spacing w:val="-3"/>
        </w:rPr>
        <w:t xml:space="preserve">properly, </w:t>
      </w:r>
      <w:r>
        <w:rPr>
          <w:color w:val="231F20"/>
        </w:rPr>
        <w:t xml:space="preserve">and it failed to fire. Boock later broke with the </w:t>
      </w:r>
      <w:r w:rsidR="00C507A5">
        <w:rPr>
          <w:color w:val="231F20"/>
          <w:spacing w:val="5"/>
        </w:rPr>
        <w:t>red army faction</w:t>
      </w:r>
      <w:r>
        <w:rPr>
          <w:color w:val="231F20"/>
          <w:spacing w:val="5"/>
        </w:rPr>
        <w:t xml:space="preserve"> </w:t>
      </w:r>
      <w:r>
        <w:rPr>
          <w:color w:val="231F20"/>
        </w:rPr>
        <w:t>and claimed that he had purposefully sabotaged  this attack, as his conscience would not allow him to risk the lives of   the</w:t>
      </w:r>
      <w:r>
        <w:rPr>
          <w:color w:val="231F20"/>
          <w:spacing w:val="16"/>
        </w:rPr>
        <w:t xml:space="preserve"> </w:t>
      </w:r>
      <w:r>
        <w:rPr>
          <w:color w:val="231F20"/>
        </w:rPr>
        <w:t>secretaries</w:t>
      </w:r>
      <w:r>
        <w:rPr>
          <w:color w:val="231F20"/>
          <w:spacing w:val="16"/>
        </w:rPr>
        <w:t xml:space="preserve"> </w:t>
      </w:r>
      <w:r>
        <w:rPr>
          <w:color w:val="231F20"/>
        </w:rPr>
        <w:t>and</w:t>
      </w:r>
      <w:r>
        <w:rPr>
          <w:color w:val="231F20"/>
          <w:spacing w:val="16"/>
        </w:rPr>
        <w:t xml:space="preserve"> </w:t>
      </w:r>
      <w:r>
        <w:rPr>
          <w:color w:val="231F20"/>
        </w:rPr>
        <w:t>office</w:t>
      </w:r>
      <w:r>
        <w:rPr>
          <w:color w:val="231F20"/>
          <w:spacing w:val="16"/>
        </w:rPr>
        <w:t xml:space="preserve"> </w:t>
      </w:r>
      <w:r>
        <w:rPr>
          <w:color w:val="231F20"/>
        </w:rPr>
        <w:t>workers</w:t>
      </w:r>
      <w:r>
        <w:rPr>
          <w:color w:val="231F20"/>
          <w:spacing w:val="16"/>
        </w:rPr>
        <w:t xml:space="preserve"> </w:t>
      </w:r>
      <w:r>
        <w:rPr>
          <w:color w:val="231F20"/>
        </w:rPr>
        <w:t>in</w:t>
      </w:r>
      <w:r>
        <w:rPr>
          <w:color w:val="231F20"/>
          <w:spacing w:val="16"/>
        </w:rPr>
        <w:t xml:space="preserve"> </w:t>
      </w:r>
      <w:r>
        <w:rPr>
          <w:color w:val="231F20"/>
        </w:rPr>
        <w:t>the</w:t>
      </w:r>
      <w:r>
        <w:rPr>
          <w:color w:val="231F20"/>
          <w:spacing w:val="16"/>
        </w:rPr>
        <w:t xml:space="preserve"> </w:t>
      </w:r>
      <w:r>
        <w:rPr>
          <w:color w:val="231F20"/>
        </w:rPr>
        <w:t>building.</w:t>
      </w:r>
      <w:r>
        <w:rPr>
          <w:color w:val="231F20"/>
          <w:position w:val="7"/>
          <w:sz w:val="11"/>
        </w:rPr>
        <w:t>7</w:t>
      </w:r>
      <w:r>
        <w:rPr>
          <w:color w:val="231F20"/>
          <w:spacing w:val="10"/>
          <w:position w:val="7"/>
          <w:sz w:val="11"/>
        </w:rPr>
        <w:t xml:space="preserve"> </w:t>
      </w:r>
      <w:r>
        <w:rPr>
          <w:color w:val="231F20"/>
        </w:rPr>
        <w:t>(The</w:t>
      </w:r>
      <w:r>
        <w:rPr>
          <w:color w:val="231F20"/>
          <w:spacing w:val="16"/>
        </w:rPr>
        <w:t xml:space="preserve"> </w:t>
      </w:r>
      <w:r>
        <w:rPr>
          <w:color w:val="231F20"/>
        </w:rPr>
        <w:t>editors</w:t>
      </w:r>
      <w:r>
        <w:rPr>
          <w:color w:val="231F20"/>
          <w:spacing w:val="16"/>
        </w:rPr>
        <w:t xml:space="preserve"> </w:t>
      </w:r>
      <w:r>
        <w:rPr>
          <w:color w:val="231F20"/>
        </w:rPr>
        <w:t>of</w:t>
      </w:r>
      <w:r>
        <w:rPr>
          <w:color w:val="231F20"/>
          <w:spacing w:val="16"/>
        </w:rPr>
        <w:t xml:space="preserve"> </w:t>
      </w:r>
      <w:r>
        <w:rPr>
          <w:color w:val="231F20"/>
        </w:rPr>
        <w:t>this</w:t>
      </w:r>
    </w:p>
    <w:p w14:paraId="54C5946F" w14:textId="77777777" w:rsidR="002653E8" w:rsidRDefault="00000000">
      <w:pPr>
        <w:pStyle w:val="a3"/>
        <w:spacing w:before="4"/>
        <w:rPr>
          <w:sz w:val="27"/>
        </w:rPr>
      </w:pPr>
      <w:r>
        <w:rPr>
          <w:noProof w:val="0"/>
        </w:rPr>
        <w:pict w14:anchorId="07173ECB">
          <v:line id="_x0000_s2207" style="position:absolute;z-index:10024;mso-wrap-distance-left:0;mso-wrap-distance-right:0;mso-position-horizontal-relative:page" from="66.4pt,18.25pt" to="138.4pt,18.25pt" strokecolor="#231f20" strokeweight=".5pt">
            <w10:wrap type="topAndBottom" anchorx="page"/>
          </v:line>
        </w:pict>
      </w:r>
    </w:p>
    <w:p w14:paraId="3ADC5691" w14:textId="77777777" w:rsidR="002653E8" w:rsidRDefault="003115E3">
      <w:pPr>
        <w:pStyle w:val="a4"/>
        <w:numPr>
          <w:ilvl w:val="0"/>
          <w:numId w:val="5"/>
        </w:numPr>
        <w:tabs>
          <w:tab w:val="left" w:pos="1467"/>
        </w:tabs>
        <w:spacing w:before="53"/>
        <w:rPr>
          <w:i/>
          <w:sz w:val="16"/>
        </w:rPr>
      </w:pPr>
      <w:r>
        <w:rPr>
          <w:color w:val="231F20"/>
          <w:w w:val="110"/>
          <w:sz w:val="16"/>
        </w:rPr>
        <w:t xml:space="preserve">Associated Press, “Radical lawyer’s office bombed,” </w:t>
      </w:r>
      <w:r>
        <w:rPr>
          <w:i/>
          <w:color w:val="231F20"/>
          <w:spacing w:val="1"/>
          <w:w w:val="110"/>
          <w:sz w:val="16"/>
        </w:rPr>
        <w:t>Oakland</w:t>
      </w:r>
      <w:r>
        <w:rPr>
          <w:i/>
          <w:color w:val="231F20"/>
          <w:spacing w:val="40"/>
          <w:w w:val="110"/>
          <w:sz w:val="16"/>
        </w:rPr>
        <w:t xml:space="preserve"> </w:t>
      </w:r>
      <w:r>
        <w:rPr>
          <w:i/>
          <w:color w:val="231F20"/>
          <w:w w:val="110"/>
          <w:sz w:val="16"/>
        </w:rPr>
        <w:t>Tribune,</w:t>
      </w:r>
    </w:p>
    <w:p w14:paraId="31F1D643" w14:textId="77777777" w:rsidR="002653E8" w:rsidRDefault="003115E3">
      <w:pPr>
        <w:spacing w:before="11"/>
        <w:ind w:left="1328"/>
        <w:rPr>
          <w:sz w:val="16"/>
        </w:rPr>
      </w:pPr>
      <w:r>
        <w:rPr>
          <w:color w:val="231F20"/>
          <w:w w:val="110"/>
          <w:sz w:val="16"/>
        </w:rPr>
        <w:t>August 15, 1977.</w:t>
      </w:r>
    </w:p>
    <w:p w14:paraId="25B59D29" w14:textId="77777777" w:rsidR="002653E8" w:rsidRDefault="003115E3">
      <w:pPr>
        <w:pStyle w:val="a4"/>
        <w:numPr>
          <w:ilvl w:val="0"/>
          <w:numId w:val="5"/>
        </w:numPr>
        <w:tabs>
          <w:tab w:val="left" w:pos="1467"/>
        </w:tabs>
        <w:spacing w:before="52"/>
        <w:ind w:hanging="138"/>
        <w:rPr>
          <w:sz w:val="16"/>
        </w:rPr>
      </w:pPr>
      <w:r>
        <w:rPr>
          <w:color w:val="231F20"/>
          <w:w w:val="110"/>
          <w:sz w:val="16"/>
        </w:rPr>
        <w:t xml:space="preserve">Bakker Schut, </w:t>
      </w:r>
      <w:r>
        <w:rPr>
          <w:i/>
          <w:color w:val="231F20"/>
          <w:spacing w:val="1"/>
          <w:w w:val="110"/>
          <w:sz w:val="16"/>
        </w:rPr>
        <w:t>Stammheim,</w:t>
      </w:r>
      <w:r>
        <w:rPr>
          <w:i/>
          <w:color w:val="231F20"/>
          <w:spacing w:val="20"/>
          <w:w w:val="110"/>
          <w:sz w:val="16"/>
        </w:rPr>
        <w:t xml:space="preserve"> </w:t>
      </w:r>
      <w:r>
        <w:rPr>
          <w:color w:val="231F20"/>
          <w:w w:val="110"/>
          <w:sz w:val="16"/>
        </w:rPr>
        <w:t>472.</w:t>
      </w:r>
    </w:p>
    <w:p w14:paraId="435AF90C" w14:textId="77777777" w:rsidR="002653E8" w:rsidRPr="00846956" w:rsidRDefault="003115E3">
      <w:pPr>
        <w:pStyle w:val="a4"/>
        <w:numPr>
          <w:ilvl w:val="0"/>
          <w:numId w:val="5"/>
        </w:numPr>
        <w:tabs>
          <w:tab w:val="left" w:pos="1467"/>
        </w:tabs>
        <w:spacing w:before="52"/>
        <w:ind w:hanging="138"/>
        <w:rPr>
          <w:sz w:val="16"/>
          <w:lang w:val="de-DE"/>
        </w:rPr>
      </w:pPr>
      <w:r w:rsidRPr="00846956">
        <w:rPr>
          <w:i/>
          <w:color w:val="231F20"/>
          <w:spacing w:val="1"/>
          <w:w w:val="110"/>
          <w:sz w:val="16"/>
          <w:lang w:val="de-DE"/>
        </w:rPr>
        <w:t xml:space="preserve">Frankfurter Rundschau, </w:t>
      </w:r>
      <w:r w:rsidRPr="00846956">
        <w:rPr>
          <w:color w:val="231F20"/>
          <w:w w:val="110"/>
          <w:sz w:val="16"/>
          <w:lang w:val="de-DE"/>
        </w:rPr>
        <w:t xml:space="preserve">August </w:t>
      </w:r>
      <w:r w:rsidRPr="00846956">
        <w:rPr>
          <w:color w:val="231F20"/>
          <w:spacing w:val="-6"/>
          <w:w w:val="110"/>
          <w:sz w:val="16"/>
          <w:lang w:val="de-DE"/>
        </w:rPr>
        <w:t xml:space="preserve">15, </w:t>
      </w:r>
      <w:r w:rsidRPr="00846956">
        <w:rPr>
          <w:color w:val="231F20"/>
          <w:spacing w:val="-4"/>
          <w:w w:val="110"/>
          <w:sz w:val="16"/>
          <w:lang w:val="de-DE"/>
        </w:rPr>
        <w:t xml:space="preserve">1977, </w:t>
      </w:r>
      <w:r w:rsidRPr="00846956">
        <w:rPr>
          <w:color w:val="231F20"/>
          <w:w w:val="110"/>
          <w:sz w:val="16"/>
          <w:lang w:val="de-DE"/>
        </w:rPr>
        <w:t xml:space="preserve">quoted in “The </w:t>
      </w:r>
      <w:r w:rsidRPr="00846956">
        <w:rPr>
          <w:color w:val="231F20"/>
          <w:spacing w:val="1"/>
          <w:w w:val="110"/>
          <w:sz w:val="16"/>
          <w:lang w:val="de-DE"/>
        </w:rPr>
        <w:t>Stammheim</w:t>
      </w:r>
      <w:r w:rsidRPr="00846956">
        <w:rPr>
          <w:color w:val="231F20"/>
          <w:spacing w:val="16"/>
          <w:w w:val="110"/>
          <w:sz w:val="16"/>
          <w:lang w:val="de-DE"/>
        </w:rPr>
        <w:t xml:space="preserve"> </w:t>
      </w:r>
      <w:r w:rsidRPr="00846956">
        <w:rPr>
          <w:color w:val="231F20"/>
          <w:w w:val="110"/>
          <w:sz w:val="16"/>
          <w:lang w:val="de-DE"/>
        </w:rPr>
        <w:t>Deaths,”</w:t>
      </w:r>
    </w:p>
    <w:p w14:paraId="14112252" w14:textId="77777777" w:rsidR="002653E8" w:rsidRDefault="003115E3">
      <w:pPr>
        <w:spacing w:before="11" w:line="307" w:lineRule="auto"/>
        <w:ind w:left="1328" w:right="4206" w:hanging="1"/>
        <w:rPr>
          <w:sz w:val="16"/>
        </w:rPr>
      </w:pPr>
      <w:r>
        <w:rPr>
          <w:i/>
          <w:color w:val="231F20"/>
          <w:w w:val="110"/>
          <w:sz w:val="16"/>
        </w:rPr>
        <w:t xml:space="preserve">Cienfuegos Press Anarchist </w:t>
      </w:r>
      <w:r>
        <w:rPr>
          <w:i/>
          <w:color w:val="231F20"/>
          <w:spacing w:val="1"/>
          <w:w w:val="110"/>
          <w:sz w:val="16"/>
        </w:rPr>
        <w:t xml:space="preserve">Review, </w:t>
      </w:r>
      <w:r>
        <w:rPr>
          <w:color w:val="231F20"/>
          <w:w w:val="110"/>
          <w:sz w:val="16"/>
        </w:rPr>
        <w:t>no. 4. 7 Aust,</w:t>
      </w:r>
      <w:r>
        <w:rPr>
          <w:color w:val="231F20"/>
          <w:spacing w:val="11"/>
          <w:w w:val="110"/>
          <w:sz w:val="16"/>
        </w:rPr>
        <w:t xml:space="preserve"> </w:t>
      </w:r>
      <w:r>
        <w:rPr>
          <w:color w:val="231F20"/>
          <w:spacing w:val="-3"/>
          <w:w w:val="110"/>
          <w:sz w:val="16"/>
        </w:rPr>
        <w:t>414-5.</w:t>
      </w:r>
    </w:p>
    <w:p w14:paraId="705E58E9" w14:textId="77777777" w:rsidR="002653E8" w:rsidRDefault="002653E8">
      <w:pPr>
        <w:spacing w:line="307" w:lineRule="auto"/>
        <w:rPr>
          <w:sz w:val="16"/>
        </w:rPr>
        <w:sectPr w:rsidR="002653E8">
          <w:pgSz w:w="8640" w:h="12960"/>
          <w:pgMar w:top="1060" w:right="0" w:bottom="1040" w:left="0" w:header="0" w:footer="850" w:gutter="0"/>
          <w:cols w:space="720"/>
        </w:sectPr>
      </w:pPr>
    </w:p>
    <w:p w14:paraId="6E85DA87" w14:textId="77777777" w:rsidR="002653E8" w:rsidRDefault="003115E3">
      <w:pPr>
        <w:pStyle w:val="a3"/>
        <w:spacing w:before="86" w:line="264" w:lineRule="auto"/>
        <w:ind w:left="1147" w:right="1326"/>
        <w:jc w:val="both"/>
      </w:pPr>
      <w:r>
        <w:rPr>
          <w:color w:val="231F20"/>
        </w:rPr>
        <w:lastRenderedPageBreak/>
        <w:t>volume assume this statement to be false, along with almost everything else Boock has said.)</w:t>
      </w:r>
    </w:p>
    <w:p w14:paraId="201D5EDC" w14:textId="77777777" w:rsidR="002653E8" w:rsidRDefault="003115E3">
      <w:pPr>
        <w:pStyle w:val="a3"/>
        <w:spacing w:line="264" w:lineRule="auto"/>
        <w:ind w:left="1147" w:right="1325" w:firstLine="210"/>
        <w:jc w:val="both"/>
      </w:pPr>
      <w:r>
        <w:rPr>
          <w:color w:val="231F20"/>
        </w:rPr>
        <w:t xml:space="preserve">Whatever the truth of the matter, the </w:t>
      </w:r>
      <w:r w:rsidR="00C507A5">
        <w:rPr>
          <w:color w:val="231F20"/>
        </w:rPr>
        <w:t>red army faction</w:t>
      </w:r>
      <w:r>
        <w:rPr>
          <w:color w:val="231F20"/>
        </w:rPr>
        <w:t xml:space="preserve"> attempted to put this mishap in the best possible light, issuing a communiqué a week later in which they pretended that the entire exercise had merely been intended as a warning. The guerilla went on to promise that it was more than willing to act should it prove necessary to save the prisoners:</w:t>
      </w:r>
    </w:p>
    <w:p w14:paraId="21CCF477" w14:textId="77777777" w:rsidR="002653E8" w:rsidRDefault="003115E3">
      <w:pPr>
        <w:spacing w:before="122" w:line="276" w:lineRule="auto"/>
        <w:ind w:left="1567" w:right="1745"/>
        <w:jc w:val="both"/>
        <w:rPr>
          <w:i/>
          <w:sz w:val="11"/>
        </w:rPr>
      </w:pPr>
      <w:r>
        <w:rPr>
          <w:i/>
          <w:color w:val="231F20"/>
          <w:sz w:val="19"/>
        </w:rPr>
        <w:t xml:space="preserve">Should Andreas, Gudrun, and </w:t>
      </w:r>
      <w:r>
        <w:rPr>
          <w:i/>
          <w:color w:val="231F20"/>
          <w:spacing w:val="-3"/>
          <w:sz w:val="19"/>
        </w:rPr>
        <w:t xml:space="preserve">Jan </w:t>
      </w:r>
      <w:r>
        <w:rPr>
          <w:i/>
          <w:color w:val="231F20"/>
          <w:sz w:val="19"/>
        </w:rPr>
        <w:t xml:space="preserve">be killed, the apologists for the hard line will find that they are not the only ones with weapons at their disposal. They will find that we are </w:t>
      </w:r>
      <w:r>
        <w:rPr>
          <w:i/>
          <w:color w:val="231F20"/>
          <w:spacing w:val="-5"/>
          <w:sz w:val="19"/>
        </w:rPr>
        <w:t xml:space="preserve">many, </w:t>
      </w:r>
      <w:r>
        <w:rPr>
          <w:i/>
          <w:color w:val="231F20"/>
          <w:sz w:val="19"/>
        </w:rPr>
        <w:t>and that we have enough love—as well as enough hate and imagination—to use both our weapons and their weapons against them, and that their pain will equal</w:t>
      </w:r>
      <w:r>
        <w:rPr>
          <w:i/>
          <w:color w:val="231F20"/>
          <w:spacing w:val="31"/>
          <w:sz w:val="19"/>
        </w:rPr>
        <w:t xml:space="preserve"> </w:t>
      </w:r>
      <w:r>
        <w:rPr>
          <w:i/>
          <w:color w:val="231F20"/>
          <w:sz w:val="19"/>
        </w:rPr>
        <w:t>ours.</w:t>
      </w:r>
      <w:r>
        <w:rPr>
          <w:i/>
          <w:color w:val="231F20"/>
          <w:position w:val="6"/>
          <w:sz w:val="11"/>
        </w:rPr>
        <w:t>1</w:t>
      </w:r>
    </w:p>
    <w:p w14:paraId="4ECB4B34" w14:textId="77777777" w:rsidR="002653E8" w:rsidRDefault="003115E3">
      <w:pPr>
        <w:pStyle w:val="a3"/>
        <w:spacing w:before="132" w:line="264" w:lineRule="auto"/>
        <w:ind w:left="1147" w:right="1327"/>
        <w:jc w:val="both"/>
      </w:pPr>
      <w:r>
        <w:rPr>
          <w:color w:val="231F20"/>
        </w:rPr>
        <w:t>Following Meinhof’s murder, and in the context of the recent hunger strikes and Rebmann’s bloodthirsty statements, the guerilla was clearly concerned that the state might move to kill Baader, Ensslin, and Raspe. This fear was shared by the prisoners themselves, who knew that they might suffer reprisals for the guerilla’s actions.</w:t>
      </w:r>
    </w:p>
    <w:p w14:paraId="6810D8CA" w14:textId="77777777" w:rsidR="002653E8" w:rsidRDefault="003115E3">
      <w:pPr>
        <w:pStyle w:val="a3"/>
        <w:spacing w:line="264" w:lineRule="auto"/>
        <w:ind w:left="1147" w:right="1326" w:firstLine="210"/>
        <w:jc w:val="both"/>
        <w:rPr>
          <w:sz w:val="11"/>
        </w:rPr>
      </w:pPr>
      <w:r>
        <w:rPr>
          <w:color w:val="231F20"/>
        </w:rPr>
        <w:t xml:space="preserve">Indeed, anticipating such  reprisals,  and  following  the  breakdown  of negotiations between </w:t>
      </w:r>
      <w:r>
        <w:rPr>
          <w:color w:val="231F20"/>
          <w:spacing w:val="1"/>
        </w:rPr>
        <w:t xml:space="preserve">Amnesty </w:t>
      </w:r>
      <w:r>
        <w:rPr>
          <w:color w:val="231F20"/>
        </w:rPr>
        <w:t xml:space="preserve">International and the Federal Government, the prisoners called off their hunger and thirst strike on September 2. </w:t>
      </w:r>
      <w:r>
        <w:rPr>
          <w:color w:val="231F20"/>
          <w:spacing w:val="1"/>
        </w:rPr>
        <w:t xml:space="preserve">In </w:t>
      </w:r>
      <w:r>
        <w:rPr>
          <w:color w:val="231F20"/>
        </w:rPr>
        <w:t>a short statement, Jan-Carl Raspe explained that the attacks on Ponto and Rebmann had created an environment in which the prisoners had become hostages and the state was ready and willing to</w:t>
      </w:r>
      <w:r>
        <w:rPr>
          <w:color w:val="231F20"/>
          <w:spacing w:val="10"/>
        </w:rPr>
        <w:t xml:space="preserve"> </w:t>
      </w:r>
      <w:r>
        <w:rPr>
          <w:color w:val="231F20"/>
        </w:rPr>
        <w:t>kill</w:t>
      </w:r>
      <w:r>
        <w:rPr>
          <w:color w:val="231F20"/>
          <w:spacing w:val="10"/>
        </w:rPr>
        <w:t xml:space="preserve"> </w:t>
      </w:r>
      <w:r>
        <w:rPr>
          <w:color w:val="231F20"/>
        </w:rPr>
        <w:t>them</w:t>
      </w:r>
      <w:r>
        <w:rPr>
          <w:color w:val="231F20"/>
          <w:spacing w:val="10"/>
        </w:rPr>
        <w:t xml:space="preserve"> </w:t>
      </w:r>
      <w:r>
        <w:rPr>
          <w:color w:val="231F20"/>
        </w:rPr>
        <w:t>to</w:t>
      </w:r>
      <w:r>
        <w:rPr>
          <w:color w:val="231F20"/>
          <w:spacing w:val="10"/>
        </w:rPr>
        <w:t xml:space="preserve"> </w:t>
      </w:r>
      <w:r>
        <w:rPr>
          <w:color w:val="231F20"/>
        </w:rPr>
        <w:t>set</w:t>
      </w:r>
      <w:r>
        <w:rPr>
          <w:color w:val="231F20"/>
          <w:spacing w:val="10"/>
        </w:rPr>
        <w:t xml:space="preserve"> </w:t>
      </w:r>
      <w:r>
        <w:rPr>
          <w:color w:val="231F20"/>
        </w:rPr>
        <w:t>an</w:t>
      </w:r>
      <w:r>
        <w:rPr>
          <w:color w:val="231F20"/>
          <w:spacing w:val="10"/>
        </w:rPr>
        <w:t xml:space="preserve"> </w:t>
      </w:r>
      <w:r>
        <w:rPr>
          <w:color w:val="231F20"/>
        </w:rPr>
        <w:t>example.</w:t>
      </w:r>
      <w:r>
        <w:rPr>
          <w:color w:val="231F20"/>
          <w:position w:val="7"/>
          <w:sz w:val="11"/>
        </w:rPr>
        <w:t>2</w:t>
      </w:r>
    </w:p>
    <w:p w14:paraId="6959A17C" w14:textId="77777777" w:rsidR="002653E8" w:rsidRDefault="003115E3">
      <w:pPr>
        <w:pStyle w:val="a3"/>
        <w:spacing w:line="264" w:lineRule="auto"/>
        <w:ind w:left="1147" w:right="1326" w:firstLine="210"/>
        <w:jc w:val="both"/>
      </w:pPr>
      <w:r>
        <w:rPr>
          <w:color w:val="231F20"/>
        </w:rPr>
        <w:t xml:space="preserve">The failed Ponto kidnapping had been intended to be the first of a two-pronged action to put pressure  on  the  </w:t>
      </w:r>
      <w:r>
        <w:rPr>
          <w:color w:val="231F20"/>
          <w:spacing w:val="-3"/>
        </w:rPr>
        <w:t xml:space="preserve">West  </w:t>
      </w:r>
      <w:r>
        <w:rPr>
          <w:color w:val="231F20"/>
        </w:rPr>
        <w:t>German  bourgeoi sie to force the state to free the prisoners. Despite their failure to take Ponto alive, it was decided to follow through  on  the  second  part  of this</w:t>
      </w:r>
      <w:r>
        <w:rPr>
          <w:color w:val="231F20"/>
          <w:spacing w:val="10"/>
        </w:rPr>
        <w:t xml:space="preserve"> </w:t>
      </w:r>
      <w:r>
        <w:rPr>
          <w:color w:val="231F20"/>
        </w:rPr>
        <w:t>plan.</w:t>
      </w:r>
    </w:p>
    <w:p w14:paraId="2E9505AA" w14:textId="77777777" w:rsidR="002653E8" w:rsidRDefault="003115E3">
      <w:pPr>
        <w:pStyle w:val="a3"/>
        <w:spacing w:line="264" w:lineRule="auto"/>
        <w:ind w:left="1148" w:right="1325" w:firstLine="209"/>
        <w:jc w:val="both"/>
      </w:pPr>
      <w:r>
        <w:rPr>
          <w:color w:val="231F20"/>
        </w:rPr>
        <w:t xml:space="preserve">On September </w:t>
      </w:r>
      <w:r>
        <w:rPr>
          <w:color w:val="231F20"/>
          <w:spacing w:val="-4"/>
        </w:rPr>
        <w:t xml:space="preserve">5, </w:t>
      </w:r>
      <w:r>
        <w:rPr>
          <w:color w:val="231F20"/>
        </w:rPr>
        <w:t xml:space="preserve">the </w:t>
      </w:r>
      <w:r w:rsidR="00C507A5">
        <w:rPr>
          <w:color w:val="231F20"/>
          <w:spacing w:val="1"/>
        </w:rPr>
        <w:t>red army faction</w:t>
      </w:r>
      <w:r>
        <w:rPr>
          <w:color w:val="231F20"/>
          <w:spacing w:val="1"/>
        </w:rPr>
        <w:t xml:space="preserve">’s </w:t>
      </w:r>
      <w:r>
        <w:rPr>
          <w:color w:val="231F20"/>
        </w:rPr>
        <w:t xml:space="preserve">“Siegfried Hausner Commando” kidnapped Hanns </w:t>
      </w:r>
      <w:r>
        <w:rPr>
          <w:color w:val="231F20"/>
          <w:spacing w:val="1"/>
        </w:rPr>
        <w:t xml:space="preserve">Martin </w:t>
      </w:r>
      <w:r>
        <w:rPr>
          <w:color w:val="231F20"/>
        </w:rPr>
        <w:t>Schleyer. His car and police escort were forced   to a stop by a baby stroller that was left out in the middle of the road, at which point they were ambushed by guerillas who killed his chauffeur, Heinz Marcisz, and three police officers—Reinhold Brändle, Helmut Ulmer</w:t>
      </w:r>
      <w:r>
        <w:rPr>
          <w:color w:val="231F20"/>
          <w:spacing w:val="11"/>
        </w:rPr>
        <w:t xml:space="preserve"> </w:t>
      </w:r>
      <w:r>
        <w:rPr>
          <w:color w:val="231F20"/>
        </w:rPr>
        <w:t>and</w:t>
      </w:r>
      <w:r>
        <w:rPr>
          <w:color w:val="231F20"/>
          <w:spacing w:val="11"/>
        </w:rPr>
        <w:t xml:space="preserve"> </w:t>
      </w:r>
      <w:r>
        <w:rPr>
          <w:color w:val="231F20"/>
        </w:rPr>
        <w:t>Roland</w:t>
      </w:r>
      <w:r>
        <w:rPr>
          <w:color w:val="231F20"/>
          <w:spacing w:val="11"/>
        </w:rPr>
        <w:t xml:space="preserve"> </w:t>
      </w:r>
      <w:r>
        <w:rPr>
          <w:color w:val="231F20"/>
        </w:rPr>
        <w:t>Pieler—before</w:t>
      </w:r>
      <w:r>
        <w:rPr>
          <w:color w:val="231F20"/>
          <w:spacing w:val="11"/>
        </w:rPr>
        <w:t xml:space="preserve"> </w:t>
      </w:r>
      <w:r>
        <w:rPr>
          <w:color w:val="231F20"/>
        </w:rPr>
        <w:t>making</w:t>
      </w:r>
      <w:r>
        <w:rPr>
          <w:color w:val="231F20"/>
          <w:spacing w:val="11"/>
        </w:rPr>
        <w:t xml:space="preserve"> </w:t>
      </w:r>
      <w:r>
        <w:rPr>
          <w:color w:val="231F20"/>
        </w:rPr>
        <w:t>their</w:t>
      </w:r>
      <w:r>
        <w:rPr>
          <w:color w:val="231F20"/>
          <w:spacing w:val="11"/>
        </w:rPr>
        <w:t xml:space="preserve"> </w:t>
      </w:r>
      <w:r>
        <w:rPr>
          <w:color w:val="231F20"/>
          <w:spacing w:val="-3"/>
        </w:rPr>
        <w:t>getaway.</w:t>
      </w:r>
    </w:p>
    <w:p w14:paraId="260708A7" w14:textId="77777777" w:rsidR="002653E8" w:rsidRDefault="00000000">
      <w:pPr>
        <w:pStyle w:val="a3"/>
        <w:spacing w:before="10"/>
        <w:rPr>
          <w:sz w:val="14"/>
        </w:rPr>
      </w:pPr>
      <w:r>
        <w:rPr>
          <w:noProof w:val="0"/>
        </w:rPr>
        <w:pict w14:anchorId="21D09783">
          <v:line id="_x0000_s2206" style="position:absolute;z-index:10048;mso-wrap-distance-left:0;mso-wrap-distance-right:0;mso-position-horizontal-relative:page" from="57.4pt,10.95pt" to="129.4pt,10.95pt" strokecolor="#231f20" strokeweight=".5pt">
            <w10:wrap type="topAndBottom" anchorx="page"/>
          </v:line>
        </w:pict>
      </w:r>
    </w:p>
    <w:p w14:paraId="76E3A37D" w14:textId="77777777" w:rsidR="002653E8" w:rsidRDefault="003115E3">
      <w:pPr>
        <w:pStyle w:val="a4"/>
        <w:numPr>
          <w:ilvl w:val="0"/>
          <w:numId w:val="63"/>
        </w:numPr>
        <w:tabs>
          <w:tab w:val="left" w:pos="1287"/>
        </w:tabs>
        <w:spacing w:before="53"/>
        <w:ind w:hanging="181"/>
        <w:jc w:val="left"/>
        <w:rPr>
          <w:sz w:val="16"/>
        </w:rPr>
      </w:pPr>
      <w:r>
        <w:rPr>
          <w:color w:val="231F20"/>
          <w:w w:val="105"/>
          <w:sz w:val="16"/>
        </w:rPr>
        <w:t xml:space="preserve">The Attack on the </w:t>
      </w:r>
      <w:r>
        <w:rPr>
          <w:color w:val="231F20"/>
          <w:spacing w:val="-5"/>
          <w:w w:val="105"/>
          <w:sz w:val="16"/>
        </w:rPr>
        <w:t xml:space="preserve">BAW, </w:t>
      </w:r>
      <w:r>
        <w:rPr>
          <w:color w:val="231F20"/>
          <w:w w:val="105"/>
          <w:sz w:val="16"/>
        </w:rPr>
        <w:t>see pages</w:t>
      </w:r>
      <w:r>
        <w:rPr>
          <w:color w:val="231F20"/>
          <w:spacing w:val="32"/>
          <w:w w:val="105"/>
          <w:sz w:val="16"/>
        </w:rPr>
        <w:t xml:space="preserve"> </w:t>
      </w:r>
      <w:r>
        <w:rPr>
          <w:color w:val="231F20"/>
          <w:w w:val="105"/>
          <w:sz w:val="16"/>
        </w:rPr>
        <w:t>496-97.</w:t>
      </w:r>
    </w:p>
    <w:p w14:paraId="1603F4CA" w14:textId="77777777" w:rsidR="002653E8" w:rsidRDefault="003115E3">
      <w:pPr>
        <w:pStyle w:val="a4"/>
        <w:numPr>
          <w:ilvl w:val="0"/>
          <w:numId w:val="63"/>
        </w:numPr>
        <w:tabs>
          <w:tab w:val="left" w:pos="1287"/>
        </w:tabs>
        <w:spacing w:before="51"/>
        <w:ind w:left="1286"/>
        <w:jc w:val="left"/>
        <w:rPr>
          <w:sz w:val="16"/>
        </w:rPr>
      </w:pPr>
      <w:r>
        <w:rPr>
          <w:color w:val="231F20"/>
          <w:w w:val="105"/>
          <w:sz w:val="16"/>
        </w:rPr>
        <w:t>Statement</w:t>
      </w:r>
      <w:r>
        <w:rPr>
          <w:color w:val="231F20"/>
          <w:spacing w:val="8"/>
          <w:w w:val="105"/>
          <w:sz w:val="16"/>
        </w:rPr>
        <w:t xml:space="preserve"> </w:t>
      </w:r>
      <w:r>
        <w:rPr>
          <w:color w:val="231F20"/>
          <w:w w:val="105"/>
          <w:sz w:val="16"/>
        </w:rPr>
        <w:t>Calling</w:t>
      </w:r>
      <w:r>
        <w:rPr>
          <w:color w:val="231F20"/>
          <w:spacing w:val="8"/>
          <w:w w:val="105"/>
          <w:sz w:val="16"/>
        </w:rPr>
        <w:t xml:space="preserve"> </w:t>
      </w:r>
      <w:r>
        <w:rPr>
          <w:color w:val="231F20"/>
          <w:w w:val="105"/>
          <w:sz w:val="16"/>
        </w:rPr>
        <w:t>Off</w:t>
      </w:r>
      <w:r>
        <w:rPr>
          <w:color w:val="231F20"/>
          <w:spacing w:val="8"/>
          <w:w w:val="105"/>
          <w:sz w:val="16"/>
        </w:rPr>
        <w:t xml:space="preserve"> </w:t>
      </w:r>
      <w:r>
        <w:rPr>
          <w:color w:val="231F20"/>
          <w:w w:val="105"/>
          <w:sz w:val="16"/>
        </w:rPr>
        <w:t>the</w:t>
      </w:r>
      <w:r>
        <w:rPr>
          <w:color w:val="231F20"/>
          <w:spacing w:val="8"/>
          <w:w w:val="105"/>
          <w:sz w:val="16"/>
        </w:rPr>
        <w:t xml:space="preserve"> </w:t>
      </w:r>
      <w:r>
        <w:rPr>
          <w:color w:val="231F20"/>
          <w:w w:val="105"/>
          <w:sz w:val="16"/>
        </w:rPr>
        <w:t>Fifth</w:t>
      </w:r>
      <w:r>
        <w:rPr>
          <w:color w:val="231F20"/>
          <w:spacing w:val="8"/>
          <w:w w:val="105"/>
          <w:sz w:val="16"/>
        </w:rPr>
        <w:t xml:space="preserve"> </w:t>
      </w:r>
      <w:r>
        <w:rPr>
          <w:color w:val="231F20"/>
          <w:w w:val="105"/>
          <w:sz w:val="16"/>
        </w:rPr>
        <w:t>Hungerstrike,</w:t>
      </w:r>
      <w:r>
        <w:rPr>
          <w:color w:val="231F20"/>
          <w:spacing w:val="8"/>
          <w:w w:val="105"/>
          <w:sz w:val="16"/>
        </w:rPr>
        <w:t xml:space="preserve"> </w:t>
      </w:r>
      <w:r>
        <w:rPr>
          <w:color w:val="231F20"/>
          <w:w w:val="105"/>
          <w:sz w:val="16"/>
        </w:rPr>
        <w:t>see</w:t>
      </w:r>
      <w:r>
        <w:rPr>
          <w:color w:val="231F20"/>
          <w:spacing w:val="8"/>
          <w:w w:val="105"/>
          <w:sz w:val="16"/>
        </w:rPr>
        <w:t xml:space="preserve"> </w:t>
      </w:r>
      <w:r>
        <w:rPr>
          <w:color w:val="231F20"/>
          <w:w w:val="105"/>
          <w:sz w:val="16"/>
        </w:rPr>
        <w:t>page</w:t>
      </w:r>
      <w:r>
        <w:rPr>
          <w:color w:val="231F20"/>
          <w:spacing w:val="10"/>
          <w:w w:val="105"/>
          <w:sz w:val="16"/>
        </w:rPr>
        <w:t xml:space="preserve"> </w:t>
      </w:r>
      <w:r>
        <w:rPr>
          <w:color w:val="231F20"/>
          <w:spacing w:val="-4"/>
          <w:w w:val="105"/>
          <w:sz w:val="16"/>
        </w:rPr>
        <w:t>495.</w:t>
      </w:r>
    </w:p>
    <w:p w14:paraId="30D29EF5" w14:textId="77777777" w:rsidR="002653E8" w:rsidRDefault="002653E8">
      <w:pPr>
        <w:rPr>
          <w:sz w:val="16"/>
        </w:rPr>
        <w:sectPr w:rsidR="002653E8">
          <w:pgSz w:w="8640" w:h="12960"/>
          <w:pgMar w:top="1060" w:right="0" w:bottom="1040" w:left="0" w:header="0" w:footer="850" w:gutter="0"/>
          <w:cols w:space="720"/>
        </w:sectPr>
      </w:pPr>
    </w:p>
    <w:p w14:paraId="1B28F1FA" w14:textId="77777777" w:rsidR="002653E8" w:rsidRDefault="003115E3">
      <w:pPr>
        <w:pStyle w:val="a3"/>
        <w:spacing w:before="86" w:line="264" w:lineRule="auto"/>
        <w:ind w:left="1327" w:right="1147" w:firstLine="210"/>
        <w:jc w:val="both"/>
      </w:pPr>
      <w:r>
        <w:rPr>
          <w:color w:val="231F20"/>
        </w:rPr>
        <w:lastRenderedPageBreak/>
        <w:t>A note received soon after warned that, “The federal government must take steps to assure that all aspects of the manhunt cease—or we will immediately shoot Schleyer without even engaging in negotiations for his freedom.”</w:t>
      </w:r>
    </w:p>
    <w:p w14:paraId="0CD7B68D" w14:textId="77777777" w:rsidR="002653E8" w:rsidRDefault="003115E3">
      <w:pPr>
        <w:pStyle w:val="a3"/>
        <w:spacing w:line="264" w:lineRule="auto"/>
        <w:ind w:left="1327" w:right="1145" w:firstLine="210"/>
        <w:jc w:val="both"/>
        <w:rPr>
          <w:sz w:val="11"/>
        </w:rPr>
      </w:pPr>
      <w:r>
        <w:rPr>
          <w:color w:val="231F20"/>
        </w:rPr>
        <w:t xml:space="preserve">Schleyer  was  the  most  powerful  businessman  in  </w:t>
      </w:r>
      <w:r>
        <w:rPr>
          <w:color w:val="231F20"/>
          <w:spacing w:val="-3"/>
        </w:rPr>
        <w:t xml:space="preserve">West  </w:t>
      </w:r>
      <w:r>
        <w:rPr>
          <w:color w:val="231F20"/>
        </w:rPr>
        <w:t xml:space="preserve">Germany  at the time. Like Ponto, he was a frequent figure on television representing the ruling class point of </w:t>
      </w:r>
      <w:r>
        <w:rPr>
          <w:color w:val="231F20"/>
          <w:spacing w:val="-3"/>
        </w:rPr>
        <w:t xml:space="preserve">view. </w:t>
      </w:r>
      <w:r>
        <w:rPr>
          <w:color w:val="231F20"/>
        </w:rPr>
        <w:t xml:space="preserve">He  was  the  president  of  both the </w:t>
      </w:r>
      <w:r>
        <w:rPr>
          <w:i/>
          <w:color w:val="231F20"/>
        </w:rPr>
        <w:t xml:space="preserve">Bundesverband </w:t>
      </w:r>
      <w:r>
        <w:rPr>
          <w:i/>
          <w:color w:val="231F20"/>
          <w:spacing w:val="1"/>
        </w:rPr>
        <w:t xml:space="preserve">der </w:t>
      </w:r>
      <w:r>
        <w:rPr>
          <w:i/>
          <w:color w:val="231F20"/>
        </w:rPr>
        <w:t xml:space="preserve">Deutschen Industrie </w:t>
      </w:r>
      <w:r>
        <w:rPr>
          <w:color w:val="231F20"/>
        </w:rPr>
        <w:t xml:space="preserve">(Federal Association of German Industrialists) and the </w:t>
      </w:r>
      <w:r>
        <w:rPr>
          <w:i/>
          <w:color w:val="231F20"/>
        </w:rPr>
        <w:t xml:space="preserve">Bundesvereinigung </w:t>
      </w:r>
      <w:r>
        <w:rPr>
          <w:i/>
          <w:color w:val="231F20"/>
          <w:spacing w:val="1"/>
        </w:rPr>
        <w:t xml:space="preserve">der </w:t>
      </w:r>
      <w:r>
        <w:rPr>
          <w:i/>
          <w:color w:val="231F20"/>
        </w:rPr>
        <w:t xml:space="preserve">Deutschen Arbeitgeberverbände </w:t>
      </w:r>
      <w:r>
        <w:rPr>
          <w:color w:val="231F20"/>
        </w:rPr>
        <w:t>(Federal Association of German Employers), and had a reputation as an aggressive opponent of any workers’ demands.</w:t>
      </w:r>
      <w:r>
        <w:rPr>
          <w:color w:val="231F20"/>
          <w:position w:val="7"/>
          <w:sz w:val="11"/>
        </w:rPr>
        <w:t xml:space="preserve">3 </w:t>
      </w:r>
      <w:r>
        <w:rPr>
          <w:color w:val="231F20"/>
        </w:rPr>
        <w:t xml:space="preserve">As a veteran of Hitler’s </w:t>
      </w:r>
      <w:r>
        <w:rPr>
          <w:color w:val="231F20"/>
          <w:spacing w:val="1"/>
        </w:rPr>
        <w:t xml:space="preserve">SS, </w:t>
      </w:r>
      <w:r>
        <w:rPr>
          <w:color w:val="231F20"/>
        </w:rPr>
        <w:t>he was a perfect symbol of the integration of former</w:t>
      </w:r>
      <w:r>
        <w:rPr>
          <w:color w:val="231F20"/>
          <w:spacing w:val="10"/>
        </w:rPr>
        <w:t xml:space="preserve"> </w:t>
      </w:r>
      <w:r>
        <w:rPr>
          <w:color w:val="231F20"/>
        </w:rPr>
        <w:t>Nazis</w:t>
      </w:r>
      <w:r>
        <w:rPr>
          <w:color w:val="231F20"/>
          <w:spacing w:val="10"/>
        </w:rPr>
        <w:t xml:space="preserve"> </w:t>
      </w:r>
      <w:r>
        <w:rPr>
          <w:color w:val="231F20"/>
        </w:rPr>
        <w:t>into</w:t>
      </w:r>
      <w:r>
        <w:rPr>
          <w:color w:val="231F20"/>
          <w:spacing w:val="10"/>
        </w:rPr>
        <w:t xml:space="preserve"> </w:t>
      </w:r>
      <w:r>
        <w:rPr>
          <w:color w:val="231F20"/>
        </w:rPr>
        <w:t>the</w:t>
      </w:r>
      <w:r>
        <w:rPr>
          <w:color w:val="231F20"/>
          <w:spacing w:val="10"/>
        </w:rPr>
        <w:t xml:space="preserve"> </w:t>
      </w:r>
      <w:r>
        <w:rPr>
          <w:color w:val="231F20"/>
        </w:rPr>
        <w:t>postwar</w:t>
      </w:r>
      <w:r>
        <w:rPr>
          <w:color w:val="231F20"/>
          <w:spacing w:val="10"/>
        </w:rPr>
        <w:t xml:space="preserve"> </w:t>
      </w:r>
      <w:r>
        <w:rPr>
          <w:color w:val="231F20"/>
        </w:rPr>
        <w:t>power</w:t>
      </w:r>
      <w:r>
        <w:rPr>
          <w:color w:val="231F20"/>
          <w:spacing w:val="10"/>
        </w:rPr>
        <w:t xml:space="preserve"> </w:t>
      </w:r>
      <w:r>
        <w:rPr>
          <w:color w:val="231F20"/>
        </w:rPr>
        <w:t>structure.</w:t>
      </w:r>
      <w:r>
        <w:rPr>
          <w:color w:val="231F20"/>
          <w:position w:val="7"/>
          <w:sz w:val="11"/>
        </w:rPr>
        <w:t>4</w:t>
      </w:r>
    </w:p>
    <w:p w14:paraId="4A82F193" w14:textId="77777777" w:rsidR="002653E8" w:rsidRDefault="003115E3">
      <w:pPr>
        <w:spacing w:before="143" w:line="244" w:lineRule="auto"/>
        <w:ind w:left="1404" w:right="4772" w:firstLine="404"/>
        <w:jc w:val="right"/>
        <w:rPr>
          <w:i/>
          <w:sz w:val="18"/>
        </w:rPr>
      </w:pPr>
      <w:r>
        <w:drawing>
          <wp:anchor distT="0" distB="0" distL="0" distR="0" simplePos="0" relativeHeight="10096" behindDoc="0" locked="0" layoutInCell="1" allowOverlap="1" wp14:anchorId="5A51450B" wp14:editId="7AD2A9A2">
            <wp:simplePos x="0" y="0"/>
            <wp:positionH relativeFrom="page">
              <wp:posOffset>2581762</wp:posOffset>
            </wp:positionH>
            <wp:positionV relativeFrom="paragraph">
              <wp:posOffset>114101</wp:posOffset>
            </wp:positionV>
            <wp:extent cx="2175669" cy="2199665"/>
            <wp:effectExtent l="0" t="0" r="0" b="0"/>
            <wp:wrapNone/>
            <wp:docPr id="6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2.png"/>
                    <pic:cNvPicPr/>
                  </pic:nvPicPr>
                  <pic:blipFill>
                    <a:blip r:embed="rId400" cstate="print"/>
                    <a:stretch>
                      <a:fillRect/>
                    </a:stretch>
                  </pic:blipFill>
                  <pic:spPr>
                    <a:xfrm>
                      <a:off x="0" y="0"/>
                      <a:ext cx="2175669" cy="2199665"/>
                    </a:xfrm>
                    <a:prstGeom prst="rect">
                      <a:avLst/>
                    </a:prstGeom>
                  </pic:spPr>
                </pic:pic>
              </a:graphicData>
            </a:graphic>
          </wp:anchor>
        </w:drawing>
      </w:r>
      <w:r>
        <w:rPr>
          <w:i/>
          <w:color w:val="231F20"/>
          <w:spacing w:val="1"/>
          <w:w w:val="105"/>
          <w:sz w:val="18"/>
        </w:rPr>
        <w:t>Hanns Martin</w:t>
      </w:r>
      <w:r>
        <w:rPr>
          <w:i/>
          <w:color w:val="231F20"/>
          <w:spacing w:val="25"/>
          <w:w w:val="105"/>
          <w:sz w:val="18"/>
        </w:rPr>
        <w:t xml:space="preserve"> </w:t>
      </w:r>
      <w:r>
        <w:rPr>
          <w:i/>
          <w:color w:val="231F20"/>
          <w:w w:val="105"/>
          <w:sz w:val="18"/>
        </w:rPr>
        <w:t>Schleyer</w:t>
      </w:r>
      <w:r>
        <w:rPr>
          <w:i/>
          <w:color w:val="231F20"/>
          <w:spacing w:val="13"/>
          <w:w w:val="105"/>
          <w:sz w:val="18"/>
        </w:rPr>
        <w:t xml:space="preserve"> </w:t>
      </w:r>
      <w:r>
        <w:rPr>
          <w:i/>
          <w:color w:val="231F20"/>
          <w:w w:val="105"/>
          <w:sz w:val="18"/>
        </w:rPr>
        <w:t>in</w:t>
      </w:r>
      <w:r>
        <w:rPr>
          <w:i/>
          <w:color w:val="231F20"/>
          <w:w w:val="103"/>
          <w:sz w:val="18"/>
        </w:rPr>
        <w:t xml:space="preserve"> </w:t>
      </w:r>
      <w:r>
        <w:rPr>
          <w:i/>
          <w:color w:val="231F20"/>
          <w:w w:val="105"/>
          <w:sz w:val="18"/>
        </w:rPr>
        <w:t>captivity. The</w:t>
      </w:r>
      <w:r>
        <w:rPr>
          <w:i/>
          <w:color w:val="231F20"/>
          <w:spacing w:val="12"/>
          <w:w w:val="105"/>
          <w:sz w:val="18"/>
        </w:rPr>
        <w:t xml:space="preserve"> </w:t>
      </w:r>
      <w:r w:rsidR="00C507A5">
        <w:rPr>
          <w:i/>
          <w:color w:val="231F20"/>
          <w:spacing w:val="5"/>
          <w:w w:val="105"/>
          <w:sz w:val="18"/>
        </w:rPr>
        <w:t>red army faction</w:t>
      </w:r>
      <w:r>
        <w:rPr>
          <w:i/>
          <w:color w:val="231F20"/>
          <w:spacing w:val="26"/>
          <w:w w:val="105"/>
          <w:sz w:val="18"/>
        </w:rPr>
        <w:t xml:space="preserve"> </w:t>
      </w:r>
      <w:r>
        <w:rPr>
          <w:i/>
          <w:color w:val="231F20"/>
          <w:w w:val="105"/>
          <w:sz w:val="18"/>
        </w:rPr>
        <w:t>had</w:t>
      </w:r>
      <w:r>
        <w:rPr>
          <w:i/>
          <w:color w:val="231F20"/>
          <w:w w:val="106"/>
          <w:sz w:val="18"/>
        </w:rPr>
        <w:t xml:space="preserve"> </w:t>
      </w:r>
      <w:r>
        <w:rPr>
          <w:i/>
          <w:color w:val="231F20"/>
          <w:w w:val="105"/>
          <w:sz w:val="18"/>
        </w:rPr>
        <w:t>considered having him</w:t>
      </w:r>
      <w:r>
        <w:rPr>
          <w:i/>
          <w:color w:val="231F20"/>
          <w:spacing w:val="20"/>
          <w:w w:val="105"/>
          <w:sz w:val="18"/>
        </w:rPr>
        <w:t xml:space="preserve"> </w:t>
      </w:r>
      <w:r>
        <w:rPr>
          <w:i/>
          <w:color w:val="231F20"/>
          <w:w w:val="105"/>
          <w:sz w:val="18"/>
        </w:rPr>
        <w:t>hold</w:t>
      </w:r>
      <w:r>
        <w:rPr>
          <w:i/>
          <w:color w:val="231F20"/>
          <w:spacing w:val="5"/>
          <w:w w:val="105"/>
          <w:sz w:val="18"/>
        </w:rPr>
        <w:t xml:space="preserve"> </w:t>
      </w:r>
      <w:r>
        <w:rPr>
          <w:i/>
          <w:color w:val="231F20"/>
          <w:w w:val="105"/>
          <w:sz w:val="18"/>
        </w:rPr>
        <w:t>a</w:t>
      </w:r>
      <w:r>
        <w:rPr>
          <w:i/>
          <w:color w:val="231F20"/>
          <w:w w:val="95"/>
          <w:sz w:val="18"/>
        </w:rPr>
        <w:t xml:space="preserve"> </w:t>
      </w:r>
      <w:r>
        <w:rPr>
          <w:i/>
          <w:color w:val="231F20"/>
          <w:w w:val="105"/>
          <w:sz w:val="18"/>
        </w:rPr>
        <w:t xml:space="preserve">sign with his </w:t>
      </w:r>
      <w:r>
        <w:rPr>
          <w:i/>
          <w:color w:val="231F20"/>
          <w:spacing w:val="2"/>
          <w:w w:val="105"/>
          <w:sz w:val="18"/>
        </w:rPr>
        <w:t>SS</w:t>
      </w:r>
      <w:r>
        <w:rPr>
          <w:i/>
          <w:color w:val="231F20"/>
          <w:spacing w:val="15"/>
          <w:w w:val="105"/>
          <w:sz w:val="18"/>
        </w:rPr>
        <w:t xml:space="preserve"> </w:t>
      </w:r>
      <w:r>
        <w:rPr>
          <w:i/>
          <w:color w:val="231F20"/>
          <w:spacing w:val="1"/>
          <w:w w:val="105"/>
          <w:sz w:val="18"/>
        </w:rPr>
        <w:t>number</w:t>
      </w:r>
      <w:r>
        <w:rPr>
          <w:i/>
          <w:color w:val="231F20"/>
          <w:spacing w:val="3"/>
          <w:w w:val="105"/>
          <w:sz w:val="18"/>
        </w:rPr>
        <w:t xml:space="preserve"> </w:t>
      </w:r>
      <w:r>
        <w:rPr>
          <w:i/>
          <w:color w:val="231F20"/>
          <w:spacing w:val="1"/>
          <w:w w:val="105"/>
          <w:sz w:val="18"/>
        </w:rPr>
        <w:t>and</w:t>
      </w:r>
      <w:r>
        <w:rPr>
          <w:i/>
          <w:color w:val="231F20"/>
          <w:w w:val="106"/>
          <w:sz w:val="18"/>
        </w:rPr>
        <w:t xml:space="preserve"> </w:t>
      </w:r>
      <w:r>
        <w:rPr>
          <w:i/>
          <w:color w:val="231F20"/>
          <w:w w:val="105"/>
          <w:sz w:val="18"/>
        </w:rPr>
        <w:t xml:space="preserve">the caption </w:t>
      </w:r>
      <w:r>
        <w:rPr>
          <w:i/>
          <w:color w:val="231F20"/>
          <w:spacing w:val="-8"/>
          <w:w w:val="110"/>
          <w:sz w:val="18"/>
        </w:rPr>
        <w:t xml:space="preserve">“A </w:t>
      </w:r>
      <w:r>
        <w:rPr>
          <w:i/>
          <w:color w:val="231F20"/>
          <w:spacing w:val="1"/>
          <w:w w:val="105"/>
          <w:sz w:val="18"/>
        </w:rPr>
        <w:t>Prisoner</w:t>
      </w:r>
      <w:r>
        <w:rPr>
          <w:i/>
          <w:color w:val="231F20"/>
          <w:spacing w:val="3"/>
          <w:w w:val="105"/>
          <w:sz w:val="18"/>
        </w:rPr>
        <w:t xml:space="preserve"> </w:t>
      </w:r>
      <w:r>
        <w:rPr>
          <w:i/>
          <w:color w:val="231F20"/>
          <w:w w:val="105"/>
          <w:sz w:val="18"/>
        </w:rPr>
        <w:t>of</w:t>
      </w:r>
      <w:r>
        <w:rPr>
          <w:i/>
          <w:color w:val="231F20"/>
          <w:spacing w:val="18"/>
          <w:w w:val="105"/>
          <w:sz w:val="18"/>
        </w:rPr>
        <w:t xml:space="preserve"> </w:t>
      </w:r>
      <w:r>
        <w:rPr>
          <w:i/>
          <w:color w:val="231F20"/>
          <w:w w:val="105"/>
          <w:sz w:val="18"/>
        </w:rPr>
        <w:t>His</w:t>
      </w:r>
      <w:r>
        <w:rPr>
          <w:i/>
          <w:color w:val="231F20"/>
          <w:w w:val="101"/>
          <w:sz w:val="18"/>
        </w:rPr>
        <w:t xml:space="preserve"> </w:t>
      </w:r>
      <w:r>
        <w:rPr>
          <w:i/>
          <w:color w:val="231F20"/>
          <w:spacing w:val="2"/>
          <w:w w:val="105"/>
          <w:sz w:val="18"/>
        </w:rPr>
        <w:t xml:space="preserve">Own </w:t>
      </w:r>
      <w:r>
        <w:rPr>
          <w:i/>
          <w:color w:val="231F20"/>
          <w:w w:val="105"/>
          <w:sz w:val="18"/>
        </w:rPr>
        <w:t>History,”</w:t>
      </w:r>
      <w:r>
        <w:rPr>
          <w:i/>
          <w:color w:val="231F20"/>
          <w:spacing w:val="15"/>
          <w:w w:val="105"/>
          <w:sz w:val="18"/>
        </w:rPr>
        <w:t xml:space="preserve"> </w:t>
      </w:r>
      <w:r>
        <w:rPr>
          <w:i/>
          <w:color w:val="231F20"/>
          <w:w w:val="105"/>
          <w:sz w:val="18"/>
        </w:rPr>
        <w:t>but</w:t>
      </w:r>
      <w:r>
        <w:rPr>
          <w:i/>
          <w:color w:val="231F20"/>
          <w:spacing w:val="10"/>
          <w:w w:val="105"/>
          <w:sz w:val="18"/>
        </w:rPr>
        <w:t xml:space="preserve"> </w:t>
      </w:r>
      <w:r>
        <w:rPr>
          <w:i/>
          <w:color w:val="231F20"/>
          <w:w w:val="105"/>
          <w:sz w:val="18"/>
        </w:rPr>
        <w:t>quickly</w:t>
      </w:r>
      <w:r>
        <w:rPr>
          <w:i/>
          <w:color w:val="231F20"/>
          <w:w w:val="108"/>
          <w:sz w:val="18"/>
        </w:rPr>
        <w:t xml:space="preserve"> </w:t>
      </w:r>
      <w:r>
        <w:rPr>
          <w:i/>
          <w:color w:val="231F20"/>
          <w:w w:val="105"/>
          <w:sz w:val="18"/>
        </w:rPr>
        <w:t xml:space="preserve">rejected this </w:t>
      </w:r>
      <w:r>
        <w:rPr>
          <w:i/>
          <w:color w:val="231F20"/>
          <w:spacing w:val="1"/>
          <w:w w:val="105"/>
          <w:sz w:val="18"/>
        </w:rPr>
        <w:t xml:space="preserve">idea. </w:t>
      </w:r>
      <w:r>
        <w:rPr>
          <w:i/>
          <w:color w:val="231F20"/>
          <w:w w:val="105"/>
          <w:sz w:val="18"/>
        </w:rPr>
        <w:t>Not</w:t>
      </w:r>
      <w:r>
        <w:rPr>
          <w:i/>
          <w:color w:val="231F20"/>
          <w:spacing w:val="5"/>
          <w:w w:val="105"/>
          <w:sz w:val="18"/>
        </w:rPr>
        <w:t xml:space="preserve"> </w:t>
      </w:r>
      <w:r>
        <w:rPr>
          <w:i/>
          <w:color w:val="231F20"/>
          <w:w w:val="105"/>
          <w:sz w:val="18"/>
        </w:rPr>
        <w:t>only</w:t>
      </w:r>
      <w:r>
        <w:rPr>
          <w:i/>
          <w:color w:val="231F20"/>
          <w:spacing w:val="11"/>
          <w:w w:val="105"/>
          <w:sz w:val="18"/>
        </w:rPr>
        <w:t xml:space="preserve"> </w:t>
      </w:r>
      <w:r>
        <w:rPr>
          <w:i/>
          <w:color w:val="231F20"/>
          <w:w w:val="105"/>
          <w:sz w:val="18"/>
        </w:rPr>
        <w:t>did</w:t>
      </w:r>
      <w:r>
        <w:rPr>
          <w:i/>
          <w:color w:val="231F20"/>
          <w:w w:val="106"/>
          <w:sz w:val="18"/>
        </w:rPr>
        <w:t xml:space="preserve"> </w:t>
      </w:r>
      <w:r>
        <w:rPr>
          <w:i/>
          <w:color w:val="231F20"/>
          <w:w w:val="105"/>
          <w:sz w:val="18"/>
        </w:rPr>
        <w:t xml:space="preserve">the </w:t>
      </w:r>
      <w:r>
        <w:rPr>
          <w:i/>
          <w:color w:val="231F20"/>
          <w:spacing w:val="1"/>
          <w:w w:val="105"/>
          <w:sz w:val="18"/>
        </w:rPr>
        <w:t xml:space="preserve">guerillas </w:t>
      </w:r>
      <w:r>
        <w:rPr>
          <w:i/>
          <w:color w:val="231F20"/>
          <w:w w:val="105"/>
          <w:sz w:val="18"/>
        </w:rPr>
        <w:t>have no</w:t>
      </w:r>
      <w:r>
        <w:rPr>
          <w:i/>
          <w:color w:val="231F20"/>
          <w:spacing w:val="5"/>
          <w:w w:val="105"/>
          <w:sz w:val="18"/>
        </w:rPr>
        <w:t xml:space="preserve"> </w:t>
      </w:r>
      <w:r>
        <w:rPr>
          <w:i/>
          <w:color w:val="231F20"/>
          <w:w w:val="105"/>
          <w:sz w:val="18"/>
        </w:rPr>
        <w:t>wish to</w:t>
      </w:r>
      <w:r>
        <w:rPr>
          <w:i/>
          <w:color w:val="231F20"/>
          <w:w w:val="109"/>
          <w:sz w:val="18"/>
        </w:rPr>
        <w:t xml:space="preserve"> </w:t>
      </w:r>
      <w:r>
        <w:rPr>
          <w:i/>
          <w:color w:val="231F20"/>
          <w:w w:val="105"/>
          <w:sz w:val="18"/>
        </w:rPr>
        <w:t>inflict</w:t>
      </w:r>
      <w:r>
        <w:rPr>
          <w:i/>
          <w:color w:val="231F20"/>
          <w:spacing w:val="20"/>
          <w:w w:val="105"/>
          <w:sz w:val="18"/>
        </w:rPr>
        <w:t xml:space="preserve"> </w:t>
      </w:r>
      <w:r>
        <w:rPr>
          <w:i/>
          <w:color w:val="231F20"/>
          <w:w w:val="105"/>
          <w:sz w:val="18"/>
        </w:rPr>
        <w:t>needless</w:t>
      </w:r>
      <w:r>
        <w:rPr>
          <w:i/>
          <w:color w:val="231F20"/>
          <w:spacing w:val="20"/>
          <w:w w:val="105"/>
          <w:sz w:val="18"/>
        </w:rPr>
        <w:t xml:space="preserve"> </w:t>
      </w:r>
      <w:r>
        <w:rPr>
          <w:i/>
          <w:color w:val="231F20"/>
          <w:w w:val="105"/>
          <w:sz w:val="18"/>
        </w:rPr>
        <w:t>humiliation,</w:t>
      </w:r>
      <w:r>
        <w:rPr>
          <w:i/>
          <w:color w:val="231F20"/>
          <w:w w:val="139"/>
          <w:sz w:val="18"/>
        </w:rPr>
        <w:t xml:space="preserve"> </w:t>
      </w:r>
      <w:r>
        <w:rPr>
          <w:i/>
          <w:color w:val="231F20"/>
          <w:w w:val="105"/>
          <w:sz w:val="18"/>
        </w:rPr>
        <w:t>but they were also</w:t>
      </w:r>
      <w:r>
        <w:rPr>
          <w:i/>
          <w:color w:val="231F20"/>
          <w:spacing w:val="-17"/>
          <w:w w:val="105"/>
          <w:sz w:val="18"/>
        </w:rPr>
        <w:t xml:space="preserve"> </w:t>
      </w:r>
      <w:r>
        <w:rPr>
          <w:i/>
          <w:color w:val="231F20"/>
          <w:w w:val="105"/>
          <w:sz w:val="18"/>
        </w:rPr>
        <w:t>aware</w:t>
      </w:r>
      <w:r>
        <w:rPr>
          <w:i/>
          <w:color w:val="231F20"/>
          <w:spacing w:val="-5"/>
          <w:w w:val="105"/>
          <w:sz w:val="18"/>
        </w:rPr>
        <w:t xml:space="preserve"> </w:t>
      </w:r>
      <w:r>
        <w:rPr>
          <w:i/>
          <w:color w:val="231F20"/>
          <w:w w:val="105"/>
          <w:sz w:val="18"/>
        </w:rPr>
        <w:t>that</w:t>
      </w:r>
      <w:r>
        <w:rPr>
          <w:i/>
          <w:color w:val="231F20"/>
          <w:w w:val="96"/>
          <w:sz w:val="18"/>
        </w:rPr>
        <w:t xml:space="preserve"> </w:t>
      </w:r>
      <w:r>
        <w:rPr>
          <w:i/>
          <w:color w:val="231F20"/>
          <w:w w:val="105"/>
          <w:sz w:val="18"/>
        </w:rPr>
        <w:t>their captive</w:t>
      </w:r>
      <w:r>
        <w:rPr>
          <w:i/>
          <w:color w:val="231F20"/>
          <w:spacing w:val="-15"/>
          <w:w w:val="105"/>
          <w:sz w:val="18"/>
        </w:rPr>
        <w:t xml:space="preserve"> </w:t>
      </w:r>
      <w:r>
        <w:rPr>
          <w:i/>
          <w:color w:val="231F20"/>
          <w:w w:val="105"/>
          <w:sz w:val="18"/>
        </w:rPr>
        <w:t>was</w:t>
      </w:r>
      <w:r>
        <w:rPr>
          <w:i/>
          <w:color w:val="231F20"/>
          <w:spacing w:val="-8"/>
          <w:w w:val="105"/>
          <w:sz w:val="18"/>
        </w:rPr>
        <w:t xml:space="preserve"> </w:t>
      </w:r>
      <w:r>
        <w:rPr>
          <w:i/>
          <w:color w:val="231F20"/>
          <w:w w:val="105"/>
          <w:sz w:val="18"/>
        </w:rPr>
        <w:t>already</w:t>
      </w:r>
      <w:r>
        <w:rPr>
          <w:i/>
          <w:color w:val="231F20"/>
          <w:w w:val="108"/>
          <w:sz w:val="18"/>
        </w:rPr>
        <w:t xml:space="preserve"> </w:t>
      </w:r>
      <w:r>
        <w:rPr>
          <w:i/>
          <w:color w:val="231F20"/>
          <w:w w:val="105"/>
          <w:sz w:val="18"/>
        </w:rPr>
        <w:t>unpopular in</w:t>
      </w:r>
      <w:r>
        <w:rPr>
          <w:i/>
          <w:color w:val="231F20"/>
          <w:spacing w:val="-5"/>
          <w:w w:val="105"/>
          <w:sz w:val="18"/>
        </w:rPr>
        <w:t xml:space="preserve"> </w:t>
      </w:r>
      <w:r>
        <w:rPr>
          <w:i/>
          <w:color w:val="231F20"/>
          <w:w w:val="105"/>
          <w:sz w:val="18"/>
        </w:rPr>
        <w:t>West</w:t>
      </w:r>
      <w:r>
        <w:rPr>
          <w:i/>
          <w:color w:val="231F20"/>
          <w:spacing w:val="17"/>
          <w:w w:val="105"/>
          <w:sz w:val="18"/>
        </w:rPr>
        <w:t xml:space="preserve"> </w:t>
      </w:r>
      <w:r>
        <w:rPr>
          <w:i/>
          <w:color w:val="231F20"/>
          <w:spacing w:val="1"/>
          <w:w w:val="105"/>
          <w:sz w:val="18"/>
        </w:rPr>
        <w:t>Germany</w:t>
      </w:r>
      <w:r>
        <w:rPr>
          <w:i/>
          <w:color w:val="231F20"/>
          <w:w w:val="108"/>
          <w:sz w:val="18"/>
        </w:rPr>
        <w:t xml:space="preserve"> </w:t>
      </w:r>
      <w:r>
        <w:rPr>
          <w:i/>
          <w:color w:val="231F20"/>
          <w:spacing w:val="1"/>
          <w:w w:val="105"/>
          <w:sz w:val="18"/>
        </w:rPr>
        <w:t xml:space="preserve">and </w:t>
      </w:r>
      <w:r>
        <w:rPr>
          <w:i/>
          <w:color w:val="231F20"/>
          <w:w w:val="105"/>
          <w:sz w:val="18"/>
        </w:rPr>
        <w:t>feared he would have</w:t>
      </w:r>
    </w:p>
    <w:p w14:paraId="1C7A70A4" w14:textId="77777777" w:rsidR="002653E8" w:rsidRDefault="003115E3">
      <w:pPr>
        <w:spacing w:before="10"/>
        <w:ind w:left="1587"/>
        <w:rPr>
          <w:i/>
          <w:sz w:val="18"/>
        </w:rPr>
      </w:pPr>
      <w:r>
        <w:rPr>
          <w:i/>
          <w:color w:val="231F20"/>
          <w:w w:val="105"/>
          <w:sz w:val="18"/>
        </w:rPr>
        <w:t>less exchange value if he was</w:t>
      </w:r>
    </w:p>
    <w:p w14:paraId="20400E0F" w14:textId="77777777" w:rsidR="002653E8" w:rsidRDefault="003115E3">
      <w:pPr>
        <w:spacing w:before="5"/>
        <w:ind w:left="2574"/>
        <w:rPr>
          <w:i/>
          <w:sz w:val="18"/>
        </w:rPr>
      </w:pPr>
      <w:r>
        <w:rPr>
          <w:i/>
          <w:color w:val="231F20"/>
          <w:w w:val="105"/>
          <w:sz w:val="18"/>
        </w:rPr>
        <w:t>debased further.</w:t>
      </w:r>
    </w:p>
    <w:p w14:paraId="54681E0E" w14:textId="77777777" w:rsidR="002653E8" w:rsidRDefault="002653E8">
      <w:pPr>
        <w:pStyle w:val="a3"/>
        <w:rPr>
          <w:i/>
        </w:rPr>
      </w:pPr>
    </w:p>
    <w:p w14:paraId="3955D94D" w14:textId="77777777" w:rsidR="002653E8" w:rsidRDefault="00000000">
      <w:pPr>
        <w:pStyle w:val="a3"/>
        <w:spacing w:before="7"/>
        <w:rPr>
          <w:i/>
          <w:sz w:val="29"/>
        </w:rPr>
      </w:pPr>
      <w:r>
        <w:rPr>
          <w:noProof w:val="0"/>
        </w:rPr>
        <w:pict w14:anchorId="7EC2A89B">
          <v:line id="_x0000_s2205" style="position:absolute;z-index:10072;mso-wrap-distance-left:0;mso-wrap-distance-right:0;mso-position-horizontal-relative:page" from="66.4pt,19.55pt" to="138.4pt,19.55pt" strokecolor="#231f20" strokeweight=".5pt">
            <w10:wrap type="topAndBottom" anchorx="page"/>
          </v:line>
        </w:pict>
      </w:r>
    </w:p>
    <w:p w14:paraId="2D7E2D20" w14:textId="77777777" w:rsidR="002653E8" w:rsidRDefault="003115E3">
      <w:pPr>
        <w:pStyle w:val="a4"/>
        <w:numPr>
          <w:ilvl w:val="0"/>
          <w:numId w:val="63"/>
        </w:numPr>
        <w:tabs>
          <w:tab w:val="left" w:pos="1467"/>
        </w:tabs>
        <w:spacing w:before="53" w:line="254" w:lineRule="auto"/>
        <w:ind w:right="1354" w:hanging="1"/>
        <w:jc w:val="left"/>
        <w:rPr>
          <w:sz w:val="16"/>
        </w:rPr>
      </w:pPr>
      <w:r>
        <w:rPr>
          <w:color w:val="231F20"/>
          <w:w w:val="110"/>
          <w:sz w:val="16"/>
        </w:rPr>
        <w:t xml:space="preserve">Associated Press, “Schleyer No Friend of Socialists, Unions,” </w:t>
      </w:r>
      <w:r>
        <w:rPr>
          <w:i/>
          <w:color w:val="231F20"/>
          <w:spacing w:val="2"/>
          <w:w w:val="110"/>
          <w:sz w:val="16"/>
        </w:rPr>
        <w:t xml:space="preserve">Abilene-Reporter </w:t>
      </w:r>
      <w:r>
        <w:rPr>
          <w:i/>
          <w:color w:val="231F20"/>
          <w:w w:val="110"/>
          <w:sz w:val="16"/>
        </w:rPr>
        <w:t xml:space="preserve">News, </w:t>
      </w:r>
      <w:r>
        <w:rPr>
          <w:color w:val="231F20"/>
          <w:w w:val="110"/>
          <w:sz w:val="16"/>
        </w:rPr>
        <w:t>October 20,</w:t>
      </w:r>
      <w:r>
        <w:rPr>
          <w:color w:val="231F20"/>
          <w:spacing w:val="20"/>
          <w:w w:val="110"/>
          <w:sz w:val="16"/>
        </w:rPr>
        <w:t xml:space="preserve"> </w:t>
      </w:r>
      <w:r>
        <w:rPr>
          <w:color w:val="231F20"/>
          <w:spacing w:val="-4"/>
          <w:w w:val="110"/>
          <w:sz w:val="16"/>
        </w:rPr>
        <w:t>1977.</w:t>
      </w:r>
    </w:p>
    <w:p w14:paraId="5C95E968" w14:textId="77777777" w:rsidR="002653E8" w:rsidRDefault="003115E3">
      <w:pPr>
        <w:pStyle w:val="a4"/>
        <w:numPr>
          <w:ilvl w:val="0"/>
          <w:numId w:val="63"/>
        </w:numPr>
        <w:tabs>
          <w:tab w:val="left" w:pos="1467"/>
        </w:tabs>
        <w:spacing w:line="254" w:lineRule="auto"/>
        <w:ind w:left="1327" w:right="1179" w:firstLine="1"/>
        <w:jc w:val="left"/>
        <w:rPr>
          <w:sz w:val="16"/>
        </w:rPr>
      </w:pPr>
      <w:r>
        <w:rPr>
          <w:color w:val="231F20"/>
          <w:w w:val="105"/>
          <w:sz w:val="16"/>
        </w:rPr>
        <w:t xml:space="preserve">Schleyer had joined the </w:t>
      </w:r>
      <w:r>
        <w:rPr>
          <w:color w:val="231F20"/>
          <w:spacing w:val="1"/>
          <w:w w:val="105"/>
          <w:sz w:val="16"/>
        </w:rPr>
        <w:t xml:space="preserve">SS </w:t>
      </w:r>
      <w:r>
        <w:rPr>
          <w:color w:val="231F20"/>
          <w:w w:val="105"/>
          <w:sz w:val="16"/>
        </w:rPr>
        <w:t xml:space="preserve">in </w:t>
      </w:r>
      <w:r>
        <w:rPr>
          <w:color w:val="231F20"/>
          <w:spacing w:val="-5"/>
          <w:w w:val="105"/>
          <w:sz w:val="16"/>
        </w:rPr>
        <w:t xml:space="preserve">1933,  </w:t>
      </w:r>
      <w:r>
        <w:rPr>
          <w:color w:val="231F20"/>
          <w:w w:val="105"/>
          <w:sz w:val="16"/>
        </w:rPr>
        <w:t xml:space="preserve">just two months after his eighteenth birthday.  A committed fascist, he held several important positions in the Nazi Student Association before and during the war. </w:t>
      </w:r>
      <w:r>
        <w:rPr>
          <w:color w:val="231F20"/>
          <w:spacing w:val="1"/>
          <w:w w:val="105"/>
          <w:sz w:val="16"/>
        </w:rPr>
        <w:t xml:space="preserve">In </w:t>
      </w:r>
      <w:r>
        <w:rPr>
          <w:color w:val="231F20"/>
          <w:spacing w:val="-4"/>
          <w:w w:val="105"/>
          <w:sz w:val="16"/>
        </w:rPr>
        <w:t xml:space="preserve">1943, </w:t>
      </w:r>
      <w:r>
        <w:rPr>
          <w:color w:val="231F20"/>
          <w:w w:val="105"/>
          <w:sz w:val="16"/>
        </w:rPr>
        <w:t xml:space="preserve">he began working for the Central Federation of Industry for Bohemia and Moravia, where he was in charge of “Germanizing” the economy of Czechoslovakia. Following the Nazi defeat, he was captured by French forces and imprisoned for three years, classified as a “fellow traveler” by the denazification authorities. He was released in </w:t>
      </w:r>
      <w:r>
        <w:rPr>
          <w:color w:val="231F20"/>
          <w:spacing w:val="-3"/>
          <w:w w:val="105"/>
          <w:sz w:val="16"/>
        </w:rPr>
        <w:t xml:space="preserve">1949 </w:t>
      </w:r>
      <w:r>
        <w:rPr>
          <w:color w:val="231F20"/>
          <w:w w:val="105"/>
          <w:sz w:val="16"/>
        </w:rPr>
        <w:t xml:space="preserve">and used his experience during the Nazi occupation of Czechoslovakia to get hired to the foreign trade desk in the Baden-Baden Chamber of Commerce and Industry. (Heike Friesel, “Schleyer, a German Story,” Litrix.de: German Literature Online, translated by </w:t>
      </w:r>
      <w:r>
        <w:rPr>
          <w:color w:val="231F20"/>
          <w:w w:val="101"/>
          <w:sz w:val="16"/>
        </w:rPr>
        <w:t>P</w:t>
      </w:r>
      <w:r>
        <w:rPr>
          <w:color w:val="231F20"/>
          <w:spacing w:val="3"/>
          <w:w w:val="104"/>
          <w:sz w:val="16"/>
        </w:rPr>
        <w:t>h</w:t>
      </w:r>
      <w:r>
        <w:rPr>
          <w:color w:val="231F20"/>
          <w:spacing w:val="2"/>
          <w:w w:val="103"/>
          <w:sz w:val="16"/>
        </w:rPr>
        <w:t>i</w:t>
      </w:r>
      <w:r>
        <w:rPr>
          <w:color w:val="231F20"/>
          <w:spacing w:val="2"/>
          <w:w w:val="106"/>
          <w:sz w:val="16"/>
        </w:rPr>
        <w:t>l</w:t>
      </w:r>
      <w:r>
        <w:rPr>
          <w:color w:val="231F20"/>
          <w:spacing w:val="-2"/>
          <w:w w:val="103"/>
          <w:sz w:val="16"/>
        </w:rPr>
        <w:t>i</w:t>
      </w:r>
      <w:r>
        <w:rPr>
          <w:color w:val="231F20"/>
          <w:w w:val="103"/>
          <w:sz w:val="16"/>
        </w:rPr>
        <w:t>p</w:t>
      </w:r>
      <w:r>
        <w:rPr>
          <w:color w:val="231F20"/>
          <w:spacing w:val="10"/>
          <w:sz w:val="16"/>
        </w:rPr>
        <w:t xml:space="preserve"> </w:t>
      </w:r>
      <w:r>
        <w:rPr>
          <w:color w:val="231F20"/>
          <w:spacing w:val="5"/>
          <w:w w:val="104"/>
          <w:sz w:val="16"/>
        </w:rPr>
        <w:t>S</w:t>
      </w:r>
      <w:r>
        <w:rPr>
          <w:color w:val="231F20"/>
          <w:w w:val="104"/>
          <w:sz w:val="16"/>
        </w:rPr>
        <w:t>c</w:t>
      </w:r>
      <w:r>
        <w:rPr>
          <w:color w:val="231F20"/>
          <w:spacing w:val="5"/>
          <w:w w:val="104"/>
          <w:sz w:val="16"/>
        </w:rPr>
        <w:t>h</w:t>
      </w:r>
      <w:r>
        <w:rPr>
          <w:color w:val="231F20"/>
          <w:spacing w:val="3"/>
          <w:w w:val="103"/>
          <w:sz w:val="16"/>
        </w:rPr>
        <w:t>m</w:t>
      </w:r>
      <w:r>
        <w:rPr>
          <w:color w:val="231F20"/>
          <w:spacing w:val="-1"/>
          <w:w w:val="103"/>
          <w:sz w:val="16"/>
        </w:rPr>
        <w:t>i</w:t>
      </w:r>
      <w:r>
        <w:rPr>
          <w:color w:val="231F20"/>
          <w:spacing w:val="3"/>
          <w:w w:val="102"/>
          <w:sz w:val="16"/>
        </w:rPr>
        <w:t>t</w:t>
      </w:r>
      <w:r>
        <w:rPr>
          <w:color w:val="231F20"/>
          <w:spacing w:val="5"/>
          <w:w w:val="101"/>
          <w:sz w:val="16"/>
        </w:rPr>
        <w:t>z</w:t>
      </w:r>
      <w:r>
        <w:rPr>
          <w:color w:val="231F20"/>
          <w:w w:val="140"/>
          <w:sz w:val="16"/>
        </w:rPr>
        <w:t>,</w:t>
      </w:r>
      <w:r>
        <w:rPr>
          <w:color w:val="231F20"/>
          <w:spacing w:val="10"/>
          <w:sz w:val="16"/>
        </w:rPr>
        <w:t xml:space="preserve"> </w:t>
      </w:r>
      <w:hyperlink r:id="rId401">
        <w:r>
          <w:rPr>
            <w:color w:val="231F20"/>
            <w:w w:val="104"/>
            <w:sz w:val="16"/>
          </w:rPr>
          <w:t>h</w:t>
        </w:r>
        <w:r>
          <w:rPr>
            <w:color w:val="231F20"/>
            <w:spacing w:val="5"/>
            <w:w w:val="102"/>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spacing w:val="1"/>
            <w:w w:val="140"/>
            <w:sz w:val="16"/>
          </w:rPr>
          <w:t>.</w:t>
        </w:r>
        <w:r>
          <w:rPr>
            <w:color w:val="231F20"/>
            <w:spacing w:val="2"/>
            <w:w w:val="106"/>
            <w:sz w:val="16"/>
          </w:rPr>
          <w:t>l</w:t>
        </w:r>
        <w:r>
          <w:rPr>
            <w:color w:val="231F20"/>
            <w:spacing w:val="-1"/>
            <w:w w:val="103"/>
            <w:sz w:val="16"/>
          </w:rPr>
          <w:t>i</w:t>
        </w:r>
        <w:r>
          <w:rPr>
            <w:color w:val="231F20"/>
            <w:spacing w:val="3"/>
            <w:w w:val="102"/>
            <w:sz w:val="16"/>
          </w:rPr>
          <w:t>t</w:t>
        </w:r>
        <w:r>
          <w:rPr>
            <w:color w:val="231F20"/>
            <w:spacing w:val="2"/>
            <w:w w:val="97"/>
            <w:sz w:val="16"/>
          </w:rPr>
          <w:t>r</w:t>
        </w:r>
        <w:r>
          <w:rPr>
            <w:color w:val="231F20"/>
            <w:spacing w:val="5"/>
            <w:w w:val="103"/>
            <w:sz w:val="16"/>
          </w:rPr>
          <w:t>i</w:t>
        </w:r>
        <w:r>
          <w:rPr>
            <w:color w:val="231F20"/>
            <w:spacing w:val="2"/>
            <w:w w:val="119"/>
            <w:sz w:val="16"/>
          </w:rPr>
          <w:t>x</w:t>
        </w:r>
        <w:r>
          <w:rPr>
            <w:color w:val="231F20"/>
            <w:w w:val="140"/>
            <w:sz w:val="16"/>
          </w:rPr>
          <w:t>.</w:t>
        </w:r>
        <w:r>
          <w:rPr>
            <w:color w:val="231F20"/>
            <w:w w:val="99"/>
            <w:sz w:val="16"/>
          </w:rPr>
          <w:t>d</w:t>
        </w:r>
        <w:r>
          <w:rPr>
            <w:color w:val="231F20"/>
            <w:spacing w:val="5"/>
            <w:w w:val="99"/>
            <w:sz w:val="16"/>
          </w:rPr>
          <w:t>e</w:t>
        </w:r>
        <w:r>
          <w:rPr>
            <w:color w:val="231F20"/>
            <w:spacing w:val="6"/>
            <w:w w:val="58"/>
            <w:sz w:val="16"/>
          </w:rPr>
          <w:t>/</w:t>
        </w:r>
        <w:r>
          <w:rPr>
            <w:color w:val="231F20"/>
            <w:w w:val="105"/>
            <w:sz w:val="16"/>
          </w:rPr>
          <w:t>b</w:t>
        </w:r>
        <w:r>
          <w:rPr>
            <w:color w:val="231F20"/>
            <w:w w:val="99"/>
            <w:sz w:val="16"/>
          </w:rPr>
          <w:t>u</w:t>
        </w:r>
        <w:r>
          <w:rPr>
            <w:color w:val="231F20"/>
            <w:spacing w:val="2"/>
            <w:w w:val="99"/>
            <w:sz w:val="16"/>
          </w:rPr>
          <w:t>e</w:t>
        </w:r>
        <w:r>
          <w:rPr>
            <w:color w:val="231F20"/>
            <w:w w:val="104"/>
            <w:sz w:val="16"/>
          </w:rPr>
          <w:t>ch</w:t>
        </w:r>
        <w:r>
          <w:rPr>
            <w:color w:val="231F20"/>
            <w:w w:val="94"/>
            <w:sz w:val="16"/>
          </w:rPr>
          <w:t>e</w:t>
        </w:r>
        <w:r>
          <w:rPr>
            <w:color w:val="231F20"/>
            <w:spacing w:val="1"/>
            <w:w w:val="97"/>
            <w:sz w:val="16"/>
          </w:rPr>
          <w:t>r</w:t>
        </w:r>
        <w:r>
          <w:rPr>
            <w:color w:val="231F20"/>
            <w:spacing w:val="-2"/>
            <w:w w:val="58"/>
            <w:sz w:val="16"/>
          </w:rPr>
          <w:t>/</w:t>
        </w:r>
        <w:r>
          <w:rPr>
            <w:color w:val="231F20"/>
            <w:spacing w:val="1"/>
            <w:w w:val="93"/>
            <w:sz w:val="16"/>
          </w:rPr>
          <w:t>s</w:t>
        </w:r>
        <w:r>
          <w:rPr>
            <w:color w:val="231F20"/>
            <w:w w:val="106"/>
            <w:sz w:val="16"/>
          </w:rPr>
          <w:t>a</w:t>
        </w:r>
        <w:r>
          <w:rPr>
            <w:color w:val="231F20"/>
            <w:w w:val="104"/>
            <w:sz w:val="16"/>
          </w:rPr>
          <w:t>ch</w:t>
        </w:r>
        <w:r>
          <w:rPr>
            <w:color w:val="231F20"/>
            <w:w w:val="105"/>
            <w:sz w:val="16"/>
          </w:rPr>
          <w:t>b</w:t>
        </w:r>
        <w:r>
          <w:rPr>
            <w:color w:val="231F20"/>
            <w:w w:val="99"/>
            <w:sz w:val="16"/>
          </w:rPr>
          <w:t>u</w:t>
        </w:r>
        <w:r>
          <w:rPr>
            <w:color w:val="231F20"/>
            <w:spacing w:val="2"/>
            <w:w w:val="99"/>
            <w:sz w:val="16"/>
          </w:rPr>
          <w:t>e</w:t>
        </w:r>
        <w:r>
          <w:rPr>
            <w:color w:val="231F20"/>
            <w:w w:val="104"/>
            <w:sz w:val="16"/>
          </w:rPr>
          <w:t>ch</w:t>
        </w:r>
        <w:r>
          <w:rPr>
            <w:color w:val="231F20"/>
            <w:w w:val="94"/>
            <w:sz w:val="16"/>
          </w:rPr>
          <w:t>e</w:t>
        </w:r>
        <w:r>
          <w:rPr>
            <w:color w:val="231F20"/>
            <w:spacing w:val="1"/>
            <w:w w:val="97"/>
            <w:sz w:val="16"/>
          </w:rPr>
          <w:t>r</w:t>
        </w:r>
        <w:r>
          <w:rPr>
            <w:color w:val="231F20"/>
            <w:spacing w:val="2"/>
            <w:w w:val="58"/>
            <w:sz w:val="16"/>
          </w:rPr>
          <w:t>/</w:t>
        </w:r>
        <w:r>
          <w:rPr>
            <w:color w:val="231F20"/>
            <w:spacing w:val="-1"/>
            <w:w w:val="108"/>
            <w:sz w:val="16"/>
          </w:rPr>
          <w:t>j</w:t>
        </w:r>
        <w:r>
          <w:rPr>
            <w:color w:val="231F20"/>
            <w:spacing w:val="3"/>
            <w:w w:val="106"/>
            <w:sz w:val="16"/>
          </w:rPr>
          <w:t>a</w:t>
        </w:r>
        <w:r>
          <w:rPr>
            <w:color w:val="231F20"/>
            <w:spacing w:val="5"/>
            <w:w w:val="104"/>
            <w:sz w:val="16"/>
          </w:rPr>
          <w:t>h</w:t>
        </w:r>
        <w:r>
          <w:rPr>
            <w:color w:val="231F20"/>
            <w:spacing w:val="1"/>
            <w:w w:val="97"/>
            <w:sz w:val="16"/>
          </w:rPr>
          <w:t>r</w:t>
        </w:r>
        <w:r>
          <w:rPr>
            <w:color w:val="231F20"/>
            <w:spacing w:val="-3"/>
            <w:w w:val="58"/>
            <w:sz w:val="16"/>
          </w:rPr>
          <w:t>/</w:t>
        </w:r>
        <w:r>
          <w:rPr>
            <w:color w:val="231F20"/>
            <w:spacing w:val="3"/>
            <w:w w:val="104"/>
            <w:sz w:val="16"/>
          </w:rPr>
          <w:t>2</w:t>
        </w:r>
        <w:r>
          <w:rPr>
            <w:color w:val="231F20"/>
            <w:spacing w:val="5"/>
            <w:w w:val="104"/>
            <w:sz w:val="16"/>
          </w:rPr>
          <w:t>0</w:t>
        </w:r>
        <w:r>
          <w:rPr>
            <w:color w:val="231F20"/>
            <w:w w:val="104"/>
            <w:sz w:val="16"/>
          </w:rPr>
          <w:t>0</w:t>
        </w:r>
        <w:r>
          <w:rPr>
            <w:color w:val="231F20"/>
            <w:spacing w:val="5"/>
            <w:w w:val="104"/>
            <w:sz w:val="16"/>
          </w:rPr>
          <w:t>4</w:t>
        </w:r>
        <w:r>
          <w:rPr>
            <w:color w:val="231F20"/>
            <w:spacing w:val="-2"/>
            <w:w w:val="75"/>
            <w:sz w:val="16"/>
          </w:rPr>
          <w:t>/</w:t>
        </w:r>
        <w:r>
          <w:rPr>
            <w:color w:val="231F20"/>
            <w:spacing w:val="2"/>
            <w:w w:val="75"/>
            <w:sz w:val="16"/>
          </w:rPr>
          <w:t>s</w:t>
        </w:r>
        <w:r>
          <w:rPr>
            <w:color w:val="231F20"/>
            <w:w w:val="104"/>
            <w:sz w:val="16"/>
          </w:rPr>
          <w:t>c</w:t>
        </w:r>
        <w:r>
          <w:rPr>
            <w:color w:val="231F20"/>
            <w:spacing w:val="3"/>
            <w:w w:val="104"/>
            <w:sz w:val="16"/>
          </w:rPr>
          <w:t>h</w:t>
        </w:r>
        <w:r>
          <w:rPr>
            <w:color w:val="231F20"/>
            <w:w w:val="106"/>
            <w:sz w:val="16"/>
          </w:rPr>
          <w:t>l</w:t>
        </w:r>
        <w:r>
          <w:rPr>
            <w:color w:val="231F20"/>
            <w:spacing w:val="1"/>
            <w:w w:val="94"/>
            <w:sz w:val="16"/>
          </w:rPr>
          <w:t>e</w:t>
        </w:r>
        <w:r>
          <w:rPr>
            <w:color w:val="231F20"/>
            <w:spacing w:val="-1"/>
            <w:w w:val="102"/>
            <w:sz w:val="16"/>
          </w:rPr>
          <w:t>y</w:t>
        </w:r>
        <w:r>
          <w:rPr>
            <w:color w:val="231F20"/>
            <w:w w:val="94"/>
            <w:sz w:val="16"/>
          </w:rPr>
          <w:t>e</w:t>
        </w:r>
        <w:r>
          <w:rPr>
            <w:color w:val="231F20"/>
            <w:spacing w:val="1"/>
            <w:w w:val="97"/>
            <w:sz w:val="16"/>
          </w:rPr>
          <w:t>r</w:t>
        </w:r>
        <w:r>
          <w:rPr>
            <w:color w:val="231F20"/>
            <w:w w:val="58"/>
            <w:sz w:val="16"/>
          </w:rPr>
          <w:t>/</w:t>
        </w:r>
      </w:hyperlink>
      <w:r>
        <w:rPr>
          <w:color w:val="231F20"/>
          <w:w w:val="58"/>
          <w:sz w:val="16"/>
        </w:rPr>
        <w:t xml:space="preserve"> </w:t>
      </w:r>
      <w:r>
        <w:rPr>
          <w:color w:val="231F20"/>
          <w:w w:val="105"/>
          <w:sz w:val="16"/>
        </w:rPr>
        <w:t>enindex.htm)</w:t>
      </w:r>
    </w:p>
    <w:p w14:paraId="7E28313D" w14:textId="77777777" w:rsidR="002653E8" w:rsidRDefault="002653E8">
      <w:pPr>
        <w:spacing w:line="254" w:lineRule="auto"/>
        <w:rPr>
          <w:sz w:val="16"/>
        </w:rPr>
        <w:sectPr w:rsidR="002653E8">
          <w:pgSz w:w="8640" w:h="12960"/>
          <w:pgMar w:top="1060" w:right="0" w:bottom="1040" w:left="0" w:header="0" w:footer="850" w:gutter="0"/>
          <w:cols w:space="720"/>
        </w:sectPr>
      </w:pPr>
    </w:p>
    <w:p w14:paraId="66F5F807" w14:textId="77777777" w:rsidR="002653E8" w:rsidRDefault="003115E3">
      <w:pPr>
        <w:pStyle w:val="a3"/>
        <w:spacing w:before="86"/>
        <w:ind w:left="1357"/>
      </w:pPr>
      <w:r>
        <w:rPr>
          <w:color w:val="231F20"/>
        </w:rPr>
        <w:lastRenderedPageBreak/>
        <w:t>As the guerilla would later explain:</w:t>
      </w:r>
    </w:p>
    <w:p w14:paraId="053922F3" w14:textId="77777777" w:rsidR="002653E8" w:rsidRDefault="003115E3">
      <w:pPr>
        <w:spacing w:before="192" w:line="276" w:lineRule="auto"/>
        <w:ind w:left="1567" w:right="1746"/>
        <w:jc w:val="both"/>
        <w:rPr>
          <w:i/>
          <w:sz w:val="19"/>
        </w:rPr>
      </w:pPr>
      <w:r>
        <w:rPr>
          <w:i/>
          <w:color w:val="231F20"/>
          <w:w w:val="105"/>
          <w:sz w:val="19"/>
        </w:rPr>
        <w:t>We hoped to confront the SPD with the decision of whether to exchange these two individuals who embody the global power of FRG capital in a way that few others do.</w:t>
      </w:r>
    </w:p>
    <w:p w14:paraId="7BFE8829" w14:textId="77777777" w:rsidR="002653E8" w:rsidRDefault="003115E3">
      <w:pPr>
        <w:spacing w:before="39" w:line="276" w:lineRule="auto"/>
        <w:ind w:left="1567" w:right="1739"/>
        <w:jc w:val="both"/>
        <w:rPr>
          <w:i/>
          <w:sz w:val="19"/>
        </w:rPr>
      </w:pPr>
      <w:r>
        <w:rPr>
          <w:i/>
          <w:color w:val="231F20"/>
          <w:spacing w:val="-3"/>
          <w:w w:val="105"/>
          <w:sz w:val="19"/>
        </w:rPr>
        <w:t xml:space="preserve">Ponto </w:t>
      </w:r>
      <w:r>
        <w:rPr>
          <w:i/>
          <w:color w:val="231F20"/>
          <w:w w:val="105"/>
          <w:sz w:val="19"/>
        </w:rPr>
        <w:t>for his international financial policy (revealing how all</w:t>
      </w:r>
      <w:r>
        <w:rPr>
          <w:i/>
          <w:color w:val="231F20"/>
          <w:spacing w:val="-28"/>
          <w:w w:val="105"/>
          <w:sz w:val="19"/>
        </w:rPr>
        <w:t xml:space="preserve"> </w:t>
      </w:r>
      <w:r>
        <w:rPr>
          <w:i/>
          <w:color w:val="231F20"/>
          <w:w w:val="105"/>
          <w:sz w:val="19"/>
        </w:rPr>
        <w:t>the German</w:t>
      </w:r>
      <w:r>
        <w:rPr>
          <w:i/>
          <w:color w:val="231F20"/>
          <w:spacing w:val="-16"/>
          <w:w w:val="105"/>
          <w:sz w:val="19"/>
        </w:rPr>
        <w:t xml:space="preserve"> </w:t>
      </w:r>
      <w:r>
        <w:rPr>
          <w:i/>
          <w:color w:val="231F20"/>
          <w:w w:val="105"/>
          <w:sz w:val="19"/>
        </w:rPr>
        <w:t>banks,</w:t>
      </w:r>
      <w:r>
        <w:rPr>
          <w:i/>
          <w:color w:val="231F20"/>
          <w:spacing w:val="-22"/>
          <w:w w:val="105"/>
          <w:sz w:val="19"/>
        </w:rPr>
        <w:t xml:space="preserve"> </w:t>
      </w:r>
      <w:r>
        <w:rPr>
          <w:i/>
          <w:color w:val="231F20"/>
          <w:w w:val="105"/>
          <w:sz w:val="19"/>
        </w:rPr>
        <w:t>especially</w:t>
      </w:r>
      <w:r>
        <w:rPr>
          <w:i/>
          <w:color w:val="231F20"/>
          <w:spacing w:val="-16"/>
          <w:w w:val="105"/>
          <w:sz w:val="19"/>
        </w:rPr>
        <w:t xml:space="preserve"> </w:t>
      </w:r>
      <w:r>
        <w:rPr>
          <w:i/>
          <w:color w:val="231F20"/>
          <w:w w:val="105"/>
          <w:sz w:val="19"/>
        </w:rPr>
        <w:t>his</w:t>
      </w:r>
      <w:r>
        <w:rPr>
          <w:i/>
          <w:color w:val="231F20"/>
          <w:spacing w:val="-16"/>
          <w:w w:val="105"/>
          <w:sz w:val="19"/>
        </w:rPr>
        <w:t xml:space="preserve"> </w:t>
      </w:r>
      <w:r>
        <w:rPr>
          <w:i/>
          <w:color w:val="231F20"/>
          <w:w w:val="105"/>
          <w:sz w:val="19"/>
        </w:rPr>
        <w:t>own</w:t>
      </w:r>
      <w:r>
        <w:rPr>
          <w:i/>
          <w:color w:val="231F20"/>
          <w:spacing w:val="-16"/>
          <w:w w:val="105"/>
          <w:sz w:val="19"/>
        </w:rPr>
        <w:t xml:space="preserve"> </w:t>
      </w:r>
      <w:r>
        <w:rPr>
          <w:i/>
          <w:color w:val="231F20"/>
          <w:w w:val="105"/>
          <w:sz w:val="19"/>
        </w:rPr>
        <w:t>Dresdner</w:t>
      </w:r>
      <w:r>
        <w:rPr>
          <w:i/>
          <w:color w:val="231F20"/>
          <w:spacing w:val="-16"/>
          <w:w w:val="105"/>
          <w:sz w:val="19"/>
        </w:rPr>
        <w:t xml:space="preserve"> </w:t>
      </w:r>
      <w:r>
        <w:rPr>
          <w:i/>
          <w:color w:val="231F20"/>
          <w:w w:val="105"/>
          <w:sz w:val="19"/>
        </w:rPr>
        <w:t>Bank,</w:t>
      </w:r>
      <w:r>
        <w:rPr>
          <w:i/>
          <w:color w:val="231F20"/>
          <w:spacing w:val="-22"/>
          <w:w w:val="105"/>
          <w:sz w:val="19"/>
        </w:rPr>
        <w:t xml:space="preserve"> </w:t>
      </w:r>
      <w:r>
        <w:rPr>
          <w:i/>
          <w:color w:val="231F20"/>
          <w:w w:val="105"/>
          <w:sz w:val="19"/>
        </w:rPr>
        <w:t>work</w:t>
      </w:r>
      <w:r>
        <w:rPr>
          <w:i/>
          <w:color w:val="231F20"/>
          <w:spacing w:val="-16"/>
          <w:w w:val="105"/>
          <w:sz w:val="19"/>
        </w:rPr>
        <w:t xml:space="preserve"> </w:t>
      </w:r>
      <w:r>
        <w:rPr>
          <w:i/>
          <w:color w:val="231F20"/>
          <w:w w:val="105"/>
          <w:sz w:val="19"/>
        </w:rPr>
        <w:t>to</w:t>
      </w:r>
      <w:r>
        <w:rPr>
          <w:i/>
          <w:color w:val="231F20"/>
          <w:spacing w:val="-16"/>
          <w:w w:val="105"/>
          <w:sz w:val="19"/>
        </w:rPr>
        <w:t xml:space="preserve"> </w:t>
      </w:r>
      <w:r>
        <w:rPr>
          <w:i/>
          <w:color w:val="231F20"/>
          <w:w w:val="105"/>
          <w:sz w:val="19"/>
        </w:rPr>
        <w:t>support reactionary regimes in developing countries and also the role of FRG financial policy as a tool to control European integration) and Schleyer for the national economic policy (the big trusts, corporatism, the FRG as an international model of social</w:t>
      </w:r>
      <w:r>
        <w:rPr>
          <w:i/>
          <w:color w:val="231F20"/>
          <w:spacing w:val="-1"/>
          <w:w w:val="105"/>
          <w:sz w:val="19"/>
        </w:rPr>
        <w:t xml:space="preserve"> </w:t>
      </w:r>
      <w:r>
        <w:rPr>
          <w:i/>
          <w:color w:val="231F20"/>
          <w:w w:val="105"/>
          <w:sz w:val="19"/>
        </w:rPr>
        <w:t>peace).</w:t>
      </w:r>
    </w:p>
    <w:p w14:paraId="6EBA7C76" w14:textId="77777777" w:rsidR="002653E8" w:rsidRDefault="003115E3">
      <w:pPr>
        <w:spacing w:before="49" w:line="276" w:lineRule="auto"/>
        <w:ind w:left="1567" w:right="1745"/>
        <w:jc w:val="both"/>
        <w:rPr>
          <w:i/>
          <w:sz w:val="11"/>
        </w:rPr>
      </w:pPr>
      <w:r>
        <w:rPr>
          <w:i/>
          <w:color w:val="231F20"/>
          <w:w w:val="105"/>
          <w:sz w:val="19"/>
        </w:rPr>
        <w:t>They embodied the power within the state which the SPD must respect if it wishes to stay in power.</w:t>
      </w:r>
      <w:r>
        <w:rPr>
          <w:i/>
          <w:color w:val="231F20"/>
          <w:w w:val="105"/>
          <w:position w:val="6"/>
          <w:sz w:val="11"/>
        </w:rPr>
        <w:t>1</w:t>
      </w:r>
    </w:p>
    <w:p w14:paraId="0345A68B" w14:textId="77777777" w:rsidR="002653E8" w:rsidRDefault="002653E8">
      <w:pPr>
        <w:pStyle w:val="a3"/>
        <w:spacing w:before="6"/>
        <w:rPr>
          <w:i/>
          <w:sz w:val="22"/>
        </w:rPr>
      </w:pPr>
    </w:p>
    <w:p w14:paraId="2212D6B9" w14:textId="77777777" w:rsidR="002653E8" w:rsidRDefault="003115E3">
      <w:pPr>
        <w:pStyle w:val="a3"/>
        <w:spacing w:line="264" w:lineRule="auto"/>
        <w:ind w:left="1147" w:right="1326"/>
        <w:jc w:val="both"/>
        <w:rPr>
          <w:sz w:val="11"/>
        </w:rPr>
      </w:pPr>
      <w:r>
        <w:rPr>
          <w:color w:val="231F20"/>
        </w:rPr>
        <w:t>The attempted Ponto kidnapping may have ended in failure, yet it was felt that the plan could not be called off, that lives were at stake: “the prisoners had reached a point where we could no longer put off an action to liberate them. The prisoners were on a thirst strike and Gudrun was dying.”</w:t>
      </w:r>
      <w:r>
        <w:rPr>
          <w:color w:val="231F20"/>
          <w:position w:val="7"/>
          <w:sz w:val="11"/>
        </w:rPr>
        <w:t>2</w:t>
      </w:r>
    </w:p>
    <w:p w14:paraId="47C441D6" w14:textId="77777777" w:rsidR="002653E8" w:rsidRDefault="003115E3">
      <w:pPr>
        <w:pStyle w:val="a3"/>
        <w:spacing w:line="264" w:lineRule="auto"/>
        <w:ind w:left="1147" w:right="1326" w:firstLine="210"/>
        <w:jc w:val="both"/>
      </w:pPr>
      <w:r>
        <w:rPr>
          <w:color w:val="231F20"/>
        </w:rPr>
        <w:t>Within a day of Schleyer’s kidnapping, the commando demanded the release of eleven prisoners—including Ensslin, Raspe, and Baader—and safe passage to a country of their choosing. This demand was reiterated on September 6, as the guerilla suspected state security of not relaying their first communiqué to the proper authorities.</w:t>
      </w:r>
    </w:p>
    <w:p w14:paraId="4F1E9C49" w14:textId="77777777" w:rsidR="002653E8" w:rsidRDefault="003115E3">
      <w:pPr>
        <w:pStyle w:val="a3"/>
        <w:spacing w:line="264" w:lineRule="auto"/>
        <w:ind w:left="1147" w:right="1325" w:firstLine="210"/>
        <w:jc w:val="both"/>
      </w:pPr>
      <w:r>
        <w:rPr>
          <w:color w:val="231F20"/>
        </w:rPr>
        <w:t xml:space="preserve">Pastor </w:t>
      </w:r>
      <w:r>
        <w:rPr>
          <w:color w:val="231F20"/>
          <w:spacing w:val="1"/>
        </w:rPr>
        <w:t xml:space="preserve">Martin </w:t>
      </w:r>
      <w:r>
        <w:rPr>
          <w:color w:val="231F20"/>
        </w:rPr>
        <w:t xml:space="preserve">Niemöller and the  Swiss  human  rights  advocate Denis </w:t>
      </w:r>
      <w:r>
        <w:rPr>
          <w:color w:val="231F20"/>
          <w:spacing w:val="-3"/>
        </w:rPr>
        <w:t xml:space="preserve">Payot (whom </w:t>
      </w:r>
      <w:r>
        <w:rPr>
          <w:color w:val="231F20"/>
        </w:rPr>
        <w:t xml:space="preserve">the </w:t>
      </w:r>
      <w:r w:rsidR="00C507A5">
        <w:rPr>
          <w:color w:val="231F20"/>
          <w:spacing w:val="5"/>
        </w:rPr>
        <w:t>red army faction</w:t>
      </w:r>
      <w:r>
        <w:rPr>
          <w:color w:val="231F20"/>
          <w:spacing w:val="5"/>
        </w:rPr>
        <w:t xml:space="preserve"> </w:t>
      </w:r>
      <w:r>
        <w:rPr>
          <w:color w:val="231F20"/>
        </w:rPr>
        <w:t>mistakenly thought held a position in the United Nations) were to accompany the prisoners to their final destination. The commando further demanded that the prisoners be given 100,000 dm each ($44,000), and that their entire communiqué be read on</w:t>
      </w:r>
      <w:r>
        <w:rPr>
          <w:color w:val="231F20"/>
          <w:spacing w:val="11"/>
        </w:rPr>
        <w:t xml:space="preserve"> </w:t>
      </w:r>
      <w:r>
        <w:rPr>
          <w:i/>
          <w:color w:val="231F20"/>
        </w:rPr>
        <w:t>Tagesschau</w:t>
      </w:r>
      <w:r>
        <w:rPr>
          <w:color w:val="231F20"/>
        </w:rPr>
        <w:t>,</w:t>
      </w:r>
      <w:r>
        <w:rPr>
          <w:color w:val="231F20"/>
          <w:spacing w:val="11"/>
        </w:rPr>
        <w:t xml:space="preserve"> </w:t>
      </w:r>
      <w:r>
        <w:rPr>
          <w:color w:val="231F20"/>
        </w:rPr>
        <w:t>a</w:t>
      </w:r>
      <w:r>
        <w:rPr>
          <w:color w:val="231F20"/>
          <w:spacing w:val="11"/>
        </w:rPr>
        <w:t xml:space="preserve"> </w:t>
      </w:r>
      <w:r>
        <w:rPr>
          <w:color w:val="231F20"/>
        </w:rPr>
        <w:t>nightly</w:t>
      </w:r>
      <w:r>
        <w:rPr>
          <w:color w:val="231F20"/>
          <w:spacing w:val="11"/>
        </w:rPr>
        <w:t xml:space="preserve"> </w:t>
      </w:r>
      <w:r>
        <w:rPr>
          <w:color w:val="231F20"/>
        </w:rPr>
        <w:t>current</w:t>
      </w:r>
      <w:r>
        <w:rPr>
          <w:color w:val="231F20"/>
          <w:spacing w:val="11"/>
        </w:rPr>
        <w:t xml:space="preserve"> </w:t>
      </w:r>
      <w:r>
        <w:rPr>
          <w:color w:val="231F20"/>
        </w:rPr>
        <w:t>affairs</w:t>
      </w:r>
      <w:r>
        <w:rPr>
          <w:color w:val="231F20"/>
          <w:spacing w:val="11"/>
        </w:rPr>
        <w:t xml:space="preserve"> </w:t>
      </w:r>
      <w:r>
        <w:rPr>
          <w:color w:val="231F20"/>
        </w:rPr>
        <w:t>television</w:t>
      </w:r>
      <w:r>
        <w:rPr>
          <w:color w:val="231F20"/>
          <w:spacing w:val="11"/>
        </w:rPr>
        <w:t xml:space="preserve"> </w:t>
      </w:r>
      <w:r>
        <w:rPr>
          <w:color w:val="231F20"/>
        </w:rPr>
        <w:t>program.</w:t>
      </w:r>
    </w:p>
    <w:p w14:paraId="645E8BC9" w14:textId="77777777" w:rsidR="002653E8" w:rsidRDefault="003115E3">
      <w:pPr>
        <w:pStyle w:val="a3"/>
        <w:spacing w:line="264" w:lineRule="auto"/>
        <w:ind w:left="1147" w:right="1326" w:firstLine="210"/>
        <w:jc w:val="both"/>
      </w:pPr>
      <w:r>
        <w:rPr>
          <w:color w:val="231F20"/>
        </w:rPr>
        <w:t>In discussions with state representatives, the prisoners promised that they would not return to the FRG or participate in future armed actions if exiled. Nevertheless, the government issued a statement indicating that it would not release them under any circumstances.</w:t>
      </w:r>
    </w:p>
    <w:p w14:paraId="1A25941C" w14:textId="77777777" w:rsidR="002653E8" w:rsidRDefault="003115E3">
      <w:pPr>
        <w:pStyle w:val="a3"/>
        <w:spacing w:line="230" w:lineRule="exact"/>
        <w:ind w:left="1357"/>
      </w:pPr>
      <w:r>
        <w:rPr>
          <w:color w:val="231F20"/>
          <w:w w:val="105"/>
        </w:rPr>
        <w:t>Government officials declared a “supra-legal state of emergency,” and</w:t>
      </w:r>
    </w:p>
    <w:p w14:paraId="2EAFB3D7" w14:textId="77777777" w:rsidR="002653E8" w:rsidRDefault="00000000">
      <w:pPr>
        <w:pStyle w:val="a3"/>
        <w:spacing w:before="3"/>
        <w:rPr>
          <w:sz w:val="27"/>
        </w:rPr>
      </w:pPr>
      <w:r>
        <w:rPr>
          <w:noProof w:val="0"/>
        </w:rPr>
        <w:pict w14:anchorId="0CCB2CC9">
          <v:line id="_x0000_s2204" style="position:absolute;z-index:10120;mso-wrap-distance-left:0;mso-wrap-distance-right:0;mso-position-horizontal-relative:page" from="57.4pt,18.25pt" to="129.4pt,18.25pt" strokecolor="#231f20" strokeweight=".5pt">
            <w10:wrap type="topAndBottom" anchorx="page"/>
          </v:line>
        </w:pict>
      </w:r>
    </w:p>
    <w:p w14:paraId="25930564" w14:textId="77777777" w:rsidR="002653E8" w:rsidRDefault="003115E3">
      <w:pPr>
        <w:pStyle w:val="a4"/>
        <w:numPr>
          <w:ilvl w:val="0"/>
          <w:numId w:val="62"/>
        </w:numPr>
        <w:tabs>
          <w:tab w:val="left" w:pos="1287"/>
        </w:tabs>
        <w:spacing w:before="53" w:line="254" w:lineRule="auto"/>
        <w:ind w:right="1678" w:firstLine="0"/>
        <w:jc w:val="left"/>
        <w:rPr>
          <w:i/>
          <w:sz w:val="16"/>
        </w:rPr>
      </w:pPr>
      <w:r>
        <w:rPr>
          <w:i/>
          <w:color w:val="231F20"/>
          <w:w w:val="105"/>
          <w:sz w:val="16"/>
        </w:rPr>
        <w:t xml:space="preserve">The </w:t>
      </w:r>
      <w:r>
        <w:rPr>
          <w:i/>
          <w:color w:val="231F20"/>
          <w:spacing w:val="2"/>
          <w:w w:val="105"/>
          <w:sz w:val="16"/>
        </w:rPr>
        <w:t xml:space="preserve">Guerilla, </w:t>
      </w:r>
      <w:r>
        <w:rPr>
          <w:i/>
          <w:color w:val="231F20"/>
          <w:w w:val="105"/>
          <w:sz w:val="16"/>
        </w:rPr>
        <w:t xml:space="preserve">the </w:t>
      </w:r>
      <w:r>
        <w:rPr>
          <w:i/>
          <w:color w:val="231F20"/>
          <w:spacing w:val="1"/>
          <w:w w:val="105"/>
          <w:sz w:val="16"/>
        </w:rPr>
        <w:t xml:space="preserve">Resistance, and </w:t>
      </w:r>
      <w:r>
        <w:rPr>
          <w:i/>
          <w:color w:val="231F20"/>
          <w:w w:val="105"/>
          <w:sz w:val="16"/>
        </w:rPr>
        <w:t xml:space="preserve">the </w:t>
      </w:r>
      <w:r>
        <w:rPr>
          <w:i/>
          <w:color w:val="231F20"/>
          <w:spacing w:val="1"/>
          <w:w w:val="105"/>
          <w:sz w:val="16"/>
        </w:rPr>
        <w:t xml:space="preserve">Anti-Imperialist Front. </w:t>
      </w:r>
      <w:r>
        <w:rPr>
          <w:color w:val="231F20"/>
          <w:spacing w:val="1"/>
          <w:w w:val="105"/>
          <w:sz w:val="16"/>
        </w:rPr>
        <w:t xml:space="preserve">This </w:t>
      </w:r>
      <w:r>
        <w:rPr>
          <w:color w:val="231F20"/>
          <w:w w:val="105"/>
          <w:sz w:val="16"/>
        </w:rPr>
        <w:t xml:space="preserve">text will appear in our second volume, </w:t>
      </w:r>
      <w:r>
        <w:rPr>
          <w:i/>
          <w:color w:val="231F20"/>
          <w:w w:val="105"/>
          <w:sz w:val="16"/>
        </w:rPr>
        <w:t xml:space="preserve">The Red </w:t>
      </w:r>
      <w:r>
        <w:rPr>
          <w:i/>
          <w:color w:val="231F20"/>
          <w:spacing w:val="1"/>
          <w:w w:val="105"/>
          <w:sz w:val="16"/>
        </w:rPr>
        <w:t xml:space="preserve">Army </w:t>
      </w:r>
      <w:r>
        <w:rPr>
          <w:i/>
          <w:color w:val="231F20"/>
          <w:w w:val="105"/>
          <w:sz w:val="16"/>
        </w:rPr>
        <w:t xml:space="preserve">Faction, a </w:t>
      </w:r>
      <w:r>
        <w:rPr>
          <w:i/>
          <w:color w:val="231F20"/>
          <w:spacing w:val="1"/>
          <w:w w:val="105"/>
          <w:sz w:val="16"/>
        </w:rPr>
        <w:t xml:space="preserve">Documentary </w:t>
      </w:r>
      <w:r>
        <w:rPr>
          <w:i/>
          <w:color w:val="231F20"/>
          <w:w w:val="105"/>
          <w:sz w:val="16"/>
        </w:rPr>
        <w:t xml:space="preserve">History, Volume </w:t>
      </w:r>
      <w:r>
        <w:rPr>
          <w:i/>
          <w:color w:val="231F20"/>
          <w:spacing w:val="1"/>
          <w:w w:val="105"/>
          <w:sz w:val="16"/>
        </w:rPr>
        <w:t xml:space="preserve">II: </w:t>
      </w:r>
      <w:r>
        <w:rPr>
          <w:i/>
          <w:color w:val="231F20"/>
          <w:w w:val="105"/>
          <w:sz w:val="16"/>
        </w:rPr>
        <w:t xml:space="preserve">Dancing with </w:t>
      </w:r>
      <w:r>
        <w:rPr>
          <w:i/>
          <w:color w:val="231F20"/>
          <w:spacing w:val="1"/>
          <w:w w:val="105"/>
          <w:sz w:val="16"/>
        </w:rPr>
        <w:t xml:space="preserve">Imperialism: </w:t>
      </w:r>
      <w:r>
        <w:rPr>
          <w:i/>
          <w:color w:val="231F20"/>
          <w:spacing w:val="2"/>
          <w:w w:val="105"/>
          <w:sz w:val="16"/>
        </w:rPr>
        <w:t xml:space="preserve">One </w:t>
      </w:r>
      <w:r>
        <w:rPr>
          <w:i/>
          <w:color w:val="231F20"/>
          <w:spacing w:val="1"/>
          <w:w w:val="105"/>
          <w:sz w:val="16"/>
        </w:rPr>
        <w:t xml:space="preserve">Step </w:t>
      </w:r>
      <w:r>
        <w:rPr>
          <w:i/>
          <w:color w:val="231F20"/>
          <w:w w:val="105"/>
          <w:sz w:val="16"/>
        </w:rPr>
        <w:t xml:space="preserve">Forward, </w:t>
      </w:r>
      <w:r>
        <w:rPr>
          <w:i/>
          <w:color w:val="231F20"/>
          <w:spacing w:val="-3"/>
          <w:w w:val="105"/>
          <w:sz w:val="16"/>
        </w:rPr>
        <w:t xml:space="preserve">Two </w:t>
      </w:r>
      <w:r>
        <w:rPr>
          <w:i/>
          <w:color w:val="231F20"/>
          <w:spacing w:val="1"/>
          <w:w w:val="105"/>
          <w:sz w:val="16"/>
        </w:rPr>
        <w:t>Steps</w:t>
      </w:r>
      <w:r>
        <w:rPr>
          <w:i/>
          <w:color w:val="231F20"/>
          <w:spacing w:val="7"/>
          <w:w w:val="105"/>
          <w:sz w:val="16"/>
        </w:rPr>
        <w:t xml:space="preserve"> </w:t>
      </w:r>
      <w:r>
        <w:rPr>
          <w:i/>
          <w:color w:val="231F20"/>
          <w:w w:val="105"/>
          <w:sz w:val="16"/>
        </w:rPr>
        <w:t>Back.</w:t>
      </w:r>
    </w:p>
    <w:p w14:paraId="14428F58" w14:textId="77777777" w:rsidR="002653E8" w:rsidRDefault="003115E3">
      <w:pPr>
        <w:pStyle w:val="a4"/>
        <w:numPr>
          <w:ilvl w:val="0"/>
          <w:numId w:val="62"/>
        </w:numPr>
        <w:tabs>
          <w:tab w:val="left" w:pos="1287"/>
        </w:tabs>
        <w:ind w:left="1286"/>
        <w:jc w:val="left"/>
        <w:rPr>
          <w:sz w:val="16"/>
        </w:rPr>
      </w:pPr>
      <w:r>
        <w:rPr>
          <w:color w:val="231F20"/>
          <w:w w:val="110"/>
          <w:sz w:val="16"/>
        </w:rPr>
        <w:t>Ibid.</w:t>
      </w:r>
    </w:p>
    <w:p w14:paraId="5881D76B" w14:textId="77777777" w:rsidR="002653E8" w:rsidRDefault="002653E8">
      <w:pPr>
        <w:rPr>
          <w:sz w:val="16"/>
        </w:rPr>
        <w:sectPr w:rsidR="002653E8">
          <w:pgSz w:w="8640" w:h="12960"/>
          <w:pgMar w:top="1060" w:right="0" w:bottom="1040" w:left="0" w:header="0" w:footer="850" w:gutter="0"/>
          <w:cols w:space="720"/>
        </w:sectPr>
      </w:pPr>
    </w:p>
    <w:p w14:paraId="08320369" w14:textId="77777777" w:rsidR="002653E8" w:rsidRDefault="003115E3">
      <w:pPr>
        <w:pStyle w:val="a3"/>
        <w:spacing w:before="86" w:line="264" w:lineRule="auto"/>
        <w:ind w:left="1327" w:right="1145"/>
        <w:jc w:val="both"/>
      </w:pPr>
      <w:r>
        <w:rPr>
          <w:color w:val="231F20"/>
        </w:rPr>
        <w:lastRenderedPageBreak/>
        <w:t xml:space="preserve">Schmidt convened the Crisis Management Team, which had first been established in 1975 during the Lorenz action and then during the </w:t>
      </w:r>
      <w:r w:rsidR="00C507A5">
        <w:rPr>
          <w:color w:val="231F20"/>
        </w:rPr>
        <w:t>red army faction</w:t>
      </w:r>
      <w:r>
        <w:rPr>
          <w:color w:val="231F20"/>
        </w:rPr>
        <w:t>’s Stockholm siege. Over the next weeks, this team served to concentrate all decision-making powers in the hands of the executive:</w:t>
      </w:r>
    </w:p>
    <w:p w14:paraId="01B976F7" w14:textId="77777777" w:rsidR="002653E8" w:rsidRDefault="003115E3">
      <w:pPr>
        <w:spacing w:before="125" w:line="276" w:lineRule="auto"/>
        <w:ind w:left="1747" w:right="1558"/>
        <w:jc w:val="both"/>
        <w:rPr>
          <w:i/>
          <w:sz w:val="11"/>
        </w:rPr>
      </w:pPr>
      <w:r>
        <w:rPr>
          <w:i/>
          <w:color w:val="231F20"/>
          <w:sz w:val="19"/>
        </w:rPr>
        <w:t xml:space="preserve">Arguing that each party was represented on the committee, the need to consult parliament in matters of national importance was effectively curtailed.  For  the  length  of  the  “German  Autumn”  the crisis management team was the ruling </w:t>
      </w:r>
      <w:r>
        <w:rPr>
          <w:i/>
          <w:color w:val="231F20"/>
          <w:spacing w:val="-5"/>
          <w:sz w:val="19"/>
        </w:rPr>
        <w:t xml:space="preserve">body, </w:t>
      </w:r>
      <w:r>
        <w:rPr>
          <w:i/>
          <w:color w:val="231F20"/>
          <w:sz w:val="19"/>
        </w:rPr>
        <w:t>responsible for   all negotiations with the terrorists and the enactment of security measures.</w:t>
      </w:r>
      <w:r>
        <w:rPr>
          <w:i/>
          <w:color w:val="231F20"/>
          <w:position w:val="6"/>
          <w:sz w:val="11"/>
        </w:rPr>
        <w:t>3</w:t>
      </w:r>
    </w:p>
    <w:p w14:paraId="43158E76" w14:textId="77777777" w:rsidR="002653E8" w:rsidRDefault="003115E3">
      <w:pPr>
        <w:pStyle w:val="a3"/>
        <w:spacing w:before="132" w:line="264" w:lineRule="auto"/>
        <w:ind w:left="1327" w:right="1145"/>
        <w:jc w:val="both"/>
        <w:rPr>
          <w:sz w:val="11"/>
        </w:rPr>
      </w:pPr>
      <w:r>
        <w:rPr>
          <w:color w:val="231F20"/>
          <w:w w:val="105"/>
        </w:rPr>
        <w:t xml:space="preserve">One of the first measures taken was a “voluntary” news ban, </w:t>
      </w:r>
      <w:r>
        <w:rPr>
          <w:color w:val="231F20"/>
          <w:spacing w:val="1"/>
          <w:w w:val="105"/>
        </w:rPr>
        <w:t>imme</w:t>
      </w:r>
      <w:r>
        <w:rPr>
          <w:color w:val="231F20"/>
          <w:w w:val="105"/>
        </w:rPr>
        <w:t xml:space="preserve">diately followed by a total </w:t>
      </w:r>
      <w:r>
        <w:rPr>
          <w:i/>
          <w:color w:val="231F20"/>
          <w:w w:val="105"/>
        </w:rPr>
        <w:t xml:space="preserve">Kontaktsperre </w:t>
      </w:r>
      <w:r>
        <w:rPr>
          <w:color w:val="231F20"/>
          <w:w w:val="105"/>
        </w:rPr>
        <w:t xml:space="preserve">(Contact Ban) against all political prisoners. As its name implies, the Contact Ban deprived the prisoners of any contact with each other, as well as with the outside world. </w:t>
      </w:r>
      <w:r>
        <w:rPr>
          <w:color w:val="231F20"/>
          <w:spacing w:val="1"/>
          <w:w w:val="105"/>
        </w:rPr>
        <w:t xml:space="preserve">All </w:t>
      </w:r>
      <w:r>
        <w:rPr>
          <w:color w:val="231F20"/>
          <w:w w:val="105"/>
        </w:rPr>
        <w:t>visits, including those with lawyers and family members, were forbidden. The prisoners were also denied any access to mail, newspapers,</w:t>
      </w:r>
      <w:r>
        <w:rPr>
          <w:color w:val="231F20"/>
          <w:spacing w:val="-19"/>
          <w:w w:val="105"/>
        </w:rPr>
        <w:t xml:space="preserve"> </w:t>
      </w:r>
      <w:r>
        <w:rPr>
          <w:color w:val="231F20"/>
          <w:w w:val="105"/>
        </w:rPr>
        <w:t>magazines,</w:t>
      </w:r>
      <w:r>
        <w:rPr>
          <w:color w:val="231F20"/>
          <w:spacing w:val="-19"/>
          <w:w w:val="105"/>
        </w:rPr>
        <w:t xml:space="preserve"> </w:t>
      </w:r>
      <w:r>
        <w:rPr>
          <w:color w:val="231F20"/>
          <w:w w:val="105"/>
        </w:rPr>
        <w:t>television,</w:t>
      </w:r>
      <w:r>
        <w:rPr>
          <w:color w:val="231F20"/>
          <w:spacing w:val="-19"/>
          <w:w w:val="105"/>
        </w:rPr>
        <w:t xml:space="preserve"> </w:t>
      </w:r>
      <w:r>
        <w:rPr>
          <w:color w:val="231F20"/>
          <w:w w:val="105"/>
        </w:rPr>
        <w:t>or</w:t>
      </w:r>
      <w:r>
        <w:rPr>
          <w:color w:val="231F20"/>
          <w:spacing w:val="-19"/>
          <w:w w:val="105"/>
        </w:rPr>
        <w:t xml:space="preserve"> </w:t>
      </w:r>
      <w:r>
        <w:rPr>
          <w:color w:val="231F20"/>
          <w:w w:val="105"/>
        </w:rPr>
        <w:t>radio.</w:t>
      </w:r>
      <w:r>
        <w:rPr>
          <w:color w:val="231F20"/>
          <w:spacing w:val="-19"/>
          <w:w w:val="105"/>
        </w:rPr>
        <w:t xml:space="preserve"> </w:t>
      </w:r>
      <w:r>
        <w:rPr>
          <w:color w:val="231F20"/>
          <w:spacing w:val="1"/>
          <w:w w:val="105"/>
        </w:rPr>
        <w:t>In</w:t>
      </w:r>
      <w:r>
        <w:rPr>
          <w:color w:val="231F20"/>
          <w:spacing w:val="-19"/>
          <w:w w:val="105"/>
        </w:rPr>
        <w:t xml:space="preserve"> </w:t>
      </w:r>
      <w:r>
        <w:rPr>
          <w:color w:val="231F20"/>
          <w:w w:val="105"/>
        </w:rPr>
        <w:t>short,</w:t>
      </w:r>
      <w:r>
        <w:rPr>
          <w:color w:val="231F20"/>
          <w:spacing w:val="-19"/>
          <w:w w:val="105"/>
        </w:rPr>
        <w:t xml:space="preserve"> </w:t>
      </w:r>
      <w:r>
        <w:rPr>
          <w:color w:val="231F20"/>
          <w:w w:val="105"/>
        </w:rPr>
        <w:t>they</w:t>
      </w:r>
      <w:r>
        <w:rPr>
          <w:color w:val="231F20"/>
          <w:spacing w:val="-19"/>
          <w:w w:val="105"/>
        </w:rPr>
        <w:t xml:space="preserve"> </w:t>
      </w:r>
      <w:r>
        <w:rPr>
          <w:color w:val="231F20"/>
          <w:w w:val="105"/>
        </w:rPr>
        <w:t>were</w:t>
      </w:r>
      <w:r>
        <w:rPr>
          <w:color w:val="231F20"/>
          <w:spacing w:val="-19"/>
          <w:w w:val="105"/>
        </w:rPr>
        <w:t xml:space="preserve"> </w:t>
      </w:r>
      <w:r>
        <w:rPr>
          <w:color w:val="231F20"/>
          <w:w w:val="105"/>
        </w:rPr>
        <w:t>placed in 100</w:t>
      </w:r>
      <w:r>
        <w:rPr>
          <w:color w:val="231F20"/>
          <w:w w:val="105"/>
          <w:sz w:val="16"/>
        </w:rPr>
        <w:t xml:space="preserve">% </w:t>
      </w:r>
      <w:r>
        <w:rPr>
          <w:color w:val="231F20"/>
          <w:w w:val="105"/>
        </w:rPr>
        <w:t>individual isolation,</w:t>
      </w:r>
      <w:r>
        <w:rPr>
          <w:color w:val="231F20"/>
          <w:w w:val="105"/>
          <w:position w:val="7"/>
          <w:sz w:val="11"/>
        </w:rPr>
        <w:t xml:space="preserve">4 </w:t>
      </w:r>
      <w:r>
        <w:rPr>
          <w:color w:val="231F20"/>
          <w:w w:val="105"/>
        </w:rPr>
        <w:t>in what has been described as a case of “counter-kidnapping” by the</w:t>
      </w:r>
      <w:r>
        <w:rPr>
          <w:color w:val="231F20"/>
          <w:spacing w:val="21"/>
          <w:w w:val="105"/>
        </w:rPr>
        <w:t xml:space="preserve"> </w:t>
      </w:r>
      <w:r>
        <w:rPr>
          <w:color w:val="231F20"/>
          <w:w w:val="105"/>
        </w:rPr>
        <w:t>state.</w:t>
      </w:r>
      <w:r>
        <w:rPr>
          <w:color w:val="231F20"/>
          <w:w w:val="105"/>
          <w:position w:val="7"/>
          <w:sz w:val="11"/>
        </w:rPr>
        <w:t>5</w:t>
      </w:r>
    </w:p>
    <w:p w14:paraId="2D072F92" w14:textId="77777777" w:rsidR="002653E8" w:rsidRDefault="003115E3">
      <w:pPr>
        <w:pStyle w:val="a3"/>
        <w:spacing w:line="264" w:lineRule="auto"/>
        <w:ind w:left="1327" w:right="1146" w:firstLine="210"/>
        <w:jc w:val="both"/>
        <w:rPr>
          <w:sz w:val="11"/>
        </w:rPr>
      </w:pPr>
      <w:r>
        <w:rPr>
          <w:color w:val="231F20"/>
        </w:rPr>
        <w:t>While the Contact Ban was initially not sanctioned by law, parliament obliged by rushing through the appropriate legislation in record time (just three days) and with only four votes against.</w:t>
      </w:r>
      <w:r>
        <w:rPr>
          <w:color w:val="231F20"/>
          <w:position w:val="7"/>
          <w:sz w:val="11"/>
        </w:rPr>
        <w:t xml:space="preserve">6 </w:t>
      </w:r>
      <w:r>
        <w:rPr>
          <w:color w:val="231F20"/>
        </w:rPr>
        <w:t>The justification offered was a claim that the prisoners had directed the kidnapping from within their cells with the help of the lawyers. As evidence, police claimed to have found a hand drawn map used in the kidnapping in Armin Newerla’s car on September 5.</w:t>
      </w:r>
      <w:r>
        <w:rPr>
          <w:color w:val="231F20"/>
          <w:position w:val="7"/>
          <w:sz w:val="11"/>
        </w:rPr>
        <w:t>7</w:t>
      </w:r>
    </w:p>
    <w:p w14:paraId="07B8B156" w14:textId="77777777" w:rsidR="002653E8" w:rsidRDefault="003115E3">
      <w:pPr>
        <w:pStyle w:val="a3"/>
        <w:spacing w:line="264" w:lineRule="auto"/>
        <w:ind w:left="1327" w:right="1146" w:firstLine="210"/>
        <w:jc w:val="both"/>
      </w:pPr>
      <w:r>
        <w:rPr>
          <w:color w:val="231F20"/>
        </w:rPr>
        <w:t xml:space="preserve">On September 9, </w:t>
      </w:r>
      <w:r>
        <w:rPr>
          <w:i/>
          <w:color w:val="231F20"/>
        </w:rPr>
        <w:t>Agence France Presse</w:t>
      </w:r>
      <w:r>
        <w:rPr>
          <w:color w:val="231F20"/>
        </w:rPr>
        <w:t>’s Bonn office received an ultimatum from the Siegfried Hausner Commando, setting a 1:00 pm deadline for the release of the prisoners. The state countered with a proposal that Denis Payot act as a go-between.</w:t>
      </w:r>
    </w:p>
    <w:p w14:paraId="5377D3AF" w14:textId="77777777" w:rsidR="002653E8" w:rsidRDefault="003115E3">
      <w:pPr>
        <w:pStyle w:val="a3"/>
        <w:spacing w:line="264" w:lineRule="auto"/>
        <w:ind w:left="1327" w:right="1146" w:firstLine="210"/>
        <w:jc w:val="both"/>
      </w:pPr>
      <w:r>
        <w:rPr>
          <w:color w:val="231F20"/>
        </w:rPr>
        <w:t>Secret</w:t>
      </w:r>
      <w:r>
        <w:rPr>
          <w:color w:val="231F20"/>
          <w:spacing w:val="-6"/>
        </w:rPr>
        <w:t xml:space="preserve"> </w:t>
      </w:r>
      <w:r>
        <w:rPr>
          <w:color w:val="231F20"/>
        </w:rPr>
        <w:t>negotiations</w:t>
      </w:r>
      <w:r>
        <w:rPr>
          <w:color w:val="231F20"/>
          <w:spacing w:val="-6"/>
        </w:rPr>
        <w:t xml:space="preserve"> </w:t>
      </w:r>
      <w:r>
        <w:rPr>
          <w:color w:val="231F20"/>
        </w:rPr>
        <w:t>began</w:t>
      </w:r>
      <w:r>
        <w:rPr>
          <w:color w:val="231F20"/>
          <w:spacing w:val="-6"/>
        </w:rPr>
        <w:t xml:space="preserve"> </w:t>
      </w:r>
      <w:r>
        <w:rPr>
          <w:color w:val="231F20"/>
        </w:rPr>
        <w:t>the</w:t>
      </w:r>
      <w:r>
        <w:rPr>
          <w:color w:val="231F20"/>
          <w:spacing w:val="-6"/>
        </w:rPr>
        <w:t xml:space="preserve"> </w:t>
      </w:r>
      <w:r>
        <w:rPr>
          <w:color w:val="231F20"/>
        </w:rPr>
        <w:t>same</w:t>
      </w:r>
      <w:r>
        <w:rPr>
          <w:color w:val="231F20"/>
          <w:spacing w:val="-6"/>
        </w:rPr>
        <w:t xml:space="preserve"> </w:t>
      </w:r>
      <w:r>
        <w:rPr>
          <w:color w:val="231F20"/>
          <w:spacing w:val="-4"/>
        </w:rPr>
        <w:t>day,</w:t>
      </w:r>
      <w:r>
        <w:rPr>
          <w:color w:val="231F20"/>
          <w:spacing w:val="-6"/>
        </w:rPr>
        <w:t xml:space="preserve"> </w:t>
      </w:r>
      <w:r>
        <w:rPr>
          <w:color w:val="231F20"/>
        </w:rPr>
        <w:t>the</w:t>
      </w:r>
      <w:r>
        <w:rPr>
          <w:color w:val="231F20"/>
          <w:spacing w:val="-4"/>
        </w:rPr>
        <w:t xml:space="preserve"> </w:t>
      </w:r>
      <w:r w:rsidR="00C507A5">
        <w:rPr>
          <w:color w:val="231F20"/>
          <w:spacing w:val="5"/>
        </w:rPr>
        <w:t>red army faction</w:t>
      </w:r>
      <w:r>
        <w:rPr>
          <w:color w:val="231F20"/>
          <w:spacing w:val="-6"/>
        </w:rPr>
        <w:t xml:space="preserve"> </w:t>
      </w:r>
      <w:r>
        <w:rPr>
          <w:color w:val="231F20"/>
        </w:rPr>
        <w:t>repeatedly—and</w:t>
      </w:r>
      <w:r>
        <w:rPr>
          <w:color w:val="231F20"/>
          <w:spacing w:val="-6"/>
        </w:rPr>
        <w:t xml:space="preserve"> </w:t>
      </w:r>
      <w:r>
        <w:rPr>
          <w:color w:val="231F20"/>
        </w:rPr>
        <w:t>less and less convincingly—warning of dire consequences if the prisoners were not immediately released, while the state very successfully</w:t>
      </w:r>
      <w:r>
        <w:rPr>
          <w:color w:val="231F20"/>
          <w:spacing w:val="10"/>
        </w:rPr>
        <w:t xml:space="preserve"> </w:t>
      </w:r>
      <w:r>
        <w:rPr>
          <w:color w:val="231F20"/>
        </w:rPr>
        <w:t>stalled</w:t>
      </w:r>
    </w:p>
    <w:p w14:paraId="3700B731" w14:textId="77777777" w:rsidR="002653E8" w:rsidRDefault="00000000">
      <w:pPr>
        <w:pStyle w:val="a3"/>
        <w:spacing w:before="5"/>
        <w:rPr>
          <w:sz w:val="19"/>
        </w:rPr>
      </w:pPr>
      <w:r>
        <w:rPr>
          <w:noProof w:val="0"/>
        </w:rPr>
        <w:pict w14:anchorId="6981D2D7">
          <v:line id="_x0000_s2203" style="position:absolute;z-index:10144;mso-wrap-distance-left:0;mso-wrap-distance-right:0;mso-position-horizontal-relative:page" from="66.4pt,13.6pt" to="138.4pt,13.6pt" strokecolor="#231f20" strokeweight=".5pt">
            <w10:wrap type="topAndBottom" anchorx="page"/>
          </v:line>
        </w:pict>
      </w:r>
    </w:p>
    <w:p w14:paraId="3180ABBE" w14:textId="77777777" w:rsidR="002653E8" w:rsidRDefault="003115E3">
      <w:pPr>
        <w:pStyle w:val="a4"/>
        <w:numPr>
          <w:ilvl w:val="0"/>
          <w:numId w:val="62"/>
        </w:numPr>
        <w:tabs>
          <w:tab w:val="left" w:pos="1467"/>
        </w:tabs>
        <w:spacing w:before="53"/>
        <w:ind w:left="1466"/>
        <w:jc w:val="left"/>
        <w:rPr>
          <w:sz w:val="16"/>
        </w:rPr>
      </w:pPr>
      <w:bookmarkStart w:id="236" w:name="_Hlk131394332"/>
      <w:r>
        <w:rPr>
          <w:color w:val="231F20"/>
          <w:w w:val="115"/>
          <w:sz w:val="16"/>
        </w:rPr>
        <w:t>Hanshew,</w:t>
      </w:r>
      <w:r>
        <w:rPr>
          <w:color w:val="231F20"/>
          <w:spacing w:val="3"/>
          <w:w w:val="115"/>
          <w:sz w:val="16"/>
        </w:rPr>
        <w:t xml:space="preserve"> </w:t>
      </w:r>
      <w:r>
        <w:rPr>
          <w:color w:val="231F20"/>
          <w:w w:val="115"/>
          <w:sz w:val="16"/>
        </w:rPr>
        <w:t>28.</w:t>
      </w:r>
    </w:p>
    <w:p w14:paraId="304962CE" w14:textId="77777777" w:rsidR="002653E8" w:rsidRDefault="003115E3">
      <w:pPr>
        <w:pStyle w:val="a4"/>
        <w:numPr>
          <w:ilvl w:val="0"/>
          <w:numId w:val="62"/>
        </w:numPr>
        <w:tabs>
          <w:tab w:val="left" w:pos="1467"/>
        </w:tabs>
        <w:spacing w:before="51"/>
        <w:ind w:left="1466"/>
        <w:jc w:val="left"/>
        <w:rPr>
          <w:sz w:val="16"/>
        </w:rPr>
      </w:pPr>
      <w:r>
        <w:rPr>
          <w:color w:val="231F20"/>
          <w:w w:val="115"/>
          <w:sz w:val="16"/>
        </w:rPr>
        <w:t>Cobler,</w:t>
      </w:r>
      <w:r>
        <w:rPr>
          <w:color w:val="231F20"/>
          <w:spacing w:val="3"/>
          <w:w w:val="115"/>
          <w:sz w:val="16"/>
        </w:rPr>
        <w:t xml:space="preserve"> </w:t>
      </w:r>
      <w:r>
        <w:rPr>
          <w:color w:val="231F20"/>
          <w:w w:val="115"/>
          <w:sz w:val="16"/>
        </w:rPr>
        <w:t>144.</w:t>
      </w:r>
    </w:p>
    <w:p w14:paraId="0A6036F5" w14:textId="77777777" w:rsidR="002653E8" w:rsidRDefault="003115E3">
      <w:pPr>
        <w:spacing w:before="52"/>
        <w:ind w:left="1327"/>
        <w:rPr>
          <w:sz w:val="16"/>
        </w:rPr>
      </w:pPr>
      <w:r>
        <w:rPr>
          <w:color w:val="231F20"/>
          <w:w w:val="115"/>
          <w:sz w:val="16"/>
        </w:rPr>
        <w:t>5 Ibid., 145.</w:t>
      </w:r>
    </w:p>
    <w:p w14:paraId="2828F85F" w14:textId="77777777" w:rsidR="002653E8" w:rsidRDefault="003115E3">
      <w:pPr>
        <w:pStyle w:val="a4"/>
        <w:numPr>
          <w:ilvl w:val="0"/>
          <w:numId w:val="61"/>
        </w:numPr>
        <w:tabs>
          <w:tab w:val="left" w:pos="1467"/>
        </w:tabs>
        <w:spacing w:before="52"/>
        <w:rPr>
          <w:sz w:val="16"/>
        </w:rPr>
      </w:pPr>
      <w:r>
        <w:rPr>
          <w:color w:val="231F20"/>
          <w:w w:val="115"/>
          <w:sz w:val="16"/>
        </w:rPr>
        <w:t>Hanshew, 26,</w:t>
      </w:r>
      <w:r>
        <w:rPr>
          <w:color w:val="231F20"/>
          <w:spacing w:val="7"/>
          <w:w w:val="115"/>
          <w:sz w:val="16"/>
        </w:rPr>
        <w:t xml:space="preserve"> </w:t>
      </w:r>
      <w:r>
        <w:rPr>
          <w:color w:val="231F20"/>
          <w:spacing w:val="-4"/>
          <w:w w:val="115"/>
          <w:sz w:val="16"/>
        </w:rPr>
        <w:t>43.</w:t>
      </w:r>
    </w:p>
    <w:p w14:paraId="46CD2429" w14:textId="77777777" w:rsidR="002653E8" w:rsidRDefault="003115E3">
      <w:pPr>
        <w:pStyle w:val="a4"/>
        <w:numPr>
          <w:ilvl w:val="0"/>
          <w:numId w:val="61"/>
        </w:numPr>
        <w:tabs>
          <w:tab w:val="left" w:pos="1467"/>
        </w:tabs>
        <w:spacing w:before="51"/>
        <w:rPr>
          <w:sz w:val="16"/>
        </w:rPr>
      </w:pPr>
      <w:r>
        <w:rPr>
          <w:color w:val="231F20"/>
          <w:w w:val="110"/>
          <w:sz w:val="16"/>
        </w:rPr>
        <w:t xml:space="preserve">Bakker Schut, </w:t>
      </w:r>
      <w:r>
        <w:rPr>
          <w:i/>
          <w:color w:val="231F20"/>
          <w:spacing w:val="1"/>
          <w:w w:val="110"/>
          <w:sz w:val="16"/>
        </w:rPr>
        <w:t>Stammheim,</w:t>
      </w:r>
      <w:r>
        <w:rPr>
          <w:i/>
          <w:color w:val="231F20"/>
          <w:spacing w:val="20"/>
          <w:w w:val="110"/>
          <w:sz w:val="16"/>
        </w:rPr>
        <w:t xml:space="preserve"> </w:t>
      </w:r>
      <w:r>
        <w:rPr>
          <w:color w:val="231F20"/>
          <w:w w:val="110"/>
          <w:sz w:val="16"/>
        </w:rPr>
        <w:t>490.</w:t>
      </w:r>
    </w:p>
    <w:bookmarkEnd w:id="236"/>
    <w:p w14:paraId="46F115F5" w14:textId="77777777" w:rsidR="002653E8" w:rsidRDefault="002653E8">
      <w:pPr>
        <w:rPr>
          <w:sz w:val="16"/>
        </w:rPr>
        <w:sectPr w:rsidR="002653E8">
          <w:pgSz w:w="8640" w:h="12960"/>
          <w:pgMar w:top="1060" w:right="0" w:bottom="1040" w:left="0" w:header="0" w:footer="850" w:gutter="0"/>
          <w:cols w:space="720"/>
        </w:sectPr>
      </w:pPr>
    </w:p>
    <w:p w14:paraId="29E42269" w14:textId="77777777" w:rsidR="002653E8" w:rsidRDefault="003115E3">
      <w:pPr>
        <w:pStyle w:val="a3"/>
        <w:spacing w:before="86" w:line="264" w:lineRule="auto"/>
        <w:ind w:left="1147" w:right="1325"/>
        <w:jc w:val="both"/>
        <w:rPr>
          <w:sz w:val="11"/>
        </w:rPr>
      </w:pPr>
      <w:r>
        <w:rPr>
          <w:color w:val="231F20"/>
        </w:rPr>
        <w:lastRenderedPageBreak/>
        <w:t xml:space="preserve">for time. The </w:t>
      </w:r>
      <w:r>
        <w:rPr>
          <w:color w:val="231F20"/>
          <w:spacing w:val="-3"/>
        </w:rPr>
        <w:t xml:space="preserve">SPD’s </w:t>
      </w:r>
      <w:r>
        <w:rPr>
          <w:color w:val="231F20"/>
        </w:rPr>
        <w:t xml:space="preserve">Minister in Charge of Special Affairs, Hans Jürgen Wischnewski, who had a good reputation from having acted as a gobetween with various Third </w:t>
      </w:r>
      <w:r>
        <w:rPr>
          <w:color w:val="231F20"/>
          <w:spacing w:val="-4"/>
        </w:rPr>
        <w:t xml:space="preserve">World </w:t>
      </w:r>
      <w:r>
        <w:rPr>
          <w:color w:val="231F20"/>
        </w:rPr>
        <w:t>liberation movements,</w:t>
      </w:r>
      <w:r>
        <w:rPr>
          <w:color w:val="231F20"/>
          <w:position w:val="7"/>
          <w:sz w:val="11"/>
        </w:rPr>
        <w:t xml:space="preserve">1 </w:t>
      </w:r>
      <w:r>
        <w:rPr>
          <w:color w:val="231F20"/>
        </w:rPr>
        <w:t xml:space="preserve">began to travel to various foreign capitals looking for a “progressive regime” which might take the prisoners. Or so the </w:t>
      </w:r>
      <w:r w:rsidR="00C507A5">
        <w:rPr>
          <w:color w:val="231F20"/>
          <w:spacing w:val="5"/>
        </w:rPr>
        <w:t>red army faction</w:t>
      </w:r>
      <w:r>
        <w:rPr>
          <w:color w:val="231F20"/>
          <w:spacing w:val="5"/>
        </w:rPr>
        <w:t xml:space="preserve"> </w:t>
      </w:r>
      <w:r>
        <w:rPr>
          <w:color w:val="231F20"/>
        </w:rPr>
        <w:t xml:space="preserve">was meant to believe: according to political scientist (and former counterinsurgency expert) Richard Clutterbuck, Wischnewski’s trips were a  careful  </w:t>
      </w:r>
      <w:r>
        <w:rPr>
          <w:color w:val="231F20"/>
          <w:spacing w:val="-4"/>
        </w:rPr>
        <w:t xml:space="preserve">ploy,  </w:t>
      </w:r>
      <w:r>
        <w:rPr>
          <w:color w:val="231F20"/>
        </w:rPr>
        <w:t xml:space="preserve">picked up by the media as a sign that the government was willing to give in despite Schmidt’s official “no-deals” policy. Clutterbuck credits the media reports to this effect for the fact that the </w:t>
      </w:r>
      <w:r w:rsidR="00C507A5">
        <w:rPr>
          <w:color w:val="231F20"/>
          <w:spacing w:val="5"/>
        </w:rPr>
        <w:t>red army faction</w:t>
      </w:r>
      <w:r>
        <w:rPr>
          <w:color w:val="231F20"/>
          <w:spacing w:val="5"/>
        </w:rPr>
        <w:t xml:space="preserve"> </w:t>
      </w:r>
      <w:r>
        <w:rPr>
          <w:color w:val="231F20"/>
        </w:rPr>
        <w:t>did not kill Schleyer when their first ultimatums</w:t>
      </w:r>
      <w:r>
        <w:rPr>
          <w:color w:val="231F20"/>
          <w:spacing w:val="32"/>
        </w:rPr>
        <w:t xml:space="preserve"> </w:t>
      </w:r>
      <w:r>
        <w:rPr>
          <w:color w:val="231F20"/>
        </w:rPr>
        <w:t>expired.</w:t>
      </w:r>
      <w:r>
        <w:rPr>
          <w:color w:val="231F20"/>
          <w:position w:val="7"/>
          <w:sz w:val="11"/>
        </w:rPr>
        <w:t>2</w:t>
      </w:r>
    </w:p>
    <w:p w14:paraId="3008D7C8" w14:textId="77777777" w:rsidR="002653E8" w:rsidRDefault="003115E3">
      <w:pPr>
        <w:pStyle w:val="a3"/>
        <w:spacing w:line="264" w:lineRule="auto"/>
        <w:ind w:left="1147" w:right="1325" w:firstLine="210"/>
        <w:jc w:val="both"/>
        <w:rPr>
          <w:sz w:val="11"/>
        </w:rPr>
      </w:pPr>
      <w:r>
        <w:rPr>
          <w:color w:val="231F20"/>
        </w:rPr>
        <w:t xml:space="preserve">The Minister in Charge of Special Affairs traveled  first  to  Algeria  and Libya, then South </w:t>
      </w:r>
      <w:r>
        <w:rPr>
          <w:color w:val="231F20"/>
          <w:spacing w:val="-3"/>
        </w:rPr>
        <w:t xml:space="preserve">yemen </w:t>
      </w:r>
      <w:r>
        <w:rPr>
          <w:color w:val="231F20"/>
        </w:rPr>
        <w:t xml:space="preserve">and Iraq, and finally to Vietnam. Though their refusal was not immediately made public, none of these countries would accept the prisoners—a decision that in the case of the  </w:t>
      </w:r>
      <w:r>
        <w:rPr>
          <w:color w:val="231F20"/>
          <w:spacing w:val="-4"/>
        </w:rPr>
        <w:t>PDRy</w:t>
      </w:r>
      <w:r>
        <w:rPr>
          <w:color w:val="231F20"/>
          <w:spacing w:val="35"/>
        </w:rPr>
        <w:t xml:space="preserve"> </w:t>
      </w:r>
      <w:r>
        <w:rPr>
          <w:color w:val="231F20"/>
        </w:rPr>
        <w:t xml:space="preserve">was informed by the </w:t>
      </w:r>
      <w:r>
        <w:rPr>
          <w:color w:val="231F20"/>
          <w:spacing w:val="-2"/>
        </w:rPr>
        <w:t xml:space="preserve">way </w:t>
      </w:r>
      <w:r>
        <w:rPr>
          <w:color w:val="231F20"/>
        </w:rPr>
        <w:t>the FRG had reneged on its promises following the Lorenz prisoner exchange.</w:t>
      </w:r>
      <w:r>
        <w:rPr>
          <w:color w:val="231F20"/>
          <w:position w:val="7"/>
          <w:sz w:val="11"/>
        </w:rPr>
        <w:t>3</w:t>
      </w:r>
    </w:p>
    <w:p w14:paraId="68411EA2" w14:textId="77777777" w:rsidR="00BE317F" w:rsidRDefault="003115E3" w:rsidP="00BE317F">
      <w:pPr>
        <w:pStyle w:val="a3"/>
        <w:spacing w:line="264" w:lineRule="auto"/>
        <w:ind w:left="1357" w:right="1479"/>
        <w:rPr>
          <w:color w:val="231F20"/>
          <w:w w:val="105"/>
        </w:rPr>
      </w:pPr>
      <w:r>
        <w:rPr>
          <w:color w:val="231F20"/>
          <w:w w:val="105"/>
        </w:rPr>
        <w:t xml:space="preserve">Meanwhile, the hunt for the guerilla and their captive continued. </w:t>
      </w:r>
    </w:p>
    <w:p w14:paraId="7C326B0C" w14:textId="709A3DC8" w:rsidR="002653E8" w:rsidRDefault="003115E3" w:rsidP="00BE317F">
      <w:pPr>
        <w:pStyle w:val="a3"/>
        <w:spacing w:line="264" w:lineRule="auto"/>
        <w:ind w:left="1357" w:right="1479"/>
        <w:rPr>
          <w:sz w:val="11"/>
        </w:rPr>
      </w:pPr>
      <w:r>
        <w:rPr>
          <w:color w:val="231F20"/>
          <w:w w:val="105"/>
        </w:rPr>
        <w:t xml:space="preserve">On September 19, </w:t>
      </w:r>
      <w:r w:rsidR="00C507A5">
        <w:rPr>
          <w:color w:val="231F20"/>
          <w:w w:val="105"/>
        </w:rPr>
        <w:t>red army faction</w:t>
      </w:r>
      <w:r>
        <w:rPr>
          <w:color w:val="231F20"/>
          <w:w w:val="105"/>
        </w:rPr>
        <w:t xml:space="preserve"> members Knut Folkerts and Brigitte</w:t>
      </w:r>
      <w:r w:rsidR="00BE317F">
        <w:rPr>
          <w:color w:val="231F20"/>
          <w:w w:val="105"/>
        </w:rPr>
        <w:t xml:space="preserve"> </w:t>
      </w:r>
      <w:r>
        <w:rPr>
          <w:color w:val="231F20"/>
        </w:rPr>
        <w:t xml:space="preserve">Mohnhaupt narrowly escaped from Dutch police after the manager of    a car rental agency in Utrecht became suspicious of their identification papers. They got </w:t>
      </w:r>
      <w:r>
        <w:rPr>
          <w:color w:val="231F20"/>
          <w:spacing w:val="-3"/>
        </w:rPr>
        <w:t xml:space="preserve">away  </w:t>
      </w:r>
      <w:r>
        <w:rPr>
          <w:color w:val="231F20"/>
        </w:rPr>
        <w:t>and managed to rent a car at another agency,  but when they returned it four days later, the police were lying in wait. By the time the bullets had stopped flying, Folkerts was in custody, two cops were wounded and a third, officer Arie Kranenburg, was dead. Mohnaupt managed to get</w:t>
      </w:r>
      <w:r>
        <w:rPr>
          <w:color w:val="231F20"/>
          <w:spacing w:val="3"/>
        </w:rPr>
        <w:t xml:space="preserve"> </w:t>
      </w:r>
      <w:r>
        <w:rPr>
          <w:color w:val="231F20"/>
          <w:spacing w:val="-5"/>
        </w:rPr>
        <w:t>away.</w:t>
      </w:r>
      <w:r>
        <w:rPr>
          <w:color w:val="231F20"/>
          <w:spacing w:val="-5"/>
          <w:position w:val="7"/>
          <w:sz w:val="11"/>
        </w:rPr>
        <w:t>4</w:t>
      </w:r>
    </w:p>
    <w:p w14:paraId="5047C54F" w14:textId="6C694C2D" w:rsidR="00BE317F" w:rsidRDefault="003115E3">
      <w:pPr>
        <w:pStyle w:val="a3"/>
        <w:spacing w:line="264" w:lineRule="auto"/>
        <w:ind w:left="1357" w:right="1325"/>
        <w:rPr>
          <w:color w:val="231F20"/>
        </w:rPr>
      </w:pPr>
      <w:r>
        <w:rPr>
          <w:color w:val="231F20"/>
        </w:rPr>
        <w:t xml:space="preserve">The search for Schleyer was extended to Holland, but to no avail. </w:t>
      </w:r>
    </w:p>
    <w:p w14:paraId="35419A08" w14:textId="25412C28" w:rsidR="002653E8" w:rsidRDefault="003115E3">
      <w:pPr>
        <w:pStyle w:val="a3"/>
        <w:spacing w:line="264" w:lineRule="auto"/>
        <w:ind w:left="1357" w:right="1325"/>
      </w:pPr>
      <w:r>
        <w:rPr>
          <w:color w:val="231F20"/>
        </w:rPr>
        <w:t xml:space="preserve">On </w:t>
      </w:r>
      <w:r>
        <w:rPr>
          <w:color w:val="231F20"/>
          <w:spacing w:val="28"/>
        </w:rPr>
        <w:t xml:space="preserve"> </w:t>
      </w:r>
      <w:r>
        <w:rPr>
          <w:color w:val="231F20"/>
        </w:rPr>
        <w:t xml:space="preserve">September </w:t>
      </w:r>
      <w:r>
        <w:rPr>
          <w:color w:val="231F20"/>
          <w:spacing w:val="28"/>
        </w:rPr>
        <w:t xml:space="preserve"> </w:t>
      </w:r>
      <w:r>
        <w:rPr>
          <w:color w:val="231F20"/>
        </w:rPr>
        <w:t xml:space="preserve">30, </w:t>
      </w:r>
      <w:r>
        <w:rPr>
          <w:color w:val="231F20"/>
          <w:spacing w:val="28"/>
        </w:rPr>
        <w:t xml:space="preserve"> </w:t>
      </w:r>
      <w:r>
        <w:rPr>
          <w:color w:val="231F20"/>
        </w:rPr>
        <w:t xml:space="preserve">defense </w:t>
      </w:r>
      <w:r>
        <w:rPr>
          <w:color w:val="231F20"/>
          <w:spacing w:val="28"/>
        </w:rPr>
        <w:t xml:space="preserve"> </w:t>
      </w:r>
      <w:r>
        <w:rPr>
          <w:color w:val="231F20"/>
        </w:rPr>
        <w:t xml:space="preserve">attorney </w:t>
      </w:r>
      <w:r>
        <w:rPr>
          <w:color w:val="231F20"/>
          <w:spacing w:val="28"/>
        </w:rPr>
        <w:t xml:space="preserve"> </w:t>
      </w:r>
      <w:r>
        <w:rPr>
          <w:color w:val="231F20"/>
        </w:rPr>
        <w:t xml:space="preserve">Ardnt </w:t>
      </w:r>
      <w:r>
        <w:rPr>
          <w:color w:val="231F20"/>
          <w:spacing w:val="28"/>
        </w:rPr>
        <w:t xml:space="preserve"> </w:t>
      </w:r>
      <w:r>
        <w:rPr>
          <w:color w:val="231F20"/>
        </w:rPr>
        <w:t xml:space="preserve">Müller </w:t>
      </w:r>
      <w:r>
        <w:rPr>
          <w:color w:val="231F20"/>
          <w:spacing w:val="28"/>
        </w:rPr>
        <w:t xml:space="preserve"> </w:t>
      </w:r>
      <w:r>
        <w:rPr>
          <w:color w:val="231F20"/>
        </w:rPr>
        <w:t xml:space="preserve">was </w:t>
      </w:r>
      <w:r>
        <w:rPr>
          <w:color w:val="231F20"/>
          <w:spacing w:val="28"/>
        </w:rPr>
        <w:t xml:space="preserve"> </w:t>
      </w:r>
      <w:r>
        <w:rPr>
          <w:color w:val="231F20"/>
        </w:rPr>
        <w:t>arrested.</w:t>
      </w:r>
    </w:p>
    <w:p w14:paraId="30BEE353" w14:textId="77777777" w:rsidR="002653E8" w:rsidRDefault="003115E3">
      <w:pPr>
        <w:pStyle w:val="a3"/>
        <w:spacing w:line="264" w:lineRule="auto"/>
        <w:ind w:left="1147" w:right="1325"/>
        <w:jc w:val="both"/>
      </w:pPr>
      <w:r>
        <w:rPr>
          <w:color w:val="231F20"/>
        </w:rPr>
        <w:t xml:space="preserve">Accused of having worked with Newerla and defense attorney Klaus Croissant to recruit for the </w:t>
      </w:r>
      <w:r w:rsidR="00C507A5">
        <w:rPr>
          <w:color w:val="231F20"/>
        </w:rPr>
        <w:t>red army faction</w:t>
      </w:r>
      <w:r>
        <w:rPr>
          <w:color w:val="231F20"/>
        </w:rPr>
        <w:t>, he was imprisoned under Contact Ban</w:t>
      </w:r>
    </w:p>
    <w:p w14:paraId="2623A665" w14:textId="77777777" w:rsidR="002653E8" w:rsidRDefault="00000000">
      <w:pPr>
        <w:pStyle w:val="a3"/>
        <w:spacing w:before="11"/>
        <w:rPr>
          <w:sz w:val="24"/>
        </w:rPr>
      </w:pPr>
      <w:r>
        <w:rPr>
          <w:noProof w:val="0"/>
        </w:rPr>
        <w:pict w14:anchorId="3482684F">
          <v:line id="_x0000_s2202" style="position:absolute;z-index:10168;mso-wrap-distance-left:0;mso-wrap-distance-right:0;mso-position-horizontal-relative:page" from="57.4pt,16.8pt" to="129.4pt,16.8pt" strokecolor="#231f20" strokeweight=".5pt">
            <w10:wrap type="topAndBottom" anchorx="page"/>
          </v:line>
        </w:pict>
      </w:r>
    </w:p>
    <w:p w14:paraId="40B32FDB" w14:textId="77777777" w:rsidR="002653E8" w:rsidRDefault="003115E3">
      <w:pPr>
        <w:pStyle w:val="a4"/>
        <w:numPr>
          <w:ilvl w:val="0"/>
          <w:numId w:val="60"/>
        </w:numPr>
        <w:tabs>
          <w:tab w:val="left" w:pos="1287"/>
        </w:tabs>
        <w:spacing w:before="53" w:line="254" w:lineRule="auto"/>
        <w:ind w:right="1743" w:hanging="1"/>
        <w:jc w:val="left"/>
        <w:rPr>
          <w:sz w:val="16"/>
        </w:rPr>
      </w:pPr>
      <w:r>
        <w:rPr>
          <w:color w:val="231F20"/>
          <w:spacing w:val="1"/>
          <w:w w:val="105"/>
          <w:sz w:val="16"/>
        </w:rPr>
        <w:t xml:space="preserve">While </w:t>
      </w:r>
      <w:r>
        <w:rPr>
          <w:color w:val="231F20"/>
          <w:w w:val="105"/>
          <w:sz w:val="16"/>
        </w:rPr>
        <w:t xml:space="preserve">sitting in the </w:t>
      </w:r>
      <w:r>
        <w:rPr>
          <w:i/>
          <w:color w:val="231F20"/>
          <w:spacing w:val="1"/>
          <w:w w:val="105"/>
          <w:sz w:val="16"/>
        </w:rPr>
        <w:t xml:space="preserve">Bundestag </w:t>
      </w:r>
      <w:r>
        <w:rPr>
          <w:color w:val="231F20"/>
          <w:w w:val="105"/>
          <w:sz w:val="16"/>
        </w:rPr>
        <w:t>for the SPD, Wischnewski had acted as an interlocutor with the Algerians during the National Liberation Front’s war for independence</w:t>
      </w:r>
      <w:r>
        <w:rPr>
          <w:color w:val="231F20"/>
          <w:spacing w:val="6"/>
          <w:w w:val="105"/>
          <w:sz w:val="16"/>
        </w:rPr>
        <w:t xml:space="preserve"> </w:t>
      </w:r>
      <w:r>
        <w:rPr>
          <w:color w:val="231F20"/>
          <w:w w:val="105"/>
          <w:sz w:val="16"/>
        </w:rPr>
        <w:t>from</w:t>
      </w:r>
      <w:r>
        <w:rPr>
          <w:color w:val="231F20"/>
          <w:spacing w:val="6"/>
          <w:w w:val="105"/>
          <w:sz w:val="16"/>
        </w:rPr>
        <w:t xml:space="preserve"> </w:t>
      </w:r>
      <w:r>
        <w:rPr>
          <w:color w:val="231F20"/>
          <w:w w:val="105"/>
          <w:sz w:val="16"/>
        </w:rPr>
        <w:t>France,</w:t>
      </w:r>
      <w:r>
        <w:rPr>
          <w:color w:val="231F20"/>
          <w:spacing w:val="6"/>
          <w:w w:val="105"/>
          <w:sz w:val="16"/>
        </w:rPr>
        <w:t xml:space="preserve"> </w:t>
      </w:r>
      <w:r>
        <w:rPr>
          <w:color w:val="231F20"/>
          <w:w w:val="105"/>
          <w:sz w:val="16"/>
        </w:rPr>
        <w:t>and</w:t>
      </w:r>
      <w:r>
        <w:rPr>
          <w:color w:val="231F20"/>
          <w:spacing w:val="6"/>
          <w:w w:val="105"/>
          <w:sz w:val="16"/>
        </w:rPr>
        <w:t xml:space="preserve"> </w:t>
      </w:r>
      <w:r>
        <w:rPr>
          <w:color w:val="231F20"/>
          <w:w w:val="105"/>
          <w:sz w:val="16"/>
        </w:rPr>
        <w:t>had</w:t>
      </w:r>
      <w:r>
        <w:rPr>
          <w:color w:val="231F20"/>
          <w:spacing w:val="6"/>
          <w:w w:val="105"/>
          <w:sz w:val="16"/>
        </w:rPr>
        <w:t xml:space="preserve"> </w:t>
      </w:r>
      <w:r>
        <w:rPr>
          <w:color w:val="231F20"/>
          <w:w w:val="105"/>
          <w:sz w:val="16"/>
        </w:rPr>
        <w:t>been</w:t>
      </w:r>
      <w:r>
        <w:rPr>
          <w:color w:val="231F20"/>
          <w:spacing w:val="6"/>
          <w:w w:val="105"/>
          <w:sz w:val="16"/>
        </w:rPr>
        <w:t xml:space="preserve"> </w:t>
      </w:r>
      <w:r>
        <w:rPr>
          <w:color w:val="231F20"/>
          <w:w w:val="105"/>
          <w:sz w:val="16"/>
        </w:rPr>
        <w:t>a</w:t>
      </w:r>
      <w:r>
        <w:rPr>
          <w:color w:val="231F20"/>
          <w:spacing w:val="6"/>
          <w:w w:val="105"/>
          <w:sz w:val="16"/>
        </w:rPr>
        <w:t xml:space="preserve"> </w:t>
      </w:r>
      <w:r>
        <w:rPr>
          <w:color w:val="231F20"/>
          <w:w w:val="105"/>
          <w:sz w:val="16"/>
        </w:rPr>
        <w:t>public</w:t>
      </w:r>
      <w:r>
        <w:rPr>
          <w:color w:val="231F20"/>
          <w:spacing w:val="6"/>
          <w:w w:val="105"/>
          <w:sz w:val="16"/>
        </w:rPr>
        <w:t xml:space="preserve"> </w:t>
      </w:r>
      <w:r>
        <w:rPr>
          <w:color w:val="231F20"/>
          <w:w w:val="105"/>
          <w:sz w:val="16"/>
        </w:rPr>
        <w:t>critic</w:t>
      </w:r>
      <w:r>
        <w:rPr>
          <w:color w:val="231F20"/>
          <w:spacing w:val="6"/>
          <w:w w:val="105"/>
          <w:sz w:val="16"/>
        </w:rPr>
        <w:t xml:space="preserve"> </w:t>
      </w:r>
      <w:r>
        <w:rPr>
          <w:color w:val="231F20"/>
          <w:w w:val="105"/>
          <w:sz w:val="16"/>
        </w:rPr>
        <w:t>of</w:t>
      </w:r>
      <w:r>
        <w:rPr>
          <w:color w:val="231F20"/>
          <w:spacing w:val="6"/>
          <w:w w:val="105"/>
          <w:sz w:val="16"/>
        </w:rPr>
        <w:t xml:space="preserve"> </w:t>
      </w:r>
      <w:r>
        <w:rPr>
          <w:color w:val="231F20"/>
          <w:w w:val="105"/>
          <w:sz w:val="16"/>
        </w:rPr>
        <w:t>Adenauer’s</w:t>
      </w:r>
      <w:r>
        <w:rPr>
          <w:color w:val="231F20"/>
          <w:spacing w:val="6"/>
          <w:w w:val="105"/>
          <w:sz w:val="16"/>
        </w:rPr>
        <w:t xml:space="preserve"> </w:t>
      </w:r>
      <w:r>
        <w:rPr>
          <w:color w:val="231F20"/>
          <w:w w:val="105"/>
          <w:sz w:val="16"/>
        </w:rPr>
        <w:t>hardline</w:t>
      </w:r>
    </w:p>
    <w:p w14:paraId="353FC31E" w14:textId="77777777" w:rsidR="002653E8" w:rsidRDefault="003115E3">
      <w:pPr>
        <w:spacing w:before="1" w:line="254" w:lineRule="auto"/>
        <w:ind w:left="1148" w:right="1516"/>
        <w:rPr>
          <w:sz w:val="16"/>
        </w:rPr>
      </w:pPr>
      <w:r>
        <w:rPr>
          <w:color w:val="231F20"/>
          <w:w w:val="105"/>
          <w:sz w:val="16"/>
        </w:rPr>
        <w:t>pro-French policy in that conflict. He later negotiated the release and free transit of Germans arrested during the Pinochet coup in Chile, as well as free transit out of    the</w:t>
      </w:r>
      <w:r>
        <w:rPr>
          <w:color w:val="231F20"/>
          <w:spacing w:val="7"/>
          <w:w w:val="105"/>
          <w:sz w:val="16"/>
        </w:rPr>
        <w:t xml:space="preserve"> </w:t>
      </w:r>
      <w:r>
        <w:rPr>
          <w:color w:val="231F20"/>
          <w:w w:val="105"/>
          <w:sz w:val="16"/>
        </w:rPr>
        <w:t>country</w:t>
      </w:r>
      <w:r>
        <w:rPr>
          <w:color w:val="231F20"/>
          <w:spacing w:val="7"/>
          <w:w w:val="105"/>
          <w:sz w:val="16"/>
        </w:rPr>
        <w:t xml:space="preserve"> </w:t>
      </w:r>
      <w:r>
        <w:rPr>
          <w:color w:val="231F20"/>
          <w:w w:val="105"/>
          <w:sz w:val="16"/>
        </w:rPr>
        <w:t>for</w:t>
      </w:r>
      <w:r>
        <w:rPr>
          <w:color w:val="231F20"/>
          <w:spacing w:val="7"/>
          <w:w w:val="105"/>
          <w:sz w:val="16"/>
        </w:rPr>
        <w:t xml:space="preserve"> </w:t>
      </w:r>
      <w:r>
        <w:rPr>
          <w:color w:val="231F20"/>
          <w:w w:val="105"/>
          <w:sz w:val="16"/>
        </w:rPr>
        <w:t>Chileans</w:t>
      </w:r>
      <w:r>
        <w:rPr>
          <w:color w:val="231F20"/>
          <w:spacing w:val="7"/>
          <w:w w:val="105"/>
          <w:sz w:val="16"/>
        </w:rPr>
        <w:t xml:space="preserve"> </w:t>
      </w:r>
      <w:r>
        <w:rPr>
          <w:color w:val="231F20"/>
          <w:w w:val="105"/>
          <w:sz w:val="16"/>
        </w:rPr>
        <w:t>who</w:t>
      </w:r>
      <w:r>
        <w:rPr>
          <w:color w:val="231F20"/>
          <w:spacing w:val="7"/>
          <w:w w:val="105"/>
          <w:sz w:val="16"/>
        </w:rPr>
        <w:t xml:space="preserve"> </w:t>
      </w:r>
      <w:r>
        <w:rPr>
          <w:color w:val="231F20"/>
          <w:w w:val="105"/>
          <w:sz w:val="16"/>
        </w:rPr>
        <w:t>had</w:t>
      </w:r>
      <w:r>
        <w:rPr>
          <w:color w:val="231F20"/>
          <w:spacing w:val="7"/>
          <w:w w:val="105"/>
          <w:sz w:val="16"/>
        </w:rPr>
        <w:t xml:space="preserve"> </w:t>
      </w:r>
      <w:r>
        <w:rPr>
          <w:color w:val="231F20"/>
          <w:w w:val="105"/>
          <w:sz w:val="16"/>
        </w:rPr>
        <w:t>taken</w:t>
      </w:r>
      <w:r>
        <w:rPr>
          <w:color w:val="231F20"/>
          <w:spacing w:val="7"/>
          <w:w w:val="105"/>
          <w:sz w:val="16"/>
        </w:rPr>
        <w:t xml:space="preserve"> </w:t>
      </w:r>
      <w:r>
        <w:rPr>
          <w:color w:val="231F20"/>
          <w:w w:val="105"/>
          <w:sz w:val="16"/>
        </w:rPr>
        <w:t>refuge</w:t>
      </w:r>
      <w:r>
        <w:rPr>
          <w:color w:val="231F20"/>
          <w:spacing w:val="7"/>
          <w:w w:val="105"/>
          <w:sz w:val="16"/>
        </w:rPr>
        <w:t xml:space="preserve"> </w:t>
      </w:r>
      <w:r>
        <w:rPr>
          <w:color w:val="231F20"/>
          <w:w w:val="105"/>
          <w:sz w:val="16"/>
        </w:rPr>
        <w:t>in</w:t>
      </w:r>
      <w:r>
        <w:rPr>
          <w:color w:val="231F20"/>
          <w:spacing w:val="7"/>
          <w:w w:val="105"/>
          <w:sz w:val="16"/>
        </w:rPr>
        <w:t xml:space="preserve"> </w:t>
      </w:r>
      <w:r>
        <w:rPr>
          <w:color w:val="231F20"/>
          <w:w w:val="105"/>
          <w:sz w:val="16"/>
        </w:rPr>
        <w:t>foreign</w:t>
      </w:r>
      <w:r>
        <w:rPr>
          <w:color w:val="231F20"/>
          <w:spacing w:val="7"/>
          <w:w w:val="105"/>
          <w:sz w:val="16"/>
        </w:rPr>
        <w:t xml:space="preserve"> </w:t>
      </w:r>
      <w:r>
        <w:rPr>
          <w:color w:val="231F20"/>
          <w:w w:val="105"/>
          <w:sz w:val="16"/>
        </w:rPr>
        <w:t>embassies.</w:t>
      </w:r>
    </w:p>
    <w:p w14:paraId="6A2D3894" w14:textId="77777777" w:rsidR="002653E8" w:rsidRDefault="003115E3">
      <w:pPr>
        <w:pStyle w:val="a4"/>
        <w:numPr>
          <w:ilvl w:val="0"/>
          <w:numId w:val="60"/>
        </w:numPr>
        <w:tabs>
          <w:tab w:val="left" w:pos="1287"/>
        </w:tabs>
        <w:ind w:left="1286" w:hanging="138"/>
        <w:jc w:val="left"/>
        <w:rPr>
          <w:sz w:val="16"/>
        </w:rPr>
      </w:pPr>
      <w:r>
        <w:rPr>
          <w:color w:val="231F20"/>
          <w:w w:val="110"/>
          <w:sz w:val="16"/>
        </w:rPr>
        <w:t>Richard Clutterbuck,</w:t>
      </w:r>
      <w:r>
        <w:rPr>
          <w:color w:val="231F20"/>
          <w:spacing w:val="12"/>
          <w:w w:val="110"/>
          <w:sz w:val="16"/>
        </w:rPr>
        <w:t xml:space="preserve"> </w:t>
      </w:r>
      <w:r>
        <w:rPr>
          <w:color w:val="231F20"/>
          <w:spacing w:val="-3"/>
          <w:w w:val="110"/>
          <w:sz w:val="16"/>
        </w:rPr>
        <w:t>173.</w:t>
      </w:r>
    </w:p>
    <w:p w14:paraId="63E06812" w14:textId="77777777" w:rsidR="002653E8" w:rsidRDefault="003115E3">
      <w:pPr>
        <w:pStyle w:val="a4"/>
        <w:numPr>
          <w:ilvl w:val="0"/>
          <w:numId w:val="60"/>
        </w:numPr>
        <w:tabs>
          <w:tab w:val="left" w:pos="1287"/>
        </w:tabs>
        <w:spacing w:before="52"/>
        <w:ind w:left="1286" w:hanging="138"/>
        <w:jc w:val="left"/>
        <w:rPr>
          <w:sz w:val="16"/>
        </w:rPr>
      </w:pPr>
      <w:r>
        <w:rPr>
          <w:color w:val="231F20"/>
          <w:w w:val="110"/>
          <w:sz w:val="16"/>
        </w:rPr>
        <w:t>Halliday,</w:t>
      </w:r>
      <w:r>
        <w:rPr>
          <w:color w:val="231F20"/>
          <w:spacing w:val="5"/>
          <w:w w:val="110"/>
          <w:sz w:val="16"/>
        </w:rPr>
        <w:t xml:space="preserve"> </w:t>
      </w:r>
      <w:r>
        <w:rPr>
          <w:color w:val="231F20"/>
          <w:w w:val="110"/>
          <w:sz w:val="16"/>
        </w:rPr>
        <w:t>77-78.</w:t>
      </w:r>
    </w:p>
    <w:p w14:paraId="3305605E" w14:textId="77777777" w:rsidR="002653E8" w:rsidRDefault="003115E3">
      <w:pPr>
        <w:pStyle w:val="a4"/>
        <w:numPr>
          <w:ilvl w:val="0"/>
          <w:numId w:val="60"/>
        </w:numPr>
        <w:tabs>
          <w:tab w:val="left" w:pos="1287"/>
        </w:tabs>
        <w:spacing w:before="51" w:line="254" w:lineRule="auto"/>
        <w:ind w:right="1451" w:firstLine="0"/>
        <w:jc w:val="left"/>
        <w:rPr>
          <w:sz w:val="16"/>
        </w:rPr>
      </w:pPr>
      <w:r>
        <w:rPr>
          <w:color w:val="231F20"/>
          <w:w w:val="110"/>
          <w:sz w:val="16"/>
        </w:rPr>
        <w:t xml:space="preserve">Associated Press, “Dutch capture German terrorist,” </w:t>
      </w:r>
      <w:r>
        <w:rPr>
          <w:i/>
          <w:color w:val="231F20"/>
          <w:spacing w:val="1"/>
          <w:w w:val="110"/>
          <w:sz w:val="16"/>
        </w:rPr>
        <w:t xml:space="preserve">Lima </w:t>
      </w:r>
      <w:r>
        <w:rPr>
          <w:i/>
          <w:color w:val="231F20"/>
          <w:w w:val="110"/>
          <w:sz w:val="16"/>
        </w:rPr>
        <w:t xml:space="preserve">News, </w:t>
      </w:r>
      <w:r>
        <w:rPr>
          <w:color w:val="231F20"/>
          <w:w w:val="110"/>
          <w:sz w:val="16"/>
        </w:rPr>
        <w:t xml:space="preserve">September 23, </w:t>
      </w:r>
      <w:r>
        <w:rPr>
          <w:color w:val="231F20"/>
          <w:spacing w:val="-4"/>
          <w:w w:val="110"/>
          <w:sz w:val="16"/>
        </w:rPr>
        <w:t>1977.</w:t>
      </w:r>
    </w:p>
    <w:p w14:paraId="704ECA37" w14:textId="77777777" w:rsidR="002653E8" w:rsidRDefault="002653E8">
      <w:pPr>
        <w:spacing w:line="254" w:lineRule="auto"/>
        <w:rPr>
          <w:sz w:val="16"/>
        </w:rPr>
        <w:sectPr w:rsidR="002653E8">
          <w:footerReference w:type="even" r:id="rId402"/>
          <w:footerReference w:type="default" r:id="rId403"/>
          <w:pgSz w:w="8640" w:h="12960"/>
          <w:pgMar w:top="1060" w:right="0" w:bottom="1040" w:left="0" w:header="0" w:footer="850" w:gutter="0"/>
          <w:cols w:space="720"/>
        </w:sectPr>
      </w:pPr>
    </w:p>
    <w:p w14:paraId="19B0988B" w14:textId="77777777" w:rsidR="002653E8" w:rsidRDefault="003115E3">
      <w:pPr>
        <w:pStyle w:val="a3"/>
        <w:spacing w:before="86" w:line="264" w:lineRule="auto"/>
        <w:ind w:left="1328" w:right="1145" w:hanging="1"/>
        <w:jc w:val="both"/>
      </w:pPr>
      <w:r>
        <w:rPr>
          <w:color w:val="231F20"/>
        </w:rPr>
        <w:lastRenderedPageBreak/>
        <w:t>conditions. The arrest was buttressed by the claim that on September 2, Müller had used Newerla’s car, in which the aforementioned map had been found.</w:t>
      </w:r>
    </w:p>
    <w:p w14:paraId="26D8CA04" w14:textId="77777777" w:rsidR="002653E8" w:rsidRDefault="003115E3">
      <w:pPr>
        <w:pStyle w:val="a3"/>
        <w:spacing w:line="264" w:lineRule="auto"/>
        <w:ind w:left="1328" w:right="1146" w:firstLine="209"/>
        <w:jc w:val="both"/>
      </w:pPr>
      <w:r>
        <w:rPr>
          <w:color w:val="231F20"/>
        </w:rPr>
        <w:t xml:space="preserve">On October </w:t>
      </w:r>
      <w:r>
        <w:rPr>
          <w:color w:val="231F20"/>
          <w:spacing w:val="-8"/>
        </w:rPr>
        <w:t xml:space="preserve">7,  </w:t>
      </w:r>
      <w:r>
        <w:rPr>
          <w:color w:val="231F20"/>
        </w:rPr>
        <w:t>the thirty-second day of the kidnapping, newspapers  in France and Germany received a letter from Schleyer, accompanied by a</w:t>
      </w:r>
      <w:r>
        <w:rPr>
          <w:color w:val="231F20"/>
          <w:spacing w:val="11"/>
        </w:rPr>
        <w:t xml:space="preserve"> </w:t>
      </w:r>
      <w:r>
        <w:rPr>
          <w:color w:val="231F20"/>
        </w:rPr>
        <w:t>photo,</w:t>
      </w:r>
      <w:r>
        <w:rPr>
          <w:color w:val="231F20"/>
          <w:spacing w:val="11"/>
        </w:rPr>
        <w:t xml:space="preserve"> </w:t>
      </w:r>
      <w:r>
        <w:rPr>
          <w:color w:val="231F20"/>
        </w:rPr>
        <w:t>decrying</w:t>
      </w:r>
      <w:r>
        <w:rPr>
          <w:color w:val="231F20"/>
          <w:spacing w:val="11"/>
        </w:rPr>
        <w:t xml:space="preserve"> </w:t>
      </w:r>
      <w:r>
        <w:rPr>
          <w:color w:val="231F20"/>
        </w:rPr>
        <w:t>the</w:t>
      </w:r>
      <w:r>
        <w:rPr>
          <w:color w:val="231F20"/>
          <w:spacing w:val="11"/>
        </w:rPr>
        <w:t xml:space="preserve"> </w:t>
      </w:r>
      <w:r>
        <w:rPr>
          <w:color w:val="231F20"/>
        </w:rPr>
        <w:t>“indecisiveness”</w:t>
      </w:r>
      <w:r>
        <w:rPr>
          <w:color w:val="231F20"/>
          <w:spacing w:val="11"/>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authorities.</w:t>
      </w:r>
    </w:p>
    <w:p w14:paraId="65CAB3CC" w14:textId="77777777" w:rsidR="002653E8" w:rsidRDefault="003115E3">
      <w:pPr>
        <w:pStyle w:val="a3"/>
        <w:spacing w:line="264" w:lineRule="auto"/>
        <w:ind w:left="1327" w:right="1146" w:firstLine="210"/>
        <w:jc w:val="both"/>
        <w:rPr>
          <w:sz w:val="11"/>
        </w:rPr>
      </w:pPr>
      <w:r>
        <w:rPr>
          <w:color w:val="231F20"/>
        </w:rPr>
        <w:t xml:space="preserve">On October </w:t>
      </w:r>
      <w:r>
        <w:rPr>
          <w:color w:val="231F20"/>
          <w:spacing w:val="-6"/>
        </w:rPr>
        <w:t xml:space="preserve">13, </w:t>
      </w:r>
      <w:r>
        <w:rPr>
          <w:color w:val="231F20"/>
        </w:rPr>
        <w:t xml:space="preserve">with negotiations deadlocked, a new development moved the already intense confrontation to an entirely different level,  as a Palestinian group intervened in solidarity with the </w:t>
      </w:r>
      <w:r w:rsidR="00C507A5">
        <w:rPr>
          <w:color w:val="231F20"/>
        </w:rPr>
        <w:t>red army faction</w:t>
      </w:r>
      <w:r>
        <w:rPr>
          <w:color w:val="231F20"/>
        </w:rPr>
        <w:t xml:space="preserve">. The “Struggle Against </w:t>
      </w:r>
      <w:r>
        <w:rPr>
          <w:color w:val="231F20"/>
          <w:spacing w:val="-4"/>
        </w:rPr>
        <w:t xml:space="preserve">World </w:t>
      </w:r>
      <w:r>
        <w:rPr>
          <w:color w:val="231F20"/>
        </w:rPr>
        <w:t xml:space="preserve">Imperialism Organization”—also  known  as  the </w:t>
      </w:r>
      <w:r>
        <w:rPr>
          <w:color w:val="231F20"/>
          <w:spacing w:val="2"/>
        </w:rPr>
        <w:t xml:space="preserve">Martyr </w:t>
      </w:r>
      <w:r>
        <w:rPr>
          <w:color w:val="231F20"/>
        </w:rPr>
        <w:t xml:space="preserve">Halimeh Commando—hijacked a Lufthansa airliner traveling from Majorca, Spain to Frankfurt, </w:t>
      </w:r>
      <w:r>
        <w:rPr>
          <w:color w:val="231F20"/>
          <w:spacing w:val="-3"/>
        </w:rPr>
        <w:t xml:space="preserve">West  </w:t>
      </w:r>
      <w:r>
        <w:rPr>
          <w:color w:val="231F20"/>
        </w:rPr>
        <w:t>Germany. This was actu ally</w:t>
      </w:r>
      <w:r>
        <w:rPr>
          <w:color w:val="231F20"/>
          <w:spacing w:val="20"/>
        </w:rPr>
        <w:t xml:space="preserve"> </w:t>
      </w:r>
      <w:r>
        <w:rPr>
          <w:color w:val="231F20"/>
        </w:rPr>
        <w:t>a</w:t>
      </w:r>
      <w:r>
        <w:rPr>
          <w:color w:val="231F20"/>
          <w:spacing w:val="20"/>
        </w:rPr>
        <w:t xml:space="preserve"> </w:t>
      </w:r>
      <w:r>
        <w:rPr>
          <w:color w:val="231F20"/>
          <w:spacing w:val="1"/>
        </w:rPr>
        <w:t>PFLP</w:t>
      </w:r>
      <w:r>
        <w:rPr>
          <w:color w:val="231F20"/>
          <w:spacing w:val="-7"/>
        </w:rPr>
        <w:t xml:space="preserve"> </w:t>
      </w:r>
      <w:r>
        <w:rPr>
          <w:color w:val="231F20"/>
        </w:rPr>
        <w:t>(EO)</w:t>
      </w:r>
      <w:r>
        <w:rPr>
          <w:color w:val="231F20"/>
          <w:spacing w:val="20"/>
        </w:rPr>
        <w:t xml:space="preserve"> </w:t>
      </w:r>
      <w:r>
        <w:rPr>
          <w:color w:val="231F20"/>
        </w:rPr>
        <w:t>commando,</w:t>
      </w:r>
      <w:r>
        <w:rPr>
          <w:color w:val="231F20"/>
          <w:spacing w:val="20"/>
        </w:rPr>
        <w:t xml:space="preserve"> </w:t>
      </w:r>
      <w:r>
        <w:rPr>
          <w:color w:val="231F20"/>
        </w:rPr>
        <w:t>led</w:t>
      </w:r>
      <w:r>
        <w:rPr>
          <w:color w:val="231F20"/>
          <w:spacing w:val="20"/>
        </w:rPr>
        <w:t xml:space="preserve"> </w:t>
      </w:r>
      <w:r>
        <w:rPr>
          <w:color w:val="231F20"/>
        </w:rPr>
        <w:t>by</w:t>
      </w:r>
      <w:r>
        <w:rPr>
          <w:color w:val="231F20"/>
          <w:spacing w:val="20"/>
        </w:rPr>
        <w:t xml:space="preserve"> </w:t>
      </w:r>
      <w:r>
        <w:rPr>
          <w:color w:val="231F20"/>
        </w:rPr>
        <w:t>Zohair</w:t>
      </w:r>
      <w:r>
        <w:rPr>
          <w:color w:val="231F20"/>
          <w:spacing w:val="20"/>
        </w:rPr>
        <w:t xml:space="preserve"> </w:t>
      </w:r>
      <w:r>
        <w:rPr>
          <w:color w:val="231F20"/>
          <w:spacing w:val="-3"/>
        </w:rPr>
        <w:t>youssef</w:t>
      </w:r>
      <w:r>
        <w:rPr>
          <w:color w:val="231F20"/>
          <w:spacing w:val="20"/>
        </w:rPr>
        <w:t xml:space="preserve"> </w:t>
      </w:r>
      <w:r>
        <w:rPr>
          <w:color w:val="231F20"/>
        </w:rPr>
        <w:t>Akache.</w:t>
      </w:r>
      <w:r>
        <w:rPr>
          <w:color w:val="231F20"/>
          <w:position w:val="7"/>
          <w:sz w:val="11"/>
        </w:rPr>
        <w:t>5</w:t>
      </w:r>
    </w:p>
    <w:p w14:paraId="2C6089BA" w14:textId="77777777" w:rsidR="002653E8" w:rsidRDefault="003115E3">
      <w:pPr>
        <w:pStyle w:val="a3"/>
        <w:spacing w:line="227" w:lineRule="exact"/>
        <w:ind w:left="1537"/>
      </w:pPr>
      <w:r>
        <w:rPr>
          <w:color w:val="231F20"/>
        </w:rPr>
        <w:t>Eighty-five passengers and five crew members were taken hostage.</w:t>
      </w:r>
    </w:p>
    <w:p w14:paraId="0E907EA3" w14:textId="77777777" w:rsidR="002653E8" w:rsidRDefault="003115E3">
      <w:pPr>
        <w:pStyle w:val="a3"/>
        <w:spacing w:before="16" w:line="264" w:lineRule="auto"/>
        <w:ind w:left="1327" w:right="1146" w:firstLine="210"/>
        <w:jc w:val="both"/>
      </w:pPr>
      <w:r>
        <w:rPr>
          <w:color w:val="231F20"/>
        </w:rPr>
        <w:t xml:space="preserve">At 4:00 pm, the airliner landed in Rome to refuel and to issue the commando’s demands. These were the release of the eleven </w:t>
      </w:r>
      <w:r w:rsidR="00C507A5">
        <w:rPr>
          <w:color w:val="231F20"/>
        </w:rPr>
        <w:t>red army faction</w:t>
      </w:r>
      <w:r>
        <w:rPr>
          <w:color w:val="231F20"/>
        </w:rPr>
        <w:t xml:space="preserve"> prisoners, and also two Palestinians being held in Turkey, Mahdi Muhammed and Hussein Muhammed al Rashid, who were serving life sentences for an attempted hijacking at Istanbul airport in 1976, in which four people had been killed.</w:t>
      </w:r>
    </w:p>
    <w:p w14:paraId="5856F36D" w14:textId="77777777" w:rsidR="002653E8" w:rsidRDefault="003115E3">
      <w:pPr>
        <w:pStyle w:val="a3"/>
        <w:spacing w:line="264" w:lineRule="auto"/>
        <w:ind w:left="1327" w:right="1145" w:firstLine="209"/>
        <w:jc w:val="both"/>
      </w:pPr>
      <w:r>
        <w:rPr>
          <w:color w:val="231F20"/>
        </w:rPr>
        <w:t xml:space="preserve">Led by Waddi Haddad, the </w:t>
      </w:r>
      <w:r>
        <w:rPr>
          <w:color w:val="231F20"/>
          <w:spacing w:val="1"/>
        </w:rPr>
        <w:t xml:space="preserve">PFLP </w:t>
      </w:r>
      <w:r>
        <w:rPr>
          <w:color w:val="231F20"/>
        </w:rPr>
        <w:t xml:space="preserve">(EO) had split from the more well known </w:t>
      </w:r>
      <w:r>
        <w:rPr>
          <w:color w:val="231F20"/>
          <w:spacing w:val="1"/>
        </w:rPr>
        <w:t xml:space="preserve">PFLP </w:t>
      </w:r>
      <w:r>
        <w:rPr>
          <w:color w:val="231F20"/>
        </w:rPr>
        <w:t xml:space="preserve">in the early seventies. It was the </w:t>
      </w:r>
      <w:r>
        <w:rPr>
          <w:color w:val="231F20"/>
          <w:spacing w:val="1"/>
        </w:rPr>
        <w:t xml:space="preserve">PFLP </w:t>
      </w:r>
      <w:r>
        <w:rPr>
          <w:color w:val="231F20"/>
        </w:rPr>
        <w:t xml:space="preserve">(EO) that had worked with the RZ’s international wing during  the  Entebbe  hijacking a year earlier, and during the attack on the OPEC oil ministers in Vienna in </w:t>
      </w:r>
      <w:r>
        <w:rPr>
          <w:color w:val="231F20"/>
          <w:spacing w:val="-5"/>
        </w:rPr>
        <w:t>1975.</w:t>
      </w:r>
      <w:r>
        <w:rPr>
          <w:color w:val="231F20"/>
          <w:spacing w:val="-5"/>
          <w:position w:val="7"/>
          <w:sz w:val="11"/>
        </w:rPr>
        <w:t xml:space="preserve">6 </w:t>
      </w:r>
      <w:r>
        <w:rPr>
          <w:color w:val="231F20"/>
        </w:rPr>
        <w:t>Both of these actions had been viewed negatively by  the</w:t>
      </w:r>
      <w:r>
        <w:rPr>
          <w:color w:val="231F20"/>
          <w:spacing w:val="10"/>
        </w:rPr>
        <w:t xml:space="preserve"> </w:t>
      </w:r>
      <w:r w:rsidR="00C507A5">
        <w:rPr>
          <w:color w:val="231F20"/>
          <w:spacing w:val="5"/>
        </w:rPr>
        <w:t>red army faction</w:t>
      </w:r>
      <w:r>
        <w:rPr>
          <w:color w:val="231F20"/>
          <w:spacing w:val="10"/>
        </w:rPr>
        <w:t xml:space="preserve"> </w:t>
      </w:r>
      <w:r>
        <w:rPr>
          <w:color w:val="231F20"/>
        </w:rPr>
        <w:t>prisoners,</w:t>
      </w:r>
      <w:r>
        <w:rPr>
          <w:color w:val="231F20"/>
          <w:spacing w:val="10"/>
        </w:rPr>
        <w:t xml:space="preserve"> </w:t>
      </w:r>
      <w:r>
        <w:rPr>
          <w:color w:val="231F20"/>
        </w:rPr>
        <w:t>and</w:t>
      </w:r>
      <w:r>
        <w:rPr>
          <w:color w:val="231F20"/>
          <w:spacing w:val="10"/>
        </w:rPr>
        <w:t xml:space="preserve"> </w:t>
      </w:r>
      <w:r>
        <w:rPr>
          <w:color w:val="231F20"/>
        </w:rPr>
        <w:t>yet</w:t>
      </w:r>
      <w:r>
        <w:rPr>
          <w:color w:val="231F20"/>
          <w:spacing w:val="10"/>
        </w:rPr>
        <w:t xml:space="preserve"> </w:t>
      </w:r>
      <w:r>
        <w:rPr>
          <w:color w:val="231F20"/>
        </w:rPr>
        <w:t>they</w:t>
      </w:r>
      <w:r>
        <w:rPr>
          <w:color w:val="231F20"/>
          <w:spacing w:val="10"/>
        </w:rPr>
        <w:t xml:space="preserve"> </w:t>
      </w:r>
      <w:r>
        <w:rPr>
          <w:color w:val="231F20"/>
        </w:rPr>
        <w:t>had</w:t>
      </w:r>
      <w:r>
        <w:rPr>
          <w:color w:val="231F20"/>
          <w:spacing w:val="10"/>
        </w:rPr>
        <w:t xml:space="preserve"> </w:t>
      </w:r>
      <w:r>
        <w:rPr>
          <w:color w:val="231F20"/>
        </w:rPr>
        <w:t>never</w:t>
      </w:r>
      <w:r>
        <w:rPr>
          <w:color w:val="231F20"/>
          <w:spacing w:val="10"/>
        </w:rPr>
        <w:t xml:space="preserve"> </w:t>
      </w:r>
      <w:r>
        <w:rPr>
          <w:color w:val="231F20"/>
        </w:rPr>
        <w:t>criticized</w:t>
      </w:r>
      <w:r>
        <w:rPr>
          <w:color w:val="231F20"/>
          <w:spacing w:val="10"/>
        </w:rPr>
        <w:t xml:space="preserve"> </w:t>
      </w:r>
      <w:r>
        <w:rPr>
          <w:color w:val="231F20"/>
        </w:rPr>
        <w:t>them</w:t>
      </w:r>
      <w:r>
        <w:rPr>
          <w:color w:val="231F20"/>
          <w:spacing w:val="10"/>
        </w:rPr>
        <w:t xml:space="preserve"> </w:t>
      </w:r>
      <w:r>
        <w:rPr>
          <w:color w:val="231F20"/>
          <w:spacing w:val="-3"/>
        </w:rPr>
        <w:t>publicly.</w:t>
      </w:r>
    </w:p>
    <w:p w14:paraId="1AC58FFD" w14:textId="77777777" w:rsidR="002653E8" w:rsidRDefault="003115E3">
      <w:pPr>
        <w:pStyle w:val="a3"/>
        <w:spacing w:line="264" w:lineRule="auto"/>
        <w:ind w:left="1327" w:right="1146" w:firstLine="210"/>
        <w:jc w:val="both"/>
      </w:pPr>
      <w:r>
        <w:rPr>
          <w:color w:val="231F20"/>
        </w:rPr>
        <w:t xml:space="preserve">It remains unclear how the Palestinian guerillas came to be involved in the </w:t>
      </w:r>
      <w:r w:rsidR="00C507A5">
        <w:rPr>
          <w:color w:val="231F20"/>
        </w:rPr>
        <w:t>red army faction</w:t>
      </w:r>
      <w:r>
        <w:rPr>
          <w:color w:val="231F20"/>
        </w:rPr>
        <w:t xml:space="preserve">’s 1977 campaign. Haddad was killed by the Mossad soon afterwards, and all accounts seem to come solely from the German side; in evaluating them, it should be kept in mind that this entire operation was later seen as a serious error by the </w:t>
      </w:r>
      <w:r w:rsidR="00C507A5">
        <w:rPr>
          <w:color w:val="231F20"/>
        </w:rPr>
        <w:t>red army faction</w:t>
      </w:r>
      <w:r>
        <w:rPr>
          <w:color w:val="231F20"/>
        </w:rPr>
        <w:t xml:space="preserve"> and its supporters.</w:t>
      </w:r>
    </w:p>
    <w:p w14:paraId="2831AC43" w14:textId="77777777" w:rsidR="002653E8" w:rsidRDefault="00000000">
      <w:pPr>
        <w:pStyle w:val="a3"/>
        <w:rPr>
          <w:sz w:val="11"/>
        </w:rPr>
      </w:pPr>
      <w:r>
        <w:rPr>
          <w:noProof w:val="0"/>
        </w:rPr>
        <w:pict w14:anchorId="09E86F40">
          <v:line id="_x0000_s2201" style="position:absolute;z-index:10192;mso-wrap-distance-left:0;mso-wrap-distance-right:0;mso-position-horizontal-relative:page" from="66.4pt,8.65pt" to="138.4pt,8.65pt" strokecolor="#231f20" strokeweight=".5pt">
            <w10:wrap type="topAndBottom" anchorx="page"/>
          </v:line>
        </w:pict>
      </w:r>
    </w:p>
    <w:p w14:paraId="14AA4788" w14:textId="77777777" w:rsidR="002653E8" w:rsidRDefault="003115E3">
      <w:pPr>
        <w:pStyle w:val="a4"/>
        <w:numPr>
          <w:ilvl w:val="0"/>
          <w:numId w:val="60"/>
        </w:numPr>
        <w:tabs>
          <w:tab w:val="left" w:pos="1467"/>
        </w:tabs>
        <w:spacing w:before="53" w:line="254" w:lineRule="auto"/>
        <w:ind w:left="1327" w:right="1290" w:firstLine="0"/>
        <w:jc w:val="left"/>
        <w:rPr>
          <w:sz w:val="16"/>
        </w:rPr>
      </w:pPr>
      <w:r>
        <w:rPr>
          <w:color w:val="231F20"/>
          <w:w w:val="105"/>
          <w:sz w:val="16"/>
        </w:rPr>
        <w:t xml:space="preserve">Akache had already cut his teeth as a guerilla earlier that year in London,  England. On April 10, </w:t>
      </w:r>
      <w:r>
        <w:rPr>
          <w:color w:val="231F20"/>
          <w:spacing w:val="-4"/>
          <w:w w:val="105"/>
          <w:sz w:val="16"/>
        </w:rPr>
        <w:t xml:space="preserve">1977, </w:t>
      </w:r>
      <w:r>
        <w:rPr>
          <w:color w:val="231F20"/>
          <w:w w:val="105"/>
          <w:sz w:val="16"/>
        </w:rPr>
        <w:t xml:space="preserve">he had  assassinated  Qadi  Abdullah  </w:t>
      </w:r>
      <w:r>
        <w:rPr>
          <w:color w:val="231F20"/>
          <w:spacing w:val="1"/>
          <w:w w:val="105"/>
          <w:sz w:val="16"/>
        </w:rPr>
        <w:t xml:space="preserve">Amhen  </w:t>
      </w:r>
      <w:r>
        <w:rPr>
          <w:color w:val="231F20"/>
          <w:w w:val="105"/>
          <w:sz w:val="16"/>
        </w:rPr>
        <w:t xml:space="preserve">al  Hijri, the former Prime Minister of North yemen, along with his wife Fatima and senior diplomatic official Abdullah </w:t>
      </w:r>
      <w:r>
        <w:rPr>
          <w:color w:val="231F20"/>
          <w:spacing w:val="1"/>
          <w:w w:val="105"/>
          <w:sz w:val="16"/>
        </w:rPr>
        <w:t xml:space="preserve">Ali Al Hammami </w:t>
      </w:r>
      <w:r>
        <w:rPr>
          <w:color w:val="231F20"/>
          <w:w w:val="105"/>
          <w:sz w:val="16"/>
        </w:rPr>
        <w:t xml:space="preserve">(Aust, </w:t>
      </w:r>
      <w:r>
        <w:rPr>
          <w:color w:val="231F20"/>
          <w:spacing w:val="-4"/>
          <w:w w:val="105"/>
          <w:sz w:val="16"/>
        </w:rPr>
        <w:t xml:space="preserve">510). </w:t>
      </w:r>
      <w:r>
        <w:rPr>
          <w:color w:val="231F20"/>
          <w:spacing w:val="1"/>
          <w:w w:val="105"/>
          <w:sz w:val="16"/>
        </w:rPr>
        <w:t xml:space="preserve">Al </w:t>
      </w:r>
      <w:r>
        <w:rPr>
          <w:color w:val="231F20"/>
          <w:w w:val="105"/>
          <w:sz w:val="16"/>
        </w:rPr>
        <w:t>Hijri, who had had dozens of political dissidents put to death and thousands more imprisoned during his brief reign, was a traditionalist who strongly opposed any rapprochement with South yemen. (</w:t>
      </w:r>
      <w:r>
        <w:rPr>
          <w:i/>
          <w:color w:val="231F20"/>
          <w:w w:val="105"/>
          <w:sz w:val="16"/>
        </w:rPr>
        <w:t xml:space="preserve">News </w:t>
      </w:r>
      <w:r>
        <w:rPr>
          <w:i/>
          <w:color w:val="231F20"/>
          <w:spacing w:val="1"/>
          <w:w w:val="105"/>
          <w:sz w:val="16"/>
        </w:rPr>
        <w:t xml:space="preserve">Journal, </w:t>
      </w:r>
      <w:r>
        <w:rPr>
          <w:color w:val="231F20"/>
          <w:w w:val="105"/>
          <w:sz w:val="16"/>
        </w:rPr>
        <w:t>“Leftists suspected: Former yemen Premier Killed,” April 11,</w:t>
      </w:r>
      <w:r>
        <w:rPr>
          <w:color w:val="231F20"/>
          <w:spacing w:val="15"/>
          <w:w w:val="105"/>
          <w:sz w:val="16"/>
        </w:rPr>
        <w:t xml:space="preserve"> </w:t>
      </w:r>
      <w:r>
        <w:rPr>
          <w:color w:val="231F20"/>
          <w:spacing w:val="-3"/>
          <w:w w:val="105"/>
          <w:sz w:val="16"/>
        </w:rPr>
        <w:t>1977)</w:t>
      </w:r>
    </w:p>
    <w:p w14:paraId="6386E0EE" w14:textId="77777777" w:rsidR="002653E8" w:rsidRDefault="003115E3">
      <w:pPr>
        <w:pStyle w:val="a4"/>
        <w:numPr>
          <w:ilvl w:val="0"/>
          <w:numId w:val="60"/>
        </w:numPr>
        <w:tabs>
          <w:tab w:val="left" w:pos="1467"/>
        </w:tabs>
        <w:spacing w:before="43" w:line="254" w:lineRule="auto"/>
        <w:ind w:left="1328" w:right="1403" w:firstLine="0"/>
        <w:jc w:val="left"/>
        <w:rPr>
          <w:sz w:val="16"/>
        </w:rPr>
      </w:pPr>
      <w:r>
        <w:rPr>
          <w:color w:val="231F20"/>
          <w:spacing w:val="1"/>
          <w:w w:val="105"/>
          <w:sz w:val="16"/>
        </w:rPr>
        <w:t xml:space="preserve">See </w:t>
      </w:r>
      <w:r>
        <w:rPr>
          <w:color w:val="231F20"/>
          <w:w w:val="105"/>
          <w:sz w:val="16"/>
        </w:rPr>
        <w:t xml:space="preserve">pages </w:t>
      </w:r>
      <w:r>
        <w:rPr>
          <w:color w:val="231F20"/>
          <w:spacing w:val="-3"/>
          <w:w w:val="105"/>
          <w:sz w:val="16"/>
        </w:rPr>
        <w:t xml:space="preserve">438-441. </w:t>
      </w:r>
      <w:r>
        <w:rPr>
          <w:color w:val="231F20"/>
          <w:w w:val="105"/>
          <w:sz w:val="16"/>
        </w:rPr>
        <w:t xml:space="preserve">Also see, Appendix </w:t>
      </w:r>
      <w:r>
        <w:rPr>
          <w:color w:val="231F20"/>
          <w:spacing w:val="1"/>
          <w:w w:val="105"/>
          <w:sz w:val="16"/>
        </w:rPr>
        <w:t xml:space="preserve">VI—The </w:t>
      </w:r>
      <w:r>
        <w:rPr>
          <w:color w:val="231F20"/>
          <w:w w:val="105"/>
          <w:sz w:val="16"/>
        </w:rPr>
        <w:t xml:space="preserve">German Guerilla’s Palestinian Allies: Waddi Haddad’s </w:t>
      </w:r>
      <w:r>
        <w:rPr>
          <w:color w:val="231F20"/>
          <w:spacing w:val="1"/>
          <w:w w:val="105"/>
          <w:sz w:val="16"/>
        </w:rPr>
        <w:t xml:space="preserve">PFLP </w:t>
      </w:r>
      <w:r>
        <w:rPr>
          <w:color w:val="231F20"/>
          <w:w w:val="105"/>
          <w:sz w:val="16"/>
        </w:rPr>
        <w:t>(EO), on pages</w:t>
      </w:r>
      <w:r>
        <w:rPr>
          <w:color w:val="231F20"/>
          <w:spacing w:val="11"/>
          <w:w w:val="105"/>
          <w:sz w:val="16"/>
        </w:rPr>
        <w:t xml:space="preserve"> </w:t>
      </w:r>
      <w:r>
        <w:rPr>
          <w:color w:val="231F20"/>
          <w:spacing w:val="-3"/>
          <w:w w:val="105"/>
          <w:sz w:val="16"/>
        </w:rPr>
        <w:t>559-61.</w:t>
      </w:r>
    </w:p>
    <w:p w14:paraId="486FF0F6" w14:textId="77777777" w:rsidR="002653E8" w:rsidRDefault="002653E8">
      <w:pPr>
        <w:spacing w:line="254" w:lineRule="auto"/>
        <w:rPr>
          <w:sz w:val="16"/>
        </w:rPr>
        <w:sectPr w:rsidR="002653E8">
          <w:pgSz w:w="8640" w:h="12960"/>
          <w:pgMar w:top="1060" w:right="0" w:bottom="1040" w:left="0" w:header="0" w:footer="850" w:gutter="0"/>
          <w:cols w:space="720"/>
        </w:sectPr>
      </w:pPr>
    </w:p>
    <w:p w14:paraId="097BF9CB" w14:textId="77777777" w:rsidR="002653E8" w:rsidRDefault="003115E3">
      <w:pPr>
        <w:pStyle w:val="a3"/>
        <w:spacing w:before="86" w:line="264" w:lineRule="auto"/>
        <w:ind w:left="1147" w:right="1326" w:firstLine="210"/>
        <w:jc w:val="both"/>
      </w:pPr>
      <w:r>
        <w:rPr>
          <w:color w:val="231F20"/>
        </w:rPr>
        <w:lastRenderedPageBreak/>
        <w:t xml:space="preserve">Some say that faced with the increasingly unpromising situation in the FRG, with the government obviously stalling for time while negotiating in bad faith, Brigitte Mohnhaupt and Peter-Jürgen Boock had flown to Baghdad to enlist Haddad’s aid; according to some versions, they agreed to pay </w:t>
      </w:r>
      <w:r>
        <w:rPr>
          <w:color w:val="231F20"/>
          <w:spacing w:val="-9"/>
        </w:rPr>
        <w:t xml:space="preserve">$15 </w:t>
      </w:r>
      <w:r>
        <w:rPr>
          <w:color w:val="231F20"/>
        </w:rPr>
        <w:t>million for it.</w:t>
      </w:r>
      <w:r>
        <w:rPr>
          <w:color w:val="231F20"/>
          <w:position w:val="7"/>
          <w:sz w:val="11"/>
        </w:rPr>
        <w:t xml:space="preserve">1 </w:t>
      </w:r>
      <w:r>
        <w:rPr>
          <w:color w:val="231F20"/>
        </w:rPr>
        <w:t xml:space="preserve">According to other reports, it was Haddad who contacted the </w:t>
      </w:r>
      <w:r w:rsidR="00C507A5">
        <w:rPr>
          <w:color w:val="231F20"/>
        </w:rPr>
        <w:t>red army faction</w:t>
      </w:r>
      <w:r>
        <w:rPr>
          <w:color w:val="231F20"/>
        </w:rPr>
        <w:t xml:space="preserve">, using the </w:t>
      </w:r>
      <w:r>
        <w:rPr>
          <w:color w:val="231F20"/>
          <w:spacing w:val="3"/>
        </w:rPr>
        <w:t xml:space="preserve">RZ </w:t>
      </w:r>
      <w:r>
        <w:rPr>
          <w:color w:val="231F20"/>
        </w:rPr>
        <w:t>international wing’s Johannes Weinrich as a go-between.</w:t>
      </w:r>
      <w:r>
        <w:rPr>
          <w:color w:val="231F20"/>
          <w:position w:val="7"/>
          <w:sz w:val="11"/>
        </w:rPr>
        <w:t xml:space="preserve">2 </w:t>
      </w:r>
      <w:r>
        <w:rPr>
          <w:color w:val="231F20"/>
        </w:rPr>
        <w:t>According to Stefan Wisniewski, one</w:t>
      </w:r>
      <w:r>
        <w:rPr>
          <w:color w:val="231F20"/>
          <w:spacing w:val="10"/>
        </w:rPr>
        <w:t xml:space="preserve"> </w:t>
      </w:r>
      <w:r>
        <w:rPr>
          <w:color w:val="231F20"/>
        </w:rPr>
        <w:t>of</w:t>
      </w:r>
      <w:r>
        <w:rPr>
          <w:color w:val="231F20"/>
          <w:spacing w:val="10"/>
        </w:rPr>
        <w:t xml:space="preserve"> </w:t>
      </w:r>
      <w:r>
        <w:rPr>
          <w:color w:val="231F20"/>
        </w:rPr>
        <w:t>those</w:t>
      </w:r>
      <w:r>
        <w:rPr>
          <w:color w:val="231F20"/>
          <w:spacing w:val="10"/>
        </w:rPr>
        <w:t xml:space="preserve"> </w:t>
      </w:r>
      <w:r>
        <w:rPr>
          <w:color w:val="231F20"/>
        </w:rPr>
        <w:t>involved</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Schleyer</w:t>
      </w:r>
      <w:r>
        <w:rPr>
          <w:color w:val="231F20"/>
          <w:spacing w:val="10"/>
        </w:rPr>
        <w:t xml:space="preserve"> </w:t>
      </w:r>
      <w:r>
        <w:rPr>
          <w:color w:val="231F20"/>
        </w:rPr>
        <w:t>kidnapping,</w:t>
      </w:r>
    </w:p>
    <w:p w14:paraId="742A8DDA" w14:textId="77777777" w:rsidR="002653E8" w:rsidRDefault="003115E3">
      <w:pPr>
        <w:spacing w:before="120" w:line="276" w:lineRule="auto"/>
        <w:ind w:left="1567" w:right="1738"/>
        <w:jc w:val="both"/>
        <w:rPr>
          <w:i/>
          <w:sz w:val="11"/>
        </w:rPr>
      </w:pPr>
      <w:r>
        <w:rPr>
          <w:i/>
          <w:color w:val="231F20"/>
          <w:w w:val="105"/>
          <w:sz w:val="19"/>
        </w:rPr>
        <w:t xml:space="preserve">The Palestinians had their own interest in such an action. Of course, getting the prisoners out, there was also the issue of two Palestinian prisoners who were sitting in a </w:t>
      </w:r>
      <w:r>
        <w:rPr>
          <w:i/>
          <w:color w:val="231F20"/>
          <w:spacing w:val="-3"/>
          <w:w w:val="105"/>
          <w:sz w:val="19"/>
        </w:rPr>
        <w:t xml:space="preserve">Turkish </w:t>
      </w:r>
      <w:r>
        <w:rPr>
          <w:i/>
          <w:color w:val="231F20"/>
          <w:w w:val="105"/>
          <w:sz w:val="19"/>
        </w:rPr>
        <w:t>prison, but there</w:t>
      </w:r>
      <w:r>
        <w:rPr>
          <w:i/>
          <w:color w:val="231F20"/>
          <w:spacing w:val="-12"/>
          <w:w w:val="105"/>
          <w:sz w:val="19"/>
        </w:rPr>
        <w:t xml:space="preserve"> </w:t>
      </w:r>
      <w:r>
        <w:rPr>
          <w:i/>
          <w:color w:val="231F20"/>
          <w:w w:val="105"/>
          <w:sz w:val="19"/>
        </w:rPr>
        <w:t>was</w:t>
      </w:r>
      <w:r>
        <w:rPr>
          <w:i/>
          <w:color w:val="231F20"/>
          <w:spacing w:val="-12"/>
          <w:w w:val="105"/>
          <w:sz w:val="19"/>
        </w:rPr>
        <w:t xml:space="preserve"> </w:t>
      </w:r>
      <w:r>
        <w:rPr>
          <w:i/>
          <w:color w:val="231F20"/>
          <w:w w:val="105"/>
          <w:sz w:val="19"/>
        </w:rPr>
        <w:t>also</w:t>
      </w:r>
      <w:r>
        <w:rPr>
          <w:i/>
          <w:color w:val="231F20"/>
          <w:spacing w:val="-12"/>
          <w:w w:val="105"/>
          <w:sz w:val="19"/>
        </w:rPr>
        <w:t xml:space="preserve"> </w:t>
      </w:r>
      <w:r>
        <w:rPr>
          <w:i/>
          <w:color w:val="231F20"/>
          <w:w w:val="105"/>
          <w:sz w:val="19"/>
        </w:rPr>
        <w:t>something</w:t>
      </w:r>
      <w:r>
        <w:rPr>
          <w:i/>
          <w:color w:val="231F20"/>
          <w:spacing w:val="-12"/>
          <w:w w:val="105"/>
          <w:sz w:val="19"/>
        </w:rPr>
        <w:t xml:space="preserve"> </w:t>
      </w:r>
      <w:r>
        <w:rPr>
          <w:i/>
          <w:color w:val="231F20"/>
          <w:w w:val="105"/>
          <w:sz w:val="19"/>
        </w:rPr>
        <w:t>else</w:t>
      </w:r>
      <w:r>
        <w:rPr>
          <w:i/>
          <w:color w:val="231F20"/>
          <w:spacing w:val="-12"/>
          <w:w w:val="105"/>
          <w:sz w:val="19"/>
        </w:rPr>
        <w:t xml:space="preserve"> </w:t>
      </w:r>
      <w:r>
        <w:rPr>
          <w:i/>
          <w:color w:val="231F20"/>
          <w:w w:val="105"/>
          <w:sz w:val="19"/>
        </w:rPr>
        <w:t>altogether.</w:t>
      </w:r>
      <w:r>
        <w:rPr>
          <w:i/>
          <w:color w:val="231F20"/>
          <w:spacing w:val="-21"/>
          <w:w w:val="105"/>
          <w:sz w:val="19"/>
        </w:rPr>
        <w:t xml:space="preserve"> </w:t>
      </w:r>
      <w:r>
        <w:rPr>
          <w:i/>
          <w:color w:val="231F20"/>
          <w:w w:val="105"/>
          <w:sz w:val="19"/>
        </w:rPr>
        <w:t>They</w:t>
      </w:r>
      <w:r>
        <w:rPr>
          <w:i/>
          <w:color w:val="231F20"/>
          <w:spacing w:val="-12"/>
          <w:w w:val="105"/>
          <w:sz w:val="19"/>
        </w:rPr>
        <w:t xml:space="preserve"> </w:t>
      </w:r>
      <w:r>
        <w:rPr>
          <w:i/>
          <w:color w:val="231F20"/>
          <w:w w:val="105"/>
          <w:sz w:val="19"/>
        </w:rPr>
        <w:t>said</w:t>
      </w:r>
      <w:r>
        <w:rPr>
          <w:i/>
          <w:color w:val="231F20"/>
          <w:spacing w:val="-12"/>
          <w:w w:val="105"/>
          <w:sz w:val="19"/>
        </w:rPr>
        <w:t xml:space="preserve"> </w:t>
      </w:r>
      <w:r>
        <w:rPr>
          <w:i/>
          <w:color w:val="231F20"/>
          <w:w w:val="105"/>
          <w:sz w:val="19"/>
        </w:rPr>
        <w:t>to</w:t>
      </w:r>
      <w:r>
        <w:rPr>
          <w:i/>
          <w:color w:val="231F20"/>
          <w:spacing w:val="-12"/>
          <w:w w:val="105"/>
          <w:sz w:val="19"/>
        </w:rPr>
        <w:t xml:space="preserve"> </w:t>
      </w:r>
      <w:r>
        <w:rPr>
          <w:i/>
          <w:color w:val="231F20"/>
          <w:w w:val="105"/>
          <w:sz w:val="19"/>
        </w:rPr>
        <w:t>themselves, “When a country like the Federal Republic, the most important country</w:t>
      </w:r>
      <w:r>
        <w:rPr>
          <w:i/>
          <w:color w:val="231F20"/>
          <w:spacing w:val="-21"/>
          <w:w w:val="105"/>
          <w:sz w:val="19"/>
        </w:rPr>
        <w:t xml:space="preserve"> </w:t>
      </w:r>
      <w:r>
        <w:rPr>
          <w:i/>
          <w:color w:val="231F20"/>
          <w:w w:val="105"/>
          <w:sz w:val="19"/>
        </w:rPr>
        <w:t>in</w:t>
      </w:r>
      <w:r>
        <w:rPr>
          <w:i/>
          <w:color w:val="231F20"/>
          <w:spacing w:val="-21"/>
          <w:w w:val="105"/>
          <w:sz w:val="19"/>
        </w:rPr>
        <w:t xml:space="preserve"> </w:t>
      </w:r>
      <w:r>
        <w:rPr>
          <w:i/>
          <w:color w:val="231F20"/>
          <w:w w:val="105"/>
          <w:sz w:val="19"/>
        </w:rPr>
        <w:t>the</w:t>
      </w:r>
      <w:r>
        <w:rPr>
          <w:i/>
          <w:color w:val="231F20"/>
          <w:spacing w:val="-21"/>
          <w:w w:val="105"/>
          <w:sz w:val="19"/>
        </w:rPr>
        <w:t xml:space="preserve"> </w:t>
      </w:r>
      <w:r>
        <w:rPr>
          <w:i/>
          <w:color w:val="231F20"/>
          <w:w w:val="105"/>
          <w:sz w:val="19"/>
        </w:rPr>
        <w:t>European</w:t>
      </w:r>
      <w:r>
        <w:rPr>
          <w:i/>
          <w:color w:val="231F20"/>
          <w:spacing w:val="-21"/>
          <w:w w:val="105"/>
          <w:sz w:val="19"/>
        </w:rPr>
        <w:t xml:space="preserve"> </w:t>
      </w:r>
      <w:r>
        <w:rPr>
          <w:i/>
          <w:color w:val="231F20"/>
          <w:w w:val="105"/>
          <w:sz w:val="19"/>
        </w:rPr>
        <w:t>Community,</w:t>
      </w:r>
      <w:r>
        <w:rPr>
          <w:i/>
          <w:color w:val="231F20"/>
          <w:spacing w:val="-26"/>
          <w:w w:val="105"/>
          <w:sz w:val="19"/>
        </w:rPr>
        <w:t xml:space="preserve"> </w:t>
      </w:r>
      <w:r>
        <w:rPr>
          <w:i/>
          <w:color w:val="231F20"/>
          <w:w w:val="105"/>
          <w:sz w:val="19"/>
        </w:rPr>
        <w:t>is</w:t>
      </w:r>
      <w:r>
        <w:rPr>
          <w:i/>
          <w:color w:val="231F20"/>
          <w:spacing w:val="-21"/>
          <w:w w:val="105"/>
          <w:sz w:val="19"/>
        </w:rPr>
        <w:t xml:space="preserve"> </w:t>
      </w:r>
      <w:r>
        <w:rPr>
          <w:i/>
          <w:color w:val="231F20"/>
          <w:w w:val="105"/>
          <w:sz w:val="19"/>
        </w:rPr>
        <w:t>involved</w:t>
      </w:r>
      <w:r>
        <w:rPr>
          <w:i/>
          <w:color w:val="231F20"/>
          <w:spacing w:val="-21"/>
          <w:w w:val="105"/>
          <w:sz w:val="19"/>
        </w:rPr>
        <w:t xml:space="preserve"> </w:t>
      </w:r>
      <w:r>
        <w:rPr>
          <w:i/>
          <w:color w:val="231F20"/>
          <w:w w:val="105"/>
          <w:sz w:val="19"/>
        </w:rPr>
        <w:t>in</w:t>
      </w:r>
      <w:r>
        <w:rPr>
          <w:i/>
          <w:color w:val="231F20"/>
          <w:spacing w:val="-21"/>
          <w:w w:val="105"/>
          <w:sz w:val="19"/>
        </w:rPr>
        <w:t xml:space="preserve"> </w:t>
      </w:r>
      <w:r>
        <w:rPr>
          <w:i/>
          <w:color w:val="231F20"/>
          <w:w w:val="105"/>
          <w:sz w:val="19"/>
        </w:rPr>
        <w:t>a</w:t>
      </w:r>
      <w:r>
        <w:rPr>
          <w:i/>
          <w:color w:val="231F20"/>
          <w:spacing w:val="-21"/>
          <w:w w:val="105"/>
          <w:sz w:val="19"/>
        </w:rPr>
        <w:t xml:space="preserve"> </w:t>
      </w:r>
      <w:r>
        <w:rPr>
          <w:i/>
          <w:color w:val="231F20"/>
          <w:w w:val="105"/>
          <w:sz w:val="19"/>
        </w:rPr>
        <w:t>confrontation that</w:t>
      </w:r>
      <w:r>
        <w:rPr>
          <w:i/>
          <w:color w:val="231F20"/>
          <w:spacing w:val="-7"/>
          <w:w w:val="105"/>
          <w:sz w:val="19"/>
        </w:rPr>
        <w:t xml:space="preserve"> </w:t>
      </w:r>
      <w:r>
        <w:rPr>
          <w:i/>
          <w:color w:val="231F20"/>
          <w:w w:val="105"/>
          <w:sz w:val="19"/>
        </w:rPr>
        <w:t>the</w:t>
      </w:r>
      <w:r>
        <w:rPr>
          <w:i/>
          <w:color w:val="231F20"/>
          <w:spacing w:val="-7"/>
          <w:w w:val="105"/>
          <w:sz w:val="19"/>
        </w:rPr>
        <w:t xml:space="preserve"> </w:t>
      </w:r>
      <w:r>
        <w:rPr>
          <w:i/>
          <w:color w:val="231F20"/>
          <w:w w:val="105"/>
          <w:sz w:val="19"/>
        </w:rPr>
        <w:t>entire</w:t>
      </w:r>
      <w:r>
        <w:rPr>
          <w:i/>
          <w:color w:val="231F20"/>
          <w:spacing w:val="-7"/>
          <w:w w:val="105"/>
          <w:sz w:val="19"/>
        </w:rPr>
        <w:t xml:space="preserve"> </w:t>
      </w:r>
      <w:r>
        <w:rPr>
          <w:i/>
          <w:color w:val="231F20"/>
          <w:w w:val="105"/>
          <w:sz w:val="19"/>
        </w:rPr>
        <w:t>world</w:t>
      </w:r>
      <w:r>
        <w:rPr>
          <w:i/>
          <w:color w:val="231F20"/>
          <w:spacing w:val="-7"/>
          <w:w w:val="105"/>
          <w:sz w:val="19"/>
        </w:rPr>
        <w:t xml:space="preserve"> </w:t>
      </w:r>
      <w:r>
        <w:rPr>
          <w:i/>
          <w:color w:val="231F20"/>
          <w:w w:val="105"/>
          <w:sz w:val="19"/>
        </w:rPr>
        <w:t>is</w:t>
      </w:r>
      <w:r>
        <w:rPr>
          <w:i/>
          <w:color w:val="231F20"/>
          <w:spacing w:val="-7"/>
          <w:w w:val="105"/>
          <w:sz w:val="19"/>
        </w:rPr>
        <w:t xml:space="preserve"> </w:t>
      </w:r>
      <w:r>
        <w:rPr>
          <w:i/>
          <w:color w:val="231F20"/>
          <w:w w:val="105"/>
          <w:sz w:val="19"/>
        </w:rPr>
        <w:t>watching,</w:t>
      </w:r>
      <w:r>
        <w:rPr>
          <w:i/>
          <w:color w:val="231F20"/>
          <w:spacing w:val="-12"/>
          <w:w w:val="105"/>
          <w:sz w:val="19"/>
        </w:rPr>
        <w:t xml:space="preserve"> </w:t>
      </w:r>
      <w:r>
        <w:rPr>
          <w:i/>
          <w:color w:val="231F20"/>
          <w:w w:val="105"/>
          <w:sz w:val="19"/>
        </w:rPr>
        <w:t>then</w:t>
      </w:r>
      <w:r>
        <w:rPr>
          <w:i/>
          <w:color w:val="231F20"/>
          <w:spacing w:val="-7"/>
          <w:w w:val="105"/>
          <w:sz w:val="19"/>
        </w:rPr>
        <w:t xml:space="preserve"> </w:t>
      </w:r>
      <w:r>
        <w:rPr>
          <w:i/>
          <w:color w:val="231F20"/>
          <w:w w:val="105"/>
          <w:sz w:val="19"/>
        </w:rPr>
        <w:t>we</w:t>
      </w:r>
      <w:r>
        <w:rPr>
          <w:i/>
          <w:color w:val="231F20"/>
          <w:spacing w:val="-7"/>
          <w:w w:val="105"/>
          <w:sz w:val="19"/>
        </w:rPr>
        <w:t xml:space="preserve"> </w:t>
      </w:r>
      <w:r>
        <w:rPr>
          <w:i/>
          <w:color w:val="231F20"/>
          <w:w w:val="105"/>
          <w:sz w:val="19"/>
        </w:rPr>
        <w:t>have</w:t>
      </w:r>
      <w:r>
        <w:rPr>
          <w:i/>
          <w:color w:val="231F20"/>
          <w:spacing w:val="-7"/>
          <w:w w:val="105"/>
          <w:sz w:val="19"/>
        </w:rPr>
        <w:t xml:space="preserve"> </w:t>
      </w:r>
      <w:r>
        <w:rPr>
          <w:i/>
          <w:color w:val="231F20"/>
          <w:w w:val="105"/>
          <w:sz w:val="19"/>
        </w:rPr>
        <w:t>an</w:t>
      </w:r>
      <w:r>
        <w:rPr>
          <w:i/>
          <w:color w:val="231F20"/>
          <w:spacing w:val="-7"/>
          <w:w w:val="105"/>
          <w:sz w:val="19"/>
        </w:rPr>
        <w:t xml:space="preserve"> </w:t>
      </w:r>
      <w:r>
        <w:rPr>
          <w:i/>
          <w:color w:val="231F20"/>
          <w:w w:val="105"/>
          <w:sz w:val="19"/>
        </w:rPr>
        <w:t>opportunity</w:t>
      </w:r>
      <w:r>
        <w:rPr>
          <w:i/>
          <w:color w:val="231F20"/>
          <w:spacing w:val="-7"/>
          <w:w w:val="105"/>
          <w:sz w:val="19"/>
        </w:rPr>
        <w:t xml:space="preserve"> </w:t>
      </w:r>
      <w:r>
        <w:rPr>
          <w:i/>
          <w:color w:val="231F20"/>
          <w:w w:val="105"/>
          <w:sz w:val="19"/>
        </w:rPr>
        <w:t>to introduce our</w:t>
      </w:r>
      <w:r>
        <w:rPr>
          <w:i/>
          <w:color w:val="231F20"/>
          <w:spacing w:val="15"/>
          <w:w w:val="105"/>
          <w:sz w:val="19"/>
        </w:rPr>
        <w:t xml:space="preserve"> </w:t>
      </w:r>
      <w:r>
        <w:rPr>
          <w:i/>
          <w:color w:val="231F20"/>
          <w:spacing w:val="-3"/>
          <w:w w:val="105"/>
          <w:sz w:val="19"/>
        </w:rPr>
        <w:t>concerns.”</w:t>
      </w:r>
      <w:r>
        <w:rPr>
          <w:i/>
          <w:color w:val="231F20"/>
          <w:spacing w:val="-3"/>
          <w:w w:val="105"/>
          <w:position w:val="6"/>
          <w:sz w:val="11"/>
        </w:rPr>
        <w:t>3</w:t>
      </w:r>
    </w:p>
    <w:p w14:paraId="1F90CB60" w14:textId="77777777" w:rsidR="002653E8" w:rsidRDefault="003115E3">
      <w:pPr>
        <w:pStyle w:val="a3"/>
        <w:spacing w:before="134" w:line="264" w:lineRule="auto"/>
        <w:ind w:left="1147" w:right="1326"/>
        <w:jc w:val="both"/>
        <w:rPr>
          <w:sz w:val="11"/>
        </w:rPr>
      </w:pPr>
      <w:r>
        <w:rPr>
          <w:color w:val="231F20"/>
        </w:rPr>
        <w:t xml:space="preserve">Regardless of these details, it was a plan agreed to by the </w:t>
      </w:r>
      <w:r w:rsidR="00C507A5">
        <w:rPr>
          <w:color w:val="231F20"/>
          <w:spacing w:val="5"/>
        </w:rPr>
        <w:t>red army faction</w:t>
      </w:r>
      <w:r>
        <w:rPr>
          <w:color w:val="231F20"/>
          <w:spacing w:val="5"/>
        </w:rPr>
        <w:t xml:space="preserve"> </w:t>
      </w:r>
      <w:r>
        <w:rPr>
          <w:color w:val="231F20"/>
        </w:rPr>
        <w:t xml:space="preserve">in the field, several of whose members had spent time in a </w:t>
      </w:r>
      <w:r>
        <w:rPr>
          <w:color w:val="231F20"/>
          <w:spacing w:val="1"/>
        </w:rPr>
        <w:t xml:space="preserve">PFLP </w:t>
      </w:r>
      <w:r>
        <w:rPr>
          <w:color w:val="231F20"/>
        </w:rPr>
        <w:t xml:space="preserve">(EO) training camp in South </w:t>
      </w:r>
      <w:r>
        <w:rPr>
          <w:color w:val="231F20"/>
          <w:spacing w:val="-3"/>
        </w:rPr>
        <w:t>yemen.</w:t>
      </w:r>
      <w:r>
        <w:rPr>
          <w:color w:val="231F20"/>
          <w:spacing w:val="-3"/>
          <w:position w:val="7"/>
          <w:sz w:val="11"/>
        </w:rPr>
        <w:t xml:space="preserve">4 </w:t>
      </w:r>
      <w:r>
        <w:rPr>
          <w:color w:val="231F20"/>
        </w:rPr>
        <w:t xml:space="preserve">The </w:t>
      </w:r>
      <w:r>
        <w:rPr>
          <w:color w:val="231F20"/>
          <w:spacing w:val="-5"/>
        </w:rPr>
        <w:t xml:space="preserve">1976-1977 </w:t>
      </w:r>
      <w:r>
        <w:rPr>
          <w:color w:val="231F20"/>
        </w:rPr>
        <w:t>wave of combatants had moved  to</w:t>
      </w:r>
      <w:r>
        <w:rPr>
          <w:color w:val="231F20"/>
          <w:spacing w:val="12"/>
        </w:rPr>
        <w:t xml:space="preserve"> </w:t>
      </w:r>
      <w:r>
        <w:rPr>
          <w:color w:val="231F20"/>
        </w:rPr>
        <w:t>the</w:t>
      </w:r>
      <w:r>
        <w:rPr>
          <w:color w:val="231F20"/>
          <w:spacing w:val="12"/>
        </w:rPr>
        <w:t xml:space="preserve"> </w:t>
      </w:r>
      <w:r>
        <w:rPr>
          <w:color w:val="231F20"/>
        </w:rPr>
        <w:t>international</w:t>
      </w:r>
      <w:r>
        <w:rPr>
          <w:color w:val="231F20"/>
          <w:spacing w:val="12"/>
        </w:rPr>
        <w:t xml:space="preserve"> </w:t>
      </w:r>
      <w:r>
        <w:rPr>
          <w:color w:val="231F20"/>
        </w:rPr>
        <w:t>terrain,</w:t>
      </w:r>
      <w:r>
        <w:rPr>
          <w:color w:val="231F20"/>
          <w:spacing w:val="12"/>
        </w:rPr>
        <w:t xml:space="preserve"> </w:t>
      </w:r>
      <w:r>
        <w:rPr>
          <w:color w:val="231F20"/>
        </w:rPr>
        <w:t>in</w:t>
      </w:r>
      <w:r>
        <w:rPr>
          <w:color w:val="231F20"/>
          <w:spacing w:val="12"/>
        </w:rPr>
        <w:t xml:space="preserve"> </w:t>
      </w:r>
      <w:r>
        <w:rPr>
          <w:color w:val="231F20"/>
        </w:rPr>
        <w:t>a</w:t>
      </w:r>
      <w:r>
        <w:rPr>
          <w:color w:val="231F20"/>
          <w:spacing w:val="12"/>
        </w:rPr>
        <w:t xml:space="preserve"> </w:t>
      </w:r>
      <w:r>
        <w:rPr>
          <w:color w:val="231F20"/>
          <w:spacing w:val="-2"/>
        </w:rPr>
        <w:t>way</w:t>
      </w:r>
      <w:r>
        <w:rPr>
          <w:color w:val="231F20"/>
          <w:spacing w:val="12"/>
        </w:rPr>
        <w:t xml:space="preserve"> </w:t>
      </w:r>
      <w:r>
        <w:rPr>
          <w:color w:val="231F20"/>
        </w:rPr>
        <w:t>the</w:t>
      </w:r>
      <w:r>
        <w:rPr>
          <w:color w:val="231F20"/>
          <w:spacing w:val="13"/>
        </w:rPr>
        <w:t xml:space="preserve"> </w:t>
      </w:r>
      <w:r w:rsidR="00C507A5">
        <w:rPr>
          <w:color w:val="231F20"/>
          <w:spacing w:val="5"/>
        </w:rPr>
        <w:t>red army faction</w:t>
      </w:r>
      <w:r>
        <w:rPr>
          <w:color w:val="231F20"/>
          <w:spacing w:val="12"/>
        </w:rPr>
        <w:t xml:space="preserve"> </w:t>
      </w:r>
      <w:r>
        <w:rPr>
          <w:color w:val="231F20"/>
        </w:rPr>
        <w:t>had</w:t>
      </w:r>
      <w:r>
        <w:rPr>
          <w:color w:val="231F20"/>
          <w:spacing w:val="12"/>
        </w:rPr>
        <w:t xml:space="preserve"> </w:t>
      </w:r>
      <w:r>
        <w:rPr>
          <w:color w:val="231F20"/>
        </w:rPr>
        <w:t>never</w:t>
      </w:r>
      <w:r>
        <w:rPr>
          <w:color w:val="231F20"/>
          <w:spacing w:val="12"/>
        </w:rPr>
        <w:t xml:space="preserve"> </w:t>
      </w:r>
      <w:r>
        <w:rPr>
          <w:color w:val="231F20"/>
        </w:rPr>
        <w:t>done</w:t>
      </w:r>
      <w:r>
        <w:rPr>
          <w:color w:val="231F20"/>
          <w:spacing w:val="12"/>
        </w:rPr>
        <w:t xml:space="preserve"> </w:t>
      </w:r>
      <w:r>
        <w:rPr>
          <w:color w:val="231F20"/>
        </w:rPr>
        <w:t>before.</w:t>
      </w:r>
      <w:r>
        <w:rPr>
          <w:color w:val="231F20"/>
          <w:position w:val="7"/>
          <w:sz w:val="11"/>
        </w:rPr>
        <w:t>5</w:t>
      </w:r>
    </w:p>
    <w:p w14:paraId="10D6DA00" w14:textId="77777777" w:rsidR="002653E8" w:rsidRDefault="003115E3">
      <w:pPr>
        <w:pStyle w:val="a3"/>
        <w:spacing w:line="264" w:lineRule="auto"/>
        <w:ind w:left="1147" w:right="1326" w:firstLine="210"/>
        <w:jc w:val="both"/>
      </w:pPr>
      <w:r>
        <w:rPr>
          <w:color w:val="231F20"/>
        </w:rPr>
        <w:t>Not only that, but they had sanctioned an action in which civilians were being used as hostages—another unprecedented step which the guerilla would eventually see an error.</w:t>
      </w:r>
      <w:r>
        <w:rPr>
          <w:color w:val="231F20"/>
          <w:position w:val="7"/>
          <w:sz w:val="11"/>
        </w:rPr>
        <w:t xml:space="preserve">6 </w:t>
      </w:r>
      <w:r>
        <w:rPr>
          <w:color w:val="231F20"/>
        </w:rPr>
        <w:t>Suddenly, it was not just one</w:t>
      </w:r>
    </w:p>
    <w:p w14:paraId="1D75E75A" w14:textId="77777777" w:rsidR="002653E8" w:rsidRDefault="00000000">
      <w:pPr>
        <w:pStyle w:val="a3"/>
        <w:spacing w:before="8"/>
        <w:rPr>
          <w:sz w:val="15"/>
        </w:rPr>
      </w:pPr>
      <w:r>
        <w:rPr>
          <w:noProof w:val="0"/>
        </w:rPr>
        <w:pict w14:anchorId="3500A7D8">
          <v:line id="_x0000_s2200" style="position:absolute;z-index:10216;mso-wrap-distance-left:0;mso-wrap-distance-right:0;mso-position-horizontal-relative:page" from="57.4pt,11.4pt" to="129.4pt,11.4pt" strokecolor="#231f20" strokeweight=".5pt">
            <w10:wrap type="topAndBottom" anchorx="page"/>
          </v:line>
        </w:pict>
      </w:r>
    </w:p>
    <w:p w14:paraId="4F3927C2" w14:textId="77777777" w:rsidR="002653E8" w:rsidRPr="00846956" w:rsidRDefault="003115E3">
      <w:pPr>
        <w:pStyle w:val="a4"/>
        <w:numPr>
          <w:ilvl w:val="0"/>
          <w:numId w:val="59"/>
        </w:numPr>
        <w:tabs>
          <w:tab w:val="left" w:pos="1287"/>
        </w:tabs>
        <w:spacing w:before="53" w:line="254" w:lineRule="auto"/>
        <w:ind w:right="1378" w:firstLine="0"/>
        <w:jc w:val="left"/>
        <w:rPr>
          <w:sz w:val="16"/>
          <w:lang w:val="de-DE"/>
        </w:rPr>
      </w:pPr>
      <w:r w:rsidRPr="00846956">
        <w:rPr>
          <w:color w:val="231F20"/>
          <w:w w:val="105"/>
          <w:sz w:val="16"/>
          <w:lang w:val="de-DE"/>
        </w:rPr>
        <w:t xml:space="preserve">Butz Peters, “Landshut-Befreiung: Die </w:t>
      </w:r>
      <w:r w:rsidR="00C507A5" w:rsidRPr="00846956">
        <w:rPr>
          <w:color w:val="231F20"/>
          <w:spacing w:val="3"/>
          <w:w w:val="105"/>
          <w:sz w:val="16"/>
          <w:lang w:val="de-DE"/>
        </w:rPr>
        <w:t>red army faction</w:t>
      </w:r>
      <w:r w:rsidRPr="00846956">
        <w:rPr>
          <w:color w:val="231F20"/>
          <w:spacing w:val="3"/>
          <w:w w:val="105"/>
          <w:sz w:val="16"/>
          <w:lang w:val="de-DE"/>
        </w:rPr>
        <w:t xml:space="preserve"> </w:t>
      </w:r>
      <w:r w:rsidRPr="00846956">
        <w:rPr>
          <w:color w:val="231F20"/>
          <w:w w:val="105"/>
          <w:sz w:val="16"/>
          <w:lang w:val="de-DE"/>
        </w:rPr>
        <w:t xml:space="preserve">erleidet ihre größte Niederlage,” </w:t>
      </w:r>
      <w:r w:rsidRPr="00846956">
        <w:rPr>
          <w:i/>
          <w:color w:val="231F20"/>
          <w:w w:val="105"/>
          <w:sz w:val="16"/>
          <w:lang w:val="de-DE"/>
        </w:rPr>
        <w:t xml:space="preserve">Welt </w:t>
      </w:r>
      <w:r w:rsidRPr="00846956">
        <w:rPr>
          <w:i/>
          <w:color w:val="231F20"/>
          <w:spacing w:val="1"/>
          <w:w w:val="105"/>
          <w:sz w:val="16"/>
          <w:lang w:val="de-DE"/>
        </w:rPr>
        <w:t xml:space="preserve">Online, </w:t>
      </w:r>
      <w:r w:rsidRPr="00846956">
        <w:rPr>
          <w:color w:val="231F20"/>
          <w:w w:val="105"/>
          <w:sz w:val="16"/>
          <w:lang w:val="de-DE"/>
        </w:rPr>
        <w:t>October 14,</w:t>
      </w:r>
      <w:r w:rsidRPr="00846956">
        <w:rPr>
          <w:color w:val="231F20"/>
          <w:spacing w:val="25"/>
          <w:w w:val="105"/>
          <w:sz w:val="16"/>
          <w:lang w:val="de-DE"/>
        </w:rPr>
        <w:t xml:space="preserve"> </w:t>
      </w:r>
      <w:r w:rsidRPr="00846956">
        <w:rPr>
          <w:color w:val="231F20"/>
          <w:w w:val="105"/>
          <w:sz w:val="16"/>
          <w:lang w:val="de-DE"/>
        </w:rPr>
        <w:t>2007.</w:t>
      </w:r>
    </w:p>
    <w:p w14:paraId="5EB722EE" w14:textId="77777777" w:rsidR="002653E8" w:rsidRPr="00846956" w:rsidRDefault="003115E3">
      <w:pPr>
        <w:pStyle w:val="a4"/>
        <w:numPr>
          <w:ilvl w:val="0"/>
          <w:numId w:val="59"/>
        </w:numPr>
        <w:tabs>
          <w:tab w:val="left" w:pos="1287"/>
        </w:tabs>
        <w:spacing w:line="254" w:lineRule="auto"/>
        <w:ind w:right="1450" w:firstLine="0"/>
        <w:jc w:val="left"/>
        <w:rPr>
          <w:sz w:val="16"/>
          <w:lang w:val="de-DE"/>
        </w:rPr>
      </w:pPr>
      <w:r w:rsidRPr="00846956">
        <w:rPr>
          <w:color w:val="231F20"/>
          <w:w w:val="105"/>
          <w:sz w:val="16"/>
          <w:lang w:val="de-DE"/>
        </w:rPr>
        <w:t>Oliver Schröm “Im Schatten des Schakals. Carlos und die Wegbereiter des internationalen Terrorismus,” 9.</w:t>
      </w:r>
      <w:hyperlink r:id="rId404">
        <w:r w:rsidRPr="00846956">
          <w:rPr>
            <w:color w:val="231F20"/>
            <w:w w:val="105"/>
            <w:sz w:val="16"/>
            <w:lang w:val="de-DE"/>
          </w:rPr>
          <w:t xml:space="preserve"> </w:t>
        </w:r>
        <w:r w:rsidRPr="00846956">
          <w:rPr>
            <w:color w:val="231F20"/>
            <w:w w:val="104"/>
            <w:sz w:val="16"/>
            <w:lang w:val="de-DE"/>
          </w:rPr>
          <w:t>h</w:t>
        </w:r>
        <w:r w:rsidRPr="00846956">
          <w:rPr>
            <w:color w:val="231F20"/>
            <w:spacing w:val="5"/>
            <w:w w:val="102"/>
            <w:sz w:val="16"/>
            <w:lang w:val="de-DE"/>
          </w:rPr>
          <w:t>t</w:t>
        </w:r>
        <w:r w:rsidRPr="00846956">
          <w:rPr>
            <w:color w:val="231F20"/>
            <w:spacing w:val="3"/>
            <w:w w:val="102"/>
            <w:sz w:val="16"/>
            <w:lang w:val="de-DE"/>
          </w:rPr>
          <w:t>t</w:t>
        </w:r>
        <w:r w:rsidRPr="00846956">
          <w:rPr>
            <w:color w:val="231F20"/>
            <w:w w:val="103"/>
            <w:sz w:val="16"/>
            <w:lang w:val="de-DE"/>
          </w:rPr>
          <w:t>p</w:t>
        </w:r>
        <w:r w:rsidRPr="00846956">
          <w:rPr>
            <w:color w:val="231F20"/>
            <w:spacing w:val="5"/>
            <w:w w:val="109"/>
            <w:sz w:val="16"/>
            <w:lang w:val="de-DE"/>
          </w:rPr>
          <w:t>:</w:t>
        </w:r>
        <w:r w:rsidRPr="00846956">
          <w:rPr>
            <w:color w:val="231F20"/>
            <w:spacing w:val="-1"/>
            <w:w w:val="58"/>
            <w:sz w:val="16"/>
            <w:lang w:val="de-DE"/>
          </w:rPr>
          <w:t>/</w:t>
        </w:r>
        <w:r w:rsidRPr="00846956">
          <w:rPr>
            <w:color w:val="231F20"/>
            <w:spacing w:val="2"/>
            <w:w w:val="58"/>
            <w:sz w:val="16"/>
            <w:lang w:val="de-DE"/>
          </w:rPr>
          <w:t>/</w:t>
        </w:r>
        <w:r w:rsidRPr="00846956">
          <w:rPr>
            <w:color w:val="231F20"/>
            <w:spacing w:val="6"/>
            <w:w w:val="104"/>
            <w:sz w:val="16"/>
            <w:lang w:val="de-DE"/>
          </w:rPr>
          <w:t>ww</w:t>
        </w:r>
        <w:r w:rsidRPr="00846956">
          <w:rPr>
            <w:color w:val="231F20"/>
            <w:spacing w:val="-9"/>
            <w:w w:val="104"/>
            <w:sz w:val="16"/>
            <w:lang w:val="de-DE"/>
          </w:rPr>
          <w:t>w</w:t>
        </w:r>
        <w:r w:rsidRPr="00846956">
          <w:rPr>
            <w:color w:val="231F20"/>
            <w:w w:val="140"/>
            <w:sz w:val="16"/>
            <w:lang w:val="de-DE"/>
          </w:rPr>
          <w:t>.</w:t>
        </w:r>
        <w:r w:rsidRPr="00846956">
          <w:rPr>
            <w:color w:val="231F20"/>
            <w:spacing w:val="1"/>
            <w:w w:val="106"/>
            <w:sz w:val="16"/>
            <w:lang w:val="de-DE"/>
          </w:rPr>
          <w:t>l</w:t>
        </w:r>
        <w:r w:rsidRPr="00846956">
          <w:rPr>
            <w:color w:val="231F20"/>
            <w:spacing w:val="-2"/>
            <w:w w:val="106"/>
            <w:sz w:val="16"/>
            <w:lang w:val="de-DE"/>
          </w:rPr>
          <w:t>a</w:t>
        </w:r>
        <w:r w:rsidRPr="00846956">
          <w:rPr>
            <w:color w:val="231F20"/>
            <w:spacing w:val="-2"/>
            <w:w w:val="102"/>
            <w:sz w:val="16"/>
            <w:lang w:val="de-DE"/>
          </w:rPr>
          <w:t>v</w:t>
        </w:r>
        <w:r w:rsidRPr="00846956">
          <w:rPr>
            <w:color w:val="231F20"/>
            <w:spacing w:val="2"/>
            <w:w w:val="108"/>
            <w:sz w:val="16"/>
            <w:lang w:val="de-DE"/>
          </w:rPr>
          <w:t>o</w:t>
        </w:r>
        <w:r w:rsidRPr="00846956">
          <w:rPr>
            <w:color w:val="231F20"/>
            <w:spacing w:val="2"/>
            <w:w w:val="104"/>
            <w:sz w:val="16"/>
            <w:lang w:val="de-DE"/>
          </w:rPr>
          <w:t>c</w:t>
        </w:r>
        <w:r w:rsidRPr="00846956">
          <w:rPr>
            <w:color w:val="231F20"/>
            <w:spacing w:val="-1"/>
            <w:w w:val="106"/>
            <w:sz w:val="16"/>
            <w:lang w:val="de-DE"/>
          </w:rPr>
          <w:t>a</w:t>
        </w:r>
        <w:r w:rsidRPr="00846956">
          <w:rPr>
            <w:color w:val="231F20"/>
            <w:w w:val="102"/>
            <w:sz w:val="16"/>
            <w:lang w:val="de-DE"/>
          </w:rPr>
          <w:t>t</w:t>
        </w:r>
        <w:r w:rsidRPr="00846956">
          <w:rPr>
            <w:color w:val="231F20"/>
            <w:w w:val="103"/>
            <w:sz w:val="16"/>
            <w:lang w:val="de-DE"/>
          </w:rPr>
          <w:t>d</w:t>
        </w:r>
        <w:r w:rsidRPr="00846956">
          <w:rPr>
            <w:color w:val="231F20"/>
            <w:w w:val="94"/>
            <w:sz w:val="16"/>
            <w:lang w:val="de-DE"/>
          </w:rPr>
          <w:t>e</w:t>
        </w:r>
        <w:r w:rsidRPr="00846956">
          <w:rPr>
            <w:color w:val="231F20"/>
            <w:spacing w:val="1"/>
            <w:w w:val="106"/>
            <w:sz w:val="16"/>
            <w:lang w:val="de-DE"/>
          </w:rPr>
          <w:t>l</w:t>
        </w:r>
        <w:r w:rsidRPr="00846956">
          <w:rPr>
            <w:color w:val="231F20"/>
            <w:spacing w:val="-1"/>
            <w:w w:val="106"/>
            <w:sz w:val="16"/>
            <w:lang w:val="de-DE"/>
          </w:rPr>
          <w:t>a</w:t>
        </w:r>
        <w:r w:rsidRPr="00846956">
          <w:rPr>
            <w:color w:val="231F20"/>
            <w:spacing w:val="1"/>
            <w:w w:val="102"/>
            <w:sz w:val="16"/>
            <w:lang w:val="de-DE"/>
          </w:rPr>
          <w:t>t</w:t>
        </w:r>
        <w:r w:rsidRPr="00846956">
          <w:rPr>
            <w:color w:val="231F20"/>
            <w:w w:val="94"/>
            <w:sz w:val="16"/>
            <w:lang w:val="de-DE"/>
          </w:rPr>
          <w:t>e</w:t>
        </w:r>
        <w:r w:rsidRPr="00846956">
          <w:rPr>
            <w:color w:val="231F20"/>
            <w:spacing w:val="2"/>
            <w:w w:val="97"/>
            <w:sz w:val="16"/>
            <w:lang w:val="de-DE"/>
          </w:rPr>
          <w:t>r</w:t>
        </w:r>
        <w:r w:rsidRPr="00846956">
          <w:rPr>
            <w:color w:val="231F20"/>
            <w:w w:val="97"/>
            <w:sz w:val="16"/>
            <w:lang w:val="de-DE"/>
          </w:rPr>
          <w:t>r</w:t>
        </w:r>
        <w:r w:rsidRPr="00846956">
          <w:rPr>
            <w:color w:val="231F20"/>
            <w:w w:val="94"/>
            <w:sz w:val="16"/>
            <w:lang w:val="de-DE"/>
          </w:rPr>
          <w:t>e</w:t>
        </w:r>
        <w:r w:rsidRPr="00846956">
          <w:rPr>
            <w:color w:val="231F20"/>
            <w:spacing w:val="5"/>
            <w:w w:val="104"/>
            <w:sz w:val="16"/>
            <w:lang w:val="de-DE"/>
          </w:rPr>
          <w:t>u</w:t>
        </w:r>
        <w:r w:rsidRPr="00846956">
          <w:rPr>
            <w:color w:val="231F20"/>
            <w:spacing w:val="-4"/>
            <w:w w:val="97"/>
            <w:sz w:val="16"/>
            <w:lang w:val="de-DE"/>
          </w:rPr>
          <w:t>r</w:t>
        </w:r>
        <w:r w:rsidRPr="00846956">
          <w:rPr>
            <w:color w:val="231F20"/>
            <w:w w:val="140"/>
            <w:sz w:val="16"/>
            <w:lang w:val="de-DE"/>
          </w:rPr>
          <w:t>.</w:t>
        </w:r>
        <w:r w:rsidRPr="00846956">
          <w:rPr>
            <w:color w:val="231F20"/>
            <w:w w:val="104"/>
            <w:sz w:val="16"/>
            <w:lang w:val="de-DE"/>
          </w:rPr>
          <w:t>c</w:t>
        </w:r>
        <w:r w:rsidRPr="00846956">
          <w:rPr>
            <w:color w:val="231F20"/>
            <w:w w:val="108"/>
            <w:sz w:val="16"/>
            <w:lang w:val="de-DE"/>
          </w:rPr>
          <w:t>o</w:t>
        </w:r>
        <w:r w:rsidRPr="00846956">
          <w:rPr>
            <w:color w:val="231F20"/>
            <w:spacing w:val="8"/>
            <w:w w:val="103"/>
            <w:sz w:val="16"/>
            <w:lang w:val="de-DE"/>
          </w:rPr>
          <w:t>m</w:t>
        </w:r>
        <w:r w:rsidRPr="00846956">
          <w:rPr>
            <w:color w:val="231F20"/>
            <w:w w:val="58"/>
            <w:sz w:val="16"/>
            <w:lang w:val="de-DE"/>
          </w:rPr>
          <w:t>/</w:t>
        </w:r>
        <w:r w:rsidRPr="00846956">
          <w:rPr>
            <w:color w:val="231F20"/>
            <w:spacing w:val="1"/>
            <w:w w:val="103"/>
            <w:sz w:val="16"/>
            <w:lang w:val="de-DE"/>
          </w:rPr>
          <w:t>p</w:t>
        </w:r>
        <w:r w:rsidRPr="00846956">
          <w:rPr>
            <w:color w:val="231F20"/>
            <w:spacing w:val="3"/>
            <w:w w:val="103"/>
            <w:sz w:val="16"/>
            <w:lang w:val="de-DE"/>
          </w:rPr>
          <w:t>d</w:t>
        </w:r>
        <w:r w:rsidRPr="00846956">
          <w:rPr>
            <w:color w:val="231F20"/>
            <w:spacing w:val="6"/>
            <w:w w:val="114"/>
            <w:sz w:val="16"/>
            <w:lang w:val="de-DE"/>
          </w:rPr>
          <w:t>f</w:t>
        </w:r>
        <w:r w:rsidRPr="00846956">
          <w:rPr>
            <w:color w:val="231F20"/>
            <w:spacing w:val="10"/>
            <w:w w:val="58"/>
            <w:sz w:val="16"/>
            <w:lang w:val="de-DE"/>
          </w:rPr>
          <w:t>/</w:t>
        </w:r>
        <w:r w:rsidRPr="00846956">
          <w:rPr>
            <w:color w:val="231F20"/>
            <w:spacing w:val="5"/>
            <w:w w:val="106"/>
            <w:sz w:val="16"/>
            <w:lang w:val="de-DE"/>
          </w:rPr>
          <w:t>I</w:t>
        </w:r>
        <w:r w:rsidRPr="00846956">
          <w:rPr>
            <w:color w:val="231F20"/>
            <w:spacing w:val="-9"/>
            <w:w w:val="103"/>
            <w:sz w:val="16"/>
            <w:lang w:val="de-DE"/>
          </w:rPr>
          <w:t>m</w:t>
        </w:r>
        <w:r w:rsidRPr="00846956">
          <w:rPr>
            <w:color w:val="231F20"/>
            <w:spacing w:val="-1"/>
            <w:w w:val="116"/>
            <w:sz w:val="16"/>
            <w:lang w:val="de-DE"/>
          </w:rPr>
          <w:t>%</w:t>
        </w:r>
        <w:r w:rsidRPr="00846956">
          <w:rPr>
            <w:color w:val="231F20"/>
            <w:spacing w:val="1"/>
            <w:w w:val="104"/>
            <w:sz w:val="16"/>
            <w:lang w:val="de-DE"/>
          </w:rPr>
          <w:t>2</w:t>
        </w:r>
        <w:r w:rsidRPr="00846956">
          <w:rPr>
            <w:color w:val="231F20"/>
            <w:spacing w:val="5"/>
            <w:w w:val="104"/>
            <w:sz w:val="16"/>
            <w:lang w:val="de-DE"/>
          </w:rPr>
          <w:t>0S</w:t>
        </w:r>
        <w:r w:rsidRPr="00846956">
          <w:rPr>
            <w:color w:val="231F20"/>
            <w:w w:val="104"/>
            <w:sz w:val="16"/>
            <w:lang w:val="de-DE"/>
          </w:rPr>
          <w:t>c</w:t>
        </w:r>
        <w:r w:rsidRPr="00846956">
          <w:rPr>
            <w:color w:val="231F20"/>
            <w:spacing w:val="1"/>
            <w:w w:val="104"/>
            <w:sz w:val="16"/>
            <w:lang w:val="de-DE"/>
          </w:rPr>
          <w:t>h</w:t>
        </w:r>
        <w:r w:rsidRPr="00846956">
          <w:rPr>
            <w:color w:val="231F20"/>
            <w:spacing w:val="-1"/>
            <w:w w:val="106"/>
            <w:sz w:val="16"/>
            <w:lang w:val="de-DE"/>
          </w:rPr>
          <w:t>a</w:t>
        </w:r>
        <w:r w:rsidRPr="00846956">
          <w:rPr>
            <w:color w:val="231F20"/>
            <w:spacing w:val="5"/>
            <w:w w:val="102"/>
            <w:sz w:val="16"/>
            <w:lang w:val="de-DE"/>
          </w:rPr>
          <w:t>t</w:t>
        </w:r>
        <w:r w:rsidRPr="00846956">
          <w:rPr>
            <w:color w:val="231F20"/>
            <w:spacing w:val="1"/>
            <w:w w:val="102"/>
            <w:sz w:val="16"/>
            <w:lang w:val="de-DE"/>
          </w:rPr>
          <w:t>t</w:t>
        </w:r>
        <w:r w:rsidRPr="00846956">
          <w:rPr>
            <w:color w:val="231F20"/>
            <w:w w:val="94"/>
            <w:sz w:val="16"/>
            <w:lang w:val="de-DE"/>
          </w:rPr>
          <w:t>e</w:t>
        </w:r>
        <w:r w:rsidRPr="00846956">
          <w:rPr>
            <w:color w:val="231F20"/>
            <w:spacing w:val="-10"/>
            <w:w w:val="103"/>
            <w:sz w:val="16"/>
            <w:lang w:val="de-DE"/>
          </w:rPr>
          <w:t>n</w:t>
        </w:r>
        <w:r w:rsidRPr="00846956">
          <w:rPr>
            <w:color w:val="231F20"/>
            <w:spacing w:val="-1"/>
            <w:w w:val="116"/>
            <w:sz w:val="16"/>
            <w:lang w:val="de-DE"/>
          </w:rPr>
          <w:t>%</w:t>
        </w:r>
        <w:r w:rsidRPr="00846956">
          <w:rPr>
            <w:color w:val="231F20"/>
            <w:spacing w:val="1"/>
            <w:w w:val="104"/>
            <w:sz w:val="16"/>
            <w:lang w:val="de-DE"/>
          </w:rPr>
          <w:t>2</w:t>
        </w:r>
        <w:r w:rsidRPr="00846956">
          <w:rPr>
            <w:color w:val="231F20"/>
            <w:spacing w:val="3"/>
            <w:w w:val="104"/>
            <w:sz w:val="16"/>
            <w:lang w:val="de-DE"/>
          </w:rPr>
          <w:t>0</w:t>
        </w:r>
        <w:r w:rsidRPr="00846956">
          <w:rPr>
            <w:color w:val="231F20"/>
            <w:w w:val="103"/>
            <w:sz w:val="16"/>
            <w:lang w:val="de-DE"/>
          </w:rPr>
          <w:t>d</w:t>
        </w:r>
        <w:r w:rsidRPr="00846956">
          <w:rPr>
            <w:color w:val="231F20"/>
            <w:spacing w:val="2"/>
            <w:w w:val="94"/>
            <w:sz w:val="16"/>
            <w:lang w:val="de-DE"/>
          </w:rPr>
          <w:t>e</w:t>
        </w:r>
        <w:r w:rsidRPr="00846956">
          <w:rPr>
            <w:color w:val="231F20"/>
            <w:spacing w:val="-5"/>
            <w:w w:val="93"/>
            <w:sz w:val="16"/>
            <w:lang w:val="de-DE"/>
          </w:rPr>
          <w:t>s</w:t>
        </w:r>
        <w:r w:rsidRPr="00846956">
          <w:rPr>
            <w:color w:val="231F20"/>
            <w:spacing w:val="-1"/>
            <w:w w:val="116"/>
            <w:sz w:val="16"/>
            <w:lang w:val="de-DE"/>
          </w:rPr>
          <w:t>%</w:t>
        </w:r>
        <w:r w:rsidRPr="00846956">
          <w:rPr>
            <w:color w:val="231F20"/>
            <w:spacing w:val="1"/>
            <w:w w:val="104"/>
            <w:sz w:val="16"/>
            <w:lang w:val="de-DE"/>
          </w:rPr>
          <w:t>2</w:t>
        </w:r>
        <w:r w:rsidRPr="00846956">
          <w:rPr>
            <w:color w:val="231F20"/>
            <w:spacing w:val="5"/>
            <w:w w:val="104"/>
            <w:sz w:val="16"/>
            <w:lang w:val="de-DE"/>
          </w:rPr>
          <w:t>0S</w:t>
        </w:r>
        <w:r w:rsidRPr="00846956">
          <w:rPr>
            <w:color w:val="231F20"/>
            <w:w w:val="104"/>
            <w:sz w:val="16"/>
            <w:lang w:val="de-DE"/>
          </w:rPr>
          <w:t>c</w:t>
        </w:r>
        <w:r w:rsidRPr="00846956">
          <w:rPr>
            <w:color w:val="231F20"/>
            <w:spacing w:val="1"/>
            <w:w w:val="104"/>
            <w:sz w:val="16"/>
            <w:lang w:val="de-DE"/>
          </w:rPr>
          <w:t>h</w:t>
        </w:r>
        <w:r w:rsidRPr="00846956">
          <w:rPr>
            <w:color w:val="231F20"/>
            <w:spacing w:val="3"/>
            <w:w w:val="106"/>
            <w:sz w:val="16"/>
            <w:lang w:val="de-DE"/>
          </w:rPr>
          <w:t>a</w:t>
        </w:r>
        <w:r w:rsidRPr="00846956">
          <w:rPr>
            <w:color w:val="231F20"/>
            <w:spacing w:val="1"/>
            <w:w w:val="109"/>
            <w:sz w:val="16"/>
            <w:lang w:val="de-DE"/>
          </w:rPr>
          <w:t>k</w:t>
        </w:r>
        <w:r w:rsidRPr="00846956">
          <w:rPr>
            <w:color w:val="231F20"/>
            <w:spacing w:val="2"/>
            <w:w w:val="106"/>
            <w:sz w:val="16"/>
            <w:lang w:val="de-DE"/>
          </w:rPr>
          <w:t>a</w:t>
        </w:r>
        <w:r w:rsidRPr="00846956">
          <w:rPr>
            <w:color w:val="231F20"/>
            <w:spacing w:val="1"/>
            <w:w w:val="98"/>
            <w:sz w:val="16"/>
            <w:lang w:val="de-DE"/>
          </w:rPr>
          <w:t>ls</w:t>
        </w:r>
        <w:r w:rsidRPr="00846956">
          <w:rPr>
            <w:color w:val="231F20"/>
            <w:spacing w:val="-1"/>
            <w:w w:val="140"/>
            <w:sz w:val="16"/>
            <w:lang w:val="de-DE"/>
          </w:rPr>
          <w:t>.</w:t>
        </w:r>
        <w:r w:rsidRPr="00846956">
          <w:rPr>
            <w:color w:val="231F20"/>
            <w:spacing w:val="1"/>
            <w:w w:val="103"/>
            <w:sz w:val="16"/>
            <w:lang w:val="de-DE"/>
          </w:rPr>
          <w:t>p</w:t>
        </w:r>
        <w:r w:rsidRPr="00846956">
          <w:rPr>
            <w:color w:val="231F20"/>
            <w:spacing w:val="3"/>
            <w:w w:val="103"/>
            <w:sz w:val="16"/>
            <w:lang w:val="de-DE"/>
          </w:rPr>
          <w:t>d</w:t>
        </w:r>
        <w:r w:rsidRPr="00846956">
          <w:rPr>
            <w:color w:val="231F20"/>
            <w:w w:val="114"/>
            <w:sz w:val="16"/>
            <w:lang w:val="de-DE"/>
          </w:rPr>
          <w:t>f</w:t>
        </w:r>
        <w:r w:rsidRPr="00846956">
          <w:rPr>
            <w:color w:val="231F20"/>
            <w:w w:val="140"/>
            <w:sz w:val="16"/>
            <w:lang w:val="de-DE"/>
          </w:rPr>
          <w:t>.</w:t>
        </w:r>
      </w:hyperlink>
    </w:p>
    <w:p w14:paraId="32C3DC0E" w14:textId="77777777" w:rsidR="002653E8" w:rsidRDefault="003115E3">
      <w:pPr>
        <w:pStyle w:val="a4"/>
        <w:numPr>
          <w:ilvl w:val="0"/>
          <w:numId w:val="59"/>
        </w:numPr>
        <w:tabs>
          <w:tab w:val="left" w:pos="1287"/>
        </w:tabs>
        <w:ind w:left="1286"/>
        <w:jc w:val="left"/>
        <w:rPr>
          <w:sz w:val="16"/>
        </w:rPr>
      </w:pPr>
      <w:r>
        <w:rPr>
          <w:color w:val="231F20"/>
          <w:w w:val="110"/>
          <w:sz w:val="16"/>
        </w:rPr>
        <w:t>Wisniewski,</w:t>
      </w:r>
      <w:r>
        <w:rPr>
          <w:color w:val="231F20"/>
          <w:spacing w:val="5"/>
          <w:w w:val="110"/>
          <w:sz w:val="16"/>
        </w:rPr>
        <w:t xml:space="preserve"> </w:t>
      </w:r>
      <w:r>
        <w:rPr>
          <w:color w:val="231F20"/>
          <w:w w:val="110"/>
          <w:sz w:val="16"/>
        </w:rPr>
        <w:t>26.</w:t>
      </w:r>
    </w:p>
    <w:p w14:paraId="1EDDC587" w14:textId="77777777" w:rsidR="002653E8" w:rsidRDefault="003115E3">
      <w:pPr>
        <w:pStyle w:val="a4"/>
        <w:numPr>
          <w:ilvl w:val="0"/>
          <w:numId w:val="59"/>
        </w:numPr>
        <w:tabs>
          <w:tab w:val="left" w:pos="1287"/>
        </w:tabs>
        <w:spacing w:before="51" w:line="254" w:lineRule="auto"/>
        <w:ind w:right="1347" w:firstLine="0"/>
        <w:jc w:val="left"/>
        <w:rPr>
          <w:sz w:val="16"/>
        </w:rPr>
      </w:pPr>
      <w:r>
        <w:rPr>
          <w:color w:val="231F20"/>
          <w:w w:val="105"/>
          <w:sz w:val="16"/>
        </w:rPr>
        <w:t xml:space="preserve">One far-right </w:t>
      </w:r>
      <w:r>
        <w:rPr>
          <w:color w:val="231F20"/>
          <w:spacing w:val="1"/>
          <w:w w:val="105"/>
          <w:sz w:val="16"/>
        </w:rPr>
        <w:t>anti-</w:t>
      </w:r>
      <w:r w:rsidR="00C507A5">
        <w:rPr>
          <w:color w:val="231F20"/>
          <w:spacing w:val="1"/>
          <w:w w:val="105"/>
          <w:sz w:val="16"/>
        </w:rPr>
        <w:t>red army faction</w:t>
      </w:r>
      <w:r>
        <w:rPr>
          <w:color w:val="231F20"/>
          <w:spacing w:val="1"/>
          <w:w w:val="105"/>
          <w:sz w:val="16"/>
        </w:rPr>
        <w:t xml:space="preserve"> </w:t>
      </w:r>
      <w:r>
        <w:rPr>
          <w:color w:val="231F20"/>
          <w:w w:val="105"/>
          <w:sz w:val="16"/>
        </w:rPr>
        <w:t>source claims that Siegfried Haag and Elisabeth von Dyck had</w:t>
      </w:r>
      <w:r>
        <w:rPr>
          <w:color w:val="231F20"/>
          <w:spacing w:val="7"/>
          <w:w w:val="105"/>
          <w:sz w:val="16"/>
        </w:rPr>
        <w:t xml:space="preserve"> </w:t>
      </w:r>
      <w:r>
        <w:rPr>
          <w:color w:val="231F20"/>
          <w:w w:val="105"/>
          <w:sz w:val="16"/>
        </w:rPr>
        <w:t>first</w:t>
      </w:r>
      <w:r>
        <w:rPr>
          <w:color w:val="231F20"/>
          <w:spacing w:val="7"/>
          <w:w w:val="105"/>
          <w:sz w:val="16"/>
        </w:rPr>
        <w:t xml:space="preserve"> </w:t>
      </w:r>
      <w:r>
        <w:rPr>
          <w:color w:val="231F20"/>
          <w:w w:val="105"/>
          <w:sz w:val="16"/>
        </w:rPr>
        <w:t>entered</w:t>
      </w:r>
      <w:r>
        <w:rPr>
          <w:color w:val="231F20"/>
          <w:spacing w:val="7"/>
          <w:w w:val="105"/>
          <w:sz w:val="16"/>
        </w:rPr>
        <w:t xml:space="preserve"> </w:t>
      </w:r>
      <w:r>
        <w:rPr>
          <w:color w:val="231F20"/>
          <w:w w:val="105"/>
          <w:sz w:val="16"/>
        </w:rPr>
        <w:t>into</w:t>
      </w:r>
      <w:r>
        <w:rPr>
          <w:color w:val="231F20"/>
          <w:spacing w:val="7"/>
          <w:w w:val="105"/>
          <w:sz w:val="16"/>
        </w:rPr>
        <w:t xml:space="preserve"> </w:t>
      </w:r>
      <w:r>
        <w:rPr>
          <w:color w:val="231F20"/>
          <w:w w:val="105"/>
          <w:sz w:val="16"/>
        </w:rPr>
        <w:t>contact</w:t>
      </w:r>
      <w:r>
        <w:rPr>
          <w:color w:val="231F20"/>
          <w:spacing w:val="7"/>
          <w:w w:val="105"/>
          <w:sz w:val="16"/>
        </w:rPr>
        <w:t xml:space="preserve"> </w:t>
      </w:r>
      <w:r>
        <w:rPr>
          <w:color w:val="231F20"/>
          <w:w w:val="105"/>
          <w:sz w:val="16"/>
        </w:rPr>
        <w:t>with</w:t>
      </w:r>
      <w:r>
        <w:rPr>
          <w:color w:val="231F20"/>
          <w:spacing w:val="7"/>
          <w:w w:val="105"/>
          <w:sz w:val="16"/>
        </w:rPr>
        <w:t xml:space="preserve"> </w:t>
      </w:r>
      <w:r>
        <w:rPr>
          <w:color w:val="231F20"/>
          <w:w w:val="105"/>
          <w:sz w:val="16"/>
        </w:rPr>
        <w:t>the</w:t>
      </w:r>
      <w:r>
        <w:rPr>
          <w:color w:val="231F20"/>
          <w:spacing w:val="8"/>
          <w:w w:val="105"/>
          <w:sz w:val="16"/>
        </w:rPr>
        <w:t xml:space="preserve"> </w:t>
      </w:r>
      <w:r>
        <w:rPr>
          <w:color w:val="231F20"/>
          <w:spacing w:val="1"/>
          <w:w w:val="105"/>
          <w:sz w:val="16"/>
        </w:rPr>
        <w:t>PFLP</w:t>
      </w:r>
      <w:r>
        <w:rPr>
          <w:color w:val="231F20"/>
          <w:spacing w:val="-10"/>
          <w:w w:val="105"/>
          <w:sz w:val="16"/>
        </w:rPr>
        <w:t xml:space="preserve"> </w:t>
      </w:r>
      <w:r>
        <w:rPr>
          <w:color w:val="231F20"/>
          <w:w w:val="105"/>
          <w:sz w:val="16"/>
        </w:rPr>
        <w:t>(EO)</w:t>
      </w:r>
      <w:r>
        <w:rPr>
          <w:color w:val="231F20"/>
          <w:spacing w:val="7"/>
          <w:w w:val="105"/>
          <w:sz w:val="16"/>
        </w:rPr>
        <w:t xml:space="preserve"> </w:t>
      </w:r>
      <w:r>
        <w:rPr>
          <w:color w:val="231F20"/>
          <w:w w:val="105"/>
          <w:sz w:val="16"/>
        </w:rPr>
        <w:t>in</w:t>
      </w:r>
      <w:r>
        <w:rPr>
          <w:color w:val="231F20"/>
          <w:spacing w:val="7"/>
          <w:w w:val="105"/>
          <w:sz w:val="16"/>
        </w:rPr>
        <w:t xml:space="preserve"> </w:t>
      </w:r>
      <w:r>
        <w:rPr>
          <w:color w:val="231F20"/>
          <w:w w:val="105"/>
          <w:sz w:val="16"/>
        </w:rPr>
        <w:t>1976,</w:t>
      </w:r>
      <w:r>
        <w:rPr>
          <w:color w:val="231F20"/>
          <w:spacing w:val="7"/>
          <w:w w:val="105"/>
          <w:sz w:val="16"/>
        </w:rPr>
        <w:t xml:space="preserve"> </w:t>
      </w:r>
      <w:r>
        <w:rPr>
          <w:color w:val="231F20"/>
          <w:w w:val="105"/>
          <w:sz w:val="16"/>
        </w:rPr>
        <w:t>after</w:t>
      </w:r>
      <w:r>
        <w:rPr>
          <w:color w:val="231F20"/>
          <w:spacing w:val="7"/>
          <w:w w:val="105"/>
          <w:sz w:val="16"/>
        </w:rPr>
        <w:t xml:space="preserve"> </w:t>
      </w:r>
      <w:r>
        <w:rPr>
          <w:color w:val="231F20"/>
          <w:w w:val="105"/>
          <w:sz w:val="16"/>
        </w:rPr>
        <w:t>being</w:t>
      </w:r>
      <w:r>
        <w:rPr>
          <w:color w:val="231F20"/>
          <w:spacing w:val="7"/>
          <w:w w:val="105"/>
          <w:sz w:val="16"/>
        </w:rPr>
        <w:t xml:space="preserve"> </w:t>
      </w:r>
      <w:r>
        <w:rPr>
          <w:color w:val="231F20"/>
          <w:w w:val="105"/>
          <w:sz w:val="16"/>
        </w:rPr>
        <w:t>rebuffed</w:t>
      </w:r>
    </w:p>
    <w:p w14:paraId="3CEF879D" w14:textId="77777777" w:rsidR="002653E8" w:rsidRDefault="003115E3">
      <w:pPr>
        <w:spacing w:before="1" w:line="254" w:lineRule="auto"/>
        <w:ind w:left="1147" w:right="1474"/>
        <w:rPr>
          <w:sz w:val="16"/>
        </w:rPr>
      </w:pPr>
      <w:r>
        <w:rPr>
          <w:color w:val="231F20"/>
          <w:w w:val="105"/>
          <w:sz w:val="16"/>
        </w:rPr>
        <w:t xml:space="preserve">by both Arafat’s Fatah and Habash’s PFLP. While we do not share this source’s perspective, this version of events seems credible. 2008-World Journal, untitled, at </w:t>
      </w:r>
      <w:hyperlink r:id="rId405">
        <w:r>
          <w:rPr>
            <w:color w:val="231F20"/>
            <w:w w:val="104"/>
            <w:sz w:val="16"/>
          </w:rPr>
          <w:t>h</w:t>
        </w:r>
        <w:r>
          <w:rPr>
            <w:color w:val="231F20"/>
            <w:w w:val="102"/>
            <w:sz w:val="16"/>
          </w:rPr>
          <w:t>tt</w:t>
        </w:r>
        <w:r>
          <w:rPr>
            <w:color w:val="231F20"/>
            <w:w w:val="103"/>
            <w:sz w:val="16"/>
          </w:rPr>
          <w:t>p</w:t>
        </w:r>
        <w:r>
          <w:rPr>
            <w:color w:val="231F20"/>
            <w:w w:val="109"/>
            <w:sz w:val="16"/>
          </w:rPr>
          <w:t>:</w:t>
        </w:r>
        <w:r>
          <w:rPr>
            <w:color w:val="231F20"/>
            <w:w w:val="58"/>
            <w:sz w:val="16"/>
          </w:rPr>
          <w:t>//</w:t>
        </w:r>
        <w:r>
          <w:rPr>
            <w:color w:val="231F20"/>
            <w:w w:val="93"/>
            <w:sz w:val="16"/>
          </w:rPr>
          <w:t>s</w:t>
        </w:r>
        <w:r>
          <w:rPr>
            <w:color w:val="231F20"/>
            <w:w w:val="108"/>
            <w:sz w:val="16"/>
          </w:rPr>
          <w:t>o</w:t>
        </w:r>
        <w:r>
          <w:rPr>
            <w:color w:val="231F20"/>
            <w:w w:val="104"/>
            <w:sz w:val="16"/>
          </w:rPr>
          <w:t>c</w:t>
        </w:r>
        <w:r>
          <w:rPr>
            <w:color w:val="231F20"/>
            <w:w w:val="140"/>
            <w:sz w:val="16"/>
          </w:rPr>
          <w:t>.</w:t>
        </w:r>
        <w:r>
          <w:rPr>
            <w:color w:val="231F20"/>
            <w:w w:val="106"/>
            <w:sz w:val="16"/>
          </w:rPr>
          <w:t>wo</w:t>
        </w:r>
        <w:r>
          <w:rPr>
            <w:color w:val="231F20"/>
            <w:w w:val="97"/>
            <w:sz w:val="16"/>
          </w:rPr>
          <w:t>r</w:t>
        </w:r>
        <w:r>
          <w:rPr>
            <w:color w:val="231F20"/>
            <w:w w:val="106"/>
            <w:sz w:val="16"/>
          </w:rPr>
          <w:t>l</w:t>
        </w:r>
        <w:r>
          <w:rPr>
            <w:color w:val="231F20"/>
            <w:w w:val="103"/>
            <w:sz w:val="16"/>
          </w:rPr>
          <w:t>d</w:t>
        </w:r>
        <w:r>
          <w:rPr>
            <w:color w:val="231F20"/>
            <w:w w:val="104"/>
            <w:sz w:val="16"/>
          </w:rPr>
          <w:t>-</w:t>
        </w:r>
        <w:r>
          <w:rPr>
            <w:color w:val="231F20"/>
            <w:w w:val="108"/>
            <w:sz w:val="16"/>
          </w:rPr>
          <w:t>jo</w:t>
        </w:r>
        <w:r>
          <w:rPr>
            <w:color w:val="231F20"/>
            <w:w w:val="104"/>
            <w:sz w:val="16"/>
          </w:rPr>
          <w:t>u</w:t>
        </w:r>
        <w:r>
          <w:rPr>
            <w:color w:val="231F20"/>
            <w:w w:val="97"/>
            <w:sz w:val="16"/>
          </w:rPr>
          <w:t>r</w:t>
        </w:r>
        <w:r>
          <w:rPr>
            <w:color w:val="231F20"/>
            <w:w w:val="103"/>
            <w:sz w:val="16"/>
          </w:rPr>
          <w:t>n</w:t>
        </w:r>
        <w:r>
          <w:rPr>
            <w:color w:val="231F20"/>
            <w:w w:val="106"/>
            <w:sz w:val="16"/>
          </w:rPr>
          <w:t>al</w:t>
        </w:r>
        <w:r>
          <w:rPr>
            <w:color w:val="231F20"/>
            <w:w w:val="140"/>
            <w:sz w:val="16"/>
          </w:rPr>
          <w:t>.</w:t>
        </w:r>
        <w:r>
          <w:rPr>
            <w:color w:val="231F20"/>
            <w:w w:val="103"/>
            <w:sz w:val="16"/>
          </w:rPr>
          <w:t>n</w:t>
        </w:r>
        <w:r>
          <w:rPr>
            <w:color w:val="231F20"/>
            <w:w w:val="94"/>
            <w:sz w:val="16"/>
          </w:rPr>
          <w:t>e</w:t>
        </w:r>
        <w:r>
          <w:rPr>
            <w:color w:val="231F20"/>
            <w:w w:val="102"/>
            <w:sz w:val="16"/>
          </w:rPr>
          <w:t>t</w:t>
        </w:r>
        <w:r>
          <w:rPr>
            <w:color w:val="231F20"/>
            <w:w w:val="58"/>
            <w:sz w:val="16"/>
          </w:rPr>
          <w:t>/</w:t>
        </w:r>
        <w:r>
          <w:rPr>
            <w:color w:val="231F20"/>
            <w:w w:val="104"/>
            <w:sz w:val="16"/>
          </w:rPr>
          <w:t>18</w:t>
        </w:r>
        <w:r>
          <w:rPr>
            <w:color w:val="231F20"/>
            <w:w w:val="93"/>
            <w:sz w:val="16"/>
          </w:rPr>
          <w:t>s</w:t>
        </w:r>
        <w:r>
          <w:rPr>
            <w:color w:val="231F20"/>
            <w:w w:val="94"/>
            <w:sz w:val="16"/>
          </w:rPr>
          <w:t>e</w:t>
        </w:r>
        <w:r>
          <w:rPr>
            <w:color w:val="231F20"/>
            <w:w w:val="103"/>
            <w:sz w:val="16"/>
          </w:rPr>
          <w:t>p</w:t>
        </w:r>
        <w:r>
          <w:rPr>
            <w:color w:val="231F20"/>
            <w:w w:val="102"/>
            <w:sz w:val="16"/>
          </w:rPr>
          <w:t>t</w:t>
        </w:r>
        <w:r>
          <w:rPr>
            <w:color w:val="231F20"/>
            <w:w w:val="104"/>
            <w:sz w:val="16"/>
          </w:rPr>
          <w:t>2008</w:t>
        </w:r>
        <w:r>
          <w:rPr>
            <w:color w:val="231F20"/>
            <w:w w:val="93"/>
            <w:sz w:val="16"/>
          </w:rPr>
          <w:t>s</w:t>
        </w:r>
        <w:r>
          <w:rPr>
            <w:color w:val="231F20"/>
            <w:w w:val="103"/>
            <w:sz w:val="16"/>
          </w:rPr>
          <w:t>p</w:t>
        </w:r>
        <w:r>
          <w:rPr>
            <w:color w:val="231F20"/>
            <w:w w:val="102"/>
            <w:sz w:val="16"/>
          </w:rPr>
          <w:t>y</w:t>
        </w:r>
        <w:r>
          <w:rPr>
            <w:color w:val="231F20"/>
            <w:w w:val="105"/>
            <w:sz w:val="16"/>
          </w:rPr>
          <w:t>wa</w:t>
        </w:r>
        <w:r>
          <w:rPr>
            <w:color w:val="231F20"/>
            <w:w w:val="97"/>
            <w:sz w:val="16"/>
          </w:rPr>
          <w:t>r</w:t>
        </w:r>
        <w:r>
          <w:rPr>
            <w:color w:val="231F20"/>
            <w:w w:val="93"/>
            <w:sz w:val="16"/>
          </w:rPr>
          <w:t>s</w:t>
        </w:r>
        <w:r>
          <w:rPr>
            <w:color w:val="231F20"/>
            <w:w w:val="104"/>
            <w:sz w:val="16"/>
          </w:rPr>
          <w:t>2</w:t>
        </w:r>
        <w:r>
          <w:rPr>
            <w:color w:val="231F20"/>
            <w:w w:val="140"/>
            <w:sz w:val="16"/>
          </w:rPr>
          <w:t>.</w:t>
        </w:r>
        <w:r>
          <w:rPr>
            <w:color w:val="231F20"/>
            <w:w w:val="103"/>
            <w:sz w:val="16"/>
          </w:rPr>
          <w:t>htm</w:t>
        </w:r>
        <w:r>
          <w:rPr>
            <w:color w:val="231F20"/>
            <w:w w:val="106"/>
            <w:sz w:val="16"/>
          </w:rPr>
          <w:t>l</w:t>
        </w:r>
        <w:r>
          <w:rPr>
            <w:color w:val="231F20"/>
            <w:w w:val="140"/>
            <w:sz w:val="16"/>
          </w:rPr>
          <w:t>.</w:t>
        </w:r>
      </w:hyperlink>
    </w:p>
    <w:p w14:paraId="4C325505" w14:textId="77777777" w:rsidR="002653E8" w:rsidRDefault="003115E3">
      <w:pPr>
        <w:pStyle w:val="a4"/>
        <w:numPr>
          <w:ilvl w:val="0"/>
          <w:numId w:val="59"/>
        </w:numPr>
        <w:tabs>
          <w:tab w:val="left" w:pos="1287"/>
        </w:tabs>
        <w:spacing w:line="254" w:lineRule="auto"/>
        <w:ind w:right="1370" w:firstLine="0"/>
        <w:jc w:val="left"/>
        <w:rPr>
          <w:sz w:val="16"/>
        </w:rPr>
      </w:pPr>
      <w:r>
        <w:rPr>
          <w:color w:val="231F20"/>
          <w:w w:val="105"/>
          <w:sz w:val="16"/>
        </w:rPr>
        <w:t xml:space="preserve">“Terrorism expert” and </w:t>
      </w:r>
      <w:r>
        <w:rPr>
          <w:i/>
          <w:color w:val="231F20"/>
          <w:spacing w:val="2"/>
          <w:w w:val="105"/>
          <w:sz w:val="16"/>
        </w:rPr>
        <w:t xml:space="preserve">Stern </w:t>
      </w:r>
      <w:r>
        <w:rPr>
          <w:color w:val="231F20"/>
          <w:w w:val="105"/>
          <w:sz w:val="16"/>
        </w:rPr>
        <w:t xml:space="preserve">journalist Oliver Schröm states that cooperation between the </w:t>
      </w:r>
      <w:r>
        <w:rPr>
          <w:color w:val="231F20"/>
          <w:spacing w:val="1"/>
          <w:w w:val="105"/>
          <w:sz w:val="16"/>
        </w:rPr>
        <w:t xml:space="preserve">PFLP </w:t>
      </w:r>
      <w:r>
        <w:rPr>
          <w:color w:val="231F20"/>
          <w:w w:val="105"/>
          <w:sz w:val="16"/>
        </w:rPr>
        <w:t xml:space="preserve">(EO) and the </w:t>
      </w:r>
      <w:r w:rsidR="00C507A5">
        <w:rPr>
          <w:color w:val="231F20"/>
          <w:spacing w:val="3"/>
          <w:w w:val="105"/>
          <w:sz w:val="16"/>
        </w:rPr>
        <w:t>red army faction</w:t>
      </w:r>
      <w:r>
        <w:rPr>
          <w:color w:val="231F20"/>
          <w:spacing w:val="3"/>
          <w:w w:val="105"/>
          <w:sz w:val="16"/>
        </w:rPr>
        <w:t xml:space="preserve"> </w:t>
      </w:r>
      <w:r>
        <w:rPr>
          <w:color w:val="231F20"/>
          <w:w w:val="105"/>
          <w:sz w:val="16"/>
        </w:rPr>
        <w:t xml:space="preserve">had been made difficult in the past specifically by Andreas Baader, who opposed </w:t>
      </w:r>
      <w:r>
        <w:rPr>
          <w:color w:val="231F20"/>
          <w:spacing w:val="1"/>
          <w:w w:val="105"/>
          <w:sz w:val="16"/>
        </w:rPr>
        <w:t xml:space="preserve">carrying </w:t>
      </w:r>
      <w:r>
        <w:rPr>
          <w:color w:val="231F20"/>
          <w:w w:val="105"/>
          <w:sz w:val="16"/>
        </w:rPr>
        <w:t>out attacks outside of the Federal Republic. (Schröm,</w:t>
      </w:r>
      <w:r>
        <w:rPr>
          <w:color w:val="231F20"/>
          <w:spacing w:val="17"/>
          <w:w w:val="105"/>
          <w:sz w:val="16"/>
        </w:rPr>
        <w:t xml:space="preserve"> </w:t>
      </w:r>
      <w:r>
        <w:rPr>
          <w:color w:val="231F20"/>
          <w:spacing w:val="-5"/>
          <w:w w:val="105"/>
          <w:sz w:val="16"/>
        </w:rPr>
        <w:t>9)</w:t>
      </w:r>
    </w:p>
    <w:p w14:paraId="41F4897E" w14:textId="77777777" w:rsidR="002653E8" w:rsidRDefault="003115E3">
      <w:pPr>
        <w:pStyle w:val="a4"/>
        <w:numPr>
          <w:ilvl w:val="0"/>
          <w:numId w:val="59"/>
        </w:numPr>
        <w:tabs>
          <w:tab w:val="left" w:pos="1287"/>
        </w:tabs>
        <w:spacing w:before="42" w:line="254" w:lineRule="auto"/>
        <w:ind w:right="1546" w:firstLine="1"/>
        <w:jc w:val="left"/>
        <w:rPr>
          <w:sz w:val="16"/>
        </w:rPr>
      </w:pPr>
      <w:r>
        <w:rPr>
          <w:color w:val="231F20"/>
          <w:spacing w:val="1"/>
          <w:sz w:val="16"/>
        </w:rPr>
        <w:t xml:space="preserve">While </w:t>
      </w:r>
      <w:r>
        <w:rPr>
          <w:color w:val="231F20"/>
          <w:sz w:val="16"/>
        </w:rPr>
        <w:t xml:space="preserve">hostages were taken during the Stockholm occupation in </w:t>
      </w:r>
      <w:r>
        <w:rPr>
          <w:color w:val="231F20"/>
          <w:spacing w:val="-4"/>
          <w:sz w:val="16"/>
        </w:rPr>
        <w:t xml:space="preserve">1975, </w:t>
      </w:r>
      <w:r>
        <w:rPr>
          <w:color w:val="231F20"/>
          <w:sz w:val="16"/>
        </w:rPr>
        <w:t xml:space="preserve">only government representatives, not civilians, were killed. </w:t>
      </w:r>
      <w:r>
        <w:rPr>
          <w:color w:val="231F20"/>
          <w:spacing w:val="1"/>
          <w:sz w:val="16"/>
        </w:rPr>
        <w:t xml:space="preserve">While </w:t>
      </w:r>
      <w:r>
        <w:rPr>
          <w:color w:val="231F20"/>
          <w:sz w:val="16"/>
        </w:rPr>
        <w:t>the  distinction  may seem</w:t>
      </w:r>
      <w:r>
        <w:rPr>
          <w:color w:val="231F20"/>
          <w:spacing w:val="22"/>
          <w:sz w:val="16"/>
        </w:rPr>
        <w:t xml:space="preserve"> </w:t>
      </w:r>
      <w:r>
        <w:rPr>
          <w:color w:val="231F20"/>
          <w:sz w:val="16"/>
        </w:rPr>
        <w:t>to</w:t>
      </w:r>
      <w:r>
        <w:rPr>
          <w:color w:val="231F20"/>
          <w:spacing w:val="22"/>
          <w:sz w:val="16"/>
        </w:rPr>
        <w:t xml:space="preserve"> </w:t>
      </w:r>
      <w:r>
        <w:rPr>
          <w:color w:val="231F20"/>
          <w:sz w:val="16"/>
        </w:rPr>
        <w:t>be</w:t>
      </w:r>
      <w:r>
        <w:rPr>
          <w:color w:val="231F20"/>
          <w:spacing w:val="22"/>
          <w:sz w:val="16"/>
        </w:rPr>
        <w:t xml:space="preserve"> </w:t>
      </w:r>
      <w:r>
        <w:rPr>
          <w:color w:val="231F20"/>
          <w:sz w:val="16"/>
        </w:rPr>
        <w:t>a</w:t>
      </w:r>
      <w:r>
        <w:rPr>
          <w:color w:val="231F20"/>
          <w:spacing w:val="22"/>
          <w:sz w:val="16"/>
        </w:rPr>
        <w:t xml:space="preserve"> </w:t>
      </w:r>
      <w:r>
        <w:rPr>
          <w:color w:val="231F20"/>
          <w:sz w:val="16"/>
        </w:rPr>
        <w:t>fine</w:t>
      </w:r>
      <w:r>
        <w:rPr>
          <w:color w:val="231F20"/>
          <w:spacing w:val="22"/>
          <w:sz w:val="16"/>
        </w:rPr>
        <w:t xml:space="preserve"> </w:t>
      </w:r>
      <w:r>
        <w:rPr>
          <w:color w:val="231F20"/>
          <w:sz w:val="16"/>
        </w:rPr>
        <w:t>one,</w:t>
      </w:r>
      <w:r>
        <w:rPr>
          <w:color w:val="231F20"/>
          <w:spacing w:val="22"/>
          <w:sz w:val="16"/>
        </w:rPr>
        <w:t xml:space="preserve"> </w:t>
      </w:r>
      <w:r>
        <w:rPr>
          <w:color w:val="231F20"/>
          <w:sz w:val="16"/>
        </w:rPr>
        <w:t>it</w:t>
      </w:r>
      <w:r>
        <w:rPr>
          <w:color w:val="231F20"/>
          <w:spacing w:val="22"/>
          <w:sz w:val="16"/>
        </w:rPr>
        <w:t xml:space="preserve"> </w:t>
      </w:r>
      <w:r>
        <w:rPr>
          <w:color w:val="231F20"/>
          <w:sz w:val="16"/>
        </w:rPr>
        <w:t>was</w:t>
      </w:r>
      <w:r>
        <w:rPr>
          <w:color w:val="231F20"/>
          <w:spacing w:val="22"/>
          <w:sz w:val="16"/>
        </w:rPr>
        <w:t xml:space="preserve"> </w:t>
      </w:r>
      <w:r>
        <w:rPr>
          <w:color w:val="231F20"/>
          <w:sz w:val="16"/>
        </w:rPr>
        <w:t>considered</w:t>
      </w:r>
      <w:r>
        <w:rPr>
          <w:color w:val="231F20"/>
          <w:spacing w:val="22"/>
          <w:sz w:val="16"/>
        </w:rPr>
        <w:t xml:space="preserve"> </w:t>
      </w:r>
      <w:r>
        <w:rPr>
          <w:color w:val="231F20"/>
          <w:sz w:val="16"/>
        </w:rPr>
        <w:t>important</w:t>
      </w:r>
      <w:r>
        <w:rPr>
          <w:color w:val="231F20"/>
          <w:spacing w:val="22"/>
          <w:sz w:val="16"/>
        </w:rPr>
        <w:t xml:space="preserve"> </w:t>
      </w:r>
      <w:r>
        <w:rPr>
          <w:color w:val="231F20"/>
          <w:sz w:val="16"/>
        </w:rPr>
        <w:t>by</w:t>
      </w:r>
      <w:r>
        <w:rPr>
          <w:color w:val="231F20"/>
          <w:spacing w:val="22"/>
          <w:sz w:val="16"/>
        </w:rPr>
        <w:t xml:space="preserve"> </w:t>
      </w:r>
      <w:r>
        <w:rPr>
          <w:color w:val="231F20"/>
          <w:sz w:val="16"/>
        </w:rPr>
        <w:t>the</w:t>
      </w:r>
      <w:r>
        <w:rPr>
          <w:color w:val="231F20"/>
          <w:spacing w:val="22"/>
          <w:sz w:val="16"/>
        </w:rPr>
        <w:t xml:space="preserve"> </w:t>
      </w:r>
      <w:r w:rsidR="00C507A5">
        <w:rPr>
          <w:color w:val="231F20"/>
          <w:spacing w:val="3"/>
          <w:sz w:val="16"/>
        </w:rPr>
        <w:t>red army faction</w:t>
      </w:r>
      <w:r>
        <w:rPr>
          <w:color w:val="231F20"/>
          <w:spacing w:val="22"/>
          <w:sz w:val="16"/>
        </w:rPr>
        <w:t xml:space="preserve"> </w:t>
      </w:r>
      <w:r>
        <w:rPr>
          <w:color w:val="231F20"/>
          <w:sz w:val="16"/>
        </w:rPr>
        <w:t>and</w:t>
      </w:r>
      <w:r>
        <w:rPr>
          <w:color w:val="231F20"/>
          <w:spacing w:val="22"/>
          <w:sz w:val="16"/>
        </w:rPr>
        <w:t xml:space="preserve"> </w:t>
      </w:r>
      <w:r>
        <w:rPr>
          <w:color w:val="231F20"/>
          <w:sz w:val="16"/>
        </w:rPr>
        <w:t>its</w:t>
      </w:r>
      <w:r>
        <w:rPr>
          <w:color w:val="231F20"/>
          <w:spacing w:val="22"/>
          <w:sz w:val="16"/>
        </w:rPr>
        <w:t xml:space="preserve"> </w:t>
      </w:r>
      <w:r>
        <w:rPr>
          <w:color w:val="231F20"/>
          <w:sz w:val="16"/>
        </w:rPr>
        <w:lastRenderedPageBreak/>
        <w:t>supporters.</w:t>
      </w:r>
    </w:p>
    <w:p w14:paraId="5D4B7718" w14:textId="77777777" w:rsidR="002653E8" w:rsidRDefault="002653E8">
      <w:pPr>
        <w:spacing w:line="254" w:lineRule="auto"/>
        <w:rPr>
          <w:sz w:val="16"/>
        </w:rPr>
        <w:sectPr w:rsidR="002653E8">
          <w:footerReference w:type="even" r:id="rId406"/>
          <w:footerReference w:type="default" r:id="rId407"/>
          <w:pgSz w:w="8640" w:h="12960"/>
          <w:pgMar w:top="1060" w:right="0" w:bottom="1040" w:left="0" w:header="0" w:footer="850" w:gutter="0"/>
          <w:pgNumType w:start="482"/>
          <w:cols w:space="720"/>
        </w:sectPr>
      </w:pPr>
    </w:p>
    <w:p w14:paraId="3324C922" w14:textId="77777777" w:rsidR="002653E8" w:rsidRDefault="003115E3">
      <w:pPr>
        <w:pStyle w:val="a3"/>
        <w:spacing w:before="86" w:line="264" w:lineRule="auto"/>
        <w:ind w:left="1328" w:right="1145" w:hanging="1"/>
        <w:jc w:val="both"/>
      </w:pPr>
      <w:r>
        <w:rPr>
          <w:color w:val="231F20"/>
        </w:rPr>
        <w:lastRenderedPageBreak/>
        <w:t xml:space="preserve">man, a former Nazi and current representative of the West German ruling class, who was being held hostage, but a plane full of ordinary people. A quiet horror descended, not only on many supporters of the guerilla, but on some </w:t>
      </w:r>
      <w:r w:rsidR="00C507A5">
        <w:rPr>
          <w:color w:val="231F20"/>
        </w:rPr>
        <w:t>red army faction</w:t>
      </w:r>
      <w:r>
        <w:rPr>
          <w:color w:val="231F20"/>
        </w:rPr>
        <w:t xml:space="preserve"> prisoners, too. As Karl-Heinz Dellwo recalls:</w:t>
      </w:r>
    </w:p>
    <w:p w14:paraId="2544E908" w14:textId="77777777" w:rsidR="002653E8" w:rsidRDefault="003115E3">
      <w:pPr>
        <w:spacing w:before="125" w:line="276" w:lineRule="auto"/>
        <w:ind w:left="1747" w:right="1565"/>
        <w:jc w:val="both"/>
        <w:rPr>
          <w:i/>
          <w:sz w:val="11"/>
        </w:rPr>
      </w:pPr>
      <w:r>
        <w:rPr>
          <w:i/>
          <w:color w:val="231F20"/>
          <w:w w:val="105"/>
          <w:sz w:val="19"/>
        </w:rPr>
        <w:t xml:space="preserve">This hostage-taking completely threw aside what Gudrun had called “the moral </w:t>
      </w:r>
      <w:r>
        <w:rPr>
          <w:i/>
          <w:color w:val="231F20"/>
          <w:spacing w:val="-4"/>
          <w:w w:val="105"/>
          <w:sz w:val="19"/>
        </w:rPr>
        <w:t xml:space="preserve">ticket.” </w:t>
      </w:r>
      <w:r>
        <w:rPr>
          <w:i/>
          <w:color w:val="231F20"/>
          <w:w w:val="105"/>
          <w:sz w:val="19"/>
        </w:rPr>
        <w:t xml:space="preserve">Holger Meins’ last letter closed with  the appeal “Serve the </w:t>
      </w:r>
      <w:r>
        <w:rPr>
          <w:i/>
          <w:color w:val="231F20"/>
          <w:spacing w:val="-5"/>
          <w:w w:val="105"/>
          <w:sz w:val="19"/>
        </w:rPr>
        <w:t xml:space="preserve">People,” </w:t>
      </w:r>
      <w:r>
        <w:rPr>
          <w:i/>
          <w:color w:val="231F20"/>
          <w:w w:val="105"/>
          <w:sz w:val="19"/>
        </w:rPr>
        <w:t>and here the people were being attacked.</w:t>
      </w:r>
      <w:r>
        <w:rPr>
          <w:i/>
          <w:color w:val="231F20"/>
          <w:w w:val="105"/>
          <w:position w:val="6"/>
          <w:sz w:val="11"/>
        </w:rPr>
        <w:t>7</w:t>
      </w:r>
    </w:p>
    <w:p w14:paraId="5FAC9CEA" w14:textId="77777777" w:rsidR="002653E8" w:rsidRDefault="003115E3">
      <w:pPr>
        <w:pStyle w:val="a3"/>
        <w:spacing w:before="131" w:line="264" w:lineRule="auto"/>
        <w:ind w:left="1327" w:right="1137" w:hanging="1"/>
        <w:jc w:val="both"/>
        <w:rPr>
          <w:sz w:val="11"/>
        </w:rPr>
      </w:pPr>
      <w:r>
        <w:rPr>
          <w:color w:val="231F20"/>
        </w:rPr>
        <w:t xml:space="preserve">Furthermore, the SAWIO was a Palestinian commando acting primar ily to demand the release of First </w:t>
      </w:r>
      <w:r>
        <w:rPr>
          <w:color w:val="231F20"/>
          <w:spacing w:val="-4"/>
        </w:rPr>
        <w:t xml:space="preserve">World </w:t>
      </w:r>
      <w:r>
        <w:rPr>
          <w:color w:val="231F20"/>
        </w:rPr>
        <w:t xml:space="preserve">revolutionaries, providing more evidence that the events of 77 were no longer even orbiting the realities of the </w:t>
      </w:r>
      <w:r>
        <w:rPr>
          <w:color w:val="231F20"/>
          <w:spacing w:val="-3"/>
        </w:rPr>
        <w:t xml:space="preserve">West </w:t>
      </w:r>
      <w:r>
        <w:rPr>
          <w:color w:val="231F20"/>
        </w:rPr>
        <w:t xml:space="preserve">German left, and that the organic relationship the </w:t>
      </w:r>
      <w:r w:rsidR="00C507A5">
        <w:rPr>
          <w:color w:val="231F20"/>
          <w:spacing w:val="6"/>
        </w:rPr>
        <w:t>red army faction</w:t>
      </w:r>
      <w:r>
        <w:rPr>
          <w:color w:val="231F20"/>
          <w:spacing w:val="6"/>
        </w:rPr>
        <w:t xml:space="preserve"> </w:t>
      </w:r>
      <w:r>
        <w:rPr>
          <w:color w:val="231F20"/>
        </w:rPr>
        <w:t>founders had enjoyed with the broader movement in 72 was now far in the past. Andreas Baader is reported to have said as much to government representatives at Stammheim, stating that the prisoners did not condone operations like the skyjacking which target innocent civilians, but that the “brutality” of the latest wave of combatants had been made inevitable by the government’s</w:t>
      </w:r>
      <w:r>
        <w:rPr>
          <w:color w:val="231F20"/>
          <w:spacing w:val="42"/>
        </w:rPr>
        <w:t xml:space="preserve"> </w:t>
      </w:r>
      <w:r>
        <w:rPr>
          <w:color w:val="231F20"/>
        </w:rPr>
        <w:t>attacks.</w:t>
      </w:r>
      <w:r>
        <w:rPr>
          <w:color w:val="231F20"/>
          <w:position w:val="7"/>
          <w:sz w:val="11"/>
        </w:rPr>
        <w:t>8</w:t>
      </w:r>
    </w:p>
    <w:p w14:paraId="7C0CA202" w14:textId="77777777" w:rsidR="002653E8" w:rsidRDefault="003115E3">
      <w:pPr>
        <w:pStyle w:val="a3"/>
        <w:spacing w:line="264" w:lineRule="auto"/>
        <w:ind w:left="1327" w:right="1146" w:firstLine="210"/>
        <w:jc w:val="both"/>
      </w:pPr>
      <w:r>
        <w:rPr>
          <w:color w:val="231F20"/>
        </w:rPr>
        <w:t>It</w:t>
      </w:r>
      <w:r>
        <w:rPr>
          <w:color w:val="231F20"/>
          <w:spacing w:val="-10"/>
        </w:rPr>
        <w:t xml:space="preserve"> </w:t>
      </w:r>
      <w:r>
        <w:rPr>
          <w:color w:val="231F20"/>
        </w:rPr>
        <w:t>is</w:t>
      </w:r>
      <w:r>
        <w:rPr>
          <w:color w:val="231F20"/>
          <w:spacing w:val="-10"/>
        </w:rPr>
        <w:t xml:space="preserve"> </w:t>
      </w:r>
      <w:r>
        <w:rPr>
          <w:color w:val="231F20"/>
        </w:rPr>
        <w:t>horrible</w:t>
      </w:r>
      <w:r>
        <w:rPr>
          <w:color w:val="231F20"/>
          <w:spacing w:val="-10"/>
        </w:rPr>
        <w:t xml:space="preserve"> </w:t>
      </w:r>
      <w:r>
        <w:rPr>
          <w:color w:val="231F20"/>
        </w:rPr>
        <w:t>to</w:t>
      </w:r>
      <w:r>
        <w:rPr>
          <w:color w:val="231F20"/>
          <w:spacing w:val="-10"/>
        </w:rPr>
        <w:t xml:space="preserve"> </w:t>
      </w:r>
      <w:r>
        <w:rPr>
          <w:color w:val="231F20"/>
        </w:rPr>
        <w:t>note</w:t>
      </w:r>
      <w:r>
        <w:rPr>
          <w:color w:val="231F20"/>
          <w:spacing w:val="-10"/>
        </w:rPr>
        <w:t xml:space="preserve"> </w:t>
      </w:r>
      <w:r>
        <w:rPr>
          <w:color w:val="231F20"/>
        </w:rPr>
        <w:t>that</w:t>
      </w:r>
      <w:r>
        <w:rPr>
          <w:color w:val="231F20"/>
          <w:spacing w:val="-10"/>
        </w:rPr>
        <w:t xml:space="preserve"> </w:t>
      </w:r>
      <w:r>
        <w:rPr>
          <w:color w:val="231F20"/>
        </w:rPr>
        <w:t>the</w:t>
      </w:r>
      <w:r>
        <w:rPr>
          <w:color w:val="231F20"/>
          <w:spacing w:val="-10"/>
        </w:rPr>
        <w:t xml:space="preserve"> </w:t>
      </w:r>
      <w:r>
        <w:rPr>
          <w:color w:val="231F20"/>
        </w:rPr>
        <w:t>Palestinians</w:t>
      </w:r>
      <w:r>
        <w:rPr>
          <w:color w:val="231F20"/>
          <w:spacing w:val="-10"/>
        </w:rPr>
        <w:t xml:space="preserve"> </w:t>
      </w:r>
      <w:r>
        <w:rPr>
          <w:color w:val="231F20"/>
        </w:rPr>
        <w:t>were</w:t>
      </w:r>
      <w:r>
        <w:rPr>
          <w:color w:val="231F20"/>
          <w:spacing w:val="-10"/>
        </w:rPr>
        <w:t xml:space="preserve"> </w:t>
      </w:r>
      <w:r>
        <w:rPr>
          <w:color w:val="231F20"/>
        </w:rPr>
        <w:t>risking</w:t>
      </w:r>
      <w:r>
        <w:rPr>
          <w:color w:val="231F20"/>
          <w:spacing w:val="-10"/>
        </w:rPr>
        <w:t xml:space="preserve"> </w:t>
      </w:r>
      <w:r>
        <w:rPr>
          <w:color w:val="231F20"/>
        </w:rPr>
        <w:t>their</w:t>
      </w:r>
      <w:r>
        <w:rPr>
          <w:color w:val="231F20"/>
          <w:spacing w:val="-10"/>
        </w:rPr>
        <w:t xml:space="preserve"> </w:t>
      </w:r>
      <w:r>
        <w:rPr>
          <w:color w:val="231F20"/>
        </w:rPr>
        <w:t xml:space="preserve">lives—and as we shall see, most of them would pay that price—for </w:t>
      </w:r>
      <w:r>
        <w:rPr>
          <w:color w:val="231F20"/>
          <w:spacing w:val="-3"/>
        </w:rPr>
        <w:t xml:space="preserve">West </w:t>
      </w:r>
      <w:r>
        <w:rPr>
          <w:color w:val="231F20"/>
        </w:rPr>
        <w:t>German prisoners who disapproved of the whole operation in the first place. This was a sign that the guerillas in the field had miscalculated in more ways than</w:t>
      </w:r>
      <w:r>
        <w:rPr>
          <w:color w:val="231F20"/>
          <w:spacing w:val="21"/>
        </w:rPr>
        <w:t xml:space="preserve"> </w:t>
      </w:r>
      <w:r>
        <w:rPr>
          <w:color w:val="231F20"/>
        </w:rPr>
        <w:t>one.</w:t>
      </w:r>
    </w:p>
    <w:p w14:paraId="0BB0213D" w14:textId="77777777" w:rsidR="002653E8" w:rsidRDefault="003115E3">
      <w:pPr>
        <w:pStyle w:val="a3"/>
        <w:spacing w:line="264" w:lineRule="auto"/>
        <w:ind w:left="1327" w:right="1145" w:firstLine="210"/>
        <w:jc w:val="both"/>
        <w:rPr>
          <w:sz w:val="11"/>
        </w:rPr>
      </w:pPr>
      <w:r>
        <w:rPr>
          <w:color w:val="231F20"/>
        </w:rPr>
        <w:t xml:space="preserve">Nevertheless, none of the </w:t>
      </w:r>
      <w:r w:rsidR="00C507A5">
        <w:rPr>
          <w:color w:val="231F20"/>
        </w:rPr>
        <w:t>red army faction</w:t>
      </w:r>
      <w:r>
        <w:rPr>
          <w:color w:val="231F20"/>
        </w:rPr>
        <w:t xml:space="preserve"> prisoners publicly disavowed this action, any misgivings tempered with the hope that this might swing the balance in their favor. Indeed, previous opinion polls had shown 60</w:t>
      </w:r>
      <w:r>
        <w:rPr>
          <w:color w:val="231F20"/>
          <w:sz w:val="16"/>
        </w:rPr>
        <w:t xml:space="preserve">% </w:t>
      </w:r>
      <w:r>
        <w:rPr>
          <w:color w:val="231F20"/>
        </w:rPr>
        <w:t>opposed and 22</w:t>
      </w:r>
      <w:r>
        <w:rPr>
          <w:color w:val="231F20"/>
          <w:sz w:val="16"/>
        </w:rPr>
        <w:t xml:space="preserve">% </w:t>
      </w:r>
      <w:r>
        <w:rPr>
          <w:color w:val="231F20"/>
        </w:rPr>
        <w:t xml:space="preserve">in favor of yielding to the </w:t>
      </w:r>
      <w:r w:rsidR="00C507A5">
        <w:rPr>
          <w:color w:val="231F20"/>
        </w:rPr>
        <w:t>red army faction</w:t>
      </w:r>
      <w:r>
        <w:rPr>
          <w:color w:val="231F20"/>
        </w:rPr>
        <w:t>’s demands; once the airliner was seized, opinion became evenly split on the matter.</w:t>
      </w:r>
      <w:r>
        <w:rPr>
          <w:color w:val="231F20"/>
          <w:position w:val="7"/>
          <w:sz w:val="11"/>
        </w:rPr>
        <w:t>9</w:t>
      </w:r>
    </w:p>
    <w:p w14:paraId="7EF7D408" w14:textId="77777777" w:rsidR="002653E8" w:rsidRDefault="003115E3">
      <w:pPr>
        <w:pStyle w:val="a3"/>
        <w:spacing w:line="264" w:lineRule="auto"/>
        <w:ind w:left="1327" w:right="1148" w:firstLine="210"/>
        <w:jc w:val="both"/>
      </w:pPr>
      <w:r>
        <w:rPr>
          <w:color w:val="231F20"/>
        </w:rPr>
        <w:t>The plane flew to Cyprus and from there to the Gulf, where it landed first in Bahrain and then, at 6:00 am on October 14, in Dubai.</w:t>
      </w:r>
    </w:p>
    <w:p w14:paraId="048E43ED" w14:textId="77777777" w:rsidR="002653E8" w:rsidRDefault="00000000">
      <w:pPr>
        <w:pStyle w:val="a3"/>
        <w:spacing w:line="264" w:lineRule="auto"/>
        <w:ind w:left="1327" w:right="1145" w:firstLine="210"/>
        <w:jc w:val="both"/>
      </w:pPr>
      <w:r>
        <w:rPr>
          <w:noProof w:val="0"/>
        </w:rPr>
        <w:pict w14:anchorId="7533C8C8">
          <v:line id="_x0000_s2199" style="position:absolute;left:0;text-align:left;z-index:10240;mso-wrap-distance-left:0;mso-wrap-distance-right:0;mso-position-horizontal-relative:page" from="66.4pt,45.4pt" to="138.4pt,45.4pt" strokecolor="#231f20" strokeweight=".5pt">
            <w10:wrap type="topAndBottom" anchorx="page"/>
          </v:line>
        </w:pict>
      </w:r>
      <w:r w:rsidR="003115E3">
        <w:rPr>
          <w:color w:val="231F20"/>
          <w:w w:val="105"/>
        </w:rPr>
        <w:t>Within</w:t>
      </w:r>
      <w:r w:rsidR="003115E3">
        <w:rPr>
          <w:color w:val="231F20"/>
          <w:spacing w:val="-22"/>
          <w:w w:val="105"/>
        </w:rPr>
        <w:t xml:space="preserve"> </w:t>
      </w:r>
      <w:r w:rsidR="003115E3">
        <w:rPr>
          <w:color w:val="231F20"/>
          <w:w w:val="105"/>
        </w:rPr>
        <w:t>a</w:t>
      </w:r>
      <w:r w:rsidR="003115E3">
        <w:rPr>
          <w:color w:val="231F20"/>
          <w:spacing w:val="-22"/>
          <w:w w:val="105"/>
        </w:rPr>
        <w:t xml:space="preserve"> </w:t>
      </w:r>
      <w:r w:rsidR="003115E3">
        <w:rPr>
          <w:color w:val="231F20"/>
          <w:w w:val="105"/>
        </w:rPr>
        <w:t>few</w:t>
      </w:r>
      <w:r w:rsidR="003115E3">
        <w:rPr>
          <w:color w:val="231F20"/>
          <w:spacing w:val="-22"/>
          <w:w w:val="105"/>
        </w:rPr>
        <w:t xml:space="preserve"> </w:t>
      </w:r>
      <w:r w:rsidR="003115E3">
        <w:rPr>
          <w:color w:val="231F20"/>
          <w:w w:val="105"/>
        </w:rPr>
        <w:t>hours,</w:t>
      </w:r>
      <w:r w:rsidR="003115E3">
        <w:rPr>
          <w:color w:val="231F20"/>
          <w:spacing w:val="-22"/>
          <w:w w:val="105"/>
        </w:rPr>
        <w:t xml:space="preserve"> </w:t>
      </w:r>
      <w:r w:rsidR="003115E3">
        <w:rPr>
          <w:color w:val="231F20"/>
          <w:w w:val="105"/>
        </w:rPr>
        <w:t>Denis</w:t>
      </w:r>
      <w:r w:rsidR="003115E3">
        <w:rPr>
          <w:color w:val="231F20"/>
          <w:spacing w:val="-22"/>
          <w:w w:val="105"/>
        </w:rPr>
        <w:t xml:space="preserve"> </w:t>
      </w:r>
      <w:r w:rsidR="003115E3">
        <w:rPr>
          <w:color w:val="231F20"/>
          <w:spacing w:val="-3"/>
          <w:w w:val="105"/>
        </w:rPr>
        <w:t>Payot</w:t>
      </w:r>
      <w:r w:rsidR="003115E3">
        <w:rPr>
          <w:color w:val="231F20"/>
          <w:spacing w:val="-22"/>
          <w:w w:val="105"/>
        </w:rPr>
        <w:t xml:space="preserve"> </w:t>
      </w:r>
      <w:r w:rsidR="003115E3">
        <w:rPr>
          <w:color w:val="231F20"/>
          <w:w w:val="105"/>
        </w:rPr>
        <w:t>announced</w:t>
      </w:r>
      <w:r w:rsidR="003115E3">
        <w:rPr>
          <w:color w:val="231F20"/>
          <w:spacing w:val="-22"/>
          <w:w w:val="105"/>
        </w:rPr>
        <w:t xml:space="preserve"> </w:t>
      </w:r>
      <w:r w:rsidR="003115E3">
        <w:rPr>
          <w:color w:val="231F20"/>
          <w:w w:val="105"/>
        </w:rPr>
        <w:t>receipt</w:t>
      </w:r>
      <w:r w:rsidR="003115E3">
        <w:rPr>
          <w:color w:val="231F20"/>
          <w:spacing w:val="-22"/>
          <w:w w:val="105"/>
        </w:rPr>
        <w:t xml:space="preserve"> </w:t>
      </w:r>
      <w:r w:rsidR="003115E3">
        <w:rPr>
          <w:color w:val="231F20"/>
          <w:w w:val="105"/>
        </w:rPr>
        <w:t>of</w:t>
      </w:r>
      <w:r w:rsidR="003115E3">
        <w:rPr>
          <w:color w:val="231F20"/>
          <w:spacing w:val="-22"/>
          <w:w w:val="105"/>
        </w:rPr>
        <w:t xml:space="preserve"> </w:t>
      </w:r>
      <w:r w:rsidR="003115E3">
        <w:rPr>
          <w:color w:val="231F20"/>
          <w:w w:val="105"/>
        </w:rPr>
        <w:t>a</w:t>
      </w:r>
      <w:r w:rsidR="003115E3">
        <w:rPr>
          <w:color w:val="231F20"/>
          <w:spacing w:val="-22"/>
          <w:w w:val="105"/>
        </w:rPr>
        <w:t xml:space="preserve"> </w:t>
      </w:r>
      <w:r w:rsidR="003115E3">
        <w:rPr>
          <w:color w:val="231F20"/>
          <w:w w:val="105"/>
        </w:rPr>
        <w:t>communiqué setting</w:t>
      </w:r>
      <w:r w:rsidR="003115E3">
        <w:rPr>
          <w:color w:val="231F20"/>
          <w:spacing w:val="-12"/>
          <w:w w:val="105"/>
        </w:rPr>
        <w:t xml:space="preserve"> </w:t>
      </w:r>
      <w:r w:rsidR="003115E3">
        <w:rPr>
          <w:color w:val="231F20"/>
          <w:w w:val="105"/>
        </w:rPr>
        <w:t>a</w:t>
      </w:r>
      <w:r w:rsidR="003115E3">
        <w:rPr>
          <w:color w:val="231F20"/>
          <w:spacing w:val="-12"/>
          <w:w w:val="105"/>
        </w:rPr>
        <w:t xml:space="preserve"> </w:t>
      </w:r>
      <w:r w:rsidR="003115E3">
        <w:rPr>
          <w:color w:val="231F20"/>
          <w:w w:val="105"/>
        </w:rPr>
        <w:t>deadline</w:t>
      </w:r>
      <w:r w:rsidR="003115E3">
        <w:rPr>
          <w:color w:val="231F20"/>
          <w:spacing w:val="-12"/>
          <w:w w:val="105"/>
        </w:rPr>
        <w:t xml:space="preserve"> </w:t>
      </w:r>
      <w:r w:rsidR="003115E3">
        <w:rPr>
          <w:color w:val="231F20"/>
          <w:w w:val="105"/>
        </w:rPr>
        <w:t>of</w:t>
      </w:r>
      <w:r w:rsidR="003115E3">
        <w:rPr>
          <w:color w:val="231F20"/>
          <w:spacing w:val="-11"/>
          <w:w w:val="105"/>
        </w:rPr>
        <w:t xml:space="preserve"> </w:t>
      </w:r>
      <w:r w:rsidR="003115E3">
        <w:rPr>
          <w:color w:val="231F20"/>
          <w:w w:val="105"/>
        </w:rPr>
        <w:t>8:00</w:t>
      </w:r>
      <w:r w:rsidR="003115E3">
        <w:rPr>
          <w:color w:val="231F20"/>
          <w:spacing w:val="-24"/>
          <w:w w:val="105"/>
        </w:rPr>
        <w:t xml:space="preserve"> </w:t>
      </w:r>
      <w:r w:rsidR="003115E3">
        <w:rPr>
          <w:color w:val="231F20"/>
          <w:spacing w:val="2"/>
          <w:w w:val="105"/>
        </w:rPr>
        <w:t>am</w:t>
      </w:r>
      <w:r w:rsidR="003115E3">
        <w:rPr>
          <w:color w:val="231F20"/>
          <w:spacing w:val="-12"/>
          <w:w w:val="105"/>
        </w:rPr>
        <w:t xml:space="preserve"> </w:t>
      </w:r>
      <w:r w:rsidR="003115E3">
        <w:rPr>
          <w:color w:val="231F20"/>
          <w:w w:val="105"/>
        </w:rPr>
        <w:t>October</w:t>
      </w:r>
      <w:r w:rsidR="003115E3">
        <w:rPr>
          <w:color w:val="231F20"/>
          <w:spacing w:val="-12"/>
          <w:w w:val="105"/>
        </w:rPr>
        <w:t xml:space="preserve"> </w:t>
      </w:r>
      <w:r w:rsidR="003115E3">
        <w:rPr>
          <w:color w:val="231F20"/>
          <w:spacing w:val="-6"/>
          <w:w w:val="105"/>
        </w:rPr>
        <w:t>16</w:t>
      </w:r>
      <w:r w:rsidR="003115E3">
        <w:rPr>
          <w:color w:val="231F20"/>
          <w:spacing w:val="-12"/>
          <w:w w:val="105"/>
        </w:rPr>
        <w:t xml:space="preserve"> </w:t>
      </w:r>
      <w:r w:rsidR="003115E3">
        <w:rPr>
          <w:color w:val="231F20"/>
          <w:w w:val="105"/>
        </w:rPr>
        <w:t>for</w:t>
      </w:r>
      <w:r w:rsidR="003115E3">
        <w:rPr>
          <w:color w:val="231F20"/>
          <w:spacing w:val="-12"/>
          <w:w w:val="105"/>
        </w:rPr>
        <w:t xml:space="preserve"> </w:t>
      </w:r>
      <w:r w:rsidR="003115E3">
        <w:rPr>
          <w:color w:val="231F20"/>
          <w:w w:val="105"/>
        </w:rPr>
        <w:t>all</w:t>
      </w:r>
      <w:r w:rsidR="003115E3">
        <w:rPr>
          <w:color w:val="231F20"/>
          <w:spacing w:val="-12"/>
          <w:w w:val="105"/>
        </w:rPr>
        <w:t xml:space="preserve"> </w:t>
      </w:r>
      <w:r w:rsidR="003115E3">
        <w:rPr>
          <w:color w:val="231F20"/>
          <w:w w:val="105"/>
        </w:rPr>
        <w:t>the</w:t>
      </w:r>
      <w:r w:rsidR="003115E3">
        <w:rPr>
          <w:color w:val="231F20"/>
          <w:spacing w:val="-12"/>
          <w:w w:val="105"/>
        </w:rPr>
        <w:t xml:space="preserve"> </w:t>
      </w:r>
      <w:r w:rsidR="003115E3">
        <w:rPr>
          <w:color w:val="231F20"/>
          <w:w w:val="105"/>
        </w:rPr>
        <w:t>demands</w:t>
      </w:r>
      <w:r w:rsidR="003115E3">
        <w:rPr>
          <w:color w:val="231F20"/>
          <w:spacing w:val="-12"/>
          <w:w w:val="105"/>
        </w:rPr>
        <w:t xml:space="preserve"> </w:t>
      </w:r>
      <w:r w:rsidR="003115E3">
        <w:rPr>
          <w:color w:val="231F20"/>
          <w:w w:val="105"/>
        </w:rPr>
        <w:t>to</w:t>
      </w:r>
      <w:r w:rsidR="003115E3">
        <w:rPr>
          <w:color w:val="231F20"/>
          <w:spacing w:val="-12"/>
          <w:w w:val="105"/>
        </w:rPr>
        <w:t xml:space="preserve"> </w:t>
      </w:r>
      <w:r w:rsidR="003115E3">
        <w:rPr>
          <w:color w:val="231F20"/>
          <w:w w:val="105"/>
        </w:rPr>
        <w:t>be</w:t>
      </w:r>
      <w:r w:rsidR="003115E3">
        <w:rPr>
          <w:color w:val="231F20"/>
          <w:spacing w:val="-12"/>
          <w:w w:val="105"/>
        </w:rPr>
        <w:t xml:space="preserve"> </w:t>
      </w:r>
      <w:r w:rsidR="003115E3">
        <w:rPr>
          <w:color w:val="231F20"/>
          <w:w w:val="105"/>
        </w:rPr>
        <w:t>met, “if</w:t>
      </w:r>
      <w:r w:rsidR="003115E3">
        <w:rPr>
          <w:color w:val="231F20"/>
          <w:spacing w:val="-6"/>
          <w:w w:val="105"/>
        </w:rPr>
        <w:t xml:space="preserve"> </w:t>
      </w:r>
      <w:r w:rsidR="003115E3">
        <w:rPr>
          <w:color w:val="231F20"/>
          <w:w w:val="105"/>
        </w:rPr>
        <w:t>a</w:t>
      </w:r>
      <w:r w:rsidR="003115E3">
        <w:rPr>
          <w:color w:val="231F20"/>
          <w:spacing w:val="-6"/>
          <w:w w:val="105"/>
        </w:rPr>
        <w:t xml:space="preserve"> </w:t>
      </w:r>
      <w:r w:rsidR="003115E3">
        <w:rPr>
          <w:color w:val="231F20"/>
          <w:w w:val="105"/>
        </w:rPr>
        <w:t>bloodbath</w:t>
      </w:r>
      <w:r w:rsidR="003115E3">
        <w:rPr>
          <w:color w:val="231F20"/>
          <w:spacing w:val="-6"/>
          <w:w w:val="105"/>
        </w:rPr>
        <w:t xml:space="preserve"> </w:t>
      </w:r>
      <w:r w:rsidR="003115E3">
        <w:rPr>
          <w:color w:val="231F20"/>
          <w:w w:val="105"/>
        </w:rPr>
        <w:t>was</w:t>
      </w:r>
      <w:r w:rsidR="003115E3">
        <w:rPr>
          <w:color w:val="231F20"/>
          <w:spacing w:val="-6"/>
          <w:w w:val="105"/>
        </w:rPr>
        <w:t xml:space="preserve"> </w:t>
      </w:r>
      <w:r w:rsidR="003115E3">
        <w:rPr>
          <w:color w:val="231F20"/>
          <w:w w:val="105"/>
        </w:rPr>
        <w:t>to</w:t>
      </w:r>
      <w:r w:rsidR="003115E3">
        <w:rPr>
          <w:color w:val="231F20"/>
          <w:spacing w:val="-6"/>
          <w:w w:val="105"/>
        </w:rPr>
        <w:t xml:space="preserve"> </w:t>
      </w:r>
      <w:r w:rsidR="003115E3">
        <w:rPr>
          <w:color w:val="231F20"/>
          <w:w w:val="105"/>
        </w:rPr>
        <w:t>be</w:t>
      </w:r>
      <w:r w:rsidR="003115E3">
        <w:rPr>
          <w:color w:val="231F20"/>
          <w:spacing w:val="-6"/>
          <w:w w:val="105"/>
        </w:rPr>
        <w:t xml:space="preserve"> </w:t>
      </w:r>
      <w:r w:rsidR="003115E3">
        <w:rPr>
          <w:color w:val="231F20"/>
          <w:spacing w:val="-3"/>
          <w:w w:val="105"/>
        </w:rPr>
        <w:t>avoided.”</w:t>
      </w:r>
      <w:r w:rsidR="003115E3">
        <w:rPr>
          <w:color w:val="231F20"/>
          <w:spacing w:val="-3"/>
          <w:w w:val="105"/>
          <w:position w:val="7"/>
          <w:sz w:val="11"/>
        </w:rPr>
        <w:t xml:space="preserve">10 </w:t>
      </w:r>
      <w:r w:rsidR="003115E3">
        <w:rPr>
          <w:color w:val="231F20"/>
          <w:w w:val="105"/>
        </w:rPr>
        <w:t>The</w:t>
      </w:r>
      <w:r w:rsidR="003115E3">
        <w:rPr>
          <w:color w:val="231F20"/>
          <w:spacing w:val="-6"/>
          <w:w w:val="105"/>
        </w:rPr>
        <w:t xml:space="preserve"> </w:t>
      </w:r>
      <w:r w:rsidR="003115E3">
        <w:rPr>
          <w:color w:val="231F20"/>
          <w:w w:val="105"/>
        </w:rPr>
        <w:t>communiqué,</w:t>
      </w:r>
      <w:r w:rsidR="003115E3">
        <w:rPr>
          <w:color w:val="231F20"/>
          <w:spacing w:val="-6"/>
          <w:w w:val="105"/>
        </w:rPr>
        <w:t xml:space="preserve"> </w:t>
      </w:r>
      <w:r w:rsidR="003115E3">
        <w:rPr>
          <w:color w:val="231F20"/>
          <w:w w:val="105"/>
        </w:rPr>
        <w:t>signed</w:t>
      </w:r>
      <w:r w:rsidR="003115E3">
        <w:rPr>
          <w:color w:val="231F20"/>
          <w:spacing w:val="-6"/>
          <w:w w:val="105"/>
        </w:rPr>
        <w:t xml:space="preserve"> </w:t>
      </w:r>
      <w:r w:rsidR="003115E3">
        <w:rPr>
          <w:color w:val="231F20"/>
          <w:w w:val="105"/>
        </w:rPr>
        <w:t>by</w:t>
      </w:r>
      <w:r w:rsidR="003115E3">
        <w:rPr>
          <w:color w:val="231F20"/>
          <w:spacing w:val="-6"/>
          <w:w w:val="105"/>
        </w:rPr>
        <w:t xml:space="preserve"> </w:t>
      </w:r>
      <w:r w:rsidR="003115E3">
        <w:rPr>
          <w:color w:val="231F20"/>
          <w:w w:val="105"/>
        </w:rPr>
        <w:t>both</w:t>
      </w:r>
    </w:p>
    <w:p w14:paraId="60D088E1" w14:textId="77777777" w:rsidR="002653E8" w:rsidRDefault="003115E3">
      <w:pPr>
        <w:pStyle w:val="a4"/>
        <w:numPr>
          <w:ilvl w:val="0"/>
          <w:numId w:val="59"/>
        </w:numPr>
        <w:tabs>
          <w:tab w:val="left" w:pos="1467"/>
        </w:tabs>
        <w:spacing w:before="53"/>
        <w:ind w:left="1466"/>
        <w:jc w:val="left"/>
        <w:rPr>
          <w:sz w:val="16"/>
        </w:rPr>
      </w:pPr>
      <w:r>
        <w:rPr>
          <w:color w:val="231F20"/>
          <w:w w:val="115"/>
          <w:sz w:val="16"/>
        </w:rPr>
        <w:t>Dellwo,</w:t>
      </w:r>
      <w:r>
        <w:rPr>
          <w:color w:val="231F20"/>
          <w:spacing w:val="3"/>
          <w:w w:val="115"/>
          <w:sz w:val="16"/>
        </w:rPr>
        <w:t xml:space="preserve"> </w:t>
      </w:r>
      <w:r>
        <w:rPr>
          <w:color w:val="231F20"/>
          <w:spacing w:val="-6"/>
          <w:w w:val="115"/>
          <w:sz w:val="16"/>
        </w:rPr>
        <w:t>133.</w:t>
      </w:r>
    </w:p>
    <w:p w14:paraId="3B1FF8E7" w14:textId="77777777" w:rsidR="002653E8" w:rsidRDefault="003115E3">
      <w:pPr>
        <w:spacing w:before="51"/>
        <w:ind w:left="1328"/>
        <w:rPr>
          <w:sz w:val="16"/>
        </w:rPr>
      </w:pPr>
      <w:r>
        <w:rPr>
          <w:color w:val="231F20"/>
          <w:w w:val="110"/>
          <w:sz w:val="16"/>
        </w:rPr>
        <w:t>8 Aust, 525.</w:t>
      </w:r>
    </w:p>
    <w:p w14:paraId="549C959A" w14:textId="77777777" w:rsidR="002653E8" w:rsidRDefault="003115E3">
      <w:pPr>
        <w:pStyle w:val="a4"/>
        <w:numPr>
          <w:ilvl w:val="0"/>
          <w:numId w:val="58"/>
        </w:numPr>
        <w:tabs>
          <w:tab w:val="left" w:pos="1467"/>
        </w:tabs>
        <w:spacing w:before="52" w:line="254" w:lineRule="auto"/>
        <w:ind w:right="1290" w:firstLine="0"/>
        <w:rPr>
          <w:sz w:val="16"/>
        </w:rPr>
      </w:pPr>
      <w:r>
        <w:rPr>
          <w:color w:val="231F20"/>
          <w:w w:val="110"/>
          <w:sz w:val="16"/>
        </w:rPr>
        <w:t xml:space="preserve">Richard </w:t>
      </w:r>
      <w:r>
        <w:rPr>
          <w:color w:val="231F20"/>
          <w:spacing w:val="2"/>
          <w:w w:val="110"/>
          <w:sz w:val="16"/>
        </w:rPr>
        <w:t xml:space="preserve">L. </w:t>
      </w:r>
      <w:r>
        <w:rPr>
          <w:color w:val="231F20"/>
          <w:w w:val="110"/>
          <w:sz w:val="16"/>
        </w:rPr>
        <w:t xml:space="preserve">Strout, “Countdown to a Crisis: Is Nuclear Terrorism Next?” </w:t>
      </w:r>
      <w:r>
        <w:rPr>
          <w:i/>
          <w:color w:val="231F20"/>
          <w:w w:val="110"/>
          <w:sz w:val="16"/>
        </w:rPr>
        <w:t xml:space="preserve">Fresno Bee, </w:t>
      </w:r>
      <w:r>
        <w:rPr>
          <w:color w:val="231F20"/>
          <w:w w:val="110"/>
          <w:sz w:val="16"/>
        </w:rPr>
        <w:t>October 26,</w:t>
      </w:r>
      <w:r>
        <w:rPr>
          <w:color w:val="231F20"/>
          <w:spacing w:val="18"/>
          <w:w w:val="110"/>
          <w:sz w:val="16"/>
        </w:rPr>
        <w:t xml:space="preserve"> </w:t>
      </w:r>
      <w:r>
        <w:rPr>
          <w:color w:val="231F20"/>
          <w:spacing w:val="-4"/>
          <w:w w:val="110"/>
          <w:sz w:val="16"/>
        </w:rPr>
        <w:t>1977.</w:t>
      </w:r>
    </w:p>
    <w:p w14:paraId="16240D10" w14:textId="77777777" w:rsidR="002653E8" w:rsidRDefault="003115E3">
      <w:pPr>
        <w:pStyle w:val="a4"/>
        <w:numPr>
          <w:ilvl w:val="0"/>
          <w:numId w:val="58"/>
        </w:numPr>
        <w:tabs>
          <w:tab w:val="left" w:pos="1555"/>
        </w:tabs>
        <w:spacing w:line="254" w:lineRule="auto"/>
        <w:ind w:right="1582" w:firstLine="0"/>
        <w:rPr>
          <w:sz w:val="16"/>
        </w:rPr>
      </w:pPr>
      <w:r>
        <w:rPr>
          <w:color w:val="231F20"/>
          <w:w w:val="110"/>
          <w:sz w:val="16"/>
        </w:rPr>
        <w:t xml:space="preserve">Mike Ryan, “The </w:t>
      </w:r>
      <w:r>
        <w:rPr>
          <w:color w:val="231F20"/>
          <w:spacing w:val="1"/>
          <w:w w:val="110"/>
          <w:sz w:val="16"/>
        </w:rPr>
        <w:t xml:space="preserve">Stammheim </w:t>
      </w:r>
      <w:r>
        <w:rPr>
          <w:color w:val="231F20"/>
          <w:w w:val="110"/>
          <w:sz w:val="16"/>
        </w:rPr>
        <w:t xml:space="preserve">Model—Judicial Counter-Insurgency,” </w:t>
      </w:r>
      <w:r>
        <w:rPr>
          <w:i/>
          <w:color w:val="231F20"/>
          <w:w w:val="110"/>
          <w:sz w:val="16"/>
        </w:rPr>
        <w:t xml:space="preserve">New </w:t>
      </w:r>
      <w:r>
        <w:rPr>
          <w:i/>
          <w:color w:val="231F20"/>
          <w:w w:val="110"/>
          <w:sz w:val="16"/>
        </w:rPr>
        <w:lastRenderedPageBreak/>
        <w:t>Studies</w:t>
      </w:r>
      <w:r>
        <w:rPr>
          <w:i/>
          <w:color w:val="231F20"/>
          <w:spacing w:val="5"/>
          <w:w w:val="110"/>
          <w:sz w:val="16"/>
        </w:rPr>
        <w:t xml:space="preserve"> </w:t>
      </w:r>
      <w:r>
        <w:rPr>
          <w:i/>
          <w:color w:val="231F20"/>
          <w:w w:val="110"/>
          <w:sz w:val="16"/>
        </w:rPr>
        <w:t>on</w:t>
      </w:r>
      <w:r>
        <w:rPr>
          <w:i/>
          <w:color w:val="231F20"/>
          <w:spacing w:val="5"/>
          <w:w w:val="110"/>
          <w:sz w:val="16"/>
        </w:rPr>
        <w:t xml:space="preserve"> </w:t>
      </w:r>
      <w:r>
        <w:rPr>
          <w:i/>
          <w:color w:val="231F20"/>
          <w:w w:val="110"/>
          <w:sz w:val="16"/>
        </w:rPr>
        <w:t>the</w:t>
      </w:r>
      <w:r>
        <w:rPr>
          <w:i/>
          <w:color w:val="231F20"/>
          <w:spacing w:val="5"/>
          <w:w w:val="110"/>
          <w:sz w:val="16"/>
        </w:rPr>
        <w:t xml:space="preserve"> </w:t>
      </w:r>
      <w:r>
        <w:rPr>
          <w:i/>
          <w:color w:val="231F20"/>
          <w:spacing w:val="2"/>
          <w:w w:val="110"/>
          <w:sz w:val="16"/>
        </w:rPr>
        <w:t>Left</w:t>
      </w:r>
      <w:r>
        <w:rPr>
          <w:i/>
          <w:color w:val="231F20"/>
          <w:spacing w:val="6"/>
          <w:w w:val="110"/>
          <w:sz w:val="16"/>
        </w:rPr>
        <w:t xml:space="preserve"> </w:t>
      </w:r>
      <w:r>
        <w:rPr>
          <w:color w:val="231F20"/>
          <w:w w:val="110"/>
          <w:sz w:val="16"/>
        </w:rPr>
        <w:t>14,</w:t>
      </w:r>
      <w:r>
        <w:rPr>
          <w:color w:val="231F20"/>
          <w:spacing w:val="5"/>
          <w:w w:val="110"/>
          <w:sz w:val="16"/>
        </w:rPr>
        <w:t xml:space="preserve"> </w:t>
      </w:r>
      <w:r>
        <w:rPr>
          <w:color w:val="231F20"/>
          <w:w w:val="110"/>
          <w:sz w:val="16"/>
        </w:rPr>
        <w:t>no.</w:t>
      </w:r>
      <w:r>
        <w:rPr>
          <w:color w:val="231F20"/>
          <w:spacing w:val="5"/>
          <w:w w:val="110"/>
          <w:sz w:val="16"/>
        </w:rPr>
        <w:t xml:space="preserve"> </w:t>
      </w:r>
      <w:r>
        <w:rPr>
          <w:color w:val="231F20"/>
          <w:w w:val="110"/>
          <w:sz w:val="16"/>
        </w:rPr>
        <w:t>1</w:t>
      </w:r>
      <w:r>
        <w:rPr>
          <w:color w:val="231F20"/>
          <w:spacing w:val="5"/>
          <w:w w:val="110"/>
          <w:sz w:val="16"/>
        </w:rPr>
        <w:t xml:space="preserve"> </w:t>
      </w:r>
      <w:r>
        <w:rPr>
          <w:color w:val="231F20"/>
          <w:w w:val="110"/>
          <w:sz w:val="16"/>
        </w:rPr>
        <w:t>&amp;</w:t>
      </w:r>
      <w:r>
        <w:rPr>
          <w:color w:val="231F20"/>
          <w:spacing w:val="5"/>
          <w:w w:val="110"/>
          <w:sz w:val="16"/>
        </w:rPr>
        <w:t xml:space="preserve"> </w:t>
      </w:r>
      <w:r>
        <w:rPr>
          <w:color w:val="231F20"/>
          <w:w w:val="110"/>
          <w:sz w:val="16"/>
        </w:rPr>
        <w:t>2</w:t>
      </w:r>
      <w:r>
        <w:rPr>
          <w:color w:val="231F20"/>
          <w:spacing w:val="5"/>
          <w:w w:val="110"/>
          <w:sz w:val="16"/>
        </w:rPr>
        <w:t xml:space="preserve"> </w:t>
      </w:r>
      <w:r>
        <w:rPr>
          <w:color w:val="231F20"/>
          <w:spacing w:val="-5"/>
          <w:w w:val="110"/>
          <w:sz w:val="16"/>
        </w:rPr>
        <w:t>(1989).</w:t>
      </w:r>
    </w:p>
    <w:p w14:paraId="0015E9AC" w14:textId="77777777" w:rsidR="002653E8" w:rsidRDefault="002653E8">
      <w:pPr>
        <w:spacing w:line="254" w:lineRule="auto"/>
        <w:rPr>
          <w:sz w:val="16"/>
        </w:rPr>
        <w:sectPr w:rsidR="002653E8">
          <w:pgSz w:w="8640" w:h="12960"/>
          <w:pgMar w:top="1060" w:right="0" w:bottom="1040" w:left="0" w:header="0" w:footer="850" w:gutter="0"/>
          <w:cols w:space="720"/>
        </w:sectPr>
      </w:pPr>
    </w:p>
    <w:p w14:paraId="63B20A34" w14:textId="77777777" w:rsidR="002653E8" w:rsidRDefault="003115E3">
      <w:pPr>
        <w:pStyle w:val="a3"/>
        <w:spacing w:before="86" w:line="264" w:lineRule="auto"/>
        <w:ind w:left="1147" w:right="1513"/>
      </w:pPr>
      <w:r>
        <w:rPr>
          <w:color w:val="231F20"/>
        </w:rPr>
        <w:lastRenderedPageBreak/>
        <w:t>the SAWIO and the Siegfried Hausner  Commando,  was  accompanied by a videotape of</w:t>
      </w:r>
      <w:r>
        <w:rPr>
          <w:color w:val="231F20"/>
          <w:spacing w:val="42"/>
        </w:rPr>
        <w:t xml:space="preserve"> </w:t>
      </w:r>
      <w:r>
        <w:rPr>
          <w:color w:val="231F20"/>
        </w:rPr>
        <w:t>Schleyer.</w:t>
      </w:r>
    </w:p>
    <w:p w14:paraId="403E58DD" w14:textId="77777777" w:rsidR="002653E8" w:rsidRDefault="003115E3">
      <w:pPr>
        <w:pStyle w:val="a3"/>
        <w:spacing w:line="264" w:lineRule="auto"/>
        <w:ind w:left="1148" w:right="1325" w:firstLine="209"/>
        <w:jc w:val="both"/>
      </w:pPr>
      <w:r>
        <w:rPr>
          <w:color w:val="231F20"/>
        </w:rPr>
        <w:t xml:space="preserve">At </w:t>
      </w:r>
      <w:r>
        <w:rPr>
          <w:color w:val="231F20"/>
          <w:spacing w:val="-4"/>
        </w:rPr>
        <w:t xml:space="preserve">5:47 </w:t>
      </w:r>
      <w:r>
        <w:rPr>
          <w:color w:val="231F20"/>
        </w:rPr>
        <w:t xml:space="preserve">pm, the </w:t>
      </w:r>
      <w:r>
        <w:rPr>
          <w:color w:val="231F20"/>
          <w:spacing w:val="-3"/>
        </w:rPr>
        <w:t xml:space="preserve">West </w:t>
      </w:r>
      <w:r>
        <w:rPr>
          <w:color w:val="231F20"/>
        </w:rPr>
        <w:t xml:space="preserve">German government released a statement specifying that they intended to do everything possible to find </w:t>
      </w:r>
      <w:r>
        <w:rPr>
          <w:color w:val="231F20"/>
          <w:spacing w:val="-4"/>
        </w:rPr>
        <w:t xml:space="preserve">“a </w:t>
      </w:r>
      <w:r>
        <w:rPr>
          <w:color w:val="231F20"/>
        </w:rPr>
        <w:t>reasonable and humanitarian solution,” so as to save the lives of the hostages. That evening Wischnewski left Bonn for Dubai: he was no longer traveling   to arrange sanctuary for the prisoners, or even to pretend to do so, but rather</w:t>
      </w:r>
      <w:r>
        <w:rPr>
          <w:color w:val="231F20"/>
          <w:spacing w:val="10"/>
        </w:rPr>
        <w:t xml:space="preserve"> </w:t>
      </w:r>
      <w:r>
        <w:rPr>
          <w:color w:val="231F20"/>
        </w:rPr>
        <w:t>to</w:t>
      </w:r>
      <w:r>
        <w:rPr>
          <w:color w:val="231F20"/>
          <w:spacing w:val="10"/>
        </w:rPr>
        <w:t xml:space="preserve"> </w:t>
      </w:r>
      <w:r>
        <w:rPr>
          <w:color w:val="231F20"/>
        </w:rPr>
        <w:t>negotiate</w:t>
      </w:r>
      <w:r>
        <w:rPr>
          <w:color w:val="231F20"/>
          <w:spacing w:val="10"/>
        </w:rPr>
        <w:t xml:space="preserve"> </w:t>
      </w:r>
      <w:r>
        <w:rPr>
          <w:color w:val="231F20"/>
        </w:rPr>
        <w:t>the</w:t>
      </w:r>
      <w:r>
        <w:rPr>
          <w:color w:val="231F20"/>
          <w:spacing w:val="10"/>
        </w:rPr>
        <w:t xml:space="preserve"> </w:t>
      </w:r>
      <w:r>
        <w:rPr>
          <w:color w:val="231F20"/>
        </w:rPr>
        <w:t>terms</w:t>
      </w:r>
      <w:r>
        <w:rPr>
          <w:color w:val="231F20"/>
          <w:spacing w:val="10"/>
        </w:rPr>
        <w:t xml:space="preserve"> </w:t>
      </w:r>
      <w:r>
        <w:rPr>
          <w:color w:val="231F20"/>
        </w:rPr>
        <w:t>of</w:t>
      </w:r>
      <w:r>
        <w:rPr>
          <w:color w:val="231F20"/>
          <w:spacing w:val="10"/>
        </w:rPr>
        <w:t xml:space="preserve"> </w:t>
      </w:r>
      <w:r>
        <w:rPr>
          <w:color w:val="231F20"/>
        </w:rPr>
        <w:t>an</w:t>
      </w:r>
      <w:r>
        <w:rPr>
          <w:color w:val="231F20"/>
          <w:spacing w:val="10"/>
        </w:rPr>
        <w:t xml:space="preserve"> </w:t>
      </w:r>
      <w:r>
        <w:rPr>
          <w:color w:val="231F20"/>
        </w:rPr>
        <w:t>intervention.</w:t>
      </w:r>
    </w:p>
    <w:p w14:paraId="32E3F3F2" w14:textId="77777777" w:rsidR="002653E8" w:rsidRDefault="003115E3">
      <w:pPr>
        <w:pStyle w:val="a3"/>
        <w:spacing w:line="264" w:lineRule="auto"/>
        <w:ind w:left="1148" w:right="1325" w:firstLine="210"/>
        <w:jc w:val="both"/>
      </w:pPr>
      <w:r>
        <w:rPr>
          <w:color w:val="231F20"/>
        </w:rPr>
        <w:t xml:space="preserve">On October </w:t>
      </w:r>
      <w:r>
        <w:rPr>
          <w:color w:val="231F20"/>
          <w:spacing w:val="-8"/>
        </w:rPr>
        <w:t xml:space="preserve">15, </w:t>
      </w:r>
      <w:r>
        <w:rPr>
          <w:color w:val="231F20"/>
        </w:rPr>
        <w:t xml:space="preserve">Denis </w:t>
      </w:r>
      <w:r>
        <w:rPr>
          <w:color w:val="231F20"/>
          <w:spacing w:val="-3"/>
        </w:rPr>
        <w:t xml:space="preserve">Payot </w:t>
      </w:r>
      <w:r>
        <w:rPr>
          <w:color w:val="231F20"/>
        </w:rPr>
        <w:t xml:space="preserve">announced that he had an “extremely important and urgent” message for the Siegfried Hausner Commando from the federal government in Bonn. Wischnewski, on site in Dubai, announced that there would be no military intervention. That evening, </w:t>
      </w:r>
      <w:r>
        <w:rPr>
          <w:color w:val="231F20"/>
          <w:spacing w:val="-3"/>
        </w:rPr>
        <w:t xml:space="preserve">West </w:t>
      </w:r>
      <w:r>
        <w:rPr>
          <w:color w:val="231F20"/>
        </w:rPr>
        <w:t>German television broke its self-imposed silence (which had been requested</w:t>
      </w:r>
      <w:r>
        <w:rPr>
          <w:color w:val="231F20"/>
          <w:spacing w:val="-3"/>
        </w:rPr>
        <w:t xml:space="preserve"> </w:t>
      </w:r>
      <w:r>
        <w:rPr>
          <w:color w:val="231F20"/>
        </w:rPr>
        <w:t>by</w:t>
      </w:r>
      <w:r>
        <w:rPr>
          <w:color w:val="231F20"/>
          <w:spacing w:val="-3"/>
        </w:rPr>
        <w:t xml:space="preserve"> </w:t>
      </w:r>
      <w:r>
        <w:rPr>
          <w:color w:val="231F20"/>
        </w:rPr>
        <w:t>the</w:t>
      </w:r>
      <w:r>
        <w:rPr>
          <w:color w:val="231F20"/>
          <w:spacing w:val="-3"/>
        </w:rPr>
        <w:t xml:space="preserve"> </w:t>
      </w:r>
      <w:r>
        <w:rPr>
          <w:color w:val="231F20"/>
        </w:rPr>
        <w:t>state)</w:t>
      </w:r>
      <w:r>
        <w:rPr>
          <w:color w:val="231F20"/>
          <w:spacing w:val="-3"/>
        </w:rPr>
        <w:t xml:space="preserve"> </w:t>
      </w:r>
      <w:r>
        <w:rPr>
          <w:color w:val="231F20"/>
        </w:rPr>
        <w:t>for</w:t>
      </w:r>
      <w:r>
        <w:rPr>
          <w:color w:val="231F20"/>
          <w:spacing w:val="-3"/>
        </w:rPr>
        <w:t xml:space="preserve"> </w:t>
      </w:r>
      <w:r>
        <w:rPr>
          <w:color w:val="231F20"/>
        </w:rPr>
        <w:t>the</w:t>
      </w:r>
      <w:r>
        <w:rPr>
          <w:color w:val="231F20"/>
          <w:spacing w:val="-3"/>
        </w:rPr>
        <w:t xml:space="preserve"> </w:t>
      </w:r>
      <w:r>
        <w:rPr>
          <w:color w:val="231F20"/>
        </w:rPr>
        <w:t>first</w:t>
      </w:r>
      <w:r>
        <w:rPr>
          <w:color w:val="231F20"/>
          <w:spacing w:val="-3"/>
        </w:rPr>
        <w:t xml:space="preserve"> </w:t>
      </w:r>
      <w:r>
        <w:rPr>
          <w:color w:val="231F20"/>
        </w:rPr>
        <w:t>time</w:t>
      </w:r>
      <w:r>
        <w:rPr>
          <w:color w:val="231F20"/>
          <w:spacing w:val="-3"/>
        </w:rPr>
        <w:t xml:space="preserve"> </w:t>
      </w:r>
      <w:r>
        <w:rPr>
          <w:color w:val="231F20"/>
        </w:rPr>
        <w:t>since</w:t>
      </w:r>
      <w:r>
        <w:rPr>
          <w:color w:val="231F20"/>
          <w:spacing w:val="-3"/>
        </w:rPr>
        <w:t xml:space="preserve"> </w:t>
      </w:r>
      <w:r>
        <w:rPr>
          <w:color w:val="231F20"/>
        </w:rPr>
        <w:t>the</w:t>
      </w:r>
      <w:r>
        <w:rPr>
          <w:color w:val="231F20"/>
          <w:spacing w:val="-3"/>
        </w:rPr>
        <w:t xml:space="preserve"> </w:t>
      </w:r>
      <w:r>
        <w:rPr>
          <w:color w:val="231F20"/>
        </w:rPr>
        <w:t>kidnapping,</w:t>
      </w:r>
      <w:r>
        <w:rPr>
          <w:color w:val="231F20"/>
          <w:spacing w:val="-3"/>
        </w:rPr>
        <w:t xml:space="preserve"> </w:t>
      </w:r>
      <w:r>
        <w:rPr>
          <w:color w:val="231F20"/>
        </w:rPr>
        <w:t>showing</w:t>
      </w:r>
      <w:r>
        <w:rPr>
          <w:color w:val="231F20"/>
          <w:spacing w:val="-3"/>
        </w:rPr>
        <w:t xml:space="preserve"> </w:t>
      </w:r>
      <w:r>
        <w:rPr>
          <w:color w:val="231F20"/>
        </w:rPr>
        <w:t xml:space="preserve">a </w:t>
      </w:r>
      <w:r>
        <w:rPr>
          <w:color w:val="231F20"/>
          <w:spacing w:val="2"/>
        </w:rPr>
        <w:t>thirty</w:t>
      </w:r>
      <w:r>
        <w:rPr>
          <w:color w:val="231F20"/>
          <w:spacing w:val="6"/>
        </w:rPr>
        <w:t xml:space="preserve"> </w:t>
      </w:r>
      <w:r>
        <w:rPr>
          <w:color w:val="231F20"/>
        </w:rPr>
        <w:t>second</w:t>
      </w:r>
      <w:r>
        <w:rPr>
          <w:color w:val="231F20"/>
          <w:spacing w:val="6"/>
        </w:rPr>
        <w:t xml:space="preserve"> </w:t>
      </w:r>
      <w:r>
        <w:rPr>
          <w:color w:val="231F20"/>
        </w:rPr>
        <w:t>clip</w:t>
      </w:r>
      <w:r>
        <w:rPr>
          <w:color w:val="231F20"/>
          <w:spacing w:val="6"/>
        </w:rPr>
        <w:t xml:space="preserve"> </w:t>
      </w:r>
      <w:r>
        <w:rPr>
          <w:color w:val="231F20"/>
        </w:rPr>
        <w:t>from</w:t>
      </w:r>
      <w:r>
        <w:rPr>
          <w:color w:val="231F20"/>
          <w:spacing w:val="6"/>
        </w:rPr>
        <w:t xml:space="preserve"> </w:t>
      </w:r>
      <w:r>
        <w:rPr>
          <w:color w:val="231F20"/>
        </w:rPr>
        <w:t>the</w:t>
      </w:r>
      <w:r>
        <w:rPr>
          <w:color w:val="231F20"/>
          <w:spacing w:val="6"/>
        </w:rPr>
        <w:t xml:space="preserve"> </w:t>
      </w:r>
      <w:r>
        <w:rPr>
          <w:color w:val="231F20"/>
        </w:rPr>
        <w:t>Schleyer</w:t>
      </w:r>
      <w:r>
        <w:rPr>
          <w:color w:val="231F20"/>
          <w:spacing w:val="7"/>
        </w:rPr>
        <w:t xml:space="preserve"> </w:t>
      </w:r>
      <w:r>
        <w:rPr>
          <w:color w:val="231F20"/>
        </w:rPr>
        <w:t>video</w:t>
      </w:r>
      <w:r>
        <w:rPr>
          <w:color w:val="231F20"/>
          <w:spacing w:val="6"/>
        </w:rPr>
        <w:t xml:space="preserve"> </w:t>
      </w:r>
      <w:r>
        <w:rPr>
          <w:color w:val="231F20"/>
        </w:rPr>
        <w:t>received</w:t>
      </w:r>
      <w:r>
        <w:rPr>
          <w:color w:val="231F20"/>
          <w:spacing w:val="6"/>
        </w:rPr>
        <w:t xml:space="preserve"> </w:t>
      </w:r>
      <w:r>
        <w:rPr>
          <w:color w:val="231F20"/>
        </w:rPr>
        <w:t>the</w:t>
      </w:r>
      <w:r>
        <w:rPr>
          <w:color w:val="231F20"/>
          <w:spacing w:val="6"/>
        </w:rPr>
        <w:t xml:space="preserve"> </w:t>
      </w:r>
      <w:r>
        <w:rPr>
          <w:color w:val="231F20"/>
        </w:rPr>
        <w:t>day</w:t>
      </w:r>
      <w:r>
        <w:rPr>
          <w:color w:val="231F20"/>
          <w:spacing w:val="6"/>
        </w:rPr>
        <w:t xml:space="preserve"> </w:t>
      </w:r>
      <w:r>
        <w:rPr>
          <w:color w:val="231F20"/>
        </w:rPr>
        <w:t>before.</w:t>
      </w:r>
    </w:p>
    <w:p w14:paraId="6E1266B3" w14:textId="77777777" w:rsidR="002653E8" w:rsidRDefault="003115E3">
      <w:pPr>
        <w:pStyle w:val="a3"/>
        <w:spacing w:line="264" w:lineRule="auto"/>
        <w:ind w:left="1148" w:right="1326" w:firstLine="210"/>
        <w:jc w:val="both"/>
      </w:pPr>
      <w:r>
        <w:rPr>
          <w:color w:val="231F20"/>
        </w:rPr>
        <w:t>As</w:t>
      </w:r>
      <w:r>
        <w:rPr>
          <w:color w:val="231F20"/>
          <w:spacing w:val="-5"/>
        </w:rPr>
        <w:t xml:space="preserve"> </w:t>
      </w:r>
      <w:r>
        <w:rPr>
          <w:color w:val="231F20"/>
        </w:rPr>
        <w:t>another</w:t>
      </w:r>
      <w:r>
        <w:rPr>
          <w:color w:val="231F20"/>
          <w:spacing w:val="-5"/>
        </w:rPr>
        <w:t xml:space="preserve"> </w:t>
      </w:r>
      <w:r>
        <w:rPr>
          <w:color w:val="231F20"/>
        </w:rPr>
        <w:t>day</w:t>
      </w:r>
      <w:r>
        <w:rPr>
          <w:color w:val="231F20"/>
          <w:spacing w:val="-5"/>
        </w:rPr>
        <w:t xml:space="preserve"> </w:t>
      </w:r>
      <w:r>
        <w:rPr>
          <w:color w:val="231F20"/>
        </w:rPr>
        <w:t>drew</w:t>
      </w:r>
      <w:r>
        <w:rPr>
          <w:color w:val="231F20"/>
          <w:spacing w:val="-5"/>
        </w:rPr>
        <w:t xml:space="preserve"> </w:t>
      </w:r>
      <w:r>
        <w:rPr>
          <w:color w:val="231F20"/>
        </w:rPr>
        <w:t>to</w:t>
      </w:r>
      <w:r>
        <w:rPr>
          <w:color w:val="231F20"/>
          <w:spacing w:val="-5"/>
        </w:rPr>
        <w:t xml:space="preserve"> </w:t>
      </w:r>
      <w:r>
        <w:rPr>
          <w:color w:val="231F20"/>
        </w:rPr>
        <w:t>an</w:t>
      </w:r>
      <w:r>
        <w:rPr>
          <w:color w:val="231F20"/>
          <w:spacing w:val="-5"/>
        </w:rPr>
        <w:t xml:space="preserve"> </w:t>
      </w:r>
      <w:r>
        <w:rPr>
          <w:color w:val="231F20"/>
        </w:rPr>
        <w:t>end,</w:t>
      </w:r>
      <w:r>
        <w:rPr>
          <w:color w:val="231F20"/>
          <w:spacing w:val="-5"/>
        </w:rPr>
        <w:t xml:space="preserve"> </w:t>
      </w:r>
      <w:r>
        <w:rPr>
          <w:color w:val="231F20"/>
        </w:rPr>
        <w:t>the</w:t>
      </w:r>
      <w:r>
        <w:rPr>
          <w:color w:val="231F20"/>
          <w:spacing w:val="-5"/>
        </w:rPr>
        <w:t xml:space="preserve"> </w:t>
      </w:r>
      <w:r>
        <w:rPr>
          <w:color w:val="231F20"/>
          <w:spacing w:val="-3"/>
        </w:rPr>
        <w:t>West</w:t>
      </w:r>
      <w:r>
        <w:rPr>
          <w:color w:val="231F20"/>
          <w:spacing w:val="-5"/>
        </w:rPr>
        <w:t xml:space="preserve"> </w:t>
      </w:r>
      <w:r>
        <w:rPr>
          <w:color w:val="231F20"/>
        </w:rPr>
        <w:t>German</w:t>
      </w:r>
      <w:r>
        <w:rPr>
          <w:color w:val="231F20"/>
          <w:spacing w:val="-5"/>
        </w:rPr>
        <w:t xml:space="preserve"> </w:t>
      </w:r>
      <w:r>
        <w:rPr>
          <w:color w:val="231F20"/>
        </w:rPr>
        <w:t>government</w:t>
      </w:r>
      <w:r>
        <w:rPr>
          <w:color w:val="231F20"/>
          <w:spacing w:val="-5"/>
        </w:rPr>
        <w:t xml:space="preserve"> </w:t>
      </w:r>
      <w:r>
        <w:rPr>
          <w:color w:val="231F20"/>
        </w:rPr>
        <w:t xml:space="preserve">publicly announced that Somalia, South </w:t>
      </w:r>
      <w:r>
        <w:rPr>
          <w:color w:val="231F20"/>
          <w:spacing w:val="-3"/>
        </w:rPr>
        <w:t xml:space="preserve">yemen, </w:t>
      </w:r>
      <w:r>
        <w:rPr>
          <w:color w:val="231F20"/>
        </w:rPr>
        <w:t>and Vietnam had all refused to accept</w:t>
      </w:r>
      <w:r>
        <w:rPr>
          <w:color w:val="231F20"/>
          <w:spacing w:val="11"/>
        </w:rPr>
        <w:t xml:space="preserve"> </w:t>
      </w:r>
      <w:r>
        <w:rPr>
          <w:color w:val="231F20"/>
        </w:rPr>
        <w:t>the</w:t>
      </w:r>
      <w:r>
        <w:rPr>
          <w:color w:val="231F20"/>
          <w:spacing w:val="11"/>
        </w:rPr>
        <w:t xml:space="preserve"> </w:t>
      </w:r>
      <w:r w:rsidR="00C507A5">
        <w:rPr>
          <w:color w:val="231F20"/>
          <w:spacing w:val="5"/>
        </w:rPr>
        <w:t>red army faction</w:t>
      </w:r>
      <w:r>
        <w:rPr>
          <w:color w:val="231F20"/>
          <w:spacing w:val="11"/>
        </w:rPr>
        <w:t xml:space="preserve"> </w:t>
      </w:r>
      <w:r>
        <w:rPr>
          <w:color w:val="231F20"/>
        </w:rPr>
        <w:t>prisoners</w:t>
      </w:r>
      <w:r>
        <w:rPr>
          <w:color w:val="231F20"/>
          <w:spacing w:val="11"/>
        </w:rPr>
        <w:t xml:space="preserve"> </w:t>
      </w:r>
      <w:r>
        <w:rPr>
          <w:color w:val="231F20"/>
        </w:rPr>
        <w:t>and</w:t>
      </w:r>
      <w:r>
        <w:rPr>
          <w:color w:val="231F20"/>
          <w:spacing w:val="11"/>
        </w:rPr>
        <w:t xml:space="preserve"> </w:t>
      </w:r>
      <w:r>
        <w:rPr>
          <w:color w:val="231F20"/>
        </w:rPr>
        <w:t>the</w:t>
      </w:r>
      <w:r>
        <w:rPr>
          <w:color w:val="231F20"/>
          <w:spacing w:val="11"/>
        </w:rPr>
        <w:t xml:space="preserve"> </w:t>
      </w:r>
      <w:r>
        <w:rPr>
          <w:color w:val="231F20"/>
        </w:rPr>
        <w:t>two</w:t>
      </w:r>
      <w:r>
        <w:rPr>
          <w:color w:val="231F20"/>
          <w:spacing w:val="11"/>
        </w:rPr>
        <w:t xml:space="preserve"> </w:t>
      </w:r>
      <w:r>
        <w:rPr>
          <w:color w:val="231F20"/>
        </w:rPr>
        <w:t>Palestinians</w:t>
      </w:r>
      <w:r>
        <w:rPr>
          <w:color w:val="231F20"/>
          <w:spacing w:val="11"/>
        </w:rPr>
        <w:t xml:space="preserve"> </w:t>
      </w:r>
      <w:r>
        <w:rPr>
          <w:color w:val="231F20"/>
        </w:rPr>
        <w:t>held</w:t>
      </w:r>
      <w:r>
        <w:rPr>
          <w:color w:val="231F20"/>
          <w:spacing w:val="11"/>
        </w:rPr>
        <w:t xml:space="preserve"> </w:t>
      </w:r>
      <w:r>
        <w:rPr>
          <w:color w:val="231F20"/>
        </w:rPr>
        <w:t>in</w:t>
      </w:r>
      <w:r>
        <w:rPr>
          <w:color w:val="231F20"/>
          <w:spacing w:val="12"/>
        </w:rPr>
        <w:t xml:space="preserve"> </w:t>
      </w:r>
      <w:r>
        <w:rPr>
          <w:color w:val="231F20"/>
          <w:spacing w:val="-5"/>
        </w:rPr>
        <w:t>Turkey.</w:t>
      </w:r>
    </w:p>
    <w:p w14:paraId="52FACE6C" w14:textId="77777777" w:rsidR="002653E8" w:rsidRDefault="003115E3">
      <w:pPr>
        <w:pStyle w:val="a3"/>
        <w:spacing w:line="264" w:lineRule="auto"/>
        <w:ind w:left="1147" w:right="1325" w:firstLine="209"/>
        <w:jc w:val="both"/>
      </w:pPr>
      <w:r>
        <w:rPr>
          <w:color w:val="231F20"/>
        </w:rPr>
        <w:t>At 8:00 am on October 16, the forty-first day since the kidnapping of Schleyer, the deadline established in the October 14 ultimatum passed. In Geneva, Payot once again announced that he had received an “extremely important and urgent” message from Bonn. At 10:43 am, the Turkish Minister of Finance and Defense announced that Turkey was prepared to release the two Palestinians should the West German government request it.</w:t>
      </w:r>
    </w:p>
    <w:p w14:paraId="7ACDE690" w14:textId="77777777" w:rsidR="002653E8" w:rsidRDefault="003115E3">
      <w:pPr>
        <w:pStyle w:val="a3"/>
        <w:spacing w:line="227" w:lineRule="exact"/>
        <w:ind w:left="1357"/>
      </w:pPr>
      <w:r>
        <w:rPr>
          <w:color w:val="231F20"/>
        </w:rPr>
        <w:t>At 11:21 am, the airliner left Dubai.</w:t>
      </w:r>
    </w:p>
    <w:p w14:paraId="481320A4" w14:textId="77777777" w:rsidR="002653E8" w:rsidRDefault="003115E3">
      <w:pPr>
        <w:pStyle w:val="a3"/>
        <w:spacing w:before="3"/>
        <w:ind w:left="1357"/>
      </w:pPr>
      <w:r>
        <w:rPr>
          <w:color w:val="231F20"/>
        </w:rPr>
        <w:t>At noon, the second ultimatum passed.</w:t>
      </w:r>
    </w:p>
    <w:p w14:paraId="20D81703" w14:textId="77777777" w:rsidR="002653E8" w:rsidRDefault="003115E3">
      <w:pPr>
        <w:pStyle w:val="a3"/>
        <w:spacing w:before="23" w:line="264" w:lineRule="auto"/>
        <w:ind w:left="1148" w:right="1325" w:firstLine="209"/>
        <w:jc w:val="both"/>
      </w:pPr>
      <w:r>
        <w:rPr>
          <w:color w:val="231F20"/>
        </w:rPr>
        <w:t xml:space="preserve">At </w:t>
      </w:r>
      <w:r>
        <w:rPr>
          <w:color w:val="231F20"/>
          <w:spacing w:val="-4"/>
        </w:rPr>
        <w:t xml:space="preserve">2:38 </w:t>
      </w:r>
      <w:r>
        <w:rPr>
          <w:color w:val="231F20"/>
        </w:rPr>
        <w:t>pm, government spokesman Klaus Bölling declared that a “realistic” solution was still being sought. Seven hours later, a plane landed in Saudi Arabian city of Jiddah, carrying Wischnewski and the GSG-9,  the special operations unit that had been established just four years earlier</w:t>
      </w:r>
      <w:r>
        <w:rPr>
          <w:color w:val="231F20"/>
          <w:spacing w:val="15"/>
        </w:rPr>
        <w:t xml:space="preserve"> </w:t>
      </w:r>
      <w:r>
        <w:rPr>
          <w:color w:val="231F20"/>
        </w:rPr>
        <w:t>following</w:t>
      </w:r>
      <w:r>
        <w:rPr>
          <w:color w:val="231F20"/>
          <w:spacing w:val="15"/>
        </w:rPr>
        <w:t xml:space="preserve"> </w:t>
      </w:r>
      <w:r>
        <w:rPr>
          <w:color w:val="231F20"/>
        </w:rPr>
        <w:t>the</w:t>
      </w:r>
      <w:r>
        <w:rPr>
          <w:color w:val="231F20"/>
          <w:spacing w:val="15"/>
        </w:rPr>
        <w:t xml:space="preserve"> </w:t>
      </w:r>
      <w:r>
        <w:rPr>
          <w:color w:val="231F20"/>
        </w:rPr>
        <w:t>Black</w:t>
      </w:r>
      <w:r>
        <w:rPr>
          <w:color w:val="231F20"/>
          <w:spacing w:val="15"/>
        </w:rPr>
        <w:t xml:space="preserve"> </w:t>
      </w:r>
      <w:r>
        <w:rPr>
          <w:color w:val="231F20"/>
        </w:rPr>
        <w:t>September</w:t>
      </w:r>
      <w:r>
        <w:rPr>
          <w:color w:val="231F20"/>
          <w:spacing w:val="15"/>
        </w:rPr>
        <w:t xml:space="preserve"> </w:t>
      </w:r>
      <w:r>
        <w:rPr>
          <w:color w:val="231F20"/>
        </w:rPr>
        <w:t>attack</w:t>
      </w:r>
      <w:r>
        <w:rPr>
          <w:color w:val="231F20"/>
          <w:spacing w:val="15"/>
        </w:rPr>
        <w:t xml:space="preserve"> </w:t>
      </w:r>
      <w:r>
        <w:rPr>
          <w:color w:val="231F20"/>
        </w:rPr>
        <w:t>at</w:t>
      </w:r>
      <w:r>
        <w:rPr>
          <w:color w:val="231F20"/>
          <w:spacing w:val="15"/>
        </w:rPr>
        <w:t xml:space="preserve"> </w:t>
      </w:r>
      <w:r>
        <w:rPr>
          <w:color w:val="231F20"/>
        </w:rPr>
        <w:t>the</w:t>
      </w:r>
      <w:r>
        <w:rPr>
          <w:color w:val="231F20"/>
          <w:spacing w:val="15"/>
        </w:rPr>
        <w:t xml:space="preserve"> </w:t>
      </w:r>
      <w:r>
        <w:rPr>
          <w:color w:val="231F20"/>
        </w:rPr>
        <w:t>Munich</w:t>
      </w:r>
      <w:r>
        <w:rPr>
          <w:color w:val="231F20"/>
          <w:spacing w:val="15"/>
        </w:rPr>
        <w:t xml:space="preserve"> </w:t>
      </w:r>
      <w:r>
        <w:rPr>
          <w:color w:val="231F20"/>
        </w:rPr>
        <w:t>Olympics.</w:t>
      </w:r>
    </w:p>
    <w:p w14:paraId="1CF782FE" w14:textId="77777777" w:rsidR="002653E8" w:rsidRDefault="003115E3">
      <w:pPr>
        <w:pStyle w:val="a3"/>
        <w:spacing w:line="264" w:lineRule="auto"/>
        <w:ind w:left="1147" w:right="1325" w:firstLine="210"/>
        <w:jc w:val="both"/>
        <w:rPr>
          <w:sz w:val="11"/>
        </w:rPr>
      </w:pPr>
      <w:r>
        <w:rPr>
          <w:color w:val="231F20"/>
          <w:w w:val="105"/>
        </w:rPr>
        <w:t>That night, the plane carrying the hijackers and their hostages was forced to make an emergency landing in South yemen to refuel. The PDRy’s military had blocked off the airstrip with tanks, not wanting anything to do with the skyjacking, but the plane set down on a sand track beside the runway itself.</w:t>
      </w:r>
      <w:r>
        <w:rPr>
          <w:color w:val="231F20"/>
          <w:w w:val="105"/>
          <w:position w:val="7"/>
          <w:sz w:val="11"/>
        </w:rPr>
        <w:t>1</w:t>
      </w:r>
    </w:p>
    <w:p w14:paraId="5E6906E4" w14:textId="77777777" w:rsidR="002653E8" w:rsidRDefault="00000000">
      <w:pPr>
        <w:pStyle w:val="a3"/>
        <w:spacing w:before="6"/>
        <w:rPr>
          <w:sz w:val="19"/>
        </w:rPr>
      </w:pPr>
      <w:r>
        <w:rPr>
          <w:noProof w:val="0"/>
        </w:rPr>
        <w:pict w14:anchorId="5EAA8D27">
          <v:line id="_x0000_s2198" style="position:absolute;z-index:10264;mso-wrap-distance-left:0;mso-wrap-distance-right:0;mso-position-horizontal-relative:page" from="57.4pt,13.65pt" to="129.4pt,13.65pt" strokecolor="#231f20" strokeweight=".5pt">
            <w10:wrap type="topAndBottom" anchorx="page"/>
          </v:line>
        </w:pict>
      </w:r>
    </w:p>
    <w:p w14:paraId="7E3A30A4" w14:textId="77777777" w:rsidR="002653E8" w:rsidRDefault="003115E3">
      <w:pPr>
        <w:spacing w:before="53" w:line="254" w:lineRule="auto"/>
        <w:ind w:left="1147" w:right="1580"/>
        <w:rPr>
          <w:sz w:val="16"/>
        </w:rPr>
      </w:pPr>
      <w:r>
        <w:rPr>
          <w:color w:val="231F20"/>
          <w:w w:val="105"/>
          <w:sz w:val="16"/>
        </w:rPr>
        <w:t>1 Fred Halliday states that the PDRy’s reticence to get involved was due to the fallout from their having agreed to provide refuge to the prisoners exchanged for</w:t>
      </w:r>
    </w:p>
    <w:p w14:paraId="1968FF4A" w14:textId="77777777" w:rsidR="002653E8" w:rsidRDefault="002653E8">
      <w:pPr>
        <w:spacing w:line="254" w:lineRule="auto"/>
        <w:rPr>
          <w:sz w:val="16"/>
        </w:rPr>
        <w:sectPr w:rsidR="002653E8">
          <w:pgSz w:w="8640" w:h="12960"/>
          <w:pgMar w:top="1060" w:right="0" w:bottom="1040" w:left="0" w:header="0" w:footer="850" w:gutter="0"/>
          <w:cols w:space="720"/>
        </w:sectPr>
      </w:pPr>
    </w:p>
    <w:p w14:paraId="6C166929" w14:textId="77777777" w:rsidR="002653E8" w:rsidRDefault="003115E3">
      <w:pPr>
        <w:pStyle w:val="a3"/>
        <w:spacing w:before="86" w:line="264" w:lineRule="auto"/>
        <w:ind w:left="1327" w:right="1146" w:firstLine="210"/>
        <w:jc w:val="both"/>
        <w:rPr>
          <w:sz w:val="11"/>
        </w:rPr>
      </w:pPr>
      <w:r>
        <w:rPr>
          <w:color w:val="231F20"/>
          <w:w w:val="105"/>
        </w:rPr>
        <w:lastRenderedPageBreak/>
        <w:t xml:space="preserve">Finally refueled the next morning, the plane took off, landing in Mogadishu, Somalia at 3:20 </w:t>
      </w:r>
      <w:r>
        <w:rPr>
          <w:color w:val="231F20"/>
          <w:spacing w:val="2"/>
          <w:w w:val="105"/>
        </w:rPr>
        <w:t xml:space="preserve">am </w:t>
      </w:r>
      <w:r>
        <w:rPr>
          <w:color w:val="231F20"/>
          <w:w w:val="105"/>
        </w:rPr>
        <w:t xml:space="preserve">German time on October </w:t>
      </w:r>
      <w:r>
        <w:rPr>
          <w:color w:val="231F20"/>
          <w:spacing w:val="-8"/>
          <w:w w:val="105"/>
        </w:rPr>
        <w:t xml:space="preserve">17. </w:t>
      </w:r>
      <w:r>
        <w:rPr>
          <w:color w:val="231F20"/>
          <w:spacing w:val="2"/>
          <w:w w:val="105"/>
        </w:rPr>
        <w:t xml:space="preserve">An </w:t>
      </w:r>
      <w:r>
        <w:rPr>
          <w:color w:val="231F20"/>
          <w:w w:val="105"/>
        </w:rPr>
        <w:t>hour later</w:t>
      </w:r>
      <w:r>
        <w:rPr>
          <w:color w:val="231F20"/>
          <w:spacing w:val="-8"/>
          <w:w w:val="105"/>
        </w:rPr>
        <w:t xml:space="preserve"> </w:t>
      </w:r>
      <w:r>
        <w:rPr>
          <w:color w:val="231F20"/>
          <w:w w:val="105"/>
        </w:rPr>
        <w:t>the</w:t>
      </w:r>
      <w:r>
        <w:rPr>
          <w:color w:val="231F20"/>
          <w:spacing w:val="-8"/>
          <w:w w:val="105"/>
        </w:rPr>
        <w:t xml:space="preserve"> </w:t>
      </w:r>
      <w:r>
        <w:rPr>
          <w:color w:val="231F20"/>
          <w:w w:val="105"/>
        </w:rPr>
        <w:t>dead</w:t>
      </w:r>
      <w:r>
        <w:rPr>
          <w:color w:val="231F20"/>
          <w:spacing w:val="-8"/>
          <w:w w:val="105"/>
        </w:rPr>
        <w:t xml:space="preserve"> </w:t>
      </w:r>
      <w:r>
        <w:rPr>
          <w:color w:val="231F20"/>
          <w:w w:val="105"/>
        </w:rPr>
        <w:t>body</w:t>
      </w:r>
      <w:r>
        <w:rPr>
          <w:color w:val="231F20"/>
          <w:spacing w:val="-8"/>
          <w:w w:val="105"/>
        </w:rPr>
        <w:t xml:space="preserve"> </w:t>
      </w:r>
      <w:r>
        <w:rPr>
          <w:color w:val="231F20"/>
          <w:w w:val="105"/>
        </w:rPr>
        <w:t>of</w:t>
      </w:r>
      <w:r>
        <w:rPr>
          <w:color w:val="231F20"/>
          <w:spacing w:val="-8"/>
          <w:w w:val="105"/>
        </w:rPr>
        <w:t xml:space="preserve"> </w:t>
      </w:r>
      <w:r>
        <w:rPr>
          <w:color w:val="231F20"/>
          <w:w w:val="105"/>
        </w:rPr>
        <w:t>Flight</w:t>
      </w:r>
      <w:r>
        <w:rPr>
          <w:color w:val="231F20"/>
          <w:spacing w:val="-8"/>
          <w:w w:val="105"/>
        </w:rPr>
        <w:t xml:space="preserve"> </w:t>
      </w:r>
      <w:r>
        <w:rPr>
          <w:color w:val="231F20"/>
          <w:w w:val="105"/>
        </w:rPr>
        <w:t>Captain</w:t>
      </w:r>
      <w:r>
        <w:rPr>
          <w:color w:val="231F20"/>
          <w:spacing w:val="-7"/>
          <w:w w:val="105"/>
        </w:rPr>
        <w:t xml:space="preserve"> </w:t>
      </w:r>
      <w:r>
        <w:rPr>
          <w:color w:val="231F20"/>
          <w:w w:val="105"/>
        </w:rPr>
        <w:t>Jürgen</w:t>
      </w:r>
      <w:r>
        <w:rPr>
          <w:color w:val="231F20"/>
          <w:spacing w:val="-8"/>
          <w:w w:val="105"/>
        </w:rPr>
        <w:t xml:space="preserve"> </w:t>
      </w:r>
      <w:r>
        <w:rPr>
          <w:color w:val="231F20"/>
          <w:w w:val="105"/>
        </w:rPr>
        <w:t>Schumann,</w:t>
      </w:r>
      <w:r>
        <w:rPr>
          <w:color w:val="231F20"/>
          <w:spacing w:val="-8"/>
          <w:w w:val="105"/>
        </w:rPr>
        <w:t xml:space="preserve"> </w:t>
      </w:r>
      <w:r>
        <w:rPr>
          <w:color w:val="231F20"/>
          <w:w w:val="105"/>
        </w:rPr>
        <w:t>who</w:t>
      </w:r>
      <w:r>
        <w:rPr>
          <w:color w:val="231F20"/>
          <w:spacing w:val="-8"/>
          <w:w w:val="105"/>
        </w:rPr>
        <w:t xml:space="preserve"> </w:t>
      </w:r>
      <w:r>
        <w:rPr>
          <w:color w:val="231F20"/>
          <w:w w:val="105"/>
        </w:rPr>
        <w:t>had</w:t>
      </w:r>
      <w:r>
        <w:rPr>
          <w:color w:val="231F20"/>
          <w:spacing w:val="-8"/>
          <w:w w:val="105"/>
        </w:rPr>
        <w:t xml:space="preserve"> </w:t>
      </w:r>
      <w:r>
        <w:rPr>
          <w:color w:val="231F20"/>
          <w:w w:val="105"/>
        </w:rPr>
        <w:t>been sending</w:t>
      </w:r>
      <w:r>
        <w:rPr>
          <w:color w:val="231F20"/>
          <w:spacing w:val="-14"/>
          <w:w w:val="105"/>
        </w:rPr>
        <w:t xml:space="preserve"> </w:t>
      </w:r>
      <w:r>
        <w:rPr>
          <w:color w:val="231F20"/>
          <w:w w:val="105"/>
        </w:rPr>
        <w:t>out</w:t>
      </w:r>
      <w:r>
        <w:rPr>
          <w:color w:val="231F20"/>
          <w:spacing w:val="-14"/>
          <w:w w:val="105"/>
        </w:rPr>
        <w:t xml:space="preserve"> </w:t>
      </w:r>
      <w:r>
        <w:rPr>
          <w:color w:val="231F20"/>
          <w:w w:val="105"/>
        </w:rPr>
        <w:t>coded</w:t>
      </w:r>
      <w:r>
        <w:rPr>
          <w:color w:val="231F20"/>
          <w:spacing w:val="-14"/>
          <w:w w:val="105"/>
        </w:rPr>
        <w:t xml:space="preserve"> </w:t>
      </w:r>
      <w:r>
        <w:rPr>
          <w:color w:val="231F20"/>
          <w:w w:val="105"/>
        </w:rPr>
        <w:t>messages</w:t>
      </w:r>
      <w:r>
        <w:rPr>
          <w:color w:val="231F20"/>
          <w:spacing w:val="-14"/>
          <w:w w:val="105"/>
        </w:rPr>
        <w:t xml:space="preserve"> </w:t>
      </w:r>
      <w:r>
        <w:rPr>
          <w:color w:val="231F20"/>
          <w:w w:val="105"/>
        </w:rPr>
        <w:t>about</w:t>
      </w:r>
      <w:r>
        <w:rPr>
          <w:color w:val="231F20"/>
          <w:spacing w:val="-14"/>
          <w:w w:val="105"/>
        </w:rPr>
        <w:t xml:space="preserve"> </w:t>
      </w:r>
      <w:r>
        <w:rPr>
          <w:color w:val="231F20"/>
          <w:w w:val="105"/>
        </w:rPr>
        <w:t>the</w:t>
      </w:r>
      <w:r>
        <w:rPr>
          <w:color w:val="231F20"/>
          <w:spacing w:val="-14"/>
          <w:w w:val="105"/>
        </w:rPr>
        <w:t xml:space="preserve"> </w:t>
      </w:r>
      <w:r>
        <w:rPr>
          <w:color w:val="231F20"/>
          <w:w w:val="105"/>
        </w:rPr>
        <w:t>situation</w:t>
      </w:r>
      <w:r>
        <w:rPr>
          <w:color w:val="231F20"/>
          <w:spacing w:val="-14"/>
          <w:w w:val="105"/>
        </w:rPr>
        <w:t xml:space="preserve"> </w:t>
      </w:r>
      <w:r>
        <w:rPr>
          <w:color w:val="231F20"/>
          <w:w w:val="105"/>
        </w:rPr>
        <w:t>on</w:t>
      </w:r>
      <w:r>
        <w:rPr>
          <w:color w:val="231F20"/>
          <w:spacing w:val="-14"/>
          <w:w w:val="105"/>
        </w:rPr>
        <w:t xml:space="preserve"> </w:t>
      </w:r>
      <w:r>
        <w:rPr>
          <w:color w:val="231F20"/>
          <w:w w:val="105"/>
        </w:rPr>
        <w:t>board,</w:t>
      </w:r>
      <w:r>
        <w:rPr>
          <w:color w:val="231F20"/>
          <w:spacing w:val="-14"/>
          <w:w w:val="105"/>
        </w:rPr>
        <w:t xml:space="preserve"> </w:t>
      </w:r>
      <w:r>
        <w:rPr>
          <w:color w:val="231F20"/>
          <w:w w:val="105"/>
        </w:rPr>
        <w:t>was</w:t>
      </w:r>
      <w:r>
        <w:rPr>
          <w:color w:val="231F20"/>
          <w:spacing w:val="-14"/>
          <w:w w:val="105"/>
        </w:rPr>
        <w:t xml:space="preserve"> </w:t>
      </w:r>
      <w:r>
        <w:rPr>
          <w:color w:val="231F20"/>
          <w:w w:val="105"/>
        </w:rPr>
        <w:t>pushed out the</w:t>
      </w:r>
      <w:r>
        <w:rPr>
          <w:color w:val="231F20"/>
          <w:spacing w:val="15"/>
          <w:w w:val="105"/>
        </w:rPr>
        <w:t xml:space="preserve"> </w:t>
      </w:r>
      <w:r>
        <w:rPr>
          <w:color w:val="231F20"/>
          <w:w w:val="105"/>
        </w:rPr>
        <w:t>door.</w:t>
      </w:r>
      <w:r>
        <w:rPr>
          <w:color w:val="231F20"/>
          <w:w w:val="105"/>
          <w:position w:val="7"/>
          <w:sz w:val="11"/>
        </w:rPr>
        <w:t>2</w:t>
      </w:r>
    </w:p>
    <w:p w14:paraId="32CD3B56" w14:textId="77777777" w:rsidR="002653E8" w:rsidRDefault="003115E3">
      <w:pPr>
        <w:pStyle w:val="a3"/>
        <w:spacing w:line="264" w:lineRule="auto"/>
        <w:ind w:left="1327" w:right="1147" w:firstLine="210"/>
        <w:jc w:val="both"/>
      </w:pPr>
      <w:r>
        <w:rPr>
          <w:color w:val="231F20"/>
        </w:rPr>
        <w:t>The hijackers announced they were extending  their  deadline  to  2:00 pm, German</w:t>
      </w:r>
      <w:r>
        <w:rPr>
          <w:color w:val="231F20"/>
          <w:spacing w:val="11"/>
        </w:rPr>
        <w:t xml:space="preserve"> </w:t>
      </w:r>
      <w:r>
        <w:rPr>
          <w:color w:val="231F20"/>
        </w:rPr>
        <w:t>time.</w:t>
      </w:r>
    </w:p>
    <w:p w14:paraId="066A2C62" w14:textId="77777777" w:rsidR="002653E8" w:rsidRDefault="003115E3">
      <w:pPr>
        <w:pStyle w:val="a3"/>
        <w:spacing w:line="264" w:lineRule="auto"/>
        <w:ind w:left="1327" w:right="1146" w:firstLine="210"/>
        <w:jc w:val="both"/>
        <w:rPr>
          <w:sz w:val="11"/>
        </w:rPr>
      </w:pPr>
      <w:r>
        <w:rPr>
          <w:color w:val="231F20"/>
        </w:rPr>
        <w:t xml:space="preserve">At </w:t>
      </w:r>
      <w:r>
        <w:rPr>
          <w:color w:val="231F20"/>
          <w:spacing w:val="-4"/>
        </w:rPr>
        <w:t xml:space="preserve">1:30 </w:t>
      </w:r>
      <w:r>
        <w:rPr>
          <w:color w:val="231F20"/>
        </w:rPr>
        <w:t>pm Bölling held a press conference, during which he insisted that the goal of the authorities, “has been and remains saving the lives  of the</w:t>
      </w:r>
      <w:r>
        <w:rPr>
          <w:color w:val="231F20"/>
          <w:spacing w:val="21"/>
        </w:rPr>
        <w:t xml:space="preserve"> </w:t>
      </w:r>
      <w:r>
        <w:rPr>
          <w:color w:val="231F20"/>
        </w:rPr>
        <w:t>hostages.”</w:t>
      </w:r>
      <w:r>
        <w:rPr>
          <w:color w:val="231F20"/>
          <w:position w:val="7"/>
          <w:sz w:val="11"/>
        </w:rPr>
        <w:t>3</w:t>
      </w:r>
    </w:p>
    <w:p w14:paraId="323572C9" w14:textId="77777777" w:rsidR="002653E8" w:rsidRDefault="003115E3">
      <w:pPr>
        <w:pStyle w:val="a3"/>
        <w:spacing w:line="264" w:lineRule="auto"/>
        <w:ind w:left="1327" w:right="1147" w:firstLine="210"/>
        <w:jc w:val="both"/>
      </w:pPr>
      <w:r>
        <w:rPr>
          <w:color w:val="231F20"/>
        </w:rPr>
        <w:t>At 2:00 pm, yet another deadline passed. Minutes earlier, the plane carrying Wischnewski and the GSG-9 had landed in Mogadishu.</w:t>
      </w:r>
    </w:p>
    <w:p w14:paraId="478151ED" w14:textId="77777777" w:rsidR="002653E8" w:rsidRDefault="003115E3">
      <w:pPr>
        <w:pStyle w:val="a3"/>
        <w:spacing w:line="264" w:lineRule="auto"/>
        <w:ind w:left="1328" w:right="1146" w:firstLine="210"/>
        <w:jc w:val="both"/>
      </w:pPr>
      <w:r>
        <w:rPr>
          <w:color w:val="231F20"/>
        </w:rPr>
        <w:t>At the same time, in the Federal Republic, Schleyer’s family released  a statement announcing their willingness to negotiate directly with the kidnappers.</w:t>
      </w:r>
    </w:p>
    <w:p w14:paraId="4730C0D2" w14:textId="77777777" w:rsidR="002653E8" w:rsidRDefault="003115E3">
      <w:pPr>
        <w:pStyle w:val="a3"/>
        <w:spacing w:line="264" w:lineRule="auto"/>
        <w:ind w:left="1327" w:right="1146" w:firstLine="210"/>
        <w:jc w:val="both"/>
      </w:pPr>
      <w:r>
        <w:rPr>
          <w:color w:val="231F20"/>
        </w:rPr>
        <w:t>At 8:20 pm, Bölling issued a statement that the “terrorists” had no option but to surrender. Twenty minutes later, the West German government requested an international news blackout of developments at the airport in Mogadishu.</w:t>
      </w:r>
    </w:p>
    <w:p w14:paraId="34621C52" w14:textId="77777777" w:rsidR="002653E8" w:rsidRDefault="003115E3">
      <w:pPr>
        <w:pStyle w:val="a3"/>
        <w:spacing w:line="264" w:lineRule="auto"/>
        <w:ind w:left="1327" w:right="1145" w:firstLine="210"/>
        <w:jc w:val="both"/>
      </w:pPr>
      <w:r>
        <w:rPr>
          <w:color w:val="231F20"/>
        </w:rPr>
        <w:t xml:space="preserve">At 11:00 pm on October </w:t>
      </w:r>
      <w:r>
        <w:rPr>
          <w:color w:val="231F20"/>
          <w:spacing w:val="-7"/>
        </w:rPr>
        <w:t xml:space="preserve">17, </w:t>
      </w:r>
      <w:r>
        <w:rPr>
          <w:color w:val="231F20"/>
          <w:spacing w:val="1"/>
        </w:rPr>
        <w:t xml:space="preserve">sixty GSG-9 </w:t>
      </w:r>
      <w:r>
        <w:rPr>
          <w:color w:val="231F20"/>
        </w:rPr>
        <w:t xml:space="preserve">agents stormed the airliner: guerilla fighters Zohair </w:t>
      </w:r>
      <w:r>
        <w:rPr>
          <w:color w:val="231F20"/>
          <w:spacing w:val="-3"/>
        </w:rPr>
        <w:t xml:space="preserve">youssef </w:t>
      </w:r>
      <w:r>
        <w:rPr>
          <w:color w:val="231F20"/>
        </w:rPr>
        <w:t xml:space="preserve">Akache, Hind Alameh, and Nabil Harb were killed, and Souhaila Andrawes was gravely wounded. One hostage suffered a heart attack and died, but, given how many were saved, the operation was considered a great success. </w:t>
      </w:r>
      <w:r>
        <w:rPr>
          <w:color w:val="231F20"/>
          <w:spacing w:val="1"/>
        </w:rPr>
        <w:t xml:space="preserve">All </w:t>
      </w:r>
      <w:r>
        <w:rPr>
          <w:color w:val="231F20"/>
        </w:rPr>
        <w:t>the more so, as it was the GSG-9’s first officially acknowledged</w:t>
      </w:r>
      <w:r>
        <w:rPr>
          <w:color w:val="231F20"/>
          <w:spacing w:val="21"/>
        </w:rPr>
        <w:t xml:space="preserve"> </w:t>
      </w:r>
      <w:r>
        <w:rPr>
          <w:color w:val="231F20"/>
        </w:rPr>
        <w:t>mission.</w:t>
      </w:r>
    </w:p>
    <w:p w14:paraId="32E53C13" w14:textId="77777777" w:rsidR="002653E8" w:rsidRDefault="003115E3">
      <w:pPr>
        <w:pStyle w:val="a3"/>
        <w:spacing w:line="264" w:lineRule="auto"/>
        <w:ind w:left="1327" w:right="1146" w:firstLine="210"/>
        <w:jc w:val="both"/>
      </w:pPr>
      <w:r>
        <w:rPr>
          <w:color w:val="231F20"/>
        </w:rPr>
        <w:t>The next morning, at 7:00 am, a government spokesperson publicly announced the resolution of the hijacking.</w:t>
      </w:r>
    </w:p>
    <w:p w14:paraId="1F3E66EB" w14:textId="77777777" w:rsidR="002653E8" w:rsidRDefault="003115E3">
      <w:pPr>
        <w:pStyle w:val="a3"/>
        <w:spacing w:line="264" w:lineRule="auto"/>
        <w:ind w:left="1327" w:right="1146" w:firstLine="210"/>
        <w:jc w:val="both"/>
      </w:pPr>
      <w:r>
        <w:rPr>
          <w:color w:val="231F20"/>
        </w:rPr>
        <w:t>One hour later, Bölling announced the “suicides” of Gudrun Ensslin and Andreas Baader, and the “attempted suicides” of Jan-Carl  Raspe and</w:t>
      </w:r>
      <w:r>
        <w:rPr>
          <w:color w:val="231F20"/>
          <w:spacing w:val="12"/>
        </w:rPr>
        <w:t xml:space="preserve"> </w:t>
      </w:r>
      <w:r>
        <w:rPr>
          <w:color w:val="231F20"/>
        </w:rPr>
        <w:t>Irmgard</w:t>
      </w:r>
      <w:r>
        <w:rPr>
          <w:color w:val="231F20"/>
          <w:spacing w:val="12"/>
        </w:rPr>
        <w:t xml:space="preserve"> </w:t>
      </w:r>
      <w:r>
        <w:rPr>
          <w:color w:val="231F20"/>
        </w:rPr>
        <w:t>Möller.</w:t>
      </w:r>
      <w:r>
        <w:rPr>
          <w:color w:val="231F20"/>
          <w:spacing w:val="12"/>
        </w:rPr>
        <w:t xml:space="preserve"> </w:t>
      </w:r>
      <w:r>
        <w:rPr>
          <w:color w:val="231F20"/>
        </w:rPr>
        <w:t>Raspe</w:t>
      </w:r>
      <w:r>
        <w:rPr>
          <w:color w:val="231F20"/>
          <w:spacing w:val="12"/>
        </w:rPr>
        <w:t xml:space="preserve"> </w:t>
      </w:r>
      <w:r>
        <w:rPr>
          <w:color w:val="231F20"/>
        </w:rPr>
        <w:t>died</w:t>
      </w:r>
      <w:r>
        <w:rPr>
          <w:color w:val="231F20"/>
          <w:spacing w:val="12"/>
        </w:rPr>
        <w:t xml:space="preserve"> </w:t>
      </w:r>
      <w:r>
        <w:rPr>
          <w:color w:val="231F20"/>
        </w:rPr>
        <w:t>of</w:t>
      </w:r>
      <w:r>
        <w:rPr>
          <w:color w:val="231F20"/>
          <w:spacing w:val="12"/>
        </w:rPr>
        <w:t xml:space="preserve"> </w:t>
      </w:r>
      <w:r>
        <w:rPr>
          <w:color w:val="231F20"/>
        </w:rPr>
        <w:t>his</w:t>
      </w:r>
      <w:r>
        <w:rPr>
          <w:color w:val="231F20"/>
          <w:spacing w:val="12"/>
        </w:rPr>
        <w:t xml:space="preserve"> </w:t>
      </w:r>
      <w:r>
        <w:rPr>
          <w:color w:val="231F20"/>
        </w:rPr>
        <w:t>wounds</w:t>
      </w:r>
      <w:r>
        <w:rPr>
          <w:color w:val="231F20"/>
          <w:spacing w:val="12"/>
        </w:rPr>
        <w:t xml:space="preserve"> </w:t>
      </w:r>
      <w:r>
        <w:rPr>
          <w:color w:val="231F20"/>
        </w:rPr>
        <w:t>soon</w:t>
      </w:r>
      <w:r>
        <w:rPr>
          <w:color w:val="231F20"/>
          <w:spacing w:val="12"/>
        </w:rPr>
        <w:t xml:space="preserve"> </w:t>
      </w:r>
      <w:r>
        <w:rPr>
          <w:color w:val="231F20"/>
        </w:rPr>
        <w:t>after.</w:t>
      </w:r>
    </w:p>
    <w:p w14:paraId="37FEF9D2" w14:textId="77777777" w:rsidR="002653E8" w:rsidRDefault="003115E3">
      <w:pPr>
        <w:pStyle w:val="a3"/>
        <w:spacing w:line="264" w:lineRule="auto"/>
        <w:ind w:left="1327" w:right="1147" w:firstLine="210"/>
        <w:jc w:val="both"/>
      </w:pPr>
      <w:r>
        <w:rPr>
          <w:color w:val="231F20"/>
        </w:rPr>
        <w:t>The following day, almost as a statement of victory, the government lifted the Contact Ban.</w:t>
      </w:r>
    </w:p>
    <w:p w14:paraId="4BC2CCD2" w14:textId="77777777" w:rsidR="002653E8" w:rsidRDefault="003115E3">
      <w:pPr>
        <w:pStyle w:val="a3"/>
        <w:spacing w:line="264" w:lineRule="auto"/>
        <w:ind w:left="1327" w:right="1147" w:firstLine="210"/>
        <w:jc w:val="both"/>
      </w:pPr>
      <w:r>
        <w:rPr>
          <w:color w:val="231F20"/>
          <w:spacing w:val="-8"/>
        </w:rPr>
        <w:t xml:space="preserve">To  </w:t>
      </w:r>
      <w:r>
        <w:rPr>
          <w:color w:val="231F20"/>
        </w:rPr>
        <w:t>all appearances, the prisoners had been killed in retaliation for  the guerilla’s actions. The Siegfried Hausner Commando issued</w:t>
      </w:r>
      <w:r>
        <w:rPr>
          <w:color w:val="231F20"/>
          <w:spacing w:val="25"/>
        </w:rPr>
        <w:t xml:space="preserve"> </w:t>
      </w:r>
      <w:r>
        <w:rPr>
          <w:color w:val="231F20"/>
        </w:rPr>
        <w:t>a</w:t>
      </w:r>
    </w:p>
    <w:p w14:paraId="0B3884D6" w14:textId="77777777" w:rsidR="002653E8" w:rsidRDefault="00000000">
      <w:pPr>
        <w:pStyle w:val="a3"/>
        <w:spacing w:before="3"/>
        <w:rPr>
          <w:sz w:val="11"/>
        </w:rPr>
      </w:pPr>
      <w:r>
        <w:rPr>
          <w:noProof w:val="0"/>
        </w:rPr>
        <w:pict w14:anchorId="4FF5EB9B">
          <v:line id="_x0000_s2197" style="position:absolute;z-index:10288;mso-wrap-distance-left:0;mso-wrap-distance-right:0;mso-position-horizontal-relative:page" from="66.4pt,9.05pt" to="354.4pt,9.05pt" strokecolor="#231f20" strokeweight="1pt">
            <w10:wrap type="topAndBottom" anchorx="page"/>
          </v:line>
        </w:pict>
      </w:r>
    </w:p>
    <w:p w14:paraId="124CB27A" w14:textId="77777777" w:rsidR="002653E8" w:rsidRDefault="003115E3">
      <w:pPr>
        <w:spacing w:before="8" w:line="254" w:lineRule="auto"/>
        <w:ind w:left="1327" w:right="1145"/>
        <w:rPr>
          <w:sz w:val="16"/>
        </w:rPr>
      </w:pPr>
      <w:r>
        <w:rPr>
          <w:color w:val="231F20"/>
          <w:w w:val="105"/>
          <w:sz w:val="16"/>
        </w:rPr>
        <w:t>Lorenz in 1975. Stefan Wisniewski has a very different view of the matter: given the PDRy’s good relations with the Palestinian resistance, he feels that the only reason Aden could have had to refuse the hijackers permission to land would have been foreign pressure, either from the GDR or the Soviet Union. (Wisniewski, 27)</w:t>
      </w:r>
    </w:p>
    <w:p w14:paraId="2367B6A8" w14:textId="77777777" w:rsidR="002653E8" w:rsidRDefault="003115E3">
      <w:pPr>
        <w:spacing w:before="41"/>
        <w:ind w:left="1328"/>
        <w:rPr>
          <w:sz w:val="16"/>
        </w:rPr>
      </w:pPr>
      <w:bookmarkStart w:id="237" w:name="_Hlk131396177"/>
      <w:r>
        <w:rPr>
          <w:color w:val="231F20"/>
          <w:w w:val="110"/>
          <w:sz w:val="16"/>
        </w:rPr>
        <w:t>2 Aust, 520.</w:t>
      </w:r>
    </w:p>
    <w:p w14:paraId="5CD717AE" w14:textId="77777777" w:rsidR="002653E8" w:rsidRDefault="003115E3">
      <w:pPr>
        <w:spacing w:before="52"/>
        <w:ind w:left="1328"/>
        <w:rPr>
          <w:sz w:val="16"/>
        </w:rPr>
      </w:pPr>
      <w:r>
        <w:rPr>
          <w:color w:val="231F20"/>
          <w:w w:val="115"/>
          <w:sz w:val="16"/>
        </w:rPr>
        <w:t>3 Ryan, 64.</w:t>
      </w:r>
    </w:p>
    <w:bookmarkEnd w:id="237"/>
    <w:p w14:paraId="42B46772" w14:textId="77777777" w:rsidR="002653E8" w:rsidRDefault="002653E8">
      <w:pPr>
        <w:rPr>
          <w:sz w:val="16"/>
        </w:rPr>
        <w:sectPr w:rsidR="002653E8">
          <w:pgSz w:w="8640" w:h="12960"/>
          <w:pgMar w:top="1060" w:right="0" w:bottom="1040" w:left="0" w:header="0" w:footer="850" w:gutter="0"/>
          <w:cols w:space="720"/>
        </w:sectPr>
      </w:pPr>
    </w:p>
    <w:p w14:paraId="1DF15636" w14:textId="77777777" w:rsidR="002653E8" w:rsidRDefault="003115E3">
      <w:pPr>
        <w:pStyle w:val="a3"/>
        <w:spacing w:before="86" w:line="264" w:lineRule="auto"/>
        <w:ind w:left="1147" w:right="1326" w:hanging="1"/>
        <w:jc w:val="both"/>
      </w:pPr>
      <w:r>
        <w:rPr>
          <w:color w:val="231F20"/>
        </w:rPr>
        <w:lastRenderedPageBreak/>
        <w:t xml:space="preserve">communiqué announcing that it, in </w:t>
      </w:r>
      <w:r>
        <w:rPr>
          <w:color w:val="231F20"/>
          <w:spacing w:val="1"/>
        </w:rPr>
        <w:t xml:space="preserve">turn,  </w:t>
      </w:r>
      <w:r>
        <w:rPr>
          <w:color w:val="231F20"/>
        </w:rPr>
        <w:t xml:space="preserve">had  executed  Schleyer.  On the evening of October  </w:t>
      </w:r>
      <w:r>
        <w:rPr>
          <w:color w:val="231F20"/>
          <w:spacing w:val="-5"/>
        </w:rPr>
        <w:t xml:space="preserve">19,  </w:t>
      </w:r>
      <w:r>
        <w:rPr>
          <w:color w:val="231F20"/>
        </w:rPr>
        <w:t xml:space="preserve">police recovered his body in the </w:t>
      </w:r>
      <w:r>
        <w:rPr>
          <w:color w:val="231F20"/>
          <w:spacing w:val="1"/>
        </w:rPr>
        <w:t xml:space="preserve">trunk </w:t>
      </w:r>
      <w:r>
        <w:rPr>
          <w:color w:val="231F20"/>
        </w:rPr>
        <w:t xml:space="preserve">of      a car in the French border town of Mullhaus, just where the </w:t>
      </w:r>
      <w:r w:rsidR="00C507A5">
        <w:rPr>
          <w:color w:val="231F20"/>
          <w:spacing w:val="5"/>
        </w:rPr>
        <w:t>red army faction</w:t>
      </w:r>
      <w:r>
        <w:rPr>
          <w:color w:val="231F20"/>
          <w:spacing w:val="5"/>
        </w:rPr>
        <w:t xml:space="preserve"> </w:t>
      </w:r>
      <w:r>
        <w:rPr>
          <w:color w:val="231F20"/>
        </w:rPr>
        <w:t>had said it would</w:t>
      </w:r>
      <w:r>
        <w:rPr>
          <w:color w:val="231F20"/>
          <w:spacing w:val="32"/>
        </w:rPr>
        <w:t xml:space="preserve"> </w:t>
      </w:r>
      <w:r>
        <w:rPr>
          <w:color w:val="231F20"/>
        </w:rPr>
        <w:t>be.</w:t>
      </w:r>
    </w:p>
    <w:p w14:paraId="4E850845" w14:textId="77777777" w:rsidR="002653E8" w:rsidRDefault="003115E3">
      <w:pPr>
        <w:pStyle w:val="a3"/>
        <w:spacing w:line="264" w:lineRule="auto"/>
        <w:ind w:left="1147" w:right="1327" w:firstLine="210"/>
        <w:jc w:val="both"/>
      </w:pPr>
      <w:r>
        <w:rPr>
          <w:color w:val="231F20"/>
        </w:rPr>
        <w:t>After forty-three days, the most violent clash between the antiimperialist guerillas and the West German state had come to its bloody conclusion.</w:t>
      </w:r>
    </w:p>
    <w:p w14:paraId="609B10D0" w14:textId="77777777" w:rsidR="002653E8" w:rsidRDefault="003115E3">
      <w:pPr>
        <w:pStyle w:val="a3"/>
        <w:spacing w:line="264" w:lineRule="auto"/>
        <w:ind w:left="1148" w:right="1325" w:firstLine="209"/>
        <w:jc w:val="both"/>
        <w:rPr>
          <w:sz w:val="11"/>
        </w:rPr>
      </w:pPr>
      <w:r>
        <w:rPr>
          <w:color w:val="231F20"/>
        </w:rPr>
        <w:t xml:space="preserve">As the </w:t>
      </w:r>
      <w:r w:rsidR="00C507A5">
        <w:rPr>
          <w:color w:val="231F20"/>
          <w:spacing w:val="5"/>
        </w:rPr>
        <w:t>red army faction</w:t>
      </w:r>
      <w:r>
        <w:rPr>
          <w:color w:val="231F20"/>
          <w:spacing w:val="5"/>
        </w:rPr>
        <w:t xml:space="preserve"> </w:t>
      </w:r>
      <w:r>
        <w:rPr>
          <w:color w:val="231F20"/>
        </w:rPr>
        <w:t xml:space="preserve">would later acknowledge: </w:t>
      </w:r>
      <w:r>
        <w:rPr>
          <w:color w:val="231F20"/>
          <w:spacing w:val="-3"/>
        </w:rPr>
        <w:t xml:space="preserve">“We </w:t>
      </w:r>
      <w:r>
        <w:rPr>
          <w:color w:val="231F20"/>
        </w:rPr>
        <w:t>committed errors in 77 and</w:t>
      </w:r>
      <w:r>
        <w:rPr>
          <w:color w:val="231F20"/>
          <w:spacing w:val="10"/>
        </w:rPr>
        <w:t xml:space="preserve"> </w:t>
      </w:r>
      <w:r>
        <w:rPr>
          <w:color w:val="231F20"/>
        </w:rPr>
        <w:t>the</w:t>
      </w:r>
      <w:r>
        <w:rPr>
          <w:color w:val="231F20"/>
          <w:spacing w:val="10"/>
        </w:rPr>
        <w:t xml:space="preserve"> </w:t>
      </w:r>
      <w:r>
        <w:rPr>
          <w:color w:val="231F20"/>
        </w:rPr>
        <w:t>offensive</w:t>
      </w:r>
      <w:r>
        <w:rPr>
          <w:color w:val="231F20"/>
          <w:spacing w:val="10"/>
        </w:rPr>
        <w:t xml:space="preserve"> </w:t>
      </w:r>
      <w:r>
        <w:rPr>
          <w:color w:val="231F20"/>
        </w:rPr>
        <w:t>was</w:t>
      </w:r>
      <w:r>
        <w:rPr>
          <w:color w:val="231F20"/>
          <w:spacing w:val="10"/>
        </w:rPr>
        <w:t xml:space="preserve"> </w:t>
      </w:r>
      <w:r>
        <w:rPr>
          <w:color w:val="231F20"/>
        </w:rPr>
        <w:t>turned</w:t>
      </w:r>
      <w:r>
        <w:rPr>
          <w:color w:val="231F20"/>
          <w:spacing w:val="10"/>
        </w:rPr>
        <w:t xml:space="preserve"> </w:t>
      </w:r>
      <w:r>
        <w:rPr>
          <w:color w:val="231F20"/>
        </w:rPr>
        <w:t>into</w:t>
      </w:r>
      <w:r>
        <w:rPr>
          <w:color w:val="231F20"/>
          <w:spacing w:val="10"/>
        </w:rPr>
        <w:t xml:space="preserve"> </w:t>
      </w:r>
      <w:r>
        <w:rPr>
          <w:color w:val="231F20"/>
        </w:rPr>
        <w:t>our</w:t>
      </w:r>
      <w:r>
        <w:rPr>
          <w:color w:val="231F20"/>
          <w:spacing w:val="10"/>
        </w:rPr>
        <w:t xml:space="preserve"> </w:t>
      </w:r>
      <w:r>
        <w:rPr>
          <w:color w:val="231F20"/>
        </w:rPr>
        <w:t>most</w:t>
      </w:r>
      <w:r>
        <w:rPr>
          <w:color w:val="231F20"/>
          <w:spacing w:val="10"/>
        </w:rPr>
        <w:t xml:space="preserve"> </w:t>
      </w:r>
      <w:r>
        <w:rPr>
          <w:color w:val="231F20"/>
        </w:rPr>
        <w:t>serious</w:t>
      </w:r>
      <w:r>
        <w:rPr>
          <w:color w:val="231F20"/>
          <w:spacing w:val="10"/>
        </w:rPr>
        <w:t xml:space="preserve"> </w:t>
      </w:r>
      <w:r>
        <w:rPr>
          <w:color w:val="231F20"/>
        </w:rPr>
        <w:t>setback.”</w:t>
      </w:r>
      <w:r>
        <w:rPr>
          <w:color w:val="231F20"/>
          <w:position w:val="7"/>
          <w:sz w:val="11"/>
        </w:rPr>
        <w:t>1</w:t>
      </w:r>
    </w:p>
    <w:p w14:paraId="37E0DBEC" w14:textId="77777777" w:rsidR="002653E8" w:rsidRDefault="003115E3">
      <w:pPr>
        <w:pStyle w:val="a3"/>
        <w:spacing w:line="264" w:lineRule="auto"/>
        <w:ind w:left="1147" w:right="1327" w:firstLine="210"/>
        <w:jc w:val="both"/>
      </w:pPr>
      <w:r>
        <w:rPr>
          <w:color w:val="231F20"/>
        </w:rPr>
        <w:t>It would take some time for the guerilla to formulate the lessons to be drawn from this unprecedented defeat.</w:t>
      </w:r>
    </w:p>
    <w:p w14:paraId="4861B6D7" w14:textId="77777777" w:rsidR="002653E8" w:rsidRDefault="002653E8">
      <w:pPr>
        <w:pStyle w:val="a3"/>
      </w:pPr>
    </w:p>
    <w:p w14:paraId="67B0223B" w14:textId="77777777" w:rsidR="002653E8" w:rsidRDefault="00000000">
      <w:pPr>
        <w:pStyle w:val="a3"/>
        <w:spacing w:before="9"/>
        <w:rPr>
          <w:sz w:val="13"/>
        </w:rPr>
      </w:pPr>
      <w:r>
        <w:rPr>
          <w:noProof w:val="0"/>
        </w:rPr>
        <w:pict w14:anchorId="285C7C5E">
          <v:group id="_x0000_s2194" style="position:absolute;margin-left:124.8pt;margin-top:10.05pt;width:173.4pt;height:244pt;z-index:10312;mso-wrap-distance-left:0;mso-wrap-distance-right:0;mso-position-horizontal-relative:page" coordorigin="2496,201" coordsize="3468,4880">
            <v:shape id="_x0000_s2196" type="#_x0000_t75" style="position:absolute;left:2523;top:212;width:3413;height:4858">
              <v:imagedata r:id="rId408" o:title=""/>
            </v:shape>
            <v:rect id="_x0000_s2195" style="position:absolute;left:2506;top:211;width:3448;height:4860" filled="f" strokecolor="#231f20" strokeweight="1pt"/>
            <w10:wrap type="topAndBottom" anchorx="page"/>
          </v:group>
        </w:pict>
      </w:r>
    </w:p>
    <w:p w14:paraId="6B1E2040" w14:textId="77777777" w:rsidR="002653E8" w:rsidRDefault="003115E3">
      <w:pPr>
        <w:spacing w:before="57" w:line="244" w:lineRule="auto"/>
        <w:ind w:left="2602" w:right="3121"/>
        <w:rPr>
          <w:i/>
          <w:sz w:val="18"/>
        </w:rPr>
      </w:pPr>
      <w:r>
        <w:rPr>
          <w:i/>
          <w:color w:val="231F20"/>
          <w:w w:val="110"/>
          <w:sz w:val="18"/>
        </w:rPr>
        <w:t xml:space="preserve">18.10.77—Gudrun, Andreas, and </w:t>
      </w:r>
      <w:r>
        <w:rPr>
          <w:i/>
          <w:color w:val="231F20"/>
          <w:w w:val="105"/>
          <w:sz w:val="18"/>
        </w:rPr>
        <w:t>Jan were murdered in Stammheim—</w:t>
      </w:r>
    </w:p>
    <w:p w14:paraId="7DC829E3" w14:textId="77777777" w:rsidR="002653E8" w:rsidRDefault="003115E3">
      <w:pPr>
        <w:spacing w:before="2" w:line="244" w:lineRule="auto"/>
        <w:ind w:left="2602" w:right="3115"/>
        <w:rPr>
          <w:i/>
          <w:sz w:val="18"/>
        </w:rPr>
      </w:pPr>
      <w:r>
        <w:rPr>
          <w:i/>
          <w:color w:val="231F20"/>
          <w:sz w:val="18"/>
        </w:rPr>
        <w:t>Solidarity with the Political Prisoners’ Struggle</w:t>
      </w:r>
    </w:p>
    <w:p w14:paraId="02FBE660" w14:textId="77777777" w:rsidR="002653E8" w:rsidRDefault="002653E8">
      <w:pPr>
        <w:pStyle w:val="a3"/>
        <w:rPr>
          <w:i/>
        </w:rPr>
      </w:pPr>
    </w:p>
    <w:p w14:paraId="14C19C90" w14:textId="77777777" w:rsidR="002653E8" w:rsidRDefault="00000000">
      <w:pPr>
        <w:pStyle w:val="a3"/>
        <w:spacing w:before="9"/>
        <w:rPr>
          <w:i/>
          <w:sz w:val="17"/>
        </w:rPr>
      </w:pPr>
      <w:r>
        <w:rPr>
          <w:noProof w:val="0"/>
        </w:rPr>
        <w:pict w14:anchorId="7F1BDA91">
          <v:line id="_x0000_s2193" style="position:absolute;z-index:10336;mso-wrap-distance-left:0;mso-wrap-distance-right:0;mso-position-horizontal-relative:page" from="57.4pt,12.6pt" to="129.4pt,12.6pt" strokecolor="#231f20" strokeweight=".5pt">
            <w10:wrap type="topAndBottom" anchorx="page"/>
          </v:line>
        </w:pict>
      </w:r>
    </w:p>
    <w:p w14:paraId="629FEFD1" w14:textId="77777777" w:rsidR="002653E8" w:rsidRDefault="003115E3">
      <w:pPr>
        <w:spacing w:before="53" w:line="254" w:lineRule="auto"/>
        <w:ind w:left="1147" w:right="1681"/>
        <w:rPr>
          <w:i/>
          <w:sz w:val="16"/>
        </w:rPr>
      </w:pPr>
      <w:r>
        <w:rPr>
          <w:color w:val="231F20"/>
          <w:w w:val="105"/>
          <w:sz w:val="16"/>
        </w:rPr>
        <w:t xml:space="preserve">1 </w:t>
      </w:r>
      <w:r>
        <w:rPr>
          <w:i/>
          <w:color w:val="231F20"/>
          <w:w w:val="105"/>
          <w:sz w:val="16"/>
        </w:rPr>
        <w:t>The Guerilla, the Resistance, and the Anti-Imperialist Front</w:t>
      </w:r>
      <w:r>
        <w:rPr>
          <w:color w:val="231F20"/>
          <w:w w:val="105"/>
          <w:sz w:val="16"/>
        </w:rPr>
        <w:t xml:space="preserve">. This text will appear in our second volume, </w:t>
      </w:r>
      <w:r>
        <w:rPr>
          <w:i/>
          <w:color w:val="231F20"/>
          <w:w w:val="105"/>
          <w:sz w:val="16"/>
        </w:rPr>
        <w:t>The Red Army Faction, a Documentary History, Volume II: Dancing with Imperialism: One Step Forward, Two Steps Back.</w:t>
      </w:r>
    </w:p>
    <w:p w14:paraId="2CC01BEA" w14:textId="77777777" w:rsidR="002653E8" w:rsidRDefault="002653E8">
      <w:pPr>
        <w:spacing w:line="254" w:lineRule="auto"/>
        <w:rPr>
          <w:sz w:val="16"/>
        </w:rPr>
        <w:sectPr w:rsidR="002653E8">
          <w:pgSz w:w="8640" w:h="12960"/>
          <w:pgMar w:top="1060" w:right="0" w:bottom="1040" w:left="0" w:header="0" w:footer="850" w:gutter="0"/>
          <w:cols w:space="720"/>
        </w:sectPr>
      </w:pPr>
    </w:p>
    <w:p w14:paraId="60FBA491" w14:textId="77777777" w:rsidR="002653E8" w:rsidRDefault="003115E3">
      <w:pPr>
        <w:pStyle w:val="4"/>
        <w:ind w:left="2781"/>
      </w:pPr>
      <w:bookmarkStart w:id="238" w:name="Fourth_Hunger_Strike_(March_29,_1977)_"/>
      <w:bookmarkStart w:id="239" w:name="_bookmark71"/>
      <w:bookmarkEnd w:id="238"/>
      <w:bookmarkEnd w:id="239"/>
      <w:r>
        <w:rPr>
          <w:color w:val="231F20"/>
        </w:rPr>
        <w:lastRenderedPageBreak/>
        <w:t>Fourth Hunger Strike</w:t>
      </w:r>
    </w:p>
    <w:p w14:paraId="30E5303C" w14:textId="77777777" w:rsidR="002653E8" w:rsidRDefault="002653E8">
      <w:pPr>
        <w:pStyle w:val="a3"/>
        <w:rPr>
          <w:rFonts w:ascii="Bookman Old Style"/>
          <w:sz w:val="31"/>
        </w:rPr>
      </w:pPr>
    </w:p>
    <w:p w14:paraId="6378344D" w14:textId="77777777" w:rsidR="002653E8" w:rsidRDefault="003115E3">
      <w:pPr>
        <w:pStyle w:val="a3"/>
        <w:spacing w:before="1"/>
        <w:ind w:left="2638"/>
      </w:pPr>
      <w:r>
        <w:rPr>
          <w:color w:val="231F20"/>
          <w:w w:val="115"/>
        </w:rPr>
        <w:t>“THOSE  WHO UNDERSTAND THEIR SITUATION</w:t>
      </w:r>
    </w:p>
    <w:p w14:paraId="157B6B41" w14:textId="77777777" w:rsidR="002653E8" w:rsidRDefault="003115E3">
      <w:pPr>
        <w:pStyle w:val="a3"/>
        <w:spacing w:before="21"/>
        <w:ind w:left="5382"/>
      </w:pPr>
      <w:r>
        <w:rPr>
          <w:color w:val="231F20"/>
          <w:w w:val="115"/>
        </w:rPr>
        <w:t>ARE UNSTOPPABLE.”</w:t>
      </w:r>
    </w:p>
    <w:p w14:paraId="2D8BCF51" w14:textId="4DEF8C05" w:rsidR="002653E8" w:rsidRDefault="003115E3" w:rsidP="0044541C">
      <w:pPr>
        <w:pStyle w:val="a3"/>
        <w:spacing w:before="172" w:line="264" w:lineRule="auto"/>
        <w:ind w:left="1327" w:right="1145"/>
        <w:rPr>
          <w:sz w:val="11"/>
        </w:rPr>
      </w:pPr>
      <w:r>
        <w:rPr>
          <w:color w:val="231F20"/>
        </w:rPr>
        <w:t>Given the fact that the state has turned treatment outside of the legal norms into a permanent exception</w:t>
      </w:r>
      <w:r w:rsidR="0044541C">
        <w:rPr>
          <w:color w:val="231F20"/>
        </w:rPr>
        <w:t xml:space="preserve"> </w:t>
      </w:r>
      <w:r>
        <w:rPr>
          <w:color w:val="231F20"/>
        </w:rPr>
        <w:t>and</w:t>
      </w:r>
      <w:r w:rsidR="0044541C">
        <w:rPr>
          <w:color w:val="231F20"/>
        </w:rPr>
        <w:t xml:space="preserve"> </w:t>
      </w:r>
      <w:r>
        <w:rPr>
          <w:color w:val="231F20"/>
        </w:rPr>
        <w:t>that six years of state security justice has proven that when it comes to us, whether in manhunts or in prison, human and constitutional rights</w:t>
      </w:r>
      <w:r>
        <w:rPr>
          <w:color w:val="231F20"/>
          <w:spacing w:val="10"/>
        </w:rPr>
        <w:t xml:space="preserve"> </w:t>
      </w:r>
      <w:r>
        <w:rPr>
          <w:color w:val="231F20"/>
        </w:rPr>
        <w:t>aren’t</w:t>
      </w:r>
      <w:r>
        <w:rPr>
          <w:color w:val="231F20"/>
          <w:spacing w:val="10"/>
        </w:rPr>
        <w:t xml:space="preserve"> </w:t>
      </w:r>
      <w:r>
        <w:rPr>
          <w:color w:val="231F20"/>
        </w:rPr>
        <w:t>worth</w:t>
      </w:r>
      <w:r>
        <w:rPr>
          <w:color w:val="231F20"/>
          <w:spacing w:val="10"/>
        </w:rPr>
        <w:t xml:space="preserve"> </w:t>
      </w:r>
      <w:r>
        <w:rPr>
          <w:color w:val="231F20"/>
        </w:rPr>
        <w:t>the</w:t>
      </w:r>
      <w:r>
        <w:rPr>
          <w:color w:val="231F20"/>
          <w:spacing w:val="10"/>
        </w:rPr>
        <w:t xml:space="preserve"> </w:t>
      </w:r>
      <w:r>
        <w:rPr>
          <w:color w:val="231F20"/>
        </w:rPr>
        <w:t>paper</w:t>
      </w:r>
      <w:r>
        <w:rPr>
          <w:color w:val="231F20"/>
          <w:spacing w:val="10"/>
        </w:rPr>
        <w:t xml:space="preserve"> </w:t>
      </w:r>
      <w:r>
        <w:rPr>
          <w:color w:val="231F20"/>
        </w:rPr>
        <w:t>they’re</w:t>
      </w:r>
      <w:r>
        <w:rPr>
          <w:color w:val="231F20"/>
          <w:spacing w:val="10"/>
        </w:rPr>
        <w:t xml:space="preserve"> </w:t>
      </w:r>
      <w:r>
        <w:rPr>
          <w:color w:val="231F20"/>
        </w:rPr>
        <w:t>written</w:t>
      </w:r>
      <w:r>
        <w:rPr>
          <w:color w:val="231F20"/>
          <w:spacing w:val="10"/>
        </w:rPr>
        <w:t xml:space="preserve"> </w:t>
      </w:r>
      <w:r>
        <w:rPr>
          <w:color w:val="231F20"/>
        </w:rPr>
        <w:t>on,</w:t>
      </w:r>
      <w:r w:rsidR="0044541C">
        <w:rPr>
          <w:color w:val="231F20"/>
        </w:rPr>
        <w:t xml:space="preserve"> </w:t>
      </w:r>
      <w:r>
        <w:rPr>
          <w:color w:val="231F20"/>
        </w:rPr>
        <w:t>we demand</w:t>
      </w:r>
      <w:r w:rsidR="0044541C">
        <w:rPr>
          <w:color w:val="231F20"/>
        </w:rPr>
        <w:t xml:space="preserve"> </w:t>
      </w:r>
      <w:r>
        <w:rPr>
          <w:color w:val="231F20"/>
        </w:rPr>
        <w:t>on behalf of the prisoners from the anti-imperialist groups struggling in</w:t>
      </w:r>
      <w:r>
        <w:rPr>
          <w:color w:val="231F20"/>
          <w:spacing w:val="-5"/>
        </w:rPr>
        <w:t xml:space="preserve"> </w:t>
      </w:r>
      <w:r>
        <w:rPr>
          <w:color w:val="231F20"/>
        </w:rPr>
        <w:t>the</w:t>
      </w:r>
      <w:r>
        <w:rPr>
          <w:color w:val="231F20"/>
          <w:spacing w:val="-5"/>
        </w:rPr>
        <w:t xml:space="preserve"> </w:t>
      </w:r>
      <w:r>
        <w:rPr>
          <w:color w:val="231F20"/>
        </w:rPr>
        <w:t>Federal</w:t>
      </w:r>
      <w:r>
        <w:rPr>
          <w:color w:val="231F20"/>
          <w:spacing w:val="-5"/>
        </w:rPr>
        <w:t xml:space="preserve"> </w:t>
      </w:r>
      <w:r>
        <w:rPr>
          <w:color w:val="231F20"/>
        </w:rPr>
        <w:t>Republic,</w:t>
      </w:r>
      <w:r>
        <w:rPr>
          <w:color w:val="231F20"/>
          <w:spacing w:val="-5"/>
        </w:rPr>
        <w:t xml:space="preserve"> </w:t>
      </w:r>
      <w:r>
        <w:rPr>
          <w:color w:val="231F20"/>
        </w:rPr>
        <w:t>treatment</w:t>
      </w:r>
      <w:r>
        <w:rPr>
          <w:color w:val="231F20"/>
          <w:spacing w:val="-5"/>
        </w:rPr>
        <w:t xml:space="preserve"> </w:t>
      </w:r>
      <w:r>
        <w:rPr>
          <w:color w:val="231F20"/>
        </w:rPr>
        <w:t>under</w:t>
      </w:r>
      <w:r>
        <w:rPr>
          <w:color w:val="231F20"/>
          <w:spacing w:val="-5"/>
        </w:rPr>
        <w:t xml:space="preserve"> </w:t>
      </w:r>
      <w:r>
        <w:rPr>
          <w:color w:val="231F20"/>
        </w:rPr>
        <w:t>the</w:t>
      </w:r>
      <w:r>
        <w:rPr>
          <w:color w:val="231F20"/>
          <w:spacing w:val="-5"/>
        </w:rPr>
        <w:t xml:space="preserve"> </w:t>
      </w:r>
      <w:r>
        <w:rPr>
          <w:color w:val="231F20"/>
        </w:rPr>
        <w:t>minimum</w:t>
      </w:r>
      <w:r>
        <w:rPr>
          <w:color w:val="231F20"/>
          <w:spacing w:val="-5"/>
        </w:rPr>
        <w:t xml:space="preserve"> </w:t>
      </w:r>
      <w:r>
        <w:rPr>
          <w:color w:val="231F20"/>
        </w:rPr>
        <w:t>guarantees</w:t>
      </w:r>
      <w:r>
        <w:rPr>
          <w:color w:val="231F20"/>
          <w:spacing w:val="-5"/>
        </w:rPr>
        <w:t xml:space="preserve"> </w:t>
      </w:r>
      <w:r>
        <w:rPr>
          <w:color w:val="231F20"/>
        </w:rPr>
        <w:t>of</w:t>
      </w:r>
      <w:r>
        <w:rPr>
          <w:color w:val="231F20"/>
          <w:spacing w:val="-5"/>
        </w:rPr>
        <w:t xml:space="preserve"> </w:t>
      </w:r>
      <w:r>
        <w:rPr>
          <w:color w:val="231F20"/>
        </w:rPr>
        <w:t xml:space="preserve">the </w:t>
      </w:r>
      <w:r>
        <w:rPr>
          <w:color w:val="231F20"/>
          <w:spacing w:val="-5"/>
        </w:rPr>
        <w:t xml:space="preserve">1949 </w:t>
      </w:r>
      <w:r>
        <w:rPr>
          <w:color w:val="231F20"/>
        </w:rPr>
        <w:t xml:space="preserve">Geneva Convention, specifically Articles </w:t>
      </w:r>
      <w:r>
        <w:rPr>
          <w:color w:val="231F20"/>
          <w:spacing w:val="-3"/>
        </w:rPr>
        <w:t xml:space="preserve">3, </w:t>
      </w:r>
      <w:r>
        <w:rPr>
          <w:color w:val="231F20"/>
        </w:rPr>
        <w:t xml:space="preserve">4, </w:t>
      </w:r>
      <w:r>
        <w:rPr>
          <w:color w:val="231F20"/>
          <w:spacing w:val="-6"/>
        </w:rPr>
        <w:t xml:space="preserve">13, </w:t>
      </w:r>
      <w:r>
        <w:rPr>
          <w:color w:val="231F20"/>
          <w:spacing w:val="-3"/>
        </w:rPr>
        <w:t xml:space="preserve">17 </w:t>
      </w:r>
      <w:r>
        <w:rPr>
          <w:color w:val="231F20"/>
        </w:rPr>
        <w:t>and</w:t>
      </w:r>
      <w:r>
        <w:rPr>
          <w:color w:val="231F20"/>
          <w:spacing w:val="26"/>
        </w:rPr>
        <w:t xml:space="preserve"> </w:t>
      </w:r>
      <w:r>
        <w:rPr>
          <w:color w:val="231F20"/>
          <w:spacing w:val="-3"/>
        </w:rPr>
        <w:t>130.</w:t>
      </w:r>
      <w:r>
        <w:rPr>
          <w:color w:val="231F20"/>
          <w:spacing w:val="-3"/>
          <w:position w:val="7"/>
          <w:sz w:val="11"/>
        </w:rPr>
        <w:t>2</w:t>
      </w:r>
    </w:p>
    <w:p w14:paraId="679D149D" w14:textId="77777777" w:rsidR="002653E8" w:rsidRDefault="002653E8">
      <w:pPr>
        <w:pStyle w:val="a3"/>
        <w:spacing w:before="7"/>
        <w:rPr>
          <w:sz w:val="21"/>
        </w:rPr>
      </w:pPr>
    </w:p>
    <w:p w14:paraId="102CC219" w14:textId="77777777" w:rsidR="002653E8" w:rsidRDefault="003115E3">
      <w:pPr>
        <w:pStyle w:val="a3"/>
        <w:spacing w:line="264" w:lineRule="auto"/>
        <w:ind w:left="1327" w:right="1146" w:firstLine="210"/>
        <w:jc w:val="both"/>
      </w:pPr>
      <w:r>
        <w:rPr>
          <w:color w:val="231F20"/>
        </w:rPr>
        <w:t xml:space="preserve">Which, for the political prisoners in Hamburg, Kaiserslautern, Cologne, Essen, Berlin, Straubing, Aichach, and Stammheim would mean, at a minimum, and in keeping  with  the  testimony  of  all  ex pert witnesses at </w:t>
      </w:r>
      <w:r w:rsidR="00C507A5">
        <w:rPr>
          <w:color w:val="231F20"/>
          <w:spacing w:val="5"/>
        </w:rPr>
        <w:t>red army faction</w:t>
      </w:r>
      <w:r>
        <w:rPr>
          <w:color w:val="231F20"/>
          <w:spacing w:val="5"/>
        </w:rPr>
        <w:t xml:space="preserve"> </w:t>
      </w:r>
      <w:r>
        <w:rPr>
          <w:color w:val="231F20"/>
        </w:rPr>
        <w:t xml:space="preserve">trials, that the prisoners be brought together in groups of at least </w:t>
      </w:r>
      <w:r>
        <w:rPr>
          <w:color w:val="231F20"/>
          <w:spacing w:val="-9"/>
        </w:rPr>
        <w:t xml:space="preserve">15 </w:t>
      </w:r>
      <w:r>
        <w:rPr>
          <w:color w:val="231F20"/>
        </w:rPr>
        <w:t>and that they be allowed to interact freely with one another.</w:t>
      </w:r>
    </w:p>
    <w:p w14:paraId="201F049D" w14:textId="77777777" w:rsidR="002653E8" w:rsidRDefault="003115E3">
      <w:pPr>
        <w:pStyle w:val="a3"/>
        <w:spacing w:line="228" w:lineRule="exact"/>
        <w:ind w:left="1538"/>
      </w:pPr>
      <w:r>
        <w:rPr>
          <w:color w:val="231F20"/>
        </w:rPr>
        <w:t>Concretely, we are demanding:</w:t>
      </w:r>
    </w:p>
    <w:p w14:paraId="6100B21B" w14:textId="77777777" w:rsidR="002653E8" w:rsidRDefault="002653E8">
      <w:pPr>
        <w:pStyle w:val="a3"/>
        <w:spacing w:before="3"/>
        <w:rPr>
          <w:sz w:val="15"/>
        </w:rPr>
      </w:pPr>
    </w:p>
    <w:p w14:paraId="72BDA30D" w14:textId="77777777" w:rsidR="002653E8" w:rsidRDefault="003115E3">
      <w:pPr>
        <w:pStyle w:val="a4"/>
        <w:numPr>
          <w:ilvl w:val="0"/>
          <w:numId w:val="4"/>
        </w:numPr>
        <w:tabs>
          <w:tab w:val="left" w:pos="1945"/>
        </w:tabs>
        <w:spacing w:before="99" w:line="261" w:lineRule="auto"/>
        <w:ind w:right="1237" w:hanging="360"/>
        <w:jc w:val="left"/>
        <w:rPr>
          <w:sz w:val="20"/>
        </w:rPr>
      </w:pPr>
      <w:r>
        <w:rPr>
          <w:color w:val="231F20"/>
          <w:sz w:val="20"/>
        </w:rPr>
        <w:t>The abolition of isolation and group isolation in the prisons of the Federal Republic and the closing of special isolation wings, which are meant to destroy prisoners, and where any communication is recorded and analyzed.</w:t>
      </w:r>
    </w:p>
    <w:p w14:paraId="7025237B" w14:textId="77777777" w:rsidR="002653E8" w:rsidRDefault="003115E3">
      <w:pPr>
        <w:pStyle w:val="a4"/>
        <w:numPr>
          <w:ilvl w:val="0"/>
          <w:numId w:val="4"/>
        </w:numPr>
        <w:tabs>
          <w:tab w:val="left" w:pos="1944"/>
        </w:tabs>
        <w:spacing w:before="121" w:line="261" w:lineRule="auto"/>
        <w:ind w:right="1236" w:hanging="360"/>
        <w:jc w:val="left"/>
        <w:rPr>
          <w:sz w:val="20"/>
        </w:rPr>
      </w:pPr>
      <w:r>
        <w:rPr>
          <w:color w:val="231F20"/>
          <w:sz w:val="20"/>
        </w:rPr>
        <w:t>Investigations into the deaths of Holger Meins, Siegfried Hausner, and Ulrike Meinhof by an International Commission  of Inquiry, support for the work of this Commission, and the publication</w:t>
      </w:r>
      <w:r>
        <w:rPr>
          <w:color w:val="231F20"/>
          <w:spacing w:val="10"/>
          <w:sz w:val="20"/>
        </w:rPr>
        <w:t xml:space="preserve"> </w:t>
      </w:r>
      <w:r>
        <w:rPr>
          <w:color w:val="231F20"/>
          <w:sz w:val="20"/>
        </w:rPr>
        <w:t>of</w:t>
      </w:r>
      <w:r>
        <w:rPr>
          <w:color w:val="231F20"/>
          <w:spacing w:val="10"/>
          <w:sz w:val="20"/>
        </w:rPr>
        <w:t xml:space="preserve"> </w:t>
      </w:r>
      <w:r>
        <w:rPr>
          <w:color w:val="231F20"/>
          <w:sz w:val="20"/>
        </w:rPr>
        <w:t>its</w:t>
      </w:r>
      <w:r>
        <w:rPr>
          <w:color w:val="231F20"/>
          <w:spacing w:val="10"/>
          <w:sz w:val="20"/>
        </w:rPr>
        <w:t xml:space="preserve"> </w:t>
      </w:r>
      <w:r>
        <w:rPr>
          <w:color w:val="231F20"/>
          <w:sz w:val="20"/>
        </w:rPr>
        <w:t>findings</w:t>
      </w:r>
      <w:r>
        <w:rPr>
          <w:color w:val="231F20"/>
          <w:spacing w:val="10"/>
          <w:sz w:val="20"/>
        </w:rPr>
        <w:t xml:space="preserve"> </w:t>
      </w:r>
      <w:r>
        <w:rPr>
          <w:color w:val="231F20"/>
          <w:sz w:val="20"/>
        </w:rPr>
        <w:t>in</w:t>
      </w:r>
      <w:r>
        <w:rPr>
          <w:color w:val="231F20"/>
          <w:spacing w:val="10"/>
          <w:sz w:val="20"/>
        </w:rPr>
        <w:t xml:space="preserve"> </w:t>
      </w:r>
      <w:r>
        <w:rPr>
          <w:color w:val="231F20"/>
          <w:sz w:val="20"/>
        </w:rPr>
        <w:t>the</w:t>
      </w:r>
      <w:r>
        <w:rPr>
          <w:color w:val="231F20"/>
          <w:spacing w:val="10"/>
          <w:sz w:val="20"/>
        </w:rPr>
        <w:t xml:space="preserve"> </w:t>
      </w:r>
      <w:r>
        <w:rPr>
          <w:color w:val="231F20"/>
          <w:sz w:val="20"/>
        </w:rPr>
        <w:t>Federal</w:t>
      </w:r>
      <w:r>
        <w:rPr>
          <w:color w:val="231F20"/>
          <w:spacing w:val="10"/>
          <w:sz w:val="20"/>
        </w:rPr>
        <w:t xml:space="preserve"> </w:t>
      </w:r>
      <w:r>
        <w:rPr>
          <w:color w:val="231F20"/>
          <w:sz w:val="20"/>
        </w:rPr>
        <w:t>Republic.</w:t>
      </w:r>
    </w:p>
    <w:p w14:paraId="5BCF05F7" w14:textId="77777777" w:rsidR="002653E8" w:rsidRDefault="002653E8">
      <w:pPr>
        <w:pStyle w:val="a3"/>
      </w:pPr>
    </w:p>
    <w:p w14:paraId="3024BE4E" w14:textId="77777777" w:rsidR="002653E8" w:rsidRDefault="002653E8">
      <w:pPr>
        <w:pStyle w:val="a3"/>
      </w:pPr>
    </w:p>
    <w:p w14:paraId="0CA58D8E" w14:textId="77777777" w:rsidR="002653E8" w:rsidRDefault="002653E8">
      <w:pPr>
        <w:pStyle w:val="a3"/>
      </w:pPr>
    </w:p>
    <w:p w14:paraId="4634448C" w14:textId="77777777" w:rsidR="002653E8" w:rsidRDefault="00000000">
      <w:pPr>
        <w:pStyle w:val="a3"/>
        <w:spacing w:before="11"/>
        <w:rPr>
          <w:sz w:val="11"/>
        </w:rPr>
      </w:pPr>
      <w:r>
        <w:rPr>
          <w:noProof w:val="0"/>
        </w:rPr>
        <w:pict w14:anchorId="6A9CE442">
          <v:line id="_x0000_s2192" style="position:absolute;z-index:10360;mso-wrap-distance-left:0;mso-wrap-distance-right:0;mso-position-horizontal-relative:page" from="66.4pt,9.2pt" to="138.4pt,9.2pt" strokecolor="#231f20" strokeweight=".5pt">
            <w10:wrap type="topAndBottom" anchorx="page"/>
          </v:line>
        </w:pict>
      </w:r>
    </w:p>
    <w:p w14:paraId="5E367F08" w14:textId="77777777" w:rsidR="002653E8" w:rsidRDefault="003115E3">
      <w:pPr>
        <w:spacing w:before="53"/>
        <w:ind w:left="1327"/>
        <w:rPr>
          <w:sz w:val="16"/>
        </w:rPr>
      </w:pPr>
      <w:r>
        <w:rPr>
          <w:color w:val="231F20"/>
          <w:w w:val="105"/>
          <w:sz w:val="16"/>
        </w:rPr>
        <w:t>2 See Appendix IV—The Geneva Convention: Excerpts, pages 554-56.</w:t>
      </w:r>
    </w:p>
    <w:p w14:paraId="6BB43D61" w14:textId="77777777" w:rsidR="002653E8" w:rsidRDefault="002653E8">
      <w:pPr>
        <w:rPr>
          <w:sz w:val="16"/>
        </w:rPr>
        <w:sectPr w:rsidR="002653E8">
          <w:footerReference w:type="even" r:id="rId409"/>
          <w:footerReference w:type="default" r:id="rId410"/>
          <w:pgSz w:w="8640" w:h="12960"/>
          <w:pgMar w:top="1220" w:right="0" w:bottom="1040" w:left="0" w:header="0" w:footer="850" w:gutter="0"/>
          <w:pgNumType w:start="487"/>
          <w:cols w:space="720"/>
        </w:sectPr>
      </w:pPr>
    </w:p>
    <w:p w14:paraId="7CA3AC85" w14:textId="77777777" w:rsidR="002653E8" w:rsidRDefault="003115E3">
      <w:pPr>
        <w:pStyle w:val="a4"/>
        <w:numPr>
          <w:ilvl w:val="0"/>
          <w:numId w:val="4"/>
        </w:numPr>
        <w:tabs>
          <w:tab w:val="left" w:pos="1764"/>
        </w:tabs>
        <w:spacing w:before="86" w:line="261" w:lineRule="auto"/>
        <w:ind w:left="1763" w:right="1643" w:hanging="360"/>
        <w:jc w:val="left"/>
        <w:rPr>
          <w:sz w:val="20"/>
        </w:rPr>
      </w:pPr>
      <w:r>
        <w:rPr>
          <w:color w:val="231F20"/>
          <w:sz w:val="20"/>
        </w:rPr>
        <w:lastRenderedPageBreak/>
        <w:t>The government must publicly and clearly acknowledge that the claims</w:t>
      </w:r>
      <w:r>
        <w:rPr>
          <w:color w:val="231F20"/>
          <w:spacing w:val="21"/>
          <w:sz w:val="20"/>
        </w:rPr>
        <w:t xml:space="preserve"> </w:t>
      </w:r>
      <w:r>
        <w:rPr>
          <w:color w:val="231F20"/>
          <w:sz w:val="20"/>
        </w:rPr>
        <w:t>that:</w:t>
      </w:r>
    </w:p>
    <w:p w14:paraId="2E1E54F1" w14:textId="77777777" w:rsidR="002653E8" w:rsidRDefault="003115E3">
      <w:pPr>
        <w:pStyle w:val="a4"/>
        <w:numPr>
          <w:ilvl w:val="1"/>
          <w:numId w:val="4"/>
        </w:numPr>
        <w:tabs>
          <w:tab w:val="left" w:pos="2068"/>
        </w:tabs>
        <w:spacing w:before="129" w:line="261" w:lineRule="auto"/>
        <w:ind w:right="1891"/>
        <w:rPr>
          <w:sz w:val="20"/>
        </w:rPr>
      </w:pPr>
      <w:r>
        <w:rPr>
          <w:color w:val="231F20"/>
          <w:sz w:val="20"/>
        </w:rPr>
        <w:t xml:space="preserve">the </w:t>
      </w:r>
      <w:r w:rsidR="00C507A5">
        <w:rPr>
          <w:color w:val="231F20"/>
          <w:spacing w:val="5"/>
          <w:sz w:val="20"/>
        </w:rPr>
        <w:t>red army faction</w:t>
      </w:r>
      <w:r>
        <w:rPr>
          <w:color w:val="231F20"/>
          <w:spacing w:val="5"/>
          <w:sz w:val="20"/>
        </w:rPr>
        <w:t xml:space="preserve"> </w:t>
      </w:r>
      <w:r>
        <w:rPr>
          <w:color w:val="231F20"/>
          <w:sz w:val="20"/>
        </w:rPr>
        <w:t>planned to set off three bombs in downtown Stuttgart (June</w:t>
      </w:r>
      <w:r>
        <w:rPr>
          <w:color w:val="231F20"/>
          <w:spacing w:val="21"/>
          <w:sz w:val="20"/>
        </w:rPr>
        <w:t xml:space="preserve"> </w:t>
      </w:r>
      <w:r>
        <w:rPr>
          <w:color w:val="231F20"/>
          <w:spacing w:val="-5"/>
          <w:sz w:val="20"/>
        </w:rPr>
        <w:t>72);</w:t>
      </w:r>
    </w:p>
    <w:p w14:paraId="5CAD674F" w14:textId="77777777" w:rsidR="002653E8" w:rsidRDefault="003115E3">
      <w:pPr>
        <w:pStyle w:val="a4"/>
        <w:numPr>
          <w:ilvl w:val="1"/>
          <w:numId w:val="4"/>
        </w:numPr>
        <w:tabs>
          <w:tab w:val="left" w:pos="2068"/>
        </w:tabs>
        <w:spacing w:before="0" w:line="261" w:lineRule="auto"/>
        <w:ind w:right="1655"/>
        <w:rPr>
          <w:sz w:val="20"/>
        </w:rPr>
      </w:pPr>
      <w:r>
        <w:rPr>
          <w:color w:val="231F20"/>
          <w:sz w:val="20"/>
        </w:rPr>
        <w:t xml:space="preserve">the </w:t>
      </w:r>
      <w:r w:rsidR="00C507A5">
        <w:rPr>
          <w:color w:val="231F20"/>
          <w:spacing w:val="5"/>
          <w:sz w:val="20"/>
        </w:rPr>
        <w:t>red army faction</w:t>
      </w:r>
      <w:r>
        <w:rPr>
          <w:color w:val="231F20"/>
          <w:spacing w:val="5"/>
          <w:sz w:val="20"/>
        </w:rPr>
        <w:t xml:space="preserve"> </w:t>
      </w:r>
      <w:r>
        <w:rPr>
          <w:color w:val="231F20"/>
          <w:sz w:val="20"/>
        </w:rPr>
        <w:t>planned to poison the drinking water in a large city (Summer</w:t>
      </w:r>
      <w:r>
        <w:rPr>
          <w:color w:val="231F20"/>
          <w:spacing w:val="20"/>
          <w:sz w:val="20"/>
        </w:rPr>
        <w:t xml:space="preserve"> </w:t>
      </w:r>
      <w:r>
        <w:rPr>
          <w:color w:val="231F20"/>
          <w:spacing w:val="-8"/>
          <w:sz w:val="20"/>
        </w:rPr>
        <w:t>74);</w:t>
      </w:r>
    </w:p>
    <w:p w14:paraId="03611FAA" w14:textId="77777777" w:rsidR="002653E8" w:rsidRDefault="003115E3">
      <w:pPr>
        <w:pStyle w:val="a4"/>
        <w:numPr>
          <w:ilvl w:val="1"/>
          <w:numId w:val="4"/>
        </w:numPr>
        <w:tabs>
          <w:tab w:val="left" w:pos="2068"/>
        </w:tabs>
        <w:spacing w:before="1" w:line="261" w:lineRule="auto"/>
        <w:ind w:right="2381"/>
        <w:rPr>
          <w:sz w:val="20"/>
        </w:rPr>
      </w:pPr>
      <w:r>
        <w:rPr>
          <w:color w:val="231F20"/>
          <w:sz w:val="20"/>
        </w:rPr>
        <w:t xml:space="preserve">the </w:t>
      </w:r>
      <w:r w:rsidR="00C507A5">
        <w:rPr>
          <w:color w:val="231F20"/>
          <w:spacing w:val="5"/>
          <w:sz w:val="20"/>
        </w:rPr>
        <w:t>red army faction</w:t>
      </w:r>
      <w:r>
        <w:rPr>
          <w:color w:val="231F20"/>
          <w:spacing w:val="5"/>
          <w:sz w:val="20"/>
        </w:rPr>
        <w:t xml:space="preserve"> </w:t>
      </w:r>
      <w:r>
        <w:rPr>
          <w:color w:val="231F20"/>
          <w:sz w:val="20"/>
        </w:rPr>
        <w:t>stole mustard gas and planned to use it (Summer</w:t>
      </w:r>
      <w:r>
        <w:rPr>
          <w:color w:val="231F20"/>
          <w:spacing w:val="10"/>
          <w:sz w:val="20"/>
        </w:rPr>
        <w:t xml:space="preserve"> </w:t>
      </w:r>
      <w:r>
        <w:rPr>
          <w:color w:val="231F20"/>
          <w:spacing w:val="-8"/>
          <w:sz w:val="20"/>
        </w:rPr>
        <w:t>75);</w:t>
      </w:r>
    </w:p>
    <w:p w14:paraId="400867B1" w14:textId="77777777" w:rsidR="002653E8" w:rsidRDefault="003115E3">
      <w:pPr>
        <w:pStyle w:val="a4"/>
        <w:numPr>
          <w:ilvl w:val="1"/>
          <w:numId w:val="4"/>
        </w:numPr>
        <w:tabs>
          <w:tab w:val="left" w:pos="2068"/>
        </w:tabs>
        <w:spacing w:before="1" w:line="261" w:lineRule="auto"/>
        <w:ind w:right="1876"/>
        <w:rPr>
          <w:sz w:val="20"/>
        </w:rPr>
      </w:pPr>
      <w:r>
        <w:rPr>
          <w:color w:val="231F20"/>
          <w:sz w:val="20"/>
        </w:rPr>
        <w:t>the Holger Meins Commando set off the explosives in Stockholm themselves (April</w:t>
      </w:r>
      <w:r>
        <w:rPr>
          <w:color w:val="231F20"/>
          <w:spacing w:val="30"/>
          <w:sz w:val="20"/>
        </w:rPr>
        <w:t xml:space="preserve"> </w:t>
      </w:r>
      <w:r>
        <w:rPr>
          <w:color w:val="231F20"/>
          <w:spacing w:val="-8"/>
          <w:sz w:val="20"/>
        </w:rPr>
        <w:t>75);</w:t>
      </w:r>
    </w:p>
    <w:p w14:paraId="1D7ECE37" w14:textId="77777777" w:rsidR="002653E8" w:rsidRDefault="003115E3">
      <w:pPr>
        <w:pStyle w:val="a4"/>
        <w:numPr>
          <w:ilvl w:val="1"/>
          <w:numId w:val="4"/>
        </w:numPr>
        <w:tabs>
          <w:tab w:val="left" w:pos="2068"/>
        </w:tabs>
        <w:spacing w:before="1" w:line="261" w:lineRule="auto"/>
        <w:ind w:right="1793"/>
        <w:rPr>
          <w:sz w:val="20"/>
        </w:rPr>
      </w:pPr>
      <w:r>
        <w:rPr>
          <w:color w:val="231F20"/>
          <w:sz w:val="20"/>
        </w:rPr>
        <w:t xml:space="preserve">the </w:t>
      </w:r>
      <w:r w:rsidR="00C507A5">
        <w:rPr>
          <w:color w:val="231F20"/>
          <w:spacing w:val="5"/>
          <w:sz w:val="20"/>
        </w:rPr>
        <w:t>red army faction</w:t>
      </w:r>
      <w:r>
        <w:rPr>
          <w:color w:val="231F20"/>
          <w:spacing w:val="5"/>
          <w:sz w:val="20"/>
        </w:rPr>
        <w:t xml:space="preserve"> </w:t>
      </w:r>
      <w:r>
        <w:rPr>
          <w:color w:val="231F20"/>
          <w:sz w:val="20"/>
        </w:rPr>
        <w:t>planned to contaminate Lake Constance with atomic waste (September</w:t>
      </w:r>
      <w:r>
        <w:rPr>
          <w:color w:val="231F20"/>
          <w:spacing w:val="28"/>
          <w:sz w:val="20"/>
        </w:rPr>
        <w:t xml:space="preserve"> </w:t>
      </w:r>
      <w:r>
        <w:rPr>
          <w:color w:val="231F20"/>
          <w:spacing w:val="-8"/>
          <w:sz w:val="20"/>
        </w:rPr>
        <w:t>75);</w:t>
      </w:r>
    </w:p>
    <w:p w14:paraId="24B9D073" w14:textId="77777777" w:rsidR="002653E8" w:rsidRDefault="003115E3">
      <w:pPr>
        <w:pStyle w:val="a4"/>
        <w:numPr>
          <w:ilvl w:val="1"/>
          <w:numId w:val="4"/>
        </w:numPr>
        <w:tabs>
          <w:tab w:val="left" w:pos="2069"/>
        </w:tabs>
        <w:spacing w:before="1" w:line="261" w:lineRule="auto"/>
        <w:ind w:right="1382"/>
        <w:rPr>
          <w:sz w:val="20"/>
        </w:rPr>
      </w:pPr>
      <w:r>
        <w:rPr>
          <w:color w:val="231F20"/>
          <w:sz w:val="20"/>
        </w:rPr>
        <w:t xml:space="preserve">the </w:t>
      </w:r>
      <w:r w:rsidR="00C507A5">
        <w:rPr>
          <w:color w:val="231F20"/>
          <w:spacing w:val="5"/>
          <w:sz w:val="20"/>
        </w:rPr>
        <w:t>red army faction</w:t>
      </w:r>
      <w:r>
        <w:rPr>
          <w:color w:val="231F20"/>
          <w:spacing w:val="5"/>
          <w:sz w:val="20"/>
        </w:rPr>
        <w:t xml:space="preserve"> </w:t>
      </w:r>
      <w:r>
        <w:rPr>
          <w:color w:val="231F20"/>
          <w:sz w:val="20"/>
        </w:rPr>
        <w:t>planned attacks against nuclear power plants and planned to make use of nuclear, chemical, and bacteriological weapons (since January</w:t>
      </w:r>
      <w:r>
        <w:rPr>
          <w:color w:val="231F20"/>
          <w:spacing w:val="42"/>
          <w:sz w:val="20"/>
        </w:rPr>
        <w:t xml:space="preserve"> </w:t>
      </w:r>
      <w:r>
        <w:rPr>
          <w:color w:val="231F20"/>
          <w:spacing w:val="-3"/>
          <w:sz w:val="20"/>
        </w:rPr>
        <w:t>76);</w:t>
      </w:r>
    </w:p>
    <w:p w14:paraId="077E95A9" w14:textId="77777777" w:rsidR="002653E8" w:rsidRDefault="003115E3">
      <w:pPr>
        <w:pStyle w:val="a4"/>
        <w:numPr>
          <w:ilvl w:val="1"/>
          <w:numId w:val="4"/>
        </w:numPr>
        <w:tabs>
          <w:tab w:val="left" w:pos="2068"/>
        </w:tabs>
        <w:spacing w:before="1" w:line="261" w:lineRule="auto"/>
        <w:ind w:right="1605"/>
        <w:rPr>
          <w:sz w:val="20"/>
        </w:rPr>
      </w:pPr>
      <w:r>
        <w:rPr>
          <w:color w:val="231F20"/>
          <w:sz w:val="20"/>
        </w:rPr>
        <w:t xml:space="preserve">the </w:t>
      </w:r>
      <w:r w:rsidR="00C507A5">
        <w:rPr>
          <w:color w:val="231F20"/>
          <w:spacing w:val="5"/>
          <w:sz w:val="20"/>
        </w:rPr>
        <w:t>red army faction</w:t>
      </w:r>
      <w:r>
        <w:rPr>
          <w:color w:val="231F20"/>
          <w:spacing w:val="5"/>
          <w:sz w:val="20"/>
        </w:rPr>
        <w:t xml:space="preserve"> </w:t>
      </w:r>
      <w:r>
        <w:rPr>
          <w:color w:val="231F20"/>
          <w:sz w:val="20"/>
        </w:rPr>
        <w:t>planned a raid on a playground to take children hostage (March</w:t>
      </w:r>
      <w:r>
        <w:rPr>
          <w:color w:val="231F20"/>
          <w:spacing w:val="22"/>
          <w:sz w:val="20"/>
        </w:rPr>
        <w:t xml:space="preserve"> </w:t>
      </w:r>
      <w:r>
        <w:rPr>
          <w:color w:val="231F20"/>
          <w:spacing w:val="-9"/>
          <w:sz w:val="20"/>
        </w:rPr>
        <w:t>75).</w:t>
      </w:r>
    </w:p>
    <w:p w14:paraId="1E402B9E" w14:textId="77777777" w:rsidR="002653E8" w:rsidRDefault="003115E3">
      <w:pPr>
        <w:pStyle w:val="a3"/>
        <w:spacing w:before="145" w:line="264" w:lineRule="auto"/>
        <w:ind w:left="1763" w:right="1145"/>
      </w:pPr>
      <w:r>
        <w:rPr>
          <w:color w:val="231F20"/>
        </w:rPr>
        <w:t>are psychological warfare fabrications, used to legitimize an aggressive police force and state security apparatus, to disrupt solidarity with the resistance groups, and to isolate and destroy them; that all of these claims are false and that the statements released by the police, intelligence agencies, and the judiciary in this regard are baseless.</w:t>
      </w:r>
    </w:p>
    <w:p w14:paraId="1ED62138" w14:textId="77777777" w:rsidR="002653E8" w:rsidRDefault="002653E8">
      <w:pPr>
        <w:pStyle w:val="a3"/>
        <w:spacing w:before="3"/>
        <w:rPr>
          <w:sz w:val="21"/>
        </w:rPr>
      </w:pPr>
    </w:p>
    <w:p w14:paraId="17C52C80" w14:textId="77777777" w:rsidR="002653E8" w:rsidRDefault="003115E3">
      <w:pPr>
        <w:pStyle w:val="a3"/>
        <w:spacing w:before="1"/>
        <w:ind w:left="1147"/>
      </w:pPr>
      <w:r>
        <w:rPr>
          <w:color w:val="231F20"/>
        </w:rPr>
        <w:t>The hunger strike</w:t>
      </w:r>
    </w:p>
    <w:p w14:paraId="0248E519" w14:textId="77777777" w:rsidR="002653E8" w:rsidRDefault="003115E3">
      <w:pPr>
        <w:pStyle w:val="a3"/>
        <w:spacing w:before="22"/>
        <w:ind w:left="1147"/>
      </w:pPr>
      <w:r>
        <w:rPr>
          <w:color w:val="231F20"/>
        </w:rPr>
        <w:t>is an example of our solidarity</w:t>
      </w:r>
    </w:p>
    <w:p w14:paraId="4189A535" w14:textId="77777777" w:rsidR="002653E8" w:rsidRDefault="003115E3">
      <w:pPr>
        <w:pStyle w:val="a4"/>
        <w:numPr>
          <w:ilvl w:val="0"/>
          <w:numId w:val="57"/>
        </w:numPr>
        <w:tabs>
          <w:tab w:val="left" w:pos="1644"/>
        </w:tabs>
        <w:spacing w:before="150" w:line="261" w:lineRule="auto"/>
        <w:ind w:right="1667"/>
        <w:rPr>
          <w:sz w:val="11"/>
        </w:rPr>
      </w:pPr>
      <w:r>
        <w:rPr>
          <w:color w:val="231F20"/>
          <w:sz w:val="20"/>
        </w:rPr>
        <w:t>with the hunger strike of prisoners from the Palestinian resistance for prisoner of war</w:t>
      </w:r>
      <w:r>
        <w:rPr>
          <w:color w:val="231F20"/>
          <w:spacing w:val="8"/>
          <w:sz w:val="20"/>
        </w:rPr>
        <w:t xml:space="preserve"> </w:t>
      </w:r>
      <w:r>
        <w:rPr>
          <w:color w:val="231F20"/>
          <w:sz w:val="20"/>
        </w:rPr>
        <w:t>status;</w:t>
      </w:r>
      <w:r>
        <w:rPr>
          <w:color w:val="231F20"/>
          <w:position w:val="7"/>
          <w:sz w:val="11"/>
        </w:rPr>
        <w:t>1</w:t>
      </w:r>
    </w:p>
    <w:p w14:paraId="5893B3C7" w14:textId="77777777" w:rsidR="002653E8" w:rsidRDefault="003115E3">
      <w:pPr>
        <w:pStyle w:val="a4"/>
        <w:numPr>
          <w:ilvl w:val="0"/>
          <w:numId w:val="57"/>
        </w:numPr>
        <w:tabs>
          <w:tab w:val="left" w:pos="1644"/>
        </w:tabs>
        <w:spacing w:before="1" w:line="261" w:lineRule="auto"/>
        <w:ind w:right="1509"/>
        <w:rPr>
          <w:sz w:val="20"/>
        </w:rPr>
      </w:pPr>
      <w:r>
        <w:rPr>
          <w:color w:val="231F20"/>
          <w:sz w:val="20"/>
        </w:rPr>
        <w:t xml:space="preserve">with the hunger strike for political status of the </w:t>
      </w:r>
      <w:r>
        <w:rPr>
          <w:color w:val="231F20"/>
          <w:spacing w:val="3"/>
          <w:sz w:val="20"/>
        </w:rPr>
        <w:t xml:space="preserve">IRA </w:t>
      </w:r>
      <w:r>
        <w:rPr>
          <w:color w:val="231F20"/>
          <w:sz w:val="20"/>
        </w:rPr>
        <w:t>prisoners  in</w:t>
      </w:r>
      <w:r>
        <w:rPr>
          <w:color w:val="231F20"/>
          <w:spacing w:val="7"/>
          <w:sz w:val="20"/>
        </w:rPr>
        <w:t xml:space="preserve"> </w:t>
      </w:r>
      <w:r>
        <w:rPr>
          <w:color w:val="231F20"/>
          <w:sz w:val="20"/>
        </w:rPr>
        <w:t>Irish</w:t>
      </w:r>
      <w:r>
        <w:rPr>
          <w:color w:val="231F20"/>
          <w:spacing w:val="7"/>
          <w:sz w:val="20"/>
        </w:rPr>
        <w:t xml:space="preserve"> </w:t>
      </w:r>
      <w:r>
        <w:rPr>
          <w:color w:val="231F20"/>
          <w:sz w:val="20"/>
        </w:rPr>
        <w:t>and</w:t>
      </w:r>
      <w:r>
        <w:rPr>
          <w:color w:val="231F20"/>
          <w:spacing w:val="7"/>
          <w:sz w:val="20"/>
        </w:rPr>
        <w:t xml:space="preserve"> </w:t>
      </w:r>
      <w:r>
        <w:rPr>
          <w:color w:val="231F20"/>
          <w:sz w:val="20"/>
        </w:rPr>
        <w:t>English</w:t>
      </w:r>
      <w:r>
        <w:rPr>
          <w:color w:val="231F20"/>
          <w:spacing w:val="7"/>
          <w:sz w:val="20"/>
        </w:rPr>
        <w:t xml:space="preserve"> </w:t>
      </w:r>
      <w:r>
        <w:rPr>
          <w:color w:val="231F20"/>
          <w:sz w:val="20"/>
        </w:rPr>
        <w:t>prisons,</w:t>
      </w:r>
      <w:r>
        <w:rPr>
          <w:color w:val="231F20"/>
          <w:spacing w:val="7"/>
          <w:sz w:val="20"/>
        </w:rPr>
        <w:t xml:space="preserve"> </w:t>
      </w:r>
      <w:r>
        <w:rPr>
          <w:color w:val="231F20"/>
          <w:sz w:val="20"/>
        </w:rPr>
        <w:t>status</w:t>
      </w:r>
      <w:r>
        <w:rPr>
          <w:color w:val="231F20"/>
          <w:spacing w:val="7"/>
          <w:sz w:val="20"/>
        </w:rPr>
        <w:t xml:space="preserve"> </w:t>
      </w:r>
      <w:r>
        <w:rPr>
          <w:color w:val="231F20"/>
          <w:sz w:val="20"/>
        </w:rPr>
        <w:t>they</w:t>
      </w:r>
      <w:r>
        <w:rPr>
          <w:color w:val="231F20"/>
          <w:spacing w:val="7"/>
          <w:sz w:val="20"/>
        </w:rPr>
        <w:t xml:space="preserve"> </w:t>
      </w:r>
      <w:r>
        <w:rPr>
          <w:color w:val="231F20"/>
          <w:sz w:val="20"/>
        </w:rPr>
        <w:t>are</w:t>
      </w:r>
      <w:r>
        <w:rPr>
          <w:color w:val="231F20"/>
          <w:spacing w:val="7"/>
          <w:sz w:val="20"/>
        </w:rPr>
        <w:t xml:space="preserve"> </w:t>
      </w:r>
      <w:r>
        <w:rPr>
          <w:color w:val="231F20"/>
          <w:sz w:val="20"/>
        </w:rPr>
        <w:t>denied</w:t>
      </w:r>
      <w:r>
        <w:rPr>
          <w:color w:val="231F20"/>
          <w:spacing w:val="7"/>
          <w:sz w:val="20"/>
        </w:rPr>
        <w:t xml:space="preserve"> </w:t>
      </w:r>
      <w:r>
        <w:rPr>
          <w:color w:val="231F20"/>
          <w:sz w:val="20"/>
        </w:rPr>
        <w:t>on</w:t>
      </w:r>
      <w:r>
        <w:rPr>
          <w:color w:val="231F20"/>
          <w:spacing w:val="7"/>
          <w:sz w:val="20"/>
        </w:rPr>
        <w:t xml:space="preserve"> </w:t>
      </w:r>
      <w:r>
        <w:rPr>
          <w:color w:val="231F20"/>
          <w:sz w:val="20"/>
        </w:rPr>
        <w:t>the</w:t>
      </w:r>
      <w:r>
        <w:rPr>
          <w:color w:val="231F20"/>
          <w:spacing w:val="7"/>
          <w:sz w:val="20"/>
        </w:rPr>
        <w:t xml:space="preserve"> </w:t>
      </w:r>
      <w:r>
        <w:rPr>
          <w:color w:val="231F20"/>
          <w:sz w:val="20"/>
        </w:rPr>
        <w:t>basis</w:t>
      </w:r>
    </w:p>
    <w:p w14:paraId="3564BBC0" w14:textId="77777777" w:rsidR="002653E8" w:rsidRDefault="002653E8">
      <w:pPr>
        <w:pStyle w:val="a3"/>
      </w:pPr>
    </w:p>
    <w:p w14:paraId="74838226" w14:textId="77777777" w:rsidR="002653E8" w:rsidRDefault="002653E8">
      <w:pPr>
        <w:pStyle w:val="a3"/>
      </w:pPr>
    </w:p>
    <w:p w14:paraId="7424DDFE" w14:textId="77777777" w:rsidR="002653E8" w:rsidRDefault="00000000">
      <w:pPr>
        <w:pStyle w:val="a3"/>
        <w:spacing w:before="5"/>
        <w:rPr>
          <w:sz w:val="16"/>
        </w:rPr>
      </w:pPr>
      <w:r>
        <w:rPr>
          <w:noProof w:val="0"/>
        </w:rPr>
        <w:pict w14:anchorId="1FEDB449">
          <v:line id="_x0000_s2191" style="position:absolute;z-index:10384;mso-wrap-distance-left:0;mso-wrap-distance-right:0;mso-position-horizontal-relative:page" from="57.4pt,11.85pt" to="129.4pt,11.85pt" strokecolor="#231f20" strokeweight=".5pt">
            <w10:wrap type="topAndBottom" anchorx="page"/>
          </v:line>
        </w:pict>
      </w:r>
    </w:p>
    <w:p w14:paraId="45655295" w14:textId="77777777" w:rsidR="002653E8" w:rsidRDefault="003115E3">
      <w:pPr>
        <w:spacing w:before="53" w:line="254" w:lineRule="auto"/>
        <w:ind w:left="1147" w:right="1513"/>
        <w:rPr>
          <w:sz w:val="16"/>
        </w:rPr>
      </w:pPr>
      <w:r>
        <w:rPr>
          <w:color w:val="231F20"/>
          <w:w w:val="105"/>
          <w:sz w:val="16"/>
        </w:rPr>
        <w:t xml:space="preserve">1 </w:t>
      </w:r>
      <w:r>
        <w:rPr>
          <w:color w:val="231F20"/>
          <w:spacing w:val="1"/>
          <w:w w:val="105"/>
          <w:sz w:val="16"/>
        </w:rPr>
        <w:t xml:space="preserve">Starting </w:t>
      </w:r>
      <w:r>
        <w:rPr>
          <w:color w:val="231F20"/>
          <w:w w:val="105"/>
          <w:sz w:val="16"/>
        </w:rPr>
        <w:t xml:space="preserve">with a few dozen prisoners in February, within a month hundreds of Palestinian prisoners had joined a hunger strike throughout Israel’s prisons, and outside support was offered by left-wing Arab and Jewish organizations. The basic demands were better conditions and an end to racist discrimination within the prisons, whereby Jewish prisoners received preferential treatment in regards to food and visits. </w:t>
      </w:r>
      <w:r>
        <w:rPr>
          <w:color w:val="231F20"/>
          <w:spacing w:val="1"/>
          <w:w w:val="105"/>
          <w:sz w:val="16"/>
        </w:rPr>
        <w:t xml:space="preserve">[Journal </w:t>
      </w:r>
      <w:r>
        <w:rPr>
          <w:color w:val="231F20"/>
          <w:w w:val="105"/>
          <w:sz w:val="16"/>
        </w:rPr>
        <w:t xml:space="preserve">of Palestine Studies, “Strike of Arab Prisoners in Israel,” </w:t>
      </w:r>
      <w:r>
        <w:rPr>
          <w:i/>
          <w:color w:val="231F20"/>
          <w:w w:val="105"/>
          <w:sz w:val="16"/>
        </w:rPr>
        <w:t>Journal</w:t>
      </w:r>
      <w:r>
        <w:rPr>
          <w:i/>
          <w:color w:val="231F20"/>
          <w:spacing w:val="10"/>
          <w:w w:val="105"/>
          <w:sz w:val="16"/>
        </w:rPr>
        <w:t xml:space="preserve"> </w:t>
      </w:r>
      <w:r>
        <w:rPr>
          <w:i/>
          <w:color w:val="231F20"/>
          <w:w w:val="105"/>
          <w:sz w:val="16"/>
        </w:rPr>
        <w:t>of</w:t>
      </w:r>
      <w:r>
        <w:rPr>
          <w:i/>
          <w:color w:val="231F20"/>
          <w:spacing w:val="10"/>
          <w:w w:val="105"/>
          <w:sz w:val="16"/>
        </w:rPr>
        <w:t xml:space="preserve"> </w:t>
      </w:r>
      <w:r>
        <w:rPr>
          <w:i/>
          <w:color w:val="231F20"/>
          <w:w w:val="105"/>
          <w:sz w:val="16"/>
        </w:rPr>
        <w:t>Palestine</w:t>
      </w:r>
      <w:r>
        <w:rPr>
          <w:i/>
          <w:color w:val="231F20"/>
          <w:spacing w:val="10"/>
          <w:w w:val="105"/>
          <w:sz w:val="16"/>
        </w:rPr>
        <w:t xml:space="preserve"> </w:t>
      </w:r>
      <w:r>
        <w:rPr>
          <w:i/>
          <w:color w:val="231F20"/>
          <w:w w:val="105"/>
          <w:sz w:val="16"/>
        </w:rPr>
        <w:t>Studies</w:t>
      </w:r>
      <w:r>
        <w:rPr>
          <w:i/>
          <w:color w:val="231F20"/>
          <w:spacing w:val="11"/>
          <w:w w:val="105"/>
          <w:sz w:val="16"/>
        </w:rPr>
        <w:t xml:space="preserve"> </w:t>
      </w:r>
      <w:r>
        <w:rPr>
          <w:color w:val="231F20"/>
          <w:spacing w:val="-6"/>
          <w:w w:val="105"/>
          <w:sz w:val="16"/>
        </w:rPr>
        <w:t>7,</w:t>
      </w:r>
      <w:r>
        <w:rPr>
          <w:color w:val="231F20"/>
          <w:spacing w:val="10"/>
          <w:w w:val="105"/>
          <w:sz w:val="16"/>
        </w:rPr>
        <w:t xml:space="preserve"> </w:t>
      </w:r>
      <w:r>
        <w:rPr>
          <w:color w:val="231F20"/>
          <w:w w:val="105"/>
          <w:sz w:val="16"/>
        </w:rPr>
        <w:t>no.</w:t>
      </w:r>
      <w:r>
        <w:rPr>
          <w:color w:val="231F20"/>
          <w:spacing w:val="10"/>
          <w:w w:val="105"/>
          <w:sz w:val="16"/>
        </w:rPr>
        <w:t xml:space="preserve"> </w:t>
      </w:r>
      <w:r>
        <w:rPr>
          <w:color w:val="231F20"/>
          <w:w w:val="105"/>
          <w:sz w:val="16"/>
        </w:rPr>
        <w:t>1</w:t>
      </w:r>
      <w:r>
        <w:rPr>
          <w:color w:val="231F20"/>
          <w:spacing w:val="10"/>
          <w:w w:val="105"/>
          <w:sz w:val="16"/>
        </w:rPr>
        <w:t xml:space="preserve"> </w:t>
      </w:r>
      <w:r>
        <w:rPr>
          <w:color w:val="231F20"/>
          <w:w w:val="105"/>
          <w:sz w:val="16"/>
        </w:rPr>
        <w:t>(Autumn,</w:t>
      </w:r>
      <w:r>
        <w:rPr>
          <w:color w:val="231F20"/>
          <w:spacing w:val="11"/>
          <w:w w:val="105"/>
          <w:sz w:val="16"/>
        </w:rPr>
        <w:t xml:space="preserve"> </w:t>
      </w:r>
      <w:r>
        <w:rPr>
          <w:color w:val="231F20"/>
          <w:w w:val="105"/>
          <w:sz w:val="16"/>
        </w:rPr>
        <w:t>1977):</w:t>
      </w:r>
      <w:r>
        <w:rPr>
          <w:color w:val="231F20"/>
          <w:spacing w:val="10"/>
          <w:w w:val="105"/>
          <w:sz w:val="16"/>
        </w:rPr>
        <w:t xml:space="preserve"> </w:t>
      </w:r>
      <w:r>
        <w:rPr>
          <w:color w:val="231F20"/>
          <w:spacing w:val="-3"/>
          <w:w w:val="105"/>
          <w:sz w:val="16"/>
        </w:rPr>
        <w:t>169-171].</w:t>
      </w:r>
    </w:p>
    <w:p w14:paraId="5B1DFAF7" w14:textId="77777777" w:rsidR="002653E8" w:rsidRDefault="002653E8">
      <w:pPr>
        <w:spacing w:line="254" w:lineRule="auto"/>
        <w:rPr>
          <w:sz w:val="16"/>
        </w:rPr>
        <w:sectPr w:rsidR="002653E8">
          <w:pgSz w:w="8640" w:h="12960"/>
          <w:pgMar w:top="1060" w:right="0" w:bottom="1040" w:left="0" w:header="0" w:footer="850" w:gutter="0"/>
          <w:cols w:space="720"/>
        </w:sectPr>
      </w:pPr>
    </w:p>
    <w:p w14:paraId="2831B198" w14:textId="77777777" w:rsidR="002653E8" w:rsidRDefault="003115E3">
      <w:pPr>
        <w:pStyle w:val="a3"/>
        <w:spacing w:before="86" w:line="261" w:lineRule="auto"/>
        <w:ind w:left="1823" w:right="1580"/>
        <w:rPr>
          <w:sz w:val="11"/>
        </w:rPr>
      </w:pPr>
      <w:r>
        <w:rPr>
          <w:color w:val="231F20"/>
        </w:rPr>
        <w:lastRenderedPageBreak/>
        <w:t>of a European antiterrorism law put forward by the Federal Republic;</w:t>
      </w:r>
      <w:r>
        <w:rPr>
          <w:color w:val="231F20"/>
          <w:position w:val="7"/>
          <w:sz w:val="11"/>
        </w:rPr>
        <w:t>2</w:t>
      </w:r>
    </w:p>
    <w:p w14:paraId="1576E239" w14:textId="77777777" w:rsidR="002653E8" w:rsidRDefault="003115E3">
      <w:pPr>
        <w:pStyle w:val="a4"/>
        <w:numPr>
          <w:ilvl w:val="0"/>
          <w:numId w:val="3"/>
        </w:numPr>
        <w:tabs>
          <w:tab w:val="left" w:pos="1824"/>
        </w:tabs>
        <w:spacing w:before="1" w:line="261" w:lineRule="auto"/>
        <w:ind w:right="1647" w:hanging="241"/>
        <w:rPr>
          <w:sz w:val="11"/>
        </w:rPr>
      </w:pPr>
      <w:r>
        <w:rPr>
          <w:color w:val="231F20"/>
          <w:sz w:val="20"/>
        </w:rPr>
        <w:t xml:space="preserve">with the demand of the </w:t>
      </w:r>
      <w:r>
        <w:rPr>
          <w:color w:val="231F20"/>
          <w:spacing w:val="-3"/>
          <w:sz w:val="20"/>
        </w:rPr>
        <w:t xml:space="preserve">ETA </w:t>
      </w:r>
      <w:r>
        <w:rPr>
          <w:color w:val="231F20"/>
          <w:sz w:val="20"/>
        </w:rPr>
        <w:t>prisoners and other antifascist forces in Spain for an</w:t>
      </w:r>
      <w:r>
        <w:rPr>
          <w:color w:val="231F20"/>
          <w:spacing w:val="11"/>
          <w:sz w:val="20"/>
        </w:rPr>
        <w:t xml:space="preserve"> </w:t>
      </w:r>
      <w:r>
        <w:rPr>
          <w:color w:val="231F20"/>
          <w:sz w:val="20"/>
        </w:rPr>
        <w:t>amnesty;</w:t>
      </w:r>
      <w:r>
        <w:rPr>
          <w:color w:val="231F20"/>
          <w:position w:val="7"/>
          <w:sz w:val="11"/>
        </w:rPr>
        <w:t>3</w:t>
      </w:r>
    </w:p>
    <w:p w14:paraId="0CD15B8F" w14:textId="77777777" w:rsidR="002653E8" w:rsidRDefault="003115E3">
      <w:pPr>
        <w:pStyle w:val="a4"/>
        <w:numPr>
          <w:ilvl w:val="0"/>
          <w:numId w:val="3"/>
        </w:numPr>
        <w:tabs>
          <w:tab w:val="left" w:pos="1824"/>
        </w:tabs>
        <w:spacing w:before="0" w:line="261" w:lineRule="auto"/>
        <w:ind w:left="1823" w:right="1210"/>
        <w:rPr>
          <w:sz w:val="20"/>
        </w:rPr>
      </w:pPr>
      <w:r>
        <w:rPr>
          <w:color w:val="231F20"/>
          <w:sz w:val="20"/>
        </w:rPr>
        <w:t>with all those taken prisoner in the struggle for social revolution and national</w:t>
      </w:r>
      <w:r>
        <w:rPr>
          <w:color w:val="231F20"/>
          <w:spacing w:val="21"/>
          <w:sz w:val="20"/>
        </w:rPr>
        <w:t xml:space="preserve"> </w:t>
      </w:r>
      <w:r>
        <w:rPr>
          <w:color w:val="231F20"/>
          <w:sz w:val="20"/>
        </w:rPr>
        <w:t>self-determination;</w:t>
      </w:r>
    </w:p>
    <w:p w14:paraId="56B22EED" w14:textId="77777777" w:rsidR="002653E8" w:rsidRDefault="003115E3">
      <w:pPr>
        <w:pStyle w:val="a4"/>
        <w:numPr>
          <w:ilvl w:val="0"/>
          <w:numId w:val="3"/>
        </w:numPr>
        <w:tabs>
          <w:tab w:val="left" w:pos="1824"/>
        </w:tabs>
        <w:spacing w:before="1" w:line="261" w:lineRule="auto"/>
        <w:ind w:left="1823" w:right="1195"/>
        <w:rPr>
          <w:sz w:val="20"/>
        </w:rPr>
      </w:pPr>
      <w:r>
        <w:rPr>
          <w:color w:val="231F20"/>
          <w:sz w:val="20"/>
        </w:rPr>
        <w:t>with all those who have begun to fight against the violation of human rights, the miserable conditions and the brutal repression in</w:t>
      </w:r>
      <w:r>
        <w:rPr>
          <w:color w:val="231F20"/>
          <w:spacing w:val="10"/>
          <w:sz w:val="20"/>
        </w:rPr>
        <w:t xml:space="preserve"> </w:t>
      </w:r>
      <w:r>
        <w:rPr>
          <w:color w:val="231F20"/>
          <w:sz w:val="20"/>
        </w:rPr>
        <w:t>the</w:t>
      </w:r>
      <w:r>
        <w:rPr>
          <w:color w:val="231F20"/>
          <w:spacing w:val="10"/>
          <w:sz w:val="20"/>
        </w:rPr>
        <w:t xml:space="preserve"> </w:t>
      </w:r>
      <w:r>
        <w:rPr>
          <w:color w:val="231F20"/>
          <w:sz w:val="20"/>
        </w:rPr>
        <w:t>prisons</w:t>
      </w:r>
      <w:r>
        <w:rPr>
          <w:color w:val="231F20"/>
          <w:spacing w:val="10"/>
          <w:sz w:val="20"/>
        </w:rPr>
        <w:t xml:space="preserve"> </w:t>
      </w:r>
      <w:r>
        <w:rPr>
          <w:color w:val="231F20"/>
          <w:sz w:val="20"/>
        </w:rPr>
        <w:t>of</w:t>
      </w:r>
      <w:r>
        <w:rPr>
          <w:color w:val="231F20"/>
          <w:spacing w:val="10"/>
          <w:sz w:val="20"/>
        </w:rPr>
        <w:t xml:space="preserve"> </w:t>
      </w:r>
      <w:r>
        <w:rPr>
          <w:color w:val="231F20"/>
          <w:sz w:val="20"/>
        </w:rPr>
        <w:t>the</w:t>
      </w:r>
      <w:r>
        <w:rPr>
          <w:color w:val="231F20"/>
          <w:spacing w:val="10"/>
          <w:sz w:val="20"/>
        </w:rPr>
        <w:t xml:space="preserve"> </w:t>
      </w:r>
      <w:r>
        <w:rPr>
          <w:color w:val="231F20"/>
          <w:sz w:val="20"/>
        </w:rPr>
        <w:t>Federal</w:t>
      </w:r>
      <w:r>
        <w:rPr>
          <w:color w:val="231F20"/>
          <w:spacing w:val="10"/>
          <w:sz w:val="20"/>
        </w:rPr>
        <w:t xml:space="preserve"> </w:t>
      </w:r>
      <w:r>
        <w:rPr>
          <w:color w:val="231F20"/>
          <w:sz w:val="20"/>
        </w:rPr>
        <w:t>Republic.</w:t>
      </w:r>
    </w:p>
    <w:p w14:paraId="0CBF19DC" w14:textId="77777777" w:rsidR="002653E8" w:rsidRDefault="002653E8">
      <w:pPr>
        <w:pStyle w:val="a3"/>
        <w:spacing w:before="6"/>
        <w:rPr>
          <w:sz w:val="13"/>
        </w:rPr>
      </w:pPr>
    </w:p>
    <w:p w14:paraId="1A4FC5A5" w14:textId="77777777" w:rsidR="002653E8" w:rsidRDefault="003115E3">
      <w:pPr>
        <w:pStyle w:val="a3"/>
        <w:spacing w:before="99" w:line="261" w:lineRule="auto"/>
        <w:ind w:left="1327" w:right="3906"/>
      </w:pPr>
      <w:r>
        <w:rPr>
          <w:color w:val="231F20"/>
          <w:w w:val="115"/>
        </w:rPr>
        <w:t>ARM THE RESISTANCE! ORGANIZE THE UNDERGROUND!</w:t>
      </w:r>
    </w:p>
    <w:p w14:paraId="015E11AE" w14:textId="77777777" w:rsidR="002653E8" w:rsidRDefault="003115E3">
      <w:pPr>
        <w:pStyle w:val="a3"/>
        <w:spacing w:before="1"/>
        <w:ind w:left="1327"/>
      </w:pPr>
      <w:r>
        <w:rPr>
          <w:color w:val="231F20"/>
          <w:w w:val="110"/>
        </w:rPr>
        <w:t>CARRy OUT THE ANTI-IMPERIALIST OFFENSIVE!</w:t>
      </w:r>
    </w:p>
    <w:p w14:paraId="10D8DF4F" w14:textId="77777777" w:rsidR="002653E8" w:rsidRDefault="003115E3">
      <w:pPr>
        <w:pStyle w:val="a3"/>
        <w:spacing w:before="149" w:line="261" w:lineRule="auto"/>
        <w:ind w:left="6043" w:right="1146" w:hanging="258"/>
        <w:jc w:val="right"/>
      </w:pPr>
      <w:r>
        <w:rPr>
          <w:color w:val="231F20"/>
          <w:w w:val="105"/>
        </w:rPr>
        <w:t xml:space="preserve">The </w:t>
      </w:r>
      <w:r w:rsidR="00C507A5">
        <w:rPr>
          <w:color w:val="231F20"/>
          <w:w w:val="105"/>
        </w:rPr>
        <w:t>red army faction</w:t>
      </w:r>
      <w:r>
        <w:rPr>
          <w:color w:val="231F20"/>
          <w:w w:val="105"/>
        </w:rPr>
        <w:t xml:space="preserve"> prisoners</w:t>
      </w:r>
      <w:r>
        <w:rPr>
          <w:color w:val="231F20"/>
          <w:w w:val="90"/>
        </w:rPr>
        <w:t xml:space="preserve"> </w:t>
      </w:r>
      <w:r>
        <w:rPr>
          <w:color w:val="231F20"/>
          <w:w w:val="105"/>
        </w:rPr>
        <w:t>March 29, 1977</w:t>
      </w:r>
    </w:p>
    <w:p w14:paraId="6AFB9BC9" w14:textId="77777777" w:rsidR="002653E8" w:rsidRDefault="002653E8">
      <w:pPr>
        <w:pStyle w:val="a3"/>
      </w:pPr>
    </w:p>
    <w:p w14:paraId="51945B4D" w14:textId="77777777" w:rsidR="002653E8" w:rsidRDefault="002653E8">
      <w:pPr>
        <w:pStyle w:val="a3"/>
      </w:pPr>
    </w:p>
    <w:p w14:paraId="437F8325" w14:textId="77777777" w:rsidR="002653E8" w:rsidRDefault="002653E8">
      <w:pPr>
        <w:pStyle w:val="a3"/>
      </w:pPr>
    </w:p>
    <w:p w14:paraId="0DD70B0B" w14:textId="77777777" w:rsidR="002653E8" w:rsidRDefault="002653E8">
      <w:pPr>
        <w:pStyle w:val="a3"/>
      </w:pPr>
    </w:p>
    <w:p w14:paraId="0DCF6E5B" w14:textId="77777777" w:rsidR="002653E8" w:rsidRDefault="002653E8">
      <w:pPr>
        <w:pStyle w:val="a3"/>
      </w:pPr>
    </w:p>
    <w:p w14:paraId="69C945DD" w14:textId="77777777" w:rsidR="002653E8" w:rsidRDefault="002653E8">
      <w:pPr>
        <w:pStyle w:val="a3"/>
      </w:pPr>
    </w:p>
    <w:p w14:paraId="698A20F3" w14:textId="77777777" w:rsidR="002653E8" w:rsidRDefault="002653E8">
      <w:pPr>
        <w:pStyle w:val="a3"/>
      </w:pPr>
    </w:p>
    <w:p w14:paraId="731EF92B" w14:textId="77777777" w:rsidR="002653E8" w:rsidRDefault="002653E8">
      <w:pPr>
        <w:pStyle w:val="a3"/>
      </w:pPr>
    </w:p>
    <w:p w14:paraId="0649E03C" w14:textId="77777777" w:rsidR="002653E8" w:rsidRDefault="002653E8">
      <w:pPr>
        <w:pStyle w:val="a3"/>
      </w:pPr>
    </w:p>
    <w:p w14:paraId="5B2C09C7" w14:textId="77777777" w:rsidR="002653E8" w:rsidRDefault="002653E8">
      <w:pPr>
        <w:pStyle w:val="a3"/>
      </w:pPr>
    </w:p>
    <w:p w14:paraId="43800909" w14:textId="77777777" w:rsidR="002653E8" w:rsidRDefault="002653E8">
      <w:pPr>
        <w:pStyle w:val="a3"/>
      </w:pPr>
    </w:p>
    <w:p w14:paraId="21E76DC5" w14:textId="77777777" w:rsidR="002653E8" w:rsidRDefault="002653E8">
      <w:pPr>
        <w:pStyle w:val="a3"/>
      </w:pPr>
    </w:p>
    <w:p w14:paraId="466AEDB1" w14:textId="77777777" w:rsidR="002653E8" w:rsidRDefault="002653E8">
      <w:pPr>
        <w:pStyle w:val="a3"/>
      </w:pPr>
    </w:p>
    <w:p w14:paraId="0F2D71F3" w14:textId="77777777" w:rsidR="002653E8" w:rsidRDefault="002653E8">
      <w:pPr>
        <w:pStyle w:val="a3"/>
      </w:pPr>
    </w:p>
    <w:p w14:paraId="5D79382A" w14:textId="77777777" w:rsidR="002653E8" w:rsidRDefault="002653E8">
      <w:pPr>
        <w:pStyle w:val="a3"/>
      </w:pPr>
    </w:p>
    <w:p w14:paraId="0E6C88A4" w14:textId="77777777" w:rsidR="002653E8" w:rsidRDefault="002653E8">
      <w:pPr>
        <w:pStyle w:val="a3"/>
      </w:pPr>
    </w:p>
    <w:p w14:paraId="74C2A5D6" w14:textId="77777777" w:rsidR="002653E8" w:rsidRDefault="002653E8">
      <w:pPr>
        <w:pStyle w:val="a3"/>
      </w:pPr>
    </w:p>
    <w:p w14:paraId="6A60EDAA" w14:textId="77777777" w:rsidR="002653E8" w:rsidRDefault="002653E8">
      <w:pPr>
        <w:pStyle w:val="a3"/>
      </w:pPr>
    </w:p>
    <w:p w14:paraId="238A7464" w14:textId="77777777" w:rsidR="002653E8" w:rsidRDefault="002653E8">
      <w:pPr>
        <w:pStyle w:val="a3"/>
      </w:pPr>
    </w:p>
    <w:p w14:paraId="119FEDCF" w14:textId="77777777" w:rsidR="002653E8" w:rsidRDefault="00000000">
      <w:pPr>
        <w:pStyle w:val="a3"/>
        <w:spacing w:before="4"/>
        <w:rPr>
          <w:sz w:val="24"/>
        </w:rPr>
      </w:pPr>
      <w:r>
        <w:rPr>
          <w:noProof w:val="0"/>
        </w:rPr>
        <w:pict w14:anchorId="7D2A151B">
          <v:line id="_x0000_s2190" style="position:absolute;z-index:10408;mso-wrap-distance-left:0;mso-wrap-distance-right:0;mso-position-horizontal-relative:page" from="66.4pt,16.5pt" to="138.4pt,16.5pt" strokecolor="#231f20" strokeweight=".5pt">
            <w10:wrap type="topAndBottom" anchorx="page"/>
          </v:line>
        </w:pict>
      </w:r>
    </w:p>
    <w:p w14:paraId="3F72CAA2" w14:textId="77777777" w:rsidR="002653E8" w:rsidRDefault="003115E3">
      <w:pPr>
        <w:pStyle w:val="a4"/>
        <w:numPr>
          <w:ilvl w:val="0"/>
          <w:numId w:val="56"/>
        </w:numPr>
        <w:tabs>
          <w:tab w:val="left" w:pos="1467"/>
        </w:tabs>
        <w:spacing w:before="53" w:line="254" w:lineRule="auto"/>
        <w:ind w:right="1201" w:hanging="1"/>
        <w:rPr>
          <w:sz w:val="16"/>
        </w:rPr>
      </w:pPr>
      <w:r>
        <w:rPr>
          <w:color w:val="231F20"/>
          <w:sz w:val="16"/>
        </w:rPr>
        <w:t xml:space="preserve">Twenty </w:t>
      </w:r>
      <w:r>
        <w:rPr>
          <w:color w:val="231F20"/>
          <w:spacing w:val="3"/>
          <w:sz w:val="16"/>
        </w:rPr>
        <w:t xml:space="preserve">IRA  </w:t>
      </w:r>
      <w:r>
        <w:rPr>
          <w:color w:val="231F20"/>
          <w:sz w:val="16"/>
        </w:rPr>
        <w:t xml:space="preserve">prisoners  were  hunger  striking  at  the  time  against  brutal  conditions at Ireland’s </w:t>
      </w:r>
      <w:r>
        <w:rPr>
          <w:color w:val="231F20"/>
          <w:spacing w:val="1"/>
          <w:sz w:val="16"/>
        </w:rPr>
        <w:t xml:space="preserve">Maximum Security </w:t>
      </w:r>
      <w:r>
        <w:rPr>
          <w:color w:val="231F20"/>
          <w:sz w:val="16"/>
        </w:rPr>
        <w:t>Portlaoise prison. The strike lasted forty-seven days before</w:t>
      </w:r>
      <w:r>
        <w:rPr>
          <w:color w:val="231F20"/>
          <w:spacing w:val="13"/>
          <w:sz w:val="16"/>
        </w:rPr>
        <w:t xml:space="preserve"> </w:t>
      </w:r>
      <w:r>
        <w:rPr>
          <w:color w:val="231F20"/>
          <w:sz w:val="16"/>
        </w:rPr>
        <w:t>it</w:t>
      </w:r>
      <w:r>
        <w:rPr>
          <w:color w:val="231F20"/>
          <w:spacing w:val="13"/>
          <w:sz w:val="16"/>
        </w:rPr>
        <w:t xml:space="preserve"> </w:t>
      </w:r>
      <w:r>
        <w:rPr>
          <w:color w:val="231F20"/>
          <w:sz w:val="16"/>
        </w:rPr>
        <w:t>was</w:t>
      </w:r>
      <w:r>
        <w:rPr>
          <w:color w:val="231F20"/>
          <w:spacing w:val="13"/>
          <w:sz w:val="16"/>
        </w:rPr>
        <w:t xml:space="preserve"> </w:t>
      </w:r>
      <w:r>
        <w:rPr>
          <w:color w:val="231F20"/>
          <w:sz w:val="16"/>
        </w:rPr>
        <w:t>ended</w:t>
      </w:r>
      <w:r>
        <w:rPr>
          <w:color w:val="231F20"/>
          <w:spacing w:val="13"/>
          <w:sz w:val="16"/>
        </w:rPr>
        <w:t xml:space="preserve"> </w:t>
      </w:r>
      <w:r>
        <w:rPr>
          <w:color w:val="231F20"/>
          <w:sz w:val="16"/>
        </w:rPr>
        <w:t>by</w:t>
      </w:r>
      <w:r>
        <w:rPr>
          <w:color w:val="231F20"/>
          <w:spacing w:val="13"/>
          <w:sz w:val="16"/>
        </w:rPr>
        <w:t xml:space="preserve"> </w:t>
      </w:r>
      <w:r>
        <w:rPr>
          <w:color w:val="231F20"/>
          <w:sz w:val="16"/>
        </w:rPr>
        <w:t>the</w:t>
      </w:r>
      <w:r>
        <w:rPr>
          <w:color w:val="231F20"/>
          <w:spacing w:val="13"/>
          <w:sz w:val="16"/>
        </w:rPr>
        <w:t xml:space="preserve"> </w:t>
      </w:r>
      <w:r>
        <w:rPr>
          <w:color w:val="231F20"/>
          <w:sz w:val="16"/>
        </w:rPr>
        <w:t>intervention</w:t>
      </w:r>
      <w:r>
        <w:rPr>
          <w:color w:val="231F20"/>
          <w:spacing w:val="13"/>
          <w:sz w:val="16"/>
        </w:rPr>
        <w:t xml:space="preserve"> </w:t>
      </w:r>
      <w:r>
        <w:rPr>
          <w:color w:val="231F20"/>
          <w:sz w:val="16"/>
        </w:rPr>
        <w:t>of</w:t>
      </w:r>
      <w:r>
        <w:rPr>
          <w:color w:val="231F20"/>
          <w:spacing w:val="13"/>
          <w:sz w:val="16"/>
        </w:rPr>
        <w:t xml:space="preserve"> </w:t>
      </w:r>
      <w:r>
        <w:rPr>
          <w:color w:val="231F20"/>
          <w:sz w:val="16"/>
        </w:rPr>
        <w:t>the</w:t>
      </w:r>
      <w:r>
        <w:rPr>
          <w:color w:val="231F20"/>
          <w:spacing w:val="13"/>
          <w:sz w:val="16"/>
        </w:rPr>
        <w:t xml:space="preserve"> </w:t>
      </w:r>
      <w:r>
        <w:rPr>
          <w:color w:val="231F20"/>
          <w:sz w:val="16"/>
        </w:rPr>
        <w:t>Catholic</w:t>
      </w:r>
      <w:r>
        <w:rPr>
          <w:color w:val="231F20"/>
          <w:spacing w:val="13"/>
          <w:sz w:val="16"/>
        </w:rPr>
        <w:t xml:space="preserve"> </w:t>
      </w:r>
      <w:r>
        <w:rPr>
          <w:color w:val="231F20"/>
          <w:sz w:val="16"/>
        </w:rPr>
        <w:t>hierarchy.</w:t>
      </w:r>
    </w:p>
    <w:p w14:paraId="31D477AD" w14:textId="77777777" w:rsidR="002653E8" w:rsidRDefault="003115E3">
      <w:pPr>
        <w:pStyle w:val="a4"/>
        <w:numPr>
          <w:ilvl w:val="0"/>
          <w:numId w:val="56"/>
        </w:numPr>
        <w:tabs>
          <w:tab w:val="left" w:pos="1467"/>
        </w:tabs>
        <w:spacing w:line="254" w:lineRule="auto"/>
        <w:ind w:left="1327" w:right="1294" w:firstLine="1"/>
        <w:rPr>
          <w:sz w:val="16"/>
        </w:rPr>
      </w:pPr>
      <w:r>
        <w:rPr>
          <w:color w:val="231F20"/>
          <w:w w:val="105"/>
          <w:sz w:val="16"/>
        </w:rPr>
        <w:t xml:space="preserve">The ETA is the Basque separatist guerilla. At the time, there was a mass militant movement demanding </w:t>
      </w:r>
      <w:r>
        <w:rPr>
          <w:color w:val="231F20"/>
          <w:spacing w:val="1"/>
          <w:w w:val="105"/>
          <w:sz w:val="16"/>
        </w:rPr>
        <w:t xml:space="preserve">amnesty </w:t>
      </w:r>
      <w:r>
        <w:rPr>
          <w:color w:val="231F20"/>
          <w:w w:val="105"/>
          <w:sz w:val="16"/>
        </w:rPr>
        <w:t>for hundreds of Basque and antifascist political prisoners in Spain, many of whom had been incarcerated due to their activities against the fascist Franco</w:t>
      </w:r>
      <w:r>
        <w:rPr>
          <w:color w:val="231F20"/>
          <w:spacing w:val="32"/>
          <w:w w:val="105"/>
          <w:sz w:val="16"/>
        </w:rPr>
        <w:t xml:space="preserve"> </w:t>
      </w:r>
      <w:r>
        <w:rPr>
          <w:color w:val="231F20"/>
          <w:w w:val="105"/>
          <w:sz w:val="16"/>
        </w:rPr>
        <w:t>dictatorship.</w:t>
      </w:r>
    </w:p>
    <w:p w14:paraId="3F0004FC" w14:textId="77777777" w:rsidR="002653E8" w:rsidRDefault="002653E8">
      <w:pPr>
        <w:spacing w:line="254" w:lineRule="auto"/>
        <w:rPr>
          <w:sz w:val="16"/>
        </w:rPr>
        <w:sectPr w:rsidR="002653E8">
          <w:pgSz w:w="8640" w:h="12960"/>
          <w:pgMar w:top="1060" w:right="0" w:bottom="1040" w:left="0" w:header="0" w:footer="850" w:gutter="0"/>
          <w:cols w:space="720"/>
        </w:sectPr>
      </w:pPr>
    </w:p>
    <w:p w14:paraId="7ECC08EA" w14:textId="77777777" w:rsidR="002653E8" w:rsidRDefault="003115E3">
      <w:pPr>
        <w:pStyle w:val="4"/>
        <w:spacing w:line="273" w:lineRule="auto"/>
        <w:ind w:left="2715" w:right="2892"/>
        <w:jc w:val="center"/>
      </w:pPr>
      <w:bookmarkStart w:id="240" w:name="The_Assassination_of_Attorney_General_Si"/>
      <w:bookmarkStart w:id="241" w:name="_bookmark72"/>
      <w:bookmarkEnd w:id="240"/>
      <w:bookmarkEnd w:id="241"/>
      <w:r>
        <w:rPr>
          <w:color w:val="231F20"/>
          <w:w w:val="105"/>
        </w:rPr>
        <w:lastRenderedPageBreak/>
        <w:t>The Assassination of Attorney General</w:t>
      </w:r>
      <w:r>
        <w:rPr>
          <w:color w:val="231F20"/>
          <w:w w:val="104"/>
        </w:rPr>
        <w:t xml:space="preserve"> </w:t>
      </w:r>
      <w:r>
        <w:rPr>
          <w:color w:val="231F20"/>
          <w:w w:val="105"/>
        </w:rPr>
        <w:t>Siegfried Buback</w:t>
      </w:r>
    </w:p>
    <w:p w14:paraId="747F033F" w14:textId="77777777" w:rsidR="002653E8" w:rsidRDefault="002653E8">
      <w:pPr>
        <w:pStyle w:val="a3"/>
        <w:spacing w:before="8"/>
        <w:rPr>
          <w:rFonts w:ascii="Bookman Old Style"/>
          <w:sz w:val="36"/>
        </w:rPr>
      </w:pPr>
    </w:p>
    <w:p w14:paraId="47AC8D09" w14:textId="77777777" w:rsidR="002653E8" w:rsidRDefault="003115E3">
      <w:pPr>
        <w:pStyle w:val="a3"/>
        <w:spacing w:line="264" w:lineRule="auto"/>
        <w:ind w:left="1147" w:right="1580"/>
      </w:pPr>
      <w:r>
        <w:rPr>
          <w:color w:val="231F20"/>
        </w:rPr>
        <w:t xml:space="preserve">For “protagonists of the system” like Buback, history always finds  a </w:t>
      </w:r>
      <w:r>
        <w:rPr>
          <w:color w:val="231F20"/>
          <w:spacing w:val="-9"/>
        </w:rPr>
        <w:t>way.</w:t>
      </w:r>
    </w:p>
    <w:p w14:paraId="41AB6391" w14:textId="6F694E82" w:rsidR="002653E8" w:rsidRDefault="003115E3">
      <w:pPr>
        <w:pStyle w:val="a3"/>
        <w:spacing w:line="264" w:lineRule="auto"/>
        <w:ind w:left="1147" w:right="1326" w:firstLine="210"/>
        <w:jc w:val="both"/>
      </w:pPr>
      <w:r>
        <w:rPr>
          <w:color w:val="231F20"/>
          <w:w w:val="105"/>
        </w:rPr>
        <w:t xml:space="preserve">On April </w:t>
      </w:r>
      <w:r>
        <w:rPr>
          <w:color w:val="231F20"/>
          <w:spacing w:val="-8"/>
          <w:w w:val="105"/>
        </w:rPr>
        <w:t xml:space="preserve">7, </w:t>
      </w:r>
      <w:r>
        <w:rPr>
          <w:color w:val="231F20"/>
          <w:spacing w:val="-6"/>
          <w:w w:val="105"/>
        </w:rPr>
        <w:t xml:space="preserve">1977, </w:t>
      </w:r>
      <w:r>
        <w:rPr>
          <w:color w:val="231F20"/>
          <w:w w:val="105"/>
        </w:rPr>
        <w:t>the Ulrike Meinhof Commando executed Attorney General Siegfried Buback.</w:t>
      </w:r>
    </w:p>
    <w:p w14:paraId="67178E96" w14:textId="77777777" w:rsidR="002653E8" w:rsidRDefault="003115E3">
      <w:pPr>
        <w:pStyle w:val="a3"/>
        <w:spacing w:line="264" w:lineRule="auto"/>
        <w:ind w:left="1147" w:right="1326" w:firstLine="210"/>
        <w:jc w:val="both"/>
      </w:pPr>
      <w:r>
        <w:rPr>
          <w:color w:val="231F20"/>
        </w:rPr>
        <w:t>Buback was directly responsible for the murders of Holger Meins, Siegfried Hausner, and Ulrike Meinhof. In his function as Attorney General—as the central figure connecting and coordinating matters between the justice system and the West German news services, in close cooperation with the CIA and the NATO Security Committee—he stage-managed and directed their murders.</w:t>
      </w:r>
    </w:p>
    <w:p w14:paraId="0DC5F353" w14:textId="77777777" w:rsidR="002653E8" w:rsidRDefault="003115E3">
      <w:pPr>
        <w:pStyle w:val="a3"/>
        <w:spacing w:line="264" w:lineRule="auto"/>
        <w:ind w:left="1147" w:right="1325" w:firstLine="210"/>
        <w:jc w:val="both"/>
      </w:pPr>
      <w:r>
        <w:rPr>
          <w:color w:val="231F20"/>
        </w:rPr>
        <w:t xml:space="preserve">Under Buback’s regime, Holger was intentionally murdered on November 9, </w:t>
      </w:r>
      <w:r>
        <w:rPr>
          <w:color w:val="231F20"/>
          <w:spacing w:val="-6"/>
        </w:rPr>
        <w:t xml:space="preserve">1974, </w:t>
      </w:r>
      <w:r>
        <w:rPr>
          <w:color w:val="231F20"/>
        </w:rPr>
        <w:t xml:space="preserve">by systematic undernourishment and the con scious manipulation of the transportation schedules from Wittlich to Stammheim. The </w:t>
      </w:r>
      <w:r>
        <w:rPr>
          <w:color w:val="231F20"/>
          <w:spacing w:val="-6"/>
        </w:rPr>
        <w:t xml:space="preserve">BAW  </w:t>
      </w:r>
      <w:r>
        <w:rPr>
          <w:color w:val="231F20"/>
        </w:rPr>
        <w:t>calculated that they could use the execution of    a cadre to break the prisoners’ collective hunger strike against exterminationist prison conditions, after the attempt to kill Andreas through  the manipulation of force-feeding failed due to the mobilization of public</w:t>
      </w:r>
      <w:r>
        <w:rPr>
          <w:color w:val="231F20"/>
          <w:spacing w:val="10"/>
        </w:rPr>
        <w:t xml:space="preserve"> </w:t>
      </w:r>
      <w:r>
        <w:rPr>
          <w:color w:val="231F20"/>
        </w:rPr>
        <w:t>pressure.</w:t>
      </w:r>
    </w:p>
    <w:p w14:paraId="7E148107" w14:textId="77777777" w:rsidR="002653E8" w:rsidRDefault="003115E3">
      <w:pPr>
        <w:pStyle w:val="a3"/>
        <w:spacing w:line="264" w:lineRule="auto"/>
        <w:ind w:left="1147" w:right="1325" w:firstLine="210"/>
        <w:jc w:val="both"/>
      </w:pPr>
      <w:r>
        <w:rPr>
          <w:color w:val="231F20"/>
        </w:rPr>
        <w:t xml:space="preserve">Under Buback’s regime, Siegfried, who had led the Holger Meins Commando, was murdered on May </w:t>
      </w:r>
      <w:r>
        <w:rPr>
          <w:color w:val="231F20"/>
          <w:spacing w:val="-4"/>
        </w:rPr>
        <w:t xml:space="preserve">5, </w:t>
      </w:r>
      <w:r>
        <w:rPr>
          <w:color w:val="231F20"/>
          <w:spacing w:val="-6"/>
        </w:rPr>
        <w:t xml:space="preserve">1975, </w:t>
      </w:r>
      <w:r>
        <w:rPr>
          <w:color w:val="231F20"/>
        </w:rPr>
        <w:t xml:space="preserve">as the </w:t>
      </w:r>
      <w:r>
        <w:rPr>
          <w:color w:val="231F20"/>
          <w:spacing w:val="2"/>
        </w:rPr>
        <w:t xml:space="preserve">MEK </w:t>
      </w:r>
      <w:r>
        <w:rPr>
          <w:color w:val="231F20"/>
        </w:rPr>
        <w:t>(</w:t>
      </w:r>
      <w:r>
        <w:rPr>
          <w:i/>
          <w:color w:val="231F20"/>
        </w:rPr>
        <w:t>Mobiles Einsatzkommandos</w:t>
      </w:r>
      <w:r>
        <w:rPr>
          <w:color w:val="231F20"/>
        </w:rPr>
        <w:t xml:space="preserve">) detonated the explosives at the German Embassy  in Stockholm. While he was under the exclusive jurisdiction  of  the  </w:t>
      </w:r>
      <w:r>
        <w:rPr>
          <w:color w:val="231F20"/>
          <w:spacing w:val="-6"/>
        </w:rPr>
        <w:t xml:space="preserve">BAW </w:t>
      </w:r>
      <w:r>
        <w:rPr>
          <w:color w:val="231F20"/>
        </w:rPr>
        <w:t xml:space="preserve">and the </w:t>
      </w:r>
      <w:r>
        <w:rPr>
          <w:color w:val="231F20"/>
          <w:spacing w:val="2"/>
        </w:rPr>
        <w:t xml:space="preserve">BKA, </w:t>
      </w:r>
      <w:r>
        <w:rPr>
          <w:color w:val="231F20"/>
        </w:rPr>
        <w:t>he was delivered to the FRG and his life was put in danger as he was transported to Stuttgart-Stammheim, thereby assuring his</w:t>
      </w:r>
      <w:r>
        <w:rPr>
          <w:color w:val="231F20"/>
          <w:spacing w:val="21"/>
        </w:rPr>
        <w:t xml:space="preserve"> </w:t>
      </w:r>
      <w:r>
        <w:rPr>
          <w:color w:val="231F20"/>
        </w:rPr>
        <w:t>death.</w:t>
      </w:r>
    </w:p>
    <w:p w14:paraId="73A6ED7D" w14:textId="77777777" w:rsidR="002653E8" w:rsidRDefault="003115E3">
      <w:pPr>
        <w:pStyle w:val="a3"/>
        <w:spacing w:line="264" w:lineRule="auto"/>
        <w:ind w:left="1148" w:right="1326" w:firstLine="210"/>
        <w:jc w:val="both"/>
      </w:pPr>
      <w:r>
        <w:rPr>
          <w:color w:val="231F20"/>
        </w:rPr>
        <w:t>Under Buback’s regime, Ulrike was executed in a state security action on May 9, 1976. Her death was staged as a suicide to make the politics that Ulrike had struggled for seem senseless.</w:t>
      </w:r>
    </w:p>
    <w:p w14:paraId="65F1CFAA" w14:textId="77777777" w:rsidR="002653E8" w:rsidRDefault="003115E3">
      <w:pPr>
        <w:pStyle w:val="a3"/>
        <w:spacing w:line="264" w:lineRule="auto"/>
        <w:ind w:left="1148" w:right="1325" w:firstLine="209"/>
        <w:jc w:val="both"/>
      </w:pPr>
      <w:r>
        <w:rPr>
          <w:color w:val="231F20"/>
        </w:rPr>
        <w:t xml:space="preserve">The murder was an execution; it followed the </w:t>
      </w:r>
      <w:r>
        <w:rPr>
          <w:color w:val="231F20"/>
          <w:spacing w:val="-5"/>
        </w:rPr>
        <w:t xml:space="preserve">BAW’s </w:t>
      </w:r>
      <w:r>
        <w:rPr>
          <w:color w:val="231F20"/>
        </w:rPr>
        <w:t>attempt to render Ulrike a cretin through a forced neuro-surgical operation, after which she was to be presented—destroyed—at the Stammheim trial,   so as to condemn armed resistance as an illness. This project was prevented by international</w:t>
      </w:r>
      <w:r>
        <w:rPr>
          <w:color w:val="231F20"/>
          <w:spacing w:val="30"/>
        </w:rPr>
        <w:t xml:space="preserve"> </w:t>
      </w:r>
      <w:r>
        <w:rPr>
          <w:color w:val="231F20"/>
        </w:rPr>
        <w:t>protests.</w:t>
      </w:r>
    </w:p>
    <w:p w14:paraId="08B8A552" w14:textId="77777777" w:rsidR="002653E8" w:rsidRDefault="002653E8">
      <w:pPr>
        <w:spacing w:line="264" w:lineRule="auto"/>
        <w:jc w:val="both"/>
        <w:sectPr w:rsidR="002653E8">
          <w:footerReference w:type="even" r:id="rId411"/>
          <w:footerReference w:type="default" r:id="rId412"/>
          <w:pgSz w:w="8640" w:h="12960"/>
          <w:pgMar w:top="1220" w:right="0" w:bottom="1040" w:left="0" w:header="0" w:footer="850" w:gutter="0"/>
          <w:cols w:space="720"/>
        </w:sectPr>
      </w:pPr>
    </w:p>
    <w:p w14:paraId="2EAAF83B" w14:textId="77777777" w:rsidR="002653E8" w:rsidRDefault="003115E3">
      <w:pPr>
        <w:pStyle w:val="a3"/>
        <w:spacing w:before="86"/>
        <w:ind w:left="1537"/>
      </w:pPr>
      <w:r>
        <w:rPr>
          <w:color w:val="231F20"/>
        </w:rPr>
        <w:lastRenderedPageBreak/>
        <w:t>The timing of her murder was precisely calculated:</w:t>
      </w:r>
    </w:p>
    <w:p w14:paraId="7001C72C" w14:textId="77777777" w:rsidR="002653E8" w:rsidRDefault="003115E3">
      <w:pPr>
        <w:pStyle w:val="a4"/>
        <w:numPr>
          <w:ilvl w:val="1"/>
          <w:numId w:val="56"/>
        </w:numPr>
        <w:tabs>
          <w:tab w:val="left" w:pos="1824"/>
        </w:tabs>
        <w:spacing w:before="150" w:line="261" w:lineRule="auto"/>
        <w:ind w:right="1263"/>
        <w:rPr>
          <w:sz w:val="20"/>
        </w:rPr>
      </w:pPr>
      <w:r>
        <w:rPr>
          <w:color w:val="231F20"/>
          <w:sz w:val="20"/>
        </w:rPr>
        <w:t xml:space="preserve">before the decisive initiative in the trial, the defense motion that would have explained the </w:t>
      </w:r>
      <w:r>
        <w:rPr>
          <w:color w:val="231F20"/>
          <w:spacing w:val="-4"/>
          <w:sz w:val="20"/>
        </w:rPr>
        <w:t xml:space="preserve">1972 </w:t>
      </w:r>
      <w:r w:rsidR="00C507A5">
        <w:rPr>
          <w:color w:val="231F20"/>
          <w:spacing w:val="5"/>
          <w:sz w:val="20"/>
        </w:rPr>
        <w:t>red army faction</w:t>
      </w:r>
      <w:r>
        <w:rPr>
          <w:color w:val="231F20"/>
          <w:spacing w:val="5"/>
          <w:sz w:val="20"/>
        </w:rPr>
        <w:t xml:space="preserve"> </w:t>
      </w:r>
      <w:r>
        <w:rPr>
          <w:color w:val="231F20"/>
          <w:sz w:val="20"/>
        </w:rPr>
        <w:t xml:space="preserve">attacks against the </w:t>
      </w:r>
      <w:r>
        <w:rPr>
          <w:color w:val="231F20"/>
          <w:spacing w:val="1"/>
          <w:sz w:val="20"/>
        </w:rPr>
        <w:t xml:space="preserve">U.S. </w:t>
      </w:r>
      <w:r>
        <w:rPr>
          <w:color w:val="231F20"/>
          <w:sz w:val="20"/>
        </w:rPr>
        <w:t xml:space="preserve">Headquarters in Frankfurt and Heidelberg in light of the </w:t>
      </w:r>
      <w:r>
        <w:rPr>
          <w:color w:val="231F20"/>
          <w:spacing w:val="-5"/>
          <w:sz w:val="20"/>
        </w:rPr>
        <w:t xml:space="preserve">FRG’s </w:t>
      </w:r>
      <w:r>
        <w:rPr>
          <w:color w:val="231F20"/>
          <w:sz w:val="20"/>
        </w:rPr>
        <w:t>participation in the U.S.A.’s aggressive human rights violations  in</w:t>
      </w:r>
      <w:r>
        <w:rPr>
          <w:color w:val="231F20"/>
          <w:spacing w:val="10"/>
          <w:sz w:val="20"/>
        </w:rPr>
        <w:t xml:space="preserve"> </w:t>
      </w:r>
      <w:r>
        <w:rPr>
          <w:color w:val="231F20"/>
          <w:sz w:val="20"/>
        </w:rPr>
        <w:t>Vietnam;</w:t>
      </w:r>
    </w:p>
    <w:p w14:paraId="0F42D7BA" w14:textId="77777777" w:rsidR="002653E8" w:rsidRDefault="003115E3">
      <w:pPr>
        <w:pStyle w:val="a4"/>
        <w:numPr>
          <w:ilvl w:val="1"/>
          <w:numId w:val="56"/>
        </w:numPr>
        <w:tabs>
          <w:tab w:val="left" w:pos="1825"/>
        </w:tabs>
        <w:spacing w:before="2" w:line="261" w:lineRule="auto"/>
        <w:ind w:left="1824" w:right="1409" w:hanging="241"/>
        <w:rPr>
          <w:sz w:val="20"/>
        </w:rPr>
      </w:pPr>
      <w:r>
        <w:rPr>
          <w:color w:val="231F20"/>
          <w:sz w:val="20"/>
        </w:rPr>
        <w:t>before Ulrike could be called as a witness in the Holger Meins Commando’s Düsseldorf trial, where she would have testified about the very extreme form of torture that they used against her</w:t>
      </w:r>
      <w:r>
        <w:rPr>
          <w:color w:val="231F20"/>
          <w:spacing w:val="10"/>
          <w:sz w:val="20"/>
        </w:rPr>
        <w:t xml:space="preserve"> </w:t>
      </w:r>
      <w:r>
        <w:rPr>
          <w:color w:val="231F20"/>
          <w:sz w:val="20"/>
        </w:rPr>
        <w:t>for</w:t>
      </w:r>
      <w:r>
        <w:rPr>
          <w:color w:val="231F20"/>
          <w:spacing w:val="10"/>
          <w:sz w:val="20"/>
        </w:rPr>
        <w:t xml:space="preserve"> </w:t>
      </w:r>
      <w:r>
        <w:rPr>
          <w:color w:val="231F20"/>
          <w:sz w:val="20"/>
        </w:rPr>
        <w:t>8</w:t>
      </w:r>
      <w:r>
        <w:rPr>
          <w:color w:val="231F20"/>
          <w:spacing w:val="10"/>
          <w:sz w:val="20"/>
        </w:rPr>
        <w:t xml:space="preserve"> </w:t>
      </w:r>
      <w:r>
        <w:rPr>
          <w:color w:val="231F20"/>
          <w:sz w:val="20"/>
        </w:rPr>
        <w:t>months</w:t>
      </w:r>
      <w:r>
        <w:rPr>
          <w:color w:val="231F20"/>
          <w:spacing w:val="10"/>
          <w:sz w:val="20"/>
        </w:rPr>
        <w:t xml:space="preserve"> </w:t>
      </w:r>
      <w:r>
        <w:rPr>
          <w:color w:val="231F20"/>
          <w:sz w:val="20"/>
        </w:rPr>
        <w:t>in</w:t>
      </w:r>
      <w:r>
        <w:rPr>
          <w:color w:val="231F20"/>
          <w:spacing w:val="10"/>
          <w:sz w:val="20"/>
        </w:rPr>
        <w:t xml:space="preserve"> </w:t>
      </w:r>
      <w:r>
        <w:rPr>
          <w:color w:val="231F20"/>
          <w:sz w:val="20"/>
        </w:rPr>
        <w:t>the</w:t>
      </w:r>
      <w:r>
        <w:rPr>
          <w:color w:val="231F20"/>
          <w:spacing w:val="10"/>
          <w:sz w:val="20"/>
        </w:rPr>
        <w:t xml:space="preserve"> </w:t>
      </w:r>
      <w:r>
        <w:rPr>
          <w:color w:val="231F20"/>
          <w:sz w:val="20"/>
        </w:rPr>
        <w:t>dead</w:t>
      </w:r>
      <w:r>
        <w:rPr>
          <w:color w:val="231F20"/>
          <w:spacing w:val="10"/>
          <w:sz w:val="20"/>
        </w:rPr>
        <w:t xml:space="preserve"> </w:t>
      </w:r>
      <w:r>
        <w:rPr>
          <w:color w:val="231F20"/>
          <w:sz w:val="20"/>
        </w:rPr>
        <w:t>wings;</w:t>
      </w:r>
    </w:p>
    <w:p w14:paraId="125AAE0D" w14:textId="77777777" w:rsidR="002653E8" w:rsidRDefault="003115E3">
      <w:pPr>
        <w:pStyle w:val="a4"/>
        <w:numPr>
          <w:ilvl w:val="1"/>
          <w:numId w:val="56"/>
        </w:numPr>
        <w:tabs>
          <w:tab w:val="left" w:pos="1825"/>
        </w:tabs>
        <w:spacing w:before="2" w:line="261" w:lineRule="auto"/>
        <w:ind w:right="1197"/>
        <w:rPr>
          <w:sz w:val="20"/>
        </w:rPr>
      </w:pPr>
      <w:r>
        <w:rPr>
          <w:color w:val="231F20"/>
          <w:sz w:val="20"/>
        </w:rPr>
        <w:t>before her sentencing—at which point critical international public opinion, which had developed as a result of the Stammheim show trial and the cynical use of  imperialist  violence,  would have been informed of the role of the federal government and its executive organs. This would have caused all of this to rebound against</w:t>
      </w:r>
      <w:r>
        <w:rPr>
          <w:color w:val="231F20"/>
          <w:spacing w:val="10"/>
          <w:sz w:val="20"/>
        </w:rPr>
        <w:t xml:space="preserve"> </w:t>
      </w:r>
      <w:r>
        <w:rPr>
          <w:color w:val="231F20"/>
          <w:sz w:val="20"/>
        </w:rPr>
        <w:t>them.</w:t>
      </w:r>
    </w:p>
    <w:p w14:paraId="3BD3D408" w14:textId="77777777" w:rsidR="002653E8" w:rsidRDefault="003115E3">
      <w:pPr>
        <w:pStyle w:val="a3"/>
        <w:spacing w:before="145" w:line="264" w:lineRule="auto"/>
        <w:ind w:left="1327" w:right="1145"/>
        <w:jc w:val="both"/>
      </w:pPr>
      <w:r>
        <w:rPr>
          <w:color w:val="231F20"/>
        </w:rPr>
        <w:t xml:space="preserve">Ulrike’s history, in a </w:t>
      </w:r>
      <w:r>
        <w:rPr>
          <w:color w:val="231F20"/>
          <w:spacing w:val="-2"/>
        </w:rPr>
        <w:t xml:space="preserve">way  </w:t>
      </w:r>
      <w:r>
        <w:rPr>
          <w:color w:val="231F20"/>
        </w:rPr>
        <w:t xml:space="preserve">that is clearer than that of many combatants,  is a history of resistance. For the revolutionary movement, she embodied an ideological vanguard function, which was the target of Buback’s showpiece, the simulated suicide: her death—which the </w:t>
      </w:r>
      <w:r>
        <w:rPr>
          <w:color w:val="231F20"/>
          <w:spacing w:val="-6"/>
        </w:rPr>
        <w:t xml:space="preserve">BAW </w:t>
      </w:r>
      <w:r>
        <w:rPr>
          <w:color w:val="231F20"/>
        </w:rPr>
        <w:t xml:space="preserve">used in propaganda to show the “failure” of armed struggle—was meant to destroy the </w:t>
      </w:r>
      <w:r>
        <w:rPr>
          <w:color w:val="231F20"/>
          <w:spacing w:val="-3"/>
        </w:rPr>
        <w:t xml:space="preserve">group’s </w:t>
      </w:r>
      <w:r>
        <w:rPr>
          <w:color w:val="231F20"/>
        </w:rPr>
        <w:t xml:space="preserve">moral stature, its struggle, and its impact. The </w:t>
      </w:r>
      <w:r>
        <w:rPr>
          <w:color w:val="231F20"/>
          <w:spacing w:val="-5"/>
        </w:rPr>
        <w:t xml:space="preserve">BAW’s </w:t>
      </w:r>
      <w:r>
        <w:rPr>
          <w:color w:val="231F20"/>
        </w:rPr>
        <w:t xml:space="preserve">approach, which they have followed since 71 with manhunts and operations conducted against the </w:t>
      </w:r>
      <w:r w:rsidR="00C507A5">
        <w:rPr>
          <w:color w:val="231F20"/>
        </w:rPr>
        <w:t>red army faction</w:t>
      </w:r>
      <w:r>
        <w:rPr>
          <w:color w:val="231F20"/>
        </w:rPr>
        <w:t xml:space="preserve">, follows the counterinsurgency strategy of the </w:t>
      </w:r>
      <w:r>
        <w:rPr>
          <w:color w:val="231F20"/>
          <w:spacing w:val="-3"/>
        </w:rPr>
        <w:t xml:space="preserve">NATO </w:t>
      </w:r>
      <w:r>
        <w:rPr>
          <w:color w:val="231F20"/>
        </w:rPr>
        <w:t>Security Committee: criminalization of revolutionary resistance—for which the tactical steps are infiltration, disrupting solidarity,</w:t>
      </w:r>
      <w:r>
        <w:rPr>
          <w:color w:val="231F20"/>
          <w:spacing w:val="11"/>
        </w:rPr>
        <w:t xml:space="preserve"> </w:t>
      </w:r>
      <w:r>
        <w:rPr>
          <w:color w:val="231F20"/>
        </w:rPr>
        <w:t>isolating</w:t>
      </w:r>
      <w:r>
        <w:rPr>
          <w:color w:val="231F20"/>
          <w:spacing w:val="11"/>
        </w:rPr>
        <w:t xml:space="preserve"> </w:t>
      </w:r>
      <w:r>
        <w:rPr>
          <w:color w:val="231F20"/>
        </w:rPr>
        <w:t>the</w:t>
      </w:r>
      <w:r>
        <w:rPr>
          <w:color w:val="231F20"/>
          <w:spacing w:val="11"/>
        </w:rPr>
        <w:t xml:space="preserve"> </w:t>
      </w:r>
      <w:r>
        <w:rPr>
          <w:color w:val="231F20"/>
        </w:rPr>
        <w:t>guerilla,</w:t>
      </w:r>
      <w:r>
        <w:rPr>
          <w:color w:val="231F20"/>
          <w:spacing w:val="11"/>
        </w:rPr>
        <w:t xml:space="preserve"> </w:t>
      </w:r>
      <w:r>
        <w:rPr>
          <w:color w:val="231F20"/>
        </w:rPr>
        <w:t>and</w:t>
      </w:r>
      <w:r>
        <w:rPr>
          <w:color w:val="231F20"/>
          <w:spacing w:val="11"/>
        </w:rPr>
        <w:t xml:space="preserve"> </w:t>
      </w:r>
      <w:r>
        <w:rPr>
          <w:color w:val="231F20"/>
        </w:rPr>
        <w:t>eliminating</w:t>
      </w:r>
      <w:r>
        <w:rPr>
          <w:color w:val="231F20"/>
          <w:spacing w:val="11"/>
        </w:rPr>
        <w:t xml:space="preserve"> </w:t>
      </w:r>
      <w:r>
        <w:rPr>
          <w:color w:val="231F20"/>
        </w:rPr>
        <w:t>its</w:t>
      </w:r>
      <w:r>
        <w:rPr>
          <w:color w:val="231F20"/>
          <w:spacing w:val="11"/>
        </w:rPr>
        <w:t xml:space="preserve"> </w:t>
      </w:r>
      <w:r>
        <w:rPr>
          <w:color w:val="231F20"/>
        </w:rPr>
        <w:t>leadership.</w:t>
      </w:r>
    </w:p>
    <w:p w14:paraId="487A104C" w14:textId="77777777" w:rsidR="002653E8" w:rsidRDefault="003115E3">
      <w:pPr>
        <w:pStyle w:val="a3"/>
        <w:spacing w:line="264" w:lineRule="auto"/>
        <w:ind w:left="1327" w:right="1146" w:firstLine="210"/>
        <w:jc w:val="both"/>
      </w:pPr>
      <w:r>
        <w:rPr>
          <w:color w:val="231F20"/>
        </w:rPr>
        <w:t>Within the imperialist FRG’s anti-guerilla counterstrategy, the  justice system is a weapon of war—used to pursue the guerilla operating underground and to exterminate the prisoners of war. Buback—whom Schmidt called “an energetic combatant” for this state—understood the conflict with us as a war and engaged in it as such: “I have lived through the war. This is a war using different means.”</w:t>
      </w:r>
    </w:p>
    <w:p w14:paraId="0DD001D7" w14:textId="77777777" w:rsidR="002653E8" w:rsidRDefault="003115E3">
      <w:pPr>
        <w:pStyle w:val="a3"/>
        <w:spacing w:line="264" w:lineRule="auto"/>
        <w:ind w:left="1327" w:right="1146" w:firstLine="209"/>
        <w:jc w:val="both"/>
      </w:pPr>
      <w:r>
        <w:rPr>
          <w:color w:val="231F20"/>
          <w:spacing w:val="-5"/>
        </w:rPr>
        <w:t>We</w:t>
      </w:r>
      <w:r>
        <w:rPr>
          <w:color w:val="231F20"/>
          <w:spacing w:val="-6"/>
        </w:rPr>
        <w:t xml:space="preserve"> </w:t>
      </w:r>
      <w:r>
        <w:rPr>
          <w:color w:val="231F20"/>
        </w:rPr>
        <w:t>will</w:t>
      </w:r>
      <w:r>
        <w:rPr>
          <w:color w:val="231F20"/>
          <w:spacing w:val="-6"/>
        </w:rPr>
        <w:t xml:space="preserve"> </w:t>
      </w:r>
      <w:r>
        <w:rPr>
          <w:color w:val="231F20"/>
        </w:rPr>
        <w:t>prevent</w:t>
      </w:r>
      <w:r>
        <w:rPr>
          <w:color w:val="231F20"/>
          <w:spacing w:val="-6"/>
        </w:rPr>
        <w:t xml:space="preserve"> </w:t>
      </w:r>
      <w:r>
        <w:rPr>
          <w:color w:val="231F20"/>
        </w:rPr>
        <w:t>the</w:t>
      </w:r>
      <w:r>
        <w:rPr>
          <w:color w:val="231F20"/>
          <w:spacing w:val="-6"/>
        </w:rPr>
        <w:t xml:space="preserve"> BAW </w:t>
      </w:r>
      <w:r>
        <w:rPr>
          <w:color w:val="231F20"/>
        </w:rPr>
        <w:t>from</w:t>
      </w:r>
      <w:r>
        <w:rPr>
          <w:color w:val="231F20"/>
          <w:spacing w:val="-6"/>
        </w:rPr>
        <w:t xml:space="preserve"> </w:t>
      </w:r>
      <w:r>
        <w:rPr>
          <w:color w:val="231F20"/>
        </w:rPr>
        <w:t>murdering</w:t>
      </w:r>
      <w:r>
        <w:rPr>
          <w:color w:val="231F20"/>
          <w:spacing w:val="-6"/>
        </w:rPr>
        <w:t xml:space="preserve"> </w:t>
      </w:r>
      <w:r>
        <w:rPr>
          <w:color w:val="231F20"/>
        </w:rPr>
        <w:t>our</w:t>
      </w:r>
      <w:r>
        <w:rPr>
          <w:color w:val="231F20"/>
          <w:spacing w:val="-6"/>
        </w:rPr>
        <w:t xml:space="preserve"> </w:t>
      </w:r>
      <w:r>
        <w:rPr>
          <w:color w:val="231F20"/>
        </w:rPr>
        <w:t>fighters</w:t>
      </w:r>
      <w:r>
        <w:rPr>
          <w:color w:val="231F20"/>
          <w:spacing w:val="-6"/>
        </w:rPr>
        <w:t xml:space="preserve"> </w:t>
      </w:r>
      <w:r>
        <w:rPr>
          <w:color w:val="231F20"/>
        </w:rPr>
        <w:t>in</w:t>
      </w:r>
      <w:r>
        <w:rPr>
          <w:color w:val="231F20"/>
          <w:spacing w:val="-6"/>
        </w:rPr>
        <w:t xml:space="preserve"> </w:t>
      </w:r>
      <w:r>
        <w:rPr>
          <w:color w:val="231F20"/>
          <w:spacing w:val="-3"/>
        </w:rPr>
        <w:t>West</w:t>
      </w:r>
      <w:r>
        <w:rPr>
          <w:color w:val="231F20"/>
          <w:spacing w:val="-6"/>
        </w:rPr>
        <w:t xml:space="preserve"> </w:t>
      </w:r>
      <w:r>
        <w:rPr>
          <w:color w:val="231F20"/>
        </w:rPr>
        <w:t xml:space="preserve">German prisons, which it intends to do simply because the prisoners will not stop struggling and the </w:t>
      </w:r>
      <w:r>
        <w:rPr>
          <w:color w:val="231F20"/>
          <w:spacing w:val="-6"/>
        </w:rPr>
        <w:t xml:space="preserve">BAW </w:t>
      </w:r>
      <w:r>
        <w:rPr>
          <w:color w:val="231F20"/>
        </w:rPr>
        <w:t>sees no solution except their</w:t>
      </w:r>
      <w:r>
        <w:rPr>
          <w:color w:val="231F20"/>
          <w:spacing w:val="10"/>
        </w:rPr>
        <w:t xml:space="preserve"> </w:t>
      </w:r>
      <w:r>
        <w:rPr>
          <w:color w:val="231F20"/>
        </w:rPr>
        <w:t>liquidation.</w:t>
      </w:r>
    </w:p>
    <w:p w14:paraId="7FE33A7E" w14:textId="77777777" w:rsidR="002653E8" w:rsidRDefault="003115E3">
      <w:pPr>
        <w:pStyle w:val="a3"/>
        <w:spacing w:line="264" w:lineRule="auto"/>
        <w:ind w:left="1327" w:right="1146" w:firstLine="210"/>
        <w:jc w:val="both"/>
      </w:pPr>
      <w:r>
        <w:rPr>
          <w:color w:val="231F20"/>
        </w:rPr>
        <w:t>We will prevent the BAW and the state security organs from retaliating against the imprisoned fighters for the actions of the guerilla outside.</w:t>
      </w:r>
    </w:p>
    <w:p w14:paraId="4B47E61D" w14:textId="77777777" w:rsidR="002653E8" w:rsidRDefault="002653E8">
      <w:pPr>
        <w:spacing w:line="264" w:lineRule="auto"/>
        <w:jc w:val="both"/>
        <w:sectPr w:rsidR="002653E8">
          <w:pgSz w:w="8640" w:h="12960"/>
          <w:pgMar w:top="1060" w:right="0" w:bottom="1040" w:left="0" w:header="0" w:footer="850" w:gutter="0"/>
          <w:cols w:space="720"/>
        </w:sectPr>
      </w:pPr>
    </w:p>
    <w:p w14:paraId="2053C792" w14:textId="77777777" w:rsidR="002653E8" w:rsidRDefault="003115E3">
      <w:pPr>
        <w:pStyle w:val="a3"/>
        <w:spacing w:before="86" w:line="264" w:lineRule="auto"/>
        <w:ind w:left="1148" w:right="1325" w:firstLine="209"/>
        <w:jc w:val="both"/>
      </w:pPr>
      <w:r>
        <w:rPr>
          <w:color w:val="231F20"/>
        </w:rPr>
        <w:lastRenderedPageBreak/>
        <w:t>We will prevent the BAW from using the prisoners’ fourth collective hunger strike for minimum human rights as an opportunity to murder Andreas, Gudrun, and Jan, which psychological warfare since Ulrike’s death has been openly promoting.</w:t>
      </w:r>
    </w:p>
    <w:p w14:paraId="491BE822" w14:textId="77777777" w:rsidR="002653E8" w:rsidRDefault="002653E8">
      <w:pPr>
        <w:pStyle w:val="a3"/>
        <w:spacing w:before="5"/>
        <w:rPr>
          <w:sz w:val="21"/>
        </w:rPr>
      </w:pPr>
    </w:p>
    <w:p w14:paraId="4EA52DC0" w14:textId="77777777" w:rsidR="002653E8" w:rsidRDefault="003115E3">
      <w:pPr>
        <w:pStyle w:val="a3"/>
        <w:spacing w:line="261" w:lineRule="auto"/>
        <w:ind w:left="1147" w:right="2437"/>
      </w:pPr>
      <w:r>
        <w:rPr>
          <w:color w:val="231F20"/>
          <w:w w:val="110"/>
        </w:rPr>
        <w:t>ORGANIZE THE ARMED RESISTANCE AND THE ANTI-IMPERIALIST FRONT IN WESTERN EUROPE.</w:t>
      </w:r>
    </w:p>
    <w:p w14:paraId="31D910F1" w14:textId="77777777" w:rsidR="002653E8" w:rsidRDefault="003115E3">
      <w:pPr>
        <w:pStyle w:val="a3"/>
        <w:spacing w:before="129" w:line="261" w:lineRule="auto"/>
        <w:ind w:left="1147" w:right="1580"/>
      </w:pPr>
      <w:r>
        <w:rPr>
          <w:color w:val="231F20"/>
          <w:w w:val="115"/>
        </w:rPr>
        <w:t>WAGE WAR IN THE METROPOLE AS PART OF THE INTERNATIONAL WAR OF LIBERATION.</w:t>
      </w:r>
    </w:p>
    <w:p w14:paraId="6F6BC07E" w14:textId="77777777" w:rsidR="002653E8" w:rsidRDefault="003115E3">
      <w:pPr>
        <w:pStyle w:val="a3"/>
        <w:spacing w:before="129"/>
        <w:ind w:left="1212" w:right="1326"/>
        <w:jc w:val="right"/>
      </w:pPr>
      <w:r>
        <w:rPr>
          <w:color w:val="231F20"/>
          <w:w w:val="105"/>
        </w:rPr>
        <w:t>Ulrike Meinhof Commando</w:t>
      </w:r>
    </w:p>
    <w:p w14:paraId="13C4A4E7" w14:textId="77777777" w:rsidR="002653E8" w:rsidRDefault="003115E3">
      <w:pPr>
        <w:pStyle w:val="a3"/>
        <w:spacing w:before="21"/>
        <w:ind w:left="1212" w:right="1325"/>
        <w:jc w:val="right"/>
      </w:pPr>
      <w:r>
        <w:rPr>
          <w:color w:val="231F20"/>
          <w:w w:val="105"/>
        </w:rPr>
        <w:t>April 7, 1977</w:t>
      </w:r>
    </w:p>
    <w:p w14:paraId="79F6E098" w14:textId="77777777" w:rsidR="002653E8" w:rsidRDefault="002653E8">
      <w:pPr>
        <w:jc w:val="right"/>
        <w:sectPr w:rsidR="002653E8">
          <w:footerReference w:type="even" r:id="rId413"/>
          <w:footerReference w:type="default" r:id="rId414"/>
          <w:pgSz w:w="8640" w:h="12960"/>
          <w:pgMar w:top="1060" w:right="0" w:bottom="1040" w:left="0" w:header="0" w:footer="850" w:gutter="0"/>
          <w:pgNumType w:start="492"/>
          <w:cols w:space="720"/>
        </w:sectPr>
      </w:pPr>
    </w:p>
    <w:p w14:paraId="0F132DA5" w14:textId="77777777" w:rsidR="002653E8" w:rsidRDefault="003115E3">
      <w:pPr>
        <w:pStyle w:val="4"/>
        <w:spacing w:line="273" w:lineRule="auto"/>
        <w:ind w:left="2484" w:right="2281" w:firstLine="309"/>
      </w:pPr>
      <w:bookmarkStart w:id="242" w:name="Statement_Calling_Off_the_Fourth_Hunger_"/>
      <w:bookmarkStart w:id="243" w:name="_bookmark73"/>
      <w:bookmarkEnd w:id="242"/>
      <w:bookmarkEnd w:id="243"/>
      <w:r>
        <w:rPr>
          <w:color w:val="231F20"/>
        </w:rPr>
        <w:lastRenderedPageBreak/>
        <w:t>Statement Calling Off the Fourth Hunger Strike</w:t>
      </w:r>
    </w:p>
    <w:p w14:paraId="6DCAC152" w14:textId="77777777" w:rsidR="002653E8" w:rsidRDefault="002653E8">
      <w:pPr>
        <w:pStyle w:val="a3"/>
        <w:spacing w:before="2"/>
        <w:rPr>
          <w:rFonts w:ascii="Bookman Old Style"/>
          <w:sz w:val="27"/>
        </w:rPr>
      </w:pPr>
    </w:p>
    <w:p w14:paraId="16675157" w14:textId="77777777" w:rsidR="002653E8" w:rsidRDefault="003115E3">
      <w:pPr>
        <w:pStyle w:val="a3"/>
        <w:spacing w:line="264" w:lineRule="auto"/>
        <w:ind w:left="1327" w:right="1145"/>
        <w:jc w:val="both"/>
      </w:pPr>
      <w:r>
        <w:rPr>
          <w:color w:val="231F20"/>
          <w:spacing w:val="1"/>
        </w:rPr>
        <w:t xml:space="preserve">In </w:t>
      </w:r>
      <w:r>
        <w:rPr>
          <w:color w:val="231F20"/>
        </w:rPr>
        <w:t xml:space="preserve">recent days, all efforts to break  the  hunger  strike  of  the  remaining 100 prisoners through force-feeding—with extreme brutality in the case of Hamburg-Holstenglacis—have failed. After the prison doctor in Stammheim and the anaesthetist they brought in refused to forcibly administer psychiatric drugs or narcotics to the prisoners, the prison warden, </w:t>
      </w:r>
      <w:r>
        <w:rPr>
          <w:color w:val="231F20"/>
          <w:spacing w:val="-3"/>
        </w:rPr>
        <w:t xml:space="preserve">today, </w:t>
      </w:r>
      <w:r>
        <w:rPr>
          <w:color w:val="231F20"/>
        </w:rPr>
        <w:t xml:space="preserve">April 30, </w:t>
      </w:r>
      <w:r>
        <w:rPr>
          <w:color w:val="231F20"/>
          <w:spacing w:val="-6"/>
        </w:rPr>
        <w:t xml:space="preserve">1977, </w:t>
      </w:r>
      <w:r>
        <w:rPr>
          <w:color w:val="231F20"/>
        </w:rPr>
        <w:t xml:space="preserve">at </w:t>
      </w:r>
      <w:r>
        <w:rPr>
          <w:color w:val="231F20"/>
          <w:spacing w:val="-3"/>
        </w:rPr>
        <w:t xml:space="preserve">12 </w:t>
      </w:r>
      <w:r>
        <w:rPr>
          <w:color w:val="231F20"/>
        </w:rPr>
        <w:t xml:space="preserve">o’clock, read us a “Binding Declaration from the </w:t>
      </w:r>
      <w:r>
        <w:rPr>
          <w:color w:val="231F20"/>
          <w:spacing w:val="1"/>
        </w:rPr>
        <w:t xml:space="preserve">Ministry </w:t>
      </w:r>
      <w:r>
        <w:rPr>
          <w:color w:val="231F20"/>
        </w:rPr>
        <w:t xml:space="preserve">of Justice” to the effect that, “after considering the opinion of medical advisors, there will be an immediate centralization  in Stammheim of all political prisoners—i.e., </w:t>
      </w:r>
      <w:r>
        <w:rPr>
          <w:color w:val="231F20"/>
          <w:spacing w:val="-3"/>
          <w:sz w:val="18"/>
        </w:rPr>
        <w:t>§</w:t>
      </w:r>
      <w:r>
        <w:rPr>
          <w:color w:val="231F20"/>
          <w:spacing w:val="-3"/>
        </w:rPr>
        <w:t xml:space="preserve">129a </w:t>
      </w:r>
      <w:r>
        <w:rPr>
          <w:color w:val="231F20"/>
        </w:rPr>
        <w:t xml:space="preserve">prisoners—including those from other </w:t>
      </w:r>
      <w:r>
        <w:rPr>
          <w:i/>
          <w:color w:val="231F20"/>
          <w:spacing w:val="2"/>
        </w:rPr>
        <w:t xml:space="preserve">Länder </w:t>
      </w:r>
      <w:r>
        <w:rPr>
          <w:color w:val="231F20"/>
        </w:rPr>
        <w:t>in the Federal Republic, and that to this  end</w:t>
      </w:r>
      <w:r>
        <w:rPr>
          <w:color w:val="231F20"/>
          <w:spacing w:val="8"/>
        </w:rPr>
        <w:t xml:space="preserve"> </w:t>
      </w:r>
      <w:r>
        <w:rPr>
          <w:color w:val="231F20"/>
        </w:rPr>
        <w:t>work</w:t>
      </w:r>
      <w:r>
        <w:rPr>
          <w:color w:val="231F20"/>
          <w:spacing w:val="8"/>
        </w:rPr>
        <w:t xml:space="preserve"> </w:t>
      </w:r>
      <w:r>
        <w:rPr>
          <w:color w:val="231F20"/>
        </w:rPr>
        <w:t>will</w:t>
      </w:r>
      <w:r>
        <w:rPr>
          <w:color w:val="231F20"/>
          <w:spacing w:val="8"/>
        </w:rPr>
        <w:t xml:space="preserve"> </w:t>
      </w:r>
      <w:r>
        <w:rPr>
          <w:color w:val="231F20"/>
        </w:rPr>
        <w:t>be</w:t>
      </w:r>
      <w:r>
        <w:rPr>
          <w:color w:val="231F20"/>
          <w:spacing w:val="8"/>
        </w:rPr>
        <w:t xml:space="preserve"> </w:t>
      </w:r>
      <w:r>
        <w:rPr>
          <w:color w:val="231F20"/>
        </w:rPr>
        <w:t>done</w:t>
      </w:r>
      <w:r>
        <w:rPr>
          <w:color w:val="231F20"/>
          <w:spacing w:val="8"/>
        </w:rPr>
        <w:t xml:space="preserve"> </w:t>
      </w:r>
      <w:r>
        <w:rPr>
          <w:color w:val="231F20"/>
        </w:rPr>
        <w:t>to</w:t>
      </w:r>
      <w:r>
        <w:rPr>
          <w:color w:val="231F20"/>
          <w:spacing w:val="8"/>
        </w:rPr>
        <w:t xml:space="preserve"> </w:t>
      </w:r>
      <w:r>
        <w:rPr>
          <w:color w:val="231F20"/>
        </w:rPr>
        <w:t>create</w:t>
      </w:r>
      <w:r>
        <w:rPr>
          <w:color w:val="231F20"/>
          <w:spacing w:val="8"/>
        </w:rPr>
        <w:t xml:space="preserve"> </w:t>
      </w:r>
      <w:r>
        <w:rPr>
          <w:color w:val="231F20"/>
        </w:rPr>
        <w:t>the</w:t>
      </w:r>
      <w:r>
        <w:rPr>
          <w:color w:val="231F20"/>
          <w:spacing w:val="8"/>
        </w:rPr>
        <w:t xml:space="preserve"> </w:t>
      </w:r>
      <w:r>
        <w:rPr>
          <w:color w:val="231F20"/>
        </w:rPr>
        <w:t>prison</w:t>
      </w:r>
      <w:r>
        <w:rPr>
          <w:color w:val="231F20"/>
          <w:spacing w:val="8"/>
        </w:rPr>
        <w:t xml:space="preserve"> </w:t>
      </w:r>
      <w:r>
        <w:rPr>
          <w:color w:val="231F20"/>
        </w:rPr>
        <w:t>space</w:t>
      </w:r>
      <w:r>
        <w:rPr>
          <w:color w:val="231F20"/>
          <w:spacing w:val="8"/>
        </w:rPr>
        <w:t xml:space="preserve"> </w:t>
      </w:r>
      <w:r>
        <w:rPr>
          <w:color w:val="231F20"/>
        </w:rPr>
        <w:t>necessary.”</w:t>
      </w:r>
    </w:p>
    <w:p w14:paraId="14A83579" w14:textId="77777777" w:rsidR="002653E8" w:rsidRDefault="003115E3">
      <w:pPr>
        <w:pStyle w:val="a3"/>
        <w:spacing w:line="264" w:lineRule="auto"/>
        <w:ind w:left="1538" w:right="2767"/>
      </w:pPr>
      <w:r>
        <w:rPr>
          <w:color w:val="231F20"/>
        </w:rPr>
        <w:t xml:space="preserve">This decision is based on  a  cabinet  resolution. This </w:t>
      </w:r>
      <w:r>
        <w:rPr>
          <w:color w:val="231F20"/>
          <w:spacing w:val="1"/>
        </w:rPr>
        <w:t xml:space="preserve">fulfils </w:t>
      </w:r>
      <w:r>
        <w:rPr>
          <w:color w:val="231F20"/>
        </w:rPr>
        <w:t>the major demand of the hunger strike. The</w:t>
      </w:r>
      <w:r>
        <w:rPr>
          <w:color w:val="231F20"/>
          <w:spacing w:val="13"/>
        </w:rPr>
        <w:t xml:space="preserve"> </w:t>
      </w:r>
      <w:r w:rsidR="00C507A5">
        <w:rPr>
          <w:color w:val="231F20"/>
          <w:spacing w:val="5"/>
        </w:rPr>
        <w:t>red army faction</w:t>
      </w:r>
      <w:r>
        <w:rPr>
          <w:color w:val="231F20"/>
          <w:spacing w:val="13"/>
        </w:rPr>
        <w:t xml:space="preserve"> </w:t>
      </w:r>
      <w:r>
        <w:rPr>
          <w:color w:val="231F20"/>
        </w:rPr>
        <w:t>prisoners</w:t>
      </w:r>
      <w:r>
        <w:rPr>
          <w:color w:val="231F20"/>
          <w:spacing w:val="13"/>
        </w:rPr>
        <w:t xml:space="preserve"> </w:t>
      </w:r>
      <w:r>
        <w:rPr>
          <w:color w:val="231F20"/>
        </w:rPr>
        <w:t>are</w:t>
      </w:r>
      <w:r>
        <w:rPr>
          <w:color w:val="231F20"/>
          <w:spacing w:val="13"/>
        </w:rPr>
        <w:t xml:space="preserve"> </w:t>
      </w:r>
      <w:r>
        <w:rPr>
          <w:color w:val="231F20"/>
        </w:rPr>
        <w:t>calling</w:t>
      </w:r>
      <w:r>
        <w:rPr>
          <w:color w:val="231F20"/>
          <w:spacing w:val="13"/>
        </w:rPr>
        <w:t xml:space="preserve"> </w:t>
      </w:r>
      <w:r>
        <w:rPr>
          <w:color w:val="231F20"/>
        </w:rPr>
        <w:t>off</w:t>
      </w:r>
      <w:r>
        <w:rPr>
          <w:color w:val="231F20"/>
          <w:spacing w:val="13"/>
        </w:rPr>
        <w:t xml:space="preserve"> </w:t>
      </w:r>
      <w:r>
        <w:rPr>
          <w:color w:val="231F20"/>
        </w:rPr>
        <w:t>their</w:t>
      </w:r>
      <w:r>
        <w:rPr>
          <w:color w:val="231F20"/>
          <w:spacing w:val="13"/>
        </w:rPr>
        <w:t xml:space="preserve"> </w:t>
      </w:r>
      <w:r>
        <w:rPr>
          <w:color w:val="231F20"/>
        </w:rPr>
        <w:t>strike.</w:t>
      </w:r>
    </w:p>
    <w:p w14:paraId="141825A5" w14:textId="77777777" w:rsidR="002653E8" w:rsidRDefault="002653E8">
      <w:pPr>
        <w:pStyle w:val="a3"/>
        <w:spacing w:before="7"/>
      </w:pPr>
    </w:p>
    <w:p w14:paraId="7D68F7BD" w14:textId="77777777" w:rsidR="002653E8" w:rsidRDefault="003115E3">
      <w:pPr>
        <w:pStyle w:val="a3"/>
        <w:spacing w:line="264" w:lineRule="auto"/>
        <w:ind w:left="1327" w:right="1444"/>
      </w:pPr>
      <w:r>
        <w:rPr>
          <w:color w:val="231F20"/>
          <w:w w:val="105"/>
        </w:rPr>
        <w:t>“Whoever is not afraid of being drawn and quartered will pull the emperor off his horse.”</w:t>
      </w:r>
    </w:p>
    <w:p w14:paraId="3EF514D5" w14:textId="77777777" w:rsidR="002653E8" w:rsidRDefault="003115E3">
      <w:pPr>
        <w:pStyle w:val="a3"/>
        <w:spacing w:before="125" w:line="261" w:lineRule="auto"/>
        <w:ind w:left="5538" w:right="1146" w:firstLine="528"/>
        <w:jc w:val="right"/>
      </w:pPr>
      <w:r>
        <w:rPr>
          <w:color w:val="231F20"/>
          <w:w w:val="105"/>
        </w:rPr>
        <w:t>Gudrun Ensslin</w:t>
      </w:r>
      <w:r>
        <w:rPr>
          <w:color w:val="231F20"/>
          <w:w w:val="99"/>
        </w:rPr>
        <w:t xml:space="preserve"> </w:t>
      </w:r>
      <w:r>
        <w:rPr>
          <w:color w:val="231F20"/>
          <w:w w:val="105"/>
        </w:rPr>
        <w:t xml:space="preserve">for the </w:t>
      </w:r>
      <w:r w:rsidR="00C507A5">
        <w:rPr>
          <w:color w:val="231F20"/>
          <w:w w:val="105"/>
        </w:rPr>
        <w:t>red army faction</w:t>
      </w:r>
      <w:r>
        <w:rPr>
          <w:color w:val="231F20"/>
          <w:w w:val="105"/>
        </w:rPr>
        <w:t xml:space="preserve"> prisoners</w:t>
      </w:r>
    </w:p>
    <w:p w14:paraId="5B2CFCEE" w14:textId="77777777" w:rsidR="002653E8" w:rsidRDefault="003115E3">
      <w:pPr>
        <w:pStyle w:val="a3"/>
        <w:spacing w:before="1"/>
        <w:ind w:left="1212" w:right="1145"/>
        <w:jc w:val="right"/>
      </w:pPr>
      <w:r>
        <w:rPr>
          <w:color w:val="231F20"/>
          <w:w w:val="105"/>
        </w:rPr>
        <w:t>April 30, 1977</w:t>
      </w:r>
    </w:p>
    <w:p w14:paraId="67F01039" w14:textId="77777777" w:rsidR="002653E8" w:rsidRDefault="002653E8">
      <w:pPr>
        <w:jc w:val="right"/>
        <w:sectPr w:rsidR="002653E8">
          <w:pgSz w:w="8640" w:h="12960"/>
          <w:pgMar w:top="1220" w:right="0" w:bottom="1040" w:left="0" w:header="0" w:footer="850" w:gutter="0"/>
          <w:cols w:space="720"/>
        </w:sectPr>
      </w:pPr>
    </w:p>
    <w:p w14:paraId="7FAB4BC5" w14:textId="77777777" w:rsidR="002653E8" w:rsidRDefault="003115E3">
      <w:pPr>
        <w:pStyle w:val="4"/>
        <w:ind w:left="1594"/>
      </w:pPr>
      <w:bookmarkStart w:id="244" w:name="The_Assassination_of_Jürgen_Ponto_(Augus"/>
      <w:bookmarkStart w:id="245" w:name="_bookmark74"/>
      <w:bookmarkEnd w:id="244"/>
      <w:bookmarkEnd w:id="245"/>
      <w:r>
        <w:rPr>
          <w:color w:val="231F20"/>
          <w:w w:val="105"/>
        </w:rPr>
        <w:lastRenderedPageBreak/>
        <w:t>The Assassination of Jürgen Ponto</w:t>
      </w:r>
    </w:p>
    <w:p w14:paraId="6986C870" w14:textId="77777777" w:rsidR="002653E8" w:rsidRDefault="003115E3">
      <w:pPr>
        <w:pStyle w:val="a3"/>
        <w:spacing w:before="256" w:line="264" w:lineRule="auto"/>
        <w:ind w:left="1147" w:right="1145"/>
      </w:pPr>
      <w:r>
        <w:rPr>
          <w:color w:val="231F20"/>
        </w:rPr>
        <w:t>In a situation where the BAW and state security are scrambling to massacre the prisoners, we haven’t got a lot of time for long statements.</w:t>
      </w:r>
    </w:p>
    <w:p w14:paraId="72C464E6" w14:textId="77777777" w:rsidR="002653E8" w:rsidRDefault="003115E3">
      <w:pPr>
        <w:pStyle w:val="a3"/>
        <w:spacing w:line="264" w:lineRule="auto"/>
        <w:ind w:left="1147" w:right="1326" w:firstLine="210"/>
        <w:jc w:val="both"/>
      </w:pPr>
      <w:r>
        <w:rPr>
          <w:color w:val="231F20"/>
        </w:rPr>
        <w:t>Regarding Ponto and the bullets that hit him in Oberursel, all we can say is that it was a revelation to us how these people, who launch wars in the Third World and exterminate entire peoples, can stand dumbfounded when confronted with violence in their own homes.</w:t>
      </w:r>
    </w:p>
    <w:p w14:paraId="735FC130" w14:textId="77777777" w:rsidR="002653E8" w:rsidRDefault="003115E3">
      <w:pPr>
        <w:pStyle w:val="a3"/>
        <w:spacing w:line="264" w:lineRule="auto"/>
        <w:ind w:left="1147" w:right="1326" w:firstLine="210"/>
        <w:jc w:val="both"/>
      </w:pPr>
      <w:r>
        <w:rPr>
          <w:color w:val="231F20"/>
        </w:rPr>
        <w:t>The “big money” state security smear campaign is bullshit, as is everything that has been said about the attack.</w:t>
      </w:r>
    </w:p>
    <w:p w14:paraId="3B835589" w14:textId="77777777" w:rsidR="002653E8" w:rsidRDefault="003115E3">
      <w:pPr>
        <w:pStyle w:val="a3"/>
        <w:spacing w:line="264" w:lineRule="auto"/>
        <w:ind w:left="1147" w:right="1326" w:firstLine="210"/>
        <w:jc w:val="both"/>
      </w:pPr>
      <w:r>
        <w:rPr>
          <w:color w:val="231F20"/>
        </w:rPr>
        <w:t>Naturally, it is always the case that the new confronts the old, and here that means the struggle for a world without prisons confronting a world based on cash, in which everything is a prison.</w:t>
      </w:r>
    </w:p>
    <w:p w14:paraId="38752F6D" w14:textId="77777777" w:rsidR="002653E8" w:rsidRDefault="003115E3">
      <w:pPr>
        <w:pStyle w:val="a3"/>
        <w:spacing w:before="115" w:line="261" w:lineRule="auto"/>
        <w:ind w:left="4538" w:right="1326" w:firstLine="1255"/>
        <w:jc w:val="right"/>
      </w:pPr>
      <w:r>
        <w:rPr>
          <w:color w:val="231F20"/>
        </w:rPr>
        <w:t>Susanne Albrecht</w:t>
      </w:r>
      <w:r>
        <w:rPr>
          <w:color w:val="231F20"/>
          <w:w w:val="98"/>
        </w:rPr>
        <w:t xml:space="preserve"> </w:t>
      </w:r>
      <w:r>
        <w:rPr>
          <w:color w:val="231F20"/>
          <w:w w:val="105"/>
        </w:rPr>
        <w:t xml:space="preserve">on behalf of a </w:t>
      </w:r>
      <w:r w:rsidR="00C507A5">
        <w:rPr>
          <w:color w:val="231F20"/>
          <w:spacing w:val="5"/>
          <w:w w:val="105"/>
        </w:rPr>
        <w:t>red army faction</w:t>
      </w:r>
      <w:r>
        <w:rPr>
          <w:color w:val="231F20"/>
          <w:spacing w:val="5"/>
          <w:w w:val="105"/>
        </w:rPr>
        <w:t xml:space="preserve"> </w:t>
      </w:r>
      <w:r>
        <w:rPr>
          <w:color w:val="231F20"/>
          <w:w w:val="105"/>
        </w:rPr>
        <w:t>Commando</w:t>
      </w:r>
    </w:p>
    <w:p w14:paraId="02A94D75" w14:textId="77777777" w:rsidR="002653E8" w:rsidRDefault="003115E3">
      <w:pPr>
        <w:pStyle w:val="a3"/>
        <w:spacing w:before="1"/>
        <w:ind w:left="1212" w:right="1326"/>
        <w:jc w:val="right"/>
      </w:pPr>
      <w:r>
        <w:rPr>
          <w:color w:val="231F20"/>
          <w:w w:val="105"/>
        </w:rPr>
        <w:t>August 14, 1977</w:t>
      </w:r>
    </w:p>
    <w:p w14:paraId="340D2159" w14:textId="77777777" w:rsidR="002653E8" w:rsidRDefault="002653E8">
      <w:pPr>
        <w:jc w:val="right"/>
        <w:sectPr w:rsidR="002653E8">
          <w:pgSz w:w="8640" w:h="12960"/>
          <w:pgMar w:top="1220" w:right="0" w:bottom="1040" w:left="0" w:header="0" w:footer="850" w:gutter="0"/>
          <w:cols w:space="720"/>
        </w:sectPr>
      </w:pPr>
    </w:p>
    <w:p w14:paraId="76C534BD" w14:textId="77777777" w:rsidR="002653E8" w:rsidRDefault="003115E3">
      <w:pPr>
        <w:pStyle w:val="4"/>
        <w:spacing w:line="273" w:lineRule="auto"/>
        <w:ind w:left="2629" w:right="2373" w:hanging="5"/>
      </w:pPr>
      <w:bookmarkStart w:id="246" w:name="Statement_Breaking_Off_the_Fifth_Hunger_"/>
      <w:bookmarkStart w:id="247" w:name="_bookmark75"/>
      <w:bookmarkEnd w:id="246"/>
      <w:bookmarkEnd w:id="247"/>
      <w:r>
        <w:rPr>
          <w:color w:val="231F20"/>
          <w:w w:val="105"/>
        </w:rPr>
        <w:lastRenderedPageBreak/>
        <w:t>Statement Breaking Off the Fifth Hunger Strike</w:t>
      </w:r>
    </w:p>
    <w:p w14:paraId="06852C9A" w14:textId="77777777" w:rsidR="002653E8" w:rsidRDefault="002653E8">
      <w:pPr>
        <w:pStyle w:val="a3"/>
        <w:spacing w:before="2"/>
        <w:rPr>
          <w:rFonts w:ascii="Bookman Old Style"/>
          <w:sz w:val="27"/>
        </w:rPr>
      </w:pPr>
    </w:p>
    <w:p w14:paraId="3E0CBFD3" w14:textId="77777777" w:rsidR="002653E8" w:rsidRDefault="003115E3">
      <w:pPr>
        <w:pStyle w:val="a3"/>
        <w:spacing w:line="264" w:lineRule="auto"/>
        <w:ind w:left="1327" w:right="1146"/>
        <w:jc w:val="both"/>
      </w:pPr>
      <w:r>
        <w:rPr>
          <w:color w:val="231F20"/>
        </w:rPr>
        <w:t>Over</w:t>
      </w:r>
      <w:r>
        <w:rPr>
          <w:color w:val="231F20"/>
          <w:spacing w:val="-9"/>
        </w:rPr>
        <w:t xml:space="preserve"> </w:t>
      </w:r>
      <w:r>
        <w:rPr>
          <w:color w:val="231F20"/>
        </w:rPr>
        <w:t>the</w:t>
      </w:r>
      <w:r>
        <w:rPr>
          <w:color w:val="231F20"/>
          <w:spacing w:val="-9"/>
        </w:rPr>
        <w:t xml:space="preserve"> </w:t>
      </w:r>
      <w:r>
        <w:rPr>
          <w:color w:val="231F20"/>
        </w:rPr>
        <w:t>past</w:t>
      </w:r>
      <w:r>
        <w:rPr>
          <w:color w:val="231F20"/>
          <w:spacing w:val="-9"/>
        </w:rPr>
        <w:t xml:space="preserve"> </w:t>
      </w:r>
      <w:r>
        <w:rPr>
          <w:color w:val="231F20"/>
        </w:rPr>
        <w:t>week,</w:t>
      </w:r>
      <w:r>
        <w:rPr>
          <w:color w:val="231F20"/>
          <w:spacing w:val="-9"/>
        </w:rPr>
        <w:t xml:space="preserve"> </w:t>
      </w:r>
      <w:r>
        <w:rPr>
          <w:color w:val="231F20"/>
        </w:rPr>
        <w:t>we</w:t>
      </w:r>
      <w:r>
        <w:rPr>
          <w:color w:val="231F20"/>
          <w:spacing w:val="-9"/>
        </w:rPr>
        <w:t xml:space="preserve"> </w:t>
      </w:r>
      <w:r>
        <w:rPr>
          <w:color w:val="231F20"/>
        </w:rPr>
        <w:t>learned</w:t>
      </w:r>
      <w:r>
        <w:rPr>
          <w:color w:val="231F20"/>
          <w:spacing w:val="-9"/>
        </w:rPr>
        <w:t xml:space="preserve"> </w:t>
      </w:r>
      <w:r>
        <w:rPr>
          <w:color w:val="231F20"/>
        </w:rPr>
        <w:t>from</w:t>
      </w:r>
      <w:r>
        <w:rPr>
          <w:color w:val="231F20"/>
          <w:spacing w:val="-9"/>
        </w:rPr>
        <w:t xml:space="preserve"> </w:t>
      </w:r>
      <w:r>
        <w:rPr>
          <w:color w:val="231F20"/>
        </w:rPr>
        <w:t>a</w:t>
      </w:r>
      <w:r>
        <w:rPr>
          <w:color w:val="231F20"/>
          <w:spacing w:val="-9"/>
        </w:rPr>
        <w:t xml:space="preserve"> </w:t>
      </w:r>
      <w:r>
        <w:rPr>
          <w:color w:val="231F20"/>
        </w:rPr>
        <w:t>member</w:t>
      </w:r>
      <w:r>
        <w:rPr>
          <w:color w:val="231F20"/>
          <w:spacing w:val="-9"/>
        </w:rPr>
        <w:t xml:space="preserve"> </w:t>
      </w:r>
      <w:r>
        <w:rPr>
          <w:color w:val="231F20"/>
        </w:rPr>
        <w:t>of</w:t>
      </w:r>
      <w:r>
        <w:rPr>
          <w:color w:val="231F20"/>
          <w:spacing w:val="-7"/>
        </w:rPr>
        <w:t xml:space="preserve"> </w:t>
      </w:r>
      <w:r>
        <w:rPr>
          <w:color w:val="231F20"/>
          <w:spacing w:val="1"/>
        </w:rPr>
        <w:t>Amnesty</w:t>
      </w:r>
      <w:r>
        <w:rPr>
          <w:color w:val="231F20"/>
          <w:spacing w:val="-9"/>
        </w:rPr>
        <w:t xml:space="preserve"> </w:t>
      </w:r>
      <w:r>
        <w:rPr>
          <w:color w:val="231F20"/>
        </w:rPr>
        <w:t xml:space="preserve">International that the International Executive Committee’s mediation process—to establish more humane prison conditions, in line with the doctors’ demands, and to bring the hunger strike to an end—had broken down, because “the situation had hardened.” And, “following the attacks against the </w:t>
      </w:r>
      <w:r>
        <w:rPr>
          <w:color w:val="231F20"/>
          <w:spacing w:val="-6"/>
        </w:rPr>
        <w:t xml:space="preserve">BAW </w:t>
      </w:r>
      <w:r>
        <w:rPr>
          <w:color w:val="231F20"/>
        </w:rPr>
        <w:t>and Ponto, the authorities had received instructions from</w:t>
      </w:r>
      <w:r>
        <w:rPr>
          <w:color w:val="231F20"/>
          <w:spacing w:val="10"/>
        </w:rPr>
        <w:t xml:space="preserve"> </w:t>
      </w:r>
      <w:r>
        <w:rPr>
          <w:color w:val="231F20"/>
        </w:rPr>
        <w:t>above</w:t>
      </w:r>
      <w:r>
        <w:rPr>
          <w:color w:val="231F20"/>
          <w:spacing w:val="10"/>
        </w:rPr>
        <w:t xml:space="preserve"> </w:t>
      </w:r>
      <w:r>
        <w:rPr>
          <w:color w:val="231F20"/>
        </w:rPr>
        <w:t>to</w:t>
      </w:r>
      <w:r>
        <w:rPr>
          <w:color w:val="231F20"/>
          <w:spacing w:val="10"/>
        </w:rPr>
        <w:t xml:space="preserve"> </w:t>
      </w:r>
      <w:r>
        <w:rPr>
          <w:color w:val="231F20"/>
        </w:rPr>
        <w:t>make</w:t>
      </w:r>
      <w:r>
        <w:rPr>
          <w:color w:val="231F20"/>
          <w:spacing w:val="10"/>
        </w:rPr>
        <w:t xml:space="preserve"> </w:t>
      </w:r>
      <w:r>
        <w:rPr>
          <w:color w:val="231F20"/>
        </w:rPr>
        <w:t>an</w:t>
      </w:r>
      <w:r>
        <w:rPr>
          <w:color w:val="231F20"/>
          <w:spacing w:val="10"/>
        </w:rPr>
        <w:t xml:space="preserve"> </w:t>
      </w:r>
      <w:r>
        <w:rPr>
          <w:color w:val="231F20"/>
        </w:rPr>
        <w:t>example</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prisoners.”</w:t>
      </w:r>
    </w:p>
    <w:p w14:paraId="0A27DE1E" w14:textId="77777777" w:rsidR="002653E8" w:rsidRDefault="003115E3">
      <w:pPr>
        <w:pStyle w:val="a3"/>
        <w:spacing w:line="227" w:lineRule="exact"/>
        <w:ind w:left="1537"/>
      </w:pPr>
      <w:r>
        <w:rPr>
          <w:color w:val="231F20"/>
        </w:rPr>
        <w:t>That is in keeping with Rebmann’s announcement.</w:t>
      </w:r>
    </w:p>
    <w:p w14:paraId="3680DDEB" w14:textId="77777777" w:rsidR="002653E8" w:rsidRDefault="003115E3">
      <w:pPr>
        <w:pStyle w:val="a3"/>
        <w:spacing w:before="22" w:line="264" w:lineRule="auto"/>
        <w:ind w:left="1327" w:right="1146" w:firstLine="210"/>
        <w:jc w:val="both"/>
      </w:pPr>
      <w:r>
        <w:rPr>
          <w:color w:val="231F20"/>
        </w:rPr>
        <w:t>As a result, the prisoners have broken off their strike on the 26th day—so as not to facilitate the murderous plan. They arrived at this decision after they were openly made hostages of state security, and taking into account the federal government’s efforts—arrests, raids,  and detentions at the borders—to disrupt the grievance at the Human Rights Commission in Strasburg regarding human rights violations in the Federal</w:t>
      </w:r>
      <w:r>
        <w:rPr>
          <w:color w:val="231F20"/>
          <w:spacing w:val="21"/>
        </w:rPr>
        <w:t xml:space="preserve"> </w:t>
      </w:r>
      <w:r>
        <w:rPr>
          <w:color w:val="231F20"/>
        </w:rPr>
        <w:t>Republic.</w:t>
      </w:r>
    </w:p>
    <w:p w14:paraId="08CE62FB" w14:textId="77777777" w:rsidR="002653E8" w:rsidRDefault="003115E3">
      <w:pPr>
        <w:pStyle w:val="a3"/>
        <w:spacing w:before="120" w:line="261" w:lineRule="auto"/>
        <w:ind w:left="5539" w:right="1145" w:firstLine="567"/>
        <w:jc w:val="right"/>
      </w:pPr>
      <w:r>
        <w:rPr>
          <w:color w:val="231F20"/>
          <w:w w:val="105"/>
        </w:rPr>
        <w:t>Jan-Carl Raspe</w:t>
      </w:r>
      <w:r>
        <w:rPr>
          <w:color w:val="231F20"/>
          <w:w w:val="91"/>
        </w:rPr>
        <w:t xml:space="preserve"> </w:t>
      </w:r>
      <w:r>
        <w:rPr>
          <w:color w:val="231F20"/>
          <w:w w:val="105"/>
        </w:rPr>
        <w:t xml:space="preserve">for the </w:t>
      </w:r>
      <w:r w:rsidR="00C507A5">
        <w:rPr>
          <w:color w:val="231F20"/>
          <w:w w:val="105"/>
        </w:rPr>
        <w:t>red army faction</w:t>
      </w:r>
      <w:r>
        <w:rPr>
          <w:color w:val="231F20"/>
          <w:w w:val="105"/>
        </w:rPr>
        <w:t xml:space="preserve"> prisoners</w:t>
      </w:r>
      <w:r>
        <w:rPr>
          <w:color w:val="231F20"/>
          <w:w w:val="90"/>
        </w:rPr>
        <w:t xml:space="preserve"> </w:t>
      </w:r>
      <w:r>
        <w:rPr>
          <w:color w:val="231F20"/>
        </w:rPr>
        <w:t>September 2, 1977</w:t>
      </w:r>
    </w:p>
    <w:p w14:paraId="70B7EC28" w14:textId="77777777" w:rsidR="002653E8" w:rsidRDefault="002653E8">
      <w:pPr>
        <w:spacing w:line="261" w:lineRule="auto"/>
        <w:jc w:val="right"/>
        <w:sectPr w:rsidR="002653E8">
          <w:footerReference w:type="even" r:id="rId415"/>
          <w:footerReference w:type="default" r:id="rId416"/>
          <w:pgSz w:w="8640" w:h="12960"/>
          <w:pgMar w:top="1220" w:right="0" w:bottom="1040" w:left="0" w:header="0" w:footer="850" w:gutter="0"/>
          <w:cols w:space="720"/>
        </w:sectPr>
      </w:pPr>
    </w:p>
    <w:p w14:paraId="5AEBA47B" w14:textId="77777777" w:rsidR="002653E8" w:rsidRDefault="003115E3">
      <w:pPr>
        <w:pStyle w:val="4"/>
        <w:ind w:left="2464"/>
      </w:pPr>
      <w:bookmarkStart w:id="248" w:name="The_Attack_on_the_BAW_(September_3,_1977"/>
      <w:bookmarkStart w:id="249" w:name="_bookmark76"/>
      <w:bookmarkEnd w:id="248"/>
      <w:bookmarkEnd w:id="249"/>
      <w:r>
        <w:rPr>
          <w:color w:val="231F20"/>
          <w:w w:val="105"/>
        </w:rPr>
        <w:lastRenderedPageBreak/>
        <w:t>The Attack on the BAW</w:t>
      </w:r>
    </w:p>
    <w:p w14:paraId="1D11D688" w14:textId="77777777" w:rsidR="002653E8" w:rsidRDefault="003115E3">
      <w:pPr>
        <w:pStyle w:val="a3"/>
        <w:spacing w:before="256" w:line="264" w:lineRule="auto"/>
        <w:ind w:left="1147" w:right="1326"/>
        <w:jc w:val="both"/>
      </w:pPr>
      <w:r>
        <w:rPr>
          <w:color w:val="231F20"/>
          <w:spacing w:val="1"/>
        </w:rPr>
        <w:t xml:space="preserve">All </w:t>
      </w:r>
      <w:r>
        <w:rPr>
          <w:color w:val="231F20"/>
        </w:rPr>
        <w:t>the theories about the apparatus which we used to prevent the federal prosecutors from sitting comfortably in their offices musing about how to arrange  the  next  murder  of  a  political  prisoner,  or  planning a manhunt or a show trial or raids against citizens and lawyers who sympathize with us, or fabricating all of the lies and the hatred of the “information offensive”—are</w:t>
      </w:r>
      <w:r>
        <w:rPr>
          <w:color w:val="231F20"/>
          <w:spacing w:val="23"/>
        </w:rPr>
        <w:t xml:space="preserve"> </w:t>
      </w:r>
      <w:r>
        <w:rPr>
          <w:color w:val="231F20"/>
        </w:rPr>
        <w:t>false.</w:t>
      </w:r>
    </w:p>
    <w:p w14:paraId="505FDCB2" w14:textId="77777777" w:rsidR="002653E8" w:rsidRDefault="003115E3">
      <w:pPr>
        <w:pStyle w:val="a3"/>
        <w:spacing w:line="264" w:lineRule="auto"/>
        <w:ind w:left="1147" w:right="1326" w:firstLine="210"/>
        <w:jc w:val="both"/>
      </w:pPr>
      <w:r>
        <w:rPr>
          <w:color w:val="231F20"/>
        </w:rPr>
        <w:t xml:space="preserve">It </w:t>
      </w:r>
      <w:r>
        <w:rPr>
          <w:color w:val="231F20"/>
          <w:spacing w:val="-3"/>
        </w:rPr>
        <w:t xml:space="preserve">wasn’t </w:t>
      </w:r>
      <w:r>
        <w:rPr>
          <w:color w:val="231F20"/>
        </w:rPr>
        <w:t>used to create a bloodbath—in this nest of reactionary violence, which already during the communist trials of the fifties</w:t>
      </w:r>
      <w:r>
        <w:rPr>
          <w:color w:val="231F20"/>
          <w:spacing w:val="16"/>
        </w:rPr>
        <w:t xml:space="preserve"> </w:t>
      </w:r>
      <w:r>
        <w:rPr>
          <w:color w:val="231F20"/>
        </w:rPr>
        <w:t>sided with the ongoing fascism—or as part a “new strategy” or the “arms   race</w:t>
      </w:r>
      <w:r>
        <w:rPr>
          <w:color w:val="231F20"/>
          <w:spacing w:val="10"/>
        </w:rPr>
        <w:t xml:space="preserve"> </w:t>
      </w:r>
      <w:r>
        <w:rPr>
          <w:color w:val="231F20"/>
        </w:rPr>
        <w:t>between</w:t>
      </w:r>
      <w:r>
        <w:rPr>
          <w:color w:val="231F20"/>
          <w:spacing w:val="10"/>
        </w:rPr>
        <w:t xml:space="preserve"> </w:t>
      </w:r>
      <w:r>
        <w:rPr>
          <w:color w:val="231F20"/>
        </w:rPr>
        <w:t>rival</w:t>
      </w:r>
      <w:r>
        <w:rPr>
          <w:color w:val="231F20"/>
          <w:spacing w:val="10"/>
        </w:rPr>
        <w:t xml:space="preserve"> </w:t>
      </w:r>
      <w:r>
        <w:rPr>
          <w:color w:val="231F20"/>
        </w:rPr>
        <w:t>guerilla</w:t>
      </w:r>
      <w:r>
        <w:rPr>
          <w:color w:val="231F20"/>
          <w:spacing w:val="10"/>
        </w:rPr>
        <w:t xml:space="preserve"> </w:t>
      </w:r>
      <w:r>
        <w:rPr>
          <w:color w:val="231F20"/>
        </w:rPr>
        <w:t>groups”</w:t>
      </w:r>
      <w:r>
        <w:rPr>
          <w:color w:val="231F20"/>
          <w:spacing w:val="10"/>
        </w:rPr>
        <w:t xml:space="preserve"> </w:t>
      </w:r>
      <w:r>
        <w:rPr>
          <w:color w:val="231F20"/>
        </w:rPr>
        <w:t>that</w:t>
      </w:r>
      <w:r>
        <w:rPr>
          <w:color w:val="231F20"/>
          <w:spacing w:val="10"/>
        </w:rPr>
        <w:t xml:space="preserve"> </w:t>
      </w:r>
      <w:r>
        <w:rPr>
          <w:color w:val="231F20"/>
        </w:rPr>
        <w:t>we</w:t>
      </w:r>
      <w:r>
        <w:rPr>
          <w:color w:val="231F20"/>
          <w:spacing w:val="10"/>
        </w:rPr>
        <w:t xml:space="preserve"> </w:t>
      </w:r>
      <w:r>
        <w:rPr>
          <w:color w:val="231F20"/>
        </w:rPr>
        <w:t>read</w:t>
      </w:r>
      <w:r>
        <w:rPr>
          <w:color w:val="231F20"/>
          <w:spacing w:val="10"/>
        </w:rPr>
        <w:t xml:space="preserve"> </w:t>
      </w:r>
      <w:r>
        <w:rPr>
          <w:color w:val="231F20"/>
        </w:rPr>
        <w:t>about.</w:t>
      </w:r>
    </w:p>
    <w:p w14:paraId="08A288D6" w14:textId="77777777" w:rsidR="002653E8" w:rsidRDefault="003115E3">
      <w:pPr>
        <w:pStyle w:val="a3"/>
        <w:spacing w:line="264" w:lineRule="auto"/>
        <w:ind w:left="1147" w:right="1325" w:firstLine="210"/>
        <w:jc w:val="both"/>
      </w:pPr>
      <w:r>
        <w:rPr>
          <w:color w:val="231F20"/>
        </w:rPr>
        <w:t>Nor was it used to attack Rebmann, although he appears to be even more unscrupulous, more brutal, and a more loathsome demagogue than</w:t>
      </w:r>
      <w:r>
        <w:rPr>
          <w:color w:val="231F20"/>
          <w:spacing w:val="10"/>
        </w:rPr>
        <w:t xml:space="preserve"> </w:t>
      </w:r>
      <w:r>
        <w:rPr>
          <w:color w:val="231F20"/>
        </w:rPr>
        <w:t>Buback.</w:t>
      </w:r>
    </w:p>
    <w:p w14:paraId="5E6829FF" w14:textId="77777777" w:rsidR="002653E8" w:rsidRDefault="003115E3">
      <w:pPr>
        <w:pStyle w:val="a3"/>
        <w:spacing w:line="264" w:lineRule="auto"/>
        <w:ind w:left="1078" w:right="1325" w:firstLine="210"/>
        <w:jc w:val="right"/>
      </w:pPr>
      <w:r>
        <w:rPr>
          <w:color w:val="231F20"/>
        </w:rPr>
        <w:t>It was simply meant as a warning, in a situation where over forty</w:t>
      </w:r>
      <w:r>
        <w:rPr>
          <w:color w:val="231F20"/>
          <w:w w:val="99"/>
        </w:rPr>
        <w:t xml:space="preserve"> </w:t>
      </w:r>
      <w:r>
        <w:rPr>
          <w:color w:val="231F20"/>
        </w:rPr>
        <w:t>political prisoners were on hunger strike, because when he was</w:t>
      </w:r>
      <w:r>
        <w:rPr>
          <w:color w:val="231F20"/>
          <w:w w:val="90"/>
        </w:rPr>
        <w:t xml:space="preserve"> </w:t>
      </w:r>
      <w:r>
        <w:rPr>
          <w:color w:val="231F20"/>
        </w:rPr>
        <w:t>Undersecretary for the Ministry of Justice in Baden-Wurttemburg,</w:t>
      </w:r>
      <w:r>
        <w:rPr>
          <w:color w:val="231F20"/>
          <w:w w:val="135"/>
        </w:rPr>
        <w:t xml:space="preserve"> </w:t>
      </w:r>
      <w:r>
        <w:rPr>
          <w:color w:val="231F20"/>
        </w:rPr>
        <w:t>Rebmann promised to allow the prisoners’ association in groups of 15.</w:t>
      </w:r>
      <w:r>
        <w:rPr>
          <w:color w:val="231F20"/>
          <w:w w:val="135"/>
        </w:rPr>
        <w:t xml:space="preserve"> </w:t>
      </w:r>
      <w:r>
        <w:rPr>
          <w:color w:val="231F20"/>
        </w:rPr>
        <w:t>As Attorney General, he has reversed himself and broken this promise.</w:t>
      </w:r>
      <w:r>
        <w:rPr>
          <w:color w:val="231F20"/>
          <w:w w:val="135"/>
        </w:rPr>
        <w:t xml:space="preserve"> </w:t>
      </w:r>
      <w:r>
        <w:rPr>
          <w:color w:val="231F20"/>
        </w:rPr>
        <w:t>The group that previously existed in Stammheim is now smaller instead of larger, and the prisoners are now—after five years of isolation— once again totally segregated from one another, despite the fact that doctors, Amnesty International, the World Council of Churches, the League</w:t>
      </w:r>
      <w:r>
        <w:rPr>
          <w:color w:val="231F20"/>
          <w:w w:val="91"/>
        </w:rPr>
        <w:t xml:space="preserve"> </w:t>
      </w:r>
      <w:r>
        <w:rPr>
          <w:color w:val="231F20"/>
        </w:rPr>
        <w:t>for Human Rights, and the Association of Democratic Jurists have all</w:t>
      </w:r>
      <w:r>
        <w:rPr>
          <w:color w:val="231F20"/>
          <w:w w:val="102"/>
        </w:rPr>
        <w:t xml:space="preserve"> </w:t>
      </w:r>
      <w:r>
        <w:rPr>
          <w:color w:val="231F20"/>
        </w:rPr>
        <w:t>demanded that they be granted association, because isolation causes illness and, with time, death—that is to say, as a form of imprisonment,</w:t>
      </w:r>
    </w:p>
    <w:p w14:paraId="5D1FF493" w14:textId="77777777" w:rsidR="002653E8" w:rsidRDefault="003115E3">
      <w:pPr>
        <w:pStyle w:val="a3"/>
        <w:spacing w:line="221" w:lineRule="exact"/>
        <w:ind w:left="1148"/>
      </w:pPr>
      <w:r>
        <w:rPr>
          <w:color w:val="231F20"/>
        </w:rPr>
        <w:t>isolation constitutes torture and is a violation of human rights.</w:t>
      </w:r>
    </w:p>
    <w:p w14:paraId="2DF69C8C" w14:textId="77777777" w:rsidR="002653E8" w:rsidRDefault="003115E3">
      <w:pPr>
        <w:pStyle w:val="a3"/>
        <w:spacing w:before="8" w:line="264" w:lineRule="auto"/>
        <w:ind w:left="1148" w:right="1326" w:firstLine="210"/>
        <w:jc w:val="both"/>
      </w:pPr>
      <w:r>
        <w:rPr>
          <w:color w:val="231F20"/>
          <w:spacing w:val="-5"/>
        </w:rPr>
        <w:t xml:space="preserve">We </w:t>
      </w:r>
      <w:r>
        <w:rPr>
          <w:color w:val="231F20"/>
        </w:rPr>
        <w:t>proceeded from the view that following Buback’s removal from office because of the murders of Holger, Ulrike, and  Siegfried,  and  given the complete isolation the hunger strike provoked, Rebmann felt  a need to distinguish himself by using the situation to execute Andreas, Gudrun, and</w:t>
      </w:r>
      <w:r>
        <w:rPr>
          <w:color w:val="231F20"/>
          <w:spacing w:val="23"/>
        </w:rPr>
        <w:t xml:space="preserve"> </w:t>
      </w:r>
      <w:r>
        <w:rPr>
          <w:color w:val="231F20"/>
        </w:rPr>
        <w:t>Jan.</w:t>
      </w:r>
    </w:p>
    <w:p w14:paraId="68E064F9" w14:textId="77777777" w:rsidR="002653E8" w:rsidRDefault="003115E3">
      <w:pPr>
        <w:pStyle w:val="a3"/>
        <w:spacing w:line="264" w:lineRule="auto"/>
        <w:ind w:left="1148" w:right="1325" w:firstLine="210"/>
        <w:jc w:val="both"/>
      </w:pPr>
      <w:r>
        <w:rPr>
          <w:color w:val="231F20"/>
        </w:rPr>
        <w:t>We agree with the prisoners’ decision to break off their hunger and thirst strike, and we ask them to not resume it for the time being, not until we know whether the sanctimonious gang of murderers—the Ministers of Justice, judges, prosecutors, and cops—will choose to remain as arrogant in the face of our weapons, which we can use, as they do in the face of the weapons the prisoners have at their disposal.</w:t>
      </w:r>
    </w:p>
    <w:p w14:paraId="038E948E" w14:textId="77777777" w:rsidR="002653E8" w:rsidRDefault="002653E8">
      <w:pPr>
        <w:spacing w:line="264" w:lineRule="auto"/>
        <w:jc w:val="both"/>
        <w:sectPr w:rsidR="002653E8">
          <w:pgSz w:w="8640" w:h="12960"/>
          <w:pgMar w:top="1220" w:right="0" w:bottom="1040" w:left="0" w:header="0" w:footer="850" w:gutter="0"/>
          <w:cols w:space="720"/>
        </w:sectPr>
      </w:pPr>
    </w:p>
    <w:p w14:paraId="0FE5B4E0" w14:textId="77777777" w:rsidR="002653E8" w:rsidRDefault="003115E3">
      <w:pPr>
        <w:pStyle w:val="a3"/>
        <w:spacing w:before="86" w:line="264" w:lineRule="auto"/>
        <w:ind w:left="1327" w:right="1145" w:firstLine="210"/>
        <w:jc w:val="both"/>
      </w:pPr>
      <w:r>
        <w:rPr>
          <w:color w:val="231F20"/>
        </w:rPr>
        <w:lastRenderedPageBreak/>
        <w:t>The moral appeal of a hunger strike is useless, because this state’s political violence is not in danger of becoming “fascistoid” or of showing “fascist tendencies,” but is transforming itself into a new fascism, one that differs from National Socialism only inasmuch as it represents American and German monopolies, and can therefore proceed more aggressively, more powerfully, and more subtly than German capital during its barbaric nationalist period.</w:t>
      </w:r>
    </w:p>
    <w:p w14:paraId="7A58AC12" w14:textId="77777777" w:rsidR="002653E8" w:rsidRDefault="003115E3">
      <w:pPr>
        <w:pStyle w:val="a3"/>
        <w:spacing w:line="264" w:lineRule="auto"/>
        <w:ind w:left="1327" w:right="1146" w:firstLine="210"/>
        <w:jc w:val="both"/>
      </w:pPr>
      <w:r>
        <w:rPr>
          <w:color w:val="231F20"/>
        </w:rPr>
        <w:t>Whether they are part of the justice system, the executive, the political parties, the corporations, or the media, the greasy elite understand only one language: violence.</w:t>
      </w:r>
    </w:p>
    <w:p w14:paraId="36CE1F4F" w14:textId="77777777" w:rsidR="002653E8" w:rsidRDefault="003115E3">
      <w:pPr>
        <w:pStyle w:val="a3"/>
        <w:spacing w:line="264" w:lineRule="auto"/>
        <w:ind w:left="1327" w:right="1146" w:firstLine="210"/>
        <w:jc w:val="both"/>
      </w:pPr>
      <w:r>
        <w:rPr>
          <w:color w:val="231F20"/>
        </w:rPr>
        <w:t>The misery and humiliation in the state security wings and the barbarism of force-feeding is for them no more than their own sick in-joke for the lunchroom.</w:t>
      </w:r>
    </w:p>
    <w:p w14:paraId="1C93DB6A" w14:textId="77777777" w:rsidR="002653E8" w:rsidRDefault="003115E3">
      <w:pPr>
        <w:pStyle w:val="a3"/>
        <w:spacing w:line="264" w:lineRule="auto"/>
        <w:ind w:left="1327" w:right="1146" w:firstLine="210"/>
        <w:jc w:val="both"/>
      </w:pPr>
      <w:r>
        <w:rPr>
          <w:color w:val="231F20"/>
          <w:w w:val="105"/>
        </w:rPr>
        <w:t>Should</w:t>
      </w:r>
      <w:r>
        <w:rPr>
          <w:color w:val="231F20"/>
          <w:spacing w:val="-5"/>
          <w:w w:val="105"/>
        </w:rPr>
        <w:t xml:space="preserve"> </w:t>
      </w:r>
      <w:r>
        <w:rPr>
          <w:color w:val="231F20"/>
          <w:w w:val="105"/>
        </w:rPr>
        <w:t>it</w:t>
      </w:r>
      <w:r>
        <w:rPr>
          <w:color w:val="231F20"/>
          <w:spacing w:val="-5"/>
          <w:w w:val="105"/>
        </w:rPr>
        <w:t xml:space="preserve"> </w:t>
      </w:r>
      <w:r>
        <w:rPr>
          <w:color w:val="231F20"/>
          <w:w w:val="105"/>
        </w:rPr>
        <w:t>be</w:t>
      </w:r>
      <w:r>
        <w:rPr>
          <w:color w:val="231F20"/>
          <w:spacing w:val="-5"/>
          <w:w w:val="105"/>
        </w:rPr>
        <w:t xml:space="preserve"> </w:t>
      </w:r>
      <w:r>
        <w:rPr>
          <w:color w:val="231F20"/>
          <w:w w:val="105"/>
        </w:rPr>
        <w:t>taken</w:t>
      </w:r>
      <w:r>
        <w:rPr>
          <w:color w:val="231F20"/>
          <w:spacing w:val="-5"/>
          <w:w w:val="105"/>
        </w:rPr>
        <w:t xml:space="preserve"> </w:t>
      </w:r>
      <w:r>
        <w:rPr>
          <w:color w:val="231F20"/>
          <w:w w:val="105"/>
        </w:rPr>
        <w:t>up</w:t>
      </w:r>
      <w:r>
        <w:rPr>
          <w:color w:val="231F20"/>
          <w:spacing w:val="-5"/>
          <w:w w:val="105"/>
        </w:rPr>
        <w:t xml:space="preserve"> </w:t>
      </w:r>
      <w:r>
        <w:rPr>
          <w:color w:val="231F20"/>
          <w:w w:val="105"/>
        </w:rPr>
        <w:t>again,</w:t>
      </w:r>
      <w:r>
        <w:rPr>
          <w:color w:val="231F20"/>
          <w:spacing w:val="-5"/>
          <w:w w:val="105"/>
        </w:rPr>
        <w:t xml:space="preserve"> </w:t>
      </w:r>
      <w:r>
        <w:rPr>
          <w:color w:val="231F20"/>
          <w:w w:val="105"/>
        </w:rPr>
        <w:t>they</w:t>
      </w:r>
      <w:r>
        <w:rPr>
          <w:color w:val="231F20"/>
          <w:spacing w:val="-5"/>
          <w:w w:val="105"/>
        </w:rPr>
        <w:t xml:space="preserve"> </w:t>
      </w:r>
      <w:r>
        <w:rPr>
          <w:color w:val="231F20"/>
          <w:w w:val="105"/>
        </w:rPr>
        <w:t>intend</w:t>
      </w:r>
      <w:r>
        <w:rPr>
          <w:color w:val="231F20"/>
          <w:spacing w:val="-5"/>
          <w:w w:val="105"/>
        </w:rPr>
        <w:t xml:space="preserve"> </w:t>
      </w:r>
      <w:r>
        <w:rPr>
          <w:color w:val="231F20"/>
          <w:w w:val="105"/>
        </w:rPr>
        <w:t>to</w:t>
      </w:r>
      <w:r>
        <w:rPr>
          <w:color w:val="231F20"/>
          <w:spacing w:val="-5"/>
          <w:w w:val="105"/>
        </w:rPr>
        <w:t xml:space="preserve"> </w:t>
      </w:r>
      <w:r>
        <w:rPr>
          <w:color w:val="231F20"/>
          <w:w w:val="105"/>
        </w:rPr>
        <w:t>use</w:t>
      </w:r>
      <w:r>
        <w:rPr>
          <w:color w:val="231F20"/>
          <w:spacing w:val="-5"/>
          <w:w w:val="105"/>
        </w:rPr>
        <w:t xml:space="preserve"> </w:t>
      </w:r>
      <w:r>
        <w:rPr>
          <w:color w:val="231F20"/>
          <w:w w:val="105"/>
        </w:rPr>
        <w:t>the</w:t>
      </w:r>
      <w:r>
        <w:rPr>
          <w:color w:val="231F20"/>
          <w:spacing w:val="-5"/>
          <w:w w:val="105"/>
        </w:rPr>
        <w:t xml:space="preserve"> </w:t>
      </w:r>
      <w:r>
        <w:rPr>
          <w:color w:val="231F20"/>
          <w:w w:val="105"/>
        </w:rPr>
        <w:t>strike</w:t>
      </w:r>
      <w:r>
        <w:rPr>
          <w:color w:val="231F20"/>
          <w:spacing w:val="-5"/>
          <w:w w:val="105"/>
        </w:rPr>
        <w:t xml:space="preserve"> </w:t>
      </w:r>
      <w:r>
        <w:rPr>
          <w:color w:val="231F20"/>
          <w:w w:val="105"/>
        </w:rPr>
        <w:t>to</w:t>
      </w:r>
      <w:r>
        <w:rPr>
          <w:color w:val="231F20"/>
          <w:spacing w:val="-5"/>
          <w:w w:val="105"/>
        </w:rPr>
        <w:t xml:space="preserve"> </w:t>
      </w:r>
      <w:r>
        <w:rPr>
          <w:color w:val="231F20"/>
          <w:w w:val="105"/>
        </w:rPr>
        <w:t>kill</w:t>
      </w:r>
      <w:r>
        <w:rPr>
          <w:color w:val="231F20"/>
          <w:spacing w:val="-5"/>
          <w:w w:val="105"/>
        </w:rPr>
        <w:t xml:space="preserve"> </w:t>
      </w:r>
      <w:r>
        <w:rPr>
          <w:color w:val="231F20"/>
          <w:w w:val="105"/>
        </w:rPr>
        <w:t>you, just</w:t>
      </w:r>
      <w:r>
        <w:rPr>
          <w:color w:val="231F20"/>
          <w:spacing w:val="-20"/>
          <w:w w:val="105"/>
        </w:rPr>
        <w:t xml:space="preserve"> </w:t>
      </w:r>
      <w:r>
        <w:rPr>
          <w:color w:val="231F20"/>
          <w:w w:val="105"/>
        </w:rPr>
        <w:t>like</w:t>
      </w:r>
      <w:r>
        <w:rPr>
          <w:color w:val="231F20"/>
          <w:spacing w:val="-20"/>
          <w:w w:val="105"/>
        </w:rPr>
        <w:t xml:space="preserve"> </w:t>
      </w:r>
      <w:r>
        <w:rPr>
          <w:color w:val="231F20"/>
          <w:spacing w:val="-4"/>
          <w:w w:val="105"/>
        </w:rPr>
        <w:t>now,</w:t>
      </w:r>
      <w:r>
        <w:rPr>
          <w:color w:val="231F20"/>
          <w:spacing w:val="-20"/>
          <w:w w:val="105"/>
        </w:rPr>
        <w:t xml:space="preserve"> </w:t>
      </w:r>
      <w:r>
        <w:rPr>
          <w:color w:val="231F20"/>
          <w:w w:val="105"/>
        </w:rPr>
        <w:t>because</w:t>
      </w:r>
      <w:r>
        <w:rPr>
          <w:color w:val="231F20"/>
          <w:spacing w:val="-20"/>
          <w:w w:val="105"/>
        </w:rPr>
        <w:t xml:space="preserve"> </w:t>
      </w:r>
      <w:r>
        <w:rPr>
          <w:color w:val="231F20"/>
          <w:w w:val="105"/>
        </w:rPr>
        <w:t>we</w:t>
      </w:r>
      <w:r>
        <w:rPr>
          <w:color w:val="231F20"/>
          <w:spacing w:val="-20"/>
          <w:w w:val="105"/>
        </w:rPr>
        <w:t xml:space="preserve"> </w:t>
      </w:r>
      <w:r>
        <w:rPr>
          <w:color w:val="231F20"/>
          <w:w w:val="105"/>
        </w:rPr>
        <w:t>need</w:t>
      </w:r>
      <w:r>
        <w:rPr>
          <w:color w:val="231F20"/>
          <w:spacing w:val="-20"/>
          <w:w w:val="105"/>
        </w:rPr>
        <w:t xml:space="preserve"> </w:t>
      </w:r>
      <w:r>
        <w:rPr>
          <w:color w:val="231F20"/>
          <w:w w:val="105"/>
        </w:rPr>
        <w:t>you,</w:t>
      </w:r>
      <w:r>
        <w:rPr>
          <w:color w:val="231F20"/>
          <w:spacing w:val="-20"/>
          <w:w w:val="105"/>
        </w:rPr>
        <w:t xml:space="preserve"> </w:t>
      </w:r>
      <w:r>
        <w:rPr>
          <w:color w:val="231F20"/>
          <w:w w:val="105"/>
        </w:rPr>
        <w:t>and</w:t>
      </w:r>
      <w:r>
        <w:rPr>
          <w:color w:val="231F20"/>
          <w:spacing w:val="-20"/>
          <w:w w:val="105"/>
        </w:rPr>
        <w:t xml:space="preserve"> </w:t>
      </w:r>
      <w:r>
        <w:rPr>
          <w:color w:val="231F20"/>
          <w:w w:val="105"/>
        </w:rPr>
        <w:t>they</w:t>
      </w:r>
      <w:r>
        <w:rPr>
          <w:color w:val="231F20"/>
          <w:spacing w:val="-20"/>
          <w:w w:val="105"/>
        </w:rPr>
        <w:t xml:space="preserve"> </w:t>
      </w:r>
      <w:r>
        <w:rPr>
          <w:color w:val="231F20"/>
          <w:w w:val="105"/>
        </w:rPr>
        <w:t>want</w:t>
      </w:r>
      <w:r>
        <w:rPr>
          <w:color w:val="231F20"/>
          <w:spacing w:val="-20"/>
          <w:w w:val="105"/>
        </w:rPr>
        <w:t xml:space="preserve"> </w:t>
      </w:r>
      <w:r>
        <w:rPr>
          <w:color w:val="231F20"/>
          <w:w w:val="105"/>
        </w:rPr>
        <w:t>to</w:t>
      </w:r>
      <w:r>
        <w:rPr>
          <w:color w:val="231F20"/>
          <w:spacing w:val="-20"/>
          <w:w w:val="105"/>
        </w:rPr>
        <w:t xml:space="preserve"> </w:t>
      </w:r>
      <w:r>
        <w:rPr>
          <w:color w:val="231F20"/>
          <w:w w:val="105"/>
        </w:rPr>
        <w:t>take</w:t>
      </w:r>
      <w:r>
        <w:rPr>
          <w:color w:val="231F20"/>
          <w:spacing w:val="-20"/>
          <w:w w:val="105"/>
        </w:rPr>
        <w:t xml:space="preserve"> </w:t>
      </w:r>
      <w:r>
        <w:rPr>
          <w:color w:val="231F20"/>
          <w:w w:val="105"/>
        </w:rPr>
        <w:t>every</w:t>
      </w:r>
      <w:r>
        <w:rPr>
          <w:color w:val="231F20"/>
          <w:spacing w:val="-20"/>
          <w:w w:val="105"/>
        </w:rPr>
        <w:t xml:space="preserve"> </w:t>
      </w:r>
      <w:r>
        <w:rPr>
          <w:color w:val="231F20"/>
          <w:w w:val="105"/>
        </w:rPr>
        <w:t>trace</w:t>
      </w:r>
      <w:r>
        <w:rPr>
          <w:color w:val="231F20"/>
          <w:spacing w:val="-20"/>
          <w:w w:val="105"/>
        </w:rPr>
        <w:t xml:space="preserve"> </w:t>
      </w:r>
      <w:r>
        <w:rPr>
          <w:color w:val="231F20"/>
          <w:w w:val="105"/>
        </w:rPr>
        <w:t>of morality</w:t>
      </w:r>
      <w:r>
        <w:rPr>
          <w:color w:val="231F20"/>
          <w:spacing w:val="-17"/>
          <w:w w:val="105"/>
        </w:rPr>
        <w:t xml:space="preserve"> </w:t>
      </w:r>
      <w:r>
        <w:rPr>
          <w:color w:val="231F20"/>
          <w:w w:val="105"/>
        </w:rPr>
        <w:t>and</w:t>
      </w:r>
      <w:r>
        <w:rPr>
          <w:color w:val="231F20"/>
          <w:spacing w:val="-17"/>
          <w:w w:val="105"/>
        </w:rPr>
        <w:t xml:space="preserve"> </w:t>
      </w:r>
      <w:r>
        <w:rPr>
          <w:color w:val="231F20"/>
          <w:w w:val="105"/>
        </w:rPr>
        <w:t>solidarity</w:t>
      </w:r>
      <w:r>
        <w:rPr>
          <w:color w:val="231F20"/>
          <w:spacing w:val="-17"/>
          <w:w w:val="105"/>
        </w:rPr>
        <w:t xml:space="preserve"> </w:t>
      </w:r>
      <w:r>
        <w:rPr>
          <w:color w:val="231F20"/>
          <w:w w:val="105"/>
        </w:rPr>
        <w:t>that</w:t>
      </w:r>
      <w:r>
        <w:rPr>
          <w:color w:val="231F20"/>
          <w:spacing w:val="-17"/>
          <w:w w:val="105"/>
        </w:rPr>
        <w:t xml:space="preserve"> </w:t>
      </w:r>
      <w:r>
        <w:rPr>
          <w:color w:val="231F20"/>
          <w:w w:val="105"/>
        </w:rPr>
        <w:t>the</w:t>
      </w:r>
      <w:r>
        <w:rPr>
          <w:color w:val="231F20"/>
          <w:spacing w:val="-17"/>
          <w:w w:val="105"/>
        </w:rPr>
        <w:t xml:space="preserve"> </w:t>
      </w:r>
      <w:r>
        <w:rPr>
          <w:color w:val="231F20"/>
          <w:w w:val="105"/>
        </w:rPr>
        <w:t>sacrifice</w:t>
      </w:r>
      <w:r>
        <w:rPr>
          <w:color w:val="231F20"/>
          <w:spacing w:val="-17"/>
          <w:w w:val="105"/>
        </w:rPr>
        <w:t xml:space="preserve"> </w:t>
      </w:r>
      <w:r>
        <w:rPr>
          <w:color w:val="231F20"/>
          <w:w w:val="105"/>
        </w:rPr>
        <w:t>of</w:t>
      </w:r>
      <w:r>
        <w:rPr>
          <w:color w:val="231F20"/>
          <w:spacing w:val="-17"/>
          <w:w w:val="105"/>
        </w:rPr>
        <w:t xml:space="preserve"> </w:t>
      </w:r>
      <w:r>
        <w:rPr>
          <w:color w:val="231F20"/>
          <w:w w:val="105"/>
        </w:rPr>
        <w:t>your</w:t>
      </w:r>
      <w:r>
        <w:rPr>
          <w:color w:val="231F20"/>
          <w:spacing w:val="-17"/>
          <w:w w:val="105"/>
        </w:rPr>
        <w:t xml:space="preserve"> </w:t>
      </w:r>
      <w:r>
        <w:rPr>
          <w:color w:val="231F20"/>
          <w:w w:val="105"/>
        </w:rPr>
        <w:t>struggle</w:t>
      </w:r>
      <w:r>
        <w:rPr>
          <w:color w:val="231F20"/>
          <w:spacing w:val="-17"/>
          <w:w w:val="105"/>
        </w:rPr>
        <w:t xml:space="preserve"> </w:t>
      </w:r>
      <w:r>
        <w:rPr>
          <w:color w:val="231F20"/>
          <w:w w:val="105"/>
        </w:rPr>
        <w:t>has</w:t>
      </w:r>
      <w:r>
        <w:rPr>
          <w:color w:val="231F20"/>
          <w:spacing w:val="-17"/>
          <w:w w:val="105"/>
        </w:rPr>
        <w:t xml:space="preserve"> </w:t>
      </w:r>
      <w:r>
        <w:rPr>
          <w:color w:val="231F20"/>
          <w:w w:val="105"/>
        </w:rPr>
        <w:t>produced and</w:t>
      </w:r>
      <w:r>
        <w:rPr>
          <w:color w:val="231F20"/>
          <w:spacing w:val="-10"/>
          <w:w w:val="105"/>
        </w:rPr>
        <w:t xml:space="preserve"> </w:t>
      </w:r>
      <w:r>
        <w:rPr>
          <w:color w:val="231F20"/>
          <w:w w:val="105"/>
        </w:rPr>
        <w:t>bury</w:t>
      </w:r>
      <w:r>
        <w:rPr>
          <w:color w:val="231F20"/>
          <w:spacing w:val="-10"/>
          <w:w w:val="105"/>
        </w:rPr>
        <w:t xml:space="preserve"> </w:t>
      </w:r>
      <w:r>
        <w:rPr>
          <w:color w:val="231F20"/>
          <w:w w:val="105"/>
        </w:rPr>
        <w:t>them</w:t>
      </w:r>
      <w:r>
        <w:rPr>
          <w:color w:val="231F20"/>
          <w:spacing w:val="-10"/>
          <w:w w:val="105"/>
        </w:rPr>
        <w:t xml:space="preserve"> </w:t>
      </w:r>
      <w:r>
        <w:rPr>
          <w:color w:val="231F20"/>
          <w:w w:val="105"/>
        </w:rPr>
        <w:t>under</w:t>
      </w:r>
      <w:r>
        <w:rPr>
          <w:color w:val="231F20"/>
          <w:spacing w:val="-10"/>
          <w:w w:val="105"/>
        </w:rPr>
        <w:t xml:space="preserve"> </w:t>
      </w:r>
      <w:r>
        <w:rPr>
          <w:color w:val="231F20"/>
          <w:w w:val="105"/>
        </w:rPr>
        <w:t>a</w:t>
      </w:r>
      <w:r>
        <w:rPr>
          <w:color w:val="231F20"/>
          <w:spacing w:val="-10"/>
          <w:w w:val="105"/>
        </w:rPr>
        <w:t xml:space="preserve"> </w:t>
      </w:r>
      <w:r>
        <w:rPr>
          <w:color w:val="231F20"/>
          <w:w w:val="105"/>
        </w:rPr>
        <w:t>mountain</w:t>
      </w:r>
      <w:r>
        <w:rPr>
          <w:color w:val="231F20"/>
          <w:spacing w:val="-10"/>
          <w:w w:val="105"/>
        </w:rPr>
        <w:t xml:space="preserve"> </w:t>
      </w:r>
      <w:r>
        <w:rPr>
          <w:color w:val="231F20"/>
          <w:w w:val="105"/>
        </w:rPr>
        <w:t>of</w:t>
      </w:r>
      <w:r>
        <w:rPr>
          <w:color w:val="231F20"/>
          <w:spacing w:val="-10"/>
          <w:w w:val="105"/>
        </w:rPr>
        <w:t xml:space="preserve"> </w:t>
      </w:r>
      <w:r>
        <w:rPr>
          <w:color w:val="231F20"/>
          <w:w w:val="105"/>
        </w:rPr>
        <w:t>shit,</w:t>
      </w:r>
      <w:r>
        <w:rPr>
          <w:color w:val="231F20"/>
          <w:spacing w:val="-10"/>
          <w:w w:val="105"/>
        </w:rPr>
        <w:t xml:space="preserve"> </w:t>
      </w:r>
      <w:r>
        <w:rPr>
          <w:color w:val="231F20"/>
          <w:w w:val="105"/>
        </w:rPr>
        <w:t>a</w:t>
      </w:r>
      <w:r>
        <w:rPr>
          <w:color w:val="231F20"/>
          <w:spacing w:val="-10"/>
          <w:w w:val="105"/>
        </w:rPr>
        <w:t xml:space="preserve"> </w:t>
      </w:r>
      <w:r>
        <w:rPr>
          <w:color w:val="231F20"/>
          <w:w w:val="105"/>
        </w:rPr>
        <w:t>mountain</w:t>
      </w:r>
      <w:r>
        <w:rPr>
          <w:color w:val="231F20"/>
          <w:spacing w:val="-10"/>
          <w:w w:val="105"/>
        </w:rPr>
        <w:t xml:space="preserve"> </w:t>
      </w:r>
      <w:r>
        <w:rPr>
          <w:color w:val="231F20"/>
          <w:w w:val="105"/>
        </w:rPr>
        <w:t>of</w:t>
      </w:r>
      <w:r>
        <w:rPr>
          <w:color w:val="231F20"/>
          <w:spacing w:val="-10"/>
          <w:w w:val="105"/>
        </w:rPr>
        <w:t xml:space="preserve"> </w:t>
      </w:r>
      <w:r>
        <w:rPr>
          <w:color w:val="231F20"/>
          <w:w w:val="105"/>
        </w:rPr>
        <w:t>cynical</w:t>
      </w:r>
      <w:r>
        <w:rPr>
          <w:color w:val="231F20"/>
          <w:spacing w:val="-10"/>
          <w:w w:val="105"/>
        </w:rPr>
        <w:t xml:space="preserve"> </w:t>
      </w:r>
      <w:r>
        <w:rPr>
          <w:color w:val="231F20"/>
          <w:w w:val="105"/>
        </w:rPr>
        <w:t>rumormongering and</w:t>
      </w:r>
      <w:r>
        <w:rPr>
          <w:color w:val="231F20"/>
          <w:spacing w:val="13"/>
          <w:w w:val="105"/>
        </w:rPr>
        <w:t xml:space="preserve"> </w:t>
      </w:r>
      <w:r>
        <w:rPr>
          <w:color w:val="231F20"/>
          <w:w w:val="105"/>
        </w:rPr>
        <w:t>propaganda.</w:t>
      </w:r>
    </w:p>
    <w:p w14:paraId="6F553072" w14:textId="77777777" w:rsidR="002653E8" w:rsidRDefault="003115E3">
      <w:pPr>
        <w:pStyle w:val="a3"/>
        <w:spacing w:line="264" w:lineRule="auto"/>
        <w:ind w:left="1327" w:right="1145" w:firstLine="210"/>
        <w:jc w:val="both"/>
      </w:pPr>
      <w:r>
        <w:rPr>
          <w:color w:val="231F20"/>
        </w:rPr>
        <w:t xml:space="preserve">They’d like to have a good long laugh at our expense. Those who understand the struggle in the isolation holes (the dungeons, the torture of force-feeding)—those who understand the prisoners’ determination, know that it is possible to be free. We will not make any further demands, and the ongoing activity and solidarity of the </w:t>
      </w:r>
      <w:r w:rsidR="00C507A5">
        <w:rPr>
          <w:color w:val="231F20"/>
        </w:rPr>
        <w:t>red army faction</w:t>
      </w:r>
      <w:r>
        <w:rPr>
          <w:color w:val="231F20"/>
        </w:rPr>
        <w:t xml:space="preserve"> will not be limited to communiqués.</w:t>
      </w:r>
    </w:p>
    <w:p w14:paraId="3230756F" w14:textId="77777777" w:rsidR="002653E8" w:rsidRDefault="003115E3">
      <w:pPr>
        <w:pStyle w:val="a3"/>
        <w:spacing w:line="264" w:lineRule="auto"/>
        <w:ind w:left="1328" w:right="1146" w:firstLine="210"/>
        <w:jc w:val="both"/>
      </w:pPr>
      <w:r>
        <w:rPr>
          <w:color w:val="231F20"/>
        </w:rPr>
        <w:t>We repeat: should a prisoner be murdered—and death in an isolation cell is nothing other than murder—we will respond immediately, both inside and outside of Germany.</w:t>
      </w:r>
    </w:p>
    <w:p w14:paraId="0815EC15" w14:textId="77777777" w:rsidR="002653E8" w:rsidRDefault="003115E3">
      <w:pPr>
        <w:pStyle w:val="a3"/>
        <w:spacing w:line="264" w:lineRule="auto"/>
        <w:ind w:left="1328" w:right="1145" w:firstLine="210"/>
        <w:jc w:val="both"/>
      </w:pPr>
      <w:r>
        <w:rPr>
          <w:color w:val="231F20"/>
        </w:rPr>
        <w:t xml:space="preserve">Should Andreas, Gudrun, and Jan be killed, the apologists  for  the hard line will find that they are not the only ones with weapons at their disposal. They will find that we are </w:t>
      </w:r>
      <w:r>
        <w:rPr>
          <w:color w:val="231F20"/>
          <w:spacing w:val="-3"/>
        </w:rPr>
        <w:t xml:space="preserve">many, </w:t>
      </w:r>
      <w:r>
        <w:rPr>
          <w:color w:val="231F20"/>
        </w:rPr>
        <w:t>and that we have enough love—as well as enough hate and imagination—to use both our weapons and their weapons against them, and that their pain  will  equal ours.</w:t>
      </w:r>
    </w:p>
    <w:p w14:paraId="4C0EA36A" w14:textId="77777777" w:rsidR="002653E8" w:rsidRDefault="002653E8">
      <w:pPr>
        <w:pStyle w:val="a3"/>
        <w:spacing w:before="4"/>
        <w:rPr>
          <w:sz w:val="10"/>
        </w:rPr>
      </w:pPr>
    </w:p>
    <w:p w14:paraId="68A005C7" w14:textId="77777777" w:rsidR="002653E8" w:rsidRDefault="002653E8">
      <w:pPr>
        <w:rPr>
          <w:sz w:val="10"/>
        </w:rPr>
        <w:sectPr w:rsidR="002653E8">
          <w:footerReference w:type="even" r:id="rId417"/>
          <w:footerReference w:type="default" r:id="rId418"/>
          <w:pgSz w:w="8640" w:h="12960"/>
          <w:pgMar w:top="1060" w:right="0" w:bottom="1040" w:left="0" w:header="0" w:footer="850" w:gutter="0"/>
          <w:pgNumType w:start="497"/>
          <w:cols w:space="720"/>
        </w:sectPr>
      </w:pPr>
    </w:p>
    <w:p w14:paraId="5E0A8F30" w14:textId="77777777" w:rsidR="002653E8" w:rsidRDefault="003115E3">
      <w:pPr>
        <w:pStyle w:val="a3"/>
        <w:spacing w:before="99" w:line="261" w:lineRule="auto"/>
        <w:ind w:left="1327"/>
      </w:pPr>
      <w:r>
        <w:rPr>
          <w:color w:val="231F20"/>
          <w:w w:val="115"/>
        </w:rPr>
        <w:t>“THE SOLIDARITy OF THE PEOPLE IS GROUNDED IN REVOLT.”</w:t>
      </w:r>
    </w:p>
    <w:p w14:paraId="562413DB" w14:textId="77777777" w:rsidR="002653E8" w:rsidRDefault="003115E3">
      <w:pPr>
        <w:pStyle w:val="a3"/>
        <w:rPr>
          <w:sz w:val="22"/>
        </w:rPr>
      </w:pPr>
      <w:r>
        <w:br w:type="column"/>
      </w:r>
    </w:p>
    <w:p w14:paraId="411A9638" w14:textId="77777777" w:rsidR="002653E8" w:rsidRDefault="002653E8">
      <w:pPr>
        <w:pStyle w:val="a3"/>
        <w:rPr>
          <w:sz w:val="22"/>
        </w:rPr>
      </w:pPr>
    </w:p>
    <w:p w14:paraId="3401BE22" w14:textId="77777777" w:rsidR="002653E8" w:rsidRDefault="002653E8">
      <w:pPr>
        <w:pStyle w:val="a3"/>
        <w:rPr>
          <w:sz w:val="19"/>
        </w:rPr>
      </w:pPr>
    </w:p>
    <w:p w14:paraId="41E7E562" w14:textId="77777777" w:rsidR="002653E8" w:rsidRDefault="00C507A5">
      <w:pPr>
        <w:pStyle w:val="a3"/>
        <w:ind w:left="2171"/>
      </w:pPr>
      <w:r>
        <w:rPr>
          <w:color w:val="231F20"/>
          <w:w w:val="110"/>
        </w:rPr>
        <w:t>red army faction</w:t>
      </w:r>
    </w:p>
    <w:p w14:paraId="7857C1EE" w14:textId="77777777" w:rsidR="002653E8" w:rsidRDefault="003115E3">
      <w:pPr>
        <w:pStyle w:val="a3"/>
        <w:spacing w:before="22"/>
        <w:ind w:left="971"/>
      </w:pPr>
      <w:r>
        <w:rPr>
          <w:color w:val="231F20"/>
        </w:rPr>
        <w:t>September 3, 1977</w:t>
      </w:r>
    </w:p>
    <w:p w14:paraId="59B7C5CA" w14:textId="77777777" w:rsidR="002653E8" w:rsidRDefault="002653E8">
      <w:pPr>
        <w:sectPr w:rsidR="002653E8">
          <w:type w:val="continuous"/>
          <w:pgSz w:w="8640" w:h="12960"/>
          <w:pgMar w:top="0" w:right="0" w:bottom="0" w:left="0" w:header="720" w:footer="720" w:gutter="0"/>
          <w:cols w:num="2" w:space="720" w:equalWidth="0">
            <w:col w:w="4863" w:space="40"/>
            <w:col w:w="3737"/>
          </w:cols>
        </w:sectPr>
      </w:pPr>
    </w:p>
    <w:p w14:paraId="7A2BB9CF" w14:textId="77777777" w:rsidR="002653E8" w:rsidRDefault="003115E3">
      <w:pPr>
        <w:pStyle w:val="4"/>
        <w:ind w:left="2143"/>
      </w:pPr>
      <w:bookmarkStart w:id="250" w:name="The_Schleyer_Communiqués_(September–Octo"/>
      <w:bookmarkStart w:id="251" w:name="_bookmark77"/>
      <w:bookmarkEnd w:id="250"/>
      <w:bookmarkEnd w:id="251"/>
      <w:r>
        <w:rPr>
          <w:color w:val="231F20"/>
        </w:rPr>
        <w:lastRenderedPageBreak/>
        <w:t>The Schleyer Communiqués</w:t>
      </w:r>
    </w:p>
    <w:p w14:paraId="7A843BD2" w14:textId="77777777" w:rsidR="002653E8" w:rsidRDefault="003115E3">
      <w:pPr>
        <w:spacing w:before="237"/>
        <w:ind w:left="1147"/>
      </w:pPr>
      <w:r>
        <w:rPr>
          <w:color w:val="231F20"/>
          <w:w w:val="110"/>
        </w:rPr>
        <w:t>monday, sep tember 5, 1977</w:t>
      </w:r>
    </w:p>
    <w:p w14:paraId="3DF7F0C8" w14:textId="77777777" w:rsidR="002653E8" w:rsidRDefault="003115E3">
      <w:pPr>
        <w:pStyle w:val="a3"/>
        <w:spacing w:before="18" w:line="264" w:lineRule="auto"/>
        <w:ind w:left="1147" w:right="1326"/>
        <w:jc w:val="both"/>
      </w:pPr>
      <w:r>
        <w:rPr>
          <w:color w:val="231F20"/>
        </w:rPr>
        <w:t>The federal government must take steps to ensure that all aspects of the manhunt cease—or we will immediately shoot Schleyer without even engaging in negotiations for his freedom.</w:t>
      </w:r>
    </w:p>
    <w:p w14:paraId="6BDD0E7B" w14:textId="77777777" w:rsidR="002653E8" w:rsidRDefault="002653E8">
      <w:pPr>
        <w:pStyle w:val="a3"/>
        <w:rPr>
          <w:sz w:val="22"/>
        </w:rPr>
      </w:pPr>
    </w:p>
    <w:p w14:paraId="1A817F1E" w14:textId="77777777" w:rsidR="002653E8" w:rsidRDefault="002653E8">
      <w:pPr>
        <w:pStyle w:val="a3"/>
        <w:spacing w:before="10"/>
        <w:rPr>
          <w:sz w:val="19"/>
        </w:rPr>
      </w:pPr>
    </w:p>
    <w:p w14:paraId="74F6743E" w14:textId="77777777" w:rsidR="002653E8" w:rsidRDefault="003115E3">
      <w:pPr>
        <w:spacing w:before="1"/>
        <w:ind w:left="1147"/>
      </w:pPr>
      <w:r>
        <w:rPr>
          <w:color w:val="231F20"/>
          <w:w w:val="110"/>
        </w:rPr>
        <w:t>tuesday, sep tember 6, 1977</w:t>
      </w:r>
    </w:p>
    <w:p w14:paraId="2DD66044" w14:textId="77777777" w:rsidR="002653E8" w:rsidRDefault="003115E3">
      <w:pPr>
        <w:pStyle w:val="a3"/>
        <w:spacing w:before="17" w:line="264" w:lineRule="auto"/>
        <w:ind w:left="1147" w:right="1326"/>
        <w:jc w:val="both"/>
      </w:pPr>
      <w:r>
        <w:rPr>
          <w:color w:val="231F20"/>
        </w:rPr>
        <w:t xml:space="preserve">On Monday September </w:t>
      </w:r>
      <w:r>
        <w:rPr>
          <w:color w:val="231F20"/>
          <w:spacing w:val="-4"/>
        </w:rPr>
        <w:t xml:space="preserve">5, </w:t>
      </w:r>
      <w:r>
        <w:rPr>
          <w:color w:val="231F20"/>
          <w:spacing w:val="-6"/>
        </w:rPr>
        <w:t>1977,</w:t>
      </w:r>
      <w:r>
        <w:rPr>
          <w:color w:val="231F20"/>
          <w:spacing w:val="31"/>
        </w:rPr>
        <w:t xml:space="preserve"> </w:t>
      </w:r>
      <w:r>
        <w:rPr>
          <w:color w:val="231F20"/>
        </w:rPr>
        <w:t xml:space="preserve">the  Siegfried  Hausner  Commando  took Hanns </w:t>
      </w:r>
      <w:r>
        <w:rPr>
          <w:color w:val="231F20"/>
          <w:spacing w:val="1"/>
        </w:rPr>
        <w:t xml:space="preserve">Martin </w:t>
      </w:r>
      <w:r>
        <w:rPr>
          <w:color w:val="231F20"/>
        </w:rPr>
        <w:t>Schleyer, the President of the Federal Association    of German Industries and the President of the Employers Association, captive. Regarding the conditions for his release, we will repeat our   first communiqué to the federal government, which we have learnt has been suppressed since yesterday by the security staff. That is, all</w:t>
      </w:r>
      <w:r>
        <w:rPr>
          <w:color w:val="231F20"/>
          <w:spacing w:val="-31"/>
        </w:rPr>
        <w:t xml:space="preserve"> </w:t>
      </w:r>
      <w:r>
        <w:rPr>
          <w:color w:val="231F20"/>
        </w:rPr>
        <w:t>aspects of the search for us must be immediately discontinued or Schleyer will be shot immediately. As soon as the manhunt stops, Schleyer will be released under the following</w:t>
      </w:r>
      <w:r>
        <w:rPr>
          <w:color w:val="231F20"/>
          <w:spacing w:val="41"/>
        </w:rPr>
        <w:t xml:space="preserve"> </w:t>
      </w:r>
      <w:r>
        <w:rPr>
          <w:color w:val="231F20"/>
        </w:rPr>
        <w:t>conditions:</w:t>
      </w:r>
    </w:p>
    <w:p w14:paraId="1437E05B" w14:textId="77777777" w:rsidR="002653E8" w:rsidRDefault="00C507A5">
      <w:pPr>
        <w:pStyle w:val="a3"/>
        <w:spacing w:line="264" w:lineRule="auto"/>
        <w:ind w:left="1147" w:right="1325" w:firstLine="210"/>
        <w:jc w:val="both"/>
      </w:pPr>
      <w:r>
        <w:rPr>
          <w:color w:val="231F20"/>
          <w:spacing w:val="5"/>
        </w:rPr>
        <w:t>red army faction</w:t>
      </w:r>
      <w:r w:rsidR="003115E3">
        <w:rPr>
          <w:color w:val="231F20"/>
          <w:spacing w:val="5"/>
        </w:rPr>
        <w:t xml:space="preserve"> </w:t>
      </w:r>
      <w:r w:rsidR="003115E3">
        <w:rPr>
          <w:color w:val="231F20"/>
        </w:rPr>
        <w:t xml:space="preserve">prisoners: Andreas Baader, Gudrun Ensslin, Jan-Carl Raspe, Verena Becker, Werner Hoppe, Karl-Heinz Dellwo, Hanna Krabbe,  Bernd Rössner, Ingrid Schubert, and Irmgard Möller must be released  in exchange for Schleyer, and must be free to travel to a country of   their choosing. Günter Sonnenberg, who  is  unfit  for  imprisonment  due to a gunshot injury he suffered during his arrest, must be </w:t>
      </w:r>
      <w:r w:rsidR="003115E3">
        <w:rPr>
          <w:color w:val="231F20"/>
          <w:spacing w:val="1"/>
        </w:rPr>
        <w:t>imme</w:t>
      </w:r>
      <w:r w:rsidR="003115E3">
        <w:rPr>
          <w:color w:val="231F20"/>
        </w:rPr>
        <w:t xml:space="preserve">diately released. The warrant for his arrest must be lifted. Günter will leave with the </w:t>
      </w:r>
      <w:r w:rsidR="003115E3">
        <w:rPr>
          <w:color w:val="231F20"/>
          <w:spacing w:val="-5"/>
        </w:rPr>
        <w:t xml:space="preserve">10 </w:t>
      </w:r>
      <w:r w:rsidR="003115E3">
        <w:rPr>
          <w:color w:val="231F20"/>
        </w:rPr>
        <w:t xml:space="preserve">other prisoners, with whom he must immediately be placed so they can talk. The prisoners must be assembled at 8:00 </w:t>
      </w:r>
      <w:r w:rsidR="003115E3">
        <w:rPr>
          <w:color w:val="231F20"/>
          <w:spacing w:val="2"/>
        </w:rPr>
        <w:t xml:space="preserve">am   </w:t>
      </w:r>
      <w:r w:rsidR="003115E3">
        <w:rPr>
          <w:color w:val="231F20"/>
        </w:rPr>
        <w:t xml:space="preserve">on Wednesday at the Frankfurt Airport. Between then and their departure at 12:00 noon, they must be allowed to talk freely and unimpeded amongst themselves. At 10:00 </w:t>
      </w:r>
      <w:r w:rsidR="003115E3">
        <w:rPr>
          <w:color w:val="231F20"/>
          <w:spacing w:val="2"/>
        </w:rPr>
        <w:t xml:space="preserve">am, </w:t>
      </w:r>
      <w:r w:rsidR="003115E3">
        <w:rPr>
          <w:color w:val="231F20"/>
        </w:rPr>
        <w:t>one of the prisoners will enter into direct communication with the commando via German television to inform</w:t>
      </w:r>
      <w:r w:rsidR="003115E3">
        <w:rPr>
          <w:color w:val="231F20"/>
          <w:spacing w:val="11"/>
        </w:rPr>
        <w:t xml:space="preserve"> </w:t>
      </w:r>
      <w:r w:rsidR="003115E3">
        <w:rPr>
          <w:color w:val="231F20"/>
        </w:rPr>
        <w:t>us</w:t>
      </w:r>
      <w:r w:rsidR="003115E3">
        <w:rPr>
          <w:color w:val="231F20"/>
          <w:spacing w:val="11"/>
        </w:rPr>
        <w:t xml:space="preserve"> </w:t>
      </w:r>
      <w:r w:rsidR="003115E3">
        <w:rPr>
          <w:color w:val="231F20"/>
        </w:rPr>
        <w:t>that</w:t>
      </w:r>
      <w:r w:rsidR="003115E3">
        <w:rPr>
          <w:color w:val="231F20"/>
          <w:spacing w:val="11"/>
        </w:rPr>
        <w:t xml:space="preserve"> </w:t>
      </w:r>
      <w:r w:rsidR="003115E3">
        <w:rPr>
          <w:color w:val="231F20"/>
        </w:rPr>
        <w:t>their</w:t>
      </w:r>
      <w:r w:rsidR="003115E3">
        <w:rPr>
          <w:color w:val="231F20"/>
          <w:spacing w:val="11"/>
        </w:rPr>
        <w:t xml:space="preserve"> </w:t>
      </w:r>
      <w:r w:rsidR="003115E3">
        <w:rPr>
          <w:color w:val="231F20"/>
        </w:rPr>
        <w:t>departure</w:t>
      </w:r>
      <w:r w:rsidR="003115E3">
        <w:rPr>
          <w:color w:val="231F20"/>
          <w:spacing w:val="11"/>
        </w:rPr>
        <w:t xml:space="preserve"> </w:t>
      </w:r>
      <w:r w:rsidR="003115E3">
        <w:rPr>
          <w:color w:val="231F20"/>
        </w:rPr>
        <w:t>is</w:t>
      </w:r>
      <w:r w:rsidR="003115E3">
        <w:rPr>
          <w:color w:val="231F20"/>
          <w:spacing w:val="11"/>
        </w:rPr>
        <w:t xml:space="preserve"> </w:t>
      </w:r>
      <w:r w:rsidR="003115E3">
        <w:rPr>
          <w:color w:val="231F20"/>
        </w:rPr>
        <w:t>unfolding</w:t>
      </w:r>
      <w:r w:rsidR="003115E3">
        <w:rPr>
          <w:color w:val="231F20"/>
          <w:spacing w:val="11"/>
        </w:rPr>
        <w:t xml:space="preserve"> </w:t>
      </w:r>
      <w:r w:rsidR="003115E3">
        <w:rPr>
          <w:color w:val="231F20"/>
        </w:rPr>
        <w:t>according</w:t>
      </w:r>
      <w:r w:rsidR="003115E3">
        <w:rPr>
          <w:color w:val="231F20"/>
          <w:spacing w:val="11"/>
        </w:rPr>
        <w:t xml:space="preserve"> </w:t>
      </w:r>
      <w:r w:rsidR="003115E3">
        <w:rPr>
          <w:color w:val="231F20"/>
        </w:rPr>
        <w:t>to</w:t>
      </w:r>
      <w:r w:rsidR="003115E3">
        <w:rPr>
          <w:color w:val="231F20"/>
          <w:spacing w:val="11"/>
        </w:rPr>
        <w:t xml:space="preserve"> </w:t>
      </w:r>
      <w:r w:rsidR="003115E3">
        <w:rPr>
          <w:color w:val="231F20"/>
        </w:rPr>
        <w:t>plan.</w:t>
      </w:r>
    </w:p>
    <w:p w14:paraId="3EA6B9C2" w14:textId="77777777" w:rsidR="002653E8" w:rsidRDefault="003115E3">
      <w:pPr>
        <w:pStyle w:val="a3"/>
        <w:spacing w:line="219" w:lineRule="exact"/>
        <w:ind w:left="1358"/>
      </w:pPr>
      <w:r>
        <w:rPr>
          <w:color w:val="231F20"/>
        </w:rPr>
        <w:t>For purposes of public oversight and to safeguard the prisoners’</w:t>
      </w:r>
    </w:p>
    <w:p w14:paraId="1D3111E2" w14:textId="77777777" w:rsidR="002653E8" w:rsidRDefault="003115E3">
      <w:pPr>
        <w:pStyle w:val="a3"/>
        <w:spacing w:before="13" w:line="264" w:lineRule="auto"/>
        <w:ind w:left="1148" w:right="1325"/>
        <w:jc w:val="both"/>
      </w:pPr>
      <w:r>
        <w:rPr>
          <w:color w:val="231F20"/>
        </w:rPr>
        <w:t>lives between takeoff and landing, we propose that the prisoners be accompanied by Payot, the General Secretary of the United Nations’ International Federation of Human Rights, and Pastor Niemöller. We request that they accept this role to ensure that the prisoners arrive at their chosen destination alive. Naturally, we would agree to any alternative proposal from the prisoners.</w:t>
      </w:r>
    </w:p>
    <w:p w14:paraId="7E87CCBC" w14:textId="77777777" w:rsidR="002653E8" w:rsidRDefault="002653E8">
      <w:pPr>
        <w:spacing w:line="264" w:lineRule="auto"/>
        <w:jc w:val="both"/>
        <w:sectPr w:rsidR="002653E8">
          <w:pgSz w:w="8640" w:h="12960"/>
          <w:pgMar w:top="1220" w:right="0" w:bottom="1040" w:left="0" w:header="0" w:footer="850" w:gutter="0"/>
          <w:cols w:space="720"/>
        </w:sectPr>
      </w:pPr>
    </w:p>
    <w:p w14:paraId="3AC64CFF" w14:textId="77777777" w:rsidR="002653E8" w:rsidRDefault="003115E3">
      <w:pPr>
        <w:pStyle w:val="a3"/>
        <w:spacing w:before="86" w:line="264" w:lineRule="auto"/>
        <w:ind w:left="1327" w:right="1145" w:firstLine="210"/>
        <w:jc w:val="both"/>
      </w:pPr>
      <w:r>
        <w:rPr>
          <w:color w:val="231F20"/>
        </w:rPr>
        <w:lastRenderedPageBreak/>
        <w:t xml:space="preserve">Each prisoner will be given 100,000 dm. This communiqué, which  can be authenticated by Schleyer’s photo and his letter, must be broadcast unedited and unaltered on the </w:t>
      </w:r>
      <w:r>
        <w:rPr>
          <w:i/>
          <w:color w:val="231F20"/>
        </w:rPr>
        <w:t xml:space="preserve">Tagesschau </w:t>
      </w:r>
      <w:r>
        <w:rPr>
          <w:color w:val="231F20"/>
        </w:rPr>
        <w:t xml:space="preserve">this evening at 8:00 pm. </w:t>
      </w:r>
      <w:r>
        <w:rPr>
          <w:color w:val="231F20"/>
          <w:spacing w:val="-5"/>
        </w:rPr>
        <w:t xml:space="preserve">We </w:t>
      </w:r>
      <w:r>
        <w:rPr>
          <w:color w:val="231F20"/>
        </w:rPr>
        <w:t xml:space="preserve">will establish the concrete details for freeing Schleyer as soon as we receive confirmation that the prisoners have been freed, that they </w:t>
      </w:r>
      <w:r>
        <w:rPr>
          <w:color w:val="231F20"/>
          <w:spacing w:val="-4"/>
        </w:rPr>
        <w:t xml:space="preserve">won’t </w:t>
      </w:r>
      <w:r>
        <w:rPr>
          <w:color w:val="231F20"/>
        </w:rPr>
        <w:t xml:space="preserve">be extradited, and when the federal government releases a statement guaranteeing that it </w:t>
      </w:r>
      <w:r>
        <w:rPr>
          <w:color w:val="231F20"/>
          <w:spacing w:val="-4"/>
        </w:rPr>
        <w:t xml:space="preserve">won’t </w:t>
      </w:r>
      <w:r>
        <w:rPr>
          <w:color w:val="231F20"/>
        </w:rPr>
        <w:t xml:space="preserve">pursue extradition. </w:t>
      </w:r>
      <w:r>
        <w:rPr>
          <w:color w:val="231F20"/>
          <w:spacing w:val="-5"/>
        </w:rPr>
        <w:t xml:space="preserve">We </w:t>
      </w:r>
      <w:r>
        <w:rPr>
          <w:color w:val="231F20"/>
        </w:rPr>
        <w:t>are assuming that Schmidt, who demonstrated in Stockholm how quickly he can make decisions, will be equally quick this time given his personal connection to</w:t>
      </w:r>
      <w:r>
        <w:rPr>
          <w:color w:val="231F20"/>
          <w:spacing w:val="10"/>
        </w:rPr>
        <w:t xml:space="preserve"> </w:t>
      </w:r>
      <w:r>
        <w:rPr>
          <w:color w:val="231F20"/>
        </w:rPr>
        <w:t>this</w:t>
      </w:r>
      <w:r>
        <w:rPr>
          <w:color w:val="231F20"/>
          <w:spacing w:val="10"/>
        </w:rPr>
        <w:t xml:space="preserve"> </w:t>
      </w:r>
      <w:r>
        <w:rPr>
          <w:color w:val="231F20"/>
        </w:rPr>
        <w:t>greasy</w:t>
      </w:r>
      <w:r>
        <w:rPr>
          <w:color w:val="231F20"/>
          <w:spacing w:val="10"/>
        </w:rPr>
        <w:t xml:space="preserve"> </w:t>
      </w:r>
      <w:r>
        <w:rPr>
          <w:color w:val="231F20"/>
        </w:rPr>
        <w:t>magnate</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cream</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national</w:t>
      </w:r>
      <w:r>
        <w:rPr>
          <w:color w:val="231F20"/>
          <w:spacing w:val="10"/>
        </w:rPr>
        <w:t xml:space="preserve"> </w:t>
      </w:r>
      <w:r>
        <w:rPr>
          <w:color w:val="231F20"/>
        </w:rPr>
        <w:t>business</w:t>
      </w:r>
      <w:r>
        <w:rPr>
          <w:color w:val="231F20"/>
          <w:spacing w:val="10"/>
        </w:rPr>
        <w:t xml:space="preserve"> </w:t>
      </w:r>
      <w:r>
        <w:rPr>
          <w:color w:val="231F20"/>
        </w:rPr>
        <w:t>world.</w:t>
      </w:r>
    </w:p>
    <w:p w14:paraId="6484A07C" w14:textId="77777777" w:rsidR="002653E8" w:rsidRDefault="003115E3">
      <w:pPr>
        <w:pStyle w:val="a3"/>
        <w:spacing w:before="117"/>
        <w:ind w:left="4849"/>
      </w:pPr>
      <w:r>
        <w:rPr>
          <w:color w:val="231F20"/>
        </w:rPr>
        <w:t>Siegfried Hausner Commando</w:t>
      </w:r>
    </w:p>
    <w:p w14:paraId="4F0DAAAF" w14:textId="77777777" w:rsidR="002653E8" w:rsidRDefault="002653E8">
      <w:pPr>
        <w:pStyle w:val="a3"/>
        <w:rPr>
          <w:sz w:val="22"/>
        </w:rPr>
      </w:pPr>
    </w:p>
    <w:p w14:paraId="5A59DC28" w14:textId="77777777" w:rsidR="002653E8" w:rsidRDefault="002653E8">
      <w:pPr>
        <w:pStyle w:val="a3"/>
        <w:rPr>
          <w:sz w:val="22"/>
        </w:rPr>
      </w:pPr>
    </w:p>
    <w:p w14:paraId="445FC98A" w14:textId="70391A9D" w:rsidR="002653E8" w:rsidRDefault="003115E3">
      <w:pPr>
        <w:spacing w:before="131"/>
        <w:ind w:left="1327"/>
      </w:pPr>
      <w:r>
        <w:rPr>
          <w:color w:val="231F20"/>
          <w:w w:val="110"/>
        </w:rPr>
        <w:t>wednesday, sep tember 7, 1977</w:t>
      </w:r>
    </w:p>
    <w:p w14:paraId="29C39943" w14:textId="77777777" w:rsidR="002653E8" w:rsidRDefault="003115E3">
      <w:pPr>
        <w:pStyle w:val="a3"/>
        <w:spacing w:before="18" w:line="264" w:lineRule="auto"/>
        <w:ind w:left="1327" w:right="1145"/>
        <w:jc w:val="both"/>
      </w:pPr>
      <w:r>
        <w:rPr>
          <w:color w:val="231F20"/>
          <w:spacing w:val="-5"/>
        </w:rPr>
        <w:t xml:space="preserve">We </w:t>
      </w:r>
      <w:r>
        <w:rPr>
          <w:color w:val="231F20"/>
        </w:rPr>
        <w:t xml:space="preserve">presume that the decision not to broadcast our demands and ultimatum on yesterday’s 8:00 pm </w:t>
      </w:r>
      <w:r>
        <w:rPr>
          <w:i/>
          <w:color w:val="231F20"/>
        </w:rPr>
        <w:t>Tagesschau</w:t>
      </w:r>
      <w:r>
        <w:rPr>
          <w:color w:val="231F20"/>
        </w:rPr>
        <w:t xml:space="preserve">, as we had stipulated, is the result of a decision taken behind closed doors by the Crisis Management </w:t>
      </w:r>
      <w:r>
        <w:rPr>
          <w:color w:val="231F20"/>
          <w:spacing w:val="-3"/>
        </w:rPr>
        <w:t xml:space="preserve">Team </w:t>
      </w:r>
      <w:r>
        <w:rPr>
          <w:color w:val="231F20"/>
        </w:rPr>
        <w:t xml:space="preserve">and reflects a decision by the federal government to resolve the situation militarily. The </w:t>
      </w:r>
      <w:r>
        <w:rPr>
          <w:color w:val="231F20"/>
          <w:spacing w:val="-4"/>
        </w:rPr>
        <w:t xml:space="preserve">BKA’s ploy, </w:t>
      </w:r>
      <w:r>
        <w:rPr>
          <w:color w:val="231F20"/>
        </w:rPr>
        <w:t xml:space="preserve">demanding proof that Schleyer is alive, even though they received Schleyer’s handwritten letter yesterday and are also in possession of a photo of him taken yesterday, has the same function of buying time. </w:t>
      </w:r>
      <w:r>
        <w:rPr>
          <w:color w:val="231F20"/>
          <w:spacing w:val="-5"/>
        </w:rPr>
        <w:t xml:space="preserve">We  </w:t>
      </w:r>
      <w:r>
        <w:rPr>
          <w:color w:val="231F20"/>
        </w:rPr>
        <w:t xml:space="preserve">will only respond to the questions   the </w:t>
      </w:r>
      <w:r>
        <w:rPr>
          <w:color w:val="231F20"/>
          <w:spacing w:val="2"/>
        </w:rPr>
        <w:t xml:space="preserve">BKA </w:t>
      </w:r>
      <w:r>
        <w:rPr>
          <w:color w:val="231F20"/>
        </w:rPr>
        <w:t xml:space="preserve">published </w:t>
      </w:r>
      <w:r>
        <w:rPr>
          <w:color w:val="231F20"/>
          <w:spacing w:val="-3"/>
        </w:rPr>
        <w:t xml:space="preserve">today,  </w:t>
      </w:r>
      <w:r>
        <w:rPr>
          <w:color w:val="231F20"/>
        </w:rPr>
        <w:t>when it is clear that the federal government  is holding up its end of the deal—and we are running out of patience repeating</w:t>
      </w:r>
      <w:r>
        <w:rPr>
          <w:color w:val="231F20"/>
          <w:spacing w:val="10"/>
        </w:rPr>
        <w:t xml:space="preserve"> </w:t>
      </w:r>
      <w:r>
        <w:rPr>
          <w:color w:val="231F20"/>
        </w:rPr>
        <w:t>this:</w:t>
      </w:r>
    </w:p>
    <w:p w14:paraId="4FDB68EB" w14:textId="77777777" w:rsidR="002653E8" w:rsidRDefault="003115E3">
      <w:pPr>
        <w:pStyle w:val="a3"/>
        <w:spacing w:line="264" w:lineRule="auto"/>
        <w:ind w:left="1327" w:right="1146" w:firstLine="210"/>
        <w:jc w:val="both"/>
      </w:pPr>
      <w:r>
        <w:rPr>
          <w:color w:val="231F20"/>
        </w:rPr>
        <w:t xml:space="preserve">The manhunt must be stopped immediately. The prisoners must be gathered together in one place. The confirmation that this has been done will be delivered by one of the prisoners on German television </w:t>
      </w:r>
      <w:r>
        <w:rPr>
          <w:color w:val="231F20"/>
          <w:spacing w:val="-4"/>
        </w:rPr>
        <w:t xml:space="preserve">today. </w:t>
      </w:r>
      <w:r>
        <w:rPr>
          <w:color w:val="231F20"/>
        </w:rPr>
        <w:t>As a clear gesture, we demand that the video recording, in which Schleyer reads his letter attached here, be broadcast on every television news show that airs at 6:00 pm</w:t>
      </w:r>
      <w:r>
        <w:rPr>
          <w:color w:val="231F20"/>
          <w:spacing w:val="8"/>
        </w:rPr>
        <w:t xml:space="preserve"> </w:t>
      </w:r>
      <w:r>
        <w:rPr>
          <w:color w:val="231F20"/>
        </w:rPr>
        <w:t>tonight.</w:t>
      </w:r>
    </w:p>
    <w:p w14:paraId="2F54E773" w14:textId="77777777" w:rsidR="002653E8" w:rsidRDefault="003115E3">
      <w:pPr>
        <w:pStyle w:val="a3"/>
        <w:spacing w:before="108"/>
        <w:ind w:left="4849"/>
      </w:pPr>
      <w:r>
        <w:rPr>
          <w:color w:val="231F20"/>
        </w:rPr>
        <w:t>Siegfried Hausner Commando</w:t>
      </w:r>
    </w:p>
    <w:p w14:paraId="673FE5B7" w14:textId="77777777" w:rsidR="002653E8" w:rsidRDefault="002653E8">
      <w:pPr>
        <w:pStyle w:val="a3"/>
        <w:rPr>
          <w:sz w:val="22"/>
        </w:rPr>
      </w:pPr>
    </w:p>
    <w:p w14:paraId="195C8D80" w14:textId="77777777" w:rsidR="002653E8" w:rsidRDefault="002653E8">
      <w:pPr>
        <w:pStyle w:val="a3"/>
        <w:rPr>
          <w:sz w:val="22"/>
        </w:rPr>
      </w:pPr>
    </w:p>
    <w:p w14:paraId="0EAD302F" w14:textId="6D1498A1" w:rsidR="002653E8" w:rsidRDefault="003115E3">
      <w:pPr>
        <w:spacing w:before="131"/>
        <w:ind w:left="1327"/>
      </w:pPr>
      <w:r>
        <w:rPr>
          <w:color w:val="231F20"/>
          <w:w w:val="110"/>
        </w:rPr>
        <w:t>thursday, september 8, 1977</w:t>
      </w:r>
    </w:p>
    <w:p w14:paraId="251E35E5" w14:textId="77777777" w:rsidR="002653E8" w:rsidRDefault="003115E3">
      <w:pPr>
        <w:pStyle w:val="a3"/>
        <w:spacing w:before="18" w:line="264" w:lineRule="auto"/>
        <w:ind w:left="1327" w:right="1146"/>
        <w:jc w:val="both"/>
      </w:pPr>
      <w:r>
        <w:rPr>
          <w:color w:val="231F20"/>
        </w:rPr>
        <w:t>There will be no further communiqués  from  us  until  the  prisoners  are flown out. The federal government has enough proof to  assure  them</w:t>
      </w:r>
      <w:r>
        <w:rPr>
          <w:color w:val="231F20"/>
          <w:spacing w:val="17"/>
        </w:rPr>
        <w:t xml:space="preserve"> </w:t>
      </w:r>
      <w:r>
        <w:rPr>
          <w:color w:val="231F20"/>
        </w:rPr>
        <w:t>that</w:t>
      </w:r>
      <w:r>
        <w:rPr>
          <w:color w:val="231F20"/>
          <w:spacing w:val="17"/>
        </w:rPr>
        <w:t xml:space="preserve"> </w:t>
      </w:r>
      <w:r>
        <w:rPr>
          <w:color w:val="231F20"/>
        </w:rPr>
        <w:t>Schleyer</w:t>
      </w:r>
      <w:r>
        <w:rPr>
          <w:color w:val="231F20"/>
          <w:spacing w:val="17"/>
        </w:rPr>
        <w:t xml:space="preserve"> </w:t>
      </w:r>
      <w:r>
        <w:rPr>
          <w:color w:val="231F20"/>
        </w:rPr>
        <w:t>is</w:t>
      </w:r>
      <w:r>
        <w:rPr>
          <w:color w:val="231F20"/>
          <w:spacing w:val="17"/>
        </w:rPr>
        <w:t xml:space="preserve"> </w:t>
      </w:r>
      <w:r>
        <w:rPr>
          <w:color w:val="231F20"/>
        </w:rPr>
        <w:t>alive:</w:t>
      </w:r>
      <w:r>
        <w:rPr>
          <w:color w:val="231F20"/>
          <w:spacing w:val="17"/>
        </w:rPr>
        <w:t xml:space="preserve"> </w:t>
      </w:r>
      <w:r>
        <w:rPr>
          <w:color w:val="231F20"/>
        </w:rPr>
        <w:t>his</w:t>
      </w:r>
      <w:r>
        <w:rPr>
          <w:color w:val="231F20"/>
          <w:spacing w:val="17"/>
        </w:rPr>
        <w:t xml:space="preserve"> </w:t>
      </w:r>
      <w:r>
        <w:rPr>
          <w:color w:val="231F20"/>
        </w:rPr>
        <w:t>letter</w:t>
      </w:r>
      <w:r>
        <w:rPr>
          <w:color w:val="231F20"/>
          <w:spacing w:val="17"/>
        </w:rPr>
        <w:t xml:space="preserve"> </w:t>
      </w:r>
      <w:r>
        <w:rPr>
          <w:color w:val="231F20"/>
        </w:rPr>
        <w:t>and</w:t>
      </w:r>
      <w:r>
        <w:rPr>
          <w:color w:val="231F20"/>
          <w:spacing w:val="17"/>
        </w:rPr>
        <w:t xml:space="preserve"> </w:t>
      </w:r>
      <w:r>
        <w:rPr>
          <w:color w:val="231F20"/>
        </w:rPr>
        <w:t>the</w:t>
      </w:r>
      <w:r>
        <w:rPr>
          <w:color w:val="231F20"/>
          <w:spacing w:val="17"/>
        </w:rPr>
        <w:t xml:space="preserve"> </w:t>
      </w:r>
      <w:r>
        <w:rPr>
          <w:color w:val="231F20"/>
        </w:rPr>
        <w:t>videotape,</w:t>
      </w:r>
      <w:r>
        <w:rPr>
          <w:color w:val="231F20"/>
          <w:spacing w:val="17"/>
        </w:rPr>
        <w:t xml:space="preserve"> </w:t>
      </w:r>
      <w:r>
        <w:rPr>
          <w:color w:val="231F20"/>
        </w:rPr>
        <w:t>as</w:t>
      </w:r>
      <w:r>
        <w:rPr>
          <w:color w:val="231F20"/>
          <w:spacing w:val="17"/>
        </w:rPr>
        <w:t xml:space="preserve"> </w:t>
      </w:r>
      <w:r>
        <w:rPr>
          <w:color w:val="231F20"/>
        </w:rPr>
        <w:t>well</w:t>
      </w:r>
      <w:r>
        <w:rPr>
          <w:color w:val="231F20"/>
          <w:spacing w:val="17"/>
        </w:rPr>
        <w:t xml:space="preserve"> </w:t>
      </w:r>
      <w:r>
        <w:rPr>
          <w:color w:val="231F20"/>
        </w:rPr>
        <w:t>as</w:t>
      </w:r>
      <w:r>
        <w:rPr>
          <w:color w:val="231F20"/>
          <w:spacing w:val="17"/>
        </w:rPr>
        <w:t xml:space="preserve"> </w:t>
      </w:r>
      <w:r>
        <w:rPr>
          <w:color w:val="231F20"/>
        </w:rPr>
        <w:t>the</w:t>
      </w:r>
    </w:p>
    <w:p w14:paraId="13065C39" w14:textId="77777777" w:rsidR="002653E8" w:rsidRDefault="002653E8">
      <w:pPr>
        <w:spacing w:line="264" w:lineRule="auto"/>
        <w:jc w:val="both"/>
        <w:sectPr w:rsidR="002653E8">
          <w:footerReference w:type="even" r:id="rId419"/>
          <w:footerReference w:type="default" r:id="rId420"/>
          <w:pgSz w:w="8640" w:h="12960"/>
          <w:pgMar w:top="1060" w:right="0" w:bottom="1040" w:left="0" w:header="0" w:footer="850" w:gutter="0"/>
          <w:pgNumType w:start="499"/>
          <w:cols w:space="720"/>
        </w:sectPr>
      </w:pPr>
    </w:p>
    <w:p w14:paraId="760CBBDD" w14:textId="77777777" w:rsidR="002653E8" w:rsidRDefault="003115E3">
      <w:pPr>
        <w:pStyle w:val="a3"/>
        <w:spacing w:before="86" w:line="264" w:lineRule="auto"/>
        <w:ind w:left="1148" w:right="1325" w:hanging="1"/>
        <w:jc w:val="both"/>
      </w:pPr>
      <w:r>
        <w:rPr>
          <w:color w:val="231F20"/>
        </w:rPr>
        <w:lastRenderedPageBreak/>
        <w:t>recording with his answer to both questions. Go-betweens are unnecessary, as are all other stalling tactics. A resolution which includes Schleyer’s release depends on the departure of the prisoners: otherwise it is not happening. For the last time, we demand:</w:t>
      </w:r>
    </w:p>
    <w:p w14:paraId="61900039" w14:textId="77777777" w:rsidR="002653E8" w:rsidRDefault="003115E3">
      <w:pPr>
        <w:pStyle w:val="a3"/>
        <w:spacing w:line="264" w:lineRule="auto"/>
        <w:ind w:left="1147" w:right="1326" w:firstLine="210"/>
        <w:jc w:val="both"/>
      </w:pPr>
      <w:r>
        <w:rPr>
          <w:color w:val="231F20"/>
        </w:rPr>
        <w:t xml:space="preserve">That the federal government publicly  announce  its  decision  by  8:00 pm this evening. By Friday at 10:00 </w:t>
      </w:r>
      <w:r>
        <w:rPr>
          <w:color w:val="231F20"/>
          <w:spacing w:val="2"/>
        </w:rPr>
        <w:t xml:space="preserve">am, </w:t>
      </w:r>
      <w:r>
        <w:rPr>
          <w:color w:val="231F20"/>
        </w:rPr>
        <w:t>proof that preparations have been made for the prisoners’ departure. By 12:00 noon, the prisoners’ departure on a fully fueled Lufthansa long haul aircraft must be broadcast live on television. The remaining demands are known to you from the previous</w:t>
      </w:r>
      <w:r>
        <w:rPr>
          <w:color w:val="231F20"/>
          <w:spacing w:val="31"/>
        </w:rPr>
        <w:t xml:space="preserve"> </w:t>
      </w:r>
      <w:r>
        <w:rPr>
          <w:color w:val="231F20"/>
        </w:rPr>
        <w:t>communiqués.</w:t>
      </w:r>
    </w:p>
    <w:p w14:paraId="6C657D1F" w14:textId="77777777" w:rsidR="002653E8" w:rsidRDefault="003115E3">
      <w:pPr>
        <w:pStyle w:val="a3"/>
        <w:spacing w:before="117"/>
        <w:ind w:left="4669"/>
      </w:pPr>
      <w:r>
        <w:rPr>
          <w:color w:val="231F20"/>
        </w:rPr>
        <w:t>Siegfried Hausner Commando</w:t>
      </w:r>
    </w:p>
    <w:p w14:paraId="0C7DF61E" w14:textId="77777777" w:rsidR="002653E8" w:rsidRDefault="002653E8">
      <w:pPr>
        <w:pStyle w:val="a3"/>
        <w:rPr>
          <w:sz w:val="22"/>
        </w:rPr>
      </w:pPr>
    </w:p>
    <w:p w14:paraId="57578715" w14:textId="77777777" w:rsidR="002653E8" w:rsidRDefault="002653E8">
      <w:pPr>
        <w:pStyle w:val="a3"/>
        <w:rPr>
          <w:sz w:val="22"/>
        </w:rPr>
      </w:pPr>
    </w:p>
    <w:p w14:paraId="53E61495" w14:textId="3220D3F4" w:rsidR="002653E8" w:rsidRDefault="003115E3">
      <w:pPr>
        <w:spacing w:before="131"/>
        <w:ind w:left="1147"/>
      </w:pPr>
      <w:r>
        <w:rPr>
          <w:color w:val="231F20"/>
          <w:w w:val="110"/>
        </w:rPr>
        <w:t>monday, september 12 , 1977</w:t>
      </w:r>
    </w:p>
    <w:p w14:paraId="3CB07DCF" w14:textId="77777777" w:rsidR="002653E8" w:rsidRDefault="003115E3">
      <w:pPr>
        <w:pStyle w:val="a3"/>
        <w:spacing w:before="18" w:line="264" w:lineRule="auto"/>
        <w:ind w:left="1147" w:right="1325" w:hanging="1"/>
        <w:jc w:val="both"/>
      </w:pPr>
      <w:r>
        <w:rPr>
          <w:color w:val="231F20"/>
          <w:spacing w:val="-5"/>
        </w:rPr>
        <w:t xml:space="preserve">We </w:t>
      </w:r>
      <w:r>
        <w:rPr>
          <w:color w:val="231F20"/>
        </w:rPr>
        <w:t xml:space="preserve">will wait until 12:00 </w:t>
      </w:r>
      <w:r>
        <w:rPr>
          <w:color w:val="231F20"/>
          <w:spacing w:val="2"/>
        </w:rPr>
        <w:t xml:space="preserve">am </w:t>
      </w:r>
      <w:r>
        <w:rPr>
          <w:color w:val="231F20"/>
        </w:rPr>
        <w:t xml:space="preserve">for a decision from the federal government as to whether they want to make the exchange or not, and that decision should come in the form of obvious preparations for assembling  the prisoners. The </w:t>
      </w:r>
      <w:r>
        <w:rPr>
          <w:color w:val="231F20"/>
          <w:spacing w:val="-2"/>
        </w:rPr>
        <w:t xml:space="preserve">way </w:t>
      </w:r>
      <w:r>
        <w:rPr>
          <w:color w:val="231F20"/>
        </w:rPr>
        <w:t>in which this should occur has already been established. One of the prisoners must confirm that preparations are underway.</w:t>
      </w:r>
      <w:r>
        <w:rPr>
          <w:color w:val="231F20"/>
          <w:spacing w:val="-7"/>
        </w:rPr>
        <w:t xml:space="preserve"> </w:t>
      </w:r>
      <w:r>
        <w:rPr>
          <w:color w:val="231F20"/>
        </w:rPr>
        <w:t>The</w:t>
      </w:r>
      <w:r>
        <w:rPr>
          <w:color w:val="231F20"/>
          <w:spacing w:val="-7"/>
        </w:rPr>
        <w:t xml:space="preserve"> </w:t>
      </w:r>
      <w:r>
        <w:rPr>
          <w:color w:val="231F20"/>
        </w:rPr>
        <w:t>prisoners</w:t>
      </w:r>
      <w:r>
        <w:rPr>
          <w:color w:val="231F20"/>
          <w:spacing w:val="-7"/>
        </w:rPr>
        <w:t xml:space="preserve"> </w:t>
      </w:r>
      <w:r>
        <w:rPr>
          <w:color w:val="231F20"/>
        </w:rPr>
        <w:t>themselves</w:t>
      </w:r>
      <w:r>
        <w:rPr>
          <w:color w:val="231F20"/>
          <w:spacing w:val="-7"/>
        </w:rPr>
        <w:t xml:space="preserve"> </w:t>
      </w:r>
      <w:r>
        <w:rPr>
          <w:color w:val="231F20"/>
        </w:rPr>
        <w:t>will</w:t>
      </w:r>
      <w:r>
        <w:rPr>
          <w:color w:val="231F20"/>
          <w:spacing w:val="-7"/>
        </w:rPr>
        <w:t xml:space="preserve"> </w:t>
      </w:r>
      <w:r>
        <w:rPr>
          <w:color w:val="231F20"/>
        </w:rPr>
        <w:t>inform</w:t>
      </w:r>
      <w:r>
        <w:rPr>
          <w:color w:val="231F20"/>
          <w:spacing w:val="-7"/>
        </w:rPr>
        <w:t xml:space="preserve"> </w:t>
      </w:r>
      <w:r>
        <w:rPr>
          <w:color w:val="231F20"/>
        </w:rPr>
        <w:t>the</w:t>
      </w:r>
      <w:r>
        <w:rPr>
          <w:color w:val="231F20"/>
          <w:spacing w:val="-7"/>
        </w:rPr>
        <w:t xml:space="preserve"> </w:t>
      </w:r>
      <w:r>
        <w:rPr>
          <w:color w:val="231F20"/>
        </w:rPr>
        <w:t>federal</w:t>
      </w:r>
      <w:r>
        <w:rPr>
          <w:color w:val="231F20"/>
          <w:spacing w:val="-7"/>
        </w:rPr>
        <w:t xml:space="preserve"> </w:t>
      </w:r>
      <w:r>
        <w:rPr>
          <w:color w:val="231F20"/>
        </w:rPr>
        <w:t xml:space="preserve">government of possible destinations. The federal government will receive no further response from us to </w:t>
      </w:r>
      <w:r>
        <w:rPr>
          <w:color w:val="231F20"/>
          <w:spacing w:val="2"/>
        </w:rPr>
        <w:t xml:space="preserve">BKA </w:t>
      </w:r>
      <w:r>
        <w:rPr>
          <w:color w:val="231F20"/>
        </w:rPr>
        <w:t>messages transmitted via Payot. Should the federal government decide to once again allow our ultimatum to pass in silence,</w:t>
      </w:r>
      <w:r>
        <w:rPr>
          <w:color w:val="231F20"/>
          <w:spacing w:val="8"/>
        </w:rPr>
        <w:t xml:space="preserve"> </w:t>
      </w:r>
      <w:r>
        <w:rPr>
          <w:color w:val="231F20"/>
        </w:rPr>
        <w:t>they</w:t>
      </w:r>
      <w:r>
        <w:rPr>
          <w:color w:val="231F20"/>
          <w:spacing w:val="8"/>
        </w:rPr>
        <w:t xml:space="preserve"> </w:t>
      </w:r>
      <w:r>
        <w:rPr>
          <w:color w:val="231F20"/>
        </w:rPr>
        <w:t>will</w:t>
      </w:r>
      <w:r>
        <w:rPr>
          <w:color w:val="231F20"/>
          <w:spacing w:val="8"/>
        </w:rPr>
        <w:t xml:space="preserve"> </w:t>
      </w:r>
      <w:r>
        <w:rPr>
          <w:color w:val="231F20"/>
        </w:rPr>
        <w:t>be</w:t>
      </w:r>
      <w:r>
        <w:rPr>
          <w:color w:val="231F20"/>
          <w:spacing w:val="8"/>
        </w:rPr>
        <w:t xml:space="preserve"> </w:t>
      </w:r>
      <w:r>
        <w:rPr>
          <w:color w:val="231F20"/>
        </w:rPr>
        <w:t>responsible</w:t>
      </w:r>
      <w:r>
        <w:rPr>
          <w:color w:val="231F20"/>
          <w:spacing w:val="8"/>
        </w:rPr>
        <w:t xml:space="preserve"> </w:t>
      </w:r>
      <w:r>
        <w:rPr>
          <w:color w:val="231F20"/>
        </w:rPr>
        <w:t>for</w:t>
      </w:r>
      <w:r>
        <w:rPr>
          <w:color w:val="231F20"/>
          <w:spacing w:val="8"/>
        </w:rPr>
        <w:t xml:space="preserve"> </w:t>
      </w:r>
      <w:r>
        <w:rPr>
          <w:color w:val="231F20"/>
        </w:rPr>
        <w:t>the</w:t>
      </w:r>
      <w:r>
        <w:rPr>
          <w:color w:val="231F20"/>
          <w:spacing w:val="8"/>
        </w:rPr>
        <w:t xml:space="preserve"> </w:t>
      </w:r>
      <w:r>
        <w:rPr>
          <w:color w:val="231F20"/>
        </w:rPr>
        <w:t>consequences.</w:t>
      </w:r>
    </w:p>
    <w:p w14:paraId="59D73455" w14:textId="77777777" w:rsidR="002653E8" w:rsidRDefault="003115E3">
      <w:pPr>
        <w:pStyle w:val="a3"/>
        <w:spacing w:before="116"/>
        <w:ind w:left="4669"/>
      </w:pPr>
      <w:r>
        <w:rPr>
          <w:color w:val="231F20"/>
        </w:rPr>
        <w:t>Siegfried Hausner Commando</w:t>
      </w:r>
    </w:p>
    <w:p w14:paraId="2FFF7B52" w14:textId="77777777" w:rsidR="002653E8" w:rsidRDefault="002653E8">
      <w:pPr>
        <w:pStyle w:val="a3"/>
        <w:rPr>
          <w:sz w:val="22"/>
        </w:rPr>
      </w:pPr>
    </w:p>
    <w:p w14:paraId="772AB57A" w14:textId="77777777" w:rsidR="002653E8" w:rsidRDefault="002653E8">
      <w:pPr>
        <w:pStyle w:val="a3"/>
        <w:rPr>
          <w:sz w:val="22"/>
        </w:rPr>
      </w:pPr>
    </w:p>
    <w:p w14:paraId="3C810E78" w14:textId="306FF755" w:rsidR="002653E8" w:rsidRDefault="003115E3">
      <w:pPr>
        <w:spacing w:before="131"/>
        <w:ind w:left="1147"/>
      </w:pPr>
      <w:r>
        <w:rPr>
          <w:color w:val="231F20"/>
          <w:w w:val="110"/>
        </w:rPr>
        <w:t>tuesday, september 13, 1977</w:t>
      </w:r>
    </w:p>
    <w:p w14:paraId="3E14E2E4" w14:textId="77777777" w:rsidR="002653E8" w:rsidRDefault="003115E3">
      <w:pPr>
        <w:pStyle w:val="a3"/>
        <w:spacing w:before="18" w:line="264" w:lineRule="auto"/>
        <w:ind w:left="1147" w:right="1325"/>
        <w:jc w:val="both"/>
      </w:pPr>
      <w:r>
        <w:rPr>
          <w:color w:val="231F20"/>
          <w:spacing w:val="-5"/>
        </w:rPr>
        <w:t xml:space="preserve">We </w:t>
      </w:r>
      <w:r>
        <w:rPr>
          <w:color w:val="231F20"/>
        </w:rPr>
        <w:t xml:space="preserve">have nothing to add to our statement of September 12, </w:t>
      </w:r>
      <w:r>
        <w:rPr>
          <w:color w:val="231F20"/>
          <w:spacing w:val="-6"/>
        </w:rPr>
        <w:t xml:space="preserve">1977. </w:t>
      </w:r>
      <w:r>
        <w:rPr>
          <w:color w:val="231F20"/>
          <w:spacing w:val="-5"/>
        </w:rPr>
        <w:t xml:space="preserve">We </w:t>
      </w:r>
      <w:r>
        <w:rPr>
          <w:color w:val="231F20"/>
        </w:rPr>
        <w:t xml:space="preserve">request that Monsieur </w:t>
      </w:r>
      <w:r>
        <w:rPr>
          <w:color w:val="231F20"/>
          <w:spacing w:val="-3"/>
        </w:rPr>
        <w:t xml:space="preserve">Payot </w:t>
      </w:r>
      <w:r>
        <w:rPr>
          <w:color w:val="231F20"/>
        </w:rPr>
        <w:t xml:space="preserve">play the role that the federal government assigned </w:t>
      </w:r>
      <w:r>
        <w:rPr>
          <w:color w:val="231F20"/>
          <w:spacing w:val="1"/>
        </w:rPr>
        <w:t xml:space="preserve">him, </w:t>
      </w:r>
      <w:r>
        <w:rPr>
          <w:color w:val="231F20"/>
        </w:rPr>
        <w:t xml:space="preserve">that role and that role </w:t>
      </w:r>
      <w:r>
        <w:rPr>
          <w:color w:val="231F20"/>
          <w:spacing w:val="-3"/>
        </w:rPr>
        <w:t xml:space="preserve">only, </w:t>
      </w:r>
      <w:r>
        <w:rPr>
          <w:color w:val="231F20"/>
        </w:rPr>
        <w:t>and that he stop participating in the delays and postponements, which reflect a decision in favor  of</w:t>
      </w:r>
      <w:r>
        <w:rPr>
          <w:color w:val="231F20"/>
          <w:spacing w:val="10"/>
        </w:rPr>
        <w:t xml:space="preserve"> </w:t>
      </w:r>
      <w:r>
        <w:rPr>
          <w:color w:val="231F20"/>
        </w:rPr>
        <w:t>creating</w:t>
      </w:r>
      <w:r>
        <w:rPr>
          <w:color w:val="231F20"/>
          <w:spacing w:val="10"/>
        </w:rPr>
        <w:t xml:space="preserve"> </w:t>
      </w:r>
      <w:r>
        <w:rPr>
          <w:color w:val="231F20"/>
        </w:rPr>
        <w:t>space</w:t>
      </w:r>
      <w:r>
        <w:rPr>
          <w:color w:val="231F20"/>
          <w:spacing w:val="10"/>
        </w:rPr>
        <w:t xml:space="preserve"> </w:t>
      </w:r>
      <w:r>
        <w:rPr>
          <w:color w:val="231F20"/>
        </w:rPr>
        <w:t>to</w:t>
      </w:r>
      <w:r>
        <w:rPr>
          <w:color w:val="231F20"/>
          <w:spacing w:val="10"/>
        </w:rPr>
        <w:t xml:space="preserve"> </w:t>
      </w:r>
      <w:r>
        <w:rPr>
          <w:color w:val="231F20"/>
        </w:rPr>
        <w:t>maneuver</w:t>
      </w:r>
      <w:r>
        <w:rPr>
          <w:color w:val="231F20"/>
          <w:spacing w:val="10"/>
        </w:rPr>
        <w:t xml:space="preserve"> </w:t>
      </w:r>
      <w:r>
        <w:rPr>
          <w:color w:val="231F20"/>
        </w:rPr>
        <w:t>for</w:t>
      </w:r>
      <w:r>
        <w:rPr>
          <w:color w:val="231F20"/>
          <w:spacing w:val="10"/>
        </w:rPr>
        <w:t xml:space="preserve"> </w:t>
      </w:r>
      <w:r>
        <w:rPr>
          <w:color w:val="231F20"/>
        </w:rPr>
        <w:t>a</w:t>
      </w:r>
      <w:r>
        <w:rPr>
          <w:color w:val="231F20"/>
          <w:spacing w:val="10"/>
        </w:rPr>
        <w:t xml:space="preserve"> </w:t>
      </w:r>
      <w:r>
        <w:rPr>
          <w:color w:val="231F20"/>
        </w:rPr>
        <w:t>military</w:t>
      </w:r>
      <w:r>
        <w:rPr>
          <w:color w:val="231F20"/>
          <w:spacing w:val="10"/>
        </w:rPr>
        <w:t xml:space="preserve"> </w:t>
      </w:r>
      <w:r>
        <w:rPr>
          <w:color w:val="231F20"/>
        </w:rPr>
        <w:t>solution.</w:t>
      </w:r>
    </w:p>
    <w:p w14:paraId="425121BD" w14:textId="77777777" w:rsidR="002653E8" w:rsidRDefault="003115E3">
      <w:pPr>
        <w:pStyle w:val="a3"/>
        <w:spacing w:line="264" w:lineRule="auto"/>
        <w:ind w:left="1147" w:right="1325" w:firstLine="210"/>
        <w:jc w:val="both"/>
      </w:pPr>
      <w:r>
        <w:rPr>
          <w:color w:val="231F20"/>
        </w:rPr>
        <w:t>The tactic of the so-called secret negotiations is absurd given the action’s goal: freeing the prisoners. We have responded to the federal government’s contemptible maneuvers for 9 days with multiple extensions of our ultimatum—they face a dilemma in that agreeing to the demands would contradict the institutionalized hate-driven civil war</w:t>
      </w:r>
    </w:p>
    <w:p w14:paraId="3D88327E" w14:textId="77777777" w:rsidR="002653E8" w:rsidRDefault="002653E8">
      <w:pPr>
        <w:spacing w:line="264" w:lineRule="auto"/>
        <w:jc w:val="both"/>
        <w:sectPr w:rsidR="002653E8">
          <w:pgSz w:w="8640" w:h="12960"/>
          <w:pgMar w:top="1060" w:right="0" w:bottom="1040" w:left="0" w:header="0" w:footer="850" w:gutter="0"/>
          <w:cols w:space="720"/>
        </w:sectPr>
      </w:pPr>
    </w:p>
    <w:p w14:paraId="2D05D5A7" w14:textId="77777777" w:rsidR="002653E8" w:rsidRDefault="003115E3">
      <w:pPr>
        <w:pStyle w:val="a3"/>
        <w:spacing w:before="86" w:line="264" w:lineRule="auto"/>
        <w:ind w:left="1327" w:right="1145"/>
        <w:jc w:val="both"/>
      </w:pPr>
      <w:r>
        <w:rPr>
          <w:color w:val="231F20"/>
        </w:rPr>
        <w:lastRenderedPageBreak/>
        <w:t xml:space="preserve">mentality they have whipped up against the </w:t>
      </w:r>
      <w:r w:rsidR="00C507A5">
        <w:rPr>
          <w:color w:val="231F20"/>
        </w:rPr>
        <w:t>red army faction</w:t>
      </w:r>
      <w:r>
        <w:rPr>
          <w:color w:val="231F20"/>
        </w:rPr>
        <w:t xml:space="preserve">, and would require resisting the American thumbscrews. On the federal government’s side, during these 9 days there has not been a single concrete development  to indicate a willingness to exchange Schleyer.  The  </w:t>
      </w:r>
      <w:r>
        <w:rPr>
          <w:color w:val="231F20"/>
          <w:spacing w:val="-4"/>
        </w:rPr>
        <w:t xml:space="preserve">BKA’s  </w:t>
      </w:r>
      <w:r>
        <w:rPr>
          <w:color w:val="231F20"/>
        </w:rPr>
        <w:t xml:space="preserve">claim  that the manhunt was called off is a joke. Every newspaper carries photos   of highway checkpoints and reports of homes raided. </w:t>
      </w:r>
      <w:r>
        <w:rPr>
          <w:color w:val="231F20"/>
          <w:spacing w:val="-5"/>
        </w:rPr>
        <w:t xml:space="preserve">We </w:t>
      </w:r>
      <w:r>
        <w:rPr>
          <w:color w:val="231F20"/>
        </w:rPr>
        <w:t xml:space="preserve">are giving the federal government one last extension until 12:00 </w:t>
      </w:r>
      <w:r>
        <w:rPr>
          <w:color w:val="231F20"/>
          <w:spacing w:val="2"/>
        </w:rPr>
        <w:t xml:space="preserve">am </w:t>
      </w:r>
      <w:r>
        <w:rPr>
          <w:color w:val="231F20"/>
        </w:rPr>
        <w:t xml:space="preserve">tonight to </w:t>
      </w:r>
      <w:r>
        <w:rPr>
          <w:color w:val="231F20"/>
          <w:spacing w:val="2"/>
        </w:rPr>
        <w:t xml:space="preserve">fulfil </w:t>
      </w:r>
      <w:r>
        <w:rPr>
          <w:color w:val="231F20"/>
        </w:rPr>
        <w:t>our</w:t>
      </w:r>
      <w:r>
        <w:rPr>
          <w:color w:val="231F20"/>
          <w:spacing w:val="10"/>
        </w:rPr>
        <w:t xml:space="preserve"> </w:t>
      </w:r>
      <w:r>
        <w:rPr>
          <w:color w:val="231F20"/>
        </w:rPr>
        <w:t>demands.</w:t>
      </w:r>
    </w:p>
    <w:p w14:paraId="53E24541" w14:textId="77777777" w:rsidR="002653E8" w:rsidRDefault="003115E3">
      <w:pPr>
        <w:pStyle w:val="a3"/>
        <w:spacing w:before="119"/>
        <w:ind w:left="4849"/>
      </w:pPr>
      <w:r>
        <w:rPr>
          <w:color w:val="231F20"/>
        </w:rPr>
        <w:t>Siegfried Hausner Commando</w:t>
      </w:r>
    </w:p>
    <w:p w14:paraId="2A87A36F" w14:textId="77777777" w:rsidR="002653E8" w:rsidRDefault="002653E8">
      <w:pPr>
        <w:pStyle w:val="a3"/>
        <w:rPr>
          <w:sz w:val="22"/>
        </w:rPr>
      </w:pPr>
    </w:p>
    <w:p w14:paraId="3095A47B" w14:textId="77777777" w:rsidR="002653E8" w:rsidRDefault="002653E8">
      <w:pPr>
        <w:pStyle w:val="a3"/>
        <w:rPr>
          <w:sz w:val="22"/>
        </w:rPr>
      </w:pPr>
    </w:p>
    <w:p w14:paraId="77D3BD46" w14:textId="52703A7D" w:rsidR="002653E8" w:rsidRDefault="003115E3">
      <w:pPr>
        <w:spacing w:before="131"/>
        <w:ind w:left="1327"/>
      </w:pPr>
      <w:r>
        <w:rPr>
          <w:color w:val="231F20"/>
          <w:w w:val="105"/>
        </w:rPr>
        <w:t>monday, september 26, 1977</w:t>
      </w:r>
    </w:p>
    <w:p w14:paraId="11112849" w14:textId="77777777" w:rsidR="002653E8" w:rsidRDefault="003115E3">
      <w:pPr>
        <w:pStyle w:val="a3"/>
        <w:spacing w:before="18" w:line="264" w:lineRule="auto"/>
        <w:ind w:left="1327" w:right="1146"/>
        <w:jc w:val="both"/>
      </w:pPr>
      <w:r>
        <w:rPr>
          <w:color w:val="231F20"/>
          <w:spacing w:val="1"/>
        </w:rPr>
        <w:t xml:space="preserve">If </w:t>
      </w:r>
      <w:r>
        <w:rPr>
          <w:color w:val="231F20"/>
        </w:rPr>
        <w:t>the federal government still wants to save Schleyer’s life, they must immediately call off the manhunt in Germany, as well as arranging a  halt to those that have begun in France, Holland and Switzerland. Our demand</w:t>
      </w:r>
      <w:r>
        <w:rPr>
          <w:color w:val="231F20"/>
          <w:spacing w:val="10"/>
        </w:rPr>
        <w:t xml:space="preserve"> </w:t>
      </w:r>
      <w:r>
        <w:rPr>
          <w:color w:val="231F20"/>
        </w:rPr>
        <w:t>that</w:t>
      </w:r>
      <w:r>
        <w:rPr>
          <w:color w:val="231F20"/>
          <w:spacing w:val="10"/>
        </w:rPr>
        <w:t xml:space="preserve"> </w:t>
      </w:r>
      <w:r>
        <w:rPr>
          <w:color w:val="231F20"/>
        </w:rPr>
        <w:t>all</w:t>
      </w:r>
      <w:r>
        <w:rPr>
          <w:color w:val="231F20"/>
          <w:spacing w:val="10"/>
        </w:rPr>
        <w:t xml:space="preserve"> </w:t>
      </w:r>
      <w:r>
        <w:rPr>
          <w:color w:val="231F20"/>
        </w:rPr>
        <w:t>aspects</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search</w:t>
      </w:r>
      <w:r>
        <w:rPr>
          <w:color w:val="231F20"/>
          <w:spacing w:val="10"/>
        </w:rPr>
        <w:t xml:space="preserve"> </w:t>
      </w:r>
      <w:r>
        <w:rPr>
          <w:color w:val="231F20"/>
        </w:rPr>
        <w:t>cease</w:t>
      </w:r>
      <w:r>
        <w:rPr>
          <w:color w:val="231F20"/>
          <w:spacing w:val="10"/>
        </w:rPr>
        <w:t xml:space="preserve"> </w:t>
      </w:r>
      <w:r>
        <w:rPr>
          <w:color w:val="231F20"/>
        </w:rPr>
        <w:t>remains</w:t>
      </w:r>
      <w:r>
        <w:rPr>
          <w:color w:val="231F20"/>
          <w:spacing w:val="10"/>
        </w:rPr>
        <w:t xml:space="preserve"> </w:t>
      </w:r>
      <w:r>
        <w:rPr>
          <w:color w:val="231F20"/>
        </w:rPr>
        <w:t>unchanged.</w:t>
      </w:r>
    </w:p>
    <w:p w14:paraId="5A4323C0" w14:textId="77777777" w:rsidR="002653E8" w:rsidRDefault="003115E3">
      <w:pPr>
        <w:pStyle w:val="a3"/>
        <w:spacing w:line="264" w:lineRule="auto"/>
        <w:ind w:left="1327" w:right="1146" w:firstLine="210"/>
        <w:jc w:val="both"/>
      </w:pPr>
      <w:r>
        <w:rPr>
          <w:color w:val="231F20"/>
          <w:spacing w:val="-5"/>
        </w:rPr>
        <w:t xml:space="preserve">We </w:t>
      </w:r>
      <w:r>
        <w:rPr>
          <w:color w:val="231F20"/>
        </w:rPr>
        <w:t xml:space="preserve">are also warning the federal government not to tap our telephone conversations with </w:t>
      </w:r>
      <w:r>
        <w:rPr>
          <w:color w:val="231F20"/>
          <w:spacing w:val="-3"/>
        </w:rPr>
        <w:t xml:space="preserve">Payot </w:t>
      </w:r>
      <w:r>
        <w:rPr>
          <w:color w:val="231F20"/>
        </w:rPr>
        <w:t xml:space="preserve">or attempt to use them in any other </w:t>
      </w:r>
      <w:r>
        <w:rPr>
          <w:color w:val="231F20"/>
          <w:spacing w:val="-2"/>
        </w:rPr>
        <w:t xml:space="preserve">way  </w:t>
      </w:r>
      <w:r>
        <w:rPr>
          <w:color w:val="231F20"/>
        </w:rPr>
        <w:t xml:space="preserve">in  the search. </w:t>
      </w:r>
      <w:r>
        <w:rPr>
          <w:color w:val="231F20"/>
          <w:spacing w:val="-5"/>
        </w:rPr>
        <w:t xml:space="preserve">We </w:t>
      </w:r>
      <w:r>
        <w:rPr>
          <w:color w:val="231F20"/>
        </w:rPr>
        <w:t xml:space="preserve">will only conduct further negotiations with the federal government through the lawyer </w:t>
      </w:r>
      <w:r>
        <w:rPr>
          <w:color w:val="231F20"/>
          <w:spacing w:val="-3"/>
        </w:rPr>
        <w:t xml:space="preserve">Payot </w:t>
      </w:r>
      <w:r>
        <w:rPr>
          <w:color w:val="231F20"/>
        </w:rPr>
        <w:t xml:space="preserve">if they discontinue their tactic of attempting to prolong telephone calls with senseless conversation, and if it is made clear that measures are being taken to prepare the release of the </w:t>
      </w:r>
      <w:r>
        <w:rPr>
          <w:color w:val="231F20"/>
          <w:spacing w:val="-4"/>
        </w:rPr>
        <w:t xml:space="preserve">11 </w:t>
      </w:r>
      <w:r>
        <w:rPr>
          <w:color w:val="231F20"/>
        </w:rPr>
        <w:t>prisoners</w:t>
      </w:r>
      <w:r>
        <w:rPr>
          <w:color w:val="231F20"/>
          <w:spacing w:val="5"/>
        </w:rPr>
        <w:t xml:space="preserve"> </w:t>
      </w:r>
      <w:r>
        <w:rPr>
          <w:color w:val="231F20"/>
        </w:rPr>
        <w:t>specified.</w:t>
      </w:r>
    </w:p>
    <w:p w14:paraId="5CBF7588" w14:textId="77777777" w:rsidR="002653E8" w:rsidRDefault="003115E3">
      <w:pPr>
        <w:pStyle w:val="a3"/>
        <w:spacing w:line="264" w:lineRule="auto"/>
        <w:ind w:left="1327" w:right="1147" w:firstLine="210"/>
        <w:jc w:val="both"/>
      </w:pPr>
      <w:r>
        <w:rPr>
          <w:color w:val="231F20"/>
        </w:rPr>
        <w:t>Further signs of life from Schleyer will only be forthcoming if there is concrete evidence that the exchange is being prepared.</w:t>
      </w:r>
    </w:p>
    <w:p w14:paraId="380CDB1E" w14:textId="77777777" w:rsidR="002653E8" w:rsidRDefault="003115E3">
      <w:pPr>
        <w:pStyle w:val="a3"/>
        <w:spacing w:line="264" w:lineRule="auto"/>
        <w:ind w:left="1327" w:right="1145" w:firstLine="210"/>
        <w:jc w:val="both"/>
      </w:pPr>
      <w:r>
        <w:rPr>
          <w:color w:val="231F20"/>
        </w:rPr>
        <w:t>Also, if the federal government continues to withhold information from us about the results of Wischnewski’s negotiations, all we have to say is that we know for certain that there are countries willing to take the 11 prisoners.</w:t>
      </w:r>
    </w:p>
    <w:p w14:paraId="603ED946" w14:textId="77777777" w:rsidR="002653E8" w:rsidRDefault="003115E3">
      <w:pPr>
        <w:pStyle w:val="a3"/>
        <w:spacing w:before="108"/>
        <w:ind w:left="4849"/>
      </w:pPr>
      <w:r>
        <w:rPr>
          <w:color w:val="231F20"/>
        </w:rPr>
        <w:t>Siegfried Hausner Commando</w:t>
      </w:r>
    </w:p>
    <w:p w14:paraId="6622484A" w14:textId="77777777" w:rsidR="002653E8" w:rsidRDefault="002653E8">
      <w:pPr>
        <w:pStyle w:val="a3"/>
        <w:rPr>
          <w:sz w:val="22"/>
        </w:rPr>
      </w:pPr>
    </w:p>
    <w:p w14:paraId="4C3C345F" w14:textId="77777777" w:rsidR="002653E8" w:rsidRDefault="002653E8">
      <w:pPr>
        <w:pStyle w:val="a3"/>
        <w:rPr>
          <w:sz w:val="22"/>
        </w:rPr>
      </w:pPr>
    </w:p>
    <w:p w14:paraId="3CB1F328" w14:textId="77777777" w:rsidR="002653E8" w:rsidRDefault="003115E3">
      <w:pPr>
        <w:spacing w:before="131"/>
        <w:ind w:left="1327"/>
      </w:pPr>
      <w:r>
        <w:rPr>
          <w:color w:val="231F20"/>
          <w:w w:val="115"/>
        </w:rPr>
        <w:t>thursday, october 13, 1977</w:t>
      </w:r>
    </w:p>
    <w:p w14:paraId="11CA2CC9" w14:textId="77777777" w:rsidR="002653E8" w:rsidRDefault="003115E3">
      <w:pPr>
        <w:pStyle w:val="a3"/>
        <w:spacing w:before="18" w:line="264" w:lineRule="auto"/>
        <w:ind w:left="1327" w:right="1146"/>
        <w:jc w:val="both"/>
      </w:pPr>
      <w:r>
        <w:rPr>
          <w:color w:val="231F20"/>
        </w:rPr>
        <w:t>We have given Helmut Schmidt enough time to choose between the American strategy for the extermination of liberation movements in Western Europe and the Third World, and the interests of the federal government in seeing that the most important industrialist alive today not be sacrificed to this imperialist strategy. The ultimatum of the</w:t>
      </w:r>
    </w:p>
    <w:p w14:paraId="1424DA0A" w14:textId="77777777" w:rsidR="002653E8" w:rsidRDefault="002653E8">
      <w:pPr>
        <w:spacing w:line="264" w:lineRule="auto"/>
        <w:jc w:val="both"/>
        <w:sectPr w:rsidR="002653E8">
          <w:pgSz w:w="8640" w:h="12960"/>
          <w:pgMar w:top="1060" w:right="0" w:bottom="1040" w:left="0" w:header="0" w:footer="850" w:gutter="0"/>
          <w:cols w:space="720"/>
        </w:sectPr>
      </w:pPr>
    </w:p>
    <w:p w14:paraId="64CD5BE4" w14:textId="77777777" w:rsidR="002653E8" w:rsidRDefault="003115E3">
      <w:pPr>
        <w:pStyle w:val="a3"/>
        <w:spacing w:before="86" w:line="264" w:lineRule="auto"/>
        <w:ind w:left="1148" w:right="1145" w:hanging="1"/>
      </w:pPr>
      <w:r>
        <w:rPr>
          <w:color w:val="231F20"/>
          <w:w w:val="105"/>
        </w:rPr>
        <w:lastRenderedPageBreak/>
        <w:t xml:space="preserve">“Martyr Halimeh” Commando’s Operation Kofr Kaddum and the ultimatum of the </w:t>
      </w:r>
      <w:r w:rsidR="00C507A5">
        <w:rPr>
          <w:color w:val="231F20"/>
          <w:w w:val="105"/>
        </w:rPr>
        <w:t>red army faction</w:t>
      </w:r>
      <w:r>
        <w:rPr>
          <w:color w:val="231F20"/>
          <w:w w:val="105"/>
        </w:rPr>
        <w:t>’s “Siegfried Hausner” Commando are identical.</w:t>
      </w:r>
    </w:p>
    <w:p w14:paraId="354B24C0" w14:textId="77777777" w:rsidR="002653E8" w:rsidRDefault="003115E3">
      <w:pPr>
        <w:pStyle w:val="a3"/>
        <w:spacing w:line="264" w:lineRule="auto"/>
        <w:ind w:left="1147" w:right="1325" w:firstLine="210"/>
        <w:jc w:val="both"/>
      </w:pPr>
      <w:r>
        <w:rPr>
          <w:color w:val="231F20"/>
        </w:rPr>
        <w:t xml:space="preserve">The ultimatum expires on Sunday, October </w:t>
      </w:r>
      <w:r>
        <w:rPr>
          <w:color w:val="231F20"/>
          <w:spacing w:val="-4"/>
        </w:rPr>
        <w:t xml:space="preserve">16, </w:t>
      </w:r>
      <w:r>
        <w:rPr>
          <w:color w:val="231F20"/>
          <w:spacing w:val="-6"/>
        </w:rPr>
        <w:t xml:space="preserve">1977, </w:t>
      </w:r>
      <w:r>
        <w:rPr>
          <w:color w:val="231F20"/>
        </w:rPr>
        <w:t xml:space="preserve">at 8:00 </w:t>
      </w:r>
      <w:r>
        <w:rPr>
          <w:color w:val="231F20"/>
          <w:spacing w:val="2"/>
        </w:rPr>
        <w:t xml:space="preserve">am </w:t>
      </w:r>
      <w:r>
        <w:rPr>
          <w:color w:val="231F20"/>
        </w:rPr>
        <w:t xml:space="preserve">gmt. If, at that time, the eleven prisoners specified have not arrived at their destination, Hanns </w:t>
      </w:r>
      <w:r>
        <w:rPr>
          <w:color w:val="231F20"/>
          <w:spacing w:val="1"/>
        </w:rPr>
        <w:t xml:space="preserve">Martin </w:t>
      </w:r>
      <w:r>
        <w:rPr>
          <w:color w:val="231F20"/>
        </w:rPr>
        <w:t xml:space="preserve">Schleyer will be shot. After holding Schleyer for forty days, there </w:t>
      </w:r>
      <w:r>
        <w:rPr>
          <w:color w:val="231F20"/>
          <w:spacing w:val="-4"/>
        </w:rPr>
        <w:t xml:space="preserve">won’t </w:t>
      </w:r>
      <w:r>
        <w:rPr>
          <w:color w:val="231F20"/>
        </w:rPr>
        <w:t>be another extension  of the ultimatum or  any</w:t>
      </w:r>
      <w:r>
        <w:rPr>
          <w:color w:val="231F20"/>
          <w:spacing w:val="11"/>
        </w:rPr>
        <w:t xml:space="preserve"> </w:t>
      </w:r>
      <w:r>
        <w:rPr>
          <w:color w:val="231F20"/>
        </w:rPr>
        <w:t>further</w:t>
      </w:r>
      <w:r>
        <w:rPr>
          <w:color w:val="231F20"/>
          <w:spacing w:val="11"/>
        </w:rPr>
        <w:t xml:space="preserve"> </w:t>
      </w:r>
      <w:r>
        <w:rPr>
          <w:color w:val="231F20"/>
        </w:rPr>
        <w:t>contact.</w:t>
      </w:r>
      <w:r>
        <w:rPr>
          <w:color w:val="231F20"/>
          <w:spacing w:val="11"/>
        </w:rPr>
        <w:t xml:space="preserve"> </w:t>
      </w:r>
      <w:r>
        <w:rPr>
          <w:color w:val="231F20"/>
        </w:rPr>
        <w:t>Any</w:t>
      </w:r>
      <w:r>
        <w:rPr>
          <w:color w:val="231F20"/>
          <w:spacing w:val="11"/>
        </w:rPr>
        <w:t xml:space="preserve"> </w:t>
      </w:r>
      <w:r>
        <w:rPr>
          <w:color w:val="231F20"/>
        </w:rPr>
        <w:t>delay</w:t>
      </w:r>
      <w:r>
        <w:rPr>
          <w:color w:val="231F20"/>
          <w:spacing w:val="11"/>
        </w:rPr>
        <w:t xml:space="preserve"> </w:t>
      </w:r>
      <w:r>
        <w:rPr>
          <w:color w:val="231F20"/>
        </w:rPr>
        <w:t>will</w:t>
      </w:r>
      <w:r>
        <w:rPr>
          <w:color w:val="231F20"/>
          <w:spacing w:val="11"/>
        </w:rPr>
        <w:t xml:space="preserve"> </w:t>
      </w:r>
      <w:r>
        <w:rPr>
          <w:color w:val="231F20"/>
        </w:rPr>
        <w:t>mean</w:t>
      </w:r>
      <w:r>
        <w:rPr>
          <w:color w:val="231F20"/>
          <w:spacing w:val="11"/>
        </w:rPr>
        <w:t xml:space="preserve"> </w:t>
      </w:r>
      <w:r>
        <w:rPr>
          <w:color w:val="231F20"/>
        </w:rPr>
        <w:t>Schleyer’s</w:t>
      </w:r>
      <w:r>
        <w:rPr>
          <w:color w:val="231F20"/>
          <w:spacing w:val="11"/>
        </w:rPr>
        <w:t xml:space="preserve"> </w:t>
      </w:r>
      <w:r>
        <w:rPr>
          <w:color w:val="231F20"/>
        </w:rPr>
        <w:t>death.</w:t>
      </w:r>
    </w:p>
    <w:p w14:paraId="1ECDBB4F" w14:textId="77777777" w:rsidR="002653E8" w:rsidRDefault="003115E3">
      <w:pPr>
        <w:pStyle w:val="a3"/>
        <w:spacing w:line="264" w:lineRule="auto"/>
        <w:ind w:left="1147" w:right="1326" w:firstLine="210"/>
        <w:jc w:val="both"/>
      </w:pPr>
      <w:r>
        <w:rPr>
          <w:color w:val="231F20"/>
          <w:spacing w:val="-8"/>
        </w:rPr>
        <w:t xml:space="preserve">To </w:t>
      </w:r>
      <w:r>
        <w:rPr>
          <w:color w:val="231F20"/>
        </w:rPr>
        <w:t xml:space="preserve">save time, it </w:t>
      </w:r>
      <w:r>
        <w:rPr>
          <w:color w:val="231F20"/>
          <w:spacing w:val="-4"/>
        </w:rPr>
        <w:t xml:space="preserve">won’t </w:t>
      </w:r>
      <w:r>
        <w:rPr>
          <w:color w:val="231F20"/>
        </w:rPr>
        <w:t xml:space="preserve">be necessary for Pastor Niemöller or the lawyer </w:t>
      </w:r>
      <w:r>
        <w:rPr>
          <w:color w:val="231F20"/>
          <w:spacing w:val="-3"/>
        </w:rPr>
        <w:t xml:space="preserve">Payot </w:t>
      </w:r>
      <w:r>
        <w:rPr>
          <w:color w:val="231F20"/>
        </w:rPr>
        <w:t xml:space="preserve">to accompany the prisoners. </w:t>
      </w:r>
      <w:r>
        <w:rPr>
          <w:color w:val="231F20"/>
          <w:spacing w:val="-5"/>
        </w:rPr>
        <w:t xml:space="preserve">We </w:t>
      </w:r>
      <w:r>
        <w:rPr>
          <w:color w:val="231F20"/>
        </w:rPr>
        <w:t xml:space="preserve">will receive confirmation of the prisoners’ arrival even without confirmation from escorts. Hanns </w:t>
      </w:r>
      <w:r>
        <w:rPr>
          <w:color w:val="231F20"/>
          <w:spacing w:val="1"/>
        </w:rPr>
        <w:t xml:space="preserve">Martin </w:t>
      </w:r>
      <w:r>
        <w:rPr>
          <w:color w:val="231F20"/>
        </w:rPr>
        <w:t>Schleyer will be freed within 48 hours of our having received confirmation. Freedom through armed anti-imperialist</w:t>
      </w:r>
      <w:r>
        <w:rPr>
          <w:color w:val="231F20"/>
          <w:spacing w:val="20"/>
        </w:rPr>
        <w:t xml:space="preserve"> </w:t>
      </w:r>
      <w:r>
        <w:rPr>
          <w:color w:val="231F20"/>
        </w:rPr>
        <w:t>struggle!</w:t>
      </w:r>
    </w:p>
    <w:p w14:paraId="55978C35" w14:textId="77777777" w:rsidR="002653E8" w:rsidRDefault="003115E3">
      <w:pPr>
        <w:pStyle w:val="a3"/>
        <w:spacing w:before="114"/>
        <w:ind w:left="4669"/>
      </w:pPr>
      <w:r>
        <w:rPr>
          <w:color w:val="231F20"/>
        </w:rPr>
        <w:t>Siegfried Hausner Commando</w:t>
      </w:r>
    </w:p>
    <w:p w14:paraId="31EAA42C" w14:textId="77777777" w:rsidR="002653E8" w:rsidRDefault="002653E8">
      <w:pPr>
        <w:sectPr w:rsidR="002653E8">
          <w:pgSz w:w="8640" w:h="12960"/>
          <w:pgMar w:top="1060" w:right="0" w:bottom="1040" w:left="0" w:header="0" w:footer="850" w:gutter="0"/>
          <w:cols w:space="720"/>
        </w:sectPr>
      </w:pPr>
    </w:p>
    <w:p w14:paraId="11A8FA70" w14:textId="77777777" w:rsidR="002653E8" w:rsidRDefault="003115E3">
      <w:pPr>
        <w:pStyle w:val="4"/>
        <w:ind w:left="2596"/>
      </w:pPr>
      <w:bookmarkStart w:id="252" w:name="Operation_Kofr_Kaddum_(SAWIO,_October_13"/>
      <w:bookmarkStart w:id="253" w:name="_bookmark78"/>
      <w:bookmarkEnd w:id="252"/>
      <w:bookmarkEnd w:id="253"/>
      <w:r>
        <w:rPr>
          <w:color w:val="231F20"/>
          <w:w w:val="105"/>
        </w:rPr>
        <w:lastRenderedPageBreak/>
        <w:t>Operation Kofr Kaddum</w:t>
      </w:r>
    </w:p>
    <w:p w14:paraId="1A9C54FC" w14:textId="77777777" w:rsidR="002653E8" w:rsidRDefault="003115E3">
      <w:pPr>
        <w:pStyle w:val="a3"/>
        <w:spacing w:before="256" w:line="264" w:lineRule="auto"/>
        <w:ind w:left="1327" w:right="4206"/>
      </w:pPr>
      <w:r>
        <w:rPr>
          <w:color w:val="231F20"/>
        </w:rPr>
        <w:t>To all revolutionaries in the world To all free Arabs</w:t>
      </w:r>
    </w:p>
    <w:p w14:paraId="7A750728" w14:textId="77777777" w:rsidR="002653E8" w:rsidRDefault="003115E3">
      <w:pPr>
        <w:pStyle w:val="a3"/>
        <w:spacing w:line="232" w:lineRule="exact"/>
        <w:ind w:left="1327"/>
      </w:pPr>
      <w:r>
        <w:rPr>
          <w:color w:val="231F20"/>
        </w:rPr>
        <w:t>To the Palestinian masses</w:t>
      </w:r>
    </w:p>
    <w:p w14:paraId="76A091E6" w14:textId="77777777" w:rsidR="002653E8" w:rsidRDefault="003115E3">
      <w:pPr>
        <w:pStyle w:val="a3"/>
        <w:spacing w:before="22" w:line="264" w:lineRule="auto"/>
        <w:ind w:left="1328" w:right="1145" w:firstLine="209"/>
        <w:jc w:val="both"/>
      </w:pPr>
      <w:r>
        <w:rPr>
          <w:color w:val="231F20"/>
          <w:spacing w:val="-6"/>
          <w:w w:val="105"/>
        </w:rPr>
        <w:t xml:space="preserve">Today, </w:t>
      </w:r>
      <w:r>
        <w:rPr>
          <w:color w:val="231F20"/>
          <w:w w:val="105"/>
        </w:rPr>
        <w:t xml:space="preserve">Thursday, October </w:t>
      </w:r>
      <w:r>
        <w:rPr>
          <w:color w:val="231F20"/>
          <w:spacing w:val="-6"/>
          <w:w w:val="105"/>
        </w:rPr>
        <w:t xml:space="preserve">13, 1977, </w:t>
      </w:r>
      <w:r>
        <w:rPr>
          <w:color w:val="231F20"/>
          <w:w w:val="105"/>
        </w:rPr>
        <w:t xml:space="preserve">a Lufthansa </w:t>
      </w:r>
      <w:r>
        <w:rPr>
          <w:color w:val="231F20"/>
          <w:spacing w:val="-5"/>
          <w:w w:val="105"/>
        </w:rPr>
        <w:t xml:space="preserve">737 </w:t>
      </w:r>
      <w:r>
        <w:rPr>
          <w:color w:val="231F20"/>
          <w:w w:val="105"/>
        </w:rPr>
        <w:t xml:space="preserve">leaving Palma de Majorca en route to Frankfurt, flight number </w:t>
      </w:r>
      <w:r>
        <w:rPr>
          <w:color w:val="231F20"/>
          <w:spacing w:val="1"/>
          <w:w w:val="105"/>
        </w:rPr>
        <w:t xml:space="preserve">LH </w:t>
      </w:r>
      <w:r>
        <w:rPr>
          <w:color w:val="231F20"/>
          <w:spacing w:val="-6"/>
          <w:w w:val="105"/>
        </w:rPr>
        <w:t xml:space="preserve">181, </w:t>
      </w:r>
      <w:r>
        <w:rPr>
          <w:color w:val="231F20"/>
          <w:w w:val="105"/>
        </w:rPr>
        <w:t>passed into the complete control of the Commando “Martyr Halimeh”.</w:t>
      </w:r>
    </w:p>
    <w:p w14:paraId="090A14E0" w14:textId="77777777" w:rsidR="002653E8" w:rsidRDefault="003115E3">
      <w:pPr>
        <w:pStyle w:val="a3"/>
        <w:spacing w:line="264" w:lineRule="auto"/>
        <w:ind w:left="1328" w:right="1145" w:firstLine="210"/>
        <w:jc w:val="both"/>
      </w:pPr>
      <w:r>
        <w:rPr>
          <w:color w:val="231F20"/>
        </w:rPr>
        <w:t>This operation has as a goal the liberation of our comrades in the prisons of  the  imperialist-reactionary-zionist  alliance.  This  operation reinforces the goals and demands of the Commando “Siegfried Hausner”</w:t>
      </w:r>
      <w:r>
        <w:rPr>
          <w:color w:val="231F20"/>
          <w:spacing w:val="13"/>
        </w:rPr>
        <w:t xml:space="preserve"> </w:t>
      </w:r>
      <w:r>
        <w:rPr>
          <w:color w:val="231F20"/>
        </w:rPr>
        <w:t>of</w:t>
      </w:r>
      <w:r>
        <w:rPr>
          <w:color w:val="231F20"/>
          <w:spacing w:val="13"/>
        </w:rPr>
        <w:t xml:space="preserve"> </w:t>
      </w:r>
      <w:r>
        <w:rPr>
          <w:color w:val="231F20"/>
        </w:rPr>
        <w:t>the</w:t>
      </w:r>
      <w:r>
        <w:rPr>
          <w:color w:val="231F20"/>
          <w:spacing w:val="13"/>
        </w:rPr>
        <w:t xml:space="preserve"> </w:t>
      </w:r>
      <w:r w:rsidR="00C507A5">
        <w:rPr>
          <w:color w:val="231F20"/>
        </w:rPr>
        <w:t>red army faction</w:t>
      </w:r>
      <w:r>
        <w:rPr>
          <w:color w:val="231F20"/>
        </w:rPr>
        <w:t>,</w:t>
      </w:r>
      <w:r>
        <w:rPr>
          <w:color w:val="231F20"/>
          <w:spacing w:val="13"/>
        </w:rPr>
        <w:t xml:space="preserve"> </w:t>
      </w:r>
      <w:r>
        <w:rPr>
          <w:color w:val="231F20"/>
        </w:rPr>
        <w:t>which</w:t>
      </w:r>
      <w:r>
        <w:rPr>
          <w:color w:val="231F20"/>
          <w:spacing w:val="13"/>
        </w:rPr>
        <w:t xml:space="preserve"> </w:t>
      </w:r>
      <w:r>
        <w:rPr>
          <w:color w:val="231F20"/>
        </w:rPr>
        <w:t>commenced</w:t>
      </w:r>
      <w:r>
        <w:rPr>
          <w:color w:val="231F20"/>
          <w:spacing w:val="13"/>
        </w:rPr>
        <w:t xml:space="preserve"> </w:t>
      </w:r>
      <w:r>
        <w:rPr>
          <w:color w:val="231F20"/>
        </w:rPr>
        <w:t>on</w:t>
      </w:r>
      <w:r>
        <w:rPr>
          <w:color w:val="231F20"/>
          <w:spacing w:val="13"/>
        </w:rPr>
        <w:t xml:space="preserve"> </w:t>
      </w:r>
      <w:r>
        <w:rPr>
          <w:color w:val="231F20"/>
        </w:rPr>
        <w:t>05-09-77.</w:t>
      </w:r>
    </w:p>
    <w:p w14:paraId="62CF93A3" w14:textId="77777777" w:rsidR="002653E8" w:rsidRDefault="003115E3">
      <w:pPr>
        <w:pStyle w:val="a3"/>
        <w:spacing w:line="264" w:lineRule="auto"/>
        <w:ind w:left="1328" w:right="1145" w:firstLine="210"/>
        <w:jc w:val="both"/>
      </w:pPr>
      <w:r>
        <w:rPr>
          <w:color w:val="231F20"/>
        </w:rPr>
        <w:t>Revolutionaries and freedom fighters of the entire world are confronted with the monster of world imperialism, the barbaric war against the peoples of the world, under the hegemony of the U.S.A.</w:t>
      </w:r>
    </w:p>
    <w:p w14:paraId="505FD23E" w14:textId="77777777" w:rsidR="002653E8" w:rsidRDefault="003115E3">
      <w:pPr>
        <w:pStyle w:val="a3"/>
        <w:spacing w:line="264" w:lineRule="auto"/>
        <w:ind w:left="1327" w:right="1146" w:firstLine="210"/>
        <w:jc w:val="both"/>
      </w:pPr>
      <w:r>
        <w:rPr>
          <w:color w:val="231F20"/>
        </w:rPr>
        <w:t>In this imperialist war, the sub-centers like Israel and the FRG have the executive function of oppressing and liquidating all revolutionary movements in and on their specific national territory.</w:t>
      </w:r>
    </w:p>
    <w:p w14:paraId="0711824C" w14:textId="77777777" w:rsidR="002653E8" w:rsidRDefault="003115E3">
      <w:pPr>
        <w:pStyle w:val="a3"/>
        <w:spacing w:line="264" w:lineRule="auto"/>
        <w:ind w:left="1327" w:right="1145" w:firstLine="210"/>
        <w:jc w:val="both"/>
      </w:pPr>
      <w:r>
        <w:rPr>
          <w:color w:val="231F20"/>
        </w:rPr>
        <w:t>In our occupied land, the imperialist-zionist-reactionary enemy demonstrates the very high level of their hostility, of their bloody aggressivity, against our people and our revolution, against all the Arab masses and their progressive and patriotic forces. The expansionist and racist nature of Israel is, with Menachem Begin at the summit of this ensemble of imperialist interests, clearer than it has ever been.</w:t>
      </w:r>
    </w:p>
    <w:p w14:paraId="45C0550E" w14:textId="77777777" w:rsidR="002653E8" w:rsidRDefault="003115E3">
      <w:pPr>
        <w:pStyle w:val="a3"/>
        <w:spacing w:line="264" w:lineRule="auto"/>
        <w:ind w:left="1327" w:right="1146" w:firstLine="210"/>
        <w:jc w:val="both"/>
      </w:pPr>
      <w:r>
        <w:rPr>
          <w:color w:val="231F20"/>
        </w:rPr>
        <w:t xml:space="preserve">On the basis of these same imperialist interests </w:t>
      </w:r>
      <w:r>
        <w:rPr>
          <w:color w:val="231F20"/>
          <w:spacing w:val="-3"/>
        </w:rPr>
        <w:t xml:space="preserve">West </w:t>
      </w:r>
      <w:r>
        <w:rPr>
          <w:color w:val="231F20"/>
        </w:rPr>
        <w:t xml:space="preserve">Germany was constructed as a </w:t>
      </w:r>
      <w:r>
        <w:rPr>
          <w:color w:val="231F20"/>
          <w:spacing w:val="1"/>
        </w:rPr>
        <w:t xml:space="preserve">U.S. </w:t>
      </w:r>
      <w:r>
        <w:rPr>
          <w:color w:val="231F20"/>
        </w:rPr>
        <w:t xml:space="preserve">base in </w:t>
      </w:r>
      <w:r>
        <w:rPr>
          <w:color w:val="231F20"/>
          <w:spacing w:val="-8"/>
        </w:rPr>
        <w:t xml:space="preserve">1945. </w:t>
      </w:r>
      <w:r>
        <w:rPr>
          <w:color w:val="231F20"/>
        </w:rPr>
        <w:t xml:space="preserve">Its function was the reactionary integration of the countries of </w:t>
      </w:r>
      <w:r>
        <w:rPr>
          <w:color w:val="231F20"/>
          <w:spacing w:val="-3"/>
        </w:rPr>
        <w:t xml:space="preserve">West </w:t>
      </w:r>
      <w:r>
        <w:rPr>
          <w:color w:val="231F20"/>
        </w:rPr>
        <w:t xml:space="preserve">Europe via economic oppression and blackmail. As far as the underdeveloped countries of the world are concerned. </w:t>
      </w:r>
      <w:r>
        <w:rPr>
          <w:color w:val="231F20"/>
          <w:spacing w:val="-3"/>
        </w:rPr>
        <w:t xml:space="preserve">West </w:t>
      </w:r>
      <w:r>
        <w:rPr>
          <w:color w:val="231F20"/>
        </w:rPr>
        <w:t xml:space="preserve">Germany gives financial, technical, and military support to reactionary regimes in </w:t>
      </w:r>
      <w:r>
        <w:rPr>
          <w:color w:val="231F20"/>
          <w:spacing w:val="-5"/>
        </w:rPr>
        <w:t xml:space="preserve">Tel-Aviv, </w:t>
      </w:r>
      <w:r>
        <w:rPr>
          <w:color w:val="231F20"/>
        </w:rPr>
        <w:t>Pretoria, Salisbury, Santiago de Chili,</w:t>
      </w:r>
      <w:r>
        <w:rPr>
          <w:color w:val="231F20"/>
          <w:spacing w:val="11"/>
        </w:rPr>
        <w:t xml:space="preserve"> </w:t>
      </w:r>
      <w:r>
        <w:rPr>
          <w:color w:val="231F20"/>
        </w:rPr>
        <w:t>etc…</w:t>
      </w:r>
    </w:p>
    <w:p w14:paraId="7E8BE3CE" w14:textId="77777777" w:rsidR="002653E8" w:rsidRDefault="003115E3">
      <w:pPr>
        <w:pStyle w:val="a3"/>
        <w:spacing w:line="264" w:lineRule="auto"/>
        <w:ind w:left="1327" w:right="1145" w:firstLine="210"/>
        <w:jc w:val="both"/>
      </w:pPr>
      <w:r>
        <w:rPr>
          <w:color w:val="231F20"/>
        </w:rPr>
        <w:t xml:space="preserve">There is a close and special cooperation between the two regimes     in Bonn and </w:t>
      </w:r>
      <w:r>
        <w:rPr>
          <w:color w:val="231F20"/>
          <w:spacing w:val="-4"/>
        </w:rPr>
        <w:t xml:space="preserve">Tel-Aviv  </w:t>
      </w:r>
      <w:r>
        <w:rPr>
          <w:color w:val="231F20"/>
        </w:rPr>
        <w:t>in the military and economic fields, as well as        in the area of shared political positions. The two enemy regimes work together against patriotic and revolutionary liberation movements in the world in general and in Arab, African, and Latin American regions   in particular. This is manifested by their providing racist and minority regimes in Pretoria and Salisbury with arms and atomic and military technology,</w:t>
      </w:r>
      <w:r>
        <w:rPr>
          <w:color w:val="231F20"/>
          <w:spacing w:val="15"/>
        </w:rPr>
        <w:t xml:space="preserve"> </w:t>
      </w:r>
      <w:r>
        <w:rPr>
          <w:color w:val="231F20"/>
        </w:rPr>
        <w:t>by</w:t>
      </w:r>
      <w:r>
        <w:rPr>
          <w:color w:val="231F20"/>
          <w:spacing w:val="15"/>
        </w:rPr>
        <w:t xml:space="preserve"> </w:t>
      </w:r>
      <w:r>
        <w:rPr>
          <w:color w:val="231F20"/>
        </w:rPr>
        <w:t>delivering</w:t>
      </w:r>
      <w:r>
        <w:rPr>
          <w:color w:val="231F20"/>
          <w:spacing w:val="15"/>
        </w:rPr>
        <w:t xml:space="preserve"> </w:t>
      </w:r>
      <w:r>
        <w:rPr>
          <w:color w:val="231F20"/>
        </w:rPr>
        <w:t>mercenaries</w:t>
      </w:r>
      <w:r>
        <w:rPr>
          <w:color w:val="231F20"/>
          <w:spacing w:val="15"/>
        </w:rPr>
        <w:t xml:space="preserve"> </w:t>
      </w:r>
      <w:r>
        <w:rPr>
          <w:color w:val="231F20"/>
        </w:rPr>
        <w:t>and</w:t>
      </w:r>
      <w:r>
        <w:rPr>
          <w:color w:val="231F20"/>
          <w:spacing w:val="15"/>
        </w:rPr>
        <w:t xml:space="preserve"> </w:t>
      </w:r>
      <w:r>
        <w:rPr>
          <w:color w:val="231F20"/>
        </w:rPr>
        <w:t>credits</w:t>
      </w:r>
      <w:r>
        <w:rPr>
          <w:color w:val="231F20"/>
          <w:spacing w:val="15"/>
        </w:rPr>
        <w:t xml:space="preserve"> </w:t>
      </w:r>
      <w:r>
        <w:rPr>
          <w:color w:val="231F20"/>
        </w:rPr>
        <w:t>to</w:t>
      </w:r>
      <w:r>
        <w:rPr>
          <w:color w:val="231F20"/>
          <w:spacing w:val="15"/>
        </w:rPr>
        <w:t xml:space="preserve"> </w:t>
      </w:r>
      <w:r>
        <w:rPr>
          <w:color w:val="231F20"/>
        </w:rPr>
        <w:t>them,</w:t>
      </w:r>
      <w:r>
        <w:rPr>
          <w:color w:val="231F20"/>
          <w:spacing w:val="15"/>
        </w:rPr>
        <w:t xml:space="preserve"> </w:t>
      </w:r>
      <w:r>
        <w:rPr>
          <w:color w:val="231F20"/>
        </w:rPr>
        <w:t>by</w:t>
      </w:r>
      <w:r>
        <w:rPr>
          <w:color w:val="231F20"/>
          <w:spacing w:val="15"/>
        </w:rPr>
        <w:t xml:space="preserve"> </w:t>
      </w:r>
      <w:r>
        <w:rPr>
          <w:color w:val="231F20"/>
        </w:rPr>
        <w:t>opening</w:t>
      </w:r>
    </w:p>
    <w:p w14:paraId="57AF615A" w14:textId="77777777" w:rsidR="002653E8" w:rsidRDefault="002653E8">
      <w:pPr>
        <w:spacing w:line="264" w:lineRule="auto"/>
        <w:jc w:val="both"/>
        <w:sectPr w:rsidR="002653E8">
          <w:footerReference w:type="even" r:id="rId421"/>
          <w:footerReference w:type="default" r:id="rId422"/>
          <w:pgSz w:w="8640" w:h="12960"/>
          <w:pgMar w:top="1220" w:right="0" w:bottom="1040" w:left="0" w:header="0" w:footer="850" w:gutter="0"/>
          <w:pgNumType w:start="503"/>
          <w:cols w:space="720"/>
        </w:sectPr>
      </w:pPr>
    </w:p>
    <w:p w14:paraId="7E369BEC" w14:textId="77777777" w:rsidR="002653E8" w:rsidRDefault="003115E3">
      <w:pPr>
        <w:pStyle w:val="a3"/>
        <w:spacing w:before="86" w:line="264" w:lineRule="auto"/>
        <w:ind w:left="1148" w:right="1325" w:hanging="1"/>
      </w:pPr>
      <w:r>
        <w:rPr>
          <w:color w:val="231F20"/>
        </w:rPr>
        <w:lastRenderedPageBreak/>
        <w:t>markets for their products, by breaking boycotts and economic embargos surrounding them.</w:t>
      </w:r>
    </w:p>
    <w:p w14:paraId="1008B1F6" w14:textId="77777777" w:rsidR="002653E8" w:rsidRDefault="003115E3">
      <w:pPr>
        <w:pStyle w:val="a3"/>
        <w:spacing w:line="264" w:lineRule="auto"/>
        <w:ind w:left="1148" w:right="1325" w:firstLine="210"/>
        <w:jc w:val="both"/>
      </w:pPr>
      <w:r>
        <w:rPr>
          <w:color w:val="231F20"/>
        </w:rPr>
        <w:t>A significant example of the close cooperation between the Mossad, the German Secret Services, the CIA, and the DST is the filthy piracy of the imperialist-reactionary alliance: the Zionist invasion of Entebbe.</w:t>
      </w:r>
    </w:p>
    <w:p w14:paraId="389FDC58" w14:textId="77777777" w:rsidR="002653E8" w:rsidRDefault="003115E3">
      <w:pPr>
        <w:pStyle w:val="a3"/>
        <w:spacing w:line="264" w:lineRule="auto"/>
        <w:ind w:left="1148" w:right="1326" w:firstLine="210"/>
        <w:jc w:val="both"/>
      </w:pPr>
      <w:r>
        <w:rPr>
          <w:color w:val="231F20"/>
        </w:rPr>
        <w:t xml:space="preserve">Actually, the identical character of Neo-Naziism in  </w:t>
      </w:r>
      <w:r>
        <w:rPr>
          <w:color w:val="231F20"/>
          <w:spacing w:val="-3"/>
        </w:rPr>
        <w:t xml:space="preserve">West  </w:t>
      </w:r>
      <w:r>
        <w:rPr>
          <w:color w:val="231F20"/>
        </w:rPr>
        <w:t>Germany and Zionism in Israel is in the process of becoming clearer in the two countries:</w:t>
      </w:r>
    </w:p>
    <w:p w14:paraId="67D4FBBA" w14:textId="77777777" w:rsidR="002653E8" w:rsidRDefault="003115E3">
      <w:pPr>
        <w:pStyle w:val="a4"/>
        <w:numPr>
          <w:ilvl w:val="0"/>
          <w:numId w:val="55"/>
        </w:numPr>
        <w:tabs>
          <w:tab w:val="left" w:pos="1645"/>
        </w:tabs>
        <w:spacing w:before="119"/>
        <w:ind w:hanging="240"/>
        <w:rPr>
          <w:sz w:val="20"/>
        </w:rPr>
      </w:pPr>
      <w:r>
        <w:rPr>
          <w:color w:val="231F20"/>
          <w:sz w:val="20"/>
        </w:rPr>
        <w:t>reactionary ideology is</w:t>
      </w:r>
      <w:r>
        <w:rPr>
          <w:color w:val="231F20"/>
          <w:spacing w:val="33"/>
          <w:sz w:val="20"/>
        </w:rPr>
        <w:t xml:space="preserve"> </w:t>
      </w:r>
      <w:r>
        <w:rPr>
          <w:color w:val="231F20"/>
          <w:sz w:val="20"/>
        </w:rPr>
        <w:t>dominant.</w:t>
      </w:r>
    </w:p>
    <w:p w14:paraId="70C9EDA7" w14:textId="77777777" w:rsidR="002653E8" w:rsidRDefault="003115E3">
      <w:pPr>
        <w:pStyle w:val="a4"/>
        <w:numPr>
          <w:ilvl w:val="0"/>
          <w:numId w:val="55"/>
        </w:numPr>
        <w:tabs>
          <w:tab w:val="left" w:pos="1644"/>
        </w:tabs>
        <w:spacing w:before="22"/>
        <w:ind w:hanging="240"/>
        <w:rPr>
          <w:sz w:val="20"/>
        </w:rPr>
      </w:pPr>
      <w:r>
        <w:rPr>
          <w:color w:val="231F20"/>
          <w:sz w:val="20"/>
        </w:rPr>
        <w:t>fascist,</w:t>
      </w:r>
      <w:r>
        <w:rPr>
          <w:color w:val="231F20"/>
          <w:spacing w:val="10"/>
          <w:sz w:val="20"/>
        </w:rPr>
        <w:t xml:space="preserve"> </w:t>
      </w:r>
      <w:r>
        <w:rPr>
          <w:color w:val="231F20"/>
          <w:sz w:val="20"/>
        </w:rPr>
        <w:t>discriminatory,</w:t>
      </w:r>
      <w:r>
        <w:rPr>
          <w:color w:val="231F20"/>
          <w:spacing w:val="10"/>
          <w:sz w:val="20"/>
        </w:rPr>
        <w:t xml:space="preserve"> </w:t>
      </w:r>
      <w:r>
        <w:rPr>
          <w:color w:val="231F20"/>
          <w:sz w:val="20"/>
        </w:rPr>
        <w:t>and</w:t>
      </w:r>
      <w:r>
        <w:rPr>
          <w:color w:val="231F20"/>
          <w:spacing w:val="10"/>
          <w:sz w:val="20"/>
        </w:rPr>
        <w:t xml:space="preserve"> </w:t>
      </w:r>
      <w:r>
        <w:rPr>
          <w:color w:val="231F20"/>
          <w:sz w:val="20"/>
        </w:rPr>
        <w:t>racist</w:t>
      </w:r>
      <w:r>
        <w:rPr>
          <w:color w:val="231F20"/>
          <w:spacing w:val="10"/>
          <w:sz w:val="20"/>
        </w:rPr>
        <w:t xml:space="preserve"> </w:t>
      </w:r>
      <w:r>
        <w:rPr>
          <w:color w:val="231F20"/>
          <w:sz w:val="20"/>
        </w:rPr>
        <w:t>labor</w:t>
      </w:r>
      <w:r>
        <w:rPr>
          <w:color w:val="231F20"/>
          <w:spacing w:val="10"/>
          <w:sz w:val="20"/>
        </w:rPr>
        <w:t xml:space="preserve"> </w:t>
      </w:r>
      <w:r>
        <w:rPr>
          <w:color w:val="231F20"/>
          <w:sz w:val="20"/>
        </w:rPr>
        <w:t>laws</w:t>
      </w:r>
      <w:r>
        <w:rPr>
          <w:color w:val="231F20"/>
          <w:spacing w:val="10"/>
          <w:sz w:val="20"/>
        </w:rPr>
        <w:t xml:space="preserve"> </w:t>
      </w:r>
      <w:r>
        <w:rPr>
          <w:color w:val="231F20"/>
          <w:sz w:val="20"/>
        </w:rPr>
        <w:t>are</w:t>
      </w:r>
      <w:r>
        <w:rPr>
          <w:color w:val="231F20"/>
          <w:spacing w:val="10"/>
          <w:sz w:val="20"/>
        </w:rPr>
        <w:t xml:space="preserve"> </w:t>
      </w:r>
      <w:r>
        <w:rPr>
          <w:color w:val="231F20"/>
          <w:sz w:val="20"/>
        </w:rPr>
        <w:t>enforced.</w:t>
      </w:r>
    </w:p>
    <w:p w14:paraId="0DAF0CC4" w14:textId="77777777" w:rsidR="002653E8" w:rsidRDefault="003115E3">
      <w:pPr>
        <w:pStyle w:val="a4"/>
        <w:numPr>
          <w:ilvl w:val="0"/>
          <w:numId w:val="55"/>
        </w:numPr>
        <w:tabs>
          <w:tab w:val="left" w:pos="1644"/>
        </w:tabs>
        <w:spacing w:before="21" w:line="261" w:lineRule="auto"/>
        <w:ind w:right="1729" w:hanging="240"/>
        <w:rPr>
          <w:sz w:val="20"/>
        </w:rPr>
      </w:pPr>
      <w:r>
        <w:rPr>
          <w:color w:val="231F20"/>
          <w:sz w:val="20"/>
        </w:rPr>
        <w:t>the worst methods of psychological and physical torture and murder are used against fighters for freedom and national liberation.</w:t>
      </w:r>
    </w:p>
    <w:p w14:paraId="0F8980AA" w14:textId="77777777" w:rsidR="002653E8" w:rsidRDefault="003115E3">
      <w:pPr>
        <w:pStyle w:val="a4"/>
        <w:numPr>
          <w:ilvl w:val="0"/>
          <w:numId w:val="55"/>
        </w:numPr>
        <w:tabs>
          <w:tab w:val="left" w:pos="1644"/>
        </w:tabs>
        <w:spacing w:before="1"/>
        <w:ind w:hanging="240"/>
        <w:rPr>
          <w:sz w:val="20"/>
        </w:rPr>
      </w:pPr>
      <w:r>
        <w:rPr>
          <w:color w:val="231F20"/>
          <w:sz w:val="20"/>
        </w:rPr>
        <w:t>forms of collective punishment are</w:t>
      </w:r>
      <w:r>
        <w:rPr>
          <w:color w:val="231F20"/>
          <w:spacing w:val="10"/>
          <w:sz w:val="20"/>
        </w:rPr>
        <w:t xml:space="preserve"> </w:t>
      </w:r>
      <w:r>
        <w:rPr>
          <w:color w:val="231F20"/>
          <w:sz w:val="20"/>
        </w:rPr>
        <w:t>practiced.</w:t>
      </w:r>
    </w:p>
    <w:p w14:paraId="2919BBD9" w14:textId="77777777" w:rsidR="002653E8" w:rsidRDefault="003115E3">
      <w:pPr>
        <w:pStyle w:val="a4"/>
        <w:numPr>
          <w:ilvl w:val="0"/>
          <w:numId w:val="55"/>
        </w:numPr>
        <w:tabs>
          <w:tab w:val="left" w:pos="1644"/>
        </w:tabs>
        <w:spacing w:before="22" w:line="261" w:lineRule="auto"/>
        <w:ind w:right="1587" w:hanging="240"/>
        <w:rPr>
          <w:sz w:val="20"/>
        </w:rPr>
      </w:pPr>
      <w:r>
        <w:rPr>
          <w:color w:val="231F20"/>
          <w:sz w:val="20"/>
        </w:rPr>
        <w:t xml:space="preserve">all guarantees of international </w:t>
      </w:r>
      <w:r>
        <w:rPr>
          <w:color w:val="231F20"/>
          <w:spacing w:val="-4"/>
          <w:sz w:val="20"/>
        </w:rPr>
        <w:t xml:space="preserve">law, </w:t>
      </w:r>
      <w:r>
        <w:rPr>
          <w:color w:val="231F20"/>
          <w:sz w:val="20"/>
        </w:rPr>
        <w:t>such as laws governing the humane treatment of prisoners, a just trial, and a defense are completely</w:t>
      </w:r>
      <w:r>
        <w:rPr>
          <w:color w:val="231F20"/>
          <w:spacing w:val="10"/>
          <w:sz w:val="20"/>
        </w:rPr>
        <w:t xml:space="preserve"> </w:t>
      </w:r>
      <w:r>
        <w:rPr>
          <w:color w:val="231F20"/>
          <w:sz w:val="20"/>
        </w:rPr>
        <w:t>abolished.</w:t>
      </w:r>
    </w:p>
    <w:p w14:paraId="5B482F40" w14:textId="77777777" w:rsidR="002653E8" w:rsidRDefault="003115E3">
      <w:pPr>
        <w:pStyle w:val="a3"/>
        <w:spacing w:before="138" w:line="264" w:lineRule="auto"/>
        <w:ind w:left="1147" w:right="1326"/>
        <w:jc w:val="both"/>
      </w:pPr>
      <w:r>
        <w:rPr>
          <w:color w:val="231F20"/>
        </w:rPr>
        <w:t>While the Zionist regime is the most authentic and practical continuation of Naziism, the government in Bonn and the Parties in parlia ment do their best to revive Naziism and expansionist racism, especially amongst</w:t>
      </w:r>
      <w:r>
        <w:rPr>
          <w:color w:val="231F20"/>
          <w:spacing w:val="10"/>
        </w:rPr>
        <w:t xml:space="preserve"> </w:t>
      </w:r>
      <w:r>
        <w:rPr>
          <w:color w:val="231F20"/>
        </w:rPr>
        <w:t>military</w:t>
      </w:r>
      <w:r>
        <w:rPr>
          <w:color w:val="231F20"/>
          <w:spacing w:val="10"/>
        </w:rPr>
        <w:t xml:space="preserve"> </w:t>
      </w:r>
      <w:r>
        <w:rPr>
          <w:color w:val="231F20"/>
        </w:rPr>
        <w:t>personnel</w:t>
      </w:r>
      <w:r>
        <w:rPr>
          <w:color w:val="231F20"/>
          <w:spacing w:val="10"/>
        </w:rPr>
        <w:t xml:space="preserve"> </w:t>
      </w:r>
      <w:r>
        <w:rPr>
          <w:color w:val="231F20"/>
        </w:rPr>
        <w:t>and</w:t>
      </w:r>
      <w:r>
        <w:rPr>
          <w:color w:val="231F20"/>
          <w:spacing w:val="10"/>
        </w:rPr>
        <w:t xml:space="preserve"> </w:t>
      </w:r>
      <w:r>
        <w:rPr>
          <w:color w:val="231F20"/>
        </w:rPr>
        <w:t>within</w:t>
      </w:r>
      <w:r>
        <w:rPr>
          <w:color w:val="231F20"/>
          <w:spacing w:val="10"/>
        </w:rPr>
        <w:t xml:space="preserve"> </w:t>
      </w:r>
      <w:r>
        <w:rPr>
          <w:color w:val="231F20"/>
        </w:rPr>
        <w:t>the</w:t>
      </w:r>
      <w:r>
        <w:rPr>
          <w:color w:val="231F20"/>
          <w:spacing w:val="10"/>
        </w:rPr>
        <w:t xml:space="preserve"> </w:t>
      </w:r>
      <w:r>
        <w:rPr>
          <w:color w:val="231F20"/>
        </w:rPr>
        <w:t>other</w:t>
      </w:r>
      <w:r>
        <w:rPr>
          <w:color w:val="231F20"/>
          <w:spacing w:val="10"/>
        </w:rPr>
        <w:t xml:space="preserve"> </w:t>
      </w:r>
      <w:r>
        <w:rPr>
          <w:color w:val="231F20"/>
        </w:rPr>
        <w:t>State</w:t>
      </w:r>
      <w:r>
        <w:rPr>
          <w:color w:val="231F20"/>
          <w:spacing w:val="10"/>
        </w:rPr>
        <w:t xml:space="preserve"> </w:t>
      </w:r>
      <w:r>
        <w:rPr>
          <w:color w:val="231F20"/>
        </w:rPr>
        <w:t>institutions.</w:t>
      </w:r>
    </w:p>
    <w:p w14:paraId="7B4985A9" w14:textId="77777777" w:rsidR="002653E8" w:rsidRDefault="003115E3">
      <w:pPr>
        <w:pStyle w:val="a3"/>
        <w:spacing w:line="264" w:lineRule="auto"/>
        <w:ind w:left="1147" w:right="1326" w:firstLine="210"/>
        <w:jc w:val="both"/>
      </w:pPr>
      <w:r>
        <w:rPr>
          <w:color w:val="231F20"/>
        </w:rPr>
        <w:t xml:space="preserve">Economic circles and the magnates of multinational corporations  play an effective role in these efforts. Ponto, Schleyer, and Buback are blatant examples of persons who have effectively served old Naziism and who </w:t>
      </w:r>
      <w:r>
        <w:rPr>
          <w:color w:val="231F20"/>
          <w:spacing w:val="-4"/>
        </w:rPr>
        <w:t xml:space="preserve">now, </w:t>
      </w:r>
      <w:r>
        <w:rPr>
          <w:color w:val="231F20"/>
        </w:rPr>
        <w:t>in practice, execute the goals of the Neo-Nazis in Bonn and</w:t>
      </w:r>
      <w:r>
        <w:rPr>
          <w:color w:val="231F20"/>
          <w:spacing w:val="15"/>
        </w:rPr>
        <w:t xml:space="preserve"> </w:t>
      </w:r>
      <w:r>
        <w:rPr>
          <w:color w:val="231F20"/>
        </w:rPr>
        <w:t>the</w:t>
      </w:r>
      <w:r>
        <w:rPr>
          <w:color w:val="231F20"/>
          <w:spacing w:val="15"/>
        </w:rPr>
        <w:t xml:space="preserve"> </w:t>
      </w:r>
      <w:r>
        <w:rPr>
          <w:color w:val="231F20"/>
        </w:rPr>
        <w:t>Zionists</w:t>
      </w:r>
      <w:r>
        <w:rPr>
          <w:color w:val="231F20"/>
          <w:spacing w:val="15"/>
        </w:rPr>
        <w:t xml:space="preserve"> </w:t>
      </w:r>
      <w:r>
        <w:rPr>
          <w:color w:val="231F20"/>
        </w:rPr>
        <w:t>in</w:t>
      </w:r>
      <w:r>
        <w:rPr>
          <w:color w:val="231F20"/>
          <w:spacing w:val="15"/>
        </w:rPr>
        <w:t xml:space="preserve"> </w:t>
      </w:r>
      <w:r>
        <w:rPr>
          <w:color w:val="231F20"/>
          <w:spacing w:val="-5"/>
        </w:rPr>
        <w:t>Tel-Aviv,</w:t>
      </w:r>
      <w:r>
        <w:rPr>
          <w:color w:val="231F20"/>
          <w:spacing w:val="15"/>
        </w:rPr>
        <w:t xml:space="preserve"> </w:t>
      </w:r>
      <w:r>
        <w:rPr>
          <w:color w:val="231F20"/>
        </w:rPr>
        <w:t>both</w:t>
      </w:r>
      <w:r>
        <w:rPr>
          <w:color w:val="231F20"/>
          <w:spacing w:val="15"/>
        </w:rPr>
        <w:t xml:space="preserve"> </w:t>
      </w:r>
      <w:r>
        <w:rPr>
          <w:color w:val="231F20"/>
        </w:rPr>
        <w:t>locally</w:t>
      </w:r>
      <w:r>
        <w:rPr>
          <w:color w:val="231F20"/>
          <w:spacing w:val="15"/>
        </w:rPr>
        <w:t xml:space="preserve"> </w:t>
      </w:r>
      <w:r>
        <w:rPr>
          <w:color w:val="231F20"/>
        </w:rPr>
        <w:t>and</w:t>
      </w:r>
      <w:r>
        <w:rPr>
          <w:color w:val="231F20"/>
          <w:spacing w:val="15"/>
        </w:rPr>
        <w:t xml:space="preserve"> </w:t>
      </w:r>
      <w:r>
        <w:rPr>
          <w:color w:val="231F20"/>
        </w:rPr>
        <w:t>internationally.</w:t>
      </w:r>
    </w:p>
    <w:p w14:paraId="4E999550" w14:textId="77777777" w:rsidR="002653E8" w:rsidRDefault="003115E3">
      <w:pPr>
        <w:pStyle w:val="a3"/>
        <w:spacing w:line="264" w:lineRule="auto"/>
        <w:ind w:left="1147" w:right="1326" w:firstLine="210"/>
        <w:jc w:val="both"/>
      </w:pPr>
      <w:r>
        <w:rPr>
          <w:color w:val="231F20"/>
        </w:rPr>
        <w:t xml:space="preserve">Part of the anti-guerilla strategy of the enemies is non-acquiescence to the legitimate demands with the goal of freeing our imprisoned revolutionaries, who suffer the most cruel forms of torture with the silent awareness of the international public. </w:t>
      </w:r>
      <w:r>
        <w:rPr>
          <w:color w:val="231F20"/>
          <w:spacing w:val="-5"/>
        </w:rPr>
        <w:t xml:space="preserve">We </w:t>
      </w:r>
      <w:r>
        <w:rPr>
          <w:color w:val="231F20"/>
        </w:rPr>
        <w:t xml:space="preserve">declare that this will not succeed. </w:t>
      </w:r>
      <w:r>
        <w:rPr>
          <w:color w:val="231F20"/>
          <w:spacing w:val="-5"/>
        </w:rPr>
        <w:t xml:space="preserve">We </w:t>
      </w:r>
      <w:r>
        <w:rPr>
          <w:color w:val="231F20"/>
        </w:rPr>
        <w:t>will force the enemy to free our prisoners, who daily defy  them by fighting oppression, even in</w:t>
      </w:r>
      <w:r>
        <w:rPr>
          <w:color w:val="231F20"/>
          <w:spacing w:val="18"/>
        </w:rPr>
        <w:t xml:space="preserve"> </w:t>
      </w:r>
      <w:r>
        <w:rPr>
          <w:color w:val="231F20"/>
        </w:rPr>
        <w:t>prison.</w:t>
      </w:r>
    </w:p>
    <w:p w14:paraId="7501EDB5" w14:textId="77777777" w:rsidR="002653E8" w:rsidRDefault="002653E8">
      <w:pPr>
        <w:pStyle w:val="a3"/>
        <w:spacing w:before="5"/>
      </w:pPr>
    </w:p>
    <w:p w14:paraId="66093C2D" w14:textId="77777777" w:rsidR="002653E8" w:rsidRDefault="003115E3">
      <w:pPr>
        <w:pStyle w:val="a3"/>
        <w:spacing w:line="261" w:lineRule="auto"/>
        <w:ind w:left="1147" w:right="1580"/>
      </w:pPr>
      <w:r>
        <w:rPr>
          <w:color w:val="231F20"/>
          <w:w w:val="115"/>
        </w:rPr>
        <w:t>VICTORy FOR THE UNITy OF ALL REVOLUTIONARy STRENGTH IN THE WORLD</w:t>
      </w:r>
    </w:p>
    <w:p w14:paraId="0B567B45" w14:textId="77777777" w:rsidR="002653E8" w:rsidRDefault="003115E3">
      <w:pPr>
        <w:pStyle w:val="a3"/>
        <w:spacing w:before="129"/>
        <w:ind w:left="1212" w:right="1326"/>
        <w:jc w:val="right"/>
      </w:pPr>
      <w:r>
        <w:rPr>
          <w:color w:val="231F20"/>
        </w:rPr>
        <w:t>Struggle  Against  World  Imperialism Organization</w:t>
      </w:r>
    </w:p>
    <w:p w14:paraId="0FC3AF48" w14:textId="77777777" w:rsidR="002653E8" w:rsidRDefault="003115E3">
      <w:pPr>
        <w:pStyle w:val="a3"/>
        <w:spacing w:before="21"/>
        <w:ind w:left="1212" w:right="1326"/>
        <w:jc w:val="right"/>
      </w:pPr>
      <w:r>
        <w:rPr>
          <w:color w:val="231F20"/>
          <w:w w:val="105"/>
        </w:rPr>
        <w:t>October 13, 1977</w:t>
      </w:r>
    </w:p>
    <w:p w14:paraId="61280CE2" w14:textId="77777777" w:rsidR="002653E8" w:rsidRDefault="002653E8">
      <w:pPr>
        <w:jc w:val="right"/>
        <w:sectPr w:rsidR="002653E8">
          <w:pgSz w:w="8640" w:h="12960"/>
          <w:pgMar w:top="1060" w:right="0" w:bottom="1040" w:left="0" w:header="0" w:footer="850" w:gutter="0"/>
          <w:cols w:space="720"/>
        </w:sectPr>
      </w:pPr>
    </w:p>
    <w:p w14:paraId="58832EFD" w14:textId="77777777" w:rsidR="002653E8" w:rsidRDefault="003115E3">
      <w:pPr>
        <w:pStyle w:val="4"/>
        <w:ind w:left="3060"/>
      </w:pPr>
      <w:bookmarkStart w:id="254" w:name="SAWIO_Ultimatum_(October_13,_1977)_"/>
      <w:bookmarkStart w:id="255" w:name="_bookmark79"/>
      <w:bookmarkEnd w:id="254"/>
      <w:bookmarkEnd w:id="255"/>
      <w:r>
        <w:rPr>
          <w:color w:val="231F20"/>
        </w:rPr>
        <w:lastRenderedPageBreak/>
        <w:t>SAWIO Ultimatum</w:t>
      </w:r>
    </w:p>
    <w:p w14:paraId="3BAE8789" w14:textId="77777777" w:rsidR="002653E8" w:rsidRDefault="003115E3">
      <w:pPr>
        <w:pStyle w:val="a3"/>
        <w:spacing w:before="256"/>
        <w:ind w:left="1327"/>
      </w:pPr>
      <w:r>
        <w:rPr>
          <w:color w:val="231F20"/>
        </w:rPr>
        <w:t>To the Chancellor of the Federal Republic of West Germany</w:t>
      </w:r>
    </w:p>
    <w:p w14:paraId="319274A1" w14:textId="77777777" w:rsidR="002653E8" w:rsidRDefault="003115E3">
      <w:pPr>
        <w:pStyle w:val="a3"/>
        <w:spacing w:before="22" w:line="264" w:lineRule="auto"/>
        <w:ind w:left="1327" w:right="1145" w:firstLine="209"/>
        <w:jc w:val="both"/>
      </w:pPr>
      <w:r>
        <w:rPr>
          <w:color w:val="231F20"/>
        </w:rPr>
        <w:t>this is to inform you that the passengers and the crew of the LH 737 plane, flight no. 181 leaving from Palma to Frankfurt, are under our complete control and responsibility. the lives of the passengers and the crew of the plane as well as the life of Mr. Hanns-Martin Schleyer depends on your fulfilling the following—</w:t>
      </w:r>
    </w:p>
    <w:p w14:paraId="5A910081" w14:textId="77777777" w:rsidR="002653E8" w:rsidRDefault="003115E3">
      <w:pPr>
        <w:pStyle w:val="a4"/>
        <w:numPr>
          <w:ilvl w:val="0"/>
          <w:numId w:val="54"/>
        </w:numPr>
        <w:tabs>
          <w:tab w:val="left" w:pos="1999"/>
          <w:tab w:val="left" w:pos="2000"/>
        </w:tabs>
        <w:spacing w:before="122" w:line="261" w:lineRule="auto"/>
        <w:ind w:right="1242" w:hanging="361"/>
        <w:jc w:val="left"/>
        <w:rPr>
          <w:sz w:val="20"/>
        </w:rPr>
      </w:pPr>
      <w:r>
        <w:rPr>
          <w:color w:val="231F20"/>
          <w:sz w:val="20"/>
        </w:rPr>
        <w:t xml:space="preserve">Release of the following comrades of the </w:t>
      </w:r>
      <w:r w:rsidR="00C507A5">
        <w:rPr>
          <w:color w:val="231F20"/>
          <w:spacing w:val="5"/>
          <w:sz w:val="20"/>
        </w:rPr>
        <w:t>red army faction</w:t>
      </w:r>
      <w:r>
        <w:rPr>
          <w:color w:val="231F20"/>
          <w:spacing w:val="5"/>
          <w:sz w:val="20"/>
        </w:rPr>
        <w:t xml:space="preserve"> </w:t>
      </w:r>
      <w:r>
        <w:rPr>
          <w:color w:val="231F20"/>
          <w:sz w:val="20"/>
        </w:rPr>
        <w:t xml:space="preserve">from prisons in </w:t>
      </w:r>
      <w:r>
        <w:rPr>
          <w:color w:val="231F20"/>
          <w:spacing w:val="-3"/>
          <w:sz w:val="20"/>
        </w:rPr>
        <w:t xml:space="preserve">West </w:t>
      </w:r>
      <w:r>
        <w:rPr>
          <w:color w:val="231F20"/>
          <w:sz w:val="20"/>
        </w:rPr>
        <w:t>Germany—Andreas Baader, Gudrun Ensslin, Jan-Carl Raspe, Verena Becker, Werner Hoppe, Karl-Heinz Dellwo, Hanna Krabbe, Bernd Roessner, Ingrid Schubert, Irmgard Moeller, Guenter Sonnenberg—and with each the amount  of dm</w:t>
      </w:r>
      <w:r>
        <w:rPr>
          <w:color w:val="231F20"/>
          <w:spacing w:val="-11"/>
          <w:sz w:val="20"/>
        </w:rPr>
        <w:t xml:space="preserve"> </w:t>
      </w:r>
      <w:r>
        <w:rPr>
          <w:color w:val="231F20"/>
          <w:sz w:val="20"/>
        </w:rPr>
        <w:t>100,000.</w:t>
      </w:r>
    </w:p>
    <w:p w14:paraId="07CD41AA" w14:textId="77777777" w:rsidR="002653E8" w:rsidRDefault="003115E3">
      <w:pPr>
        <w:pStyle w:val="a4"/>
        <w:numPr>
          <w:ilvl w:val="0"/>
          <w:numId w:val="54"/>
        </w:numPr>
        <w:tabs>
          <w:tab w:val="left" w:pos="1944"/>
        </w:tabs>
        <w:spacing w:before="43" w:line="261" w:lineRule="auto"/>
        <w:ind w:right="1474" w:hanging="361"/>
        <w:jc w:val="left"/>
        <w:rPr>
          <w:sz w:val="20"/>
        </w:rPr>
      </w:pPr>
      <w:r>
        <w:rPr>
          <w:color w:val="231F20"/>
          <w:sz w:val="20"/>
        </w:rPr>
        <w:t xml:space="preserve">Release of the following Palestinian comrades of </w:t>
      </w:r>
      <w:r>
        <w:rPr>
          <w:color w:val="231F20"/>
          <w:spacing w:val="1"/>
          <w:sz w:val="20"/>
        </w:rPr>
        <w:t xml:space="preserve">PFLP </w:t>
      </w:r>
      <w:r>
        <w:rPr>
          <w:color w:val="231F20"/>
          <w:sz w:val="20"/>
        </w:rPr>
        <w:t>from prison in Istanbul—Mahdi and</w:t>
      </w:r>
      <w:r>
        <w:rPr>
          <w:color w:val="231F20"/>
          <w:spacing w:val="10"/>
          <w:sz w:val="20"/>
        </w:rPr>
        <w:t xml:space="preserve"> </w:t>
      </w:r>
      <w:r>
        <w:rPr>
          <w:color w:val="231F20"/>
          <w:sz w:val="20"/>
        </w:rPr>
        <w:t>Hussein.</w:t>
      </w:r>
    </w:p>
    <w:p w14:paraId="685CC057" w14:textId="77777777" w:rsidR="002653E8" w:rsidRDefault="003115E3">
      <w:pPr>
        <w:pStyle w:val="a4"/>
        <w:numPr>
          <w:ilvl w:val="0"/>
          <w:numId w:val="54"/>
        </w:numPr>
        <w:tabs>
          <w:tab w:val="left" w:pos="1945"/>
        </w:tabs>
        <w:spacing w:before="40" w:line="261" w:lineRule="auto"/>
        <w:ind w:left="1943" w:right="1322" w:hanging="360"/>
        <w:jc w:val="left"/>
        <w:rPr>
          <w:sz w:val="20"/>
        </w:rPr>
      </w:pPr>
      <w:r>
        <w:rPr>
          <w:color w:val="231F20"/>
          <w:sz w:val="20"/>
        </w:rPr>
        <w:t xml:space="preserve">The payment of the sum of </w:t>
      </w:r>
      <w:r>
        <w:rPr>
          <w:color w:val="231F20"/>
          <w:spacing w:val="-9"/>
          <w:sz w:val="20"/>
        </w:rPr>
        <w:t xml:space="preserve">$15 </w:t>
      </w:r>
      <w:r>
        <w:rPr>
          <w:color w:val="231F20"/>
          <w:sz w:val="20"/>
        </w:rPr>
        <w:t xml:space="preserve">million </w:t>
      </w:r>
      <w:r>
        <w:rPr>
          <w:color w:val="231F20"/>
          <w:spacing w:val="1"/>
          <w:sz w:val="20"/>
        </w:rPr>
        <w:t xml:space="preserve">U.S. </w:t>
      </w:r>
      <w:r>
        <w:rPr>
          <w:color w:val="231F20"/>
          <w:sz w:val="20"/>
        </w:rPr>
        <w:t>dollars according  to accompanying</w:t>
      </w:r>
      <w:r>
        <w:rPr>
          <w:color w:val="231F20"/>
          <w:spacing w:val="22"/>
          <w:sz w:val="20"/>
        </w:rPr>
        <w:t xml:space="preserve"> </w:t>
      </w:r>
      <w:r>
        <w:rPr>
          <w:color w:val="231F20"/>
          <w:sz w:val="20"/>
        </w:rPr>
        <w:t>instructions.</w:t>
      </w:r>
    </w:p>
    <w:p w14:paraId="494BC28A" w14:textId="77777777" w:rsidR="002653E8" w:rsidRDefault="003115E3">
      <w:pPr>
        <w:pStyle w:val="a4"/>
        <w:numPr>
          <w:ilvl w:val="0"/>
          <w:numId w:val="54"/>
        </w:numPr>
        <w:tabs>
          <w:tab w:val="left" w:pos="1944"/>
        </w:tabs>
        <w:spacing w:line="261" w:lineRule="auto"/>
        <w:ind w:left="1943" w:right="1429" w:hanging="360"/>
        <w:jc w:val="left"/>
        <w:rPr>
          <w:sz w:val="20"/>
        </w:rPr>
      </w:pPr>
      <w:r>
        <w:rPr>
          <w:color w:val="231F20"/>
          <w:sz w:val="20"/>
        </w:rPr>
        <w:t>Arrange with any one of the following countries to accept to receive all the comrades released from</w:t>
      </w:r>
      <w:r>
        <w:rPr>
          <w:color w:val="231F20"/>
          <w:spacing w:val="7"/>
          <w:sz w:val="20"/>
        </w:rPr>
        <w:t xml:space="preserve"> </w:t>
      </w:r>
      <w:r>
        <w:rPr>
          <w:color w:val="231F20"/>
          <w:sz w:val="20"/>
        </w:rPr>
        <w:t>prison:</w:t>
      </w:r>
    </w:p>
    <w:p w14:paraId="7A73086A" w14:textId="77777777" w:rsidR="002653E8" w:rsidRDefault="003115E3">
      <w:pPr>
        <w:pStyle w:val="a4"/>
        <w:numPr>
          <w:ilvl w:val="1"/>
          <w:numId w:val="54"/>
        </w:numPr>
        <w:tabs>
          <w:tab w:val="left" w:pos="2303"/>
        </w:tabs>
        <w:spacing w:before="1"/>
        <w:rPr>
          <w:color w:val="231F20"/>
          <w:sz w:val="20"/>
        </w:rPr>
      </w:pPr>
      <w:r>
        <w:rPr>
          <w:color w:val="231F20"/>
          <w:w w:val="105"/>
          <w:sz w:val="20"/>
        </w:rPr>
        <w:t>Democratic Republic of</w:t>
      </w:r>
      <w:r>
        <w:rPr>
          <w:color w:val="231F20"/>
          <w:spacing w:val="22"/>
          <w:w w:val="105"/>
          <w:sz w:val="20"/>
        </w:rPr>
        <w:t xml:space="preserve"> </w:t>
      </w:r>
      <w:r>
        <w:rPr>
          <w:color w:val="231F20"/>
          <w:w w:val="105"/>
          <w:sz w:val="20"/>
        </w:rPr>
        <w:t>Vietnam</w:t>
      </w:r>
    </w:p>
    <w:p w14:paraId="2A16B402" w14:textId="77777777" w:rsidR="002653E8" w:rsidRDefault="003115E3">
      <w:pPr>
        <w:pStyle w:val="a4"/>
        <w:numPr>
          <w:ilvl w:val="1"/>
          <w:numId w:val="54"/>
        </w:numPr>
        <w:tabs>
          <w:tab w:val="left" w:pos="2303"/>
        </w:tabs>
        <w:spacing w:before="22"/>
        <w:rPr>
          <w:color w:val="231F20"/>
          <w:sz w:val="20"/>
        </w:rPr>
      </w:pPr>
      <w:r>
        <w:rPr>
          <w:color w:val="231F20"/>
          <w:w w:val="105"/>
          <w:sz w:val="20"/>
        </w:rPr>
        <w:t>Republic of</w:t>
      </w:r>
      <w:r>
        <w:rPr>
          <w:color w:val="231F20"/>
          <w:spacing w:val="15"/>
          <w:w w:val="105"/>
          <w:sz w:val="20"/>
        </w:rPr>
        <w:t xml:space="preserve"> </w:t>
      </w:r>
      <w:r>
        <w:rPr>
          <w:color w:val="231F20"/>
          <w:w w:val="105"/>
          <w:sz w:val="20"/>
        </w:rPr>
        <w:t>Somalia</w:t>
      </w:r>
    </w:p>
    <w:p w14:paraId="440480FA" w14:textId="77777777" w:rsidR="002653E8" w:rsidRDefault="003115E3">
      <w:pPr>
        <w:pStyle w:val="a4"/>
        <w:numPr>
          <w:ilvl w:val="1"/>
          <w:numId w:val="54"/>
        </w:numPr>
        <w:tabs>
          <w:tab w:val="left" w:pos="2303"/>
        </w:tabs>
        <w:spacing w:before="21"/>
        <w:rPr>
          <w:color w:val="231F20"/>
          <w:sz w:val="20"/>
        </w:rPr>
      </w:pPr>
      <w:r>
        <w:rPr>
          <w:color w:val="231F20"/>
          <w:spacing w:val="-3"/>
          <w:sz w:val="20"/>
        </w:rPr>
        <w:t xml:space="preserve">People’s </w:t>
      </w:r>
      <w:r>
        <w:rPr>
          <w:color w:val="231F20"/>
          <w:sz w:val="20"/>
        </w:rPr>
        <w:t>Democratic Republic of</w:t>
      </w:r>
      <w:r>
        <w:rPr>
          <w:color w:val="231F20"/>
          <w:spacing w:val="7"/>
          <w:sz w:val="20"/>
        </w:rPr>
        <w:t xml:space="preserve"> </w:t>
      </w:r>
      <w:r>
        <w:rPr>
          <w:color w:val="231F20"/>
          <w:sz w:val="20"/>
        </w:rPr>
        <w:t>Jemen</w:t>
      </w:r>
    </w:p>
    <w:p w14:paraId="7BD4BEE6" w14:textId="77777777" w:rsidR="002653E8" w:rsidRDefault="003115E3">
      <w:pPr>
        <w:pStyle w:val="a4"/>
        <w:numPr>
          <w:ilvl w:val="0"/>
          <w:numId w:val="54"/>
        </w:numPr>
        <w:tabs>
          <w:tab w:val="left" w:pos="1943"/>
          <w:tab w:val="left" w:pos="1944"/>
        </w:tabs>
        <w:spacing w:before="62" w:line="261" w:lineRule="auto"/>
        <w:ind w:left="1943" w:right="1146" w:hanging="360"/>
        <w:jc w:val="left"/>
        <w:rPr>
          <w:sz w:val="20"/>
        </w:rPr>
      </w:pPr>
      <w:r>
        <w:rPr>
          <w:color w:val="231F20"/>
          <w:sz w:val="20"/>
        </w:rPr>
        <w:t>The german prisoners should be transported by plane, which you should provide, to their point of destination. they should    fly via Istanbul to take in the two Palestinian comrades released from Istanbul</w:t>
      </w:r>
      <w:r>
        <w:rPr>
          <w:color w:val="231F20"/>
          <w:spacing w:val="21"/>
          <w:sz w:val="20"/>
        </w:rPr>
        <w:t xml:space="preserve"> </w:t>
      </w:r>
      <w:r>
        <w:rPr>
          <w:color w:val="231F20"/>
          <w:sz w:val="20"/>
        </w:rPr>
        <w:t>prison.</w:t>
      </w:r>
    </w:p>
    <w:p w14:paraId="2BAC73B8" w14:textId="77777777" w:rsidR="002653E8" w:rsidRDefault="003115E3">
      <w:pPr>
        <w:pStyle w:val="a3"/>
        <w:spacing w:before="41" w:line="283" w:lineRule="auto"/>
        <w:ind w:left="1943" w:right="1209"/>
      </w:pPr>
      <w:r>
        <w:rPr>
          <w:color w:val="231F20"/>
          <w:w w:val="105"/>
        </w:rPr>
        <w:t>the turkish government is well informed about our demands. the prisoners should all together reach their point of destination before Sunday, 16th of Oct. 1977, 8.00 o’clock a.m. GMT.</w:t>
      </w:r>
    </w:p>
    <w:p w14:paraId="11E01E8E" w14:textId="77777777" w:rsidR="002653E8" w:rsidRDefault="003115E3">
      <w:pPr>
        <w:pStyle w:val="a3"/>
        <w:spacing w:before="18" w:line="261" w:lineRule="auto"/>
        <w:ind w:left="1944" w:right="1580"/>
      </w:pPr>
      <w:r>
        <w:rPr>
          <w:color w:val="231F20"/>
        </w:rPr>
        <w:t>the money should be delivered according to accompanying instructions within the same period of time.</w:t>
      </w:r>
    </w:p>
    <w:p w14:paraId="5E00F6B7" w14:textId="77777777" w:rsidR="002653E8" w:rsidRDefault="003115E3">
      <w:pPr>
        <w:pStyle w:val="a4"/>
        <w:numPr>
          <w:ilvl w:val="0"/>
          <w:numId w:val="54"/>
        </w:numPr>
        <w:tabs>
          <w:tab w:val="left" w:pos="1945"/>
        </w:tabs>
        <w:spacing w:line="261" w:lineRule="auto"/>
        <w:ind w:left="1943" w:right="1174" w:hanging="360"/>
        <w:jc w:val="left"/>
        <w:rPr>
          <w:sz w:val="20"/>
        </w:rPr>
      </w:pPr>
      <w:r>
        <w:rPr>
          <w:color w:val="231F20"/>
          <w:spacing w:val="1"/>
          <w:sz w:val="20"/>
        </w:rPr>
        <w:t xml:space="preserve">If </w:t>
      </w:r>
      <w:r>
        <w:rPr>
          <w:color w:val="231F20"/>
          <w:sz w:val="20"/>
        </w:rPr>
        <w:t xml:space="preserve">all the prisoners are not released and do not reach their point of destination, and the money is not delivered according to instructions, within the specified time, then Mr. </w:t>
      </w:r>
      <w:r>
        <w:rPr>
          <w:color w:val="231F20"/>
          <w:spacing w:val="1"/>
          <w:sz w:val="20"/>
        </w:rPr>
        <w:t xml:space="preserve">Hanns-Martin </w:t>
      </w:r>
      <w:r>
        <w:rPr>
          <w:color w:val="231F20"/>
          <w:sz w:val="20"/>
        </w:rPr>
        <w:t xml:space="preserve">Schleyer, and all the passengers and the crew of the </w:t>
      </w:r>
      <w:r>
        <w:rPr>
          <w:color w:val="231F20"/>
          <w:spacing w:val="1"/>
          <w:sz w:val="20"/>
        </w:rPr>
        <w:t xml:space="preserve">LH </w:t>
      </w:r>
      <w:r>
        <w:rPr>
          <w:color w:val="231F20"/>
          <w:spacing w:val="-8"/>
          <w:sz w:val="20"/>
        </w:rPr>
        <w:t xml:space="preserve">737 </w:t>
      </w:r>
      <w:r>
        <w:rPr>
          <w:color w:val="231F20"/>
          <w:sz w:val="20"/>
        </w:rPr>
        <w:t xml:space="preserve">plane, flight no. </w:t>
      </w:r>
      <w:r>
        <w:rPr>
          <w:color w:val="231F20"/>
          <w:spacing w:val="-6"/>
          <w:sz w:val="20"/>
        </w:rPr>
        <w:t xml:space="preserve">181 </w:t>
      </w:r>
      <w:r>
        <w:rPr>
          <w:color w:val="231F20"/>
          <w:sz w:val="20"/>
        </w:rPr>
        <w:t>will be killed</w:t>
      </w:r>
      <w:r>
        <w:rPr>
          <w:color w:val="231F20"/>
          <w:spacing w:val="10"/>
          <w:sz w:val="20"/>
        </w:rPr>
        <w:t xml:space="preserve"> </w:t>
      </w:r>
      <w:r>
        <w:rPr>
          <w:color w:val="231F20"/>
          <w:sz w:val="20"/>
        </w:rPr>
        <w:t>immediately.</w:t>
      </w:r>
    </w:p>
    <w:p w14:paraId="6605AF1B" w14:textId="77777777" w:rsidR="002653E8" w:rsidRDefault="002653E8">
      <w:pPr>
        <w:spacing w:line="261" w:lineRule="auto"/>
        <w:rPr>
          <w:sz w:val="20"/>
        </w:rPr>
        <w:sectPr w:rsidR="002653E8">
          <w:footerReference w:type="even" r:id="rId423"/>
          <w:footerReference w:type="default" r:id="rId424"/>
          <w:pgSz w:w="8640" w:h="12960"/>
          <w:pgMar w:top="1220" w:right="0" w:bottom="1040" w:left="0" w:header="0" w:footer="850" w:gutter="0"/>
          <w:pgNumType w:start="505"/>
          <w:cols w:space="720"/>
        </w:sectPr>
      </w:pPr>
    </w:p>
    <w:p w14:paraId="031B9CD8" w14:textId="77777777" w:rsidR="002653E8" w:rsidRDefault="003115E3">
      <w:pPr>
        <w:pStyle w:val="a4"/>
        <w:numPr>
          <w:ilvl w:val="0"/>
          <w:numId w:val="54"/>
        </w:numPr>
        <w:tabs>
          <w:tab w:val="left" w:pos="1763"/>
          <w:tab w:val="left" w:pos="1764"/>
        </w:tabs>
        <w:spacing w:before="86"/>
        <w:ind w:left="1763" w:hanging="360"/>
        <w:jc w:val="left"/>
        <w:rPr>
          <w:sz w:val="20"/>
        </w:rPr>
      </w:pPr>
      <w:r>
        <w:rPr>
          <w:color w:val="231F20"/>
          <w:spacing w:val="1"/>
          <w:sz w:val="20"/>
        </w:rPr>
        <w:lastRenderedPageBreak/>
        <w:t>If</w:t>
      </w:r>
      <w:r>
        <w:rPr>
          <w:color w:val="231F20"/>
          <w:spacing w:val="10"/>
          <w:sz w:val="20"/>
        </w:rPr>
        <w:t xml:space="preserve"> </w:t>
      </w:r>
      <w:r>
        <w:rPr>
          <w:color w:val="231F20"/>
          <w:sz w:val="20"/>
        </w:rPr>
        <w:t>you</w:t>
      </w:r>
      <w:r>
        <w:rPr>
          <w:color w:val="231F20"/>
          <w:spacing w:val="10"/>
          <w:sz w:val="20"/>
        </w:rPr>
        <w:t xml:space="preserve"> </w:t>
      </w:r>
      <w:r>
        <w:rPr>
          <w:color w:val="231F20"/>
          <w:sz w:val="20"/>
        </w:rPr>
        <w:t>comply</w:t>
      </w:r>
      <w:r>
        <w:rPr>
          <w:color w:val="231F20"/>
          <w:spacing w:val="10"/>
          <w:sz w:val="20"/>
        </w:rPr>
        <w:t xml:space="preserve"> </w:t>
      </w:r>
      <w:r>
        <w:rPr>
          <w:color w:val="231F20"/>
          <w:sz w:val="20"/>
        </w:rPr>
        <w:t>with</w:t>
      </w:r>
      <w:r>
        <w:rPr>
          <w:color w:val="231F20"/>
          <w:spacing w:val="10"/>
          <w:sz w:val="20"/>
        </w:rPr>
        <w:t xml:space="preserve"> </w:t>
      </w:r>
      <w:r>
        <w:rPr>
          <w:color w:val="231F20"/>
          <w:sz w:val="20"/>
        </w:rPr>
        <w:t>our</w:t>
      </w:r>
      <w:r>
        <w:rPr>
          <w:color w:val="231F20"/>
          <w:spacing w:val="10"/>
          <w:sz w:val="20"/>
        </w:rPr>
        <w:t xml:space="preserve"> </w:t>
      </w:r>
      <w:r>
        <w:rPr>
          <w:color w:val="231F20"/>
          <w:sz w:val="20"/>
        </w:rPr>
        <w:t>instructions</w:t>
      </w:r>
      <w:r>
        <w:rPr>
          <w:color w:val="231F20"/>
          <w:spacing w:val="10"/>
          <w:sz w:val="20"/>
        </w:rPr>
        <w:t xml:space="preserve"> </w:t>
      </w:r>
      <w:r>
        <w:rPr>
          <w:color w:val="231F20"/>
          <w:sz w:val="20"/>
        </w:rPr>
        <w:t>all</w:t>
      </w:r>
      <w:r>
        <w:rPr>
          <w:color w:val="231F20"/>
          <w:spacing w:val="10"/>
          <w:sz w:val="20"/>
        </w:rPr>
        <w:t xml:space="preserve"> </w:t>
      </w:r>
      <w:r>
        <w:rPr>
          <w:color w:val="231F20"/>
          <w:sz w:val="20"/>
        </w:rPr>
        <w:t>of</w:t>
      </w:r>
      <w:r>
        <w:rPr>
          <w:color w:val="231F20"/>
          <w:spacing w:val="10"/>
          <w:sz w:val="20"/>
        </w:rPr>
        <w:t xml:space="preserve"> </w:t>
      </w:r>
      <w:r>
        <w:rPr>
          <w:color w:val="231F20"/>
          <w:sz w:val="20"/>
        </w:rPr>
        <w:t>them</w:t>
      </w:r>
      <w:r>
        <w:rPr>
          <w:color w:val="231F20"/>
          <w:spacing w:val="10"/>
          <w:sz w:val="20"/>
        </w:rPr>
        <w:t xml:space="preserve"> </w:t>
      </w:r>
      <w:r>
        <w:rPr>
          <w:color w:val="231F20"/>
          <w:sz w:val="20"/>
        </w:rPr>
        <w:t>will</w:t>
      </w:r>
      <w:r>
        <w:rPr>
          <w:color w:val="231F20"/>
          <w:spacing w:val="10"/>
          <w:sz w:val="20"/>
        </w:rPr>
        <w:t xml:space="preserve"> </w:t>
      </w:r>
      <w:r>
        <w:rPr>
          <w:color w:val="231F20"/>
          <w:sz w:val="20"/>
        </w:rPr>
        <w:t>be</w:t>
      </w:r>
      <w:r>
        <w:rPr>
          <w:color w:val="231F20"/>
          <w:spacing w:val="10"/>
          <w:sz w:val="20"/>
        </w:rPr>
        <w:t xml:space="preserve"> </w:t>
      </w:r>
      <w:r>
        <w:rPr>
          <w:color w:val="231F20"/>
          <w:sz w:val="20"/>
        </w:rPr>
        <w:t>released.</w:t>
      </w:r>
    </w:p>
    <w:p w14:paraId="555CAB83" w14:textId="77777777" w:rsidR="002653E8" w:rsidRDefault="003115E3">
      <w:pPr>
        <w:pStyle w:val="a4"/>
        <w:numPr>
          <w:ilvl w:val="0"/>
          <w:numId w:val="54"/>
        </w:numPr>
        <w:tabs>
          <w:tab w:val="left" w:pos="1764"/>
        </w:tabs>
        <w:spacing w:before="62" w:line="261" w:lineRule="auto"/>
        <w:ind w:left="1763" w:right="1526" w:hanging="360"/>
        <w:jc w:val="left"/>
        <w:rPr>
          <w:sz w:val="20"/>
        </w:rPr>
      </w:pPr>
      <w:r>
        <w:rPr>
          <w:color w:val="231F20"/>
          <w:spacing w:val="-5"/>
          <w:sz w:val="20"/>
        </w:rPr>
        <w:t xml:space="preserve">We </w:t>
      </w:r>
      <w:r>
        <w:rPr>
          <w:color w:val="231F20"/>
          <w:sz w:val="20"/>
        </w:rPr>
        <w:t xml:space="preserve">shall not contact you again. This is our last contact with you. </w:t>
      </w:r>
      <w:r>
        <w:rPr>
          <w:color w:val="231F20"/>
          <w:spacing w:val="-7"/>
          <w:sz w:val="20"/>
        </w:rPr>
        <w:t xml:space="preserve">you  </w:t>
      </w:r>
      <w:r>
        <w:rPr>
          <w:color w:val="231F20"/>
          <w:sz w:val="20"/>
        </w:rPr>
        <w:t>are completely to blame for any error or faults in    the release of the above mentioned comrades in prison or in the delivery of the specified ransom according to the specified instructions.</w:t>
      </w:r>
    </w:p>
    <w:p w14:paraId="5F2C9E67" w14:textId="77777777" w:rsidR="002653E8" w:rsidRDefault="003115E3">
      <w:pPr>
        <w:pStyle w:val="a4"/>
        <w:numPr>
          <w:ilvl w:val="0"/>
          <w:numId w:val="54"/>
        </w:numPr>
        <w:tabs>
          <w:tab w:val="left" w:pos="1764"/>
        </w:tabs>
        <w:spacing w:before="42" w:line="261" w:lineRule="auto"/>
        <w:ind w:left="1763" w:right="1606" w:hanging="360"/>
        <w:jc w:val="left"/>
        <w:rPr>
          <w:sz w:val="20"/>
        </w:rPr>
      </w:pPr>
      <w:r>
        <w:rPr>
          <w:color w:val="231F20"/>
          <w:sz w:val="20"/>
        </w:rPr>
        <w:t xml:space="preserve">Any </w:t>
      </w:r>
      <w:r>
        <w:rPr>
          <w:color w:val="231F20"/>
          <w:spacing w:val="1"/>
          <w:sz w:val="20"/>
        </w:rPr>
        <w:t xml:space="preserve">try </w:t>
      </w:r>
      <w:r>
        <w:rPr>
          <w:color w:val="231F20"/>
          <w:sz w:val="20"/>
        </w:rPr>
        <w:t xml:space="preserve">on your part to delay or deceive us will mean </w:t>
      </w:r>
      <w:r>
        <w:rPr>
          <w:color w:val="231F20"/>
          <w:spacing w:val="1"/>
          <w:sz w:val="20"/>
        </w:rPr>
        <w:t>imme</w:t>
      </w:r>
      <w:r>
        <w:rPr>
          <w:color w:val="231F20"/>
          <w:sz w:val="20"/>
        </w:rPr>
        <w:t>diate ending of the ultimatum and execution of Mr. Hanns</w:t>
      </w:r>
      <w:r>
        <w:rPr>
          <w:color w:val="231F20"/>
          <w:spacing w:val="1"/>
          <w:sz w:val="20"/>
        </w:rPr>
        <w:t xml:space="preserve">Martin </w:t>
      </w:r>
      <w:r>
        <w:rPr>
          <w:color w:val="231F20"/>
          <w:sz w:val="20"/>
        </w:rPr>
        <w:t>Schleyer and all the passengers and the crew of the plane.</w:t>
      </w:r>
    </w:p>
    <w:p w14:paraId="4DC5AFC8" w14:textId="77777777" w:rsidR="002653E8" w:rsidRDefault="003115E3">
      <w:pPr>
        <w:pStyle w:val="a3"/>
        <w:spacing w:before="170"/>
        <w:ind w:left="1212" w:right="1325"/>
        <w:jc w:val="right"/>
      </w:pPr>
      <w:r>
        <w:rPr>
          <w:color w:val="231F20"/>
          <w:w w:val="120"/>
        </w:rPr>
        <w:t>S.A.W.I.O.</w:t>
      </w:r>
    </w:p>
    <w:p w14:paraId="33F567BF" w14:textId="77777777" w:rsidR="002653E8" w:rsidRDefault="003115E3">
      <w:pPr>
        <w:pStyle w:val="a3"/>
        <w:spacing w:before="21"/>
        <w:ind w:left="1212" w:right="1326"/>
        <w:jc w:val="right"/>
      </w:pPr>
      <w:r>
        <w:rPr>
          <w:color w:val="231F20"/>
          <w:w w:val="105"/>
        </w:rPr>
        <w:t>October 13, 1977</w:t>
      </w:r>
    </w:p>
    <w:p w14:paraId="6899C6ED" w14:textId="77777777" w:rsidR="002653E8" w:rsidRDefault="002653E8">
      <w:pPr>
        <w:jc w:val="right"/>
        <w:sectPr w:rsidR="002653E8">
          <w:pgSz w:w="8640" w:h="12960"/>
          <w:pgMar w:top="1060" w:right="0" w:bottom="1040" w:left="0" w:header="0" w:footer="850" w:gutter="0"/>
          <w:cols w:space="720"/>
        </w:sectPr>
      </w:pPr>
    </w:p>
    <w:p w14:paraId="6E71694E" w14:textId="77777777" w:rsidR="002653E8" w:rsidRDefault="003115E3">
      <w:pPr>
        <w:pStyle w:val="4"/>
        <w:ind w:left="2296"/>
      </w:pPr>
      <w:bookmarkStart w:id="256" w:name="Final_Schleyer_Communiqué_(October_19,_1"/>
      <w:bookmarkStart w:id="257" w:name="_bookmark80"/>
      <w:bookmarkEnd w:id="256"/>
      <w:bookmarkEnd w:id="257"/>
      <w:r>
        <w:rPr>
          <w:color w:val="231F20"/>
        </w:rPr>
        <w:lastRenderedPageBreak/>
        <w:t>Final Schleyer Communiqué</w:t>
      </w:r>
    </w:p>
    <w:p w14:paraId="0FE1D52B" w14:textId="77777777" w:rsidR="002653E8" w:rsidRDefault="003115E3">
      <w:pPr>
        <w:pStyle w:val="a3"/>
        <w:spacing w:before="256" w:line="264" w:lineRule="auto"/>
        <w:ind w:left="1327" w:right="1146"/>
        <w:jc w:val="both"/>
      </w:pPr>
      <w:r>
        <w:rPr>
          <w:color w:val="231F20"/>
        </w:rPr>
        <w:t xml:space="preserve">After </w:t>
      </w:r>
      <w:r>
        <w:rPr>
          <w:color w:val="231F20"/>
          <w:spacing w:val="-5"/>
        </w:rPr>
        <w:t xml:space="preserve">43 </w:t>
      </w:r>
      <w:r>
        <w:rPr>
          <w:color w:val="231F20"/>
        </w:rPr>
        <w:t xml:space="preserve">days, we have put  an  end  to  Hanns  </w:t>
      </w:r>
      <w:r>
        <w:rPr>
          <w:color w:val="231F20"/>
          <w:spacing w:val="1"/>
        </w:rPr>
        <w:t xml:space="preserve">Martin  </w:t>
      </w:r>
      <w:r>
        <w:rPr>
          <w:color w:val="231F20"/>
        </w:rPr>
        <w:t>Schleyer’s  piti</w:t>
      </w:r>
      <w:r>
        <w:rPr>
          <w:color w:val="231F20"/>
          <w:spacing w:val="1"/>
        </w:rPr>
        <w:t xml:space="preserve">ful </w:t>
      </w:r>
      <w:r>
        <w:rPr>
          <w:color w:val="231F20"/>
        </w:rPr>
        <w:t xml:space="preserve">and corrupt existence. From the moment he began his power </w:t>
      </w:r>
      <w:r>
        <w:rPr>
          <w:color w:val="231F20"/>
          <w:spacing w:val="-4"/>
        </w:rPr>
        <w:t xml:space="preserve">play, </w:t>
      </w:r>
      <w:r>
        <w:rPr>
          <w:color w:val="231F20"/>
        </w:rPr>
        <w:t>Herr Schmidt gambled with the possibility of Schleyer’s death: he can find him on rue Charles Peguy in Mulhouse in a green Audi 100 with Bad Homburg license</w:t>
      </w:r>
      <w:r>
        <w:rPr>
          <w:color w:val="231F20"/>
          <w:spacing w:val="33"/>
        </w:rPr>
        <w:t xml:space="preserve"> </w:t>
      </w:r>
      <w:r>
        <w:rPr>
          <w:color w:val="231F20"/>
        </w:rPr>
        <w:t>plates.</w:t>
      </w:r>
    </w:p>
    <w:p w14:paraId="65BB8199" w14:textId="77777777" w:rsidR="002653E8" w:rsidRDefault="003115E3">
      <w:pPr>
        <w:pStyle w:val="a3"/>
        <w:spacing w:line="264" w:lineRule="auto"/>
        <w:ind w:left="1327" w:right="1146" w:firstLine="210"/>
        <w:jc w:val="both"/>
      </w:pPr>
      <w:r>
        <w:rPr>
          <w:color w:val="231F20"/>
        </w:rPr>
        <w:t xml:space="preserve">As compensation  for  our  pain  and  suffering  over  the  massacres  in Mogadishu and Stammheim, his death is meaningless. Andreas, Gudrun, Jan, Irmgard, and ourselves, we are not surprised by the dramatic and fascist methods the imperialists use to exterminate the liberation movements. </w:t>
      </w:r>
      <w:r>
        <w:rPr>
          <w:color w:val="231F20"/>
          <w:spacing w:val="-5"/>
        </w:rPr>
        <w:t xml:space="preserve">We </w:t>
      </w:r>
      <w:r>
        <w:rPr>
          <w:color w:val="231F20"/>
        </w:rPr>
        <w:t>will never forget Schmidt and the alliance that participated in this</w:t>
      </w:r>
      <w:r>
        <w:rPr>
          <w:color w:val="231F20"/>
          <w:spacing w:val="33"/>
        </w:rPr>
        <w:t xml:space="preserve"> </w:t>
      </w:r>
      <w:r>
        <w:rPr>
          <w:color w:val="231F20"/>
        </w:rPr>
        <w:t>bloodbath.</w:t>
      </w:r>
    </w:p>
    <w:p w14:paraId="6567C683" w14:textId="77777777" w:rsidR="002653E8" w:rsidRDefault="003115E3">
      <w:pPr>
        <w:pStyle w:val="a3"/>
        <w:spacing w:before="115"/>
        <w:ind w:left="1327"/>
        <w:jc w:val="both"/>
      </w:pPr>
      <w:r>
        <w:rPr>
          <w:color w:val="231F20"/>
          <w:w w:val="115"/>
        </w:rPr>
        <w:t>THE STRUGGLE HAS ONLy BEGUN.</w:t>
      </w:r>
    </w:p>
    <w:p w14:paraId="59377A10" w14:textId="77777777" w:rsidR="002653E8" w:rsidRDefault="003115E3">
      <w:pPr>
        <w:pStyle w:val="a3"/>
        <w:spacing w:before="22"/>
        <w:ind w:left="1327"/>
        <w:jc w:val="both"/>
      </w:pPr>
      <w:r>
        <w:rPr>
          <w:color w:val="231F20"/>
          <w:w w:val="110"/>
        </w:rPr>
        <w:t>FREEDOM   THROUGH   ARMED   ANTI-IMPERIALIST STRUGGLE</w:t>
      </w:r>
    </w:p>
    <w:p w14:paraId="405295EC" w14:textId="77777777" w:rsidR="002653E8" w:rsidRDefault="003115E3">
      <w:pPr>
        <w:pStyle w:val="a3"/>
        <w:spacing w:before="149"/>
        <w:ind w:left="1212" w:right="1146"/>
        <w:jc w:val="right"/>
      </w:pPr>
      <w:r>
        <w:rPr>
          <w:color w:val="231F20"/>
        </w:rPr>
        <w:t>Siegfried  Hausner Commando</w:t>
      </w:r>
    </w:p>
    <w:p w14:paraId="3B4E5DF8" w14:textId="77777777" w:rsidR="002653E8" w:rsidRDefault="003115E3">
      <w:pPr>
        <w:pStyle w:val="a3"/>
        <w:spacing w:before="22"/>
        <w:ind w:left="1212" w:right="1146"/>
        <w:jc w:val="right"/>
      </w:pPr>
      <w:r>
        <w:rPr>
          <w:color w:val="231F20"/>
          <w:w w:val="105"/>
        </w:rPr>
        <w:t>October 19, 1977</w:t>
      </w:r>
    </w:p>
    <w:p w14:paraId="4877C7C3" w14:textId="77777777" w:rsidR="002653E8" w:rsidRDefault="002653E8">
      <w:pPr>
        <w:jc w:val="right"/>
        <w:sectPr w:rsidR="002653E8">
          <w:footerReference w:type="even" r:id="rId425"/>
          <w:footerReference w:type="default" r:id="rId426"/>
          <w:pgSz w:w="8640" w:h="12960"/>
          <w:pgMar w:top="1220" w:right="0" w:bottom="1040" w:left="0" w:header="0" w:footer="850" w:gutter="0"/>
          <w:pgNumType w:start="507"/>
          <w:cols w:space="720"/>
        </w:sectPr>
      </w:pPr>
    </w:p>
    <w:p w14:paraId="3637676C" w14:textId="77777777" w:rsidR="002653E8" w:rsidRDefault="00000000">
      <w:pPr>
        <w:pStyle w:val="a3"/>
        <w:spacing w:before="4"/>
        <w:rPr>
          <w:sz w:val="16"/>
        </w:rPr>
      </w:pPr>
      <w:r>
        <w:rPr>
          <w:noProof w:val="0"/>
        </w:rPr>
        <w:lastRenderedPageBreak/>
        <w:pict w14:anchorId="52789CAD">
          <v:group id="_x0000_s2183" style="position:absolute;margin-left:57.4pt;margin-top:54pt;width:308.25pt;height:514.6pt;z-index:-454216;mso-position-horizontal-relative:page;mso-position-vertical-relative:page" coordorigin="1148,1080" coordsize="6165,10292">
            <v:rect id="_x0000_s2189" style="position:absolute;left:1147;top:1080;width:6165;height:10292" fillcolor="#e6e7e8" stroked="f"/>
            <v:line id="_x0000_s2188" style="position:absolute" from="1155,1140" to="1155,11327" strokecolor="#231f20">
              <v:stroke dashstyle="3 1"/>
            </v:line>
            <v:line id="_x0000_s2187" style="position:absolute" from="1208,11364" to="7267,11364" strokecolor="#231f20">
              <v:stroke dashstyle="3 1"/>
            </v:line>
            <v:line id="_x0000_s2186" style="position:absolute" from="7305,11312" to="7305,1125" strokecolor="#231f20">
              <v:stroke dashstyle="3 1"/>
            </v:line>
            <v:line id="_x0000_s2185" style="position:absolute" from="7252,1088" to="1193,1088" strokecolor="#231f20">
              <v:stroke dashstyle="3 1"/>
            </v:line>
            <v:shape id="_x0000_s2184" style="position:absolute;top:2705;width:6150;height:10277" coordorigin=",2706" coordsize="6150,10277" o:spt="100" adj="0,,0" path="m1155,11342r,22l1178,11364t6104,l7305,11364r,-22m7305,1110r,-22l7282,1088t-6104,l1155,1088r,22e" filled="f" strokecolor="#231f20">
              <v:stroke joinstyle="round"/>
              <v:formulas/>
              <v:path arrowok="t" o:connecttype="segments"/>
            </v:shape>
            <w10:wrap anchorx="page" anchory="page"/>
          </v:group>
        </w:pict>
      </w:r>
    </w:p>
    <w:p w14:paraId="06875D13" w14:textId="77777777" w:rsidR="002653E8" w:rsidRDefault="003115E3">
      <w:pPr>
        <w:spacing w:before="88"/>
        <w:ind w:left="2439"/>
        <w:rPr>
          <w:rFonts w:ascii="Lucida Sans"/>
          <w:b/>
          <w:sz w:val="24"/>
        </w:rPr>
      </w:pPr>
      <w:bookmarkStart w:id="258" w:name="77:_living_with_the_fallout_508"/>
      <w:bookmarkStart w:id="259" w:name="_bookmark81"/>
      <w:bookmarkEnd w:id="258"/>
      <w:bookmarkEnd w:id="259"/>
      <w:r>
        <w:rPr>
          <w:rFonts w:ascii="Lucida Sans"/>
          <w:b/>
          <w:color w:val="231F20"/>
          <w:sz w:val="24"/>
        </w:rPr>
        <w:t>77: Living With the Fallout</w:t>
      </w:r>
    </w:p>
    <w:p w14:paraId="120A5648" w14:textId="77777777" w:rsidR="002653E8" w:rsidRDefault="002653E8">
      <w:pPr>
        <w:pStyle w:val="a3"/>
        <w:spacing w:before="1"/>
        <w:rPr>
          <w:rFonts w:ascii="Lucida Sans"/>
          <w:b/>
          <w:sz w:val="24"/>
        </w:rPr>
      </w:pPr>
    </w:p>
    <w:p w14:paraId="319CBA5C" w14:textId="77777777" w:rsidR="002653E8" w:rsidRDefault="003115E3">
      <w:pPr>
        <w:spacing w:line="266" w:lineRule="auto"/>
        <w:ind w:left="1343" w:right="1681" w:hanging="1"/>
        <w:rPr>
          <w:rFonts w:ascii="Calibri" w:hAnsi="Calibri"/>
          <w:sz w:val="19"/>
        </w:rPr>
      </w:pPr>
      <w:r>
        <w:rPr>
          <w:rFonts w:ascii="Calibri" w:hAnsi="Calibri"/>
          <w:color w:val="231F20"/>
          <w:w w:val="105"/>
          <w:sz w:val="19"/>
        </w:rPr>
        <w:t xml:space="preserve">The movement was under total observation—the </w:t>
      </w:r>
      <w:r>
        <w:rPr>
          <w:rFonts w:ascii="Calibri" w:hAnsi="Calibri"/>
          <w:color w:val="231F20"/>
          <w:spacing w:val="2"/>
          <w:w w:val="105"/>
          <w:sz w:val="19"/>
        </w:rPr>
        <w:t xml:space="preserve">BkA </w:t>
      </w:r>
      <w:r>
        <w:rPr>
          <w:rFonts w:ascii="Calibri" w:hAnsi="Calibri"/>
          <w:color w:val="231F20"/>
          <w:w w:val="105"/>
          <w:sz w:val="19"/>
        </w:rPr>
        <w:t>thought that Schleyer was hidden outside of Germany, so they wanted to follow  any thread and not arrest people. I don’t  think  that  movement people</w:t>
      </w:r>
      <w:r>
        <w:rPr>
          <w:rFonts w:ascii="Calibri" w:hAnsi="Calibri"/>
          <w:color w:val="231F20"/>
          <w:spacing w:val="13"/>
          <w:w w:val="105"/>
          <w:sz w:val="19"/>
        </w:rPr>
        <w:t xml:space="preserve"> </w:t>
      </w:r>
      <w:r>
        <w:rPr>
          <w:rFonts w:ascii="Calibri" w:hAnsi="Calibri"/>
          <w:color w:val="231F20"/>
          <w:w w:val="105"/>
          <w:sz w:val="19"/>
        </w:rPr>
        <w:t>were</w:t>
      </w:r>
      <w:r>
        <w:rPr>
          <w:rFonts w:ascii="Calibri" w:hAnsi="Calibri"/>
          <w:color w:val="231F20"/>
          <w:spacing w:val="13"/>
          <w:w w:val="105"/>
          <w:sz w:val="19"/>
        </w:rPr>
        <w:t xml:space="preserve"> </w:t>
      </w:r>
      <w:r>
        <w:rPr>
          <w:rFonts w:ascii="Calibri" w:hAnsi="Calibri"/>
          <w:color w:val="231F20"/>
          <w:w w:val="105"/>
          <w:sz w:val="19"/>
        </w:rPr>
        <w:t>at</w:t>
      </w:r>
      <w:r>
        <w:rPr>
          <w:rFonts w:ascii="Calibri" w:hAnsi="Calibri"/>
          <w:color w:val="231F20"/>
          <w:spacing w:val="13"/>
          <w:w w:val="105"/>
          <w:sz w:val="19"/>
        </w:rPr>
        <w:t xml:space="preserve"> </w:t>
      </w:r>
      <w:r>
        <w:rPr>
          <w:rFonts w:ascii="Calibri" w:hAnsi="Calibri"/>
          <w:color w:val="231F20"/>
          <w:w w:val="105"/>
          <w:sz w:val="19"/>
        </w:rPr>
        <w:t>all</w:t>
      </w:r>
      <w:r>
        <w:rPr>
          <w:rFonts w:ascii="Calibri" w:hAnsi="Calibri"/>
          <w:color w:val="231F20"/>
          <w:spacing w:val="13"/>
          <w:w w:val="105"/>
          <w:sz w:val="19"/>
        </w:rPr>
        <w:t xml:space="preserve"> </w:t>
      </w:r>
      <w:r>
        <w:rPr>
          <w:rFonts w:ascii="Calibri" w:hAnsi="Calibri"/>
          <w:color w:val="231F20"/>
          <w:w w:val="105"/>
          <w:sz w:val="19"/>
        </w:rPr>
        <w:t>involved</w:t>
      </w:r>
      <w:r>
        <w:rPr>
          <w:rFonts w:ascii="Calibri" w:hAnsi="Calibri"/>
          <w:color w:val="231F20"/>
          <w:spacing w:val="13"/>
          <w:w w:val="105"/>
          <w:sz w:val="19"/>
        </w:rPr>
        <w:t xml:space="preserve"> </w:t>
      </w:r>
      <w:r>
        <w:rPr>
          <w:rFonts w:ascii="Calibri" w:hAnsi="Calibri"/>
          <w:color w:val="231F20"/>
          <w:w w:val="105"/>
          <w:sz w:val="19"/>
        </w:rPr>
        <w:t>in</w:t>
      </w:r>
      <w:r>
        <w:rPr>
          <w:rFonts w:ascii="Calibri" w:hAnsi="Calibri"/>
          <w:color w:val="231F20"/>
          <w:spacing w:val="13"/>
          <w:w w:val="105"/>
          <w:sz w:val="19"/>
        </w:rPr>
        <w:t xml:space="preserve"> </w:t>
      </w:r>
      <w:r>
        <w:rPr>
          <w:rFonts w:ascii="Calibri" w:hAnsi="Calibri"/>
          <w:color w:val="231F20"/>
          <w:w w:val="105"/>
          <w:sz w:val="19"/>
        </w:rPr>
        <w:t>the</w:t>
      </w:r>
      <w:r>
        <w:rPr>
          <w:rFonts w:ascii="Calibri" w:hAnsi="Calibri"/>
          <w:color w:val="231F20"/>
          <w:spacing w:val="13"/>
          <w:w w:val="105"/>
          <w:sz w:val="19"/>
        </w:rPr>
        <w:t xml:space="preserve"> </w:t>
      </w:r>
      <w:r>
        <w:rPr>
          <w:rFonts w:ascii="Calibri" w:hAnsi="Calibri"/>
          <w:color w:val="231F20"/>
          <w:w w:val="105"/>
          <w:sz w:val="19"/>
        </w:rPr>
        <w:t>kidnapping,</w:t>
      </w:r>
      <w:r>
        <w:rPr>
          <w:rFonts w:ascii="Calibri" w:hAnsi="Calibri"/>
          <w:color w:val="231F20"/>
          <w:spacing w:val="13"/>
          <w:w w:val="105"/>
          <w:sz w:val="19"/>
        </w:rPr>
        <w:t xml:space="preserve"> </w:t>
      </w:r>
      <w:r>
        <w:rPr>
          <w:rFonts w:ascii="Calibri" w:hAnsi="Calibri"/>
          <w:color w:val="231F20"/>
          <w:w w:val="105"/>
          <w:sz w:val="19"/>
        </w:rPr>
        <w:t>but</w:t>
      </w:r>
      <w:r>
        <w:rPr>
          <w:rFonts w:ascii="Calibri" w:hAnsi="Calibri"/>
          <w:color w:val="231F20"/>
          <w:spacing w:val="13"/>
          <w:w w:val="105"/>
          <w:sz w:val="19"/>
        </w:rPr>
        <w:t xml:space="preserve"> </w:t>
      </w:r>
      <w:r>
        <w:rPr>
          <w:rFonts w:ascii="Calibri" w:hAnsi="Calibri"/>
          <w:color w:val="231F20"/>
          <w:w w:val="105"/>
          <w:sz w:val="19"/>
        </w:rPr>
        <w:t>the</w:t>
      </w:r>
      <w:r>
        <w:rPr>
          <w:rFonts w:ascii="Calibri" w:hAnsi="Calibri"/>
          <w:color w:val="231F20"/>
          <w:spacing w:val="13"/>
          <w:w w:val="105"/>
          <w:sz w:val="19"/>
        </w:rPr>
        <w:t xml:space="preserve"> </w:t>
      </w:r>
      <w:r>
        <w:rPr>
          <w:rFonts w:ascii="Calibri" w:hAnsi="Calibri"/>
          <w:color w:val="231F20"/>
          <w:w w:val="105"/>
          <w:sz w:val="19"/>
        </w:rPr>
        <w:t>state</w:t>
      </w:r>
    </w:p>
    <w:p w14:paraId="64A629B8" w14:textId="77777777" w:rsidR="002653E8" w:rsidRDefault="003115E3">
      <w:pPr>
        <w:spacing w:line="266" w:lineRule="auto"/>
        <w:ind w:left="1343" w:right="1580"/>
        <w:rPr>
          <w:rFonts w:ascii="Calibri"/>
          <w:sz w:val="19"/>
        </w:rPr>
      </w:pPr>
      <w:r>
        <w:rPr>
          <w:rFonts w:ascii="Calibri"/>
          <w:color w:val="231F20"/>
          <w:w w:val="105"/>
          <w:sz w:val="19"/>
        </w:rPr>
        <w:t>knew that the third generation came out of the prison support movement so they watched every move.</w:t>
      </w:r>
    </w:p>
    <w:p w14:paraId="559B70ED" w14:textId="77777777" w:rsidR="002653E8" w:rsidRDefault="003115E3">
      <w:pPr>
        <w:spacing w:line="266" w:lineRule="auto"/>
        <w:ind w:left="1343" w:right="1947" w:firstLine="209"/>
        <w:rPr>
          <w:rFonts w:ascii="Calibri"/>
          <w:sz w:val="19"/>
        </w:rPr>
      </w:pPr>
      <w:r>
        <w:rPr>
          <w:rFonts w:ascii="Calibri"/>
          <w:color w:val="231F20"/>
          <w:w w:val="105"/>
          <w:sz w:val="19"/>
        </w:rPr>
        <w:t>They were looking all over Europe. I was in the United States at the time and they raided the house of friends I was staying with.       A friend of mine was traveling in Italy on his motorcycle and was followed by Italian cops from village to village. Every time  we crossed the border going to Switzerland, for example, they would stop the car three kilometers before the border on the autobahn  and wait for us with machine</w:t>
      </w:r>
      <w:r>
        <w:rPr>
          <w:rFonts w:ascii="Calibri"/>
          <w:color w:val="231F20"/>
          <w:spacing w:val="2"/>
          <w:w w:val="105"/>
          <w:sz w:val="19"/>
        </w:rPr>
        <w:t xml:space="preserve"> </w:t>
      </w:r>
      <w:r>
        <w:rPr>
          <w:rFonts w:ascii="Calibri"/>
          <w:color w:val="231F20"/>
          <w:w w:val="105"/>
          <w:sz w:val="19"/>
        </w:rPr>
        <w:t>guns.</w:t>
      </w:r>
    </w:p>
    <w:p w14:paraId="47482251" w14:textId="77777777" w:rsidR="002653E8" w:rsidRDefault="003115E3">
      <w:pPr>
        <w:spacing w:line="266" w:lineRule="auto"/>
        <w:ind w:left="1343" w:right="1580" w:firstLine="209"/>
        <w:rPr>
          <w:rFonts w:ascii="Calibri" w:hAnsi="Calibri"/>
          <w:sz w:val="19"/>
        </w:rPr>
      </w:pPr>
      <w:r>
        <w:rPr>
          <w:rFonts w:ascii="Calibri" w:hAnsi="Calibri"/>
          <w:color w:val="231F20"/>
          <w:w w:val="110"/>
          <w:sz w:val="19"/>
        </w:rPr>
        <w:t>We were anti-imps visiting prisoners, leafleting, spray-painting, etc. Often when I left the prison after a visit, I would be searched, as would my car, by very nervous young cops with machineguns. When I went to political meetings, they followed us openly. But they didn’t arrest us. It scared people away, of course. It split</w:t>
      </w:r>
    </w:p>
    <w:p w14:paraId="35595EAF" w14:textId="77777777" w:rsidR="002653E8" w:rsidRDefault="003115E3">
      <w:pPr>
        <w:spacing w:line="266" w:lineRule="auto"/>
        <w:ind w:left="1343" w:right="1580"/>
        <w:rPr>
          <w:rFonts w:ascii="Calibri"/>
          <w:sz w:val="19"/>
        </w:rPr>
      </w:pPr>
      <w:r>
        <w:rPr>
          <w:rFonts w:ascii="Calibri"/>
          <w:color w:val="231F20"/>
          <w:w w:val="110"/>
          <w:sz w:val="19"/>
        </w:rPr>
        <w:t>the movement, and it pushed others underground. It made me personally feel very determined and hateful.</w:t>
      </w:r>
    </w:p>
    <w:p w14:paraId="40923092" w14:textId="77777777" w:rsidR="002653E8" w:rsidRDefault="003115E3">
      <w:pPr>
        <w:spacing w:line="266" w:lineRule="auto"/>
        <w:ind w:left="1343" w:right="1681" w:firstLine="209"/>
        <w:rPr>
          <w:rFonts w:ascii="Calibri" w:hAnsi="Calibri"/>
          <w:sz w:val="19"/>
        </w:rPr>
      </w:pPr>
      <w:r>
        <w:rPr>
          <w:rFonts w:ascii="Calibri" w:hAnsi="Calibri"/>
          <w:color w:val="231F20"/>
          <w:w w:val="105"/>
          <w:sz w:val="19"/>
        </w:rPr>
        <w:t>The state built an enormous data bank.  Cases  came  to  light where people were listed as “terrorists” because of who they were sitting next to on the train. There were street controls of cars, and people</w:t>
      </w:r>
      <w:r>
        <w:rPr>
          <w:rFonts w:ascii="Calibri" w:hAnsi="Calibri"/>
          <w:color w:val="231F20"/>
          <w:spacing w:val="10"/>
          <w:w w:val="105"/>
          <w:sz w:val="19"/>
        </w:rPr>
        <w:t xml:space="preserve"> </w:t>
      </w:r>
      <w:r>
        <w:rPr>
          <w:rFonts w:ascii="Calibri" w:hAnsi="Calibri"/>
          <w:color w:val="231F20"/>
          <w:w w:val="105"/>
          <w:sz w:val="19"/>
        </w:rPr>
        <w:t>had</w:t>
      </w:r>
      <w:r>
        <w:rPr>
          <w:rFonts w:ascii="Calibri" w:hAnsi="Calibri"/>
          <w:color w:val="231F20"/>
          <w:spacing w:val="10"/>
          <w:w w:val="105"/>
          <w:sz w:val="19"/>
        </w:rPr>
        <w:t xml:space="preserve"> </w:t>
      </w:r>
      <w:r>
        <w:rPr>
          <w:rFonts w:ascii="Calibri" w:hAnsi="Calibri"/>
          <w:color w:val="231F20"/>
          <w:w w:val="105"/>
          <w:sz w:val="19"/>
        </w:rPr>
        <w:t>to</w:t>
      </w:r>
      <w:r>
        <w:rPr>
          <w:rFonts w:ascii="Calibri" w:hAnsi="Calibri"/>
          <w:color w:val="231F20"/>
          <w:spacing w:val="10"/>
          <w:w w:val="105"/>
          <w:sz w:val="19"/>
        </w:rPr>
        <w:t xml:space="preserve"> </w:t>
      </w:r>
      <w:r>
        <w:rPr>
          <w:rFonts w:ascii="Calibri" w:hAnsi="Calibri"/>
          <w:color w:val="231F20"/>
          <w:w w:val="105"/>
          <w:sz w:val="19"/>
        </w:rPr>
        <w:t>show</w:t>
      </w:r>
      <w:r>
        <w:rPr>
          <w:rFonts w:ascii="Calibri" w:hAnsi="Calibri"/>
          <w:color w:val="231F20"/>
          <w:spacing w:val="10"/>
          <w:w w:val="105"/>
          <w:sz w:val="19"/>
        </w:rPr>
        <w:t xml:space="preserve"> </w:t>
      </w:r>
      <w:r>
        <w:rPr>
          <w:rFonts w:ascii="Calibri" w:hAnsi="Calibri"/>
          <w:color w:val="231F20"/>
          <w:w w:val="105"/>
          <w:sz w:val="19"/>
        </w:rPr>
        <w:t>their</w:t>
      </w:r>
      <w:r>
        <w:rPr>
          <w:rFonts w:ascii="Calibri" w:hAnsi="Calibri"/>
          <w:color w:val="231F20"/>
          <w:spacing w:val="10"/>
          <w:w w:val="105"/>
          <w:sz w:val="19"/>
        </w:rPr>
        <w:t xml:space="preserve"> </w:t>
      </w:r>
      <w:r>
        <w:rPr>
          <w:rFonts w:ascii="Calibri" w:hAnsi="Calibri"/>
          <w:color w:val="231F20"/>
          <w:spacing w:val="1"/>
          <w:w w:val="105"/>
          <w:sz w:val="19"/>
        </w:rPr>
        <w:t>passports</w:t>
      </w:r>
      <w:r>
        <w:rPr>
          <w:rFonts w:ascii="Calibri" w:hAnsi="Calibri"/>
          <w:color w:val="231F20"/>
          <w:spacing w:val="10"/>
          <w:w w:val="105"/>
          <w:sz w:val="19"/>
        </w:rPr>
        <w:t xml:space="preserve"> </w:t>
      </w:r>
      <w:r>
        <w:rPr>
          <w:rFonts w:ascii="Calibri" w:hAnsi="Calibri"/>
          <w:color w:val="231F20"/>
          <w:w w:val="105"/>
          <w:sz w:val="19"/>
        </w:rPr>
        <w:t>all</w:t>
      </w:r>
      <w:r>
        <w:rPr>
          <w:rFonts w:ascii="Calibri" w:hAnsi="Calibri"/>
          <w:color w:val="231F20"/>
          <w:spacing w:val="10"/>
          <w:w w:val="105"/>
          <w:sz w:val="19"/>
        </w:rPr>
        <w:t xml:space="preserve"> </w:t>
      </w:r>
      <w:r>
        <w:rPr>
          <w:rFonts w:ascii="Calibri" w:hAnsi="Calibri"/>
          <w:color w:val="231F20"/>
          <w:w w:val="105"/>
          <w:sz w:val="19"/>
        </w:rPr>
        <w:t>the</w:t>
      </w:r>
      <w:r>
        <w:rPr>
          <w:rFonts w:ascii="Calibri" w:hAnsi="Calibri"/>
          <w:color w:val="231F20"/>
          <w:spacing w:val="10"/>
          <w:w w:val="105"/>
          <w:sz w:val="19"/>
        </w:rPr>
        <w:t xml:space="preserve"> </w:t>
      </w:r>
      <w:r>
        <w:rPr>
          <w:rFonts w:ascii="Calibri" w:hAnsi="Calibri"/>
          <w:color w:val="231F20"/>
          <w:w w:val="105"/>
          <w:sz w:val="19"/>
        </w:rPr>
        <w:t>time.</w:t>
      </w:r>
    </w:p>
    <w:p w14:paraId="435E3871" w14:textId="77777777" w:rsidR="002653E8" w:rsidRDefault="003115E3">
      <w:pPr>
        <w:spacing w:line="266" w:lineRule="auto"/>
        <w:ind w:left="1342" w:right="1681" w:firstLine="210"/>
        <w:rPr>
          <w:rFonts w:ascii="Calibri" w:hAnsi="Calibri"/>
          <w:sz w:val="19"/>
        </w:rPr>
      </w:pPr>
      <w:r>
        <w:rPr>
          <w:rFonts w:ascii="Calibri" w:hAnsi="Calibri"/>
          <w:color w:val="231F20"/>
          <w:w w:val="110"/>
          <w:sz w:val="19"/>
        </w:rPr>
        <w:t xml:space="preserve">Publishers and bookstores had a very hard time, were raided. Although they did not agree with the </w:t>
      </w:r>
      <w:r w:rsidR="00C507A5">
        <w:rPr>
          <w:rFonts w:ascii="Calibri" w:hAnsi="Calibri"/>
          <w:color w:val="231F20"/>
          <w:w w:val="110"/>
          <w:sz w:val="19"/>
        </w:rPr>
        <w:t>red army faction</w:t>
      </w:r>
      <w:r>
        <w:rPr>
          <w:rFonts w:ascii="Calibri" w:hAnsi="Calibri"/>
          <w:color w:val="231F20"/>
          <w:w w:val="110"/>
          <w:sz w:val="19"/>
        </w:rPr>
        <w:t>, they did it for freedom of speech. Trials and more trials. For every leaflet there was a big debate. did you put it on the counter or not. New laws: §</w:t>
      </w:r>
      <w:r>
        <w:rPr>
          <w:rFonts w:ascii="Arial" w:hAnsi="Arial"/>
          <w:color w:val="231F20"/>
          <w:w w:val="110"/>
          <w:sz w:val="19"/>
        </w:rPr>
        <w:t>88</w:t>
      </w:r>
      <w:r>
        <w:rPr>
          <w:rFonts w:ascii="Calibri" w:hAnsi="Calibri"/>
          <w:color w:val="231F20"/>
          <w:w w:val="110"/>
          <w:sz w:val="19"/>
        </w:rPr>
        <w:t>a and</w:t>
      </w:r>
    </w:p>
    <w:p w14:paraId="10A81401" w14:textId="77777777" w:rsidR="002653E8" w:rsidRDefault="003115E3">
      <w:pPr>
        <w:spacing w:line="266" w:lineRule="auto"/>
        <w:ind w:left="1342" w:right="1990"/>
        <w:rPr>
          <w:rFonts w:ascii="Calibri" w:hAnsi="Calibri"/>
          <w:sz w:val="19"/>
        </w:rPr>
      </w:pPr>
      <w:r>
        <w:rPr>
          <w:rFonts w:ascii="Calibri" w:hAnsi="Calibri"/>
          <w:color w:val="231F20"/>
          <w:spacing w:val="-6"/>
          <w:w w:val="105"/>
          <w:sz w:val="19"/>
        </w:rPr>
        <w:t>§</w:t>
      </w:r>
      <w:r>
        <w:rPr>
          <w:rFonts w:ascii="Arial" w:hAnsi="Arial"/>
          <w:color w:val="231F20"/>
          <w:spacing w:val="-6"/>
          <w:w w:val="105"/>
          <w:sz w:val="19"/>
        </w:rPr>
        <w:t xml:space="preserve">130 </w:t>
      </w:r>
      <w:r>
        <w:rPr>
          <w:rFonts w:ascii="Calibri" w:hAnsi="Calibri"/>
          <w:color w:val="231F20"/>
          <w:w w:val="105"/>
          <w:sz w:val="19"/>
        </w:rPr>
        <w:t xml:space="preserve">made it impossible to publish anything, for instance like the book you are planning now. </w:t>
      </w:r>
      <w:r>
        <w:rPr>
          <w:rFonts w:ascii="Calibri" w:hAnsi="Calibri"/>
          <w:color w:val="231F20"/>
          <w:spacing w:val="-4"/>
          <w:w w:val="105"/>
          <w:sz w:val="19"/>
        </w:rPr>
        <w:t xml:space="preserve">You  </w:t>
      </w:r>
      <w:r>
        <w:rPr>
          <w:rFonts w:ascii="Calibri" w:hAnsi="Calibri"/>
          <w:color w:val="231F20"/>
          <w:w w:val="105"/>
          <w:sz w:val="19"/>
        </w:rPr>
        <w:t>had to hide the typewriter, get       it published in Holland, bring it back across the border—really hard—distribute it</w:t>
      </w:r>
      <w:r>
        <w:rPr>
          <w:rFonts w:ascii="Calibri" w:hAnsi="Calibri"/>
          <w:color w:val="231F20"/>
          <w:spacing w:val="15"/>
          <w:w w:val="105"/>
          <w:sz w:val="19"/>
        </w:rPr>
        <w:t xml:space="preserve"> </w:t>
      </w:r>
      <w:r>
        <w:rPr>
          <w:rFonts w:ascii="Calibri" w:hAnsi="Calibri"/>
          <w:color w:val="231F20"/>
          <w:w w:val="105"/>
          <w:sz w:val="19"/>
        </w:rPr>
        <w:t>illegally.</w:t>
      </w:r>
    </w:p>
    <w:p w14:paraId="1B1432BF" w14:textId="77777777" w:rsidR="002653E8" w:rsidRDefault="003115E3">
      <w:pPr>
        <w:spacing w:line="266" w:lineRule="auto"/>
        <w:ind w:left="1342" w:right="1848" w:firstLine="210"/>
        <w:rPr>
          <w:rFonts w:ascii="Calibri" w:hAnsi="Calibri"/>
          <w:sz w:val="19"/>
        </w:rPr>
      </w:pPr>
      <w:r>
        <w:rPr>
          <w:rFonts w:ascii="Calibri" w:hAnsi="Calibri"/>
          <w:color w:val="231F20"/>
          <w:w w:val="105"/>
          <w:sz w:val="19"/>
        </w:rPr>
        <w:t xml:space="preserve">Homes were raided to take away typewriters and papers. Trials and more trials. With </w:t>
      </w:r>
      <w:r>
        <w:rPr>
          <w:rFonts w:ascii="Calibri" w:hAnsi="Calibri"/>
          <w:color w:val="231F20"/>
          <w:spacing w:val="-6"/>
          <w:w w:val="105"/>
          <w:sz w:val="19"/>
        </w:rPr>
        <w:t>§</w:t>
      </w:r>
      <w:r>
        <w:rPr>
          <w:rFonts w:ascii="Arial" w:hAnsi="Arial"/>
          <w:color w:val="231F20"/>
          <w:spacing w:val="-6"/>
          <w:w w:val="105"/>
          <w:sz w:val="19"/>
        </w:rPr>
        <w:t>129</w:t>
      </w:r>
      <w:r>
        <w:rPr>
          <w:rFonts w:ascii="Calibri" w:hAnsi="Calibri"/>
          <w:color w:val="231F20"/>
          <w:spacing w:val="-6"/>
          <w:w w:val="105"/>
          <w:sz w:val="19"/>
        </w:rPr>
        <w:t xml:space="preserve">a, </w:t>
      </w:r>
      <w:r>
        <w:rPr>
          <w:rFonts w:ascii="Calibri" w:hAnsi="Calibri"/>
          <w:color w:val="231F20"/>
          <w:w w:val="105"/>
          <w:sz w:val="19"/>
        </w:rPr>
        <w:t>everything  counted  as  support.  So the left had to spend a lot of energy on defense stuff. But only individuals</w:t>
      </w:r>
      <w:r>
        <w:rPr>
          <w:rFonts w:ascii="Calibri" w:hAnsi="Calibri"/>
          <w:color w:val="231F20"/>
          <w:spacing w:val="17"/>
          <w:w w:val="105"/>
          <w:sz w:val="19"/>
        </w:rPr>
        <w:t xml:space="preserve"> </w:t>
      </w:r>
      <w:r>
        <w:rPr>
          <w:rFonts w:ascii="Calibri" w:hAnsi="Calibri"/>
          <w:color w:val="231F20"/>
          <w:w w:val="105"/>
          <w:sz w:val="19"/>
        </w:rPr>
        <w:t>were</w:t>
      </w:r>
      <w:r>
        <w:rPr>
          <w:rFonts w:ascii="Calibri" w:hAnsi="Calibri"/>
          <w:color w:val="231F20"/>
          <w:spacing w:val="17"/>
          <w:w w:val="105"/>
          <w:sz w:val="19"/>
        </w:rPr>
        <w:t xml:space="preserve"> </w:t>
      </w:r>
      <w:r>
        <w:rPr>
          <w:rFonts w:ascii="Calibri" w:hAnsi="Calibri"/>
          <w:color w:val="231F20"/>
          <w:w w:val="105"/>
          <w:sz w:val="19"/>
        </w:rPr>
        <w:t>arrested</w:t>
      </w:r>
      <w:r>
        <w:rPr>
          <w:rFonts w:ascii="Calibri" w:hAnsi="Calibri"/>
          <w:color w:val="231F20"/>
          <w:spacing w:val="17"/>
          <w:w w:val="105"/>
          <w:sz w:val="19"/>
        </w:rPr>
        <w:t xml:space="preserve"> </w:t>
      </w:r>
      <w:r>
        <w:rPr>
          <w:rFonts w:ascii="Calibri" w:hAnsi="Calibri"/>
          <w:color w:val="231F20"/>
          <w:w w:val="105"/>
          <w:sz w:val="19"/>
        </w:rPr>
        <w:t>not</w:t>
      </w:r>
      <w:r>
        <w:rPr>
          <w:rFonts w:ascii="Calibri" w:hAnsi="Calibri"/>
          <w:color w:val="231F20"/>
          <w:spacing w:val="17"/>
          <w:w w:val="105"/>
          <w:sz w:val="19"/>
        </w:rPr>
        <w:t xml:space="preserve"> </w:t>
      </w:r>
      <w:r>
        <w:rPr>
          <w:rFonts w:ascii="Calibri" w:hAnsi="Calibri"/>
          <w:color w:val="231F20"/>
          <w:w w:val="105"/>
          <w:sz w:val="19"/>
        </w:rPr>
        <w:t>whole</w:t>
      </w:r>
      <w:r>
        <w:rPr>
          <w:rFonts w:ascii="Calibri" w:hAnsi="Calibri"/>
          <w:color w:val="231F20"/>
          <w:spacing w:val="17"/>
          <w:w w:val="105"/>
          <w:sz w:val="19"/>
        </w:rPr>
        <w:t xml:space="preserve"> </w:t>
      </w:r>
      <w:r>
        <w:rPr>
          <w:rFonts w:ascii="Calibri" w:hAnsi="Calibri"/>
          <w:color w:val="231F20"/>
          <w:w w:val="105"/>
          <w:sz w:val="19"/>
        </w:rPr>
        <w:t>groups</w:t>
      </w:r>
      <w:r>
        <w:rPr>
          <w:rFonts w:ascii="Calibri" w:hAnsi="Calibri"/>
          <w:color w:val="231F20"/>
          <w:spacing w:val="17"/>
          <w:w w:val="105"/>
          <w:sz w:val="19"/>
        </w:rPr>
        <w:t xml:space="preserve"> </w:t>
      </w:r>
      <w:r>
        <w:rPr>
          <w:rFonts w:ascii="Calibri" w:hAnsi="Calibri"/>
          <w:color w:val="231F20"/>
          <w:w w:val="105"/>
          <w:sz w:val="19"/>
        </w:rPr>
        <w:t>or</w:t>
      </w:r>
      <w:r>
        <w:rPr>
          <w:rFonts w:ascii="Calibri" w:hAnsi="Calibri"/>
          <w:color w:val="231F20"/>
          <w:spacing w:val="17"/>
          <w:w w:val="105"/>
          <w:sz w:val="19"/>
        </w:rPr>
        <w:t xml:space="preserve"> </w:t>
      </w:r>
      <w:r>
        <w:rPr>
          <w:rFonts w:ascii="Calibri" w:hAnsi="Calibri"/>
          <w:color w:val="231F20"/>
          <w:w w:val="105"/>
          <w:sz w:val="19"/>
        </w:rPr>
        <w:t>meetings…</w:t>
      </w:r>
    </w:p>
    <w:p w14:paraId="70EB8EB1" w14:textId="77777777" w:rsidR="002653E8" w:rsidRDefault="002653E8">
      <w:pPr>
        <w:spacing w:line="266" w:lineRule="auto"/>
        <w:rPr>
          <w:rFonts w:ascii="Calibri" w:hAnsi="Calibri"/>
          <w:sz w:val="19"/>
        </w:rPr>
        <w:sectPr w:rsidR="002653E8">
          <w:pgSz w:w="8640" w:h="12960"/>
          <w:pgMar w:top="1080" w:right="0" w:bottom="1040" w:left="0" w:header="0" w:footer="850" w:gutter="0"/>
          <w:cols w:space="720"/>
        </w:sectPr>
      </w:pPr>
    </w:p>
    <w:p w14:paraId="17CE1D2E" w14:textId="77777777" w:rsidR="002653E8" w:rsidRDefault="00000000">
      <w:pPr>
        <w:pStyle w:val="a3"/>
        <w:spacing w:before="6"/>
        <w:rPr>
          <w:rFonts w:ascii="Calibri"/>
          <w:sz w:val="19"/>
        </w:rPr>
      </w:pPr>
      <w:r>
        <w:rPr>
          <w:noProof w:val="0"/>
        </w:rPr>
        <w:lastRenderedPageBreak/>
        <w:pict w14:anchorId="781F7A07">
          <v:group id="_x0000_s2175" style="position:absolute;margin-left:66.4pt;margin-top:54pt;width:308.25pt;height:514.6pt;z-index:-454192;mso-position-horizontal-relative:page;mso-position-vertical-relative:page" coordorigin="1328,1080" coordsize="6165,10292">
            <v:rect id="_x0000_s2182" style="position:absolute;left:1327;top:1080;width:6165;height:10292" fillcolor="#e6e7e8" stroked="f"/>
            <v:line id="_x0000_s2181" style="position:absolute" from="1335,1140" to="1335,11327" strokecolor="#231f20">
              <v:stroke dashstyle="3 1"/>
            </v:line>
            <v:line id="_x0000_s2180" style="position:absolute" from="1388,11364" to="7447,11364" strokecolor="#231f20">
              <v:stroke dashstyle="3 1"/>
            </v:line>
            <v:line id="_x0000_s2179" style="position:absolute" from="7485,11312" to="7485,1125" strokecolor="#231f20">
              <v:stroke dashstyle="3 1"/>
            </v:line>
            <v:line id="_x0000_s2178" style="position:absolute" from="7432,1087" to="1373,1087" strokecolor="#231f20">
              <v:stroke dashstyle="3 1"/>
            </v:line>
            <v:shape id="_x0000_s2177" style="position:absolute;top:2705;width:6150;height:10277" coordorigin=",2706" coordsize="6150,10277" o:spt="100" adj="0,,0" path="m1335,11342r,22l1358,11364t6104,l7485,11364r,-22m7485,1110r,-22l7462,1088t-6104,l1335,1088r,22e" filled="f" strokecolor="#231f20">
              <v:stroke joinstyle="round"/>
              <v:formulas/>
              <v:path arrowok="t" o:connecttype="segments"/>
            </v:shape>
            <v:shape id="_x0000_s2176" type="#_x0000_t75" style="position:absolute;left:2731;top:6216;width:3357;height:4617">
              <v:imagedata r:id="rId427" o:title=""/>
            </v:shape>
            <w10:wrap anchorx="page" anchory="page"/>
          </v:group>
        </w:pict>
      </w:r>
    </w:p>
    <w:p w14:paraId="5942315F" w14:textId="77777777" w:rsidR="002653E8" w:rsidRDefault="003115E3">
      <w:pPr>
        <w:spacing w:before="95" w:line="266" w:lineRule="auto"/>
        <w:ind w:left="1522" w:right="1580" w:firstLine="210"/>
        <w:rPr>
          <w:rFonts w:ascii="Calibri" w:hAnsi="Calibri"/>
          <w:sz w:val="19"/>
        </w:rPr>
      </w:pPr>
      <w:r>
        <w:rPr>
          <w:rFonts w:ascii="Calibri" w:hAnsi="Calibri"/>
          <w:color w:val="231F20"/>
          <w:w w:val="105"/>
          <w:sz w:val="19"/>
        </w:rPr>
        <w:t>I moved quite often during those years,  and  every  single  time the cops went to my neighbors or landlords  and  asked  them  to take note of the people who visited me. My neighbors always told  me</w:t>
      </w:r>
      <w:r>
        <w:rPr>
          <w:rFonts w:ascii="Calibri" w:hAnsi="Calibri"/>
          <w:color w:val="231F20"/>
          <w:spacing w:val="6"/>
          <w:w w:val="105"/>
          <w:sz w:val="19"/>
        </w:rPr>
        <w:t xml:space="preserve"> </w:t>
      </w:r>
      <w:r>
        <w:rPr>
          <w:rFonts w:ascii="Calibri" w:hAnsi="Calibri"/>
          <w:color w:val="231F20"/>
          <w:w w:val="105"/>
          <w:sz w:val="19"/>
        </w:rPr>
        <w:t>this—smile.</w:t>
      </w:r>
    </w:p>
    <w:p w14:paraId="5B6CE42C" w14:textId="77777777" w:rsidR="002653E8" w:rsidRDefault="003115E3">
      <w:pPr>
        <w:spacing w:line="266" w:lineRule="auto"/>
        <w:ind w:left="1522" w:right="1325" w:firstLine="209"/>
        <w:rPr>
          <w:rFonts w:ascii="Calibri" w:hAnsi="Calibri"/>
          <w:sz w:val="19"/>
        </w:rPr>
      </w:pPr>
      <w:r>
        <w:rPr>
          <w:rFonts w:ascii="Calibri" w:hAnsi="Calibri"/>
          <w:color w:val="231F20"/>
          <w:w w:val="110"/>
          <w:sz w:val="19"/>
        </w:rPr>
        <w:t>We never spoke on the phone, not about politics, and especially not about love affairs, friends etc., because we didn’t want to</w:t>
      </w:r>
    </w:p>
    <w:p w14:paraId="7B7A63F1" w14:textId="77777777" w:rsidR="002653E8" w:rsidRDefault="003115E3">
      <w:pPr>
        <w:spacing w:line="266" w:lineRule="auto"/>
        <w:ind w:left="1522" w:right="1479"/>
        <w:rPr>
          <w:rFonts w:ascii="Calibri"/>
          <w:sz w:val="19"/>
        </w:rPr>
      </w:pPr>
      <w:r>
        <w:rPr>
          <w:rFonts w:ascii="Calibri"/>
          <w:color w:val="231F20"/>
          <w:w w:val="110"/>
          <w:sz w:val="19"/>
        </w:rPr>
        <w:t>help them complete their psychological profiles. This is part of why I was so shocked when later all the letters from the prisoners, showing their fights, were published. We tried not to visit nonpolitical friends in order to protect them, and then that led to our isolation, and it definitely added to the hate we felt.</w:t>
      </w:r>
    </w:p>
    <w:p w14:paraId="21590D56" w14:textId="77777777" w:rsidR="002653E8" w:rsidRDefault="003115E3">
      <w:pPr>
        <w:spacing w:line="266" w:lineRule="auto"/>
        <w:ind w:left="1522" w:right="1580" w:firstLine="210"/>
        <w:rPr>
          <w:rFonts w:ascii="Calibri" w:hAnsi="Calibri"/>
          <w:sz w:val="19"/>
        </w:rPr>
      </w:pPr>
      <w:r>
        <w:rPr>
          <w:rFonts w:ascii="Calibri" w:hAnsi="Calibri"/>
          <w:color w:val="231F20"/>
          <w:w w:val="105"/>
          <w:sz w:val="19"/>
        </w:rPr>
        <w:t xml:space="preserve">It was </w:t>
      </w:r>
      <w:r>
        <w:rPr>
          <w:rFonts w:ascii="Calibri" w:hAnsi="Calibri"/>
          <w:color w:val="231F20"/>
          <w:spacing w:val="1"/>
          <w:w w:val="105"/>
          <w:sz w:val="19"/>
        </w:rPr>
        <w:t xml:space="preserve">very </w:t>
      </w:r>
      <w:r>
        <w:rPr>
          <w:rFonts w:ascii="Calibri" w:hAnsi="Calibri"/>
          <w:color w:val="231F20"/>
          <w:w w:val="105"/>
          <w:sz w:val="19"/>
        </w:rPr>
        <w:t xml:space="preserve">hard on the lawyers. When Croissant  fled  to  France and asked for political asylum, it was a great propaganda coup, but also </w:t>
      </w:r>
      <w:r>
        <w:rPr>
          <w:rFonts w:ascii="Calibri" w:hAnsi="Calibri"/>
          <w:color w:val="231F20"/>
          <w:spacing w:val="1"/>
          <w:w w:val="105"/>
          <w:sz w:val="19"/>
        </w:rPr>
        <w:t xml:space="preserve">very </w:t>
      </w:r>
      <w:r>
        <w:rPr>
          <w:rFonts w:ascii="Calibri" w:hAnsi="Calibri"/>
          <w:color w:val="231F20"/>
          <w:w w:val="105"/>
          <w:sz w:val="19"/>
        </w:rPr>
        <w:t xml:space="preserve">real—they wanted to </w:t>
      </w:r>
      <w:r>
        <w:rPr>
          <w:rFonts w:ascii="Calibri" w:hAnsi="Calibri"/>
          <w:color w:val="231F20"/>
          <w:spacing w:val="1"/>
          <w:w w:val="105"/>
          <w:sz w:val="19"/>
        </w:rPr>
        <w:t xml:space="preserve">bury </w:t>
      </w:r>
      <w:r>
        <w:rPr>
          <w:rFonts w:ascii="Calibri" w:hAnsi="Calibri"/>
          <w:color w:val="231F20"/>
          <w:w w:val="105"/>
          <w:sz w:val="19"/>
        </w:rPr>
        <w:t>him in prison. When I visited    him in Stammheim prison, he told me that he was scared because      he found a razor blade in his cupboard, which he took as a hint that   he should kill</w:t>
      </w:r>
      <w:r>
        <w:rPr>
          <w:rFonts w:ascii="Calibri" w:hAnsi="Calibri"/>
          <w:color w:val="231F20"/>
          <w:spacing w:val="21"/>
          <w:w w:val="105"/>
          <w:sz w:val="19"/>
        </w:rPr>
        <w:t xml:space="preserve"> </w:t>
      </w:r>
      <w:r>
        <w:rPr>
          <w:rFonts w:ascii="Calibri" w:hAnsi="Calibri"/>
          <w:color w:val="231F20"/>
          <w:w w:val="105"/>
          <w:sz w:val="19"/>
        </w:rPr>
        <w:t>himself.</w:t>
      </w:r>
    </w:p>
    <w:p w14:paraId="70616E96" w14:textId="77777777" w:rsidR="002653E8" w:rsidRDefault="002653E8">
      <w:pPr>
        <w:spacing w:line="266" w:lineRule="auto"/>
        <w:rPr>
          <w:rFonts w:ascii="Calibri" w:hAnsi="Calibri"/>
          <w:sz w:val="19"/>
        </w:rPr>
        <w:sectPr w:rsidR="002653E8">
          <w:footerReference w:type="default" r:id="rId428"/>
          <w:pgSz w:w="8640" w:h="12960"/>
          <w:pgMar w:top="1080" w:right="0" w:bottom="1040" w:left="0" w:header="0" w:footer="850" w:gutter="0"/>
          <w:pgNumType w:start="509"/>
          <w:cols w:space="720"/>
        </w:sectPr>
      </w:pPr>
    </w:p>
    <w:p w14:paraId="64DC623B" w14:textId="77777777" w:rsidR="002653E8" w:rsidRDefault="002653E8">
      <w:pPr>
        <w:pStyle w:val="a3"/>
        <w:rPr>
          <w:rFonts w:ascii="Calibri"/>
        </w:rPr>
      </w:pPr>
    </w:p>
    <w:p w14:paraId="75B16771" w14:textId="77777777" w:rsidR="002653E8" w:rsidRDefault="002653E8">
      <w:pPr>
        <w:pStyle w:val="a3"/>
        <w:rPr>
          <w:rFonts w:ascii="Calibri"/>
        </w:rPr>
      </w:pPr>
    </w:p>
    <w:p w14:paraId="31DA5D7A" w14:textId="77777777" w:rsidR="002653E8" w:rsidRDefault="002653E8">
      <w:pPr>
        <w:pStyle w:val="a3"/>
        <w:rPr>
          <w:rFonts w:ascii="Calibri"/>
        </w:rPr>
      </w:pPr>
    </w:p>
    <w:p w14:paraId="2140DBE0" w14:textId="77777777" w:rsidR="002653E8" w:rsidRDefault="002653E8">
      <w:pPr>
        <w:pStyle w:val="a3"/>
        <w:rPr>
          <w:rFonts w:ascii="Calibri"/>
        </w:rPr>
      </w:pPr>
    </w:p>
    <w:p w14:paraId="503FEFF3" w14:textId="77777777" w:rsidR="002653E8" w:rsidRDefault="002653E8">
      <w:pPr>
        <w:pStyle w:val="a3"/>
        <w:spacing w:before="1"/>
        <w:rPr>
          <w:rFonts w:ascii="Calibri"/>
          <w:sz w:val="25"/>
        </w:rPr>
      </w:pPr>
    </w:p>
    <w:p w14:paraId="3FE5135F" w14:textId="77777777" w:rsidR="002653E8" w:rsidRDefault="00000000">
      <w:pPr>
        <w:pStyle w:val="a3"/>
        <w:ind w:left="1541"/>
        <w:rPr>
          <w:rFonts w:ascii="Calibri"/>
        </w:rPr>
      </w:pPr>
      <w:r>
        <w:rPr>
          <w:rFonts w:ascii="Calibri"/>
        </w:rPr>
      </w:r>
      <w:r>
        <w:rPr>
          <w:rFonts w:ascii="Calibri"/>
        </w:rPr>
        <w:pict w14:anchorId="16761259">
          <v:group id="_x0000_s2172" style="width:269.9pt;height:373.3pt;mso-position-horizontal-relative:char;mso-position-vertical-relative:line" coordsize="5398,7466">
            <v:shape id="_x0000_s2174" type="#_x0000_t75" style="position:absolute;top:51;width:5398;height:7363">
              <v:imagedata r:id="rId429" o:title=""/>
            </v:shape>
            <v:rect id="_x0000_s2173" style="position:absolute;left:10;top:10;width:5378;height:7446" filled="f" strokecolor="#231f20" strokeweight="1pt"/>
            <w10:anchorlock/>
          </v:group>
        </w:pict>
      </w:r>
    </w:p>
    <w:p w14:paraId="5224F209" w14:textId="77777777" w:rsidR="002653E8" w:rsidRDefault="002653E8">
      <w:pPr>
        <w:pStyle w:val="a3"/>
        <w:rPr>
          <w:rFonts w:ascii="Calibri"/>
        </w:rPr>
      </w:pPr>
    </w:p>
    <w:p w14:paraId="6E662AE5" w14:textId="77777777" w:rsidR="002653E8" w:rsidRDefault="002653E8">
      <w:pPr>
        <w:pStyle w:val="a3"/>
        <w:rPr>
          <w:rFonts w:ascii="Calibri"/>
        </w:rPr>
      </w:pPr>
    </w:p>
    <w:p w14:paraId="6088750C" w14:textId="77777777" w:rsidR="002653E8" w:rsidRDefault="002653E8">
      <w:pPr>
        <w:pStyle w:val="a3"/>
        <w:rPr>
          <w:rFonts w:ascii="Calibri"/>
        </w:rPr>
      </w:pPr>
    </w:p>
    <w:p w14:paraId="6DFF2FE3" w14:textId="77777777" w:rsidR="002653E8" w:rsidRDefault="002653E8">
      <w:pPr>
        <w:pStyle w:val="a3"/>
        <w:rPr>
          <w:rFonts w:ascii="Calibri"/>
        </w:rPr>
      </w:pPr>
    </w:p>
    <w:p w14:paraId="71DD1232" w14:textId="77777777" w:rsidR="002653E8" w:rsidRDefault="002653E8">
      <w:pPr>
        <w:pStyle w:val="a3"/>
        <w:rPr>
          <w:rFonts w:ascii="Calibri"/>
        </w:rPr>
      </w:pPr>
    </w:p>
    <w:p w14:paraId="490FF662" w14:textId="77777777" w:rsidR="002653E8" w:rsidRDefault="002653E8">
      <w:pPr>
        <w:pStyle w:val="a3"/>
        <w:rPr>
          <w:rFonts w:ascii="Calibri"/>
        </w:rPr>
      </w:pPr>
    </w:p>
    <w:p w14:paraId="046BEEF0" w14:textId="77777777" w:rsidR="002653E8" w:rsidRDefault="002653E8">
      <w:pPr>
        <w:pStyle w:val="a3"/>
        <w:spacing w:before="2"/>
        <w:rPr>
          <w:rFonts w:ascii="Calibri"/>
          <w:sz w:val="29"/>
        </w:rPr>
      </w:pPr>
    </w:p>
    <w:p w14:paraId="3BBA1ECA" w14:textId="77777777" w:rsidR="002653E8" w:rsidRDefault="003115E3">
      <w:pPr>
        <w:spacing w:before="100"/>
        <w:ind w:left="1147"/>
        <w:rPr>
          <w:sz w:val="18"/>
        </w:rPr>
      </w:pPr>
      <w:r>
        <w:rPr>
          <w:color w:val="231F20"/>
          <w:sz w:val="18"/>
        </w:rPr>
        <w:t xml:space="preserve">510 </w:t>
      </w:r>
    </w:p>
    <w:p w14:paraId="6E3C0EA9" w14:textId="77777777" w:rsidR="002653E8" w:rsidRDefault="002653E8">
      <w:pPr>
        <w:rPr>
          <w:sz w:val="18"/>
        </w:rPr>
        <w:sectPr w:rsidR="002653E8">
          <w:footerReference w:type="default" r:id="rId430"/>
          <w:pgSz w:w="8640" w:h="12960"/>
          <w:pgMar w:top="1220" w:right="0" w:bottom="280" w:left="0" w:header="0" w:footer="0" w:gutter="0"/>
          <w:cols w:space="720"/>
        </w:sectPr>
      </w:pPr>
    </w:p>
    <w:p w14:paraId="110B5D16" w14:textId="77777777" w:rsidR="002653E8" w:rsidRDefault="002653E8">
      <w:pPr>
        <w:pStyle w:val="a3"/>
      </w:pPr>
    </w:p>
    <w:p w14:paraId="7BFED9D9" w14:textId="77777777" w:rsidR="002653E8" w:rsidRDefault="002653E8">
      <w:pPr>
        <w:pStyle w:val="a3"/>
      </w:pPr>
    </w:p>
    <w:p w14:paraId="7AF85742" w14:textId="77777777" w:rsidR="002653E8" w:rsidRDefault="002653E8">
      <w:pPr>
        <w:pStyle w:val="a3"/>
      </w:pPr>
    </w:p>
    <w:p w14:paraId="243881E1" w14:textId="77777777" w:rsidR="002653E8" w:rsidRDefault="002653E8">
      <w:pPr>
        <w:pStyle w:val="a3"/>
      </w:pPr>
    </w:p>
    <w:p w14:paraId="26DB54CE" w14:textId="77777777" w:rsidR="002653E8" w:rsidRDefault="002653E8">
      <w:pPr>
        <w:pStyle w:val="a3"/>
        <w:spacing w:before="2"/>
        <w:rPr>
          <w:sz w:val="29"/>
        </w:rPr>
      </w:pPr>
    </w:p>
    <w:p w14:paraId="475121ED" w14:textId="77777777" w:rsidR="002653E8" w:rsidRDefault="003115E3">
      <w:pPr>
        <w:pStyle w:val="4"/>
        <w:tabs>
          <w:tab w:val="left" w:pos="6965"/>
          <w:tab w:val="left" w:pos="7491"/>
        </w:tabs>
        <w:spacing w:before="86"/>
        <w:rPr>
          <w:rFonts w:ascii="Lucida Sans"/>
          <w:b/>
        </w:rPr>
      </w:pPr>
      <w:bookmarkStart w:id="260" w:name="14_The_Stammheim_Deaths_"/>
      <w:bookmarkStart w:id="261" w:name="_bookmark82"/>
      <w:bookmarkEnd w:id="260"/>
      <w:bookmarkEnd w:id="261"/>
      <w:r>
        <w:rPr>
          <w:rFonts w:ascii="Lucida Sans"/>
          <w:b/>
          <w:color w:val="FFFFFF"/>
          <w:w w:val="87"/>
          <w:shd w:val="clear" w:color="auto" w:fill="231F20"/>
        </w:rPr>
        <w:t xml:space="preserve"> </w:t>
      </w:r>
      <w:r>
        <w:rPr>
          <w:rFonts w:ascii="Lucida Sans"/>
          <w:b/>
          <w:color w:val="FFFFFF"/>
          <w:shd w:val="clear" w:color="auto" w:fill="231F20"/>
        </w:rPr>
        <w:tab/>
      </w:r>
      <w:r>
        <w:rPr>
          <w:rFonts w:ascii="Lucida Sans"/>
          <w:b/>
          <w:color w:val="FFFFFF"/>
          <w:spacing w:val="-10"/>
          <w:w w:val="95"/>
          <w:shd w:val="clear" w:color="auto" w:fill="231F20"/>
        </w:rPr>
        <w:t>14</w:t>
      </w:r>
      <w:r>
        <w:rPr>
          <w:rFonts w:ascii="Lucida Sans"/>
          <w:b/>
          <w:color w:val="FFFFFF"/>
          <w:spacing w:val="-10"/>
          <w:shd w:val="clear" w:color="auto" w:fill="231F20"/>
        </w:rPr>
        <w:tab/>
      </w:r>
    </w:p>
    <w:p w14:paraId="0E8F58B1" w14:textId="77777777" w:rsidR="002653E8" w:rsidRDefault="002653E8">
      <w:pPr>
        <w:pStyle w:val="a3"/>
        <w:rPr>
          <w:rFonts w:ascii="Lucida Sans"/>
          <w:b/>
          <w:sz w:val="36"/>
        </w:rPr>
      </w:pPr>
    </w:p>
    <w:p w14:paraId="2C4A3EBE" w14:textId="77777777" w:rsidR="002653E8" w:rsidRDefault="002653E8">
      <w:pPr>
        <w:pStyle w:val="a3"/>
        <w:spacing w:before="1"/>
        <w:rPr>
          <w:rFonts w:ascii="Lucida Sans"/>
          <w:b/>
          <w:sz w:val="38"/>
        </w:rPr>
      </w:pPr>
    </w:p>
    <w:p w14:paraId="3755BA98" w14:textId="77777777" w:rsidR="002653E8" w:rsidRDefault="003115E3">
      <w:pPr>
        <w:ind w:left="3610"/>
        <w:rPr>
          <w:rFonts w:ascii="Lucida Sans"/>
          <w:b/>
          <w:sz w:val="36"/>
        </w:rPr>
      </w:pPr>
      <w:r>
        <w:rPr>
          <w:rFonts w:ascii="Lucida Sans"/>
          <w:b/>
          <w:color w:val="231F20"/>
          <w:sz w:val="36"/>
        </w:rPr>
        <w:t>the stammheim</w:t>
      </w:r>
      <w:r>
        <w:rPr>
          <w:rFonts w:ascii="Lucida Sans"/>
          <w:b/>
          <w:color w:val="231F20"/>
          <w:spacing w:val="-87"/>
          <w:sz w:val="36"/>
        </w:rPr>
        <w:t xml:space="preserve"> </w:t>
      </w:r>
      <w:r>
        <w:rPr>
          <w:rFonts w:ascii="Lucida Sans"/>
          <w:b/>
          <w:color w:val="231F20"/>
          <w:sz w:val="36"/>
        </w:rPr>
        <w:t>Deaths</w:t>
      </w:r>
    </w:p>
    <w:p w14:paraId="6EE41C34" w14:textId="77777777" w:rsidR="002653E8" w:rsidRDefault="002653E8">
      <w:pPr>
        <w:pStyle w:val="a3"/>
        <w:rPr>
          <w:rFonts w:ascii="Lucida Sans"/>
          <w:b/>
          <w:sz w:val="42"/>
        </w:rPr>
      </w:pPr>
    </w:p>
    <w:p w14:paraId="401ADF91" w14:textId="77777777" w:rsidR="002653E8" w:rsidRDefault="002653E8">
      <w:pPr>
        <w:pStyle w:val="a3"/>
        <w:rPr>
          <w:rFonts w:ascii="Lucida Sans"/>
          <w:b/>
          <w:sz w:val="42"/>
        </w:rPr>
      </w:pPr>
    </w:p>
    <w:p w14:paraId="61FF8E12" w14:textId="77777777" w:rsidR="002653E8" w:rsidRDefault="002653E8">
      <w:pPr>
        <w:pStyle w:val="a3"/>
        <w:rPr>
          <w:rFonts w:ascii="Lucida Sans"/>
          <w:b/>
          <w:sz w:val="54"/>
        </w:rPr>
      </w:pPr>
    </w:p>
    <w:p w14:paraId="23FA44EC" w14:textId="77777777" w:rsidR="002653E8" w:rsidRDefault="003115E3">
      <w:pPr>
        <w:spacing w:line="276" w:lineRule="auto"/>
        <w:ind w:left="1747" w:right="1558"/>
        <w:jc w:val="both"/>
        <w:rPr>
          <w:i/>
          <w:sz w:val="19"/>
        </w:rPr>
      </w:pPr>
      <w:r>
        <w:rPr>
          <w:i/>
          <w:color w:val="231F20"/>
          <w:w w:val="105"/>
          <w:sz w:val="19"/>
        </w:rPr>
        <w:t xml:space="preserve">Murder would make the better </w:t>
      </w:r>
      <w:r>
        <w:rPr>
          <w:i/>
          <w:color w:val="231F20"/>
          <w:spacing w:val="-3"/>
          <w:w w:val="105"/>
          <w:sz w:val="19"/>
        </w:rPr>
        <w:t xml:space="preserve">story. </w:t>
      </w:r>
      <w:r>
        <w:rPr>
          <w:i/>
          <w:color w:val="231F20"/>
          <w:w w:val="105"/>
          <w:sz w:val="19"/>
        </w:rPr>
        <w:t>I looked under every rock.  I</w:t>
      </w:r>
      <w:r>
        <w:rPr>
          <w:i/>
          <w:color w:val="231F20"/>
          <w:spacing w:val="-6"/>
          <w:w w:val="105"/>
          <w:sz w:val="19"/>
        </w:rPr>
        <w:t xml:space="preserve"> </w:t>
      </w:r>
      <w:r>
        <w:rPr>
          <w:i/>
          <w:color w:val="231F20"/>
          <w:w w:val="105"/>
          <w:sz w:val="19"/>
        </w:rPr>
        <w:t>spent</w:t>
      </w:r>
      <w:r>
        <w:rPr>
          <w:i/>
          <w:color w:val="231F20"/>
          <w:spacing w:val="-6"/>
          <w:w w:val="105"/>
          <w:sz w:val="19"/>
        </w:rPr>
        <w:t xml:space="preserve"> </w:t>
      </w:r>
      <w:r>
        <w:rPr>
          <w:i/>
          <w:color w:val="231F20"/>
          <w:w w:val="105"/>
          <w:sz w:val="19"/>
        </w:rPr>
        <w:t>weeks</w:t>
      </w:r>
      <w:r>
        <w:rPr>
          <w:i/>
          <w:color w:val="231F20"/>
          <w:spacing w:val="-6"/>
          <w:w w:val="105"/>
          <w:sz w:val="19"/>
        </w:rPr>
        <w:t xml:space="preserve"> </w:t>
      </w:r>
      <w:r>
        <w:rPr>
          <w:i/>
          <w:color w:val="231F20"/>
          <w:w w:val="105"/>
          <w:sz w:val="19"/>
        </w:rPr>
        <w:t>and</w:t>
      </w:r>
      <w:r>
        <w:rPr>
          <w:i/>
          <w:color w:val="231F20"/>
          <w:spacing w:val="-6"/>
          <w:w w:val="105"/>
          <w:sz w:val="19"/>
        </w:rPr>
        <w:t xml:space="preserve"> </w:t>
      </w:r>
      <w:r>
        <w:rPr>
          <w:i/>
          <w:color w:val="231F20"/>
          <w:w w:val="105"/>
          <w:sz w:val="19"/>
        </w:rPr>
        <w:t>months</w:t>
      </w:r>
      <w:r>
        <w:rPr>
          <w:i/>
          <w:color w:val="231F20"/>
          <w:spacing w:val="-6"/>
          <w:w w:val="105"/>
          <w:sz w:val="19"/>
        </w:rPr>
        <w:t xml:space="preserve"> </w:t>
      </w:r>
      <w:r>
        <w:rPr>
          <w:i/>
          <w:color w:val="231F20"/>
          <w:w w:val="105"/>
          <w:sz w:val="19"/>
        </w:rPr>
        <w:t>following</w:t>
      </w:r>
      <w:r>
        <w:rPr>
          <w:i/>
          <w:color w:val="231F20"/>
          <w:spacing w:val="-6"/>
          <w:w w:val="105"/>
          <w:sz w:val="19"/>
        </w:rPr>
        <w:t xml:space="preserve"> </w:t>
      </w:r>
      <w:r>
        <w:rPr>
          <w:i/>
          <w:color w:val="231F20"/>
          <w:w w:val="105"/>
          <w:sz w:val="19"/>
        </w:rPr>
        <w:t>up</w:t>
      </w:r>
      <w:r>
        <w:rPr>
          <w:i/>
          <w:color w:val="231F20"/>
          <w:spacing w:val="-6"/>
          <w:w w:val="105"/>
          <w:sz w:val="19"/>
        </w:rPr>
        <w:t xml:space="preserve"> </w:t>
      </w:r>
      <w:r>
        <w:rPr>
          <w:i/>
          <w:color w:val="231F20"/>
          <w:w w:val="105"/>
          <w:sz w:val="19"/>
        </w:rPr>
        <w:t>every</w:t>
      </w:r>
      <w:r>
        <w:rPr>
          <w:i/>
          <w:color w:val="231F20"/>
          <w:spacing w:val="-6"/>
          <w:w w:val="105"/>
          <w:sz w:val="19"/>
        </w:rPr>
        <w:t xml:space="preserve"> </w:t>
      </w:r>
      <w:r>
        <w:rPr>
          <w:i/>
          <w:color w:val="231F20"/>
          <w:w w:val="105"/>
          <w:sz w:val="19"/>
        </w:rPr>
        <w:t>lead,</w:t>
      </w:r>
      <w:r>
        <w:rPr>
          <w:i/>
          <w:color w:val="231F20"/>
          <w:spacing w:val="-12"/>
          <w:w w:val="105"/>
          <w:sz w:val="19"/>
        </w:rPr>
        <w:t xml:space="preserve"> </w:t>
      </w:r>
      <w:r>
        <w:rPr>
          <w:i/>
          <w:color w:val="231F20"/>
          <w:w w:val="105"/>
          <w:sz w:val="19"/>
        </w:rPr>
        <w:t>and</w:t>
      </w:r>
      <w:r>
        <w:rPr>
          <w:i/>
          <w:color w:val="231F20"/>
          <w:spacing w:val="-6"/>
          <w:w w:val="105"/>
          <w:sz w:val="19"/>
        </w:rPr>
        <w:t xml:space="preserve"> </w:t>
      </w:r>
      <w:r>
        <w:rPr>
          <w:i/>
          <w:color w:val="231F20"/>
          <w:w w:val="105"/>
          <w:sz w:val="19"/>
        </w:rPr>
        <w:t>the</w:t>
      </w:r>
      <w:r>
        <w:rPr>
          <w:i/>
          <w:color w:val="231F20"/>
          <w:spacing w:val="-6"/>
          <w:w w:val="105"/>
          <w:sz w:val="19"/>
        </w:rPr>
        <w:t xml:space="preserve"> </w:t>
      </w:r>
      <w:r>
        <w:rPr>
          <w:i/>
          <w:color w:val="231F20"/>
          <w:w w:val="105"/>
          <w:sz w:val="19"/>
        </w:rPr>
        <w:t>simple truth is there is nothing that allows you to truly maintain that it was clearly either a murder or a</w:t>
      </w:r>
      <w:r>
        <w:rPr>
          <w:i/>
          <w:color w:val="231F20"/>
          <w:spacing w:val="37"/>
          <w:w w:val="105"/>
          <w:sz w:val="19"/>
        </w:rPr>
        <w:t xml:space="preserve"> </w:t>
      </w:r>
      <w:r>
        <w:rPr>
          <w:i/>
          <w:color w:val="231F20"/>
          <w:w w:val="105"/>
          <w:sz w:val="19"/>
        </w:rPr>
        <w:t>suicide.</w:t>
      </w:r>
    </w:p>
    <w:p w14:paraId="5332D94A" w14:textId="77777777" w:rsidR="002653E8" w:rsidRDefault="003115E3">
      <w:pPr>
        <w:spacing w:before="40"/>
        <w:ind w:left="6078"/>
        <w:rPr>
          <w:sz w:val="11"/>
        </w:rPr>
      </w:pPr>
      <w:r>
        <w:rPr>
          <w:color w:val="231F20"/>
          <w:sz w:val="19"/>
        </w:rPr>
        <w:t>Stefan Aust</w:t>
      </w:r>
      <w:r>
        <w:rPr>
          <w:color w:val="231F20"/>
          <w:position w:val="6"/>
          <w:sz w:val="11"/>
        </w:rPr>
        <w:t>1</w:t>
      </w:r>
    </w:p>
    <w:p w14:paraId="60C6D7A1" w14:textId="77777777" w:rsidR="002653E8" w:rsidRDefault="002653E8">
      <w:pPr>
        <w:pStyle w:val="a3"/>
        <w:rPr>
          <w:sz w:val="22"/>
        </w:rPr>
      </w:pPr>
    </w:p>
    <w:p w14:paraId="474B1CF8" w14:textId="77777777" w:rsidR="002653E8" w:rsidRDefault="002653E8">
      <w:pPr>
        <w:pStyle w:val="a3"/>
        <w:rPr>
          <w:sz w:val="22"/>
        </w:rPr>
      </w:pPr>
    </w:p>
    <w:p w14:paraId="27A33BFF" w14:textId="77777777" w:rsidR="002653E8" w:rsidRDefault="003115E3">
      <w:pPr>
        <w:spacing w:before="149" w:line="276" w:lineRule="auto"/>
        <w:ind w:left="1747" w:right="1565"/>
        <w:jc w:val="both"/>
        <w:rPr>
          <w:i/>
          <w:sz w:val="19"/>
        </w:rPr>
      </w:pPr>
      <w:r>
        <w:rPr>
          <w:i/>
          <w:color w:val="231F20"/>
          <w:w w:val="105"/>
          <w:sz w:val="19"/>
        </w:rPr>
        <w:t>It remains for me a suicide under state surveillance. There are enough reasons to believe that someone in the state apparatus knew about the weapons and the suicide plan. This doubtless indicates the hope that they would die. And so I say: there is no clear distinction in this case between murder and suicide.</w:t>
      </w:r>
    </w:p>
    <w:p w14:paraId="3C4180AD" w14:textId="77777777" w:rsidR="002653E8" w:rsidRDefault="003115E3">
      <w:pPr>
        <w:spacing w:before="39"/>
        <w:ind w:left="1212" w:right="1565"/>
        <w:jc w:val="right"/>
        <w:rPr>
          <w:sz w:val="11"/>
        </w:rPr>
      </w:pPr>
      <w:r>
        <w:rPr>
          <w:color w:val="231F20"/>
          <w:w w:val="105"/>
          <w:sz w:val="19"/>
        </w:rPr>
        <w:t>Karl-Heinz Dellwo</w:t>
      </w:r>
      <w:r>
        <w:rPr>
          <w:color w:val="231F20"/>
          <w:w w:val="105"/>
          <w:position w:val="6"/>
          <w:sz w:val="11"/>
        </w:rPr>
        <w:t>2</w:t>
      </w:r>
    </w:p>
    <w:p w14:paraId="37F23AEC" w14:textId="77777777" w:rsidR="002653E8" w:rsidRDefault="002653E8">
      <w:pPr>
        <w:pStyle w:val="a3"/>
      </w:pPr>
    </w:p>
    <w:p w14:paraId="62CB53E9" w14:textId="77777777" w:rsidR="002653E8" w:rsidRDefault="002653E8">
      <w:pPr>
        <w:pStyle w:val="a3"/>
      </w:pPr>
    </w:p>
    <w:p w14:paraId="2D5F0C3B" w14:textId="77777777" w:rsidR="002653E8" w:rsidRDefault="002653E8">
      <w:pPr>
        <w:pStyle w:val="a3"/>
      </w:pPr>
    </w:p>
    <w:p w14:paraId="3264ED34" w14:textId="77777777" w:rsidR="002653E8" w:rsidRDefault="002653E8">
      <w:pPr>
        <w:pStyle w:val="a3"/>
      </w:pPr>
    </w:p>
    <w:p w14:paraId="64ECBF73" w14:textId="77777777" w:rsidR="002653E8" w:rsidRDefault="00000000">
      <w:pPr>
        <w:pStyle w:val="a3"/>
        <w:spacing w:before="5"/>
        <w:rPr>
          <w:sz w:val="13"/>
        </w:rPr>
      </w:pPr>
      <w:r>
        <w:rPr>
          <w:noProof w:val="0"/>
        </w:rPr>
        <w:pict w14:anchorId="4AAAACE9">
          <v:line id="_x0000_s2171" style="position:absolute;z-index:10504;mso-wrap-distance-left:0;mso-wrap-distance-right:0;mso-position-horizontal-relative:page" from="66.4pt,10.1pt" to="138.4pt,10.1pt" strokecolor="#231f20" strokeweight=".5pt">
            <w10:wrap type="topAndBottom" anchorx="page"/>
          </v:line>
        </w:pict>
      </w:r>
    </w:p>
    <w:p w14:paraId="69799DA1" w14:textId="77777777" w:rsidR="002653E8" w:rsidRPr="00846956" w:rsidRDefault="003115E3">
      <w:pPr>
        <w:pStyle w:val="a4"/>
        <w:numPr>
          <w:ilvl w:val="0"/>
          <w:numId w:val="53"/>
        </w:numPr>
        <w:tabs>
          <w:tab w:val="left" w:pos="1467"/>
        </w:tabs>
        <w:spacing w:before="53" w:line="254" w:lineRule="auto"/>
        <w:ind w:right="2160" w:firstLine="0"/>
        <w:rPr>
          <w:sz w:val="16"/>
          <w:lang w:val="de-DE"/>
        </w:rPr>
      </w:pPr>
      <w:r w:rsidRPr="00846956">
        <w:rPr>
          <w:color w:val="231F20"/>
          <w:w w:val="110"/>
          <w:sz w:val="16"/>
          <w:lang w:val="de-DE"/>
        </w:rPr>
        <w:t xml:space="preserve">Agnes Steinbauer, </w:t>
      </w:r>
      <w:r w:rsidRPr="00846956">
        <w:rPr>
          <w:color w:val="231F20"/>
          <w:spacing w:val="-3"/>
          <w:w w:val="110"/>
          <w:sz w:val="16"/>
          <w:lang w:val="de-DE"/>
        </w:rPr>
        <w:t xml:space="preserve">“Tod </w:t>
      </w:r>
      <w:r w:rsidRPr="00846956">
        <w:rPr>
          <w:color w:val="231F20"/>
          <w:w w:val="110"/>
          <w:sz w:val="16"/>
          <w:lang w:val="de-DE"/>
        </w:rPr>
        <w:t xml:space="preserve">in Stammheim,” </w:t>
      </w:r>
      <w:r w:rsidRPr="00846956">
        <w:rPr>
          <w:i/>
          <w:color w:val="231F20"/>
          <w:w w:val="110"/>
          <w:sz w:val="16"/>
          <w:lang w:val="de-DE"/>
        </w:rPr>
        <w:t xml:space="preserve">Deutschlandradio </w:t>
      </w:r>
      <w:r w:rsidRPr="00846956">
        <w:rPr>
          <w:color w:val="231F20"/>
          <w:w w:val="110"/>
          <w:sz w:val="16"/>
          <w:lang w:val="de-DE"/>
        </w:rPr>
        <w:t>[online], May 9,</w:t>
      </w:r>
      <w:r w:rsidRPr="00846956">
        <w:rPr>
          <w:color w:val="231F20"/>
          <w:spacing w:val="12"/>
          <w:w w:val="110"/>
          <w:sz w:val="16"/>
          <w:lang w:val="de-DE"/>
        </w:rPr>
        <w:t xml:space="preserve"> </w:t>
      </w:r>
      <w:r w:rsidRPr="00846956">
        <w:rPr>
          <w:color w:val="231F20"/>
          <w:w w:val="110"/>
          <w:sz w:val="16"/>
          <w:lang w:val="de-DE"/>
        </w:rPr>
        <w:t>2006.</w:t>
      </w:r>
    </w:p>
    <w:p w14:paraId="79A1172E" w14:textId="77777777" w:rsidR="002653E8" w:rsidRPr="00846956" w:rsidRDefault="003115E3">
      <w:pPr>
        <w:pStyle w:val="a4"/>
        <w:numPr>
          <w:ilvl w:val="0"/>
          <w:numId w:val="53"/>
        </w:numPr>
        <w:tabs>
          <w:tab w:val="left" w:pos="1467"/>
        </w:tabs>
        <w:ind w:left="1466"/>
        <w:rPr>
          <w:sz w:val="16"/>
          <w:lang w:val="de-DE"/>
        </w:rPr>
      </w:pPr>
      <w:r w:rsidRPr="00846956">
        <w:rPr>
          <w:color w:val="231F20"/>
          <w:w w:val="110"/>
          <w:sz w:val="16"/>
          <w:lang w:val="de-DE"/>
        </w:rPr>
        <w:t>Karl-Heinz Dellwo, interview by Axel Vornbäumen, “Ich bin kein</w:t>
      </w:r>
      <w:r w:rsidRPr="00846956">
        <w:rPr>
          <w:color w:val="231F20"/>
          <w:spacing w:val="7"/>
          <w:w w:val="110"/>
          <w:sz w:val="16"/>
          <w:lang w:val="de-DE"/>
        </w:rPr>
        <w:t xml:space="preserve"> </w:t>
      </w:r>
      <w:r w:rsidRPr="00846956">
        <w:rPr>
          <w:color w:val="231F20"/>
          <w:w w:val="110"/>
          <w:sz w:val="16"/>
          <w:lang w:val="de-DE"/>
        </w:rPr>
        <w:t>Pazifist,”</w:t>
      </w:r>
    </w:p>
    <w:p w14:paraId="34033CEB" w14:textId="77777777" w:rsidR="002653E8" w:rsidRDefault="003115E3">
      <w:pPr>
        <w:spacing w:before="11"/>
        <w:ind w:left="1327"/>
        <w:rPr>
          <w:sz w:val="16"/>
        </w:rPr>
      </w:pPr>
      <w:r>
        <w:rPr>
          <w:i/>
          <w:color w:val="231F20"/>
          <w:w w:val="105"/>
          <w:sz w:val="16"/>
        </w:rPr>
        <w:t xml:space="preserve">tagespiegel </w:t>
      </w:r>
      <w:r>
        <w:rPr>
          <w:color w:val="231F20"/>
          <w:w w:val="105"/>
          <w:sz w:val="16"/>
        </w:rPr>
        <w:t>[online], March 26, 2007.</w:t>
      </w:r>
    </w:p>
    <w:p w14:paraId="7B44CAED" w14:textId="77777777" w:rsidR="002653E8" w:rsidRDefault="002653E8">
      <w:pPr>
        <w:rPr>
          <w:sz w:val="16"/>
        </w:rPr>
        <w:sectPr w:rsidR="002653E8">
          <w:footerReference w:type="even" r:id="rId431"/>
          <w:footerReference w:type="default" r:id="rId432"/>
          <w:pgSz w:w="8640" w:h="12960"/>
          <w:pgMar w:top="1220" w:right="0" w:bottom="1040" w:left="0" w:header="0" w:footer="850" w:gutter="0"/>
          <w:cols w:space="720"/>
        </w:sectPr>
      </w:pPr>
    </w:p>
    <w:p w14:paraId="1929D1D9" w14:textId="77777777" w:rsidR="002653E8" w:rsidRDefault="003115E3">
      <w:pPr>
        <w:spacing w:before="75" w:line="276" w:lineRule="auto"/>
        <w:ind w:left="1567" w:right="1739"/>
        <w:jc w:val="both"/>
        <w:rPr>
          <w:i/>
          <w:sz w:val="19"/>
        </w:rPr>
      </w:pPr>
      <w:r>
        <w:rPr>
          <w:i/>
          <w:color w:val="231F20"/>
          <w:spacing w:val="-7"/>
          <w:sz w:val="19"/>
        </w:rPr>
        <w:lastRenderedPageBreak/>
        <w:t xml:space="preserve">Today, </w:t>
      </w:r>
      <w:r>
        <w:rPr>
          <w:i/>
          <w:color w:val="231F20"/>
          <w:sz w:val="19"/>
        </w:rPr>
        <w:t xml:space="preserve">thirty years </w:t>
      </w:r>
      <w:r>
        <w:rPr>
          <w:i/>
          <w:color w:val="231F20"/>
          <w:spacing w:val="-4"/>
          <w:sz w:val="19"/>
        </w:rPr>
        <w:t xml:space="preserve">later, </w:t>
      </w:r>
      <w:r>
        <w:rPr>
          <w:i/>
          <w:color w:val="231F20"/>
          <w:sz w:val="19"/>
        </w:rPr>
        <w:t xml:space="preserve">just as before, I don’t in any </w:t>
      </w:r>
      <w:r>
        <w:rPr>
          <w:i/>
          <w:color w:val="231F20"/>
          <w:spacing w:val="-3"/>
          <w:sz w:val="19"/>
        </w:rPr>
        <w:t xml:space="preserve">way </w:t>
      </w:r>
      <w:r>
        <w:rPr>
          <w:i/>
          <w:color w:val="231F20"/>
          <w:sz w:val="19"/>
        </w:rPr>
        <w:t xml:space="preserve">believe  the suicide version. </w:t>
      </w:r>
      <w:r>
        <w:rPr>
          <w:i/>
          <w:color w:val="231F20"/>
          <w:spacing w:val="2"/>
          <w:sz w:val="19"/>
        </w:rPr>
        <w:t xml:space="preserve">Notbecause </w:t>
      </w:r>
      <w:r>
        <w:rPr>
          <w:i/>
          <w:color w:val="231F20"/>
          <w:sz w:val="19"/>
        </w:rPr>
        <w:t xml:space="preserve">I’ve never had doubts. </w:t>
      </w:r>
      <w:r>
        <w:rPr>
          <w:i/>
          <w:color w:val="231F20"/>
          <w:spacing w:val="2"/>
          <w:sz w:val="19"/>
        </w:rPr>
        <w:t xml:space="preserve">Notbecause </w:t>
      </w:r>
      <w:r>
        <w:rPr>
          <w:i/>
          <w:color w:val="231F20"/>
          <w:sz w:val="19"/>
        </w:rPr>
        <w:t>I’ve never permitted myself to speculate in various ways. Not because I never despaired in the face of the unlimited pressure of the campaign that I, like the other prisoners, experienced from the outset: not supported by facts, but rather continuously bringing it in line with the official versions, insinuations, misrepresentations, lies. No, what always made me skeptical of every new “incontravertible proof” was that I knew them—the dead—better than</w:t>
      </w:r>
      <w:r>
        <w:rPr>
          <w:i/>
          <w:color w:val="231F20"/>
          <w:spacing w:val="11"/>
          <w:sz w:val="19"/>
        </w:rPr>
        <w:t xml:space="preserve"> </w:t>
      </w:r>
      <w:r>
        <w:rPr>
          <w:i/>
          <w:color w:val="231F20"/>
          <w:sz w:val="19"/>
        </w:rPr>
        <w:t>to</w:t>
      </w:r>
      <w:r>
        <w:rPr>
          <w:i/>
          <w:color w:val="231F20"/>
          <w:spacing w:val="11"/>
          <w:sz w:val="19"/>
        </w:rPr>
        <w:t xml:space="preserve"> </w:t>
      </w:r>
      <w:r>
        <w:rPr>
          <w:i/>
          <w:color w:val="231F20"/>
          <w:sz w:val="19"/>
        </w:rPr>
        <w:t>be</w:t>
      </w:r>
      <w:r>
        <w:rPr>
          <w:i/>
          <w:color w:val="231F20"/>
          <w:spacing w:val="11"/>
          <w:sz w:val="19"/>
        </w:rPr>
        <w:t xml:space="preserve"> </w:t>
      </w:r>
      <w:r>
        <w:rPr>
          <w:i/>
          <w:color w:val="231F20"/>
          <w:sz w:val="19"/>
        </w:rPr>
        <w:t>affected</w:t>
      </w:r>
      <w:r>
        <w:rPr>
          <w:i/>
          <w:color w:val="231F20"/>
          <w:spacing w:val="11"/>
          <w:sz w:val="19"/>
        </w:rPr>
        <w:t xml:space="preserve"> </w:t>
      </w:r>
      <w:r>
        <w:rPr>
          <w:i/>
          <w:color w:val="231F20"/>
          <w:sz w:val="19"/>
        </w:rPr>
        <w:t>by</w:t>
      </w:r>
      <w:r>
        <w:rPr>
          <w:i/>
          <w:color w:val="231F20"/>
          <w:spacing w:val="11"/>
          <w:sz w:val="19"/>
        </w:rPr>
        <w:t xml:space="preserve"> </w:t>
      </w:r>
      <w:r>
        <w:rPr>
          <w:i/>
          <w:color w:val="231F20"/>
          <w:sz w:val="19"/>
        </w:rPr>
        <w:t>everything</w:t>
      </w:r>
      <w:r>
        <w:rPr>
          <w:i/>
          <w:color w:val="231F20"/>
          <w:spacing w:val="11"/>
          <w:sz w:val="19"/>
        </w:rPr>
        <w:t xml:space="preserve"> </w:t>
      </w:r>
      <w:r>
        <w:rPr>
          <w:i/>
          <w:color w:val="231F20"/>
          <w:sz w:val="19"/>
        </w:rPr>
        <w:t>that</w:t>
      </w:r>
      <w:r>
        <w:rPr>
          <w:i/>
          <w:color w:val="231F20"/>
          <w:spacing w:val="11"/>
          <w:sz w:val="19"/>
        </w:rPr>
        <w:t xml:space="preserve"> </w:t>
      </w:r>
      <w:r>
        <w:rPr>
          <w:i/>
          <w:color w:val="231F20"/>
          <w:sz w:val="19"/>
        </w:rPr>
        <w:t>was</w:t>
      </w:r>
      <w:r>
        <w:rPr>
          <w:i/>
          <w:color w:val="231F20"/>
          <w:spacing w:val="11"/>
          <w:sz w:val="19"/>
        </w:rPr>
        <w:t xml:space="preserve"> </w:t>
      </w:r>
      <w:r>
        <w:rPr>
          <w:i/>
          <w:color w:val="231F20"/>
          <w:sz w:val="19"/>
        </w:rPr>
        <w:t>produced.</w:t>
      </w:r>
    </w:p>
    <w:p w14:paraId="74642D19" w14:textId="77777777" w:rsidR="002653E8" w:rsidRDefault="003115E3">
      <w:pPr>
        <w:spacing w:before="38"/>
        <w:ind w:left="5443"/>
        <w:rPr>
          <w:sz w:val="11"/>
        </w:rPr>
      </w:pPr>
      <w:r>
        <w:rPr>
          <w:color w:val="231F20"/>
          <w:w w:val="105"/>
          <w:sz w:val="19"/>
        </w:rPr>
        <w:t>Ronald Augustin</w:t>
      </w:r>
      <w:r>
        <w:rPr>
          <w:color w:val="231F20"/>
          <w:w w:val="105"/>
          <w:position w:val="6"/>
          <w:sz w:val="11"/>
        </w:rPr>
        <w:t>1</w:t>
      </w:r>
    </w:p>
    <w:p w14:paraId="42230BEC" w14:textId="77777777" w:rsidR="002653E8" w:rsidRDefault="002653E8">
      <w:pPr>
        <w:pStyle w:val="a3"/>
        <w:rPr>
          <w:sz w:val="22"/>
        </w:rPr>
      </w:pPr>
    </w:p>
    <w:p w14:paraId="558D2FAE" w14:textId="77777777" w:rsidR="002653E8" w:rsidRDefault="002653E8">
      <w:pPr>
        <w:pStyle w:val="a3"/>
        <w:rPr>
          <w:sz w:val="22"/>
        </w:rPr>
      </w:pPr>
    </w:p>
    <w:p w14:paraId="246B02F9" w14:textId="77777777" w:rsidR="002653E8" w:rsidRDefault="003115E3">
      <w:pPr>
        <w:spacing w:before="150" w:line="276" w:lineRule="auto"/>
        <w:ind w:left="1567" w:right="1739"/>
        <w:jc w:val="both"/>
        <w:rPr>
          <w:i/>
          <w:sz w:val="19"/>
        </w:rPr>
      </w:pPr>
      <w:r>
        <w:rPr>
          <w:i/>
          <w:color w:val="231F20"/>
          <w:w w:val="105"/>
          <w:sz w:val="19"/>
        </w:rPr>
        <w:t>Irmgard</w:t>
      </w:r>
      <w:r>
        <w:rPr>
          <w:i/>
          <w:color w:val="231F20"/>
          <w:spacing w:val="-21"/>
          <w:w w:val="105"/>
          <w:sz w:val="19"/>
        </w:rPr>
        <w:t xml:space="preserve"> </w:t>
      </w:r>
      <w:r>
        <w:rPr>
          <w:i/>
          <w:color w:val="231F20"/>
          <w:w w:val="105"/>
          <w:sz w:val="19"/>
        </w:rPr>
        <w:t>Möller</w:t>
      </w:r>
      <w:r>
        <w:rPr>
          <w:i/>
          <w:color w:val="231F20"/>
          <w:spacing w:val="-21"/>
          <w:w w:val="105"/>
          <w:sz w:val="19"/>
        </w:rPr>
        <w:t xml:space="preserve"> </w:t>
      </w:r>
      <w:r>
        <w:rPr>
          <w:i/>
          <w:color w:val="231F20"/>
          <w:w w:val="105"/>
          <w:sz w:val="19"/>
        </w:rPr>
        <w:t>stated:</w:t>
      </w:r>
      <w:r>
        <w:rPr>
          <w:i/>
          <w:color w:val="231F20"/>
          <w:spacing w:val="-21"/>
          <w:w w:val="105"/>
          <w:sz w:val="19"/>
        </w:rPr>
        <w:t xml:space="preserve"> </w:t>
      </w:r>
      <w:r>
        <w:rPr>
          <w:i/>
          <w:color w:val="231F20"/>
          <w:w w:val="105"/>
          <w:sz w:val="19"/>
        </w:rPr>
        <w:t>at</w:t>
      </w:r>
      <w:r>
        <w:rPr>
          <w:i/>
          <w:color w:val="231F20"/>
          <w:spacing w:val="-21"/>
          <w:w w:val="105"/>
          <w:sz w:val="19"/>
        </w:rPr>
        <w:t xml:space="preserve"> </w:t>
      </w:r>
      <w:r>
        <w:rPr>
          <w:i/>
          <w:color w:val="231F20"/>
          <w:w w:val="105"/>
          <w:sz w:val="19"/>
        </w:rPr>
        <w:t>no</w:t>
      </w:r>
      <w:r>
        <w:rPr>
          <w:i/>
          <w:color w:val="231F20"/>
          <w:spacing w:val="-21"/>
          <w:w w:val="105"/>
          <w:sz w:val="19"/>
        </w:rPr>
        <w:t xml:space="preserve"> </w:t>
      </w:r>
      <w:r>
        <w:rPr>
          <w:i/>
          <w:color w:val="231F20"/>
          <w:w w:val="105"/>
          <w:sz w:val="19"/>
        </w:rPr>
        <w:t>time</w:t>
      </w:r>
      <w:r>
        <w:rPr>
          <w:i/>
          <w:color w:val="231F20"/>
          <w:spacing w:val="-21"/>
          <w:w w:val="105"/>
          <w:sz w:val="19"/>
        </w:rPr>
        <w:t xml:space="preserve"> </w:t>
      </w:r>
      <w:r>
        <w:rPr>
          <w:i/>
          <w:color w:val="231F20"/>
          <w:w w:val="105"/>
          <w:sz w:val="19"/>
        </w:rPr>
        <w:t>was</w:t>
      </w:r>
      <w:r>
        <w:rPr>
          <w:i/>
          <w:color w:val="231F20"/>
          <w:spacing w:val="-21"/>
          <w:w w:val="105"/>
          <w:sz w:val="19"/>
        </w:rPr>
        <w:t xml:space="preserve"> </w:t>
      </w:r>
      <w:r>
        <w:rPr>
          <w:i/>
          <w:color w:val="231F20"/>
          <w:w w:val="105"/>
          <w:sz w:val="19"/>
        </w:rPr>
        <w:t>there</w:t>
      </w:r>
      <w:r>
        <w:rPr>
          <w:i/>
          <w:color w:val="231F20"/>
          <w:spacing w:val="-21"/>
          <w:w w:val="105"/>
          <w:sz w:val="19"/>
        </w:rPr>
        <w:t xml:space="preserve"> </w:t>
      </w:r>
      <w:r>
        <w:rPr>
          <w:i/>
          <w:color w:val="231F20"/>
          <w:w w:val="105"/>
          <w:sz w:val="19"/>
        </w:rPr>
        <w:t>a</w:t>
      </w:r>
      <w:r>
        <w:rPr>
          <w:i/>
          <w:color w:val="231F20"/>
          <w:spacing w:val="-21"/>
          <w:w w:val="105"/>
          <w:sz w:val="19"/>
        </w:rPr>
        <w:t xml:space="preserve"> </w:t>
      </w:r>
      <w:r>
        <w:rPr>
          <w:i/>
          <w:color w:val="231F20"/>
          <w:w w:val="105"/>
          <w:sz w:val="19"/>
        </w:rPr>
        <w:t>suicide</w:t>
      </w:r>
      <w:r>
        <w:rPr>
          <w:i/>
          <w:color w:val="231F20"/>
          <w:spacing w:val="-21"/>
          <w:w w:val="105"/>
          <w:sz w:val="19"/>
        </w:rPr>
        <w:t xml:space="preserve"> </w:t>
      </w:r>
      <w:r>
        <w:rPr>
          <w:i/>
          <w:color w:val="231F20"/>
          <w:w w:val="105"/>
          <w:sz w:val="19"/>
        </w:rPr>
        <w:t>pact</w:t>
      </w:r>
      <w:r>
        <w:rPr>
          <w:i/>
          <w:color w:val="231F20"/>
          <w:spacing w:val="-21"/>
          <w:w w:val="105"/>
          <w:sz w:val="19"/>
        </w:rPr>
        <w:t xml:space="preserve"> </w:t>
      </w:r>
      <w:r>
        <w:rPr>
          <w:i/>
          <w:color w:val="231F20"/>
          <w:w w:val="105"/>
          <w:sz w:val="19"/>
        </w:rPr>
        <w:t xml:space="preserve">between Andreas </w:t>
      </w:r>
      <w:r>
        <w:rPr>
          <w:i/>
          <w:color w:val="231F20"/>
          <w:spacing w:val="-4"/>
          <w:w w:val="105"/>
          <w:sz w:val="19"/>
        </w:rPr>
        <w:t xml:space="preserve">Baader, </w:t>
      </w:r>
      <w:r>
        <w:rPr>
          <w:i/>
          <w:color w:val="231F20"/>
          <w:w w:val="105"/>
          <w:sz w:val="19"/>
        </w:rPr>
        <w:t>Gudrun Ensslin, Jan-Carl Raspe, and herself. She did not attempt suicide. The four stab wounds on the left side of her</w:t>
      </w:r>
      <w:r>
        <w:rPr>
          <w:i/>
          <w:color w:val="231F20"/>
          <w:spacing w:val="-14"/>
          <w:w w:val="105"/>
          <w:sz w:val="19"/>
        </w:rPr>
        <w:t xml:space="preserve"> </w:t>
      </w:r>
      <w:r>
        <w:rPr>
          <w:i/>
          <w:color w:val="231F20"/>
          <w:w w:val="105"/>
          <w:sz w:val="19"/>
        </w:rPr>
        <w:t>chest</w:t>
      </w:r>
      <w:r>
        <w:rPr>
          <w:i/>
          <w:color w:val="231F20"/>
          <w:spacing w:val="-14"/>
          <w:w w:val="105"/>
          <w:sz w:val="19"/>
        </w:rPr>
        <w:t xml:space="preserve"> </w:t>
      </w:r>
      <w:r>
        <w:rPr>
          <w:i/>
          <w:color w:val="231F20"/>
          <w:w w:val="105"/>
          <w:sz w:val="19"/>
        </w:rPr>
        <w:t>were</w:t>
      </w:r>
      <w:r>
        <w:rPr>
          <w:i/>
          <w:color w:val="231F20"/>
          <w:spacing w:val="-14"/>
          <w:w w:val="105"/>
          <w:sz w:val="19"/>
        </w:rPr>
        <w:t xml:space="preserve"> </w:t>
      </w:r>
      <w:r>
        <w:rPr>
          <w:i/>
          <w:color w:val="231F20"/>
          <w:w w:val="105"/>
          <w:sz w:val="19"/>
        </w:rPr>
        <w:t>not</w:t>
      </w:r>
      <w:r>
        <w:rPr>
          <w:i/>
          <w:color w:val="231F20"/>
          <w:spacing w:val="-14"/>
          <w:w w:val="105"/>
          <w:sz w:val="19"/>
        </w:rPr>
        <w:t xml:space="preserve"> </w:t>
      </w:r>
      <w:r>
        <w:rPr>
          <w:i/>
          <w:color w:val="231F20"/>
          <w:w w:val="105"/>
          <w:sz w:val="19"/>
        </w:rPr>
        <w:t>self-inflicted.</w:t>
      </w:r>
      <w:r>
        <w:rPr>
          <w:i/>
          <w:color w:val="231F20"/>
          <w:spacing w:val="-19"/>
          <w:w w:val="105"/>
          <w:sz w:val="19"/>
        </w:rPr>
        <w:t xml:space="preserve"> </w:t>
      </w:r>
      <w:r>
        <w:rPr>
          <w:i/>
          <w:color w:val="231F20"/>
          <w:w w:val="105"/>
          <w:sz w:val="19"/>
        </w:rPr>
        <w:t>Her</w:t>
      </w:r>
      <w:r>
        <w:rPr>
          <w:i/>
          <w:color w:val="231F20"/>
          <w:spacing w:val="-14"/>
          <w:w w:val="105"/>
          <w:sz w:val="19"/>
        </w:rPr>
        <w:t xml:space="preserve"> </w:t>
      </w:r>
      <w:r>
        <w:rPr>
          <w:i/>
          <w:color w:val="231F20"/>
          <w:w w:val="105"/>
          <w:sz w:val="19"/>
        </w:rPr>
        <w:t>last</w:t>
      </w:r>
      <w:r>
        <w:rPr>
          <w:i/>
          <w:color w:val="231F20"/>
          <w:spacing w:val="-14"/>
          <w:w w:val="105"/>
          <w:sz w:val="19"/>
        </w:rPr>
        <w:t xml:space="preserve"> </w:t>
      </w:r>
      <w:r>
        <w:rPr>
          <w:i/>
          <w:color w:val="231F20"/>
          <w:w w:val="105"/>
          <w:sz w:val="19"/>
        </w:rPr>
        <w:t>recollection</w:t>
      </w:r>
      <w:r>
        <w:rPr>
          <w:i/>
          <w:color w:val="231F20"/>
          <w:spacing w:val="-14"/>
          <w:w w:val="105"/>
          <w:sz w:val="19"/>
        </w:rPr>
        <w:t xml:space="preserve"> </w:t>
      </w:r>
      <w:r>
        <w:rPr>
          <w:i/>
          <w:color w:val="231F20"/>
          <w:w w:val="105"/>
          <w:sz w:val="19"/>
        </w:rPr>
        <w:t>before</w:t>
      </w:r>
      <w:r>
        <w:rPr>
          <w:i/>
          <w:color w:val="231F20"/>
          <w:spacing w:val="-14"/>
          <w:w w:val="105"/>
          <w:sz w:val="19"/>
        </w:rPr>
        <w:t xml:space="preserve"> </w:t>
      </w:r>
      <w:r>
        <w:rPr>
          <w:i/>
          <w:color w:val="231F20"/>
          <w:w w:val="105"/>
          <w:sz w:val="19"/>
        </w:rPr>
        <w:t xml:space="preserve">losing consciousness was two distant bangs and a high-pitched noise. This occurred </w:t>
      </w:r>
      <w:r>
        <w:rPr>
          <w:i/>
          <w:color w:val="231F20"/>
          <w:spacing w:val="-5"/>
          <w:w w:val="105"/>
          <w:sz w:val="19"/>
        </w:rPr>
        <w:t xml:space="preserve">Tuesday, </w:t>
      </w:r>
      <w:r>
        <w:rPr>
          <w:i/>
          <w:color w:val="231F20"/>
          <w:w w:val="105"/>
          <w:sz w:val="19"/>
        </w:rPr>
        <w:t xml:space="preserve">October </w:t>
      </w:r>
      <w:r>
        <w:rPr>
          <w:rFonts w:ascii="Bookman Old Style" w:hAnsi="Bookman Old Style"/>
          <w:i/>
          <w:color w:val="231F20"/>
          <w:w w:val="105"/>
          <w:sz w:val="19"/>
        </w:rPr>
        <w:t>18</w:t>
      </w:r>
      <w:r>
        <w:rPr>
          <w:i/>
          <w:color w:val="231F20"/>
          <w:w w:val="105"/>
          <w:sz w:val="19"/>
        </w:rPr>
        <w:t xml:space="preserve">, </w:t>
      </w:r>
      <w:r>
        <w:rPr>
          <w:rFonts w:ascii="Bookman Old Style" w:hAnsi="Bookman Old Style"/>
          <w:i/>
          <w:color w:val="231F20"/>
          <w:w w:val="105"/>
          <w:sz w:val="19"/>
        </w:rPr>
        <w:t xml:space="preserve">1977, </w:t>
      </w:r>
      <w:r>
        <w:rPr>
          <w:i/>
          <w:color w:val="231F20"/>
          <w:w w:val="105"/>
          <w:sz w:val="19"/>
        </w:rPr>
        <w:t xml:space="preserve">at </w:t>
      </w:r>
      <w:r>
        <w:rPr>
          <w:rFonts w:ascii="Bookman Old Style" w:hAnsi="Bookman Old Style"/>
          <w:i/>
          <w:color w:val="231F20"/>
          <w:w w:val="105"/>
          <w:sz w:val="19"/>
        </w:rPr>
        <w:t>4</w:t>
      </w:r>
      <w:r>
        <w:rPr>
          <w:i/>
          <w:color w:val="231F20"/>
          <w:w w:val="105"/>
          <w:sz w:val="19"/>
        </w:rPr>
        <w:t>:</w:t>
      </w:r>
      <w:r>
        <w:rPr>
          <w:rFonts w:ascii="Bookman Old Style" w:hAnsi="Bookman Old Style"/>
          <w:i/>
          <w:color w:val="231F20"/>
          <w:w w:val="105"/>
          <w:sz w:val="19"/>
        </w:rPr>
        <w:t>30</w:t>
      </w:r>
      <w:r>
        <w:rPr>
          <w:rFonts w:ascii="Bookman Old Style" w:hAnsi="Bookman Old Style"/>
          <w:i/>
          <w:color w:val="231F20"/>
          <w:spacing w:val="-48"/>
          <w:w w:val="105"/>
          <w:sz w:val="19"/>
        </w:rPr>
        <w:t xml:space="preserve"> </w:t>
      </w:r>
      <w:r>
        <w:rPr>
          <w:rFonts w:ascii="Bookman Old Style" w:hAnsi="Bookman Old Style"/>
          <w:i/>
          <w:color w:val="231F20"/>
          <w:w w:val="105"/>
          <w:sz w:val="19"/>
          <w:vertAlign w:val="subscript"/>
        </w:rPr>
        <w:t>am</w:t>
      </w:r>
      <w:r>
        <w:rPr>
          <w:i/>
          <w:color w:val="231F20"/>
          <w:w w:val="105"/>
          <w:sz w:val="19"/>
        </w:rPr>
        <w:t>.</w:t>
      </w:r>
    </w:p>
    <w:p w14:paraId="385DDF5A" w14:textId="77777777" w:rsidR="002653E8" w:rsidRDefault="003115E3">
      <w:pPr>
        <w:spacing w:before="37"/>
        <w:ind w:left="3125"/>
        <w:rPr>
          <w:sz w:val="11"/>
        </w:rPr>
      </w:pPr>
      <w:r>
        <w:rPr>
          <w:color w:val="231F20"/>
          <w:sz w:val="19"/>
        </w:rPr>
        <w:t>Jutta Bahr-Jentges, Irmgard Möller’s attorney</w:t>
      </w:r>
      <w:r>
        <w:rPr>
          <w:color w:val="231F20"/>
          <w:position w:val="6"/>
          <w:sz w:val="11"/>
        </w:rPr>
        <w:t>2</w:t>
      </w:r>
    </w:p>
    <w:p w14:paraId="044E51D2" w14:textId="77777777" w:rsidR="002653E8" w:rsidRDefault="002653E8">
      <w:pPr>
        <w:pStyle w:val="a3"/>
        <w:rPr>
          <w:sz w:val="22"/>
        </w:rPr>
      </w:pPr>
    </w:p>
    <w:p w14:paraId="4BA59BC3" w14:textId="77777777" w:rsidR="002653E8" w:rsidRDefault="002653E8">
      <w:pPr>
        <w:pStyle w:val="a3"/>
        <w:spacing w:before="11"/>
        <w:rPr>
          <w:sz w:val="27"/>
        </w:rPr>
      </w:pPr>
    </w:p>
    <w:p w14:paraId="2B5563B4" w14:textId="2CA5CAFE" w:rsidR="002653E8" w:rsidRDefault="00754B0F">
      <w:pPr>
        <w:pStyle w:val="a3"/>
        <w:spacing w:line="235" w:lineRule="auto"/>
        <w:ind w:left="1147" w:right="1326"/>
        <w:jc w:val="both"/>
        <w:rPr>
          <w:sz w:val="11"/>
        </w:rPr>
      </w:pPr>
      <w:r>
        <w:rPr>
          <w:rFonts w:ascii="Verdana" w:hAnsi="Verdana"/>
          <w:color w:val="231F20"/>
          <w:sz w:val="48"/>
        </w:rPr>
        <w:t>\</w:t>
      </w:r>
      <w:r w:rsidR="003115E3">
        <w:rPr>
          <w:rFonts w:ascii="Verdana" w:hAnsi="Verdana"/>
          <w:color w:val="231F20"/>
          <w:sz w:val="48"/>
        </w:rPr>
        <w:t>W</w:t>
      </w:r>
      <w:r w:rsidR="003115E3">
        <w:rPr>
          <w:color w:val="231F20"/>
          <w:w w:val="119"/>
        </w:rPr>
        <w:t>i</w:t>
      </w:r>
      <w:r w:rsidR="003115E3">
        <w:rPr>
          <w:color w:val="231F20"/>
          <w:w w:val="147"/>
        </w:rPr>
        <w:t>t</w:t>
      </w:r>
      <w:r w:rsidR="003115E3">
        <w:rPr>
          <w:color w:val="231F20"/>
          <w:w w:val="120"/>
        </w:rPr>
        <w:t>h</w:t>
      </w:r>
      <w:r w:rsidR="003115E3">
        <w:rPr>
          <w:color w:val="231F20"/>
          <w:w w:val="119"/>
        </w:rPr>
        <w:t>i</w:t>
      </w:r>
      <w:r w:rsidR="003115E3">
        <w:rPr>
          <w:color w:val="231F20"/>
          <w:w w:val="109"/>
        </w:rPr>
        <w:t>n</w:t>
      </w:r>
      <w:r w:rsidR="003115E3">
        <w:rPr>
          <w:color w:val="231F20"/>
        </w:rPr>
        <w:t xml:space="preserve"> </w:t>
      </w:r>
      <w:r w:rsidR="003115E3">
        <w:rPr>
          <w:color w:val="231F20"/>
          <w:w w:val="165"/>
        </w:rPr>
        <w:t>f</w:t>
      </w:r>
      <w:r w:rsidR="003115E3">
        <w:rPr>
          <w:color w:val="231F20"/>
          <w:w w:val="119"/>
        </w:rPr>
        <w:t>i</w:t>
      </w:r>
      <w:r w:rsidR="003115E3">
        <w:rPr>
          <w:color w:val="231F20"/>
          <w:w w:val="110"/>
        </w:rPr>
        <w:t>v</w:t>
      </w:r>
      <w:r w:rsidR="003115E3">
        <w:rPr>
          <w:color w:val="231F20"/>
          <w:w w:val="102"/>
        </w:rPr>
        <w:t>e</w:t>
      </w:r>
      <w:r w:rsidR="003115E3">
        <w:rPr>
          <w:color w:val="231F20"/>
        </w:rPr>
        <w:t xml:space="preserve"> </w:t>
      </w:r>
      <w:r w:rsidR="003115E3">
        <w:rPr>
          <w:color w:val="231F20"/>
          <w:w w:val="93"/>
        </w:rPr>
        <w:t>m</w:t>
      </w:r>
      <w:r w:rsidR="003115E3">
        <w:rPr>
          <w:color w:val="231F20"/>
          <w:w w:val="125"/>
        </w:rPr>
        <w:t>o</w:t>
      </w:r>
      <w:r w:rsidR="003115E3">
        <w:rPr>
          <w:color w:val="231F20"/>
          <w:w w:val="109"/>
        </w:rPr>
        <w:t>n</w:t>
      </w:r>
      <w:r w:rsidR="003115E3">
        <w:rPr>
          <w:color w:val="231F20"/>
          <w:w w:val="147"/>
        </w:rPr>
        <w:t>t</w:t>
      </w:r>
      <w:r w:rsidR="003115E3">
        <w:rPr>
          <w:color w:val="231F20"/>
          <w:w w:val="120"/>
        </w:rPr>
        <w:t>h</w:t>
      </w:r>
      <w:r w:rsidR="003115E3">
        <w:rPr>
          <w:color w:val="231F20"/>
          <w:w w:val="103"/>
        </w:rPr>
        <w:t>s</w:t>
      </w:r>
      <w:r w:rsidR="003115E3">
        <w:rPr>
          <w:color w:val="231F20"/>
        </w:rPr>
        <w:t xml:space="preserve"> </w:t>
      </w:r>
      <w:r w:rsidR="003115E3">
        <w:rPr>
          <w:color w:val="231F20"/>
          <w:w w:val="125"/>
        </w:rPr>
        <w:t>o</w:t>
      </w:r>
      <w:r w:rsidR="003115E3">
        <w:rPr>
          <w:color w:val="231F20"/>
          <w:w w:val="165"/>
        </w:rPr>
        <w:t>f</w:t>
      </w:r>
      <w:r w:rsidR="003115E3">
        <w:rPr>
          <w:color w:val="231F20"/>
        </w:rPr>
        <w:t xml:space="preserve"> </w:t>
      </w:r>
      <w:r w:rsidR="003115E3">
        <w:rPr>
          <w:color w:val="231F20"/>
          <w:w w:val="147"/>
        </w:rPr>
        <w:t>t</w:t>
      </w:r>
      <w:r w:rsidR="003115E3">
        <w:rPr>
          <w:color w:val="231F20"/>
          <w:w w:val="120"/>
        </w:rPr>
        <w:t>h</w:t>
      </w:r>
      <w:r w:rsidR="003115E3">
        <w:rPr>
          <w:color w:val="231F20"/>
          <w:w w:val="102"/>
        </w:rPr>
        <w:t>e</w:t>
      </w:r>
      <w:r w:rsidR="003115E3">
        <w:rPr>
          <w:color w:val="231F20"/>
          <w:w w:val="119"/>
        </w:rPr>
        <w:t>i</w:t>
      </w:r>
      <w:r w:rsidR="003115E3">
        <w:rPr>
          <w:color w:val="231F20"/>
          <w:w w:val="134"/>
        </w:rPr>
        <w:t>r</w:t>
      </w:r>
      <w:r w:rsidR="003115E3">
        <w:rPr>
          <w:color w:val="231F20"/>
        </w:rPr>
        <w:t xml:space="preserve">  d</w:t>
      </w:r>
      <w:r w:rsidR="003115E3">
        <w:rPr>
          <w:color w:val="231F20"/>
          <w:w w:val="91"/>
        </w:rPr>
        <w:t>e</w:t>
      </w:r>
      <w:r w:rsidR="003115E3">
        <w:rPr>
          <w:color w:val="231F20"/>
          <w:w w:val="102"/>
        </w:rPr>
        <w:t>a</w:t>
      </w:r>
      <w:r w:rsidR="003115E3">
        <w:rPr>
          <w:color w:val="231F20"/>
          <w:w w:val="98"/>
        </w:rPr>
        <w:t>t</w:t>
      </w:r>
      <w:r w:rsidR="003115E3">
        <w:rPr>
          <w:color w:val="231F20"/>
        </w:rPr>
        <w:t>h</w:t>
      </w:r>
      <w:r w:rsidR="003115E3">
        <w:rPr>
          <w:color w:val="231F20"/>
          <w:w w:val="90"/>
        </w:rPr>
        <w:t>s</w:t>
      </w:r>
      <w:r w:rsidR="003115E3">
        <w:rPr>
          <w:color w:val="231F20"/>
          <w:w w:val="135"/>
        </w:rPr>
        <w:t>,</w:t>
      </w:r>
      <w:r w:rsidR="003115E3">
        <w:rPr>
          <w:color w:val="231F20"/>
        </w:rPr>
        <w:t xml:space="preserve"> </w:t>
      </w:r>
      <w:r w:rsidR="003115E3">
        <w:rPr>
          <w:color w:val="231F20"/>
          <w:w w:val="102"/>
        </w:rPr>
        <w:t>a</w:t>
      </w:r>
      <w:r w:rsidR="003115E3">
        <w:rPr>
          <w:color w:val="231F20"/>
        </w:rPr>
        <w:t xml:space="preserve"> </w:t>
      </w:r>
      <w:r w:rsidR="003115E3">
        <w:rPr>
          <w:color w:val="231F20"/>
          <w:w w:val="101"/>
        </w:rPr>
        <w:t>g</w:t>
      </w:r>
      <w:r w:rsidR="003115E3">
        <w:rPr>
          <w:color w:val="231F20"/>
          <w:w w:val="104"/>
        </w:rPr>
        <w:t>o</w:t>
      </w:r>
      <w:r w:rsidR="003115E3">
        <w:rPr>
          <w:color w:val="231F20"/>
          <w:w w:val="99"/>
        </w:rPr>
        <w:t>v</w:t>
      </w:r>
      <w:r w:rsidR="003115E3">
        <w:rPr>
          <w:color w:val="231F20"/>
          <w:w w:val="92"/>
        </w:rPr>
        <w:t>er</w:t>
      </w:r>
      <w:r w:rsidR="003115E3">
        <w:rPr>
          <w:color w:val="231F20"/>
          <w:w w:val="99"/>
        </w:rPr>
        <w:t>nm</w:t>
      </w:r>
      <w:r w:rsidR="003115E3">
        <w:rPr>
          <w:color w:val="231F20"/>
          <w:w w:val="91"/>
        </w:rPr>
        <w:t>e</w:t>
      </w:r>
      <w:r w:rsidR="003115E3">
        <w:rPr>
          <w:color w:val="231F20"/>
          <w:w w:val="99"/>
        </w:rPr>
        <w:t>n</w:t>
      </w:r>
      <w:r w:rsidR="003115E3">
        <w:rPr>
          <w:color w:val="231F20"/>
          <w:w w:val="98"/>
        </w:rPr>
        <w:t>t</w:t>
      </w:r>
      <w:r w:rsidR="003115E3">
        <w:rPr>
          <w:color w:val="231F20"/>
        </w:rPr>
        <w:t xml:space="preserve"> c</w:t>
      </w:r>
      <w:r w:rsidR="003115E3">
        <w:rPr>
          <w:color w:val="231F20"/>
          <w:w w:val="104"/>
        </w:rPr>
        <w:t>o</w:t>
      </w:r>
      <w:r w:rsidR="003115E3">
        <w:rPr>
          <w:color w:val="231F20"/>
          <w:w w:val="99"/>
        </w:rPr>
        <w:t>mm</w:t>
      </w:r>
      <w:r w:rsidR="003115E3">
        <w:rPr>
          <w:color w:val="231F20"/>
        </w:rPr>
        <w:t>i</w:t>
      </w:r>
      <w:r w:rsidR="003115E3">
        <w:rPr>
          <w:color w:val="231F20"/>
          <w:w w:val="90"/>
        </w:rPr>
        <w:t>ss</w:t>
      </w:r>
      <w:r w:rsidR="003115E3">
        <w:rPr>
          <w:color w:val="231F20"/>
        </w:rPr>
        <w:t>i</w:t>
      </w:r>
      <w:r w:rsidR="003115E3">
        <w:rPr>
          <w:color w:val="231F20"/>
          <w:w w:val="104"/>
        </w:rPr>
        <w:t>o</w:t>
      </w:r>
      <w:r w:rsidR="003115E3">
        <w:rPr>
          <w:color w:val="231F20"/>
          <w:w w:val="99"/>
        </w:rPr>
        <w:t xml:space="preserve">n </w:t>
      </w:r>
      <w:r w:rsidR="003115E3">
        <w:rPr>
          <w:color w:val="231F20"/>
          <w:w w:val="105"/>
        </w:rPr>
        <w:t>of inquiry ruled that Gudrun Ensslin, Jan-Carl Raspe, and Andreas Baader had killed themselves in a “collective suicide.”</w:t>
      </w:r>
      <w:r w:rsidR="003115E3">
        <w:rPr>
          <w:color w:val="231F20"/>
          <w:w w:val="105"/>
          <w:position w:val="7"/>
          <w:sz w:val="11"/>
        </w:rPr>
        <w:t>3</w:t>
      </w:r>
    </w:p>
    <w:p w14:paraId="05DEBE65" w14:textId="77777777" w:rsidR="002653E8" w:rsidRDefault="003115E3">
      <w:pPr>
        <w:pStyle w:val="a3"/>
        <w:spacing w:before="23" w:line="264" w:lineRule="auto"/>
        <w:ind w:left="1148" w:right="1325" w:firstLine="209"/>
        <w:jc w:val="both"/>
      </w:pPr>
      <w:r>
        <w:rPr>
          <w:color w:val="231F20"/>
        </w:rPr>
        <w:t>Much as in the case of Meinhof’s death, in time the available historical sources would come to almost unanimously parrot the state’s suicide story, generally with a dismissive reference to “conspiracy theories” some extremists might hold to the contrary. In both cases, evidence which points to state murder is simply never mentioned, leaving casual readers with the impression that any such claims must indeed be evidence of the irrationality or cultishness of the guerilla’s supporters.</w:t>
      </w:r>
    </w:p>
    <w:p w14:paraId="4D3ADF8A" w14:textId="77777777" w:rsidR="002653E8" w:rsidRDefault="00000000">
      <w:pPr>
        <w:pStyle w:val="a3"/>
        <w:spacing w:before="8"/>
        <w:rPr>
          <w:sz w:val="27"/>
        </w:rPr>
      </w:pPr>
      <w:r>
        <w:rPr>
          <w:noProof w:val="0"/>
        </w:rPr>
        <w:pict w14:anchorId="10B8328D">
          <v:line id="_x0000_s2170" style="position:absolute;z-index:10528;mso-wrap-distance-left:0;mso-wrap-distance-right:0;mso-position-horizontal-relative:page" from="57.4pt,18.45pt" to="129.4pt,18.45pt" strokecolor="#231f20" strokeweight=".5pt">
            <w10:wrap type="topAndBottom" anchorx="page"/>
          </v:line>
        </w:pict>
      </w:r>
    </w:p>
    <w:p w14:paraId="669E8979" w14:textId="77777777" w:rsidR="002653E8" w:rsidRPr="00846956" w:rsidRDefault="003115E3">
      <w:pPr>
        <w:pStyle w:val="a4"/>
        <w:numPr>
          <w:ilvl w:val="0"/>
          <w:numId w:val="52"/>
        </w:numPr>
        <w:tabs>
          <w:tab w:val="left" w:pos="1287"/>
        </w:tabs>
        <w:spacing w:before="53"/>
        <w:ind w:hanging="1"/>
        <w:jc w:val="left"/>
        <w:rPr>
          <w:sz w:val="16"/>
          <w:lang w:val="de-DE"/>
        </w:rPr>
      </w:pPr>
      <w:r w:rsidRPr="00846956">
        <w:rPr>
          <w:color w:val="231F20"/>
          <w:w w:val="110"/>
          <w:sz w:val="16"/>
          <w:lang w:val="de-DE"/>
        </w:rPr>
        <w:t>Ron</w:t>
      </w:r>
      <w:r w:rsidRPr="00846956">
        <w:rPr>
          <w:color w:val="231F20"/>
          <w:spacing w:val="3"/>
          <w:w w:val="110"/>
          <w:sz w:val="16"/>
          <w:lang w:val="de-DE"/>
        </w:rPr>
        <w:t xml:space="preserve"> </w:t>
      </w:r>
      <w:r w:rsidRPr="00846956">
        <w:rPr>
          <w:color w:val="231F20"/>
          <w:w w:val="110"/>
          <w:sz w:val="16"/>
          <w:lang w:val="de-DE"/>
        </w:rPr>
        <w:t>Augustin,</w:t>
      </w:r>
      <w:r w:rsidRPr="00846956">
        <w:rPr>
          <w:color w:val="231F20"/>
          <w:spacing w:val="3"/>
          <w:w w:val="110"/>
          <w:sz w:val="16"/>
          <w:lang w:val="de-DE"/>
        </w:rPr>
        <w:t xml:space="preserve"> </w:t>
      </w:r>
      <w:r w:rsidRPr="00846956">
        <w:rPr>
          <w:color w:val="231F20"/>
          <w:w w:val="110"/>
          <w:sz w:val="16"/>
          <w:lang w:val="de-DE"/>
        </w:rPr>
        <w:t>“Der</w:t>
      </w:r>
      <w:r w:rsidRPr="00846956">
        <w:rPr>
          <w:color w:val="231F20"/>
          <w:spacing w:val="3"/>
          <w:w w:val="110"/>
          <w:sz w:val="16"/>
          <w:lang w:val="de-DE"/>
        </w:rPr>
        <w:t xml:space="preserve"> </w:t>
      </w:r>
      <w:r w:rsidRPr="00846956">
        <w:rPr>
          <w:color w:val="231F20"/>
          <w:w w:val="110"/>
          <w:sz w:val="16"/>
          <w:lang w:val="de-DE"/>
        </w:rPr>
        <w:t>zweite</w:t>
      </w:r>
      <w:r w:rsidRPr="00846956">
        <w:rPr>
          <w:color w:val="231F20"/>
          <w:spacing w:val="3"/>
          <w:w w:val="110"/>
          <w:sz w:val="16"/>
          <w:lang w:val="de-DE"/>
        </w:rPr>
        <w:t xml:space="preserve"> </w:t>
      </w:r>
      <w:r w:rsidRPr="00846956">
        <w:rPr>
          <w:color w:val="231F20"/>
          <w:spacing w:val="-4"/>
          <w:w w:val="110"/>
          <w:sz w:val="16"/>
          <w:lang w:val="de-DE"/>
        </w:rPr>
        <w:t>Tod,”</w:t>
      </w:r>
      <w:r w:rsidRPr="00846956">
        <w:rPr>
          <w:color w:val="231F20"/>
          <w:spacing w:val="5"/>
          <w:w w:val="110"/>
          <w:sz w:val="16"/>
          <w:lang w:val="de-DE"/>
        </w:rPr>
        <w:t xml:space="preserve"> </w:t>
      </w:r>
      <w:r w:rsidRPr="00846956">
        <w:rPr>
          <w:i/>
          <w:color w:val="231F20"/>
          <w:w w:val="110"/>
          <w:sz w:val="16"/>
          <w:lang w:val="de-DE"/>
        </w:rPr>
        <w:t>Junge</w:t>
      </w:r>
      <w:r w:rsidRPr="00846956">
        <w:rPr>
          <w:i/>
          <w:color w:val="231F20"/>
          <w:spacing w:val="3"/>
          <w:w w:val="110"/>
          <w:sz w:val="16"/>
          <w:lang w:val="de-DE"/>
        </w:rPr>
        <w:t xml:space="preserve"> </w:t>
      </w:r>
      <w:r w:rsidRPr="00846956">
        <w:rPr>
          <w:i/>
          <w:color w:val="231F20"/>
          <w:w w:val="110"/>
          <w:sz w:val="16"/>
          <w:lang w:val="de-DE"/>
        </w:rPr>
        <w:t>Welt</w:t>
      </w:r>
      <w:r w:rsidRPr="00846956">
        <w:rPr>
          <w:i/>
          <w:color w:val="231F20"/>
          <w:spacing w:val="5"/>
          <w:w w:val="110"/>
          <w:sz w:val="16"/>
          <w:lang w:val="de-DE"/>
        </w:rPr>
        <w:t xml:space="preserve"> </w:t>
      </w:r>
      <w:r w:rsidRPr="00846956">
        <w:rPr>
          <w:color w:val="231F20"/>
          <w:w w:val="110"/>
          <w:sz w:val="16"/>
          <w:lang w:val="de-DE"/>
        </w:rPr>
        <w:t>[online],</w:t>
      </w:r>
      <w:r w:rsidRPr="00846956">
        <w:rPr>
          <w:color w:val="231F20"/>
          <w:spacing w:val="3"/>
          <w:w w:val="110"/>
          <w:sz w:val="16"/>
          <w:lang w:val="de-DE"/>
        </w:rPr>
        <w:t xml:space="preserve"> </w:t>
      </w:r>
      <w:r w:rsidRPr="00846956">
        <w:rPr>
          <w:color w:val="231F20"/>
          <w:w w:val="110"/>
          <w:sz w:val="16"/>
          <w:lang w:val="de-DE"/>
        </w:rPr>
        <w:t>September</w:t>
      </w:r>
      <w:r w:rsidRPr="00846956">
        <w:rPr>
          <w:color w:val="231F20"/>
          <w:spacing w:val="3"/>
          <w:w w:val="110"/>
          <w:sz w:val="16"/>
          <w:lang w:val="de-DE"/>
        </w:rPr>
        <w:t xml:space="preserve"> </w:t>
      </w:r>
      <w:r w:rsidRPr="00846956">
        <w:rPr>
          <w:color w:val="231F20"/>
          <w:w w:val="110"/>
          <w:sz w:val="16"/>
          <w:lang w:val="de-DE"/>
        </w:rPr>
        <w:t>10,</w:t>
      </w:r>
      <w:r w:rsidRPr="00846956">
        <w:rPr>
          <w:color w:val="231F20"/>
          <w:spacing w:val="3"/>
          <w:w w:val="110"/>
          <w:sz w:val="16"/>
          <w:lang w:val="de-DE"/>
        </w:rPr>
        <w:t xml:space="preserve"> </w:t>
      </w:r>
      <w:r w:rsidRPr="00846956">
        <w:rPr>
          <w:color w:val="231F20"/>
          <w:w w:val="110"/>
          <w:sz w:val="16"/>
          <w:lang w:val="de-DE"/>
        </w:rPr>
        <w:t>2007.</w:t>
      </w:r>
    </w:p>
    <w:p w14:paraId="6B0CC6B7" w14:textId="77777777" w:rsidR="002653E8" w:rsidRDefault="003115E3">
      <w:pPr>
        <w:pStyle w:val="a4"/>
        <w:numPr>
          <w:ilvl w:val="0"/>
          <w:numId w:val="52"/>
        </w:numPr>
        <w:tabs>
          <w:tab w:val="left" w:pos="1287"/>
        </w:tabs>
        <w:spacing w:before="51" w:line="254" w:lineRule="auto"/>
        <w:ind w:right="1378" w:firstLine="0"/>
        <w:jc w:val="left"/>
        <w:rPr>
          <w:sz w:val="16"/>
        </w:rPr>
      </w:pPr>
      <w:r>
        <w:rPr>
          <w:color w:val="231F20"/>
          <w:w w:val="105"/>
          <w:sz w:val="16"/>
        </w:rPr>
        <w:t xml:space="preserve">Text from an untitled movement flier widely distributed in the years following the </w:t>
      </w:r>
      <w:r>
        <w:rPr>
          <w:color w:val="231F20"/>
          <w:spacing w:val="1"/>
          <w:w w:val="105"/>
          <w:sz w:val="16"/>
        </w:rPr>
        <w:t>Stammheim</w:t>
      </w:r>
      <w:r>
        <w:rPr>
          <w:color w:val="231F20"/>
          <w:spacing w:val="5"/>
          <w:w w:val="105"/>
          <w:sz w:val="16"/>
        </w:rPr>
        <w:t xml:space="preserve"> </w:t>
      </w:r>
      <w:r>
        <w:rPr>
          <w:color w:val="231F20"/>
          <w:w w:val="105"/>
          <w:sz w:val="16"/>
        </w:rPr>
        <w:t>deaths.</w:t>
      </w:r>
      <w:r>
        <w:rPr>
          <w:color w:val="231F20"/>
          <w:spacing w:val="5"/>
          <w:w w:val="105"/>
          <w:sz w:val="16"/>
        </w:rPr>
        <w:t xml:space="preserve"> </w:t>
      </w:r>
      <w:r>
        <w:rPr>
          <w:color w:val="231F20"/>
          <w:w w:val="105"/>
          <w:sz w:val="16"/>
        </w:rPr>
        <w:t>Möller</w:t>
      </w:r>
      <w:r>
        <w:rPr>
          <w:color w:val="231F20"/>
          <w:spacing w:val="5"/>
          <w:w w:val="105"/>
          <w:sz w:val="16"/>
        </w:rPr>
        <w:t xml:space="preserve"> </w:t>
      </w:r>
      <w:r>
        <w:rPr>
          <w:color w:val="231F20"/>
          <w:w w:val="105"/>
          <w:sz w:val="16"/>
        </w:rPr>
        <w:t>has</w:t>
      </w:r>
      <w:r>
        <w:rPr>
          <w:color w:val="231F20"/>
          <w:spacing w:val="5"/>
          <w:w w:val="105"/>
          <w:sz w:val="16"/>
        </w:rPr>
        <w:t xml:space="preserve"> </w:t>
      </w:r>
      <w:r>
        <w:rPr>
          <w:color w:val="231F20"/>
          <w:w w:val="105"/>
          <w:sz w:val="16"/>
        </w:rPr>
        <w:t>repeated</w:t>
      </w:r>
      <w:r>
        <w:rPr>
          <w:color w:val="231F20"/>
          <w:spacing w:val="5"/>
          <w:w w:val="105"/>
          <w:sz w:val="16"/>
        </w:rPr>
        <w:t xml:space="preserve"> </w:t>
      </w:r>
      <w:r>
        <w:rPr>
          <w:color w:val="231F20"/>
          <w:w w:val="105"/>
          <w:sz w:val="16"/>
        </w:rPr>
        <w:t>these</w:t>
      </w:r>
      <w:r>
        <w:rPr>
          <w:color w:val="231F20"/>
          <w:spacing w:val="5"/>
          <w:w w:val="105"/>
          <w:sz w:val="16"/>
        </w:rPr>
        <w:t xml:space="preserve"> </w:t>
      </w:r>
      <w:r>
        <w:rPr>
          <w:color w:val="231F20"/>
          <w:w w:val="105"/>
          <w:sz w:val="16"/>
        </w:rPr>
        <w:t>facts</w:t>
      </w:r>
      <w:r>
        <w:rPr>
          <w:color w:val="231F20"/>
          <w:spacing w:val="5"/>
          <w:w w:val="105"/>
          <w:sz w:val="16"/>
        </w:rPr>
        <w:t xml:space="preserve"> </w:t>
      </w:r>
      <w:r>
        <w:rPr>
          <w:color w:val="231F20"/>
          <w:w w:val="105"/>
          <w:sz w:val="16"/>
        </w:rPr>
        <w:t>numerous</w:t>
      </w:r>
      <w:r>
        <w:rPr>
          <w:color w:val="231F20"/>
          <w:spacing w:val="5"/>
          <w:w w:val="105"/>
          <w:sz w:val="16"/>
        </w:rPr>
        <w:t xml:space="preserve"> </w:t>
      </w:r>
      <w:r>
        <w:rPr>
          <w:color w:val="231F20"/>
          <w:w w:val="105"/>
          <w:sz w:val="16"/>
        </w:rPr>
        <w:t>times</w:t>
      </w:r>
      <w:r>
        <w:rPr>
          <w:color w:val="231F20"/>
          <w:spacing w:val="5"/>
          <w:w w:val="105"/>
          <w:sz w:val="16"/>
        </w:rPr>
        <w:t xml:space="preserve"> </w:t>
      </w:r>
      <w:r>
        <w:rPr>
          <w:color w:val="231F20"/>
          <w:w w:val="105"/>
          <w:sz w:val="16"/>
        </w:rPr>
        <w:t>since.</w:t>
      </w:r>
    </w:p>
    <w:p w14:paraId="64303990" w14:textId="77777777" w:rsidR="002653E8" w:rsidRDefault="003115E3">
      <w:pPr>
        <w:pStyle w:val="a4"/>
        <w:numPr>
          <w:ilvl w:val="0"/>
          <w:numId w:val="52"/>
        </w:numPr>
        <w:tabs>
          <w:tab w:val="left" w:pos="1287"/>
        </w:tabs>
        <w:spacing w:line="254" w:lineRule="auto"/>
        <w:ind w:right="1681" w:firstLine="0"/>
        <w:jc w:val="left"/>
        <w:rPr>
          <w:sz w:val="16"/>
        </w:rPr>
      </w:pPr>
      <w:r>
        <w:rPr>
          <w:color w:val="231F20"/>
          <w:w w:val="110"/>
          <w:sz w:val="16"/>
        </w:rPr>
        <w:t xml:space="preserve">Associated Press, </w:t>
      </w:r>
      <w:r>
        <w:rPr>
          <w:color w:val="231F20"/>
          <w:spacing w:val="-5"/>
          <w:w w:val="110"/>
          <w:sz w:val="16"/>
        </w:rPr>
        <w:t xml:space="preserve">“3 </w:t>
      </w:r>
      <w:r>
        <w:rPr>
          <w:color w:val="231F20"/>
          <w:w w:val="110"/>
          <w:sz w:val="16"/>
        </w:rPr>
        <w:t xml:space="preserve">Terrorist Deaths Ruled ‘a Collective Suicide,’” </w:t>
      </w:r>
      <w:r>
        <w:rPr>
          <w:i/>
          <w:color w:val="231F20"/>
          <w:w w:val="110"/>
          <w:sz w:val="16"/>
        </w:rPr>
        <w:t xml:space="preserve">European Stars </w:t>
      </w:r>
      <w:r>
        <w:rPr>
          <w:i/>
          <w:color w:val="231F20"/>
          <w:spacing w:val="1"/>
          <w:w w:val="110"/>
          <w:sz w:val="16"/>
        </w:rPr>
        <w:t xml:space="preserve">and </w:t>
      </w:r>
      <w:r>
        <w:rPr>
          <w:i/>
          <w:color w:val="231F20"/>
          <w:w w:val="110"/>
          <w:sz w:val="16"/>
        </w:rPr>
        <w:t xml:space="preserve">Stripes, </w:t>
      </w:r>
      <w:r>
        <w:rPr>
          <w:color w:val="231F20"/>
          <w:w w:val="110"/>
          <w:sz w:val="16"/>
        </w:rPr>
        <w:t xml:space="preserve">February </w:t>
      </w:r>
      <w:r>
        <w:rPr>
          <w:color w:val="231F20"/>
          <w:spacing w:val="-5"/>
          <w:w w:val="110"/>
          <w:sz w:val="16"/>
        </w:rPr>
        <w:t>25,</w:t>
      </w:r>
      <w:r>
        <w:rPr>
          <w:color w:val="231F20"/>
          <w:spacing w:val="26"/>
          <w:w w:val="110"/>
          <w:sz w:val="16"/>
        </w:rPr>
        <w:t xml:space="preserve"> </w:t>
      </w:r>
      <w:r>
        <w:rPr>
          <w:color w:val="231F20"/>
          <w:w w:val="110"/>
          <w:sz w:val="16"/>
        </w:rPr>
        <w:t>1978.</w:t>
      </w:r>
    </w:p>
    <w:p w14:paraId="291D367C" w14:textId="77777777" w:rsidR="002653E8" w:rsidRDefault="002653E8">
      <w:pPr>
        <w:spacing w:line="254" w:lineRule="auto"/>
        <w:rPr>
          <w:sz w:val="16"/>
        </w:rPr>
        <w:sectPr w:rsidR="002653E8">
          <w:pgSz w:w="8640" w:h="12960"/>
          <w:pgMar w:top="1080" w:right="0" w:bottom="1040" w:left="0" w:header="0" w:footer="850" w:gutter="0"/>
          <w:cols w:space="720"/>
        </w:sectPr>
      </w:pPr>
    </w:p>
    <w:p w14:paraId="60BFFF79" w14:textId="77777777" w:rsidR="002653E8" w:rsidRDefault="002653E8">
      <w:pPr>
        <w:pStyle w:val="a3"/>
      </w:pPr>
    </w:p>
    <w:p w14:paraId="40B8A949" w14:textId="77777777" w:rsidR="002653E8" w:rsidRDefault="002653E8">
      <w:pPr>
        <w:pStyle w:val="a3"/>
      </w:pPr>
    </w:p>
    <w:p w14:paraId="074337AE" w14:textId="77777777" w:rsidR="002653E8" w:rsidRDefault="002653E8">
      <w:pPr>
        <w:pStyle w:val="a3"/>
      </w:pPr>
    </w:p>
    <w:p w14:paraId="38BBBFBD" w14:textId="77777777" w:rsidR="002653E8" w:rsidRDefault="002653E8">
      <w:pPr>
        <w:pStyle w:val="a3"/>
        <w:spacing w:before="5"/>
        <w:rPr>
          <w:sz w:val="24"/>
        </w:rPr>
      </w:pPr>
    </w:p>
    <w:p w14:paraId="15B791FA" w14:textId="77777777" w:rsidR="002653E8" w:rsidRDefault="003115E3">
      <w:pPr>
        <w:spacing w:before="96" w:line="244" w:lineRule="auto"/>
        <w:ind w:left="5193" w:right="2117"/>
        <w:rPr>
          <w:i/>
          <w:sz w:val="18"/>
        </w:rPr>
      </w:pPr>
      <w:r>
        <w:drawing>
          <wp:anchor distT="0" distB="0" distL="0" distR="0" simplePos="0" relativeHeight="10576" behindDoc="0" locked="0" layoutInCell="1" allowOverlap="1" wp14:anchorId="0577FEC7" wp14:editId="6775CA91">
            <wp:simplePos x="0" y="0"/>
            <wp:positionH relativeFrom="page">
              <wp:posOffset>843259</wp:posOffset>
            </wp:positionH>
            <wp:positionV relativeFrom="paragraph">
              <wp:posOffset>-626891</wp:posOffset>
            </wp:positionV>
            <wp:extent cx="2390871" cy="1068178"/>
            <wp:effectExtent l="0" t="0" r="0" b="0"/>
            <wp:wrapNone/>
            <wp:docPr id="7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6.png"/>
                    <pic:cNvPicPr/>
                  </pic:nvPicPr>
                  <pic:blipFill>
                    <a:blip r:embed="rId433" cstate="print"/>
                    <a:stretch>
                      <a:fillRect/>
                    </a:stretch>
                  </pic:blipFill>
                  <pic:spPr>
                    <a:xfrm>
                      <a:off x="0" y="0"/>
                      <a:ext cx="2390871" cy="1068178"/>
                    </a:xfrm>
                    <a:prstGeom prst="rect">
                      <a:avLst/>
                    </a:prstGeom>
                  </pic:spPr>
                </pic:pic>
              </a:graphicData>
            </a:graphic>
          </wp:anchor>
        </w:drawing>
      </w:r>
      <w:r>
        <w:rPr>
          <w:i/>
          <w:color w:val="231F20"/>
          <w:w w:val="110"/>
          <w:sz w:val="18"/>
        </w:rPr>
        <w:t>Gudrun Ensslin, Jan-Carl Raspe,</w:t>
      </w:r>
    </w:p>
    <w:p w14:paraId="3E67CEE8" w14:textId="77777777" w:rsidR="002653E8" w:rsidRDefault="003115E3">
      <w:pPr>
        <w:spacing w:before="2"/>
        <w:ind w:left="5193"/>
        <w:rPr>
          <w:i/>
          <w:sz w:val="18"/>
        </w:rPr>
      </w:pPr>
      <w:r>
        <w:rPr>
          <w:i/>
          <w:color w:val="231F20"/>
          <w:sz w:val="18"/>
        </w:rPr>
        <w:t>and Andreas Baader</w:t>
      </w:r>
    </w:p>
    <w:p w14:paraId="2F795EC4" w14:textId="77777777" w:rsidR="002653E8" w:rsidRDefault="002653E8">
      <w:pPr>
        <w:pStyle w:val="a3"/>
        <w:spacing w:before="9"/>
        <w:rPr>
          <w:i/>
          <w:sz w:val="14"/>
        </w:rPr>
      </w:pPr>
    </w:p>
    <w:p w14:paraId="5E355FCA" w14:textId="77777777" w:rsidR="002653E8" w:rsidRDefault="003115E3">
      <w:pPr>
        <w:pStyle w:val="a3"/>
        <w:spacing w:before="99" w:line="264" w:lineRule="auto"/>
        <w:ind w:left="1327" w:right="1145" w:firstLine="210"/>
        <w:jc w:val="both"/>
      </w:pPr>
      <w:r>
        <w:rPr>
          <w:color w:val="231F20"/>
        </w:rPr>
        <w:t xml:space="preserve">One sign of how far removed we are today from the </w:t>
      </w:r>
      <w:r w:rsidR="00C507A5">
        <w:rPr>
          <w:color w:val="231F20"/>
          <w:spacing w:val="1"/>
        </w:rPr>
        <w:t>red army faction</w:t>
      </w:r>
      <w:r>
        <w:rPr>
          <w:color w:val="231F20"/>
          <w:spacing w:val="1"/>
        </w:rPr>
        <w:t xml:space="preserve">’s </w:t>
      </w:r>
      <w:r>
        <w:rPr>
          <w:color w:val="231F20"/>
        </w:rPr>
        <w:t xml:space="preserve">heyday is that for some years </w:t>
      </w:r>
      <w:r>
        <w:rPr>
          <w:color w:val="231F20"/>
          <w:spacing w:val="-4"/>
        </w:rPr>
        <w:t xml:space="preserve">now, </w:t>
      </w:r>
      <w:r>
        <w:rPr>
          <w:color w:val="231F20"/>
        </w:rPr>
        <w:t xml:space="preserve">certain former guerillas have been echoing the state’s claims of suicide. While these former guerillas were themselves not held at Stammheim, and so have no more direct knowledge than    we do about what happened, such claims are deeply disturbing to those who supported the  </w:t>
      </w:r>
      <w:r w:rsidR="00C507A5">
        <w:rPr>
          <w:color w:val="231F20"/>
          <w:spacing w:val="5"/>
        </w:rPr>
        <w:t>red army faction</w:t>
      </w:r>
      <w:r>
        <w:rPr>
          <w:color w:val="231F20"/>
          <w:spacing w:val="5"/>
        </w:rPr>
        <w:t xml:space="preserve"> </w:t>
      </w:r>
      <w:r>
        <w:rPr>
          <w:color w:val="231F20"/>
        </w:rPr>
        <w:t xml:space="preserve">for many years. As we have seen, outrage at  the treatment of the prisoners, the torture and abuse which seemed to culminate in these murders, was the key factor bringing in new supporters throughout the seventies. Many of these people are now confronted with the </w:t>
      </w:r>
      <w:r>
        <w:rPr>
          <w:color w:val="231F20"/>
          <w:spacing w:val="1"/>
        </w:rPr>
        <w:t xml:space="preserve">painful </w:t>
      </w:r>
      <w:r>
        <w:rPr>
          <w:color w:val="231F20"/>
        </w:rPr>
        <w:t>possibility that the guerilla was willing to so cynically manipulate their</w:t>
      </w:r>
      <w:r>
        <w:rPr>
          <w:color w:val="231F20"/>
          <w:spacing w:val="21"/>
        </w:rPr>
        <w:t xml:space="preserve"> </w:t>
      </w:r>
      <w:r>
        <w:rPr>
          <w:color w:val="231F20"/>
        </w:rPr>
        <w:t>feelings.</w:t>
      </w:r>
    </w:p>
    <w:p w14:paraId="40A8B960" w14:textId="77777777" w:rsidR="002653E8" w:rsidRDefault="003115E3">
      <w:pPr>
        <w:pStyle w:val="a3"/>
        <w:spacing w:line="264" w:lineRule="auto"/>
        <w:ind w:left="1328" w:right="1146" w:firstLine="210"/>
        <w:jc w:val="both"/>
      </w:pPr>
      <w:r>
        <w:rPr>
          <w:color w:val="231F20"/>
        </w:rPr>
        <w:t xml:space="preserve">The editors of this volume cannot be certain of what happened that night in Stammheim. Nevertheless, as in the case of Ulrike Meinhof’s death in that prison, we feel there is compelling evidence pointing to state murder. While we keep an open mind, what follows are some of the reasons why we remain unconvinced by the state’s suicide story. As in the case of Meinhof, we consider the </w:t>
      </w:r>
      <w:r>
        <w:rPr>
          <w:color w:val="231F20"/>
          <w:spacing w:val="-2"/>
        </w:rPr>
        <w:t xml:space="preserve">way </w:t>
      </w:r>
      <w:r>
        <w:rPr>
          <w:color w:val="231F20"/>
        </w:rPr>
        <w:t>in which accounts of these latter Stammheim deaths gloss over these inconsistencies to be a sign of the</w:t>
      </w:r>
      <w:r>
        <w:rPr>
          <w:color w:val="231F20"/>
          <w:spacing w:val="10"/>
        </w:rPr>
        <w:t xml:space="preserve"> </w:t>
      </w:r>
      <w:r>
        <w:rPr>
          <w:color w:val="231F20"/>
        </w:rPr>
        <w:t>unhealthy</w:t>
      </w:r>
      <w:r>
        <w:rPr>
          <w:color w:val="231F20"/>
          <w:spacing w:val="10"/>
        </w:rPr>
        <w:t xml:space="preserve"> </w:t>
      </w:r>
      <w:r>
        <w:rPr>
          <w:color w:val="231F20"/>
        </w:rPr>
        <w:t>political</w:t>
      </w:r>
      <w:r>
        <w:rPr>
          <w:color w:val="231F20"/>
          <w:spacing w:val="10"/>
        </w:rPr>
        <w:t xml:space="preserve"> </w:t>
      </w:r>
      <w:r>
        <w:rPr>
          <w:color w:val="231F20"/>
        </w:rPr>
        <w:t>culture</w:t>
      </w:r>
      <w:r>
        <w:rPr>
          <w:color w:val="231F20"/>
          <w:spacing w:val="10"/>
        </w:rPr>
        <w:t xml:space="preserve"> </w:t>
      </w:r>
      <w:r>
        <w:rPr>
          <w:color w:val="231F20"/>
        </w:rPr>
        <w:t>we</w:t>
      </w:r>
      <w:r>
        <w:rPr>
          <w:color w:val="231F20"/>
          <w:spacing w:val="10"/>
        </w:rPr>
        <w:t xml:space="preserve"> </w:t>
      </w:r>
      <w:r>
        <w:rPr>
          <w:color w:val="231F20"/>
        </w:rPr>
        <w:t>live</w:t>
      </w:r>
      <w:r>
        <w:rPr>
          <w:color w:val="231F20"/>
          <w:spacing w:val="10"/>
        </w:rPr>
        <w:t xml:space="preserve"> </w:t>
      </w:r>
      <w:r>
        <w:rPr>
          <w:color w:val="231F20"/>
        </w:rPr>
        <w:t>in</w:t>
      </w:r>
      <w:r>
        <w:rPr>
          <w:color w:val="231F20"/>
          <w:spacing w:val="10"/>
        </w:rPr>
        <w:t xml:space="preserve"> </w:t>
      </w:r>
      <w:r>
        <w:rPr>
          <w:color w:val="231F20"/>
          <w:spacing w:val="-4"/>
        </w:rPr>
        <w:t>today.</w:t>
      </w:r>
    </w:p>
    <w:p w14:paraId="23DC6E6B" w14:textId="77777777" w:rsidR="002653E8" w:rsidRDefault="003115E3">
      <w:pPr>
        <w:pStyle w:val="a3"/>
        <w:spacing w:line="264" w:lineRule="auto"/>
        <w:ind w:left="1328" w:right="1145" w:firstLine="210"/>
        <w:jc w:val="both"/>
      </w:pPr>
      <w:r>
        <w:rPr>
          <w:color w:val="231F20"/>
        </w:rPr>
        <w:t>Andreas Baader and Jan-Carl Raspe died as a result of gunshot wounds, Gudrun Ensslin as a result of hanging, and the sole survivor, Irmgard Möller, suffered repeated stab wounds inflicted with a kitchen knife.</w:t>
      </w:r>
    </w:p>
    <w:p w14:paraId="5A84D0D7" w14:textId="77777777" w:rsidR="002653E8" w:rsidRDefault="003115E3">
      <w:pPr>
        <w:pStyle w:val="a3"/>
        <w:spacing w:line="264" w:lineRule="auto"/>
        <w:ind w:left="1328" w:right="1145" w:firstLine="210"/>
        <w:jc w:val="both"/>
        <w:rPr>
          <w:sz w:val="11"/>
        </w:rPr>
      </w:pPr>
      <w:r>
        <w:rPr>
          <w:color w:val="231F20"/>
        </w:rPr>
        <w:t xml:space="preserve">As the two men were alleged to have shot themselves, some explanation as to where the guns had come from was required. On October </w:t>
      </w:r>
      <w:r>
        <w:rPr>
          <w:color w:val="231F20"/>
          <w:spacing w:val="-8"/>
        </w:rPr>
        <w:t xml:space="preserve">27,   </w:t>
      </w:r>
      <w:r>
        <w:rPr>
          <w:color w:val="231F20"/>
        </w:rPr>
        <w:t>a spokesperson for the administration at Stammheim offered the necessary story. He stated that it was “not out of the question… that one     of the prisoners’ lawyers passed the contraband articles to a prisoner during a</w:t>
      </w:r>
      <w:r>
        <w:rPr>
          <w:color w:val="231F20"/>
          <w:spacing w:val="22"/>
        </w:rPr>
        <w:t xml:space="preserve"> </w:t>
      </w:r>
      <w:r>
        <w:rPr>
          <w:color w:val="231F20"/>
          <w:spacing w:val="-4"/>
        </w:rPr>
        <w:t>visit.”</w:t>
      </w:r>
      <w:r>
        <w:rPr>
          <w:color w:val="231F20"/>
          <w:spacing w:val="-4"/>
          <w:position w:val="7"/>
          <w:sz w:val="11"/>
        </w:rPr>
        <w:t>4</w:t>
      </w:r>
    </w:p>
    <w:p w14:paraId="344CBD5F" w14:textId="77777777" w:rsidR="002653E8" w:rsidRDefault="00000000">
      <w:pPr>
        <w:pStyle w:val="a3"/>
        <w:spacing w:before="9"/>
        <w:rPr>
          <w:sz w:val="17"/>
        </w:rPr>
      </w:pPr>
      <w:r>
        <w:rPr>
          <w:noProof w:val="0"/>
        </w:rPr>
        <w:pict w14:anchorId="2CE9184F">
          <v:line id="_x0000_s2169" style="position:absolute;z-index:10552;mso-wrap-distance-left:0;mso-wrap-distance-right:0;mso-position-horizontal-relative:page" from="66.4pt,12.6pt" to="138.4pt,12.6pt" strokecolor="#231f20" strokeweight=".5pt">
            <w10:wrap type="topAndBottom" anchorx="page"/>
          </v:line>
        </w:pict>
      </w:r>
    </w:p>
    <w:p w14:paraId="7F09A340" w14:textId="77777777" w:rsidR="002653E8" w:rsidRPr="00846956" w:rsidRDefault="003115E3">
      <w:pPr>
        <w:pStyle w:val="a4"/>
        <w:numPr>
          <w:ilvl w:val="0"/>
          <w:numId w:val="52"/>
        </w:numPr>
        <w:tabs>
          <w:tab w:val="left" w:pos="1467"/>
        </w:tabs>
        <w:spacing w:before="53" w:line="254" w:lineRule="auto"/>
        <w:ind w:left="1327" w:right="1295" w:firstLine="0"/>
        <w:jc w:val="left"/>
        <w:rPr>
          <w:sz w:val="16"/>
          <w:lang w:val="de-DE"/>
        </w:rPr>
      </w:pPr>
      <w:r w:rsidRPr="00846956">
        <w:rPr>
          <w:i/>
          <w:color w:val="231F20"/>
          <w:spacing w:val="1"/>
          <w:w w:val="110"/>
          <w:sz w:val="16"/>
          <w:lang w:val="de-DE"/>
        </w:rPr>
        <w:t xml:space="preserve">Der Stammheimtod: Kampagne </w:t>
      </w:r>
      <w:r w:rsidRPr="00846956">
        <w:rPr>
          <w:i/>
          <w:color w:val="231F20"/>
          <w:w w:val="110"/>
          <w:sz w:val="16"/>
          <w:lang w:val="de-DE"/>
        </w:rPr>
        <w:t xml:space="preserve">gegen </w:t>
      </w:r>
      <w:r w:rsidRPr="00846956">
        <w:rPr>
          <w:i/>
          <w:color w:val="231F20"/>
          <w:spacing w:val="2"/>
          <w:w w:val="110"/>
          <w:sz w:val="16"/>
          <w:lang w:val="de-DE"/>
        </w:rPr>
        <w:t xml:space="preserve">das </w:t>
      </w:r>
      <w:r w:rsidRPr="00846956">
        <w:rPr>
          <w:i/>
          <w:color w:val="231F20"/>
          <w:w w:val="110"/>
          <w:sz w:val="16"/>
          <w:lang w:val="de-DE"/>
        </w:rPr>
        <w:t xml:space="preserve">Modell </w:t>
      </w:r>
      <w:r w:rsidRPr="00846956">
        <w:rPr>
          <w:i/>
          <w:color w:val="231F20"/>
          <w:spacing w:val="1"/>
          <w:w w:val="110"/>
          <w:sz w:val="16"/>
          <w:lang w:val="de-DE"/>
        </w:rPr>
        <w:t xml:space="preserve">Deutschland, </w:t>
      </w:r>
      <w:r w:rsidRPr="00846956">
        <w:rPr>
          <w:color w:val="231F20"/>
          <w:w w:val="110"/>
          <w:sz w:val="16"/>
          <w:lang w:val="de-DE"/>
        </w:rPr>
        <w:t xml:space="preserve">no. 4, Bochum, December </w:t>
      </w:r>
      <w:r w:rsidRPr="00846956">
        <w:rPr>
          <w:color w:val="231F20"/>
          <w:spacing w:val="-4"/>
          <w:w w:val="110"/>
          <w:sz w:val="16"/>
          <w:lang w:val="de-DE"/>
        </w:rPr>
        <w:t>1977,</w:t>
      </w:r>
      <w:r w:rsidRPr="00846956">
        <w:rPr>
          <w:color w:val="231F20"/>
          <w:spacing w:val="11"/>
          <w:w w:val="110"/>
          <w:sz w:val="16"/>
          <w:lang w:val="de-DE"/>
        </w:rPr>
        <w:t xml:space="preserve"> </w:t>
      </w:r>
      <w:r w:rsidRPr="00846956">
        <w:rPr>
          <w:color w:val="231F20"/>
          <w:spacing w:val="-3"/>
          <w:w w:val="110"/>
          <w:sz w:val="16"/>
          <w:lang w:val="de-DE"/>
        </w:rPr>
        <w:t>5.</w:t>
      </w:r>
    </w:p>
    <w:p w14:paraId="2FC8C1DE" w14:textId="77777777" w:rsidR="002653E8" w:rsidRPr="00846956" w:rsidRDefault="002653E8">
      <w:pPr>
        <w:spacing w:line="254" w:lineRule="auto"/>
        <w:rPr>
          <w:sz w:val="16"/>
          <w:lang w:val="de-DE"/>
        </w:rPr>
        <w:sectPr w:rsidR="002653E8" w:rsidRPr="00846956">
          <w:footerReference w:type="even" r:id="rId434"/>
          <w:footerReference w:type="default" r:id="rId435"/>
          <w:pgSz w:w="8640" w:h="12960"/>
          <w:pgMar w:top="1200" w:right="0" w:bottom="1040" w:left="0" w:header="0" w:footer="850" w:gutter="0"/>
          <w:pgNumType w:start="513"/>
          <w:cols w:space="720"/>
        </w:sectPr>
      </w:pPr>
    </w:p>
    <w:p w14:paraId="43C21F9D" w14:textId="77777777" w:rsidR="002653E8" w:rsidRDefault="003115E3">
      <w:pPr>
        <w:pStyle w:val="a3"/>
        <w:spacing w:before="86" w:line="264" w:lineRule="auto"/>
        <w:ind w:left="1147" w:right="1326" w:firstLine="210"/>
        <w:jc w:val="both"/>
      </w:pPr>
      <w:r>
        <w:rPr>
          <w:color w:val="231F20"/>
        </w:rPr>
        <w:lastRenderedPageBreak/>
        <w:t>This claim was met with widespread incredulity. Before entering the visiting area, lawyers had to empty their pockets and give their jackets to an employee for verification; they were body searched physically and with a metal detector. Prisoners were strip searched and given a new  set of clothes both when entering and when leaving visits with lawyers. Further, due to the Contact Ban, the lawyers had been unable to see their clients since September</w:t>
      </w:r>
      <w:r>
        <w:rPr>
          <w:color w:val="231F20"/>
          <w:spacing w:val="40"/>
        </w:rPr>
        <w:t xml:space="preserve"> </w:t>
      </w:r>
      <w:r>
        <w:rPr>
          <w:color w:val="231F20"/>
        </w:rPr>
        <w:t>6.</w:t>
      </w:r>
    </w:p>
    <w:p w14:paraId="0943AC32" w14:textId="77777777" w:rsidR="002653E8" w:rsidRDefault="003115E3">
      <w:pPr>
        <w:pStyle w:val="a3"/>
        <w:spacing w:line="264" w:lineRule="auto"/>
        <w:ind w:left="1147" w:right="1326" w:firstLine="210"/>
        <w:jc w:val="right"/>
      </w:pPr>
      <w:r>
        <w:rPr>
          <w:color w:val="231F20"/>
        </w:rPr>
        <w:t>In the case of Andreas Baader, several other irregularities were apparent. There were three bullet holes in the cell. One bullet lodged in</w:t>
      </w:r>
      <w:r>
        <w:rPr>
          <w:color w:val="231F20"/>
          <w:w w:val="99"/>
        </w:rPr>
        <w:t xml:space="preserve"> </w:t>
      </w:r>
      <w:r>
        <w:rPr>
          <w:color w:val="231F20"/>
        </w:rPr>
        <w:t>the wall, one in the mattress, and the third, the cause of death, lodged in the floor: this scenario seemed indicative of a struggle, not a suicide.</w:t>
      </w:r>
      <w:r>
        <w:rPr>
          <w:color w:val="231F20"/>
          <w:w w:val="135"/>
        </w:rPr>
        <w:t xml:space="preserve"> </w:t>
      </w:r>
      <w:r>
        <w:rPr>
          <w:color w:val="231F20"/>
        </w:rPr>
        <w:t>Baader was supposed to have shot himself in the base of the neck in</w:t>
      </w:r>
      <w:r>
        <w:rPr>
          <w:color w:val="231F20"/>
          <w:w w:val="99"/>
        </w:rPr>
        <w:t xml:space="preserve"> </w:t>
      </w:r>
      <w:r>
        <w:rPr>
          <w:color w:val="231F20"/>
        </w:rPr>
        <w:t>such a way that the bullet exited his forehead. Repeated tests indicated that it was not easy for an individual to position a gun against his or her</w:t>
      </w:r>
      <w:r>
        <w:rPr>
          <w:color w:val="231F20"/>
          <w:w w:val="92"/>
        </w:rPr>
        <w:t xml:space="preserve"> </w:t>
      </w:r>
      <w:r>
        <w:rPr>
          <w:color w:val="231F20"/>
        </w:rPr>
        <w:t>own body in such a way. Making the feat well nigh impossible, according to fluorescent x-ray analysis, there were thirty to forty centimeters</w:t>
      </w:r>
      <w:r>
        <w:rPr>
          <w:color w:val="231F20"/>
          <w:w w:val="90"/>
        </w:rPr>
        <w:t xml:space="preserve"> </w:t>
      </w:r>
      <w:r>
        <w:rPr>
          <w:color w:val="231F20"/>
        </w:rPr>
        <w:t>between the pistol’s barrel and the point of entry at the time the fatal</w:t>
      </w:r>
    </w:p>
    <w:p w14:paraId="0431ABB2" w14:textId="77777777" w:rsidR="002653E8" w:rsidRDefault="003115E3">
      <w:pPr>
        <w:pStyle w:val="a3"/>
        <w:spacing w:line="223" w:lineRule="exact"/>
        <w:ind w:left="1147"/>
      </w:pPr>
      <w:r>
        <w:rPr>
          <w:color w:val="231F20"/>
        </w:rPr>
        <w:t>shot was fired.</w:t>
      </w:r>
    </w:p>
    <w:p w14:paraId="0094819E" w14:textId="77777777" w:rsidR="002653E8" w:rsidRDefault="003115E3">
      <w:pPr>
        <w:pStyle w:val="a3"/>
        <w:spacing w:before="15" w:line="264" w:lineRule="auto"/>
        <w:ind w:left="1147" w:right="1326" w:firstLine="210"/>
        <w:jc w:val="both"/>
      </w:pPr>
      <w:r>
        <w:rPr>
          <w:color w:val="231F20"/>
        </w:rPr>
        <w:t>To top it all off, Baader had powder burns from the recoil on his right hand. Baader, however, was left-handed, and would almost certainly have used his left hand to shoot himself.</w:t>
      </w:r>
    </w:p>
    <w:p w14:paraId="5C3D357B" w14:textId="77777777" w:rsidR="002653E8" w:rsidRDefault="003115E3">
      <w:pPr>
        <w:pStyle w:val="a3"/>
        <w:spacing w:line="264" w:lineRule="auto"/>
        <w:ind w:left="4048" w:right="1326" w:firstLine="210"/>
        <w:jc w:val="both"/>
      </w:pPr>
      <w:r>
        <w:drawing>
          <wp:anchor distT="0" distB="0" distL="0" distR="0" simplePos="0" relativeHeight="10600" behindDoc="0" locked="0" layoutInCell="1" allowOverlap="1" wp14:anchorId="05565D4E" wp14:editId="5D461B34">
            <wp:simplePos x="0" y="0"/>
            <wp:positionH relativeFrom="page">
              <wp:posOffset>735035</wp:posOffset>
            </wp:positionH>
            <wp:positionV relativeFrom="paragraph">
              <wp:posOffset>48656</wp:posOffset>
            </wp:positionV>
            <wp:extent cx="1699561" cy="2202970"/>
            <wp:effectExtent l="0" t="0" r="0" b="0"/>
            <wp:wrapNone/>
            <wp:docPr id="73"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7.png"/>
                    <pic:cNvPicPr/>
                  </pic:nvPicPr>
                  <pic:blipFill>
                    <a:blip r:embed="rId436" cstate="print"/>
                    <a:stretch>
                      <a:fillRect/>
                    </a:stretch>
                  </pic:blipFill>
                  <pic:spPr>
                    <a:xfrm>
                      <a:off x="0" y="0"/>
                      <a:ext cx="1699561" cy="2202970"/>
                    </a:xfrm>
                    <a:prstGeom prst="rect">
                      <a:avLst/>
                    </a:prstGeom>
                  </pic:spPr>
                </pic:pic>
              </a:graphicData>
            </a:graphic>
          </wp:anchor>
        </w:drawing>
      </w:r>
      <w:r>
        <w:rPr>
          <w:color w:val="231F20"/>
          <w:spacing w:val="1"/>
        </w:rPr>
        <w:t xml:space="preserve">In </w:t>
      </w:r>
      <w:r>
        <w:rPr>
          <w:color w:val="231F20"/>
        </w:rPr>
        <w:t>the case of Raspe, no powder burns were found at all. Powder</w:t>
      </w:r>
      <w:r>
        <w:rPr>
          <w:color w:val="231F20"/>
          <w:spacing w:val="-23"/>
        </w:rPr>
        <w:t xml:space="preserve"> </w:t>
      </w:r>
      <w:r>
        <w:rPr>
          <w:color w:val="231F20"/>
        </w:rPr>
        <w:t>burns always occur when firing a</w:t>
      </w:r>
      <w:r>
        <w:rPr>
          <w:color w:val="231F20"/>
          <w:spacing w:val="18"/>
        </w:rPr>
        <w:t xml:space="preserve"> </w:t>
      </w:r>
      <w:r>
        <w:rPr>
          <w:color w:val="231F20"/>
        </w:rPr>
        <w:t>weapon.</w:t>
      </w:r>
    </w:p>
    <w:p w14:paraId="33399A89" w14:textId="77777777" w:rsidR="002653E8" w:rsidRDefault="003115E3">
      <w:pPr>
        <w:pStyle w:val="a3"/>
        <w:spacing w:line="264" w:lineRule="auto"/>
        <w:ind w:left="4048" w:right="1325" w:firstLine="210"/>
        <w:jc w:val="both"/>
      </w:pPr>
      <w:r>
        <w:rPr>
          <w:color w:val="231F20"/>
          <w:w w:val="105"/>
        </w:rPr>
        <w:t>The gun smuggling theory relied on the testimony of Hans-Joachim Dellwo,</w:t>
      </w:r>
      <w:r>
        <w:rPr>
          <w:color w:val="231F20"/>
          <w:spacing w:val="-25"/>
          <w:w w:val="105"/>
        </w:rPr>
        <w:t xml:space="preserve"> </w:t>
      </w:r>
      <w:r>
        <w:rPr>
          <w:color w:val="231F20"/>
          <w:w w:val="105"/>
        </w:rPr>
        <w:t>brother</w:t>
      </w:r>
      <w:r>
        <w:rPr>
          <w:color w:val="231F20"/>
          <w:spacing w:val="-25"/>
          <w:w w:val="105"/>
        </w:rPr>
        <w:t xml:space="preserve"> </w:t>
      </w:r>
      <w:r>
        <w:rPr>
          <w:color w:val="231F20"/>
          <w:w w:val="105"/>
        </w:rPr>
        <w:t>of</w:t>
      </w:r>
      <w:r>
        <w:rPr>
          <w:color w:val="231F20"/>
          <w:spacing w:val="-25"/>
          <w:w w:val="105"/>
        </w:rPr>
        <w:t xml:space="preserve"> </w:t>
      </w:r>
      <w:r w:rsidR="00C507A5">
        <w:rPr>
          <w:color w:val="231F20"/>
          <w:spacing w:val="5"/>
          <w:w w:val="105"/>
        </w:rPr>
        <w:t>red army faction</w:t>
      </w:r>
      <w:r>
        <w:rPr>
          <w:color w:val="231F20"/>
          <w:spacing w:val="-25"/>
          <w:w w:val="105"/>
        </w:rPr>
        <w:t xml:space="preserve"> </w:t>
      </w:r>
      <w:r>
        <w:rPr>
          <w:color w:val="231F20"/>
          <w:w w:val="105"/>
        </w:rPr>
        <w:t>prisoner</w:t>
      </w:r>
      <w:r>
        <w:rPr>
          <w:color w:val="231F20"/>
          <w:spacing w:val="-25"/>
          <w:w w:val="105"/>
        </w:rPr>
        <w:t xml:space="preserve"> </w:t>
      </w:r>
      <w:r>
        <w:rPr>
          <w:color w:val="231F20"/>
          <w:w w:val="105"/>
        </w:rPr>
        <w:t xml:space="preserve">KarlHeinz Dellwo, and </w:t>
      </w:r>
      <w:r>
        <w:rPr>
          <w:color w:val="231F20"/>
          <w:spacing w:val="-3"/>
          <w:w w:val="105"/>
        </w:rPr>
        <w:t xml:space="preserve">Volker </w:t>
      </w:r>
      <w:r>
        <w:rPr>
          <w:color w:val="231F20"/>
          <w:w w:val="105"/>
        </w:rPr>
        <w:t>Speitel,</w:t>
      </w:r>
      <w:r>
        <w:rPr>
          <w:color w:val="231F20"/>
          <w:spacing w:val="-24"/>
          <w:w w:val="105"/>
        </w:rPr>
        <w:t xml:space="preserve"> </w:t>
      </w:r>
      <w:r>
        <w:rPr>
          <w:color w:val="231F20"/>
          <w:w w:val="105"/>
        </w:rPr>
        <w:t xml:space="preserve">the husband of </w:t>
      </w:r>
      <w:r w:rsidR="00C507A5">
        <w:rPr>
          <w:color w:val="231F20"/>
          <w:spacing w:val="5"/>
          <w:w w:val="105"/>
        </w:rPr>
        <w:t>red army faction</w:t>
      </w:r>
      <w:r>
        <w:rPr>
          <w:color w:val="231F20"/>
          <w:spacing w:val="5"/>
          <w:w w:val="105"/>
        </w:rPr>
        <w:t xml:space="preserve"> </w:t>
      </w:r>
      <w:r>
        <w:rPr>
          <w:color w:val="231F20"/>
          <w:w w:val="105"/>
        </w:rPr>
        <w:t>member Angelika Speitel. They had both been</w:t>
      </w:r>
      <w:r>
        <w:rPr>
          <w:color w:val="231F20"/>
          <w:spacing w:val="-23"/>
          <w:w w:val="105"/>
        </w:rPr>
        <w:t xml:space="preserve"> </w:t>
      </w:r>
      <w:r>
        <w:rPr>
          <w:color w:val="231F20"/>
          <w:w w:val="105"/>
        </w:rPr>
        <w:t>arrested on</w:t>
      </w:r>
      <w:r>
        <w:rPr>
          <w:color w:val="231F20"/>
          <w:spacing w:val="-12"/>
          <w:w w:val="105"/>
        </w:rPr>
        <w:t xml:space="preserve"> </w:t>
      </w:r>
      <w:r>
        <w:rPr>
          <w:color w:val="231F20"/>
          <w:w w:val="105"/>
        </w:rPr>
        <w:t>October</w:t>
      </w:r>
      <w:r>
        <w:rPr>
          <w:color w:val="231F20"/>
          <w:spacing w:val="-12"/>
          <w:w w:val="105"/>
        </w:rPr>
        <w:t xml:space="preserve"> </w:t>
      </w:r>
      <w:r>
        <w:rPr>
          <w:color w:val="231F20"/>
          <w:w w:val="105"/>
        </w:rPr>
        <w:t>2,</w:t>
      </w:r>
      <w:r>
        <w:rPr>
          <w:color w:val="231F20"/>
          <w:spacing w:val="-12"/>
          <w:w w:val="105"/>
        </w:rPr>
        <w:t xml:space="preserve"> </w:t>
      </w:r>
      <w:r>
        <w:rPr>
          <w:color w:val="231F20"/>
          <w:spacing w:val="-6"/>
          <w:w w:val="105"/>
        </w:rPr>
        <w:t>1977,</w:t>
      </w:r>
      <w:r>
        <w:rPr>
          <w:color w:val="231F20"/>
          <w:spacing w:val="-12"/>
          <w:w w:val="105"/>
        </w:rPr>
        <w:t xml:space="preserve"> </w:t>
      </w:r>
      <w:r>
        <w:rPr>
          <w:color w:val="231F20"/>
          <w:w w:val="105"/>
        </w:rPr>
        <w:t>and</w:t>
      </w:r>
      <w:r>
        <w:rPr>
          <w:color w:val="231F20"/>
          <w:spacing w:val="-12"/>
          <w:w w:val="105"/>
        </w:rPr>
        <w:t xml:space="preserve"> </w:t>
      </w:r>
      <w:r>
        <w:rPr>
          <w:color w:val="231F20"/>
          <w:w w:val="105"/>
        </w:rPr>
        <w:t>charged</w:t>
      </w:r>
      <w:r>
        <w:rPr>
          <w:color w:val="231F20"/>
          <w:spacing w:val="-12"/>
          <w:w w:val="105"/>
        </w:rPr>
        <w:t xml:space="preserve"> </w:t>
      </w:r>
      <w:r>
        <w:rPr>
          <w:color w:val="231F20"/>
          <w:w w:val="105"/>
        </w:rPr>
        <w:t>with supporting a criminal organization under</w:t>
      </w:r>
      <w:r>
        <w:rPr>
          <w:color w:val="231F20"/>
          <w:spacing w:val="7"/>
          <w:w w:val="105"/>
        </w:rPr>
        <w:t xml:space="preserve"> </w:t>
      </w:r>
      <w:r>
        <w:rPr>
          <w:color w:val="231F20"/>
          <w:spacing w:val="-4"/>
          <w:w w:val="105"/>
          <w:sz w:val="18"/>
        </w:rPr>
        <w:t>§</w:t>
      </w:r>
      <w:r>
        <w:rPr>
          <w:color w:val="231F20"/>
          <w:spacing w:val="-4"/>
          <w:w w:val="105"/>
        </w:rPr>
        <w:t>129.</w:t>
      </w:r>
    </w:p>
    <w:p w14:paraId="43EA3975" w14:textId="77777777" w:rsidR="002653E8" w:rsidRDefault="003115E3">
      <w:pPr>
        <w:pStyle w:val="a3"/>
        <w:spacing w:line="264" w:lineRule="auto"/>
        <w:ind w:left="4048" w:right="1326" w:firstLine="210"/>
        <w:jc w:val="both"/>
      </w:pPr>
      <w:r>
        <w:rPr>
          <w:color w:val="231F20"/>
        </w:rPr>
        <w:t>Speitel</w:t>
      </w:r>
      <w:r>
        <w:rPr>
          <w:color w:val="231F20"/>
          <w:spacing w:val="-17"/>
        </w:rPr>
        <w:t xml:space="preserve"> </w:t>
      </w:r>
      <w:r>
        <w:rPr>
          <w:color w:val="231F20"/>
        </w:rPr>
        <w:t>had</w:t>
      </w:r>
      <w:r>
        <w:rPr>
          <w:color w:val="231F20"/>
          <w:spacing w:val="-17"/>
        </w:rPr>
        <w:t xml:space="preserve"> </w:t>
      </w:r>
      <w:r>
        <w:rPr>
          <w:color w:val="231F20"/>
        </w:rPr>
        <w:t>been</w:t>
      </w:r>
      <w:r>
        <w:rPr>
          <w:color w:val="231F20"/>
          <w:spacing w:val="-17"/>
        </w:rPr>
        <w:t xml:space="preserve"> </w:t>
      </w:r>
      <w:r>
        <w:rPr>
          <w:color w:val="231F20"/>
        </w:rPr>
        <w:t>an</w:t>
      </w:r>
      <w:r>
        <w:rPr>
          <w:color w:val="231F20"/>
          <w:spacing w:val="-17"/>
        </w:rPr>
        <w:t xml:space="preserve"> </w:t>
      </w:r>
      <w:r>
        <w:rPr>
          <w:color w:val="231F20"/>
        </w:rPr>
        <w:t>important</w:t>
      </w:r>
      <w:r>
        <w:rPr>
          <w:color w:val="231F20"/>
          <w:spacing w:val="-17"/>
        </w:rPr>
        <w:t xml:space="preserve"> </w:t>
      </w:r>
      <w:r>
        <w:rPr>
          <w:color w:val="231F20"/>
        </w:rPr>
        <w:t>figure in the Committees Against</w:t>
      </w:r>
      <w:r>
        <w:rPr>
          <w:color w:val="231F20"/>
          <w:spacing w:val="-11"/>
        </w:rPr>
        <w:t xml:space="preserve"> </w:t>
      </w:r>
      <w:r>
        <w:rPr>
          <w:color w:val="231F20"/>
        </w:rPr>
        <w:t>Torture,</w:t>
      </w:r>
    </w:p>
    <w:p w14:paraId="0BAB267B" w14:textId="77777777" w:rsidR="002653E8" w:rsidRDefault="002653E8">
      <w:pPr>
        <w:spacing w:line="264" w:lineRule="auto"/>
        <w:jc w:val="both"/>
        <w:sectPr w:rsidR="002653E8">
          <w:pgSz w:w="8640" w:h="12960"/>
          <w:pgMar w:top="1060" w:right="0" w:bottom="1040" w:left="0" w:header="0" w:footer="850" w:gutter="0"/>
          <w:cols w:space="720"/>
        </w:sectPr>
      </w:pPr>
    </w:p>
    <w:p w14:paraId="3FF00284" w14:textId="77777777" w:rsidR="002653E8" w:rsidRDefault="003115E3">
      <w:pPr>
        <w:spacing w:before="2" w:line="244" w:lineRule="auto"/>
        <w:ind w:left="1267" w:right="18"/>
        <w:jc w:val="center"/>
        <w:rPr>
          <w:i/>
          <w:sz w:val="18"/>
        </w:rPr>
      </w:pPr>
      <w:r>
        <w:rPr>
          <w:i/>
          <w:color w:val="231F20"/>
          <w:w w:val="105"/>
          <w:sz w:val="18"/>
        </w:rPr>
        <w:t>The newspaper of the KBW: “One Way—Or Another— These are Concentration Camp Methods! Down with the Contact Ban Law!”</w:t>
      </w:r>
    </w:p>
    <w:p w14:paraId="759D66E1" w14:textId="77777777" w:rsidR="002653E8" w:rsidRDefault="003115E3">
      <w:pPr>
        <w:pStyle w:val="a3"/>
        <w:spacing w:line="217" w:lineRule="exact"/>
        <w:ind w:left="265"/>
      </w:pPr>
      <w:r>
        <w:br w:type="column"/>
      </w:r>
      <w:r>
        <w:rPr>
          <w:color w:val="231F20"/>
        </w:rPr>
        <w:t>and  both  men  would  later  admit  to</w:t>
      </w:r>
    </w:p>
    <w:p w14:paraId="3280B947" w14:textId="77777777" w:rsidR="002653E8" w:rsidRDefault="003115E3">
      <w:pPr>
        <w:pStyle w:val="a3"/>
        <w:spacing w:before="22" w:line="264" w:lineRule="auto"/>
        <w:ind w:left="265" w:right="1326"/>
        <w:jc w:val="both"/>
      </w:pPr>
      <w:r>
        <w:rPr>
          <w:color w:val="231F20"/>
        </w:rPr>
        <w:t>having acted as couriers for the guerilla. They testified that they were aware of lawyers smuggling items to the prisoners during the Stammheim</w:t>
      </w:r>
    </w:p>
    <w:p w14:paraId="0F50B63B" w14:textId="77777777" w:rsidR="002653E8" w:rsidRDefault="002653E8">
      <w:pPr>
        <w:spacing w:line="264" w:lineRule="auto"/>
        <w:jc w:val="both"/>
        <w:sectPr w:rsidR="002653E8">
          <w:type w:val="continuous"/>
          <w:pgSz w:w="8640" w:h="12960"/>
          <w:pgMar w:top="0" w:right="0" w:bottom="0" w:left="0" w:header="720" w:footer="720" w:gutter="0"/>
          <w:cols w:num="2" w:space="720" w:equalWidth="0">
            <w:col w:w="3743" w:space="40"/>
            <w:col w:w="4857"/>
          </w:cols>
        </w:sectPr>
      </w:pPr>
    </w:p>
    <w:p w14:paraId="266BBC51" w14:textId="77777777" w:rsidR="002653E8" w:rsidRDefault="003115E3">
      <w:pPr>
        <w:pStyle w:val="a3"/>
        <w:spacing w:before="86" w:line="264" w:lineRule="auto"/>
        <w:ind w:left="1327" w:right="1146"/>
        <w:jc w:val="both"/>
        <w:rPr>
          <w:sz w:val="11"/>
        </w:rPr>
      </w:pPr>
      <w:r>
        <w:rPr>
          <w:color w:val="231F20"/>
        </w:rPr>
        <w:lastRenderedPageBreak/>
        <w:t>trial that had ended in April 1977, specifically claiming that guns had been smuggled in. The plot sketched by the state was that these guns were then hidden away in the prisoners’ belongings and in the cell walls when work was done to renovate the seventh floor that summer.</w:t>
      </w:r>
      <w:r>
        <w:rPr>
          <w:color w:val="231F20"/>
          <w:position w:val="7"/>
          <w:sz w:val="11"/>
        </w:rPr>
        <w:t>1</w:t>
      </w:r>
    </w:p>
    <w:p w14:paraId="0E2442D3" w14:textId="77777777" w:rsidR="002653E8" w:rsidRDefault="003115E3">
      <w:pPr>
        <w:pStyle w:val="a3"/>
        <w:spacing w:line="264" w:lineRule="auto"/>
        <w:ind w:left="1327" w:right="1146" w:firstLine="210"/>
        <w:jc w:val="both"/>
        <w:rPr>
          <w:sz w:val="11"/>
        </w:rPr>
      </w:pPr>
      <w:r>
        <w:rPr>
          <w:color w:val="231F20"/>
        </w:rPr>
        <w:t>Guerilla supporters were quick to note that Speitel and Dellwo’s testimony was tainted by the fact that they each received reduced sentences and new identities in exchange for these allegations.</w:t>
      </w:r>
      <w:r>
        <w:rPr>
          <w:color w:val="231F20"/>
          <w:position w:val="7"/>
          <w:sz w:val="11"/>
        </w:rPr>
        <w:t xml:space="preserve">2 </w:t>
      </w:r>
      <w:r>
        <w:rPr>
          <w:color w:val="231F20"/>
        </w:rPr>
        <w:t>It has been further claimed that the police threatened Speitel with youth Court action against his eight-year-old son if he refused to cooperate.</w:t>
      </w:r>
      <w:r>
        <w:rPr>
          <w:color w:val="231F20"/>
          <w:position w:val="7"/>
          <w:sz w:val="11"/>
        </w:rPr>
        <w:t>3</w:t>
      </w:r>
    </w:p>
    <w:p w14:paraId="20245280" w14:textId="77777777" w:rsidR="002653E8" w:rsidRDefault="003115E3">
      <w:pPr>
        <w:pStyle w:val="a3"/>
        <w:spacing w:line="264" w:lineRule="auto"/>
        <w:ind w:left="1327" w:right="1146" w:firstLine="210"/>
        <w:jc w:val="both"/>
      </w:pPr>
      <w:r>
        <w:rPr>
          <w:color w:val="231F20"/>
        </w:rPr>
        <w:t xml:space="preserve">Besides conveniently explaining two of the Stammheim deaths, the gun smuggling story served several additional purposes. From that point on, all lawyers’ visits with </w:t>
      </w:r>
      <w:r w:rsidR="00C507A5">
        <w:rPr>
          <w:color w:val="231F20"/>
          <w:spacing w:val="5"/>
        </w:rPr>
        <w:t>red army faction</w:t>
      </w:r>
      <w:r>
        <w:rPr>
          <w:color w:val="231F20"/>
          <w:spacing w:val="5"/>
        </w:rPr>
        <w:t xml:space="preserve"> </w:t>
      </w:r>
      <w:r>
        <w:rPr>
          <w:color w:val="231F20"/>
        </w:rPr>
        <w:t xml:space="preserve">prisoners were through a screen,   a process which facilitated auditory surveillance, as well as depriving the prisoners of one of their last direct human contacts. Furthermore, from that point on, the guards were permitted to look through lawyers’ files “to prevent smuggling.” Finally, as a result of Dellwo and Speitel’s testimony, both </w:t>
      </w:r>
      <w:r>
        <w:rPr>
          <w:color w:val="231F20"/>
          <w:spacing w:val="1"/>
        </w:rPr>
        <w:t xml:space="preserve">Armin </w:t>
      </w:r>
      <w:r>
        <w:rPr>
          <w:color w:val="231F20"/>
        </w:rPr>
        <w:t xml:space="preserve">Newerla and Arndt Müller were brought  to  trial, and in </w:t>
      </w:r>
      <w:r>
        <w:rPr>
          <w:color w:val="231F20"/>
          <w:spacing w:val="-4"/>
        </w:rPr>
        <w:t xml:space="preserve">1980 </w:t>
      </w:r>
      <w:r>
        <w:rPr>
          <w:color w:val="231F20"/>
        </w:rPr>
        <w:t>the two attorneys were convicted of smuggling in weapons and explosives, receiving respective sentences of three-yearsand-six-months and</w:t>
      </w:r>
      <w:r>
        <w:rPr>
          <w:color w:val="231F20"/>
          <w:spacing w:val="22"/>
        </w:rPr>
        <w:t xml:space="preserve"> </w:t>
      </w:r>
      <w:r>
        <w:rPr>
          <w:color w:val="231F20"/>
        </w:rPr>
        <w:t>four-years-and-eight-months.</w:t>
      </w:r>
    </w:p>
    <w:p w14:paraId="2C7DB4AB" w14:textId="77777777" w:rsidR="002653E8" w:rsidRDefault="003115E3">
      <w:pPr>
        <w:pStyle w:val="a3"/>
        <w:spacing w:line="264" w:lineRule="auto"/>
        <w:ind w:left="1328" w:right="1145" w:firstLine="209"/>
        <w:jc w:val="both"/>
      </w:pPr>
      <w:r>
        <w:rPr>
          <w:color w:val="231F20"/>
          <w:spacing w:val="1"/>
        </w:rPr>
        <w:t xml:space="preserve">In </w:t>
      </w:r>
      <w:r>
        <w:rPr>
          <w:color w:val="231F20"/>
        </w:rPr>
        <w:t xml:space="preserve">the case of Gudrun Ensslin, who was found hanged, contradictions similar to the case of Ulrike Meinhof present themselves.  The chair she allegedly stood on to hang herself was too far </w:t>
      </w:r>
      <w:r>
        <w:rPr>
          <w:color w:val="231F20"/>
          <w:spacing w:val="-3"/>
        </w:rPr>
        <w:t xml:space="preserve">away </w:t>
      </w:r>
      <w:r>
        <w:rPr>
          <w:color w:val="231F20"/>
        </w:rPr>
        <w:t xml:space="preserve">from her body to have been used, and the torn sheets supporting her would not likely have tolerated the weight of a falling </w:t>
      </w:r>
      <w:r>
        <w:rPr>
          <w:color w:val="231F20"/>
          <w:spacing w:val="-3"/>
        </w:rPr>
        <w:t xml:space="preserve">body. </w:t>
      </w:r>
      <w:r>
        <w:rPr>
          <w:color w:val="231F20"/>
        </w:rPr>
        <w:t>Nor did her cell contain the fibers one would have expected from her tearing up a sheet.    As was the case with Meinhof, the skin test that would have established whether Ensslin was dead before she was hanged was never undertaken.</w:t>
      </w:r>
    </w:p>
    <w:p w14:paraId="6D88D87D" w14:textId="77777777" w:rsidR="002653E8" w:rsidRDefault="003115E3">
      <w:pPr>
        <w:pStyle w:val="a3"/>
        <w:spacing w:line="264" w:lineRule="auto"/>
        <w:ind w:left="1328" w:right="1146" w:firstLine="210"/>
        <w:jc w:val="both"/>
      </w:pPr>
      <w:r>
        <w:rPr>
          <w:color w:val="231F20"/>
          <w:spacing w:val="1"/>
        </w:rPr>
        <w:t xml:space="preserve">In </w:t>
      </w:r>
      <w:r>
        <w:rPr>
          <w:color w:val="231F20"/>
        </w:rPr>
        <w:t>search of a motive for this mass suicide, the state suggested that the prisoners realized there was no hope for their liberation following the storming of the hijacked airliner in Mogadishu, and consequently chose to kill themselves rather than face life in prison. This theory raises three</w:t>
      </w:r>
      <w:r>
        <w:rPr>
          <w:color w:val="231F20"/>
          <w:spacing w:val="11"/>
        </w:rPr>
        <w:t xml:space="preserve"> </w:t>
      </w:r>
      <w:r>
        <w:rPr>
          <w:color w:val="231F20"/>
        </w:rPr>
        <w:t>questions.</w:t>
      </w:r>
      <w:r>
        <w:rPr>
          <w:color w:val="231F20"/>
          <w:spacing w:val="11"/>
        </w:rPr>
        <w:t xml:space="preserve"> </w:t>
      </w:r>
      <w:r>
        <w:rPr>
          <w:color w:val="231F20"/>
        </w:rPr>
        <w:t>How</w:t>
      </w:r>
      <w:r>
        <w:rPr>
          <w:color w:val="231F20"/>
          <w:spacing w:val="11"/>
        </w:rPr>
        <w:t xml:space="preserve"> </w:t>
      </w:r>
      <w:r>
        <w:rPr>
          <w:color w:val="231F20"/>
        </w:rPr>
        <w:t>would</w:t>
      </w:r>
      <w:r>
        <w:rPr>
          <w:color w:val="231F20"/>
          <w:spacing w:val="11"/>
        </w:rPr>
        <w:t xml:space="preserve"> </w:t>
      </w:r>
      <w:r>
        <w:rPr>
          <w:color w:val="231F20"/>
        </w:rPr>
        <w:t>the</w:t>
      </w:r>
      <w:r>
        <w:rPr>
          <w:color w:val="231F20"/>
          <w:spacing w:val="11"/>
        </w:rPr>
        <w:t xml:space="preserve"> </w:t>
      </w:r>
      <w:r>
        <w:rPr>
          <w:color w:val="231F20"/>
        </w:rPr>
        <w:t>prisoners,</w:t>
      </w:r>
      <w:r>
        <w:rPr>
          <w:color w:val="231F20"/>
          <w:spacing w:val="11"/>
        </w:rPr>
        <w:t xml:space="preserve"> </w:t>
      </w:r>
      <w:r>
        <w:rPr>
          <w:color w:val="231F20"/>
        </w:rPr>
        <w:t>given</w:t>
      </w:r>
      <w:r>
        <w:rPr>
          <w:color w:val="231F20"/>
          <w:spacing w:val="11"/>
        </w:rPr>
        <w:t xml:space="preserve"> </w:t>
      </w:r>
      <w:r>
        <w:rPr>
          <w:color w:val="231F20"/>
        </w:rPr>
        <w:t>the</w:t>
      </w:r>
      <w:r>
        <w:rPr>
          <w:color w:val="231F20"/>
          <w:spacing w:val="11"/>
        </w:rPr>
        <w:t xml:space="preserve"> </w:t>
      </w:r>
      <w:r>
        <w:rPr>
          <w:color w:val="231F20"/>
        </w:rPr>
        <w:t>Contact</w:t>
      </w:r>
      <w:r>
        <w:rPr>
          <w:color w:val="231F20"/>
          <w:spacing w:val="11"/>
        </w:rPr>
        <w:t xml:space="preserve"> </w:t>
      </w:r>
      <w:r>
        <w:rPr>
          <w:color w:val="231F20"/>
        </w:rPr>
        <w:t>Ban,</w:t>
      </w:r>
      <w:r>
        <w:rPr>
          <w:color w:val="231F20"/>
          <w:spacing w:val="11"/>
        </w:rPr>
        <w:t xml:space="preserve"> </w:t>
      </w:r>
      <w:r>
        <w:rPr>
          <w:color w:val="231F20"/>
        </w:rPr>
        <w:t>have</w:t>
      </w:r>
    </w:p>
    <w:p w14:paraId="35E6217B" w14:textId="77777777" w:rsidR="002653E8" w:rsidRDefault="00000000">
      <w:pPr>
        <w:pStyle w:val="a3"/>
        <w:spacing w:before="3"/>
        <w:rPr>
          <w:sz w:val="25"/>
        </w:rPr>
      </w:pPr>
      <w:r>
        <w:rPr>
          <w:noProof w:val="0"/>
        </w:rPr>
        <w:pict w14:anchorId="658E77A0">
          <v:line id="_x0000_s2168" style="position:absolute;z-index:10624;mso-wrap-distance-left:0;mso-wrap-distance-right:0;mso-position-horizontal-relative:page" from="66.4pt,17.05pt" to="138.4pt,17.05pt" strokecolor="#231f20" strokeweight=".5pt">
            <w10:wrap type="topAndBottom" anchorx="page"/>
          </v:line>
        </w:pict>
      </w:r>
    </w:p>
    <w:p w14:paraId="589F3F14" w14:textId="77777777" w:rsidR="002653E8" w:rsidRDefault="003115E3">
      <w:pPr>
        <w:spacing w:before="53"/>
        <w:ind w:left="1327"/>
        <w:rPr>
          <w:sz w:val="16"/>
        </w:rPr>
      </w:pPr>
      <w:r>
        <w:rPr>
          <w:color w:val="231F20"/>
          <w:w w:val="110"/>
          <w:sz w:val="16"/>
        </w:rPr>
        <w:t>1 Aust, 379-380.</w:t>
      </w:r>
    </w:p>
    <w:p w14:paraId="7043C279" w14:textId="77777777" w:rsidR="002653E8" w:rsidRPr="00846956" w:rsidRDefault="003115E3">
      <w:pPr>
        <w:pStyle w:val="a4"/>
        <w:numPr>
          <w:ilvl w:val="0"/>
          <w:numId w:val="51"/>
        </w:numPr>
        <w:tabs>
          <w:tab w:val="left" w:pos="1467"/>
        </w:tabs>
        <w:spacing w:before="51" w:line="254" w:lineRule="auto"/>
        <w:ind w:right="1611" w:firstLine="0"/>
        <w:rPr>
          <w:sz w:val="16"/>
          <w:lang w:val="de-DE"/>
        </w:rPr>
      </w:pPr>
      <w:r w:rsidRPr="00846956">
        <w:rPr>
          <w:color w:val="231F20"/>
          <w:w w:val="110"/>
          <w:sz w:val="16"/>
          <w:lang w:val="de-DE"/>
        </w:rPr>
        <w:t xml:space="preserve">Peter Henkel, “Milde Urteile </w:t>
      </w:r>
      <w:r w:rsidRPr="00846956">
        <w:rPr>
          <w:color w:val="231F20"/>
          <w:spacing w:val="2"/>
          <w:w w:val="110"/>
          <w:sz w:val="16"/>
          <w:lang w:val="de-DE"/>
        </w:rPr>
        <w:t xml:space="preserve">für </w:t>
      </w:r>
      <w:r w:rsidRPr="00846956">
        <w:rPr>
          <w:color w:val="231F20"/>
          <w:w w:val="110"/>
          <w:sz w:val="16"/>
          <w:lang w:val="de-DE"/>
        </w:rPr>
        <w:t xml:space="preserve">Volker Speitel und Hans-Joachim Dellwo,” </w:t>
      </w:r>
      <w:r w:rsidRPr="00846956">
        <w:rPr>
          <w:i/>
          <w:color w:val="231F20"/>
          <w:spacing w:val="1"/>
          <w:w w:val="110"/>
          <w:sz w:val="16"/>
          <w:lang w:val="de-DE"/>
        </w:rPr>
        <w:t xml:space="preserve">Frankfurter Rundschau </w:t>
      </w:r>
      <w:r w:rsidRPr="00846956">
        <w:rPr>
          <w:color w:val="231F20"/>
          <w:w w:val="110"/>
          <w:sz w:val="16"/>
          <w:lang w:val="de-DE"/>
        </w:rPr>
        <w:t xml:space="preserve">[online], December </w:t>
      </w:r>
      <w:r w:rsidRPr="00846956">
        <w:rPr>
          <w:color w:val="231F20"/>
          <w:spacing w:val="-6"/>
          <w:w w:val="110"/>
          <w:sz w:val="16"/>
          <w:lang w:val="de-DE"/>
        </w:rPr>
        <w:t xml:space="preserve">15, </w:t>
      </w:r>
      <w:r w:rsidRPr="00846956">
        <w:rPr>
          <w:color w:val="231F20"/>
          <w:w w:val="110"/>
          <w:sz w:val="16"/>
          <w:lang w:val="de-DE"/>
        </w:rPr>
        <w:t xml:space="preserve">1978; </w:t>
      </w:r>
      <w:r w:rsidRPr="00846956">
        <w:rPr>
          <w:color w:val="231F20"/>
          <w:spacing w:val="1"/>
          <w:w w:val="110"/>
          <w:sz w:val="16"/>
          <w:lang w:val="de-DE"/>
        </w:rPr>
        <w:t xml:space="preserve">Martin </w:t>
      </w:r>
      <w:r w:rsidRPr="00846956">
        <w:rPr>
          <w:color w:val="231F20"/>
          <w:w w:val="110"/>
          <w:sz w:val="16"/>
          <w:lang w:val="de-DE"/>
        </w:rPr>
        <w:t xml:space="preserve">Knobbe, “Der Ankläger und sein Informant,” </w:t>
      </w:r>
      <w:r w:rsidRPr="00846956">
        <w:rPr>
          <w:i/>
          <w:color w:val="231F20"/>
          <w:spacing w:val="2"/>
          <w:w w:val="110"/>
          <w:sz w:val="16"/>
          <w:lang w:val="de-DE"/>
        </w:rPr>
        <w:t xml:space="preserve">Stern </w:t>
      </w:r>
      <w:r w:rsidRPr="00846956">
        <w:rPr>
          <w:color w:val="231F20"/>
          <w:w w:val="110"/>
          <w:sz w:val="16"/>
          <w:lang w:val="de-DE"/>
        </w:rPr>
        <w:t xml:space="preserve">[online], April </w:t>
      </w:r>
      <w:r w:rsidRPr="00846956">
        <w:rPr>
          <w:color w:val="231F20"/>
          <w:spacing w:val="-6"/>
          <w:w w:val="110"/>
          <w:sz w:val="16"/>
          <w:lang w:val="de-DE"/>
        </w:rPr>
        <w:t>27,</w:t>
      </w:r>
      <w:r w:rsidRPr="00846956">
        <w:rPr>
          <w:color w:val="231F20"/>
          <w:spacing w:val="-4"/>
          <w:w w:val="110"/>
          <w:sz w:val="16"/>
          <w:lang w:val="de-DE"/>
        </w:rPr>
        <w:t xml:space="preserve"> </w:t>
      </w:r>
      <w:r w:rsidRPr="00846956">
        <w:rPr>
          <w:color w:val="231F20"/>
          <w:w w:val="110"/>
          <w:sz w:val="16"/>
          <w:lang w:val="de-DE"/>
        </w:rPr>
        <w:t>2007.</w:t>
      </w:r>
    </w:p>
    <w:p w14:paraId="72887E7C" w14:textId="77777777" w:rsidR="002653E8" w:rsidRPr="00846956" w:rsidRDefault="003115E3">
      <w:pPr>
        <w:pStyle w:val="a4"/>
        <w:numPr>
          <w:ilvl w:val="0"/>
          <w:numId w:val="51"/>
        </w:numPr>
        <w:tabs>
          <w:tab w:val="left" w:pos="1467"/>
        </w:tabs>
        <w:spacing w:before="42"/>
        <w:ind w:left="1466" w:hanging="138"/>
        <w:rPr>
          <w:sz w:val="16"/>
          <w:lang w:val="de-DE"/>
        </w:rPr>
      </w:pPr>
      <w:r w:rsidRPr="00846956">
        <w:rPr>
          <w:color w:val="231F20"/>
          <w:w w:val="115"/>
          <w:sz w:val="16"/>
          <w:lang w:val="de-DE"/>
        </w:rPr>
        <w:t>Augustin, “Der zweite</w:t>
      </w:r>
      <w:r w:rsidRPr="00846956">
        <w:rPr>
          <w:color w:val="231F20"/>
          <w:spacing w:val="11"/>
          <w:w w:val="115"/>
          <w:sz w:val="16"/>
          <w:lang w:val="de-DE"/>
        </w:rPr>
        <w:t xml:space="preserve"> </w:t>
      </w:r>
      <w:r w:rsidRPr="00846956">
        <w:rPr>
          <w:color w:val="231F20"/>
          <w:spacing w:val="-4"/>
          <w:w w:val="115"/>
          <w:sz w:val="16"/>
          <w:lang w:val="de-DE"/>
        </w:rPr>
        <w:t>Tod.”</w:t>
      </w:r>
    </w:p>
    <w:p w14:paraId="796955DA" w14:textId="77777777" w:rsidR="002653E8" w:rsidRPr="00846956" w:rsidRDefault="002653E8">
      <w:pPr>
        <w:rPr>
          <w:sz w:val="16"/>
          <w:lang w:val="de-DE"/>
        </w:rPr>
        <w:sectPr w:rsidR="002653E8" w:rsidRPr="00846956">
          <w:pgSz w:w="8640" w:h="12960"/>
          <w:pgMar w:top="1060" w:right="0" w:bottom="1040" w:left="0" w:header="0" w:footer="850" w:gutter="0"/>
          <w:cols w:space="720"/>
        </w:sectPr>
      </w:pPr>
    </w:p>
    <w:p w14:paraId="590F814F" w14:textId="77777777" w:rsidR="002653E8" w:rsidRDefault="003115E3">
      <w:pPr>
        <w:pStyle w:val="a3"/>
        <w:spacing w:before="86" w:line="264" w:lineRule="auto"/>
        <w:ind w:left="1147" w:right="1326"/>
        <w:jc w:val="both"/>
      </w:pPr>
      <w:r>
        <w:rPr>
          <w:color w:val="231F20"/>
        </w:rPr>
        <w:lastRenderedPageBreak/>
        <w:t>known about these developments? How would they have organized a group suicide under such conditions? And further, why would they have made their deaths look like murders?</w:t>
      </w:r>
    </w:p>
    <w:p w14:paraId="42E089F1" w14:textId="77777777" w:rsidR="002653E8" w:rsidRDefault="003115E3">
      <w:pPr>
        <w:pStyle w:val="a3"/>
        <w:spacing w:line="264" w:lineRule="auto"/>
        <w:ind w:left="1147" w:right="1326" w:firstLine="210"/>
        <w:jc w:val="both"/>
      </w:pPr>
      <w:r>
        <w:rPr>
          <w:color w:val="231F20"/>
        </w:rPr>
        <w:t>On October 20, authorities claimed to have “discovered” a radio in Raspe’s cell, a cell that he had only occupied since October 4. The state alleged that, using the wall sockets and tools stolen when the prison  was being renovated, the prisoners constructed an elaborate communication system that allowed them to monitor radio broadcasts and to communicate with each</w:t>
      </w:r>
      <w:r>
        <w:rPr>
          <w:color w:val="231F20"/>
          <w:spacing w:val="32"/>
        </w:rPr>
        <w:t xml:space="preserve"> </w:t>
      </w:r>
      <w:r>
        <w:rPr>
          <w:color w:val="231F20"/>
        </w:rPr>
        <w:t>other.</w:t>
      </w:r>
    </w:p>
    <w:p w14:paraId="3B18BF03" w14:textId="77777777" w:rsidR="002653E8" w:rsidRDefault="003115E3">
      <w:pPr>
        <w:pStyle w:val="a3"/>
        <w:spacing w:line="264" w:lineRule="auto"/>
        <w:ind w:left="1147" w:right="1325" w:firstLine="210"/>
        <w:jc w:val="both"/>
      </w:pPr>
      <w:r>
        <w:rPr>
          <w:color w:val="231F20"/>
        </w:rPr>
        <w:t xml:space="preserve">This was only the first in a series of very convenient discoveries. On October 22, two hundred and seventy grams of explosives were “discovered” in the prisoners’ wing. On November 12, a razor blade and three detonators were “found” in Baader’s cell. Finally, on December 12, a gun and ammunition were “found” in a cell formerly occupied by </w:t>
      </w:r>
      <w:r w:rsidR="00C507A5">
        <w:rPr>
          <w:color w:val="231F20"/>
          <w:spacing w:val="5"/>
        </w:rPr>
        <w:t>red army faction</w:t>
      </w:r>
      <w:r>
        <w:rPr>
          <w:color w:val="231F20"/>
          <w:spacing w:val="5"/>
        </w:rPr>
        <w:t xml:space="preserve"> </w:t>
      </w:r>
      <w:r>
        <w:rPr>
          <w:color w:val="231F20"/>
        </w:rPr>
        <w:t xml:space="preserve">prisoner Helmut Pohl. It is worth noting that the government’s Commission of Inquiry was unclear about whether this gun was a Smith </w:t>
      </w:r>
      <w:r>
        <w:rPr>
          <w:color w:val="231F20"/>
          <w:w w:val="110"/>
        </w:rPr>
        <w:t xml:space="preserve">&amp; </w:t>
      </w:r>
      <w:r>
        <w:rPr>
          <w:color w:val="231F20"/>
        </w:rPr>
        <w:t>Wesson  or</w:t>
      </w:r>
      <w:r>
        <w:rPr>
          <w:color w:val="231F20"/>
          <w:spacing w:val="11"/>
        </w:rPr>
        <w:t xml:space="preserve"> </w:t>
      </w:r>
      <w:r>
        <w:rPr>
          <w:color w:val="231F20"/>
        </w:rPr>
        <w:t>a</w:t>
      </w:r>
      <w:r>
        <w:rPr>
          <w:color w:val="231F20"/>
          <w:spacing w:val="11"/>
        </w:rPr>
        <w:t xml:space="preserve"> </w:t>
      </w:r>
      <w:r>
        <w:rPr>
          <w:color w:val="231F20"/>
        </w:rPr>
        <w:t>Colt</w:t>
      </w:r>
      <w:r>
        <w:rPr>
          <w:color w:val="231F20"/>
          <w:spacing w:val="11"/>
        </w:rPr>
        <w:t xml:space="preserve"> </w:t>
      </w:r>
      <w:r>
        <w:rPr>
          <w:color w:val="231F20"/>
          <w:spacing w:val="-6"/>
        </w:rPr>
        <w:t>.38,</w:t>
      </w:r>
      <w:r>
        <w:rPr>
          <w:color w:val="231F20"/>
          <w:spacing w:val="11"/>
        </w:rPr>
        <w:t xml:space="preserve"> </w:t>
      </w:r>
      <w:r>
        <w:rPr>
          <w:color w:val="231F20"/>
        </w:rPr>
        <w:t>the</w:t>
      </w:r>
      <w:r>
        <w:rPr>
          <w:color w:val="231F20"/>
          <w:spacing w:val="11"/>
        </w:rPr>
        <w:t xml:space="preserve"> </w:t>
      </w:r>
      <w:r>
        <w:rPr>
          <w:color w:val="231F20"/>
        </w:rPr>
        <w:t>model</w:t>
      </w:r>
      <w:r>
        <w:rPr>
          <w:color w:val="231F20"/>
          <w:spacing w:val="11"/>
        </w:rPr>
        <w:t xml:space="preserve"> </w:t>
      </w:r>
      <w:r>
        <w:rPr>
          <w:color w:val="231F20"/>
        </w:rPr>
        <w:t>used</w:t>
      </w:r>
      <w:r>
        <w:rPr>
          <w:color w:val="231F20"/>
          <w:spacing w:val="11"/>
        </w:rPr>
        <w:t xml:space="preserve"> </w:t>
      </w:r>
      <w:r>
        <w:rPr>
          <w:color w:val="231F20"/>
        </w:rPr>
        <w:t>by</w:t>
      </w:r>
      <w:r>
        <w:rPr>
          <w:color w:val="231F20"/>
          <w:spacing w:val="11"/>
        </w:rPr>
        <w:t xml:space="preserve"> </w:t>
      </w:r>
      <w:r>
        <w:rPr>
          <w:color w:val="231F20"/>
        </w:rPr>
        <w:t>special</w:t>
      </w:r>
      <w:r>
        <w:rPr>
          <w:color w:val="231F20"/>
          <w:spacing w:val="11"/>
        </w:rPr>
        <w:t xml:space="preserve"> </w:t>
      </w:r>
      <w:r>
        <w:rPr>
          <w:color w:val="231F20"/>
        </w:rPr>
        <w:t>police</w:t>
      </w:r>
      <w:r>
        <w:rPr>
          <w:color w:val="231F20"/>
          <w:spacing w:val="11"/>
        </w:rPr>
        <w:t xml:space="preserve"> </w:t>
      </w:r>
      <w:r>
        <w:rPr>
          <w:color w:val="231F20"/>
        </w:rPr>
        <w:t>units.</w:t>
      </w:r>
    </w:p>
    <w:p w14:paraId="3F64B579" w14:textId="77777777" w:rsidR="002653E8" w:rsidRDefault="003115E3">
      <w:pPr>
        <w:pStyle w:val="a3"/>
        <w:spacing w:line="264" w:lineRule="auto"/>
        <w:ind w:left="1147" w:right="1325" w:firstLine="210"/>
        <w:jc w:val="both"/>
        <w:rPr>
          <w:sz w:val="11"/>
        </w:rPr>
      </w:pPr>
      <w:r>
        <w:rPr>
          <w:color w:val="231F20"/>
          <w:spacing w:val="1"/>
        </w:rPr>
        <w:t xml:space="preserve">In </w:t>
      </w:r>
      <w:r>
        <w:rPr>
          <w:color w:val="231F20"/>
        </w:rPr>
        <w:t xml:space="preserve">such an atmosphere, with the state alleging incredible feats of Houdini-like daring do on the part of the prisoners, people understandably began to believe anything could be possible. For instance, Baader’s lawyer, Hans-Heinz Heldmann, in the October </w:t>
      </w:r>
      <w:r>
        <w:rPr>
          <w:color w:val="231F20"/>
          <w:spacing w:val="-3"/>
        </w:rPr>
        <w:t xml:space="preserve">1977 </w:t>
      </w:r>
      <w:r>
        <w:rPr>
          <w:color w:val="231F20"/>
        </w:rPr>
        <w:t xml:space="preserve">issue of the KB’s </w:t>
      </w:r>
      <w:r>
        <w:rPr>
          <w:i/>
          <w:color w:val="231F20"/>
        </w:rPr>
        <w:t>Arbeiterkampf</w:t>
      </w:r>
      <w:r>
        <w:rPr>
          <w:color w:val="231F20"/>
        </w:rPr>
        <w:t>, pointed to a new mystery. At the time of  his  death,  there was a large quantity of fine, light-colored sand on and in Baader’s shoes: according to Heldmann, the quality and quantity of the sand suggested that Baader had been flown to Mogadishu and then returned to Stammheim.</w:t>
      </w:r>
      <w:r>
        <w:rPr>
          <w:color w:val="231F20"/>
          <w:position w:val="7"/>
          <w:sz w:val="11"/>
        </w:rPr>
        <w:t xml:space="preserve">1 </w:t>
      </w:r>
      <w:r>
        <w:rPr>
          <w:color w:val="231F20"/>
        </w:rPr>
        <w:t>As has been noted elsewhere, this theory simply cannot be true: there would have been no time to fly to Mogadishu and back, even in the supersonic Concorde airplane. Indeed, Irmgard Möller, the sole survivor of the Stammheim events, has explained that this sand  was more likely picked up in the prison, part of the building materials left over from renovations earlier that</w:t>
      </w:r>
      <w:r>
        <w:rPr>
          <w:color w:val="231F20"/>
          <w:spacing w:val="17"/>
        </w:rPr>
        <w:t xml:space="preserve"> </w:t>
      </w:r>
      <w:r>
        <w:rPr>
          <w:color w:val="231F20"/>
        </w:rPr>
        <w:t>year.</w:t>
      </w:r>
      <w:r>
        <w:rPr>
          <w:color w:val="231F20"/>
          <w:position w:val="7"/>
          <w:sz w:val="11"/>
        </w:rPr>
        <w:t>2</w:t>
      </w:r>
    </w:p>
    <w:p w14:paraId="1592C591" w14:textId="77777777" w:rsidR="002653E8" w:rsidRDefault="003115E3">
      <w:pPr>
        <w:pStyle w:val="a3"/>
        <w:spacing w:line="219" w:lineRule="exact"/>
        <w:ind w:left="1357"/>
      </w:pPr>
      <w:r>
        <w:rPr>
          <w:color w:val="231F20"/>
        </w:rPr>
        <w:t>Even taken at face value, the state’s claims do not point to “simple</w:t>
      </w:r>
    </w:p>
    <w:p w14:paraId="3AB200A7" w14:textId="77777777" w:rsidR="002653E8" w:rsidRDefault="003115E3">
      <w:pPr>
        <w:pStyle w:val="a3"/>
        <w:spacing w:before="4" w:line="264" w:lineRule="auto"/>
        <w:ind w:left="1147" w:right="1326"/>
        <w:jc w:val="both"/>
      </w:pPr>
      <w:r>
        <w:rPr>
          <w:color w:val="231F20"/>
          <w:spacing w:val="-3"/>
        </w:rPr>
        <w:t xml:space="preserve">suicide”: </w:t>
      </w:r>
      <w:r>
        <w:rPr>
          <w:color w:val="231F20"/>
        </w:rPr>
        <w:t xml:space="preserve">in the final analysis, the evidence indicates that </w:t>
      </w:r>
      <w:r>
        <w:rPr>
          <w:i/>
          <w:color w:val="231F20"/>
        </w:rPr>
        <w:t xml:space="preserve">if </w:t>
      </w:r>
      <w:r>
        <w:rPr>
          <w:color w:val="231F20"/>
        </w:rPr>
        <w:t xml:space="preserve">prisoners would have had access to guns and radios then someone in a position   of authority would have known it. Former </w:t>
      </w:r>
      <w:r>
        <w:rPr>
          <w:i/>
          <w:color w:val="231F20"/>
        </w:rPr>
        <w:t xml:space="preserve">Spiegel </w:t>
      </w:r>
      <w:r>
        <w:rPr>
          <w:color w:val="231F20"/>
        </w:rPr>
        <w:t>editor Stefan Aust,   for instance, has suggested that the prisoners may have been allowed to believe</w:t>
      </w:r>
      <w:r>
        <w:rPr>
          <w:color w:val="231F20"/>
          <w:spacing w:val="23"/>
        </w:rPr>
        <w:t xml:space="preserve"> </w:t>
      </w:r>
      <w:r>
        <w:rPr>
          <w:color w:val="231F20"/>
        </w:rPr>
        <w:t>they</w:t>
      </w:r>
      <w:r>
        <w:rPr>
          <w:color w:val="231F20"/>
          <w:spacing w:val="23"/>
        </w:rPr>
        <w:t xml:space="preserve"> </w:t>
      </w:r>
      <w:r>
        <w:rPr>
          <w:color w:val="231F20"/>
        </w:rPr>
        <w:t>had</w:t>
      </w:r>
      <w:r>
        <w:rPr>
          <w:color w:val="231F20"/>
          <w:spacing w:val="23"/>
        </w:rPr>
        <w:t xml:space="preserve"> </w:t>
      </w:r>
      <w:r>
        <w:rPr>
          <w:color w:val="231F20"/>
        </w:rPr>
        <w:t>established</w:t>
      </w:r>
      <w:r>
        <w:rPr>
          <w:color w:val="231F20"/>
          <w:spacing w:val="23"/>
        </w:rPr>
        <w:t xml:space="preserve"> </w:t>
      </w:r>
      <w:r>
        <w:rPr>
          <w:color w:val="231F20"/>
        </w:rPr>
        <w:t>a</w:t>
      </w:r>
      <w:r>
        <w:rPr>
          <w:color w:val="231F20"/>
          <w:spacing w:val="23"/>
        </w:rPr>
        <w:t xml:space="preserve"> </w:t>
      </w:r>
      <w:r>
        <w:rPr>
          <w:color w:val="231F20"/>
        </w:rPr>
        <w:t>“secret”</w:t>
      </w:r>
      <w:r>
        <w:rPr>
          <w:color w:val="231F20"/>
          <w:spacing w:val="23"/>
        </w:rPr>
        <w:t xml:space="preserve"> </w:t>
      </w:r>
      <w:r>
        <w:rPr>
          <w:color w:val="231F20"/>
        </w:rPr>
        <w:t>communication</w:t>
      </w:r>
      <w:r>
        <w:rPr>
          <w:color w:val="231F20"/>
          <w:spacing w:val="23"/>
        </w:rPr>
        <w:t xml:space="preserve"> </w:t>
      </w:r>
      <w:r>
        <w:rPr>
          <w:color w:val="231F20"/>
        </w:rPr>
        <w:t>system</w:t>
      </w:r>
      <w:r>
        <w:rPr>
          <w:color w:val="231F20"/>
          <w:spacing w:val="23"/>
        </w:rPr>
        <w:t xml:space="preserve"> </w:t>
      </w:r>
      <w:r>
        <w:rPr>
          <w:color w:val="231F20"/>
        </w:rPr>
        <w:t>so</w:t>
      </w:r>
      <w:r>
        <w:rPr>
          <w:color w:val="231F20"/>
          <w:spacing w:val="23"/>
        </w:rPr>
        <w:t xml:space="preserve"> </w:t>
      </w:r>
      <w:r>
        <w:rPr>
          <w:color w:val="231F20"/>
        </w:rPr>
        <w:t>that</w:t>
      </w:r>
    </w:p>
    <w:p w14:paraId="59CFCA41" w14:textId="77777777" w:rsidR="002653E8" w:rsidRDefault="00000000">
      <w:pPr>
        <w:pStyle w:val="a3"/>
        <w:spacing w:before="7"/>
        <w:rPr>
          <w:sz w:val="16"/>
        </w:rPr>
      </w:pPr>
      <w:r>
        <w:rPr>
          <w:noProof w:val="0"/>
        </w:rPr>
        <w:pict w14:anchorId="259017E2">
          <v:line id="_x0000_s2167" style="position:absolute;z-index:10648;mso-wrap-distance-left:0;mso-wrap-distance-right:0;mso-position-horizontal-relative:page" from="57.4pt,11.95pt" to="129.4pt,11.95pt" strokecolor="#231f20" strokeweight=".5pt">
            <w10:wrap type="topAndBottom" anchorx="page"/>
          </v:line>
        </w:pict>
      </w:r>
    </w:p>
    <w:p w14:paraId="138EF350" w14:textId="77777777" w:rsidR="002653E8" w:rsidRDefault="003115E3">
      <w:pPr>
        <w:pStyle w:val="a4"/>
        <w:numPr>
          <w:ilvl w:val="0"/>
          <w:numId w:val="50"/>
        </w:numPr>
        <w:tabs>
          <w:tab w:val="left" w:pos="1287"/>
        </w:tabs>
        <w:spacing w:before="53"/>
        <w:ind w:hanging="1"/>
        <w:rPr>
          <w:sz w:val="16"/>
        </w:rPr>
      </w:pPr>
      <w:r>
        <w:rPr>
          <w:i/>
          <w:color w:val="231F20"/>
          <w:spacing w:val="1"/>
          <w:w w:val="110"/>
          <w:sz w:val="16"/>
        </w:rPr>
        <w:t>Der Stammheimtod,</w:t>
      </w:r>
      <w:r>
        <w:rPr>
          <w:i/>
          <w:color w:val="231F20"/>
          <w:spacing w:val="10"/>
          <w:w w:val="110"/>
          <w:sz w:val="16"/>
        </w:rPr>
        <w:t xml:space="preserve"> </w:t>
      </w:r>
      <w:r>
        <w:rPr>
          <w:color w:val="231F20"/>
          <w:spacing w:val="-4"/>
          <w:w w:val="110"/>
          <w:sz w:val="16"/>
        </w:rPr>
        <w:t>13-14.</w:t>
      </w:r>
    </w:p>
    <w:p w14:paraId="6E18F36A" w14:textId="77777777" w:rsidR="002653E8" w:rsidRDefault="003115E3">
      <w:pPr>
        <w:spacing w:before="51"/>
        <w:ind w:left="1147"/>
        <w:rPr>
          <w:sz w:val="16"/>
        </w:rPr>
      </w:pPr>
      <w:r>
        <w:rPr>
          <w:color w:val="231F20"/>
          <w:w w:val="110"/>
          <w:sz w:val="16"/>
        </w:rPr>
        <w:t>2 Aust, 549.</w:t>
      </w:r>
    </w:p>
    <w:p w14:paraId="4E3F21EB" w14:textId="77777777" w:rsidR="002653E8" w:rsidRDefault="002653E8">
      <w:pPr>
        <w:rPr>
          <w:sz w:val="16"/>
        </w:rPr>
        <w:sectPr w:rsidR="002653E8">
          <w:pgSz w:w="8640" w:h="12960"/>
          <w:pgMar w:top="1060" w:right="0" w:bottom="1040" w:left="0" w:header="0" w:footer="850" w:gutter="0"/>
          <w:cols w:space="720"/>
        </w:sectPr>
      </w:pPr>
    </w:p>
    <w:p w14:paraId="67050A50" w14:textId="77777777" w:rsidR="002653E8" w:rsidRDefault="003115E3">
      <w:pPr>
        <w:pStyle w:val="a3"/>
        <w:spacing w:before="86" w:line="264" w:lineRule="auto"/>
        <w:ind w:left="1327" w:right="1146"/>
        <w:jc w:val="both"/>
        <w:rPr>
          <w:sz w:val="11"/>
        </w:rPr>
      </w:pPr>
      <w:r>
        <w:rPr>
          <w:color w:val="231F20"/>
        </w:rPr>
        <w:lastRenderedPageBreak/>
        <w:t>what they said to each other could be monitored. What emerges then is a picture of the prisoners being allowed to have weapons and to communicate with each other, while the authorities listened in as a suicide pact</w:t>
      </w:r>
      <w:r>
        <w:rPr>
          <w:color w:val="231F20"/>
          <w:spacing w:val="11"/>
        </w:rPr>
        <w:t xml:space="preserve"> </w:t>
      </w:r>
      <w:r>
        <w:rPr>
          <w:color w:val="231F20"/>
        </w:rPr>
        <w:t>was</w:t>
      </w:r>
      <w:r>
        <w:rPr>
          <w:color w:val="231F20"/>
          <w:spacing w:val="11"/>
        </w:rPr>
        <w:t xml:space="preserve"> </w:t>
      </w:r>
      <w:r>
        <w:rPr>
          <w:color w:val="231F20"/>
        </w:rPr>
        <w:t>agreed</w:t>
      </w:r>
      <w:r>
        <w:rPr>
          <w:color w:val="231F20"/>
          <w:spacing w:val="11"/>
        </w:rPr>
        <w:t xml:space="preserve"> </w:t>
      </w:r>
      <w:r>
        <w:rPr>
          <w:color w:val="231F20"/>
        </w:rPr>
        <w:t>acted</w:t>
      </w:r>
      <w:r>
        <w:rPr>
          <w:color w:val="231F20"/>
          <w:spacing w:val="11"/>
        </w:rPr>
        <w:t xml:space="preserve"> </w:t>
      </w:r>
      <w:r>
        <w:rPr>
          <w:color w:val="231F20"/>
        </w:rPr>
        <w:t>on,</w:t>
      </w:r>
      <w:r>
        <w:rPr>
          <w:color w:val="231F20"/>
          <w:spacing w:val="11"/>
        </w:rPr>
        <w:t xml:space="preserve"> </w:t>
      </w:r>
      <w:r>
        <w:rPr>
          <w:color w:val="231F20"/>
        </w:rPr>
        <w:t>all</w:t>
      </w:r>
      <w:r>
        <w:rPr>
          <w:color w:val="231F20"/>
          <w:spacing w:val="11"/>
        </w:rPr>
        <w:t xml:space="preserve"> </w:t>
      </w:r>
      <w:r>
        <w:rPr>
          <w:color w:val="231F20"/>
        </w:rPr>
        <w:t>the</w:t>
      </w:r>
      <w:r>
        <w:rPr>
          <w:color w:val="231F20"/>
          <w:spacing w:val="11"/>
        </w:rPr>
        <w:t xml:space="preserve"> </w:t>
      </w:r>
      <w:r>
        <w:rPr>
          <w:color w:val="231F20"/>
        </w:rPr>
        <w:t>while</w:t>
      </w:r>
      <w:r>
        <w:rPr>
          <w:color w:val="231F20"/>
          <w:spacing w:val="11"/>
        </w:rPr>
        <w:t xml:space="preserve"> </w:t>
      </w:r>
      <w:r>
        <w:rPr>
          <w:color w:val="231F20"/>
        </w:rPr>
        <w:t>doing</w:t>
      </w:r>
      <w:r>
        <w:rPr>
          <w:color w:val="231F20"/>
          <w:spacing w:val="11"/>
        </w:rPr>
        <w:t xml:space="preserve"> </w:t>
      </w:r>
      <w:r>
        <w:rPr>
          <w:color w:val="231F20"/>
        </w:rPr>
        <w:t>nothing</w:t>
      </w:r>
      <w:r>
        <w:rPr>
          <w:color w:val="231F20"/>
          <w:spacing w:val="11"/>
        </w:rPr>
        <w:t xml:space="preserve"> </w:t>
      </w:r>
      <w:r>
        <w:rPr>
          <w:color w:val="231F20"/>
        </w:rPr>
        <w:t>to</w:t>
      </w:r>
      <w:r>
        <w:rPr>
          <w:color w:val="231F20"/>
          <w:spacing w:val="11"/>
        </w:rPr>
        <w:t xml:space="preserve"> </w:t>
      </w:r>
      <w:r>
        <w:rPr>
          <w:color w:val="231F20"/>
        </w:rPr>
        <w:t>interfere.</w:t>
      </w:r>
      <w:r>
        <w:rPr>
          <w:color w:val="231F20"/>
          <w:position w:val="7"/>
          <w:sz w:val="11"/>
        </w:rPr>
        <w:t>3</w:t>
      </w:r>
    </w:p>
    <w:p w14:paraId="47698604" w14:textId="77777777" w:rsidR="002653E8" w:rsidRDefault="003115E3">
      <w:pPr>
        <w:pStyle w:val="a3"/>
        <w:spacing w:line="264" w:lineRule="auto"/>
        <w:ind w:left="1327" w:right="1145" w:firstLine="210"/>
        <w:jc w:val="both"/>
      </w:pPr>
      <w:r>
        <w:rPr>
          <w:color w:val="231F20"/>
        </w:rPr>
        <w:t xml:space="preserve">As evidenced by the quote at the beginning of this chapter, KarlHeinz Dellwo, a former member of the Holger Meins Commando that seized the Stockholm embassy in </w:t>
      </w:r>
      <w:r>
        <w:rPr>
          <w:color w:val="231F20"/>
          <w:spacing w:val="-6"/>
        </w:rPr>
        <w:t xml:space="preserve">1975, </w:t>
      </w:r>
      <w:r>
        <w:rPr>
          <w:color w:val="231F20"/>
        </w:rPr>
        <w:t>now holds this view and  indeed claims to have held it for years while he publicly backed the murder theory. (It should be noted that Dellwo was held in Hamburg, not Stammheim, at the time, and so could have no direct knowledge of the events in</w:t>
      </w:r>
      <w:r>
        <w:rPr>
          <w:color w:val="231F20"/>
          <w:spacing w:val="20"/>
        </w:rPr>
        <w:t xml:space="preserve"> </w:t>
      </w:r>
      <w:r>
        <w:rPr>
          <w:color w:val="231F20"/>
        </w:rPr>
        <w:t>question.)</w:t>
      </w:r>
    </w:p>
    <w:p w14:paraId="364710F5" w14:textId="77777777" w:rsidR="002653E8" w:rsidRDefault="003115E3">
      <w:pPr>
        <w:pStyle w:val="a3"/>
        <w:spacing w:line="264" w:lineRule="auto"/>
        <w:ind w:left="1327" w:right="1146" w:firstLine="210"/>
        <w:jc w:val="both"/>
      </w:pPr>
      <w:r>
        <w:rPr>
          <w:color w:val="231F20"/>
          <w:spacing w:val="1"/>
        </w:rPr>
        <w:t xml:space="preserve">If </w:t>
      </w:r>
      <w:r>
        <w:rPr>
          <w:color w:val="231F20"/>
        </w:rPr>
        <w:t xml:space="preserve">this scenario were true, it would be a particularly stark elaboration of an old SPK slogan, namely that “suicide = </w:t>
      </w:r>
      <w:r>
        <w:rPr>
          <w:color w:val="231F20"/>
          <w:spacing w:val="-3"/>
        </w:rPr>
        <w:t xml:space="preserve">murder.” </w:t>
      </w:r>
      <w:r>
        <w:rPr>
          <w:color w:val="231F20"/>
        </w:rPr>
        <w:t>Indeed, a section of the radical left has always held that even if the prisoners did commit suicide, they would have done so only as a consequence of the harsh prison conditions in which they were held, and that in such a case, the government would still be</w:t>
      </w:r>
      <w:r>
        <w:rPr>
          <w:color w:val="231F20"/>
          <w:spacing w:val="42"/>
        </w:rPr>
        <w:t xml:space="preserve"> </w:t>
      </w:r>
      <w:r>
        <w:rPr>
          <w:color w:val="231F20"/>
        </w:rPr>
        <w:t>culpable.</w:t>
      </w:r>
    </w:p>
    <w:p w14:paraId="5F62681C" w14:textId="77777777" w:rsidR="002653E8" w:rsidRDefault="003115E3">
      <w:pPr>
        <w:pStyle w:val="a3"/>
        <w:spacing w:line="264" w:lineRule="auto"/>
        <w:ind w:left="1327" w:right="1147" w:firstLine="210"/>
        <w:jc w:val="both"/>
      </w:pPr>
      <w:r>
        <w:rPr>
          <w:color w:val="231F20"/>
        </w:rPr>
        <w:t>One of the biggest problems with the suicide story is that not all of  the prisoners</w:t>
      </w:r>
      <w:r>
        <w:rPr>
          <w:color w:val="231F20"/>
          <w:spacing w:val="20"/>
        </w:rPr>
        <w:t xml:space="preserve"> </w:t>
      </w:r>
      <w:r>
        <w:rPr>
          <w:color w:val="231F20"/>
        </w:rPr>
        <w:t>died.</w:t>
      </w:r>
    </w:p>
    <w:p w14:paraId="5D40E398" w14:textId="77777777" w:rsidR="002653E8" w:rsidRDefault="003115E3">
      <w:pPr>
        <w:pStyle w:val="a3"/>
        <w:spacing w:line="264" w:lineRule="auto"/>
        <w:ind w:left="1327" w:right="1146" w:firstLine="210"/>
        <w:jc w:val="both"/>
      </w:pPr>
      <w:r>
        <w:rPr>
          <w:color w:val="231F20"/>
        </w:rPr>
        <w:t xml:space="preserve">On October </w:t>
      </w:r>
      <w:r>
        <w:rPr>
          <w:color w:val="231F20"/>
          <w:spacing w:val="-8"/>
        </w:rPr>
        <w:t xml:space="preserve">27, </w:t>
      </w:r>
      <w:r>
        <w:rPr>
          <w:color w:val="231F20"/>
        </w:rPr>
        <w:t>Irmgard Möller, the sole survivor from the alleged group suicide, issued a statement claiming that she had not attempted</w:t>
      </w:r>
      <w:r>
        <w:rPr>
          <w:color w:val="231F20"/>
          <w:spacing w:val="-27"/>
        </w:rPr>
        <w:t xml:space="preserve"> </w:t>
      </w:r>
      <w:r>
        <w:rPr>
          <w:color w:val="231F20"/>
        </w:rPr>
        <w:t>to kill herself. She stated that the last thing she heard before going to sleep on the night in question was two muffled explosive sounds. She was not aware of anything until she awoke some hours later, feeling intoxicated, disoriented, and having difficulty</w:t>
      </w:r>
      <w:r>
        <w:rPr>
          <w:color w:val="231F20"/>
          <w:spacing w:val="3"/>
        </w:rPr>
        <w:t xml:space="preserve"> </w:t>
      </w:r>
      <w:r>
        <w:rPr>
          <w:color w:val="231F20"/>
        </w:rPr>
        <w:t>concentrating.</w:t>
      </w:r>
    </w:p>
    <w:p w14:paraId="1D682DDD" w14:textId="77777777" w:rsidR="002653E8" w:rsidRDefault="003115E3">
      <w:pPr>
        <w:pStyle w:val="a3"/>
        <w:spacing w:line="264" w:lineRule="auto"/>
        <w:ind w:left="1327" w:right="1146" w:firstLine="210"/>
        <w:jc w:val="both"/>
      </w:pPr>
      <w:r>
        <w:rPr>
          <w:color w:val="231F20"/>
        </w:rPr>
        <w:t>She had been stabbed repeatedly in the chest, the blade penetrating down to her heart sac. The state later claimed that she had done this to herself, using a prison-issue butter knife she had squirreled away. She has always denied this claim.</w:t>
      </w:r>
    </w:p>
    <w:p w14:paraId="40B4437D" w14:textId="77777777" w:rsidR="002653E8" w:rsidRDefault="003115E3">
      <w:pPr>
        <w:pStyle w:val="a3"/>
        <w:spacing w:line="264" w:lineRule="auto"/>
        <w:ind w:left="1327" w:right="1146" w:firstLine="210"/>
        <w:jc w:val="both"/>
      </w:pPr>
      <w:r>
        <w:rPr>
          <w:color w:val="231F20"/>
        </w:rPr>
        <w:t>Möller has further stated that the prisoners had no contact with one another except by shouting through the air vents in their cells or when</w:t>
      </w:r>
    </w:p>
    <w:p w14:paraId="5E8DE1D5" w14:textId="77777777" w:rsidR="002653E8" w:rsidRDefault="00000000">
      <w:pPr>
        <w:pStyle w:val="a3"/>
        <w:spacing w:before="2"/>
        <w:rPr>
          <w:sz w:val="13"/>
        </w:rPr>
      </w:pPr>
      <w:r>
        <w:rPr>
          <w:noProof w:val="0"/>
        </w:rPr>
        <w:pict w14:anchorId="23F0FC04">
          <v:line id="_x0000_s2166" style="position:absolute;z-index:10672;mso-wrap-distance-left:0;mso-wrap-distance-right:0;mso-position-horizontal-relative:page" from="66.4pt,9.9pt" to="138.4pt,9.9pt" strokecolor="#231f20" strokeweight=".5pt">
            <w10:wrap type="topAndBottom" anchorx="page"/>
          </v:line>
        </w:pict>
      </w:r>
    </w:p>
    <w:p w14:paraId="041D96E7" w14:textId="77777777" w:rsidR="002653E8" w:rsidRDefault="003115E3">
      <w:pPr>
        <w:spacing w:before="53" w:line="254" w:lineRule="auto"/>
        <w:ind w:left="1327" w:right="1325"/>
        <w:rPr>
          <w:sz w:val="16"/>
        </w:rPr>
      </w:pPr>
      <w:r>
        <w:rPr>
          <w:color w:val="231F20"/>
          <w:w w:val="105"/>
          <w:sz w:val="16"/>
        </w:rPr>
        <w:t>3 In this regard see Aust,  432,  482-483,  487-488,  496-497,  550-552.  Regarding the possibility that police might have learned of guns in Stammheim from Volker Speitel as early as October 4, see Aust, 484. It should be noted that although Aust</w:t>
      </w:r>
    </w:p>
    <w:p w14:paraId="7E32CC51" w14:textId="77777777" w:rsidR="002653E8" w:rsidRDefault="003115E3">
      <w:pPr>
        <w:spacing w:before="1" w:line="254" w:lineRule="auto"/>
        <w:ind w:left="1327" w:right="1275"/>
        <w:rPr>
          <w:sz w:val="16"/>
        </w:rPr>
      </w:pPr>
      <w:r>
        <w:rPr>
          <w:color w:val="231F20"/>
          <w:sz w:val="16"/>
        </w:rPr>
        <w:t xml:space="preserve">claims to believe the prisoners committed suicide, he emphasizes that there remain serious inconsistencies  in  the  official  version  of  events,  including  evidence  pointing to the possibility that Baader was shot by a gun with  a  silencer  on  it,  which  would mean that the murder weapon was removed after he was killed (Aust, </w:t>
      </w:r>
      <w:r>
        <w:rPr>
          <w:color w:val="231F20"/>
          <w:spacing w:val="-3"/>
          <w:sz w:val="16"/>
        </w:rPr>
        <w:t xml:space="preserve">547),  </w:t>
      </w:r>
      <w:r>
        <w:rPr>
          <w:color w:val="231F20"/>
          <w:sz w:val="16"/>
        </w:rPr>
        <w:t xml:space="preserve">and also    that guards lied when they claimed Möller had lifted her sweater before allegedly stabbing herself (Aust, </w:t>
      </w:r>
      <w:r>
        <w:rPr>
          <w:color w:val="231F20"/>
          <w:spacing w:val="-3"/>
          <w:sz w:val="16"/>
        </w:rPr>
        <w:t xml:space="preserve">548), </w:t>
      </w:r>
      <w:r>
        <w:rPr>
          <w:color w:val="231F20"/>
          <w:sz w:val="16"/>
        </w:rPr>
        <w:t>a “fact” which the state claimed proved suicide  as  an assassin</w:t>
      </w:r>
      <w:r>
        <w:rPr>
          <w:color w:val="231F20"/>
          <w:spacing w:val="12"/>
          <w:sz w:val="16"/>
        </w:rPr>
        <w:t xml:space="preserve"> </w:t>
      </w:r>
      <w:r>
        <w:rPr>
          <w:color w:val="231F20"/>
          <w:sz w:val="16"/>
        </w:rPr>
        <w:t>would</w:t>
      </w:r>
      <w:r>
        <w:rPr>
          <w:color w:val="231F20"/>
          <w:spacing w:val="12"/>
          <w:sz w:val="16"/>
        </w:rPr>
        <w:t xml:space="preserve"> </w:t>
      </w:r>
      <w:r>
        <w:rPr>
          <w:color w:val="231F20"/>
          <w:sz w:val="16"/>
        </w:rPr>
        <w:t>not</w:t>
      </w:r>
      <w:r>
        <w:rPr>
          <w:color w:val="231F20"/>
          <w:spacing w:val="12"/>
          <w:sz w:val="16"/>
        </w:rPr>
        <w:t xml:space="preserve"> </w:t>
      </w:r>
      <w:r>
        <w:rPr>
          <w:color w:val="231F20"/>
          <w:sz w:val="16"/>
        </w:rPr>
        <w:t>have</w:t>
      </w:r>
      <w:r>
        <w:rPr>
          <w:color w:val="231F20"/>
          <w:spacing w:val="12"/>
          <w:sz w:val="16"/>
        </w:rPr>
        <w:t xml:space="preserve"> </w:t>
      </w:r>
      <w:r>
        <w:rPr>
          <w:color w:val="231F20"/>
          <w:sz w:val="16"/>
        </w:rPr>
        <w:t>tried</w:t>
      </w:r>
      <w:r>
        <w:rPr>
          <w:color w:val="231F20"/>
          <w:spacing w:val="12"/>
          <w:sz w:val="16"/>
        </w:rPr>
        <w:t xml:space="preserve"> </w:t>
      </w:r>
      <w:r>
        <w:rPr>
          <w:color w:val="231F20"/>
          <w:sz w:val="16"/>
        </w:rPr>
        <w:t>to</w:t>
      </w:r>
      <w:r>
        <w:rPr>
          <w:color w:val="231F20"/>
          <w:spacing w:val="12"/>
          <w:sz w:val="16"/>
        </w:rPr>
        <w:t xml:space="preserve"> </w:t>
      </w:r>
      <w:r>
        <w:rPr>
          <w:color w:val="231F20"/>
          <w:sz w:val="16"/>
        </w:rPr>
        <w:t>spare</w:t>
      </w:r>
      <w:r>
        <w:rPr>
          <w:color w:val="231F20"/>
          <w:spacing w:val="12"/>
          <w:sz w:val="16"/>
        </w:rPr>
        <w:t xml:space="preserve"> </w:t>
      </w:r>
      <w:r>
        <w:rPr>
          <w:color w:val="231F20"/>
          <w:sz w:val="16"/>
        </w:rPr>
        <w:t>the</w:t>
      </w:r>
      <w:r>
        <w:rPr>
          <w:color w:val="231F20"/>
          <w:spacing w:val="12"/>
          <w:sz w:val="16"/>
        </w:rPr>
        <w:t xml:space="preserve"> </w:t>
      </w:r>
      <w:r>
        <w:rPr>
          <w:color w:val="231F20"/>
          <w:sz w:val="16"/>
        </w:rPr>
        <w:t>victim’s</w:t>
      </w:r>
      <w:r>
        <w:rPr>
          <w:color w:val="231F20"/>
          <w:spacing w:val="12"/>
          <w:sz w:val="16"/>
        </w:rPr>
        <w:t xml:space="preserve"> </w:t>
      </w:r>
      <w:r>
        <w:rPr>
          <w:color w:val="231F20"/>
          <w:sz w:val="16"/>
        </w:rPr>
        <w:t>clothing.</w:t>
      </w:r>
    </w:p>
    <w:p w14:paraId="7DD54CAA" w14:textId="77777777" w:rsidR="002653E8" w:rsidRDefault="002653E8">
      <w:pPr>
        <w:spacing w:line="254" w:lineRule="auto"/>
        <w:rPr>
          <w:sz w:val="16"/>
        </w:rPr>
        <w:sectPr w:rsidR="002653E8">
          <w:pgSz w:w="8640" w:h="12960"/>
          <w:pgMar w:top="1060" w:right="0" w:bottom="1040" w:left="0" w:header="0" w:footer="850" w:gutter="0"/>
          <w:cols w:space="720"/>
        </w:sectPr>
      </w:pPr>
    </w:p>
    <w:p w14:paraId="7AEAFEBB" w14:textId="77777777" w:rsidR="002653E8" w:rsidRDefault="003115E3">
      <w:pPr>
        <w:pStyle w:val="a3"/>
        <w:spacing w:before="86" w:line="264" w:lineRule="auto"/>
        <w:ind w:left="1147" w:right="1327"/>
        <w:jc w:val="both"/>
      </w:pPr>
      <w:r>
        <w:rPr>
          <w:color w:val="231F20"/>
        </w:rPr>
        <w:lastRenderedPageBreak/>
        <w:t>going by each other’s cells on the  way  to  or  from  the  yard.  Finally, she insists the prisoners had absolutely no idea of developments in Mogadishu.</w:t>
      </w:r>
    </w:p>
    <w:p w14:paraId="243B3835" w14:textId="77777777" w:rsidR="002653E8" w:rsidRDefault="003115E3">
      <w:pPr>
        <w:pStyle w:val="a3"/>
        <w:spacing w:line="264" w:lineRule="auto"/>
        <w:ind w:left="1147" w:right="1327" w:firstLine="210"/>
        <w:jc w:val="both"/>
      </w:pPr>
      <w:r>
        <w:rPr>
          <w:color w:val="231F20"/>
        </w:rPr>
        <w:t>To this day, she maintains that Ensslin, Baader, and Raspe were murdered.</w:t>
      </w:r>
    </w:p>
    <w:p w14:paraId="0EE80EDE" w14:textId="77777777" w:rsidR="002653E8" w:rsidRDefault="003115E3">
      <w:pPr>
        <w:pStyle w:val="a3"/>
        <w:spacing w:line="264" w:lineRule="auto"/>
        <w:ind w:left="1147" w:right="1326" w:firstLine="210"/>
        <w:jc w:val="both"/>
      </w:pPr>
      <w:r>
        <w:rPr>
          <w:color w:val="231F20"/>
        </w:rPr>
        <w:t>Of course, following Meinhof’s death, the prisoners knew that murders might be disguised as suicides. On October 7, Andreas Baader had sent his lawyer the following letter:</w:t>
      </w:r>
    </w:p>
    <w:p w14:paraId="778F044E" w14:textId="77777777" w:rsidR="002653E8" w:rsidRDefault="003115E3">
      <w:pPr>
        <w:spacing w:before="120" w:line="276" w:lineRule="auto"/>
        <w:ind w:left="1567" w:right="1745"/>
        <w:jc w:val="both"/>
        <w:rPr>
          <w:i/>
          <w:sz w:val="11"/>
        </w:rPr>
      </w:pPr>
      <w:r>
        <w:rPr>
          <w:i/>
          <w:color w:val="231F20"/>
          <w:w w:val="105"/>
          <w:sz w:val="19"/>
        </w:rPr>
        <w:t xml:space="preserve">As a result of the measures of the last </w:t>
      </w:r>
      <w:r>
        <w:rPr>
          <w:rFonts w:ascii="Bookman Old Style" w:hAnsi="Bookman Old Style"/>
          <w:i/>
          <w:color w:val="231F20"/>
          <w:w w:val="105"/>
          <w:sz w:val="19"/>
        </w:rPr>
        <w:t xml:space="preserve">6 </w:t>
      </w:r>
      <w:r>
        <w:rPr>
          <w:i/>
          <w:color w:val="231F20"/>
          <w:w w:val="105"/>
          <w:sz w:val="19"/>
        </w:rPr>
        <w:t xml:space="preserve">weeks and a few remarks from the guards, one can </w:t>
      </w:r>
      <w:r>
        <w:rPr>
          <w:i/>
          <w:color w:val="231F20"/>
          <w:spacing w:val="-3"/>
          <w:w w:val="105"/>
          <w:sz w:val="19"/>
        </w:rPr>
        <w:t xml:space="preserve">draw </w:t>
      </w:r>
      <w:r>
        <w:rPr>
          <w:i/>
          <w:color w:val="231F20"/>
          <w:w w:val="105"/>
          <w:sz w:val="19"/>
        </w:rPr>
        <w:t xml:space="preserve">the conclusion that the Administration of State Security, which—as a guard who is now permanently on the </w:t>
      </w:r>
      <w:r>
        <w:rPr>
          <w:rFonts w:ascii="Bookman Old Style" w:hAnsi="Bookman Old Style"/>
          <w:i/>
          <w:color w:val="231F20"/>
          <w:w w:val="105"/>
          <w:sz w:val="19"/>
        </w:rPr>
        <w:t>7</w:t>
      </w:r>
      <w:r>
        <w:rPr>
          <w:i/>
          <w:color w:val="231F20"/>
          <w:w w:val="105"/>
          <w:sz w:val="19"/>
        </w:rPr>
        <w:t>th floor has said—hopes to provoke one or more</w:t>
      </w:r>
      <w:r>
        <w:rPr>
          <w:i/>
          <w:color w:val="231F20"/>
          <w:spacing w:val="-18"/>
          <w:w w:val="105"/>
          <w:sz w:val="19"/>
        </w:rPr>
        <w:t xml:space="preserve"> </w:t>
      </w:r>
      <w:r>
        <w:rPr>
          <w:i/>
          <w:color w:val="231F20"/>
          <w:w w:val="105"/>
          <w:sz w:val="19"/>
        </w:rPr>
        <w:t>suicides</w:t>
      </w:r>
      <w:r>
        <w:rPr>
          <w:i/>
          <w:color w:val="231F20"/>
          <w:spacing w:val="-18"/>
          <w:w w:val="105"/>
          <w:sz w:val="19"/>
        </w:rPr>
        <w:t xml:space="preserve"> </w:t>
      </w:r>
      <w:r>
        <w:rPr>
          <w:i/>
          <w:color w:val="231F20"/>
          <w:w w:val="105"/>
          <w:sz w:val="19"/>
        </w:rPr>
        <w:t>here,</w:t>
      </w:r>
      <w:r>
        <w:rPr>
          <w:i/>
          <w:color w:val="231F20"/>
          <w:spacing w:val="-23"/>
          <w:w w:val="105"/>
          <w:sz w:val="19"/>
        </w:rPr>
        <w:t xml:space="preserve"> </w:t>
      </w:r>
      <w:r>
        <w:rPr>
          <w:i/>
          <w:color w:val="231F20"/>
          <w:spacing w:val="-8"/>
          <w:w w:val="105"/>
          <w:sz w:val="19"/>
        </w:rPr>
        <w:t>or,</w:t>
      </w:r>
      <w:r>
        <w:rPr>
          <w:i/>
          <w:color w:val="231F20"/>
          <w:spacing w:val="-23"/>
          <w:w w:val="105"/>
          <w:sz w:val="19"/>
        </w:rPr>
        <w:t xml:space="preserve"> </w:t>
      </w:r>
      <w:r>
        <w:rPr>
          <w:i/>
          <w:color w:val="231F20"/>
          <w:w w:val="105"/>
          <w:sz w:val="19"/>
        </w:rPr>
        <w:t>in</w:t>
      </w:r>
      <w:r>
        <w:rPr>
          <w:i/>
          <w:color w:val="231F20"/>
          <w:spacing w:val="-18"/>
          <w:w w:val="105"/>
          <w:sz w:val="19"/>
        </w:rPr>
        <w:t xml:space="preserve"> </w:t>
      </w:r>
      <w:r>
        <w:rPr>
          <w:i/>
          <w:color w:val="231F20"/>
          <w:w w:val="105"/>
          <w:sz w:val="19"/>
        </w:rPr>
        <w:t>any</w:t>
      </w:r>
      <w:r>
        <w:rPr>
          <w:i/>
          <w:color w:val="231F20"/>
          <w:spacing w:val="-18"/>
          <w:w w:val="105"/>
          <w:sz w:val="19"/>
        </w:rPr>
        <w:t xml:space="preserve"> </w:t>
      </w:r>
      <w:r>
        <w:rPr>
          <w:i/>
          <w:color w:val="231F20"/>
          <w:w w:val="105"/>
          <w:sz w:val="19"/>
        </w:rPr>
        <w:t>case,</w:t>
      </w:r>
      <w:r>
        <w:rPr>
          <w:i/>
          <w:color w:val="231F20"/>
          <w:spacing w:val="-23"/>
          <w:w w:val="105"/>
          <w:sz w:val="19"/>
        </w:rPr>
        <w:t xml:space="preserve"> </w:t>
      </w:r>
      <w:r>
        <w:rPr>
          <w:i/>
          <w:color w:val="231F20"/>
          <w:w w:val="105"/>
          <w:sz w:val="19"/>
        </w:rPr>
        <w:t>create</w:t>
      </w:r>
      <w:r>
        <w:rPr>
          <w:i/>
          <w:color w:val="231F20"/>
          <w:spacing w:val="-18"/>
          <w:w w:val="105"/>
          <w:sz w:val="19"/>
        </w:rPr>
        <w:t xml:space="preserve"> </w:t>
      </w:r>
      <w:r>
        <w:rPr>
          <w:i/>
          <w:color w:val="231F20"/>
          <w:w w:val="105"/>
          <w:sz w:val="19"/>
        </w:rPr>
        <w:t>the</w:t>
      </w:r>
      <w:r>
        <w:rPr>
          <w:i/>
          <w:color w:val="231F20"/>
          <w:spacing w:val="-18"/>
          <w:w w:val="105"/>
          <w:sz w:val="19"/>
        </w:rPr>
        <w:t xml:space="preserve"> </w:t>
      </w:r>
      <w:r>
        <w:rPr>
          <w:i/>
          <w:color w:val="231F20"/>
          <w:w w:val="105"/>
          <w:sz w:val="19"/>
        </w:rPr>
        <w:t>plausible</w:t>
      </w:r>
      <w:r>
        <w:rPr>
          <w:i/>
          <w:color w:val="231F20"/>
          <w:spacing w:val="-18"/>
          <w:w w:val="105"/>
          <w:sz w:val="19"/>
        </w:rPr>
        <w:t xml:space="preserve"> </w:t>
      </w:r>
      <w:r>
        <w:rPr>
          <w:i/>
          <w:color w:val="231F20"/>
          <w:w w:val="105"/>
          <w:sz w:val="19"/>
        </w:rPr>
        <w:t xml:space="preserve">appearance of such. In this regard, I stress: none of us—this is clear from the few words that we have been able to exchange at the doors in the last few weeks and from the years of discussion—have the intention of killing ourselves. Should we—again a guard—“be found </w:t>
      </w:r>
      <w:r>
        <w:rPr>
          <w:i/>
          <w:color w:val="231F20"/>
          <w:spacing w:val="-5"/>
          <w:w w:val="105"/>
          <w:sz w:val="19"/>
        </w:rPr>
        <w:t xml:space="preserve">dead,” </w:t>
      </w:r>
      <w:r>
        <w:rPr>
          <w:i/>
          <w:color w:val="231F20"/>
          <w:w w:val="105"/>
          <w:sz w:val="19"/>
        </w:rPr>
        <w:t>we have been killed, as is the procedure, in keeping with the tradition of legal and political measures</w:t>
      </w:r>
      <w:r>
        <w:rPr>
          <w:i/>
          <w:color w:val="231F20"/>
          <w:spacing w:val="15"/>
          <w:w w:val="105"/>
          <w:sz w:val="19"/>
        </w:rPr>
        <w:t xml:space="preserve"> </w:t>
      </w:r>
      <w:r>
        <w:rPr>
          <w:i/>
          <w:color w:val="231F20"/>
          <w:w w:val="105"/>
          <w:sz w:val="19"/>
        </w:rPr>
        <w:t>here.</w:t>
      </w:r>
      <w:r>
        <w:rPr>
          <w:i/>
          <w:color w:val="231F20"/>
          <w:w w:val="105"/>
          <w:position w:val="6"/>
          <w:sz w:val="11"/>
        </w:rPr>
        <w:t>1</w:t>
      </w:r>
    </w:p>
    <w:p w14:paraId="44A5243D" w14:textId="77777777" w:rsidR="002653E8" w:rsidRDefault="003115E3">
      <w:pPr>
        <w:pStyle w:val="a3"/>
        <w:spacing w:before="132"/>
        <w:ind w:left="1147"/>
      </w:pPr>
      <w:r>
        <w:rPr>
          <w:color w:val="231F20"/>
        </w:rPr>
        <w:t>Gudrun Ensslin had also written to her lawyers, stating:</w:t>
      </w:r>
    </w:p>
    <w:p w14:paraId="0E6C1466" w14:textId="77777777" w:rsidR="002653E8" w:rsidRDefault="003115E3">
      <w:pPr>
        <w:spacing w:before="151" w:line="276" w:lineRule="auto"/>
        <w:ind w:left="1567" w:right="1745"/>
        <w:jc w:val="both"/>
        <w:rPr>
          <w:i/>
          <w:sz w:val="11"/>
        </w:rPr>
      </w:pPr>
      <w:r>
        <w:rPr>
          <w:i/>
          <w:color w:val="231F20"/>
          <w:w w:val="105"/>
          <w:sz w:val="19"/>
        </w:rPr>
        <w:t xml:space="preserve">I am afraid of being suicided in the same </w:t>
      </w:r>
      <w:r>
        <w:rPr>
          <w:i/>
          <w:color w:val="231F20"/>
          <w:spacing w:val="-3"/>
          <w:w w:val="105"/>
          <w:sz w:val="19"/>
        </w:rPr>
        <w:t xml:space="preserve">way </w:t>
      </w:r>
      <w:r>
        <w:rPr>
          <w:i/>
          <w:color w:val="231F20"/>
          <w:w w:val="105"/>
          <w:sz w:val="19"/>
        </w:rPr>
        <w:t>as Ulrike. If there is no letter from me and I’m found dead; in this case it is an assassination.</w:t>
      </w:r>
      <w:r>
        <w:rPr>
          <w:i/>
          <w:color w:val="231F20"/>
          <w:w w:val="105"/>
          <w:position w:val="6"/>
          <w:sz w:val="11"/>
        </w:rPr>
        <w:t>2</w:t>
      </w:r>
    </w:p>
    <w:p w14:paraId="63575788" w14:textId="77777777" w:rsidR="002653E8" w:rsidRDefault="003115E3">
      <w:pPr>
        <w:pStyle w:val="a3"/>
        <w:spacing w:before="130" w:line="264" w:lineRule="auto"/>
        <w:ind w:left="1147" w:right="1327"/>
        <w:jc w:val="both"/>
      </w:pPr>
      <w:r>
        <w:rPr>
          <w:color w:val="231F20"/>
        </w:rPr>
        <w:t>Her father, the pastor Helmut Ensslin, had been similarly warned. As    he</w:t>
      </w:r>
      <w:r>
        <w:rPr>
          <w:color w:val="231F20"/>
          <w:spacing w:val="12"/>
        </w:rPr>
        <w:t xml:space="preserve"> </w:t>
      </w:r>
      <w:r>
        <w:rPr>
          <w:color w:val="231F20"/>
        </w:rPr>
        <w:t>would</w:t>
      </w:r>
      <w:r>
        <w:rPr>
          <w:color w:val="231F20"/>
          <w:spacing w:val="12"/>
        </w:rPr>
        <w:t xml:space="preserve"> </w:t>
      </w:r>
      <w:r>
        <w:rPr>
          <w:color w:val="231F20"/>
        </w:rPr>
        <w:t>tell</w:t>
      </w:r>
      <w:r>
        <w:rPr>
          <w:color w:val="231F20"/>
          <w:spacing w:val="12"/>
        </w:rPr>
        <w:t xml:space="preserve"> </w:t>
      </w:r>
      <w:r>
        <w:rPr>
          <w:color w:val="231F20"/>
        </w:rPr>
        <w:t>the</w:t>
      </w:r>
      <w:r>
        <w:rPr>
          <w:color w:val="231F20"/>
          <w:spacing w:val="12"/>
        </w:rPr>
        <w:t xml:space="preserve"> </w:t>
      </w:r>
      <w:r>
        <w:rPr>
          <w:color w:val="231F20"/>
        </w:rPr>
        <w:t>Italian</w:t>
      </w:r>
      <w:r>
        <w:rPr>
          <w:color w:val="231F20"/>
          <w:spacing w:val="12"/>
        </w:rPr>
        <w:t xml:space="preserve"> </w:t>
      </w:r>
      <w:r>
        <w:rPr>
          <w:color w:val="231F20"/>
        </w:rPr>
        <w:t>magazine</w:t>
      </w:r>
      <w:r>
        <w:rPr>
          <w:color w:val="231F20"/>
          <w:spacing w:val="12"/>
        </w:rPr>
        <w:t xml:space="preserve"> </w:t>
      </w:r>
      <w:r>
        <w:rPr>
          <w:i/>
          <w:color w:val="231F20"/>
          <w:spacing w:val="2"/>
        </w:rPr>
        <w:t>Lotta</w:t>
      </w:r>
      <w:r>
        <w:rPr>
          <w:i/>
          <w:color w:val="231F20"/>
          <w:spacing w:val="12"/>
        </w:rPr>
        <w:t xml:space="preserve"> </w:t>
      </w:r>
      <w:r>
        <w:rPr>
          <w:i/>
          <w:color w:val="231F20"/>
        </w:rPr>
        <w:t>Continua</w:t>
      </w:r>
      <w:r>
        <w:rPr>
          <w:color w:val="231F20"/>
        </w:rPr>
        <w:t>:</w:t>
      </w:r>
    </w:p>
    <w:p w14:paraId="28C5EB60" w14:textId="77777777" w:rsidR="002653E8" w:rsidRDefault="003115E3">
      <w:pPr>
        <w:spacing w:before="127" w:line="276" w:lineRule="auto"/>
        <w:ind w:left="1567" w:right="1745"/>
        <w:jc w:val="both"/>
        <w:rPr>
          <w:i/>
          <w:sz w:val="11"/>
        </w:rPr>
      </w:pPr>
      <w:r>
        <w:rPr>
          <w:i/>
          <w:color w:val="231F20"/>
          <w:w w:val="105"/>
          <w:sz w:val="19"/>
        </w:rPr>
        <w:t>I</w:t>
      </w:r>
      <w:r>
        <w:rPr>
          <w:i/>
          <w:color w:val="231F20"/>
          <w:spacing w:val="-17"/>
          <w:w w:val="105"/>
          <w:sz w:val="19"/>
        </w:rPr>
        <w:t xml:space="preserve"> </w:t>
      </w:r>
      <w:r>
        <w:rPr>
          <w:i/>
          <w:color w:val="231F20"/>
          <w:w w:val="105"/>
          <w:sz w:val="19"/>
        </w:rPr>
        <w:t>am</w:t>
      </w:r>
      <w:r>
        <w:rPr>
          <w:i/>
          <w:color w:val="231F20"/>
          <w:spacing w:val="-17"/>
          <w:w w:val="105"/>
          <w:sz w:val="19"/>
        </w:rPr>
        <w:t xml:space="preserve"> </w:t>
      </w:r>
      <w:r>
        <w:rPr>
          <w:i/>
          <w:color w:val="231F20"/>
          <w:w w:val="105"/>
          <w:sz w:val="19"/>
        </w:rPr>
        <w:t>convinced</w:t>
      </w:r>
      <w:r>
        <w:rPr>
          <w:i/>
          <w:color w:val="231F20"/>
          <w:spacing w:val="-17"/>
          <w:w w:val="105"/>
          <w:sz w:val="19"/>
        </w:rPr>
        <w:t xml:space="preserve"> </w:t>
      </w:r>
      <w:r>
        <w:rPr>
          <w:i/>
          <w:color w:val="231F20"/>
          <w:w w:val="105"/>
          <w:sz w:val="19"/>
        </w:rPr>
        <w:t>that</w:t>
      </w:r>
      <w:r>
        <w:rPr>
          <w:i/>
          <w:color w:val="231F20"/>
          <w:spacing w:val="-17"/>
          <w:w w:val="105"/>
          <w:sz w:val="19"/>
        </w:rPr>
        <w:t xml:space="preserve"> </w:t>
      </w:r>
      <w:r>
        <w:rPr>
          <w:i/>
          <w:color w:val="231F20"/>
          <w:w w:val="105"/>
          <w:sz w:val="19"/>
        </w:rPr>
        <w:t>she</w:t>
      </w:r>
      <w:r>
        <w:rPr>
          <w:i/>
          <w:color w:val="231F20"/>
          <w:spacing w:val="-17"/>
          <w:w w:val="105"/>
          <w:sz w:val="19"/>
        </w:rPr>
        <w:t xml:space="preserve"> </w:t>
      </w:r>
      <w:r>
        <w:rPr>
          <w:i/>
          <w:color w:val="231F20"/>
          <w:w w:val="105"/>
          <w:sz w:val="19"/>
        </w:rPr>
        <w:t>was</w:t>
      </w:r>
      <w:r>
        <w:rPr>
          <w:i/>
          <w:color w:val="231F20"/>
          <w:spacing w:val="-17"/>
          <w:w w:val="105"/>
          <w:sz w:val="19"/>
        </w:rPr>
        <w:t xml:space="preserve"> </w:t>
      </w:r>
      <w:r>
        <w:rPr>
          <w:i/>
          <w:color w:val="231F20"/>
          <w:w w:val="105"/>
          <w:sz w:val="19"/>
        </w:rPr>
        <w:t>murdered.</w:t>
      </w:r>
      <w:r>
        <w:rPr>
          <w:i/>
          <w:color w:val="231F20"/>
          <w:spacing w:val="-21"/>
          <w:w w:val="105"/>
          <w:sz w:val="19"/>
        </w:rPr>
        <w:t xml:space="preserve"> </w:t>
      </w:r>
      <w:r>
        <w:rPr>
          <w:i/>
          <w:color w:val="231F20"/>
          <w:w w:val="105"/>
          <w:sz w:val="19"/>
        </w:rPr>
        <w:t>She</w:t>
      </w:r>
      <w:r>
        <w:rPr>
          <w:i/>
          <w:color w:val="231F20"/>
          <w:spacing w:val="-17"/>
          <w:w w:val="105"/>
          <w:sz w:val="19"/>
        </w:rPr>
        <w:t xml:space="preserve"> </w:t>
      </w:r>
      <w:r>
        <w:rPr>
          <w:i/>
          <w:color w:val="231F20"/>
          <w:w w:val="105"/>
          <w:sz w:val="19"/>
        </w:rPr>
        <w:t>was</w:t>
      </w:r>
      <w:r>
        <w:rPr>
          <w:i/>
          <w:color w:val="231F20"/>
          <w:spacing w:val="-17"/>
          <w:w w:val="105"/>
          <w:sz w:val="19"/>
        </w:rPr>
        <w:t xml:space="preserve"> </w:t>
      </w:r>
      <w:r>
        <w:rPr>
          <w:i/>
          <w:color w:val="231F20"/>
          <w:w w:val="105"/>
          <w:sz w:val="19"/>
        </w:rPr>
        <w:t>always</w:t>
      </w:r>
      <w:r>
        <w:rPr>
          <w:i/>
          <w:color w:val="231F20"/>
          <w:spacing w:val="-17"/>
          <w:w w:val="105"/>
          <w:sz w:val="19"/>
        </w:rPr>
        <w:t xml:space="preserve"> </w:t>
      </w:r>
      <w:r>
        <w:rPr>
          <w:i/>
          <w:color w:val="231F20"/>
          <w:w w:val="105"/>
          <w:sz w:val="19"/>
        </w:rPr>
        <w:t>afraid</w:t>
      </w:r>
      <w:r>
        <w:rPr>
          <w:i/>
          <w:color w:val="231F20"/>
          <w:spacing w:val="-17"/>
          <w:w w:val="105"/>
          <w:sz w:val="19"/>
        </w:rPr>
        <w:t xml:space="preserve"> </w:t>
      </w:r>
      <w:r>
        <w:rPr>
          <w:i/>
          <w:color w:val="231F20"/>
          <w:w w:val="105"/>
          <w:sz w:val="19"/>
        </w:rPr>
        <w:t xml:space="preserve">that she would be murdered, even in the case of being liberated and going out of the </w:t>
      </w:r>
      <w:r>
        <w:rPr>
          <w:i/>
          <w:color w:val="231F20"/>
          <w:spacing w:val="-3"/>
          <w:w w:val="105"/>
          <w:sz w:val="19"/>
        </w:rPr>
        <w:t xml:space="preserve">country. </w:t>
      </w:r>
      <w:r>
        <w:rPr>
          <w:i/>
          <w:color w:val="231F20"/>
          <w:w w:val="105"/>
          <w:sz w:val="19"/>
        </w:rPr>
        <w:t xml:space="preserve">After the death of Ulrike, she told me that it might end that </w:t>
      </w:r>
      <w:r>
        <w:rPr>
          <w:i/>
          <w:color w:val="231F20"/>
          <w:spacing w:val="-7"/>
          <w:w w:val="105"/>
          <w:sz w:val="19"/>
        </w:rPr>
        <w:t xml:space="preserve">way. </w:t>
      </w:r>
      <w:r>
        <w:rPr>
          <w:i/>
          <w:color w:val="231F20"/>
          <w:w w:val="105"/>
          <w:sz w:val="19"/>
        </w:rPr>
        <w:t xml:space="preserve">And, for </w:t>
      </w:r>
      <w:r>
        <w:rPr>
          <w:i/>
          <w:color w:val="231F20"/>
          <w:spacing w:val="-6"/>
          <w:w w:val="105"/>
          <w:sz w:val="19"/>
        </w:rPr>
        <w:t xml:space="preserve">her, </w:t>
      </w:r>
      <w:r>
        <w:rPr>
          <w:i/>
          <w:color w:val="231F20"/>
          <w:w w:val="105"/>
          <w:sz w:val="19"/>
        </w:rPr>
        <w:t>a suicide was absolutely out</w:t>
      </w:r>
      <w:r>
        <w:rPr>
          <w:i/>
          <w:color w:val="231F20"/>
          <w:spacing w:val="-6"/>
          <w:w w:val="105"/>
          <w:sz w:val="19"/>
        </w:rPr>
        <w:t xml:space="preserve"> </w:t>
      </w:r>
      <w:r>
        <w:rPr>
          <w:i/>
          <w:color w:val="231F20"/>
          <w:w w:val="105"/>
          <w:sz w:val="19"/>
        </w:rPr>
        <w:t>of</w:t>
      </w:r>
      <w:r>
        <w:rPr>
          <w:i/>
          <w:color w:val="231F20"/>
          <w:spacing w:val="-6"/>
          <w:w w:val="105"/>
          <w:sz w:val="19"/>
        </w:rPr>
        <w:t xml:space="preserve"> </w:t>
      </w:r>
      <w:r>
        <w:rPr>
          <w:i/>
          <w:color w:val="231F20"/>
          <w:w w:val="105"/>
          <w:sz w:val="19"/>
        </w:rPr>
        <w:t>the</w:t>
      </w:r>
      <w:r>
        <w:rPr>
          <w:i/>
          <w:color w:val="231F20"/>
          <w:spacing w:val="-6"/>
          <w:w w:val="105"/>
          <w:sz w:val="19"/>
        </w:rPr>
        <w:t xml:space="preserve"> </w:t>
      </w:r>
      <w:r>
        <w:rPr>
          <w:i/>
          <w:color w:val="231F20"/>
          <w:w w:val="105"/>
          <w:sz w:val="19"/>
        </w:rPr>
        <w:t>question.</w:t>
      </w:r>
      <w:r>
        <w:rPr>
          <w:i/>
          <w:color w:val="231F20"/>
          <w:spacing w:val="-12"/>
          <w:w w:val="105"/>
          <w:sz w:val="19"/>
        </w:rPr>
        <w:t xml:space="preserve"> </w:t>
      </w:r>
      <w:r>
        <w:rPr>
          <w:i/>
          <w:color w:val="231F20"/>
          <w:w w:val="105"/>
          <w:sz w:val="19"/>
        </w:rPr>
        <w:t>Gudrun</w:t>
      </w:r>
      <w:r>
        <w:rPr>
          <w:i/>
          <w:color w:val="231F20"/>
          <w:spacing w:val="-6"/>
          <w:w w:val="105"/>
          <w:sz w:val="19"/>
        </w:rPr>
        <w:t xml:space="preserve"> </w:t>
      </w:r>
      <w:r>
        <w:rPr>
          <w:i/>
          <w:color w:val="231F20"/>
          <w:w w:val="105"/>
          <w:sz w:val="19"/>
        </w:rPr>
        <w:t>had</w:t>
      </w:r>
      <w:r>
        <w:rPr>
          <w:i/>
          <w:color w:val="231F20"/>
          <w:spacing w:val="-6"/>
          <w:w w:val="105"/>
          <w:sz w:val="19"/>
        </w:rPr>
        <w:t xml:space="preserve"> </w:t>
      </w:r>
      <w:r>
        <w:rPr>
          <w:i/>
          <w:color w:val="231F20"/>
          <w:w w:val="105"/>
          <w:sz w:val="19"/>
        </w:rPr>
        <w:t>never</w:t>
      </w:r>
      <w:r>
        <w:rPr>
          <w:i/>
          <w:color w:val="231F20"/>
          <w:spacing w:val="-6"/>
          <w:w w:val="105"/>
          <w:sz w:val="19"/>
        </w:rPr>
        <w:t xml:space="preserve"> </w:t>
      </w:r>
      <w:r>
        <w:rPr>
          <w:i/>
          <w:color w:val="231F20"/>
          <w:w w:val="105"/>
          <w:sz w:val="19"/>
        </w:rPr>
        <w:t>lied,</w:t>
      </w:r>
      <w:r>
        <w:rPr>
          <w:i/>
          <w:color w:val="231F20"/>
          <w:spacing w:val="-12"/>
          <w:w w:val="105"/>
          <w:sz w:val="19"/>
        </w:rPr>
        <w:t xml:space="preserve"> </w:t>
      </w:r>
      <w:r>
        <w:rPr>
          <w:i/>
          <w:color w:val="231F20"/>
          <w:w w:val="105"/>
          <w:sz w:val="19"/>
        </w:rPr>
        <w:t>just</w:t>
      </w:r>
      <w:r>
        <w:rPr>
          <w:i/>
          <w:color w:val="231F20"/>
          <w:spacing w:val="-6"/>
          <w:w w:val="105"/>
          <w:sz w:val="19"/>
        </w:rPr>
        <w:t xml:space="preserve"> </w:t>
      </w:r>
      <w:r>
        <w:rPr>
          <w:i/>
          <w:color w:val="231F20"/>
          <w:w w:val="105"/>
          <w:sz w:val="19"/>
        </w:rPr>
        <w:t>as</w:t>
      </w:r>
      <w:r>
        <w:rPr>
          <w:i/>
          <w:color w:val="231F20"/>
          <w:spacing w:val="-6"/>
          <w:w w:val="105"/>
          <w:sz w:val="19"/>
        </w:rPr>
        <w:t xml:space="preserve"> </w:t>
      </w:r>
      <w:r>
        <w:rPr>
          <w:i/>
          <w:color w:val="231F20"/>
          <w:w w:val="105"/>
          <w:sz w:val="19"/>
        </w:rPr>
        <w:t>the</w:t>
      </w:r>
      <w:r>
        <w:rPr>
          <w:i/>
          <w:color w:val="231F20"/>
          <w:spacing w:val="-6"/>
          <w:w w:val="105"/>
          <w:sz w:val="19"/>
        </w:rPr>
        <w:t xml:space="preserve"> </w:t>
      </w:r>
      <w:r>
        <w:rPr>
          <w:i/>
          <w:color w:val="231F20"/>
          <w:w w:val="105"/>
          <w:sz w:val="19"/>
        </w:rPr>
        <w:t>others</w:t>
      </w:r>
      <w:r>
        <w:rPr>
          <w:i/>
          <w:color w:val="231F20"/>
          <w:spacing w:val="-6"/>
          <w:w w:val="105"/>
          <w:sz w:val="19"/>
        </w:rPr>
        <w:t xml:space="preserve"> </w:t>
      </w:r>
      <w:r>
        <w:rPr>
          <w:i/>
          <w:color w:val="231F20"/>
          <w:w w:val="105"/>
          <w:sz w:val="19"/>
        </w:rPr>
        <w:t xml:space="preserve">from the </w:t>
      </w:r>
      <w:r w:rsidR="00C507A5">
        <w:rPr>
          <w:i/>
          <w:color w:val="231F20"/>
          <w:w w:val="105"/>
          <w:sz w:val="19"/>
        </w:rPr>
        <w:t>red army faction</w:t>
      </w:r>
      <w:r>
        <w:rPr>
          <w:i/>
          <w:color w:val="231F20"/>
          <w:w w:val="105"/>
          <w:sz w:val="19"/>
        </w:rPr>
        <w:t xml:space="preserve"> have never lied; they always took responsibility for their deeds.</w:t>
      </w:r>
      <w:r>
        <w:rPr>
          <w:i/>
          <w:color w:val="231F20"/>
          <w:w w:val="105"/>
          <w:position w:val="6"/>
          <w:sz w:val="11"/>
        </w:rPr>
        <w:t>3</w:t>
      </w:r>
    </w:p>
    <w:p w14:paraId="4BE39C17" w14:textId="77777777" w:rsidR="002653E8" w:rsidRDefault="002653E8">
      <w:pPr>
        <w:pStyle w:val="a3"/>
        <w:rPr>
          <w:i/>
        </w:rPr>
      </w:pPr>
    </w:p>
    <w:p w14:paraId="75E7EC81" w14:textId="77777777" w:rsidR="002653E8" w:rsidRDefault="00000000">
      <w:pPr>
        <w:pStyle w:val="a3"/>
        <w:spacing w:before="4"/>
        <w:rPr>
          <w:i/>
          <w:sz w:val="11"/>
        </w:rPr>
      </w:pPr>
      <w:r>
        <w:rPr>
          <w:noProof w:val="0"/>
        </w:rPr>
        <w:pict w14:anchorId="6F00E0CB">
          <v:line id="_x0000_s2165" style="position:absolute;z-index:10696;mso-wrap-distance-left:0;mso-wrap-distance-right:0;mso-position-horizontal-relative:page" from="57.4pt,8.85pt" to="129.4pt,8.85pt" strokecolor="#231f20" strokeweight=".5pt">
            <w10:wrap type="topAndBottom" anchorx="page"/>
          </v:line>
        </w:pict>
      </w:r>
    </w:p>
    <w:p w14:paraId="5D68FC02" w14:textId="77777777" w:rsidR="002653E8" w:rsidRDefault="003115E3">
      <w:pPr>
        <w:spacing w:before="53"/>
        <w:ind w:left="1147"/>
        <w:rPr>
          <w:sz w:val="16"/>
        </w:rPr>
      </w:pPr>
      <w:r>
        <w:rPr>
          <w:color w:val="231F20"/>
          <w:w w:val="110"/>
          <w:sz w:val="16"/>
        </w:rPr>
        <w:t>1 Aust, 489.</w:t>
      </w:r>
    </w:p>
    <w:p w14:paraId="1F98CF57" w14:textId="77777777" w:rsidR="002653E8" w:rsidRDefault="003115E3">
      <w:pPr>
        <w:pStyle w:val="a4"/>
        <w:numPr>
          <w:ilvl w:val="0"/>
          <w:numId w:val="50"/>
        </w:numPr>
        <w:tabs>
          <w:tab w:val="left" w:pos="1287"/>
        </w:tabs>
        <w:spacing w:before="51"/>
        <w:ind w:left="1286"/>
        <w:rPr>
          <w:sz w:val="16"/>
        </w:rPr>
      </w:pPr>
      <w:r>
        <w:rPr>
          <w:color w:val="231F20"/>
          <w:w w:val="115"/>
          <w:sz w:val="16"/>
        </w:rPr>
        <w:t>Ryan,</w:t>
      </w:r>
      <w:r>
        <w:rPr>
          <w:color w:val="231F20"/>
          <w:spacing w:val="5"/>
          <w:w w:val="115"/>
          <w:sz w:val="16"/>
        </w:rPr>
        <w:t xml:space="preserve"> </w:t>
      </w:r>
      <w:r>
        <w:rPr>
          <w:color w:val="231F20"/>
          <w:w w:val="115"/>
          <w:sz w:val="16"/>
        </w:rPr>
        <w:t>66.</w:t>
      </w:r>
    </w:p>
    <w:p w14:paraId="445704B0" w14:textId="77777777" w:rsidR="002653E8" w:rsidRDefault="003115E3">
      <w:pPr>
        <w:pStyle w:val="a4"/>
        <w:numPr>
          <w:ilvl w:val="0"/>
          <w:numId w:val="50"/>
        </w:numPr>
        <w:tabs>
          <w:tab w:val="left" w:pos="1287"/>
        </w:tabs>
        <w:spacing w:before="55" w:line="242" w:lineRule="auto"/>
        <w:ind w:right="1533" w:hanging="1"/>
        <w:rPr>
          <w:sz w:val="16"/>
        </w:rPr>
      </w:pPr>
      <w:r>
        <w:rPr>
          <w:i/>
          <w:color w:val="231F20"/>
          <w:w w:val="110"/>
          <w:sz w:val="20"/>
        </w:rPr>
        <w:t>Informationsdienst</w:t>
      </w:r>
      <w:r>
        <w:rPr>
          <w:i/>
          <w:color w:val="231F20"/>
          <w:w w:val="110"/>
          <w:sz w:val="16"/>
        </w:rPr>
        <w:t>,</w:t>
      </w:r>
      <w:r>
        <w:rPr>
          <w:i/>
          <w:color w:val="231F20"/>
          <w:spacing w:val="-8"/>
          <w:w w:val="110"/>
          <w:sz w:val="16"/>
        </w:rPr>
        <w:t xml:space="preserve"> </w:t>
      </w:r>
      <w:r>
        <w:rPr>
          <w:color w:val="231F20"/>
          <w:w w:val="110"/>
          <w:sz w:val="16"/>
        </w:rPr>
        <w:t>no.</w:t>
      </w:r>
      <w:r>
        <w:rPr>
          <w:color w:val="231F20"/>
          <w:spacing w:val="-8"/>
          <w:w w:val="110"/>
          <w:sz w:val="16"/>
        </w:rPr>
        <w:t xml:space="preserve"> </w:t>
      </w:r>
      <w:r>
        <w:rPr>
          <w:color w:val="231F20"/>
          <w:w w:val="110"/>
          <w:sz w:val="16"/>
        </w:rPr>
        <w:t>202,</w:t>
      </w:r>
      <w:r>
        <w:rPr>
          <w:color w:val="231F20"/>
          <w:spacing w:val="-8"/>
          <w:w w:val="110"/>
          <w:sz w:val="16"/>
        </w:rPr>
        <w:t xml:space="preserve"> </w:t>
      </w:r>
      <w:r>
        <w:rPr>
          <w:color w:val="231F20"/>
          <w:w w:val="110"/>
          <w:sz w:val="16"/>
        </w:rPr>
        <w:t>November</w:t>
      </w:r>
      <w:r>
        <w:rPr>
          <w:color w:val="231F20"/>
          <w:spacing w:val="-8"/>
          <w:w w:val="110"/>
          <w:sz w:val="16"/>
        </w:rPr>
        <w:t xml:space="preserve"> </w:t>
      </w:r>
      <w:r>
        <w:rPr>
          <w:color w:val="231F20"/>
          <w:w w:val="110"/>
          <w:sz w:val="16"/>
        </w:rPr>
        <w:t>5,</w:t>
      </w:r>
      <w:r>
        <w:rPr>
          <w:color w:val="231F20"/>
          <w:spacing w:val="-8"/>
          <w:w w:val="110"/>
          <w:sz w:val="16"/>
        </w:rPr>
        <w:t xml:space="preserve"> </w:t>
      </w:r>
      <w:r>
        <w:rPr>
          <w:color w:val="231F20"/>
          <w:spacing w:val="-4"/>
          <w:w w:val="110"/>
          <w:sz w:val="16"/>
        </w:rPr>
        <w:t>1977,</w:t>
      </w:r>
      <w:r>
        <w:rPr>
          <w:color w:val="231F20"/>
          <w:spacing w:val="-8"/>
          <w:w w:val="110"/>
          <w:sz w:val="16"/>
        </w:rPr>
        <w:t xml:space="preserve"> </w:t>
      </w:r>
      <w:r>
        <w:rPr>
          <w:color w:val="231F20"/>
          <w:w w:val="110"/>
          <w:sz w:val="16"/>
        </w:rPr>
        <w:t>quoted</w:t>
      </w:r>
      <w:r>
        <w:rPr>
          <w:color w:val="231F20"/>
          <w:spacing w:val="-8"/>
          <w:w w:val="110"/>
          <w:sz w:val="16"/>
        </w:rPr>
        <w:t xml:space="preserve"> </w:t>
      </w:r>
      <w:r>
        <w:rPr>
          <w:color w:val="231F20"/>
          <w:w w:val="110"/>
          <w:sz w:val="16"/>
        </w:rPr>
        <w:t>in</w:t>
      </w:r>
      <w:r>
        <w:rPr>
          <w:color w:val="231F20"/>
          <w:spacing w:val="-8"/>
          <w:w w:val="110"/>
          <w:sz w:val="16"/>
        </w:rPr>
        <w:t xml:space="preserve"> </w:t>
      </w:r>
      <w:r>
        <w:rPr>
          <w:i/>
          <w:color w:val="231F20"/>
          <w:w w:val="110"/>
          <w:sz w:val="16"/>
        </w:rPr>
        <w:t>Cienfuegos</w:t>
      </w:r>
      <w:r>
        <w:rPr>
          <w:i/>
          <w:color w:val="231F20"/>
          <w:spacing w:val="-8"/>
          <w:w w:val="110"/>
          <w:sz w:val="16"/>
        </w:rPr>
        <w:t xml:space="preserve"> </w:t>
      </w:r>
      <w:r>
        <w:rPr>
          <w:i/>
          <w:color w:val="231F20"/>
          <w:w w:val="110"/>
          <w:sz w:val="16"/>
        </w:rPr>
        <w:t xml:space="preserve">Press Anarchist </w:t>
      </w:r>
      <w:r>
        <w:rPr>
          <w:i/>
          <w:color w:val="231F20"/>
          <w:spacing w:val="1"/>
          <w:w w:val="110"/>
          <w:sz w:val="16"/>
        </w:rPr>
        <w:t xml:space="preserve">Review, </w:t>
      </w:r>
      <w:r>
        <w:rPr>
          <w:color w:val="231F20"/>
          <w:w w:val="110"/>
          <w:sz w:val="16"/>
        </w:rPr>
        <w:t xml:space="preserve">“The </w:t>
      </w:r>
      <w:r>
        <w:rPr>
          <w:color w:val="231F20"/>
          <w:spacing w:val="1"/>
          <w:w w:val="110"/>
          <w:sz w:val="16"/>
        </w:rPr>
        <w:t>Stammheim</w:t>
      </w:r>
      <w:r>
        <w:rPr>
          <w:color w:val="231F20"/>
          <w:spacing w:val="25"/>
          <w:w w:val="110"/>
          <w:sz w:val="16"/>
        </w:rPr>
        <w:t xml:space="preserve"> </w:t>
      </w:r>
      <w:r>
        <w:rPr>
          <w:color w:val="231F20"/>
          <w:w w:val="110"/>
          <w:sz w:val="16"/>
        </w:rPr>
        <w:t>Deaths.”</w:t>
      </w:r>
    </w:p>
    <w:p w14:paraId="595BA3BC" w14:textId="77777777" w:rsidR="002653E8" w:rsidRDefault="002653E8">
      <w:pPr>
        <w:spacing w:line="242" w:lineRule="auto"/>
        <w:rPr>
          <w:sz w:val="16"/>
        </w:rPr>
        <w:sectPr w:rsidR="002653E8">
          <w:pgSz w:w="8640" w:h="12960"/>
          <w:pgMar w:top="1060" w:right="0" w:bottom="1040" w:left="0" w:header="0" w:footer="850" w:gutter="0"/>
          <w:cols w:space="720"/>
        </w:sectPr>
      </w:pPr>
    </w:p>
    <w:p w14:paraId="2BA54E4C" w14:textId="77777777" w:rsidR="002653E8" w:rsidRDefault="003115E3">
      <w:pPr>
        <w:pStyle w:val="a3"/>
        <w:spacing w:before="86" w:line="264" w:lineRule="auto"/>
        <w:ind w:left="1327" w:right="1147"/>
        <w:jc w:val="both"/>
      </w:pPr>
      <w:r>
        <w:rPr>
          <w:color w:val="231F20"/>
          <w:spacing w:val="1"/>
        </w:rPr>
        <w:lastRenderedPageBreak/>
        <w:t xml:space="preserve">In </w:t>
      </w:r>
      <w:r>
        <w:rPr>
          <w:color w:val="231F20"/>
        </w:rPr>
        <w:t xml:space="preserve">conversation with two prison chaplains on  the  afternoon  of  October </w:t>
      </w:r>
      <w:r>
        <w:rPr>
          <w:color w:val="231F20"/>
          <w:spacing w:val="-7"/>
        </w:rPr>
        <w:t xml:space="preserve">17, </w:t>
      </w:r>
      <w:r>
        <w:rPr>
          <w:color w:val="231F20"/>
        </w:rPr>
        <w:t>Ensslin had explained that there were three sheets of paper kept</w:t>
      </w:r>
      <w:r>
        <w:rPr>
          <w:color w:val="231F20"/>
          <w:spacing w:val="12"/>
        </w:rPr>
        <w:t xml:space="preserve"> </w:t>
      </w:r>
      <w:r>
        <w:rPr>
          <w:color w:val="231F20"/>
        </w:rPr>
        <w:t>in</w:t>
      </w:r>
      <w:r>
        <w:rPr>
          <w:color w:val="231F20"/>
          <w:spacing w:val="12"/>
        </w:rPr>
        <w:t xml:space="preserve"> </w:t>
      </w:r>
      <w:r>
        <w:rPr>
          <w:color w:val="231F20"/>
        </w:rPr>
        <w:t>a</w:t>
      </w:r>
      <w:r>
        <w:rPr>
          <w:color w:val="231F20"/>
          <w:spacing w:val="12"/>
        </w:rPr>
        <w:t xml:space="preserve"> </w:t>
      </w:r>
      <w:r>
        <w:rPr>
          <w:color w:val="231F20"/>
        </w:rPr>
        <w:t>file</w:t>
      </w:r>
      <w:r>
        <w:rPr>
          <w:color w:val="231F20"/>
          <w:spacing w:val="12"/>
        </w:rPr>
        <w:t xml:space="preserve"> </w:t>
      </w:r>
      <w:r>
        <w:rPr>
          <w:color w:val="231F20"/>
        </w:rPr>
        <w:t>in</w:t>
      </w:r>
      <w:r>
        <w:rPr>
          <w:color w:val="231F20"/>
          <w:spacing w:val="12"/>
        </w:rPr>
        <w:t xml:space="preserve"> </w:t>
      </w:r>
      <w:r>
        <w:rPr>
          <w:color w:val="231F20"/>
        </w:rPr>
        <w:t>her</w:t>
      </w:r>
      <w:r>
        <w:rPr>
          <w:color w:val="231F20"/>
          <w:spacing w:val="12"/>
        </w:rPr>
        <w:t xml:space="preserve"> </w:t>
      </w:r>
      <w:r>
        <w:rPr>
          <w:color w:val="231F20"/>
        </w:rPr>
        <w:t>cell,</w:t>
      </w:r>
      <w:r>
        <w:rPr>
          <w:color w:val="231F20"/>
          <w:spacing w:val="12"/>
        </w:rPr>
        <w:t xml:space="preserve"> </w:t>
      </w:r>
      <w:r>
        <w:rPr>
          <w:color w:val="231F20"/>
        </w:rPr>
        <w:t>containing</w:t>
      </w:r>
      <w:r>
        <w:rPr>
          <w:color w:val="231F20"/>
          <w:spacing w:val="12"/>
        </w:rPr>
        <w:t xml:space="preserve"> </w:t>
      </w:r>
      <w:r>
        <w:rPr>
          <w:color w:val="231F20"/>
        </w:rPr>
        <w:t>important</w:t>
      </w:r>
      <w:r>
        <w:rPr>
          <w:color w:val="231F20"/>
          <w:spacing w:val="12"/>
        </w:rPr>
        <w:t xml:space="preserve"> </w:t>
      </w:r>
      <w:r>
        <w:rPr>
          <w:color w:val="231F20"/>
        </w:rPr>
        <w:t>information.</w:t>
      </w:r>
    </w:p>
    <w:p w14:paraId="7FB97BC4" w14:textId="77777777" w:rsidR="002653E8" w:rsidRDefault="003115E3">
      <w:pPr>
        <w:pStyle w:val="a3"/>
        <w:spacing w:line="264" w:lineRule="auto"/>
        <w:ind w:left="1328" w:right="1146" w:firstLine="210"/>
        <w:jc w:val="both"/>
        <w:rPr>
          <w:sz w:val="11"/>
        </w:rPr>
      </w:pPr>
      <w:r>
        <w:rPr>
          <w:color w:val="231F20"/>
        </w:rPr>
        <w:t>“They should be sent to the head of the Chancellery if they do away with me, or if I’m executed,” she had said. “Please would you see that they get there? I’m afraid that otherwise the Federal Prosecutor will suppress or destroy them.”</w:t>
      </w:r>
      <w:r>
        <w:rPr>
          <w:color w:val="231F20"/>
          <w:position w:val="7"/>
          <w:sz w:val="11"/>
        </w:rPr>
        <w:t>4</w:t>
      </w:r>
    </w:p>
    <w:p w14:paraId="09CE1D52" w14:textId="77777777" w:rsidR="002653E8" w:rsidRDefault="003115E3">
      <w:pPr>
        <w:pStyle w:val="a3"/>
        <w:spacing w:line="264" w:lineRule="auto"/>
        <w:ind w:left="1327" w:right="1148" w:firstLine="210"/>
        <w:jc w:val="both"/>
        <w:rPr>
          <w:sz w:val="11"/>
        </w:rPr>
      </w:pPr>
      <w:r>
        <w:rPr>
          <w:color w:val="231F20"/>
        </w:rPr>
        <w:t xml:space="preserve">Needless to </w:t>
      </w:r>
      <w:r>
        <w:rPr>
          <w:color w:val="231F20"/>
          <w:spacing w:val="-4"/>
        </w:rPr>
        <w:t xml:space="preserve">say, </w:t>
      </w:r>
      <w:r>
        <w:rPr>
          <w:color w:val="231F20"/>
        </w:rPr>
        <w:t>according to the official account, these three sheets  of paper were never</w:t>
      </w:r>
      <w:r>
        <w:rPr>
          <w:color w:val="231F20"/>
          <w:spacing w:val="41"/>
        </w:rPr>
        <w:t xml:space="preserve"> </w:t>
      </w:r>
      <w:r>
        <w:rPr>
          <w:color w:val="231F20"/>
        </w:rPr>
        <w:t>found.</w:t>
      </w:r>
      <w:r>
        <w:rPr>
          <w:color w:val="231F20"/>
          <w:position w:val="7"/>
          <w:sz w:val="11"/>
        </w:rPr>
        <w:t>5</w:t>
      </w:r>
    </w:p>
    <w:p w14:paraId="434783DE" w14:textId="77777777" w:rsidR="002653E8" w:rsidRDefault="003115E3">
      <w:pPr>
        <w:pStyle w:val="a3"/>
        <w:spacing w:line="264" w:lineRule="auto"/>
        <w:ind w:left="1327" w:right="1145" w:firstLine="210"/>
        <w:jc w:val="both"/>
      </w:pPr>
      <w:r>
        <w:rPr>
          <w:color w:val="231F20"/>
        </w:rPr>
        <w:t xml:space="preserve">Although no independent body was ever formed to investigate the Stammheim deaths, the International Investigatory Commission into the Death of Ulrike Meinhof was still sitting at the time. They had several </w:t>
      </w:r>
      <w:r>
        <w:rPr>
          <w:color w:val="231F20"/>
          <w:spacing w:val="2"/>
        </w:rPr>
        <w:t>i</w:t>
      </w:r>
      <w:r>
        <w:rPr>
          <w:color w:val="231F20"/>
          <w:spacing w:val="-2"/>
          <w:w w:val="99"/>
        </w:rPr>
        <w:t>n</w:t>
      </w:r>
      <w:r>
        <w:rPr>
          <w:color w:val="231F20"/>
          <w:w w:val="98"/>
        </w:rPr>
        <w:t>t</w:t>
      </w:r>
      <w:r>
        <w:rPr>
          <w:color w:val="231F20"/>
          <w:w w:val="92"/>
        </w:rPr>
        <w:t>e</w:t>
      </w:r>
      <w:r>
        <w:rPr>
          <w:color w:val="231F20"/>
          <w:spacing w:val="-1"/>
          <w:w w:val="92"/>
        </w:rPr>
        <w:t>r</w:t>
      </w:r>
      <w:r>
        <w:rPr>
          <w:color w:val="231F20"/>
          <w:spacing w:val="1"/>
          <w:w w:val="91"/>
        </w:rPr>
        <w:t>e</w:t>
      </w:r>
      <w:r>
        <w:rPr>
          <w:color w:val="231F20"/>
          <w:w w:val="90"/>
        </w:rPr>
        <w:t>s</w:t>
      </w:r>
      <w:r>
        <w:rPr>
          <w:color w:val="231F20"/>
          <w:spacing w:val="2"/>
          <w:w w:val="98"/>
        </w:rPr>
        <w:t>t</w:t>
      </w:r>
      <w:r>
        <w:rPr>
          <w:color w:val="231F20"/>
          <w:spacing w:val="2"/>
        </w:rPr>
        <w:t>i</w:t>
      </w:r>
      <w:r>
        <w:rPr>
          <w:color w:val="231F20"/>
          <w:w w:val="99"/>
        </w:rPr>
        <w:t>n</w:t>
      </w:r>
      <w:r>
        <w:rPr>
          <w:color w:val="231F20"/>
          <w:w w:val="101"/>
        </w:rPr>
        <w:t>g</w:t>
      </w:r>
      <w:r>
        <w:rPr>
          <w:color w:val="231F20"/>
          <w:spacing w:val="15"/>
        </w:rPr>
        <w:t xml:space="preserve"> </w:t>
      </w:r>
      <w:r>
        <w:rPr>
          <w:color w:val="231F20"/>
        </w:rPr>
        <w:t>c</w:t>
      </w:r>
      <w:r>
        <w:rPr>
          <w:color w:val="231F20"/>
          <w:spacing w:val="-1"/>
          <w:w w:val="104"/>
        </w:rPr>
        <w:t>o</w:t>
      </w:r>
      <w:r>
        <w:rPr>
          <w:color w:val="231F20"/>
          <w:spacing w:val="5"/>
          <w:w w:val="99"/>
        </w:rPr>
        <w:t>m</w:t>
      </w:r>
      <w:r>
        <w:rPr>
          <w:color w:val="231F20"/>
          <w:w w:val="99"/>
        </w:rPr>
        <w:t>m</w:t>
      </w:r>
      <w:r>
        <w:rPr>
          <w:color w:val="231F20"/>
          <w:w w:val="91"/>
        </w:rPr>
        <w:t>e</w:t>
      </w:r>
      <w:r>
        <w:rPr>
          <w:color w:val="231F20"/>
          <w:spacing w:val="-2"/>
          <w:w w:val="99"/>
        </w:rPr>
        <w:t>n</w:t>
      </w:r>
      <w:r>
        <w:rPr>
          <w:color w:val="231F20"/>
          <w:spacing w:val="2"/>
          <w:w w:val="98"/>
        </w:rPr>
        <w:t>t</w:t>
      </w:r>
      <w:r>
        <w:rPr>
          <w:color w:val="231F20"/>
          <w:w w:val="90"/>
        </w:rPr>
        <w:t>s</w:t>
      </w:r>
      <w:r>
        <w:rPr>
          <w:color w:val="231F20"/>
          <w:w w:val="135"/>
        </w:rPr>
        <w:t>.</w:t>
      </w:r>
      <w:r>
        <w:rPr>
          <w:color w:val="231F20"/>
          <w:spacing w:val="15"/>
        </w:rPr>
        <w:t xml:space="preserve"> </w:t>
      </w:r>
      <w:r>
        <w:rPr>
          <w:color w:val="231F20"/>
          <w:spacing w:val="5"/>
          <w:w w:val="112"/>
        </w:rPr>
        <w:t>T</w:t>
      </w:r>
      <w:r>
        <w:rPr>
          <w:color w:val="231F20"/>
          <w:spacing w:val="-1"/>
        </w:rPr>
        <w:t>h</w:t>
      </w:r>
      <w:r>
        <w:rPr>
          <w:color w:val="231F20"/>
          <w:w w:val="91"/>
        </w:rPr>
        <w:t>e</w:t>
      </w:r>
      <w:r>
        <w:rPr>
          <w:color w:val="231F20"/>
          <w:w w:val="99"/>
        </w:rPr>
        <w:t>y</w:t>
      </w:r>
      <w:r>
        <w:rPr>
          <w:color w:val="231F20"/>
          <w:spacing w:val="15"/>
        </w:rPr>
        <w:t xml:space="preserve"> </w:t>
      </w:r>
      <w:r>
        <w:rPr>
          <w:color w:val="231F20"/>
          <w:spacing w:val="-2"/>
          <w:w w:val="99"/>
        </w:rPr>
        <w:t>n</w:t>
      </w:r>
      <w:r>
        <w:rPr>
          <w:color w:val="231F20"/>
          <w:spacing w:val="-1"/>
          <w:w w:val="104"/>
        </w:rPr>
        <w:t>o</w:t>
      </w:r>
      <w:r>
        <w:rPr>
          <w:color w:val="231F20"/>
          <w:w w:val="98"/>
        </w:rPr>
        <w:t>t</w:t>
      </w:r>
      <w:r>
        <w:rPr>
          <w:color w:val="231F20"/>
          <w:w w:val="91"/>
        </w:rPr>
        <w:t>e</w:t>
      </w:r>
      <w:r>
        <w:rPr>
          <w:color w:val="231F20"/>
        </w:rPr>
        <w:t>d</w:t>
      </w:r>
      <w:r>
        <w:rPr>
          <w:color w:val="231F20"/>
          <w:spacing w:val="15"/>
        </w:rPr>
        <w:t xml:space="preserve"> </w:t>
      </w:r>
      <w:r>
        <w:rPr>
          <w:color w:val="231F20"/>
          <w:spacing w:val="2"/>
          <w:w w:val="98"/>
        </w:rPr>
        <w:t>t</w:t>
      </w:r>
      <w:r>
        <w:rPr>
          <w:color w:val="231F20"/>
          <w:spacing w:val="1"/>
        </w:rPr>
        <w:t>h</w:t>
      </w:r>
      <w:r>
        <w:rPr>
          <w:color w:val="231F20"/>
          <w:spacing w:val="-2"/>
          <w:w w:val="102"/>
        </w:rPr>
        <w:t>a</w:t>
      </w:r>
      <w:r>
        <w:rPr>
          <w:color w:val="231F20"/>
          <w:w w:val="98"/>
        </w:rPr>
        <w:t>t</w:t>
      </w:r>
      <w:r>
        <w:rPr>
          <w:color w:val="231F20"/>
          <w:spacing w:val="15"/>
        </w:rPr>
        <w:t xml:space="preserve"> </w:t>
      </w:r>
      <w:r>
        <w:rPr>
          <w:color w:val="231F20"/>
          <w:spacing w:val="-1"/>
          <w:w w:val="104"/>
        </w:rPr>
        <w:t>o</w:t>
      </w:r>
      <w:r>
        <w:rPr>
          <w:color w:val="231F20"/>
          <w:w w:val="99"/>
        </w:rPr>
        <w:t>n</w:t>
      </w:r>
      <w:r>
        <w:rPr>
          <w:color w:val="231F20"/>
          <w:spacing w:val="15"/>
        </w:rPr>
        <w:t xml:space="preserve"> </w:t>
      </w:r>
      <w:r>
        <w:rPr>
          <w:color w:val="231F20"/>
          <w:w w:val="101"/>
        </w:rPr>
        <w:t>b</w:t>
      </w:r>
      <w:r>
        <w:rPr>
          <w:color w:val="231F20"/>
          <w:spacing w:val="-1"/>
          <w:w w:val="104"/>
        </w:rPr>
        <w:t>o</w:t>
      </w:r>
      <w:r>
        <w:rPr>
          <w:color w:val="231F20"/>
          <w:spacing w:val="2"/>
          <w:w w:val="98"/>
        </w:rPr>
        <w:t>t</w:t>
      </w:r>
      <w:r>
        <w:rPr>
          <w:color w:val="231F20"/>
        </w:rPr>
        <w:t>h</w:t>
      </w:r>
      <w:r>
        <w:rPr>
          <w:color w:val="231F20"/>
          <w:spacing w:val="15"/>
        </w:rPr>
        <w:t xml:space="preserve"> </w:t>
      </w:r>
      <w:r>
        <w:rPr>
          <w:color w:val="231F20"/>
          <w:spacing w:val="3"/>
          <w:w w:val="99"/>
        </w:rPr>
        <w:t>n</w:t>
      </w:r>
      <w:r>
        <w:rPr>
          <w:color w:val="231F20"/>
          <w:spacing w:val="-1"/>
        </w:rPr>
        <w:t>i</w:t>
      </w:r>
      <w:r>
        <w:rPr>
          <w:color w:val="231F20"/>
          <w:spacing w:val="3"/>
          <w:w w:val="101"/>
        </w:rPr>
        <w:t>g</w:t>
      </w:r>
      <w:r>
        <w:rPr>
          <w:color w:val="231F20"/>
          <w:spacing w:val="-2"/>
        </w:rPr>
        <w:t>h</w:t>
      </w:r>
      <w:r>
        <w:rPr>
          <w:color w:val="231F20"/>
          <w:spacing w:val="2"/>
          <w:w w:val="98"/>
        </w:rPr>
        <w:t>t</w:t>
      </w:r>
      <w:r>
        <w:rPr>
          <w:color w:val="231F20"/>
          <w:spacing w:val="2"/>
          <w:w w:val="90"/>
        </w:rPr>
        <w:t>s</w:t>
      </w:r>
      <w:r>
        <w:rPr>
          <w:color w:val="231F20"/>
          <w:w w:val="135"/>
        </w:rPr>
        <w:t>,</w:t>
      </w:r>
      <w:r>
        <w:rPr>
          <w:color w:val="231F20"/>
          <w:spacing w:val="15"/>
        </w:rPr>
        <w:t xml:space="preserve"> </w:t>
      </w:r>
      <w:r>
        <w:rPr>
          <w:color w:val="231F20"/>
          <w:spacing w:val="3"/>
          <w:w w:val="122"/>
        </w:rPr>
        <w:t>M</w:t>
      </w:r>
      <w:r>
        <w:rPr>
          <w:color w:val="231F20"/>
          <w:spacing w:val="-4"/>
          <w:w w:val="102"/>
        </w:rPr>
        <w:t>a</w:t>
      </w:r>
      <w:r>
        <w:rPr>
          <w:color w:val="231F20"/>
          <w:w w:val="99"/>
        </w:rPr>
        <w:t>y</w:t>
      </w:r>
      <w:r>
        <w:rPr>
          <w:color w:val="231F20"/>
          <w:spacing w:val="15"/>
        </w:rPr>
        <w:t xml:space="preserve"> </w:t>
      </w:r>
      <w:r>
        <w:rPr>
          <w:color w:val="231F20"/>
        </w:rPr>
        <w:t>8</w:t>
      </w:r>
      <w:r>
        <w:rPr>
          <w:color w:val="231F20"/>
          <w:spacing w:val="-5"/>
          <w:w w:val="56"/>
        </w:rPr>
        <w:t>/</w:t>
      </w:r>
      <w:r>
        <w:rPr>
          <w:color w:val="231F20"/>
          <w:spacing w:val="-3"/>
        </w:rPr>
        <w:t>9</w:t>
      </w:r>
      <w:r>
        <w:rPr>
          <w:color w:val="231F20"/>
          <w:w w:val="135"/>
        </w:rPr>
        <w:t>,</w:t>
      </w:r>
      <w:r>
        <w:rPr>
          <w:color w:val="231F20"/>
          <w:spacing w:val="15"/>
        </w:rPr>
        <w:t xml:space="preserve"> </w:t>
      </w:r>
      <w:r>
        <w:rPr>
          <w:color w:val="231F20"/>
          <w:spacing w:val="-10"/>
        </w:rPr>
        <w:t>1</w:t>
      </w:r>
      <w:r>
        <w:rPr>
          <w:color w:val="231F20"/>
          <w:spacing w:val="-1"/>
        </w:rPr>
        <w:t>9</w:t>
      </w:r>
      <w:r>
        <w:rPr>
          <w:color w:val="231F20"/>
          <w:spacing w:val="-6"/>
        </w:rPr>
        <w:t>7</w:t>
      </w:r>
      <w:r>
        <w:rPr>
          <w:color w:val="231F20"/>
          <w:spacing w:val="-1"/>
        </w:rPr>
        <w:t>6</w:t>
      </w:r>
      <w:r>
        <w:rPr>
          <w:color w:val="231F20"/>
          <w:w w:val="135"/>
        </w:rPr>
        <w:t xml:space="preserve">, </w:t>
      </w:r>
      <w:r>
        <w:rPr>
          <w:color w:val="231F20"/>
          <w:spacing w:val="2"/>
          <w:w w:val="102"/>
        </w:rPr>
        <w:t>a</w:t>
      </w:r>
      <w:r>
        <w:rPr>
          <w:color w:val="231F20"/>
          <w:spacing w:val="-1"/>
          <w:w w:val="99"/>
        </w:rPr>
        <w:t>n</w:t>
      </w:r>
      <w:r>
        <w:rPr>
          <w:color w:val="231F20"/>
        </w:rPr>
        <w:t xml:space="preserve">d </w:t>
      </w:r>
      <w:r>
        <w:rPr>
          <w:color w:val="231F20"/>
          <w:spacing w:val="-7"/>
        </w:rPr>
        <w:t xml:space="preserve"> </w:t>
      </w:r>
      <w:r>
        <w:rPr>
          <w:color w:val="231F20"/>
          <w:spacing w:val="2"/>
          <w:w w:val="127"/>
        </w:rPr>
        <w:t>O</w:t>
      </w:r>
      <w:r>
        <w:rPr>
          <w:color w:val="231F20"/>
          <w:spacing w:val="3"/>
        </w:rPr>
        <w:t>c</w:t>
      </w:r>
      <w:r>
        <w:rPr>
          <w:color w:val="231F20"/>
          <w:spacing w:val="-2"/>
          <w:w w:val="98"/>
        </w:rPr>
        <w:t>t</w:t>
      </w:r>
      <w:r>
        <w:rPr>
          <w:color w:val="231F20"/>
          <w:spacing w:val="-2"/>
          <w:w w:val="104"/>
        </w:rPr>
        <w:t>o</w:t>
      </w:r>
      <w:r>
        <w:rPr>
          <w:color w:val="231F20"/>
          <w:spacing w:val="1"/>
          <w:w w:val="101"/>
        </w:rPr>
        <w:t>b</w:t>
      </w:r>
      <w:r>
        <w:rPr>
          <w:color w:val="231F20"/>
          <w:w w:val="92"/>
        </w:rPr>
        <w:t>er</w:t>
      </w:r>
      <w:r>
        <w:rPr>
          <w:color w:val="231F20"/>
        </w:rPr>
        <w:t xml:space="preserve"> </w:t>
      </w:r>
      <w:r>
        <w:rPr>
          <w:color w:val="231F20"/>
          <w:spacing w:val="-7"/>
        </w:rPr>
        <w:t xml:space="preserve"> </w:t>
      </w:r>
      <w:r>
        <w:rPr>
          <w:color w:val="231F20"/>
          <w:spacing w:val="-5"/>
        </w:rPr>
        <w:t>1</w:t>
      </w:r>
      <w:r>
        <w:rPr>
          <w:color w:val="231F20"/>
          <w:spacing w:val="-4"/>
        </w:rPr>
        <w:t>7</w:t>
      </w:r>
      <w:r>
        <w:rPr>
          <w:color w:val="231F20"/>
          <w:spacing w:val="-5"/>
          <w:w w:val="56"/>
        </w:rPr>
        <w:t>/</w:t>
      </w:r>
      <w:r>
        <w:rPr>
          <w:color w:val="231F20"/>
          <w:spacing w:val="-9"/>
        </w:rPr>
        <w:t>1</w:t>
      </w:r>
      <w:r>
        <w:rPr>
          <w:color w:val="231F20"/>
          <w:spacing w:val="-3"/>
        </w:rPr>
        <w:t>8</w:t>
      </w:r>
      <w:r>
        <w:rPr>
          <w:color w:val="231F20"/>
          <w:w w:val="135"/>
        </w:rPr>
        <w:t>,</w:t>
      </w:r>
      <w:r>
        <w:rPr>
          <w:color w:val="231F20"/>
        </w:rPr>
        <w:t xml:space="preserve"> </w:t>
      </w:r>
      <w:r>
        <w:rPr>
          <w:color w:val="231F20"/>
          <w:spacing w:val="-7"/>
        </w:rPr>
        <w:t xml:space="preserve"> </w:t>
      </w:r>
      <w:r>
        <w:rPr>
          <w:color w:val="231F20"/>
          <w:spacing w:val="-10"/>
        </w:rPr>
        <w:t>1</w:t>
      </w:r>
      <w:r>
        <w:rPr>
          <w:color w:val="231F20"/>
          <w:spacing w:val="-1"/>
        </w:rPr>
        <w:t>9</w:t>
      </w:r>
      <w:r>
        <w:rPr>
          <w:color w:val="231F20"/>
        </w:rPr>
        <w:t>7</w:t>
      </w:r>
      <w:r>
        <w:rPr>
          <w:color w:val="231F20"/>
          <w:spacing w:val="-15"/>
        </w:rPr>
        <w:t>7</w:t>
      </w:r>
      <w:r>
        <w:rPr>
          <w:color w:val="231F20"/>
          <w:w w:val="135"/>
        </w:rPr>
        <w:t>,</w:t>
      </w:r>
      <w:r>
        <w:rPr>
          <w:color w:val="231F20"/>
        </w:rPr>
        <w:t xml:space="preserve"> </w:t>
      </w:r>
      <w:r>
        <w:rPr>
          <w:color w:val="231F20"/>
          <w:spacing w:val="-7"/>
        </w:rPr>
        <w:t xml:space="preserve"> </w:t>
      </w:r>
      <w:r>
        <w:rPr>
          <w:color w:val="231F20"/>
          <w:spacing w:val="2"/>
          <w:w w:val="102"/>
        </w:rPr>
        <w:t>a</w:t>
      </w:r>
      <w:r>
        <w:rPr>
          <w:color w:val="231F20"/>
          <w:w w:val="99"/>
        </w:rPr>
        <w:t>n</w:t>
      </w:r>
      <w:r>
        <w:rPr>
          <w:color w:val="231F20"/>
        </w:rPr>
        <w:t xml:space="preserve"> </w:t>
      </w:r>
      <w:r>
        <w:rPr>
          <w:color w:val="231F20"/>
          <w:spacing w:val="-7"/>
        </w:rPr>
        <w:t xml:space="preserve"> </w:t>
      </w:r>
      <w:r>
        <w:rPr>
          <w:color w:val="231F20"/>
          <w:spacing w:val="-4"/>
          <w:w w:val="102"/>
        </w:rPr>
        <w:t>a</w:t>
      </w:r>
      <w:r>
        <w:rPr>
          <w:color w:val="231F20"/>
          <w:spacing w:val="5"/>
        </w:rPr>
        <w:t>u</w:t>
      </w:r>
      <w:r>
        <w:rPr>
          <w:color w:val="231F20"/>
          <w:spacing w:val="3"/>
          <w:w w:val="115"/>
        </w:rPr>
        <w:t>x</w:t>
      </w:r>
      <w:r>
        <w:rPr>
          <w:color w:val="231F20"/>
          <w:spacing w:val="2"/>
        </w:rPr>
        <w:t>i</w:t>
      </w:r>
      <w:r>
        <w:rPr>
          <w:color w:val="231F20"/>
          <w:spacing w:val="2"/>
          <w:w w:val="102"/>
        </w:rPr>
        <w:t>l</w:t>
      </w:r>
      <w:r>
        <w:rPr>
          <w:color w:val="231F20"/>
        </w:rPr>
        <w:t>i</w:t>
      </w:r>
      <w:r>
        <w:rPr>
          <w:color w:val="231F20"/>
          <w:spacing w:val="3"/>
          <w:w w:val="102"/>
        </w:rPr>
        <w:t>a</w:t>
      </w:r>
      <w:r>
        <w:rPr>
          <w:color w:val="231F20"/>
          <w:spacing w:val="5"/>
          <w:w w:val="94"/>
        </w:rPr>
        <w:t>r</w:t>
      </w:r>
      <w:r>
        <w:rPr>
          <w:color w:val="231F20"/>
          <w:w w:val="99"/>
        </w:rPr>
        <w:t>y</w:t>
      </w:r>
      <w:r>
        <w:rPr>
          <w:color w:val="231F20"/>
        </w:rPr>
        <w:t xml:space="preserve"> </w:t>
      </w:r>
      <w:r>
        <w:rPr>
          <w:color w:val="231F20"/>
          <w:spacing w:val="-7"/>
        </w:rPr>
        <w:t xml:space="preserve"> </w:t>
      </w:r>
      <w:r>
        <w:rPr>
          <w:color w:val="231F20"/>
          <w:spacing w:val="-2"/>
        </w:rPr>
        <w:t>w</w:t>
      </w:r>
      <w:r>
        <w:rPr>
          <w:color w:val="231F20"/>
          <w:w w:val="102"/>
        </w:rPr>
        <w:t>a</w:t>
      </w:r>
      <w:r>
        <w:rPr>
          <w:color w:val="231F20"/>
          <w:w w:val="90"/>
        </w:rPr>
        <w:t>s</w:t>
      </w:r>
      <w:r>
        <w:rPr>
          <w:color w:val="231F20"/>
        </w:rPr>
        <w:t xml:space="preserve"> </w:t>
      </w:r>
      <w:r>
        <w:rPr>
          <w:color w:val="231F20"/>
          <w:spacing w:val="-7"/>
        </w:rPr>
        <w:t xml:space="preserve"> </w:t>
      </w:r>
      <w:r>
        <w:rPr>
          <w:color w:val="231F20"/>
          <w:spacing w:val="2"/>
        </w:rPr>
        <w:t>i</w:t>
      </w:r>
      <w:r>
        <w:rPr>
          <w:color w:val="231F20"/>
          <w:w w:val="99"/>
        </w:rPr>
        <w:t>n</w:t>
      </w:r>
      <w:r>
        <w:rPr>
          <w:color w:val="231F20"/>
        </w:rPr>
        <w:t xml:space="preserve"> </w:t>
      </w:r>
      <w:r>
        <w:rPr>
          <w:color w:val="231F20"/>
          <w:spacing w:val="-7"/>
        </w:rPr>
        <w:t xml:space="preserve"> </w:t>
      </w:r>
      <w:r>
        <w:rPr>
          <w:color w:val="231F20"/>
        </w:rPr>
        <w:t>c</w:t>
      </w:r>
      <w:r>
        <w:rPr>
          <w:color w:val="231F20"/>
          <w:spacing w:val="1"/>
        </w:rPr>
        <w:t>h</w:t>
      </w:r>
      <w:r>
        <w:rPr>
          <w:color w:val="231F20"/>
          <w:spacing w:val="3"/>
          <w:w w:val="102"/>
        </w:rPr>
        <w:t>a</w:t>
      </w:r>
      <w:r>
        <w:rPr>
          <w:color w:val="231F20"/>
          <w:w w:val="94"/>
        </w:rPr>
        <w:t>r</w:t>
      </w:r>
      <w:r>
        <w:rPr>
          <w:color w:val="231F20"/>
          <w:spacing w:val="-1"/>
          <w:w w:val="101"/>
        </w:rPr>
        <w:t>g</w:t>
      </w:r>
      <w:r>
        <w:rPr>
          <w:color w:val="231F20"/>
          <w:w w:val="91"/>
        </w:rPr>
        <w:t>e</w:t>
      </w:r>
      <w:r>
        <w:rPr>
          <w:color w:val="231F20"/>
        </w:rPr>
        <w:t xml:space="preserve"> </w:t>
      </w:r>
      <w:r>
        <w:rPr>
          <w:color w:val="231F20"/>
          <w:spacing w:val="-7"/>
        </w:rPr>
        <w:t xml:space="preserve"> </w:t>
      </w:r>
      <w:r>
        <w:rPr>
          <w:color w:val="231F20"/>
          <w:spacing w:val="-2"/>
          <w:w w:val="104"/>
        </w:rPr>
        <w:t>o</w:t>
      </w:r>
      <w:r>
        <w:rPr>
          <w:color w:val="231F20"/>
          <w:w w:val="109"/>
        </w:rPr>
        <w:t>f</w:t>
      </w:r>
      <w:r>
        <w:rPr>
          <w:color w:val="231F20"/>
        </w:rPr>
        <w:t xml:space="preserve"> </w:t>
      </w:r>
      <w:r>
        <w:rPr>
          <w:color w:val="231F20"/>
          <w:spacing w:val="-7"/>
        </w:rPr>
        <w:t xml:space="preserve"> </w:t>
      </w:r>
      <w:r>
        <w:rPr>
          <w:color w:val="231F20"/>
          <w:spacing w:val="-1"/>
          <w:w w:val="90"/>
        </w:rPr>
        <w:t>s</w:t>
      </w:r>
      <w:r>
        <w:rPr>
          <w:color w:val="231F20"/>
          <w:spacing w:val="3"/>
        </w:rPr>
        <w:t>u</w:t>
      </w:r>
      <w:r>
        <w:rPr>
          <w:color w:val="231F20"/>
          <w:spacing w:val="5"/>
          <w:w w:val="94"/>
        </w:rPr>
        <w:t>r</w:t>
      </w:r>
      <w:r>
        <w:rPr>
          <w:color w:val="231F20"/>
          <w:spacing w:val="-2"/>
          <w:w w:val="99"/>
        </w:rPr>
        <w:t>v</w:t>
      </w:r>
      <w:r>
        <w:rPr>
          <w:color w:val="231F20"/>
          <w:spacing w:val="-1"/>
          <w:w w:val="91"/>
        </w:rPr>
        <w:t>e</w:t>
      </w:r>
      <w:r>
        <w:rPr>
          <w:color w:val="231F20"/>
          <w:spacing w:val="2"/>
        </w:rPr>
        <w:t>i</w:t>
      </w:r>
      <w:r>
        <w:rPr>
          <w:color w:val="231F20"/>
          <w:spacing w:val="2"/>
          <w:w w:val="102"/>
        </w:rPr>
        <w:t>l</w:t>
      </w:r>
      <w:r>
        <w:rPr>
          <w:color w:val="231F20"/>
          <w:w w:val="102"/>
        </w:rPr>
        <w:t>l</w:t>
      </w:r>
      <w:r>
        <w:rPr>
          <w:color w:val="231F20"/>
          <w:spacing w:val="2"/>
          <w:w w:val="102"/>
        </w:rPr>
        <w:t>a</w:t>
      </w:r>
      <w:r>
        <w:rPr>
          <w:color w:val="231F20"/>
          <w:w w:val="99"/>
        </w:rPr>
        <w:t>n</w:t>
      </w:r>
      <w:r>
        <w:rPr>
          <w:color w:val="231F20"/>
          <w:spacing w:val="1"/>
        </w:rPr>
        <w:t>c</w:t>
      </w:r>
      <w:r>
        <w:rPr>
          <w:color w:val="231F20"/>
          <w:w w:val="91"/>
        </w:rPr>
        <w:t xml:space="preserve">e </w:t>
      </w:r>
      <w:r>
        <w:rPr>
          <w:color w:val="231F20"/>
        </w:rPr>
        <w:t>rather than the usual person. They also noted that, in both incidents,  the autopsies posed similar</w:t>
      </w:r>
      <w:r>
        <w:rPr>
          <w:color w:val="231F20"/>
          <w:spacing w:val="40"/>
        </w:rPr>
        <w:t xml:space="preserve"> </w:t>
      </w:r>
      <w:r>
        <w:rPr>
          <w:color w:val="231F20"/>
        </w:rPr>
        <w:t>problems.</w:t>
      </w:r>
    </w:p>
    <w:p w14:paraId="299AB484" w14:textId="77777777" w:rsidR="002653E8" w:rsidRDefault="003115E3">
      <w:pPr>
        <w:pStyle w:val="a3"/>
        <w:spacing w:line="264" w:lineRule="auto"/>
        <w:ind w:left="1327" w:right="1146" w:firstLine="210"/>
        <w:jc w:val="both"/>
      </w:pPr>
      <w:r>
        <w:rPr>
          <w:color w:val="231F20"/>
        </w:rPr>
        <w:t xml:space="preserve">Regarding the incriminating evidence “turned </w:t>
      </w:r>
      <w:r>
        <w:rPr>
          <w:color w:val="231F20"/>
          <w:spacing w:val="-3"/>
        </w:rPr>
        <w:t xml:space="preserve">up” </w:t>
      </w:r>
      <w:r>
        <w:rPr>
          <w:color w:val="231F20"/>
        </w:rPr>
        <w:t xml:space="preserve">by prison authorities  during  the  cell  searches,  they  approvingly   quoted   from the press release of Irmgard Möller’s lawyer, Jutta Bahr-Jentges, of October </w:t>
      </w:r>
      <w:r>
        <w:rPr>
          <w:color w:val="231F20"/>
          <w:spacing w:val="-7"/>
        </w:rPr>
        <w:t>25,</w:t>
      </w:r>
      <w:r>
        <w:rPr>
          <w:color w:val="231F20"/>
          <w:spacing w:val="22"/>
        </w:rPr>
        <w:t xml:space="preserve"> </w:t>
      </w:r>
      <w:r>
        <w:rPr>
          <w:color w:val="231F20"/>
          <w:spacing w:val="-3"/>
        </w:rPr>
        <w:t>1977:</w:t>
      </w:r>
    </w:p>
    <w:p w14:paraId="2F0BEFC4" w14:textId="77777777" w:rsidR="002653E8" w:rsidRDefault="003115E3">
      <w:pPr>
        <w:spacing w:before="107" w:line="276" w:lineRule="auto"/>
        <w:ind w:left="1747" w:right="1558"/>
        <w:jc w:val="both"/>
        <w:rPr>
          <w:i/>
          <w:sz w:val="11"/>
        </w:rPr>
      </w:pPr>
      <w:r>
        <w:rPr>
          <w:i/>
          <w:color w:val="231F20"/>
          <w:sz w:val="19"/>
        </w:rPr>
        <w:t>Why these inventories of the cells without neutral witnesses, without lawyers, these inventories which have produced receivers, radios, Morse code apparatuses, quantities of plastic explosives— might as well find atomic bombs?</w:t>
      </w:r>
      <w:r>
        <w:rPr>
          <w:i/>
          <w:color w:val="231F20"/>
          <w:position w:val="6"/>
          <w:sz w:val="11"/>
        </w:rPr>
        <w:t>6</w:t>
      </w:r>
    </w:p>
    <w:p w14:paraId="77F9F470" w14:textId="77777777" w:rsidR="002653E8" w:rsidRDefault="003115E3">
      <w:pPr>
        <w:pStyle w:val="a3"/>
        <w:spacing w:before="131" w:line="264" w:lineRule="auto"/>
        <w:ind w:left="1327" w:right="1146"/>
        <w:jc w:val="both"/>
      </w:pPr>
      <w:r>
        <w:rPr>
          <w:color w:val="231F20"/>
        </w:rPr>
        <w:t>The Commission further noted the existence of an uncontrolled entrance to the seventh floor that opened into the cell area, and which was not visible from the guard’s office. This entrance was not acknowledged by authorities until November 4, 1977. The Commission observed:</w:t>
      </w:r>
    </w:p>
    <w:p w14:paraId="4B235C68" w14:textId="77777777" w:rsidR="002653E8" w:rsidRDefault="003115E3">
      <w:pPr>
        <w:spacing w:before="125" w:line="276" w:lineRule="auto"/>
        <w:ind w:left="1747" w:right="1565"/>
        <w:jc w:val="both"/>
        <w:rPr>
          <w:i/>
          <w:sz w:val="11"/>
        </w:rPr>
      </w:pPr>
      <w:r>
        <w:rPr>
          <w:i/>
          <w:color w:val="231F20"/>
          <w:w w:val="105"/>
          <w:sz w:val="19"/>
        </w:rPr>
        <w:t>This</w:t>
      </w:r>
      <w:r>
        <w:rPr>
          <w:i/>
          <w:color w:val="231F20"/>
          <w:spacing w:val="-11"/>
          <w:w w:val="105"/>
          <w:sz w:val="19"/>
        </w:rPr>
        <w:t xml:space="preserve"> </w:t>
      </w:r>
      <w:r>
        <w:rPr>
          <w:i/>
          <w:color w:val="231F20"/>
          <w:w w:val="105"/>
          <w:sz w:val="19"/>
        </w:rPr>
        <w:t>indicates</w:t>
      </w:r>
      <w:r>
        <w:rPr>
          <w:i/>
          <w:color w:val="231F20"/>
          <w:spacing w:val="-11"/>
          <w:w w:val="105"/>
          <w:sz w:val="19"/>
        </w:rPr>
        <w:t xml:space="preserve"> </w:t>
      </w:r>
      <w:r>
        <w:rPr>
          <w:i/>
          <w:color w:val="231F20"/>
          <w:w w:val="105"/>
          <w:sz w:val="19"/>
        </w:rPr>
        <w:t>that—as</w:t>
      </w:r>
      <w:r>
        <w:rPr>
          <w:i/>
          <w:color w:val="231F20"/>
          <w:spacing w:val="-11"/>
          <w:w w:val="105"/>
          <w:sz w:val="19"/>
        </w:rPr>
        <w:t xml:space="preserve"> </w:t>
      </w:r>
      <w:r>
        <w:rPr>
          <w:i/>
          <w:color w:val="231F20"/>
          <w:w w:val="105"/>
          <w:sz w:val="19"/>
        </w:rPr>
        <w:t>citizens</w:t>
      </w:r>
      <w:r>
        <w:rPr>
          <w:i/>
          <w:color w:val="231F20"/>
          <w:spacing w:val="-11"/>
          <w:w w:val="105"/>
          <w:sz w:val="19"/>
        </w:rPr>
        <w:t xml:space="preserve"> </w:t>
      </w:r>
      <w:r>
        <w:rPr>
          <w:i/>
          <w:color w:val="231F20"/>
          <w:w w:val="105"/>
          <w:sz w:val="19"/>
        </w:rPr>
        <w:t>have</w:t>
      </w:r>
      <w:r>
        <w:rPr>
          <w:i/>
          <w:color w:val="231F20"/>
          <w:spacing w:val="-11"/>
          <w:w w:val="105"/>
          <w:sz w:val="19"/>
        </w:rPr>
        <w:t xml:space="preserve"> </w:t>
      </w:r>
      <w:r>
        <w:rPr>
          <w:i/>
          <w:color w:val="231F20"/>
          <w:w w:val="105"/>
          <w:sz w:val="19"/>
        </w:rPr>
        <w:t>been</w:t>
      </w:r>
      <w:r>
        <w:rPr>
          <w:i/>
          <w:color w:val="231F20"/>
          <w:spacing w:val="-11"/>
          <w:w w:val="105"/>
          <w:sz w:val="19"/>
        </w:rPr>
        <w:t xml:space="preserve"> </w:t>
      </w:r>
      <w:r>
        <w:rPr>
          <w:i/>
          <w:color w:val="231F20"/>
          <w:w w:val="105"/>
          <w:sz w:val="19"/>
        </w:rPr>
        <w:t>saying</w:t>
      </w:r>
      <w:r>
        <w:rPr>
          <w:i/>
          <w:color w:val="231F20"/>
          <w:spacing w:val="-11"/>
          <w:w w:val="105"/>
          <w:sz w:val="19"/>
        </w:rPr>
        <w:t xml:space="preserve"> </w:t>
      </w:r>
      <w:r>
        <w:rPr>
          <w:i/>
          <w:color w:val="231F20"/>
          <w:w w:val="105"/>
          <w:sz w:val="19"/>
        </w:rPr>
        <w:t>for</w:t>
      </w:r>
      <w:r>
        <w:rPr>
          <w:i/>
          <w:color w:val="231F20"/>
          <w:spacing w:val="-11"/>
          <w:w w:val="105"/>
          <w:sz w:val="19"/>
        </w:rPr>
        <w:t xml:space="preserve"> </w:t>
      </w:r>
      <w:r>
        <w:rPr>
          <w:i/>
          <w:color w:val="231F20"/>
          <w:w w:val="105"/>
          <w:sz w:val="19"/>
        </w:rPr>
        <w:t>some</w:t>
      </w:r>
      <w:r>
        <w:rPr>
          <w:i/>
          <w:color w:val="231F20"/>
          <w:spacing w:val="-11"/>
          <w:w w:val="105"/>
          <w:sz w:val="19"/>
        </w:rPr>
        <w:t xml:space="preserve"> </w:t>
      </w:r>
      <w:r>
        <w:rPr>
          <w:i/>
          <w:color w:val="231F20"/>
          <w:w w:val="105"/>
          <w:sz w:val="19"/>
        </w:rPr>
        <w:t>time— the functionaries of the BKA, the BND, and the secret services have constant, uncontrolled access to the</w:t>
      </w:r>
      <w:r>
        <w:rPr>
          <w:i/>
          <w:color w:val="231F20"/>
          <w:spacing w:val="25"/>
          <w:w w:val="105"/>
          <w:sz w:val="19"/>
        </w:rPr>
        <w:t xml:space="preserve"> </w:t>
      </w:r>
      <w:r>
        <w:rPr>
          <w:i/>
          <w:color w:val="231F20"/>
          <w:w w:val="105"/>
          <w:sz w:val="19"/>
        </w:rPr>
        <w:t>cells.</w:t>
      </w:r>
      <w:r>
        <w:rPr>
          <w:i/>
          <w:color w:val="231F20"/>
          <w:w w:val="105"/>
          <w:position w:val="6"/>
          <w:sz w:val="11"/>
        </w:rPr>
        <w:t>7</w:t>
      </w:r>
    </w:p>
    <w:p w14:paraId="269CD507" w14:textId="77777777" w:rsidR="002653E8" w:rsidRDefault="002653E8">
      <w:pPr>
        <w:pStyle w:val="a3"/>
        <w:rPr>
          <w:i/>
        </w:rPr>
      </w:pPr>
    </w:p>
    <w:p w14:paraId="69A53FD0" w14:textId="77777777" w:rsidR="002653E8" w:rsidRDefault="002653E8">
      <w:pPr>
        <w:pStyle w:val="a3"/>
        <w:rPr>
          <w:i/>
        </w:rPr>
      </w:pPr>
    </w:p>
    <w:p w14:paraId="038DF957" w14:textId="77777777" w:rsidR="002653E8" w:rsidRDefault="002653E8">
      <w:pPr>
        <w:pStyle w:val="a3"/>
        <w:rPr>
          <w:i/>
        </w:rPr>
      </w:pPr>
    </w:p>
    <w:p w14:paraId="78A32BDC" w14:textId="77777777" w:rsidR="002653E8" w:rsidRDefault="00000000">
      <w:pPr>
        <w:pStyle w:val="a3"/>
        <w:spacing w:before="11"/>
        <w:rPr>
          <w:i/>
          <w:sz w:val="14"/>
        </w:rPr>
      </w:pPr>
      <w:r>
        <w:rPr>
          <w:noProof w:val="0"/>
        </w:rPr>
        <w:pict w14:anchorId="0FBCC68F">
          <v:line id="_x0000_s2164" style="position:absolute;z-index:10720;mso-wrap-distance-left:0;mso-wrap-distance-right:0;mso-position-horizontal-relative:page" from="66.4pt,11pt" to="138.4pt,11pt" strokecolor="#231f20" strokeweight=".5pt">
            <w10:wrap type="topAndBottom" anchorx="page"/>
          </v:line>
        </w:pict>
      </w:r>
    </w:p>
    <w:p w14:paraId="26D68C09" w14:textId="77777777" w:rsidR="002653E8" w:rsidRDefault="003115E3">
      <w:pPr>
        <w:spacing w:before="53"/>
        <w:ind w:left="1327"/>
        <w:rPr>
          <w:sz w:val="16"/>
        </w:rPr>
      </w:pPr>
      <w:r>
        <w:rPr>
          <w:color w:val="231F20"/>
          <w:w w:val="110"/>
          <w:sz w:val="16"/>
        </w:rPr>
        <w:t>4 Aust, 526.</w:t>
      </w:r>
    </w:p>
    <w:p w14:paraId="0FC70B84" w14:textId="77777777" w:rsidR="002653E8" w:rsidRDefault="003115E3">
      <w:pPr>
        <w:spacing w:before="51"/>
        <w:ind w:left="1327"/>
        <w:rPr>
          <w:sz w:val="16"/>
        </w:rPr>
      </w:pPr>
      <w:r>
        <w:rPr>
          <w:color w:val="231F20"/>
          <w:w w:val="115"/>
          <w:sz w:val="16"/>
        </w:rPr>
        <w:t>5 Ibid., 528.</w:t>
      </w:r>
    </w:p>
    <w:p w14:paraId="62117D0D" w14:textId="77777777" w:rsidR="002653E8" w:rsidRDefault="003115E3">
      <w:pPr>
        <w:spacing w:before="52" w:line="307" w:lineRule="auto"/>
        <w:ind w:left="1328" w:right="2067" w:hanging="1"/>
        <w:rPr>
          <w:sz w:val="16"/>
        </w:rPr>
      </w:pPr>
      <w:r>
        <w:rPr>
          <w:color w:val="231F20"/>
          <w:w w:val="105"/>
          <w:sz w:val="16"/>
        </w:rPr>
        <w:t xml:space="preserve">6 Commission internationale d’enquête sur la mort d’Ulrike Meinhof, </w:t>
      </w:r>
      <w:r>
        <w:rPr>
          <w:color w:val="231F20"/>
          <w:spacing w:val="-5"/>
          <w:w w:val="105"/>
          <w:sz w:val="16"/>
        </w:rPr>
        <w:t xml:space="preserve">67.    </w:t>
      </w:r>
      <w:r>
        <w:rPr>
          <w:color w:val="231F20"/>
          <w:w w:val="105"/>
          <w:sz w:val="16"/>
        </w:rPr>
        <w:t>7 Ibid.,</w:t>
      </w:r>
      <w:r>
        <w:rPr>
          <w:color w:val="231F20"/>
          <w:spacing w:val="16"/>
          <w:w w:val="105"/>
          <w:sz w:val="16"/>
        </w:rPr>
        <w:t xml:space="preserve"> </w:t>
      </w:r>
      <w:r>
        <w:rPr>
          <w:color w:val="231F20"/>
          <w:spacing w:val="-5"/>
          <w:w w:val="105"/>
          <w:sz w:val="16"/>
        </w:rPr>
        <w:t>55-58.</w:t>
      </w:r>
    </w:p>
    <w:p w14:paraId="53F73B1B" w14:textId="77777777" w:rsidR="002653E8" w:rsidRDefault="002653E8">
      <w:pPr>
        <w:spacing w:line="307" w:lineRule="auto"/>
        <w:rPr>
          <w:sz w:val="16"/>
        </w:rPr>
        <w:sectPr w:rsidR="002653E8">
          <w:pgSz w:w="8640" w:h="12960"/>
          <w:pgMar w:top="1060" w:right="0" w:bottom="1040" w:left="0" w:header="0" w:footer="850" w:gutter="0"/>
          <w:cols w:space="720"/>
        </w:sectPr>
      </w:pPr>
    </w:p>
    <w:p w14:paraId="4EA35D6A" w14:textId="77777777" w:rsidR="002653E8" w:rsidRDefault="003115E3">
      <w:pPr>
        <w:pStyle w:val="a3"/>
        <w:spacing w:before="86" w:line="264" w:lineRule="auto"/>
        <w:ind w:left="1148" w:right="1326" w:hanging="1"/>
        <w:jc w:val="both"/>
      </w:pPr>
      <w:r>
        <w:rPr>
          <w:color w:val="231F20"/>
        </w:rPr>
        <w:lastRenderedPageBreak/>
        <w:t xml:space="preserve">The cover-up was so glaring that the </w:t>
      </w:r>
      <w:r>
        <w:rPr>
          <w:i/>
          <w:color w:val="231F20"/>
        </w:rPr>
        <w:t xml:space="preserve">Frankfurter Rundschau </w:t>
      </w:r>
      <w:r>
        <w:rPr>
          <w:color w:val="231F20"/>
        </w:rPr>
        <w:t>remarked, in reference to the official investigation:</w:t>
      </w:r>
    </w:p>
    <w:p w14:paraId="6C4386D8" w14:textId="77777777" w:rsidR="002653E8" w:rsidRDefault="003115E3">
      <w:pPr>
        <w:spacing w:before="127" w:line="276" w:lineRule="auto"/>
        <w:ind w:left="1567" w:right="1745"/>
        <w:jc w:val="both"/>
        <w:rPr>
          <w:i/>
          <w:sz w:val="11"/>
        </w:rPr>
      </w:pPr>
      <w:r>
        <w:rPr>
          <w:i/>
          <w:color w:val="231F20"/>
          <w:sz w:val="19"/>
        </w:rPr>
        <w:t>The Parliamentary Commission is faced with… three sorts of witnesses: those who know nothing, those who don’t want to know anything, and those who aren’t allowed to make a statement.</w:t>
      </w:r>
      <w:r>
        <w:rPr>
          <w:i/>
          <w:color w:val="231F20"/>
          <w:position w:val="6"/>
          <w:sz w:val="11"/>
        </w:rPr>
        <w:t>1</w:t>
      </w:r>
    </w:p>
    <w:p w14:paraId="7598F66A" w14:textId="77777777" w:rsidR="002653E8" w:rsidRDefault="003115E3">
      <w:pPr>
        <w:pStyle w:val="a3"/>
        <w:spacing w:before="130" w:line="264" w:lineRule="auto"/>
        <w:ind w:left="1147" w:right="1325"/>
        <w:jc w:val="both"/>
        <w:rPr>
          <w:sz w:val="11"/>
        </w:rPr>
      </w:pPr>
      <w:r>
        <w:rPr>
          <w:color w:val="231F20"/>
        </w:rPr>
        <w:t xml:space="preserve">As a macabre postscript to all this, </w:t>
      </w:r>
      <w:r w:rsidR="00C507A5">
        <w:rPr>
          <w:color w:val="231F20"/>
          <w:spacing w:val="5"/>
        </w:rPr>
        <w:t>red army faction</w:t>
      </w:r>
      <w:r>
        <w:rPr>
          <w:color w:val="231F20"/>
          <w:spacing w:val="5"/>
        </w:rPr>
        <w:t xml:space="preserve"> </w:t>
      </w:r>
      <w:r>
        <w:rPr>
          <w:color w:val="231F20"/>
        </w:rPr>
        <w:t xml:space="preserve">prisoner Ingrid Schubert was moved into isolation in Munich-Stadeheim prison on November </w:t>
      </w:r>
      <w:r>
        <w:rPr>
          <w:color w:val="231F20"/>
          <w:spacing w:val="-4"/>
        </w:rPr>
        <w:t xml:space="preserve">11, </w:t>
      </w:r>
      <w:r>
        <w:rPr>
          <w:color w:val="231F20"/>
          <w:spacing w:val="-6"/>
        </w:rPr>
        <w:t xml:space="preserve">1977. </w:t>
      </w:r>
      <w:r>
        <w:rPr>
          <w:color w:val="231F20"/>
        </w:rPr>
        <w:t>One hour later, she was found hanged dead.</w:t>
      </w:r>
      <w:r>
        <w:rPr>
          <w:color w:val="231F20"/>
          <w:position w:val="7"/>
          <w:sz w:val="11"/>
        </w:rPr>
        <w:t xml:space="preserve">2 </w:t>
      </w:r>
      <w:r>
        <w:rPr>
          <w:color w:val="231F20"/>
        </w:rPr>
        <w:t>As in the case of Meinhof and Ensslin, the autopsy failed to find the usual signs of death by</w:t>
      </w:r>
      <w:r>
        <w:rPr>
          <w:color w:val="231F20"/>
          <w:spacing w:val="10"/>
        </w:rPr>
        <w:t xml:space="preserve"> </w:t>
      </w:r>
      <w:r>
        <w:rPr>
          <w:color w:val="231F20"/>
        </w:rPr>
        <w:t>hanging.</w:t>
      </w:r>
      <w:r>
        <w:rPr>
          <w:color w:val="231F20"/>
          <w:position w:val="7"/>
          <w:sz w:val="11"/>
        </w:rPr>
        <w:t>3</w:t>
      </w:r>
    </w:p>
    <w:p w14:paraId="08323AB8" w14:textId="77777777" w:rsidR="002653E8" w:rsidRDefault="003115E3">
      <w:pPr>
        <w:pStyle w:val="a3"/>
        <w:spacing w:line="264" w:lineRule="auto"/>
        <w:ind w:left="1147" w:right="1513" w:firstLine="210"/>
      </w:pPr>
      <w:r>
        <w:rPr>
          <w:color w:val="231F20"/>
        </w:rPr>
        <w:t>On the Thursday before her death, she had assured her lawyer that she had no intention of committing suicide.</w:t>
      </w:r>
    </w:p>
    <w:p w14:paraId="0A036237" w14:textId="77777777" w:rsidR="002653E8" w:rsidRDefault="002653E8">
      <w:pPr>
        <w:pStyle w:val="a3"/>
      </w:pPr>
    </w:p>
    <w:p w14:paraId="3EDB8264" w14:textId="77777777" w:rsidR="002653E8" w:rsidRDefault="00000000">
      <w:pPr>
        <w:pStyle w:val="a3"/>
        <w:spacing w:before="10"/>
        <w:rPr>
          <w:sz w:val="21"/>
        </w:rPr>
      </w:pPr>
      <w:r>
        <w:rPr>
          <w:noProof w:val="0"/>
        </w:rPr>
        <w:pict w14:anchorId="581A0456">
          <v:group id="_x0000_s2161" style="position:absolute;margin-left:123.7pt;margin-top:14.75pt;width:175.6pt;height:243.4pt;z-index:10744;mso-wrap-distance-left:0;mso-wrap-distance-right:0;mso-position-horizontal-relative:page" coordorigin="2474,295" coordsize="3512,4868">
            <v:shape id="_x0000_s2163" type="#_x0000_t75" style="position:absolute;left:2474;top:295;width:3512;height:4868">
              <v:imagedata r:id="rId437" o:title=""/>
            </v:shape>
            <v:shape id="_x0000_s2162" type="#_x0000_t75" style="position:absolute;left:2630;top:909;width:3200;height:1054">
              <v:imagedata r:id="rId438" o:title=""/>
            </v:shape>
            <w10:wrap type="topAndBottom" anchorx="page"/>
          </v:group>
        </w:pict>
      </w:r>
    </w:p>
    <w:p w14:paraId="062608D4" w14:textId="77777777" w:rsidR="002653E8" w:rsidRDefault="002653E8">
      <w:pPr>
        <w:pStyle w:val="a3"/>
      </w:pPr>
    </w:p>
    <w:p w14:paraId="7C2D5FF7" w14:textId="77777777" w:rsidR="002653E8" w:rsidRDefault="002653E8">
      <w:pPr>
        <w:pStyle w:val="a3"/>
        <w:spacing w:before="2"/>
        <w:rPr>
          <w:sz w:val="24"/>
        </w:rPr>
      </w:pPr>
    </w:p>
    <w:p w14:paraId="73C77459" w14:textId="77777777" w:rsidR="002653E8" w:rsidRDefault="003115E3">
      <w:pPr>
        <w:spacing w:before="105"/>
        <w:ind w:left="1147"/>
        <w:rPr>
          <w:sz w:val="16"/>
        </w:rPr>
      </w:pPr>
      <w:r>
        <w:rPr>
          <w:color w:val="231F20"/>
          <w:w w:val="115"/>
          <w:sz w:val="16"/>
        </w:rPr>
        <w:t>1 Ibid., 68.</w:t>
      </w:r>
    </w:p>
    <w:p w14:paraId="45C770A5" w14:textId="77777777" w:rsidR="002653E8" w:rsidRPr="00846956" w:rsidRDefault="003115E3">
      <w:pPr>
        <w:pStyle w:val="a4"/>
        <w:numPr>
          <w:ilvl w:val="0"/>
          <w:numId w:val="49"/>
        </w:numPr>
        <w:tabs>
          <w:tab w:val="left" w:pos="1287"/>
        </w:tabs>
        <w:spacing w:before="52" w:line="254" w:lineRule="auto"/>
        <w:ind w:right="2355" w:firstLine="0"/>
        <w:jc w:val="left"/>
        <w:rPr>
          <w:sz w:val="16"/>
          <w:lang w:val="de-DE"/>
        </w:rPr>
      </w:pPr>
      <w:r w:rsidRPr="00846956">
        <w:rPr>
          <w:i/>
          <w:color w:val="231F20"/>
          <w:spacing w:val="1"/>
          <w:w w:val="110"/>
          <w:sz w:val="16"/>
          <w:lang w:val="de-DE"/>
        </w:rPr>
        <w:t xml:space="preserve">Internazionale </w:t>
      </w:r>
      <w:r w:rsidRPr="00846956">
        <w:rPr>
          <w:i/>
          <w:color w:val="231F20"/>
          <w:w w:val="110"/>
          <w:sz w:val="16"/>
          <w:lang w:val="de-DE"/>
        </w:rPr>
        <w:t xml:space="preserve">Kommission zum Schutz </w:t>
      </w:r>
      <w:r w:rsidRPr="00846956">
        <w:rPr>
          <w:i/>
          <w:color w:val="231F20"/>
          <w:spacing w:val="1"/>
          <w:w w:val="110"/>
          <w:sz w:val="16"/>
          <w:lang w:val="de-DE"/>
        </w:rPr>
        <w:t xml:space="preserve">der </w:t>
      </w:r>
      <w:r w:rsidRPr="00846956">
        <w:rPr>
          <w:i/>
          <w:color w:val="231F20"/>
          <w:w w:val="110"/>
          <w:sz w:val="16"/>
          <w:lang w:val="de-DE"/>
        </w:rPr>
        <w:t xml:space="preserve">Gefangenen </w:t>
      </w:r>
      <w:r w:rsidRPr="00846956">
        <w:rPr>
          <w:i/>
          <w:color w:val="231F20"/>
          <w:spacing w:val="1"/>
          <w:w w:val="110"/>
          <w:sz w:val="16"/>
          <w:lang w:val="de-DE"/>
        </w:rPr>
        <w:t xml:space="preserve">une </w:t>
      </w:r>
      <w:r w:rsidRPr="00846956">
        <w:rPr>
          <w:i/>
          <w:color w:val="231F20"/>
          <w:w w:val="110"/>
          <w:sz w:val="16"/>
          <w:lang w:val="de-DE"/>
        </w:rPr>
        <w:t>Gegen Isolationshaft,</w:t>
      </w:r>
      <w:r w:rsidRPr="00846956">
        <w:rPr>
          <w:i/>
          <w:color w:val="231F20"/>
          <w:spacing w:val="5"/>
          <w:w w:val="110"/>
          <w:sz w:val="16"/>
          <w:lang w:val="de-DE"/>
        </w:rPr>
        <w:t xml:space="preserve"> </w:t>
      </w:r>
      <w:r w:rsidRPr="00846956">
        <w:rPr>
          <w:color w:val="231F20"/>
          <w:w w:val="110"/>
          <w:sz w:val="16"/>
          <w:lang w:val="de-DE"/>
        </w:rPr>
        <w:t>4.</w:t>
      </w:r>
    </w:p>
    <w:p w14:paraId="0F393C97" w14:textId="77777777" w:rsidR="002653E8" w:rsidRDefault="003115E3">
      <w:pPr>
        <w:pStyle w:val="a4"/>
        <w:numPr>
          <w:ilvl w:val="0"/>
          <w:numId w:val="49"/>
        </w:numPr>
        <w:tabs>
          <w:tab w:val="left" w:pos="1287"/>
        </w:tabs>
        <w:ind w:firstLine="0"/>
        <w:jc w:val="left"/>
        <w:rPr>
          <w:sz w:val="16"/>
        </w:rPr>
      </w:pPr>
      <w:r>
        <w:rPr>
          <w:color w:val="231F20"/>
          <w:w w:val="115"/>
          <w:sz w:val="16"/>
        </w:rPr>
        <w:t>Ryan,</w:t>
      </w:r>
      <w:r>
        <w:rPr>
          <w:color w:val="231F20"/>
          <w:spacing w:val="5"/>
          <w:w w:val="115"/>
          <w:sz w:val="16"/>
        </w:rPr>
        <w:t xml:space="preserve"> </w:t>
      </w:r>
      <w:r>
        <w:rPr>
          <w:color w:val="231F20"/>
          <w:w w:val="115"/>
          <w:sz w:val="16"/>
        </w:rPr>
        <w:t>66.</w:t>
      </w:r>
    </w:p>
    <w:p w14:paraId="21D62DBF" w14:textId="77777777" w:rsidR="002653E8" w:rsidRDefault="002653E8">
      <w:pPr>
        <w:rPr>
          <w:sz w:val="16"/>
        </w:rPr>
        <w:sectPr w:rsidR="002653E8">
          <w:footerReference w:type="even" r:id="rId439"/>
          <w:footerReference w:type="default" r:id="rId440"/>
          <w:pgSz w:w="8640" w:h="12960"/>
          <w:pgMar w:top="1060" w:right="0" w:bottom="1460" w:left="0" w:header="0" w:footer="1270" w:gutter="0"/>
          <w:cols w:space="720"/>
        </w:sectPr>
      </w:pPr>
    </w:p>
    <w:p w14:paraId="30A5B767" w14:textId="77777777" w:rsidR="002653E8" w:rsidRDefault="002653E8">
      <w:pPr>
        <w:pStyle w:val="a3"/>
      </w:pPr>
    </w:p>
    <w:p w14:paraId="6079BB0A" w14:textId="77777777" w:rsidR="002653E8" w:rsidRDefault="002653E8">
      <w:pPr>
        <w:pStyle w:val="a3"/>
      </w:pPr>
    </w:p>
    <w:p w14:paraId="3909598E" w14:textId="77777777" w:rsidR="002653E8" w:rsidRDefault="002653E8">
      <w:pPr>
        <w:pStyle w:val="a3"/>
      </w:pPr>
    </w:p>
    <w:p w14:paraId="36BD7E25" w14:textId="77777777" w:rsidR="002653E8" w:rsidRDefault="002653E8">
      <w:pPr>
        <w:pStyle w:val="a3"/>
      </w:pPr>
    </w:p>
    <w:p w14:paraId="1E9D17F4" w14:textId="77777777" w:rsidR="002653E8" w:rsidRDefault="002653E8">
      <w:pPr>
        <w:pStyle w:val="a3"/>
        <w:spacing w:before="2"/>
        <w:rPr>
          <w:sz w:val="29"/>
        </w:rPr>
      </w:pPr>
    </w:p>
    <w:p w14:paraId="0BAC9C33" w14:textId="77777777" w:rsidR="002653E8" w:rsidRDefault="003115E3">
      <w:pPr>
        <w:pStyle w:val="4"/>
        <w:tabs>
          <w:tab w:val="left" w:pos="6964"/>
          <w:tab w:val="left" w:pos="7491"/>
        </w:tabs>
        <w:spacing w:before="86"/>
        <w:rPr>
          <w:rFonts w:ascii="Lucida Sans"/>
          <w:b/>
        </w:rPr>
      </w:pPr>
      <w:bookmarkStart w:id="262" w:name="15_On_the_Defensive_"/>
      <w:bookmarkStart w:id="263" w:name="_bookmark83"/>
      <w:bookmarkEnd w:id="262"/>
      <w:bookmarkEnd w:id="263"/>
      <w:r>
        <w:rPr>
          <w:rFonts w:ascii="Lucida Sans"/>
          <w:b/>
          <w:color w:val="FFFFFF"/>
          <w:w w:val="87"/>
          <w:shd w:val="clear" w:color="auto" w:fill="231F20"/>
        </w:rPr>
        <w:t xml:space="preserve"> </w:t>
      </w:r>
      <w:r>
        <w:rPr>
          <w:rFonts w:ascii="Lucida Sans"/>
          <w:b/>
          <w:color w:val="FFFFFF"/>
          <w:shd w:val="clear" w:color="auto" w:fill="231F20"/>
        </w:rPr>
        <w:tab/>
      </w:r>
      <w:r>
        <w:rPr>
          <w:rFonts w:ascii="Lucida Sans"/>
          <w:b/>
          <w:color w:val="FFFFFF"/>
          <w:spacing w:val="-8"/>
          <w:w w:val="95"/>
          <w:shd w:val="clear" w:color="auto" w:fill="231F20"/>
        </w:rPr>
        <w:t>15</w:t>
      </w:r>
      <w:r>
        <w:rPr>
          <w:rFonts w:ascii="Lucida Sans"/>
          <w:b/>
          <w:color w:val="FFFFFF"/>
          <w:spacing w:val="-8"/>
          <w:shd w:val="clear" w:color="auto" w:fill="231F20"/>
        </w:rPr>
        <w:tab/>
      </w:r>
    </w:p>
    <w:p w14:paraId="77F0F89C" w14:textId="77777777" w:rsidR="002653E8" w:rsidRDefault="002653E8">
      <w:pPr>
        <w:pStyle w:val="a3"/>
        <w:rPr>
          <w:rFonts w:ascii="Lucida Sans"/>
          <w:b/>
          <w:sz w:val="36"/>
        </w:rPr>
      </w:pPr>
    </w:p>
    <w:p w14:paraId="727E7FB1" w14:textId="77777777" w:rsidR="002653E8" w:rsidRDefault="002653E8">
      <w:pPr>
        <w:pStyle w:val="a3"/>
        <w:spacing w:before="1"/>
        <w:rPr>
          <w:rFonts w:ascii="Lucida Sans"/>
          <w:b/>
          <w:sz w:val="38"/>
        </w:rPr>
      </w:pPr>
    </w:p>
    <w:p w14:paraId="79F58F6D" w14:textId="77777777" w:rsidR="002653E8" w:rsidRDefault="003115E3">
      <w:pPr>
        <w:ind w:left="4645"/>
        <w:rPr>
          <w:rFonts w:ascii="Lucida Sans"/>
          <w:b/>
          <w:sz w:val="36"/>
        </w:rPr>
      </w:pPr>
      <w:r>
        <w:rPr>
          <w:rFonts w:ascii="Lucida Sans"/>
          <w:b/>
          <w:color w:val="231F20"/>
          <w:w w:val="95"/>
          <w:sz w:val="36"/>
        </w:rPr>
        <w:t>on</w:t>
      </w:r>
      <w:r>
        <w:rPr>
          <w:rFonts w:ascii="Lucida Sans"/>
          <w:b/>
          <w:color w:val="231F20"/>
          <w:spacing w:val="-63"/>
          <w:w w:val="95"/>
          <w:sz w:val="36"/>
        </w:rPr>
        <w:t xml:space="preserve"> </w:t>
      </w:r>
      <w:r>
        <w:rPr>
          <w:rFonts w:ascii="Lucida Sans"/>
          <w:b/>
          <w:color w:val="231F20"/>
          <w:w w:val="95"/>
          <w:sz w:val="36"/>
        </w:rPr>
        <w:t>the</w:t>
      </w:r>
      <w:r>
        <w:rPr>
          <w:rFonts w:ascii="Lucida Sans"/>
          <w:b/>
          <w:color w:val="231F20"/>
          <w:spacing w:val="-63"/>
          <w:w w:val="95"/>
          <w:sz w:val="36"/>
        </w:rPr>
        <w:t xml:space="preserve"> </w:t>
      </w:r>
      <w:r>
        <w:rPr>
          <w:rFonts w:ascii="Lucida Sans"/>
          <w:b/>
          <w:color w:val="231F20"/>
          <w:w w:val="95"/>
          <w:sz w:val="36"/>
        </w:rPr>
        <w:t>Defensive</w:t>
      </w:r>
    </w:p>
    <w:p w14:paraId="5C8C389D" w14:textId="77777777" w:rsidR="002653E8" w:rsidRDefault="002653E8">
      <w:pPr>
        <w:pStyle w:val="a3"/>
        <w:rPr>
          <w:rFonts w:ascii="Lucida Sans"/>
          <w:b/>
          <w:sz w:val="42"/>
        </w:rPr>
      </w:pPr>
    </w:p>
    <w:p w14:paraId="0A64CE28" w14:textId="77777777" w:rsidR="002653E8" w:rsidRDefault="002653E8">
      <w:pPr>
        <w:pStyle w:val="a3"/>
        <w:rPr>
          <w:rFonts w:ascii="Lucida Sans"/>
          <w:b/>
          <w:sz w:val="42"/>
        </w:rPr>
      </w:pPr>
    </w:p>
    <w:p w14:paraId="58459651" w14:textId="520467A7" w:rsidR="002653E8" w:rsidRDefault="000D38D6">
      <w:pPr>
        <w:pStyle w:val="a3"/>
        <w:spacing w:before="310" w:line="211" w:lineRule="auto"/>
        <w:ind w:left="1327" w:right="1146" w:hanging="1"/>
        <w:jc w:val="both"/>
      </w:pPr>
      <w:r>
        <w:rPr>
          <w:rFonts w:ascii="宋体" w:eastAsia="宋体" w:hAnsi="宋体" w:cs="宋体" w:hint="eastAsia"/>
          <w:color w:val="231F20"/>
          <w:spacing w:val="-12"/>
          <w:w w:val="99"/>
          <w:sz w:val="48"/>
        </w:rPr>
        <w:t>\</w:t>
      </w:r>
      <w:r w:rsidR="003115E3">
        <w:rPr>
          <w:rFonts w:ascii="Verdana"/>
          <w:color w:val="231F20"/>
          <w:spacing w:val="-12"/>
          <w:w w:val="99"/>
          <w:sz w:val="48"/>
        </w:rPr>
        <w:t>N</w:t>
      </w:r>
      <w:r w:rsidR="003115E3">
        <w:rPr>
          <w:color w:val="231F20"/>
          <w:spacing w:val="3"/>
          <w:w w:val="102"/>
        </w:rPr>
        <w:t>e</w:t>
      </w:r>
      <w:r w:rsidR="003115E3">
        <w:rPr>
          <w:color w:val="231F20"/>
          <w:spacing w:val="1"/>
        </w:rPr>
        <w:t>w</w:t>
      </w:r>
      <w:r w:rsidR="003115E3">
        <w:rPr>
          <w:color w:val="231F20"/>
          <w:w w:val="103"/>
        </w:rPr>
        <w:t>s</w:t>
      </w:r>
      <w:r w:rsidR="003115E3">
        <w:rPr>
          <w:color w:val="231F20"/>
        </w:rPr>
        <w:t xml:space="preserve"> </w:t>
      </w:r>
      <w:r w:rsidR="003115E3">
        <w:rPr>
          <w:color w:val="231F20"/>
          <w:spacing w:val="-21"/>
        </w:rPr>
        <w:t xml:space="preserve"> </w:t>
      </w:r>
      <w:r w:rsidR="003115E3">
        <w:rPr>
          <w:color w:val="231F20"/>
          <w:spacing w:val="-3"/>
          <w:w w:val="125"/>
        </w:rPr>
        <w:t>o</w:t>
      </w:r>
      <w:r w:rsidR="003115E3">
        <w:rPr>
          <w:color w:val="231F20"/>
          <w:w w:val="165"/>
        </w:rPr>
        <w:t>f</w:t>
      </w:r>
      <w:r w:rsidR="003115E3">
        <w:rPr>
          <w:color w:val="231F20"/>
        </w:rPr>
        <w:t xml:space="preserve"> </w:t>
      </w:r>
      <w:r w:rsidR="003115E3">
        <w:rPr>
          <w:color w:val="231F20"/>
          <w:spacing w:val="-21"/>
        </w:rPr>
        <w:t xml:space="preserve"> </w:t>
      </w:r>
      <w:r w:rsidR="003115E3">
        <w:rPr>
          <w:color w:val="231F20"/>
          <w:spacing w:val="6"/>
          <w:w w:val="147"/>
        </w:rPr>
        <w:t>t</w:t>
      </w:r>
      <w:r w:rsidR="003115E3">
        <w:rPr>
          <w:color w:val="231F20"/>
          <w:spacing w:val="5"/>
          <w:w w:val="120"/>
        </w:rPr>
        <w:t>h</w:t>
      </w:r>
      <w:r w:rsidR="003115E3">
        <w:rPr>
          <w:color w:val="231F20"/>
          <w:w w:val="102"/>
        </w:rPr>
        <w:t>e</w:t>
      </w:r>
      <w:r w:rsidR="003115E3">
        <w:rPr>
          <w:color w:val="231F20"/>
        </w:rPr>
        <w:t xml:space="preserve"> </w:t>
      </w:r>
      <w:r w:rsidR="003115E3">
        <w:rPr>
          <w:color w:val="231F20"/>
          <w:spacing w:val="-21"/>
        </w:rPr>
        <w:t xml:space="preserve"> </w:t>
      </w:r>
      <w:r w:rsidR="003115E3">
        <w:rPr>
          <w:color w:val="231F20"/>
          <w:spacing w:val="1"/>
          <w:w w:val="103"/>
        </w:rPr>
        <w:t>s</w:t>
      </w:r>
      <w:r w:rsidR="003115E3">
        <w:rPr>
          <w:color w:val="231F20"/>
          <w:spacing w:val="-1"/>
          <w:w w:val="147"/>
        </w:rPr>
        <w:t>t</w:t>
      </w:r>
      <w:r w:rsidR="003115E3">
        <w:rPr>
          <w:color w:val="231F20"/>
          <w:spacing w:val="7"/>
          <w:w w:val="113"/>
        </w:rPr>
        <w:t>a</w:t>
      </w:r>
      <w:r w:rsidR="003115E3">
        <w:rPr>
          <w:color w:val="231F20"/>
          <w:spacing w:val="5"/>
          <w:w w:val="93"/>
        </w:rPr>
        <w:t>mm</w:t>
      </w:r>
      <w:r w:rsidR="003115E3">
        <w:rPr>
          <w:color w:val="231F20"/>
          <w:spacing w:val="5"/>
          <w:w w:val="120"/>
        </w:rPr>
        <w:t>h</w:t>
      </w:r>
      <w:r w:rsidR="003115E3">
        <w:rPr>
          <w:color w:val="231F20"/>
          <w:spacing w:val="2"/>
          <w:w w:val="102"/>
        </w:rPr>
        <w:t>e</w:t>
      </w:r>
      <w:r w:rsidR="003115E3">
        <w:rPr>
          <w:color w:val="231F20"/>
          <w:spacing w:val="3"/>
          <w:w w:val="119"/>
        </w:rPr>
        <w:t>i</w:t>
      </w:r>
      <w:r w:rsidR="003115E3">
        <w:rPr>
          <w:color w:val="231F20"/>
          <w:w w:val="93"/>
        </w:rPr>
        <w:t>m</w:t>
      </w:r>
      <w:r w:rsidR="003115E3">
        <w:rPr>
          <w:color w:val="231F20"/>
        </w:rPr>
        <w:t xml:space="preserve"> </w:t>
      </w:r>
      <w:r w:rsidR="003115E3">
        <w:rPr>
          <w:color w:val="231F20"/>
          <w:spacing w:val="-21"/>
        </w:rPr>
        <w:t xml:space="preserve"> </w:t>
      </w:r>
      <w:r w:rsidR="003115E3">
        <w:rPr>
          <w:color w:val="231F20"/>
          <w:spacing w:val="-2"/>
          <w:w w:val="120"/>
        </w:rPr>
        <w:t>d</w:t>
      </w:r>
      <w:r w:rsidR="003115E3">
        <w:rPr>
          <w:color w:val="231F20"/>
          <w:spacing w:val="6"/>
          <w:w w:val="102"/>
        </w:rPr>
        <w:t>e</w:t>
      </w:r>
      <w:r w:rsidR="003115E3">
        <w:rPr>
          <w:color w:val="231F20"/>
          <w:spacing w:val="-1"/>
          <w:w w:val="113"/>
        </w:rPr>
        <w:t>a</w:t>
      </w:r>
      <w:r w:rsidR="003115E3">
        <w:rPr>
          <w:color w:val="231F20"/>
          <w:spacing w:val="6"/>
          <w:w w:val="147"/>
        </w:rPr>
        <w:t>t</w:t>
      </w:r>
      <w:r w:rsidR="003115E3">
        <w:rPr>
          <w:color w:val="231F20"/>
          <w:spacing w:val="1"/>
          <w:w w:val="120"/>
        </w:rPr>
        <w:t>h</w:t>
      </w:r>
      <w:r w:rsidR="003115E3">
        <w:rPr>
          <w:color w:val="231F20"/>
          <w:w w:val="103"/>
        </w:rPr>
        <w:t>s</w:t>
      </w:r>
      <w:r w:rsidR="003115E3">
        <w:rPr>
          <w:color w:val="231F20"/>
        </w:rPr>
        <w:t xml:space="preserve"> </w:t>
      </w:r>
      <w:r w:rsidR="003115E3">
        <w:rPr>
          <w:color w:val="231F20"/>
          <w:spacing w:val="-21"/>
        </w:rPr>
        <w:t xml:space="preserve"> </w:t>
      </w:r>
      <w:r w:rsidR="003115E3">
        <w:rPr>
          <w:color w:val="231F20"/>
          <w:spacing w:val="-1"/>
          <w:w w:val="91"/>
        </w:rPr>
        <w:t>e</w:t>
      </w:r>
      <w:r w:rsidR="003115E3">
        <w:rPr>
          <w:color w:val="231F20"/>
          <w:spacing w:val="-1"/>
          <w:w w:val="102"/>
        </w:rPr>
        <w:t>l</w:t>
      </w:r>
      <w:r w:rsidR="003115E3">
        <w:rPr>
          <w:color w:val="231F20"/>
          <w:spacing w:val="1"/>
          <w:w w:val="91"/>
        </w:rPr>
        <w:t>e</w:t>
      </w:r>
      <w:r w:rsidR="003115E3">
        <w:rPr>
          <w:color w:val="231F20"/>
          <w:spacing w:val="3"/>
        </w:rPr>
        <w:t>c</w:t>
      </w:r>
      <w:r w:rsidR="003115E3">
        <w:rPr>
          <w:color w:val="231F20"/>
          <w:spacing w:val="3"/>
          <w:w w:val="98"/>
        </w:rPr>
        <w:t>t</w:t>
      </w:r>
      <w:r w:rsidR="003115E3">
        <w:rPr>
          <w:color w:val="231F20"/>
          <w:spacing w:val="1"/>
          <w:w w:val="94"/>
        </w:rPr>
        <w:t>r</w:t>
      </w:r>
      <w:r w:rsidR="003115E3">
        <w:rPr>
          <w:color w:val="231F20"/>
          <w:spacing w:val="5"/>
        </w:rPr>
        <w:t>i</w:t>
      </w:r>
      <w:r w:rsidR="003115E3">
        <w:rPr>
          <w:color w:val="231F20"/>
          <w:w w:val="95"/>
        </w:rPr>
        <w:t>f</w:t>
      </w:r>
      <w:r w:rsidR="003115E3">
        <w:rPr>
          <w:color w:val="231F20"/>
          <w:spacing w:val="1"/>
          <w:w w:val="95"/>
        </w:rPr>
        <w:t>i</w:t>
      </w:r>
      <w:r w:rsidR="003115E3">
        <w:rPr>
          <w:color w:val="231F20"/>
          <w:w w:val="91"/>
        </w:rPr>
        <w:t>e</w:t>
      </w:r>
      <w:r w:rsidR="003115E3">
        <w:rPr>
          <w:color w:val="231F20"/>
          <w:spacing w:val="2"/>
        </w:rPr>
        <w:t>d</w:t>
      </w:r>
      <w:r w:rsidR="003115E3">
        <w:rPr>
          <w:color w:val="231F20"/>
          <w:w w:val="135"/>
        </w:rPr>
        <w:t>,</w:t>
      </w:r>
      <w:r w:rsidR="003115E3">
        <w:rPr>
          <w:color w:val="231F20"/>
        </w:rPr>
        <w:t xml:space="preserve"> </w:t>
      </w:r>
      <w:r w:rsidR="003115E3">
        <w:rPr>
          <w:color w:val="231F20"/>
          <w:spacing w:val="-21"/>
        </w:rPr>
        <w:t xml:space="preserve"> </w:t>
      </w:r>
      <w:r w:rsidR="003115E3">
        <w:rPr>
          <w:color w:val="231F20"/>
          <w:w w:val="102"/>
        </w:rPr>
        <w:t>a</w:t>
      </w:r>
      <w:r w:rsidR="003115E3">
        <w:rPr>
          <w:color w:val="231F20"/>
          <w:w w:val="90"/>
        </w:rPr>
        <w:t>s</w:t>
      </w:r>
      <w:r w:rsidR="003115E3">
        <w:rPr>
          <w:color w:val="231F20"/>
          <w:spacing w:val="-2"/>
          <w:w w:val="98"/>
        </w:rPr>
        <w:t>t</w:t>
      </w:r>
      <w:r w:rsidR="003115E3">
        <w:rPr>
          <w:color w:val="231F20"/>
          <w:spacing w:val="-2"/>
          <w:w w:val="104"/>
        </w:rPr>
        <w:t>o</w:t>
      </w:r>
      <w:r w:rsidR="003115E3">
        <w:rPr>
          <w:color w:val="231F20"/>
          <w:spacing w:val="3"/>
        </w:rPr>
        <w:t>u</w:t>
      </w:r>
      <w:r w:rsidR="003115E3">
        <w:rPr>
          <w:color w:val="231F20"/>
          <w:spacing w:val="-1"/>
          <w:w w:val="99"/>
        </w:rPr>
        <w:t>n</w:t>
      </w:r>
      <w:r w:rsidR="003115E3">
        <w:rPr>
          <w:color w:val="231F20"/>
        </w:rPr>
        <w:t>d</w:t>
      </w:r>
      <w:r w:rsidR="003115E3">
        <w:rPr>
          <w:color w:val="231F20"/>
          <w:w w:val="91"/>
        </w:rPr>
        <w:t>e</w:t>
      </w:r>
      <w:r w:rsidR="003115E3">
        <w:rPr>
          <w:color w:val="231F20"/>
          <w:spacing w:val="2"/>
        </w:rPr>
        <w:t>d</w:t>
      </w:r>
      <w:r w:rsidR="003115E3">
        <w:rPr>
          <w:color w:val="231F20"/>
          <w:w w:val="135"/>
        </w:rPr>
        <w:t>,</w:t>
      </w:r>
      <w:r w:rsidR="003115E3">
        <w:rPr>
          <w:color w:val="231F20"/>
        </w:rPr>
        <w:t xml:space="preserve"> </w:t>
      </w:r>
      <w:r w:rsidR="003115E3">
        <w:rPr>
          <w:color w:val="231F20"/>
          <w:spacing w:val="-21"/>
        </w:rPr>
        <w:t xml:space="preserve"> </w:t>
      </w:r>
      <w:r w:rsidR="003115E3">
        <w:rPr>
          <w:color w:val="231F20"/>
          <w:spacing w:val="2"/>
          <w:w w:val="102"/>
        </w:rPr>
        <w:t>a</w:t>
      </w:r>
      <w:r w:rsidR="003115E3">
        <w:rPr>
          <w:color w:val="231F20"/>
          <w:spacing w:val="-1"/>
          <w:w w:val="99"/>
        </w:rPr>
        <w:t>n</w:t>
      </w:r>
      <w:r w:rsidR="003115E3">
        <w:rPr>
          <w:color w:val="231F20"/>
        </w:rPr>
        <w:t xml:space="preserve">d </w:t>
      </w:r>
      <w:r w:rsidR="003115E3">
        <w:rPr>
          <w:color w:val="231F20"/>
          <w:spacing w:val="-21"/>
        </w:rPr>
        <w:t xml:space="preserve"> </w:t>
      </w:r>
      <w:r w:rsidR="003115E3">
        <w:rPr>
          <w:color w:val="231F20"/>
          <w:spacing w:val="-2"/>
        </w:rPr>
        <w:t>h</w:t>
      </w:r>
      <w:r w:rsidR="003115E3">
        <w:rPr>
          <w:color w:val="231F20"/>
          <w:spacing w:val="-1"/>
          <w:w w:val="104"/>
        </w:rPr>
        <w:t>o</w:t>
      </w:r>
      <w:r w:rsidR="003115E3">
        <w:rPr>
          <w:color w:val="231F20"/>
          <w:spacing w:val="1"/>
          <w:w w:val="94"/>
        </w:rPr>
        <w:t>r</w:t>
      </w:r>
      <w:r w:rsidR="003115E3">
        <w:rPr>
          <w:color w:val="231F20"/>
          <w:w w:val="105"/>
        </w:rPr>
        <w:t>rified</w:t>
      </w:r>
      <w:r w:rsidR="003115E3">
        <w:rPr>
          <w:color w:val="231F20"/>
          <w:spacing w:val="-9"/>
          <w:w w:val="105"/>
        </w:rPr>
        <w:t xml:space="preserve"> </w:t>
      </w:r>
      <w:r w:rsidR="003115E3">
        <w:rPr>
          <w:color w:val="231F20"/>
          <w:w w:val="105"/>
        </w:rPr>
        <w:t>the</w:t>
      </w:r>
      <w:r w:rsidR="003115E3">
        <w:rPr>
          <w:color w:val="231F20"/>
          <w:spacing w:val="-8"/>
          <w:w w:val="105"/>
        </w:rPr>
        <w:t xml:space="preserve"> </w:t>
      </w:r>
      <w:r w:rsidR="003115E3">
        <w:rPr>
          <w:color w:val="231F20"/>
          <w:w w:val="105"/>
        </w:rPr>
        <w:t>European</w:t>
      </w:r>
      <w:r w:rsidR="003115E3">
        <w:rPr>
          <w:color w:val="231F20"/>
          <w:spacing w:val="-9"/>
          <w:w w:val="105"/>
        </w:rPr>
        <w:t xml:space="preserve"> </w:t>
      </w:r>
      <w:r w:rsidR="003115E3">
        <w:rPr>
          <w:color w:val="231F20"/>
          <w:w w:val="105"/>
        </w:rPr>
        <w:t>left,</w:t>
      </w:r>
      <w:r w:rsidR="003115E3">
        <w:rPr>
          <w:color w:val="231F20"/>
          <w:spacing w:val="-8"/>
          <w:w w:val="105"/>
        </w:rPr>
        <w:t xml:space="preserve"> </w:t>
      </w:r>
      <w:r w:rsidR="003115E3">
        <w:rPr>
          <w:color w:val="231F20"/>
          <w:w w:val="105"/>
        </w:rPr>
        <w:t>provoking</w:t>
      </w:r>
      <w:r w:rsidR="003115E3">
        <w:rPr>
          <w:color w:val="231F20"/>
          <w:spacing w:val="-8"/>
          <w:w w:val="105"/>
        </w:rPr>
        <w:t xml:space="preserve"> </w:t>
      </w:r>
      <w:r w:rsidR="003115E3">
        <w:rPr>
          <w:color w:val="231F20"/>
          <w:w w:val="105"/>
        </w:rPr>
        <w:t>an</w:t>
      </w:r>
      <w:r w:rsidR="003115E3">
        <w:rPr>
          <w:color w:val="231F20"/>
          <w:spacing w:val="-9"/>
          <w:w w:val="105"/>
        </w:rPr>
        <w:t xml:space="preserve"> </w:t>
      </w:r>
      <w:r w:rsidR="003115E3">
        <w:rPr>
          <w:color w:val="231F20"/>
          <w:w w:val="105"/>
        </w:rPr>
        <w:t>outpouring</w:t>
      </w:r>
      <w:r w:rsidR="003115E3">
        <w:rPr>
          <w:color w:val="231F20"/>
          <w:spacing w:val="-8"/>
          <w:w w:val="105"/>
        </w:rPr>
        <w:t xml:space="preserve"> </w:t>
      </w:r>
      <w:r w:rsidR="003115E3">
        <w:rPr>
          <w:color w:val="231F20"/>
          <w:w w:val="105"/>
        </w:rPr>
        <w:t>of</w:t>
      </w:r>
      <w:r w:rsidR="003115E3">
        <w:rPr>
          <w:color w:val="231F20"/>
          <w:spacing w:val="-8"/>
          <w:w w:val="105"/>
        </w:rPr>
        <w:t xml:space="preserve"> </w:t>
      </w:r>
      <w:r w:rsidR="003115E3">
        <w:rPr>
          <w:color w:val="231F20"/>
          <w:w w:val="105"/>
        </w:rPr>
        <w:t>rage.</w:t>
      </w:r>
      <w:r w:rsidR="003115E3">
        <w:rPr>
          <w:color w:val="231F20"/>
          <w:spacing w:val="-8"/>
          <w:w w:val="105"/>
        </w:rPr>
        <w:t xml:space="preserve"> </w:t>
      </w:r>
      <w:r w:rsidR="003115E3">
        <w:rPr>
          <w:color w:val="231F20"/>
          <w:w w:val="105"/>
        </w:rPr>
        <w:t>Security</w:t>
      </w:r>
      <w:r w:rsidR="003115E3">
        <w:rPr>
          <w:color w:val="231F20"/>
          <w:spacing w:val="-9"/>
          <w:w w:val="105"/>
        </w:rPr>
        <w:t xml:space="preserve"> </w:t>
      </w:r>
      <w:r w:rsidR="003115E3">
        <w:rPr>
          <w:color w:val="231F20"/>
          <w:w w:val="105"/>
        </w:rPr>
        <w:t>ex-</w:t>
      </w:r>
    </w:p>
    <w:p w14:paraId="00A48DB4" w14:textId="77777777" w:rsidR="002653E8" w:rsidRDefault="003115E3">
      <w:pPr>
        <w:pStyle w:val="a3"/>
        <w:spacing w:before="28" w:line="264" w:lineRule="auto"/>
        <w:ind w:left="1327" w:right="1146"/>
        <w:jc w:val="both"/>
        <w:rPr>
          <w:sz w:val="11"/>
        </w:rPr>
      </w:pPr>
      <w:r>
        <w:rPr>
          <w:color w:val="231F20"/>
        </w:rPr>
        <w:t>perts and government officials warned that more “terrorist” attacks would follow, and braced themselves accordingly. City streets were flanked with sandbagged gun emplacements and miles of barbed wire stretched through the capital.</w:t>
      </w:r>
      <w:r>
        <w:rPr>
          <w:color w:val="231F20"/>
          <w:position w:val="7"/>
          <w:sz w:val="11"/>
        </w:rPr>
        <w:t>4</w:t>
      </w:r>
    </w:p>
    <w:p w14:paraId="43DCD190" w14:textId="77777777" w:rsidR="002653E8" w:rsidRDefault="003115E3">
      <w:pPr>
        <w:pStyle w:val="a3"/>
        <w:spacing w:line="264" w:lineRule="auto"/>
        <w:ind w:left="1327" w:right="1146" w:firstLine="210"/>
        <w:jc w:val="both"/>
      </w:pPr>
      <w:r>
        <w:rPr>
          <w:color w:val="231F20"/>
          <w:w w:val="105"/>
        </w:rPr>
        <w:t>The wave of protest and violence was not long in coming, though in the end it subsided well short of the “100,000 bombings” that one group promised would avenge the events of October 18.</w:t>
      </w:r>
    </w:p>
    <w:p w14:paraId="09604A5F" w14:textId="77777777" w:rsidR="002653E8" w:rsidRDefault="003115E3">
      <w:pPr>
        <w:pStyle w:val="a3"/>
        <w:spacing w:line="264" w:lineRule="auto"/>
        <w:ind w:left="1327" w:right="1146" w:firstLine="210"/>
        <w:jc w:val="both"/>
      </w:pPr>
      <w:r>
        <w:rPr>
          <w:color w:val="231F20"/>
          <w:spacing w:val="1"/>
        </w:rPr>
        <w:t>In</w:t>
      </w:r>
      <w:r>
        <w:rPr>
          <w:color w:val="231F20"/>
          <w:spacing w:val="-10"/>
        </w:rPr>
        <w:t xml:space="preserve"> </w:t>
      </w:r>
      <w:r>
        <w:rPr>
          <w:color w:val="231F20"/>
        </w:rPr>
        <w:t>the</w:t>
      </w:r>
      <w:r>
        <w:rPr>
          <w:color w:val="231F20"/>
          <w:spacing w:val="-10"/>
        </w:rPr>
        <w:t xml:space="preserve"> </w:t>
      </w:r>
      <w:r>
        <w:rPr>
          <w:color w:val="231F20"/>
        </w:rPr>
        <w:t>week</w:t>
      </w:r>
      <w:r>
        <w:rPr>
          <w:color w:val="231F20"/>
          <w:spacing w:val="-10"/>
        </w:rPr>
        <w:t xml:space="preserve"> </w:t>
      </w:r>
      <w:r>
        <w:rPr>
          <w:color w:val="231F20"/>
        </w:rPr>
        <w:t>immediately</w:t>
      </w:r>
      <w:r>
        <w:rPr>
          <w:color w:val="231F20"/>
          <w:spacing w:val="-10"/>
        </w:rPr>
        <w:t xml:space="preserve"> </w:t>
      </w:r>
      <w:r>
        <w:rPr>
          <w:color w:val="231F20"/>
        </w:rPr>
        <w:t>following</w:t>
      </w:r>
      <w:r>
        <w:rPr>
          <w:color w:val="231F20"/>
          <w:spacing w:val="-10"/>
        </w:rPr>
        <w:t xml:space="preserve"> </w:t>
      </w:r>
      <w:r>
        <w:rPr>
          <w:color w:val="231F20"/>
        </w:rPr>
        <w:t>the</w:t>
      </w:r>
      <w:r>
        <w:rPr>
          <w:color w:val="231F20"/>
          <w:spacing w:val="-10"/>
        </w:rPr>
        <w:t xml:space="preserve"> </w:t>
      </w:r>
      <w:r>
        <w:rPr>
          <w:color w:val="231F20"/>
        </w:rPr>
        <w:t>deaths,</w:t>
      </w:r>
      <w:r>
        <w:rPr>
          <w:color w:val="231F20"/>
          <w:spacing w:val="-10"/>
        </w:rPr>
        <w:t xml:space="preserve"> </w:t>
      </w:r>
      <w:r>
        <w:rPr>
          <w:color w:val="231F20"/>
          <w:spacing w:val="-3"/>
        </w:rPr>
        <w:t>West</w:t>
      </w:r>
      <w:r>
        <w:rPr>
          <w:color w:val="231F20"/>
          <w:spacing w:val="-10"/>
        </w:rPr>
        <w:t xml:space="preserve"> </w:t>
      </w:r>
      <w:r>
        <w:rPr>
          <w:color w:val="231F20"/>
        </w:rPr>
        <w:t>German</w:t>
      </w:r>
      <w:r>
        <w:rPr>
          <w:color w:val="231F20"/>
          <w:spacing w:val="-10"/>
        </w:rPr>
        <w:t xml:space="preserve"> </w:t>
      </w:r>
      <w:r>
        <w:rPr>
          <w:color w:val="231F20"/>
        </w:rPr>
        <w:t>and</w:t>
      </w:r>
      <w:r>
        <w:rPr>
          <w:color w:val="231F20"/>
          <w:spacing w:val="-10"/>
        </w:rPr>
        <w:t xml:space="preserve"> </w:t>
      </w:r>
      <w:r>
        <w:rPr>
          <w:color w:val="231F20"/>
        </w:rPr>
        <w:t>rightwing targets were attacked in over twenty Italian cities. Simultaneous explosions rocked the Siemens, BMW, and Opel auto buildings in  Rome,</w:t>
      </w:r>
      <w:r>
        <w:rPr>
          <w:color w:val="231F20"/>
          <w:position w:val="7"/>
          <w:sz w:val="11"/>
        </w:rPr>
        <w:t xml:space="preserve">5 </w:t>
      </w:r>
      <w:r>
        <w:rPr>
          <w:color w:val="231F20"/>
        </w:rPr>
        <w:t xml:space="preserve">car showrooms were firebombed in Bologna, Milan,  Livorno, and Turin, and </w:t>
      </w:r>
      <w:r>
        <w:rPr>
          <w:color w:val="231F20"/>
          <w:spacing w:val="-3"/>
        </w:rPr>
        <w:t xml:space="preserve">West </w:t>
      </w:r>
      <w:r>
        <w:rPr>
          <w:color w:val="231F20"/>
        </w:rPr>
        <w:t>German consulates were attacked in Genoa and Venice.</w:t>
      </w:r>
      <w:r>
        <w:rPr>
          <w:color w:val="231F20"/>
          <w:position w:val="7"/>
          <w:sz w:val="11"/>
        </w:rPr>
        <w:t xml:space="preserve">6 </w:t>
      </w:r>
      <w:r>
        <w:rPr>
          <w:color w:val="231F20"/>
        </w:rPr>
        <w:t>A police officer in the northern town of Brescia lost his hand while</w:t>
      </w:r>
      <w:r>
        <w:rPr>
          <w:color w:val="231F20"/>
          <w:spacing w:val="28"/>
        </w:rPr>
        <w:t xml:space="preserve"> </w:t>
      </w:r>
      <w:r>
        <w:rPr>
          <w:color w:val="231F20"/>
        </w:rPr>
        <w:t>trying</w:t>
      </w:r>
      <w:r>
        <w:rPr>
          <w:color w:val="231F20"/>
          <w:spacing w:val="28"/>
        </w:rPr>
        <w:t xml:space="preserve"> </w:t>
      </w:r>
      <w:r>
        <w:rPr>
          <w:color w:val="231F20"/>
        </w:rPr>
        <w:t>to</w:t>
      </w:r>
      <w:r>
        <w:rPr>
          <w:color w:val="231F20"/>
          <w:spacing w:val="28"/>
        </w:rPr>
        <w:t xml:space="preserve"> </w:t>
      </w:r>
      <w:r>
        <w:rPr>
          <w:color w:val="231F20"/>
        </w:rPr>
        <w:t>defuse</w:t>
      </w:r>
      <w:r>
        <w:rPr>
          <w:color w:val="231F20"/>
          <w:spacing w:val="28"/>
        </w:rPr>
        <w:t xml:space="preserve"> </w:t>
      </w:r>
      <w:r>
        <w:rPr>
          <w:color w:val="231F20"/>
        </w:rPr>
        <w:t>a</w:t>
      </w:r>
      <w:r>
        <w:rPr>
          <w:color w:val="231F20"/>
          <w:spacing w:val="28"/>
        </w:rPr>
        <w:t xml:space="preserve"> </w:t>
      </w:r>
      <w:r>
        <w:rPr>
          <w:color w:val="231F20"/>
        </w:rPr>
        <w:t>bomb,</w:t>
      </w:r>
      <w:r>
        <w:rPr>
          <w:color w:val="231F20"/>
          <w:spacing w:val="28"/>
        </w:rPr>
        <w:t xml:space="preserve"> </w:t>
      </w:r>
      <w:r>
        <w:rPr>
          <w:color w:val="231F20"/>
        </w:rPr>
        <w:t>and</w:t>
      </w:r>
      <w:r>
        <w:rPr>
          <w:color w:val="231F20"/>
          <w:spacing w:val="28"/>
        </w:rPr>
        <w:t xml:space="preserve"> </w:t>
      </w:r>
      <w:r>
        <w:rPr>
          <w:color w:val="231F20"/>
        </w:rPr>
        <w:t>club-wielding</w:t>
      </w:r>
      <w:r>
        <w:rPr>
          <w:color w:val="231F20"/>
          <w:spacing w:val="28"/>
        </w:rPr>
        <w:t xml:space="preserve"> </w:t>
      </w:r>
      <w:r>
        <w:rPr>
          <w:color w:val="231F20"/>
        </w:rPr>
        <w:t>demonstrators</w:t>
      </w:r>
      <w:r>
        <w:rPr>
          <w:color w:val="231F20"/>
          <w:spacing w:val="28"/>
        </w:rPr>
        <w:t xml:space="preserve"> </w:t>
      </w:r>
      <w:r>
        <w:rPr>
          <w:color w:val="231F20"/>
        </w:rPr>
        <w:t>sent</w:t>
      </w:r>
    </w:p>
    <w:p w14:paraId="4E11E146" w14:textId="77777777" w:rsidR="002653E8" w:rsidRDefault="00000000">
      <w:pPr>
        <w:pStyle w:val="a3"/>
        <w:spacing w:before="1"/>
        <w:rPr>
          <w:sz w:val="27"/>
        </w:rPr>
      </w:pPr>
      <w:r>
        <w:rPr>
          <w:noProof w:val="0"/>
        </w:rPr>
        <w:pict w14:anchorId="79252D68">
          <v:line id="_x0000_s2160" style="position:absolute;z-index:10768;mso-wrap-distance-left:0;mso-wrap-distance-right:0;mso-position-horizontal-relative:page" from="66.4pt,18.1pt" to="138.4pt,18.1pt" strokecolor="#231f20" strokeweight=".5pt">
            <w10:wrap type="topAndBottom" anchorx="page"/>
          </v:line>
        </w:pict>
      </w:r>
    </w:p>
    <w:p w14:paraId="1EFC0E34" w14:textId="77777777" w:rsidR="002653E8" w:rsidRDefault="003115E3">
      <w:pPr>
        <w:pStyle w:val="a4"/>
        <w:numPr>
          <w:ilvl w:val="0"/>
          <w:numId w:val="49"/>
        </w:numPr>
        <w:tabs>
          <w:tab w:val="left" w:pos="1467"/>
        </w:tabs>
        <w:spacing w:before="53"/>
        <w:ind w:left="1466"/>
        <w:jc w:val="left"/>
        <w:rPr>
          <w:i/>
          <w:sz w:val="16"/>
        </w:rPr>
      </w:pPr>
      <w:r>
        <w:rPr>
          <w:color w:val="231F20"/>
          <w:spacing w:val="1"/>
          <w:w w:val="110"/>
          <w:sz w:val="16"/>
        </w:rPr>
        <w:t xml:space="preserve">Mary </w:t>
      </w:r>
      <w:r>
        <w:rPr>
          <w:color w:val="231F20"/>
          <w:w w:val="110"/>
          <w:sz w:val="16"/>
        </w:rPr>
        <w:t xml:space="preserve">Campbell, “History’s coldest winter wrote top story for </w:t>
      </w:r>
      <w:r>
        <w:rPr>
          <w:color w:val="231F20"/>
          <w:spacing w:val="-5"/>
          <w:w w:val="110"/>
          <w:sz w:val="16"/>
        </w:rPr>
        <w:t xml:space="preserve">’77,” </w:t>
      </w:r>
      <w:r>
        <w:rPr>
          <w:i/>
          <w:color w:val="231F20"/>
          <w:spacing w:val="1"/>
          <w:w w:val="110"/>
          <w:sz w:val="16"/>
        </w:rPr>
        <w:t>Lima</w:t>
      </w:r>
      <w:r>
        <w:rPr>
          <w:i/>
          <w:color w:val="231F20"/>
          <w:spacing w:val="35"/>
          <w:w w:val="110"/>
          <w:sz w:val="16"/>
        </w:rPr>
        <w:t xml:space="preserve"> </w:t>
      </w:r>
      <w:r>
        <w:rPr>
          <w:i/>
          <w:color w:val="231F20"/>
          <w:w w:val="110"/>
          <w:sz w:val="16"/>
        </w:rPr>
        <w:t>News,</w:t>
      </w:r>
    </w:p>
    <w:p w14:paraId="46B99737" w14:textId="77777777" w:rsidR="002653E8" w:rsidRDefault="003115E3">
      <w:pPr>
        <w:spacing w:before="11"/>
        <w:ind w:left="1327"/>
        <w:rPr>
          <w:sz w:val="16"/>
        </w:rPr>
      </w:pPr>
      <w:r>
        <w:rPr>
          <w:color w:val="231F20"/>
          <w:w w:val="110"/>
          <w:sz w:val="16"/>
        </w:rPr>
        <w:t>December 27, 1977.</w:t>
      </w:r>
    </w:p>
    <w:p w14:paraId="58EAE6E8" w14:textId="77777777" w:rsidR="002653E8" w:rsidRDefault="003115E3">
      <w:pPr>
        <w:pStyle w:val="a4"/>
        <w:numPr>
          <w:ilvl w:val="0"/>
          <w:numId w:val="49"/>
        </w:numPr>
        <w:tabs>
          <w:tab w:val="left" w:pos="1467"/>
        </w:tabs>
        <w:spacing w:before="52" w:line="254" w:lineRule="auto"/>
        <w:ind w:left="1327" w:right="1314" w:firstLine="0"/>
        <w:jc w:val="left"/>
        <w:rPr>
          <w:sz w:val="16"/>
        </w:rPr>
      </w:pPr>
      <w:r>
        <w:rPr>
          <w:color w:val="231F20"/>
          <w:w w:val="105"/>
          <w:sz w:val="16"/>
        </w:rPr>
        <w:t xml:space="preserve">United Press International, “Italian Leftists Continue Their Reign of </w:t>
      </w:r>
      <w:r>
        <w:rPr>
          <w:color w:val="231F20"/>
          <w:spacing w:val="-3"/>
          <w:w w:val="105"/>
          <w:sz w:val="16"/>
        </w:rPr>
        <w:t xml:space="preserve">Terror,” </w:t>
      </w:r>
      <w:r>
        <w:rPr>
          <w:i/>
          <w:color w:val="231F20"/>
          <w:w w:val="105"/>
          <w:sz w:val="16"/>
        </w:rPr>
        <w:t xml:space="preserve">El Paso Herald-Post, </w:t>
      </w:r>
      <w:r>
        <w:rPr>
          <w:color w:val="231F20"/>
          <w:w w:val="105"/>
          <w:sz w:val="16"/>
        </w:rPr>
        <w:t>October 26,</w:t>
      </w:r>
      <w:r>
        <w:rPr>
          <w:color w:val="231F20"/>
          <w:spacing w:val="2"/>
          <w:w w:val="105"/>
          <w:sz w:val="16"/>
        </w:rPr>
        <w:t xml:space="preserve"> </w:t>
      </w:r>
      <w:r>
        <w:rPr>
          <w:color w:val="231F20"/>
          <w:spacing w:val="-4"/>
          <w:w w:val="105"/>
          <w:sz w:val="16"/>
        </w:rPr>
        <w:t>1977.</w:t>
      </w:r>
    </w:p>
    <w:p w14:paraId="46A92886" w14:textId="77777777" w:rsidR="002653E8" w:rsidRDefault="003115E3">
      <w:pPr>
        <w:pStyle w:val="a4"/>
        <w:numPr>
          <w:ilvl w:val="0"/>
          <w:numId w:val="49"/>
        </w:numPr>
        <w:tabs>
          <w:tab w:val="left" w:pos="1467"/>
        </w:tabs>
        <w:ind w:left="1466" w:hanging="138"/>
        <w:jc w:val="left"/>
        <w:rPr>
          <w:sz w:val="16"/>
        </w:rPr>
      </w:pPr>
      <w:r>
        <w:rPr>
          <w:color w:val="231F20"/>
          <w:w w:val="110"/>
          <w:sz w:val="16"/>
        </w:rPr>
        <w:t>Associated</w:t>
      </w:r>
      <w:r>
        <w:rPr>
          <w:color w:val="231F20"/>
          <w:spacing w:val="5"/>
          <w:w w:val="110"/>
          <w:sz w:val="16"/>
        </w:rPr>
        <w:t xml:space="preserve"> </w:t>
      </w:r>
      <w:r>
        <w:rPr>
          <w:color w:val="231F20"/>
          <w:w w:val="110"/>
          <w:sz w:val="16"/>
        </w:rPr>
        <w:t>Press,</w:t>
      </w:r>
      <w:r>
        <w:rPr>
          <w:color w:val="231F20"/>
          <w:spacing w:val="5"/>
          <w:w w:val="110"/>
          <w:sz w:val="16"/>
        </w:rPr>
        <w:t xml:space="preserve"> </w:t>
      </w:r>
      <w:r>
        <w:rPr>
          <w:color w:val="231F20"/>
          <w:w w:val="110"/>
          <w:sz w:val="16"/>
        </w:rPr>
        <w:t>“Schleyer</w:t>
      </w:r>
      <w:r>
        <w:rPr>
          <w:color w:val="231F20"/>
          <w:spacing w:val="5"/>
          <w:w w:val="110"/>
          <w:sz w:val="16"/>
        </w:rPr>
        <w:t xml:space="preserve"> </w:t>
      </w:r>
      <w:r>
        <w:rPr>
          <w:color w:val="231F20"/>
          <w:w w:val="110"/>
          <w:sz w:val="16"/>
        </w:rPr>
        <w:t>Found</w:t>
      </w:r>
      <w:r>
        <w:rPr>
          <w:color w:val="231F20"/>
          <w:spacing w:val="5"/>
          <w:w w:val="110"/>
          <w:sz w:val="16"/>
        </w:rPr>
        <w:t xml:space="preserve"> </w:t>
      </w:r>
      <w:r>
        <w:rPr>
          <w:color w:val="231F20"/>
          <w:w w:val="110"/>
          <w:sz w:val="16"/>
        </w:rPr>
        <w:t>Dead,”</w:t>
      </w:r>
      <w:r>
        <w:rPr>
          <w:color w:val="231F20"/>
          <w:spacing w:val="5"/>
          <w:w w:val="110"/>
          <w:sz w:val="16"/>
        </w:rPr>
        <w:t xml:space="preserve"> </w:t>
      </w:r>
      <w:r>
        <w:rPr>
          <w:i/>
          <w:color w:val="231F20"/>
          <w:w w:val="110"/>
          <w:sz w:val="16"/>
        </w:rPr>
        <w:t>Danville</w:t>
      </w:r>
      <w:r>
        <w:rPr>
          <w:i/>
          <w:color w:val="231F20"/>
          <w:spacing w:val="5"/>
          <w:w w:val="110"/>
          <w:sz w:val="16"/>
        </w:rPr>
        <w:t xml:space="preserve"> </w:t>
      </w:r>
      <w:r>
        <w:rPr>
          <w:i/>
          <w:color w:val="231F20"/>
          <w:w w:val="110"/>
          <w:sz w:val="16"/>
        </w:rPr>
        <w:t>Register,</w:t>
      </w:r>
      <w:r>
        <w:rPr>
          <w:i/>
          <w:color w:val="231F20"/>
          <w:spacing w:val="5"/>
          <w:w w:val="110"/>
          <w:sz w:val="16"/>
        </w:rPr>
        <w:t xml:space="preserve"> </w:t>
      </w:r>
      <w:r>
        <w:rPr>
          <w:color w:val="231F20"/>
          <w:w w:val="110"/>
          <w:sz w:val="16"/>
        </w:rPr>
        <w:t>October</w:t>
      </w:r>
      <w:r>
        <w:rPr>
          <w:color w:val="231F20"/>
          <w:spacing w:val="5"/>
          <w:w w:val="110"/>
          <w:sz w:val="16"/>
        </w:rPr>
        <w:t xml:space="preserve"> </w:t>
      </w:r>
      <w:r>
        <w:rPr>
          <w:color w:val="231F20"/>
          <w:w w:val="110"/>
          <w:sz w:val="16"/>
        </w:rPr>
        <w:t>20,</w:t>
      </w:r>
      <w:r>
        <w:rPr>
          <w:color w:val="231F20"/>
          <w:spacing w:val="5"/>
          <w:w w:val="110"/>
          <w:sz w:val="16"/>
        </w:rPr>
        <w:t xml:space="preserve"> </w:t>
      </w:r>
      <w:r>
        <w:rPr>
          <w:color w:val="231F20"/>
          <w:spacing w:val="-4"/>
          <w:w w:val="110"/>
          <w:sz w:val="16"/>
        </w:rPr>
        <w:t>1977.</w:t>
      </w:r>
    </w:p>
    <w:p w14:paraId="62847924" w14:textId="77777777" w:rsidR="002653E8" w:rsidRDefault="002653E8">
      <w:pPr>
        <w:rPr>
          <w:sz w:val="16"/>
        </w:rPr>
        <w:sectPr w:rsidR="002653E8">
          <w:pgSz w:w="8640" w:h="12960"/>
          <w:pgMar w:top="1220" w:right="0" w:bottom="1040" w:left="0" w:header="0" w:footer="850" w:gutter="0"/>
          <w:cols w:space="720"/>
        </w:sectPr>
      </w:pPr>
    </w:p>
    <w:p w14:paraId="0F283977" w14:textId="77777777" w:rsidR="002653E8" w:rsidRDefault="003115E3">
      <w:pPr>
        <w:pStyle w:val="a3"/>
        <w:spacing w:before="86" w:line="264" w:lineRule="auto"/>
        <w:ind w:left="1147" w:right="1326"/>
        <w:jc w:val="both"/>
        <w:rPr>
          <w:sz w:val="11"/>
        </w:rPr>
      </w:pPr>
      <w:r>
        <w:rPr>
          <w:color w:val="231F20"/>
        </w:rPr>
        <w:lastRenderedPageBreak/>
        <w:t>dozens of cops to the hospital in Sicily. In Milan, city councillor Carlo Arienti, a Christian Democrat, miraculously survived being shot eight times in an action claimed by the Red Brigades to “honor our West German comrades.”</w:t>
      </w:r>
      <w:r>
        <w:rPr>
          <w:color w:val="231F20"/>
          <w:position w:val="7"/>
          <w:sz w:val="11"/>
        </w:rPr>
        <w:t>1</w:t>
      </w:r>
    </w:p>
    <w:p w14:paraId="1531467A" w14:textId="77777777" w:rsidR="002653E8" w:rsidRDefault="003115E3">
      <w:pPr>
        <w:pStyle w:val="a3"/>
        <w:spacing w:line="264" w:lineRule="auto"/>
        <w:ind w:left="1147" w:right="1326" w:firstLine="210"/>
        <w:jc w:val="both"/>
      </w:pPr>
      <w:r>
        <w:rPr>
          <w:color w:val="231F20"/>
        </w:rPr>
        <w:t xml:space="preserve">A telephone caller in Milan threatened, </w:t>
      </w:r>
      <w:r>
        <w:rPr>
          <w:color w:val="231F20"/>
          <w:spacing w:val="-3"/>
        </w:rPr>
        <w:t xml:space="preserve">“We </w:t>
      </w:r>
      <w:r>
        <w:rPr>
          <w:color w:val="231F20"/>
        </w:rPr>
        <w:t>are also ready to ‘suicide’ the German Ambassador.”</w:t>
      </w:r>
      <w:r>
        <w:rPr>
          <w:color w:val="231F20"/>
          <w:position w:val="7"/>
          <w:sz w:val="11"/>
        </w:rPr>
        <w:t xml:space="preserve">2 </w:t>
      </w:r>
      <w:r>
        <w:rPr>
          <w:color w:val="231F20"/>
        </w:rPr>
        <w:t>As a result, the FRG embassy was  ringed with riot police and armored personnel carriers. Left-wing students demonstrating on the Rome University campus engaged police in a three-hour gun battle, leaving five police and three students wounded and twenty-five people in custody on charges of possessing weapons and firebombs.</w:t>
      </w:r>
      <w:r>
        <w:rPr>
          <w:color w:val="231F20"/>
          <w:position w:val="7"/>
          <w:sz w:val="11"/>
        </w:rPr>
        <w:t xml:space="preserve">3 </w:t>
      </w:r>
      <w:r>
        <w:rPr>
          <w:color w:val="231F20"/>
        </w:rPr>
        <w:t xml:space="preserve">At the same time, windows were smashed on the upper class Via </w:t>
      </w:r>
      <w:r>
        <w:rPr>
          <w:color w:val="231F20"/>
          <w:spacing w:val="-3"/>
        </w:rPr>
        <w:t xml:space="preserve">Veneto </w:t>
      </w:r>
      <w:r>
        <w:rPr>
          <w:color w:val="231F20"/>
        </w:rPr>
        <w:t xml:space="preserve">and molotov cocktails were thrown at cops, the protesters denouncing “German Nazis for the cold blooded murder of our </w:t>
      </w:r>
      <w:r>
        <w:rPr>
          <w:color w:val="231F20"/>
          <w:spacing w:val="-3"/>
        </w:rPr>
        <w:t>comrades.”</w:t>
      </w:r>
    </w:p>
    <w:p w14:paraId="1E696B4C" w14:textId="77777777" w:rsidR="002653E8" w:rsidRDefault="003115E3">
      <w:pPr>
        <w:pStyle w:val="a3"/>
        <w:spacing w:line="264" w:lineRule="auto"/>
        <w:ind w:left="1147" w:right="1325" w:firstLine="210"/>
        <w:jc w:val="both"/>
        <w:rPr>
          <w:sz w:val="11"/>
        </w:rPr>
      </w:pPr>
      <w:r>
        <w:rPr>
          <w:color w:val="231F20"/>
          <w:spacing w:val="1"/>
        </w:rPr>
        <w:t xml:space="preserve">In </w:t>
      </w:r>
      <w:r>
        <w:rPr>
          <w:color w:val="231F20"/>
        </w:rPr>
        <w:t>Paris and Nice, molotov cocktails were thrown at German tourist buses,</w:t>
      </w:r>
      <w:r>
        <w:rPr>
          <w:color w:val="231F20"/>
          <w:position w:val="7"/>
          <w:sz w:val="11"/>
        </w:rPr>
        <w:t xml:space="preserve">4  </w:t>
      </w:r>
      <w:r>
        <w:rPr>
          <w:color w:val="231F20"/>
        </w:rPr>
        <w:t>as well as at the Franco-German Bank and a car showroom.</w:t>
      </w:r>
      <w:r>
        <w:rPr>
          <w:color w:val="231F20"/>
          <w:position w:val="7"/>
          <w:sz w:val="11"/>
        </w:rPr>
        <w:t xml:space="preserve">5     </w:t>
      </w:r>
      <w:r>
        <w:rPr>
          <w:color w:val="231F20"/>
        </w:rPr>
        <w:t xml:space="preserve">The offices of the  progressive  </w:t>
      </w:r>
      <w:r>
        <w:rPr>
          <w:i/>
          <w:color w:val="231F20"/>
        </w:rPr>
        <w:t xml:space="preserve">Libération  </w:t>
      </w:r>
      <w:r>
        <w:rPr>
          <w:color w:val="231F20"/>
        </w:rPr>
        <w:t>newspaper  were  occupied</w:t>
      </w:r>
      <w:r>
        <w:rPr>
          <w:color w:val="231F20"/>
          <w:position w:val="7"/>
          <w:sz w:val="11"/>
        </w:rPr>
        <w:t xml:space="preserve">6 </w:t>
      </w:r>
      <w:r>
        <w:rPr>
          <w:color w:val="231F20"/>
        </w:rPr>
        <w:t>in an effort to force its journalists to launch an investigation into the Stammheim deaths, as bombs  went  off  in  Toulouse,  Versailles,</w:t>
      </w:r>
      <w:r>
        <w:rPr>
          <w:color w:val="231F20"/>
          <w:position w:val="7"/>
          <w:sz w:val="11"/>
        </w:rPr>
        <w:t xml:space="preserve">7  </w:t>
      </w:r>
      <w:r>
        <w:rPr>
          <w:color w:val="231F20"/>
        </w:rPr>
        <w:t xml:space="preserve">and </w:t>
      </w:r>
      <w:r>
        <w:rPr>
          <w:color w:val="231F20"/>
          <w:spacing w:val="1"/>
        </w:rPr>
        <w:t>Le</w:t>
      </w:r>
      <w:r>
        <w:rPr>
          <w:color w:val="231F20"/>
          <w:spacing w:val="10"/>
        </w:rPr>
        <w:t xml:space="preserve"> </w:t>
      </w:r>
      <w:r>
        <w:rPr>
          <w:color w:val="231F20"/>
        </w:rPr>
        <w:t>Havre.</w:t>
      </w:r>
      <w:r>
        <w:rPr>
          <w:color w:val="231F20"/>
          <w:position w:val="7"/>
          <w:sz w:val="11"/>
        </w:rPr>
        <w:t>8</w:t>
      </w:r>
    </w:p>
    <w:p w14:paraId="4D460632" w14:textId="77777777" w:rsidR="002653E8" w:rsidRDefault="003115E3">
      <w:pPr>
        <w:pStyle w:val="a3"/>
        <w:spacing w:line="264" w:lineRule="auto"/>
        <w:ind w:left="1147" w:right="1325" w:firstLine="210"/>
        <w:jc w:val="both"/>
      </w:pPr>
      <w:r>
        <w:rPr>
          <w:color w:val="231F20"/>
        </w:rPr>
        <w:t xml:space="preserve">In France, neofascists retaliated against the wave of protest by bombing the offices of the left-wing </w:t>
      </w:r>
      <w:r>
        <w:rPr>
          <w:i/>
          <w:color w:val="231F20"/>
        </w:rPr>
        <w:t>Syndicat de la Magistrature,</w:t>
      </w:r>
      <w:r>
        <w:rPr>
          <w:color w:val="231F20"/>
          <w:position w:val="7"/>
          <w:sz w:val="11"/>
        </w:rPr>
        <w:t xml:space="preserve">9 </w:t>
      </w:r>
      <w:r>
        <w:rPr>
          <w:color w:val="231F20"/>
        </w:rPr>
        <w:t>leaving behind papers that simply read “Baader Murderer.”</w:t>
      </w:r>
      <w:r>
        <w:rPr>
          <w:color w:val="231F20"/>
          <w:position w:val="7"/>
          <w:sz w:val="11"/>
        </w:rPr>
        <w:t xml:space="preserve">10 </w:t>
      </w:r>
      <w:r>
        <w:rPr>
          <w:color w:val="231F20"/>
        </w:rPr>
        <w:t>In a public statement,</w:t>
      </w:r>
    </w:p>
    <w:p w14:paraId="12687FDD" w14:textId="77777777" w:rsidR="002653E8" w:rsidRDefault="00000000">
      <w:pPr>
        <w:pStyle w:val="a3"/>
        <w:spacing w:before="6"/>
        <w:rPr>
          <w:sz w:val="22"/>
        </w:rPr>
      </w:pPr>
      <w:r>
        <w:rPr>
          <w:noProof w:val="0"/>
        </w:rPr>
        <w:pict w14:anchorId="224BEAA4">
          <v:line id="_x0000_s2159" style="position:absolute;z-index:10792;mso-wrap-distance-left:0;mso-wrap-distance-right:0;mso-position-horizontal-relative:page" from="57.4pt,15.4pt" to="129.4pt,15.4pt" strokecolor="#231f20" strokeweight=".5pt">
            <w10:wrap type="topAndBottom" anchorx="page"/>
          </v:line>
        </w:pict>
      </w:r>
    </w:p>
    <w:p w14:paraId="4DFDF0A4" w14:textId="77777777" w:rsidR="002653E8" w:rsidRDefault="003115E3">
      <w:pPr>
        <w:pStyle w:val="a4"/>
        <w:numPr>
          <w:ilvl w:val="0"/>
          <w:numId w:val="48"/>
        </w:numPr>
        <w:tabs>
          <w:tab w:val="left" w:pos="1287"/>
        </w:tabs>
        <w:spacing w:before="53" w:line="254" w:lineRule="auto"/>
        <w:ind w:right="1512" w:firstLine="0"/>
        <w:rPr>
          <w:sz w:val="16"/>
        </w:rPr>
      </w:pPr>
      <w:r>
        <w:rPr>
          <w:color w:val="231F20"/>
          <w:w w:val="110"/>
          <w:sz w:val="16"/>
        </w:rPr>
        <w:t>Associated</w:t>
      </w:r>
      <w:r>
        <w:rPr>
          <w:color w:val="231F20"/>
          <w:spacing w:val="-7"/>
          <w:w w:val="110"/>
          <w:sz w:val="16"/>
        </w:rPr>
        <w:t xml:space="preserve"> </w:t>
      </w:r>
      <w:r>
        <w:rPr>
          <w:color w:val="231F20"/>
          <w:w w:val="110"/>
          <w:sz w:val="16"/>
        </w:rPr>
        <w:t>Press,</w:t>
      </w:r>
      <w:r>
        <w:rPr>
          <w:color w:val="231F20"/>
          <w:spacing w:val="-7"/>
          <w:w w:val="110"/>
          <w:sz w:val="16"/>
        </w:rPr>
        <w:t xml:space="preserve"> </w:t>
      </w:r>
      <w:r>
        <w:rPr>
          <w:color w:val="231F20"/>
          <w:w w:val="110"/>
          <w:sz w:val="16"/>
        </w:rPr>
        <w:t>“Extremists</w:t>
      </w:r>
      <w:r>
        <w:rPr>
          <w:color w:val="231F20"/>
          <w:spacing w:val="-7"/>
          <w:w w:val="110"/>
          <w:sz w:val="16"/>
        </w:rPr>
        <w:t xml:space="preserve"> </w:t>
      </w:r>
      <w:r>
        <w:rPr>
          <w:color w:val="231F20"/>
          <w:w w:val="110"/>
          <w:sz w:val="16"/>
        </w:rPr>
        <w:t>Protest</w:t>
      </w:r>
      <w:r>
        <w:rPr>
          <w:color w:val="231F20"/>
          <w:spacing w:val="-7"/>
          <w:w w:val="110"/>
          <w:sz w:val="16"/>
        </w:rPr>
        <w:t xml:space="preserve"> </w:t>
      </w:r>
      <w:r>
        <w:rPr>
          <w:color w:val="231F20"/>
          <w:w w:val="110"/>
          <w:sz w:val="16"/>
        </w:rPr>
        <w:t>Deaths</w:t>
      </w:r>
      <w:r>
        <w:rPr>
          <w:color w:val="231F20"/>
          <w:spacing w:val="-7"/>
          <w:w w:val="110"/>
          <w:sz w:val="16"/>
        </w:rPr>
        <w:t xml:space="preserve"> </w:t>
      </w:r>
      <w:r>
        <w:rPr>
          <w:color w:val="231F20"/>
          <w:w w:val="110"/>
          <w:sz w:val="16"/>
        </w:rPr>
        <w:t>of</w:t>
      </w:r>
      <w:r>
        <w:rPr>
          <w:color w:val="231F20"/>
          <w:spacing w:val="-6"/>
          <w:w w:val="110"/>
          <w:sz w:val="16"/>
        </w:rPr>
        <w:t xml:space="preserve"> </w:t>
      </w:r>
      <w:r>
        <w:rPr>
          <w:color w:val="231F20"/>
          <w:w w:val="110"/>
          <w:sz w:val="16"/>
        </w:rPr>
        <w:t>3</w:t>
      </w:r>
      <w:r>
        <w:rPr>
          <w:color w:val="231F20"/>
          <w:spacing w:val="-7"/>
          <w:w w:val="110"/>
          <w:sz w:val="16"/>
        </w:rPr>
        <w:t xml:space="preserve"> </w:t>
      </w:r>
      <w:r>
        <w:rPr>
          <w:color w:val="231F20"/>
          <w:w w:val="110"/>
          <w:sz w:val="16"/>
        </w:rPr>
        <w:t>German</w:t>
      </w:r>
      <w:r>
        <w:rPr>
          <w:color w:val="231F20"/>
          <w:spacing w:val="-7"/>
          <w:w w:val="110"/>
          <w:sz w:val="16"/>
        </w:rPr>
        <w:t xml:space="preserve"> </w:t>
      </w:r>
      <w:r>
        <w:rPr>
          <w:color w:val="231F20"/>
          <w:w w:val="110"/>
          <w:sz w:val="16"/>
        </w:rPr>
        <w:t>Prisoners,”</w:t>
      </w:r>
      <w:r>
        <w:rPr>
          <w:color w:val="231F20"/>
          <w:spacing w:val="-6"/>
          <w:w w:val="110"/>
          <w:sz w:val="16"/>
        </w:rPr>
        <w:t xml:space="preserve"> </w:t>
      </w:r>
      <w:r>
        <w:rPr>
          <w:i/>
          <w:color w:val="231F20"/>
          <w:spacing w:val="1"/>
          <w:w w:val="110"/>
          <w:sz w:val="16"/>
        </w:rPr>
        <w:t xml:space="preserve">Amarillo </w:t>
      </w:r>
      <w:r>
        <w:rPr>
          <w:i/>
          <w:color w:val="231F20"/>
          <w:w w:val="110"/>
          <w:sz w:val="16"/>
        </w:rPr>
        <w:t xml:space="preserve">Globe Times, </w:t>
      </w:r>
      <w:r>
        <w:rPr>
          <w:color w:val="231F20"/>
          <w:w w:val="110"/>
          <w:sz w:val="16"/>
        </w:rPr>
        <w:t xml:space="preserve">October </w:t>
      </w:r>
      <w:r>
        <w:rPr>
          <w:color w:val="231F20"/>
          <w:spacing w:val="-3"/>
          <w:w w:val="110"/>
          <w:sz w:val="16"/>
        </w:rPr>
        <w:t>19,</w:t>
      </w:r>
      <w:r>
        <w:rPr>
          <w:color w:val="231F20"/>
          <w:spacing w:val="27"/>
          <w:w w:val="110"/>
          <w:sz w:val="16"/>
        </w:rPr>
        <w:t xml:space="preserve"> </w:t>
      </w:r>
      <w:r>
        <w:rPr>
          <w:color w:val="231F20"/>
          <w:spacing w:val="-4"/>
          <w:w w:val="110"/>
          <w:sz w:val="16"/>
        </w:rPr>
        <w:t>1977.</w:t>
      </w:r>
    </w:p>
    <w:p w14:paraId="220595A0" w14:textId="77777777" w:rsidR="002653E8" w:rsidRDefault="003115E3">
      <w:pPr>
        <w:pStyle w:val="a4"/>
        <w:numPr>
          <w:ilvl w:val="0"/>
          <w:numId w:val="48"/>
        </w:numPr>
        <w:tabs>
          <w:tab w:val="left" w:pos="1287"/>
        </w:tabs>
        <w:ind w:left="1286" w:hanging="138"/>
        <w:rPr>
          <w:sz w:val="16"/>
        </w:rPr>
      </w:pPr>
      <w:r>
        <w:rPr>
          <w:color w:val="231F20"/>
          <w:w w:val="105"/>
          <w:sz w:val="16"/>
        </w:rPr>
        <w:t>United</w:t>
      </w:r>
      <w:r>
        <w:rPr>
          <w:color w:val="231F20"/>
          <w:spacing w:val="10"/>
          <w:w w:val="105"/>
          <w:sz w:val="16"/>
        </w:rPr>
        <w:t xml:space="preserve"> </w:t>
      </w:r>
      <w:r>
        <w:rPr>
          <w:color w:val="231F20"/>
          <w:w w:val="105"/>
          <w:sz w:val="16"/>
        </w:rPr>
        <w:t>Press</w:t>
      </w:r>
      <w:r>
        <w:rPr>
          <w:color w:val="231F20"/>
          <w:spacing w:val="10"/>
          <w:w w:val="105"/>
          <w:sz w:val="16"/>
        </w:rPr>
        <w:t xml:space="preserve"> </w:t>
      </w:r>
      <w:r>
        <w:rPr>
          <w:color w:val="231F20"/>
          <w:w w:val="105"/>
          <w:sz w:val="16"/>
        </w:rPr>
        <w:t>International,</w:t>
      </w:r>
      <w:r>
        <w:rPr>
          <w:color w:val="231F20"/>
          <w:spacing w:val="10"/>
          <w:w w:val="105"/>
          <w:sz w:val="16"/>
        </w:rPr>
        <w:t xml:space="preserve"> </w:t>
      </w:r>
      <w:r>
        <w:rPr>
          <w:color w:val="231F20"/>
          <w:w w:val="105"/>
          <w:sz w:val="16"/>
        </w:rPr>
        <w:t>“Leftist</w:t>
      </w:r>
      <w:r>
        <w:rPr>
          <w:color w:val="231F20"/>
          <w:spacing w:val="10"/>
          <w:w w:val="105"/>
          <w:sz w:val="16"/>
        </w:rPr>
        <w:t xml:space="preserve"> </w:t>
      </w:r>
      <w:r>
        <w:rPr>
          <w:color w:val="231F20"/>
          <w:w w:val="105"/>
          <w:sz w:val="16"/>
        </w:rPr>
        <w:t>Terrorists</w:t>
      </w:r>
      <w:r>
        <w:rPr>
          <w:color w:val="231F20"/>
          <w:spacing w:val="10"/>
          <w:w w:val="105"/>
          <w:sz w:val="16"/>
        </w:rPr>
        <w:t xml:space="preserve"> </w:t>
      </w:r>
      <w:r>
        <w:rPr>
          <w:color w:val="231F20"/>
          <w:spacing w:val="-3"/>
          <w:w w:val="105"/>
          <w:sz w:val="16"/>
        </w:rPr>
        <w:t>Vow</w:t>
      </w:r>
      <w:r>
        <w:rPr>
          <w:color w:val="231F20"/>
          <w:spacing w:val="10"/>
          <w:w w:val="105"/>
          <w:sz w:val="16"/>
        </w:rPr>
        <w:t xml:space="preserve"> </w:t>
      </w:r>
      <w:r>
        <w:rPr>
          <w:color w:val="231F20"/>
          <w:w w:val="105"/>
          <w:sz w:val="16"/>
        </w:rPr>
        <w:t>to</w:t>
      </w:r>
      <w:r>
        <w:rPr>
          <w:color w:val="231F20"/>
          <w:spacing w:val="10"/>
          <w:w w:val="105"/>
          <w:sz w:val="16"/>
        </w:rPr>
        <w:t xml:space="preserve"> </w:t>
      </w:r>
      <w:r>
        <w:rPr>
          <w:color w:val="231F20"/>
          <w:w w:val="105"/>
          <w:sz w:val="16"/>
        </w:rPr>
        <w:t>Foul</w:t>
      </w:r>
      <w:r>
        <w:rPr>
          <w:color w:val="231F20"/>
          <w:spacing w:val="10"/>
          <w:w w:val="105"/>
          <w:sz w:val="16"/>
        </w:rPr>
        <w:t xml:space="preserve"> </w:t>
      </w:r>
      <w:r>
        <w:rPr>
          <w:color w:val="231F20"/>
          <w:w w:val="105"/>
          <w:sz w:val="16"/>
        </w:rPr>
        <w:t>German</w:t>
      </w:r>
      <w:r>
        <w:rPr>
          <w:color w:val="231F20"/>
          <w:spacing w:val="10"/>
          <w:w w:val="105"/>
          <w:sz w:val="16"/>
        </w:rPr>
        <w:t xml:space="preserve"> </w:t>
      </w:r>
      <w:r>
        <w:rPr>
          <w:color w:val="231F20"/>
          <w:w w:val="105"/>
          <w:sz w:val="16"/>
        </w:rPr>
        <w:t>Economy,”</w:t>
      </w:r>
    </w:p>
    <w:p w14:paraId="4B49F0FE" w14:textId="77777777" w:rsidR="002653E8" w:rsidRDefault="003115E3">
      <w:pPr>
        <w:spacing w:before="11"/>
        <w:ind w:left="1148"/>
        <w:rPr>
          <w:sz w:val="16"/>
        </w:rPr>
      </w:pPr>
      <w:r>
        <w:rPr>
          <w:i/>
          <w:color w:val="231F20"/>
          <w:w w:val="110"/>
          <w:sz w:val="16"/>
        </w:rPr>
        <w:t xml:space="preserve">Coshocton Tribune, </w:t>
      </w:r>
      <w:r>
        <w:rPr>
          <w:color w:val="231F20"/>
          <w:w w:val="110"/>
          <w:sz w:val="16"/>
        </w:rPr>
        <w:t>October 22, 1977.</w:t>
      </w:r>
    </w:p>
    <w:p w14:paraId="6EAF2041" w14:textId="77777777" w:rsidR="002653E8" w:rsidRDefault="003115E3">
      <w:pPr>
        <w:pStyle w:val="a4"/>
        <w:numPr>
          <w:ilvl w:val="0"/>
          <w:numId w:val="48"/>
        </w:numPr>
        <w:tabs>
          <w:tab w:val="left" w:pos="1287"/>
        </w:tabs>
        <w:spacing w:before="52" w:line="254" w:lineRule="auto"/>
        <w:ind w:right="1787" w:firstLine="0"/>
        <w:rPr>
          <w:sz w:val="16"/>
        </w:rPr>
      </w:pPr>
      <w:r>
        <w:rPr>
          <w:color w:val="231F20"/>
          <w:w w:val="110"/>
          <w:sz w:val="16"/>
        </w:rPr>
        <w:t>United</w:t>
      </w:r>
      <w:r>
        <w:rPr>
          <w:color w:val="231F20"/>
          <w:spacing w:val="-12"/>
          <w:w w:val="110"/>
          <w:sz w:val="16"/>
        </w:rPr>
        <w:t xml:space="preserve"> </w:t>
      </w:r>
      <w:r>
        <w:rPr>
          <w:color w:val="231F20"/>
          <w:w w:val="110"/>
          <w:sz w:val="16"/>
        </w:rPr>
        <w:t>Press</w:t>
      </w:r>
      <w:r>
        <w:rPr>
          <w:color w:val="231F20"/>
          <w:spacing w:val="-12"/>
          <w:w w:val="110"/>
          <w:sz w:val="16"/>
        </w:rPr>
        <w:t xml:space="preserve"> </w:t>
      </w:r>
      <w:r>
        <w:rPr>
          <w:color w:val="231F20"/>
          <w:w w:val="110"/>
          <w:sz w:val="16"/>
        </w:rPr>
        <w:t>International,</w:t>
      </w:r>
      <w:r>
        <w:rPr>
          <w:color w:val="231F20"/>
          <w:spacing w:val="-12"/>
          <w:w w:val="110"/>
          <w:sz w:val="16"/>
        </w:rPr>
        <w:t xml:space="preserve"> </w:t>
      </w:r>
      <w:r>
        <w:rPr>
          <w:color w:val="231F20"/>
          <w:w w:val="110"/>
          <w:sz w:val="16"/>
        </w:rPr>
        <w:t>“Deaths</w:t>
      </w:r>
      <w:r>
        <w:rPr>
          <w:color w:val="231F20"/>
          <w:spacing w:val="-12"/>
          <w:w w:val="110"/>
          <w:sz w:val="16"/>
        </w:rPr>
        <w:t xml:space="preserve"> </w:t>
      </w:r>
      <w:r>
        <w:rPr>
          <w:color w:val="231F20"/>
          <w:w w:val="110"/>
          <w:sz w:val="16"/>
        </w:rPr>
        <w:t>of</w:t>
      </w:r>
      <w:r>
        <w:rPr>
          <w:color w:val="231F20"/>
          <w:spacing w:val="-12"/>
          <w:w w:val="110"/>
          <w:sz w:val="16"/>
        </w:rPr>
        <w:t xml:space="preserve"> </w:t>
      </w:r>
      <w:r>
        <w:rPr>
          <w:color w:val="231F20"/>
          <w:spacing w:val="-5"/>
          <w:w w:val="110"/>
          <w:sz w:val="16"/>
        </w:rPr>
        <w:t>W.</w:t>
      </w:r>
      <w:r>
        <w:rPr>
          <w:color w:val="231F20"/>
          <w:spacing w:val="-12"/>
          <w:w w:val="110"/>
          <w:sz w:val="16"/>
        </w:rPr>
        <w:t xml:space="preserve"> </w:t>
      </w:r>
      <w:r>
        <w:rPr>
          <w:color w:val="231F20"/>
          <w:w w:val="110"/>
          <w:sz w:val="16"/>
        </w:rPr>
        <w:t>German</w:t>
      </w:r>
      <w:r>
        <w:rPr>
          <w:color w:val="231F20"/>
          <w:spacing w:val="-12"/>
          <w:w w:val="110"/>
          <w:sz w:val="16"/>
        </w:rPr>
        <w:t xml:space="preserve"> </w:t>
      </w:r>
      <w:r>
        <w:rPr>
          <w:color w:val="231F20"/>
          <w:w w:val="110"/>
          <w:sz w:val="16"/>
        </w:rPr>
        <w:t>Terrorists</w:t>
      </w:r>
      <w:r>
        <w:rPr>
          <w:color w:val="231F20"/>
          <w:spacing w:val="-12"/>
          <w:w w:val="110"/>
          <w:sz w:val="16"/>
        </w:rPr>
        <w:t xml:space="preserve"> </w:t>
      </w:r>
      <w:r>
        <w:rPr>
          <w:color w:val="231F20"/>
          <w:w w:val="110"/>
          <w:sz w:val="16"/>
        </w:rPr>
        <w:t>Protested</w:t>
      </w:r>
      <w:r>
        <w:rPr>
          <w:color w:val="231F20"/>
          <w:spacing w:val="-12"/>
          <w:w w:val="110"/>
          <w:sz w:val="16"/>
        </w:rPr>
        <w:t xml:space="preserve"> </w:t>
      </w:r>
      <w:r>
        <w:rPr>
          <w:color w:val="231F20"/>
          <w:w w:val="110"/>
          <w:sz w:val="16"/>
        </w:rPr>
        <w:t xml:space="preserve">with Bombings, Student Riot,” </w:t>
      </w:r>
      <w:r>
        <w:rPr>
          <w:i/>
          <w:color w:val="231F20"/>
          <w:w w:val="110"/>
          <w:sz w:val="16"/>
        </w:rPr>
        <w:t xml:space="preserve">Valley News, </w:t>
      </w:r>
      <w:r>
        <w:rPr>
          <w:color w:val="231F20"/>
          <w:w w:val="110"/>
          <w:sz w:val="16"/>
        </w:rPr>
        <w:t>October 21,</w:t>
      </w:r>
      <w:r>
        <w:rPr>
          <w:color w:val="231F20"/>
          <w:spacing w:val="10"/>
          <w:w w:val="110"/>
          <w:sz w:val="16"/>
        </w:rPr>
        <w:t xml:space="preserve"> </w:t>
      </w:r>
      <w:r>
        <w:rPr>
          <w:color w:val="231F20"/>
          <w:spacing w:val="-4"/>
          <w:w w:val="110"/>
          <w:sz w:val="16"/>
        </w:rPr>
        <w:t>1977.</w:t>
      </w:r>
    </w:p>
    <w:p w14:paraId="4F75519A" w14:textId="77777777" w:rsidR="002653E8" w:rsidRDefault="003115E3">
      <w:pPr>
        <w:pStyle w:val="a4"/>
        <w:numPr>
          <w:ilvl w:val="0"/>
          <w:numId w:val="48"/>
        </w:numPr>
        <w:tabs>
          <w:tab w:val="left" w:pos="1287"/>
        </w:tabs>
        <w:ind w:left="1286" w:hanging="138"/>
        <w:rPr>
          <w:i/>
          <w:sz w:val="16"/>
        </w:rPr>
      </w:pPr>
      <w:r>
        <w:rPr>
          <w:color w:val="231F20"/>
          <w:w w:val="105"/>
          <w:sz w:val="16"/>
        </w:rPr>
        <w:t>Associated</w:t>
      </w:r>
      <w:r>
        <w:rPr>
          <w:color w:val="231F20"/>
          <w:spacing w:val="10"/>
          <w:w w:val="105"/>
          <w:sz w:val="16"/>
        </w:rPr>
        <w:t xml:space="preserve"> </w:t>
      </w:r>
      <w:r>
        <w:rPr>
          <w:color w:val="231F20"/>
          <w:w w:val="105"/>
          <w:sz w:val="16"/>
        </w:rPr>
        <w:t>Press,</w:t>
      </w:r>
      <w:r>
        <w:rPr>
          <w:color w:val="231F20"/>
          <w:spacing w:val="10"/>
          <w:w w:val="105"/>
          <w:sz w:val="16"/>
        </w:rPr>
        <w:t xml:space="preserve"> </w:t>
      </w:r>
      <w:r>
        <w:rPr>
          <w:color w:val="231F20"/>
          <w:w w:val="105"/>
          <w:sz w:val="16"/>
        </w:rPr>
        <w:t>“Industrialist’s</w:t>
      </w:r>
      <w:r>
        <w:rPr>
          <w:color w:val="231F20"/>
          <w:spacing w:val="10"/>
          <w:w w:val="105"/>
          <w:sz w:val="16"/>
        </w:rPr>
        <w:t xml:space="preserve"> </w:t>
      </w:r>
      <w:r>
        <w:rPr>
          <w:color w:val="231F20"/>
          <w:w w:val="105"/>
          <w:sz w:val="16"/>
        </w:rPr>
        <w:t>Killers</w:t>
      </w:r>
      <w:r>
        <w:rPr>
          <w:color w:val="231F20"/>
          <w:spacing w:val="10"/>
          <w:w w:val="105"/>
          <w:sz w:val="16"/>
        </w:rPr>
        <w:t xml:space="preserve"> </w:t>
      </w:r>
      <w:r>
        <w:rPr>
          <w:color w:val="231F20"/>
          <w:w w:val="105"/>
          <w:sz w:val="16"/>
        </w:rPr>
        <w:t>Sought,”</w:t>
      </w:r>
      <w:r>
        <w:rPr>
          <w:color w:val="231F20"/>
          <w:spacing w:val="11"/>
          <w:w w:val="105"/>
          <w:sz w:val="16"/>
        </w:rPr>
        <w:t xml:space="preserve"> </w:t>
      </w:r>
      <w:r>
        <w:rPr>
          <w:i/>
          <w:color w:val="231F20"/>
          <w:w w:val="105"/>
          <w:sz w:val="16"/>
        </w:rPr>
        <w:t>Wisconsin</w:t>
      </w:r>
      <w:r>
        <w:rPr>
          <w:i/>
          <w:color w:val="231F20"/>
          <w:spacing w:val="10"/>
          <w:w w:val="105"/>
          <w:sz w:val="16"/>
        </w:rPr>
        <w:t xml:space="preserve"> </w:t>
      </w:r>
      <w:r>
        <w:rPr>
          <w:i/>
          <w:color w:val="231F20"/>
          <w:spacing w:val="1"/>
          <w:w w:val="105"/>
          <w:sz w:val="16"/>
        </w:rPr>
        <w:t>State</w:t>
      </w:r>
      <w:r>
        <w:rPr>
          <w:i/>
          <w:color w:val="231F20"/>
          <w:spacing w:val="10"/>
          <w:w w:val="105"/>
          <w:sz w:val="16"/>
        </w:rPr>
        <w:t xml:space="preserve"> </w:t>
      </w:r>
      <w:r>
        <w:rPr>
          <w:i/>
          <w:color w:val="231F20"/>
          <w:spacing w:val="1"/>
          <w:w w:val="105"/>
          <w:sz w:val="16"/>
        </w:rPr>
        <w:t>Journal,</w:t>
      </w:r>
    </w:p>
    <w:p w14:paraId="62C861AD" w14:textId="77777777" w:rsidR="002653E8" w:rsidRDefault="003115E3">
      <w:pPr>
        <w:spacing w:before="11"/>
        <w:ind w:left="1148"/>
        <w:rPr>
          <w:sz w:val="16"/>
        </w:rPr>
      </w:pPr>
      <w:r>
        <w:rPr>
          <w:color w:val="231F20"/>
          <w:w w:val="110"/>
          <w:sz w:val="16"/>
        </w:rPr>
        <w:t>October 21, 1977.</w:t>
      </w:r>
    </w:p>
    <w:p w14:paraId="3C5816CB" w14:textId="77777777" w:rsidR="002653E8" w:rsidRDefault="003115E3">
      <w:pPr>
        <w:pStyle w:val="a4"/>
        <w:numPr>
          <w:ilvl w:val="0"/>
          <w:numId w:val="48"/>
        </w:numPr>
        <w:tabs>
          <w:tab w:val="left" w:pos="1287"/>
        </w:tabs>
        <w:spacing w:before="52" w:line="254" w:lineRule="auto"/>
        <w:ind w:left="1148" w:right="1572" w:firstLine="0"/>
        <w:rPr>
          <w:sz w:val="16"/>
        </w:rPr>
      </w:pPr>
      <w:r>
        <w:rPr>
          <w:color w:val="231F20"/>
          <w:w w:val="105"/>
          <w:sz w:val="16"/>
        </w:rPr>
        <w:t xml:space="preserve">United Press International, “Terrorists Bomb German Property,” </w:t>
      </w:r>
      <w:r>
        <w:rPr>
          <w:i/>
          <w:color w:val="231F20"/>
          <w:spacing w:val="1"/>
          <w:w w:val="105"/>
          <w:sz w:val="16"/>
        </w:rPr>
        <w:t xml:space="preserve">Ruston </w:t>
      </w:r>
      <w:r>
        <w:rPr>
          <w:i/>
          <w:color w:val="231F20"/>
          <w:w w:val="105"/>
          <w:sz w:val="16"/>
        </w:rPr>
        <w:t xml:space="preserve">Daily Leader, </w:t>
      </w:r>
      <w:r>
        <w:rPr>
          <w:color w:val="231F20"/>
          <w:w w:val="105"/>
          <w:sz w:val="16"/>
        </w:rPr>
        <w:t>October 24,</w:t>
      </w:r>
      <w:r>
        <w:rPr>
          <w:color w:val="231F20"/>
          <w:spacing w:val="26"/>
          <w:w w:val="105"/>
          <w:sz w:val="16"/>
        </w:rPr>
        <w:t xml:space="preserve"> </w:t>
      </w:r>
      <w:r>
        <w:rPr>
          <w:color w:val="231F20"/>
          <w:spacing w:val="-4"/>
          <w:w w:val="105"/>
          <w:sz w:val="16"/>
        </w:rPr>
        <w:t>1977.</w:t>
      </w:r>
    </w:p>
    <w:p w14:paraId="1A6F47A2" w14:textId="77777777" w:rsidR="002653E8" w:rsidRDefault="003115E3">
      <w:pPr>
        <w:pStyle w:val="a4"/>
        <w:numPr>
          <w:ilvl w:val="0"/>
          <w:numId w:val="48"/>
        </w:numPr>
        <w:tabs>
          <w:tab w:val="left" w:pos="1287"/>
        </w:tabs>
        <w:ind w:left="1286" w:hanging="138"/>
        <w:rPr>
          <w:i/>
          <w:sz w:val="16"/>
        </w:rPr>
      </w:pPr>
      <w:r>
        <w:rPr>
          <w:color w:val="231F20"/>
          <w:w w:val="105"/>
          <w:sz w:val="16"/>
        </w:rPr>
        <w:t>United</w:t>
      </w:r>
      <w:r>
        <w:rPr>
          <w:color w:val="231F20"/>
          <w:spacing w:val="10"/>
          <w:w w:val="105"/>
          <w:sz w:val="16"/>
        </w:rPr>
        <w:t xml:space="preserve"> </w:t>
      </w:r>
      <w:r>
        <w:rPr>
          <w:color w:val="231F20"/>
          <w:w w:val="105"/>
          <w:sz w:val="16"/>
        </w:rPr>
        <w:t>Press</w:t>
      </w:r>
      <w:r>
        <w:rPr>
          <w:color w:val="231F20"/>
          <w:spacing w:val="10"/>
          <w:w w:val="105"/>
          <w:sz w:val="16"/>
        </w:rPr>
        <w:t xml:space="preserve"> </w:t>
      </w:r>
      <w:r>
        <w:rPr>
          <w:color w:val="231F20"/>
          <w:w w:val="105"/>
          <w:sz w:val="16"/>
        </w:rPr>
        <w:t>International,</w:t>
      </w:r>
      <w:r>
        <w:rPr>
          <w:color w:val="231F20"/>
          <w:spacing w:val="10"/>
          <w:w w:val="105"/>
          <w:sz w:val="16"/>
        </w:rPr>
        <w:t xml:space="preserve"> </w:t>
      </w:r>
      <w:r>
        <w:rPr>
          <w:color w:val="231F20"/>
          <w:w w:val="105"/>
          <w:sz w:val="16"/>
        </w:rPr>
        <w:t>“Leftists</w:t>
      </w:r>
      <w:r>
        <w:rPr>
          <w:color w:val="231F20"/>
          <w:spacing w:val="10"/>
          <w:w w:val="105"/>
          <w:sz w:val="16"/>
        </w:rPr>
        <w:t xml:space="preserve"> </w:t>
      </w:r>
      <w:r>
        <w:rPr>
          <w:color w:val="231F20"/>
          <w:w w:val="105"/>
          <w:sz w:val="16"/>
        </w:rPr>
        <w:t>Continue</w:t>
      </w:r>
      <w:r>
        <w:rPr>
          <w:color w:val="231F20"/>
          <w:spacing w:val="10"/>
          <w:w w:val="105"/>
          <w:sz w:val="16"/>
        </w:rPr>
        <w:t xml:space="preserve"> </w:t>
      </w:r>
      <w:r>
        <w:rPr>
          <w:color w:val="231F20"/>
          <w:w w:val="105"/>
          <w:sz w:val="16"/>
        </w:rPr>
        <w:t>Terror</w:t>
      </w:r>
      <w:r>
        <w:rPr>
          <w:color w:val="231F20"/>
          <w:spacing w:val="10"/>
          <w:w w:val="105"/>
          <w:sz w:val="16"/>
        </w:rPr>
        <w:t xml:space="preserve"> </w:t>
      </w:r>
      <w:r>
        <w:rPr>
          <w:color w:val="231F20"/>
          <w:w w:val="105"/>
          <w:sz w:val="16"/>
        </w:rPr>
        <w:t>Reign,”</w:t>
      </w:r>
      <w:r>
        <w:rPr>
          <w:color w:val="231F20"/>
          <w:spacing w:val="11"/>
          <w:w w:val="105"/>
          <w:sz w:val="16"/>
        </w:rPr>
        <w:t xml:space="preserve"> </w:t>
      </w:r>
      <w:r>
        <w:rPr>
          <w:i/>
          <w:color w:val="231F20"/>
          <w:spacing w:val="2"/>
          <w:w w:val="105"/>
          <w:sz w:val="16"/>
        </w:rPr>
        <w:t>Salina-Journal,</w:t>
      </w:r>
    </w:p>
    <w:p w14:paraId="3A1BDC2E" w14:textId="77777777" w:rsidR="002653E8" w:rsidRDefault="003115E3">
      <w:pPr>
        <w:spacing w:before="11"/>
        <w:ind w:left="1148"/>
        <w:rPr>
          <w:sz w:val="16"/>
        </w:rPr>
      </w:pPr>
      <w:r>
        <w:rPr>
          <w:color w:val="231F20"/>
          <w:w w:val="110"/>
          <w:sz w:val="16"/>
        </w:rPr>
        <w:t>October 24, 1977.</w:t>
      </w:r>
    </w:p>
    <w:p w14:paraId="59DAB1BE" w14:textId="77777777" w:rsidR="002653E8" w:rsidRDefault="003115E3">
      <w:pPr>
        <w:pStyle w:val="a4"/>
        <w:numPr>
          <w:ilvl w:val="0"/>
          <w:numId w:val="48"/>
        </w:numPr>
        <w:tabs>
          <w:tab w:val="left" w:pos="1287"/>
        </w:tabs>
        <w:spacing w:before="52" w:line="307" w:lineRule="auto"/>
        <w:ind w:left="1148" w:right="1717" w:firstLine="0"/>
        <w:rPr>
          <w:sz w:val="16"/>
        </w:rPr>
      </w:pPr>
      <w:r>
        <w:rPr>
          <w:color w:val="231F20"/>
          <w:w w:val="105"/>
          <w:sz w:val="16"/>
        </w:rPr>
        <w:t xml:space="preserve">United Press International, “Leftist terrorists vow to foul German </w:t>
      </w:r>
      <w:r>
        <w:rPr>
          <w:color w:val="231F20"/>
          <w:spacing w:val="-3"/>
          <w:w w:val="105"/>
          <w:sz w:val="16"/>
        </w:rPr>
        <w:t xml:space="preserve">economy.”  </w:t>
      </w:r>
      <w:r>
        <w:rPr>
          <w:color w:val="231F20"/>
          <w:spacing w:val="30"/>
          <w:w w:val="105"/>
          <w:sz w:val="16"/>
        </w:rPr>
        <w:t xml:space="preserve"> </w:t>
      </w:r>
      <w:r>
        <w:rPr>
          <w:color w:val="231F20"/>
          <w:w w:val="105"/>
          <w:sz w:val="16"/>
        </w:rPr>
        <w:t>8</w:t>
      </w:r>
      <w:r>
        <w:rPr>
          <w:color w:val="231F20"/>
          <w:spacing w:val="10"/>
          <w:w w:val="105"/>
          <w:sz w:val="16"/>
        </w:rPr>
        <w:t xml:space="preserve"> </w:t>
      </w:r>
      <w:r>
        <w:rPr>
          <w:color w:val="231F20"/>
          <w:w w:val="105"/>
          <w:sz w:val="16"/>
        </w:rPr>
        <w:t>United</w:t>
      </w:r>
      <w:r>
        <w:rPr>
          <w:color w:val="231F20"/>
          <w:spacing w:val="10"/>
          <w:w w:val="105"/>
          <w:sz w:val="16"/>
        </w:rPr>
        <w:t xml:space="preserve"> </w:t>
      </w:r>
      <w:r>
        <w:rPr>
          <w:color w:val="231F20"/>
          <w:w w:val="105"/>
          <w:sz w:val="16"/>
        </w:rPr>
        <w:t>Press</w:t>
      </w:r>
      <w:r>
        <w:rPr>
          <w:color w:val="231F20"/>
          <w:spacing w:val="10"/>
          <w:w w:val="105"/>
          <w:sz w:val="16"/>
        </w:rPr>
        <w:t xml:space="preserve"> </w:t>
      </w:r>
      <w:r>
        <w:rPr>
          <w:color w:val="231F20"/>
          <w:w w:val="105"/>
          <w:sz w:val="16"/>
        </w:rPr>
        <w:t>International,</w:t>
      </w:r>
      <w:r>
        <w:rPr>
          <w:color w:val="231F20"/>
          <w:spacing w:val="10"/>
          <w:w w:val="105"/>
          <w:sz w:val="16"/>
        </w:rPr>
        <w:t xml:space="preserve"> </w:t>
      </w:r>
      <w:r>
        <w:rPr>
          <w:color w:val="231F20"/>
          <w:w w:val="105"/>
          <w:sz w:val="16"/>
        </w:rPr>
        <w:t>“Terrorists</w:t>
      </w:r>
      <w:r>
        <w:rPr>
          <w:color w:val="231F20"/>
          <w:spacing w:val="10"/>
          <w:w w:val="105"/>
          <w:sz w:val="16"/>
        </w:rPr>
        <w:t xml:space="preserve"> </w:t>
      </w:r>
      <w:r>
        <w:rPr>
          <w:color w:val="231F20"/>
          <w:w w:val="105"/>
          <w:sz w:val="16"/>
        </w:rPr>
        <w:t>Bomb</w:t>
      </w:r>
      <w:r>
        <w:rPr>
          <w:color w:val="231F20"/>
          <w:spacing w:val="10"/>
          <w:w w:val="105"/>
          <w:sz w:val="16"/>
        </w:rPr>
        <w:t xml:space="preserve"> </w:t>
      </w:r>
      <w:r>
        <w:rPr>
          <w:color w:val="231F20"/>
          <w:w w:val="105"/>
          <w:sz w:val="16"/>
        </w:rPr>
        <w:t>German</w:t>
      </w:r>
      <w:r>
        <w:rPr>
          <w:color w:val="231F20"/>
          <w:spacing w:val="10"/>
          <w:w w:val="105"/>
          <w:sz w:val="16"/>
        </w:rPr>
        <w:t xml:space="preserve"> </w:t>
      </w:r>
      <w:r>
        <w:rPr>
          <w:color w:val="231F20"/>
          <w:w w:val="105"/>
          <w:sz w:val="16"/>
        </w:rPr>
        <w:t>Property.”</w:t>
      </w:r>
    </w:p>
    <w:p w14:paraId="35E1A87B" w14:textId="77777777" w:rsidR="002653E8" w:rsidRDefault="003115E3">
      <w:pPr>
        <w:pStyle w:val="a4"/>
        <w:numPr>
          <w:ilvl w:val="0"/>
          <w:numId w:val="47"/>
        </w:numPr>
        <w:tabs>
          <w:tab w:val="left" w:pos="1287"/>
        </w:tabs>
        <w:spacing w:before="0" w:line="186" w:lineRule="exact"/>
        <w:ind w:firstLine="0"/>
        <w:jc w:val="left"/>
        <w:rPr>
          <w:i/>
          <w:sz w:val="16"/>
        </w:rPr>
      </w:pPr>
      <w:r>
        <w:rPr>
          <w:color w:val="231F20"/>
          <w:w w:val="105"/>
          <w:sz w:val="16"/>
        </w:rPr>
        <w:t xml:space="preserve">United Press International, “Protests Sweep </w:t>
      </w:r>
      <w:r>
        <w:rPr>
          <w:color w:val="231F20"/>
          <w:spacing w:val="1"/>
          <w:w w:val="105"/>
          <w:sz w:val="16"/>
        </w:rPr>
        <w:t xml:space="preserve">Three </w:t>
      </w:r>
      <w:r>
        <w:rPr>
          <w:color w:val="231F20"/>
          <w:w w:val="105"/>
          <w:sz w:val="16"/>
        </w:rPr>
        <w:t xml:space="preserve">Nations,” </w:t>
      </w:r>
      <w:r>
        <w:rPr>
          <w:i/>
          <w:color w:val="231F20"/>
          <w:w w:val="105"/>
          <w:sz w:val="16"/>
        </w:rPr>
        <w:t>Valley</w:t>
      </w:r>
      <w:r>
        <w:rPr>
          <w:i/>
          <w:color w:val="231F20"/>
          <w:spacing w:val="11"/>
          <w:w w:val="105"/>
          <w:sz w:val="16"/>
        </w:rPr>
        <w:t xml:space="preserve"> </w:t>
      </w:r>
      <w:r>
        <w:rPr>
          <w:i/>
          <w:color w:val="231F20"/>
          <w:w w:val="105"/>
          <w:sz w:val="16"/>
        </w:rPr>
        <w:t>News,</w:t>
      </w:r>
    </w:p>
    <w:p w14:paraId="2D094416" w14:textId="77777777" w:rsidR="002653E8" w:rsidRDefault="003115E3">
      <w:pPr>
        <w:spacing w:before="11"/>
        <w:ind w:left="1148"/>
        <w:rPr>
          <w:sz w:val="16"/>
        </w:rPr>
      </w:pPr>
      <w:r>
        <w:rPr>
          <w:color w:val="231F20"/>
          <w:w w:val="110"/>
          <w:sz w:val="16"/>
        </w:rPr>
        <w:t>October 27, 1977.</w:t>
      </w:r>
    </w:p>
    <w:p w14:paraId="5785CBD2" w14:textId="77777777" w:rsidR="002653E8" w:rsidRDefault="003115E3">
      <w:pPr>
        <w:pStyle w:val="a4"/>
        <w:numPr>
          <w:ilvl w:val="0"/>
          <w:numId w:val="47"/>
        </w:numPr>
        <w:tabs>
          <w:tab w:val="left" w:pos="1375"/>
        </w:tabs>
        <w:spacing w:before="52" w:line="254" w:lineRule="auto"/>
        <w:ind w:right="1556" w:firstLine="0"/>
        <w:jc w:val="left"/>
        <w:rPr>
          <w:sz w:val="16"/>
        </w:rPr>
      </w:pPr>
      <w:r>
        <w:rPr>
          <w:color w:val="231F20"/>
          <w:w w:val="105"/>
          <w:sz w:val="16"/>
        </w:rPr>
        <w:t xml:space="preserve">United Press International, “Italian Radicals Say Suicide Squad Will </w:t>
      </w:r>
      <w:r>
        <w:rPr>
          <w:color w:val="231F20"/>
          <w:spacing w:val="1"/>
          <w:w w:val="105"/>
          <w:sz w:val="16"/>
        </w:rPr>
        <w:t xml:space="preserve">Kill </w:t>
      </w:r>
      <w:r>
        <w:rPr>
          <w:color w:val="231F20"/>
          <w:w w:val="105"/>
          <w:sz w:val="16"/>
        </w:rPr>
        <w:t>West German</w:t>
      </w:r>
      <w:r>
        <w:rPr>
          <w:color w:val="231F20"/>
          <w:spacing w:val="15"/>
          <w:w w:val="105"/>
          <w:sz w:val="16"/>
        </w:rPr>
        <w:t xml:space="preserve"> </w:t>
      </w:r>
      <w:r>
        <w:rPr>
          <w:color w:val="231F20"/>
          <w:w w:val="105"/>
          <w:sz w:val="16"/>
        </w:rPr>
        <w:t>Ambassador,”</w:t>
      </w:r>
      <w:r>
        <w:rPr>
          <w:color w:val="231F20"/>
          <w:spacing w:val="17"/>
          <w:w w:val="105"/>
          <w:sz w:val="16"/>
        </w:rPr>
        <w:t xml:space="preserve"> </w:t>
      </w:r>
      <w:r>
        <w:rPr>
          <w:i/>
          <w:color w:val="231F20"/>
          <w:w w:val="105"/>
          <w:sz w:val="16"/>
        </w:rPr>
        <w:t>Galveston</w:t>
      </w:r>
      <w:r>
        <w:rPr>
          <w:i/>
          <w:color w:val="231F20"/>
          <w:spacing w:val="15"/>
          <w:w w:val="105"/>
          <w:sz w:val="16"/>
        </w:rPr>
        <w:t xml:space="preserve"> </w:t>
      </w:r>
      <w:r>
        <w:rPr>
          <w:i/>
          <w:color w:val="231F20"/>
          <w:w w:val="105"/>
          <w:sz w:val="16"/>
        </w:rPr>
        <w:t>Daily</w:t>
      </w:r>
      <w:r>
        <w:rPr>
          <w:i/>
          <w:color w:val="231F20"/>
          <w:spacing w:val="15"/>
          <w:w w:val="105"/>
          <w:sz w:val="16"/>
        </w:rPr>
        <w:t xml:space="preserve"> </w:t>
      </w:r>
      <w:r>
        <w:rPr>
          <w:i/>
          <w:color w:val="231F20"/>
          <w:w w:val="105"/>
          <w:sz w:val="16"/>
        </w:rPr>
        <w:t>News,</w:t>
      </w:r>
      <w:r>
        <w:rPr>
          <w:i/>
          <w:color w:val="231F20"/>
          <w:spacing w:val="15"/>
          <w:w w:val="105"/>
          <w:sz w:val="16"/>
        </w:rPr>
        <w:t xml:space="preserve"> </w:t>
      </w:r>
      <w:r>
        <w:rPr>
          <w:color w:val="231F20"/>
          <w:w w:val="105"/>
          <w:sz w:val="16"/>
        </w:rPr>
        <w:t>October</w:t>
      </w:r>
      <w:r>
        <w:rPr>
          <w:color w:val="231F20"/>
          <w:spacing w:val="15"/>
          <w:w w:val="105"/>
          <w:sz w:val="16"/>
        </w:rPr>
        <w:t xml:space="preserve"> </w:t>
      </w:r>
      <w:r>
        <w:rPr>
          <w:color w:val="231F20"/>
          <w:w w:val="105"/>
          <w:sz w:val="16"/>
        </w:rPr>
        <w:t>26,</w:t>
      </w:r>
      <w:r>
        <w:rPr>
          <w:color w:val="231F20"/>
          <w:spacing w:val="15"/>
          <w:w w:val="105"/>
          <w:sz w:val="16"/>
        </w:rPr>
        <w:t xml:space="preserve"> </w:t>
      </w:r>
      <w:r>
        <w:rPr>
          <w:color w:val="231F20"/>
          <w:spacing w:val="-4"/>
          <w:w w:val="105"/>
          <w:sz w:val="16"/>
        </w:rPr>
        <w:t>1977.</w:t>
      </w:r>
    </w:p>
    <w:p w14:paraId="42E90A3C" w14:textId="77777777" w:rsidR="002653E8" w:rsidRDefault="002653E8">
      <w:pPr>
        <w:spacing w:line="254" w:lineRule="auto"/>
        <w:rPr>
          <w:sz w:val="16"/>
        </w:rPr>
        <w:sectPr w:rsidR="002653E8">
          <w:footerReference w:type="even" r:id="rId441"/>
          <w:footerReference w:type="default" r:id="rId442"/>
          <w:pgSz w:w="8640" w:h="12960"/>
          <w:pgMar w:top="1060" w:right="0" w:bottom="1040" w:left="0" w:header="0" w:footer="850" w:gutter="0"/>
          <w:pgNumType w:start="522"/>
          <w:cols w:space="720"/>
        </w:sectPr>
      </w:pPr>
    </w:p>
    <w:p w14:paraId="013A7C90" w14:textId="77777777" w:rsidR="002653E8" w:rsidRDefault="003115E3">
      <w:pPr>
        <w:pStyle w:val="a3"/>
        <w:spacing w:before="86" w:line="264" w:lineRule="auto"/>
        <w:ind w:left="1327" w:right="1145" w:hanging="1"/>
        <w:jc w:val="both"/>
        <w:rPr>
          <w:sz w:val="11"/>
        </w:rPr>
      </w:pPr>
      <w:r>
        <w:rPr>
          <w:color w:val="231F20"/>
        </w:rPr>
        <w:lastRenderedPageBreak/>
        <w:t>one self-styled “Anti-Terrorist Brigade” claimed to have captured and killed a member of the guerilla; as no body was ever found, this was likely bluster. Nevertheless, police used the spectre of further escalation and counter-escalation as an excuse to ban all protests outside the West German embassy in Paris.</w:t>
      </w:r>
      <w:r>
        <w:rPr>
          <w:color w:val="231F20"/>
          <w:position w:val="7"/>
          <w:sz w:val="11"/>
        </w:rPr>
        <w:t>11</w:t>
      </w:r>
    </w:p>
    <w:p w14:paraId="3BC94ED8" w14:textId="77777777" w:rsidR="002653E8" w:rsidRDefault="003115E3">
      <w:pPr>
        <w:pStyle w:val="a3"/>
        <w:spacing w:line="264" w:lineRule="auto"/>
        <w:ind w:left="1327" w:right="1145" w:firstLine="210"/>
        <w:jc w:val="both"/>
        <w:rPr>
          <w:sz w:val="11"/>
        </w:rPr>
      </w:pPr>
      <w:r>
        <w:rPr>
          <w:color w:val="231F20"/>
        </w:rPr>
        <w:t xml:space="preserve">Violent protests also broke out in Athens, and Greek police engaged  in a firefight with reported anarchists who were driving a car </w:t>
      </w:r>
      <w:r>
        <w:rPr>
          <w:color w:val="231F20"/>
          <w:spacing w:val="1"/>
        </w:rPr>
        <w:t xml:space="preserve">full </w:t>
      </w:r>
      <w:r>
        <w:rPr>
          <w:color w:val="231F20"/>
        </w:rPr>
        <w:t xml:space="preserve">of explosives, presumably to attack a nearby factory owned by a </w:t>
      </w:r>
      <w:r>
        <w:rPr>
          <w:color w:val="231F20"/>
          <w:spacing w:val="-3"/>
        </w:rPr>
        <w:t xml:space="preserve">West </w:t>
      </w:r>
      <w:r>
        <w:rPr>
          <w:color w:val="231F20"/>
        </w:rPr>
        <w:t>German corporation.</w:t>
      </w:r>
      <w:r>
        <w:rPr>
          <w:color w:val="231F20"/>
          <w:position w:val="7"/>
          <w:sz w:val="11"/>
        </w:rPr>
        <w:t xml:space="preserve">12 </w:t>
      </w:r>
      <w:r>
        <w:rPr>
          <w:color w:val="231F20"/>
        </w:rPr>
        <w:t xml:space="preserve">Around the same time, three people were injured when the </w:t>
      </w:r>
      <w:r>
        <w:rPr>
          <w:color w:val="231F20"/>
          <w:spacing w:val="-3"/>
        </w:rPr>
        <w:t xml:space="preserve">West </w:t>
      </w:r>
      <w:r>
        <w:rPr>
          <w:color w:val="231F20"/>
        </w:rPr>
        <w:t>German Cultural Center in Istanbul was firebombed during</w:t>
      </w:r>
      <w:r>
        <w:rPr>
          <w:color w:val="231F20"/>
          <w:spacing w:val="13"/>
        </w:rPr>
        <w:t xml:space="preserve"> </w:t>
      </w:r>
      <w:r>
        <w:rPr>
          <w:color w:val="231F20"/>
        </w:rPr>
        <w:t>two</w:t>
      </w:r>
      <w:r>
        <w:rPr>
          <w:color w:val="231F20"/>
          <w:spacing w:val="13"/>
        </w:rPr>
        <w:t xml:space="preserve"> </w:t>
      </w:r>
      <w:r>
        <w:rPr>
          <w:color w:val="231F20"/>
        </w:rPr>
        <w:t>days</w:t>
      </w:r>
      <w:r>
        <w:rPr>
          <w:color w:val="231F20"/>
          <w:spacing w:val="13"/>
        </w:rPr>
        <w:t xml:space="preserve"> </w:t>
      </w:r>
      <w:r>
        <w:rPr>
          <w:color w:val="231F20"/>
        </w:rPr>
        <w:t>of</w:t>
      </w:r>
      <w:r>
        <w:rPr>
          <w:color w:val="231F20"/>
          <w:spacing w:val="13"/>
        </w:rPr>
        <w:t xml:space="preserve"> </w:t>
      </w:r>
      <w:r>
        <w:rPr>
          <w:color w:val="231F20"/>
        </w:rPr>
        <w:t>anti-German</w:t>
      </w:r>
      <w:r>
        <w:rPr>
          <w:color w:val="231F20"/>
          <w:spacing w:val="13"/>
        </w:rPr>
        <w:t xml:space="preserve"> </w:t>
      </w:r>
      <w:r>
        <w:rPr>
          <w:color w:val="231F20"/>
        </w:rPr>
        <w:t>demonstrations</w:t>
      </w:r>
      <w:r>
        <w:rPr>
          <w:color w:val="231F20"/>
          <w:spacing w:val="13"/>
        </w:rPr>
        <w:t xml:space="preserve"> </w:t>
      </w:r>
      <w:r>
        <w:rPr>
          <w:color w:val="231F20"/>
        </w:rPr>
        <w:t>in</w:t>
      </w:r>
      <w:r>
        <w:rPr>
          <w:color w:val="231F20"/>
          <w:spacing w:val="15"/>
        </w:rPr>
        <w:t xml:space="preserve"> </w:t>
      </w:r>
      <w:r>
        <w:rPr>
          <w:color w:val="231F20"/>
          <w:spacing w:val="-5"/>
        </w:rPr>
        <w:t>Turkey.</w:t>
      </w:r>
      <w:r>
        <w:rPr>
          <w:color w:val="231F20"/>
          <w:spacing w:val="-5"/>
          <w:position w:val="7"/>
          <w:sz w:val="11"/>
        </w:rPr>
        <w:t>13</w:t>
      </w:r>
    </w:p>
    <w:p w14:paraId="34E28698" w14:textId="77777777" w:rsidR="002653E8" w:rsidRDefault="003115E3">
      <w:pPr>
        <w:pStyle w:val="a3"/>
        <w:spacing w:line="264" w:lineRule="auto"/>
        <w:ind w:left="1327" w:right="1145" w:firstLine="210"/>
        <w:jc w:val="both"/>
        <w:rPr>
          <w:sz w:val="11"/>
        </w:rPr>
      </w:pPr>
      <w:r>
        <w:rPr>
          <w:color w:val="231F20"/>
          <w:spacing w:val="1"/>
        </w:rPr>
        <w:t xml:space="preserve">In </w:t>
      </w:r>
      <w:r>
        <w:rPr>
          <w:color w:val="231F20"/>
        </w:rPr>
        <w:t xml:space="preserve">Holland, several men abducted real estate tycoon  Maurits  Caransa, pushing him struggling into an automobile after he left a club where he had been playing bridge. The press reported that a Germanspeaking man had called the newspaper </w:t>
      </w:r>
      <w:r>
        <w:rPr>
          <w:i/>
          <w:color w:val="231F20"/>
        </w:rPr>
        <w:t>Het Parool</w:t>
      </w:r>
      <w:r>
        <w:rPr>
          <w:color w:val="231F20"/>
        </w:rPr>
        <w:t xml:space="preserve">: </w:t>
      </w:r>
      <w:r>
        <w:rPr>
          <w:color w:val="231F20"/>
          <w:spacing w:val="-3"/>
        </w:rPr>
        <w:t xml:space="preserve">“We </w:t>
      </w:r>
      <w:r>
        <w:rPr>
          <w:color w:val="231F20"/>
        </w:rPr>
        <w:t xml:space="preserve">are the Red Army Faction,” he apparently said. </w:t>
      </w:r>
      <w:r>
        <w:rPr>
          <w:color w:val="231F20"/>
          <w:spacing w:val="-3"/>
        </w:rPr>
        <w:t xml:space="preserve">“We </w:t>
      </w:r>
      <w:r>
        <w:rPr>
          <w:color w:val="231F20"/>
        </w:rPr>
        <w:t xml:space="preserve">have Caransa. </w:t>
      </w:r>
      <w:r>
        <w:rPr>
          <w:color w:val="231F20"/>
          <w:spacing w:val="-7"/>
        </w:rPr>
        <w:t>you</w:t>
      </w:r>
      <w:r>
        <w:rPr>
          <w:color w:val="231F20"/>
          <w:spacing w:val="30"/>
        </w:rPr>
        <w:t xml:space="preserve"> </w:t>
      </w:r>
      <w:r>
        <w:rPr>
          <w:color w:val="231F20"/>
        </w:rPr>
        <w:t xml:space="preserve">will hear from </w:t>
      </w:r>
      <w:r>
        <w:rPr>
          <w:color w:val="231F20"/>
          <w:spacing w:val="-4"/>
        </w:rPr>
        <w:t xml:space="preserve">us.” </w:t>
      </w:r>
      <w:r>
        <w:rPr>
          <w:color w:val="231F20"/>
        </w:rPr>
        <w:t>Another newspaper claimed to receive a call demanding that Queen Juliana abdicate and that Knut Folkerts, still awaiting extradition, be freed.</w:t>
      </w:r>
      <w:r>
        <w:rPr>
          <w:color w:val="231F20"/>
          <w:position w:val="7"/>
          <w:sz w:val="11"/>
        </w:rPr>
        <w:t xml:space="preserve">14 </w:t>
      </w:r>
      <w:r>
        <w:rPr>
          <w:color w:val="231F20"/>
        </w:rPr>
        <w:t>Despite these reports, when Caransa was released three days later after haggling with his captors over a four million dollar ransom, it was revealed to have been a “normal” kidnapping unrelated to</w:t>
      </w:r>
      <w:r>
        <w:rPr>
          <w:color w:val="231F20"/>
          <w:spacing w:val="10"/>
        </w:rPr>
        <w:t xml:space="preserve"> </w:t>
      </w:r>
      <w:r>
        <w:rPr>
          <w:color w:val="231F20"/>
        </w:rPr>
        <w:t>the</w:t>
      </w:r>
      <w:r>
        <w:rPr>
          <w:color w:val="231F20"/>
          <w:spacing w:val="10"/>
        </w:rPr>
        <w:t xml:space="preserve"> </w:t>
      </w:r>
      <w:r w:rsidR="00C507A5">
        <w:rPr>
          <w:color w:val="231F20"/>
          <w:spacing w:val="5"/>
        </w:rPr>
        <w:t>red army faction</w:t>
      </w:r>
      <w:r>
        <w:rPr>
          <w:color w:val="231F20"/>
          <w:spacing w:val="10"/>
        </w:rPr>
        <w:t xml:space="preserve"> </w:t>
      </w:r>
      <w:r>
        <w:rPr>
          <w:color w:val="231F20"/>
        </w:rPr>
        <w:t>or</w:t>
      </w:r>
      <w:r>
        <w:rPr>
          <w:color w:val="231F20"/>
          <w:spacing w:val="10"/>
        </w:rPr>
        <w:t xml:space="preserve"> </w:t>
      </w:r>
      <w:r>
        <w:rPr>
          <w:color w:val="231F20"/>
        </w:rPr>
        <w:t>any</w:t>
      </w:r>
      <w:r>
        <w:rPr>
          <w:color w:val="231F20"/>
          <w:spacing w:val="10"/>
        </w:rPr>
        <w:t xml:space="preserve"> </w:t>
      </w:r>
      <w:r>
        <w:rPr>
          <w:color w:val="231F20"/>
        </w:rPr>
        <w:t>other</w:t>
      </w:r>
      <w:r>
        <w:rPr>
          <w:color w:val="231F20"/>
          <w:spacing w:val="10"/>
        </w:rPr>
        <w:t xml:space="preserve"> </w:t>
      </w:r>
      <w:r>
        <w:rPr>
          <w:color w:val="231F20"/>
        </w:rPr>
        <w:t>guerilla</w:t>
      </w:r>
      <w:r>
        <w:rPr>
          <w:color w:val="231F20"/>
          <w:spacing w:val="10"/>
        </w:rPr>
        <w:t xml:space="preserve"> </w:t>
      </w:r>
      <w:r>
        <w:rPr>
          <w:color w:val="231F20"/>
        </w:rPr>
        <w:t>group.</w:t>
      </w:r>
      <w:r>
        <w:rPr>
          <w:color w:val="231F20"/>
          <w:position w:val="7"/>
          <w:sz w:val="11"/>
        </w:rPr>
        <w:t>15</w:t>
      </w:r>
    </w:p>
    <w:p w14:paraId="71523727" w14:textId="77777777" w:rsidR="002653E8" w:rsidRDefault="003115E3">
      <w:pPr>
        <w:pStyle w:val="a3"/>
        <w:spacing w:line="264" w:lineRule="auto"/>
        <w:ind w:left="1327" w:right="1146" w:firstLine="210"/>
        <w:jc w:val="both"/>
      </w:pPr>
      <w:r>
        <w:rPr>
          <w:color w:val="231F20"/>
          <w:w w:val="105"/>
        </w:rPr>
        <w:t>At the same time, another kidnapping, one which was not</w:t>
      </w:r>
      <w:r>
        <w:rPr>
          <w:color w:val="231F20"/>
          <w:spacing w:val="-32"/>
          <w:w w:val="105"/>
        </w:rPr>
        <w:t xml:space="preserve"> </w:t>
      </w:r>
      <w:r>
        <w:rPr>
          <w:color w:val="231F20"/>
          <w:w w:val="105"/>
        </w:rPr>
        <w:t>reported as being politically motivated, was in fact the work of the guerilla: in a defiant act, on November 9, the anarchist 2nd of June Movement snatched lingerie magnate Walter Palmers in Vienna, dragging him from</w:t>
      </w:r>
      <w:r>
        <w:rPr>
          <w:color w:val="231F20"/>
          <w:spacing w:val="-14"/>
          <w:w w:val="105"/>
        </w:rPr>
        <w:t xml:space="preserve"> </w:t>
      </w:r>
      <w:r>
        <w:rPr>
          <w:color w:val="231F20"/>
          <w:w w:val="105"/>
        </w:rPr>
        <w:t>his</w:t>
      </w:r>
      <w:r>
        <w:rPr>
          <w:color w:val="231F20"/>
          <w:spacing w:val="-14"/>
          <w:w w:val="105"/>
        </w:rPr>
        <w:t xml:space="preserve"> </w:t>
      </w:r>
      <w:r>
        <w:rPr>
          <w:color w:val="231F20"/>
          <w:w w:val="105"/>
        </w:rPr>
        <w:t>car</w:t>
      </w:r>
      <w:r>
        <w:rPr>
          <w:color w:val="231F20"/>
          <w:spacing w:val="-14"/>
          <w:w w:val="105"/>
        </w:rPr>
        <w:t xml:space="preserve"> </w:t>
      </w:r>
      <w:r>
        <w:rPr>
          <w:color w:val="231F20"/>
          <w:w w:val="105"/>
        </w:rPr>
        <w:t>as</w:t>
      </w:r>
      <w:r>
        <w:rPr>
          <w:color w:val="231F20"/>
          <w:spacing w:val="-14"/>
          <w:w w:val="105"/>
        </w:rPr>
        <w:t xml:space="preserve"> </w:t>
      </w:r>
      <w:r>
        <w:rPr>
          <w:color w:val="231F20"/>
          <w:w w:val="105"/>
        </w:rPr>
        <w:t>he</w:t>
      </w:r>
      <w:r>
        <w:rPr>
          <w:color w:val="231F20"/>
          <w:spacing w:val="-14"/>
          <w:w w:val="105"/>
        </w:rPr>
        <w:t xml:space="preserve"> </w:t>
      </w:r>
      <w:r>
        <w:rPr>
          <w:color w:val="231F20"/>
          <w:w w:val="105"/>
        </w:rPr>
        <w:t>arrived</w:t>
      </w:r>
      <w:r>
        <w:rPr>
          <w:color w:val="231F20"/>
          <w:spacing w:val="-14"/>
          <w:w w:val="105"/>
        </w:rPr>
        <w:t xml:space="preserve"> </w:t>
      </w:r>
      <w:r>
        <w:rPr>
          <w:color w:val="231F20"/>
          <w:w w:val="105"/>
        </w:rPr>
        <w:t>home</w:t>
      </w:r>
      <w:r>
        <w:rPr>
          <w:color w:val="231F20"/>
          <w:spacing w:val="-14"/>
          <w:w w:val="105"/>
        </w:rPr>
        <w:t xml:space="preserve"> </w:t>
      </w:r>
      <w:r>
        <w:rPr>
          <w:color w:val="231F20"/>
          <w:w w:val="105"/>
        </w:rPr>
        <w:t>for</w:t>
      </w:r>
      <w:r>
        <w:rPr>
          <w:color w:val="231F20"/>
          <w:spacing w:val="-14"/>
          <w:w w:val="105"/>
        </w:rPr>
        <w:t xml:space="preserve"> </w:t>
      </w:r>
      <w:r>
        <w:rPr>
          <w:color w:val="231F20"/>
          <w:w w:val="105"/>
        </w:rPr>
        <w:t>dinner.</w:t>
      </w:r>
      <w:r>
        <w:rPr>
          <w:color w:val="231F20"/>
          <w:spacing w:val="-14"/>
          <w:w w:val="105"/>
        </w:rPr>
        <w:t xml:space="preserve"> </w:t>
      </w:r>
      <w:r>
        <w:rPr>
          <w:color w:val="231F20"/>
          <w:w w:val="105"/>
        </w:rPr>
        <w:t>He</w:t>
      </w:r>
      <w:r>
        <w:rPr>
          <w:color w:val="231F20"/>
          <w:spacing w:val="-14"/>
          <w:w w:val="105"/>
        </w:rPr>
        <w:t xml:space="preserve"> </w:t>
      </w:r>
      <w:r>
        <w:rPr>
          <w:color w:val="231F20"/>
          <w:w w:val="105"/>
        </w:rPr>
        <w:t>was</w:t>
      </w:r>
      <w:r>
        <w:rPr>
          <w:color w:val="231F20"/>
          <w:spacing w:val="-14"/>
          <w:w w:val="105"/>
        </w:rPr>
        <w:t xml:space="preserve"> </w:t>
      </w:r>
      <w:r>
        <w:rPr>
          <w:color w:val="231F20"/>
          <w:w w:val="105"/>
        </w:rPr>
        <w:t>released</w:t>
      </w:r>
      <w:r>
        <w:rPr>
          <w:color w:val="231F20"/>
          <w:spacing w:val="-14"/>
          <w:w w:val="105"/>
        </w:rPr>
        <w:t xml:space="preserve"> </w:t>
      </w:r>
      <w:r>
        <w:rPr>
          <w:color w:val="231F20"/>
          <w:w w:val="105"/>
        </w:rPr>
        <w:t xml:space="preserve">unharmed four days later, after his son delivered a ransom of </w:t>
      </w:r>
      <w:r>
        <w:rPr>
          <w:color w:val="231F20"/>
          <w:spacing w:val="-4"/>
          <w:w w:val="105"/>
        </w:rPr>
        <w:t xml:space="preserve">$3.1 </w:t>
      </w:r>
      <w:r>
        <w:rPr>
          <w:color w:val="231F20"/>
          <w:w w:val="105"/>
        </w:rPr>
        <w:t>million.</w:t>
      </w:r>
      <w:r>
        <w:rPr>
          <w:color w:val="231F20"/>
          <w:w w:val="105"/>
          <w:position w:val="7"/>
          <w:sz w:val="11"/>
        </w:rPr>
        <w:t xml:space="preserve">16 </w:t>
      </w:r>
      <w:r>
        <w:rPr>
          <w:color w:val="231F20"/>
          <w:w w:val="105"/>
        </w:rPr>
        <w:t xml:space="preserve">Nobody was arrested, and the 2JM took the money and divided it three ways, giving badly needed funds to the </w:t>
      </w:r>
      <w:r w:rsidR="00C507A5">
        <w:rPr>
          <w:color w:val="231F20"/>
          <w:spacing w:val="5"/>
          <w:w w:val="105"/>
        </w:rPr>
        <w:t>red army faction</w:t>
      </w:r>
      <w:r>
        <w:rPr>
          <w:color w:val="231F20"/>
          <w:spacing w:val="5"/>
          <w:w w:val="105"/>
        </w:rPr>
        <w:t xml:space="preserve"> </w:t>
      </w:r>
      <w:r>
        <w:rPr>
          <w:color w:val="231F20"/>
          <w:w w:val="105"/>
        </w:rPr>
        <w:t>and an unspecified Palestinian</w:t>
      </w:r>
      <w:r>
        <w:rPr>
          <w:color w:val="231F20"/>
          <w:spacing w:val="7"/>
          <w:w w:val="105"/>
        </w:rPr>
        <w:t xml:space="preserve"> </w:t>
      </w:r>
      <w:r>
        <w:rPr>
          <w:color w:val="231F20"/>
          <w:w w:val="105"/>
        </w:rPr>
        <w:t>group.</w:t>
      </w:r>
    </w:p>
    <w:p w14:paraId="7A1ACD5F" w14:textId="77777777" w:rsidR="002653E8" w:rsidRDefault="00000000">
      <w:pPr>
        <w:pStyle w:val="a3"/>
        <w:spacing w:before="1"/>
        <w:rPr>
          <w:sz w:val="13"/>
        </w:rPr>
      </w:pPr>
      <w:r>
        <w:rPr>
          <w:noProof w:val="0"/>
        </w:rPr>
        <w:pict w14:anchorId="557552CB">
          <v:line id="_x0000_s2158" style="position:absolute;z-index:10816;mso-wrap-distance-left:0;mso-wrap-distance-right:0;mso-position-horizontal-relative:page" from="66.4pt,9.9pt" to="138.4pt,9.9pt" strokecolor="#231f20" strokeweight=".5pt">
            <w10:wrap type="topAndBottom" anchorx="page"/>
          </v:line>
        </w:pict>
      </w:r>
    </w:p>
    <w:p w14:paraId="7145BF9A" w14:textId="77777777" w:rsidR="002653E8" w:rsidRDefault="003115E3">
      <w:pPr>
        <w:pStyle w:val="a4"/>
        <w:numPr>
          <w:ilvl w:val="0"/>
          <w:numId w:val="47"/>
        </w:numPr>
        <w:tabs>
          <w:tab w:val="left" w:pos="1553"/>
        </w:tabs>
        <w:spacing w:before="53"/>
        <w:ind w:left="1552" w:hanging="225"/>
        <w:jc w:val="left"/>
        <w:rPr>
          <w:sz w:val="16"/>
        </w:rPr>
      </w:pPr>
      <w:r>
        <w:rPr>
          <w:color w:val="231F20"/>
          <w:w w:val="110"/>
          <w:sz w:val="16"/>
        </w:rPr>
        <w:t>Ibid.</w:t>
      </w:r>
    </w:p>
    <w:p w14:paraId="1BD46E29" w14:textId="77777777" w:rsidR="002653E8" w:rsidRDefault="003115E3">
      <w:pPr>
        <w:pStyle w:val="a4"/>
        <w:numPr>
          <w:ilvl w:val="0"/>
          <w:numId w:val="47"/>
        </w:numPr>
        <w:tabs>
          <w:tab w:val="left" w:pos="1561"/>
        </w:tabs>
        <w:spacing w:before="51" w:line="254" w:lineRule="auto"/>
        <w:ind w:left="1327" w:right="1513" w:firstLine="0"/>
        <w:jc w:val="left"/>
        <w:rPr>
          <w:sz w:val="16"/>
        </w:rPr>
      </w:pPr>
      <w:r>
        <w:rPr>
          <w:color w:val="231F20"/>
          <w:w w:val="105"/>
          <w:sz w:val="16"/>
        </w:rPr>
        <w:t xml:space="preserve">United Press International, “Deaths of </w:t>
      </w:r>
      <w:r>
        <w:rPr>
          <w:color w:val="231F20"/>
          <w:spacing w:val="-5"/>
          <w:w w:val="105"/>
          <w:sz w:val="16"/>
        </w:rPr>
        <w:t xml:space="preserve">W. </w:t>
      </w:r>
      <w:r>
        <w:rPr>
          <w:color w:val="231F20"/>
          <w:w w:val="105"/>
          <w:sz w:val="16"/>
        </w:rPr>
        <w:t>German Terrorists Protested with Bombings, Student</w:t>
      </w:r>
      <w:r>
        <w:rPr>
          <w:color w:val="231F20"/>
          <w:spacing w:val="17"/>
          <w:w w:val="105"/>
          <w:sz w:val="16"/>
        </w:rPr>
        <w:t xml:space="preserve"> </w:t>
      </w:r>
      <w:r>
        <w:rPr>
          <w:color w:val="231F20"/>
          <w:w w:val="105"/>
          <w:sz w:val="16"/>
        </w:rPr>
        <w:t>Riot.”</w:t>
      </w:r>
    </w:p>
    <w:p w14:paraId="3F92CE12" w14:textId="77777777" w:rsidR="002653E8" w:rsidRDefault="003115E3">
      <w:pPr>
        <w:pStyle w:val="a4"/>
        <w:numPr>
          <w:ilvl w:val="0"/>
          <w:numId w:val="47"/>
        </w:numPr>
        <w:tabs>
          <w:tab w:val="left" w:pos="1558"/>
        </w:tabs>
        <w:ind w:left="1557" w:hanging="230"/>
        <w:jc w:val="left"/>
        <w:rPr>
          <w:sz w:val="16"/>
        </w:rPr>
      </w:pPr>
      <w:r>
        <w:rPr>
          <w:color w:val="231F20"/>
          <w:w w:val="105"/>
          <w:sz w:val="16"/>
        </w:rPr>
        <w:t xml:space="preserve">United Press International, “Protests Sweep </w:t>
      </w:r>
      <w:r>
        <w:rPr>
          <w:color w:val="231F20"/>
          <w:spacing w:val="1"/>
          <w:w w:val="105"/>
          <w:sz w:val="16"/>
        </w:rPr>
        <w:t>Three</w:t>
      </w:r>
      <w:r>
        <w:rPr>
          <w:color w:val="231F20"/>
          <w:spacing w:val="13"/>
          <w:w w:val="105"/>
          <w:sz w:val="16"/>
        </w:rPr>
        <w:t xml:space="preserve"> </w:t>
      </w:r>
      <w:r>
        <w:rPr>
          <w:color w:val="231F20"/>
          <w:w w:val="105"/>
          <w:sz w:val="16"/>
        </w:rPr>
        <w:t>Nations.”</w:t>
      </w:r>
    </w:p>
    <w:p w14:paraId="7DF864B3" w14:textId="77777777" w:rsidR="002653E8" w:rsidRDefault="003115E3">
      <w:pPr>
        <w:pStyle w:val="a4"/>
        <w:numPr>
          <w:ilvl w:val="0"/>
          <w:numId w:val="47"/>
        </w:numPr>
        <w:tabs>
          <w:tab w:val="left" w:pos="1552"/>
        </w:tabs>
        <w:spacing w:before="52" w:line="254" w:lineRule="auto"/>
        <w:ind w:left="1327" w:right="1146" w:firstLine="0"/>
        <w:jc w:val="left"/>
        <w:rPr>
          <w:sz w:val="16"/>
        </w:rPr>
      </w:pPr>
      <w:r>
        <w:rPr>
          <w:color w:val="231F20"/>
          <w:w w:val="105"/>
          <w:sz w:val="16"/>
        </w:rPr>
        <w:t xml:space="preserve">United Press International, “Gang Kidnaps Dutch Millionaire,” </w:t>
      </w:r>
      <w:r>
        <w:rPr>
          <w:i/>
          <w:color w:val="231F20"/>
          <w:w w:val="105"/>
          <w:sz w:val="16"/>
        </w:rPr>
        <w:t xml:space="preserve">Kingsport Times News, </w:t>
      </w:r>
      <w:r>
        <w:rPr>
          <w:color w:val="231F20"/>
          <w:w w:val="105"/>
          <w:sz w:val="16"/>
        </w:rPr>
        <w:t>October 29,</w:t>
      </w:r>
      <w:r>
        <w:rPr>
          <w:color w:val="231F20"/>
          <w:spacing w:val="26"/>
          <w:w w:val="105"/>
          <w:sz w:val="16"/>
        </w:rPr>
        <w:t xml:space="preserve"> </w:t>
      </w:r>
      <w:r>
        <w:rPr>
          <w:color w:val="231F20"/>
          <w:spacing w:val="-4"/>
          <w:w w:val="105"/>
          <w:sz w:val="16"/>
        </w:rPr>
        <w:t>1977.</w:t>
      </w:r>
    </w:p>
    <w:p w14:paraId="3D3C10E7" w14:textId="77777777" w:rsidR="002653E8" w:rsidRDefault="003115E3">
      <w:pPr>
        <w:pStyle w:val="a4"/>
        <w:numPr>
          <w:ilvl w:val="0"/>
          <w:numId w:val="47"/>
        </w:numPr>
        <w:tabs>
          <w:tab w:val="left" w:pos="1559"/>
        </w:tabs>
        <w:spacing w:line="254" w:lineRule="auto"/>
        <w:ind w:left="1327" w:right="1257" w:firstLine="0"/>
        <w:jc w:val="left"/>
        <w:rPr>
          <w:sz w:val="16"/>
        </w:rPr>
      </w:pPr>
      <w:r>
        <w:rPr>
          <w:color w:val="231F20"/>
          <w:w w:val="110"/>
          <w:sz w:val="16"/>
        </w:rPr>
        <w:t xml:space="preserve">United Press International, “Caransa Released </w:t>
      </w:r>
      <w:r>
        <w:rPr>
          <w:color w:val="231F20"/>
          <w:spacing w:val="1"/>
          <w:w w:val="110"/>
          <w:sz w:val="16"/>
        </w:rPr>
        <w:t xml:space="preserve">After </w:t>
      </w:r>
      <w:r>
        <w:rPr>
          <w:color w:val="231F20"/>
          <w:w w:val="110"/>
          <w:sz w:val="16"/>
        </w:rPr>
        <w:t xml:space="preserve">Ransom Paid,” </w:t>
      </w:r>
      <w:r>
        <w:rPr>
          <w:i/>
          <w:color w:val="231F20"/>
          <w:w w:val="110"/>
          <w:sz w:val="16"/>
        </w:rPr>
        <w:t xml:space="preserve">Coshocton Times, </w:t>
      </w:r>
      <w:r>
        <w:rPr>
          <w:color w:val="231F20"/>
          <w:w w:val="110"/>
          <w:sz w:val="16"/>
        </w:rPr>
        <w:t>November 2,</w:t>
      </w:r>
      <w:r>
        <w:rPr>
          <w:color w:val="231F20"/>
          <w:spacing w:val="18"/>
          <w:w w:val="110"/>
          <w:sz w:val="16"/>
        </w:rPr>
        <w:t xml:space="preserve"> </w:t>
      </w:r>
      <w:r>
        <w:rPr>
          <w:color w:val="231F20"/>
          <w:spacing w:val="-4"/>
          <w:w w:val="110"/>
          <w:sz w:val="16"/>
        </w:rPr>
        <w:t>1977.</w:t>
      </w:r>
    </w:p>
    <w:p w14:paraId="44613AB8" w14:textId="77777777" w:rsidR="002653E8" w:rsidRDefault="003115E3">
      <w:pPr>
        <w:pStyle w:val="a4"/>
        <w:numPr>
          <w:ilvl w:val="0"/>
          <w:numId w:val="47"/>
        </w:numPr>
        <w:tabs>
          <w:tab w:val="left" w:pos="1553"/>
        </w:tabs>
        <w:spacing w:before="40"/>
        <w:ind w:left="1552" w:hanging="224"/>
        <w:jc w:val="left"/>
        <w:rPr>
          <w:sz w:val="16"/>
        </w:rPr>
      </w:pPr>
      <w:r>
        <w:rPr>
          <w:i/>
          <w:color w:val="231F20"/>
          <w:w w:val="110"/>
          <w:sz w:val="16"/>
        </w:rPr>
        <w:t xml:space="preserve">Bridgeport Telegram, </w:t>
      </w:r>
      <w:r>
        <w:rPr>
          <w:color w:val="231F20"/>
          <w:w w:val="110"/>
          <w:sz w:val="16"/>
        </w:rPr>
        <w:t xml:space="preserve">“Large ransom frees Viennese millionaire,” </w:t>
      </w:r>
      <w:r>
        <w:rPr>
          <w:color w:val="231F20"/>
          <w:spacing w:val="-3"/>
          <w:w w:val="110"/>
          <w:sz w:val="16"/>
        </w:rPr>
        <w:t xml:space="preserve">Nov. </w:t>
      </w:r>
      <w:r>
        <w:rPr>
          <w:color w:val="231F20"/>
          <w:w w:val="110"/>
          <w:sz w:val="16"/>
        </w:rPr>
        <w:t>14,</w:t>
      </w:r>
      <w:r>
        <w:rPr>
          <w:color w:val="231F20"/>
          <w:spacing w:val="3"/>
          <w:w w:val="110"/>
          <w:sz w:val="16"/>
        </w:rPr>
        <w:t xml:space="preserve"> </w:t>
      </w:r>
      <w:r>
        <w:rPr>
          <w:color w:val="231F20"/>
          <w:spacing w:val="-4"/>
          <w:w w:val="110"/>
          <w:sz w:val="16"/>
        </w:rPr>
        <w:t>1977.</w:t>
      </w:r>
    </w:p>
    <w:p w14:paraId="611685A6" w14:textId="77777777" w:rsidR="002653E8" w:rsidRDefault="002653E8">
      <w:pPr>
        <w:rPr>
          <w:sz w:val="16"/>
        </w:rPr>
        <w:sectPr w:rsidR="002653E8">
          <w:pgSz w:w="8640" w:h="12960"/>
          <w:pgMar w:top="1060" w:right="0" w:bottom="1040" w:left="0" w:header="0" w:footer="850" w:gutter="0"/>
          <w:cols w:space="720"/>
        </w:sectPr>
      </w:pPr>
    </w:p>
    <w:p w14:paraId="38122538" w14:textId="77777777" w:rsidR="002653E8" w:rsidRDefault="003115E3">
      <w:pPr>
        <w:pStyle w:val="a3"/>
        <w:spacing w:before="86" w:line="264" w:lineRule="auto"/>
        <w:ind w:left="1147" w:right="1326" w:firstLine="210"/>
        <w:jc w:val="both"/>
        <w:rPr>
          <w:sz w:val="11"/>
        </w:rPr>
      </w:pPr>
      <w:r>
        <w:rPr>
          <w:color w:val="231F20"/>
        </w:rPr>
        <w:lastRenderedPageBreak/>
        <w:t xml:space="preserve">As far </w:t>
      </w:r>
      <w:r>
        <w:rPr>
          <w:color w:val="231F20"/>
          <w:spacing w:val="-3"/>
        </w:rPr>
        <w:t xml:space="preserve">away </w:t>
      </w:r>
      <w:r>
        <w:rPr>
          <w:color w:val="231F20"/>
        </w:rPr>
        <w:t xml:space="preserve">as Seattle, in the United States, the George Jackson Brigade bombed a Mercedes-Benz dealership in solidarity with  the  </w:t>
      </w:r>
      <w:r w:rsidR="00C507A5">
        <w:rPr>
          <w:color w:val="231F20"/>
        </w:rPr>
        <w:t>red army faction</w:t>
      </w:r>
      <w:r>
        <w:rPr>
          <w:color w:val="231F20"/>
        </w:rPr>
        <w:t xml:space="preserve">. </w:t>
      </w:r>
      <w:r>
        <w:rPr>
          <w:color w:val="231F20"/>
          <w:spacing w:val="-3"/>
        </w:rPr>
        <w:t xml:space="preserve">“We  </w:t>
      </w:r>
      <w:r>
        <w:rPr>
          <w:color w:val="231F20"/>
        </w:rPr>
        <w:t xml:space="preserve">chose Mercedes-Benz as a target,” they explained, “because    it is a German luxury car which is a favorite item of conspicuous consumption for ruling class bosses, and because of its association with Hans </w:t>
      </w:r>
      <w:r>
        <w:rPr>
          <w:color w:val="231F20"/>
          <w:spacing w:val="1"/>
        </w:rPr>
        <w:t>Martin</w:t>
      </w:r>
      <w:r>
        <w:rPr>
          <w:color w:val="231F20"/>
          <w:spacing w:val="23"/>
        </w:rPr>
        <w:t xml:space="preserve"> </w:t>
      </w:r>
      <w:r>
        <w:rPr>
          <w:color w:val="231F20"/>
        </w:rPr>
        <w:t>Schleyer.”</w:t>
      </w:r>
      <w:r>
        <w:rPr>
          <w:color w:val="231F20"/>
          <w:position w:val="7"/>
          <w:sz w:val="11"/>
        </w:rPr>
        <w:t>1</w:t>
      </w:r>
    </w:p>
    <w:p w14:paraId="2B2AAF1C" w14:textId="77777777" w:rsidR="002653E8" w:rsidRDefault="003115E3">
      <w:pPr>
        <w:pStyle w:val="a3"/>
        <w:spacing w:line="264" w:lineRule="auto"/>
        <w:ind w:left="1147" w:right="1326" w:firstLine="210"/>
        <w:jc w:val="both"/>
      </w:pPr>
      <w:r>
        <w:rPr>
          <w:color w:val="231F20"/>
        </w:rPr>
        <w:t xml:space="preserve">Meanwhile, newspapers reported that they had received threats that three Lufthansa planes would be blown up on November </w:t>
      </w:r>
      <w:r>
        <w:rPr>
          <w:color w:val="231F20"/>
          <w:spacing w:val="-8"/>
        </w:rPr>
        <w:t xml:space="preserve">15, </w:t>
      </w:r>
      <w:r>
        <w:rPr>
          <w:color w:val="231F20"/>
        </w:rPr>
        <w:t>prompting massive cancellations,</w:t>
      </w:r>
      <w:r>
        <w:rPr>
          <w:color w:val="231F20"/>
          <w:position w:val="7"/>
          <w:sz w:val="11"/>
        </w:rPr>
        <w:t xml:space="preserve">2 </w:t>
      </w:r>
      <w:r>
        <w:rPr>
          <w:color w:val="231F20"/>
        </w:rPr>
        <w:t>though in the end there were no attacks on the</w:t>
      </w:r>
      <w:r>
        <w:rPr>
          <w:color w:val="231F20"/>
          <w:spacing w:val="10"/>
        </w:rPr>
        <w:t xml:space="preserve"> </w:t>
      </w:r>
      <w:r>
        <w:rPr>
          <w:color w:val="231F20"/>
        </w:rPr>
        <w:t>airline.</w:t>
      </w:r>
    </w:p>
    <w:p w14:paraId="1F8C8FE1" w14:textId="77777777" w:rsidR="002653E8" w:rsidRDefault="003115E3">
      <w:pPr>
        <w:pStyle w:val="a3"/>
        <w:spacing w:line="264" w:lineRule="auto"/>
        <w:ind w:left="1148" w:right="1325" w:firstLine="210"/>
        <w:jc w:val="both"/>
      </w:pPr>
      <w:r>
        <w:rPr>
          <w:color w:val="231F20"/>
        </w:rPr>
        <w:t xml:space="preserve">The flames of protest spread quickly, but by the end of the year, the violence had clearly been contained. The strongest reaction had been from the Italian left, where a tradition of militancy and a keen awareness of the realities of postfascist state repression provided the basis for the fierce fightback, giving rise to </w:t>
      </w:r>
      <w:r>
        <w:rPr>
          <w:color w:val="231F20"/>
          <w:spacing w:val="-4"/>
        </w:rPr>
        <w:t xml:space="preserve">147 </w:t>
      </w:r>
      <w:r>
        <w:rPr>
          <w:color w:val="231F20"/>
        </w:rPr>
        <w:t xml:space="preserve">documented anti-German attacks between October </w:t>
      </w:r>
      <w:r>
        <w:rPr>
          <w:color w:val="231F20"/>
          <w:spacing w:val="-5"/>
        </w:rPr>
        <w:t xml:space="preserve">18 </w:t>
      </w:r>
      <w:r>
        <w:rPr>
          <w:color w:val="231F20"/>
        </w:rPr>
        <w:t xml:space="preserve">and December </w:t>
      </w:r>
      <w:r>
        <w:rPr>
          <w:color w:val="231F20"/>
          <w:spacing w:val="-5"/>
        </w:rPr>
        <w:t xml:space="preserve">31 </w:t>
      </w:r>
      <w:r>
        <w:rPr>
          <w:color w:val="231F20"/>
        </w:rPr>
        <w:t xml:space="preserve">of </w:t>
      </w:r>
      <w:r>
        <w:rPr>
          <w:color w:val="231F20"/>
          <w:spacing w:val="-4"/>
        </w:rPr>
        <w:t>1977.</w:t>
      </w:r>
      <w:r>
        <w:rPr>
          <w:color w:val="231F20"/>
          <w:spacing w:val="-4"/>
          <w:position w:val="7"/>
          <w:sz w:val="11"/>
        </w:rPr>
        <w:t xml:space="preserve">3 </w:t>
      </w:r>
      <w:r>
        <w:rPr>
          <w:color w:val="231F20"/>
        </w:rPr>
        <w:t>The massive offensive by the revolutionary movement in Italy, including militant strikes and numerous armed actions, certainly contributed to the impressive show of</w:t>
      </w:r>
      <w:r>
        <w:rPr>
          <w:color w:val="231F20"/>
          <w:spacing w:val="10"/>
        </w:rPr>
        <w:t xml:space="preserve"> </w:t>
      </w:r>
      <w:r>
        <w:rPr>
          <w:color w:val="231F20"/>
        </w:rPr>
        <w:t>solidarity.</w:t>
      </w:r>
    </w:p>
    <w:p w14:paraId="6E7861E2" w14:textId="77777777" w:rsidR="002653E8" w:rsidRDefault="003115E3">
      <w:pPr>
        <w:pStyle w:val="a3"/>
        <w:spacing w:line="264" w:lineRule="auto"/>
        <w:ind w:left="1147" w:right="1327" w:firstLine="210"/>
        <w:jc w:val="both"/>
      </w:pPr>
      <w:r>
        <w:rPr>
          <w:color w:val="231F20"/>
          <w:spacing w:val="1"/>
        </w:rPr>
        <w:t xml:space="preserve">In </w:t>
      </w:r>
      <w:r>
        <w:rPr>
          <w:color w:val="231F20"/>
        </w:rPr>
        <w:t>the Federal Republic itself, courthouses were bombed in Hannover,</w:t>
      </w:r>
      <w:r>
        <w:rPr>
          <w:color w:val="231F20"/>
          <w:position w:val="7"/>
          <w:sz w:val="11"/>
        </w:rPr>
        <w:t xml:space="preserve">4  </w:t>
      </w:r>
      <w:r>
        <w:rPr>
          <w:color w:val="231F20"/>
        </w:rPr>
        <w:t>Zweibrucken,</w:t>
      </w:r>
      <w:r>
        <w:rPr>
          <w:color w:val="231F20"/>
          <w:position w:val="7"/>
          <w:sz w:val="11"/>
        </w:rPr>
        <w:t xml:space="preserve">5  </w:t>
      </w:r>
      <w:r>
        <w:rPr>
          <w:color w:val="231F20"/>
        </w:rPr>
        <w:t>and  Hamburg,</w:t>
      </w:r>
      <w:r>
        <w:rPr>
          <w:color w:val="231F20"/>
          <w:position w:val="7"/>
          <w:sz w:val="11"/>
        </w:rPr>
        <w:t xml:space="preserve">6  </w:t>
      </w:r>
      <w:r>
        <w:rPr>
          <w:color w:val="231F20"/>
        </w:rPr>
        <w:t>but  these  were  isolated acts. This meek reaction, especially when compared to what was happening in other countries, was a measure of the extent to which the visible might of the state and vicious anticommunist hysteria had put the left on the defensive. Rage had been muted by despair, as many people now felt that the level of conflict had exceeded their capacities. They recoiled in shock as the country seemed to be transforming itself into a police</w:t>
      </w:r>
      <w:r>
        <w:rPr>
          <w:color w:val="231F20"/>
          <w:spacing w:val="32"/>
        </w:rPr>
        <w:t xml:space="preserve"> </w:t>
      </w:r>
      <w:r>
        <w:rPr>
          <w:color w:val="231F20"/>
        </w:rPr>
        <w:t>state.</w:t>
      </w:r>
    </w:p>
    <w:p w14:paraId="1B500F51" w14:textId="77777777" w:rsidR="002653E8" w:rsidRDefault="00000000">
      <w:pPr>
        <w:pStyle w:val="a3"/>
        <w:spacing w:before="1"/>
        <w:rPr>
          <w:sz w:val="28"/>
        </w:rPr>
      </w:pPr>
      <w:r>
        <w:rPr>
          <w:noProof w:val="0"/>
        </w:rPr>
        <w:pict w14:anchorId="10F61EF3">
          <v:line id="_x0000_s2157" style="position:absolute;z-index:10840;mso-wrap-distance-left:0;mso-wrap-distance-right:0;mso-position-horizontal-relative:page" from="57.4pt,18.7pt" to="129.4pt,18.7pt" strokecolor="#231f20" strokeweight=".5pt">
            <w10:wrap type="topAndBottom" anchorx="page"/>
          </v:line>
        </w:pict>
      </w:r>
    </w:p>
    <w:p w14:paraId="696865C6" w14:textId="77777777" w:rsidR="002653E8" w:rsidRDefault="003115E3">
      <w:pPr>
        <w:pStyle w:val="a4"/>
        <w:numPr>
          <w:ilvl w:val="0"/>
          <w:numId w:val="46"/>
        </w:numPr>
        <w:tabs>
          <w:tab w:val="left" w:pos="1287"/>
        </w:tabs>
        <w:spacing w:before="53" w:line="254" w:lineRule="auto"/>
        <w:ind w:right="1556" w:firstLine="0"/>
        <w:jc w:val="left"/>
        <w:rPr>
          <w:sz w:val="16"/>
        </w:rPr>
      </w:pPr>
      <w:r>
        <w:rPr>
          <w:color w:val="231F20"/>
          <w:w w:val="110"/>
          <w:sz w:val="16"/>
        </w:rPr>
        <w:t xml:space="preserve">George Jackson Brigade, </w:t>
      </w:r>
      <w:r>
        <w:rPr>
          <w:color w:val="231F20"/>
          <w:spacing w:val="-3"/>
          <w:w w:val="110"/>
          <w:sz w:val="16"/>
        </w:rPr>
        <w:t xml:space="preserve">“you </w:t>
      </w:r>
      <w:r>
        <w:rPr>
          <w:color w:val="231F20"/>
          <w:w w:val="110"/>
          <w:sz w:val="16"/>
        </w:rPr>
        <w:t xml:space="preserve">Can </w:t>
      </w:r>
      <w:r>
        <w:rPr>
          <w:color w:val="231F20"/>
          <w:spacing w:val="1"/>
          <w:w w:val="110"/>
          <w:sz w:val="16"/>
        </w:rPr>
        <w:t xml:space="preserve">Kill </w:t>
      </w:r>
      <w:r>
        <w:rPr>
          <w:color w:val="231F20"/>
          <w:w w:val="110"/>
          <w:sz w:val="16"/>
        </w:rPr>
        <w:t xml:space="preserve">a Revolutionary But </w:t>
      </w:r>
      <w:r>
        <w:rPr>
          <w:color w:val="231F20"/>
          <w:spacing w:val="-4"/>
          <w:w w:val="110"/>
          <w:sz w:val="16"/>
        </w:rPr>
        <w:t xml:space="preserve">you </w:t>
      </w:r>
      <w:r>
        <w:rPr>
          <w:color w:val="231F20"/>
          <w:w w:val="110"/>
          <w:sz w:val="16"/>
        </w:rPr>
        <w:t xml:space="preserve">Can’t </w:t>
      </w:r>
      <w:r>
        <w:rPr>
          <w:color w:val="231F20"/>
          <w:spacing w:val="1"/>
          <w:w w:val="110"/>
          <w:sz w:val="16"/>
        </w:rPr>
        <w:t xml:space="preserve">Kill </w:t>
      </w:r>
      <w:r>
        <w:rPr>
          <w:color w:val="231F20"/>
          <w:w w:val="110"/>
          <w:sz w:val="16"/>
        </w:rPr>
        <w:t xml:space="preserve">the </w:t>
      </w:r>
      <w:r>
        <w:rPr>
          <w:color w:val="231F20"/>
          <w:spacing w:val="1"/>
          <w:w w:val="120"/>
          <w:sz w:val="16"/>
        </w:rPr>
        <w:t>R</w:t>
      </w:r>
      <w:r>
        <w:rPr>
          <w:color w:val="231F20"/>
          <w:w w:val="94"/>
          <w:sz w:val="16"/>
        </w:rPr>
        <w:t>e</w:t>
      </w:r>
      <w:r>
        <w:rPr>
          <w:color w:val="231F20"/>
          <w:spacing w:val="-2"/>
          <w:w w:val="102"/>
          <w:sz w:val="16"/>
        </w:rPr>
        <w:t>v</w:t>
      </w:r>
      <w:r>
        <w:rPr>
          <w:color w:val="231F20"/>
          <w:w w:val="108"/>
          <w:sz w:val="16"/>
        </w:rPr>
        <w:t>o</w:t>
      </w:r>
      <w:r>
        <w:rPr>
          <w:color w:val="231F20"/>
          <w:spacing w:val="-2"/>
          <w:w w:val="106"/>
          <w:sz w:val="16"/>
        </w:rPr>
        <w:t>l</w:t>
      </w:r>
      <w:r>
        <w:rPr>
          <w:color w:val="231F20"/>
          <w:w w:val="104"/>
          <w:sz w:val="16"/>
        </w:rPr>
        <w:t>u</w:t>
      </w:r>
      <w:r>
        <w:rPr>
          <w:color w:val="231F20"/>
          <w:spacing w:val="2"/>
          <w:w w:val="102"/>
          <w:sz w:val="16"/>
        </w:rPr>
        <w:t>t</w:t>
      </w:r>
      <w:r>
        <w:rPr>
          <w:color w:val="231F20"/>
          <w:w w:val="107"/>
          <w:sz w:val="16"/>
        </w:rPr>
        <w:t>io</w:t>
      </w:r>
      <w:r>
        <w:rPr>
          <w:color w:val="231F20"/>
          <w:spacing w:val="3"/>
          <w:w w:val="103"/>
          <w:sz w:val="16"/>
        </w:rPr>
        <w:t>n</w:t>
      </w:r>
      <w:r>
        <w:rPr>
          <w:color w:val="231F20"/>
          <w:spacing w:val="-9"/>
          <w:w w:val="140"/>
          <w:sz w:val="16"/>
        </w:rPr>
        <w:t>,</w:t>
      </w:r>
      <w:r>
        <w:rPr>
          <w:color w:val="231F20"/>
          <w:w w:val="153"/>
          <w:sz w:val="16"/>
        </w:rPr>
        <w:t>”</w:t>
      </w:r>
      <w:r>
        <w:rPr>
          <w:color w:val="231F20"/>
          <w:spacing w:val="10"/>
          <w:sz w:val="16"/>
        </w:rPr>
        <w:t xml:space="preserve"> </w:t>
      </w:r>
      <w:r>
        <w:rPr>
          <w:color w:val="231F20"/>
          <w:w w:val="126"/>
          <w:sz w:val="16"/>
        </w:rPr>
        <w:t>N</w:t>
      </w:r>
      <w:r>
        <w:rPr>
          <w:color w:val="231F20"/>
          <w:spacing w:val="-2"/>
          <w:w w:val="108"/>
          <w:sz w:val="16"/>
        </w:rPr>
        <w:t>o</w:t>
      </w:r>
      <w:r>
        <w:rPr>
          <w:color w:val="231F20"/>
          <w:spacing w:val="-1"/>
          <w:w w:val="102"/>
          <w:sz w:val="16"/>
        </w:rPr>
        <w:t>v</w:t>
      </w:r>
      <w:r>
        <w:rPr>
          <w:color w:val="231F20"/>
          <w:w w:val="94"/>
          <w:sz w:val="16"/>
        </w:rPr>
        <w:t>e</w:t>
      </w:r>
      <w:r>
        <w:rPr>
          <w:color w:val="231F20"/>
          <w:w w:val="103"/>
          <w:sz w:val="16"/>
        </w:rPr>
        <w:t>m</w:t>
      </w:r>
      <w:r>
        <w:rPr>
          <w:color w:val="231F20"/>
          <w:spacing w:val="2"/>
          <w:w w:val="105"/>
          <w:sz w:val="16"/>
        </w:rPr>
        <w:t>b</w:t>
      </w:r>
      <w:r>
        <w:rPr>
          <w:color w:val="231F20"/>
          <w:w w:val="94"/>
          <w:sz w:val="16"/>
        </w:rPr>
        <w:t>e</w:t>
      </w:r>
      <w:r>
        <w:rPr>
          <w:color w:val="231F20"/>
          <w:w w:val="97"/>
          <w:sz w:val="16"/>
        </w:rPr>
        <w:t>r</w:t>
      </w:r>
      <w:r>
        <w:rPr>
          <w:color w:val="231F20"/>
          <w:spacing w:val="10"/>
          <w:sz w:val="16"/>
        </w:rPr>
        <w:t xml:space="preserve"> </w:t>
      </w:r>
      <w:r>
        <w:rPr>
          <w:color w:val="231F20"/>
          <w:spacing w:val="-1"/>
          <w:w w:val="104"/>
          <w:sz w:val="16"/>
        </w:rPr>
        <w:t>1</w:t>
      </w:r>
      <w:r>
        <w:rPr>
          <w:color w:val="231F20"/>
          <w:w w:val="140"/>
          <w:sz w:val="16"/>
        </w:rPr>
        <w:t>,</w:t>
      </w:r>
      <w:r>
        <w:rPr>
          <w:color w:val="231F20"/>
          <w:spacing w:val="10"/>
          <w:sz w:val="16"/>
        </w:rPr>
        <w:t xml:space="preserve"> </w:t>
      </w:r>
      <w:r>
        <w:rPr>
          <w:color w:val="231F20"/>
          <w:spacing w:val="-6"/>
          <w:w w:val="104"/>
          <w:sz w:val="16"/>
        </w:rPr>
        <w:t>1</w:t>
      </w:r>
      <w:r>
        <w:rPr>
          <w:color w:val="231F20"/>
          <w:w w:val="104"/>
          <w:sz w:val="16"/>
        </w:rPr>
        <w:t>97</w:t>
      </w:r>
      <w:r>
        <w:rPr>
          <w:color w:val="231F20"/>
          <w:spacing w:val="-13"/>
          <w:w w:val="104"/>
          <w:sz w:val="16"/>
        </w:rPr>
        <w:t>7</w:t>
      </w:r>
      <w:r>
        <w:rPr>
          <w:color w:val="231F20"/>
          <w:w w:val="140"/>
          <w:sz w:val="16"/>
        </w:rPr>
        <w:t>.</w:t>
      </w:r>
      <w:r>
        <w:rPr>
          <w:color w:val="231F20"/>
          <w:spacing w:val="10"/>
          <w:sz w:val="16"/>
        </w:rPr>
        <w:t xml:space="preserve"> </w:t>
      </w:r>
      <w:hyperlink r:id="rId443">
        <w:r>
          <w:rPr>
            <w:color w:val="231F20"/>
            <w:w w:val="103"/>
            <w:sz w:val="16"/>
          </w:rPr>
          <w:t>h</w:t>
        </w:r>
        <w:r>
          <w:rPr>
            <w:color w:val="231F20"/>
            <w:spacing w:val="5"/>
            <w:w w:val="103"/>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spacing w:val="1"/>
            <w:w w:val="140"/>
            <w:sz w:val="16"/>
          </w:rPr>
          <w:t>.</w:t>
        </w:r>
        <w:r>
          <w:rPr>
            <w:color w:val="231F20"/>
            <w:spacing w:val="3"/>
            <w:w w:val="104"/>
            <w:sz w:val="16"/>
          </w:rPr>
          <w:t>g</w:t>
        </w:r>
        <w:r>
          <w:rPr>
            <w:color w:val="231F20"/>
            <w:spacing w:val="-2"/>
            <w:w w:val="108"/>
            <w:sz w:val="16"/>
          </w:rPr>
          <w:t>j</w:t>
        </w:r>
        <w:r>
          <w:rPr>
            <w:color w:val="231F20"/>
            <w:w w:val="105"/>
            <w:sz w:val="16"/>
          </w:rPr>
          <w:t>b</w:t>
        </w:r>
        <w:r>
          <w:rPr>
            <w:color w:val="231F20"/>
            <w:spacing w:val="-2"/>
            <w:w w:val="103"/>
            <w:sz w:val="16"/>
          </w:rPr>
          <w:t>i</w:t>
        </w:r>
        <w:r>
          <w:rPr>
            <w:color w:val="231F20"/>
            <w:spacing w:val="-1"/>
            <w:w w:val="103"/>
            <w:sz w:val="16"/>
          </w:rPr>
          <w:t>p</w:t>
        </w:r>
        <w:r>
          <w:rPr>
            <w:color w:val="231F20"/>
            <w:w w:val="140"/>
            <w:sz w:val="16"/>
          </w:rPr>
          <w:t>.</w:t>
        </w:r>
        <w:r>
          <w:rPr>
            <w:color w:val="231F20"/>
            <w:w w:val="108"/>
            <w:sz w:val="16"/>
          </w:rPr>
          <w:t>o</w:t>
        </w:r>
        <w:r>
          <w:rPr>
            <w:color w:val="231F20"/>
            <w:spacing w:val="1"/>
            <w:w w:val="97"/>
            <w:sz w:val="16"/>
          </w:rPr>
          <w:t>r</w:t>
        </w:r>
        <w:r>
          <w:rPr>
            <w:color w:val="231F20"/>
            <w:spacing w:val="8"/>
            <w:w w:val="104"/>
            <w:sz w:val="16"/>
          </w:rPr>
          <w:t>g</w:t>
        </w:r>
        <w:r>
          <w:rPr>
            <w:color w:val="231F20"/>
            <w:spacing w:val="-2"/>
            <w:w w:val="58"/>
            <w:sz w:val="16"/>
          </w:rPr>
          <w:t>/</w:t>
        </w:r>
        <w:r>
          <w:rPr>
            <w:color w:val="231F20"/>
            <w:w w:val="104"/>
            <w:sz w:val="16"/>
          </w:rPr>
          <w:t>c</w:t>
        </w:r>
        <w:r>
          <w:rPr>
            <w:color w:val="231F20"/>
            <w:w w:val="108"/>
            <w:sz w:val="16"/>
          </w:rPr>
          <w:t>o</w:t>
        </w:r>
        <w:r>
          <w:rPr>
            <w:color w:val="231F20"/>
            <w:spacing w:val="5"/>
            <w:w w:val="103"/>
            <w:sz w:val="16"/>
          </w:rPr>
          <w:t>m</w:t>
        </w:r>
        <w:r>
          <w:rPr>
            <w:color w:val="231F20"/>
            <w:spacing w:val="6"/>
            <w:w w:val="103"/>
            <w:sz w:val="16"/>
          </w:rPr>
          <w:t>m</w:t>
        </w:r>
        <w:r>
          <w:rPr>
            <w:color w:val="231F20"/>
            <w:spacing w:val="5"/>
            <w:w w:val="139"/>
            <w:sz w:val="16"/>
          </w:rPr>
          <w:t>_</w:t>
        </w:r>
        <w:r>
          <w:rPr>
            <w:color w:val="231F20"/>
            <w:spacing w:val="1"/>
            <w:w w:val="102"/>
            <w:sz w:val="16"/>
          </w:rPr>
          <w:t>t</w:t>
        </w:r>
        <w:r>
          <w:rPr>
            <w:color w:val="231F20"/>
            <w:spacing w:val="2"/>
            <w:w w:val="94"/>
            <w:sz w:val="16"/>
          </w:rPr>
          <w:t>ee</w:t>
        </w:r>
        <w:r>
          <w:rPr>
            <w:color w:val="231F20"/>
            <w:spacing w:val="3"/>
            <w:w w:val="102"/>
            <w:sz w:val="16"/>
          </w:rPr>
          <w:t>t</w:t>
        </w:r>
        <w:r>
          <w:rPr>
            <w:color w:val="231F20"/>
            <w:spacing w:val="1"/>
            <w:w w:val="104"/>
            <w:sz w:val="16"/>
          </w:rPr>
          <w:t>h</w:t>
        </w:r>
        <w:r>
          <w:rPr>
            <w:color w:val="231F20"/>
            <w:spacing w:val="1"/>
            <w:w w:val="140"/>
            <w:sz w:val="16"/>
          </w:rPr>
          <w:t>.</w:t>
        </w:r>
        <w:r>
          <w:rPr>
            <w:color w:val="231F20"/>
            <w:w w:val="103"/>
            <w:sz w:val="16"/>
          </w:rPr>
          <w:t>h</w:t>
        </w:r>
        <w:r>
          <w:rPr>
            <w:color w:val="231F20"/>
            <w:spacing w:val="3"/>
            <w:w w:val="103"/>
            <w:sz w:val="16"/>
          </w:rPr>
          <w:t>t</w:t>
        </w:r>
        <w:r>
          <w:rPr>
            <w:color w:val="231F20"/>
            <w:spacing w:val="1"/>
            <w:w w:val="103"/>
            <w:sz w:val="16"/>
          </w:rPr>
          <w:t>m</w:t>
        </w:r>
        <w:r>
          <w:rPr>
            <w:color w:val="231F20"/>
            <w:w w:val="140"/>
            <w:sz w:val="16"/>
          </w:rPr>
          <w:t>.</w:t>
        </w:r>
      </w:hyperlink>
    </w:p>
    <w:p w14:paraId="6515447B" w14:textId="77777777" w:rsidR="002653E8" w:rsidRDefault="003115E3">
      <w:pPr>
        <w:pStyle w:val="a4"/>
        <w:numPr>
          <w:ilvl w:val="0"/>
          <w:numId w:val="46"/>
        </w:numPr>
        <w:tabs>
          <w:tab w:val="left" w:pos="1287"/>
        </w:tabs>
        <w:spacing w:line="254" w:lineRule="auto"/>
        <w:ind w:right="1667" w:firstLine="0"/>
        <w:jc w:val="left"/>
        <w:rPr>
          <w:sz w:val="16"/>
        </w:rPr>
      </w:pPr>
      <w:r>
        <w:rPr>
          <w:color w:val="231F20"/>
          <w:w w:val="105"/>
          <w:sz w:val="16"/>
        </w:rPr>
        <w:t xml:space="preserve">Associated Press, “Lufthansa Airlines Flying Anti-Missile Patterns,” </w:t>
      </w:r>
      <w:r>
        <w:rPr>
          <w:i/>
          <w:color w:val="231F20"/>
          <w:spacing w:val="1"/>
          <w:w w:val="105"/>
          <w:sz w:val="16"/>
        </w:rPr>
        <w:t xml:space="preserve">Florence </w:t>
      </w:r>
      <w:r>
        <w:rPr>
          <w:i/>
          <w:color w:val="231F20"/>
          <w:w w:val="105"/>
          <w:sz w:val="16"/>
        </w:rPr>
        <w:t xml:space="preserve">Morning News, </w:t>
      </w:r>
      <w:r>
        <w:rPr>
          <w:color w:val="231F20"/>
          <w:w w:val="105"/>
          <w:sz w:val="16"/>
        </w:rPr>
        <w:t xml:space="preserve">November </w:t>
      </w:r>
      <w:r>
        <w:rPr>
          <w:color w:val="231F20"/>
          <w:spacing w:val="-6"/>
          <w:w w:val="105"/>
          <w:sz w:val="16"/>
        </w:rPr>
        <w:t>15,</w:t>
      </w:r>
      <w:r>
        <w:rPr>
          <w:color w:val="231F20"/>
          <w:spacing w:val="7"/>
          <w:w w:val="105"/>
          <w:sz w:val="16"/>
        </w:rPr>
        <w:t xml:space="preserve"> </w:t>
      </w:r>
      <w:r>
        <w:rPr>
          <w:color w:val="231F20"/>
          <w:spacing w:val="-4"/>
          <w:w w:val="105"/>
          <w:sz w:val="16"/>
        </w:rPr>
        <w:t>1977.</w:t>
      </w:r>
    </w:p>
    <w:p w14:paraId="7BF0FD91" w14:textId="77777777" w:rsidR="002653E8" w:rsidRDefault="003115E3">
      <w:pPr>
        <w:pStyle w:val="a4"/>
        <w:numPr>
          <w:ilvl w:val="0"/>
          <w:numId w:val="46"/>
        </w:numPr>
        <w:tabs>
          <w:tab w:val="left" w:pos="1287"/>
        </w:tabs>
        <w:spacing w:before="40" w:line="254" w:lineRule="auto"/>
        <w:ind w:left="1148" w:right="2184" w:firstLine="0"/>
        <w:jc w:val="left"/>
        <w:rPr>
          <w:sz w:val="16"/>
        </w:rPr>
      </w:pPr>
      <w:r>
        <w:rPr>
          <w:color w:val="231F20"/>
          <w:w w:val="110"/>
          <w:sz w:val="16"/>
        </w:rPr>
        <w:t xml:space="preserve">Vittorfranco </w:t>
      </w:r>
      <w:r>
        <w:rPr>
          <w:color w:val="231F20"/>
          <w:spacing w:val="1"/>
          <w:w w:val="110"/>
          <w:sz w:val="16"/>
        </w:rPr>
        <w:t xml:space="preserve">S. </w:t>
      </w:r>
      <w:r>
        <w:rPr>
          <w:color w:val="231F20"/>
          <w:w w:val="110"/>
          <w:sz w:val="16"/>
        </w:rPr>
        <w:t xml:space="preserve">Pisano, “Terrorism in Italy, March </w:t>
      </w:r>
      <w:r>
        <w:rPr>
          <w:color w:val="231F20"/>
          <w:spacing w:val="-6"/>
          <w:w w:val="110"/>
          <w:sz w:val="16"/>
        </w:rPr>
        <w:t xml:space="preserve">27, </w:t>
      </w:r>
      <w:r>
        <w:rPr>
          <w:color w:val="231F20"/>
          <w:spacing w:val="-3"/>
          <w:w w:val="110"/>
          <w:sz w:val="16"/>
        </w:rPr>
        <w:t xml:space="preserve">1978,” </w:t>
      </w:r>
      <w:r>
        <w:rPr>
          <w:color w:val="231F20"/>
          <w:w w:val="110"/>
          <w:sz w:val="16"/>
        </w:rPr>
        <w:t xml:space="preserve">Heritage </w:t>
      </w:r>
      <w:r>
        <w:rPr>
          <w:color w:val="231F20"/>
          <w:w w:val="107"/>
          <w:sz w:val="16"/>
        </w:rPr>
        <w:t>F</w:t>
      </w:r>
      <w:r>
        <w:rPr>
          <w:color w:val="231F20"/>
          <w:w w:val="108"/>
          <w:sz w:val="16"/>
        </w:rPr>
        <w:t>o</w:t>
      </w:r>
      <w:r>
        <w:rPr>
          <w:color w:val="231F20"/>
          <w:spacing w:val="3"/>
          <w:w w:val="104"/>
          <w:sz w:val="16"/>
        </w:rPr>
        <w:t>u</w:t>
      </w:r>
      <w:r>
        <w:rPr>
          <w:color w:val="231F20"/>
          <w:w w:val="103"/>
          <w:sz w:val="16"/>
        </w:rPr>
        <w:t>n</w:t>
      </w:r>
      <w:r>
        <w:rPr>
          <w:color w:val="231F20"/>
          <w:spacing w:val="2"/>
          <w:w w:val="103"/>
          <w:sz w:val="16"/>
        </w:rPr>
        <w:t>d</w:t>
      </w:r>
      <w:r>
        <w:rPr>
          <w:color w:val="231F20"/>
          <w:spacing w:val="-1"/>
          <w:w w:val="106"/>
          <w:sz w:val="16"/>
        </w:rPr>
        <w:t>a</w:t>
      </w:r>
      <w:r>
        <w:rPr>
          <w:color w:val="231F20"/>
          <w:spacing w:val="2"/>
          <w:w w:val="102"/>
          <w:sz w:val="16"/>
        </w:rPr>
        <w:t>t</w:t>
      </w:r>
      <w:r>
        <w:rPr>
          <w:color w:val="231F20"/>
          <w:w w:val="107"/>
          <w:sz w:val="16"/>
        </w:rPr>
        <w:t>io</w:t>
      </w:r>
      <w:r>
        <w:rPr>
          <w:color w:val="231F20"/>
          <w:spacing w:val="3"/>
          <w:w w:val="103"/>
          <w:sz w:val="16"/>
        </w:rPr>
        <w:t>n</w:t>
      </w:r>
      <w:r>
        <w:rPr>
          <w:color w:val="231F20"/>
          <w:w w:val="140"/>
          <w:sz w:val="16"/>
        </w:rPr>
        <w:t>,</w:t>
      </w:r>
      <w:r>
        <w:rPr>
          <w:color w:val="231F20"/>
          <w:spacing w:val="10"/>
          <w:sz w:val="16"/>
        </w:rPr>
        <w:t xml:space="preserve"> </w:t>
      </w:r>
      <w:hyperlink r:id="rId444">
        <w:r>
          <w:rPr>
            <w:color w:val="231F20"/>
            <w:w w:val="103"/>
            <w:sz w:val="16"/>
          </w:rPr>
          <w:t>h</w:t>
        </w:r>
        <w:r>
          <w:rPr>
            <w:color w:val="231F20"/>
            <w:spacing w:val="5"/>
            <w:w w:val="103"/>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spacing w:val="1"/>
            <w:w w:val="140"/>
            <w:sz w:val="16"/>
          </w:rPr>
          <w:t>.</w:t>
        </w:r>
        <w:r>
          <w:rPr>
            <w:color w:val="231F20"/>
            <w:w w:val="104"/>
            <w:sz w:val="16"/>
          </w:rPr>
          <w:t>h</w:t>
        </w:r>
        <w:r>
          <w:rPr>
            <w:color w:val="231F20"/>
            <w:w w:val="94"/>
            <w:sz w:val="16"/>
          </w:rPr>
          <w:t>e</w:t>
        </w:r>
        <w:r>
          <w:rPr>
            <w:color w:val="231F20"/>
            <w:spacing w:val="2"/>
            <w:w w:val="97"/>
            <w:sz w:val="16"/>
          </w:rPr>
          <w:t>r</w:t>
        </w:r>
        <w:r>
          <w:rPr>
            <w:color w:val="231F20"/>
            <w:spacing w:val="-1"/>
            <w:w w:val="103"/>
            <w:sz w:val="16"/>
          </w:rPr>
          <w:t>i</w:t>
        </w:r>
        <w:r>
          <w:rPr>
            <w:color w:val="231F20"/>
            <w:spacing w:val="3"/>
            <w:w w:val="102"/>
            <w:sz w:val="16"/>
          </w:rPr>
          <w:t>t</w:t>
        </w:r>
        <w:r>
          <w:rPr>
            <w:color w:val="231F20"/>
            <w:w w:val="106"/>
            <w:sz w:val="16"/>
          </w:rPr>
          <w:t>a</w:t>
        </w:r>
        <w:r>
          <w:rPr>
            <w:color w:val="231F20"/>
            <w:w w:val="104"/>
            <w:sz w:val="16"/>
          </w:rPr>
          <w:t>g</w:t>
        </w:r>
        <w:r>
          <w:rPr>
            <w:color w:val="231F20"/>
            <w:spacing w:val="1"/>
            <w:w w:val="94"/>
            <w:sz w:val="16"/>
          </w:rPr>
          <w:t>e</w:t>
        </w:r>
        <w:r>
          <w:rPr>
            <w:color w:val="231F20"/>
            <w:w w:val="140"/>
            <w:sz w:val="16"/>
          </w:rPr>
          <w:t>.</w:t>
        </w:r>
        <w:r>
          <w:rPr>
            <w:color w:val="231F20"/>
            <w:w w:val="108"/>
            <w:sz w:val="16"/>
          </w:rPr>
          <w:t>o</w:t>
        </w:r>
        <w:r>
          <w:rPr>
            <w:color w:val="231F20"/>
            <w:spacing w:val="1"/>
            <w:w w:val="97"/>
            <w:sz w:val="16"/>
          </w:rPr>
          <w:t>r</w:t>
        </w:r>
        <w:r>
          <w:rPr>
            <w:color w:val="231F20"/>
            <w:spacing w:val="8"/>
            <w:w w:val="104"/>
            <w:sz w:val="16"/>
          </w:rPr>
          <w:t>g</w:t>
        </w:r>
        <w:r>
          <w:rPr>
            <w:color w:val="231F20"/>
            <w:spacing w:val="8"/>
            <w:w w:val="58"/>
            <w:sz w:val="16"/>
          </w:rPr>
          <w:t>/</w:t>
        </w:r>
        <w:r>
          <w:rPr>
            <w:color w:val="231F20"/>
            <w:spacing w:val="1"/>
            <w:w w:val="120"/>
            <w:sz w:val="16"/>
          </w:rPr>
          <w:t>R</w:t>
        </w:r>
        <w:r>
          <w:rPr>
            <w:color w:val="231F20"/>
            <w:spacing w:val="2"/>
            <w:w w:val="94"/>
            <w:sz w:val="16"/>
          </w:rPr>
          <w:t>e</w:t>
        </w:r>
        <w:r>
          <w:rPr>
            <w:color w:val="231F20"/>
            <w:spacing w:val="1"/>
            <w:w w:val="93"/>
            <w:sz w:val="16"/>
          </w:rPr>
          <w:t>s</w:t>
        </w:r>
        <w:r>
          <w:rPr>
            <w:color w:val="231F20"/>
            <w:spacing w:val="2"/>
            <w:w w:val="94"/>
            <w:sz w:val="16"/>
          </w:rPr>
          <w:t>e</w:t>
        </w:r>
        <w:r>
          <w:rPr>
            <w:color w:val="231F20"/>
            <w:spacing w:val="3"/>
            <w:w w:val="106"/>
            <w:sz w:val="16"/>
          </w:rPr>
          <w:t>a</w:t>
        </w:r>
        <w:r>
          <w:rPr>
            <w:color w:val="231F20"/>
            <w:w w:val="97"/>
            <w:sz w:val="16"/>
          </w:rPr>
          <w:t>r</w:t>
        </w:r>
        <w:r>
          <w:rPr>
            <w:color w:val="231F20"/>
            <w:w w:val="104"/>
            <w:sz w:val="16"/>
          </w:rPr>
          <w:t>c</w:t>
        </w:r>
        <w:r>
          <w:rPr>
            <w:color w:val="231F20"/>
            <w:spacing w:val="8"/>
            <w:w w:val="104"/>
            <w:sz w:val="16"/>
          </w:rPr>
          <w:t>h</w:t>
        </w:r>
        <w:r>
          <w:rPr>
            <w:color w:val="231F20"/>
            <w:spacing w:val="8"/>
            <w:w w:val="58"/>
            <w:sz w:val="16"/>
          </w:rPr>
          <w:t>/</w:t>
        </w:r>
        <w:r>
          <w:rPr>
            <w:color w:val="231F20"/>
            <w:spacing w:val="1"/>
            <w:w w:val="110"/>
            <w:sz w:val="16"/>
          </w:rPr>
          <w:t>E</w:t>
        </w:r>
        <w:r>
          <w:rPr>
            <w:color w:val="231F20"/>
            <w:spacing w:val="5"/>
            <w:w w:val="104"/>
            <w:sz w:val="16"/>
          </w:rPr>
          <w:t>u</w:t>
        </w:r>
        <w:r>
          <w:rPr>
            <w:color w:val="231F20"/>
            <w:w w:val="97"/>
            <w:sz w:val="16"/>
          </w:rPr>
          <w:t>r</w:t>
        </w:r>
        <w:r>
          <w:rPr>
            <w:color w:val="231F20"/>
            <w:w w:val="108"/>
            <w:sz w:val="16"/>
          </w:rPr>
          <w:t>o</w:t>
        </w:r>
        <w:r>
          <w:rPr>
            <w:color w:val="231F20"/>
            <w:spacing w:val="2"/>
            <w:w w:val="103"/>
            <w:sz w:val="16"/>
          </w:rPr>
          <w:t>p</w:t>
        </w:r>
        <w:r>
          <w:rPr>
            <w:color w:val="231F20"/>
            <w:spacing w:val="5"/>
            <w:w w:val="94"/>
            <w:sz w:val="16"/>
          </w:rPr>
          <w:t>e</w:t>
        </w:r>
        <w:r>
          <w:rPr>
            <w:color w:val="231F20"/>
            <w:spacing w:val="6"/>
            <w:w w:val="58"/>
            <w:sz w:val="16"/>
          </w:rPr>
          <w:t>/</w:t>
        </w:r>
        <w:r>
          <w:rPr>
            <w:color w:val="231F20"/>
            <w:spacing w:val="1"/>
            <w:w w:val="105"/>
            <w:sz w:val="16"/>
          </w:rPr>
          <w:t>b</w:t>
        </w:r>
        <w:r>
          <w:rPr>
            <w:color w:val="231F20"/>
            <w:spacing w:val="-4"/>
            <w:w w:val="104"/>
            <w:sz w:val="16"/>
          </w:rPr>
          <w:t>g</w:t>
        </w:r>
        <w:r>
          <w:rPr>
            <w:color w:val="231F20"/>
            <w:spacing w:val="-7"/>
            <w:w w:val="104"/>
            <w:sz w:val="16"/>
          </w:rPr>
          <w:t>5</w:t>
        </w:r>
        <w:r>
          <w:rPr>
            <w:color w:val="231F20"/>
            <w:spacing w:val="-1"/>
            <w:w w:val="104"/>
            <w:sz w:val="16"/>
          </w:rPr>
          <w:t>6</w:t>
        </w:r>
        <w:r>
          <w:rPr>
            <w:color w:val="231F20"/>
            <w:w w:val="140"/>
            <w:sz w:val="16"/>
          </w:rPr>
          <w:t>.</w:t>
        </w:r>
        <w:r>
          <w:rPr>
            <w:color w:val="231F20"/>
            <w:spacing w:val="1"/>
            <w:w w:val="108"/>
            <w:sz w:val="16"/>
          </w:rPr>
          <w:t>c</w:t>
        </w:r>
        <w:r>
          <w:rPr>
            <w:color w:val="231F20"/>
            <w:spacing w:val="3"/>
            <w:w w:val="108"/>
            <w:sz w:val="16"/>
          </w:rPr>
          <w:t>f</w:t>
        </w:r>
        <w:r>
          <w:rPr>
            <w:color w:val="231F20"/>
            <w:spacing w:val="1"/>
            <w:w w:val="111"/>
            <w:sz w:val="16"/>
          </w:rPr>
          <w:t>m.</w:t>
        </w:r>
      </w:hyperlink>
    </w:p>
    <w:p w14:paraId="673CB08A" w14:textId="77777777" w:rsidR="002653E8" w:rsidRDefault="003115E3">
      <w:pPr>
        <w:pStyle w:val="a4"/>
        <w:numPr>
          <w:ilvl w:val="0"/>
          <w:numId w:val="46"/>
        </w:numPr>
        <w:tabs>
          <w:tab w:val="left" w:pos="1287"/>
        </w:tabs>
        <w:spacing w:line="254" w:lineRule="auto"/>
        <w:ind w:left="1148" w:right="1499" w:firstLine="0"/>
        <w:jc w:val="left"/>
        <w:rPr>
          <w:sz w:val="16"/>
        </w:rPr>
      </w:pPr>
      <w:r>
        <w:rPr>
          <w:i/>
          <w:color w:val="231F20"/>
          <w:w w:val="110"/>
          <w:sz w:val="16"/>
        </w:rPr>
        <w:t xml:space="preserve">Kingsport-Times, </w:t>
      </w:r>
      <w:r>
        <w:rPr>
          <w:color w:val="231F20"/>
          <w:w w:val="110"/>
          <w:sz w:val="16"/>
        </w:rPr>
        <w:t>“West Germans Take Seriously Terrorist Threat on Schmidt,” October 22,</w:t>
      </w:r>
      <w:r>
        <w:rPr>
          <w:color w:val="231F20"/>
          <w:spacing w:val="11"/>
          <w:w w:val="110"/>
          <w:sz w:val="16"/>
        </w:rPr>
        <w:t xml:space="preserve"> </w:t>
      </w:r>
      <w:r>
        <w:rPr>
          <w:color w:val="231F20"/>
          <w:spacing w:val="-4"/>
          <w:w w:val="110"/>
          <w:sz w:val="16"/>
        </w:rPr>
        <w:t>1977.</w:t>
      </w:r>
    </w:p>
    <w:p w14:paraId="1E4D8A8E" w14:textId="77777777" w:rsidR="002653E8" w:rsidRDefault="003115E3">
      <w:pPr>
        <w:pStyle w:val="a4"/>
        <w:numPr>
          <w:ilvl w:val="0"/>
          <w:numId w:val="46"/>
        </w:numPr>
        <w:tabs>
          <w:tab w:val="left" w:pos="1287"/>
        </w:tabs>
        <w:ind w:left="1286" w:hanging="138"/>
        <w:jc w:val="left"/>
        <w:rPr>
          <w:sz w:val="16"/>
        </w:rPr>
      </w:pPr>
      <w:r>
        <w:rPr>
          <w:color w:val="231F20"/>
          <w:w w:val="105"/>
          <w:sz w:val="16"/>
        </w:rPr>
        <w:t>United</w:t>
      </w:r>
      <w:r>
        <w:rPr>
          <w:color w:val="231F20"/>
          <w:spacing w:val="10"/>
          <w:w w:val="105"/>
          <w:sz w:val="16"/>
        </w:rPr>
        <w:t xml:space="preserve"> </w:t>
      </w:r>
      <w:r>
        <w:rPr>
          <w:color w:val="231F20"/>
          <w:w w:val="105"/>
          <w:sz w:val="16"/>
        </w:rPr>
        <w:t>Press</w:t>
      </w:r>
      <w:r>
        <w:rPr>
          <w:color w:val="231F20"/>
          <w:spacing w:val="10"/>
          <w:w w:val="105"/>
          <w:sz w:val="16"/>
        </w:rPr>
        <w:t xml:space="preserve"> </w:t>
      </w:r>
      <w:r>
        <w:rPr>
          <w:color w:val="231F20"/>
          <w:w w:val="105"/>
          <w:sz w:val="16"/>
        </w:rPr>
        <w:t>International,</w:t>
      </w:r>
      <w:r>
        <w:rPr>
          <w:color w:val="231F20"/>
          <w:spacing w:val="10"/>
          <w:w w:val="105"/>
          <w:sz w:val="16"/>
        </w:rPr>
        <w:t xml:space="preserve"> </w:t>
      </w:r>
      <w:r>
        <w:rPr>
          <w:color w:val="231F20"/>
          <w:w w:val="105"/>
          <w:sz w:val="16"/>
        </w:rPr>
        <w:t>“Terrorist</w:t>
      </w:r>
      <w:r>
        <w:rPr>
          <w:color w:val="231F20"/>
          <w:spacing w:val="10"/>
          <w:w w:val="105"/>
          <w:sz w:val="16"/>
        </w:rPr>
        <w:t xml:space="preserve"> </w:t>
      </w:r>
      <w:r>
        <w:rPr>
          <w:color w:val="231F20"/>
          <w:w w:val="105"/>
          <w:sz w:val="16"/>
        </w:rPr>
        <w:t>Bomb</w:t>
      </w:r>
      <w:r>
        <w:rPr>
          <w:color w:val="231F20"/>
          <w:spacing w:val="10"/>
          <w:w w:val="105"/>
          <w:sz w:val="16"/>
        </w:rPr>
        <w:t xml:space="preserve"> </w:t>
      </w:r>
      <w:r>
        <w:rPr>
          <w:color w:val="231F20"/>
          <w:w w:val="105"/>
          <w:sz w:val="16"/>
        </w:rPr>
        <w:t>Blasts</w:t>
      </w:r>
      <w:r>
        <w:rPr>
          <w:color w:val="231F20"/>
          <w:spacing w:val="10"/>
          <w:w w:val="105"/>
          <w:sz w:val="16"/>
        </w:rPr>
        <w:t xml:space="preserve"> </w:t>
      </w:r>
      <w:r>
        <w:rPr>
          <w:color w:val="231F20"/>
          <w:w w:val="105"/>
          <w:sz w:val="16"/>
        </w:rPr>
        <w:t>Building</w:t>
      </w:r>
      <w:r>
        <w:rPr>
          <w:color w:val="231F20"/>
          <w:spacing w:val="10"/>
          <w:w w:val="105"/>
          <w:sz w:val="16"/>
        </w:rPr>
        <w:t xml:space="preserve"> </w:t>
      </w:r>
      <w:r>
        <w:rPr>
          <w:color w:val="231F20"/>
          <w:w w:val="105"/>
          <w:sz w:val="16"/>
        </w:rPr>
        <w:t>in</w:t>
      </w:r>
      <w:r>
        <w:rPr>
          <w:color w:val="231F20"/>
          <w:spacing w:val="10"/>
          <w:w w:val="105"/>
          <w:sz w:val="16"/>
        </w:rPr>
        <w:t xml:space="preserve"> </w:t>
      </w:r>
      <w:r>
        <w:rPr>
          <w:color w:val="231F20"/>
          <w:spacing w:val="-5"/>
          <w:w w:val="105"/>
          <w:sz w:val="16"/>
        </w:rPr>
        <w:t>W.</w:t>
      </w:r>
      <w:r>
        <w:rPr>
          <w:color w:val="231F20"/>
          <w:spacing w:val="10"/>
          <w:w w:val="105"/>
          <w:sz w:val="16"/>
        </w:rPr>
        <w:t xml:space="preserve"> </w:t>
      </w:r>
      <w:r>
        <w:rPr>
          <w:color w:val="231F20"/>
          <w:w w:val="105"/>
          <w:sz w:val="16"/>
        </w:rPr>
        <w:t>Germany,”</w:t>
      </w:r>
    </w:p>
    <w:p w14:paraId="1FC93D0F" w14:textId="77777777" w:rsidR="002653E8" w:rsidRDefault="003115E3">
      <w:pPr>
        <w:spacing w:before="11"/>
        <w:ind w:left="1148"/>
        <w:rPr>
          <w:sz w:val="16"/>
        </w:rPr>
      </w:pPr>
      <w:r>
        <w:rPr>
          <w:i/>
          <w:color w:val="231F20"/>
          <w:w w:val="110"/>
          <w:sz w:val="16"/>
        </w:rPr>
        <w:t xml:space="preserve">Ogden Standard-Examiner, </w:t>
      </w:r>
      <w:r>
        <w:rPr>
          <w:color w:val="231F20"/>
          <w:w w:val="110"/>
          <w:sz w:val="16"/>
        </w:rPr>
        <w:t>October 31, 1977.</w:t>
      </w:r>
    </w:p>
    <w:p w14:paraId="06382944" w14:textId="77777777" w:rsidR="002653E8" w:rsidRDefault="003115E3">
      <w:pPr>
        <w:pStyle w:val="a4"/>
        <w:numPr>
          <w:ilvl w:val="0"/>
          <w:numId w:val="46"/>
        </w:numPr>
        <w:tabs>
          <w:tab w:val="left" w:pos="1287"/>
        </w:tabs>
        <w:spacing w:before="52"/>
        <w:ind w:left="1286" w:hanging="138"/>
        <w:jc w:val="left"/>
        <w:rPr>
          <w:i/>
          <w:sz w:val="16"/>
        </w:rPr>
      </w:pPr>
      <w:r>
        <w:rPr>
          <w:color w:val="231F20"/>
          <w:w w:val="105"/>
          <w:sz w:val="16"/>
        </w:rPr>
        <w:t xml:space="preserve">Associated Press, “Bonn: terrorist death was suicide,” </w:t>
      </w:r>
      <w:r>
        <w:rPr>
          <w:i/>
          <w:color w:val="231F20"/>
          <w:w w:val="105"/>
          <w:sz w:val="16"/>
        </w:rPr>
        <w:t>Modesto</w:t>
      </w:r>
      <w:r>
        <w:rPr>
          <w:i/>
          <w:color w:val="231F20"/>
          <w:spacing w:val="7"/>
          <w:w w:val="105"/>
          <w:sz w:val="16"/>
        </w:rPr>
        <w:t xml:space="preserve"> </w:t>
      </w:r>
      <w:r>
        <w:rPr>
          <w:i/>
          <w:color w:val="231F20"/>
          <w:w w:val="105"/>
          <w:sz w:val="16"/>
        </w:rPr>
        <w:t>Bee,</w:t>
      </w:r>
    </w:p>
    <w:p w14:paraId="3393CDC0" w14:textId="77777777" w:rsidR="002653E8" w:rsidRDefault="003115E3">
      <w:pPr>
        <w:spacing w:before="12"/>
        <w:ind w:left="1148"/>
        <w:rPr>
          <w:sz w:val="16"/>
        </w:rPr>
      </w:pPr>
      <w:r>
        <w:rPr>
          <w:color w:val="231F20"/>
          <w:w w:val="110"/>
          <w:sz w:val="16"/>
        </w:rPr>
        <w:t>November 14, 1977.</w:t>
      </w:r>
    </w:p>
    <w:p w14:paraId="4849137E" w14:textId="77777777" w:rsidR="002653E8" w:rsidRDefault="002653E8">
      <w:pPr>
        <w:rPr>
          <w:sz w:val="16"/>
        </w:rPr>
        <w:sectPr w:rsidR="002653E8">
          <w:pgSz w:w="8640" w:h="12960"/>
          <w:pgMar w:top="1060" w:right="0" w:bottom="1040" w:left="0" w:header="0" w:footer="850" w:gutter="0"/>
          <w:cols w:space="720"/>
        </w:sectPr>
      </w:pPr>
    </w:p>
    <w:p w14:paraId="367DB353" w14:textId="77777777" w:rsidR="002653E8" w:rsidRDefault="003115E3">
      <w:pPr>
        <w:pStyle w:val="a3"/>
        <w:spacing w:before="86" w:line="264" w:lineRule="auto"/>
        <w:ind w:left="1327" w:right="1146" w:firstLine="210"/>
        <w:jc w:val="both"/>
      </w:pPr>
      <w:r>
        <w:rPr>
          <w:color w:val="231F20"/>
        </w:rPr>
        <w:lastRenderedPageBreak/>
        <w:t>The cream of the West German establishment gathered at Schleyer’s state funeral on October 24, surrounded by 750 police, with snipers in place on the surrounding rooftops.</w:t>
      </w:r>
    </w:p>
    <w:p w14:paraId="0F5535DF" w14:textId="77777777" w:rsidR="002653E8" w:rsidRDefault="003115E3">
      <w:pPr>
        <w:pStyle w:val="a3"/>
        <w:spacing w:line="231" w:lineRule="exact"/>
        <w:ind w:left="1537"/>
      </w:pPr>
      <w:r>
        <w:rPr>
          <w:color w:val="231F20"/>
        </w:rPr>
        <w:t>In this paramilitary setting, President Walter Scheel declared:</w:t>
      </w:r>
    </w:p>
    <w:p w14:paraId="530060C3" w14:textId="77777777" w:rsidR="002653E8" w:rsidRDefault="003115E3">
      <w:pPr>
        <w:spacing w:before="152" w:line="276" w:lineRule="auto"/>
        <w:ind w:left="1747" w:right="1565"/>
        <w:jc w:val="both"/>
        <w:rPr>
          <w:i/>
          <w:sz w:val="19"/>
        </w:rPr>
      </w:pPr>
      <w:r>
        <w:rPr>
          <w:i/>
          <w:color w:val="231F20"/>
          <w:sz w:val="19"/>
        </w:rPr>
        <w:t>The fight against terrorism is the fight of civilization against a barbarism trying to destroy all order… They are the enemies of every civilization… The nations of the earth are beginning to  realize this. They realize with horror that not this or that order is being attacked, but all</w:t>
      </w:r>
      <w:r>
        <w:rPr>
          <w:i/>
          <w:color w:val="231F20"/>
          <w:spacing w:val="35"/>
          <w:sz w:val="19"/>
        </w:rPr>
        <w:t xml:space="preserve"> </w:t>
      </w:r>
      <w:r>
        <w:rPr>
          <w:i/>
          <w:color w:val="231F20"/>
          <w:spacing w:val="-4"/>
          <w:sz w:val="19"/>
        </w:rPr>
        <w:t>order.</w:t>
      </w:r>
    </w:p>
    <w:p w14:paraId="508CEDE2" w14:textId="77777777" w:rsidR="002653E8" w:rsidRDefault="003115E3">
      <w:pPr>
        <w:pStyle w:val="a3"/>
        <w:spacing w:before="131" w:line="264" w:lineRule="auto"/>
        <w:ind w:left="1327" w:right="1580"/>
        <w:rPr>
          <w:sz w:val="11"/>
        </w:rPr>
      </w:pPr>
      <w:r>
        <w:rPr>
          <w:color w:val="231F20"/>
        </w:rPr>
        <w:t>Specifically referring to anyone who dared protest following the Stammheim deaths, he remarked that, “They too share the guilt.”</w:t>
      </w:r>
      <w:r>
        <w:rPr>
          <w:color w:val="231F20"/>
          <w:position w:val="7"/>
          <w:sz w:val="11"/>
        </w:rPr>
        <w:t>7</w:t>
      </w:r>
    </w:p>
    <w:p w14:paraId="498ED729" w14:textId="77777777" w:rsidR="002653E8" w:rsidRDefault="003115E3">
      <w:pPr>
        <w:pStyle w:val="a3"/>
        <w:spacing w:line="264" w:lineRule="auto"/>
        <w:ind w:left="1327" w:right="1145" w:firstLine="210"/>
        <w:jc w:val="both"/>
        <w:rPr>
          <w:sz w:val="11"/>
        </w:rPr>
      </w:pPr>
      <w:r>
        <w:rPr>
          <w:color w:val="231F20"/>
        </w:rPr>
        <w:t xml:space="preserve">It should be noted that while this lynch mob atmosphere met with broad support from the West German public, for many—including people who had no truck with revolutionary politics—things seemed to be going too far. The new “muscular” social democracy seemed to find appropriate expression on the cover of </w:t>
      </w:r>
      <w:r>
        <w:rPr>
          <w:i/>
          <w:color w:val="231F20"/>
        </w:rPr>
        <w:t xml:space="preserve">Stern </w:t>
      </w:r>
      <w:r>
        <w:rPr>
          <w:color w:val="231F20"/>
        </w:rPr>
        <w:t>magazine around this time, where Chancellor Schmidt posed wearing the uniform of the BGS. This government reaction to the events of 1977 demonstrated the degree to which the SPD could act as repressively as the CDU, and has been identified as the starting point of yet another split between the party’s leadership and its more left-wing members, a development that accelerated over the next few years, giving rise to the Green Party.</w:t>
      </w:r>
      <w:r>
        <w:rPr>
          <w:color w:val="231F20"/>
          <w:position w:val="7"/>
          <w:sz w:val="11"/>
        </w:rPr>
        <w:t>8</w:t>
      </w:r>
    </w:p>
    <w:p w14:paraId="07E1147E" w14:textId="77777777" w:rsidR="002653E8" w:rsidRDefault="003115E3">
      <w:pPr>
        <w:pStyle w:val="a3"/>
        <w:spacing w:line="264" w:lineRule="auto"/>
        <w:ind w:left="1327" w:right="1145" w:firstLine="210"/>
        <w:jc w:val="both"/>
      </w:pPr>
      <w:r>
        <w:rPr>
          <w:color w:val="231F20"/>
        </w:rPr>
        <w:t xml:space="preserve">Police set up special phone numbers in eighteen cities where one could hear taped recordings of the  </w:t>
      </w:r>
      <w:r w:rsidR="00C507A5">
        <w:rPr>
          <w:color w:val="231F20"/>
          <w:spacing w:val="5"/>
        </w:rPr>
        <w:t>red army faction</w:t>
      </w:r>
      <w:r>
        <w:rPr>
          <w:color w:val="231F20"/>
          <w:spacing w:val="5"/>
        </w:rPr>
        <w:t xml:space="preserve">  </w:t>
      </w:r>
      <w:r>
        <w:rPr>
          <w:color w:val="231F20"/>
        </w:rPr>
        <w:t xml:space="preserve">members’  voices;  in  Bonn,  the line was so jammed with  calls  that  a  second  number  had  to  be set up. Over 100,000 police were mobilized, and alleged terrorist hideouts were raided. </w:t>
      </w:r>
      <w:r>
        <w:rPr>
          <w:color w:val="231F20"/>
          <w:spacing w:val="1"/>
        </w:rPr>
        <w:t xml:space="preserve">In </w:t>
      </w:r>
      <w:r>
        <w:rPr>
          <w:color w:val="231F20"/>
          <w:spacing w:val="-3"/>
        </w:rPr>
        <w:t xml:space="preserve">West </w:t>
      </w:r>
      <w:r>
        <w:rPr>
          <w:color w:val="231F20"/>
        </w:rPr>
        <w:t>Berlin, thirty-eight apartments, bookstores, and printing shops were searched and forty people taken into custody, prompting a protest outside of police headquarters, which was met by cops swinging rubber truncheons.</w:t>
      </w:r>
      <w:r>
        <w:rPr>
          <w:color w:val="231F20"/>
          <w:position w:val="7"/>
          <w:sz w:val="11"/>
        </w:rPr>
        <w:t xml:space="preserve">9 </w:t>
      </w:r>
      <w:r>
        <w:rPr>
          <w:i/>
          <w:color w:val="231F20"/>
        </w:rPr>
        <w:t xml:space="preserve">Info-BUG </w:t>
      </w:r>
      <w:r>
        <w:rPr>
          <w:color w:val="231F20"/>
        </w:rPr>
        <w:t>and its printers Firma Agit-Druck were amongst those targeted, and the radical newspaper found itself</w:t>
      </w:r>
      <w:r>
        <w:rPr>
          <w:color w:val="231F20"/>
          <w:spacing w:val="21"/>
        </w:rPr>
        <w:t xml:space="preserve"> </w:t>
      </w:r>
      <w:r>
        <w:rPr>
          <w:color w:val="231F20"/>
        </w:rPr>
        <w:t>banned.</w:t>
      </w:r>
    </w:p>
    <w:p w14:paraId="60DBDC05" w14:textId="77777777" w:rsidR="002653E8" w:rsidRDefault="002653E8">
      <w:pPr>
        <w:pStyle w:val="a3"/>
      </w:pPr>
    </w:p>
    <w:p w14:paraId="6D949922" w14:textId="77777777" w:rsidR="002653E8" w:rsidRDefault="00000000">
      <w:pPr>
        <w:pStyle w:val="a3"/>
        <w:spacing w:before="2"/>
        <w:rPr>
          <w:sz w:val="28"/>
        </w:rPr>
      </w:pPr>
      <w:r>
        <w:rPr>
          <w:noProof w:val="0"/>
        </w:rPr>
        <w:pict w14:anchorId="4D0E04A7">
          <v:line id="_x0000_s2156" style="position:absolute;z-index:10864;mso-wrap-distance-left:0;mso-wrap-distance-right:0;mso-position-horizontal-relative:page" from="66.4pt,18.75pt" to="138.4pt,18.75pt" strokecolor="#231f20" strokeweight=".5pt">
            <w10:wrap type="topAndBottom" anchorx="page"/>
          </v:line>
        </w:pict>
      </w:r>
    </w:p>
    <w:p w14:paraId="78C3AE13" w14:textId="77777777" w:rsidR="002653E8" w:rsidRDefault="003115E3">
      <w:pPr>
        <w:pStyle w:val="a4"/>
        <w:numPr>
          <w:ilvl w:val="0"/>
          <w:numId w:val="46"/>
        </w:numPr>
        <w:tabs>
          <w:tab w:val="left" w:pos="1467"/>
        </w:tabs>
        <w:spacing w:before="53" w:line="254" w:lineRule="auto"/>
        <w:ind w:left="1327" w:right="1400" w:firstLine="0"/>
        <w:jc w:val="left"/>
        <w:rPr>
          <w:sz w:val="16"/>
        </w:rPr>
      </w:pPr>
      <w:r>
        <w:rPr>
          <w:color w:val="231F20"/>
          <w:w w:val="105"/>
          <w:sz w:val="16"/>
        </w:rPr>
        <w:t xml:space="preserve">United Press International, “Crusade against terrorism urged,” </w:t>
      </w:r>
      <w:r>
        <w:rPr>
          <w:i/>
          <w:color w:val="231F20"/>
          <w:spacing w:val="1"/>
          <w:w w:val="105"/>
          <w:sz w:val="16"/>
        </w:rPr>
        <w:t xml:space="preserve">Newport </w:t>
      </w:r>
      <w:r>
        <w:rPr>
          <w:i/>
          <w:color w:val="231F20"/>
          <w:w w:val="105"/>
          <w:sz w:val="16"/>
        </w:rPr>
        <w:t xml:space="preserve">Daily News, </w:t>
      </w:r>
      <w:r>
        <w:rPr>
          <w:color w:val="231F20"/>
          <w:w w:val="105"/>
          <w:sz w:val="16"/>
        </w:rPr>
        <w:t xml:space="preserve">October </w:t>
      </w:r>
      <w:r>
        <w:rPr>
          <w:color w:val="231F20"/>
          <w:spacing w:val="-5"/>
          <w:w w:val="105"/>
          <w:sz w:val="16"/>
        </w:rPr>
        <w:t>25,</w:t>
      </w:r>
      <w:r>
        <w:rPr>
          <w:color w:val="231F20"/>
          <w:spacing w:val="-4"/>
          <w:w w:val="105"/>
          <w:sz w:val="16"/>
        </w:rPr>
        <w:t xml:space="preserve"> 1977.</w:t>
      </w:r>
    </w:p>
    <w:p w14:paraId="05FA1182" w14:textId="77777777" w:rsidR="002653E8" w:rsidRDefault="003115E3">
      <w:pPr>
        <w:pStyle w:val="a4"/>
        <w:numPr>
          <w:ilvl w:val="0"/>
          <w:numId w:val="46"/>
        </w:numPr>
        <w:tabs>
          <w:tab w:val="left" w:pos="1467"/>
        </w:tabs>
        <w:ind w:left="1466"/>
        <w:jc w:val="left"/>
        <w:rPr>
          <w:sz w:val="16"/>
        </w:rPr>
      </w:pPr>
      <w:r>
        <w:rPr>
          <w:color w:val="231F20"/>
          <w:w w:val="105"/>
          <w:sz w:val="16"/>
        </w:rPr>
        <w:t>Hanshew,</w:t>
      </w:r>
      <w:r>
        <w:rPr>
          <w:color w:val="231F20"/>
          <w:spacing w:val="7"/>
          <w:w w:val="105"/>
          <w:sz w:val="16"/>
        </w:rPr>
        <w:t xml:space="preserve"> </w:t>
      </w:r>
      <w:r>
        <w:rPr>
          <w:color w:val="231F20"/>
          <w:w w:val="105"/>
          <w:sz w:val="16"/>
        </w:rPr>
        <w:t>29-30</w:t>
      </w:r>
    </w:p>
    <w:p w14:paraId="657E4C6A" w14:textId="77777777" w:rsidR="002653E8" w:rsidRDefault="003115E3">
      <w:pPr>
        <w:pStyle w:val="a4"/>
        <w:numPr>
          <w:ilvl w:val="0"/>
          <w:numId w:val="46"/>
        </w:numPr>
        <w:tabs>
          <w:tab w:val="left" w:pos="1467"/>
        </w:tabs>
        <w:spacing w:before="51" w:line="254" w:lineRule="auto"/>
        <w:ind w:left="1327" w:right="1304" w:firstLine="0"/>
        <w:jc w:val="left"/>
        <w:rPr>
          <w:sz w:val="16"/>
        </w:rPr>
      </w:pPr>
      <w:r>
        <w:rPr>
          <w:color w:val="231F20"/>
          <w:w w:val="105"/>
          <w:sz w:val="16"/>
        </w:rPr>
        <w:t xml:space="preserve">Associated Press, “German </w:t>
      </w:r>
      <w:r>
        <w:rPr>
          <w:color w:val="231F20"/>
          <w:spacing w:val="1"/>
          <w:w w:val="105"/>
          <w:sz w:val="16"/>
        </w:rPr>
        <w:t xml:space="preserve">Leftists, </w:t>
      </w:r>
      <w:r>
        <w:rPr>
          <w:color w:val="231F20"/>
          <w:w w:val="105"/>
          <w:sz w:val="16"/>
        </w:rPr>
        <w:t xml:space="preserve">Police Battle after Paper Raided,” </w:t>
      </w:r>
      <w:r>
        <w:rPr>
          <w:i/>
          <w:color w:val="231F20"/>
          <w:w w:val="105"/>
          <w:sz w:val="16"/>
        </w:rPr>
        <w:t xml:space="preserve">Waterloo Courier, </w:t>
      </w:r>
      <w:r>
        <w:rPr>
          <w:color w:val="231F20"/>
          <w:w w:val="105"/>
          <w:sz w:val="16"/>
        </w:rPr>
        <w:t>October 24,</w:t>
      </w:r>
      <w:r>
        <w:rPr>
          <w:color w:val="231F20"/>
          <w:spacing w:val="27"/>
          <w:w w:val="105"/>
          <w:sz w:val="16"/>
        </w:rPr>
        <w:t xml:space="preserve"> </w:t>
      </w:r>
      <w:r>
        <w:rPr>
          <w:color w:val="231F20"/>
          <w:spacing w:val="-4"/>
          <w:w w:val="105"/>
          <w:sz w:val="16"/>
        </w:rPr>
        <w:t>1977.</w:t>
      </w:r>
    </w:p>
    <w:p w14:paraId="39467472" w14:textId="77777777" w:rsidR="002653E8" w:rsidRDefault="002653E8">
      <w:pPr>
        <w:spacing w:line="254" w:lineRule="auto"/>
        <w:rPr>
          <w:sz w:val="16"/>
        </w:rPr>
        <w:sectPr w:rsidR="002653E8">
          <w:pgSz w:w="8640" w:h="12960"/>
          <w:pgMar w:top="1060" w:right="0" w:bottom="1040" w:left="0" w:header="0" w:footer="850" w:gutter="0"/>
          <w:cols w:space="720"/>
        </w:sectPr>
      </w:pPr>
    </w:p>
    <w:p w14:paraId="5EEE0F81" w14:textId="77777777" w:rsidR="002653E8" w:rsidRDefault="003115E3">
      <w:pPr>
        <w:spacing w:before="86" w:line="264" w:lineRule="auto"/>
        <w:ind w:left="1147" w:right="3872" w:firstLine="210"/>
        <w:jc w:val="both"/>
        <w:rPr>
          <w:sz w:val="20"/>
        </w:rPr>
      </w:pPr>
      <w:r>
        <w:lastRenderedPageBreak/>
        <w:drawing>
          <wp:anchor distT="0" distB="0" distL="0" distR="0" simplePos="0" relativeHeight="10912" behindDoc="0" locked="0" layoutInCell="1" allowOverlap="1" wp14:anchorId="2DD5533C" wp14:editId="6BE6F318">
            <wp:simplePos x="0" y="0"/>
            <wp:positionH relativeFrom="page">
              <wp:posOffset>3152660</wp:posOffset>
            </wp:positionH>
            <wp:positionV relativeFrom="paragraph">
              <wp:posOffset>93615</wp:posOffset>
            </wp:positionV>
            <wp:extent cx="1490535" cy="2120214"/>
            <wp:effectExtent l="0" t="0" r="0" b="0"/>
            <wp:wrapNone/>
            <wp:docPr id="7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0.png"/>
                    <pic:cNvPicPr/>
                  </pic:nvPicPr>
                  <pic:blipFill>
                    <a:blip r:embed="rId445" cstate="print"/>
                    <a:stretch>
                      <a:fillRect/>
                    </a:stretch>
                  </pic:blipFill>
                  <pic:spPr>
                    <a:xfrm>
                      <a:off x="0" y="0"/>
                      <a:ext cx="1490535" cy="2120214"/>
                    </a:xfrm>
                    <a:prstGeom prst="rect">
                      <a:avLst/>
                    </a:prstGeom>
                  </pic:spPr>
                </pic:pic>
              </a:graphicData>
            </a:graphic>
          </wp:anchor>
        </w:drawing>
      </w:r>
      <w:r>
        <w:rPr>
          <w:color w:val="231F20"/>
          <w:sz w:val="20"/>
        </w:rPr>
        <w:t xml:space="preserve">At the same time, in France, attorney Klaus Croissant was being publicly referred to as </w:t>
      </w:r>
      <w:r>
        <w:rPr>
          <w:color w:val="231F20"/>
          <w:spacing w:val="-4"/>
          <w:sz w:val="20"/>
        </w:rPr>
        <w:t xml:space="preserve">“a </w:t>
      </w:r>
      <w:r>
        <w:rPr>
          <w:color w:val="231F20"/>
          <w:sz w:val="20"/>
        </w:rPr>
        <w:t>central figure in international terrorism.” The lawyer was supported by philosophers Michel Foucault and Jean-Paul Sartre,</w:t>
      </w:r>
      <w:r>
        <w:rPr>
          <w:color w:val="231F20"/>
          <w:position w:val="7"/>
          <w:sz w:val="11"/>
        </w:rPr>
        <w:t xml:space="preserve">1 </w:t>
      </w:r>
      <w:r>
        <w:rPr>
          <w:color w:val="231F20"/>
          <w:sz w:val="20"/>
        </w:rPr>
        <w:t xml:space="preserve">as well  a  number of   professional   associations,    including the </w:t>
      </w:r>
      <w:r>
        <w:rPr>
          <w:i/>
          <w:color w:val="231F20"/>
          <w:sz w:val="20"/>
        </w:rPr>
        <w:t xml:space="preserve">Syndicat de </w:t>
      </w:r>
      <w:r>
        <w:rPr>
          <w:i/>
          <w:color w:val="231F20"/>
          <w:spacing w:val="1"/>
          <w:sz w:val="20"/>
        </w:rPr>
        <w:t xml:space="preserve">la </w:t>
      </w:r>
      <w:r>
        <w:rPr>
          <w:i/>
          <w:color w:val="231F20"/>
          <w:sz w:val="20"/>
        </w:rPr>
        <w:t>Magistrature</w:t>
      </w:r>
      <w:r>
        <w:rPr>
          <w:color w:val="231F20"/>
          <w:sz w:val="20"/>
        </w:rPr>
        <w:t xml:space="preserve">, the </w:t>
      </w:r>
      <w:r>
        <w:rPr>
          <w:i/>
          <w:color w:val="231F20"/>
          <w:sz w:val="20"/>
        </w:rPr>
        <w:t>Confédération Syndicale des Avocats</w:t>
      </w:r>
      <w:r>
        <w:rPr>
          <w:color w:val="231F20"/>
          <w:sz w:val="20"/>
        </w:rPr>
        <w:t xml:space="preserve">, the </w:t>
      </w:r>
      <w:r>
        <w:rPr>
          <w:i/>
          <w:color w:val="231F20"/>
          <w:sz w:val="20"/>
        </w:rPr>
        <w:t>Jeunes Avocats</w:t>
      </w:r>
      <w:r>
        <w:rPr>
          <w:color w:val="231F20"/>
          <w:sz w:val="20"/>
        </w:rPr>
        <w:t xml:space="preserve">, the </w:t>
      </w:r>
      <w:r>
        <w:rPr>
          <w:i/>
          <w:color w:val="231F20"/>
          <w:sz w:val="20"/>
        </w:rPr>
        <w:t>Mouvement d’action judicaire</w:t>
      </w:r>
      <w:r>
        <w:rPr>
          <w:color w:val="231F20"/>
          <w:sz w:val="20"/>
        </w:rPr>
        <w:t xml:space="preserve">, and the </w:t>
      </w:r>
      <w:r>
        <w:rPr>
          <w:i/>
          <w:color w:val="231F20"/>
          <w:sz w:val="20"/>
        </w:rPr>
        <w:t>Association Francaise des Juristes Democrates</w:t>
      </w:r>
      <w:r>
        <w:rPr>
          <w:color w:val="231F20"/>
          <w:sz w:val="20"/>
        </w:rPr>
        <w:t>.</w:t>
      </w:r>
      <w:r>
        <w:rPr>
          <w:color w:val="231F20"/>
          <w:position w:val="7"/>
          <w:sz w:val="11"/>
        </w:rPr>
        <w:t xml:space="preserve">2  </w:t>
      </w:r>
      <w:r>
        <w:rPr>
          <w:color w:val="231F20"/>
          <w:sz w:val="20"/>
        </w:rPr>
        <w:t>There  was  also a Committee for the Immediate Liberation of</w:t>
      </w:r>
      <w:r>
        <w:rPr>
          <w:color w:val="231F20"/>
          <w:spacing w:val="31"/>
          <w:sz w:val="20"/>
        </w:rPr>
        <w:t xml:space="preserve"> </w:t>
      </w:r>
      <w:r>
        <w:rPr>
          <w:color w:val="231F20"/>
          <w:sz w:val="20"/>
        </w:rPr>
        <w:t>Klaus</w:t>
      </w:r>
      <w:r>
        <w:rPr>
          <w:color w:val="231F20"/>
          <w:spacing w:val="31"/>
          <w:sz w:val="20"/>
        </w:rPr>
        <w:t xml:space="preserve"> </w:t>
      </w:r>
      <w:r>
        <w:rPr>
          <w:color w:val="231F20"/>
          <w:sz w:val="20"/>
        </w:rPr>
        <w:t>Croissant,</w:t>
      </w:r>
      <w:r>
        <w:rPr>
          <w:color w:val="231F20"/>
          <w:spacing w:val="31"/>
          <w:sz w:val="20"/>
        </w:rPr>
        <w:t xml:space="preserve"> </w:t>
      </w:r>
      <w:r>
        <w:rPr>
          <w:color w:val="231F20"/>
          <w:sz w:val="20"/>
        </w:rPr>
        <w:t>which</w:t>
      </w:r>
      <w:r>
        <w:rPr>
          <w:color w:val="231F20"/>
          <w:spacing w:val="31"/>
          <w:sz w:val="20"/>
        </w:rPr>
        <w:t xml:space="preserve"> </w:t>
      </w:r>
      <w:r>
        <w:rPr>
          <w:color w:val="231F20"/>
          <w:sz w:val="20"/>
        </w:rPr>
        <w:t>made</w:t>
      </w:r>
      <w:r>
        <w:rPr>
          <w:color w:val="231F20"/>
          <w:spacing w:val="31"/>
          <w:sz w:val="20"/>
        </w:rPr>
        <w:t xml:space="preserve"> </w:t>
      </w:r>
      <w:r>
        <w:rPr>
          <w:color w:val="231F20"/>
          <w:sz w:val="20"/>
        </w:rPr>
        <w:t>its</w:t>
      </w:r>
      <w:r>
        <w:rPr>
          <w:color w:val="231F20"/>
          <w:spacing w:val="31"/>
          <w:sz w:val="20"/>
        </w:rPr>
        <w:t xml:space="preserve"> </w:t>
      </w:r>
      <w:r>
        <w:rPr>
          <w:color w:val="231F20"/>
          <w:sz w:val="20"/>
        </w:rPr>
        <w:t>point</w:t>
      </w:r>
    </w:p>
    <w:p w14:paraId="6DD5BCC0" w14:textId="77777777" w:rsidR="002653E8" w:rsidRDefault="003115E3">
      <w:pPr>
        <w:pStyle w:val="a3"/>
        <w:spacing w:line="219" w:lineRule="exact"/>
        <w:ind w:left="1147"/>
      </w:pPr>
      <w:r>
        <w:rPr>
          <w:color w:val="231F20"/>
        </w:rPr>
        <w:t>by mailing one thousand crescent-shaped pastries to government of-</w:t>
      </w:r>
    </w:p>
    <w:p w14:paraId="3BB6F960" w14:textId="77777777" w:rsidR="002653E8" w:rsidRDefault="003115E3">
      <w:pPr>
        <w:pStyle w:val="a3"/>
        <w:spacing w:before="23" w:line="264" w:lineRule="auto"/>
        <w:ind w:left="1147" w:right="1513"/>
        <w:rPr>
          <w:sz w:val="11"/>
        </w:rPr>
      </w:pPr>
      <w:r>
        <w:rPr>
          <w:color w:val="231F20"/>
        </w:rPr>
        <w:t>ficials, each one accompanied by a note which read, “If a croissant can circulate freely in the marketplace, why not a lawyer?”</w:t>
      </w:r>
      <w:r>
        <w:rPr>
          <w:color w:val="231F20"/>
          <w:position w:val="7"/>
          <w:sz w:val="11"/>
        </w:rPr>
        <w:t>3</w:t>
      </w:r>
    </w:p>
    <w:p w14:paraId="7589B9CE" w14:textId="77777777" w:rsidR="002653E8" w:rsidRDefault="003115E3">
      <w:pPr>
        <w:pStyle w:val="a3"/>
        <w:spacing w:line="264" w:lineRule="auto"/>
        <w:ind w:left="1147" w:right="1326" w:firstLine="210"/>
        <w:jc w:val="both"/>
      </w:pPr>
      <w:r>
        <w:rPr>
          <w:color w:val="231F20"/>
        </w:rPr>
        <w:t>Croissant’s persecution by an authoritarian state across the Rhine brought back memories that added weight to the entire affair. As one defense lawyer put it:</w:t>
      </w:r>
    </w:p>
    <w:p w14:paraId="3FA9FD2F" w14:textId="77777777" w:rsidR="002653E8" w:rsidRDefault="003115E3">
      <w:pPr>
        <w:spacing w:before="123" w:line="276" w:lineRule="auto"/>
        <w:ind w:left="1567" w:right="1746"/>
        <w:jc w:val="both"/>
        <w:rPr>
          <w:i/>
          <w:sz w:val="11"/>
        </w:rPr>
      </w:pPr>
      <w:r>
        <w:rPr>
          <w:i/>
          <w:color w:val="231F20"/>
          <w:w w:val="105"/>
          <w:sz w:val="19"/>
        </w:rPr>
        <w:t>When I see this hunted lawyer on the one side, and on the other Prosecutor</w:t>
      </w:r>
      <w:r>
        <w:rPr>
          <w:i/>
          <w:color w:val="231F20"/>
          <w:spacing w:val="-7"/>
          <w:w w:val="105"/>
          <w:sz w:val="19"/>
        </w:rPr>
        <w:t xml:space="preserve"> </w:t>
      </w:r>
      <w:r>
        <w:rPr>
          <w:i/>
          <w:color w:val="231F20"/>
          <w:spacing w:val="-3"/>
          <w:w w:val="105"/>
          <w:sz w:val="19"/>
        </w:rPr>
        <w:t>Shuller,</w:t>
      </w:r>
      <w:r>
        <w:rPr>
          <w:i/>
          <w:color w:val="231F20"/>
          <w:spacing w:val="-12"/>
          <w:w w:val="105"/>
          <w:sz w:val="19"/>
        </w:rPr>
        <w:t xml:space="preserve"> </w:t>
      </w:r>
      <w:r>
        <w:rPr>
          <w:i/>
          <w:color w:val="231F20"/>
          <w:w w:val="105"/>
          <w:sz w:val="19"/>
        </w:rPr>
        <w:t>a</w:t>
      </w:r>
      <w:r>
        <w:rPr>
          <w:i/>
          <w:color w:val="231F20"/>
          <w:spacing w:val="-7"/>
          <w:w w:val="105"/>
          <w:sz w:val="19"/>
        </w:rPr>
        <w:t xml:space="preserve"> </w:t>
      </w:r>
      <w:r>
        <w:rPr>
          <w:i/>
          <w:color w:val="231F20"/>
          <w:w w:val="105"/>
          <w:sz w:val="19"/>
        </w:rPr>
        <w:t>former</w:t>
      </w:r>
      <w:r>
        <w:rPr>
          <w:i/>
          <w:color w:val="231F20"/>
          <w:spacing w:val="-7"/>
          <w:w w:val="105"/>
          <w:sz w:val="19"/>
        </w:rPr>
        <w:t xml:space="preserve"> </w:t>
      </w:r>
      <w:r>
        <w:rPr>
          <w:i/>
          <w:color w:val="231F20"/>
          <w:w w:val="105"/>
          <w:sz w:val="19"/>
        </w:rPr>
        <w:t>stormtrooper</w:t>
      </w:r>
      <w:r>
        <w:rPr>
          <w:i/>
          <w:color w:val="231F20"/>
          <w:spacing w:val="-7"/>
          <w:w w:val="105"/>
          <w:sz w:val="19"/>
        </w:rPr>
        <w:t xml:space="preserve"> </w:t>
      </w:r>
      <w:r>
        <w:rPr>
          <w:i/>
          <w:color w:val="231F20"/>
          <w:w w:val="105"/>
          <w:sz w:val="19"/>
        </w:rPr>
        <w:t>and</w:t>
      </w:r>
      <w:r>
        <w:rPr>
          <w:i/>
          <w:color w:val="231F20"/>
          <w:spacing w:val="-7"/>
          <w:w w:val="105"/>
          <w:sz w:val="19"/>
        </w:rPr>
        <w:t xml:space="preserve"> </w:t>
      </w:r>
      <w:r>
        <w:rPr>
          <w:i/>
          <w:color w:val="231F20"/>
          <w:w w:val="105"/>
          <w:sz w:val="19"/>
        </w:rPr>
        <w:t>member</w:t>
      </w:r>
      <w:r>
        <w:rPr>
          <w:i/>
          <w:color w:val="231F20"/>
          <w:spacing w:val="-7"/>
          <w:w w:val="105"/>
          <w:sz w:val="19"/>
        </w:rPr>
        <w:t xml:space="preserve"> </w:t>
      </w:r>
      <w:r>
        <w:rPr>
          <w:i/>
          <w:color w:val="231F20"/>
          <w:w w:val="105"/>
          <w:sz w:val="19"/>
        </w:rPr>
        <w:t>of</w:t>
      </w:r>
      <w:r>
        <w:rPr>
          <w:i/>
          <w:color w:val="231F20"/>
          <w:spacing w:val="-7"/>
          <w:w w:val="105"/>
          <w:sz w:val="19"/>
        </w:rPr>
        <w:t xml:space="preserve"> </w:t>
      </w:r>
      <w:r>
        <w:rPr>
          <w:i/>
          <w:color w:val="231F20"/>
          <w:w w:val="105"/>
          <w:sz w:val="19"/>
        </w:rPr>
        <w:t>the</w:t>
      </w:r>
      <w:r>
        <w:rPr>
          <w:i/>
          <w:color w:val="231F20"/>
          <w:spacing w:val="-7"/>
          <w:w w:val="105"/>
          <w:sz w:val="19"/>
        </w:rPr>
        <w:t xml:space="preserve"> </w:t>
      </w:r>
      <w:r>
        <w:rPr>
          <w:i/>
          <w:color w:val="231F20"/>
          <w:w w:val="105"/>
          <w:sz w:val="19"/>
        </w:rPr>
        <w:t xml:space="preserve">old National Socialist </w:t>
      </w:r>
      <w:r>
        <w:rPr>
          <w:i/>
          <w:color w:val="231F20"/>
          <w:spacing w:val="-3"/>
          <w:w w:val="105"/>
          <w:sz w:val="19"/>
        </w:rPr>
        <w:t xml:space="preserve">party, </w:t>
      </w:r>
      <w:r>
        <w:rPr>
          <w:i/>
          <w:color w:val="231F20"/>
          <w:w w:val="105"/>
          <w:sz w:val="19"/>
        </w:rPr>
        <w:t>I know where I</w:t>
      </w:r>
      <w:r>
        <w:rPr>
          <w:i/>
          <w:color w:val="231F20"/>
          <w:spacing w:val="3"/>
          <w:w w:val="105"/>
          <w:sz w:val="19"/>
        </w:rPr>
        <w:t xml:space="preserve"> </w:t>
      </w:r>
      <w:r>
        <w:rPr>
          <w:i/>
          <w:color w:val="231F20"/>
          <w:w w:val="105"/>
          <w:sz w:val="19"/>
        </w:rPr>
        <w:t>stand.</w:t>
      </w:r>
      <w:r>
        <w:rPr>
          <w:i/>
          <w:color w:val="231F20"/>
          <w:w w:val="105"/>
          <w:position w:val="6"/>
          <w:sz w:val="11"/>
        </w:rPr>
        <w:t>4</w:t>
      </w:r>
    </w:p>
    <w:p w14:paraId="7762DCE5" w14:textId="77777777" w:rsidR="002653E8" w:rsidRDefault="003115E3">
      <w:pPr>
        <w:pStyle w:val="a3"/>
        <w:spacing w:before="130" w:line="264" w:lineRule="auto"/>
        <w:ind w:left="958" w:right="1325"/>
        <w:jc w:val="right"/>
      </w:pPr>
      <w:r>
        <w:rPr>
          <w:color w:val="231F20"/>
          <w:w w:val="105"/>
        </w:rPr>
        <w:t>But</w:t>
      </w:r>
      <w:r>
        <w:rPr>
          <w:color w:val="231F20"/>
          <w:spacing w:val="-24"/>
          <w:w w:val="105"/>
        </w:rPr>
        <w:t xml:space="preserve"> </w:t>
      </w:r>
      <w:r>
        <w:rPr>
          <w:color w:val="231F20"/>
          <w:w w:val="105"/>
        </w:rPr>
        <w:t>to</w:t>
      </w:r>
      <w:r>
        <w:rPr>
          <w:color w:val="231F20"/>
          <w:spacing w:val="-24"/>
          <w:w w:val="105"/>
        </w:rPr>
        <w:t xml:space="preserve"> </w:t>
      </w:r>
      <w:r>
        <w:rPr>
          <w:color w:val="231F20"/>
          <w:w w:val="105"/>
        </w:rPr>
        <w:t>no</w:t>
      </w:r>
      <w:r>
        <w:rPr>
          <w:color w:val="231F20"/>
          <w:spacing w:val="-24"/>
          <w:w w:val="105"/>
        </w:rPr>
        <w:t xml:space="preserve"> </w:t>
      </w:r>
      <w:r>
        <w:rPr>
          <w:color w:val="231F20"/>
          <w:w w:val="105"/>
        </w:rPr>
        <w:t>avail:</w:t>
      </w:r>
      <w:r>
        <w:rPr>
          <w:color w:val="231F20"/>
          <w:spacing w:val="-24"/>
          <w:w w:val="105"/>
        </w:rPr>
        <w:t xml:space="preserve"> </w:t>
      </w:r>
      <w:r>
        <w:rPr>
          <w:color w:val="231F20"/>
          <w:w w:val="105"/>
        </w:rPr>
        <w:t>on</w:t>
      </w:r>
      <w:r>
        <w:rPr>
          <w:color w:val="231F20"/>
          <w:spacing w:val="-24"/>
          <w:w w:val="105"/>
        </w:rPr>
        <w:t xml:space="preserve"> </w:t>
      </w:r>
      <w:r>
        <w:rPr>
          <w:color w:val="231F20"/>
          <w:w w:val="105"/>
        </w:rPr>
        <w:t>November</w:t>
      </w:r>
      <w:r>
        <w:rPr>
          <w:color w:val="231F20"/>
          <w:spacing w:val="-24"/>
          <w:w w:val="105"/>
        </w:rPr>
        <w:t xml:space="preserve"> </w:t>
      </w:r>
      <w:r>
        <w:rPr>
          <w:color w:val="231F20"/>
          <w:w w:val="105"/>
        </w:rPr>
        <w:t>2,</w:t>
      </w:r>
      <w:r>
        <w:rPr>
          <w:color w:val="231F20"/>
          <w:spacing w:val="-24"/>
          <w:w w:val="105"/>
        </w:rPr>
        <w:t xml:space="preserve"> </w:t>
      </w:r>
      <w:r>
        <w:rPr>
          <w:color w:val="231F20"/>
          <w:w w:val="105"/>
        </w:rPr>
        <w:t>extradition</w:t>
      </w:r>
      <w:r>
        <w:rPr>
          <w:color w:val="231F20"/>
          <w:spacing w:val="-24"/>
          <w:w w:val="105"/>
        </w:rPr>
        <w:t xml:space="preserve"> </w:t>
      </w:r>
      <w:r>
        <w:rPr>
          <w:color w:val="231F20"/>
          <w:w w:val="105"/>
        </w:rPr>
        <w:t>hearings</w:t>
      </w:r>
      <w:r>
        <w:rPr>
          <w:color w:val="231F20"/>
          <w:spacing w:val="-24"/>
          <w:w w:val="105"/>
        </w:rPr>
        <w:t xml:space="preserve"> </w:t>
      </w:r>
      <w:r>
        <w:rPr>
          <w:color w:val="231F20"/>
          <w:w w:val="105"/>
        </w:rPr>
        <w:t>began</w:t>
      </w:r>
      <w:r>
        <w:rPr>
          <w:color w:val="231F20"/>
          <w:spacing w:val="-24"/>
          <w:w w:val="105"/>
        </w:rPr>
        <w:t xml:space="preserve"> </w:t>
      </w:r>
      <w:r>
        <w:rPr>
          <w:color w:val="231F20"/>
          <w:w w:val="105"/>
        </w:rPr>
        <w:t>in</w:t>
      </w:r>
      <w:r>
        <w:rPr>
          <w:color w:val="231F20"/>
          <w:spacing w:val="-24"/>
          <w:w w:val="105"/>
        </w:rPr>
        <w:t xml:space="preserve"> </w:t>
      </w:r>
      <w:r>
        <w:rPr>
          <w:color w:val="231F20"/>
          <w:w w:val="105"/>
        </w:rPr>
        <w:t>Paris,</w:t>
      </w:r>
      <w:r>
        <w:rPr>
          <w:color w:val="231F20"/>
          <w:spacing w:val="-24"/>
          <w:w w:val="105"/>
        </w:rPr>
        <w:t xml:space="preserve"> </w:t>
      </w:r>
      <w:r>
        <w:rPr>
          <w:color w:val="231F20"/>
          <w:w w:val="105"/>
        </w:rPr>
        <w:t>and</w:t>
      </w:r>
      <w:r>
        <w:rPr>
          <w:color w:val="231F20"/>
        </w:rPr>
        <w:t xml:space="preserve"> </w:t>
      </w:r>
      <w:r>
        <w:rPr>
          <w:color w:val="231F20"/>
          <w:w w:val="105"/>
        </w:rPr>
        <w:t>two</w:t>
      </w:r>
      <w:r>
        <w:rPr>
          <w:color w:val="231F20"/>
          <w:spacing w:val="-19"/>
          <w:w w:val="105"/>
        </w:rPr>
        <w:t xml:space="preserve"> </w:t>
      </w:r>
      <w:r>
        <w:rPr>
          <w:color w:val="231F20"/>
          <w:w w:val="105"/>
        </w:rPr>
        <w:t>weeks</w:t>
      </w:r>
      <w:r>
        <w:rPr>
          <w:color w:val="231F20"/>
          <w:spacing w:val="-19"/>
          <w:w w:val="105"/>
        </w:rPr>
        <w:t xml:space="preserve"> </w:t>
      </w:r>
      <w:r>
        <w:rPr>
          <w:color w:val="231F20"/>
          <w:w w:val="105"/>
        </w:rPr>
        <w:t>later,</w:t>
      </w:r>
      <w:r>
        <w:rPr>
          <w:color w:val="231F20"/>
          <w:spacing w:val="-19"/>
          <w:w w:val="105"/>
        </w:rPr>
        <w:t xml:space="preserve"> </w:t>
      </w:r>
      <w:r>
        <w:rPr>
          <w:color w:val="231F20"/>
          <w:w w:val="105"/>
        </w:rPr>
        <w:t>the</w:t>
      </w:r>
      <w:r>
        <w:rPr>
          <w:color w:val="231F20"/>
          <w:spacing w:val="-19"/>
          <w:w w:val="105"/>
        </w:rPr>
        <w:t xml:space="preserve"> </w:t>
      </w:r>
      <w:r>
        <w:rPr>
          <w:color w:val="231F20"/>
          <w:w w:val="105"/>
        </w:rPr>
        <w:t>court</w:t>
      </w:r>
      <w:r>
        <w:rPr>
          <w:color w:val="231F20"/>
          <w:spacing w:val="-19"/>
          <w:w w:val="105"/>
        </w:rPr>
        <w:t xml:space="preserve"> </w:t>
      </w:r>
      <w:r>
        <w:rPr>
          <w:color w:val="231F20"/>
          <w:w w:val="105"/>
        </w:rPr>
        <w:t>ruled</w:t>
      </w:r>
      <w:r>
        <w:rPr>
          <w:color w:val="231F20"/>
          <w:spacing w:val="-19"/>
          <w:w w:val="105"/>
        </w:rPr>
        <w:t xml:space="preserve"> </w:t>
      </w:r>
      <w:r>
        <w:rPr>
          <w:color w:val="231F20"/>
          <w:w w:val="105"/>
        </w:rPr>
        <w:t>that</w:t>
      </w:r>
      <w:r>
        <w:rPr>
          <w:color w:val="231F20"/>
          <w:spacing w:val="-19"/>
          <w:w w:val="105"/>
        </w:rPr>
        <w:t xml:space="preserve"> </w:t>
      </w:r>
      <w:r>
        <w:rPr>
          <w:color w:val="231F20"/>
          <w:w w:val="105"/>
        </w:rPr>
        <w:t>Croissant</w:t>
      </w:r>
      <w:r>
        <w:rPr>
          <w:color w:val="231F20"/>
          <w:spacing w:val="-19"/>
          <w:w w:val="105"/>
        </w:rPr>
        <w:t xml:space="preserve"> </w:t>
      </w:r>
      <w:r>
        <w:rPr>
          <w:color w:val="231F20"/>
          <w:w w:val="105"/>
        </w:rPr>
        <w:t>could</w:t>
      </w:r>
      <w:r>
        <w:rPr>
          <w:color w:val="231F20"/>
          <w:spacing w:val="-19"/>
          <w:w w:val="105"/>
        </w:rPr>
        <w:t xml:space="preserve"> </w:t>
      </w:r>
      <w:r>
        <w:rPr>
          <w:color w:val="231F20"/>
          <w:w w:val="105"/>
        </w:rPr>
        <w:t>be</w:t>
      </w:r>
      <w:r>
        <w:rPr>
          <w:color w:val="231F20"/>
          <w:spacing w:val="-19"/>
          <w:w w:val="105"/>
        </w:rPr>
        <w:t xml:space="preserve"> </w:t>
      </w:r>
      <w:r>
        <w:rPr>
          <w:color w:val="231F20"/>
          <w:w w:val="105"/>
        </w:rPr>
        <w:t>handed</w:t>
      </w:r>
      <w:r>
        <w:rPr>
          <w:color w:val="231F20"/>
          <w:spacing w:val="-19"/>
          <w:w w:val="105"/>
        </w:rPr>
        <w:t xml:space="preserve"> </w:t>
      </w:r>
      <w:r>
        <w:rPr>
          <w:color w:val="231F20"/>
          <w:w w:val="105"/>
        </w:rPr>
        <w:t>over</w:t>
      </w:r>
      <w:r>
        <w:rPr>
          <w:color w:val="231F20"/>
          <w:spacing w:val="-19"/>
          <w:w w:val="105"/>
        </w:rPr>
        <w:t xml:space="preserve"> </w:t>
      </w:r>
      <w:r>
        <w:rPr>
          <w:color w:val="231F20"/>
          <w:w w:val="105"/>
        </w:rPr>
        <w:t>to</w:t>
      </w:r>
      <w:r>
        <w:rPr>
          <w:color w:val="231F20"/>
          <w:w w:val="104"/>
        </w:rPr>
        <w:t xml:space="preserve"> </w:t>
      </w:r>
      <w:r>
        <w:rPr>
          <w:color w:val="231F20"/>
          <w:w w:val="105"/>
        </w:rPr>
        <w:t>the</w:t>
      </w:r>
      <w:r>
        <w:rPr>
          <w:color w:val="231F20"/>
          <w:spacing w:val="-7"/>
          <w:w w:val="105"/>
        </w:rPr>
        <w:t xml:space="preserve"> </w:t>
      </w:r>
      <w:r>
        <w:rPr>
          <w:color w:val="231F20"/>
          <w:w w:val="105"/>
        </w:rPr>
        <w:t>Germans.</w:t>
      </w:r>
      <w:r>
        <w:rPr>
          <w:color w:val="231F20"/>
          <w:spacing w:val="-7"/>
          <w:w w:val="105"/>
        </w:rPr>
        <w:t xml:space="preserve"> </w:t>
      </w:r>
      <w:r>
        <w:rPr>
          <w:color w:val="231F20"/>
          <w:w w:val="105"/>
        </w:rPr>
        <w:t>By</w:t>
      </w:r>
      <w:r>
        <w:rPr>
          <w:color w:val="231F20"/>
          <w:spacing w:val="-7"/>
          <w:w w:val="105"/>
        </w:rPr>
        <w:t xml:space="preserve"> </w:t>
      </w:r>
      <w:r>
        <w:rPr>
          <w:color w:val="231F20"/>
          <w:w w:val="105"/>
        </w:rPr>
        <w:t>November</w:t>
      </w:r>
      <w:r>
        <w:rPr>
          <w:color w:val="231F20"/>
          <w:spacing w:val="-7"/>
          <w:w w:val="105"/>
        </w:rPr>
        <w:t xml:space="preserve"> </w:t>
      </w:r>
      <w:r>
        <w:rPr>
          <w:color w:val="231F20"/>
          <w:spacing w:val="-5"/>
          <w:w w:val="105"/>
        </w:rPr>
        <w:t>19,</w:t>
      </w:r>
      <w:r>
        <w:rPr>
          <w:color w:val="231F20"/>
          <w:spacing w:val="-7"/>
          <w:w w:val="105"/>
        </w:rPr>
        <w:t xml:space="preserve"> </w:t>
      </w:r>
      <w:r>
        <w:rPr>
          <w:color w:val="231F20"/>
          <w:w w:val="105"/>
        </w:rPr>
        <w:t>he</w:t>
      </w:r>
      <w:r>
        <w:rPr>
          <w:color w:val="231F20"/>
          <w:spacing w:val="-7"/>
          <w:w w:val="105"/>
        </w:rPr>
        <w:t xml:space="preserve"> </w:t>
      </w:r>
      <w:r>
        <w:rPr>
          <w:color w:val="231F20"/>
          <w:w w:val="105"/>
        </w:rPr>
        <w:t>was</w:t>
      </w:r>
      <w:r>
        <w:rPr>
          <w:color w:val="231F20"/>
          <w:spacing w:val="-7"/>
          <w:w w:val="105"/>
        </w:rPr>
        <w:t xml:space="preserve"> </w:t>
      </w:r>
      <w:r>
        <w:rPr>
          <w:color w:val="231F20"/>
          <w:w w:val="105"/>
        </w:rPr>
        <w:t>sitting</w:t>
      </w:r>
      <w:r>
        <w:rPr>
          <w:color w:val="231F20"/>
          <w:spacing w:val="-7"/>
          <w:w w:val="105"/>
        </w:rPr>
        <w:t xml:space="preserve"> </w:t>
      </w:r>
      <w:r>
        <w:rPr>
          <w:color w:val="231F20"/>
          <w:w w:val="105"/>
        </w:rPr>
        <w:t>in</w:t>
      </w:r>
      <w:r>
        <w:rPr>
          <w:color w:val="231F20"/>
          <w:spacing w:val="-7"/>
          <w:w w:val="105"/>
        </w:rPr>
        <w:t xml:space="preserve"> </w:t>
      </w:r>
      <w:r>
        <w:rPr>
          <w:color w:val="231F20"/>
          <w:w w:val="105"/>
        </w:rPr>
        <w:t>a</w:t>
      </w:r>
      <w:r>
        <w:rPr>
          <w:color w:val="231F20"/>
          <w:spacing w:val="-7"/>
          <w:w w:val="105"/>
        </w:rPr>
        <w:t xml:space="preserve"> </w:t>
      </w:r>
      <w:r>
        <w:rPr>
          <w:color w:val="231F20"/>
          <w:w w:val="105"/>
        </w:rPr>
        <w:t>cell</w:t>
      </w:r>
      <w:r>
        <w:rPr>
          <w:color w:val="231F20"/>
          <w:spacing w:val="-7"/>
          <w:w w:val="105"/>
        </w:rPr>
        <w:t xml:space="preserve"> </w:t>
      </w:r>
      <w:r>
        <w:rPr>
          <w:color w:val="231F20"/>
          <w:w w:val="105"/>
        </w:rPr>
        <w:t>in</w:t>
      </w:r>
      <w:r>
        <w:rPr>
          <w:color w:val="231F20"/>
          <w:spacing w:val="-7"/>
          <w:w w:val="105"/>
        </w:rPr>
        <w:t xml:space="preserve"> </w:t>
      </w:r>
      <w:r>
        <w:rPr>
          <w:color w:val="231F20"/>
          <w:w w:val="105"/>
        </w:rPr>
        <w:t>Stammheim.</w:t>
      </w:r>
      <w:r>
        <w:rPr>
          <w:color w:val="231F20"/>
          <w:w w:val="105"/>
          <w:position w:val="7"/>
          <w:sz w:val="11"/>
        </w:rPr>
        <w:t>5</w:t>
      </w:r>
      <w:r>
        <w:rPr>
          <w:color w:val="231F20"/>
          <w:w w:val="106"/>
          <w:position w:val="7"/>
          <w:sz w:val="11"/>
        </w:rPr>
        <w:t xml:space="preserve"> </w:t>
      </w:r>
      <w:r>
        <w:rPr>
          <w:color w:val="231F20"/>
          <w:w w:val="105"/>
        </w:rPr>
        <w:t>The</w:t>
      </w:r>
      <w:r>
        <w:rPr>
          <w:color w:val="231F20"/>
          <w:spacing w:val="23"/>
          <w:w w:val="105"/>
        </w:rPr>
        <w:t xml:space="preserve"> </w:t>
      </w:r>
      <w:r w:rsidR="00C507A5">
        <w:rPr>
          <w:color w:val="231F20"/>
          <w:spacing w:val="5"/>
          <w:w w:val="105"/>
        </w:rPr>
        <w:t>red army faction</w:t>
      </w:r>
      <w:r>
        <w:rPr>
          <w:color w:val="231F20"/>
          <w:spacing w:val="23"/>
          <w:w w:val="105"/>
        </w:rPr>
        <w:t xml:space="preserve"> </w:t>
      </w:r>
      <w:r>
        <w:rPr>
          <w:color w:val="231F20"/>
          <w:w w:val="105"/>
        </w:rPr>
        <w:t>was</w:t>
      </w:r>
      <w:r>
        <w:rPr>
          <w:color w:val="231F20"/>
          <w:spacing w:val="23"/>
          <w:w w:val="105"/>
        </w:rPr>
        <w:t xml:space="preserve"> </w:t>
      </w:r>
      <w:r>
        <w:rPr>
          <w:color w:val="231F20"/>
          <w:w w:val="105"/>
        </w:rPr>
        <w:t>on</w:t>
      </w:r>
      <w:r>
        <w:rPr>
          <w:color w:val="231F20"/>
          <w:spacing w:val="23"/>
          <w:w w:val="105"/>
        </w:rPr>
        <w:t xml:space="preserve"> </w:t>
      </w:r>
      <w:r>
        <w:rPr>
          <w:color w:val="231F20"/>
          <w:w w:val="105"/>
        </w:rPr>
        <w:t>the</w:t>
      </w:r>
      <w:r>
        <w:rPr>
          <w:color w:val="231F20"/>
          <w:spacing w:val="23"/>
          <w:w w:val="105"/>
        </w:rPr>
        <w:t xml:space="preserve"> </w:t>
      </w:r>
      <w:r>
        <w:rPr>
          <w:color w:val="231F20"/>
          <w:w w:val="105"/>
        </w:rPr>
        <w:t>defensive,</w:t>
      </w:r>
      <w:r>
        <w:rPr>
          <w:color w:val="231F20"/>
          <w:spacing w:val="23"/>
          <w:w w:val="105"/>
        </w:rPr>
        <w:t xml:space="preserve"> </w:t>
      </w:r>
      <w:r>
        <w:rPr>
          <w:color w:val="231F20"/>
          <w:w w:val="105"/>
        </w:rPr>
        <w:t>and</w:t>
      </w:r>
      <w:r>
        <w:rPr>
          <w:color w:val="231F20"/>
          <w:spacing w:val="23"/>
          <w:w w:val="105"/>
        </w:rPr>
        <w:t xml:space="preserve"> </w:t>
      </w:r>
      <w:r>
        <w:rPr>
          <w:color w:val="231F20"/>
          <w:w w:val="105"/>
        </w:rPr>
        <w:t>initial</w:t>
      </w:r>
      <w:r>
        <w:rPr>
          <w:color w:val="231F20"/>
          <w:spacing w:val="23"/>
          <w:w w:val="105"/>
        </w:rPr>
        <w:t xml:space="preserve"> </w:t>
      </w:r>
      <w:r>
        <w:rPr>
          <w:color w:val="231F20"/>
          <w:w w:val="105"/>
        </w:rPr>
        <w:t>reports</w:t>
      </w:r>
      <w:r>
        <w:rPr>
          <w:color w:val="231F20"/>
          <w:spacing w:val="23"/>
          <w:w w:val="105"/>
        </w:rPr>
        <w:t xml:space="preserve"> </w:t>
      </w:r>
      <w:r>
        <w:rPr>
          <w:color w:val="231F20"/>
          <w:w w:val="105"/>
        </w:rPr>
        <w:t>indicated</w:t>
      </w:r>
      <w:r>
        <w:rPr>
          <w:color w:val="231F20"/>
          <w:spacing w:val="23"/>
          <w:w w:val="105"/>
        </w:rPr>
        <w:t xml:space="preserve"> </w:t>
      </w:r>
      <w:r>
        <w:rPr>
          <w:color w:val="231F20"/>
          <w:w w:val="105"/>
        </w:rPr>
        <w:t>that</w:t>
      </w:r>
      <w:r>
        <w:rPr>
          <w:color w:val="231F20"/>
          <w:w w:val="98"/>
        </w:rPr>
        <w:t xml:space="preserve"> </w:t>
      </w:r>
      <w:r>
        <w:rPr>
          <w:color w:val="231F20"/>
          <w:w w:val="105"/>
        </w:rPr>
        <w:t>members had fled the country. Reportedly, one million</w:t>
      </w:r>
      <w:r>
        <w:rPr>
          <w:color w:val="231F20"/>
          <w:spacing w:val="-4"/>
          <w:w w:val="105"/>
        </w:rPr>
        <w:t xml:space="preserve"> </w:t>
      </w:r>
      <w:r>
        <w:rPr>
          <w:color w:val="231F20"/>
          <w:w w:val="105"/>
        </w:rPr>
        <w:t>handbills</w:t>
      </w:r>
      <w:r>
        <w:rPr>
          <w:color w:val="231F20"/>
          <w:spacing w:val="-1"/>
          <w:w w:val="105"/>
        </w:rPr>
        <w:t xml:space="preserve"> </w:t>
      </w:r>
      <w:r>
        <w:rPr>
          <w:color w:val="231F20"/>
          <w:w w:val="105"/>
        </w:rPr>
        <w:t>and</w:t>
      </w:r>
      <w:r>
        <w:rPr>
          <w:color w:val="231F20"/>
        </w:rPr>
        <w:t xml:space="preserve"> </w:t>
      </w:r>
      <w:r>
        <w:rPr>
          <w:color w:val="231F20"/>
          <w:w w:val="105"/>
        </w:rPr>
        <w:t>posters</w:t>
      </w:r>
      <w:r>
        <w:rPr>
          <w:color w:val="231F20"/>
          <w:spacing w:val="13"/>
          <w:w w:val="105"/>
        </w:rPr>
        <w:t xml:space="preserve"> </w:t>
      </w:r>
      <w:r>
        <w:rPr>
          <w:color w:val="231F20"/>
          <w:w w:val="105"/>
        </w:rPr>
        <w:t>went</w:t>
      </w:r>
      <w:r>
        <w:rPr>
          <w:color w:val="231F20"/>
          <w:spacing w:val="13"/>
          <w:w w:val="105"/>
        </w:rPr>
        <w:t xml:space="preserve"> </w:t>
      </w:r>
      <w:r>
        <w:rPr>
          <w:color w:val="231F20"/>
          <w:w w:val="105"/>
        </w:rPr>
        <w:t>out</w:t>
      </w:r>
      <w:r>
        <w:rPr>
          <w:color w:val="231F20"/>
          <w:spacing w:val="13"/>
          <w:w w:val="105"/>
        </w:rPr>
        <w:t xml:space="preserve"> </w:t>
      </w:r>
      <w:r>
        <w:rPr>
          <w:color w:val="231F20"/>
          <w:w w:val="105"/>
        </w:rPr>
        <w:t>across</w:t>
      </w:r>
      <w:r>
        <w:rPr>
          <w:color w:val="231F20"/>
          <w:spacing w:val="13"/>
          <w:w w:val="105"/>
        </w:rPr>
        <w:t xml:space="preserve"> </w:t>
      </w:r>
      <w:r>
        <w:rPr>
          <w:color w:val="231F20"/>
          <w:w w:val="105"/>
        </w:rPr>
        <w:t>Europe</w:t>
      </w:r>
      <w:r>
        <w:rPr>
          <w:color w:val="231F20"/>
          <w:spacing w:val="13"/>
          <w:w w:val="105"/>
        </w:rPr>
        <w:t xml:space="preserve"> </w:t>
      </w:r>
      <w:r>
        <w:rPr>
          <w:color w:val="231F20"/>
          <w:w w:val="105"/>
        </w:rPr>
        <w:t>and</w:t>
      </w:r>
      <w:r>
        <w:rPr>
          <w:color w:val="231F20"/>
          <w:spacing w:val="13"/>
          <w:w w:val="105"/>
        </w:rPr>
        <w:t xml:space="preserve"> </w:t>
      </w:r>
      <w:r>
        <w:rPr>
          <w:color w:val="231F20"/>
          <w:w w:val="105"/>
        </w:rPr>
        <w:t>as</w:t>
      </w:r>
      <w:r>
        <w:rPr>
          <w:color w:val="231F20"/>
          <w:spacing w:val="13"/>
          <w:w w:val="105"/>
        </w:rPr>
        <w:t xml:space="preserve"> </w:t>
      </w:r>
      <w:r>
        <w:rPr>
          <w:color w:val="231F20"/>
          <w:w w:val="105"/>
        </w:rPr>
        <w:t>far</w:t>
      </w:r>
      <w:r>
        <w:rPr>
          <w:color w:val="231F20"/>
          <w:spacing w:val="13"/>
          <w:w w:val="105"/>
        </w:rPr>
        <w:t xml:space="preserve"> </w:t>
      </w:r>
      <w:r>
        <w:rPr>
          <w:color w:val="231F20"/>
          <w:spacing w:val="-3"/>
          <w:w w:val="105"/>
        </w:rPr>
        <w:t>away</w:t>
      </w:r>
      <w:r>
        <w:rPr>
          <w:color w:val="231F20"/>
          <w:spacing w:val="13"/>
          <w:w w:val="105"/>
        </w:rPr>
        <w:t xml:space="preserve"> </w:t>
      </w:r>
      <w:r>
        <w:rPr>
          <w:color w:val="231F20"/>
          <w:w w:val="105"/>
        </w:rPr>
        <w:t>as</w:t>
      </w:r>
      <w:r>
        <w:rPr>
          <w:color w:val="231F20"/>
          <w:spacing w:val="15"/>
          <w:w w:val="105"/>
        </w:rPr>
        <w:t xml:space="preserve"> </w:t>
      </w:r>
      <w:r>
        <w:rPr>
          <w:color w:val="231F20"/>
          <w:w w:val="105"/>
        </w:rPr>
        <w:t>Japan,</w:t>
      </w:r>
      <w:r>
        <w:rPr>
          <w:color w:val="231F20"/>
          <w:w w:val="105"/>
          <w:position w:val="7"/>
          <w:sz w:val="11"/>
        </w:rPr>
        <w:t>6</w:t>
      </w:r>
      <w:r>
        <w:rPr>
          <w:color w:val="231F20"/>
          <w:spacing w:val="10"/>
          <w:w w:val="105"/>
          <w:position w:val="7"/>
          <w:sz w:val="11"/>
        </w:rPr>
        <w:t xml:space="preserve"> </w:t>
      </w:r>
      <w:r>
        <w:rPr>
          <w:color w:val="231F20"/>
          <w:w w:val="105"/>
        </w:rPr>
        <w:t>identifying the suspects as Susanne Albrecht, Rolf</w:t>
      </w:r>
      <w:r>
        <w:rPr>
          <w:color w:val="231F20"/>
          <w:spacing w:val="30"/>
          <w:w w:val="105"/>
        </w:rPr>
        <w:t xml:space="preserve"> </w:t>
      </w:r>
      <w:r>
        <w:rPr>
          <w:color w:val="231F20"/>
          <w:w w:val="105"/>
        </w:rPr>
        <w:t>Heissler, Christian</w:t>
      </w:r>
      <w:r>
        <w:rPr>
          <w:color w:val="231F20"/>
          <w:spacing w:val="25"/>
          <w:w w:val="105"/>
        </w:rPr>
        <w:t xml:space="preserve"> </w:t>
      </w:r>
      <w:r>
        <w:rPr>
          <w:color w:val="231F20"/>
          <w:w w:val="105"/>
        </w:rPr>
        <w:t>Klar,</w:t>
      </w:r>
      <w:r>
        <w:rPr>
          <w:color w:val="231F20"/>
          <w:w w:val="135"/>
        </w:rPr>
        <w:t xml:space="preserve"> </w:t>
      </w:r>
      <w:r>
        <w:rPr>
          <w:color w:val="231F20"/>
          <w:w w:val="105"/>
        </w:rPr>
        <w:t>Friederike</w:t>
      </w:r>
      <w:r>
        <w:rPr>
          <w:color w:val="231F20"/>
          <w:spacing w:val="33"/>
          <w:w w:val="105"/>
        </w:rPr>
        <w:t xml:space="preserve"> </w:t>
      </w:r>
      <w:r>
        <w:rPr>
          <w:color w:val="231F20"/>
          <w:w w:val="105"/>
        </w:rPr>
        <w:t>Krabbe,</w:t>
      </w:r>
      <w:r>
        <w:rPr>
          <w:color w:val="231F20"/>
          <w:spacing w:val="33"/>
          <w:w w:val="105"/>
        </w:rPr>
        <w:t xml:space="preserve"> </w:t>
      </w:r>
      <w:r>
        <w:rPr>
          <w:color w:val="231F20"/>
          <w:w w:val="105"/>
        </w:rPr>
        <w:t>Silke</w:t>
      </w:r>
      <w:r>
        <w:rPr>
          <w:color w:val="231F20"/>
          <w:spacing w:val="33"/>
          <w:w w:val="105"/>
        </w:rPr>
        <w:t xml:space="preserve"> </w:t>
      </w:r>
      <w:r>
        <w:rPr>
          <w:color w:val="231F20"/>
          <w:w w:val="105"/>
        </w:rPr>
        <w:t>Maier-Witt,</w:t>
      </w:r>
      <w:r>
        <w:rPr>
          <w:color w:val="231F20"/>
          <w:spacing w:val="33"/>
          <w:w w:val="105"/>
        </w:rPr>
        <w:t xml:space="preserve"> </w:t>
      </w:r>
      <w:r>
        <w:rPr>
          <w:color w:val="231F20"/>
          <w:w w:val="105"/>
        </w:rPr>
        <w:t>Brigitte</w:t>
      </w:r>
      <w:r>
        <w:rPr>
          <w:color w:val="231F20"/>
          <w:spacing w:val="33"/>
          <w:w w:val="105"/>
        </w:rPr>
        <w:t xml:space="preserve"> </w:t>
      </w:r>
      <w:r>
        <w:rPr>
          <w:color w:val="231F20"/>
          <w:w w:val="105"/>
        </w:rPr>
        <w:t>Mohnhaupt,</w:t>
      </w:r>
      <w:r>
        <w:rPr>
          <w:color w:val="231F20"/>
          <w:spacing w:val="33"/>
          <w:w w:val="105"/>
        </w:rPr>
        <w:t xml:space="preserve"> </w:t>
      </w:r>
      <w:r>
        <w:rPr>
          <w:color w:val="231F20"/>
          <w:w w:val="105"/>
        </w:rPr>
        <w:t>Adelheid</w:t>
      </w:r>
    </w:p>
    <w:p w14:paraId="26C141D1" w14:textId="77777777" w:rsidR="002653E8" w:rsidRDefault="00000000">
      <w:pPr>
        <w:pStyle w:val="a3"/>
        <w:spacing w:before="3"/>
        <w:rPr>
          <w:sz w:val="10"/>
        </w:rPr>
      </w:pPr>
      <w:r>
        <w:rPr>
          <w:noProof w:val="0"/>
        </w:rPr>
        <w:pict w14:anchorId="1608D8CE">
          <v:line id="_x0000_s2155" style="position:absolute;z-index:10888;mso-wrap-distance-left:0;mso-wrap-distance-right:0;mso-position-horizontal-relative:page" from="57.4pt,8.25pt" to="129.4pt,8.25pt" strokecolor="#231f20" strokeweight=".5pt">
            <w10:wrap type="topAndBottom" anchorx="page"/>
          </v:line>
        </w:pict>
      </w:r>
    </w:p>
    <w:p w14:paraId="5F06B5E2" w14:textId="77777777" w:rsidR="002653E8" w:rsidRDefault="003115E3">
      <w:pPr>
        <w:pStyle w:val="a4"/>
        <w:numPr>
          <w:ilvl w:val="0"/>
          <w:numId w:val="45"/>
        </w:numPr>
        <w:tabs>
          <w:tab w:val="left" w:pos="1287"/>
        </w:tabs>
        <w:spacing w:before="53" w:line="254" w:lineRule="auto"/>
        <w:ind w:right="1389" w:firstLine="0"/>
        <w:rPr>
          <w:sz w:val="16"/>
        </w:rPr>
      </w:pPr>
      <w:r>
        <w:rPr>
          <w:color w:val="231F20"/>
          <w:w w:val="105"/>
          <w:sz w:val="16"/>
        </w:rPr>
        <w:t xml:space="preserve">François Dosse, </w:t>
      </w:r>
      <w:r>
        <w:rPr>
          <w:i/>
          <w:color w:val="231F20"/>
          <w:w w:val="105"/>
          <w:sz w:val="16"/>
        </w:rPr>
        <w:t xml:space="preserve">History of Structuralism </w:t>
      </w:r>
      <w:r>
        <w:rPr>
          <w:color w:val="231F20"/>
          <w:w w:val="105"/>
          <w:sz w:val="16"/>
        </w:rPr>
        <w:t xml:space="preserve">(Minneapolis: University of Minnestota Press, </w:t>
      </w:r>
      <w:r>
        <w:rPr>
          <w:color w:val="231F20"/>
          <w:spacing w:val="-3"/>
          <w:w w:val="105"/>
          <w:sz w:val="16"/>
        </w:rPr>
        <w:t>1998),</w:t>
      </w:r>
      <w:r>
        <w:rPr>
          <w:color w:val="231F20"/>
          <w:spacing w:val="16"/>
          <w:w w:val="105"/>
          <w:sz w:val="16"/>
        </w:rPr>
        <w:t xml:space="preserve"> </w:t>
      </w:r>
      <w:r>
        <w:rPr>
          <w:color w:val="231F20"/>
          <w:spacing w:val="-7"/>
          <w:w w:val="105"/>
          <w:sz w:val="16"/>
        </w:rPr>
        <w:t>337.</w:t>
      </w:r>
    </w:p>
    <w:p w14:paraId="1F7C7978" w14:textId="77777777" w:rsidR="002653E8" w:rsidRDefault="003115E3">
      <w:pPr>
        <w:pStyle w:val="a4"/>
        <w:numPr>
          <w:ilvl w:val="0"/>
          <w:numId w:val="45"/>
        </w:numPr>
        <w:tabs>
          <w:tab w:val="left" w:pos="1287"/>
        </w:tabs>
        <w:ind w:left="1286" w:hanging="138"/>
        <w:rPr>
          <w:sz w:val="16"/>
        </w:rPr>
      </w:pPr>
      <w:r>
        <w:rPr>
          <w:color w:val="231F20"/>
          <w:w w:val="110"/>
          <w:sz w:val="16"/>
        </w:rPr>
        <w:t xml:space="preserve">Bakker Schut, </w:t>
      </w:r>
      <w:r>
        <w:rPr>
          <w:i/>
          <w:color w:val="231F20"/>
          <w:spacing w:val="1"/>
          <w:w w:val="110"/>
          <w:sz w:val="16"/>
        </w:rPr>
        <w:t>Stammheim,</w:t>
      </w:r>
      <w:r>
        <w:rPr>
          <w:i/>
          <w:color w:val="231F20"/>
          <w:spacing w:val="18"/>
          <w:w w:val="110"/>
          <w:sz w:val="16"/>
        </w:rPr>
        <w:t xml:space="preserve"> </w:t>
      </w:r>
      <w:r>
        <w:rPr>
          <w:color w:val="231F20"/>
          <w:spacing w:val="-4"/>
          <w:w w:val="110"/>
          <w:sz w:val="16"/>
        </w:rPr>
        <w:t>533-534.</w:t>
      </w:r>
    </w:p>
    <w:p w14:paraId="054CA652" w14:textId="77777777" w:rsidR="002653E8" w:rsidRDefault="003115E3">
      <w:pPr>
        <w:pStyle w:val="a4"/>
        <w:numPr>
          <w:ilvl w:val="0"/>
          <w:numId w:val="45"/>
        </w:numPr>
        <w:tabs>
          <w:tab w:val="left" w:pos="1287"/>
        </w:tabs>
        <w:spacing w:before="51"/>
        <w:ind w:left="1286" w:hanging="138"/>
        <w:rPr>
          <w:sz w:val="16"/>
        </w:rPr>
      </w:pPr>
      <w:r>
        <w:rPr>
          <w:i/>
          <w:color w:val="231F20"/>
          <w:w w:val="110"/>
          <w:sz w:val="16"/>
        </w:rPr>
        <w:t xml:space="preserve">Libération, </w:t>
      </w:r>
      <w:r>
        <w:rPr>
          <w:color w:val="231F20"/>
          <w:w w:val="110"/>
          <w:sz w:val="16"/>
        </w:rPr>
        <w:t>“1000 croissants pour un avocat,” October 10,</w:t>
      </w:r>
      <w:r>
        <w:rPr>
          <w:color w:val="231F20"/>
          <w:spacing w:val="8"/>
          <w:w w:val="110"/>
          <w:sz w:val="16"/>
        </w:rPr>
        <w:t xml:space="preserve"> </w:t>
      </w:r>
      <w:r>
        <w:rPr>
          <w:color w:val="231F20"/>
          <w:spacing w:val="-4"/>
          <w:w w:val="110"/>
          <w:sz w:val="16"/>
        </w:rPr>
        <w:t>1977.</w:t>
      </w:r>
    </w:p>
    <w:p w14:paraId="68955454" w14:textId="77777777" w:rsidR="002653E8" w:rsidRDefault="003115E3">
      <w:pPr>
        <w:pStyle w:val="a4"/>
        <w:numPr>
          <w:ilvl w:val="0"/>
          <w:numId w:val="45"/>
        </w:numPr>
        <w:tabs>
          <w:tab w:val="left" w:pos="1287"/>
        </w:tabs>
        <w:spacing w:before="52" w:line="307" w:lineRule="auto"/>
        <w:ind w:right="2366" w:firstLine="0"/>
        <w:rPr>
          <w:sz w:val="16"/>
        </w:rPr>
      </w:pPr>
      <w:r>
        <w:rPr>
          <w:i/>
          <w:color w:val="231F20"/>
          <w:w w:val="110"/>
          <w:sz w:val="16"/>
        </w:rPr>
        <w:t xml:space="preserve">Libération, </w:t>
      </w:r>
      <w:r>
        <w:rPr>
          <w:color w:val="231F20"/>
          <w:w w:val="110"/>
          <w:sz w:val="16"/>
        </w:rPr>
        <w:t xml:space="preserve">“Klaus Croissant et la raison d’État,” October 10, </w:t>
      </w:r>
      <w:r>
        <w:rPr>
          <w:color w:val="231F20"/>
          <w:spacing w:val="-4"/>
          <w:w w:val="110"/>
          <w:sz w:val="16"/>
        </w:rPr>
        <w:t xml:space="preserve">1977. </w:t>
      </w:r>
      <w:r>
        <w:rPr>
          <w:color w:val="231F20"/>
          <w:w w:val="110"/>
          <w:sz w:val="16"/>
        </w:rPr>
        <w:t xml:space="preserve">5 Bakker Schut, </w:t>
      </w:r>
      <w:r>
        <w:rPr>
          <w:i/>
          <w:color w:val="231F20"/>
          <w:spacing w:val="1"/>
          <w:w w:val="110"/>
          <w:sz w:val="16"/>
        </w:rPr>
        <w:t>Stammheim,</w:t>
      </w:r>
      <w:r>
        <w:rPr>
          <w:i/>
          <w:color w:val="231F20"/>
          <w:spacing w:val="22"/>
          <w:w w:val="110"/>
          <w:sz w:val="16"/>
        </w:rPr>
        <w:t xml:space="preserve"> </w:t>
      </w:r>
      <w:r>
        <w:rPr>
          <w:color w:val="231F20"/>
          <w:spacing w:val="-4"/>
          <w:w w:val="110"/>
          <w:sz w:val="16"/>
        </w:rPr>
        <w:t>532-533.</w:t>
      </w:r>
    </w:p>
    <w:p w14:paraId="43D111BA" w14:textId="77777777" w:rsidR="002653E8" w:rsidRDefault="003115E3">
      <w:pPr>
        <w:spacing w:line="186" w:lineRule="exact"/>
        <w:ind w:left="1147"/>
        <w:rPr>
          <w:sz w:val="16"/>
        </w:rPr>
      </w:pPr>
      <w:r>
        <w:rPr>
          <w:color w:val="231F20"/>
          <w:w w:val="105"/>
          <w:sz w:val="16"/>
        </w:rPr>
        <w:t>6 United Press International, “Germans Ask Japan Help Tracking Killers,”</w:t>
      </w:r>
    </w:p>
    <w:p w14:paraId="46A1E609" w14:textId="77777777" w:rsidR="002653E8" w:rsidRDefault="003115E3">
      <w:pPr>
        <w:spacing w:before="11"/>
        <w:ind w:left="1147"/>
        <w:rPr>
          <w:sz w:val="16"/>
        </w:rPr>
      </w:pPr>
      <w:r>
        <w:rPr>
          <w:i/>
          <w:color w:val="231F20"/>
          <w:w w:val="110"/>
          <w:sz w:val="16"/>
        </w:rPr>
        <w:t xml:space="preserve">Newport (R.I.) Daily News, </w:t>
      </w:r>
      <w:r>
        <w:rPr>
          <w:color w:val="231F20"/>
          <w:w w:val="110"/>
          <w:sz w:val="16"/>
        </w:rPr>
        <w:t>November 12, 1977.</w:t>
      </w:r>
    </w:p>
    <w:p w14:paraId="4C02BC76" w14:textId="77777777" w:rsidR="002653E8" w:rsidRDefault="002653E8">
      <w:pPr>
        <w:rPr>
          <w:sz w:val="16"/>
        </w:rPr>
        <w:sectPr w:rsidR="002653E8">
          <w:pgSz w:w="8640" w:h="12960"/>
          <w:pgMar w:top="1060" w:right="0" w:bottom="1040" w:left="0" w:header="0" w:footer="850" w:gutter="0"/>
          <w:cols w:space="720"/>
        </w:sectPr>
      </w:pPr>
    </w:p>
    <w:p w14:paraId="2004E8DD" w14:textId="77777777" w:rsidR="002653E8" w:rsidRDefault="003115E3">
      <w:pPr>
        <w:pStyle w:val="a3"/>
        <w:spacing w:before="86" w:line="264" w:lineRule="auto"/>
        <w:ind w:left="1327" w:right="1137"/>
        <w:jc w:val="both"/>
      </w:pPr>
      <w:r w:rsidRPr="00846956">
        <w:rPr>
          <w:color w:val="231F20"/>
          <w:w w:val="105"/>
          <w:lang w:val="de-DE"/>
        </w:rPr>
        <w:lastRenderedPageBreak/>
        <w:t xml:space="preserve">Schulz, Angelika Speitel, Sigrid Sternebeck, Willi-Peter Stoll, Christof Wackernagel, Rolf Clemens Wagner, Elisabeth von Dyck, Juliane Plambeck, Inge Viett, and Jörg Lang. </w:t>
      </w:r>
      <w:r>
        <w:rPr>
          <w:color w:val="231F20"/>
          <w:w w:val="105"/>
        </w:rPr>
        <w:t xml:space="preserve">The equivalent of </w:t>
      </w:r>
      <w:r>
        <w:rPr>
          <w:color w:val="231F20"/>
          <w:spacing w:val="-3"/>
          <w:w w:val="105"/>
        </w:rPr>
        <w:t xml:space="preserve">$19,200 </w:t>
      </w:r>
      <w:r>
        <w:rPr>
          <w:color w:val="231F20"/>
          <w:w w:val="105"/>
        </w:rPr>
        <w:t>was offered</w:t>
      </w:r>
      <w:r>
        <w:rPr>
          <w:color w:val="231F20"/>
          <w:spacing w:val="-7"/>
          <w:w w:val="105"/>
        </w:rPr>
        <w:t xml:space="preserve"> </w:t>
      </w:r>
      <w:r>
        <w:rPr>
          <w:color w:val="231F20"/>
          <w:w w:val="105"/>
        </w:rPr>
        <w:t>for</w:t>
      </w:r>
      <w:r>
        <w:rPr>
          <w:color w:val="231F20"/>
          <w:spacing w:val="-7"/>
          <w:w w:val="105"/>
        </w:rPr>
        <w:t xml:space="preserve"> </w:t>
      </w:r>
      <w:r>
        <w:rPr>
          <w:color w:val="231F20"/>
          <w:w w:val="105"/>
        </w:rPr>
        <w:t>information</w:t>
      </w:r>
      <w:r>
        <w:rPr>
          <w:color w:val="231F20"/>
          <w:spacing w:val="-7"/>
          <w:w w:val="105"/>
        </w:rPr>
        <w:t xml:space="preserve"> </w:t>
      </w:r>
      <w:r>
        <w:rPr>
          <w:color w:val="231F20"/>
          <w:w w:val="105"/>
        </w:rPr>
        <w:t>leading</w:t>
      </w:r>
      <w:r>
        <w:rPr>
          <w:color w:val="231F20"/>
          <w:spacing w:val="-7"/>
          <w:w w:val="105"/>
        </w:rPr>
        <w:t xml:space="preserve"> </w:t>
      </w:r>
      <w:r>
        <w:rPr>
          <w:color w:val="231F20"/>
          <w:w w:val="105"/>
        </w:rPr>
        <w:t>to</w:t>
      </w:r>
      <w:r>
        <w:rPr>
          <w:color w:val="231F20"/>
          <w:spacing w:val="-7"/>
          <w:w w:val="105"/>
        </w:rPr>
        <w:t xml:space="preserve"> </w:t>
      </w:r>
      <w:r>
        <w:rPr>
          <w:color w:val="231F20"/>
          <w:w w:val="105"/>
        </w:rPr>
        <w:t>the</w:t>
      </w:r>
      <w:r>
        <w:rPr>
          <w:color w:val="231F20"/>
          <w:spacing w:val="-7"/>
          <w:w w:val="105"/>
        </w:rPr>
        <w:t xml:space="preserve"> </w:t>
      </w:r>
      <w:r>
        <w:rPr>
          <w:color w:val="231F20"/>
          <w:w w:val="105"/>
        </w:rPr>
        <w:t>arrest</w:t>
      </w:r>
      <w:r>
        <w:rPr>
          <w:color w:val="231F20"/>
          <w:spacing w:val="-7"/>
          <w:w w:val="105"/>
        </w:rPr>
        <w:t xml:space="preserve"> </w:t>
      </w:r>
      <w:r>
        <w:rPr>
          <w:color w:val="231F20"/>
          <w:w w:val="105"/>
        </w:rPr>
        <w:t>of</w:t>
      </w:r>
      <w:r>
        <w:rPr>
          <w:color w:val="231F20"/>
          <w:spacing w:val="-7"/>
          <w:w w:val="105"/>
        </w:rPr>
        <w:t xml:space="preserve"> </w:t>
      </w:r>
      <w:r>
        <w:rPr>
          <w:color w:val="231F20"/>
          <w:w w:val="105"/>
        </w:rPr>
        <w:t>each</w:t>
      </w:r>
      <w:r>
        <w:rPr>
          <w:color w:val="231F20"/>
          <w:spacing w:val="-7"/>
          <w:w w:val="105"/>
        </w:rPr>
        <w:t xml:space="preserve"> </w:t>
      </w:r>
      <w:r>
        <w:rPr>
          <w:color w:val="231F20"/>
          <w:w w:val="105"/>
        </w:rPr>
        <w:t>of</w:t>
      </w:r>
      <w:r>
        <w:rPr>
          <w:color w:val="231F20"/>
          <w:spacing w:val="-7"/>
          <w:w w:val="105"/>
        </w:rPr>
        <w:t xml:space="preserve"> </w:t>
      </w:r>
      <w:r>
        <w:rPr>
          <w:color w:val="231F20"/>
          <w:w w:val="105"/>
        </w:rPr>
        <w:t>these</w:t>
      </w:r>
      <w:r>
        <w:rPr>
          <w:color w:val="231F20"/>
          <w:spacing w:val="-7"/>
          <w:w w:val="105"/>
        </w:rPr>
        <w:t xml:space="preserve"> </w:t>
      </w:r>
      <w:r>
        <w:rPr>
          <w:color w:val="231F20"/>
          <w:w w:val="105"/>
        </w:rPr>
        <w:t xml:space="preserve">suspects, for a total of over $300,000. (Plambeck and Viett were not actually members of the </w:t>
      </w:r>
      <w:r w:rsidR="00C507A5">
        <w:rPr>
          <w:color w:val="231F20"/>
          <w:w w:val="105"/>
        </w:rPr>
        <w:t>red army faction</w:t>
      </w:r>
      <w:r>
        <w:rPr>
          <w:color w:val="231F20"/>
          <w:w w:val="105"/>
        </w:rPr>
        <w:t xml:space="preserve">, but of the 2nd of June Movement, the bulk of whose members would dissolve their organization and join the </w:t>
      </w:r>
      <w:r w:rsidR="00C507A5">
        <w:rPr>
          <w:color w:val="231F20"/>
          <w:spacing w:val="6"/>
          <w:w w:val="105"/>
        </w:rPr>
        <w:t>red army faction</w:t>
      </w:r>
      <w:r>
        <w:rPr>
          <w:color w:val="231F20"/>
          <w:spacing w:val="6"/>
          <w:w w:val="105"/>
        </w:rPr>
        <w:t xml:space="preserve"> </w:t>
      </w:r>
      <w:r>
        <w:rPr>
          <w:color w:val="231F20"/>
          <w:w w:val="105"/>
        </w:rPr>
        <w:t>in</w:t>
      </w:r>
      <w:r>
        <w:rPr>
          <w:color w:val="231F20"/>
          <w:spacing w:val="7"/>
          <w:w w:val="105"/>
        </w:rPr>
        <w:t xml:space="preserve"> </w:t>
      </w:r>
      <w:r>
        <w:rPr>
          <w:color w:val="231F20"/>
          <w:spacing w:val="-6"/>
          <w:w w:val="105"/>
        </w:rPr>
        <w:t>1980.)</w:t>
      </w:r>
    </w:p>
    <w:p w14:paraId="776632A2" w14:textId="77777777" w:rsidR="002653E8" w:rsidRDefault="003115E3">
      <w:pPr>
        <w:pStyle w:val="a3"/>
        <w:spacing w:line="264" w:lineRule="auto"/>
        <w:ind w:left="1327" w:right="1146" w:firstLine="210"/>
        <w:jc w:val="both"/>
      </w:pPr>
      <w:r>
        <w:rPr>
          <w:color w:val="231F20"/>
        </w:rPr>
        <w:t xml:space="preserve">One name that did not immediately appear on the wanted posters was that of Peter-Jürgen Boock, the husband of </w:t>
      </w:r>
      <w:r w:rsidR="00C507A5">
        <w:rPr>
          <w:color w:val="231F20"/>
          <w:spacing w:val="5"/>
        </w:rPr>
        <w:t>red army faction</w:t>
      </w:r>
      <w:r>
        <w:rPr>
          <w:color w:val="231F20"/>
          <w:spacing w:val="5"/>
        </w:rPr>
        <w:t xml:space="preserve"> </w:t>
      </w:r>
      <w:r>
        <w:rPr>
          <w:color w:val="231F20"/>
        </w:rPr>
        <w:t>prisoner Waltraud Boock, and yet it was later revealed that this man had in fact been central to the events of</w:t>
      </w:r>
      <w:r>
        <w:rPr>
          <w:color w:val="231F20"/>
          <w:spacing w:val="10"/>
        </w:rPr>
        <w:t xml:space="preserve"> </w:t>
      </w:r>
      <w:r>
        <w:rPr>
          <w:color w:val="231F20"/>
          <w:spacing w:val="-6"/>
        </w:rPr>
        <w:t>77.</w:t>
      </w:r>
    </w:p>
    <w:p w14:paraId="26B17494" w14:textId="77777777" w:rsidR="002653E8" w:rsidRDefault="003115E3">
      <w:pPr>
        <w:pStyle w:val="a3"/>
        <w:spacing w:line="264" w:lineRule="auto"/>
        <w:ind w:left="1327" w:right="1146" w:firstLine="210"/>
        <w:jc w:val="both"/>
        <w:rPr>
          <w:sz w:val="11"/>
        </w:rPr>
      </w:pPr>
      <w:r>
        <w:rPr>
          <w:color w:val="231F20"/>
        </w:rPr>
        <w:t xml:space="preserve">Boock had wanted to join the </w:t>
      </w:r>
      <w:r w:rsidR="00C507A5">
        <w:rPr>
          <w:color w:val="231F20"/>
        </w:rPr>
        <w:t>red army faction</w:t>
      </w:r>
      <w:r>
        <w:rPr>
          <w:color w:val="231F20"/>
        </w:rPr>
        <w:t xml:space="preserve"> ever since he was a teenaged runaway, one of the kids Baader and Ensslin had worked with in Frankfurt back in 1970. They had rejected him as a member at the time, not least because of his drug habit, a curse which only worsened as the years went on. Nevertheless, by the mid-seventies, with the original leadership largely removed from the field, Boock became a trusted recruit and was sent to South yemen for training in 1975.</w:t>
      </w:r>
      <w:r>
        <w:rPr>
          <w:color w:val="231F20"/>
          <w:position w:val="7"/>
          <w:sz w:val="11"/>
        </w:rPr>
        <w:t>7</w:t>
      </w:r>
    </w:p>
    <w:p w14:paraId="00D211D5" w14:textId="77777777" w:rsidR="002653E8" w:rsidRDefault="003115E3">
      <w:pPr>
        <w:pStyle w:val="a3"/>
        <w:spacing w:line="264" w:lineRule="auto"/>
        <w:ind w:left="1327" w:right="1145" w:firstLine="210"/>
        <w:jc w:val="both"/>
        <w:rPr>
          <w:sz w:val="11"/>
        </w:rPr>
      </w:pPr>
      <w:r>
        <w:rPr>
          <w:color w:val="231F20"/>
          <w:spacing w:val="1"/>
        </w:rPr>
        <w:t xml:space="preserve">In </w:t>
      </w:r>
      <w:r>
        <w:rPr>
          <w:color w:val="231F20"/>
        </w:rPr>
        <w:t xml:space="preserve">the wake of </w:t>
      </w:r>
      <w:r>
        <w:rPr>
          <w:color w:val="231F20"/>
          <w:spacing w:val="-5"/>
        </w:rPr>
        <w:t xml:space="preserve">77,  </w:t>
      </w:r>
      <w:r>
        <w:rPr>
          <w:color w:val="231F20"/>
        </w:rPr>
        <w:t xml:space="preserve">Boock and other </w:t>
      </w:r>
      <w:r w:rsidR="00C507A5">
        <w:rPr>
          <w:color w:val="231F20"/>
          <w:spacing w:val="5"/>
        </w:rPr>
        <w:t>red army faction</w:t>
      </w:r>
      <w:r>
        <w:rPr>
          <w:color w:val="231F20"/>
          <w:spacing w:val="5"/>
        </w:rPr>
        <w:t xml:space="preserve"> </w:t>
      </w:r>
      <w:r>
        <w:rPr>
          <w:color w:val="231F20"/>
        </w:rPr>
        <w:t xml:space="preserve">fugitives had found shelter  in Baghdad, but he remained plagued by his addiction, and when he began going through withdrawal, some of his comrades became desperate. At this point, Brigitte Mohnhaupt, the senior guerilla in  the  field, made the incredible decision to ask </w:t>
      </w:r>
      <w:r w:rsidR="00C507A5">
        <w:rPr>
          <w:color w:val="231F20"/>
          <w:spacing w:val="5"/>
        </w:rPr>
        <w:t>red army faction</w:t>
      </w:r>
      <w:r>
        <w:rPr>
          <w:color w:val="231F20"/>
          <w:spacing w:val="5"/>
        </w:rPr>
        <w:t xml:space="preserve"> </w:t>
      </w:r>
      <w:r>
        <w:rPr>
          <w:color w:val="231F20"/>
        </w:rPr>
        <w:t>members and supporters still in Europe to buy or steal drugs, which would then presumably be smuggled into the Middle</w:t>
      </w:r>
      <w:r>
        <w:rPr>
          <w:color w:val="231F20"/>
          <w:spacing w:val="2"/>
        </w:rPr>
        <w:t xml:space="preserve"> </w:t>
      </w:r>
      <w:r>
        <w:rPr>
          <w:color w:val="231F20"/>
        </w:rPr>
        <w:t>East.</w:t>
      </w:r>
      <w:r>
        <w:rPr>
          <w:color w:val="231F20"/>
          <w:position w:val="7"/>
          <w:sz w:val="11"/>
        </w:rPr>
        <w:t>8</w:t>
      </w:r>
    </w:p>
    <w:p w14:paraId="1602D779" w14:textId="77777777" w:rsidR="002653E8" w:rsidRDefault="003115E3">
      <w:pPr>
        <w:pStyle w:val="a3"/>
        <w:spacing w:line="264" w:lineRule="auto"/>
        <w:ind w:left="1328" w:right="1145" w:firstLine="209"/>
        <w:jc w:val="both"/>
      </w:pPr>
      <w:r>
        <w:rPr>
          <w:color w:val="231F20"/>
        </w:rPr>
        <w:t xml:space="preserve">The first </w:t>
      </w:r>
      <w:r w:rsidR="00C507A5">
        <w:rPr>
          <w:color w:val="231F20"/>
          <w:spacing w:val="5"/>
        </w:rPr>
        <w:t>red army faction</w:t>
      </w:r>
      <w:r>
        <w:rPr>
          <w:color w:val="231F20"/>
          <w:spacing w:val="5"/>
        </w:rPr>
        <w:t xml:space="preserve"> </w:t>
      </w:r>
      <w:r>
        <w:rPr>
          <w:color w:val="231F20"/>
        </w:rPr>
        <w:t>members arrested after the Stammheim deaths were  on</w:t>
      </w:r>
      <w:r>
        <w:rPr>
          <w:color w:val="231F20"/>
          <w:spacing w:val="6"/>
        </w:rPr>
        <w:t xml:space="preserve"> </w:t>
      </w:r>
      <w:r>
        <w:rPr>
          <w:color w:val="231F20"/>
        </w:rPr>
        <w:t>one</w:t>
      </w:r>
      <w:r>
        <w:rPr>
          <w:color w:val="231F20"/>
          <w:spacing w:val="6"/>
        </w:rPr>
        <w:t xml:space="preserve"> </w:t>
      </w:r>
      <w:r>
        <w:rPr>
          <w:color w:val="231F20"/>
        </w:rPr>
        <w:t>such</w:t>
      </w:r>
      <w:r>
        <w:rPr>
          <w:color w:val="231F20"/>
          <w:spacing w:val="6"/>
        </w:rPr>
        <w:t xml:space="preserve"> </w:t>
      </w:r>
      <w:r>
        <w:rPr>
          <w:color w:val="231F20"/>
        </w:rPr>
        <w:t>mission.</w:t>
      </w:r>
      <w:r>
        <w:rPr>
          <w:color w:val="231F20"/>
          <w:spacing w:val="7"/>
        </w:rPr>
        <w:t xml:space="preserve"> </w:t>
      </w:r>
      <w:r>
        <w:rPr>
          <w:color w:val="231F20"/>
        </w:rPr>
        <w:t>Christof</w:t>
      </w:r>
      <w:r>
        <w:rPr>
          <w:color w:val="231F20"/>
          <w:spacing w:val="6"/>
        </w:rPr>
        <w:t xml:space="preserve"> </w:t>
      </w:r>
      <w:r>
        <w:rPr>
          <w:color w:val="231F20"/>
        </w:rPr>
        <w:t>Wackernagel</w:t>
      </w:r>
      <w:r>
        <w:rPr>
          <w:color w:val="231F20"/>
          <w:spacing w:val="6"/>
        </w:rPr>
        <w:t xml:space="preserve"> </w:t>
      </w:r>
      <w:r>
        <w:rPr>
          <w:color w:val="231F20"/>
        </w:rPr>
        <w:t>and</w:t>
      </w:r>
      <w:r>
        <w:rPr>
          <w:color w:val="231F20"/>
          <w:spacing w:val="7"/>
        </w:rPr>
        <w:t xml:space="preserve"> </w:t>
      </w:r>
      <w:r>
        <w:rPr>
          <w:color w:val="231F20"/>
        </w:rPr>
        <w:t>Gerd</w:t>
      </w:r>
      <w:r>
        <w:rPr>
          <w:color w:val="231F20"/>
          <w:spacing w:val="6"/>
        </w:rPr>
        <w:t xml:space="preserve"> </w:t>
      </w:r>
      <w:r>
        <w:rPr>
          <w:color w:val="231F20"/>
        </w:rPr>
        <w:t>Schneider</w:t>
      </w:r>
      <w:r>
        <w:rPr>
          <w:color w:val="231F20"/>
          <w:spacing w:val="6"/>
        </w:rPr>
        <w:t xml:space="preserve"> </w:t>
      </w:r>
      <w:r>
        <w:rPr>
          <w:color w:val="231F20"/>
        </w:rPr>
        <w:t>were</w:t>
      </w:r>
      <w:r>
        <w:rPr>
          <w:color w:val="231F20"/>
          <w:spacing w:val="6"/>
        </w:rPr>
        <w:t xml:space="preserve"> </w:t>
      </w:r>
      <w:r>
        <w:rPr>
          <w:color w:val="231F20"/>
        </w:rPr>
        <w:t>in</w:t>
      </w:r>
    </w:p>
    <w:p w14:paraId="0610EE31" w14:textId="77777777" w:rsidR="002653E8" w:rsidRDefault="00000000">
      <w:pPr>
        <w:pStyle w:val="a3"/>
        <w:spacing w:before="9"/>
        <w:rPr>
          <w:sz w:val="24"/>
        </w:rPr>
      </w:pPr>
      <w:r>
        <w:rPr>
          <w:noProof w:val="0"/>
        </w:rPr>
        <w:pict w14:anchorId="6C721EB1">
          <v:line id="_x0000_s2154" style="position:absolute;z-index:10936;mso-wrap-distance-left:0;mso-wrap-distance-right:0;mso-position-horizontal-relative:page" from="66.4pt,16.75pt" to="138.4pt,16.75pt" strokecolor="#231f20" strokeweight=".5pt">
            <w10:wrap type="topAndBottom" anchorx="page"/>
          </v:line>
        </w:pict>
      </w:r>
    </w:p>
    <w:p w14:paraId="528E7360" w14:textId="77777777" w:rsidR="002653E8" w:rsidRDefault="003115E3">
      <w:pPr>
        <w:spacing w:before="53" w:line="254" w:lineRule="auto"/>
        <w:ind w:left="1328" w:right="1580" w:hanging="1"/>
        <w:rPr>
          <w:sz w:val="16"/>
        </w:rPr>
      </w:pPr>
      <w:r>
        <w:rPr>
          <w:color w:val="231F20"/>
          <w:w w:val="110"/>
          <w:sz w:val="16"/>
        </w:rPr>
        <w:t xml:space="preserve">7 In 1988, </w:t>
      </w:r>
      <w:r w:rsidR="00C507A5">
        <w:rPr>
          <w:color w:val="231F20"/>
          <w:w w:val="110"/>
          <w:sz w:val="16"/>
        </w:rPr>
        <w:t>red army faction</w:t>
      </w:r>
      <w:r>
        <w:rPr>
          <w:color w:val="231F20"/>
          <w:w w:val="110"/>
          <w:sz w:val="16"/>
        </w:rPr>
        <w:t xml:space="preserve"> prisoners Knut Folkerts, Rolf Heissler, Sieglinde Hofmann, Christian Klar, Christine Kuby, Roland Mayer, Brigitte Mohnhaupt, Adelheid</w:t>
      </w:r>
    </w:p>
    <w:p w14:paraId="3DED1A75" w14:textId="77777777" w:rsidR="002653E8" w:rsidRDefault="003115E3">
      <w:pPr>
        <w:spacing w:before="1" w:line="254" w:lineRule="auto"/>
        <w:ind w:left="1327" w:right="1325"/>
        <w:rPr>
          <w:i/>
          <w:sz w:val="16"/>
        </w:rPr>
      </w:pPr>
      <w:r>
        <w:rPr>
          <w:color w:val="231F20"/>
          <w:w w:val="105"/>
          <w:sz w:val="16"/>
        </w:rPr>
        <w:t xml:space="preserve">Schulz, Günter Sonnenberg, and Rolf Clemens Wagner signed a joint declaration about Boock, his </w:t>
      </w:r>
      <w:r>
        <w:rPr>
          <w:color w:val="231F20"/>
          <w:spacing w:val="1"/>
          <w:w w:val="105"/>
          <w:sz w:val="16"/>
        </w:rPr>
        <w:t xml:space="preserve">drug </w:t>
      </w:r>
      <w:r>
        <w:rPr>
          <w:color w:val="231F20"/>
          <w:w w:val="105"/>
          <w:sz w:val="16"/>
        </w:rPr>
        <w:t xml:space="preserve">habit and his lies. They explained that when he joined the guerilla he claimed to have been diagnosed with intestinal cancer, and that he only had a short while to live. He explained away his </w:t>
      </w:r>
      <w:r>
        <w:rPr>
          <w:color w:val="231F20"/>
          <w:spacing w:val="1"/>
          <w:w w:val="105"/>
          <w:sz w:val="16"/>
        </w:rPr>
        <w:t xml:space="preserve">drug </w:t>
      </w:r>
      <w:r>
        <w:rPr>
          <w:color w:val="231F20"/>
          <w:w w:val="105"/>
          <w:sz w:val="16"/>
        </w:rPr>
        <w:t>use, insisting it was to deal with the pain from his cancer. It was only when he was examined by doctors in yugoslavia in mid-1978 that it came to light that he had never had cancer, he was simply a junkie lying to manipulate his  friends  into  getting  him  dope.  [</w:t>
      </w:r>
      <w:r>
        <w:rPr>
          <w:i/>
          <w:color w:val="231F20"/>
          <w:w w:val="105"/>
          <w:sz w:val="16"/>
        </w:rPr>
        <w:t>Boock’s Lies</w:t>
      </w:r>
      <w:r>
        <w:rPr>
          <w:i/>
          <w:color w:val="231F20"/>
          <w:spacing w:val="15"/>
          <w:w w:val="105"/>
          <w:sz w:val="16"/>
        </w:rPr>
        <w:t xml:space="preserve"> </w:t>
      </w:r>
      <w:r>
        <w:rPr>
          <w:color w:val="231F20"/>
          <w:w w:val="105"/>
          <w:sz w:val="16"/>
        </w:rPr>
        <w:t>(August</w:t>
      </w:r>
      <w:r>
        <w:rPr>
          <w:color w:val="231F20"/>
          <w:spacing w:val="15"/>
          <w:w w:val="105"/>
          <w:sz w:val="16"/>
        </w:rPr>
        <w:t xml:space="preserve"> </w:t>
      </w:r>
      <w:r>
        <w:rPr>
          <w:color w:val="231F20"/>
          <w:spacing w:val="-4"/>
          <w:w w:val="105"/>
          <w:sz w:val="16"/>
        </w:rPr>
        <w:t>1988).</w:t>
      </w:r>
      <w:r>
        <w:rPr>
          <w:color w:val="231F20"/>
          <w:spacing w:val="15"/>
          <w:w w:val="105"/>
          <w:sz w:val="16"/>
        </w:rPr>
        <w:t xml:space="preserve"> </w:t>
      </w:r>
      <w:r>
        <w:rPr>
          <w:color w:val="231F20"/>
          <w:spacing w:val="1"/>
          <w:w w:val="105"/>
          <w:sz w:val="16"/>
        </w:rPr>
        <w:t>This</w:t>
      </w:r>
      <w:r>
        <w:rPr>
          <w:color w:val="231F20"/>
          <w:spacing w:val="15"/>
          <w:w w:val="105"/>
          <w:sz w:val="16"/>
        </w:rPr>
        <w:t xml:space="preserve"> </w:t>
      </w:r>
      <w:r>
        <w:rPr>
          <w:color w:val="231F20"/>
          <w:w w:val="105"/>
          <w:sz w:val="16"/>
        </w:rPr>
        <w:t>text</w:t>
      </w:r>
      <w:r>
        <w:rPr>
          <w:color w:val="231F20"/>
          <w:spacing w:val="15"/>
          <w:w w:val="105"/>
          <w:sz w:val="16"/>
        </w:rPr>
        <w:t xml:space="preserve"> </w:t>
      </w:r>
      <w:r>
        <w:rPr>
          <w:color w:val="231F20"/>
          <w:w w:val="105"/>
          <w:sz w:val="16"/>
        </w:rPr>
        <w:t>will</w:t>
      </w:r>
      <w:r>
        <w:rPr>
          <w:color w:val="231F20"/>
          <w:spacing w:val="15"/>
          <w:w w:val="105"/>
          <w:sz w:val="16"/>
        </w:rPr>
        <w:t xml:space="preserve"> </w:t>
      </w:r>
      <w:r>
        <w:rPr>
          <w:color w:val="231F20"/>
          <w:w w:val="105"/>
          <w:sz w:val="16"/>
        </w:rPr>
        <w:t>appear</w:t>
      </w:r>
      <w:r>
        <w:rPr>
          <w:color w:val="231F20"/>
          <w:spacing w:val="15"/>
          <w:w w:val="105"/>
          <w:sz w:val="16"/>
        </w:rPr>
        <w:t xml:space="preserve"> </w:t>
      </w:r>
      <w:r>
        <w:rPr>
          <w:color w:val="231F20"/>
          <w:w w:val="105"/>
          <w:sz w:val="16"/>
        </w:rPr>
        <w:t>in</w:t>
      </w:r>
      <w:r>
        <w:rPr>
          <w:color w:val="231F20"/>
          <w:spacing w:val="15"/>
          <w:w w:val="105"/>
          <w:sz w:val="16"/>
        </w:rPr>
        <w:t xml:space="preserve"> </w:t>
      </w:r>
      <w:r>
        <w:rPr>
          <w:color w:val="231F20"/>
          <w:w w:val="105"/>
          <w:sz w:val="16"/>
        </w:rPr>
        <w:t>our</w:t>
      </w:r>
      <w:r>
        <w:rPr>
          <w:color w:val="231F20"/>
          <w:spacing w:val="15"/>
          <w:w w:val="105"/>
          <w:sz w:val="16"/>
        </w:rPr>
        <w:t xml:space="preserve"> </w:t>
      </w:r>
      <w:r>
        <w:rPr>
          <w:color w:val="231F20"/>
          <w:w w:val="105"/>
          <w:sz w:val="16"/>
        </w:rPr>
        <w:t>second</w:t>
      </w:r>
      <w:r>
        <w:rPr>
          <w:color w:val="231F20"/>
          <w:spacing w:val="15"/>
          <w:w w:val="105"/>
          <w:sz w:val="16"/>
        </w:rPr>
        <w:t xml:space="preserve"> </w:t>
      </w:r>
      <w:r>
        <w:rPr>
          <w:color w:val="231F20"/>
          <w:w w:val="105"/>
          <w:sz w:val="16"/>
        </w:rPr>
        <w:t>volume,</w:t>
      </w:r>
      <w:r>
        <w:rPr>
          <w:color w:val="231F20"/>
          <w:spacing w:val="15"/>
          <w:w w:val="105"/>
          <w:sz w:val="16"/>
        </w:rPr>
        <w:t xml:space="preserve"> </w:t>
      </w:r>
      <w:r>
        <w:rPr>
          <w:i/>
          <w:color w:val="231F20"/>
          <w:w w:val="105"/>
          <w:sz w:val="16"/>
        </w:rPr>
        <w:t>The</w:t>
      </w:r>
      <w:r>
        <w:rPr>
          <w:i/>
          <w:color w:val="231F20"/>
          <w:spacing w:val="15"/>
          <w:w w:val="105"/>
          <w:sz w:val="16"/>
        </w:rPr>
        <w:t xml:space="preserve"> </w:t>
      </w:r>
      <w:r>
        <w:rPr>
          <w:i/>
          <w:color w:val="231F20"/>
          <w:w w:val="105"/>
          <w:sz w:val="16"/>
        </w:rPr>
        <w:t>Red</w:t>
      </w:r>
      <w:r>
        <w:rPr>
          <w:i/>
          <w:color w:val="231F20"/>
          <w:spacing w:val="15"/>
          <w:w w:val="105"/>
          <w:sz w:val="16"/>
        </w:rPr>
        <w:t xml:space="preserve"> </w:t>
      </w:r>
      <w:r>
        <w:rPr>
          <w:i/>
          <w:color w:val="231F20"/>
          <w:spacing w:val="1"/>
          <w:w w:val="105"/>
          <w:sz w:val="16"/>
        </w:rPr>
        <w:t>Army</w:t>
      </w:r>
    </w:p>
    <w:p w14:paraId="4C1CBDF0" w14:textId="77777777" w:rsidR="002653E8" w:rsidRDefault="003115E3">
      <w:pPr>
        <w:spacing w:before="3" w:line="254" w:lineRule="auto"/>
        <w:ind w:left="1327" w:right="1145"/>
        <w:rPr>
          <w:sz w:val="16"/>
        </w:rPr>
      </w:pPr>
      <w:r>
        <w:rPr>
          <w:i/>
          <w:color w:val="231F20"/>
          <w:w w:val="110"/>
          <w:sz w:val="16"/>
        </w:rPr>
        <w:t>Faction, a Documentary History, Volume II: Dancing with Imperialism: One Step Forward, Two Steps Back.</w:t>
      </w:r>
      <w:r>
        <w:rPr>
          <w:color w:val="231F20"/>
          <w:w w:val="110"/>
          <w:sz w:val="16"/>
        </w:rPr>
        <w:t>]</w:t>
      </w:r>
    </w:p>
    <w:p w14:paraId="05AF8C50" w14:textId="77777777" w:rsidR="002653E8" w:rsidRDefault="003115E3">
      <w:pPr>
        <w:spacing w:before="40"/>
        <w:ind w:left="1327"/>
        <w:rPr>
          <w:sz w:val="16"/>
        </w:rPr>
      </w:pPr>
      <w:r>
        <w:rPr>
          <w:color w:val="231F20"/>
          <w:w w:val="110"/>
          <w:sz w:val="16"/>
        </w:rPr>
        <w:t xml:space="preserve">8 </w:t>
      </w:r>
      <w:r>
        <w:rPr>
          <w:i/>
          <w:color w:val="231F20"/>
          <w:w w:val="110"/>
          <w:sz w:val="16"/>
        </w:rPr>
        <w:t xml:space="preserve">Spiegel </w:t>
      </w:r>
      <w:r>
        <w:rPr>
          <w:color w:val="231F20"/>
          <w:w w:val="110"/>
          <w:sz w:val="16"/>
        </w:rPr>
        <w:t>44, 2007, 70.</w:t>
      </w:r>
    </w:p>
    <w:p w14:paraId="3AA690A9" w14:textId="77777777" w:rsidR="002653E8" w:rsidRDefault="002653E8">
      <w:pPr>
        <w:rPr>
          <w:sz w:val="16"/>
        </w:rPr>
        <w:sectPr w:rsidR="002653E8">
          <w:pgSz w:w="8640" w:h="12960"/>
          <w:pgMar w:top="1060" w:right="0" w:bottom="1040" w:left="0" w:header="0" w:footer="850" w:gutter="0"/>
          <w:cols w:space="720"/>
        </w:sectPr>
      </w:pPr>
    </w:p>
    <w:p w14:paraId="230874B2" w14:textId="77777777" w:rsidR="002653E8" w:rsidRDefault="003115E3">
      <w:pPr>
        <w:pStyle w:val="a3"/>
        <w:spacing w:before="86" w:line="264" w:lineRule="auto"/>
        <w:ind w:left="1147" w:right="1326"/>
        <w:jc w:val="both"/>
        <w:rPr>
          <w:sz w:val="11"/>
        </w:rPr>
      </w:pPr>
      <w:r>
        <w:rPr>
          <w:color w:val="231F20"/>
        </w:rPr>
        <w:lastRenderedPageBreak/>
        <w:t xml:space="preserve">Amsterdam looking to score for Boock, but unknown to the two men, their safehouse had been identified during the Caransa investigation, and the police had it under constant  observation.  On  November  </w:t>
      </w:r>
      <w:r>
        <w:rPr>
          <w:color w:val="231F20"/>
          <w:spacing w:val="-4"/>
        </w:rPr>
        <w:t xml:space="preserve">11, </w:t>
      </w:r>
      <w:r>
        <w:rPr>
          <w:color w:val="231F20"/>
        </w:rPr>
        <w:t>the two men were followed as they left the apartment; when they realized that police were surrounding them, they drew their weapons and began to fire, even throwing a hand grenade. Sharpshooters took them out: one guerilla was hit in the chest and stomach, the other received a bullet in the</w:t>
      </w:r>
      <w:r>
        <w:rPr>
          <w:color w:val="231F20"/>
          <w:spacing w:val="32"/>
        </w:rPr>
        <w:t xml:space="preserve"> </w:t>
      </w:r>
      <w:r>
        <w:rPr>
          <w:color w:val="231F20"/>
        </w:rPr>
        <w:t>head.</w:t>
      </w:r>
      <w:r>
        <w:rPr>
          <w:color w:val="231F20"/>
          <w:position w:val="7"/>
          <w:sz w:val="11"/>
        </w:rPr>
        <w:t>1</w:t>
      </w:r>
    </w:p>
    <w:p w14:paraId="16718737" w14:textId="77777777" w:rsidR="002653E8" w:rsidRDefault="003115E3">
      <w:pPr>
        <w:pStyle w:val="a3"/>
        <w:spacing w:line="264" w:lineRule="auto"/>
        <w:ind w:left="1147" w:right="1326" w:firstLine="210"/>
        <w:jc w:val="both"/>
      </w:pPr>
      <w:r>
        <w:rPr>
          <w:color w:val="231F20"/>
        </w:rPr>
        <w:t>Schneider was being sought in connection with the Schleyer kidnapping, Wackernagel in connection with the recent Zweibrucken courthouse bombing. Both men were extradited to the Federal Republic.</w:t>
      </w:r>
    </w:p>
    <w:p w14:paraId="1C5D0573" w14:textId="77777777" w:rsidR="002653E8" w:rsidRDefault="003115E3">
      <w:pPr>
        <w:pStyle w:val="a3"/>
        <w:spacing w:line="264" w:lineRule="auto"/>
        <w:ind w:left="1148" w:right="1325" w:firstLine="209"/>
        <w:jc w:val="both"/>
        <w:rPr>
          <w:sz w:val="11"/>
        </w:rPr>
      </w:pPr>
      <w:r>
        <w:rPr>
          <w:color w:val="231F20"/>
        </w:rPr>
        <w:t xml:space="preserve">On January </w:t>
      </w:r>
      <w:r>
        <w:rPr>
          <w:color w:val="231F20"/>
          <w:spacing w:val="-3"/>
        </w:rPr>
        <w:t xml:space="preserve">21, </w:t>
      </w:r>
      <w:r>
        <w:rPr>
          <w:color w:val="231F20"/>
          <w:spacing w:val="-4"/>
        </w:rPr>
        <w:t xml:space="preserve">1978, </w:t>
      </w:r>
      <w:r>
        <w:rPr>
          <w:color w:val="231F20"/>
        </w:rPr>
        <w:t>Christine Kuby was arrested following a shootout with police in a Hamburg drugstore; she had been attempting to  use</w:t>
      </w:r>
      <w:r>
        <w:rPr>
          <w:color w:val="231F20"/>
          <w:spacing w:val="10"/>
        </w:rPr>
        <w:t xml:space="preserve"> </w:t>
      </w:r>
      <w:r>
        <w:rPr>
          <w:color w:val="231F20"/>
        </w:rPr>
        <w:t>a</w:t>
      </w:r>
      <w:r>
        <w:rPr>
          <w:color w:val="231F20"/>
          <w:spacing w:val="10"/>
        </w:rPr>
        <w:t xml:space="preserve"> </w:t>
      </w:r>
      <w:r>
        <w:rPr>
          <w:color w:val="231F20"/>
        </w:rPr>
        <w:t>forged</w:t>
      </w:r>
      <w:r>
        <w:rPr>
          <w:color w:val="231F20"/>
          <w:spacing w:val="10"/>
        </w:rPr>
        <w:t xml:space="preserve"> </w:t>
      </w:r>
      <w:r>
        <w:rPr>
          <w:color w:val="231F20"/>
        </w:rPr>
        <w:t>prescription</w:t>
      </w:r>
      <w:r>
        <w:rPr>
          <w:color w:val="231F20"/>
          <w:spacing w:val="10"/>
        </w:rPr>
        <w:t xml:space="preserve"> </w:t>
      </w:r>
      <w:r>
        <w:rPr>
          <w:color w:val="231F20"/>
        </w:rPr>
        <w:t>to</w:t>
      </w:r>
      <w:r>
        <w:rPr>
          <w:color w:val="231F20"/>
          <w:spacing w:val="10"/>
        </w:rPr>
        <w:t xml:space="preserve"> </w:t>
      </w:r>
      <w:r>
        <w:rPr>
          <w:color w:val="231F20"/>
        </w:rPr>
        <w:t>buy</w:t>
      </w:r>
      <w:r>
        <w:rPr>
          <w:color w:val="231F20"/>
          <w:spacing w:val="10"/>
        </w:rPr>
        <w:t xml:space="preserve"> </w:t>
      </w:r>
      <w:r>
        <w:rPr>
          <w:color w:val="231F20"/>
        </w:rPr>
        <w:t>narcotics</w:t>
      </w:r>
      <w:r>
        <w:rPr>
          <w:color w:val="231F20"/>
          <w:spacing w:val="10"/>
        </w:rPr>
        <w:t xml:space="preserve"> </w:t>
      </w:r>
      <w:r>
        <w:rPr>
          <w:color w:val="231F20"/>
        </w:rPr>
        <w:t>for</w:t>
      </w:r>
      <w:r>
        <w:rPr>
          <w:color w:val="231F20"/>
          <w:spacing w:val="10"/>
        </w:rPr>
        <w:t xml:space="preserve"> </w:t>
      </w:r>
      <w:r>
        <w:rPr>
          <w:color w:val="231F20"/>
        </w:rPr>
        <w:t>Boock.</w:t>
      </w:r>
      <w:r>
        <w:rPr>
          <w:color w:val="231F20"/>
          <w:position w:val="7"/>
          <w:sz w:val="11"/>
        </w:rPr>
        <w:t>2</w:t>
      </w:r>
    </w:p>
    <w:p w14:paraId="37A6D6A8" w14:textId="77777777" w:rsidR="002653E8" w:rsidRDefault="003115E3">
      <w:pPr>
        <w:pStyle w:val="a3"/>
        <w:spacing w:line="264" w:lineRule="auto"/>
        <w:ind w:left="1147" w:right="1325" w:firstLine="210"/>
        <w:jc w:val="both"/>
        <w:rPr>
          <w:sz w:val="11"/>
        </w:rPr>
      </w:pPr>
      <w:r>
        <w:rPr>
          <w:color w:val="231F20"/>
        </w:rPr>
        <w:t xml:space="preserve">Shortly afterwards, the </w:t>
      </w:r>
      <w:r>
        <w:rPr>
          <w:i/>
          <w:color w:val="231F20"/>
        </w:rPr>
        <w:t xml:space="preserve">Verfassungsschutz </w:t>
      </w:r>
      <w:r>
        <w:rPr>
          <w:color w:val="231F20"/>
        </w:rPr>
        <w:t xml:space="preserve">tried to </w:t>
      </w:r>
      <w:r>
        <w:rPr>
          <w:color w:val="231F20"/>
          <w:spacing w:val="1"/>
        </w:rPr>
        <w:t xml:space="preserve">carry </w:t>
      </w:r>
      <w:r>
        <w:rPr>
          <w:color w:val="231F20"/>
        </w:rPr>
        <w:t xml:space="preserve">out an ambitious false flag action, meant to entrap the guerillas. Dynamite was set off in the wall of Celle prison with the goal of allowing Sigurd Debus      to escape. Debus, while not a member, was a political prisoner who had participated in hunger strikes with the </w:t>
      </w:r>
      <w:r w:rsidR="00C507A5">
        <w:rPr>
          <w:color w:val="231F20"/>
          <w:spacing w:val="1"/>
        </w:rPr>
        <w:t>red army faction</w:t>
      </w:r>
      <w:r>
        <w:rPr>
          <w:color w:val="231F20"/>
          <w:spacing w:val="1"/>
        </w:rPr>
        <w:t xml:space="preserve">: </w:t>
      </w:r>
      <w:r>
        <w:rPr>
          <w:color w:val="231F20"/>
        </w:rPr>
        <w:t xml:space="preserve">the hope was that he would unwittingly lead the </w:t>
      </w:r>
      <w:r>
        <w:rPr>
          <w:i/>
          <w:color w:val="231F20"/>
        </w:rPr>
        <w:t xml:space="preserve">Verfassungsschutz </w:t>
      </w:r>
      <w:r>
        <w:rPr>
          <w:color w:val="231F20"/>
        </w:rPr>
        <w:t>to the underground  guerillas. (As it turned out, Debus did not escape. When the details of this operation</w:t>
      </w:r>
      <w:r>
        <w:rPr>
          <w:color w:val="231F20"/>
          <w:spacing w:val="7"/>
        </w:rPr>
        <w:t xml:space="preserve"> </w:t>
      </w:r>
      <w:r>
        <w:rPr>
          <w:color w:val="231F20"/>
        </w:rPr>
        <w:t>came</w:t>
      </w:r>
      <w:r>
        <w:rPr>
          <w:color w:val="231F20"/>
          <w:spacing w:val="7"/>
        </w:rPr>
        <w:t xml:space="preserve"> </w:t>
      </w:r>
      <w:r>
        <w:rPr>
          <w:color w:val="231F20"/>
        </w:rPr>
        <w:t>to</w:t>
      </w:r>
      <w:r>
        <w:rPr>
          <w:color w:val="231F20"/>
          <w:spacing w:val="7"/>
        </w:rPr>
        <w:t xml:space="preserve"> </w:t>
      </w:r>
      <w:r>
        <w:rPr>
          <w:color w:val="231F20"/>
        </w:rPr>
        <w:t>light</w:t>
      </w:r>
      <w:r>
        <w:rPr>
          <w:color w:val="231F20"/>
          <w:spacing w:val="7"/>
        </w:rPr>
        <w:t xml:space="preserve"> </w:t>
      </w:r>
      <w:r>
        <w:rPr>
          <w:color w:val="231F20"/>
        </w:rPr>
        <w:t>in</w:t>
      </w:r>
      <w:r>
        <w:rPr>
          <w:color w:val="231F20"/>
          <w:spacing w:val="7"/>
        </w:rPr>
        <w:t xml:space="preserve"> </w:t>
      </w:r>
      <w:r>
        <w:rPr>
          <w:color w:val="231F20"/>
        </w:rPr>
        <w:t>the</w:t>
      </w:r>
      <w:r>
        <w:rPr>
          <w:color w:val="231F20"/>
          <w:spacing w:val="7"/>
        </w:rPr>
        <w:t xml:space="preserve"> </w:t>
      </w:r>
      <w:r>
        <w:rPr>
          <w:color w:val="231F20"/>
        </w:rPr>
        <w:t>mid-eighties</w:t>
      </w:r>
      <w:r>
        <w:rPr>
          <w:color w:val="231F20"/>
          <w:spacing w:val="7"/>
        </w:rPr>
        <w:t xml:space="preserve"> </w:t>
      </w:r>
      <w:r>
        <w:rPr>
          <w:color w:val="231F20"/>
        </w:rPr>
        <w:t>it</w:t>
      </w:r>
      <w:r>
        <w:rPr>
          <w:color w:val="231F20"/>
          <w:spacing w:val="7"/>
        </w:rPr>
        <w:t xml:space="preserve"> </w:t>
      </w:r>
      <w:r>
        <w:rPr>
          <w:color w:val="231F20"/>
        </w:rPr>
        <w:t>caused</w:t>
      </w:r>
      <w:r>
        <w:rPr>
          <w:color w:val="231F20"/>
          <w:spacing w:val="7"/>
        </w:rPr>
        <w:t xml:space="preserve"> </w:t>
      </w:r>
      <w:r>
        <w:rPr>
          <w:color w:val="231F20"/>
        </w:rPr>
        <w:t>some</w:t>
      </w:r>
      <w:r>
        <w:rPr>
          <w:color w:val="231F20"/>
          <w:spacing w:val="7"/>
        </w:rPr>
        <w:t xml:space="preserve"> </w:t>
      </w:r>
      <w:r>
        <w:rPr>
          <w:color w:val="231F20"/>
        </w:rPr>
        <w:t>consternation.)</w:t>
      </w:r>
      <w:r>
        <w:rPr>
          <w:color w:val="231F20"/>
          <w:position w:val="7"/>
          <w:sz w:val="11"/>
        </w:rPr>
        <w:t>3</w:t>
      </w:r>
    </w:p>
    <w:p w14:paraId="1685C89F" w14:textId="77777777" w:rsidR="002653E8" w:rsidRDefault="003115E3">
      <w:pPr>
        <w:pStyle w:val="a3"/>
        <w:spacing w:line="264" w:lineRule="auto"/>
        <w:ind w:left="1147" w:right="1326" w:firstLine="210"/>
        <w:jc w:val="both"/>
      </w:pPr>
      <w:r>
        <w:rPr>
          <w:color w:val="231F20"/>
          <w:spacing w:val="1"/>
        </w:rPr>
        <w:t xml:space="preserve">In </w:t>
      </w:r>
      <w:r>
        <w:rPr>
          <w:color w:val="231F20"/>
        </w:rPr>
        <w:t xml:space="preserve">March, the prisoners went on an unsuccessful and  uneventful  sixth collective hunger strike, demanding association, an international inquiry into the Stammheim deaths and that of Ingrid Schubert, and a return of all documents that had been seized from the dead prisoners’ cells. This time, Klaus Croissant was not able to organize support on   the outside: his trial on charges of supporting a terrorist organization had just begun on March </w:t>
      </w:r>
      <w:r>
        <w:rPr>
          <w:color w:val="231F20"/>
          <w:spacing w:val="-3"/>
        </w:rPr>
        <w:t>9.</w:t>
      </w:r>
      <w:r>
        <w:rPr>
          <w:color w:val="231F20"/>
          <w:spacing w:val="-3"/>
          <w:position w:val="7"/>
          <w:sz w:val="11"/>
        </w:rPr>
        <w:t xml:space="preserve">4 </w:t>
      </w:r>
      <w:r>
        <w:rPr>
          <w:color w:val="231F20"/>
        </w:rPr>
        <w:t>Refusing to distance himself from his former</w:t>
      </w:r>
      <w:r>
        <w:rPr>
          <w:color w:val="231F20"/>
          <w:spacing w:val="8"/>
        </w:rPr>
        <w:t xml:space="preserve"> </w:t>
      </w:r>
      <w:r>
        <w:rPr>
          <w:color w:val="231F20"/>
        </w:rPr>
        <w:t>clients,</w:t>
      </w:r>
      <w:r>
        <w:rPr>
          <w:color w:val="231F20"/>
          <w:spacing w:val="8"/>
        </w:rPr>
        <w:t xml:space="preserve"> </w:t>
      </w:r>
      <w:r>
        <w:rPr>
          <w:color w:val="231F20"/>
        </w:rPr>
        <w:t>he</w:t>
      </w:r>
      <w:r>
        <w:rPr>
          <w:color w:val="231F20"/>
          <w:spacing w:val="8"/>
        </w:rPr>
        <w:t xml:space="preserve"> </w:t>
      </w:r>
      <w:r>
        <w:rPr>
          <w:color w:val="231F20"/>
        </w:rPr>
        <w:t>now</w:t>
      </w:r>
      <w:r>
        <w:rPr>
          <w:color w:val="231F20"/>
          <w:spacing w:val="8"/>
        </w:rPr>
        <w:t xml:space="preserve"> </w:t>
      </w:r>
      <w:r>
        <w:rPr>
          <w:color w:val="231F20"/>
        </w:rPr>
        <w:t>joined</w:t>
      </w:r>
      <w:r>
        <w:rPr>
          <w:color w:val="231F20"/>
          <w:spacing w:val="8"/>
        </w:rPr>
        <w:t xml:space="preserve"> </w:t>
      </w:r>
      <w:r>
        <w:rPr>
          <w:color w:val="231F20"/>
        </w:rPr>
        <w:t>them</w:t>
      </w:r>
      <w:r>
        <w:rPr>
          <w:color w:val="231F20"/>
          <w:spacing w:val="8"/>
        </w:rPr>
        <w:t xml:space="preserve"> </w:t>
      </w:r>
      <w:r>
        <w:rPr>
          <w:color w:val="231F20"/>
        </w:rPr>
        <w:t>in</w:t>
      </w:r>
      <w:r>
        <w:rPr>
          <w:color w:val="231F20"/>
          <w:spacing w:val="8"/>
        </w:rPr>
        <w:t xml:space="preserve"> </w:t>
      </w:r>
      <w:r>
        <w:rPr>
          <w:color w:val="231F20"/>
        </w:rPr>
        <w:t>their</w:t>
      </w:r>
      <w:r>
        <w:rPr>
          <w:color w:val="231F20"/>
          <w:spacing w:val="8"/>
        </w:rPr>
        <w:t xml:space="preserve"> </w:t>
      </w:r>
      <w:r>
        <w:rPr>
          <w:color w:val="231F20"/>
        </w:rPr>
        <w:t>hunger</w:t>
      </w:r>
      <w:r>
        <w:rPr>
          <w:color w:val="231F20"/>
          <w:spacing w:val="8"/>
        </w:rPr>
        <w:t xml:space="preserve"> </w:t>
      </w:r>
      <w:r>
        <w:rPr>
          <w:color w:val="231F20"/>
        </w:rPr>
        <w:t>strike.</w:t>
      </w:r>
    </w:p>
    <w:p w14:paraId="256E2A38" w14:textId="77777777" w:rsidR="002653E8" w:rsidRDefault="003115E3">
      <w:pPr>
        <w:pStyle w:val="a3"/>
        <w:spacing w:line="264" w:lineRule="auto"/>
        <w:ind w:left="1147" w:right="1326" w:firstLine="210"/>
        <w:jc w:val="both"/>
      </w:pPr>
      <w:r>
        <w:rPr>
          <w:color w:val="231F20"/>
        </w:rPr>
        <w:t>As progressive journalist Oliver Tolmein wrote years later, “Klaus Croissant was a lawyer who had a political understanding  of</w:t>
      </w:r>
      <w:r>
        <w:rPr>
          <w:color w:val="231F20"/>
          <w:spacing w:val="16"/>
        </w:rPr>
        <w:t xml:space="preserve"> </w:t>
      </w:r>
      <w:r>
        <w:rPr>
          <w:color w:val="231F20"/>
        </w:rPr>
        <w:t>justice and,</w:t>
      </w:r>
      <w:r>
        <w:rPr>
          <w:color w:val="231F20"/>
          <w:spacing w:val="5"/>
        </w:rPr>
        <w:t xml:space="preserve"> </w:t>
      </w:r>
      <w:r>
        <w:rPr>
          <w:color w:val="231F20"/>
        </w:rPr>
        <w:t>as</w:t>
      </w:r>
      <w:r>
        <w:rPr>
          <w:color w:val="231F20"/>
          <w:spacing w:val="5"/>
        </w:rPr>
        <w:t xml:space="preserve"> </w:t>
      </w:r>
      <w:r>
        <w:rPr>
          <w:color w:val="231F20"/>
        </w:rPr>
        <w:t>a</w:t>
      </w:r>
      <w:r>
        <w:rPr>
          <w:color w:val="231F20"/>
          <w:spacing w:val="5"/>
        </w:rPr>
        <w:t xml:space="preserve"> </w:t>
      </w:r>
      <w:r>
        <w:rPr>
          <w:color w:val="231F20"/>
        </w:rPr>
        <w:t>result,</w:t>
      </w:r>
      <w:r>
        <w:rPr>
          <w:color w:val="231F20"/>
          <w:spacing w:val="5"/>
        </w:rPr>
        <w:t xml:space="preserve"> </w:t>
      </w:r>
      <w:r>
        <w:rPr>
          <w:color w:val="231F20"/>
        </w:rPr>
        <w:t>never</w:t>
      </w:r>
      <w:r>
        <w:rPr>
          <w:color w:val="231F20"/>
          <w:spacing w:val="5"/>
        </w:rPr>
        <w:t xml:space="preserve"> </w:t>
      </w:r>
      <w:r>
        <w:rPr>
          <w:color w:val="231F20"/>
        </w:rPr>
        <w:t>drew</w:t>
      </w:r>
      <w:r>
        <w:rPr>
          <w:color w:val="231F20"/>
          <w:spacing w:val="5"/>
        </w:rPr>
        <w:t xml:space="preserve"> </w:t>
      </w:r>
      <w:r>
        <w:rPr>
          <w:color w:val="231F20"/>
        </w:rPr>
        <w:t>a</w:t>
      </w:r>
      <w:r>
        <w:rPr>
          <w:color w:val="231F20"/>
          <w:spacing w:val="5"/>
        </w:rPr>
        <w:t xml:space="preserve"> </w:t>
      </w:r>
      <w:r>
        <w:rPr>
          <w:color w:val="231F20"/>
        </w:rPr>
        <w:t>firm</w:t>
      </w:r>
      <w:r>
        <w:rPr>
          <w:color w:val="231F20"/>
          <w:spacing w:val="5"/>
        </w:rPr>
        <w:t xml:space="preserve"> </w:t>
      </w:r>
      <w:r>
        <w:rPr>
          <w:color w:val="231F20"/>
        </w:rPr>
        <w:t>line</w:t>
      </w:r>
      <w:r>
        <w:rPr>
          <w:color w:val="231F20"/>
          <w:spacing w:val="5"/>
        </w:rPr>
        <w:t xml:space="preserve"> </w:t>
      </w:r>
      <w:r>
        <w:rPr>
          <w:color w:val="231F20"/>
        </w:rPr>
        <w:t>between</w:t>
      </w:r>
      <w:r>
        <w:rPr>
          <w:color w:val="231F20"/>
          <w:spacing w:val="5"/>
        </w:rPr>
        <w:t xml:space="preserve"> </w:t>
      </w:r>
      <w:r>
        <w:rPr>
          <w:color w:val="231F20"/>
        </w:rPr>
        <w:t>defending</w:t>
      </w:r>
      <w:r>
        <w:rPr>
          <w:color w:val="231F20"/>
          <w:spacing w:val="5"/>
        </w:rPr>
        <w:t xml:space="preserve"> </w:t>
      </w:r>
      <w:r>
        <w:rPr>
          <w:color w:val="231F20"/>
        </w:rPr>
        <w:t>his</w:t>
      </w:r>
      <w:r>
        <w:rPr>
          <w:color w:val="231F20"/>
          <w:spacing w:val="5"/>
        </w:rPr>
        <w:t xml:space="preserve"> </w:t>
      </w:r>
      <w:r>
        <w:rPr>
          <w:color w:val="231F20"/>
        </w:rPr>
        <w:t>cli-</w:t>
      </w:r>
    </w:p>
    <w:p w14:paraId="0E567180" w14:textId="77777777" w:rsidR="002653E8" w:rsidRDefault="00000000">
      <w:pPr>
        <w:pStyle w:val="a3"/>
        <w:spacing w:before="10"/>
        <w:rPr>
          <w:sz w:val="26"/>
        </w:rPr>
      </w:pPr>
      <w:r>
        <w:rPr>
          <w:noProof w:val="0"/>
        </w:rPr>
        <w:pict w14:anchorId="71104D8E">
          <v:line id="_x0000_s2153" style="position:absolute;z-index:10960;mso-wrap-distance-left:0;mso-wrap-distance-right:0;mso-position-horizontal-relative:page" from="57.4pt,17.95pt" to="129.4pt,17.95pt" strokecolor="#231f20" strokeweight=".5pt">
            <w10:wrap type="topAndBottom" anchorx="page"/>
          </v:line>
        </w:pict>
      </w:r>
    </w:p>
    <w:p w14:paraId="254CF619" w14:textId="77777777" w:rsidR="002653E8" w:rsidRDefault="003115E3">
      <w:pPr>
        <w:pStyle w:val="a4"/>
        <w:numPr>
          <w:ilvl w:val="0"/>
          <w:numId w:val="44"/>
        </w:numPr>
        <w:tabs>
          <w:tab w:val="left" w:pos="1287"/>
        </w:tabs>
        <w:spacing w:before="53"/>
        <w:jc w:val="left"/>
        <w:rPr>
          <w:i/>
          <w:sz w:val="16"/>
        </w:rPr>
      </w:pPr>
      <w:r>
        <w:rPr>
          <w:color w:val="231F20"/>
          <w:w w:val="105"/>
          <w:sz w:val="16"/>
        </w:rPr>
        <w:t>Associated</w:t>
      </w:r>
      <w:r>
        <w:rPr>
          <w:color w:val="231F20"/>
          <w:spacing w:val="10"/>
          <w:w w:val="105"/>
          <w:sz w:val="16"/>
        </w:rPr>
        <w:t xml:space="preserve"> </w:t>
      </w:r>
      <w:r>
        <w:rPr>
          <w:color w:val="231F20"/>
          <w:w w:val="105"/>
          <w:sz w:val="16"/>
        </w:rPr>
        <w:t>Press,</w:t>
      </w:r>
      <w:r>
        <w:rPr>
          <w:color w:val="231F20"/>
          <w:spacing w:val="10"/>
          <w:w w:val="105"/>
          <w:sz w:val="16"/>
        </w:rPr>
        <w:t xml:space="preserve"> </w:t>
      </w:r>
      <w:r>
        <w:rPr>
          <w:color w:val="231F20"/>
          <w:w w:val="105"/>
          <w:sz w:val="16"/>
        </w:rPr>
        <w:t>“West</w:t>
      </w:r>
      <w:r>
        <w:rPr>
          <w:color w:val="231F20"/>
          <w:spacing w:val="10"/>
          <w:w w:val="105"/>
          <w:sz w:val="16"/>
        </w:rPr>
        <w:t xml:space="preserve"> </w:t>
      </w:r>
      <w:r>
        <w:rPr>
          <w:color w:val="231F20"/>
          <w:w w:val="105"/>
          <w:sz w:val="16"/>
        </w:rPr>
        <w:t>German</w:t>
      </w:r>
      <w:r>
        <w:rPr>
          <w:color w:val="231F20"/>
          <w:spacing w:val="10"/>
          <w:w w:val="105"/>
          <w:sz w:val="16"/>
        </w:rPr>
        <w:t xml:space="preserve"> </w:t>
      </w:r>
      <w:r>
        <w:rPr>
          <w:color w:val="231F20"/>
          <w:w w:val="105"/>
          <w:sz w:val="16"/>
        </w:rPr>
        <w:t>Terrorists</w:t>
      </w:r>
      <w:r>
        <w:rPr>
          <w:color w:val="231F20"/>
          <w:spacing w:val="10"/>
          <w:w w:val="105"/>
          <w:sz w:val="16"/>
        </w:rPr>
        <w:t xml:space="preserve"> </w:t>
      </w:r>
      <w:r>
        <w:rPr>
          <w:color w:val="231F20"/>
          <w:w w:val="105"/>
          <w:sz w:val="16"/>
        </w:rPr>
        <w:t>Lose</w:t>
      </w:r>
      <w:r>
        <w:rPr>
          <w:color w:val="231F20"/>
          <w:spacing w:val="10"/>
          <w:w w:val="105"/>
          <w:sz w:val="16"/>
        </w:rPr>
        <w:t xml:space="preserve"> </w:t>
      </w:r>
      <w:r>
        <w:rPr>
          <w:color w:val="231F20"/>
          <w:w w:val="105"/>
          <w:sz w:val="16"/>
        </w:rPr>
        <w:t>Shootout,”</w:t>
      </w:r>
      <w:r>
        <w:rPr>
          <w:color w:val="231F20"/>
          <w:spacing w:val="11"/>
          <w:w w:val="105"/>
          <w:sz w:val="16"/>
        </w:rPr>
        <w:t xml:space="preserve"> </w:t>
      </w:r>
      <w:r>
        <w:rPr>
          <w:i/>
          <w:color w:val="231F20"/>
          <w:w w:val="105"/>
          <w:sz w:val="16"/>
        </w:rPr>
        <w:t>Brainerd</w:t>
      </w:r>
      <w:r>
        <w:rPr>
          <w:i/>
          <w:color w:val="231F20"/>
          <w:spacing w:val="10"/>
          <w:w w:val="105"/>
          <w:sz w:val="16"/>
        </w:rPr>
        <w:t xml:space="preserve"> </w:t>
      </w:r>
      <w:r>
        <w:rPr>
          <w:i/>
          <w:color w:val="231F20"/>
          <w:w w:val="105"/>
          <w:sz w:val="16"/>
        </w:rPr>
        <w:t>Daily,</w:t>
      </w:r>
    </w:p>
    <w:p w14:paraId="1489D236" w14:textId="77777777" w:rsidR="002653E8" w:rsidRDefault="003115E3">
      <w:pPr>
        <w:spacing w:before="11"/>
        <w:ind w:left="1147"/>
        <w:rPr>
          <w:sz w:val="16"/>
        </w:rPr>
      </w:pPr>
      <w:r>
        <w:rPr>
          <w:color w:val="231F20"/>
          <w:w w:val="110"/>
          <w:sz w:val="16"/>
        </w:rPr>
        <w:t>November 11, 1970.</w:t>
      </w:r>
    </w:p>
    <w:p w14:paraId="06520CC8" w14:textId="77777777" w:rsidR="002653E8" w:rsidRPr="00846956" w:rsidRDefault="003115E3">
      <w:pPr>
        <w:pStyle w:val="a4"/>
        <w:numPr>
          <w:ilvl w:val="0"/>
          <w:numId w:val="44"/>
        </w:numPr>
        <w:tabs>
          <w:tab w:val="left" w:pos="1287"/>
        </w:tabs>
        <w:spacing w:before="52"/>
        <w:jc w:val="left"/>
        <w:rPr>
          <w:sz w:val="16"/>
          <w:lang w:val="de-DE"/>
        </w:rPr>
      </w:pPr>
      <w:r w:rsidRPr="00846956">
        <w:rPr>
          <w:color w:val="231F20"/>
          <w:w w:val="105"/>
          <w:sz w:val="16"/>
          <w:lang w:val="de-DE"/>
        </w:rPr>
        <w:t>Jan-Eric</w:t>
      </w:r>
      <w:r w:rsidRPr="00846956">
        <w:rPr>
          <w:color w:val="231F20"/>
          <w:spacing w:val="10"/>
          <w:w w:val="105"/>
          <w:sz w:val="16"/>
          <w:lang w:val="de-DE"/>
        </w:rPr>
        <w:t xml:space="preserve"> </w:t>
      </w:r>
      <w:r w:rsidRPr="00846956">
        <w:rPr>
          <w:color w:val="231F20"/>
          <w:w w:val="105"/>
          <w:sz w:val="16"/>
          <w:lang w:val="de-DE"/>
        </w:rPr>
        <w:t>Lindner,</w:t>
      </w:r>
      <w:r w:rsidRPr="00846956">
        <w:rPr>
          <w:color w:val="231F20"/>
          <w:spacing w:val="10"/>
          <w:w w:val="105"/>
          <w:sz w:val="16"/>
          <w:lang w:val="de-DE"/>
        </w:rPr>
        <w:t xml:space="preserve"> </w:t>
      </w:r>
      <w:r w:rsidRPr="00846956">
        <w:rPr>
          <w:color w:val="231F20"/>
          <w:w w:val="105"/>
          <w:sz w:val="16"/>
          <w:lang w:val="de-DE"/>
        </w:rPr>
        <w:t>“Es</w:t>
      </w:r>
      <w:r w:rsidRPr="00846956">
        <w:rPr>
          <w:color w:val="231F20"/>
          <w:spacing w:val="10"/>
          <w:w w:val="105"/>
          <w:sz w:val="16"/>
          <w:lang w:val="de-DE"/>
        </w:rPr>
        <w:t xml:space="preserve"> </w:t>
      </w:r>
      <w:r w:rsidRPr="00846956">
        <w:rPr>
          <w:color w:val="231F20"/>
          <w:w w:val="105"/>
          <w:sz w:val="16"/>
          <w:lang w:val="de-DE"/>
        </w:rPr>
        <w:t>begann</w:t>
      </w:r>
      <w:r w:rsidRPr="00846956">
        <w:rPr>
          <w:color w:val="231F20"/>
          <w:spacing w:val="10"/>
          <w:w w:val="105"/>
          <w:sz w:val="16"/>
          <w:lang w:val="de-DE"/>
        </w:rPr>
        <w:t xml:space="preserve"> </w:t>
      </w:r>
      <w:r w:rsidRPr="00846956">
        <w:rPr>
          <w:color w:val="231F20"/>
          <w:w w:val="105"/>
          <w:sz w:val="16"/>
          <w:lang w:val="de-DE"/>
        </w:rPr>
        <w:t>wie</w:t>
      </w:r>
      <w:r w:rsidRPr="00846956">
        <w:rPr>
          <w:color w:val="231F20"/>
          <w:spacing w:val="10"/>
          <w:w w:val="105"/>
          <w:sz w:val="16"/>
          <w:lang w:val="de-DE"/>
        </w:rPr>
        <w:t xml:space="preserve"> </w:t>
      </w:r>
      <w:r w:rsidRPr="00846956">
        <w:rPr>
          <w:color w:val="231F20"/>
          <w:w w:val="105"/>
          <w:sz w:val="16"/>
          <w:lang w:val="de-DE"/>
        </w:rPr>
        <w:t>ein</w:t>
      </w:r>
      <w:r w:rsidRPr="00846956">
        <w:rPr>
          <w:color w:val="231F20"/>
          <w:spacing w:val="10"/>
          <w:w w:val="105"/>
          <w:sz w:val="16"/>
          <w:lang w:val="de-DE"/>
        </w:rPr>
        <w:t xml:space="preserve"> </w:t>
      </w:r>
      <w:r w:rsidRPr="00846956">
        <w:rPr>
          <w:color w:val="231F20"/>
          <w:w w:val="105"/>
          <w:sz w:val="16"/>
          <w:lang w:val="de-DE"/>
        </w:rPr>
        <w:t>Routine-Einsatz</w:t>
      </w:r>
      <w:r w:rsidRPr="00846956">
        <w:rPr>
          <w:color w:val="231F20"/>
          <w:spacing w:val="10"/>
          <w:w w:val="105"/>
          <w:sz w:val="16"/>
          <w:lang w:val="de-DE"/>
        </w:rPr>
        <w:t xml:space="preserve"> </w:t>
      </w:r>
      <w:r w:rsidRPr="00846956">
        <w:rPr>
          <w:color w:val="231F20"/>
          <w:w w:val="105"/>
          <w:sz w:val="16"/>
          <w:lang w:val="de-DE"/>
        </w:rPr>
        <w:t>dann</w:t>
      </w:r>
      <w:r w:rsidRPr="00846956">
        <w:rPr>
          <w:color w:val="231F20"/>
          <w:spacing w:val="10"/>
          <w:w w:val="105"/>
          <w:sz w:val="16"/>
          <w:lang w:val="de-DE"/>
        </w:rPr>
        <w:t xml:space="preserve"> </w:t>
      </w:r>
      <w:r w:rsidRPr="00846956">
        <w:rPr>
          <w:color w:val="231F20"/>
          <w:w w:val="105"/>
          <w:sz w:val="16"/>
          <w:lang w:val="de-DE"/>
        </w:rPr>
        <w:t>fielen</w:t>
      </w:r>
      <w:r w:rsidRPr="00846956">
        <w:rPr>
          <w:color w:val="231F20"/>
          <w:spacing w:val="10"/>
          <w:w w:val="105"/>
          <w:sz w:val="16"/>
          <w:lang w:val="de-DE"/>
        </w:rPr>
        <w:t xml:space="preserve"> </w:t>
      </w:r>
      <w:r w:rsidRPr="00846956">
        <w:rPr>
          <w:color w:val="231F20"/>
          <w:w w:val="105"/>
          <w:sz w:val="16"/>
          <w:lang w:val="de-DE"/>
        </w:rPr>
        <w:t>Schüsse,”</w:t>
      </w:r>
    </w:p>
    <w:p w14:paraId="14C0F9C0" w14:textId="77777777" w:rsidR="002653E8" w:rsidRDefault="003115E3">
      <w:pPr>
        <w:spacing w:before="12"/>
        <w:ind w:left="1147"/>
        <w:rPr>
          <w:sz w:val="16"/>
        </w:rPr>
      </w:pPr>
      <w:r>
        <w:rPr>
          <w:i/>
          <w:color w:val="231F20"/>
          <w:w w:val="110"/>
          <w:sz w:val="16"/>
        </w:rPr>
        <w:t xml:space="preserve">Hamburger Abendblatt </w:t>
      </w:r>
      <w:r>
        <w:rPr>
          <w:color w:val="231F20"/>
          <w:w w:val="110"/>
          <w:sz w:val="16"/>
        </w:rPr>
        <w:t>[online], March 3, 2006.</w:t>
      </w:r>
    </w:p>
    <w:p w14:paraId="4A39EADB" w14:textId="77777777" w:rsidR="002653E8" w:rsidRDefault="003115E3">
      <w:pPr>
        <w:pStyle w:val="a4"/>
        <w:numPr>
          <w:ilvl w:val="0"/>
          <w:numId w:val="44"/>
        </w:numPr>
        <w:tabs>
          <w:tab w:val="left" w:pos="1287"/>
        </w:tabs>
        <w:spacing w:before="51"/>
        <w:ind w:hanging="138"/>
        <w:jc w:val="left"/>
        <w:rPr>
          <w:sz w:val="16"/>
        </w:rPr>
      </w:pPr>
      <w:r>
        <w:rPr>
          <w:color w:val="231F20"/>
          <w:w w:val="110"/>
          <w:sz w:val="16"/>
        </w:rPr>
        <w:t>Braunthal,</w:t>
      </w:r>
      <w:r>
        <w:rPr>
          <w:color w:val="231F20"/>
          <w:spacing w:val="5"/>
          <w:w w:val="110"/>
          <w:sz w:val="16"/>
        </w:rPr>
        <w:t xml:space="preserve"> </w:t>
      </w:r>
      <w:r>
        <w:rPr>
          <w:color w:val="231F20"/>
          <w:spacing w:val="-4"/>
          <w:w w:val="110"/>
          <w:sz w:val="16"/>
        </w:rPr>
        <w:t>159-160.</w:t>
      </w:r>
    </w:p>
    <w:p w14:paraId="2AF39E90" w14:textId="77777777" w:rsidR="002653E8" w:rsidRDefault="003115E3">
      <w:pPr>
        <w:pStyle w:val="a4"/>
        <w:numPr>
          <w:ilvl w:val="0"/>
          <w:numId w:val="44"/>
        </w:numPr>
        <w:tabs>
          <w:tab w:val="left" w:pos="1287"/>
        </w:tabs>
        <w:spacing w:before="52"/>
        <w:ind w:hanging="138"/>
        <w:jc w:val="left"/>
        <w:rPr>
          <w:sz w:val="16"/>
        </w:rPr>
      </w:pPr>
      <w:r>
        <w:rPr>
          <w:color w:val="231F20"/>
          <w:w w:val="110"/>
          <w:sz w:val="16"/>
        </w:rPr>
        <w:t xml:space="preserve">Bakker Schut, </w:t>
      </w:r>
      <w:r>
        <w:rPr>
          <w:i/>
          <w:color w:val="231F20"/>
          <w:spacing w:val="1"/>
          <w:w w:val="110"/>
          <w:sz w:val="16"/>
        </w:rPr>
        <w:t>Stammheim,</w:t>
      </w:r>
      <w:r>
        <w:rPr>
          <w:i/>
          <w:color w:val="231F20"/>
          <w:spacing w:val="18"/>
          <w:w w:val="110"/>
          <w:sz w:val="16"/>
        </w:rPr>
        <w:t xml:space="preserve"> </w:t>
      </w:r>
      <w:r>
        <w:rPr>
          <w:color w:val="231F20"/>
          <w:spacing w:val="-5"/>
          <w:w w:val="110"/>
          <w:sz w:val="16"/>
        </w:rPr>
        <w:t>532-537.</w:t>
      </w:r>
    </w:p>
    <w:p w14:paraId="5F16CD55" w14:textId="77777777" w:rsidR="002653E8" w:rsidRDefault="002653E8">
      <w:pPr>
        <w:rPr>
          <w:sz w:val="16"/>
        </w:rPr>
        <w:sectPr w:rsidR="002653E8">
          <w:pgSz w:w="8640" w:h="12960"/>
          <w:pgMar w:top="1060" w:right="0" w:bottom="1040" w:left="0" w:header="0" w:footer="850" w:gutter="0"/>
          <w:cols w:space="720"/>
        </w:sectPr>
      </w:pPr>
    </w:p>
    <w:p w14:paraId="08D0199D" w14:textId="77777777" w:rsidR="002653E8" w:rsidRDefault="003115E3">
      <w:pPr>
        <w:pStyle w:val="a3"/>
        <w:spacing w:before="86" w:line="264" w:lineRule="auto"/>
        <w:ind w:left="1327" w:right="1145"/>
        <w:jc w:val="both"/>
        <w:rPr>
          <w:sz w:val="11"/>
        </w:rPr>
      </w:pPr>
      <w:r>
        <w:rPr>
          <w:color w:val="231F20"/>
        </w:rPr>
        <w:lastRenderedPageBreak/>
        <w:t>ents and political engagement.”</w:t>
      </w:r>
      <w:r>
        <w:rPr>
          <w:color w:val="231F20"/>
          <w:position w:val="7"/>
          <w:sz w:val="11"/>
        </w:rPr>
        <w:t xml:space="preserve">5 </w:t>
      </w:r>
      <w:r>
        <w:rPr>
          <w:color w:val="231F20"/>
        </w:rPr>
        <w:t xml:space="preserve">As a result of such commitment, on February </w:t>
      </w:r>
      <w:r>
        <w:rPr>
          <w:color w:val="231F20"/>
          <w:spacing w:val="-4"/>
        </w:rPr>
        <w:t xml:space="preserve">16, 1979, </w:t>
      </w:r>
      <w:r>
        <w:rPr>
          <w:color w:val="231F20"/>
        </w:rPr>
        <w:t>the tireless advocate was found guilty of supporting a terrorist organization and sentenced to two and a half years in prison, plus four years of</w:t>
      </w:r>
      <w:r>
        <w:rPr>
          <w:color w:val="231F20"/>
          <w:spacing w:val="2"/>
        </w:rPr>
        <w:t xml:space="preserve"> </w:t>
      </w:r>
      <w:r>
        <w:rPr>
          <w:i/>
          <w:color w:val="231F20"/>
        </w:rPr>
        <w:t>Berufsverbot</w:t>
      </w:r>
      <w:r>
        <w:rPr>
          <w:color w:val="231F20"/>
        </w:rPr>
        <w:t>.</w:t>
      </w:r>
      <w:r>
        <w:rPr>
          <w:color w:val="231F20"/>
          <w:position w:val="7"/>
          <w:sz w:val="11"/>
        </w:rPr>
        <w:t>6</w:t>
      </w:r>
    </w:p>
    <w:p w14:paraId="32734672" w14:textId="77777777" w:rsidR="002653E8" w:rsidRDefault="003115E3">
      <w:pPr>
        <w:pStyle w:val="a3"/>
        <w:spacing w:line="264" w:lineRule="auto"/>
        <w:ind w:left="1327" w:right="1145" w:firstLine="210"/>
        <w:jc w:val="right"/>
      </w:pPr>
      <w:r>
        <w:rPr>
          <w:color w:val="231F20"/>
        </w:rPr>
        <w:t>On May 11, 1978, Stefan Wisniewski was apprehended at the Paris</w:t>
      </w:r>
      <w:r>
        <w:rPr>
          <w:color w:val="231F20"/>
          <w:w w:val="90"/>
        </w:rPr>
        <w:t xml:space="preserve"> </w:t>
      </w:r>
      <w:r>
        <w:rPr>
          <w:color w:val="231F20"/>
        </w:rPr>
        <w:t>airport as he disembarked off a flight from yugoslavia. Not only was</w:t>
      </w:r>
      <w:r>
        <w:rPr>
          <w:color w:val="231F20"/>
          <w:w w:val="90"/>
        </w:rPr>
        <w:t xml:space="preserve"> </w:t>
      </w:r>
      <w:r>
        <w:rPr>
          <w:color w:val="231F20"/>
        </w:rPr>
        <w:t>Wisniewski carrying drugs, police also found a letter from Karl-Heinz</w:t>
      </w:r>
      <w:r>
        <w:rPr>
          <w:color w:val="231F20"/>
          <w:w w:val="97"/>
        </w:rPr>
        <w:t xml:space="preserve"> </w:t>
      </w:r>
      <w:r>
        <w:rPr>
          <w:color w:val="231F20"/>
        </w:rPr>
        <w:t xml:space="preserve">Dellwo that had been smuggled out of prison, in which the </w:t>
      </w:r>
      <w:r w:rsidR="00C507A5">
        <w:rPr>
          <w:color w:val="231F20"/>
        </w:rPr>
        <w:t>red army faction</w:t>
      </w:r>
      <w:r>
        <w:rPr>
          <w:color w:val="231F20"/>
        </w:rPr>
        <w:t xml:space="preserve"> prisoner</w:t>
      </w:r>
      <w:r>
        <w:rPr>
          <w:color w:val="231F20"/>
          <w:w w:val="92"/>
        </w:rPr>
        <w:t xml:space="preserve"> </w:t>
      </w:r>
      <w:r>
        <w:rPr>
          <w:color w:val="231F20"/>
        </w:rPr>
        <w:t>strongly criticized the hijacking that ended in the Mogadishu debacle.</w:t>
      </w:r>
      <w:r>
        <w:rPr>
          <w:color w:val="231F20"/>
          <w:position w:val="7"/>
          <w:sz w:val="11"/>
        </w:rPr>
        <w:t>7</w:t>
      </w:r>
      <w:r>
        <w:rPr>
          <w:color w:val="231F20"/>
          <w:w w:val="106"/>
          <w:position w:val="7"/>
          <w:sz w:val="11"/>
        </w:rPr>
        <w:t xml:space="preserve"> </w:t>
      </w:r>
      <w:r>
        <w:rPr>
          <w:color w:val="231F20"/>
        </w:rPr>
        <w:t xml:space="preserve">On June 30, four </w:t>
      </w:r>
      <w:r w:rsidR="00C507A5">
        <w:rPr>
          <w:color w:val="231F20"/>
        </w:rPr>
        <w:t>red army faction</w:t>
      </w:r>
      <w:r>
        <w:rPr>
          <w:color w:val="231F20"/>
        </w:rPr>
        <w:t xml:space="preserve"> members—Brigitte Mohnhaupt, Sieglinde</w:t>
      </w:r>
      <w:r>
        <w:rPr>
          <w:color w:val="231F20"/>
          <w:w w:val="91"/>
        </w:rPr>
        <w:t xml:space="preserve"> </w:t>
      </w:r>
      <w:r>
        <w:rPr>
          <w:color w:val="231F20"/>
        </w:rPr>
        <w:t>Hofmann, Peter-Jürgen Boock, and Rolf Clemens Wagner—were arrested in Zagreb. The yugoslav government entered into negotiations</w:t>
      </w:r>
      <w:r>
        <w:rPr>
          <w:color w:val="231F20"/>
          <w:w w:val="90"/>
        </w:rPr>
        <w:t xml:space="preserve"> </w:t>
      </w:r>
      <w:r>
        <w:rPr>
          <w:color w:val="231F20"/>
        </w:rPr>
        <w:t xml:space="preserve">with the FRG, hoping to exchange the </w:t>
      </w:r>
      <w:r w:rsidR="00C507A5">
        <w:rPr>
          <w:color w:val="231F20"/>
        </w:rPr>
        <w:t>red army faction</w:t>
      </w:r>
      <w:r>
        <w:rPr>
          <w:color w:val="231F20"/>
        </w:rPr>
        <w:t xml:space="preserve"> combatants for eight members of the Croatian far right being held by West Germany. When this</w:t>
      </w:r>
      <w:r>
        <w:rPr>
          <w:color w:val="231F20"/>
          <w:w w:val="90"/>
        </w:rPr>
        <w:t xml:space="preserve"> </w:t>
      </w:r>
      <w:r>
        <w:rPr>
          <w:color w:val="231F20"/>
        </w:rPr>
        <w:t xml:space="preserve">crass attempt at a trade broke down, the </w:t>
      </w:r>
      <w:r w:rsidR="00C507A5">
        <w:rPr>
          <w:color w:val="231F20"/>
        </w:rPr>
        <w:t>red army faction</w:t>
      </w:r>
      <w:r>
        <w:rPr>
          <w:color w:val="231F20"/>
        </w:rPr>
        <w:t xml:space="preserve"> prisoners were ferreted</w:t>
      </w:r>
    </w:p>
    <w:p w14:paraId="0B6255EA" w14:textId="77777777" w:rsidR="002653E8" w:rsidRDefault="003115E3">
      <w:pPr>
        <w:pStyle w:val="a3"/>
        <w:spacing w:line="223" w:lineRule="exact"/>
        <w:ind w:left="1327"/>
      </w:pPr>
      <w:r>
        <w:rPr>
          <w:color w:val="231F20"/>
          <w:w w:val="105"/>
        </w:rPr>
        <w:t>out of yugoslavia to an undisclosed third country.</w:t>
      </w:r>
    </w:p>
    <w:p w14:paraId="5686A4F5" w14:textId="77777777" w:rsidR="002653E8" w:rsidRDefault="003115E3">
      <w:pPr>
        <w:pStyle w:val="a3"/>
        <w:spacing w:before="19" w:line="264" w:lineRule="auto"/>
        <w:ind w:left="1327" w:right="1146" w:firstLine="210"/>
        <w:jc w:val="both"/>
        <w:rPr>
          <w:sz w:val="11"/>
        </w:rPr>
      </w:pPr>
      <w:r>
        <w:rPr>
          <w:color w:val="231F20"/>
          <w:w w:val="105"/>
        </w:rPr>
        <w:t xml:space="preserve">On September 6, </w:t>
      </w:r>
      <w:r w:rsidR="00C507A5">
        <w:rPr>
          <w:color w:val="231F20"/>
          <w:spacing w:val="5"/>
          <w:w w:val="105"/>
        </w:rPr>
        <w:t>red army faction</w:t>
      </w:r>
      <w:r>
        <w:rPr>
          <w:color w:val="231F20"/>
          <w:spacing w:val="5"/>
          <w:w w:val="105"/>
        </w:rPr>
        <w:t xml:space="preserve"> </w:t>
      </w:r>
      <w:r>
        <w:rPr>
          <w:color w:val="231F20"/>
          <w:w w:val="105"/>
        </w:rPr>
        <w:t>member Willi-Peter Stoll was shot dead by police</w:t>
      </w:r>
      <w:r>
        <w:rPr>
          <w:color w:val="231F20"/>
          <w:spacing w:val="-9"/>
          <w:w w:val="105"/>
        </w:rPr>
        <w:t xml:space="preserve"> </w:t>
      </w:r>
      <w:r>
        <w:rPr>
          <w:color w:val="231F20"/>
          <w:w w:val="105"/>
        </w:rPr>
        <w:t>in</w:t>
      </w:r>
      <w:r>
        <w:rPr>
          <w:color w:val="231F20"/>
          <w:spacing w:val="-9"/>
          <w:w w:val="105"/>
        </w:rPr>
        <w:t xml:space="preserve"> </w:t>
      </w:r>
      <w:r>
        <w:rPr>
          <w:color w:val="231F20"/>
          <w:w w:val="105"/>
        </w:rPr>
        <w:t>a</w:t>
      </w:r>
      <w:r>
        <w:rPr>
          <w:color w:val="231F20"/>
          <w:spacing w:val="-9"/>
          <w:w w:val="105"/>
        </w:rPr>
        <w:t xml:space="preserve"> </w:t>
      </w:r>
      <w:r>
        <w:rPr>
          <w:color w:val="231F20"/>
          <w:w w:val="105"/>
        </w:rPr>
        <w:t>Chinese</w:t>
      </w:r>
      <w:r>
        <w:rPr>
          <w:color w:val="231F20"/>
          <w:spacing w:val="-9"/>
          <w:w w:val="105"/>
        </w:rPr>
        <w:t xml:space="preserve"> </w:t>
      </w:r>
      <w:r>
        <w:rPr>
          <w:color w:val="231F20"/>
          <w:w w:val="105"/>
        </w:rPr>
        <w:t>restaurant</w:t>
      </w:r>
      <w:r>
        <w:rPr>
          <w:color w:val="231F20"/>
          <w:spacing w:val="-9"/>
          <w:w w:val="105"/>
        </w:rPr>
        <w:t xml:space="preserve"> </w:t>
      </w:r>
      <w:r>
        <w:rPr>
          <w:color w:val="231F20"/>
          <w:w w:val="105"/>
        </w:rPr>
        <w:t>in</w:t>
      </w:r>
      <w:r>
        <w:rPr>
          <w:color w:val="231F20"/>
          <w:spacing w:val="-9"/>
          <w:w w:val="105"/>
        </w:rPr>
        <w:t xml:space="preserve"> </w:t>
      </w:r>
      <w:r>
        <w:rPr>
          <w:color w:val="231F20"/>
          <w:w w:val="105"/>
        </w:rPr>
        <w:t>Düsseldorf.</w:t>
      </w:r>
      <w:r>
        <w:rPr>
          <w:color w:val="231F20"/>
          <w:spacing w:val="-9"/>
          <w:w w:val="105"/>
        </w:rPr>
        <w:t xml:space="preserve"> </w:t>
      </w:r>
      <w:r>
        <w:rPr>
          <w:color w:val="231F20"/>
          <w:w w:val="105"/>
        </w:rPr>
        <w:t>A</w:t>
      </w:r>
      <w:r>
        <w:rPr>
          <w:color w:val="231F20"/>
          <w:spacing w:val="-9"/>
          <w:w w:val="105"/>
        </w:rPr>
        <w:t xml:space="preserve"> </w:t>
      </w:r>
      <w:r>
        <w:rPr>
          <w:color w:val="231F20"/>
          <w:w w:val="105"/>
        </w:rPr>
        <w:t>few</w:t>
      </w:r>
      <w:r>
        <w:rPr>
          <w:color w:val="231F20"/>
          <w:spacing w:val="-9"/>
          <w:w w:val="105"/>
        </w:rPr>
        <w:t xml:space="preserve"> </w:t>
      </w:r>
      <w:r>
        <w:rPr>
          <w:color w:val="231F20"/>
          <w:w w:val="105"/>
        </w:rPr>
        <w:t>days</w:t>
      </w:r>
      <w:r>
        <w:rPr>
          <w:color w:val="231F20"/>
          <w:spacing w:val="-9"/>
          <w:w w:val="105"/>
        </w:rPr>
        <w:t xml:space="preserve"> </w:t>
      </w:r>
      <w:r>
        <w:rPr>
          <w:color w:val="231F20"/>
          <w:w w:val="105"/>
        </w:rPr>
        <w:t>later,</w:t>
      </w:r>
      <w:r>
        <w:rPr>
          <w:color w:val="231F20"/>
          <w:spacing w:val="-9"/>
          <w:w w:val="105"/>
        </w:rPr>
        <w:t xml:space="preserve"> </w:t>
      </w:r>
      <w:r>
        <w:rPr>
          <w:color w:val="231F20"/>
          <w:w w:val="105"/>
        </w:rPr>
        <w:t>the</w:t>
      </w:r>
      <w:r>
        <w:rPr>
          <w:color w:val="231F20"/>
          <w:spacing w:val="-9"/>
          <w:w w:val="105"/>
        </w:rPr>
        <w:t xml:space="preserve"> </w:t>
      </w:r>
      <w:r>
        <w:rPr>
          <w:color w:val="231F20"/>
          <w:w w:val="105"/>
        </w:rPr>
        <w:t>cops located his apartment, where they found a coded diary, an arsenal of weapons</w:t>
      </w:r>
      <w:r>
        <w:rPr>
          <w:color w:val="231F20"/>
          <w:spacing w:val="-18"/>
          <w:w w:val="105"/>
        </w:rPr>
        <w:t xml:space="preserve"> </w:t>
      </w:r>
      <w:r>
        <w:rPr>
          <w:color w:val="231F20"/>
          <w:w w:val="105"/>
        </w:rPr>
        <w:t>(including</w:t>
      </w:r>
      <w:r>
        <w:rPr>
          <w:color w:val="231F20"/>
          <w:spacing w:val="-18"/>
          <w:w w:val="105"/>
        </w:rPr>
        <w:t xml:space="preserve"> </w:t>
      </w:r>
      <w:r>
        <w:rPr>
          <w:color w:val="231F20"/>
          <w:w w:val="105"/>
        </w:rPr>
        <w:t>a</w:t>
      </w:r>
      <w:r>
        <w:rPr>
          <w:color w:val="231F20"/>
          <w:spacing w:val="-18"/>
          <w:w w:val="105"/>
        </w:rPr>
        <w:t xml:space="preserve"> </w:t>
      </w:r>
      <w:r>
        <w:rPr>
          <w:color w:val="231F20"/>
          <w:w w:val="105"/>
        </w:rPr>
        <w:t>homemade</w:t>
      </w:r>
      <w:r>
        <w:rPr>
          <w:color w:val="231F20"/>
          <w:spacing w:val="-18"/>
          <w:w w:val="105"/>
        </w:rPr>
        <w:t xml:space="preserve"> </w:t>
      </w:r>
      <w:r>
        <w:rPr>
          <w:color w:val="231F20"/>
          <w:w w:val="105"/>
        </w:rPr>
        <w:t>“Stalin</w:t>
      </w:r>
      <w:r>
        <w:rPr>
          <w:color w:val="231F20"/>
          <w:spacing w:val="-18"/>
          <w:w w:val="105"/>
        </w:rPr>
        <w:t xml:space="preserve"> </w:t>
      </w:r>
      <w:r>
        <w:rPr>
          <w:color w:val="231F20"/>
          <w:w w:val="105"/>
        </w:rPr>
        <w:t>Organ”</w:t>
      </w:r>
      <w:r>
        <w:rPr>
          <w:color w:val="231F20"/>
          <w:spacing w:val="-18"/>
          <w:w w:val="105"/>
        </w:rPr>
        <w:t xml:space="preserve"> </w:t>
      </w:r>
      <w:r>
        <w:rPr>
          <w:color w:val="231F20"/>
          <w:w w:val="105"/>
        </w:rPr>
        <w:t>capable</w:t>
      </w:r>
      <w:r>
        <w:rPr>
          <w:color w:val="231F20"/>
          <w:spacing w:val="-18"/>
          <w:w w:val="105"/>
        </w:rPr>
        <w:t xml:space="preserve"> </w:t>
      </w:r>
      <w:r>
        <w:rPr>
          <w:color w:val="231F20"/>
          <w:w w:val="105"/>
        </w:rPr>
        <w:t>of</w:t>
      </w:r>
      <w:r>
        <w:rPr>
          <w:color w:val="231F20"/>
          <w:spacing w:val="-18"/>
          <w:w w:val="105"/>
        </w:rPr>
        <w:t xml:space="preserve"> </w:t>
      </w:r>
      <w:r>
        <w:rPr>
          <w:color w:val="231F20"/>
          <w:w w:val="105"/>
        </w:rPr>
        <w:t>firing</w:t>
      </w:r>
      <w:r>
        <w:rPr>
          <w:color w:val="231F20"/>
          <w:spacing w:val="-18"/>
          <w:w w:val="105"/>
        </w:rPr>
        <w:t xml:space="preserve"> </w:t>
      </w:r>
      <w:r>
        <w:rPr>
          <w:color w:val="231F20"/>
          <w:w w:val="105"/>
        </w:rPr>
        <w:t>primitive</w:t>
      </w:r>
      <w:r>
        <w:rPr>
          <w:color w:val="231F20"/>
          <w:spacing w:val="-17"/>
          <w:w w:val="105"/>
        </w:rPr>
        <w:t xml:space="preserve"> </w:t>
      </w:r>
      <w:r>
        <w:rPr>
          <w:color w:val="231F20"/>
          <w:w w:val="105"/>
        </w:rPr>
        <w:t>missiles),</w:t>
      </w:r>
      <w:r>
        <w:rPr>
          <w:color w:val="231F20"/>
          <w:spacing w:val="-17"/>
          <w:w w:val="105"/>
        </w:rPr>
        <w:t xml:space="preserve"> </w:t>
      </w:r>
      <w:r>
        <w:rPr>
          <w:color w:val="231F20"/>
          <w:w w:val="105"/>
        </w:rPr>
        <w:t>and</w:t>
      </w:r>
      <w:r>
        <w:rPr>
          <w:color w:val="231F20"/>
          <w:spacing w:val="-17"/>
          <w:w w:val="105"/>
        </w:rPr>
        <w:t xml:space="preserve"> </w:t>
      </w:r>
      <w:r>
        <w:rPr>
          <w:color w:val="231F20"/>
          <w:w w:val="105"/>
        </w:rPr>
        <w:t>fingerprints</w:t>
      </w:r>
      <w:r>
        <w:rPr>
          <w:color w:val="231F20"/>
          <w:spacing w:val="-17"/>
          <w:w w:val="105"/>
        </w:rPr>
        <w:t xml:space="preserve"> </w:t>
      </w:r>
      <w:r>
        <w:rPr>
          <w:color w:val="231F20"/>
          <w:w w:val="105"/>
        </w:rPr>
        <w:t>of</w:t>
      </w:r>
      <w:r>
        <w:rPr>
          <w:color w:val="231F20"/>
          <w:spacing w:val="-17"/>
          <w:w w:val="105"/>
        </w:rPr>
        <w:t xml:space="preserve"> </w:t>
      </w:r>
      <w:r>
        <w:rPr>
          <w:color w:val="231F20"/>
          <w:w w:val="105"/>
        </w:rPr>
        <w:t>six</w:t>
      </w:r>
      <w:r>
        <w:rPr>
          <w:color w:val="231F20"/>
          <w:spacing w:val="-17"/>
          <w:w w:val="105"/>
        </w:rPr>
        <w:t xml:space="preserve"> </w:t>
      </w:r>
      <w:r>
        <w:rPr>
          <w:color w:val="231F20"/>
          <w:w w:val="105"/>
        </w:rPr>
        <w:t>other</w:t>
      </w:r>
      <w:r>
        <w:rPr>
          <w:color w:val="231F20"/>
          <w:spacing w:val="-17"/>
          <w:w w:val="105"/>
        </w:rPr>
        <w:t xml:space="preserve"> </w:t>
      </w:r>
      <w:r>
        <w:rPr>
          <w:color w:val="231F20"/>
          <w:w w:val="105"/>
        </w:rPr>
        <w:t>suspected</w:t>
      </w:r>
      <w:r>
        <w:rPr>
          <w:color w:val="231F20"/>
          <w:spacing w:val="-16"/>
          <w:w w:val="105"/>
        </w:rPr>
        <w:t xml:space="preserve"> </w:t>
      </w:r>
      <w:r w:rsidR="00C507A5">
        <w:rPr>
          <w:color w:val="231F20"/>
          <w:spacing w:val="5"/>
          <w:w w:val="105"/>
        </w:rPr>
        <w:t>red army faction</w:t>
      </w:r>
      <w:r>
        <w:rPr>
          <w:color w:val="231F20"/>
          <w:spacing w:val="-17"/>
          <w:w w:val="105"/>
        </w:rPr>
        <w:t xml:space="preserve"> </w:t>
      </w:r>
      <w:r>
        <w:rPr>
          <w:color w:val="231F20"/>
          <w:w w:val="105"/>
        </w:rPr>
        <w:t>members.</w:t>
      </w:r>
      <w:r>
        <w:rPr>
          <w:color w:val="231F20"/>
          <w:w w:val="105"/>
          <w:position w:val="7"/>
          <w:sz w:val="11"/>
        </w:rPr>
        <w:t>8</w:t>
      </w:r>
    </w:p>
    <w:p w14:paraId="067338A1" w14:textId="77777777" w:rsidR="002653E8" w:rsidRDefault="003115E3">
      <w:pPr>
        <w:pStyle w:val="a3"/>
        <w:spacing w:line="264" w:lineRule="auto"/>
        <w:ind w:left="1327" w:right="1146" w:firstLine="210"/>
        <w:jc w:val="both"/>
      </w:pPr>
      <w:r>
        <w:rPr>
          <w:color w:val="231F20"/>
        </w:rPr>
        <w:t xml:space="preserve">Later that month, police surprised three people engaged in target practice in the woods outside of Dortmund. Michael Knoll and Angelika Speitel were both shot, police officer Hans-Wilhelm Hansen was killed while another </w:t>
      </w:r>
      <w:r w:rsidR="00C507A5">
        <w:rPr>
          <w:color w:val="231F20"/>
          <w:spacing w:val="5"/>
        </w:rPr>
        <w:t>red army faction</w:t>
      </w:r>
      <w:r>
        <w:rPr>
          <w:color w:val="231F20"/>
          <w:spacing w:val="5"/>
        </w:rPr>
        <w:t xml:space="preserve"> </w:t>
      </w:r>
      <w:r>
        <w:rPr>
          <w:color w:val="231F20"/>
        </w:rPr>
        <w:t xml:space="preserve">member managed to escape with his submachine gun. Knoll, who was said to have assisted the  </w:t>
      </w:r>
      <w:r w:rsidR="00C507A5">
        <w:rPr>
          <w:color w:val="231F20"/>
          <w:spacing w:val="5"/>
        </w:rPr>
        <w:t>red army faction</w:t>
      </w:r>
      <w:r>
        <w:rPr>
          <w:color w:val="231F20"/>
          <w:spacing w:val="5"/>
        </w:rPr>
        <w:t xml:space="preserve"> </w:t>
      </w:r>
      <w:r>
        <w:rPr>
          <w:color w:val="231F20"/>
        </w:rPr>
        <w:t>by traveling back  and</w:t>
      </w:r>
      <w:r>
        <w:rPr>
          <w:color w:val="231F20"/>
          <w:spacing w:val="13"/>
        </w:rPr>
        <w:t xml:space="preserve"> </w:t>
      </w:r>
      <w:r>
        <w:rPr>
          <w:color w:val="231F20"/>
        </w:rPr>
        <w:t>forth</w:t>
      </w:r>
      <w:r>
        <w:rPr>
          <w:color w:val="231F20"/>
          <w:spacing w:val="13"/>
        </w:rPr>
        <w:t xml:space="preserve"> </w:t>
      </w:r>
      <w:r>
        <w:rPr>
          <w:color w:val="231F20"/>
        </w:rPr>
        <w:t>to</w:t>
      </w:r>
      <w:r>
        <w:rPr>
          <w:color w:val="231F20"/>
          <w:spacing w:val="13"/>
        </w:rPr>
        <w:t xml:space="preserve"> </w:t>
      </w:r>
      <w:r>
        <w:rPr>
          <w:color w:val="231F20"/>
        </w:rPr>
        <w:t>Italy</w:t>
      </w:r>
      <w:r>
        <w:rPr>
          <w:color w:val="231F20"/>
          <w:spacing w:val="13"/>
        </w:rPr>
        <w:t xml:space="preserve"> </w:t>
      </w:r>
      <w:r>
        <w:rPr>
          <w:color w:val="231F20"/>
        </w:rPr>
        <w:t>as</w:t>
      </w:r>
      <w:r>
        <w:rPr>
          <w:color w:val="231F20"/>
          <w:spacing w:val="13"/>
        </w:rPr>
        <w:t xml:space="preserve"> </w:t>
      </w:r>
      <w:r>
        <w:rPr>
          <w:color w:val="231F20"/>
        </w:rPr>
        <w:t>a</w:t>
      </w:r>
      <w:r>
        <w:rPr>
          <w:color w:val="231F20"/>
          <w:spacing w:val="13"/>
        </w:rPr>
        <w:t xml:space="preserve"> </w:t>
      </w:r>
      <w:r>
        <w:rPr>
          <w:color w:val="231F20"/>
        </w:rPr>
        <w:t>courier,</w:t>
      </w:r>
      <w:r>
        <w:rPr>
          <w:color w:val="231F20"/>
          <w:position w:val="7"/>
          <w:sz w:val="11"/>
        </w:rPr>
        <w:t>9</w:t>
      </w:r>
      <w:r>
        <w:rPr>
          <w:color w:val="231F20"/>
          <w:spacing w:val="8"/>
          <w:position w:val="7"/>
          <w:sz w:val="11"/>
        </w:rPr>
        <w:t xml:space="preserve"> </w:t>
      </w:r>
      <w:r>
        <w:rPr>
          <w:color w:val="231F20"/>
        </w:rPr>
        <w:t>died</w:t>
      </w:r>
      <w:r>
        <w:rPr>
          <w:color w:val="231F20"/>
          <w:spacing w:val="13"/>
        </w:rPr>
        <w:t xml:space="preserve"> </w:t>
      </w:r>
      <w:r>
        <w:rPr>
          <w:color w:val="231F20"/>
        </w:rPr>
        <w:t>of</w:t>
      </w:r>
      <w:r>
        <w:rPr>
          <w:color w:val="231F20"/>
          <w:spacing w:val="13"/>
        </w:rPr>
        <w:t xml:space="preserve"> </w:t>
      </w:r>
      <w:r>
        <w:rPr>
          <w:color w:val="231F20"/>
        </w:rPr>
        <w:t>his</w:t>
      </w:r>
      <w:r>
        <w:rPr>
          <w:color w:val="231F20"/>
          <w:spacing w:val="13"/>
        </w:rPr>
        <w:t xml:space="preserve"> </w:t>
      </w:r>
      <w:r>
        <w:rPr>
          <w:color w:val="231F20"/>
        </w:rPr>
        <w:t>wounds</w:t>
      </w:r>
      <w:r>
        <w:rPr>
          <w:color w:val="231F20"/>
          <w:spacing w:val="13"/>
        </w:rPr>
        <w:t xml:space="preserve"> </w:t>
      </w:r>
      <w:r>
        <w:rPr>
          <w:color w:val="231F20"/>
        </w:rPr>
        <w:t>on</w:t>
      </w:r>
      <w:r>
        <w:rPr>
          <w:color w:val="231F20"/>
          <w:spacing w:val="13"/>
        </w:rPr>
        <w:t xml:space="preserve"> </w:t>
      </w:r>
      <w:r>
        <w:rPr>
          <w:color w:val="231F20"/>
        </w:rPr>
        <w:t>November</w:t>
      </w:r>
      <w:r>
        <w:rPr>
          <w:color w:val="231F20"/>
          <w:spacing w:val="15"/>
        </w:rPr>
        <w:t xml:space="preserve"> </w:t>
      </w:r>
      <w:r>
        <w:rPr>
          <w:color w:val="231F20"/>
          <w:spacing w:val="-7"/>
        </w:rPr>
        <w:t>25.</w:t>
      </w:r>
    </w:p>
    <w:p w14:paraId="0D502201" w14:textId="77777777" w:rsidR="002653E8" w:rsidRDefault="003115E3">
      <w:pPr>
        <w:pStyle w:val="a3"/>
        <w:spacing w:line="264" w:lineRule="auto"/>
        <w:ind w:left="1327" w:right="1146" w:firstLine="210"/>
        <w:jc w:val="both"/>
      </w:pPr>
      <w:r>
        <w:rPr>
          <w:color w:val="231F20"/>
        </w:rPr>
        <w:t xml:space="preserve">Also in September, a figure from the earliest days of the guerilla once again made the headlines: Astrid Proll, who had fled from a medical clinic in </w:t>
      </w:r>
      <w:r>
        <w:rPr>
          <w:color w:val="231F20"/>
          <w:spacing w:val="-6"/>
        </w:rPr>
        <w:t xml:space="preserve">1974, </w:t>
      </w:r>
      <w:r>
        <w:rPr>
          <w:color w:val="231F20"/>
        </w:rPr>
        <w:t>was identified and arrested in England. Proll had  not been involved in armed struggle since her escape, but had rather found a place for herself in the feminist and squatting communities in London, where</w:t>
      </w:r>
      <w:r>
        <w:rPr>
          <w:color w:val="231F20"/>
          <w:spacing w:val="7"/>
        </w:rPr>
        <w:t xml:space="preserve"> </w:t>
      </w:r>
      <w:r>
        <w:rPr>
          <w:color w:val="231F20"/>
        </w:rPr>
        <w:t>the</w:t>
      </w:r>
      <w:r>
        <w:rPr>
          <w:color w:val="231F20"/>
          <w:spacing w:val="7"/>
        </w:rPr>
        <w:t xml:space="preserve"> </w:t>
      </w:r>
      <w:r>
        <w:rPr>
          <w:color w:val="231F20"/>
        </w:rPr>
        <w:t>former</w:t>
      </w:r>
      <w:r>
        <w:rPr>
          <w:color w:val="231F20"/>
          <w:spacing w:val="7"/>
        </w:rPr>
        <w:t xml:space="preserve"> </w:t>
      </w:r>
      <w:r>
        <w:rPr>
          <w:color w:val="231F20"/>
        </w:rPr>
        <w:t>getaway</w:t>
      </w:r>
      <w:r>
        <w:rPr>
          <w:color w:val="231F20"/>
          <w:spacing w:val="7"/>
        </w:rPr>
        <w:t xml:space="preserve"> </w:t>
      </w:r>
      <w:r>
        <w:rPr>
          <w:color w:val="231F20"/>
        </w:rPr>
        <w:t>car</w:t>
      </w:r>
      <w:r>
        <w:rPr>
          <w:color w:val="231F20"/>
          <w:spacing w:val="7"/>
        </w:rPr>
        <w:t xml:space="preserve"> </w:t>
      </w:r>
      <w:r>
        <w:rPr>
          <w:color w:val="231F20"/>
        </w:rPr>
        <w:t>driver</w:t>
      </w:r>
      <w:r>
        <w:rPr>
          <w:color w:val="231F20"/>
          <w:spacing w:val="7"/>
        </w:rPr>
        <w:t xml:space="preserve"> </w:t>
      </w:r>
      <w:r>
        <w:rPr>
          <w:color w:val="231F20"/>
        </w:rPr>
        <w:t>worked</w:t>
      </w:r>
      <w:r>
        <w:rPr>
          <w:color w:val="231F20"/>
          <w:spacing w:val="7"/>
        </w:rPr>
        <w:t xml:space="preserve"> </w:t>
      </w:r>
      <w:r>
        <w:rPr>
          <w:color w:val="231F20"/>
        </w:rPr>
        <w:t>as</w:t>
      </w:r>
      <w:r>
        <w:rPr>
          <w:color w:val="231F20"/>
          <w:spacing w:val="7"/>
        </w:rPr>
        <w:t xml:space="preserve"> </w:t>
      </w:r>
      <w:r>
        <w:rPr>
          <w:color w:val="231F20"/>
        </w:rPr>
        <w:t>a</w:t>
      </w:r>
      <w:r>
        <w:rPr>
          <w:color w:val="231F20"/>
          <w:spacing w:val="7"/>
        </w:rPr>
        <w:t xml:space="preserve"> </w:t>
      </w:r>
      <w:r>
        <w:rPr>
          <w:color w:val="231F20"/>
        </w:rPr>
        <w:t>mechanic</w:t>
      </w:r>
      <w:r>
        <w:rPr>
          <w:color w:val="231F20"/>
          <w:spacing w:val="7"/>
        </w:rPr>
        <w:t xml:space="preserve"> </w:t>
      </w:r>
      <w:r>
        <w:rPr>
          <w:color w:val="231F20"/>
        </w:rPr>
        <w:t>and</w:t>
      </w:r>
      <w:r>
        <w:rPr>
          <w:color w:val="231F20"/>
          <w:spacing w:val="7"/>
        </w:rPr>
        <w:t xml:space="preserve"> </w:t>
      </w:r>
      <w:r>
        <w:rPr>
          <w:color w:val="231F20"/>
        </w:rPr>
        <w:t>ran</w:t>
      </w:r>
      <w:r>
        <w:rPr>
          <w:color w:val="231F20"/>
          <w:spacing w:val="7"/>
        </w:rPr>
        <w:t xml:space="preserve"> </w:t>
      </w:r>
      <w:r>
        <w:rPr>
          <w:color w:val="231F20"/>
        </w:rPr>
        <w:t>an</w:t>
      </w:r>
    </w:p>
    <w:p w14:paraId="5635259A" w14:textId="77777777" w:rsidR="002653E8" w:rsidRDefault="00000000">
      <w:pPr>
        <w:pStyle w:val="a3"/>
        <w:spacing w:before="10"/>
        <w:rPr>
          <w:sz w:val="24"/>
        </w:rPr>
      </w:pPr>
      <w:r>
        <w:rPr>
          <w:noProof w:val="0"/>
        </w:rPr>
        <w:pict w14:anchorId="197C3819">
          <v:line id="_x0000_s2152" style="position:absolute;z-index:10984;mso-wrap-distance-left:0;mso-wrap-distance-right:0;mso-position-horizontal-relative:page" from="66.4pt,16.8pt" to="138.4pt,16.8pt" strokecolor="#231f20" strokeweight=".5pt">
            <w10:wrap type="topAndBottom" anchorx="page"/>
          </v:line>
        </w:pict>
      </w:r>
    </w:p>
    <w:p w14:paraId="4FF06959" w14:textId="77777777" w:rsidR="002653E8" w:rsidRPr="00846956" w:rsidRDefault="003115E3">
      <w:pPr>
        <w:pStyle w:val="a4"/>
        <w:numPr>
          <w:ilvl w:val="0"/>
          <w:numId w:val="44"/>
        </w:numPr>
        <w:tabs>
          <w:tab w:val="left" w:pos="1467"/>
        </w:tabs>
        <w:spacing w:before="53"/>
        <w:ind w:left="1466"/>
        <w:jc w:val="left"/>
        <w:rPr>
          <w:sz w:val="16"/>
          <w:lang w:val="de-DE"/>
        </w:rPr>
      </w:pPr>
      <w:r w:rsidRPr="00846956">
        <w:rPr>
          <w:color w:val="231F20"/>
          <w:w w:val="110"/>
          <w:sz w:val="16"/>
          <w:lang w:val="de-DE"/>
        </w:rPr>
        <w:t xml:space="preserve">Oliver Tolmein, “Beharren: Freundfeind”, </w:t>
      </w:r>
      <w:r w:rsidRPr="00846956">
        <w:rPr>
          <w:i/>
          <w:color w:val="231F20"/>
          <w:w w:val="110"/>
          <w:sz w:val="16"/>
          <w:lang w:val="de-DE"/>
        </w:rPr>
        <w:t xml:space="preserve">Freitag </w:t>
      </w:r>
      <w:r w:rsidRPr="00846956">
        <w:rPr>
          <w:color w:val="231F20"/>
          <w:w w:val="110"/>
          <w:sz w:val="16"/>
          <w:lang w:val="de-DE"/>
        </w:rPr>
        <w:t xml:space="preserve">17 [online], April </w:t>
      </w:r>
      <w:r w:rsidRPr="00846956">
        <w:rPr>
          <w:color w:val="231F20"/>
          <w:spacing w:val="-3"/>
          <w:w w:val="110"/>
          <w:sz w:val="16"/>
          <w:lang w:val="de-DE"/>
        </w:rPr>
        <w:t>19,</w:t>
      </w:r>
      <w:r w:rsidRPr="00846956">
        <w:rPr>
          <w:color w:val="231F20"/>
          <w:spacing w:val="-1"/>
          <w:w w:val="110"/>
          <w:sz w:val="16"/>
          <w:lang w:val="de-DE"/>
        </w:rPr>
        <w:t xml:space="preserve"> </w:t>
      </w:r>
      <w:r w:rsidRPr="00846956">
        <w:rPr>
          <w:color w:val="231F20"/>
          <w:w w:val="110"/>
          <w:sz w:val="16"/>
          <w:lang w:val="de-DE"/>
        </w:rPr>
        <w:t>2002.</w:t>
      </w:r>
    </w:p>
    <w:p w14:paraId="55066475" w14:textId="77777777" w:rsidR="002653E8" w:rsidRDefault="003115E3">
      <w:pPr>
        <w:pStyle w:val="a4"/>
        <w:numPr>
          <w:ilvl w:val="0"/>
          <w:numId w:val="44"/>
        </w:numPr>
        <w:tabs>
          <w:tab w:val="left" w:pos="1467"/>
        </w:tabs>
        <w:spacing w:before="51"/>
        <w:ind w:left="1466"/>
        <w:jc w:val="left"/>
        <w:rPr>
          <w:sz w:val="16"/>
        </w:rPr>
      </w:pPr>
      <w:r>
        <w:rPr>
          <w:color w:val="231F20"/>
          <w:w w:val="110"/>
          <w:sz w:val="16"/>
        </w:rPr>
        <w:t>Bakker Schut,</w:t>
      </w:r>
      <w:r>
        <w:rPr>
          <w:color w:val="231F20"/>
          <w:spacing w:val="12"/>
          <w:w w:val="110"/>
          <w:sz w:val="16"/>
        </w:rPr>
        <w:t xml:space="preserve"> </w:t>
      </w:r>
      <w:r>
        <w:rPr>
          <w:color w:val="231F20"/>
          <w:w w:val="110"/>
          <w:sz w:val="16"/>
        </w:rPr>
        <w:t>534.</w:t>
      </w:r>
    </w:p>
    <w:p w14:paraId="7148B045" w14:textId="77777777" w:rsidR="002653E8" w:rsidRDefault="003115E3">
      <w:pPr>
        <w:spacing w:before="52"/>
        <w:ind w:left="1327"/>
        <w:rPr>
          <w:sz w:val="16"/>
        </w:rPr>
      </w:pPr>
      <w:r>
        <w:rPr>
          <w:color w:val="231F20"/>
          <w:w w:val="110"/>
          <w:sz w:val="16"/>
        </w:rPr>
        <w:t xml:space="preserve">7 </w:t>
      </w:r>
      <w:r>
        <w:rPr>
          <w:i/>
          <w:color w:val="231F20"/>
          <w:w w:val="110"/>
          <w:sz w:val="16"/>
        </w:rPr>
        <w:t xml:space="preserve">Spiegel </w:t>
      </w:r>
      <w:r>
        <w:rPr>
          <w:color w:val="231F20"/>
          <w:w w:val="110"/>
          <w:sz w:val="16"/>
        </w:rPr>
        <w:t>44, 2007.</w:t>
      </w:r>
    </w:p>
    <w:p w14:paraId="0C9F4A1F" w14:textId="77777777" w:rsidR="002653E8" w:rsidRDefault="003115E3">
      <w:pPr>
        <w:pStyle w:val="a4"/>
        <w:numPr>
          <w:ilvl w:val="0"/>
          <w:numId w:val="43"/>
        </w:numPr>
        <w:tabs>
          <w:tab w:val="left" w:pos="1467"/>
        </w:tabs>
        <w:spacing w:before="52"/>
        <w:rPr>
          <w:sz w:val="16"/>
        </w:rPr>
      </w:pPr>
      <w:r>
        <w:rPr>
          <w:i/>
          <w:color w:val="231F20"/>
          <w:w w:val="110"/>
          <w:sz w:val="16"/>
        </w:rPr>
        <w:t>Time</w:t>
      </w:r>
      <w:r>
        <w:rPr>
          <w:i/>
          <w:color w:val="231F20"/>
          <w:spacing w:val="3"/>
          <w:w w:val="110"/>
          <w:sz w:val="16"/>
        </w:rPr>
        <w:t xml:space="preserve"> </w:t>
      </w:r>
      <w:r>
        <w:rPr>
          <w:i/>
          <w:color w:val="231F20"/>
          <w:w w:val="110"/>
          <w:sz w:val="16"/>
        </w:rPr>
        <w:t>Magazine</w:t>
      </w:r>
      <w:r>
        <w:rPr>
          <w:i/>
          <w:color w:val="231F20"/>
          <w:spacing w:val="3"/>
          <w:w w:val="110"/>
          <w:sz w:val="16"/>
        </w:rPr>
        <w:t xml:space="preserve"> </w:t>
      </w:r>
      <w:r>
        <w:rPr>
          <w:color w:val="231F20"/>
          <w:w w:val="110"/>
          <w:sz w:val="16"/>
        </w:rPr>
        <w:t>[online],</w:t>
      </w:r>
      <w:r>
        <w:rPr>
          <w:color w:val="231F20"/>
          <w:spacing w:val="3"/>
          <w:w w:val="110"/>
          <w:sz w:val="16"/>
        </w:rPr>
        <w:t xml:space="preserve"> </w:t>
      </w:r>
      <w:r>
        <w:rPr>
          <w:color w:val="231F20"/>
          <w:w w:val="110"/>
          <w:sz w:val="16"/>
        </w:rPr>
        <w:t>“Closing</w:t>
      </w:r>
      <w:r>
        <w:rPr>
          <w:color w:val="231F20"/>
          <w:spacing w:val="3"/>
          <w:w w:val="110"/>
          <w:sz w:val="16"/>
        </w:rPr>
        <w:t xml:space="preserve"> </w:t>
      </w:r>
      <w:r>
        <w:rPr>
          <w:color w:val="231F20"/>
          <w:w w:val="110"/>
          <w:sz w:val="16"/>
        </w:rPr>
        <w:t>in</w:t>
      </w:r>
      <w:r>
        <w:rPr>
          <w:color w:val="231F20"/>
          <w:spacing w:val="3"/>
          <w:w w:val="110"/>
          <w:sz w:val="16"/>
        </w:rPr>
        <w:t xml:space="preserve"> </w:t>
      </w:r>
      <w:r>
        <w:rPr>
          <w:color w:val="231F20"/>
          <w:w w:val="110"/>
          <w:sz w:val="16"/>
        </w:rPr>
        <w:t>on</w:t>
      </w:r>
      <w:r>
        <w:rPr>
          <w:color w:val="231F20"/>
          <w:spacing w:val="3"/>
          <w:w w:val="110"/>
          <w:sz w:val="16"/>
        </w:rPr>
        <w:t xml:space="preserve"> </w:t>
      </w:r>
      <w:r>
        <w:rPr>
          <w:color w:val="231F20"/>
          <w:w w:val="110"/>
          <w:sz w:val="16"/>
        </w:rPr>
        <w:t>an</w:t>
      </w:r>
      <w:r>
        <w:rPr>
          <w:color w:val="231F20"/>
          <w:spacing w:val="3"/>
          <w:w w:val="110"/>
          <w:sz w:val="16"/>
        </w:rPr>
        <w:t xml:space="preserve"> </w:t>
      </w:r>
      <w:r>
        <w:rPr>
          <w:color w:val="231F20"/>
          <w:w w:val="110"/>
          <w:sz w:val="16"/>
        </w:rPr>
        <w:t>elusive</w:t>
      </w:r>
      <w:r>
        <w:rPr>
          <w:color w:val="231F20"/>
          <w:spacing w:val="3"/>
          <w:w w:val="110"/>
          <w:sz w:val="16"/>
        </w:rPr>
        <w:t xml:space="preserve"> </w:t>
      </w:r>
      <w:r>
        <w:rPr>
          <w:color w:val="231F20"/>
          <w:spacing w:val="-3"/>
          <w:w w:val="110"/>
          <w:sz w:val="16"/>
        </w:rPr>
        <w:t>enemy,”</w:t>
      </w:r>
      <w:r>
        <w:rPr>
          <w:color w:val="231F20"/>
          <w:spacing w:val="3"/>
          <w:w w:val="110"/>
          <w:sz w:val="16"/>
        </w:rPr>
        <w:t xml:space="preserve"> </w:t>
      </w:r>
      <w:r>
        <w:rPr>
          <w:color w:val="231F20"/>
          <w:w w:val="110"/>
          <w:sz w:val="16"/>
        </w:rPr>
        <w:t>October</w:t>
      </w:r>
      <w:r>
        <w:rPr>
          <w:color w:val="231F20"/>
          <w:spacing w:val="5"/>
          <w:w w:val="110"/>
          <w:sz w:val="16"/>
        </w:rPr>
        <w:t xml:space="preserve"> </w:t>
      </w:r>
      <w:r>
        <w:rPr>
          <w:color w:val="231F20"/>
          <w:w w:val="110"/>
          <w:sz w:val="16"/>
        </w:rPr>
        <w:t>9,</w:t>
      </w:r>
      <w:r>
        <w:rPr>
          <w:color w:val="231F20"/>
          <w:spacing w:val="3"/>
          <w:w w:val="110"/>
          <w:sz w:val="16"/>
        </w:rPr>
        <w:t xml:space="preserve"> </w:t>
      </w:r>
      <w:r>
        <w:rPr>
          <w:color w:val="231F20"/>
          <w:w w:val="110"/>
          <w:sz w:val="16"/>
        </w:rPr>
        <w:t>1978.</w:t>
      </w:r>
    </w:p>
    <w:p w14:paraId="55EB2EE6" w14:textId="77777777" w:rsidR="002653E8" w:rsidRDefault="003115E3">
      <w:pPr>
        <w:pStyle w:val="a4"/>
        <w:numPr>
          <w:ilvl w:val="0"/>
          <w:numId w:val="43"/>
        </w:numPr>
        <w:tabs>
          <w:tab w:val="left" w:pos="1467"/>
        </w:tabs>
        <w:spacing w:before="51"/>
        <w:rPr>
          <w:i/>
          <w:sz w:val="16"/>
        </w:rPr>
      </w:pPr>
      <w:r>
        <w:rPr>
          <w:color w:val="231F20"/>
          <w:w w:val="105"/>
          <w:sz w:val="16"/>
        </w:rPr>
        <w:lastRenderedPageBreak/>
        <w:t>United</w:t>
      </w:r>
      <w:r>
        <w:rPr>
          <w:color w:val="231F20"/>
          <w:spacing w:val="12"/>
          <w:w w:val="105"/>
          <w:sz w:val="16"/>
        </w:rPr>
        <w:t xml:space="preserve"> </w:t>
      </w:r>
      <w:r>
        <w:rPr>
          <w:color w:val="231F20"/>
          <w:w w:val="105"/>
          <w:sz w:val="16"/>
        </w:rPr>
        <w:t>Press</w:t>
      </w:r>
      <w:r>
        <w:rPr>
          <w:color w:val="231F20"/>
          <w:spacing w:val="12"/>
          <w:w w:val="105"/>
          <w:sz w:val="16"/>
        </w:rPr>
        <w:t xml:space="preserve"> </w:t>
      </w:r>
      <w:r>
        <w:rPr>
          <w:color w:val="231F20"/>
          <w:w w:val="105"/>
          <w:sz w:val="16"/>
        </w:rPr>
        <w:t>International,</w:t>
      </w:r>
      <w:r>
        <w:rPr>
          <w:color w:val="231F20"/>
          <w:spacing w:val="12"/>
          <w:w w:val="105"/>
          <w:sz w:val="16"/>
        </w:rPr>
        <w:t xml:space="preserve"> </w:t>
      </w:r>
      <w:r>
        <w:rPr>
          <w:color w:val="231F20"/>
          <w:w w:val="105"/>
          <w:sz w:val="16"/>
        </w:rPr>
        <w:t>“Cops</w:t>
      </w:r>
      <w:r>
        <w:rPr>
          <w:color w:val="231F20"/>
          <w:spacing w:val="12"/>
          <w:w w:val="105"/>
          <w:sz w:val="16"/>
        </w:rPr>
        <w:t xml:space="preserve"> </w:t>
      </w:r>
      <w:r>
        <w:rPr>
          <w:color w:val="231F20"/>
          <w:w w:val="105"/>
          <w:sz w:val="16"/>
        </w:rPr>
        <w:t>ambush</w:t>
      </w:r>
      <w:r>
        <w:rPr>
          <w:color w:val="231F20"/>
          <w:spacing w:val="12"/>
          <w:w w:val="105"/>
          <w:sz w:val="16"/>
        </w:rPr>
        <w:t xml:space="preserve"> </w:t>
      </w:r>
      <w:r>
        <w:rPr>
          <w:color w:val="231F20"/>
          <w:w w:val="105"/>
          <w:sz w:val="16"/>
        </w:rPr>
        <w:t>terror</w:t>
      </w:r>
      <w:r>
        <w:rPr>
          <w:color w:val="231F20"/>
          <w:spacing w:val="12"/>
          <w:w w:val="105"/>
          <w:sz w:val="16"/>
        </w:rPr>
        <w:t xml:space="preserve"> </w:t>
      </w:r>
      <w:r>
        <w:rPr>
          <w:color w:val="231F20"/>
          <w:w w:val="105"/>
          <w:sz w:val="16"/>
        </w:rPr>
        <w:t>courier,”</w:t>
      </w:r>
      <w:r>
        <w:rPr>
          <w:color w:val="231F20"/>
          <w:spacing w:val="12"/>
          <w:w w:val="105"/>
          <w:sz w:val="16"/>
        </w:rPr>
        <w:t xml:space="preserve"> </w:t>
      </w:r>
      <w:r>
        <w:rPr>
          <w:i/>
          <w:color w:val="231F20"/>
          <w:spacing w:val="1"/>
          <w:w w:val="105"/>
          <w:sz w:val="16"/>
        </w:rPr>
        <w:t>Newport</w:t>
      </w:r>
      <w:r>
        <w:rPr>
          <w:i/>
          <w:color w:val="231F20"/>
          <w:spacing w:val="12"/>
          <w:w w:val="105"/>
          <w:sz w:val="16"/>
        </w:rPr>
        <w:t xml:space="preserve"> </w:t>
      </w:r>
      <w:r>
        <w:rPr>
          <w:i/>
          <w:color w:val="231F20"/>
          <w:w w:val="105"/>
          <w:sz w:val="16"/>
        </w:rPr>
        <w:t>Daily</w:t>
      </w:r>
      <w:r>
        <w:rPr>
          <w:i/>
          <w:color w:val="231F20"/>
          <w:spacing w:val="12"/>
          <w:w w:val="105"/>
          <w:sz w:val="16"/>
        </w:rPr>
        <w:t xml:space="preserve"> </w:t>
      </w:r>
      <w:r>
        <w:rPr>
          <w:i/>
          <w:color w:val="231F20"/>
          <w:w w:val="105"/>
          <w:sz w:val="16"/>
        </w:rPr>
        <w:t>News,</w:t>
      </w:r>
    </w:p>
    <w:p w14:paraId="3A730AC4" w14:textId="77777777" w:rsidR="002653E8" w:rsidRDefault="003115E3">
      <w:pPr>
        <w:spacing w:before="12"/>
        <w:ind w:left="1327"/>
        <w:rPr>
          <w:sz w:val="16"/>
        </w:rPr>
      </w:pPr>
      <w:r>
        <w:rPr>
          <w:color w:val="231F20"/>
          <w:w w:val="110"/>
          <w:sz w:val="16"/>
        </w:rPr>
        <w:t>September 25, 1978.</w:t>
      </w:r>
    </w:p>
    <w:p w14:paraId="6A70D98B" w14:textId="77777777" w:rsidR="002653E8" w:rsidRDefault="002653E8">
      <w:pPr>
        <w:rPr>
          <w:sz w:val="16"/>
        </w:rPr>
        <w:sectPr w:rsidR="002653E8">
          <w:pgSz w:w="8640" w:h="12960"/>
          <w:pgMar w:top="1060" w:right="0" w:bottom="1040" w:left="0" w:header="0" w:footer="850" w:gutter="0"/>
          <w:cols w:space="720"/>
        </w:sectPr>
      </w:pPr>
    </w:p>
    <w:p w14:paraId="06568942" w14:textId="77777777" w:rsidR="002653E8" w:rsidRDefault="003115E3">
      <w:pPr>
        <w:spacing w:before="74" w:line="244" w:lineRule="auto"/>
        <w:ind w:left="1469" w:right="5199" w:firstLine="273"/>
        <w:jc w:val="right"/>
        <w:rPr>
          <w:i/>
          <w:sz w:val="18"/>
        </w:rPr>
      </w:pPr>
      <w:r>
        <w:lastRenderedPageBreak/>
        <w:drawing>
          <wp:anchor distT="0" distB="0" distL="0" distR="0" simplePos="0" relativeHeight="11008" behindDoc="0" locked="0" layoutInCell="1" allowOverlap="1" wp14:anchorId="4D80E622" wp14:editId="65097207">
            <wp:simplePos x="0" y="0"/>
            <wp:positionH relativeFrom="page">
              <wp:posOffset>742759</wp:posOffset>
            </wp:positionH>
            <wp:positionV relativeFrom="paragraph">
              <wp:posOffset>639163</wp:posOffset>
            </wp:positionV>
            <wp:extent cx="1388351" cy="1064133"/>
            <wp:effectExtent l="0" t="0" r="0" b="0"/>
            <wp:wrapTopAndBottom/>
            <wp:docPr id="7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1.png"/>
                    <pic:cNvPicPr/>
                  </pic:nvPicPr>
                  <pic:blipFill>
                    <a:blip r:embed="rId446" cstate="print"/>
                    <a:stretch>
                      <a:fillRect/>
                    </a:stretch>
                  </pic:blipFill>
                  <pic:spPr>
                    <a:xfrm>
                      <a:off x="0" y="0"/>
                      <a:ext cx="1388351" cy="1064133"/>
                    </a:xfrm>
                    <a:prstGeom prst="rect">
                      <a:avLst/>
                    </a:prstGeom>
                  </pic:spPr>
                </pic:pic>
              </a:graphicData>
            </a:graphic>
          </wp:anchor>
        </w:drawing>
      </w:r>
      <w:r>
        <w:drawing>
          <wp:anchor distT="0" distB="0" distL="0" distR="0" simplePos="0" relativeHeight="11056" behindDoc="0" locked="0" layoutInCell="1" allowOverlap="1" wp14:anchorId="366861EB" wp14:editId="5D813302">
            <wp:simplePos x="0" y="0"/>
            <wp:positionH relativeFrom="page">
              <wp:posOffset>2324825</wp:posOffset>
            </wp:positionH>
            <wp:positionV relativeFrom="paragraph">
              <wp:posOffset>60716</wp:posOffset>
            </wp:positionV>
            <wp:extent cx="2318306" cy="1803122"/>
            <wp:effectExtent l="0" t="0" r="0" b="0"/>
            <wp:wrapNone/>
            <wp:docPr id="7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2.png"/>
                    <pic:cNvPicPr/>
                  </pic:nvPicPr>
                  <pic:blipFill>
                    <a:blip r:embed="rId447" cstate="print"/>
                    <a:stretch>
                      <a:fillRect/>
                    </a:stretch>
                  </pic:blipFill>
                  <pic:spPr>
                    <a:xfrm>
                      <a:off x="0" y="0"/>
                      <a:ext cx="2318306" cy="1803122"/>
                    </a:xfrm>
                    <a:prstGeom prst="rect">
                      <a:avLst/>
                    </a:prstGeom>
                  </pic:spPr>
                </pic:pic>
              </a:graphicData>
            </a:graphic>
          </wp:anchor>
        </w:drawing>
      </w:r>
      <w:r>
        <w:rPr>
          <w:i/>
          <w:color w:val="231F20"/>
          <w:w w:val="105"/>
          <w:sz w:val="18"/>
        </w:rPr>
        <w:t>right: Demonstration</w:t>
      </w:r>
      <w:r>
        <w:rPr>
          <w:i/>
          <w:color w:val="231F20"/>
          <w:w w:val="103"/>
          <w:sz w:val="18"/>
        </w:rPr>
        <w:t xml:space="preserve"> </w:t>
      </w:r>
      <w:r>
        <w:rPr>
          <w:i/>
          <w:color w:val="231F20"/>
          <w:w w:val="105"/>
          <w:sz w:val="18"/>
        </w:rPr>
        <w:t>organized by the Friends</w:t>
      </w:r>
      <w:r>
        <w:rPr>
          <w:i/>
          <w:color w:val="231F20"/>
          <w:w w:val="101"/>
          <w:sz w:val="18"/>
        </w:rPr>
        <w:t xml:space="preserve"> </w:t>
      </w:r>
      <w:r>
        <w:rPr>
          <w:i/>
          <w:color w:val="231F20"/>
          <w:w w:val="105"/>
          <w:sz w:val="18"/>
        </w:rPr>
        <w:t>of Astrid Proll campaign</w:t>
      </w:r>
      <w:r>
        <w:rPr>
          <w:i/>
          <w:color w:val="231F20"/>
          <w:w w:val="103"/>
          <w:sz w:val="18"/>
        </w:rPr>
        <w:t xml:space="preserve"> </w:t>
      </w:r>
      <w:r>
        <w:rPr>
          <w:i/>
          <w:color w:val="231F20"/>
          <w:w w:val="105"/>
          <w:sz w:val="18"/>
        </w:rPr>
        <w:t>in London, England.</w:t>
      </w:r>
    </w:p>
    <w:p w14:paraId="40DC61B3" w14:textId="77777777" w:rsidR="002653E8" w:rsidRDefault="003115E3">
      <w:pPr>
        <w:spacing w:before="50"/>
        <w:ind w:left="1771"/>
        <w:rPr>
          <w:i/>
          <w:sz w:val="18"/>
        </w:rPr>
      </w:pPr>
      <w:r>
        <w:rPr>
          <w:i/>
          <w:color w:val="231F20"/>
          <w:w w:val="105"/>
          <w:sz w:val="18"/>
        </w:rPr>
        <w:t>Astrid Proll</w:t>
      </w:r>
    </w:p>
    <w:p w14:paraId="619CD6C2" w14:textId="77777777" w:rsidR="002653E8" w:rsidRDefault="003115E3">
      <w:pPr>
        <w:pStyle w:val="a3"/>
        <w:spacing w:before="155" w:line="264" w:lineRule="auto"/>
        <w:ind w:left="1148" w:right="1325" w:hanging="1"/>
        <w:jc w:val="both"/>
        <w:rPr>
          <w:sz w:val="11"/>
        </w:rPr>
      </w:pPr>
      <w:r>
        <w:rPr>
          <w:color w:val="231F20"/>
        </w:rPr>
        <w:t xml:space="preserve">auto maintenance class for women. It would later be said that </w:t>
      </w:r>
      <w:r>
        <w:rPr>
          <w:i/>
          <w:color w:val="231F20"/>
        </w:rPr>
        <w:t xml:space="preserve">Gruppe 47 </w:t>
      </w:r>
      <w:r>
        <w:rPr>
          <w:color w:val="231F20"/>
        </w:rPr>
        <w:t>poet Erich Fried had been one of those who secretly helped her get by while she was in hiding.</w:t>
      </w:r>
      <w:r>
        <w:rPr>
          <w:color w:val="231F20"/>
          <w:position w:val="7"/>
          <w:sz w:val="11"/>
        </w:rPr>
        <w:t>1</w:t>
      </w:r>
    </w:p>
    <w:p w14:paraId="58E7BC4C" w14:textId="77777777" w:rsidR="002653E8" w:rsidRDefault="003115E3">
      <w:pPr>
        <w:pStyle w:val="a3"/>
        <w:spacing w:line="264" w:lineRule="auto"/>
        <w:ind w:left="1147" w:right="1326" w:firstLine="210"/>
        <w:jc w:val="right"/>
      </w:pPr>
      <w:r>
        <w:rPr>
          <w:color w:val="231F20"/>
        </w:rPr>
        <w:t>A</w:t>
      </w:r>
      <w:r>
        <w:rPr>
          <w:color w:val="231F20"/>
          <w:spacing w:val="22"/>
        </w:rPr>
        <w:t xml:space="preserve"> </w:t>
      </w:r>
      <w:r>
        <w:rPr>
          <w:color w:val="231F20"/>
        </w:rPr>
        <w:t>campaign</w:t>
      </w:r>
      <w:r>
        <w:rPr>
          <w:color w:val="231F20"/>
          <w:spacing w:val="22"/>
        </w:rPr>
        <w:t xml:space="preserve"> </w:t>
      </w:r>
      <w:r>
        <w:rPr>
          <w:color w:val="231F20"/>
        </w:rPr>
        <w:t>took</w:t>
      </w:r>
      <w:r>
        <w:rPr>
          <w:color w:val="231F20"/>
          <w:spacing w:val="22"/>
        </w:rPr>
        <w:t xml:space="preserve"> </w:t>
      </w:r>
      <w:r>
        <w:rPr>
          <w:color w:val="231F20"/>
        </w:rPr>
        <w:t>shape,</w:t>
      </w:r>
      <w:r>
        <w:rPr>
          <w:color w:val="231F20"/>
          <w:spacing w:val="22"/>
        </w:rPr>
        <w:t xml:space="preserve"> </w:t>
      </w:r>
      <w:r>
        <w:rPr>
          <w:color w:val="231F20"/>
        </w:rPr>
        <w:t>largely</w:t>
      </w:r>
      <w:r>
        <w:rPr>
          <w:color w:val="231F20"/>
          <w:spacing w:val="22"/>
        </w:rPr>
        <w:t xml:space="preserve"> </w:t>
      </w:r>
      <w:r>
        <w:rPr>
          <w:color w:val="231F20"/>
        </w:rPr>
        <w:t>at</w:t>
      </w:r>
      <w:r>
        <w:rPr>
          <w:color w:val="231F20"/>
          <w:spacing w:val="22"/>
        </w:rPr>
        <w:t xml:space="preserve"> </w:t>
      </w:r>
      <w:r>
        <w:rPr>
          <w:color w:val="231F20"/>
        </w:rPr>
        <w:t>the</w:t>
      </w:r>
      <w:r>
        <w:rPr>
          <w:color w:val="231F20"/>
          <w:spacing w:val="22"/>
        </w:rPr>
        <w:t xml:space="preserve"> </w:t>
      </w:r>
      <w:r>
        <w:rPr>
          <w:color w:val="231F20"/>
        </w:rPr>
        <w:t>initiative</w:t>
      </w:r>
      <w:r>
        <w:rPr>
          <w:color w:val="231F20"/>
          <w:spacing w:val="22"/>
        </w:rPr>
        <w:t xml:space="preserve"> </w:t>
      </w:r>
      <w:r>
        <w:rPr>
          <w:color w:val="231F20"/>
        </w:rPr>
        <w:t>of</w:t>
      </w:r>
      <w:r>
        <w:rPr>
          <w:color w:val="231F20"/>
          <w:spacing w:val="22"/>
        </w:rPr>
        <w:t xml:space="preserve"> </w:t>
      </w:r>
      <w:r>
        <w:rPr>
          <w:color w:val="231F20"/>
        </w:rPr>
        <w:t>radical</w:t>
      </w:r>
      <w:r>
        <w:rPr>
          <w:color w:val="231F20"/>
          <w:spacing w:val="22"/>
        </w:rPr>
        <w:t xml:space="preserve"> </w:t>
      </w:r>
      <w:r>
        <w:rPr>
          <w:color w:val="231F20"/>
        </w:rPr>
        <w:t>feminists,</w:t>
      </w:r>
      <w:r>
        <w:rPr>
          <w:color w:val="231F20"/>
          <w:w w:val="135"/>
        </w:rPr>
        <w:t xml:space="preserve"> </w:t>
      </w:r>
      <w:r>
        <w:rPr>
          <w:color w:val="231F20"/>
        </w:rPr>
        <w:t>to</w:t>
      </w:r>
      <w:r>
        <w:rPr>
          <w:color w:val="231F20"/>
          <w:spacing w:val="18"/>
        </w:rPr>
        <w:t xml:space="preserve"> </w:t>
      </w:r>
      <w:r>
        <w:rPr>
          <w:color w:val="231F20"/>
        </w:rPr>
        <w:t>support</w:t>
      </w:r>
      <w:r>
        <w:rPr>
          <w:color w:val="231F20"/>
          <w:spacing w:val="18"/>
        </w:rPr>
        <w:t xml:space="preserve"> </w:t>
      </w:r>
      <w:r>
        <w:rPr>
          <w:color w:val="231F20"/>
        </w:rPr>
        <w:t>Proll</w:t>
      </w:r>
      <w:r>
        <w:rPr>
          <w:color w:val="231F20"/>
          <w:spacing w:val="18"/>
        </w:rPr>
        <w:t xml:space="preserve"> </w:t>
      </w:r>
      <w:r>
        <w:rPr>
          <w:color w:val="231F20"/>
        </w:rPr>
        <w:t>and</w:t>
      </w:r>
      <w:r>
        <w:rPr>
          <w:color w:val="231F20"/>
          <w:spacing w:val="18"/>
        </w:rPr>
        <w:t xml:space="preserve"> </w:t>
      </w:r>
      <w:r>
        <w:rPr>
          <w:color w:val="231F20"/>
        </w:rPr>
        <w:t>attempt—unsuccessfully—to</w:t>
      </w:r>
      <w:r>
        <w:rPr>
          <w:color w:val="231F20"/>
          <w:spacing w:val="18"/>
        </w:rPr>
        <w:t xml:space="preserve"> </w:t>
      </w:r>
      <w:r>
        <w:rPr>
          <w:color w:val="231F20"/>
        </w:rPr>
        <w:t>fight</w:t>
      </w:r>
      <w:r>
        <w:rPr>
          <w:color w:val="231F20"/>
          <w:spacing w:val="18"/>
        </w:rPr>
        <w:t xml:space="preserve"> </w:t>
      </w:r>
      <w:r>
        <w:rPr>
          <w:color w:val="231F20"/>
        </w:rPr>
        <w:t>against</w:t>
      </w:r>
      <w:r>
        <w:rPr>
          <w:color w:val="231F20"/>
          <w:spacing w:val="18"/>
        </w:rPr>
        <w:t xml:space="preserve"> </w:t>
      </w:r>
      <w:r>
        <w:rPr>
          <w:color w:val="231F20"/>
        </w:rPr>
        <w:t>her</w:t>
      </w:r>
      <w:r>
        <w:rPr>
          <w:color w:val="231F20"/>
          <w:spacing w:val="18"/>
        </w:rPr>
        <w:t xml:space="preserve"> </w:t>
      </w:r>
      <w:r>
        <w:rPr>
          <w:color w:val="231F20"/>
        </w:rPr>
        <w:t>extradition,</w:t>
      </w:r>
      <w:r>
        <w:rPr>
          <w:color w:val="231F20"/>
          <w:spacing w:val="15"/>
        </w:rPr>
        <w:t xml:space="preserve"> </w:t>
      </w:r>
      <w:r>
        <w:rPr>
          <w:color w:val="231F20"/>
        </w:rPr>
        <w:t>for</w:t>
      </w:r>
      <w:r>
        <w:rPr>
          <w:color w:val="231F20"/>
          <w:spacing w:val="15"/>
        </w:rPr>
        <w:t xml:space="preserve"> </w:t>
      </w:r>
      <w:r>
        <w:rPr>
          <w:color w:val="231F20"/>
        </w:rPr>
        <w:t>in</w:t>
      </w:r>
      <w:r>
        <w:rPr>
          <w:color w:val="231F20"/>
          <w:spacing w:val="15"/>
        </w:rPr>
        <w:t xml:space="preserve"> </w:t>
      </w:r>
      <w:r>
        <w:rPr>
          <w:color w:val="231F20"/>
        </w:rPr>
        <w:t>the</w:t>
      </w:r>
      <w:r>
        <w:rPr>
          <w:color w:val="231F20"/>
          <w:spacing w:val="15"/>
        </w:rPr>
        <w:t xml:space="preserve"> </w:t>
      </w:r>
      <w:r>
        <w:rPr>
          <w:color w:val="231F20"/>
        </w:rPr>
        <w:t>fugitive’s</w:t>
      </w:r>
      <w:r>
        <w:rPr>
          <w:color w:val="231F20"/>
          <w:spacing w:val="15"/>
        </w:rPr>
        <w:t xml:space="preserve"> </w:t>
      </w:r>
      <w:r>
        <w:rPr>
          <w:color w:val="231F20"/>
        </w:rPr>
        <w:t>own</w:t>
      </w:r>
      <w:r>
        <w:rPr>
          <w:color w:val="231F20"/>
          <w:spacing w:val="15"/>
        </w:rPr>
        <w:t xml:space="preserve"> </w:t>
      </w:r>
      <w:r>
        <w:rPr>
          <w:color w:val="231F20"/>
        </w:rPr>
        <w:t>words,</w:t>
      </w:r>
      <w:r>
        <w:rPr>
          <w:color w:val="231F20"/>
          <w:spacing w:val="15"/>
        </w:rPr>
        <w:t xml:space="preserve"> </w:t>
      </w:r>
      <w:r>
        <w:rPr>
          <w:color w:val="231F20"/>
        </w:rPr>
        <w:t>“I</w:t>
      </w:r>
      <w:r>
        <w:rPr>
          <w:color w:val="231F20"/>
          <w:spacing w:val="15"/>
        </w:rPr>
        <w:t xml:space="preserve"> </w:t>
      </w:r>
      <w:r>
        <w:rPr>
          <w:color w:val="231F20"/>
        </w:rPr>
        <w:t>do</w:t>
      </w:r>
      <w:r>
        <w:rPr>
          <w:color w:val="231F20"/>
          <w:spacing w:val="15"/>
        </w:rPr>
        <w:t xml:space="preserve"> </w:t>
      </w:r>
      <w:r>
        <w:rPr>
          <w:color w:val="231F20"/>
        </w:rPr>
        <w:t>not</w:t>
      </w:r>
      <w:r>
        <w:rPr>
          <w:color w:val="231F20"/>
          <w:spacing w:val="15"/>
        </w:rPr>
        <w:t xml:space="preserve"> </w:t>
      </w:r>
      <w:r>
        <w:rPr>
          <w:color w:val="231F20"/>
        </w:rPr>
        <w:t>expect</w:t>
      </w:r>
      <w:r>
        <w:rPr>
          <w:color w:val="231F20"/>
          <w:spacing w:val="15"/>
        </w:rPr>
        <w:t xml:space="preserve"> </w:t>
      </w:r>
      <w:r>
        <w:rPr>
          <w:color w:val="231F20"/>
        </w:rPr>
        <w:t>to</w:t>
      </w:r>
      <w:r>
        <w:rPr>
          <w:color w:val="231F20"/>
          <w:spacing w:val="15"/>
        </w:rPr>
        <w:t xml:space="preserve"> </w:t>
      </w:r>
      <w:r>
        <w:rPr>
          <w:color w:val="231F20"/>
        </w:rPr>
        <w:t>survive</w:t>
      </w:r>
      <w:r>
        <w:rPr>
          <w:color w:val="231F20"/>
          <w:spacing w:val="15"/>
        </w:rPr>
        <w:t xml:space="preserve"> </w:t>
      </w:r>
      <w:r>
        <w:rPr>
          <w:color w:val="231F20"/>
        </w:rPr>
        <w:t>if</w:t>
      </w:r>
      <w:r>
        <w:rPr>
          <w:color w:val="231F20"/>
          <w:w w:val="109"/>
        </w:rPr>
        <w:t xml:space="preserve"> </w:t>
      </w:r>
      <w:r>
        <w:rPr>
          <w:color w:val="231F20"/>
        </w:rPr>
        <w:t>I</w:t>
      </w:r>
      <w:r>
        <w:rPr>
          <w:color w:val="231F20"/>
          <w:spacing w:val="22"/>
        </w:rPr>
        <w:t xml:space="preserve"> </w:t>
      </w:r>
      <w:r>
        <w:rPr>
          <w:color w:val="231F20"/>
        </w:rPr>
        <w:t>am</w:t>
      </w:r>
      <w:r>
        <w:rPr>
          <w:color w:val="231F20"/>
          <w:spacing w:val="22"/>
        </w:rPr>
        <w:t xml:space="preserve"> </w:t>
      </w:r>
      <w:r>
        <w:rPr>
          <w:color w:val="231F20"/>
        </w:rPr>
        <w:t>returned</w:t>
      </w:r>
      <w:r>
        <w:rPr>
          <w:color w:val="231F20"/>
          <w:spacing w:val="22"/>
        </w:rPr>
        <w:t xml:space="preserve"> </w:t>
      </w:r>
      <w:r>
        <w:rPr>
          <w:color w:val="231F20"/>
        </w:rPr>
        <w:t>to</w:t>
      </w:r>
      <w:r>
        <w:rPr>
          <w:color w:val="231F20"/>
          <w:spacing w:val="22"/>
        </w:rPr>
        <w:t xml:space="preserve"> </w:t>
      </w:r>
      <w:r>
        <w:rPr>
          <w:color w:val="231F20"/>
          <w:spacing w:val="-3"/>
        </w:rPr>
        <w:t>Germany.”</w:t>
      </w:r>
      <w:r>
        <w:rPr>
          <w:color w:val="231F20"/>
          <w:spacing w:val="-3"/>
          <w:position w:val="7"/>
          <w:sz w:val="11"/>
        </w:rPr>
        <w:t>2</w:t>
      </w:r>
      <w:r>
        <w:rPr>
          <w:color w:val="231F20"/>
          <w:spacing w:val="15"/>
          <w:position w:val="7"/>
          <w:sz w:val="11"/>
        </w:rPr>
        <w:t xml:space="preserve"> </w:t>
      </w:r>
      <w:r>
        <w:rPr>
          <w:color w:val="231F20"/>
        </w:rPr>
        <w:t>Nevertheless,</w:t>
      </w:r>
      <w:r>
        <w:rPr>
          <w:color w:val="231F20"/>
          <w:spacing w:val="22"/>
        </w:rPr>
        <w:t xml:space="preserve"> </w:t>
      </w:r>
      <w:r>
        <w:rPr>
          <w:color w:val="231F20"/>
        </w:rPr>
        <w:t>once</w:t>
      </w:r>
      <w:r>
        <w:rPr>
          <w:color w:val="231F20"/>
          <w:spacing w:val="22"/>
        </w:rPr>
        <w:t xml:space="preserve"> </w:t>
      </w:r>
      <w:r>
        <w:rPr>
          <w:color w:val="231F20"/>
        </w:rPr>
        <w:t>she</w:t>
      </w:r>
      <w:r>
        <w:rPr>
          <w:color w:val="231F20"/>
          <w:spacing w:val="22"/>
        </w:rPr>
        <w:t xml:space="preserve"> </w:t>
      </w:r>
      <w:r>
        <w:rPr>
          <w:color w:val="231F20"/>
        </w:rPr>
        <w:t>was</w:t>
      </w:r>
      <w:r>
        <w:rPr>
          <w:color w:val="231F20"/>
          <w:spacing w:val="22"/>
        </w:rPr>
        <w:t xml:space="preserve"> </w:t>
      </w:r>
      <w:r>
        <w:rPr>
          <w:color w:val="231F20"/>
        </w:rPr>
        <w:t>returned,</w:t>
      </w:r>
      <w:r>
        <w:rPr>
          <w:color w:val="231F20"/>
          <w:spacing w:val="22"/>
        </w:rPr>
        <w:t xml:space="preserve"> </w:t>
      </w:r>
      <w:r>
        <w:rPr>
          <w:color w:val="231F20"/>
        </w:rPr>
        <w:t>the</w:t>
      </w:r>
      <w:r>
        <w:rPr>
          <w:color w:val="231F20"/>
          <w:w w:val="91"/>
        </w:rPr>
        <w:t xml:space="preserve"> </w:t>
      </w:r>
      <w:r>
        <w:rPr>
          <w:color w:val="231F20"/>
        </w:rPr>
        <w:t>state</w:t>
      </w:r>
      <w:r>
        <w:rPr>
          <w:color w:val="231F20"/>
          <w:spacing w:val="-7"/>
        </w:rPr>
        <w:t xml:space="preserve"> </w:t>
      </w:r>
      <w:r>
        <w:rPr>
          <w:color w:val="231F20"/>
        </w:rPr>
        <w:t>quickly</w:t>
      </w:r>
      <w:r>
        <w:rPr>
          <w:color w:val="231F20"/>
          <w:spacing w:val="-7"/>
        </w:rPr>
        <w:t xml:space="preserve"> </w:t>
      </w:r>
      <w:r>
        <w:rPr>
          <w:color w:val="231F20"/>
        </w:rPr>
        <w:t>agreed</w:t>
      </w:r>
      <w:r>
        <w:rPr>
          <w:color w:val="231F20"/>
          <w:spacing w:val="-7"/>
        </w:rPr>
        <w:t xml:space="preserve"> </w:t>
      </w:r>
      <w:r>
        <w:rPr>
          <w:color w:val="231F20"/>
        </w:rPr>
        <w:t>to</w:t>
      </w:r>
      <w:r>
        <w:rPr>
          <w:color w:val="231F20"/>
          <w:spacing w:val="-7"/>
        </w:rPr>
        <w:t xml:space="preserve"> </w:t>
      </w:r>
      <w:r>
        <w:rPr>
          <w:color w:val="231F20"/>
        </w:rPr>
        <w:t>drop</w:t>
      </w:r>
      <w:r>
        <w:rPr>
          <w:color w:val="231F20"/>
          <w:spacing w:val="-7"/>
        </w:rPr>
        <w:t xml:space="preserve"> </w:t>
      </w:r>
      <w:r>
        <w:rPr>
          <w:color w:val="231F20"/>
        </w:rPr>
        <w:t>the</w:t>
      </w:r>
      <w:r>
        <w:rPr>
          <w:color w:val="231F20"/>
          <w:spacing w:val="-7"/>
        </w:rPr>
        <w:t xml:space="preserve"> </w:t>
      </w:r>
      <w:r>
        <w:rPr>
          <w:color w:val="231F20"/>
        </w:rPr>
        <w:t>most</w:t>
      </w:r>
      <w:r>
        <w:rPr>
          <w:color w:val="231F20"/>
          <w:spacing w:val="-7"/>
        </w:rPr>
        <w:t xml:space="preserve"> </w:t>
      </w:r>
      <w:r>
        <w:rPr>
          <w:color w:val="231F20"/>
        </w:rPr>
        <w:t>serious</w:t>
      </w:r>
      <w:r>
        <w:rPr>
          <w:color w:val="231F20"/>
          <w:spacing w:val="-7"/>
        </w:rPr>
        <w:t xml:space="preserve"> </w:t>
      </w:r>
      <w:r>
        <w:rPr>
          <w:color w:val="231F20"/>
        </w:rPr>
        <w:t>charges:</w:t>
      </w:r>
      <w:r>
        <w:rPr>
          <w:color w:val="231F20"/>
          <w:spacing w:val="-7"/>
        </w:rPr>
        <w:t xml:space="preserve"> </w:t>
      </w:r>
      <w:r>
        <w:rPr>
          <w:color w:val="231F20"/>
        </w:rPr>
        <w:t>the</w:t>
      </w:r>
      <w:r>
        <w:rPr>
          <w:color w:val="231F20"/>
          <w:spacing w:val="-7"/>
        </w:rPr>
        <w:t xml:space="preserve"> </w:t>
      </w:r>
      <w:r>
        <w:rPr>
          <w:color w:val="231F20"/>
        </w:rPr>
        <w:t>main</w:t>
      </w:r>
      <w:r>
        <w:rPr>
          <w:color w:val="231F20"/>
          <w:spacing w:val="-7"/>
        </w:rPr>
        <w:t xml:space="preserve"> </w:t>
      </w:r>
      <w:r>
        <w:rPr>
          <w:color w:val="231F20"/>
        </w:rPr>
        <w:t>evidence</w:t>
      </w:r>
      <w:r>
        <w:rPr>
          <w:color w:val="231F20"/>
          <w:w w:val="91"/>
        </w:rPr>
        <w:t xml:space="preserve"> </w:t>
      </w:r>
      <w:r>
        <w:rPr>
          <w:color w:val="231F20"/>
        </w:rPr>
        <w:t>against her was that of the discredited Karl-Heinz Ruhland,</w:t>
      </w:r>
      <w:r>
        <w:rPr>
          <w:color w:val="231F20"/>
          <w:spacing w:val="32"/>
        </w:rPr>
        <w:t xml:space="preserve"> </w:t>
      </w:r>
      <w:r>
        <w:rPr>
          <w:color w:val="231F20"/>
        </w:rPr>
        <w:t>and</w:t>
      </w:r>
      <w:r>
        <w:rPr>
          <w:color w:val="231F20"/>
          <w:spacing w:val="41"/>
        </w:rPr>
        <w:t xml:space="preserve"> </w:t>
      </w:r>
      <w:r>
        <w:rPr>
          <w:color w:val="231F20"/>
        </w:rPr>
        <w:t>the</w:t>
      </w:r>
      <w:r>
        <w:rPr>
          <w:color w:val="231F20"/>
          <w:w w:val="91"/>
        </w:rPr>
        <w:t xml:space="preserve"> </w:t>
      </w:r>
      <w:r>
        <w:rPr>
          <w:color w:val="231F20"/>
        </w:rPr>
        <w:t>memo</w:t>
      </w:r>
      <w:r>
        <w:rPr>
          <w:color w:val="231F20"/>
          <w:spacing w:val="8"/>
        </w:rPr>
        <w:t xml:space="preserve"> </w:t>
      </w:r>
      <w:r>
        <w:rPr>
          <w:color w:val="231F20"/>
        </w:rPr>
        <w:t>from</w:t>
      </w:r>
      <w:r>
        <w:rPr>
          <w:color w:val="231F20"/>
          <w:spacing w:val="8"/>
        </w:rPr>
        <w:t xml:space="preserve"> </w:t>
      </w:r>
      <w:r>
        <w:rPr>
          <w:color w:val="231F20"/>
        </w:rPr>
        <w:t>state</w:t>
      </w:r>
      <w:r>
        <w:rPr>
          <w:color w:val="231F20"/>
          <w:spacing w:val="8"/>
        </w:rPr>
        <w:t xml:space="preserve"> </w:t>
      </w:r>
      <w:r>
        <w:rPr>
          <w:color w:val="231F20"/>
        </w:rPr>
        <w:t>security</w:t>
      </w:r>
      <w:r>
        <w:rPr>
          <w:color w:val="231F20"/>
          <w:spacing w:val="8"/>
        </w:rPr>
        <w:t xml:space="preserve"> </w:t>
      </w:r>
      <w:r>
        <w:rPr>
          <w:color w:val="231F20"/>
        </w:rPr>
        <w:t>that</w:t>
      </w:r>
      <w:r>
        <w:rPr>
          <w:color w:val="231F20"/>
          <w:spacing w:val="8"/>
        </w:rPr>
        <w:t xml:space="preserve"> </w:t>
      </w:r>
      <w:r>
        <w:rPr>
          <w:color w:val="231F20"/>
        </w:rPr>
        <w:t>proved</w:t>
      </w:r>
      <w:r>
        <w:rPr>
          <w:color w:val="231F20"/>
          <w:spacing w:val="8"/>
        </w:rPr>
        <w:t xml:space="preserve"> </w:t>
      </w:r>
      <w:r>
        <w:rPr>
          <w:color w:val="231F20"/>
        </w:rPr>
        <w:t>her</w:t>
      </w:r>
      <w:r>
        <w:rPr>
          <w:color w:val="231F20"/>
          <w:spacing w:val="8"/>
        </w:rPr>
        <w:t xml:space="preserve"> </w:t>
      </w:r>
      <w:r>
        <w:rPr>
          <w:color w:val="231F20"/>
        </w:rPr>
        <w:t>innocence</w:t>
      </w:r>
      <w:r>
        <w:rPr>
          <w:color w:val="231F20"/>
          <w:spacing w:val="8"/>
        </w:rPr>
        <w:t xml:space="preserve"> </w:t>
      </w:r>
      <w:r>
        <w:rPr>
          <w:color w:val="231F20"/>
        </w:rPr>
        <w:t>had</w:t>
      </w:r>
      <w:r>
        <w:rPr>
          <w:color w:val="231F20"/>
          <w:spacing w:val="8"/>
        </w:rPr>
        <w:t xml:space="preserve"> </w:t>
      </w:r>
      <w:r>
        <w:rPr>
          <w:color w:val="231F20"/>
        </w:rPr>
        <w:t>come</w:t>
      </w:r>
      <w:r>
        <w:rPr>
          <w:color w:val="231F20"/>
          <w:spacing w:val="8"/>
        </w:rPr>
        <w:t xml:space="preserve"> </w:t>
      </w:r>
      <w:r>
        <w:rPr>
          <w:color w:val="231F20"/>
        </w:rPr>
        <w:t>to</w:t>
      </w:r>
      <w:r>
        <w:rPr>
          <w:color w:val="231F20"/>
          <w:spacing w:val="8"/>
        </w:rPr>
        <w:t xml:space="preserve"> </w:t>
      </w:r>
      <w:r>
        <w:rPr>
          <w:color w:val="231F20"/>
        </w:rPr>
        <w:t>light.</w:t>
      </w:r>
      <w:r>
        <w:rPr>
          <w:color w:val="231F20"/>
          <w:w w:val="135"/>
        </w:rPr>
        <w:t xml:space="preserve"> </w:t>
      </w:r>
      <w:r>
        <w:rPr>
          <w:color w:val="231F20"/>
        </w:rPr>
        <w:t>Meanwhile,</w:t>
      </w:r>
      <w:r>
        <w:rPr>
          <w:color w:val="231F20"/>
          <w:spacing w:val="15"/>
        </w:rPr>
        <w:t xml:space="preserve"> </w:t>
      </w:r>
      <w:r>
        <w:rPr>
          <w:color w:val="231F20"/>
        </w:rPr>
        <w:t>on</w:t>
      </w:r>
      <w:r>
        <w:rPr>
          <w:color w:val="231F20"/>
          <w:spacing w:val="15"/>
        </w:rPr>
        <w:t xml:space="preserve"> </w:t>
      </w:r>
      <w:r>
        <w:rPr>
          <w:color w:val="231F20"/>
        </w:rPr>
        <w:t>November</w:t>
      </w:r>
      <w:r>
        <w:rPr>
          <w:color w:val="231F20"/>
          <w:spacing w:val="15"/>
        </w:rPr>
        <w:t xml:space="preserve"> </w:t>
      </w:r>
      <w:r>
        <w:rPr>
          <w:color w:val="231F20"/>
        </w:rPr>
        <w:t>1,</w:t>
      </w:r>
      <w:r>
        <w:rPr>
          <w:color w:val="231F20"/>
          <w:spacing w:val="15"/>
        </w:rPr>
        <w:t xml:space="preserve"> </w:t>
      </w:r>
      <w:r>
        <w:rPr>
          <w:color w:val="231F20"/>
          <w:spacing w:val="-4"/>
        </w:rPr>
        <w:t>1978,</w:t>
      </w:r>
      <w:r>
        <w:rPr>
          <w:color w:val="231F20"/>
          <w:spacing w:val="15"/>
        </w:rPr>
        <w:t xml:space="preserve"> </w:t>
      </w:r>
      <w:r>
        <w:rPr>
          <w:color w:val="231F20"/>
        </w:rPr>
        <w:t>Rolf</w:t>
      </w:r>
      <w:r>
        <w:rPr>
          <w:color w:val="231F20"/>
          <w:spacing w:val="15"/>
        </w:rPr>
        <w:t xml:space="preserve"> </w:t>
      </w:r>
      <w:r>
        <w:rPr>
          <w:color w:val="231F20"/>
        </w:rPr>
        <w:t>Heissler</w:t>
      </w:r>
      <w:r>
        <w:rPr>
          <w:color w:val="231F20"/>
          <w:spacing w:val="15"/>
        </w:rPr>
        <w:t xml:space="preserve"> </w:t>
      </w:r>
      <w:r>
        <w:rPr>
          <w:color w:val="231F20"/>
        </w:rPr>
        <w:t>and</w:t>
      </w:r>
      <w:r>
        <w:rPr>
          <w:color w:val="231F20"/>
          <w:spacing w:val="15"/>
        </w:rPr>
        <w:t xml:space="preserve"> </w:t>
      </w:r>
      <w:r>
        <w:rPr>
          <w:color w:val="231F20"/>
        </w:rPr>
        <w:t>Adelheid</w:t>
      </w:r>
      <w:r>
        <w:rPr>
          <w:color w:val="231F20"/>
          <w:spacing w:val="15"/>
        </w:rPr>
        <w:t xml:space="preserve"> </w:t>
      </w:r>
      <w:r>
        <w:rPr>
          <w:color w:val="231F20"/>
        </w:rPr>
        <w:t>Schulz</w:t>
      </w:r>
      <w:r>
        <w:rPr>
          <w:color w:val="231F20"/>
          <w:w w:val="97"/>
        </w:rPr>
        <w:t xml:space="preserve"> </w:t>
      </w:r>
      <w:r>
        <w:rPr>
          <w:color w:val="231F20"/>
        </w:rPr>
        <w:t>were identified as they were attempting to cross into Holland.</w:t>
      </w:r>
      <w:r>
        <w:rPr>
          <w:color w:val="231F20"/>
          <w:spacing w:val="-26"/>
        </w:rPr>
        <w:t xml:space="preserve"> </w:t>
      </w:r>
      <w:r>
        <w:rPr>
          <w:color w:val="231F20"/>
        </w:rPr>
        <w:t>A</w:t>
      </w:r>
      <w:r>
        <w:rPr>
          <w:color w:val="231F20"/>
          <w:spacing w:val="-3"/>
        </w:rPr>
        <w:t xml:space="preserve"> </w:t>
      </w:r>
      <w:r>
        <w:rPr>
          <w:color w:val="231F20"/>
        </w:rPr>
        <w:t>firefight</w:t>
      </w:r>
      <w:r>
        <w:rPr>
          <w:color w:val="231F20"/>
          <w:w w:val="98"/>
        </w:rPr>
        <w:t xml:space="preserve"> </w:t>
      </w:r>
      <w:r>
        <w:rPr>
          <w:color w:val="231F20"/>
        </w:rPr>
        <w:t>ensued</w:t>
      </w:r>
      <w:r>
        <w:rPr>
          <w:color w:val="231F20"/>
          <w:spacing w:val="33"/>
        </w:rPr>
        <w:t xml:space="preserve"> </w:t>
      </w:r>
      <w:r>
        <w:rPr>
          <w:color w:val="231F20"/>
        </w:rPr>
        <w:t>and</w:t>
      </w:r>
      <w:r>
        <w:rPr>
          <w:color w:val="231F20"/>
          <w:spacing w:val="33"/>
        </w:rPr>
        <w:t xml:space="preserve"> </w:t>
      </w:r>
      <w:r>
        <w:rPr>
          <w:color w:val="231F20"/>
        </w:rPr>
        <w:t>border</w:t>
      </w:r>
      <w:r>
        <w:rPr>
          <w:color w:val="231F20"/>
          <w:spacing w:val="33"/>
        </w:rPr>
        <w:t xml:space="preserve"> </w:t>
      </w:r>
      <w:r>
        <w:rPr>
          <w:color w:val="231F20"/>
        </w:rPr>
        <w:t>guards</w:t>
      </w:r>
      <w:r>
        <w:rPr>
          <w:color w:val="231F20"/>
          <w:spacing w:val="35"/>
        </w:rPr>
        <w:t xml:space="preserve"> </w:t>
      </w:r>
      <w:r>
        <w:rPr>
          <w:color w:val="231F20"/>
        </w:rPr>
        <w:t>Dionysius</w:t>
      </w:r>
      <w:r>
        <w:rPr>
          <w:color w:val="231F20"/>
          <w:spacing w:val="33"/>
        </w:rPr>
        <w:t xml:space="preserve"> </w:t>
      </w:r>
      <w:r>
        <w:rPr>
          <w:color w:val="231F20"/>
        </w:rPr>
        <w:t>de</w:t>
      </w:r>
      <w:r>
        <w:rPr>
          <w:color w:val="231F20"/>
          <w:spacing w:val="33"/>
        </w:rPr>
        <w:t xml:space="preserve"> </w:t>
      </w:r>
      <w:r>
        <w:rPr>
          <w:color w:val="231F20"/>
        </w:rPr>
        <w:t>Jong</w:t>
      </w:r>
      <w:r>
        <w:rPr>
          <w:color w:val="231F20"/>
          <w:spacing w:val="33"/>
        </w:rPr>
        <w:t xml:space="preserve"> </w:t>
      </w:r>
      <w:r>
        <w:rPr>
          <w:color w:val="231F20"/>
        </w:rPr>
        <w:t>and</w:t>
      </w:r>
      <w:r>
        <w:rPr>
          <w:color w:val="231F20"/>
          <w:spacing w:val="33"/>
        </w:rPr>
        <w:t xml:space="preserve"> </w:t>
      </w:r>
      <w:r>
        <w:rPr>
          <w:color w:val="231F20"/>
        </w:rPr>
        <w:t>Johannes</w:t>
      </w:r>
      <w:r>
        <w:rPr>
          <w:color w:val="231F20"/>
          <w:spacing w:val="33"/>
        </w:rPr>
        <w:t xml:space="preserve"> </w:t>
      </w:r>
      <w:r>
        <w:rPr>
          <w:color w:val="231F20"/>
        </w:rPr>
        <w:t>Goemans</w:t>
      </w:r>
    </w:p>
    <w:p w14:paraId="4D2F980F" w14:textId="77777777" w:rsidR="002653E8" w:rsidRDefault="003115E3">
      <w:pPr>
        <w:pStyle w:val="a3"/>
        <w:spacing w:line="223" w:lineRule="exact"/>
        <w:ind w:left="1148"/>
      </w:pPr>
      <w:r>
        <w:rPr>
          <w:color w:val="231F20"/>
        </w:rPr>
        <w:t>were both shot dead.</w:t>
      </w:r>
    </w:p>
    <w:p w14:paraId="35E9593B" w14:textId="77777777" w:rsidR="002653E8" w:rsidRDefault="003115E3">
      <w:pPr>
        <w:pStyle w:val="a3"/>
        <w:spacing w:before="20" w:line="264" w:lineRule="auto"/>
        <w:ind w:left="1148" w:right="1325" w:firstLine="210"/>
        <w:jc w:val="both"/>
      </w:pPr>
      <w:r>
        <w:rPr>
          <w:color w:val="231F20"/>
        </w:rPr>
        <w:t>The guerilla was still regrouping, and yet there would be more casualties before it was operational again.</w:t>
      </w:r>
    </w:p>
    <w:p w14:paraId="541107D8" w14:textId="77777777" w:rsidR="002653E8" w:rsidRDefault="003115E3">
      <w:pPr>
        <w:pStyle w:val="a3"/>
        <w:spacing w:line="264" w:lineRule="auto"/>
        <w:ind w:left="1147" w:right="1325" w:firstLine="210"/>
        <w:jc w:val="both"/>
        <w:rPr>
          <w:sz w:val="11"/>
        </w:rPr>
      </w:pPr>
      <w:r>
        <w:rPr>
          <w:color w:val="231F20"/>
          <w:spacing w:val="1"/>
        </w:rPr>
        <w:t xml:space="preserve">In </w:t>
      </w:r>
      <w:r>
        <w:rPr>
          <w:color w:val="231F20"/>
        </w:rPr>
        <w:t xml:space="preserve">the midst of the prisoners’ seventh hunger strike, Elisabeth von Dyck was identified by police while entering a suspected </w:t>
      </w:r>
      <w:r w:rsidR="00C507A5">
        <w:rPr>
          <w:color w:val="231F20"/>
          <w:spacing w:val="5"/>
        </w:rPr>
        <w:t>red army faction</w:t>
      </w:r>
      <w:r>
        <w:rPr>
          <w:color w:val="231F20"/>
          <w:spacing w:val="5"/>
        </w:rPr>
        <w:t xml:space="preserve"> </w:t>
      </w:r>
      <w:r>
        <w:rPr>
          <w:color w:val="231F20"/>
        </w:rPr>
        <w:t xml:space="preserve">safehouse in Nuremberg on May 4, </w:t>
      </w:r>
      <w:r>
        <w:rPr>
          <w:color w:val="231F20"/>
          <w:spacing w:val="-5"/>
        </w:rPr>
        <w:t xml:space="preserve">1979.  </w:t>
      </w:r>
      <w:r>
        <w:rPr>
          <w:color w:val="231F20"/>
        </w:rPr>
        <w:t>She was shot in the back, and died on   the</w:t>
      </w:r>
      <w:r>
        <w:rPr>
          <w:color w:val="231F20"/>
          <w:spacing w:val="10"/>
        </w:rPr>
        <w:t xml:space="preserve"> </w:t>
      </w:r>
      <w:r>
        <w:rPr>
          <w:color w:val="231F20"/>
        </w:rPr>
        <w:t>spot.</w:t>
      </w:r>
      <w:r>
        <w:rPr>
          <w:color w:val="231F20"/>
          <w:position w:val="7"/>
          <w:sz w:val="11"/>
        </w:rPr>
        <w:t>3</w:t>
      </w:r>
    </w:p>
    <w:p w14:paraId="2C66DA63" w14:textId="77777777" w:rsidR="002653E8" w:rsidRDefault="003115E3">
      <w:pPr>
        <w:pStyle w:val="a3"/>
        <w:spacing w:line="264" w:lineRule="auto"/>
        <w:ind w:left="1147" w:right="1325" w:firstLine="210"/>
        <w:jc w:val="both"/>
        <w:rPr>
          <w:sz w:val="11"/>
        </w:rPr>
      </w:pPr>
      <w:r>
        <w:rPr>
          <w:color w:val="231F20"/>
        </w:rPr>
        <w:t>A month later, Rolf Heissler was captured after he miraculously survived being shot in the head as he entered a Frankfurt apartment.</w:t>
      </w:r>
      <w:r>
        <w:rPr>
          <w:color w:val="231F20"/>
          <w:position w:val="7"/>
          <w:sz w:val="11"/>
        </w:rPr>
        <w:t>4</w:t>
      </w:r>
    </w:p>
    <w:p w14:paraId="00D4D78B" w14:textId="77777777" w:rsidR="002653E8" w:rsidRDefault="00000000">
      <w:pPr>
        <w:pStyle w:val="a3"/>
        <w:spacing w:before="2"/>
        <w:rPr>
          <w:sz w:val="24"/>
        </w:rPr>
      </w:pPr>
      <w:r>
        <w:rPr>
          <w:noProof w:val="0"/>
        </w:rPr>
        <w:pict w14:anchorId="408ECE3C">
          <v:line id="_x0000_s2151" style="position:absolute;z-index:11032;mso-wrap-distance-left:0;mso-wrap-distance-right:0;mso-position-horizontal-relative:page" from="57.4pt,16.4pt" to="129.4pt,16.4pt" strokecolor="#231f20" strokeweight=".5pt">
            <w10:wrap type="topAndBottom" anchorx="page"/>
          </v:line>
        </w:pict>
      </w:r>
    </w:p>
    <w:p w14:paraId="005D9F3B" w14:textId="77777777" w:rsidR="002653E8" w:rsidRDefault="003115E3">
      <w:pPr>
        <w:spacing w:before="53" w:line="307" w:lineRule="auto"/>
        <w:ind w:left="1147" w:right="4837"/>
        <w:rPr>
          <w:sz w:val="16"/>
        </w:rPr>
      </w:pPr>
      <w:r w:rsidRPr="00846956">
        <w:rPr>
          <w:color w:val="231F20"/>
          <w:w w:val="110"/>
          <w:sz w:val="16"/>
          <w:lang w:val="de-DE"/>
        </w:rPr>
        <w:t xml:space="preserve">1 Goettle, “Die Praxis der Galaxie.” </w:t>
      </w:r>
      <w:r>
        <w:rPr>
          <w:color w:val="231F20"/>
          <w:w w:val="110"/>
          <w:sz w:val="16"/>
        </w:rPr>
        <w:t>2 Friends of Astrid Proll.</w:t>
      </w:r>
    </w:p>
    <w:p w14:paraId="22B24299" w14:textId="77777777" w:rsidR="002653E8" w:rsidRPr="00846956" w:rsidRDefault="003115E3">
      <w:pPr>
        <w:pStyle w:val="a4"/>
        <w:numPr>
          <w:ilvl w:val="0"/>
          <w:numId w:val="42"/>
        </w:numPr>
        <w:tabs>
          <w:tab w:val="left" w:pos="1287"/>
        </w:tabs>
        <w:spacing w:before="0" w:line="186" w:lineRule="exact"/>
        <w:ind w:hanging="180"/>
        <w:jc w:val="left"/>
        <w:rPr>
          <w:sz w:val="16"/>
          <w:lang w:val="de-DE"/>
        </w:rPr>
      </w:pPr>
      <w:r w:rsidRPr="00846956">
        <w:rPr>
          <w:color w:val="231F20"/>
          <w:spacing w:val="-5"/>
          <w:w w:val="153"/>
          <w:sz w:val="16"/>
          <w:lang w:val="de-DE"/>
        </w:rPr>
        <w:t>“</w:t>
      </w:r>
      <w:r w:rsidRPr="00846956">
        <w:rPr>
          <w:color w:val="231F20"/>
          <w:spacing w:val="2"/>
          <w:w w:val="106"/>
          <w:sz w:val="16"/>
          <w:lang w:val="de-DE"/>
        </w:rPr>
        <w:t>a</w:t>
      </w:r>
      <w:r w:rsidRPr="00846956">
        <w:rPr>
          <w:color w:val="231F20"/>
          <w:w w:val="103"/>
          <w:sz w:val="16"/>
          <w:lang w:val="de-DE"/>
        </w:rPr>
        <w:t>i</w:t>
      </w:r>
      <w:r w:rsidRPr="00846956">
        <w:rPr>
          <w:color w:val="231F20"/>
          <w:spacing w:val="-8"/>
          <w:w w:val="104"/>
          <w:sz w:val="16"/>
          <w:lang w:val="de-DE"/>
        </w:rPr>
        <w:t>-1</w:t>
      </w:r>
      <w:r w:rsidRPr="00846956">
        <w:rPr>
          <w:color w:val="231F20"/>
          <w:spacing w:val="-1"/>
          <w:w w:val="104"/>
          <w:sz w:val="16"/>
          <w:lang w:val="de-DE"/>
        </w:rPr>
        <w:t>6</w:t>
      </w:r>
      <w:r w:rsidRPr="00846956">
        <w:rPr>
          <w:color w:val="231F20"/>
          <w:spacing w:val="-4"/>
          <w:w w:val="104"/>
          <w:sz w:val="16"/>
          <w:lang w:val="de-DE"/>
        </w:rPr>
        <w:t>8</w:t>
      </w:r>
      <w:r w:rsidRPr="00846956">
        <w:rPr>
          <w:color w:val="231F20"/>
          <w:w w:val="153"/>
          <w:sz w:val="16"/>
          <w:lang w:val="de-DE"/>
        </w:rPr>
        <w:t>”</w:t>
      </w:r>
      <w:r w:rsidRPr="00846956">
        <w:rPr>
          <w:color w:val="231F20"/>
          <w:spacing w:val="10"/>
          <w:sz w:val="16"/>
          <w:lang w:val="de-DE"/>
        </w:rPr>
        <w:t xml:space="preserve"> </w:t>
      </w:r>
      <w:hyperlink r:id="rId448">
        <w:r w:rsidRPr="00846956">
          <w:rPr>
            <w:color w:val="231F20"/>
            <w:w w:val="104"/>
            <w:sz w:val="16"/>
            <w:lang w:val="de-DE"/>
          </w:rPr>
          <w:t>h</w:t>
        </w:r>
        <w:r w:rsidRPr="00846956">
          <w:rPr>
            <w:color w:val="231F20"/>
            <w:spacing w:val="5"/>
            <w:w w:val="102"/>
            <w:sz w:val="16"/>
            <w:lang w:val="de-DE"/>
          </w:rPr>
          <w:t>t</w:t>
        </w:r>
        <w:r w:rsidRPr="00846956">
          <w:rPr>
            <w:color w:val="231F20"/>
            <w:spacing w:val="3"/>
            <w:w w:val="102"/>
            <w:sz w:val="16"/>
            <w:lang w:val="de-DE"/>
          </w:rPr>
          <w:t>t</w:t>
        </w:r>
        <w:r w:rsidRPr="00846956">
          <w:rPr>
            <w:color w:val="231F20"/>
            <w:w w:val="103"/>
            <w:sz w:val="16"/>
            <w:lang w:val="de-DE"/>
          </w:rPr>
          <w:t>p</w:t>
        </w:r>
        <w:r w:rsidRPr="00846956">
          <w:rPr>
            <w:color w:val="231F20"/>
            <w:spacing w:val="5"/>
            <w:w w:val="109"/>
            <w:sz w:val="16"/>
            <w:lang w:val="de-DE"/>
          </w:rPr>
          <w:t>:</w:t>
        </w:r>
        <w:r w:rsidRPr="00846956">
          <w:rPr>
            <w:color w:val="231F20"/>
            <w:spacing w:val="-1"/>
            <w:w w:val="58"/>
            <w:sz w:val="16"/>
            <w:lang w:val="de-DE"/>
          </w:rPr>
          <w:t>/</w:t>
        </w:r>
        <w:r w:rsidRPr="00846956">
          <w:rPr>
            <w:color w:val="231F20"/>
            <w:spacing w:val="2"/>
            <w:w w:val="58"/>
            <w:sz w:val="16"/>
            <w:lang w:val="de-DE"/>
          </w:rPr>
          <w:t>/</w:t>
        </w:r>
        <w:r w:rsidRPr="00846956">
          <w:rPr>
            <w:color w:val="231F20"/>
            <w:spacing w:val="6"/>
            <w:w w:val="104"/>
            <w:sz w:val="16"/>
            <w:lang w:val="de-DE"/>
          </w:rPr>
          <w:t>ww</w:t>
        </w:r>
        <w:r w:rsidRPr="00846956">
          <w:rPr>
            <w:color w:val="231F20"/>
            <w:spacing w:val="-9"/>
            <w:w w:val="104"/>
            <w:sz w:val="16"/>
            <w:lang w:val="de-DE"/>
          </w:rPr>
          <w:t>w</w:t>
        </w:r>
        <w:r w:rsidRPr="00846956">
          <w:rPr>
            <w:color w:val="231F20"/>
            <w:spacing w:val="1"/>
            <w:w w:val="140"/>
            <w:sz w:val="16"/>
            <w:lang w:val="de-DE"/>
          </w:rPr>
          <w:t>.</w:t>
        </w:r>
        <w:r w:rsidRPr="00846956">
          <w:rPr>
            <w:color w:val="231F20"/>
            <w:spacing w:val="1"/>
            <w:w w:val="103"/>
            <w:sz w:val="16"/>
            <w:lang w:val="de-DE"/>
          </w:rPr>
          <w:t>n</w:t>
        </w:r>
        <w:r w:rsidRPr="00846956">
          <w:rPr>
            <w:color w:val="231F20"/>
            <w:spacing w:val="-1"/>
            <w:w w:val="106"/>
            <w:sz w:val="16"/>
            <w:lang w:val="de-DE"/>
          </w:rPr>
          <w:t>a</w:t>
        </w:r>
        <w:r w:rsidRPr="00846956">
          <w:rPr>
            <w:color w:val="231F20"/>
            <w:spacing w:val="3"/>
            <w:w w:val="101"/>
            <w:sz w:val="16"/>
            <w:lang w:val="de-DE"/>
          </w:rPr>
          <w:t>di</w:t>
        </w:r>
        <w:r w:rsidRPr="00846956">
          <w:rPr>
            <w:color w:val="231F20"/>
            <w:spacing w:val="-4"/>
            <w:w w:val="101"/>
            <w:sz w:val="16"/>
            <w:lang w:val="de-DE"/>
          </w:rPr>
          <w:t>r</w:t>
        </w:r>
        <w:r w:rsidRPr="00846956">
          <w:rPr>
            <w:color w:val="231F20"/>
            <w:w w:val="140"/>
            <w:sz w:val="16"/>
            <w:lang w:val="de-DE"/>
          </w:rPr>
          <w:t>.</w:t>
        </w:r>
        <w:r w:rsidRPr="00846956">
          <w:rPr>
            <w:color w:val="231F20"/>
            <w:w w:val="108"/>
            <w:sz w:val="16"/>
            <w:lang w:val="de-DE"/>
          </w:rPr>
          <w:t>o</w:t>
        </w:r>
        <w:r w:rsidRPr="00846956">
          <w:rPr>
            <w:color w:val="231F20"/>
            <w:spacing w:val="1"/>
            <w:w w:val="97"/>
            <w:sz w:val="16"/>
            <w:lang w:val="de-DE"/>
          </w:rPr>
          <w:t>r</w:t>
        </w:r>
        <w:r w:rsidRPr="00846956">
          <w:rPr>
            <w:color w:val="231F20"/>
            <w:spacing w:val="8"/>
            <w:w w:val="104"/>
            <w:sz w:val="16"/>
            <w:lang w:val="de-DE"/>
          </w:rPr>
          <w:t>g</w:t>
        </w:r>
        <w:r w:rsidRPr="00846956">
          <w:rPr>
            <w:color w:val="231F20"/>
            <w:w w:val="58"/>
            <w:sz w:val="16"/>
            <w:lang w:val="de-DE"/>
          </w:rPr>
          <w:t>/</w:t>
        </w:r>
        <w:r w:rsidRPr="00846956">
          <w:rPr>
            <w:color w:val="231F20"/>
            <w:spacing w:val="1"/>
            <w:w w:val="103"/>
            <w:sz w:val="16"/>
            <w:lang w:val="de-DE"/>
          </w:rPr>
          <w:t>n</w:t>
        </w:r>
        <w:r w:rsidRPr="00846956">
          <w:rPr>
            <w:color w:val="231F20"/>
            <w:spacing w:val="-1"/>
            <w:w w:val="106"/>
            <w:sz w:val="16"/>
            <w:lang w:val="de-DE"/>
          </w:rPr>
          <w:t>a</w:t>
        </w:r>
        <w:r w:rsidRPr="00846956">
          <w:rPr>
            <w:color w:val="231F20"/>
            <w:spacing w:val="3"/>
            <w:w w:val="101"/>
            <w:sz w:val="16"/>
            <w:lang w:val="de-DE"/>
          </w:rPr>
          <w:t>di</w:t>
        </w:r>
        <w:r w:rsidRPr="00846956">
          <w:rPr>
            <w:color w:val="231F20"/>
            <w:spacing w:val="1"/>
            <w:w w:val="101"/>
            <w:sz w:val="16"/>
            <w:lang w:val="de-DE"/>
          </w:rPr>
          <w:t>r</w:t>
        </w:r>
        <w:r w:rsidRPr="00846956">
          <w:rPr>
            <w:color w:val="231F20"/>
            <w:w w:val="58"/>
            <w:sz w:val="16"/>
            <w:lang w:val="de-DE"/>
          </w:rPr>
          <w:t>/</w:t>
        </w:r>
        <w:r w:rsidRPr="00846956">
          <w:rPr>
            <w:color w:val="231F20"/>
            <w:spacing w:val="2"/>
            <w:w w:val="103"/>
            <w:sz w:val="16"/>
            <w:lang w:val="de-DE"/>
          </w:rPr>
          <w:t>p</w:t>
        </w:r>
        <w:r w:rsidRPr="00846956">
          <w:rPr>
            <w:color w:val="231F20"/>
            <w:w w:val="94"/>
            <w:sz w:val="16"/>
            <w:lang w:val="de-DE"/>
          </w:rPr>
          <w:t>e</w:t>
        </w:r>
        <w:r w:rsidRPr="00846956">
          <w:rPr>
            <w:color w:val="231F20"/>
            <w:spacing w:val="2"/>
            <w:w w:val="97"/>
            <w:sz w:val="16"/>
            <w:lang w:val="de-DE"/>
          </w:rPr>
          <w:t>r</w:t>
        </w:r>
        <w:r w:rsidRPr="00846956">
          <w:rPr>
            <w:color w:val="231F20"/>
            <w:w w:val="103"/>
            <w:sz w:val="16"/>
            <w:lang w:val="de-DE"/>
          </w:rPr>
          <w:t>i</w:t>
        </w:r>
        <w:r w:rsidRPr="00846956">
          <w:rPr>
            <w:color w:val="231F20"/>
            <w:spacing w:val="1"/>
            <w:w w:val="108"/>
            <w:sz w:val="16"/>
            <w:lang w:val="de-DE"/>
          </w:rPr>
          <w:t>o</w:t>
        </w:r>
        <w:r w:rsidRPr="00846956">
          <w:rPr>
            <w:color w:val="231F20"/>
            <w:spacing w:val="3"/>
            <w:w w:val="103"/>
            <w:sz w:val="16"/>
            <w:lang w:val="de-DE"/>
          </w:rPr>
          <w:t>di</w:t>
        </w:r>
        <w:r w:rsidRPr="00846956">
          <w:rPr>
            <w:color w:val="231F20"/>
            <w:spacing w:val="1"/>
            <w:w w:val="109"/>
            <w:sz w:val="16"/>
            <w:lang w:val="de-DE"/>
          </w:rPr>
          <w:t>k</w:t>
        </w:r>
        <w:r w:rsidRPr="00846956">
          <w:rPr>
            <w:color w:val="231F20"/>
            <w:spacing w:val="6"/>
            <w:w w:val="106"/>
            <w:sz w:val="16"/>
            <w:lang w:val="de-DE"/>
          </w:rPr>
          <w:t>a</w:t>
        </w:r>
        <w:r w:rsidRPr="00846956">
          <w:rPr>
            <w:color w:val="231F20"/>
            <w:spacing w:val="-3"/>
            <w:w w:val="58"/>
            <w:sz w:val="16"/>
            <w:lang w:val="de-DE"/>
          </w:rPr>
          <w:t>/</w:t>
        </w:r>
        <w:r w:rsidRPr="00846956">
          <w:rPr>
            <w:color w:val="231F20"/>
            <w:spacing w:val="3"/>
            <w:w w:val="106"/>
            <w:sz w:val="16"/>
            <w:lang w:val="de-DE"/>
          </w:rPr>
          <w:t>a</w:t>
        </w:r>
        <w:r w:rsidRPr="00846956">
          <w:rPr>
            <w:color w:val="231F20"/>
            <w:w w:val="103"/>
            <w:sz w:val="16"/>
            <w:lang w:val="de-DE"/>
          </w:rPr>
          <w:t>n</w:t>
        </w:r>
        <w:r w:rsidRPr="00846956">
          <w:rPr>
            <w:color w:val="231F20"/>
            <w:w w:val="104"/>
            <w:sz w:val="16"/>
            <w:lang w:val="de-DE"/>
          </w:rPr>
          <w:t>g</w:t>
        </w:r>
        <w:r w:rsidRPr="00846956">
          <w:rPr>
            <w:color w:val="231F20"/>
            <w:w w:val="94"/>
            <w:sz w:val="16"/>
            <w:lang w:val="de-DE"/>
          </w:rPr>
          <w:t>e</w:t>
        </w:r>
        <w:r w:rsidRPr="00846956">
          <w:rPr>
            <w:color w:val="231F20"/>
            <w:w w:val="104"/>
            <w:sz w:val="16"/>
            <w:lang w:val="de-DE"/>
          </w:rPr>
          <w:t>h</w:t>
        </w:r>
        <w:r w:rsidRPr="00846956">
          <w:rPr>
            <w:color w:val="231F20"/>
            <w:spacing w:val="2"/>
            <w:w w:val="108"/>
            <w:sz w:val="16"/>
            <w:lang w:val="de-DE"/>
          </w:rPr>
          <w:t>o</w:t>
        </w:r>
        <w:r w:rsidRPr="00846956">
          <w:rPr>
            <w:color w:val="231F20"/>
            <w:w w:val="94"/>
            <w:sz w:val="16"/>
            <w:lang w:val="de-DE"/>
          </w:rPr>
          <w:t>e</w:t>
        </w:r>
        <w:r w:rsidRPr="00846956">
          <w:rPr>
            <w:color w:val="231F20"/>
            <w:spacing w:val="2"/>
            <w:w w:val="97"/>
            <w:sz w:val="16"/>
            <w:lang w:val="de-DE"/>
          </w:rPr>
          <w:t>r</w:t>
        </w:r>
        <w:r w:rsidRPr="00846956">
          <w:rPr>
            <w:color w:val="231F20"/>
            <w:w w:val="103"/>
            <w:sz w:val="16"/>
            <w:lang w:val="de-DE"/>
          </w:rPr>
          <w:t>i</w:t>
        </w:r>
        <w:r w:rsidRPr="00846956">
          <w:rPr>
            <w:color w:val="231F20"/>
            <w:w w:val="104"/>
            <w:sz w:val="16"/>
            <w:lang w:val="de-DE"/>
          </w:rPr>
          <w:t>g</w:t>
        </w:r>
        <w:r w:rsidRPr="00846956">
          <w:rPr>
            <w:color w:val="231F20"/>
            <w:w w:val="94"/>
            <w:sz w:val="16"/>
            <w:lang w:val="de-DE"/>
          </w:rPr>
          <w:t>e</w:t>
        </w:r>
        <w:r w:rsidRPr="00846956">
          <w:rPr>
            <w:color w:val="231F20"/>
            <w:spacing w:val="6"/>
            <w:w w:val="103"/>
            <w:sz w:val="16"/>
            <w:lang w:val="de-DE"/>
          </w:rPr>
          <w:t>n</w:t>
        </w:r>
        <w:r w:rsidRPr="00846956">
          <w:rPr>
            <w:color w:val="231F20"/>
            <w:spacing w:val="6"/>
            <w:w w:val="139"/>
            <w:sz w:val="16"/>
            <w:lang w:val="de-DE"/>
          </w:rPr>
          <w:t>_</w:t>
        </w:r>
        <w:r w:rsidRPr="00846956">
          <w:rPr>
            <w:color w:val="231F20"/>
            <w:spacing w:val="3"/>
            <w:w w:val="103"/>
            <w:sz w:val="16"/>
            <w:lang w:val="de-DE"/>
          </w:rPr>
          <w:t>i</w:t>
        </w:r>
        <w:r w:rsidRPr="00846956">
          <w:rPr>
            <w:color w:val="231F20"/>
            <w:spacing w:val="3"/>
            <w:w w:val="107"/>
            <w:sz w:val="16"/>
            <w:lang w:val="de-DE"/>
          </w:rPr>
          <w:t>n</w:t>
        </w:r>
        <w:r w:rsidRPr="00846956">
          <w:rPr>
            <w:color w:val="231F20"/>
            <w:w w:val="107"/>
            <w:sz w:val="16"/>
            <w:lang w:val="de-DE"/>
          </w:rPr>
          <w:t>f</w:t>
        </w:r>
        <w:r w:rsidRPr="00846956">
          <w:rPr>
            <w:color w:val="231F20"/>
            <w:spacing w:val="2"/>
            <w:w w:val="108"/>
            <w:sz w:val="16"/>
            <w:lang w:val="de-DE"/>
          </w:rPr>
          <w:t>o</w:t>
        </w:r>
        <w:r w:rsidRPr="00846956">
          <w:rPr>
            <w:color w:val="231F20"/>
            <w:spacing w:val="-3"/>
            <w:w w:val="58"/>
            <w:sz w:val="16"/>
            <w:lang w:val="de-DE"/>
          </w:rPr>
          <w:t>/</w:t>
        </w:r>
        <w:r w:rsidRPr="00846956">
          <w:rPr>
            <w:color w:val="231F20"/>
            <w:spacing w:val="2"/>
            <w:w w:val="106"/>
            <w:sz w:val="16"/>
            <w:lang w:val="de-DE"/>
          </w:rPr>
          <w:t>a</w:t>
        </w:r>
        <w:r w:rsidRPr="00846956">
          <w:rPr>
            <w:color w:val="231F20"/>
            <w:w w:val="103"/>
            <w:sz w:val="16"/>
            <w:lang w:val="de-DE"/>
          </w:rPr>
          <w:t>i</w:t>
        </w:r>
        <w:r w:rsidRPr="00846956">
          <w:rPr>
            <w:color w:val="231F20"/>
            <w:spacing w:val="-8"/>
            <w:w w:val="104"/>
            <w:sz w:val="16"/>
            <w:lang w:val="de-DE"/>
          </w:rPr>
          <w:t>-1</w:t>
        </w:r>
        <w:r w:rsidRPr="00846956">
          <w:rPr>
            <w:color w:val="231F20"/>
            <w:spacing w:val="-1"/>
            <w:w w:val="104"/>
            <w:sz w:val="16"/>
            <w:lang w:val="de-DE"/>
          </w:rPr>
          <w:t>6</w:t>
        </w:r>
        <w:r w:rsidRPr="00846956">
          <w:rPr>
            <w:color w:val="231F20"/>
            <w:spacing w:val="-3"/>
            <w:w w:val="104"/>
            <w:sz w:val="16"/>
            <w:lang w:val="de-DE"/>
          </w:rPr>
          <w:t>8</w:t>
        </w:r>
        <w:r w:rsidRPr="00846956">
          <w:rPr>
            <w:color w:val="231F20"/>
            <w:spacing w:val="1"/>
            <w:w w:val="140"/>
            <w:sz w:val="16"/>
            <w:lang w:val="de-DE"/>
          </w:rPr>
          <w:t>.</w:t>
        </w:r>
        <w:r w:rsidRPr="00846956">
          <w:rPr>
            <w:color w:val="231F20"/>
            <w:w w:val="103"/>
            <w:sz w:val="16"/>
            <w:lang w:val="de-DE"/>
          </w:rPr>
          <w:t>h</w:t>
        </w:r>
        <w:r w:rsidRPr="00846956">
          <w:rPr>
            <w:color w:val="231F20"/>
            <w:spacing w:val="3"/>
            <w:w w:val="103"/>
            <w:sz w:val="16"/>
            <w:lang w:val="de-DE"/>
          </w:rPr>
          <w:t>tm</w:t>
        </w:r>
        <w:r w:rsidRPr="00846956">
          <w:rPr>
            <w:color w:val="231F20"/>
            <w:w w:val="106"/>
            <w:sz w:val="16"/>
            <w:lang w:val="de-DE"/>
          </w:rPr>
          <w:t>l</w:t>
        </w:r>
        <w:r w:rsidRPr="00846956">
          <w:rPr>
            <w:color w:val="231F20"/>
            <w:w w:val="140"/>
            <w:sz w:val="16"/>
            <w:lang w:val="de-DE"/>
          </w:rPr>
          <w:t>.</w:t>
        </w:r>
      </w:hyperlink>
    </w:p>
    <w:p w14:paraId="2BB1B458" w14:textId="77777777" w:rsidR="002653E8" w:rsidRDefault="003115E3">
      <w:pPr>
        <w:pStyle w:val="a4"/>
        <w:numPr>
          <w:ilvl w:val="0"/>
          <w:numId w:val="42"/>
        </w:numPr>
        <w:tabs>
          <w:tab w:val="left" w:pos="1287"/>
        </w:tabs>
        <w:spacing w:before="51"/>
        <w:ind w:hanging="180"/>
        <w:jc w:val="left"/>
        <w:rPr>
          <w:i/>
          <w:sz w:val="16"/>
        </w:rPr>
      </w:pPr>
      <w:r>
        <w:rPr>
          <w:color w:val="231F20"/>
          <w:w w:val="105"/>
          <w:sz w:val="16"/>
        </w:rPr>
        <w:t>Associated</w:t>
      </w:r>
      <w:r>
        <w:rPr>
          <w:color w:val="231F20"/>
          <w:spacing w:val="21"/>
          <w:w w:val="105"/>
          <w:sz w:val="16"/>
        </w:rPr>
        <w:t xml:space="preserve"> </w:t>
      </w:r>
      <w:r>
        <w:rPr>
          <w:color w:val="231F20"/>
          <w:w w:val="105"/>
          <w:sz w:val="16"/>
        </w:rPr>
        <w:t>Press,</w:t>
      </w:r>
      <w:r>
        <w:rPr>
          <w:color w:val="231F20"/>
          <w:spacing w:val="21"/>
          <w:w w:val="105"/>
          <w:sz w:val="16"/>
        </w:rPr>
        <w:t xml:space="preserve"> </w:t>
      </w:r>
      <w:r>
        <w:rPr>
          <w:color w:val="231F20"/>
          <w:w w:val="105"/>
          <w:sz w:val="16"/>
        </w:rPr>
        <w:t>“Nab</w:t>
      </w:r>
      <w:r>
        <w:rPr>
          <w:color w:val="231F20"/>
          <w:spacing w:val="21"/>
          <w:w w:val="105"/>
          <w:sz w:val="16"/>
        </w:rPr>
        <w:t xml:space="preserve"> </w:t>
      </w:r>
      <w:r>
        <w:rPr>
          <w:color w:val="231F20"/>
          <w:w w:val="105"/>
          <w:sz w:val="16"/>
        </w:rPr>
        <w:t>murder</w:t>
      </w:r>
      <w:r>
        <w:rPr>
          <w:color w:val="231F20"/>
          <w:spacing w:val="21"/>
          <w:w w:val="105"/>
          <w:sz w:val="16"/>
        </w:rPr>
        <w:t xml:space="preserve"> </w:t>
      </w:r>
      <w:r>
        <w:rPr>
          <w:color w:val="231F20"/>
          <w:w w:val="105"/>
          <w:sz w:val="16"/>
        </w:rPr>
        <w:t>suspect</w:t>
      </w:r>
      <w:r>
        <w:rPr>
          <w:color w:val="231F20"/>
          <w:spacing w:val="21"/>
          <w:w w:val="105"/>
          <w:sz w:val="16"/>
        </w:rPr>
        <w:t xml:space="preserve"> </w:t>
      </w:r>
      <w:r>
        <w:rPr>
          <w:color w:val="231F20"/>
          <w:w w:val="105"/>
          <w:sz w:val="16"/>
        </w:rPr>
        <w:t>in</w:t>
      </w:r>
      <w:r>
        <w:rPr>
          <w:color w:val="231F20"/>
          <w:spacing w:val="21"/>
          <w:w w:val="105"/>
          <w:sz w:val="16"/>
        </w:rPr>
        <w:t xml:space="preserve"> </w:t>
      </w:r>
      <w:r>
        <w:rPr>
          <w:color w:val="231F20"/>
          <w:w w:val="105"/>
          <w:sz w:val="16"/>
        </w:rPr>
        <w:t>Frankfurt,”</w:t>
      </w:r>
      <w:r>
        <w:rPr>
          <w:color w:val="231F20"/>
          <w:spacing w:val="23"/>
          <w:w w:val="105"/>
          <w:sz w:val="16"/>
        </w:rPr>
        <w:t xml:space="preserve"> </w:t>
      </w:r>
      <w:r>
        <w:rPr>
          <w:i/>
          <w:color w:val="231F20"/>
          <w:w w:val="105"/>
          <w:sz w:val="16"/>
        </w:rPr>
        <w:t>Pacific</w:t>
      </w:r>
      <w:r>
        <w:rPr>
          <w:i/>
          <w:color w:val="231F20"/>
          <w:spacing w:val="21"/>
          <w:w w:val="105"/>
          <w:sz w:val="16"/>
        </w:rPr>
        <w:t xml:space="preserve"> </w:t>
      </w:r>
      <w:r>
        <w:rPr>
          <w:i/>
          <w:color w:val="231F20"/>
          <w:w w:val="105"/>
          <w:sz w:val="16"/>
        </w:rPr>
        <w:t>Stars</w:t>
      </w:r>
      <w:r>
        <w:rPr>
          <w:i/>
          <w:color w:val="231F20"/>
          <w:spacing w:val="21"/>
          <w:w w:val="105"/>
          <w:sz w:val="16"/>
        </w:rPr>
        <w:t xml:space="preserve"> </w:t>
      </w:r>
      <w:r>
        <w:rPr>
          <w:i/>
          <w:color w:val="231F20"/>
          <w:spacing w:val="1"/>
          <w:w w:val="105"/>
          <w:sz w:val="16"/>
        </w:rPr>
        <w:t>and</w:t>
      </w:r>
      <w:r>
        <w:rPr>
          <w:i/>
          <w:color w:val="231F20"/>
          <w:spacing w:val="21"/>
          <w:w w:val="105"/>
          <w:sz w:val="16"/>
        </w:rPr>
        <w:t xml:space="preserve"> </w:t>
      </w:r>
      <w:r>
        <w:rPr>
          <w:i/>
          <w:color w:val="231F20"/>
          <w:w w:val="105"/>
          <w:sz w:val="16"/>
        </w:rPr>
        <w:t>Stripes,</w:t>
      </w:r>
    </w:p>
    <w:p w14:paraId="5B60705B" w14:textId="77777777" w:rsidR="002653E8" w:rsidRDefault="003115E3">
      <w:pPr>
        <w:spacing w:before="12"/>
        <w:ind w:left="1147"/>
        <w:rPr>
          <w:sz w:val="16"/>
        </w:rPr>
      </w:pPr>
      <w:r>
        <w:rPr>
          <w:color w:val="231F20"/>
          <w:w w:val="110"/>
          <w:sz w:val="16"/>
        </w:rPr>
        <w:t>June 12, 1979.</w:t>
      </w:r>
    </w:p>
    <w:p w14:paraId="1DC32B7A" w14:textId="77777777" w:rsidR="002653E8" w:rsidRDefault="002653E8">
      <w:pPr>
        <w:rPr>
          <w:sz w:val="16"/>
        </w:rPr>
        <w:sectPr w:rsidR="002653E8">
          <w:footerReference w:type="even" r:id="rId449"/>
          <w:footerReference w:type="default" r:id="rId450"/>
          <w:pgSz w:w="8640" w:h="12960"/>
          <w:pgMar w:top="1100" w:right="0" w:bottom="1040" w:left="0" w:header="0" w:footer="850" w:gutter="0"/>
          <w:cols w:space="720"/>
        </w:sectPr>
      </w:pPr>
    </w:p>
    <w:p w14:paraId="6367A7AF" w14:textId="77777777" w:rsidR="002653E8" w:rsidRDefault="003115E3">
      <w:pPr>
        <w:pStyle w:val="a3"/>
        <w:spacing w:before="86" w:line="264" w:lineRule="auto"/>
        <w:ind w:left="1327" w:right="1145"/>
        <w:jc w:val="both"/>
      </w:pPr>
      <w:r>
        <w:rPr>
          <w:color w:val="231F20"/>
        </w:rPr>
        <w:lastRenderedPageBreak/>
        <w:t>Heissler’s capture would actually go down in history as one of the first public successes of computer data mining in defense of the state. As an engineering magazine explains:</w:t>
      </w:r>
    </w:p>
    <w:p w14:paraId="1A98BF8A" w14:textId="77777777" w:rsidR="002653E8" w:rsidRDefault="002653E8">
      <w:pPr>
        <w:pStyle w:val="a3"/>
        <w:spacing w:before="11"/>
        <w:rPr>
          <w:sz w:val="19"/>
        </w:rPr>
      </w:pPr>
    </w:p>
    <w:p w14:paraId="70F8D83D" w14:textId="77777777" w:rsidR="002653E8" w:rsidRDefault="003115E3">
      <w:pPr>
        <w:spacing w:line="276" w:lineRule="auto"/>
        <w:ind w:left="1747" w:right="1565"/>
        <w:jc w:val="both"/>
        <w:rPr>
          <w:i/>
          <w:sz w:val="19"/>
        </w:rPr>
      </w:pPr>
      <w:r>
        <w:rPr>
          <w:i/>
          <w:color w:val="231F20"/>
          <w:w w:val="105"/>
          <w:sz w:val="19"/>
        </w:rPr>
        <w:t xml:space="preserve">Much was already known about the terrorists. “The police knew that they rented apartments to conduct their </w:t>
      </w:r>
      <w:r>
        <w:rPr>
          <w:i/>
          <w:color w:val="231F20"/>
          <w:spacing w:val="-4"/>
          <w:w w:val="105"/>
          <w:sz w:val="19"/>
        </w:rPr>
        <w:t xml:space="preserve">crimes,” </w:t>
      </w:r>
      <w:r>
        <w:rPr>
          <w:i/>
          <w:color w:val="231F20"/>
          <w:w w:val="105"/>
          <w:sz w:val="19"/>
        </w:rPr>
        <w:t>recalls Hansjürgen Garstka, the State of Berlin’s commissioner for data protection and freedom of information. “But they used them</w:t>
      </w:r>
      <w:r>
        <w:rPr>
          <w:i/>
          <w:color w:val="231F20"/>
          <w:spacing w:val="-22"/>
          <w:w w:val="105"/>
          <w:sz w:val="19"/>
        </w:rPr>
        <w:t xml:space="preserve"> </w:t>
      </w:r>
      <w:r>
        <w:rPr>
          <w:i/>
          <w:color w:val="231F20"/>
          <w:w w:val="105"/>
          <w:sz w:val="19"/>
        </w:rPr>
        <w:t>only a</w:t>
      </w:r>
      <w:r>
        <w:rPr>
          <w:i/>
          <w:color w:val="231F20"/>
          <w:spacing w:val="-3"/>
          <w:w w:val="105"/>
          <w:sz w:val="19"/>
        </w:rPr>
        <w:t xml:space="preserve"> </w:t>
      </w:r>
      <w:r>
        <w:rPr>
          <w:i/>
          <w:color w:val="231F20"/>
          <w:w w:val="105"/>
          <w:sz w:val="19"/>
        </w:rPr>
        <w:t>couple</w:t>
      </w:r>
      <w:r>
        <w:rPr>
          <w:i/>
          <w:color w:val="231F20"/>
          <w:spacing w:val="-3"/>
          <w:w w:val="105"/>
          <w:sz w:val="19"/>
        </w:rPr>
        <w:t xml:space="preserve"> </w:t>
      </w:r>
      <w:r>
        <w:rPr>
          <w:i/>
          <w:color w:val="231F20"/>
          <w:w w:val="105"/>
          <w:sz w:val="19"/>
        </w:rPr>
        <w:t>days</w:t>
      </w:r>
      <w:r>
        <w:rPr>
          <w:i/>
          <w:color w:val="231F20"/>
          <w:spacing w:val="-3"/>
          <w:w w:val="105"/>
          <w:sz w:val="19"/>
        </w:rPr>
        <w:t xml:space="preserve"> </w:t>
      </w:r>
      <w:r>
        <w:rPr>
          <w:i/>
          <w:color w:val="231F20"/>
          <w:w w:val="105"/>
          <w:sz w:val="19"/>
        </w:rPr>
        <w:t>before</w:t>
      </w:r>
      <w:r>
        <w:rPr>
          <w:i/>
          <w:color w:val="231F20"/>
          <w:spacing w:val="-3"/>
          <w:w w:val="105"/>
          <w:sz w:val="19"/>
        </w:rPr>
        <w:t xml:space="preserve"> </w:t>
      </w:r>
      <w:r>
        <w:rPr>
          <w:i/>
          <w:color w:val="231F20"/>
          <w:w w:val="105"/>
          <w:sz w:val="19"/>
        </w:rPr>
        <w:t>the</w:t>
      </w:r>
      <w:r>
        <w:rPr>
          <w:i/>
          <w:color w:val="231F20"/>
          <w:spacing w:val="-3"/>
          <w:w w:val="105"/>
          <w:sz w:val="19"/>
        </w:rPr>
        <w:t xml:space="preserve"> </w:t>
      </w:r>
      <w:r>
        <w:rPr>
          <w:i/>
          <w:color w:val="231F20"/>
          <w:w w:val="105"/>
          <w:sz w:val="19"/>
        </w:rPr>
        <w:t>event.</w:t>
      </w:r>
      <w:r>
        <w:rPr>
          <w:i/>
          <w:color w:val="231F20"/>
          <w:spacing w:val="-15"/>
          <w:w w:val="105"/>
          <w:sz w:val="19"/>
        </w:rPr>
        <w:t xml:space="preserve"> </w:t>
      </w:r>
      <w:r>
        <w:rPr>
          <w:i/>
          <w:color w:val="231F20"/>
          <w:w w:val="105"/>
          <w:sz w:val="19"/>
        </w:rPr>
        <w:t>Also,</w:t>
      </w:r>
      <w:r>
        <w:rPr>
          <w:i/>
          <w:color w:val="231F20"/>
          <w:spacing w:val="-9"/>
          <w:w w:val="105"/>
          <w:sz w:val="19"/>
        </w:rPr>
        <w:t xml:space="preserve"> </w:t>
      </w:r>
      <w:r>
        <w:rPr>
          <w:i/>
          <w:color w:val="231F20"/>
          <w:w w:val="105"/>
          <w:sz w:val="19"/>
        </w:rPr>
        <w:t>the</w:t>
      </w:r>
      <w:r>
        <w:rPr>
          <w:i/>
          <w:color w:val="231F20"/>
          <w:spacing w:val="-3"/>
          <w:w w:val="105"/>
          <w:sz w:val="19"/>
        </w:rPr>
        <w:t xml:space="preserve"> </w:t>
      </w:r>
      <w:r>
        <w:rPr>
          <w:i/>
          <w:color w:val="231F20"/>
          <w:w w:val="105"/>
          <w:sz w:val="19"/>
        </w:rPr>
        <w:t>police</w:t>
      </w:r>
      <w:r>
        <w:rPr>
          <w:i/>
          <w:color w:val="231F20"/>
          <w:spacing w:val="-3"/>
          <w:w w:val="105"/>
          <w:sz w:val="19"/>
        </w:rPr>
        <w:t xml:space="preserve"> </w:t>
      </w:r>
      <w:r>
        <w:rPr>
          <w:i/>
          <w:color w:val="231F20"/>
          <w:w w:val="105"/>
          <w:sz w:val="19"/>
        </w:rPr>
        <w:t>knew</w:t>
      </w:r>
      <w:r>
        <w:rPr>
          <w:i/>
          <w:color w:val="231F20"/>
          <w:spacing w:val="-3"/>
          <w:w w:val="105"/>
          <w:sz w:val="19"/>
        </w:rPr>
        <w:t xml:space="preserve"> </w:t>
      </w:r>
      <w:r>
        <w:rPr>
          <w:i/>
          <w:color w:val="231F20"/>
          <w:w w:val="105"/>
          <w:sz w:val="19"/>
        </w:rPr>
        <w:t>these</w:t>
      </w:r>
      <w:r>
        <w:rPr>
          <w:i/>
          <w:color w:val="231F20"/>
          <w:spacing w:val="-3"/>
          <w:w w:val="105"/>
          <w:sz w:val="19"/>
        </w:rPr>
        <w:t xml:space="preserve"> </w:t>
      </w:r>
      <w:r>
        <w:rPr>
          <w:i/>
          <w:color w:val="231F20"/>
          <w:w w:val="105"/>
          <w:sz w:val="19"/>
        </w:rPr>
        <w:t>people paid</w:t>
      </w:r>
      <w:r>
        <w:rPr>
          <w:i/>
          <w:color w:val="231F20"/>
          <w:spacing w:val="-22"/>
          <w:w w:val="105"/>
          <w:sz w:val="19"/>
        </w:rPr>
        <w:t xml:space="preserve"> </w:t>
      </w:r>
      <w:r>
        <w:rPr>
          <w:i/>
          <w:color w:val="231F20"/>
          <w:w w:val="105"/>
          <w:sz w:val="19"/>
        </w:rPr>
        <w:t>their</w:t>
      </w:r>
      <w:r>
        <w:rPr>
          <w:i/>
          <w:color w:val="231F20"/>
          <w:spacing w:val="-22"/>
          <w:w w:val="105"/>
          <w:sz w:val="19"/>
        </w:rPr>
        <w:t xml:space="preserve"> </w:t>
      </w:r>
      <w:r>
        <w:rPr>
          <w:i/>
          <w:color w:val="231F20"/>
          <w:w w:val="105"/>
          <w:sz w:val="19"/>
        </w:rPr>
        <w:t>electricity</w:t>
      </w:r>
      <w:r>
        <w:rPr>
          <w:i/>
          <w:color w:val="231F20"/>
          <w:spacing w:val="-22"/>
          <w:w w:val="105"/>
          <w:sz w:val="19"/>
        </w:rPr>
        <w:t xml:space="preserve"> </w:t>
      </w:r>
      <w:r>
        <w:rPr>
          <w:i/>
          <w:color w:val="231F20"/>
          <w:w w:val="105"/>
          <w:sz w:val="19"/>
        </w:rPr>
        <w:t>and</w:t>
      </w:r>
      <w:r>
        <w:rPr>
          <w:i/>
          <w:color w:val="231F20"/>
          <w:spacing w:val="-22"/>
          <w:w w:val="105"/>
          <w:sz w:val="19"/>
        </w:rPr>
        <w:t xml:space="preserve"> </w:t>
      </w:r>
      <w:r>
        <w:rPr>
          <w:i/>
          <w:color w:val="231F20"/>
          <w:w w:val="105"/>
          <w:sz w:val="19"/>
        </w:rPr>
        <w:t>rent</w:t>
      </w:r>
      <w:r>
        <w:rPr>
          <w:i/>
          <w:color w:val="231F20"/>
          <w:spacing w:val="-22"/>
          <w:w w:val="105"/>
          <w:sz w:val="19"/>
        </w:rPr>
        <w:t xml:space="preserve"> </w:t>
      </w:r>
      <w:r>
        <w:rPr>
          <w:i/>
          <w:color w:val="231F20"/>
          <w:w w:val="105"/>
          <w:sz w:val="19"/>
        </w:rPr>
        <w:t>only</w:t>
      </w:r>
      <w:r>
        <w:rPr>
          <w:i/>
          <w:color w:val="231F20"/>
          <w:spacing w:val="-22"/>
          <w:w w:val="105"/>
          <w:sz w:val="19"/>
        </w:rPr>
        <w:t xml:space="preserve"> </w:t>
      </w:r>
      <w:r>
        <w:rPr>
          <w:i/>
          <w:color w:val="231F20"/>
          <w:w w:val="105"/>
          <w:sz w:val="19"/>
        </w:rPr>
        <w:t>in</w:t>
      </w:r>
      <w:r>
        <w:rPr>
          <w:i/>
          <w:color w:val="231F20"/>
          <w:spacing w:val="-22"/>
          <w:w w:val="105"/>
          <w:sz w:val="19"/>
        </w:rPr>
        <w:t xml:space="preserve"> </w:t>
      </w:r>
      <w:r>
        <w:rPr>
          <w:i/>
          <w:color w:val="231F20"/>
          <w:spacing w:val="-5"/>
          <w:w w:val="105"/>
          <w:sz w:val="19"/>
        </w:rPr>
        <w:t>cash.”</w:t>
      </w:r>
      <w:r>
        <w:rPr>
          <w:i/>
          <w:color w:val="231F20"/>
          <w:spacing w:val="-31"/>
          <w:w w:val="105"/>
          <w:sz w:val="19"/>
        </w:rPr>
        <w:t xml:space="preserve"> </w:t>
      </w:r>
      <w:r>
        <w:rPr>
          <w:i/>
          <w:color w:val="231F20"/>
          <w:w w:val="105"/>
          <w:sz w:val="19"/>
        </w:rPr>
        <w:t>The</w:t>
      </w:r>
      <w:r>
        <w:rPr>
          <w:i/>
          <w:color w:val="231F20"/>
          <w:spacing w:val="-22"/>
          <w:w w:val="105"/>
          <w:sz w:val="19"/>
        </w:rPr>
        <w:t xml:space="preserve"> </w:t>
      </w:r>
      <w:r>
        <w:rPr>
          <w:i/>
          <w:color w:val="231F20"/>
          <w:w w:val="105"/>
          <w:sz w:val="19"/>
        </w:rPr>
        <w:t>terrorists</w:t>
      </w:r>
      <w:r>
        <w:rPr>
          <w:i/>
          <w:color w:val="231F20"/>
          <w:spacing w:val="-22"/>
          <w:w w:val="105"/>
          <w:sz w:val="19"/>
        </w:rPr>
        <w:t xml:space="preserve"> </w:t>
      </w:r>
      <w:r>
        <w:rPr>
          <w:i/>
          <w:color w:val="231F20"/>
          <w:w w:val="105"/>
          <w:sz w:val="19"/>
        </w:rPr>
        <w:t>preferred high-rise</w:t>
      </w:r>
      <w:r>
        <w:rPr>
          <w:i/>
          <w:color w:val="231F20"/>
          <w:spacing w:val="-21"/>
          <w:w w:val="105"/>
          <w:sz w:val="19"/>
        </w:rPr>
        <w:t xml:space="preserve"> </w:t>
      </w:r>
      <w:r>
        <w:rPr>
          <w:i/>
          <w:color w:val="231F20"/>
          <w:w w:val="105"/>
          <w:sz w:val="19"/>
        </w:rPr>
        <w:t>apartments</w:t>
      </w:r>
      <w:r>
        <w:rPr>
          <w:i/>
          <w:color w:val="231F20"/>
          <w:spacing w:val="-21"/>
          <w:w w:val="105"/>
          <w:sz w:val="19"/>
        </w:rPr>
        <w:t xml:space="preserve"> </w:t>
      </w:r>
      <w:r>
        <w:rPr>
          <w:i/>
          <w:color w:val="231F20"/>
          <w:w w:val="105"/>
          <w:sz w:val="19"/>
        </w:rPr>
        <w:t>with</w:t>
      </w:r>
      <w:r>
        <w:rPr>
          <w:i/>
          <w:color w:val="231F20"/>
          <w:spacing w:val="-21"/>
          <w:w w:val="105"/>
          <w:sz w:val="19"/>
        </w:rPr>
        <w:t xml:space="preserve"> </w:t>
      </w:r>
      <w:r>
        <w:rPr>
          <w:i/>
          <w:color w:val="231F20"/>
          <w:w w:val="105"/>
          <w:sz w:val="19"/>
        </w:rPr>
        <w:t>underground</w:t>
      </w:r>
      <w:r>
        <w:rPr>
          <w:i/>
          <w:color w:val="231F20"/>
          <w:spacing w:val="-21"/>
          <w:w w:val="105"/>
          <w:sz w:val="19"/>
        </w:rPr>
        <w:t xml:space="preserve"> </w:t>
      </w:r>
      <w:r>
        <w:rPr>
          <w:i/>
          <w:color w:val="231F20"/>
          <w:w w:val="105"/>
          <w:sz w:val="19"/>
        </w:rPr>
        <w:t>garages</w:t>
      </w:r>
      <w:r>
        <w:rPr>
          <w:i/>
          <w:color w:val="231F20"/>
          <w:spacing w:val="-21"/>
          <w:w w:val="105"/>
          <w:sz w:val="19"/>
        </w:rPr>
        <w:t xml:space="preserve"> </w:t>
      </w:r>
      <w:r>
        <w:rPr>
          <w:i/>
          <w:color w:val="231F20"/>
          <w:w w:val="105"/>
          <w:sz w:val="19"/>
        </w:rPr>
        <w:t>and</w:t>
      </w:r>
      <w:r>
        <w:rPr>
          <w:i/>
          <w:color w:val="231F20"/>
          <w:spacing w:val="-21"/>
          <w:w w:val="105"/>
          <w:sz w:val="19"/>
        </w:rPr>
        <w:t xml:space="preserve"> </w:t>
      </w:r>
      <w:r>
        <w:rPr>
          <w:i/>
          <w:color w:val="231F20"/>
          <w:w w:val="105"/>
          <w:sz w:val="19"/>
        </w:rPr>
        <w:t>direct</w:t>
      </w:r>
      <w:r>
        <w:rPr>
          <w:i/>
          <w:color w:val="231F20"/>
          <w:spacing w:val="-21"/>
          <w:w w:val="105"/>
          <w:sz w:val="19"/>
        </w:rPr>
        <w:t xml:space="preserve"> </w:t>
      </w:r>
      <w:r>
        <w:rPr>
          <w:i/>
          <w:color w:val="231F20"/>
          <w:w w:val="105"/>
          <w:sz w:val="19"/>
        </w:rPr>
        <w:t xml:space="preserve">access to the </w:t>
      </w:r>
      <w:r>
        <w:rPr>
          <w:i/>
          <w:color w:val="231F20"/>
          <w:spacing w:val="-4"/>
          <w:w w:val="105"/>
          <w:sz w:val="19"/>
        </w:rPr>
        <w:t xml:space="preserve">highway, </w:t>
      </w:r>
      <w:r>
        <w:rPr>
          <w:i/>
          <w:color w:val="231F20"/>
          <w:w w:val="105"/>
          <w:sz w:val="19"/>
        </w:rPr>
        <w:t>and they were primarily young and</w:t>
      </w:r>
      <w:r>
        <w:rPr>
          <w:i/>
          <w:color w:val="231F20"/>
          <w:spacing w:val="28"/>
          <w:w w:val="105"/>
          <w:sz w:val="19"/>
        </w:rPr>
        <w:t xml:space="preserve"> </w:t>
      </w:r>
      <w:r>
        <w:rPr>
          <w:i/>
          <w:color w:val="231F20"/>
          <w:w w:val="105"/>
          <w:sz w:val="19"/>
        </w:rPr>
        <w:t>German.</w:t>
      </w:r>
    </w:p>
    <w:p w14:paraId="158C8477" w14:textId="77777777" w:rsidR="002653E8" w:rsidRDefault="003115E3">
      <w:pPr>
        <w:spacing w:before="38" w:line="276" w:lineRule="auto"/>
        <w:ind w:left="1747" w:right="1565"/>
        <w:jc w:val="both"/>
        <w:rPr>
          <w:i/>
          <w:sz w:val="11"/>
        </w:rPr>
      </w:pPr>
      <w:r>
        <w:rPr>
          <w:i/>
          <w:color w:val="231F20"/>
          <w:sz w:val="19"/>
        </w:rPr>
        <w:t xml:space="preserve">Profile in hand, the police contacted electricity companies, to find out which apartments used no or little electricity, and apartment complexes, to find out which people paid in cash; they also combed through household registrations (German  citizens  are  required  to register with the state). “The results were  all  merged, and  in the end, they found one flat which fit absolutely absolutely this </w:t>
      </w:r>
      <w:r>
        <w:rPr>
          <w:i/>
          <w:color w:val="231F20"/>
          <w:spacing w:val="-3"/>
          <w:sz w:val="19"/>
        </w:rPr>
        <w:t xml:space="preserve">profile,” </w:t>
      </w:r>
      <w:r>
        <w:rPr>
          <w:i/>
          <w:color w:val="231F20"/>
          <w:sz w:val="19"/>
        </w:rPr>
        <w:t xml:space="preserve">Garstka says. </w:t>
      </w:r>
      <w:r>
        <w:rPr>
          <w:i/>
          <w:color w:val="231F20"/>
          <w:spacing w:val="-3"/>
          <w:sz w:val="19"/>
        </w:rPr>
        <w:t xml:space="preserve">Police </w:t>
      </w:r>
      <w:r>
        <w:rPr>
          <w:i/>
          <w:color w:val="231F20"/>
          <w:sz w:val="19"/>
        </w:rPr>
        <w:t>put the apartment under surveillance and</w:t>
      </w:r>
      <w:r>
        <w:rPr>
          <w:i/>
          <w:color w:val="231F20"/>
          <w:spacing w:val="15"/>
          <w:sz w:val="19"/>
        </w:rPr>
        <w:t xml:space="preserve"> </w:t>
      </w:r>
      <w:r>
        <w:rPr>
          <w:i/>
          <w:color w:val="231F20"/>
          <w:sz w:val="19"/>
        </w:rPr>
        <w:t>soon</w:t>
      </w:r>
      <w:r>
        <w:rPr>
          <w:i/>
          <w:color w:val="231F20"/>
          <w:spacing w:val="15"/>
          <w:sz w:val="19"/>
        </w:rPr>
        <w:t xml:space="preserve"> </w:t>
      </w:r>
      <w:r>
        <w:rPr>
          <w:i/>
          <w:color w:val="231F20"/>
          <w:sz w:val="19"/>
        </w:rPr>
        <w:t>nabbed</w:t>
      </w:r>
      <w:r>
        <w:rPr>
          <w:i/>
          <w:color w:val="231F20"/>
          <w:spacing w:val="15"/>
          <w:sz w:val="19"/>
        </w:rPr>
        <w:t xml:space="preserve"> </w:t>
      </w:r>
      <w:r w:rsidR="00C507A5">
        <w:rPr>
          <w:i/>
          <w:color w:val="231F20"/>
          <w:sz w:val="19"/>
        </w:rPr>
        <w:t>red army faction</w:t>
      </w:r>
      <w:r>
        <w:rPr>
          <w:i/>
          <w:color w:val="231F20"/>
          <w:spacing w:val="15"/>
          <w:sz w:val="19"/>
        </w:rPr>
        <w:t xml:space="preserve"> </w:t>
      </w:r>
      <w:r>
        <w:rPr>
          <w:i/>
          <w:color w:val="231F20"/>
          <w:sz w:val="19"/>
        </w:rPr>
        <w:t>member</w:t>
      </w:r>
      <w:r>
        <w:rPr>
          <w:i/>
          <w:color w:val="231F20"/>
          <w:spacing w:val="15"/>
          <w:sz w:val="19"/>
        </w:rPr>
        <w:t xml:space="preserve"> </w:t>
      </w:r>
      <w:r>
        <w:rPr>
          <w:i/>
          <w:color w:val="231F20"/>
          <w:sz w:val="19"/>
        </w:rPr>
        <w:t>Rolf</w:t>
      </w:r>
      <w:r>
        <w:rPr>
          <w:i/>
          <w:color w:val="231F20"/>
          <w:spacing w:val="15"/>
          <w:sz w:val="19"/>
        </w:rPr>
        <w:t xml:space="preserve"> </w:t>
      </w:r>
      <w:r>
        <w:rPr>
          <w:i/>
          <w:color w:val="231F20"/>
          <w:spacing w:val="-3"/>
          <w:sz w:val="19"/>
        </w:rPr>
        <w:t>Heißler.</w:t>
      </w:r>
      <w:r>
        <w:rPr>
          <w:i/>
          <w:color w:val="231F20"/>
          <w:spacing w:val="-3"/>
          <w:position w:val="6"/>
          <w:sz w:val="11"/>
        </w:rPr>
        <w:t>5</w:t>
      </w:r>
    </w:p>
    <w:p w14:paraId="4AC276B6" w14:textId="77777777" w:rsidR="002653E8" w:rsidRDefault="002653E8">
      <w:pPr>
        <w:pStyle w:val="a3"/>
        <w:spacing w:before="4"/>
        <w:rPr>
          <w:i/>
          <w:sz w:val="21"/>
        </w:rPr>
      </w:pPr>
    </w:p>
    <w:p w14:paraId="215107C6" w14:textId="77777777" w:rsidR="002653E8" w:rsidRDefault="003115E3">
      <w:pPr>
        <w:pStyle w:val="a3"/>
        <w:spacing w:line="264" w:lineRule="auto"/>
        <w:ind w:left="1327" w:right="1146"/>
        <w:jc w:val="both"/>
        <w:rPr>
          <w:sz w:val="11"/>
        </w:rPr>
      </w:pPr>
      <w:r>
        <w:rPr>
          <w:color w:val="231F20"/>
        </w:rPr>
        <w:t>While such law enforcement techniques might not raise an eyebrow today, it must be remembered how advanced—as if from science fiction—such levels of surveillance seemed to most people just a generation ago. There was a public outcry when it was learned how the bust had been carried out, and that Horst Herold’s BKA, with its massive computers, was behind it. (Learning a lesson from this, legislation was passed in the mid-eighties allowing such data mining in the FRG.)</w:t>
      </w:r>
      <w:r>
        <w:rPr>
          <w:color w:val="231F20"/>
          <w:position w:val="7"/>
          <w:sz w:val="11"/>
        </w:rPr>
        <w:t>6</w:t>
      </w:r>
    </w:p>
    <w:p w14:paraId="3CA400BC" w14:textId="77777777" w:rsidR="002653E8" w:rsidRDefault="003115E3">
      <w:pPr>
        <w:pStyle w:val="a3"/>
        <w:spacing w:line="264" w:lineRule="auto"/>
        <w:ind w:left="1327" w:right="1147" w:firstLine="210"/>
        <w:jc w:val="both"/>
      </w:pPr>
      <w:r>
        <w:rPr>
          <w:color w:val="231F20"/>
        </w:rPr>
        <w:t>While the guerilla were the only ones actually being gunned down, 1977 and the years that followed challenged an entire society, as the state unleashed a wave of repression, and anyone to the left of Helmut Schmidt felt they might be a potential target:</w:t>
      </w:r>
    </w:p>
    <w:p w14:paraId="7ABD02E9" w14:textId="77777777" w:rsidR="002653E8" w:rsidRDefault="003115E3">
      <w:pPr>
        <w:spacing w:before="116" w:line="276" w:lineRule="auto"/>
        <w:ind w:left="1747" w:right="1566"/>
        <w:jc w:val="both"/>
        <w:rPr>
          <w:i/>
          <w:sz w:val="19"/>
        </w:rPr>
      </w:pPr>
      <w:r>
        <w:rPr>
          <w:i/>
          <w:color w:val="231F20"/>
          <w:w w:val="105"/>
          <w:sz w:val="19"/>
        </w:rPr>
        <w:t>A virtual war atmosphere was created in the country in midOctober: hundreds of thousands of motorists were pulled off the road</w:t>
      </w:r>
      <w:r>
        <w:rPr>
          <w:i/>
          <w:color w:val="231F20"/>
          <w:spacing w:val="-22"/>
          <w:w w:val="105"/>
          <w:sz w:val="19"/>
        </w:rPr>
        <w:t xml:space="preserve"> </w:t>
      </w:r>
      <w:r>
        <w:rPr>
          <w:i/>
          <w:color w:val="231F20"/>
          <w:w w:val="105"/>
          <w:sz w:val="19"/>
        </w:rPr>
        <w:t>and</w:t>
      </w:r>
      <w:r>
        <w:rPr>
          <w:i/>
          <w:color w:val="231F20"/>
          <w:spacing w:val="-22"/>
          <w:w w:val="105"/>
          <w:sz w:val="19"/>
        </w:rPr>
        <w:t xml:space="preserve"> </w:t>
      </w:r>
      <w:r>
        <w:rPr>
          <w:i/>
          <w:color w:val="231F20"/>
          <w:w w:val="105"/>
          <w:sz w:val="19"/>
        </w:rPr>
        <w:t>searched;</w:t>
      </w:r>
      <w:r>
        <w:rPr>
          <w:i/>
          <w:color w:val="231F20"/>
          <w:spacing w:val="-22"/>
          <w:w w:val="105"/>
          <w:sz w:val="19"/>
        </w:rPr>
        <w:t xml:space="preserve"> </w:t>
      </w:r>
      <w:r>
        <w:rPr>
          <w:i/>
          <w:color w:val="231F20"/>
          <w:w w:val="105"/>
          <w:sz w:val="19"/>
        </w:rPr>
        <w:t>constant</w:t>
      </w:r>
      <w:r>
        <w:rPr>
          <w:i/>
          <w:color w:val="231F20"/>
          <w:spacing w:val="-22"/>
          <w:w w:val="105"/>
          <w:sz w:val="19"/>
        </w:rPr>
        <w:t xml:space="preserve"> </w:t>
      </w:r>
      <w:r>
        <w:rPr>
          <w:i/>
          <w:color w:val="231F20"/>
          <w:w w:val="105"/>
          <w:sz w:val="19"/>
        </w:rPr>
        <w:t>appeals</w:t>
      </w:r>
      <w:r>
        <w:rPr>
          <w:i/>
          <w:color w:val="231F20"/>
          <w:spacing w:val="-22"/>
          <w:w w:val="105"/>
          <w:sz w:val="19"/>
        </w:rPr>
        <w:t xml:space="preserve"> </w:t>
      </w:r>
      <w:r>
        <w:rPr>
          <w:i/>
          <w:color w:val="231F20"/>
          <w:w w:val="105"/>
          <w:sz w:val="19"/>
        </w:rPr>
        <w:t>to</w:t>
      </w:r>
      <w:r>
        <w:rPr>
          <w:i/>
          <w:color w:val="231F20"/>
          <w:spacing w:val="-22"/>
          <w:w w:val="105"/>
          <w:sz w:val="19"/>
        </w:rPr>
        <w:t xml:space="preserve"> </w:t>
      </w:r>
      <w:r>
        <w:rPr>
          <w:i/>
          <w:color w:val="231F20"/>
          <w:w w:val="105"/>
          <w:sz w:val="19"/>
        </w:rPr>
        <w:t>the</w:t>
      </w:r>
      <w:r>
        <w:rPr>
          <w:i/>
          <w:color w:val="231F20"/>
          <w:spacing w:val="-22"/>
          <w:w w:val="105"/>
          <w:sz w:val="19"/>
        </w:rPr>
        <w:t xml:space="preserve"> </w:t>
      </w:r>
      <w:r>
        <w:rPr>
          <w:i/>
          <w:color w:val="231F20"/>
          <w:w w:val="105"/>
          <w:sz w:val="19"/>
        </w:rPr>
        <w:t>population</w:t>
      </w:r>
      <w:r>
        <w:rPr>
          <w:i/>
          <w:color w:val="231F20"/>
          <w:spacing w:val="-22"/>
          <w:w w:val="105"/>
          <w:sz w:val="19"/>
        </w:rPr>
        <w:t xml:space="preserve"> </w:t>
      </w:r>
      <w:r>
        <w:rPr>
          <w:i/>
          <w:color w:val="231F20"/>
          <w:w w:val="105"/>
          <w:sz w:val="19"/>
        </w:rPr>
        <w:t>were</w:t>
      </w:r>
      <w:r>
        <w:rPr>
          <w:i/>
          <w:color w:val="231F20"/>
          <w:spacing w:val="-22"/>
          <w:w w:val="105"/>
          <w:sz w:val="19"/>
        </w:rPr>
        <w:t xml:space="preserve"> </w:t>
      </w:r>
      <w:r>
        <w:rPr>
          <w:i/>
          <w:color w:val="231F20"/>
          <w:w w:val="105"/>
          <w:sz w:val="19"/>
        </w:rPr>
        <w:t>issued to encourage their reporting any suspicious types or activities to</w:t>
      </w:r>
    </w:p>
    <w:p w14:paraId="4025A3F3" w14:textId="77777777" w:rsidR="002653E8" w:rsidRDefault="00000000">
      <w:pPr>
        <w:pStyle w:val="a3"/>
        <w:spacing w:before="3"/>
        <w:rPr>
          <w:i/>
          <w:sz w:val="28"/>
        </w:rPr>
      </w:pPr>
      <w:r>
        <w:rPr>
          <w:noProof w:val="0"/>
        </w:rPr>
        <w:pict w14:anchorId="418AACF6">
          <v:line id="_x0000_s2150" style="position:absolute;z-index:11080;mso-wrap-distance-left:0;mso-wrap-distance-right:0;mso-position-horizontal-relative:page" from="66.4pt,18.8pt" to="138.4pt,18.8pt" strokecolor="#231f20" strokeweight=".5pt">
            <w10:wrap type="topAndBottom" anchorx="page"/>
          </v:line>
        </w:pict>
      </w:r>
    </w:p>
    <w:p w14:paraId="7F0F6C21" w14:textId="77777777" w:rsidR="002653E8" w:rsidRDefault="003115E3">
      <w:pPr>
        <w:pStyle w:val="a4"/>
        <w:numPr>
          <w:ilvl w:val="0"/>
          <w:numId w:val="42"/>
        </w:numPr>
        <w:tabs>
          <w:tab w:val="left" w:pos="1467"/>
        </w:tabs>
        <w:spacing w:before="53" w:line="307" w:lineRule="auto"/>
        <w:ind w:right="2016" w:firstLine="0"/>
        <w:jc w:val="left"/>
        <w:rPr>
          <w:sz w:val="16"/>
        </w:rPr>
      </w:pPr>
      <w:r>
        <w:rPr>
          <w:color w:val="231F20"/>
          <w:w w:val="115"/>
          <w:sz w:val="16"/>
        </w:rPr>
        <w:t>J.</w:t>
      </w:r>
      <w:r>
        <w:rPr>
          <w:color w:val="231F20"/>
          <w:spacing w:val="-8"/>
          <w:w w:val="115"/>
          <w:sz w:val="16"/>
        </w:rPr>
        <w:t xml:space="preserve"> </w:t>
      </w:r>
      <w:r>
        <w:rPr>
          <w:color w:val="231F20"/>
          <w:w w:val="115"/>
          <w:sz w:val="16"/>
        </w:rPr>
        <w:t>Kumagai,</w:t>
      </w:r>
      <w:r>
        <w:rPr>
          <w:color w:val="231F20"/>
          <w:spacing w:val="-8"/>
          <w:w w:val="115"/>
          <w:sz w:val="16"/>
        </w:rPr>
        <w:t xml:space="preserve"> </w:t>
      </w:r>
      <w:r>
        <w:rPr>
          <w:color w:val="231F20"/>
          <w:w w:val="115"/>
          <w:sz w:val="16"/>
        </w:rPr>
        <w:t>“The</w:t>
      </w:r>
      <w:r>
        <w:rPr>
          <w:color w:val="231F20"/>
          <w:spacing w:val="-8"/>
          <w:w w:val="115"/>
          <w:sz w:val="16"/>
        </w:rPr>
        <w:t xml:space="preserve"> </w:t>
      </w:r>
      <w:r>
        <w:rPr>
          <w:color w:val="231F20"/>
          <w:w w:val="115"/>
          <w:sz w:val="16"/>
        </w:rPr>
        <w:t>German</w:t>
      </w:r>
      <w:r>
        <w:rPr>
          <w:color w:val="231F20"/>
          <w:spacing w:val="-8"/>
          <w:w w:val="115"/>
          <w:sz w:val="16"/>
        </w:rPr>
        <w:t xml:space="preserve"> </w:t>
      </w:r>
      <w:r>
        <w:rPr>
          <w:color w:val="231F20"/>
          <w:w w:val="115"/>
          <w:sz w:val="16"/>
        </w:rPr>
        <w:t>Solution,”</w:t>
      </w:r>
      <w:r>
        <w:rPr>
          <w:color w:val="231F20"/>
          <w:spacing w:val="-7"/>
          <w:w w:val="115"/>
          <w:sz w:val="16"/>
        </w:rPr>
        <w:t xml:space="preserve"> </w:t>
      </w:r>
      <w:r>
        <w:rPr>
          <w:i/>
          <w:color w:val="231F20"/>
          <w:spacing w:val="2"/>
          <w:w w:val="115"/>
          <w:sz w:val="16"/>
        </w:rPr>
        <w:t>IEEE</w:t>
      </w:r>
      <w:r>
        <w:rPr>
          <w:i/>
          <w:color w:val="231F20"/>
          <w:spacing w:val="-8"/>
          <w:w w:val="115"/>
          <w:sz w:val="16"/>
        </w:rPr>
        <w:t xml:space="preserve"> </w:t>
      </w:r>
      <w:r>
        <w:rPr>
          <w:i/>
          <w:color w:val="231F20"/>
          <w:spacing w:val="1"/>
          <w:w w:val="115"/>
          <w:sz w:val="16"/>
        </w:rPr>
        <w:t>Spectrum,</w:t>
      </w:r>
      <w:r>
        <w:rPr>
          <w:i/>
          <w:color w:val="231F20"/>
          <w:spacing w:val="-7"/>
          <w:w w:val="115"/>
          <w:sz w:val="16"/>
        </w:rPr>
        <w:t xml:space="preserve"> </w:t>
      </w:r>
      <w:r>
        <w:rPr>
          <w:color w:val="231F20"/>
          <w:w w:val="115"/>
          <w:sz w:val="16"/>
        </w:rPr>
        <w:t>April</w:t>
      </w:r>
      <w:r>
        <w:rPr>
          <w:color w:val="231F20"/>
          <w:spacing w:val="-8"/>
          <w:w w:val="115"/>
          <w:sz w:val="16"/>
        </w:rPr>
        <w:t xml:space="preserve"> </w:t>
      </w:r>
      <w:r>
        <w:rPr>
          <w:color w:val="231F20"/>
          <w:w w:val="115"/>
          <w:sz w:val="16"/>
        </w:rPr>
        <w:t>11,</w:t>
      </w:r>
      <w:r>
        <w:rPr>
          <w:color w:val="231F20"/>
          <w:spacing w:val="-8"/>
          <w:w w:val="115"/>
          <w:sz w:val="16"/>
        </w:rPr>
        <w:t xml:space="preserve"> </w:t>
      </w:r>
      <w:r>
        <w:rPr>
          <w:color w:val="231F20"/>
          <w:w w:val="115"/>
          <w:sz w:val="16"/>
        </w:rPr>
        <w:t>2003. 6</w:t>
      </w:r>
      <w:r>
        <w:rPr>
          <w:color w:val="231F20"/>
          <w:spacing w:val="3"/>
          <w:w w:val="115"/>
          <w:sz w:val="16"/>
        </w:rPr>
        <w:t xml:space="preserve"> </w:t>
      </w:r>
      <w:r>
        <w:rPr>
          <w:color w:val="231F20"/>
          <w:w w:val="115"/>
          <w:sz w:val="16"/>
        </w:rPr>
        <w:t>Ibid.</w:t>
      </w:r>
    </w:p>
    <w:p w14:paraId="0DB41970" w14:textId="77777777" w:rsidR="002653E8" w:rsidRDefault="002653E8">
      <w:pPr>
        <w:spacing w:line="307" w:lineRule="auto"/>
        <w:rPr>
          <w:sz w:val="16"/>
        </w:rPr>
        <w:sectPr w:rsidR="002653E8">
          <w:pgSz w:w="8640" w:h="12960"/>
          <w:pgMar w:top="1060" w:right="0" w:bottom="1040" w:left="0" w:header="0" w:footer="850" w:gutter="0"/>
          <w:cols w:space="720"/>
        </w:sectPr>
      </w:pPr>
    </w:p>
    <w:p w14:paraId="5140A372" w14:textId="77777777" w:rsidR="002653E8" w:rsidRDefault="003115E3">
      <w:pPr>
        <w:spacing w:before="75" w:line="276" w:lineRule="auto"/>
        <w:ind w:left="1567" w:right="1580"/>
        <w:rPr>
          <w:i/>
          <w:sz w:val="11"/>
        </w:rPr>
      </w:pPr>
      <w:r>
        <w:rPr>
          <w:i/>
          <w:color w:val="231F20"/>
          <w:w w:val="105"/>
          <w:sz w:val="19"/>
        </w:rPr>
        <w:lastRenderedPageBreak/>
        <w:t>the police—such as sudden change of address, of hair cut or any other cosmetic changes, unusual mailings or publications.</w:t>
      </w:r>
      <w:r>
        <w:rPr>
          <w:i/>
          <w:color w:val="231F20"/>
          <w:w w:val="105"/>
          <w:position w:val="6"/>
          <w:sz w:val="11"/>
        </w:rPr>
        <w:t>1</w:t>
      </w:r>
    </w:p>
    <w:p w14:paraId="37CB2A60" w14:textId="77777777" w:rsidR="002653E8" w:rsidRDefault="002653E8">
      <w:pPr>
        <w:pStyle w:val="a3"/>
        <w:spacing w:before="3"/>
        <w:rPr>
          <w:i/>
          <w:sz w:val="21"/>
        </w:rPr>
      </w:pPr>
    </w:p>
    <w:p w14:paraId="0825762D" w14:textId="77777777" w:rsidR="002653E8" w:rsidRDefault="003115E3">
      <w:pPr>
        <w:pStyle w:val="a3"/>
        <w:spacing w:line="264" w:lineRule="auto"/>
        <w:ind w:left="1147" w:right="1326"/>
        <w:jc w:val="both"/>
        <w:rPr>
          <w:sz w:val="11"/>
        </w:rPr>
      </w:pPr>
      <w:r>
        <w:rPr>
          <w:color w:val="231F20"/>
        </w:rPr>
        <w:t>That September and October, as Schleyer was being held in captivity, one hundred and fifty agents were on duty round the clock at the special headquarters set up in Cologne. Every day, over 15,000 phone calls were monitored, as 3,000 other police officers took part in the hunt.</w:t>
      </w:r>
      <w:r>
        <w:rPr>
          <w:color w:val="231F20"/>
          <w:position w:val="7"/>
          <w:sz w:val="11"/>
        </w:rPr>
        <w:t>2</w:t>
      </w:r>
    </w:p>
    <w:p w14:paraId="203352E6" w14:textId="77777777" w:rsidR="002653E8" w:rsidRDefault="003115E3">
      <w:pPr>
        <w:pStyle w:val="a3"/>
        <w:spacing w:line="264" w:lineRule="auto"/>
        <w:ind w:left="1147" w:right="1325" w:firstLine="210"/>
        <w:jc w:val="both"/>
        <w:rPr>
          <w:sz w:val="11"/>
        </w:rPr>
      </w:pPr>
      <w:r>
        <w:rPr>
          <w:color w:val="231F20"/>
        </w:rPr>
        <w:t>Conservatives took advantage of the frenzied atmosphere to settle scores with the progressive intelligentsia, the overwhelming majority of whom were firmly opposed to the guerilla and the revolutionary left. The Hessen CDU Chair Alfred Dregger accused the Frankfurt School academics of contributing to terrorism, a sentiment echoed by the CDU Prime Minister of Baden-Württemberg, Hans Filbinger.</w:t>
      </w:r>
      <w:r>
        <w:rPr>
          <w:color w:val="231F20"/>
          <w:position w:val="7"/>
          <w:sz w:val="11"/>
        </w:rPr>
        <w:t xml:space="preserve">3 </w:t>
      </w:r>
      <w:r>
        <w:rPr>
          <w:color w:val="231F20"/>
        </w:rPr>
        <w:t xml:space="preserve">At the same time, in September </w:t>
      </w:r>
      <w:r>
        <w:rPr>
          <w:color w:val="231F20"/>
          <w:spacing w:val="-6"/>
        </w:rPr>
        <w:t xml:space="preserve">1977,  </w:t>
      </w:r>
      <w:r>
        <w:rPr>
          <w:color w:val="231F20"/>
        </w:rPr>
        <w:t>CSU representative Dietrich Spranger issued   a list of public figures whom he held responsible for “terrorism” in the Federal Republic, an unlikely collection which included Willy Brandt, Peter Brückner, Pastor Helmut Gollwitzer, and authors Günter Grass and Heinrich Böll.</w:t>
      </w:r>
      <w:r>
        <w:rPr>
          <w:color w:val="231F20"/>
          <w:position w:val="7"/>
          <w:sz w:val="11"/>
        </w:rPr>
        <w:t xml:space="preserve">4 </w:t>
      </w:r>
      <w:r>
        <w:rPr>
          <w:color w:val="231F20"/>
        </w:rPr>
        <w:t>The fact that two of those on this list—Böll and Gollwitzer—had recently joined pastor Heinrich Albertz and Bishop Kurt Scharf in a public appeal for the release of Schleyer did not seem  to make a</w:t>
      </w:r>
      <w:r>
        <w:rPr>
          <w:color w:val="231F20"/>
          <w:spacing w:val="32"/>
        </w:rPr>
        <w:t xml:space="preserve"> </w:t>
      </w:r>
      <w:r>
        <w:rPr>
          <w:color w:val="231F20"/>
        </w:rPr>
        <w:t>difference.</w:t>
      </w:r>
      <w:r>
        <w:rPr>
          <w:color w:val="231F20"/>
          <w:position w:val="7"/>
          <w:sz w:val="11"/>
        </w:rPr>
        <w:t>5</w:t>
      </w:r>
    </w:p>
    <w:p w14:paraId="6BFFFE05" w14:textId="77777777" w:rsidR="002653E8" w:rsidRDefault="003115E3">
      <w:pPr>
        <w:pStyle w:val="a3"/>
        <w:spacing w:line="219" w:lineRule="exact"/>
        <w:ind w:left="1357"/>
      </w:pPr>
      <w:r>
        <w:rPr>
          <w:color w:val="231F20"/>
        </w:rPr>
        <w:t>Böll in particular remained tarred by the Springer Press as a “ter-</w:t>
      </w:r>
    </w:p>
    <w:p w14:paraId="56C0F60F" w14:textId="77777777" w:rsidR="002653E8" w:rsidRDefault="003115E3">
      <w:pPr>
        <w:pStyle w:val="a3"/>
        <w:spacing w:before="18"/>
        <w:ind w:left="1148"/>
        <w:jc w:val="both"/>
      </w:pPr>
      <w:r>
        <w:rPr>
          <w:color w:val="231F20"/>
        </w:rPr>
        <w:t>rorist sympathizer” no matter what he did. This could have dramatic</w:t>
      </w:r>
    </w:p>
    <w:p w14:paraId="43AC7B2F" w14:textId="77777777" w:rsidR="002653E8" w:rsidRDefault="00000000">
      <w:pPr>
        <w:pStyle w:val="a3"/>
        <w:spacing w:before="7"/>
        <w:rPr>
          <w:sz w:val="26"/>
        </w:rPr>
      </w:pPr>
      <w:r>
        <w:rPr>
          <w:noProof w:val="0"/>
        </w:rPr>
        <w:pict w14:anchorId="001A390E">
          <v:line id="_x0000_s2149" style="position:absolute;z-index:11104;mso-wrap-distance-left:0;mso-wrap-distance-right:0;mso-position-horizontal-relative:page" from="57.4pt,17.8pt" to="129.4pt,17.8pt" strokecolor="#231f20" strokeweight=".5pt">
            <w10:wrap type="topAndBottom" anchorx="page"/>
          </v:line>
        </w:pict>
      </w:r>
    </w:p>
    <w:p w14:paraId="4AFE9CD4" w14:textId="77777777" w:rsidR="002653E8" w:rsidRDefault="003115E3">
      <w:pPr>
        <w:pStyle w:val="a4"/>
        <w:numPr>
          <w:ilvl w:val="0"/>
          <w:numId w:val="41"/>
        </w:numPr>
        <w:tabs>
          <w:tab w:val="left" w:pos="1287"/>
        </w:tabs>
        <w:spacing w:before="53" w:line="254" w:lineRule="auto"/>
        <w:ind w:right="1883" w:firstLine="0"/>
        <w:jc w:val="left"/>
        <w:rPr>
          <w:sz w:val="16"/>
        </w:rPr>
      </w:pPr>
      <w:r>
        <w:rPr>
          <w:color w:val="231F20"/>
          <w:w w:val="110"/>
          <w:sz w:val="16"/>
        </w:rPr>
        <w:t xml:space="preserve">Margit Mayer, “The German October of </w:t>
      </w:r>
      <w:r>
        <w:rPr>
          <w:color w:val="231F20"/>
          <w:spacing w:val="-5"/>
          <w:w w:val="110"/>
          <w:sz w:val="16"/>
        </w:rPr>
        <w:t xml:space="preserve">1977,” </w:t>
      </w:r>
      <w:r>
        <w:rPr>
          <w:i/>
          <w:color w:val="231F20"/>
          <w:w w:val="110"/>
          <w:sz w:val="16"/>
        </w:rPr>
        <w:t xml:space="preserve">New </w:t>
      </w:r>
      <w:r>
        <w:rPr>
          <w:i/>
          <w:color w:val="231F20"/>
          <w:spacing w:val="2"/>
          <w:w w:val="110"/>
          <w:sz w:val="16"/>
        </w:rPr>
        <w:t xml:space="preserve">German </w:t>
      </w:r>
      <w:r>
        <w:rPr>
          <w:i/>
          <w:color w:val="231F20"/>
          <w:w w:val="110"/>
          <w:sz w:val="16"/>
        </w:rPr>
        <w:t xml:space="preserve">Critique </w:t>
      </w:r>
      <w:r>
        <w:rPr>
          <w:color w:val="231F20"/>
          <w:spacing w:val="-5"/>
          <w:w w:val="110"/>
          <w:sz w:val="16"/>
        </w:rPr>
        <w:t xml:space="preserve">13 </w:t>
      </w:r>
      <w:r>
        <w:rPr>
          <w:color w:val="231F20"/>
          <w:w w:val="110"/>
          <w:sz w:val="16"/>
        </w:rPr>
        <w:t xml:space="preserve">(Winter </w:t>
      </w:r>
      <w:r>
        <w:rPr>
          <w:color w:val="231F20"/>
          <w:spacing w:val="-3"/>
          <w:w w:val="110"/>
          <w:sz w:val="16"/>
        </w:rPr>
        <w:t>1978):</w:t>
      </w:r>
      <w:r>
        <w:rPr>
          <w:color w:val="231F20"/>
          <w:spacing w:val="10"/>
          <w:w w:val="110"/>
          <w:sz w:val="16"/>
        </w:rPr>
        <w:t xml:space="preserve"> </w:t>
      </w:r>
      <w:r>
        <w:rPr>
          <w:color w:val="231F20"/>
          <w:spacing w:val="-8"/>
          <w:w w:val="110"/>
          <w:sz w:val="16"/>
        </w:rPr>
        <w:t>155.</w:t>
      </w:r>
    </w:p>
    <w:p w14:paraId="24D35A4B" w14:textId="77777777" w:rsidR="002653E8" w:rsidRDefault="003115E3">
      <w:pPr>
        <w:pStyle w:val="a4"/>
        <w:numPr>
          <w:ilvl w:val="0"/>
          <w:numId w:val="41"/>
        </w:numPr>
        <w:tabs>
          <w:tab w:val="left" w:pos="1287"/>
        </w:tabs>
        <w:ind w:left="1286" w:hanging="138"/>
        <w:jc w:val="left"/>
        <w:rPr>
          <w:sz w:val="16"/>
        </w:rPr>
      </w:pPr>
      <w:r>
        <w:rPr>
          <w:color w:val="231F20"/>
          <w:w w:val="110"/>
          <w:sz w:val="16"/>
        </w:rPr>
        <w:t>Hockenos,</w:t>
      </w:r>
      <w:r>
        <w:rPr>
          <w:color w:val="231F20"/>
          <w:spacing w:val="5"/>
          <w:w w:val="110"/>
          <w:sz w:val="16"/>
        </w:rPr>
        <w:t xml:space="preserve"> </w:t>
      </w:r>
      <w:r>
        <w:rPr>
          <w:color w:val="231F20"/>
          <w:w w:val="110"/>
          <w:sz w:val="16"/>
        </w:rPr>
        <w:t>124.</w:t>
      </w:r>
    </w:p>
    <w:p w14:paraId="5B3BAA97" w14:textId="77777777" w:rsidR="002653E8" w:rsidRDefault="003115E3">
      <w:pPr>
        <w:pStyle w:val="a4"/>
        <w:numPr>
          <w:ilvl w:val="0"/>
          <w:numId w:val="41"/>
        </w:numPr>
        <w:tabs>
          <w:tab w:val="left" w:pos="1283"/>
        </w:tabs>
        <w:spacing w:before="51" w:line="254" w:lineRule="auto"/>
        <w:ind w:left="1148" w:right="1800" w:firstLine="0"/>
        <w:jc w:val="left"/>
        <w:rPr>
          <w:sz w:val="16"/>
        </w:rPr>
      </w:pPr>
      <w:r>
        <w:rPr>
          <w:color w:val="231F20"/>
          <w:w w:val="105"/>
          <w:sz w:val="16"/>
        </w:rPr>
        <w:t xml:space="preserve">Rolf Wiggershaus, </w:t>
      </w:r>
      <w:r>
        <w:rPr>
          <w:i/>
          <w:color w:val="231F20"/>
          <w:w w:val="105"/>
          <w:sz w:val="16"/>
        </w:rPr>
        <w:t xml:space="preserve">The Frankfurt School: Its History, Theories </w:t>
      </w:r>
      <w:r>
        <w:rPr>
          <w:i/>
          <w:color w:val="231F20"/>
          <w:spacing w:val="1"/>
          <w:w w:val="105"/>
          <w:sz w:val="16"/>
        </w:rPr>
        <w:t xml:space="preserve">and </w:t>
      </w:r>
      <w:r>
        <w:rPr>
          <w:i/>
          <w:color w:val="231F20"/>
          <w:w w:val="105"/>
          <w:sz w:val="16"/>
        </w:rPr>
        <w:t xml:space="preserve">Political </w:t>
      </w:r>
      <w:r>
        <w:rPr>
          <w:i/>
          <w:color w:val="231F20"/>
          <w:spacing w:val="1"/>
          <w:w w:val="105"/>
          <w:sz w:val="16"/>
        </w:rPr>
        <w:t>Significance.</w:t>
      </w:r>
      <w:r>
        <w:rPr>
          <w:i/>
          <w:color w:val="231F20"/>
          <w:spacing w:val="15"/>
          <w:w w:val="105"/>
          <w:sz w:val="16"/>
        </w:rPr>
        <w:t xml:space="preserve"> </w:t>
      </w:r>
      <w:r>
        <w:rPr>
          <w:color w:val="231F20"/>
          <w:w w:val="105"/>
          <w:sz w:val="16"/>
        </w:rPr>
        <w:t>Translated</w:t>
      </w:r>
      <w:r>
        <w:rPr>
          <w:color w:val="231F20"/>
          <w:spacing w:val="15"/>
          <w:w w:val="105"/>
          <w:sz w:val="16"/>
        </w:rPr>
        <w:t xml:space="preserve"> </w:t>
      </w:r>
      <w:r>
        <w:rPr>
          <w:color w:val="231F20"/>
          <w:w w:val="105"/>
          <w:sz w:val="16"/>
        </w:rPr>
        <w:t>by</w:t>
      </w:r>
      <w:r>
        <w:rPr>
          <w:color w:val="231F20"/>
          <w:spacing w:val="15"/>
          <w:w w:val="105"/>
          <w:sz w:val="16"/>
        </w:rPr>
        <w:t xml:space="preserve"> </w:t>
      </w:r>
      <w:r>
        <w:rPr>
          <w:color w:val="231F20"/>
          <w:w w:val="105"/>
          <w:sz w:val="16"/>
        </w:rPr>
        <w:t>Michael</w:t>
      </w:r>
      <w:r>
        <w:rPr>
          <w:color w:val="231F20"/>
          <w:spacing w:val="15"/>
          <w:w w:val="105"/>
          <w:sz w:val="16"/>
        </w:rPr>
        <w:t xml:space="preserve"> </w:t>
      </w:r>
      <w:r>
        <w:rPr>
          <w:color w:val="231F20"/>
          <w:w w:val="105"/>
          <w:sz w:val="16"/>
        </w:rPr>
        <w:t>Robertson</w:t>
      </w:r>
      <w:r>
        <w:rPr>
          <w:color w:val="231F20"/>
          <w:spacing w:val="15"/>
          <w:w w:val="105"/>
          <w:sz w:val="16"/>
        </w:rPr>
        <w:t xml:space="preserve"> </w:t>
      </w:r>
      <w:r>
        <w:rPr>
          <w:color w:val="231F20"/>
          <w:w w:val="105"/>
          <w:sz w:val="16"/>
        </w:rPr>
        <w:t>(Cambridge,</w:t>
      </w:r>
      <w:r>
        <w:rPr>
          <w:color w:val="231F20"/>
          <w:spacing w:val="15"/>
          <w:w w:val="105"/>
          <w:sz w:val="16"/>
        </w:rPr>
        <w:t xml:space="preserve"> </w:t>
      </w:r>
      <w:r>
        <w:rPr>
          <w:color w:val="231F20"/>
          <w:w w:val="105"/>
          <w:sz w:val="16"/>
        </w:rPr>
        <w:t>Mass.</w:t>
      </w:r>
      <w:r>
        <w:rPr>
          <w:color w:val="231F20"/>
          <w:spacing w:val="15"/>
          <w:w w:val="105"/>
          <w:sz w:val="16"/>
        </w:rPr>
        <w:t xml:space="preserve"> </w:t>
      </w:r>
      <w:r>
        <w:rPr>
          <w:color w:val="231F20"/>
          <w:w w:val="105"/>
          <w:sz w:val="16"/>
        </w:rPr>
        <w:t>:</w:t>
      </w:r>
      <w:r>
        <w:rPr>
          <w:color w:val="231F20"/>
          <w:spacing w:val="15"/>
          <w:w w:val="105"/>
          <w:sz w:val="16"/>
        </w:rPr>
        <w:t xml:space="preserve"> </w:t>
      </w:r>
      <w:r>
        <w:rPr>
          <w:color w:val="231F20"/>
          <w:spacing w:val="5"/>
          <w:w w:val="105"/>
          <w:sz w:val="16"/>
        </w:rPr>
        <w:t>MIT</w:t>
      </w:r>
    </w:p>
    <w:p w14:paraId="1B0C374D" w14:textId="77777777" w:rsidR="002653E8" w:rsidRDefault="003115E3">
      <w:pPr>
        <w:spacing w:before="1" w:line="254" w:lineRule="auto"/>
        <w:ind w:left="1147" w:right="1326"/>
        <w:jc w:val="both"/>
        <w:rPr>
          <w:sz w:val="16"/>
        </w:rPr>
      </w:pPr>
      <w:r>
        <w:rPr>
          <w:color w:val="231F20"/>
          <w:w w:val="105"/>
          <w:sz w:val="16"/>
        </w:rPr>
        <w:t>Press, 1994), 656. Fittingly enough, it was revealed within a year of these accusations that several weeks after the war, while sitting in a British internment camp, Filbinger had acted in his capacity as a judge to sentence a sailor to death for calling an</w:t>
      </w:r>
    </w:p>
    <w:p w14:paraId="3EB253A6" w14:textId="77777777" w:rsidR="002653E8" w:rsidRDefault="003115E3">
      <w:pPr>
        <w:spacing w:before="1" w:line="254" w:lineRule="auto"/>
        <w:ind w:left="1147" w:right="1580"/>
        <w:rPr>
          <w:sz w:val="16"/>
        </w:rPr>
      </w:pPr>
      <w:r>
        <w:rPr>
          <w:color w:val="231F20"/>
          <w:w w:val="105"/>
          <w:sz w:val="16"/>
        </w:rPr>
        <w:t xml:space="preserve">officer a “Nazi pig.” </w:t>
      </w:r>
      <w:r>
        <w:rPr>
          <w:color w:val="231F20"/>
          <w:spacing w:val="1"/>
          <w:w w:val="105"/>
          <w:sz w:val="16"/>
        </w:rPr>
        <w:t xml:space="preserve">After </w:t>
      </w:r>
      <w:r>
        <w:rPr>
          <w:color w:val="231F20"/>
          <w:w w:val="105"/>
          <w:sz w:val="16"/>
        </w:rPr>
        <w:t xml:space="preserve">briefly denying the story and accusing his accusers of  being terrorist sympathizers, Filbinger admitted it was true, but defended himself saying that “What was right in the Third Reich cannot be wrong </w:t>
      </w:r>
      <w:r>
        <w:rPr>
          <w:color w:val="231F20"/>
          <w:spacing w:val="-3"/>
          <w:w w:val="105"/>
          <w:sz w:val="16"/>
        </w:rPr>
        <w:t xml:space="preserve">today.” </w:t>
      </w:r>
      <w:r>
        <w:rPr>
          <w:color w:val="231F20"/>
          <w:spacing w:val="1"/>
          <w:w w:val="105"/>
          <w:sz w:val="16"/>
        </w:rPr>
        <w:t>[Jeffrey</w:t>
      </w:r>
      <w:r>
        <w:rPr>
          <w:color w:val="231F20"/>
          <w:spacing w:val="40"/>
          <w:w w:val="105"/>
          <w:sz w:val="16"/>
        </w:rPr>
        <w:t xml:space="preserve"> </w:t>
      </w:r>
      <w:r>
        <w:rPr>
          <w:color w:val="231F20"/>
          <w:w w:val="105"/>
          <w:sz w:val="16"/>
        </w:rPr>
        <w:t xml:space="preserve">Herf, “The ‘Holocaust’ Reception in West Germany: </w:t>
      </w:r>
      <w:r>
        <w:rPr>
          <w:color w:val="231F20"/>
          <w:spacing w:val="1"/>
          <w:w w:val="105"/>
          <w:sz w:val="16"/>
        </w:rPr>
        <w:t xml:space="preserve">Right, </w:t>
      </w:r>
      <w:r>
        <w:rPr>
          <w:color w:val="231F20"/>
          <w:w w:val="105"/>
          <w:sz w:val="16"/>
        </w:rPr>
        <w:t xml:space="preserve">Center and Left,” </w:t>
      </w:r>
      <w:r>
        <w:rPr>
          <w:i/>
          <w:color w:val="231F20"/>
          <w:w w:val="105"/>
          <w:sz w:val="16"/>
        </w:rPr>
        <w:t xml:space="preserve">New </w:t>
      </w:r>
      <w:r>
        <w:rPr>
          <w:i/>
          <w:color w:val="231F20"/>
          <w:spacing w:val="2"/>
          <w:w w:val="105"/>
          <w:sz w:val="16"/>
        </w:rPr>
        <w:t xml:space="preserve">German </w:t>
      </w:r>
      <w:r>
        <w:rPr>
          <w:i/>
          <w:color w:val="231F20"/>
          <w:w w:val="105"/>
          <w:sz w:val="16"/>
        </w:rPr>
        <w:t xml:space="preserve">Critique </w:t>
      </w:r>
      <w:r>
        <w:rPr>
          <w:color w:val="231F20"/>
          <w:spacing w:val="-3"/>
          <w:w w:val="105"/>
          <w:sz w:val="16"/>
        </w:rPr>
        <w:t xml:space="preserve">19, </w:t>
      </w:r>
      <w:r>
        <w:rPr>
          <w:color w:val="231F20"/>
          <w:w w:val="105"/>
          <w:sz w:val="16"/>
        </w:rPr>
        <w:t>special issue, Germans and Jews (Winter,</w:t>
      </w:r>
      <w:r>
        <w:rPr>
          <w:color w:val="231F20"/>
          <w:spacing w:val="30"/>
          <w:w w:val="105"/>
          <w:sz w:val="16"/>
        </w:rPr>
        <w:t xml:space="preserve"> </w:t>
      </w:r>
      <w:r>
        <w:rPr>
          <w:color w:val="231F20"/>
          <w:spacing w:val="-3"/>
          <w:w w:val="105"/>
          <w:sz w:val="16"/>
        </w:rPr>
        <w:t xml:space="preserve">1980): </w:t>
      </w:r>
      <w:r>
        <w:rPr>
          <w:color w:val="231F20"/>
          <w:w w:val="105"/>
          <w:sz w:val="16"/>
        </w:rPr>
        <w:t>34]</w:t>
      </w:r>
    </w:p>
    <w:p w14:paraId="5A3FD681" w14:textId="77777777" w:rsidR="002653E8" w:rsidRDefault="003115E3">
      <w:pPr>
        <w:pStyle w:val="a4"/>
        <w:numPr>
          <w:ilvl w:val="0"/>
          <w:numId w:val="41"/>
        </w:numPr>
        <w:tabs>
          <w:tab w:val="left" w:pos="1287"/>
        </w:tabs>
        <w:spacing w:before="42" w:line="254" w:lineRule="auto"/>
        <w:ind w:right="1446" w:firstLine="1"/>
        <w:jc w:val="left"/>
        <w:rPr>
          <w:sz w:val="16"/>
        </w:rPr>
      </w:pPr>
      <w:r>
        <w:rPr>
          <w:color w:val="231F20"/>
          <w:w w:val="105"/>
          <w:sz w:val="16"/>
        </w:rPr>
        <w:t xml:space="preserve">Heinrich Böll, interviewed by </w:t>
      </w:r>
      <w:r>
        <w:rPr>
          <w:color w:val="231F20"/>
          <w:spacing w:val="1"/>
          <w:w w:val="105"/>
          <w:sz w:val="16"/>
        </w:rPr>
        <w:t xml:space="preserve">Gert </w:t>
      </w:r>
      <w:r>
        <w:rPr>
          <w:color w:val="231F20"/>
          <w:w w:val="105"/>
          <w:sz w:val="16"/>
        </w:rPr>
        <w:t xml:space="preserve">Heidenreich (Bavarian Radio), September 28, </w:t>
      </w:r>
      <w:r>
        <w:rPr>
          <w:color w:val="231F20"/>
          <w:spacing w:val="-4"/>
          <w:w w:val="105"/>
          <w:sz w:val="16"/>
        </w:rPr>
        <w:t xml:space="preserve">1977, </w:t>
      </w:r>
      <w:r>
        <w:rPr>
          <w:color w:val="231F20"/>
          <w:w w:val="105"/>
          <w:sz w:val="16"/>
        </w:rPr>
        <w:t xml:space="preserve">“This </w:t>
      </w:r>
      <w:r>
        <w:rPr>
          <w:color w:val="231F20"/>
          <w:spacing w:val="-3"/>
          <w:w w:val="105"/>
          <w:sz w:val="16"/>
        </w:rPr>
        <w:t xml:space="preserve">Type </w:t>
      </w:r>
      <w:r>
        <w:rPr>
          <w:color w:val="231F20"/>
          <w:w w:val="105"/>
          <w:sz w:val="16"/>
        </w:rPr>
        <w:t xml:space="preserve">of Cheap Propaganda is Extremely Danegrous,” translated by </w:t>
      </w:r>
      <w:r>
        <w:rPr>
          <w:color w:val="231F20"/>
          <w:spacing w:val="1"/>
          <w:w w:val="105"/>
          <w:sz w:val="16"/>
        </w:rPr>
        <w:t xml:space="preserve">Martin </w:t>
      </w:r>
      <w:r>
        <w:rPr>
          <w:color w:val="231F20"/>
          <w:w w:val="105"/>
          <w:sz w:val="16"/>
        </w:rPr>
        <w:t xml:space="preserve">Black, in </w:t>
      </w:r>
      <w:r>
        <w:rPr>
          <w:i/>
          <w:color w:val="231F20"/>
          <w:w w:val="105"/>
          <w:sz w:val="16"/>
        </w:rPr>
        <w:t xml:space="preserve">Stories, Political Writings </w:t>
      </w:r>
      <w:r>
        <w:rPr>
          <w:i/>
          <w:color w:val="231F20"/>
          <w:spacing w:val="1"/>
          <w:w w:val="105"/>
          <w:sz w:val="16"/>
        </w:rPr>
        <w:t xml:space="preserve">and </w:t>
      </w:r>
      <w:r>
        <w:rPr>
          <w:i/>
          <w:color w:val="231F20"/>
          <w:w w:val="105"/>
          <w:sz w:val="16"/>
        </w:rPr>
        <w:t xml:space="preserve">Autobiographical Works,  </w:t>
      </w:r>
      <w:r>
        <w:rPr>
          <w:color w:val="231F20"/>
          <w:spacing w:val="1"/>
          <w:w w:val="105"/>
          <w:sz w:val="16"/>
        </w:rPr>
        <w:t xml:space="preserve">Martin </w:t>
      </w:r>
      <w:r>
        <w:rPr>
          <w:color w:val="231F20"/>
          <w:w w:val="105"/>
          <w:sz w:val="16"/>
        </w:rPr>
        <w:t>Black</w:t>
      </w:r>
      <w:r>
        <w:rPr>
          <w:color w:val="231F20"/>
          <w:spacing w:val="18"/>
          <w:w w:val="105"/>
          <w:sz w:val="16"/>
        </w:rPr>
        <w:t xml:space="preserve"> </w:t>
      </w:r>
      <w:r>
        <w:rPr>
          <w:color w:val="231F20"/>
          <w:w w:val="105"/>
          <w:sz w:val="16"/>
        </w:rPr>
        <w:t>(ed.),</w:t>
      </w:r>
      <w:r>
        <w:rPr>
          <w:color w:val="231F20"/>
          <w:spacing w:val="18"/>
          <w:w w:val="105"/>
          <w:sz w:val="16"/>
        </w:rPr>
        <w:t xml:space="preserve"> </w:t>
      </w:r>
      <w:r>
        <w:rPr>
          <w:color w:val="231F20"/>
          <w:w w:val="105"/>
          <w:sz w:val="16"/>
        </w:rPr>
        <w:t>(New</w:t>
      </w:r>
      <w:r>
        <w:rPr>
          <w:color w:val="231F20"/>
          <w:spacing w:val="18"/>
          <w:w w:val="105"/>
          <w:sz w:val="16"/>
        </w:rPr>
        <w:t xml:space="preserve"> </w:t>
      </w:r>
      <w:r>
        <w:rPr>
          <w:color w:val="231F20"/>
          <w:spacing w:val="-3"/>
          <w:w w:val="105"/>
          <w:sz w:val="16"/>
        </w:rPr>
        <w:t>york:</w:t>
      </w:r>
      <w:r>
        <w:rPr>
          <w:color w:val="231F20"/>
          <w:spacing w:val="18"/>
          <w:w w:val="105"/>
          <w:sz w:val="16"/>
        </w:rPr>
        <w:t xml:space="preserve"> </w:t>
      </w:r>
      <w:r>
        <w:rPr>
          <w:color w:val="231F20"/>
          <w:w w:val="105"/>
          <w:sz w:val="16"/>
        </w:rPr>
        <w:t>Continuum</w:t>
      </w:r>
      <w:r>
        <w:rPr>
          <w:color w:val="231F20"/>
          <w:spacing w:val="18"/>
          <w:w w:val="105"/>
          <w:sz w:val="16"/>
        </w:rPr>
        <w:t xml:space="preserve"> </w:t>
      </w:r>
      <w:r>
        <w:rPr>
          <w:color w:val="231F20"/>
          <w:w w:val="105"/>
          <w:sz w:val="16"/>
        </w:rPr>
        <w:t>International</w:t>
      </w:r>
      <w:r>
        <w:rPr>
          <w:color w:val="231F20"/>
          <w:spacing w:val="18"/>
          <w:w w:val="105"/>
          <w:sz w:val="16"/>
        </w:rPr>
        <w:t xml:space="preserve"> </w:t>
      </w:r>
      <w:r>
        <w:rPr>
          <w:color w:val="231F20"/>
          <w:w w:val="105"/>
          <w:sz w:val="16"/>
        </w:rPr>
        <w:t>Publishing</w:t>
      </w:r>
      <w:r>
        <w:rPr>
          <w:color w:val="231F20"/>
          <w:spacing w:val="18"/>
          <w:w w:val="105"/>
          <w:sz w:val="16"/>
        </w:rPr>
        <w:t xml:space="preserve"> </w:t>
      </w:r>
      <w:r>
        <w:rPr>
          <w:color w:val="231F20"/>
          <w:w w:val="105"/>
          <w:sz w:val="16"/>
        </w:rPr>
        <w:t>Group,</w:t>
      </w:r>
      <w:r>
        <w:rPr>
          <w:color w:val="231F20"/>
          <w:spacing w:val="20"/>
          <w:w w:val="105"/>
          <w:sz w:val="16"/>
        </w:rPr>
        <w:t xml:space="preserve"> </w:t>
      </w:r>
      <w:r>
        <w:rPr>
          <w:color w:val="231F20"/>
          <w:w w:val="105"/>
          <w:sz w:val="16"/>
        </w:rPr>
        <w:t>2006),</w:t>
      </w:r>
      <w:r>
        <w:rPr>
          <w:color w:val="231F20"/>
          <w:spacing w:val="18"/>
          <w:w w:val="105"/>
          <w:sz w:val="16"/>
        </w:rPr>
        <w:t xml:space="preserve"> </w:t>
      </w:r>
      <w:r>
        <w:rPr>
          <w:color w:val="231F20"/>
          <w:w w:val="105"/>
          <w:sz w:val="16"/>
        </w:rPr>
        <w:t>293.</w:t>
      </w:r>
    </w:p>
    <w:p w14:paraId="5E14EC7A" w14:textId="77777777" w:rsidR="002653E8" w:rsidRDefault="003115E3">
      <w:pPr>
        <w:pStyle w:val="a4"/>
        <w:numPr>
          <w:ilvl w:val="0"/>
          <w:numId w:val="41"/>
        </w:numPr>
        <w:tabs>
          <w:tab w:val="left" w:pos="1287"/>
        </w:tabs>
        <w:ind w:left="1286"/>
        <w:jc w:val="left"/>
        <w:rPr>
          <w:sz w:val="16"/>
        </w:rPr>
      </w:pPr>
      <w:r>
        <w:rPr>
          <w:color w:val="231F20"/>
          <w:w w:val="105"/>
          <w:sz w:val="16"/>
        </w:rPr>
        <w:t>Associated</w:t>
      </w:r>
      <w:r>
        <w:rPr>
          <w:color w:val="231F20"/>
          <w:spacing w:val="8"/>
          <w:w w:val="105"/>
          <w:sz w:val="16"/>
        </w:rPr>
        <w:t xml:space="preserve"> </w:t>
      </w:r>
      <w:r>
        <w:rPr>
          <w:color w:val="231F20"/>
          <w:w w:val="105"/>
          <w:sz w:val="16"/>
        </w:rPr>
        <w:t>Press,</w:t>
      </w:r>
      <w:r>
        <w:rPr>
          <w:color w:val="231F20"/>
          <w:spacing w:val="8"/>
          <w:w w:val="105"/>
          <w:sz w:val="16"/>
        </w:rPr>
        <w:t xml:space="preserve"> </w:t>
      </w:r>
      <w:r>
        <w:rPr>
          <w:color w:val="231F20"/>
          <w:w w:val="105"/>
          <w:sz w:val="16"/>
        </w:rPr>
        <w:t>“Wife</w:t>
      </w:r>
      <w:r>
        <w:rPr>
          <w:color w:val="231F20"/>
          <w:spacing w:val="8"/>
          <w:w w:val="105"/>
          <w:sz w:val="16"/>
        </w:rPr>
        <w:t xml:space="preserve"> </w:t>
      </w:r>
      <w:r>
        <w:rPr>
          <w:color w:val="231F20"/>
          <w:w w:val="105"/>
          <w:sz w:val="16"/>
        </w:rPr>
        <w:t>of</w:t>
      </w:r>
      <w:r>
        <w:rPr>
          <w:color w:val="231F20"/>
          <w:spacing w:val="8"/>
          <w:w w:val="105"/>
          <w:sz w:val="16"/>
        </w:rPr>
        <w:t xml:space="preserve"> </w:t>
      </w:r>
      <w:r>
        <w:rPr>
          <w:color w:val="231F20"/>
          <w:w w:val="105"/>
          <w:sz w:val="16"/>
        </w:rPr>
        <w:t>seized</w:t>
      </w:r>
      <w:r>
        <w:rPr>
          <w:color w:val="231F20"/>
          <w:spacing w:val="8"/>
          <w:w w:val="105"/>
          <w:sz w:val="16"/>
        </w:rPr>
        <w:t xml:space="preserve"> </w:t>
      </w:r>
      <w:r>
        <w:rPr>
          <w:color w:val="231F20"/>
          <w:w w:val="105"/>
          <w:sz w:val="16"/>
        </w:rPr>
        <w:t>industrialist</w:t>
      </w:r>
      <w:r>
        <w:rPr>
          <w:color w:val="231F20"/>
          <w:spacing w:val="8"/>
          <w:w w:val="105"/>
          <w:sz w:val="16"/>
        </w:rPr>
        <w:t xml:space="preserve"> </w:t>
      </w:r>
      <w:r>
        <w:rPr>
          <w:color w:val="231F20"/>
          <w:w w:val="105"/>
          <w:sz w:val="16"/>
        </w:rPr>
        <w:t>pleas</w:t>
      </w:r>
      <w:r>
        <w:rPr>
          <w:color w:val="231F20"/>
          <w:spacing w:val="8"/>
          <w:w w:val="105"/>
          <w:sz w:val="16"/>
        </w:rPr>
        <w:t xml:space="preserve"> </w:t>
      </w:r>
      <w:r>
        <w:rPr>
          <w:color w:val="231F20"/>
          <w:w w:val="105"/>
          <w:sz w:val="16"/>
        </w:rPr>
        <w:t>for</w:t>
      </w:r>
      <w:r>
        <w:rPr>
          <w:color w:val="231F20"/>
          <w:spacing w:val="8"/>
          <w:w w:val="105"/>
          <w:sz w:val="16"/>
        </w:rPr>
        <w:t xml:space="preserve"> </w:t>
      </w:r>
      <w:r>
        <w:rPr>
          <w:color w:val="231F20"/>
          <w:w w:val="105"/>
          <w:sz w:val="16"/>
        </w:rPr>
        <w:t>terrorists’</w:t>
      </w:r>
      <w:r>
        <w:rPr>
          <w:color w:val="231F20"/>
          <w:spacing w:val="8"/>
          <w:w w:val="105"/>
          <w:sz w:val="16"/>
        </w:rPr>
        <w:t xml:space="preserve"> </w:t>
      </w:r>
      <w:r>
        <w:rPr>
          <w:color w:val="231F20"/>
          <w:w w:val="105"/>
          <w:sz w:val="16"/>
        </w:rPr>
        <w:t>trade,”</w:t>
      </w:r>
    </w:p>
    <w:p w14:paraId="63C0E773" w14:textId="77777777" w:rsidR="002653E8" w:rsidRDefault="003115E3">
      <w:pPr>
        <w:spacing w:before="12"/>
        <w:ind w:left="1147"/>
        <w:rPr>
          <w:sz w:val="16"/>
        </w:rPr>
      </w:pPr>
      <w:r>
        <w:rPr>
          <w:i/>
          <w:color w:val="231F20"/>
          <w:w w:val="110"/>
          <w:sz w:val="16"/>
        </w:rPr>
        <w:t xml:space="preserve">Modesto Bee, </w:t>
      </w:r>
      <w:r>
        <w:rPr>
          <w:color w:val="231F20"/>
          <w:w w:val="110"/>
          <w:sz w:val="16"/>
        </w:rPr>
        <w:t>September 12, 1977.</w:t>
      </w:r>
    </w:p>
    <w:p w14:paraId="7A7C0C87" w14:textId="77777777" w:rsidR="002653E8" w:rsidRDefault="002653E8">
      <w:pPr>
        <w:rPr>
          <w:sz w:val="16"/>
        </w:rPr>
        <w:sectPr w:rsidR="002653E8">
          <w:footerReference w:type="even" r:id="rId451"/>
          <w:footerReference w:type="default" r:id="rId452"/>
          <w:pgSz w:w="8640" w:h="12960"/>
          <w:pgMar w:top="1080" w:right="0" w:bottom="1040" w:left="0" w:header="0" w:footer="850" w:gutter="0"/>
          <w:pgNumType w:start="532"/>
          <w:cols w:space="720"/>
        </w:sectPr>
      </w:pPr>
    </w:p>
    <w:p w14:paraId="03F98A83" w14:textId="77777777" w:rsidR="002653E8" w:rsidRDefault="003115E3">
      <w:pPr>
        <w:pStyle w:val="a3"/>
        <w:spacing w:before="86" w:line="264" w:lineRule="auto"/>
        <w:ind w:left="1327" w:right="1146"/>
        <w:jc w:val="both"/>
        <w:rPr>
          <w:sz w:val="11"/>
        </w:rPr>
      </w:pPr>
      <w:r>
        <w:rPr>
          <w:color w:val="231F20"/>
        </w:rPr>
        <w:lastRenderedPageBreak/>
        <w:t xml:space="preserve">consequences; for instance, an anonymous call was received stating that armed men had been seen entering the home of the famous </w:t>
      </w:r>
      <w:r>
        <w:rPr>
          <w:color w:val="231F20"/>
          <w:spacing w:val="-3"/>
        </w:rPr>
        <w:t xml:space="preserve">author’s </w:t>
      </w:r>
      <w:r>
        <w:rPr>
          <w:color w:val="231F20"/>
        </w:rPr>
        <w:t>son. As a result, forty heavily armed cops from the special antiterrorist unit raided</w:t>
      </w:r>
      <w:r>
        <w:rPr>
          <w:color w:val="231F20"/>
          <w:spacing w:val="-11"/>
        </w:rPr>
        <w:t xml:space="preserve"> </w:t>
      </w:r>
      <w:r>
        <w:rPr>
          <w:color w:val="231F20"/>
        </w:rPr>
        <w:t>the</w:t>
      </w:r>
      <w:r>
        <w:rPr>
          <w:color w:val="231F20"/>
          <w:spacing w:val="-11"/>
        </w:rPr>
        <w:t xml:space="preserve"> </w:t>
      </w:r>
      <w:r>
        <w:rPr>
          <w:color w:val="231F20"/>
        </w:rPr>
        <w:t>house;</w:t>
      </w:r>
      <w:r>
        <w:rPr>
          <w:color w:val="231F20"/>
          <w:spacing w:val="-11"/>
        </w:rPr>
        <w:t xml:space="preserve"> </w:t>
      </w:r>
      <w:r>
        <w:rPr>
          <w:color w:val="231F20"/>
        </w:rPr>
        <w:t>of</w:t>
      </w:r>
      <w:r>
        <w:rPr>
          <w:color w:val="231F20"/>
          <w:spacing w:val="-11"/>
        </w:rPr>
        <w:t xml:space="preserve"> </w:t>
      </w:r>
      <w:r>
        <w:rPr>
          <w:color w:val="231F20"/>
        </w:rPr>
        <w:t>course,</w:t>
      </w:r>
      <w:r>
        <w:rPr>
          <w:color w:val="231F20"/>
          <w:spacing w:val="-11"/>
        </w:rPr>
        <w:t xml:space="preserve"> </w:t>
      </w:r>
      <w:r>
        <w:rPr>
          <w:color w:val="231F20"/>
        </w:rPr>
        <w:t>there</w:t>
      </w:r>
      <w:r>
        <w:rPr>
          <w:color w:val="231F20"/>
          <w:spacing w:val="-11"/>
        </w:rPr>
        <w:t xml:space="preserve"> </w:t>
      </w:r>
      <w:r>
        <w:rPr>
          <w:color w:val="231F20"/>
        </w:rPr>
        <w:t>were</w:t>
      </w:r>
      <w:r>
        <w:rPr>
          <w:color w:val="231F20"/>
          <w:spacing w:val="-11"/>
        </w:rPr>
        <w:t xml:space="preserve"> </w:t>
      </w:r>
      <w:r>
        <w:rPr>
          <w:color w:val="231F20"/>
        </w:rPr>
        <w:t>no</w:t>
      </w:r>
      <w:r>
        <w:rPr>
          <w:color w:val="231F20"/>
          <w:spacing w:val="-11"/>
        </w:rPr>
        <w:t xml:space="preserve"> </w:t>
      </w:r>
      <w:r>
        <w:rPr>
          <w:color w:val="231F20"/>
        </w:rPr>
        <w:t>guerillas</w:t>
      </w:r>
      <w:r>
        <w:rPr>
          <w:color w:val="231F20"/>
          <w:spacing w:val="-11"/>
        </w:rPr>
        <w:t xml:space="preserve"> </w:t>
      </w:r>
      <w:r>
        <w:rPr>
          <w:color w:val="231F20"/>
        </w:rPr>
        <w:t>there.</w:t>
      </w:r>
      <w:r>
        <w:rPr>
          <w:color w:val="231F20"/>
          <w:spacing w:val="-11"/>
        </w:rPr>
        <w:t xml:space="preserve"> </w:t>
      </w:r>
      <w:r>
        <w:rPr>
          <w:color w:val="231F20"/>
        </w:rPr>
        <w:t>When</w:t>
      </w:r>
      <w:r>
        <w:rPr>
          <w:color w:val="231F20"/>
          <w:spacing w:val="-11"/>
        </w:rPr>
        <w:t xml:space="preserve"> </w:t>
      </w:r>
      <w:r>
        <w:rPr>
          <w:color w:val="231F20"/>
        </w:rPr>
        <w:t>the</w:t>
      </w:r>
      <w:r>
        <w:rPr>
          <w:color w:val="231F20"/>
          <w:spacing w:val="-11"/>
        </w:rPr>
        <w:t xml:space="preserve"> </w:t>
      </w:r>
      <w:r>
        <w:rPr>
          <w:color w:val="231F20"/>
        </w:rPr>
        <w:t xml:space="preserve">elder Böll complained of this in an interview the next </w:t>
      </w:r>
      <w:r>
        <w:rPr>
          <w:color w:val="231F20"/>
          <w:spacing w:val="-4"/>
        </w:rPr>
        <w:t xml:space="preserve">day, </w:t>
      </w:r>
      <w:r>
        <w:rPr>
          <w:color w:val="231F20"/>
        </w:rPr>
        <w:t>Bavarian radio refused</w:t>
      </w:r>
      <w:r>
        <w:rPr>
          <w:color w:val="231F20"/>
          <w:spacing w:val="13"/>
        </w:rPr>
        <w:t xml:space="preserve"> </w:t>
      </w:r>
      <w:r>
        <w:rPr>
          <w:color w:val="231F20"/>
        </w:rPr>
        <w:t>to</w:t>
      </w:r>
      <w:r>
        <w:rPr>
          <w:color w:val="231F20"/>
          <w:spacing w:val="13"/>
        </w:rPr>
        <w:t xml:space="preserve"> </w:t>
      </w:r>
      <w:r>
        <w:rPr>
          <w:color w:val="231F20"/>
        </w:rPr>
        <w:t>broadcast</w:t>
      </w:r>
      <w:r>
        <w:rPr>
          <w:color w:val="231F20"/>
          <w:spacing w:val="13"/>
        </w:rPr>
        <w:t xml:space="preserve"> </w:t>
      </w:r>
      <w:r>
        <w:rPr>
          <w:color w:val="231F20"/>
        </w:rPr>
        <w:t>it</w:t>
      </w:r>
      <w:r>
        <w:rPr>
          <w:color w:val="231F20"/>
          <w:spacing w:val="13"/>
        </w:rPr>
        <w:t xml:space="preserve"> </w:t>
      </w:r>
      <w:r>
        <w:rPr>
          <w:color w:val="231F20"/>
        </w:rPr>
        <w:t>on</w:t>
      </w:r>
      <w:r>
        <w:rPr>
          <w:color w:val="231F20"/>
          <w:spacing w:val="13"/>
        </w:rPr>
        <w:t xml:space="preserve"> </w:t>
      </w:r>
      <w:r>
        <w:rPr>
          <w:color w:val="231F20"/>
        </w:rPr>
        <w:t>the</w:t>
      </w:r>
      <w:r>
        <w:rPr>
          <w:color w:val="231F20"/>
          <w:spacing w:val="13"/>
        </w:rPr>
        <w:t xml:space="preserve"> </w:t>
      </w:r>
      <w:r>
        <w:rPr>
          <w:color w:val="231F20"/>
        </w:rPr>
        <w:t>grounds</w:t>
      </w:r>
      <w:r>
        <w:rPr>
          <w:color w:val="231F20"/>
          <w:spacing w:val="13"/>
        </w:rPr>
        <w:t xml:space="preserve"> </w:t>
      </w:r>
      <w:r>
        <w:rPr>
          <w:color w:val="231F20"/>
        </w:rPr>
        <w:t>that</w:t>
      </w:r>
      <w:r>
        <w:rPr>
          <w:color w:val="231F20"/>
          <w:spacing w:val="13"/>
        </w:rPr>
        <w:t xml:space="preserve"> </w:t>
      </w:r>
      <w:r>
        <w:rPr>
          <w:color w:val="231F20"/>
        </w:rPr>
        <w:t>it</w:t>
      </w:r>
      <w:r>
        <w:rPr>
          <w:color w:val="231F20"/>
          <w:spacing w:val="13"/>
        </w:rPr>
        <w:t xml:space="preserve"> </w:t>
      </w:r>
      <w:r>
        <w:rPr>
          <w:color w:val="231F20"/>
        </w:rPr>
        <w:t>was</w:t>
      </w:r>
      <w:r>
        <w:rPr>
          <w:color w:val="231F20"/>
          <w:spacing w:val="13"/>
        </w:rPr>
        <w:t xml:space="preserve"> </w:t>
      </w:r>
      <w:r>
        <w:rPr>
          <w:color w:val="231F20"/>
        </w:rPr>
        <w:t>“inflammatory.”</w:t>
      </w:r>
      <w:r>
        <w:rPr>
          <w:color w:val="231F20"/>
          <w:position w:val="7"/>
          <w:sz w:val="11"/>
        </w:rPr>
        <w:t>6</w:t>
      </w:r>
    </w:p>
    <w:p w14:paraId="1743739F" w14:textId="77777777" w:rsidR="002653E8" w:rsidRDefault="003115E3">
      <w:pPr>
        <w:pStyle w:val="a3"/>
        <w:spacing w:line="264" w:lineRule="auto"/>
        <w:ind w:left="1327" w:right="1146" w:firstLine="210"/>
        <w:jc w:val="both"/>
      </w:pPr>
      <w:r>
        <w:rPr>
          <w:color w:val="231F20"/>
        </w:rPr>
        <w:t xml:space="preserve">Most people stood behind the government, not only in its hunt for the </w:t>
      </w:r>
      <w:r w:rsidR="00C507A5">
        <w:rPr>
          <w:color w:val="231F20"/>
        </w:rPr>
        <w:t>red army faction</w:t>
      </w:r>
      <w:r>
        <w:rPr>
          <w:color w:val="231F20"/>
        </w:rPr>
        <w:t>, but also in its general crackdown on the radical left. In one poll, 62</w:t>
      </w:r>
      <w:r>
        <w:rPr>
          <w:color w:val="231F20"/>
          <w:sz w:val="16"/>
        </w:rPr>
        <w:t xml:space="preserve">% </w:t>
      </w:r>
      <w:r>
        <w:rPr>
          <w:color w:val="231F20"/>
        </w:rPr>
        <w:t>of respondents stated that they were willing to accept restrictions on their personal freedoms through controls and house searches, while only 21</w:t>
      </w:r>
      <w:r>
        <w:rPr>
          <w:color w:val="231F20"/>
          <w:sz w:val="16"/>
        </w:rPr>
        <w:t xml:space="preserve">% </w:t>
      </w:r>
      <w:r>
        <w:rPr>
          <w:color w:val="231F20"/>
        </w:rPr>
        <w:t>were opposed.</w:t>
      </w:r>
      <w:r>
        <w:rPr>
          <w:color w:val="231F20"/>
          <w:position w:val="7"/>
          <w:sz w:val="11"/>
        </w:rPr>
        <w:t xml:space="preserve">7 </w:t>
      </w:r>
      <w:r>
        <w:rPr>
          <w:color w:val="231F20"/>
        </w:rPr>
        <w:t xml:space="preserve">At the same time, politicians and the press became ever more bloodthirsty. years later, </w:t>
      </w:r>
      <w:r w:rsidR="00C507A5">
        <w:rPr>
          <w:color w:val="231F20"/>
        </w:rPr>
        <w:t>red army faction</w:t>
      </w:r>
      <w:r>
        <w:rPr>
          <w:color w:val="231F20"/>
        </w:rPr>
        <w:t xml:space="preserve"> member Christian Klar recounted that:</w:t>
      </w:r>
    </w:p>
    <w:p w14:paraId="11B75ECD" w14:textId="77777777" w:rsidR="002653E8" w:rsidRDefault="003115E3">
      <w:pPr>
        <w:spacing w:before="115" w:line="276" w:lineRule="auto"/>
        <w:ind w:left="1747" w:right="1558"/>
        <w:jc w:val="both"/>
        <w:rPr>
          <w:i/>
          <w:sz w:val="11"/>
        </w:rPr>
      </w:pPr>
      <w:r>
        <w:rPr>
          <w:i/>
          <w:color w:val="231F20"/>
          <w:w w:val="105"/>
          <w:sz w:val="19"/>
        </w:rPr>
        <w:t xml:space="preserve">On September </w:t>
      </w:r>
      <w:r>
        <w:rPr>
          <w:rFonts w:ascii="Bookman Old Style" w:hAnsi="Bookman Old Style"/>
          <w:i/>
          <w:color w:val="231F20"/>
          <w:w w:val="105"/>
          <w:sz w:val="19"/>
        </w:rPr>
        <w:t>8</w:t>
      </w:r>
      <w:r>
        <w:rPr>
          <w:i/>
          <w:color w:val="231F20"/>
          <w:w w:val="105"/>
          <w:sz w:val="19"/>
        </w:rPr>
        <w:t xml:space="preserve">, </w:t>
      </w:r>
      <w:r>
        <w:rPr>
          <w:rFonts w:ascii="Bookman Old Style" w:hAnsi="Bookman Old Style"/>
          <w:i/>
          <w:color w:val="231F20"/>
          <w:w w:val="105"/>
          <w:sz w:val="19"/>
        </w:rPr>
        <w:t>1977</w:t>
      </w:r>
      <w:r>
        <w:rPr>
          <w:i/>
          <w:color w:val="231F20"/>
          <w:w w:val="105"/>
          <w:sz w:val="19"/>
        </w:rPr>
        <w:t xml:space="preserve">, the Crisis Management </w:t>
      </w:r>
      <w:r>
        <w:rPr>
          <w:i/>
          <w:color w:val="231F20"/>
          <w:spacing w:val="-4"/>
          <w:w w:val="105"/>
          <w:sz w:val="19"/>
        </w:rPr>
        <w:t xml:space="preserve">Team </w:t>
      </w:r>
      <w:r>
        <w:rPr>
          <w:i/>
          <w:color w:val="231F20"/>
          <w:w w:val="105"/>
          <w:sz w:val="19"/>
        </w:rPr>
        <w:t xml:space="preserve">allowed Die </w:t>
      </w:r>
      <w:r>
        <w:rPr>
          <w:i/>
          <w:color w:val="231F20"/>
          <w:spacing w:val="-3"/>
          <w:w w:val="105"/>
          <w:sz w:val="19"/>
        </w:rPr>
        <w:t xml:space="preserve">Welt </w:t>
      </w:r>
      <w:r>
        <w:rPr>
          <w:i/>
          <w:color w:val="231F20"/>
          <w:w w:val="105"/>
          <w:sz w:val="19"/>
        </w:rPr>
        <w:t>to demand that Rebmann’s plan [that the prisoners be killed]</w:t>
      </w:r>
      <w:r>
        <w:rPr>
          <w:i/>
          <w:color w:val="231F20"/>
          <w:spacing w:val="-5"/>
          <w:w w:val="105"/>
          <w:sz w:val="19"/>
        </w:rPr>
        <w:t xml:space="preserve"> </w:t>
      </w:r>
      <w:r>
        <w:rPr>
          <w:i/>
          <w:color w:val="231F20"/>
          <w:w w:val="105"/>
          <w:sz w:val="19"/>
        </w:rPr>
        <w:t>be</w:t>
      </w:r>
      <w:r>
        <w:rPr>
          <w:i/>
          <w:color w:val="231F20"/>
          <w:spacing w:val="-5"/>
          <w:w w:val="105"/>
          <w:sz w:val="19"/>
        </w:rPr>
        <w:t xml:space="preserve"> </w:t>
      </w:r>
      <w:r>
        <w:rPr>
          <w:i/>
          <w:color w:val="231F20"/>
          <w:w w:val="105"/>
          <w:sz w:val="19"/>
        </w:rPr>
        <w:t>carried</w:t>
      </w:r>
      <w:r>
        <w:rPr>
          <w:i/>
          <w:color w:val="231F20"/>
          <w:spacing w:val="-5"/>
          <w:w w:val="105"/>
          <w:sz w:val="19"/>
        </w:rPr>
        <w:t xml:space="preserve"> </w:t>
      </w:r>
      <w:r>
        <w:rPr>
          <w:i/>
          <w:color w:val="231F20"/>
          <w:w w:val="105"/>
          <w:sz w:val="19"/>
        </w:rPr>
        <w:t>out.</w:t>
      </w:r>
      <w:r>
        <w:rPr>
          <w:i/>
          <w:color w:val="231F20"/>
          <w:spacing w:val="-11"/>
          <w:w w:val="105"/>
          <w:sz w:val="19"/>
        </w:rPr>
        <w:t xml:space="preserve"> </w:t>
      </w:r>
      <w:r>
        <w:rPr>
          <w:i/>
          <w:color w:val="231F20"/>
          <w:w w:val="105"/>
          <w:sz w:val="19"/>
        </w:rPr>
        <w:t>On</w:t>
      </w:r>
      <w:r>
        <w:rPr>
          <w:i/>
          <w:color w:val="231F20"/>
          <w:spacing w:val="-5"/>
          <w:w w:val="105"/>
          <w:sz w:val="19"/>
        </w:rPr>
        <w:t xml:space="preserve"> </w:t>
      </w:r>
      <w:r>
        <w:rPr>
          <w:i/>
          <w:color w:val="231F20"/>
          <w:w w:val="105"/>
          <w:sz w:val="19"/>
        </w:rPr>
        <w:t>September</w:t>
      </w:r>
      <w:r>
        <w:rPr>
          <w:i/>
          <w:color w:val="231F20"/>
          <w:spacing w:val="-5"/>
          <w:w w:val="105"/>
          <w:sz w:val="19"/>
        </w:rPr>
        <w:t xml:space="preserve"> </w:t>
      </w:r>
      <w:r>
        <w:rPr>
          <w:rFonts w:ascii="Bookman Old Style" w:hAnsi="Bookman Old Style"/>
          <w:i/>
          <w:color w:val="231F20"/>
          <w:w w:val="105"/>
          <w:sz w:val="19"/>
        </w:rPr>
        <w:t>10</w:t>
      </w:r>
      <w:r>
        <w:rPr>
          <w:i/>
          <w:color w:val="231F20"/>
          <w:w w:val="105"/>
          <w:sz w:val="19"/>
        </w:rPr>
        <w:t>,</w:t>
      </w:r>
      <w:r>
        <w:rPr>
          <w:i/>
          <w:color w:val="231F20"/>
          <w:spacing w:val="-11"/>
          <w:w w:val="105"/>
          <w:sz w:val="19"/>
        </w:rPr>
        <w:t xml:space="preserve"> </w:t>
      </w:r>
      <w:r>
        <w:rPr>
          <w:i/>
          <w:color w:val="231F20"/>
          <w:w w:val="105"/>
          <w:sz w:val="19"/>
        </w:rPr>
        <w:t>the</w:t>
      </w:r>
      <w:r>
        <w:rPr>
          <w:i/>
          <w:color w:val="231F20"/>
          <w:spacing w:val="-5"/>
          <w:w w:val="105"/>
          <w:sz w:val="19"/>
        </w:rPr>
        <w:t xml:space="preserve"> </w:t>
      </w:r>
      <w:r>
        <w:rPr>
          <w:i/>
          <w:color w:val="231F20"/>
          <w:w w:val="105"/>
          <w:sz w:val="19"/>
        </w:rPr>
        <w:t>Suddeutsche</w:t>
      </w:r>
      <w:r>
        <w:rPr>
          <w:i/>
          <w:color w:val="231F20"/>
          <w:spacing w:val="-5"/>
          <w:w w:val="105"/>
          <w:sz w:val="19"/>
        </w:rPr>
        <w:t xml:space="preserve"> </w:t>
      </w:r>
      <w:r>
        <w:rPr>
          <w:i/>
          <w:color w:val="231F20"/>
          <w:w w:val="105"/>
          <w:sz w:val="19"/>
        </w:rPr>
        <w:t xml:space="preserve">Zeitung published the same thing as reflecting a discussion within the CSU </w:t>
      </w:r>
      <w:r>
        <w:rPr>
          <w:color w:val="231F20"/>
          <w:w w:val="105"/>
          <w:sz w:val="19"/>
        </w:rPr>
        <w:t xml:space="preserve">Land </w:t>
      </w:r>
      <w:r>
        <w:rPr>
          <w:i/>
          <w:color w:val="231F20"/>
          <w:w w:val="105"/>
          <w:sz w:val="19"/>
        </w:rPr>
        <w:t xml:space="preserve">group, which wanted a prisoner shot at half-hour intervals until Schleyer was released. A day </w:t>
      </w:r>
      <w:r>
        <w:rPr>
          <w:i/>
          <w:color w:val="231F20"/>
          <w:spacing w:val="-4"/>
          <w:w w:val="105"/>
          <w:sz w:val="19"/>
        </w:rPr>
        <w:t xml:space="preserve">later, </w:t>
      </w:r>
      <w:r>
        <w:rPr>
          <w:i/>
          <w:color w:val="231F20"/>
          <w:w w:val="105"/>
          <w:sz w:val="19"/>
        </w:rPr>
        <w:t xml:space="preserve">Frühschoppen demanded the introduction of bloody torture, noting that the guerilla groups in Latin America had been defeated in that </w:t>
      </w:r>
      <w:r>
        <w:rPr>
          <w:i/>
          <w:color w:val="231F20"/>
          <w:spacing w:val="-7"/>
          <w:w w:val="105"/>
          <w:sz w:val="19"/>
        </w:rPr>
        <w:t xml:space="preserve">way. </w:t>
      </w:r>
      <w:r>
        <w:rPr>
          <w:i/>
          <w:color w:val="231F20"/>
          <w:w w:val="105"/>
          <w:sz w:val="19"/>
        </w:rPr>
        <w:t xml:space="preserve">The next </w:t>
      </w:r>
      <w:r>
        <w:rPr>
          <w:i/>
          <w:color w:val="231F20"/>
          <w:spacing w:val="-6"/>
          <w:w w:val="105"/>
          <w:sz w:val="19"/>
        </w:rPr>
        <w:t xml:space="preserve">day, </w:t>
      </w:r>
      <w:r>
        <w:rPr>
          <w:i/>
          <w:color w:val="231F20"/>
          <w:w w:val="105"/>
          <w:sz w:val="19"/>
        </w:rPr>
        <w:t xml:space="preserve">Spiegel provided a platform for the </w:t>
      </w:r>
      <w:r>
        <w:rPr>
          <w:i/>
          <w:color w:val="231F20"/>
          <w:spacing w:val="-4"/>
          <w:w w:val="105"/>
          <w:sz w:val="19"/>
        </w:rPr>
        <w:t xml:space="preserve">CSU’s </w:t>
      </w:r>
      <w:r>
        <w:rPr>
          <w:i/>
          <w:color w:val="231F20"/>
          <w:w w:val="105"/>
          <w:sz w:val="19"/>
        </w:rPr>
        <w:t xml:space="preserve">Becher and Zimmermann to express their longing for the deaths of the Stammheim prisoners. On September </w:t>
      </w:r>
      <w:r>
        <w:rPr>
          <w:rFonts w:ascii="Bookman Old Style" w:hAnsi="Bookman Old Style"/>
          <w:i/>
          <w:color w:val="231F20"/>
          <w:w w:val="105"/>
          <w:sz w:val="19"/>
        </w:rPr>
        <w:t>13</w:t>
      </w:r>
      <w:r>
        <w:rPr>
          <w:i/>
          <w:color w:val="231F20"/>
          <w:w w:val="105"/>
          <w:sz w:val="19"/>
        </w:rPr>
        <w:t xml:space="preserve">, the same idea was put forward by the SPD through Heinz Kühn, but in a more delicate </w:t>
      </w:r>
      <w:r>
        <w:rPr>
          <w:i/>
          <w:color w:val="231F20"/>
          <w:spacing w:val="-3"/>
          <w:w w:val="105"/>
          <w:sz w:val="19"/>
        </w:rPr>
        <w:t xml:space="preserve">way: </w:t>
      </w:r>
      <w:r>
        <w:rPr>
          <w:i/>
          <w:color w:val="231F20"/>
          <w:w w:val="105"/>
          <w:sz w:val="19"/>
        </w:rPr>
        <w:t xml:space="preserve">“The terrorists must be made to understand that the death of Hanns Martin Schleyer will have </w:t>
      </w:r>
      <w:r>
        <w:rPr>
          <w:i/>
          <w:color w:val="231F20"/>
          <w:spacing w:val="-3"/>
          <w:w w:val="105"/>
          <w:sz w:val="19"/>
        </w:rPr>
        <w:t xml:space="preserve">grave </w:t>
      </w:r>
      <w:r>
        <w:rPr>
          <w:i/>
          <w:color w:val="231F20"/>
          <w:w w:val="105"/>
          <w:sz w:val="19"/>
        </w:rPr>
        <w:t>consequences for the fate of the violent prisoners they are hoping to free through</w:t>
      </w:r>
      <w:r>
        <w:rPr>
          <w:i/>
          <w:color w:val="231F20"/>
          <w:spacing w:val="-26"/>
          <w:w w:val="105"/>
          <w:sz w:val="19"/>
        </w:rPr>
        <w:t xml:space="preserve"> </w:t>
      </w:r>
      <w:r>
        <w:rPr>
          <w:i/>
          <w:color w:val="231F20"/>
          <w:w w:val="105"/>
          <w:sz w:val="19"/>
        </w:rPr>
        <w:t xml:space="preserve">their disgraceful </w:t>
      </w:r>
      <w:r>
        <w:rPr>
          <w:i/>
          <w:color w:val="231F20"/>
          <w:spacing w:val="-3"/>
          <w:w w:val="105"/>
          <w:sz w:val="19"/>
        </w:rPr>
        <w:t>actions.”</w:t>
      </w:r>
      <w:r>
        <w:rPr>
          <w:i/>
          <w:color w:val="231F20"/>
          <w:spacing w:val="7"/>
          <w:w w:val="105"/>
          <w:sz w:val="19"/>
        </w:rPr>
        <w:t xml:space="preserve"> </w:t>
      </w:r>
      <w:r>
        <w:rPr>
          <w:i/>
          <w:color w:val="231F20"/>
          <w:w w:val="105"/>
          <w:position w:val="6"/>
          <w:sz w:val="11"/>
        </w:rPr>
        <w:t>8</w:t>
      </w:r>
    </w:p>
    <w:p w14:paraId="42BC8F40" w14:textId="77777777" w:rsidR="002653E8" w:rsidRDefault="003115E3">
      <w:pPr>
        <w:pStyle w:val="a3"/>
        <w:spacing w:before="133" w:line="264" w:lineRule="auto"/>
        <w:ind w:left="1327" w:right="1146"/>
        <w:jc w:val="both"/>
      </w:pPr>
      <w:r>
        <w:rPr>
          <w:color w:val="231F20"/>
        </w:rPr>
        <w:t>Indeed, following the Stammheim deaths, even allowing Ensslin, Raspe, and Baader to be buried in a common grave in the Stuttgart cemetery was enough to earn one the sobriquet of being “soft on terrorism.” Stuttgart’s moderate CDU mayor, Manfred Rommel—the son of the</w:t>
      </w:r>
    </w:p>
    <w:p w14:paraId="56D06D9B" w14:textId="77777777" w:rsidR="002653E8" w:rsidRDefault="00000000">
      <w:pPr>
        <w:pStyle w:val="a3"/>
        <w:rPr>
          <w:sz w:val="28"/>
        </w:rPr>
      </w:pPr>
      <w:r>
        <w:rPr>
          <w:noProof w:val="0"/>
        </w:rPr>
        <w:pict w14:anchorId="090B7FD8">
          <v:line id="_x0000_s2148" style="position:absolute;z-index:11128;mso-wrap-distance-left:0;mso-wrap-distance-right:0;mso-position-horizontal-relative:page" from="66.4pt,18.65pt" to="138.4pt,18.65pt" strokecolor="#231f20" strokeweight=".5pt">
            <w10:wrap type="topAndBottom" anchorx="page"/>
          </v:line>
        </w:pict>
      </w:r>
    </w:p>
    <w:p w14:paraId="1509A79B" w14:textId="77777777" w:rsidR="002653E8" w:rsidRDefault="003115E3">
      <w:pPr>
        <w:pStyle w:val="a4"/>
        <w:numPr>
          <w:ilvl w:val="0"/>
          <w:numId w:val="41"/>
        </w:numPr>
        <w:tabs>
          <w:tab w:val="left" w:pos="1467"/>
        </w:tabs>
        <w:spacing w:before="53"/>
        <w:ind w:left="1466"/>
        <w:jc w:val="left"/>
        <w:rPr>
          <w:sz w:val="16"/>
        </w:rPr>
      </w:pPr>
      <w:r>
        <w:rPr>
          <w:color w:val="231F20"/>
          <w:w w:val="110"/>
          <w:sz w:val="16"/>
        </w:rPr>
        <w:t>Braunthal,</w:t>
      </w:r>
      <w:r>
        <w:rPr>
          <w:color w:val="231F20"/>
          <w:spacing w:val="5"/>
          <w:w w:val="110"/>
          <w:sz w:val="16"/>
        </w:rPr>
        <w:t xml:space="preserve"> </w:t>
      </w:r>
      <w:r>
        <w:rPr>
          <w:color w:val="231F20"/>
          <w:spacing w:val="-3"/>
          <w:w w:val="110"/>
          <w:sz w:val="16"/>
        </w:rPr>
        <w:t>162.</w:t>
      </w:r>
    </w:p>
    <w:p w14:paraId="2E6FA60C" w14:textId="77777777" w:rsidR="002653E8" w:rsidRDefault="003115E3">
      <w:pPr>
        <w:spacing w:before="51"/>
        <w:ind w:left="1327"/>
        <w:rPr>
          <w:sz w:val="16"/>
        </w:rPr>
      </w:pPr>
      <w:r>
        <w:rPr>
          <w:color w:val="231F20"/>
          <w:w w:val="115"/>
          <w:sz w:val="16"/>
        </w:rPr>
        <w:t>7 Ibid., 174.</w:t>
      </w:r>
    </w:p>
    <w:p w14:paraId="0C41F1CE" w14:textId="77777777" w:rsidR="002653E8" w:rsidRDefault="003115E3">
      <w:pPr>
        <w:spacing w:before="52" w:line="254" w:lineRule="auto"/>
        <w:ind w:left="1327" w:right="1145"/>
        <w:rPr>
          <w:i/>
          <w:sz w:val="16"/>
        </w:rPr>
      </w:pPr>
      <w:r>
        <w:rPr>
          <w:color w:val="231F20"/>
          <w:w w:val="110"/>
          <w:sz w:val="16"/>
        </w:rPr>
        <w:t xml:space="preserve">8 </w:t>
      </w:r>
      <w:r>
        <w:rPr>
          <w:i/>
          <w:color w:val="231F20"/>
          <w:w w:val="110"/>
          <w:sz w:val="16"/>
        </w:rPr>
        <w:t xml:space="preserve">Christian Klar’s Statement Regarding 77. </w:t>
      </w:r>
      <w:r>
        <w:rPr>
          <w:color w:val="231F20"/>
          <w:w w:val="110"/>
          <w:sz w:val="16"/>
        </w:rPr>
        <w:t xml:space="preserve">This text will appear in our second volume, </w:t>
      </w:r>
      <w:r>
        <w:rPr>
          <w:i/>
          <w:color w:val="231F20"/>
          <w:w w:val="110"/>
          <w:sz w:val="16"/>
        </w:rPr>
        <w:t>The Red Army Faction, a Documentary History, Volume II: Dancing with Imperialism: One Step Forward, Two Steps Back.</w:t>
      </w:r>
    </w:p>
    <w:p w14:paraId="58E61E56" w14:textId="77777777" w:rsidR="002653E8" w:rsidRDefault="002653E8">
      <w:pPr>
        <w:spacing w:line="254" w:lineRule="auto"/>
        <w:rPr>
          <w:sz w:val="16"/>
        </w:rPr>
        <w:sectPr w:rsidR="002653E8">
          <w:pgSz w:w="8640" w:h="12960"/>
          <w:pgMar w:top="1060" w:right="0" w:bottom="1040" w:left="0" w:header="0" w:footer="850" w:gutter="0"/>
          <w:cols w:space="720"/>
        </w:sectPr>
      </w:pPr>
    </w:p>
    <w:p w14:paraId="0F26B36B" w14:textId="77777777" w:rsidR="002653E8" w:rsidRDefault="003115E3">
      <w:pPr>
        <w:pStyle w:val="a3"/>
        <w:spacing w:before="86" w:line="264" w:lineRule="auto"/>
        <w:ind w:left="1147" w:right="1326"/>
        <w:jc w:val="both"/>
        <w:rPr>
          <w:sz w:val="11"/>
        </w:rPr>
      </w:pPr>
      <w:r>
        <w:rPr>
          <w:color w:val="231F20"/>
        </w:rPr>
        <w:lastRenderedPageBreak/>
        <w:t xml:space="preserve">famed Field Marshal—refused to forbid such a burial, insisting that “Death must end all animosity.” As a result, he found himself marginalized within the </w:t>
      </w:r>
      <w:r>
        <w:rPr>
          <w:i/>
          <w:color w:val="231F20"/>
          <w:spacing w:val="1"/>
        </w:rPr>
        <w:t xml:space="preserve">Land </w:t>
      </w:r>
      <w:r>
        <w:rPr>
          <w:color w:val="231F20"/>
          <w:spacing w:val="1"/>
        </w:rPr>
        <w:t xml:space="preserve">party </w:t>
      </w:r>
      <w:r>
        <w:rPr>
          <w:color w:val="231F20"/>
        </w:rPr>
        <w:t xml:space="preserve">organization, and telephone calls poured  in from </w:t>
      </w:r>
      <w:r>
        <w:rPr>
          <w:color w:val="231F20"/>
          <w:spacing w:val="1"/>
        </w:rPr>
        <w:t xml:space="preserve">angry </w:t>
      </w:r>
      <w:r>
        <w:rPr>
          <w:color w:val="231F20"/>
        </w:rPr>
        <w:t xml:space="preserve">citizens demanding that the </w:t>
      </w:r>
      <w:r w:rsidR="00C507A5">
        <w:rPr>
          <w:color w:val="231F20"/>
          <w:spacing w:val="5"/>
        </w:rPr>
        <w:t>red army faction</w:t>
      </w:r>
      <w:r>
        <w:rPr>
          <w:color w:val="231F20"/>
          <w:spacing w:val="5"/>
        </w:rPr>
        <w:t xml:space="preserve"> </w:t>
      </w:r>
      <w:r>
        <w:rPr>
          <w:color w:val="231F20"/>
        </w:rPr>
        <w:t>dead be cremated and their ashes poured into the city</w:t>
      </w:r>
      <w:r>
        <w:rPr>
          <w:color w:val="231F20"/>
          <w:spacing w:val="15"/>
        </w:rPr>
        <w:t xml:space="preserve"> </w:t>
      </w:r>
      <w:r>
        <w:rPr>
          <w:color w:val="231F20"/>
        </w:rPr>
        <w:t>sewers.</w:t>
      </w:r>
      <w:r>
        <w:rPr>
          <w:color w:val="231F20"/>
          <w:position w:val="7"/>
          <w:sz w:val="11"/>
        </w:rPr>
        <w:t>1</w:t>
      </w:r>
    </w:p>
    <w:p w14:paraId="5ABDD21B" w14:textId="77777777" w:rsidR="002653E8" w:rsidRDefault="003115E3">
      <w:pPr>
        <w:pStyle w:val="a3"/>
        <w:spacing w:line="264" w:lineRule="auto"/>
        <w:ind w:left="1147" w:right="1327" w:firstLine="210"/>
        <w:jc w:val="both"/>
      </w:pPr>
      <w:r>
        <w:rPr>
          <w:color w:val="231F20"/>
        </w:rPr>
        <w:t>Little wonder that, commenting on the political climate that autumn, Heinrich Böll would remark:</w:t>
      </w:r>
    </w:p>
    <w:p w14:paraId="3F324587" w14:textId="77777777" w:rsidR="002653E8" w:rsidRDefault="003115E3">
      <w:pPr>
        <w:spacing w:before="122" w:line="276" w:lineRule="auto"/>
        <w:ind w:left="1567" w:right="1746"/>
        <w:jc w:val="both"/>
        <w:rPr>
          <w:i/>
          <w:sz w:val="11"/>
        </w:rPr>
      </w:pPr>
      <w:r>
        <w:rPr>
          <w:i/>
          <w:color w:val="231F20"/>
          <w:sz w:val="19"/>
        </w:rPr>
        <w:t xml:space="preserve">I am gradually beginning to wonder whether </w:t>
      </w:r>
      <w:r>
        <w:rPr>
          <w:i/>
          <w:color w:val="231F20"/>
          <w:spacing w:val="-4"/>
          <w:sz w:val="19"/>
        </w:rPr>
        <w:t xml:space="preserve">it’s </w:t>
      </w:r>
      <w:r>
        <w:rPr>
          <w:i/>
          <w:color w:val="231F20"/>
          <w:sz w:val="19"/>
        </w:rPr>
        <w:t xml:space="preserve">even necessary to—to put it bluntly—do </w:t>
      </w:r>
      <w:r>
        <w:rPr>
          <w:i/>
          <w:color w:val="231F20"/>
          <w:spacing w:val="-3"/>
          <w:sz w:val="19"/>
        </w:rPr>
        <w:t xml:space="preserve">away </w:t>
      </w:r>
      <w:r>
        <w:rPr>
          <w:i/>
          <w:color w:val="231F20"/>
          <w:sz w:val="19"/>
        </w:rPr>
        <w:t xml:space="preserve">with </w:t>
      </w:r>
      <w:r>
        <w:rPr>
          <w:i/>
          <w:color w:val="231F20"/>
          <w:spacing w:val="-4"/>
          <w:sz w:val="19"/>
        </w:rPr>
        <w:t xml:space="preserve">democracy. </w:t>
      </w:r>
      <w:r>
        <w:rPr>
          <w:i/>
          <w:color w:val="231F20"/>
          <w:spacing w:val="-3"/>
          <w:sz w:val="19"/>
        </w:rPr>
        <w:t xml:space="preserve">People </w:t>
      </w:r>
      <w:r>
        <w:rPr>
          <w:i/>
          <w:color w:val="231F20"/>
          <w:sz w:val="19"/>
        </w:rPr>
        <w:t>are intimidated to such an extent—the media have become so cautious—that laws would hardly need to be changed. The whole thing occurs on a “fantastic” plane… Even the liberal newspapers are becoming extremely conformist and cautious—they hardly need to lift a</w:t>
      </w:r>
      <w:r>
        <w:rPr>
          <w:i/>
          <w:color w:val="231F20"/>
          <w:spacing w:val="40"/>
          <w:sz w:val="19"/>
        </w:rPr>
        <w:t xml:space="preserve"> </w:t>
      </w:r>
      <w:r>
        <w:rPr>
          <w:i/>
          <w:color w:val="231F20"/>
          <w:spacing w:val="-3"/>
          <w:sz w:val="19"/>
        </w:rPr>
        <w:t>finger.</w:t>
      </w:r>
      <w:r>
        <w:rPr>
          <w:i/>
          <w:color w:val="231F20"/>
          <w:spacing w:val="-3"/>
          <w:position w:val="6"/>
          <w:sz w:val="11"/>
        </w:rPr>
        <w:t>2</w:t>
      </w:r>
    </w:p>
    <w:p w14:paraId="06A21F38" w14:textId="77777777" w:rsidR="002653E8" w:rsidRDefault="003115E3">
      <w:pPr>
        <w:pStyle w:val="a3"/>
        <w:spacing w:before="132" w:line="264" w:lineRule="auto"/>
        <w:ind w:left="1147" w:right="1327"/>
        <w:jc w:val="both"/>
      </w:pPr>
      <w:r>
        <w:rPr>
          <w:color w:val="231F20"/>
        </w:rPr>
        <w:t>While this reactionary atmosphere reached its crescendo in the days    of autumn, the state clampdown had begun well before the Schleyer kidnapping.</w:t>
      </w:r>
    </w:p>
    <w:p w14:paraId="14944C49" w14:textId="77777777" w:rsidR="002653E8" w:rsidRDefault="003115E3">
      <w:pPr>
        <w:pStyle w:val="a3"/>
        <w:spacing w:line="264" w:lineRule="auto"/>
        <w:ind w:left="1147" w:right="1326" w:firstLine="210"/>
        <w:jc w:val="both"/>
      </w:pPr>
      <w:r>
        <w:rPr>
          <w:color w:val="231F20"/>
        </w:rPr>
        <w:t xml:space="preserve">On April </w:t>
      </w:r>
      <w:r>
        <w:rPr>
          <w:color w:val="231F20"/>
          <w:spacing w:val="-7"/>
        </w:rPr>
        <w:t xml:space="preserve">25, </w:t>
      </w:r>
      <w:r>
        <w:rPr>
          <w:color w:val="231F20"/>
          <w:spacing w:val="-6"/>
        </w:rPr>
        <w:t xml:space="preserve">1977, </w:t>
      </w:r>
      <w:r>
        <w:rPr>
          <w:color w:val="231F20"/>
        </w:rPr>
        <w:t xml:space="preserve">just a few weeks after the </w:t>
      </w:r>
      <w:r w:rsidR="00C507A5">
        <w:rPr>
          <w:color w:val="231F20"/>
          <w:spacing w:val="5"/>
        </w:rPr>
        <w:t>red army faction</w:t>
      </w:r>
      <w:r>
        <w:rPr>
          <w:color w:val="231F20"/>
          <w:spacing w:val="5"/>
        </w:rPr>
        <w:t xml:space="preserve"> </w:t>
      </w:r>
      <w:r>
        <w:rPr>
          <w:color w:val="231F20"/>
        </w:rPr>
        <w:t xml:space="preserve">had killed Siegfried Buback, a student newspaper in the picturesque university town of Göttingen published an article entitled  </w:t>
      </w:r>
      <w:r>
        <w:rPr>
          <w:i/>
          <w:color w:val="231F20"/>
        </w:rPr>
        <w:t xml:space="preserve">Buback:  In  </w:t>
      </w:r>
      <w:r>
        <w:rPr>
          <w:i/>
          <w:color w:val="231F20"/>
          <w:spacing w:val="1"/>
        </w:rPr>
        <w:t xml:space="preserve">Memoriam,  </w:t>
      </w:r>
      <w:r>
        <w:rPr>
          <w:color w:val="231F20"/>
        </w:rPr>
        <w:t xml:space="preserve">in which the anonymous author admitted his “secret joy” at the Attorney General’s assassination, while nevertheless condemning such armed attacks as counterproductive. Within the context of the split occurring     in the </w:t>
      </w:r>
      <w:r>
        <w:rPr>
          <w:i/>
          <w:color w:val="231F20"/>
        </w:rPr>
        <w:t xml:space="preserve">sponti </w:t>
      </w:r>
      <w:r>
        <w:rPr>
          <w:color w:val="231F20"/>
        </w:rPr>
        <w:t xml:space="preserve">scene at the time, the article actually represented a move </w:t>
      </w:r>
      <w:r>
        <w:rPr>
          <w:color w:val="231F20"/>
          <w:spacing w:val="-3"/>
        </w:rPr>
        <w:t xml:space="preserve">away </w:t>
      </w:r>
      <w:r>
        <w:rPr>
          <w:color w:val="231F20"/>
        </w:rPr>
        <w:t>from political</w:t>
      </w:r>
      <w:r>
        <w:rPr>
          <w:color w:val="231F20"/>
          <w:spacing w:val="-5"/>
        </w:rPr>
        <w:t xml:space="preserve"> </w:t>
      </w:r>
      <w:r>
        <w:rPr>
          <w:color w:val="231F20"/>
        </w:rPr>
        <w:t>violence:</w:t>
      </w:r>
    </w:p>
    <w:p w14:paraId="183F550E" w14:textId="77777777" w:rsidR="002653E8" w:rsidRDefault="003115E3">
      <w:pPr>
        <w:spacing w:before="117" w:line="276" w:lineRule="auto"/>
        <w:ind w:left="1567" w:right="1745"/>
        <w:jc w:val="both"/>
        <w:rPr>
          <w:i/>
          <w:sz w:val="11"/>
        </w:rPr>
      </w:pPr>
      <w:r>
        <w:rPr>
          <w:i/>
          <w:color w:val="231F20"/>
          <w:sz w:val="19"/>
        </w:rPr>
        <w:t xml:space="preserve">Our force cannot be Al Capone’s force, a copy of street </w:t>
      </w:r>
      <w:r>
        <w:rPr>
          <w:i/>
          <w:color w:val="231F20"/>
          <w:spacing w:val="-4"/>
          <w:sz w:val="19"/>
        </w:rPr>
        <w:t xml:space="preserve">terror, </w:t>
      </w:r>
      <w:r>
        <w:rPr>
          <w:i/>
          <w:color w:val="231F20"/>
          <w:sz w:val="19"/>
        </w:rPr>
        <w:t>and constant</w:t>
      </w:r>
      <w:r>
        <w:rPr>
          <w:i/>
          <w:color w:val="231F20"/>
          <w:spacing w:val="-8"/>
          <w:sz w:val="19"/>
        </w:rPr>
        <w:t xml:space="preserve"> </w:t>
      </w:r>
      <w:r>
        <w:rPr>
          <w:i/>
          <w:color w:val="231F20"/>
          <w:sz w:val="19"/>
        </w:rPr>
        <w:t>terror;</w:t>
      </w:r>
      <w:r>
        <w:rPr>
          <w:i/>
          <w:color w:val="231F20"/>
          <w:spacing w:val="-8"/>
          <w:sz w:val="19"/>
        </w:rPr>
        <w:t xml:space="preserve"> </w:t>
      </w:r>
      <w:r>
        <w:rPr>
          <w:i/>
          <w:color w:val="231F20"/>
          <w:sz w:val="19"/>
        </w:rPr>
        <w:t>not</w:t>
      </w:r>
      <w:r>
        <w:rPr>
          <w:i/>
          <w:color w:val="231F20"/>
          <w:spacing w:val="-8"/>
          <w:sz w:val="19"/>
        </w:rPr>
        <w:t xml:space="preserve"> </w:t>
      </w:r>
      <w:r>
        <w:rPr>
          <w:i/>
          <w:color w:val="231F20"/>
          <w:sz w:val="19"/>
        </w:rPr>
        <w:t>authoritarian,</w:t>
      </w:r>
      <w:r>
        <w:rPr>
          <w:i/>
          <w:color w:val="231F20"/>
          <w:spacing w:val="-16"/>
          <w:sz w:val="19"/>
        </w:rPr>
        <w:t xml:space="preserve"> </w:t>
      </w:r>
      <w:r>
        <w:rPr>
          <w:i/>
          <w:color w:val="231F20"/>
          <w:sz w:val="19"/>
        </w:rPr>
        <w:t>but</w:t>
      </w:r>
      <w:r>
        <w:rPr>
          <w:i/>
          <w:color w:val="231F20"/>
          <w:spacing w:val="-8"/>
          <w:sz w:val="19"/>
        </w:rPr>
        <w:t xml:space="preserve"> </w:t>
      </w:r>
      <w:r>
        <w:rPr>
          <w:i/>
          <w:color w:val="231F20"/>
          <w:sz w:val="19"/>
        </w:rPr>
        <w:t>rather</w:t>
      </w:r>
      <w:r>
        <w:rPr>
          <w:i/>
          <w:color w:val="231F20"/>
          <w:spacing w:val="-8"/>
          <w:sz w:val="19"/>
        </w:rPr>
        <w:t xml:space="preserve"> </w:t>
      </w:r>
      <w:r>
        <w:rPr>
          <w:i/>
          <w:color w:val="231F20"/>
          <w:sz w:val="19"/>
        </w:rPr>
        <w:t>antiauthoritarian</w:t>
      </w:r>
      <w:r>
        <w:rPr>
          <w:i/>
          <w:color w:val="231F20"/>
          <w:spacing w:val="-8"/>
          <w:sz w:val="19"/>
        </w:rPr>
        <w:t xml:space="preserve"> </w:t>
      </w:r>
      <w:r>
        <w:rPr>
          <w:i/>
          <w:color w:val="231F20"/>
          <w:sz w:val="19"/>
        </w:rPr>
        <w:t>and therefore more effective. Leftists shouldn’t be killers, shouldn’t be ruthlessly brutal people, shouldn’t be rapists, but  also  not  saints or innocent lambs. Our daily objective is to formulate a concept  and modus operandi of force and militancy which are fun  and  have the blessings of the masses, so that the left doesn’t acquire   the same face as the</w:t>
      </w:r>
      <w:r>
        <w:rPr>
          <w:i/>
          <w:color w:val="231F20"/>
          <w:spacing w:val="10"/>
          <w:sz w:val="19"/>
        </w:rPr>
        <w:t xml:space="preserve"> </w:t>
      </w:r>
      <w:r>
        <w:rPr>
          <w:i/>
          <w:color w:val="231F20"/>
          <w:sz w:val="19"/>
        </w:rPr>
        <w:t>Bubacks.</w:t>
      </w:r>
      <w:r>
        <w:rPr>
          <w:i/>
          <w:color w:val="231F20"/>
          <w:position w:val="6"/>
          <w:sz w:val="11"/>
        </w:rPr>
        <w:t>3</w:t>
      </w:r>
    </w:p>
    <w:p w14:paraId="50AEA6F8" w14:textId="77777777" w:rsidR="002653E8" w:rsidRDefault="002653E8">
      <w:pPr>
        <w:pStyle w:val="a3"/>
        <w:rPr>
          <w:i/>
        </w:rPr>
      </w:pPr>
    </w:p>
    <w:p w14:paraId="57484A5D" w14:textId="77777777" w:rsidR="002653E8" w:rsidRDefault="00000000">
      <w:pPr>
        <w:pStyle w:val="a3"/>
        <w:spacing w:before="10"/>
        <w:rPr>
          <w:i/>
          <w:sz w:val="14"/>
        </w:rPr>
      </w:pPr>
      <w:r>
        <w:rPr>
          <w:noProof w:val="0"/>
        </w:rPr>
        <w:pict w14:anchorId="193425F7">
          <v:line id="_x0000_s2147" style="position:absolute;z-index:11152;mso-wrap-distance-left:0;mso-wrap-distance-right:0;mso-position-horizontal-relative:page" from="57.4pt,10.95pt" to="129.4pt,10.95pt" strokecolor="#231f20" strokeweight=".5pt">
            <w10:wrap type="topAndBottom" anchorx="page"/>
          </v:line>
        </w:pict>
      </w:r>
    </w:p>
    <w:p w14:paraId="0B59BC90" w14:textId="77777777" w:rsidR="002653E8" w:rsidRDefault="003115E3">
      <w:pPr>
        <w:spacing w:before="53" w:line="307" w:lineRule="auto"/>
        <w:ind w:left="1148" w:right="1513" w:hanging="1"/>
        <w:rPr>
          <w:sz w:val="16"/>
        </w:rPr>
      </w:pPr>
      <w:r>
        <w:rPr>
          <w:color w:val="231F20"/>
          <w:w w:val="110"/>
          <w:sz w:val="16"/>
        </w:rPr>
        <w:t xml:space="preserve">1 Wellington Long, “Germany has second Rommel,” </w:t>
      </w:r>
      <w:r>
        <w:rPr>
          <w:i/>
          <w:color w:val="231F20"/>
          <w:w w:val="110"/>
          <w:sz w:val="16"/>
        </w:rPr>
        <w:t xml:space="preserve">Sunday Sun, </w:t>
      </w:r>
      <w:r>
        <w:rPr>
          <w:color w:val="231F20"/>
          <w:w w:val="110"/>
          <w:sz w:val="16"/>
        </w:rPr>
        <w:t>April 16, 1978. 2 Böll, 295.</w:t>
      </w:r>
    </w:p>
    <w:p w14:paraId="0CA38D93" w14:textId="77777777" w:rsidR="002653E8" w:rsidRDefault="003115E3">
      <w:pPr>
        <w:spacing w:line="254" w:lineRule="auto"/>
        <w:ind w:left="1148" w:right="1513"/>
        <w:rPr>
          <w:sz w:val="16"/>
        </w:rPr>
      </w:pPr>
      <w:r>
        <w:rPr>
          <w:color w:val="231F20"/>
          <w:w w:val="110"/>
          <w:sz w:val="16"/>
        </w:rPr>
        <w:t xml:space="preserve">3 Anonymous, “Buback: In Memoriam,” </w:t>
      </w:r>
      <w:r>
        <w:rPr>
          <w:i/>
          <w:color w:val="231F20"/>
          <w:w w:val="110"/>
          <w:sz w:val="16"/>
        </w:rPr>
        <w:t xml:space="preserve">semiotext(e) </w:t>
      </w:r>
      <w:r>
        <w:rPr>
          <w:color w:val="231F20"/>
          <w:w w:val="110"/>
          <w:sz w:val="16"/>
        </w:rPr>
        <w:t>4, no. 2, the German Issue, (1982): 129.</w:t>
      </w:r>
    </w:p>
    <w:p w14:paraId="797AE8C9" w14:textId="77777777" w:rsidR="002653E8" w:rsidRDefault="002653E8">
      <w:pPr>
        <w:spacing w:line="254" w:lineRule="auto"/>
        <w:rPr>
          <w:sz w:val="16"/>
        </w:rPr>
        <w:sectPr w:rsidR="002653E8">
          <w:pgSz w:w="8640" w:h="12960"/>
          <w:pgMar w:top="1060" w:right="0" w:bottom="1040" w:left="0" w:header="0" w:footer="850" w:gutter="0"/>
          <w:cols w:space="720"/>
        </w:sectPr>
      </w:pPr>
    </w:p>
    <w:p w14:paraId="7B41638C" w14:textId="77777777" w:rsidR="002653E8" w:rsidRDefault="003115E3">
      <w:pPr>
        <w:pStyle w:val="a3"/>
        <w:spacing w:before="86" w:line="264" w:lineRule="auto"/>
        <w:ind w:left="1327" w:right="1145"/>
        <w:jc w:val="both"/>
        <w:rPr>
          <w:sz w:val="11"/>
        </w:rPr>
      </w:pPr>
      <w:r>
        <w:rPr>
          <w:color w:val="231F20"/>
        </w:rPr>
        <w:lastRenderedPageBreak/>
        <w:t xml:space="preserve">Obviously the writer was hostile to the </w:t>
      </w:r>
      <w:r w:rsidR="00C507A5">
        <w:rPr>
          <w:color w:val="231F20"/>
          <w:spacing w:val="1"/>
        </w:rPr>
        <w:t>red army faction</w:t>
      </w:r>
      <w:r>
        <w:rPr>
          <w:color w:val="231F20"/>
          <w:spacing w:val="1"/>
        </w:rPr>
        <w:t xml:space="preserve">’s </w:t>
      </w:r>
      <w:r>
        <w:rPr>
          <w:color w:val="231F20"/>
        </w:rPr>
        <w:t xml:space="preserve">politics, but such subtleties were lost on the state, and police seized upon the opportunity    to clamp down on the undogmatic left and sympathetic academics. </w:t>
      </w:r>
      <w:r>
        <w:rPr>
          <w:i/>
          <w:color w:val="231F20"/>
        </w:rPr>
        <w:t xml:space="preserve">Buback: In </w:t>
      </w:r>
      <w:r>
        <w:rPr>
          <w:i/>
          <w:color w:val="231F20"/>
          <w:spacing w:val="1"/>
        </w:rPr>
        <w:t xml:space="preserve">Memoriam </w:t>
      </w:r>
      <w:r>
        <w:rPr>
          <w:color w:val="231F20"/>
        </w:rPr>
        <w:t xml:space="preserve">was banned under </w:t>
      </w:r>
      <w:r>
        <w:rPr>
          <w:color w:val="231F20"/>
          <w:spacing w:val="-4"/>
          <w:sz w:val="18"/>
        </w:rPr>
        <w:t>§</w:t>
      </w:r>
      <w:r>
        <w:rPr>
          <w:color w:val="231F20"/>
          <w:spacing w:val="-4"/>
        </w:rPr>
        <w:t xml:space="preserve">88a </w:t>
      </w:r>
      <w:r>
        <w:rPr>
          <w:color w:val="231F20"/>
        </w:rPr>
        <w:t xml:space="preserve">and raids were carried out against student and alternative publishers suspected of knowing the </w:t>
      </w:r>
      <w:r>
        <w:rPr>
          <w:color w:val="231F20"/>
          <w:spacing w:val="-3"/>
        </w:rPr>
        <w:t>author’s</w:t>
      </w:r>
      <w:r>
        <w:rPr>
          <w:color w:val="231F20"/>
          <w:spacing w:val="10"/>
        </w:rPr>
        <w:t xml:space="preserve"> </w:t>
      </w:r>
      <w:r>
        <w:rPr>
          <w:color w:val="231F20"/>
        </w:rPr>
        <w:t>identity.</w:t>
      </w:r>
      <w:r>
        <w:rPr>
          <w:color w:val="231F20"/>
          <w:position w:val="7"/>
          <w:sz w:val="11"/>
        </w:rPr>
        <w:t>4</w:t>
      </w:r>
    </w:p>
    <w:p w14:paraId="1694EDDE" w14:textId="77777777" w:rsidR="002653E8" w:rsidRDefault="003115E3">
      <w:pPr>
        <w:pStyle w:val="a3"/>
        <w:spacing w:line="264" w:lineRule="auto"/>
        <w:ind w:left="1327" w:right="1146" w:firstLine="210"/>
        <w:jc w:val="both"/>
        <w:rPr>
          <w:sz w:val="11"/>
        </w:rPr>
      </w:pPr>
      <w:r>
        <w:rPr>
          <w:color w:val="231F20"/>
        </w:rPr>
        <w:t xml:space="preserve">The </w:t>
      </w:r>
      <w:r>
        <w:rPr>
          <w:color w:val="231F20"/>
          <w:spacing w:val="-3"/>
        </w:rPr>
        <w:t xml:space="preserve">women’s </w:t>
      </w:r>
      <w:r>
        <w:rPr>
          <w:color w:val="231F20"/>
        </w:rPr>
        <w:t xml:space="preserve">movement, which had no organic ties  at  all  to  the  </w:t>
      </w:r>
      <w:r w:rsidR="00C507A5">
        <w:rPr>
          <w:color w:val="231F20"/>
        </w:rPr>
        <w:t>red army faction</w:t>
      </w:r>
      <w:r>
        <w:rPr>
          <w:color w:val="231F20"/>
        </w:rPr>
        <w:t xml:space="preserve">, similarly found itself the target of the same  antiterrorist  hype. The </w:t>
      </w:r>
      <w:r>
        <w:rPr>
          <w:color w:val="231F20"/>
          <w:spacing w:val="-4"/>
        </w:rPr>
        <w:t xml:space="preserve">Women’s </w:t>
      </w:r>
      <w:r>
        <w:rPr>
          <w:color w:val="231F20"/>
        </w:rPr>
        <w:t xml:space="preserve">Center in Frankfurt was raided by police, and members were charged under </w:t>
      </w:r>
      <w:r>
        <w:rPr>
          <w:color w:val="231F20"/>
          <w:sz w:val="18"/>
        </w:rPr>
        <w:t>§</w:t>
      </w:r>
      <w:r>
        <w:rPr>
          <w:color w:val="231F20"/>
        </w:rPr>
        <w:t xml:space="preserve">129a—the antiterrorist subsection of </w:t>
      </w:r>
      <w:r>
        <w:rPr>
          <w:color w:val="231F20"/>
          <w:sz w:val="18"/>
        </w:rPr>
        <w:t>§</w:t>
      </w:r>
      <w:r>
        <w:rPr>
          <w:color w:val="231F20"/>
        </w:rPr>
        <w:t>129—for having provided women with the names of doctors willing to perform abortions.</w:t>
      </w:r>
      <w:r>
        <w:rPr>
          <w:color w:val="231F20"/>
          <w:position w:val="7"/>
          <w:sz w:val="11"/>
        </w:rPr>
        <w:t>5</w:t>
      </w:r>
    </w:p>
    <w:p w14:paraId="6A7628CD" w14:textId="77777777" w:rsidR="002653E8" w:rsidRDefault="003115E3">
      <w:pPr>
        <w:pStyle w:val="a3"/>
        <w:spacing w:line="264" w:lineRule="auto"/>
        <w:ind w:left="1327" w:right="1145" w:firstLine="210"/>
        <w:jc w:val="both"/>
      </w:pPr>
      <w:r>
        <w:rPr>
          <w:color w:val="231F20"/>
          <w:w w:val="105"/>
        </w:rPr>
        <w:t>Male</w:t>
      </w:r>
      <w:r>
        <w:rPr>
          <w:color w:val="231F20"/>
          <w:spacing w:val="-20"/>
          <w:w w:val="105"/>
        </w:rPr>
        <w:t xml:space="preserve"> </w:t>
      </w:r>
      <w:r>
        <w:rPr>
          <w:color w:val="231F20"/>
          <w:w w:val="105"/>
        </w:rPr>
        <w:t>politicians</w:t>
      </w:r>
      <w:r>
        <w:rPr>
          <w:color w:val="231F20"/>
          <w:spacing w:val="-20"/>
          <w:w w:val="105"/>
        </w:rPr>
        <w:t xml:space="preserve"> </w:t>
      </w:r>
      <w:r>
        <w:rPr>
          <w:color w:val="231F20"/>
          <w:w w:val="105"/>
        </w:rPr>
        <w:t>and</w:t>
      </w:r>
      <w:r>
        <w:rPr>
          <w:color w:val="231F20"/>
          <w:spacing w:val="-20"/>
          <w:w w:val="105"/>
        </w:rPr>
        <w:t xml:space="preserve"> </w:t>
      </w:r>
      <w:r>
        <w:rPr>
          <w:color w:val="231F20"/>
          <w:w w:val="105"/>
        </w:rPr>
        <w:t>clergymen</w:t>
      </w:r>
      <w:r>
        <w:rPr>
          <w:color w:val="231F20"/>
          <w:spacing w:val="-20"/>
          <w:w w:val="105"/>
        </w:rPr>
        <w:t xml:space="preserve"> </w:t>
      </w:r>
      <w:r>
        <w:rPr>
          <w:color w:val="231F20"/>
          <w:w w:val="105"/>
        </w:rPr>
        <w:t>lost</w:t>
      </w:r>
      <w:r>
        <w:rPr>
          <w:color w:val="231F20"/>
          <w:spacing w:val="-20"/>
          <w:w w:val="105"/>
        </w:rPr>
        <w:t xml:space="preserve"> </w:t>
      </w:r>
      <w:r>
        <w:rPr>
          <w:color w:val="231F20"/>
          <w:w w:val="105"/>
        </w:rPr>
        <w:t>no</w:t>
      </w:r>
      <w:r>
        <w:rPr>
          <w:color w:val="231F20"/>
          <w:spacing w:val="-20"/>
          <w:w w:val="105"/>
        </w:rPr>
        <w:t xml:space="preserve"> </w:t>
      </w:r>
      <w:r>
        <w:rPr>
          <w:color w:val="231F20"/>
          <w:w w:val="105"/>
        </w:rPr>
        <w:t>time</w:t>
      </w:r>
      <w:r>
        <w:rPr>
          <w:color w:val="231F20"/>
          <w:spacing w:val="-20"/>
          <w:w w:val="105"/>
        </w:rPr>
        <w:t xml:space="preserve"> </w:t>
      </w:r>
      <w:r>
        <w:rPr>
          <w:color w:val="231F20"/>
          <w:w w:val="105"/>
        </w:rPr>
        <w:t>in</w:t>
      </w:r>
      <w:r>
        <w:rPr>
          <w:color w:val="231F20"/>
          <w:spacing w:val="-20"/>
          <w:w w:val="105"/>
        </w:rPr>
        <w:t xml:space="preserve"> </w:t>
      </w:r>
      <w:r>
        <w:rPr>
          <w:color w:val="231F20"/>
          <w:w w:val="105"/>
        </w:rPr>
        <w:t>sharing</w:t>
      </w:r>
      <w:r>
        <w:rPr>
          <w:color w:val="231F20"/>
          <w:spacing w:val="-20"/>
          <w:w w:val="105"/>
        </w:rPr>
        <w:t xml:space="preserve"> </w:t>
      </w:r>
      <w:r>
        <w:rPr>
          <w:color w:val="231F20"/>
          <w:w w:val="105"/>
        </w:rPr>
        <w:t>their</w:t>
      </w:r>
      <w:r>
        <w:rPr>
          <w:color w:val="231F20"/>
          <w:spacing w:val="-20"/>
          <w:w w:val="105"/>
        </w:rPr>
        <w:t xml:space="preserve"> </w:t>
      </w:r>
      <w:r>
        <w:rPr>
          <w:color w:val="231F20"/>
          <w:w w:val="105"/>
        </w:rPr>
        <w:t>opinions of</w:t>
      </w:r>
      <w:r>
        <w:rPr>
          <w:color w:val="231F20"/>
          <w:spacing w:val="-4"/>
          <w:w w:val="105"/>
        </w:rPr>
        <w:t xml:space="preserve"> </w:t>
      </w:r>
      <w:r>
        <w:rPr>
          <w:color w:val="231F20"/>
          <w:w w:val="105"/>
        </w:rPr>
        <w:t>the</w:t>
      </w:r>
      <w:r>
        <w:rPr>
          <w:color w:val="231F20"/>
          <w:spacing w:val="-4"/>
          <w:w w:val="105"/>
        </w:rPr>
        <w:t xml:space="preserve"> </w:t>
      </w:r>
      <w:r w:rsidR="00C507A5">
        <w:rPr>
          <w:color w:val="231F20"/>
          <w:spacing w:val="1"/>
          <w:w w:val="105"/>
        </w:rPr>
        <w:t>red army faction</w:t>
      </w:r>
      <w:r>
        <w:rPr>
          <w:color w:val="231F20"/>
          <w:spacing w:val="1"/>
          <w:w w:val="105"/>
        </w:rPr>
        <w:t>’s</w:t>
      </w:r>
      <w:r>
        <w:rPr>
          <w:color w:val="231F20"/>
          <w:spacing w:val="-4"/>
          <w:w w:val="105"/>
        </w:rPr>
        <w:t xml:space="preserve"> </w:t>
      </w:r>
      <w:r>
        <w:rPr>
          <w:color w:val="231F20"/>
          <w:w w:val="105"/>
        </w:rPr>
        <w:t>female</w:t>
      </w:r>
      <w:r>
        <w:rPr>
          <w:color w:val="231F20"/>
          <w:spacing w:val="-4"/>
          <w:w w:val="105"/>
        </w:rPr>
        <w:t xml:space="preserve"> </w:t>
      </w:r>
      <w:r>
        <w:rPr>
          <w:color w:val="231F20"/>
          <w:w w:val="105"/>
        </w:rPr>
        <w:t>combatants.</w:t>
      </w:r>
      <w:r>
        <w:rPr>
          <w:color w:val="231F20"/>
          <w:spacing w:val="-4"/>
          <w:w w:val="105"/>
        </w:rPr>
        <w:t xml:space="preserve"> </w:t>
      </w:r>
      <w:r>
        <w:rPr>
          <w:color w:val="231F20"/>
          <w:w w:val="105"/>
        </w:rPr>
        <w:t>As</w:t>
      </w:r>
      <w:r>
        <w:rPr>
          <w:color w:val="231F20"/>
          <w:spacing w:val="-4"/>
          <w:w w:val="105"/>
        </w:rPr>
        <w:t xml:space="preserve"> </w:t>
      </w:r>
      <w:r>
        <w:rPr>
          <w:color w:val="231F20"/>
          <w:w w:val="105"/>
        </w:rPr>
        <w:t>an</w:t>
      </w:r>
      <w:r>
        <w:rPr>
          <w:color w:val="231F20"/>
          <w:spacing w:val="-4"/>
          <w:w w:val="105"/>
        </w:rPr>
        <w:t xml:space="preserve"> </w:t>
      </w:r>
      <w:r>
        <w:rPr>
          <w:color w:val="231F20"/>
          <w:w w:val="105"/>
        </w:rPr>
        <w:t>article</w:t>
      </w:r>
      <w:r>
        <w:rPr>
          <w:color w:val="231F20"/>
          <w:spacing w:val="-4"/>
          <w:w w:val="105"/>
        </w:rPr>
        <w:t xml:space="preserve"> </w:t>
      </w:r>
      <w:r>
        <w:rPr>
          <w:color w:val="231F20"/>
          <w:w w:val="105"/>
        </w:rPr>
        <w:t>in</w:t>
      </w:r>
      <w:r>
        <w:rPr>
          <w:color w:val="231F20"/>
          <w:spacing w:val="-4"/>
          <w:w w:val="105"/>
        </w:rPr>
        <w:t xml:space="preserve"> </w:t>
      </w:r>
      <w:r>
        <w:rPr>
          <w:i/>
          <w:color w:val="231F20"/>
          <w:w w:val="105"/>
        </w:rPr>
        <w:t>New</w:t>
      </w:r>
      <w:r>
        <w:rPr>
          <w:i/>
          <w:color w:val="231F20"/>
          <w:spacing w:val="-4"/>
          <w:w w:val="105"/>
        </w:rPr>
        <w:t xml:space="preserve"> </w:t>
      </w:r>
      <w:r>
        <w:rPr>
          <w:i/>
          <w:color w:val="231F20"/>
          <w:spacing w:val="1"/>
          <w:w w:val="105"/>
        </w:rPr>
        <w:t>German</w:t>
      </w:r>
      <w:r>
        <w:rPr>
          <w:i/>
          <w:color w:val="231F20"/>
          <w:spacing w:val="-4"/>
          <w:w w:val="105"/>
        </w:rPr>
        <w:t xml:space="preserve"> </w:t>
      </w:r>
      <w:r>
        <w:rPr>
          <w:i/>
          <w:color w:val="231F20"/>
          <w:w w:val="105"/>
        </w:rPr>
        <w:t xml:space="preserve">Critique </w:t>
      </w:r>
      <w:r>
        <w:rPr>
          <w:color w:val="231F20"/>
          <w:w w:val="105"/>
        </w:rPr>
        <w:t>explained:</w:t>
      </w:r>
    </w:p>
    <w:p w14:paraId="5208216E" w14:textId="77777777" w:rsidR="002653E8" w:rsidRDefault="003115E3">
      <w:pPr>
        <w:spacing w:before="113" w:line="276" w:lineRule="auto"/>
        <w:ind w:left="1747" w:right="1558"/>
        <w:jc w:val="both"/>
        <w:rPr>
          <w:i/>
          <w:sz w:val="11"/>
        </w:rPr>
      </w:pPr>
      <w:r>
        <w:rPr>
          <w:i/>
          <w:color w:val="231F20"/>
          <w:w w:val="105"/>
          <w:sz w:val="19"/>
        </w:rPr>
        <w:t>The</w:t>
      </w:r>
      <w:r>
        <w:rPr>
          <w:i/>
          <w:color w:val="231F20"/>
          <w:spacing w:val="-18"/>
          <w:w w:val="105"/>
          <w:sz w:val="19"/>
        </w:rPr>
        <w:t xml:space="preserve"> </w:t>
      </w:r>
      <w:r>
        <w:rPr>
          <w:i/>
          <w:color w:val="231F20"/>
          <w:w w:val="105"/>
          <w:sz w:val="19"/>
        </w:rPr>
        <w:t>fact</w:t>
      </w:r>
      <w:r>
        <w:rPr>
          <w:i/>
          <w:color w:val="231F20"/>
          <w:spacing w:val="-18"/>
          <w:w w:val="105"/>
          <w:sz w:val="19"/>
        </w:rPr>
        <w:t xml:space="preserve"> </w:t>
      </w:r>
      <w:r>
        <w:rPr>
          <w:i/>
          <w:color w:val="231F20"/>
          <w:w w:val="105"/>
          <w:sz w:val="19"/>
        </w:rPr>
        <w:t>that</w:t>
      </w:r>
      <w:r>
        <w:rPr>
          <w:i/>
          <w:color w:val="231F20"/>
          <w:spacing w:val="-17"/>
          <w:w w:val="105"/>
          <w:sz w:val="19"/>
        </w:rPr>
        <w:t xml:space="preserve"> </w:t>
      </w:r>
      <w:r>
        <w:rPr>
          <w:rFonts w:ascii="Bookman Old Style" w:hAnsi="Bookman Old Style"/>
          <w:i/>
          <w:color w:val="231F20"/>
          <w:w w:val="105"/>
          <w:sz w:val="19"/>
        </w:rPr>
        <w:t>60</w:t>
      </w:r>
      <w:r>
        <w:rPr>
          <w:i/>
          <w:color w:val="231F20"/>
          <w:w w:val="105"/>
          <w:sz w:val="19"/>
        </w:rPr>
        <w:t>%</w:t>
      </w:r>
      <w:r>
        <w:rPr>
          <w:i/>
          <w:color w:val="231F20"/>
          <w:spacing w:val="-18"/>
          <w:w w:val="105"/>
          <w:sz w:val="19"/>
        </w:rPr>
        <w:t xml:space="preserve"> </w:t>
      </w:r>
      <w:r>
        <w:rPr>
          <w:i/>
          <w:color w:val="231F20"/>
          <w:w w:val="105"/>
          <w:sz w:val="19"/>
        </w:rPr>
        <w:t>of</w:t>
      </w:r>
      <w:r>
        <w:rPr>
          <w:i/>
          <w:color w:val="231F20"/>
          <w:spacing w:val="-18"/>
          <w:w w:val="105"/>
          <w:sz w:val="19"/>
        </w:rPr>
        <w:t xml:space="preserve"> </w:t>
      </w:r>
      <w:r>
        <w:rPr>
          <w:i/>
          <w:color w:val="231F20"/>
          <w:w w:val="105"/>
          <w:sz w:val="19"/>
        </w:rPr>
        <w:t>the</w:t>
      </w:r>
      <w:r>
        <w:rPr>
          <w:i/>
          <w:color w:val="231F20"/>
          <w:spacing w:val="-18"/>
          <w:w w:val="105"/>
          <w:sz w:val="19"/>
        </w:rPr>
        <w:t xml:space="preserve"> </w:t>
      </w:r>
      <w:r>
        <w:rPr>
          <w:i/>
          <w:color w:val="231F20"/>
          <w:w w:val="105"/>
          <w:sz w:val="19"/>
        </w:rPr>
        <w:t>terrorists</w:t>
      </w:r>
      <w:r>
        <w:rPr>
          <w:i/>
          <w:color w:val="231F20"/>
          <w:spacing w:val="-18"/>
          <w:w w:val="105"/>
          <w:sz w:val="19"/>
        </w:rPr>
        <w:t xml:space="preserve"> </w:t>
      </w:r>
      <w:r>
        <w:rPr>
          <w:i/>
          <w:color w:val="231F20"/>
          <w:w w:val="105"/>
          <w:sz w:val="19"/>
        </w:rPr>
        <w:t>sought</w:t>
      </w:r>
      <w:r>
        <w:rPr>
          <w:i/>
          <w:color w:val="231F20"/>
          <w:spacing w:val="-18"/>
          <w:w w:val="105"/>
          <w:sz w:val="19"/>
        </w:rPr>
        <w:t xml:space="preserve"> </w:t>
      </w:r>
      <w:r>
        <w:rPr>
          <w:i/>
          <w:color w:val="231F20"/>
          <w:w w:val="105"/>
          <w:sz w:val="19"/>
        </w:rPr>
        <w:t>by</w:t>
      </w:r>
      <w:r>
        <w:rPr>
          <w:i/>
          <w:color w:val="231F20"/>
          <w:spacing w:val="-18"/>
          <w:w w:val="105"/>
          <w:sz w:val="19"/>
        </w:rPr>
        <w:t xml:space="preserve"> </w:t>
      </w:r>
      <w:r>
        <w:rPr>
          <w:i/>
          <w:color w:val="231F20"/>
          <w:w w:val="105"/>
          <w:sz w:val="19"/>
        </w:rPr>
        <w:t>the</w:t>
      </w:r>
      <w:r>
        <w:rPr>
          <w:i/>
          <w:color w:val="231F20"/>
          <w:spacing w:val="-18"/>
          <w:w w:val="105"/>
          <w:sz w:val="19"/>
        </w:rPr>
        <w:t xml:space="preserve"> </w:t>
      </w:r>
      <w:r>
        <w:rPr>
          <w:i/>
          <w:color w:val="231F20"/>
          <w:w w:val="105"/>
          <w:sz w:val="19"/>
        </w:rPr>
        <w:t>police</w:t>
      </w:r>
      <w:r>
        <w:rPr>
          <w:i/>
          <w:color w:val="231F20"/>
          <w:spacing w:val="-18"/>
          <w:w w:val="105"/>
          <w:sz w:val="19"/>
        </w:rPr>
        <w:t xml:space="preserve"> </w:t>
      </w:r>
      <w:r>
        <w:rPr>
          <w:i/>
          <w:color w:val="231F20"/>
          <w:w w:val="105"/>
          <w:sz w:val="19"/>
        </w:rPr>
        <w:t>are</w:t>
      </w:r>
      <w:r>
        <w:rPr>
          <w:i/>
          <w:color w:val="231F20"/>
          <w:spacing w:val="-18"/>
          <w:w w:val="105"/>
          <w:sz w:val="19"/>
        </w:rPr>
        <w:t xml:space="preserve"> </w:t>
      </w:r>
      <w:r>
        <w:rPr>
          <w:i/>
          <w:color w:val="231F20"/>
          <w:w w:val="105"/>
          <w:sz w:val="19"/>
        </w:rPr>
        <w:t>women has</w:t>
      </w:r>
      <w:r>
        <w:rPr>
          <w:i/>
          <w:color w:val="231F20"/>
          <w:spacing w:val="-26"/>
          <w:w w:val="105"/>
          <w:sz w:val="19"/>
        </w:rPr>
        <w:t xml:space="preserve"> </w:t>
      </w:r>
      <w:r>
        <w:rPr>
          <w:i/>
          <w:color w:val="231F20"/>
          <w:w w:val="105"/>
          <w:sz w:val="19"/>
        </w:rPr>
        <w:t>not</w:t>
      </w:r>
      <w:r>
        <w:rPr>
          <w:i/>
          <w:color w:val="231F20"/>
          <w:spacing w:val="-26"/>
          <w:w w:val="105"/>
          <w:sz w:val="19"/>
        </w:rPr>
        <w:t xml:space="preserve"> </w:t>
      </w:r>
      <w:r>
        <w:rPr>
          <w:i/>
          <w:color w:val="231F20"/>
          <w:w w:val="105"/>
          <w:sz w:val="19"/>
        </w:rPr>
        <w:t>gone</w:t>
      </w:r>
      <w:r>
        <w:rPr>
          <w:i/>
          <w:color w:val="231F20"/>
          <w:spacing w:val="-26"/>
          <w:w w:val="105"/>
          <w:sz w:val="19"/>
        </w:rPr>
        <w:t xml:space="preserve"> </w:t>
      </w:r>
      <w:r>
        <w:rPr>
          <w:i/>
          <w:color w:val="231F20"/>
          <w:w w:val="105"/>
          <w:sz w:val="19"/>
        </w:rPr>
        <w:t>unnoticed</w:t>
      </w:r>
      <w:r>
        <w:rPr>
          <w:i/>
          <w:color w:val="231F20"/>
          <w:spacing w:val="-26"/>
          <w:w w:val="105"/>
          <w:sz w:val="19"/>
        </w:rPr>
        <w:t xml:space="preserve"> </w:t>
      </w:r>
      <w:r>
        <w:rPr>
          <w:i/>
          <w:color w:val="231F20"/>
          <w:spacing w:val="-3"/>
          <w:w w:val="105"/>
          <w:sz w:val="19"/>
        </w:rPr>
        <w:t>by</w:t>
      </w:r>
      <w:r>
        <w:rPr>
          <w:i/>
          <w:color w:val="231F20"/>
          <w:spacing w:val="-26"/>
          <w:w w:val="105"/>
          <w:sz w:val="19"/>
        </w:rPr>
        <w:t xml:space="preserve"> </w:t>
      </w:r>
      <w:r>
        <w:rPr>
          <w:i/>
          <w:color w:val="231F20"/>
          <w:w w:val="105"/>
          <w:sz w:val="19"/>
        </w:rPr>
        <w:t>those</w:t>
      </w:r>
      <w:r>
        <w:rPr>
          <w:i/>
          <w:color w:val="231F20"/>
          <w:spacing w:val="-26"/>
          <w:w w:val="105"/>
          <w:sz w:val="19"/>
        </w:rPr>
        <w:t xml:space="preserve"> </w:t>
      </w:r>
      <w:r>
        <w:rPr>
          <w:i/>
          <w:color w:val="231F20"/>
          <w:w w:val="105"/>
          <w:sz w:val="19"/>
        </w:rPr>
        <w:t>conducting</w:t>
      </w:r>
      <w:r>
        <w:rPr>
          <w:i/>
          <w:color w:val="231F20"/>
          <w:spacing w:val="-26"/>
          <w:w w:val="105"/>
          <w:sz w:val="19"/>
        </w:rPr>
        <w:t xml:space="preserve"> </w:t>
      </w:r>
      <w:r>
        <w:rPr>
          <w:i/>
          <w:color w:val="231F20"/>
          <w:w w:val="105"/>
          <w:sz w:val="19"/>
        </w:rPr>
        <w:t>what</w:t>
      </w:r>
      <w:r>
        <w:rPr>
          <w:i/>
          <w:color w:val="231F20"/>
          <w:spacing w:val="-26"/>
          <w:w w:val="105"/>
          <w:sz w:val="19"/>
        </w:rPr>
        <w:t xml:space="preserve"> </w:t>
      </w:r>
      <w:r>
        <w:rPr>
          <w:i/>
          <w:color w:val="231F20"/>
          <w:w w:val="105"/>
          <w:sz w:val="19"/>
        </w:rPr>
        <w:t>has</w:t>
      </w:r>
      <w:r>
        <w:rPr>
          <w:i/>
          <w:color w:val="231F20"/>
          <w:spacing w:val="-26"/>
          <w:w w:val="105"/>
          <w:sz w:val="19"/>
        </w:rPr>
        <w:t xml:space="preserve"> </w:t>
      </w:r>
      <w:r>
        <w:rPr>
          <w:i/>
          <w:color w:val="231F20"/>
          <w:w w:val="105"/>
          <w:sz w:val="19"/>
        </w:rPr>
        <w:t>been</w:t>
      </w:r>
      <w:r>
        <w:rPr>
          <w:i/>
          <w:color w:val="231F20"/>
          <w:spacing w:val="-26"/>
          <w:w w:val="105"/>
          <w:sz w:val="19"/>
        </w:rPr>
        <w:t xml:space="preserve"> </w:t>
      </w:r>
      <w:r>
        <w:rPr>
          <w:i/>
          <w:color w:val="231F20"/>
          <w:w w:val="105"/>
          <w:sz w:val="19"/>
        </w:rPr>
        <w:t>referred to in the European press as the “witch-hunt” against dissenters. Blame</w:t>
      </w:r>
      <w:r>
        <w:rPr>
          <w:i/>
          <w:color w:val="231F20"/>
          <w:spacing w:val="-8"/>
          <w:w w:val="105"/>
          <w:sz w:val="19"/>
        </w:rPr>
        <w:t xml:space="preserve"> </w:t>
      </w:r>
      <w:r>
        <w:rPr>
          <w:i/>
          <w:color w:val="231F20"/>
          <w:w w:val="105"/>
          <w:sz w:val="19"/>
        </w:rPr>
        <w:t>for</w:t>
      </w:r>
      <w:r>
        <w:rPr>
          <w:i/>
          <w:color w:val="231F20"/>
          <w:spacing w:val="-8"/>
          <w:w w:val="105"/>
          <w:sz w:val="19"/>
        </w:rPr>
        <w:t xml:space="preserve"> </w:t>
      </w:r>
      <w:r>
        <w:rPr>
          <w:i/>
          <w:color w:val="231F20"/>
          <w:w w:val="105"/>
          <w:sz w:val="19"/>
        </w:rPr>
        <w:t>the</w:t>
      </w:r>
      <w:r>
        <w:rPr>
          <w:i/>
          <w:color w:val="231F20"/>
          <w:spacing w:val="-8"/>
          <w:w w:val="105"/>
          <w:sz w:val="19"/>
        </w:rPr>
        <w:t xml:space="preserve"> </w:t>
      </w:r>
      <w:r>
        <w:rPr>
          <w:i/>
          <w:color w:val="231F20"/>
          <w:w w:val="105"/>
          <w:sz w:val="19"/>
        </w:rPr>
        <w:t>predominance</w:t>
      </w:r>
      <w:r>
        <w:rPr>
          <w:i/>
          <w:color w:val="231F20"/>
          <w:spacing w:val="-8"/>
          <w:w w:val="105"/>
          <w:sz w:val="19"/>
        </w:rPr>
        <w:t xml:space="preserve"> </w:t>
      </w:r>
      <w:r>
        <w:rPr>
          <w:i/>
          <w:color w:val="231F20"/>
          <w:w w:val="105"/>
          <w:sz w:val="19"/>
        </w:rPr>
        <w:t>of</w:t>
      </w:r>
      <w:r>
        <w:rPr>
          <w:i/>
          <w:color w:val="231F20"/>
          <w:spacing w:val="-8"/>
          <w:w w:val="105"/>
          <w:sz w:val="19"/>
        </w:rPr>
        <w:t xml:space="preserve"> </w:t>
      </w:r>
      <w:r>
        <w:rPr>
          <w:i/>
          <w:color w:val="231F20"/>
          <w:w w:val="105"/>
          <w:sz w:val="19"/>
        </w:rPr>
        <w:t>women</w:t>
      </w:r>
      <w:r>
        <w:rPr>
          <w:i/>
          <w:color w:val="231F20"/>
          <w:spacing w:val="-8"/>
          <w:w w:val="105"/>
          <w:sz w:val="19"/>
        </w:rPr>
        <w:t xml:space="preserve"> </w:t>
      </w:r>
      <w:r>
        <w:rPr>
          <w:i/>
          <w:color w:val="231F20"/>
          <w:w w:val="105"/>
          <w:sz w:val="19"/>
        </w:rPr>
        <w:t>terrorists</w:t>
      </w:r>
      <w:r>
        <w:rPr>
          <w:i/>
          <w:color w:val="231F20"/>
          <w:spacing w:val="-8"/>
          <w:w w:val="105"/>
          <w:sz w:val="19"/>
        </w:rPr>
        <w:t xml:space="preserve"> </w:t>
      </w:r>
      <w:r>
        <w:rPr>
          <w:i/>
          <w:color w:val="231F20"/>
          <w:w w:val="105"/>
          <w:sz w:val="19"/>
        </w:rPr>
        <w:t>has</w:t>
      </w:r>
      <w:r>
        <w:rPr>
          <w:i/>
          <w:color w:val="231F20"/>
          <w:spacing w:val="-8"/>
          <w:w w:val="105"/>
          <w:sz w:val="19"/>
        </w:rPr>
        <w:t xml:space="preserve"> </w:t>
      </w:r>
      <w:r>
        <w:rPr>
          <w:i/>
          <w:color w:val="231F20"/>
          <w:w w:val="105"/>
          <w:sz w:val="19"/>
        </w:rPr>
        <w:t>been</w:t>
      </w:r>
      <w:r>
        <w:rPr>
          <w:i/>
          <w:color w:val="231F20"/>
          <w:spacing w:val="-8"/>
          <w:w w:val="105"/>
          <w:sz w:val="19"/>
        </w:rPr>
        <w:t xml:space="preserve"> </w:t>
      </w:r>
      <w:r>
        <w:rPr>
          <w:i/>
          <w:color w:val="231F20"/>
          <w:w w:val="105"/>
          <w:sz w:val="19"/>
        </w:rPr>
        <w:t xml:space="preserve">placed at the feet of the nascent German </w:t>
      </w:r>
      <w:r>
        <w:rPr>
          <w:i/>
          <w:color w:val="231F20"/>
          <w:spacing w:val="-3"/>
          <w:w w:val="105"/>
          <w:sz w:val="19"/>
        </w:rPr>
        <w:t xml:space="preserve">women’s </w:t>
      </w:r>
      <w:r>
        <w:rPr>
          <w:i/>
          <w:color w:val="231F20"/>
          <w:w w:val="105"/>
          <w:sz w:val="19"/>
        </w:rPr>
        <w:t>movement. Former Director of the Office for the Protection of the Constitution</w:t>
      </w:r>
      <w:r>
        <w:rPr>
          <w:i/>
          <w:color w:val="231F20"/>
          <w:w w:val="105"/>
          <w:position w:val="6"/>
          <w:sz w:val="11"/>
        </w:rPr>
        <w:t xml:space="preserve">6 </w:t>
      </w:r>
      <w:r>
        <w:rPr>
          <w:i/>
          <w:color w:val="231F20"/>
          <w:w w:val="105"/>
          <w:sz w:val="19"/>
        </w:rPr>
        <w:t>Günther</w:t>
      </w:r>
      <w:r>
        <w:rPr>
          <w:i/>
          <w:color w:val="231F20"/>
          <w:spacing w:val="-22"/>
          <w:w w:val="105"/>
          <w:sz w:val="19"/>
        </w:rPr>
        <w:t xml:space="preserve"> </w:t>
      </w:r>
      <w:r>
        <w:rPr>
          <w:i/>
          <w:color w:val="231F20"/>
          <w:w w:val="105"/>
          <w:sz w:val="19"/>
        </w:rPr>
        <w:t>Nollau</w:t>
      </w:r>
      <w:r>
        <w:rPr>
          <w:i/>
          <w:color w:val="231F20"/>
          <w:spacing w:val="-22"/>
          <w:w w:val="105"/>
          <w:sz w:val="19"/>
        </w:rPr>
        <w:t xml:space="preserve"> </w:t>
      </w:r>
      <w:r>
        <w:rPr>
          <w:i/>
          <w:color w:val="231F20"/>
          <w:w w:val="105"/>
          <w:sz w:val="19"/>
        </w:rPr>
        <w:t>sees</w:t>
      </w:r>
      <w:r>
        <w:rPr>
          <w:i/>
          <w:color w:val="231F20"/>
          <w:spacing w:val="-22"/>
          <w:w w:val="105"/>
          <w:sz w:val="19"/>
        </w:rPr>
        <w:t xml:space="preserve"> </w:t>
      </w:r>
      <w:r>
        <w:rPr>
          <w:i/>
          <w:color w:val="231F20"/>
          <w:w w:val="105"/>
          <w:sz w:val="19"/>
        </w:rPr>
        <w:t>in</w:t>
      </w:r>
      <w:r>
        <w:rPr>
          <w:i/>
          <w:color w:val="231F20"/>
          <w:spacing w:val="-22"/>
          <w:w w:val="105"/>
          <w:sz w:val="19"/>
        </w:rPr>
        <w:t xml:space="preserve"> </w:t>
      </w:r>
      <w:r>
        <w:rPr>
          <w:i/>
          <w:color w:val="231F20"/>
          <w:w w:val="105"/>
          <w:sz w:val="19"/>
        </w:rPr>
        <w:t>female</w:t>
      </w:r>
      <w:r>
        <w:rPr>
          <w:i/>
          <w:color w:val="231F20"/>
          <w:spacing w:val="-22"/>
          <w:w w:val="105"/>
          <w:sz w:val="19"/>
        </w:rPr>
        <w:t xml:space="preserve"> </w:t>
      </w:r>
      <w:r>
        <w:rPr>
          <w:i/>
          <w:color w:val="231F20"/>
          <w:w w:val="105"/>
          <w:sz w:val="19"/>
        </w:rPr>
        <w:t>terrorists</w:t>
      </w:r>
      <w:r>
        <w:rPr>
          <w:i/>
          <w:color w:val="231F20"/>
          <w:spacing w:val="-27"/>
          <w:w w:val="105"/>
          <w:sz w:val="19"/>
        </w:rPr>
        <w:t xml:space="preserve"> </w:t>
      </w:r>
      <w:r>
        <w:rPr>
          <w:i/>
          <w:color w:val="231F20"/>
          <w:w w:val="105"/>
          <w:sz w:val="19"/>
        </w:rPr>
        <w:t>“an</w:t>
      </w:r>
      <w:r>
        <w:rPr>
          <w:i/>
          <w:color w:val="231F20"/>
          <w:spacing w:val="-22"/>
          <w:w w:val="105"/>
          <w:sz w:val="19"/>
        </w:rPr>
        <w:t xml:space="preserve"> </w:t>
      </w:r>
      <w:r>
        <w:rPr>
          <w:i/>
          <w:color w:val="231F20"/>
          <w:w w:val="105"/>
          <w:sz w:val="19"/>
        </w:rPr>
        <w:t>excess</w:t>
      </w:r>
      <w:r>
        <w:rPr>
          <w:i/>
          <w:color w:val="231F20"/>
          <w:spacing w:val="-22"/>
          <w:w w:val="105"/>
          <w:sz w:val="19"/>
        </w:rPr>
        <w:t xml:space="preserve"> </w:t>
      </w:r>
      <w:r>
        <w:rPr>
          <w:i/>
          <w:color w:val="231F20"/>
          <w:w w:val="105"/>
          <w:sz w:val="19"/>
        </w:rPr>
        <w:t>in</w:t>
      </w:r>
      <w:r>
        <w:rPr>
          <w:i/>
          <w:color w:val="231F20"/>
          <w:spacing w:val="-22"/>
          <w:w w:val="105"/>
          <w:sz w:val="19"/>
        </w:rPr>
        <w:t xml:space="preserve"> </w:t>
      </w:r>
      <w:r>
        <w:rPr>
          <w:i/>
          <w:color w:val="231F20"/>
          <w:w w:val="105"/>
          <w:sz w:val="19"/>
        </w:rPr>
        <w:t>the</w:t>
      </w:r>
      <w:r>
        <w:rPr>
          <w:i/>
          <w:color w:val="231F20"/>
          <w:spacing w:val="-22"/>
          <w:w w:val="105"/>
          <w:sz w:val="19"/>
        </w:rPr>
        <w:t xml:space="preserve"> </w:t>
      </w:r>
      <w:r>
        <w:rPr>
          <w:i/>
          <w:color w:val="231F20"/>
          <w:w w:val="105"/>
          <w:sz w:val="19"/>
        </w:rPr>
        <w:t xml:space="preserve">liberation of </w:t>
      </w:r>
      <w:r>
        <w:rPr>
          <w:i/>
          <w:color w:val="231F20"/>
          <w:spacing w:val="-4"/>
          <w:w w:val="105"/>
          <w:sz w:val="19"/>
        </w:rPr>
        <w:t xml:space="preserve">women.” </w:t>
      </w:r>
      <w:r>
        <w:rPr>
          <w:i/>
          <w:color w:val="231F20"/>
          <w:w w:val="105"/>
          <w:sz w:val="19"/>
        </w:rPr>
        <w:t xml:space="preserve">Conservative academic sectors speak of the “dark side of the movement for total </w:t>
      </w:r>
      <w:r>
        <w:rPr>
          <w:i/>
          <w:color w:val="231F20"/>
          <w:spacing w:val="-5"/>
          <w:w w:val="105"/>
          <w:sz w:val="19"/>
        </w:rPr>
        <w:t xml:space="preserve">equality.” </w:t>
      </w:r>
      <w:r>
        <w:rPr>
          <w:i/>
          <w:color w:val="231F20"/>
          <w:w w:val="105"/>
          <w:sz w:val="19"/>
        </w:rPr>
        <w:t>The Christian Socialist newspaper Bayern Kurier claims, “Observers of the scene view the newly established feminism, which is preached by the left, as an</w:t>
      </w:r>
      <w:r>
        <w:rPr>
          <w:i/>
          <w:color w:val="231F20"/>
          <w:spacing w:val="-12"/>
          <w:w w:val="105"/>
          <w:sz w:val="19"/>
        </w:rPr>
        <w:t xml:space="preserve"> </w:t>
      </w:r>
      <w:r>
        <w:rPr>
          <w:i/>
          <w:color w:val="231F20"/>
          <w:w w:val="105"/>
          <w:sz w:val="19"/>
        </w:rPr>
        <w:t>essential</w:t>
      </w:r>
      <w:r>
        <w:rPr>
          <w:i/>
          <w:color w:val="231F20"/>
          <w:spacing w:val="-12"/>
          <w:w w:val="105"/>
          <w:sz w:val="19"/>
        </w:rPr>
        <w:t xml:space="preserve"> </w:t>
      </w:r>
      <w:r>
        <w:rPr>
          <w:i/>
          <w:color w:val="231F20"/>
          <w:w w:val="105"/>
          <w:sz w:val="19"/>
        </w:rPr>
        <w:t>reason</w:t>
      </w:r>
      <w:r>
        <w:rPr>
          <w:i/>
          <w:color w:val="231F20"/>
          <w:spacing w:val="-12"/>
          <w:w w:val="105"/>
          <w:sz w:val="19"/>
        </w:rPr>
        <w:t xml:space="preserve"> </w:t>
      </w:r>
      <w:r>
        <w:rPr>
          <w:i/>
          <w:color w:val="231F20"/>
          <w:w w:val="105"/>
          <w:sz w:val="19"/>
        </w:rPr>
        <w:t>for</w:t>
      </w:r>
      <w:r>
        <w:rPr>
          <w:i/>
          <w:color w:val="231F20"/>
          <w:spacing w:val="-12"/>
          <w:w w:val="105"/>
          <w:sz w:val="19"/>
        </w:rPr>
        <w:t xml:space="preserve"> </w:t>
      </w:r>
      <w:r>
        <w:rPr>
          <w:i/>
          <w:color w:val="231F20"/>
          <w:w w:val="105"/>
          <w:sz w:val="19"/>
        </w:rPr>
        <w:t>the</w:t>
      </w:r>
      <w:r>
        <w:rPr>
          <w:i/>
          <w:color w:val="231F20"/>
          <w:spacing w:val="-12"/>
          <w:w w:val="105"/>
          <w:sz w:val="19"/>
        </w:rPr>
        <w:t xml:space="preserve"> </w:t>
      </w:r>
      <w:r>
        <w:rPr>
          <w:i/>
          <w:color w:val="231F20"/>
          <w:w w:val="105"/>
          <w:sz w:val="19"/>
        </w:rPr>
        <w:t>recent</w:t>
      </w:r>
      <w:r>
        <w:rPr>
          <w:i/>
          <w:color w:val="231F20"/>
          <w:spacing w:val="-12"/>
          <w:w w:val="105"/>
          <w:sz w:val="19"/>
        </w:rPr>
        <w:t xml:space="preserve"> </w:t>
      </w:r>
      <w:r>
        <w:rPr>
          <w:i/>
          <w:color w:val="231F20"/>
          <w:w w:val="105"/>
          <w:sz w:val="19"/>
        </w:rPr>
        <w:t>change</w:t>
      </w:r>
      <w:r>
        <w:rPr>
          <w:i/>
          <w:color w:val="231F20"/>
          <w:spacing w:val="-12"/>
          <w:w w:val="105"/>
          <w:sz w:val="19"/>
        </w:rPr>
        <w:t xml:space="preserve"> </w:t>
      </w:r>
      <w:r>
        <w:rPr>
          <w:i/>
          <w:color w:val="231F20"/>
          <w:w w:val="105"/>
          <w:sz w:val="19"/>
        </w:rPr>
        <w:t>in</w:t>
      </w:r>
      <w:r>
        <w:rPr>
          <w:i/>
          <w:color w:val="231F20"/>
          <w:spacing w:val="-12"/>
          <w:w w:val="105"/>
          <w:sz w:val="19"/>
        </w:rPr>
        <w:t xml:space="preserve"> </w:t>
      </w:r>
      <w:r>
        <w:rPr>
          <w:i/>
          <w:color w:val="231F20"/>
          <w:w w:val="105"/>
          <w:sz w:val="19"/>
        </w:rPr>
        <w:t>sex</w:t>
      </w:r>
      <w:r>
        <w:rPr>
          <w:i/>
          <w:color w:val="231F20"/>
          <w:spacing w:val="-12"/>
          <w:w w:val="105"/>
          <w:sz w:val="19"/>
        </w:rPr>
        <w:t xml:space="preserve"> </w:t>
      </w:r>
      <w:r>
        <w:rPr>
          <w:i/>
          <w:color w:val="231F20"/>
          <w:w w:val="105"/>
          <w:sz w:val="19"/>
        </w:rPr>
        <w:t>roles</w:t>
      </w:r>
      <w:r>
        <w:rPr>
          <w:i/>
          <w:color w:val="231F20"/>
          <w:spacing w:val="-12"/>
          <w:w w:val="105"/>
          <w:sz w:val="19"/>
        </w:rPr>
        <w:t xml:space="preserve"> </w:t>
      </w:r>
      <w:r>
        <w:rPr>
          <w:i/>
          <w:color w:val="231F20"/>
          <w:w w:val="105"/>
          <w:sz w:val="19"/>
        </w:rPr>
        <w:t>on</w:t>
      </w:r>
      <w:r>
        <w:rPr>
          <w:i/>
          <w:color w:val="231F20"/>
          <w:spacing w:val="-12"/>
          <w:w w:val="105"/>
          <w:sz w:val="19"/>
        </w:rPr>
        <w:t xml:space="preserve"> </w:t>
      </w:r>
      <w:r>
        <w:rPr>
          <w:i/>
          <w:color w:val="231F20"/>
          <w:w w:val="105"/>
          <w:sz w:val="19"/>
        </w:rPr>
        <w:t>the</w:t>
      </w:r>
      <w:r>
        <w:rPr>
          <w:i/>
          <w:color w:val="231F20"/>
          <w:spacing w:val="-12"/>
          <w:w w:val="105"/>
          <w:sz w:val="19"/>
        </w:rPr>
        <w:t xml:space="preserve"> </w:t>
      </w:r>
      <w:r>
        <w:rPr>
          <w:i/>
          <w:color w:val="231F20"/>
          <w:w w:val="105"/>
          <w:sz w:val="19"/>
        </w:rPr>
        <w:t xml:space="preserve">terror </w:t>
      </w:r>
      <w:r>
        <w:rPr>
          <w:i/>
          <w:color w:val="231F20"/>
          <w:spacing w:val="-4"/>
          <w:w w:val="105"/>
          <w:sz w:val="19"/>
        </w:rPr>
        <w:t xml:space="preserve">front.” Women’s </w:t>
      </w:r>
      <w:r>
        <w:rPr>
          <w:i/>
          <w:color w:val="231F20"/>
          <w:w w:val="105"/>
          <w:sz w:val="19"/>
        </w:rPr>
        <w:t xml:space="preserve">publishing houses have been invaded by police, assuming that the owners were aiding and abetting terrorism, and the </w:t>
      </w:r>
      <w:r>
        <w:rPr>
          <w:i/>
          <w:color w:val="231F20"/>
          <w:spacing w:val="-4"/>
          <w:w w:val="105"/>
          <w:sz w:val="19"/>
        </w:rPr>
        <w:t xml:space="preserve">Women’s </w:t>
      </w:r>
      <w:r>
        <w:rPr>
          <w:i/>
          <w:color w:val="231F20"/>
          <w:w w:val="105"/>
          <w:sz w:val="19"/>
        </w:rPr>
        <w:t>Vacation House in Gaiganz was subject to such constant</w:t>
      </w:r>
      <w:r>
        <w:rPr>
          <w:i/>
          <w:color w:val="231F20"/>
          <w:spacing w:val="-27"/>
          <w:w w:val="105"/>
          <w:sz w:val="19"/>
        </w:rPr>
        <w:t xml:space="preserve"> </w:t>
      </w:r>
      <w:r>
        <w:rPr>
          <w:i/>
          <w:color w:val="231F20"/>
          <w:spacing w:val="-2"/>
          <w:w w:val="105"/>
          <w:sz w:val="19"/>
        </w:rPr>
        <w:t>surveillance</w:t>
      </w:r>
      <w:r>
        <w:rPr>
          <w:i/>
          <w:color w:val="231F20"/>
          <w:spacing w:val="-27"/>
          <w:w w:val="105"/>
          <w:sz w:val="19"/>
        </w:rPr>
        <w:t xml:space="preserve"> </w:t>
      </w:r>
      <w:r>
        <w:rPr>
          <w:i/>
          <w:color w:val="231F20"/>
          <w:w w:val="105"/>
          <w:sz w:val="19"/>
        </w:rPr>
        <w:t>and</w:t>
      </w:r>
      <w:r>
        <w:rPr>
          <w:i/>
          <w:color w:val="231F20"/>
          <w:spacing w:val="-27"/>
          <w:w w:val="105"/>
          <w:sz w:val="19"/>
        </w:rPr>
        <w:t xml:space="preserve"> </w:t>
      </w:r>
      <w:r>
        <w:rPr>
          <w:i/>
          <w:color w:val="231F20"/>
          <w:w w:val="105"/>
          <w:sz w:val="19"/>
        </w:rPr>
        <w:t>so</w:t>
      </w:r>
      <w:r>
        <w:rPr>
          <w:i/>
          <w:color w:val="231F20"/>
          <w:spacing w:val="-27"/>
          <w:w w:val="105"/>
          <w:sz w:val="19"/>
        </w:rPr>
        <w:t xml:space="preserve"> </w:t>
      </w:r>
      <w:r>
        <w:rPr>
          <w:i/>
          <w:color w:val="231F20"/>
          <w:spacing w:val="-3"/>
          <w:w w:val="105"/>
          <w:sz w:val="19"/>
        </w:rPr>
        <w:t>many</w:t>
      </w:r>
      <w:r>
        <w:rPr>
          <w:i/>
          <w:color w:val="231F20"/>
          <w:spacing w:val="-27"/>
          <w:w w:val="105"/>
          <w:sz w:val="19"/>
        </w:rPr>
        <w:t xml:space="preserve"> </w:t>
      </w:r>
      <w:r>
        <w:rPr>
          <w:i/>
          <w:color w:val="231F20"/>
          <w:spacing w:val="-4"/>
          <w:w w:val="105"/>
          <w:sz w:val="19"/>
        </w:rPr>
        <w:t>raids</w:t>
      </w:r>
      <w:r>
        <w:rPr>
          <w:i/>
          <w:color w:val="231F20"/>
          <w:spacing w:val="-27"/>
          <w:w w:val="105"/>
          <w:sz w:val="19"/>
        </w:rPr>
        <w:t xml:space="preserve"> </w:t>
      </w:r>
      <w:r>
        <w:rPr>
          <w:i/>
          <w:color w:val="231F20"/>
          <w:spacing w:val="-3"/>
          <w:w w:val="105"/>
          <w:sz w:val="19"/>
        </w:rPr>
        <w:t>by</w:t>
      </w:r>
      <w:r>
        <w:rPr>
          <w:i/>
          <w:color w:val="231F20"/>
          <w:spacing w:val="-27"/>
          <w:w w:val="105"/>
          <w:sz w:val="19"/>
        </w:rPr>
        <w:t xml:space="preserve"> </w:t>
      </w:r>
      <w:r>
        <w:rPr>
          <w:i/>
          <w:color w:val="231F20"/>
          <w:w w:val="105"/>
          <w:sz w:val="19"/>
        </w:rPr>
        <w:t>police</w:t>
      </w:r>
      <w:r>
        <w:rPr>
          <w:i/>
          <w:color w:val="231F20"/>
          <w:spacing w:val="-27"/>
          <w:w w:val="105"/>
          <w:sz w:val="19"/>
        </w:rPr>
        <w:t xml:space="preserve"> </w:t>
      </w:r>
      <w:r>
        <w:rPr>
          <w:i/>
          <w:color w:val="231F20"/>
          <w:w w:val="105"/>
          <w:sz w:val="19"/>
        </w:rPr>
        <w:t>looking</w:t>
      </w:r>
      <w:r>
        <w:rPr>
          <w:i/>
          <w:color w:val="231F20"/>
          <w:spacing w:val="-27"/>
          <w:w w:val="105"/>
          <w:sz w:val="19"/>
        </w:rPr>
        <w:t xml:space="preserve"> </w:t>
      </w:r>
      <w:r>
        <w:rPr>
          <w:i/>
          <w:color w:val="231F20"/>
          <w:w w:val="105"/>
          <w:sz w:val="19"/>
        </w:rPr>
        <w:t>for</w:t>
      </w:r>
      <w:r>
        <w:rPr>
          <w:i/>
          <w:color w:val="231F20"/>
          <w:spacing w:val="-27"/>
          <w:w w:val="105"/>
          <w:sz w:val="19"/>
        </w:rPr>
        <w:t xml:space="preserve"> </w:t>
      </w:r>
      <w:r>
        <w:rPr>
          <w:i/>
          <w:color w:val="231F20"/>
          <w:spacing w:val="-2"/>
          <w:w w:val="105"/>
          <w:sz w:val="19"/>
        </w:rPr>
        <w:t xml:space="preserve">hidden </w:t>
      </w:r>
      <w:r>
        <w:rPr>
          <w:i/>
          <w:color w:val="231F20"/>
          <w:w w:val="105"/>
          <w:sz w:val="19"/>
        </w:rPr>
        <w:t>persons,</w:t>
      </w:r>
      <w:r>
        <w:rPr>
          <w:i/>
          <w:color w:val="231F20"/>
          <w:spacing w:val="-11"/>
          <w:w w:val="105"/>
          <w:sz w:val="19"/>
        </w:rPr>
        <w:t xml:space="preserve"> </w:t>
      </w:r>
      <w:r>
        <w:rPr>
          <w:i/>
          <w:color w:val="231F20"/>
          <w:w w:val="105"/>
          <w:sz w:val="19"/>
        </w:rPr>
        <w:t>that</w:t>
      </w:r>
      <w:r>
        <w:rPr>
          <w:i/>
          <w:color w:val="231F20"/>
          <w:spacing w:val="-6"/>
          <w:w w:val="105"/>
          <w:sz w:val="19"/>
        </w:rPr>
        <w:t xml:space="preserve"> </w:t>
      </w:r>
      <w:r>
        <w:rPr>
          <w:i/>
          <w:color w:val="231F20"/>
          <w:w w:val="105"/>
          <w:sz w:val="19"/>
        </w:rPr>
        <w:t>the</w:t>
      </w:r>
      <w:r>
        <w:rPr>
          <w:i/>
          <w:color w:val="231F20"/>
          <w:spacing w:val="-6"/>
          <w:w w:val="105"/>
          <w:sz w:val="19"/>
        </w:rPr>
        <w:t xml:space="preserve"> </w:t>
      </w:r>
      <w:r>
        <w:rPr>
          <w:i/>
          <w:color w:val="231F20"/>
          <w:w w:val="105"/>
          <w:sz w:val="19"/>
        </w:rPr>
        <w:t>lease</w:t>
      </w:r>
      <w:r>
        <w:rPr>
          <w:i/>
          <w:color w:val="231F20"/>
          <w:spacing w:val="-6"/>
          <w:w w:val="105"/>
          <w:sz w:val="19"/>
        </w:rPr>
        <w:t xml:space="preserve"> </w:t>
      </w:r>
      <w:r>
        <w:rPr>
          <w:i/>
          <w:color w:val="231F20"/>
          <w:w w:val="105"/>
          <w:sz w:val="19"/>
        </w:rPr>
        <w:t>was</w:t>
      </w:r>
      <w:r>
        <w:rPr>
          <w:i/>
          <w:color w:val="231F20"/>
          <w:spacing w:val="-6"/>
          <w:w w:val="105"/>
          <w:sz w:val="19"/>
        </w:rPr>
        <w:t xml:space="preserve"> </w:t>
      </w:r>
      <w:r>
        <w:rPr>
          <w:i/>
          <w:color w:val="231F20"/>
          <w:w w:val="105"/>
          <w:sz w:val="19"/>
        </w:rPr>
        <w:t>revoked</w:t>
      </w:r>
      <w:r>
        <w:rPr>
          <w:i/>
          <w:color w:val="231F20"/>
          <w:spacing w:val="-6"/>
          <w:w w:val="105"/>
          <w:sz w:val="19"/>
        </w:rPr>
        <w:t xml:space="preserve"> </w:t>
      </w:r>
      <w:r>
        <w:rPr>
          <w:i/>
          <w:color w:val="231F20"/>
          <w:w w:val="105"/>
          <w:sz w:val="19"/>
        </w:rPr>
        <w:t>by</w:t>
      </w:r>
      <w:r>
        <w:rPr>
          <w:i/>
          <w:color w:val="231F20"/>
          <w:spacing w:val="-6"/>
          <w:w w:val="105"/>
          <w:sz w:val="19"/>
        </w:rPr>
        <w:t xml:space="preserve"> </w:t>
      </w:r>
      <w:r>
        <w:rPr>
          <w:i/>
          <w:color w:val="231F20"/>
          <w:w w:val="105"/>
          <w:sz w:val="19"/>
        </w:rPr>
        <w:t>intimidated</w:t>
      </w:r>
      <w:r>
        <w:rPr>
          <w:i/>
          <w:color w:val="231F20"/>
          <w:spacing w:val="-6"/>
          <w:w w:val="105"/>
          <w:sz w:val="19"/>
        </w:rPr>
        <w:t xml:space="preserve"> </w:t>
      </w:r>
      <w:r>
        <w:rPr>
          <w:i/>
          <w:color w:val="231F20"/>
          <w:w w:val="105"/>
          <w:sz w:val="19"/>
        </w:rPr>
        <w:t>landlords.</w:t>
      </w:r>
      <w:r>
        <w:rPr>
          <w:i/>
          <w:color w:val="231F20"/>
          <w:w w:val="105"/>
          <w:position w:val="6"/>
          <w:sz w:val="11"/>
        </w:rPr>
        <w:t>7</w:t>
      </w:r>
    </w:p>
    <w:p w14:paraId="1CF75473" w14:textId="77777777" w:rsidR="002653E8" w:rsidRDefault="003115E3">
      <w:pPr>
        <w:pStyle w:val="a3"/>
        <w:spacing w:before="138" w:line="264" w:lineRule="auto"/>
        <w:ind w:left="1328" w:right="1145" w:hanging="1"/>
        <w:jc w:val="both"/>
      </w:pPr>
      <w:r>
        <w:rPr>
          <w:color w:val="231F20"/>
        </w:rPr>
        <w:t>This was all the more galling, for in the years since the APO, the West German women’s movement had moved away from its socialist roots, to</w:t>
      </w:r>
    </w:p>
    <w:p w14:paraId="576F914C" w14:textId="77777777" w:rsidR="002653E8" w:rsidRDefault="00000000">
      <w:pPr>
        <w:pStyle w:val="a3"/>
        <w:spacing w:before="10"/>
        <w:rPr>
          <w:sz w:val="19"/>
        </w:rPr>
      </w:pPr>
      <w:r>
        <w:rPr>
          <w:noProof w:val="0"/>
        </w:rPr>
        <w:pict w14:anchorId="00A121D5">
          <v:line id="_x0000_s2146" style="position:absolute;z-index:11176;mso-wrap-distance-left:0;mso-wrap-distance-right:0;mso-position-horizontal-relative:page" from="66.4pt,13.85pt" to="138.4pt,13.85pt" strokecolor="#231f20" strokeweight=".5pt">
            <w10:wrap type="topAndBottom" anchorx="page"/>
          </v:line>
        </w:pict>
      </w:r>
    </w:p>
    <w:p w14:paraId="6E26026C" w14:textId="77777777" w:rsidR="002653E8" w:rsidRPr="00846956" w:rsidRDefault="003115E3">
      <w:pPr>
        <w:spacing w:before="53"/>
        <w:ind w:left="1327"/>
        <w:rPr>
          <w:sz w:val="16"/>
          <w:lang w:val="de-DE"/>
        </w:rPr>
      </w:pPr>
      <w:r w:rsidRPr="00846956">
        <w:rPr>
          <w:color w:val="231F20"/>
          <w:w w:val="110"/>
          <w:sz w:val="16"/>
          <w:lang w:val="de-DE"/>
        </w:rPr>
        <w:t>4 Mayer, 156; Hanshew, 33.</w:t>
      </w:r>
    </w:p>
    <w:p w14:paraId="4337E611" w14:textId="77777777" w:rsidR="002653E8" w:rsidRPr="00846956" w:rsidRDefault="003115E3">
      <w:pPr>
        <w:spacing w:before="51"/>
        <w:ind w:left="1328"/>
        <w:rPr>
          <w:sz w:val="16"/>
          <w:lang w:val="de-DE"/>
        </w:rPr>
      </w:pPr>
      <w:r w:rsidRPr="00846956">
        <w:rPr>
          <w:color w:val="231F20"/>
          <w:w w:val="110"/>
          <w:sz w:val="16"/>
          <w:lang w:val="de-DE"/>
        </w:rPr>
        <w:t>5 Jacobs, 170-171.</w:t>
      </w:r>
    </w:p>
    <w:p w14:paraId="5281E554" w14:textId="77777777" w:rsidR="002653E8" w:rsidRPr="00846956" w:rsidRDefault="003115E3">
      <w:pPr>
        <w:spacing w:before="52"/>
        <w:ind w:left="1327"/>
        <w:rPr>
          <w:sz w:val="16"/>
          <w:lang w:val="de-DE"/>
        </w:rPr>
      </w:pPr>
      <w:r w:rsidRPr="00846956">
        <w:rPr>
          <w:color w:val="231F20"/>
          <w:w w:val="105"/>
          <w:position w:val="6"/>
          <w:sz w:val="9"/>
          <w:lang w:val="de-DE"/>
        </w:rPr>
        <w:t xml:space="preserve">6 </w:t>
      </w:r>
      <w:r w:rsidRPr="00846956">
        <w:rPr>
          <w:color w:val="231F20"/>
          <w:w w:val="105"/>
          <w:sz w:val="16"/>
          <w:lang w:val="de-DE"/>
        </w:rPr>
        <w:t xml:space="preserve">The </w:t>
      </w:r>
      <w:r w:rsidRPr="00846956">
        <w:rPr>
          <w:i/>
          <w:color w:val="231F20"/>
          <w:w w:val="105"/>
          <w:sz w:val="16"/>
          <w:lang w:val="de-DE"/>
        </w:rPr>
        <w:t>Verfassungsschutz</w:t>
      </w:r>
      <w:r w:rsidRPr="00846956">
        <w:rPr>
          <w:color w:val="231F20"/>
          <w:w w:val="105"/>
          <w:sz w:val="16"/>
          <w:lang w:val="de-DE"/>
        </w:rPr>
        <w:t>.</w:t>
      </w:r>
    </w:p>
    <w:p w14:paraId="5C47A879" w14:textId="77777777" w:rsidR="002653E8" w:rsidRDefault="003115E3">
      <w:pPr>
        <w:spacing w:before="52"/>
        <w:ind w:left="1327"/>
        <w:rPr>
          <w:sz w:val="16"/>
        </w:rPr>
      </w:pPr>
      <w:r>
        <w:rPr>
          <w:color w:val="231F20"/>
          <w:w w:val="110"/>
          <w:sz w:val="16"/>
        </w:rPr>
        <w:t>7 Ibid., 166-167.</w:t>
      </w:r>
    </w:p>
    <w:p w14:paraId="44170572" w14:textId="77777777" w:rsidR="002653E8" w:rsidRDefault="002653E8">
      <w:pPr>
        <w:rPr>
          <w:sz w:val="16"/>
        </w:rPr>
        <w:sectPr w:rsidR="002653E8">
          <w:pgSz w:w="8640" w:h="12960"/>
          <w:pgMar w:top="1060" w:right="0" w:bottom="1040" w:left="0" w:header="0" w:footer="850" w:gutter="0"/>
          <w:cols w:space="720"/>
        </w:sectPr>
      </w:pPr>
    </w:p>
    <w:p w14:paraId="4238B7F0" w14:textId="77777777" w:rsidR="002653E8" w:rsidRDefault="003115E3">
      <w:pPr>
        <w:pStyle w:val="a3"/>
        <w:spacing w:before="86" w:line="264" w:lineRule="auto"/>
        <w:ind w:left="1147" w:right="1326"/>
        <w:jc w:val="both"/>
      </w:pPr>
      <w:r>
        <w:rPr>
          <w:color w:val="231F20"/>
        </w:rPr>
        <w:lastRenderedPageBreak/>
        <w:t>such a point that at the time it could be said that many women “would prefer no politics at all to leftist politics.”</w:t>
      </w:r>
      <w:r>
        <w:rPr>
          <w:color w:val="231F20"/>
          <w:position w:val="7"/>
          <w:sz w:val="11"/>
        </w:rPr>
        <w:t xml:space="preserve">1 </w:t>
      </w:r>
      <w:r>
        <w:rPr>
          <w:color w:val="231F20"/>
        </w:rPr>
        <w:t>As Georgy Katsiaficas has written about feminism in the FRG in the late seventies:</w:t>
      </w:r>
    </w:p>
    <w:p w14:paraId="14F53DA5" w14:textId="77777777" w:rsidR="002653E8" w:rsidRDefault="003115E3">
      <w:pPr>
        <w:spacing w:before="126" w:line="276" w:lineRule="auto"/>
        <w:ind w:left="1567" w:right="1745"/>
        <w:jc w:val="both"/>
        <w:rPr>
          <w:i/>
          <w:sz w:val="11"/>
        </w:rPr>
      </w:pPr>
      <w:r>
        <w:rPr>
          <w:i/>
          <w:color w:val="231F20"/>
          <w:sz w:val="19"/>
        </w:rPr>
        <w:t>As many women turned further inward, limiting themselves to  their private spheres of lovers and close friends, radicals felt that the slogan “The personal is political” had been turned on its head—to</w:t>
      </w:r>
      <w:r>
        <w:rPr>
          <w:i/>
          <w:color w:val="231F20"/>
          <w:spacing w:val="11"/>
          <w:sz w:val="19"/>
        </w:rPr>
        <w:t xml:space="preserve"> </w:t>
      </w:r>
      <w:r>
        <w:rPr>
          <w:i/>
          <w:color w:val="231F20"/>
          <w:sz w:val="19"/>
        </w:rPr>
        <w:t>the</w:t>
      </w:r>
      <w:r>
        <w:rPr>
          <w:i/>
          <w:color w:val="231F20"/>
          <w:spacing w:val="11"/>
          <w:sz w:val="19"/>
        </w:rPr>
        <w:t xml:space="preserve"> </w:t>
      </w:r>
      <w:r>
        <w:rPr>
          <w:i/>
          <w:color w:val="231F20"/>
          <w:sz w:val="19"/>
        </w:rPr>
        <w:t>point</w:t>
      </w:r>
      <w:r>
        <w:rPr>
          <w:i/>
          <w:color w:val="231F20"/>
          <w:spacing w:val="11"/>
          <w:sz w:val="19"/>
        </w:rPr>
        <w:t xml:space="preserve"> </w:t>
      </w:r>
      <w:r>
        <w:rPr>
          <w:i/>
          <w:color w:val="231F20"/>
          <w:sz w:val="19"/>
        </w:rPr>
        <w:t>where</w:t>
      </w:r>
      <w:r>
        <w:rPr>
          <w:i/>
          <w:color w:val="231F20"/>
          <w:spacing w:val="11"/>
          <w:sz w:val="19"/>
        </w:rPr>
        <w:t xml:space="preserve"> </w:t>
      </w:r>
      <w:r>
        <w:rPr>
          <w:i/>
          <w:color w:val="231F20"/>
          <w:sz w:val="19"/>
        </w:rPr>
        <w:t>the</w:t>
      </w:r>
      <w:r>
        <w:rPr>
          <w:i/>
          <w:color w:val="231F20"/>
          <w:spacing w:val="11"/>
          <w:sz w:val="19"/>
        </w:rPr>
        <w:t xml:space="preserve"> </w:t>
      </w:r>
      <w:r>
        <w:rPr>
          <w:i/>
          <w:color w:val="231F20"/>
          <w:sz w:val="19"/>
        </w:rPr>
        <w:t>political</w:t>
      </w:r>
      <w:r>
        <w:rPr>
          <w:i/>
          <w:color w:val="231F20"/>
          <w:spacing w:val="11"/>
          <w:sz w:val="19"/>
        </w:rPr>
        <w:t xml:space="preserve"> </w:t>
      </w:r>
      <w:r>
        <w:rPr>
          <w:i/>
          <w:color w:val="231F20"/>
          <w:sz w:val="19"/>
        </w:rPr>
        <w:t>was</w:t>
      </w:r>
      <w:r>
        <w:rPr>
          <w:i/>
          <w:color w:val="231F20"/>
          <w:spacing w:val="11"/>
          <w:sz w:val="19"/>
        </w:rPr>
        <w:t xml:space="preserve"> </w:t>
      </w:r>
      <w:r>
        <w:rPr>
          <w:i/>
          <w:color w:val="231F20"/>
          <w:sz w:val="19"/>
        </w:rPr>
        <w:t>irrelevant.</w:t>
      </w:r>
      <w:r>
        <w:rPr>
          <w:i/>
          <w:color w:val="231F20"/>
          <w:position w:val="6"/>
          <w:sz w:val="11"/>
        </w:rPr>
        <w:t>2</w:t>
      </w:r>
    </w:p>
    <w:p w14:paraId="1F4A930C" w14:textId="77777777" w:rsidR="002653E8" w:rsidRDefault="003115E3">
      <w:pPr>
        <w:pStyle w:val="a3"/>
        <w:spacing w:before="131" w:line="264" w:lineRule="auto"/>
        <w:ind w:left="1147" w:right="1325" w:hanging="1"/>
        <w:jc w:val="both"/>
      </w:pPr>
      <w:r>
        <w:rPr>
          <w:color w:val="231F20"/>
        </w:rPr>
        <w:t xml:space="preserve">On the other side of the equation, nothing but silence had ever emanated from the </w:t>
      </w:r>
      <w:r w:rsidR="00C507A5">
        <w:rPr>
          <w:color w:val="231F20"/>
        </w:rPr>
        <w:t>red army faction</w:t>
      </w:r>
      <w:r>
        <w:rPr>
          <w:color w:val="231F20"/>
        </w:rPr>
        <w:t xml:space="preserve"> and its support organizations on questions of feminism and women’s liberation. This was all the more remarkable given the large proportion of </w:t>
      </w:r>
      <w:r w:rsidR="00C507A5">
        <w:rPr>
          <w:color w:val="231F20"/>
        </w:rPr>
        <w:t>red army faction</w:t>
      </w:r>
      <w:r>
        <w:rPr>
          <w:color w:val="231F20"/>
        </w:rPr>
        <w:t xml:space="preserve"> members who were women, and the hackneyed sexist terms in which counterinsurgency writers often attacked their politics.</w:t>
      </w:r>
    </w:p>
    <w:p w14:paraId="0AF7FE5E" w14:textId="77777777" w:rsidR="002653E8" w:rsidRDefault="003115E3">
      <w:pPr>
        <w:pStyle w:val="a3"/>
        <w:spacing w:line="264" w:lineRule="auto"/>
        <w:ind w:left="1147" w:right="1325" w:firstLine="210"/>
        <w:jc w:val="both"/>
      </w:pPr>
      <w:r>
        <w:rPr>
          <w:color w:val="231F20"/>
        </w:rPr>
        <w:t xml:space="preserve">This silence was certainly a consequence of the </w:t>
      </w:r>
      <w:r w:rsidR="00C507A5">
        <w:rPr>
          <w:color w:val="231F20"/>
          <w:spacing w:val="1"/>
        </w:rPr>
        <w:t>red army faction</w:t>
      </w:r>
      <w:r>
        <w:rPr>
          <w:color w:val="231F20"/>
          <w:spacing w:val="1"/>
        </w:rPr>
        <w:t xml:space="preserve">’s </w:t>
      </w:r>
      <w:r>
        <w:rPr>
          <w:color w:val="231F20"/>
        </w:rPr>
        <w:t xml:space="preserve">particular brand of anti-imperialism, which zeroed in on this one contradiction    as being primary to the exclusion of all others. One comrade who was active doing prisoner support work during this period remembers visiting a female political prisoner and asking her about this, only to be informed that, “If you </w:t>
      </w:r>
      <w:r>
        <w:rPr>
          <w:color w:val="231F20"/>
          <w:spacing w:val="1"/>
        </w:rPr>
        <w:t xml:space="preserve">carry </w:t>
      </w:r>
      <w:r>
        <w:rPr>
          <w:color w:val="231F20"/>
        </w:rPr>
        <w:t>a gun, it does not matter if you are a man   or a</w:t>
      </w:r>
      <w:r>
        <w:rPr>
          <w:color w:val="231F20"/>
          <w:spacing w:val="22"/>
        </w:rPr>
        <w:t xml:space="preserve"> </w:t>
      </w:r>
      <w:r>
        <w:rPr>
          <w:color w:val="231F20"/>
          <w:spacing w:val="-3"/>
        </w:rPr>
        <w:t>woman.”</w:t>
      </w:r>
    </w:p>
    <w:p w14:paraId="66E608CE" w14:textId="77777777" w:rsidR="002653E8" w:rsidRDefault="003115E3">
      <w:pPr>
        <w:pStyle w:val="a3"/>
        <w:spacing w:line="264" w:lineRule="auto"/>
        <w:ind w:left="1147" w:right="1326" w:firstLine="210"/>
        <w:jc w:val="both"/>
      </w:pPr>
      <w:r>
        <w:rPr>
          <w:color w:val="231F20"/>
        </w:rPr>
        <w:t xml:space="preserve">A similar sentiment was expressed by Inge Viett, who would move from the 2nd of June Movement to the </w:t>
      </w:r>
      <w:r w:rsidR="00C507A5">
        <w:rPr>
          <w:color w:val="231F20"/>
        </w:rPr>
        <w:t>red army faction</w:t>
      </w:r>
      <w:r>
        <w:rPr>
          <w:color w:val="231F20"/>
        </w:rPr>
        <w:t xml:space="preserve"> in 1980:</w:t>
      </w:r>
    </w:p>
    <w:p w14:paraId="21ECAA91" w14:textId="77777777" w:rsidR="002653E8" w:rsidRDefault="003115E3">
      <w:pPr>
        <w:spacing w:before="112" w:line="276" w:lineRule="auto"/>
        <w:ind w:left="1567" w:right="1739"/>
        <w:jc w:val="both"/>
        <w:rPr>
          <w:i/>
          <w:sz w:val="11"/>
        </w:rPr>
      </w:pPr>
      <w:r>
        <w:rPr>
          <w:i/>
          <w:color w:val="231F20"/>
          <w:w w:val="105"/>
          <w:sz w:val="19"/>
        </w:rPr>
        <w:t>None of us came out of the feminist movement… We had no conscious need to live through that kind of process of women’s liberation… We simply made a decision, and then we struggled, doing all the same things as the men. For us, there was no ManWoman question. For us living in the underground, that old concept of roles didn’t exist.</w:t>
      </w:r>
      <w:r>
        <w:rPr>
          <w:i/>
          <w:color w:val="231F20"/>
          <w:w w:val="105"/>
          <w:position w:val="6"/>
          <w:sz w:val="11"/>
        </w:rPr>
        <w:t>3</w:t>
      </w:r>
    </w:p>
    <w:p w14:paraId="0F584D74" w14:textId="77777777" w:rsidR="002653E8" w:rsidRDefault="003115E3">
      <w:pPr>
        <w:pStyle w:val="a3"/>
        <w:spacing w:before="132" w:line="264" w:lineRule="auto"/>
        <w:ind w:left="1147" w:right="1326"/>
        <w:jc w:val="both"/>
      </w:pPr>
      <w:r>
        <w:rPr>
          <w:color w:val="231F20"/>
        </w:rPr>
        <w:t xml:space="preserve">Feminists might have objected that for most people—even some who  do </w:t>
      </w:r>
      <w:r>
        <w:rPr>
          <w:color w:val="231F20"/>
          <w:spacing w:val="1"/>
        </w:rPr>
        <w:t xml:space="preserve">carry </w:t>
      </w:r>
      <w:r>
        <w:rPr>
          <w:color w:val="231F20"/>
        </w:rPr>
        <w:t xml:space="preserve">guns, and even some who do live in the underground—being   a man or a woman does matter, both in terms of </w:t>
      </w:r>
      <w:r>
        <w:rPr>
          <w:color w:val="231F20"/>
          <w:spacing w:val="-3"/>
        </w:rPr>
        <w:t xml:space="preserve">one’s </w:t>
      </w:r>
      <w:r>
        <w:rPr>
          <w:color w:val="231F20"/>
        </w:rPr>
        <w:t>relationship to imperialism</w:t>
      </w:r>
      <w:r>
        <w:rPr>
          <w:color w:val="231F20"/>
          <w:spacing w:val="30"/>
        </w:rPr>
        <w:t xml:space="preserve"> </w:t>
      </w:r>
      <w:r>
        <w:rPr>
          <w:color w:val="231F20"/>
        </w:rPr>
        <w:t>and</w:t>
      </w:r>
      <w:r>
        <w:rPr>
          <w:color w:val="231F20"/>
          <w:spacing w:val="30"/>
        </w:rPr>
        <w:t xml:space="preserve"> </w:t>
      </w:r>
      <w:r>
        <w:rPr>
          <w:color w:val="231F20"/>
          <w:spacing w:val="-3"/>
        </w:rPr>
        <w:t>one’s</w:t>
      </w:r>
      <w:r>
        <w:rPr>
          <w:color w:val="231F20"/>
          <w:spacing w:val="30"/>
        </w:rPr>
        <w:t xml:space="preserve"> </w:t>
      </w:r>
      <w:r>
        <w:rPr>
          <w:color w:val="231F20"/>
        </w:rPr>
        <w:t>perspectives</w:t>
      </w:r>
      <w:r>
        <w:rPr>
          <w:color w:val="231F20"/>
          <w:spacing w:val="30"/>
        </w:rPr>
        <w:t xml:space="preserve"> </w:t>
      </w:r>
      <w:r>
        <w:rPr>
          <w:color w:val="231F20"/>
        </w:rPr>
        <w:t>for</w:t>
      </w:r>
      <w:r>
        <w:rPr>
          <w:color w:val="231F20"/>
          <w:spacing w:val="30"/>
        </w:rPr>
        <w:t xml:space="preserve"> </w:t>
      </w:r>
      <w:r>
        <w:rPr>
          <w:color w:val="231F20"/>
        </w:rPr>
        <w:t>resisting</w:t>
      </w:r>
      <w:r>
        <w:rPr>
          <w:color w:val="231F20"/>
          <w:spacing w:val="30"/>
        </w:rPr>
        <w:t xml:space="preserve"> </w:t>
      </w:r>
      <w:r>
        <w:rPr>
          <w:color w:val="231F20"/>
        </w:rPr>
        <w:t>it.</w:t>
      </w:r>
      <w:r>
        <w:rPr>
          <w:color w:val="231F20"/>
          <w:spacing w:val="30"/>
        </w:rPr>
        <w:t xml:space="preserve"> </w:t>
      </w:r>
      <w:r>
        <w:rPr>
          <w:color w:val="231F20"/>
        </w:rPr>
        <w:t>During</w:t>
      </w:r>
      <w:r>
        <w:rPr>
          <w:color w:val="231F20"/>
          <w:spacing w:val="30"/>
        </w:rPr>
        <w:t xml:space="preserve"> </w:t>
      </w:r>
      <w:r>
        <w:rPr>
          <w:color w:val="231F20"/>
        </w:rPr>
        <w:t>the</w:t>
      </w:r>
      <w:r>
        <w:rPr>
          <w:color w:val="231F20"/>
          <w:spacing w:val="32"/>
        </w:rPr>
        <w:t xml:space="preserve"> </w:t>
      </w:r>
      <w:r>
        <w:rPr>
          <w:color w:val="231F20"/>
        </w:rPr>
        <w:t>1970s,</w:t>
      </w:r>
    </w:p>
    <w:p w14:paraId="49A00746" w14:textId="77777777" w:rsidR="002653E8" w:rsidRDefault="00000000">
      <w:pPr>
        <w:pStyle w:val="a3"/>
        <w:rPr>
          <w:sz w:val="28"/>
        </w:rPr>
      </w:pPr>
      <w:r>
        <w:rPr>
          <w:noProof w:val="0"/>
        </w:rPr>
        <w:pict w14:anchorId="409B99F2">
          <v:line id="_x0000_s2145" style="position:absolute;z-index:11200;mso-wrap-distance-left:0;mso-wrap-distance-right:0;mso-position-horizontal-relative:page" from="57.4pt,18.65pt" to="129.4pt,18.65pt" strokecolor="#231f20" strokeweight=".5pt">
            <w10:wrap type="topAndBottom" anchorx="page"/>
          </v:line>
        </w:pict>
      </w:r>
    </w:p>
    <w:p w14:paraId="1B43E1BF" w14:textId="77777777" w:rsidR="002653E8" w:rsidRDefault="003115E3">
      <w:pPr>
        <w:pStyle w:val="a4"/>
        <w:numPr>
          <w:ilvl w:val="0"/>
          <w:numId w:val="40"/>
        </w:numPr>
        <w:tabs>
          <w:tab w:val="left" w:pos="1287"/>
        </w:tabs>
        <w:spacing w:before="53" w:line="254" w:lineRule="auto"/>
        <w:ind w:right="1398" w:hanging="1"/>
        <w:jc w:val="left"/>
        <w:rPr>
          <w:sz w:val="16"/>
        </w:rPr>
      </w:pPr>
      <w:r>
        <w:rPr>
          <w:color w:val="231F20"/>
          <w:w w:val="110"/>
          <w:sz w:val="16"/>
        </w:rPr>
        <w:t xml:space="preserve">Hilke Schlaeger, “West German </w:t>
      </w:r>
      <w:r>
        <w:rPr>
          <w:color w:val="231F20"/>
          <w:spacing w:val="-3"/>
          <w:w w:val="110"/>
          <w:sz w:val="16"/>
        </w:rPr>
        <w:t xml:space="preserve">Women’s </w:t>
      </w:r>
      <w:r>
        <w:rPr>
          <w:color w:val="231F20"/>
          <w:w w:val="110"/>
          <w:sz w:val="16"/>
        </w:rPr>
        <w:t xml:space="preserve">Movement,” </w:t>
      </w:r>
      <w:r>
        <w:rPr>
          <w:i/>
          <w:color w:val="231F20"/>
          <w:w w:val="110"/>
          <w:sz w:val="16"/>
        </w:rPr>
        <w:t xml:space="preserve">New </w:t>
      </w:r>
      <w:r>
        <w:rPr>
          <w:i/>
          <w:color w:val="231F20"/>
          <w:spacing w:val="2"/>
          <w:w w:val="110"/>
          <w:sz w:val="16"/>
        </w:rPr>
        <w:t xml:space="preserve">German </w:t>
      </w:r>
      <w:r>
        <w:rPr>
          <w:i/>
          <w:color w:val="231F20"/>
          <w:w w:val="110"/>
          <w:sz w:val="16"/>
        </w:rPr>
        <w:t xml:space="preserve">Critique </w:t>
      </w:r>
      <w:r>
        <w:rPr>
          <w:color w:val="231F20"/>
          <w:spacing w:val="-5"/>
          <w:w w:val="110"/>
          <w:sz w:val="16"/>
        </w:rPr>
        <w:t xml:space="preserve">13 </w:t>
      </w:r>
      <w:r>
        <w:rPr>
          <w:color w:val="231F20"/>
          <w:w w:val="110"/>
          <w:sz w:val="16"/>
        </w:rPr>
        <w:t xml:space="preserve">(Winter </w:t>
      </w:r>
      <w:r>
        <w:rPr>
          <w:color w:val="231F20"/>
          <w:spacing w:val="-3"/>
          <w:w w:val="110"/>
          <w:sz w:val="16"/>
        </w:rPr>
        <w:t>1978):</w:t>
      </w:r>
      <w:r>
        <w:rPr>
          <w:color w:val="231F20"/>
          <w:spacing w:val="10"/>
          <w:w w:val="110"/>
          <w:sz w:val="16"/>
        </w:rPr>
        <w:t xml:space="preserve"> </w:t>
      </w:r>
      <w:r>
        <w:rPr>
          <w:color w:val="231F20"/>
          <w:w w:val="110"/>
          <w:sz w:val="16"/>
        </w:rPr>
        <w:t>64.</w:t>
      </w:r>
    </w:p>
    <w:p w14:paraId="163823A5" w14:textId="77777777" w:rsidR="002653E8" w:rsidRDefault="003115E3">
      <w:pPr>
        <w:pStyle w:val="a4"/>
        <w:numPr>
          <w:ilvl w:val="0"/>
          <w:numId w:val="40"/>
        </w:numPr>
        <w:tabs>
          <w:tab w:val="left" w:pos="1287"/>
        </w:tabs>
        <w:ind w:left="1286" w:hanging="138"/>
        <w:jc w:val="left"/>
        <w:rPr>
          <w:sz w:val="16"/>
        </w:rPr>
      </w:pPr>
      <w:r>
        <w:rPr>
          <w:color w:val="231F20"/>
          <w:w w:val="110"/>
          <w:sz w:val="16"/>
        </w:rPr>
        <w:t>Katsiaficas,</w:t>
      </w:r>
      <w:r>
        <w:rPr>
          <w:color w:val="231F20"/>
          <w:spacing w:val="6"/>
          <w:w w:val="110"/>
          <w:sz w:val="16"/>
        </w:rPr>
        <w:t xml:space="preserve"> </w:t>
      </w:r>
      <w:r>
        <w:rPr>
          <w:color w:val="231F20"/>
          <w:w w:val="110"/>
          <w:sz w:val="16"/>
        </w:rPr>
        <w:t>78-9.</w:t>
      </w:r>
    </w:p>
    <w:p w14:paraId="02BC40D2" w14:textId="77777777" w:rsidR="002653E8" w:rsidRPr="00846956" w:rsidRDefault="003115E3">
      <w:pPr>
        <w:pStyle w:val="a4"/>
        <w:numPr>
          <w:ilvl w:val="0"/>
          <w:numId w:val="40"/>
        </w:numPr>
        <w:tabs>
          <w:tab w:val="left" w:pos="1287"/>
        </w:tabs>
        <w:spacing w:before="51" w:line="254" w:lineRule="auto"/>
        <w:ind w:right="1857" w:firstLine="0"/>
        <w:jc w:val="left"/>
        <w:rPr>
          <w:sz w:val="16"/>
          <w:lang w:val="de-DE"/>
        </w:rPr>
      </w:pPr>
      <w:r w:rsidRPr="00846956">
        <w:rPr>
          <w:color w:val="231F20"/>
          <w:w w:val="105"/>
          <w:sz w:val="16"/>
          <w:lang w:val="de-DE"/>
        </w:rPr>
        <w:t xml:space="preserve">Ute Kätzel, “Die Mädchen fielen aus ihrer Rolle,” </w:t>
      </w:r>
      <w:r w:rsidRPr="00846956">
        <w:rPr>
          <w:i/>
          <w:color w:val="231F20"/>
          <w:w w:val="105"/>
          <w:sz w:val="16"/>
          <w:lang w:val="de-DE"/>
        </w:rPr>
        <w:t xml:space="preserve">die tageszeitung </w:t>
      </w:r>
      <w:r w:rsidRPr="00846956">
        <w:rPr>
          <w:color w:val="231F20"/>
          <w:w w:val="105"/>
          <w:sz w:val="16"/>
          <w:lang w:val="de-DE"/>
        </w:rPr>
        <w:t>[online], October 25-26,</w:t>
      </w:r>
      <w:r w:rsidRPr="00846956">
        <w:rPr>
          <w:color w:val="231F20"/>
          <w:spacing w:val="16"/>
          <w:w w:val="105"/>
          <w:sz w:val="16"/>
          <w:lang w:val="de-DE"/>
        </w:rPr>
        <w:t xml:space="preserve"> </w:t>
      </w:r>
      <w:r w:rsidRPr="00846956">
        <w:rPr>
          <w:color w:val="231F20"/>
          <w:spacing w:val="-4"/>
          <w:w w:val="105"/>
          <w:sz w:val="16"/>
          <w:lang w:val="de-DE"/>
        </w:rPr>
        <w:t>1997.</w:t>
      </w:r>
    </w:p>
    <w:p w14:paraId="0B0F5D88" w14:textId="77777777" w:rsidR="002653E8" w:rsidRPr="00846956" w:rsidRDefault="002653E8">
      <w:pPr>
        <w:spacing w:line="254" w:lineRule="auto"/>
        <w:rPr>
          <w:sz w:val="16"/>
          <w:lang w:val="de-DE"/>
        </w:rPr>
        <w:sectPr w:rsidR="002653E8" w:rsidRPr="00846956">
          <w:pgSz w:w="8640" w:h="12960"/>
          <w:pgMar w:top="1060" w:right="0" w:bottom="1040" w:left="0" w:header="0" w:footer="850" w:gutter="0"/>
          <w:cols w:space="720"/>
        </w:sectPr>
      </w:pPr>
    </w:p>
    <w:p w14:paraId="6783E872" w14:textId="77777777" w:rsidR="002653E8" w:rsidRDefault="003115E3">
      <w:pPr>
        <w:pStyle w:val="a3"/>
        <w:spacing w:before="86" w:line="264" w:lineRule="auto"/>
        <w:ind w:left="1327" w:right="1145"/>
        <w:jc w:val="both"/>
      </w:pPr>
      <w:r>
        <w:rPr>
          <w:color w:val="231F20"/>
        </w:rPr>
        <w:lastRenderedPageBreak/>
        <w:t xml:space="preserve">it seems not to have occurred to the women or men in the </w:t>
      </w:r>
      <w:r w:rsidR="00C507A5">
        <w:rPr>
          <w:color w:val="231F20"/>
        </w:rPr>
        <w:t>red army faction</w:t>
      </w:r>
      <w:r>
        <w:rPr>
          <w:color w:val="231F20"/>
        </w:rPr>
        <w:t xml:space="preserve"> that gender made a difference as to how imperialism was experienced by its victims, or that anti-imperialism might benefit from an explicit connection to women’s liberation.</w:t>
      </w:r>
    </w:p>
    <w:p w14:paraId="4A795D88" w14:textId="77777777" w:rsidR="002653E8" w:rsidRDefault="003115E3">
      <w:pPr>
        <w:pStyle w:val="a3"/>
        <w:spacing w:line="264" w:lineRule="auto"/>
        <w:ind w:left="1327" w:right="1145" w:firstLine="210"/>
        <w:jc w:val="both"/>
      </w:pPr>
      <w:r>
        <w:rPr>
          <w:color w:val="231F20"/>
        </w:rPr>
        <w:t xml:space="preserve">Despite this unpromising background, the Stammheim trauma sparked a process of change, both within the support scene and amongst a minority of feminists, too. The consensus against violence that existed in the </w:t>
      </w:r>
      <w:r>
        <w:rPr>
          <w:color w:val="231F20"/>
          <w:spacing w:val="-3"/>
        </w:rPr>
        <w:t xml:space="preserve">women’s </w:t>
      </w:r>
      <w:r>
        <w:rPr>
          <w:color w:val="231F20"/>
        </w:rPr>
        <w:t>movement was by no means complete, and despite</w:t>
      </w:r>
      <w:r>
        <w:rPr>
          <w:color w:val="231F20"/>
          <w:spacing w:val="-5"/>
        </w:rPr>
        <w:t xml:space="preserve"> </w:t>
      </w:r>
      <w:r>
        <w:rPr>
          <w:color w:val="231F20"/>
        </w:rPr>
        <w:t>the</w:t>
      </w:r>
      <w:r>
        <w:rPr>
          <w:color w:val="231F20"/>
          <w:spacing w:val="-5"/>
        </w:rPr>
        <w:t xml:space="preserve"> </w:t>
      </w:r>
      <w:r>
        <w:rPr>
          <w:color w:val="231F20"/>
        </w:rPr>
        <w:t>loud</w:t>
      </w:r>
      <w:r>
        <w:rPr>
          <w:color w:val="231F20"/>
          <w:spacing w:val="-5"/>
        </w:rPr>
        <w:t xml:space="preserve"> </w:t>
      </w:r>
      <w:r>
        <w:rPr>
          <w:color w:val="231F20"/>
        </w:rPr>
        <w:t>protestations</w:t>
      </w:r>
      <w:r>
        <w:rPr>
          <w:color w:val="231F20"/>
          <w:spacing w:val="-5"/>
        </w:rPr>
        <w:t xml:space="preserve"> </w:t>
      </w:r>
      <w:r>
        <w:rPr>
          <w:color w:val="231F20"/>
        </w:rPr>
        <w:t>of</w:t>
      </w:r>
      <w:r>
        <w:rPr>
          <w:color w:val="231F20"/>
          <w:spacing w:val="-5"/>
        </w:rPr>
        <w:t xml:space="preserve"> </w:t>
      </w:r>
      <w:r>
        <w:rPr>
          <w:color w:val="231F20"/>
        </w:rPr>
        <w:t>those</w:t>
      </w:r>
      <w:r>
        <w:rPr>
          <w:color w:val="231F20"/>
          <w:spacing w:val="-5"/>
        </w:rPr>
        <w:t xml:space="preserve"> </w:t>
      </w:r>
      <w:r>
        <w:rPr>
          <w:color w:val="231F20"/>
        </w:rPr>
        <w:t>who</w:t>
      </w:r>
      <w:r>
        <w:rPr>
          <w:color w:val="231F20"/>
          <w:spacing w:val="-5"/>
        </w:rPr>
        <w:t xml:space="preserve"> </w:t>
      </w:r>
      <w:r>
        <w:rPr>
          <w:color w:val="231F20"/>
        </w:rPr>
        <w:t>insisted</w:t>
      </w:r>
      <w:r>
        <w:rPr>
          <w:color w:val="231F20"/>
          <w:spacing w:val="-5"/>
        </w:rPr>
        <w:t xml:space="preserve"> </w:t>
      </w:r>
      <w:r>
        <w:rPr>
          <w:color w:val="231F20"/>
        </w:rPr>
        <w:t>that</w:t>
      </w:r>
      <w:r>
        <w:rPr>
          <w:color w:val="231F20"/>
          <w:spacing w:val="-5"/>
        </w:rPr>
        <w:t xml:space="preserve"> </w:t>
      </w:r>
      <w:r>
        <w:rPr>
          <w:color w:val="231F20"/>
        </w:rPr>
        <w:t>all</w:t>
      </w:r>
      <w:r>
        <w:rPr>
          <w:color w:val="231F20"/>
          <w:spacing w:val="-5"/>
        </w:rPr>
        <w:t xml:space="preserve"> </w:t>
      </w:r>
      <w:r>
        <w:rPr>
          <w:color w:val="231F20"/>
        </w:rPr>
        <w:t>violence</w:t>
      </w:r>
      <w:r>
        <w:rPr>
          <w:color w:val="231F20"/>
          <w:spacing w:val="-5"/>
        </w:rPr>
        <w:t xml:space="preserve"> </w:t>
      </w:r>
      <w:r>
        <w:rPr>
          <w:color w:val="231F20"/>
        </w:rPr>
        <w:t xml:space="preserve">was “male,” others felt that nonviolence in a sexist society was of limited value. Referring specifically to the Stammheim deaths, French feminist Françoise d’Eaubonne pointedly suggested that there was something positive to be learned from the women of the </w:t>
      </w:r>
      <w:r w:rsidR="00C507A5">
        <w:rPr>
          <w:color w:val="231F20"/>
        </w:rPr>
        <w:t>red army faction</w:t>
      </w:r>
      <w:r>
        <w:rPr>
          <w:color w:val="231F20"/>
        </w:rPr>
        <w:t xml:space="preserve">, even when their choices had tragic consequences. Writing in </w:t>
      </w:r>
      <w:r>
        <w:rPr>
          <w:color w:val="231F20"/>
          <w:spacing w:val="-4"/>
        </w:rPr>
        <w:t xml:space="preserve">1978, </w:t>
      </w:r>
      <w:r>
        <w:rPr>
          <w:color w:val="231F20"/>
        </w:rPr>
        <w:t>in a text which was discussed</w:t>
      </w:r>
      <w:r>
        <w:rPr>
          <w:color w:val="231F20"/>
          <w:spacing w:val="10"/>
        </w:rPr>
        <w:t xml:space="preserve"> </w:t>
      </w:r>
      <w:r>
        <w:rPr>
          <w:color w:val="231F20"/>
        </w:rPr>
        <w:t>both</w:t>
      </w:r>
      <w:r>
        <w:rPr>
          <w:color w:val="231F20"/>
          <w:spacing w:val="10"/>
        </w:rPr>
        <w:t xml:space="preserve"> </w:t>
      </w:r>
      <w:r>
        <w:rPr>
          <w:color w:val="231F20"/>
        </w:rPr>
        <w:t>in</w:t>
      </w:r>
      <w:r>
        <w:rPr>
          <w:color w:val="231F20"/>
          <w:spacing w:val="10"/>
        </w:rPr>
        <w:t xml:space="preserve"> </w:t>
      </w:r>
      <w:r>
        <w:rPr>
          <w:color w:val="231F20"/>
        </w:rPr>
        <w:t>France</w:t>
      </w:r>
      <w:r>
        <w:rPr>
          <w:color w:val="231F20"/>
          <w:spacing w:val="10"/>
        </w:rPr>
        <w:t xml:space="preserve"> </w:t>
      </w:r>
      <w:r>
        <w:rPr>
          <w:color w:val="231F20"/>
        </w:rPr>
        <w:t>and</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Federal</w:t>
      </w:r>
      <w:r>
        <w:rPr>
          <w:color w:val="231F20"/>
          <w:spacing w:val="10"/>
        </w:rPr>
        <w:t xml:space="preserve"> </w:t>
      </w:r>
      <w:r>
        <w:rPr>
          <w:color w:val="231F20"/>
        </w:rPr>
        <w:t>Republic,</w:t>
      </w:r>
      <w:r>
        <w:rPr>
          <w:color w:val="231F20"/>
          <w:spacing w:val="10"/>
        </w:rPr>
        <w:t xml:space="preserve"> </w:t>
      </w:r>
      <w:r>
        <w:rPr>
          <w:color w:val="231F20"/>
        </w:rPr>
        <w:t>she</w:t>
      </w:r>
      <w:r>
        <w:rPr>
          <w:color w:val="231F20"/>
          <w:spacing w:val="10"/>
        </w:rPr>
        <w:t xml:space="preserve"> </w:t>
      </w:r>
      <w:r>
        <w:rPr>
          <w:color w:val="231F20"/>
        </w:rPr>
        <w:t>asked:</w:t>
      </w:r>
    </w:p>
    <w:p w14:paraId="2D060C30" w14:textId="77777777" w:rsidR="002653E8" w:rsidRDefault="003115E3">
      <w:pPr>
        <w:spacing w:before="113" w:line="276" w:lineRule="auto"/>
        <w:ind w:left="1747" w:right="1559"/>
        <w:jc w:val="both"/>
        <w:rPr>
          <w:i/>
          <w:sz w:val="11"/>
        </w:rPr>
      </w:pPr>
      <w:r>
        <w:rPr>
          <w:i/>
          <w:color w:val="231F20"/>
          <w:w w:val="105"/>
          <w:sz w:val="19"/>
        </w:rPr>
        <w:t xml:space="preserve">Is it not better for a woman to be beaten to death by a prison guard at Stammheim than to be humiliated by the blows of a husband’s fists? Is it not better to endure insults before a court of law which one can denounce as ‘Nazi pigs!’ than to endure in silence the insults of an employer? And is it not </w:t>
      </w:r>
      <w:r>
        <w:rPr>
          <w:i/>
          <w:color w:val="231F20"/>
          <w:spacing w:val="-4"/>
          <w:w w:val="105"/>
          <w:sz w:val="19"/>
        </w:rPr>
        <w:t>better,</w:t>
      </w:r>
      <w:r>
        <w:rPr>
          <w:i/>
          <w:color w:val="231F20"/>
          <w:spacing w:val="-23"/>
          <w:w w:val="105"/>
          <w:sz w:val="19"/>
        </w:rPr>
        <w:t xml:space="preserve"> </w:t>
      </w:r>
      <w:r>
        <w:rPr>
          <w:i/>
          <w:color w:val="231F20"/>
          <w:w w:val="105"/>
          <w:sz w:val="19"/>
        </w:rPr>
        <w:t>ultimately, to meet death having fought back than to die in resignation and defeat? If we must die, then better with weapon in</w:t>
      </w:r>
      <w:r>
        <w:rPr>
          <w:i/>
          <w:color w:val="231F20"/>
          <w:spacing w:val="36"/>
          <w:w w:val="105"/>
          <w:sz w:val="19"/>
        </w:rPr>
        <w:t xml:space="preserve"> </w:t>
      </w:r>
      <w:r>
        <w:rPr>
          <w:i/>
          <w:color w:val="231F20"/>
          <w:w w:val="105"/>
          <w:sz w:val="19"/>
        </w:rPr>
        <w:t>hand.</w:t>
      </w:r>
      <w:r>
        <w:rPr>
          <w:i/>
          <w:color w:val="231F20"/>
          <w:w w:val="105"/>
          <w:position w:val="6"/>
          <w:sz w:val="11"/>
        </w:rPr>
        <w:t>4</w:t>
      </w:r>
    </w:p>
    <w:p w14:paraId="5C0E68D9" w14:textId="77777777" w:rsidR="002653E8" w:rsidRDefault="002653E8">
      <w:pPr>
        <w:pStyle w:val="a3"/>
        <w:rPr>
          <w:i/>
          <w:sz w:val="22"/>
        </w:rPr>
      </w:pPr>
    </w:p>
    <w:p w14:paraId="2FD93DC0" w14:textId="77777777" w:rsidR="002653E8" w:rsidRDefault="003115E3">
      <w:pPr>
        <w:spacing w:before="133" w:line="244" w:lineRule="auto"/>
        <w:ind w:left="2369" w:right="3692" w:hanging="64"/>
        <w:jc w:val="right"/>
        <w:rPr>
          <w:i/>
          <w:sz w:val="18"/>
        </w:rPr>
      </w:pPr>
      <w:r>
        <w:drawing>
          <wp:anchor distT="0" distB="0" distL="0" distR="0" simplePos="0" relativeHeight="11248" behindDoc="0" locked="0" layoutInCell="1" allowOverlap="1" wp14:anchorId="2C6DA588" wp14:editId="05741A1E">
            <wp:simplePos x="0" y="0"/>
            <wp:positionH relativeFrom="page">
              <wp:posOffset>3237649</wp:posOffset>
            </wp:positionH>
            <wp:positionV relativeFrom="paragraph">
              <wp:posOffset>45894</wp:posOffset>
            </wp:positionV>
            <wp:extent cx="1392169" cy="1952382"/>
            <wp:effectExtent l="0" t="0" r="0" b="0"/>
            <wp:wrapNone/>
            <wp:docPr id="8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3.png"/>
                    <pic:cNvPicPr/>
                  </pic:nvPicPr>
                  <pic:blipFill>
                    <a:blip r:embed="rId453" cstate="print"/>
                    <a:stretch>
                      <a:fillRect/>
                    </a:stretch>
                  </pic:blipFill>
                  <pic:spPr>
                    <a:xfrm>
                      <a:off x="0" y="0"/>
                      <a:ext cx="1392169" cy="1952382"/>
                    </a:xfrm>
                    <a:prstGeom prst="rect">
                      <a:avLst/>
                    </a:prstGeom>
                  </pic:spPr>
                </pic:pic>
              </a:graphicData>
            </a:graphic>
          </wp:anchor>
        </w:drawing>
      </w:r>
      <w:r>
        <w:rPr>
          <w:i/>
          <w:color w:val="231F20"/>
          <w:sz w:val="18"/>
        </w:rPr>
        <w:t>Women Against Imperialist War:</w:t>
      </w:r>
      <w:r>
        <w:rPr>
          <w:i/>
          <w:color w:val="231F20"/>
          <w:w w:val="107"/>
          <w:sz w:val="18"/>
        </w:rPr>
        <w:t xml:space="preserve"> </w:t>
      </w:r>
      <w:r>
        <w:rPr>
          <w:i/>
          <w:color w:val="231F20"/>
          <w:sz w:val="18"/>
        </w:rPr>
        <w:t>in the early eighties, as sections</w:t>
      </w:r>
      <w:r>
        <w:rPr>
          <w:i/>
          <w:color w:val="231F20"/>
          <w:w w:val="101"/>
          <w:sz w:val="18"/>
        </w:rPr>
        <w:t xml:space="preserve"> </w:t>
      </w:r>
      <w:r>
        <w:rPr>
          <w:i/>
          <w:color w:val="231F20"/>
          <w:sz w:val="18"/>
        </w:rPr>
        <w:t>of the women’s movement</w:t>
      </w:r>
      <w:r>
        <w:rPr>
          <w:i/>
          <w:color w:val="231F20"/>
          <w:w w:val="96"/>
          <w:sz w:val="18"/>
        </w:rPr>
        <w:t xml:space="preserve"> </w:t>
      </w:r>
      <w:r>
        <w:rPr>
          <w:i/>
          <w:color w:val="231F20"/>
          <w:sz w:val="18"/>
        </w:rPr>
        <w:t>attempted to bridge the distance</w:t>
      </w:r>
      <w:r>
        <w:rPr>
          <w:i/>
          <w:color w:val="231F20"/>
          <w:w w:val="97"/>
          <w:sz w:val="18"/>
        </w:rPr>
        <w:t xml:space="preserve"> </w:t>
      </w:r>
      <w:r>
        <w:rPr>
          <w:i/>
          <w:color w:val="231F20"/>
          <w:sz w:val="18"/>
        </w:rPr>
        <w:t>that had separated them</w:t>
      </w:r>
    </w:p>
    <w:p w14:paraId="3C22BE53" w14:textId="77777777" w:rsidR="002653E8" w:rsidRDefault="003115E3">
      <w:pPr>
        <w:spacing w:before="4" w:line="244" w:lineRule="auto"/>
        <w:ind w:left="2258" w:right="3692" w:firstLine="374"/>
        <w:jc w:val="right"/>
        <w:rPr>
          <w:i/>
          <w:sz w:val="18"/>
        </w:rPr>
      </w:pPr>
      <w:r>
        <w:rPr>
          <w:i/>
          <w:color w:val="231F20"/>
          <w:sz w:val="18"/>
        </w:rPr>
        <w:t xml:space="preserve">from the </w:t>
      </w:r>
      <w:r w:rsidR="00C507A5">
        <w:rPr>
          <w:i/>
          <w:color w:val="231F20"/>
          <w:spacing w:val="5"/>
          <w:sz w:val="18"/>
        </w:rPr>
        <w:t>red army faction</w:t>
      </w:r>
      <w:r>
        <w:rPr>
          <w:i/>
          <w:color w:val="231F20"/>
          <w:spacing w:val="5"/>
          <w:sz w:val="18"/>
        </w:rPr>
        <w:t xml:space="preserve"> </w:t>
      </w:r>
      <w:r>
        <w:rPr>
          <w:i/>
          <w:color w:val="231F20"/>
          <w:sz w:val="18"/>
        </w:rPr>
        <w:t>support</w:t>
      </w:r>
      <w:r>
        <w:rPr>
          <w:i/>
          <w:color w:val="231F20"/>
          <w:spacing w:val="2"/>
          <w:sz w:val="18"/>
        </w:rPr>
        <w:t xml:space="preserve"> scene,</w:t>
      </w:r>
      <w:r>
        <w:rPr>
          <w:i/>
          <w:color w:val="231F20"/>
          <w:w w:val="139"/>
          <w:sz w:val="18"/>
        </w:rPr>
        <w:t xml:space="preserve"> </w:t>
      </w:r>
      <w:r>
        <w:rPr>
          <w:i/>
          <w:color w:val="231F20"/>
          <w:sz w:val="18"/>
        </w:rPr>
        <w:t xml:space="preserve">this became </w:t>
      </w:r>
      <w:r>
        <w:rPr>
          <w:i/>
          <w:color w:val="231F20"/>
          <w:spacing w:val="1"/>
          <w:sz w:val="18"/>
        </w:rPr>
        <w:t xml:space="preserve">one </w:t>
      </w:r>
      <w:r>
        <w:rPr>
          <w:i/>
          <w:color w:val="231F20"/>
          <w:sz w:val="18"/>
        </w:rPr>
        <w:t>of the most</w:t>
      </w:r>
      <w:r>
        <w:rPr>
          <w:i/>
          <w:color w:val="231F20"/>
          <w:w w:val="96"/>
          <w:sz w:val="18"/>
        </w:rPr>
        <w:t xml:space="preserve"> </w:t>
      </w:r>
      <w:r>
        <w:rPr>
          <w:i/>
          <w:color w:val="231F20"/>
          <w:spacing w:val="1"/>
          <w:sz w:val="18"/>
        </w:rPr>
        <w:t>important  anti-imperialist</w:t>
      </w:r>
      <w:r>
        <w:rPr>
          <w:i/>
          <w:color w:val="231F20"/>
          <w:sz w:val="18"/>
        </w:rPr>
        <w:t xml:space="preserve"> groups</w:t>
      </w:r>
    </w:p>
    <w:p w14:paraId="1BEC4C3F" w14:textId="77777777" w:rsidR="002653E8" w:rsidRDefault="003115E3">
      <w:pPr>
        <w:spacing w:before="2"/>
        <w:ind w:left="4014"/>
        <w:rPr>
          <w:i/>
          <w:sz w:val="18"/>
        </w:rPr>
      </w:pPr>
      <w:r>
        <w:drawing>
          <wp:anchor distT="0" distB="0" distL="0" distR="0" simplePos="0" relativeHeight="11272" behindDoc="0" locked="0" layoutInCell="1" allowOverlap="1" wp14:anchorId="521A9DDB" wp14:editId="6226B3CC">
            <wp:simplePos x="0" y="0"/>
            <wp:positionH relativeFrom="page">
              <wp:posOffset>1032383</wp:posOffset>
            </wp:positionH>
            <wp:positionV relativeFrom="paragraph">
              <wp:posOffset>81429</wp:posOffset>
            </wp:positionV>
            <wp:extent cx="912418" cy="733297"/>
            <wp:effectExtent l="0" t="0" r="0" b="0"/>
            <wp:wrapNone/>
            <wp:docPr id="8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4.png"/>
                    <pic:cNvPicPr/>
                  </pic:nvPicPr>
                  <pic:blipFill>
                    <a:blip r:embed="rId454" cstate="print"/>
                    <a:stretch>
                      <a:fillRect/>
                    </a:stretch>
                  </pic:blipFill>
                  <pic:spPr>
                    <a:xfrm>
                      <a:off x="0" y="0"/>
                      <a:ext cx="912418" cy="733297"/>
                    </a:xfrm>
                    <a:prstGeom prst="rect">
                      <a:avLst/>
                    </a:prstGeom>
                  </pic:spPr>
                </pic:pic>
              </a:graphicData>
            </a:graphic>
          </wp:anchor>
        </w:drawing>
      </w:r>
      <w:r>
        <w:rPr>
          <w:i/>
          <w:color w:val="231F20"/>
          <w:w w:val="110"/>
          <w:sz w:val="18"/>
        </w:rPr>
        <w:t>in  the FRG.</w:t>
      </w:r>
    </w:p>
    <w:p w14:paraId="5335DB69" w14:textId="77777777" w:rsidR="002653E8" w:rsidRDefault="002653E8">
      <w:pPr>
        <w:pStyle w:val="a3"/>
        <w:rPr>
          <w:i/>
        </w:rPr>
      </w:pPr>
    </w:p>
    <w:p w14:paraId="542F32C5" w14:textId="77777777" w:rsidR="002653E8" w:rsidRDefault="002653E8">
      <w:pPr>
        <w:pStyle w:val="a3"/>
        <w:rPr>
          <w:i/>
        </w:rPr>
      </w:pPr>
    </w:p>
    <w:p w14:paraId="31BB916D" w14:textId="77777777" w:rsidR="002653E8" w:rsidRDefault="002653E8">
      <w:pPr>
        <w:pStyle w:val="a3"/>
        <w:rPr>
          <w:i/>
        </w:rPr>
      </w:pPr>
    </w:p>
    <w:p w14:paraId="03C6BE9F" w14:textId="77777777" w:rsidR="002653E8" w:rsidRDefault="002653E8">
      <w:pPr>
        <w:pStyle w:val="a3"/>
        <w:rPr>
          <w:i/>
        </w:rPr>
      </w:pPr>
    </w:p>
    <w:p w14:paraId="7A8B79D4" w14:textId="77777777" w:rsidR="002653E8" w:rsidRDefault="00000000">
      <w:pPr>
        <w:pStyle w:val="a3"/>
        <w:spacing w:before="9"/>
        <w:rPr>
          <w:i/>
          <w:sz w:val="25"/>
        </w:rPr>
      </w:pPr>
      <w:r>
        <w:rPr>
          <w:noProof w:val="0"/>
        </w:rPr>
        <w:pict w14:anchorId="01CC7FC4">
          <v:line id="_x0000_s2144" style="position:absolute;z-index:11224;mso-wrap-distance-left:0;mso-wrap-distance-right:0;mso-position-horizontal-relative:page" from="66.4pt,17.3pt" to="138.4pt,17.3pt" strokecolor="#231f20" strokeweight=".5pt">
            <w10:wrap type="topAndBottom" anchorx="page"/>
          </v:line>
        </w:pict>
      </w:r>
    </w:p>
    <w:p w14:paraId="53CDB054" w14:textId="77777777" w:rsidR="002653E8" w:rsidRDefault="003115E3">
      <w:pPr>
        <w:pStyle w:val="a4"/>
        <w:numPr>
          <w:ilvl w:val="0"/>
          <w:numId w:val="40"/>
        </w:numPr>
        <w:tabs>
          <w:tab w:val="left" w:pos="1467"/>
        </w:tabs>
        <w:spacing w:before="53" w:line="254" w:lineRule="auto"/>
        <w:ind w:left="1328" w:right="1205" w:hanging="1"/>
        <w:jc w:val="left"/>
        <w:rPr>
          <w:sz w:val="16"/>
        </w:rPr>
      </w:pPr>
      <w:r>
        <w:rPr>
          <w:color w:val="231F20"/>
          <w:w w:val="105"/>
          <w:sz w:val="16"/>
        </w:rPr>
        <w:t xml:space="preserve">Françoise D’Eaubonne, </w:t>
      </w:r>
      <w:r>
        <w:rPr>
          <w:i/>
          <w:color w:val="231F20"/>
          <w:spacing w:val="1"/>
          <w:w w:val="105"/>
          <w:sz w:val="16"/>
        </w:rPr>
        <w:t xml:space="preserve">Feminismus  und  </w:t>
      </w:r>
      <w:r>
        <w:rPr>
          <w:i/>
          <w:color w:val="231F20"/>
          <w:w w:val="105"/>
          <w:sz w:val="16"/>
        </w:rPr>
        <w:t xml:space="preserve">“Terror,”  </w:t>
      </w:r>
      <w:r>
        <w:rPr>
          <w:color w:val="231F20"/>
          <w:w w:val="105"/>
          <w:sz w:val="16"/>
        </w:rPr>
        <w:t xml:space="preserve">(Munich:  Trikont,  </w:t>
      </w:r>
      <w:r>
        <w:rPr>
          <w:color w:val="231F20"/>
          <w:spacing w:val="-3"/>
          <w:w w:val="105"/>
          <w:sz w:val="16"/>
        </w:rPr>
        <w:t xml:space="preserve">1978) </w:t>
      </w:r>
      <w:r>
        <w:rPr>
          <w:color w:val="231F20"/>
          <w:w w:val="105"/>
          <w:sz w:val="16"/>
        </w:rPr>
        <w:t xml:space="preserve">quoted in Sibylle Plogstedt, “Has Violence Arrived in the </w:t>
      </w:r>
      <w:r>
        <w:rPr>
          <w:color w:val="231F20"/>
          <w:spacing w:val="-3"/>
          <w:w w:val="105"/>
          <w:sz w:val="16"/>
        </w:rPr>
        <w:t xml:space="preserve">Women’s </w:t>
      </w:r>
      <w:r>
        <w:rPr>
          <w:color w:val="231F20"/>
          <w:w w:val="105"/>
          <w:sz w:val="16"/>
        </w:rPr>
        <w:t xml:space="preserve">Movement,” in </w:t>
      </w:r>
      <w:r>
        <w:rPr>
          <w:i/>
          <w:color w:val="231F20"/>
          <w:spacing w:val="2"/>
          <w:w w:val="105"/>
          <w:sz w:val="16"/>
        </w:rPr>
        <w:t xml:space="preserve">German </w:t>
      </w:r>
      <w:r>
        <w:rPr>
          <w:i/>
          <w:color w:val="231F20"/>
          <w:spacing w:val="1"/>
          <w:w w:val="105"/>
          <w:sz w:val="16"/>
        </w:rPr>
        <w:t xml:space="preserve">Feminism: </w:t>
      </w:r>
      <w:r>
        <w:rPr>
          <w:i/>
          <w:color w:val="231F20"/>
          <w:w w:val="105"/>
          <w:sz w:val="16"/>
        </w:rPr>
        <w:t xml:space="preserve">Readings in Politics </w:t>
      </w:r>
      <w:r>
        <w:rPr>
          <w:i/>
          <w:color w:val="231F20"/>
          <w:spacing w:val="1"/>
          <w:w w:val="105"/>
          <w:sz w:val="16"/>
        </w:rPr>
        <w:t xml:space="preserve">and </w:t>
      </w:r>
      <w:r>
        <w:rPr>
          <w:i/>
          <w:color w:val="231F20"/>
          <w:w w:val="105"/>
          <w:sz w:val="16"/>
        </w:rPr>
        <w:t xml:space="preserve">Literature, </w:t>
      </w:r>
      <w:r>
        <w:rPr>
          <w:color w:val="231F20"/>
          <w:w w:val="105"/>
          <w:sz w:val="16"/>
        </w:rPr>
        <w:t xml:space="preserve">ed. Edith Hoshino Altbach (Albany, Ny: State University of New </w:t>
      </w:r>
      <w:r>
        <w:rPr>
          <w:color w:val="231F20"/>
          <w:spacing w:val="-3"/>
          <w:w w:val="105"/>
          <w:sz w:val="16"/>
        </w:rPr>
        <w:t xml:space="preserve">york </w:t>
      </w:r>
      <w:r>
        <w:rPr>
          <w:color w:val="231F20"/>
          <w:w w:val="105"/>
          <w:sz w:val="16"/>
        </w:rPr>
        <w:t xml:space="preserve">Press, </w:t>
      </w:r>
      <w:r>
        <w:rPr>
          <w:color w:val="231F20"/>
          <w:spacing w:val="-3"/>
          <w:w w:val="105"/>
          <w:sz w:val="16"/>
        </w:rPr>
        <w:t xml:space="preserve">1984), </w:t>
      </w:r>
      <w:r>
        <w:rPr>
          <w:color w:val="231F20"/>
          <w:spacing w:val="-7"/>
          <w:w w:val="105"/>
          <w:sz w:val="16"/>
        </w:rPr>
        <w:t>337.</w:t>
      </w:r>
    </w:p>
    <w:p w14:paraId="14F2592A" w14:textId="77777777" w:rsidR="002653E8" w:rsidRDefault="002653E8">
      <w:pPr>
        <w:spacing w:line="254" w:lineRule="auto"/>
        <w:rPr>
          <w:sz w:val="16"/>
        </w:rPr>
        <w:sectPr w:rsidR="002653E8">
          <w:pgSz w:w="8640" w:h="12960"/>
          <w:pgMar w:top="1060" w:right="0" w:bottom="1040" w:left="0" w:header="0" w:footer="850" w:gutter="0"/>
          <w:cols w:space="720"/>
        </w:sectPr>
      </w:pPr>
    </w:p>
    <w:p w14:paraId="30536126" w14:textId="77777777" w:rsidR="002653E8" w:rsidRDefault="003115E3">
      <w:pPr>
        <w:pStyle w:val="a3"/>
        <w:spacing w:before="86" w:line="264" w:lineRule="auto"/>
        <w:ind w:left="1147" w:right="1325"/>
        <w:jc w:val="both"/>
      </w:pPr>
      <w:r>
        <w:rPr>
          <w:color w:val="231F20"/>
        </w:rPr>
        <w:lastRenderedPageBreak/>
        <w:t>The lurch to the right, the Stammheim deaths, the rampant police repression, and the terrorist-baiting of the women’s movement all worked to push certain women to explore the possibilities of renewed solidarity. A conference on women and repression was organized in Frankfurt in 1978 and a women’s solidarity committee was formed to support Irmgard Möller. Slowly but surely, small groups took the first steps out of their isolation, and the reaction provoked by the anti-</w:t>
      </w:r>
      <w:r w:rsidR="00C507A5">
        <w:rPr>
          <w:color w:val="231F20"/>
        </w:rPr>
        <w:t>red army faction</w:t>
      </w:r>
      <w:r>
        <w:rPr>
          <w:color w:val="231F20"/>
        </w:rPr>
        <w:t xml:space="preserve"> repression would once again cause some to rally to the anti-imperialist camp.</w:t>
      </w:r>
    </w:p>
    <w:p w14:paraId="09C2ADD3" w14:textId="77777777" w:rsidR="002653E8" w:rsidRDefault="003115E3">
      <w:pPr>
        <w:pStyle w:val="a3"/>
        <w:spacing w:line="264" w:lineRule="auto"/>
        <w:ind w:left="1147" w:right="1325" w:firstLine="210"/>
        <w:jc w:val="both"/>
      </w:pPr>
      <w:r>
        <w:rPr>
          <w:color w:val="231F20"/>
        </w:rPr>
        <w:t xml:space="preserve">At the same time, the antiterrorist hysteria provided the state with  an opportunity to move against the K-groups that had been reinforcing the increasingly militant antinuclear movement ever since </w:t>
      </w:r>
      <w:r>
        <w:rPr>
          <w:color w:val="231F20"/>
          <w:spacing w:val="-4"/>
        </w:rPr>
        <w:t xml:space="preserve">1976. </w:t>
      </w:r>
      <w:r>
        <w:rPr>
          <w:color w:val="231F20"/>
        </w:rPr>
        <w:t xml:space="preserve">After Schleyer was seized, the opposition CDU called for a ban against the </w:t>
      </w:r>
      <w:r>
        <w:rPr>
          <w:color w:val="231F20"/>
          <w:spacing w:val="2"/>
          <w:w w:val="98"/>
        </w:rPr>
        <w:t>t</w:t>
      </w:r>
      <w:r>
        <w:rPr>
          <w:color w:val="231F20"/>
          <w:spacing w:val="3"/>
        </w:rPr>
        <w:t>h</w:t>
      </w:r>
      <w:r>
        <w:rPr>
          <w:color w:val="231F20"/>
          <w:spacing w:val="-1"/>
          <w:w w:val="94"/>
        </w:rPr>
        <w:t>r</w:t>
      </w:r>
      <w:r>
        <w:rPr>
          <w:color w:val="231F20"/>
          <w:spacing w:val="1"/>
          <w:w w:val="91"/>
        </w:rPr>
        <w:t>e</w:t>
      </w:r>
      <w:r>
        <w:rPr>
          <w:color w:val="231F20"/>
          <w:w w:val="91"/>
        </w:rPr>
        <w:t>e</w:t>
      </w:r>
      <w:r>
        <w:rPr>
          <w:color w:val="231F20"/>
        </w:rPr>
        <w:t xml:space="preserve"> </w:t>
      </w:r>
      <w:r>
        <w:rPr>
          <w:color w:val="231F20"/>
          <w:spacing w:val="-8"/>
        </w:rPr>
        <w:t xml:space="preserve"> </w:t>
      </w:r>
      <w:r>
        <w:rPr>
          <w:color w:val="231F20"/>
          <w:w w:val="102"/>
        </w:rPr>
        <w:t>l</w:t>
      </w:r>
      <w:r>
        <w:rPr>
          <w:color w:val="231F20"/>
          <w:spacing w:val="3"/>
          <w:w w:val="102"/>
        </w:rPr>
        <w:t>a</w:t>
      </w:r>
      <w:r>
        <w:rPr>
          <w:color w:val="231F20"/>
          <w:w w:val="94"/>
        </w:rPr>
        <w:t>r</w:t>
      </w:r>
      <w:r>
        <w:rPr>
          <w:color w:val="231F20"/>
          <w:spacing w:val="-1"/>
          <w:w w:val="101"/>
        </w:rPr>
        <w:t>g</w:t>
      </w:r>
      <w:r>
        <w:rPr>
          <w:color w:val="231F20"/>
          <w:spacing w:val="1"/>
          <w:w w:val="91"/>
        </w:rPr>
        <w:t>e</w:t>
      </w:r>
      <w:r>
        <w:rPr>
          <w:color w:val="231F20"/>
          <w:w w:val="90"/>
        </w:rPr>
        <w:t>s</w:t>
      </w:r>
      <w:r>
        <w:rPr>
          <w:color w:val="231F20"/>
          <w:w w:val="98"/>
        </w:rPr>
        <w:t>t</w:t>
      </w:r>
      <w:r>
        <w:rPr>
          <w:color w:val="231F20"/>
        </w:rPr>
        <w:t xml:space="preserve"> </w:t>
      </w:r>
      <w:r>
        <w:rPr>
          <w:color w:val="231F20"/>
          <w:spacing w:val="-8"/>
        </w:rPr>
        <w:t xml:space="preserve"> </w:t>
      </w:r>
      <w:r>
        <w:rPr>
          <w:color w:val="231F20"/>
          <w:spacing w:val="3"/>
          <w:w w:val="122"/>
        </w:rPr>
        <w:t>M</w:t>
      </w:r>
      <w:r>
        <w:rPr>
          <w:color w:val="231F20"/>
          <w:spacing w:val="-3"/>
          <w:w w:val="102"/>
        </w:rPr>
        <w:t>a</w:t>
      </w:r>
      <w:r>
        <w:rPr>
          <w:color w:val="231F20"/>
          <w:spacing w:val="-1"/>
          <w:w w:val="104"/>
        </w:rPr>
        <w:t>o</w:t>
      </w:r>
      <w:r>
        <w:rPr>
          <w:color w:val="231F20"/>
        </w:rPr>
        <w:t>i</w:t>
      </w:r>
      <w:r>
        <w:rPr>
          <w:color w:val="231F20"/>
          <w:w w:val="90"/>
        </w:rPr>
        <w:t>s</w:t>
      </w:r>
      <w:r>
        <w:rPr>
          <w:color w:val="231F20"/>
          <w:w w:val="98"/>
        </w:rPr>
        <w:t>t</w:t>
      </w:r>
      <w:r>
        <w:rPr>
          <w:color w:val="231F20"/>
        </w:rPr>
        <w:t xml:space="preserve"> </w:t>
      </w:r>
      <w:r>
        <w:rPr>
          <w:color w:val="231F20"/>
          <w:spacing w:val="-8"/>
        </w:rPr>
        <w:t xml:space="preserve"> </w:t>
      </w:r>
      <w:r>
        <w:rPr>
          <w:color w:val="231F20"/>
          <w:w w:val="99"/>
        </w:rPr>
        <w:t>p</w:t>
      </w:r>
      <w:r>
        <w:rPr>
          <w:color w:val="231F20"/>
          <w:spacing w:val="3"/>
          <w:w w:val="102"/>
        </w:rPr>
        <w:t>a</w:t>
      </w:r>
      <w:r>
        <w:rPr>
          <w:color w:val="231F20"/>
          <w:spacing w:val="5"/>
          <w:w w:val="94"/>
        </w:rPr>
        <w:t>r</w:t>
      </w:r>
      <w:r>
        <w:rPr>
          <w:color w:val="231F20"/>
          <w:spacing w:val="2"/>
          <w:w w:val="98"/>
        </w:rPr>
        <w:t>t</w:t>
      </w:r>
      <w:r>
        <w:rPr>
          <w:color w:val="231F20"/>
          <w:spacing w:val="-1"/>
        </w:rPr>
        <w:t>i</w:t>
      </w:r>
      <w:r>
        <w:rPr>
          <w:color w:val="231F20"/>
          <w:spacing w:val="1"/>
          <w:w w:val="91"/>
        </w:rPr>
        <w:t>e</w:t>
      </w:r>
      <w:r>
        <w:rPr>
          <w:color w:val="231F20"/>
          <w:spacing w:val="2"/>
          <w:w w:val="90"/>
        </w:rPr>
        <w:t>s</w:t>
      </w:r>
      <w:r>
        <w:rPr>
          <w:color w:val="231F20"/>
          <w:w w:val="135"/>
        </w:rPr>
        <w:t>,</w:t>
      </w:r>
      <w:r>
        <w:rPr>
          <w:color w:val="231F20"/>
        </w:rPr>
        <w:t xml:space="preserve"> </w:t>
      </w:r>
      <w:r>
        <w:rPr>
          <w:color w:val="231F20"/>
          <w:spacing w:val="-8"/>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7"/>
        </w:rPr>
        <w:t xml:space="preserve"> </w:t>
      </w:r>
      <w:r>
        <w:rPr>
          <w:color w:val="231F20"/>
          <w:spacing w:val="6"/>
          <w:w w:val="114"/>
        </w:rPr>
        <w:t>K</w:t>
      </w:r>
      <w:r>
        <w:rPr>
          <w:color w:val="231F20"/>
          <w:spacing w:val="-3"/>
          <w:w w:val="105"/>
        </w:rPr>
        <w:t>B</w:t>
      </w:r>
      <w:r>
        <w:rPr>
          <w:color w:val="231F20"/>
          <w:spacing w:val="-12"/>
          <w:w w:val="105"/>
        </w:rPr>
        <w:t>W</w:t>
      </w:r>
      <w:r>
        <w:rPr>
          <w:color w:val="231F20"/>
          <w:w w:val="135"/>
        </w:rPr>
        <w:t>,</w:t>
      </w:r>
      <w:r>
        <w:rPr>
          <w:color w:val="231F20"/>
        </w:rPr>
        <w:t xml:space="preserve"> </w:t>
      </w:r>
      <w:r>
        <w:rPr>
          <w:color w:val="231F20"/>
          <w:spacing w:val="-8"/>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7"/>
        </w:rPr>
        <w:t xml:space="preserve"> </w:t>
      </w:r>
      <w:r>
        <w:rPr>
          <w:color w:val="231F20"/>
          <w:spacing w:val="7"/>
          <w:w w:val="114"/>
        </w:rPr>
        <w:t>K</w:t>
      </w:r>
      <w:r>
        <w:rPr>
          <w:color w:val="231F20"/>
          <w:w w:val="97"/>
        </w:rPr>
        <w:t>P</w:t>
      </w:r>
      <w:r>
        <w:rPr>
          <w:color w:val="231F20"/>
          <w:spacing w:val="-3"/>
          <w:w w:val="117"/>
        </w:rPr>
        <w:t>D</w:t>
      </w:r>
      <w:r>
        <w:rPr>
          <w:color w:val="231F20"/>
          <w:spacing w:val="-5"/>
          <w:w w:val="135"/>
        </w:rPr>
        <w:t>,</w:t>
      </w:r>
      <w:r>
        <w:rPr>
          <w:color w:val="231F20"/>
          <w:w w:val="106"/>
          <w:position w:val="7"/>
          <w:sz w:val="11"/>
        </w:rPr>
        <w:t>1</w:t>
      </w:r>
      <w:r>
        <w:rPr>
          <w:color w:val="231F20"/>
          <w:position w:val="7"/>
          <w:sz w:val="11"/>
        </w:rPr>
        <w:t xml:space="preserve"> </w:t>
      </w:r>
      <w:r>
        <w:rPr>
          <w:color w:val="231F20"/>
          <w:spacing w:val="-2"/>
          <w:position w:val="7"/>
          <w:sz w:val="11"/>
        </w:rPr>
        <w:t xml:space="preserve"> </w:t>
      </w:r>
      <w:r>
        <w:rPr>
          <w:color w:val="231F20"/>
          <w:spacing w:val="2"/>
          <w:w w:val="102"/>
        </w:rPr>
        <w:t>a</w:t>
      </w:r>
      <w:r>
        <w:rPr>
          <w:color w:val="231F20"/>
          <w:spacing w:val="-1"/>
          <w:w w:val="99"/>
        </w:rPr>
        <w:t>n</w:t>
      </w:r>
      <w:r>
        <w:rPr>
          <w:color w:val="231F20"/>
        </w:rPr>
        <w:t xml:space="preserve">d </w:t>
      </w:r>
      <w:r>
        <w:rPr>
          <w:color w:val="231F20"/>
          <w:spacing w:val="-8"/>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7"/>
        </w:rPr>
        <w:t xml:space="preserve"> </w:t>
      </w:r>
      <w:r>
        <w:rPr>
          <w:color w:val="231F20"/>
          <w:spacing w:val="7"/>
          <w:w w:val="114"/>
        </w:rPr>
        <w:t>K</w:t>
      </w:r>
      <w:r>
        <w:rPr>
          <w:color w:val="231F20"/>
          <w:w w:val="108"/>
        </w:rPr>
        <w:t>PD</w:t>
      </w:r>
      <w:r>
        <w:rPr>
          <w:color w:val="231F20"/>
          <w:spacing w:val="6"/>
          <w:w w:val="56"/>
        </w:rPr>
        <w:t>/</w:t>
      </w:r>
      <w:r>
        <w:rPr>
          <w:color w:val="231F20"/>
          <w:spacing w:val="6"/>
          <w:w w:val="119"/>
        </w:rPr>
        <w:t>M</w:t>
      </w:r>
      <w:r>
        <w:rPr>
          <w:color w:val="231F20"/>
          <w:spacing w:val="10"/>
          <w:w w:val="119"/>
        </w:rPr>
        <w:t>L</w:t>
      </w:r>
      <w:r>
        <w:rPr>
          <w:color w:val="231F20"/>
          <w:w w:val="135"/>
        </w:rPr>
        <w:t xml:space="preserve">, </w:t>
      </w:r>
      <w:r>
        <w:rPr>
          <w:color w:val="231F20"/>
        </w:rPr>
        <w:t xml:space="preserve">with ludicrous claims that they had  some  connection  to  “terrorism.” </w:t>
      </w:r>
      <w:r>
        <w:rPr>
          <w:color w:val="231F20"/>
          <w:spacing w:val="1"/>
        </w:rPr>
        <w:t xml:space="preserve">In </w:t>
      </w:r>
      <w:r>
        <w:rPr>
          <w:color w:val="231F20"/>
        </w:rPr>
        <w:t xml:space="preserve">response, all three organizations  called  for  a  joint  demonstration in Bonn on October 8, </w:t>
      </w:r>
      <w:r>
        <w:rPr>
          <w:color w:val="231F20"/>
          <w:spacing w:val="-6"/>
        </w:rPr>
        <w:t xml:space="preserve">1977, </w:t>
      </w:r>
      <w:r>
        <w:rPr>
          <w:color w:val="231F20"/>
        </w:rPr>
        <w:t xml:space="preserve">under the slogan “Marxism-Leninism Cannot </w:t>
      </w:r>
      <w:r>
        <w:rPr>
          <w:color w:val="231F20"/>
          <w:spacing w:val="1"/>
        </w:rPr>
        <w:t xml:space="preserve">Be </w:t>
      </w:r>
      <w:r>
        <w:rPr>
          <w:color w:val="231F20"/>
        </w:rPr>
        <w:t xml:space="preserve">Outlawed!” </w:t>
      </w:r>
      <w:r>
        <w:rPr>
          <w:color w:val="231F20"/>
          <w:spacing w:val="-3"/>
        </w:rPr>
        <w:t xml:space="preserve">Twenty </w:t>
      </w:r>
      <w:r>
        <w:rPr>
          <w:color w:val="231F20"/>
        </w:rPr>
        <w:t>thousand people marched under  red flags in one of the very few common activities these three organizations would mount during the decade.</w:t>
      </w:r>
    </w:p>
    <w:p w14:paraId="0C9321EA" w14:textId="77777777" w:rsidR="002653E8" w:rsidRDefault="003115E3">
      <w:pPr>
        <w:pStyle w:val="a3"/>
        <w:spacing w:line="264" w:lineRule="auto"/>
        <w:ind w:left="1147" w:right="1325" w:firstLine="210"/>
        <w:jc w:val="both"/>
        <w:rPr>
          <w:sz w:val="11"/>
        </w:rPr>
      </w:pPr>
      <w:r>
        <w:rPr>
          <w:color w:val="231F20"/>
        </w:rPr>
        <w:t xml:space="preserve">Just as most of these Maoist K-groups imploded over the next few years, hemorrhaging members to the new Green Party, 1977 would also exacerbate divisions on the undogmatic left. The anti-guerilla positions that Joschka Fischer, Daniel Cohn-Bendit, and others had been pushing since 1976 now appeared to carry even more weight, and several important intellectuals, including Rudi Dutschke and Herbert Marcuse, made public declarations in the popular press denouncing the </w:t>
      </w:r>
      <w:r w:rsidR="00C507A5">
        <w:rPr>
          <w:color w:val="231F20"/>
        </w:rPr>
        <w:t>red army faction</w:t>
      </w:r>
      <w:r>
        <w:rPr>
          <w:color w:val="231F20"/>
        </w:rPr>
        <w:t>’s struggle against the Federal Republic.</w:t>
      </w:r>
      <w:r>
        <w:rPr>
          <w:color w:val="231F20"/>
          <w:position w:val="7"/>
          <w:sz w:val="11"/>
        </w:rPr>
        <w:t>2</w:t>
      </w:r>
    </w:p>
    <w:p w14:paraId="0388D292" w14:textId="77777777" w:rsidR="002653E8" w:rsidRDefault="003115E3">
      <w:pPr>
        <w:pStyle w:val="a3"/>
        <w:spacing w:line="264" w:lineRule="auto"/>
        <w:ind w:left="1147" w:right="1326" w:firstLine="210"/>
        <w:jc w:val="both"/>
      </w:pPr>
      <w:r>
        <w:rPr>
          <w:color w:val="231F20"/>
          <w:w w:val="105"/>
        </w:rPr>
        <w:t>While much of the undogmatic left was retreating from militancy, this</w:t>
      </w:r>
      <w:r>
        <w:rPr>
          <w:color w:val="231F20"/>
          <w:spacing w:val="-5"/>
          <w:w w:val="105"/>
        </w:rPr>
        <w:t xml:space="preserve"> </w:t>
      </w:r>
      <w:r>
        <w:rPr>
          <w:color w:val="231F20"/>
          <w:w w:val="105"/>
        </w:rPr>
        <w:t>was</w:t>
      </w:r>
      <w:r>
        <w:rPr>
          <w:color w:val="231F20"/>
          <w:spacing w:val="-5"/>
          <w:w w:val="105"/>
        </w:rPr>
        <w:t xml:space="preserve"> </w:t>
      </w:r>
      <w:r>
        <w:rPr>
          <w:color w:val="231F20"/>
          <w:w w:val="105"/>
        </w:rPr>
        <w:t>by</w:t>
      </w:r>
      <w:r>
        <w:rPr>
          <w:color w:val="231F20"/>
          <w:spacing w:val="-5"/>
          <w:w w:val="105"/>
        </w:rPr>
        <w:t xml:space="preserve"> </w:t>
      </w:r>
      <w:r>
        <w:rPr>
          <w:color w:val="231F20"/>
          <w:w w:val="105"/>
        </w:rPr>
        <w:t>no</w:t>
      </w:r>
      <w:r>
        <w:rPr>
          <w:color w:val="231F20"/>
          <w:spacing w:val="-5"/>
          <w:w w:val="105"/>
        </w:rPr>
        <w:t xml:space="preserve"> </w:t>
      </w:r>
      <w:r>
        <w:rPr>
          <w:color w:val="231F20"/>
          <w:w w:val="105"/>
        </w:rPr>
        <w:t>means</w:t>
      </w:r>
      <w:r>
        <w:rPr>
          <w:color w:val="231F20"/>
          <w:spacing w:val="-5"/>
          <w:w w:val="105"/>
        </w:rPr>
        <w:t xml:space="preserve"> </w:t>
      </w:r>
      <w:r>
        <w:rPr>
          <w:color w:val="231F20"/>
          <w:w w:val="105"/>
        </w:rPr>
        <w:t>a</w:t>
      </w:r>
      <w:r>
        <w:rPr>
          <w:color w:val="231F20"/>
          <w:spacing w:val="-5"/>
          <w:w w:val="105"/>
        </w:rPr>
        <w:t xml:space="preserve"> </w:t>
      </w:r>
      <w:r>
        <w:rPr>
          <w:color w:val="231F20"/>
          <w:w w:val="105"/>
        </w:rPr>
        <w:t>homogenous</w:t>
      </w:r>
      <w:r>
        <w:rPr>
          <w:color w:val="231F20"/>
          <w:spacing w:val="-5"/>
          <w:w w:val="105"/>
        </w:rPr>
        <w:t xml:space="preserve"> </w:t>
      </w:r>
      <w:r>
        <w:rPr>
          <w:color w:val="231F20"/>
          <w:w w:val="105"/>
        </w:rPr>
        <w:t>phenomenon.</w:t>
      </w:r>
      <w:r>
        <w:rPr>
          <w:color w:val="231F20"/>
          <w:spacing w:val="-5"/>
          <w:w w:val="105"/>
        </w:rPr>
        <w:t xml:space="preserve"> </w:t>
      </w:r>
      <w:r>
        <w:rPr>
          <w:color w:val="231F20"/>
          <w:spacing w:val="1"/>
          <w:w w:val="105"/>
        </w:rPr>
        <w:t>In</w:t>
      </w:r>
      <w:r>
        <w:rPr>
          <w:color w:val="231F20"/>
          <w:spacing w:val="-5"/>
          <w:w w:val="105"/>
        </w:rPr>
        <w:t xml:space="preserve"> </w:t>
      </w:r>
      <w:r>
        <w:rPr>
          <w:color w:val="231F20"/>
          <w:w w:val="105"/>
        </w:rPr>
        <w:t>a</w:t>
      </w:r>
      <w:r>
        <w:rPr>
          <w:color w:val="231F20"/>
          <w:spacing w:val="-5"/>
          <w:w w:val="105"/>
        </w:rPr>
        <w:t xml:space="preserve"> </w:t>
      </w:r>
      <w:r>
        <w:rPr>
          <w:color w:val="231F20"/>
          <w:w w:val="105"/>
        </w:rPr>
        <w:t>very</w:t>
      </w:r>
      <w:r>
        <w:rPr>
          <w:color w:val="231F20"/>
          <w:spacing w:val="-5"/>
          <w:w w:val="105"/>
        </w:rPr>
        <w:t xml:space="preserve"> </w:t>
      </w:r>
      <w:r>
        <w:rPr>
          <w:color w:val="231F20"/>
          <w:w w:val="105"/>
        </w:rPr>
        <w:t>different vein,</w:t>
      </w:r>
      <w:r>
        <w:rPr>
          <w:color w:val="231F20"/>
          <w:spacing w:val="-17"/>
          <w:w w:val="105"/>
        </w:rPr>
        <w:t xml:space="preserve"> </w:t>
      </w:r>
      <w:r>
        <w:rPr>
          <w:color w:val="231F20"/>
          <w:w w:val="105"/>
        </w:rPr>
        <w:t>in</w:t>
      </w:r>
      <w:r>
        <w:rPr>
          <w:color w:val="231F20"/>
          <w:spacing w:val="-17"/>
          <w:w w:val="105"/>
        </w:rPr>
        <w:t xml:space="preserve"> </w:t>
      </w:r>
      <w:r>
        <w:rPr>
          <w:color w:val="231F20"/>
          <w:w w:val="105"/>
        </w:rPr>
        <w:t>January</w:t>
      </w:r>
      <w:r>
        <w:rPr>
          <w:color w:val="231F20"/>
          <w:spacing w:val="-16"/>
          <w:w w:val="105"/>
        </w:rPr>
        <w:t xml:space="preserve"> </w:t>
      </w:r>
      <w:r>
        <w:rPr>
          <w:color w:val="231F20"/>
          <w:spacing w:val="-4"/>
          <w:w w:val="105"/>
        </w:rPr>
        <w:t>1978,</w:t>
      </w:r>
      <w:r>
        <w:rPr>
          <w:color w:val="231F20"/>
          <w:spacing w:val="-17"/>
          <w:w w:val="105"/>
        </w:rPr>
        <w:t xml:space="preserve"> </w:t>
      </w:r>
      <w:r>
        <w:rPr>
          <w:color w:val="231F20"/>
          <w:w w:val="105"/>
        </w:rPr>
        <w:t>other</w:t>
      </w:r>
      <w:r>
        <w:rPr>
          <w:color w:val="231F20"/>
          <w:spacing w:val="-17"/>
          <w:w w:val="105"/>
        </w:rPr>
        <w:t xml:space="preserve"> </w:t>
      </w:r>
      <w:r>
        <w:rPr>
          <w:color w:val="231F20"/>
          <w:w w:val="105"/>
        </w:rPr>
        <w:t>radicals</w:t>
      </w:r>
      <w:r>
        <w:rPr>
          <w:color w:val="231F20"/>
          <w:spacing w:val="-17"/>
          <w:w w:val="105"/>
        </w:rPr>
        <w:t xml:space="preserve"> </w:t>
      </w:r>
      <w:r>
        <w:rPr>
          <w:color w:val="231F20"/>
          <w:w w:val="105"/>
        </w:rPr>
        <w:t>drew</w:t>
      </w:r>
      <w:r>
        <w:rPr>
          <w:color w:val="231F20"/>
          <w:spacing w:val="-17"/>
          <w:w w:val="105"/>
        </w:rPr>
        <w:t xml:space="preserve"> </w:t>
      </w:r>
      <w:r>
        <w:rPr>
          <w:color w:val="231F20"/>
          <w:w w:val="105"/>
        </w:rPr>
        <w:t>on</w:t>
      </w:r>
      <w:r>
        <w:rPr>
          <w:color w:val="231F20"/>
          <w:spacing w:val="-17"/>
          <w:w w:val="105"/>
        </w:rPr>
        <w:t xml:space="preserve"> </w:t>
      </w:r>
      <w:r>
        <w:rPr>
          <w:color w:val="231F20"/>
          <w:w w:val="105"/>
        </w:rPr>
        <w:t>the</w:t>
      </w:r>
      <w:r>
        <w:rPr>
          <w:color w:val="231F20"/>
          <w:spacing w:val="-17"/>
          <w:w w:val="105"/>
        </w:rPr>
        <w:t xml:space="preserve"> </w:t>
      </w:r>
      <w:r>
        <w:rPr>
          <w:color w:val="231F20"/>
          <w:w w:val="105"/>
        </w:rPr>
        <w:t>strengths</w:t>
      </w:r>
      <w:r>
        <w:rPr>
          <w:color w:val="231F20"/>
          <w:spacing w:val="-17"/>
          <w:w w:val="105"/>
        </w:rPr>
        <w:t xml:space="preserve"> </w:t>
      </w:r>
      <w:r>
        <w:rPr>
          <w:color w:val="231F20"/>
          <w:w w:val="105"/>
        </w:rPr>
        <w:t>of</w:t>
      </w:r>
      <w:r>
        <w:rPr>
          <w:color w:val="231F20"/>
          <w:spacing w:val="-17"/>
          <w:w w:val="105"/>
        </w:rPr>
        <w:t xml:space="preserve"> </w:t>
      </w:r>
      <w:r>
        <w:rPr>
          <w:color w:val="231F20"/>
          <w:w w:val="105"/>
        </w:rPr>
        <w:t>the</w:t>
      </w:r>
      <w:r>
        <w:rPr>
          <w:color w:val="231F20"/>
          <w:spacing w:val="-17"/>
          <w:w w:val="105"/>
        </w:rPr>
        <w:t xml:space="preserve"> </w:t>
      </w:r>
      <w:r>
        <w:rPr>
          <w:color w:val="231F20"/>
          <w:w w:val="105"/>
        </w:rPr>
        <w:t>counterculture to break through the crisis. The idea for a mass gathering originated</w:t>
      </w:r>
      <w:r>
        <w:rPr>
          <w:color w:val="231F20"/>
          <w:spacing w:val="-17"/>
          <w:w w:val="105"/>
        </w:rPr>
        <w:t xml:space="preserve"> </w:t>
      </w:r>
      <w:r>
        <w:rPr>
          <w:color w:val="231F20"/>
          <w:w w:val="105"/>
        </w:rPr>
        <w:t>with</w:t>
      </w:r>
      <w:r>
        <w:rPr>
          <w:color w:val="231F20"/>
          <w:spacing w:val="-17"/>
          <w:w w:val="105"/>
        </w:rPr>
        <w:t xml:space="preserve"> </w:t>
      </w:r>
      <w:r>
        <w:rPr>
          <w:color w:val="231F20"/>
          <w:w w:val="105"/>
        </w:rPr>
        <w:t>a</w:t>
      </w:r>
      <w:r>
        <w:rPr>
          <w:color w:val="231F20"/>
          <w:spacing w:val="-17"/>
          <w:w w:val="105"/>
        </w:rPr>
        <w:t xml:space="preserve"> </w:t>
      </w:r>
      <w:r>
        <w:rPr>
          <w:color w:val="231F20"/>
          <w:w w:val="105"/>
        </w:rPr>
        <w:t>dozen</w:t>
      </w:r>
      <w:r>
        <w:rPr>
          <w:color w:val="231F20"/>
          <w:spacing w:val="-17"/>
          <w:w w:val="105"/>
        </w:rPr>
        <w:t xml:space="preserve"> </w:t>
      </w:r>
      <w:r>
        <w:rPr>
          <w:color w:val="231F20"/>
          <w:w w:val="105"/>
        </w:rPr>
        <w:t>Berlin</w:t>
      </w:r>
      <w:r>
        <w:rPr>
          <w:color w:val="231F20"/>
          <w:spacing w:val="-16"/>
          <w:w w:val="105"/>
        </w:rPr>
        <w:t xml:space="preserve"> </w:t>
      </w:r>
      <w:r>
        <w:rPr>
          <w:i/>
          <w:color w:val="231F20"/>
          <w:w w:val="105"/>
        </w:rPr>
        <w:t>spontis</w:t>
      </w:r>
      <w:r>
        <w:rPr>
          <w:i/>
          <w:color w:val="231F20"/>
          <w:spacing w:val="-17"/>
          <w:w w:val="105"/>
        </w:rPr>
        <w:t xml:space="preserve"> </w:t>
      </w:r>
      <w:r>
        <w:rPr>
          <w:color w:val="231F20"/>
          <w:w w:val="105"/>
        </w:rPr>
        <w:t>who</w:t>
      </w:r>
      <w:r>
        <w:rPr>
          <w:color w:val="231F20"/>
          <w:spacing w:val="-17"/>
          <w:w w:val="105"/>
        </w:rPr>
        <w:t xml:space="preserve"> </w:t>
      </w:r>
      <w:r>
        <w:rPr>
          <w:color w:val="231F20"/>
          <w:w w:val="105"/>
        </w:rPr>
        <w:t>knew</w:t>
      </w:r>
      <w:r>
        <w:rPr>
          <w:color w:val="231F20"/>
          <w:spacing w:val="-17"/>
          <w:w w:val="105"/>
        </w:rPr>
        <w:t xml:space="preserve"> </w:t>
      </w:r>
      <w:r>
        <w:rPr>
          <w:color w:val="231F20"/>
          <w:w w:val="105"/>
        </w:rPr>
        <w:t>each</w:t>
      </w:r>
      <w:r>
        <w:rPr>
          <w:color w:val="231F20"/>
          <w:spacing w:val="-17"/>
          <w:w w:val="105"/>
        </w:rPr>
        <w:t xml:space="preserve"> </w:t>
      </w:r>
      <w:r>
        <w:rPr>
          <w:color w:val="231F20"/>
          <w:w w:val="105"/>
        </w:rPr>
        <w:t>other</w:t>
      </w:r>
      <w:r>
        <w:rPr>
          <w:color w:val="231F20"/>
          <w:spacing w:val="-17"/>
          <w:w w:val="105"/>
        </w:rPr>
        <w:t xml:space="preserve"> </w:t>
      </w:r>
      <w:r>
        <w:rPr>
          <w:color w:val="231F20"/>
          <w:w w:val="105"/>
        </w:rPr>
        <w:t>from</w:t>
      </w:r>
      <w:r>
        <w:rPr>
          <w:color w:val="231F20"/>
          <w:spacing w:val="-17"/>
          <w:w w:val="105"/>
        </w:rPr>
        <w:t xml:space="preserve"> </w:t>
      </w:r>
      <w:r>
        <w:rPr>
          <w:color w:val="231F20"/>
          <w:w w:val="105"/>
        </w:rPr>
        <w:t>playing</w:t>
      </w:r>
      <w:r>
        <w:rPr>
          <w:color w:val="231F20"/>
          <w:spacing w:val="-13"/>
          <w:w w:val="105"/>
        </w:rPr>
        <w:t xml:space="preserve"> </w:t>
      </w:r>
      <w:r>
        <w:rPr>
          <w:color w:val="231F20"/>
          <w:w w:val="105"/>
        </w:rPr>
        <w:t>soccer</w:t>
      </w:r>
      <w:r>
        <w:rPr>
          <w:color w:val="231F20"/>
          <w:spacing w:val="-13"/>
          <w:w w:val="105"/>
        </w:rPr>
        <w:t xml:space="preserve"> </w:t>
      </w:r>
      <w:r>
        <w:rPr>
          <w:color w:val="231F20"/>
          <w:w w:val="105"/>
        </w:rPr>
        <w:t>and</w:t>
      </w:r>
      <w:r>
        <w:rPr>
          <w:color w:val="231F20"/>
          <w:spacing w:val="-13"/>
          <w:w w:val="105"/>
        </w:rPr>
        <w:t xml:space="preserve"> </w:t>
      </w:r>
      <w:r>
        <w:rPr>
          <w:color w:val="231F20"/>
          <w:w w:val="105"/>
        </w:rPr>
        <w:t>from</w:t>
      </w:r>
      <w:r>
        <w:rPr>
          <w:color w:val="231F20"/>
          <w:spacing w:val="-13"/>
          <w:w w:val="105"/>
        </w:rPr>
        <w:t xml:space="preserve"> </w:t>
      </w:r>
      <w:r>
        <w:rPr>
          <w:color w:val="231F20"/>
          <w:w w:val="105"/>
        </w:rPr>
        <w:t>the</w:t>
      </w:r>
      <w:r>
        <w:rPr>
          <w:color w:val="231F20"/>
          <w:spacing w:val="-13"/>
          <w:w w:val="105"/>
        </w:rPr>
        <w:t xml:space="preserve"> </w:t>
      </w:r>
      <w:r>
        <w:rPr>
          <w:color w:val="231F20"/>
          <w:w w:val="105"/>
        </w:rPr>
        <w:t>bar</w:t>
      </w:r>
      <w:r>
        <w:rPr>
          <w:color w:val="231F20"/>
          <w:spacing w:val="-13"/>
          <w:w w:val="105"/>
        </w:rPr>
        <w:t xml:space="preserve"> </w:t>
      </w:r>
      <w:r>
        <w:rPr>
          <w:color w:val="231F20"/>
          <w:w w:val="105"/>
        </w:rPr>
        <w:t>scene.</w:t>
      </w:r>
      <w:r>
        <w:rPr>
          <w:color w:val="231F20"/>
          <w:w w:val="105"/>
          <w:position w:val="7"/>
          <w:sz w:val="11"/>
        </w:rPr>
        <w:t>3</w:t>
      </w:r>
      <w:r>
        <w:rPr>
          <w:color w:val="231F20"/>
          <w:spacing w:val="-6"/>
          <w:w w:val="105"/>
          <w:position w:val="7"/>
          <w:sz w:val="11"/>
        </w:rPr>
        <w:t xml:space="preserve"> </w:t>
      </w:r>
      <w:r>
        <w:rPr>
          <w:color w:val="231F20"/>
          <w:w w:val="105"/>
        </w:rPr>
        <w:t>“Tunix”—a</w:t>
      </w:r>
      <w:r>
        <w:rPr>
          <w:color w:val="231F20"/>
          <w:spacing w:val="-13"/>
          <w:w w:val="105"/>
        </w:rPr>
        <w:t xml:space="preserve"> </w:t>
      </w:r>
      <w:r>
        <w:rPr>
          <w:color w:val="231F20"/>
          <w:w w:val="105"/>
        </w:rPr>
        <w:t>play</w:t>
      </w:r>
      <w:r>
        <w:rPr>
          <w:color w:val="231F20"/>
          <w:spacing w:val="-13"/>
          <w:w w:val="105"/>
        </w:rPr>
        <w:t xml:space="preserve"> </w:t>
      </w:r>
      <w:r>
        <w:rPr>
          <w:color w:val="231F20"/>
          <w:w w:val="105"/>
        </w:rPr>
        <w:t>on</w:t>
      </w:r>
      <w:r>
        <w:rPr>
          <w:color w:val="231F20"/>
          <w:spacing w:val="-13"/>
          <w:w w:val="105"/>
        </w:rPr>
        <w:t xml:space="preserve"> </w:t>
      </w:r>
      <w:r>
        <w:rPr>
          <w:color w:val="231F20"/>
          <w:w w:val="105"/>
        </w:rPr>
        <w:t>words</w:t>
      </w:r>
      <w:r>
        <w:rPr>
          <w:color w:val="231F20"/>
          <w:spacing w:val="-13"/>
          <w:w w:val="105"/>
        </w:rPr>
        <w:t xml:space="preserve"> </w:t>
      </w:r>
      <w:r>
        <w:rPr>
          <w:color w:val="231F20"/>
          <w:w w:val="105"/>
        </w:rPr>
        <w:t>meaning “Do Nothing”—created a rallying point for those who wished neither to return to the system nor to simply retreat into</w:t>
      </w:r>
      <w:r>
        <w:rPr>
          <w:color w:val="231F20"/>
          <w:spacing w:val="-34"/>
          <w:w w:val="105"/>
        </w:rPr>
        <w:t xml:space="preserve"> </w:t>
      </w:r>
      <w:r>
        <w:rPr>
          <w:color w:val="231F20"/>
          <w:w w:val="105"/>
        </w:rPr>
        <w:t>themselves.</w:t>
      </w:r>
    </w:p>
    <w:p w14:paraId="3302E63C" w14:textId="77777777" w:rsidR="002653E8" w:rsidRDefault="00000000">
      <w:pPr>
        <w:pStyle w:val="a3"/>
        <w:spacing w:before="3"/>
      </w:pPr>
      <w:r>
        <w:rPr>
          <w:noProof w:val="0"/>
        </w:rPr>
        <w:pict w14:anchorId="1D4E2FD6">
          <v:line id="_x0000_s2143" style="position:absolute;z-index:11296;mso-wrap-distance-left:0;mso-wrap-distance-right:0;mso-position-horizontal-relative:page" from="57.4pt,14.1pt" to="129.4pt,14.1pt" strokecolor="#231f20" strokeweight=".5pt">
            <w10:wrap type="topAndBottom" anchorx="page"/>
          </v:line>
        </w:pict>
      </w:r>
    </w:p>
    <w:p w14:paraId="1147524F" w14:textId="77777777" w:rsidR="002653E8" w:rsidRPr="00846956" w:rsidRDefault="003115E3">
      <w:pPr>
        <w:spacing w:before="53" w:line="307" w:lineRule="auto"/>
        <w:ind w:left="1148" w:right="1848" w:hanging="1"/>
        <w:rPr>
          <w:sz w:val="16"/>
          <w:lang w:val="de-DE"/>
        </w:rPr>
      </w:pPr>
      <w:r>
        <w:rPr>
          <w:color w:val="231F20"/>
          <w:w w:val="105"/>
          <w:sz w:val="16"/>
        </w:rPr>
        <w:t xml:space="preserve">1 The Maoist party, not to be confused with the pro-Soviet </w:t>
      </w:r>
      <w:r>
        <w:rPr>
          <w:color w:val="231F20"/>
          <w:spacing w:val="1"/>
          <w:w w:val="105"/>
          <w:sz w:val="16"/>
        </w:rPr>
        <w:t xml:space="preserve">party </w:t>
      </w:r>
      <w:r>
        <w:rPr>
          <w:color w:val="231F20"/>
          <w:w w:val="105"/>
          <w:sz w:val="16"/>
        </w:rPr>
        <w:t xml:space="preserve">of the 1950s.    </w:t>
      </w:r>
      <w:r w:rsidRPr="00846956">
        <w:rPr>
          <w:color w:val="231F20"/>
          <w:w w:val="105"/>
          <w:sz w:val="16"/>
          <w:lang w:val="de-DE"/>
        </w:rPr>
        <w:t>2 Hanshew,</w:t>
      </w:r>
      <w:r w:rsidRPr="00846956">
        <w:rPr>
          <w:color w:val="231F20"/>
          <w:spacing w:val="16"/>
          <w:w w:val="105"/>
          <w:sz w:val="16"/>
          <w:lang w:val="de-DE"/>
        </w:rPr>
        <w:t xml:space="preserve"> </w:t>
      </w:r>
      <w:r w:rsidRPr="00846956">
        <w:rPr>
          <w:color w:val="231F20"/>
          <w:spacing w:val="-7"/>
          <w:w w:val="105"/>
          <w:sz w:val="16"/>
          <w:lang w:val="de-DE"/>
        </w:rPr>
        <w:t>37.</w:t>
      </w:r>
    </w:p>
    <w:p w14:paraId="782D5140" w14:textId="77777777" w:rsidR="002653E8" w:rsidRDefault="003115E3">
      <w:pPr>
        <w:spacing w:line="186" w:lineRule="exact"/>
        <w:ind w:left="1148"/>
        <w:rPr>
          <w:i/>
          <w:sz w:val="16"/>
        </w:rPr>
      </w:pPr>
      <w:r w:rsidRPr="00846956">
        <w:rPr>
          <w:color w:val="231F20"/>
          <w:w w:val="105"/>
          <w:sz w:val="16"/>
          <w:lang w:val="de-DE"/>
        </w:rPr>
        <w:t xml:space="preserve">3 Michael Sontheimer, “Soziale Bewegungen Auf zum Strand von Tunix!” </w:t>
      </w:r>
      <w:r>
        <w:rPr>
          <w:i/>
          <w:color w:val="231F20"/>
          <w:w w:val="105"/>
          <w:sz w:val="16"/>
        </w:rPr>
        <w:t>Spiegel</w:t>
      </w:r>
    </w:p>
    <w:p w14:paraId="7D92F90F" w14:textId="77777777" w:rsidR="002653E8" w:rsidRDefault="003115E3">
      <w:pPr>
        <w:spacing w:before="11"/>
        <w:ind w:left="1148"/>
        <w:rPr>
          <w:sz w:val="16"/>
        </w:rPr>
      </w:pPr>
      <w:r>
        <w:rPr>
          <w:color w:val="231F20"/>
          <w:w w:val="110"/>
          <w:sz w:val="16"/>
        </w:rPr>
        <w:t>[online], January 25, 2008.</w:t>
      </w:r>
    </w:p>
    <w:p w14:paraId="0A69BB8C" w14:textId="77777777" w:rsidR="002653E8" w:rsidRDefault="002653E8">
      <w:pPr>
        <w:rPr>
          <w:sz w:val="16"/>
        </w:rPr>
        <w:sectPr w:rsidR="002653E8">
          <w:pgSz w:w="8640" w:h="12960"/>
          <w:pgMar w:top="1060" w:right="0" w:bottom="1040" w:left="0" w:header="0" w:footer="850" w:gutter="0"/>
          <w:cols w:space="720"/>
        </w:sectPr>
      </w:pPr>
    </w:p>
    <w:p w14:paraId="154CB085" w14:textId="77777777" w:rsidR="002653E8" w:rsidRDefault="003115E3">
      <w:pPr>
        <w:pStyle w:val="a3"/>
        <w:spacing w:before="86" w:line="264" w:lineRule="auto"/>
        <w:ind w:left="1327" w:right="1148" w:firstLine="210"/>
        <w:jc w:val="both"/>
      </w:pPr>
      <w:r>
        <w:rPr>
          <w:color w:val="231F20"/>
        </w:rPr>
        <w:lastRenderedPageBreak/>
        <w:t>As three of the organizers (“Quinn the Eskimo,” “Frankie Lee,” and “Judas Priest”) explained in their call out:</w:t>
      </w:r>
    </w:p>
    <w:p w14:paraId="3A1C9CCF" w14:textId="77777777" w:rsidR="002653E8" w:rsidRDefault="003115E3">
      <w:pPr>
        <w:spacing w:before="127" w:line="276" w:lineRule="auto"/>
        <w:ind w:left="1747" w:right="1565"/>
        <w:jc w:val="both"/>
        <w:rPr>
          <w:i/>
          <w:sz w:val="11"/>
        </w:rPr>
      </w:pPr>
      <w:r>
        <w:rPr>
          <w:i/>
          <w:color w:val="231F20"/>
          <w:w w:val="105"/>
          <w:sz w:val="19"/>
        </w:rPr>
        <w:t>When our identity is under attack, like during the situation in the</w:t>
      </w:r>
      <w:r>
        <w:rPr>
          <w:i/>
          <w:color w:val="231F20"/>
          <w:spacing w:val="-5"/>
          <w:w w:val="105"/>
          <w:sz w:val="19"/>
        </w:rPr>
        <w:t xml:space="preserve"> </w:t>
      </w:r>
      <w:r>
        <w:rPr>
          <w:i/>
          <w:color w:val="231F20"/>
          <w:w w:val="105"/>
          <w:sz w:val="19"/>
        </w:rPr>
        <w:t>fall</w:t>
      </w:r>
      <w:r>
        <w:rPr>
          <w:i/>
          <w:color w:val="231F20"/>
          <w:spacing w:val="-5"/>
          <w:w w:val="105"/>
          <w:sz w:val="19"/>
        </w:rPr>
        <w:t xml:space="preserve"> </w:t>
      </w:r>
      <w:r>
        <w:rPr>
          <w:i/>
          <w:color w:val="231F20"/>
          <w:w w:val="105"/>
          <w:sz w:val="19"/>
        </w:rPr>
        <w:t>of</w:t>
      </w:r>
      <w:r>
        <w:rPr>
          <w:i/>
          <w:color w:val="231F20"/>
          <w:spacing w:val="-5"/>
          <w:w w:val="105"/>
          <w:sz w:val="19"/>
        </w:rPr>
        <w:t xml:space="preserve"> </w:t>
      </w:r>
      <w:r>
        <w:rPr>
          <w:rFonts w:ascii="Bookman Old Style" w:hAnsi="Bookman Old Style"/>
          <w:i/>
          <w:color w:val="231F20"/>
          <w:w w:val="105"/>
          <w:sz w:val="19"/>
        </w:rPr>
        <w:t>77</w:t>
      </w:r>
      <w:r>
        <w:rPr>
          <w:i/>
          <w:color w:val="231F20"/>
          <w:w w:val="105"/>
          <w:sz w:val="19"/>
        </w:rPr>
        <w:t>,</w:t>
      </w:r>
      <w:r>
        <w:rPr>
          <w:i/>
          <w:color w:val="231F20"/>
          <w:spacing w:val="-10"/>
          <w:w w:val="105"/>
          <w:sz w:val="19"/>
        </w:rPr>
        <w:t xml:space="preserve"> </w:t>
      </w:r>
      <w:r>
        <w:rPr>
          <w:i/>
          <w:color w:val="231F20"/>
          <w:w w:val="105"/>
          <w:sz w:val="19"/>
        </w:rPr>
        <w:t>then</w:t>
      </w:r>
      <w:r>
        <w:rPr>
          <w:i/>
          <w:color w:val="231F20"/>
          <w:spacing w:val="-5"/>
          <w:w w:val="105"/>
          <w:sz w:val="19"/>
        </w:rPr>
        <w:t xml:space="preserve"> </w:t>
      </w:r>
      <w:r>
        <w:rPr>
          <w:i/>
          <w:color w:val="231F20"/>
          <w:w w:val="105"/>
          <w:sz w:val="19"/>
        </w:rPr>
        <w:t>we</w:t>
      </w:r>
      <w:r>
        <w:rPr>
          <w:i/>
          <w:color w:val="231F20"/>
          <w:spacing w:val="-5"/>
          <w:w w:val="105"/>
          <w:sz w:val="19"/>
        </w:rPr>
        <w:t xml:space="preserve"> </w:t>
      </w:r>
      <w:r>
        <w:rPr>
          <w:i/>
          <w:color w:val="231F20"/>
          <w:w w:val="105"/>
          <w:sz w:val="19"/>
        </w:rPr>
        <w:t>need</w:t>
      </w:r>
      <w:r>
        <w:rPr>
          <w:i/>
          <w:color w:val="231F20"/>
          <w:spacing w:val="-5"/>
          <w:w w:val="105"/>
          <w:sz w:val="19"/>
        </w:rPr>
        <w:t xml:space="preserve"> </w:t>
      </w:r>
      <w:r>
        <w:rPr>
          <w:i/>
          <w:color w:val="231F20"/>
          <w:w w:val="105"/>
          <w:sz w:val="19"/>
        </w:rPr>
        <w:t>to</w:t>
      </w:r>
      <w:r>
        <w:rPr>
          <w:i/>
          <w:color w:val="231F20"/>
          <w:spacing w:val="-5"/>
          <w:w w:val="105"/>
          <w:sz w:val="19"/>
        </w:rPr>
        <w:t xml:space="preserve"> </w:t>
      </w:r>
      <w:r>
        <w:rPr>
          <w:i/>
          <w:color w:val="231F20"/>
          <w:w w:val="105"/>
          <w:sz w:val="19"/>
        </w:rPr>
        <w:t>take</w:t>
      </w:r>
      <w:r>
        <w:rPr>
          <w:i/>
          <w:color w:val="231F20"/>
          <w:spacing w:val="-5"/>
          <w:w w:val="105"/>
          <w:sz w:val="19"/>
        </w:rPr>
        <w:t xml:space="preserve"> </w:t>
      </w:r>
      <w:r>
        <w:rPr>
          <w:i/>
          <w:color w:val="231F20"/>
          <w:w w:val="105"/>
          <w:sz w:val="19"/>
        </w:rPr>
        <w:t>the</w:t>
      </w:r>
      <w:r>
        <w:rPr>
          <w:i/>
          <w:color w:val="231F20"/>
          <w:spacing w:val="-5"/>
          <w:w w:val="105"/>
          <w:sz w:val="19"/>
        </w:rPr>
        <w:t xml:space="preserve"> </w:t>
      </w:r>
      <w:r>
        <w:rPr>
          <w:i/>
          <w:color w:val="231F20"/>
          <w:w w:val="105"/>
          <w:sz w:val="19"/>
        </w:rPr>
        <w:t>initiative</w:t>
      </w:r>
      <w:r>
        <w:rPr>
          <w:i/>
          <w:color w:val="231F20"/>
          <w:spacing w:val="-5"/>
          <w:w w:val="105"/>
          <w:sz w:val="19"/>
        </w:rPr>
        <w:t xml:space="preserve"> </w:t>
      </w:r>
      <w:r>
        <w:rPr>
          <w:i/>
          <w:color w:val="231F20"/>
          <w:w w:val="105"/>
          <w:sz w:val="19"/>
        </w:rPr>
        <w:t>and</w:t>
      </w:r>
      <w:r>
        <w:rPr>
          <w:i/>
          <w:color w:val="231F20"/>
          <w:spacing w:val="-5"/>
          <w:w w:val="105"/>
          <w:sz w:val="19"/>
        </w:rPr>
        <w:t xml:space="preserve"> </w:t>
      </w:r>
      <w:r>
        <w:rPr>
          <w:i/>
          <w:color w:val="231F20"/>
          <w:w w:val="105"/>
          <w:sz w:val="19"/>
        </w:rPr>
        <w:t>state</w:t>
      </w:r>
      <w:r>
        <w:rPr>
          <w:i/>
          <w:color w:val="231F20"/>
          <w:spacing w:val="-5"/>
          <w:w w:val="105"/>
          <w:sz w:val="19"/>
        </w:rPr>
        <w:t xml:space="preserve"> </w:t>
      </w:r>
      <w:r>
        <w:rPr>
          <w:i/>
          <w:color w:val="231F20"/>
          <w:w w:val="105"/>
          <w:sz w:val="19"/>
        </w:rPr>
        <w:t>openly what</w:t>
      </w:r>
      <w:r>
        <w:rPr>
          <w:i/>
          <w:color w:val="231F20"/>
          <w:spacing w:val="-16"/>
          <w:w w:val="105"/>
          <w:sz w:val="19"/>
        </w:rPr>
        <w:t xml:space="preserve"> </w:t>
      </w:r>
      <w:r>
        <w:rPr>
          <w:i/>
          <w:color w:val="231F20"/>
          <w:w w:val="105"/>
          <w:sz w:val="19"/>
        </w:rPr>
        <w:t>it</w:t>
      </w:r>
      <w:r>
        <w:rPr>
          <w:i/>
          <w:color w:val="231F20"/>
          <w:spacing w:val="-16"/>
          <w:w w:val="105"/>
          <w:sz w:val="19"/>
        </w:rPr>
        <w:t xml:space="preserve"> </w:t>
      </w:r>
      <w:r>
        <w:rPr>
          <w:i/>
          <w:color w:val="231F20"/>
          <w:w w:val="105"/>
          <w:sz w:val="19"/>
        </w:rPr>
        <w:t>is</w:t>
      </w:r>
      <w:r>
        <w:rPr>
          <w:i/>
          <w:color w:val="231F20"/>
          <w:spacing w:val="-16"/>
          <w:w w:val="105"/>
          <w:sz w:val="19"/>
        </w:rPr>
        <w:t xml:space="preserve"> </w:t>
      </w:r>
      <w:r>
        <w:rPr>
          <w:i/>
          <w:color w:val="231F20"/>
          <w:w w:val="105"/>
          <w:sz w:val="19"/>
        </w:rPr>
        <w:t>we</w:t>
      </w:r>
      <w:r>
        <w:rPr>
          <w:i/>
          <w:color w:val="231F20"/>
          <w:spacing w:val="-16"/>
          <w:w w:val="105"/>
          <w:sz w:val="19"/>
        </w:rPr>
        <w:t xml:space="preserve"> </w:t>
      </w:r>
      <w:r>
        <w:rPr>
          <w:i/>
          <w:color w:val="231F20"/>
          <w:w w:val="105"/>
          <w:sz w:val="19"/>
        </w:rPr>
        <w:t>want.</w:t>
      </w:r>
      <w:r>
        <w:rPr>
          <w:i/>
          <w:color w:val="231F20"/>
          <w:spacing w:val="-21"/>
          <w:w w:val="105"/>
          <w:sz w:val="19"/>
        </w:rPr>
        <w:t xml:space="preserve"> </w:t>
      </w:r>
      <w:r>
        <w:rPr>
          <w:i/>
          <w:color w:val="231F20"/>
          <w:w w:val="105"/>
          <w:sz w:val="19"/>
        </w:rPr>
        <w:t>Political</w:t>
      </w:r>
      <w:r>
        <w:rPr>
          <w:i/>
          <w:color w:val="231F20"/>
          <w:spacing w:val="-16"/>
          <w:w w:val="105"/>
          <w:sz w:val="19"/>
        </w:rPr>
        <w:t xml:space="preserve"> </w:t>
      </w:r>
      <w:r>
        <w:rPr>
          <w:i/>
          <w:color w:val="231F20"/>
          <w:w w:val="105"/>
          <w:sz w:val="19"/>
        </w:rPr>
        <w:t>taboos</w:t>
      </w:r>
      <w:r>
        <w:rPr>
          <w:i/>
          <w:color w:val="231F20"/>
          <w:spacing w:val="-16"/>
          <w:w w:val="105"/>
          <w:sz w:val="19"/>
        </w:rPr>
        <w:t xml:space="preserve"> </w:t>
      </w:r>
      <w:r>
        <w:rPr>
          <w:i/>
          <w:color w:val="231F20"/>
          <w:w w:val="105"/>
          <w:sz w:val="19"/>
        </w:rPr>
        <w:t>and</w:t>
      </w:r>
      <w:r>
        <w:rPr>
          <w:i/>
          <w:color w:val="231F20"/>
          <w:spacing w:val="-16"/>
          <w:w w:val="105"/>
          <w:sz w:val="19"/>
        </w:rPr>
        <w:t xml:space="preserve"> </w:t>
      </w:r>
      <w:r>
        <w:rPr>
          <w:i/>
          <w:color w:val="231F20"/>
          <w:w w:val="105"/>
          <w:sz w:val="19"/>
        </w:rPr>
        <w:t>appeals</w:t>
      </w:r>
      <w:r>
        <w:rPr>
          <w:i/>
          <w:color w:val="231F20"/>
          <w:spacing w:val="-16"/>
          <w:w w:val="105"/>
          <w:sz w:val="19"/>
        </w:rPr>
        <w:t xml:space="preserve"> </w:t>
      </w:r>
      <w:r>
        <w:rPr>
          <w:i/>
          <w:color w:val="231F20"/>
          <w:w w:val="105"/>
          <w:sz w:val="19"/>
        </w:rPr>
        <w:t>to</w:t>
      </w:r>
      <w:r>
        <w:rPr>
          <w:i/>
          <w:color w:val="231F20"/>
          <w:spacing w:val="-16"/>
          <w:w w:val="105"/>
          <w:sz w:val="19"/>
        </w:rPr>
        <w:t xml:space="preserve"> </w:t>
      </w:r>
      <w:r>
        <w:rPr>
          <w:i/>
          <w:color w:val="231F20"/>
          <w:w w:val="105"/>
          <w:sz w:val="19"/>
        </w:rPr>
        <w:t>the</w:t>
      </w:r>
      <w:r>
        <w:rPr>
          <w:i/>
          <w:color w:val="231F20"/>
          <w:spacing w:val="-16"/>
          <w:w w:val="105"/>
          <w:sz w:val="19"/>
        </w:rPr>
        <w:t xml:space="preserve"> </w:t>
      </w:r>
      <w:r>
        <w:rPr>
          <w:i/>
          <w:color w:val="231F20"/>
          <w:w w:val="105"/>
          <w:sz w:val="19"/>
        </w:rPr>
        <w:t xml:space="preserve">constitution </w:t>
      </w:r>
      <w:r>
        <w:rPr>
          <w:i/>
          <w:color w:val="231F20"/>
          <w:spacing w:val="-3"/>
          <w:w w:val="105"/>
          <w:sz w:val="19"/>
        </w:rPr>
        <w:t xml:space="preserve">won’t </w:t>
      </w:r>
      <w:r>
        <w:rPr>
          <w:i/>
          <w:color w:val="231F20"/>
          <w:w w:val="105"/>
          <w:sz w:val="19"/>
        </w:rPr>
        <w:t>save</w:t>
      </w:r>
      <w:r>
        <w:rPr>
          <w:i/>
          <w:color w:val="231F20"/>
          <w:spacing w:val="17"/>
          <w:w w:val="105"/>
          <w:sz w:val="19"/>
        </w:rPr>
        <w:t xml:space="preserve"> </w:t>
      </w:r>
      <w:r>
        <w:rPr>
          <w:i/>
          <w:color w:val="231F20"/>
          <w:w w:val="105"/>
          <w:sz w:val="19"/>
        </w:rPr>
        <w:t>us.</w:t>
      </w:r>
      <w:r>
        <w:rPr>
          <w:i/>
          <w:color w:val="231F20"/>
          <w:w w:val="105"/>
          <w:position w:val="6"/>
          <w:sz w:val="11"/>
        </w:rPr>
        <w:t>4</w:t>
      </w:r>
    </w:p>
    <w:p w14:paraId="76B87767" w14:textId="77777777" w:rsidR="002653E8" w:rsidRDefault="003115E3">
      <w:pPr>
        <w:pStyle w:val="a3"/>
        <w:spacing w:before="129" w:line="264" w:lineRule="auto"/>
        <w:ind w:left="1327" w:right="1146"/>
        <w:jc w:val="both"/>
        <w:rPr>
          <w:sz w:val="11"/>
        </w:rPr>
      </w:pPr>
      <w:r>
        <w:rPr>
          <w:color w:val="231F20"/>
        </w:rPr>
        <w:t>With thousands of people attending, the Tunix gathering marked the dawn of a  new  era  for  the  antiauthoritarian  left.</w:t>
      </w:r>
      <w:r>
        <w:rPr>
          <w:color w:val="231F20"/>
          <w:position w:val="7"/>
          <w:sz w:val="11"/>
        </w:rPr>
        <w:t xml:space="preserve">5  </w:t>
      </w:r>
      <w:r>
        <w:rPr>
          <w:color w:val="231F20"/>
        </w:rPr>
        <w:t xml:space="preserve">Participants  took  to the streets in Berlin, throwing bricks and paint filled eggs at the courthouse, the America House, and the </w:t>
      </w:r>
      <w:r>
        <w:rPr>
          <w:color w:val="231F20"/>
          <w:spacing w:val="-4"/>
        </w:rPr>
        <w:t xml:space="preserve">Women’s </w:t>
      </w:r>
      <w:r>
        <w:rPr>
          <w:color w:val="231F20"/>
        </w:rPr>
        <w:t>Prison, carrying banners which read “Free the prisoners!”, “Out With the Filth,” and “Stammheim is</w:t>
      </w:r>
      <w:r>
        <w:rPr>
          <w:color w:val="231F20"/>
          <w:spacing w:val="22"/>
        </w:rPr>
        <w:t xml:space="preserve"> </w:t>
      </w:r>
      <w:r>
        <w:rPr>
          <w:color w:val="231F20"/>
        </w:rPr>
        <w:t>Everywhere.”</w:t>
      </w:r>
      <w:r>
        <w:rPr>
          <w:color w:val="231F20"/>
          <w:position w:val="7"/>
          <w:sz w:val="11"/>
        </w:rPr>
        <w:t>6</w:t>
      </w:r>
    </w:p>
    <w:p w14:paraId="1DC9B231" w14:textId="77777777" w:rsidR="002653E8" w:rsidRDefault="003115E3">
      <w:pPr>
        <w:pStyle w:val="a3"/>
        <w:spacing w:line="264" w:lineRule="auto"/>
        <w:ind w:left="1327" w:right="1145" w:firstLine="210"/>
        <w:jc w:val="both"/>
      </w:pPr>
      <w:r>
        <w:rPr>
          <w:color w:val="231F20"/>
        </w:rPr>
        <w:t>This renewed antiauthoritarian left expressed itself in diverse ways, including the birth of an autonomist scene which drew direct inspiration from the Italian Marxist current of the same name, remaining</w:t>
      </w:r>
    </w:p>
    <w:p w14:paraId="5DC5BA5F" w14:textId="77777777" w:rsidR="002653E8" w:rsidRDefault="00000000">
      <w:pPr>
        <w:pStyle w:val="a3"/>
        <w:spacing w:line="264" w:lineRule="auto"/>
        <w:ind w:left="3820" w:right="1145"/>
        <w:jc w:val="both"/>
      </w:pPr>
      <w:r>
        <w:rPr>
          <w:noProof w:val="0"/>
        </w:rPr>
        <w:pict w14:anchorId="5B8DEFF9">
          <v:group id="_x0000_s2140" style="position:absolute;left:0;text-align:left;margin-left:66.4pt;margin-top:3.1pt;width:114.7pt;height:166.95pt;z-index:11344;mso-position-horizontal-relative:page" coordorigin="1328,62" coordsize="2294,3339">
            <v:shape id="_x0000_s2142" type="#_x0000_t75" style="position:absolute;left:1371;top:61;width:2251;height:3337">
              <v:imagedata r:id="rId455" o:title=""/>
            </v:shape>
            <v:rect id="_x0000_s2141" style="position:absolute;left:1337;top:71;width:2274;height:3319" filled="f" strokecolor="#231f20" strokeweight="1pt"/>
            <w10:wrap anchorx="page"/>
          </v:group>
        </w:pict>
      </w:r>
      <w:r w:rsidR="003115E3">
        <w:rPr>
          <w:color w:val="231F20"/>
        </w:rPr>
        <w:t xml:space="preserve">committed to radical politics. Another product of this period was the newspaper </w:t>
      </w:r>
      <w:r w:rsidR="003115E3">
        <w:rPr>
          <w:i/>
          <w:color w:val="231F20"/>
        </w:rPr>
        <w:t xml:space="preserve">tageszeitung </w:t>
      </w:r>
      <w:r w:rsidR="003115E3">
        <w:rPr>
          <w:color w:val="231F20"/>
        </w:rPr>
        <w:t>(Daily News), a national radical left daily. Radical weekly newspapers had existed in almost every city</w:t>
      </w:r>
      <w:r w:rsidR="003115E3">
        <w:rPr>
          <w:color w:val="231F20"/>
          <w:spacing w:val="-25"/>
        </w:rPr>
        <w:t xml:space="preserve"> </w:t>
      </w:r>
      <w:r w:rsidR="003115E3">
        <w:rPr>
          <w:color w:val="231F20"/>
        </w:rPr>
        <w:t xml:space="preserve">previously, but </w:t>
      </w:r>
      <w:r w:rsidR="003115E3">
        <w:rPr>
          <w:i/>
          <w:color w:val="231F20"/>
        </w:rPr>
        <w:t xml:space="preserve">Info-BUG </w:t>
      </w:r>
      <w:r w:rsidR="003115E3">
        <w:rPr>
          <w:color w:val="231F20"/>
        </w:rPr>
        <w:t xml:space="preserve">had been the only one with    a truly national circulation. Even then, it had been focused on </w:t>
      </w:r>
      <w:r w:rsidR="003115E3">
        <w:rPr>
          <w:color w:val="231F20"/>
          <w:spacing w:val="-3"/>
        </w:rPr>
        <w:t xml:space="preserve">West </w:t>
      </w:r>
      <w:r w:rsidR="003115E3">
        <w:rPr>
          <w:color w:val="231F20"/>
        </w:rPr>
        <w:t xml:space="preserve">Berlin, and had been banned the day of the Stammheim deaths. </w:t>
      </w:r>
      <w:r w:rsidR="003115E3">
        <w:rPr>
          <w:i/>
          <w:color w:val="231F20"/>
        </w:rPr>
        <w:t xml:space="preserve">taz </w:t>
      </w:r>
      <w:r w:rsidR="003115E3">
        <w:rPr>
          <w:color w:val="231F20"/>
        </w:rPr>
        <w:t xml:space="preserve">became the voice of the Tunix generation, establishing a national circulation dwarfing </w:t>
      </w:r>
      <w:r w:rsidR="003115E3">
        <w:rPr>
          <w:i/>
          <w:color w:val="231F20"/>
        </w:rPr>
        <w:t xml:space="preserve">Info-BUG </w:t>
      </w:r>
      <w:r w:rsidR="003115E3">
        <w:rPr>
          <w:color w:val="231F20"/>
        </w:rPr>
        <w:t>or any other publication in the scene.</w:t>
      </w:r>
      <w:r w:rsidR="003115E3">
        <w:rPr>
          <w:color w:val="231F20"/>
          <w:position w:val="7"/>
          <w:sz w:val="11"/>
        </w:rPr>
        <w:t xml:space="preserve">7 </w:t>
      </w:r>
      <w:r w:rsidR="003115E3">
        <w:rPr>
          <w:color w:val="231F20"/>
        </w:rPr>
        <w:t>(However,</w:t>
      </w:r>
      <w:r w:rsidR="003115E3">
        <w:rPr>
          <w:color w:val="231F20"/>
          <w:spacing w:val="12"/>
        </w:rPr>
        <w:t xml:space="preserve"> </w:t>
      </w:r>
      <w:r w:rsidR="003115E3">
        <w:rPr>
          <w:color w:val="231F20"/>
        </w:rPr>
        <w:t>like</w:t>
      </w:r>
    </w:p>
    <w:p w14:paraId="058BADAD" w14:textId="77777777" w:rsidR="002653E8" w:rsidRDefault="002653E8">
      <w:pPr>
        <w:spacing w:line="264" w:lineRule="auto"/>
        <w:jc w:val="both"/>
        <w:sectPr w:rsidR="002653E8">
          <w:pgSz w:w="8640" w:h="12960"/>
          <w:pgMar w:top="1060" w:right="0" w:bottom="1040" w:left="0" w:header="0" w:footer="850" w:gutter="0"/>
          <w:cols w:space="720"/>
        </w:sectPr>
      </w:pPr>
    </w:p>
    <w:p w14:paraId="5A926D2F" w14:textId="77777777" w:rsidR="002653E8" w:rsidRDefault="003115E3">
      <w:pPr>
        <w:spacing w:before="100" w:line="244" w:lineRule="auto"/>
        <w:ind w:left="1591"/>
        <w:jc w:val="center"/>
        <w:rPr>
          <w:i/>
          <w:sz w:val="18"/>
        </w:rPr>
      </w:pPr>
      <w:r>
        <w:rPr>
          <w:i/>
          <w:color w:val="231F20"/>
          <w:w w:val="105"/>
          <w:sz w:val="18"/>
        </w:rPr>
        <w:t xml:space="preserve">The first issue of </w:t>
      </w:r>
      <w:r>
        <w:rPr>
          <w:i/>
          <w:color w:val="231F20"/>
          <w:sz w:val="18"/>
        </w:rPr>
        <w:t xml:space="preserve">tageszeitung appeared </w:t>
      </w:r>
      <w:r>
        <w:rPr>
          <w:i/>
          <w:color w:val="231F20"/>
          <w:w w:val="105"/>
          <w:sz w:val="18"/>
        </w:rPr>
        <w:t>September 27, 1978.</w:t>
      </w:r>
    </w:p>
    <w:p w14:paraId="3E738BC7" w14:textId="77777777" w:rsidR="002653E8" w:rsidRDefault="003115E3">
      <w:pPr>
        <w:pStyle w:val="a3"/>
        <w:spacing w:line="211" w:lineRule="exact"/>
        <w:ind w:left="435"/>
      </w:pPr>
      <w:r>
        <w:br w:type="column"/>
      </w:r>
      <w:r>
        <w:rPr>
          <w:color w:val="231F20"/>
        </w:rPr>
        <w:t>much of this “alternative” effervescence,</w:t>
      </w:r>
    </w:p>
    <w:p w14:paraId="71C613C0" w14:textId="77777777" w:rsidR="002653E8" w:rsidRDefault="003115E3">
      <w:pPr>
        <w:pStyle w:val="a3"/>
        <w:spacing w:before="22" w:line="264" w:lineRule="auto"/>
        <w:ind w:left="435" w:right="685"/>
        <w:rPr>
          <w:sz w:val="11"/>
        </w:rPr>
      </w:pPr>
      <w:r>
        <w:rPr>
          <w:i/>
          <w:color w:val="231F20"/>
        </w:rPr>
        <w:t xml:space="preserve">taz </w:t>
      </w:r>
      <w:r>
        <w:rPr>
          <w:color w:val="231F20"/>
        </w:rPr>
        <w:t>accompanied the Greens back into the system over the next ten years.)</w:t>
      </w:r>
      <w:r>
        <w:rPr>
          <w:color w:val="231F20"/>
          <w:position w:val="7"/>
          <w:sz w:val="11"/>
        </w:rPr>
        <w:t>8</w:t>
      </w:r>
    </w:p>
    <w:p w14:paraId="56F0B15F" w14:textId="77777777" w:rsidR="002653E8" w:rsidRDefault="002653E8">
      <w:pPr>
        <w:spacing w:line="264" w:lineRule="auto"/>
        <w:rPr>
          <w:sz w:val="11"/>
        </w:rPr>
        <w:sectPr w:rsidR="002653E8">
          <w:type w:val="continuous"/>
          <w:pgSz w:w="8640" w:h="12960"/>
          <w:pgMar w:top="0" w:right="0" w:bottom="0" w:left="0" w:header="720" w:footer="720" w:gutter="0"/>
          <w:cols w:num="2" w:space="720" w:equalWidth="0">
            <w:col w:w="3346" w:space="40"/>
            <w:col w:w="5254"/>
          </w:cols>
        </w:sectPr>
      </w:pPr>
    </w:p>
    <w:p w14:paraId="6AD176D4" w14:textId="77777777" w:rsidR="002653E8" w:rsidRDefault="002653E8">
      <w:pPr>
        <w:pStyle w:val="a3"/>
        <w:spacing w:before="6"/>
        <w:rPr>
          <w:sz w:val="17"/>
        </w:rPr>
      </w:pPr>
    </w:p>
    <w:p w14:paraId="00C8A3BF" w14:textId="77777777" w:rsidR="002653E8" w:rsidRDefault="00000000">
      <w:pPr>
        <w:pStyle w:val="a3"/>
        <w:spacing w:line="20" w:lineRule="exact"/>
        <w:ind w:left="1322"/>
        <w:rPr>
          <w:sz w:val="2"/>
        </w:rPr>
      </w:pPr>
      <w:r>
        <w:rPr>
          <w:sz w:val="2"/>
        </w:rPr>
      </w:r>
      <w:r>
        <w:rPr>
          <w:sz w:val="2"/>
        </w:rPr>
        <w:pict w14:anchorId="6B40407A">
          <v:group id="_x0000_s2138" style="width:1in;height:.5pt;mso-position-horizontal-relative:char;mso-position-vertical-relative:line" coordsize="1440,10">
            <v:line id="_x0000_s2139" style="position:absolute" from="0,5" to="1440,5" strokecolor="#231f20" strokeweight=".5pt"/>
            <w10:anchorlock/>
          </v:group>
        </w:pict>
      </w:r>
    </w:p>
    <w:p w14:paraId="2C3E8C43" w14:textId="77777777" w:rsidR="002653E8" w:rsidRDefault="003115E3">
      <w:pPr>
        <w:pStyle w:val="a4"/>
        <w:numPr>
          <w:ilvl w:val="0"/>
          <w:numId w:val="2"/>
        </w:numPr>
        <w:tabs>
          <w:tab w:val="left" w:pos="1467"/>
        </w:tabs>
        <w:spacing w:before="72"/>
        <w:ind w:firstLine="0"/>
        <w:rPr>
          <w:sz w:val="16"/>
        </w:rPr>
      </w:pPr>
      <w:r>
        <w:rPr>
          <w:color w:val="231F20"/>
          <w:w w:val="110"/>
          <w:sz w:val="16"/>
        </w:rPr>
        <w:t>Geronimo.</w:t>
      </w:r>
    </w:p>
    <w:p w14:paraId="7697B0D1" w14:textId="77777777" w:rsidR="002653E8" w:rsidRDefault="003115E3">
      <w:pPr>
        <w:pStyle w:val="a4"/>
        <w:numPr>
          <w:ilvl w:val="0"/>
          <w:numId w:val="2"/>
        </w:numPr>
        <w:tabs>
          <w:tab w:val="left" w:pos="1467"/>
        </w:tabs>
        <w:spacing w:before="51" w:line="254" w:lineRule="auto"/>
        <w:ind w:right="1546" w:firstLine="0"/>
        <w:rPr>
          <w:sz w:val="16"/>
        </w:rPr>
      </w:pPr>
      <w:r>
        <w:rPr>
          <w:color w:val="231F20"/>
          <w:w w:val="105"/>
          <w:sz w:val="16"/>
        </w:rPr>
        <w:t xml:space="preserve">Estimates for the number of people who attended range from 5,000 (Michael Sontheimer, “Soziale Bewegungen Auf </w:t>
      </w:r>
      <w:r>
        <w:rPr>
          <w:color w:val="231F20"/>
          <w:spacing w:val="1"/>
          <w:w w:val="105"/>
          <w:sz w:val="16"/>
        </w:rPr>
        <w:t xml:space="preserve">zum </w:t>
      </w:r>
      <w:r>
        <w:rPr>
          <w:color w:val="231F20"/>
          <w:w w:val="105"/>
          <w:sz w:val="16"/>
        </w:rPr>
        <w:t xml:space="preserve">Strand von Tunix!”) to </w:t>
      </w:r>
      <w:r>
        <w:rPr>
          <w:color w:val="231F20"/>
          <w:spacing w:val="2"/>
          <w:w w:val="105"/>
          <w:sz w:val="16"/>
        </w:rPr>
        <w:t xml:space="preserve">20,000 </w:t>
      </w:r>
      <w:r>
        <w:rPr>
          <w:color w:val="231F20"/>
          <w:w w:val="105"/>
          <w:sz w:val="16"/>
        </w:rPr>
        <w:t>(Katsiaficas,</w:t>
      </w:r>
      <w:r>
        <w:rPr>
          <w:color w:val="231F20"/>
          <w:spacing w:val="8"/>
          <w:w w:val="105"/>
          <w:sz w:val="16"/>
        </w:rPr>
        <w:t xml:space="preserve"> </w:t>
      </w:r>
      <w:r>
        <w:rPr>
          <w:color w:val="231F20"/>
          <w:spacing w:val="-5"/>
          <w:w w:val="105"/>
          <w:sz w:val="16"/>
        </w:rPr>
        <w:t>65).</w:t>
      </w:r>
    </w:p>
    <w:p w14:paraId="34673C66" w14:textId="77777777" w:rsidR="002653E8" w:rsidRDefault="003115E3">
      <w:pPr>
        <w:pStyle w:val="a4"/>
        <w:numPr>
          <w:ilvl w:val="0"/>
          <w:numId w:val="2"/>
        </w:numPr>
        <w:tabs>
          <w:tab w:val="left" w:pos="1467"/>
        </w:tabs>
        <w:spacing w:before="42"/>
        <w:ind w:firstLine="0"/>
        <w:rPr>
          <w:sz w:val="16"/>
        </w:rPr>
      </w:pPr>
      <w:r>
        <w:rPr>
          <w:color w:val="231F20"/>
          <w:w w:val="110"/>
          <w:sz w:val="16"/>
        </w:rPr>
        <w:t>Geronimo.</w:t>
      </w:r>
    </w:p>
    <w:p w14:paraId="7784D7AA" w14:textId="77777777" w:rsidR="002653E8" w:rsidRDefault="003115E3">
      <w:pPr>
        <w:pStyle w:val="a4"/>
        <w:numPr>
          <w:ilvl w:val="0"/>
          <w:numId w:val="2"/>
        </w:numPr>
        <w:tabs>
          <w:tab w:val="left" w:pos="1467"/>
        </w:tabs>
        <w:spacing w:before="51"/>
        <w:ind w:firstLine="0"/>
        <w:rPr>
          <w:sz w:val="16"/>
        </w:rPr>
      </w:pPr>
      <w:r>
        <w:rPr>
          <w:color w:val="231F20"/>
          <w:w w:val="105"/>
          <w:sz w:val="16"/>
        </w:rPr>
        <w:t>Michael</w:t>
      </w:r>
      <w:r>
        <w:rPr>
          <w:color w:val="231F20"/>
          <w:spacing w:val="10"/>
          <w:w w:val="105"/>
          <w:sz w:val="16"/>
        </w:rPr>
        <w:t xml:space="preserve"> </w:t>
      </w:r>
      <w:r>
        <w:rPr>
          <w:color w:val="231F20"/>
          <w:w w:val="105"/>
          <w:sz w:val="16"/>
        </w:rPr>
        <w:t>Sontheimer,</w:t>
      </w:r>
      <w:r>
        <w:rPr>
          <w:color w:val="231F20"/>
          <w:spacing w:val="10"/>
          <w:w w:val="105"/>
          <w:sz w:val="16"/>
        </w:rPr>
        <w:t xml:space="preserve"> </w:t>
      </w:r>
      <w:r>
        <w:rPr>
          <w:color w:val="231F20"/>
          <w:w w:val="105"/>
          <w:sz w:val="16"/>
        </w:rPr>
        <w:t>interviewed</w:t>
      </w:r>
      <w:r>
        <w:rPr>
          <w:color w:val="231F20"/>
          <w:spacing w:val="10"/>
          <w:w w:val="105"/>
          <w:sz w:val="16"/>
        </w:rPr>
        <w:t xml:space="preserve"> </w:t>
      </w:r>
      <w:r>
        <w:rPr>
          <w:color w:val="231F20"/>
          <w:w w:val="105"/>
          <w:sz w:val="16"/>
        </w:rPr>
        <w:t>by</w:t>
      </w:r>
      <w:r>
        <w:rPr>
          <w:color w:val="231F20"/>
          <w:spacing w:val="10"/>
          <w:w w:val="105"/>
          <w:sz w:val="16"/>
        </w:rPr>
        <w:t xml:space="preserve"> </w:t>
      </w:r>
      <w:r>
        <w:rPr>
          <w:color w:val="231F20"/>
          <w:w w:val="105"/>
          <w:sz w:val="16"/>
        </w:rPr>
        <w:t>Rainer</w:t>
      </w:r>
      <w:r>
        <w:rPr>
          <w:color w:val="231F20"/>
          <w:spacing w:val="10"/>
          <w:w w:val="105"/>
          <w:sz w:val="16"/>
        </w:rPr>
        <w:t xml:space="preserve"> </w:t>
      </w:r>
      <w:r>
        <w:rPr>
          <w:color w:val="231F20"/>
          <w:w w:val="105"/>
          <w:sz w:val="16"/>
        </w:rPr>
        <w:t>Berthold</w:t>
      </w:r>
      <w:r>
        <w:rPr>
          <w:color w:val="231F20"/>
          <w:spacing w:val="10"/>
          <w:w w:val="105"/>
          <w:sz w:val="16"/>
        </w:rPr>
        <w:t xml:space="preserve"> </w:t>
      </w:r>
      <w:r>
        <w:rPr>
          <w:color w:val="231F20"/>
          <w:w w:val="105"/>
          <w:sz w:val="16"/>
        </w:rPr>
        <w:t>Schossig,</w:t>
      </w:r>
      <w:r>
        <w:rPr>
          <w:color w:val="231F20"/>
          <w:spacing w:val="10"/>
          <w:w w:val="105"/>
          <w:sz w:val="16"/>
        </w:rPr>
        <w:t xml:space="preserve"> </w:t>
      </w:r>
      <w:r>
        <w:rPr>
          <w:color w:val="231F20"/>
          <w:spacing w:val="-6"/>
          <w:w w:val="105"/>
          <w:sz w:val="16"/>
        </w:rPr>
        <w:t>“25</w:t>
      </w:r>
      <w:r>
        <w:rPr>
          <w:color w:val="231F20"/>
          <w:spacing w:val="10"/>
          <w:w w:val="105"/>
          <w:sz w:val="16"/>
        </w:rPr>
        <w:t xml:space="preserve"> </w:t>
      </w:r>
      <w:r>
        <w:rPr>
          <w:color w:val="231F20"/>
          <w:w w:val="105"/>
          <w:sz w:val="16"/>
        </w:rPr>
        <w:t>Jahre</w:t>
      </w:r>
      <w:r>
        <w:rPr>
          <w:color w:val="231F20"/>
          <w:spacing w:val="10"/>
          <w:w w:val="105"/>
          <w:sz w:val="16"/>
        </w:rPr>
        <w:t xml:space="preserve"> </w:t>
      </w:r>
      <w:r>
        <w:rPr>
          <w:color w:val="231F20"/>
          <w:w w:val="105"/>
          <w:sz w:val="16"/>
        </w:rPr>
        <w:t>taz”</w:t>
      </w:r>
    </w:p>
    <w:p w14:paraId="3E5280F4" w14:textId="77777777" w:rsidR="002653E8" w:rsidRDefault="003115E3">
      <w:pPr>
        <w:spacing w:before="12"/>
        <w:ind w:left="1327"/>
        <w:rPr>
          <w:sz w:val="16"/>
        </w:rPr>
      </w:pPr>
      <w:r>
        <w:rPr>
          <w:i/>
          <w:color w:val="231F20"/>
          <w:w w:val="110"/>
          <w:sz w:val="16"/>
        </w:rPr>
        <w:t xml:space="preserve">Deutschlandradio </w:t>
      </w:r>
      <w:r>
        <w:rPr>
          <w:color w:val="231F20"/>
          <w:w w:val="110"/>
          <w:sz w:val="16"/>
        </w:rPr>
        <w:t>[online], April 12, 2004.</w:t>
      </w:r>
    </w:p>
    <w:p w14:paraId="7E29F591" w14:textId="77777777" w:rsidR="002653E8" w:rsidRDefault="003115E3">
      <w:pPr>
        <w:pStyle w:val="a4"/>
        <w:numPr>
          <w:ilvl w:val="0"/>
          <w:numId w:val="2"/>
        </w:numPr>
        <w:tabs>
          <w:tab w:val="left" w:pos="1467"/>
        </w:tabs>
        <w:spacing w:before="51"/>
        <w:ind w:firstLine="0"/>
        <w:rPr>
          <w:sz w:val="16"/>
        </w:rPr>
      </w:pPr>
      <w:r>
        <w:rPr>
          <w:color w:val="231F20"/>
          <w:w w:val="110"/>
          <w:sz w:val="16"/>
        </w:rPr>
        <w:lastRenderedPageBreak/>
        <w:t>Katsiaficas,179.</w:t>
      </w:r>
    </w:p>
    <w:p w14:paraId="2ABEAF38" w14:textId="77777777" w:rsidR="002653E8" w:rsidRDefault="002653E8">
      <w:pPr>
        <w:rPr>
          <w:sz w:val="16"/>
        </w:rPr>
        <w:sectPr w:rsidR="002653E8">
          <w:type w:val="continuous"/>
          <w:pgSz w:w="8640" w:h="12960"/>
          <w:pgMar w:top="0" w:right="0" w:bottom="0" w:left="0" w:header="720" w:footer="720" w:gutter="0"/>
          <w:cols w:space="720"/>
        </w:sectPr>
      </w:pPr>
    </w:p>
    <w:p w14:paraId="7054AE6A" w14:textId="77777777" w:rsidR="002653E8" w:rsidRDefault="003115E3">
      <w:pPr>
        <w:pStyle w:val="a3"/>
        <w:spacing w:before="86" w:line="264" w:lineRule="auto"/>
        <w:ind w:left="1147" w:right="1325" w:firstLine="210"/>
        <w:jc w:val="both"/>
      </w:pPr>
      <w:r>
        <w:rPr>
          <w:color w:val="231F20"/>
        </w:rPr>
        <w:lastRenderedPageBreak/>
        <w:t xml:space="preserve">Basing itself both in the Tunix scene and in the Citizens Initiatives— ever more swollen by disaffected Social Democrats unhappy with Schmidt’s continuing march to the right—the Green Party was founded in </w:t>
      </w:r>
      <w:r>
        <w:rPr>
          <w:color w:val="231F20"/>
          <w:spacing w:val="-4"/>
        </w:rPr>
        <w:t xml:space="preserve">1980. </w:t>
      </w:r>
      <w:r>
        <w:rPr>
          <w:color w:val="231F20"/>
          <w:spacing w:val="1"/>
        </w:rPr>
        <w:t xml:space="preserve">In </w:t>
      </w:r>
      <w:r>
        <w:rPr>
          <w:color w:val="231F20"/>
        </w:rPr>
        <w:t xml:space="preserve">the same </w:t>
      </w:r>
      <w:r>
        <w:rPr>
          <w:color w:val="231F20"/>
          <w:spacing w:val="-2"/>
        </w:rPr>
        <w:t xml:space="preserve">way </w:t>
      </w:r>
      <w:r>
        <w:rPr>
          <w:color w:val="231F20"/>
        </w:rPr>
        <w:t xml:space="preserve">that Willy Brandt’s “Let’s Dare More Democracy!” had spelled the end to the APO, the Greens eventually came to represent the end for many seventies radicals, and the avenue that more than one former militant would follow right into the establishment. As one snide </w:t>
      </w:r>
      <w:r>
        <w:rPr>
          <w:i/>
          <w:color w:val="231F20"/>
        </w:rPr>
        <w:t xml:space="preserve">Spiegel </w:t>
      </w:r>
      <w:r>
        <w:rPr>
          <w:color w:val="231F20"/>
        </w:rPr>
        <w:t xml:space="preserve">writer put it on their </w:t>
      </w:r>
      <w:r>
        <w:rPr>
          <w:color w:val="231F20"/>
          <w:spacing w:val="-3"/>
        </w:rPr>
        <w:t xml:space="preserve">25th </w:t>
      </w:r>
      <w:r>
        <w:rPr>
          <w:color w:val="231F20"/>
        </w:rPr>
        <w:t xml:space="preserve">anniversary,  “It was not the 68ers and their Green offshoots who civilized Germany, but Germany which civilized </w:t>
      </w:r>
      <w:r>
        <w:rPr>
          <w:color w:val="231F20"/>
          <w:spacing w:val="-3"/>
        </w:rPr>
        <w:t>them.”</w:t>
      </w:r>
      <w:r>
        <w:rPr>
          <w:color w:val="231F20"/>
          <w:spacing w:val="-3"/>
          <w:position w:val="7"/>
          <w:sz w:val="11"/>
        </w:rPr>
        <w:t xml:space="preserve">1 </w:t>
      </w:r>
      <w:r>
        <w:rPr>
          <w:color w:val="231F20"/>
        </w:rPr>
        <w:t>(But this is a story best left for our next</w:t>
      </w:r>
      <w:r>
        <w:rPr>
          <w:color w:val="231F20"/>
          <w:spacing w:val="10"/>
        </w:rPr>
        <w:t xml:space="preserve"> </w:t>
      </w:r>
      <w:r>
        <w:rPr>
          <w:color w:val="231F20"/>
        </w:rPr>
        <w:t>volume.)</w:t>
      </w:r>
    </w:p>
    <w:p w14:paraId="7BB405C0" w14:textId="77777777" w:rsidR="002653E8" w:rsidRDefault="003115E3">
      <w:pPr>
        <w:pStyle w:val="a3"/>
        <w:spacing w:line="264" w:lineRule="auto"/>
        <w:ind w:left="1147" w:right="1325" w:firstLine="210"/>
        <w:jc w:val="both"/>
      </w:pPr>
      <w:r>
        <w:rPr>
          <w:color w:val="231F20"/>
        </w:rPr>
        <w:t xml:space="preserve">The undogmatic left had been polarized by the </w:t>
      </w:r>
      <w:r w:rsidR="00C507A5">
        <w:rPr>
          <w:color w:val="231F20"/>
        </w:rPr>
        <w:t>red army faction</w:t>
      </w:r>
      <w:r>
        <w:rPr>
          <w:color w:val="231F20"/>
        </w:rPr>
        <w:t xml:space="preserve">’s struggle, splitting to the left and to the right. This is unremarkable in itself, as is the fact that those who veered rightwards into the Greens were also those who found the </w:t>
      </w:r>
      <w:r w:rsidR="00C507A5">
        <w:rPr>
          <w:color w:val="231F20"/>
        </w:rPr>
        <w:t>red army faction</w:t>
      </w:r>
      <w:r>
        <w:rPr>
          <w:color w:val="231F20"/>
        </w:rPr>
        <w:t xml:space="preserve">’s politics uninspirational, to say the least. What is noteworthy is that those who veered to the left, the autonomists, were often similarly unimpressed with the </w:t>
      </w:r>
      <w:r w:rsidR="00C507A5">
        <w:rPr>
          <w:color w:val="231F20"/>
        </w:rPr>
        <w:t>red army faction</w:t>
      </w:r>
      <w:r>
        <w:rPr>
          <w:color w:val="231F20"/>
        </w:rPr>
        <w:t xml:space="preserve"> and its legacy. Certainly, nobody would be inspired by 1977 to set up an armed group, in the way that the </w:t>
      </w:r>
      <w:r w:rsidR="00C507A5">
        <w:rPr>
          <w:color w:val="231F20"/>
        </w:rPr>
        <w:t>red army faction</w:t>
      </w:r>
      <w:r>
        <w:rPr>
          <w:color w:val="231F20"/>
        </w:rPr>
        <w:t>’s early actions had inspired the RZ and others.</w:t>
      </w:r>
    </w:p>
    <w:p w14:paraId="444D90A9" w14:textId="77777777" w:rsidR="002653E8" w:rsidRDefault="003115E3">
      <w:pPr>
        <w:pStyle w:val="a3"/>
        <w:spacing w:line="264" w:lineRule="auto"/>
        <w:ind w:left="1148" w:right="1325" w:firstLine="209"/>
        <w:jc w:val="both"/>
      </w:pPr>
      <w:r>
        <w:rPr>
          <w:color w:val="231F20"/>
        </w:rPr>
        <w:t xml:space="preserve">Indeed, it is striking how much the </w:t>
      </w:r>
      <w:r w:rsidR="00C507A5">
        <w:rPr>
          <w:color w:val="231F20"/>
        </w:rPr>
        <w:t>red army faction</w:t>
      </w:r>
      <w:r>
        <w:rPr>
          <w:color w:val="231F20"/>
        </w:rPr>
        <w:t>’s legacy and credibility were damaged by 1977; it took years to recover, even while most of the guerillas remained uncaptured. Most popular and even scholarly works about the group act as if it disbanded afterwards, while in fact it remained active until the 1990s.</w:t>
      </w:r>
    </w:p>
    <w:p w14:paraId="6EB36B40" w14:textId="77777777" w:rsidR="002653E8" w:rsidRDefault="003115E3">
      <w:pPr>
        <w:pStyle w:val="a3"/>
        <w:spacing w:line="264" w:lineRule="auto"/>
        <w:ind w:left="1148" w:right="1327" w:firstLine="209"/>
        <w:jc w:val="both"/>
      </w:pPr>
      <w:r>
        <w:rPr>
          <w:color w:val="231F20"/>
        </w:rPr>
        <w:t>Compare this to 1972, when practically the entire guerilla had been wiped out by arrests, and yet the actions of the May Offensive inspired renewed resistance throughout the spectrum of the revolutionary left.</w:t>
      </w:r>
    </w:p>
    <w:p w14:paraId="74265781" w14:textId="77777777" w:rsidR="002653E8" w:rsidRDefault="003115E3">
      <w:pPr>
        <w:pStyle w:val="a3"/>
        <w:spacing w:line="264" w:lineRule="auto"/>
        <w:ind w:left="1148" w:right="1326" w:firstLine="210"/>
        <w:jc w:val="both"/>
      </w:pPr>
      <w:r>
        <w:rPr>
          <w:color w:val="231F20"/>
        </w:rPr>
        <w:t xml:space="preserve">One part of the equation was the distance that had grown between the </w:t>
      </w:r>
      <w:r w:rsidR="00C507A5">
        <w:rPr>
          <w:color w:val="231F20"/>
          <w:spacing w:val="5"/>
        </w:rPr>
        <w:t>red army faction</w:t>
      </w:r>
      <w:r>
        <w:rPr>
          <w:color w:val="231F20"/>
          <w:spacing w:val="5"/>
        </w:rPr>
        <w:t xml:space="preserve"> </w:t>
      </w:r>
      <w:r>
        <w:rPr>
          <w:color w:val="231F20"/>
        </w:rPr>
        <w:t xml:space="preserve">and the rest of the left, both as a result of its own paradoxes and of the vicious state repression and psychological operations. The other factor, in its own </w:t>
      </w:r>
      <w:r>
        <w:rPr>
          <w:color w:val="231F20"/>
          <w:spacing w:val="-2"/>
        </w:rPr>
        <w:t xml:space="preserve">way </w:t>
      </w:r>
      <w:r>
        <w:rPr>
          <w:color w:val="231F20"/>
        </w:rPr>
        <w:t xml:space="preserve">an expression of the first, was the level of confrontation in which the </w:t>
      </w:r>
      <w:r>
        <w:rPr>
          <w:color w:val="231F20"/>
          <w:spacing w:val="-3"/>
        </w:rPr>
        <w:t xml:space="preserve">1977 </w:t>
      </w:r>
      <w:r>
        <w:rPr>
          <w:color w:val="231F20"/>
        </w:rPr>
        <w:t>commandos had chosen to  engage, well beyond the capacity of any other segment of the left to imitate or even</w:t>
      </w:r>
      <w:r>
        <w:rPr>
          <w:color w:val="231F20"/>
          <w:spacing w:val="10"/>
        </w:rPr>
        <w:t xml:space="preserve"> </w:t>
      </w:r>
      <w:r>
        <w:rPr>
          <w:color w:val="231F20"/>
        </w:rPr>
        <w:t>support.</w:t>
      </w:r>
    </w:p>
    <w:p w14:paraId="7DF7E75F" w14:textId="77777777" w:rsidR="002653E8" w:rsidRDefault="003115E3">
      <w:pPr>
        <w:pStyle w:val="a3"/>
        <w:spacing w:line="264" w:lineRule="auto"/>
        <w:ind w:left="1148" w:right="1325" w:firstLine="210"/>
        <w:jc w:val="both"/>
      </w:pPr>
      <w:r>
        <w:rPr>
          <w:color w:val="231F20"/>
        </w:rPr>
        <w:t xml:space="preserve">While the </w:t>
      </w:r>
      <w:r w:rsidR="00C507A5">
        <w:rPr>
          <w:color w:val="231F20"/>
        </w:rPr>
        <w:t>red army faction</w:t>
      </w:r>
      <w:r>
        <w:rPr>
          <w:color w:val="231F20"/>
        </w:rPr>
        <w:t xml:space="preserve"> was in crisis, the Revolutionary Cells and Rote Zora continued to score successes, and carried out approximately eighty actions over the next decade, suffering hardly any arrests. There were also</w:t>
      </w:r>
    </w:p>
    <w:p w14:paraId="2A741CED" w14:textId="77777777" w:rsidR="002653E8" w:rsidRDefault="00000000">
      <w:pPr>
        <w:pStyle w:val="a3"/>
        <w:spacing w:before="1"/>
        <w:rPr>
          <w:sz w:val="17"/>
        </w:rPr>
      </w:pPr>
      <w:r>
        <w:rPr>
          <w:noProof w:val="0"/>
        </w:rPr>
        <w:pict w14:anchorId="1AF6817B">
          <v:line id="_x0000_s2137" style="position:absolute;z-index:11368;mso-wrap-distance-left:0;mso-wrap-distance-right:0;mso-position-horizontal-relative:page" from="57.4pt,12.25pt" to="129.4pt,12.25pt" strokecolor="#231f20" strokeweight=".5pt">
            <w10:wrap type="topAndBottom" anchorx="page"/>
          </v:line>
        </w:pict>
      </w:r>
    </w:p>
    <w:p w14:paraId="43867BDA" w14:textId="77777777" w:rsidR="002653E8" w:rsidRDefault="003115E3">
      <w:pPr>
        <w:spacing w:before="53"/>
        <w:ind w:left="1147"/>
        <w:rPr>
          <w:sz w:val="16"/>
        </w:rPr>
      </w:pPr>
      <w:r>
        <w:rPr>
          <w:color w:val="231F20"/>
          <w:w w:val="110"/>
          <w:sz w:val="16"/>
        </w:rPr>
        <w:t>1 Claus Christian Malzahn, “Happy 25th Birthday Greens. What’s the Plan Now?”</w:t>
      </w:r>
    </w:p>
    <w:p w14:paraId="194A262D" w14:textId="77777777" w:rsidR="002653E8" w:rsidRDefault="003115E3">
      <w:pPr>
        <w:spacing w:before="11"/>
        <w:ind w:left="1148"/>
        <w:rPr>
          <w:sz w:val="16"/>
        </w:rPr>
      </w:pPr>
      <w:r>
        <w:rPr>
          <w:i/>
          <w:color w:val="231F20"/>
          <w:w w:val="110"/>
          <w:sz w:val="16"/>
        </w:rPr>
        <w:t xml:space="preserve">Spiegel </w:t>
      </w:r>
      <w:r>
        <w:rPr>
          <w:color w:val="231F20"/>
          <w:w w:val="110"/>
          <w:sz w:val="16"/>
        </w:rPr>
        <w:t>[online], January 13, 2005.</w:t>
      </w:r>
    </w:p>
    <w:p w14:paraId="4CA746DE" w14:textId="77777777" w:rsidR="002653E8" w:rsidRDefault="002653E8">
      <w:pPr>
        <w:rPr>
          <w:sz w:val="16"/>
        </w:rPr>
        <w:sectPr w:rsidR="002653E8">
          <w:footerReference w:type="even" r:id="rId456"/>
          <w:footerReference w:type="default" r:id="rId457"/>
          <w:pgSz w:w="8640" w:h="12960"/>
          <w:pgMar w:top="1060" w:right="0" w:bottom="1040" w:left="0" w:header="0" w:footer="850" w:gutter="0"/>
          <w:cols w:space="720"/>
        </w:sectPr>
      </w:pPr>
    </w:p>
    <w:p w14:paraId="4856872B" w14:textId="77777777" w:rsidR="002653E8" w:rsidRDefault="003115E3">
      <w:pPr>
        <w:pStyle w:val="a3"/>
        <w:spacing w:before="86" w:line="264" w:lineRule="auto"/>
        <w:ind w:left="1327" w:right="1146"/>
        <w:jc w:val="both"/>
      </w:pPr>
      <w:r>
        <w:rPr>
          <w:color w:val="231F20"/>
        </w:rPr>
        <w:lastRenderedPageBreak/>
        <w:t>many low-level attacks carried out by one-off groups, most of which have left no record, yet which nevertheless contributed to an overall armed orientation remarkably different from that which existed in North America at the time.</w:t>
      </w:r>
    </w:p>
    <w:p w14:paraId="3A8C5244" w14:textId="77777777" w:rsidR="002653E8" w:rsidRDefault="003115E3">
      <w:pPr>
        <w:pStyle w:val="a3"/>
        <w:spacing w:line="264" w:lineRule="auto"/>
        <w:ind w:left="1327" w:right="1147" w:firstLine="210"/>
        <w:jc w:val="both"/>
      </w:pPr>
      <w:r>
        <w:rPr>
          <w:color w:val="231F20"/>
        </w:rPr>
        <w:t xml:space="preserve">In a significant way, these developments indicate the degree to which the </w:t>
      </w:r>
      <w:r w:rsidR="00C507A5">
        <w:rPr>
          <w:color w:val="231F20"/>
        </w:rPr>
        <w:t>red army faction</w:t>
      </w:r>
      <w:r>
        <w:rPr>
          <w:color w:val="231F20"/>
        </w:rPr>
        <w:t>’s armed strategy had marked revolutionary politics in West Germany, even while its ideology was rarely accepted.</w:t>
      </w:r>
    </w:p>
    <w:p w14:paraId="343CC5C8" w14:textId="77777777" w:rsidR="002653E8" w:rsidRDefault="003115E3">
      <w:pPr>
        <w:pStyle w:val="a3"/>
        <w:spacing w:line="231" w:lineRule="exact"/>
        <w:ind w:left="1537"/>
      </w:pPr>
      <w:r>
        <w:rPr>
          <w:color w:val="231F20"/>
        </w:rPr>
        <w:t xml:space="preserve">Not that the </w:t>
      </w:r>
      <w:r w:rsidR="00C507A5">
        <w:rPr>
          <w:color w:val="231F20"/>
        </w:rPr>
        <w:t>red army faction</w:t>
      </w:r>
      <w:r>
        <w:rPr>
          <w:color w:val="231F20"/>
        </w:rPr>
        <w:t xml:space="preserve"> itself had been removed from the battlefield.</w:t>
      </w:r>
    </w:p>
    <w:p w14:paraId="1A7C63A6" w14:textId="77777777" w:rsidR="002653E8" w:rsidRDefault="003115E3">
      <w:pPr>
        <w:pStyle w:val="a3"/>
        <w:spacing w:before="18" w:line="264" w:lineRule="auto"/>
        <w:ind w:left="1327" w:right="1146" w:firstLine="210"/>
        <w:jc w:val="both"/>
      </w:pPr>
      <w:r>
        <w:rPr>
          <w:color w:val="231F20"/>
        </w:rPr>
        <w:t>Though</w:t>
      </w:r>
      <w:r>
        <w:rPr>
          <w:color w:val="231F20"/>
          <w:spacing w:val="-13"/>
        </w:rPr>
        <w:t xml:space="preserve"> </w:t>
      </w:r>
      <w:r>
        <w:rPr>
          <w:color w:val="231F20"/>
        </w:rPr>
        <w:t>it</w:t>
      </w:r>
      <w:r>
        <w:rPr>
          <w:color w:val="231F20"/>
          <w:spacing w:val="-13"/>
        </w:rPr>
        <w:t xml:space="preserve"> </w:t>
      </w:r>
      <w:r>
        <w:rPr>
          <w:color w:val="231F20"/>
        </w:rPr>
        <w:t>looked</w:t>
      </w:r>
      <w:r>
        <w:rPr>
          <w:color w:val="231F20"/>
          <w:spacing w:val="-13"/>
        </w:rPr>
        <w:t xml:space="preserve"> </w:t>
      </w:r>
      <w:r>
        <w:rPr>
          <w:color w:val="231F20"/>
        </w:rPr>
        <w:t>broken</w:t>
      </w:r>
      <w:r>
        <w:rPr>
          <w:color w:val="231F20"/>
          <w:spacing w:val="-13"/>
        </w:rPr>
        <w:t xml:space="preserve"> </w:t>
      </w:r>
      <w:r>
        <w:rPr>
          <w:color w:val="231F20"/>
        </w:rPr>
        <w:t>by</w:t>
      </w:r>
      <w:r>
        <w:rPr>
          <w:color w:val="231F20"/>
          <w:spacing w:val="-13"/>
        </w:rPr>
        <w:t xml:space="preserve"> </w:t>
      </w:r>
      <w:r>
        <w:rPr>
          <w:color w:val="231F20"/>
        </w:rPr>
        <w:t>defeat</w:t>
      </w:r>
      <w:r>
        <w:rPr>
          <w:color w:val="231F20"/>
          <w:spacing w:val="-13"/>
        </w:rPr>
        <w:t xml:space="preserve"> </w:t>
      </w:r>
      <w:r>
        <w:rPr>
          <w:color w:val="231F20"/>
        </w:rPr>
        <w:t>and</w:t>
      </w:r>
      <w:r>
        <w:rPr>
          <w:color w:val="231F20"/>
          <w:spacing w:val="-13"/>
        </w:rPr>
        <w:t xml:space="preserve"> </w:t>
      </w:r>
      <w:r>
        <w:rPr>
          <w:color w:val="231F20"/>
        </w:rPr>
        <w:t>repression,</w:t>
      </w:r>
      <w:r>
        <w:rPr>
          <w:color w:val="231F20"/>
          <w:spacing w:val="-12"/>
        </w:rPr>
        <w:t xml:space="preserve"> </w:t>
      </w:r>
      <w:r>
        <w:rPr>
          <w:color w:val="231F20"/>
        </w:rPr>
        <w:t>the</w:t>
      </w:r>
      <w:r>
        <w:rPr>
          <w:color w:val="231F20"/>
          <w:spacing w:val="-11"/>
        </w:rPr>
        <w:t xml:space="preserve"> </w:t>
      </w:r>
      <w:r w:rsidR="00C507A5">
        <w:rPr>
          <w:color w:val="231F20"/>
          <w:spacing w:val="5"/>
        </w:rPr>
        <w:t>red army faction</w:t>
      </w:r>
      <w:r>
        <w:rPr>
          <w:color w:val="231F20"/>
          <w:spacing w:val="-13"/>
        </w:rPr>
        <w:t xml:space="preserve"> </w:t>
      </w:r>
      <w:r>
        <w:rPr>
          <w:color w:val="231F20"/>
        </w:rPr>
        <w:t>would</w:t>
      </w:r>
      <w:r>
        <w:rPr>
          <w:color w:val="231F20"/>
          <w:spacing w:val="-13"/>
        </w:rPr>
        <w:t xml:space="preserve"> </w:t>
      </w:r>
      <w:r>
        <w:rPr>
          <w:color w:val="231F20"/>
        </w:rPr>
        <w:t>once again manage to regroup and draw in new members, establishing the basis</w:t>
      </w:r>
      <w:r>
        <w:rPr>
          <w:color w:val="231F20"/>
          <w:spacing w:val="6"/>
        </w:rPr>
        <w:t xml:space="preserve"> </w:t>
      </w:r>
      <w:r>
        <w:rPr>
          <w:color w:val="231F20"/>
        </w:rPr>
        <w:t>for</w:t>
      </w:r>
      <w:r>
        <w:rPr>
          <w:color w:val="231F20"/>
          <w:spacing w:val="6"/>
        </w:rPr>
        <w:t xml:space="preserve"> </w:t>
      </w:r>
      <w:r>
        <w:rPr>
          <w:color w:val="231F20"/>
        </w:rPr>
        <w:t>renewed</w:t>
      </w:r>
      <w:r>
        <w:rPr>
          <w:color w:val="231F20"/>
          <w:spacing w:val="6"/>
        </w:rPr>
        <w:t xml:space="preserve"> </w:t>
      </w:r>
      <w:r>
        <w:rPr>
          <w:color w:val="231F20"/>
        </w:rPr>
        <w:t>campaigns</w:t>
      </w:r>
      <w:r>
        <w:rPr>
          <w:color w:val="231F20"/>
          <w:spacing w:val="6"/>
        </w:rPr>
        <w:t xml:space="preserve"> </w:t>
      </w:r>
      <w:r>
        <w:rPr>
          <w:color w:val="231F20"/>
        </w:rPr>
        <w:t>of</w:t>
      </w:r>
      <w:r>
        <w:rPr>
          <w:color w:val="231F20"/>
          <w:spacing w:val="6"/>
        </w:rPr>
        <w:t xml:space="preserve"> </w:t>
      </w:r>
      <w:r>
        <w:rPr>
          <w:color w:val="231F20"/>
        </w:rPr>
        <w:t>revolutionary</w:t>
      </w:r>
      <w:r>
        <w:rPr>
          <w:color w:val="231F20"/>
          <w:spacing w:val="6"/>
        </w:rPr>
        <w:t xml:space="preserve"> </w:t>
      </w:r>
      <w:r>
        <w:rPr>
          <w:color w:val="231F20"/>
        </w:rPr>
        <w:t>violence</w:t>
      </w:r>
      <w:r>
        <w:rPr>
          <w:color w:val="231F20"/>
          <w:spacing w:val="6"/>
        </w:rPr>
        <w:t xml:space="preserve"> </w:t>
      </w:r>
      <w:r>
        <w:rPr>
          <w:color w:val="231F20"/>
        </w:rPr>
        <w:t>in</w:t>
      </w:r>
      <w:r>
        <w:rPr>
          <w:color w:val="231F20"/>
          <w:spacing w:val="6"/>
        </w:rPr>
        <w:t xml:space="preserve"> </w:t>
      </w:r>
      <w:r>
        <w:rPr>
          <w:color w:val="231F20"/>
        </w:rPr>
        <w:t>the</w:t>
      </w:r>
      <w:r>
        <w:rPr>
          <w:color w:val="231F20"/>
          <w:spacing w:val="7"/>
        </w:rPr>
        <w:t xml:space="preserve"> </w:t>
      </w:r>
      <w:r>
        <w:rPr>
          <w:color w:val="231F20"/>
        </w:rPr>
        <w:t>1980s.</w:t>
      </w:r>
    </w:p>
    <w:p w14:paraId="3107908D" w14:textId="77777777" w:rsidR="002653E8" w:rsidRDefault="003115E3">
      <w:pPr>
        <w:pStyle w:val="a3"/>
        <w:spacing w:line="264" w:lineRule="auto"/>
        <w:ind w:left="1327" w:right="1146" w:firstLine="210"/>
        <w:jc w:val="both"/>
      </w:pPr>
      <w:r>
        <w:rPr>
          <w:color w:val="231F20"/>
        </w:rPr>
        <w:t>In a few years, events revealed that the tradition of armed resistance, and the legacy of the first guerillas to emerge from the APO, had beaten the odds and survived the devastating blows of the seventies.</w:t>
      </w:r>
    </w:p>
    <w:p w14:paraId="0A414260" w14:textId="77777777" w:rsidR="002653E8" w:rsidRDefault="002653E8">
      <w:pPr>
        <w:pStyle w:val="a3"/>
      </w:pPr>
    </w:p>
    <w:p w14:paraId="049C057D" w14:textId="77777777" w:rsidR="002653E8" w:rsidRDefault="002653E8">
      <w:pPr>
        <w:pStyle w:val="a3"/>
      </w:pPr>
    </w:p>
    <w:p w14:paraId="708B511E" w14:textId="77777777" w:rsidR="002653E8" w:rsidRDefault="002653E8">
      <w:pPr>
        <w:pStyle w:val="a3"/>
      </w:pPr>
    </w:p>
    <w:p w14:paraId="2BB3DB65" w14:textId="77777777" w:rsidR="002653E8" w:rsidRDefault="002653E8">
      <w:pPr>
        <w:pStyle w:val="a3"/>
      </w:pPr>
    </w:p>
    <w:p w14:paraId="2DF46FF5" w14:textId="77777777" w:rsidR="002653E8" w:rsidRDefault="003115E3">
      <w:pPr>
        <w:pStyle w:val="a3"/>
        <w:spacing w:before="3"/>
        <w:rPr>
          <w:sz w:val="22"/>
        </w:rPr>
      </w:pPr>
      <w:r>
        <w:drawing>
          <wp:anchor distT="0" distB="0" distL="0" distR="0" simplePos="0" relativeHeight="11392" behindDoc="0" locked="0" layoutInCell="1" allowOverlap="1" wp14:anchorId="7DD21A94" wp14:editId="0052AA3D">
            <wp:simplePos x="0" y="0"/>
            <wp:positionH relativeFrom="page">
              <wp:posOffset>1411835</wp:posOffset>
            </wp:positionH>
            <wp:positionV relativeFrom="paragraph">
              <wp:posOffset>190550</wp:posOffset>
            </wp:positionV>
            <wp:extent cx="2692417" cy="2586609"/>
            <wp:effectExtent l="0" t="0" r="0" b="0"/>
            <wp:wrapTopAndBottom/>
            <wp:docPr id="85"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6.png"/>
                    <pic:cNvPicPr/>
                  </pic:nvPicPr>
                  <pic:blipFill>
                    <a:blip r:embed="rId458" cstate="print"/>
                    <a:stretch>
                      <a:fillRect/>
                    </a:stretch>
                  </pic:blipFill>
                  <pic:spPr>
                    <a:xfrm>
                      <a:off x="0" y="0"/>
                      <a:ext cx="2692417" cy="2586609"/>
                    </a:xfrm>
                    <a:prstGeom prst="rect">
                      <a:avLst/>
                    </a:prstGeom>
                  </pic:spPr>
                </pic:pic>
              </a:graphicData>
            </a:graphic>
          </wp:anchor>
        </w:drawing>
      </w:r>
    </w:p>
    <w:p w14:paraId="1577E1AC" w14:textId="77777777" w:rsidR="002653E8" w:rsidRDefault="002653E8">
      <w:pPr>
        <w:sectPr w:rsidR="002653E8">
          <w:pgSz w:w="8640" w:h="12960"/>
          <w:pgMar w:top="1060" w:right="0" w:bottom="1040" w:left="0" w:header="0" w:footer="850" w:gutter="0"/>
          <w:cols w:space="720"/>
        </w:sectPr>
      </w:pPr>
    </w:p>
    <w:p w14:paraId="33194AE4" w14:textId="77777777" w:rsidR="002653E8" w:rsidRDefault="002653E8">
      <w:pPr>
        <w:pStyle w:val="a3"/>
      </w:pPr>
    </w:p>
    <w:p w14:paraId="6C5AEAA3" w14:textId="77777777" w:rsidR="002653E8" w:rsidRDefault="002653E8">
      <w:pPr>
        <w:pStyle w:val="a3"/>
      </w:pPr>
    </w:p>
    <w:p w14:paraId="76E858F0" w14:textId="77777777" w:rsidR="002653E8" w:rsidRDefault="002653E8">
      <w:pPr>
        <w:pStyle w:val="a3"/>
      </w:pPr>
    </w:p>
    <w:p w14:paraId="4AA8D46A" w14:textId="77777777" w:rsidR="002653E8" w:rsidRDefault="002653E8">
      <w:pPr>
        <w:pStyle w:val="a3"/>
      </w:pPr>
    </w:p>
    <w:p w14:paraId="49E9CFA2" w14:textId="77777777" w:rsidR="002653E8" w:rsidRDefault="002653E8">
      <w:pPr>
        <w:pStyle w:val="a3"/>
      </w:pPr>
    </w:p>
    <w:p w14:paraId="29CF4DA0" w14:textId="77777777" w:rsidR="002653E8" w:rsidRDefault="002653E8">
      <w:pPr>
        <w:pStyle w:val="a3"/>
      </w:pPr>
    </w:p>
    <w:p w14:paraId="10E1A974" w14:textId="77777777" w:rsidR="002653E8" w:rsidRDefault="002653E8">
      <w:pPr>
        <w:pStyle w:val="a3"/>
      </w:pPr>
    </w:p>
    <w:p w14:paraId="3C2E6EB4" w14:textId="77777777" w:rsidR="002653E8" w:rsidRDefault="002653E8">
      <w:pPr>
        <w:pStyle w:val="a3"/>
      </w:pPr>
    </w:p>
    <w:p w14:paraId="5C59C5A2" w14:textId="77777777" w:rsidR="002653E8" w:rsidRDefault="002653E8">
      <w:pPr>
        <w:pStyle w:val="a3"/>
      </w:pPr>
    </w:p>
    <w:p w14:paraId="7AFFB44F" w14:textId="77777777" w:rsidR="002653E8" w:rsidRDefault="002653E8">
      <w:pPr>
        <w:pStyle w:val="a3"/>
      </w:pPr>
    </w:p>
    <w:p w14:paraId="3EB54072" w14:textId="77777777" w:rsidR="002653E8" w:rsidRDefault="002653E8">
      <w:pPr>
        <w:pStyle w:val="a3"/>
      </w:pPr>
    </w:p>
    <w:p w14:paraId="4A763818" w14:textId="77777777" w:rsidR="002653E8" w:rsidRDefault="002653E8">
      <w:pPr>
        <w:pStyle w:val="a3"/>
      </w:pPr>
    </w:p>
    <w:p w14:paraId="3452D307" w14:textId="77777777" w:rsidR="002653E8" w:rsidRDefault="002653E8">
      <w:pPr>
        <w:pStyle w:val="a3"/>
      </w:pPr>
    </w:p>
    <w:p w14:paraId="68767301" w14:textId="77777777" w:rsidR="002653E8" w:rsidRDefault="002653E8">
      <w:pPr>
        <w:pStyle w:val="a3"/>
      </w:pPr>
    </w:p>
    <w:p w14:paraId="2326E7CC" w14:textId="77777777" w:rsidR="002653E8" w:rsidRDefault="002653E8">
      <w:pPr>
        <w:pStyle w:val="a3"/>
        <w:spacing w:before="3" w:after="1"/>
        <w:rPr>
          <w:sz w:val="25"/>
        </w:rPr>
      </w:pPr>
    </w:p>
    <w:p w14:paraId="26974F4F" w14:textId="77777777" w:rsidR="002653E8" w:rsidRDefault="00000000">
      <w:pPr>
        <w:pStyle w:val="a3"/>
        <w:ind w:left="1147"/>
      </w:pPr>
      <w:r>
        <w:pict w14:anchorId="4C84E99D">
          <v:group id="_x0000_s2135" style="width:366.1pt;height:26pt;mso-position-horizontal-relative:char;mso-position-vertical-relative:line" coordsize="7322,520">
            <v:rect id="_x0000_s2136" style="position:absolute;width:7322;height:520" fillcolor="#231f20" stroked="f"/>
            <w10:anchorlock/>
          </v:group>
        </w:pict>
      </w:r>
    </w:p>
    <w:p w14:paraId="15CA4725" w14:textId="77777777" w:rsidR="002653E8" w:rsidRDefault="002653E8">
      <w:pPr>
        <w:pStyle w:val="a3"/>
      </w:pPr>
    </w:p>
    <w:p w14:paraId="0C1807D3" w14:textId="77777777" w:rsidR="002653E8" w:rsidRDefault="002653E8">
      <w:pPr>
        <w:pStyle w:val="a3"/>
      </w:pPr>
    </w:p>
    <w:p w14:paraId="10F0D1AB" w14:textId="77777777" w:rsidR="002653E8" w:rsidRDefault="002653E8">
      <w:pPr>
        <w:pStyle w:val="a3"/>
      </w:pPr>
    </w:p>
    <w:p w14:paraId="01A84073" w14:textId="77777777" w:rsidR="002653E8" w:rsidRDefault="002653E8">
      <w:pPr>
        <w:pStyle w:val="a3"/>
      </w:pPr>
    </w:p>
    <w:p w14:paraId="2EBD3F84" w14:textId="77777777" w:rsidR="002653E8" w:rsidRDefault="002653E8">
      <w:pPr>
        <w:pStyle w:val="a3"/>
      </w:pPr>
    </w:p>
    <w:p w14:paraId="2D3A6639" w14:textId="77777777" w:rsidR="002653E8" w:rsidRDefault="002653E8">
      <w:pPr>
        <w:pStyle w:val="a3"/>
      </w:pPr>
    </w:p>
    <w:p w14:paraId="347071AF" w14:textId="77777777" w:rsidR="002653E8" w:rsidRDefault="002653E8">
      <w:pPr>
        <w:pStyle w:val="a3"/>
      </w:pPr>
    </w:p>
    <w:p w14:paraId="58C62804" w14:textId="77777777" w:rsidR="002653E8" w:rsidRDefault="002653E8">
      <w:pPr>
        <w:pStyle w:val="a3"/>
      </w:pPr>
    </w:p>
    <w:p w14:paraId="44FA170E" w14:textId="77777777" w:rsidR="002653E8" w:rsidRDefault="002653E8">
      <w:pPr>
        <w:pStyle w:val="a3"/>
      </w:pPr>
    </w:p>
    <w:p w14:paraId="49533DF7" w14:textId="77777777" w:rsidR="002653E8" w:rsidRDefault="002653E8">
      <w:pPr>
        <w:pStyle w:val="a3"/>
      </w:pPr>
    </w:p>
    <w:p w14:paraId="197D0A52" w14:textId="77777777" w:rsidR="002653E8" w:rsidRDefault="002653E8">
      <w:pPr>
        <w:pStyle w:val="a3"/>
      </w:pPr>
    </w:p>
    <w:p w14:paraId="6D019A3E" w14:textId="77777777" w:rsidR="002653E8" w:rsidRDefault="002653E8">
      <w:pPr>
        <w:pStyle w:val="a3"/>
      </w:pPr>
    </w:p>
    <w:p w14:paraId="71872E09" w14:textId="77777777" w:rsidR="002653E8" w:rsidRDefault="002653E8">
      <w:pPr>
        <w:pStyle w:val="a3"/>
      </w:pPr>
    </w:p>
    <w:p w14:paraId="69FE16AA" w14:textId="77777777" w:rsidR="002653E8" w:rsidRDefault="002653E8">
      <w:pPr>
        <w:pStyle w:val="a3"/>
      </w:pPr>
    </w:p>
    <w:p w14:paraId="53B85A4A" w14:textId="77777777" w:rsidR="002653E8" w:rsidRDefault="002653E8">
      <w:pPr>
        <w:pStyle w:val="a3"/>
      </w:pPr>
    </w:p>
    <w:p w14:paraId="626C9D40" w14:textId="77777777" w:rsidR="002653E8" w:rsidRDefault="002653E8">
      <w:pPr>
        <w:pStyle w:val="a3"/>
      </w:pPr>
    </w:p>
    <w:p w14:paraId="7BD98E51" w14:textId="77777777" w:rsidR="002653E8" w:rsidRDefault="002653E8">
      <w:pPr>
        <w:pStyle w:val="a3"/>
      </w:pPr>
    </w:p>
    <w:p w14:paraId="6435B31C" w14:textId="77777777" w:rsidR="002653E8" w:rsidRDefault="002653E8">
      <w:pPr>
        <w:pStyle w:val="a3"/>
      </w:pPr>
    </w:p>
    <w:p w14:paraId="7B251268" w14:textId="77777777" w:rsidR="002653E8" w:rsidRDefault="002653E8">
      <w:pPr>
        <w:pStyle w:val="a3"/>
      </w:pPr>
    </w:p>
    <w:p w14:paraId="58402CCC" w14:textId="77777777" w:rsidR="002653E8" w:rsidRDefault="002653E8">
      <w:pPr>
        <w:pStyle w:val="a3"/>
      </w:pPr>
    </w:p>
    <w:p w14:paraId="31036241" w14:textId="77777777" w:rsidR="002653E8" w:rsidRDefault="002653E8">
      <w:pPr>
        <w:pStyle w:val="a3"/>
      </w:pPr>
    </w:p>
    <w:p w14:paraId="69DD30C7" w14:textId="77777777" w:rsidR="002653E8" w:rsidRDefault="002653E8">
      <w:pPr>
        <w:pStyle w:val="a3"/>
      </w:pPr>
    </w:p>
    <w:p w14:paraId="65A521F9" w14:textId="77777777" w:rsidR="002653E8" w:rsidRDefault="002653E8">
      <w:pPr>
        <w:pStyle w:val="a3"/>
      </w:pPr>
    </w:p>
    <w:p w14:paraId="0B154BF1" w14:textId="77777777" w:rsidR="002653E8" w:rsidRDefault="002653E8">
      <w:pPr>
        <w:pStyle w:val="a3"/>
      </w:pPr>
    </w:p>
    <w:p w14:paraId="4B0F010A" w14:textId="77777777" w:rsidR="002653E8" w:rsidRDefault="002653E8">
      <w:pPr>
        <w:pStyle w:val="a3"/>
      </w:pPr>
    </w:p>
    <w:p w14:paraId="19A7C815" w14:textId="77777777" w:rsidR="002653E8" w:rsidRDefault="002653E8">
      <w:pPr>
        <w:pStyle w:val="a3"/>
      </w:pPr>
    </w:p>
    <w:p w14:paraId="54B3933D" w14:textId="77777777" w:rsidR="002653E8" w:rsidRDefault="002653E8">
      <w:pPr>
        <w:pStyle w:val="a3"/>
      </w:pPr>
    </w:p>
    <w:p w14:paraId="08245B30" w14:textId="77777777" w:rsidR="002653E8" w:rsidRDefault="002653E8">
      <w:pPr>
        <w:pStyle w:val="a3"/>
        <w:spacing w:before="6"/>
        <w:rPr>
          <w:sz w:val="19"/>
        </w:rPr>
      </w:pPr>
    </w:p>
    <w:p w14:paraId="75CAF39C" w14:textId="77777777" w:rsidR="002653E8" w:rsidRDefault="003115E3">
      <w:pPr>
        <w:ind w:left="1147"/>
        <w:rPr>
          <w:sz w:val="18"/>
        </w:rPr>
      </w:pPr>
      <w:r>
        <w:rPr>
          <w:color w:val="231F20"/>
          <w:sz w:val="18"/>
        </w:rPr>
        <w:t xml:space="preserve">542 </w:t>
      </w:r>
    </w:p>
    <w:p w14:paraId="05F0AA33" w14:textId="77777777" w:rsidR="002653E8" w:rsidRDefault="002653E8">
      <w:pPr>
        <w:rPr>
          <w:sz w:val="18"/>
        </w:rPr>
        <w:sectPr w:rsidR="002653E8">
          <w:footerReference w:type="default" r:id="rId459"/>
          <w:pgSz w:w="8640" w:h="12960"/>
          <w:pgMar w:top="1220" w:right="0" w:bottom="280" w:left="0" w:header="0" w:footer="0" w:gutter="0"/>
          <w:cols w:space="720"/>
        </w:sectPr>
      </w:pPr>
    </w:p>
    <w:p w14:paraId="7CBE2A2F" w14:textId="77777777" w:rsidR="002653E8" w:rsidRDefault="002653E8">
      <w:pPr>
        <w:pStyle w:val="a3"/>
      </w:pPr>
    </w:p>
    <w:p w14:paraId="26654E1A" w14:textId="77777777" w:rsidR="002653E8" w:rsidRDefault="002653E8">
      <w:pPr>
        <w:pStyle w:val="a3"/>
      </w:pPr>
    </w:p>
    <w:p w14:paraId="17720D32" w14:textId="77777777" w:rsidR="002653E8" w:rsidRDefault="002653E8">
      <w:pPr>
        <w:pStyle w:val="a3"/>
      </w:pPr>
    </w:p>
    <w:p w14:paraId="0D70F129" w14:textId="77777777" w:rsidR="002653E8" w:rsidRDefault="002653E8">
      <w:pPr>
        <w:pStyle w:val="a3"/>
      </w:pPr>
    </w:p>
    <w:p w14:paraId="40E07C00" w14:textId="77777777" w:rsidR="002653E8" w:rsidRDefault="002653E8">
      <w:pPr>
        <w:pStyle w:val="a3"/>
      </w:pPr>
    </w:p>
    <w:p w14:paraId="7F01D820" w14:textId="77777777" w:rsidR="002653E8" w:rsidRDefault="002653E8">
      <w:pPr>
        <w:pStyle w:val="a3"/>
      </w:pPr>
    </w:p>
    <w:p w14:paraId="04CD3273" w14:textId="77777777" w:rsidR="002653E8" w:rsidRDefault="002653E8">
      <w:pPr>
        <w:pStyle w:val="a3"/>
      </w:pPr>
    </w:p>
    <w:p w14:paraId="4F150BC4" w14:textId="77777777" w:rsidR="002653E8" w:rsidRDefault="002653E8">
      <w:pPr>
        <w:pStyle w:val="a3"/>
      </w:pPr>
    </w:p>
    <w:p w14:paraId="75713B90" w14:textId="77777777" w:rsidR="002653E8" w:rsidRDefault="002653E8">
      <w:pPr>
        <w:pStyle w:val="a3"/>
      </w:pPr>
    </w:p>
    <w:p w14:paraId="1406E998" w14:textId="77777777" w:rsidR="002653E8" w:rsidRDefault="002653E8">
      <w:pPr>
        <w:pStyle w:val="a3"/>
      </w:pPr>
    </w:p>
    <w:p w14:paraId="683C1D72" w14:textId="77777777" w:rsidR="002653E8" w:rsidRDefault="002653E8">
      <w:pPr>
        <w:pStyle w:val="a3"/>
      </w:pPr>
    </w:p>
    <w:p w14:paraId="65428537" w14:textId="77777777" w:rsidR="002653E8" w:rsidRDefault="002653E8">
      <w:pPr>
        <w:pStyle w:val="a3"/>
      </w:pPr>
    </w:p>
    <w:p w14:paraId="43FD70E9" w14:textId="77777777" w:rsidR="002653E8" w:rsidRDefault="002653E8">
      <w:pPr>
        <w:pStyle w:val="a3"/>
      </w:pPr>
    </w:p>
    <w:p w14:paraId="6CE183FE" w14:textId="77777777" w:rsidR="002653E8" w:rsidRDefault="002653E8">
      <w:pPr>
        <w:pStyle w:val="a3"/>
      </w:pPr>
    </w:p>
    <w:p w14:paraId="22918FF3" w14:textId="77777777" w:rsidR="002653E8" w:rsidRDefault="002653E8">
      <w:pPr>
        <w:pStyle w:val="a3"/>
        <w:spacing w:before="2"/>
        <w:rPr>
          <w:sz w:val="29"/>
        </w:rPr>
      </w:pPr>
    </w:p>
    <w:p w14:paraId="454C2DAD" w14:textId="77777777" w:rsidR="002653E8" w:rsidRDefault="003115E3">
      <w:pPr>
        <w:pStyle w:val="7"/>
        <w:tabs>
          <w:tab w:val="left" w:pos="5519"/>
        </w:tabs>
        <w:spacing w:before="83"/>
        <w:rPr>
          <w:rFonts w:ascii="Verdana"/>
        </w:rPr>
      </w:pPr>
      <w:bookmarkStart w:id="264" w:name="_TOC_250000"/>
      <w:r>
        <w:rPr>
          <w:rFonts w:ascii="Times New Roman"/>
          <w:b w:val="0"/>
          <w:color w:val="FFFFFF"/>
          <w:shd w:val="clear" w:color="auto" w:fill="231F20"/>
        </w:rPr>
        <w:t xml:space="preserve"> </w:t>
      </w:r>
      <w:r>
        <w:rPr>
          <w:rFonts w:ascii="Times New Roman"/>
          <w:b w:val="0"/>
          <w:color w:val="FFFFFF"/>
          <w:shd w:val="clear" w:color="auto" w:fill="231F20"/>
        </w:rPr>
        <w:tab/>
      </w:r>
      <w:r>
        <w:rPr>
          <w:rFonts w:ascii="Verdana"/>
          <w:color w:val="FFFFFF"/>
          <w:spacing w:val="17"/>
          <w:shd w:val="clear" w:color="auto" w:fill="231F20"/>
        </w:rPr>
        <w:t>Appendices</w:t>
      </w:r>
      <w:bookmarkEnd w:id="264"/>
      <w:r>
        <w:rPr>
          <w:rFonts w:ascii="Verdana"/>
          <w:color w:val="FFFFFF"/>
          <w:spacing w:val="-34"/>
          <w:shd w:val="clear" w:color="auto" w:fill="231F20"/>
        </w:rPr>
        <w:t xml:space="preserve"> </w:t>
      </w:r>
    </w:p>
    <w:p w14:paraId="16811BDE" w14:textId="77777777" w:rsidR="002653E8" w:rsidRDefault="002653E8">
      <w:pPr>
        <w:rPr>
          <w:rFonts w:ascii="Verdana"/>
        </w:rPr>
        <w:sectPr w:rsidR="002653E8">
          <w:footerReference w:type="even" r:id="rId460"/>
          <w:footerReference w:type="default" r:id="rId461"/>
          <w:pgSz w:w="8640" w:h="12960"/>
          <w:pgMar w:top="1220" w:right="0" w:bottom="1040" w:left="0" w:header="0" w:footer="850" w:gutter="0"/>
          <w:pgNumType w:start="543"/>
          <w:cols w:space="720"/>
        </w:sectPr>
      </w:pPr>
    </w:p>
    <w:p w14:paraId="7216DB34" w14:textId="77777777" w:rsidR="002653E8" w:rsidRDefault="002653E8">
      <w:pPr>
        <w:pStyle w:val="a3"/>
        <w:spacing w:before="11"/>
        <w:rPr>
          <w:rFonts w:ascii="Verdana"/>
          <w:b/>
          <w:sz w:val="10"/>
        </w:rPr>
      </w:pPr>
    </w:p>
    <w:p w14:paraId="71E445A3" w14:textId="77777777" w:rsidR="002653E8" w:rsidRDefault="003115E3">
      <w:pPr>
        <w:spacing w:before="99"/>
        <w:ind w:left="760" w:right="937"/>
        <w:jc w:val="center"/>
        <w:rPr>
          <w:sz w:val="24"/>
        </w:rPr>
      </w:pPr>
      <w:bookmarkStart w:id="265" w:name="Appendix_I:_Excerpts_From_the_Frankfurte"/>
      <w:bookmarkStart w:id="266" w:name="_bookmark84"/>
      <w:bookmarkEnd w:id="265"/>
      <w:bookmarkEnd w:id="266"/>
      <w:r>
        <w:rPr>
          <w:color w:val="231F20"/>
          <w:w w:val="110"/>
          <w:sz w:val="24"/>
        </w:rPr>
        <w:t xml:space="preserve">a p p e n </w:t>
      </w:r>
      <w:r>
        <w:rPr>
          <w:color w:val="231F20"/>
          <w:spacing w:val="20"/>
          <w:w w:val="110"/>
          <w:sz w:val="24"/>
        </w:rPr>
        <w:t xml:space="preserve">di </w:t>
      </w:r>
      <w:r>
        <w:rPr>
          <w:color w:val="231F20"/>
          <w:w w:val="110"/>
          <w:sz w:val="24"/>
        </w:rPr>
        <w:t>x</w:t>
      </w:r>
      <w:r>
        <w:rPr>
          <w:color w:val="231F20"/>
          <w:spacing w:val="55"/>
          <w:w w:val="110"/>
          <w:sz w:val="24"/>
        </w:rPr>
        <w:t xml:space="preserve"> </w:t>
      </w:r>
      <w:r>
        <w:rPr>
          <w:color w:val="231F20"/>
          <w:w w:val="110"/>
          <w:sz w:val="24"/>
        </w:rPr>
        <w:t>i</w:t>
      </w:r>
    </w:p>
    <w:p w14:paraId="5D505FD8" w14:textId="77777777" w:rsidR="002653E8" w:rsidRDefault="002653E8">
      <w:pPr>
        <w:pStyle w:val="a3"/>
        <w:spacing w:before="11"/>
        <w:rPr>
          <w:sz w:val="28"/>
        </w:rPr>
      </w:pPr>
    </w:p>
    <w:p w14:paraId="6F79D561" w14:textId="77777777" w:rsidR="002653E8" w:rsidRPr="00846956" w:rsidRDefault="003115E3">
      <w:pPr>
        <w:ind w:left="760" w:right="937"/>
        <w:jc w:val="center"/>
        <w:rPr>
          <w:rFonts w:ascii="Lucida Sans"/>
          <w:b/>
          <w:sz w:val="30"/>
          <w:lang w:val="de-DE"/>
        </w:rPr>
      </w:pPr>
      <w:r w:rsidRPr="00846956">
        <w:rPr>
          <w:rFonts w:ascii="Lucida Sans"/>
          <w:b/>
          <w:color w:val="231F20"/>
          <w:sz w:val="30"/>
          <w:lang w:val="de-DE"/>
        </w:rPr>
        <w:t>excerpts from the</w:t>
      </w:r>
    </w:p>
    <w:p w14:paraId="2FFBEA5E" w14:textId="77777777" w:rsidR="002653E8" w:rsidRPr="00846956" w:rsidRDefault="003115E3">
      <w:pPr>
        <w:pStyle w:val="3"/>
        <w:spacing w:before="93"/>
        <w:rPr>
          <w:lang w:val="de-DE"/>
        </w:rPr>
      </w:pPr>
      <w:r w:rsidRPr="00846956">
        <w:rPr>
          <w:color w:val="231F20"/>
          <w:w w:val="110"/>
          <w:lang w:val="de-DE"/>
        </w:rPr>
        <w:t>Frankfurter Allgemeine Zeitung</w:t>
      </w:r>
    </w:p>
    <w:p w14:paraId="6E5AE300" w14:textId="77777777" w:rsidR="002653E8" w:rsidRPr="00846956" w:rsidRDefault="002653E8">
      <w:pPr>
        <w:pStyle w:val="a3"/>
        <w:spacing w:before="12"/>
        <w:rPr>
          <w:rFonts w:ascii="Calibri"/>
          <w:b/>
          <w:i/>
          <w:sz w:val="46"/>
          <w:lang w:val="de-DE"/>
        </w:rPr>
      </w:pPr>
    </w:p>
    <w:p w14:paraId="2FC36273" w14:textId="77777777" w:rsidR="002653E8" w:rsidRDefault="003115E3">
      <w:pPr>
        <w:pStyle w:val="a3"/>
        <w:spacing w:line="264" w:lineRule="auto"/>
        <w:ind w:left="1147" w:right="1325"/>
        <w:jc w:val="both"/>
      </w:pPr>
      <w:r>
        <w:rPr>
          <w:color w:val="231F20"/>
        </w:rPr>
        <w:t>As</w:t>
      </w:r>
      <w:r>
        <w:rPr>
          <w:color w:val="231F20"/>
          <w:spacing w:val="-10"/>
        </w:rPr>
        <w:t xml:space="preserve"> </w:t>
      </w:r>
      <w:r>
        <w:rPr>
          <w:color w:val="231F20"/>
        </w:rPr>
        <w:t>detailed</w:t>
      </w:r>
      <w:r>
        <w:rPr>
          <w:color w:val="231F20"/>
          <w:spacing w:val="-10"/>
        </w:rPr>
        <w:t xml:space="preserve"> </w:t>
      </w:r>
      <w:r>
        <w:rPr>
          <w:color w:val="231F20"/>
        </w:rPr>
        <w:t>in</w:t>
      </w:r>
      <w:r>
        <w:rPr>
          <w:color w:val="231F20"/>
          <w:spacing w:val="-10"/>
        </w:rPr>
        <w:t xml:space="preserve"> </w:t>
      </w:r>
      <w:r>
        <w:rPr>
          <w:color w:val="231F20"/>
        </w:rPr>
        <w:t>Section</w:t>
      </w:r>
      <w:r>
        <w:rPr>
          <w:color w:val="231F20"/>
          <w:spacing w:val="-9"/>
        </w:rPr>
        <w:t xml:space="preserve"> </w:t>
      </w:r>
      <w:r>
        <w:rPr>
          <w:color w:val="231F20"/>
        </w:rPr>
        <w:t>6,</w:t>
      </w:r>
      <w:r>
        <w:rPr>
          <w:color w:val="231F20"/>
          <w:spacing w:val="-10"/>
        </w:rPr>
        <w:t xml:space="preserve"> </w:t>
      </w:r>
      <w:r>
        <w:rPr>
          <w:color w:val="231F20"/>
        </w:rPr>
        <w:t>Black</w:t>
      </w:r>
      <w:r>
        <w:rPr>
          <w:color w:val="231F20"/>
          <w:spacing w:val="-10"/>
        </w:rPr>
        <w:t xml:space="preserve"> </w:t>
      </w:r>
      <w:r>
        <w:rPr>
          <w:color w:val="231F20"/>
        </w:rPr>
        <w:t>September:</w:t>
      </w:r>
      <w:r>
        <w:rPr>
          <w:color w:val="231F20"/>
          <w:spacing w:val="-10"/>
        </w:rPr>
        <w:t xml:space="preserve"> </w:t>
      </w:r>
      <w:r>
        <w:rPr>
          <w:color w:val="231F20"/>
        </w:rPr>
        <w:t>A</w:t>
      </w:r>
      <w:r>
        <w:rPr>
          <w:color w:val="231F20"/>
          <w:spacing w:val="-10"/>
        </w:rPr>
        <w:t xml:space="preserve"> </w:t>
      </w:r>
      <w:r>
        <w:rPr>
          <w:color w:val="231F20"/>
        </w:rPr>
        <w:t>Statement</w:t>
      </w:r>
      <w:r>
        <w:rPr>
          <w:color w:val="231F20"/>
          <w:spacing w:val="-10"/>
        </w:rPr>
        <w:t xml:space="preserve"> </w:t>
      </w:r>
      <w:r>
        <w:rPr>
          <w:color w:val="231F20"/>
        </w:rPr>
        <w:t>from</w:t>
      </w:r>
      <w:r>
        <w:rPr>
          <w:color w:val="231F20"/>
          <w:spacing w:val="-10"/>
        </w:rPr>
        <w:t xml:space="preserve"> </w:t>
      </w:r>
      <w:r>
        <w:rPr>
          <w:color w:val="231F20"/>
        </w:rPr>
        <w:t>Behind</w:t>
      </w:r>
      <w:r>
        <w:rPr>
          <w:color w:val="231F20"/>
          <w:spacing w:val="-10"/>
        </w:rPr>
        <w:t xml:space="preserve"> </w:t>
      </w:r>
      <w:r>
        <w:rPr>
          <w:color w:val="231F20"/>
        </w:rPr>
        <w:t xml:space="preserve">Bars, much has been made of an article which appeared in the </w:t>
      </w:r>
      <w:r>
        <w:rPr>
          <w:i/>
          <w:color w:val="231F20"/>
        </w:rPr>
        <w:t xml:space="preserve">Frankfurter Allgemeine Zeitung </w:t>
      </w:r>
      <w:r>
        <w:rPr>
          <w:color w:val="231F20"/>
        </w:rPr>
        <w:t xml:space="preserve">on December </w:t>
      </w:r>
      <w:r>
        <w:rPr>
          <w:color w:val="231F20"/>
          <w:spacing w:val="-8"/>
        </w:rPr>
        <w:t xml:space="preserve">15, </w:t>
      </w:r>
      <w:r>
        <w:rPr>
          <w:color w:val="231F20"/>
          <w:spacing w:val="-3"/>
        </w:rPr>
        <w:t xml:space="preserve">1972,  </w:t>
      </w:r>
      <w:r>
        <w:rPr>
          <w:color w:val="231F20"/>
        </w:rPr>
        <w:t>entitled  “Ulrike  Meinhof läßt sich nur die Stichwort</w:t>
      </w:r>
      <w:r>
        <w:rPr>
          <w:color w:val="231F20"/>
          <w:spacing w:val="11"/>
        </w:rPr>
        <w:t xml:space="preserve"> </w:t>
      </w:r>
      <w:r>
        <w:rPr>
          <w:color w:val="231F20"/>
          <w:spacing w:val="-3"/>
        </w:rPr>
        <w:t>geben.”</w:t>
      </w:r>
    </w:p>
    <w:p w14:paraId="75A49B88" w14:textId="77777777" w:rsidR="002653E8" w:rsidRDefault="003115E3">
      <w:pPr>
        <w:pStyle w:val="a3"/>
        <w:spacing w:line="264" w:lineRule="auto"/>
        <w:ind w:left="1147" w:right="1326" w:firstLine="210"/>
        <w:jc w:val="both"/>
      </w:pPr>
      <w:r>
        <w:rPr>
          <w:color w:val="231F20"/>
        </w:rPr>
        <w:t xml:space="preserve">In order to allow readers to judge the rendition in the CIA-funded </w:t>
      </w:r>
      <w:r>
        <w:rPr>
          <w:i/>
          <w:color w:val="231F20"/>
        </w:rPr>
        <w:t xml:space="preserve">Encounter </w:t>
      </w:r>
      <w:r>
        <w:rPr>
          <w:color w:val="231F20"/>
        </w:rPr>
        <w:t>magazine, we have reprinted the last section of this article in German, alongside our own version and George Watson’s:</w:t>
      </w:r>
    </w:p>
    <w:p w14:paraId="46EFB4BB" w14:textId="77777777" w:rsidR="002653E8" w:rsidRDefault="002653E8">
      <w:pPr>
        <w:pStyle w:val="a3"/>
      </w:pPr>
    </w:p>
    <w:p w14:paraId="74F53B61" w14:textId="77777777" w:rsidR="002653E8" w:rsidRDefault="003115E3">
      <w:pPr>
        <w:pStyle w:val="a3"/>
        <w:spacing w:before="3"/>
        <w:rPr>
          <w:sz w:val="11"/>
        </w:rPr>
      </w:pPr>
      <w:r>
        <w:drawing>
          <wp:anchor distT="0" distB="0" distL="0" distR="0" simplePos="0" relativeHeight="11440" behindDoc="0" locked="0" layoutInCell="1" allowOverlap="1" wp14:anchorId="2203159C" wp14:editId="6B60D8E3">
            <wp:simplePos x="0" y="0"/>
            <wp:positionH relativeFrom="page">
              <wp:posOffset>980757</wp:posOffset>
            </wp:positionH>
            <wp:positionV relativeFrom="paragraph">
              <wp:posOffset>109009</wp:posOffset>
            </wp:positionV>
            <wp:extent cx="3261370" cy="3324796"/>
            <wp:effectExtent l="0" t="0" r="0" b="0"/>
            <wp:wrapTopAndBottom/>
            <wp:docPr id="87"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7.png"/>
                    <pic:cNvPicPr/>
                  </pic:nvPicPr>
                  <pic:blipFill>
                    <a:blip r:embed="rId462" cstate="print"/>
                    <a:stretch>
                      <a:fillRect/>
                    </a:stretch>
                  </pic:blipFill>
                  <pic:spPr>
                    <a:xfrm>
                      <a:off x="0" y="0"/>
                      <a:ext cx="3261370" cy="3324796"/>
                    </a:xfrm>
                    <a:prstGeom prst="rect">
                      <a:avLst/>
                    </a:prstGeom>
                  </pic:spPr>
                </pic:pic>
              </a:graphicData>
            </a:graphic>
          </wp:anchor>
        </w:drawing>
      </w:r>
    </w:p>
    <w:p w14:paraId="7EF3E315" w14:textId="77777777" w:rsidR="002653E8" w:rsidRDefault="002653E8">
      <w:pPr>
        <w:rPr>
          <w:sz w:val="11"/>
        </w:rPr>
        <w:sectPr w:rsidR="002653E8">
          <w:pgSz w:w="8640" w:h="12960"/>
          <w:pgMar w:top="1220" w:right="0" w:bottom="1040" w:left="0" w:header="0" w:footer="850" w:gutter="0"/>
          <w:cols w:space="720"/>
        </w:sectPr>
      </w:pPr>
    </w:p>
    <w:p w14:paraId="6D5B9DBA" w14:textId="77777777" w:rsidR="002653E8" w:rsidRPr="00846956" w:rsidRDefault="003115E3">
      <w:pPr>
        <w:spacing w:before="87"/>
        <w:ind w:left="1327"/>
        <w:rPr>
          <w:lang w:val="de-DE"/>
        </w:rPr>
      </w:pPr>
      <w:r w:rsidRPr="00846956">
        <w:rPr>
          <w:color w:val="231F20"/>
          <w:w w:val="125"/>
          <w:lang w:val="de-DE"/>
        </w:rPr>
        <w:lastRenderedPageBreak/>
        <w:t>frankfurter allgemeine zeitung</w:t>
      </w:r>
    </w:p>
    <w:p w14:paraId="6EBEE792" w14:textId="77777777" w:rsidR="002653E8" w:rsidRPr="00846956" w:rsidRDefault="003115E3">
      <w:pPr>
        <w:spacing w:before="147" w:line="276" w:lineRule="auto"/>
        <w:ind w:left="1747" w:right="1558"/>
        <w:jc w:val="both"/>
        <w:rPr>
          <w:i/>
          <w:sz w:val="19"/>
          <w:lang w:val="de-DE"/>
        </w:rPr>
      </w:pPr>
      <w:r w:rsidRPr="00846956">
        <w:rPr>
          <w:i/>
          <w:color w:val="231F20"/>
          <w:sz w:val="19"/>
          <w:lang w:val="de-DE"/>
        </w:rPr>
        <w:t xml:space="preserve">„Ohne dass wir das deutsche </w:t>
      </w:r>
      <w:r w:rsidRPr="00846956">
        <w:rPr>
          <w:i/>
          <w:color w:val="231F20"/>
          <w:spacing w:val="-5"/>
          <w:sz w:val="19"/>
          <w:lang w:val="de-DE"/>
        </w:rPr>
        <w:t xml:space="preserve">Volk </w:t>
      </w:r>
      <w:r w:rsidRPr="00846956">
        <w:rPr>
          <w:i/>
          <w:color w:val="231F20"/>
          <w:sz w:val="19"/>
          <w:lang w:val="de-DE"/>
        </w:rPr>
        <w:t xml:space="preserve">vom Faschismus freisprechen— denn die Leute haben ja wirklich nicht gewußt, was in den Konzentrationslagern vorging –, können wir es nicht für unseren revolutionären Kampf mobilisieren“, sagt sie. Die Linke sei nach dem Krieg in bezug auf den Faschismus „fahrlässig dumm und dreist vorgegangen. Man habe die </w:t>
      </w:r>
      <w:r w:rsidRPr="00846956">
        <w:rPr>
          <w:i/>
          <w:color w:val="231F20"/>
          <w:spacing w:val="-3"/>
          <w:sz w:val="19"/>
          <w:lang w:val="de-DE"/>
        </w:rPr>
        <w:t xml:space="preserve">Personen </w:t>
      </w:r>
      <w:r w:rsidRPr="00846956">
        <w:rPr>
          <w:i/>
          <w:color w:val="231F20"/>
          <w:sz w:val="19"/>
          <w:lang w:val="de-DE"/>
        </w:rPr>
        <w:t>in den Vordergrund gerückt, aber nicht tiefer geblickt. „Wie war Auschwitz möglich, was war Antisemitismus?“ Das hätte man damals klären müssen, anstatt gemeinsam Auschwitz als Ausdruck des Bösen zu verstehen, meint Ulrike</w:t>
      </w:r>
      <w:r w:rsidRPr="00846956">
        <w:rPr>
          <w:i/>
          <w:color w:val="231F20"/>
          <w:spacing w:val="21"/>
          <w:sz w:val="19"/>
          <w:lang w:val="de-DE"/>
        </w:rPr>
        <w:t xml:space="preserve"> </w:t>
      </w:r>
      <w:r w:rsidRPr="00846956">
        <w:rPr>
          <w:i/>
          <w:color w:val="231F20"/>
          <w:sz w:val="19"/>
          <w:lang w:val="de-DE"/>
        </w:rPr>
        <w:t>Meinhof.</w:t>
      </w:r>
    </w:p>
    <w:p w14:paraId="2CC6C7BF" w14:textId="77777777" w:rsidR="002653E8" w:rsidRPr="00846956" w:rsidRDefault="003115E3">
      <w:pPr>
        <w:spacing w:before="58" w:line="276" w:lineRule="auto"/>
        <w:ind w:left="1747" w:right="1559"/>
        <w:jc w:val="both"/>
        <w:rPr>
          <w:i/>
          <w:sz w:val="19"/>
          <w:lang w:val="de-DE"/>
        </w:rPr>
      </w:pPr>
      <w:r w:rsidRPr="00846956">
        <w:rPr>
          <w:i/>
          <w:color w:val="231F20"/>
          <w:sz w:val="19"/>
          <w:lang w:val="de-DE"/>
        </w:rPr>
        <w:t>„Das Schlimmste ist, dass wir uns alle Kommunisten und andre, darin einig waren.“ Doch jetzt hat sie erkannt, dass Antisemitismus in seinem Wesen antikapitalistisch sei. Er mache sich den Haß der Menschen auf ihre Abhängigkeit vom Geld als Tauschmittel, ihre Sehnsucht nach dem Kommunismus zu eigen.</w:t>
      </w:r>
    </w:p>
    <w:p w14:paraId="60E9C007" w14:textId="77777777" w:rsidR="002653E8" w:rsidRPr="00846956" w:rsidRDefault="003115E3">
      <w:pPr>
        <w:spacing w:before="59" w:line="276" w:lineRule="auto"/>
        <w:ind w:left="1747" w:right="1565"/>
        <w:jc w:val="both"/>
        <w:rPr>
          <w:i/>
          <w:sz w:val="19"/>
          <w:lang w:val="de-DE"/>
        </w:rPr>
      </w:pPr>
      <w:r w:rsidRPr="00846956">
        <w:rPr>
          <w:i/>
          <w:color w:val="231F20"/>
          <w:w w:val="105"/>
          <w:sz w:val="19"/>
          <w:lang w:val="de-DE"/>
        </w:rPr>
        <w:t>„Auschwitz heißt, daß sechs Millionen Juden ermordet und auf die Müllkippen Europas gekarrt wurden als das, als was man sie ausgab—als Geldjuden.“ Finanzkapital und Banken, „der harte</w:t>
      </w:r>
      <w:r w:rsidRPr="00846956">
        <w:rPr>
          <w:rFonts w:ascii="Bookman Old Style" w:hAnsi="Bookman Old Style"/>
          <w:i/>
          <w:color w:val="231F20"/>
          <w:w w:val="105"/>
          <w:sz w:val="19"/>
          <w:lang w:val="de-DE"/>
        </w:rPr>
        <w:t xml:space="preserve">3 </w:t>
      </w:r>
      <w:r w:rsidRPr="00846956">
        <w:rPr>
          <w:i/>
          <w:color w:val="231F20"/>
          <w:w w:val="105"/>
          <w:sz w:val="19"/>
          <w:lang w:val="de-DE"/>
        </w:rPr>
        <w:t xml:space="preserve">Kern des Systems“ des Imperialismus und Kapitalismus, Hätten den Haß der Menschen auf das Geld und die Ausbeutung von sich ab und auf die Juden gelenkt. Diese Zusammenhänge nicht deutlich gemacht zu haben, sei das </w:t>
      </w:r>
      <w:r w:rsidRPr="00846956">
        <w:rPr>
          <w:i/>
          <w:color w:val="231F20"/>
          <w:spacing w:val="-3"/>
          <w:w w:val="105"/>
          <w:sz w:val="19"/>
          <w:lang w:val="de-DE"/>
        </w:rPr>
        <w:t xml:space="preserve">Versagen </w:t>
      </w:r>
      <w:r w:rsidRPr="00846956">
        <w:rPr>
          <w:i/>
          <w:color w:val="231F20"/>
          <w:w w:val="105"/>
          <w:sz w:val="19"/>
          <w:lang w:val="de-DE"/>
        </w:rPr>
        <w:t>der Linken, der Kommunisten</w:t>
      </w:r>
      <w:r w:rsidRPr="00846956">
        <w:rPr>
          <w:i/>
          <w:color w:val="231F20"/>
          <w:spacing w:val="6"/>
          <w:w w:val="105"/>
          <w:sz w:val="19"/>
          <w:lang w:val="de-DE"/>
        </w:rPr>
        <w:t xml:space="preserve"> </w:t>
      </w:r>
      <w:r w:rsidRPr="00846956">
        <w:rPr>
          <w:i/>
          <w:color w:val="231F20"/>
          <w:w w:val="105"/>
          <w:sz w:val="19"/>
          <w:lang w:val="de-DE"/>
        </w:rPr>
        <w:t>gewesen.</w:t>
      </w:r>
    </w:p>
    <w:p w14:paraId="0278BDFD" w14:textId="77777777" w:rsidR="002653E8" w:rsidRPr="00846956" w:rsidRDefault="003115E3">
      <w:pPr>
        <w:spacing w:before="56" w:line="276" w:lineRule="auto"/>
        <w:ind w:left="1747" w:right="1565"/>
        <w:jc w:val="both"/>
        <w:rPr>
          <w:i/>
          <w:sz w:val="19"/>
          <w:lang w:val="de-DE"/>
        </w:rPr>
      </w:pPr>
      <w:r w:rsidRPr="00846956">
        <w:rPr>
          <w:i/>
          <w:color w:val="231F20"/>
          <w:w w:val="105"/>
          <w:sz w:val="19"/>
          <w:lang w:val="de-DE"/>
        </w:rPr>
        <w:t>Die Deutschen waren antisemitisch, also sind sie heute</w:t>
      </w:r>
      <w:r w:rsidRPr="00846956">
        <w:rPr>
          <w:i/>
          <w:color w:val="231F20"/>
          <w:spacing w:val="-22"/>
          <w:w w:val="105"/>
          <w:sz w:val="19"/>
          <w:lang w:val="de-DE"/>
        </w:rPr>
        <w:t xml:space="preserve"> </w:t>
      </w:r>
      <w:r w:rsidRPr="00846956">
        <w:rPr>
          <w:i/>
          <w:color w:val="231F20"/>
          <w:w w:val="105"/>
          <w:sz w:val="19"/>
          <w:lang w:val="de-DE"/>
        </w:rPr>
        <w:t xml:space="preserve">Anhänger </w:t>
      </w:r>
      <w:r w:rsidRPr="00846956">
        <w:rPr>
          <w:i/>
          <w:color w:val="231F20"/>
          <w:w w:val="110"/>
          <w:sz w:val="19"/>
          <w:lang w:val="de-DE"/>
        </w:rPr>
        <w:t xml:space="preserve">der </w:t>
      </w:r>
      <w:r w:rsidR="00C507A5" w:rsidRPr="00846956">
        <w:rPr>
          <w:i/>
          <w:color w:val="231F20"/>
          <w:spacing w:val="-7"/>
          <w:w w:val="110"/>
          <w:sz w:val="19"/>
          <w:lang w:val="de-DE"/>
        </w:rPr>
        <w:t>red army faction</w:t>
      </w:r>
      <w:r w:rsidRPr="00846956">
        <w:rPr>
          <w:i/>
          <w:color w:val="231F20"/>
          <w:spacing w:val="-7"/>
          <w:w w:val="110"/>
          <w:sz w:val="19"/>
          <w:lang w:val="de-DE"/>
        </w:rPr>
        <w:t xml:space="preserve">. </w:t>
      </w:r>
      <w:r w:rsidRPr="00846956">
        <w:rPr>
          <w:i/>
          <w:color w:val="231F20"/>
          <w:w w:val="110"/>
          <w:sz w:val="19"/>
          <w:lang w:val="de-DE"/>
        </w:rPr>
        <w:t>Sie wissen es nur nicht, weil man vergessen hat, sie vom Faschismus, vom Judenmord, freizusprechen und ihnen zu</w:t>
      </w:r>
      <w:r w:rsidRPr="00846956">
        <w:rPr>
          <w:i/>
          <w:color w:val="231F20"/>
          <w:spacing w:val="-14"/>
          <w:w w:val="110"/>
          <w:sz w:val="19"/>
          <w:lang w:val="de-DE"/>
        </w:rPr>
        <w:t xml:space="preserve"> </w:t>
      </w:r>
      <w:r w:rsidRPr="00846956">
        <w:rPr>
          <w:i/>
          <w:color w:val="231F20"/>
          <w:w w:val="110"/>
          <w:sz w:val="19"/>
          <w:lang w:val="de-DE"/>
        </w:rPr>
        <w:t>sagen,</w:t>
      </w:r>
      <w:r w:rsidRPr="00846956">
        <w:rPr>
          <w:i/>
          <w:color w:val="231F20"/>
          <w:spacing w:val="-17"/>
          <w:w w:val="110"/>
          <w:sz w:val="19"/>
          <w:lang w:val="de-DE"/>
        </w:rPr>
        <w:t xml:space="preserve"> </w:t>
      </w:r>
      <w:r w:rsidRPr="00846956">
        <w:rPr>
          <w:i/>
          <w:color w:val="231F20"/>
          <w:w w:val="110"/>
          <w:sz w:val="19"/>
          <w:lang w:val="de-DE"/>
        </w:rPr>
        <w:t>dass</w:t>
      </w:r>
      <w:r w:rsidRPr="00846956">
        <w:rPr>
          <w:i/>
          <w:color w:val="231F20"/>
          <w:spacing w:val="-17"/>
          <w:w w:val="110"/>
          <w:sz w:val="19"/>
          <w:lang w:val="de-DE"/>
        </w:rPr>
        <w:t xml:space="preserve"> </w:t>
      </w:r>
      <w:r w:rsidRPr="00846956">
        <w:rPr>
          <w:i/>
          <w:color w:val="231F20"/>
          <w:w w:val="110"/>
          <w:sz w:val="19"/>
          <w:lang w:val="de-DE"/>
        </w:rPr>
        <w:t>Antisemitismus</w:t>
      </w:r>
      <w:r w:rsidRPr="00846956">
        <w:rPr>
          <w:i/>
          <w:color w:val="231F20"/>
          <w:spacing w:val="-14"/>
          <w:w w:val="110"/>
          <w:sz w:val="19"/>
          <w:lang w:val="de-DE"/>
        </w:rPr>
        <w:t xml:space="preserve"> </w:t>
      </w:r>
      <w:r w:rsidRPr="00846956">
        <w:rPr>
          <w:i/>
          <w:color w:val="231F20"/>
          <w:w w:val="110"/>
          <w:sz w:val="19"/>
          <w:lang w:val="de-DE"/>
        </w:rPr>
        <w:t>eigentlich</w:t>
      </w:r>
      <w:r w:rsidRPr="00846956">
        <w:rPr>
          <w:i/>
          <w:color w:val="231F20"/>
          <w:spacing w:val="-14"/>
          <w:w w:val="110"/>
          <w:sz w:val="19"/>
          <w:lang w:val="de-DE"/>
        </w:rPr>
        <w:t xml:space="preserve"> </w:t>
      </w:r>
      <w:r w:rsidRPr="00846956">
        <w:rPr>
          <w:i/>
          <w:color w:val="231F20"/>
          <w:w w:val="110"/>
          <w:sz w:val="19"/>
          <w:lang w:val="de-DE"/>
        </w:rPr>
        <w:t>Haß</w:t>
      </w:r>
      <w:r w:rsidRPr="00846956">
        <w:rPr>
          <w:i/>
          <w:color w:val="231F20"/>
          <w:spacing w:val="-14"/>
          <w:w w:val="110"/>
          <w:sz w:val="19"/>
          <w:lang w:val="de-DE"/>
        </w:rPr>
        <w:t xml:space="preserve"> </w:t>
      </w:r>
      <w:r w:rsidRPr="00846956">
        <w:rPr>
          <w:i/>
          <w:color w:val="231F20"/>
          <w:w w:val="110"/>
          <w:sz w:val="19"/>
          <w:lang w:val="de-DE"/>
        </w:rPr>
        <w:t>auf</w:t>
      </w:r>
      <w:r w:rsidRPr="00846956">
        <w:rPr>
          <w:i/>
          <w:color w:val="231F20"/>
          <w:spacing w:val="-14"/>
          <w:w w:val="110"/>
          <w:sz w:val="19"/>
          <w:lang w:val="de-DE"/>
        </w:rPr>
        <w:t xml:space="preserve"> </w:t>
      </w:r>
      <w:r w:rsidRPr="00846956">
        <w:rPr>
          <w:i/>
          <w:color w:val="231F20"/>
          <w:w w:val="110"/>
          <w:sz w:val="19"/>
          <w:lang w:val="de-DE"/>
        </w:rPr>
        <w:t>Kapitalismus ist.</w:t>
      </w:r>
      <w:r w:rsidRPr="00846956">
        <w:rPr>
          <w:i/>
          <w:color w:val="231F20"/>
          <w:spacing w:val="-21"/>
          <w:w w:val="110"/>
          <w:sz w:val="19"/>
          <w:lang w:val="de-DE"/>
        </w:rPr>
        <w:t xml:space="preserve"> </w:t>
      </w:r>
      <w:r w:rsidRPr="00846956">
        <w:rPr>
          <w:i/>
          <w:color w:val="231F20"/>
          <w:w w:val="110"/>
          <w:sz w:val="19"/>
          <w:lang w:val="de-DE"/>
        </w:rPr>
        <w:t>In</w:t>
      </w:r>
      <w:r w:rsidRPr="00846956">
        <w:rPr>
          <w:i/>
          <w:color w:val="231F20"/>
          <w:spacing w:val="-19"/>
          <w:w w:val="110"/>
          <w:sz w:val="19"/>
          <w:lang w:val="de-DE"/>
        </w:rPr>
        <w:t xml:space="preserve"> </w:t>
      </w:r>
      <w:r w:rsidRPr="00846956">
        <w:rPr>
          <w:i/>
          <w:color w:val="231F20"/>
          <w:w w:val="110"/>
          <w:sz w:val="19"/>
          <w:lang w:val="de-DE"/>
        </w:rPr>
        <w:t>der</w:t>
      </w:r>
      <w:r w:rsidRPr="00846956">
        <w:rPr>
          <w:i/>
          <w:color w:val="231F20"/>
          <w:spacing w:val="-21"/>
          <w:w w:val="110"/>
          <w:sz w:val="19"/>
          <w:lang w:val="de-DE"/>
        </w:rPr>
        <w:t xml:space="preserve"> </w:t>
      </w:r>
      <w:r w:rsidRPr="00846956">
        <w:rPr>
          <w:i/>
          <w:color w:val="231F20"/>
          <w:spacing w:val="-5"/>
          <w:w w:val="110"/>
          <w:sz w:val="19"/>
          <w:lang w:val="de-DE"/>
        </w:rPr>
        <w:t>Tat</w:t>
      </w:r>
      <w:r w:rsidRPr="00846956">
        <w:rPr>
          <w:i/>
          <w:color w:val="231F20"/>
          <w:spacing w:val="-19"/>
          <w:w w:val="110"/>
          <w:sz w:val="19"/>
          <w:lang w:val="de-DE"/>
        </w:rPr>
        <w:t xml:space="preserve"> </w:t>
      </w:r>
      <w:r w:rsidRPr="00846956">
        <w:rPr>
          <w:i/>
          <w:color w:val="231F20"/>
          <w:w w:val="110"/>
          <w:sz w:val="19"/>
          <w:lang w:val="de-DE"/>
        </w:rPr>
        <w:t>eine</w:t>
      </w:r>
      <w:r w:rsidRPr="00846956">
        <w:rPr>
          <w:i/>
          <w:color w:val="231F20"/>
          <w:spacing w:val="-19"/>
          <w:w w:val="110"/>
          <w:sz w:val="19"/>
          <w:lang w:val="de-DE"/>
        </w:rPr>
        <w:t xml:space="preserve"> </w:t>
      </w:r>
      <w:r w:rsidRPr="00846956">
        <w:rPr>
          <w:i/>
          <w:color w:val="231F20"/>
          <w:w w:val="110"/>
          <w:sz w:val="19"/>
          <w:lang w:val="de-DE"/>
        </w:rPr>
        <w:t>bemerkenswerte</w:t>
      </w:r>
      <w:r w:rsidRPr="00846956">
        <w:rPr>
          <w:i/>
          <w:color w:val="231F20"/>
          <w:spacing w:val="-19"/>
          <w:w w:val="110"/>
          <w:sz w:val="19"/>
          <w:lang w:val="de-DE"/>
        </w:rPr>
        <w:t xml:space="preserve"> </w:t>
      </w:r>
      <w:r w:rsidRPr="00846956">
        <w:rPr>
          <w:i/>
          <w:color w:val="231F20"/>
          <w:w w:val="110"/>
          <w:sz w:val="19"/>
          <w:lang w:val="de-DE"/>
        </w:rPr>
        <w:t>Erklärung</w:t>
      </w:r>
      <w:r w:rsidRPr="00846956">
        <w:rPr>
          <w:i/>
          <w:color w:val="231F20"/>
          <w:spacing w:val="-19"/>
          <w:w w:val="110"/>
          <w:sz w:val="19"/>
          <w:lang w:val="de-DE"/>
        </w:rPr>
        <w:t xml:space="preserve"> </w:t>
      </w:r>
      <w:r w:rsidRPr="00846956">
        <w:rPr>
          <w:i/>
          <w:color w:val="231F20"/>
          <w:w w:val="110"/>
          <w:sz w:val="19"/>
          <w:lang w:val="de-DE"/>
        </w:rPr>
        <w:t>für</w:t>
      </w:r>
      <w:r w:rsidRPr="00846956">
        <w:rPr>
          <w:i/>
          <w:color w:val="231F20"/>
          <w:spacing w:val="-19"/>
          <w:w w:val="110"/>
          <w:sz w:val="19"/>
          <w:lang w:val="de-DE"/>
        </w:rPr>
        <w:t xml:space="preserve"> </w:t>
      </w:r>
      <w:r w:rsidRPr="00846956">
        <w:rPr>
          <w:i/>
          <w:color w:val="231F20"/>
          <w:w w:val="110"/>
          <w:sz w:val="19"/>
          <w:lang w:val="de-DE"/>
        </w:rPr>
        <w:t>das</w:t>
      </w:r>
      <w:r w:rsidRPr="00846956">
        <w:rPr>
          <w:i/>
          <w:color w:val="231F20"/>
          <w:spacing w:val="-19"/>
          <w:w w:val="110"/>
          <w:sz w:val="19"/>
          <w:lang w:val="de-DE"/>
        </w:rPr>
        <w:t xml:space="preserve"> </w:t>
      </w:r>
      <w:r w:rsidRPr="00846956">
        <w:rPr>
          <w:i/>
          <w:color w:val="231F20"/>
          <w:w w:val="110"/>
          <w:sz w:val="19"/>
          <w:lang w:val="de-DE"/>
        </w:rPr>
        <w:t>Scheitern der „Baader-Mahler-Meinhof-Gruppe“, die sich Ulrike</w:t>
      </w:r>
      <w:r w:rsidRPr="00846956">
        <w:rPr>
          <w:i/>
          <w:color w:val="231F20"/>
          <w:spacing w:val="-26"/>
          <w:w w:val="110"/>
          <w:sz w:val="19"/>
          <w:lang w:val="de-DE"/>
        </w:rPr>
        <w:t xml:space="preserve"> </w:t>
      </w:r>
      <w:r w:rsidRPr="00846956">
        <w:rPr>
          <w:i/>
          <w:color w:val="231F20"/>
          <w:w w:val="110"/>
          <w:sz w:val="19"/>
          <w:lang w:val="de-DE"/>
        </w:rPr>
        <w:t xml:space="preserve">Meinhof da zurechtgezimmert hat. Dadurch ist es möglich, auch den </w:t>
      </w:r>
      <w:r w:rsidRPr="00846956">
        <w:rPr>
          <w:i/>
          <w:color w:val="231F20"/>
          <w:w w:val="105"/>
          <w:sz w:val="19"/>
          <w:lang w:val="de-DE"/>
        </w:rPr>
        <w:t xml:space="preserve">Münchener Anschlag des „Schwarzen September“ zu preisen. Sie </w:t>
      </w:r>
      <w:r w:rsidRPr="00846956">
        <w:rPr>
          <w:i/>
          <w:color w:val="231F20"/>
          <w:w w:val="110"/>
          <w:sz w:val="19"/>
          <w:lang w:val="de-DE"/>
        </w:rPr>
        <w:t>fühle</w:t>
      </w:r>
      <w:r w:rsidRPr="00846956">
        <w:rPr>
          <w:i/>
          <w:color w:val="231F20"/>
          <w:spacing w:val="-12"/>
          <w:w w:val="110"/>
          <w:sz w:val="19"/>
          <w:lang w:val="de-DE"/>
        </w:rPr>
        <w:t xml:space="preserve"> </w:t>
      </w:r>
      <w:r w:rsidRPr="00846956">
        <w:rPr>
          <w:i/>
          <w:color w:val="231F20"/>
          <w:w w:val="110"/>
          <w:sz w:val="19"/>
          <w:lang w:val="de-DE"/>
        </w:rPr>
        <w:t>eine</w:t>
      </w:r>
      <w:r w:rsidRPr="00846956">
        <w:rPr>
          <w:i/>
          <w:color w:val="231F20"/>
          <w:spacing w:val="-12"/>
          <w:w w:val="110"/>
          <w:sz w:val="19"/>
          <w:lang w:val="de-DE"/>
        </w:rPr>
        <w:t xml:space="preserve"> </w:t>
      </w:r>
      <w:r w:rsidRPr="00846956">
        <w:rPr>
          <w:i/>
          <w:color w:val="231F20"/>
          <w:w w:val="110"/>
          <w:sz w:val="19"/>
          <w:lang w:val="de-DE"/>
        </w:rPr>
        <w:t>„historische</w:t>
      </w:r>
      <w:r w:rsidRPr="00846956">
        <w:rPr>
          <w:i/>
          <w:color w:val="231F20"/>
          <w:spacing w:val="-12"/>
          <w:w w:val="110"/>
          <w:sz w:val="19"/>
          <w:lang w:val="de-DE"/>
        </w:rPr>
        <w:t xml:space="preserve"> </w:t>
      </w:r>
      <w:r w:rsidRPr="00846956">
        <w:rPr>
          <w:i/>
          <w:color w:val="231F20"/>
          <w:w w:val="110"/>
          <w:sz w:val="19"/>
          <w:lang w:val="de-DE"/>
        </w:rPr>
        <w:t>Identität“</w:t>
      </w:r>
      <w:r w:rsidRPr="00846956">
        <w:rPr>
          <w:i/>
          <w:color w:val="231F20"/>
          <w:spacing w:val="-12"/>
          <w:w w:val="110"/>
          <w:sz w:val="19"/>
          <w:lang w:val="de-DE"/>
        </w:rPr>
        <w:t xml:space="preserve"> </w:t>
      </w:r>
      <w:r w:rsidRPr="00846956">
        <w:rPr>
          <w:i/>
          <w:color w:val="231F20"/>
          <w:w w:val="110"/>
          <w:sz w:val="19"/>
          <w:lang w:val="de-DE"/>
        </w:rPr>
        <w:t>mit</w:t>
      </w:r>
      <w:r w:rsidRPr="00846956">
        <w:rPr>
          <w:i/>
          <w:color w:val="231F20"/>
          <w:spacing w:val="-12"/>
          <w:w w:val="110"/>
          <w:sz w:val="19"/>
          <w:lang w:val="de-DE"/>
        </w:rPr>
        <w:t xml:space="preserve"> </w:t>
      </w:r>
      <w:r w:rsidRPr="00846956">
        <w:rPr>
          <w:i/>
          <w:color w:val="231F20"/>
          <w:w w:val="110"/>
          <w:sz w:val="19"/>
          <w:lang w:val="de-DE"/>
        </w:rPr>
        <w:t>den</w:t>
      </w:r>
      <w:r w:rsidRPr="00846956">
        <w:rPr>
          <w:i/>
          <w:color w:val="231F20"/>
          <w:spacing w:val="-12"/>
          <w:w w:val="110"/>
          <w:sz w:val="19"/>
          <w:lang w:val="de-DE"/>
        </w:rPr>
        <w:t xml:space="preserve"> </w:t>
      </w:r>
      <w:r w:rsidRPr="00846956">
        <w:rPr>
          <w:i/>
          <w:color w:val="231F20"/>
          <w:w w:val="110"/>
          <w:sz w:val="19"/>
          <w:lang w:val="de-DE"/>
        </w:rPr>
        <w:t>Juden</w:t>
      </w:r>
      <w:r w:rsidRPr="00846956">
        <w:rPr>
          <w:i/>
          <w:color w:val="231F20"/>
          <w:spacing w:val="-12"/>
          <w:w w:val="110"/>
          <w:sz w:val="19"/>
          <w:lang w:val="de-DE"/>
        </w:rPr>
        <w:t xml:space="preserve"> </w:t>
      </w:r>
      <w:r w:rsidRPr="00846956">
        <w:rPr>
          <w:i/>
          <w:color w:val="231F20"/>
          <w:w w:val="110"/>
          <w:sz w:val="19"/>
          <w:lang w:val="de-DE"/>
        </w:rPr>
        <w:t>im</w:t>
      </w:r>
      <w:r w:rsidRPr="00846956">
        <w:rPr>
          <w:i/>
          <w:color w:val="231F20"/>
          <w:spacing w:val="-15"/>
          <w:w w:val="110"/>
          <w:sz w:val="19"/>
          <w:lang w:val="de-DE"/>
        </w:rPr>
        <w:t xml:space="preserve"> </w:t>
      </w:r>
      <w:r w:rsidRPr="00846956">
        <w:rPr>
          <w:i/>
          <w:color w:val="231F20"/>
          <w:w w:val="110"/>
          <w:sz w:val="19"/>
          <w:lang w:val="de-DE"/>
        </w:rPr>
        <w:t>Warschauer Getto, die waffenlos einen Aufstand versuchten und sich hinschlachten</w:t>
      </w:r>
      <w:r w:rsidRPr="00846956">
        <w:rPr>
          <w:i/>
          <w:color w:val="231F20"/>
          <w:spacing w:val="-15"/>
          <w:w w:val="110"/>
          <w:sz w:val="19"/>
          <w:lang w:val="de-DE"/>
        </w:rPr>
        <w:t xml:space="preserve"> </w:t>
      </w:r>
      <w:r w:rsidRPr="00846956">
        <w:rPr>
          <w:i/>
          <w:color w:val="231F20"/>
          <w:w w:val="110"/>
          <w:sz w:val="19"/>
          <w:lang w:val="de-DE"/>
        </w:rPr>
        <w:t>ließen,</w:t>
      </w:r>
      <w:r w:rsidRPr="00846956">
        <w:rPr>
          <w:i/>
          <w:color w:val="231F20"/>
          <w:spacing w:val="-18"/>
          <w:w w:val="110"/>
          <w:sz w:val="19"/>
          <w:lang w:val="de-DE"/>
        </w:rPr>
        <w:t xml:space="preserve"> </w:t>
      </w:r>
      <w:r w:rsidRPr="00846956">
        <w:rPr>
          <w:i/>
          <w:color w:val="231F20"/>
          <w:w w:val="110"/>
          <w:sz w:val="19"/>
          <w:lang w:val="de-DE"/>
        </w:rPr>
        <w:t>bekennt</w:t>
      </w:r>
      <w:r w:rsidRPr="00846956">
        <w:rPr>
          <w:i/>
          <w:color w:val="231F20"/>
          <w:spacing w:val="-15"/>
          <w:w w:val="110"/>
          <w:sz w:val="19"/>
          <w:lang w:val="de-DE"/>
        </w:rPr>
        <w:t xml:space="preserve"> </w:t>
      </w:r>
      <w:r w:rsidRPr="00846956">
        <w:rPr>
          <w:i/>
          <w:color w:val="231F20"/>
          <w:w w:val="110"/>
          <w:sz w:val="19"/>
          <w:lang w:val="de-DE"/>
        </w:rPr>
        <w:t>sie.</w:t>
      </w:r>
      <w:r w:rsidRPr="00846956">
        <w:rPr>
          <w:i/>
          <w:color w:val="231F20"/>
          <w:spacing w:val="-18"/>
          <w:w w:val="110"/>
          <w:sz w:val="19"/>
          <w:lang w:val="de-DE"/>
        </w:rPr>
        <w:t xml:space="preserve"> </w:t>
      </w:r>
      <w:r w:rsidRPr="00846956">
        <w:rPr>
          <w:i/>
          <w:color w:val="231F20"/>
          <w:w w:val="110"/>
          <w:sz w:val="19"/>
          <w:lang w:val="de-DE"/>
        </w:rPr>
        <w:t>„Wir</w:t>
      </w:r>
      <w:r w:rsidRPr="00846956">
        <w:rPr>
          <w:i/>
          <w:color w:val="231F20"/>
          <w:spacing w:val="-15"/>
          <w:w w:val="110"/>
          <w:sz w:val="19"/>
          <w:lang w:val="de-DE"/>
        </w:rPr>
        <w:t xml:space="preserve"> </w:t>
      </w:r>
      <w:r w:rsidRPr="00846956">
        <w:rPr>
          <w:i/>
          <w:color w:val="231F20"/>
          <w:w w:val="110"/>
          <w:sz w:val="19"/>
          <w:lang w:val="de-DE"/>
        </w:rPr>
        <w:t>haben</w:t>
      </w:r>
      <w:r w:rsidRPr="00846956">
        <w:rPr>
          <w:i/>
          <w:color w:val="231F20"/>
          <w:spacing w:val="-15"/>
          <w:w w:val="110"/>
          <w:sz w:val="19"/>
          <w:lang w:val="de-DE"/>
        </w:rPr>
        <w:t xml:space="preserve"> </w:t>
      </w:r>
      <w:r w:rsidRPr="00846956">
        <w:rPr>
          <w:i/>
          <w:color w:val="231F20"/>
          <w:w w:val="110"/>
          <w:sz w:val="19"/>
          <w:lang w:val="de-DE"/>
        </w:rPr>
        <w:t>das</w:t>
      </w:r>
      <w:r w:rsidRPr="00846956">
        <w:rPr>
          <w:i/>
          <w:color w:val="231F20"/>
          <w:spacing w:val="-15"/>
          <w:w w:val="110"/>
          <w:sz w:val="19"/>
          <w:lang w:val="de-DE"/>
        </w:rPr>
        <w:t xml:space="preserve"> </w:t>
      </w:r>
      <w:r w:rsidRPr="00846956">
        <w:rPr>
          <w:i/>
          <w:color w:val="231F20"/>
          <w:w w:val="110"/>
          <w:sz w:val="19"/>
          <w:lang w:val="de-DE"/>
        </w:rPr>
        <w:t>ganze</w:t>
      </w:r>
      <w:r w:rsidRPr="00846956">
        <w:rPr>
          <w:i/>
          <w:color w:val="231F20"/>
          <w:spacing w:val="-15"/>
          <w:w w:val="110"/>
          <w:sz w:val="19"/>
          <w:lang w:val="de-DE"/>
        </w:rPr>
        <w:t xml:space="preserve"> </w:t>
      </w:r>
      <w:r w:rsidRPr="00846956">
        <w:rPr>
          <w:i/>
          <w:color w:val="231F20"/>
          <w:w w:val="110"/>
          <w:sz w:val="19"/>
          <w:lang w:val="de-DE"/>
        </w:rPr>
        <w:t xml:space="preserve">Blabla </w:t>
      </w:r>
      <w:r w:rsidRPr="00846956">
        <w:rPr>
          <w:i/>
          <w:color w:val="231F20"/>
          <w:w w:val="105"/>
          <w:sz w:val="19"/>
          <w:lang w:val="de-DE"/>
        </w:rPr>
        <w:t>durchbrochen. Wir haben eine gewisse Ermutigung für die Linke dargestellt,</w:t>
      </w:r>
      <w:r w:rsidRPr="00846956">
        <w:rPr>
          <w:i/>
          <w:color w:val="231F20"/>
          <w:spacing w:val="-11"/>
          <w:w w:val="105"/>
          <w:sz w:val="19"/>
          <w:lang w:val="de-DE"/>
        </w:rPr>
        <w:t xml:space="preserve"> </w:t>
      </w:r>
      <w:r w:rsidRPr="00846956">
        <w:rPr>
          <w:i/>
          <w:color w:val="231F20"/>
          <w:w w:val="105"/>
          <w:sz w:val="19"/>
          <w:lang w:val="de-DE"/>
        </w:rPr>
        <w:t>die</w:t>
      </w:r>
      <w:r w:rsidRPr="00846956">
        <w:rPr>
          <w:i/>
          <w:color w:val="231F20"/>
          <w:spacing w:val="-6"/>
          <w:w w:val="105"/>
          <w:sz w:val="19"/>
          <w:lang w:val="de-DE"/>
        </w:rPr>
        <w:t xml:space="preserve"> </w:t>
      </w:r>
      <w:r w:rsidRPr="00846956">
        <w:rPr>
          <w:i/>
          <w:color w:val="231F20"/>
          <w:w w:val="105"/>
          <w:sz w:val="19"/>
          <w:lang w:val="de-DE"/>
        </w:rPr>
        <w:t>freilich</w:t>
      </w:r>
      <w:r w:rsidRPr="00846956">
        <w:rPr>
          <w:i/>
          <w:color w:val="231F20"/>
          <w:spacing w:val="-6"/>
          <w:w w:val="105"/>
          <w:sz w:val="19"/>
          <w:lang w:val="de-DE"/>
        </w:rPr>
        <w:t xml:space="preserve"> </w:t>
      </w:r>
      <w:r w:rsidRPr="00846956">
        <w:rPr>
          <w:i/>
          <w:color w:val="231F20"/>
          <w:w w:val="105"/>
          <w:sz w:val="19"/>
          <w:lang w:val="de-DE"/>
        </w:rPr>
        <w:t>wieder</w:t>
      </w:r>
      <w:r w:rsidRPr="00846956">
        <w:rPr>
          <w:i/>
          <w:color w:val="231F20"/>
          <w:spacing w:val="-6"/>
          <w:w w:val="105"/>
          <w:sz w:val="19"/>
          <w:lang w:val="de-DE"/>
        </w:rPr>
        <w:t xml:space="preserve"> </w:t>
      </w:r>
      <w:r w:rsidRPr="00846956">
        <w:rPr>
          <w:i/>
          <w:color w:val="231F20"/>
          <w:w w:val="105"/>
          <w:sz w:val="19"/>
          <w:lang w:val="de-DE"/>
        </w:rPr>
        <w:t>den</w:t>
      </w:r>
      <w:r w:rsidRPr="00846956">
        <w:rPr>
          <w:i/>
          <w:color w:val="231F20"/>
          <w:spacing w:val="-6"/>
          <w:w w:val="105"/>
          <w:sz w:val="19"/>
          <w:lang w:val="de-DE"/>
        </w:rPr>
        <w:t xml:space="preserve"> </w:t>
      </w:r>
      <w:r w:rsidRPr="00846956">
        <w:rPr>
          <w:i/>
          <w:color w:val="231F20"/>
          <w:w w:val="105"/>
          <w:sz w:val="19"/>
          <w:lang w:val="de-DE"/>
        </w:rPr>
        <w:t>Bach</w:t>
      </w:r>
      <w:r w:rsidRPr="00846956">
        <w:rPr>
          <w:i/>
          <w:color w:val="231F20"/>
          <w:spacing w:val="-11"/>
          <w:w w:val="105"/>
          <w:sz w:val="19"/>
          <w:lang w:val="de-DE"/>
        </w:rPr>
        <w:t xml:space="preserve"> </w:t>
      </w:r>
      <w:r w:rsidRPr="00846956">
        <w:rPr>
          <w:i/>
          <w:color w:val="231F20"/>
          <w:w w:val="105"/>
          <w:sz w:val="19"/>
          <w:lang w:val="de-DE"/>
        </w:rPr>
        <w:t>‘runtergegangen</w:t>
      </w:r>
      <w:r w:rsidRPr="00846956">
        <w:rPr>
          <w:i/>
          <w:color w:val="231F20"/>
          <w:spacing w:val="-6"/>
          <w:w w:val="105"/>
          <w:sz w:val="19"/>
          <w:lang w:val="de-DE"/>
        </w:rPr>
        <w:t xml:space="preserve"> </w:t>
      </w:r>
      <w:r w:rsidRPr="00846956">
        <w:rPr>
          <w:i/>
          <w:color w:val="231F20"/>
          <w:w w:val="105"/>
          <w:sz w:val="19"/>
          <w:lang w:val="de-DE"/>
        </w:rPr>
        <w:t>ist,</w:t>
      </w:r>
      <w:r w:rsidRPr="00846956">
        <w:rPr>
          <w:i/>
          <w:color w:val="231F20"/>
          <w:spacing w:val="-11"/>
          <w:w w:val="105"/>
          <w:sz w:val="19"/>
          <w:lang w:val="de-DE"/>
        </w:rPr>
        <w:t xml:space="preserve"> </w:t>
      </w:r>
      <w:r w:rsidRPr="00846956">
        <w:rPr>
          <w:i/>
          <w:color w:val="231F20"/>
          <w:w w:val="105"/>
          <w:sz w:val="19"/>
          <w:lang w:val="de-DE"/>
        </w:rPr>
        <w:t xml:space="preserve">weil </w:t>
      </w:r>
      <w:r w:rsidRPr="00846956">
        <w:rPr>
          <w:i/>
          <w:color w:val="231F20"/>
          <w:w w:val="110"/>
          <w:sz w:val="19"/>
          <w:lang w:val="de-DE"/>
        </w:rPr>
        <w:t>sie uns alle verhaftet</w:t>
      </w:r>
      <w:r w:rsidRPr="00846956">
        <w:rPr>
          <w:i/>
          <w:color w:val="231F20"/>
          <w:spacing w:val="12"/>
          <w:w w:val="110"/>
          <w:sz w:val="19"/>
          <w:lang w:val="de-DE"/>
        </w:rPr>
        <w:t xml:space="preserve"> </w:t>
      </w:r>
      <w:r w:rsidRPr="00846956">
        <w:rPr>
          <w:i/>
          <w:color w:val="231F20"/>
          <w:w w:val="110"/>
          <w:sz w:val="19"/>
          <w:lang w:val="de-DE"/>
        </w:rPr>
        <w:t>haben.“</w:t>
      </w:r>
    </w:p>
    <w:p w14:paraId="6D1D4689" w14:textId="77777777" w:rsidR="002653E8" w:rsidRPr="00846956" w:rsidRDefault="002653E8">
      <w:pPr>
        <w:spacing w:line="276" w:lineRule="auto"/>
        <w:jc w:val="both"/>
        <w:rPr>
          <w:sz w:val="19"/>
          <w:lang w:val="de-DE"/>
        </w:rPr>
        <w:sectPr w:rsidR="002653E8" w:rsidRPr="00846956">
          <w:footerReference w:type="even" r:id="rId463"/>
          <w:footerReference w:type="default" r:id="rId464"/>
          <w:pgSz w:w="8640" w:h="12960"/>
          <w:pgMar w:top="1040" w:right="0" w:bottom="1040" w:left="0" w:header="0" w:footer="850" w:gutter="0"/>
          <w:pgNumType w:start="545"/>
          <w:cols w:space="720"/>
        </w:sectPr>
      </w:pPr>
    </w:p>
    <w:p w14:paraId="1727D562" w14:textId="77777777" w:rsidR="002653E8" w:rsidRDefault="003115E3">
      <w:pPr>
        <w:spacing w:before="87" w:line="257" w:lineRule="exact"/>
        <w:ind w:left="1147"/>
      </w:pPr>
      <w:r>
        <w:rPr>
          <w:color w:val="231F20"/>
          <w:w w:val="125"/>
        </w:rPr>
        <w:lastRenderedPageBreak/>
        <w:t>george watson</w:t>
      </w:r>
      <w:r>
        <w:rPr>
          <w:color w:val="231F20"/>
          <w:w w:val="125"/>
          <w:sz w:val="19"/>
        </w:rPr>
        <w:t>’</w:t>
      </w:r>
      <w:r>
        <w:rPr>
          <w:color w:val="231F20"/>
          <w:w w:val="125"/>
        </w:rPr>
        <w:t>s account from</w:t>
      </w:r>
    </w:p>
    <w:p w14:paraId="6E31D276" w14:textId="77777777" w:rsidR="002653E8" w:rsidRDefault="003115E3">
      <w:pPr>
        <w:spacing w:line="256" w:lineRule="exact"/>
        <w:ind w:left="1147"/>
        <w:rPr>
          <w:sz w:val="18"/>
        </w:rPr>
      </w:pPr>
      <w:r>
        <w:rPr>
          <w:color w:val="231F20"/>
          <w:w w:val="120"/>
          <w:sz w:val="18"/>
        </w:rPr>
        <w:t>“</w:t>
      </w:r>
      <w:r>
        <w:rPr>
          <w:color w:val="231F20"/>
          <w:w w:val="120"/>
        </w:rPr>
        <w:t>race &amp; the socialists,</w:t>
      </w:r>
      <w:r>
        <w:rPr>
          <w:color w:val="231F20"/>
          <w:w w:val="120"/>
          <w:sz w:val="18"/>
        </w:rPr>
        <w:t>”</w:t>
      </w:r>
    </w:p>
    <w:p w14:paraId="0863EC1C" w14:textId="77777777" w:rsidR="002653E8" w:rsidRDefault="003115E3">
      <w:pPr>
        <w:spacing w:line="257" w:lineRule="exact"/>
        <w:ind w:left="1147"/>
        <w:rPr>
          <w:sz w:val="20"/>
        </w:rPr>
      </w:pPr>
      <w:r>
        <w:rPr>
          <w:color w:val="231F20"/>
        </w:rPr>
        <w:t xml:space="preserve">encounter 47 </w:t>
      </w:r>
      <w:r>
        <w:rPr>
          <w:color w:val="231F20"/>
          <w:sz w:val="20"/>
        </w:rPr>
        <w:t>(</w:t>
      </w:r>
      <w:r>
        <w:rPr>
          <w:color w:val="231F20"/>
        </w:rPr>
        <w:t xml:space="preserve">november 1976 </w:t>
      </w:r>
      <w:r>
        <w:rPr>
          <w:color w:val="231F20"/>
          <w:sz w:val="20"/>
        </w:rPr>
        <w:t>)</w:t>
      </w:r>
    </w:p>
    <w:p w14:paraId="7C65AFBB" w14:textId="77777777" w:rsidR="002653E8" w:rsidRDefault="002653E8">
      <w:pPr>
        <w:pStyle w:val="a3"/>
        <w:spacing w:before="7"/>
        <w:rPr>
          <w:sz w:val="23"/>
        </w:rPr>
      </w:pPr>
    </w:p>
    <w:p w14:paraId="641396A9" w14:textId="77777777" w:rsidR="002653E8" w:rsidRDefault="003115E3">
      <w:pPr>
        <w:pStyle w:val="a3"/>
        <w:spacing w:line="264" w:lineRule="auto"/>
        <w:ind w:left="1148" w:right="1325" w:hanging="1"/>
        <w:jc w:val="both"/>
      </w:pPr>
      <w:r>
        <w:rPr>
          <w:color w:val="231F20"/>
        </w:rPr>
        <w:t>In December, 1972, for example, Ulrike Meinhof of the West German “Red Army Faction” appeared between a judicial hearing and spoke up publicly for the Good Old Cause of revolutionary extermination. “How was Auschwitz possible, what was anti-Semitism?” she asked from the dock. According to a newspaper account:</w:t>
      </w:r>
    </w:p>
    <w:p w14:paraId="5E87C9CE" w14:textId="77777777" w:rsidR="002653E8" w:rsidRDefault="003115E3">
      <w:pPr>
        <w:spacing w:before="131" w:line="276" w:lineRule="auto"/>
        <w:ind w:left="1567" w:right="1738"/>
        <w:jc w:val="both"/>
        <w:rPr>
          <w:i/>
          <w:sz w:val="19"/>
        </w:rPr>
      </w:pPr>
      <w:r>
        <w:rPr>
          <w:i/>
          <w:color w:val="231F20"/>
          <w:spacing w:val="-3"/>
          <w:sz w:val="19"/>
        </w:rPr>
        <w:t xml:space="preserve">People </w:t>
      </w:r>
      <w:r>
        <w:rPr>
          <w:i/>
          <w:color w:val="231F20"/>
          <w:sz w:val="19"/>
        </w:rPr>
        <w:t>should have explained that, instead of accepting Auschwitz collectively as an expression of evil. The worst of it is that we were all agreed about it, Communists included. But now she [Meinhof] had recognized that anti-Semitism was essentially anti-capitalist.  It absorbed the hatred of men for their dependence on money as a means</w:t>
      </w:r>
      <w:r>
        <w:rPr>
          <w:i/>
          <w:color w:val="231F20"/>
          <w:spacing w:val="17"/>
          <w:sz w:val="19"/>
        </w:rPr>
        <w:t xml:space="preserve"> </w:t>
      </w:r>
      <w:r>
        <w:rPr>
          <w:i/>
          <w:color w:val="231F20"/>
          <w:sz w:val="19"/>
        </w:rPr>
        <w:t>of</w:t>
      </w:r>
      <w:r>
        <w:rPr>
          <w:i/>
          <w:color w:val="231F20"/>
          <w:spacing w:val="17"/>
          <w:sz w:val="19"/>
        </w:rPr>
        <w:t xml:space="preserve"> </w:t>
      </w:r>
      <w:r>
        <w:rPr>
          <w:i/>
          <w:color w:val="231F20"/>
          <w:sz w:val="19"/>
        </w:rPr>
        <w:t>exchange,</w:t>
      </w:r>
      <w:r>
        <w:rPr>
          <w:i/>
          <w:color w:val="231F20"/>
          <w:spacing w:val="10"/>
          <w:sz w:val="19"/>
        </w:rPr>
        <w:t xml:space="preserve"> </w:t>
      </w:r>
      <w:r>
        <w:rPr>
          <w:i/>
          <w:color w:val="231F20"/>
          <w:sz w:val="19"/>
        </w:rPr>
        <w:t>and</w:t>
      </w:r>
      <w:r>
        <w:rPr>
          <w:i/>
          <w:color w:val="231F20"/>
          <w:spacing w:val="17"/>
          <w:sz w:val="19"/>
        </w:rPr>
        <w:t xml:space="preserve"> </w:t>
      </w:r>
      <w:r>
        <w:rPr>
          <w:i/>
          <w:color w:val="231F20"/>
          <w:sz w:val="19"/>
        </w:rPr>
        <w:t>their</w:t>
      </w:r>
      <w:r>
        <w:rPr>
          <w:i/>
          <w:color w:val="231F20"/>
          <w:spacing w:val="17"/>
          <w:sz w:val="19"/>
        </w:rPr>
        <w:t xml:space="preserve"> </w:t>
      </w:r>
      <w:r>
        <w:rPr>
          <w:i/>
          <w:color w:val="231F20"/>
          <w:sz w:val="19"/>
        </w:rPr>
        <w:t>longing</w:t>
      </w:r>
      <w:r>
        <w:rPr>
          <w:i/>
          <w:color w:val="231F20"/>
          <w:spacing w:val="17"/>
          <w:sz w:val="19"/>
        </w:rPr>
        <w:t xml:space="preserve"> </w:t>
      </w:r>
      <w:r>
        <w:rPr>
          <w:i/>
          <w:color w:val="231F20"/>
          <w:sz w:val="19"/>
        </w:rPr>
        <w:t>for</w:t>
      </w:r>
      <w:r>
        <w:rPr>
          <w:i/>
          <w:color w:val="231F20"/>
          <w:spacing w:val="17"/>
          <w:sz w:val="19"/>
        </w:rPr>
        <w:t xml:space="preserve"> </w:t>
      </w:r>
      <w:r>
        <w:rPr>
          <w:i/>
          <w:color w:val="231F20"/>
          <w:sz w:val="19"/>
        </w:rPr>
        <w:t>communism…</w:t>
      </w:r>
    </w:p>
    <w:p w14:paraId="1A55B9B5" w14:textId="77777777" w:rsidR="002653E8" w:rsidRDefault="003115E3">
      <w:pPr>
        <w:pStyle w:val="a3"/>
        <w:spacing w:before="125" w:line="264" w:lineRule="auto"/>
        <w:ind w:left="1147" w:right="1326"/>
        <w:jc w:val="both"/>
      </w:pPr>
      <w:r>
        <w:rPr>
          <w:color w:val="231F20"/>
        </w:rPr>
        <w:t>How much was socialism, and how much national-socialism in her passionate defense?</w:t>
      </w:r>
    </w:p>
    <w:p w14:paraId="65C20E5F" w14:textId="77777777" w:rsidR="002653E8" w:rsidRDefault="003115E3">
      <w:pPr>
        <w:spacing w:before="134" w:line="276" w:lineRule="auto"/>
        <w:ind w:left="1567" w:right="1745"/>
        <w:jc w:val="both"/>
        <w:rPr>
          <w:i/>
          <w:sz w:val="19"/>
        </w:rPr>
      </w:pPr>
      <w:r>
        <w:rPr>
          <w:i/>
          <w:color w:val="231F20"/>
          <w:w w:val="105"/>
          <w:sz w:val="19"/>
        </w:rPr>
        <w:t>Auschwitz meant that six million Jews were killed, and thrown on the waste-heap of Europe, for what they were: money-Jews (Geldjuden). Finance capital and the banks, the hard core of the system of imperialism and capitalism, had turned the hatred of men against money and exploitation, and against the Jews. The failure of the Left, of the Communists, had lain in not making these connections plain…</w:t>
      </w:r>
    </w:p>
    <w:p w14:paraId="60AE4680" w14:textId="77777777" w:rsidR="002653E8" w:rsidRDefault="003115E3">
      <w:pPr>
        <w:pStyle w:val="a3"/>
        <w:spacing w:before="125" w:line="264" w:lineRule="auto"/>
        <w:ind w:left="1147" w:right="1326"/>
        <w:jc w:val="both"/>
      </w:pPr>
      <w:r>
        <w:rPr>
          <w:color w:val="231F20"/>
        </w:rPr>
        <w:t>And so Marxism and racialism could be proposed once more as philosophical comrades, in our own times, and the link yet again made plain:</w:t>
      </w:r>
    </w:p>
    <w:p w14:paraId="18D37D3C" w14:textId="77777777" w:rsidR="002653E8" w:rsidRDefault="003115E3">
      <w:pPr>
        <w:spacing w:before="133" w:line="276" w:lineRule="auto"/>
        <w:ind w:left="1567" w:right="1745"/>
        <w:jc w:val="both"/>
        <w:rPr>
          <w:i/>
          <w:sz w:val="19"/>
        </w:rPr>
      </w:pPr>
      <w:r>
        <w:rPr>
          <w:i/>
          <w:color w:val="231F20"/>
          <w:w w:val="105"/>
          <w:sz w:val="19"/>
        </w:rPr>
        <w:t>Germans were anti-Semitic, and that is why they nowadays support the Red Army Fraction. They have not yet recognised all this, because they have not yet been absolved of fascism and the murder of the Jews. And they have not yet been told that antiSemitism is really a hatred of capitalism.</w:t>
      </w:r>
    </w:p>
    <w:p w14:paraId="04782D62" w14:textId="77777777" w:rsidR="002653E8" w:rsidRDefault="002653E8">
      <w:pPr>
        <w:spacing w:line="276" w:lineRule="auto"/>
        <w:jc w:val="both"/>
        <w:rPr>
          <w:sz w:val="19"/>
        </w:rPr>
        <w:sectPr w:rsidR="002653E8">
          <w:pgSz w:w="8640" w:h="12960"/>
          <w:pgMar w:top="1040" w:right="0" w:bottom="1040" w:left="0" w:header="0" w:footer="850" w:gutter="0"/>
          <w:cols w:space="720"/>
        </w:sectPr>
      </w:pPr>
    </w:p>
    <w:p w14:paraId="1171C020" w14:textId="77777777" w:rsidR="002653E8" w:rsidRDefault="003115E3">
      <w:pPr>
        <w:spacing w:before="87"/>
        <w:ind w:left="1327"/>
      </w:pPr>
      <w:r>
        <w:rPr>
          <w:color w:val="231F20"/>
          <w:w w:val="125"/>
        </w:rPr>
        <w:lastRenderedPageBreak/>
        <w:t>our translation</w:t>
      </w:r>
    </w:p>
    <w:p w14:paraId="53E455F4" w14:textId="77777777" w:rsidR="002653E8" w:rsidRDefault="003115E3">
      <w:pPr>
        <w:spacing w:before="147" w:line="276" w:lineRule="auto"/>
        <w:ind w:left="1747" w:right="1559"/>
        <w:jc w:val="both"/>
        <w:rPr>
          <w:i/>
          <w:sz w:val="19"/>
        </w:rPr>
      </w:pPr>
      <w:r>
        <w:rPr>
          <w:i/>
          <w:color w:val="231F20"/>
          <w:w w:val="105"/>
          <w:sz w:val="19"/>
        </w:rPr>
        <w:t>“Unless we absolve the German people of fascism—that the people</w:t>
      </w:r>
      <w:r>
        <w:rPr>
          <w:i/>
          <w:color w:val="231F20"/>
          <w:spacing w:val="-10"/>
          <w:w w:val="105"/>
          <w:sz w:val="19"/>
        </w:rPr>
        <w:t xml:space="preserve"> </w:t>
      </w:r>
      <w:r>
        <w:rPr>
          <w:i/>
          <w:color w:val="231F20"/>
          <w:w w:val="105"/>
          <w:sz w:val="19"/>
        </w:rPr>
        <w:t>really</w:t>
      </w:r>
      <w:r>
        <w:rPr>
          <w:i/>
          <w:color w:val="231F20"/>
          <w:spacing w:val="-10"/>
          <w:w w:val="105"/>
          <w:sz w:val="19"/>
        </w:rPr>
        <w:t xml:space="preserve"> </w:t>
      </w:r>
      <w:r>
        <w:rPr>
          <w:i/>
          <w:color w:val="231F20"/>
          <w:w w:val="105"/>
          <w:sz w:val="19"/>
        </w:rPr>
        <w:t>didn’t</w:t>
      </w:r>
      <w:r>
        <w:rPr>
          <w:i/>
          <w:color w:val="231F20"/>
          <w:spacing w:val="-10"/>
          <w:w w:val="105"/>
          <w:sz w:val="19"/>
        </w:rPr>
        <w:t xml:space="preserve"> </w:t>
      </w:r>
      <w:r>
        <w:rPr>
          <w:i/>
          <w:color w:val="231F20"/>
          <w:w w:val="105"/>
          <w:sz w:val="19"/>
        </w:rPr>
        <w:t>know</w:t>
      </w:r>
      <w:r>
        <w:rPr>
          <w:i/>
          <w:color w:val="231F20"/>
          <w:spacing w:val="-10"/>
          <w:w w:val="105"/>
          <w:sz w:val="19"/>
        </w:rPr>
        <w:t xml:space="preserve"> </w:t>
      </w:r>
      <w:r>
        <w:rPr>
          <w:i/>
          <w:color w:val="231F20"/>
          <w:w w:val="105"/>
          <w:sz w:val="19"/>
        </w:rPr>
        <w:t>what</w:t>
      </w:r>
      <w:r>
        <w:rPr>
          <w:i/>
          <w:color w:val="231F20"/>
          <w:spacing w:val="-10"/>
          <w:w w:val="105"/>
          <w:sz w:val="19"/>
        </w:rPr>
        <w:t xml:space="preserve"> </w:t>
      </w:r>
      <w:r>
        <w:rPr>
          <w:i/>
          <w:color w:val="231F20"/>
          <w:w w:val="105"/>
          <w:sz w:val="19"/>
        </w:rPr>
        <w:t>was</w:t>
      </w:r>
      <w:r>
        <w:rPr>
          <w:i/>
          <w:color w:val="231F20"/>
          <w:spacing w:val="-10"/>
          <w:w w:val="105"/>
          <w:sz w:val="19"/>
        </w:rPr>
        <w:t xml:space="preserve"> </w:t>
      </w:r>
      <w:r>
        <w:rPr>
          <w:i/>
          <w:color w:val="231F20"/>
          <w:w w:val="105"/>
          <w:sz w:val="19"/>
        </w:rPr>
        <w:t>going</w:t>
      </w:r>
      <w:r>
        <w:rPr>
          <w:i/>
          <w:color w:val="231F20"/>
          <w:spacing w:val="-10"/>
          <w:w w:val="105"/>
          <w:sz w:val="19"/>
        </w:rPr>
        <w:t xml:space="preserve"> </w:t>
      </w:r>
      <w:r>
        <w:rPr>
          <w:i/>
          <w:color w:val="231F20"/>
          <w:w w:val="105"/>
          <w:sz w:val="19"/>
        </w:rPr>
        <w:t>on</w:t>
      </w:r>
      <w:r>
        <w:rPr>
          <w:i/>
          <w:color w:val="231F20"/>
          <w:spacing w:val="-10"/>
          <w:w w:val="105"/>
          <w:sz w:val="19"/>
        </w:rPr>
        <w:t xml:space="preserve"> </w:t>
      </w:r>
      <w:r>
        <w:rPr>
          <w:i/>
          <w:color w:val="231F20"/>
          <w:w w:val="105"/>
          <w:sz w:val="19"/>
        </w:rPr>
        <w:t>in</w:t>
      </w:r>
      <w:r>
        <w:rPr>
          <w:i/>
          <w:color w:val="231F20"/>
          <w:spacing w:val="-10"/>
          <w:w w:val="105"/>
          <w:sz w:val="19"/>
        </w:rPr>
        <w:t xml:space="preserve"> </w:t>
      </w:r>
      <w:r>
        <w:rPr>
          <w:i/>
          <w:color w:val="231F20"/>
          <w:w w:val="105"/>
          <w:sz w:val="19"/>
        </w:rPr>
        <w:t>the</w:t>
      </w:r>
      <w:r>
        <w:rPr>
          <w:i/>
          <w:color w:val="231F20"/>
          <w:spacing w:val="-10"/>
          <w:w w:val="105"/>
          <w:sz w:val="19"/>
        </w:rPr>
        <w:t xml:space="preserve"> </w:t>
      </w:r>
      <w:r>
        <w:rPr>
          <w:i/>
          <w:color w:val="231F20"/>
          <w:w w:val="105"/>
          <w:sz w:val="19"/>
        </w:rPr>
        <w:t xml:space="preserve">concentration camps—they can’t be mobilized for our </w:t>
      </w:r>
      <w:r>
        <w:rPr>
          <w:i/>
          <w:color w:val="231F20"/>
          <w:spacing w:val="-3"/>
          <w:w w:val="105"/>
          <w:sz w:val="19"/>
        </w:rPr>
        <w:t xml:space="preserve">struggle,” </w:t>
      </w:r>
      <w:r>
        <w:rPr>
          <w:i/>
          <w:color w:val="231F20"/>
          <w:w w:val="105"/>
          <w:sz w:val="19"/>
        </w:rPr>
        <w:t xml:space="preserve">she said. After the </w:t>
      </w:r>
      <w:r>
        <w:rPr>
          <w:i/>
          <w:color w:val="231F20"/>
          <w:spacing w:val="-7"/>
          <w:w w:val="105"/>
          <w:sz w:val="19"/>
        </w:rPr>
        <w:t xml:space="preserve">war, </w:t>
      </w:r>
      <w:r>
        <w:rPr>
          <w:i/>
          <w:color w:val="231F20"/>
          <w:w w:val="105"/>
          <w:sz w:val="19"/>
        </w:rPr>
        <w:t xml:space="preserve">the left, in dealing with fascism, were “negligent, stupid, and </w:t>
      </w:r>
      <w:r>
        <w:rPr>
          <w:i/>
          <w:color w:val="231F20"/>
          <w:spacing w:val="-3"/>
          <w:w w:val="105"/>
          <w:sz w:val="19"/>
        </w:rPr>
        <w:t xml:space="preserve">insolent.” </w:t>
      </w:r>
      <w:r>
        <w:rPr>
          <w:i/>
          <w:color w:val="231F20"/>
          <w:w w:val="105"/>
          <w:sz w:val="19"/>
        </w:rPr>
        <w:t xml:space="preserve">They dealt with the people in the foreground, but didn’t look any </w:t>
      </w:r>
      <w:r>
        <w:rPr>
          <w:i/>
          <w:color w:val="231F20"/>
          <w:spacing w:val="-4"/>
          <w:w w:val="105"/>
          <w:sz w:val="19"/>
        </w:rPr>
        <w:t xml:space="preserve">deeper. </w:t>
      </w:r>
      <w:r>
        <w:rPr>
          <w:i/>
          <w:color w:val="231F20"/>
          <w:w w:val="105"/>
          <w:sz w:val="19"/>
        </w:rPr>
        <w:t>“How was  Auschwitz  possible;  what  was antisemitism?” That is something that someone should  have clarified at the time. Instead of collectively understanding Auschwitz as an expression of evil, Meinhof</w:t>
      </w:r>
      <w:r>
        <w:rPr>
          <w:i/>
          <w:color w:val="231F20"/>
          <w:spacing w:val="2"/>
          <w:w w:val="105"/>
          <w:sz w:val="19"/>
        </w:rPr>
        <w:t xml:space="preserve"> </w:t>
      </w:r>
      <w:r>
        <w:rPr>
          <w:i/>
          <w:color w:val="231F20"/>
          <w:w w:val="105"/>
          <w:sz w:val="19"/>
        </w:rPr>
        <w:t>stated.</w:t>
      </w:r>
    </w:p>
    <w:p w14:paraId="79C252AB" w14:textId="77777777" w:rsidR="002653E8" w:rsidRDefault="003115E3">
      <w:pPr>
        <w:spacing w:before="58" w:line="276" w:lineRule="auto"/>
        <w:ind w:left="1747" w:right="1565"/>
        <w:jc w:val="both"/>
        <w:rPr>
          <w:i/>
          <w:sz w:val="19"/>
        </w:rPr>
      </w:pPr>
      <w:r>
        <w:rPr>
          <w:i/>
          <w:color w:val="231F20"/>
          <w:sz w:val="19"/>
        </w:rPr>
        <w:t xml:space="preserve">“The worst thing  is  that  all  of  us,  communists  as  well  as  others, were united in </w:t>
      </w:r>
      <w:r>
        <w:rPr>
          <w:i/>
          <w:color w:val="231F20"/>
          <w:spacing w:val="-5"/>
          <w:sz w:val="19"/>
        </w:rPr>
        <w:t xml:space="preserve">this.” </w:t>
      </w:r>
      <w:r>
        <w:rPr>
          <w:i/>
          <w:color w:val="231F20"/>
          <w:spacing w:val="-4"/>
          <w:sz w:val="19"/>
        </w:rPr>
        <w:t xml:space="preserve">However, </w:t>
      </w:r>
      <w:r>
        <w:rPr>
          <w:i/>
          <w:color w:val="231F20"/>
          <w:sz w:val="19"/>
        </w:rPr>
        <w:t xml:space="preserve">she now recognizes that antisemitism can in </w:t>
      </w:r>
      <w:r>
        <w:rPr>
          <w:i/>
          <w:color w:val="231F20"/>
          <w:spacing w:val="-4"/>
          <w:sz w:val="19"/>
        </w:rPr>
        <w:t xml:space="preserve">it’s </w:t>
      </w:r>
      <w:r>
        <w:rPr>
          <w:i/>
          <w:color w:val="231F20"/>
          <w:sz w:val="19"/>
        </w:rPr>
        <w:t xml:space="preserve">own </w:t>
      </w:r>
      <w:r>
        <w:rPr>
          <w:i/>
          <w:color w:val="231F20"/>
          <w:spacing w:val="-3"/>
          <w:sz w:val="19"/>
        </w:rPr>
        <w:t xml:space="preserve">way </w:t>
      </w:r>
      <w:r>
        <w:rPr>
          <w:i/>
          <w:color w:val="231F20"/>
          <w:sz w:val="19"/>
        </w:rPr>
        <w:t>be anticapitalist. It separates the hatred of people about their dependency on money as a means of exchange from their desire for</w:t>
      </w:r>
      <w:r>
        <w:rPr>
          <w:i/>
          <w:color w:val="231F20"/>
          <w:spacing w:val="20"/>
          <w:sz w:val="19"/>
        </w:rPr>
        <w:t xml:space="preserve"> </w:t>
      </w:r>
      <w:r>
        <w:rPr>
          <w:i/>
          <w:color w:val="231F20"/>
          <w:sz w:val="19"/>
        </w:rPr>
        <w:t>communism.</w:t>
      </w:r>
    </w:p>
    <w:p w14:paraId="2EEA72F1" w14:textId="77777777" w:rsidR="002653E8" w:rsidRDefault="003115E3">
      <w:pPr>
        <w:spacing w:before="59" w:line="276" w:lineRule="auto"/>
        <w:ind w:left="1747" w:right="1558"/>
        <w:jc w:val="both"/>
        <w:rPr>
          <w:i/>
          <w:sz w:val="19"/>
        </w:rPr>
      </w:pPr>
      <w:r>
        <w:rPr>
          <w:i/>
          <w:color w:val="231F20"/>
          <w:spacing w:val="-3"/>
          <w:w w:val="105"/>
          <w:sz w:val="19"/>
        </w:rPr>
        <w:t xml:space="preserve">“Auschwitz </w:t>
      </w:r>
      <w:r>
        <w:rPr>
          <w:i/>
          <w:color w:val="231F20"/>
          <w:w w:val="105"/>
          <w:sz w:val="19"/>
        </w:rPr>
        <w:t xml:space="preserve">meant that six million Jews were murdered and carted off to Europe’s garbage heap, dispensed with as money </w:t>
      </w:r>
      <w:r>
        <w:rPr>
          <w:i/>
          <w:color w:val="231F20"/>
          <w:spacing w:val="-6"/>
          <w:w w:val="105"/>
          <w:sz w:val="19"/>
        </w:rPr>
        <w:t xml:space="preserve">Jews.” </w:t>
      </w:r>
      <w:r>
        <w:rPr>
          <w:i/>
          <w:color w:val="231F20"/>
          <w:w w:val="105"/>
          <w:sz w:val="19"/>
        </w:rPr>
        <w:t>Finance capital and banks, “the hard core of the system”  of</w:t>
      </w:r>
      <w:r>
        <w:rPr>
          <w:i/>
          <w:color w:val="231F20"/>
          <w:spacing w:val="-5"/>
          <w:w w:val="105"/>
          <w:sz w:val="19"/>
        </w:rPr>
        <w:t xml:space="preserve"> </w:t>
      </w:r>
      <w:r>
        <w:rPr>
          <w:i/>
          <w:color w:val="231F20"/>
          <w:w w:val="105"/>
          <w:sz w:val="19"/>
        </w:rPr>
        <w:t>imperialism</w:t>
      </w:r>
      <w:r>
        <w:rPr>
          <w:i/>
          <w:color w:val="231F20"/>
          <w:spacing w:val="-5"/>
          <w:w w:val="105"/>
          <w:sz w:val="19"/>
        </w:rPr>
        <w:t xml:space="preserve"> </w:t>
      </w:r>
      <w:r>
        <w:rPr>
          <w:i/>
          <w:color w:val="231F20"/>
          <w:w w:val="105"/>
          <w:sz w:val="19"/>
        </w:rPr>
        <w:t>and</w:t>
      </w:r>
      <w:r>
        <w:rPr>
          <w:i/>
          <w:color w:val="231F20"/>
          <w:spacing w:val="-5"/>
          <w:w w:val="105"/>
          <w:sz w:val="19"/>
        </w:rPr>
        <w:t xml:space="preserve"> </w:t>
      </w:r>
      <w:r>
        <w:rPr>
          <w:i/>
          <w:color w:val="231F20"/>
          <w:w w:val="105"/>
          <w:sz w:val="19"/>
        </w:rPr>
        <w:t>capitalism</w:t>
      </w:r>
      <w:r>
        <w:rPr>
          <w:i/>
          <w:color w:val="231F20"/>
          <w:spacing w:val="-5"/>
          <w:w w:val="105"/>
          <w:sz w:val="19"/>
        </w:rPr>
        <w:t xml:space="preserve"> </w:t>
      </w:r>
      <w:r>
        <w:rPr>
          <w:i/>
          <w:color w:val="231F20"/>
          <w:w w:val="105"/>
          <w:sz w:val="19"/>
        </w:rPr>
        <w:t>deflected</w:t>
      </w:r>
      <w:r>
        <w:rPr>
          <w:i/>
          <w:color w:val="231F20"/>
          <w:spacing w:val="-5"/>
          <w:w w:val="105"/>
          <w:sz w:val="19"/>
        </w:rPr>
        <w:t xml:space="preserve"> </w:t>
      </w:r>
      <w:r>
        <w:rPr>
          <w:i/>
          <w:color w:val="231F20"/>
          <w:w w:val="105"/>
          <w:sz w:val="19"/>
        </w:rPr>
        <w:t>the</w:t>
      </w:r>
      <w:r>
        <w:rPr>
          <w:i/>
          <w:color w:val="231F20"/>
          <w:spacing w:val="-5"/>
          <w:w w:val="105"/>
          <w:sz w:val="19"/>
        </w:rPr>
        <w:t xml:space="preserve"> </w:t>
      </w:r>
      <w:r>
        <w:rPr>
          <w:i/>
          <w:color w:val="231F20"/>
          <w:w w:val="105"/>
          <w:sz w:val="19"/>
        </w:rPr>
        <w:t>hate</w:t>
      </w:r>
      <w:r>
        <w:rPr>
          <w:i/>
          <w:color w:val="231F20"/>
          <w:spacing w:val="-5"/>
          <w:w w:val="105"/>
          <w:sz w:val="19"/>
        </w:rPr>
        <w:t xml:space="preserve"> </w:t>
      </w:r>
      <w:r>
        <w:rPr>
          <w:i/>
          <w:color w:val="231F20"/>
          <w:w w:val="105"/>
          <w:sz w:val="19"/>
        </w:rPr>
        <w:t>of</w:t>
      </w:r>
      <w:r>
        <w:rPr>
          <w:i/>
          <w:color w:val="231F20"/>
          <w:spacing w:val="-5"/>
          <w:w w:val="105"/>
          <w:sz w:val="19"/>
        </w:rPr>
        <w:t xml:space="preserve"> </w:t>
      </w:r>
      <w:r>
        <w:rPr>
          <w:i/>
          <w:color w:val="231F20"/>
          <w:w w:val="105"/>
          <w:sz w:val="19"/>
        </w:rPr>
        <w:t>the</w:t>
      </w:r>
      <w:r>
        <w:rPr>
          <w:i/>
          <w:color w:val="231F20"/>
          <w:spacing w:val="-5"/>
          <w:w w:val="105"/>
          <w:sz w:val="19"/>
        </w:rPr>
        <w:t xml:space="preserve"> </w:t>
      </w:r>
      <w:r>
        <w:rPr>
          <w:i/>
          <w:color w:val="231F20"/>
          <w:w w:val="105"/>
          <w:sz w:val="19"/>
        </w:rPr>
        <w:t>people</w:t>
      </w:r>
      <w:r>
        <w:rPr>
          <w:i/>
          <w:color w:val="231F20"/>
          <w:spacing w:val="-5"/>
          <w:w w:val="105"/>
          <w:sz w:val="19"/>
        </w:rPr>
        <w:t xml:space="preserve"> </w:t>
      </w:r>
      <w:r>
        <w:rPr>
          <w:i/>
          <w:color w:val="231F20"/>
          <w:w w:val="105"/>
          <w:sz w:val="19"/>
        </w:rPr>
        <w:t>for money and oppression from itself and transferred it to the Jews. Not having made this connection clear was the failure of the left and the</w:t>
      </w:r>
      <w:r>
        <w:rPr>
          <w:i/>
          <w:color w:val="231F20"/>
          <w:spacing w:val="15"/>
          <w:w w:val="105"/>
          <w:sz w:val="19"/>
        </w:rPr>
        <w:t xml:space="preserve"> </w:t>
      </w:r>
      <w:r>
        <w:rPr>
          <w:i/>
          <w:color w:val="231F20"/>
          <w:w w:val="105"/>
          <w:sz w:val="19"/>
        </w:rPr>
        <w:t>communists.</w:t>
      </w:r>
    </w:p>
    <w:p w14:paraId="73485519" w14:textId="77777777" w:rsidR="002653E8" w:rsidRDefault="003115E3">
      <w:pPr>
        <w:spacing w:before="60" w:line="276" w:lineRule="auto"/>
        <w:ind w:left="1748" w:right="1558" w:hanging="1"/>
        <w:jc w:val="both"/>
        <w:rPr>
          <w:i/>
          <w:sz w:val="19"/>
        </w:rPr>
      </w:pPr>
      <w:r>
        <w:rPr>
          <w:i/>
          <w:color w:val="231F20"/>
          <w:w w:val="105"/>
          <w:sz w:val="19"/>
        </w:rPr>
        <w:t xml:space="preserve">Germans were antisemitic, therefore they are today </w:t>
      </w:r>
      <w:r w:rsidR="00C507A5">
        <w:rPr>
          <w:i/>
          <w:color w:val="231F20"/>
          <w:w w:val="105"/>
          <w:sz w:val="19"/>
        </w:rPr>
        <w:t>red army faction</w:t>
      </w:r>
      <w:r>
        <w:rPr>
          <w:i/>
          <w:color w:val="231F20"/>
          <w:w w:val="105"/>
          <w:sz w:val="19"/>
        </w:rPr>
        <w:t xml:space="preserve"> supporters. Only they don’t know it, because they’ve forgotten that they must be absolved of fascism and murdering Jews, and that</w:t>
      </w:r>
      <w:r>
        <w:rPr>
          <w:i/>
          <w:color w:val="231F20"/>
          <w:spacing w:val="-4"/>
          <w:w w:val="105"/>
          <w:sz w:val="19"/>
        </w:rPr>
        <w:t xml:space="preserve"> </w:t>
      </w:r>
      <w:r>
        <w:rPr>
          <w:i/>
          <w:color w:val="231F20"/>
          <w:w w:val="105"/>
          <w:sz w:val="19"/>
        </w:rPr>
        <w:t>antisemitism</w:t>
      </w:r>
      <w:r>
        <w:rPr>
          <w:i/>
          <w:color w:val="231F20"/>
          <w:spacing w:val="-4"/>
          <w:w w:val="105"/>
          <w:sz w:val="19"/>
        </w:rPr>
        <w:t xml:space="preserve"> </w:t>
      </w:r>
      <w:r>
        <w:rPr>
          <w:i/>
          <w:color w:val="231F20"/>
          <w:w w:val="105"/>
          <w:sz w:val="19"/>
        </w:rPr>
        <w:t>is</w:t>
      </w:r>
      <w:r>
        <w:rPr>
          <w:i/>
          <w:color w:val="231F20"/>
          <w:spacing w:val="-4"/>
          <w:w w:val="105"/>
          <w:sz w:val="19"/>
        </w:rPr>
        <w:t xml:space="preserve"> </w:t>
      </w:r>
      <w:r>
        <w:rPr>
          <w:i/>
          <w:color w:val="231F20"/>
          <w:w w:val="105"/>
          <w:sz w:val="19"/>
        </w:rPr>
        <w:t>in</w:t>
      </w:r>
      <w:r>
        <w:rPr>
          <w:i/>
          <w:color w:val="231F20"/>
          <w:spacing w:val="-4"/>
          <w:w w:val="105"/>
          <w:sz w:val="19"/>
        </w:rPr>
        <w:t xml:space="preserve"> </w:t>
      </w:r>
      <w:r>
        <w:rPr>
          <w:i/>
          <w:color w:val="231F20"/>
          <w:w w:val="105"/>
          <w:sz w:val="19"/>
        </w:rPr>
        <w:t>reality</w:t>
      </w:r>
      <w:r>
        <w:rPr>
          <w:i/>
          <w:color w:val="231F20"/>
          <w:spacing w:val="-4"/>
          <w:w w:val="105"/>
          <w:sz w:val="19"/>
        </w:rPr>
        <w:t xml:space="preserve"> </w:t>
      </w:r>
      <w:r>
        <w:rPr>
          <w:i/>
          <w:color w:val="231F20"/>
          <w:w w:val="105"/>
          <w:sz w:val="19"/>
        </w:rPr>
        <w:t>hatred</w:t>
      </w:r>
      <w:r>
        <w:rPr>
          <w:i/>
          <w:color w:val="231F20"/>
          <w:spacing w:val="-4"/>
          <w:w w:val="105"/>
          <w:sz w:val="19"/>
        </w:rPr>
        <w:t xml:space="preserve"> </w:t>
      </w:r>
      <w:r>
        <w:rPr>
          <w:i/>
          <w:color w:val="231F20"/>
          <w:w w:val="105"/>
          <w:sz w:val="19"/>
        </w:rPr>
        <w:t>of</w:t>
      </w:r>
      <w:r>
        <w:rPr>
          <w:i/>
          <w:color w:val="231F20"/>
          <w:spacing w:val="-4"/>
          <w:w w:val="105"/>
          <w:sz w:val="19"/>
        </w:rPr>
        <w:t xml:space="preserve"> </w:t>
      </w:r>
      <w:r>
        <w:rPr>
          <w:i/>
          <w:color w:val="231F20"/>
          <w:w w:val="105"/>
          <w:sz w:val="19"/>
        </w:rPr>
        <w:t>capitalism.</w:t>
      </w:r>
      <w:r>
        <w:rPr>
          <w:i/>
          <w:color w:val="231F20"/>
          <w:spacing w:val="-9"/>
          <w:w w:val="105"/>
          <w:sz w:val="19"/>
        </w:rPr>
        <w:t xml:space="preserve"> </w:t>
      </w:r>
      <w:r>
        <w:rPr>
          <w:i/>
          <w:color w:val="231F20"/>
          <w:w w:val="105"/>
          <w:sz w:val="19"/>
        </w:rPr>
        <w:t>In</w:t>
      </w:r>
      <w:r>
        <w:rPr>
          <w:i/>
          <w:color w:val="231F20"/>
          <w:spacing w:val="-4"/>
          <w:w w:val="105"/>
          <w:sz w:val="19"/>
        </w:rPr>
        <w:t xml:space="preserve"> </w:t>
      </w:r>
      <w:r>
        <w:rPr>
          <w:i/>
          <w:color w:val="231F20"/>
          <w:w w:val="105"/>
          <w:sz w:val="19"/>
        </w:rPr>
        <w:t>this</w:t>
      </w:r>
      <w:r>
        <w:rPr>
          <w:i/>
          <w:color w:val="231F20"/>
          <w:spacing w:val="-4"/>
          <w:w w:val="105"/>
          <w:sz w:val="19"/>
        </w:rPr>
        <w:t xml:space="preserve"> </w:t>
      </w:r>
      <w:r>
        <w:rPr>
          <w:i/>
          <w:color w:val="231F20"/>
          <w:w w:val="105"/>
          <w:sz w:val="19"/>
        </w:rPr>
        <w:t>regard Ulrike Meinhof ably constructed a remarkable statement about the</w:t>
      </w:r>
      <w:r>
        <w:rPr>
          <w:i/>
          <w:color w:val="231F20"/>
          <w:spacing w:val="-10"/>
          <w:w w:val="105"/>
          <w:sz w:val="19"/>
        </w:rPr>
        <w:t xml:space="preserve"> </w:t>
      </w:r>
      <w:r>
        <w:rPr>
          <w:i/>
          <w:color w:val="231F20"/>
          <w:w w:val="105"/>
          <w:sz w:val="19"/>
        </w:rPr>
        <w:t>failure</w:t>
      </w:r>
      <w:r>
        <w:rPr>
          <w:i/>
          <w:color w:val="231F20"/>
          <w:spacing w:val="-10"/>
          <w:w w:val="105"/>
          <w:sz w:val="19"/>
        </w:rPr>
        <w:t xml:space="preserve"> </w:t>
      </w:r>
      <w:r>
        <w:rPr>
          <w:i/>
          <w:color w:val="231F20"/>
          <w:w w:val="105"/>
          <w:sz w:val="19"/>
        </w:rPr>
        <w:t>of</w:t>
      </w:r>
      <w:r>
        <w:rPr>
          <w:i/>
          <w:color w:val="231F20"/>
          <w:spacing w:val="-10"/>
          <w:w w:val="105"/>
          <w:sz w:val="19"/>
        </w:rPr>
        <w:t xml:space="preserve"> </w:t>
      </w:r>
      <w:r>
        <w:rPr>
          <w:i/>
          <w:color w:val="231F20"/>
          <w:w w:val="105"/>
          <w:sz w:val="19"/>
        </w:rPr>
        <w:t>the</w:t>
      </w:r>
      <w:r>
        <w:rPr>
          <w:i/>
          <w:color w:val="231F20"/>
          <w:spacing w:val="-10"/>
          <w:w w:val="105"/>
          <w:sz w:val="19"/>
        </w:rPr>
        <w:t xml:space="preserve"> </w:t>
      </w:r>
      <w:r>
        <w:rPr>
          <w:i/>
          <w:color w:val="231F20"/>
          <w:w w:val="105"/>
          <w:sz w:val="19"/>
        </w:rPr>
        <w:t>Baader-Meinhof</w:t>
      </w:r>
      <w:r>
        <w:rPr>
          <w:i/>
          <w:color w:val="231F20"/>
          <w:spacing w:val="-10"/>
          <w:w w:val="105"/>
          <w:sz w:val="19"/>
        </w:rPr>
        <w:t xml:space="preserve"> </w:t>
      </w:r>
      <w:r>
        <w:rPr>
          <w:i/>
          <w:color w:val="231F20"/>
          <w:w w:val="105"/>
          <w:sz w:val="19"/>
        </w:rPr>
        <w:t>Group.</w:t>
      </w:r>
      <w:r>
        <w:rPr>
          <w:i/>
          <w:color w:val="231F20"/>
          <w:spacing w:val="-23"/>
          <w:w w:val="105"/>
          <w:sz w:val="19"/>
        </w:rPr>
        <w:t xml:space="preserve"> </w:t>
      </w:r>
      <w:r>
        <w:rPr>
          <w:i/>
          <w:color w:val="231F20"/>
          <w:w w:val="105"/>
          <w:sz w:val="19"/>
        </w:rPr>
        <w:t>With</w:t>
      </w:r>
      <w:r>
        <w:rPr>
          <w:i/>
          <w:color w:val="231F20"/>
          <w:spacing w:val="-10"/>
          <w:w w:val="105"/>
          <w:sz w:val="19"/>
        </w:rPr>
        <w:t xml:space="preserve"> </w:t>
      </w:r>
      <w:r>
        <w:rPr>
          <w:i/>
          <w:color w:val="231F20"/>
          <w:w w:val="105"/>
          <w:sz w:val="19"/>
        </w:rPr>
        <w:t>it,</w:t>
      </w:r>
      <w:r>
        <w:rPr>
          <w:i/>
          <w:color w:val="231F20"/>
          <w:spacing w:val="-17"/>
          <w:w w:val="105"/>
          <w:sz w:val="19"/>
        </w:rPr>
        <w:t xml:space="preserve"> </w:t>
      </w:r>
      <w:r>
        <w:rPr>
          <w:i/>
          <w:color w:val="231F20"/>
          <w:w w:val="105"/>
          <w:sz w:val="19"/>
        </w:rPr>
        <w:t>it</w:t>
      </w:r>
      <w:r>
        <w:rPr>
          <w:i/>
          <w:color w:val="231F20"/>
          <w:spacing w:val="-10"/>
          <w:w w:val="105"/>
          <w:sz w:val="19"/>
        </w:rPr>
        <w:t xml:space="preserve"> </w:t>
      </w:r>
      <w:r>
        <w:rPr>
          <w:i/>
          <w:color w:val="231F20"/>
          <w:w w:val="105"/>
          <w:sz w:val="19"/>
        </w:rPr>
        <w:t>is</w:t>
      </w:r>
      <w:r>
        <w:rPr>
          <w:i/>
          <w:color w:val="231F20"/>
          <w:spacing w:val="-10"/>
          <w:w w:val="105"/>
          <w:sz w:val="19"/>
        </w:rPr>
        <w:t xml:space="preserve"> </w:t>
      </w:r>
      <w:r>
        <w:rPr>
          <w:i/>
          <w:color w:val="231F20"/>
          <w:w w:val="105"/>
          <w:sz w:val="19"/>
        </w:rPr>
        <w:t>also</w:t>
      </w:r>
      <w:r>
        <w:rPr>
          <w:i/>
          <w:color w:val="231F20"/>
          <w:spacing w:val="-10"/>
          <w:w w:val="105"/>
          <w:sz w:val="19"/>
        </w:rPr>
        <w:t xml:space="preserve"> </w:t>
      </w:r>
      <w:r>
        <w:rPr>
          <w:i/>
          <w:color w:val="231F20"/>
          <w:w w:val="105"/>
          <w:sz w:val="19"/>
        </w:rPr>
        <w:t xml:space="preserve">possible to praise the Black September attack in Munich. She claimed to feel an “historical identity” with the Jews of the </w:t>
      </w:r>
      <w:r>
        <w:rPr>
          <w:i/>
          <w:color w:val="231F20"/>
          <w:spacing w:val="-3"/>
          <w:w w:val="105"/>
          <w:sz w:val="19"/>
        </w:rPr>
        <w:t xml:space="preserve">Warsaw </w:t>
      </w:r>
      <w:r>
        <w:rPr>
          <w:i/>
          <w:color w:val="231F20"/>
          <w:w w:val="105"/>
          <w:sz w:val="19"/>
        </w:rPr>
        <w:t>Ghetto, who attempted an unarmed uprising leading to their defeat.</w:t>
      </w:r>
      <w:r>
        <w:rPr>
          <w:i/>
          <w:color w:val="231F20"/>
          <w:spacing w:val="-21"/>
          <w:w w:val="105"/>
          <w:sz w:val="19"/>
        </w:rPr>
        <w:t xml:space="preserve"> </w:t>
      </w:r>
      <w:r>
        <w:rPr>
          <w:i/>
          <w:color w:val="231F20"/>
          <w:spacing w:val="-4"/>
          <w:w w:val="105"/>
          <w:sz w:val="19"/>
        </w:rPr>
        <w:t xml:space="preserve">“We </w:t>
      </w:r>
      <w:r>
        <w:rPr>
          <w:i/>
          <w:color w:val="231F20"/>
          <w:w w:val="105"/>
          <w:sz w:val="19"/>
        </w:rPr>
        <w:t xml:space="preserve">have broken through the entire blah blah. </w:t>
      </w:r>
      <w:r>
        <w:rPr>
          <w:i/>
          <w:color w:val="231F20"/>
          <w:spacing w:val="-6"/>
          <w:w w:val="105"/>
          <w:sz w:val="19"/>
        </w:rPr>
        <w:t xml:space="preserve">We </w:t>
      </w:r>
      <w:r>
        <w:rPr>
          <w:i/>
          <w:color w:val="231F20"/>
          <w:w w:val="105"/>
          <w:sz w:val="19"/>
        </w:rPr>
        <w:t>have provided the left with obvious encouragement, which they have voluntarily allowed to dissipate, because we’ve all been</w:t>
      </w:r>
      <w:r>
        <w:rPr>
          <w:i/>
          <w:color w:val="231F20"/>
          <w:spacing w:val="25"/>
          <w:w w:val="105"/>
          <w:sz w:val="19"/>
        </w:rPr>
        <w:t xml:space="preserve"> </w:t>
      </w:r>
      <w:r>
        <w:rPr>
          <w:i/>
          <w:color w:val="231F20"/>
          <w:spacing w:val="-3"/>
          <w:w w:val="105"/>
          <w:sz w:val="19"/>
        </w:rPr>
        <w:t>arrested.”</w:t>
      </w:r>
    </w:p>
    <w:p w14:paraId="38F5A036" w14:textId="77777777" w:rsidR="002653E8" w:rsidRDefault="002653E8">
      <w:pPr>
        <w:spacing w:line="276" w:lineRule="auto"/>
        <w:jc w:val="both"/>
        <w:rPr>
          <w:sz w:val="19"/>
        </w:rPr>
        <w:sectPr w:rsidR="002653E8">
          <w:pgSz w:w="8640" w:h="12960"/>
          <w:pgMar w:top="1040" w:right="0" w:bottom="1040" w:left="0" w:header="0" w:footer="850" w:gutter="0"/>
          <w:cols w:space="720"/>
        </w:sectPr>
      </w:pPr>
    </w:p>
    <w:p w14:paraId="42100279" w14:textId="77777777" w:rsidR="002653E8" w:rsidRDefault="002653E8">
      <w:pPr>
        <w:pStyle w:val="a3"/>
        <w:spacing w:before="4"/>
        <w:rPr>
          <w:i/>
          <w:sz w:val="11"/>
        </w:rPr>
      </w:pPr>
    </w:p>
    <w:p w14:paraId="7B3BA10A" w14:textId="77777777" w:rsidR="002653E8" w:rsidRDefault="003115E3">
      <w:pPr>
        <w:spacing w:before="99"/>
        <w:ind w:left="760" w:right="937"/>
        <w:jc w:val="center"/>
        <w:rPr>
          <w:sz w:val="24"/>
        </w:rPr>
      </w:pPr>
      <w:bookmarkStart w:id="267" w:name="Appendix_II:_The_European_Commission_of_"/>
      <w:bookmarkStart w:id="268" w:name="_bookmark85"/>
      <w:bookmarkEnd w:id="267"/>
      <w:bookmarkEnd w:id="268"/>
      <w:r>
        <w:rPr>
          <w:color w:val="231F20"/>
          <w:w w:val="110"/>
          <w:sz w:val="24"/>
        </w:rPr>
        <w:t>a p p e n di x i i</w:t>
      </w:r>
    </w:p>
    <w:p w14:paraId="399DE89B" w14:textId="77777777" w:rsidR="002653E8" w:rsidRDefault="002653E8">
      <w:pPr>
        <w:pStyle w:val="a3"/>
        <w:spacing w:before="10"/>
        <w:rPr>
          <w:sz w:val="28"/>
        </w:rPr>
      </w:pPr>
    </w:p>
    <w:p w14:paraId="79F15267" w14:textId="77777777" w:rsidR="002653E8" w:rsidRDefault="003115E3">
      <w:pPr>
        <w:spacing w:line="300" w:lineRule="auto"/>
        <w:ind w:left="2721" w:right="1145" w:hanging="1482"/>
        <w:rPr>
          <w:rFonts w:ascii="Lucida Sans"/>
          <w:b/>
          <w:sz w:val="30"/>
        </w:rPr>
      </w:pPr>
      <w:r>
        <w:rPr>
          <w:rFonts w:ascii="Lucida Sans"/>
          <w:b/>
          <w:color w:val="231F20"/>
          <w:w w:val="90"/>
          <w:sz w:val="30"/>
        </w:rPr>
        <w:t xml:space="preserve">the european commission of Human Rights </w:t>
      </w:r>
      <w:r>
        <w:rPr>
          <w:rFonts w:ascii="Lucida Sans"/>
          <w:b/>
          <w:color w:val="231F20"/>
          <w:sz w:val="30"/>
        </w:rPr>
        <w:t xml:space="preserve">and the </w:t>
      </w:r>
      <w:r w:rsidR="00C507A5">
        <w:rPr>
          <w:rFonts w:ascii="Lucida Sans"/>
          <w:b/>
          <w:color w:val="231F20"/>
          <w:sz w:val="30"/>
        </w:rPr>
        <w:t>red army faction</w:t>
      </w:r>
      <w:r>
        <w:rPr>
          <w:rFonts w:ascii="Lucida Sans"/>
          <w:b/>
          <w:color w:val="231F20"/>
          <w:sz w:val="30"/>
        </w:rPr>
        <w:t xml:space="preserve"> Prisoners</w:t>
      </w:r>
    </w:p>
    <w:p w14:paraId="39F3404A" w14:textId="77777777" w:rsidR="002653E8" w:rsidRDefault="002653E8">
      <w:pPr>
        <w:pStyle w:val="a3"/>
        <w:spacing w:before="8"/>
        <w:rPr>
          <w:rFonts w:ascii="Lucida Sans"/>
          <w:b/>
          <w:sz w:val="42"/>
        </w:rPr>
      </w:pPr>
    </w:p>
    <w:p w14:paraId="43F62EEC" w14:textId="77777777" w:rsidR="002653E8" w:rsidRDefault="003115E3">
      <w:pPr>
        <w:pStyle w:val="a3"/>
        <w:spacing w:line="264" w:lineRule="auto"/>
        <w:ind w:left="1147" w:right="1326"/>
        <w:jc w:val="both"/>
      </w:pPr>
      <w:r>
        <w:rPr>
          <w:color w:val="231F20"/>
        </w:rPr>
        <w:t>In its July 8, 1978 decision, the European Commission of Human Rights noted the following effects on the health of Gudrun Ensslin, Jan-Carl Raspe, and Andreas Baader as a result of their prolonged imprisonment under conditions of single or small-group isolation:</w:t>
      </w:r>
    </w:p>
    <w:p w14:paraId="5672FDFB" w14:textId="77777777" w:rsidR="002653E8" w:rsidRDefault="002653E8">
      <w:pPr>
        <w:pStyle w:val="a3"/>
        <w:rPr>
          <w:sz w:val="22"/>
        </w:rPr>
      </w:pPr>
    </w:p>
    <w:p w14:paraId="148675C1" w14:textId="77777777" w:rsidR="002653E8" w:rsidRDefault="003115E3">
      <w:pPr>
        <w:pStyle w:val="a4"/>
        <w:numPr>
          <w:ilvl w:val="0"/>
          <w:numId w:val="39"/>
        </w:numPr>
        <w:tabs>
          <w:tab w:val="left" w:pos="1867"/>
          <w:tab w:val="left" w:pos="1868"/>
        </w:tabs>
        <w:spacing w:before="131"/>
        <w:ind w:hanging="667"/>
        <w:jc w:val="left"/>
        <w:rPr>
          <w:i/>
          <w:sz w:val="19"/>
        </w:rPr>
      </w:pPr>
      <w:r>
        <w:rPr>
          <w:i/>
          <w:color w:val="231F20"/>
          <w:sz w:val="19"/>
        </w:rPr>
        <w:t>State of</w:t>
      </w:r>
      <w:r>
        <w:rPr>
          <w:i/>
          <w:color w:val="231F20"/>
          <w:spacing w:val="20"/>
          <w:sz w:val="19"/>
        </w:rPr>
        <w:t xml:space="preserve"> </w:t>
      </w:r>
      <w:r>
        <w:rPr>
          <w:i/>
          <w:color w:val="231F20"/>
          <w:sz w:val="19"/>
        </w:rPr>
        <w:t>health</w:t>
      </w:r>
    </w:p>
    <w:p w14:paraId="0560325A" w14:textId="77777777" w:rsidR="002653E8" w:rsidRDefault="003115E3">
      <w:pPr>
        <w:spacing w:before="164"/>
        <w:ind w:left="2587"/>
        <w:rPr>
          <w:i/>
          <w:sz w:val="19"/>
        </w:rPr>
      </w:pPr>
      <w:r>
        <w:rPr>
          <w:i/>
          <w:color w:val="231F20"/>
          <w:sz w:val="19"/>
        </w:rPr>
        <w:t xml:space="preserve">In September </w:t>
      </w:r>
      <w:r>
        <w:rPr>
          <w:rFonts w:ascii="Bookman Old Style"/>
          <w:i/>
          <w:color w:val="231F20"/>
          <w:sz w:val="19"/>
        </w:rPr>
        <w:t>1975</w:t>
      </w:r>
      <w:r>
        <w:rPr>
          <w:i/>
          <w:color w:val="231F20"/>
          <w:sz w:val="19"/>
        </w:rPr>
        <w:t>:</w:t>
      </w:r>
    </w:p>
    <w:p w14:paraId="567853E0" w14:textId="77777777" w:rsidR="002653E8" w:rsidRDefault="003115E3">
      <w:pPr>
        <w:pStyle w:val="a4"/>
        <w:numPr>
          <w:ilvl w:val="0"/>
          <w:numId w:val="38"/>
        </w:numPr>
        <w:tabs>
          <w:tab w:val="left" w:pos="1859"/>
        </w:tabs>
        <w:spacing w:before="33" w:line="276" w:lineRule="auto"/>
        <w:ind w:right="1745" w:firstLine="0"/>
        <w:jc w:val="both"/>
        <w:rPr>
          <w:i/>
          <w:sz w:val="19"/>
        </w:rPr>
      </w:pPr>
      <w:r>
        <w:rPr>
          <w:i/>
          <w:color w:val="231F20"/>
          <w:w w:val="105"/>
          <w:sz w:val="19"/>
        </w:rPr>
        <w:t>The</w:t>
      </w:r>
      <w:r>
        <w:rPr>
          <w:i/>
          <w:color w:val="231F20"/>
          <w:spacing w:val="-19"/>
          <w:w w:val="105"/>
          <w:sz w:val="19"/>
        </w:rPr>
        <w:t xml:space="preserve"> </w:t>
      </w:r>
      <w:r>
        <w:rPr>
          <w:i/>
          <w:color w:val="231F20"/>
          <w:w w:val="105"/>
          <w:sz w:val="19"/>
        </w:rPr>
        <w:t>applicants</w:t>
      </w:r>
      <w:r>
        <w:rPr>
          <w:i/>
          <w:color w:val="231F20"/>
          <w:spacing w:val="-19"/>
          <w:w w:val="105"/>
          <w:sz w:val="19"/>
        </w:rPr>
        <w:t xml:space="preserve"> </w:t>
      </w:r>
      <w:r>
        <w:rPr>
          <w:i/>
          <w:color w:val="231F20"/>
          <w:w w:val="105"/>
          <w:sz w:val="19"/>
        </w:rPr>
        <w:t>are</w:t>
      </w:r>
      <w:r>
        <w:rPr>
          <w:i/>
          <w:color w:val="231F20"/>
          <w:spacing w:val="-19"/>
          <w:w w:val="105"/>
          <w:sz w:val="19"/>
        </w:rPr>
        <w:t xml:space="preserve"> </w:t>
      </w:r>
      <w:r>
        <w:rPr>
          <w:i/>
          <w:color w:val="231F20"/>
          <w:w w:val="105"/>
          <w:sz w:val="19"/>
        </w:rPr>
        <w:t>in</w:t>
      </w:r>
      <w:r>
        <w:rPr>
          <w:i/>
          <w:color w:val="231F20"/>
          <w:spacing w:val="-19"/>
          <w:w w:val="105"/>
          <w:sz w:val="19"/>
        </w:rPr>
        <w:t xml:space="preserve"> </w:t>
      </w:r>
      <w:r>
        <w:rPr>
          <w:i/>
          <w:color w:val="231F20"/>
          <w:w w:val="105"/>
          <w:sz w:val="19"/>
        </w:rPr>
        <w:t>a</w:t>
      </w:r>
      <w:r>
        <w:rPr>
          <w:i/>
          <w:color w:val="231F20"/>
          <w:spacing w:val="-19"/>
          <w:w w:val="105"/>
          <w:sz w:val="19"/>
        </w:rPr>
        <w:t xml:space="preserve"> </w:t>
      </w:r>
      <w:r>
        <w:rPr>
          <w:i/>
          <w:color w:val="231F20"/>
          <w:w w:val="105"/>
          <w:sz w:val="19"/>
        </w:rPr>
        <w:t>state</w:t>
      </w:r>
      <w:r>
        <w:rPr>
          <w:i/>
          <w:color w:val="231F20"/>
          <w:spacing w:val="-19"/>
          <w:w w:val="105"/>
          <w:sz w:val="19"/>
        </w:rPr>
        <w:t xml:space="preserve"> </w:t>
      </w:r>
      <w:r>
        <w:rPr>
          <w:i/>
          <w:color w:val="231F20"/>
          <w:w w:val="105"/>
          <w:sz w:val="19"/>
        </w:rPr>
        <w:t>of</w:t>
      </w:r>
      <w:r>
        <w:rPr>
          <w:i/>
          <w:color w:val="231F20"/>
          <w:spacing w:val="-19"/>
          <w:w w:val="105"/>
          <w:sz w:val="19"/>
        </w:rPr>
        <w:t xml:space="preserve"> </w:t>
      </w:r>
      <w:r>
        <w:rPr>
          <w:i/>
          <w:color w:val="231F20"/>
          <w:w w:val="105"/>
          <w:sz w:val="19"/>
        </w:rPr>
        <w:t>physical</w:t>
      </w:r>
      <w:r>
        <w:rPr>
          <w:i/>
          <w:color w:val="231F20"/>
          <w:spacing w:val="-19"/>
          <w:w w:val="105"/>
          <w:sz w:val="19"/>
        </w:rPr>
        <w:t xml:space="preserve"> </w:t>
      </w:r>
      <w:r>
        <w:rPr>
          <w:i/>
          <w:color w:val="231F20"/>
          <w:w w:val="105"/>
          <w:sz w:val="19"/>
        </w:rPr>
        <w:t>and</w:t>
      </w:r>
      <w:r>
        <w:rPr>
          <w:i/>
          <w:color w:val="231F20"/>
          <w:spacing w:val="-19"/>
          <w:w w:val="105"/>
          <w:sz w:val="19"/>
        </w:rPr>
        <w:t xml:space="preserve"> </w:t>
      </w:r>
      <w:r>
        <w:rPr>
          <w:i/>
          <w:color w:val="231F20"/>
          <w:w w:val="105"/>
          <w:sz w:val="19"/>
        </w:rPr>
        <w:t>mental</w:t>
      </w:r>
      <w:r>
        <w:rPr>
          <w:i/>
          <w:color w:val="231F20"/>
          <w:spacing w:val="-19"/>
          <w:w w:val="105"/>
          <w:sz w:val="19"/>
        </w:rPr>
        <w:t xml:space="preserve"> </w:t>
      </w:r>
      <w:r>
        <w:rPr>
          <w:i/>
          <w:color w:val="231F20"/>
          <w:w w:val="105"/>
          <w:sz w:val="19"/>
        </w:rPr>
        <w:t xml:space="preserve">exhaustion </w:t>
      </w:r>
      <w:r>
        <w:rPr>
          <w:i/>
          <w:color w:val="231F20"/>
          <w:spacing w:val="-6"/>
          <w:w w:val="105"/>
          <w:sz w:val="19"/>
        </w:rPr>
        <w:t xml:space="preserve">(Dr. </w:t>
      </w:r>
      <w:r>
        <w:rPr>
          <w:i/>
          <w:color w:val="231F20"/>
          <w:w w:val="105"/>
          <w:sz w:val="19"/>
        </w:rPr>
        <w:t xml:space="preserve">Mende). Their blood pressure is </w:t>
      </w:r>
      <w:r>
        <w:rPr>
          <w:i/>
          <w:color w:val="231F20"/>
          <w:spacing w:val="-5"/>
          <w:w w:val="105"/>
          <w:sz w:val="19"/>
        </w:rPr>
        <w:t xml:space="preserve">low. </w:t>
      </w:r>
      <w:r>
        <w:rPr>
          <w:i/>
          <w:color w:val="231F20"/>
          <w:w w:val="105"/>
          <w:sz w:val="19"/>
        </w:rPr>
        <w:t xml:space="preserve">Their weight is about </w:t>
      </w:r>
      <w:r>
        <w:rPr>
          <w:rFonts w:ascii="Bookman Old Style" w:hAnsi="Bookman Old Style"/>
          <w:i/>
          <w:color w:val="231F20"/>
          <w:w w:val="105"/>
          <w:sz w:val="19"/>
        </w:rPr>
        <w:t>70</w:t>
      </w:r>
      <w:r>
        <w:rPr>
          <w:i/>
          <w:color w:val="231F20"/>
          <w:w w:val="105"/>
          <w:sz w:val="19"/>
        </w:rPr>
        <w:t>% of that of a normally healthy person of the same age and build</w:t>
      </w:r>
      <w:r>
        <w:rPr>
          <w:i/>
          <w:color w:val="231F20"/>
          <w:spacing w:val="-15"/>
          <w:w w:val="105"/>
          <w:sz w:val="19"/>
        </w:rPr>
        <w:t xml:space="preserve"> </w:t>
      </w:r>
      <w:r>
        <w:rPr>
          <w:i/>
          <w:color w:val="231F20"/>
          <w:spacing w:val="-6"/>
          <w:w w:val="105"/>
          <w:sz w:val="19"/>
        </w:rPr>
        <w:t>(Dr.</w:t>
      </w:r>
      <w:r>
        <w:rPr>
          <w:i/>
          <w:color w:val="231F20"/>
          <w:spacing w:val="-22"/>
          <w:w w:val="105"/>
          <w:sz w:val="19"/>
        </w:rPr>
        <w:t xml:space="preserve"> </w:t>
      </w:r>
      <w:r>
        <w:rPr>
          <w:i/>
          <w:color w:val="231F20"/>
          <w:w w:val="105"/>
          <w:sz w:val="19"/>
        </w:rPr>
        <w:t>Müller).</w:t>
      </w:r>
      <w:r>
        <w:rPr>
          <w:i/>
          <w:color w:val="231F20"/>
          <w:spacing w:val="-29"/>
          <w:w w:val="105"/>
          <w:sz w:val="19"/>
        </w:rPr>
        <w:t xml:space="preserve"> </w:t>
      </w:r>
      <w:r>
        <w:rPr>
          <w:i/>
          <w:color w:val="231F20"/>
          <w:w w:val="105"/>
          <w:sz w:val="19"/>
        </w:rPr>
        <w:t>They</w:t>
      </w:r>
      <w:r>
        <w:rPr>
          <w:i/>
          <w:color w:val="231F20"/>
          <w:spacing w:val="-15"/>
          <w:w w:val="105"/>
          <w:sz w:val="19"/>
        </w:rPr>
        <w:t xml:space="preserve"> </w:t>
      </w:r>
      <w:r>
        <w:rPr>
          <w:i/>
          <w:color w:val="231F20"/>
          <w:w w:val="105"/>
          <w:sz w:val="19"/>
        </w:rPr>
        <w:t>present</w:t>
      </w:r>
      <w:r>
        <w:rPr>
          <w:i/>
          <w:color w:val="231F20"/>
          <w:spacing w:val="-15"/>
          <w:w w:val="105"/>
          <w:sz w:val="19"/>
        </w:rPr>
        <w:t xml:space="preserve"> </w:t>
      </w:r>
      <w:r>
        <w:rPr>
          <w:i/>
          <w:color w:val="231F20"/>
          <w:w w:val="105"/>
          <w:sz w:val="19"/>
        </w:rPr>
        <w:t>the</w:t>
      </w:r>
      <w:r>
        <w:rPr>
          <w:i/>
          <w:color w:val="231F20"/>
          <w:spacing w:val="-15"/>
          <w:w w:val="105"/>
          <w:sz w:val="19"/>
        </w:rPr>
        <w:t xml:space="preserve"> </w:t>
      </w:r>
      <w:r>
        <w:rPr>
          <w:i/>
          <w:color w:val="231F20"/>
          <w:w w:val="105"/>
          <w:sz w:val="19"/>
        </w:rPr>
        <w:t>following</w:t>
      </w:r>
      <w:r>
        <w:rPr>
          <w:i/>
          <w:color w:val="231F20"/>
          <w:spacing w:val="-15"/>
          <w:w w:val="105"/>
          <w:sz w:val="19"/>
        </w:rPr>
        <w:t xml:space="preserve"> </w:t>
      </w:r>
      <w:r>
        <w:rPr>
          <w:i/>
          <w:color w:val="231F20"/>
          <w:w w:val="105"/>
          <w:sz w:val="19"/>
        </w:rPr>
        <w:t>symptoms</w:t>
      </w:r>
      <w:r>
        <w:rPr>
          <w:i/>
          <w:color w:val="231F20"/>
          <w:spacing w:val="-15"/>
          <w:w w:val="105"/>
          <w:sz w:val="19"/>
        </w:rPr>
        <w:t xml:space="preserve"> </w:t>
      </w:r>
      <w:r>
        <w:rPr>
          <w:i/>
          <w:color w:val="231F20"/>
          <w:w w:val="105"/>
          <w:sz w:val="19"/>
        </w:rPr>
        <w:t>in</w:t>
      </w:r>
      <w:r>
        <w:rPr>
          <w:i/>
          <w:color w:val="231F20"/>
          <w:spacing w:val="-15"/>
          <w:w w:val="105"/>
          <w:sz w:val="19"/>
        </w:rPr>
        <w:t xml:space="preserve"> </w:t>
      </w:r>
      <w:r>
        <w:rPr>
          <w:i/>
          <w:color w:val="231F20"/>
          <w:w w:val="105"/>
          <w:sz w:val="19"/>
        </w:rPr>
        <w:t xml:space="preserve">varying degrees: problems of concentration, marked fatigue, difficulties of expression or articulation, reduced physical and mental performance, instability, diminished spontaneity and ability to make contacts, depression (especially noted by </w:t>
      </w:r>
      <w:r>
        <w:rPr>
          <w:i/>
          <w:color w:val="231F20"/>
          <w:spacing w:val="-8"/>
          <w:w w:val="105"/>
          <w:sz w:val="19"/>
        </w:rPr>
        <w:t>Dr.</w:t>
      </w:r>
      <w:r>
        <w:rPr>
          <w:i/>
          <w:color w:val="231F20"/>
          <w:spacing w:val="20"/>
          <w:w w:val="105"/>
          <w:sz w:val="19"/>
        </w:rPr>
        <w:t xml:space="preserve"> </w:t>
      </w:r>
      <w:r>
        <w:rPr>
          <w:i/>
          <w:color w:val="231F20"/>
          <w:w w:val="105"/>
          <w:sz w:val="19"/>
        </w:rPr>
        <w:t>Rasch).</w:t>
      </w:r>
    </w:p>
    <w:p w14:paraId="6136A685" w14:textId="77777777" w:rsidR="002653E8" w:rsidRDefault="002653E8">
      <w:pPr>
        <w:pStyle w:val="a3"/>
        <w:rPr>
          <w:i/>
          <w:sz w:val="22"/>
        </w:rPr>
      </w:pPr>
    </w:p>
    <w:p w14:paraId="089F169C" w14:textId="77777777" w:rsidR="002653E8" w:rsidRDefault="003115E3">
      <w:pPr>
        <w:ind w:left="2587"/>
        <w:rPr>
          <w:i/>
          <w:sz w:val="19"/>
        </w:rPr>
      </w:pPr>
      <w:r>
        <w:rPr>
          <w:i/>
          <w:color w:val="231F20"/>
          <w:sz w:val="19"/>
        </w:rPr>
        <w:t xml:space="preserve">In April </w:t>
      </w:r>
      <w:r>
        <w:rPr>
          <w:rFonts w:ascii="Bookman Old Style"/>
          <w:i/>
          <w:color w:val="231F20"/>
          <w:sz w:val="19"/>
        </w:rPr>
        <w:t>1977</w:t>
      </w:r>
      <w:r>
        <w:rPr>
          <w:i/>
          <w:color w:val="231F20"/>
          <w:sz w:val="19"/>
        </w:rPr>
        <w:t>:</w:t>
      </w:r>
    </w:p>
    <w:p w14:paraId="5A330D6D" w14:textId="77777777" w:rsidR="002653E8" w:rsidRDefault="003115E3">
      <w:pPr>
        <w:pStyle w:val="a4"/>
        <w:numPr>
          <w:ilvl w:val="0"/>
          <w:numId w:val="38"/>
        </w:numPr>
        <w:tabs>
          <w:tab w:val="left" w:pos="1933"/>
        </w:tabs>
        <w:spacing w:before="32" w:line="276" w:lineRule="auto"/>
        <w:ind w:right="1738" w:firstLine="0"/>
        <w:jc w:val="both"/>
        <w:rPr>
          <w:i/>
          <w:sz w:val="19"/>
        </w:rPr>
      </w:pPr>
      <w:r>
        <w:rPr>
          <w:i/>
          <w:color w:val="231F20"/>
          <w:w w:val="105"/>
          <w:sz w:val="19"/>
        </w:rPr>
        <w:t xml:space="preserve">The decline in both physical and mental health is very pronounced  in  Ensslin  (concurring  opinion   by   </w:t>
      </w:r>
      <w:r>
        <w:rPr>
          <w:i/>
          <w:color w:val="231F20"/>
          <w:spacing w:val="-8"/>
          <w:w w:val="105"/>
          <w:sz w:val="19"/>
        </w:rPr>
        <w:t xml:space="preserve">Dr. </w:t>
      </w:r>
      <w:r>
        <w:rPr>
          <w:i/>
          <w:color w:val="231F20"/>
          <w:spacing w:val="26"/>
          <w:w w:val="105"/>
          <w:sz w:val="19"/>
        </w:rPr>
        <w:t xml:space="preserve"> </w:t>
      </w:r>
      <w:r>
        <w:rPr>
          <w:i/>
          <w:color w:val="231F20"/>
          <w:w w:val="105"/>
          <w:sz w:val="19"/>
        </w:rPr>
        <w:t xml:space="preserve">Rasch,  </w:t>
      </w:r>
      <w:r>
        <w:rPr>
          <w:i/>
          <w:color w:val="231F20"/>
          <w:spacing w:val="-8"/>
          <w:w w:val="105"/>
          <w:sz w:val="19"/>
        </w:rPr>
        <w:t>Dr.</w:t>
      </w:r>
      <w:r>
        <w:rPr>
          <w:i/>
          <w:color w:val="231F20"/>
          <w:spacing w:val="26"/>
          <w:w w:val="105"/>
          <w:sz w:val="19"/>
        </w:rPr>
        <w:t xml:space="preserve"> </w:t>
      </w:r>
      <w:r>
        <w:rPr>
          <w:i/>
          <w:color w:val="231F20"/>
          <w:spacing w:val="-4"/>
          <w:w w:val="105"/>
          <w:sz w:val="19"/>
        </w:rPr>
        <w:t xml:space="preserve">Müller, </w:t>
      </w:r>
      <w:r>
        <w:rPr>
          <w:i/>
          <w:color w:val="231F20"/>
          <w:w w:val="105"/>
          <w:sz w:val="19"/>
        </w:rPr>
        <w:t xml:space="preserve">and </w:t>
      </w:r>
      <w:r>
        <w:rPr>
          <w:i/>
          <w:color w:val="231F20"/>
          <w:spacing w:val="-8"/>
          <w:w w:val="105"/>
          <w:sz w:val="19"/>
        </w:rPr>
        <w:t>Dr.</w:t>
      </w:r>
      <w:r>
        <w:rPr>
          <w:i/>
          <w:color w:val="231F20"/>
          <w:spacing w:val="26"/>
          <w:w w:val="105"/>
          <w:sz w:val="19"/>
        </w:rPr>
        <w:t xml:space="preserve"> </w:t>
      </w:r>
      <w:r>
        <w:rPr>
          <w:i/>
          <w:color w:val="231F20"/>
          <w:w w:val="105"/>
          <w:sz w:val="19"/>
        </w:rPr>
        <w:t>Schröder): loss of weight, very low blood pressure, premature aging, severe difficulties of expression and lack of concentration, motor disturbances. The deterioration in the condition of Baader and Raspe is perceptible, though less spectacular: decrease in activity and spontaneity, emotional regression,</w:t>
      </w:r>
      <w:r>
        <w:rPr>
          <w:i/>
          <w:color w:val="231F20"/>
          <w:spacing w:val="-17"/>
          <w:w w:val="105"/>
          <w:sz w:val="19"/>
        </w:rPr>
        <w:t xml:space="preserve"> </w:t>
      </w:r>
      <w:r>
        <w:rPr>
          <w:i/>
          <w:color w:val="231F20"/>
          <w:w w:val="105"/>
          <w:sz w:val="19"/>
        </w:rPr>
        <w:t>problems</w:t>
      </w:r>
      <w:r>
        <w:rPr>
          <w:i/>
          <w:color w:val="231F20"/>
          <w:spacing w:val="-13"/>
          <w:w w:val="105"/>
          <w:sz w:val="19"/>
        </w:rPr>
        <w:t xml:space="preserve"> </w:t>
      </w:r>
      <w:r>
        <w:rPr>
          <w:i/>
          <w:color w:val="231F20"/>
          <w:w w:val="105"/>
          <w:sz w:val="19"/>
        </w:rPr>
        <w:t>of</w:t>
      </w:r>
      <w:r>
        <w:rPr>
          <w:i/>
          <w:color w:val="231F20"/>
          <w:spacing w:val="-13"/>
          <w:w w:val="105"/>
          <w:sz w:val="19"/>
        </w:rPr>
        <w:t xml:space="preserve"> </w:t>
      </w:r>
      <w:r>
        <w:rPr>
          <w:i/>
          <w:color w:val="231F20"/>
          <w:w w:val="105"/>
          <w:sz w:val="19"/>
        </w:rPr>
        <w:t>articulation,</w:t>
      </w:r>
      <w:r>
        <w:rPr>
          <w:i/>
          <w:color w:val="231F20"/>
          <w:spacing w:val="-17"/>
          <w:w w:val="105"/>
          <w:sz w:val="19"/>
        </w:rPr>
        <w:t xml:space="preserve"> </w:t>
      </w:r>
      <w:r>
        <w:rPr>
          <w:i/>
          <w:color w:val="231F20"/>
          <w:w w:val="105"/>
          <w:sz w:val="19"/>
        </w:rPr>
        <w:t>hesitancy</w:t>
      </w:r>
      <w:r>
        <w:rPr>
          <w:i/>
          <w:color w:val="231F20"/>
          <w:spacing w:val="-13"/>
          <w:w w:val="105"/>
          <w:sz w:val="19"/>
        </w:rPr>
        <w:t xml:space="preserve"> </w:t>
      </w:r>
      <w:r>
        <w:rPr>
          <w:i/>
          <w:color w:val="231F20"/>
          <w:w w:val="105"/>
          <w:sz w:val="19"/>
        </w:rPr>
        <w:t>in</w:t>
      </w:r>
      <w:r>
        <w:rPr>
          <w:i/>
          <w:color w:val="231F20"/>
          <w:spacing w:val="-13"/>
          <w:w w:val="105"/>
          <w:sz w:val="19"/>
        </w:rPr>
        <w:t xml:space="preserve"> </w:t>
      </w:r>
      <w:r>
        <w:rPr>
          <w:i/>
          <w:color w:val="231F20"/>
          <w:w w:val="105"/>
          <w:sz w:val="19"/>
        </w:rPr>
        <w:t>speech.</w:t>
      </w:r>
      <w:r>
        <w:rPr>
          <w:i/>
          <w:color w:val="231F20"/>
          <w:spacing w:val="-22"/>
          <w:w w:val="105"/>
          <w:sz w:val="19"/>
        </w:rPr>
        <w:t xml:space="preserve"> </w:t>
      </w:r>
      <w:r>
        <w:rPr>
          <w:i/>
          <w:color w:val="231F20"/>
          <w:w w:val="105"/>
          <w:sz w:val="19"/>
        </w:rPr>
        <w:t>They</w:t>
      </w:r>
      <w:r>
        <w:rPr>
          <w:i/>
          <w:color w:val="231F20"/>
          <w:spacing w:val="-13"/>
          <w:w w:val="105"/>
          <w:sz w:val="19"/>
        </w:rPr>
        <w:t xml:space="preserve"> </w:t>
      </w:r>
      <w:r>
        <w:rPr>
          <w:i/>
          <w:color w:val="231F20"/>
          <w:w w:val="105"/>
          <w:sz w:val="19"/>
        </w:rPr>
        <w:t>are nevertheless fit for</w:t>
      </w:r>
      <w:r>
        <w:rPr>
          <w:i/>
          <w:color w:val="231F20"/>
          <w:spacing w:val="20"/>
          <w:w w:val="105"/>
          <w:sz w:val="19"/>
        </w:rPr>
        <w:t xml:space="preserve"> </w:t>
      </w:r>
      <w:r>
        <w:rPr>
          <w:i/>
          <w:color w:val="231F20"/>
          <w:w w:val="105"/>
          <w:sz w:val="19"/>
        </w:rPr>
        <w:t>detention.</w:t>
      </w:r>
    </w:p>
    <w:p w14:paraId="7396F59F" w14:textId="77777777" w:rsidR="002653E8" w:rsidRDefault="002653E8">
      <w:pPr>
        <w:spacing w:line="276" w:lineRule="auto"/>
        <w:jc w:val="both"/>
        <w:rPr>
          <w:sz w:val="19"/>
        </w:rPr>
        <w:sectPr w:rsidR="002653E8">
          <w:pgSz w:w="8640" w:h="12960"/>
          <w:pgMar w:top="1220" w:right="0" w:bottom="1040" w:left="0" w:header="0" w:footer="850" w:gutter="0"/>
          <w:cols w:space="720"/>
        </w:sectPr>
      </w:pPr>
    </w:p>
    <w:p w14:paraId="0159CB9A" w14:textId="77777777" w:rsidR="002653E8" w:rsidRDefault="003115E3">
      <w:pPr>
        <w:pStyle w:val="a4"/>
        <w:numPr>
          <w:ilvl w:val="0"/>
          <w:numId w:val="39"/>
        </w:numPr>
        <w:tabs>
          <w:tab w:val="left" w:pos="2093"/>
          <w:tab w:val="left" w:pos="2094"/>
        </w:tabs>
        <w:spacing w:before="83"/>
        <w:ind w:left="2093" w:hanging="766"/>
        <w:jc w:val="left"/>
        <w:rPr>
          <w:i/>
          <w:sz w:val="19"/>
        </w:rPr>
      </w:pPr>
      <w:r>
        <w:rPr>
          <w:i/>
          <w:color w:val="231F20"/>
          <w:w w:val="105"/>
          <w:sz w:val="19"/>
        </w:rPr>
        <w:lastRenderedPageBreak/>
        <w:t>The</w:t>
      </w:r>
      <w:r>
        <w:rPr>
          <w:i/>
          <w:color w:val="231F20"/>
          <w:spacing w:val="7"/>
          <w:w w:val="105"/>
          <w:sz w:val="19"/>
        </w:rPr>
        <w:t xml:space="preserve"> </w:t>
      </w:r>
      <w:r>
        <w:rPr>
          <w:i/>
          <w:color w:val="231F20"/>
          <w:w w:val="105"/>
          <w:sz w:val="19"/>
        </w:rPr>
        <w:t>Causes</w:t>
      </w:r>
    </w:p>
    <w:p w14:paraId="6CE489B7" w14:textId="77777777" w:rsidR="002653E8" w:rsidRDefault="003115E3">
      <w:pPr>
        <w:pStyle w:val="a4"/>
        <w:numPr>
          <w:ilvl w:val="0"/>
          <w:numId w:val="38"/>
        </w:numPr>
        <w:tabs>
          <w:tab w:val="left" w:pos="2062"/>
        </w:tabs>
        <w:spacing w:before="164" w:line="276" w:lineRule="auto"/>
        <w:ind w:left="1747" w:right="1565" w:firstLine="0"/>
        <w:jc w:val="both"/>
        <w:rPr>
          <w:i/>
          <w:sz w:val="19"/>
        </w:rPr>
      </w:pPr>
      <w:r>
        <w:rPr>
          <w:i/>
          <w:color w:val="231F20"/>
          <w:sz w:val="19"/>
        </w:rPr>
        <w:t>The experts ascribe the applicants’ state of health to a series    of factors and circumstances: the particular conditions of their imprisonment, the length of the detention on remand, hunger strikes, tension generated by the trial and the applicants’ wish to defend themselves, etc.. The importance attached to these different factors</w:t>
      </w:r>
      <w:r>
        <w:rPr>
          <w:i/>
          <w:color w:val="231F20"/>
          <w:spacing w:val="10"/>
          <w:sz w:val="19"/>
        </w:rPr>
        <w:t xml:space="preserve"> </w:t>
      </w:r>
      <w:r>
        <w:rPr>
          <w:i/>
          <w:color w:val="231F20"/>
          <w:sz w:val="19"/>
        </w:rPr>
        <w:t>varies</w:t>
      </w:r>
      <w:r>
        <w:rPr>
          <w:i/>
          <w:color w:val="231F20"/>
          <w:spacing w:val="10"/>
          <w:sz w:val="19"/>
        </w:rPr>
        <w:t xml:space="preserve"> </w:t>
      </w:r>
      <w:r>
        <w:rPr>
          <w:i/>
          <w:color w:val="231F20"/>
          <w:sz w:val="19"/>
        </w:rPr>
        <w:t>from</w:t>
      </w:r>
      <w:r>
        <w:rPr>
          <w:i/>
          <w:color w:val="231F20"/>
          <w:spacing w:val="10"/>
          <w:sz w:val="19"/>
        </w:rPr>
        <w:t xml:space="preserve"> </w:t>
      </w:r>
      <w:r>
        <w:rPr>
          <w:i/>
          <w:color w:val="231F20"/>
          <w:sz w:val="19"/>
        </w:rPr>
        <w:t>one</w:t>
      </w:r>
      <w:r>
        <w:rPr>
          <w:i/>
          <w:color w:val="231F20"/>
          <w:spacing w:val="10"/>
          <w:sz w:val="19"/>
        </w:rPr>
        <w:t xml:space="preserve"> </w:t>
      </w:r>
      <w:r>
        <w:rPr>
          <w:i/>
          <w:color w:val="231F20"/>
          <w:sz w:val="19"/>
        </w:rPr>
        <w:t>report</w:t>
      </w:r>
      <w:r>
        <w:rPr>
          <w:i/>
          <w:color w:val="231F20"/>
          <w:spacing w:val="10"/>
          <w:sz w:val="19"/>
        </w:rPr>
        <w:t xml:space="preserve"> </w:t>
      </w:r>
      <w:r>
        <w:rPr>
          <w:i/>
          <w:color w:val="231F20"/>
          <w:sz w:val="19"/>
        </w:rPr>
        <w:t>to</w:t>
      </w:r>
      <w:r>
        <w:rPr>
          <w:i/>
          <w:color w:val="231F20"/>
          <w:spacing w:val="10"/>
          <w:sz w:val="19"/>
        </w:rPr>
        <w:t xml:space="preserve"> </w:t>
      </w:r>
      <w:r>
        <w:rPr>
          <w:i/>
          <w:color w:val="231F20"/>
          <w:spacing w:val="-3"/>
          <w:sz w:val="19"/>
        </w:rPr>
        <w:t>another.</w:t>
      </w:r>
    </w:p>
    <w:p w14:paraId="16842938" w14:textId="77777777" w:rsidR="002653E8" w:rsidRDefault="002653E8">
      <w:pPr>
        <w:pStyle w:val="a3"/>
        <w:spacing w:before="10"/>
        <w:rPr>
          <w:i/>
          <w:sz w:val="32"/>
        </w:rPr>
      </w:pPr>
    </w:p>
    <w:p w14:paraId="672E1266" w14:textId="77777777" w:rsidR="002653E8" w:rsidRDefault="003115E3">
      <w:pPr>
        <w:ind w:left="2047"/>
        <w:rPr>
          <w:i/>
          <w:sz w:val="19"/>
        </w:rPr>
      </w:pPr>
      <w:r>
        <w:rPr>
          <w:i/>
          <w:color w:val="231F20"/>
          <w:w w:val="105"/>
          <w:sz w:val="19"/>
        </w:rPr>
        <w:t>The particular conditions of imprisonment</w:t>
      </w:r>
    </w:p>
    <w:p w14:paraId="6D84B0B6" w14:textId="77777777" w:rsidR="002653E8" w:rsidRDefault="003115E3">
      <w:pPr>
        <w:pStyle w:val="a4"/>
        <w:numPr>
          <w:ilvl w:val="0"/>
          <w:numId w:val="38"/>
        </w:numPr>
        <w:tabs>
          <w:tab w:val="left" w:pos="2054"/>
        </w:tabs>
        <w:spacing w:before="165" w:line="276" w:lineRule="auto"/>
        <w:ind w:left="1747" w:right="1559" w:firstLine="0"/>
        <w:jc w:val="both"/>
        <w:rPr>
          <w:i/>
          <w:sz w:val="19"/>
        </w:rPr>
      </w:pPr>
      <w:r>
        <w:rPr>
          <w:i/>
          <w:color w:val="231F20"/>
          <w:sz w:val="19"/>
        </w:rPr>
        <w:t xml:space="preserve">There is no sensory isolation strictly speaking, such as can be brought about by a substantial reduction in stimulation of the sensory organs. On the other hand, the applicants are subjected to evident social isolation. The international literature on criminology and psychology indicates that isolation can be sufficient in itself    to </w:t>
      </w:r>
      <w:r>
        <w:rPr>
          <w:i/>
          <w:color w:val="231F20"/>
          <w:spacing w:val="-3"/>
          <w:sz w:val="19"/>
        </w:rPr>
        <w:t xml:space="preserve">gravely </w:t>
      </w:r>
      <w:r>
        <w:rPr>
          <w:i/>
          <w:color w:val="231F20"/>
          <w:sz w:val="19"/>
        </w:rPr>
        <w:t xml:space="preserve">impair physical and mental health. The following conditions may be diagnosed: chronic </w:t>
      </w:r>
      <w:r>
        <w:rPr>
          <w:i/>
          <w:color w:val="231F20"/>
          <w:spacing w:val="-4"/>
          <w:sz w:val="19"/>
        </w:rPr>
        <w:t xml:space="preserve">apathy, </w:t>
      </w:r>
      <w:r>
        <w:rPr>
          <w:i/>
          <w:color w:val="231F20"/>
          <w:sz w:val="19"/>
        </w:rPr>
        <w:t xml:space="preserve">fatigue, emotional instability, difficulties of concentration, diminution of mental faculties, disorders of the neuro-vegetative system. Opinions differ on the precise scale of these phenomena. There are no reports in the literature of situations comparable to that of the applicants  </w:t>
      </w:r>
      <w:r>
        <w:rPr>
          <w:i/>
          <w:color w:val="231F20"/>
          <w:spacing w:val="-6"/>
          <w:sz w:val="19"/>
        </w:rPr>
        <w:t xml:space="preserve">(Dr. </w:t>
      </w:r>
      <w:r>
        <w:rPr>
          <w:i/>
          <w:color w:val="231F20"/>
          <w:sz w:val="19"/>
        </w:rPr>
        <w:t xml:space="preserve">Rasch), affording a better assessment of the psychiatric effects. From the standpoint of internal medicine, certain analogies can be found in case-studies of elderly and isolated persons, persons kept alive artificially in intensive care units, and long-term  prisoners </w:t>
      </w:r>
      <w:r>
        <w:rPr>
          <w:i/>
          <w:color w:val="231F20"/>
          <w:spacing w:val="-6"/>
          <w:sz w:val="19"/>
        </w:rPr>
        <w:t xml:space="preserve">(Dr. </w:t>
      </w:r>
      <w:r>
        <w:rPr>
          <w:i/>
          <w:color w:val="231F20"/>
          <w:sz w:val="19"/>
        </w:rPr>
        <w:t xml:space="preserve">Müller and </w:t>
      </w:r>
      <w:r>
        <w:rPr>
          <w:i/>
          <w:color w:val="231F20"/>
          <w:spacing w:val="-8"/>
          <w:sz w:val="19"/>
        </w:rPr>
        <w:t xml:space="preserve">Dr. </w:t>
      </w:r>
      <w:r>
        <w:rPr>
          <w:i/>
          <w:color w:val="231F20"/>
          <w:sz w:val="19"/>
        </w:rPr>
        <w:t xml:space="preserve">Schröder). </w:t>
      </w:r>
      <w:r>
        <w:rPr>
          <w:i/>
          <w:color w:val="231F20"/>
          <w:spacing w:val="-4"/>
          <w:sz w:val="19"/>
        </w:rPr>
        <w:t xml:space="preserve">However, </w:t>
      </w:r>
      <w:r>
        <w:rPr>
          <w:i/>
          <w:color w:val="231F20"/>
          <w:sz w:val="19"/>
        </w:rPr>
        <w:t>certain experts state that they have little personal experience of the physical and mental effects</w:t>
      </w:r>
      <w:r>
        <w:rPr>
          <w:i/>
          <w:color w:val="231F20"/>
          <w:spacing w:val="27"/>
          <w:sz w:val="19"/>
        </w:rPr>
        <w:t xml:space="preserve"> </w:t>
      </w:r>
      <w:r>
        <w:rPr>
          <w:i/>
          <w:color w:val="231F20"/>
          <w:sz w:val="19"/>
        </w:rPr>
        <w:t>of</w:t>
      </w:r>
      <w:r>
        <w:rPr>
          <w:i/>
          <w:color w:val="231F20"/>
          <w:spacing w:val="27"/>
          <w:sz w:val="19"/>
        </w:rPr>
        <w:t xml:space="preserve"> </w:t>
      </w:r>
      <w:r>
        <w:rPr>
          <w:i/>
          <w:color w:val="231F20"/>
          <w:sz w:val="19"/>
        </w:rPr>
        <w:t>normal</w:t>
      </w:r>
      <w:r>
        <w:rPr>
          <w:i/>
          <w:color w:val="231F20"/>
          <w:spacing w:val="27"/>
          <w:sz w:val="19"/>
        </w:rPr>
        <w:t xml:space="preserve"> </w:t>
      </w:r>
      <w:r>
        <w:rPr>
          <w:i/>
          <w:color w:val="231F20"/>
          <w:sz w:val="19"/>
        </w:rPr>
        <w:t>imprisonment</w:t>
      </w:r>
      <w:r>
        <w:rPr>
          <w:i/>
          <w:color w:val="231F20"/>
          <w:spacing w:val="27"/>
          <w:sz w:val="19"/>
        </w:rPr>
        <w:t xml:space="preserve"> </w:t>
      </w:r>
      <w:r>
        <w:rPr>
          <w:i/>
          <w:color w:val="231F20"/>
          <w:spacing w:val="-6"/>
          <w:sz w:val="19"/>
        </w:rPr>
        <w:t>(Dr.</w:t>
      </w:r>
      <w:r>
        <w:rPr>
          <w:i/>
          <w:color w:val="231F20"/>
          <w:spacing w:val="17"/>
          <w:sz w:val="19"/>
        </w:rPr>
        <w:t xml:space="preserve"> </w:t>
      </w:r>
      <w:r>
        <w:rPr>
          <w:i/>
          <w:color w:val="231F20"/>
          <w:sz w:val="19"/>
        </w:rPr>
        <w:t>Müller</w:t>
      </w:r>
      <w:r>
        <w:rPr>
          <w:i/>
          <w:color w:val="231F20"/>
          <w:spacing w:val="27"/>
          <w:sz w:val="19"/>
        </w:rPr>
        <w:t xml:space="preserve"> </w:t>
      </w:r>
      <w:r>
        <w:rPr>
          <w:i/>
          <w:color w:val="231F20"/>
          <w:sz w:val="19"/>
        </w:rPr>
        <w:t>and</w:t>
      </w:r>
      <w:r>
        <w:rPr>
          <w:i/>
          <w:color w:val="231F20"/>
          <w:spacing w:val="27"/>
          <w:sz w:val="19"/>
        </w:rPr>
        <w:t xml:space="preserve"> </w:t>
      </w:r>
      <w:r>
        <w:rPr>
          <w:i/>
          <w:color w:val="231F20"/>
          <w:spacing w:val="-8"/>
          <w:sz w:val="19"/>
        </w:rPr>
        <w:t>Dr.</w:t>
      </w:r>
      <w:r>
        <w:rPr>
          <w:i/>
          <w:color w:val="231F20"/>
          <w:spacing w:val="17"/>
          <w:sz w:val="19"/>
        </w:rPr>
        <w:t xml:space="preserve"> </w:t>
      </w:r>
      <w:r>
        <w:rPr>
          <w:i/>
          <w:color w:val="231F20"/>
          <w:sz w:val="19"/>
        </w:rPr>
        <w:t>Schröder).</w:t>
      </w:r>
    </w:p>
    <w:p w14:paraId="167C3845" w14:textId="77777777" w:rsidR="002653E8" w:rsidRDefault="00000000">
      <w:pPr>
        <w:pStyle w:val="a3"/>
        <w:spacing w:before="4"/>
        <w:rPr>
          <w:i/>
          <w:sz w:val="22"/>
        </w:rPr>
      </w:pPr>
      <w:r>
        <w:rPr>
          <w:noProof w:val="0"/>
        </w:rPr>
        <w:pict w14:anchorId="7D6D66C9">
          <v:shape id="_x0000_s2134" type="#_x0000_t202" style="position:absolute;margin-left:84.8pt;margin-top:15.5pt;width:271.45pt;height:110.2pt;z-index:11464;mso-wrap-distance-left:0;mso-wrap-distance-right:0;mso-position-horizontal-relative:page" fillcolor="#e6e7e8" strokecolor="#231f20">
            <v:stroke dashstyle="3 1"/>
            <v:textbox inset="0,0,0,0">
              <w:txbxContent>
                <w:p w14:paraId="182A903E" w14:textId="77777777" w:rsidR="001008C3" w:rsidRDefault="001008C3">
                  <w:pPr>
                    <w:pStyle w:val="a3"/>
                    <w:spacing w:before="2"/>
                    <w:rPr>
                      <w:i/>
                      <w:sz w:val="17"/>
                    </w:rPr>
                  </w:pPr>
                </w:p>
                <w:p w14:paraId="33EC67A0" w14:textId="77777777" w:rsidR="001008C3" w:rsidRDefault="001008C3">
                  <w:pPr>
                    <w:spacing w:line="256" w:lineRule="auto"/>
                    <w:ind w:left="159" w:right="69"/>
                    <w:rPr>
                      <w:rFonts w:ascii="Gill Sans MT" w:hAnsi="Gill Sans MT"/>
                      <w:sz w:val="16"/>
                    </w:rPr>
                  </w:pPr>
                  <w:r>
                    <w:rPr>
                      <w:rFonts w:ascii="Gill Sans MT" w:hAnsi="Gill Sans MT"/>
                      <w:color w:val="231F20"/>
                      <w:w w:val="115"/>
                      <w:sz w:val="16"/>
                    </w:rPr>
                    <w:t xml:space="preserve">From: European Commission of Human Rights, </w:t>
                  </w:r>
                  <w:r>
                    <w:rPr>
                      <w:rFonts w:ascii="Lucida Sans" w:hAnsi="Lucida Sans"/>
                      <w:i/>
                      <w:color w:val="231F20"/>
                      <w:w w:val="115"/>
                      <w:sz w:val="16"/>
                    </w:rPr>
                    <w:t xml:space="preserve">Decisions and Reports </w:t>
                  </w:r>
                  <w:r>
                    <w:rPr>
                      <w:rFonts w:ascii="Arial" w:hAnsi="Arial"/>
                      <w:color w:val="231F20"/>
                      <w:w w:val="115"/>
                      <w:sz w:val="16"/>
                    </w:rPr>
                    <w:t xml:space="preserve">14 </w:t>
                  </w:r>
                  <w:r>
                    <w:rPr>
                      <w:rFonts w:ascii="Gill Sans MT" w:hAnsi="Gill Sans MT"/>
                      <w:color w:val="231F20"/>
                      <w:w w:val="115"/>
                      <w:sz w:val="16"/>
                    </w:rPr>
                    <w:t xml:space="preserve">(Strasbourg: June </w:t>
                  </w:r>
                  <w:r>
                    <w:rPr>
                      <w:rFonts w:ascii="Arial" w:hAnsi="Arial"/>
                      <w:color w:val="231F20"/>
                      <w:w w:val="115"/>
                      <w:sz w:val="16"/>
                    </w:rPr>
                    <w:t>1979</w:t>
                  </w:r>
                  <w:r>
                    <w:rPr>
                      <w:rFonts w:ascii="Gill Sans MT" w:hAnsi="Gill Sans MT"/>
                      <w:color w:val="231F20"/>
                      <w:w w:val="115"/>
                      <w:sz w:val="16"/>
                    </w:rPr>
                    <w:t xml:space="preserve">), </w:t>
                  </w:r>
                  <w:r>
                    <w:rPr>
                      <w:rFonts w:ascii="Arial" w:hAnsi="Arial"/>
                      <w:color w:val="231F20"/>
                      <w:w w:val="115"/>
                      <w:sz w:val="16"/>
                    </w:rPr>
                    <w:t>96</w:t>
                  </w:r>
                  <w:r>
                    <w:rPr>
                      <w:rFonts w:ascii="Gill Sans MT" w:hAnsi="Gill Sans MT"/>
                      <w:color w:val="231F20"/>
                      <w:w w:val="115"/>
                      <w:sz w:val="16"/>
                    </w:rPr>
                    <w:t>-</w:t>
                  </w:r>
                  <w:r>
                    <w:rPr>
                      <w:rFonts w:ascii="Arial" w:hAnsi="Arial"/>
                      <w:color w:val="231F20"/>
                      <w:w w:val="115"/>
                      <w:sz w:val="16"/>
                    </w:rPr>
                    <w:t>97</w:t>
                  </w:r>
                  <w:r>
                    <w:rPr>
                      <w:rFonts w:ascii="Gill Sans MT" w:hAnsi="Gill Sans MT"/>
                      <w:color w:val="231F20"/>
                      <w:w w:val="115"/>
                      <w:sz w:val="16"/>
                    </w:rPr>
                    <w:t>. As wikipedia tells us, “From 1954 to the entry into force of Protocol 11 of the European Convention on Human Rights, individuals did not have direct access to the European Court of Human Rights; they had to apply to the Commission , which if it found the case to be well-founded would launch a case in the Court on the individual’s behalf. Protocol 11 which came into force in 1998 abolished the Commission, enlarged the Court, and allowed individuals to take cases directly to it.”</w:t>
                  </w:r>
                </w:p>
              </w:txbxContent>
            </v:textbox>
            <w10:wrap type="topAndBottom" anchorx="page"/>
          </v:shape>
        </w:pict>
      </w:r>
    </w:p>
    <w:p w14:paraId="3687762D" w14:textId="77777777" w:rsidR="002653E8" w:rsidRDefault="002653E8">
      <w:pPr>
        <w:sectPr w:rsidR="002653E8">
          <w:footerReference w:type="even" r:id="rId465"/>
          <w:footerReference w:type="default" r:id="rId466"/>
          <w:pgSz w:w="8640" w:h="12960"/>
          <w:pgMar w:top="1200" w:right="0" w:bottom="1040" w:left="0" w:header="0" w:footer="850" w:gutter="0"/>
          <w:pgNumType w:start="549"/>
          <w:cols w:space="720"/>
        </w:sectPr>
      </w:pPr>
    </w:p>
    <w:p w14:paraId="05CD5E4A" w14:textId="77777777" w:rsidR="002653E8" w:rsidRDefault="002653E8">
      <w:pPr>
        <w:pStyle w:val="a3"/>
        <w:spacing w:before="4"/>
        <w:rPr>
          <w:i/>
          <w:sz w:val="11"/>
        </w:rPr>
      </w:pPr>
    </w:p>
    <w:p w14:paraId="32A6EA5E" w14:textId="77777777" w:rsidR="002653E8" w:rsidRDefault="003115E3">
      <w:pPr>
        <w:spacing w:before="99"/>
        <w:ind w:left="760" w:right="888"/>
        <w:jc w:val="center"/>
        <w:rPr>
          <w:sz w:val="24"/>
        </w:rPr>
      </w:pPr>
      <w:bookmarkStart w:id="269" w:name="Appendix_III:_The_FRG_and_The_State_of_I"/>
      <w:bookmarkStart w:id="270" w:name="_bookmark86"/>
      <w:bookmarkEnd w:id="269"/>
      <w:bookmarkEnd w:id="270"/>
      <w:r>
        <w:rPr>
          <w:color w:val="231F20"/>
          <w:w w:val="115"/>
          <w:sz w:val="24"/>
        </w:rPr>
        <w:t>a p p e n d i x iii</w:t>
      </w:r>
      <w:r>
        <w:rPr>
          <w:color w:val="231F20"/>
          <w:sz w:val="24"/>
        </w:rPr>
        <w:t xml:space="preserve"> </w:t>
      </w:r>
    </w:p>
    <w:p w14:paraId="4879D571" w14:textId="77777777" w:rsidR="002653E8" w:rsidRDefault="002653E8">
      <w:pPr>
        <w:pStyle w:val="a3"/>
        <w:spacing w:before="10"/>
        <w:rPr>
          <w:sz w:val="28"/>
        </w:rPr>
      </w:pPr>
    </w:p>
    <w:p w14:paraId="04FE19DC" w14:textId="77777777" w:rsidR="002653E8" w:rsidRDefault="003115E3">
      <w:pPr>
        <w:ind w:left="2101"/>
        <w:rPr>
          <w:rFonts w:ascii="Lucida Sans"/>
          <w:b/>
          <w:sz w:val="30"/>
        </w:rPr>
      </w:pPr>
      <w:r>
        <w:rPr>
          <w:rFonts w:ascii="Lucida Sans"/>
          <w:b/>
          <w:color w:val="231F20"/>
          <w:sz w:val="30"/>
        </w:rPr>
        <w:t>the FRG and the state of Israel</w:t>
      </w:r>
    </w:p>
    <w:p w14:paraId="2332BD2E" w14:textId="77777777" w:rsidR="002653E8" w:rsidRDefault="002653E8">
      <w:pPr>
        <w:pStyle w:val="a3"/>
        <w:spacing w:before="1"/>
        <w:rPr>
          <w:rFonts w:ascii="Lucida Sans"/>
          <w:b/>
          <w:sz w:val="44"/>
        </w:rPr>
      </w:pPr>
    </w:p>
    <w:p w14:paraId="6C904049" w14:textId="77777777" w:rsidR="002653E8" w:rsidRDefault="003115E3">
      <w:pPr>
        <w:pStyle w:val="a3"/>
        <w:spacing w:line="264" w:lineRule="auto"/>
        <w:ind w:left="1147" w:right="1325"/>
        <w:jc w:val="both"/>
      </w:pPr>
      <w:r>
        <w:rPr>
          <w:color w:val="231F20"/>
        </w:rPr>
        <w:t>In order to appreciate the relationship between the West German radical left and the Palestinian resistance, it may be helpful to take a brief look at the history of West German support for Israel.</w:t>
      </w:r>
    </w:p>
    <w:p w14:paraId="74FF21A9" w14:textId="77777777" w:rsidR="002653E8" w:rsidRDefault="003115E3">
      <w:pPr>
        <w:pStyle w:val="a3"/>
        <w:spacing w:line="264" w:lineRule="auto"/>
        <w:ind w:left="1147" w:right="1326" w:firstLine="210"/>
        <w:jc w:val="both"/>
      </w:pPr>
      <w:r>
        <w:rPr>
          <w:color w:val="231F20"/>
        </w:rPr>
        <w:t>Although the two countries did not exchange embassies until the mid-1960s, there had been contact and cooperation well before then. Throughout this period, this contact was understandably  marked  by the recent genocide that had almost ended Jewish civilization in Europe, and had led to the creation of the Israeli colonial state in 1949. Contrary to expectations, however, the two countries would quickly become close allies, for regardless of the feelings of many citizens, each one had its own reasons to use the Holocaust as a stepping-stone to future goals.</w:t>
      </w:r>
    </w:p>
    <w:p w14:paraId="7ABB3505" w14:textId="77777777" w:rsidR="002653E8" w:rsidRDefault="003115E3">
      <w:pPr>
        <w:pStyle w:val="a3"/>
        <w:spacing w:line="264" w:lineRule="auto"/>
        <w:ind w:left="1147" w:right="1326" w:firstLine="210"/>
        <w:jc w:val="both"/>
      </w:pPr>
      <w:r>
        <w:rPr>
          <w:color w:val="231F20"/>
        </w:rPr>
        <w:t>The</w:t>
      </w:r>
      <w:r>
        <w:rPr>
          <w:color w:val="231F20"/>
          <w:spacing w:val="-6"/>
        </w:rPr>
        <w:t xml:space="preserve"> </w:t>
      </w:r>
      <w:r>
        <w:rPr>
          <w:color w:val="231F20"/>
        </w:rPr>
        <w:t>first</w:t>
      </w:r>
      <w:r>
        <w:rPr>
          <w:color w:val="231F20"/>
          <w:spacing w:val="-6"/>
        </w:rPr>
        <w:t xml:space="preserve"> </w:t>
      </w:r>
      <w:r>
        <w:rPr>
          <w:color w:val="231F20"/>
        </w:rPr>
        <w:t>official</w:t>
      </w:r>
      <w:r>
        <w:rPr>
          <w:color w:val="231F20"/>
          <w:spacing w:val="-6"/>
        </w:rPr>
        <w:t xml:space="preserve"> </w:t>
      </w:r>
      <w:r>
        <w:rPr>
          <w:color w:val="231F20"/>
        </w:rPr>
        <w:t>agreement</w:t>
      </w:r>
      <w:r>
        <w:rPr>
          <w:color w:val="231F20"/>
          <w:spacing w:val="-6"/>
        </w:rPr>
        <w:t xml:space="preserve"> </w:t>
      </w:r>
      <w:r>
        <w:rPr>
          <w:color w:val="231F20"/>
        </w:rPr>
        <w:t>between</w:t>
      </w:r>
      <w:r>
        <w:rPr>
          <w:color w:val="231F20"/>
          <w:spacing w:val="-6"/>
        </w:rPr>
        <w:t xml:space="preserve"> </w:t>
      </w:r>
      <w:r>
        <w:rPr>
          <w:color w:val="231F20"/>
        </w:rPr>
        <w:t>the</w:t>
      </w:r>
      <w:r>
        <w:rPr>
          <w:color w:val="231F20"/>
          <w:spacing w:val="-6"/>
        </w:rPr>
        <w:t xml:space="preserve"> </w:t>
      </w:r>
      <w:r>
        <w:rPr>
          <w:color w:val="231F20"/>
        </w:rPr>
        <w:t>two</w:t>
      </w:r>
      <w:r>
        <w:rPr>
          <w:color w:val="231F20"/>
          <w:spacing w:val="-6"/>
        </w:rPr>
        <w:t xml:space="preserve"> </w:t>
      </w:r>
      <w:r>
        <w:rPr>
          <w:color w:val="231F20"/>
        </w:rPr>
        <w:t>governments</w:t>
      </w:r>
      <w:r>
        <w:rPr>
          <w:color w:val="231F20"/>
          <w:spacing w:val="-6"/>
        </w:rPr>
        <w:t xml:space="preserve"> </w:t>
      </w:r>
      <w:r>
        <w:rPr>
          <w:color w:val="231F20"/>
        </w:rPr>
        <w:t>came</w:t>
      </w:r>
      <w:r>
        <w:rPr>
          <w:color w:val="231F20"/>
          <w:spacing w:val="-6"/>
        </w:rPr>
        <w:t xml:space="preserve"> </w:t>
      </w:r>
      <w:r>
        <w:rPr>
          <w:color w:val="231F20"/>
        </w:rPr>
        <w:t xml:space="preserve">about in </w:t>
      </w:r>
      <w:r>
        <w:rPr>
          <w:color w:val="231F20"/>
          <w:spacing w:val="-5"/>
        </w:rPr>
        <w:t xml:space="preserve">1952, </w:t>
      </w:r>
      <w:r>
        <w:rPr>
          <w:color w:val="231F20"/>
        </w:rPr>
        <w:t>when the FRG signed the  Luxembourg Agreement, promising  to deliver a total of three billion marks worth of reparations (mainly in the form of goods) to Israel over a period of fourteen years.</w:t>
      </w:r>
      <w:r>
        <w:rPr>
          <w:color w:val="231F20"/>
          <w:position w:val="7"/>
          <w:sz w:val="11"/>
        </w:rPr>
        <w:t xml:space="preserve">1 </w:t>
      </w:r>
      <w:r>
        <w:rPr>
          <w:color w:val="231F20"/>
        </w:rPr>
        <w:t xml:space="preserve">The </w:t>
      </w:r>
      <w:r>
        <w:rPr>
          <w:color w:val="231F20"/>
          <w:spacing w:val="-3"/>
        </w:rPr>
        <w:t xml:space="preserve">FRG </w:t>
      </w:r>
      <w:r>
        <w:rPr>
          <w:color w:val="231F20"/>
        </w:rPr>
        <w:t xml:space="preserve">was literally building the Israeli </w:t>
      </w:r>
      <w:r>
        <w:rPr>
          <w:color w:val="231F20"/>
          <w:spacing w:val="-3"/>
        </w:rPr>
        <w:t xml:space="preserve">economy, </w:t>
      </w:r>
      <w:r>
        <w:rPr>
          <w:color w:val="231F20"/>
        </w:rPr>
        <w:t>helping to provide the west with</w:t>
      </w:r>
      <w:r>
        <w:rPr>
          <w:color w:val="231F20"/>
          <w:spacing w:val="10"/>
        </w:rPr>
        <w:t xml:space="preserve"> </w:t>
      </w:r>
      <w:r>
        <w:rPr>
          <w:color w:val="231F20"/>
        </w:rPr>
        <w:t>its</w:t>
      </w:r>
      <w:r>
        <w:rPr>
          <w:color w:val="231F20"/>
          <w:spacing w:val="10"/>
        </w:rPr>
        <w:t xml:space="preserve"> </w:t>
      </w:r>
      <w:r>
        <w:rPr>
          <w:color w:val="231F20"/>
        </w:rPr>
        <w:t>beachhead</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Middle</w:t>
      </w:r>
      <w:r>
        <w:rPr>
          <w:color w:val="231F20"/>
          <w:spacing w:val="10"/>
        </w:rPr>
        <w:t xml:space="preserve"> </w:t>
      </w:r>
      <w:r>
        <w:rPr>
          <w:color w:val="231F20"/>
        </w:rPr>
        <w:t>East.</w:t>
      </w:r>
    </w:p>
    <w:p w14:paraId="7AEDFEEB" w14:textId="77777777" w:rsidR="002653E8" w:rsidRDefault="00000000">
      <w:pPr>
        <w:pStyle w:val="a3"/>
        <w:spacing w:line="264" w:lineRule="auto"/>
        <w:ind w:left="1147" w:right="1325" w:firstLine="210"/>
        <w:jc w:val="both"/>
        <w:rPr>
          <w:sz w:val="11"/>
        </w:rPr>
      </w:pPr>
      <w:r>
        <w:rPr>
          <w:noProof w:val="0"/>
        </w:rPr>
        <w:pict w14:anchorId="690D23A1">
          <v:line id="_x0000_s2133" style="position:absolute;left:0;text-align:left;z-index:11488;mso-wrap-distance-left:0;mso-wrap-distance-right:0;mso-position-horizontal-relative:page" from="57.4pt,135.3pt" to="129.4pt,135.3pt" strokecolor="#231f20" strokeweight=".5pt">
            <w10:wrap type="topAndBottom" anchorx="page"/>
          </v:line>
        </w:pict>
      </w:r>
      <w:r w:rsidR="003115E3">
        <w:rPr>
          <w:color w:val="231F20"/>
        </w:rPr>
        <w:t xml:space="preserve">By the end of the decade, the Luxembourg Agreement was supplemented by a plan to give—not </w:t>
      </w:r>
      <w:r w:rsidR="003115E3">
        <w:rPr>
          <w:color w:val="231F20"/>
          <w:spacing w:val="1"/>
        </w:rPr>
        <w:t xml:space="preserve">sell—arms </w:t>
      </w:r>
      <w:r w:rsidR="003115E3">
        <w:rPr>
          <w:color w:val="231F20"/>
        </w:rPr>
        <w:t>and materiel to the Israeli military. What started as motor vehicles, training aircraft, and helicopters was soon extended to include anti-tank rockets and other shooting weapons.</w:t>
      </w:r>
      <w:r w:rsidR="003115E3">
        <w:rPr>
          <w:color w:val="231F20"/>
          <w:position w:val="7"/>
          <w:sz w:val="11"/>
        </w:rPr>
        <w:t xml:space="preserve">2 </w:t>
      </w:r>
      <w:r w:rsidR="003115E3">
        <w:rPr>
          <w:color w:val="231F20"/>
        </w:rPr>
        <w:t>By the mid-sixties, the FRG was delivering “aircraft including Noratlas transporters, Dornier DO-27 communication planes and French ‘Fouga Magister’ jet trainers, anti-aircraft guns with electronic homing devices, helicopters, howitzers, submarines, and speedboats.”</w:t>
      </w:r>
      <w:r w:rsidR="003115E3">
        <w:rPr>
          <w:color w:val="231F20"/>
          <w:position w:val="7"/>
          <w:sz w:val="11"/>
        </w:rPr>
        <w:t xml:space="preserve">3 </w:t>
      </w:r>
      <w:r w:rsidR="003115E3">
        <w:rPr>
          <w:color w:val="231F20"/>
        </w:rPr>
        <w:t xml:space="preserve">Some claimed that 5,000 Israeli officers and soldiers had been trained by the </w:t>
      </w:r>
      <w:r w:rsidR="003115E3">
        <w:rPr>
          <w:i/>
          <w:color w:val="231F20"/>
        </w:rPr>
        <w:t xml:space="preserve">Bundeswehr </w:t>
      </w:r>
      <w:r w:rsidR="003115E3">
        <w:rPr>
          <w:color w:val="231F20"/>
        </w:rPr>
        <w:t xml:space="preserve">in </w:t>
      </w:r>
      <w:r w:rsidR="003115E3">
        <w:rPr>
          <w:color w:val="231F20"/>
          <w:spacing w:val="-3"/>
        </w:rPr>
        <w:t>West</w:t>
      </w:r>
      <w:r w:rsidR="003115E3">
        <w:rPr>
          <w:color w:val="231F20"/>
          <w:spacing w:val="21"/>
        </w:rPr>
        <w:t xml:space="preserve"> </w:t>
      </w:r>
      <w:r w:rsidR="003115E3">
        <w:rPr>
          <w:color w:val="231F20"/>
        </w:rPr>
        <w:t>Germany.</w:t>
      </w:r>
      <w:r w:rsidR="003115E3">
        <w:rPr>
          <w:color w:val="231F20"/>
          <w:position w:val="7"/>
          <w:sz w:val="11"/>
        </w:rPr>
        <w:t>4</w:t>
      </w:r>
    </w:p>
    <w:p w14:paraId="17597230" w14:textId="77777777" w:rsidR="002653E8" w:rsidRDefault="003115E3">
      <w:pPr>
        <w:spacing w:before="53" w:line="254" w:lineRule="auto"/>
        <w:ind w:left="1147" w:right="1580" w:hanging="1"/>
        <w:rPr>
          <w:sz w:val="16"/>
        </w:rPr>
      </w:pPr>
      <w:r>
        <w:rPr>
          <w:color w:val="231F20"/>
          <w:w w:val="110"/>
          <w:sz w:val="16"/>
        </w:rPr>
        <w:t xml:space="preserve">1 George Lavy, </w:t>
      </w:r>
      <w:r>
        <w:rPr>
          <w:i/>
          <w:color w:val="231F20"/>
          <w:w w:val="110"/>
          <w:sz w:val="16"/>
        </w:rPr>
        <w:t xml:space="preserve">Germany and Israel: Moral Debt and National Interest </w:t>
      </w:r>
      <w:r>
        <w:rPr>
          <w:color w:val="231F20"/>
          <w:w w:val="110"/>
          <w:sz w:val="16"/>
        </w:rPr>
        <w:t>(London: Frank Cass, 1996), 11.</w:t>
      </w:r>
    </w:p>
    <w:p w14:paraId="5D7E55CE" w14:textId="77777777" w:rsidR="002653E8" w:rsidRDefault="003115E3">
      <w:pPr>
        <w:spacing w:before="41"/>
        <w:ind w:left="1147"/>
        <w:rPr>
          <w:sz w:val="16"/>
        </w:rPr>
      </w:pPr>
      <w:r>
        <w:rPr>
          <w:color w:val="231F20"/>
          <w:w w:val="115"/>
          <w:sz w:val="16"/>
        </w:rPr>
        <w:t>2 Ibid., 53.</w:t>
      </w:r>
    </w:p>
    <w:p w14:paraId="52AEACC8" w14:textId="77777777" w:rsidR="002653E8" w:rsidRDefault="003115E3">
      <w:pPr>
        <w:spacing w:before="51"/>
        <w:ind w:left="1147"/>
        <w:rPr>
          <w:sz w:val="16"/>
        </w:rPr>
      </w:pPr>
      <w:r>
        <w:rPr>
          <w:color w:val="231F20"/>
          <w:w w:val="115"/>
          <w:sz w:val="16"/>
        </w:rPr>
        <w:t>3 Ibid., 56.</w:t>
      </w:r>
    </w:p>
    <w:p w14:paraId="1227528B" w14:textId="77777777" w:rsidR="002653E8" w:rsidRDefault="003115E3">
      <w:pPr>
        <w:spacing w:before="52" w:line="254" w:lineRule="auto"/>
        <w:ind w:left="1147" w:right="1325"/>
        <w:rPr>
          <w:i/>
          <w:sz w:val="16"/>
        </w:rPr>
      </w:pPr>
      <w:r>
        <w:rPr>
          <w:color w:val="231F20"/>
          <w:w w:val="115"/>
          <w:sz w:val="16"/>
        </w:rPr>
        <w:t>4</w:t>
      </w:r>
      <w:r>
        <w:rPr>
          <w:color w:val="231F20"/>
          <w:spacing w:val="-24"/>
          <w:w w:val="115"/>
          <w:sz w:val="16"/>
        </w:rPr>
        <w:t xml:space="preserve"> </w:t>
      </w:r>
      <w:r>
        <w:rPr>
          <w:color w:val="231F20"/>
          <w:w w:val="115"/>
          <w:sz w:val="16"/>
        </w:rPr>
        <w:t>Deutsche-Arabische</w:t>
      </w:r>
      <w:r>
        <w:rPr>
          <w:color w:val="231F20"/>
          <w:spacing w:val="-24"/>
          <w:w w:val="115"/>
          <w:sz w:val="16"/>
        </w:rPr>
        <w:t xml:space="preserve"> </w:t>
      </w:r>
      <w:r>
        <w:rPr>
          <w:color w:val="231F20"/>
          <w:w w:val="115"/>
          <w:sz w:val="16"/>
        </w:rPr>
        <w:t>Gesellschaft</w:t>
      </w:r>
      <w:r>
        <w:rPr>
          <w:color w:val="231F20"/>
          <w:spacing w:val="-24"/>
          <w:w w:val="115"/>
          <w:sz w:val="16"/>
        </w:rPr>
        <w:t xml:space="preserve"> </w:t>
      </w:r>
      <w:r>
        <w:rPr>
          <w:color w:val="231F20"/>
          <w:w w:val="115"/>
          <w:sz w:val="16"/>
        </w:rPr>
        <w:t>der</w:t>
      </w:r>
      <w:r>
        <w:rPr>
          <w:color w:val="231F20"/>
          <w:spacing w:val="-23"/>
          <w:w w:val="115"/>
          <w:sz w:val="16"/>
        </w:rPr>
        <w:t xml:space="preserve"> </w:t>
      </w:r>
      <w:r>
        <w:rPr>
          <w:color w:val="231F20"/>
          <w:w w:val="115"/>
          <w:sz w:val="16"/>
        </w:rPr>
        <w:t>DDR,</w:t>
      </w:r>
      <w:r>
        <w:rPr>
          <w:color w:val="231F20"/>
          <w:spacing w:val="-24"/>
          <w:w w:val="115"/>
          <w:sz w:val="16"/>
        </w:rPr>
        <w:t xml:space="preserve"> </w:t>
      </w:r>
      <w:r>
        <w:rPr>
          <w:i/>
          <w:color w:val="231F20"/>
          <w:spacing w:val="2"/>
          <w:w w:val="115"/>
          <w:sz w:val="16"/>
        </w:rPr>
        <w:t>Friend</w:t>
      </w:r>
      <w:r>
        <w:rPr>
          <w:i/>
          <w:color w:val="231F20"/>
          <w:spacing w:val="-24"/>
          <w:w w:val="115"/>
          <w:sz w:val="16"/>
        </w:rPr>
        <w:t xml:space="preserve"> </w:t>
      </w:r>
      <w:r>
        <w:rPr>
          <w:i/>
          <w:color w:val="231F20"/>
          <w:spacing w:val="1"/>
          <w:w w:val="115"/>
          <w:sz w:val="16"/>
        </w:rPr>
        <w:t>and</w:t>
      </w:r>
      <w:r>
        <w:rPr>
          <w:i/>
          <w:color w:val="231F20"/>
          <w:spacing w:val="-24"/>
          <w:w w:val="115"/>
          <w:sz w:val="16"/>
        </w:rPr>
        <w:t xml:space="preserve"> </w:t>
      </w:r>
      <w:r>
        <w:rPr>
          <w:i/>
          <w:color w:val="231F20"/>
          <w:spacing w:val="2"/>
          <w:w w:val="115"/>
          <w:sz w:val="16"/>
        </w:rPr>
        <w:t>enemy</w:t>
      </w:r>
      <w:r>
        <w:rPr>
          <w:i/>
          <w:color w:val="231F20"/>
          <w:spacing w:val="-24"/>
          <w:w w:val="115"/>
          <w:sz w:val="16"/>
        </w:rPr>
        <w:t xml:space="preserve"> </w:t>
      </w:r>
      <w:r>
        <w:rPr>
          <w:i/>
          <w:color w:val="231F20"/>
          <w:w w:val="115"/>
          <w:sz w:val="16"/>
        </w:rPr>
        <w:t>of</w:t>
      </w:r>
      <w:r>
        <w:rPr>
          <w:i/>
          <w:color w:val="231F20"/>
          <w:spacing w:val="-24"/>
          <w:w w:val="115"/>
          <w:sz w:val="16"/>
        </w:rPr>
        <w:t xml:space="preserve"> </w:t>
      </w:r>
      <w:r>
        <w:rPr>
          <w:i/>
          <w:color w:val="231F20"/>
          <w:w w:val="115"/>
          <w:sz w:val="16"/>
        </w:rPr>
        <w:t>the</w:t>
      </w:r>
      <w:r>
        <w:rPr>
          <w:i/>
          <w:color w:val="231F20"/>
          <w:spacing w:val="-24"/>
          <w:w w:val="115"/>
          <w:sz w:val="16"/>
        </w:rPr>
        <w:t xml:space="preserve"> </w:t>
      </w:r>
      <w:r>
        <w:rPr>
          <w:i/>
          <w:color w:val="231F20"/>
          <w:w w:val="115"/>
          <w:sz w:val="16"/>
        </w:rPr>
        <w:t>Arabs:</w:t>
      </w:r>
      <w:r>
        <w:rPr>
          <w:i/>
          <w:color w:val="231F20"/>
          <w:spacing w:val="-24"/>
          <w:w w:val="115"/>
          <w:sz w:val="16"/>
        </w:rPr>
        <w:t xml:space="preserve"> </w:t>
      </w:r>
      <w:r>
        <w:rPr>
          <w:i/>
          <w:color w:val="231F20"/>
          <w:w w:val="115"/>
          <w:sz w:val="16"/>
        </w:rPr>
        <w:t>facts on</w:t>
      </w:r>
      <w:r>
        <w:rPr>
          <w:i/>
          <w:color w:val="231F20"/>
          <w:spacing w:val="-11"/>
          <w:w w:val="115"/>
          <w:sz w:val="16"/>
        </w:rPr>
        <w:t xml:space="preserve"> </w:t>
      </w:r>
      <w:r>
        <w:rPr>
          <w:i/>
          <w:color w:val="231F20"/>
          <w:w w:val="115"/>
          <w:sz w:val="16"/>
        </w:rPr>
        <w:t>the</w:t>
      </w:r>
      <w:r>
        <w:rPr>
          <w:i/>
          <w:color w:val="231F20"/>
          <w:spacing w:val="-11"/>
          <w:w w:val="115"/>
          <w:sz w:val="16"/>
        </w:rPr>
        <w:t xml:space="preserve"> </w:t>
      </w:r>
      <w:r>
        <w:rPr>
          <w:i/>
          <w:color w:val="231F20"/>
          <w:w w:val="115"/>
          <w:sz w:val="16"/>
        </w:rPr>
        <w:t>attitude</w:t>
      </w:r>
      <w:r>
        <w:rPr>
          <w:i/>
          <w:color w:val="231F20"/>
          <w:spacing w:val="-11"/>
          <w:w w:val="115"/>
          <w:sz w:val="16"/>
        </w:rPr>
        <w:t xml:space="preserve"> </w:t>
      </w:r>
      <w:r>
        <w:rPr>
          <w:i/>
          <w:color w:val="231F20"/>
          <w:w w:val="115"/>
          <w:sz w:val="16"/>
        </w:rPr>
        <w:t>of</w:t>
      </w:r>
      <w:r>
        <w:rPr>
          <w:i/>
          <w:color w:val="231F20"/>
          <w:spacing w:val="-11"/>
          <w:w w:val="115"/>
          <w:sz w:val="16"/>
        </w:rPr>
        <w:t xml:space="preserve"> </w:t>
      </w:r>
      <w:r>
        <w:rPr>
          <w:i/>
          <w:color w:val="231F20"/>
          <w:w w:val="115"/>
          <w:sz w:val="16"/>
        </w:rPr>
        <w:t>the</w:t>
      </w:r>
      <w:r>
        <w:rPr>
          <w:i/>
          <w:color w:val="231F20"/>
          <w:spacing w:val="-10"/>
          <w:w w:val="115"/>
          <w:sz w:val="16"/>
        </w:rPr>
        <w:t xml:space="preserve"> </w:t>
      </w:r>
      <w:r>
        <w:rPr>
          <w:i/>
          <w:color w:val="231F20"/>
          <w:w w:val="115"/>
          <w:sz w:val="16"/>
        </w:rPr>
        <w:t>GDR</w:t>
      </w:r>
      <w:r>
        <w:rPr>
          <w:i/>
          <w:color w:val="231F20"/>
          <w:spacing w:val="-11"/>
          <w:w w:val="115"/>
          <w:sz w:val="16"/>
        </w:rPr>
        <w:t xml:space="preserve"> </w:t>
      </w:r>
      <w:r>
        <w:rPr>
          <w:i/>
          <w:color w:val="231F20"/>
          <w:spacing w:val="1"/>
          <w:w w:val="115"/>
          <w:sz w:val="16"/>
        </w:rPr>
        <w:t>and</w:t>
      </w:r>
      <w:r>
        <w:rPr>
          <w:i/>
          <w:color w:val="231F20"/>
          <w:spacing w:val="-11"/>
          <w:w w:val="115"/>
          <w:sz w:val="16"/>
        </w:rPr>
        <w:t xml:space="preserve"> </w:t>
      </w:r>
      <w:r>
        <w:rPr>
          <w:i/>
          <w:color w:val="231F20"/>
          <w:w w:val="115"/>
          <w:sz w:val="16"/>
        </w:rPr>
        <w:t>of</w:t>
      </w:r>
      <w:r>
        <w:rPr>
          <w:i/>
          <w:color w:val="231F20"/>
          <w:spacing w:val="-11"/>
          <w:w w:val="115"/>
          <w:sz w:val="16"/>
        </w:rPr>
        <w:t xml:space="preserve"> </w:t>
      </w:r>
      <w:r>
        <w:rPr>
          <w:i/>
          <w:color w:val="231F20"/>
          <w:w w:val="115"/>
          <w:sz w:val="16"/>
        </w:rPr>
        <w:t>West</w:t>
      </w:r>
      <w:r>
        <w:rPr>
          <w:i/>
          <w:color w:val="231F20"/>
          <w:spacing w:val="-11"/>
          <w:w w:val="115"/>
          <w:sz w:val="16"/>
        </w:rPr>
        <w:t xml:space="preserve"> </w:t>
      </w:r>
      <w:r>
        <w:rPr>
          <w:i/>
          <w:color w:val="231F20"/>
          <w:spacing w:val="2"/>
          <w:w w:val="115"/>
          <w:sz w:val="16"/>
        </w:rPr>
        <w:t>Germany</w:t>
      </w:r>
      <w:r>
        <w:rPr>
          <w:i/>
          <w:color w:val="231F20"/>
          <w:spacing w:val="-11"/>
          <w:w w:val="115"/>
          <w:sz w:val="16"/>
        </w:rPr>
        <w:t xml:space="preserve"> </w:t>
      </w:r>
      <w:r>
        <w:rPr>
          <w:i/>
          <w:color w:val="231F20"/>
          <w:w w:val="115"/>
          <w:sz w:val="16"/>
        </w:rPr>
        <w:t>on</w:t>
      </w:r>
      <w:r>
        <w:rPr>
          <w:i/>
          <w:color w:val="231F20"/>
          <w:spacing w:val="-11"/>
          <w:w w:val="115"/>
          <w:sz w:val="16"/>
        </w:rPr>
        <w:t xml:space="preserve"> </w:t>
      </w:r>
      <w:r>
        <w:rPr>
          <w:i/>
          <w:color w:val="231F20"/>
          <w:w w:val="115"/>
          <w:sz w:val="16"/>
        </w:rPr>
        <w:t>the</w:t>
      </w:r>
      <w:r>
        <w:rPr>
          <w:i/>
          <w:color w:val="231F20"/>
          <w:spacing w:val="-11"/>
          <w:w w:val="115"/>
          <w:sz w:val="16"/>
        </w:rPr>
        <w:t xml:space="preserve"> </w:t>
      </w:r>
      <w:r>
        <w:rPr>
          <w:i/>
          <w:color w:val="231F20"/>
          <w:spacing w:val="1"/>
          <w:w w:val="115"/>
          <w:sz w:val="16"/>
        </w:rPr>
        <w:t>imperialist</w:t>
      </w:r>
      <w:r>
        <w:rPr>
          <w:i/>
          <w:color w:val="231F20"/>
          <w:spacing w:val="-11"/>
          <w:w w:val="115"/>
          <w:sz w:val="16"/>
        </w:rPr>
        <w:t xml:space="preserve"> </w:t>
      </w:r>
      <w:r>
        <w:rPr>
          <w:i/>
          <w:color w:val="231F20"/>
          <w:w w:val="115"/>
          <w:sz w:val="16"/>
        </w:rPr>
        <w:t>aggression</w:t>
      </w:r>
      <w:r>
        <w:rPr>
          <w:i/>
          <w:color w:val="231F20"/>
          <w:spacing w:val="-11"/>
          <w:w w:val="115"/>
          <w:sz w:val="16"/>
        </w:rPr>
        <w:t xml:space="preserve"> </w:t>
      </w:r>
      <w:r>
        <w:rPr>
          <w:i/>
          <w:color w:val="231F20"/>
          <w:w w:val="115"/>
          <w:sz w:val="16"/>
        </w:rPr>
        <w:t>of</w:t>
      </w:r>
    </w:p>
    <w:p w14:paraId="099668D4" w14:textId="77777777" w:rsidR="002653E8" w:rsidRDefault="002653E8">
      <w:pPr>
        <w:spacing w:line="254" w:lineRule="auto"/>
        <w:rPr>
          <w:sz w:val="16"/>
        </w:rPr>
        <w:sectPr w:rsidR="002653E8">
          <w:pgSz w:w="8640" w:h="12960"/>
          <w:pgMar w:top="1220" w:right="0" w:bottom="1040" w:left="0" w:header="0" w:footer="850" w:gutter="0"/>
          <w:cols w:space="720"/>
        </w:sectPr>
      </w:pPr>
    </w:p>
    <w:p w14:paraId="6A4047AF" w14:textId="77777777" w:rsidR="002653E8" w:rsidRDefault="003115E3">
      <w:pPr>
        <w:pStyle w:val="a3"/>
        <w:spacing w:before="86" w:line="264" w:lineRule="auto"/>
        <w:ind w:left="1328" w:right="1145" w:firstLine="209"/>
        <w:jc w:val="both"/>
      </w:pPr>
      <w:r>
        <w:rPr>
          <w:color w:val="231F20"/>
        </w:rPr>
        <w:lastRenderedPageBreak/>
        <w:t>Right from its inception, Israel was engaged in ethnic cleansing: harassing,</w:t>
      </w:r>
      <w:r>
        <w:rPr>
          <w:color w:val="231F20"/>
          <w:spacing w:val="-5"/>
        </w:rPr>
        <w:t xml:space="preserve"> </w:t>
      </w:r>
      <w:r>
        <w:rPr>
          <w:color w:val="231F20"/>
        </w:rPr>
        <w:t>terrorizing,</w:t>
      </w:r>
      <w:r>
        <w:rPr>
          <w:color w:val="231F20"/>
          <w:spacing w:val="-5"/>
        </w:rPr>
        <w:t xml:space="preserve"> </w:t>
      </w:r>
      <w:r>
        <w:rPr>
          <w:color w:val="231F20"/>
        </w:rPr>
        <w:t>and</w:t>
      </w:r>
      <w:r>
        <w:rPr>
          <w:color w:val="231F20"/>
          <w:spacing w:val="-5"/>
        </w:rPr>
        <w:t xml:space="preserve"> </w:t>
      </w:r>
      <w:r>
        <w:rPr>
          <w:color w:val="231F20"/>
        </w:rPr>
        <w:t>murdering</w:t>
      </w:r>
      <w:r>
        <w:rPr>
          <w:color w:val="231F20"/>
          <w:spacing w:val="-5"/>
        </w:rPr>
        <w:t xml:space="preserve"> </w:t>
      </w:r>
      <w:r>
        <w:rPr>
          <w:color w:val="231F20"/>
        </w:rPr>
        <w:t>Palestinians</w:t>
      </w:r>
      <w:r>
        <w:rPr>
          <w:color w:val="231F20"/>
          <w:spacing w:val="-5"/>
        </w:rPr>
        <w:t xml:space="preserve"> </w:t>
      </w:r>
      <w:r>
        <w:rPr>
          <w:color w:val="231F20"/>
        </w:rPr>
        <w:t>in</w:t>
      </w:r>
      <w:r>
        <w:rPr>
          <w:color w:val="231F20"/>
          <w:spacing w:val="-5"/>
        </w:rPr>
        <w:t xml:space="preserve"> </w:t>
      </w:r>
      <w:r>
        <w:rPr>
          <w:color w:val="231F20"/>
        </w:rPr>
        <w:t>order</w:t>
      </w:r>
      <w:r>
        <w:rPr>
          <w:color w:val="231F20"/>
          <w:spacing w:val="-5"/>
        </w:rPr>
        <w:t xml:space="preserve"> </w:t>
      </w:r>
      <w:r>
        <w:rPr>
          <w:color w:val="231F20"/>
        </w:rPr>
        <w:t>to</w:t>
      </w:r>
      <w:r>
        <w:rPr>
          <w:color w:val="231F20"/>
          <w:spacing w:val="-5"/>
        </w:rPr>
        <w:t xml:space="preserve"> </w:t>
      </w:r>
      <w:r>
        <w:rPr>
          <w:color w:val="231F20"/>
        </w:rPr>
        <w:t>free</w:t>
      </w:r>
      <w:r>
        <w:rPr>
          <w:color w:val="231F20"/>
          <w:spacing w:val="-5"/>
        </w:rPr>
        <w:t xml:space="preserve"> </w:t>
      </w:r>
      <w:r>
        <w:rPr>
          <w:color w:val="231F20"/>
        </w:rPr>
        <w:t>up</w:t>
      </w:r>
      <w:r>
        <w:rPr>
          <w:color w:val="231F20"/>
          <w:spacing w:val="-5"/>
        </w:rPr>
        <w:t xml:space="preserve"> </w:t>
      </w:r>
      <w:r>
        <w:rPr>
          <w:color w:val="231F20"/>
        </w:rPr>
        <w:t>more land for Jewish settlers. Through its financial and military assistance, the FRG was directly complicit with this process, almost right from the start.</w:t>
      </w:r>
    </w:p>
    <w:p w14:paraId="3F0AE708" w14:textId="77777777" w:rsidR="002653E8" w:rsidRDefault="003115E3">
      <w:pPr>
        <w:pStyle w:val="a3"/>
        <w:spacing w:line="264" w:lineRule="auto"/>
        <w:ind w:left="1328" w:right="1145" w:firstLine="210"/>
        <w:jc w:val="both"/>
      </w:pPr>
      <w:r>
        <w:rPr>
          <w:color w:val="231F20"/>
        </w:rPr>
        <w:t xml:space="preserve">Unlike the reparations payments, the military aid and training was kept strictly secret. The Israeli government feared that its own population, which included a large number of Holocaust survivors, would vote them out of office if they learned that they were being armed and trained by the very Germans who so recently had carried out geno  cide against their people. The </w:t>
      </w:r>
      <w:r>
        <w:rPr>
          <w:color w:val="231F20"/>
          <w:spacing w:val="-3"/>
        </w:rPr>
        <w:t xml:space="preserve">West </w:t>
      </w:r>
      <w:r>
        <w:rPr>
          <w:color w:val="231F20"/>
        </w:rPr>
        <w:t xml:space="preserve">German government was also wary of domestic repercussions, as the idea of getting involved in an international flashpoint like the Middle East was expected to be unpopu   lar so soon after the Second </w:t>
      </w:r>
      <w:r>
        <w:rPr>
          <w:color w:val="231F20"/>
          <w:spacing w:val="-4"/>
        </w:rPr>
        <w:t xml:space="preserve">World War.  </w:t>
      </w:r>
      <w:r>
        <w:rPr>
          <w:color w:val="231F20"/>
        </w:rPr>
        <w:t xml:space="preserve">But much more importantly,  the </w:t>
      </w:r>
      <w:r>
        <w:rPr>
          <w:color w:val="231F20"/>
          <w:spacing w:val="-3"/>
        </w:rPr>
        <w:t xml:space="preserve">West </w:t>
      </w:r>
      <w:r>
        <w:rPr>
          <w:color w:val="231F20"/>
        </w:rPr>
        <w:t xml:space="preserve">German government was worried that such military support would alienate Arab governments, especially </w:t>
      </w:r>
      <w:r>
        <w:rPr>
          <w:color w:val="231F20"/>
          <w:spacing w:val="1"/>
        </w:rPr>
        <w:t xml:space="preserve">Egypt, </w:t>
      </w:r>
      <w:r>
        <w:rPr>
          <w:color w:val="231F20"/>
        </w:rPr>
        <w:t>perhaps even pushing</w:t>
      </w:r>
      <w:r>
        <w:rPr>
          <w:color w:val="231F20"/>
          <w:spacing w:val="10"/>
        </w:rPr>
        <w:t xml:space="preserve"> </w:t>
      </w:r>
      <w:r>
        <w:rPr>
          <w:color w:val="231F20"/>
        </w:rPr>
        <w:t>them</w:t>
      </w:r>
      <w:r>
        <w:rPr>
          <w:color w:val="231F20"/>
          <w:spacing w:val="10"/>
        </w:rPr>
        <w:t xml:space="preserve"> </w:t>
      </w:r>
      <w:r>
        <w:rPr>
          <w:color w:val="231F20"/>
        </w:rPr>
        <w:t>closer</w:t>
      </w:r>
      <w:r>
        <w:rPr>
          <w:color w:val="231F20"/>
          <w:spacing w:val="10"/>
        </w:rPr>
        <w:t xml:space="preserve"> </w:t>
      </w:r>
      <w:r>
        <w:rPr>
          <w:color w:val="231F20"/>
        </w:rPr>
        <w:t>to</w:t>
      </w:r>
      <w:r>
        <w:rPr>
          <w:color w:val="231F20"/>
          <w:spacing w:val="10"/>
        </w:rPr>
        <w:t xml:space="preserve"> </w:t>
      </w:r>
      <w:r>
        <w:rPr>
          <w:color w:val="231F20"/>
        </w:rPr>
        <w:t>the</w:t>
      </w:r>
      <w:r>
        <w:rPr>
          <w:color w:val="231F20"/>
          <w:spacing w:val="10"/>
        </w:rPr>
        <w:t xml:space="preserve"> </w:t>
      </w:r>
      <w:r>
        <w:rPr>
          <w:color w:val="231F20"/>
        </w:rPr>
        <w:t>Soviet</w:t>
      </w:r>
      <w:r>
        <w:rPr>
          <w:color w:val="231F20"/>
          <w:spacing w:val="10"/>
        </w:rPr>
        <w:t xml:space="preserve"> </w:t>
      </w:r>
      <w:r>
        <w:rPr>
          <w:color w:val="231F20"/>
        </w:rPr>
        <w:t>Bloc.</w:t>
      </w:r>
    </w:p>
    <w:p w14:paraId="204DEB4F" w14:textId="77777777" w:rsidR="002653E8" w:rsidRDefault="003115E3">
      <w:pPr>
        <w:pStyle w:val="a3"/>
        <w:spacing w:line="221" w:lineRule="exact"/>
        <w:ind w:left="1538"/>
      </w:pPr>
      <w:r>
        <w:rPr>
          <w:color w:val="231F20"/>
        </w:rPr>
        <w:t>As it turns out, this is exactly what happened.</w:t>
      </w:r>
    </w:p>
    <w:p w14:paraId="68490186" w14:textId="77777777" w:rsidR="002653E8" w:rsidRDefault="003115E3">
      <w:pPr>
        <w:pStyle w:val="a3"/>
        <w:spacing w:before="17" w:line="264" w:lineRule="auto"/>
        <w:ind w:left="1328" w:right="1145" w:firstLine="210"/>
        <w:jc w:val="both"/>
      </w:pPr>
      <w:r>
        <w:rPr>
          <w:color w:val="231F20"/>
        </w:rPr>
        <w:t xml:space="preserve">On October 26, </w:t>
      </w:r>
      <w:r>
        <w:rPr>
          <w:color w:val="231F20"/>
          <w:spacing w:val="-3"/>
        </w:rPr>
        <w:t xml:space="preserve">1964, </w:t>
      </w:r>
      <w:r>
        <w:rPr>
          <w:color w:val="231F20"/>
        </w:rPr>
        <w:t xml:space="preserve">the </w:t>
      </w:r>
      <w:r>
        <w:rPr>
          <w:i/>
          <w:color w:val="231F20"/>
        </w:rPr>
        <w:t xml:space="preserve">Frankfurter Rundschau </w:t>
      </w:r>
      <w:r>
        <w:rPr>
          <w:color w:val="231F20"/>
        </w:rPr>
        <w:t xml:space="preserve">broke the story. Despite initial denials from both Bonn and </w:t>
      </w:r>
      <w:r>
        <w:rPr>
          <w:color w:val="231F20"/>
          <w:spacing w:val="-5"/>
        </w:rPr>
        <w:t xml:space="preserve">Tel Aviv, </w:t>
      </w:r>
      <w:r>
        <w:rPr>
          <w:color w:val="231F20"/>
        </w:rPr>
        <w:t xml:space="preserve">within days, both governments were forced to admit that military arms and training had been provided since </w:t>
      </w:r>
      <w:r>
        <w:rPr>
          <w:color w:val="231F20"/>
          <w:spacing w:val="-7"/>
        </w:rPr>
        <w:t xml:space="preserve">1959. </w:t>
      </w:r>
      <w:r>
        <w:rPr>
          <w:color w:val="231F20"/>
        </w:rPr>
        <w:t xml:space="preserve">Reaction across the Arab world was quick in coming, one Egyptian journalist observing that “Germany, who wants   to make up for the sins of the Nazi regime, makes the Arabs pay with their </w:t>
      </w:r>
      <w:r>
        <w:rPr>
          <w:color w:val="231F20"/>
          <w:spacing w:val="-3"/>
        </w:rPr>
        <w:t>security.”</w:t>
      </w:r>
      <w:r>
        <w:rPr>
          <w:color w:val="231F20"/>
          <w:spacing w:val="-3"/>
          <w:position w:val="7"/>
          <w:sz w:val="11"/>
        </w:rPr>
        <w:t xml:space="preserve">5 </w:t>
      </w:r>
      <w:r>
        <w:rPr>
          <w:color w:val="231F20"/>
        </w:rPr>
        <w:t xml:space="preserve">Within a year, Egypt’s Nasser had arranged for the East German leader Walther Ulbricht to visit Cairo, and the </w:t>
      </w:r>
      <w:r>
        <w:rPr>
          <w:color w:val="231F20"/>
          <w:spacing w:val="-3"/>
        </w:rPr>
        <w:t xml:space="preserve">FRG’s </w:t>
      </w:r>
      <w:r>
        <w:rPr>
          <w:color w:val="231F20"/>
        </w:rPr>
        <w:t>contacts throughout the Arab world suffered</w:t>
      </w:r>
      <w:r>
        <w:rPr>
          <w:color w:val="231F20"/>
          <w:spacing w:val="10"/>
        </w:rPr>
        <w:t xml:space="preserve"> </w:t>
      </w:r>
      <w:r>
        <w:rPr>
          <w:color w:val="231F20"/>
        </w:rPr>
        <w:t>greatly.</w:t>
      </w:r>
    </w:p>
    <w:p w14:paraId="53CC6AFD" w14:textId="77777777" w:rsidR="002653E8" w:rsidRDefault="003115E3">
      <w:pPr>
        <w:pStyle w:val="a3"/>
        <w:spacing w:line="264" w:lineRule="auto"/>
        <w:ind w:left="1327" w:right="1145" w:firstLine="210"/>
        <w:jc w:val="both"/>
      </w:pPr>
      <w:r>
        <w:rPr>
          <w:color w:val="231F20"/>
        </w:rPr>
        <w:t>Nevertheless, though the arms shipments were cut off in 1965, the FRG remained Israel’s staunchest European ally. The opportunity to prove this came soon enough.</w:t>
      </w:r>
    </w:p>
    <w:p w14:paraId="643148AB" w14:textId="77777777" w:rsidR="002653E8" w:rsidRDefault="003115E3">
      <w:pPr>
        <w:pStyle w:val="a3"/>
        <w:spacing w:line="264" w:lineRule="auto"/>
        <w:ind w:left="1328" w:right="1145" w:firstLine="210"/>
        <w:jc w:val="both"/>
      </w:pPr>
      <w:r>
        <w:rPr>
          <w:color w:val="231F20"/>
        </w:rPr>
        <w:t xml:space="preserve">On June </w:t>
      </w:r>
      <w:r>
        <w:rPr>
          <w:color w:val="231F20"/>
          <w:spacing w:val="-4"/>
        </w:rPr>
        <w:t xml:space="preserve">5, </w:t>
      </w:r>
      <w:r>
        <w:rPr>
          <w:color w:val="231F20"/>
          <w:spacing w:val="-7"/>
        </w:rPr>
        <w:t xml:space="preserve">1967, </w:t>
      </w:r>
      <w:r>
        <w:rPr>
          <w:color w:val="231F20"/>
        </w:rPr>
        <w:t xml:space="preserve">Israel attacked Egyptian forces in the Sinai and the Gaza Strip with air strikes and tanks, beginning what became known    as the Six Day </w:t>
      </w:r>
      <w:r>
        <w:rPr>
          <w:color w:val="231F20"/>
          <w:spacing w:val="-4"/>
        </w:rPr>
        <w:t xml:space="preserve">War. </w:t>
      </w:r>
      <w:r>
        <w:rPr>
          <w:color w:val="231F20"/>
        </w:rPr>
        <w:t>(Just two weeks previously,  the  FRG  had  delivered a final shipment of 800 troop transports.)</w:t>
      </w:r>
      <w:r>
        <w:rPr>
          <w:color w:val="231F20"/>
          <w:position w:val="7"/>
          <w:sz w:val="11"/>
        </w:rPr>
        <w:t xml:space="preserve">6 </w:t>
      </w:r>
      <w:r>
        <w:rPr>
          <w:color w:val="231F20"/>
        </w:rPr>
        <w:t xml:space="preserve">Soon, both Syria and Jordan entered the conflict in support of </w:t>
      </w:r>
      <w:r>
        <w:rPr>
          <w:color w:val="231F20"/>
          <w:spacing w:val="1"/>
        </w:rPr>
        <w:t xml:space="preserve">Egypt. </w:t>
      </w:r>
      <w:r>
        <w:rPr>
          <w:color w:val="231F20"/>
        </w:rPr>
        <w:t>Nevertheless,</w:t>
      </w:r>
      <w:r>
        <w:rPr>
          <w:color w:val="231F20"/>
          <w:spacing w:val="-6"/>
        </w:rPr>
        <w:t xml:space="preserve"> </w:t>
      </w:r>
      <w:r>
        <w:rPr>
          <w:color w:val="231F20"/>
        </w:rPr>
        <w:t>thanks</w:t>
      </w:r>
    </w:p>
    <w:p w14:paraId="51BDC361" w14:textId="77777777" w:rsidR="002653E8" w:rsidRDefault="00000000">
      <w:pPr>
        <w:pStyle w:val="a3"/>
        <w:spacing w:before="11"/>
        <w:rPr>
          <w:sz w:val="24"/>
        </w:rPr>
      </w:pPr>
      <w:r>
        <w:rPr>
          <w:noProof w:val="0"/>
        </w:rPr>
        <w:pict w14:anchorId="381CC602">
          <v:line id="_x0000_s2132" style="position:absolute;z-index:11512;mso-wrap-distance-left:0;mso-wrap-distance-right:0;mso-position-horizontal-relative:page" from="66.4pt,17.1pt" to="354.4pt,17.1pt" strokecolor="#231f20" strokeweight="1pt">
            <w10:wrap type="topAndBottom" anchorx="page"/>
          </v:line>
        </w:pict>
      </w:r>
    </w:p>
    <w:p w14:paraId="77FD325B" w14:textId="77777777" w:rsidR="002653E8" w:rsidRDefault="003115E3">
      <w:pPr>
        <w:spacing w:before="8" w:line="254" w:lineRule="auto"/>
        <w:ind w:left="1327" w:right="1580"/>
        <w:rPr>
          <w:sz w:val="16"/>
        </w:rPr>
      </w:pPr>
      <w:r>
        <w:rPr>
          <w:i/>
          <w:color w:val="231F20"/>
          <w:w w:val="105"/>
          <w:sz w:val="16"/>
        </w:rPr>
        <w:t xml:space="preserve">Israel against the Arab States, </w:t>
      </w:r>
      <w:r>
        <w:rPr>
          <w:color w:val="231F20"/>
          <w:w w:val="105"/>
          <w:sz w:val="16"/>
        </w:rPr>
        <w:t>(Dresden, German Democratic Republic: GermanArab Society of the GDR, 1967), 20.</w:t>
      </w:r>
    </w:p>
    <w:p w14:paraId="4781D042" w14:textId="77777777" w:rsidR="002653E8" w:rsidRDefault="003115E3">
      <w:pPr>
        <w:pStyle w:val="a4"/>
        <w:numPr>
          <w:ilvl w:val="0"/>
          <w:numId w:val="1"/>
        </w:numPr>
        <w:tabs>
          <w:tab w:val="left" w:pos="1467"/>
        </w:tabs>
        <w:rPr>
          <w:sz w:val="16"/>
        </w:rPr>
      </w:pPr>
      <w:r>
        <w:rPr>
          <w:color w:val="231F20"/>
          <w:w w:val="110"/>
          <w:sz w:val="16"/>
        </w:rPr>
        <w:t>Muhammad Heikal in Lavy,</w:t>
      </w:r>
      <w:r>
        <w:rPr>
          <w:color w:val="231F20"/>
          <w:spacing w:val="25"/>
          <w:w w:val="110"/>
          <w:sz w:val="16"/>
        </w:rPr>
        <w:t xml:space="preserve"> </w:t>
      </w:r>
      <w:r>
        <w:rPr>
          <w:color w:val="231F20"/>
          <w:w w:val="110"/>
          <w:sz w:val="16"/>
        </w:rPr>
        <w:t>100.</w:t>
      </w:r>
    </w:p>
    <w:p w14:paraId="5A1F4FEA" w14:textId="77777777" w:rsidR="002653E8" w:rsidRPr="00846956" w:rsidRDefault="003115E3">
      <w:pPr>
        <w:pStyle w:val="a4"/>
        <w:numPr>
          <w:ilvl w:val="0"/>
          <w:numId w:val="1"/>
        </w:numPr>
        <w:tabs>
          <w:tab w:val="left" w:pos="1467"/>
        </w:tabs>
        <w:spacing w:before="51"/>
        <w:rPr>
          <w:sz w:val="16"/>
          <w:lang w:val="de-DE"/>
        </w:rPr>
      </w:pPr>
      <w:r w:rsidRPr="00846956">
        <w:rPr>
          <w:color w:val="231F20"/>
          <w:w w:val="110"/>
          <w:sz w:val="16"/>
          <w:lang w:val="de-DE"/>
        </w:rPr>
        <w:t>Deutsche-Arabische Gesellschaft der DDR,</w:t>
      </w:r>
      <w:r w:rsidRPr="00846956">
        <w:rPr>
          <w:color w:val="231F20"/>
          <w:spacing w:val="23"/>
          <w:w w:val="110"/>
          <w:sz w:val="16"/>
          <w:lang w:val="de-DE"/>
        </w:rPr>
        <w:t xml:space="preserve"> </w:t>
      </w:r>
      <w:r w:rsidRPr="00846956">
        <w:rPr>
          <w:color w:val="231F20"/>
          <w:w w:val="110"/>
          <w:sz w:val="16"/>
          <w:lang w:val="de-DE"/>
        </w:rPr>
        <w:t>21.</w:t>
      </w:r>
    </w:p>
    <w:p w14:paraId="7E4998F9" w14:textId="77777777" w:rsidR="002653E8" w:rsidRPr="00846956" w:rsidRDefault="002653E8">
      <w:pPr>
        <w:rPr>
          <w:sz w:val="16"/>
          <w:lang w:val="de-DE"/>
        </w:rPr>
        <w:sectPr w:rsidR="002653E8" w:rsidRPr="00846956">
          <w:footerReference w:type="even" r:id="rId467"/>
          <w:footerReference w:type="default" r:id="rId468"/>
          <w:pgSz w:w="8640" w:h="12960"/>
          <w:pgMar w:top="1060" w:right="0" w:bottom="1040" w:left="0" w:header="0" w:footer="850" w:gutter="0"/>
          <w:pgNumType w:start="551"/>
          <w:cols w:space="720"/>
        </w:sectPr>
      </w:pPr>
    </w:p>
    <w:p w14:paraId="687E87E8" w14:textId="77777777" w:rsidR="002653E8" w:rsidRDefault="003115E3">
      <w:pPr>
        <w:pStyle w:val="a3"/>
        <w:spacing w:before="86" w:line="264" w:lineRule="auto"/>
        <w:ind w:left="1147" w:right="1326"/>
        <w:jc w:val="both"/>
      </w:pPr>
      <w:r>
        <w:rPr>
          <w:color w:val="231F20"/>
        </w:rPr>
        <w:lastRenderedPageBreak/>
        <w:t xml:space="preserve">to its far greater military capacity, Israel quickly routed all three Arab armies, seizing the Golan Heights, the Sinai Peninsula, the </w:t>
      </w:r>
      <w:r>
        <w:rPr>
          <w:color w:val="231F20"/>
          <w:spacing w:val="-3"/>
        </w:rPr>
        <w:t xml:space="preserve">West </w:t>
      </w:r>
      <w:r>
        <w:rPr>
          <w:color w:val="231F20"/>
        </w:rPr>
        <w:t>Bank, and the Gaza Strip. As a measure of the military imbalance,  barely  1,000 Israeli soldiers lost their lives in this conflict, compared to over 11,000</w:t>
      </w:r>
      <w:r>
        <w:rPr>
          <w:color w:val="231F20"/>
          <w:spacing w:val="13"/>
        </w:rPr>
        <w:t xml:space="preserve"> </w:t>
      </w:r>
      <w:r>
        <w:rPr>
          <w:color w:val="231F20"/>
        </w:rPr>
        <w:t>Egyptians,</w:t>
      </w:r>
      <w:r>
        <w:rPr>
          <w:color w:val="231F20"/>
          <w:spacing w:val="13"/>
        </w:rPr>
        <w:t xml:space="preserve"> </w:t>
      </w:r>
      <w:r>
        <w:rPr>
          <w:color w:val="231F20"/>
        </w:rPr>
        <w:t>700</w:t>
      </w:r>
      <w:r>
        <w:rPr>
          <w:color w:val="231F20"/>
          <w:spacing w:val="13"/>
        </w:rPr>
        <w:t xml:space="preserve"> </w:t>
      </w:r>
      <w:r>
        <w:rPr>
          <w:color w:val="231F20"/>
        </w:rPr>
        <w:t>Jordanians,</w:t>
      </w:r>
      <w:r>
        <w:rPr>
          <w:color w:val="231F20"/>
          <w:spacing w:val="13"/>
        </w:rPr>
        <w:t xml:space="preserve"> </w:t>
      </w:r>
      <w:r>
        <w:rPr>
          <w:color w:val="231F20"/>
        </w:rPr>
        <w:t>and</w:t>
      </w:r>
      <w:r>
        <w:rPr>
          <w:color w:val="231F20"/>
          <w:spacing w:val="13"/>
        </w:rPr>
        <w:t xml:space="preserve"> </w:t>
      </w:r>
      <w:r>
        <w:rPr>
          <w:color w:val="231F20"/>
        </w:rPr>
        <w:t>2,500</w:t>
      </w:r>
      <w:r>
        <w:rPr>
          <w:color w:val="231F20"/>
          <w:spacing w:val="13"/>
        </w:rPr>
        <w:t xml:space="preserve"> </w:t>
      </w:r>
      <w:r>
        <w:rPr>
          <w:color w:val="231F20"/>
        </w:rPr>
        <w:t>Syrians.</w:t>
      </w:r>
    </w:p>
    <w:p w14:paraId="5930CE6F" w14:textId="77777777" w:rsidR="002653E8" w:rsidRDefault="003115E3">
      <w:pPr>
        <w:pStyle w:val="a3"/>
        <w:spacing w:line="264" w:lineRule="auto"/>
        <w:ind w:left="1147" w:right="1326" w:firstLine="210"/>
        <w:jc w:val="both"/>
      </w:pPr>
      <w:r>
        <w:rPr>
          <w:color w:val="231F20"/>
        </w:rPr>
        <w:t>Hundreds of thousands of Palestinians fled the newly occupied territories, swelling the numbers in the hellish Jordanian refugee camps, while over 600,000 remained as newly colonized subjects of the racist Israeli state.</w:t>
      </w:r>
    </w:p>
    <w:p w14:paraId="406C5B88" w14:textId="77777777" w:rsidR="002653E8" w:rsidRDefault="003115E3">
      <w:pPr>
        <w:pStyle w:val="a3"/>
        <w:spacing w:line="264" w:lineRule="auto"/>
        <w:ind w:left="1147" w:right="1326" w:firstLine="210"/>
        <w:jc w:val="both"/>
        <w:rPr>
          <w:sz w:val="11"/>
        </w:rPr>
      </w:pPr>
      <w:r>
        <w:rPr>
          <w:color w:val="231F20"/>
        </w:rPr>
        <w:t xml:space="preserve">Back in the FRG, the Six Day </w:t>
      </w:r>
      <w:r>
        <w:rPr>
          <w:color w:val="231F20"/>
          <w:spacing w:val="-3"/>
        </w:rPr>
        <w:t xml:space="preserve">War </w:t>
      </w:r>
      <w:r>
        <w:rPr>
          <w:color w:val="231F20"/>
        </w:rPr>
        <w:t xml:space="preserve">provided the occasion for a  strangely unhealthy—but highly revealing—identification with the Israeli aggressors. The SPD, the CDU, and the Springer Press all went into overdrive, whipping up war frenzy throughout the country, even   as Bonn professed that it would not intervene. As Chancellor Kiesinger, the former Nazi, explained it, “our non-intervention, i.e. neutrality in   the sense of international </w:t>
      </w:r>
      <w:r>
        <w:rPr>
          <w:color w:val="231F20"/>
          <w:spacing w:val="-4"/>
        </w:rPr>
        <w:t xml:space="preserve">law, </w:t>
      </w:r>
      <w:r>
        <w:rPr>
          <w:color w:val="231F20"/>
        </w:rPr>
        <w:t>cannot mean moral indifference or indolence of the</w:t>
      </w:r>
      <w:r>
        <w:rPr>
          <w:color w:val="231F20"/>
          <w:spacing w:val="32"/>
        </w:rPr>
        <w:t xml:space="preserve"> </w:t>
      </w:r>
      <w:r>
        <w:rPr>
          <w:color w:val="231F20"/>
        </w:rPr>
        <w:t>heart.”</w:t>
      </w:r>
      <w:r>
        <w:rPr>
          <w:color w:val="231F20"/>
          <w:position w:val="7"/>
          <w:sz w:val="11"/>
        </w:rPr>
        <w:t>1</w:t>
      </w:r>
    </w:p>
    <w:p w14:paraId="180036C4" w14:textId="77777777" w:rsidR="002653E8" w:rsidRDefault="003115E3">
      <w:pPr>
        <w:pStyle w:val="a3"/>
        <w:spacing w:line="264" w:lineRule="auto"/>
        <w:ind w:left="1147" w:right="1325" w:firstLine="210"/>
        <w:jc w:val="both"/>
        <w:rPr>
          <w:sz w:val="11"/>
        </w:rPr>
      </w:pPr>
      <w:r>
        <w:rPr>
          <w:color w:val="231F20"/>
        </w:rPr>
        <w:t>City governments sent hundreds of thousands of marks in donations, and hundreds of thousands more were contributed by individual citizens to the German-Israeli Society,</w:t>
      </w:r>
      <w:r>
        <w:rPr>
          <w:color w:val="231F20"/>
          <w:position w:val="7"/>
          <w:sz w:val="11"/>
        </w:rPr>
        <w:t xml:space="preserve">2 </w:t>
      </w:r>
      <w:r>
        <w:rPr>
          <w:color w:val="231F20"/>
        </w:rPr>
        <w:t xml:space="preserve">while the </w:t>
      </w:r>
      <w:r>
        <w:rPr>
          <w:color w:val="231F20"/>
          <w:spacing w:val="-3"/>
        </w:rPr>
        <w:t xml:space="preserve">West </w:t>
      </w:r>
      <w:r>
        <w:rPr>
          <w:color w:val="231F20"/>
        </w:rPr>
        <w:t xml:space="preserve">German Federation of </w:t>
      </w:r>
      <w:r>
        <w:rPr>
          <w:color w:val="231F20"/>
          <w:spacing w:val="-3"/>
        </w:rPr>
        <w:t xml:space="preserve">Trade </w:t>
      </w:r>
      <w:r>
        <w:rPr>
          <w:color w:val="231F20"/>
        </w:rPr>
        <w:t xml:space="preserve">Unions invested three million marks in Israeli bonds, </w:t>
      </w:r>
      <w:r>
        <w:rPr>
          <w:color w:val="231F20"/>
          <w:spacing w:val="-3"/>
        </w:rPr>
        <w:t xml:space="preserve">“as </w:t>
      </w:r>
      <w:r>
        <w:rPr>
          <w:color w:val="231F20"/>
        </w:rPr>
        <w:t xml:space="preserve">a visible expression of solidarity with and confidence in </w:t>
      </w:r>
      <w:r>
        <w:rPr>
          <w:color w:val="231F20"/>
          <w:spacing w:val="-3"/>
        </w:rPr>
        <w:t>Israel.”</w:t>
      </w:r>
      <w:r>
        <w:rPr>
          <w:color w:val="231F20"/>
          <w:spacing w:val="-3"/>
          <w:position w:val="7"/>
          <w:sz w:val="11"/>
        </w:rPr>
        <w:t xml:space="preserve">3 </w:t>
      </w:r>
      <w:r>
        <w:rPr>
          <w:color w:val="231F20"/>
        </w:rPr>
        <w:t>Parallel to this, development aid credits to Israel’s Arab neighbors were frozen and German development aid workers were flown</w:t>
      </w:r>
      <w:r>
        <w:rPr>
          <w:color w:val="231F20"/>
          <w:spacing w:val="17"/>
        </w:rPr>
        <w:t xml:space="preserve"> </w:t>
      </w:r>
      <w:r>
        <w:rPr>
          <w:color w:val="231F20"/>
        </w:rPr>
        <w:t>home.</w:t>
      </w:r>
      <w:r>
        <w:rPr>
          <w:color w:val="231F20"/>
          <w:position w:val="7"/>
          <w:sz w:val="11"/>
        </w:rPr>
        <w:t>4</w:t>
      </w:r>
    </w:p>
    <w:p w14:paraId="5B41C62F" w14:textId="77777777" w:rsidR="002653E8" w:rsidRDefault="003115E3">
      <w:pPr>
        <w:pStyle w:val="a3"/>
        <w:spacing w:line="264" w:lineRule="auto"/>
        <w:ind w:left="1147" w:right="1325" w:firstLine="210"/>
        <w:jc w:val="both"/>
        <w:rPr>
          <w:sz w:val="11"/>
        </w:rPr>
      </w:pPr>
      <w:r>
        <w:rPr>
          <w:color w:val="231F20"/>
        </w:rPr>
        <w:t xml:space="preserve">Hundreds of volunteers were recruited and flown from Munich and the </w:t>
      </w:r>
      <w:r>
        <w:rPr>
          <w:color w:val="231F20"/>
          <w:spacing w:val="-3"/>
        </w:rPr>
        <w:t xml:space="preserve">NATO </w:t>
      </w:r>
      <w:r>
        <w:rPr>
          <w:color w:val="231F20"/>
        </w:rPr>
        <w:t>Rhine-Main Airport to support Israel  in  the  war  zone.</w:t>
      </w:r>
      <w:r>
        <w:rPr>
          <w:color w:val="231F20"/>
          <w:position w:val="7"/>
          <w:sz w:val="11"/>
        </w:rPr>
        <w:t xml:space="preserve">5  </w:t>
      </w:r>
      <w:r>
        <w:rPr>
          <w:color w:val="231F20"/>
        </w:rPr>
        <w:t xml:space="preserve">While the </w:t>
      </w:r>
      <w:r>
        <w:rPr>
          <w:color w:val="231F20"/>
          <w:spacing w:val="-3"/>
        </w:rPr>
        <w:t xml:space="preserve">West </w:t>
      </w:r>
      <w:r>
        <w:rPr>
          <w:color w:val="231F20"/>
        </w:rPr>
        <w:t>German government insisted that these volunteers were only engaged in “non-military” activities, East German newspapers claimed</w:t>
      </w:r>
      <w:r>
        <w:rPr>
          <w:color w:val="231F20"/>
          <w:spacing w:val="10"/>
        </w:rPr>
        <w:t xml:space="preserve"> </w:t>
      </w:r>
      <w:r>
        <w:rPr>
          <w:color w:val="231F20"/>
        </w:rPr>
        <w:t>that</w:t>
      </w:r>
      <w:r>
        <w:rPr>
          <w:color w:val="231F20"/>
          <w:spacing w:val="10"/>
        </w:rPr>
        <w:t xml:space="preserve"> </w:t>
      </w:r>
      <w:r>
        <w:rPr>
          <w:color w:val="231F20"/>
        </w:rPr>
        <w:t>many</w:t>
      </w:r>
      <w:r>
        <w:rPr>
          <w:color w:val="231F20"/>
          <w:spacing w:val="10"/>
        </w:rPr>
        <w:t xml:space="preserve"> </w:t>
      </w:r>
      <w:r>
        <w:rPr>
          <w:color w:val="231F20"/>
        </w:rPr>
        <w:t>were</w:t>
      </w:r>
      <w:r>
        <w:rPr>
          <w:color w:val="231F20"/>
          <w:spacing w:val="10"/>
        </w:rPr>
        <w:t xml:space="preserve"> </w:t>
      </w:r>
      <w:r>
        <w:rPr>
          <w:color w:val="231F20"/>
        </w:rPr>
        <w:t>in</w:t>
      </w:r>
      <w:r>
        <w:rPr>
          <w:color w:val="231F20"/>
          <w:spacing w:val="10"/>
        </w:rPr>
        <w:t xml:space="preserve"> </w:t>
      </w:r>
      <w:r>
        <w:rPr>
          <w:color w:val="231F20"/>
        </w:rPr>
        <w:t>fact</w:t>
      </w:r>
      <w:r>
        <w:rPr>
          <w:color w:val="231F20"/>
          <w:spacing w:val="10"/>
        </w:rPr>
        <w:t xml:space="preserve"> </w:t>
      </w:r>
      <w:r>
        <w:rPr>
          <w:color w:val="231F20"/>
        </w:rPr>
        <w:t>serving</w:t>
      </w:r>
      <w:r>
        <w:rPr>
          <w:color w:val="231F20"/>
          <w:spacing w:val="10"/>
        </w:rPr>
        <w:t xml:space="preserve"> </w:t>
      </w:r>
      <w:r>
        <w:rPr>
          <w:color w:val="231F20"/>
        </w:rPr>
        <w:t>as</w:t>
      </w:r>
      <w:r>
        <w:rPr>
          <w:color w:val="231F20"/>
          <w:spacing w:val="10"/>
        </w:rPr>
        <w:t xml:space="preserve"> </w:t>
      </w:r>
      <w:r>
        <w:rPr>
          <w:color w:val="231F20"/>
        </w:rPr>
        <w:t>soldiers.</w:t>
      </w:r>
      <w:r>
        <w:rPr>
          <w:color w:val="231F20"/>
          <w:position w:val="7"/>
          <w:sz w:val="11"/>
        </w:rPr>
        <w:t>6</w:t>
      </w:r>
    </w:p>
    <w:p w14:paraId="055CCFC5" w14:textId="77777777" w:rsidR="002653E8" w:rsidRDefault="003115E3">
      <w:pPr>
        <w:pStyle w:val="a3"/>
        <w:spacing w:line="264" w:lineRule="auto"/>
        <w:ind w:left="1147" w:right="1326" w:firstLine="210"/>
        <w:jc w:val="both"/>
      </w:pPr>
      <w:r>
        <w:rPr>
          <w:color w:val="231F20"/>
        </w:rPr>
        <w:t>In newspapers and magazines, most especially the Springer Press, the Israeli attack was described in eerily nostalgic terms. Defense Minister Moshe Dayan was praised as a new “desert fox,”</w:t>
      </w:r>
      <w:r>
        <w:rPr>
          <w:color w:val="231F20"/>
          <w:position w:val="7"/>
          <w:sz w:val="11"/>
        </w:rPr>
        <w:t xml:space="preserve">7 </w:t>
      </w:r>
      <w:r>
        <w:rPr>
          <w:color w:val="231F20"/>
        </w:rPr>
        <w:t>a term that had previ-</w:t>
      </w:r>
    </w:p>
    <w:p w14:paraId="549B721C" w14:textId="77777777" w:rsidR="002653E8" w:rsidRDefault="00000000">
      <w:pPr>
        <w:pStyle w:val="a3"/>
        <w:spacing w:before="7"/>
        <w:rPr>
          <w:sz w:val="21"/>
        </w:rPr>
      </w:pPr>
      <w:r>
        <w:rPr>
          <w:noProof w:val="0"/>
        </w:rPr>
        <w:pict w14:anchorId="42E5117E">
          <v:line id="_x0000_s2131" style="position:absolute;z-index:11536;mso-wrap-distance-left:0;mso-wrap-distance-right:0;mso-position-horizontal-relative:page" from="57.4pt,14.9pt" to="129.4pt,14.9pt" strokecolor="#231f20" strokeweight=".5pt">
            <w10:wrap type="topAndBottom" anchorx="page"/>
          </v:line>
        </w:pict>
      </w:r>
    </w:p>
    <w:p w14:paraId="6A758931" w14:textId="77777777" w:rsidR="002653E8" w:rsidRPr="00846956" w:rsidRDefault="003115E3">
      <w:pPr>
        <w:spacing w:before="53"/>
        <w:ind w:left="1147"/>
        <w:rPr>
          <w:sz w:val="16"/>
          <w:lang w:val="de-DE"/>
        </w:rPr>
      </w:pPr>
      <w:r w:rsidRPr="00846956">
        <w:rPr>
          <w:color w:val="231F20"/>
          <w:w w:val="110"/>
          <w:sz w:val="16"/>
          <w:lang w:val="de-DE"/>
        </w:rPr>
        <w:t>1 Lavy, 150.</w:t>
      </w:r>
    </w:p>
    <w:p w14:paraId="3A1D01A8" w14:textId="77777777" w:rsidR="002653E8" w:rsidRPr="00846956" w:rsidRDefault="003115E3">
      <w:pPr>
        <w:spacing w:before="51"/>
        <w:ind w:left="1148"/>
        <w:rPr>
          <w:sz w:val="16"/>
          <w:lang w:val="de-DE"/>
        </w:rPr>
      </w:pPr>
      <w:r w:rsidRPr="00846956">
        <w:rPr>
          <w:color w:val="231F20"/>
          <w:w w:val="110"/>
          <w:sz w:val="16"/>
          <w:lang w:val="de-DE"/>
        </w:rPr>
        <w:t>2 Deutsche-Arabische Gesellschaft der DDR, 32</w:t>
      </w:r>
    </w:p>
    <w:p w14:paraId="05D5503E" w14:textId="77777777" w:rsidR="002653E8" w:rsidRDefault="003115E3">
      <w:pPr>
        <w:spacing w:before="52"/>
        <w:ind w:left="1148"/>
        <w:rPr>
          <w:sz w:val="16"/>
        </w:rPr>
      </w:pPr>
      <w:r>
        <w:rPr>
          <w:color w:val="231F20"/>
          <w:w w:val="110"/>
          <w:sz w:val="16"/>
        </w:rPr>
        <w:t>3 Lavy,153.</w:t>
      </w:r>
    </w:p>
    <w:p w14:paraId="63741591" w14:textId="77777777" w:rsidR="002653E8" w:rsidRPr="00846956" w:rsidRDefault="003115E3">
      <w:pPr>
        <w:pStyle w:val="a4"/>
        <w:numPr>
          <w:ilvl w:val="0"/>
          <w:numId w:val="37"/>
        </w:numPr>
        <w:tabs>
          <w:tab w:val="left" w:pos="1287"/>
        </w:tabs>
        <w:spacing w:before="52"/>
        <w:ind w:hanging="138"/>
        <w:rPr>
          <w:sz w:val="16"/>
          <w:lang w:val="de-DE"/>
        </w:rPr>
      </w:pPr>
      <w:r w:rsidRPr="00846956">
        <w:rPr>
          <w:color w:val="231F20"/>
          <w:w w:val="110"/>
          <w:sz w:val="16"/>
          <w:lang w:val="de-DE"/>
        </w:rPr>
        <w:t>Deutsche-Arabische Gesellschaft der DDR,</w:t>
      </w:r>
      <w:r w:rsidRPr="00846956">
        <w:rPr>
          <w:color w:val="231F20"/>
          <w:spacing w:val="25"/>
          <w:w w:val="110"/>
          <w:sz w:val="16"/>
          <w:lang w:val="de-DE"/>
        </w:rPr>
        <w:t xml:space="preserve"> </w:t>
      </w:r>
      <w:r w:rsidRPr="00846956">
        <w:rPr>
          <w:color w:val="231F20"/>
          <w:w w:val="110"/>
          <w:sz w:val="16"/>
          <w:lang w:val="de-DE"/>
        </w:rPr>
        <w:t>34.</w:t>
      </w:r>
    </w:p>
    <w:p w14:paraId="776C3A9B" w14:textId="77777777" w:rsidR="002653E8" w:rsidRPr="00846956" w:rsidRDefault="003115E3">
      <w:pPr>
        <w:pStyle w:val="a4"/>
        <w:numPr>
          <w:ilvl w:val="0"/>
          <w:numId w:val="37"/>
        </w:numPr>
        <w:tabs>
          <w:tab w:val="left" w:pos="1287"/>
        </w:tabs>
        <w:spacing w:before="51"/>
        <w:ind w:hanging="138"/>
        <w:rPr>
          <w:sz w:val="16"/>
          <w:lang w:val="de-DE"/>
        </w:rPr>
      </w:pPr>
      <w:r w:rsidRPr="00846956">
        <w:rPr>
          <w:color w:val="231F20"/>
          <w:w w:val="110"/>
          <w:sz w:val="16"/>
          <w:lang w:val="de-DE"/>
        </w:rPr>
        <w:t xml:space="preserve">Lavy, </w:t>
      </w:r>
      <w:r w:rsidRPr="00846956">
        <w:rPr>
          <w:color w:val="231F20"/>
          <w:spacing w:val="-4"/>
          <w:w w:val="110"/>
          <w:sz w:val="16"/>
          <w:lang w:val="de-DE"/>
        </w:rPr>
        <w:t xml:space="preserve">150; </w:t>
      </w:r>
      <w:r w:rsidRPr="00846956">
        <w:rPr>
          <w:color w:val="231F20"/>
          <w:w w:val="110"/>
          <w:sz w:val="16"/>
          <w:lang w:val="de-DE"/>
        </w:rPr>
        <w:t xml:space="preserve">Deutsche-Arabische Gesellschaft der DDR, </w:t>
      </w:r>
      <w:r w:rsidRPr="00846956">
        <w:rPr>
          <w:color w:val="231F20"/>
          <w:spacing w:val="-4"/>
          <w:w w:val="110"/>
          <w:sz w:val="16"/>
          <w:lang w:val="de-DE"/>
        </w:rPr>
        <w:t>31.</w:t>
      </w:r>
    </w:p>
    <w:p w14:paraId="0E1151D6" w14:textId="77777777" w:rsidR="002653E8" w:rsidRPr="00846956" w:rsidRDefault="003115E3">
      <w:pPr>
        <w:pStyle w:val="a4"/>
        <w:numPr>
          <w:ilvl w:val="0"/>
          <w:numId w:val="37"/>
        </w:numPr>
        <w:tabs>
          <w:tab w:val="left" w:pos="1287"/>
        </w:tabs>
        <w:spacing w:before="52"/>
        <w:ind w:hanging="138"/>
        <w:rPr>
          <w:sz w:val="16"/>
          <w:lang w:val="de-DE"/>
        </w:rPr>
      </w:pPr>
      <w:r w:rsidRPr="00846956">
        <w:rPr>
          <w:color w:val="231F20"/>
          <w:w w:val="110"/>
          <w:sz w:val="16"/>
          <w:lang w:val="de-DE"/>
        </w:rPr>
        <w:t>Deutsche-Arabische Gesellschaft der DDR,</w:t>
      </w:r>
      <w:r w:rsidRPr="00846956">
        <w:rPr>
          <w:color w:val="231F20"/>
          <w:spacing w:val="25"/>
          <w:w w:val="110"/>
          <w:sz w:val="16"/>
          <w:lang w:val="de-DE"/>
        </w:rPr>
        <w:t xml:space="preserve"> </w:t>
      </w:r>
      <w:r w:rsidRPr="00846956">
        <w:rPr>
          <w:color w:val="231F20"/>
          <w:spacing w:val="-4"/>
          <w:w w:val="110"/>
          <w:sz w:val="16"/>
          <w:lang w:val="de-DE"/>
        </w:rPr>
        <w:t>31.</w:t>
      </w:r>
    </w:p>
    <w:p w14:paraId="497D263B" w14:textId="77777777" w:rsidR="002653E8" w:rsidRDefault="003115E3">
      <w:pPr>
        <w:spacing w:before="52"/>
        <w:ind w:left="1148"/>
        <w:rPr>
          <w:sz w:val="16"/>
        </w:rPr>
      </w:pPr>
      <w:r>
        <w:rPr>
          <w:color w:val="231F20"/>
          <w:w w:val="110"/>
          <w:sz w:val="16"/>
        </w:rPr>
        <w:t>7 Lavy, 155.</w:t>
      </w:r>
    </w:p>
    <w:p w14:paraId="613074B5" w14:textId="77777777" w:rsidR="002653E8" w:rsidRDefault="002653E8">
      <w:pPr>
        <w:rPr>
          <w:sz w:val="16"/>
        </w:rPr>
        <w:sectPr w:rsidR="002653E8">
          <w:pgSz w:w="8640" w:h="12960"/>
          <w:pgMar w:top="1060" w:right="0" w:bottom="1040" w:left="0" w:header="0" w:footer="850" w:gutter="0"/>
          <w:cols w:space="720"/>
        </w:sectPr>
      </w:pPr>
    </w:p>
    <w:p w14:paraId="1AFA2457" w14:textId="77777777" w:rsidR="002653E8" w:rsidRDefault="003115E3">
      <w:pPr>
        <w:pStyle w:val="a3"/>
        <w:spacing w:before="86" w:line="264" w:lineRule="auto"/>
        <w:ind w:left="1327" w:right="1145"/>
        <w:jc w:val="both"/>
        <w:rPr>
          <w:sz w:val="11"/>
        </w:rPr>
      </w:pPr>
      <w:r>
        <w:rPr>
          <w:color w:val="231F20"/>
          <w:w w:val="105"/>
        </w:rPr>
        <w:lastRenderedPageBreak/>
        <w:t xml:space="preserve">ously been reserved for </w:t>
      </w:r>
      <w:r>
        <w:rPr>
          <w:color w:val="231F20"/>
          <w:spacing w:val="1"/>
          <w:w w:val="105"/>
        </w:rPr>
        <w:t>Erwin</w:t>
      </w:r>
      <w:r>
        <w:rPr>
          <w:color w:val="231F20"/>
          <w:spacing w:val="-33"/>
          <w:w w:val="105"/>
        </w:rPr>
        <w:t xml:space="preserve"> </w:t>
      </w:r>
      <w:r>
        <w:rPr>
          <w:color w:val="231F20"/>
          <w:w w:val="105"/>
        </w:rPr>
        <w:t>Rommel, Hitler’s Commander-in-Chief in North Africa. Israel was now the “brother nation,” with the Israelis dubbed the “Prussians of the Middle East,” and Jerusalem being “the Berlin of the Middle East.”</w:t>
      </w:r>
      <w:r>
        <w:rPr>
          <w:color w:val="231F20"/>
          <w:w w:val="105"/>
          <w:position w:val="7"/>
          <w:sz w:val="11"/>
        </w:rPr>
        <w:t xml:space="preserve">8 </w:t>
      </w:r>
      <w:r>
        <w:rPr>
          <w:color w:val="231F20"/>
          <w:w w:val="105"/>
        </w:rPr>
        <w:t xml:space="preserve">The Israeli offensive was approvingly referred to as a “Blitzkrieg,” and in </w:t>
      </w:r>
      <w:r>
        <w:rPr>
          <w:i/>
          <w:color w:val="231F20"/>
          <w:w w:val="105"/>
        </w:rPr>
        <w:t xml:space="preserve">Spiegel </w:t>
      </w:r>
      <w:r>
        <w:rPr>
          <w:color w:val="231F20"/>
          <w:w w:val="105"/>
        </w:rPr>
        <w:t>it was announced that “Jews are not as anti-Semites wanted to see them. On the contrary, danger seems not to develop the evil but the noble qualities”—which is the kind</w:t>
      </w:r>
      <w:r>
        <w:rPr>
          <w:color w:val="231F20"/>
          <w:spacing w:val="-4"/>
          <w:w w:val="105"/>
        </w:rPr>
        <w:t xml:space="preserve"> </w:t>
      </w:r>
      <w:r>
        <w:rPr>
          <w:color w:val="231F20"/>
          <w:w w:val="105"/>
        </w:rPr>
        <w:t>of</w:t>
      </w:r>
      <w:r>
        <w:rPr>
          <w:color w:val="231F20"/>
          <w:spacing w:val="-4"/>
          <w:w w:val="105"/>
        </w:rPr>
        <w:t xml:space="preserve"> </w:t>
      </w:r>
      <w:r>
        <w:rPr>
          <w:color w:val="231F20"/>
          <w:w w:val="105"/>
        </w:rPr>
        <w:t>compliment</w:t>
      </w:r>
      <w:r>
        <w:rPr>
          <w:color w:val="231F20"/>
          <w:spacing w:val="-4"/>
          <w:w w:val="105"/>
        </w:rPr>
        <w:t xml:space="preserve"> </w:t>
      </w:r>
      <w:r>
        <w:rPr>
          <w:color w:val="231F20"/>
          <w:w w:val="105"/>
        </w:rPr>
        <w:t>that</w:t>
      </w:r>
      <w:r>
        <w:rPr>
          <w:color w:val="231F20"/>
          <w:spacing w:val="-4"/>
          <w:w w:val="105"/>
        </w:rPr>
        <w:t xml:space="preserve"> </w:t>
      </w:r>
      <w:r>
        <w:rPr>
          <w:color w:val="231F20"/>
          <w:spacing w:val="-3"/>
          <w:w w:val="105"/>
        </w:rPr>
        <w:t>isn’t</w:t>
      </w:r>
      <w:r>
        <w:rPr>
          <w:color w:val="231F20"/>
          <w:spacing w:val="-4"/>
          <w:w w:val="105"/>
        </w:rPr>
        <w:t xml:space="preserve"> </w:t>
      </w:r>
      <w:r>
        <w:rPr>
          <w:color w:val="231F20"/>
          <w:w w:val="105"/>
        </w:rPr>
        <w:t>one,</w:t>
      </w:r>
      <w:r>
        <w:rPr>
          <w:color w:val="231F20"/>
          <w:spacing w:val="-4"/>
          <w:w w:val="105"/>
        </w:rPr>
        <w:t xml:space="preserve"> </w:t>
      </w:r>
      <w:r>
        <w:rPr>
          <w:color w:val="231F20"/>
          <w:w w:val="105"/>
        </w:rPr>
        <w:t>when</w:t>
      </w:r>
      <w:r>
        <w:rPr>
          <w:color w:val="231F20"/>
          <w:spacing w:val="-4"/>
          <w:w w:val="105"/>
        </w:rPr>
        <w:t xml:space="preserve"> </w:t>
      </w:r>
      <w:r>
        <w:rPr>
          <w:color w:val="231F20"/>
          <w:w w:val="105"/>
        </w:rPr>
        <w:t>you</w:t>
      </w:r>
      <w:r>
        <w:rPr>
          <w:color w:val="231F20"/>
          <w:spacing w:val="-4"/>
          <w:w w:val="105"/>
        </w:rPr>
        <w:t xml:space="preserve"> </w:t>
      </w:r>
      <w:r>
        <w:rPr>
          <w:color w:val="231F20"/>
          <w:w w:val="105"/>
        </w:rPr>
        <w:t>think</w:t>
      </w:r>
      <w:r>
        <w:rPr>
          <w:color w:val="231F20"/>
          <w:spacing w:val="-4"/>
          <w:w w:val="105"/>
        </w:rPr>
        <w:t xml:space="preserve"> </w:t>
      </w:r>
      <w:r>
        <w:rPr>
          <w:color w:val="231F20"/>
          <w:w w:val="105"/>
        </w:rPr>
        <w:t>about</w:t>
      </w:r>
      <w:r>
        <w:rPr>
          <w:color w:val="231F20"/>
          <w:spacing w:val="-4"/>
          <w:w w:val="105"/>
        </w:rPr>
        <w:t xml:space="preserve"> </w:t>
      </w:r>
      <w:r>
        <w:rPr>
          <w:color w:val="231F20"/>
          <w:w w:val="105"/>
        </w:rPr>
        <w:t>it.</w:t>
      </w:r>
      <w:r>
        <w:rPr>
          <w:color w:val="231F20"/>
          <w:spacing w:val="-4"/>
          <w:w w:val="105"/>
        </w:rPr>
        <w:t xml:space="preserve"> </w:t>
      </w:r>
      <w:r>
        <w:rPr>
          <w:color w:val="231F20"/>
          <w:w w:val="105"/>
        </w:rPr>
        <w:t>A</w:t>
      </w:r>
      <w:r>
        <w:rPr>
          <w:color w:val="231F20"/>
          <w:spacing w:val="-2"/>
          <w:w w:val="105"/>
        </w:rPr>
        <w:t xml:space="preserve"> </w:t>
      </w:r>
      <w:r>
        <w:rPr>
          <w:i/>
          <w:color w:val="231F20"/>
          <w:w w:val="105"/>
        </w:rPr>
        <w:t>Die</w:t>
      </w:r>
      <w:r>
        <w:rPr>
          <w:i/>
          <w:color w:val="231F20"/>
          <w:spacing w:val="-4"/>
          <w:w w:val="105"/>
        </w:rPr>
        <w:t xml:space="preserve"> </w:t>
      </w:r>
      <w:r>
        <w:rPr>
          <w:i/>
          <w:color w:val="231F20"/>
          <w:w w:val="105"/>
        </w:rPr>
        <w:t xml:space="preserve">Welt </w:t>
      </w:r>
      <w:r>
        <w:rPr>
          <w:color w:val="231F20"/>
          <w:w w:val="105"/>
        </w:rPr>
        <w:t>writer was similarly forthright, admitting that Israel had “overcome our</w:t>
      </w:r>
      <w:r>
        <w:rPr>
          <w:color w:val="231F20"/>
          <w:spacing w:val="7"/>
          <w:w w:val="105"/>
        </w:rPr>
        <w:t xml:space="preserve"> </w:t>
      </w:r>
      <w:r>
        <w:rPr>
          <w:color w:val="231F20"/>
          <w:w w:val="105"/>
        </w:rPr>
        <w:t>anti-Semitism.”</w:t>
      </w:r>
      <w:r>
        <w:rPr>
          <w:color w:val="231F20"/>
          <w:w w:val="105"/>
          <w:position w:val="7"/>
          <w:sz w:val="11"/>
        </w:rPr>
        <w:t>9</w:t>
      </w:r>
    </w:p>
    <w:p w14:paraId="0950D641" w14:textId="77777777" w:rsidR="002653E8" w:rsidRDefault="003115E3">
      <w:pPr>
        <w:pStyle w:val="a3"/>
        <w:spacing w:line="264" w:lineRule="auto"/>
        <w:ind w:left="1327" w:right="1145" w:firstLine="210"/>
        <w:jc w:val="right"/>
      </w:pPr>
      <w:r>
        <w:rPr>
          <w:color w:val="231F20"/>
        </w:rPr>
        <w:t>Other than actual neo-nazis, the only German support</w:t>
      </w:r>
      <w:r>
        <w:rPr>
          <w:color w:val="231F20"/>
          <w:spacing w:val="1"/>
        </w:rPr>
        <w:t xml:space="preserve"> </w:t>
      </w:r>
      <w:r>
        <w:rPr>
          <w:color w:val="231F20"/>
        </w:rPr>
        <w:t>for</w:t>
      </w:r>
      <w:r>
        <w:rPr>
          <w:color w:val="231F20"/>
          <w:spacing w:val="37"/>
        </w:rPr>
        <w:t xml:space="preserve"> </w:t>
      </w:r>
      <w:r>
        <w:rPr>
          <w:color w:val="231F20"/>
        </w:rPr>
        <w:t>the</w:t>
      </w:r>
      <w:r>
        <w:rPr>
          <w:color w:val="231F20"/>
          <w:w w:val="91"/>
        </w:rPr>
        <w:t xml:space="preserve"> </w:t>
      </w:r>
      <w:r>
        <w:rPr>
          <w:color w:val="231F20"/>
        </w:rPr>
        <w:t>Palestinian</w:t>
      </w:r>
      <w:r>
        <w:rPr>
          <w:color w:val="231F20"/>
          <w:spacing w:val="20"/>
        </w:rPr>
        <w:t xml:space="preserve"> </w:t>
      </w:r>
      <w:r>
        <w:rPr>
          <w:color w:val="231F20"/>
        </w:rPr>
        <w:t>side</w:t>
      </w:r>
      <w:r>
        <w:rPr>
          <w:color w:val="231F20"/>
          <w:spacing w:val="20"/>
        </w:rPr>
        <w:t xml:space="preserve"> </w:t>
      </w:r>
      <w:r>
        <w:rPr>
          <w:color w:val="231F20"/>
        </w:rPr>
        <w:t>at</w:t>
      </w:r>
      <w:r>
        <w:rPr>
          <w:color w:val="231F20"/>
          <w:spacing w:val="20"/>
        </w:rPr>
        <w:t xml:space="preserve"> </w:t>
      </w:r>
      <w:r>
        <w:rPr>
          <w:color w:val="231F20"/>
        </w:rPr>
        <w:t>this</w:t>
      </w:r>
      <w:r>
        <w:rPr>
          <w:color w:val="231F20"/>
          <w:spacing w:val="20"/>
        </w:rPr>
        <w:t xml:space="preserve"> </w:t>
      </w:r>
      <w:r>
        <w:rPr>
          <w:color w:val="231F20"/>
        </w:rPr>
        <w:t>time</w:t>
      </w:r>
      <w:r>
        <w:rPr>
          <w:color w:val="231F20"/>
          <w:spacing w:val="20"/>
        </w:rPr>
        <w:t xml:space="preserve"> </w:t>
      </w:r>
      <w:r>
        <w:rPr>
          <w:color w:val="231F20"/>
        </w:rPr>
        <w:t>came</w:t>
      </w:r>
      <w:r>
        <w:rPr>
          <w:color w:val="231F20"/>
          <w:spacing w:val="20"/>
        </w:rPr>
        <w:t xml:space="preserve"> </w:t>
      </w:r>
      <w:r>
        <w:rPr>
          <w:color w:val="231F20"/>
        </w:rPr>
        <w:t>from</w:t>
      </w:r>
      <w:r>
        <w:rPr>
          <w:color w:val="231F20"/>
          <w:spacing w:val="20"/>
        </w:rPr>
        <w:t xml:space="preserve"> </w:t>
      </w:r>
      <w:r>
        <w:rPr>
          <w:color w:val="231F20"/>
        </w:rPr>
        <w:t>the</w:t>
      </w:r>
      <w:r>
        <w:rPr>
          <w:color w:val="231F20"/>
          <w:spacing w:val="20"/>
        </w:rPr>
        <w:t xml:space="preserve"> </w:t>
      </w:r>
      <w:r>
        <w:rPr>
          <w:color w:val="231F20"/>
        </w:rPr>
        <w:t>APO.</w:t>
      </w:r>
      <w:r>
        <w:rPr>
          <w:color w:val="231F20"/>
          <w:spacing w:val="20"/>
        </w:rPr>
        <w:t xml:space="preserve"> </w:t>
      </w:r>
      <w:r>
        <w:rPr>
          <w:color w:val="231F20"/>
        </w:rPr>
        <w:t>The</w:t>
      </w:r>
      <w:r>
        <w:rPr>
          <w:color w:val="231F20"/>
          <w:spacing w:val="20"/>
        </w:rPr>
        <w:t xml:space="preserve"> </w:t>
      </w:r>
      <w:r>
        <w:rPr>
          <w:color w:val="231F20"/>
        </w:rPr>
        <w:t>SDS</w:t>
      </w:r>
      <w:r>
        <w:rPr>
          <w:color w:val="231F20"/>
          <w:spacing w:val="20"/>
        </w:rPr>
        <w:t xml:space="preserve"> </w:t>
      </w:r>
      <w:r>
        <w:rPr>
          <w:color w:val="231F20"/>
        </w:rPr>
        <w:t>was</w:t>
      </w:r>
      <w:r>
        <w:rPr>
          <w:color w:val="231F20"/>
          <w:spacing w:val="20"/>
        </w:rPr>
        <w:t xml:space="preserve"> </w:t>
      </w:r>
      <w:r>
        <w:rPr>
          <w:color w:val="231F20"/>
        </w:rPr>
        <w:t>already</w:t>
      </w:r>
      <w:r>
        <w:rPr>
          <w:color w:val="231F20"/>
          <w:w w:val="99"/>
        </w:rPr>
        <w:t xml:space="preserve"> </w:t>
      </w:r>
      <w:r>
        <w:rPr>
          <w:color w:val="231F20"/>
        </w:rPr>
        <w:t>pro-Palestinian,</w:t>
      </w:r>
      <w:r>
        <w:rPr>
          <w:color w:val="231F20"/>
          <w:position w:val="7"/>
          <w:sz w:val="11"/>
        </w:rPr>
        <w:t>10</w:t>
      </w:r>
      <w:r>
        <w:rPr>
          <w:color w:val="231F20"/>
          <w:spacing w:val="5"/>
          <w:position w:val="7"/>
          <w:sz w:val="11"/>
        </w:rPr>
        <w:t xml:space="preserve"> </w:t>
      </w:r>
      <w:r>
        <w:rPr>
          <w:color w:val="231F20"/>
        </w:rPr>
        <w:t>but</w:t>
      </w:r>
      <w:r>
        <w:rPr>
          <w:color w:val="231F20"/>
          <w:spacing w:val="6"/>
        </w:rPr>
        <w:t xml:space="preserve"> </w:t>
      </w:r>
      <w:r>
        <w:rPr>
          <w:color w:val="231F20"/>
        </w:rPr>
        <w:t>it</w:t>
      </w:r>
      <w:r>
        <w:rPr>
          <w:color w:val="231F20"/>
          <w:spacing w:val="6"/>
        </w:rPr>
        <w:t xml:space="preserve"> </w:t>
      </w:r>
      <w:r>
        <w:rPr>
          <w:color w:val="231F20"/>
        </w:rPr>
        <w:t>was</w:t>
      </w:r>
      <w:r>
        <w:rPr>
          <w:color w:val="231F20"/>
          <w:spacing w:val="6"/>
        </w:rPr>
        <w:t xml:space="preserve"> </w:t>
      </w:r>
      <w:r>
        <w:rPr>
          <w:color w:val="231F20"/>
        </w:rPr>
        <w:t>this</w:t>
      </w:r>
      <w:r>
        <w:rPr>
          <w:color w:val="231F20"/>
          <w:spacing w:val="6"/>
        </w:rPr>
        <w:t xml:space="preserve"> </w:t>
      </w:r>
      <w:r>
        <w:rPr>
          <w:color w:val="231F20"/>
        </w:rPr>
        <w:t>war</w:t>
      </w:r>
      <w:r>
        <w:rPr>
          <w:color w:val="231F20"/>
          <w:spacing w:val="6"/>
        </w:rPr>
        <w:t xml:space="preserve"> </w:t>
      </w:r>
      <w:r>
        <w:rPr>
          <w:color w:val="231F20"/>
        </w:rPr>
        <w:t>frenzy</w:t>
      </w:r>
      <w:r>
        <w:rPr>
          <w:color w:val="231F20"/>
          <w:spacing w:val="6"/>
        </w:rPr>
        <w:t xml:space="preserve"> </w:t>
      </w:r>
      <w:r>
        <w:rPr>
          <w:color w:val="231F20"/>
        </w:rPr>
        <w:t>that</w:t>
      </w:r>
      <w:r>
        <w:rPr>
          <w:color w:val="231F20"/>
          <w:spacing w:val="6"/>
        </w:rPr>
        <w:t xml:space="preserve"> </w:t>
      </w:r>
      <w:r>
        <w:rPr>
          <w:color w:val="231F20"/>
        </w:rPr>
        <w:t>pushed</w:t>
      </w:r>
      <w:r>
        <w:rPr>
          <w:color w:val="231F20"/>
          <w:spacing w:val="6"/>
        </w:rPr>
        <w:t xml:space="preserve"> </w:t>
      </w:r>
      <w:r>
        <w:rPr>
          <w:color w:val="231F20"/>
        </w:rPr>
        <w:t>the</w:t>
      </w:r>
      <w:r>
        <w:rPr>
          <w:color w:val="231F20"/>
          <w:spacing w:val="6"/>
        </w:rPr>
        <w:t xml:space="preserve"> </w:t>
      </w:r>
      <w:r>
        <w:rPr>
          <w:color w:val="231F20"/>
        </w:rPr>
        <w:t>entire</w:t>
      </w:r>
      <w:r>
        <w:rPr>
          <w:color w:val="231F20"/>
          <w:spacing w:val="6"/>
        </w:rPr>
        <w:t xml:space="preserve"> </w:t>
      </w:r>
      <w:r>
        <w:rPr>
          <w:color w:val="231F20"/>
        </w:rPr>
        <w:t xml:space="preserve">New </w:t>
      </w:r>
      <w:r>
        <w:rPr>
          <w:color w:val="231F20"/>
          <w:spacing w:val="1"/>
        </w:rPr>
        <w:t xml:space="preserve">Left </w:t>
      </w:r>
      <w:r>
        <w:rPr>
          <w:color w:val="231F20"/>
        </w:rPr>
        <w:t>to become anti-Zionist.</w:t>
      </w:r>
      <w:r>
        <w:rPr>
          <w:color w:val="231F20"/>
          <w:position w:val="7"/>
          <w:sz w:val="11"/>
        </w:rPr>
        <w:t xml:space="preserve">11 </w:t>
      </w:r>
      <w:r>
        <w:rPr>
          <w:color w:val="231F20"/>
        </w:rPr>
        <w:t>This fact, along with the</w:t>
      </w:r>
      <w:r>
        <w:rPr>
          <w:color w:val="231F20"/>
          <w:spacing w:val="8"/>
        </w:rPr>
        <w:t xml:space="preserve"> </w:t>
      </w:r>
      <w:r>
        <w:rPr>
          <w:color w:val="231F20"/>
        </w:rPr>
        <w:t>odd</w:t>
      </w:r>
      <w:r>
        <w:rPr>
          <w:color w:val="231F20"/>
          <w:spacing w:val="5"/>
        </w:rPr>
        <w:t xml:space="preserve"> </w:t>
      </w:r>
      <w:r>
        <w:rPr>
          <w:color w:val="231F20"/>
        </w:rPr>
        <w:t>identification with Israel on the part of the militaristic</w:t>
      </w:r>
      <w:r>
        <w:rPr>
          <w:color w:val="231F20"/>
          <w:spacing w:val="5"/>
        </w:rPr>
        <w:t xml:space="preserve"> </w:t>
      </w:r>
      <w:r>
        <w:rPr>
          <w:color w:val="231F20"/>
        </w:rPr>
        <w:t>German right-wing,</w:t>
      </w:r>
      <w:r>
        <w:rPr>
          <w:color w:val="231F20"/>
          <w:w w:val="135"/>
        </w:rPr>
        <w:t xml:space="preserve"> </w:t>
      </w:r>
      <w:r>
        <w:rPr>
          <w:color w:val="231F20"/>
        </w:rPr>
        <w:t>should be remembered when considering the assertion</w:t>
      </w:r>
      <w:r>
        <w:rPr>
          <w:color w:val="231F20"/>
          <w:spacing w:val="-23"/>
        </w:rPr>
        <w:t xml:space="preserve"> </w:t>
      </w:r>
      <w:r>
        <w:rPr>
          <w:color w:val="231F20"/>
        </w:rPr>
        <w:t>comrades</w:t>
      </w:r>
      <w:r>
        <w:rPr>
          <w:color w:val="231F20"/>
          <w:spacing w:val="-4"/>
        </w:rPr>
        <w:t xml:space="preserve"> </w:t>
      </w:r>
      <w:r>
        <w:rPr>
          <w:color w:val="231F20"/>
        </w:rPr>
        <w:t>would soon</w:t>
      </w:r>
      <w:r>
        <w:rPr>
          <w:color w:val="231F20"/>
          <w:spacing w:val="25"/>
        </w:rPr>
        <w:t xml:space="preserve"> </w:t>
      </w:r>
      <w:r>
        <w:rPr>
          <w:color w:val="231F20"/>
        </w:rPr>
        <w:t>make</w:t>
      </w:r>
      <w:r>
        <w:rPr>
          <w:color w:val="231F20"/>
          <w:spacing w:val="25"/>
        </w:rPr>
        <w:t xml:space="preserve"> </w:t>
      </w:r>
      <w:r>
        <w:rPr>
          <w:color w:val="231F20"/>
        </w:rPr>
        <w:t>that</w:t>
      </w:r>
      <w:r>
        <w:rPr>
          <w:color w:val="231F20"/>
          <w:spacing w:val="25"/>
        </w:rPr>
        <w:t xml:space="preserve"> </w:t>
      </w:r>
      <w:r>
        <w:rPr>
          <w:color w:val="231F20"/>
        </w:rPr>
        <w:t>Israel</w:t>
      </w:r>
      <w:r>
        <w:rPr>
          <w:color w:val="231F20"/>
          <w:spacing w:val="25"/>
        </w:rPr>
        <w:t xml:space="preserve"> </w:t>
      </w:r>
      <w:r>
        <w:rPr>
          <w:color w:val="231F20"/>
        </w:rPr>
        <w:t>represented</w:t>
      </w:r>
      <w:r>
        <w:rPr>
          <w:color w:val="231F20"/>
          <w:spacing w:val="25"/>
        </w:rPr>
        <w:t xml:space="preserve"> </w:t>
      </w:r>
      <w:r>
        <w:rPr>
          <w:color w:val="231F20"/>
        </w:rPr>
        <w:t>the</w:t>
      </w:r>
      <w:r>
        <w:rPr>
          <w:color w:val="231F20"/>
          <w:spacing w:val="25"/>
        </w:rPr>
        <w:t xml:space="preserve"> </w:t>
      </w:r>
      <w:r>
        <w:rPr>
          <w:color w:val="231F20"/>
        </w:rPr>
        <w:t>“new</w:t>
      </w:r>
      <w:r>
        <w:rPr>
          <w:color w:val="231F20"/>
          <w:spacing w:val="25"/>
        </w:rPr>
        <w:t xml:space="preserve"> </w:t>
      </w:r>
      <w:r>
        <w:rPr>
          <w:color w:val="231F20"/>
          <w:spacing w:val="-3"/>
        </w:rPr>
        <w:t>Nazism”:</w:t>
      </w:r>
      <w:r>
        <w:rPr>
          <w:color w:val="231F20"/>
          <w:spacing w:val="25"/>
        </w:rPr>
        <w:t xml:space="preserve"> </w:t>
      </w:r>
      <w:r>
        <w:rPr>
          <w:color w:val="231F20"/>
        </w:rPr>
        <w:t>while</w:t>
      </w:r>
      <w:r>
        <w:rPr>
          <w:color w:val="231F20"/>
          <w:spacing w:val="25"/>
        </w:rPr>
        <w:t xml:space="preserve"> </w:t>
      </w:r>
      <w:r>
        <w:rPr>
          <w:color w:val="231F20"/>
        </w:rPr>
        <w:t>obviously</w:t>
      </w:r>
      <w:r>
        <w:rPr>
          <w:color w:val="231F20"/>
          <w:w w:val="99"/>
        </w:rPr>
        <w:t xml:space="preserve"> </w:t>
      </w:r>
      <w:r>
        <w:rPr>
          <w:color w:val="231F20"/>
        </w:rPr>
        <w:t>incorrect,</w:t>
      </w:r>
      <w:r>
        <w:rPr>
          <w:color w:val="231F20"/>
          <w:spacing w:val="10"/>
        </w:rPr>
        <w:t xml:space="preserve"> </w:t>
      </w:r>
      <w:r>
        <w:rPr>
          <w:color w:val="231F20"/>
        </w:rPr>
        <w:t>such</w:t>
      </w:r>
      <w:r>
        <w:rPr>
          <w:color w:val="231F20"/>
          <w:spacing w:val="10"/>
        </w:rPr>
        <w:t xml:space="preserve"> </w:t>
      </w:r>
      <w:r>
        <w:rPr>
          <w:color w:val="231F20"/>
        </w:rPr>
        <w:t>a</w:t>
      </w:r>
      <w:r>
        <w:rPr>
          <w:color w:val="231F20"/>
          <w:spacing w:val="10"/>
        </w:rPr>
        <w:t xml:space="preserve"> </w:t>
      </w:r>
      <w:r>
        <w:rPr>
          <w:color w:val="231F20"/>
        </w:rPr>
        <w:t>claim</w:t>
      </w:r>
      <w:r>
        <w:rPr>
          <w:color w:val="231F20"/>
          <w:spacing w:val="10"/>
        </w:rPr>
        <w:t xml:space="preserve"> </w:t>
      </w:r>
      <w:r>
        <w:rPr>
          <w:color w:val="231F20"/>
        </w:rPr>
        <w:t>was</w:t>
      </w:r>
      <w:r>
        <w:rPr>
          <w:color w:val="231F20"/>
          <w:spacing w:val="10"/>
        </w:rPr>
        <w:t xml:space="preserve"> </w:t>
      </w:r>
      <w:r>
        <w:rPr>
          <w:color w:val="231F20"/>
        </w:rPr>
        <w:t>at</w:t>
      </w:r>
      <w:r>
        <w:rPr>
          <w:color w:val="231F20"/>
          <w:spacing w:val="10"/>
        </w:rPr>
        <w:t xml:space="preserve"> </w:t>
      </w:r>
      <w:r>
        <w:rPr>
          <w:color w:val="231F20"/>
        </w:rPr>
        <w:t>least</w:t>
      </w:r>
      <w:r>
        <w:rPr>
          <w:color w:val="231F20"/>
          <w:spacing w:val="10"/>
        </w:rPr>
        <w:t xml:space="preserve"> </w:t>
      </w:r>
      <w:r>
        <w:rPr>
          <w:color w:val="231F20"/>
        </w:rPr>
        <w:t>partly</w:t>
      </w:r>
      <w:r>
        <w:rPr>
          <w:color w:val="231F20"/>
          <w:spacing w:val="10"/>
        </w:rPr>
        <w:t xml:space="preserve"> </w:t>
      </w:r>
      <w:r>
        <w:rPr>
          <w:color w:val="231F20"/>
        </w:rPr>
        <w:t>a</w:t>
      </w:r>
      <w:r>
        <w:rPr>
          <w:color w:val="231F20"/>
          <w:spacing w:val="10"/>
        </w:rPr>
        <w:t xml:space="preserve"> </w:t>
      </w:r>
      <w:r>
        <w:rPr>
          <w:color w:val="231F20"/>
        </w:rPr>
        <w:t>reaction</w:t>
      </w:r>
      <w:r>
        <w:rPr>
          <w:color w:val="231F20"/>
          <w:spacing w:val="10"/>
        </w:rPr>
        <w:t xml:space="preserve"> </w:t>
      </w:r>
      <w:r>
        <w:rPr>
          <w:color w:val="231F20"/>
        </w:rPr>
        <w:t>against</w:t>
      </w:r>
      <w:r>
        <w:rPr>
          <w:color w:val="231F20"/>
          <w:spacing w:val="10"/>
        </w:rPr>
        <w:t xml:space="preserve"> </w:t>
      </w:r>
      <w:r>
        <w:rPr>
          <w:color w:val="231F20"/>
        </w:rPr>
        <w:t>a</w:t>
      </w:r>
      <w:r>
        <w:rPr>
          <w:color w:val="231F20"/>
          <w:spacing w:val="10"/>
        </w:rPr>
        <w:t xml:space="preserve"> </w:t>
      </w:r>
      <w:r>
        <w:rPr>
          <w:color w:val="231F20"/>
        </w:rPr>
        <w:t>reinvigorated</w:t>
      </w:r>
      <w:r>
        <w:rPr>
          <w:color w:val="231F20"/>
          <w:spacing w:val="11"/>
        </w:rPr>
        <w:t xml:space="preserve"> </w:t>
      </w:r>
      <w:r>
        <w:rPr>
          <w:color w:val="231F20"/>
        </w:rPr>
        <w:t>German</w:t>
      </w:r>
      <w:r>
        <w:rPr>
          <w:color w:val="231F20"/>
          <w:spacing w:val="11"/>
        </w:rPr>
        <w:t xml:space="preserve"> </w:t>
      </w:r>
      <w:r>
        <w:rPr>
          <w:color w:val="231F20"/>
        </w:rPr>
        <w:t>chauvinism</w:t>
      </w:r>
      <w:r>
        <w:rPr>
          <w:color w:val="231F20"/>
          <w:spacing w:val="11"/>
        </w:rPr>
        <w:t xml:space="preserve"> </w:t>
      </w:r>
      <w:r>
        <w:rPr>
          <w:color w:val="231F20"/>
        </w:rPr>
        <w:t>projecting</w:t>
      </w:r>
      <w:r>
        <w:rPr>
          <w:color w:val="231F20"/>
          <w:spacing w:val="11"/>
        </w:rPr>
        <w:t xml:space="preserve"> </w:t>
      </w:r>
      <w:r>
        <w:rPr>
          <w:color w:val="231F20"/>
        </w:rPr>
        <w:t>itself</w:t>
      </w:r>
      <w:r>
        <w:rPr>
          <w:color w:val="231F20"/>
          <w:spacing w:val="11"/>
        </w:rPr>
        <w:t xml:space="preserve"> </w:t>
      </w:r>
      <w:r>
        <w:rPr>
          <w:color w:val="231F20"/>
        </w:rPr>
        <w:t>onto</w:t>
      </w:r>
      <w:r>
        <w:rPr>
          <w:color w:val="231F20"/>
          <w:spacing w:val="11"/>
        </w:rPr>
        <w:t xml:space="preserve"> </w:t>
      </w:r>
      <w:r>
        <w:rPr>
          <w:color w:val="231F20"/>
        </w:rPr>
        <w:t>the</w:t>
      </w:r>
      <w:r>
        <w:rPr>
          <w:color w:val="231F20"/>
          <w:spacing w:val="11"/>
        </w:rPr>
        <w:t xml:space="preserve"> </w:t>
      </w:r>
      <w:r>
        <w:rPr>
          <w:color w:val="231F20"/>
        </w:rPr>
        <w:t>racist</w:t>
      </w:r>
      <w:r>
        <w:rPr>
          <w:color w:val="231F20"/>
          <w:spacing w:val="11"/>
        </w:rPr>
        <w:t xml:space="preserve"> </w:t>
      </w:r>
      <w:r>
        <w:rPr>
          <w:color w:val="231F20"/>
        </w:rPr>
        <w:t>Jewish</w:t>
      </w:r>
      <w:r>
        <w:rPr>
          <w:color w:val="231F20"/>
          <w:spacing w:val="11"/>
        </w:rPr>
        <w:t xml:space="preserve"> </w:t>
      </w:r>
      <w:r>
        <w:rPr>
          <w:color w:val="231F20"/>
        </w:rPr>
        <w:t>state.</w:t>
      </w:r>
      <w:r>
        <w:rPr>
          <w:color w:val="231F20"/>
          <w:w w:val="135"/>
        </w:rPr>
        <w:t xml:space="preserve"> </w:t>
      </w:r>
      <w:r>
        <w:rPr>
          <w:color w:val="231F20"/>
        </w:rPr>
        <w:t>As</w:t>
      </w:r>
      <w:r>
        <w:rPr>
          <w:color w:val="231F20"/>
          <w:spacing w:val="25"/>
        </w:rPr>
        <w:t xml:space="preserve"> </w:t>
      </w:r>
      <w:r>
        <w:rPr>
          <w:color w:val="231F20"/>
        </w:rPr>
        <w:t>such,</w:t>
      </w:r>
      <w:r>
        <w:rPr>
          <w:color w:val="231F20"/>
          <w:spacing w:val="25"/>
        </w:rPr>
        <w:t xml:space="preserve"> </w:t>
      </w:r>
      <w:r>
        <w:rPr>
          <w:color w:val="231F20"/>
        </w:rPr>
        <w:t>anti-Zionism</w:t>
      </w:r>
      <w:r>
        <w:rPr>
          <w:color w:val="231F20"/>
          <w:spacing w:val="25"/>
        </w:rPr>
        <w:t xml:space="preserve"> </w:t>
      </w:r>
      <w:r>
        <w:rPr>
          <w:color w:val="231F20"/>
        </w:rPr>
        <w:t>became</w:t>
      </w:r>
      <w:r>
        <w:rPr>
          <w:color w:val="231F20"/>
          <w:spacing w:val="25"/>
        </w:rPr>
        <w:t xml:space="preserve"> </w:t>
      </w:r>
      <w:r>
        <w:rPr>
          <w:color w:val="231F20"/>
        </w:rPr>
        <w:t>a</w:t>
      </w:r>
      <w:r>
        <w:rPr>
          <w:color w:val="231F20"/>
          <w:spacing w:val="25"/>
        </w:rPr>
        <w:t xml:space="preserve"> </w:t>
      </w:r>
      <w:r>
        <w:rPr>
          <w:color w:val="231F20"/>
        </w:rPr>
        <w:t>defining</w:t>
      </w:r>
      <w:r>
        <w:rPr>
          <w:color w:val="231F20"/>
          <w:spacing w:val="25"/>
        </w:rPr>
        <w:t xml:space="preserve"> </w:t>
      </w:r>
      <w:r>
        <w:rPr>
          <w:color w:val="231F20"/>
        </w:rPr>
        <w:t>element</w:t>
      </w:r>
      <w:r>
        <w:rPr>
          <w:color w:val="231F20"/>
          <w:spacing w:val="25"/>
        </w:rPr>
        <w:t xml:space="preserve"> </w:t>
      </w:r>
      <w:r>
        <w:rPr>
          <w:color w:val="231F20"/>
        </w:rPr>
        <w:t>of</w:t>
      </w:r>
      <w:r>
        <w:rPr>
          <w:color w:val="231F20"/>
          <w:spacing w:val="25"/>
        </w:rPr>
        <w:t xml:space="preserve"> </w:t>
      </w:r>
      <w:r>
        <w:rPr>
          <w:color w:val="231F20"/>
        </w:rPr>
        <w:t>the</w:t>
      </w:r>
      <w:r>
        <w:rPr>
          <w:color w:val="231F20"/>
          <w:spacing w:val="25"/>
        </w:rPr>
        <w:t xml:space="preserve"> </w:t>
      </w:r>
      <w:r>
        <w:rPr>
          <w:color w:val="231F20"/>
        </w:rPr>
        <w:t>radical</w:t>
      </w:r>
      <w:r>
        <w:rPr>
          <w:color w:val="231F20"/>
          <w:spacing w:val="25"/>
        </w:rPr>
        <w:t xml:space="preserve"> </w:t>
      </w:r>
      <w:r>
        <w:rPr>
          <w:color w:val="231F20"/>
        </w:rPr>
        <w:t>left,</w:t>
      </w:r>
      <w:r>
        <w:rPr>
          <w:color w:val="231F20"/>
          <w:w w:val="135"/>
        </w:rPr>
        <w:t xml:space="preserve"> </w:t>
      </w:r>
      <w:r>
        <w:rPr>
          <w:color w:val="231F20"/>
        </w:rPr>
        <w:t>and,</w:t>
      </w:r>
      <w:r>
        <w:rPr>
          <w:color w:val="231F20"/>
          <w:spacing w:val="21"/>
        </w:rPr>
        <w:t xml:space="preserve"> </w:t>
      </w:r>
      <w:r>
        <w:rPr>
          <w:color w:val="231F20"/>
        </w:rPr>
        <w:t>as</w:t>
      </w:r>
      <w:r>
        <w:rPr>
          <w:color w:val="231F20"/>
          <w:spacing w:val="21"/>
        </w:rPr>
        <w:t xml:space="preserve"> </w:t>
      </w:r>
      <w:r>
        <w:rPr>
          <w:color w:val="231F20"/>
        </w:rPr>
        <w:t>the</w:t>
      </w:r>
      <w:r>
        <w:rPr>
          <w:color w:val="231F20"/>
          <w:spacing w:val="22"/>
        </w:rPr>
        <w:t xml:space="preserve"> </w:t>
      </w:r>
      <w:r>
        <w:rPr>
          <w:color w:val="231F20"/>
          <w:spacing w:val="-3"/>
        </w:rPr>
        <w:t>1970s</w:t>
      </w:r>
      <w:r>
        <w:rPr>
          <w:color w:val="231F20"/>
          <w:spacing w:val="21"/>
        </w:rPr>
        <w:t xml:space="preserve"> </w:t>
      </w:r>
      <w:r>
        <w:rPr>
          <w:color w:val="231F20"/>
        </w:rPr>
        <w:t>dawned,</w:t>
      </w:r>
      <w:r>
        <w:rPr>
          <w:color w:val="231F20"/>
          <w:spacing w:val="21"/>
        </w:rPr>
        <w:t xml:space="preserve"> </w:t>
      </w:r>
      <w:r>
        <w:rPr>
          <w:color w:val="231F20"/>
        </w:rPr>
        <w:t>it</w:t>
      </w:r>
      <w:r>
        <w:rPr>
          <w:color w:val="231F20"/>
          <w:spacing w:val="21"/>
        </w:rPr>
        <w:t xml:space="preserve"> </w:t>
      </w:r>
      <w:r>
        <w:rPr>
          <w:color w:val="231F20"/>
        </w:rPr>
        <w:t>was</w:t>
      </w:r>
      <w:r>
        <w:rPr>
          <w:color w:val="231F20"/>
          <w:spacing w:val="21"/>
        </w:rPr>
        <w:t xml:space="preserve"> </w:t>
      </w:r>
      <w:r>
        <w:rPr>
          <w:color w:val="231F20"/>
        </w:rPr>
        <w:t>shared</w:t>
      </w:r>
      <w:r>
        <w:rPr>
          <w:color w:val="231F20"/>
          <w:spacing w:val="21"/>
        </w:rPr>
        <w:t xml:space="preserve"> </w:t>
      </w:r>
      <w:r>
        <w:rPr>
          <w:color w:val="231F20"/>
        </w:rPr>
        <w:t>by</w:t>
      </w:r>
      <w:r>
        <w:rPr>
          <w:color w:val="231F20"/>
          <w:spacing w:val="21"/>
        </w:rPr>
        <w:t xml:space="preserve"> </w:t>
      </w:r>
      <w:r>
        <w:rPr>
          <w:color w:val="231F20"/>
        </w:rPr>
        <w:t>the</w:t>
      </w:r>
      <w:r>
        <w:rPr>
          <w:color w:val="231F20"/>
          <w:spacing w:val="22"/>
        </w:rPr>
        <w:t xml:space="preserve"> </w:t>
      </w:r>
      <w:r>
        <w:rPr>
          <w:color w:val="231F20"/>
        </w:rPr>
        <w:t>K-groups,</w:t>
      </w:r>
      <w:r>
        <w:rPr>
          <w:color w:val="231F20"/>
          <w:spacing w:val="21"/>
        </w:rPr>
        <w:t xml:space="preserve"> </w:t>
      </w:r>
      <w:r>
        <w:rPr>
          <w:color w:val="231F20"/>
        </w:rPr>
        <w:t>the</w:t>
      </w:r>
      <w:r>
        <w:rPr>
          <w:color w:val="231F20"/>
          <w:spacing w:val="22"/>
        </w:rPr>
        <w:t xml:space="preserve"> </w:t>
      </w:r>
      <w:r>
        <w:rPr>
          <w:i/>
          <w:color w:val="231F20"/>
        </w:rPr>
        <w:t>spontis</w:t>
      </w:r>
      <w:r>
        <w:rPr>
          <w:color w:val="231F20"/>
        </w:rPr>
        <w:t>,</w:t>
      </w:r>
    </w:p>
    <w:p w14:paraId="7D383B60" w14:textId="77777777" w:rsidR="002653E8" w:rsidRDefault="003115E3">
      <w:pPr>
        <w:pStyle w:val="a3"/>
        <w:spacing w:line="222" w:lineRule="exact"/>
        <w:ind w:left="1328"/>
        <w:jc w:val="both"/>
      </w:pPr>
      <w:r>
        <w:rPr>
          <w:color w:val="231F20"/>
        </w:rPr>
        <w:t>and most certainly the guerilla.</w:t>
      </w:r>
    </w:p>
    <w:p w14:paraId="714AC1D1" w14:textId="77777777" w:rsidR="002653E8" w:rsidRDefault="002653E8">
      <w:pPr>
        <w:pStyle w:val="a3"/>
      </w:pPr>
    </w:p>
    <w:p w14:paraId="5BFA5726" w14:textId="77777777" w:rsidR="002653E8" w:rsidRDefault="002653E8">
      <w:pPr>
        <w:pStyle w:val="a3"/>
      </w:pPr>
    </w:p>
    <w:p w14:paraId="2DEE401F" w14:textId="77777777" w:rsidR="002653E8" w:rsidRDefault="002653E8">
      <w:pPr>
        <w:pStyle w:val="a3"/>
      </w:pPr>
    </w:p>
    <w:p w14:paraId="281EADA5" w14:textId="77777777" w:rsidR="002653E8" w:rsidRDefault="002653E8">
      <w:pPr>
        <w:pStyle w:val="a3"/>
      </w:pPr>
    </w:p>
    <w:p w14:paraId="3BF85840" w14:textId="77777777" w:rsidR="002653E8" w:rsidRDefault="002653E8">
      <w:pPr>
        <w:pStyle w:val="a3"/>
      </w:pPr>
    </w:p>
    <w:p w14:paraId="415E69C3" w14:textId="77777777" w:rsidR="002653E8" w:rsidRDefault="002653E8">
      <w:pPr>
        <w:pStyle w:val="a3"/>
      </w:pPr>
    </w:p>
    <w:p w14:paraId="5E0C47DD" w14:textId="77777777" w:rsidR="002653E8" w:rsidRDefault="002653E8">
      <w:pPr>
        <w:pStyle w:val="a3"/>
      </w:pPr>
    </w:p>
    <w:p w14:paraId="182DC3F3" w14:textId="77777777" w:rsidR="002653E8" w:rsidRDefault="002653E8">
      <w:pPr>
        <w:pStyle w:val="a3"/>
      </w:pPr>
    </w:p>
    <w:p w14:paraId="2EC312E0" w14:textId="77777777" w:rsidR="002653E8" w:rsidRDefault="002653E8">
      <w:pPr>
        <w:pStyle w:val="a3"/>
      </w:pPr>
    </w:p>
    <w:p w14:paraId="0CB7EDCD" w14:textId="77777777" w:rsidR="002653E8" w:rsidRDefault="002653E8">
      <w:pPr>
        <w:pStyle w:val="a3"/>
      </w:pPr>
    </w:p>
    <w:p w14:paraId="072A7D76" w14:textId="77777777" w:rsidR="002653E8" w:rsidRDefault="002653E8">
      <w:pPr>
        <w:pStyle w:val="a3"/>
      </w:pPr>
    </w:p>
    <w:p w14:paraId="041BBCE3" w14:textId="77777777" w:rsidR="002653E8" w:rsidRDefault="002653E8">
      <w:pPr>
        <w:pStyle w:val="a3"/>
      </w:pPr>
    </w:p>
    <w:p w14:paraId="3729F99A" w14:textId="77777777" w:rsidR="002653E8" w:rsidRDefault="002653E8">
      <w:pPr>
        <w:pStyle w:val="a3"/>
      </w:pPr>
    </w:p>
    <w:p w14:paraId="60595811" w14:textId="77777777" w:rsidR="002653E8" w:rsidRDefault="00000000">
      <w:pPr>
        <w:pStyle w:val="a3"/>
        <w:spacing w:before="10"/>
        <w:rPr>
          <w:sz w:val="28"/>
        </w:rPr>
      </w:pPr>
      <w:r>
        <w:rPr>
          <w:noProof w:val="0"/>
        </w:rPr>
        <w:pict w14:anchorId="68DCF5A6">
          <v:line id="_x0000_s2130" style="position:absolute;z-index:11560;mso-wrap-distance-left:0;mso-wrap-distance-right:0;mso-position-horizontal-relative:page" from="66.4pt,19.15pt" to="138.4pt,19.15pt" strokecolor="#231f20" strokeweight=".5pt">
            <w10:wrap type="topAndBottom" anchorx="page"/>
          </v:line>
        </w:pict>
      </w:r>
    </w:p>
    <w:p w14:paraId="5E947D2F" w14:textId="77777777" w:rsidR="002653E8" w:rsidRDefault="003115E3">
      <w:pPr>
        <w:spacing w:before="53"/>
        <w:ind w:left="1327"/>
        <w:rPr>
          <w:sz w:val="16"/>
        </w:rPr>
      </w:pPr>
      <w:r>
        <w:rPr>
          <w:color w:val="231F20"/>
          <w:w w:val="115"/>
          <w:sz w:val="16"/>
        </w:rPr>
        <w:t>8 Ibid., 154.</w:t>
      </w:r>
    </w:p>
    <w:p w14:paraId="01935B54" w14:textId="77777777" w:rsidR="002653E8" w:rsidRDefault="003115E3">
      <w:pPr>
        <w:spacing w:before="51"/>
        <w:ind w:left="1327"/>
        <w:rPr>
          <w:sz w:val="16"/>
        </w:rPr>
      </w:pPr>
      <w:r>
        <w:rPr>
          <w:color w:val="231F20"/>
          <w:w w:val="110"/>
          <w:sz w:val="16"/>
        </w:rPr>
        <w:t>9 Ibid.,155.</w:t>
      </w:r>
    </w:p>
    <w:p w14:paraId="0D236489" w14:textId="77777777" w:rsidR="002653E8" w:rsidRDefault="003115E3">
      <w:pPr>
        <w:spacing w:before="52"/>
        <w:ind w:left="1327"/>
        <w:rPr>
          <w:sz w:val="16"/>
        </w:rPr>
      </w:pPr>
      <w:r>
        <w:rPr>
          <w:color w:val="231F20"/>
          <w:w w:val="110"/>
          <w:sz w:val="16"/>
        </w:rPr>
        <w:t>10 Ibid.,156.</w:t>
      </w:r>
    </w:p>
    <w:p w14:paraId="21D48608" w14:textId="77777777" w:rsidR="002653E8" w:rsidRDefault="003115E3">
      <w:pPr>
        <w:spacing w:before="52" w:line="254" w:lineRule="auto"/>
        <w:ind w:left="1327" w:right="1145"/>
        <w:rPr>
          <w:sz w:val="16"/>
        </w:rPr>
      </w:pPr>
      <w:r>
        <w:rPr>
          <w:color w:val="231F20"/>
          <w:w w:val="110"/>
          <w:sz w:val="16"/>
        </w:rPr>
        <w:t xml:space="preserve">11 Jessica Benjamin and Anson Rabinbach, “Germans, Leftists, Jews,” </w:t>
      </w:r>
      <w:r>
        <w:rPr>
          <w:i/>
          <w:color w:val="231F20"/>
          <w:w w:val="110"/>
          <w:sz w:val="16"/>
        </w:rPr>
        <w:t xml:space="preserve">New German Critique </w:t>
      </w:r>
      <w:r>
        <w:rPr>
          <w:color w:val="231F20"/>
          <w:w w:val="110"/>
          <w:sz w:val="16"/>
        </w:rPr>
        <w:t>31, West German Culture and Politics (Winter 1984): 184.</w:t>
      </w:r>
    </w:p>
    <w:p w14:paraId="7126B0F7" w14:textId="77777777" w:rsidR="002653E8" w:rsidRDefault="002653E8">
      <w:pPr>
        <w:spacing w:line="254" w:lineRule="auto"/>
        <w:rPr>
          <w:sz w:val="16"/>
        </w:rPr>
        <w:sectPr w:rsidR="002653E8">
          <w:pgSz w:w="8640" w:h="12960"/>
          <w:pgMar w:top="1060" w:right="0" w:bottom="1040" w:left="0" w:header="0" w:footer="850" w:gutter="0"/>
          <w:cols w:space="720"/>
        </w:sectPr>
      </w:pPr>
    </w:p>
    <w:p w14:paraId="745FE3EF" w14:textId="77777777" w:rsidR="002653E8" w:rsidRDefault="002653E8">
      <w:pPr>
        <w:pStyle w:val="a3"/>
        <w:spacing w:before="4"/>
        <w:rPr>
          <w:sz w:val="11"/>
        </w:rPr>
      </w:pPr>
    </w:p>
    <w:p w14:paraId="1DB83526" w14:textId="77777777" w:rsidR="002653E8" w:rsidRDefault="003115E3">
      <w:pPr>
        <w:spacing w:before="99"/>
        <w:ind w:left="760" w:right="937"/>
        <w:jc w:val="center"/>
        <w:rPr>
          <w:sz w:val="24"/>
        </w:rPr>
      </w:pPr>
      <w:bookmarkStart w:id="271" w:name="Appendix_IV:_The_Geneva_Convention:_Exce"/>
      <w:bookmarkStart w:id="272" w:name="_bookmark87"/>
      <w:bookmarkEnd w:id="271"/>
      <w:bookmarkEnd w:id="272"/>
      <w:r>
        <w:rPr>
          <w:color w:val="231F20"/>
          <w:w w:val="110"/>
          <w:sz w:val="24"/>
        </w:rPr>
        <w:t>a p p e n di x i v</w:t>
      </w:r>
    </w:p>
    <w:p w14:paraId="3EDBA6E1" w14:textId="77777777" w:rsidR="002653E8" w:rsidRDefault="002653E8">
      <w:pPr>
        <w:pStyle w:val="a3"/>
        <w:spacing w:before="10"/>
        <w:rPr>
          <w:sz w:val="28"/>
        </w:rPr>
      </w:pPr>
    </w:p>
    <w:p w14:paraId="0B9DE8CC" w14:textId="77777777" w:rsidR="002653E8" w:rsidRDefault="003115E3">
      <w:pPr>
        <w:ind w:left="1912"/>
        <w:rPr>
          <w:rFonts w:ascii="Lucida Sans"/>
          <w:b/>
          <w:sz w:val="30"/>
        </w:rPr>
      </w:pPr>
      <w:r>
        <w:rPr>
          <w:rFonts w:ascii="Lucida Sans"/>
          <w:b/>
          <w:color w:val="231F20"/>
          <w:sz w:val="30"/>
        </w:rPr>
        <w:t>the Geneva convention:</w:t>
      </w:r>
      <w:r>
        <w:rPr>
          <w:rFonts w:ascii="Lucida Sans"/>
          <w:b/>
          <w:color w:val="231F20"/>
          <w:spacing w:val="-75"/>
          <w:sz w:val="30"/>
        </w:rPr>
        <w:t xml:space="preserve"> </w:t>
      </w:r>
      <w:r>
        <w:rPr>
          <w:rFonts w:ascii="Lucida Sans"/>
          <w:b/>
          <w:color w:val="231F20"/>
          <w:sz w:val="30"/>
        </w:rPr>
        <w:t>excerpts</w:t>
      </w:r>
    </w:p>
    <w:p w14:paraId="43F89288" w14:textId="77777777" w:rsidR="002653E8" w:rsidRDefault="002653E8">
      <w:pPr>
        <w:pStyle w:val="a3"/>
        <w:spacing w:before="1"/>
        <w:rPr>
          <w:rFonts w:ascii="Lucida Sans"/>
          <w:b/>
          <w:sz w:val="44"/>
        </w:rPr>
      </w:pPr>
    </w:p>
    <w:p w14:paraId="321A3CA1" w14:textId="77777777" w:rsidR="002653E8" w:rsidRDefault="003115E3">
      <w:pPr>
        <w:pStyle w:val="a3"/>
        <w:spacing w:line="264" w:lineRule="auto"/>
        <w:ind w:left="1357" w:right="1327" w:hanging="210"/>
        <w:jc w:val="both"/>
      </w:pPr>
      <w:r>
        <w:rPr>
          <w:color w:val="231F20"/>
          <w:spacing w:val="2"/>
        </w:rPr>
        <w:t xml:space="preserve">Art. </w:t>
      </w:r>
      <w:r>
        <w:rPr>
          <w:color w:val="231F20"/>
          <w:spacing w:val="-3"/>
        </w:rPr>
        <w:t xml:space="preserve">3. </w:t>
      </w:r>
      <w:r>
        <w:rPr>
          <w:color w:val="231F20"/>
          <w:spacing w:val="1"/>
        </w:rPr>
        <w:t xml:space="preserve">In </w:t>
      </w:r>
      <w:r>
        <w:rPr>
          <w:color w:val="231F20"/>
        </w:rPr>
        <w:t xml:space="preserve">the case of armed conflict not of an international character occurring in the territory of one of the High  Contracting  Parties,  each Party to the conflict shall be bound to </w:t>
      </w:r>
      <w:r>
        <w:rPr>
          <w:color w:val="231F20"/>
          <w:spacing w:val="-4"/>
        </w:rPr>
        <w:t xml:space="preserve">apply, </w:t>
      </w:r>
      <w:r>
        <w:rPr>
          <w:color w:val="231F20"/>
        </w:rPr>
        <w:t>as a minimum, the following</w:t>
      </w:r>
      <w:r>
        <w:rPr>
          <w:color w:val="231F20"/>
          <w:spacing w:val="10"/>
        </w:rPr>
        <w:t xml:space="preserve"> </w:t>
      </w:r>
      <w:r>
        <w:rPr>
          <w:color w:val="231F20"/>
        </w:rPr>
        <w:t>provisions:</w:t>
      </w:r>
    </w:p>
    <w:p w14:paraId="3394C26F" w14:textId="77777777" w:rsidR="002653E8" w:rsidRDefault="003115E3">
      <w:pPr>
        <w:pStyle w:val="a4"/>
        <w:numPr>
          <w:ilvl w:val="0"/>
          <w:numId w:val="36"/>
        </w:numPr>
        <w:tabs>
          <w:tab w:val="left" w:pos="1764"/>
        </w:tabs>
        <w:spacing w:before="123" w:line="261" w:lineRule="auto"/>
        <w:ind w:right="1341" w:hanging="361"/>
        <w:rPr>
          <w:sz w:val="20"/>
        </w:rPr>
      </w:pPr>
      <w:r>
        <w:rPr>
          <w:color w:val="231F20"/>
          <w:spacing w:val="-8"/>
          <w:sz w:val="20"/>
        </w:rPr>
        <w:t xml:space="preserve">(1) </w:t>
      </w:r>
      <w:r>
        <w:rPr>
          <w:color w:val="231F20"/>
          <w:sz w:val="20"/>
        </w:rPr>
        <w:t>Persons taking no active part in the hostilities, including members of armed forces who have laid down their arms and those placed hors de combat by sickness, wounds, detention, or any other cause, shall in all circumstances be treated humanely, without any adverse distinction founded on race, colour, religion</w:t>
      </w:r>
      <w:r>
        <w:rPr>
          <w:color w:val="231F20"/>
          <w:spacing w:val="16"/>
          <w:sz w:val="20"/>
        </w:rPr>
        <w:t xml:space="preserve"> </w:t>
      </w:r>
      <w:r>
        <w:rPr>
          <w:color w:val="231F20"/>
          <w:sz w:val="20"/>
        </w:rPr>
        <w:t>or</w:t>
      </w:r>
      <w:r>
        <w:rPr>
          <w:color w:val="231F20"/>
          <w:spacing w:val="16"/>
          <w:sz w:val="20"/>
        </w:rPr>
        <w:t xml:space="preserve"> </w:t>
      </w:r>
      <w:r>
        <w:rPr>
          <w:color w:val="231F20"/>
          <w:sz w:val="20"/>
        </w:rPr>
        <w:t>faith,</w:t>
      </w:r>
      <w:r>
        <w:rPr>
          <w:color w:val="231F20"/>
          <w:spacing w:val="16"/>
          <w:sz w:val="20"/>
        </w:rPr>
        <w:t xml:space="preserve"> </w:t>
      </w:r>
      <w:r>
        <w:rPr>
          <w:color w:val="231F20"/>
          <w:sz w:val="20"/>
        </w:rPr>
        <w:t>sex,</w:t>
      </w:r>
      <w:r>
        <w:rPr>
          <w:color w:val="231F20"/>
          <w:spacing w:val="16"/>
          <w:sz w:val="20"/>
        </w:rPr>
        <w:t xml:space="preserve"> </w:t>
      </w:r>
      <w:r>
        <w:rPr>
          <w:color w:val="231F20"/>
          <w:sz w:val="20"/>
        </w:rPr>
        <w:t>birth</w:t>
      </w:r>
      <w:r>
        <w:rPr>
          <w:color w:val="231F20"/>
          <w:spacing w:val="16"/>
          <w:sz w:val="20"/>
        </w:rPr>
        <w:t xml:space="preserve"> </w:t>
      </w:r>
      <w:r>
        <w:rPr>
          <w:color w:val="231F20"/>
          <w:sz w:val="20"/>
        </w:rPr>
        <w:t>or</w:t>
      </w:r>
      <w:r>
        <w:rPr>
          <w:color w:val="231F20"/>
          <w:spacing w:val="16"/>
          <w:sz w:val="20"/>
        </w:rPr>
        <w:t xml:space="preserve"> </w:t>
      </w:r>
      <w:r>
        <w:rPr>
          <w:color w:val="231F20"/>
          <w:sz w:val="20"/>
        </w:rPr>
        <w:t>wealth,</w:t>
      </w:r>
      <w:r>
        <w:rPr>
          <w:color w:val="231F20"/>
          <w:spacing w:val="16"/>
          <w:sz w:val="20"/>
        </w:rPr>
        <w:t xml:space="preserve"> </w:t>
      </w:r>
      <w:r>
        <w:rPr>
          <w:color w:val="231F20"/>
          <w:sz w:val="20"/>
        </w:rPr>
        <w:t>or</w:t>
      </w:r>
      <w:r>
        <w:rPr>
          <w:color w:val="231F20"/>
          <w:spacing w:val="16"/>
          <w:sz w:val="20"/>
        </w:rPr>
        <w:t xml:space="preserve"> </w:t>
      </w:r>
      <w:r>
        <w:rPr>
          <w:color w:val="231F20"/>
          <w:sz w:val="20"/>
        </w:rPr>
        <w:t>any</w:t>
      </w:r>
      <w:r>
        <w:rPr>
          <w:color w:val="231F20"/>
          <w:spacing w:val="16"/>
          <w:sz w:val="20"/>
        </w:rPr>
        <w:t xml:space="preserve"> </w:t>
      </w:r>
      <w:r>
        <w:rPr>
          <w:color w:val="231F20"/>
          <w:sz w:val="20"/>
        </w:rPr>
        <w:t>other</w:t>
      </w:r>
      <w:r>
        <w:rPr>
          <w:color w:val="231F20"/>
          <w:spacing w:val="16"/>
          <w:sz w:val="20"/>
        </w:rPr>
        <w:t xml:space="preserve"> </w:t>
      </w:r>
      <w:r>
        <w:rPr>
          <w:color w:val="231F20"/>
          <w:sz w:val="20"/>
        </w:rPr>
        <w:t>similar</w:t>
      </w:r>
      <w:r>
        <w:rPr>
          <w:color w:val="231F20"/>
          <w:spacing w:val="16"/>
          <w:sz w:val="20"/>
        </w:rPr>
        <w:t xml:space="preserve"> </w:t>
      </w:r>
      <w:r>
        <w:rPr>
          <w:color w:val="231F20"/>
          <w:sz w:val="20"/>
        </w:rPr>
        <w:t>criteria.</w:t>
      </w:r>
    </w:p>
    <w:p w14:paraId="6CF3DCE9" w14:textId="77777777" w:rsidR="002653E8" w:rsidRDefault="003115E3">
      <w:pPr>
        <w:pStyle w:val="a3"/>
        <w:spacing w:before="137" w:line="264" w:lineRule="auto"/>
        <w:ind w:left="1764" w:right="1505"/>
      </w:pPr>
      <w:r>
        <w:rPr>
          <w:color w:val="231F20"/>
        </w:rPr>
        <w:t>To this end the following acts are and shall remain prohibited at any time and in any place whatsoever with respect to the above-mentioned persons:</w:t>
      </w:r>
    </w:p>
    <w:p w14:paraId="626EC683" w14:textId="77777777" w:rsidR="002653E8" w:rsidRDefault="003115E3">
      <w:pPr>
        <w:pStyle w:val="a4"/>
        <w:numPr>
          <w:ilvl w:val="1"/>
          <w:numId w:val="36"/>
        </w:numPr>
        <w:tabs>
          <w:tab w:val="left" w:pos="2121"/>
        </w:tabs>
        <w:spacing w:before="0" w:line="261" w:lineRule="auto"/>
        <w:ind w:right="1828" w:hanging="360"/>
        <w:rPr>
          <w:sz w:val="20"/>
        </w:rPr>
      </w:pPr>
      <w:r>
        <w:rPr>
          <w:color w:val="231F20"/>
          <w:sz w:val="20"/>
        </w:rPr>
        <w:t>violence to life and person, in particular murder of all kinds, mutilation, cruel treatment and</w:t>
      </w:r>
      <w:r>
        <w:rPr>
          <w:color w:val="231F20"/>
          <w:spacing w:val="17"/>
          <w:sz w:val="20"/>
        </w:rPr>
        <w:t xml:space="preserve"> </w:t>
      </w:r>
      <w:r>
        <w:rPr>
          <w:color w:val="231F20"/>
          <w:sz w:val="20"/>
        </w:rPr>
        <w:t>torture;</w:t>
      </w:r>
    </w:p>
    <w:p w14:paraId="4EC270C5" w14:textId="77777777" w:rsidR="002653E8" w:rsidRDefault="003115E3">
      <w:pPr>
        <w:pStyle w:val="a4"/>
        <w:numPr>
          <w:ilvl w:val="1"/>
          <w:numId w:val="36"/>
        </w:numPr>
        <w:tabs>
          <w:tab w:val="left" w:pos="2120"/>
        </w:tabs>
        <w:spacing w:before="0"/>
        <w:ind w:hanging="360"/>
        <w:rPr>
          <w:sz w:val="20"/>
        </w:rPr>
      </w:pPr>
      <w:r>
        <w:rPr>
          <w:color w:val="231F20"/>
          <w:sz w:val="20"/>
        </w:rPr>
        <w:t>taking of</w:t>
      </w:r>
      <w:r>
        <w:rPr>
          <w:color w:val="231F20"/>
          <w:spacing w:val="21"/>
          <w:sz w:val="20"/>
        </w:rPr>
        <w:t xml:space="preserve"> </w:t>
      </w:r>
      <w:r>
        <w:rPr>
          <w:color w:val="231F20"/>
          <w:sz w:val="20"/>
        </w:rPr>
        <w:t>hostages;</w:t>
      </w:r>
    </w:p>
    <w:p w14:paraId="146D25F6" w14:textId="77777777" w:rsidR="002653E8" w:rsidRDefault="003115E3">
      <w:pPr>
        <w:pStyle w:val="a4"/>
        <w:numPr>
          <w:ilvl w:val="1"/>
          <w:numId w:val="36"/>
        </w:numPr>
        <w:tabs>
          <w:tab w:val="left" w:pos="2120"/>
        </w:tabs>
        <w:spacing w:before="19" w:line="261" w:lineRule="auto"/>
        <w:ind w:right="1547" w:hanging="360"/>
        <w:rPr>
          <w:sz w:val="20"/>
        </w:rPr>
      </w:pPr>
      <w:r>
        <w:rPr>
          <w:color w:val="231F20"/>
          <w:sz w:val="20"/>
        </w:rPr>
        <w:t>outrages upon personal dignity, in particular humiliating and degrading</w:t>
      </w:r>
      <w:r>
        <w:rPr>
          <w:color w:val="231F20"/>
          <w:spacing w:val="20"/>
          <w:sz w:val="20"/>
        </w:rPr>
        <w:t xml:space="preserve"> </w:t>
      </w:r>
      <w:r>
        <w:rPr>
          <w:color w:val="231F20"/>
          <w:sz w:val="20"/>
        </w:rPr>
        <w:t>treatment;</w:t>
      </w:r>
    </w:p>
    <w:p w14:paraId="3A561387" w14:textId="77777777" w:rsidR="002653E8" w:rsidRDefault="003115E3">
      <w:pPr>
        <w:pStyle w:val="a4"/>
        <w:numPr>
          <w:ilvl w:val="1"/>
          <w:numId w:val="36"/>
        </w:numPr>
        <w:tabs>
          <w:tab w:val="left" w:pos="2120"/>
        </w:tabs>
        <w:spacing w:before="0" w:line="261" w:lineRule="auto"/>
        <w:ind w:right="1394" w:hanging="360"/>
        <w:rPr>
          <w:sz w:val="20"/>
        </w:rPr>
      </w:pPr>
      <w:r>
        <w:rPr>
          <w:color w:val="231F20"/>
          <w:sz w:val="20"/>
        </w:rPr>
        <w:t>the passing of sentences and the carrying out of executions without previous judgment pronounced by a regularly constituted court, affording all the judicial guarantees which are recognized as indispensable by civilized</w:t>
      </w:r>
      <w:r>
        <w:rPr>
          <w:color w:val="231F20"/>
          <w:spacing w:val="10"/>
          <w:sz w:val="20"/>
        </w:rPr>
        <w:t xml:space="preserve"> </w:t>
      </w:r>
      <w:r>
        <w:rPr>
          <w:color w:val="231F20"/>
          <w:sz w:val="20"/>
        </w:rPr>
        <w:t>peoples.</w:t>
      </w:r>
    </w:p>
    <w:p w14:paraId="1337EE9F" w14:textId="77777777" w:rsidR="002653E8" w:rsidRDefault="002653E8">
      <w:pPr>
        <w:pStyle w:val="a3"/>
        <w:spacing w:before="7"/>
        <w:rPr>
          <w:sz w:val="13"/>
        </w:rPr>
      </w:pPr>
    </w:p>
    <w:p w14:paraId="63CA15AA" w14:textId="77777777" w:rsidR="002653E8" w:rsidRDefault="003115E3">
      <w:pPr>
        <w:pStyle w:val="a3"/>
        <w:spacing w:before="99" w:line="266" w:lineRule="auto"/>
        <w:ind w:left="1763" w:right="1848"/>
      </w:pPr>
      <w:r>
        <w:rPr>
          <w:color w:val="231F20"/>
        </w:rPr>
        <w:t>(2) The wounded and sick shall be collected and cared for. An impartial humanitarian body, such as the International Committee of the Red Cross, may offer its services to the Parties to the conflict.</w:t>
      </w:r>
    </w:p>
    <w:p w14:paraId="5AADF4AC" w14:textId="77777777" w:rsidR="002653E8" w:rsidRDefault="003115E3">
      <w:pPr>
        <w:pStyle w:val="a3"/>
        <w:spacing w:line="264" w:lineRule="auto"/>
        <w:ind w:left="1763" w:right="1612"/>
        <w:jc w:val="both"/>
      </w:pPr>
      <w:r>
        <w:rPr>
          <w:color w:val="231F20"/>
        </w:rPr>
        <w:t>The Parties to the conflict should further endeavour to bring into force, by means of special agreements, all or part of the other provisions of the present Convention.</w:t>
      </w:r>
    </w:p>
    <w:p w14:paraId="5E90431F" w14:textId="77777777" w:rsidR="002653E8" w:rsidRDefault="003115E3">
      <w:pPr>
        <w:pStyle w:val="a3"/>
        <w:spacing w:line="264" w:lineRule="auto"/>
        <w:ind w:left="1763" w:right="1513"/>
      </w:pPr>
      <w:r>
        <w:rPr>
          <w:color w:val="231F20"/>
        </w:rPr>
        <w:t>The application of the preceding provisions shall not affect the legal status of the Parties to the conflict.</w:t>
      </w:r>
    </w:p>
    <w:p w14:paraId="5F6BF7E4" w14:textId="77777777" w:rsidR="002653E8" w:rsidRDefault="002653E8">
      <w:pPr>
        <w:spacing w:line="264" w:lineRule="auto"/>
        <w:sectPr w:rsidR="002653E8">
          <w:footerReference w:type="even" r:id="rId469"/>
          <w:footerReference w:type="default" r:id="rId470"/>
          <w:pgSz w:w="8640" w:h="12960"/>
          <w:pgMar w:top="1220" w:right="0" w:bottom="1040" w:left="0" w:header="0" w:footer="850" w:gutter="0"/>
          <w:pgNumType w:start="554"/>
          <w:cols w:space="720"/>
        </w:sectPr>
      </w:pPr>
    </w:p>
    <w:p w14:paraId="4C11DACA" w14:textId="77777777" w:rsidR="002653E8" w:rsidRDefault="003115E3">
      <w:pPr>
        <w:pStyle w:val="a3"/>
        <w:spacing w:before="86" w:line="264" w:lineRule="auto"/>
        <w:ind w:left="1537" w:right="1146" w:hanging="210"/>
        <w:jc w:val="both"/>
      </w:pPr>
      <w:r>
        <w:rPr>
          <w:color w:val="231F20"/>
          <w:spacing w:val="2"/>
        </w:rPr>
        <w:lastRenderedPageBreak/>
        <w:t xml:space="preserve">Art. </w:t>
      </w:r>
      <w:r>
        <w:rPr>
          <w:color w:val="231F20"/>
        </w:rPr>
        <w:t>4. Persons protected by the Convention are those who, at a given moment and in any manner whatsoever, find themselves, in case of    a conflict or occupation, in the hands of a Party to the conflict or Occupying</w:t>
      </w:r>
      <w:r>
        <w:rPr>
          <w:color w:val="231F20"/>
          <w:spacing w:val="11"/>
        </w:rPr>
        <w:t xml:space="preserve"> </w:t>
      </w:r>
      <w:r>
        <w:rPr>
          <w:color w:val="231F20"/>
        </w:rPr>
        <w:t>Power</w:t>
      </w:r>
      <w:r>
        <w:rPr>
          <w:color w:val="231F20"/>
          <w:spacing w:val="11"/>
        </w:rPr>
        <w:t xml:space="preserve"> </w:t>
      </w:r>
      <w:r>
        <w:rPr>
          <w:color w:val="231F20"/>
        </w:rPr>
        <w:t>of</w:t>
      </w:r>
      <w:r>
        <w:rPr>
          <w:color w:val="231F20"/>
          <w:spacing w:val="11"/>
        </w:rPr>
        <w:t xml:space="preserve"> </w:t>
      </w:r>
      <w:r>
        <w:rPr>
          <w:color w:val="231F20"/>
        </w:rPr>
        <w:t>which</w:t>
      </w:r>
      <w:r>
        <w:rPr>
          <w:color w:val="231F20"/>
          <w:spacing w:val="11"/>
        </w:rPr>
        <w:t xml:space="preserve"> </w:t>
      </w:r>
      <w:r>
        <w:rPr>
          <w:color w:val="231F20"/>
        </w:rPr>
        <w:t>they</w:t>
      </w:r>
      <w:r>
        <w:rPr>
          <w:color w:val="231F20"/>
          <w:spacing w:val="11"/>
        </w:rPr>
        <w:t xml:space="preserve"> </w:t>
      </w:r>
      <w:r>
        <w:rPr>
          <w:color w:val="231F20"/>
        </w:rPr>
        <w:t>are</w:t>
      </w:r>
      <w:r>
        <w:rPr>
          <w:color w:val="231F20"/>
          <w:spacing w:val="11"/>
        </w:rPr>
        <w:t xml:space="preserve"> </w:t>
      </w:r>
      <w:r>
        <w:rPr>
          <w:color w:val="231F20"/>
        </w:rPr>
        <w:t>not</w:t>
      </w:r>
      <w:r>
        <w:rPr>
          <w:color w:val="231F20"/>
          <w:spacing w:val="11"/>
        </w:rPr>
        <w:t xml:space="preserve"> </w:t>
      </w:r>
      <w:r>
        <w:rPr>
          <w:color w:val="231F20"/>
        </w:rPr>
        <w:t>nationals.</w:t>
      </w:r>
    </w:p>
    <w:p w14:paraId="640365FA" w14:textId="77777777" w:rsidR="002653E8" w:rsidRDefault="003115E3">
      <w:pPr>
        <w:pStyle w:val="a3"/>
        <w:spacing w:line="264" w:lineRule="auto"/>
        <w:ind w:left="1537" w:right="1146" w:firstLine="210"/>
        <w:jc w:val="both"/>
      </w:pPr>
      <w:r>
        <w:rPr>
          <w:color w:val="231F20"/>
        </w:rPr>
        <w:t>Nationals of a State which is not bound by the Convention are not protected by it. Nationals of a neutral State who find themselves in the territory of a belligerent State, and nationals of a co-belligerent State, shall not be regarded as protected persons while the State of which they are nationals has normal diplomatic representation in the State in whose hands they</w:t>
      </w:r>
      <w:r>
        <w:rPr>
          <w:color w:val="231F20"/>
          <w:spacing w:val="10"/>
        </w:rPr>
        <w:t xml:space="preserve"> </w:t>
      </w:r>
      <w:r>
        <w:rPr>
          <w:color w:val="231F20"/>
        </w:rPr>
        <w:t>are.</w:t>
      </w:r>
    </w:p>
    <w:p w14:paraId="716C058E" w14:textId="77777777" w:rsidR="002653E8" w:rsidRDefault="003115E3">
      <w:pPr>
        <w:pStyle w:val="a3"/>
        <w:spacing w:line="264" w:lineRule="auto"/>
        <w:ind w:left="1538" w:right="1146" w:firstLine="209"/>
        <w:jc w:val="both"/>
      </w:pPr>
      <w:r>
        <w:rPr>
          <w:color w:val="231F20"/>
          <w:w w:val="105"/>
        </w:rPr>
        <w:t>The provisions of Part II are, however, wider in application, as defined in Article 13.</w:t>
      </w:r>
    </w:p>
    <w:p w14:paraId="581DFB57" w14:textId="77777777" w:rsidR="002653E8" w:rsidRDefault="003115E3">
      <w:pPr>
        <w:pStyle w:val="a3"/>
        <w:spacing w:line="264" w:lineRule="auto"/>
        <w:ind w:left="1538" w:right="1145" w:firstLine="210"/>
        <w:jc w:val="both"/>
      </w:pPr>
      <w:r>
        <w:rPr>
          <w:color w:val="231F20"/>
        </w:rPr>
        <w:t xml:space="preserve">Persons protected by the Geneva Convention for the Amelioration of the  Condition  of  the  Wounded  and  Sick  in  Armed  Forces  in  the Field of </w:t>
      </w:r>
      <w:r>
        <w:rPr>
          <w:color w:val="231F20"/>
          <w:spacing w:val="-3"/>
        </w:rPr>
        <w:t xml:space="preserve">12 </w:t>
      </w:r>
      <w:r>
        <w:rPr>
          <w:color w:val="231F20"/>
        </w:rPr>
        <w:t xml:space="preserve">August </w:t>
      </w:r>
      <w:r>
        <w:rPr>
          <w:color w:val="231F20"/>
          <w:spacing w:val="-5"/>
        </w:rPr>
        <w:t xml:space="preserve">1949, </w:t>
      </w:r>
      <w:r>
        <w:rPr>
          <w:color w:val="231F20"/>
        </w:rPr>
        <w:t xml:space="preserve">or by the Geneva Convention for the Amelioration of the Condition of Wounded, Sick and Shipwrecked Members of Armed Forces at Sea of </w:t>
      </w:r>
      <w:r>
        <w:rPr>
          <w:color w:val="231F20"/>
          <w:spacing w:val="-3"/>
        </w:rPr>
        <w:t xml:space="preserve">12 </w:t>
      </w:r>
      <w:r>
        <w:rPr>
          <w:color w:val="231F20"/>
        </w:rPr>
        <w:t xml:space="preserve">August </w:t>
      </w:r>
      <w:r>
        <w:rPr>
          <w:color w:val="231F20"/>
          <w:spacing w:val="-5"/>
        </w:rPr>
        <w:t xml:space="preserve">1949, </w:t>
      </w:r>
      <w:r>
        <w:rPr>
          <w:color w:val="231F20"/>
        </w:rPr>
        <w:t xml:space="preserve">or by  the  Geneva Convention relative to the Treatment of Prisoners of </w:t>
      </w:r>
      <w:r>
        <w:rPr>
          <w:color w:val="231F20"/>
          <w:spacing w:val="-3"/>
        </w:rPr>
        <w:t xml:space="preserve">War </w:t>
      </w:r>
      <w:r>
        <w:rPr>
          <w:color w:val="231F20"/>
        </w:rPr>
        <w:t xml:space="preserve">of </w:t>
      </w:r>
      <w:r>
        <w:rPr>
          <w:color w:val="231F20"/>
          <w:spacing w:val="-3"/>
        </w:rPr>
        <w:t xml:space="preserve">12 </w:t>
      </w:r>
      <w:r>
        <w:rPr>
          <w:color w:val="231F20"/>
        </w:rPr>
        <w:t xml:space="preserve">August </w:t>
      </w:r>
      <w:r>
        <w:rPr>
          <w:color w:val="231F20"/>
          <w:spacing w:val="-5"/>
        </w:rPr>
        <w:t xml:space="preserve">1949, </w:t>
      </w:r>
      <w:r>
        <w:rPr>
          <w:color w:val="231F20"/>
        </w:rPr>
        <w:t>shall not be considered as protected persons within the meaning of the present</w:t>
      </w:r>
      <w:r>
        <w:rPr>
          <w:color w:val="231F20"/>
          <w:spacing w:val="10"/>
        </w:rPr>
        <w:t xml:space="preserve"> </w:t>
      </w:r>
      <w:r>
        <w:rPr>
          <w:color w:val="231F20"/>
        </w:rPr>
        <w:t>Convention.</w:t>
      </w:r>
    </w:p>
    <w:p w14:paraId="11402208" w14:textId="77777777" w:rsidR="002653E8" w:rsidRDefault="002653E8">
      <w:pPr>
        <w:pStyle w:val="a3"/>
        <w:spacing w:before="1"/>
      </w:pPr>
    </w:p>
    <w:p w14:paraId="6466562F" w14:textId="77777777" w:rsidR="002653E8" w:rsidRDefault="003115E3">
      <w:pPr>
        <w:pStyle w:val="a3"/>
        <w:spacing w:line="264" w:lineRule="auto"/>
        <w:ind w:left="1537" w:right="1146" w:hanging="210"/>
        <w:jc w:val="both"/>
      </w:pPr>
      <w:r>
        <w:rPr>
          <w:color w:val="231F20"/>
        </w:rPr>
        <w:t>Art. 13. The provisions of Part II cover the whole of the populations of the countries in conflict, without any adverse distinction based, in particular, on race, nationality, religion or political opinion, and are intended to alleviate the sufferings caused by war.</w:t>
      </w:r>
    </w:p>
    <w:p w14:paraId="45053BA4" w14:textId="77777777" w:rsidR="002653E8" w:rsidRDefault="002653E8">
      <w:pPr>
        <w:pStyle w:val="a3"/>
        <w:spacing w:before="6"/>
        <w:rPr>
          <w:sz w:val="21"/>
        </w:rPr>
      </w:pPr>
    </w:p>
    <w:p w14:paraId="74CDD200" w14:textId="77777777" w:rsidR="002653E8" w:rsidRDefault="003115E3">
      <w:pPr>
        <w:pStyle w:val="a3"/>
        <w:spacing w:line="264" w:lineRule="auto"/>
        <w:ind w:left="1537" w:right="1146" w:hanging="210"/>
        <w:jc w:val="both"/>
      </w:pPr>
      <w:r>
        <w:rPr>
          <w:color w:val="231F20"/>
        </w:rPr>
        <w:t>Art. 17. The Parties to the conflict shall endeavour to conclude local agreements for the removal from besieged or encircled areas, of wounded, sick, infirm, and aged persons, children and maternity cases, and for the passage of ministers of all religions, medical personnel and medical equipment on their way to such areas.</w:t>
      </w:r>
    </w:p>
    <w:p w14:paraId="16FE3886" w14:textId="77777777" w:rsidR="002653E8" w:rsidRDefault="002653E8">
      <w:pPr>
        <w:pStyle w:val="a3"/>
        <w:spacing w:before="5"/>
        <w:rPr>
          <w:sz w:val="21"/>
        </w:rPr>
      </w:pPr>
    </w:p>
    <w:p w14:paraId="31CB1D29" w14:textId="77777777" w:rsidR="002653E8" w:rsidRDefault="003115E3">
      <w:pPr>
        <w:pStyle w:val="a3"/>
        <w:spacing w:line="264" w:lineRule="auto"/>
        <w:ind w:left="1537" w:right="1146" w:hanging="210"/>
        <w:jc w:val="both"/>
      </w:pPr>
      <w:r>
        <w:rPr>
          <w:color w:val="231F20"/>
        </w:rPr>
        <w:t>Art. 130. The detaining authorities shall ensure that internees who die while interned are honourably buried, if possible according to the rites of the religion to which they belonged and that their graves are respected, properly maintained, and marked in such a way that they can always be recognized.</w:t>
      </w:r>
    </w:p>
    <w:p w14:paraId="582A7560" w14:textId="77777777" w:rsidR="002653E8" w:rsidRDefault="003115E3">
      <w:pPr>
        <w:pStyle w:val="a3"/>
        <w:spacing w:line="264" w:lineRule="auto"/>
        <w:ind w:left="1537" w:right="1146" w:firstLine="210"/>
        <w:jc w:val="both"/>
      </w:pPr>
      <w:r>
        <w:rPr>
          <w:color w:val="231F20"/>
        </w:rPr>
        <w:t>Deceased internees shall be buried in individual graves unless unavoidable circumstances require the use of collective graves. Bodies may be cremated only for imperative reasons of hygiene, on account</w:t>
      </w:r>
    </w:p>
    <w:p w14:paraId="6FE5C8A7" w14:textId="77777777" w:rsidR="002653E8" w:rsidRDefault="002653E8">
      <w:pPr>
        <w:spacing w:line="264" w:lineRule="auto"/>
        <w:jc w:val="both"/>
        <w:sectPr w:rsidR="002653E8">
          <w:pgSz w:w="8640" w:h="12960"/>
          <w:pgMar w:top="1060" w:right="0" w:bottom="1040" w:left="0" w:header="0" w:footer="850" w:gutter="0"/>
          <w:cols w:space="720"/>
        </w:sectPr>
      </w:pPr>
    </w:p>
    <w:p w14:paraId="5D4F9445" w14:textId="77777777" w:rsidR="002653E8" w:rsidRDefault="003115E3">
      <w:pPr>
        <w:pStyle w:val="a3"/>
        <w:spacing w:before="86" w:line="264" w:lineRule="auto"/>
        <w:ind w:left="1357" w:right="1327"/>
        <w:jc w:val="both"/>
      </w:pPr>
      <w:r>
        <w:rPr>
          <w:color w:val="231F20"/>
        </w:rPr>
        <w:lastRenderedPageBreak/>
        <w:t xml:space="preserve">of the religion of the deceased or in accordance with his expressed wish to this effect. </w:t>
      </w:r>
      <w:r>
        <w:rPr>
          <w:color w:val="231F20"/>
          <w:spacing w:val="1"/>
        </w:rPr>
        <w:t xml:space="preserve">In </w:t>
      </w:r>
      <w:r>
        <w:rPr>
          <w:color w:val="231F20"/>
        </w:rPr>
        <w:t>case of cremation, the fact shall be stated and the reasons given in the death certificate of the deceased. The ashes shall be retained for safe-keeping by the detaining authorities and shall be transferred as soon as possible to the next of kin on their request.</w:t>
      </w:r>
    </w:p>
    <w:p w14:paraId="50F80098" w14:textId="77777777" w:rsidR="002653E8" w:rsidRDefault="003115E3">
      <w:pPr>
        <w:pStyle w:val="a3"/>
        <w:spacing w:line="264" w:lineRule="auto"/>
        <w:ind w:left="1357" w:right="1326" w:firstLine="210"/>
        <w:jc w:val="both"/>
      </w:pPr>
      <w:r>
        <w:rPr>
          <w:color w:val="231F20"/>
        </w:rPr>
        <w:t>As soon as circumstances permit, and not later than the close of hostilities, the Detaining Power shall forward lists of graves of deceased</w:t>
      </w:r>
      <w:r>
        <w:rPr>
          <w:color w:val="231F20"/>
          <w:spacing w:val="-20"/>
        </w:rPr>
        <w:t xml:space="preserve"> </w:t>
      </w:r>
      <w:r>
        <w:rPr>
          <w:color w:val="231F20"/>
        </w:rPr>
        <w:t>internees</w:t>
      </w:r>
      <w:r>
        <w:rPr>
          <w:color w:val="231F20"/>
          <w:spacing w:val="-20"/>
        </w:rPr>
        <w:t xml:space="preserve"> </w:t>
      </w:r>
      <w:r>
        <w:rPr>
          <w:color w:val="231F20"/>
        </w:rPr>
        <w:t>to</w:t>
      </w:r>
      <w:r>
        <w:rPr>
          <w:color w:val="231F20"/>
          <w:spacing w:val="-20"/>
        </w:rPr>
        <w:t xml:space="preserve"> </w:t>
      </w:r>
      <w:r>
        <w:rPr>
          <w:color w:val="231F20"/>
        </w:rPr>
        <w:t>the</w:t>
      </w:r>
      <w:r>
        <w:rPr>
          <w:color w:val="231F20"/>
          <w:spacing w:val="-20"/>
        </w:rPr>
        <w:t xml:space="preserve"> </w:t>
      </w:r>
      <w:r>
        <w:rPr>
          <w:color w:val="231F20"/>
        </w:rPr>
        <w:t>Powers</w:t>
      </w:r>
      <w:r>
        <w:rPr>
          <w:color w:val="231F20"/>
          <w:spacing w:val="-20"/>
        </w:rPr>
        <w:t xml:space="preserve"> </w:t>
      </w:r>
      <w:r>
        <w:rPr>
          <w:color w:val="231F20"/>
        </w:rPr>
        <w:t>on</w:t>
      </w:r>
      <w:r>
        <w:rPr>
          <w:color w:val="231F20"/>
          <w:spacing w:val="-20"/>
        </w:rPr>
        <w:t xml:space="preserve"> </w:t>
      </w:r>
      <w:r>
        <w:rPr>
          <w:color w:val="231F20"/>
        </w:rPr>
        <w:t>whom</w:t>
      </w:r>
      <w:r>
        <w:rPr>
          <w:color w:val="231F20"/>
          <w:spacing w:val="-20"/>
        </w:rPr>
        <w:t xml:space="preserve"> </w:t>
      </w:r>
      <w:r>
        <w:rPr>
          <w:color w:val="231F20"/>
        </w:rPr>
        <w:t>deceased</w:t>
      </w:r>
      <w:r>
        <w:rPr>
          <w:color w:val="231F20"/>
          <w:spacing w:val="-20"/>
        </w:rPr>
        <w:t xml:space="preserve"> </w:t>
      </w:r>
      <w:r>
        <w:rPr>
          <w:color w:val="231F20"/>
        </w:rPr>
        <w:t>internees</w:t>
      </w:r>
      <w:r>
        <w:rPr>
          <w:color w:val="231F20"/>
          <w:spacing w:val="-20"/>
        </w:rPr>
        <w:t xml:space="preserve"> </w:t>
      </w:r>
      <w:r>
        <w:rPr>
          <w:color w:val="231F20"/>
        </w:rPr>
        <w:t xml:space="preserve">depended, through the Information Bureaux provided for in Article </w:t>
      </w:r>
      <w:r>
        <w:rPr>
          <w:color w:val="231F20"/>
          <w:spacing w:val="-6"/>
        </w:rPr>
        <w:t xml:space="preserve">136. </w:t>
      </w:r>
      <w:r>
        <w:rPr>
          <w:color w:val="231F20"/>
        </w:rPr>
        <w:t>Such lists shall include all particulars necessary for the identification of the deceased</w:t>
      </w:r>
      <w:r>
        <w:rPr>
          <w:color w:val="231F20"/>
          <w:spacing w:val="8"/>
        </w:rPr>
        <w:t xml:space="preserve"> </w:t>
      </w:r>
      <w:r>
        <w:rPr>
          <w:color w:val="231F20"/>
        </w:rPr>
        <w:t>internees,</w:t>
      </w:r>
      <w:r>
        <w:rPr>
          <w:color w:val="231F20"/>
          <w:spacing w:val="8"/>
        </w:rPr>
        <w:t xml:space="preserve"> </w:t>
      </w:r>
      <w:r>
        <w:rPr>
          <w:color w:val="231F20"/>
        </w:rPr>
        <w:t>as</w:t>
      </w:r>
      <w:r>
        <w:rPr>
          <w:color w:val="231F20"/>
          <w:spacing w:val="8"/>
        </w:rPr>
        <w:t xml:space="preserve"> </w:t>
      </w:r>
      <w:r>
        <w:rPr>
          <w:color w:val="231F20"/>
        </w:rPr>
        <w:t>well</w:t>
      </w:r>
      <w:r>
        <w:rPr>
          <w:color w:val="231F20"/>
          <w:spacing w:val="8"/>
        </w:rPr>
        <w:t xml:space="preserve"> </w:t>
      </w:r>
      <w:r>
        <w:rPr>
          <w:color w:val="231F20"/>
        </w:rPr>
        <w:t>as</w:t>
      </w:r>
      <w:r>
        <w:rPr>
          <w:color w:val="231F20"/>
          <w:spacing w:val="8"/>
        </w:rPr>
        <w:t xml:space="preserve"> </w:t>
      </w:r>
      <w:r>
        <w:rPr>
          <w:color w:val="231F20"/>
        </w:rPr>
        <w:t>the</w:t>
      </w:r>
      <w:r>
        <w:rPr>
          <w:color w:val="231F20"/>
          <w:spacing w:val="8"/>
        </w:rPr>
        <w:t xml:space="preserve"> </w:t>
      </w:r>
      <w:r>
        <w:rPr>
          <w:color w:val="231F20"/>
        </w:rPr>
        <w:t>exact</w:t>
      </w:r>
      <w:r>
        <w:rPr>
          <w:color w:val="231F20"/>
          <w:spacing w:val="8"/>
        </w:rPr>
        <w:t xml:space="preserve"> </w:t>
      </w:r>
      <w:r>
        <w:rPr>
          <w:color w:val="231F20"/>
        </w:rPr>
        <w:t>location</w:t>
      </w:r>
      <w:r>
        <w:rPr>
          <w:color w:val="231F20"/>
          <w:spacing w:val="8"/>
        </w:rPr>
        <w:t xml:space="preserve"> </w:t>
      </w:r>
      <w:r>
        <w:rPr>
          <w:color w:val="231F20"/>
        </w:rPr>
        <w:t>of</w:t>
      </w:r>
      <w:r>
        <w:rPr>
          <w:color w:val="231F20"/>
          <w:spacing w:val="8"/>
        </w:rPr>
        <w:t xml:space="preserve"> </w:t>
      </w:r>
      <w:r>
        <w:rPr>
          <w:color w:val="231F20"/>
        </w:rPr>
        <w:t>their</w:t>
      </w:r>
      <w:r>
        <w:rPr>
          <w:color w:val="231F20"/>
          <w:spacing w:val="8"/>
        </w:rPr>
        <w:t xml:space="preserve"> </w:t>
      </w:r>
      <w:r>
        <w:rPr>
          <w:color w:val="231F20"/>
        </w:rPr>
        <w:t>graves.</w:t>
      </w:r>
    </w:p>
    <w:p w14:paraId="553BA5C7" w14:textId="77777777" w:rsidR="002653E8" w:rsidRDefault="002653E8">
      <w:pPr>
        <w:spacing w:line="264" w:lineRule="auto"/>
        <w:jc w:val="both"/>
        <w:sectPr w:rsidR="002653E8">
          <w:pgSz w:w="8640" w:h="12960"/>
          <w:pgMar w:top="1060" w:right="0" w:bottom="1040" w:left="0" w:header="0" w:footer="850" w:gutter="0"/>
          <w:cols w:space="720"/>
        </w:sectPr>
      </w:pPr>
    </w:p>
    <w:p w14:paraId="6C53A5F9" w14:textId="77777777" w:rsidR="002653E8" w:rsidRDefault="002653E8">
      <w:pPr>
        <w:pStyle w:val="a3"/>
        <w:spacing w:before="4"/>
        <w:rPr>
          <w:sz w:val="11"/>
        </w:rPr>
      </w:pPr>
    </w:p>
    <w:p w14:paraId="601323C3" w14:textId="77777777" w:rsidR="002653E8" w:rsidRDefault="003115E3">
      <w:pPr>
        <w:spacing w:before="99"/>
        <w:ind w:left="180"/>
        <w:jc w:val="center"/>
        <w:rPr>
          <w:sz w:val="24"/>
        </w:rPr>
      </w:pPr>
      <w:bookmarkStart w:id="273" w:name="Appendix_V:_Strange_Stories:_Peter_Homan"/>
      <w:bookmarkStart w:id="274" w:name="_bookmark88"/>
      <w:bookmarkEnd w:id="273"/>
      <w:bookmarkEnd w:id="274"/>
      <w:r>
        <w:rPr>
          <w:color w:val="231F20"/>
          <w:w w:val="105"/>
          <w:sz w:val="24"/>
        </w:rPr>
        <w:t>a p p e n di x  v</w:t>
      </w:r>
    </w:p>
    <w:p w14:paraId="594FD5AB" w14:textId="77777777" w:rsidR="002653E8" w:rsidRDefault="002653E8">
      <w:pPr>
        <w:pStyle w:val="a3"/>
        <w:spacing w:before="10"/>
        <w:rPr>
          <w:sz w:val="28"/>
        </w:rPr>
      </w:pPr>
    </w:p>
    <w:p w14:paraId="66C4D530" w14:textId="77777777" w:rsidR="002653E8" w:rsidRDefault="003115E3">
      <w:pPr>
        <w:ind w:left="180"/>
        <w:jc w:val="center"/>
        <w:rPr>
          <w:rFonts w:ascii="Lucida Sans"/>
          <w:b/>
          <w:sz w:val="30"/>
        </w:rPr>
      </w:pPr>
      <w:r>
        <w:rPr>
          <w:rFonts w:ascii="Lucida Sans"/>
          <w:b/>
          <w:color w:val="231F20"/>
          <w:sz w:val="30"/>
        </w:rPr>
        <w:t>strange stories:</w:t>
      </w:r>
    </w:p>
    <w:p w14:paraId="28338B00" w14:textId="77777777" w:rsidR="002653E8" w:rsidRDefault="003115E3">
      <w:pPr>
        <w:spacing w:before="87"/>
        <w:ind w:left="2306"/>
        <w:rPr>
          <w:rFonts w:ascii="Lucida Sans"/>
          <w:b/>
          <w:sz w:val="30"/>
        </w:rPr>
      </w:pPr>
      <w:r>
        <w:rPr>
          <w:rFonts w:ascii="Lucida Sans"/>
          <w:b/>
          <w:color w:val="231F20"/>
          <w:sz w:val="30"/>
        </w:rPr>
        <w:t>Peter Homann and stefan Aust</w:t>
      </w:r>
    </w:p>
    <w:p w14:paraId="5C683C71" w14:textId="77777777" w:rsidR="002653E8" w:rsidRDefault="002653E8">
      <w:pPr>
        <w:pStyle w:val="a3"/>
        <w:spacing w:before="4"/>
        <w:rPr>
          <w:rFonts w:ascii="Lucida Sans"/>
          <w:b/>
          <w:sz w:val="50"/>
        </w:rPr>
      </w:pPr>
    </w:p>
    <w:p w14:paraId="25E392CB" w14:textId="77777777" w:rsidR="002653E8" w:rsidRDefault="003115E3">
      <w:pPr>
        <w:pStyle w:val="a3"/>
        <w:spacing w:line="264" w:lineRule="auto"/>
        <w:ind w:left="1327" w:right="1146"/>
        <w:jc w:val="both"/>
      </w:pPr>
      <w:r>
        <w:rPr>
          <w:color w:val="231F20"/>
          <w:w w:val="105"/>
        </w:rPr>
        <w:t xml:space="preserve">A former </w:t>
      </w:r>
      <w:r>
        <w:rPr>
          <w:i/>
          <w:color w:val="231F20"/>
          <w:w w:val="105"/>
        </w:rPr>
        <w:t xml:space="preserve">Spiegel </w:t>
      </w:r>
      <w:r>
        <w:rPr>
          <w:color w:val="231F20"/>
          <w:w w:val="105"/>
        </w:rPr>
        <w:t xml:space="preserve">journalist, Peter Homann was amongst those who traveled to Jordan for training in 1970. According to his friend Stefan Aust, also a friend of Ulrike Meinhof when she worked at </w:t>
      </w:r>
      <w:r>
        <w:rPr>
          <w:i/>
          <w:color w:val="231F20"/>
          <w:w w:val="105"/>
        </w:rPr>
        <w:t>konkret</w:t>
      </w:r>
      <w:r>
        <w:rPr>
          <w:color w:val="231F20"/>
          <w:w w:val="105"/>
        </w:rPr>
        <w:t xml:space="preserve">, Homann had become estranged from the </w:t>
      </w:r>
      <w:r w:rsidR="00C507A5">
        <w:rPr>
          <w:color w:val="231F20"/>
          <w:w w:val="105"/>
        </w:rPr>
        <w:t>red army faction</w:t>
      </w:r>
      <w:r>
        <w:rPr>
          <w:color w:val="231F20"/>
          <w:w w:val="105"/>
        </w:rPr>
        <w:t xml:space="preserve"> at this time, and the group had even threatened to execute him.</w:t>
      </w:r>
    </w:p>
    <w:p w14:paraId="2683441F" w14:textId="77777777" w:rsidR="002653E8" w:rsidRDefault="003115E3">
      <w:pPr>
        <w:pStyle w:val="a3"/>
        <w:spacing w:line="264" w:lineRule="auto"/>
        <w:ind w:left="1327" w:right="1146" w:firstLine="210"/>
        <w:jc w:val="both"/>
      </w:pPr>
      <w:r>
        <w:rPr>
          <w:color w:val="231F20"/>
        </w:rPr>
        <w:t xml:space="preserve">Even more outrageously, upon his return Homann claimed to have learned of a harebrained plan to send Ulrike Meinhof’s seven-year-old </w:t>
      </w:r>
      <w:r>
        <w:rPr>
          <w:color w:val="231F20"/>
          <w:spacing w:val="1"/>
        </w:rPr>
        <w:t xml:space="preserve">twin </w:t>
      </w:r>
      <w:r>
        <w:rPr>
          <w:color w:val="231F20"/>
        </w:rPr>
        <w:t xml:space="preserve">daughters to be raised as orphans in </w:t>
      </w:r>
      <w:r>
        <w:rPr>
          <w:color w:val="231F20"/>
          <w:spacing w:val="1"/>
        </w:rPr>
        <w:t xml:space="preserve">Al </w:t>
      </w:r>
      <w:r>
        <w:rPr>
          <w:color w:val="231F20"/>
          <w:spacing w:val="-3"/>
        </w:rPr>
        <w:t xml:space="preserve">Fatah’s  </w:t>
      </w:r>
      <w:r>
        <w:rPr>
          <w:color w:val="231F20"/>
        </w:rPr>
        <w:t>Children’s Home   in</w:t>
      </w:r>
      <w:r>
        <w:rPr>
          <w:color w:val="231F20"/>
          <w:spacing w:val="10"/>
        </w:rPr>
        <w:t xml:space="preserve"> </w:t>
      </w:r>
      <w:r>
        <w:rPr>
          <w:color w:val="231F20"/>
          <w:spacing w:val="1"/>
        </w:rPr>
        <w:t>Amman.</w:t>
      </w:r>
    </w:p>
    <w:p w14:paraId="14D932F4" w14:textId="77777777" w:rsidR="002653E8" w:rsidRDefault="003115E3">
      <w:pPr>
        <w:pStyle w:val="a3"/>
        <w:spacing w:line="264" w:lineRule="auto"/>
        <w:ind w:left="1327" w:right="1145" w:firstLine="210"/>
        <w:jc w:val="both"/>
      </w:pPr>
      <w:r>
        <w:rPr>
          <w:color w:val="231F20"/>
        </w:rPr>
        <w:t xml:space="preserve">Homann apparently informed Aust of  this  bizarre  plan,  and  the  two men set about tracking down the Meinhof </w:t>
      </w:r>
      <w:r>
        <w:rPr>
          <w:color w:val="231F20"/>
          <w:spacing w:val="1"/>
        </w:rPr>
        <w:t xml:space="preserve">twins, </w:t>
      </w:r>
      <w:r>
        <w:rPr>
          <w:color w:val="231F20"/>
        </w:rPr>
        <w:t xml:space="preserve">eventually finding them in the care of some Italian hippies. The </w:t>
      </w:r>
      <w:r>
        <w:rPr>
          <w:color w:val="231F20"/>
          <w:spacing w:val="1"/>
        </w:rPr>
        <w:t xml:space="preserve">twins </w:t>
      </w:r>
      <w:r>
        <w:rPr>
          <w:color w:val="231F20"/>
        </w:rPr>
        <w:t xml:space="preserve">were rescued and sent back to live with their father Klaus Rainer Röhl in the FRG. According to Aust, the </w:t>
      </w:r>
      <w:r w:rsidR="00C507A5">
        <w:rPr>
          <w:color w:val="231F20"/>
          <w:spacing w:val="5"/>
        </w:rPr>
        <w:t>red army faction</w:t>
      </w:r>
      <w:r>
        <w:rPr>
          <w:color w:val="231F20"/>
          <w:spacing w:val="5"/>
        </w:rPr>
        <w:t xml:space="preserve"> </w:t>
      </w:r>
      <w:r>
        <w:rPr>
          <w:color w:val="231F20"/>
        </w:rPr>
        <w:t>subsequently tried to kill Homann as revenge for this</w:t>
      </w:r>
      <w:r>
        <w:rPr>
          <w:color w:val="231F20"/>
          <w:spacing w:val="31"/>
        </w:rPr>
        <w:t xml:space="preserve"> </w:t>
      </w:r>
      <w:r>
        <w:rPr>
          <w:color w:val="231F20"/>
        </w:rPr>
        <w:t>intervention.</w:t>
      </w:r>
    </w:p>
    <w:p w14:paraId="6B847E60" w14:textId="77777777" w:rsidR="002653E8" w:rsidRDefault="003115E3">
      <w:pPr>
        <w:pStyle w:val="a3"/>
        <w:spacing w:line="264" w:lineRule="auto"/>
        <w:ind w:left="1327" w:right="1145" w:firstLine="210"/>
        <w:jc w:val="both"/>
      </w:pPr>
      <w:r>
        <w:rPr>
          <w:color w:val="231F20"/>
          <w:w w:val="105"/>
        </w:rPr>
        <w:t xml:space="preserve">This story became quite well known following the publication of Aust’s book </w:t>
      </w:r>
      <w:r>
        <w:rPr>
          <w:i/>
          <w:color w:val="231F20"/>
          <w:w w:val="105"/>
        </w:rPr>
        <w:t xml:space="preserve">Der </w:t>
      </w:r>
      <w:r>
        <w:rPr>
          <w:i/>
          <w:color w:val="231F20"/>
          <w:spacing w:val="1"/>
          <w:w w:val="105"/>
        </w:rPr>
        <w:t xml:space="preserve">Baader-Meinhof </w:t>
      </w:r>
      <w:r>
        <w:rPr>
          <w:i/>
          <w:color w:val="231F20"/>
          <w:w w:val="105"/>
        </w:rPr>
        <w:t xml:space="preserve">Komplexe </w:t>
      </w:r>
      <w:r>
        <w:rPr>
          <w:color w:val="231F20"/>
          <w:w w:val="105"/>
        </w:rPr>
        <w:t xml:space="preserve">in </w:t>
      </w:r>
      <w:r>
        <w:rPr>
          <w:color w:val="231F20"/>
          <w:spacing w:val="-7"/>
          <w:w w:val="105"/>
        </w:rPr>
        <w:t xml:space="preserve">1985, </w:t>
      </w:r>
      <w:r>
        <w:rPr>
          <w:color w:val="231F20"/>
          <w:w w:val="105"/>
        </w:rPr>
        <w:t>a massive tome that</w:t>
      </w:r>
      <w:r>
        <w:rPr>
          <w:color w:val="231F20"/>
          <w:spacing w:val="-13"/>
          <w:w w:val="105"/>
        </w:rPr>
        <w:t xml:space="preserve"> </w:t>
      </w:r>
      <w:r>
        <w:rPr>
          <w:color w:val="231F20"/>
          <w:w w:val="105"/>
        </w:rPr>
        <w:t>quickly</w:t>
      </w:r>
      <w:r>
        <w:rPr>
          <w:color w:val="231F20"/>
          <w:spacing w:val="-13"/>
          <w:w w:val="105"/>
        </w:rPr>
        <w:t xml:space="preserve"> </w:t>
      </w:r>
      <w:r>
        <w:rPr>
          <w:color w:val="231F20"/>
          <w:w w:val="105"/>
        </w:rPr>
        <w:t>became</w:t>
      </w:r>
      <w:r>
        <w:rPr>
          <w:color w:val="231F20"/>
          <w:spacing w:val="-13"/>
          <w:w w:val="105"/>
        </w:rPr>
        <w:t xml:space="preserve"> </w:t>
      </w:r>
      <w:r>
        <w:rPr>
          <w:color w:val="231F20"/>
          <w:w w:val="105"/>
        </w:rPr>
        <w:t>the</w:t>
      </w:r>
      <w:r>
        <w:rPr>
          <w:color w:val="231F20"/>
          <w:spacing w:val="-13"/>
          <w:w w:val="105"/>
        </w:rPr>
        <w:t xml:space="preserve"> </w:t>
      </w:r>
      <w:r>
        <w:rPr>
          <w:color w:val="231F20"/>
          <w:w w:val="105"/>
        </w:rPr>
        <w:t>standard</w:t>
      </w:r>
      <w:r>
        <w:rPr>
          <w:color w:val="231F20"/>
          <w:spacing w:val="-13"/>
          <w:w w:val="105"/>
        </w:rPr>
        <w:t xml:space="preserve"> </w:t>
      </w:r>
      <w:r>
        <w:rPr>
          <w:color w:val="231F20"/>
          <w:w w:val="105"/>
        </w:rPr>
        <w:t>reference</w:t>
      </w:r>
      <w:r>
        <w:rPr>
          <w:color w:val="231F20"/>
          <w:spacing w:val="-13"/>
          <w:w w:val="105"/>
        </w:rPr>
        <w:t xml:space="preserve"> </w:t>
      </w:r>
      <w:r>
        <w:rPr>
          <w:color w:val="231F20"/>
          <w:w w:val="105"/>
        </w:rPr>
        <w:t>for</w:t>
      </w:r>
      <w:r>
        <w:rPr>
          <w:color w:val="231F20"/>
          <w:spacing w:val="-13"/>
          <w:w w:val="105"/>
        </w:rPr>
        <w:t xml:space="preserve"> </w:t>
      </w:r>
      <w:r>
        <w:rPr>
          <w:color w:val="231F20"/>
          <w:w w:val="105"/>
        </w:rPr>
        <w:t>the</w:t>
      </w:r>
      <w:r>
        <w:rPr>
          <w:color w:val="231F20"/>
          <w:spacing w:val="-13"/>
          <w:w w:val="105"/>
        </w:rPr>
        <w:t xml:space="preserve"> </w:t>
      </w:r>
      <w:r w:rsidR="00C507A5">
        <w:rPr>
          <w:color w:val="231F20"/>
          <w:spacing w:val="1"/>
          <w:w w:val="105"/>
        </w:rPr>
        <w:t>red army faction</w:t>
      </w:r>
      <w:r>
        <w:rPr>
          <w:color w:val="231F20"/>
          <w:spacing w:val="1"/>
          <w:w w:val="105"/>
        </w:rPr>
        <w:t>’s</w:t>
      </w:r>
      <w:r>
        <w:rPr>
          <w:color w:val="231F20"/>
          <w:spacing w:val="-13"/>
          <w:w w:val="105"/>
        </w:rPr>
        <w:t xml:space="preserve"> </w:t>
      </w:r>
      <w:r>
        <w:rPr>
          <w:color w:val="231F20"/>
          <w:w w:val="105"/>
        </w:rPr>
        <w:t>history</w:t>
      </w:r>
      <w:r>
        <w:rPr>
          <w:color w:val="231F20"/>
          <w:spacing w:val="-13"/>
          <w:w w:val="105"/>
        </w:rPr>
        <w:t xml:space="preserve"> </w:t>
      </w:r>
      <w:r>
        <w:rPr>
          <w:color w:val="231F20"/>
          <w:w w:val="105"/>
        </w:rPr>
        <w:t>up</w:t>
      </w:r>
      <w:r>
        <w:rPr>
          <w:color w:val="231F20"/>
          <w:spacing w:val="-13"/>
          <w:w w:val="105"/>
        </w:rPr>
        <w:t xml:space="preserve"> </w:t>
      </w:r>
      <w:r>
        <w:rPr>
          <w:color w:val="231F20"/>
          <w:w w:val="105"/>
        </w:rPr>
        <w:t xml:space="preserve">to </w:t>
      </w:r>
      <w:r>
        <w:rPr>
          <w:color w:val="231F20"/>
          <w:spacing w:val="-6"/>
          <w:w w:val="105"/>
        </w:rPr>
        <w:t>1977.</w:t>
      </w:r>
      <w:r>
        <w:rPr>
          <w:color w:val="231F20"/>
          <w:spacing w:val="-6"/>
          <w:w w:val="105"/>
          <w:position w:val="7"/>
          <w:sz w:val="11"/>
        </w:rPr>
        <w:t xml:space="preserve">1 </w:t>
      </w:r>
      <w:r>
        <w:rPr>
          <w:color w:val="231F20"/>
          <w:w w:val="105"/>
        </w:rPr>
        <w:t>By that time, many of those who could either confirm or deny these allegations were no longer</w:t>
      </w:r>
      <w:r>
        <w:rPr>
          <w:color w:val="231F20"/>
          <w:spacing w:val="26"/>
          <w:w w:val="105"/>
        </w:rPr>
        <w:t xml:space="preserve"> </w:t>
      </w:r>
      <w:r>
        <w:rPr>
          <w:color w:val="231F20"/>
          <w:w w:val="105"/>
        </w:rPr>
        <w:t>alive.</w:t>
      </w:r>
    </w:p>
    <w:p w14:paraId="54F10A81" w14:textId="77777777" w:rsidR="002653E8" w:rsidRDefault="003115E3">
      <w:pPr>
        <w:pStyle w:val="a3"/>
        <w:spacing w:line="264" w:lineRule="auto"/>
        <w:ind w:left="1327" w:right="1146" w:firstLine="210"/>
        <w:jc w:val="both"/>
      </w:pPr>
      <w:r>
        <w:rPr>
          <w:color w:val="231F20"/>
        </w:rPr>
        <w:t xml:space="preserve">As such, and with some consternation, even sympathizers were left with no choice but to believe this version of events. Whether one supported the </w:t>
      </w:r>
      <w:r w:rsidR="00C507A5">
        <w:rPr>
          <w:color w:val="231F20"/>
        </w:rPr>
        <w:t>red army faction</w:t>
      </w:r>
      <w:r>
        <w:rPr>
          <w:color w:val="231F20"/>
        </w:rPr>
        <w:t xml:space="preserve"> or not, it seemed clear that the group had embarked upon a very bad childcare strategy to say the least. Even those who did not like Aust’s politics could nevertheless be glad that he and Homann had acted when they did.</w:t>
      </w:r>
    </w:p>
    <w:p w14:paraId="3E2CEAC7" w14:textId="77777777" w:rsidR="002653E8" w:rsidRDefault="003115E3">
      <w:pPr>
        <w:pStyle w:val="a3"/>
        <w:spacing w:line="264" w:lineRule="auto"/>
        <w:ind w:left="1327" w:right="1146" w:firstLine="210"/>
        <w:jc w:val="both"/>
      </w:pPr>
      <w:r>
        <w:rPr>
          <w:color w:val="231F20"/>
        </w:rPr>
        <w:t xml:space="preserve">Indeed, one of Meinhof’s daughters, </w:t>
      </w:r>
      <w:r>
        <w:rPr>
          <w:color w:val="231F20"/>
          <w:spacing w:val="1"/>
        </w:rPr>
        <w:t xml:space="preserve">Bettina </w:t>
      </w:r>
      <w:r>
        <w:rPr>
          <w:color w:val="231F20"/>
        </w:rPr>
        <w:t>Röhl,  clearly  accepts  this</w:t>
      </w:r>
      <w:r>
        <w:rPr>
          <w:color w:val="231F20"/>
          <w:spacing w:val="8"/>
        </w:rPr>
        <w:t xml:space="preserve"> </w:t>
      </w:r>
      <w:r>
        <w:rPr>
          <w:color w:val="231F20"/>
        </w:rPr>
        <w:t>story</w:t>
      </w:r>
      <w:r>
        <w:rPr>
          <w:color w:val="231F20"/>
          <w:spacing w:val="8"/>
        </w:rPr>
        <w:t xml:space="preserve"> </w:t>
      </w:r>
      <w:r>
        <w:rPr>
          <w:color w:val="231F20"/>
        </w:rPr>
        <w:t>as</w:t>
      </w:r>
      <w:r>
        <w:rPr>
          <w:color w:val="231F20"/>
          <w:spacing w:val="8"/>
        </w:rPr>
        <w:t xml:space="preserve"> </w:t>
      </w:r>
      <w:r>
        <w:rPr>
          <w:color w:val="231F20"/>
        </w:rPr>
        <w:t>true.</w:t>
      </w:r>
      <w:r>
        <w:rPr>
          <w:color w:val="231F20"/>
          <w:spacing w:val="8"/>
        </w:rPr>
        <w:t xml:space="preserve"> </w:t>
      </w:r>
      <w:r>
        <w:rPr>
          <w:color w:val="231F20"/>
        </w:rPr>
        <w:t>Her</w:t>
      </w:r>
      <w:r>
        <w:rPr>
          <w:color w:val="231F20"/>
          <w:spacing w:val="8"/>
        </w:rPr>
        <w:t xml:space="preserve"> </w:t>
      </w:r>
      <w:r>
        <w:rPr>
          <w:color w:val="231F20"/>
        </w:rPr>
        <w:t>own</w:t>
      </w:r>
      <w:r>
        <w:rPr>
          <w:color w:val="231F20"/>
          <w:spacing w:val="8"/>
        </w:rPr>
        <w:t xml:space="preserve"> </w:t>
      </w:r>
      <w:r>
        <w:rPr>
          <w:color w:val="231F20"/>
        </w:rPr>
        <w:t>anger</w:t>
      </w:r>
      <w:r>
        <w:rPr>
          <w:color w:val="231F20"/>
          <w:spacing w:val="8"/>
        </w:rPr>
        <w:t xml:space="preserve"> </w:t>
      </w:r>
      <w:r>
        <w:rPr>
          <w:color w:val="231F20"/>
        </w:rPr>
        <w:t>at</w:t>
      </w:r>
      <w:r>
        <w:rPr>
          <w:color w:val="231F20"/>
          <w:spacing w:val="8"/>
        </w:rPr>
        <w:t xml:space="preserve"> </w:t>
      </w:r>
      <w:r>
        <w:rPr>
          <w:color w:val="231F20"/>
        </w:rPr>
        <w:t>what</w:t>
      </w:r>
      <w:r>
        <w:rPr>
          <w:color w:val="231F20"/>
          <w:spacing w:val="8"/>
        </w:rPr>
        <w:t xml:space="preserve"> </w:t>
      </w:r>
      <w:r>
        <w:rPr>
          <w:color w:val="231F20"/>
        </w:rPr>
        <w:t>her</w:t>
      </w:r>
      <w:r>
        <w:rPr>
          <w:color w:val="231F20"/>
          <w:spacing w:val="8"/>
        </w:rPr>
        <w:t xml:space="preserve"> </w:t>
      </w:r>
      <w:r>
        <w:rPr>
          <w:color w:val="231F20"/>
        </w:rPr>
        <w:t>mother</w:t>
      </w:r>
      <w:r>
        <w:rPr>
          <w:color w:val="231F20"/>
          <w:spacing w:val="8"/>
        </w:rPr>
        <w:t xml:space="preserve"> </w:t>
      </w:r>
      <w:r>
        <w:rPr>
          <w:color w:val="231F20"/>
        </w:rPr>
        <w:t>allegedly</w:t>
      </w:r>
      <w:r>
        <w:rPr>
          <w:color w:val="231F20"/>
          <w:spacing w:val="8"/>
        </w:rPr>
        <w:t xml:space="preserve"> </w:t>
      </w:r>
      <w:r>
        <w:rPr>
          <w:color w:val="231F20"/>
        </w:rPr>
        <w:t>planned</w:t>
      </w:r>
    </w:p>
    <w:p w14:paraId="5C37AE0E" w14:textId="77777777" w:rsidR="002653E8" w:rsidRDefault="00000000">
      <w:pPr>
        <w:pStyle w:val="a3"/>
        <w:spacing w:before="10"/>
        <w:rPr>
          <w:sz w:val="17"/>
        </w:rPr>
      </w:pPr>
      <w:r>
        <w:rPr>
          <w:noProof w:val="0"/>
        </w:rPr>
        <w:pict w14:anchorId="7FC8CA33">
          <v:line id="_x0000_s2129" style="position:absolute;z-index:11584;mso-wrap-distance-left:0;mso-wrap-distance-right:0;mso-position-horizontal-relative:page" from="66.4pt,12.7pt" to="138.4pt,12.7pt" strokecolor="#231f20" strokeweight=".5pt">
            <w10:wrap type="topAndBottom" anchorx="page"/>
          </v:line>
        </w:pict>
      </w:r>
    </w:p>
    <w:p w14:paraId="5F1D4027" w14:textId="77777777" w:rsidR="002653E8" w:rsidRDefault="003115E3">
      <w:pPr>
        <w:pStyle w:val="a4"/>
        <w:numPr>
          <w:ilvl w:val="0"/>
          <w:numId w:val="35"/>
        </w:numPr>
        <w:tabs>
          <w:tab w:val="left" w:pos="1467"/>
        </w:tabs>
        <w:spacing w:before="53" w:line="254" w:lineRule="auto"/>
        <w:ind w:right="1307" w:firstLine="0"/>
        <w:rPr>
          <w:sz w:val="16"/>
        </w:rPr>
      </w:pPr>
      <w:r>
        <w:rPr>
          <w:color w:val="231F20"/>
          <w:w w:val="105"/>
          <w:sz w:val="16"/>
        </w:rPr>
        <w:t>With some hesitation, we ourselves have used this book as a major source in our own</w:t>
      </w:r>
      <w:r>
        <w:rPr>
          <w:color w:val="231F20"/>
          <w:spacing w:val="7"/>
          <w:w w:val="105"/>
          <w:sz w:val="16"/>
        </w:rPr>
        <w:t xml:space="preserve"> </w:t>
      </w:r>
      <w:r>
        <w:rPr>
          <w:color w:val="231F20"/>
          <w:w w:val="105"/>
          <w:sz w:val="16"/>
        </w:rPr>
        <w:t>research.</w:t>
      </w:r>
      <w:r>
        <w:rPr>
          <w:color w:val="231F20"/>
          <w:spacing w:val="7"/>
          <w:w w:val="105"/>
          <w:sz w:val="16"/>
        </w:rPr>
        <w:t xml:space="preserve"> </w:t>
      </w:r>
      <w:r>
        <w:rPr>
          <w:color w:val="231F20"/>
          <w:spacing w:val="1"/>
          <w:w w:val="105"/>
          <w:sz w:val="16"/>
        </w:rPr>
        <w:t>While</w:t>
      </w:r>
      <w:r>
        <w:rPr>
          <w:color w:val="231F20"/>
          <w:spacing w:val="7"/>
          <w:w w:val="105"/>
          <w:sz w:val="16"/>
        </w:rPr>
        <w:t xml:space="preserve"> </w:t>
      </w:r>
      <w:r>
        <w:rPr>
          <w:color w:val="231F20"/>
          <w:w w:val="105"/>
          <w:sz w:val="16"/>
        </w:rPr>
        <w:t>Aust</w:t>
      </w:r>
      <w:r>
        <w:rPr>
          <w:color w:val="231F20"/>
          <w:spacing w:val="7"/>
          <w:w w:val="105"/>
          <w:sz w:val="16"/>
        </w:rPr>
        <w:t xml:space="preserve"> </w:t>
      </w:r>
      <w:r>
        <w:rPr>
          <w:color w:val="231F20"/>
          <w:w w:val="105"/>
          <w:sz w:val="16"/>
        </w:rPr>
        <w:t>is</w:t>
      </w:r>
      <w:r>
        <w:rPr>
          <w:color w:val="231F20"/>
          <w:spacing w:val="7"/>
          <w:w w:val="105"/>
          <w:sz w:val="16"/>
        </w:rPr>
        <w:t xml:space="preserve"> </w:t>
      </w:r>
      <w:r>
        <w:rPr>
          <w:color w:val="231F20"/>
          <w:w w:val="105"/>
          <w:sz w:val="16"/>
        </w:rPr>
        <w:t>no</w:t>
      </w:r>
      <w:r>
        <w:rPr>
          <w:color w:val="231F20"/>
          <w:spacing w:val="7"/>
          <w:w w:val="105"/>
          <w:sz w:val="16"/>
        </w:rPr>
        <w:t xml:space="preserve"> </w:t>
      </w:r>
      <w:r>
        <w:rPr>
          <w:color w:val="231F20"/>
          <w:w w:val="105"/>
          <w:sz w:val="16"/>
        </w:rPr>
        <w:t>sympathiser,</w:t>
      </w:r>
      <w:r>
        <w:rPr>
          <w:color w:val="231F20"/>
          <w:spacing w:val="7"/>
          <w:w w:val="105"/>
          <w:sz w:val="16"/>
        </w:rPr>
        <w:t xml:space="preserve"> </w:t>
      </w:r>
      <w:r>
        <w:rPr>
          <w:color w:val="231F20"/>
          <w:w w:val="105"/>
          <w:sz w:val="16"/>
        </w:rPr>
        <w:t>his</w:t>
      </w:r>
      <w:r>
        <w:rPr>
          <w:color w:val="231F20"/>
          <w:spacing w:val="7"/>
          <w:w w:val="105"/>
          <w:sz w:val="16"/>
        </w:rPr>
        <w:t xml:space="preserve"> </w:t>
      </w:r>
      <w:r>
        <w:rPr>
          <w:color w:val="231F20"/>
          <w:w w:val="105"/>
          <w:sz w:val="16"/>
        </w:rPr>
        <w:t>work</w:t>
      </w:r>
      <w:r>
        <w:rPr>
          <w:color w:val="231F20"/>
          <w:spacing w:val="7"/>
          <w:w w:val="105"/>
          <w:sz w:val="16"/>
        </w:rPr>
        <w:t xml:space="preserve"> </w:t>
      </w:r>
      <w:r>
        <w:rPr>
          <w:color w:val="231F20"/>
          <w:w w:val="105"/>
          <w:sz w:val="16"/>
        </w:rPr>
        <w:t>is</w:t>
      </w:r>
      <w:r>
        <w:rPr>
          <w:color w:val="231F20"/>
          <w:spacing w:val="7"/>
          <w:w w:val="105"/>
          <w:sz w:val="16"/>
        </w:rPr>
        <w:t xml:space="preserve"> </w:t>
      </w:r>
      <w:r>
        <w:rPr>
          <w:color w:val="231F20"/>
          <w:w w:val="105"/>
          <w:sz w:val="16"/>
        </w:rPr>
        <w:t>unparalleled</w:t>
      </w:r>
      <w:r>
        <w:rPr>
          <w:color w:val="231F20"/>
          <w:spacing w:val="7"/>
          <w:w w:val="105"/>
          <w:sz w:val="16"/>
        </w:rPr>
        <w:t xml:space="preserve"> </w:t>
      </w:r>
      <w:r>
        <w:rPr>
          <w:color w:val="231F20"/>
          <w:w w:val="105"/>
          <w:sz w:val="16"/>
        </w:rPr>
        <w:t>in</w:t>
      </w:r>
      <w:r>
        <w:rPr>
          <w:color w:val="231F20"/>
          <w:spacing w:val="7"/>
          <w:w w:val="105"/>
          <w:sz w:val="16"/>
        </w:rPr>
        <w:t xml:space="preserve"> </w:t>
      </w:r>
      <w:r>
        <w:rPr>
          <w:color w:val="231F20"/>
          <w:w w:val="105"/>
          <w:sz w:val="16"/>
        </w:rPr>
        <w:t>its</w:t>
      </w:r>
      <w:r>
        <w:rPr>
          <w:color w:val="231F20"/>
          <w:spacing w:val="7"/>
          <w:w w:val="105"/>
          <w:sz w:val="16"/>
        </w:rPr>
        <w:t xml:space="preserve"> </w:t>
      </w:r>
      <w:r>
        <w:rPr>
          <w:color w:val="231F20"/>
          <w:w w:val="105"/>
          <w:sz w:val="16"/>
        </w:rPr>
        <w:t>detail.</w:t>
      </w:r>
    </w:p>
    <w:p w14:paraId="0032F5AF" w14:textId="77777777" w:rsidR="002653E8" w:rsidRDefault="002653E8">
      <w:pPr>
        <w:spacing w:line="254" w:lineRule="auto"/>
        <w:rPr>
          <w:sz w:val="16"/>
        </w:rPr>
        <w:sectPr w:rsidR="002653E8">
          <w:footerReference w:type="even" r:id="rId471"/>
          <w:footerReference w:type="default" r:id="rId472"/>
          <w:pgSz w:w="8640" w:h="12960"/>
          <w:pgMar w:top="1220" w:right="0" w:bottom="1040" w:left="0" w:header="0" w:footer="850" w:gutter="0"/>
          <w:pgNumType w:start="557"/>
          <w:cols w:space="720"/>
        </w:sectPr>
      </w:pPr>
    </w:p>
    <w:p w14:paraId="3E07E210" w14:textId="77777777" w:rsidR="002653E8" w:rsidRDefault="003115E3">
      <w:pPr>
        <w:pStyle w:val="a3"/>
        <w:spacing w:before="86" w:line="264" w:lineRule="auto"/>
        <w:ind w:left="1147" w:right="1145"/>
      </w:pPr>
      <w:r>
        <w:rPr>
          <w:color w:val="231F20"/>
        </w:rPr>
        <w:lastRenderedPageBreak/>
        <w:t>for her has fueled a vendetta she wages to this day against all those she suspects of having colluded with the guerilla struggle.</w:t>
      </w:r>
    </w:p>
    <w:p w14:paraId="4F784F16" w14:textId="77777777" w:rsidR="002653E8" w:rsidRDefault="003115E3">
      <w:pPr>
        <w:pStyle w:val="a3"/>
        <w:spacing w:line="264" w:lineRule="auto"/>
        <w:ind w:left="1147" w:right="1325" w:firstLine="210"/>
        <w:jc w:val="right"/>
      </w:pPr>
      <w:r>
        <w:rPr>
          <w:color w:val="231F20"/>
        </w:rPr>
        <w:t>However, in 2007, new information was brought to light by historian</w:t>
      </w:r>
      <w:r>
        <w:rPr>
          <w:color w:val="231F20"/>
          <w:w w:val="99"/>
        </w:rPr>
        <w:t xml:space="preserve"> </w:t>
      </w:r>
      <w:r>
        <w:rPr>
          <w:color w:val="231F20"/>
        </w:rPr>
        <w:t>Jutta Ditfurth. In a sympathetic biography of Meinhof, Ditfurth claims</w:t>
      </w:r>
      <w:r>
        <w:rPr>
          <w:color w:val="231F20"/>
          <w:w w:val="90"/>
        </w:rPr>
        <w:t xml:space="preserve"> </w:t>
      </w:r>
      <w:r>
        <w:rPr>
          <w:color w:val="231F20"/>
        </w:rPr>
        <w:t>that Homann and Aust’s entire story was nothing but an elaborate lie.</w:t>
      </w:r>
      <w:r>
        <w:rPr>
          <w:color w:val="231F20"/>
          <w:position w:val="7"/>
          <w:sz w:val="11"/>
        </w:rPr>
        <w:t>1</w:t>
      </w:r>
      <w:r>
        <w:rPr>
          <w:color w:val="231F20"/>
          <w:w w:val="106"/>
          <w:position w:val="7"/>
          <w:sz w:val="11"/>
        </w:rPr>
        <w:t xml:space="preserve"> </w:t>
      </w:r>
      <w:r>
        <w:rPr>
          <w:color w:val="231F20"/>
        </w:rPr>
        <w:t>According to Ditfurth, the fate of the Meinhof-Röhl  children  was</w:t>
      </w:r>
      <w:r>
        <w:rPr>
          <w:color w:val="231F20"/>
          <w:w w:val="90"/>
        </w:rPr>
        <w:t xml:space="preserve"> </w:t>
      </w:r>
      <w:r>
        <w:rPr>
          <w:color w:val="231F20"/>
        </w:rPr>
        <w:t>still before the family courts at the time of this alleged rescue, and there</w:t>
      </w:r>
      <w:r>
        <w:rPr>
          <w:color w:val="231F20"/>
          <w:w w:val="91"/>
        </w:rPr>
        <w:t xml:space="preserve"> </w:t>
      </w:r>
      <w:r>
        <w:rPr>
          <w:color w:val="231F20"/>
        </w:rPr>
        <w:t>was a strong chance custody would be granted to Meinhof’s older sister</w:t>
      </w:r>
      <w:r>
        <w:rPr>
          <w:color w:val="231F20"/>
          <w:w w:val="92"/>
        </w:rPr>
        <w:t xml:space="preserve"> </w:t>
      </w:r>
      <w:r>
        <w:rPr>
          <w:color w:val="231F20"/>
        </w:rPr>
        <w:t>Inge Wienke Zitzlaff, a school principal in Hessen who had two daugh-</w:t>
      </w:r>
    </w:p>
    <w:p w14:paraId="557EEDF6" w14:textId="77777777" w:rsidR="002653E8" w:rsidRDefault="003115E3">
      <w:pPr>
        <w:pStyle w:val="a3"/>
        <w:spacing w:line="227" w:lineRule="exact"/>
        <w:ind w:left="1147"/>
      </w:pPr>
      <w:r>
        <w:rPr>
          <w:color w:val="231F20"/>
          <w:w w:val="105"/>
        </w:rPr>
        <w:t>ters of her own.</w:t>
      </w:r>
    </w:p>
    <w:p w14:paraId="017BD096" w14:textId="77777777" w:rsidR="002653E8" w:rsidRDefault="003115E3">
      <w:pPr>
        <w:pStyle w:val="a3"/>
        <w:spacing w:before="21" w:line="264" w:lineRule="auto"/>
        <w:ind w:left="1147" w:right="1326" w:firstLine="210"/>
        <w:jc w:val="both"/>
      </w:pPr>
      <w:r>
        <w:rPr>
          <w:color w:val="231F20"/>
        </w:rPr>
        <w:t xml:space="preserve">Ditfurth claims this plan had been made before Ulrike Meinhof ever went underground in </w:t>
      </w:r>
      <w:r>
        <w:rPr>
          <w:color w:val="231F20"/>
          <w:spacing w:val="-3"/>
        </w:rPr>
        <w:t xml:space="preserve">1970, </w:t>
      </w:r>
      <w:r>
        <w:rPr>
          <w:color w:val="231F20"/>
        </w:rPr>
        <w:t xml:space="preserve">and that as a backup, were the family court to rule in </w:t>
      </w:r>
      <w:r>
        <w:rPr>
          <w:color w:val="231F20"/>
          <w:spacing w:val="-3"/>
        </w:rPr>
        <w:t xml:space="preserve">Röhl’s favor, </w:t>
      </w:r>
      <w:r>
        <w:rPr>
          <w:color w:val="231F20"/>
        </w:rPr>
        <w:t xml:space="preserve">some thought had been given to sending  the </w:t>
      </w:r>
      <w:r>
        <w:rPr>
          <w:color w:val="231F20"/>
          <w:spacing w:val="1"/>
        </w:rPr>
        <w:t xml:space="preserve">twins </w:t>
      </w:r>
      <w:r>
        <w:rPr>
          <w:color w:val="231F20"/>
        </w:rPr>
        <w:t>to East</w:t>
      </w:r>
      <w:r>
        <w:rPr>
          <w:color w:val="231F20"/>
          <w:spacing w:val="31"/>
        </w:rPr>
        <w:t xml:space="preserve"> </w:t>
      </w:r>
      <w:r>
        <w:rPr>
          <w:color w:val="231F20"/>
          <w:spacing w:val="-3"/>
        </w:rPr>
        <w:t>Germany.</w:t>
      </w:r>
    </w:p>
    <w:p w14:paraId="05FDB248" w14:textId="77777777" w:rsidR="002653E8" w:rsidRDefault="003115E3">
      <w:pPr>
        <w:pStyle w:val="a3"/>
        <w:spacing w:line="264" w:lineRule="auto"/>
        <w:ind w:left="1147" w:right="1325" w:firstLine="210"/>
        <w:jc w:val="both"/>
      </w:pPr>
      <w:r>
        <w:rPr>
          <w:color w:val="231F20"/>
        </w:rPr>
        <w:t xml:space="preserve">As Ditfurth points out, at the time of this alleged plot to send the children to Jordan, it was clear to all concerned that that country was  on the brink of civil war. Indeed, within a month of the guerillas’ re </w:t>
      </w:r>
      <w:r>
        <w:rPr>
          <w:color w:val="231F20"/>
          <w:spacing w:val="1"/>
        </w:rPr>
        <w:t xml:space="preserve">turn </w:t>
      </w:r>
      <w:r>
        <w:rPr>
          <w:color w:val="231F20"/>
        </w:rPr>
        <w:t>to the FRG, war did break out, leading to the slaughter of between 4,000 and 10,000 Palestinians. The Children’s Home—where Homann and Aust claim the girls would have been sent—was one of the targets bombed</w:t>
      </w:r>
      <w:r>
        <w:rPr>
          <w:color w:val="231F20"/>
          <w:spacing w:val="11"/>
        </w:rPr>
        <w:t xml:space="preserve"> </w:t>
      </w:r>
      <w:r>
        <w:rPr>
          <w:color w:val="231F20"/>
        </w:rPr>
        <w:t>by</w:t>
      </w:r>
      <w:r>
        <w:rPr>
          <w:color w:val="231F20"/>
          <w:spacing w:val="11"/>
        </w:rPr>
        <w:t xml:space="preserve"> </w:t>
      </w:r>
      <w:r>
        <w:rPr>
          <w:color w:val="231F20"/>
        </w:rPr>
        <w:t>the</w:t>
      </w:r>
      <w:r>
        <w:rPr>
          <w:color w:val="231F20"/>
          <w:spacing w:val="11"/>
        </w:rPr>
        <w:t xml:space="preserve"> </w:t>
      </w:r>
      <w:r>
        <w:rPr>
          <w:color w:val="231F20"/>
        </w:rPr>
        <w:t>Jordanian</w:t>
      </w:r>
      <w:r>
        <w:rPr>
          <w:color w:val="231F20"/>
          <w:spacing w:val="11"/>
        </w:rPr>
        <w:t xml:space="preserve"> </w:t>
      </w:r>
      <w:r>
        <w:rPr>
          <w:color w:val="231F20"/>
        </w:rPr>
        <w:t>air</w:t>
      </w:r>
      <w:r>
        <w:rPr>
          <w:color w:val="231F20"/>
          <w:spacing w:val="11"/>
        </w:rPr>
        <w:t xml:space="preserve"> </w:t>
      </w:r>
      <w:r>
        <w:rPr>
          <w:color w:val="231F20"/>
        </w:rPr>
        <w:t>force,</w:t>
      </w:r>
      <w:r>
        <w:rPr>
          <w:color w:val="231F20"/>
          <w:spacing w:val="11"/>
        </w:rPr>
        <w:t xml:space="preserve"> </w:t>
      </w:r>
      <w:r>
        <w:rPr>
          <w:color w:val="231F20"/>
        </w:rPr>
        <w:t>leaving</w:t>
      </w:r>
      <w:r>
        <w:rPr>
          <w:color w:val="231F20"/>
          <w:spacing w:val="11"/>
        </w:rPr>
        <w:t xml:space="preserve"> </w:t>
      </w:r>
      <w:r>
        <w:rPr>
          <w:color w:val="231F20"/>
        </w:rPr>
        <w:t>no</w:t>
      </w:r>
      <w:r>
        <w:rPr>
          <w:color w:val="231F20"/>
          <w:spacing w:val="11"/>
        </w:rPr>
        <w:t xml:space="preserve"> </w:t>
      </w:r>
      <w:r>
        <w:rPr>
          <w:color w:val="231F20"/>
        </w:rPr>
        <w:t>survivors.</w:t>
      </w:r>
    </w:p>
    <w:p w14:paraId="70AD38F0" w14:textId="77777777" w:rsidR="002653E8" w:rsidRDefault="003115E3">
      <w:pPr>
        <w:pStyle w:val="a3"/>
        <w:spacing w:line="264" w:lineRule="auto"/>
        <w:ind w:left="1147" w:right="1317" w:firstLine="210"/>
        <w:jc w:val="both"/>
      </w:pPr>
      <w:r>
        <w:rPr>
          <w:color w:val="231F20"/>
        </w:rPr>
        <w:t xml:space="preserve">Obviously, Ditfurth’s research does more than simply show Ulrike Meinhof in a very different and far more human light. It also provides     a far more credible explanation as to </w:t>
      </w:r>
      <w:r>
        <w:rPr>
          <w:color w:val="231F20"/>
          <w:spacing w:val="-5"/>
        </w:rPr>
        <w:t xml:space="preserve">why, </w:t>
      </w:r>
      <w:r>
        <w:rPr>
          <w:color w:val="231F20"/>
        </w:rPr>
        <w:t xml:space="preserve">in early </w:t>
      </w:r>
      <w:r>
        <w:rPr>
          <w:color w:val="231F20"/>
          <w:spacing w:val="-3"/>
        </w:rPr>
        <w:t xml:space="preserve">1972,  </w:t>
      </w:r>
      <w:r>
        <w:rPr>
          <w:color w:val="231F20"/>
        </w:rPr>
        <w:t xml:space="preserve">the  </w:t>
      </w:r>
      <w:r w:rsidR="00C507A5">
        <w:rPr>
          <w:color w:val="231F20"/>
          <w:spacing w:val="6"/>
        </w:rPr>
        <w:t>red army faction</w:t>
      </w:r>
      <w:r>
        <w:rPr>
          <w:color w:val="231F20"/>
          <w:spacing w:val="6"/>
        </w:rPr>
        <w:t xml:space="preserve">  </w:t>
      </w:r>
      <w:r>
        <w:rPr>
          <w:color w:val="231F20"/>
        </w:rPr>
        <w:t>would castigate Homann for turning against them: if Meinhof was not   in fact planning to abandon her children, then Homann’s intervention amounted to an actual kidnapping, one which wrecked Meinhof’s carefully laid plans for her</w:t>
      </w:r>
      <w:r>
        <w:rPr>
          <w:color w:val="231F20"/>
          <w:spacing w:val="11"/>
        </w:rPr>
        <w:t xml:space="preserve"> </w:t>
      </w:r>
      <w:r>
        <w:rPr>
          <w:color w:val="231F20"/>
        </w:rPr>
        <w:t>daughters.</w:t>
      </w:r>
    </w:p>
    <w:p w14:paraId="406E5125" w14:textId="77777777" w:rsidR="002653E8" w:rsidRDefault="003115E3">
      <w:pPr>
        <w:pStyle w:val="a3"/>
        <w:spacing w:line="264" w:lineRule="auto"/>
        <w:ind w:left="1148" w:right="1325" w:firstLine="210"/>
        <w:jc w:val="both"/>
      </w:pPr>
      <w:r>
        <w:rPr>
          <w:color w:val="231F20"/>
          <w:spacing w:val="-5"/>
        </w:rPr>
        <w:t xml:space="preserve">We </w:t>
      </w:r>
      <w:r>
        <w:rPr>
          <w:color w:val="231F20"/>
        </w:rPr>
        <w:t xml:space="preserve">do not know the truth of this matter. </w:t>
      </w:r>
      <w:r>
        <w:rPr>
          <w:color w:val="231F20"/>
          <w:spacing w:val="-5"/>
        </w:rPr>
        <w:t xml:space="preserve">We </w:t>
      </w:r>
      <w:r>
        <w:rPr>
          <w:color w:val="231F20"/>
        </w:rPr>
        <w:t xml:space="preserve">have always been aghast at this story of the </w:t>
      </w:r>
      <w:r w:rsidR="00C507A5">
        <w:rPr>
          <w:color w:val="231F20"/>
          <w:spacing w:val="5"/>
        </w:rPr>
        <w:t>red army faction</w:t>
      </w:r>
      <w:r>
        <w:rPr>
          <w:color w:val="231F20"/>
          <w:spacing w:val="5"/>
        </w:rPr>
        <w:t xml:space="preserve"> </w:t>
      </w:r>
      <w:r>
        <w:rPr>
          <w:color w:val="231F20"/>
        </w:rPr>
        <w:t xml:space="preserve">planning to exile two young children to dangerous and unfamiliar surroundings. </w:t>
      </w:r>
      <w:r>
        <w:rPr>
          <w:color w:val="231F20"/>
          <w:spacing w:val="-5"/>
        </w:rPr>
        <w:t xml:space="preserve">We </w:t>
      </w:r>
      <w:r>
        <w:rPr>
          <w:color w:val="231F20"/>
        </w:rPr>
        <w:t>have no desire to whitewash such a plan if it did in fact exist. That said, Ditfurth’s recent research makes    a lot more sense than the previous Aust-Homann story, and while this does not itself prove its accuracy, it certainly gives us occasion for pause and</w:t>
      </w:r>
      <w:r>
        <w:rPr>
          <w:color w:val="231F20"/>
          <w:spacing w:val="10"/>
        </w:rPr>
        <w:t xml:space="preserve"> </w:t>
      </w:r>
      <w:r>
        <w:rPr>
          <w:color w:val="231F20"/>
        </w:rPr>
        <w:t>consideration.</w:t>
      </w:r>
    </w:p>
    <w:p w14:paraId="632BE011" w14:textId="77777777" w:rsidR="002653E8" w:rsidRDefault="003115E3">
      <w:pPr>
        <w:pStyle w:val="a3"/>
        <w:spacing w:line="264" w:lineRule="auto"/>
        <w:ind w:left="1148" w:right="1326" w:firstLine="285"/>
        <w:jc w:val="both"/>
      </w:pPr>
      <w:r>
        <w:rPr>
          <w:color w:val="231F20"/>
        </w:rPr>
        <w:t>As with so much in this story, readers will have to make up their own</w:t>
      </w:r>
      <w:r>
        <w:rPr>
          <w:color w:val="231F20"/>
          <w:spacing w:val="10"/>
        </w:rPr>
        <w:t xml:space="preserve"> </w:t>
      </w:r>
      <w:r>
        <w:rPr>
          <w:color w:val="231F20"/>
        </w:rPr>
        <w:t>minds.</w:t>
      </w:r>
    </w:p>
    <w:p w14:paraId="253FCE09" w14:textId="77777777" w:rsidR="002653E8" w:rsidRDefault="002653E8">
      <w:pPr>
        <w:pStyle w:val="a3"/>
      </w:pPr>
    </w:p>
    <w:p w14:paraId="1BCFEB4A" w14:textId="77777777" w:rsidR="002653E8" w:rsidRDefault="00000000">
      <w:pPr>
        <w:pStyle w:val="a3"/>
        <w:spacing w:before="11"/>
        <w:rPr>
          <w:sz w:val="14"/>
        </w:rPr>
      </w:pPr>
      <w:r>
        <w:rPr>
          <w:noProof w:val="0"/>
        </w:rPr>
        <w:pict w14:anchorId="5502121E">
          <v:line id="_x0000_s2128" style="position:absolute;z-index:11608;mso-wrap-distance-left:0;mso-wrap-distance-right:0;mso-position-horizontal-relative:page" from="57.4pt,10.95pt" to="129.4pt,10.95pt" strokecolor="#231f20" strokeweight=".5pt">
            <w10:wrap type="topAndBottom" anchorx="page"/>
          </v:line>
        </w:pict>
      </w:r>
    </w:p>
    <w:p w14:paraId="12823C52" w14:textId="77777777" w:rsidR="002653E8" w:rsidRDefault="003115E3">
      <w:pPr>
        <w:spacing w:before="53"/>
        <w:ind w:left="1147"/>
        <w:rPr>
          <w:sz w:val="16"/>
        </w:rPr>
      </w:pPr>
      <w:r>
        <w:rPr>
          <w:color w:val="231F20"/>
          <w:w w:val="110"/>
          <w:sz w:val="16"/>
        </w:rPr>
        <w:t>1 Ditfurth, 290-292.</w:t>
      </w:r>
    </w:p>
    <w:p w14:paraId="2950BF60" w14:textId="77777777" w:rsidR="002653E8" w:rsidRDefault="002653E8">
      <w:pPr>
        <w:rPr>
          <w:sz w:val="16"/>
        </w:rPr>
        <w:sectPr w:rsidR="002653E8">
          <w:pgSz w:w="8640" w:h="12960"/>
          <w:pgMar w:top="1060" w:right="0" w:bottom="1040" w:left="0" w:header="0" w:footer="850" w:gutter="0"/>
          <w:cols w:space="720"/>
        </w:sectPr>
      </w:pPr>
    </w:p>
    <w:p w14:paraId="19CA9873" w14:textId="77777777" w:rsidR="002653E8" w:rsidRDefault="002653E8">
      <w:pPr>
        <w:pStyle w:val="a3"/>
        <w:spacing w:before="4"/>
        <w:rPr>
          <w:sz w:val="11"/>
        </w:rPr>
      </w:pPr>
    </w:p>
    <w:p w14:paraId="0C472DB3" w14:textId="77777777" w:rsidR="002653E8" w:rsidRDefault="003115E3">
      <w:pPr>
        <w:spacing w:before="99"/>
        <w:ind w:left="180"/>
        <w:jc w:val="center"/>
        <w:rPr>
          <w:sz w:val="24"/>
        </w:rPr>
      </w:pPr>
      <w:bookmarkStart w:id="275" w:name="Appendix_VI:_The_German_Guerilla’s_Pales"/>
      <w:bookmarkStart w:id="276" w:name="_bookmark89"/>
      <w:bookmarkEnd w:id="275"/>
      <w:bookmarkEnd w:id="276"/>
      <w:r>
        <w:rPr>
          <w:color w:val="231F20"/>
          <w:w w:val="110"/>
          <w:sz w:val="24"/>
        </w:rPr>
        <w:t>a p p e n di x v i</w:t>
      </w:r>
    </w:p>
    <w:p w14:paraId="21B0EF2A" w14:textId="77777777" w:rsidR="002653E8" w:rsidRDefault="002653E8">
      <w:pPr>
        <w:pStyle w:val="a3"/>
        <w:spacing w:before="10"/>
        <w:rPr>
          <w:sz w:val="28"/>
        </w:rPr>
      </w:pPr>
    </w:p>
    <w:p w14:paraId="1BD3EE82" w14:textId="77777777" w:rsidR="002653E8" w:rsidRDefault="003115E3">
      <w:pPr>
        <w:spacing w:line="300" w:lineRule="auto"/>
        <w:ind w:left="1403" w:right="1221"/>
        <w:jc w:val="center"/>
        <w:rPr>
          <w:rFonts w:ascii="Lucida Sans" w:hAnsi="Lucida Sans"/>
          <w:b/>
          <w:sz w:val="30"/>
        </w:rPr>
      </w:pPr>
      <w:r>
        <w:rPr>
          <w:rFonts w:ascii="Lucida Sans" w:hAnsi="Lucida Sans"/>
          <w:b/>
          <w:color w:val="231F20"/>
          <w:w w:val="90"/>
          <w:sz w:val="30"/>
        </w:rPr>
        <w:t xml:space="preserve">the German </w:t>
      </w:r>
      <w:r>
        <w:rPr>
          <w:rFonts w:ascii="Lucida Sans" w:hAnsi="Lucida Sans"/>
          <w:b/>
          <w:color w:val="231F20"/>
          <w:spacing w:val="-3"/>
          <w:w w:val="90"/>
          <w:sz w:val="30"/>
        </w:rPr>
        <w:t xml:space="preserve">Guerilla’s </w:t>
      </w:r>
      <w:r>
        <w:rPr>
          <w:rFonts w:ascii="Lucida Sans" w:hAnsi="Lucida Sans"/>
          <w:b/>
          <w:color w:val="231F20"/>
          <w:w w:val="90"/>
          <w:sz w:val="30"/>
        </w:rPr>
        <w:t xml:space="preserve">Palestinian Allies: </w:t>
      </w:r>
      <w:r>
        <w:rPr>
          <w:rFonts w:ascii="Lucida Sans" w:hAnsi="Lucida Sans"/>
          <w:b/>
          <w:color w:val="231F20"/>
          <w:spacing w:val="-3"/>
          <w:sz w:val="30"/>
        </w:rPr>
        <w:t xml:space="preserve">Waddi Haddad’s </w:t>
      </w:r>
      <w:r>
        <w:rPr>
          <w:rFonts w:ascii="Lucida Sans" w:hAnsi="Lucida Sans"/>
          <w:b/>
          <w:color w:val="231F20"/>
          <w:sz w:val="30"/>
        </w:rPr>
        <w:t>PFLP</w:t>
      </w:r>
      <w:r>
        <w:rPr>
          <w:rFonts w:ascii="Lucida Sans" w:hAnsi="Lucida Sans"/>
          <w:b/>
          <w:color w:val="231F20"/>
          <w:spacing w:val="-55"/>
          <w:sz w:val="30"/>
        </w:rPr>
        <w:t xml:space="preserve"> </w:t>
      </w:r>
      <w:r>
        <w:rPr>
          <w:rFonts w:ascii="Lucida Sans" w:hAnsi="Lucida Sans"/>
          <w:b/>
          <w:color w:val="231F20"/>
          <w:sz w:val="30"/>
        </w:rPr>
        <w:t>(eo)</w:t>
      </w:r>
    </w:p>
    <w:p w14:paraId="2C71B94F" w14:textId="77777777" w:rsidR="002653E8" w:rsidRDefault="002653E8">
      <w:pPr>
        <w:pStyle w:val="a3"/>
        <w:spacing w:before="8"/>
        <w:rPr>
          <w:rFonts w:ascii="Lucida Sans"/>
          <w:b/>
          <w:sz w:val="42"/>
        </w:rPr>
      </w:pPr>
    </w:p>
    <w:p w14:paraId="21DEDB80" w14:textId="77777777" w:rsidR="002653E8" w:rsidRDefault="003115E3">
      <w:pPr>
        <w:pStyle w:val="a3"/>
        <w:spacing w:line="264" w:lineRule="auto"/>
        <w:ind w:left="1212" w:right="1146"/>
        <w:jc w:val="right"/>
      </w:pPr>
      <w:r>
        <w:rPr>
          <w:color w:val="231F20"/>
          <w:w w:val="105"/>
        </w:rPr>
        <w:t>Though</w:t>
      </w:r>
      <w:r>
        <w:rPr>
          <w:color w:val="231F20"/>
          <w:spacing w:val="27"/>
          <w:w w:val="105"/>
        </w:rPr>
        <w:t xml:space="preserve"> </w:t>
      </w:r>
      <w:r>
        <w:rPr>
          <w:color w:val="231F20"/>
          <w:w w:val="105"/>
        </w:rPr>
        <w:t>many</w:t>
      </w:r>
      <w:r>
        <w:rPr>
          <w:color w:val="231F20"/>
          <w:spacing w:val="27"/>
          <w:w w:val="105"/>
        </w:rPr>
        <w:t xml:space="preserve"> </w:t>
      </w:r>
      <w:r>
        <w:rPr>
          <w:color w:val="231F20"/>
          <w:w w:val="105"/>
        </w:rPr>
        <w:t>accounts</w:t>
      </w:r>
      <w:r>
        <w:rPr>
          <w:color w:val="231F20"/>
          <w:spacing w:val="27"/>
          <w:w w:val="105"/>
        </w:rPr>
        <w:t xml:space="preserve"> </w:t>
      </w:r>
      <w:r>
        <w:rPr>
          <w:color w:val="231F20"/>
          <w:w w:val="105"/>
        </w:rPr>
        <w:t>of</w:t>
      </w:r>
      <w:r>
        <w:rPr>
          <w:color w:val="231F20"/>
          <w:spacing w:val="27"/>
          <w:w w:val="105"/>
        </w:rPr>
        <w:t xml:space="preserve"> </w:t>
      </w:r>
      <w:r>
        <w:rPr>
          <w:color w:val="231F20"/>
          <w:w w:val="105"/>
        </w:rPr>
        <w:t>the</w:t>
      </w:r>
      <w:r>
        <w:rPr>
          <w:color w:val="231F20"/>
          <w:spacing w:val="27"/>
          <w:w w:val="105"/>
        </w:rPr>
        <w:t xml:space="preserve"> </w:t>
      </w:r>
      <w:r>
        <w:rPr>
          <w:color w:val="231F20"/>
          <w:w w:val="105"/>
        </w:rPr>
        <w:t>Entebbe</w:t>
      </w:r>
      <w:r>
        <w:rPr>
          <w:color w:val="231F20"/>
          <w:spacing w:val="27"/>
          <w:w w:val="105"/>
        </w:rPr>
        <w:t xml:space="preserve"> </w:t>
      </w:r>
      <w:r>
        <w:rPr>
          <w:color w:val="231F20"/>
          <w:w w:val="105"/>
        </w:rPr>
        <w:t>and</w:t>
      </w:r>
      <w:r>
        <w:rPr>
          <w:color w:val="231F20"/>
          <w:spacing w:val="27"/>
          <w:w w:val="105"/>
        </w:rPr>
        <w:t xml:space="preserve"> </w:t>
      </w:r>
      <w:r>
        <w:rPr>
          <w:color w:val="231F20"/>
          <w:w w:val="105"/>
        </w:rPr>
        <w:t>Mogadishu</w:t>
      </w:r>
      <w:r>
        <w:rPr>
          <w:color w:val="231F20"/>
          <w:spacing w:val="27"/>
          <w:w w:val="105"/>
        </w:rPr>
        <w:t xml:space="preserve"> </w:t>
      </w:r>
      <w:r>
        <w:rPr>
          <w:color w:val="231F20"/>
          <w:w w:val="105"/>
        </w:rPr>
        <w:t>skyjackings</w:t>
      </w:r>
      <w:r>
        <w:rPr>
          <w:color w:val="231F20"/>
          <w:w w:val="90"/>
        </w:rPr>
        <w:t xml:space="preserve"> </w:t>
      </w:r>
      <w:r>
        <w:rPr>
          <w:color w:val="231F20"/>
          <w:w w:val="105"/>
        </w:rPr>
        <w:t>claim</w:t>
      </w:r>
      <w:r>
        <w:rPr>
          <w:color w:val="231F20"/>
          <w:spacing w:val="-23"/>
          <w:w w:val="105"/>
        </w:rPr>
        <w:t xml:space="preserve"> </w:t>
      </w:r>
      <w:r>
        <w:rPr>
          <w:color w:val="231F20"/>
          <w:w w:val="105"/>
        </w:rPr>
        <w:t>that</w:t>
      </w:r>
      <w:r>
        <w:rPr>
          <w:color w:val="231F20"/>
          <w:spacing w:val="-23"/>
          <w:w w:val="105"/>
        </w:rPr>
        <w:t xml:space="preserve"> </w:t>
      </w:r>
      <w:r>
        <w:rPr>
          <w:color w:val="231F20"/>
          <w:w w:val="105"/>
        </w:rPr>
        <w:t>they</w:t>
      </w:r>
      <w:r>
        <w:rPr>
          <w:color w:val="231F20"/>
          <w:spacing w:val="-23"/>
          <w:w w:val="105"/>
        </w:rPr>
        <w:t xml:space="preserve"> </w:t>
      </w:r>
      <w:r>
        <w:rPr>
          <w:color w:val="231F20"/>
          <w:w w:val="105"/>
        </w:rPr>
        <w:t>were</w:t>
      </w:r>
      <w:r>
        <w:rPr>
          <w:color w:val="231F20"/>
          <w:spacing w:val="-23"/>
          <w:w w:val="105"/>
        </w:rPr>
        <w:t xml:space="preserve"> </w:t>
      </w:r>
      <w:r>
        <w:rPr>
          <w:color w:val="231F20"/>
          <w:w w:val="105"/>
        </w:rPr>
        <w:t>carried</w:t>
      </w:r>
      <w:r>
        <w:rPr>
          <w:color w:val="231F20"/>
          <w:spacing w:val="-23"/>
          <w:w w:val="105"/>
        </w:rPr>
        <w:t xml:space="preserve"> </w:t>
      </w:r>
      <w:r>
        <w:rPr>
          <w:color w:val="231F20"/>
          <w:w w:val="105"/>
        </w:rPr>
        <w:t>out</w:t>
      </w:r>
      <w:r>
        <w:rPr>
          <w:color w:val="231F20"/>
          <w:spacing w:val="-23"/>
          <w:w w:val="105"/>
        </w:rPr>
        <w:t xml:space="preserve"> </w:t>
      </w:r>
      <w:r>
        <w:rPr>
          <w:color w:val="231F20"/>
          <w:w w:val="105"/>
        </w:rPr>
        <w:t>by</w:t>
      </w:r>
      <w:r>
        <w:rPr>
          <w:color w:val="231F20"/>
          <w:spacing w:val="-23"/>
          <w:w w:val="105"/>
        </w:rPr>
        <w:t xml:space="preserve"> </w:t>
      </w:r>
      <w:r>
        <w:rPr>
          <w:color w:val="231F20"/>
          <w:w w:val="105"/>
        </w:rPr>
        <w:t>the</w:t>
      </w:r>
      <w:r>
        <w:rPr>
          <w:color w:val="231F20"/>
          <w:spacing w:val="-22"/>
          <w:w w:val="105"/>
        </w:rPr>
        <w:t xml:space="preserve"> </w:t>
      </w:r>
      <w:r>
        <w:rPr>
          <w:color w:val="231F20"/>
          <w:w w:val="105"/>
        </w:rPr>
        <w:t>Popular</w:t>
      </w:r>
      <w:r>
        <w:rPr>
          <w:color w:val="231F20"/>
          <w:spacing w:val="-23"/>
          <w:w w:val="105"/>
        </w:rPr>
        <w:t xml:space="preserve"> </w:t>
      </w:r>
      <w:r>
        <w:rPr>
          <w:color w:val="231F20"/>
          <w:w w:val="105"/>
        </w:rPr>
        <w:t>Front</w:t>
      </w:r>
      <w:r>
        <w:rPr>
          <w:color w:val="231F20"/>
          <w:spacing w:val="-23"/>
          <w:w w:val="105"/>
        </w:rPr>
        <w:t xml:space="preserve"> </w:t>
      </w:r>
      <w:r>
        <w:rPr>
          <w:color w:val="231F20"/>
          <w:w w:val="105"/>
        </w:rPr>
        <w:t>for</w:t>
      </w:r>
      <w:r>
        <w:rPr>
          <w:color w:val="231F20"/>
          <w:spacing w:val="-23"/>
          <w:w w:val="105"/>
        </w:rPr>
        <w:t xml:space="preserve"> </w:t>
      </w:r>
      <w:r>
        <w:rPr>
          <w:color w:val="231F20"/>
          <w:w w:val="105"/>
        </w:rPr>
        <w:t>the</w:t>
      </w:r>
      <w:r>
        <w:rPr>
          <w:color w:val="231F20"/>
          <w:spacing w:val="-23"/>
          <w:w w:val="105"/>
        </w:rPr>
        <w:t xml:space="preserve"> </w:t>
      </w:r>
      <w:r>
        <w:rPr>
          <w:color w:val="231F20"/>
          <w:w w:val="105"/>
        </w:rPr>
        <w:t>Liberation</w:t>
      </w:r>
      <w:r>
        <w:rPr>
          <w:color w:val="231F20"/>
          <w:w w:val="99"/>
        </w:rPr>
        <w:t xml:space="preserve"> </w:t>
      </w:r>
      <w:r>
        <w:rPr>
          <w:color w:val="231F20"/>
          <w:w w:val="105"/>
        </w:rPr>
        <w:t>of</w:t>
      </w:r>
      <w:r>
        <w:rPr>
          <w:color w:val="231F20"/>
          <w:spacing w:val="-4"/>
          <w:w w:val="105"/>
        </w:rPr>
        <w:t xml:space="preserve"> </w:t>
      </w:r>
      <w:r>
        <w:rPr>
          <w:color w:val="231F20"/>
          <w:w w:val="105"/>
        </w:rPr>
        <w:t>Palestine,</w:t>
      </w:r>
      <w:r>
        <w:rPr>
          <w:color w:val="231F20"/>
          <w:spacing w:val="-4"/>
          <w:w w:val="105"/>
        </w:rPr>
        <w:t xml:space="preserve"> </w:t>
      </w:r>
      <w:r>
        <w:rPr>
          <w:color w:val="231F20"/>
          <w:w w:val="105"/>
        </w:rPr>
        <w:t>led</w:t>
      </w:r>
      <w:r>
        <w:rPr>
          <w:color w:val="231F20"/>
          <w:spacing w:val="-4"/>
          <w:w w:val="105"/>
        </w:rPr>
        <w:t xml:space="preserve"> </w:t>
      </w:r>
      <w:r>
        <w:rPr>
          <w:color w:val="231F20"/>
          <w:w w:val="105"/>
        </w:rPr>
        <w:t>at</w:t>
      </w:r>
      <w:r>
        <w:rPr>
          <w:color w:val="231F20"/>
          <w:spacing w:val="-4"/>
          <w:w w:val="105"/>
        </w:rPr>
        <w:t xml:space="preserve"> </w:t>
      </w:r>
      <w:r>
        <w:rPr>
          <w:color w:val="231F20"/>
          <w:w w:val="105"/>
        </w:rPr>
        <w:t>the</w:t>
      </w:r>
      <w:r>
        <w:rPr>
          <w:color w:val="231F20"/>
          <w:spacing w:val="-4"/>
          <w:w w:val="105"/>
        </w:rPr>
        <w:t xml:space="preserve"> </w:t>
      </w:r>
      <w:r>
        <w:rPr>
          <w:color w:val="231F20"/>
          <w:w w:val="105"/>
        </w:rPr>
        <w:t>time</w:t>
      </w:r>
      <w:r>
        <w:rPr>
          <w:color w:val="231F20"/>
          <w:spacing w:val="-4"/>
          <w:w w:val="105"/>
        </w:rPr>
        <w:t xml:space="preserve"> </w:t>
      </w:r>
      <w:r>
        <w:rPr>
          <w:color w:val="231F20"/>
          <w:w w:val="105"/>
        </w:rPr>
        <w:t>by</w:t>
      </w:r>
      <w:r>
        <w:rPr>
          <w:color w:val="231F20"/>
          <w:spacing w:val="-4"/>
          <w:w w:val="105"/>
        </w:rPr>
        <w:t xml:space="preserve"> </w:t>
      </w:r>
      <w:r>
        <w:rPr>
          <w:color w:val="231F20"/>
          <w:spacing w:val="-3"/>
          <w:w w:val="105"/>
        </w:rPr>
        <w:t>Dr.</w:t>
      </w:r>
      <w:r>
        <w:rPr>
          <w:color w:val="231F20"/>
          <w:spacing w:val="-4"/>
          <w:w w:val="105"/>
        </w:rPr>
        <w:t xml:space="preserve"> </w:t>
      </w:r>
      <w:r>
        <w:rPr>
          <w:color w:val="231F20"/>
          <w:w w:val="105"/>
        </w:rPr>
        <w:t>George</w:t>
      </w:r>
      <w:r>
        <w:rPr>
          <w:color w:val="231F20"/>
          <w:spacing w:val="-4"/>
          <w:w w:val="105"/>
        </w:rPr>
        <w:t xml:space="preserve"> </w:t>
      </w:r>
      <w:r>
        <w:rPr>
          <w:color w:val="231F20"/>
          <w:w w:val="105"/>
        </w:rPr>
        <w:t>Habash,</w:t>
      </w:r>
      <w:r>
        <w:rPr>
          <w:color w:val="231F20"/>
          <w:spacing w:val="-4"/>
          <w:w w:val="105"/>
        </w:rPr>
        <w:t xml:space="preserve"> </w:t>
      </w:r>
      <w:r>
        <w:rPr>
          <w:color w:val="231F20"/>
          <w:w w:val="105"/>
        </w:rPr>
        <w:t>this</w:t>
      </w:r>
      <w:r>
        <w:rPr>
          <w:color w:val="231F20"/>
          <w:spacing w:val="-4"/>
          <w:w w:val="105"/>
        </w:rPr>
        <w:t xml:space="preserve"> </w:t>
      </w:r>
      <w:r>
        <w:rPr>
          <w:color w:val="231F20"/>
          <w:w w:val="105"/>
        </w:rPr>
        <w:t>is</w:t>
      </w:r>
      <w:r>
        <w:rPr>
          <w:color w:val="231F20"/>
          <w:spacing w:val="-4"/>
          <w:w w:val="105"/>
        </w:rPr>
        <w:t xml:space="preserve"> </w:t>
      </w:r>
      <w:r>
        <w:rPr>
          <w:color w:val="231F20"/>
          <w:w w:val="105"/>
        </w:rPr>
        <w:t>not</w:t>
      </w:r>
      <w:r>
        <w:rPr>
          <w:color w:val="231F20"/>
          <w:spacing w:val="-4"/>
          <w:w w:val="105"/>
        </w:rPr>
        <w:t xml:space="preserve"> </w:t>
      </w:r>
      <w:r>
        <w:rPr>
          <w:color w:val="231F20"/>
          <w:w w:val="105"/>
        </w:rPr>
        <w:t>the</w:t>
      </w:r>
      <w:r>
        <w:rPr>
          <w:color w:val="231F20"/>
          <w:spacing w:val="-4"/>
          <w:w w:val="105"/>
        </w:rPr>
        <w:t xml:space="preserve"> </w:t>
      </w:r>
      <w:r>
        <w:rPr>
          <w:color w:val="231F20"/>
          <w:w w:val="105"/>
        </w:rPr>
        <w:t>case.</w:t>
      </w:r>
      <w:r>
        <w:rPr>
          <w:color w:val="231F20"/>
          <w:w w:val="135"/>
        </w:rPr>
        <w:t xml:space="preserve"> </w:t>
      </w:r>
      <w:r>
        <w:rPr>
          <w:color w:val="231F20"/>
          <w:w w:val="105"/>
        </w:rPr>
        <w:t xml:space="preserve">Rather, </w:t>
      </w:r>
      <w:r>
        <w:rPr>
          <w:color w:val="231F20"/>
          <w:spacing w:val="-3"/>
          <w:w w:val="105"/>
        </w:rPr>
        <w:t xml:space="preserve">they, </w:t>
      </w:r>
      <w:r>
        <w:rPr>
          <w:color w:val="231F20"/>
          <w:w w:val="105"/>
        </w:rPr>
        <w:t xml:space="preserve">as well as the </w:t>
      </w:r>
      <w:r>
        <w:rPr>
          <w:color w:val="231F20"/>
          <w:spacing w:val="-6"/>
          <w:w w:val="105"/>
        </w:rPr>
        <w:t xml:space="preserve">1975 </w:t>
      </w:r>
      <w:r>
        <w:rPr>
          <w:color w:val="231F20"/>
          <w:w w:val="105"/>
        </w:rPr>
        <w:t>attack on the OPEC</w:t>
      </w:r>
      <w:r>
        <w:rPr>
          <w:color w:val="231F20"/>
          <w:spacing w:val="3"/>
          <w:w w:val="105"/>
        </w:rPr>
        <w:t xml:space="preserve"> </w:t>
      </w:r>
      <w:r>
        <w:rPr>
          <w:color w:val="231F20"/>
          <w:w w:val="105"/>
        </w:rPr>
        <w:t>Conference</w:t>
      </w:r>
      <w:r>
        <w:rPr>
          <w:color w:val="231F20"/>
          <w:spacing w:val="2"/>
          <w:w w:val="105"/>
        </w:rPr>
        <w:t xml:space="preserve"> </w:t>
      </w:r>
      <w:r>
        <w:rPr>
          <w:color w:val="231F20"/>
          <w:w w:val="105"/>
        </w:rPr>
        <w:t>in</w:t>
      </w:r>
      <w:r>
        <w:rPr>
          <w:color w:val="231F20"/>
          <w:w w:val="99"/>
        </w:rPr>
        <w:t xml:space="preserve"> </w:t>
      </w:r>
      <w:r>
        <w:rPr>
          <w:color w:val="231F20"/>
          <w:w w:val="105"/>
        </w:rPr>
        <w:t>Vienna,</w:t>
      </w:r>
      <w:r>
        <w:rPr>
          <w:color w:val="231F20"/>
          <w:spacing w:val="10"/>
          <w:w w:val="105"/>
        </w:rPr>
        <w:t xml:space="preserve"> </w:t>
      </w:r>
      <w:r>
        <w:rPr>
          <w:color w:val="231F20"/>
          <w:w w:val="105"/>
        </w:rPr>
        <w:t>were</w:t>
      </w:r>
      <w:r>
        <w:rPr>
          <w:color w:val="231F20"/>
          <w:spacing w:val="10"/>
          <w:w w:val="105"/>
        </w:rPr>
        <w:t xml:space="preserve"> </w:t>
      </w:r>
      <w:r>
        <w:rPr>
          <w:color w:val="231F20"/>
          <w:w w:val="105"/>
        </w:rPr>
        <w:t>all</w:t>
      </w:r>
      <w:r>
        <w:rPr>
          <w:color w:val="231F20"/>
          <w:spacing w:val="10"/>
          <w:w w:val="105"/>
        </w:rPr>
        <w:t xml:space="preserve"> </w:t>
      </w:r>
      <w:r>
        <w:rPr>
          <w:color w:val="231F20"/>
          <w:w w:val="105"/>
        </w:rPr>
        <w:t>organized</w:t>
      </w:r>
      <w:r>
        <w:rPr>
          <w:color w:val="231F20"/>
          <w:spacing w:val="10"/>
          <w:w w:val="105"/>
        </w:rPr>
        <w:t xml:space="preserve"> </w:t>
      </w:r>
      <w:r>
        <w:rPr>
          <w:color w:val="231F20"/>
          <w:w w:val="105"/>
        </w:rPr>
        <w:t>by</w:t>
      </w:r>
      <w:r>
        <w:rPr>
          <w:color w:val="231F20"/>
          <w:spacing w:val="10"/>
          <w:w w:val="105"/>
        </w:rPr>
        <w:t xml:space="preserve"> </w:t>
      </w:r>
      <w:r>
        <w:rPr>
          <w:color w:val="231F20"/>
          <w:spacing w:val="-3"/>
          <w:w w:val="105"/>
        </w:rPr>
        <w:t>Dr.</w:t>
      </w:r>
      <w:r>
        <w:rPr>
          <w:color w:val="231F20"/>
          <w:spacing w:val="10"/>
          <w:w w:val="105"/>
        </w:rPr>
        <w:t xml:space="preserve"> </w:t>
      </w:r>
      <w:r>
        <w:rPr>
          <w:color w:val="231F20"/>
          <w:w w:val="105"/>
        </w:rPr>
        <w:t>Waddi</w:t>
      </w:r>
      <w:r>
        <w:rPr>
          <w:color w:val="231F20"/>
          <w:spacing w:val="10"/>
          <w:w w:val="105"/>
        </w:rPr>
        <w:t xml:space="preserve"> </w:t>
      </w:r>
      <w:r>
        <w:rPr>
          <w:color w:val="231F20"/>
          <w:w w:val="105"/>
        </w:rPr>
        <w:t>Haddad</w:t>
      </w:r>
      <w:r>
        <w:rPr>
          <w:color w:val="231F20"/>
          <w:spacing w:val="10"/>
          <w:w w:val="105"/>
        </w:rPr>
        <w:t xml:space="preserve"> </w:t>
      </w:r>
      <w:r>
        <w:rPr>
          <w:color w:val="231F20"/>
          <w:w w:val="105"/>
        </w:rPr>
        <w:t>and</w:t>
      </w:r>
      <w:r>
        <w:rPr>
          <w:color w:val="231F20"/>
          <w:spacing w:val="10"/>
          <w:w w:val="105"/>
        </w:rPr>
        <w:t xml:space="preserve"> </w:t>
      </w:r>
      <w:r>
        <w:rPr>
          <w:color w:val="231F20"/>
          <w:w w:val="105"/>
        </w:rPr>
        <w:t>carried</w:t>
      </w:r>
      <w:r>
        <w:rPr>
          <w:color w:val="231F20"/>
          <w:spacing w:val="10"/>
          <w:w w:val="105"/>
        </w:rPr>
        <w:t xml:space="preserve"> </w:t>
      </w:r>
      <w:r>
        <w:rPr>
          <w:color w:val="231F20"/>
          <w:w w:val="105"/>
        </w:rPr>
        <w:t>out</w:t>
      </w:r>
      <w:r>
        <w:rPr>
          <w:color w:val="231F20"/>
          <w:spacing w:val="10"/>
          <w:w w:val="105"/>
        </w:rPr>
        <w:t xml:space="preserve"> </w:t>
      </w:r>
      <w:r>
        <w:rPr>
          <w:color w:val="231F20"/>
          <w:w w:val="105"/>
        </w:rPr>
        <w:t>by</w:t>
      </w:r>
      <w:r>
        <w:rPr>
          <w:color w:val="231F20"/>
          <w:w w:val="99"/>
        </w:rPr>
        <w:t xml:space="preserve"> </w:t>
      </w:r>
      <w:r>
        <w:rPr>
          <w:color w:val="231F20"/>
          <w:w w:val="105"/>
        </w:rPr>
        <w:t>members</w:t>
      </w:r>
      <w:r>
        <w:rPr>
          <w:color w:val="231F20"/>
          <w:spacing w:val="-20"/>
          <w:w w:val="105"/>
        </w:rPr>
        <w:t xml:space="preserve"> </w:t>
      </w:r>
      <w:r>
        <w:rPr>
          <w:color w:val="231F20"/>
          <w:w w:val="105"/>
        </w:rPr>
        <w:t>of</w:t>
      </w:r>
      <w:r>
        <w:rPr>
          <w:color w:val="231F20"/>
          <w:spacing w:val="-20"/>
          <w:w w:val="105"/>
        </w:rPr>
        <w:t xml:space="preserve"> </w:t>
      </w:r>
      <w:r>
        <w:rPr>
          <w:color w:val="231F20"/>
          <w:w w:val="105"/>
        </w:rPr>
        <w:t>Haddad’s</w:t>
      </w:r>
      <w:r>
        <w:rPr>
          <w:color w:val="231F20"/>
          <w:spacing w:val="-20"/>
          <w:w w:val="105"/>
        </w:rPr>
        <w:t xml:space="preserve"> </w:t>
      </w:r>
      <w:r>
        <w:rPr>
          <w:color w:val="231F20"/>
          <w:spacing w:val="1"/>
          <w:w w:val="105"/>
        </w:rPr>
        <w:t>PFLP</w:t>
      </w:r>
      <w:r>
        <w:rPr>
          <w:color w:val="231F20"/>
          <w:spacing w:val="-20"/>
          <w:w w:val="105"/>
        </w:rPr>
        <w:t xml:space="preserve"> </w:t>
      </w:r>
      <w:r>
        <w:rPr>
          <w:color w:val="231F20"/>
          <w:w w:val="105"/>
        </w:rPr>
        <w:t>(External</w:t>
      </w:r>
      <w:r>
        <w:rPr>
          <w:color w:val="231F20"/>
          <w:spacing w:val="-20"/>
          <w:w w:val="105"/>
        </w:rPr>
        <w:t xml:space="preserve"> </w:t>
      </w:r>
      <w:r>
        <w:rPr>
          <w:color w:val="231F20"/>
          <w:w w:val="105"/>
        </w:rPr>
        <w:t>Operations)</w:t>
      </w:r>
      <w:r>
        <w:rPr>
          <w:color w:val="231F20"/>
          <w:w w:val="105"/>
          <w:position w:val="7"/>
          <w:sz w:val="11"/>
        </w:rPr>
        <w:t>2</w:t>
      </w:r>
      <w:r>
        <w:rPr>
          <w:color w:val="231F20"/>
          <w:spacing w:val="-10"/>
          <w:w w:val="105"/>
          <w:position w:val="7"/>
          <w:sz w:val="11"/>
        </w:rPr>
        <w:t xml:space="preserve"> </w:t>
      </w:r>
      <w:r>
        <w:rPr>
          <w:color w:val="231F20"/>
          <w:w w:val="105"/>
        </w:rPr>
        <w:t>group.</w:t>
      </w:r>
      <w:r>
        <w:rPr>
          <w:color w:val="231F20"/>
          <w:spacing w:val="-20"/>
          <w:w w:val="105"/>
        </w:rPr>
        <w:t xml:space="preserve"> </w:t>
      </w:r>
      <w:r>
        <w:rPr>
          <w:color w:val="231F20"/>
          <w:w w:val="105"/>
        </w:rPr>
        <w:t>While</w:t>
      </w:r>
      <w:r>
        <w:rPr>
          <w:color w:val="231F20"/>
          <w:spacing w:val="-20"/>
          <w:w w:val="105"/>
        </w:rPr>
        <w:t xml:space="preserve"> </w:t>
      </w:r>
      <w:r>
        <w:rPr>
          <w:color w:val="231F20"/>
          <w:w w:val="105"/>
        </w:rPr>
        <w:t>many</w:t>
      </w:r>
      <w:r>
        <w:rPr>
          <w:color w:val="231F20"/>
          <w:w w:val="99"/>
        </w:rPr>
        <w:t xml:space="preserve"> </w:t>
      </w:r>
      <w:r>
        <w:rPr>
          <w:color w:val="231F20"/>
          <w:w w:val="105"/>
        </w:rPr>
        <w:t>observers</w:t>
      </w:r>
      <w:r>
        <w:rPr>
          <w:color w:val="231F20"/>
          <w:spacing w:val="-27"/>
          <w:w w:val="105"/>
        </w:rPr>
        <w:t xml:space="preserve"> </w:t>
      </w:r>
      <w:r>
        <w:rPr>
          <w:color w:val="231F20"/>
          <w:w w:val="105"/>
        </w:rPr>
        <w:t>assume</w:t>
      </w:r>
      <w:r>
        <w:rPr>
          <w:color w:val="231F20"/>
          <w:spacing w:val="-27"/>
          <w:w w:val="105"/>
        </w:rPr>
        <w:t xml:space="preserve"> </w:t>
      </w:r>
      <w:r>
        <w:rPr>
          <w:color w:val="231F20"/>
          <w:w w:val="105"/>
        </w:rPr>
        <w:t>the</w:t>
      </w:r>
      <w:r>
        <w:rPr>
          <w:color w:val="231F20"/>
          <w:spacing w:val="-27"/>
          <w:w w:val="105"/>
        </w:rPr>
        <w:t xml:space="preserve"> </w:t>
      </w:r>
      <w:r>
        <w:rPr>
          <w:color w:val="231F20"/>
          <w:spacing w:val="1"/>
          <w:w w:val="105"/>
        </w:rPr>
        <w:t>PFLP</w:t>
      </w:r>
      <w:r>
        <w:rPr>
          <w:color w:val="231F20"/>
          <w:spacing w:val="-33"/>
          <w:w w:val="105"/>
        </w:rPr>
        <w:t xml:space="preserve"> </w:t>
      </w:r>
      <w:r>
        <w:rPr>
          <w:color w:val="231F20"/>
          <w:w w:val="105"/>
        </w:rPr>
        <w:t>(EO)</w:t>
      </w:r>
      <w:r>
        <w:rPr>
          <w:color w:val="231F20"/>
          <w:spacing w:val="-27"/>
          <w:w w:val="105"/>
        </w:rPr>
        <w:t xml:space="preserve"> </w:t>
      </w:r>
      <w:r>
        <w:rPr>
          <w:color w:val="231F20"/>
          <w:w w:val="105"/>
        </w:rPr>
        <w:t>and</w:t>
      </w:r>
      <w:r>
        <w:rPr>
          <w:color w:val="231F20"/>
          <w:spacing w:val="-27"/>
          <w:w w:val="105"/>
        </w:rPr>
        <w:t xml:space="preserve"> </w:t>
      </w:r>
      <w:r>
        <w:rPr>
          <w:color w:val="231F20"/>
          <w:spacing w:val="1"/>
          <w:w w:val="105"/>
        </w:rPr>
        <w:t>PFLP</w:t>
      </w:r>
      <w:r>
        <w:rPr>
          <w:color w:val="231F20"/>
          <w:spacing w:val="-27"/>
          <w:w w:val="105"/>
        </w:rPr>
        <w:t xml:space="preserve"> </w:t>
      </w:r>
      <w:r>
        <w:rPr>
          <w:color w:val="231F20"/>
          <w:w w:val="105"/>
        </w:rPr>
        <w:t>were</w:t>
      </w:r>
      <w:r>
        <w:rPr>
          <w:color w:val="231F20"/>
          <w:spacing w:val="-27"/>
          <w:w w:val="105"/>
        </w:rPr>
        <w:t xml:space="preserve"> </w:t>
      </w:r>
      <w:r>
        <w:rPr>
          <w:color w:val="231F20"/>
          <w:w w:val="105"/>
        </w:rPr>
        <w:t>the</w:t>
      </w:r>
      <w:r>
        <w:rPr>
          <w:color w:val="231F20"/>
          <w:spacing w:val="-27"/>
          <w:w w:val="105"/>
        </w:rPr>
        <w:t xml:space="preserve"> </w:t>
      </w:r>
      <w:r>
        <w:rPr>
          <w:color w:val="231F20"/>
          <w:w w:val="105"/>
        </w:rPr>
        <w:t>same</w:t>
      </w:r>
      <w:r>
        <w:rPr>
          <w:color w:val="231F20"/>
          <w:spacing w:val="-27"/>
          <w:w w:val="105"/>
        </w:rPr>
        <w:t xml:space="preserve"> </w:t>
      </w:r>
      <w:r>
        <w:rPr>
          <w:color w:val="231F20"/>
          <w:w w:val="105"/>
        </w:rPr>
        <w:t>organization,</w:t>
      </w:r>
    </w:p>
    <w:p w14:paraId="7D978222" w14:textId="77777777" w:rsidR="002653E8" w:rsidRDefault="003115E3">
      <w:pPr>
        <w:pStyle w:val="a3"/>
        <w:spacing w:line="227" w:lineRule="exact"/>
        <w:ind w:left="1327"/>
      </w:pPr>
      <w:r>
        <w:rPr>
          <w:color w:val="231F20"/>
        </w:rPr>
        <w:t>this belief is not supported by most serious histories.</w:t>
      </w:r>
    </w:p>
    <w:p w14:paraId="38683AE1" w14:textId="77777777" w:rsidR="002653E8" w:rsidRDefault="003115E3">
      <w:pPr>
        <w:pStyle w:val="a3"/>
        <w:spacing w:before="23" w:line="264" w:lineRule="auto"/>
        <w:ind w:left="1327" w:right="1145" w:firstLine="210"/>
        <w:jc w:val="both"/>
      </w:pPr>
      <w:r>
        <w:rPr>
          <w:color w:val="231F20"/>
        </w:rPr>
        <w:t xml:space="preserve">Along with Habash, Waddi Haddad had been a founding member of the Popular Front for the Liberation of Palestine, and the Arab National Movement before it. As the </w:t>
      </w:r>
      <w:r>
        <w:rPr>
          <w:color w:val="231F20"/>
          <w:spacing w:val="1"/>
        </w:rPr>
        <w:t xml:space="preserve">PFLP </w:t>
      </w:r>
      <w:r>
        <w:rPr>
          <w:color w:val="231F20"/>
        </w:rPr>
        <w:t xml:space="preserve">moved rapidly leftwards in the period following the Six Day </w:t>
      </w:r>
      <w:r>
        <w:rPr>
          <w:color w:val="231F20"/>
          <w:spacing w:val="-3"/>
        </w:rPr>
        <w:t xml:space="preserve">War, </w:t>
      </w:r>
      <w:r>
        <w:rPr>
          <w:color w:val="231F20"/>
        </w:rPr>
        <w:t xml:space="preserve">Haddad came to represent old guard hostility to the </w:t>
      </w:r>
      <w:r>
        <w:rPr>
          <w:color w:val="231F20"/>
          <w:spacing w:val="-3"/>
        </w:rPr>
        <w:t xml:space="preserve">Front’s  </w:t>
      </w:r>
      <w:r>
        <w:rPr>
          <w:color w:val="231F20"/>
        </w:rPr>
        <w:t>new Marxist-Leninist orientation.</w:t>
      </w:r>
      <w:r>
        <w:rPr>
          <w:color w:val="231F20"/>
          <w:position w:val="7"/>
          <w:sz w:val="11"/>
        </w:rPr>
        <w:t xml:space="preserve">3  </w:t>
      </w:r>
      <w:r>
        <w:rPr>
          <w:color w:val="231F20"/>
        </w:rPr>
        <w:t xml:space="preserve">At the same time,  he was the politburo member charged with establishing the PFLP’s External Operations branch, responsible for armed activities outside of </w:t>
      </w:r>
      <w:r>
        <w:rPr>
          <w:color w:val="231F20"/>
          <w:spacing w:val="2"/>
          <w:w w:val="102"/>
        </w:rPr>
        <w:t>I</w:t>
      </w:r>
      <w:r>
        <w:rPr>
          <w:color w:val="231F20"/>
          <w:w w:val="90"/>
        </w:rPr>
        <w:t>s</w:t>
      </w:r>
      <w:r>
        <w:rPr>
          <w:color w:val="231F20"/>
          <w:spacing w:val="-1"/>
          <w:w w:val="98"/>
        </w:rPr>
        <w:t>ra</w:t>
      </w:r>
      <w:r>
        <w:rPr>
          <w:color w:val="231F20"/>
          <w:spacing w:val="-1"/>
          <w:w w:val="91"/>
        </w:rPr>
        <w:t>e</w:t>
      </w:r>
      <w:r>
        <w:rPr>
          <w:color w:val="231F20"/>
          <w:spacing w:val="8"/>
          <w:w w:val="102"/>
        </w:rPr>
        <w:t>l</w:t>
      </w:r>
      <w:r>
        <w:rPr>
          <w:color w:val="231F20"/>
          <w:spacing w:val="10"/>
          <w:w w:val="56"/>
        </w:rPr>
        <w:t>/</w:t>
      </w:r>
      <w:r>
        <w:rPr>
          <w:color w:val="231F20"/>
          <w:spacing w:val="-3"/>
          <w:w w:val="97"/>
        </w:rPr>
        <w:t>P</w:t>
      </w:r>
      <w:r>
        <w:rPr>
          <w:color w:val="231F20"/>
          <w:spacing w:val="2"/>
          <w:w w:val="102"/>
        </w:rPr>
        <w:t>a</w:t>
      </w:r>
      <w:r>
        <w:rPr>
          <w:color w:val="231F20"/>
          <w:spacing w:val="-1"/>
          <w:w w:val="95"/>
        </w:rPr>
        <w:t>l</w:t>
      </w:r>
      <w:r>
        <w:rPr>
          <w:color w:val="231F20"/>
          <w:spacing w:val="1"/>
          <w:w w:val="95"/>
        </w:rPr>
        <w:t>e</w:t>
      </w:r>
      <w:r>
        <w:rPr>
          <w:color w:val="231F20"/>
          <w:w w:val="90"/>
        </w:rPr>
        <w:t>s</w:t>
      </w:r>
      <w:r>
        <w:rPr>
          <w:color w:val="231F20"/>
          <w:spacing w:val="2"/>
          <w:w w:val="98"/>
        </w:rPr>
        <w:t>t</w:t>
      </w:r>
      <w:r>
        <w:rPr>
          <w:color w:val="231F20"/>
          <w:spacing w:val="2"/>
        </w:rPr>
        <w:t>i</w:t>
      </w:r>
      <w:r>
        <w:rPr>
          <w:color w:val="231F20"/>
          <w:spacing w:val="-1"/>
          <w:w w:val="95"/>
        </w:rPr>
        <w:t>n</w:t>
      </w:r>
      <w:r>
        <w:rPr>
          <w:color w:val="231F20"/>
          <w:w w:val="95"/>
        </w:rPr>
        <w:t>e</w:t>
      </w:r>
      <w:r>
        <w:rPr>
          <w:color w:val="231F20"/>
          <w:spacing w:val="-2"/>
          <w:w w:val="135"/>
        </w:rPr>
        <w:t>.</w:t>
      </w:r>
      <w:r>
        <w:rPr>
          <w:color w:val="231F20"/>
          <w:w w:val="106"/>
          <w:position w:val="7"/>
          <w:sz w:val="11"/>
        </w:rPr>
        <w:t>4</w:t>
      </w:r>
      <w:r>
        <w:rPr>
          <w:color w:val="231F20"/>
          <w:position w:val="7"/>
          <w:sz w:val="11"/>
        </w:rPr>
        <w:t xml:space="preserve"> </w:t>
      </w:r>
      <w:r>
        <w:rPr>
          <w:color w:val="231F20"/>
          <w:spacing w:val="-10"/>
          <w:position w:val="7"/>
          <w:sz w:val="11"/>
        </w:rPr>
        <w:t xml:space="preserve"> </w:t>
      </w:r>
      <w:r>
        <w:rPr>
          <w:color w:val="231F20"/>
        </w:rPr>
        <w:t xml:space="preserve">Such </w:t>
      </w:r>
      <w:r>
        <w:rPr>
          <w:color w:val="231F20"/>
          <w:spacing w:val="-22"/>
        </w:rPr>
        <w:t xml:space="preserve"> </w:t>
      </w:r>
      <w:r>
        <w:rPr>
          <w:color w:val="231F20"/>
          <w:spacing w:val="-1"/>
          <w:w w:val="102"/>
        </w:rPr>
        <w:t>a</w:t>
      </w:r>
      <w:r>
        <w:rPr>
          <w:color w:val="231F20"/>
          <w:spacing w:val="3"/>
        </w:rPr>
        <w:t>c</w:t>
      </w:r>
      <w:r>
        <w:rPr>
          <w:color w:val="231F20"/>
          <w:spacing w:val="2"/>
          <w:w w:val="98"/>
        </w:rPr>
        <w:t>t</w:t>
      </w:r>
      <w:r>
        <w:rPr>
          <w:color w:val="231F20"/>
          <w:spacing w:val="-2"/>
        </w:rPr>
        <w:t>i</w:t>
      </w:r>
      <w:r>
        <w:rPr>
          <w:color w:val="231F20"/>
          <w:spacing w:val="2"/>
          <w:w w:val="99"/>
        </w:rPr>
        <w:t>v</w:t>
      </w:r>
      <w:r>
        <w:rPr>
          <w:color w:val="231F20"/>
          <w:spacing w:val="-2"/>
        </w:rPr>
        <w:t>i</w:t>
      </w:r>
      <w:r>
        <w:rPr>
          <w:color w:val="231F20"/>
          <w:spacing w:val="2"/>
          <w:w w:val="98"/>
        </w:rPr>
        <w:t>t</w:t>
      </w:r>
      <w:r>
        <w:rPr>
          <w:color w:val="231F20"/>
          <w:spacing w:val="-1"/>
        </w:rPr>
        <w:t>i</w:t>
      </w:r>
      <w:r>
        <w:rPr>
          <w:color w:val="231F20"/>
          <w:spacing w:val="1"/>
          <w:w w:val="91"/>
        </w:rPr>
        <w:t>e</w:t>
      </w:r>
      <w:r>
        <w:rPr>
          <w:color w:val="231F20"/>
          <w:w w:val="90"/>
        </w:rPr>
        <w:t>s</w:t>
      </w:r>
      <w:r>
        <w:rPr>
          <w:color w:val="231F20"/>
        </w:rPr>
        <w:t xml:space="preserve"> </w:t>
      </w:r>
      <w:r>
        <w:rPr>
          <w:color w:val="231F20"/>
          <w:spacing w:val="-22"/>
        </w:rPr>
        <w:t xml:space="preserve"> </w:t>
      </w:r>
      <w:r>
        <w:rPr>
          <w:color w:val="231F20"/>
          <w:spacing w:val="-2"/>
          <w:w w:val="98"/>
        </w:rPr>
        <w:t>t</w:t>
      </w:r>
      <w:r>
        <w:rPr>
          <w:color w:val="231F20"/>
          <w:w w:val="104"/>
        </w:rPr>
        <w:t>o</w:t>
      </w:r>
      <w:r>
        <w:rPr>
          <w:color w:val="231F20"/>
          <w:spacing w:val="-1"/>
          <w:w w:val="104"/>
        </w:rPr>
        <w:t>o</w:t>
      </w:r>
      <w:r>
        <w:rPr>
          <w:color w:val="231F20"/>
          <w:w w:val="106"/>
        </w:rPr>
        <w:t>k</w:t>
      </w:r>
      <w:r>
        <w:rPr>
          <w:color w:val="231F20"/>
        </w:rPr>
        <w:t xml:space="preserve"> </w:t>
      </w:r>
      <w:r>
        <w:rPr>
          <w:color w:val="231F20"/>
          <w:spacing w:val="-22"/>
        </w:rPr>
        <w:t xml:space="preserve"> </w:t>
      </w:r>
      <w:r>
        <w:rPr>
          <w:color w:val="231F20"/>
          <w:spacing w:val="-1"/>
          <w:w w:val="104"/>
        </w:rPr>
        <w:t>o</w:t>
      </w:r>
      <w:r>
        <w:rPr>
          <w:color w:val="231F20"/>
          <w:w w:val="99"/>
        </w:rPr>
        <w:t>n</w:t>
      </w:r>
      <w:r>
        <w:rPr>
          <w:color w:val="231F20"/>
        </w:rPr>
        <w:t xml:space="preserve"> </w:t>
      </w:r>
      <w:r>
        <w:rPr>
          <w:color w:val="231F20"/>
          <w:spacing w:val="-22"/>
        </w:rPr>
        <w:t xml:space="preserve"> </w:t>
      </w:r>
      <w:r>
        <w:rPr>
          <w:color w:val="231F20"/>
          <w:spacing w:val="5"/>
          <w:w w:val="101"/>
        </w:rPr>
        <w:t>g</w:t>
      </w:r>
      <w:r>
        <w:rPr>
          <w:color w:val="231F20"/>
          <w:spacing w:val="-1"/>
          <w:w w:val="94"/>
        </w:rPr>
        <w:t>r</w:t>
      </w:r>
      <w:r>
        <w:rPr>
          <w:color w:val="231F20"/>
          <w:spacing w:val="1"/>
          <w:w w:val="91"/>
        </w:rPr>
        <w:t>e</w:t>
      </w:r>
      <w:r>
        <w:rPr>
          <w:color w:val="231F20"/>
          <w:spacing w:val="-2"/>
          <w:w w:val="102"/>
        </w:rPr>
        <w:t>a</w:t>
      </w:r>
      <w:r>
        <w:rPr>
          <w:color w:val="231F20"/>
          <w:w w:val="98"/>
        </w:rPr>
        <w:t>t</w:t>
      </w:r>
      <w:r>
        <w:rPr>
          <w:color w:val="231F20"/>
        </w:rPr>
        <w:t xml:space="preserve"> </w:t>
      </w:r>
      <w:r>
        <w:rPr>
          <w:color w:val="231F20"/>
          <w:spacing w:val="-22"/>
        </w:rPr>
        <w:t xml:space="preserve"> </w:t>
      </w:r>
      <w:r>
        <w:rPr>
          <w:color w:val="231F20"/>
          <w:spacing w:val="3"/>
        </w:rPr>
        <w:t>i</w:t>
      </w:r>
      <w:r>
        <w:rPr>
          <w:color w:val="231F20"/>
          <w:spacing w:val="-2"/>
          <w:w w:val="99"/>
        </w:rPr>
        <w:t>m</w:t>
      </w:r>
      <w:r>
        <w:rPr>
          <w:color w:val="231F20"/>
          <w:w w:val="99"/>
        </w:rPr>
        <w:t>p</w:t>
      </w:r>
      <w:r>
        <w:rPr>
          <w:color w:val="231F20"/>
          <w:spacing w:val="-1"/>
          <w:w w:val="104"/>
        </w:rPr>
        <w:t>o</w:t>
      </w:r>
      <w:r>
        <w:rPr>
          <w:color w:val="231F20"/>
          <w:spacing w:val="5"/>
          <w:w w:val="94"/>
        </w:rPr>
        <w:t>r</w:t>
      </w:r>
      <w:r>
        <w:rPr>
          <w:color w:val="231F20"/>
          <w:spacing w:val="2"/>
          <w:w w:val="98"/>
        </w:rPr>
        <w:t>t</w:t>
      </w:r>
      <w:r>
        <w:rPr>
          <w:color w:val="231F20"/>
          <w:spacing w:val="2"/>
          <w:w w:val="102"/>
        </w:rPr>
        <w:t>a</w:t>
      </w:r>
      <w:r>
        <w:rPr>
          <w:color w:val="231F20"/>
          <w:w w:val="99"/>
        </w:rPr>
        <w:t>n</w:t>
      </w:r>
      <w:r>
        <w:rPr>
          <w:color w:val="231F20"/>
          <w:spacing w:val="1"/>
        </w:rPr>
        <w:t>c</w:t>
      </w:r>
      <w:r>
        <w:rPr>
          <w:color w:val="231F20"/>
          <w:w w:val="91"/>
        </w:rPr>
        <w:t>e</w:t>
      </w:r>
      <w:r>
        <w:rPr>
          <w:color w:val="231F20"/>
        </w:rPr>
        <w:t xml:space="preserve"> </w:t>
      </w:r>
      <w:r>
        <w:rPr>
          <w:color w:val="231F20"/>
          <w:spacing w:val="-22"/>
        </w:rPr>
        <w:t xml:space="preserve"> </w:t>
      </w:r>
      <w:r>
        <w:rPr>
          <w:color w:val="231F20"/>
          <w:spacing w:val="2"/>
        </w:rPr>
        <w:t>i</w:t>
      </w:r>
      <w:r>
        <w:rPr>
          <w:color w:val="231F20"/>
          <w:w w:val="99"/>
        </w:rPr>
        <w:t>n</w:t>
      </w:r>
      <w:r>
        <w:rPr>
          <w:color w:val="231F20"/>
        </w:rPr>
        <w:t xml:space="preserve"> </w:t>
      </w:r>
      <w:r>
        <w:rPr>
          <w:color w:val="231F20"/>
          <w:spacing w:val="-22"/>
        </w:rPr>
        <w:t xml:space="preserve"> </w:t>
      </w:r>
      <w:r>
        <w:rPr>
          <w:color w:val="231F20"/>
          <w:spacing w:val="2"/>
          <w:w w:val="98"/>
        </w:rPr>
        <w:t>t</w:t>
      </w:r>
      <w:r>
        <w:rPr>
          <w:color w:val="231F20"/>
          <w:spacing w:val="-1"/>
        </w:rPr>
        <w:t>h</w:t>
      </w:r>
      <w:r>
        <w:rPr>
          <w:color w:val="231F20"/>
          <w:w w:val="91"/>
        </w:rPr>
        <w:t>e</w:t>
      </w:r>
      <w:r>
        <w:rPr>
          <w:color w:val="231F20"/>
        </w:rPr>
        <w:t xml:space="preserve"> </w:t>
      </w:r>
      <w:r>
        <w:rPr>
          <w:color w:val="231F20"/>
          <w:spacing w:val="-22"/>
        </w:rPr>
        <w:t xml:space="preserve"> </w:t>
      </w:r>
      <w:r>
        <w:rPr>
          <w:color w:val="231F20"/>
          <w:spacing w:val="-2"/>
        </w:rPr>
        <w:t>w</w:t>
      </w:r>
      <w:r>
        <w:rPr>
          <w:color w:val="231F20"/>
          <w:spacing w:val="2"/>
          <w:w w:val="102"/>
        </w:rPr>
        <w:t>a</w:t>
      </w:r>
      <w:r>
        <w:rPr>
          <w:color w:val="231F20"/>
          <w:spacing w:val="-2"/>
          <w:w w:val="106"/>
        </w:rPr>
        <w:t>k</w:t>
      </w:r>
      <w:r>
        <w:rPr>
          <w:color w:val="231F20"/>
          <w:w w:val="91"/>
        </w:rPr>
        <w:t xml:space="preserve">e </w:t>
      </w:r>
      <w:r>
        <w:rPr>
          <w:color w:val="231F20"/>
        </w:rPr>
        <w:t xml:space="preserve">of Israel’s </w:t>
      </w:r>
      <w:r>
        <w:rPr>
          <w:color w:val="231F20"/>
          <w:spacing w:val="-4"/>
        </w:rPr>
        <w:t>1967</w:t>
      </w:r>
      <w:r>
        <w:rPr>
          <w:color w:val="231F20"/>
          <w:spacing w:val="31"/>
        </w:rPr>
        <w:t xml:space="preserve"> </w:t>
      </w:r>
      <w:r>
        <w:rPr>
          <w:color w:val="231F20"/>
        </w:rPr>
        <w:t>victory.</w:t>
      </w:r>
    </w:p>
    <w:p w14:paraId="11A78C34" w14:textId="77777777" w:rsidR="002653E8" w:rsidRDefault="003115E3">
      <w:pPr>
        <w:pStyle w:val="a3"/>
        <w:spacing w:line="264" w:lineRule="auto"/>
        <w:ind w:left="1328" w:right="1145" w:firstLine="209"/>
        <w:jc w:val="both"/>
      </w:pPr>
      <w:r>
        <w:rPr>
          <w:color w:val="231F20"/>
        </w:rPr>
        <w:t>Thus, one possible source of confusion is that the PFLP (EO) was originally part of the PFLP and acted with its approval.</w:t>
      </w:r>
    </w:p>
    <w:p w14:paraId="63BA5EC9" w14:textId="77777777" w:rsidR="002653E8" w:rsidRDefault="003115E3">
      <w:pPr>
        <w:pStyle w:val="a3"/>
        <w:spacing w:line="264" w:lineRule="auto"/>
        <w:ind w:left="1327" w:right="1145" w:firstLine="210"/>
        <w:jc w:val="both"/>
      </w:pPr>
      <w:r>
        <w:rPr>
          <w:color w:val="231F20"/>
        </w:rPr>
        <w:t xml:space="preserve">The External Operations branch, acting under the authority of the PFLP, carried out the </w:t>
      </w:r>
      <w:r>
        <w:rPr>
          <w:color w:val="231F20"/>
          <w:spacing w:val="-3"/>
        </w:rPr>
        <w:t xml:space="preserve">Dawson’s </w:t>
      </w:r>
      <w:r>
        <w:rPr>
          <w:color w:val="231F20"/>
        </w:rPr>
        <w:t xml:space="preserve">Field skyjackings in </w:t>
      </w:r>
      <w:r>
        <w:rPr>
          <w:color w:val="231F20"/>
          <w:spacing w:val="-3"/>
        </w:rPr>
        <w:t xml:space="preserve">1970, </w:t>
      </w:r>
      <w:r>
        <w:rPr>
          <w:color w:val="231F20"/>
        </w:rPr>
        <w:t>precipitating the civil war in Jordan.</w:t>
      </w:r>
      <w:r>
        <w:rPr>
          <w:color w:val="231F20"/>
          <w:position w:val="7"/>
          <w:sz w:val="11"/>
        </w:rPr>
        <w:t xml:space="preserve">5  </w:t>
      </w:r>
      <w:r>
        <w:rPr>
          <w:color w:val="231F20"/>
        </w:rPr>
        <w:t>Given the disaster this ended up inflicting on  the Palestinians—thousands of civilians killed, and the expulsion of the guerilla</w:t>
      </w:r>
      <w:r>
        <w:rPr>
          <w:color w:val="231F20"/>
          <w:spacing w:val="15"/>
        </w:rPr>
        <w:t xml:space="preserve"> </w:t>
      </w:r>
      <w:r>
        <w:rPr>
          <w:color w:val="231F20"/>
        </w:rPr>
        <w:t>from</w:t>
      </w:r>
      <w:r>
        <w:rPr>
          <w:color w:val="231F20"/>
          <w:spacing w:val="15"/>
        </w:rPr>
        <w:t xml:space="preserve"> </w:t>
      </w:r>
      <w:r>
        <w:rPr>
          <w:color w:val="231F20"/>
        </w:rPr>
        <w:t>the</w:t>
      </w:r>
      <w:r>
        <w:rPr>
          <w:color w:val="231F20"/>
          <w:spacing w:val="15"/>
        </w:rPr>
        <w:t xml:space="preserve"> </w:t>
      </w:r>
      <w:r>
        <w:rPr>
          <w:color w:val="231F20"/>
        </w:rPr>
        <w:t>country—“external</w:t>
      </w:r>
      <w:r>
        <w:rPr>
          <w:color w:val="231F20"/>
          <w:spacing w:val="15"/>
        </w:rPr>
        <w:t xml:space="preserve"> </w:t>
      </w:r>
      <w:r>
        <w:rPr>
          <w:color w:val="231F20"/>
        </w:rPr>
        <w:t>operations”</w:t>
      </w:r>
      <w:r>
        <w:rPr>
          <w:color w:val="231F20"/>
          <w:spacing w:val="15"/>
        </w:rPr>
        <w:t xml:space="preserve"> </w:t>
      </w:r>
      <w:r>
        <w:rPr>
          <w:color w:val="231F20"/>
        </w:rPr>
        <w:t>fell</w:t>
      </w:r>
      <w:r>
        <w:rPr>
          <w:color w:val="231F20"/>
          <w:spacing w:val="15"/>
        </w:rPr>
        <w:t xml:space="preserve"> </w:t>
      </w:r>
      <w:r>
        <w:rPr>
          <w:color w:val="231F20"/>
        </w:rPr>
        <w:t>into</w:t>
      </w:r>
      <w:r>
        <w:rPr>
          <w:color w:val="231F20"/>
          <w:spacing w:val="15"/>
        </w:rPr>
        <w:t xml:space="preserve"> </w:t>
      </w:r>
      <w:r>
        <w:rPr>
          <w:color w:val="231F20"/>
        </w:rPr>
        <w:t>disfavor.</w:t>
      </w:r>
    </w:p>
    <w:p w14:paraId="7FD33230" w14:textId="77777777" w:rsidR="002653E8" w:rsidRDefault="002653E8">
      <w:pPr>
        <w:pStyle w:val="a3"/>
      </w:pPr>
    </w:p>
    <w:p w14:paraId="64394E3A" w14:textId="77777777" w:rsidR="002653E8" w:rsidRDefault="00000000">
      <w:pPr>
        <w:pStyle w:val="a3"/>
        <w:spacing w:before="4"/>
        <w:rPr>
          <w:sz w:val="25"/>
        </w:rPr>
      </w:pPr>
      <w:r>
        <w:rPr>
          <w:noProof w:val="0"/>
        </w:rPr>
        <w:pict w14:anchorId="4B7DF206">
          <v:line id="_x0000_s2127" style="position:absolute;z-index:11632;mso-wrap-distance-left:0;mso-wrap-distance-right:0;mso-position-horizontal-relative:page" from="66.4pt,17.1pt" to="138.4pt,17.1pt" strokecolor="#231f20" strokeweight=".5pt">
            <w10:wrap type="topAndBottom" anchorx="page"/>
          </v:line>
        </w:pict>
      </w:r>
    </w:p>
    <w:p w14:paraId="057AEB67" w14:textId="77777777" w:rsidR="002653E8" w:rsidRDefault="003115E3">
      <w:pPr>
        <w:pStyle w:val="a4"/>
        <w:numPr>
          <w:ilvl w:val="0"/>
          <w:numId w:val="35"/>
        </w:numPr>
        <w:tabs>
          <w:tab w:val="left" w:pos="1467"/>
        </w:tabs>
        <w:spacing w:before="53"/>
        <w:ind w:firstLine="0"/>
        <w:rPr>
          <w:sz w:val="16"/>
        </w:rPr>
      </w:pPr>
      <w:r>
        <w:rPr>
          <w:color w:val="231F20"/>
          <w:w w:val="105"/>
          <w:sz w:val="16"/>
        </w:rPr>
        <w:t xml:space="preserve">Also known as </w:t>
      </w:r>
      <w:r>
        <w:rPr>
          <w:color w:val="231F20"/>
          <w:spacing w:val="1"/>
          <w:w w:val="105"/>
          <w:sz w:val="16"/>
        </w:rPr>
        <w:t xml:space="preserve">PFLP </w:t>
      </w:r>
      <w:r>
        <w:rPr>
          <w:color w:val="231F20"/>
          <w:w w:val="105"/>
          <w:sz w:val="16"/>
        </w:rPr>
        <w:t>(Special Operations Group)</w:t>
      </w:r>
      <w:r>
        <w:rPr>
          <w:color w:val="231F20"/>
          <w:spacing w:val="28"/>
          <w:w w:val="105"/>
          <w:sz w:val="16"/>
        </w:rPr>
        <w:t xml:space="preserve"> </w:t>
      </w:r>
      <w:r>
        <w:rPr>
          <w:color w:val="231F20"/>
          <w:w w:val="105"/>
          <w:sz w:val="16"/>
        </w:rPr>
        <w:t xml:space="preserve">and </w:t>
      </w:r>
      <w:r>
        <w:rPr>
          <w:color w:val="231F20"/>
          <w:spacing w:val="2"/>
          <w:w w:val="105"/>
          <w:sz w:val="16"/>
        </w:rPr>
        <w:t>PFLP-COSE.</w:t>
      </w:r>
    </w:p>
    <w:p w14:paraId="57A58A36" w14:textId="77777777" w:rsidR="002653E8" w:rsidRDefault="003115E3">
      <w:pPr>
        <w:pStyle w:val="a4"/>
        <w:numPr>
          <w:ilvl w:val="0"/>
          <w:numId w:val="35"/>
        </w:numPr>
        <w:tabs>
          <w:tab w:val="left" w:pos="1467"/>
        </w:tabs>
        <w:spacing w:before="51" w:line="254" w:lineRule="auto"/>
        <w:ind w:right="1319" w:firstLine="0"/>
        <w:rPr>
          <w:sz w:val="16"/>
        </w:rPr>
      </w:pPr>
      <w:r>
        <w:rPr>
          <w:color w:val="231F20"/>
          <w:w w:val="105"/>
          <w:sz w:val="16"/>
        </w:rPr>
        <w:t xml:space="preserve">yezid Sayigh, </w:t>
      </w:r>
      <w:r>
        <w:rPr>
          <w:i/>
          <w:color w:val="231F20"/>
          <w:spacing w:val="1"/>
          <w:w w:val="105"/>
          <w:sz w:val="16"/>
        </w:rPr>
        <w:t xml:space="preserve">Armed </w:t>
      </w:r>
      <w:r>
        <w:rPr>
          <w:i/>
          <w:color w:val="231F20"/>
          <w:w w:val="105"/>
          <w:sz w:val="16"/>
        </w:rPr>
        <w:t xml:space="preserve">struggle </w:t>
      </w:r>
      <w:r>
        <w:rPr>
          <w:i/>
          <w:color w:val="231F20"/>
          <w:spacing w:val="1"/>
          <w:w w:val="105"/>
          <w:sz w:val="16"/>
        </w:rPr>
        <w:t xml:space="preserve">and </w:t>
      </w:r>
      <w:r>
        <w:rPr>
          <w:i/>
          <w:color w:val="231F20"/>
          <w:w w:val="105"/>
          <w:sz w:val="16"/>
        </w:rPr>
        <w:t xml:space="preserve">the Search for </w:t>
      </w:r>
      <w:r>
        <w:rPr>
          <w:i/>
          <w:color w:val="231F20"/>
          <w:spacing w:val="1"/>
          <w:w w:val="105"/>
          <w:sz w:val="16"/>
        </w:rPr>
        <w:t xml:space="preserve">State: </w:t>
      </w:r>
      <w:r>
        <w:rPr>
          <w:i/>
          <w:color w:val="231F20"/>
          <w:w w:val="105"/>
          <w:sz w:val="16"/>
        </w:rPr>
        <w:t xml:space="preserve">the Palestinian National </w:t>
      </w:r>
      <w:r>
        <w:rPr>
          <w:i/>
          <w:color w:val="231F20"/>
          <w:spacing w:val="1"/>
          <w:w w:val="105"/>
          <w:sz w:val="16"/>
        </w:rPr>
        <w:t xml:space="preserve">Movement, </w:t>
      </w:r>
      <w:r>
        <w:rPr>
          <w:i/>
          <w:color w:val="231F20"/>
          <w:w w:val="105"/>
          <w:sz w:val="16"/>
        </w:rPr>
        <w:t xml:space="preserve">1949-1993 </w:t>
      </w:r>
      <w:r>
        <w:rPr>
          <w:color w:val="231F20"/>
          <w:w w:val="105"/>
          <w:sz w:val="16"/>
        </w:rPr>
        <w:t xml:space="preserve">(Oxford: Clarendon Press </w:t>
      </w:r>
      <w:r>
        <w:rPr>
          <w:color w:val="231F20"/>
          <w:spacing w:val="-2"/>
          <w:w w:val="105"/>
          <w:sz w:val="16"/>
        </w:rPr>
        <w:t xml:space="preserve">1997), </w:t>
      </w:r>
      <w:r>
        <w:rPr>
          <w:color w:val="231F20"/>
          <w:w w:val="105"/>
          <w:sz w:val="16"/>
        </w:rPr>
        <w:t>232.</w:t>
      </w:r>
    </w:p>
    <w:p w14:paraId="04B41183" w14:textId="77777777" w:rsidR="002653E8" w:rsidRDefault="003115E3">
      <w:pPr>
        <w:pStyle w:val="a4"/>
        <w:numPr>
          <w:ilvl w:val="0"/>
          <w:numId w:val="35"/>
        </w:numPr>
        <w:tabs>
          <w:tab w:val="left" w:pos="1467"/>
        </w:tabs>
        <w:ind w:left="1466"/>
        <w:rPr>
          <w:sz w:val="16"/>
        </w:rPr>
      </w:pPr>
      <w:r>
        <w:rPr>
          <w:color w:val="231F20"/>
          <w:w w:val="110"/>
          <w:sz w:val="16"/>
        </w:rPr>
        <w:t>Ibid.</w:t>
      </w:r>
    </w:p>
    <w:p w14:paraId="0B10848B" w14:textId="77777777" w:rsidR="002653E8" w:rsidRDefault="003115E3">
      <w:pPr>
        <w:spacing w:before="52"/>
        <w:ind w:left="1327"/>
        <w:rPr>
          <w:sz w:val="16"/>
        </w:rPr>
      </w:pPr>
      <w:r>
        <w:rPr>
          <w:color w:val="231F20"/>
          <w:w w:val="115"/>
          <w:sz w:val="16"/>
        </w:rPr>
        <w:t>5 Cf 56.</w:t>
      </w:r>
    </w:p>
    <w:p w14:paraId="13B97395" w14:textId="77777777" w:rsidR="002653E8" w:rsidRDefault="002653E8">
      <w:pPr>
        <w:rPr>
          <w:sz w:val="16"/>
        </w:rPr>
        <w:sectPr w:rsidR="002653E8">
          <w:footerReference w:type="even" r:id="rId473"/>
          <w:footerReference w:type="default" r:id="rId474"/>
          <w:pgSz w:w="8640" w:h="12960"/>
          <w:pgMar w:top="1220" w:right="0" w:bottom="1040" w:left="0" w:header="0" w:footer="850" w:gutter="0"/>
          <w:cols w:space="720"/>
        </w:sectPr>
      </w:pPr>
    </w:p>
    <w:p w14:paraId="4C93DF9D" w14:textId="77777777" w:rsidR="002653E8" w:rsidRDefault="003115E3">
      <w:pPr>
        <w:pStyle w:val="a3"/>
        <w:spacing w:before="86" w:line="264" w:lineRule="auto"/>
        <w:ind w:left="1147" w:right="1325" w:firstLine="210"/>
        <w:jc w:val="both"/>
        <w:rPr>
          <w:sz w:val="11"/>
        </w:rPr>
      </w:pPr>
      <w:r>
        <w:rPr>
          <w:color w:val="231F20"/>
        </w:rPr>
        <w:lastRenderedPageBreak/>
        <w:t>In this moment of retreat and demoralization, many militants urged that skyjackings and attacks on civilians be repudiated: a PFLP “conference of the leftist phenomenon” argued in February 1972 that hijackings in particular represented “a fundamental point of dispute between the Left and Right in the PFLP… not only because they contradicted adherence to Marxist-Leninist theory, but also because they invited much damage to the Palestinian revolution.”</w:t>
      </w:r>
      <w:r>
        <w:rPr>
          <w:color w:val="231F20"/>
          <w:position w:val="7"/>
          <w:sz w:val="11"/>
        </w:rPr>
        <w:t>1</w:t>
      </w:r>
    </w:p>
    <w:p w14:paraId="5FF6649F" w14:textId="77777777" w:rsidR="002653E8" w:rsidRDefault="003115E3">
      <w:pPr>
        <w:pStyle w:val="a3"/>
        <w:spacing w:line="264" w:lineRule="auto"/>
        <w:ind w:left="1147" w:right="1326" w:firstLine="210"/>
        <w:jc w:val="both"/>
      </w:pPr>
      <w:r>
        <w:rPr>
          <w:color w:val="231F20"/>
        </w:rPr>
        <w:t>For Haddad, however, operations in Europe and elsewhere, whether against military or civilian targets, remained legitimate and useful weapons in the war against Zionism and imperialism.</w:t>
      </w:r>
    </w:p>
    <w:p w14:paraId="0A7F18C2" w14:textId="77777777" w:rsidR="002653E8" w:rsidRDefault="003115E3">
      <w:pPr>
        <w:pStyle w:val="a3"/>
        <w:spacing w:line="264" w:lineRule="auto"/>
        <w:ind w:left="1147" w:right="1325" w:firstLine="210"/>
        <w:jc w:val="both"/>
        <w:rPr>
          <w:sz w:val="11"/>
        </w:rPr>
      </w:pPr>
      <w:r>
        <w:rPr>
          <w:color w:val="231F20"/>
        </w:rPr>
        <w:t>According to some accounts, Haddad left or was ejected from the PFLP in 1972, taking the External Operations branch with him.</w:t>
      </w:r>
      <w:r>
        <w:rPr>
          <w:color w:val="231F20"/>
          <w:position w:val="7"/>
          <w:sz w:val="11"/>
        </w:rPr>
        <w:t xml:space="preserve">2 </w:t>
      </w:r>
      <w:r>
        <w:rPr>
          <w:color w:val="231F20"/>
        </w:rPr>
        <w:t>According to others, he remained a PFLP member for a number of years despite being marginalized, keeping the External Operations group active as an unsanctioned, rogue outfit.</w:t>
      </w:r>
      <w:r>
        <w:rPr>
          <w:color w:val="231F20"/>
          <w:position w:val="7"/>
          <w:sz w:val="11"/>
        </w:rPr>
        <w:t>3</w:t>
      </w:r>
    </w:p>
    <w:p w14:paraId="48E57AA8" w14:textId="77777777" w:rsidR="002653E8" w:rsidRDefault="003115E3">
      <w:pPr>
        <w:pStyle w:val="a3"/>
        <w:spacing w:line="264" w:lineRule="auto"/>
        <w:ind w:left="1147" w:right="1326" w:firstLine="210"/>
        <w:jc w:val="both"/>
      </w:pPr>
      <w:r>
        <w:rPr>
          <w:color w:val="231F20"/>
        </w:rPr>
        <w:t>Authors who claim the PFLP (EO) post-72 was simply a deniable but unofficially sanctioned PFLP section do not appear credible, as they never seem able to provide any proof with which to substantiate their allegation. Rather, they exploit the two groups lack of hostility toward one another, stretching this to imply that they remained one and the same. Examples of these good relations include Haddad’s continued contributions to the PFLP,</w:t>
      </w:r>
      <w:r>
        <w:rPr>
          <w:color w:val="231F20"/>
          <w:position w:val="7"/>
          <w:sz w:val="11"/>
        </w:rPr>
        <w:t xml:space="preserve">4 </w:t>
      </w:r>
      <w:r>
        <w:rPr>
          <w:color w:val="231F20"/>
        </w:rPr>
        <w:t>and the fact that Habash spoke at Haddad’s funeral in 1978.</w:t>
      </w:r>
    </w:p>
    <w:p w14:paraId="269F5101" w14:textId="77777777" w:rsidR="002653E8" w:rsidRDefault="003115E3">
      <w:pPr>
        <w:pStyle w:val="a3"/>
        <w:spacing w:line="264" w:lineRule="auto"/>
        <w:ind w:left="1147" w:right="1326" w:firstLine="210"/>
        <w:jc w:val="both"/>
        <w:rPr>
          <w:sz w:val="11"/>
        </w:rPr>
      </w:pPr>
      <w:r>
        <w:rPr>
          <w:color w:val="231F20"/>
        </w:rPr>
        <w:t xml:space="preserve">As a splinter group, the </w:t>
      </w:r>
      <w:r>
        <w:rPr>
          <w:color w:val="231F20"/>
          <w:spacing w:val="1"/>
        </w:rPr>
        <w:t xml:space="preserve">PFLP </w:t>
      </w:r>
      <w:r>
        <w:rPr>
          <w:color w:val="231F20"/>
        </w:rPr>
        <w:t>(EO) was deprived of the logistical and practical support it had previously enjoyed from the broader</w:t>
      </w:r>
      <w:r>
        <w:rPr>
          <w:color w:val="231F20"/>
          <w:spacing w:val="-30"/>
        </w:rPr>
        <w:t xml:space="preserve"> </w:t>
      </w:r>
      <w:r>
        <w:rPr>
          <w:color w:val="231F20"/>
        </w:rPr>
        <w:t>Palestinian national</w:t>
      </w:r>
      <w:r>
        <w:rPr>
          <w:color w:val="231F20"/>
          <w:spacing w:val="-5"/>
        </w:rPr>
        <w:t xml:space="preserve"> </w:t>
      </w:r>
      <w:r>
        <w:rPr>
          <w:color w:val="231F20"/>
        </w:rPr>
        <w:t>movement.</w:t>
      </w:r>
      <w:r>
        <w:rPr>
          <w:color w:val="231F20"/>
          <w:spacing w:val="-5"/>
        </w:rPr>
        <w:t xml:space="preserve"> </w:t>
      </w:r>
      <w:r>
        <w:rPr>
          <w:color w:val="231F20"/>
        </w:rPr>
        <w:t>This</w:t>
      </w:r>
      <w:r>
        <w:rPr>
          <w:color w:val="231F20"/>
          <w:spacing w:val="-5"/>
        </w:rPr>
        <w:t xml:space="preserve"> </w:t>
      </w:r>
      <w:r>
        <w:rPr>
          <w:color w:val="231F20"/>
        </w:rPr>
        <w:t>new</w:t>
      </w:r>
      <w:r>
        <w:rPr>
          <w:color w:val="231F20"/>
          <w:spacing w:val="-5"/>
        </w:rPr>
        <w:t xml:space="preserve"> </w:t>
      </w:r>
      <w:r>
        <w:rPr>
          <w:color w:val="231F20"/>
        </w:rPr>
        <w:t>situation</w:t>
      </w:r>
      <w:r>
        <w:rPr>
          <w:color w:val="231F20"/>
          <w:spacing w:val="-5"/>
        </w:rPr>
        <w:t xml:space="preserve"> </w:t>
      </w:r>
      <w:r>
        <w:rPr>
          <w:color w:val="231F20"/>
        </w:rPr>
        <w:t>was</w:t>
      </w:r>
      <w:r>
        <w:rPr>
          <w:color w:val="231F20"/>
          <w:spacing w:val="-5"/>
        </w:rPr>
        <w:t xml:space="preserve"> </w:t>
      </w:r>
      <w:r>
        <w:rPr>
          <w:color w:val="231F20"/>
        </w:rPr>
        <w:t>compensated</w:t>
      </w:r>
      <w:r>
        <w:rPr>
          <w:color w:val="231F20"/>
          <w:spacing w:val="-5"/>
        </w:rPr>
        <w:t xml:space="preserve"> </w:t>
      </w:r>
      <w:r>
        <w:rPr>
          <w:color w:val="231F20"/>
        </w:rPr>
        <w:t>for</w:t>
      </w:r>
      <w:r>
        <w:rPr>
          <w:color w:val="231F20"/>
          <w:spacing w:val="-5"/>
        </w:rPr>
        <w:t xml:space="preserve"> </w:t>
      </w:r>
      <w:r>
        <w:rPr>
          <w:color w:val="231F20"/>
        </w:rPr>
        <w:t>by</w:t>
      </w:r>
      <w:r>
        <w:rPr>
          <w:color w:val="231F20"/>
          <w:spacing w:val="-5"/>
        </w:rPr>
        <w:t xml:space="preserve"> </w:t>
      </w:r>
      <w:r>
        <w:rPr>
          <w:color w:val="231F20"/>
        </w:rPr>
        <w:t>the</w:t>
      </w:r>
      <w:r>
        <w:rPr>
          <w:color w:val="231F20"/>
          <w:spacing w:val="-5"/>
        </w:rPr>
        <w:t xml:space="preserve"> </w:t>
      </w:r>
      <w:r>
        <w:rPr>
          <w:color w:val="231F20"/>
        </w:rPr>
        <w:t>support Haddad subsequently received from various anti-American Arab governments—Iraq, Algeria, Libya, and the PDRy</w:t>
      </w:r>
      <w:r>
        <w:rPr>
          <w:color w:val="231F20"/>
          <w:position w:val="7"/>
          <w:sz w:val="11"/>
        </w:rPr>
        <w:t>5</w:t>
      </w:r>
      <w:r>
        <w:rPr>
          <w:color w:val="231F20"/>
        </w:rPr>
        <w:t>—and eventually  from</w:t>
      </w:r>
      <w:r>
        <w:rPr>
          <w:color w:val="231F20"/>
          <w:spacing w:val="13"/>
        </w:rPr>
        <w:t xml:space="preserve"> </w:t>
      </w:r>
      <w:r>
        <w:rPr>
          <w:color w:val="231F20"/>
        </w:rPr>
        <w:t>the</w:t>
      </w:r>
      <w:r>
        <w:rPr>
          <w:color w:val="231F20"/>
          <w:spacing w:val="13"/>
        </w:rPr>
        <w:t xml:space="preserve"> </w:t>
      </w:r>
      <w:r>
        <w:rPr>
          <w:color w:val="231F20"/>
        </w:rPr>
        <w:t>KGB,</w:t>
      </w:r>
      <w:r>
        <w:rPr>
          <w:color w:val="231F20"/>
          <w:spacing w:val="13"/>
        </w:rPr>
        <w:t xml:space="preserve"> </w:t>
      </w:r>
      <w:r>
        <w:rPr>
          <w:color w:val="231F20"/>
        </w:rPr>
        <w:t>which</w:t>
      </w:r>
      <w:r>
        <w:rPr>
          <w:color w:val="231F20"/>
          <w:spacing w:val="13"/>
        </w:rPr>
        <w:t xml:space="preserve"> </w:t>
      </w:r>
      <w:r>
        <w:rPr>
          <w:color w:val="231F20"/>
        </w:rPr>
        <w:t>was</w:t>
      </w:r>
      <w:r>
        <w:rPr>
          <w:color w:val="231F20"/>
          <w:spacing w:val="13"/>
        </w:rPr>
        <w:t xml:space="preserve"> </w:t>
      </w:r>
      <w:r>
        <w:rPr>
          <w:color w:val="231F20"/>
        </w:rPr>
        <w:t>secretly</w:t>
      </w:r>
      <w:r>
        <w:rPr>
          <w:color w:val="231F20"/>
          <w:spacing w:val="13"/>
        </w:rPr>
        <w:t xml:space="preserve"> </w:t>
      </w:r>
      <w:r>
        <w:rPr>
          <w:color w:val="231F20"/>
        </w:rPr>
        <w:t>supporting</w:t>
      </w:r>
      <w:r>
        <w:rPr>
          <w:color w:val="231F20"/>
          <w:spacing w:val="13"/>
        </w:rPr>
        <w:t xml:space="preserve"> </w:t>
      </w:r>
      <w:r>
        <w:rPr>
          <w:color w:val="231F20"/>
        </w:rPr>
        <w:t>his</w:t>
      </w:r>
      <w:r>
        <w:rPr>
          <w:color w:val="231F20"/>
          <w:spacing w:val="13"/>
        </w:rPr>
        <w:t xml:space="preserve"> </w:t>
      </w:r>
      <w:r>
        <w:rPr>
          <w:color w:val="231F20"/>
        </w:rPr>
        <w:t>activities</w:t>
      </w:r>
      <w:r>
        <w:rPr>
          <w:color w:val="231F20"/>
          <w:spacing w:val="13"/>
        </w:rPr>
        <w:t xml:space="preserve"> </w:t>
      </w:r>
      <w:r>
        <w:rPr>
          <w:color w:val="231F20"/>
        </w:rPr>
        <w:t>by</w:t>
      </w:r>
      <w:r>
        <w:rPr>
          <w:color w:val="231F20"/>
          <w:spacing w:val="15"/>
        </w:rPr>
        <w:t xml:space="preserve"> </w:t>
      </w:r>
      <w:r>
        <w:rPr>
          <w:color w:val="231F20"/>
          <w:spacing w:val="-5"/>
        </w:rPr>
        <w:t>1975.</w:t>
      </w:r>
      <w:r>
        <w:rPr>
          <w:color w:val="231F20"/>
          <w:spacing w:val="-5"/>
          <w:position w:val="7"/>
          <w:sz w:val="11"/>
        </w:rPr>
        <w:t>6</w:t>
      </w:r>
    </w:p>
    <w:p w14:paraId="48F36243" w14:textId="77777777" w:rsidR="002653E8" w:rsidRDefault="002653E8">
      <w:pPr>
        <w:pStyle w:val="a3"/>
      </w:pPr>
    </w:p>
    <w:p w14:paraId="3C0D8872" w14:textId="77777777" w:rsidR="002653E8" w:rsidRDefault="00000000">
      <w:pPr>
        <w:pStyle w:val="a3"/>
        <w:spacing w:before="1"/>
      </w:pPr>
      <w:r>
        <w:rPr>
          <w:noProof w:val="0"/>
        </w:rPr>
        <w:pict w14:anchorId="39BAA3F3">
          <v:line id="_x0000_s2126" style="position:absolute;z-index:11656;mso-wrap-distance-left:0;mso-wrap-distance-right:0;mso-position-horizontal-relative:page" from="57.4pt,14pt" to="129.4pt,14pt" strokecolor="#231f20" strokeweight=".5pt">
            <w10:wrap type="topAndBottom" anchorx="page"/>
          </v:line>
        </w:pict>
      </w:r>
    </w:p>
    <w:p w14:paraId="6E384AAA" w14:textId="77777777" w:rsidR="002653E8" w:rsidRDefault="003115E3">
      <w:pPr>
        <w:pStyle w:val="a4"/>
        <w:numPr>
          <w:ilvl w:val="0"/>
          <w:numId w:val="34"/>
        </w:numPr>
        <w:tabs>
          <w:tab w:val="left" w:pos="1287"/>
        </w:tabs>
        <w:spacing w:before="53" w:line="254" w:lineRule="auto"/>
        <w:ind w:right="1375" w:firstLine="0"/>
        <w:jc w:val="left"/>
        <w:rPr>
          <w:sz w:val="16"/>
        </w:rPr>
      </w:pPr>
      <w:r>
        <w:rPr>
          <w:color w:val="231F20"/>
          <w:w w:val="110"/>
          <w:sz w:val="16"/>
        </w:rPr>
        <w:t xml:space="preserve">Sayigh, 300-301. Also: Helena Cobran, </w:t>
      </w:r>
      <w:r>
        <w:rPr>
          <w:i/>
          <w:color w:val="231F20"/>
          <w:w w:val="110"/>
          <w:sz w:val="16"/>
        </w:rPr>
        <w:t xml:space="preserve">The Palestinian Liberation Organization: People, Power </w:t>
      </w:r>
      <w:r>
        <w:rPr>
          <w:i/>
          <w:color w:val="231F20"/>
          <w:spacing w:val="1"/>
          <w:w w:val="110"/>
          <w:sz w:val="16"/>
        </w:rPr>
        <w:t xml:space="preserve">and </w:t>
      </w:r>
      <w:r>
        <w:rPr>
          <w:i/>
          <w:color w:val="231F20"/>
          <w:w w:val="110"/>
          <w:sz w:val="16"/>
        </w:rPr>
        <w:t xml:space="preserve">Politics </w:t>
      </w:r>
      <w:r>
        <w:rPr>
          <w:color w:val="231F20"/>
          <w:w w:val="110"/>
          <w:sz w:val="16"/>
        </w:rPr>
        <w:t xml:space="preserve">(Cambridge: Cambridge University Press, </w:t>
      </w:r>
      <w:r>
        <w:rPr>
          <w:color w:val="231F20"/>
          <w:spacing w:val="-3"/>
          <w:w w:val="110"/>
          <w:sz w:val="16"/>
        </w:rPr>
        <w:t>1984),</w:t>
      </w:r>
      <w:r>
        <w:rPr>
          <w:color w:val="231F20"/>
          <w:spacing w:val="-28"/>
          <w:w w:val="110"/>
          <w:sz w:val="16"/>
        </w:rPr>
        <w:t xml:space="preserve"> </w:t>
      </w:r>
      <w:r>
        <w:rPr>
          <w:color w:val="231F20"/>
          <w:w w:val="110"/>
          <w:sz w:val="16"/>
        </w:rPr>
        <w:t>148.</w:t>
      </w:r>
    </w:p>
    <w:p w14:paraId="00954004" w14:textId="77777777" w:rsidR="002653E8" w:rsidRDefault="003115E3">
      <w:pPr>
        <w:pStyle w:val="a4"/>
        <w:numPr>
          <w:ilvl w:val="0"/>
          <w:numId w:val="34"/>
        </w:numPr>
        <w:tabs>
          <w:tab w:val="left" w:pos="1287"/>
        </w:tabs>
        <w:ind w:left="1286"/>
        <w:jc w:val="left"/>
        <w:rPr>
          <w:sz w:val="16"/>
        </w:rPr>
      </w:pPr>
      <w:r>
        <w:rPr>
          <w:color w:val="231F20"/>
          <w:w w:val="115"/>
          <w:sz w:val="16"/>
        </w:rPr>
        <w:t>Cobran,</w:t>
      </w:r>
      <w:r>
        <w:rPr>
          <w:color w:val="231F20"/>
          <w:spacing w:val="3"/>
          <w:w w:val="115"/>
          <w:sz w:val="16"/>
        </w:rPr>
        <w:t xml:space="preserve"> </w:t>
      </w:r>
      <w:r>
        <w:rPr>
          <w:color w:val="231F20"/>
          <w:w w:val="115"/>
          <w:sz w:val="16"/>
        </w:rPr>
        <w:t>148.</w:t>
      </w:r>
    </w:p>
    <w:p w14:paraId="78C58E6D" w14:textId="77777777" w:rsidR="002653E8" w:rsidRDefault="003115E3">
      <w:pPr>
        <w:pStyle w:val="a4"/>
        <w:numPr>
          <w:ilvl w:val="0"/>
          <w:numId w:val="34"/>
        </w:numPr>
        <w:tabs>
          <w:tab w:val="left" w:pos="1287"/>
        </w:tabs>
        <w:spacing w:before="51" w:line="254" w:lineRule="auto"/>
        <w:ind w:right="1645" w:firstLine="0"/>
        <w:jc w:val="left"/>
        <w:rPr>
          <w:sz w:val="16"/>
        </w:rPr>
      </w:pPr>
      <w:r>
        <w:rPr>
          <w:color w:val="231F20"/>
          <w:w w:val="105"/>
          <w:sz w:val="16"/>
        </w:rPr>
        <w:t xml:space="preserve">For instance, Mongrel Media “Magnolia Pictures </w:t>
      </w:r>
      <w:r>
        <w:rPr>
          <w:color w:val="231F20"/>
          <w:w w:val="115"/>
          <w:sz w:val="16"/>
        </w:rPr>
        <w:t xml:space="preserve">&amp; </w:t>
      </w:r>
      <w:r>
        <w:rPr>
          <w:color w:val="231F20"/>
          <w:w w:val="105"/>
          <w:sz w:val="16"/>
        </w:rPr>
        <w:t xml:space="preserve">Wild Bunch </w:t>
      </w:r>
      <w:r>
        <w:rPr>
          <w:color w:val="231F20"/>
          <w:sz w:val="16"/>
        </w:rPr>
        <w:t xml:space="preserve">/ </w:t>
      </w:r>
      <w:r>
        <w:rPr>
          <w:color w:val="231F20"/>
          <w:w w:val="105"/>
          <w:sz w:val="16"/>
        </w:rPr>
        <w:t>yalla Films Present Terror’s Advocate, a Film by Barbet Schroeder,” 9.</w:t>
      </w:r>
      <w:hyperlink r:id="rId475">
        <w:r>
          <w:rPr>
            <w:color w:val="231F20"/>
            <w:w w:val="105"/>
            <w:sz w:val="16"/>
          </w:rPr>
          <w:t xml:space="preserve"> </w:t>
        </w:r>
        <w:r>
          <w:rPr>
            <w:color w:val="231F20"/>
            <w:w w:val="104"/>
            <w:sz w:val="16"/>
          </w:rPr>
          <w:t>h</w:t>
        </w:r>
        <w:r>
          <w:rPr>
            <w:color w:val="231F20"/>
            <w:spacing w:val="5"/>
            <w:w w:val="102"/>
            <w:sz w:val="16"/>
          </w:rPr>
          <w:t>t</w:t>
        </w:r>
        <w:r>
          <w:rPr>
            <w:color w:val="231F20"/>
            <w:spacing w:val="3"/>
            <w:w w:val="102"/>
            <w:sz w:val="16"/>
          </w:rPr>
          <w:t>t</w:t>
        </w:r>
        <w:r>
          <w:rPr>
            <w:color w:val="231F20"/>
            <w:w w:val="103"/>
            <w:sz w:val="16"/>
          </w:rPr>
          <w:t>p</w:t>
        </w:r>
        <w:r>
          <w:rPr>
            <w:color w:val="231F20"/>
            <w:spacing w:val="5"/>
            <w:w w:val="109"/>
            <w:sz w:val="16"/>
          </w:rPr>
          <w:t>:</w:t>
        </w:r>
        <w:r>
          <w:rPr>
            <w:color w:val="231F20"/>
            <w:spacing w:val="-1"/>
            <w:w w:val="58"/>
            <w:sz w:val="16"/>
          </w:rPr>
          <w:t>/</w:t>
        </w:r>
        <w:r>
          <w:rPr>
            <w:color w:val="231F20"/>
            <w:spacing w:val="2"/>
            <w:w w:val="58"/>
            <w:sz w:val="16"/>
          </w:rPr>
          <w:t>/</w:t>
        </w:r>
        <w:r>
          <w:rPr>
            <w:color w:val="231F20"/>
            <w:spacing w:val="6"/>
            <w:w w:val="104"/>
            <w:sz w:val="16"/>
          </w:rPr>
          <w:t>ww</w:t>
        </w:r>
        <w:r>
          <w:rPr>
            <w:color w:val="231F20"/>
            <w:spacing w:val="-9"/>
            <w:w w:val="104"/>
            <w:sz w:val="16"/>
          </w:rPr>
          <w:t>w</w:t>
        </w:r>
        <w:r>
          <w:rPr>
            <w:color w:val="231F20"/>
            <w:spacing w:val="1"/>
            <w:w w:val="140"/>
            <w:sz w:val="16"/>
          </w:rPr>
          <w:t>.</w:t>
        </w:r>
        <w:r>
          <w:rPr>
            <w:color w:val="231F20"/>
            <w:w w:val="103"/>
            <w:sz w:val="16"/>
          </w:rPr>
          <w:t>m</w:t>
        </w:r>
        <w:r>
          <w:rPr>
            <w:color w:val="231F20"/>
            <w:w w:val="108"/>
            <w:sz w:val="16"/>
          </w:rPr>
          <w:t>o</w:t>
        </w:r>
        <w:r>
          <w:rPr>
            <w:color w:val="231F20"/>
            <w:w w:val="103"/>
            <w:sz w:val="16"/>
          </w:rPr>
          <w:t>n</w:t>
        </w:r>
        <w:r>
          <w:rPr>
            <w:color w:val="231F20"/>
            <w:spacing w:val="5"/>
            <w:w w:val="104"/>
            <w:sz w:val="16"/>
          </w:rPr>
          <w:t>g</w:t>
        </w:r>
        <w:r>
          <w:rPr>
            <w:color w:val="231F20"/>
            <w:w w:val="97"/>
            <w:sz w:val="16"/>
          </w:rPr>
          <w:t>r</w:t>
        </w:r>
        <w:r>
          <w:rPr>
            <w:color w:val="231F20"/>
            <w:w w:val="94"/>
            <w:sz w:val="16"/>
          </w:rPr>
          <w:t>e</w:t>
        </w:r>
        <w:r>
          <w:rPr>
            <w:color w:val="231F20"/>
            <w:spacing w:val="3"/>
            <w:w w:val="106"/>
            <w:sz w:val="16"/>
          </w:rPr>
          <w:t>l</w:t>
        </w:r>
        <w:r>
          <w:rPr>
            <w:color w:val="231F20"/>
            <w:w w:val="103"/>
            <w:sz w:val="16"/>
          </w:rPr>
          <w:t>m</w:t>
        </w:r>
        <w:r>
          <w:rPr>
            <w:color w:val="231F20"/>
            <w:spacing w:val="1"/>
            <w:w w:val="94"/>
            <w:sz w:val="16"/>
          </w:rPr>
          <w:t>e</w:t>
        </w:r>
        <w:r>
          <w:rPr>
            <w:color w:val="231F20"/>
            <w:spacing w:val="3"/>
            <w:w w:val="103"/>
            <w:sz w:val="16"/>
          </w:rPr>
          <w:t>d</w:t>
        </w:r>
        <w:r>
          <w:rPr>
            <w:color w:val="231F20"/>
            <w:spacing w:val="1"/>
            <w:w w:val="103"/>
            <w:sz w:val="16"/>
          </w:rPr>
          <w:t>i</w:t>
        </w:r>
        <w:r>
          <w:rPr>
            <w:color w:val="231F20"/>
            <w:spacing w:val="1"/>
            <w:w w:val="106"/>
            <w:sz w:val="16"/>
          </w:rPr>
          <w:t>a</w:t>
        </w:r>
        <w:r>
          <w:rPr>
            <w:color w:val="231F20"/>
            <w:w w:val="140"/>
            <w:sz w:val="16"/>
          </w:rPr>
          <w:t>.</w:t>
        </w:r>
        <w:r>
          <w:rPr>
            <w:color w:val="231F20"/>
            <w:w w:val="104"/>
            <w:sz w:val="16"/>
          </w:rPr>
          <w:t>c</w:t>
        </w:r>
        <w:r>
          <w:rPr>
            <w:color w:val="231F20"/>
            <w:w w:val="105"/>
            <w:sz w:val="16"/>
          </w:rPr>
          <w:t>o</w:t>
        </w:r>
        <w:r>
          <w:rPr>
            <w:color w:val="231F20"/>
            <w:spacing w:val="8"/>
            <w:w w:val="105"/>
            <w:sz w:val="16"/>
          </w:rPr>
          <w:t>m</w:t>
        </w:r>
        <w:r>
          <w:rPr>
            <w:color w:val="231F20"/>
            <w:w w:val="58"/>
            <w:sz w:val="16"/>
          </w:rPr>
          <w:t>/</w:t>
        </w:r>
        <w:r>
          <w:rPr>
            <w:color w:val="231F20"/>
            <w:w w:val="101"/>
            <w:sz w:val="16"/>
          </w:rPr>
          <w:t>pr</w:t>
        </w:r>
        <w:r>
          <w:rPr>
            <w:color w:val="231F20"/>
            <w:spacing w:val="2"/>
            <w:w w:val="94"/>
            <w:sz w:val="16"/>
          </w:rPr>
          <w:t>e</w:t>
        </w:r>
        <w:r>
          <w:rPr>
            <w:color w:val="231F20"/>
            <w:spacing w:val="1"/>
            <w:w w:val="93"/>
            <w:sz w:val="16"/>
          </w:rPr>
          <w:t>s</w:t>
        </w:r>
        <w:r>
          <w:rPr>
            <w:color w:val="231F20"/>
            <w:spacing w:val="5"/>
            <w:w w:val="93"/>
            <w:sz w:val="16"/>
          </w:rPr>
          <w:t>s</w:t>
        </w:r>
        <w:r>
          <w:rPr>
            <w:color w:val="231F20"/>
            <w:spacing w:val="10"/>
            <w:w w:val="58"/>
            <w:sz w:val="16"/>
          </w:rPr>
          <w:t>/</w:t>
        </w:r>
        <w:r>
          <w:rPr>
            <w:color w:val="231F20"/>
            <w:spacing w:val="-10"/>
            <w:w w:val="116"/>
            <w:sz w:val="16"/>
          </w:rPr>
          <w:t>T</w:t>
        </w:r>
        <w:r>
          <w:rPr>
            <w:color w:val="231F20"/>
            <w:w w:val="94"/>
            <w:sz w:val="16"/>
          </w:rPr>
          <w:t>e</w:t>
        </w:r>
        <w:r>
          <w:rPr>
            <w:color w:val="231F20"/>
            <w:spacing w:val="2"/>
            <w:w w:val="97"/>
            <w:sz w:val="16"/>
          </w:rPr>
          <w:t>r</w:t>
        </w:r>
        <w:r>
          <w:rPr>
            <w:color w:val="231F20"/>
            <w:w w:val="97"/>
            <w:sz w:val="16"/>
          </w:rPr>
          <w:t>r</w:t>
        </w:r>
        <w:r>
          <w:rPr>
            <w:color w:val="231F20"/>
            <w:w w:val="103"/>
            <w:sz w:val="16"/>
          </w:rPr>
          <w:t>o</w:t>
        </w:r>
        <w:r>
          <w:rPr>
            <w:color w:val="231F20"/>
            <w:spacing w:val="1"/>
            <w:w w:val="103"/>
            <w:sz w:val="16"/>
          </w:rPr>
          <w:t>r</w:t>
        </w:r>
        <w:r>
          <w:rPr>
            <w:color w:val="231F20"/>
            <w:spacing w:val="6"/>
            <w:w w:val="93"/>
            <w:sz w:val="16"/>
          </w:rPr>
          <w:t>s</w:t>
        </w:r>
        <w:r>
          <w:rPr>
            <w:color w:val="231F20"/>
            <w:spacing w:val="10"/>
            <w:w w:val="139"/>
            <w:sz w:val="16"/>
          </w:rPr>
          <w:t>_</w:t>
        </w:r>
        <w:r>
          <w:rPr>
            <w:color w:val="231F20"/>
            <w:w w:val="120"/>
            <w:sz w:val="16"/>
          </w:rPr>
          <w:t>A</w:t>
        </w:r>
        <w:r>
          <w:rPr>
            <w:color w:val="231F20"/>
            <w:w w:val="103"/>
            <w:sz w:val="16"/>
          </w:rPr>
          <w:t>d</w:t>
        </w:r>
        <w:r>
          <w:rPr>
            <w:color w:val="231F20"/>
            <w:spacing w:val="-2"/>
            <w:w w:val="102"/>
            <w:sz w:val="16"/>
          </w:rPr>
          <w:t>v</w:t>
        </w:r>
        <w:r>
          <w:rPr>
            <w:color w:val="231F20"/>
            <w:spacing w:val="2"/>
            <w:w w:val="108"/>
            <w:sz w:val="16"/>
          </w:rPr>
          <w:t>o</w:t>
        </w:r>
        <w:r>
          <w:rPr>
            <w:color w:val="231F20"/>
            <w:spacing w:val="2"/>
            <w:w w:val="104"/>
            <w:sz w:val="16"/>
          </w:rPr>
          <w:t>c</w:t>
        </w:r>
        <w:r>
          <w:rPr>
            <w:color w:val="231F20"/>
            <w:spacing w:val="-1"/>
            <w:w w:val="106"/>
            <w:sz w:val="16"/>
          </w:rPr>
          <w:t>a</w:t>
        </w:r>
        <w:r>
          <w:rPr>
            <w:color w:val="231F20"/>
            <w:spacing w:val="1"/>
            <w:w w:val="102"/>
            <w:sz w:val="16"/>
          </w:rPr>
          <w:t>t</w:t>
        </w:r>
        <w:r>
          <w:rPr>
            <w:color w:val="231F20"/>
            <w:spacing w:val="5"/>
            <w:w w:val="94"/>
            <w:sz w:val="16"/>
          </w:rPr>
          <w:t>e</w:t>
        </w:r>
        <w:r>
          <w:rPr>
            <w:color w:val="231F20"/>
            <w:w w:val="58"/>
            <w:sz w:val="16"/>
          </w:rPr>
          <w:t>/</w:t>
        </w:r>
        <w:r>
          <w:rPr>
            <w:color w:val="231F20"/>
            <w:w w:val="101"/>
            <w:sz w:val="16"/>
          </w:rPr>
          <w:t>pr</w:t>
        </w:r>
        <w:r>
          <w:rPr>
            <w:color w:val="231F20"/>
            <w:spacing w:val="2"/>
            <w:w w:val="94"/>
            <w:sz w:val="16"/>
          </w:rPr>
          <w:t>e</w:t>
        </w:r>
        <w:r>
          <w:rPr>
            <w:color w:val="231F20"/>
            <w:spacing w:val="1"/>
            <w:w w:val="93"/>
            <w:sz w:val="16"/>
          </w:rPr>
          <w:t>s</w:t>
        </w:r>
        <w:r>
          <w:rPr>
            <w:color w:val="231F20"/>
            <w:spacing w:val="6"/>
            <w:w w:val="93"/>
            <w:sz w:val="16"/>
          </w:rPr>
          <w:t>s</w:t>
        </w:r>
        <w:r>
          <w:rPr>
            <w:color w:val="231F20"/>
            <w:spacing w:val="6"/>
            <w:w w:val="139"/>
            <w:sz w:val="16"/>
          </w:rPr>
          <w:t>_</w:t>
        </w:r>
        <w:r>
          <w:rPr>
            <w:color w:val="231F20"/>
            <w:spacing w:val="3"/>
            <w:w w:val="109"/>
            <w:sz w:val="16"/>
          </w:rPr>
          <w:t>k</w:t>
        </w:r>
        <w:r>
          <w:rPr>
            <w:color w:val="231F20"/>
            <w:spacing w:val="-1"/>
            <w:w w:val="103"/>
            <w:sz w:val="16"/>
          </w:rPr>
          <w:t>i</w:t>
        </w:r>
        <w:r>
          <w:rPr>
            <w:color w:val="231F20"/>
            <w:spacing w:val="2"/>
            <w:w w:val="102"/>
            <w:sz w:val="16"/>
          </w:rPr>
          <w:t>t</w:t>
        </w:r>
        <w:r>
          <w:rPr>
            <w:color w:val="231F20"/>
            <w:spacing w:val="-1"/>
            <w:w w:val="140"/>
            <w:sz w:val="16"/>
          </w:rPr>
          <w:t>.</w:t>
        </w:r>
        <w:r>
          <w:rPr>
            <w:color w:val="231F20"/>
            <w:spacing w:val="1"/>
            <w:w w:val="103"/>
            <w:sz w:val="16"/>
          </w:rPr>
          <w:t>p</w:t>
        </w:r>
        <w:r>
          <w:rPr>
            <w:color w:val="231F20"/>
            <w:spacing w:val="3"/>
            <w:w w:val="103"/>
            <w:sz w:val="16"/>
          </w:rPr>
          <w:t>d</w:t>
        </w:r>
        <w:r>
          <w:rPr>
            <w:color w:val="231F20"/>
            <w:w w:val="124"/>
            <w:sz w:val="16"/>
          </w:rPr>
          <w:t>f.</w:t>
        </w:r>
      </w:hyperlink>
    </w:p>
    <w:p w14:paraId="4DF5D58C" w14:textId="77777777" w:rsidR="002653E8" w:rsidRDefault="003115E3">
      <w:pPr>
        <w:pStyle w:val="a4"/>
        <w:numPr>
          <w:ilvl w:val="0"/>
          <w:numId w:val="34"/>
        </w:numPr>
        <w:tabs>
          <w:tab w:val="left" w:pos="1287"/>
        </w:tabs>
        <w:ind w:firstLine="0"/>
        <w:jc w:val="left"/>
        <w:rPr>
          <w:sz w:val="16"/>
        </w:rPr>
      </w:pPr>
      <w:r>
        <w:rPr>
          <w:color w:val="231F20"/>
          <w:w w:val="110"/>
          <w:sz w:val="16"/>
        </w:rPr>
        <w:t>Sayigh,</w:t>
      </w:r>
      <w:r>
        <w:rPr>
          <w:color w:val="231F20"/>
          <w:spacing w:val="5"/>
          <w:w w:val="110"/>
          <w:sz w:val="16"/>
        </w:rPr>
        <w:t xml:space="preserve"> </w:t>
      </w:r>
      <w:r>
        <w:rPr>
          <w:color w:val="231F20"/>
          <w:spacing w:val="-3"/>
          <w:w w:val="110"/>
          <w:sz w:val="16"/>
        </w:rPr>
        <w:t>305.</w:t>
      </w:r>
    </w:p>
    <w:p w14:paraId="6B0E3B17" w14:textId="77777777" w:rsidR="002653E8" w:rsidRDefault="003115E3">
      <w:pPr>
        <w:pStyle w:val="a4"/>
        <w:numPr>
          <w:ilvl w:val="0"/>
          <w:numId w:val="34"/>
        </w:numPr>
        <w:tabs>
          <w:tab w:val="left" w:pos="1287"/>
        </w:tabs>
        <w:spacing w:before="52"/>
        <w:ind w:firstLine="0"/>
        <w:jc w:val="left"/>
        <w:rPr>
          <w:sz w:val="16"/>
        </w:rPr>
      </w:pPr>
      <w:r>
        <w:rPr>
          <w:color w:val="231F20"/>
          <w:w w:val="110"/>
          <w:sz w:val="16"/>
        </w:rPr>
        <w:t>Ibid.</w:t>
      </w:r>
    </w:p>
    <w:p w14:paraId="1BFDDC64" w14:textId="77777777" w:rsidR="002653E8" w:rsidRDefault="003115E3">
      <w:pPr>
        <w:pStyle w:val="a4"/>
        <w:numPr>
          <w:ilvl w:val="0"/>
          <w:numId w:val="34"/>
        </w:numPr>
        <w:tabs>
          <w:tab w:val="left" w:pos="1287"/>
        </w:tabs>
        <w:spacing w:before="52" w:line="254" w:lineRule="auto"/>
        <w:ind w:right="1390" w:firstLine="0"/>
        <w:jc w:val="left"/>
        <w:rPr>
          <w:sz w:val="16"/>
        </w:rPr>
      </w:pPr>
      <w:r>
        <w:rPr>
          <w:color w:val="231F20"/>
          <w:w w:val="110"/>
          <w:sz w:val="16"/>
        </w:rPr>
        <w:t xml:space="preserve">John Follain, </w:t>
      </w:r>
      <w:r>
        <w:rPr>
          <w:i/>
          <w:color w:val="231F20"/>
          <w:w w:val="110"/>
          <w:sz w:val="16"/>
        </w:rPr>
        <w:t xml:space="preserve">Jackal: The </w:t>
      </w:r>
      <w:r>
        <w:rPr>
          <w:i/>
          <w:color w:val="231F20"/>
          <w:spacing w:val="1"/>
          <w:w w:val="110"/>
          <w:sz w:val="16"/>
        </w:rPr>
        <w:t xml:space="preserve">Complete Story </w:t>
      </w:r>
      <w:r>
        <w:rPr>
          <w:i/>
          <w:color w:val="231F20"/>
          <w:w w:val="110"/>
          <w:sz w:val="16"/>
        </w:rPr>
        <w:t xml:space="preserve">of the </w:t>
      </w:r>
      <w:r>
        <w:rPr>
          <w:i/>
          <w:color w:val="231F20"/>
          <w:spacing w:val="2"/>
          <w:w w:val="110"/>
          <w:sz w:val="16"/>
        </w:rPr>
        <w:t xml:space="preserve">Legendary </w:t>
      </w:r>
      <w:r>
        <w:rPr>
          <w:i/>
          <w:color w:val="231F20"/>
          <w:w w:val="110"/>
          <w:sz w:val="16"/>
        </w:rPr>
        <w:t xml:space="preserve">Terrorist, Carlos The Jackal </w:t>
      </w:r>
      <w:r>
        <w:rPr>
          <w:color w:val="231F20"/>
          <w:w w:val="110"/>
          <w:sz w:val="16"/>
        </w:rPr>
        <w:t xml:space="preserve">(New </w:t>
      </w:r>
      <w:r>
        <w:rPr>
          <w:color w:val="231F20"/>
          <w:spacing w:val="-3"/>
          <w:w w:val="110"/>
          <w:sz w:val="16"/>
        </w:rPr>
        <w:t xml:space="preserve">york: </w:t>
      </w:r>
      <w:r>
        <w:rPr>
          <w:color w:val="231F20"/>
          <w:w w:val="110"/>
          <w:sz w:val="16"/>
        </w:rPr>
        <w:t xml:space="preserve">Arcade Publishing, </w:t>
      </w:r>
      <w:r>
        <w:rPr>
          <w:color w:val="231F20"/>
          <w:spacing w:val="-3"/>
          <w:w w:val="110"/>
          <w:sz w:val="16"/>
        </w:rPr>
        <w:t>1998),</w:t>
      </w:r>
      <w:r>
        <w:rPr>
          <w:color w:val="231F20"/>
          <w:spacing w:val="2"/>
          <w:w w:val="110"/>
          <w:sz w:val="16"/>
        </w:rPr>
        <w:t xml:space="preserve"> </w:t>
      </w:r>
      <w:r>
        <w:rPr>
          <w:color w:val="231F20"/>
          <w:spacing w:val="-3"/>
          <w:w w:val="110"/>
          <w:sz w:val="16"/>
        </w:rPr>
        <w:t>281.</w:t>
      </w:r>
    </w:p>
    <w:p w14:paraId="74FCA5B1" w14:textId="77777777" w:rsidR="002653E8" w:rsidRDefault="002653E8">
      <w:pPr>
        <w:spacing w:line="254" w:lineRule="auto"/>
        <w:rPr>
          <w:sz w:val="16"/>
        </w:rPr>
        <w:sectPr w:rsidR="002653E8">
          <w:pgSz w:w="8640" w:h="12960"/>
          <w:pgMar w:top="1060" w:right="0" w:bottom="1040" w:left="0" w:header="0" w:footer="850" w:gutter="0"/>
          <w:cols w:space="720"/>
        </w:sectPr>
      </w:pPr>
    </w:p>
    <w:p w14:paraId="1B6D6E70" w14:textId="77777777" w:rsidR="002653E8" w:rsidRDefault="003115E3">
      <w:pPr>
        <w:pStyle w:val="a3"/>
        <w:spacing w:before="86" w:line="264" w:lineRule="auto"/>
        <w:ind w:left="1327" w:right="1145" w:firstLine="210"/>
        <w:jc w:val="both"/>
        <w:rPr>
          <w:sz w:val="11"/>
        </w:rPr>
      </w:pPr>
      <w:r>
        <w:rPr>
          <w:color w:val="231F20"/>
        </w:rPr>
        <w:lastRenderedPageBreak/>
        <w:t xml:space="preserve">As part of the strategy of attacking targets outside of the Middle East, Haddad soon forged ties with a number of European anti-Zionist organizations, both legal and illegal. The Venezuelan adventurer Carlos who had joined Haddad’s network in </w:t>
      </w:r>
      <w:r>
        <w:rPr>
          <w:color w:val="231F20"/>
          <w:spacing w:val="-3"/>
        </w:rPr>
        <w:t xml:space="preserve">1970, </w:t>
      </w:r>
      <w:r>
        <w:rPr>
          <w:color w:val="231F20"/>
        </w:rPr>
        <w:t>was prominent in this process, and was personally responsible for recruiting several activists from the Frankfurt radical scene, including Wilfried Böse, Brigitte Kuhlmann,  and</w:t>
      </w:r>
      <w:r>
        <w:rPr>
          <w:color w:val="231F20"/>
          <w:spacing w:val="15"/>
        </w:rPr>
        <w:t xml:space="preserve"> </w:t>
      </w:r>
      <w:r>
        <w:rPr>
          <w:color w:val="231F20"/>
        </w:rPr>
        <w:t>Johannes</w:t>
      </w:r>
      <w:r>
        <w:rPr>
          <w:color w:val="231F20"/>
          <w:spacing w:val="15"/>
        </w:rPr>
        <w:t xml:space="preserve"> </w:t>
      </w:r>
      <w:r>
        <w:rPr>
          <w:color w:val="231F20"/>
        </w:rPr>
        <w:t>Weinrich,</w:t>
      </w:r>
      <w:r>
        <w:rPr>
          <w:color w:val="231F20"/>
          <w:spacing w:val="15"/>
        </w:rPr>
        <w:t xml:space="preserve"> </w:t>
      </w:r>
      <w:r>
        <w:rPr>
          <w:color w:val="231F20"/>
        </w:rPr>
        <w:t>all</w:t>
      </w:r>
      <w:r>
        <w:rPr>
          <w:color w:val="231F20"/>
          <w:spacing w:val="15"/>
        </w:rPr>
        <w:t xml:space="preserve"> </w:t>
      </w:r>
      <w:r>
        <w:rPr>
          <w:color w:val="231F20"/>
        </w:rPr>
        <w:t>founding</w:t>
      </w:r>
      <w:r>
        <w:rPr>
          <w:color w:val="231F20"/>
          <w:spacing w:val="15"/>
        </w:rPr>
        <w:t xml:space="preserve"> </w:t>
      </w:r>
      <w:r>
        <w:rPr>
          <w:color w:val="231F20"/>
        </w:rPr>
        <w:t>members</w:t>
      </w:r>
      <w:r>
        <w:rPr>
          <w:color w:val="231F20"/>
          <w:spacing w:val="15"/>
        </w:rPr>
        <w:t xml:space="preserve"> </w:t>
      </w:r>
      <w:r>
        <w:rPr>
          <w:color w:val="231F20"/>
        </w:rPr>
        <w:t>of</w:t>
      </w:r>
      <w:r>
        <w:rPr>
          <w:color w:val="231F20"/>
          <w:spacing w:val="15"/>
        </w:rPr>
        <w:t xml:space="preserve"> </w:t>
      </w:r>
      <w:r>
        <w:rPr>
          <w:color w:val="231F20"/>
        </w:rPr>
        <w:t>the</w:t>
      </w:r>
      <w:r>
        <w:rPr>
          <w:color w:val="231F20"/>
          <w:spacing w:val="15"/>
        </w:rPr>
        <w:t xml:space="preserve"> </w:t>
      </w:r>
      <w:r>
        <w:rPr>
          <w:color w:val="231F20"/>
          <w:spacing w:val="1"/>
        </w:rPr>
        <w:t>RZ.</w:t>
      </w:r>
      <w:r>
        <w:rPr>
          <w:color w:val="231F20"/>
          <w:spacing w:val="1"/>
          <w:position w:val="7"/>
          <w:sz w:val="11"/>
        </w:rPr>
        <w:t>7</w:t>
      </w:r>
    </w:p>
    <w:p w14:paraId="50329155" w14:textId="77777777" w:rsidR="002653E8" w:rsidRDefault="003115E3">
      <w:pPr>
        <w:pStyle w:val="a3"/>
        <w:spacing w:line="264" w:lineRule="auto"/>
        <w:ind w:left="1327" w:right="1145" w:firstLine="210"/>
        <w:jc w:val="both"/>
      </w:pPr>
      <w:r>
        <w:rPr>
          <w:color w:val="231F20"/>
        </w:rPr>
        <w:t>While both popular and left-wing accounts tend to attribute the Entebbe and Mogadishu skyjackings to the PFLP, the accounts attributing these operations to Haddad and the PFLP (EO) seem far better documented. We are convinced of this by simply cross-referencing various facts, and examining reports of Haddad’s activities in this period.</w:t>
      </w:r>
    </w:p>
    <w:p w14:paraId="3EFE5121" w14:textId="77777777" w:rsidR="002653E8" w:rsidRDefault="003115E3">
      <w:pPr>
        <w:pStyle w:val="a3"/>
        <w:spacing w:line="264" w:lineRule="auto"/>
        <w:ind w:left="1327" w:right="1145" w:firstLine="270"/>
        <w:jc w:val="both"/>
      </w:pPr>
      <w:r>
        <w:rPr>
          <w:color w:val="231F20"/>
        </w:rPr>
        <w:t xml:space="preserve">While there is a frustrating dearth of English-language material examining the relations between the two groups, and the </w:t>
      </w:r>
      <w:r>
        <w:rPr>
          <w:color w:val="231F20"/>
          <w:spacing w:val="1"/>
        </w:rPr>
        <w:t xml:space="preserve">PFLP </w:t>
      </w:r>
      <w:r>
        <w:rPr>
          <w:color w:val="231F20"/>
        </w:rPr>
        <w:t xml:space="preserve">proper may have chosen not to dispel this confusion  at  the  time,  this  does not change the fact that by </w:t>
      </w:r>
      <w:r>
        <w:rPr>
          <w:color w:val="231F20"/>
          <w:spacing w:val="-3"/>
        </w:rPr>
        <w:t xml:space="preserve">1972, </w:t>
      </w:r>
      <w:r>
        <w:rPr>
          <w:color w:val="231F20"/>
        </w:rPr>
        <w:t xml:space="preserve">the “regular” </w:t>
      </w:r>
      <w:r>
        <w:rPr>
          <w:color w:val="231F20"/>
          <w:spacing w:val="1"/>
        </w:rPr>
        <w:t xml:space="preserve">PFLP </w:t>
      </w:r>
      <w:r>
        <w:rPr>
          <w:color w:val="231F20"/>
        </w:rPr>
        <w:t xml:space="preserve">and  Haddad’s  </w:t>
      </w:r>
      <w:r>
        <w:rPr>
          <w:color w:val="231F20"/>
          <w:spacing w:val="1"/>
        </w:rPr>
        <w:t xml:space="preserve">PFLP </w:t>
      </w:r>
      <w:r>
        <w:rPr>
          <w:color w:val="231F20"/>
        </w:rPr>
        <w:t>(EO) were two distinct</w:t>
      </w:r>
      <w:r>
        <w:rPr>
          <w:color w:val="231F20"/>
          <w:spacing w:val="35"/>
        </w:rPr>
        <w:t xml:space="preserve"> </w:t>
      </w:r>
      <w:r>
        <w:rPr>
          <w:color w:val="231F20"/>
        </w:rPr>
        <w:t>organizations.</w:t>
      </w:r>
    </w:p>
    <w:p w14:paraId="3D7B445E" w14:textId="77777777" w:rsidR="002653E8" w:rsidRDefault="003115E3">
      <w:pPr>
        <w:pStyle w:val="a3"/>
        <w:spacing w:line="264" w:lineRule="auto"/>
        <w:ind w:left="1327" w:right="1147" w:firstLine="210"/>
        <w:jc w:val="both"/>
      </w:pPr>
      <w:r>
        <w:rPr>
          <w:color w:val="231F20"/>
          <w:spacing w:val="1"/>
        </w:rPr>
        <w:t xml:space="preserve">In </w:t>
      </w:r>
      <w:r>
        <w:rPr>
          <w:color w:val="231F20"/>
        </w:rPr>
        <w:t xml:space="preserve">late </w:t>
      </w:r>
      <w:r>
        <w:rPr>
          <w:color w:val="231F20"/>
          <w:spacing w:val="-6"/>
        </w:rPr>
        <w:t xml:space="preserve">1977, </w:t>
      </w:r>
      <w:r>
        <w:rPr>
          <w:color w:val="231F20"/>
        </w:rPr>
        <w:t xml:space="preserve">Waddi Haddad suddenly became afflicted with what seemed to be an aggressive </w:t>
      </w:r>
      <w:r>
        <w:rPr>
          <w:color w:val="231F20"/>
          <w:spacing w:val="1"/>
        </w:rPr>
        <w:t xml:space="preserve">type </w:t>
      </w:r>
      <w:r>
        <w:rPr>
          <w:color w:val="231F20"/>
        </w:rPr>
        <w:t>of leukemia. Despite the best efforts    of doctors in Algeria and the German Democratic Republic, he died on March 28,</w:t>
      </w:r>
      <w:r>
        <w:rPr>
          <w:color w:val="231F20"/>
          <w:spacing w:val="22"/>
        </w:rPr>
        <w:t xml:space="preserve"> </w:t>
      </w:r>
      <w:r>
        <w:rPr>
          <w:color w:val="231F20"/>
          <w:spacing w:val="-4"/>
        </w:rPr>
        <w:t>1978.</w:t>
      </w:r>
    </w:p>
    <w:p w14:paraId="3CFA9AC6" w14:textId="77777777" w:rsidR="002653E8" w:rsidRDefault="003115E3">
      <w:pPr>
        <w:pStyle w:val="a3"/>
        <w:spacing w:line="264" w:lineRule="auto"/>
        <w:ind w:left="1327" w:right="1146" w:firstLine="210"/>
        <w:jc w:val="both"/>
      </w:pPr>
      <w:r>
        <w:rPr>
          <w:color w:val="231F20"/>
        </w:rPr>
        <w:t>His funeral in Baghdad was attended by leaders from all sections of the Palestinian resistance.</w:t>
      </w:r>
    </w:p>
    <w:p w14:paraId="7510627C" w14:textId="77777777" w:rsidR="002653E8" w:rsidRDefault="003115E3">
      <w:pPr>
        <w:pStyle w:val="a3"/>
        <w:spacing w:line="264" w:lineRule="auto"/>
        <w:ind w:left="1327" w:right="1146" w:firstLine="210"/>
        <w:jc w:val="both"/>
        <w:rPr>
          <w:sz w:val="11"/>
        </w:rPr>
      </w:pPr>
      <w:r>
        <w:rPr>
          <w:color w:val="231F20"/>
        </w:rPr>
        <w:t>In the thirty years since his death, it has been revealed that the controversial Palestinian guerilla commander was in fact poisoned by Mossad, the Israeli secret service. While the timing coincided with the Mogadishu skyjacking, it would seem that this assassination had been decided upon in the wake of Entebbe.</w:t>
      </w:r>
      <w:r>
        <w:rPr>
          <w:color w:val="231F20"/>
          <w:position w:val="7"/>
          <w:sz w:val="11"/>
        </w:rPr>
        <w:t>8</w:t>
      </w:r>
    </w:p>
    <w:p w14:paraId="109F36F8" w14:textId="77777777" w:rsidR="002653E8" w:rsidRDefault="003115E3">
      <w:pPr>
        <w:pStyle w:val="a3"/>
        <w:spacing w:line="264" w:lineRule="auto"/>
        <w:ind w:left="1327" w:right="1146" w:firstLine="210"/>
        <w:jc w:val="both"/>
        <w:rPr>
          <w:sz w:val="11"/>
        </w:rPr>
      </w:pPr>
      <w:r>
        <w:rPr>
          <w:color w:val="231F20"/>
          <w:w w:val="105"/>
        </w:rPr>
        <w:t xml:space="preserve">As a publication of the </w:t>
      </w:r>
      <w:r>
        <w:rPr>
          <w:color w:val="231F20"/>
          <w:spacing w:val="1"/>
          <w:w w:val="105"/>
        </w:rPr>
        <w:t xml:space="preserve">U.S. </w:t>
      </w:r>
      <w:r>
        <w:rPr>
          <w:color w:val="231F20"/>
          <w:w w:val="105"/>
        </w:rPr>
        <w:t>Special Operations Command’s Joint Special</w:t>
      </w:r>
      <w:r>
        <w:rPr>
          <w:color w:val="231F20"/>
          <w:spacing w:val="-9"/>
          <w:w w:val="105"/>
        </w:rPr>
        <w:t xml:space="preserve"> </w:t>
      </w:r>
      <w:r>
        <w:rPr>
          <w:color w:val="231F20"/>
          <w:w w:val="105"/>
        </w:rPr>
        <w:t>Operations</w:t>
      </w:r>
      <w:r>
        <w:rPr>
          <w:color w:val="231F20"/>
          <w:spacing w:val="-9"/>
          <w:w w:val="105"/>
        </w:rPr>
        <w:t xml:space="preserve"> </w:t>
      </w:r>
      <w:r>
        <w:rPr>
          <w:color w:val="231F20"/>
          <w:w w:val="105"/>
        </w:rPr>
        <w:t>University</w:t>
      </w:r>
      <w:r>
        <w:rPr>
          <w:color w:val="231F20"/>
          <w:spacing w:val="-9"/>
          <w:w w:val="105"/>
        </w:rPr>
        <w:t xml:space="preserve"> </w:t>
      </w:r>
      <w:r>
        <w:rPr>
          <w:color w:val="231F20"/>
          <w:w w:val="105"/>
        </w:rPr>
        <w:t>approvingly</w:t>
      </w:r>
      <w:r>
        <w:rPr>
          <w:color w:val="231F20"/>
          <w:spacing w:val="-9"/>
          <w:w w:val="105"/>
        </w:rPr>
        <w:t xml:space="preserve"> </w:t>
      </w:r>
      <w:r>
        <w:rPr>
          <w:color w:val="231F20"/>
          <w:w w:val="105"/>
        </w:rPr>
        <w:t>notes,</w:t>
      </w:r>
      <w:r>
        <w:rPr>
          <w:color w:val="231F20"/>
          <w:spacing w:val="-9"/>
          <w:w w:val="105"/>
        </w:rPr>
        <w:t xml:space="preserve"> </w:t>
      </w:r>
      <w:r>
        <w:rPr>
          <w:color w:val="231F20"/>
          <w:w w:val="105"/>
        </w:rPr>
        <w:t>“Upon</w:t>
      </w:r>
      <w:r>
        <w:rPr>
          <w:color w:val="231F20"/>
          <w:spacing w:val="-9"/>
          <w:w w:val="105"/>
        </w:rPr>
        <w:t xml:space="preserve"> </w:t>
      </w:r>
      <w:r>
        <w:rPr>
          <w:color w:val="231F20"/>
          <w:w w:val="105"/>
        </w:rPr>
        <w:t>his</w:t>
      </w:r>
      <w:r>
        <w:rPr>
          <w:color w:val="231F20"/>
          <w:spacing w:val="-9"/>
          <w:w w:val="105"/>
        </w:rPr>
        <w:t xml:space="preserve"> </w:t>
      </w:r>
      <w:r>
        <w:rPr>
          <w:color w:val="231F20"/>
          <w:w w:val="105"/>
        </w:rPr>
        <w:t>death,</w:t>
      </w:r>
      <w:r>
        <w:rPr>
          <w:color w:val="231F20"/>
          <w:spacing w:val="-9"/>
          <w:w w:val="105"/>
        </w:rPr>
        <w:t xml:space="preserve"> </w:t>
      </w:r>
      <w:r>
        <w:rPr>
          <w:color w:val="231F20"/>
          <w:w w:val="105"/>
        </w:rPr>
        <w:t>the organization</w:t>
      </w:r>
      <w:r>
        <w:rPr>
          <w:color w:val="231F20"/>
          <w:spacing w:val="-17"/>
          <w:w w:val="105"/>
        </w:rPr>
        <w:t xml:space="preserve"> </w:t>
      </w:r>
      <w:r>
        <w:rPr>
          <w:color w:val="231F20"/>
          <w:w w:val="105"/>
        </w:rPr>
        <w:t>he</w:t>
      </w:r>
      <w:r>
        <w:rPr>
          <w:color w:val="231F20"/>
          <w:spacing w:val="-17"/>
          <w:w w:val="105"/>
        </w:rPr>
        <w:t xml:space="preserve"> </w:t>
      </w:r>
      <w:r>
        <w:rPr>
          <w:color w:val="231F20"/>
          <w:w w:val="105"/>
        </w:rPr>
        <w:t>had</w:t>
      </w:r>
      <w:r>
        <w:rPr>
          <w:color w:val="231F20"/>
          <w:spacing w:val="-17"/>
          <w:w w:val="105"/>
        </w:rPr>
        <w:t xml:space="preserve"> </w:t>
      </w:r>
      <w:r>
        <w:rPr>
          <w:color w:val="231F20"/>
          <w:w w:val="105"/>
        </w:rPr>
        <w:t>headed</w:t>
      </w:r>
      <w:r>
        <w:rPr>
          <w:color w:val="231F20"/>
          <w:spacing w:val="-17"/>
          <w:w w:val="105"/>
        </w:rPr>
        <w:t xml:space="preserve"> </w:t>
      </w:r>
      <w:r>
        <w:rPr>
          <w:color w:val="231F20"/>
          <w:w w:val="105"/>
        </w:rPr>
        <w:t>dissolved,</w:t>
      </w:r>
      <w:r>
        <w:rPr>
          <w:color w:val="231F20"/>
          <w:spacing w:val="-17"/>
          <w:w w:val="105"/>
        </w:rPr>
        <w:t xml:space="preserve"> </w:t>
      </w:r>
      <w:r>
        <w:rPr>
          <w:color w:val="231F20"/>
          <w:w w:val="105"/>
        </w:rPr>
        <w:t>and</w:t>
      </w:r>
      <w:r>
        <w:rPr>
          <w:color w:val="231F20"/>
          <w:spacing w:val="-17"/>
          <w:w w:val="105"/>
        </w:rPr>
        <w:t xml:space="preserve"> </w:t>
      </w:r>
      <w:r>
        <w:rPr>
          <w:color w:val="231F20"/>
          <w:w w:val="105"/>
        </w:rPr>
        <w:t>attacks</w:t>
      </w:r>
      <w:r>
        <w:rPr>
          <w:color w:val="231F20"/>
          <w:spacing w:val="-17"/>
          <w:w w:val="105"/>
        </w:rPr>
        <w:t xml:space="preserve"> </w:t>
      </w:r>
      <w:r>
        <w:rPr>
          <w:color w:val="231F20"/>
          <w:w w:val="105"/>
        </w:rPr>
        <w:t>on</w:t>
      </w:r>
      <w:r>
        <w:rPr>
          <w:color w:val="231F20"/>
          <w:spacing w:val="-17"/>
          <w:w w:val="105"/>
        </w:rPr>
        <w:t xml:space="preserve"> </w:t>
      </w:r>
      <w:r>
        <w:rPr>
          <w:color w:val="231F20"/>
          <w:w w:val="105"/>
        </w:rPr>
        <w:t>Israel</w:t>
      </w:r>
      <w:r>
        <w:rPr>
          <w:color w:val="231F20"/>
          <w:spacing w:val="-17"/>
          <w:w w:val="105"/>
        </w:rPr>
        <w:t xml:space="preserve"> </w:t>
      </w:r>
      <w:r>
        <w:rPr>
          <w:color w:val="231F20"/>
          <w:w w:val="105"/>
        </w:rPr>
        <w:t>and</w:t>
      </w:r>
      <w:r>
        <w:rPr>
          <w:color w:val="231F20"/>
          <w:spacing w:val="-17"/>
          <w:w w:val="105"/>
        </w:rPr>
        <w:t xml:space="preserve"> </w:t>
      </w:r>
      <w:r>
        <w:rPr>
          <w:color w:val="231F20"/>
          <w:w w:val="105"/>
        </w:rPr>
        <w:t>Israeli interests declined</w:t>
      </w:r>
      <w:r>
        <w:rPr>
          <w:color w:val="231F20"/>
          <w:spacing w:val="12"/>
          <w:w w:val="105"/>
        </w:rPr>
        <w:t xml:space="preserve"> </w:t>
      </w:r>
      <w:r>
        <w:rPr>
          <w:color w:val="231F20"/>
          <w:spacing w:val="-3"/>
          <w:w w:val="105"/>
        </w:rPr>
        <w:t>precipitously.”</w:t>
      </w:r>
      <w:r>
        <w:rPr>
          <w:color w:val="231F20"/>
          <w:spacing w:val="-3"/>
          <w:w w:val="105"/>
          <w:position w:val="7"/>
          <w:sz w:val="11"/>
        </w:rPr>
        <w:t>9</w:t>
      </w:r>
    </w:p>
    <w:p w14:paraId="470C8EC0" w14:textId="77777777" w:rsidR="002653E8" w:rsidRDefault="002653E8">
      <w:pPr>
        <w:pStyle w:val="a3"/>
      </w:pPr>
    </w:p>
    <w:p w14:paraId="47CD409A" w14:textId="77777777" w:rsidR="002653E8" w:rsidRDefault="00000000">
      <w:pPr>
        <w:pStyle w:val="a3"/>
        <w:spacing w:before="3"/>
        <w:rPr>
          <w:sz w:val="15"/>
        </w:rPr>
      </w:pPr>
      <w:r>
        <w:rPr>
          <w:noProof w:val="0"/>
        </w:rPr>
        <w:pict w14:anchorId="48307DF7">
          <v:line id="_x0000_s2125" style="position:absolute;z-index:11680;mso-wrap-distance-left:0;mso-wrap-distance-right:0;mso-position-horizontal-relative:page" from="66.4pt,11.2pt" to="138.4pt,11.2pt" strokecolor="#231f20" strokeweight=".5pt">
            <w10:wrap type="topAndBottom" anchorx="page"/>
          </v:line>
        </w:pict>
      </w:r>
    </w:p>
    <w:p w14:paraId="28344085" w14:textId="77777777" w:rsidR="002653E8" w:rsidRDefault="003115E3">
      <w:pPr>
        <w:pStyle w:val="a4"/>
        <w:numPr>
          <w:ilvl w:val="0"/>
          <w:numId w:val="34"/>
        </w:numPr>
        <w:tabs>
          <w:tab w:val="left" w:pos="1467"/>
        </w:tabs>
        <w:spacing w:before="53"/>
        <w:ind w:left="1466"/>
        <w:jc w:val="left"/>
        <w:rPr>
          <w:sz w:val="16"/>
        </w:rPr>
      </w:pPr>
      <w:r>
        <w:rPr>
          <w:color w:val="231F20"/>
          <w:w w:val="110"/>
          <w:sz w:val="16"/>
        </w:rPr>
        <w:t>Schröm,</w:t>
      </w:r>
      <w:r>
        <w:rPr>
          <w:color w:val="231F20"/>
          <w:spacing w:val="6"/>
          <w:w w:val="110"/>
          <w:sz w:val="16"/>
        </w:rPr>
        <w:t xml:space="preserve"> </w:t>
      </w:r>
      <w:r>
        <w:rPr>
          <w:color w:val="231F20"/>
          <w:spacing w:val="-3"/>
          <w:w w:val="110"/>
          <w:sz w:val="16"/>
        </w:rPr>
        <w:t>1-3.</w:t>
      </w:r>
    </w:p>
    <w:p w14:paraId="779BE95B" w14:textId="77777777" w:rsidR="002653E8" w:rsidRDefault="003115E3">
      <w:pPr>
        <w:pStyle w:val="a4"/>
        <w:numPr>
          <w:ilvl w:val="0"/>
          <w:numId w:val="34"/>
        </w:numPr>
        <w:tabs>
          <w:tab w:val="left" w:pos="1467"/>
        </w:tabs>
        <w:spacing w:before="51" w:line="254" w:lineRule="auto"/>
        <w:ind w:left="1328" w:right="1264" w:firstLine="0"/>
        <w:jc w:val="left"/>
        <w:rPr>
          <w:sz w:val="16"/>
        </w:rPr>
      </w:pPr>
      <w:r>
        <w:rPr>
          <w:color w:val="231F20"/>
          <w:w w:val="105"/>
          <w:sz w:val="16"/>
        </w:rPr>
        <w:t xml:space="preserve">Graham </w:t>
      </w:r>
      <w:r>
        <w:rPr>
          <w:color w:val="231F20"/>
          <w:spacing w:val="1"/>
          <w:w w:val="105"/>
          <w:sz w:val="16"/>
        </w:rPr>
        <w:t xml:space="preserve">H.  </w:t>
      </w:r>
      <w:r>
        <w:rPr>
          <w:color w:val="231F20"/>
          <w:w w:val="105"/>
          <w:sz w:val="16"/>
        </w:rPr>
        <w:t xml:space="preserve">Turbiville,  Jr.,  </w:t>
      </w:r>
      <w:r>
        <w:rPr>
          <w:i/>
          <w:color w:val="231F20"/>
          <w:w w:val="105"/>
          <w:sz w:val="16"/>
        </w:rPr>
        <w:t xml:space="preserve">Hunting  </w:t>
      </w:r>
      <w:r>
        <w:rPr>
          <w:i/>
          <w:color w:val="231F20"/>
          <w:spacing w:val="1"/>
          <w:w w:val="105"/>
          <w:sz w:val="16"/>
        </w:rPr>
        <w:t xml:space="preserve">Leadership  </w:t>
      </w:r>
      <w:r>
        <w:rPr>
          <w:i/>
          <w:color w:val="231F20"/>
          <w:w w:val="105"/>
          <w:sz w:val="16"/>
        </w:rPr>
        <w:t xml:space="preserve">Targets  in  </w:t>
      </w:r>
      <w:r>
        <w:rPr>
          <w:i/>
          <w:color w:val="231F20"/>
          <w:spacing w:val="1"/>
          <w:w w:val="105"/>
          <w:sz w:val="16"/>
        </w:rPr>
        <w:t xml:space="preserve">Counterinsurgency and Counterterrorist </w:t>
      </w:r>
      <w:r>
        <w:rPr>
          <w:i/>
          <w:color w:val="231F20"/>
          <w:w w:val="105"/>
          <w:sz w:val="16"/>
        </w:rPr>
        <w:t xml:space="preserve">Operations: Selected Perspectives </w:t>
      </w:r>
      <w:r>
        <w:rPr>
          <w:i/>
          <w:color w:val="231F20"/>
          <w:spacing w:val="1"/>
          <w:w w:val="105"/>
          <w:sz w:val="16"/>
        </w:rPr>
        <w:t xml:space="preserve">and </w:t>
      </w:r>
      <w:r>
        <w:rPr>
          <w:i/>
          <w:color w:val="231F20"/>
          <w:spacing w:val="2"/>
          <w:w w:val="105"/>
          <w:sz w:val="16"/>
        </w:rPr>
        <w:t xml:space="preserve">Experience </w:t>
      </w:r>
      <w:r>
        <w:rPr>
          <w:color w:val="231F20"/>
          <w:w w:val="105"/>
          <w:sz w:val="16"/>
        </w:rPr>
        <w:t xml:space="preserve">(Hurlburt Field, Florida: Joint Special Operations University Press, 2007),16. </w:t>
      </w:r>
      <w:r>
        <w:rPr>
          <w:color w:val="231F20"/>
          <w:w w:val="104"/>
          <w:sz w:val="16"/>
        </w:rPr>
        <w:t>h</w:t>
      </w:r>
      <w:r>
        <w:rPr>
          <w:color w:val="231F20"/>
          <w:spacing w:val="5"/>
          <w:w w:val="102"/>
          <w:sz w:val="16"/>
        </w:rPr>
        <w:t>t</w:t>
      </w:r>
      <w:r>
        <w:rPr>
          <w:color w:val="231F20"/>
          <w:spacing w:val="3"/>
          <w:w w:val="102"/>
          <w:sz w:val="16"/>
        </w:rPr>
        <w:t>t</w:t>
      </w:r>
      <w:r>
        <w:rPr>
          <w:color w:val="231F20"/>
          <w:spacing w:val="1"/>
          <w:w w:val="103"/>
          <w:sz w:val="16"/>
        </w:rPr>
        <w:t>p</w:t>
      </w:r>
      <w:r>
        <w:rPr>
          <w:color w:val="231F20"/>
          <w:w w:val="93"/>
          <w:sz w:val="16"/>
        </w:rPr>
        <w:t>s</w:t>
      </w:r>
      <w:r>
        <w:rPr>
          <w:color w:val="231F20"/>
          <w:spacing w:val="5"/>
          <w:w w:val="109"/>
          <w:sz w:val="16"/>
        </w:rPr>
        <w:t>:</w:t>
      </w:r>
      <w:r>
        <w:rPr>
          <w:color w:val="231F20"/>
          <w:spacing w:val="-1"/>
          <w:w w:val="58"/>
          <w:sz w:val="16"/>
        </w:rPr>
        <w:t>/</w:t>
      </w:r>
      <w:r>
        <w:rPr>
          <w:color w:val="231F20"/>
          <w:spacing w:val="2"/>
          <w:w w:val="58"/>
          <w:sz w:val="16"/>
        </w:rPr>
        <w:t>/</w:t>
      </w:r>
      <w:r>
        <w:rPr>
          <w:color w:val="231F20"/>
          <w:w w:val="108"/>
          <w:sz w:val="16"/>
        </w:rPr>
        <w:t>j</w:t>
      </w:r>
      <w:r>
        <w:rPr>
          <w:color w:val="231F20"/>
          <w:w w:val="93"/>
          <w:sz w:val="16"/>
        </w:rPr>
        <w:t>s</w:t>
      </w:r>
      <w:r>
        <w:rPr>
          <w:color w:val="231F20"/>
          <w:w w:val="106"/>
          <w:sz w:val="16"/>
        </w:rPr>
        <w:t>o</w:t>
      </w:r>
      <w:r>
        <w:rPr>
          <w:color w:val="231F20"/>
          <w:spacing w:val="-1"/>
          <w:w w:val="106"/>
          <w:sz w:val="16"/>
        </w:rPr>
        <w:t>u</w:t>
      </w:r>
      <w:r>
        <w:rPr>
          <w:color w:val="231F20"/>
          <w:w w:val="104"/>
          <w:sz w:val="16"/>
        </w:rPr>
        <w:t>pu</w:t>
      </w:r>
      <w:r>
        <w:rPr>
          <w:color w:val="231F20"/>
          <w:w w:val="105"/>
          <w:sz w:val="16"/>
        </w:rPr>
        <w:t>b</w:t>
      </w:r>
      <w:r>
        <w:rPr>
          <w:color w:val="231F20"/>
          <w:spacing w:val="2"/>
          <w:w w:val="105"/>
          <w:sz w:val="16"/>
        </w:rPr>
        <w:t>l</w:t>
      </w:r>
      <w:r>
        <w:rPr>
          <w:color w:val="231F20"/>
          <w:w w:val="103"/>
          <w:sz w:val="16"/>
        </w:rPr>
        <w:t>i</w:t>
      </w:r>
      <w:r>
        <w:rPr>
          <w:color w:val="231F20"/>
          <w:spacing w:val="1"/>
          <w:w w:val="104"/>
          <w:sz w:val="16"/>
        </w:rPr>
        <w:t>c</w:t>
      </w:r>
      <w:r>
        <w:rPr>
          <w:color w:val="231F20"/>
          <w:spacing w:val="2"/>
          <w:w w:val="140"/>
          <w:sz w:val="16"/>
        </w:rPr>
        <w:t>.</w:t>
      </w:r>
      <w:r>
        <w:rPr>
          <w:color w:val="231F20"/>
          <w:w w:val="93"/>
          <w:sz w:val="16"/>
        </w:rPr>
        <w:t>s</w:t>
      </w:r>
      <w:r>
        <w:rPr>
          <w:color w:val="231F20"/>
          <w:spacing w:val="2"/>
          <w:w w:val="108"/>
          <w:sz w:val="16"/>
        </w:rPr>
        <w:t>o</w:t>
      </w:r>
      <w:r>
        <w:rPr>
          <w:color w:val="231F20"/>
          <w:w w:val="104"/>
          <w:sz w:val="16"/>
        </w:rPr>
        <w:t>c</w:t>
      </w:r>
      <w:r>
        <w:rPr>
          <w:color w:val="231F20"/>
          <w:w w:val="108"/>
          <w:sz w:val="16"/>
        </w:rPr>
        <w:t>o</w:t>
      </w:r>
      <w:r>
        <w:rPr>
          <w:color w:val="231F20"/>
          <w:spacing w:val="1"/>
          <w:w w:val="103"/>
          <w:sz w:val="16"/>
        </w:rPr>
        <w:t>m</w:t>
      </w:r>
      <w:r>
        <w:rPr>
          <w:color w:val="231F20"/>
          <w:spacing w:val="1"/>
          <w:w w:val="140"/>
          <w:sz w:val="16"/>
        </w:rPr>
        <w:t>.</w:t>
      </w:r>
      <w:r>
        <w:rPr>
          <w:color w:val="231F20"/>
          <w:spacing w:val="3"/>
          <w:w w:val="103"/>
          <w:sz w:val="16"/>
        </w:rPr>
        <w:t>m</w:t>
      </w:r>
      <w:r>
        <w:rPr>
          <w:color w:val="231F20"/>
          <w:spacing w:val="2"/>
          <w:w w:val="103"/>
          <w:sz w:val="16"/>
        </w:rPr>
        <w:t>i</w:t>
      </w:r>
      <w:r>
        <w:rPr>
          <w:color w:val="231F20"/>
          <w:spacing w:val="7"/>
          <w:w w:val="106"/>
          <w:sz w:val="16"/>
        </w:rPr>
        <w:t>l</w:t>
      </w:r>
      <w:r>
        <w:rPr>
          <w:color w:val="231F20"/>
          <w:w w:val="58"/>
          <w:sz w:val="16"/>
        </w:rPr>
        <w:t>/</w:t>
      </w:r>
      <w:r>
        <w:rPr>
          <w:color w:val="231F20"/>
          <w:w w:val="104"/>
          <w:sz w:val="16"/>
        </w:rPr>
        <w:t>pu</w:t>
      </w:r>
      <w:r>
        <w:rPr>
          <w:color w:val="231F20"/>
          <w:w w:val="105"/>
          <w:sz w:val="16"/>
        </w:rPr>
        <w:t>b</w:t>
      </w:r>
      <w:r>
        <w:rPr>
          <w:color w:val="231F20"/>
          <w:spacing w:val="2"/>
          <w:w w:val="105"/>
          <w:sz w:val="16"/>
        </w:rPr>
        <w:t>l</w:t>
      </w:r>
      <w:r>
        <w:rPr>
          <w:color w:val="231F20"/>
          <w:w w:val="103"/>
          <w:sz w:val="16"/>
        </w:rPr>
        <w:t>i</w:t>
      </w:r>
      <w:r>
        <w:rPr>
          <w:color w:val="231F20"/>
          <w:spacing w:val="2"/>
          <w:w w:val="104"/>
          <w:sz w:val="16"/>
        </w:rPr>
        <w:t>c</w:t>
      </w:r>
      <w:r>
        <w:rPr>
          <w:color w:val="231F20"/>
          <w:spacing w:val="-1"/>
          <w:w w:val="106"/>
          <w:sz w:val="16"/>
        </w:rPr>
        <w:t>a</w:t>
      </w:r>
      <w:r>
        <w:rPr>
          <w:color w:val="231F20"/>
          <w:spacing w:val="2"/>
          <w:w w:val="102"/>
          <w:sz w:val="16"/>
        </w:rPr>
        <w:t>t</w:t>
      </w:r>
      <w:r>
        <w:rPr>
          <w:color w:val="231F20"/>
          <w:w w:val="103"/>
          <w:sz w:val="16"/>
        </w:rPr>
        <w:t>i</w:t>
      </w:r>
      <w:r>
        <w:rPr>
          <w:color w:val="231F20"/>
          <w:w w:val="108"/>
          <w:sz w:val="16"/>
        </w:rPr>
        <w:t>o</w:t>
      </w:r>
      <w:r>
        <w:rPr>
          <w:color w:val="231F20"/>
          <w:spacing w:val="2"/>
          <w:w w:val="103"/>
          <w:sz w:val="16"/>
        </w:rPr>
        <w:t>n</w:t>
      </w:r>
      <w:r>
        <w:rPr>
          <w:color w:val="231F20"/>
          <w:spacing w:val="5"/>
          <w:w w:val="93"/>
          <w:sz w:val="16"/>
        </w:rPr>
        <w:t>s</w:t>
      </w:r>
      <w:r>
        <w:rPr>
          <w:color w:val="231F20"/>
          <w:spacing w:val="2"/>
          <w:w w:val="58"/>
          <w:sz w:val="16"/>
        </w:rPr>
        <w:t>/</w:t>
      </w:r>
      <w:r>
        <w:rPr>
          <w:color w:val="231F20"/>
          <w:w w:val="108"/>
          <w:sz w:val="16"/>
        </w:rPr>
        <w:t>j</w:t>
      </w:r>
      <w:r>
        <w:rPr>
          <w:color w:val="231F20"/>
          <w:w w:val="93"/>
          <w:sz w:val="16"/>
        </w:rPr>
        <w:t>s</w:t>
      </w:r>
      <w:r>
        <w:rPr>
          <w:color w:val="231F20"/>
          <w:w w:val="106"/>
          <w:sz w:val="16"/>
        </w:rPr>
        <w:t>o</w:t>
      </w:r>
      <w:r>
        <w:rPr>
          <w:color w:val="231F20"/>
          <w:spacing w:val="7"/>
          <w:w w:val="106"/>
          <w:sz w:val="16"/>
        </w:rPr>
        <w:t>u</w:t>
      </w:r>
      <w:r>
        <w:rPr>
          <w:color w:val="231F20"/>
          <w:w w:val="58"/>
          <w:sz w:val="16"/>
        </w:rPr>
        <w:t>/</w:t>
      </w:r>
    </w:p>
    <w:p w14:paraId="33544D5B" w14:textId="77777777" w:rsidR="002653E8" w:rsidRDefault="003115E3">
      <w:pPr>
        <w:spacing w:before="2" w:line="307" w:lineRule="auto"/>
        <w:ind w:left="1327" w:right="3272"/>
        <w:rPr>
          <w:sz w:val="16"/>
        </w:rPr>
      </w:pPr>
      <w:r>
        <w:rPr>
          <w:color w:val="231F20"/>
          <w:w w:val="105"/>
          <w:sz w:val="16"/>
        </w:rPr>
        <w:t xml:space="preserve">JSOU07-6turbivilleHuntingLeadershipTargets_final.pdf.   </w:t>
      </w:r>
      <w:r>
        <w:rPr>
          <w:color w:val="231F20"/>
          <w:w w:val="110"/>
          <w:sz w:val="16"/>
        </w:rPr>
        <w:t>9</w:t>
      </w:r>
      <w:r>
        <w:rPr>
          <w:color w:val="231F20"/>
          <w:spacing w:val="5"/>
          <w:w w:val="110"/>
          <w:sz w:val="16"/>
        </w:rPr>
        <w:t xml:space="preserve"> </w:t>
      </w:r>
      <w:r>
        <w:rPr>
          <w:color w:val="231F20"/>
          <w:w w:val="110"/>
          <w:sz w:val="16"/>
        </w:rPr>
        <w:t>Ibid.</w:t>
      </w:r>
    </w:p>
    <w:p w14:paraId="44287B4B" w14:textId="77777777" w:rsidR="002653E8" w:rsidRDefault="002653E8">
      <w:pPr>
        <w:spacing w:line="307" w:lineRule="auto"/>
        <w:rPr>
          <w:sz w:val="16"/>
        </w:rPr>
        <w:sectPr w:rsidR="002653E8">
          <w:footerReference w:type="even" r:id="rId476"/>
          <w:pgSz w:w="8640" w:h="12960"/>
          <w:pgMar w:top="1060" w:right="0" w:bottom="1040" w:left="0" w:header="0" w:footer="850" w:gutter="0"/>
          <w:cols w:space="720"/>
        </w:sectPr>
      </w:pPr>
    </w:p>
    <w:p w14:paraId="600EC0EA" w14:textId="77777777" w:rsidR="002653E8" w:rsidRDefault="002653E8">
      <w:pPr>
        <w:pStyle w:val="a3"/>
      </w:pPr>
    </w:p>
    <w:p w14:paraId="310BB497" w14:textId="77777777" w:rsidR="002653E8" w:rsidRDefault="002653E8">
      <w:pPr>
        <w:pStyle w:val="a3"/>
      </w:pPr>
    </w:p>
    <w:p w14:paraId="291BC7B1" w14:textId="77777777" w:rsidR="002653E8" w:rsidRDefault="002653E8">
      <w:pPr>
        <w:pStyle w:val="a3"/>
      </w:pPr>
    </w:p>
    <w:p w14:paraId="29C8AC0A" w14:textId="77777777" w:rsidR="002653E8" w:rsidRDefault="002653E8">
      <w:pPr>
        <w:pStyle w:val="a3"/>
      </w:pPr>
    </w:p>
    <w:p w14:paraId="127CD433" w14:textId="77777777" w:rsidR="002653E8" w:rsidRDefault="002653E8">
      <w:pPr>
        <w:pStyle w:val="a3"/>
      </w:pPr>
    </w:p>
    <w:p w14:paraId="59E576D3" w14:textId="77777777" w:rsidR="002653E8" w:rsidRDefault="002653E8">
      <w:pPr>
        <w:pStyle w:val="a3"/>
      </w:pPr>
    </w:p>
    <w:p w14:paraId="530C75BC" w14:textId="77777777" w:rsidR="002653E8" w:rsidRDefault="002653E8">
      <w:pPr>
        <w:pStyle w:val="a3"/>
      </w:pPr>
    </w:p>
    <w:p w14:paraId="200D9B85" w14:textId="77777777" w:rsidR="002653E8" w:rsidRDefault="002653E8">
      <w:pPr>
        <w:pStyle w:val="a3"/>
      </w:pPr>
    </w:p>
    <w:p w14:paraId="4513F836" w14:textId="77777777" w:rsidR="002653E8" w:rsidRDefault="002653E8">
      <w:pPr>
        <w:pStyle w:val="a3"/>
      </w:pPr>
    </w:p>
    <w:p w14:paraId="2A26009E" w14:textId="77777777" w:rsidR="002653E8" w:rsidRDefault="002653E8">
      <w:pPr>
        <w:pStyle w:val="a3"/>
      </w:pPr>
    </w:p>
    <w:p w14:paraId="0EF26E71" w14:textId="77777777" w:rsidR="002653E8" w:rsidRDefault="002653E8">
      <w:pPr>
        <w:pStyle w:val="a3"/>
      </w:pPr>
    </w:p>
    <w:p w14:paraId="05838BA5" w14:textId="77777777" w:rsidR="002653E8" w:rsidRDefault="002653E8">
      <w:pPr>
        <w:pStyle w:val="a3"/>
      </w:pPr>
    </w:p>
    <w:p w14:paraId="2290DAF6" w14:textId="77777777" w:rsidR="002653E8" w:rsidRDefault="002653E8">
      <w:pPr>
        <w:pStyle w:val="a3"/>
      </w:pPr>
    </w:p>
    <w:p w14:paraId="2A2CD4AD" w14:textId="77777777" w:rsidR="002653E8" w:rsidRDefault="002653E8">
      <w:pPr>
        <w:pStyle w:val="a3"/>
      </w:pPr>
    </w:p>
    <w:p w14:paraId="14E7CB5D" w14:textId="77777777" w:rsidR="002653E8" w:rsidRDefault="002653E8">
      <w:pPr>
        <w:pStyle w:val="a3"/>
      </w:pPr>
    </w:p>
    <w:p w14:paraId="1B717273" w14:textId="77777777" w:rsidR="002653E8" w:rsidRDefault="002653E8">
      <w:pPr>
        <w:pStyle w:val="a3"/>
      </w:pPr>
    </w:p>
    <w:p w14:paraId="6A405A13" w14:textId="77777777" w:rsidR="002653E8" w:rsidRDefault="002653E8">
      <w:pPr>
        <w:pStyle w:val="a3"/>
      </w:pPr>
    </w:p>
    <w:p w14:paraId="41CC82DD" w14:textId="77777777" w:rsidR="002653E8" w:rsidRDefault="002653E8">
      <w:pPr>
        <w:pStyle w:val="a3"/>
      </w:pPr>
    </w:p>
    <w:p w14:paraId="5DC52AB4" w14:textId="77777777" w:rsidR="002653E8" w:rsidRDefault="002653E8">
      <w:pPr>
        <w:pStyle w:val="a3"/>
      </w:pPr>
    </w:p>
    <w:p w14:paraId="70043419" w14:textId="77777777" w:rsidR="002653E8" w:rsidRDefault="002653E8">
      <w:pPr>
        <w:pStyle w:val="a3"/>
      </w:pPr>
    </w:p>
    <w:p w14:paraId="6C4F94D2" w14:textId="77777777" w:rsidR="002653E8" w:rsidRDefault="002653E8">
      <w:pPr>
        <w:pStyle w:val="a3"/>
      </w:pPr>
    </w:p>
    <w:p w14:paraId="440D324D" w14:textId="77777777" w:rsidR="002653E8" w:rsidRDefault="002653E8">
      <w:pPr>
        <w:pStyle w:val="a3"/>
      </w:pPr>
    </w:p>
    <w:p w14:paraId="494F911C" w14:textId="77777777" w:rsidR="002653E8" w:rsidRDefault="002653E8">
      <w:pPr>
        <w:pStyle w:val="a3"/>
      </w:pPr>
    </w:p>
    <w:p w14:paraId="0C7EB08C" w14:textId="77777777" w:rsidR="002653E8" w:rsidRDefault="002653E8">
      <w:pPr>
        <w:pStyle w:val="a3"/>
      </w:pPr>
    </w:p>
    <w:p w14:paraId="7347A85F" w14:textId="77777777" w:rsidR="002653E8" w:rsidRDefault="002653E8">
      <w:pPr>
        <w:pStyle w:val="a3"/>
      </w:pPr>
    </w:p>
    <w:p w14:paraId="1F134996" w14:textId="77777777" w:rsidR="002653E8" w:rsidRDefault="002653E8">
      <w:pPr>
        <w:pStyle w:val="a3"/>
      </w:pPr>
    </w:p>
    <w:p w14:paraId="41FAC9BF" w14:textId="77777777" w:rsidR="002653E8" w:rsidRDefault="002653E8">
      <w:pPr>
        <w:pStyle w:val="a3"/>
      </w:pPr>
    </w:p>
    <w:p w14:paraId="4D1A7E73" w14:textId="77777777" w:rsidR="002653E8" w:rsidRDefault="002653E8">
      <w:pPr>
        <w:pStyle w:val="a3"/>
      </w:pPr>
    </w:p>
    <w:p w14:paraId="0C71E85C" w14:textId="77777777" w:rsidR="002653E8" w:rsidRDefault="002653E8">
      <w:pPr>
        <w:pStyle w:val="a3"/>
      </w:pPr>
    </w:p>
    <w:p w14:paraId="08EBB817" w14:textId="77777777" w:rsidR="002653E8" w:rsidRDefault="002653E8">
      <w:pPr>
        <w:pStyle w:val="a3"/>
      </w:pPr>
    </w:p>
    <w:p w14:paraId="5601F357" w14:textId="77777777" w:rsidR="002653E8" w:rsidRDefault="002653E8">
      <w:pPr>
        <w:pStyle w:val="a3"/>
      </w:pPr>
    </w:p>
    <w:p w14:paraId="23E13829" w14:textId="77777777" w:rsidR="002653E8" w:rsidRDefault="002653E8">
      <w:pPr>
        <w:pStyle w:val="a3"/>
      </w:pPr>
    </w:p>
    <w:p w14:paraId="1234316C" w14:textId="77777777" w:rsidR="002653E8" w:rsidRDefault="002653E8">
      <w:pPr>
        <w:pStyle w:val="a3"/>
      </w:pPr>
    </w:p>
    <w:p w14:paraId="7758BC5F" w14:textId="77777777" w:rsidR="002653E8" w:rsidRDefault="002653E8">
      <w:pPr>
        <w:pStyle w:val="a3"/>
      </w:pPr>
    </w:p>
    <w:p w14:paraId="223F74EF" w14:textId="77777777" w:rsidR="002653E8" w:rsidRDefault="002653E8">
      <w:pPr>
        <w:pStyle w:val="a3"/>
      </w:pPr>
    </w:p>
    <w:p w14:paraId="7775C85E" w14:textId="77777777" w:rsidR="002653E8" w:rsidRDefault="002653E8">
      <w:pPr>
        <w:pStyle w:val="a3"/>
      </w:pPr>
    </w:p>
    <w:p w14:paraId="7C94AC4A" w14:textId="77777777" w:rsidR="002653E8" w:rsidRDefault="002653E8">
      <w:pPr>
        <w:pStyle w:val="a3"/>
      </w:pPr>
    </w:p>
    <w:p w14:paraId="6EA293AF" w14:textId="77777777" w:rsidR="002653E8" w:rsidRDefault="002653E8">
      <w:pPr>
        <w:pStyle w:val="a3"/>
      </w:pPr>
    </w:p>
    <w:p w14:paraId="6E0883B4" w14:textId="77777777" w:rsidR="002653E8" w:rsidRDefault="002653E8">
      <w:pPr>
        <w:pStyle w:val="a3"/>
      </w:pPr>
    </w:p>
    <w:p w14:paraId="57B17638" w14:textId="77777777" w:rsidR="002653E8" w:rsidRDefault="002653E8">
      <w:pPr>
        <w:pStyle w:val="a3"/>
      </w:pPr>
    </w:p>
    <w:p w14:paraId="4E11167D" w14:textId="77777777" w:rsidR="002653E8" w:rsidRDefault="002653E8">
      <w:pPr>
        <w:pStyle w:val="a3"/>
      </w:pPr>
    </w:p>
    <w:p w14:paraId="00989294" w14:textId="77777777" w:rsidR="002653E8" w:rsidRDefault="002653E8">
      <w:pPr>
        <w:pStyle w:val="a3"/>
      </w:pPr>
    </w:p>
    <w:p w14:paraId="783BF115" w14:textId="77777777" w:rsidR="002653E8" w:rsidRDefault="002653E8">
      <w:pPr>
        <w:pStyle w:val="a3"/>
      </w:pPr>
    </w:p>
    <w:p w14:paraId="2E9CB11C" w14:textId="77777777" w:rsidR="002653E8" w:rsidRDefault="002653E8">
      <w:pPr>
        <w:pStyle w:val="a3"/>
      </w:pPr>
    </w:p>
    <w:p w14:paraId="4C435590" w14:textId="77777777" w:rsidR="002653E8" w:rsidRDefault="002653E8">
      <w:pPr>
        <w:pStyle w:val="a3"/>
        <w:spacing w:before="7"/>
        <w:rPr>
          <w:sz w:val="23"/>
        </w:rPr>
      </w:pPr>
    </w:p>
    <w:p w14:paraId="4E365FB6" w14:textId="77777777" w:rsidR="002653E8" w:rsidRDefault="003115E3">
      <w:pPr>
        <w:spacing w:before="99"/>
        <w:ind w:left="1147"/>
        <w:rPr>
          <w:sz w:val="18"/>
        </w:rPr>
      </w:pPr>
      <w:r>
        <w:rPr>
          <w:color w:val="231F20"/>
          <w:sz w:val="18"/>
        </w:rPr>
        <w:t xml:space="preserve">562 </w:t>
      </w:r>
    </w:p>
    <w:p w14:paraId="1702A043" w14:textId="77777777" w:rsidR="002653E8" w:rsidRDefault="002653E8">
      <w:pPr>
        <w:rPr>
          <w:sz w:val="18"/>
        </w:rPr>
        <w:sectPr w:rsidR="002653E8">
          <w:footerReference w:type="default" r:id="rId477"/>
          <w:pgSz w:w="8640" w:h="12960"/>
          <w:pgMar w:top="1220" w:right="0" w:bottom="280" w:left="0" w:header="0" w:footer="0" w:gutter="0"/>
          <w:cols w:space="720"/>
        </w:sectPr>
      </w:pPr>
    </w:p>
    <w:p w14:paraId="5ACAE755" w14:textId="77777777" w:rsidR="002653E8" w:rsidRDefault="003115E3">
      <w:pPr>
        <w:pStyle w:val="3"/>
        <w:ind w:left="3131"/>
      </w:pPr>
      <w:bookmarkStart w:id="277" w:name="Dramatis_Personae__"/>
      <w:bookmarkStart w:id="278" w:name="_bookmark90"/>
      <w:bookmarkEnd w:id="277"/>
      <w:bookmarkEnd w:id="278"/>
      <w:r>
        <w:rPr>
          <w:color w:val="231F20"/>
          <w:w w:val="105"/>
        </w:rPr>
        <w:lastRenderedPageBreak/>
        <w:t>Dramatis Personae</w:t>
      </w:r>
    </w:p>
    <w:p w14:paraId="35197C2D" w14:textId="77777777" w:rsidR="002653E8" w:rsidRDefault="002653E8">
      <w:pPr>
        <w:pStyle w:val="a3"/>
        <w:rPr>
          <w:rFonts w:ascii="Calibri"/>
          <w:b/>
          <w:i/>
          <w:sz w:val="31"/>
        </w:rPr>
      </w:pPr>
    </w:p>
    <w:p w14:paraId="2DBD8B16" w14:textId="77777777" w:rsidR="002653E8" w:rsidRDefault="003115E3">
      <w:pPr>
        <w:spacing w:line="276" w:lineRule="auto"/>
        <w:ind w:left="1327" w:right="1825"/>
        <w:rPr>
          <w:sz w:val="19"/>
        </w:rPr>
      </w:pPr>
      <w:r>
        <w:rPr>
          <w:i/>
          <w:color w:val="231F20"/>
          <w:w w:val="105"/>
          <w:sz w:val="19"/>
        </w:rPr>
        <w:t xml:space="preserve">Adenauer, Konrad: </w:t>
      </w:r>
      <w:r>
        <w:rPr>
          <w:color w:val="231F20"/>
          <w:w w:val="105"/>
          <w:sz w:val="19"/>
        </w:rPr>
        <w:t>1876-1967; 1945, founding member of CDU; 1949, Federal Chairman of the CDU; 1949-1963, Chancellor; 1951-1955, also Minister of Foreign Affairs.</w:t>
      </w:r>
    </w:p>
    <w:p w14:paraId="5B8DA26F" w14:textId="77777777" w:rsidR="002653E8" w:rsidRDefault="003115E3">
      <w:pPr>
        <w:spacing w:before="128" w:line="276" w:lineRule="auto"/>
        <w:ind w:left="1327" w:right="1145"/>
        <w:rPr>
          <w:sz w:val="19"/>
        </w:rPr>
      </w:pPr>
      <w:r>
        <w:rPr>
          <w:i/>
          <w:color w:val="231F20"/>
          <w:w w:val="105"/>
          <w:sz w:val="19"/>
        </w:rPr>
        <w:t xml:space="preserve">Akache, Zohair: </w:t>
      </w:r>
      <w:r>
        <w:rPr>
          <w:color w:val="231F20"/>
          <w:w w:val="105"/>
          <w:sz w:val="19"/>
        </w:rPr>
        <w:t>1954-1977; member of the PFLP-EO; killed during the Mogadishu action.</w:t>
      </w:r>
    </w:p>
    <w:p w14:paraId="639D5530" w14:textId="77777777" w:rsidR="002653E8" w:rsidRDefault="003115E3">
      <w:pPr>
        <w:spacing w:before="127" w:line="276" w:lineRule="auto"/>
        <w:ind w:left="1327" w:right="1078"/>
        <w:rPr>
          <w:sz w:val="19"/>
        </w:rPr>
      </w:pPr>
      <w:r>
        <w:rPr>
          <w:i/>
          <w:color w:val="231F20"/>
          <w:w w:val="105"/>
          <w:sz w:val="19"/>
        </w:rPr>
        <w:t xml:space="preserve">Albertz, Heinrich: </w:t>
      </w:r>
      <w:r>
        <w:rPr>
          <w:color w:val="231F20"/>
          <w:w w:val="105"/>
          <w:sz w:val="19"/>
        </w:rPr>
        <w:t>1915-1993; clergyman; 1966-1967, Mayor of West Berlin, forced to resign in wake of Benno Ohnesorg killing; as requested by 2JM, accompanied the guerillas released in exchange for Peter Lorenz in 1974.</w:t>
      </w:r>
    </w:p>
    <w:p w14:paraId="25D9FC9D" w14:textId="77777777" w:rsidR="002653E8" w:rsidRDefault="003115E3">
      <w:pPr>
        <w:spacing w:before="128" w:line="276" w:lineRule="auto"/>
        <w:ind w:left="1327" w:right="1426"/>
        <w:jc w:val="both"/>
        <w:rPr>
          <w:sz w:val="19"/>
        </w:rPr>
      </w:pPr>
      <w:r>
        <w:rPr>
          <w:i/>
          <w:color w:val="231F20"/>
          <w:w w:val="105"/>
          <w:sz w:val="19"/>
        </w:rPr>
        <w:t xml:space="preserve">Albrecht, Susanne: </w:t>
      </w:r>
      <w:r>
        <w:rPr>
          <w:color w:val="231F20"/>
          <w:w w:val="105"/>
          <w:sz w:val="19"/>
        </w:rPr>
        <w:t xml:space="preserve">b. 1951; 1976, joined the </w:t>
      </w:r>
      <w:r w:rsidR="00C507A5">
        <w:rPr>
          <w:color w:val="231F20"/>
          <w:w w:val="105"/>
          <w:sz w:val="19"/>
        </w:rPr>
        <w:t>red army faction</w:t>
      </w:r>
      <w:r>
        <w:rPr>
          <w:color w:val="231F20"/>
          <w:w w:val="105"/>
          <w:sz w:val="19"/>
        </w:rPr>
        <w:t xml:space="preserve">; 1980, left the </w:t>
      </w:r>
      <w:r w:rsidR="00C507A5">
        <w:rPr>
          <w:color w:val="231F20"/>
          <w:w w:val="105"/>
          <w:sz w:val="19"/>
        </w:rPr>
        <w:t>red army faction</w:t>
      </w:r>
      <w:r>
        <w:rPr>
          <w:color w:val="231F20"/>
          <w:w w:val="105"/>
          <w:sz w:val="19"/>
        </w:rPr>
        <w:t xml:space="preserve"> and received asylum in the GDR; 1990, arrested and cooperated with police and prosecutors; 1996, released from prison.</w:t>
      </w:r>
    </w:p>
    <w:p w14:paraId="36BCD546" w14:textId="77777777" w:rsidR="002653E8" w:rsidRDefault="003115E3">
      <w:pPr>
        <w:spacing w:before="127"/>
        <w:ind w:left="1327"/>
        <w:rPr>
          <w:sz w:val="19"/>
        </w:rPr>
      </w:pPr>
      <w:r>
        <w:rPr>
          <w:i/>
          <w:color w:val="231F20"/>
          <w:w w:val="105"/>
          <w:sz w:val="19"/>
        </w:rPr>
        <w:t xml:space="preserve">Allnach, Kay-Werner: </w:t>
      </w:r>
      <w:r>
        <w:rPr>
          <w:color w:val="231F20"/>
          <w:w w:val="105"/>
          <w:sz w:val="19"/>
        </w:rPr>
        <w:t xml:space="preserve">Member of the </w:t>
      </w:r>
      <w:r w:rsidR="00C507A5">
        <w:rPr>
          <w:color w:val="231F20"/>
          <w:w w:val="105"/>
          <w:sz w:val="19"/>
        </w:rPr>
        <w:t>red army faction</w:t>
      </w:r>
      <w:r>
        <w:rPr>
          <w:color w:val="231F20"/>
          <w:w w:val="105"/>
          <w:sz w:val="19"/>
        </w:rPr>
        <w:t>; 1974, arrested.</w:t>
      </w:r>
    </w:p>
    <w:p w14:paraId="054EA7CA" w14:textId="77777777" w:rsidR="002653E8" w:rsidRDefault="003115E3">
      <w:pPr>
        <w:spacing w:before="161" w:line="276" w:lineRule="auto"/>
        <w:ind w:left="1327" w:right="1140"/>
        <w:rPr>
          <w:sz w:val="19"/>
        </w:rPr>
      </w:pPr>
      <w:r>
        <w:rPr>
          <w:i/>
          <w:color w:val="231F20"/>
          <w:w w:val="105"/>
          <w:sz w:val="19"/>
        </w:rPr>
        <w:t xml:space="preserve">Andrawes, Souhaila: </w:t>
      </w:r>
      <w:r>
        <w:rPr>
          <w:color w:val="231F20"/>
          <w:w w:val="105"/>
          <w:sz w:val="19"/>
        </w:rPr>
        <w:t>b. 1953; 1977, injured and arrested during the Mogadishu action; 1978, sentenced to twenty years in prison in Somalia; 1980, pardoned; 1991, moved to Norway; 1994, arrested; 1995, extradited to Germany and sentenced to twelve years; 1997, transferred to Norway to complete her sentence; 1999, released from prison on health grounds.</w:t>
      </w:r>
    </w:p>
    <w:p w14:paraId="35879D31" w14:textId="77777777" w:rsidR="002653E8" w:rsidRDefault="003115E3">
      <w:pPr>
        <w:spacing w:before="127" w:line="276" w:lineRule="auto"/>
        <w:ind w:left="1327" w:right="1145"/>
        <w:rPr>
          <w:sz w:val="19"/>
        </w:rPr>
      </w:pPr>
      <w:r>
        <w:rPr>
          <w:i/>
          <w:color w:val="231F20"/>
          <w:w w:val="105"/>
          <w:sz w:val="19"/>
        </w:rPr>
        <w:t xml:space="preserve">Asdonk, Brigitte: </w:t>
      </w:r>
      <w:r>
        <w:rPr>
          <w:color w:val="231F20"/>
          <w:w w:val="105"/>
          <w:sz w:val="19"/>
        </w:rPr>
        <w:t xml:space="preserve">b. 1949; founding member of the </w:t>
      </w:r>
      <w:r w:rsidR="00C507A5">
        <w:rPr>
          <w:color w:val="231F20"/>
          <w:w w:val="105"/>
          <w:sz w:val="19"/>
        </w:rPr>
        <w:t>red army faction</w:t>
      </w:r>
      <w:r>
        <w:rPr>
          <w:color w:val="231F20"/>
          <w:w w:val="105"/>
          <w:sz w:val="19"/>
        </w:rPr>
        <w:t>; 1970, arrested; 1982, released from prison.</w:t>
      </w:r>
    </w:p>
    <w:p w14:paraId="2EA62C1B" w14:textId="77777777" w:rsidR="002653E8" w:rsidRDefault="003115E3">
      <w:pPr>
        <w:spacing w:before="128" w:line="276" w:lineRule="auto"/>
        <w:ind w:left="1327" w:right="2067" w:hanging="1"/>
        <w:rPr>
          <w:sz w:val="19"/>
        </w:rPr>
      </w:pPr>
      <w:r>
        <w:rPr>
          <w:i/>
          <w:color w:val="231F20"/>
          <w:w w:val="105"/>
          <w:sz w:val="19"/>
        </w:rPr>
        <w:t xml:space="preserve">Augustin, Ronald: </w:t>
      </w:r>
      <w:r>
        <w:rPr>
          <w:color w:val="231F20"/>
          <w:w w:val="105"/>
          <w:sz w:val="19"/>
        </w:rPr>
        <w:t xml:space="preserve">b. 1949; Dutch citizen; 1971, joined </w:t>
      </w:r>
      <w:r w:rsidR="00C507A5">
        <w:rPr>
          <w:color w:val="231F20"/>
          <w:w w:val="105"/>
          <w:sz w:val="19"/>
        </w:rPr>
        <w:t>red army faction</w:t>
      </w:r>
      <w:r>
        <w:rPr>
          <w:color w:val="231F20"/>
          <w:w w:val="105"/>
          <w:sz w:val="19"/>
        </w:rPr>
        <w:t>; 1973, arrested; 1980, released from prison.</w:t>
      </w:r>
    </w:p>
    <w:p w14:paraId="37F6D057" w14:textId="77777777" w:rsidR="002653E8" w:rsidRDefault="003115E3">
      <w:pPr>
        <w:spacing w:before="128"/>
        <w:ind w:left="1327"/>
        <w:rPr>
          <w:sz w:val="19"/>
        </w:rPr>
      </w:pPr>
      <w:r>
        <w:rPr>
          <w:i/>
          <w:color w:val="231F20"/>
          <w:w w:val="110"/>
          <w:sz w:val="19"/>
        </w:rPr>
        <w:t xml:space="preserve">Aust, Stefan: </w:t>
      </w:r>
      <w:r>
        <w:rPr>
          <w:color w:val="231F20"/>
          <w:w w:val="110"/>
          <w:sz w:val="19"/>
        </w:rPr>
        <w:t xml:space="preserve">b. 1946; journalist; 1994-2008, Editor-in Chief of </w:t>
      </w:r>
      <w:r>
        <w:rPr>
          <w:i/>
          <w:color w:val="231F20"/>
          <w:w w:val="110"/>
          <w:sz w:val="19"/>
        </w:rPr>
        <w:t>Spiegel</w:t>
      </w:r>
      <w:r>
        <w:rPr>
          <w:color w:val="231F20"/>
          <w:w w:val="110"/>
          <w:sz w:val="19"/>
        </w:rPr>
        <w:t>.</w:t>
      </w:r>
    </w:p>
    <w:p w14:paraId="12A36CDB" w14:textId="77777777" w:rsidR="002653E8" w:rsidRDefault="003115E3">
      <w:pPr>
        <w:spacing w:before="161" w:line="276" w:lineRule="auto"/>
        <w:ind w:left="1327" w:right="1513" w:hanging="1"/>
        <w:rPr>
          <w:sz w:val="19"/>
        </w:rPr>
      </w:pPr>
      <w:r>
        <w:rPr>
          <w:i/>
          <w:color w:val="231F20"/>
          <w:w w:val="105"/>
          <w:sz w:val="19"/>
        </w:rPr>
        <w:t xml:space="preserve">Azzola, Axel: </w:t>
      </w:r>
      <w:r>
        <w:rPr>
          <w:color w:val="231F20"/>
          <w:w w:val="105"/>
          <w:sz w:val="19"/>
        </w:rPr>
        <w:t xml:space="preserve">lawyer for </w:t>
      </w:r>
      <w:r w:rsidR="00C507A5">
        <w:rPr>
          <w:color w:val="231F20"/>
          <w:w w:val="105"/>
          <w:sz w:val="19"/>
        </w:rPr>
        <w:t>red army faction</w:t>
      </w:r>
      <w:r>
        <w:rPr>
          <w:color w:val="231F20"/>
          <w:w w:val="105"/>
          <w:sz w:val="19"/>
        </w:rPr>
        <w:t xml:space="preserve"> prisoners; in 1976, following Meinhof’s murder, he resigned his mandate claiming he feared for his life.</w:t>
      </w:r>
    </w:p>
    <w:p w14:paraId="2293B978" w14:textId="77777777" w:rsidR="002653E8" w:rsidRDefault="003115E3">
      <w:pPr>
        <w:spacing w:before="128" w:line="276" w:lineRule="auto"/>
        <w:ind w:left="1327" w:right="1145"/>
        <w:rPr>
          <w:sz w:val="19"/>
        </w:rPr>
      </w:pPr>
      <w:r>
        <w:rPr>
          <w:i/>
          <w:color w:val="231F20"/>
          <w:w w:val="105"/>
          <w:sz w:val="19"/>
        </w:rPr>
        <w:t xml:space="preserve">Baader, Andreas: </w:t>
      </w:r>
      <w:r>
        <w:rPr>
          <w:color w:val="231F20"/>
          <w:w w:val="105"/>
          <w:sz w:val="19"/>
        </w:rPr>
        <w:t xml:space="preserve">1943-1977; participated in the 1968 Frankfurt department store arsons; founding member of the </w:t>
      </w:r>
      <w:r w:rsidR="00C507A5">
        <w:rPr>
          <w:color w:val="231F20"/>
          <w:w w:val="105"/>
          <w:sz w:val="19"/>
        </w:rPr>
        <w:t>red army faction</w:t>
      </w:r>
      <w:r>
        <w:rPr>
          <w:color w:val="231F20"/>
          <w:w w:val="105"/>
          <w:sz w:val="19"/>
        </w:rPr>
        <w:t>; 1972, arrested following May Offensive; 1977, killed in prison during the events of the German Autumn.</w:t>
      </w:r>
    </w:p>
    <w:p w14:paraId="183EF502" w14:textId="77777777" w:rsidR="002653E8" w:rsidRDefault="002653E8">
      <w:pPr>
        <w:spacing w:line="276" w:lineRule="auto"/>
        <w:rPr>
          <w:sz w:val="19"/>
        </w:rPr>
        <w:sectPr w:rsidR="002653E8">
          <w:footerReference w:type="even" r:id="rId478"/>
          <w:footerReference w:type="default" r:id="rId479"/>
          <w:pgSz w:w="8640" w:h="12960"/>
          <w:pgMar w:top="1220" w:right="0" w:bottom="1040" w:left="0" w:header="0" w:footer="850" w:gutter="0"/>
          <w:cols w:space="720"/>
        </w:sectPr>
      </w:pPr>
    </w:p>
    <w:p w14:paraId="4249FAFC" w14:textId="77777777" w:rsidR="002653E8" w:rsidRDefault="003115E3">
      <w:pPr>
        <w:spacing w:before="75" w:line="276" w:lineRule="auto"/>
        <w:ind w:left="1147" w:right="1971"/>
        <w:rPr>
          <w:sz w:val="19"/>
        </w:rPr>
      </w:pPr>
      <w:r>
        <w:rPr>
          <w:i/>
          <w:color w:val="231F20"/>
          <w:spacing w:val="-4"/>
          <w:w w:val="105"/>
          <w:sz w:val="19"/>
        </w:rPr>
        <w:lastRenderedPageBreak/>
        <w:t xml:space="preserve">Bäcker, </w:t>
      </w:r>
      <w:r>
        <w:rPr>
          <w:i/>
          <w:color w:val="231F20"/>
          <w:w w:val="105"/>
          <w:sz w:val="19"/>
        </w:rPr>
        <w:t xml:space="preserve">Hans-Jürgen: </w:t>
      </w:r>
      <w:r>
        <w:rPr>
          <w:color w:val="231F20"/>
          <w:w w:val="105"/>
          <w:sz w:val="19"/>
        </w:rPr>
        <w:t xml:space="preserve">b. 1939; founding member of the </w:t>
      </w:r>
      <w:r w:rsidR="00C507A5">
        <w:rPr>
          <w:color w:val="231F20"/>
          <w:w w:val="105"/>
          <w:sz w:val="19"/>
        </w:rPr>
        <w:t>red army faction</w:t>
      </w:r>
      <w:r>
        <w:rPr>
          <w:color w:val="231F20"/>
          <w:w w:val="105"/>
          <w:sz w:val="19"/>
        </w:rPr>
        <w:t xml:space="preserve">; 1970, suspected of acting as a police informant, broke with the </w:t>
      </w:r>
      <w:r w:rsidR="00C507A5">
        <w:rPr>
          <w:color w:val="231F20"/>
          <w:w w:val="105"/>
          <w:sz w:val="19"/>
        </w:rPr>
        <w:t>red army faction</w:t>
      </w:r>
      <w:r>
        <w:rPr>
          <w:color w:val="231F20"/>
          <w:w w:val="105"/>
          <w:sz w:val="19"/>
        </w:rPr>
        <w:t>; 1971, arrested, charged with the 1970 liberation of Baader; 1974,</w:t>
      </w:r>
      <w:r>
        <w:rPr>
          <w:color w:val="231F20"/>
          <w:spacing w:val="1"/>
          <w:w w:val="105"/>
          <w:sz w:val="19"/>
        </w:rPr>
        <w:t xml:space="preserve"> </w:t>
      </w:r>
      <w:r>
        <w:rPr>
          <w:color w:val="231F20"/>
          <w:w w:val="105"/>
          <w:sz w:val="19"/>
        </w:rPr>
        <w:t>acquitted.</w:t>
      </w:r>
    </w:p>
    <w:p w14:paraId="2B2E644C" w14:textId="77777777" w:rsidR="002653E8" w:rsidRDefault="003115E3">
      <w:pPr>
        <w:spacing w:before="127" w:line="276" w:lineRule="auto"/>
        <w:ind w:left="1147" w:right="1580" w:hanging="1"/>
        <w:rPr>
          <w:sz w:val="19"/>
        </w:rPr>
      </w:pPr>
      <w:r>
        <w:rPr>
          <w:i/>
          <w:color w:val="231F20"/>
          <w:w w:val="105"/>
          <w:sz w:val="19"/>
        </w:rPr>
        <w:t xml:space="preserve">Barz, Ingeborg: </w:t>
      </w:r>
      <w:r>
        <w:rPr>
          <w:color w:val="231F20"/>
          <w:w w:val="105"/>
          <w:sz w:val="19"/>
        </w:rPr>
        <w:t xml:space="preserve">b. 1948; founding member of the </w:t>
      </w:r>
      <w:r w:rsidR="00C507A5">
        <w:rPr>
          <w:color w:val="231F20"/>
          <w:w w:val="105"/>
          <w:sz w:val="19"/>
        </w:rPr>
        <w:t>red army faction</w:t>
      </w:r>
      <w:r>
        <w:rPr>
          <w:color w:val="231F20"/>
          <w:w w:val="105"/>
          <w:sz w:val="19"/>
        </w:rPr>
        <w:t xml:space="preserve">; 1972, left the </w:t>
      </w:r>
      <w:r w:rsidR="00C507A5">
        <w:rPr>
          <w:color w:val="231F20"/>
          <w:w w:val="105"/>
          <w:sz w:val="19"/>
        </w:rPr>
        <w:t>red army faction</w:t>
      </w:r>
      <w:r>
        <w:rPr>
          <w:color w:val="231F20"/>
          <w:w w:val="105"/>
          <w:sz w:val="19"/>
        </w:rPr>
        <w:t>, but was never seen again; presumed dead.</w:t>
      </w:r>
    </w:p>
    <w:p w14:paraId="2DCA8DC7" w14:textId="77777777" w:rsidR="002653E8" w:rsidRDefault="003115E3">
      <w:pPr>
        <w:spacing w:before="128" w:line="276" w:lineRule="auto"/>
        <w:ind w:left="1147" w:right="1427"/>
        <w:rPr>
          <w:sz w:val="19"/>
        </w:rPr>
      </w:pPr>
      <w:r>
        <w:rPr>
          <w:i/>
          <w:color w:val="231F20"/>
          <w:w w:val="105"/>
          <w:sz w:val="19"/>
        </w:rPr>
        <w:t xml:space="preserve">Baumann, Michael “Bommi”: </w:t>
      </w:r>
      <w:r>
        <w:rPr>
          <w:color w:val="231F20"/>
          <w:w w:val="105"/>
          <w:sz w:val="19"/>
        </w:rPr>
        <w:t xml:space="preserve">b. 1948; founding member of the 2JM; 1975, broke with guerilla politics in his autobiography </w:t>
      </w:r>
      <w:r>
        <w:rPr>
          <w:i/>
          <w:color w:val="231F20"/>
          <w:w w:val="105"/>
          <w:sz w:val="19"/>
        </w:rPr>
        <w:t xml:space="preserve">Wie alles Anfing </w:t>
      </w:r>
      <w:r>
        <w:rPr>
          <w:color w:val="231F20"/>
          <w:w w:val="105"/>
          <w:sz w:val="19"/>
        </w:rPr>
        <w:t>(</w:t>
      </w:r>
      <w:r>
        <w:rPr>
          <w:i/>
          <w:color w:val="231F20"/>
          <w:w w:val="105"/>
          <w:sz w:val="19"/>
        </w:rPr>
        <w:t xml:space="preserve">Terror or Love? </w:t>
      </w:r>
      <w:r>
        <w:rPr>
          <w:color w:val="231F20"/>
          <w:w w:val="105"/>
          <w:sz w:val="19"/>
        </w:rPr>
        <w:t>in English translation); 1981, arrested in London and extradited to West Germany, sentenced to five years.</w:t>
      </w:r>
    </w:p>
    <w:p w14:paraId="4EADE0C9" w14:textId="77777777" w:rsidR="002653E8" w:rsidRDefault="003115E3">
      <w:pPr>
        <w:spacing w:before="127" w:line="276" w:lineRule="auto"/>
        <w:ind w:left="1147" w:right="1479"/>
        <w:rPr>
          <w:sz w:val="19"/>
        </w:rPr>
      </w:pPr>
      <w:r>
        <w:rPr>
          <w:i/>
          <w:color w:val="231F20"/>
          <w:w w:val="105"/>
          <w:sz w:val="19"/>
        </w:rPr>
        <w:t xml:space="preserve">Becker, Eberhard: </w:t>
      </w:r>
      <w:r>
        <w:rPr>
          <w:color w:val="231F20"/>
          <w:w w:val="105"/>
          <w:sz w:val="19"/>
        </w:rPr>
        <w:t xml:space="preserve">SPK attorney arrested at </w:t>
      </w:r>
      <w:r w:rsidR="00C507A5">
        <w:rPr>
          <w:color w:val="231F20"/>
          <w:w w:val="105"/>
          <w:sz w:val="19"/>
        </w:rPr>
        <w:t>red army faction</w:t>
      </w:r>
      <w:r>
        <w:rPr>
          <w:color w:val="231F20"/>
          <w:w w:val="105"/>
          <w:sz w:val="19"/>
        </w:rPr>
        <w:t xml:space="preserve"> safehouse in Hamburg on February 4, 1974.</w:t>
      </w:r>
    </w:p>
    <w:p w14:paraId="7F956285" w14:textId="77777777" w:rsidR="002653E8" w:rsidRDefault="003115E3">
      <w:pPr>
        <w:spacing w:before="128"/>
        <w:ind w:left="1147"/>
        <w:rPr>
          <w:sz w:val="19"/>
        </w:rPr>
      </w:pPr>
      <w:r>
        <w:rPr>
          <w:i/>
          <w:color w:val="231F20"/>
          <w:w w:val="105"/>
          <w:sz w:val="19"/>
        </w:rPr>
        <w:t xml:space="preserve">Becker, Verena: </w:t>
      </w:r>
      <w:r>
        <w:rPr>
          <w:color w:val="231F20"/>
          <w:w w:val="105"/>
          <w:sz w:val="19"/>
        </w:rPr>
        <w:t>b. 1953; 2JM member, received a six year sentence</w:t>
      </w:r>
    </w:p>
    <w:p w14:paraId="20F190EA" w14:textId="77777777" w:rsidR="002653E8" w:rsidRDefault="003115E3">
      <w:pPr>
        <w:spacing w:before="33" w:line="276" w:lineRule="auto"/>
        <w:ind w:left="1147" w:right="1530"/>
        <w:rPr>
          <w:sz w:val="19"/>
        </w:rPr>
      </w:pPr>
      <w:r>
        <w:rPr>
          <w:color w:val="231F20"/>
          <w:w w:val="105"/>
          <w:sz w:val="19"/>
        </w:rPr>
        <w:t xml:space="preserve">in 1974; 1975, released from prison as part of a prisoner exchange for CDU politician Peter Lorenz who had been kidnapped by the 2JM, joined the </w:t>
      </w:r>
      <w:r w:rsidR="00C507A5">
        <w:rPr>
          <w:color w:val="231F20"/>
          <w:w w:val="105"/>
          <w:sz w:val="19"/>
        </w:rPr>
        <w:t>red army faction</w:t>
      </w:r>
      <w:r>
        <w:rPr>
          <w:color w:val="231F20"/>
          <w:w w:val="105"/>
          <w:sz w:val="19"/>
        </w:rPr>
        <w:t xml:space="preserve"> before 1977; 1977, arrested, broke with the </w:t>
      </w:r>
      <w:r w:rsidR="00C507A5">
        <w:rPr>
          <w:color w:val="231F20"/>
          <w:w w:val="105"/>
          <w:sz w:val="19"/>
        </w:rPr>
        <w:t>red army faction</w:t>
      </w:r>
      <w:r>
        <w:rPr>
          <w:color w:val="231F20"/>
          <w:w w:val="105"/>
          <w:sz w:val="19"/>
        </w:rPr>
        <w:t xml:space="preserve"> in prison and cooperated with police and prosecutors; 1989, pardoned.</w:t>
      </w:r>
    </w:p>
    <w:p w14:paraId="6E511994" w14:textId="77777777" w:rsidR="002653E8" w:rsidRDefault="003115E3">
      <w:pPr>
        <w:spacing w:before="128" w:line="276" w:lineRule="auto"/>
        <w:ind w:left="1147" w:right="2067"/>
        <w:rPr>
          <w:sz w:val="19"/>
        </w:rPr>
      </w:pPr>
      <w:r>
        <w:rPr>
          <w:i/>
          <w:color w:val="231F20"/>
          <w:w w:val="105"/>
          <w:sz w:val="19"/>
        </w:rPr>
        <w:t xml:space="preserve">Beer, Henning: </w:t>
      </w:r>
      <w:r>
        <w:rPr>
          <w:color w:val="231F20"/>
          <w:w w:val="105"/>
          <w:sz w:val="19"/>
        </w:rPr>
        <w:t xml:space="preserve">b. 1959; brother of Wolfgang Beer; 1978, joined the </w:t>
      </w:r>
      <w:r w:rsidR="00C507A5">
        <w:rPr>
          <w:color w:val="231F20"/>
          <w:w w:val="105"/>
          <w:sz w:val="19"/>
        </w:rPr>
        <w:t>red army faction</w:t>
      </w:r>
      <w:r>
        <w:rPr>
          <w:color w:val="231F20"/>
          <w:w w:val="105"/>
          <w:sz w:val="19"/>
        </w:rPr>
        <w:t xml:space="preserve">; 1980, left the </w:t>
      </w:r>
      <w:r w:rsidR="00C507A5">
        <w:rPr>
          <w:color w:val="231F20"/>
          <w:w w:val="105"/>
          <w:sz w:val="19"/>
        </w:rPr>
        <w:t>red army faction</w:t>
      </w:r>
      <w:r>
        <w:rPr>
          <w:color w:val="231F20"/>
          <w:w w:val="105"/>
          <w:sz w:val="19"/>
        </w:rPr>
        <w:t xml:space="preserve"> and received asylum in the GDR; 1990, arrested and cooperated with police and prosecutors; 1995, released from prison.</w:t>
      </w:r>
    </w:p>
    <w:p w14:paraId="384F21ED" w14:textId="77777777" w:rsidR="002653E8" w:rsidRDefault="003115E3">
      <w:pPr>
        <w:spacing w:before="127" w:line="276" w:lineRule="auto"/>
        <w:ind w:left="1147" w:right="1325" w:hanging="1"/>
        <w:rPr>
          <w:sz w:val="19"/>
        </w:rPr>
      </w:pPr>
      <w:r>
        <w:rPr>
          <w:i/>
          <w:color w:val="231F20"/>
          <w:w w:val="105"/>
          <w:sz w:val="19"/>
        </w:rPr>
        <w:t xml:space="preserve">Beer, Wolfgang: </w:t>
      </w:r>
      <w:r>
        <w:rPr>
          <w:color w:val="231F20"/>
          <w:w w:val="105"/>
          <w:sz w:val="19"/>
        </w:rPr>
        <w:t xml:space="preserve">1953-1980; brother of Henning Beer; </w:t>
      </w:r>
      <w:r w:rsidR="00C507A5">
        <w:rPr>
          <w:color w:val="231F20"/>
          <w:w w:val="105"/>
          <w:sz w:val="19"/>
        </w:rPr>
        <w:t>red army faction</w:t>
      </w:r>
      <w:r>
        <w:rPr>
          <w:color w:val="231F20"/>
          <w:w w:val="105"/>
          <w:sz w:val="19"/>
        </w:rPr>
        <w:t xml:space="preserve"> member; 1974, arrested; 1978, released from prison; 1980, died in a car accident while living underground.</w:t>
      </w:r>
    </w:p>
    <w:p w14:paraId="4ED54EF3" w14:textId="77777777" w:rsidR="002653E8" w:rsidRDefault="003115E3">
      <w:pPr>
        <w:spacing w:before="128"/>
        <w:ind w:left="1147"/>
        <w:rPr>
          <w:sz w:val="19"/>
        </w:rPr>
      </w:pPr>
      <w:r>
        <w:rPr>
          <w:i/>
          <w:color w:val="231F20"/>
          <w:w w:val="110"/>
          <w:sz w:val="19"/>
        </w:rPr>
        <w:t xml:space="preserve">Berberich, Monika: </w:t>
      </w:r>
      <w:r>
        <w:rPr>
          <w:color w:val="231F20"/>
          <w:w w:val="110"/>
          <w:sz w:val="19"/>
        </w:rPr>
        <w:t xml:space="preserve">b. 1942; founding member of the </w:t>
      </w:r>
      <w:r w:rsidR="00C507A5">
        <w:rPr>
          <w:color w:val="231F20"/>
          <w:w w:val="110"/>
          <w:sz w:val="19"/>
        </w:rPr>
        <w:t>red army faction</w:t>
      </w:r>
      <w:r>
        <w:rPr>
          <w:color w:val="231F20"/>
          <w:w w:val="110"/>
          <w:sz w:val="19"/>
        </w:rPr>
        <w:t>;</w:t>
      </w:r>
    </w:p>
    <w:p w14:paraId="68428F8D" w14:textId="77777777" w:rsidR="002653E8" w:rsidRDefault="003115E3">
      <w:pPr>
        <w:spacing w:before="33" w:line="276" w:lineRule="auto"/>
        <w:ind w:left="1147" w:right="1580"/>
        <w:rPr>
          <w:sz w:val="19"/>
        </w:rPr>
      </w:pPr>
      <w:r>
        <w:rPr>
          <w:color w:val="231F20"/>
          <w:sz w:val="19"/>
        </w:rPr>
        <w:t>1970, arrested; 1976, escaped from prison, recaptured two weeks later; 1998, released from prison.</w:t>
      </w:r>
    </w:p>
    <w:p w14:paraId="5C89F4CE" w14:textId="77777777" w:rsidR="002653E8" w:rsidRDefault="003115E3">
      <w:pPr>
        <w:spacing w:before="128" w:line="276" w:lineRule="auto"/>
        <w:ind w:left="1147" w:right="1883"/>
        <w:rPr>
          <w:sz w:val="19"/>
        </w:rPr>
      </w:pPr>
      <w:r>
        <w:rPr>
          <w:i/>
          <w:color w:val="231F20"/>
          <w:w w:val="105"/>
          <w:sz w:val="19"/>
        </w:rPr>
        <w:t xml:space="preserve">Böll, Heinrich: </w:t>
      </w:r>
      <w:r>
        <w:rPr>
          <w:color w:val="231F20"/>
          <w:w w:val="105"/>
          <w:sz w:val="19"/>
        </w:rPr>
        <w:t xml:space="preserve">1917-1985; Novelist and </w:t>
      </w:r>
      <w:r>
        <w:rPr>
          <w:i/>
          <w:color w:val="231F20"/>
          <w:w w:val="105"/>
          <w:sz w:val="19"/>
        </w:rPr>
        <w:t xml:space="preserve">Gruppe 47 </w:t>
      </w:r>
      <w:r>
        <w:rPr>
          <w:color w:val="231F20"/>
          <w:w w:val="105"/>
          <w:sz w:val="19"/>
        </w:rPr>
        <w:t>member; 1970-1972, President of the PEN Club of the FRG; 1972, won the Nobel Prize for Literature.</w:t>
      </w:r>
    </w:p>
    <w:p w14:paraId="338161D9" w14:textId="77777777" w:rsidR="002653E8" w:rsidRDefault="003115E3">
      <w:pPr>
        <w:spacing w:before="127" w:line="276" w:lineRule="auto"/>
        <w:ind w:left="1147" w:right="1337" w:hanging="1"/>
        <w:jc w:val="both"/>
        <w:rPr>
          <w:sz w:val="19"/>
        </w:rPr>
      </w:pPr>
      <w:r>
        <w:rPr>
          <w:i/>
          <w:color w:val="231F20"/>
          <w:w w:val="105"/>
          <w:sz w:val="19"/>
        </w:rPr>
        <w:t xml:space="preserve">Bölling, Klaus: </w:t>
      </w:r>
      <w:r>
        <w:rPr>
          <w:color w:val="231F20"/>
          <w:w w:val="105"/>
          <w:sz w:val="19"/>
        </w:rPr>
        <w:t>b. 1928; SPD member; 1974-1981, Speaker of the House and</w:t>
      </w:r>
      <w:r>
        <w:rPr>
          <w:color w:val="231F20"/>
          <w:spacing w:val="-11"/>
          <w:w w:val="105"/>
          <w:sz w:val="19"/>
        </w:rPr>
        <w:t xml:space="preserve"> </w:t>
      </w:r>
      <w:r>
        <w:rPr>
          <w:color w:val="231F20"/>
          <w:w w:val="105"/>
          <w:sz w:val="19"/>
        </w:rPr>
        <w:t>head</w:t>
      </w:r>
      <w:r>
        <w:rPr>
          <w:color w:val="231F20"/>
          <w:spacing w:val="-11"/>
          <w:w w:val="105"/>
          <w:sz w:val="19"/>
        </w:rPr>
        <w:t xml:space="preserve"> </w:t>
      </w:r>
      <w:r>
        <w:rPr>
          <w:color w:val="231F20"/>
          <w:w w:val="105"/>
          <w:sz w:val="19"/>
        </w:rPr>
        <w:t>of</w:t>
      </w:r>
      <w:r>
        <w:rPr>
          <w:color w:val="231F20"/>
          <w:spacing w:val="-11"/>
          <w:w w:val="105"/>
          <w:sz w:val="19"/>
        </w:rPr>
        <w:t xml:space="preserve"> </w:t>
      </w:r>
      <w:r>
        <w:rPr>
          <w:color w:val="231F20"/>
          <w:w w:val="105"/>
          <w:sz w:val="19"/>
        </w:rPr>
        <w:t>the</w:t>
      </w:r>
      <w:r>
        <w:rPr>
          <w:color w:val="231F20"/>
          <w:spacing w:val="-11"/>
          <w:w w:val="105"/>
          <w:sz w:val="19"/>
        </w:rPr>
        <w:t xml:space="preserve"> </w:t>
      </w:r>
      <w:r>
        <w:rPr>
          <w:color w:val="231F20"/>
          <w:w w:val="105"/>
          <w:sz w:val="19"/>
        </w:rPr>
        <w:t>Federal</w:t>
      </w:r>
      <w:r>
        <w:rPr>
          <w:color w:val="231F20"/>
          <w:spacing w:val="-11"/>
          <w:w w:val="105"/>
          <w:sz w:val="19"/>
        </w:rPr>
        <w:t xml:space="preserve"> </w:t>
      </w:r>
      <w:r>
        <w:rPr>
          <w:color w:val="231F20"/>
          <w:w w:val="105"/>
          <w:sz w:val="19"/>
        </w:rPr>
        <w:t>Press</w:t>
      </w:r>
      <w:r>
        <w:rPr>
          <w:color w:val="231F20"/>
          <w:spacing w:val="-11"/>
          <w:w w:val="105"/>
          <w:sz w:val="19"/>
        </w:rPr>
        <w:t xml:space="preserve"> </w:t>
      </w:r>
      <w:r>
        <w:rPr>
          <w:color w:val="231F20"/>
          <w:w w:val="105"/>
          <w:sz w:val="19"/>
        </w:rPr>
        <w:t>Service;</w:t>
      </w:r>
      <w:r>
        <w:rPr>
          <w:color w:val="231F20"/>
          <w:spacing w:val="-11"/>
          <w:w w:val="105"/>
          <w:sz w:val="19"/>
        </w:rPr>
        <w:t xml:space="preserve"> </w:t>
      </w:r>
      <w:r>
        <w:rPr>
          <w:color w:val="231F20"/>
          <w:w w:val="105"/>
          <w:sz w:val="19"/>
        </w:rPr>
        <w:t>federal</w:t>
      </w:r>
      <w:r>
        <w:rPr>
          <w:color w:val="231F20"/>
          <w:spacing w:val="-11"/>
          <w:w w:val="105"/>
          <w:sz w:val="19"/>
        </w:rPr>
        <w:t xml:space="preserve"> </w:t>
      </w:r>
      <w:r>
        <w:rPr>
          <w:color w:val="231F20"/>
          <w:w w:val="105"/>
          <w:sz w:val="19"/>
        </w:rPr>
        <w:t>government</w:t>
      </w:r>
      <w:r>
        <w:rPr>
          <w:color w:val="231F20"/>
          <w:spacing w:val="-11"/>
          <w:w w:val="105"/>
          <w:sz w:val="19"/>
        </w:rPr>
        <w:t xml:space="preserve"> </w:t>
      </w:r>
      <w:r>
        <w:rPr>
          <w:color w:val="231F20"/>
          <w:w w:val="105"/>
          <w:sz w:val="19"/>
        </w:rPr>
        <w:t>contact</w:t>
      </w:r>
      <w:r>
        <w:rPr>
          <w:color w:val="231F20"/>
          <w:spacing w:val="-11"/>
          <w:w w:val="105"/>
          <w:sz w:val="19"/>
        </w:rPr>
        <w:t xml:space="preserve"> </w:t>
      </w:r>
      <w:r>
        <w:rPr>
          <w:color w:val="231F20"/>
          <w:w w:val="105"/>
          <w:sz w:val="19"/>
        </w:rPr>
        <w:t>person with Mogadishu hijackers during the</w:t>
      </w:r>
      <w:r>
        <w:rPr>
          <w:color w:val="231F20"/>
          <w:spacing w:val="6"/>
          <w:w w:val="105"/>
          <w:sz w:val="19"/>
        </w:rPr>
        <w:t xml:space="preserve"> </w:t>
      </w:r>
      <w:r>
        <w:rPr>
          <w:color w:val="231F20"/>
          <w:w w:val="105"/>
          <w:sz w:val="19"/>
        </w:rPr>
        <w:t>German Autumn.</w:t>
      </w:r>
    </w:p>
    <w:p w14:paraId="0593819A" w14:textId="77777777" w:rsidR="002653E8" w:rsidRDefault="002653E8">
      <w:pPr>
        <w:spacing w:line="276" w:lineRule="auto"/>
        <w:jc w:val="both"/>
        <w:rPr>
          <w:sz w:val="19"/>
        </w:rPr>
        <w:sectPr w:rsidR="002653E8">
          <w:pgSz w:w="8640" w:h="12960"/>
          <w:pgMar w:top="1080" w:right="0" w:bottom="1040" w:left="0" w:header="0" w:footer="850" w:gutter="0"/>
          <w:cols w:space="720"/>
        </w:sectPr>
      </w:pPr>
    </w:p>
    <w:p w14:paraId="06DF942A" w14:textId="77777777" w:rsidR="002653E8" w:rsidRDefault="003115E3">
      <w:pPr>
        <w:spacing w:before="75" w:line="276" w:lineRule="auto"/>
        <w:ind w:left="1327" w:right="1508"/>
        <w:jc w:val="both"/>
        <w:rPr>
          <w:sz w:val="19"/>
        </w:rPr>
      </w:pPr>
      <w:r>
        <w:rPr>
          <w:i/>
          <w:color w:val="231F20"/>
          <w:w w:val="105"/>
          <w:sz w:val="19"/>
        </w:rPr>
        <w:lastRenderedPageBreak/>
        <w:t xml:space="preserve">Boock, Peter-Jürgen: </w:t>
      </w:r>
      <w:r>
        <w:rPr>
          <w:color w:val="231F20"/>
          <w:w w:val="105"/>
          <w:sz w:val="19"/>
        </w:rPr>
        <w:t xml:space="preserve">b. 1951; c. 1975, joined </w:t>
      </w:r>
      <w:r w:rsidR="00C507A5">
        <w:rPr>
          <w:color w:val="231F20"/>
          <w:w w:val="105"/>
          <w:sz w:val="19"/>
        </w:rPr>
        <w:t>red army faction</w:t>
      </w:r>
      <w:r>
        <w:rPr>
          <w:color w:val="231F20"/>
          <w:w w:val="105"/>
          <w:sz w:val="19"/>
        </w:rPr>
        <w:t xml:space="preserve">; 1980, broke with </w:t>
      </w:r>
      <w:r w:rsidR="00C507A5">
        <w:rPr>
          <w:color w:val="231F20"/>
          <w:w w:val="105"/>
          <w:sz w:val="19"/>
        </w:rPr>
        <w:t>red army faction</w:t>
      </w:r>
      <w:r>
        <w:rPr>
          <w:color w:val="231F20"/>
          <w:w w:val="105"/>
          <w:sz w:val="19"/>
        </w:rPr>
        <w:t>; 1981, arrested, cooperated with police and prosecutors; 1998, pardoned.</w:t>
      </w:r>
    </w:p>
    <w:p w14:paraId="4A43D0F8" w14:textId="77777777" w:rsidR="002653E8" w:rsidRDefault="003115E3">
      <w:pPr>
        <w:spacing w:before="128" w:line="276" w:lineRule="auto"/>
        <w:ind w:left="1327" w:right="1479"/>
        <w:rPr>
          <w:sz w:val="19"/>
        </w:rPr>
      </w:pPr>
      <w:r>
        <w:rPr>
          <w:i/>
          <w:color w:val="231F20"/>
          <w:w w:val="105"/>
          <w:sz w:val="19"/>
        </w:rPr>
        <w:t xml:space="preserve">Boock, Waltraud: </w:t>
      </w:r>
      <w:r w:rsidR="00C507A5">
        <w:rPr>
          <w:color w:val="231F20"/>
          <w:w w:val="105"/>
          <w:sz w:val="19"/>
        </w:rPr>
        <w:t>red army faction</w:t>
      </w:r>
      <w:r>
        <w:rPr>
          <w:color w:val="231F20"/>
          <w:w w:val="105"/>
          <w:sz w:val="19"/>
        </w:rPr>
        <w:t xml:space="preserve"> member; 1976, arrested in Vienna following a bank robbery, sentenced to fifteen years.</w:t>
      </w:r>
    </w:p>
    <w:p w14:paraId="26B49F66" w14:textId="77777777" w:rsidR="002653E8" w:rsidRDefault="003115E3">
      <w:pPr>
        <w:spacing w:before="127" w:line="276" w:lineRule="auto"/>
        <w:ind w:left="1327" w:right="1513"/>
        <w:rPr>
          <w:sz w:val="19"/>
        </w:rPr>
      </w:pPr>
      <w:r>
        <w:rPr>
          <w:i/>
          <w:color w:val="231F20"/>
          <w:w w:val="105"/>
          <w:sz w:val="19"/>
        </w:rPr>
        <w:t xml:space="preserve">Böse, Wilfried: </w:t>
      </w:r>
      <w:r>
        <w:rPr>
          <w:color w:val="231F20"/>
          <w:w w:val="105"/>
          <w:sz w:val="19"/>
        </w:rPr>
        <w:t>1949-1976; founding member of the RZ; 1976, killed during the Entebbe hijacking.</w:t>
      </w:r>
    </w:p>
    <w:p w14:paraId="7A53D5B5" w14:textId="77777777" w:rsidR="002653E8" w:rsidRDefault="003115E3">
      <w:pPr>
        <w:spacing w:before="128" w:line="276" w:lineRule="auto"/>
        <w:ind w:left="1327" w:right="1325"/>
        <w:rPr>
          <w:sz w:val="19"/>
        </w:rPr>
      </w:pPr>
      <w:r>
        <w:rPr>
          <w:i/>
          <w:color w:val="231F20"/>
          <w:w w:val="105"/>
          <w:sz w:val="19"/>
        </w:rPr>
        <w:t xml:space="preserve">Brändle, Reinhold: </w:t>
      </w:r>
      <w:r>
        <w:rPr>
          <w:color w:val="231F20"/>
          <w:w w:val="105"/>
          <w:sz w:val="19"/>
        </w:rPr>
        <w:t xml:space="preserve">1936-1977; Schleyer’s bodyguard; 1977, killed by </w:t>
      </w:r>
      <w:r>
        <w:rPr>
          <w:color w:val="231F20"/>
          <w:w w:val="110"/>
          <w:sz w:val="19"/>
        </w:rPr>
        <w:t xml:space="preserve">the </w:t>
      </w:r>
      <w:r w:rsidR="00C507A5">
        <w:rPr>
          <w:color w:val="231F20"/>
          <w:w w:val="110"/>
          <w:sz w:val="19"/>
        </w:rPr>
        <w:t>red army faction</w:t>
      </w:r>
      <w:r>
        <w:rPr>
          <w:color w:val="231F20"/>
          <w:w w:val="110"/>
          <w:sz w:val="19"/>
        </w:rPr>
        <w:t>.</w:t>
      </w:r>
    </w:p>
    <w:p w14:paraId="7D3A6FCB" w14:textId="77777777" w:rsidR="002653E8" w:rsidRDefault="003115E3">
      <w:pPr>
        <w:spacing w:before="128" w:line="276" w:lineRule="auto"/>
        <w:ind w:left="1327" w:right="1402" w:hanging="1"/>
        <w:jc w:val="both"/>
        <w:rPr>
          <w:sz w:val="19"/>
        </w:rPr>
      </w:pPr>
      <w:r>
        <w:rPr>
          <w:i/>
          <w:color w:val="231F20"/>
          <w:w w:val="105"/>
          <w:sz w:val="19"/>
        </w:rPr>
        <w:t xml:space="preserve">Brandt, Willy: </w:t>
      </w:r>
      <w:r>
        <w:rPr>
          <w:color w:val="231F20"/>
          <w:w w:val="105"/>
          <w:sz w:val="19"/>
        </w:rPr>
        <w:t>1913-1992; SPD politician; 1964, Federal Chairman of the SPD; 1966-1969, Minister of Foreign Affairs and Vice Chancellor; 1969-1974, Chancellor, 1974, Chairman of the Socialist International (Second International).</w:t>
      </w:r>
    </w:p>
    <w:p w14:paraId="45DFC671" w14:textId="77777777" w:rsidR="002653E8" w:rsidRDefault="003115E3">
      <w:pPr>
        <w:spacing w:before="127" w:line="276" w:lineRule="auto"/>
        <w:ind w:left="1327" w:right="1325"/>
        <w:rPr>
          <w:sz w:val="19"/>
        </w:rPr>
      </w:pPr>
      <w:r>
        <w:rPr>
          <w:i/>
          <w:color w:val="231F20"/>
          <w:w w:val="105"/>
          <w:sz w:val="19"/>
        </w:rPr>
        <w:t xml:space="preserve">Braun, Bernhard: </w:t>
      </w:r>
      <w:r>
        <w:rPr>
          <w:color w:val="231F20"/>
          <w:w w:val="105"/>
          <w:sz w:val="19"/>
        </w:rPr>
        <w:t xml:space="preserve">b. 1946; Associated with the SPK and subsequently with both the 2JM and the </w:t>
      </w:r>
      <w:r w:rsidR="00C507A5">
        <w:rPr>
          <w:color w:val="231F20"/>
          <w:w w:val="105"/>
          <w:sz w:val="19"/>
        </w:rPr>
        <w:t>red army faction</w:t>
      </w:r>
      <w:r>
        <w:rPr>
          <w:color w:val="231F20"/>
          <w:w w:val="105"/>
          <w:sz w:val="19"/>
        </w:rPr>
        <w:t>; 1972, arrested following May Offensive, broke with the guerilla in prison.</w:t>
      </w:r>
    </w:p>
    <w:p w14:paraId="34CCB518" w14:textId="77777777" w:rsidR="002653E8" w:rsidRDefault="003115E3">
      <w:pPr>
        <w:spacing w:before="128" w:line="276" w:lineRule="auto"/>
        <w:ind w:left="1327" w:right="1848"/>
        <w:rPr>
          <w:sz w:val="19"/>
        </w:rPr>
      </w:pPr>
      <w:r>
        <w:rPr>
          <w:i/>
          <w:color w:val="231F20"/>
          <w:w w:val="105"/>
          <w:sz w:val="19"/>
        </w:rPr>
        <w:t xml:space="preserve">Buback, Siegfried: </w:t>
      </w:r>
      <w:r>
        <w:rPr>
          <w:color w:val="231F20"/>
          <w:w w:val="105"/>
          <w:sz w:val="19"/>
        </w:rPr>
        <w:t xml:space="preserve">1920-1977; 1974-1977, Attorney General; 1977, assassinated by the </w:t>
      </w:r>
      <w:r w:rsidR="00C507A5">
        <w:rPr>
          <w:color w:val="231F20"/>
          <w:w w:val="105"/>
          <w:sz w:val="19"/>
        </w:rPr>
        <w:t>red army faction</w:t>
      </w:r>
      <w:r>
        <w:rPr>
          <w:color w:val="231F20"/>
          <w:w w:val="105"/>
          <w:sz w:val="19"/>
        </w:rPr>
        <w:t>.</w:t>
      </w:r>
    </w:p>
    <w:p w14:paraId="2C4C1D9B" w14:textId="77777777" w:rsidR="002653E8" w:rsidRDefault="003115E3">
      <w:pPr>
        <w:spacing w:before="127" w:line="276" w:lineRule="auto"/>
        <w:ind w:left="1327" w:right="1580"/>
        <w:rPr>
          <w:sz w:val="19"/>
        </w:rPr>
      </w:pPr>
      <w:r>
        <w:rPr>
          <w:i/>
          <w:color w:val="231F20"/>
          <w:w w:val="105"/>
          <w:sz w:val="19"/>
        </w:rPr>
        <w:t xml:space="preserve">Buddenberg, Wolfgang: </w:t>
      </w:r>
      <w:r>
        <w:rPr>
          <w:color w:val="231F20"/>
          <w:w w:val="105"/>
          <w:sz w:val="19"/>
        </w:rPr>
        <w:t xml:space="preserve">b. 1911; Federal Supreme Court Judge; 1972, targeted by a </w:t>
      </w:r>
      <w:r w:rsidR="00C507A5">
        <w:rPr>
          <w:color w:val="231F20"/>
          <w:w w:val="105"/>
          <w:sz w:val="19"/>
        </w:rPr>
        <w:t>red army faction</w:t>
      </w:r>
      <w:r>
        <w:rPr>
          <w:color w:val="231F20"/>
          <w:w w:val="105"/>
          <w:sz w:val="19"/>
        </w:rPr>
        <w:t xml:space="preserve"> car bomb that injured his wife Gerta.</w:t>
      </w:r>
    </w:p>
    <w:p w14:paraId="7F188C83" w14:textId="77777777" w:rsidR="002653E8" w:rsidRDefault="003115E3">
      <w:pPr>
        <w:spacing w:before="128" w:line="276" w:lineRule="auto"/>
        <w:ind w:left="1327" w:right="1513"/>
        <w:rPr>
          <w:sz w:val="19"/>
        </w:rPr>
      </w:pPr>
      <w:r>
        <w:rPr>
          <w:i/>
          <w:color w:val="231F20"/>
          <w:sz w:val="19"/>
        </w:rPr>
        <w:t xml:space="preserve">Carlos (Ilich Ramírez Sánchez): </w:t>
      </w:r>
      <w:r>
        <w:rPr>
          <w:color w:val="231F20"/>
          <w:sz w:val="19"/>
        </w:rPr>
        <w:t>b. 1949; guerilla mercenary closely tied    to</w:t>
      </w:r>
      <w:r>
        <w:rPr>
          <w:color w:val="231F20"/>
          <w:spacing w:val="20"/>
          <w:sz w:val="19"/>
        </w:rPr>
        <w:t xml:space="preserve"> </w:t>
      </w:r>
      <w:r>
        <w:rPr>
          <w:color w:val="231F20"/>
          <w:sz w:val="19"/>
        </w:rPr>
        <w:t>the</w:t>
      </w:r>
      <w:r>
        <w:rPr>
          <w:color w:val="231F20"/>
          <w:spacing w:val="20"/>
          <w:sz w:val="19"/>
        </w:rPr>
        <w:t xml:space="preserve"> </w:t>
      </w:r>
      <w:r>
        <w:rPr>
          <w:color w:val="231F20"/>
          <w:sz w:val="19"/>
        </w:rPr>
        <w:t>Palestinian</w:t>
      </w:r>
      <w:r>
        <w:rPr>
          <w:color w:val="231F20"/>
          <w:spacing w:val="20"/>
          <w:sz w:val="19"/>
        </w:rPr>
        <w:t xml:space="preserve"> </w:t>
      </w:r>
      <w:r>
        <w:rPr>
          <w:color w:val="231F20"/>
          <w:sz w:val="19"/>
        </w:rPr>
        <w:t>movement;</w:t>
      </w:r>
      <w:r>
        <w:rPr>
          <w:color w:val="231F20"/>
          <w:spacing w:val="20"/>
          <w:sz w:val="19"/>
        </w:rPr>
        <w:t xml:space="preserve"> </w:t>
      </w:r>
      <w:r>
        <w:rPr>
          <w:color w:val="231F20"/>
          <w:sz w:val="19"/>
        </w:rPr>
        <w:t>1994,</w:t>
      </w:r>
      <w:r>
        <w:rPr>
          <w:color w:val="231F20"/>
          <w:spacing w:val="11"/>
          <w:sz w:val="19"/>
        </w:rPr>
        <w:t xml:space="preserve"> </w:t>
      </w:r>
      <w:r>
        <w:rPr>
          <w:color w:val="231F20"/>
          <w:sz w:val="19"/>
        </w:rPr>
        <w:t>arrested</w:t>
      </w:r>
      <w:r>
        <w:rPr>
          <w:color w:val="231F20"/>
          <w:spacing w:val="20"/>
          <w:sz w:val="19"/>
        </w:rPr>
        <w:t xml:space="preserve"> </w:t>
      </w:r>
      <w:r>
        <w:rPr>
          <w:color w:val="231F20"/>
          <w:sz w:val="19"/>
        </w:rPr>
        <w:t>in</w:t>
      </w:r>
      <w:r>
        <w:rPr>
          <w:color w:val="231F20"/>
          <w:spacing w:val="20"/>
          <w:sz w:val="19"/>
        </w:rPr>
        <w:t xml:space="preserve"> </w:t>
      </w:r>
      <w:r>
        <w:rPr>
          <w:color w:val="231F20"/>
          <w:sz w:val="19"/>
        </w:rPr>
        <w:t>Sudan</w:t>
      </w:r>
      <w:r>
        <w:rPr>
          <w:color w:val="231F20"/>
          <w:spacing w:val="20"/>
          <w:sz w:val="19"/>
        </w:rPr>
        <w:t xml:space="preserve"> </w:t>
      </w:r>
      <w:r>
        <w:rPr>
          <w:color w:val="231F20"/>
          <w:sz w:val="19"/>
        </w:rPr>
        <w:t>and</w:t>
      </w:r>
      <w:r>
        <w:rPr>
          <w:color w:val="231F20"/>
          <w:spacing w:val="20"/>
          <w:sz w:val="19"/>
        </w:rPr>
        <w:t xml:space="preserve"> </w:t>
      </w:r>
      <w:r>
        <w:rPr>
          <w:color w:val="231F20"/>
          <w:sz w:val="19"/>
        </w:rPr>
        <w:t>extradited</w:t>
      </w:r>
    </w:p>
    <w:p w14:paraId="6BD3692F" w14:textId="77777777" w:rsidR="002653E8" w:rsidRDefault="003115E3">
      <w:pPr>
        <w:spacing w:line="276" w:lineRule="auto"/>
        <w:ind w:left="1327" w:right="1316"/>
        <w:jc w:val="both"/>
        <w:rPr>
          <w:sz w:val="19"/>
        </w:rPr>
      </w:pPr>
      <w:r>
        <w:rPr>
          <w:color w:val="231F20"/>
          <w:w w:val="105"/>
          <w:sz w:val="19"/>
        </w:rPr>
        <w:t>to France; 1997, sentenced to life in prison; 2003, aligned himself with fundamentalist Islam, stating his support for Osama bin Laden and the 9/11 attacks; 2005, adopted the name Salim Muhammad.</w:t>
      </w:r>
    </w:p>
    <w:p w14:paraId="287729FC" w14:textId="77777777" w:rsidR="002653E8" w:rsidRDefault="003115E3">
      <w:pPr>
        <w:spacing w:before="127" w:line="276" w:lineRule="auto"/>
        <w:ind w:left="1327" w:right="1513"/>
        <w:rPr>
          <w:sz w:val="19"/>
        </w:rPr>
      </w:pPr>
      <w:r>
        <w:rPr>
          <w:i/>
          <w:color w:val="231F20"/>
          <w:w w:val="105"/>
          <w:sz w:val="19"/>
        </w:rPr>
        <w:t xml:space="preserve">Cohn-Bendit, Daniel: </w:t>
      </w:r>
      <w:r>
        <w:rPr>
          <w:color w:val="231F20"/>
          <w:w w:val="105"/>
          <w:sz w:val="19"/>
        </w:rPr>
        <w:t xml:space="preserve">b. 1945; 1968, leader of the French student uprising known as the May Revolution, expelled to West Germany; leading figure in the </w:t>
      </w:r>
      <w:r>
        <w:rPr>
          <w:i/>
          <w:color w:val="231F20"/>
          <w:w w:val="105"/>
          <w:sz w:val="19"/>
        </w:rPr>
        <w:t xml:space="preserve">sponti </w:t>
      </w:r>
      <w:r>
        <w:rPr>
          <w:color w:val="231F20"/>
          <w:w w:val="105"/>
          <w:sz w:val="19"/>
        </w:rPr>
        <w:t>movement in the seventies, and an early backer of the Green Party.</w:t>
      </w:r>
    </w:p>
    <w:p w14:paraId="7E927066" w14:textId="77777777" w:rsidR="002653E8" w:rsidRDefault="003115E3">
      <w:pPr>
        <w:spacing w:before="127" w:line="276" w:lineRule="auto"/>
        <w:ind w:left="1327" w:right="1513"/>
        <w:rPr>
          <w:sz w:val="19"/>
        </w:rPr>
      </w:pPr>
      <w:r>
        <w:rPr>
          <w:i/>
          <w:color w:val="231F20"/>
          <w:sz w:val="19"/>
        </w:rPr>
        <w:t xml:space="preserve">Croissant, Klaus: </w:t>
      </w:r>
      <w:r>
        <w:rPr>
          <w:color w:val="231F20"/>
          <w:sz w:val="19"/>
        </w:rPr>
        <w:t xml:space="preserve">1931-2002; lawyer for </w:t>
      </w:r>
      <w:r w:rsidR="00C507A5">
        <w:rPr>
          <w:color w:val="231F20"/>
          <w:sz w:val="19"/>
        </w:rPr>
        <w:t>red army faction</w:t>
      </w:r>
      <w:r>
        <w:rPr>
          <w:color w:val="231F20"/>
          <w:sz w:val="19"/>
        </w:rPr>
        <w:t xml:space="preserve"> prisoners; 1977,  arrested and sentenced to two and a half years for supporting a terrorist organization; upon his release he would begin working for the  </w:t>
      </w:r>
      <w:r>
        <w:rPr>
          <w:i/>
          <w:color w:val="231F20"/>
          <w:sz w:val="19"/>
        </w:rPr>
        <w:t>Stasi</w:t>
      </w:r>
      <w:r>
        <w:rPr>
          <w:color w:val="231F20"/>
          <w:sz w:val="19"/>
        </w:rPr>
        <w:t>, while</w:t>
      </w:r>
      <w:r>
        <w:rPr>
          <w:color w:val="231F20"/>
          <w:spacing w:val="17"/>
          <w:sz w:val="19"/>
        </w:rPr>
        <w:t xml:space="preserve"> </w:t>
      </w:r>
      <w:r>
        <w:rPr>
          <w:color w:val="231F20"/>
          <w:sz w:val="19"/>
        </w:rPr>
        <w:t>running</w:t>
      </w:r>
      <w:r>
        <w:rPr>
          <w:color w:val="231F20"/>
          <w:spacing w:val="17"/>
          <w:sz w:val="19"/>
        </w:rPr>
        <w:t xml:space="preserve"> </w:t>
      </w:r>
      <w:r>
        <w:rPr>
          <w:color w:val="231F20"/>
          <w:sz w:val="19"/>
        </w:rPr>
        <w:t>(unsuccessfully)</w:t>
      </w:r>
      <w:r>
        <w:rPr>
          <w:color w:val="231F20"/>
          <w:spacing w:val="17"/>
          <w:sz w:val="19"/>
        </w:rPr>
        <w:t xml:space="preserve"> </w:t>
      </w:r>
      <w:r>
        <w:rPr>
          <w:color w:val="231F20"/>
          <w:sz w:val="19"/>
        </w:rPr>
        <w:t>on</w:t>
      </w:r>
      <w:r>
        <w:rPr>
          <w:color w:val="231F20"/>
          <w:spacing w:val="17"/>
          <w:sz w:val="19"/>
        </w:rPr>
        <w:t xml:space="preserve"> </w:t>
      </w:r>
      <w:r>
        <w:rPr>
          <w:color w:val="231F20"/>
          <w:sz w:val="19"/>
        </w:rPr>
        <w:t>the</w:t>
      </w:r>
      <w:r>
        <w:rPr>
          <w:color w:val="231F20"/>
          <w:spacing w:val="10"/>
          <w:sz w:val="19"/>
        </w:rPr>
        <w:t xml:space="preserve"> </w:t>
      </w:r>
      <w:r>
        <w:rPr>
          <w:color w:val="231F20"/>
          <w:sz w:val="19"/>
        </w:rPr>
        <w:t>Alternative</w:t>
      </w:r>
      <w:r>
        <w:rPr>
          <w:color w:val="231F20"/>
          <w:spacing w:val="17"/>
          <w:sz w:val="19"/>
        </w:rPr>
        <w:t xml:space="preserve"> </w:t>
      </w:r>
      <w:r>
        <w:rPr>
          <w:color w:val="231F20"/>
          <w:sz w:val="19"/>
        </w:rPr>
        <w:t>List</w:t>
      </w:r>
      <w:r>
        <w:rPr>
          <w:color w:val="231F20"/>
          <w:spacing w:val="17"/>
          <w:sz w:val="19"/>
        </w:rPr>
        <w:t xml:space="preserve"> </w:t>
      </w:r>
      <w:r>
        <w:rPr>
          <w:color w:val="231F20"/>
          <w:sz w:val="19"/>
        </w:rPr>
        <w:t>in</w:t>
      </w:r>
      <w:r>
        <w:rPr>
          <w:color w:val="231F20"/>
          <w:spacing w:val="17"/>
          <w:sz w:val="19"/>
        </w:rPr>
        <w:t xml:space="preserve"> </w:t>
      </w:r>
      <w:r>
        <w:rPr>
          <w:color w:val="231F20"/>
          <w:sz w:val="19"/>
        </w:rPr>
        <w:t>the</w:t>
      </w:r>
      <w:r>
        <w:rPr>
          <w:color w:val="231F20"/>
          <w:spacing w:val="17"/>
          <w:sz w:val="19"/>
        </w:rPr>
        <w:t xml:space="preserve"> </w:t>
      </w:r>
      <w:r>
        <w:rPr>
          <w:color w:val="231F20"/>
          <w:sz w:val="19"/>
        </w:rPr>
        <w:t>1980s.</w:t>
      </w:r>
    </w:p>
    <w:p w14:paraId="52EF00AD" w14:textId="77777777" w:rsidR="002653E8" w:rsidRDefault="002653E8">
      <w:pPr>
        <w:spacing w:line="276" w:lineRule="auto"/>
        <w:rPr>
          <w:sz w:val="19"/>
        </w:rPr>
        <w:sectPr w:rsidR="002653E8">
          <w:footerReference w:type="even" r:id="rId480"/>
          <w:footerReference w:type="default" r:id="rId481"/>
          <w:pgSz w:w="8640" w:h="12960"/>
          <w:pgMar w:top="1080" w:right="0" w:bottom="1040" w:left="0" w:header="0" w:footer="850" w:gutter="0"/>
          <w:cols w:space="720"/>
        </w:sectPr>
      </w:pPr>
    </w:p>
    <w:p w14:paraId="35F9BDFF" w14:textId="77777777" w:rsidR="002653E8" w:rsidRDefault="003115E3">
      <w:pPr>
        <w:spacing w:before="75" w:line="276" w:lineRule="auto"/>
        <w:ind w:left="1147" w:right="1479"/>
        <w:rPr>
          <w:sz w:val="19"/>
        </w:rPr>
      </w:pPr>
      <w:r>
        <w:rPr>
          <w:i/>
          <w:color w:val="231F20"/>
          <w:w w:val="105"/>
          <w:sz w:val="19"/>
        </w:rPr>
        <w:lastRenderedPageBreak/>
        <w:t xml:space="preserve">Dellwo, Hans-Joachim: </w:t>
      </w:r>
      <w:r>
        <w:rPr>
          <w:color w:val="231F20"/>
          <w:w w:val="105"/>
          <w:sz w:val="19"/>
        </w:rPr>
        <w:t>brother of Karl-Heinz Dellwo; arrested 1977 on charges of supporting a criminal organization; cooperated with police and prosecutors; moved to Canada upon his release from prison.</w:t>
      </w:r>
    </w:p>
    <w:p w14:paraId="48FAAE9C" w14:textId="77777777" w:rsidR="002653E8" w:rsidRDefault="003115E3">
      <w:pPr>
        <w:spacing w:before="128" w:line="276" w:lineRule="auto"/>
        <w:ind w:left="1147" w:right="1580"/>
        <w:rPr>
          <w:sz w:val="19"/>
        </w:rPr>
      </w:pPr>
      <w:r>
        <w:rPr>
          <w:i/>
          <w:color w:val="231F20"/>
          <w:w w:val="105"/>
          <w:sz w:val="19"/>
        </w:rPr>
        <w:t xml:space="preserve">Dellwo, Karl-Heinz: </w:t>
      </w:r>
      <w:r>
        <w:rPr>
          <w:color w:val="231F20"/>
          <w:w w:val="105"/>
          <w:sz w:val="19"/>
        </w:rPr>
        <w:t xml:space="preserve">b. 1952; 1974, joined </w:t>
      </w:r>
      <w:r w:rsidR="00C507A5">
        <w:rPr>
          <w:color w:val="231F20"/>
          <w:w w:val="105"/>
          <w:sz w:val="19"/>
        </w:rPr>
        <w:t>red army faction</w:t>
      </w:r>
      <w:r>
        <w:rPr>
          <w:color w:val="231F20"/>
          <w:w w:val="105"/>
          <w:sz w:val="19"/>
        </w:rPr>
        <w:t>; part of the Holger Meins Commando that carried out the failed Stockholm embassy hostage taking in 1975; received two life sentences in 1977;</w:t>
      </w:r>
    </w:p>
    <w:p w14:paraId="540981BE" w14:textId="77777777" w:rsidR="002653E8" w:rsidRDefault="003115E3">
      <w:pPr>
        <w:spacing w:line="222" w:lineRule="exact"/>
        <w:ind w:left="1147"/>
        <w:rPr>
          <w:sz w:val="19"/>
        </w:rPr>
      </w:pPr>
      <w:r>
        <w:rPr>
          <w:color w:val="231F20"/>
          <w:w w:val="105"/>
          <w:sz w:val="19"/>
        </w:rPr>
        <w:t>1996, released from prison.</w:t>
      </w:r>
    </w:p>
    <w:p w14:paraId="0BC34585" w14:textId="77777777" w:rsidR="002653E8" w:rsidRDefault="003115E3">
      <w:pPr>
        <w:spacing w:before="161" w:line="276" w:lineRule="auto"/>
        <w:ind w:left="1147" w:right="1479"/>
        <w:rPr>
          <w:sz w:val="19"/>
        </w:rPr>
      </w:pPr>
      <w:r>
        <w:rPr>
          <w:i/>
          <w:color w:val="231F20"/>
          <w:w w:val="105"/>
          <w:sz w:val="19"/>
        </w:rPr>
        <w:t xml:space="preserve">Drenkmann, Günter von: </w:t>
      </w:r>
      <w:r>
        <w:rPr>
          <w:color w:val="231F20"/>
          <w:w w:val="105"/>
          <w:sz w:val="19"/>
        </w:rPr>
        <w:t>1910-1974; social democratic president of West Berlin Supreme Court; killed during an attempted kidnapping by the 2JM, meant to avenge the death of Holger Meins.</w:t>
      </w:r>
    </w:p>
    <w:p w14:paraId="5D4EBD95" w14:textId="77777777" w:rsidR="002653E8" w:rsidRDefault="003115E3">
      <w:pPr>
        <w:spacing w:before="127" w:line="276" w:lineRule="auto"/>
        <w:ind w:left="1147" w:right="1580"/>
        <w:rPr>
          <w:sz w:val="19"/>
        </w:rPr>
      </w:pPr>
      <w:r>
        <w:rPr>
          <w:i/>
          <w:color w:val="231F20"/>
          <w:w w:val="105"/>
          <w:sz w:val="19"/>
        </w:rPr>
        <w:t xml:space="preserve">Dyck, Elisabeth von: </w:t>
      </w:r>
      <w:r>
        <w:rPr>
          <w:color w:val="231F20"/>
          <w:w w:val="105"/>
          <w:sz w:val="19"/>
        </w:rPr>
        <w:t xml:space="preserve">1951-1979; member of the SPK, assistant to </w:t>
      </w:r>
      <w:r w:rsidR="00C507A5">
        <w:rPr>
          <w:color w:val="231F20"/>
          <w:w w:val="105"/>
          <w:sz w:val="19"/>
        </w:rPr>
        <w:t>red army faction</w:t>
      </w:r>
      <w:r>
        <w:rPr>
          <w:color w:val="231F20"/>
          <w:w w:val="105"/>
          <w:sz w:val="19"/>
        </w:rPr>
        <w:t xml:space="preserve"> lawyer Klaus Croissant and subsequently suspected </w:t>
      </w:r>
      <w:r w:rsidR="00C507A5">
        <w:rPr>
          <w:color w:val="231F20"/>
          <w:w w:val="105"/>
          <w:sz w:val="19"/>
        </w:rPr>
        <w:t>red army faction</w:t>
      </w:r>
      <w:r>
        <w:rPr>
          <w:color w:val="231F20"/>
          <w:w w:val="105"/>
          <w:sz w:val="19"/>
        </w:rPr>
        <w:t xml:space="preserve"> member; 1975, went underground; 1979, shot dead by police.</w:t>
      </w:r>
    </w:p>
    <w:p w14:paraId="30CBD4CC" w14:textId="77777777" w:rsidR="002653E8" w:rsidRDefault="003115E3">
      <w:pPr>
        <w:spacing w:before="128" w:line="276" w:lineRule="auto"/>
        <w:ind w:left="1147" w:right="1328" w:hanging="1"/>
        <w:rPr>
          <w:sz w:val="19"/>
        </w:rPr>
      </w:pPr>
      <w:r>
        <w:rPr>
          <w:i/>
          <w:color w:val="231F20"/>
          <w:spacing w:val="-3"/>
          <w:w w:val="110"/>
          <w:sz w:val="19"/>
        </w:rPr>
        <w:t>Dregger,</w:t>
      </w:r>
      <w:r>
        <w:rPr>
          <w:i/>
          <w:color w:val="231F20"/>
          <w:spacing w:val="-22"/>
          <w:w w:val="110"/>
          <w:sz w:val="19"/>
        </w:rPr>
        <w:t xml:space="preserve"> </w:t>
      </w:r>
      <w:r>
        <w:rPr>
          <w:i/>
          <w:color w:val="231F20"/>
          <w:w w:val="110"/>
          <w:sz w:val="19"/>
        </w:rPr>
        <w:t>Alfred:</w:t>
      </w:r>
      <w:r>
        <w:rPr>
          <w:i/>
          <w:color w:val="231F20"/>
          <w:spacing w:val="-14"/>
          <w:w w:val="110"/>
          <w:sz w:val="19"/>
        </w:rPr>
        <w:t xml:space="preserve"> </w:t>
      </w:r>
      <w:r>
        <w:rPr>
          <w:color w:val="231F20"/>
          <w:w w:val="110"/>
          <w:sz w:val="19"/>
        </w:rPr>
        <w:t>1920-2002;</w:t>
      </w:r>
      <w:r>
        <w:rPr>
          <w:color w:val="231F20"/>
          <w:spacing w:val="-14"/>
          <w:w w:val="110"/>
          <w:sz w:val="19"/>
        </w:rPr>
        <w:t xml:space="preserve"> </w:t>
      </w:r>
      <w:r>
        <w:rPr>
          <w:color w:val="231F20"/>
          <w:w w:val="110"/>
          <w:sz w:val="19"/>
        </w:rPr>
        <w:t>CDU</w:t>
      </w:r>
      <w:r>
        <w:rPr>
          <w:color w:val="231F20"/>
          <w:spacing w:val="-14"/>
          <w:w w:val="110"/>
          <w:sz w:val="19"/>
        </w:rPr>
        <w:t xml:space="preserve"> </w:t>
      </w:r>
      <w:r>
        <w:rPr>
          <w:color w:val="231F20"/>
          <w:w w:val="110"/>
          <w:sz w:val="19"/>
        </w:rPr>
        <w:t>member;</w:t>
      </w:r>
      <w:r>
        <w:rPr>
          <w:color w:val="231F20"/>
          <w:spacing w:val="-14"/>
          <w:w w:val="110"/>
          <w:sz w:val="19"/>
        </w:rPr>
        <w:t xml:space="preserve"> </w:t>
      </w:r>
      <w:r>
        <w:rPr>
          <w:color w:val="231F20"/>
          <w:w w:val="110"/>
          <w:sz w:val="19"/>
        </w:rPr>
        <w:t>1956-1970,</w:t>
      </w:r>
      <w:r>
        <w:rPr>
          <w:color w:val="231F20"/>
          <w:spacing w:val="-18"/>
          <w:w w:val="110"/>
          <w:sz w:val="19"/>
        </w:rPr>
        <w:t xml:space="preserve"> </w:t>
      </w:r>
      <w:r>
        <w:rPr>
          <w:color w:val="231F20"/>
          <w:w w:val="110"/>
          <w:sz w:val="19"/>
        </w:rPr>
        <w:t>Mayor</w:t>
      </w:r>
      <w:r>
        <w:rPr>
          <w:color w:val="231F20"/>
          <w:spacing w:val="-14"/>
          <w:w w:val="110"/>
          <w:sz w:val="19"/>
        </w:rPr>
        <w:t xml:space="preserve"> </w:t>
      </w:r>
      <w:r>
        <w:rPr>
          <w:color w:val="231F20"/>
          <w:w w:val="110"/>
          <w:sz w:val="19"/>
        </w:rPr>
        <w:t>of</w:t>
      </w:r>
      <w:r>
        <w:rPr>
          <w:color w:val="231F20"/>
          <w:spacing w:val="-14"/>
          <w:w w:val="110"/>
          <w:sz w:val="19"/>
        </w:rPr>
        <w:t xml:space="preserve"> </w:t>
      </w:r>
      <w:r>
        <w:rPr>
          <w:color w:val="231F20"/>
          <w:w w:val="110"/>
          <w:sz w:val="19"/>
        </w:rPr>
        <w:t xml:space="preserve">Fulda; </w:t>
      </w:r>
      <w:r>
        <w:rPr>
          <w:color w:val="231F20"/>
          <w:w w:val="103"/>
          <w:sz w:val="19"/>
        </w:rPr>
        <w:t>1982-1991</w:t>
      </w:r>
      <w:r>
        <w:rPr>
          <w:color w:val="231F20"/>
          <w:w w:val="139"/>
          <w:sz w:val="19"/>
        </w:rPr>
        <w:t>,</w:t>
      </w:r>
      <w:r>
        <w:rPr>
          <w:color w:val="231F20"/>
          <w:spacing w:val="5"/>
          <w:sz w:val="19"/>
        </w:rPr>
        <w:t xml:space="preserve"> </w:t>
      </w:r>
      <w:r>
        <w:rPr>
          <w:color w:val="231F20"/>
          <w:w w:val="107"/>
          <w:sz w:val="19"/>
        </w:rPr>
        <w:t>Chairman</w:t>
      </w:r>
      <w:r>
        <w:rPr>
          <w:color w:val="231F20"/>
          <w:spacing w:val="11"/>
          <w:sz w:val="19"/>
        </w:rPr>
        <w:t xml:space="preserve"> </w:t>
      </w:r>
      <w:r>
        <w:rPr>
          <w:color w:val="231F20"/>
          <w:w w:val="110"/>
          <w:sz w:val="19"/>
        </w:rPr>
        <w:t>of</w:t>
      </w:r>
      <w:r>
        <w:rPr>
          <w:color w:val="231F20"/>
          <w:spacing w:val="11"/>
          <w:sz w:val="19"/>
        </w:rPr>
        <w:t xml:space="preserve"> </w:t>
      </w:r>
      <w:r>
        <w:rPr>
          <w:color w:val="231F20"/>
          <w:w w:val="99"/>
          <w:sz w:val="19"/>
        </w:rPr>
        <w:t>the</w:t>
      </w:r>
      <w:r>
        <w:rPr>
          <w:color w:val="231F20"/>
          <w:spacing w:val="11"/>
          <w:sz w:val="19"/>
        </w:rPr>
        <w:t xml:space="preserve"> </w:t>
      </w:r>
      <w:r>
        <w:rPr>
          <w:color w:val="231F20"/>
          <w:w w:val="132"/>
          <w:sz w:val="19"/>
        </w:rPr>
        <w:t>C</w:t>
      </w:r>
      <w:r>
        <w:rPr>
          <w:color w:val="231F20"/>
          <w:spacing w:val="-4"/>
          <w:w w:val="118"/>
          <w:sz w:val="19"/>
        </w:rPr>
        <w:t>D</w:t>
      </w:r>
      <w:r>
        <w:rPr>
          <w:color w:val="231F20"/>
          <w:spacing w:val="-1"/>
          <w:w w:val="118"/>
          <w:sz w:val="19"/>
        </w:rPr>
        <w:t>U</w:t>
      </w:r>
      <w:r>
        <w:rPr>
          <w:color w:val="231F20"/>
          <w:w w:val="58"/>
          <w:sz w:val="19"/>
        </w:rPr>
        <w:t>/</w:t>
      </w:r>
      <w:r>
        <w:rPr>
          <w:color w:val="231F20"/>
          <w:w w:val="117"/>
          <w:sz w:val="19"/>
        </w:rPr>
        <w:t>CSU</w:t>
      </w:r>
      <w:r>
        <w:rPr>
          <w:color w:val="231F20"/>
          <w:spacing w:val="11"/>
          <w:sz w:val="19"/>
        </w:rPr>
        <w:t xml:space="preserve"> </w:t>
      </w:r>
      <w:r>
        <w:rPr>
          <w:color w:val="231F20"/>
          <w:sz w:val="19"/>
        </w:rPr>
        <w:t>Federal</w:t>
      </w:r>
      <w:r>
        <w:rPr>
          <w:color w:val="231F20"/>
          <w:spacing w:val="11"/>
          <w:sz w:val="19"/>
        </w:rPr>
        <w:t xml:space="preserve"> </w:t>
      </w:r>
      <w:r>
        <w:rPr>
          <w:color w:val="231F20"/>
          <w:w w:val="101"/>
          <w:sz w:val="19"/>
        </w:rPr>
        <w:t>Parliamentary</w:t>
      </w:r>
      <w:r>
        <w:rPr>
          <w:color w:val="231F20"/>
          <w:spacing w:val="11"/>
          <w:sz w:val="19"/>
        </w:rPr>
        <w:t xml:space="preserve"> </w:t>
      </w:r>
      <w:r>
        <w:rPr>
          <w:color w:val="231F20"/>
          <w:w w:val="107"/>
          <w:sz w:val="19"/>
        </w:rPr>
        <w:t>Faction.</w:t>
      </w:r>
    </w:p>
    <w:p w14:paraId="16AF5D85" w14:textId="77777777" w:rsidR="002653E8" w:rsidRDefault="003115E3">
      <w:pPr>
        <w:spacing w:before="128" w:line="276" w:lineRule="auto"/>
        <w:ind w:left="1147" w:right="1439"/>
        <w:rPr>
          <w:sz w:val="19"/>
        </w:rPr>
      </w:pPr>
      <w:r>
        <w:rPr>
          <w:i/>
          <w:color w:val="231F20"/>
          <w:w w:val="105"/>
          <w:sz w:val="19"/>
        </w:rPr>
        <w:t xml:space="preserve">Dümlein, Christine: </w:t>
      </w:r>
      <w:r>
        <w:rPr>
          <w:color w:val="231F20"/>
          <w:w w:val="105"/>
          <w:sz w:val="19"/>
        </w:rPr>
        <w:t xml:space="preserve">b. 1949; 1975, joined the </w:t>
      </w:r>
      <w:r w:rsidR="00C507A5">
        <w:rPr>
          <w:color w:val="231F20"/>
          <w:w w:val="105"/>
          <w:sz w:val="19"/>
        </w:rPr>
        <w:t>red army faction</w:t>
      </w:r>
      <w:r>
        <w:rPr>
          <w:color w:val="231F20"/>
          <w:w w:val="105"/>
          <w:sz w:val="19"/>
        </w:rPr>
        <w:t xml:space="preserve">; 1980, left the </w:t>
      </w:r>
      <w:r w:rsidR="00C507A5">
        <w:rPr>
          <w:color w:val="231F20"/>
          <w:w w:val="105"/>
          <w:sz w:val="19"/>
        </w:rPr>
        <w:t>red army faction</w:t>
      </w:r>
      <w:r>
        <w:rPr>
          <w:color w:val="231F20"/>
          <w:w w:val="105"/>
          <w:sz w:val="19"/>
        </w:rPr>
        <w:t xml:space="preserve"> and received asylum in the GDR; 1990, arrested and cooperated with police</w:t>
      </w:r>
      <w:r>
        <w:rPr>
          <w:color w:val="231F20"/>
          <w:spacing w:val="-7"/>
          <w:w w:val="105"/>
          <w:sz w:val="19"/>
        </w:rPr>
        <w:t xml:space="preserve"> </w:t>
      </w:r>
      <w:r>
        <w:rPr>
          <w:color w:val="231F20"/>
          <w:w w:val="105"/>
          <w:sz w:val="19"/>
        </w:rPr>
        <w:t>and</w:t>
      </w:r>
      <w:r>
        <w:rPr>
          <w:color w:val="231F20"/>
          <w:spacing w:val="-7"/>
          <w:w w:val="105"/>
          <w:sz w:val="19"/>
        </w:rPr>
        <w:t xml:space="preserve"> </w:t>
      </w:r>
      <w:r>
        <w:rPr>
          <w:color w:val="231F20"/>
          <w:w w:val="105"/>
          <w:sz w:val="19"/>
        </w:rPr>
        <w:t>prosecutors,</w:t>
      </w:r>
      <w:r>
        <w:rPr>
          <w:color w:val="231F20"/>
          <w:spacing w:val="-12"/>
          <w:w w:val="105"/>
          <w:sz w:val="19"/>
        </w:rPr>
        <w:t xml:space="preserve"> </w:t>
      </w:r>
      <w:r>
        <w:rPr>
          <w:color w:val="231F20"/>
          <w:w w:val="105"/>
          <w:sz w:val="19"/>
        </w:rPr>
        <w:t>released</w:t>
      </w:r>
      <w:r>
        <w:rPr>
          <w:color w:val="231F20"/>
          <w:spacing w:val="-7"/>
          <w:w w:val="105"/>
          <w:sz w:val="19"/>
        </w:rPr>
        <w:t xml:space="preserve"> </w:t>
      </w:r>
      <w:r>
        <w:rPr>
          <w:color w:val="231F20"/>
          <w:w w:val="105"/>
          <w:sz w:val="19"/>
        </w:rPr>
        <w:t>after</w:t>
      </w:r>
      <w:r>
        <w:rPr>
          <w:color w:val="231F20"/>
          <w:spacing w:val="-7"/>
          <w:w w:val="105"/>
          <w:sz w:val="19"/>
        </w:rPr>
        <w:t xml:space="preserve"> </w:t>
      </w:r>
      <w:r>
        <w:rPr>
          <w:color w:val="231F20"/>
          <w:w w:val="105"/>
          <w:sz w:val="19"/>
        </w:rPr>
        <w:t>one</w:t>
      </w:r>
      <w:r>
        <w:rPr>
          <w:color w:val="231F20"/>
          <w:spacing w:val="-7"/>
          <w:w w:val="105"/>
          <w:sz w:val="19"/>
        </w:rPr>
        <w:t xml:space="preserve"> </w:t>
      </w:r>
      <w:r>
        <w:rPr>
          <w:color w:val="231F20"/>
          <w:w w:val="105"/>
          <w:sz w:val="19"/>
        </w:rPr>
        <w:t>day</w:t>
      </w:r>
      <w:r>
        <w:rPr>
          <w:color w:val="231F20"/>
          <w:spacing w:val="-7"/>
          <w:w w:val="105"/>
          <w:sz w:val="19"/>
        </w:rPr>
        <w:t xml:space="preserve"> </w:t>
      </w:r>
      <w:r>
        <w:rPr>
          <w:color w:val="231F20"/>
          <w:w w:val="105"/>
          <w:sz w:val="19"/>
        </w:rPr>
        <w:t>as</w:t>
      </w:r>
      <w:r>
        <w:rPr>
          <w:color w:val="231F20"/>
          <w:spacing w:val="-7"/>
          <w:w w:val="105"/>
          <w:sz w:val="19"/>
        </w:rPr>
        <w:t xml:space="preserve"> </w:t>
      </w:r>
      <w:r>
        <w:rPr>
          <w:color w:val="231F20"/>
          <w:w w:val="105"/>
          <w:sz w:val="19"/>
        </w:rPr>
        <w:t>the</w:t>
      </w:r>
      <w:r>
        <w:rPr>
          <w:color w:val="231F20"/>
          <w:spacing w:val="-7"/>
          <w:w w:val="105"/>
          <w:sz w:val="19"/>
        </w:rPr>
        <w:t xml:space="preserve"> </w:t>
      </w:r>
      <w:r>
        <w:rPr>
          <w:color w:val="231F20"/>
          <w:w w:val="105"/>
          <w:sz w:val="19"/>
        </w:rPr>
        <w:t>only</w:t>
      </w:r>
      <w:r>
        <w:rPr>
          <w:color w:val="231F20"/>
          <w:spacing w:val="-7"/>
          <w:w w:val="105"/>
          <w:sz w:val="19"/>
        </w:rPr>
        <w:t xml:space="preserve"> </w:t>
      </w:r>
      <w:r>
        <w:rPr>
          <w:color w:val="231F20"/>
          <w:w w:val="105"/>
          <w:sz w:val="19"/>
        </w:rPr>
        <w:t>crime</w:t>
      </w:r>
      <w:r>
        <w:rPr>
          <w:color w:val="231F20"/>
          <w:spacing w:val="-7"/>
          <w:w w:val="105"/>
          <w:sz w:val="19"/>
        </w:rPr>
        <w:t xml:space="preserve"> </w:t>
      </w:r>
      <w:r>
        <w:rPr>
          <w:color w:val="231F20"/>
          <w:w w:val="105"/>
          <w:sz w:val="19"/>
        </w:rPr>
        <w:t>she</w:t>
      </w:r>
      <w:r>
        <w:rPr>
          <w:color w:val="231F20"/>
          <w:spacing w:val="-7"/>
          <w:w w:val="105"/>
          <w:sz w:val="19"/>
        </w:rPr>
        <w:t xml:space="preserve"> </w:t>
      </w:r>
      <w:r>
        <w:rPr>
          <w:color w:val="231F20"/>
          <w:w w:val="105"/>
          <w:sz w:val="19"/>
        </w:rPr>
        <w:t>was guilty of was membership in a terrorist organization, and the statute of limitations had</w:t>
      </w:r>
      <w:r>
        <w:rPr>
          <w:color w:val="231F20"/>
          <w:spacing w:val="18"/>
          <w:w w:val="105"/>
          <w:sz w:val="19"/>
        </w:rPr>
        <w:t xml:space="preserve"> </w:t>
      </w:r>
      <w:r>
        <w:rPr>
          <w:color w:val="231F20"/>
          <w:w w:val="105"/>
          <w:sz w:val="19"/>
        </w:rPr>
        <w:t>expired.</w:t>
      </w:r>
    </w:p>
    <w:p w14:paraId="60A36EC3" w14:textId="77777777" w:rsidR="002653E8" w:rsidRDefault="003115E3">
      <w:pPr>
        <w:spacing w:before="127" w:line="276" w:lineRule="auto"/>
        <w:ind w:left="1147" w:right="1634"/>
        <w:rPr>
          <w:sz w:val="19"/>
        </w:rPr>
      </w:pPr>
      <w:r>
        <w:rPr>
          <w:i/>
          <w:color w:val="231F20"/>
          <w:sz w:val="19"/>
        </w:rPr>
        <w:t xml:space="preserve">Dutschke, Rudi: </w:t>
      </w:r>
      <w:r>
        <w:rPr>
          <w:color w:val="231F20"/>
          <w:sz w:val="19"/>
        </w:rPr>
        <w:t xml:space="preserve">1940-1979; leading theorist for the SDS and the  APO; 1968, victim of an assassination attempt; 1979, founding member of the Green </w:t>
      </w:r>
      <w:r>
        <w:rPr>
          <w:color w:val="231F20"/>
          <w:spacing w:val="-4"/>
          <w:sz w:val="19"/>
        </w:rPr>
        <w:t xml:space="preserve">Party, </w:t>
      </w:r>
      <w:r>
        <w:rPr>
          <w:color w:val="231F20"/>
          <w:sz w:val="19"/>
        </w:rPr>
        <w:t>drowned the same year when he had a seizure while taking     a</w:t>
      </w:r>
      <w:r>
        <w:rPr>
          <w:color w:val="231F20"/>
          <w:spacing w:val="11"/>
          <w:sz w:val="19"/>
        </w:rPr>
        <w:t xml:space="preserve"> </w:t>
      </w:r>
      <w:r>
        <w:rPr>
          <w:color w:val="231F20"/>
          <w:sz w:val="19"/>
        </w:rPr>
        <w:t>bath.</w:t>
      </w:r>
    </w:p>
    <w:p w14:paraId="78DD188F" w14:textId="77777777" w:rsidR="002653E8" w:rsidRDefault="003115E3">
      <w:pPr>
        <w:spacing w:before="127" w:line="276" w:lineRule="auto"/>
        <w:ind w:left="1147" w:right="1580" w:hanging="1"/>
        <w:rPr>
          <w:sz w:val="19"/>
        </w:rPr>
      </w:pPr>
      <w:r>
        <w:rPr>
          <w:i/>
          <w:color w:val="231F20"/>
          <w:w w:val="105"/>
          <w:sz w:val="19"/>
        </w:rPr>
        <w:t xml:space="preserve">Eckes, Christa: </w:t>
      </w:r>
      <w:r>
        <w:rPr>
          <w:color w:val="231F20"/>
          <w:w w:val="105"/>
          <w:sz w:val="19"/>
        </w:rPr>
        <w:t xml:space="preserve">b. 1950; </w:t>
      </w:r>
      <w:r w:rsidR="00C507A5">
        <w:rPr>
          <w:color w:val="231F20"/>
          <w:w w:val="105"/>
          <w:sz w:val="19"/>
        </w:rPr>
        <w:t>red army faction</w:t>
      </w:r>
      <w:r>
        <w:rPr>
          <w:color w:val="231F20"/>
          <w:w w:val="105"/>
          <w:sz w:val="19"/>
        </w:rPr>
        <w:t xml:space="preserve"> member; arrested February 4, 1974; 1984, arrested.</w:t>
      </w:r>
    </w:p>
    <w:p w14:paraId="55043177" w14:textId="77777777" w:rsidR="002653E8" w:rsidRDefault="003115E3">
      <w:pPr>
        <w:spacing w:before="128" w:line="276" w:lineRule="auto"/>
        <w:ind w:left="1147" w:right="1513"/>
        <w:rPr>
          <w:sz w:val="19"/>
        </w:rPr>
      </w:pPr>
      <w:r>
        <w:rPr>
          <w:i/>
          <w:color w:val="231F20"/>
          <w:w w:val="105"/>
          <w:sz w:val="19"/>
        </w:rPr>
        <w:t xml:space="preserve">Eckhardt, Hans: </w:t>
      </w:r>
      <w:r>
        <w:rPr>
          <w:color w:val="231F20"/>
          <w:w w:val="105"/>
          <w:sz w:val="19"/>
        </w:rPr>
        <w:t xml:space="preserve">1922-1972; police officer; 1972, killed in an exchange of fire with </w:t>
      </w:r>
      <w:r w:rsidR="00C507A5">
        <w:rPr>
          <w:color w:val="231F20"/>
          <w:w w:val="105"/>
          <w:sz w:val="19"/>
        </w:rPr>
        <w:t>red army faction</w:t>
      </w:r>
      <w:r>
        <w:rPr>
          <w:color w:val="231F20"/>
          <w:w w:val="105"/>
          <w:sz w:val="19"/>
        </w:rPr>
        <w:t xml:space="preserve"> members.</w:t>
      </w:r>
    </w:p>
    <w:p w14:paraId="1CEA8477" w14:textId="77777777" w:rsidR="002653E8" w:rsidRDefault="003115E3">
      <w:pPr>
        <w:spacing w:before="127" w:line="276" w:lineRule="auto"/>
        <w:ind w:left="1147" w:right="1325"/>
        <w:rPr>
          <w:sz w:val="19"/>
        </w:rPr>
      </w:pPr>
      <w:r>
        <w:rPr>
          <w:i/>
          <w:color w:val="231F20"/>
          <w:w w:val="105"/>
          <w:sz w:val="19"/>
        </w:rPr>
        <w:t xml:space="preserve">Ensslin, Gudrun: </w:t>
      </w:r>
      <w:r>
        <w:rPr>
          <w:color w:val="231F20"/>
          <w:w w:val="105"/>
          <w:sz w:val="19"/>
        </w:rPr>
        <w:t xml:space="preserve">1940-1977; participated in the 1968 Frankfurt department store arsons; founding member of the </w:t>
      </w:r>
      <w:r w:rsidR="00C507A5">
        <w:rPr>
          <w:color w:val="231F20"/>
          <w:w w:val="105"/>
          <w:sz w:val="19"/>
        </w:rPr>
        <w:t>red army faction</w:t>
      </w:r>
      <w:r>
        <w:rPr>
          <w:color w:val="231F20"/>
          <w:w w:val="105"/>
          <w:sz w:val="19"/>
        </w:rPr>
        <w:t>; 1972, arrested following May Offensive; 1977, killed in prison during the events of the German Autumn.</w:t>
      </w:r>
    </w:p>
    <w:p w14:paraId="6BE881B9" w14:textId="77777777" w:rsidR="002653E8" w:rsidRDefault="003115E3">
      <w:pPr>
        <w:spacing w:before="128" w:line="276" w:lineRule="auto"/>
        <w:ind w:left="1147" w:right="1457"/>
        <w:rPr>
          <w:sz w:val="19"/>
        </w:rPr>
      </w:pPr>
      <w:r>
        <w:rPr>
          <w:i/>
          <w:color w:val="231F20"/>
          <w:w w:val="105"/>
          <w:sz w:val="19"/>
        </w:rPr>
        <w:t xml:space="preserve">Epple, Richard: </w:t>
      </w:r>
      <w:r>
        <w:rPr>
          <w:color w:val="231F20"/>
          <w:w w:val="105"/>
          <w:sz w:val="19"/>
        </w:rPr>
        <w:t xml:space="preserve">1954-1972; 1972, killed by police who believed he was a </w:t>
      </w:r>
      <w:r w:rsidR="00C507A5">
        <w:rPr>
          <w:color w:val="231F20"/>
          <w:w w:val="105"/>
          <w:sz w:val="19"/>
        </w:rPr>
        <w:t>red army faction</w:t>
      </w:r>
      <w:r>
        <w:rPr>
          <w:color w:val="231F20"/>
          <w:w w:val="105"/>
          <w:sz w:val="19"/>
        </w:rPr>
        <w:t xml:space="preserve"> member when he ran a police checkpoint.</w:t>
      </w:r>
    </w:p>
    <w:p w14:paraId="51C594C3" w14:textId="77777777" w:rsidR="002653E8" w:rsidRDefault="002653E8">
      <w:pPr>
        <w:spacing w:line="276" w:lineRule="auto"/>
        <w:rPr>
          <w:sz w:val="19"/>
        </w:rPr>
        <w:sectPr w:rsidR="002653E8">
          <w:pgSz w:w="8640" w:h="12960"/>
          <w:pgMar w:top="1080" w:right="0" w:bottom="1040" w:left="0" w:header="0" w:footer="850" w:gutter="0"/>
          <w:cols w:space="720"/>
        </w:sectPr>
      </w:pPr>
    </w:p>
    <w:p w14:paraId="23E8CEBD" w14:textId="77777777" w:rsidR="002653E8" w:rsidRDefault="003115E3">
      <w:pPr>
        <w:spacing w:before="75" w:line="276" w:lineRule="auto"/>
        <w:ind w:left="1327" w:right="2524"/>
        <w:rPr>
          <w:sz w:val="19"/>
        </w:rPr>
      </w:pPr>
      <w:r>
        <w:rPr>
          <w:i/>
          <w:color w:val="231F20"/>
          <w:w w:val="105"/>
          <w:sz w:val="19"/>
        </w:rPr>
        <w:lastRenderedPageBreak/>
        <w:t xml:space="preserve">Filbinger, Hans: </w:t>
      </w:r>
      <w:r>
        <w:rPr>
          <w:color w:val="231F20"/>
          <w:w w:val="105"/>
          <w:sz w:val="19"/>
        </w:rPr>
        <w:t>1913-2007; former hardline Nazi judge; 1966-1978, CDU President of Baden-Württemberg.</w:t>
      </w:r>
    </w:p>
    <w:p w14:paraId="354FF098" w14:textId="77777777" w:rsidR="002653E8" w:rsidRDefault="003115E3">
      <w:pPr>
        <w:spacing w:before="128" w:line="276" w:lineRule="auto"/>
        <w:ind w:left="1327" w:right="1809"/>
        <w:rPr>
          <w:sz w:val="19"/>
        </w:rPr>
      </w:pPr>
      <w:r>
        <w:rPr>
          <w:i/>
          <w:color w:val="231F20"/>
          <w:w w:val="105"/>
          <w:sz w:val="19"/>
        </w:rPr>
        <w:t xml:space="preserve">Fischer, Joschka: </w:t>
      </w:r>
      <w:r>
        <w:rPr>
          <w:color w:val="231F20"/>
          <w:w w:val="105"/>
          <w:sz w:val="19"/>
        </w:rPr>
        <w:t xml:space="preserve">b. 1948; leading figure in the </w:t>
      </w:r>
      <w:r>
        <w:rPr>
          <w:i/>
          <w:color w:val="231F20"/>
          <w:w w:val="105"/>
          <w:sz w:val="19"/>
        </w:rPr>
        <w:t xml:space="preserve">sponti </w:t>
      </w:r>
      <w:r>
        <w:rPr>
          <w:color w:val="231F20"/>
          <w:w w:val="105"/>
          <w:sz w:val="19"/>
        </w:rPr>
        <w:t>movement in the seventies; 1983-1985, Green Party member of parliament;</w:t>
      </w:r>
    </w:p>
    <w:p w14:paraId="56CDB914" w14:textId="77777777" w:rsidR="002653E8" w:rsidRDefault="003115E3">
      <w:pPr>
        <w:spacing w:line="276" w:lineRule="auto"/>
        <w:ind w:left="1327" w:right="1196"/>
        <w:rPr>
          <w:sz w:val="19"/>
        </w:rPr>
      </w:pPr>
      <w:r>
        <w:rPr>
          <w:color w:val="231F20"/>
          <w:w w:val="105"/>
          <w:sz w:val="19"/>
        </w:rPr>
        <w:t>1991-1994, Minister of the Environment in Hessen; 1998-2005, Federal Minister of Foreign Affairs.</w:t>
      </w:r>
    </w:p>
    <w:p w14:paraId="2D422782" w14:textId="77777777" w:rsidR="002653E8" w:rsidRDefault="003115E3">
      <w:pPr>
        <w:spacing w:before="127" w:line="276" w:lineRule="auto"/>
        <w:ind w:left="1327" w:right="1145"/>
        <w:rPr>
          <w:sz w:val="19"/>
        </w:rPr>
      </w:pPr>
      <w:r>
        <w:rPr>
          <w:i/>
          <w:color w:val="231F20"/>
          <w:w w:val="105"/>
          <w:sz w:val="19"/>
        </w:rPr>
        <w:t xml:space="preserve">Folkerts, Knut: </w:t>
      </w:r>
      <w:r>
        <w:rPr>
          <w:color w:val="231F20"/>
          <w:w w:val="105"/>
          <w:sz w:val="19"/>
        </w:rPr>
        <w:t xml:space="preserve">b. 1952; </w:t>
      </w:r>
      <w:r w:rsidR="00C507A5">
        <w:rPr>
          <w:color w:val="231F20"/>
          <w:w w:val="105"/>
          <w:sz w:val="19"/>
        </w:rPr>
        <w:t>red army faction</w:t>
      </w:r>
      <w:r>
        <w:rPr>
          <w:color w:val="231F20"/>
          <w:w w:val="105"/>
          <w:sz w:val="19"/>
        </w:rPr>
        <w:t xml:space="preserve"> member; 1977, arrested; 1995, released from prison.</w:t>
      </w:r>
    </w:p>
    <w:p w14:paraId="5DF267A3" w14:textId="77777777" w:rsidR="002653E8" w:rsidRDefault="003115E3">
      <w:pPr>
        <w:spacing w:before="128" w:line="276" w:lineRule="auto"/>
        <w:ind w:left="1327" w:right="1145"/>
        <w:rPr>
          <w:sz w:val="19"/>
        </w:rPr>
      </w:pPr>
      <w:r>
        <w:rPr>
          <w:i/>
          <w:color w:val="231F20"/>
          <w:w w:val="105"/>
          <w:sz w:val="19"/>
        </w:rPr>
        <w:t xml:space="preserve">Folkerts, Uwe: </w:t>
      </w:r>
      <w:r>
        <w:rPr>
          <w:color w:val="231F20"/>
          <w:w w:val="105"/>
          <w:sz w:val="19"/>
        </w:rPr>
        <w:t>b. 1948; brother of Knut Folkerts, arrested May 4, 1977, found guilty of supporting a criminal organization and released after eighteen months.</w:t>
      </w:r>
    </w:p>
    <w:p w14:paraId="377EC802" w14:textId="77777777" w:rsidR="002653E8" w:rsidRDefault="003115E3">
      <w:pPr>
        <w:spacing w:before="127"/>
        <w:ind w:left="1327"/>
        <w:rPr>
          <w:sz w:val="19"/>
        </w:rPr>
      </w:pPr>
      <w:r>
        <w:rPr>
          <w:i/>
          <w:color w:val="231F20"/>
          <w:w w:val="105"/>
          <w:sz w:val="19"/>
        </w:rPr>
        <w:t xml:space="preserve">Fried, Erich: </w:t>
      </w:r>
      <w:r>
        <w:rPr>
          <w:color w:val="231F20"/>
          <w:w w:val="105"/>
          <w:sz w:val="19"/>
        </w:rPr>
        <w:t xml:space="preserve">1921-1988; Austrian poet, </w:t>
      </w:r>
      <w:r>
        <w:rPr>
          <w:i/>
          <w:color w:val="231F20"/>
          <w:w w:val="105"/>
          <w:sz w:val="19"/>
        </w:rPr>
        <w:t xml:space="preserve">Gruppe 47 </w:t>
      </w:r>
      <w:r>
        <w:rPr>
          <w:color w:val="231F20"/>
          <w:w w:val="105"/>
          <w:sz w:val="19"/>
        </w:rPr>
        <w:t>member.</w:t>
      </w:r>
    </w:p>
    <w:p w14:paraId="15CBCEDE" w14:textId="77777777" w:rsidR="002653E8" w:rsidRDefault="003115E3">
      <w:pPr>
        <w:spacing w:before="161" w:line="276" w:lineRule="auto"/>
        <w:ind w:left="1327" w:right="1333"/>
        <w:rPr>
          <w:sz w:val="19"/>
        </w:rPr>
      </w:pPr>
      <w:r>
        <w:rPr>
          <w:i/>
          <w:color w:val="231F20"/>
          <w:w w:val="105"/>
          <w:sz w:val="19"/>
        </w:rPr>
        <w:t xml:space="preserve">Friedrich, Ralf Baptist: </w:t>
      </w:r>
      <w:r>
        <w:rPr>
          <w:color w:val="231F20"/>
          <w:w w:val="105"/>
          <w:sz w:val="19"/>
        </w:rPr>
        <w:t xml:space="preserve">b. 1946; 1977, joined the </w:t>
      </w:r>
      <w:r w:rsidR="00C507A5">
        <w:rPr>
          <w:color w:val="231F20"/>
          <w:w w:val="105"/>
          <w:sz w:val="19"/>
        </w:rPr>
        <w:t>red army faction</w:t>
      </w:r>
      <w:r>
        <w:rPr>
          <w:color w:val="231F20"/>
          <w:w w:val="105"/>
          <w:sz w:val="19"/>
        </w:rPr>
        <w:t xml:space="preserve">; 1980, left the </w:t>
      </w:r>
      <w:r w:rsidR="00C507A5">
        <w:rPr>
          <w:color w:val="231F20"/>
          <w:w w:val="105"/>
          <w:sz w:val="19"/>
        </w:rPr>
        <w:t>red army faction</w:t>
      </w:r>
      <w:r>
        <w:rPr>
          <w:color w:val="231F20"/>
          <w:w w:val="105"/>
          <w:sz w:val="19"/>
        </w:rPr>
        <w:t xml:space="preserve"> and received asylum in the GDR; 1990, arrested and cooperated with police and prosecutors.</w:t>
      </w:r>
    </w:p>
    <w:p w14:paraId="46CBE1D5" w14:textId="77777777" w:rsidR="002653E8" w:rsidRDefault="003115E3">
      <w:pPr>
        <w:spacing w:before="128" w:line="276" w:lineRule="auto"/>
        <w:ind w:left="1327" w:right="1363" w:hanging="1"/>
        <w:rPr>
          <w:sz w:val="19"/>
        </w:rPr>
      </w:pPr>
      <w:r>
        <w:rPr>
          <w:i/>
          <w:color w:val="231F20"/>
          <w:spacing w:val="-3"/>
          <w:w w:val="110"/>
          <w:sz w:val="19"/>
        </w:rPr>
        <w:t>Genscher,</w:t>
      </w:r>
      <w:r>
        <w:rPr>
          <w:i/>
          <w:color w:val="231F20"/>
          <w:spacing w:val="-19"/>
          <w:w w:val="110"/>
          <w:sz w:val="19"/>
        </w:rPr>
        <w:t xml:space="preserve"> </w:t>
      </w:r>
      <w:r>
        <w:rPr>
          <w:i/>
          <w:color w:val="231F20"/>
          <w:w w:val="110"/>
          <w:sz w:val="19"/>
        </w:rPr>
        <w:t>Hans-Dietrich:</w:t>
      </w:r>
      <w:r>
        <w:rPr>
          <w:i/>
          <w:color w:val="231F20"/>
          <w:spacing w:val="-15"/>
          <w:w w:val="110"/>
          <w:sz w:val="19"/>
        </w:rPr>
        <w:t xml:space="preserve"> </w:t>
      </w:r>
      <w:r>
        <w:rPr>
          <w:color w:val="231F20"/>
          <w:w w:val="110"/>
          <w:sz w:val="19"/>
        </w:rPr>
        <w:t>b.</w:t>
      </w:r>
      <w:r>
        <w:rPr>
          <w:color w:val="231F20"/>
          <w:spacing w:val="-19"/>
          <w:w w:val="110"/>
          <w:sz w:val="19"/>
        </w:rPr>
        <w:t xml:space="preserve"> </w:t>
      </w:r>
      <w:r>
        <w:rPr>
          <w:color w:val="231F20"/>
          <w:w w:val="110"/>
          <w:sz w:val="19"/>
        </w:rPr>
        <w:t>1927;</w:t>
      </w:r>
      <w:r>
        <w:rPr>
          <w:color w:val="231F20"/>
          <w:spacing w:val="-15"/>
          <w:w w:val="110"/>
          <w:sz w:val="19"/>
        </w:rPr>
        <w:t xml:space="preserve"> </w:t>
      </w:r>
      <w:r>
        <w:rPr>
          <w:color w:val="231F20"/>
          <w:w w:val="110"/>
          <w:sz w:val="19"/>
        </w:rPr>
        <w:t>FDP</w:t>
      </w:r>
      <w:r>
        <w:rPr>
          <w:color w:val="231F20"/>
          <w:spacing w:val="-15"/>
          <w:w w:val="110"/>
          <w:sz w:val="19"/>
        </w:rPr>
        <w:t xml:space="preserve"> </w:t>
      </w:r>
      <w:r>
        <w:rPr>
          <w:color w:val="231F20"/>
          <w:w w:val="110"/>
          <w:sz w:val="19"/>
        </w:rPr>
        <w:t>politician;</w:t>
      </w:r>
      <w:r>
        <w:rPr>
          <w:color w:val="231F20"/>
          <w:spacing w:val="-15"/>
          <w:w w:val="110"/>
          <w:sz w:val="19"/>
        </w:rPr>
        <w:t xml:space="preserve"> </w:t>
      </w:r>
      <w:r>
        <w:rPr>
          <w:color w:val="231F20"/>
          <w:w w:val="110"/>
          <w:sz w:val="19"/>
        </w:rPr>
        <w:t>1969-1974,</w:t>
      </w:r>
      <w:r>
        <w:rPr>
          <w:color w:val="231F20"/>
          <w:spacing w:val="-19"/>
          <w:w w:val="110"/>
          <w:sz w:val="19"/>
        </w:rPr>
        <w:t xml:space="preserve"> </w:t>
      </w:r>
      <w:r>
        <w:rPr>
          <w:color w:val="231F20"/>
          <w:w w:val="110"/>
          <w:sz w:val="19"/>
        </w:rPr>
        <w:t>Federal Minister of the Interior; 1974-1992, Federal Minister for Foreign Affairs.</w:t>
      </w:r>
    </w:p>
    <w:p w14:paraId="16A37149" w14:textId="77777777" w:rsidR="002653E8" w:rsidRDefault="003115E3">
      <w:pPr>
        <w:spacing w:before="128" w:line="276" w:lineRule="auto"/>
        <w:ind w:left="1327" w:right="1145"/>
        <w:rPr>
          <w:sz w:val="19"/>
        </w:rPr>
      </w:pPr>
      <w:r>
        <w:rPr>
          <w:i/>
          <w:color w:val="231F20"/>
          <w:w w:val="105"/>
          <w:sz w:val="19"/>
        </w:rPr>
        <w:t xml:space="preserve">Gnädinger, Fritz-Joachim: </w:t>
      </w:r>
      <w:r>
        <w:rPr>
          <w:color w:val="231F20"/>
          <w:w w:val="105"/>
          <w:sz w:val="19"/>
        </w:rPr>
        <w:t>b. 1938; Federal Prosecutor; 1969-1975, SPD member of parliament.</w:t>
      </w:r>
    </w:p>
    <w:p w14:paraId="173DCD3F" w14:textId="77777777" w:rsidR="002653E8" w:rsidRDefault="003115E3">
      <w:pPr>
        <w:spacing w:before="127" w:line="276" w:lineRule="auto"/>
        <w:ind w:left="1327" w:right="1413" w:hanging="1"/>
        <w:rPr>
          <w:sz w:val="19"/>
        </w:rPr>
      </w:pPr>
      <w:r>
        <w:rPr>
          <w:i/>
          <w:color w:val="231F20"/>
          <w:w w:val="110"/>
          <w:sz w:val="19"/>
        </w:rPr>
        <w:t>Göbel,</w:t>
      </w:r>
      <w:r>
        <w:rPr>
          <w:i/>
          <w:color w:val="231F20"/>
          <w:spacing w:val="-29"/>
          <w:w w:val="110"/>
          <w:sz w:val="19"/>
        </w:rPr>
        <w:t xml:space="preserve"> </w:t>
      </w:r>
      <w:r>
        <w:rPr>
          <w:i/>
          <w:color w:val="231F20"/>
          <w:w w:val="110"/>
          <w:sz w:val="19"/>
        </w:rPr>
        <w:t>Wolfgang:</w:t>
      </w:r>
      <w:r>
        <w:rPr>
          <w:i/>
          <w:color w:val="231F20"/>
          <w:spacing w:val="-23"/>
          <w:w w:val="110"/>
          <w:sz w:val="19"/>
        </w:rPr>
        <w:t xml:space="preserve"> </w:t>
      </w:r>
      <w:r>
        <w:rPr>
          <w:color w:val="231F20"/>
          <w:w w:val="110"/>
          <w:sz w:val="19"/>
        </w:rPr>
        <w:t>1947-1977;</w:t>
      </w:r>
      <w:r>
        <w:rPr>
          <w:color w:val="231F20"/>
          <w:spacing w:val="-23"/>
          <w:w w:val="110"/>
          <w:sz w:val="19"/>
        </w:rPr>
        <w:t xml:space="preserve"> </w:t>
      </w:r>
      <w:r>
        <w:rPr>
          <w:color w:val="231F20"/>
          <w:w w:val="110"/>
          <w:sz w:val="19"/>
        </w:rPr>
        <w:t>Buback’s</w:t>
      </w:r>
      <w:r>
        <w:rPr>
          <w:color w:val="231F20"/>
          <w:spacing w:val="-23"/>
          <w:w w:val="110"/>
          <w:sz w:val="19"/>
        </w:rPr>
        <w:t xml:space="preserve"> </w:t>
      </w:r>
      <w:r>
        <w:rPr>
          <w:color w:val="231F20"/>
          <w:w w:val="110"/>
          <w:sz w:val="19"/>
        </w:rPr>
        <w:t>chauffeur;</w:t>
      </w:r>
      <w:r>
        <w:rPr>
          <w:color w:val="231F20"/>
          <w:spacing w:val="-23"/>
          <w:w w:val="110"/>
          <w:sz w:val="19"/>
        </w:rPr>
        <w:t xml:space="preserve"> </w:t>
      </w:r>
      <w:r>
        <w:rPr>
          <w:color w:val="231F20"/>
          <w:w w:val="110"/>
          <w:sz w:val="19"/>
        </w:rPr>
        <w:t>1977,</w:t>
      </w:r>
      <w:r>
        <w:rPr>
          <w:color w:val="231F20"/>
          <w:spacing w:val="-26"/>
          <w:w w:val="110"/>
          <w:sz w:val="19"/>
        </w:rPr>
        <w:t xml:space="preserve"> </w:t>
      </w:r>
      <w:r>
        <w:rPr>
          <w:color w:val="231F20"/>
          <w:w w:val="110"/>
          <w:sz w:val="19"/>
        </w:rPr>
        <w:t>killed</w:t>
      </w:r>
      <w:r>
        <w:rPr>
          <w:color w:val="231F20"/>
          <w:spacing w:val="-23"/>
          <w:w w:val="110"/>
          <w:sz w:val="19"/>
        </w:rPr>
        <w:t xml:space="preserve"> </w:t>
      </w:r>
      <w:r>
        <w:rPr>
          <w:color w:val="231F20"/>
          <w:w w:val="110"/>
          <w:sz w:val="19"/>
        </w:rPr>
        <w:t>by</w:t>
      </w:r>
      <w:r>
        <w:rPr>
          <w:color w:val="231F20"/>
          <w:spacing w:val="-23"/>
          <w:w w:val="110"/>
          <w:sz w:val="19"/>
        </w:rPr>
        <w:t xml:space="preserve"> </w:t>
      </w:r>
      <w:r>
        <w:rPr>
          <w:color w:val="231F20"/>
          <w:w w:val="110"/>
          <w:sz w:val="19"/>
        </w:rPr>
        <w:t xml:space="preserve">the </w:t>
      </w:r>
      <w:r w:rsidR="00C507A5">
        <w:rPr>
          <w:color w:val="231F20"/>
          <w:spacing w:val="-7"/>
          <w:w w:val="110"/>
          <w:sz w:val="19"/>
        </w:rPr>
        <w:t>red army faction</w:t>
      </w:r>
      <w:r>
        <w:rPr>
          <w:color w:val="231F20"/>
          <w:spacing w:val="-7"/>
          <w:w w:val="110"/>
          <w:sz w:val="19"/>
        </w:rPr>
        <w:t>.</w:t>
      </w:r>
    </w:p>
    <w:p w14:paraId="38F7A78E" w14:textId="77777777" w:rsidR="002653E8" w:rsidRDefault="003115E3">
      <w:pPr>
        <w:spacing w:before="128" w:line="276" w:lineRule="auto"/>
        <w:ind w:left="1327" w:right="1145"/>
        <w:rPr>
          <w:sz w:val="19"/>
        </w:rPr>
      </w:pPr>
      <w:r>
        <w:rPr>
          <w:i/>
          <w:color w:val="231F20"/>
          <w:w w:val="105"/>
          <w:sz w:val="19"/>
        </w:rPr>
        <w:t xml:space="preserve">Goemans, Johannes: </w:t>
      </w:r>
      <w:r>
        <w:rPr>
          <w:color w:val="231F20"/>
          <w:w w:val="105"/>
          <w:sz w:val="19"/>
        </w:rPr>
        <w:t xml:space="preserve">1954-1978; Dutch customs officer; 1978, killed in exchange of fire with </w:t>
      </w:r>
      <w:r w:rsidR="00C507A5">
        <w:rPr>
          <w:color w:val="231F20"/>
          <w:w w:val="105"/>
          <w:sz w:val="19"/>
        </w:rPr>
        <w:t>red army faction</w:t>
      </w:r>
      <w:r>
        <w:rPr>
          <w:color w:val="231F20"/>
          <w:w w:val="105"/>
          <w:sz w:val="19"/>
        </w:rPr>
        <w:t xml:space="preserve"> members.</w:t>
      </w:r>
    </w:p>
    <w:p w14:paraId="0FE3B8DF" w14:textId="77777777" w:rsidR="002653E8" w:rsidRDefault="003115E3">
      <w:pPr>
        <w:spacing w:before="128" w:line="276" w:lineRule="auto"/>
        <w:ind w:left="1327" w:right="1145"/>
        <w:rPr>
          <w:sz w:val="19"/>
        </w:rPr>
      </w:pPr>
      <w:r>
        <w:rPr>
          <w:i/>
          <w:color w:val="231F20"/>
          <w:w w:val="105"/>
          <w:sz w:val="19"/>
        </w:rPr>
        <w:t xml:space="preserve">Goergens, Irene: </w:t>
      </w:r>
      <w:r>
        <w:rPr>
          <w:color w:val="231F20"/>
          <w:w w:val="105"/>
          <w:sz w:val="19"/>
        </w:rPr>
        <w:t xml:space="preserve">b. 1951; founding member of the </w:t>
      </w:r>
      <w:r w:rsidR="00C507A5">
        <w:rPr>
          <w:color w:val="231F20"/>
          <w:w w:val="105"/>
          <w:sz w:val="19"/>
        </w:rPr>
        <w:t>red army faction</w:t>
      </w:r>
      <w:r>
        <w:rPr>
          <w:color w:val="231F20"/>
          <w:w w:val="105"/>
          <w:sz w:val="19"/>
        </w:rPr>
        <w:t>; 1970, arrested; 1977, released from prison.</w:t>
      </w:r>
    </w:p>
    <w:p w14:paraId="2E380506" w14:textId="77777777" w:rsidR="002653E8" w:rsidRDefault="003115E3">
      <w:pPr>
        <w:spacing w:before="127" w:line="276" w:lineRule="auto"/>
        <w:ind w:left="1327" w:right="1479" w:hanging="1"/>
        <w:rPr>
          <w:sz w:val="19"/>
        </w:rPr>
      </w:pPr>
      <w:r>
        <w:rPr>
          <w:i/>
          <w:color w:val="231F20"/>
          <w:w w:val="105"/>
          <w:sz w:val="19"/>
        </w:rPr>
        <w:t xml:space="preserve">Grashof, Manfred: </w:t>
      </w:r>
      <w:r>
        <w:rPr>
          <w:color w:val="231F20"/>
          <w:w w:val="105"/>
          <w:sz w:val="19"/>
        </w:rPr>
        <w:t xml:space="preserve">b. 1946; 1970, joined </w:t>
      </w:r>
      <w:r w:rsidR="00C507A5">
        <w:rPr>
          <w:color w:val="231F20"/>
          <w:w w:val="105"/>
          <w:sz w:val="19"/>
        </w:rPr>
        <w:t>red army faction</w:t>
      </w:r>
      <w:r>
        <w:rPr>
          <w:color w:val="231F20"/>
          <w:w w:val="105"/>
          <w:sz w:val="19"/>
        </w:rPr>
        <w:t xml:space="preserve">; 1972, arrested prior to the May Offensive, broke with the </w:t>
      </w:r>
      <w:r w:rsidR="00C507A5">
        <w:rPr>
          <w:color w:val="231F20"/>
          <w:w w:val="105"/>
          <w:sz w:val="19"/>
        </w:rPr>
        <w:t>red army faction</w:t>
      </w:r>
      <w:r>
        <w:rPr>
          <w:color w:val="231F20"/>
          <w:w w:val="105"/>
          <w:sz w:val="19"/>
        </w:rPr>
        <w:t xml:space="preserve"> in prison; 1988, pardoned.</w:t>
      </w:r>
    </w:p>
    <w:p w14:paraId="362591FE" w14:textId="77777777" w:rsidR="002653E8" w:rsidRDefault="003115E3">
      <w:pPr>
        <w:spacing w:before="128" w:line="276" w:lineRule="auto"/>
        <w:ind w:left="1327" w:right="1316" w:hanging="1"/>
        <w:rPr>
          <w:sz w:val="19"/>
        </w:rPr>
      </w:pPr>
      <w:r>
        <w:rPr>
          <w:i/>
          <w:color w:val="231F20"/>
          <w:w w:val="110"/>
          <w:sz w:val="19"/>
        </w:rPr>
        <w:t>Groenewold,</w:t>
      </w:r>
      <w:r>
        <w:rPr>
          <w:i/>
          <w:color w:val="231F20"/>
          <w:spacing w:val="-21"/>
          <w:w w:val="110"/>
          <w:sz w:val="19"/>
        </w:rPr>
        <w:t xml:space="preserve"> </w:t>
      </w:r>
      <w:r>
        <w:rPr>
          <w:i/>
          <w:color w:val="231F20"/>
          <w:w w:val="110"/>
          <w:sz w:val="19"/>
        </w:rPr>
        <w:t>Kurt:</w:t>
      </w:r>
      <w:r>
        <w:rPr>
          <w:i/>
          <w:color w:val="231F20"/>
          <w:spacing w:val="-17"/>
          <w:w w:val="110"/>
          <w:sz w:val="19"/>
        </w:rPr>
        <w:t xml:space="preserve"> </w:t>
      </w:r>
      <w:r>
        <w:rPr>
          <w:color w:val="231F20"/>
          <w:w w:val="110"/>
          <w:sz w:val="19"/>
        </w:rPr>
        <w:t>b.</w:t>
      </w:r>
      <w:r>
        <w:rPr>
          <w:color w:val="231F20"/>
          <w:spacing w:val="-21"/>
          <w:w w:val="110"/>
          <w:sz w:val="19"/>
        </w:rPr>
        <w:t xml:space="preserve"> </w:t>
      </w:r>
      <w:r>
        <w:rPr>
          <w:color w:val="231F20"/>
          <w:w w:val="110"/>
          <w:sz w:val="19"/>
        </w:rPr>
        <w:t>1937;</w:t>
      </w:r>
      <w:r>
        <w:rPr>
          <w:color w:val="231F20"/>
          <w:spacing w:val="-17"/>
          <w:w w:val="110"/>
          <w:sz w:val="19"/>
        </w:rPr>
        <w:t xml:space="preserve"> </w:t>
      </w:r>
      <w:r>
        <w:rPr>
          <w:color w:val="231F20"/>
          <w:w w:val="110"/>
          <w:sz w:val="19"/>
        </w:rPr>
        <w:t>lawyer</w:t>
      </w:r>
      <w:r>
        <w:rPr>
          <w:color w:val="231F20"/>
          <w:spacing w:val="-17"/>
          <w:w w:val="110"/>
          <w:sz w:val="19"/>
        </w:rPr>
        <w:t xml:space="preserve"> </w:t>
      </w:r>
      <w:r>
        <w:rPr>
          <w:color w:val="231F20"/>
          <w:w w:val="110"/>
          <w:sz w:val="19"/>
        </w:rPr>
        <w:t>for</w:t>
      </w:r>
      <w:r>
        <w:rPr>
          <w:color w:val="231F20"/>
          <w:spacing w:val="-17"/>
          <w:w w:val="110"/>
          <w:sz w:val="19"/>
        </w:rPr>
        <w:t xml:space="preserve"> </w:t>
      </w:r>
      <w:r w:rsidR="00C507A5">
        <w:rPr>
          <w:color w:val="231F20"/>
          <w:w w:val="110"/>
          <w:sz w:val="19"/>
        </w:rPr>
        <w:t>red army faction</w:t>
      </w:r>
      <w:r>
        <w:rPr>
          <w:color w:val="231F20"/>
          <w:spacing w:val="-17"/>
          <w:w w:val="110"/>
          <w:sz w:val="19"/>
        </w:rPr>
        <w:t xml:space="preserve"> </w:t>
      </w:r>
      <w:r>
        <w:rPr>
          <w:color w:val="231F20"/>
          <w:w w:val="110"/>
          <w:sz w:val="19"/>
        </w:rPr>
        <w:t>prisoners;</w:t>
      </w:r>
      <w:r>
        <w:rPr>
          <w:color w:val="231F20"/>
          <w:spacing w:val="-17"/>
          <w:w w:val="110"/>
          <w:sz w:val="19"/>
        </w:rPr>
        <w:t xml:space="preserve"> </w:t>
      </w:r>
      <w:r>
        <w:rPr>
          <w:color w:val="231F20"/>
          <w:w w:val="110"/>
          <w:sz w:val="19"/>
        </w:rPr>
        <w:t>1975,</w:t>
      </w:r>
      <w:r>
        <w:rPr>
          <w:color w:val="231F20"/>
          <w:spacing w:val="-21"/>
          <w:w w:val="110"/>
          <w:sz w:val="19"/>
        </w:rPr>
        <w:t xml:space="preserve"> </w:t>
      </w:r>
      <w:r>
        <w:rPr>
          <w:color w:val="231F20"/>
          <w:w w:val="110"/>
          <w:sz w:val="19"/>
        </w:rPr>
        <w:t>subjected to the</w:t>
      </w:r>
      <w:r>
        <w:rPr>
          <w:color w:val="231F20"/>
          <w:spacing w:val="13"/>
          <w:w w:val="110"/>
          <w:sz w:val="19"/>
        </w:rPr>
        <w:t xml:space="preserve"> </w:t>
      </w:r>
      <w:r>
        <w:rPr>
          <w:i/>
          <w:color w:val="231F20"/>
          <w:w w:val="110"/>
          <w:sz w:val="19"/>
        </w:rPr>
        <w:t>Berufsverbot</w:t>
      </w:r>
      <w:r>
        <w:rPr>
          <w:color w:val="231F20"/>
          <w:w w:val="110"/>
          <w:sz w:val="19"/>
        </w:rPr>
        <w:t>.</w:t>
      </w:r>
    </w:p>
    <w:p w14:paraId="5A5E9CCE" w14:textId="77777777" w:rsidR="002653E8" w:rsidRDefault="003115E3">
      <w:pPr>
        <w:spacing w:before="128"/>
        <w:ind w:left="1327"/>
        <w:rPr>
          <w:sz w:val="19"/>
        </w:rPr>
      </w:pPr>
      <w:r>
        <w:rPr>
          <w:i/>
          <w:color w:val="231F20"/>
          <w:w w:val="105"/>
          <w:sz w:val="19"/>
        </w:rPr>
        <w:t xml:space="preserve">Grundmann, Wolfgang: </w:t>
      </w:r>
      <w:r>
        <w:rPr>
          <w:color w:val="231F20"/>
          <w:w w:val="105"/>
          <w:sz w:val="19"/>
        </w:rPr>
        <w:t xml:space="preserve">b. 1948; founding member of the </w:t>
      </w:r>
      <w:r w:rsidR="00C507A5">
        <w:rPr>
          <w:color w:val="231F20"/>
          <w:w w:val="105"/>
          <w:sz w:val="19"/>
        </w:rPr>
        <w:t>red army faction</w:t>
      </w:r>
      <w:r>
        <w:rPr>
          <w:color w:val="231F20"/>
          <w:w w:val="105"/>
          <w:sz w:val="19"/>
        </w:rPr>
        <w:t>;</w:t>
      </w:r>
    </w:p>
    <w:p w14:paraId="7AB27B60" w14:textId="77777777" w:rsidR="002653E8" w:rsidRDefault="003115E3">
      <w:pPr>
        <w:spacing w:before="33"/>
        <w:ind w:left="1327"/>
        <w:rPr>
          <w:sz w:val="19"/>
        </w:rPr>
      </w:pPr>
      <w:r>
        <w:rPr>
          <w:color w:val="231F20"/>
          <w:w w:val="105"/>
          <w:sz w:val="19"/>
        </w:rPr>
        <w:t>1972, arrested prior to the May Offensive; 1976, released from prison.</w:t>
      </w:r>
    </w:p>
    <w:p w14:paraId="2C340B56" w14:textId="77777777" w:rsidR="002653E8" w:rsidRDefault="003115E3">
      <w:pPr>
        <w:spacing w:before="161"/>
        <w:ind w:left="1327"/>
        <w:rPr>
          <w:sz w:val="19"/>
        </w:rPr>
      </w:pPr>
      <w:r>
        <w:rPr>
          <w:i/>
          <w:color w:val="231F20"/>
          <w:w w:val="105"/>
          <w:sz w:val="19"/>
        </w:rPr>
        <w:t xml:space="preserve">Grustadt, Eric: </w:t>
      </w:r>
      <w:r>
        <w:rPr>
          <w:color w:val="231F20"/>
          <w:w w:val="105"/>
          <w:sz w:val="19"/>
        </w:rPr>
        <w:t xml:space="preserve">b. 1936; 1970, joined the </w:t>
      </w:r>
      <w:r w:rsidR="00C507A5">
        <w:rPr>
          <w:color w:val="231F20"/>
          <w:w w:val="105"/>
          <w:sz w:val="19"/>
        </w:rPr>
        <w:t>red army faction</w:t>
      </w:r>
      <w:r>
        <w:rPr>
          <w:color w:val="231F20"/>
          <w:w w:val="105"/>
          <w:sz w:val="19"/>
        </w:rPr>
        <w:t>, arrested the same year.</w:t>
      </w:r>
    </w:p>
    <w:p w14:paraId="63A3A6A6" w14:textId="77777777" w:rsidR="002653E8" w:rsidRDefault="002653E8">
      <w:pPr>
        <w:rPr>
          <w:sz w:val="19"/>
        </w:rPr>
        <w:sectPr w:rsidR="002653E8">
          <w:footerReference w:type="even" r:id="rId482"/>
          <w:footerReference w:type="default" r:id="rId483"/>
          <w:pgSz w:w="8640" w:h="12960"/>
          <w:pgMar w:top="1080" w:right="0" w:bottom="1040" w:left="0" w:header="0" w:footer="850" w:gutter="0"/>
          <w:cols w:space="720"/>
        </w:sectPr>
      </w:pPr>
    </w:p>
    <w:p w14:paraId="183D284A" w14:textId="77777777" w:rsidR="002653E8" w:rsidRDefault="003115E3">
      <w:pPr>
        <w:spacing w:before="75" w:line="276" w:lineRule="auto"/>
        <w:ind w:left="1147" w:right="1319"/>
        <w:rPr>
          <w:sz w:val="19"/>
        </w:rPr>
      </w:pPr>
      <w:r>
        <w:rPr>
          <w:i/>
          <w:color w:val="231F20"/>
          <w:w w:val="105"/>
          <w:sz w:val="19"/>
        </w:rPr>
        <w:lastRenderedPageBreak/>
        <w:t xml:space="preserve">Haag, Siegfried: </w:t>
      </w:r>
      <w:r>
        <w:rPr>
          <w:color w:val="231F20"/>
          <w:w w:val="105"/>
          <w:sz w:val="19"/>
        </w:rPr>
        <w:t xml:space="preserve">b. 1944; 1972, served as lawyer for Andreas Baader; 1975, went underground; 1976, arrested, alleged to have organized both the 1975 Stockholm action and the 1977 offensive; broke with the </w:t>
      </w:r>
      <w:r w:rsidR="00C507A5">
        <w:rPr>
          <w:color w:val="231F20"/>
          <w:w w:val="105"/>
          <w:sz w:val="19"/>
        </w:rPr>
        <w:t>red army faction</w:t>
      </w:r>
      <w:r>
        <w:rPr>
          <w:color w:val="231F20"/>
          <w:w w:val="105"/>
          <w:sz w:val="19"/>
        </w:rPr>
        <w:t xml:space="preserve"> in prison; 1987, released from prison.</w:t>
      </w:r>
    </w:p>
    <w:p w14:paraId="7D3F6DA1" w14:textId="77777777" w:rsidR="002653E8" w:rsidRDefault="003115E3">
      <w:pPr>
        <w:spacing w:before="127" w:line="276" w:lineRule="auto"/>
        <w:ind w:left="1147" w:right="1399" w:hanging="1"/>
        <w:rPr>
          <w:sz w:val="19"/>
        </w:rPr>
      </w:pPr>
      <w:r>
        <w:rPr>
          <w:i/>
          <w:color w:val="231F20"/>
          <w:w w:val="105"/>
          <w:sz w:val="19"/>
        </w:rPr>
        <w:t xml:space="preserve">Haddad, Waddi: </w:t>
      </w:r>
      <w:r>
        <w:rPr>
          <w:color w:val="231F20"/>
          <w:w w:val="105"/>
          <w:sz w:val="19"/>
        </w:rPr>
        <w:t>1927-1978; 1967-1970, leading figure in the PFLP’s military wing; expelled from the PFLP at some point in the 1970s; at some point between 1970 and 1972 established the PFLP (EO) as a body separate from the PFLP; 1977, poisoned by the Mossad, succumbs in 1978.</w:t>
      </w:r>
    </w:p>
    <w:p w14:paraId="055DB606" w14:textId="77777777" w:rsidR="002653E8" w:rsidRDefault="003115E3">
      <w:pPr>
        <w:spacing w:before="128" w:line="276" w:lineRule="auto"/>
        <w:ind w:left="1147" w:right="1559"/>
        <w:rPr>
          <w:sz w:val="19"/>
        </w:rPr>
      </w:pPr>
      <w:r>
        <w:rPr>
          <w:i/>
          <w:color w:val="231F20"/>
          <w:w w:val="105"/>
          <w:sz w:val="19"/>
        </w:rPr>
        <w:t xml:space="preserve">Hammerschmidt, Katharina: </w:t>
      </w:r>
      <w:r>
        <w:rPr>
          <w:color w:val="231F20"/>
          <w:w w:val="105"/>
          <w:sz w:val="19"/>
        </w:rPr>
        <w:t xml:space="preserve">1943-1975; 1970, joined </w:t>
      </w:r>
      <w:r w:rsidR="00C507A5">
        <w:rPr>
          <w:color w:val="231F20"/>
          <w:w w:val="105"/>
          <w:sz w:val="19"/>
        </w:rPr>
        <w:t>red army faction</w:t>
      </w:r>
      <w:r>
        <w:rPr>
          <w:color w:val="231F20"/>
          <w:w w:val="105"/>
          <w:sz w:val="19"/>
        </w:rPr>
        <w:t>; 1972, turned herself in following May Offensive; 1974, released from prison for health reasons; 1975, died of cancer.</w:t>
      </w:r>
    </w:p>
    <w:p w14:paraId="771CB375" w14:textId="77777777" w:rsidR="002653E8" w:rsidRDefault="003115E3">
      <w:pPr>
        <w:spacing w:before="127" w:line="276" w:lineRule="auto"/>
        <w:ind w:left="1147" w:right="1564" w:hanging="1"/>
        <w:rPr>
          <w:sz w:val="19"/>
        </w:rPr>
      </w:pPr>
      <w:r>
        <w:rPr>
          <w:i/>
          <w:color w:val="231F20"/>
          <w:w w:val="110"/>
          <w:sz w:val="19"/>
        </w:rPr>
        <w:t>Hansen,</w:t>
      </w:r>
      <w:r>
        <w:rPr>
          <w:i/>
          <w:color w:val="231F20"/>
          <w:spacing w:val="-22"/>
          <w:w w:val="110"/>
          <w:sz w:val="19"/>
        </w:rPr>
        <w:t xml:space="preserve"> </w:t>
      </w:r>
      <w:r>
        <w:rPr>
          <w:i/>
          <w:color w:val="231F20"/>
          <w:w w:val="110"/>
          <w:sz w:val="19"/>
        </w:rPr>
        <w:t>Hans-Wilhelm:</w:t>
      </w:r>
      <w:r>
        <w:rPr>
          <w:i/>
          <w:color w:val="231F20"/>
          <w:spacing w:val="-18"/>
          <w:w w:val="110"/>
          <w:sz w:val="19"/>
        </w:rPr>
        <w:t xml:space="preserve"> </w:t>
      </w:r>
      <w:r>
        <w:rPr>
          <w:color w:val="231F20"/>
          <w:w w:val="110"/>
          <w:sz w:val="19"/>
        </w:rPr>
        <w:t>police</w:t>
      </w:r>
      <w:r>
        <w:rPr>
          <w:color w:val="231F20"/>
          <w:spacing w:val="-18"/>
          <w:w w:val="110"/>
          <w:sz w:val="19"/>
        </w:rPr>
        <w:t xml:space="preserve"> </w:t>
      </w:r>
      <w:r>
        <w:rPr>
          <w:color w:val="231F20"/>
          <w:w w:val="110"/>
          <w:sz w:val="19"/>
        </w:rPr>
        <w:t>officer</w:t>
      </w:r>
      <w:r>
        <w:rPr>
          <w:color w:val="231F20"/>
          <w:spacing w:val="-18"/>
          <w:w w:val="110"/>
          <w:sz w:val="19"/>
        </w:rPr>
        <w:t xml:space="preserve"> </w:t>
      </w:r>
      <w:r>
        <w:rPr>
          <w:color w:val="231F20"/>
          <w:w w:val="110"/>
          <w:sz w:val="19"/>
        </w:rPr>
        <w:t>killed</w:t>
      </w:r>
      <w:r>
        <w:rPr>
          <w:color w:val="231F20"/>
          <w:spacing w:val="-18"/>
          <w:w w:val="110"/>
          <w:sz w:val="19"/>
        </w:rPr>
        <w:t xml:space="preserve"> </w:t>
      </w:r>
      <w:r>
        <w:rPr>
          <w:color w:val="231F20"/>
          <w:w w:val="110"/>
          <w:sz w:val="19"/>
        </w:rPr>
        <w:t>in</w:t>
      </w:r>
      <w:r>
        <w:rPr>
          <w:color w:val="231F20"/>
          <w:spacing w:val="-18"/>
          <w:w w:val="110"/>
          <w:sz w:val="19"/>
        </w:rPr>
        <w:t xml:space="preserve"> </w:t>
      </w:r>
      <w:r>
        <w:rPr>
          <w:color w:val="231F20"/>
          <w:w w:val="110"/>
          <w:sz w:val="19"/>
        </w:rPr>
        <w:t>1978</w:t>
      </w:r>
      <w:r>
        <w:rPr>
          <w:color w:val="231F20"/>
          <w:spacing w:val="-18"/>
          <w:w w:val="110"/>
          <w:sz w:val="19"/>
        </w:rPr>
        <w:t xml:space="preserve"> </w:t>
      </w:r>
      <w:r>
        <w:rPr>
          <w:color w:val="231F20"/>
          <w:w w:val="110"/>
          <w:sz w:val="19"/>
        </w:rPr>
        <w:t>in</w:t>
      </w:r>
      <w:r>
        <w:rPr>
          <w:color w:val="231F20"/>
          <w:spacing w:val="-18"/>
          <w:w w:val="110"/>
          <w:sz w:val="19"/>
        </w:rPr>
        <w:t xml:space="preserve"> </w:t>
      </w:r>
      <w:r>
        <w:rPr>
          <w:color w:val="231F20"/>
          <w:w w:val="110"/>
          <w:sz w:val="19"/>
        </w:rPr>
        <w:t>a</w:t>
      </w:r>
      <w:r>
        <w:rPr>
          <w:color w:val="231F20"/>
          <w:spacing w:val="-18"/>
          <w:w w:val="110"/>
          <w:sz w:val="19"/>
        </w:rPr>
        <w:t xml:space="preserve"> </w:t>
      </w:r>
      <w:r>
        <w:rPr>
          <w:color w:val="231F20"/>
          <w:w w:val="110"/>
          <w:sz w:val="19"/>
        </w:rPr>
        <w:t>firefight</w:t>
      </w:r>
      <w:r>
        <w:rPr>
          <w:color w:val="231F20"/>
          <w:spacing w:val="-18"/>
          <w:w w:val="110"/>
          <w:sz w:val="19"/>
        </w:rPr>
        <w:t xml:space="preserve"> </w:t>
      </w:r>
      <w:r>
        <w:rPr>
          <w:color w:val="231F20"/>
          <w:w w:val="110"/>
          <w:sz w:val="19"/>
        </w:rPr>
        <w:t xml:space="preserve">with </w:t>
      </w:r>
      <w:r w:rsidR="00C507A5">
        <w:rPr>
          <w:color w:val="231F20"/>
          <w:w w:val="110"/>
          <w:sz w:val="19"/>
        </w:rPr>
        <w:t>red army faction</w:t>
      </w:r>
      <w:r>
        <w:rPr>
          <w:color w:val="231F20"/>
          <w:spacing w:val="6"/>
          <w:w w:val="110"/>
          <w:sz w:val="19"/>
        </w:rPr>
        <w:t xml:space="preserve"> </w:t>
      </w:r>
      <w:r>
        <w:rPr>
          <w:color w:val="231F20"/>
          <w:w w:val="110"/>
          <w:sz w:val="19"/>
        </w:rPr>
        <w:t>members.</w:t>
      </w:r>
    </w:p>
    <w:p w14:paraId="231D80F3" w14:textId="77777777" w:rsidR="002653E8" w:rsidRDefault="003115E3">
      <w:pPr>
        <w:spacing w:before="128" w:line="276" w:lineRule="auto"/>
        <w:ind w:left="1148" w:right="1580" w:hanging="1"/>
        <w:rPr>
          <w:sz w:val="19"/>
        </w:rPr>
      </w:pPr>
      <w:r>
        <w:rPr>
          <w:i/>
          <w:color w:val="231F20"/>
          <w:w w:val="105"/>
          <w:sz w:val="19"/>
        </w:rPr>
        <w:t xml:space="preserve">Harb, Nabil: </w:t>
      </w:r>
      <w:r>
        <w:rPr>
          <w:color w:val="231F20"/>
          <w:w w:val="105"/>
          <w:sz w:val="19"/>
        </w:rPr>
        <w:t>1954-1977; member of the PFLP (EO); killed during the Mogadishu action.</w:t>
      </w:r>
    </w:p>
    <w:p w14:paraId="3DE89E0E" w14:textId="77777777" w:rsidR="002653E8" w:rsidRDefault="003115E3">
      <w:pPr>
        <w:spacing w:before="128" w:line="276" w:lineRule="auto"/>
        <w:ind w:left="1147" w:right="1325"/>
        <w:rPr>
          <w:sz w:val="19"/>
        </w:rPr>
      </w:pPr>
      <w:r>
        <w:rPr>
          <w:i/>
          <w:color w:val="231F20"/>
          <w:w w:val="105"/>
          <w:sz w:val="19"/>
        </w:rPr>
        <w:t xml:space="preserve">Hausner, Siegfried: </w:t>
      </w:r>
      <w:r>
        <w:rPr>
          <w:color w:val="231F20"/>
          <w:w w:val="105"/>
          <w:sz w:val="19"/>
        </w:rPr>
        <w:t xml:space="preserve">1952-1975; SPK member, joined </w:t>
      </w:r>
      <w:r w:rsidR="00C507A5">
        <w:rPr>
          <w:color w:val="231F20"/>
          <w:w w:val="105"/>
          <w:sz w:val="19"/>
        </w:rPr>
        <w:t>red army faction</w:t>
      </w:r>
      <w:r>
        <w:rPr>
          <w:color w:val="231F20"/>
          <w:w w:val="105"/>
          <w:sz w:val="19"/>
        </w:rPr>
        <w:t>; 1972, arrested following May Offensive and sentenced to three years; 1974, released from prison; 1975, led the Holger Meins Commando’s hostage taking</w:t>
      </w:r>
    </w:p>
    <w:p w14:paraId="20044645" w14:textId="77777777" w:rsidR="002653E8" w:rsidRDefault="003115E3">
      <w:pPr>
        <w:spacing w:line="276" w:lineRule="auto"/>
        <w:ind w:left="1147" w:right="1479" w:hanging="1"/>
        <w:rPr>
          <w:sz w:val="19"/>
        </w:rPr>
      </w:pPr>
      <w:r>
        <w:rPr>
          <w:color w:val="231F20"/>
          <w:w w:val="105"/>
          <w:sz w:val="19"/>
        </w:rPr>
        <w:t>at the FRG embassy in Stockholm; died as a result of injuries sustained during this action.</w:t>
      </w:r>
    </w:p>
    <w:p w14:paraId="5F088DF8" w14:textId="77777777" w:rsidR="002653E8" w:rsidRDefault="003115E3">
      <w:pPr>
        <w:spacing w:before="127" w:line="276" w:lineRule="auto"/>
        <w:ind w:left="1147" w:right="1721"/>
        <w:rPr>
          <w:sz w:val="19"/>
        </w:rPr>
      </w:pPr>
      <w:r>
        <w:rPr>
          <w:i/>
          <w:color w:val="231F20"/>
          <w:w w:val="105"/>
          <w:sz w:val="19"/>
        </w:rPr>
        <w:t xml:space="preserve">Heinemann, Gustav: </w:t>
      </w:r>
      <w:r>
        <w:rPr>
          <w:color w:val="231F20"/>
          <w:w w:val="105"/>
          <w:sz w:val="19"/>
        </w:rPr>
        <w:t>1899-1976; 1949-1950, Federal  Minister  of the Interior for the CDU; 1952, left the CDU to co-found the GVP; 1957, joined the SPD; 1966-1969, Federal Minister of Justice; 19691974,</w:t>
      </w:r>
      <w:r>
        <w:rPr>
          <w:color w:val="231F20"/>
          <w:spacing w:val="1"/>
          <w:w w:val="105"/>
          <w:sz w:val="19"/>
        </w:rPr>
        <w:t xml:space="preserve"> </w:t>
      </w:r>
      <w:r>
        <w:rPr>
          <w:color w:val="231F20"/>
          <w:w w:val="105"/>
          <w:sz w:val="19"/>
        </w:rPr>
        <w:t>President.</w:t>
      </w:r>
    </w:p>
    <w:p w14:paraId="663B592E" w14:textId="77777777" w:rsidR="002653E8" w:rsidRDefault="003115E3">
      <w:pPr>
        <w:spacing w:before="127" w:line="276" w:lineRule="auto"/>
        <w:ind w:left="1147" w:right="1580" w:hanging="1"/>
        <w:rPr>
          <w:sz w:val="19"/>
        </w:rPr>
      </w:pPr>
      <w:r>
        <w:rPr>
          <w:i/>
          <w:color w:val="231F20"/>
          <w:w w:val="105"/>
          <w:sz w:val="19"/>
        </w:rPr>
        <w:t xml:space="preserve">Heissler, Rolf: </w:t>
      </w:r>
      <w:r>
        <w:rPr>
          <w:color w:val="231F20"/>
          <w:w w:val="105"/>
          <w:sz w:val="19"/>
        </w:rPr>
        <w:t xml:space="preserve">b. 1948; 1971, left the Tupamaros-Munich to join the </w:t>
      </w:r>
      <w:r w:rsidR="00C507A5">
        <w:rPr>
          <w:color w:val="231F20"/>
          <w:w w:val="105"/>
          <w:sz w:val="19"/>
        </w:rPr>
        <w:t>red army faction</w:t>
      </w:r>
      <w:r>
        <w:rPr>
          <w:color w:val="231F20"/>
          <w:w w:val="105"/>
          <w:sz w:val="19"/>
        </w:rPr>
        <w:t>, arrested the same year; 1975, released from prison as part of</w:t>
      </w:r>
    </w:p>
    <w:p w14:paraId="0DD91DBE" w14:textId="77777777" w:rsidR="002653E8" w:rsidRDefault="003115E3">
      <w:pPr>
        <w:spacing w:line="276" w:lineRule="auto"/>
        <w:ind w:left="1147" w:right="1580"/>
        <w:rPr>
          <w:sz w:val="19"/>
        </w:rPr>
      </w:pPr>
      <w:r>
        <w:rPr>
          <w:color w:val="231F20"/>
          <w:w w:val="105"/>
          <w:sz w:val="19"/>
        </w:rPr>
        <w:t>a prisoner exchange for CDU politician Peter Lorenz who had been kidnapped by the 2JM; 1979, arrested; 2001, released from prison.</w:t>
      </w:r>
    </w:p>
    <w:p w14:paraId="5D56C84E" w14:textId="77777777" w:rsidR="002653E8" w:rsidRDefault="003115E3">
      <w:pPr>
        <w:spacing w:before="127" w:line="276" w:lineRule="auto"/>
        <w:ind w:left="1147" w:right="1535"/>
        <w:rPr>
          <w:sz w:val="19"/>
        </w:rPr>
      </w:pPr>
      <w:r>
        <w:rPr>
          <w:i/>
          <w:color w:val="231F20"/>
          <w:w w:val="105"/>
          <w:sz w:val="19"/>
        </w:rPr>
        <w:t xml:space="preserve">Helbing, Monika: </w:t>
      </w:r>
      <w:r>
        <w:rPr>
          <w:color w:val="231F20"/>
          <w:w w:val="105"/>
          <w:sz w:val="19"/>
        </w:rPr>
        <w:t xml:space="preserve">b. 1953; 1976, joined the </w:t>
      </w:r>
      <w:r w:rsidR="00C507A5">
        <w:rPr>
          <w:color w:val="231F20"/>
          <w:w w:val="105"/>
          <w:sz w:val="19"/>
        </w:rPr>
        <w:t>red army faction</w:t>
      </w:r>
      <w:r>
        <w:rPr>
          <w:color w:val="231F20"/>
          <w:w w:val="105"/>
          <w:sz w:val="19"/>
        </w:rPr>
        <w:t xml:space="preserve">; 1980, left the  </w:t>
      </w:r>
      <w:r w:rsidR="00C507A5">
        <w:rPr>
          <w:color w:val="231F20"/>
          <w:w w:val="105"/>
          <w:sz w:val="19"/>
        </w:rPr>
        <w:t>red army faction</w:t>
      </w:r>
      <w:r>
        <w:rPr>
          <w:color w:val="231F20"/>
          <w:w w:val="105"/>
          <w:sz w:val="19"/>
        </w:rPr>
        <w:t xml:space="preserve"> and received asylum in the GDR; 1990, arrested and cooperated with police</w:t>
      </w:r>
      <w:r>
        <w:rPr>
          <w:color w:val="231F20"/>
          <w:spacing w:val="-5"/>
          <w:w w:val="105"/>
          <w:sz w:val="19"/>
        </w:rPr>
        <w:t xml:space="preserve"> </w:t>
      </w:r>
      <w:r>
        <w:rPr>
          <w:color w:val="231F20"/>
          <w:w w:val="105"/>
          <w:sz w:val="19"/>
        </w:rPr>
        <w:t>and</w:t>
      </w:r>
      <w:r>
        <w:rPr>
          <w:color w:val="231F20"/>
          <w:spacing w:val="-5"/>
          <w:w w:val="105"/>
          <w:sz w:val="19"/>
        </w:rPr>
        <w:t xml:space="preserve"> </w:t>
      </w:r>
      <w:r>
        <w:rPr>
          <w:color w:val="231F20"/>
          <w:w w:val="105"/>
          <w:sz w:val="19"/>
        </w:rPr>
        <w:t>prosecutors;</w:t>
      </w:r>
      <w:r>
        <w:rPr>
          <w:color w:val="231F20"/>
          <w:spacing w:val="-5"/>
          <w:w w:val="105"/>
          <w:sz w:val="19"/>
        </w:rPr>
        <w:t xml:space="preserve"> </w:t>
      </w:r>
      <w:r>
        <w:rPr>
          <w:color w:val="231F20"/>
          <w:w w:val="105"/>
          <w:sz w:val="19"/>
        </w:rPr>
        <w:t>1995,</w:t>
      </w:r>
      <w:r>
        <w:rPr>
          <w:color w:val="231F20"/>
          <w:spacing w:val="-10"/>
          <w:w w:val="105"/>
          <w:sz w:val="19"/>
        </w:rPr>
        <w:t xml:space="preserve"> </w:t>
      </w:r>
      <w:r>
        <w:rPr>
          <w:color w:val="231F20"/>
          <w:w w:val="105"/>
          <w:sz w:val="19"/>
        </w:rPr>
        <w:t>released</w:t>
      </w:r>
      <w:r>
        <w:rPr>
          <w:color w:val="231F20"/>
          <w:spacing w:val="-5"/>
          <w:w w:val="105"/>
          <w:sz w:val="19"/>
        </w:rPr>
        <w:t xml:space="preserve"> </w:t>
      </w:r>
      <w:r>
        <w:rPr>
          <w:color w:val="231F20"/>
          <w:w w:val="105"/>
          <w:sz w:val="19"/>
        </w:rPr>
        <w:t>from</w:t>
      </w:r>
      <w:r>
        <w:rPr>
          <w:color w:val="231F20"/>
          <w:spacing w:val="-5"/>
          <w:w w:val="105"/>
          <w:sz w:val="19"/>
        </w:rPr>
        <w:t xml:space="preserve"> </w:t>
      </w:r>
      <w:r>
        <w:rPr>
          <w:color w:val="231F20"/>
          <w:w w:val="105"/>
          <w:sz w:val="19"/>
        </w:rPr>
        <w:t>prison,</w:t>
      </w:r>
      <w:r>
        <w:rPr>
          <w:color w:val="231F20"/>
          <w:spacing w:val="-10"/>
          <w:w w:val="105"/>
          <w:sz w:val="19"/>
        </w:rPr>
        <w:t xml:space="preserve"> </w:t>
      </w:r>
      <w:r>
        <w:rPr>
          <w:color w:val="231F20"/>
          <w:w w:val="105"/>
          <w:sz w:val="19"/>
        </w:rPr>
        <w:t>living</w:t>
      </w:r>
      <w:r>
        <w:rPr>
          <w:color w:val="231F20"/>
          <w:spacing w:val="-5"/>
          <w:w w:val="105"/>
          <w:sz w:val="19"/>
        </w:rPr>
        <w:t xml:space="preserve"> </w:t>
      </w:r>
      <w:r>
        <w:rPr>
          <w:color w:val="231F20"/>
          <w:w w:val="105"/>
          <w:sz w:val="19"/>
        </w:rPr>
        <w:t>under</w:t>
      </w:r>
      <w:r>
        <w:rPr>
          <w:color w:val="231F20"/>
          <w:spacing w:val="-5"/>
          <w:w w:val="105"/>
          <w:sz w:val="19"/>
        </w:rPr>
        <w:t xml:space="preserve"> </w:t>
      </w:r>
      <w:r>
        <w:rPr>
          <w:color w:val="231F20"/>
          <w:w w:val="105"/>
          <w:sz w:val="19"/>
        </w:rPr>
        <w:t>a</w:t>
      </w:r>
      <w:r>
        <w:rPr>
          <w:color w:val="231F20"/>
          <w:spacing w:val="-5"/>
          <w:w w:val="105"/>
          <w:sz w:val="19"/>
        </w:rPr>
        <w:t xml:space="preserve"> </w:t>
      </w:r>
      <w:r>
        <w:rPr>
          <w:color w:val="231F20"/>
          <w:w w:val="105"/>
          <w:sz w:val="19"/>
        </w:rPr>
        <w:t>new name.</w:t>
      </w:r>
    </w:p>
    <w:p w14:paraId="654F40B6" w14:textId="77777777" w:rsidR="002653E8" w:rsidRDefault="003115E3">
      <w:pPr>
        <w:spacing w:before="128"/>
        <w:ind w:left="1147"/>
        <w:rPr>
          <w:sz w:val="19"/>
        </w:rPr>
      </w:pPr>
      <w:r>
        <w:rPr>
          <w:i/>
          <w:color w:val="231F20"/>
          <w:w w:val="110"/>
          <w:sz w:val="19"/>
        </w:rPr>
        <w:t xml:space="preserve">Heldmann, Hans-Heinz: </w:t>
      </w:r>
      <w:r>
        <w:rPr>
          <w:color w:val="231F20"/>
          <w:w w:val="110"/>
          <w:sz w:val="19"/>
        </w:rPr>
        <w:t xml:space="preserve">Lawyer for </w:t>
      </w:r>
      <w:r w:rsidR="00C507A5">
        <w:rPr>
          <w:color w:val="231F20"/>
          <w:w w:val="110"/>
          <w:sz w:val="19"/>
        </w:rPr>
        <w:t>red army faction</w:t>
      </w:r>
      <w:r>
        <w:rPr>
          <w:color w:val="231F20"/>
          <w:w w:val="110"/>
          <w:sz w:val="19"/>
        </w:rPr>
        <w:t xml:space="preserve"> prisoners.</w:t>
      </w:r>
    </w:p>
    <w:p w14:paraId="2C7260EF" w14:textId="77777777" w:rsidR="002653E8" w:rsidRDefault="002653E8">
      <w:pPr>
        <w:rPr>
          <w:sz w:val="19"/>
        </w:rPr>
        <w:sectPr w:rsidR="002653E8">
          <w:pgSz w:w="8640" w:h="12960"/>
          <w:pgMar w:top="1080" w:right="0" w:bottom="1040" w:left="0" w:header="0" w:footer="850" w:gutter="0"/>
          <w:cols w:space="720"/>
        </w:sectPr>
      </w:pPr>
    </w:p>
    <w:p w14:paraId="3AFD69FF" w14:textId="77777777" w:rsidR="002653E8" w:rsidRDefault="003115E3">
      <w:pPr>
        <w:spacing w:before="75" w:line="276" w:lineRule="auto"/>
        <w:ind w:left="1327" w:right="1267"/>
        <w:rPr>
          <w:sz w:val="19"/>
        </w:rPr>
      </w:pPr>
      <w:r>
        <w:rPr>
          <w:i/>
          <w:color w:val="231F20"/>
          <w:w w:val="105"/>
          <w:sz w:val="19"/>
        </w:rPr>
        <w:lastRenderedPageBreak/>
        <w:t xml:space="preserve">Herold, Horst: </w:t>
      </w:r>
      <w:r>
        <w:rPr>
          <w:color w:val="231F20"/>
          <w:w w:val="105"/>
          <w:sz w:val="19"/>
        </w:rPr>
        <w:t>b. 1923; 1967-1971, President of the Nuremberg Police; 1971-1981, President of the BKA.</w:t>
      </w:r>
    </w:p>
    <w:p w14:paraId="26D825D1" w14:textId="77777777" w:rsidR="002653E8" w:rsidRDefault="003115E3">
      <w:pPr>
        <w:spacing w:before="128" w:line="276" w:lineRule="auto"/>
        <w:ind w:left="1327" w:right="1145"/>
        <w:rPr>
          <w:sz w:val="19"/>
        </w:rPr>
      </w:pPr>
      <w:r>
        <w:rPr>
          <w:i/>
          <w:color w:val="231F20"/>
          <w:w w:val="105"/>
          <w:sz w:val="19"/>
        </w:rPr>
        <w:t xml:space="preserve">Hillegaart, Heinz: </w:t>
      </w:r>
      <w:r>
        <w:rPr>
          <w:color w:val="231F20"/>
          <w:w w:val="105"/>
          <w:sz w:val="19"/>
        </w:rPr>
        <w:t>1911-1975; Foreign Service Diplomat; 1975, killed during the Stockholm action.</w:t>
      </w:r>
    </w:p>
    <w:p w14:paraId="4D2F9605" w14:textId="77777777" w:rsidR="002653E8" w:rsidRDefault="003115E3">
      <w:pPr>
        <w:spacing w:before="127" w:line="276" w:lineRule="auto"/>
        <w:ind w:left="1327" w:right="1145"/>
        <w:rPr>
          <w:sz w:val="19"/>
        </w:rPr>
      </w:pPr>
      <w:r>
        <w:rPr>
          <w:i/>
          <w:color w:val="231F20"/>
          <w:w w:val="105"/>
          <w:sz w:val="19"/>
        </w:rPr>
        <w:t xml:space="preserve">Hoff, Dierk: </w:t>
      </w:r>
      <w:r>
        <w:rPr>
          <w:color w:val="231F20"/>
          <w:w w:val="105"/>
          <w:sz w:val="19"/>
        </w:rPr>
        <w:t xml:space="preserve">b. 1948; 1971-1972, built items the </w:t>
      </w:r>
      <w:r w:rsidR="00C507A5">
        <w:rPr>
          <w:color w:val="231F20"/>
          <w:w w:val="105"/>
          <w:sz w:val="19"/>
        </w:rPr>
        <w:t>red army faction</w:t>
      </w:r>
      <w:r>
        <w:rPr>
          <w:color w:val="231F20"/>
          <w:w w:val="105"/>
          <w:sz w:val="19"/>
        </w:rPr>
        <w:t xml:space="preserve"> used in bombings, claimed to believe they were movie props; 1975, arrested and turned state evidence in exchange for the charges against him being dropped.</w:t>
      </w:r>
    </w:p>
    <w:p w14:paraId="359B2884" w14:textId="77777777" w:rsidR="002653E8" w:rsidRDefault="003115E3">
      <w:pPr>
        <w:spacing w:before="128" w:line="276" w:lineRule="auto"/>
        <w:ind w:left="1327" w:right="1479" w:hanging="1"/>
        <w:rPr>
          <w:sz w:val="19"/>
        </w:rPr>
      </w:pPr>
      <w:r>
        <w:rPr>
          <w:i/>
          <w:color w:val="231F20"/>
          <w:w w:val="105"/>
          <w:sz w:val="19"/>
        </w:rPr>
        <w:t xml:space="preserve">Hofmann, Sieglinde: </w:t>
      </w:r>
      <w:r>
        <w:rPr>
          <w:color w:val="231F20"/>
          <w:w w:val="105"/>
          <w:sz w:val="19"/>
        </w:rPr>
        <w:t xml:space="preserve">b. 1945; 1976, joined the </w:t>
      </w:r>
      <w:r w:rsidR="00C507A5">
        <w:rPr>
          <w:color w:val="231F20"/>
          <w:w w:val="105"/>
          <w:sz w:val="19"/>
        </w:rPr>
        <w:t>red army faction</w:t>
      </w:r>
      <w:r>
        <w:rPr>
          <w:color w:val="231F20"/>
          <w:w w:val="105"/>
          <w:sz w:val="19"/>
        </w:rPr>
        <w:t>; 1980, arrested in Paris and extradited to West Germany; 1999, released from prison.</w:t>
      </w:r>
    </w:p>
    <w:p w14:paraId="1C6E1C9B" w14:textId="77777777" w:rsidR="002653E8" w:rsidRDefault="003115E3">
      <w:pPr>
        <w:spacing w:before="128" w:line="276" w:lineRule="auto"/>
        <w:ind w:left="1327" w:right="1580"/>
        <w:rPr>
          <w:sz w:val="19"/>
        </w:rPr>
      </w:pPr>
      <w:r>
        <w:rPr>
          <w:i/>
          <w:color w:val="231F20"/>
          <w:w w:val="105"/>
          <w:sz w:val="19"/>
        </w:rPr>
        <w:t xml:space="preserve">Homann, Peter: </w:t>
      </w:r>
      <w:r>
        <w:rPr>
          <w:color w:val="231F20"/>
          <w:w w:val="105"/>
          <w:sz w:val="19"/>
        </w:rPr>
        <w:t xml:space="preserve">b. 1936; founding member of the </w:t>
      </w:r>
      <w:r w:rsidR="00C507A5">
        <w:rPr>
          <w:color w:val="231F20"/>
          <w:w w:val="105"/>
          <w:sz w:val="19"/>
        </w:rPr>
        <w:t>red army faction</w:t>
      </w:r>
      <w:r>
        <w:rPr>
          <w:color w:val="231F20"/>
          <w:w w:val="105"/>
          <w:sz w:val="19"/>
        </w:rPr>
        <w:t xml:space="preserve">; 1970, broke with the </w:t>
      </w:r>
      <w:r w:rsidR="00C507A5">
        <w:rPr>
          <w:color w:val="231F20"/>
          <w:w w:val="105"/>
          <w:sz w:val="19"/>
        </w:rPr>
        <w:t>red army faction</w:t>
      </w:r>
      <w:r>
        <w:rPr>
          <w:color w:val="231F20"/>
          <w:w w:val="105"/>
          <w:sz w:val="19"/>
        </w:rPr>
        <w:t>.</w:t>
      </w:r>
    </w:p>
    <w:p w14:paraId="474C392E" w14:textId="77777777" w:rsidR="002653E8" w:rsidRDefault="003115E3">
      <w:pPr>
        <w:spacing w:before="127"/>
        <w:ind w:left="1327"/>
        <w:rPr>
          <w:sz w:val="19"/>
        </w:rPr>
      </w:pPr>
      <w:r>
        <w:rPr>
          <w:i/>
          <w:color w:val="231F20"/>
          <w:w w:val="110"/>
          <w:sz w:val="19"/>
        </w:rPr>
        <w:t xml:space="preserve">Hoppe, Werner: </w:t>
      </w:r>
      <w:r>
        <w:rPr>
          <w:color w:val="231F20"/>
          <w:w w:val="110"/>
          <w:sz w:val="19"/>
        </w:rPr>
        <w:t xml:space="preserve">b. 1949; 1970, joined the </w:t>
      </w:r>
      <w:r w:rsidR="00C507A5">
        <w:rPr>
          <w:color w:val="231F20"/>
          <w:w w:val="110"/>
          <w:sz w:val="19"/>
        </w:rPr>
        <w:t>red army faction</w:t>
      </w:r>
      <w:r>
        <w:rPr>
          <w:color w:val="231F20"/>
          <w:w w:val="110"/>
          <w:sz w:val="19"/>
        </w:rPr>
        <w:t>; 1971, arrested,</w:t>
      </w:r>
    </w:p>
    <w:p w14:paraId="523A6F81" w14:textId="77777777" w:rsidR="002653E8" w:rsidRDefault="003115E3">
      <w:pPr>
        <w:spacing w:before="34"/>
        <w:ind w:left="1327"/>
        <w:rPr>
          <w:sz w:val="19"/>
        </w:rPr>
      </w:pPr>
      <w:r>
        <w:rPr>
          <w:color w:val="231F20"/>
          <w:w w:val="110"/>
          <w:sz w:val="19"/>
        </w:rPr>
        <w:t xml:space="preserve">c. 1978, broke with the </w:t>
      </w:r>
      <w:r w:rsidR="00C507A5">
        <w:rPr>
          <w:color w:val="231F20"/>
          <w:w w:val="110"/>
          <w:sz w:val="19"/>
        </w:rPr>
        <w:t>red army faction</w:t>
      </w:r>
      <w:r>
        <w:rPr>
          <w:color w:val="231F20"/>
          <w:w w:val="110"/>
          <w:sz w:val="19"/>
        </w:rPr>
        <w:t>; 1979, released from prison.</w:t>
      </w:r>
    </w:p>
    <w:p w14:paraId="26D480E1" w14:textId="77777777" w:rsidR="002653E8" w:rsidRDefault="003115E3">
      <w:pPr>
        <w:spacing w:before="161" w:line="276" w:lineRule="auto"/>
        <w:ind w:left="1327" w:right="1580" w:hanging="1"/>
        <w:rPr>
          <w:sz w:val="19"/>
        </w:rPr>
      </w:pPr>
      <w:r>
        <w:rPr>
          <w:i/>
          <w:color w:val="231F20"/>
          <w:w w:val="105"/>
          <w:sz w:val="19"/>
        </w:rPr>
        <w:t xml:space="preserve">Jansen, Ali: </w:t>
      </w:r>
      <w:r>
        <w:rPr>
          <w:color w:val="231F20"/>
          <w:w w:val="105"/>
          <w:sz w:val="19"/>
        </w:rPr>
        <w:t xml:space="preserve">b. 1948; 1970, joined </w:t>
      </w:r>
      <w:r w:rsidR="00C507A5">
        <w:rPr>
          <w:color w:val="231F20"/>
          <w:w w:val="105"/>
          <w:sz w:val="19"/>
        </w:rPr>
        <w:t>red army faction</w:t>
      </w:r>
      <w:r>
        <w:rPr>
          <w:color w:val="231F20"/>
          <w:w w:val="105"/>
          <w:sz w:val="19"/>
        </w:rPr>
        <w:t>, arrested the same year and sentenced to ten years in prison.</w:t>
      </w:r>
    </w:p>
    <w:p w14:paraId="4161097C" w14:textId="77777777" w:rsidR="002653E8" w:rsidRDefault="003115E3">
      <w:pPr>
        <w:spacing w:before="128" w:line="276" w:lineRule="auto"/>
        <w:ind w:left="1327" w:right="1513"/>
        <w:rPr>
          <w:sz w:val="19"/>
        </w:rPr>
      </w:pPr>
      <w:r>
        <w:rPr>
          <w:i/>
          <w:color w:val="231F20"/>
          <w:w w:val="105"/>
          <w:sz w:val="19"/>
        </w:rPr>
        <w:t xml:space="preserve">Jendrian, Günter: </w:t>
      </w:r>
      <w:r>
        <w:rPr>
          <w:color w:val="231F20"/>
          <w:w w:val="105"/>
          <w:sz w:val="19"/>
        </w:rPr>
        <w:t xml:space="preserve">Taxi driver; 1974, killed by police who believed he was a </w:t>
      </w:r>
      <w:r w:rsidR="00C507A5">
        <w:rPr>
          <w:color w:val="231F20"/>
          <w:w w:val="105"/>
          <w:sz w:val="19"/>
        </w:rPr>
        <w:t>red army faction</w:t>
      </w:r>
      <w:r>
        <w:rPr>
          <w:color w:val="231F20"/>
          <w:w w:val="105"/>
          <w:sz w:val="19"/>
        </w:rPr>
        <w:t xml:space="preserve"> member.</w:t>
      </w:r>
    </w:p>
    <w:p w14:paraId="42B5BA68" w14:textId="77777777" w:rsidR="002653E8" w:rsidRDefault="003115E3">
      <w:pPr>
        <w:spacing w:before="127" w:line="276" w:lineRule="auto"/>
        <w:ind w:left="1327" w:right="1580"/>
        <w:rPr>
          <w:sz w:val="19"/>
        </w:rPr>
      </w:pPr>
      <w:r>
        <w:rPr>
          <w:i/>
          <w:color w:val="231F20"/>
          <w:w w:val="110"/>
          <w:sz w:val="19"/>
        </w:rPr>
        <w:t xml:space="preserve">Jong, Dirk “Dionysius” de: </w:t>
      </w:r>
      <w:r>
        <w:rPr>
          <w:color w:val="231F20"/>
          <w:w w:val="110"/>
          <w:sz w:val="19"/>
        </w:rPr>
        <w:t xml:space="preserve">1959-1978; Dutch customs officer; 1978, killed in exchange of fire with </w:t>
      </w:r>
      <w:r w:rsidR="00C507A5">
        <w:rPr>
          <w:color w:val="231F20"/>
          <w:w w:val="110"/>
          <w:sz w:val="19"/>
        </w:rPr>
        <w:t>red army faction</w:t>
      </w:r>
      <w:r>
        <w:rPr>
          <w:color w:val="231F20"/>
          <w:w w:val="110"/>
          <w:sz w:val="19"/>
        </w:rPr>
        <w:t xml:space="preserve"> members.</w:t>
      </w:r>
    </w:p>
    <w:p w14:paraId="50BCF1E2" w14:textId="77777777" w:rsidR="002653E8" w:rsidRDefault="003115E3">
      <w:pPr>
        <w:spacing w:before="128" w:line="276" w:lineRule="auto"/>
        <w:ind w:left="1327" w:right="1325"/>
        <w:rPr>
          <w:sz w:val="19"/>
        </w:rPr>
      </w:pPr>
      <w:r>
        <w:rPr>
          <w:i/>
          <w:color w:val="231F20"/>
          <w:w w:val="105"/>
          <w:sz w:val="19"/>
        </w:rPr>
        <w:t xml:space="preserve">Jünschke, Klaus: </w:t>
      </w:r>
      <w:r>
        <w:rPr>
          <w:color w:val="231F20"/>
          <w:w w:val="105"/>
          <w:sz w:val="19"/>
        </w:rPr>
        <w:t xml:space="preserve">b. 1947; member of the  SPK;  1971,  joined  </w:t>
      </w:r>
      <w:r w:rsidR="00C507A5">
        <w:rPr>
          <w:color w:val="231F20"/>
          <w:w w:val="105"/>
          <w:sz w:val="19"/>
        </w:rPr>
        <w:t>red army faction</w:t>
      </w:r>
      <w:r>
        <w:rPr>
          <w:color w:val="231F20"/>
          <w:w w:val="105"/>
          <w:sz w:val="19"/>
        </w:rPr>
        <w:t xml:space="preserve">; 1972, arrested following May Offensive, broke with the </w:t>
      </w:r>
      <w:r w:rsidR="00C507A5">
        <w:rPr>
          <w:color w:val="231F20"/>
          <w:w w:val="105"/>
          <w:sz w:val="19"/>
        </w:rPr>
        <w:t>red army faction</w:t>
      </w:r>
      <w:r>
        <w:rPr>
          <w:color w:val="231F20"/>
          <w:w w:val="105"/>
          <w:sz w:val="19"/>
        </w:rPr>
        <w:t xml:space="preserve"> in prison; 1988,</w:t>
      </w:r>
      <w:r>
        <w:rPr>
          <w:color w:val="231F20"/>
          <w:spacing w:val="1"/>
          <w:w w:val="105"/>
          <w:sz w:val="19"/>
        </w:rPr>
        <w:t xml:space="preserve"> </w:t>
      </w:r>
      <w:r>
        <w:rPr>
          <w:color w:val="231F20"/>
          <w:w w:val="105"/>
          <w:sz w:val="19"/>
        </w:rPr>
        <w:t>pardoned.</w:t>
      </w:r>
    </w:p>
    <w:p w14:paraId="7B985D97" w14:textId="77777777" w:rsidR="002653E8" w:rsidRDefault="003115E3">
      <w:pPr>
        <w:spacing w:before="127" w:line="276" w:lineRule="auto"/>
        <w:ind w:left="1327" w:right="1145" w:hanging="1"/>
        <w:rPr>
          <w:sz w:val="19"/>
        </w:rPr>
      </w:pPr>
      <w:r>
        <w:rPr>
          <w:i/>
          <w:color w:val="231F20"/>
          <w:w w:val="110"/>
          <w:sz w:val="19"/>
        </w:rPr>
        <w:t xml:space="preserve">Kiesinger, Kurt Georg: </w:t>
      </w:r>
      <w:r>
        <w:rPr>
          <w:color w:val="231F20"/>
          <w:w w:val="110"/>
          <w:sz w:val="19"/>
        </w:rPr>
        <w:t xml:space="preserve">1904-1988; CDU politician; 1958-1966, </w:t>
      </w:r>
      <w:r>
        <w:rPr>
          <w:color w:val="231F20"/>
          <w:w w:val="105"/>
          <w:sz w:val="19"/>
        </w:rPr>
        <w:t xml:space="preserve">President of Baden-Württemberg; 1966-1969, Chancellor; 1967-1971, </w:t>
      </w:r>
      <w:r>
        <w:rPr>
          <w:color w:val="231F20"/>
          <w:w w:val="110"/>
          <w:sz w:val="19"/>
        </w:rPr>
        <w:t>Federal Chairman of the CDU.</w:t>
      </w:r>
    </w:p>
    <w:p w14:paraId="1F4B58AD" w14:textId="77777777" w:rsidR="002653E8" w:rsidRDefault="003115E3">
      <w:pPr>
        <w:spacing w:before="128" w:line="276" w:lineRule="auto"/>
        <w:ind w:left="1327" w:right="1848" w:hanging="1"/>
        <w:rPr>
          <w:sz w:val="19"/>
        </w:rPr>
      </w:pPr>
      <w:r>
        <w:rPr>
          <w:i/>
          <w:color w:val="231F20"/>
          <w:w w:val="105"/>
          <w:sz w:val="19"/>
        </w:rPr>
        <w:t xml:space="preserve">Klar, Christian: </w:t>
      </w:r>
      <w:r>
        <w:rPr>
          <w:color w:val="231F20"/>
          <w:w w:val="105"/>
          <w:sz w:val="19"/>
        </w:rPr>
        <w:t xml:space="preserve">b. 1952; 1976, joined the </w:t>
      </w:r>
      <w:r w:rsidR="00C507A5">
        <w:rPr>
          <w:color w:val="231F20"/>
          <w:w w:val="105"/>
          <w:sz w:val="19"/>
        </w:rPr>
        <w:t>red army faction</w:t>
      </w:r>
      <w:r>
        <w:rPr>
          <w:color w:val="231F20"/>
          <w:w w:val="105"/>
          <w:sz w:val="19"/>
        </w:rPr>
        <w:t>; 1982, arrested; 2007, denied clemency; due for release in 2009.</w:t>
      </w:r>
    </w:p>
    <w:p w14:paraId="2895B134" w14:textId="77777777" w:rsidR="002653E8" w:rsidRDefault="003115E3">
      <w:pPr>
        <w:spacing w:before="128" w:line="276" w:lineRule="auto"/>
        <w:ind w:left="1327" w:right="1387"/>
        <w:rPr>
          <w:sz w:val="19"/>
        </w:rPr>
      </w:pPr>
      <w:r>
        <w:rPr>
          <w:i/>
          <w:color w:val="231F20"/>
          <w:w w:val="105"/>
          <w:sz w:val="19"/>
        </w:rPr>
        <w:t xml:space="preserve">Klein, Hans-Joachim: </w:t>
      </w:r>
      <w:r>
        <w:rPr>
          <w:color w:val="231F20"/>
          <w:w w:val="105"/>
          <w:sz w:val="19"/>
        </w:rPr>
        <w:t xml:space="preserve">b. 1947; 1974, joined the RZ; 1975, seriously injured participating in the Vienna OPEC action, left the guerilla, issuing a critical assessment and mailing it with his weapon to </w:t>
      </w:r>
      <w:r>
        <w:rPr>
          <w:i/>
          <w:color w:val="231F20"/>
          <w:w w:val="105"/>
          <w:sz w:val="19"/>
        </w:rPr>
        <w:t>Spiegel</w:t>
      </w:r>
      <w:r>
        <w:rPr>
          <w:color w:val="231F20"/>
          <w:w w:val="105"/>
          <w:sz w:val="19"/>
        </w:rPr>
        <w:t>;</w:t>
      </w:r>
      <w:r>
        <w:rPr>
          <w:color w:val="231F20"/>
          <w:spacing w:val="-8"/>
          <w:w w:val="105"/>
          <w:sz w:val="19"/>
        </w:rPr>
        <w:t xml:space="preserve"> </w:t>
      </w:r>
      <w:r>
        <w:rPr>
          <w:color w:val="231F20"/>
          <w:w w:val="105"/>
          <w:sz w:val="19"/>
        </w:rPr>
        <w:t>1979,</w:t>
      </w:r>
      <w:r>
        <w:rPr>
          <w:color w:val="231F20"/>
          <w:spacing w:val="-13"/>
          <w:w w:val="105"/>
          <w:sz w:val="19"/>
        </w:rPr>
        <w:t xml:space="preserve"> </w:t>
      </w:r>
      <w:r>
        <w:rPr>
          <w:color w:val="231F20"/>
          <w:w w:val="105"/>
          <w:sz w:val="19"/>
        </w:rPr>
        <w:t>released</w:t>
      </w:r>
      <w:r>
        <w:rPr>
          <w:color w:val="231F20"/>
          <w:spacing w:val="-8"/>
          <w:w w:val="105"/>
          <w:sz w:val="19"/>
        </w:rPr>
        <w:t xml:space="preserve"> </w:t>
      </w:r>
      <w:r>
        <w:rPr>
          <w:color w:val="231F20"/>
          <w:w w:val="105"/>
          <w:sz w:val="19"/>
        </w:rPr>
        <w:t>a</w:t>
      </w:r>
      <w:r>
        <w:rPr>
          <w:color w:val="231F20"/>
          <w:spacing w:val="-8"/>
          <w:w w:val="105"/>
          <w:sz w:val="19"/>
        </w:rPr>
        <w:t xml:space="preserve"> </w:t>
      </w:r>
      <w:r>
        <w:rPr>
          <w:color w:val="231F20"/>
          <w:w w:val="105"/>
          <w:sz w:val="19"/>
        </w:rPr>
        <w:t>book</w:t>
      </w:r>
      <w:r>
        <w:rPr>
          <w:color w:val="231F20"/>
          <w:spacing w:val="-8"/>
          <w:w w:val="105"/>
          <w:sz w:val="19"/>
        </w:rPr>
        <w:t xml:space="preserve"> </w:t>
      </w:r>
      <w:r>
        <w:rPr>
          <w:color w:val="231F20"/>
          <w:w w:val="105"/>
          <w:sz w:val="19"/>
        </w:rPr>
        <w:t>critically</w:t>
      </w:r>
      <w:r>
        <w:rPr>
          <w:color w:val="231F20"/>
          <w:spacing w:val="-8"/>
          <w:w w:val="105"/>
          <w:sz w:val="19"/>
        </w:rPr>
        <w:t xml:space="preserve"> </w:t>
      </w:r>
      <w:r>
        <w:rPr>
          <w:color w:val="231F20"/>
          <w:w w:val="105"/>
          <w:sz w:val="19"/>
        </w:rPr>
        <w:t>assessing</w:t>
      </w:r>
      <w:r>
        <w:rPr>
          <w:color w:val="231F20"/>
          <w:spacing w:val="-8"/>
          <w:w w:val="105"/>
          <w:sz w:val="19"/>
        </w:rPr>
        <w:t xml:space="preserve"> </w:t>
      </w:r>
      <w:r>
        <w:rPr>
          <w:color w:val="231F20"/>
          <w:w w:val="105"/>
          <w:sz w:val="19"/>
        </w:rPr>
        <w:t>the</w:t>
      </w:r>
      <w:r>
        <w:rPr>
          <w:color w:val="231F20"/>
          <w:spacing w:val="-8"/>
          <w:w w:val="105"/>
          <w:sz w:val="19"/>
        </w:rPr>
        <w:t xml:space="preserve"> </w:t>
      </w:r>
      <w:r>
        <w:rPr>
          <w:color w:val="231F20"/>
          <w:w w:val="105"/>
          <w:sz w:val="19"/>
        </w:rPr>
        <w:t>guerilla</w:t>
      </w:r>
      <w:r>
        <w:rPr>
          <w:color w:val="231F20"/>
          <w:spacing w:val="-8"/>
          <w:w w:val="105"/>
          <w:sz w:val="19"/>
        </w:rPr>
        <w:t xml:space="preserve"> </w:t>
      </w:r>
      <w:r>
        <w:rPr>
          <w:color w:val="231F20"/>
          <w:w w:val="105"/>
          <w:sz w:val="19"/>
        </w:rPr>
        <w:t xml:space="preserve">struggle; 2000, arrested in France and extradited to </w:t>
      </w:r>
      <w:r>
        <w:rPr>
          <w:color w:val="231F20"/>
          <w:spacing w:val="-3"/>
          <w:w w:val="105"/>
          <w:sz w:val="19"/>
        </w:rPr>
        <w:t xml:space="preserve">Germany, </w:t>
      </w:r>
      <w:r>
        <w:rPr>
          <w:color w:val="231F20"/>
          <w:w w:val="105"/>
          <w:sz w:val="19"/>
        </w:rPr>
        <w:t>acted as a crown witness to avoid a life sentence and was sentenced to nine years; 2003,</w:t>
      </w:r>
      <w:r>
        <w:rPr>
          <w:color w:val="231F20"/>
          <w:spacing w:val="1"/>
          <w:w w:val="105"/>
          <w:sz w:val="19"/>
        </w:rPr>
        <w:t xml:space="preserve"> </w:t>
      </w:r>
      <w:r>
        <w:rPr>
          <w:color w:val="231F20"/>
          <w:w w:val="105"/>
          <w:sz w:val="19"/>
        </w:rPr>
        <w:t>pardoned.</w:t>
      </w:r>
    </w:p>
    <w:p w14:paraId="11BBCEE4" w14:textId="77777777" w:rsidR="002653E8" w:rsidRDefault="002653E8">
      <w:pPr>
        <w:spacing w:line="276" w:lineRule="auto"/>
        <w:rPr>
          <w:sz w:val="19"/>
        </w:rPr>
        <w:sectPr w:rsidR="002653E8">
          <w:footerReference w:type="even" r:id="rId484"/>
          <w:footerReference w:type="default" r:id="rId485"/>
          <w:pgSz w:w="8640" w:h="12960"/>
          <w:pgMar w:top="1080" w:right="0" w:bottom="1040" w:left="0" w:header="0" w:footer="850" w:gutter="0"/>
          <w:cols w:space="720"/>
        </w:sectPr>
      </w:pPr>
    </w:p>
    <w:p w14:paraId="6CFCC0BD" w14:textId="77777777" w:rsidR="002653E8" w:rsidRDefault="003115E3">
      <w:pPr>
        <w:spacing w:before="75" w:line="276" w:lineRule="auto"/>
        <w:ind w:left="1147" w:right="1580"/>
        <w:rPr>
          <w:sz w:val="19"/>
        </w:rPr>
      </w:pPr>
      <w:r>
        <w:rPr>
          <w:i/>
          <w:color w:val="231F20"/>
          <w:w w:val="105"/>
          <w:sz w:val="19"/>
        </w:rPr>
        <w:lastRenderedPageBreak/>
        <w:t xml:space="preserve">Knoll, Michael: </w:t>
      </w:r>
      <w:r>
        <w:rPr>
          <w:color w:val="231F20"/>
          <w:w w:val="105"/>
          <w:sz w:val="19"/>
        </w:rPr>
        <w:t xml:space="preserve">1949-1978; Member of the </w:t>
      </w:r>
      <w:r w:rsidR="00C507A5">
        <w:rPr>
          <w:color w:val="231F20"/>
          <w:w w:val="105"/>
          <w:sz w:val="19"/>
        </w:rPr>
        <w:t>red army faction</w:t>
      </w:r>
      <w:r>
        <w:rPr>
          <w:color w:val="231F20"/>
          <w:w w:val="105"/>
          <w:sz w:val="19"/>
        </w:rPr>
        <w:t>; 1978, killed in an exchange of fire with the police.</w:t>
      </w:r>
    </w:p>
    <w:p w14:paraId="377B108A" w14:textId="77777777" w:rsidR="002653E8" w:rsidRDefault="003115E3">
      <w:pPr>
        <w:spacing w:before="128" w:line="276" w:lineRule="auto"/>
        <w:ind w:left="1147" w:right="1264"/>
        <w:rPr>
          <w:sz w:val="19"/>
        </w:rPr>
      </w:pPr>
      <w:r>
        <w:rPr>
          <w:i/>
          <w:color w:val="231F20"/>
          <w:w w:val="105"/>
          <w:sz w:val="19"/>
        </w:rPr>
        <w:t xml:space="preserve">Krabbe, Friederike: </w:t>
      </w:r>
      <w:r>
        <w:rPr>
          <w:color w:val="231F20"/>
          <w:w w:val="105"/>
          <w:sz w:val="19"/>
        </w:rPr>
        <w:t xml:space="preserve">b. 1950; younger sister of Hanna Krabbe; SPK member; allegedly joined </w:t>
      </w:r>
      <w:r w:rsidR="00C507A5">
        <w:rPr>
          <w:color w:val="231F20"/>
          <w:w w:val="105"/>
          <w:sz w:val="19"/>
        </w:rPr>
        <w:t>red army faction</w:t>
      </w:r>
      <w:r>
        <w:rPr>
          <w:color w:val="231F20"/>
          <w:w w:val="105"/>
          <w:sz w:val="19"/>
        </w:rPr>
        <w:t xml:space="preserve"> prior to 1977 and participated in Schleyer kidnapping; never captured.</w:t>
      </w:r>
    </w:p>
    <w:p w14:paraId="07365DF8" w14:textId="77777777" w:rsidR="002653E8" w:rsidRDefault="003115E3">
      <w:pPr>
        <w:spacing w:before="127" w:line="276" w:lineRule="auto"/>
        <w:ind w:left="1147" w:right="1427" w:hanging="1"/>
        <w:rPr>
          <w:sz w:val="19"/>
        </w:rPr>
      </w:pPr>
      <w:r>
        <w:rPr>
          <w:i/>
          <w:color w:val="231F20"/>
          <w:w w:val="105"/>
          <w:sz w:val="19"/>
        </w:rPr>
        <w:t xml:space="preserve">Krabbe, Hanna: </w:t>
      </w:r>
      <w:r>
        <w:rPr>
          <w:color w:val="231F20"/>
          <w:w w:val="105"/>
          <w:sz w:val="19"/>
        </w:rPr>
        <w:t xml:space="preserve">b. 1945; sister of Friederike Krabbe; SPK member;  1974, joined </w:t>
      </w:r>
      <w:r w:rsidR="00C507A5">
        <w:rPr>
          <w:color w:val="231F20"/>
          <w:w w:val="105"/>
          <w:sz w:val="19"/>
        </w:rPr>
        <w:t>red army faction</w:t>
      </w:r>
      <w:r>
        <w:rPr>
          <w:color w:val="231F20"/>
          <w:w w:val="105"/>
          <w:sz w:val="19"/>
        </w:rPr>
        <w:t>; part of the Holger Meins Commando that carried out the failed Stockholm embassy hostage taking in 1975; received two life sentences in 1977; 1996, pardoned and released from</w:t>
      </w:r>
      <w:r>
        <w:rPr>
          <w:color w:val="231F20"/>
          <w:spacing w:val="31"/>
          <w:w w:val="105"/>
          <w:sz w:val="19"/>
        </w:rPr>
        <w:t xml:space="preserve"> </w:t>
      </w:r>
      <w:r>
        <w:rPr>
          <w:color w:val="231F20"/>
          <w:w w:val="105"/>
          <w:sz w:val="19"/>
        </w:rPr>
        <w:t>prison.</w:t>
      </w:r>
    </w:p>
    <w:p w14:paraId="4BBFB2C8" w14:textId="77777777" w:rsidR="002653E8" w:rsidRDefault="003115E3">
      <w:pPr>
        <w:spacing w:before="128" w:line="276" w:lineRule="auto"/>
        <w:ind w:left="1147" w:right="1762" w:hanging="1"/>
        <w:rPr>
          <w:sz w:val="19"/>
        </w:rPr>
      </w:pPr>
      <w:r>
        <w:rPr>
          <w:i/>
          <w:color w:val="231F20"/>
          <w:w w:val="110"/>
          <w:sz w:val="19"/>
        </w:rPr>
        <w:t>Krahl,</w:t>
      </w:r>
      <w:r>
        <w:rPr>
          <w:i/>
          <w:color w:val="231F20"/>
          <w:spacing w:val="-26"/>
          <w:w w:val="110"/>
          <w:sz w:val="19"/>
        </w:rPr>
        <w:t xml:space="preserve"> </w:t>
      </w:r>
      <w:r>
        <w:rPr>
          <w:i/>
          <w:color w:val="231F20"/>
          <w:w w:val="110"/>
          <w:sz w:val="19"/>
        </w:rPr>
        <w:t>Hans-Jürgen:</w:t>
      </w:r>
      <w:r>
        <w:rPr>
          <w:i/>
          <w:color w:val="231F20"/>
          <w:spacing w:val="-23"/>
          <w:w w:val="110"/>
          <w:sz w:val="19"/>
        </w:rPr>
        <w:t xml:space="preserve"> </w:t>
      </w:r>
      <w:r>
        <w:rPr>
          <w:color w:val="231F20"/>
          <w:w w:val="110"/>
          <w:sz w:val="19"/>
        </w:rPr>
        <w:t>1943-1970;</w:t>
      </w:r>
      <w:r>
        <w:rPr>
          <w:color w:val="231F20"/>
          <w:spacing w:val="-23"/>
          <w:w w:val="110"/>
          <w:sz w:val="19"/>
        </w:rPr>
        <w:t xml:space="preserve"> </w:t>
      </w:r>
      <w:r>
        <w:rPr>
          <w:color w:val="231F20"/>
          <w:w w:val="110"/>
          <w:sz w:val="19"/>
        </w:rPr>
        <w:t>leading</w:t>
      </w:r>
      <w:r>
        <w:rPr>
          <w:color w:val="231F20"/>
          <w:spacing w:val="-23"/>
          <w:w w:val="110"/>
          <w:sz w:val="19"/>
        </w:rPr>
        <w:t xml:space="preserve"> </w:t>
      </w:r>
      <w:r>
        <w:rPr>
          <w:color w:val="231F20"/>
          <w:w w:val="110"/>
          <w:sz w:val="19"/>
        </w:rPr>
        <w:t>theorist</w:t>
      </w:r>
      <w:r>
        <w:rPr>
          <w:color w:val="231F20"/>
          <w:spacing w:val="-23"/>
          <w:w w:val="110"/>
          <w:sz w:val="19"/>
        </w:rPr>
        <w:t xml:space="preserve"> </w:t>
      </w:r>
      <w:r>
        <w:rPr>
          <w:color w:val="231F20"/>
          <w:w w:val="110"/>
          <w:sz w:val="19"/>
        </w:rPr>
        <w:t>in</w:t>
      </w:r>
      <w:r>
        <w:rPr>
          <w:color w:val="231F20"/>
          <w:spacing w:val="-23"/>
          <w:w w:val="110"/>
          <w:sz w:val="19"/>
        </w:rPr>
        <w:t xml:space="preserve"> </w:t>
      </w:r>
      <w:r>
        <w:rPr>
          <w:color w:val="231F20"/>
          <w:w w:val="110"/>
          <w:sz w:val="19"/>
        </w:rPr>
        <w:t>the</w:t>
      </w:r>
      <w:r>
        <w:rPr>
          <w:color w:val="231F20"/>
          <w:spacing w:val="-23"/>
          <w:w w:val="110"/>
          <w:sz w:val="19"/>
        </w:rPr>
        <w:t xml:space="preserve"> </w:t>
      </w:r>
      <w:r>
        <w:rPr>
          <w:color w:val="231F20"/>
          <w:w w:val="110"/>
          <w:sz w:val="19"/>
        </w:rPr>
        <w:t>SDS</w:t>
      </w:r>
      <w:r>
        <w:rPr>
          <w:color w:val="231F20"/>
          <w:spacing w:val="-23"/>
          <w:w w:val="110"/>
          <w:sz w:val="19"/>
        </w:rPr>
        <w:t xml:space="preserve"> </w:t>
      </w:r>
      <w:r>
        <w:rPr>
          <w:color w:val="231F20"/>
          <w:w w:val="110"/>
          <w:sz w:val="19"/>
        </w:rPr>
        <w:t>and</w:t>
      </w:r>
      <w:r>
        <w:rPr>
          <w:color w:val="231F20"/>
          <w:spacing w:val="-23"/>
          <w:w w:val="110"/>
          <w:sz w:val="19"/>
        </w:rPr>
        <w:t xml:space="preserve"> </w:t>
      </w:r>
      <w:r>
        <w:rPr>
          <w:color w:val="231F20"/>
          <w:w w:val="110"/>
          <w:sz w:val="19"/>
        </w:rPr>
        <w:t>the APO; 1970, died in a car</w:t>
      </w:r>
      <w:r>
        <w:rPr>
          <w:color w:val="231F20"/>
          <w:spacing w:val="30"/>
          <w:w w:val="110"/>
          <w:sz w:val="19"/>
        </w:rPr>
        <w:t xml:space="preserve"> </w:t>
      </w:r>
      <w:r>
        <w:rPr>
          <w:color w:val="231F20"/>
          <w:w w:val="110"/>
          <w:sz w:val="19"/>
        </w:rPr>
        <w:t>accident.</w:t>
      </w:r>
    </w:p>
    <w:p w14:paraId="143A8BA2" w14:textId="77777777" w:rsidR="002653E8" w:rsidRDefault="003115E3">
      <w:pPr>
        <w:spacing w:before="127" w:line="276" w:lineRule="auto"/>
        <w:ind w:left="1147" w:right="1145"/>
        <w:rPr>
          <w:sz w:val="19"/>
        </w:rPr>
      </w:pPr>
      <w:r>
        <w:rPr>
          <w:i/>
          <w:color w:val="231F20"/>
          <w:w w:val="105"/>
          <w:sz w:val="19"/>
        </w:rPr>
        <w:t xml:space="preserve">Kranenburg, Arie: </w:t>
      </w:r>
      <w:r>
        <w:rPr>
          <w:color w:val="231F20"/>
          <w:w w:val="105"/>
          <w:sz w:val="19"/>
        </w:rPr>
        <w:t xml:space="preserve">1931-1977; Dutch customs officer; 1977, killed in an exchange of fire with </w:t>
      </w:r>
      <w:r w:rsidR="00C507A5">
        <w:rPr>
          <w:color w:val="231F20"/>
          <w:w w:val="105"/>
          <w:sz w:val="19"/>
        </w:rPr>
        <w:t>red army faction</w:t>
      </w:r>
      <w:r>
        <w:rPr>
          <w:color w:val="231F20"/>
          <w:w w:val="105"/>
          <w:sz w:val="19"/>
        </w:rPr>
        <w:t xml:space="preserve"> members.</w:t>
      </w:r>
    </w:p>
    <w:p w14:paraId="250B8BB0" w14:textId="77777777" w:rsidR="002653E8" w:rsidRDefault="003115E3">
      <w:pPr>
        <w:spacing w:before="128" w:line="276" w:lineRule="auto"/>
        <w:ind w:left="1147" w:right="1729"/>
        <w:rPr>
          <w:sz w:val="19"/>
        </w:rPr>
      </w:pPr>
      <w:r>
        <w:rPr>
          <w:i/>
          <w:color w:val="231F20"/>
          <w:w w:val="105"/>
          <w:sz w:val="19"/>
        </w:rPr>
        <w:t xml:space="preserve">Kröcher-Tiedemann, Gabriele: </w:t>
      </w:r>
      <w:r>
        <w:rPr>
          <w:color w:val="231F20"/>
          <w:w w:val="105"/>
          <w:sz w:val="19"/>
        </w:rPr>
        <w:t>1951-1995; 2JM member; 1973, arrested; 1975, released from prison as part of a prisoner exchange for CDU politician Peter Lorenz who had been kidnapped by the 2JM; 1975, participating in the Vienna OPEC action; 1977, arrested in Switzerland for the shooting of two Swiss customs agents;</w:t>
      </w:r>
    </w:p>
    <w:p w14:paraId="46FA9D81" w14:textId="77777777" w:rsidR="002653E8" w:rsidRDefault="003115E3">
      <w:pPr>
        <w:spacing w:line="276" w:lineRule="auto"/>
        <w:ind w:left="1147" w:right="1634"/>
        <w:rPr>
          <w:sz w:val="19"/>
        </w:rPr>
      </w:pPr>
      <w:r>
        <w:rPr>
          <w:color w:val="231F20"/>
          <w:w w:val="105"/>
          <w:sz w:val="19"/>
        </w:rPr>
        <w:t>1987, extradited to West Germany; 1990, acquitted on charges related to the 1975 Vienna OPEC action; 1991, released from prison; 1995, died of cancer.</w:t>
      </w:r>
    </w:p>
    <w:p w14:paraId="17792B0B" w14:textId="77777777" w:rsidR="002653E8" w:rsidRDefault="003115E3">
      <w:pPr>
        <w:spacing w:before="127"/>
        <w:ind w:left="1147"/>
        <w:rPr>
          <w:sz w:val="19"/>
        </w:rPr>
      </w:pPr>
      <w:r>
        <w:rPr>
          <w:i/>
          <w:color w:val="231F20"/>
          <w:w w:val="105"/>
          <w:sz w:val="19"/>
        </w:rPr>
        <w:t xml:space="preserve">Kuby, Christine: </w:t>
      </w:r>
      <w:r w:rsidR="00C507A5">
        <w:rPr>
          <w:color w:val="231F20"/>
          <w:w w:val="105"/>
          <w:sz w:val="19"/>
        </w:rPr>
        <w:t>red army faction</w:t>
      </w:r>
      <w:r>
        <w:rPr>
          <w:color w:val="231F20"/>
          <w:w w:val="105"/>
          <w:sz w:val="19"/>
        </w:rPr>
        <w:t xml:space="preserve"> member, arrested in 1978; released 1995.</w:t>
      </w:r>
    </w:p>
    <w:p w14:paraId="1E74FBEC" w14:textId="77777777" w:rsidR="002653E8" w:rsidRDefault="003115E3">
      <w:pPr>
        <w:spacing w:before="161" w:line="276" w:lineRule="auto"/>
        <w:ind w:left="1147" w:right="2067"/>
        <w:rPr>
          <w:sz w:val="19"/>
        </w:rPr>
      </w:pPr>
      <w:r>
        <w:rPr>
          <w:i/>
          <w:color w:val="231F20"/>
          <w:w w:val="105"/>
          <w:sz w:val="19"/>
        </w:rPr>
        <w:t xml:space="preserve">Kuhlmann, Brigitte: </w:t>
      </w:r>
      <w:r>
        <w:rPr>
          <w:color w:val="231F20"/>
          <w:w w:val="105"/>
          <w:sz w:val="19"/>
        </w:rPr>
        <w:t>1949-1976; founding member of the RZ; 1976, killed during the Entebbe action.</w:t>
      </w:r>
    </w:p>
    <w:p w14:paraId="08F145AF" w14:textId="77777777" w:rsidR="002653E8" w:rsidRDefault="003115E3">
      <w:pPr>
        <w:spacing w:before="128" w:line="276" w:lineRule="auto"/>
        <w:ind w:left="1147" w:right="1495"/>
        <w:rPr>
          <w:sz w:val="19"/>
        </w:rPr>
      </w:pPr>
      <w:r>
        <w:rPr>
          <w:i/>
          <w:color w:val="231F20"/>
          <w:w w:val="105"/>
          <w:sz w:val="19"/>
        </w:rPr>
        <w:t xml:space="preserve">Kunzelmann, Dieter: </w:t>
      </w:r>
      <w:r>
        <w:rPr>
          <w:color w:val="231F20"/>
          <w:w w:val="105"/>
          <w:sz w:val="19"/>
        </w:rPr>
        <w:t xml:space="preserve">b. 1939; Kommune 1 </w:t>
      </w:r>
      <w:r>
        <w:rPr>
          <w:color w:val="231F20"/>
          <w:spacing w:val="-4"/>
          <w:w w:val="105"/>
          <w:sz w:val="19"/>
        </w:rPr>
        <w:t xml:space="preserve">member, </w:t>
      </w:r>
      <w:r>
        <w:rPr>
          <w:color w:val="231F20"/>
          <w:w w:val="105"/>
          <w:sz w:val="19"/>
        </w:rPr>
        <w:t xml:space="preserve">1969, founding member of the </w:t>
      </w:r>
      <w:r>
        <w:rPr>
          <w:color w:val="231F20"/>
          <w:spacing w:val="-3"/>
          <w:w w:val="105"/>
          <w:sz w:val="19"/>
        </w:rPr>
        <w:t xml:space="preserve">Tupamaros-West </w:t>
      </w:r>
      <w:r>
        <w:rPr>
          <w:color w:val="231F20"/>
          <w:w w:val="105"/>
          <w:sz w:val="19"/>
        </w:rPr>
        <w:t xml:space="preserve">Berlin; 1970, arrested; 1975, released from prison; 1983-1985, Alternative List member of parliament in </w:t>
      </w:r>
      <w:r>
        <w:rPr>
          <w:color w:val="231F20"/>
          <w:spacing w:val="-4"/>
          <w:w w:val="105"/>
          <w:sz w:val="19"/>
        </w:rPr>
        <w:t xml:space="preserve">West </w:t>
      </w:r>
      <w:r>
        <w:rPr>
          <w:color w:val="231F20"/>
          <w:w w:val="105"/>
          <w:sz w:val="19"/>
        </w:rPr>
        <w:t>Berlin.</w:t>
      </w:r>
    </w:p>
    <w:p w14:paraId="2B0AFFDA" w14:textId="77777777" w:rsidR="002653E8" w:rsidRDefault="003115E3">
      <w:pPr>
        <w:spacing w:before="127" w:line="276" w:lineRule="auto"/>
        <w:ind w:left="1147" w:right="1580"/>
        <w:rPr>
          <w:sz w:val="19"/>
        </w:rPr>
      </w:pPr>
      <w:r>
        <w:rPr>
          <w:i/>
          <w:color w:val="231F20"/>
          <w:w w:val="105"/>
          <w:sz w:val="19"/>
        </w:rPr>
        <w:t xml:space="preserve">Kurras, Karl-Heinz: </w:t>
      </w:r>
      <w:r>
        <w:rPr>
          <w:color w:val="231F20"/>
          <w:w w:val="105"/>
          <w:sz w:val="19"/>
        </w:rPr>
        <w:t xml:space="preserve">The undercover police officer who shot Benno </w:t>
      </w:r>
      <w:r>
        <w:rPr>
          <w:color w:val="231F20"/>
          <w:w w:val="110"/>
          <w:sz w:val="19"/>
        </w:rPr>
        <w:t>Ohnesorg on June 2, 1967.</w:t>
      </w:r>
    </w:p>
    <w:p w14:paraId="6006074A" w14:textId="77777777" w:rsidR="002653E8" w:rsidRDefault="003115E3">
      <w:pPr>
        <w:spacing w:before="128" w:line="276" w:lineRule="auto"/>
        <w:ind w:left="1147" w:right="1479"/>
        <w:rPr>
          <w:sz w:val="19"/>
        </w:rPr>
      </w:pPr>
      <w:r>
        <w:rPr>
          <w:i/>
          <w:color w:val="231F20"/>
          <w:sz w:val="19"/>
        </w:rPr>
        <w:t xml:space="preserve">Lang, </w:t>
      </w:r>
      <w:r>
        <w:rPr>
          <w:i/>
          <w:color w:val="231F20"/>
          <w:spacing w:val="-3"/>
          <w:sz w:val="19"/>
        </w:rPr>
        <w:t xml:space="preserve">Jörg: </w:t>
      </w:r>
      <w:r>
        <w:rPr>
          <w:color w:val="231F20"/>
          <w:sz w:val="19"/>
        </w:rPr>
        <w:t xml:space="preserve">b. 1950; lawyer who was arrested in 1972 on charges that he  had helped recruit for the </w:t>
      </w:r>
      <w:r w:rsidR="00C507A5">
        <w:rPr>
          <w:color w:val="231F20"/>
          <w:sz w:val="19"/>
        </w:rPr>
        <w:t>red army faction</w:t>
      </w:r>
      <w:r>
        <w:rPr>
          <w:color w:val="231F20"/>
          <w:sz w:val="19"/>
        </w:rPr>
        <w:t>; went underground in 1974; at one time accused, perhaps spuriously, of helping  to  organize  the  events  of  1977; to</w:t>
      </w:r>
      <w:r>
        <w:rPr>
          <w:color w:val="231F20"/>
          <w:spacing w:val="12"/>
          <w:sz w:val="19"/>
        </w:rPr>
        <w:t xml:space="preserve"> </w:t>
      </w:r>
      <w:r>
        <w:rPr>
          <w:color w:val="231F20"/>
          <w:sz w:val="19"/>
        </w:rPr>
        <w:t>the</w:t>
      </w:r>
      <w:r>
        <w:rPr>
          <w:color w:val="231F20"/>
          <w:spacing w:val="12"/>
          <w:sz w:val="19"/>
        </w:rPr>
        <w:t xml:space="preserve"> </w:t>
      </w:r>
      <w:r>
        <w:rPr>
          <w:color w:val="231F20"/>
          <w:sz w:val="19"/>
        </w:rPr>
        <w:t>best</w:t>
      </w:r>
      <w:r>
        <w:rPr>
          <w:color w:val="231F20"/>
          <w:spacing w:val="12"/>
          <w:sz w:val="19"/>
        </w:rPr>
        <w:t xml:space="preserve"> </w:t>
      </w:r>
      <w:r>
        <w:rPr>
          <w:color w:val="231F20"/>
          <w:sz w:val="19"/>
        </w:rPr>
        <w:t>of</w:t>
      </w:r>
      <w:r>
        <w:rPr>
          <w:color w:val="231F20"/>
          <w:spacing w:val="12"/>
          <w:sz w:val="19"/>
        </w:rPr>
        <w:t xml:space="preserve"> </w:t>
      </w:r>
      <w:r>
        <w:rPr>
          <w:color w:val="231F20"/>
          <w:sz w:val="19"/>
        </w:rPr>
        <w:t>our</w:t>
      </w:r>
      <w:r>
        <w:rPr>
          <w:color w:val="231F20"/>
          <w:spacing w:val="12"/>
          <w:sz w:val="19"/>
        </w:rPr>
        <w:t xml:space="preserve"> </w:t>
      </w:r>
      <w:r>
        <w:rPr>
          <w:color w:val="231F20"/>
          <w:sz w:val="19"/>
        </w:rPr>
        <w:t>knowledge,</w:t>
      </w:r>
      <w:r>
        <w:rPr>
          <w:color w:val="231F20"/>
          <w:spacing w:val="5"/>
          <w:sz w:val="19"/>
        </w:rPr>
        <w:t xml:space="preserve"> </w:t>
      </w:r>
      <w:r>
        <w:rPr>
          <w:color w:val="231F20"/>
          <w:sz w:val="19"/>
        </w:rPr>
        <w:t>never</w:t>
      </w:r>
      <w:r>
        <w:rPr>
          <w:color w:val="231F20"/>
          <w:spacing w:val="12"/>
          <w:sz w:val="19"/>
        </w:rPr>
        <w:t xml:space="preserve"> </w:t>
      </w:r>
      <w:r>
        <w:rPr>
          <w:color w:val="231F20"/>
          <w:sz w:val="19"/>
        </w:rPr>
        <w:t>captured.</w:t>
      </w:r>
    </w:p>
    <w:p w14:paraId="62528B74" w14:textId="77777777" w:rsidR="002653E8" w:rsidRDefault="002653E8">
      <w:pPr>
        <w:spacing w:line="276" w:lineRule="auto"/>
        <w:rPr>
          <w:sz w:val="19"/>
        </w:rPr>
        <w:sectPr w:rsidR="002653E8">
          <w:pgSz w:w="8640" w:h="12960"/>
          <w:pgMar w:top="1080" w:right="0" w:bottom="1040" w:left="0" w:header="0" w:footer="850" w:gutter="0"/>
          <w:cols w:space="720"/>
        </w:sectPr>
      </w:pPr>
    </w:p>
    <w:p w14:paraId="13BCDEB9" w14:textId="77777777" w:rsidR="002653E8" w:rsidRDefault="003115E3">
      <w:pPr>
        <w:spacing w:before="75"/>
        <w:ind w:left="1327"/>
        <w:rPr>
          <w:sz w:val="19"/>
        </w:rPr>
      </w:pPr>
      <w:r>
        <w:rPr>
          <w:i/>
          <w:color w:val="231F20"/>
          <w:w w:val="110"/>
          <w:sz w:val="19"/>
        </w:rPr>
        <w:lastRenderedPageBreak/>
        <w:t xml:space="preserve">Langhans, Rainer: </w:t>
      </w:r>
      <w:r>
        <w:rPr>
          <w:color w:val="231F20"/>
          <w:w w:val="110"/>
          <w:sz w:val="19"/>
        </w:rPr>
        <w:t>b. 1940; Kommune 1 member.</w:t>
      </w:r>
    </w:p>
    <w:p w14:paraId="4FB9232B" w14:textId="77777777" w:rsidR="002653E8" w:rsidRDefault="003115E3">
      <w:pPr>
        <w:spacing w:before="161" w:line="276" w:lineRule="auto"/>
        <w:ind w:left="1327" w:right="1580"/>
        <w:rPr>
          <w:sz w:val="19"/>
        </w:rPr>
      </w:pPr>
      <w:r>
        <w:rPr>
          <w:i/>
          <w:color w:val="231F20"/>
          <w:w w:val="105"/>
          <w:sz w:val="19"/>
        </w:rPr>
        <w:t xml:space="preserve">Langner, Klaus Jürgen: </w:t>
      </w:r>
      <w:r>
        <w:rPr>
          <w:color w:val="231F20"/>
          <w:w w:val="105"/>
          <w:sz w:val="19"/>
        </w:rPr>
        <w:t>lawyer for Margrit Schiller; his offices were firebombed in 1976.</w:t>
      </w:r>
    </w:p>
    <w:p w14:paraId="0C86F8CC" w14:textId="77777777" w:rsidR="002653E8" w:rsidRDefault="003115E3">
      <w:pPr>
        <w:spacing w:before="128" w:line="276" w:lineRule="auto"/>
        <w:ind w:left="1327" w:right="1145"/>
        <w:rPr>
          <w:sz w:val="19"/>
        </w:rPr>
      </w:pPr>
      <w:r>
        <w:rPr>
          <w:i/>
          <w:color w:val="231F20"/>
          <w:w w:val="105"/>
          <w:sz w:val="19"/>
        </w:rPr>
        <w:t xml:space="preserve">Linke, Georg: </w:t>
      </w:r>
      <w:r>
        <w:rPr>
          <w:color w:val="231F20"/>
          <w:w w:val="105"/>
          <w:sz w:val="19"/>
        </w:rPr>
        <w:t>Librarian; shot and seriously injured during the Baader breakout.</w:t>
      </w:r>
    </w:p>
    <w:p w14:paraId="31036B39" w14:textId="77777777" w:rsidR="002653E8" w:rsidRDefault="003115E3">
      <w:pPr>
        <w:spacing w:before="128" w:line="276" w:lineRule="auto"/>
        <w:ind w:left="1327" w:right="1186"/>
        <w:rPr>
          <w:sz w:val="19"/>
        </w:rPr>
      </w:pPr>
      <w:r>
        <w:rPr>
          <w:i/>
          <w:color w:val="231F20"/>
          <w:w w:val="105"/>
          <w:sz w:val="19"/>
        </w:rPr>
        <w:t xml:space="preserve">Lorenz, Peter: </w:t>
      </w:r>
      <w:r>
        <w:rPr>
          <w:color w:val="231F20"/>
          <w:w w:val="105"/>
          <w:sz w:val="19"/>
        </w:rPr>
        <w:t>1922-1987; 1969-1981, Berlin Chairman of the CDU; 1975, kidnapped by the 2JM and exchanged for five political prisoners.</w:t>
      </w:r>
    </w:p>
    <w:p w14:paraId="6B353DA0" w14:textId="77777777" w:rsidR="002653E8" w:rsidRDefault="003115E3">
      <w:pPr>
        <w:spacing w:before="127" w:line="276" w:lineRule="auto"/>
        <w:ind w:left="1327" w:right="1580"/>
        <w:rPr>
          <w:sz w:val="19"/>
        </w:rPr>
      </w:pPr>
      <w:r>
        <w:rPr>
          <w:i/>
          <w:color w:val="231F20"/>
          <w:w w:val="105"/>
          <w:sz w:val="19"/>
        </w:rPr>
        <w:t xml:space="preserve">Luther, Angela: </w:t>
      </w:r>
      <w:r>
        <w:rPr>
          <w:color w:val="231F20"/>
          <w:w w:val="105"/>
          <w:sz w:val="19"/>
        </w:rPr>
        <w:t xml:space="preserve">b. 1940; 2JM member; worked with the </w:t>
      </w:r>
      <w:r w:rsidR="00C507A5">
        <w:rPr>
          <w:color w:val="231F20"/>
          <w:w w:val="105"/>
          <w:sz w:val="19"/>
        </w:rPr>
        <w:t>red army faction</w:t>
      </w:r>
      <w:r>
        <w:rPr>
          <w:color w:val="231F20"/>
          <w:w w:val="105"/>
          <w:sz w:val="19"/>
        </w:rPr>
        <w:t xml:space="preserve"> during 1972 May Offensive; participated in successful kidnapping of Peter Lorenz and prisoner exchange in 1975; never captured.</w:t>
      </w:r>
    </w:p>
    <w:p w14:paraId="748A0DBF" w14:textId="77777777" w:rsidR="002653E8" w:rsidRDefault="003115E3">
      <w:pPr>
        <w:spacing w:before="128" w:line="276" w:lineRule="auto"/>
        <w:ind w:left="1327" w:right="1279" w:hanging="1"/>
        <w:rPr>
          <w:sz w:val="19"/>
        </w:rPr>
      </w:pPr>
      <w:r>
        <w:rPr>
          <w:i/>
          <w:color w:val="231F20"/>
          <w:spacing w:val="-4"/>
          <w:w w:val="105"/>
          <w:sz w:val="19"/>
        </w:rPr>
        <w:t xml:space="preserve">Mahler, </w:t>
      </w:r>
      <w:r>
        <w:rPr>
          <w:i/>
          <w:color w:val="231F20"/>
          <w:w w:val="105"/>
          <w:sz w:val="19"/>
        </w:rPr>
        <w:t xml:space="preserve">Horst: </w:t>
      </w:r>
      <w:r>
        <w:rPr>
          <w:color w:val="231F20"/>
          <w:w w:val="105"/>
          <w:sz w:val="19"/>
        </w:rPr>
        <w:t xml:space="preserve">b. 1936; founding member of the </w:t>
      </w:r>
      <w:r w:rsidR="00C507A5">
        <w:rPr>
          <w:color w:val="231F20"/>
          <w:w w:val="105"/>
          <w:sz w:val="19"/>
        </w:rPr>
        <w:t>red army faction</w:t>
      </w:r>
      <w:r>
        <w:rPr>
          <w:color w:val="231F20"/>
          <w:w w:val="105"/>
          <w:sz w:val="19"/>
        </w:rPr>
        <w:t xml:space="preserve">; 1964, began acting as lawyer for the SDS and the APO; 1969, co-founded the Socialist Lawyers Collective; 1970, arrested; 1974, acrimoniously parted ways with the </w:t>
      </w:r>
      <w:r w:rsidR="00C507A5">
        <w:rPr>
          <w:color w:val="231F20"/>
          <w:w w:val="105"/>
          <w:sz w:val="19"/>
        </w:rPr>
        <w:t>red army faction</w:t>
      </w:r>
      <w:r>
        <w:rPr>
          <w:color w:val="231F20"/>
          <w:w w:val="105"/>
          <w:sz w:val="19"/>
        </w:rPr>
        <w:t xml:space="preserve"> in prison, affiliating himself with the </w:t>
      </w:r>
      <w:r>
        <w:rPr>
          <w:color w:val="231F20"/>
          <w:w w:val="114"/>
          <w:sz w:val="19"/>
        </w:rPr>
        <w:t>KP</w:t>
      </w:r>
      <w:r>
        <w:rPr>
          <w:color w:val="231F20"/>
          <w:spacing w:val="-1"/>
          <w:w w:val="114"/>
          <w:sz w:val="19"/>
        </w:rPr>
        <w:t>D</w:t>
      </w:r>
      <w:r>
        <w:rPr>
          <w:color w:val="231F20"/>
          <w:w w:val="58"/>
          <w:sz w:val="19"/>
        </w:rPr>
        <w:t>/</w:t>
      </w:r>
      <w:r>
        <w:rPr>
          <w:color w:val="231F20"/>
          <w:spacing w:val="-8"/>
          <w:w w:val="125"/>
          <w:sz w:val="19"/>
        </w:rPr>
        <w:t>A</w:t>
      </w:r>
      <w:r>
        <w:rPr>
          <w:color w:val="231F20"/>
          <w:w w:val="125"/>
          <w:sz w:val="19"/>
        </w:rPr>
        <w:t>O</w:t>
      </w:r>
      <w:r>
        <w:rPr>
          <w:color w:val="231F20"/>
          <w:w w:val="108"/>
          <w:sz w:val="19"/>
        </w:rPr>
        <w:t>;</w:t>
      </w:r>
      <w:r>
        <w:rPr>
          <w:color w:val="231F20"/>
          <w:spacing w:val="11"/>
          <w:sz w:val="19"/>
        </w:rPr>
        <w:t xml:space="preserve"> </w:t>
      </w:r>
      <w:r>
        <w:rPr>
          <w:color w:val="231F20"/>
          <w:w w:val="103"/>
          <w:sz w:val="19"/>
        </w:rPr>
        <w:t>1975</w:t>
      </w:r>
      <w:r>
        <w:rPr>
          <w:color w:val="231F20"/>
          <w:w w:val="139"/>
          <w:sz w:val="19"/>
        </w:rPr>
        <w:t>,</w:t>
      </w:r>
      <w:r>
        <w:rPr>
          <w:color w:val="231F20"/>
          <w:spacing w:val="5"/>
          <w:sz w:val="19"/>
        </w:rPr>
        <w:t xml:space="preserve"> </w:t>
      </w:r>
      <w:r>
        <w:rPr>
          <w:color w:val="231F20"/>
          <w:w w:val="99"/>
          <w:sz w:val="19"/>
        </w:rPr>
        <w:t>refused</w:t>
      </w:r>
      <w:r>
        <w:rPr>
          <w:color w:val="231F20"/>
          <w:spacing w:val="11"/>
          <w:sz w:val="19"/>
        </w:rPr>
        <w:t xml:space="preserve"> </w:t>
      </w:r>
      <w:r>
        <w:rPr>
          <w:color w:val="231F20"/>
          <w:w w:val="105"/>
          <w:sz w:val="19"/>
        </w:rPr>
        <w:t>to</w:t>
      </w:r>
      <w:r>
        <w:rPr>
          <w:color w:val="231F20"/>
          <w:spacing w:val="11"/>
          <w:sz w:val="19"/>
        </w:rPr>
        <w:t xml:space="preserve"> </w:t>
      </w:r>
      <w:r>
        <w:rPr>
          <w:color w:val="231F20"/>
          <w:w w:val="99"/>
          <w:sz w:val="19"/>
        </w:rPr>
        <w:t>leave</w:t>
      </w:r>
      <w:r>
        <w:rPr>
          <w:color w:val="231F20"/>
          <w:spacing w:val="11"/>
          <w:sz w:val="19"/>
        </w:rPr>
        <w:t xml:space="preserve"> </w:t>
      </w:r>
      <w:r>
        <w:rPr>
          <w:color w:val="231F20"/>
          <w:w w:val="101"/>
          <w:sz w:val="19"/>
        </w:rPr>
        <w:t>prison</w:t>
      </w:r>
      <w:r>
        <w:rPr>
          <w:color w:val="231F20"/>
          <w:spacing w:val="11"/>
          <w:sz w:val="19"/>
        </w:rPr>
        <w:t xml:space="preserve"> </w:t>
      </w:r>
      <w:r>
        <w:rPr>
          <w:color w:val="231F20"/>
          <w:w w:val="99"/>
          <w:sz w:val="19"/>
        </w:rPr>
        <w:t>as</w:t>
      </w:r>
      <w:r>
        <w:rPr>
          <w:color w:val="231F20"/>
          <w:spacing w:val="11"/>
          <w:sz w:val="19"/>
        </w:rPr>
        <w:t xml:space="preserve"> </w:t>
      </w:r>
      <w:r>
        <w:rPr>
          <w:color w:val="231F20"/>
          <w:w w:val="102"/>
          <w:sz w:val="19"/>
        </w:rPr>
        <w:t>part</w:t>
      </w:r>
      <w:r>
        <w:rPr>
          <w:color w:val="231F20"/>
          <w:spacing w:val="11"/>
          <w:sz w:val="19"/>
        </w:rPr>
        <w:t xml:space="preserve"> </w:t>
      </w:r>
      <w:r>
        <w:rPr>
          <w:color w:val="231F20"/>
          <w:w w:val="110"/>
          <w:sz w:val="19"/>
        </w:rPr>
        <w:t>of</w:t>
      </w:r>
      <w:r>
        <w:rPr>
          <w:color w:val="231F20"/>
          <w:spacing w:val="11"/>
          <w:sz w:val="19"/>
        </w:rPr>
        <w:t xml:space="preserve"> </w:t>
      </w:r>
      <w:r>
        <w:rPr>
          <w:color w:val="231F20"/>
          <w:w w:val="99"/>
          <w:sz w:val="19"/>
        </w:rPr>
        <w:t>the</w:t>
      </w:r>
      <w:r>
        <w:rPr>
          <w:color w:val="231F20"/>
          <w:spacing w:val="11"/>
          <w:sz w:val="19"/>
        </w:rPr>
        <w:t xml:space="preserve"> </w:t>
      </w:r>
      <w:r>
        <w:rPr>
          <w:color w:val="231F20"/>
          <w:w w:val="103"/>
          <w:sz w:val="19"/>
        </w:rPr>
        <w:t>Lorenz</w:t>
      </w:r>
      <w:r>
        <w:rPr>
          <w:color w:val="231F20"/>
          <w:spacing w:val="11"/>
          <w:sz w:val="19"/>
        </w:rPr>
        <w:t xml:space="preserve"> </w:t>
      </w:r>
      <w:r>
        <w:rPr>
          <w:color w:val="231F20"/>
          <w:w w:val="103"/>
          <w:sz w:val="19"/>
        </w:rPr>
        <w:t xml:space="preserve">exchange; </w:t>
      </w:r>
      <w:r>
        <w:rPr>
          <w:color w:val="231F20"/>
          <w:w w:val="105"/>
          <w:sz w:val="19"/>
        </w:rPr>
        <w:t>1980,</w:t>
      </w:r>
      <w:r>
        <w:rPr>
          <w:color w:val="231F20"/>
          <w:spacing w:val="-9"/>
          <w:w w:val="105"/>
          <w:sz w:val="19"/>
        </w:rPr>
        <w:t xml:space="preserve"> </w:t>
      </w:r>
      <w:r>
        <w:rPr>
          <w:color w:val="231F20"/>
          <w:w w:val="105"/>
          <w:sz w:val="19"/>
        </w:rPr>
        <w:t>released</w:t>
      </w:r>
      <w:r>
        <w:rPr>
          <w:color w:val="231F20"/>
          <w:spacing w:val="-3"/>
          <w:w w:val="105"/>
          <w:sz w:val="19"/>
        </w:rPr>
        <w:t xml:space="preserve"> </w:t>
      </w:r>
      <w:r>
        <w:rPr>
          <w:color w:val="231F20"/>
          <w:w w:val="105"/>
          <w:sz w:val="19"/>
        </w:rPr>
        <w:t>from</w:t>
      </w:r>
      <w:r>
        <w:rPr>
          <w:color w:val="231F20"/>
          <w:spacing w:val="-3"/>
          <w:w w:val="105"/>
          <w:sz w:val="19"/>
        </w:rPr>
        <w:t xml:space="preserve"> </w:t>
      </w:r>
      <w:r>
        <w:rPr>
          <w:color w:val="231F20"/>
          <w:w w:val="105"/>
          <w:sz w:val="19"/>
        </w:rPr>
        <w:t>prison;</w:t>
      </w:r>
      <w:r>
        <w:rPr>
          <w:color w:val="231F20"/>
          <w:spacing w:val="-3"/>
          <w:w w:val="105"/>
          <w:sz w:val="19"/>
        </w:rPr>
        <w:t xml:space="preserve"> </w:t>
      </w:r>
      <w:r>
        <w:rPr>
          <w:color w:val="231F20"/>
          <w:w w:val="105"/>
          <w:sz w:val="19"/>
        </w:rPr>
        <w:t>1997,</w:t>
      </w:r>
      <w:r>
        <w:rPr>
          <w:color w:val="231F20"/>
          <w:spacing w:val="-9"/>
          <w:w w:val="105"/>
          <w:sz w:val="19"/>
        </w:rPr>
        <w:t xml:space="preserve"> </w:t>
      </w:r>
      <w:r>
        <w:rPr>
          <w:color w:val="231F20"/>
          <w:w w:val="105"/>
          <w:sz w:val="19"/>
        </w:rPr>
        <w:t>publicly</w:t>
      </w:r>
      <w:r>
        <w:rPr>
          <w:color w:val="231F20"/>
          <w:spacing w:val="-3"/>
          <w:w w:val="105"/>
          <w:sz w:val="19"/>
        </w:rPr>
        <w:t xml:space="preserve"> </w:t>
      </w:r>
      <w:r>
        <w:rPr>
          <w:color w:val="231F20"/>
          <w:w w:val="105"/>
          <w:sz w:val="19"/>
        </w:rPr>
        <w:t>acknowledged</w:t>
      </w:r>
      <w:r>
        <w:rPr>
          <w:color w:val="231F20"/>
          <w:spacing w:val="-3"/>
          <w:w w:val="105"/>
          <w:sz w:val="19"/>
        </w:rPr>
        <w:t xml:space="preserve"> </w:t>
      </w:r>
      <w:r>
        <w:rPr>
          <w:color w:val="231F20"/>
          <w:w w:val="105"/>
          <w:sz w:val="19"/>
        </w:rPr>
        <w:t>his</w:t>
      </w:r>
      <w:r>
        <w:rPr>
          <w:color w:val="231F20"/>
          <w:spacing w:val="-3"/>
          <w:w w:val="105"/>
          <w:sz w:val="19"/>
        </w:rPr>
        <w:t xml:space="preserve"> </w:t>
      </w:r>
      <w:r>
        <w:rPr>
          <w:color w:val="231F20"/>
          <w:w w:val="105"/>
          <w:sz w:val="19"/>
        </w:rPr>
        <w:t>ties</w:t>
      </w:r>
      <w:r>
        <w:rPr>
          <w:color w:val="231F20"/>
          <w:spacing w:val="-3"/>
          <w:w w:val="105"/>
          <w:sz w:val="19"/>
        </w:rPr>
        <w:t xml:space="preserve"> </w:t>
      </w:r>
      <w:r>
        <w:rPr>
          <w:color w:val="231F20"/>
          <w:w w:val="105"/>
          <w:sz w:val="19"/>
        </w:rPr>
        <w:t>to</w:t>
      </w:r>
      <w:r>
        <w:rPr>
          <w:color w:val="231F20"/>
          <w:spacing w:val="-3"/>
          <w:w w:val="105"/>
          <w:sz w:val="19"/>
        </w:rPr>
        <w:t xml:space="preserve"> </w:t>
      </w:r>
      <w:r>
        <w:rPr>
          <w:color w:val="231F20"/>
          <w:w w:val="105"/>
          <w:sz w:val="19"/>
        </w:rPr>
        <w:t>the neo-nazi NPD; 2000, joined the NPD; 2003, founded the Holocaust denial organization, the</w:t>
      </w:r>
      <w:r>
        <w:rPr>
          <w:color w:val="231F20"/>
          <w:spacing w:val="17"/>
          <w:w w:val="105"/>
          <w:sz w:val="19"/>
        </w:rPr>
        <w:t xml:space="preserve"> </w:t>
      </w:r>
      <w:r>
        <w:rPr>
          <w:color w:val="231F20"/>
          <w:spacing w:val="-5"/>
          <w:w w:val="105"/>
          <w:sz w:val="19"/>
        </w:rPr>
        <w:t>VRBHV.</w:t>
      </w:r>
    </w:p>
    <w:p w14:paraId="6F3E4481" w14:textId="77777777" w:rsidR="002653E8" w:rsidRDefault="003115E3">
      <w:pPr>
        <w:spacing w:before="127" w:line="276" w:lineRule="auto"/>
        <w:ind w:left="1327" w:right="1445"/>
        <w:rPr>
          <w:sz w:val="19"/>
        </w:rPr>
      </w:pPr>
      <w:r>
        <w:rPr>
          <w:i/>
          <w:color w:val="231F20"/>
          <w:w w:val="105"/>
          <w:sz w:val="19"/>
        </w:rPr>
        <w:t xml:space="preserve">Maier-Witt, Silke: </w:t>
      </w:r>
      <w:r>
        <w:rPr>
          <w:color w:val="231F20"/>
          <w:w w:val="105"/>
          <w:sz w:val="19"/>
        </w:rPr>
        <w:t xml:space="preserve">b. 1950; 1977, joined the </w:t>
      </w:r>
      <w:r w:rsidR="00C507A5">
        <w:rPr>
          <w:color w:val="231F20"/>
          <w:w w:val="105"/>
          <w:sz w:val="19"/>
        </w:rPr>
        <w:t>red army faction</w:t>
      </w:r>
      <w:r>
        <w:rPr>
          <w:color w:val="231F20"/>
          <w:w w:val="105"/>
          <w:sz w:val="19"/>
        </w:rPr>
        <w:t xml:space="preserve">; 1980, left the </w:t>
      </w:r>
      <w:r w:rsidR="00C507A5">
        <w:rPr>
          <w:color w:val="231F20"/>
          <w:w w:val="105"/>
          <w:sz w:val="19"/>
        </w:rPr>
        <w:t>red army faction</w:t>
      </w:r>
      <w:r>
        <w:rPr>
          <w:color w:val="231F20"/>
          <w:w w:val="105"/>
          <w:sz w:val="19"/>
        </w:rPr>
        <w:t xml:space="preserve"> and received asylum in the GDR; 1990, arrested and cooperated with police and prosecutors; 1995, released from prison.</w:t>
      </w:r>
    </w:p>
    <w:p w14:paraId="42D70D43" w14:textId="77777777" w:rsidR="002653E8" w:rsidRDefault="003115E3">
      <w:pPr>
        <w:spacing w:before="127" w:line="276" w:lineRule="auto"/>
        <w:ind w:left="1327" w:right="1145" w:hanging="1"/>
        <w:rPr>
          <w:sz w:val="19"/>
        </w:rPr>
      </w:pPr>
      <w:r>
        <w:rPr>
          <w:i/>
          <w:color w:val="231F20"/>
          <w:w w:val="105"/>
          <w:sz w:val="19"/>
        </w:rPr>
        <w:t xml:space="preserve">Maihofer, Werner: </w:t>
      </w:r>
      <w:r>
        <w:rPr>
          <w:color w:val="231F20"/>
          <w:w w:val="105"/>
          <w:sz w:val="19"/>
        </w:rPr>
        <w:t>b. 1918; FDP politician; 1972-1974, Federal Minister for Special Affairs; 1974-1978, Federal Minister of the Interior.</w:t>
      </w:r>
    </w:p>
    <w:p w14:paraId="4F249BAE" w14:textId="77777777" w:rsidR="002653E8" w:rsidRDefault="003115E3">
      <w:pPr>
        <w:spacing w:before="128" w:line="276" w:lineRule="auto"/>
        <w:ind w:left="1327" w:right="1513" w:hanging="1"/>
        <w:rPr>
          <w:sz w:val="19"/>
        </w:rPr>
      </w:pPr>
      <w:r>
        <w:rPr>
          <w:i/>
          <w:color w:val="231F20"/>
          <w:w w:val="105"/>
          <w:sz w:val="19"/>
        </w:rPr>
        <w:t xml:space="preserve">Marcisz, Heinz: </w:t>
      </w:r>
      <w:r>
        <w:rPr>
          <w:color w:val="231F20"/>
          <w:w w:val="105"/>
          <w:sz w:val="19"/>
        </w:rPr>
        <w:t xml:space="preserve">1936-1977; Schleyer’s chauffeur; 1977, killed by the </w:t>
      </w:r>
      <w:r w:rsidR="00C507A5">
        <w:rPr>
          <w:color w:val="231F20"/>
          <w:w w:val="105"/>
          <w:sz w:val="19"/>
        </w:rPr>
        <w:t>red army faction</w:t>
      </w:r>
      <w:r>
        <w:rPr>
          <w:color w:val="231F20"/>
          <w:w w:val="105"/>
          <w:sz w:val="19"/>
        </w:rPr>
        <w:t>.</w:t>
      </w:r>
    </w:p>
    <w:p w14:paraId="4A7541F8" w14:textId="77777777" w:rsidR="002653E8" w:rsidRDefault="003115E3">
      <w:pPr>
        <w:spacing w:before="128"/>
        <w:ind w:left="1327"/>
        <w:rPr>
          <w:sz w:val="19"/>
        </w:rPr>
      </w:pPr>
      <w:r>
        <w:rPr>
          <w:i/>
          <w:color w:val="231F20"/>
          <w:w w:val="110"/>
          <w:sz w:val="19"/>
        </w:rPr>
        <w:t xml:space="preserve">Martin, Ludwig: </w:t>
      </w:r>
      <w:r>
        <w:rPr>
          <w:color w:val="231F20"/>
          <w:w w:val="110"/>
          <w:sz w:val="19"/>
        </w:rPr>
        <w:t>b. 1909; 1963-1974, Attorney General.</w:t>
      </w:r>
    </w:p>
    <w:p w14:paraId="0F70A62E" w14:textId="77777777" w:rsidR="002653E8" w:rsidRDefault="003115E3">
      <w:pPr>
        <w:spacing w:before="161"/>
        <w:ind w:left="1327"/>
        <w:rPr>
          <w:sz w:val="19"/>
        </w:rPr>
      </w:pPr>
      <w:r>
        <w:rPr>
          <w:i/>
          <w:color w:val="231F20"/>
          <w:w w:val="110"/>
          <w:sz w:val="19"/>
        </w:rPr>
        <w:t xml:space="preserve">Mayer, Roland: </w:t>
      </w:r>
      <w:r w:rsidR="00C507A5">
        <w:rPr>
          <w:color w:val="231F20"/>
          <w:w w:val="110"/>
          <w:sz w:val="19"/>
        </w:rPr>
        <w:t>red army faction</w:t>
      </w:r>
      <w:r>
        <w:rPr>
          <w:color w:val="231F20"/>
          <w:w w:val="110"/>
          <w:sz w:val="19"/>
        </w:rPr>
        <w:t xml:space="preserve"> member; 1976, arrested.</w:t>
      </w:r>
    </w:p>
    <w:p w14:paraId="6FA3F971" w14:textId="77777777" w:rsidR="002653E8" w:rsidRDefault="003115E3">
      <w:pPr>
        <w:spacing w:before="161" w:line="276" w:lineRule="auto"/>
        <w:ind w:left="1327" w:right="1173"/>
        <w:rPr>
          <w:sz w:val="19"/>
        </w:rPr>
      </w:pPr>
      <w:r>
        <w:rPr>
          <w:i/>
          <w:color w:val="231F20"/>
          <w:w w:val="105"/>
          <w:sz w:val="19"/>
        </w:rPr>
        <w:t xml:space="preserve">McLeod, Ian: </w:t>
      </w:r>
      <w:r>
        <w:rPr>
          <w:color w:val="231F20"/>
          <w:w w:val="105"/>
          <w:sz w:val="19"/>
        </w:rPr>
        <w:t xml:space="preserve">Scottish businessman, suspected of working as British intelligence agent; 1972, shot dead by police who believed he was a </w:t>
      </w:r>
      <w:r w:rsidR="00C507A5">
        <w:rPr>
          <w:color w:val="231F20"/>
          <w:w w:val="105"/>
          <w:sz w:val="19"/>
        </w:rPr>
        <w:t>red army faction</w:t>
      </w:r>
      <w:r>
        <w:rPr>
          <w:color w:val="231F20"/>
          <w:w w:val="105"/>
          <w:sz w:val="19"/>
        </w:rPr>
        <w:t xml:space="preserve"> member.</w:t>
      </w:r>
    </w:p>
    <w:p w14:paraId="00A54FE0" w14:textId="77777777" w:rsidR="002653E8" w:rsidRDefault="003115E3">
      <w:pPr>
        <w:spacing w:before="127" w:line="276" w:lineRule="auto"/>
        <w:ind w:left="1327" w:right="1145"/>
        <w:rPr>
          <w:sz w:val="19"/>
        </w:rPr>
      </w:pPr>
      <w:r>
        <w:rPr>
          <w:i/>
          <w:color w:val="231F20"/>
          <w:w w:val="105"/>
          <w:sz w:val="19"/>
        </w:rPr>
        <w:t xml:space="preserve">Meinhof, Ulrike: </w:t>
      </w:r>
      <w:r>
        <w:rPr>
          <w:color w:val="231F20"/>
          <w:w w:val="105"/>
          <w:sz w:val="19"/>
        </w:rPr>
        <w:t xml:space="preserve">1934-1976; founding member of the </w:t>
      </w:r>
      <w:r w:rsidR="00C507A5">
        <w:rPr>
          <w:color w:val="231F20"/>
          <w:w w:val="105"/>
          <w:sz w:val="19"/>
        </w:rPr>
        <w:t>red army faction</w:t>
      </w:r>
      <w:r>
        <w:rPr>
          <w:color w:val="231F20"/>
          <w:w w:val="105"/>
          <w:sz w:val="19"/>
        </w:rPr>
        <w:t xml:space="preserve">; 1959, joined the illegal KPD; 1959-1969, </w:t>
      </w:r>
      <w:r>
        <w:rPr>
          <w:i/>
          <w:color w:val="231F20"/>
          <w:w w:val="105"/>
          <w:sz w:val="19"/>
        </w:rPr>
        <w:t xml:space="preserve">konkret </w:t>
      </w:r>
      <w:r>
        <w:rPr>
          <w:color w:val="231F20"/>
          <w:w w:val="105"/>
          <w:sz w:val="19"/>
        </w:rPr>
        <w:t xml:space="preserve">journalist, 1960-1964, Editor-inChief of </w:t>
      </w:r>
      <w:r>
        <w:rPr>
          <w:i/>
          <w:color w:val="231F20"/>
          <w:w w:val="105"/>
          <w:sz w:val="19"/>
        </w:rPr>
        <w:t>konkret</w:t>
      </w:r>
      <w:r>
        <w:rPr>
          <w:color w:val="231F20"/>
          <w:w w:val="105"/>
          <w:sz w:val="19"/>
        </w:rPr>
        <w:t>; 1964, left the KPD; 1972, arrested following May Offensive; 1976, killed in prison.</w:t>
      </w:r>
    </w:p>
    <w:p w14:paraId="60F60689" w14:textId="77777777" w:rsidR="002653E8" w:rsidRDefault="002653E8">
      <w:pPr>
        <w:spacing w:line="276" w:lineRule="auto"/>
        <w:rPr>
          <w:sz w:val="19"/>
        </w:rPr>
        <w:sectPr w:rsidR="002653E8">
          <w:footerReference w:type="even" r:id="rId486"/>
          <w:footerReference w:type="default" r:id="rId487"/>
          <w:pgSz w:w="8640" w:h="12960"/>
          <w:pgMar w:top="1080" w:right="0" w:bottom="1040" w:left="0" w:header="0" w:footer="850" w:gutter="0"/>
          <w:cols w:space="720"/>
        </w:sectPr>
      </w:pPr>
    </w:p>
    <w:p w14:paraId="59659E85" w14:textId="77777777" w:rsidR="002653E8" w:rsidRDefault="003115E3">
      <w:pPr>
        <w:spacing w:before="75" w:line="273" w:lineRule="auto"/>
        <w:ind w:left="1147" w:right="1488"/>
        <w:jc w:val="both"/>
        <w:rPr>
          <w:sz w:val="19"/>
        </w:rPr>
      </w:pPr>
      <w:r>
        <w:rPr>
          <w:i/>
          <w:color w:val="231F20"/>
          <w:w w:val="105"/>
          <w:sz w:val="19"/>
        </w:rPr>
        <w:lastRenderedPageBreak/>
        <w:t xml:space="preserve">Meins, Holger: </w:t>
      </w:r>
      <w:r>
        <w:rPr>
          <w:color w:val="231F20"/>
          <w:w w:val="105"/>
          <w:sz w:val="19"/>
        </w:rPr>
        <w:t xml:space="preserve">1941-1974; 1969, joined Kommune 1, worked on </w:t>
      </w:r>
      <w:r>
        <w:rPr>
          <w:rFonts w:ascii="Bookman Old Style"/>
          <w:i/>
          <w:color w:val="231F20"/>
          <w:w w:val="105"/>
          <w:sz w:val="19"/>
        </w:rPr>
        <w:t>883</w:t>
      </w:r>
      <w:r>
        <w:rPr>
          <w:color w:val="231F20"/>
          <w:w w:val="105"/>
          <w:sz w:val="19"/>
        </w:rPr>
        <w:t xml:space="preserve">; 1970, joined </w:t>
      </w:r>
      <w:r w:rsidR="00C507A5">
        <w:rPr>
          <w:color w:val="231F20"/>
          <w:w w:val="105"/>
          <w:sz w:val="19"/>
        </w:rPr>
        <w:t>red army faction</w:t>
      </w:r>
      <w:r>
        <w:rPr>
          <w:color w:val="231F20"/>
          <w:w w:val="105"/>
          <w:sz w:val="19"/>
        </w:rPr>
        <w:t>; 1972, arrested following May Offensive; 1974, died on hunger strike in prison.</w:t>
      </w:r>
    </w:p>
    <w:p w14:paraId="2A7F3713" w14:textId="77777777" w:rsidR="002653E8" w:rsidRDefault="003115E3">
      <w:pPr>
        <w:spacing w:before="132" w:line="276" w:lineRule="auto"/>
        <w:ind w:left="1147" w:right="1580"/>
        <w:rPr>
          <w:sz w:val="19"/>
        </w:rPr>
      </w:pPr>
      <w:r>
        <w:rPr>
          <w:i/>
          <w:color w:val="231F20"/>
          <w:w w:val="105"/>
          <w:sz w:val="19"/>
        </w:rPr>
        <w:t xml:space="preserve">Meyer, Till: </w:t>
      </w:r>
      <w:r>
        <w:rPr>
          <w:color w:val="231F20"/>
          <w:w w:val="105"/>
          <w:sz w:val="19"/>
        </w:rPr>
        <w:t xml:space="preserve">b. 1944; founding member of the 2JM; 1972, arrested; 1973, escaped from prison; 1975, arrested; 1978, broken out of prison, arrested by West German police in Bulgaria the same year; 1986, released from prison; 1992, exposed as a </w:t>
      </w:r>
      <w:r>
        <w:rPr>
          <w:i/>
          <w:color w:val="231F20"/>
          <w:w w:val="105"/>
          <w:sz w:val="19"/>
        </w:rPr>
        <w:t xml:space="preserve">Stasi </w:t>
      </w:r>
      <w:r>
        <w:rPr>
          <w:color w:val="231F20"/>
          <w:w w:val="105"/>
          <w:sz w:val="19"/>
        </w:rPr>
        <w:t>agent.</w:t>
      </w:r>
    </w:p>
    <w:p w14:paraId="6D7096D0" w14:textId="77777777" w:rsidR="002653E8" w:rsidRDefault="003115E3">
      <w:pPr>
        <w:spacing w:before="128" w:line="276" w:lineRule="auto"/>
        <w:ind w:left="1147" w:right="1145"/>
        <w:rPr>
          <w:sz w:val="19"/>
        </w:rPr>
      </w:pPr>
      <w:r>
        <w:rPr>
          <w:i/>
          <w:color w:val="231F20"/>
          <w:w w:val="105"/>
          <w:sz w:val="19"/>
        </w:rPr>
        <w:t xml:space="preserve">Mirbach, Andreas von: </w:t>
      </w:r>
      <w:r>
        <w:rPr>
          <w:color w:val="231F20"/>
          <w:w w:val="105"/>
          <w:sz w:val="19"/>
        </w:rPr>
        <w:t>1931-1975; Military Attaché at the West German Embassy in Stockholm; 1975, killed during the Stockholm action.</w:t>
      </w:r>
    </w:p>
    <w:p w14:paraId="13568B46" w14:textId="77777777" w:rsidR="002653E8" w:rsidRDefault="003115E3">
      <w:pPr>
        <w:spacing w:before="127" w:line="276" w:lineRule="auto"/>
        <w:ind w:left="1147" w:right="1580" w:hanging="1"/>
        <w:rPr>
          <w:sz w:val="19"/>
        </w:rPr>
      </w:pPr>
      <w:r>
        <w:rPr>
          <w:i/>
          <w:color w:val="231F20"/>
          <w:w w:val="105"/>
          <w:sz w:val="19"/>
        </w:rPr>
        <w:t xml:space="preserve">Mohnhaupt, Brigitte: </w:t>
      </w:r>
      <w:r>
        <w:rPr>
          <w:color w:val="231F20"/>
          <w:w w:val="105"/>
          <w:sz w:val="19"/>
        </w:rPr>
        <w:t xml:space="preserve">b. 1949; 1971, joined the </w:t>
      </w:r>
      <w:r w:rsidR="00C507A5">
        <w:rPr>
          <w:color w:val="231F20"/>
          <w:w w:val="105"/>
          <w:sz w:val="19"/>
        </w:rPr>
        <w:t>red army faction</w:t>
      </w:r>
      <w:r>
        <w:rPr>
          <w:color w:val="231F20"/>
          <w:w w:val="105"/>
          <w:sz w:val="19"/>
        </w:rPr>
        <w:t>; 1972, arrested following May Offensive; 1977, released from prison, went back underground; 1982, arrested; 2007, released from prison.</w:t>
      </w:r>
    </w:p>
    <w:p w14:paraId="7A29AA82" w14:textId="77777777" w:rsidR="002653E8" w:rsidRDefault="003115E3">
      <w:pPr>
        <w:spacing w:before="128" w:line="276" w:lineRule="auto"/>
        <w:ind w:left="1147" w:right="1580" w:hanging="1"/>
        <w:rPr>
          <w:sz w:val="19"/>
        </w:rPr>
      </w:pPr>
      <w:r>
        <w:rPr>
          <w:i/>
          <w:color w:val="231F20"/>
          <w:w w:val="105"/>
          <w:sz w:val="19"/>
        </w:rPr>
        <w:t xml:space="preserve">Möller, Irmgard: </w:t>
      </w:r>
      <w:r>
        <w:rPr>
          <w:color w:val="231F20"/>
          <w:w w:val="105"/>
          <w:sz w:val="19"/>
        </w:rPr>
        <w:t xml:space="preserve">b. 1947; 1971, joined the </w:t>
      </w:r>
      <w:r w:rsidR="00C507A5">
        <w:rPr>
          <w:color w:val="231F20"/>
          <w:w w:val="105"/>
          <w:sz w:val="19"/>
        </w:rPr>
        <w:t>red army faction</w:t>
      </w:r>
      <w:r>
        <w:rPr>
          <w:color w:val="231F20"/>
          <w:w w:val="105"/>
          <w:sz w:val="19"/>
        </w:rPr>
        <w:t>; 1972, arrested following May Offensive; 1977, the only survivor of the Stammheim killings; 2006, released from prison.</w:t>
      </w:r>
    </w:p>
    <w:p w14:paraId="2B7F3244" w14:textId="77777777" w:rsidR="002653E8" w:rsidRDefault="003115E3">
      <w:pPr>
        <w:spacing w:before="127" w:line="276" w:lineRule="auto"/>
        <w:ind w:left="1147" w:right="1449"/>
        <w:rPr>
          <w:sz w:val="19"/>
        </w:rPr>
      </w:pPr>
      <w:r>
        <w:rPr>
          <w:i/>
          <w:color w:val="231F20"/>
          <w:w w:val="105"/>
          <w:sz w:val="19"/>
        </w:rPr>
        <w:t xml:space="preserve">Müller, Arndt: </w:t>
      </w:r>
      <w:r>
        <w:rPr>
          <w:color w:val="231F20"/>
          <w:w w:val="105"/>
          <w:sz w:val="19"/>
        </w:rPr>
        <w:t xml:space="preserve">Lawyer for </w:t>
      </w:r>
      <w:r w:rsidR="00C507A5">
        <w:rPr>
          <w:color w:val="231F20"/>
          <w:w w:val="105"/>
          <w:sz w:val="19"/>
        </w:rPr>
        <w:t>red army faction</w:t>
      </w:r>
      <w:r>
        <w:rPr>
          <w:color w:val="231F20"/>
          <w:w w:val="105"/>
          <w:sz w:val="19"/>
        </w:rPr>
        <w:t xml:space="preserve"> prisoners, 1977, arrested and charged with supporting a terrorist organization; 1980, sentenced to four years and eight months in prison.</w:t>
      </w:r>
    </w:p>
    <w:p w14:paraId="49B82A0D" w14:textId="77777777" w:rsidR="002653E8" w:rsidRDefault="003115E3">
      <w:pPr>
        <w:spacing w:before="128" w:line="276" w:lineRule="auto"/>
        <w:ind w:left="1147" w:right="1717"/>
        <w:rPr>
          <w:sz w:val="19"/>
        </w:rPr>
      </w:pPr>
      <w:r>
        <w:rPr>
          <w:i/>
          <w:color w:val="231F20"/>
          <w:spacing w:val="-4"/>
          <w:w w:val="105"/>
          <w:sz w:val="19"/>
        </w:rPr>
        <w:t xml:space="preserve">Müller, </w:t>
      </w:r>
      <w:r>
        <w:rPr>
          <w:i/>
          <w:color w:val="231F20"/>
          <w:w w:val="105"/>
          <w:sz w:val="19"/>
        </w:rPr>
        <w:t xml:space="preserve">Gerhard: </w:t>
      </w:r>
      <w:r>
        <w:rPr>
          <w:color w:val="231F20"/>
          <w:w w:val="105"/>
          <w:sz w:val="19"/>
        </w:rPr>
        <w:t xml:space="preserve">b. 1948; SPK member;  1971, joined  the  </w:t>
      </w:r>
      <w:r w:rsidR="00C507A5">
        <w:rPr>
          <w:color w:val="231F20"/>
          <w:w w:val="105"/>
          <w:sz w:val="19"/>
        </w:rPr>
        <w:t>red army faction</w:t>
      </w:r>
      <w:r>
        <w:rPr>
          <w:color w:val="231F20"/>
          <w:w w:val="105"/>
          <w:sz w:val="19"/>
        </w:rPr>
        <w:t>; 1972, arrested following May Offensive; 1974, served as a crown witness</w:t>
      </w:r>
      <w:r>
        <w:rPr>
          <w:color w:val="231F20"/>
          <w:spacing w:val="-4"/>
          <w:w w:val="105"/>
          <w:sz w:val="19"/>
        </w:rPr>
        <w:t xml:space="preserve"> </w:t>
      </w:r>
      <w:r>
        <w:rPr>
          <w:color w:val="231F20"/>
          <w:w w:val="105"/>
          <w:sz w:val="19"/>
        </w:rPr>
        <w:t>against</w:t>
      </w:r>
      <w:r>
        <w:rPr>
          <w:color w:val="231F20"/>
          <w:spacing w:val="-4"/>
          <w:w w:val="105"/>
          <w:sz w:val="19"/>
        </w:rPr>
        <w:t xml:space="preserve"> </w:t>
      </w:r>
      <w:r w:rsidR="00C507A5">
        <w:rPr>
          <w:color w:val="231F20"/>
          <w:w w:val="105"/>
          <w:sz w:val="19"/>
        </w:rPr>
        <w:t>red army faction</w:t>
      </w:r>
      <w:r>
        <w:rPr>
          <w:color w:val="231F20"/>
          <w:spacing w:val="-4"/>
          <w:w w:val="105"/>
          <w:sz w:val="19"/>
        </w:rPr>
        <w:t xml:space="preserve"> </w:t>
      </w:r>
      <w:r>
        <w:rPr>
          <w:color w:val="231F20"/>
          <w:w w:val="105"/>
          <w:sz w:val="19"/>
        </w:rPr>
        <w:t>prisoners;</w:t>
      </w:r>
      <w:r>
        <w:rPr>
          <w:color w:val="231F20"/>
          <w:spacing w:val="-4"/>
          <w:w w:val="105"/>
          <w:sz w:val="19"/>
        </w:rPr>
        <w:t xml:space="preserve"> </w:t>
      </w:r>
      <w:r>
        <w:rPr>
          <w:color w:val="231F20"/>
          <w:w w:val="105"/>
          <w:sz w:val="19"/>
        </w:rPr>
        <w:t>served</w:t>
      </w:r>
      <w:r>
        <w:rPr>
          <w:color w:val="231F20"/>
          <w:spacing w:val="-4"/>
          <w:w w:val="105"/>
          <w:sz w:val="19"/>
        </w:rPr>
        <w:t xml:space="preserve"> </w:t>
      </w:r>
      <w:r>
        <w:rPr>
          <w:color w:val="231F20"/>
          <w:w w:val="105"/>
          <w:sz w:val="19"/>
        </w:rPr>
        <w:t>a</w:t>
      </w:r>
      <w:r>
        <w:rPr>
          <w:color w:val="231F20"/>
          <w:spacing w:val="-4"/>
          <w:w w:val="105"/>
          <w:sz w:val="19"/>
        </w:rPr>
        <w:t xml:space="preserve"> </w:t>
      </w:r>
      <w:r>
        <w:rPr>
          <w:color w:val="231F20"/>
          <w:w w:val="105"/>
          <w:sz w:val="19"/>
        </w:rPr>
        <w:t>six</w:t>
      </w:r>
      <w:r>
        <w:rPr>
          <w:color w:val="231F20"/>
          <w:spacing w:val="-4"/>
          <w:w w:val="105"/>
          <w:sz w:val="19"/>
        </w:rPr>
        <w:t xml:space="preserve"> </w:t>
      </w:r>
      <w:r>
        <w:rPr>
          <w:color w:val="231F20"/>
          <w:w w:val="105"/>
          <w:sz w:val="19"/>
        </w:rPr>
        <w:t>and</w:t>
      </w:r>
      <w:r>
        <w:rPr>
          <w:color w:val="231F20"/>
          <w:spacing w:val="-4"/>
          <w:w w:val="105"/>
          <w:sz w:val="19"/>
        </w:rPr>
        <w:t xml:space="preserve"> </w:t>
      </w:r>
      <w:r>
        <w:rPr>
          <w:color w:val="231F20"/>
          <w:w w:val="105"/>
          <w:sz w:val="19"/>
        </w:rPr>
        <w:t>a</w:t>
      </w:r>
      <w:r>
        <w:rPr>
          <w:color w:val="231F20"/>
          <w:spacing w:val="-4"/>
          <w:w w:val="105"/>
          <w:sz w:val="19"/>
        </w:rPr>
        <w:t xml:space="preserve"> </w:t>
      </w:r>
      <w:r>
        <w:rPr>
          <w:color w:val="231F20"/>
          <w:w w:val="105"/>
          <w:sz w:val="19"/>
        </w:rPr>
        <w:t>half</w:t>
      </w:r>
      <w:r>
        <w:rPr>
          <w:color w:val="231F20"/>
          <w:spacing w:val="-4"/>
          <w:w w:val="105"/>
          <w:sz w:val="19"/>
        </w:rPr>
        <w:t xml:space="preserve"> </w:t>
      </w:r>
      <w:r>
        <w:rPr>
          <w:color w:val="231F20"/>
          <w:w w:val="105"/>
          <w:sz w:val="19"/>
        </w:rPr>
        <w:t>year</w:t>
      </w:r>
      <w:r>
        <w:rPr>
          <w:color w:val="231F20"/>
          <w:spacing w:val="-4"/>
          <w:w w:val="105"/>
          <w:sz w:val="19"/>
        </w:rPr>
        <w:t xml:space="preserve"> </w:t>
      </w:r>
      <w:r>
        <w:rPr>
          <w:color w:val="231F20"/>
          <w:w w:val="105"/>
          <w:sz w:val="19"/>
        </w:rPr>
        <w:t>sentence, upon</w:t>
      </w:r>
      <w:r>
        <w:rPr>
          <w:color w:val="231F20"/>
          <w:spacing w:val="7"/>
          <w:w w:val="105"/>
          <w:sz w:val="19"/>
        </w:rPr>
        <w:t xml:space="preserve"> </w:t>
      </w:r>
      <w:r>
        <w:rPr>
          <w:color w:val="231F20"/>
          <w:w w:val="105"/>
          <w:sz w:val="19"/>
        </w:rPr>
        <w:t>his</w:t>
      </w:r>
      <w:r>
        <w:rPr>
          <w:color w:val="231F20"/>
          <w:spacing w:val="7"/>
          <w:w w:val="105"/>
          <w:sz w:val="19"/>
        </w:rPr>
        <w:t xml:space="preserve"> </w:t>
      </w:r>
      <w:r>
        <w:rPr>
          <w:color w:val="231F20"/>
          <w:w w:val="105"/>
          <w:sz w:val="19"/>
        </w:rPr>
        <w:t>release</w:t>
      </w:r>
      <w:r>
        <w:rPr>
          <w:color w:val="231F20"/>
          <w:spacing w:val="7"/>
          <w:w w:val="105"/>
          <w:sz w:val="19"/>
        </w:rPr>
        <w:t xml:space="preserve"> </w:t>
      </w:r>
      <w:r>
        <w:rPr>
          <w:color w:val="231F20"/>
          <w:w w:val="105"/>
          <w:sz w:val="19"/>
        </w:rPr>
        <w:t>was</w:t>
      </w:r>
      <w:r>
        <w:rPr>
          <w:color w:val="231F20"/>
          <w:spacing w:val="7"/>
          <w:w w:val="105"/>
          <w:sz w:val="19"/>
        </w:rPr>
        <w:t xml:space="preserve"> </w:t>
      </w:r>
      <w:r>
        <w:rPr>
          <w:color w:val="231F20"/>
          <w:w w:val="105"/>
          <w:sz w:val="19"/>
        </w:rPr>
        <w:t>relocated</w:t>
      </w:r>
      <w:r>
        <w:rPr>
          <w:color w:val="231F20"/>
          <w:spacing w:val="7"/>
          <w:w w:val="105"/>
          <w:sz w:val="19"/>
        </w:rPr>
        <w:t xml:space="preserve"> </w:t>
      </w:r>
      <w:r>
        <w:rPr>
          <w:color w:val="231F20"/>
          <w:w w:val="105"/>
          <w:sz w:val="19"/>
        </w:rPr>
        <w:t>to</w:t>
      </w:r>
      <w:r>
        <w:rPr>
          <w:color w:val="231F20"/>
          <w:spacing w:val="7"/>
          <w:w w:val="105"/>
          <w:sz w:val="19"/>
        </w:rPr>
        <w:t xml:space="preserve"> </w:t>
      </w:r>
      <w:r>
        <w:rPr>
          <w:color w:val="231F20"/>
          <w:w w:val="105"/>
          <w:sz w:val="19"/>
        </w:rPr>
        <w:t>the</w:t>
      </w:r>
      <w:r>
        <w:rPr>
          <w:color w:val="231F20"/>
          <w:spacing w:val="7"/>
          <w:w w:val="105"/>
          <w:sz w:val="19"/>
        </w:rPr>
        <w:t xml:space="preserve"> </w:t>
      </w:r>
      <w:r>
        <w:rPr>
          <w:color w:val="231F20"/>
          <w:w w:val="105"/>
          <w:sz w:val="19"/>
        </w:rPr>
        <w:t>U.S.A.</w:t>
      </w:r>
    </w:p>
    <w:p w14:paraId="39321C46" w14:textId="77777777" w:rsidR="002653E8" w:rsidRDefault="003115E3">
      <w:pPr>
        <w:spacing w:before="127" w:line="276" w:lineRule="auto"/>
        <w:ind w:left="1147" w:right="1479"/>
        <w:rPr>
          <w:sz w:val="19"/>
        </w:rPr>
      </w:pPr>
      <w:r>
        <w:rPr>
          <w:i/>
          <w:color w:val="231F20"/>
          <w:w w:val="105"/>
          <w:sz w:val="19"/>
        </w:rPr>
        <w:t xml:space="preserve">Negt, Oskar: </w:t>
      </w:r>
      <w:r>
        <w:rPr>
          <w:color w:val="231F20"/>
          <w:w w:val="105"/>
          <w:sz w:val="19"/>
        </w:rPr>
        <w:t xml:space="preserve">b. 1934; Frankfurt School philosopher and social theorist; 1972, as a representative of the New Left and the APO developed a bitter critique of the </w:t>
      </w:r>
      <w:r w:rsidR="00C507A5">
        <w:rPr>
          <w:color w:val="231F20"/>
          <w:w w:val="105"/>
          <w:sz w:val="19"/>
        </w:rPr>
        <w:t>red army faction</w:t>
      </w:r>
      <w:r>
        <w:rPr>
          <w:color w:val="231F20"/>
          <w:w w:val="105"/>
          <w:sz w:val="19"/>
        </w:rPr>
        <w:t>.</w:t>
      </w:r>
    </w:p>
    <w:p w14:paraId="52738451" w14:textId="77777777" w:rsidR="002653E8" w:rsidRDefault="003115E3">
      <w:pPr>
        <w:spacing w:before="128" w:line="276" w:lineRule="auto"/>
        <w:ind w:left="1147" w:right="1145" w:hanging="1"/>
        <w:rPr>
          <w:sz w:val="19"/>
        </w:rPr>
      </w:pPr>
      <w:r>
        <w:rPr>
          <w:i/>
          <w:color w:val="231F20"/>
          <w:w w:val="105"/>
          <w:sz w:val="19"/>
        </w:rPr>
        <w:t xml:space="preserve">Newerla, Armin: </w:t>
      </w:r>
      <w:r>
        <w:rPr>
          <w:color w:val="231F20"/>
          <w:w w:val="105"/>
          <w:sz w:val="19"/>
        </w:rPr>
        <w:t xml:space="preserve">Lawyer for </w:t>
      </w:r>
      <w:r w:rsidR="00C507A5">
        <w:rPr>
          <w:color w:val="231F20"/>
          <w:w w:val="105"/>
          <w:sz w:val="19"/>
        </w:rPr>
        <w:t>red army faction</w:t>
      </w:r>
      <w:r>
        <w:rPr>
          <w:color w:val="231F20"/>
          <w:w w:val="105"/>
          <w:sz w:val="19"/>
        </w:rPr>
        <w:t xml:space="preserve"> prisoners; 1977, arrested and charged with supporting a terrorist organization; 1980, sentenced to three years and six months in prison.</w:t>
      </w:r>
    </w:p>
    <w:p w14:paraId="34A7FDEE" w14:textId="77777777" w:rsidR="002653E8" w:rsidRDefault="003115E3">
      <w:pPr>
        <w:spacing w:before="127"/>
        <w:ind w:left="1147"/>
        <w:rPr>
          <w:sz w:val="19"/>
        </w:rPr>
      </w:pPr>
      <w:r>
        <w:rPr>
          <w:i/>
          <w:color w:val="231F20"/>
          <w:w w:val="110"/>
          <w:sz w:val="19"/>
        </w:rPr>
        <w:t xml:space="preserve">Oberwinder, Michael: </w:t>
      </w:r>
      <w:r>
        <w:rPr>
          <w:color w:val="231F20"/>
          <w:w w:val="110"/>
          <w:sz w:val="19"/>
        </w:rPr>
        <w:t xml:space="preserve">Lawyer for </w:t>
      </w:r>
      <w:r w:rsidR="00C507A5">
        <w:rPr>
          <w:color w:val="231F20"/>
          <w:w w:val="110"/>
          <w:sz w:val="19"/>
        </w:rPr>
        <w:t>red army faction</w:t>
      </w:r>
      <w:r>
        <w:rPr>
          <w:color w:val="231F20"/>
          <w:w w:val="110"/>
          <w:sz w:val="19"/>
        </w:rPr>
        <w:t xml:space="preserve"> prisoners.</w:t>
      </w:r>
    </w:p>
    <w:p w14:paraId="2BC55985" w14:textId="77777777" w:rsidR="002653E8" w:rsidRDefault="003115E3">
      <w:pPr>
        <w:spacing w:before="162" w:line="276" w:lineRule="auto"/>
        <w:ind w:left="1147" w:right="1325"/>
        <w:rPr>
          <w:sz w:val="19"/>
        </w:rPr>
      </w:pPr>
      <w:r>
        <w:rPr>
          <w:i/>
          <w:color w:val="231F20"/>
          <w:w w:val="105"/>
          <w:sz w:val="19"/>
        </w:rPr>
        <w:t xml:space="preserve">Ohnesorg, Benno: </w:t>
      </w:r>
      <w:r>
        <w:rPr>
          <w:color w:val="231F20"/>
          <w:w w:val="105"/>
          <w:sz w:val="19"/>
        </w:rPr>
        <w:t>1940-1967; shot dead by an undercover police officer at an anti-Shah demonstration in West Berlin on June 2, 1967.</w:t>
      </w:r>
    </w:p>
    <w:p w14:paraId="4D0816C9" w14:textId="77777777" w:rsidR="002653E8" w:rsidRDefault="003115E3">
      <w:pPr>
        <w:spacing w:before="127" w:line="276" w:lineRule="auto"/>
        <w:ind w:left="1147" w:right="1145" w:hanging="1"/>
        <w:rPr>
          <w:sz w:val="19"/>
        </w:rPr>
      </w:pPr>
      <w:r>
        <w:rPr>
          <w:i/>
          <w:color w:val="231F20"/>
          <w:w w:val="105"/>
          <w:sz w:val="19"/>
        </w:rPr>
        <w:t xml:space="preserve">Payot, Denis: </w:t>
      </w:r>
      <w:r>
        <w:rPr>
          <w:color w:val="231F20"/>
          <w:w w:val="105"/>
          <w:sz w:val="19"/>
        </w:rPr>
        <w:t xml:space="preserve">Swiss lawyer; 1977, acted as the intermediary between the </w:t>
      </w:r>
      <w:r w:rsidR="00C507A5">
        <w:rPr>
          <w:color w:val="231F20"/>
          <w:w w:val="105"/>
          <w:sz w:val="19"/>
        </w:rPr>
        <w:t>red army faction</w:t>
      </w:r>
      <w:r>
        <w:rPr>
          <w:color w:val="231F20"/>
          <w:w w:val="105"/>
          <w:sz w:val="19"/>
        </w:rPr>
        <w:t xml:space="preserve"> and the West German government during the German Autumn.</w:t>
      </w:r>
    </w:p>
    <w:p w14:paraId="4A5F0432" w14:textId="77777777" w:rsidR="002653E8" w:rsidRDefault="002653E8">
      <w:pPr>
        <w:spacing w:line="276" w:lineRule="auto"/>
        <w:rPr>
          <w:sz w:val="19"/>
        </w:rPr>
        <w:sectPr w:rsidR="002653E8">
          <w:pgSz w:w="8640" w:h="12960"/>
          <w:pgMar w:top="1080" w:right="0" w:bottom="1040" w:left="0" w:header="0" w:footer="850" w:gutter="0"/>
          <w:cols w:space="720"/>
        </w:sectPr>
      </w:pPr>
    </w:p>
    <w:p w14:paraId="3A30D093" w14:textId="77777777" w:rsidR="002653E8" w:rsidRDefault="003115E3">
      <w:pPr>
        <w:spacing w:before="75" w:line="276" w:lineRule="auto"/>
        <w:ind w:left="1327" w:right="1580"/>
        <w:rPr>
          <w:sz w:val="19"/>
        </w:rPr>
      </w:pPr>
      <w:r>
        <w:rPr>
          <w:i/>
          <w:color w:val="231F20"/>
          <w:w w:val="105"/>
          <w:sz w:val="19"/>
        </w:rPr>
        <w:lastRenderedPageBreak/>
        <w:t xml:space="preserve">Pieler, Roland: </w:t>
      </w:r>
      <w:r>
        <w:rPr>
          <w:color w:val="231F20"/>
          <w:w w:val="105"/>
          <w:sz w:val="19"/>
        </w:rPr>
        <w:t xml:space="preserve">1957-1977; Schleyer’s bodyguard; 1977, killed by </w:t>
      </w:r>
      <w:r>
        <w:rPr>
          <w:color w:val="231F20"/>
          <w:w w:val="110"/>
          <w:sz w:val="19"/>
        </w:rPr>
        <w:t xml:space="preserve">the </w:t>
      </w:r>
      <w:r w:rsidR="00C507A5">
        <w:rPr>
          <w:color w:val="231F20"/>
          <w:w w:val="110"/>
          <w:sz w:val="19"/>
        </w:rPr>
        <w:t>red army faction</w:t>
      </w:r>
      <w:r>
        <w:rPr>
          <w:color w:val="231F20"/>
          <w:w w:val="110"/>
          <w:sz w:val="19"/>
        </w:rPr>
        <w:t>.</w:t>
      </w:r>
    </w:p>
    <w:p w14:paraId="7DBE6C25" w14:textId="77777777" w:rsidR="002653E8" w:rsidRDefault="003115E3">
      <w:pPr>
        <w:spacing w:before="128"/>
        <w:ind w:left="1327"/>
        <w:rPr>
          <w:sz w:val="19"/>
        </w:rPr>
      </w:pPr>
      <w:r>
        <w:rPr>
          <w:i/>
          <w:color w:val="231F20"/>
          <w:w w:val="105"/>
          <w:sz w:val="19"/>
        </w:rPr>
        <w:t xml:space="preserve">Plambeck, Juliane: </w:t>
      </w:r>
      <w:r>
        <w:rPr>
          <w:color w:val="231F20"/>
          <w:w w:val="105"/>
          <w:sz w:val="19"/>
        </w:rPr>
        <w:t>1952-1980; founding member of the 2JM;</w:t>
      </w:r>
    </w:p>
    <w:p w14:paraId="0D47B1FE" w14:textId="77777777" w:rsidR="002653E8" w:rsidRDefault="003115E3">
      <w:pPr>
        <w:spacing w:before="33" w:line="276" w:lineRule="auto"/>
        <w:ind w:left="1327" w:right="1198"/>
        <w:rPr>
          <w:sz w:val="19"/>
        </w:rPr>
      </w:pPr>
      <w:r>
        <w:rPr>
          <w:color w:val="231F20"/>
          <w:w w:val="105"/>
          <w:sz w:val="19"/>
        </w:rPr>
        <w:t xml:space="preserve">1975, arrested; 1976, broke out of prison; 1980, joined the </w:t>
      </w:r>
      <w:r w:rsidR="00C507A5">
        <w:rPr>
          <w:color w:val="231F20"/>
          <w:w w:val="105"/>
          <w:sz w:val="19"/>
        </w:rPr>
        <w:t>red army faction</w:t>
      </w:r>
      <w:r>
        <w:rPr>
          <w:color w:val="231F20"/>
          <w:w w:val="105"/>
          <w:sz w:val="19"/>
        </w:rPr>
        <w:t>, died in a car accident the same year.</w:t>
      </w:r>
    </w:p>
    <w:p w14:paraId="12841C24" w14:textId="77777777" w:rsidR="002653E8" w:rsidRDefault="003115E3">
      <w:pPr>
        <w:spacing w:before="128" w:line="276" w:lineRule="auto"/>
        <w:ind w:left="1327" w:right="1279" w:hanging="1"/>
        <w:rPr>
          <w:sz w:val="19"/>
        </w:rPr>
      </w:pPr>
      <w:r>
        <w:rPr>
          <w:i/>
          <w:color w:val="231F20"/>
          <w:spacing w:val="-3"/>
          <w:w w:val="105"/>
          <w:sz w:val="19"/>
        </w:rPr>
        <w:t xml:space="preserve">Pohl, </w:t>
      </w:r>
      <w:r>
        <w:rPr>
          <w:i/>
          <w:color w:val="231F20"/>
          <w:w w:val="105"/>
          <w:sz w:val="19"/>
        </w:rPr>
        <w:t xml:space="preserve">Helmut: </w:t>
      </w:r>
      <w:r>
        <w:rPr>
          <w:color w:val="231F20"/>
          <w:w w:val="105"/>
          <w:sz w:val="19"/>
        </w:rPr>
        <w:t xml:space="preserve">b. 1943; 1970, associated with  the  </w:t>
      </w:r>
      <w:r w:rsidR="00C507A5">
        <w:rPr>
          <w:color w:val="231F20"/>
          <w:w w:val="105"/>
          <w:sz w:val="19"/>
        </w:rPr>
        <w:t>red army faction</w:t>
      </w:r>
      <w:r>
        <w:rPr>
          <w:color w:val="231F20"/>
          <w:w w:val="105"/>
          <w:sz w:val="19"/>
        </w:rPr>
        <w:t xml:space="preserve">;  1973, joined the </w:t>
      </w:r>
      <w:r w:rsidR="00C507A5">
        <w:rPr>
          <w:color w:val="231F20"/>
          <w:w w:val="105"/>
          <w:sz w:val="19"/>
        </w:rPr>
        <w:t>red army faction</w:t>
      </w:r>
      <w:r>
        <w:rPr>
          <w:color w:val="231F20"/>
          <w:w w:val="105"/>
          <w:sz w:val="19"/>
        </w:rPr>
        <w:t>; 1974, arrested; 1979, released from prison and went back underground;</w:t>
      </w:r>
      <w:r>
        <w:rPr>
          <w:color w:val="231F20"/>
          <w:spacing w:val="-8"/>
          <w:w w:val="105"/>
          <w:sz w:val="19"/>
        </w:rPr>
        <w:t xml:space="preserve"> </w:t>
      </w:r>
      <w:r>
        <w:rPr>
          <w:color w:val="231F20"/>
          <w:w w:val="105"/>
          <w:sz w:val="19"/>
        </w:rPr>
        <w:t>1984,</w:t>
      </w:r>
      <w:r>
        <w:rPr>
          <w:color w:val="231F20"/>
          <w:spacing w:val="-13"/>
          <w:w w:val="105"/>
          <w:sz w:val="19"/>
        </w:rPr>
        <w:t xml:space="preserve"> </w:t>
      </w:r>
      <w:r>
        <w:rPr>
          <w:color w:val="231F20"/>
          <w:w w:val="105"/>
          <w:sz w:val="19"/>
        </w:rPr>
        <w:t>arrested;</w:t>
      </w:r>
      <w:r>
        <w:rPr>
          <w:color w:val="231F20"/>
          <w:spacing w:val="-8"/>
          <w:w w:val="105"/>
          <w:sz w:val="19"/>
        </w:rPr>
        <w:t xml:space="preserve"> </w:t>
      </w:r>
      <w:r>
        <w:rPr>
          <w:color w:val="231F20"/>
          <w:w w:val="105"/>
          <w:sz w:val="19"/>
        </w:rPr>
        <w:t>1998,</w:t>
      </w:r>
      <w:r>
        <w:rPr>
          <w:color w:val="231F20"/>
          <w:spacing w:val="-13"/>
          <w:w w:val="105"/>
          <w:sz w:val="19"/>
        </w:rPr>
        <w:t xml:space="preserve"> </w:t>
      </w:r>
      <w:r>
        <w:rPr>
          <w:color w:val="231F20"/>
          <w:w w:val="105"/>
          <w:sz w:val="19"/>
        </w:rPr>
        <w:t>pardoned</w:t>
      </w:r>
      <w:r>
        <w:rPr>
          <w:color w:val="231F20"/>
          <w:spacing w:val="-8"/>
          <w:w w:val="105"/>
          <w:sz w:val="19"/>
        </w:rPr>
        <w:t xml:space="preserve"> </w:t>
      </w:r>
      <w:r>
        <w:rPr>
          <w:color w:val="231F20"/>
          <w:w w:val="105"/>
          <w:sz w:val="19"/>
        </w:rPr>
        <w:t>after</w:t>
      </w:r>
      <w:r>
        <w:rPr>
          <w:color w:val="231F20"/>
          <w:spacing w:val="-8"/>
          <w:w w:val="105"/>
          <w:sz w:val="19"/>
        </w:rPr>
        <w:t xml:space="preserve"> </w:t>
      </w:r>
      <w:r>
        <w:rPr>
          <w:color w:val="231F20"/>
          <w:w w:val="105"/>
          <w:sz w:val="19"/>
        </w:rPr>
        <w:t>he</w:t>
      </w:r>
      <w:r>
        <w:rPr>
          <w:color w:val="231F20"/>
          <w:spacing w:val="-8"/>
          <w:w w:val="105"/>
          <w:sz w:val="19"/>
        </w:rPr>
        <w:t xml:space="preserve"> </w:t>
      </w:r>
      <w:r>
        <w:rPr>
          <w:color w:val="231F20"/>
          <w:w w:val="105"/>
          <w:sz w:val="19"/>
        </w:rPr>
        <w:t>suffered</w:t>
      </w:r>
      <w:r>
        <w:rPr>
          <w:color w:val="231F20"/>
          <w:spacing w:val="-8"/>
          <w:w w:val="105"/>
          <w:sz w:val="19"/>
        </w:rPr>
        <w:t xml:space="preserve"> </w:t>
      </w:r>
      <w:r>
        <w:rPr>
          <w:color w:val="231F20"/>
          <w:w w:val="105"/>
          <w:sz w:val="19"/>
        </w:rPr>
        <w:t>a</w:t>
      </w:r>
      <w:r>
        <w:rPr>
          <w:color w:val="231F20"/>
          <w:spacing w:val="-8"/>
          <w:w w:val="105"/>
          <w:sz w:val="19"/>
        </w:rPr>
        <w:t xml:space="preserve"> </w:t>
      </w:r>
      <w:r>
        <w:rPr>
          <w:color w:val="231F20"/>
          <w:w w:val="105"/>
          <w:sz w:val="19"/>
        </w:rPr>
        <w:t>stroke in</w:t>
      </w:r>
      <w:r>
        <w:rPr>
          <w:color w:val="231F20"/>
          <w:spacing w:val="8"/>
          <w:w w:val="105"/>
          <w:sz w:val="19"/>
        </w:rPr>
        <w:t xml:space="preserve"> </w:t>
      </w:r>
      <w:r>
        <w:rPr>
          <w:color w:val="231F20"/>
          <w:w w:val="105"/>
          <w:sz w:val="19"/>
        </w:rPr>
        <w:t>prison.</w:t>
      </w:r>
    </w:p>
    <w:p w14:paraId="713853C3" w14:textId="77777777" w:rsidR="002653E8" w:rsidRDefault="003115E3">
      <w:pPr>
        <w:spacing w:before="127" w:line="276" w:lineRule="auto"/>
        <w:ind w:left="1327" w:right="1316"/>
        <w:rPr>
          <w:sz w:val="19"/>
        </w:rPr>
      </w:pPr>
      <w:r>
        <w:rPr>
          <w:i/>
          <w:color w:val="231F20"/>
          <w:spacing w:val="-3"/>
          <w:w w:val="105"/>
          <w:sz w:val="19"/>
        </w:rPr>
        <w:t xml:space="preserve">Pohle, </w:t>
      </w:r>
      <w:r>
        <w:rPr>
          <w:i/>
          <w:color w:val="231F20"/>
          <w:w w:val="105"/>
          <w:sz w:val="19"/>
        </w:rPr>
        <w:t xml:space="preserve">Rolf: </w:t>
      </w:r>
      <w:r>
        <w:rPr>
          <w:color w:val="231F20"/>
          <w:w w:val="105"/>
          <w:sz w:val="19"/>
        </w:rPr>
        <w:t xml:space="preserve">1942-2004; associated with both the </w:t>
      </w:r>
      <w:r w:rsidR="00C507A5">
        <w:rPr>
          <w:color w:val="231F20"/>
          <w:w w:val="105"/>
          <w:sz w:val="19"/>
        </w:rPr>
        <w:t>red army faction</w:t>
      </w:r>
      <w:r>
        <w:rPr>
          <w:color w:val="231F20"/>
          <w:w w:val="105"/>
          <w:sz w:val="19"/>
        </w:rPr>
        <w:t xml:space="preserve"> and the 2JM; 1971, arrested; 1975, released from prison as part of an prisoner exchange for CDU politician Peter Lorenz who had been kidnapped   by the 2JM; 1976, arrested in Greece and extradited to </w:t>
      </w:r>
      <w:r>
        <w:rPr>
          <w:color w:val="231F20"/>
          <w:spacing w:val="-4"/>
          <w:w w:val="105"/>
          <w:sz w:val="19"/>
        </w:rPr>
        <w:t xml:space="preserve">West </w:t>
      </w:r>
      <w:r>
        <w:rPr>
          <w:color w:val="231F20"/>
          <w:w w:val="105"/>
          <w:sz w:val="19"/>
        </w:rPr>
        <w:t>Germany; 1982, released from prison; 1984, returned to</w:t>
      </w:r>
      <w:r>
        <w:rPr>
          <w:color w:val="231F20"/>
          <w:spacing w:val="37"/>
          <w:w w:val="105"/>
          <w:sz w:val="19"/>
        </w:rPr>
        <w:t xml:space="preserve"> </w:t>
      </w:r>
      <w:r>
        <w:rPr>
          <w:color w:val="231F20"/>
          <w:w w:val="105"/>
          <w:sz w:val="19"/>
        </w:rPr>
        <w:t>Greece.</w:t>
      </w:r>
    </w:p>
    <w:p w14:paraId="18F25302" w14:textId="77777777" w:rsidR="002653E8" w:rsidRDefault="003115E3">
      <w:pPr>
        <w:spacing w:before="127" w:line="276" w:lineRule="auto"/>
        <w:ind w:left="1327" w:right="1580"/>
        <w:rPr>
          <w:sz w:val="19"/>
        </w:rPr>
      </w:pPr>
      <w:r>
        <w:rPr>
          <w:i/>
          <w:color w:val="231F20"/>
          <w:w w:val="105"/>
          <w:sz w:val="19"/>
        </w:rPr>
        <w:t xml:space="preserve">Ponto, Jürgen: </w:t>
      </w:r>
      <w:r>
        <w:rPr>
          <w:color w:val="231F20"/>
          <w:w w:val="105"/>
          <w:sz w:val="19"/>
        </w:rPr>
        <w:t xml:space="preserve">1923-1977; 1977, shot dead by the </w:t>
      </w:r>
      <w:r w:rsidR="00C507A5">
        <w:rPr>
          <w:color w:val="231F20"/>
          <w:w w:val="105"/>
          <w:sz w:val="19"/>
        </w:rPr>
        <w:t>red army faction</w:t>
      </w:r>
      <w:r>
        <w:rPr>
          <w:color w:val="231F20"/>
          <w:w w:val="105"/>
          <w:sz w:val="19"/>
        </w:rPr>
        <w:t xml:space="preserve"> during a bungled kidnapping attempt.</w:t>
      </w:r>
    </w:p>
    <w:p w14:paraId="23672E3F" w14:textId="77777777" w:rsidR="002653E8" w:rsidRDefault="003115E3">
      <w:pPr>
        <w:spacing w:before="128" w:line="276" w:lineRule="auto"/>
        <w:ind w:left="1327" w:right="1145"/>
        <w:rPr>
          <w:sz w:val="19"/>
        </w:rPr>
      </w:pPr>
      <w:r>
        <w:rPr>
          <w:i/>
          <w:color w:val="231F20"/>
          <w:w w:val="105"/>
          <w:sz w:val="19"/>
        </w:rPr>
        <w:t xml:space="preserve">Prinzing, Theodor: </w:t>
      </w:r>
      <w:r>
        <w:rPr>
          <w:color w:val="231F20"/>
          <w:w w:val="105"/>
          <w:sz w:val="19"/>
        </w:rPr>
        <w:t xml:space="preserve">b. 1923; 1974-1977, main judge in the Stammheim trial of </w:t>
      </w:r>
      <w:r w:rsidR="00C507A5">
        <w:rPr>
          <w:color w:val="231F20"/>
          <w:w w:val="105"/>
          <w:sz w:val="19"/>
        </w:rPr>
        <w:t>red army faction</w:t>
      </w:r>
      <w:r>
        <w:rPr>
          <w:color w:val="231F20"/>
          <w:w w:val="105"/>
          <w:sz w:val="19"/>
        </w:rPr>
        <w:t xml:space="preserve"> prisoners; 1977, forced to recuse himself when it was discovered he had been leaking classified trial documents.</w:t>
      </w:r>
    </w:p>
    <w:p w14:paraId="4865FB68" w14:textId="77777777" w:rsidR="002653E8" w:rsidRDefault="003115E3">
      <w:pPr>
        <w:spacing w:before="127" w:line="276" w:lineRule="auto"/>
        <w:ind w:left="1327" w:right="1513"/>
        <w:rPr>
          <w:sz w:val="19"/>
        </w:rPr>
      </w:pPr>
      <w:r>
        <w:rPr>
          <w:i/>
          <w:color w:val="231F20"/>
          <w:w w:val="105"/>
          <w:sz w:val="19"/>
        </w:rPr>
        <w:t xml:space="preserve">Proll, Astrid: </w:t>
      </w:r>
      <w:r>
        <w:rPr>
          <w:color w:val="231F20"/>
          <w:w w:val="105"/>
          <w:sz w:val="19"/>
        </w:rPr>
        <w:t xml:space="preserve">b. 1947; founding member of the </w:t>
      </w:r>
      <w:r w:rsidR="00C507A5">
        <w:rPr>
          <w:color w:val="231F20"/>
          <w:w w:val="105"/>
          <w:sz w:val="19"/>
        </w:rPr>
        <w:t>red army faction</w:t>
      </w:r>
      <w:r>
        <w:rPr>
          <w:color w:val="231F20"/>
          <w:w w:val="105"/>
          <w:sz w:val="19"/>
        </w:rPr>
        <w:t>; 1971, arrested, released to a prison hospital the same year for health reasons, escaped and fled to England where she lived under the name Anna Puttick; 1978, arrested in London and extradited to West Germany;</w:t>
      </w:r>
    </w:p>
    <w:p w14:paraId="0B6A9A6E" w14:textId="77777777" w:rsidR="002653E8" w:rsidRDefault="003115E3">
      <w:pPr>
        <w:spacing w:line="276" w:lineRule="auto"/>
        <w:ind w:left="1327" w:right="1145"/>
        <w:rPr>
          <w:sz w:val="19"/>
        </w:rPr>
      </w:pPr>
      <w:r>
        <w:rPr>
          <w:color w:val="231F20"/>
          <w:sz w:val="19"/>
        </w:rPr>
        <w:t>1979, sentenced to five and a half years, but immediately released on the basis of time served.</w:t>
      </w:r>
    </w:p>
    <w:p w14:paraId="13B312AE" w14:textId="77777777" w:rsidR="002653E8" w:rsidRDefault="003115E3">
      <w:pPr>
        <w:spacing w:before="127" w:line="276" w:lineRule="auto"/>
        <w:ind w:left="1327" w:right="1160"/>
        <w:rPr>
          <w:sz w:val="19"/>
        </w:rPr>
      </w:pPr>
      <w:r>
        <w:rPr>
          <w:i/>
          <w:color w:val="231F20"/>
          <w:w w:val="105"/>
          <w:sz w:val="19"/>
        </w:rPr>
        <w:t xml:space="preserve">Proll, Thorwald: </w:t>
      </w:r>
      <w:r>
        <w:rPr>
          <w:color w:val="231F20"/>
          <w:w w:val="105"/>
          <w:sz w:val="19"/>
        </w:rPr>
        <w:t>b. 1941; brother of Astrid Proll; 1968, participated in the</w:t>
      </w:r>
      <w:r>
        <w:rPr>
          <w:color w:val="231F20"/>
          <w:spacing w:val="-16"/>
          <w:w w:val="105"/>
          <w:sz w:val="19"/>
        </w:rPr>
        <w:t xml:space="preserve"> </w:t>
      </w:r>
      <w:r>
        <w:rPr>
          <w:color w:val="231F20"/>
          <w:w w:val="105"/>
          <w:sz w:val="19"/>
        </w:rPr>
        <w:t>Frankfurt</w:t>
      </w:r>
      <w:r>
        <w:rPr>
          <w:color w:val="231F20"/>
          <w:spacing w:val="-16"/>
          <w:w w:val="105"/>
          <w:sz w:val="19"/>
        </w:rPr>
        <w:t xml:space="preserve"> </w:t>
      </w:r>
      <w:r>
        <w:rPr>
          <w:color w:val="231F20"/>
          <w:w w:val="105"/>
          <w:sz w:val="19"/>
        </w:rPr>
        <w:t>department</w:t>
      </w:r>
      <w:r>
        <w:rPr>
          <w:color w:val="231F20"/>
          <w:spacing w:val="-16"/>
          <w:w w:val="105"/>
          <w:sz w:val="19"/>
        </w:rPr>
        <w:t xml:space="preserve"> </w:t>
      </w:r>
      <w:r>
        <w:rPr>
          <w:color w:val="231F20"/>
          <w:w w:val="105"/>
          <w:sz w:val="19"/>
        </w:rPr>
        <w:t>store</w:t>
      </w:r>
      <w:r>
        <w:rPr>
          <w:color w:val="231F20"/>
          <w:spacing w:val="-16"/>
          <w:w w:val="105"/>
          <w:sz w:val="19"/>
        </w:rPr>
        <w:t xml:space="preserve"> </w:t>
      </w:r>
      <w:r>
        <w:rPr>
          <w:color w:val="231F20"/>
          <w:w w:val="105"/>
          <w:sz w:val="19"/>
        </w:rPr>
        <w:t>arsons,</w:t>
      </w:r>
      <w:r>
        <w:rPr>
          <w:color w:val="231F20"/>
          <w:spacing w:val="-20"/>
          <w:w w:val="105"/>
          <w:sz w:val="19"/>
        </w:rPr>
        <w:t xml:space="preserve"> </w:t>
      </w:r>
      <w:r>
        <w:rPr>
          <w:color w:val="231F20"/>
          <w:w w:val="105"/>
          <w:sz w:val="19"/>
        </w:rPr>
        <w:t>went</w:t>
      </w:r>
      <w:r>
        <w:rPr>
          <w:color w:val="231F20"/>
          <w:spacing w:val="-16"/>
          <w:w w:val="105"/>
          <w:sz w:val="19"/>
        </w:rPr>
        <w:t xml:space="preserve"> </w:t>
      </w:r>
      <w:r>
        <w:rPr>
          <w:color w:val="231F20"/>
          <w:w w:val="105"/>
          <w:sz w:val="19"/>
        </w:rPr>
        <w:t>underground</w:t>
      </w:r>
      <w:r>
        <w:rPr>
          <w:color w:val="231F20"/>
          <w:spacing w:val="-16"/>
          <w:w w:val="105"/>
          <w:sz w:val="19"/>
        </w:rPr>
        <w:t xml:space="preserve"> </w:t>
      </w:r>
      <w:r>
        <w:rPr>
          <w:color w:val="231F20"/>
          <w:w w:val="105"/>
          <w:sz w:val="19"/>
        </w:rPr>
        <w:t>when</w:t>
      </w:r>
      <w:r>
        <w:rPr>
          <w:color w:val="231F20"/>
          <w:spacing w:val="-16"/>
          <w:w w:val="105"/>
          <w:sz w:val="19"/>
        </w:rPr>
        <w:t xml:space="preserve"> </w:t>
      </w:r>
      <w:r>
        <w:rPr>
          <w:color w:val="231F20"/>
          <w:w w:val="105"/>
          <w:sz w:val="19"/>
        </w:rPr>
        <w:t>released awaiting the outcome of an appeal, but later turned himself in and served out his</w:t>
      </w:r>
      <w:r>
        <w:rPr>
          <w:color w:val="231F20"/>
          <w:spacing w:val="25"/>
          <w:w w:val="105"/>
          <w:sz w:val="19"/>
        </w:rPr>
        <w:t xml:space="preserve"> </w:t>
      </w:r>
      <w:r>
        <w:rPr>
          <w:color w:val="231F20"/>
          <w:w w:val="105"/>
          <w:sz w:val="19"/>
        </w:rPr>
        <w:t>sentence.</w:t>
      </w:r>
    </w:p>
    <w:p w14:paraId="57E050D6" w14:textId="77777777" w:rsidR="002653E8" w:rsidRDefault="003115E3">
      <w:pPr>
        <w:spacing w:before="128" w:line="276" w:lineRule="auto"/>
        <w:ind w:left="1327" w:right="1580"/>
        <w:rPr>
          <w:sz w:val="19"/>
        </w:rPr>
      </w:pPr>
      <w:r>
        <w:rPr>
          <w:i/>
          <w:color w:val="231F20"/>
          <w:w w:val="105"/>
          <w:sz w:val="19"/>
        </w:rPr>
        <w:t xml:space="preserve">Rabehl, Bernd: </w:t>
      </w:r>
      <w:r>
        <w:rPr>
          <w:color w:val="231F20"/>
          <w:w w:val="105"/>
          <w:sz w:val="19"/>
        </w:rPr>
        <w:t>b. 1938; leading theorist for the SDS and the APO; 2005, began a public association with the neo-nazi NPD.</w:t>
      </w:r>
    </w:p>
    <w:p w14:paraId="538A015A" w14:textId="77777777" w:rsidR="002653E8" w:rsidRDefault="003115E3">
      <w:pPr>
        <w:spacing w:before="128" w:line="276" w:lineRule="auto"/>
        <w:ind w:left="1327" w:right="1457"/>
        <w:rPr>
          <w:sz w:val="19"/>
        </w:rPr>
      </w:pPr>
      <w:r>
        <w:rPr>
          <w:i/>
          <w:color w:val="231F20"/>
          <w:w w:val="105"/>
          <w:sz w:val="19"/>
        </w:rPr>
        <w:t xml:space="preserve">Raspe, Jan-Carl: </w:t>
      </w:r>
      <w:r>
        <w:rPr>
          <w:color w:val="231F20"/>
          <w:w w:val="105"/>
          <w:sz w:val="19"/>
        </w:rPr>
        <w:t xml:space="preserve">1944-1977; 1967, founding member of Kommune 2; 1970, joined the </w:t>
      </w:r>
      <w:r w:rsidR="00C507A5">
        <w:rPr>
          <w:color w:val="231F20"/>
          <w:w w:val="105"/>
          <w:sz w:val="19"/>
        </w:rPr>
        <w:t>red army faction</w:t>
      </w:r>
      <w:r>
        <w:rPr>
          <w:color w:val="231F20"/>
          <w:w w:val="105"/>
          <w:sz w:val="19"/>
        </w:rPr>
        <w:t>; 1972, arrested  following  May  Offensive; 1977, killed in prison during the events of the</w:t>
      </w:r>
      <w:r>
        <w:rPr>
          <w:color w:val="231F20"/>
          <w:spacing w:val="10"/>
          <w:w w:val="105"/>
          <w:sz w:val="19"/>
        </w:rPr>
        <w:t xml:space="preserve"> </w:t>
      </w:r>
      <w:r>
        <w:rPr>
          <w:color w:val="231F20"/>
          <w:w w:val="105"/>
          <w:sz w:val="19"/>
        </w:rPr>
        <w:t>German Autumn.</w:t>
      </w:r>
    </w:p>
    <w:p w14:paraId="7062AAD7" w14:textId="77777777" w:rsidR="002653E8" w:rsidRDefault="002653E8">
      <w:pPr>
        <w:spacing w:line="276" w:lineRule="auto"/>
        <w:rPr>
          <w:sz w:val="19"/>
        </w:rPr>
        <w:sectPr w:rsidR="002653E8">
          <w:footerReference w:type="even" r:id="rId488"/>
          <w:footerReference w:type="default" r:id="rId489"/>
          <w:pgSz w:w="8640" w:h="12960"/>
          <w:pgMar w:top="1080" w:right="0" w:bottom="1040" w:left="0" w:header="0" w:footer="850" w:gutter="0"/>
          <w:cols w:space="720"/>
        </w:sectPr>
      </w:pPr>
    </w:p>
    <w:p w14:paraId="1440EF72" w14:textId="77777777" w:rsidR="002653E8" w:rsidRDefault="003115E3">
      <w:pPr>
        <w:spacing w:before="75" w:line="276" w:lineRule="auto"/>
        <w:ind w:left="1147" w:right="1372"/>
        <w:jc w:val="both"/>
        <w:rPr>
          <w:sz w:val="19"/>
        </w:rPr>
      </w:pPr>
      <w:r>
        <w:rPr>
          <w:i/>
          <w:color w:val="231F20"/>
          <w:w w:val="105"/>
          <w:sz w:val="19"/>
        </w:rPr>
        <w:lastRenderedPageBreak/>
        <w:t xml:space="preserve">Rauch, Georg von: </w:t>
      </w:r>
      <w:r>
        <w:rPr>
          <w:color w:val="231F20"/>
          <w:w w:val="105"/>
          <w:sz w:val="19"/>
        </w:rPr>
        <w:t>1947-1971; 1968, founding member of the Roaming Hash Rebels; 1970, arrested; 1971, killed in an exchange of fire with the police.</w:t>
      </w:r>
    </w:p>
    <w:p w14:paraId="1A2EAD47" w14:textId="77777777" w:rsidR="002653E8" w:rsidRDefault="003115E3">
      <w:pPr>
        <w:spacing w:before="128"/>
        <w:ind w:left="1147"/>
        <w:rPr>
          <w:sz w:val="19"/>
        </w:rPr>
      </w:pPr>
      <w:r>
        <w:rPr>
          <w:i/>
          <w:color w:val="231F20"/>
          <w:w w:val="105"/>
          <w:sz w:val="19"/>
        </w:rPr>
        <w:t xml:space="preserve">Rebmann, Kurt: </w:t>
      </w:r>
      <w:r>
        <w:rPr>
          <w:color w:val="231F20"/>
          <w:w w:val="105"/>
          <w:sz w:val="19"/>
        </w:rPr>
        <w:t>1924-2005; 1977-1990, Attorney General.</w:t>
      </w:r>
    </w:p>
    <w:p w14:paraId="0BBA2D80" w14:textId="77777777" w:rsidR="002653E8" w:rsidRDefault="003115E3">
      <w:pPr>
        <w:spacing w:before="161" w:line="276" w:lineRule="auto"/>
        <w:ind w:left="1147" w:right="1580"/>
        <w:rPr>
          <w:sz w:val="19"/>
        </w:rPr>
      </w:pPr>
      <w:r>
        <w:rPr>
          <w:i/>
          <w:color w:val="231F20"/>
          <w:w w:val="105"/>
          <w:sz w:val="19"/>
        </w:rPr>
        <w:t xml:space="preserve">Reinders, Ralf: </w:t>
      </w:r>
      <w:r>
        <w:rPr>
          <w:color w:val="231F20"/>
          <w:w w:val="105"/>
          <w:sz w:val="19"/>
        </w:rPr>
        <w:t>b. 1948; founding member of the 2JM; 1975, arrested; 1990, released from prison.</w:t>
      </w:r>
    </w:p>
    <w:p w14:paraId="00703D87" w14:textId="77777777" w:rsidR="002653E8" w:rsidRDefault="003115E3">
      <w:pPr>
        <w:spacing w:before="128" w:line="276" w:lineRule="auto"/>
        <w:ind w:left="1147" w:right="1292"/>
        <w:rPr>
          <w:sz w:val="19"/>
        </w:rPr>
      </w:pPr>
      <w:r>
        <w:rPr>
          <w:i/>
          <w:color w:val="231F20"/>
          <w:w w:val="110"/>
          <w:sz w:val="19"/>
        </w:rPr>
        <w:t xml:space="preserve">Röhl, Klaus Rainer: </w:t>
      </w:r>
      <w:r>
        <w:rPr>
          <w:color w:val="231F20"/>
          <w:w w:val="110"/>
          <w:sz w:val="19"/>
        </w:rPr>
        <w:t xml:space="preserve">b. 1928; 1953, joined KPD; 1957, founded </w:t>
      </w:r>
      <w:r>
        <w:rPr>
          <w:i/>
          <w:color w:val="231F20"/>
          <w:w w:val="110"/>
          <w:sz w:val="19"/>
        </w:rPr>
        <w:t>konkret</w:t>
      </w:r>
      <w:r>
        <w:rPr>
          <w:color w:val="231F20"/>
          <w:w w:val="110"/>
          <w:sz w:val="19"/>
        </w:rPr>
        <w:t xml:space="preserve">; 1961, married Ulrike Meinhof; 1964, left the KPD; 1974, left </w:t>
      </w:r>
      <w:r>
        <w:rPr>
          <w:i/>
          <w:color w:val="231F20"/>
          <w:w w:val="110"/>
          <w:sz w:val="19"/>
        </w:rPr>
        <w:t>konkret</w:t>
      </w:r>
      <w:r>
        <w:rPr>
          <w:color w:val="231F20"/>
          <w:w w:val="110"/>
          <w:sz w:val="19"/>
        </w:rPr>
        <w:t xml:space="preserve">; 1981, took over </w:t>
      </w:r>
      <w:r>
        <w:rPr>
          <w:i/>
          <w:color w:val="231F20"/>
          <w:w w:val="110"/>
          <w:sz w:val="19"/>
        </w:rPr>
        <w:t>Spontan</w:t>
      </w:r>
      <w:r>
        <w:rPr>
          <w:color w:val="231F20"/>
          <w:w w:val="110"/>
          <w:sz w:val="19"/>
        </w:rPr>
        <w:t>; 1995, joined the FDP.</w:t>
      </w:r>
    </w:p>
    <w:p w14:paraId="6CF51618" w14:textId="77777777" w:rsidR="002653E8" w:rsidRDefault="003115E3">
      <w:pPr>
        <w:spacing w:before="127" w:line="276" w:lineRule="auto"/>
        <w:ind w:left="1147" w:right="1513"/>
        <w:rPr>
          <w:sz w:val="19"/>
        </w:rPr>
      </w:pPr>
      <w:r>
        <w:rPr>
          <w:i/>
          <w:color w:val="231F20"/>
          <w:w w:val="105"/>
          <w:sz w:val="19"/>
        </w:rPr>
        <w:t xml:space="preserve">Roll, Carmen: </w:t>
      </w:r>
      <w:r>
        <w:rPr>
          <w:color w:val="231F20"/>
          <w:w w:val="105"/>
          <w:sz w:val="19"/>
        </w:rPr>
        <w:t xml:space="preserve">SPK member, 1972, joined the </w:t>
      </w:r>
      <w:r w:rsidR="00C507A5">
        <w:rPr>
          <w:color w:val="231F20"/>
          <w:w w:val="105"/>
          <w:sz w:val="19"/>
        </w:rPr>
        <w:t>red army faction</w:t>
      </w:r>
      <w:r>
        <w:rPr>
          <w:color w:val="231F20"/>
          <w:w w:val="105"/>
          <w:sz w:val="19"/>
        </w:rPr>
        <w:t>, arrested the same year prior to the May Offensive; 1976, released from prison, moved to Italy.</w:t>
      </w:r>
    </w:p>
    <w:p w14:paraId="115D7D73" w14:textId="77777777" w:rsidR="002653E8" w:rsidRDefault="003115E3">
      <w:pPr>
        <w:spacing w:before="128" w:line="276" w:lineRule="auto"/>
        <w:ind w:left="1148" w:right="1325" w:hanging="1"/>
        <w:rPr>
          <w:sz w:val="19"/>
        </w:rPr>
      </w:pPr>
      <w:r>
        <w:rPr>
          <w:i/>
          <w:color w:val="231F20"/>
          <w:spacing w:val="-3"/>
          <w:w w:val="105"/>
          <w:sz w:val="19"/>
        </w:rPr>
        <w:t xml:space="preserve">Rössner, </w:t>
      </w:r>
      <w:r>
        <w:rPr>
          <w:i/>
          <w:color w:val="231F20"/>
          <w:w w:val="105"/>
          <w:sz w:val="19"/>
        </w:rPr>
        <w:t xml:space="preserve">Bernd: </w:t>
      </w:r>
      <w:r>
        <w:rPr>
          <w:color w:val="231F20"/>
          <w:w w:val="105"/>
          <w:sz w:val="19"/>
        </w:rPr>
        <w:t xml:space="preserve">b. 1946; 1974, joined the </w:t>
      </w:r>
      <w:r w:rsidR="00C507A5">
        <w:rPr>
          <w:color w:val="231F20"/>
          <w:w w:val="105"/>
          <w:sz w:val="19"/>
        </w:rPr>
        <w:t>red army faction</w:t>
      </w:r>
      <w:r>
        <w:rPr>
          <w:color w:val="231F20"/>
          <w:w w:val="105"/>
          <w:sz w:val="19"/>
        </w:rPr>
        <w:t>; part of the Holger Meins Commando that carried out the failed Stockholm embassy hostage taking in 1975; received two life sentences in 1977; 1992, released from prison on health grounds; 1994,</w:t>
      </w:r>
      <w:r>
        <w:rPr>
          <w:color w:val="231F20"/>
          <w:spacing w:val="37"/>
          <w:w w:val="105"/>
          <w:sz w:val="19"/>
        </w:rPr>
        <w:t xml:space="preserve"> </w:t>
      </w:r>
      <w:r>
        <w:rPr>
          <w:color w:val="231F20"/>
          <w:w w:val="105"/>
          <w:sz w:val="19"/>
        </w:rPr>
        <w:t>pardoned.</w:t>
      </w:r>
    </w:p>
    <w:p w14:paraId="4AA264FE" w14:textId="77777777" w:rsidR="002653E8" w:rsidRDefault="003115E3">
      <w:pPr>
        <w:spacing w:before="127" w:line="276" w:lineRule="auto"/>
        <w:ind w:left="1147" w:right="1513"/>
        <w:rPr>
          <w:sz w:val="19"/>
        </w:rPr>
      </w:pPr>
      <w:r>
        <w:rPr>
          <w:i/>
          <w:color w:val="231F20"/>
          <w:w w:val="105"/>
          <w:sz w:val="19"/>
        </w:rPr>
        <w:t xml:space="preserve">Ruhland, Karl-Heinz: </w:t>
      </w:r>
      <w:r>
        <w:rPr>
          <w:color w:val="231F20"/>
          <w:w w:val="105"/>
          <w:sz w:val="19"/>
        </w:rPr>
        <w:t xml:space="preserve">b. 1938; 1970, became close to the </w:t>
      </w:r>
      <w:r w:rsidR="00C507A5">
        <w:rPr>
          <w:color w:val="231F20"/>
          <w:w w:val="105"/>
          <w:sz w:val="19"/>
        </w:rPr>
        <w:t>red army faction</w:t>
      </w:r>
      <w:r>
        <w:rPr>
          <w:color w:val="231F20"/>
          <w:w w:val="105"/>
          <w:sz w:val="19"/>
        </w:rPr>
        <w:t xml:space="preserve">, arrested the same year, becoming the first </w:t>
      </w:r>
      <w:r w:rsidR="00C507A5">
        <w:rPr>
          <w:color w:val="231F20"/>
          <w:w w:val="105"/>
          <w:sz w:val="19"/>
        </w:rPr>
        <w:t>red army faction</w:t>
      </w:r>
      <w:r>
        <w:rPr>
          <w:color w:val="231F20"/>
          <w:w w:val="105"/>
          <w:sz w:val="19"/>
        </w:rPr>
        <w:t xml:space="preserve"> associate to serve as a crown witness.</w:t>
      </w:r>
    </w:p>
    <w:p w14:paraId="5309314D" w14:textId="77777777" w:rsidR="002653E8" w:rsidRDefault="003115E3">
      <w:pPr>
        <w:spacing w:before="127" w:line="276" w:lineRule="auto"/>
        <w:ind w:left="1147" w:right="1513" w:hanging="1"/>
        <w:rPr>
          <w:sz w:val="19"/>
        </w:rPr>
      </w:pPr>
      <w:r>
        <w:rPr>
          <w:i/>
          <w:color w:val="231F20"/>
          <w:w w:val="105"/>
          <w:sz w:val="19"/>
        </w:rPr>
        <w:t xml:space="preserve">Scheel Walter: </w:t>
      </w:r>
      <w:r>
        <w:rPr>
          <w:color w:val="231F20"/>
          <w:w w:val="105"/>
          <w:sz w:val="19"/>
        </w:rPr>
        <w:t>b. 1919; Chairman of the DP, 1968-1974; ViceChancellor and Foreign Minister during Willy Brandt’s Social-Liberal Coalition (1969-1974); President during the first five years of Helmut Schmidt’s administration (1974-1979).</w:t>
      </w:r>
    </w:p>
    <w:p w14:paraId="22B52653" w14:textId="77777777" w:rsidR="002653E8" w:rsidRDefault="003115E3">
      <w:pPr>
        <w:spacing w:before="128" w:line="276" w:lineRule="auto"/>
        <w:ind w:left="1147" w:right="1580" w:hanging="1"/>
        <w:rPr>
          <w:sz w:val="19"/>
        </w:rPr>
      </w:pPr>
      <w:r>
        <w:rPr>
          <w:i/>
          <w:color w:val="231F20"/>
          <w:w w:val="105"/>
          <w:sz w:val="19"/>
        </w:rPr>
        <w:t xml:space="preserve">Schelm, Petra: </w:t>
      </w:r>
      <w:r>
        <w:rPr>
          <w:color w:val="231F20"/>
          <w:w w:val="105"/>
          <w:sz w:val="19"/>
        </w:rPr>
        <w:t xml:space="preserve">1951-1971; 1970, joined </w:t>
      </w:r>
      <w:r w:rsidR="00C507A5">
        <w:rPr>
          <w:color w:val="231F20"/>
          <w:w w:val="105"/>
          <w:sz w:val="19"/>
        </w:rPr>
        <w:t>red army faction</w:t>
      </w:r>
      <w:r>
        <w:rPr>
          <w:color w:val="231F20"/>
          <w:w w:val="105"/>
          <w:sz w:val="19"/>
        </w:rPr>
        <w:t>; 1971, killed in an exchange of fire with the police.</w:t>
      </w:r>
    </w:p>
    <w:p w14:paraId="1A8BFF58" w14:textId="77777777" w:rsidR="002653E8" w:rsidRDefault="003115E3">
      <w:pPr>
        <w:spacing w:before="127" w:line="276" w:lineRule="auto"/>
        <w:ind w:left="1147" w:right="1580" w:hanging="1"/>
        <w:rPr>
          <w:sz w:val="19"/>
        </w:rPr>
      </w:pPr>
      <w:r>
        <w:rPr>
          <w:i/>
          <w:color w:val="231F20"/>
          <w:w w:val="105"/>
          <w:sz w:val="19"/>
        </w:rPr>
        <w:t xml:space="preserve">Schiller, Karl: </w:t>
      </w:r>
      <w:r>
        <w:rPr>
          <w:color w:val="231F20"/>
          <w:w w:val="105"/>
          <w:sz w:val="19"/>
        </w:rPr>
        <w:t>1911-1994; SPD politician; 1966-1972, Minister of the Economy; 1971-1972, Minister of Finance.</w:t>
      </w:r>
    </w:p>
    <w:p w14:paraId="07CF877F" w14:textId="77777777" w:rsidR="002653E8" w:rsidRDefault="003115E3">
      <w:pPr>
        <w:spacing w:before="128"/>
        <w:ind w:left="1147"/>
        <w:rPr>
          <w:sz w:val="19"/>
        </w:rPr>
      </w:pPr>
      <w:r>
        <w:rPr>
          <w:i/>
          <w:color w:val="231F20"/>
          <w:w w:val="105"/>
          <w:sz w:val="19"/>
        </w:rPr>
        <w:t xml:space="preserve">Schiller, Margrit: </w:t>
      </w:r>
      <w:r>
        <w:rPr>
          <w:color w:val="231F20"/>
          <w:w w:val="105"/>
          <w:sz w:val="19"/>
        </w:rPr>
        <w:t xml:space="preserve">b. 1948; SPK member; 1970, joined the </w:t>
      </w:r>
      <w:r w:rsidR="00C507A5">
        <w:rPr>
          <w:color w:val="231F20"/>
          <w:w w:val="105"/>
          <w:sz w:val="19"/>
        </w:rPr>
        <w:t>red army faction</w:t>
      </w:r>
      <w:r>
        <w:rPr>
          <w:color w:val="231F20"/>
          <w:w w:val="105"/>
          <w:sz w:val="19"/>
        </w:rPr>
        <w:t>;</w:t>
      </w:r>
    </w:p>
    <w:p w14:paraId="3F8DD347" w14:textId="77777777" w:rsidR="002653E8" w:rsidRDefault="003115E3">
      <w:pPr>
        <w:spacing w:before="33" w:line="276" w:lineRule="auto"/>
        <w:ind w:left="1147" w:right="1316"/>
        <w:rPr>
          <w:sz w:val="19"/>
        </w:rPr>
      </w:pPr>
      <w:r>
        <w:rPr>
          <w:color w:val="231F20"/>
          <w:w w:val="105"/>
          <w:sz w:val="19"/>
        </w:rPr>
        <w:t>1971, arrested; 1973, released from prison and went back underground; 1974, arrested; 1979, released from prison; 1985, went into voluntary exile in Cuba; 1993, moved to Uruguay.</w:t>
      </w:r>
    </w:p>
    <w:p w14:paraId="3EEF10DA" w14:textId="77777777" w:rsidR="002653E8" w:rsidRDefault="002653E8">
      <w:pPr>
        <w:spacing w:line="276" w:lineRule="auto"/>
        <w:rPr>
          <w:sz w:val="19"/>
        </w:rPr>
        <w:sectPr w:rsidR="002653E8">
          <w:pgSz w:w="8640" w:h="12960"/>
          <w:pgMar w:top="1080" w:right="0" w:bottom="1040" w:left="0" w:header="0" w:footer="850" w:gutter="0"/>
          <w:cols w:space="720"/>
        </w:sectPr>
      </w:pPr>
    </w:p>
    <w:p w14:paraId="74664EAA" w14:textId="77777777" w:rsidR="002653E8" w:rsidRDefault="003115E3">
      <w:pPr>
        <w:spacing w:before="75" w:line="276" w:lineRule="auto"/>
        <w:ind w:left="1327" w:right="1580"/>
        <w:rPr>
          <w:sz w:val="19"/>
        </w:rPr>
      </w:pPr>
      <w:r>
        <w:rPr>
          <w:i/>
          <w:color w:val="231F20"/>
          <w:w w:val="105"/>
          <w:sz w:val="19"/>
        </w:rPr>
        <w:lastRenderedPageBreak/>
        <w:t xml:space="preserve">Schily, Otto: </w:t>
      </w:r>
      <w:r>
        <w:rPr>
          <w:color w:val="231F20"/>
          <w:w w:val="105"/>
          <w:sz w:val="19"/>
        </w:rPr>
        <w:t xml:space="preserve">b. 1932; lawyer for </w:t>
      </w:r>
      <w:r w:rsidR="00C507A5">
        <w:rPr>
          <w:color w:val="231F20"/>
          <w:w w:val="105"/>
          <w:sz w:val="19"/>
        </w:rPr>
        <w:t>red army faction</w:t>
      </w:r>
      <w:r>
        <w:rPr>
          <w:color w:val="231F20"/>
          <w:w w:val="105"/>
          <w:sz w:val="19"/>
        </w:rPr>
        <w:t xml:space="preserve"> prisoners; 1980, founding member of the Green Party; 1989, left the Green party to join the SPD; 1994-1998, Chairman of the SPD Parliamentary Faction;</w:t>
      </w:r>
    </w:p>
    <w:p w14:paraId="13E4B6F0" w14:textId="77777777" w:rsidR="002653E8" w:rsidRDefault="003115E3">
      <w:pPr>
        <w:spacing w:line="276" w:lineRule="auto"/>
        <w:ind w:left="1327" w:right="1300"/>
        <w:rPr>
          <w:sz w:val="19"/>
        </w:rPr>
      </w:pPr>
      <w:r>
        <w:rPr>
          <w:color w:val="231F20"/>
          <w:w w:val="105"/>
          <w:sz w:val="19"/>
        </w:rPr>
        <w:t>1998-2005, Federal Minister of the Interior, 2005, joined the boards of two biometric security firms.</w:t>
      </w:r>
    </w:p>
    <w:p w14:paraId="484ACD4F" w14:textId="77777777" w:rsidR="002653E8" w:rsidRDefault="003115E3">
      <w:pPr>
        <w:spacing w:before="127" w:line="276" w:lineRule="auto"/>
        <w:ind w:left="1327" w:right="1580"/>
        <w:rPr>
          <w:sz w:val="19"/>
        </w:rPr>
      </w:pPr>
      <w:r>
        <w:rPr>
          <w:i/>
          <w:color w:val="231F20"/>
          <w:sz w:val="19"/>
        </w:rPr>
        <w:t xml:space="preserve">Schleyer; Hanns Martin: </w:t>
      </w:r>
      <w:r>
        <w:rPr>
          <w:color w:val="231F20"/>
          <w:sz w:val="19"/>
        </w:rPr>
        <w:t xml:space="preserve">1915-1977; former SS member  and  leading </w:t>
      </w:r>
      <w:r>
        <w:rPr>
          <w:color w:val="231F20"/>
          <w:spacing w:val="-4"/>
          <w:sz w:val="19"/>
        </w:rPr>
        <w:t xml:space="preserve">West </w:t>
      </w:r>
      <w:r>
        <w:rPr>
          <w:color w:val="231F20"/>
          <w:sz w:val="19"/>
        </w:rPr>
        <w:t xml:space="preserve">German industrialist; 1977, kidnapped and executed by the </w:t>
      </w:r>
      <w:r w:rsidR="00C507A5">
        <w:rPr>
          <w:color w:val="231F20"/>
          <w:sz w:val="19"/>
        </w:rPr>
        <w:t>red army faction</w:t>
      </w:r>
      <w:r>
        <w:rPr>
          <w:color w:val="231F20"/>
          <w:sz w:val="19"/>
        </w:rPr>
        <w:t xml:space="preserve"> during the German</w:t>
      </w:r>
      <w:r>
        <w:rPr>
          <w:color w:val="231F20"/>
          <w:spacing w:val="32"/>
          <w:sz w:val="19"/>
        </w:rPr>
        <w:t xml:space="preserve"> </w:t>
      </w:r>
      <w:r>
        <w:rPr>
          <w:color w:val="231F20"/>
          <w:sz w:val="19"/>
        </w:rPr>
        <w:t>Autumn.</w:t>
      </w:r>
    </w:p>
    <w:p w14:paraId="78B32B69" w14:textId="77777777" w:rsidR="002653E8" w:rsidRDefault="003115E3">
      <w:pPr>
        <w:spacing w:before="128" w:line="276" w:lineRule="auto"/>
        <w:ind w:left="1327" w:right="1186"/>
        <w:rPr>
          <w:sz w:val="19"/>
        </w:rPr>
      </w:pPr>
      <w:r>
        <w:rPr>
          <w:i/>
          <w:color w:val="231F20"/>
          <w:w w:val="105"/>
          <w:sz w:val="19"/>
        </w:rPr>
        <w:t xml:space="preserve">Schmid, Norbert: </w:t>
      </w:r>
      <w:r>
        <w:rPr>
          <w:color w:val="231F20"/>
          <w:w w:val="105"/>
          <w:sz w:val="19"/>
        </w:rPr>
        <w:t xml:space="preserve">1938-1971; police officer; 1971, killed in an exchange of fire with </w:t>
      </w:r>
      <w:r w:rsidR="00C507A5">
        <w:rPr>
          <w:color w:val="231F20"/>
          <w:w w:val="105"/>
          <w:sz w:val="19"/>
        </w:rPr>
        <w:t>red army faction</w:t>
      </w:r>
      <w:r>
        <w:rPr>
          <w:color w:val="231F20"/>
          <w:w w:val="105"/>
          <w:sz w:val="19"/>
        </w:rPr>
        <w:t xml:space="preserve"> members.</w:t>
      </w:r>
    </w:p>
    <w:p w14:paraId="0C954193" w14:textId="77777777" w:rsidR="002653E8" w:rsidRDefault="003115E3">
      <w:pPr>
        <w:spacing w:before="128" w:line="276" w:lineRule="auto"/>
        <w:ind w:left="1327" w:right="1145" w:hanging="1"/>
        <w:rPr>
          <w:sz w:val="19"/>
        </w:rPr>
      </w:pPr>
      <w:r>
        <w:rPr>
          <w:i/>
          <w:color w:val="231F20"/>
          <w:w w:val="105"/>
          <w:sz w:val="19"/>
        </w:rPr>
        <w:t xml:space="preserve">Schmidt, Helmut: </w:t>
      </w:r>
      <w:r>
        <w:rPr>
          <w:color w:val="231F20"/>
          <w:w w:val="105"/>
          <w:sz w:val="19"/>
        </w:rPr>
        <w:t>b. 1918; SPD politician; 1967-1969, Chairman of the SPD Parliamentary Faction; 1969-1972, Federal Minister of Defense; 1972, Federal Minister of Economics; 1972-1974, Federal Minister of Finance; 1974-1982, Chancellor.</w:t>
      </w:r>
    </w:p>
    <w:p w14:paraId="55016391" w14:textId="77777777" w:rsidR="002653E8" w:rsidRDefault="003115E3">
      <w:pPr>
        <w:spacing w:before="127" w:line="276" w:lineRule="auto"/>
        <w:ind w:left="1327" w:right="1145"/>
        <w:rPr>
          <w:sz w:val="19"/>
        </w:rPr>
      </w:pPr>
      <w:r>
        <w:rPr>
          <w:i/>
          <w:color w:val="231F20"/>
          <w:w w:val="105"/>
          <w:sz w:val="19"/>
        </w:rPr>
        <w:t xml:space="preserve">Schmitz, Sabine: </w:t>
      </w:r>
      <w:r>
        <w:rPr>
          <w:color w:val="231F20"/>
          <w:w w:val="105"/>
          <w:sz w:val="19"/>
        </w:rPr>
        <w:t xml:space="preserve">b. 1956; joined </w:t>
      </w:r>
      <w:r w:rsidR="00C507A5">
        <w:rPr>
          <w:color w:val="231F20"/>
          <w:w w:val="105"/>
          <w:sz w:val="19"/>
        </w:rPr>
        <w:t>red army faction</w:t>
      </w:r>
      <w:r>
        <w:rPr>
          <w:color w:val="231F20"/>
          <w:w w:val="105"/>
          <w:sz w:val="19"/>
        </w:rPr>
        <w:t xml:space="preserve"> sometime in 1976, arrested that same year and charged under </w:t>
      </w:r>
      <w:r>
        <w:rPr>
          <w:color w:val="231F20"/>
          <w:w w:val="105"/>
          <w:sz w:val="18"/>
        </w:rPr>
        <w:t>§</w:t>
      </w:r>
      <w:r>
        <w:rPr>
          <w:color w:val="231F20"/>
          <w:w w:val="105"/>
          <w:sz w:val="19"/>
        </w:rPr>
        <w:t>129.</w:t>
      </w:r>
    </w:p>
    <w:p w14:paraId="3155903D" w14:textId="77777777" w:rsidR="002653E8" w:rsidRDefault="003115E3">
      <w:pPr>
        <w:spacing w:before="128" w:line="276" w:lineRule="auto"/>
        <w:ind w:left="1327" w:right="1145"/>
        <w:rPr>
          <w:sz w:val="19"/>
        </w:rPr>
      </w:pPr>
      <w:r>
        <w:rPr>
          <w:i/>
          <w:color w:val="231F20"/>
          <w:w w:val="105"/>
          <w:sz w:val="19"/>
        </w:rPr>
        <w:t xml:space="preserve">Schneider, Gerd: </w:t>
      </w:r>
      <w:r>
        <w:rPr>
          <w:color w:val="231F20"/>
          <w:w w:val="105"/>
          <w:sz w:val="19"/>
        </w:rPr>
        <w:t xml:space="preserve">Member of the </w:t>
      </w:r>
      <w:r w:rsidR="00C507A5">
        <w:rPr>
          <w:color w:val="231F20"/>
          <w:w w:val="105"/>
          <w:sz w:val="19"/>
        </w:rPr>
        <w:t>red army faction</w:t>
      </w:r>
      <w:r>
        <w:rPr>
          <w:color w:val="231F20"/>
          <w:w w:val="105"/>
          <w:sz w:val="19"/>
        </w:rPr>
        <w:t>, 1977, arrested in Amsterdam and extradited to West Germany, sentenced to fifteen years in prison.</w:t>
      </w:r>
    </w:p>
    <w:p w14:paraId="3A8B307A" w14:textId="77777777" w:rsidR="002653E8" w:rsidRDefault="003115E3">
      <w:pPr>
        <w:spacing w:before="127"/>
        <w:ind w:left="1327" w:hanging="1"/>
        <w:rPr>
          <w:sz w:val="19"/>
        </w:rPr>
      </w:pPr>
      <w:r>
        <w:rPr>
          <w:i/>
          <w:color w:val="231F20"/>
          <w:w w:val="110"/>
          <w:sz w:val="19"/>
        </w:rPr>
        <w:t xml:space="preserve">Scholze, Uli: </w:t>
      </w:r>
      <w:r>
        <w:rPr>
          <w:color w:val="231F20"/>
          <w:w w:val="110"/>
          <w:sz w:val="19"/>
        </w:rPr>
        <w:t xml:space="preserve">b. 1947; 1970, joined the </w:t>
      </w:r>
      <w:r w:rsidR="00C507A5">
        <w:rPr>
          <w:color w:val="231F20"/>
          <w:w w:val="110"/>
          <w:sz w:val="19"/>
        </w:rPr>
        <w:t>red army faction</w:t>
      </w:r>
      <w:r>
        <w:rPr>
          <w:color w:val="231F20"/>
          <w:w w:val="110"/>
          <w:sz w:val="19"/>
        </w:rPr>
        <w:t>, but left shortly thereafter.</w:t>
      </w:r>
    </w:p>
    <w:p w14:paraId="08CF9AA1" w14:textId="77777777" w:rsidR="002653E8" w:rsidRDefault="003115E3">
      <w:pPr>
        <w:spacing w:before="161" w:line="276" w:lineRule="auto"/>
        <w:ind w:left="1327" w:right="1513"/>
        <w:rPr>
          <w:sz w:val="19"/>
        </w:rPr>
      </w:pPr>
      <w:r>
        <w:rPr>
          <w:i/>
          <w:color w:val="231F20"/>
          <w:w w:val="105"/>
          <w:sz w:val="19"/>
        </w:rPr>
        <w:t xml:space="preserve">Schoner, Herbert: </w:t>
      </w:r>
      <w:r>
        <w:rPr>
          <w:color w:val="231F20"/>
          <w:w w:val="105"/>
          <w:sz w:val="19"/>
        </w:rPr>
        <w:t xml:space="preserve">1939-1971; police officer; 1971, shot dead by </w:t>
      </w:r>
      <w:r w:rsidR="00C507A5">
        <w:rPr>
          <w:color w:val="231F20"/>
          <w:w w:val="105"/>
          <w:sz w:val="19"/>
        </w:rPr>
        <w:t>red army faction</w:t>
      </w:r>
      <w:r>
        <w:rPr>
          <w:color w:val="231F20"/>
          <w:w w:val="105"/>
          <w:sz w:val="19"/>
        </w:rPr>
        <w:t xml:space="preserve"> members robbing a bank.</w:t>
      </w:r>
    </w:p>
    <w:p w14:paraId="1F6BD1F4" w14:textId="77777777" w:rsidR="002653E8" w:rsidRDefault="003115E3">
      <w:pPr>
        <w:spacing w:before="128" w:line="276" w:lineRule="auto"/>
        <w:ind w:left="1327" w:right="2067" w:hanging="1"/>
        <w:rPr>
          <w:sz w:val="19"/>
        </w:rPr>
      </w:pPr>
      <w:r>
        <w:rPr>
          <w:i/>
          <w:color w:val="231F20"/>
          <w:w w:val="105"/>
          <w:sz w:val="19"/>
        </w:rPr>
        <w:t xml:space="preserve">Schubert, Ingrid: </w:t>
      </w:r>
      <w:r>
        <w:rPr>
          <w:color w:val="231F20"/>
          <w:w w:val="105"/>
          <w:sz w:val="19"/>
        </w:rPr>
        <w:t xml:space="preserve">1944-1977; founding member of the </w:t>
      </w:r>
      <w:r w:rsidR="00C507A5">
        <w:rPr>
          <w:color w:val="231F20"/>
          <w:w w:val="105"/>
          <w:sz w:val="19"/>
        </w:rPr>
        <w:t>red army faction</w:t>
      </w:r>
      <w:r>
        <w:rPr>
          <w:color w:val="231F20"/>
          <w:w w:val="105"/>
          <w:sz w:val="19"/>
        </w:rPr>
        <w:t>; 1970, arrested; 1977, killed in prison.</w:t>
      </w:r>
    </w:p>
    <w:p w14:paraId="066251B7" w14:textId="77777777" w:rsidR="002653E8" w:rsidRDefault="003115E3">
      <w:pPr>
        <w:spacing w:before="128" w:line="276" w:lineRule="auto"/>
        <w:ind w:left="1327" w:right="1580" w:hanging="1"/>
        <w:rPr>
          <w:sz w:val="19"/>
        </w:rPr>
      </w:pPr>
      <w:r>
        <w:rPr>
          <w:i/>
          <w:color w:val="231F20"/>
          <w:w w:val="105"/>
          <w:sz w:val="19"/>
        </w:rPr>
        <w:t xml:space="preserve">Schulz, Adelheid: </w:t>
      </w:r>
      <w:r>
        <w:rPr>
          <w:color w:val="231F20"/>
          <w:w w:val="105"/>
          <w:sz w:val="19"/>
        </w:rPr>
        <w:t xml:space="preserve">b. 1955; 1977, joined the </w:t>
      </w:r>
      <w:r w:rsidR="00C507A5">
        <w:rPr>
          <w:color w:val="231F20"/>
          <w:w w:val="105"/>
          <w:sz w:val="19"/>
        </w:rPr>
        <w:t>red army faction</w:t>
      </w:r>
      <w:r>
        <w:rPr>
          <w:color w:val="231F20"/>
          <w:w w:val="105"/>
          <w:sz w:val="19"/>
        </w:rPr>
        <w:t>; 1982, arrested; 1998, released from prison on health grounds; 2002, pardoned.</w:t>
      </w:r>
    </w:p>
    <w:p w14:paraId="04E58551" w14:textId="77777777" w:rsidR="002653E8" w:rsidRDefault="003115E3">
      <w:pPr>
        <w:spacing w:before="127" w:line="276" w:lineRule="auto"/>
        <w:ind w:left="1327" w:right="1145"/>
        <w:rPr>
          <w:sz w:val="19"/>
        </w:rPr>
      </w:pPr>
      <w:r>
        <w:rPr>
          <w:i/>
          <w:color w:val="231F20"/>
          <w:w w:val="105"/>
          <w:sz w:val="19"/>
        </w:rPr>
        <w:t xml:space="preserve">Schumann, Jürgen: </w:t>
      </w:r>
      <w:r>
        <w:rPr>
          <w:color w:val="231F20"/>
          <w:w w:val="105"/>
          <w:sz w:val="19"/>
        </w:rPr>
        <w:t>1940-1977; pilot; 1977, killed during the Mogadishu action.</w:t>
      </w:r>
    </w:p>
    <w:p w14:paraId="743831DD" w14:textId="77777777" w:rsidR="002653E8" w:rsidRDefault="003115E3">
      <w:pPr>
        <w:spacing w:before="128" w:line="276" w:lineRule="auto"/>
        <w:ind w:left="1327" w:right="1580"/>
        <w:rPr>
          <w:sz w:val="19"/>
        </w:rPr>
      </w:pPr>
      <w:r>
        <w:rPr>
          <w:i/>
          <w:color w:val="231F20"/>
          <w:w w:val="105"/>
          <w:sz w:val="19"/>
        </w:rPr>
        <w:t xml:space="preserve">Siepmann, Ingrid: </w:t>
      </w:r>
      <w:r>
        <w:rPr>
          <w:color w:val="231F20"/>
          <w:w w:val="105"/>
          <w:sz w:val="19"/>
        </w:rPr>
        <w:t>b. 1944; member of the 2JM; 1974, arrested; 1975, released from prison as part of a prisoner exchange for</w:t>
      </w:r>
    </w:p>
    <w:p w14:paraId="2ADDE964" w14:textId="77777777" w:rsidR="002653E8" w:rsidRDefault="003115E3">
      <w:pPr>
        <w:spacing w:line="276" w:lineRule="auto"/>
        <w:ind w:left="1327" w:right="1580"/>
        <w:rPr>
          <w:sz w:val="19"/>
        </w:rPr>
      </w:pPr>
      <w:r>
        <w:rPr>
          <w:color w:val="231F20"/>
          <w:w w:val="105"/>
          <w:sz w:val="19"/>
        </w:rPr>
        <w:t>CDU politician Peter Lorenz who had been kidnapped by the 2JM; 1982, believed killed by Israeli airstrike in Lebanon.</w:t>
      </w:r>
    </w:p>
    <w:p w14:paraId="1E4F6FC8" w14:textId="77777777" w:rsidR="002653E8" w:rsidRDefault="003115E3">
      <w:pPr>
        <w:spacing w:before="128" w:line="276" w:lineRule="auto"/>
        <w:ind w:left="1327" w:right="1145"/>
        <w:rPr>
          <w:sz w:val="19"/>
        </w:rPr>
      </w:pPr>
      <w:r>
        <w:rPr>
          <w:i/>
          <w:color w:val="231F20"/>
          <w:sz w:val="19"/>
        </w:rPr>
        <w:t xml:space="preserve">Söhnlein, Horst: </w:t>
      </w:r>
      <w:r>
        <w:rPr>
          <w:color w:val="231F20"/>
          <w:sz w:val="19"/>
        </w:rPr>
        <w:t xml:space="preserve">b. 1943; 1968, participated in the Frankfurt department store arsons, released while awaiting an appeal; 1969, turned himself in </w:t>
      </w:r>
      <w:r>
        <w:rPr>
          <w:color w:val="231F20"/>
          <w:sz w:val="19"/>
        </w:rPr>
        <w:lastRenderedPageBreak/>
        <w:t>when the appeal was denied.</w:t>
      </w:r>
    </w:p>
    <w:p w14:paraId="688005F3" w14:textId="77777777" w:rsidR="002653E8" w:rsidRDefault="002653E8">
      <w:pPr>
        <w:spacing w:line="276" w:lineRule="auto"/>
        <w:rPr>
          <w:sz w:val="19"/>
        </w:rPr>
        <w:sectPr w:rsidR="002653E8">
          <w:footerReference w:type="even" r:id="rId490"/>
          <w:footerReference w:type="default" r:id="rId491"/>
          <w:pgSz w:w="8640" w:h="12960"/>
          <w:pgMar w:top="1080" w:right="0" w:bottom="1040" w:left="0" w:header="0" w:footer="850" w:gutter="0"/>
          <w:cols w:space="720"/>
        </w:sectPr>
      </w:pPr>
    </w:p>
    <w:p w14:paraId="12712142" w14:textId="77777777" w:rsidR="002653E8" w:rsidRDefault="003115E3">
      <w:pPr>
        <w:spacing w:before="75" w:line="276" w:lineRule="auto"/>
        <w:ind w:left="1147" w:right="1580"/>
        <w:rPr>
          <w:sz w:val="19"/>
        </w:rPr>
      </w:pPr>
      <w:r>
        <w:rPr>
          <w:i/>
          <w:color w:val="231F20"/>
          <w:w w:val="105"/>
          <w:sz w:val="19"/>
        </w:rPr>
        <w:lastRenderedPageBreak/>
        <w:t xml:space="preserve">Sonnenberg, Günter: </w:t>
      </w:r>
      <w:r>
        <w:rPr>
          <w:color w:val="231F20"/>
          <w:w w:val="105"/>
          <w:sz w:val="19"/>
        </w:rPr>
        <w:t xml:space="preserve">b. 1954; member of the </w:t>
      </w:r>
      <w:r w:rsidR="00C507A5">
        <w:rPr>
          <w:color w:val="231F20"/>
          <w:w w:val="105"/>
          <w:sz w:val="19"/>
        </w:rPr>
        <w:t>red army faction</w:t>
      </w:r>
      <w:r>
        <w:rPr>
          <w:color w:val="231F20"/>
          <w:w w:val="105"/>
          <w:sz w:val="19"/>
        </w:rPr>
        <w:t>; 1977, arrested; 1992, released from prison.</w:t>
      </w:r>
    </w:p>
    <w:p w14:paraId="19159C9F" w14:textId="77777777" w:rsidR="002653E8" w:rsidRDefault="003115E3">
      <w:pPr>
        <w:spacing w:before="128" w:line="276" w:lineRule="auto"/>
        <w:ind w:left="1147" w:right="2705" w:hanging="1"/>
        <w:rPr>
          <w:sz w:val="19"/>
        </w:rPr>
      </w:pPr>
      <w:r>
        <w:rPr>
          <w:i/>
          <w:color w:val="231F20"/>
          <w:w w:val="110"/>
          <w:sz w:val="19"/>
        </w:rPr>
        <w:t>Speitel,</w:t>
      </w:r>
      <w:r>
        <w:rPr>
          <w:i/>
          <w:color w:val="231F20"/>
          <w:spacing w:val="-29"/>
          <w:w w:val="110"/>
          <w:sz w:val="19"/>
        </w:rPr>
        <w:t xml:space="preserve"> </w:t>
      </w:r>
      <w:r>
        <w:rPr>
          <w:i/>
          <w:color w:val="231F20"/>
          <w:w w:val="110"/>
          <w:sz w:val="19"/>
        </w:rPr>
        <w:t>Angelika:</w:t>
      </w:r>
      <w:r>
        <w:rPr>
          <w:i/>
          <w:color w:val="231F20"/>
          <w:spacing w:val="-23"/>
          <w:w w:val="110"/>
          <w:sz w:val="19"/>
        </w:rPr>
        <w:t xml:space="preserve"> </w:t>
      </w:r>
      <w:r>
        <w:rPr>
          <w:color w:val="231F20"/>
          <w:w w:val="110"/>
          <w:sz w:val="19"/>
        </w:rPr>
        <w:t>b.</w:t>
      </w:r>
      <w:r>
        <w:rPr>
          <w:color w:val="231F20"/>
          <w:spacing w:val="-26"/>
          <w:w w:val="110"/>
          <w:sz w:val="19"/>
        </w:rPr>
        <w:t xml:space="preserve"> </w:t>
      </w:r>
      <w:r>
        <w:rPr>
          <w:color w:val="231F20"/>
          <w:w w:val="110"/>
          <w:sz w:val="19"/>
        </w:rPr>
        <w:t>1952;</w:t>
      </w:r>
      <w:r>
        <w:rPr>
          <w:color w:val="231F20"/>
          <w:spacing w:val="-23"/>
          <w:w w:val="110"/>
          <w:sz w:val="19"/>
        </w:rPr>
        <w:t xml:space="preserve"> </w:t>
      </w:r>
      <w:r w:rsidR="00C507A5">
        <w:rPr>
          <w:color w:val="231F20"/>
          <w:w w:val="110"/>
          <w:sz w:val="19"/>
        </w:rPr>
        <w:t>red army faction</w:t>
      </w:r>
      <w:r>
        <w:rPr>
          <w:color w:val="231F20"/>
          <w:spacing w:val="-23"/>
          <w:w w:val="110"/>
          <w:sz w:val="19"/>
        </w:rPr>
        <w:t xml:space="preserve"> </w:t>
      </w:r>
      <w:r>
        <w:rPr>
          <w:color w:val="231F20"/>
          <w:w w:val="110"/>
          <w:sz w:val="19"/>
        </w:rPr>
        <w:t>member;</w:t>
      </w:r>
      <w:r>
        <w:rPr>
          <w:color w:val="231F20"/>
          <w:spacing w:val="-23"/>
          <w:w w:val="110"/>
          <w:sz w:val="19"/>
        </w:rPr>
        <w:t xml:space="preserve"> </w:t>
      </w:r>
      <w:r>
        <w:rPr>
          <w:color w:val="231F20"/>
          <w:w w:val="110"/>
          <w:sz w:val="19"/>
        </w:rPr>
        <w:t>1978,</w:t>
      </w:r>
      <w:r>
        <w:rPr>
          <w:color w:val="231F20"/>
          <w:spacing w:val="-26"/>
          <w:w w:val="110"/>
          <w:sz w:val="19"/>
        </w:rPr>
        <w:t xml:space="preserve"> </w:t>
      </w:r>
      <w:r>
        <w:rPr>
          <w:color w:val="231F20"/>
          <w:w w:val="110"/>
          <w:sz w:val="19"/>
        </w:rPr>
        <w:t>arrested; 1989,</w:t>
      </w:r>
      <w:r>
        <w:rPr>
          <w:color w:val="231F20"/>
          <w:spacing w:val="-1"/>
          <w:w w:val="110"/>
          <w:sz w:val="19"/>
        </w:rPr>
        <w:t xml:space="preserve"> </w:t>
      </w:r>
      <w:r>
        <w:rPr>
          <w:color w:val="231F20"/>
          <w:w w:val="110"/>
          <w:sz w:val="19"/>
        </w:rPr>
        <w:t>pardoned.</w:t>
      </w:r>
    </w:p>
    <w:p w14:paraId="6D2649B7" w14:textId="77777777" w:rsidR="002653E8" w:rsidRDefault="003115E3">
      <w:pPr>
        <w:spacing w:before="127" w:line="276" w:lineRule="auto"/>
        <w:ind w:left="1147" w:right="1145"/>
        <w:rPr>
          <w:sz w:val="19"/>
        </w:rPr>
      </w:pPr>
      <w:r>
        <w:rPr>
          <w:i/>
          <w:color w:val="231F20"/>
          <w:w w:val="105"/>
          <w:sz w:val="19"/>
        </w:rPr>
        <w:t xml:space="preserve">Speitel, Volker: </w:t>
      </w:r>
      <w:r>
        <w:rPr>
          <w:color w:val="231F20"/>
          <w:w w:val="105"/>
          <w:sz w:val="19"/>
        </w:rPr>
        <w:t xml:space="preserve">b. 1950; </w:t>
      </w:r>
      <w:r w:rsidR="00C507A5">
        <w:rPr>
          <w:color w:val="231F20"/>
          <w:w w:val="105"/>
          <w:sz w:val="19"/>
        </w:rPr>
        <w:t>red army faction</w:t>
      </w:r>
      <w:r>
        <w:rPr>
          <w:color w:val="231F20"/>
          <w:w w:val="105"/>
          <w:sz w:val="19"/>
        </w:rPr>
        <w:t xml:space="preserve"> supporter, 1977, arrested, cooperated with police and prosecutors; 1979, released from prison.</w:t>
      </w:r>
    </w:p>
    <w:p w14:paraId="70E6D608" w14:textId="77777777" w:rsidR="002653E8" w:rsidRDefault="003115E3">
      <w:pPr>
        <w:spacing w:before="128"/>
        <w:ind w:left="1147"/>
        <w:rPr>
          <w:sz w:val="19"/>
        </w:rPr>
      </w:pPr>
      <w:r>
        <w:rPr>
          <w:i/>
          <w:color w:val="231F20"/>
          <w:w w:val="105"/>
          <w:sz w:val="19"/>
        </w:rPr>
        <w:t xml:space="preserve">Springer, Axel: </w:t>
      </w:r>
      <w:r>
        <w:rPr>
          <w:color w:val="231F20"/>
          <w:w w:val="105"/>
          <w:sz w:val="19"/>
        </w:rPr>
        <w:t>1912-1985; media magnate, owner of the Springer Press.</w:t>
      </w:r>
    </w:p>
    <w:p w14:paraId="62ADE81E" w14:textId="77777777" w:rsidR="002653E8" w:rsidRDefault="003115E3">
      <w:pPr>
        <w:spacing w:before="161"/>
        <w:ind w:left="1147"/>
        <w:rPr>
          <w:sz w:val="19"/>
        </w:rPr>
      </w:pPr>
      <w:r>
        <w:rPr>
          <w:i/>
          <w:color w:val="231F20"/>
          <w:w w:val="110"/>
          <w:sz w:val="19"/>
        </w:rPr>
        <w:t xml:space="preserve">Stachowiak, Ilse “Tinny”: </w:t>
      </w:r>
      <w:r>
        <w:rPr>
          <w:color w:val="231F20"/>
          <w:w w:val="110"/>
          <w:sz w:val="19"/>
        </w:rPr>
        <w:t xml:space="preserve">b. 1954; 1970, joined the </w:t>
      </w:r>
      <w:r w:rsidR="00C507A5">
        <w:rPr>
          <w:color w:val="231F20"/>
          <w:w w:val="110"/>
          <w:sz w:val="19"/>
        </w:rPr>
        <w:t>red army faction</w:t>
      </w:r>
      <w:r>
        <w:rPr>
          <w:color w:val="231F20"/>
          <w:w w:val="110"/>
          <w:sz w:val="19"/>
        </w:rPr>
        <w:t>;</w:t>
      </w:r>
    </w:p>
    <w:p w14:paraId="44AEA070" w14:textId="77777777" w:rsidR="002653E8" w:rsidRDefault="003115E3">
      <w:pPr>
        <w:spacing w:before="34" w:line="276" w:lineRule="auto"/>
        <w:ind w:left="1147" w:right="1776"/>
        <w:rPr>
          <w:sz w:val="19"/>
        </w:rPr>
      </w:pPr>
      <w:r>
        <w:rPr>
          <w:color w:val="231F20"/>
          <w:w w:val="105"/>
          <w:sz w:val="19"/>
        </w:rPr>
        <w:t>1971,</w:t>
      </w:r>
      <w:r>
        <w:rPr>
          <w:color w:val="231F20"/>
          <w:spacing w:val="-14"/>
          <w:w w:val="105"/>
          <w:sz w:val="19"/>
        </w:rPr>
        <w:t xml:space="preserve"> </w:t>
      </w:r>
      <w:r>
        <w:rPr>
          <w:color w:val="231F20"/>
          <w:w w:val="105"/>
          <w:sz w:val="19"/>
        </w:rPr>
        <w:t>arrested,</w:t>
      </w:r>
      <w:r>
        <w:rPr>
          <w:color w:val="231F20"/>
          <w:spacing w:val="-14"/>
          <w:w w:val="105"/>
          <w:sz w:val="19"/>
        </w:rPr>
        <w:t xml:space="preserve"> </w:t>
      </w:r>
      <w:r>
        <w:rPr>
          <w:color w:val="231F20"/>
          <w:w w:val="105"/>
          <w:sz w:val="19"/>
        </w:rPr>
        <w:t>released</w:t>
      </w:r>
      <w:r>
        <w:rPr>
          <w:color w:val="231F20"/>
          <w:spacing w:val="-10"/>
          <w:w w:val="105"/>
          <w:sz w:val="19"/>
        </w:rPr>
        <w:t xml:space="preserve"> </w:t>
      </w:r>
      <w:r>
        <w:rPr>
          <w:color w:val="231F20"/>
          <w:w w:val="105"/>
          <w:sz w:val="19"/>
        </w:rPr>
        <w:t>the</w:t>
      </w:r>
      <w:r>
        <w:rPr>
          <w:color w:val="231F20"/>
          <w:spacing w:val="-10"/>
          <w:w w:val="105"/>
          <w:sz w:val="19"/>
        </w:rPr>
        <w:t xml:space="preserve"> </w:t>
      </w:r>
      <w:r>
        <w:rPr>
          <w:color w:val="231F20"/>
          <w:w w:val="105"/>
          <w:sz w:val="19"/>
        </w:rPr>
        <w:t>same</w:t>
      </w:r>
      <w:r>
        <w:rPr>
          <w:color w:val="231F20"/>
          <w:spacing w:val="-10"/>
          <w:w w:val="105"/>
          <w:sz w:val="19"/>
        </w:rPr>
        <w:t xml:space="preserve"> </w:t>
      </w:r>
      <w:r>
        <w:rPr>
          <w:color w:val="231F20"/>
          <w:w w:val="105"/>
          <w:sz w:val="19"/>
        </w:rPr>
        <w:t>year</w:t>
      </w:r>
      <w:r>
        <w:rPr>
          <w:color w:val="231F20"/>
          <w:spacing w:val="-10"/>
          <w:w w:val="105"/>
          <w:sz w:val="19"/>
        </w:rPr>
        <w:t xml:space="preserve"> </w:t>
      </w:r>
      <w:r>
        <w:rPr>
          <w:color w:val="231F20"/>
          <w:w w:val="105"/>
          <w:sz w:val="19"/>
        </w:rPr>
        <w:t>and</w:t>
      </w:r>
      <w:r>
        <w:rPr>
          <w:color w:val="231F20"/>
          <w:spacing w:val="-10"/>
          <w:w w:val="105"/>
          <w:sz w:val="19"/>
        </w:rPr>
        <w:t xml:space="preserve"> </w:t>
      </w:r>
      <w:r>
        <w:rPr>
          <w:color w:val="231F20"/>
          <w:w w:val="105"/>
          <w:sz w:val="19"/>
        </w:rPr>
        <w:t>went</w:t>
      </w:r>
      <w:r>
        <w:rPr>
          <w:color w:val="231F20"/>
          <w:spacing w:val="-10"/>
          <w:w w:val="105"/>
          <w:sz w:val="19"/>
        </w:rPr>
        <w:t xml:space="preserve"> </w:t>
      </w:r>
      <w:r>
        <w:rPr>
          <w:color w:val="231F20"/>
          <w:w w:val="105"/>
          <w:sz w:val="19"/>
        </w:rPr>
        <w:t>back</w:t>
      </w:r>
      <w:r>
        <w:rPr>
          <w:color w:val="231F20"/>
          <w:spacing w:val="-10"/>
          <w:w w:val="105"/>
          <w:sz w:val="19"/>
        </w:rPr>
        <w:t xml:space="preserve"> </w:t>
      </w:r>
      <w:r>
        <w:rPr>
          <w:color w:val="231F20"/>
          <w:w w:val="105"/>
          <w:sz w:val="19"/>
        </w:rPr>
        <w:t>underground; 1974,</w:t>
      </w:r>
      <w:r>
        <w:rPr>
          <w:color w:val="231F20"/>
          <w:spacing w:val="1"/>
          <w:w w:val="105"/>
          <w:sz w:val="19"/>
        </w:rPr>
        <w:t xml:space="preserve"> </w:t>
      </w:r>
      <w:r>
        <w:rPr>
          <w:color w:val="231F20"/>
          <w:w w:val="105"/>
          <w:sz w:val="19"/>
        </w:rPr>
        <w:t>arrested.</w:t>
      </w:r>
    </w:p>
    <w:p w14:paraId="7A4DC4D9" w14:textId="77777777" w:rsidR="002653E8" w:rsidRDefault="003115E3">
      <w:pPr>
        <w:spacing w:before="127" w:line="276" w:lineRule="auto"/>
        <w:ind w:left="1147" w:right="1617"/>
        <w:jc w:val="both"/>
        <w:rPr>
          <w:sz w:val="19"/>
        </w:rPr>
      </w:pPr>
      <w:r>
        <w:rPr>
          <w:i/>
          <w:color w:val="231F20"/>
          <w:w w:val="105"/>
          <w:sz w:val="19"/>
        </w:rPr>
        <w:t xml:space="preserve">Sternebeck, Sigrid: </w:t>
      </w:r>
      <w:r>
        <w:rPr>
          <w:color w:val="231F20"/>
          <w:w w:val="105"/>
          <w:sz w:val="19"/>
        </w:rPr>
        <w:t xml:space="preserve">b. 1949; 1977, joined the </w:t>
      </w:r>
      <w:r w:rsidR="00C507A5">
        <w:rPr>
          <w:color w:val="231F20"/>
          <w:w w:val="105"/>
          <w:sz w:val="19"/>
        </w:rPr>
        <w:t>red army faction</w:t>
      </w:r>
      <w:r>
        <w:rPr>
          <w:color w:val="231F20"/>
          <w:w w:val="105"/>
          <w:sz w:val="19"/>
        </w:rPr>
        <w:t xml:space="preserve">; 1980, left the </w:t>
      </w:r>
      <w:r w:rsidR="00C507A5">
        <w:rPr>
          <w:color w:val="231F20"/>
          <w:w w:val="105"/>
          <w:sz w:val="19"/>
        </w:rPr>
        <w:t>red army faction</w:t>
      </w:r>
      <w:r>
        <w:rPr>
          <w:color w:val="231F20"/>
          <w:w w:val="105"/>
          <w:sz w:val="19"/>
        </w:rPr>
        <w:t xml:space="preserve"> and received asylum in the GDR; 1990, arrested and cooperated with police and prosecutors.</w:t>
      </w:r>
    </w:p>
    <w:p w14:paraId="1485A2B5" w14:textId="77777777" w:rsidR="002653E8" w:rsidRDefault="003115E3">
      <w:pPr>
        <w:spacing w:before="128" w:line="276" w:lineRule="auto"/>
        <w:ind w:left="1147" w:right="1580"/>
        <w:rPr>
          <w:sz w:val="19"/>
        </w:rPr>
      </w:pPr>
      <w:r>
        <w:rPr>
          <w:i/>
          <w:color w:val="231F20"/>
          <w:w w:val="105"/>
          <w:sz w:val="19"/>
        </w:rPr>
        <w:t xml:space="preserve">Stoll, Willi-Peter: </w:t>
      </w:r>
      <w:r>
        <w:rPr>
          <w:color w:val="231F20"/>
          <w:w w:val="105"/>
          <w:sz w:val="19"/>
        </w:rPr>
        <w:t xml:space="preserve">1950-1978; member of the </w:t>
      </w:r>
      <w:r w:rsidR="00C507A5">
        <w:rPr>
          <w:color w:val="231F20"/>
          <w:w w:val="105"/>
          <w:sz w:val="19"/>
        </w:rPr>
        <w:t>red army faction</w:t>
      </w:r>
      <w:r>
        <w:rPr>
          <w:color w:val="231F20"/>
          <w:w w:val="105"/>
          <w:sz w:val="19"/>
        </w:rPr>
        <w:t>; 1978, shot dead by police.</w:t>
      </w:r>
    </w:p>
    <w:p w14:paraId="65BFC68E" w14:textId="77777777" w:rsidR="002653E8" w:rsidRDefault="003115E3">
      <w:pPr>
        <w:spacing w:before="128" w:line="276" w:lineRule="auto"/>
        <w:ind w:left="1147" w:right="1580" w:hanging="1"/>
        <w:rPr>
          <w:sz w:val="19"/>
        </w:rPr>
      </w:pPr>
      <w:r>
        <w:rPr>
          <w:i/>
          <w:color w:val="231F20"/>
          <w:w w:val="105"/>
          <w:sz w:val="19"/>
        </w:rPr>
        <w:t xml:space="preserve">Strauß, Franz Josef: </w:t>
      </w:r>
      <w:r>
        <w:rPr>
          <w:color w:val="231F20"/>
          <w:w w:val="105"/>
          <w:sz w:val="19"/>
        </w:rPr>
        <w:t>1915-1988; CSU politician; 1953-1955, Federal Minister for Special Affairs; 1955-1956, Federal Minister for Atomic Issues; 1956-1962, Federal Minister of Defense; 1966-1969, Federal Minister of Finance; 1978-1988, President of Bavaria.</w:t>
      </w:r>
    </w:p>
    <w:p w14:paraId="09311666" w14:textId="77777777" w:rsidR="002653E8" w:rsidRDefault="003115E3">
      <w:pPr>
        <w:spacing w:before="127" w:line="276" w:lineRule="auto"/>
        <w:ind w:left="1147" w:right="1390"/>
        <w:rPr>
          <w:sz w:val="19"/>
        </w:rPr>
      </w:pPr>
      <w:r>
        <w:rPr>
          <w:i/>
          <w:color w:val="231F20"/>
          <w:w w:val="110"/>
          <w:sz w:val="19"/>
        </w:rPr>
        <w:t>Ströbele,</w:t>
      </w:r>
      <w:r>
        <w:rPr>
          <w:i/>
          <w:color w:val="231F20"/>
          <w:spacing w:val="-16"/>
          <w:w w:val="110"/>
          <w:sz w:val="19"/>
        </w:rPr>
        <w:t xml:space="preserve"> </w:t>
      </w:r>
      <w:r>
        <w:rPr>
          <w:i/>
          <w:color w:val="231F20"/>
          <w:w w:val="110"/>
          <w:sz w:val="19"/>
        </w:rPr>
        <w:t>Hans-Christian:</w:t>
      </w:r>
      <w:r>
        <w:rPr>
          <w:i/>
          <w:color w:val="231F20"/>
          <w:spacing w:val="-12"/>
          <w:w w:val="110"/>
          <w:sz w:val="19"/>
        </w:rPr>
        <w:t xml:space="preserve"> </w:t>
      </w:r>
      <w:r>
        <w:rPr>
          <w:color w:val="231F20"/>
          <w:w w:val="110"/>
          <w:sz w:val="19"/>
        </w:rPr>
        <w:t>b.</w:t>
      </w:r>
      <w:r>
        <w:rPr>
          <w:color w:val="231F20"/>
          <w:spacing w:val="-16"/>
          <w:w w:val="110"/>
          <w:sz w:val="19"/>
        </w:rPr>
        <w:t xml:space="preserve"> </w:t>
      </w:r>
      <w:r>
        <w:rPr>
          <w:color w:val="231F20"/>
          <w:w w:val="110"/>
          <w:sz w:val="19"/>
        </w:rPr>
        <w:t>1939;</w:t>
      </w:r>
      <w:r>
        <w:rPr>
          <w:color w:val="231F20"/>
          <w:spacing w:val="-12"/>
          <w:w w:val="110"/>
          <w:sz w:val="19"/>
        </w:rPr>
        <w:t xml:space="preserve"> </w:t>
      </w:r>
      <w:r>
        <w:rPr>
          <w:color w:val="231F20"/>
          <w:w w:val="110"/>
          <w:sz w:val="19"/>
        </w:rPr>
        <w:t>lawyer</w:t>
      </w:r>
      <w:r>
        <w:rPr>
          <w:color w:val="231F20"/>
          <w:spacing w:val="-12"/>
          <w:w w:val="110"/>
          <w:sz w:val="19"/>
        </w:rPr>
        <w:t xml:space="preserve"> </w:t>
      </w:r>
      <w:r>
        <w:rPr>
          <w:color w:val="231F20"/>
          <w:w w:val="110"/>
          <w:sz w:val="19"/>
        </w:rPr>
        <w:t>for</w:t>
      </w:r>
      <w:r>
        <w:rPr>
          <w:color w:val="231F20"/>
          <w:spacing w:val="-12"/>
          <w:w w:val="110"/>
          <w:sz w:val="19"/>
        </w:rPr>
        <w:t xml:space="preserve"> </w:t>
      </w:r>
      <w:r w:rsidR="00C507A5">
        <w:rPr>
          <w:color w:val="231F20"/>
          <w:w w:val="110"/>
          <w:sz w:val="19"/>
        </w:rPr>
        <w:t>red army faction</w:t>
      </w:r>
      <w:r>
        <w:rPr>
          <w:color w:val="231F20"/>
          <w:spacing w:val="-12"/>
          <w:w w:val="110"/>
          <w:sz w:val="19"/>
        </w:rPr>
        <w:t xml:space="preserve"> </w:t>
      </w:r>
      <w:r>
        <w:rPr>
          <w:color w:val="231F20"/>
          <w:w w:val="110"/>
          <w:sz w:val="19"/>
        </w:rPr>
        <w:t>prisoners;</w:t>
      </w:r>
      <w:r>
        <w:rPr>
          <w:color w:val="231F20"/>
          <w:spacing w:val="-12"/>
          <w:w w:val="110"/>
          <w:sz w:val="19"/>
        </w:rPr>
        <w:t xml:space="preserve"> </w:t>
      </w:r>
      <w:r>
        <w:rPr>
          <w:color w:val="231F20"/>
          <w:w w:val="110"/>
          <w:sz w:val="19"/>
        </w:rPr>
        <w:t>1969,</w:t>
      </w:r>
      <w:r>
        <w:rPr>
          <w:color w:val="231F20"/>
          <w:spacing w:val="-16"/>
          <w:w w:val="110"/>
          <w:sz w:val="19"/>
        </w:rPr>
        <w:t xml:space="preserve"> </w:t>
      </w:r>
      <w:r>
        <w:rPr>
          <w:color w:val="231F20"/>
          <w:w w:val="110"/>
          <w:sz w:val="19"/>
        </w:rPr>
        <w:t>cofounder</w:t>
      </w:r>
      <w:r>
        <w:rPr>
          <w:color w:val="231F20"/>
          <w:spacing w:val="-26"/>
          <w:w w:val="110"/>
          <w:sz w:val="19"/>
        </w:rPr>
        <w:t xml:space="preserve"> </w:t>
      </w:r>
      <w:r>
        <w:rPr>
          <w:color w:val="231F20"/>
          <w:w w:val="110"/>
          <w:sz w:val="19"/>
        </w:rPr>
        <w:t>of</w:t>
      </w:r>
      <w:r>
        <w:rPr>
          <w:color w:val="231F20"/>
          <w:spacing w:val="-26"/>
          <w:w w:val="110"/>
          <w:sz w:val="19"/>
        </w:rPr>
        <w:t xml:space="preserve"> </w:t>
      </w:r>
      <w:r>
        <w:rPr>
          <w:color w:val="231F20"/>
          <w:w w:val="110"/>
          <w:sz w:val="19"/>
        </w:rPr>
        <w:t>the</w:t>
      </w:r>
      <w:r>
        <w:rPr>
          <w:color w:val="231F20"/>
          <w:spacing w:val="-26"/>
          <w:w w:val="110"/>
          <w:sz w:val="19"/>
        </w:rPr>
        <w:t xml:space="preserve"> </w:t>
      </w:r>
      <w:r>
        <w:rPr>
          <w:color w:val="231F20"/>
          <w:w w:val="110"/>
          <w:sz w:val="19"/>
        </w:rPr>
        <w:t>Socialist</w:t>
      </w:r>
      <w:r>
        <w:rPr>
          <w:color w:val="231F20"/>
          <w:spacing w:val="-26"/>
          <w:w w:val="110"/>
          <w:sz w:val="19"/>
        </w:rPr>
        <w:t xml:space="preserve"> </w:t>
      </w:r>
      <w:r>
        <w:rPr>
          <w:color w:val="231F20"/>
          <w:w w:val="110"/>
          <w:sz w:val="19"/>
        </w:rPr>
        <w:t>Lawyers</w:t>
      </w:r>
      <w:r>
        <w:rPr>
          <w:color w:val="231F20"/>
          <w:spacing w:val="-26"/>
          <w:w w:val="110"/>
          <w:sz w:val="19"/>
        </w:rPr>
        <w:t xml:space="preserve"> </w:t>
      </w:r>
      <w:r>
        <w:rPr>
          <w:color w:val="231F20"/>
          <w:w w:val="110"/>
          <w:sz w:val="19"/>
        </w:rPr>
        <w:t>Collective;</w:t>
      </w:r>
      <w:r>
        <w:rPr>
          <w:color w:val="231F20"/>
          <w:spacing w:val="-26"/>
          <w:w w:val="110"/>
          <w:sz w:val="19"/>
        </w:rPr>
        <w:t xml:space="preserve"> </w:t>
      </w:r>
      <w:r>
        <w:rPr>
          <w:color w:val="231F20"/>
          <w:w w:val="110"/>
          <w:sz w:val="19"/>
        </w:rPr>
        <w:t>1979,</w:t>
      </w:r>
      <w:r>
        <w:rPr>
          <w:color w:val="231F20"/>
          <w:spacing w:val="-28"/>
          <w:w w:val="110"/>
          <w:sz w:val="19"/>
        </w:rPr>
        <w:t xml:space="preserve"> </w:t>
      </w:r>
      <w:r>
        <w:rPr>
          <w:color w:val="231F20"/>
          <w:w w:val="110"/>
          <w:sz w:val="19"/>
        </w:rPr>
        <w:t>co-founder</w:t>
      </w:r>
      <w:r>
        <w:rPr>
          <w:color w:val="231F20"/>
          <w:spacing w:val="-26"/>
          <w:w w:val="110"/>
          <w:sz w:val="19"/>
        </w:rPr>
        <w:t xml:space="preserve"> </w:t>
      </w:r>
      <w:r>
        <w:rPr>
          <w:color w:val="231F20"/>
          <w:w w:val="110"/>
          <w:sz w:val="19"/>
        </w:rPr>
        <w:t>of</w:t>
      </w:r>
      <w:r>
        <w:rPr>
          <w:color w:val="231F20"/>
          <w:spacing w:val="-26"/>
          <w:w w:val="110"/>
          <w:sz w:val="19"/>
        </w:rPr>
        <w:t xml:space="preserve"> </w:t>
      </w:r>
      <w:r>
        <w:rPr>
          <w:color w:val="231F20"/>
          <w:w w:val="110"/>
          <w:sz w:val="19"/>
        </w:rPr>
        <w:t>the</w:t>
      </w:r>
      <w:r>
        <w:rPr>
          <w:color w:val="231F20"/>
          <w:spacing w:val="-26"/>
          <w:w w:val="110"/>
          <w:sz w:val="19"/>
        </w:rPr>
        <w:t xml:space="preserve"> </w:t>
      </w:r>
      <w:r>
        <w:rPr>
          <w:i/>
          <w:color w:val="231F20"/>
          <w:w w:val="110"/>
          <w:sz w:val="19"/>
        </w:rPr>
        <w:t>taz</w:t>
      </w:r>
      <w:r>
        <w:rPr>
          <w:color w:val="231F20"/>
          <w:w w:val="110"/>
          <w:sz w:val="19"/>
        </w:rPr>
        <w:t>; 1978,</w:t>
      </w:r>
      <w:r>
        <w:rPr>
          <w:color w:val="231F20"/>
          <w:spacing w:val="-24"/>
          <w:w w:val="110"/>
          <w:sz w:val="19"/>
        </w:rPr>
        <w:t xml:space="preserve"> </w:t>
      </w:r>
      <w:r>
        <w:rPr>
          <w:color w:val="231F20"/>
          <w:w w:val="110"/>
          <w:sz w:val="19"/>
        </w:rPr>
        <w:t>founding</w:t>
      </w:r>
      <w:r>
        <w:rPr>
          <w:color w:val="231F20"/>
          <w:spacing w:val="-21"/>
          <w:w w:val="110"/>
          <w:sz w:val="19"/>
        </w:rPr>
        <w:t xml:space="preserve"> </w:t>
      </w:r>
      <w:r>
        <w:rPr>
          <w:color w:val="231F20"/>
          <w:w w:val="110"/>
          <w:sz w:val="19"/>
        </w:rPr>
        <w:t>member</w:t>
      </w:r>
      <w:r>
        <w:rPr>
          <w:color w:val="231F20"/>
          <w:spacing w:val="-21"/>
          <w:w w:val="110"/>
          <w:sz w:val="19"/>
        </w:rPr>
        <w:t xml:space="preserve"> </w:t>
      </w:r>
      <w:r>
        <w:rPr>
          <w:color w:val="231F20"/>
          <w:w w:val="110"/>
          <w:sz w:val="19"/>
        </w:rPr>
        <w:t>of</w:t>
      </w:r>
      <w:r>
        <w:rPr>
          <w:color w:val="231F20"/>
          <w:spacing w:val="-21"/>
          <w:w w:val="110"/>
          <w:sz w:val="19"/>
        </w:rPr>
        <w:t xml:space="preserve"> </w:t>
      </w:r>
      <w:r>
        <w:rPr>
          <w:color w:val="231F20"/>
          <w:w w:val="110"/>
          <w:sz w:val="19"/>
        </w:rPr>
        <w:t>the</w:t>
      </w:r>
      <w:r>
        <w:rPr>
          <w:color w:val="231F20"/>
          <w:spacing w:val="-24"/>
          <w:w w:val="110"/>
          <w:sz w:val="19"/>
        </w:rPr>
        <w:t xml:space="preserve"> </w:t>
      </w:r>
      <w:r>
        <w:rPr>
          <w:color w:val="231F20"/>
          <w:w w:val="110"/>
          <w:sz w:val="19"/>
        </w:rPr>
        <w:t>Alternative</w:t>
      </w:r>
      <w:r>
        <w:rPr>
          <w:color w:val="231F20"/>
          <w:spacing w:val="-21"/>
          <w:w w:val="110"/>
          <w:sz w:val="19"/>
        </w:rPr>
        <w:t xml:space="preserve"> </w:t>
      </w:r>
      <w:r>
        <w:rPr>
          <w:color w:val="231F20"/>
          <w:w w:val="110"/>
          <w:sz w:val="19"/>
        </w:rPr>
        <w:t>List;</w:t>
      </w:r>
      <w:r>
        <w:rPr>
          <w:color w:val="231F20"/>
          <w:spacing w:val="-21"/>
          <w:w w:val="110"/>
          <w:sz w:val="19"/>
        </w:rPr>
        <w:t xml:space="preserve"> </w:t>
      </w:r>
      <w:r>
        <w:rPr>
          <w:color w:val="231F20"/>
          <w:w w:val="110"/>
          <w:sz w:val="19"/>
        </w:rPr>
        <w:t>1985,</w:t>
      </w:r>
      <w:r>
        <w:rPr>
          <w:color w:val="231F20"/>
          <w:spacing w:val="-24"/>
          <w:w w:val="110"/>
          <w:sz w:val="19"/>
        </w:rPr>
        <w:t xml:space="preserve"> </w:t>
      </w:r>
      <w:r>
        <w:rPr>
          <w:color w:val="231F20"/>
          <w:w w:val="110"/>
          <w:sz w:val="19"/>
        </w:rPr>
        <w:t>joined</w:t>
      </w:r>
      <w:r>
        <w:rPr>
          <w:color w:val="231F20"/>
          <w:spacing w:val="-21"/>
          <w:w w:val="110"/>
          <w:sz w:val="19"/>
        </w:rPr>
        <w:t xml:space="preserve"> </w:t>
      </w:r>
      <w:r>
        <w:rPr>
          <w:color w:val="231F20"/>
          <w:w w:val="110"/>
          <w:sz w:val="19"/>
        </w:rPr>
        <w:t>the</w:t>
      </w:r>
      <w:r>
        <w:rPr>
          <w:color w:val="231F20"/>
          <w:spacing w:val="-21"/>
          <w:w w:val="110"/>
          <w:sz w:val="19"/>
        </w:rPr>
        <w:t xml:space="preserve"> </w:t>
      </w:r>
      <w:r>
        <w:rPr>
          <w:color w:val="231F20"/>
          <w:w w:val="110"/>
          <w:sz w:val="19"/>
        </w:rPr>
        <w:t xml:space="preserve">Green </w:t>
      </w:r>
      <w:r>
        <w:rPr>
          <w:color w:val="231F20"/>
          <w:spacing w:val="-4"/>
          <w:w w:val="110"/>
          <w:sz w:val="19"/>
        </w:rPr>
        <w:t>Party.</w:t>
      </w:r>
    </w:p>
    <w:p w14:paraId="3B34EE3E" w14:textId="77777777" w:rsidR="002653E8" w:rsidRDefault="003115E3">
      <w:pPr>
        <w:spacing w:before="127" w:line="276" w:lineRule="auto"/>
        <w:ind w:left="1147" w:right="1856"/>
        <w:rPr>
          <w:sz w:val="19"/>
        </w:rPr>
      </w:pPr>
      <w:r>
        <w:rPr>
          <w:i/>
          <w:color w:val="231F20"/>
          <w:w w:val="105"/>
          <w:sz w:val="19"/>
        </w:rPr>
        <w:t xml:space="preserve">Sturm, Beate: </w:t>
      </w:r>
      <w:r>
        <w:rPr>
          <w:color w:val="231F20"/>
          <w:w w:val="105"/>
          <w:sz w:val="19"/>
        </w:rPr>
        <w:t xml:space="preserve">b. 1950; 1970, joined the </w:t>
      </w:r>
      <w:r w:rsidR="00C507A5">
        <w:rPr>
          <w:color w:val="231F20"/>
          <w:w w:val="105"/>
          <w:sz w:val="19"/>
        </w:rPr>
        <w:t>red army faction</w:t>
      </w:r>
      <w:r>
        <w:rPr>
          <w:color w:val="231F20"/>
          <w:w w:val="105"/>
          <w:sz w:val="19"/>
        </w:rPr>
        <w:t xml:space="preserve">; 1971, left the </w:t>
      </w:r>
      <w:r w:rsidR="00C507A5">
        <w:rPr>
          <w:color w:val="231F20"/>
          <w:w w:val="105"/>
          <w:sz w:val="19"/>
        </w:rPr>
        <w:t>red army faction</w:t>
      </w:r>
      <w:r>
        <w:rPr>
          <w:color w:val="231F20"/>
          <w:w w:val="105"/>
          <w:sz w:val="19"/>
        </w:rPr>
        <w:t>, subsequently gave a number of interviews about the organization.</w:t>
      </w:r>
    </w:p>
    <w:p w14:paraId="78A49A49" w14:textId="77777777" w:rsidR="002653E8" w:rsidRDefault="003115E3">
      <w:pPr>
        <w:spacing w:before="128" w:line="276" w:lineRule="auto"/>
        <w:ind w:left="1147" w:right="1580"/>
        <w:rPr>
          <w:sz w:val="19"/>
        </w:rPr>
      </w:pPr>
      <w:r>
        <w:rPr>
          <w:i/>
          <w:color w:val="231F20"/>
          <w:spacing w:val="-6"/>
          <w:w w:val="105"/>
          <w:sz w:val="19"/>
        </w:rPr>
        <w:t xml:space="preserve">Taufer, </w:t>
      </w:r>
      <w:r>
        <w:rPr>
          <w:i/>
          <w:color w:val="231F20"/>
          <w:w w:val="105"/>
          <w:sz w:val="19"/>
        </w:rPr>
        <w:t xml:space="preserve">Lutz: </w:t>
      </w:r>
      <w:r>
        <w:rPr>
          <w:color w:val="231F20"/>
          <w:w w:val="105"/>
          <w:sz w:val="19"/>
        </w:rPr>
        <w:t xml:space="preserve">b. 1944; member of the SPK; 1971, joined the </w:t>
      </w:r>
      <w:r w:rsidR="00C507A5">
        <w:rPr>
          <w:color w:val="231F20"/>
          <w:w w:val="105"/>
          <w:sz w:val="19"/>
        </w:rPr>
        <w:t>red army faction</w:t>
      </w:r>
      <w:r>
        <w:rPr>
          <w:color w:val="231F20"/>
          <w:w w:val="105"/>
          <w:sz w:val="19"/>
        </w:rPr>
        <w:t>; part of the Holger Meins Commando that carried out the failed Stockholm embassy hostage taking in 1975; received two life sentences in 1977; 1996, released from prison; 1999, moved to Brazil.</w:t>
      </w:r>
    </w:p>
    <w:p w14:paraId="5DBFD396" w14:textId="77777777" w:rsidR="002653E8" w:rsidRDefault="003115E3">
      <w:pPr>
        <w:spacing w:before="127" w:line="276" w:lineRule="auto"/>
        <w:ind w:left="1147" w:right="1580"/>
        <w:rPr>
          <w:sz w:val="19"/>
        </w:rPr>
      </w:pPr>
      <w:r>
        <w:rPr>
          <w:i/>
          <w:color w:val="231F20"/>
          <w:w w:val="105"/>
          <w:sz w:val="19"/>
        </w:rPr>
        <w:t xml:space="preserve">Teufel, Fritz: </w:t>
      </w:r>
      <w:r>
        <w:rPr>
          <w:color w:val="231F20"/>
          <w:w w:val="105"/>
          <w:sz w:val="19"/>
        </w:rPr>
        <w:t>b. 1943; founding member of Kommune 1; founding member of the 2JM, 1975, arrested, sentenced to five years in prison.</w:t>
      </w:r>
    </w:p>
    <w:p w14:paraId="2324FF14" w14:textId="77777777" w:rsidR="002653E8" w:rsidRDefault="003115E3">
      <w:pPr>
        <w:spacing w:before="128" w:line="276" w:lineRule="auto"/>
        <w:ind w:left="1147" w:right="1580"/>
        <w:rPr>
          <w:sz w:val="19"/>
        </w:rPr>
      </w:pPr>
      <w:r>
        <w:rPr>
          <w:i/>
          <w:color w:val="231F20"/>
          <w:w w:val="105"/>
          <w:sz w:val="19"/>
        </w:rPr>
        <w:t xml:space="preserve">Thimme, Johannes: </w:t>
      </w:r>
      <w:r>
        <w:rPr>
          <w:color w:val="231F20"/>
          <w:w w:val="105"/>
          <w:sz w:val="19"/>
        </w:rPr>
        <w:t xml:space="preserve">1956-1985; 1976, affiliated himself with the </w:t>
      </w:r>
      <w:r w:rsidR="00C507A5">
        <w:rPr>
          <w:color w:val="231F20"/>
          <w:w w:val="105"/>
          <w:sz w:val="19"/>
        </w:rPr>
        <w:t>red army faction</w:t>
      </w:r>
      <w:r>
        <w:rPr>
          <w:color w:val="231F20"/>
          <w:w w:val="105"/>
          <w:sz w:val="19"/>
        </w:rPr>
        <w:t xml:space="preserve"> support scene, served several prison sentences; 1985, killed when a bomb he was helping to plant exploded prematurely.</w:t>
      </w:r>
    </w:p>
    <w:p w14:paraId="5D5A7715" w14:textId="77777777" w:rsidR="002653E8" w:rsidRDefault="002653E8">
      <w:pPr>
        <w:spacing w:line="276" w:lineRule="auto"/>
        <w:rPr>
          <w:sz w:val="19"/>
        </w:rPr>
        <w:sectPr w:rsidR="002653E8">
          <w:pgSz w:w="8640" w:h="12960"/>
          <w:pgMar w:top="1080" w:right="0" w:bottom="1040" w:left="0" w:header="0" w:footer="850" w:gutter="0"/>
          <w:cols w:space="720"/>
        </w:sectPr>
      </w:pPr>
    </w:p>
    <w:p w14:paraId="72975224" w14:textId="77777777" w:rsidR="002653E8" w:rsidRDefault="003115E3">
      <w:pPr>
        <w:spacing w:before="75" w:line="276" w:lineRule="auto"/>
        <w:ind w:left="1327" w:right="1410"/>
        <w:rPr>
          <w:sz w:val="19"/>
        </w:rPr>
      </w:pPr>
      <w:r>
        <w:rPr>
          <w:i/>
          <w:color w:val="231F20"/>
          <w:spacing w:val="-4"/>
          <w:w w:val="110"/>
          <w:sz w:val="19"/>
        </w:rPr>
        <w:lastRenderedPageBreak/>
        <w:t>Ulmer,</w:t>
      </w:r>
      <w:r>
        <w:rPr>
          <w:i/>
          <w:color w:val="231F20"/>
          <w:spacing w:val="-30"/>
          <w:w w:val="110"/>
          <w:sz w:val="19"/>
        </w:rPr>
        <w:t xml:space="preserve"> </w:t>
      </w:r>
      <w:r>
        <w:rPr>
          <w:i/>
          <w:color w:val="231F20"/>
          <w:w w:val="110"/>
          <w:sz w:val="19"/>
        </w:rPr>
        <w:t>Helmut:</w:t>
      </w:r>
      <w:r>
        <w:rPr>
          <w:i/>
          <w:color w:val="231F20"/>
          <w:spacing w:val="-27"/>
          <w:w w:val="110"/>
          <w:sz w:val="19"/>
        </w:rPr>
        <w:t xml:space="preserve"> </w:t>
      </w:r>
      <w:r>
        <w:rPr>
          <w:color w:val="231F20"/>
          <w:w w:val="110"/>
          <w:sz w:val="19"/>
        </w:rPr>
        <w:t>1953-1977;</w:t>
      </w:r>
      <w:r>
        <w:rPr>
          <w:color w:val="231F20"/>
          <w:spacing w:val="-27"/>
          <w:w w:val="110"/>
          <w:sz w:val="19"/>
        </w:rPr>
        <w:t xml:space="preserve"> </w:t>
      </w:r>
      <w:r>
        <w:rPr>
          <w:color w:val="231F20"/>
          <w:w w:val="110"/>
          <w:sz w:val="19"/>
        </w:rPr>
        <w:t>Schleyer’s</w:t>
      </w:r>
      <w:r>
        <w:rPr>
          <w:color w:val="231F20"/>
          <w:spacing w:val="-27"/>
          <w:w w:val="110"/>
          <w:sz w:val="19"/>
        </w:rPr>
        <w:t xml:space="preserve"> </w:t>
      </w:r>
      <w:r>
        <w:rPr>
          <w:color w:val="231F20"/>
          <w:w w:val="110"/>
          <w:sz w:val="19"/>
        </w:rPr>
        <w:t>bodyguard;</w:t>
      </w:r>
      <w:r>
        <w:rPr>
          <w:color w:val="231F20"/>
          <w:spacing w:val="-27"/>
          <w:w w:val="110"/>
          <w:sz w:val="19"/>
        </w:rPr>
        <w:t xml:space="preserve"> </w:t>
      </w:r>
      <w:r>
        <w:rPr>
          <w:color w:val="231F20"/>
          <w:w w:val="110"/>
          <w:sz w:val="19"/>
        </w:rPr>
        <w:t>1977,</w:t>
      </w:r>
      <w:r>
        <w:rPr>
          <w:color w:val="231F20"/>
          <w:spacing w:val="-30"/>
          <w:w w:val="110"/>
          <w:sz w:val="19"/>
        </w:rPr>
        <w:t xml:space="preserve"> </w:t>
      </w:r>
      <w:r>
        <w:rPr>
          <w:color w:val="231F20"/>
          <w:w w:val="110"/>
          <w:sz w:val="19"/>
        </w:rPr>
        <w:t>killed</w:t>
      </w:r>
      <w:r>
        <w:rPr>
          <w:color w:val="231F20"/>
          <w:spacing w:val="-27"/>
          <w:w w:val="110"/>
          <w:sz w:val="19"/>
        </w:rPr>
        <w:t xml:space="preserve"> </w:t>
      </w:r>
      <w:r>
        <w:rPr>
          <w:color w:val="231F20"/>
          <w:w w:val="110"/>
          <w:sz w:val="19"/>
        </w:rPr>
        <w:t>by</w:t>
      </w:r>
      <w:r>
        <w:rPr>
          <w:color w:val="231F20"/>
          <w:spacing w:val="-27"/>
          <w:w w:val="110"/>
          <w:sz w:val="19"/>
        </w:rPr>
        <w:t xml:space="preserve"> </w:t>
      </w:r>
      <w:r>
        <w:rPr>
          <w:color w:val="231F20"/>
          <w:w w:val="110"/>
          <w:sz w:val="19"/>
        </w:rPr>
        <w:t xml:space="preserve">the </w:t>
      </w:r>
      <w:r w:rsidR="00C507A5">
        <w:rPr>
          <w:color w:val="231F20"/>
          <w:spacing w:val="-7"/>
          <w:w w:val="110"/>
          <w:sz w:val="19"/>
        </w:rPr>
        <w:t>red army faction</w:t>
      </w:r>
      <w:r>
        <w:rPr>
          <w:color w:val="231F20"/>
          <w:spacing w:val="-7"/>
          <w:w w:val="110"/>
          <w:sz w:val="19"/>
        </w:rPr>
        <w:t>.</w:t>
      </w:r>
    </w:p>
    <w:p w14:paraId="32373666" w14:textId="77777777" w:rsidR="002653E8" w:rsidRDefault="003115E3">
      <w:pPr>
        <w:spacing w:before="128" w:line="276" w:lineRule="auto"/>
        <w:ind w:left="1327" w:right="1325"/>
        <w:rPr>
          <w:sz w:val="19"/>
        </w:rPr>
      </w:pPr>
      <w:r>
        <w:rPr>
          <w:i/>
          <w:color w:val="231F20"/>
          <w:w w:val="105"/>
          <w:sz w:val="19"/>
        </w:rPr>
        <w:t xml:space="preserve">Urbach, Peter: </w:t>
      </w:r>
      <w:r>
        <w:rPr>
          <w:color w:val="231F20"/>
          <w:w w:val="105"/>
          <w:sz w:val="19"/>
        </w:rPr>
        <w:t xml:space="preserve">b. 1941; police infiltrator working in the milieu of the SDS and the APO in the late sixties, particularly close to members of Kommune 1, the 2JM, and the </w:t>
      </w:r>
      <w:r w:rsidR="00C507A5">
        <w:rPr>
          <w:color w:val="231F20"/>
          <w:w w:val="105"/>
          <w:sz w:val="19"/>
        </w:rPr>
        <w:t>red army faction</w:t>
      </w:r>
      <w:r>
        <w:rPr>
          <w:color w:val="231F20"/>
          <w:w w:val="105"/>
          <w:sz w:val="19"/>
        </w:rPr>
        <w:t>; 1970, facilitated the arrest of Andreas Baader, after which he was provided with a new identity and relocated outside of West Germany.</w:t>
      </w:r>
    </w:p>
    <w:p w14:paraId="0B2EC2B2" w14:textId="77777777" w:rsidR="002653E8" w:rsidRDefault="003115E3">
      <w:pPr>
        <w:spacing w:before="127" w:line="276" w:lineRule="auto"/>
        <w:ind w:left="1327" w:right="1442"/>
        <w:rPr>
          <w:sz w:val="19"/>
        </w:rPr>
      </w:pPr>
      <w:r>
        <w:rPr>
          <w:i/>
          <w:color w:val="231F20"/>
          <w:w w:val="105"/>
          <w:sz w:val="19"/>
        </w:rPr>
        <w:t xml:space="preserve">Viett, Inge: </w:t>
      </w:r>
      <w:r>
        <w:rPr>
          <w:color w:val="231F20"/>
          <w:w w:val="105"/>
          <w:sz w:val="19"/>
        </w:rPr>
        <w:t xml:space="preserve">b. 1944; founding member of the 2JM; 1972, arrested; 1973, broke out of prison; 1975, arrested; 1976, broke out of prison; 1980, joined the </w:t>
      </w:r>
      <w:r w:rsidR="00C507A5">
        <w:rPr>
          <w:color w:val="231F20"/>
          <w:w w:val="105"/>
          <w:sz w:val="19"/>
        </w:rPr>
        <w:t>red army faction</w:t>
      </w:r>
      <w:r>
        <w:rPr>
          <w:color w:val="231F20"/>
          <w:w w:val="105"/>
          <w:sz w:val="19"/>
        </w:rPr>
        <w:t xml:space="preserve">; 1982, left the </w:t>
      </w:r>
      <w:r w:rsidR="00C507A5">
        <w:rPr>
          <w:color w:val="231F20"/>
          <w:w w:val="105"/>
          <w:sz w:val="19"/>
        </w:rPr>
        <w:t>red army faction</w:t>
      </w:r>
      <w:r>
        <w:rPr>
          <w:color w:val="231F20"/>
          <w:w w:val="105"/>
          <w:sz w:val="19"/>
        </w:rPr>
        <w:t xml:space="preserve"> and received asylum in the GDR; 1990, arrested, the only refugee in the GDR who would not provide evidence against other guerillas; 1997, released from prison.</w:t>
      </w:r>
    </w:p>
    <w:p w14:paraId="1BEFDFC3" w14:textId="77777777" w:rsidR="002653E8" w:rsidRDefault="003115E3">
      <w:pPr>
        <w:spacing w:before="127" w:line="276" w:lineRule="auto"/>
        <w:ind w:left="1327" w:right="1320" w:hanging="1"/>
        <w:rPr>
          <w:sz w:val="19"/>
        </w:rPr>
      </w:pPr>
      <w:r>
        <w:rPr>
          <w:i/>
          <w:color w:val="231F20"/>
          <w:w w:val="105"/>
          <w:sz w:val="19"/>
        </w:rPr>
        <w:t xml:space="preserve">Vogel, Andreas: </w:t>
      </w:r>
      <w:r>
        <w:rPr>
          <w:color w:val="231F20"/>
          <w:w w:val="105"/>
          <w:sz w:val="19"/>
        </w:rPr>
        <w:t>2JM member; 1976, arrested, sentenced to ten years in prison.</w:t>
      </w:r>
    </w:p>
    <w:p w14:paraId="5C67FF0D" w14:textId="77777777" w:rsidR="002653E8" w:rsidRDefault="003115E3">
      <w:pPr>
        <w:spacing w:before="128" w:line="276" w:lineRule="auto"/>
        <w:ind w:left="1327" w:right="1187"/>
        <w:rPr>
          <w:sz w:val="19"/>
        </w:rPr>
      </w:pPr>
      <w:r>
        <w:rPr>
          <w:i/>
          <w:color w:val="231F20"/>
          <w:w w:val="110"/>
          <w:sz w:val="19"/>
        </w:rPr>
        <w:t>Wackernagel,</w:t>
      </w:r>
      <w:r>
        <w:rPr>
          <w:i/>
          <w:color w:val="231F20"/>
          <w:spacing w:val="-24"/>
          <w:w w:val="110"/>
          <w:sz w:val="19"/>
        </w:rPr>
        <w:t xml:space="preserve"> </w:t>
      </w:r>
      <w:r>
        <w:rPr>
          <w:i/>
          <w:color w:val="231F20"/>
          <w:w w:val="110"/>
          <w:sz w:val="19"/>
        </w:rPr>
        <w:t>Christof:</w:t>
      </w:r>
      <w:r>
        <w:rPr>
          <w:i/>
          <w:color w:val="231F20"/>
          <w:spacing w:val="-20"/>
          <w:w w:val="110"/>
          <w:sz w:val="19"/>
        </w:rPr>
        <w:t xml:space="preserve"> </w:t>
      </w:r>
      <w:r>
        <w:rPr>
          <w:color w:val="231F20"/>
          <w:w w:val="110"/>
          <w:sz w:val="19"/>
        </w:rPr>
        <w:t>b.</w:t>
      </w:r>
      <w:r>
        <w:rPr>
          <w:color w:val="231F20"/>
          <w:spacing w:val="-24"/>
          <w:w w:val="110"/>
          <w:sz w:val="19"/>
        </w:rPr>
        <w:t xml:space="preserve"> </w:t>
      </w:r>
      <w:r>
        <w:rPr>
          <w:color w:val="231F20"/>
          <w:w w:val="110"/>
          <w:sz w:val="19"/>
        </w:rPr>
        <w:t>1951;</w:t>
      </w:r>
      <w:r>
        <w:rPr>
          <w:color w:val="231F20"/>
          <w:spacing w:val="-20"/>
          <w:w w:val="110"/>
          <w:sz w:val="19"/>
        </w:rPr>
        <w:t xml:space="preserve"> </w:t>
      </w:r>
      <w:r>
        <w:rPr>
          <w:color w:val="231F20"/>
          <w:w w:val="110"/>
          <w:sz w:val="19"/>
        </w:rPr>
        <w:t>1977,</w:t>
      </w:r>
      <w:r>
        <w:rPr>
          <w:color w:val="231F20"/>
          <w:spacing w:val="-24"/>
          <w:w w:val="110"/>
          <w:sz w:val="19"/>
        </w:rPr>
        <w:t xml:space="preserve"> </w:t>
      </w:r>
      <w:r>
        <w:rPr>
          <w:color w:val="231F20"/>
          <w:w w:val="110"/>
          <w:sz w:val="19"/>
        </w:rPr>
        <w:t>joined</w:t>
      </w:r>
      <w:r>
        <w:rPr>
          <w:color w:val="231F20"/>
          <w:spacing w:val="-20"/>
          <w:w w:val="110"/>
          <w:sz w:val="19"/>
        </w:rPr>
        <w:t xml:space="preserve"> </w:t>
      </w:r>
      <w:r>
        <w:rPr>
          <w:color w:val="231F20"/>
          <w:w w:val="110"/>
          <w:sz w:val="19"/>
        </w:rPr>
        <w:t>the</w:t>
      </w:r>
      <w:r>
        <w:rPr>
          <w:color w:val="231F20"/>
          <w:spacing w:val="-20"/>
          <w:w w:val="110"/>
          <w:sz w:val="19"/>
        </w:rPr>
        <w:t xml:space="preserve"> </w:t>
      </w:r>
      <w:r w:rsidR="00C507A5">
        <w:rPr>
          <w:color w:val="231F20"/>
          <w:spacing w:val="-7"/>
          <w:w w:val="110"/>
          <w:sz w:val="19"/>
        </w:rPr>
        <w:t>red army faction</w:t>
      </w:r>
      <w:r>
        <w:rPr>
          <w:color w:val="231F20"/>
          <w:spacing w:val="-7"/>
          <w:w w:val="110"/>
          <w:sz w:val="19"/>
        </w:rPr>
        <w:t>,</w:t>
      </w:r>
      <w:r>
        <w:rPr>
          <w:color w:val="231F20"/>
          <w:spacing w:val="-24"/>
          <w:w w:val="110"/>
          <w:sz w:val="19"/>
        </w:rPr>
        <w:t xml:space="preserve"> </w:t>
      </w:r>
      <w:r>
        <w:rPr>
          <w:color w:val="231F20"/>
          <w:w w:val="110"/>
          <w:sz w:val="19"/>
        </w:rPr>
        <w:t>arrested</w:t>
      </w:r>
      <w:r>
        <w:rPr>
          <w:color w:val="231F20"/>
          <w:spacing w:val="-20"/>
          <w:w w:val="110"/>
          <w:sz w:val="19"/>
        </w:rPr>
        <w:t xml:space="preserve"> </w:t>
      </w:r>
      <w:r>
        <w:rPr>
          <w:color w:val="231F20"/>
          <w:w w:val="110"/>
          <w:sz w:val="19"/>
        </w:rPr>
        <w:t>the</w:t>
      </w:r>
      <w:r>
        <w:rPr>
          <w:color w:val="231F20"/>
          <w:spacing w:val="-20"/>
          <w:w w:val="110"/>
          <w:sz w:val="19"/>
        </w:rPr>
        <w:t xml:space="preserve"> </w:t>
      </w:r>
      <w:r>
        <w:rPr>
          <w:color w:val="231F20"/>
          <w:w w:val="110"/>
          <w:sz w:val="19"/>
        </w:rPr>
        <w:t xml:space="preserve">same year; 1983, broke with the </w:t>
      </w:r>
      <w:r w:rsidR="00C507A5">
        <w:rPr>
          <w:color w:val="231F20"/>
          <w:w w:val="110"/>
          <w:sz w:val="19"/>
        </w:rPr>
        <w:t>red army faction</w:t>
      </w:r>
      <w:r>
        <w:rPr>
          <w:color w:val="231F20"/>
          <w:w w:val="110"/>
          <w:sz w:val="19"/>
        </w:rPr>
        <w:t>; 1987, released from</w:t>
      </w:r>
      <w:r>
        <w:rPr>
          <w:color w:val="231F20"/>
          <w:spacing w:val="-31"/>
          <w:w w:val="110"/>
          <w:sz w:val="19"/>
        </w:rPr>
        <w:t xml:space="preserve"> </w:t>
      </w:r>
      <w:r>
        <w:rPr>
          <w:color w:val="231F20"/>
          <w:w w:val="110"/>
          <w:sz w:val="19"/>
        </w:rPr>
        <w:t>prison.</w:t>
      </w:r>
    </w:p>
    <w:p w14:paraId="1CB06CF1" w14:textId="77777777" w:rsidR="002653E8" w:rsidRDefault="003115E3">
      <w:pPr>
        <w:spacing w:before="128" w:line="276" w:lineRule="auto"/>
        <w:ind w:left="1327" w:right="1259"/>
        <w:rPr>
          <w:sz w:val="19"/>
        </w:rPr>
      </w:pPr>
      <w:r>
        <w:rPr>
          <w:i/>
          <w:color w:val="231F20"/>
          <w:w w:val="105"/>
          <w:sz w:val="19"/>
        </w:rPr>
        <w:t xml:space="preserve">Wagenbach, Klaus: </w:t>
      </w:r>
      <w:r>
        <w:rPr>
          <w:color w:val="231F20"/>
          <w:w w:val="105"/>
          <w:sz w:val="19"/>
        </w:rPr>
        <w:t>b. 1930; founder of influential left press Wagenbach Publishers; 1976, read the eulogy at Ulrike Meinhof’s funeral.</w:t>
      </w:r>
    </w:p>
    <w:p w14:paraId="37501D83" w14:textId="77777777" w:rsidR="002653E8" w:rsidRDefault="003115E3">
      <w:pPr>
        <w:spacing w:before="127" w:line="276" w:lineRule="auto"/>
        <w:ind w:left="1327" w:right="1108"/>
        <w:rPr>
          <w:sz w:val="19"/>
        </w:rPr>
      </w:pPr>
      <w:r>
        <w:rPr>
          <w:i/>
          <w:color w:val="231F20"/>
          <w:w w:val="105"/>
          <w:sz w:val="19"/>
        </w:rPr>
        <w:t xml:space="preserve">Wagner, Rolf Clemens: </w:t>
      </w:r>
      <w:r>
        <w:rPr>
          <w:color w:val="231F20"/>
          <w:w w:val="105"/>
          <w:sz w:val="19"/>
        </w:rPr>
        <w:t xml:space="preserve">b. 1944; member of the </w:t>
      </w:r>
      <w:r w:rsidR="00C507A5">
        <w:rPr>
          <w:color w:val="231F20"/>
          <w:w w:val="105"/>
          <w:sz w:val="19"/>
        </w:rPr>
        <w:t>red army faction</w:t>
      </w:r>
      <w:r>
        <w:rPr>
          <w:color w:val="231F20"/>
          <w:w w:val="105"/>
          <w:sz w:val="19"/>
        </w:rPr>
        <w:t>; 1979, arrested in Zurich, Switzerland and extradited to Germany; 2003, pardoned on health grounds; 2007, subject to investigation after stating in a interview that the Schleyer kidnapping was a legitimate action.</w:t>
      </w:r>
    </w:p>
    <w:p w14:paraId="1788FAC4" w14:textId="77777777" w:rsidR="002653E8" w:rsidRDefault="003115E3">
      <w:pPr>
        <w:spacing w:before="128" w:line="276" w:lineRule="auto"/>
        <w:ind w:left="1327" w:right="1145" w:hanging="1"/>
        <w:rPr>
          <w:sz w:val="19"/>
        </w:rPr>
      </w:pPr>
      <w:r>
        <w:rPr>
          <w:i/>
          <w:color w:val="231F20"/>
          <w:w w:val="105"/>
          <w:sz w:val="19"/>
        </w:rPr>
        <w:t xml:space="preserve">Weinrich, Johannes: </w:t>
      </w:r>
      <w:r>
        <w:rPr>
          <w:color w:val="231F20"/>
          <w:w w:val="105"/>
          <w:sz w:val="19"/>
        </w:rPr>
        <w:t>b. 1947; founding member of the RZ; by the late seventies part of the Carlos group; 1995, arrested in Aden, yemen and extradited to Germany, sentenced to life in prison.</w:t>
      </w:r>
    </w:p>
    <w:p w14:paraId="7D08F250" w14:textId="77777777" w:rsidR="002653E8" w:rsidRDefault="003115E3">
      <w:pPr>
        <w:spacing w:before="127" w:line="276" w:lineRule="auto"/>
        <w:ind w:left="1327" w:right="1325"/>
        <w:rPr>
          <w:sz w:val="19"/>
        </w:rPr>
      </w:pPr>
      <w:r>
        <w:rPr>
          <w:i/>
          <w:color w:val="231F20"/>
          <w:w w:val="105"/>
          <w:sz w:val="19"/>
        </w:rPr>
        <w:t xml:space="preserve">Weissbecker, Thomas: </w:t>
      </w:r>
      <w:r>
        <w:rPr>
          <w:color w:val="231F20"/>
          <w:w w:val="105"/>
          <w:sz w:val="19"/>
        </w:rPr>
        <w:t xml:space="preserve">1949-1972; associated with Kommune 1, the Roaming Hash Rebels, the Tupamaros West Berlin, the 2JM, and the </w:t>
      </w:r>
      <w:r w:rsidR="00C507A5">
        <w:rPr>
          <w:color w:val="231F20"/>
          <w:w w:val="105"/>
          <w:sz w:val="19"/>
        </w:rPr>
        <w:t>red army faction</w:t>
      </w:r>
      <w:r>
        <w:rPr>
          <w:color w:val="231F20"/>
          <w:w w:val="105"/>
          <w:sz w:val="19"/>
        </w:rPr>
        <w:t xml:space="preserve">; 1971, arrested and acquitted; 1972, shot dead by police during a manhunt for the </w:t>
      </w:r>
      <w:r w:rsidR="00C507A5">
        <w:rPr>
          <w:color w:val="231F20"/>
          <w:w w:val="105"/>
          <w:sz w:val="19"/>
        </w:rPr>
        <w:t>red army faction</w:t>
      </w:r>
      <w:r>
        <w:rPr>
          <w:color w:val="231F20"/>
          <w:w w:val="105"/>
          <w:sz w:val="19"/>
        </w:rPr>
        <w:t>.</w:t>
      </w:r>
    </w:p>
    <w:p w14:paraId="5B44E158" w14:textId="77777777" w:rsidR="002653E8" w:rsidRDefault="003115E3">
      <w:pPr>
        <w:spacing w:before="127" w:line="276" w:lineRule="auto"/>
        <w:ind w:left="1327" w:right="1479"/>
        <w:jc w:val="both"/>
        <w:rPr>
          <w:sz w:val="19"/>
        </w:rPr>
      </w:pPr>
      <w:r>
        <w:rPr>
          <w:i/>
          <w:color w:val="231F20"/>
          <w:w w:val="105"/>
          <w:sz w:val="19"/>
        </w:rPr>
        <w:t xml:space="preserve">Wessel, Ulrich: </w:t>
      </w:r>
      <w:r>
        <w:rPr>
          <w:color w:val="231F20"/>
          <w:w w:val="105"/>
          <w:sz w:val="19"/>
        </w:rPr>
        <w:t xml:space="preserve">1946-1975; member of the SPK; member of the </w:t>
      </w:r>
      <w:r w:rsidR="00C507A5">
        <w:rPr>
          <w:color w:val="231F20"/>
          <w:w w:val="105"/>
          <w:sz w:val="19"/>
        </w:rPr>
        <w:t>red army faction</w:t>
      </w:r>
      <w:r>
        <w:rPr>
          <w:color w:val="231F20"/>
          <w:w w:val="105"/>
          <w:sz w:val="19"/>
        </w:rPr>
        <w:t>; 1975, killed during the Stockholm action he was participating in as a member of the Holger Meins Commando.</w:t>
      </w:r>
    </w:p>
    <w:p w14:paraId="7C85D797" w14:textId="77777777" w:rsidR="002653E8" w:rsidRDefault="002653E8">
      <w:pPr>
        <w:spacing w:line="276" w:lineRule="auto"/>
        <w:jc w:val="both"/>
        <w:rPr>
          <w:sz w:val="19"/>
        </w:rPr>
        <w:sectPr w:rsidR="002653E8">
          <w:footerReference w:type="even" r:id="rId492"/>
          <w:footerReference w:type="default" r:id="rId493"/>
          <w:pgSz w:w="8640" w:h="12960"/>
          <w:pgMar w:top="1080" w:right="0" w:bottom="1040" w:left="0" w:header="0" w:footer="850" w:gutter="0"/>
          <w:cols w:space="720"/>
        </w:sectPr>
      </w:pPr>
    </w:p>
    <w:p w14:paraId="35ACA7E7" w14:textId="77777777" w:rsidR="002653E8" w:rsidRDefault="003115E3">
      <w:pPr>
        <w:spacing w:before="91" w:line="276" w:lineRule="auto"/>
        <w:ind w:left="1147" w:right="2216"/>
        <w:rPr>
          <w:sz w:val="19"/>
        </w:rPr>
      </w:pPr>
      <w:r>
        <w:rPr>
          <w:i/>
          <w:color w:val="231F20"/>
          <w:w w:val="105"/>
          <w:sz w:val="19"/>
        </w:rPr>
        <w:lastRenderedPageBreak/>
        <w:t xml:space="preserve">Wischnewski, Hans-Jürgen: </w:t>
      </w:r>
      <w:r>
        <w:rPr>
          <w:color w:val="231F20"/>
          <w:w w:val="105"/>
          <w:sz w:val="19"/>
        </w:rPr>
        <w:t xml:space="preserve">1922-2005; member of the SPD; 1959-1961, Chairman of the </w:t>
      </w:r>
      <w:r>
        <w:rPr>
          <w:i/>
          <w:color w:val="231F20"/>
          <w:w w:val="105"/>
          <w:sz w:val="19"/>
        </w:rPr>
        <w:t>Jusos</w:t>
      </w:r>
      <w:r>
        <w:rPr>
          <w:color w:val="231F20"/>
          <w:w w:val="105"/>
          <w:sz w:val="19"/>
        </w:rPr>
        <w:t>; 1966, Federal Minister for Economic Cooperation; 1970, member of the SPD’s Executive</w:t>
      </w:r>
    </w:p>
    <w:p w14:paraId="3BB2200F" w14:textId="77777777" w:rsidR="002653E8" w:rsidRDefault="003115E3">
      <w:pPr>
        <w:spacing w:line="276" w:lineRule="auto"/>
        <w:ind w:left="1147" w:right="1413"/>
        <w:rPr>
          <w:sz w:val="19"/>
        </w:rPr>
      </w:pPr>
      <w:r>
        <w:rPr>
          <w:color w:val="231F20"/>
          <w:w w:val="105"/>
          <w:sz w:val="19"/>
        </w:rPr>
        <w:t xml:space="preserve">Committee; 1974, Secretary of State; 1974-1976; Minister of State at the Department of Foreign Affairs; 1976-1979, Minister of State at the Federal Chancellery; 1977, government envoy to Third </w:t>
      </w:r>
      <w:r>
        <w:rPr>
          <w:color w:val="231F20"/>
          <w:spacing w:val="-4"/>
          <w:w w:val="105"/>
          <w:sz w:val="19"/>
        </w:rPr>
        <w:t xml:space="preserve">World </w:t>
      </w:r>
      <w:r>
        <w:rPr>
          <w:color w:val="231F20"/>
          <w:w w:val="105"/>
          <w:sz w:val="19"/>
        </w:rPr>
        <w:t>countries during the German Autumn; 1979-1982, Deputy Chairman of the SPD; 1982, Minister of State at the Federal Chancellery.</w:t>
      </w:r>
    </w:p>
    <w:p w14:paraId="3B84C2CE" w14:textId="77777777" w:rsidR="002653E8" w:rsidRDefault="003115E3">
      <w:pPr>
        <w:spacing w:before="127" w:line="276" w:lineRule="auto"/>
        <w:ind w:left="1147" w:right="1663" w:hanging="1"/>
        <w:rPr>
          <w:sz w:val="19"/>
        </w:rPr>
      </w:pPr>
      <w:r>
        <w:rPr>
          <w:i/>
          <w:color w:val="231F20"/>
          <w:w w:val="110"/>
          <w:sz w:val="19"/>
        </w:rPr>
        <w:t>Wisniewski,</w:t>
      </w:r>
      <w:r>
        <w:rPr>
          <w:i/>
          <w:color w:val="231F20"/>
          <w:spacing w:val="-19"/>
          <w:w w:val="110"/>
          <w:sz w:val="19"/>
        </w:rPr>
        <w:t xml:space="preserve"> </w:t>
      </w:r>
      <w:r>
        <w:rPr>
          <w:i/>
          <w:color w:val="231F20"/>
          <w:w w:val="110"/>
          <w:sz w:val="19"/>
        </w:rPr>
        <w:t>Stefan:</w:t>
      </w:r>
      <w:r>
        <w:rPr>
          <w:i/>
          <w:color w:val="231F20"/>
          <w:spacing w:val="-15"/>
          <w:w w:val="110"/>
          <w:sz w:val="19"/>
        </w:rPr>
        <w:t xml:space="preserve"> </w:t>
      </w:r>
      <w:r>
        <w:rPr>
          <w:color w:val="231F20"/>
          <w:w w:val="110"/>
          <w:sz w:val="19"/>
        </w:rPr>
        <w:t>b.</w:t>
      </w:r>
      <w:r>
        <w:rPr>
          <w:color w:val="231F20"/>
          <w:spacing w:val="-19"/>
          <w:w w:val="110"/>
          <w:sz w:val="19"/>
        </w:rPr>
        <w:t xml:space="preserve"> </w:t>
      </w:r>
      <w:r>
        <w:rPr>
          <w:color w:val="231F20"/>
          <w:w w:val="110"/>
          <w:sz w:val="19"/>
        </w:rPr>
        <w:t>1953;</w:t>
      </w:r>
      <w:r>
        <w:rPr>
          <w:color w:val="231F20"/>
          <w:spacing w:val="-15"/>
          <w:w w:val="110"/>
          <w:sz w:val="19"/>
        </w:rPr>
        <w:t xml:space="preserve"> </w:t>
      </w:r>
      <w:r>
        <w:rPr>
          <w:color w:val="231F20"/>
          <w:w w:val="110"/>
          <w:sz w:val="19"/>
        </w:rPr>
        <w:t>1975,</w:t>
      </w:r>
      <w:r>
        <w:rPr>
          <w:color w:val="231F20"/>
          <w:spacing w:val="-19"/>
          <w:w w:val="110"/>
          <w:sz w:val="19"/>
        </w:rPr>
        <w:t xml:space="preserve"> </w:t>
      </w:r>
      <w:r>
        <w:rPr>
          <w:color w:val="231F20"/>
          <w:w w:val="110"/>
          <w:sz w:val="19"/>
        </w:rPr>
        <w:t>joined</w:t>
      </w:r>
      <w:r>
        <w:rPr>
          <w:color w:val="231F20"/>
          <w:spacing w:val="-15"/>
          <w:w w:val="110"/>
          <w:sz w:val="19"/>
        </w:rPr>
        <w:t xml:space="preserve"> </w:t>
      </w:r>
      <w:r>
        <w:rPr>
          <w:color w:val="231F20"/>
          <w:w w:val="110"/>
          <w:sz w:val="19"/>
        </w:rPr>
        <w:t>the</w:t>
      </w:r>
      <w:r>
        <w:rPr>
          <w:color w:val="231F20"/>
          <w:spacing w:val="-15"/>
          <w:w w:val="110"/>
          <w:sz w:val="19"/>
        </w:rPr>
        <w:t xml:space="preserve"> </w:t>
      </w:r>
      <w:r w:rsidR="00C507A5">
        <w:rPr>
          <w:color w:val="231F20"/>
          <w:w w:val="110"/>
          <w:sz w:val="19"/>
        </w:rPr>
        <w:t>red army faction</w:t>
      </w:r>
      <w:r>
        <w:rPr>
          <w:color w:val="231F20"/>
          <w:w w:val="110"/>
          <w:sz w:val="19"/>
        </w:rPr>
        <w:t>;</w:t>
      </w:r>
      <w:r>
        <w:rPr>
          <w:color w:val="231F20"/>
          <w:spacing w:val="-15"/>
          <w:w w:val="110"/>
          <w:sz w:val="19"/>
        </w:rPr>
        <w:t xml:space="preserve"> </w:t>
      </w:r>
      <w:r>
        <w:rPr>
          <w:color w:val="231F20"/>
          <w:w w:val="110"/>
          <w:sz w:val="19"/>
        </w:rPr>
        <w:t>1978,</w:t>
      </w:r>
      <w:r>
        <w:rPr>
          <w:color w:val="231F20"/>
          <w:spacing w:val="-19"/>
          <w:w w:val="110"/>
          <w:sz w:val="19"/>
        </w:rPr>
        <w:t xml:space="preserve"> </w:t>
      </w:r>
      <w:r>
        <w:rPr>
          <w:color w:val="231F20"/>
          <w:w w:val="110"/>
          <w:sz w:val="19"/>
        </w:rPr>
        <w:t>arrested</w:t>
      </w:r>
      <w:r>
        <w:rPr>
          <w:color w:val="231F20"/>
          <w:spacing w:val="-15"/>
          <w:w w:val="110"/>
          <w:sz w:val="19"/>
        </w:rPr>
        <w:t xml:space="preserve"> </w:t>
      </w:r>
      <w:r>
        <w:rPr>
          <w:color w:val="231F20"/>
          <w:w w:val="110"/>
          <w:sz w:val="19"/>
        </w:rPr>
        <w:t>at Orly Airport in Paris; 1999, released from</w:t>
      </w:r>
      <w:r>
        <w:rPr>
          <w:color w:val="231F20"/>
          <w:spacing w:val="-1"/>
          <w:w w:val="110"/>
          <w:sz w:val="19"/>
        </w:rPr>
        <w:t xml:space="preserve"> </w:t>
      </w:r>
      <w:r>
        <w:rPr>
          <w:color w:val="231F20"/>
          <w:w w:val="110"/>
          <w:sz w:val="19"/>
        </w:rPr>
        <w:t>prison.</w:t>
      </w:r>
    </w:p>
    <w:p w14:paraId="6F322D21" w14:textId="77777777" w:rsidR="002653E8" w:rsidRDefault="003115E3">
      <w:pPr>
        <w:spacing w:before="128" w:line="276" w:lineRule="auto"/>
        <w:ind w:left="1147" w:right="1580"/>
        <w:rPr>
          <w:sz w:val="19"/>
        </w:rPr>
      </w:pPr>
      <w:r>
        <w:rPr>
          <w:i/>
          <w:color w:val="231F20"/>
          <w:w w:val="105"/>
          <w:sz w:val="19"/>
        </w:rPr>
        <w:t xml:space="preserve">Witter, Hermann: </w:t>
      </w:r>
      <w:r>
        <w:rPr>
          <w:color w:val="231F20"/>
          <w:w w:val="105"/>
          <w:sz w:val="19"/>
        </w:rPr>
        <w:t>b. 1916; Director of the Institute for Forensic Medicine and Psychiatry at University of Homburg/Saar.</w:t>
      </w:r>
    </w:p>
    <w:p w14:paraId="72FA3216" w14:textId="77777777" w:rsidR="002653E8" w:rsidRDefault="003115E3">
      <w:pPr>
        <w:spacing w:before="127" w:line="276" w:lineRule="auto"/>
        <w:ind w:left="1147" w:right="1620" w:hanging="1"/>
        <w:rPr>
          <w:sz w:val="19"/>
        </w:rPr>
      </w:pPr>
      <w:r>
        <w:rPr>
          <w:i/>
          <w:color w:val="231F20"/>
          <w:spacing w:val="-5"/>
          <w:w w:val="110"/>
          <w:sz w:val="19"/>
        </w:rPr>
        <w:t>Wurster,</w:t>
      </w:r>
      <w:r>
        <w:rPr>
          <w:i/>
          <w:color w:val="231F20"/>
          <w:spacing w:val="-26"/>
          <w:w w:val="110"/>
          <w:sz w:val="19"/>
        </w:rPr>
        <w:t xml:space="preserve"> </w:t>
      </w:r>
      <w:r>
        <w:rPr>
          <w:i/>
          <w:color w:val="231F20"/>
          <w:w w:val="110"/>
          <w:sz w:val="19"/>
        </w:rPr>
        <w:t>Georg:</w:t>
      </w:r>
      <w:r>
        <w:rPr>
          <w:i/>
          <w:color w:val="231F20"/>
          <w:spacing w:val="-23"/>
          <w:w w:val="110"/>
          <w:sz w:val="19"/>
        </w:rPr>
        <w:t xml:space="preserve"> </w:t>
      </w:r>
      <w:r>
        <w:rPr>
          <w:color w:val="231F20"/>
          <w:w w:val="110"/>
          <w:sz w:val="19"/>
        </w:rPr>
        <w:t>1944-1977;</w:t>
      </w:r>
      <w:r>
        <w:rPr>
          <w:color w:val="231F20"/>
          <w:spacing w:val="-23"/>
          <w:w w:val="110"/>
          <w:sz w:val="19"/>
        </w:rPr>
        <w:t xml:space="preserve"> </w:t>
      </w:r>
      <w:r>
        <w:rPr>
          <w:color w:val="231F20"/>
          <w:w w:val="110"/>
          <w:sz w:val="19"/>
        </w:rPr>
        <w:t>Buback’s</w:t>
      </w:r>
      <w:r>
        <w:rPr>
          <w:color w:val="231F20"/>
          <w:spacing w:val="-23"/>
          <w:w w:val="110"/>
          <w:sz w:val="19"/>
        </w:rPr>
        <w:t xml:space="preserve"> </w:t>
      </w:r>
      <w:r>
        <w:rPr>
          <w:color w:val="231F20"/>
          <w:w w:val="110"/>
          <w:sz w:val="19"/>
        </w:rPr>
        <w:t>bodyguard;</w:t>
      </w:r>
      <w:r>
        <w:rPr>
          <w:color w:val="231F20"/>
          <w:spacing w:val="-23"/>
          <w:w w:val="110"/>
          <w:sz w:val="19"/>
        </w:rPr>
        <w:t xml:space="preserve"> </w:t>
      </w:r>
      <w:r>
        <w:rPr>
          <w:color w:val="231F20"/>
          <w:w w:val="110"/>
          <w:sz w:val="19"/>
        </w:rPr>
        <w:t>1977,</w:t>
      </w:r>
      <w:r>
        <w:rPr>
          <w:color w:val="231F20"/>
          <w:spacing w:val="-26"/>
          <w:w w:val="110"/>
          <w:sz w:val="19"/>
        </w:rPr>
        <w:t xml:space="preserve"> </w:t>
      </w:r>
      <w:r>
        <w:rPr>
          <w:color w:val="231F20"/>
          <w:w w:val="110"/>
          <w:sz w:val="19"/>
        </w:rPr>
        <w:t>killed</w:t>
      </w:r>
      <w:r>
        <w:rPr>
          <w:color w:val="231F20"/>
          <w:spacing w:val="-23"/>
          <w:w w:val="110"/>
          <w:sz w:val="19"/>
        </w:rPr>
        <w:t xml:space="preserve"> </w:t>
      </w:r>
      <w:r>
        <w:rPr>
          <w:color w:val="231F20"/>
          <w:w w:val="110"/>
          <w:sz w:val="19"/>
        </w:rPr>
        <w:t>by</w:t>
      </w:r>
      <w:r>
        <w:rPr>
          <w:color w:val="231F20"/>
          <w:spacing w:val="-23"/>
          <w:w w:val="110"/>
          <w:sz w:val="19"/>
        </w:rPr>
        <w:t xml:space="preserve"> </w:t>
      </w:r>
      <w:r>
        <w:rPr>
          <w:color w:val="231F20"/>
          <w:w w:val="110"/>
          <w:sz w:val="19"/>
        </w:rPr>
        <w:t xml:space="preserve">the </w:t>
      </w:r>
      <w:r w:rsidR="00C507A5">
        <w:rPr>
          <w:color w:val="231F20"/>
          <w:spacing w:val="-7"/>
          <w:w w:val="110"/>
          <w:sz w:val="19"/>
        </w:rPr>
        <w:t>red army faction</w:t>
      </w:r>
      <w:r>
        <w:rPr>
          <w:color w:val="231F20"/>
          <w:spacing w:val="-7"/>
          <w:w w:val="110"/>
          <w:sz w:val="19"/>
        </w:rPr>
        <w:t>.</w:t>
      </w:r>
    </w:p>
    <w:p w14:paraId="036073CD" w14:textId="77777777" w:rsidR="002653E8" w:rsidRDefault="003115E3">
      <w:pPr>
        <w:spacing w:before="128" w:line="276" w:lineRule="auto"/>
        <w:ind w:left="1147" w:right="1450"/>
        <w:rPr>
          <w:sz w:val="19"/>
        </w:rPr>
      </w:pPr>
      <w:r>
        <w:rPr>
          <w:i/>
          <w:color w:val="231F20"/>
          <w:w w:val="105"/>
          <w:sz w:val="19"/>
        </w:rPr>
        <w:t xml:space="preserve">Zeis, Peter: </w:t>
      </w:r>
      <w:r>
        <w:rPr>
          <w:color w:val="231F20"/>
          <w:w w:val="105"/>
          <w:sz w:val="19"/>
        </w:rPr>
        <w:t>Federal Prosecutor involved in the Stammheim trial against Andreas Baader, Gudrun Ensslin, Ulrike Meinhof, Holger Meins, and Jan-Carl Raspe.</w:t>
      </w:r>
    </w:p>
    <w:p w14:paraId="2647320D" w14:textId="77777777" w:rsidR="002653E8" w:rsidRPr="00846956" w:rsidRDefault="003115E3">
      <w:pPr>
        <w:spacing w:before="128"/>
        <w:ind w:left="1147"/>
        <w:rPr>
          <w:sz w:val="19"/>
          <w:lang w:val="de-DE"/>
        </w:rPr>
      </w:pPr>
      <w:r w:rsidRPr="00846956">
        <w:rPr>
          <w:i/>
          <w:color w:val="231F20"/>
          <w:w w:val="110"/>
          <w:sz w:val="19"/>
          <w:lang w:val="de-DE"/>
        </w:rPr>
        <w:t xml:space="preserve">Zitzlaff, Inge Wienke: </w:t>
      </w:r>
      <w:r w:rsidRPr="00846956">
        <w:rPr>
          <w:color w:val="231F20"/>
          <w:w w:val="110"/>
          <w:sz w:val="19"/>
          <w:lang w:val="de-DE"/>
        </w:rPr>
        <w:t>b. 1931; Ulrike Meinhof’s sister.</w:t>
      </w:r>
    </w:p>
    <w:p w14:paraId="1457E781" w14:textId="77777777" w:rsidR="002653E8" w:rsidRPr="00846956" w:rsidRDefault="002653E8">
      <w:pPr>
        <w:rPr>
          <w:sz w:val="19"/>
          <w:lang w:val="de-DE"/>
        </w:rPr>
        <w:sectPr w:rsidR="002653E8" w:rsidRPr="00846956">
          <w:pgSz w:w="8640" w:h="12960"/>
          <w:pgMar w:top="1180" w:right="0" w:bottom="1040" w:left="0" w:header="0" w:footer="850" w:gutter="0"/>
          <w:cols w:space="720"/>
        </w:sectPr>
      </w:pPr>
    </w:p>
    <w:p w14:paraId="0B58FDFB" w14:textId="77777777" w:rsidR="002653E8" w:rsidRDefault="003115E3">
      <w:pPr>
        <w:pStyle w:val="4"/>
        <w:spacing w:before="82" w:line="300" w:lineRule="auto"/>
        <w:ind w:left="3467" w:right="1879" w:hanging="1393"/>
        <w:rPr>
          <w:rFonts w:ascii="Lucida Sans"/>
          <w:b/>
        </w:rPr>
      </w:pPr>
      <w:bookmarkStart w:id="279" w:name="Armed_Struggle_in_W._Germany:_A_Chronolo"/>
      <w:bookmarkStart w:id="280" w:name="_bookmark91"/>
      <w:bookmarkEnd w:id="279"/>
      <w:bookmarkEnd w:id="280"/>
      <w:r>
        <w:rPr>
          <w:rFonts w:ascii="Lucida Sans"/>
          <w:b/>
          <w:color w:val="231F20"/>
          <w:w w:val="95"/>
        </w:rPr>
        <w:lastRenderedPageBreak/>
        <w:t>Armed</w:t>
      </w:r>
      <w:r>
        <w:rPr>
          <w:rFonts w:ascii="Lucida Sans"/>
          <w:b/>
          <w:color w:val="231F20"/>
          <w:spacing w:val="-60"/>
          <w:w w:val="95"/>
        </w:rPr>
        <w:t xml:space="preserve"> </w:t>
      </w:r>
      <w:r>
        <w:rPr>
          <w:rFonts w:ascii="Lucida Sans"/>
          <w:b/>
          <w:color w:val="231F20"/>
          <w:w w:val="95"/>
        </w:rPr>
        <w:t>struggle</w:t>
      </w:r>
      <w:r>
        <w:rPr>
          <w:rFonts w:ascii="Lucida Sans"/>
          <w:b/>
          <w:color w:val="231F20"/>
          <w:spacing w:val="-60"/>
          <w:w w:val="95"/>
        </w:rPr>
        <w:t xml:space="preserve"> </w:t>
      </w:r>
      <w:r>
        <w:rPr>
          <w:rFonts w:ascii="Lucida Sans"/>
          <w:b/>
          <w:color w:val="231F20"/>
          <w:w w:val="95"/>
        </w:rPr>
        <w:t>in</w:t>
      </w:r>
      <w:r>
        <w:rPr>
          <w:rFonts w:ascii="Lucida Sans"/>
          <w:b/>
          <w:color w:val="231F20"/>
          <w:spacing w:val="-60"/>
          <w:w w:val="95"/>
        </w:rPr>
        <w:t xml:space="preserve"> </w:t>
      </w:r>
      <w:r>
        <w:rPr>
          <w:rFonts w:ascii="Lucida Sans"/>
          <w:b/>
          <w:color w:val="231F20"/>
          <w:spacing w:val="-4"/>
          <w:w w:val="95"/>
        </w:rPr>
        <w:t>West</w:t>
      </w:r>
      <w:r>
        <w:rPr>
          <w:rFonts w:ascii="Lucida Sans"/>
          <w:b/>
          <w:color w:val="231F20"/>
          <w:spacing w:val="-60"/>
          <w:w w:val="95"/>
        </w:rPr>
        <w:t xml:space="preserve"> </w:t>
      </w:r>
      <w:r>
        <w:rPr>
          <w:rFonts w:ascii="Lucida Sans"/>
          <w:b/>
          <w:color w:val="231F20"/>
          <w:w w:val="95"/>
        </w:rPr>
        <w:t xml:space="preserve">Germany: </w:t>
      </w:r>
      <w:r>
        <w:rPr>
          <w:rFonts w:ascii="Lucida Sans"/>
          <w:b/>
          <w:color w:val="231F20"/>
        </w:rPr>
        <w:t>A chronology</w:t>
      </w:r>
    </w:p>
    <w:p w14:paraId="70144FE9" w14:textId="77777777" w:rsidR="002653E8" w:rsidRDefault="002653E8">
      <w:pPr>
        <w:pStyle w:val="a3"/>
        <w:rPr>
          <w:rFonts w:ascii="Lucida Sans"/>
          <w:b/>
        </w:rPr>
      </w:pPr>
    </w:p>
    <w:p w14:paraId="564A93A8" w14:textId="77777777" w:rsidR="002653E8" w:rsidRDefault="002653E8">
      <w:pPr>
        <w:rPr>
          <w:rFonts w:ascii="Lucida Sans"/>
        </w:rPr>
        <w:sectPr w:rsidR="002653E8">
          <w:footerReference w:type="even" r:id="rId494"/>
          <w:pgSz w:w="8640" w:h="12960"/>
          <w:pgMar w:top="1220" w:right="0" w:bottom="280" w:left="0" w:header="0" w:footer="0" w:gutter="0"/>
          <w:cols w:space="720"/>
        </w:sectPr>
      </w:pPr>
    </w:p>
    <w:p w14:paraId="060F712C" w14:textId="77777777" w:rsidR="002653E8" w:rsidRDefault="003115E3">
      <w:pPr>
        <w:pStyle w:val="5"/>
        <w:spacing w:before="257"/>
      </w:pPr>
      <w:r>
        <w:rPr>
          <w:color w:val="231F20"/>
          <w:w w:val="120"/>
        </w:rPr>
        <w:t>1958</w:t>
      </w:r>
    </w:p>
    <w:p w14:paraId="19754FFF" w14:textId="77777777" w:rsidR="002653E8" w:rsidRDefault="003115E3">
      <w:pPr>
        <w:spacing w:before="7" w:line="273" w:lineRule="auto"/>
        <w:ind w:left="1327" w:right="4"/>
        <w:rPr>
          <w:rFonts w:ascii="Gill Sans MT"/>
          <w:sz w:val="18"/>
        </w:rPr>
      </w:pPr>
      <w:r>
        <w:rPr>
          <w:rFonts w:ascii="Gill Sans MT"/>
          <w:color w:val="231F20"/>
          <w:w w:val="110"/>
          <w:sz w:val="18"/>
        </w:rPr>
        <w:t xml:space="preserve">Leadership of the </w:t>
      </w:r>
      <w:r>
        <w:rPr>
          <w:rFonts w:ascii="Lucida Sans"/>
          <w:i/>
          <w:color w:val="231F20"/>
          <w:w w:val="110"/>
          <w:sz w:val="18"/>
        </w:rPr>
        <w:t xml:space="preserve">Sozialistischer </w:t>
      </w:r>
      <w:r>
        <w:rPr>
          <w:rFonts w:ascii="Lucida Sans"/>
          <w:i/>
          <w:color w:val="231F20"/>
          <w:sz w:val="18"/>
        </w:rPr>
        <w:t xml:space="preserve">Deutscher Studentenbund </w:t>
      </w:r>
      <w:r>
        <w:rPr>
          <w:rFonts w:ascii="Gill Sans MT"/>
          <w:color w:val="231F20"/>
          <w:sz w:val="18"/>
        </w:rPr>
        <w:t xml:space="preserve">(Socialist </w:t>
      </w:r>
      <w:r>
        <w:rPr>
          <w:rFonts w:ascii="Gill Sans MT"/>
          <w:color w:val="231F20"/>
          <w:w w:val="110"/>
          <w:sz w:val="18"/>
        </w:rPr>
        <w:t>German Students Federation, or SdS) won by activists significantly to the left of the SPd.</w:t>
      </w:r>
    </w:p>
    <w:p w14:paraId="448AA727" w14:textId="77777777" w:rsidR="002653E8" w:rsidRDefault="002653E8">
      <w:pPr>
        <w:pStyle w:val="a3"/>
        <w:rPr>
          <w:rFonts w:ascii="Gill Sans MT"/>
        </w:rPr>
      </w:pPr>
    </w:p>
    <w:p w14:paraId="163B61E1" w14:textId="77777777" w:rsidR="002653E8" w:rsidRDefault="002653E8">
      <w:pPr>
        <w:pStyle w:val="a3"/>
        <w:spacing w:before="3"/>
        <w:rPr>
          <w:rFonts w:ascii="Gill Sans MT"/>
        </w:rPr>
      </w:pPr>
    </w:p>
    <w:p w14:paraId="7F26BEFD" w14:textId="77777777" w:rsidR="002653E8" w:rsidRDefault="003115E3">
      <w:pPr>
        <w:pStyle w:val="5"/>
      </w:pPr>
      <w:r>
        <w:rPr>
          <w:color w:val="231F20"/>
          <w:w w:val="120"/>
        </w:rPr>
        <w:t>1961</w:t>
      </w:r>
    </w:p>
    <w:p w14:paraId="0C79F057" w14:textId="77777777" w:rsidR="002653E8" w:rsidRDefault="003115E3">
      <w:pPr>
        <w:spacing w:before="14" w:line="276" w:lineRule="auto"/>
        <w:ind w:left="1327" w:right="161"/>
        <w:rPr>
          <w:rFonts w:ascii="Gill Sans MT"/>
          <w:sz w:val="18"/>
        </w:rPr>
      </w:pPr>
      <w:r>
        <w:rPr>
          <w:rFonts w:ascii="Gill Sans MT"/>
          <w:color w:val="231F20"/>
          <w:w w:val="115"/>
          <w:sz w:val="18"/>
        </w:rPr>
        <w:t>The SdS and left-wing Society for the Promotion of Socialism are purged from the SPd.</w:t>
      </w:r>
    </w:p>
    <w:p w14:paraId="3D05F9F8" w14:textId="77777777" w:rsidR="002653E8" w:rsidRDefault="002653E8">
      <w:pPr>
        <w:pStyle w:val="a3"/>
        <w:rPr>
          <w:rFonts w:ascii="Gill Sans MT"/>
        </w:rPr>
      </w:pPr>
    </w:p>
    <w:p w14:paraId="29537A0F" w14:textId="77777777" w:rsidR="002653E8" w:rsidRDefault="002653E8">
      <w:pPr>
        <w:pStyle w:val="a3"/>
        <w:rPr>
          <w:rFonts w:ascii="Gill Sans MT"/>
        </w:rPr>
      </w:pPr>
    </w:p>
    <w:p w14:paraId="027E588F" w14:textId="77777777" w:rsidR="002653E8" w:rsidRDefault="003115E3">
      <w:pPr>
        <w:pStyle w:val="5"/>
      </w:pPr>
      <w:r>
        <w:rPr>
          <w:color w:val="231F20"/>
          <w:w w:val="120"/>
        </w:rPr>
        <w:t>1964</w:t>
      </w:r>
    </w:p>
    <w:p w14:paraId="441827E3" w14:textId="77777777" w:rsidR="002653E8" w:rsidRDefault="003115E3">
      <w:pPr>
        <w:spacing w:before="12"/>
        <w:ind w:left="1327"/>
        <w:rPr>
          <w:rFonts w:ascii="Arial"/>
          <w:b/>
          <w:sz w:val="18"/>
        </w:rPr>
      </w:pPr>
      <w:r>
        <w:rPr>
          <w:rFonts w:ascii="Arial"/>
          <w:b/>
          <w:color w:val="231F20"/>
          <w:w w:val="115"/>
          <w:sz w:val="18"/>
        </w:rPr>
        <w:t>December 18, 1964</w:t>
      </w:r>
    </w:p>
    <w:p w14:paraId="6DBF034F" w14:textId="77777777" w:rsidR="002653E8" w:rsidRDefault="003115E3">
      <w:pPr>
        <w:spacing w:before="33" w:line="276" w:lineRule="auto"/>
        <w:ind w:left="1327" w:right="-18"/>
        <w:rPr>
          <w:rFonts w:ascii="Gill Sans MT"/>
          <w:sz w:val="18"/>
        </w:rPr>
      </w:pPr>
      <w:r>
        <w:rPr>
          <w:rFonts w:ascii="Arial"/>
          <w:color w:val="231F20"/>
          <w:w w:val="110"/>
          <w:sz w:val="18"/>
        </w:rPr>
        <w:t xml:space="preserve">400 </w:t>
      </w:r>
      <w:r>
        <w:rPr>
          <w:rFonts w:ascii="Gill Sans MT"/>
          <w:color w:val="231F20"/>
          <w:w w:val="110"/>
          <w:sz w:val="18"/>
        </w:rPr>
        <w:t xml:space="preserve">demonstrators greet Congolese President Moise </w:t>
      </w:r>
      <w:r>
        <w:rPr>
          <w:rFonts w:ascii="Gill Sans MT"/>
          <w:color w:val="231F20"/>
          <w:spacing w:val="-3"/>
          <w:w w:val="110"/>
          <w:sz w:val="18"/>
        </w:rPr>
        <w:t xml:space="preserve">Tschombe </w:t>
      </w:r>
      <w:r>
        <w:rPr>
          <w:rFonts w:ascii="Gill Sans MT"/>
          <w:color w:val="231F20"/>
          <w:w w:val="110"/>
          <w:sz w:val="18"/>
        </w:rPr>
        <w:t xml:space="preserve">at the </w:t>
      </w:r>
      <w:r>
        <w:rPr>
          <w:rFonts w:ascii="Gill Sans MT"/>
          <w:color w:val="231F20"/>
          <w:spacing w:val="-3"/>
          <w:w w:val="110"/>
          <w:sz w:val="18"/>
        </w:rPr>
        <w:t xml:space="preserve">West </w:t>
      </w:r>
      <w:r>
        <w:rPr>
          <w:rFonts w:ascii="Gill Sans MT"/>
          <w:color w:val="231F20"/>
          <w:w w:val="110"/>
          <w:sz w:val="18"/>
        </w:rPr>
        <w:t xml:space="preserve">Berlin airport. </w:t>
      </w:r>
      <w:r>
        <w:rPr>
          <w:rFonts w:ascii="Arial"/>
          <w:color w:val="231F20"/>
          <w:w w:val="110"/>
          <w:sz w:val="18"/>
        </w:rPr>
        <w:t xml:space="preserve">150 </w:t>
      </w:r>
      <w:r>
        <w:rPr>
          <w:rFonts w:ascii="Gill Sans MT"/>
          <w:color w:val="231F20"/>
          <w:w w:val="110"/>
          <w:sz w:val="18"/>
        </w:rPr>
        <w:t>protestors clash with the police in the streets</w:t>
      </w:r>
      <w:r>
        <w:rPr>
          <w:rFonts w:ascii="Gill Sans MT"/>
          <w:color w:val="231F20"/>
          <w:spacing w:val="-22"/>
          <w:w w:val="110"/>
          <w:sz w:val="18"/>
        </w:rPr>
        <w:t xml:space="preserve"> </w:t>
      </w:r>
      <w:r>
        <w:rPr>
          <w:rFonts w:ascii="Gill Sans MT"/>
          <w:color w:val="231F20"/>
          <w:w w:val="110"/>
          <w:sz w:val="18"/>
        </w:rPr>
        <w:t xml:space="preserve">of </w:t>
      </w:r>
      <w:r>
        <w:rPr>
          <w:rFonts w:ascii="Gill Sans MT"/>
          <w:color w:val="231F20"/>
          <w:spacing w:val="-3"/>
          <w:w w:val="110"/>
          <w:sz w:val="18"/>
        </w:rPr>
        <w:t xml:space="preserve">West </w:t>
      </w:r>
      <w:r>
        <w:rPr>
          <w:rFonts w:ascii="Gill Sans MT"/>
          <w:color w:val="231F20"/>
          <w:w w:val="110"/>
          <w:sz w:val="18"/>
        </w:rPr>
        <w:t>Berlin. Rudi dutschke will later claim this demonstration</w:t>
      </w:r>
      <w:r>
        <w:rPr>
          <w:rFonts w:ascii="Gill Sans MT"/>
          <w:color w:val="231F20"/>
          <w:spacing w:val="-3"/>
          <w:w w:val="110"/>
          <w:sz w:val="18"/>
        </w:rPr>
        <w:t xml:space="preserve"> </w:t>
      </w:r>
      <w:r>
        <w:rPr>
          <w:rFonts w:ascii="Gill Sans MT"/>
          <w:color w:val="231F20"/>
          <w:w w:val="110"/>
          <w:sz w:val="18"/>
        </w:rPr>
        <w:t>marked</w:t>
      </w:r>
      <w:r>
        <w:rPr>
          <w:rFonts w:ascii="Gill Sans MT"/>
          <w:color w:val="231F20"/>
          <w:spacing w:val="-1"/>
          <w:w w:val="110"/>
          <w:sz w:val="18"/>
        </w:rPr>
        <w:t xml:space="preserve"> </w:t>
      </w:r>
      <w:r>
        <w:rPr>
          <w:rFonts w:ascii="Gill Sans MT"/>
          <w:color w:val="231F20"/>
          <w:w w:val="110"/>
          <w:sz w:val="18"/>
        </w:rPr>
        <w:t>the</w:t>
      </w:r>
      <w:r>
        <w:rPr>
          <w:rFonts w:ascii="Gill Sans MT"/>
          <w:color w:val="231F20"/>
          <w:w w:val="111"/>
          <w:sz w:val="18"/>
        </w:rPr>
        <w:t xml:space="preserve"> </w:t>
      </w:r>
      <w:r>
        <w:rPr>
          <w:rFonts w:ascii="Gill Sans MT"/>
          <w:color w:val="231F20"/>
          <w:w w:val="110"/>
          <w:sz w:val="18"/>
        </w:rPr>
        <w:t>beginning of the</w:t>
      </w:r>
      <w:r>
        <w:rPr>
          <w:rFonts w:ascii="Gill Sans MT"/>
          <w:color w:val="231F20"/>
          <w:spacing w:val="-7"/>
          <w:w w:val="110"/>
          <w:sz w:val="18"/>
        </w:rPr>
        <w:t xml:space="preserve"> </w:t>
      </w:r>
      <w:r>
        <w:rPr>
          <w:rFonts w:ascii="Gill Sans MT"/>
          <w:color w:val="231F20"/>
          <w:w w:val="110"/>
          <w:sz w:val="18"/>
        </w:rPr>
        <w:t>APO.</w:t>
      </w:r>
    </w:p>
    <w:p w14:paraId="53EEE85B" w14:textId="77777777" w:rsidR="002653E8" w:rsidRDefault="002653E8">
      <w:pPr>
        <w:pStyle w:val="a3"/>
        <w:rPr>
          <w:rFonts w:ascii="Gill Sans MT"/>
        </w:rPr>
      </w:pPr>
    </w:p>
    <w:p w14:paraId="0F54D23D" w14:textId="77777777" w:rsidR="002653E8" w:rsidRDefault="002653E8">
      <w:pPr>
        <w:pStyle w:val="a3"/>
        <w:spacing w:before="10"/>
        <w:rPr>
          <w:rFonts w:ascii="Gill Sans MT"/>
          <w:sz w:val="19"/>
        </w:rPr>
      </w:pPr>
    </w:p>
    <w:p w14:paraId="44122635" w14:textId="77777777" w:rsidR="002653E8" w:rsidRDefault="003115E3">
      <w:pPr>
        <w:pStyle w:val="5"/>
      </w:pPr>
      <w:r>
        <w:rPr>
          <w:color w:val="231F20"/>
          <w:w w:val="120"/>
        </w:rPr>
        <w:t>1966</w:t>
      </w:r>
    </w:p>
    <w:p w14:paraId="07509400" w14:textId="77777777" w:rsidR="002653E8" w:rsidRDefault="003115E3">
      <w:pPr>
        <w:spacing w:before="12"/>
        <w:ind w:left="1327"/>
        <w:rPr>
          <w:rFonts w:ascii="Arial" w:hAnsi="Arial"/>
          <w:b/>
          <w:sz w:val="18"/>
        </w:rPr>
      </w:pPr>
      <w:r>
        <w:rPr>
          <w:rFonts w:ascii="Arial" w:hAnsi="Arial"/>
          <w:b/>
          <w:color w:val="231F20"/>
          <w:w w:val="115"/>
          <w:sz w:val="18"/>
        </w:rPr>
        <w:t>April 9–11, 1966</w:t>
      </w:r>
    </w:p>
    <w:p w14:paraId="394A882F" w14:textId="77777777" w:rsidR="002653E8" w:rsidRDefault="003115E3">
      <w:pPr>
        <w:spacing w:before="33" w:line="278" w:lineRule="auto"/>
        <w:ind w:left="1327" w:right="40"/>
        <w:rPr>
          <w:rFonts w:ascii="Gill Sans MT"/>
          <w:sz w:val="18"/>
        </w:rPr>
      </w:pPr>
      <w:r>
        <w:rPr>
          <w:rFonts w:ascii="Arial"/>
          <w:b/>
          <w:color w:val="231F20"/>
          <w:w w:val="110"/>
          <w:sz w:val="18"/>
        </w:rPr>
        <w:t xml:space="preserve">(Easter Weekend) </w:t>
      </w:r>
      <w:r>
        <w:rPr>
          <w:rFonts w:ascii="Gill Sans MT"/>
          <w:color w:val="231F20"/>
          <w:w w:val="110"/>
          <w:sz w:val="18"/>
        </w:rPr>
        <w:t xml:space="preserve">demonstrations against the Vietnam </w:t>
      </w:r>
      <w:r>
        <w:rPr>
          <w:rFonts w:ascii="Gill Sans MT"/>
          <w:color w:val="231F20"/>
          <w:spacing w:val="-3"/>
          <w:w w:val="110"/>
          <w:sz w:val="18"/>
        </w:rPr>
        <w:t xml:space="preserve">War </w:t>
      </w:r>
      <w:r>
        <w:rPr>
          <w:rFonts w:ascii="Gill Sans MT"/>
          <w:color w:val="231F20"/>
          <w:w w:val="110"/>
          <w:sz w:val="18"/>
        </w:rPr>
        <w:t xml:space="preserve">occur throughout </w:t>
      </w:r>
      <w:r>
        <w:rPr>
          <w:rFonts w:ascii="Gill Sans MT"/>
          <w:color w:val="231F20"/>
          <w:spacing w:val="-3"/>
          <w:w w:val="110"/>
          <w:sz w:val="18"/>
        </w:rPr>
        <w:t xml:space="preserve">West </w:t>
      </w:r>
      <w:r>
        <w:rPr>
          <w:rFonts w:ascii="Gill Sans MT"/>
          <w:color w:val="231F20"/>
          <w:w w:val="110"/>
          <w:sz w:val="18"/>
        </w:rPr>
        <w:t>Germany.</w:t>
      </w:r>
    </w:p>
    <w:p w14:paraId="7B575826" w14:textId="77777777" w:rsidR="002653E8" w:rsidRDefault="003115E3">
      <w:pPr>
        <w:pStyle w:val="a3"/>
        <w:spacing w:before="4"/>
        <w:rPr>
          <w:rFonts w:ascii="Gill Sans MT"/>
          <w:sz w:val="23"/>
        </w:rPr>
      </w:pPr>
      <w:r>
        <w:br w:type="column"/>
      </w:r>
    </w:p>
    <w:p w14:paraId="60DDAB47" w14:textId="77777777" w:rsidR="002653E8" w:rsidRDefault="003115E3">
      <w:pPr>
        <w:ind w:left="204"/>
        <w:rPr>
          <w:rFonts w:ascii="Arial"/>
          <w:b/>
          <w:sz w:val="18"/>
        </w:rPr>
      </w:pPr>
      <w:r>
        <w:rPr>
          <w:rFonts w:ascii="Arial"/>
          <w:b/>
          <w:color w:val="231F20"/>
          <w:w w:val="120"/>
          <w:sz w:val="18"/>
        </w:rPr>
        <w:t>May 22, 1966</w:t>
      </w:r>
    </w:p>
    <w:p w14:paraId="3300BE33" w14:textId="77777777" w:rsidR="002653E8" w:rsidRDefault="003115E3">
      <w:pPr>
        <w:spacing w:before="35" w:line="276" w:lineRule="auto"/>
        <w:ind w:left="204" w:right="1429" w:hanging="1"/>
        <w:rPr>
          <w:rFonts w:ascii="Gill Sans MT"/>
          <w:sz w:val="18"/>
        </w:rPr>
      </w:pPr>
      <w:r>
        <w:rPr>
          <w:rFonts w:ascii="Gill Sans MT"/>
          <w:color w:val="231F20"/>
          <w:w w:val="115"/>
          <w:sz w:val="18"/>
        </w:rPr>
        <w:t>The SdS organizes a conference against the Vietnam War.</w:t>
      </w:r>
    </w:p>
    <w:p w14:paraId="3E8D8A96" w14:textId="77777777" w:rsidR="002653E8" w:rsidRDefault="003115E3">
      <w:pPr>
        <w:spacing w:line="276" w:lineRule="auto"/>
        <w:ind w:left="204" w:right="1187"/>
        <w:rPr>
          <w:rFonts w:ascii="Gill Sans MT" w:hAnsi="Gill Sans MT"/>
          <w:sz w:val="18"/>
        </w:rPr>
      </w:pPr>
      <w:r>
        <w:rPr>
          <w:rFonts w:ascii="Gill Sans MT" w:hAnsi="Gill Sans MT"/>
          <w:color w:val="231F20"/>
          <w:w w:val="115"/>
          <w:sz w:val="18"/>
        </w:rPr>
        <w:t>Participants</w:t>
      </w:r>
      <w:r>
        <w:rPr>
          <w:rFonts w:ascii="Gill Sans MT" w:hAnsi="Gill Sans MT"/>
          <w:color w:val="231F20"/>
          <w:spacing w:val="-32"/>
          <w:w w:val="115"/>
          <w:sz w:val="18"/>
        </w:rPr>
        <w:t xml:space="preserve"> </w:t>
      </w:r>
      <w:r>
        <w:rPr>
          <w:rFonts w:ascii="Gill Sans MT" w:hAnsi="Gill Sans MT"/>
          <w:color w:val="231F20"/>
          <w:w w:val="115"/>
          <w:sz w:val="18"/>
        </w:rPr>
        <w:t>include</w:t>
      </w:r>
      <w:r>
        <w:rPr>
          <w:rFonts w:ascii="Gill Sans MT" w:hAnsi="Gill Sans MT"/>
          <w:color w:val="231F20"/>
          <w:spacing w:val="-32"/>
          <w:w w:val="115"/>
          <w:sz w:val="18"/>
        </w:rPr>
        <w:t xml:space="preserve"> </w:t>
      </w:r>
      <w:r>
        <w:rPr>
          <w:rFonts w:ascii="Gill Sans MT" w:hAnsi="Gill Sans MT"/>
          <w:color w:val="231F20"/>
          <w:w w:val="115"/>
          <w:sz w:val="18"/>
        </w:rPr>
        <w:t>Conrad</w:t>
      </w:r>
      <w:r>
        <w:rPr>
          <w:rFonts w:ascii="Gill Sans MT" w:hAnsi="Gill Sans MT"/>
          <w:color w:val="231F20"/>
          <w:spacing w:val="-32"/>
          <w:w w:val="115"/>
          <w:sz w:val="18"/>
        </w:rPr>
        <w:t xml:space="preserve"> </w:t>
      </w:r>
      <w:r>
        <w:rPr>
          <w:rFonts w:ascii="Gill Sans MT" w:hAnsi="Gill Sans MT"/>
          <w:color w:val="231F20"/>
          <w:w w:val="115"/>
          <w:sz w:val="18"/>
        </w:rPr>
        <w:t>Ahlers, Oskar</w:t>
      </w:r>
      <w:r>
        <w:rPr>
          <w:rFonts w:ascii="Gill Sans MT" w:hAnsi="Gill Sans MT"/>
          <w:color w:val="231F20"/>
          <w:spacing w:val="-26"/>
          <w:w w:val="115"/>
          <w:sz w:val="18"/>
        </w:rPr>
        <w:t xml:space="preserve"> </w:t>
      </w:r>
      <w:r>
        <w:rPr>
          <w:rFonts w:ascii="Gill Sans MT" w:hAnsi="Gill Sans MT"/>
          <w:color w:val="231F20"/>
          <w:w w:val="115"/>
          <w:sz w:val="18"/>
        </w:rPr>
        <w:t>Negt,</w:t>
      </w:r>
      <w:r>
        <w:rPr>
          <w:rFonts w:ascii="Gill Sans MT" w:hAnsi="Gill Sans MT"/>
          <w:color w:val="231F20"/>
          <w:spacing w:val="-26"/>
          <w:w w:val="115"/>
          <w:sz w:val="18"/>
        </w:rPr>
        <w:t xml:space="preserve"> </w:t>
      </w:r>
      <w:r>
        <w:rPr>
          <w:rFonts w:ascii="Gill Sans MT" w:hAnsi="Gill Sans MT"/>
          <w:color w:val="231F20"/>
          <w:w w:val="115"/>
          <w:sz w:val="18"/>
        </w:rPr>
        <w:t>Herbert</w:t>
      </w:r>
      <w:r>
        <w:rPr>
          <w:rFonts w:ascii="Gill Sans MT" w:hAnsi="Gill Sans MT"/>
          <w:color w:val="231F20"/>
          <w:spacing w:val="-26"/>
          <w:w w:val="115"/>
          <w:sz w:val="18"/>
        </w:rPr>
        <w:t xml:space="preserve"> </w:t>
      </w:r>
      <w:r>
        <w:rPr>
          <w:rFonts w:ascii="Gill Sans MT" w:hAnsi="Gill Sans MT"/>
          <w:color w:val="231F20"/>
          <w:w w:val="115"/>
          <w:sz w:val="18"/>
        </w:rPr>
        <w:t>Marcuse,</w:t>
      </w:r>
      <w:r>
        <w:rPr>
          <w:rFonts w:ascii="Gill Sans MT" w:hAnsi="Gill Sans MT"/>
          <w:color w:val="231F20"/>
          <w:spacing w:val="-26"/>
          <w:w w:val="115"/>
          <w:sz w:val="18"/>
        </w:rPr>
        <w:t xml:space="preserve"> </w:t>
      </w:r>
      <w:r>
        <w:rPr>
          <w:rFonts w:ascii="Gill Sans MT" w:hAnsi="Gill Sans MT"/>
          <w:color w:val="231F20"/>
          <w:w w:val="115"/>
          <w:sz w:val="18"/>
        </w:rPr>
        <w:t>and Jürgen</w:t>
      </w:r>
      <w:r>
        <w:rPr>
          <w:rFonts w:ascii="Gill Sans MT" w:hAnsi="Gill Sans MT"/>
          <w:color w:val="231F20"/>
          <w:spacing w:val="-18"/>
          <w:w w:val="115"/>
          <w:sz w:val="18"/>
        </w:rPr>
        <w:t xml:space="preserve"> </w:t>
      </w:r>
      <w:r>
        <w:rPr>
          <w:rFonts w:ascii="Gill Sans MT" w:hAnsi="Gill Sans MT"/>
          <w:color w:val="231F20"/>
          <w:w w:val="115"/>
          <w:sz w:val="18"/>
        </w:rPr>
        <w:t>Habermas.</w:t>
      </w:r>
      <w:r>
        <w:rPr>
          <w:rFonts w:ascii="Gill Sans MT" w:hAnsi="Gill Sans MT"/>
          <w:color w:val="231F20"/>
          <w:spacing w:val="-18"/>
          <w:w w:val="115"/>
          <w:sz w:val="18"/>
        </w:rPr>
        <w:t xml:space="preserve"> </w:t>
      </w:r>
      <w:r>
        <w:rPr>
          <w:rFonts w:ascii="Gill Sans MT" w:hAnsi="Gill Sans MT"/>
          <w:color w:val="231F20"/>
          <w:w w:val="115"/>
          <w:sz w:val="18"/>
        </w:rPr>
        <w:t>As</w:t>
      </w:r>
      <w:r>
        <w:rPr>
          <w:rFonts w:ascii="Gill Sans MT" w:hAnsi="Gill Sans MT"/>
          <w:color w:val="231F20"/>
          <w:spacing w:val="-18"/>
          <w:w w:val="115"/>
          <w:sz w:val="18"/>
        </w:rPr>
        <w:t xml:space="preserve"> </w:t>
      </w:r>
      <w:r>
        <w:rPr>
          <w:rFonts w:ascii="Gill Sans MT" w:hAnsi="Gill Sans MT"/>
          <w:color w:val="231F20"/>
          <w:w w:val="115"/>
          <w:sz w:val="18"/>
        </w:rPr>
        <w:t>a</w:t>
      </w:r>
      <w:r>
        <w:rPr>
          <w:rFonts w:ascii="Gill Sans MT" w:hAnsi="Gill Sans MT"/>
          <w:color w:val="231F20"/>
          <w:spacing w:val="-18"/>
          <w:w w:val="115"/>
          <w:sz w:val="18"/>
        </w:rPr>
        <w:t xml:space="preserve"> </w:t>
      </w:r>
      <w:r>
        <w:rPr>
          <w:rFonts w:ascii="Gill Sans MT" w:hAnsi="Gill Sans MT"/>
          <w:color w:val="231F20"/>
          <w:w w:val="115"/>
          <w:sz w:val="18"/>
        </w:rPr>
        <w:t>result</w:t>
      </w:r>
      <w:r>
        <w:rPr>
          <w:rFonts w:ascii="Gill Sans MT" w:hAnsi="Gill Sans MT"/>
          <w:color w:val="231F20"/>
          <w:spacing w:val="-18"/>
          <w:w w:val="115"/>
          <w:sz w:val="18"/>
        </w:rPr>
        <w:t xml:space="preserve"> </w:t>
      </w:r>
      <w:r>
        <w:rPr>
          <w:rFonts w:ascii="Gill Sans MT" w:hAnsi="Gill Sans MT"/>
          <w:color w:val="231F20"/>
          <w:w w:val="115"/>
          <w:sz w:val="18"/>
        </w:rPr>
        <w:t>of</w:t>
      </w:r>
      <w:r>
        <w:rPr>
          <w:rFonts w:ascii="Gill Sans MT" w:hAnsi="Gill Sans MT"/>
          <w:color w:val="231F20"/>
          <w:spacing w:val="-18"/>
          <w:w w:val="115"/>
          <w:sz w:val="18"/>
        </w:rPr>
        <w:t xml:space="preserve"> </w:t>
      </w:r>
      <w:r>
        <w:rPr>
          <w:rFonts w:ascii="Gill Sans MT" w:hAnsi="Gill Sans MT"/>
          <w:color w:val="231F20"/>
          <w:w w:val="115"/>
          <w:sz w:val="18"/>
        </w:rPr>
        <w:t>this conference, the SdS emerges as the</w:t>
      </w:r>
      <w:r>
        <w:rPr>
          <w:rFonts w:ascii="Gill Sans MT" w:hAnsi="Gill Sans MT"/>
          <w:color w:val="231F20"/>
          <w:spacing w:val="-21"/>
          <w:w w:val="115"/>
          <w:sz w:val="18"/>
        </w:rPr>
        <w:t xml:space="preserve"> </w:t>
      </w:r>
      <w:r>
        <w:rPr>
          <w:rFonts w:ascii="Gill Sans MT" w:hAnsi="Gill Sans MT"/>
          <w:color w:val="231F20"/>
          <w:w w:val="115"/>
          <w:sz w:val="18"/>
        </w:rPr>
        <w:t>key</w:t>
      </w:r>
      <w:r>
        <w:rPr>
          <w:rFonts w:ascii="Gill Sans MT" w:hAnsi="Gill Sans MT"/>
          <w:color w:val="231F20"/>
          <w:spacing w:val="-21"/>
          <w:w w:val="115"/>
          <w:sz w:val="18"/>
        </w:rPr>
        <w:t xml:space="preserve"> </w:t>
      </w:r>
      <w:r>
        <w:rPr>
          <w:rFonts w:ascii="Gill Sans MT" w:hAnsi="Gill Sans MT"/>
          <w:color w:val="231F20"/>
          <w:w w:val="115"/>
          <w:sz w:val="18"/>
        </w:rPr>
        <w:t>organization</w:t>
      </w:r>
      <w:r>
        <w:rPr>
          <w:rFonts w:ascii="Gill Sans MT" w:hAnsi="Gill Sans MT"/>
          <w:color w:val="231F20"/>
          <w:spacing w:val="-21"/>
          <w:w w:val="115"/>
          <w:sz w:val="18"/>
        </w:rPr>
        <w:t xml:space="preserve"> </w:t>
      </w:r>
      <w:r>
        <w:rPr>
          <w:rFonts w:ascii="Gill Sans MT" w:hAnsi="Gill Sans MT"/>
          <w:color w:val="231F20"/>
          <w:w w:val="115"/>
          <w:sz w:val="18"/>
        </w:rPr>
        <w:t>in</w:t>
      </w:r>
      <w:r>
        <w:rPr>
          <w:rFonts w:ascii="Gill Sans MT" w:hAnsi="Gill Sans MT"/>
          <w:color w:val="231F20"/>
          <w:spacing w:val="-21"/>
          <w:w w:val="115"/>
          <w:sz w:val="18"/>
        </w:rPr>
        <w:t xml:space="preserve"> </w:t>
      </w:r>
      <w:r>
        <w:rPr>
          <w:rFonts w:ascii="Gill Sans MT" w:hAnsi="Gill Sans MT"/>
          <w:color w:val="231F20"/>
          <w:w w:val="115"/>
          <w:sz w:val="18"/>
        </w:rPr>
        <w:t>the</w:t>
      </w:r>
      <w:r>
        <w:rPr>
          <w:rFonts w:ascii="Gill Sans MT" w:hAnsi="Gill Sans MT"/>
          <w:color w:val="231F20"/>
          <w:spacing w:val="-21"/>
          <w:w w:val="115"/>
          <w:sz w:val="18"/>
        </w:rPr>
        <w:t xml:space="preserve"> </w:t>
      </w:r>
      <w:r>
        <w:rPr>
          <w:rFonts w:ascii="Gill Sans MT" w:hAnsi="Gill Sans MT"/>
          <w:color w:val="231F20"/>
          <w:w w:val="115"/>
          <w:sz w:val="18"/>
        </w:rPr>
        <w:t>antiwar movement.</w:t>
      </w:r>
    </w:p>
    <w:p w14:paraId="570A7116" w14:textId="77777777" w:rsidR="002653E8" w:rsidRDefault="002653E8">
      <w:pPr>
        <w:pStyle w:val="a3"/>
        <w:spacing w:before="6"/>
        <w:rPr>
          <w:rFonts w:ascii="Gill Sans MT"/>
        </w:rPr>
      </w:pPr>
    </w:p>
    <w:p w14:paraId="46A1359A" w14:textId="77777777" w:rsidR="002653E8" w:rsidRDefault="003115E3">
      <w:pPr>
        <w:ind w:left="204"/>
        <w:rPr>
          <w:rFonts w:ascii="Arial"/>
          <w:b/>
          <w:sz w:val="18"/>
        </w:rPr>
      </w:pPr>
      <w:r>
        <w:rPr>
          <w:rFonts w:ascii="Arial"/>
          <w:b/>
          <w:color w:val="231F20"/>
          <w:w w:val="120"/>
          <w:sz w:val="18"/>
        </w:rPr>
        <w:t>May 30, 1966</w:t>
      </w:r>
    </w:p>
    <w:p w14:paraId="31924244" w14:textId="77777777" w:rsidR="002653E8" w:rsidRDefault="003115E3">
      <w:pPr>
        <w:spacing w:before="34" w:line="273" w:lineRule="auto"/>
        <w:ind w:left="204" w:right="814"/>
        <w:rPr>
          <w:rFonts w:ascii="Gill Sans MT"/>
          <w:sz w:val="18"/>
        </w:rPr>
      </w:pPr>
      <w:r>
        <w:rPr>
          <w:rFonts w:ascii="Gill Sans MT"/>
          <w:color w:val="231F20"/>
          <w:w w:val="115"/>
          <w:sz w:val="18"/>
        </w:rPr>
        <w:t xml:space="preserve">Student organizations hold a conference in Bonn against the </w:t>
      </w:r>
      <w:r>
        <w:rPr>
          <w:rFonts w:ascii="Lucida Sans"/>
          <w:i/>
          <w:color w:val="231F20"/>
          <w:sz w:val="18"/>
        </w:rPr>
        <w:t xml:space="preserve">Notstandsgesetze </w:t>
      </w:r>
      <w:r>
        <w:rPr>
          <w:rFonts w:ascii="Gill Sans MT"/>
          <w:color w:val="231F20"/>
          <w:sz w:val="18"/>
        </w:rPr>
        <w:t xml:space="preserve">(Emergency Laws) </w:t>
      </w:r>
      <w:r>
        <w:rPr>
          <w:rFonts w:ascii="Gill Sans MT"/>
          <w:color w:val="231F20"/>
          <w:w w:val="115"/>
          <w:sz w:val="18"/>
        </w:rPr>
        <w:t>being proposed by the government.</w:t>
      </w:r>
    </w:p>
    <w:p w14:paraId="53050511" w14:textId="77777777" w:rsidR="002653E8" w:rsidRDefault="002653E8">
      <w:pPr>
        <w:pStyle w:val="a3"/>
        <w:spacing w:before="8"/>
        <w:rPr>
          <w:rFonts w:ascii="Gill Sans MT"/>
        </w:rPr>
      </w:pPr>
    </w:p>
    <w:p w14:paraId="02A03944" w14:textId="77777777" w:rsidR="002653E8" w:rsidRDefault="003115E3">
      <w:pPr>
        <w:ind w:left="204"/>
        <w:rPr>
          <w:rFonts w:ascii="Arial"/>
          <w:b/>
          <w:sz w:val="18"/>
        </w:rPr>
      </w:pPr>
      <w:r>
        <w:rPr>
          <w:rFonts w:ascii="Arial"/>
          <w:b/>
          <w:color w:val="231F20"/>
          <w:w w:val="115"/>
          <w:sz w:val="18"/>
        </w:rPr>
        <w:t>October 8, 1966</w:t>
      </w:r>
    </w:p>
    <w:p w14:paraId="57C1A23E" w14:textId="77777777" w:rsidR="002653E8" w:rsidRDefault="003115E3">
      <w:pPr>
        <w:spacing w:before="33" w:line="276" w:lineRule="auto"/>
        <w:ind w:left="204" w:right="1231"/>
        <w:rPr>
          <w:rFonts w:ascii="Gill Sans MT"/>
          <w:sz w:val="18"/>
        </w:rPr>
      </w:pPr>
      <w:r>
        <w:rPr>
          <w:rFonts w:ascii="Arial"/>
          <w:color w:val="231F20"/>
          <w:w w:val="110"/>
          <w:sz w:val="18"/>
        </w:rPr>
        <w:t>8</w:t>
      </w:r>
      <w:r>
        <w:rPr>
          <w:rFonts w:ascii="Gill Sans MT"/>
          <w:color w:val="231F20"/>
          <w:w w:val="110"/>
          <w:sz w:val="18"/>
        </w:rPr>
        <w:t>,</w:t>
      </w:r>
      <w:r>
        <w:rPr>
          <w:rFonts w:ascii="Arial"/>
          <w:color w:val="231F20"/>
          <w:w w:val="110"/>
          <w:sz w:val="18"/>
        </w:rPr>
        <w:t>000</w:t>
      </w:r>
      <w:r>
        <w:rPr>
          <w:rFonts w:ascii="Gill Sans MT"/>
          <w:color w:val="231F20"/>
          <w:w w:val="110"/>
          <w:sz w:val="18"/>
        </w:rPr>
        <w:t>-</w:t>
      </w:r>
      <w:r>
        <w:rPr>
          <w:rFonts w:ascii="Arial"/>
          <w:color w:val="231F20"/>
          <w:w w:val="110"/>
          <w:sz w:val="18"/>
        </w:rPr>
        <w:t>9</w:t>
      </w:r>
      <w:r>
        <w:rPr>
          <w:rFonts w:ascii="Gill Sans MT"/>
          <w:color w:val="231F20"/>
          <w:w w:val="110"/>
          <w:sz w:val="18"/>
        </w:rPr>
        <w:t>,</w:t>
      </w:r>
      <w:r>
        <w:rPr>
          <w:rFonts w:ascii="Arial"/>
          <w:color w:val="231F20"/>
          <w:w w:val="110"/>
          <w:sz w:val="18"/>
        </w:rPr>
        <w:t xml:space="preserve">000 </w:t>
      </w:r>
      <w:r>
        <w:rPr>
          <w:rFonts w:ascii="Gill Sans MT"/>
          <w:color w:val="231F20"/>
          <w:w w:val="110"/>
          <w:sz w:val="18"/>
        </w:rPr>
        <w:t xml:space="preserve">participate in a national congress to oppose the proposed Emergency Laws. </w:t>
      </w:r>
      <w:r>
        <w:rPr>
          <w:rFonts w:ascii="Arial"/>
          <w:color w:val="231F20"/>
          <w:w w:val="110"/>
          <w:sz w:val="18"/>
        </w:rPr>
        <w:t>24</w:t>
      </w:r>
      <w:r>
        <w:rPr>
          <w:rFonts w:ascii="Gill Sans MT"/>
          <w:color w:val="231F20"/>
          <w:w w:val="110"/>
          <w:sz w:val="18"/>
        </w:rPr>
        <w:t>,</w:t>
      </w:r>
      <w:r>
        <w:rPr>
          <w:rFonts w:ascii="Arial"/>
          <w:color w:val="231F20"/>
          <w:w w:val="110"/>
          <w:sz w:val="18"/>
        </w:rPr>
        <w:t xml:space="preserve">000 </w:t>
      </w:r>
      <w:r>
        <w:rPr>
          <w:rFonts w:ascii="Gill Sans MT"/>
          <w:color w:val="231F20"/>
          <w:w w:val="110"/>
          <w:sz w:val="18"/>
        </w:rPr>
        <w:t>people participate in the closing demonstration.</w:t>
      </w:r>
    </w:p>
    <w:p w14:paraId="3A7A1BBD" w14:textId="77777777" w:rsidR="002653E8" w:rsidRDefault="002653E8">
      <w:pPr>
        <w:pStyle w:val="a3"/>
        <w:spacing w:before="4"/>
        <w:rPr>
          <w:rFonts w:ascii="Gill Sans MT"/>
        </w:rPr>
      </w:pPr>
    </w:p>
    <w:p w14:paraId="7986EBC3" w14:textId="77777777" w:rsidR="002653E8" w:rsidRDefault="003115E3">
      <w:pPr>
        <w:ind w:left="204"/>
        <w:rPr>
          <w:rFonts w:ascii="Arial"/>
          <w:b/>
          <w:sz w:val="18"/>
        </w:rPr>
      </w:pPr>
      <w:r>
        <w:rPr>
          <w:rFonts w:ascii="Arial"/>
          <w:b/>
          <w:color w:val="231F20"/>
          <w:w w:val="115"/>
          <w:sz w:val="18"/>
        </w:rPr>
        <w:t>December 1, 1966</w:t>
      </w:r>
    </w:p>
    <w:p w14:paraId="480F8A55" w14:textId="77777777" w:rsidR="002653E8" w:rsidRDefault="003115E3">
      <w:pPr>
        <w:spacing w:before="35" w:line="276" w:lineRule="auto"/>
        <w:ind w:left="204" w:right="1383"/>
        <w:rPr>
          <w:rFonts w:ascii="Gill Sans MT"/>
          <w:sz w:val="18"/>
        </w:rPr>
      </w:pPr>
      <w:r>
        <w:rPr>
          <w:rFonts w:ascii="Gill Sans MT"/>
          <w:color w:val="231F20"/>
          <w:w w:val="115"/>
          <w:sz w:val="18"/>
        </w:rPr>
        <w:t>The Cdu/SPd Grand Coalition is formed.</w:t>
      </w:r>
    </w:p>
    <w:p w14:paraId="173AA756" w14:textId="77777777" w:rsidR="002653E8" w:rsidRDefault="002653E8">
      <w:pPr>
        <w:pStyle w:val="a3"/>
        <w:spacing w:before="6"/>
        <w:rPr>
          <w:rFonts w:ascii="Gill Sans MT"/>
        </w:rPr>
      </w:pPr>
    </w:p>
    <w:p w14:paraId="40325A85" w14:textId="77777777" w:rsidR="002653E8" w:rsidRDefault="003115E3">
      <w:pPr>
        <w:spacing w:before="1"/>
        <w:ind w:left="204"/>
        <w:rPr>
          <w:rFonts w:ascii="Arial"/>
          <w:b/>
          <w:sz w:val="18"/>
        </w:rPr>
      </w:pPr>
      <w:r>
        <w:rPr>
          <w:rFonts w:ascii="Arial"/>
          <w:b/>
          <w:color w:val="231F20"/>
          <w:w w:val="115"/>
          <w:sz w:val="18"/>
        </w:rPr>
        <w:t>December 10, 1966</w:t>
      </w:r>
    </w:p>
    <w:p w14:paraId="66C776B5" w14:textId="77777777" w:rsidR="002653E8" w:rsidRDefault="003115E3">
      <w:pPr>
        <w:spacing w:before="34" w:line="276" w:lineRule="auto"/>
        <w:ind w:left="204" w:right="1232"/>
        <w:rPr>
          <w:rFonts w:ascii="Gill Sans MT"/>
          <w:sz w:val="18"/>
        </w:rPr>
      </w:pPr>
      <w:r>
        <w:rPr>
          <w:rFonts w:ascii="Gill Sans MT"/>
          <w:color w:val="231F20"/>
          <w:w w:val="110"/>
          <w:sz w:val="18"/>
        </w:rPr>
        <w:t>In a closing speech at the Vietnam Weeks, SdS leader Rudi dutschke proposes the formation of an</w:t>
      </w:r>
      <w:r>
        <w:rPr>
          <w:rFonts w:ascii="Gill Sans MT"/>
          <w:color w:val="231F20"/>
          <w:spacing w:val="-24"/>
          <w:w w:val="110"/>
          <w:sz w:val="18"/>
        </w:rPr>
        <w:t xml:space="preserve"> </w:t>
      </w:r>
      <w:r>
        <w:rPr>
          <w:rFonts w:ascii="Gill Sans MT"/>
          <w:color w:val="231F20"/>
          <w:w w:val="110"/>
          <w:sz w:val="18"/>
        </w:rPr>
        <w:t>extraparliamentary opposition, which will become known as the</w:t>
      </w:r>
      <w:r>
        <w:rPr>
          <w:rFonts w:ascii="Gill Sans MT"/>
          <w:color w:val="231F20"/>
          <w:spacing w:val="-24"/>
          <w:w w:val="110"/>
          <w:sz w:val="18"/>
        </w:rPr>
        <w:t xml:space="preserve"> </w:t>
      </w:r>
      <w:r>
        <w:rPr>
          <w:rFonts w:ascii="Gill Sans MT"/>
          <w:color w:val="231F20"/>
          <w:w w:val="110"/>
          <w:sz w:val="18"/>
        </w:rPr>
        <w:t>APO.</w:t>
      </w:r>
    </w:p>
    <w:p w14:paraId="0D21E828" w14:textId="77777777" w:rsidR="002653E8" w:rsidRDefault="003115E3">
      <w:pPr>
        <w:spacing w:line="276" w:lineRule="auto"/>
        <w:ind w:left="204" w:right="1318"/>
        <w:rPr>
          <w:rFonts w:ascii="Gill Sans MT"/>
          <w:sz w:val="18"/>
        </w:rPr>
      </w:pPr>
      <w:r>
        <w:rPr>
          <w:rFonts w:ascii="Gill Sans MT"/>
          <w:color w:val="231F20"/>
          <w:w w:val="110"/>
          <w:sz w:val="18"/>
        </w:rPr>
        <w:t>A demonstration at the close of the conference is brutally attacked by police.</w:t>
      </w:r>
    </w:p>
    <w:p w14:paraId="68D3F74F" w14:textId="77777777" w:rsidR="002653E8" w:rsidRDefault="002653E8">
      <w:pPr>
        <w:spacing w:line="276" w:lineRule="auto"/>
        <w:rPr>
          <w:rFonts w:ascii="Gill Sans MT"/>
          <w:sz w:val="18"/>
        </w:rPr>
        <w:sectPr w:rsidR="002653E8">
          <w:type w:val="continuous"/>
          <w:pgSz w:w="8640" w:h="12960"/>
          <w:pgMar w:top="0" w:right="0" w:bottom="0" w:left="0" w:header="720" w:footer="720" w:gutter="0"/>
          <w:cols w:num="2" w:space="720" w:equalWidth="0">
            <w:col w:w="4286" w:space="40"/>
            <w:col w:w="4314"/>
          </w:cols>
        </w:sectPr>
      </w:pPr>
    </w:p>
    <w:p w14:paraId="26C3750E" w14:textId="77777777" w:rsidR="002653E8" w:rsidRDefault="002653E8">
      <w:pPr>
        <w:pStyle w:val="a3"/>
        <w:rPr>
          <w:rFonts w:ascii="Gill Sans MT"/>
        </w:rPr>
      </w:pPr>
    </w:p>
    <w:p w14:paraId="336E6E62" w14:textId="77777777" w:rsidR="002653E8" w:rsidRDefault="002653E8">
      <w:pPr>
        <w:pStyle w:val="a3"/>
        <w:spacing w:before="5"/>
        <w:rPr>
          <w:rFonts w:ascii="Gill Sans MT"/>
          <w:sz w:val="21"/>
        </w:rPr>
      </w:pPr>
    </w:p>
    <w:p w14:paraId="2E8D6657" w14:textId="77777777" w:rsidR="002653E8" w:rsidRDefault="002653E8">
      <w:pPr>
        <w:rPr>
          <w:rFonts w:ascii="Gill Sans MT"/>
          <w:sz w:val="21"/>
        </w:rPr>
        <w:sectPr w:rsidR="002653E8">
          <w:type w:val="continuous"/>
          <w:pgSz w:w="8640" w:h="12960"/>
          <w:pgMar w:top="0" w:right="0" w:bottom="0" w:left="0" w:header="720" w:footer="720" w:gutter="0"/>
          <w:cols w:space="720"/>
        </w:sectPr>
      </w:pPr>
    </w:p>
    <w:p w14:paraId="019BEF0D" w14:textId="77777777" w:rsidR="002653E8" w:rsidRDefault="003115E3">
      <w:pPr>
        <w:spacing w:before="144"/>
        <w:ind w:left="1327"/>
        <w:rPr>
          <w:sz w:val="18"/>
        </w:rPr>
      </w:pPr>
      <w:r>
        <w:rPr>
          <w:color w:val="231F20"/>
          <w:w w:val="120"/>
          <w:sz w:val="18"/>
        </w:rPr>
        <w:t>a chronology</w:t>
      </w:r>
      <w:r>
        <w:rPr>
          <w:color w:val="231F20"/>
          <w:sz w:val="18"/>
        </w:rPr>
        <w:t xml:space="preserve"> </w:t>
      </w:r>
    </w:p>
    <w:p w14:paraId="562E7839" w14:textId="77777777" w:rsidR="002653E8" w:rsidRDefault="003115E3">
      <w:pPr>
        <w:spacing w:before="5"/>
        <w:ind w:left="1327"/>
        <w:rPr>
          <w:sz w:val="18"/>
        </w:rPr>
      </w:pPr>
      <w:r>
        <w:rPr>
          <w:color w:val="231F20"/>
          <w:w w:val="105"/>
          <w:sz w:val="18"/>
        </w:rPr>
        <w:t>december 10, 1966</w:t>
      </w:r>
      <w:r>
        <w:rPr>
          <w:color w:val="231F20"/>
          <w:sz w:val="18"/>
        </w:rPr>
        <w:t xml:space="preserve"> </w:t>
      </w:r>
    </w:p>
    <w:p w14:paraId="4FC70CE2" w14:textId="77777777" w:rsidR="002653E8" w:rsidRDefault="003115E3">
      <w:pPr>
        <w:spacing w:before="99"/>
        <w:ind w:left="1346" w:right="1141"/>
        <w:jc w:val="center"/>
        <w:rPr>
          <w:sz w:val="18"/>
        </w:rPr>
      </w:pPr>
      <w:r>
        <w:br w:type="column"/>
      </w:r>
      <w:r>
        <w:rPr>
          <w:color w:val="231F20"/>
          <w:sz w:val="18"/>
        </w:rPr>
        <w:t xml:space="preserve">579 </w:t>
      </w:r>
    </w:p>
    <w:p w14:paraId="224607CE" w14:textId="77777777" w:rsidR="002653E8" w:rsidRDefault="002653E8">
      <w:pPr>
        <w:jc w:val="center"/>
        <w:rPr>
          <w:sz w:val="18"/>
        </w:rPr>
        <w:sectPr w:rsidR="002653E8">
          <w:type w:val="continuous"/>
          <w:pgSz w:w="8640" w:h="12960"/>
          <w:pgMar w:top="0" w:right="0" w:bottom="0" w:left="0" w:header="720" w:footer="720" w:gutter="0"/>
          <w:cols w:num="2" w:space="720" w:equalWidth="0">
            <w:col w:w="3401" w:space="2413"/>
            <w:col w:w="2826"/>
          </w:cols>
        </w:sectPr>
      </w:pPr>
    </w:p>
    <w:p w14:paraId="73A62B2C" w14:textId="77777777" w:rsidR="002653E8" w:rsidRDefault="003115E3">
      <w:pPr>
        <w:pStyle w:val="5"/>
        <w:spacing w:before="77"/>
        <w:ind w:left="1147"/>
      </w:pPr>
      <w:r>
        <w:rPr>
          <w:color w:val="231F20"/>
          <w:w w:val="120"/>
        </w:rPr>
        <w:lastRenderedPageBreak/>
        <w:t>1967</w:t>
      </w:r>
    </w:p>
    <w:p w14:paraId="48D31FCF" w14:textId="77777777" w:rsidR="002653E8" w:rsidRDefault="003115E3">
      <w:pPr>
        <w:spacing w:before="12"/>
        <w:ind w:left="1147"/>
        <w:rPr>
          <w:rFonts w:ascii="Arial"/>
          <w:b/>
          <w:sz w:val="18"/>
        </w:rPr>
      </w:pPr>
      <w:r>
        <w:rPr>
          <w:rFonts w:ascii="Arial"/>
          <w:b/>
          <w:color w:val="231F20"/>
          <w:w w:val="115"/>
          <w:sz w:val="18"/>
        </w:rPr>
        <w:t>January 1, 1967</w:t>
      </w:r>
    </w:p>
    <w:p w14:paraId="66782688" w14:textId="77777777" w:rsidR="002653E8" w:rsidRDefault="003115E3">
      <w:pPr>
        <w:spacing w:before="34" w:line="276" w:lineRule="auto"/>
        <w:ind w:left="1147" w:right="-16"/>
        <w:rPr>
          <w:rFonts w:ascii="Gill Sans MT"/>
          <w:sz w:val="18"/>
        </w:rPr>
      </w:pPr>
      <w:r>
        <w:rPr>
          <w:rFonts w:ascii="Gill Sans MT"/>
          <w:color w:val="231F20"/>
          <w:w w:val="110"/>
          <w:sz w:val="18"/>
        </w:rPr>
        <w:t xml:space="preserve">Kommune 1 founded in </w:t>
      </w:r>
      <w:r>
        <w:rPr>
          <w:rFonts w:ascii="Gill Sans MT"/>
          <w:color w:val="231F20"/>
          <w:spacing w:val="-3"/>
          <w:w w:val="110"/>
          <w:sz w:val="18"/>
        </w:rPr>
        <w:t>West</w:t>
      </w:r>
      <w:r>
        <w:rPr>
          <w:rFonts w:ascii="Gill Sans MT"/>
          <w:color w:val="231F20"/>
          <w:spacing w:val="-30"/>
          <w:w w:val="110"/>
          <w:sz w:val="18"/>
        </w:rPr>
        <w:t xml:space="preserve"> </w:t>
      </w:r>
      <w:r>
        <w:rPr>
          <w:rFonts w:ascii="Gill Sans MT"/>
          <w:color w:val="231F20"/>
          <w:w w:val="110"/>
          <w:sz w:val="18"/>
        </w:rPr>
        <w:t>Berlin. The first commune to come out of the student movement, it</w:t>
      </w:r>
      <w:r>
        <w:rPr>
          <w:rFonts w:ascii="Gill Sans MT"/>
          <w:color w:val="231F20"/>
          <w:spacing w:val="-5"/>
          <w:w w:val="110"/>
          <w:sz w:val="18"/>
        </w:rPr>
        <w:t xml:space="preserve"> </w:t>
      </w:r>
      <w:r>
        <w:rPr>
          <w:rFonts w:ascii="Gill Sans MT"/>
          <w:color w:val="231F20"/>
          <w:w w:val="110"/>
          <w:sz w:val="18"/>
        </w:rPr>
        <w:t>represents the anarchist</w:t>
      </w:r>
      <w:r>
        <w:rPr>
          <w:rFonts w:ascii="Gill Sans MT"/>
          <w:color w:val="231F20"/>
          <w:spacing w:val="-9"/>
          <w:w w:val="110"/>
          <w:sz w:val="18"/>
        </w:rPr>
        <w:t xml:space="preserve"> </w:t>
      </w:r>
      <w:r>
        <w:rPr>
          <w:rFonts w:ascii="Gill Sans MT"/>
          <w:color w:val="231F20"/>
          <w:w w:val="110"/>
          <w:sz w:val="18"/>
        </w:rPr>
        <w:t>tendency.</w:t>
      </w:r>
    </w:p>
    <w:p w14:paraId="2A6B238C" w14:textId="77777777" w:rsidR="002653E8" w:rsidRDefault="002653E8">
      <w:pPr>
        <w:pStyle w:val="a3"/>
        <w:spacing w:before="6"/>
        <w:rPr>
          <w:rFonts w:ascii="Gill Sans MT"/>
        </w:rPr>
      </w:pPr>
    </w:p>
    <w:p w14:paraId="6B3F7A2A" w14:textId="77777777" w:rsidR="002653E8" w:rsidRDefault="003115E3">
      <w:pPr>
        <w:spacing w:before="1"/>
        <w:ind w:left="1147"/>
        <w:rPr>
          <w:rFonts w:ascii="Arial" w:hAnsi="Arial"/>
          <w:b/>
          <w:sz w:val="18"/>
        </w:rPr>
      </w:pPr>
      <w:r>
        <w:rPr>
          <w:rFonts w:ascii="Arial" w:hAnsi="Arial"/>
          <w:b/>
          <w:color w:val="231F20"/>
          <w:w w:val="115"/>
          <w:sz w:val="18"/>
        </w:rPr>
        <w:t>March 25–27, 1967</w:t>
      </w:r>
    </w:p>
    <w:p w14:paraId="7D3E81F5" w14:textId="77777777" w:rsidR="002653E8" w:rsidRDefault="003115E3">
      <w:pPr>
        <w:spacing w:before="33" w:line="276" w:lineRule="auto"/>
        <w:ind w:left="1147" w:right="291"/>
        <w:rPr>
          <w:rFonts w:ascii="Gill Sans MT" w:hAnsi="Gill Sans MT"/>
          <w:sz w:val="18"/>
        </w:rPr>
      </w:pPr>
      <w:r>
        <w:rPr>
          <w:rFonts w:ascii="Arial" w:hAnsi="Arial"/>
          <w:b/>
          <w:color w:val="231F20"/>
          <w:w w:val="110"/>
          <w:sz w:val="18"/>
        </w:rPr>
        <w:t xml:space="preserve">(Easter Weekend) </w:t>
      </w:r>
      <w:r>
        <w:rPr>
          <w:rFonts w:ascii="Gill Sans MT" w:hAnsi="Gill Sans MT"/>
          <w:color w:val="231F20"/>
          <w:w w:val="110"/>
          <w:sz w:val="18"/>
        </w:rPr>
        <w:t>demostrations occur throughout West Germany against the government’s antidemocratic measures and against the Vietnam War.</w:t>
      </w:r>
    </w:p>
    <w:p w14:paraId="620C9900" w14:textId="77777777" w:rsidR="002653E8" w:rsidRDefault="002653E8">
      <w:pPr>
        <w:pStyle w:val="a3"/>
        <w:spacing w:before="9"/>
        <w:rPr>
          <w:rFonts w:ascii="Gill Sans MT"/>
        </w:rPr>
      </w:pPr>
    </w:p>
    <w:p w14:paraId="18567EBA" w14:textId="77777777" w:rsidR="002653E8" w:rsidRDefault="003115E3">
      <w:pPr>
        <w:ind w:left="1147"/>
        <w:rPr>
          <w:rFonts w:ascii="Arial"/>
          <w:b/>
          <w:sz w:val="18"/>
        </w:rPr>
      </w:pPr>
      <w:r>
        <w:rPr>
          <w:rFonts w:ascii="Arial"/>
          <w:b/>
          <w:color w:val="231F20"/>
          <w:w w:val="115"/>
          <w:sz w:val="18"/>
        </w:rPr>
        <w:t>April 5, 1967</w:t>
      </w:r>
    </w:p>
    <w:p w14:paraId="4948645C" w14:textId="77777777" w:rsidR="002653E8" w:rsidRDefault="003115E3">
      <w:pPr>
        <w:spacing w:before="35" w:line="276" w:lineRule="auto"/>
        <w:ind w:left="1147" w:right="63" w:hanging="1"/>
        <w:rPr>
          <w:rFonts w:ascii="Gill Sans MT"/>
          <w:sz w:val="18"/>
        </w:rPr>
      </w:pPr>
      <w:r>
        <w:rPr>
          <w:rFonts w:ascii="Gill Sans MT"/>
          <w:color w:val="231F20"/>
          <w:w w:val="110"/>
          <w:sz w:val="18"/>
        </w:rPr>
        <w:t>Kommune 1 carries out a pudding attack on u.S. Vice President, Hubert Humphrey, in West Berlin, which is followed by arrests and an intense media smear campaign.</w:t>
      </w:r>
    </w:p>
    <w:p w14:paraId="793EFF80" w14:textId="77777777" w:rsidR="002653E8" w:rsidRDefault="002653E8">
      <w:pPr>
        <w:pStyle w:val="a3"/>
        <w:spacing w:before="6"/>
        <w:rPr>
          <w:rFonts w:ascii="Gill Sans MT"/>
        </w:rPr>
      </w:pPr>
    </w:p>
    <w:p w14:paraId="00DCC8CA" w14:textId="77777777" w:rsidR="002653E8" w:rsidRDefault="003115E3">
      <w:pPr>
        <w:ind w:left="1147"/>
        <w:rPr>
          <w:rFonts w:ascii="Arial"/>
          <w:b/>
          <w:sz w:val="18"/>
        </w:rPr>
      </w:pPr>
      <w:r>
        <w:rPr>
          <w:rFonts w:ascii="Arial"/>
          <w:b/>
          <w:color w:val="231F20"/>
          <w:w w:val="115"/>
          <w:sz w:val="18"/>
        </w:rPr>
        <w:t>April 19, 1967</w:t>
      </w:r>
    </w:p>
    <w:p w14:paraId="310FA774" w14:textId="77777777" w:rsidR="002653E8" w:rsidRDefault="003115E3">
      <w:pPr>
        <w:spacing w:before="33" w:line="276" w:lineRule="auto"/>
        <w:ind w:left="1147" w:right="638"/>
        <w:jc w:val="both"/>
        <w:rPr>
          <w:rFonts w:ascii="Gill Sans MT"/>
          <w:sz w:val="18"/>
        </w:rPr>
      </w:pPr>
      <w:r>
        <w:rPr>
          <w:rFonts w:ascii="Arial"/>
          <w:color w:val="231F20"/>
          <w:w w:val="110"/>
          <w:sz w:val="18"/>
        </w:rPr>
        <w:t>2</w:t>
      </w:r>
      <w:r>
        <w:rPr>
          <w:rFonts w:ascii="Gill Sans MT"/>
          <w:color w:val="231F20"/>
          <w:w w:val="110"/>
          <w:sz w:val="18"/>
        </w:rPr>
        <w:t>,</w:t>
      </w:r>
      <w:r>
        <w:rPr>
          <w:rFonts w:ascii="Arial"/>
          <w:color w:val="231F20"/>
          <w:w w:val="110"/>
          <w:sz w:val="18"/>
        </w:rPr>
        <w:t xml:space="preserve">000 </w:t>
      </w:r>
      <w:r>
        <w:rPr>
          <w:rFonts w:ascii="Gill Sans MT"/>
          <w:color w:val="231F20"/>
          <w:w w:val="110"/>
          <w:sz w:val="18"/>
        </w:rPr>
        <w:t>students participate</w:t>
      </w:r>
      <w:r>
        <w:rPr>
          <w:rFonts w:ascii="Gill Sans MT"/>
          <w:color w:val="231F20"/>
          <w:spacing w:val="-12"/>
          <w:w w:val="110"/>
          <w:sz w:val="18"/>
        </w:rPr>
        <w:t xml:space="preserve"> </w:t>
      </w:r>
      <w:r>
        <w:rPr>
          <w:rFonts w:ascii="Gill Sans MT"/>
          <w:color w:val="231F20"/>
          <w:w w:val="110"/>
          <w:sz w:val="18"/>
        </w:rPr>
        <w:t>in a sit-in at the Free university in</w:t>
      </w:r>
      <w:r>
        <w:rPr>
          <w:rFonts w:ascii="Gill Sans MT"/>
          <w:color w:val="231F20"/>
          <w:spacing w:val="-13"/>
          <w:w w:val="110"/>
          <w:sz w:val="18"/>
        </w:rPr>
        <w:t xml:space="preserve"> </w:t>
      </w:r>
      <w:r>
        <w:rPr>
          <w:rFonts w:ascii="Gill Sans MT"/>
          <w:color w:val="231F20"/>
          <w:spacing w:val="-3"/>
          <w:w w:val="110"/>
          <w:sz w:val="18"/>
        </w:rPr>
        <w:t>West</w:t>
      </w:r>
      <w:r>
        <w:rPr>
          <w:rFonts w:ascii="Gill Sans MT"/>
          <w:color w:val="231F20"/>
          <w:spacing w:val="-13"/>
          <w:w w:val="110"/>
          <w:sz w:val="18"/>
        </w:rPr>
        <w:t xml:space="preserve"> </w:t>
      </w:r>
      <w:r>
        <w:rPr>
          <w:rFonts w:ascii="Gill Sans MT"/>
          <w:color w:val="231F20"/>
          <w:w w:val="110"/>
          <w:sz w:val="18"/>
        </w:rPr>
        <w:t>Berlin</w:t>
      </w:r>
      <w:r>
        <w:rPr>
          <w:rFonts w:ascii="Gill Sans MT"/>
          <w:color w:val="231F20"/>
          <w:spacing w:val="-13"/>
          <w:w w:val="110"/>
          <w:sz w:val="18"/>
        </w:rPr>
        <w:t xml:space="preserve"> </w:t>
      </w:r>
      <w:r>
        <w:rPr>
          <w:rFonts w:ascii="Gill Sans MT"/>
          <w:color w:val="231F20"/>
          <w:w w:val="110"/>
          <w:sz w:val="18"/>
        </w:rPr>
        <w:t>to</w:t>
      </w:r>
      <w:r>
        <w:rPr>
          <w:rFonts w:ascii="Gill Sans MT"/>
          <w:color w:val="231F20"/>
          <w:spacing w:val="-13"/>
          <w:w w:val="110"/>
          <w:sz w:val="18"/>
        </w:rPr>
        <w:t xml:space="preserve"> </w:t>
      </w:r>
      <w:r>
        <w:rPr>
          <w:rFonts w:ascii="Gill Sans MT"/>
          <w:color w:val="231F20"/>
          <w:w w:val="110"/>
          <w:sz w:val="18"/>
        </w:rPr>
        <w:t>protest</w:t>
      </w:r>
      <w:r>
        <w:rPr>
          <w:rFonts w:ascii="Gill Sans MT"/>
          <w:color w:val="231F20"/>
          <w:spacing w:val="-13"/>
          <w:w w:val="110"/>
          <w:sz w:val="18"/>
        </w:rPr>
        <w:t xml:space="preserve"> </w:t>
      </w:r>
      <w:r>
        <w:rPr>
          <w:rFonts w:ascii="Gill Sans MT"/>
          <w:color w:val="231F20"/>
          <w:w w:val="110"/>
          <w:sz w:val="18"/>
        </w:rPr>
        <w:t>the</w:t>
      </w:r>
    </w:p>
    <w:p w14:paraId="4097DE37" w14:textId="77777777" w:rsidR="002653E8" w:rsidRDefault="003115E3">
      <w:pPr>
        <w:spacing w:line="276" w:lineRule="auto"/>
        <w:ind w:left="1147" w:right="-14"/>
        <w:rPr>
          <w:rFonts w:ascii="Gill Sans MT" w:hAnsi="Gill Sans MT"/>
          <w:sz w:val="18"/>
        </w:rPr>
      </w:pPr>
      <w:r>
        <w:rPr>
          <w:rFonts w:ascii="Gill Sans MT" w:hAnsi="Gill Sans MT"/>
          <w:color w:val="231F20"/>
          <w:w w:val="110"/>
          <w:sz w:val="18"/>
        </w:rPr>
        <w:t xml:space="preserve">university’s disciplinary measures against Fu students arrested with Kommune 1 members in connection with the pudding attack against Hubert Humphrey on April </w:t>
      </w:r>
      <w:r>
        <w:rPr>
          <w:rFonts w:ascii="Arial" w:hAnsi="Arial"/>
          <w:color w:val="231F20"/>
          <w:w w:val="110"/>
          <w:sz w:val="18"/>
        </w:rPr>
        <w:t>5</w:t>
      </w:r>
      <w:r>
        <w:rPr>
          <w:rFonts w:ascii="Gill Sans MT" w:hAnsi="Gill Sans MT"/>
          <w:color w:val="231F20"/>
          <w:w w:val="110"/>
          <w:sz w:val="18"/>
        </w:rPr>
        <w:t>.</w:t>
      </w:r>
    </w:p>
    <w:p w14:paraId="1D34B77E" w14:textId="77777777" w:rsidR="002653E8" w:rsidRDefault="002653E8">
      <w:pPr>
        <w:pStyle w:val="a3"/>
        <w:spacing w:before="5"/>
        <w:rPr>
          <w:rFonts w:ascii="Gill Sans MT"/>
        </w:rPr>
      </w:pPr>
    </w:p>
    <w:p w14:paraId="0A700DEE" w14:textId="77777777" w:rsidR="002653E8" w:rsidRDefault="003115E3">
      <w:pPr>
        <w:ind w:left="1147"/>
        <w:rPr>
          <w:rFonts w:ascii="Arial"/>
          <w:b/>
          <w:sz w:val="18"/>
        </w:rPr>
      </w:pPr>
      <w:r>
        <w:rPr>
          <w:rFonts w:ascii="Arial"/>
          <w:b/>
          <w:color w:val="231F20"/>
          <w:w w:val="115"/>
          <w:sz w:val="18"/>
        </w:rPr>
        <w:t>April 21, 1967</w:t>
      </w:r>
    </w:p>
    <w:p w14:paraId="07D31CEF" w14:textId="77777777" w:rsidR="002653E8" w:rsidRDefault="003115E3">
      <w:pPr>
        <w:spacing w:before="34" w:line="276" w:lineRule="auto"/>
        <w:ind w:left="1147" w:right="115"/>
        <w:rPr>
          <w:rFonts w:ascii="Gill Sans MT"/>
          <w:sz w:val="18"/>
        </w:rPr>
      </w:pPr>
      <w:r>
        <w:rPr>
          <w:rFonts w:ascii="Gill Sans MT"/>
          <w:color w:val="231F20"/>
          <w:w w:val="115"/>
          <w:sz w:val="18"/>
        </w:rPr>
        <w:t>With</w:t>
      </w:r>
      <w:r>
        <w:rPr>
          <w:rFonts w:ascii="Gill Sans MT"/>
          <w:color w:val="231F20"/>
          <w:spacing w:val="-32"/>
          <w:w w:val="115"/>
          <w:sz w:val="18"/>
        </w:rPr>
        <w:t xml:space="preserve"> </w:t>
      </w:r>
      <w:r>
        <w:rPr>
          <w:rFonts w:ascii="Gill Sans MT"/>
          <w:color w:val="231F20"/>
          <w:w w:val="115"/>
          <w:sz w:val="18"/>
        </w:rPr>
        <w:t>support</w:t>
      </w:r>
      <w:r>
        <w:rPr>
          <w:rFonts w:ascii="Gill Sans MT"/>
          <w:color w:val="231F20"/>
          <w:spacing w:val="-32"/>
          <w:w w:val="115"/>
          <w:sz w:val="18"/>
        </w:rPr>
        <w:t xml:space="preserve"> </w:t>
      </w:r>
      <w:r>
        <w:rPr>
          <w:rFonts w:ascii="Gill Sans MT"/>
          <w:color w:val="231F20"/>
          <w:w w:val="115"/>
          <w:sz w:val="18"/>
        </w:rPr>
        <w:t>from</w:t>
      </w:r>
      <w:r>
        <w:rPr>
          <w:rFonts w:ascii="Gill Sans MT"/>
          <w:color w:val="231F20"/>
          <w:spacing w:val="-32"/>
          <w:w w:val="115"/>
          <w:sz w:val="18"/>
        </w:rPr>
        <w:t xml:space="preserve"> </w:t>
      </w:r>
      <w:r>
        <w:rPr>
          <w:rFonts w:ascii="Gill Sans MT"/>
          <w:color w:val="231F20"/>
          <w:spacing w:val="-4"/>
          <w:w w:val="115"/>
          <w:sz w:val="18"/>
        </w:rPr>
        <w:t>NATO,</w:t>
      </w:r>
      <w:r>
        <w:rPr>
          <w:rFonts w:ascii="Gill Sans MT"/>
          <w:color w:val="231F20"/>
          <w:spacing w:val="-32"/>
          <w:w w:val="115"/>
          <w:sz w:val="18"/>
        </w:rPr>
        <w:t xml:space="preserve"> </w:t>
      </w:r>
      <w:r>
        <w:rPr>
          <w:rFonts w:ascii="Gill Sans MT"/>
          <w:color w:val="231F20"/>
          <w:w w:val="115"/>
          <w:sz w:val="18"/>
        </w:rPr>
        <w:t>a</w:t>
      </w:r>
      <w:r>
        <w:rPr>
          <w:rFonts w:ascii="Gill Sans MT"/>
          <w:color w:val="231F20"/>
          <w:spacing w:val="-32"/>
          <w:w w:val="115"/>
          <w:sz w:val="18"/>
        </w:rPr>
        <w:t xml:space="preserve"> </w:t>
      </w:r>
      <w:r>
        <w:rPr>
          <w:rFonts w:ascii="Gill Sans MT"/>
          <w:color w:val="231F20"/>
          <w:w w:val="115"/>
          <w:sz w:val="18"/>
        </w:rPr>
        <w:t>coup establishes</w:t>
      </w:r>
      <w:r>
        <w:rPr>
          <w:rFonts w:ascii="Gill Sans MT"/>
          <w:color w:val="231F20"/>
          <w:spacing w:val="-28"/>
          <w:w w:val="115"/>
          <w:sz w:val="18"/>
        </w:rPr>
        <w:t xml:space="preserve"> </w:t>
      </w:r>
      <w:r>
        <w:rPr>
          <w:rFonts w:ascii="Gill Sans MT"/>
          <w:color w:val="231F20"/>
          <w:w w:val="115"/>
          <w:sz w:val="18"/>
        </w:rPr>
        <w:t>a</w:t>
      </w:r>
      <w:r>
        <w:rPr>
          <w:rFonts w:ascii="Gill Sans MT"/>
          <w:color w:val="231F20"/>
          <w:spacing w:val="-28"/>
          <w:w w:val="115"/>
          <w:sz w:val="18"/>
        </w:rPr>
        <w:t xml:space="preserve"> </w:t>
      </w:r>
      <w:r>
        <w:rPr>
          <w:rFonts w:ascii="Gill Sans MT"/>
          <w:color w:val="231F20"/>
          <w:w w:val="115"/>
          <w:sz w:val="18"/>
        </w:rPr>
        <w:t>far-right</w:t>
      </w:r>
      <w:r>
        <w:rPr>
          <w:rFonts w:ascii="Gill Sans MT"/>
          <w:color w:val="231F20"/>
          <w:spacing w:val="-28"/>
          <w:w w:val="115"/>
          <w:sz w:val="18"/>
        </w:rPr>
        <w:t xml:space="preserve"> </w:t>
      </w:r>
      <w:r>
        <w:rPr>
          <w:rFonts w:ascii="Gill Sans MT"/>
          <w:color w:val="231F20"/>
          <w:w w:val="115"/>
          <w:sz w:val="18"/>
        </w:rPr>
        <w:t>military</w:t>
      </w:r>
      <w:r>
        <w:rPr>
          <w:rFonts w:ascii="Gill Sans MT"/>
          <w:color w:val="231F20"/>
          <w:spacing w:val="-28"/>
          <w:w w:val="115"/>
          <w:sz w:val="18"/>
        </w:rPr>
        <w:t xml:space="preserve"> </w:t>
      </w:r>
      <w:r>
        <w:rPr>
          <w:rFonts w:ascii="Gill Sans MT"/>
          <w:color w:val="231F20"/>
          <w:w w:val="115"/>
          <w:sz w:val="18"/>
        </w:rPr>
        <w:t>junta in</w:t>
      </w:r>
      <w:r>
        <w:rPr>
          <w:rFonts w:ascii="Gill Sans MT"/>
          <w:color w:val="231F20"/>
          <w:spacing w:val="-9"/>
          <w:w w:val="115"/>
          <w:sz w:val="18"/>
        </w:rPr>
        <w:t xml:space="preserve"> </w:t>
      </w:r>
      <w:r>
        <w:rPr>
          <w:rFonts w:ascii="Gill Sans MT"/>
          <w:color w:val="231F20"/>
          <w:w w:val="115"/>
          <w:sz w:val="18"/>
        </w:rPr>
        <w:t>Greece.</w:t>
      </w:r>
    </w:p>
    <w:p w14:paraId="4909BC83" w14:textId="77777777" w:rsidR="002653E8" w:rsidRDefault="002653E8">
      <w:pPr>
        <w:pStyle w:val="a3"/>
        <w:spacing w:before="7"/>
        <w:rPr>
          <w:rFonts w:ascii="Gill Sans MT"/>
        </w:rPr>
      </w:pPr>
    </w:p>
    <w:p w14:paraId="1591D691" w14:textId="77777777" w:rsidR="002653E8" w:rsidRDefault="003115E3">
      <w:pPr>
        <w:ind w:left="1147"/>
        <w:rPr>
          <w:rFonts w:ascii="Arial"/>
          <w:b/>
          <w:sz w:val="18"/>
        </w:rPr>
      </w:pPr>
      <w:r>
        <w:rPr>
          <w:rFonts w:ascii="Arial"/>
          <w:b/>
          <w:color w:val="231F20"/>
          <w:w w:val="120"/>
          <w:sz w:val="18"/>
        </w:rPr>
        <w:t>May 12, 1967</w:t>
      </w:r>
    </w:p>
    <w:p w14:paraId="16E13E83" w14:textId="77777777" w:rsidR="002653E8" w:rsidRDefault="003115E3">
      <w:pPr>
        <w:spacing w:before="34" w:line="276" w:lineRule="auto"/>
        <w:ind w:left="1147" w:right="604"/>
        <w:rPr>
          <w:rFonts w:ascii="Gill Sans MT"/>
          <w:sz w:val="18"/>
        </w:rPr>
      </w:pPr>
      <w:r>
        <w:rPr>
          <w:rFonts w:ascii="Gill Sans MT"/>
          <w:color w:val="231F20"/>
          <w:w w:val="115"/>
          <w:sz w:val="18"/>
        </w:rPr>
        <w:t>Kommune</w:t>
      </w:r>
      <w:r>
        <w:rPr>
          <w:rFonts w:ascii="Gill Sans MT"/>
          <w:color w:val="231F20"/>
          <w:spacing w:val="-30"/>
          <w:w w:val="115"/>
          <w:sz w:val="18"/>
        </w:rPr>
        <w:t xml:space="preserve"> </w:t>
      </w:r>
      <w:r>
        <w:rPr>
          <w:rFonts w:ascii="Gill Sans MT"/>
          <w:color w:val="231F20"/>
          <w:w w:val="115"/>
          <w:sz w:val="18"/>
        </w:rPr>
        <w:t>1</w:t>
      </w:r>
      <w:r>
        <w:rPr>
          <w:rFonts w:ascii="Gill Sans MT"/>
          <w:color w:val="231F20"/>
          <w:spacing w:val="-30"/>
          <w:w w:val="115"/>
          <w:sz w:val="18"/>
        </w:rPr>
        <w:t xml:space="preserve"> </w:t>
      </w:r>
      <w:r>
        <w:rPr>
          <w:rFonts w:ascii="Gill Sans MT"/>
          <w:color w:val="231F20"/>
          <w:w w:val="115"/>
          <w:sz w:val="18"/>
        </w:rPr>
        <w:t>is</w:t>
      </w:r>
      <w:r>
        <w:rPr>
          <w:rFonts w:ascii="Gill Sans MT"/>
          <w:color w:val="231F20"/>
          <w:spacing w:val="-30"/>
          <w:w w:val="115"/>
          <w:sz w:val="18"/>
        </w:rPr>
        <w:t xml:space="preserve"> </w:t>
      </w:r>
      <w:r>
        <w:rPr>
          <w:rFonts w:ascii="Gill Sans MT"/>
          <w:color w:val="231F20"/>
          <w:w w:val="115"/>
          <w:sz w:val="18"/>
        </w:rPr>
        <w:t>expelled</w:t>
      </w:r>
      <w:r>
        <w:rPr>
          <w:rFonts w:ascii="Gill Sans MT"/>
          <w:color w:val="231F20"/>
          <w:spacing w:val="-30"/>
          <w:w w:val="115"/>
          <w:sz w:val="18"/>
        </w:rPr>
        <w:t xml:space="preserve"> </w:t>
      </w:r>
      <w:r>
        <w:rPr>
          <w:rFonts w:ascii="Gill Sans MT"/>
          <w:color w:val="231F20"/>
          <w:w w:val="115"/>
          <w:sz w:val="18"/>
        </w:rPr>
        <w:t>from the</w:t>
      </w:r>
      <w:r>
        <w:rPr>
          <w:rFonts w:ascii="Gill Sans MT"/>
          <w:color w:val="231F20"/>
          <w:spacing w:val="-7"/>
          <w:w w:val="115"/>
          <w:sz w:val="18"/>
        </w:rPr>
        <w:t xml:space="preserve"> </w:t>
      </w:r>
      <w:r>
        <w:rPr>
          <w:rFonts w:ascii="Gill Sans MT"/>
          <w:color w:val="231F20"/>
          <w:w w:val="115"/>
          <w:sz w:val="18"/>
        </w:rPr>
        <w:t>SdS.</w:t>
      </w:r>
    </w:p>
    <w:p w14:paraId="5A27E627" w14:textId="77777777" w:rsidR="002653E8" w:rsidRDefault="003115E3">
      <w:pPr>
        <w:spacing w:before="109"/>
        <w:ind w:left="216"/>
        <w:rPr>
          <w:rFonts w:ascii="Arial"/>
          <w:b/>
          <w:sz w:val="18"/>
        </w:rPr>
      </w:pPr>
      <w:r>
        <w:br w:type="column"/>
      </w:r>
      <w:r>
        <w:rPr>
          <w:rFonts w:ascii="Arial"/>
          <w:b/>
          <w:color w:val="231F20"/>
          <w:w w:val="120"/>
          <w:sz w:val="18"/>
        </w:rPr>
        <w:t>May 20, 1967</w:t>
      </w:r>
    </w:p>
    <w:p w14:paraId="47B559B5" w14:textId="77777777" w:rsidR="002653E8" w:rsidRDefault="003115E3">
      <w:pPr>
        <w:spacing w:before="35" w:line="276" w:lineRule="auto"/>
        <w:ind w:left="216" w:right="1607"/>
        <w:rPr>
          <w:rFonts w:ascii="Gill Sans MT"/>
          <w:sz w:val="18"/>
        </w:rPr>
      </w:pPr>
      <w:r>
        <w:rPr>
          <w:rFonts w:ascii="Gill Sans MT"/>
          <w:color w:val="231F20"/>
          <w:w w:val="115"/>
          <w:sz w:val="18"/>
        </w:rPr>
        <w:t>The Republican Club, a meeting</w:t>
      </w:r>
      <w:r>
        <w:rPr>
          <w:rFonts w:ascii="Gill Sans MT"/>
          <w:color w:val="231F20"/>
          <w:w w:val="116"/>
          <w:sz w:val="18"/>
        </w:rPr>
        <w:t xml:space="preserve"> </w:t>
      </w:r>
      <w:r>
        <w:rPr>
          <w:rFonts w:ascii="Gill Sans MT"/>
          <w:color w:val="231F20"/>
          <w:w w:val="115"/>
          <w:sz w:val="18"/>
        </w:rPr>
        <w:t>place for leftists, opens in</w:t>
      </w:r>
    </w:p>
    <w:p w14:paraId="133F520B" w14:textId="77777777" w:rsidR="002653E8" w:rsidRDefault="003115E3">
      <w:pPr>
        <w:spacing w:line="276" w:lineRule="auto"/>
        <w:ind w:left="216" w:right="1804"/>
        <w:rPr>
          <w:rFonts w:ascii="Gill Sans MT"/>
          <w:sz w:val="18"/>
        </w:rPr>
      </w:pPr>
      <w:r>
        <w:rPr>
          <w:rFonts w:ascii="Gill Sans MT"/>
          <w:color w:val="231F20"/>
          <w:w w:val="110"/>
          <w:sz w:val="18"/>
        </w:rPr>
        <w:t>West Berlin. Horst Mahler is a founding member.</w:t>
      </w:r>
    </w:p>
    <w:p w14:paraId="7F3B28F0" w14:textId="77777777" w:rsidR="002653E8" w:rsidRDefault="002653E8">
      <w:pPr>
        <w:pStyle w:val="a3"/>
        <w:spacing w:before="6"/>
        <w:rPr>
          <w:rFonts w:ascii="Gill Sans MT"/>
        </w:rPr>
      </w:pPr>
    </w:p>
    <w:p w14:paraId="1B9E8131" w14:textId="77777777" w:rsidR="002653E8" w:rsidRDefault="003115E3">
      <w:pPr>
        <w:ind w:left="216"/>
        <w:rPr>
          <w:rFonts w:ascii="Arial"/>
          <w:b/>
          <w:sz w:val="18"/>
        </w:rPr>
      </w:pPr>
      <w:r>
        <w:rPr>
          <w:rFonts w:ascii="Arial"/>
          <w:b/>
          <w:color w:val="231F20"/>
          <w:w w:val="120"/>
          <w:sz w:val="18"/>
        </w:rPr>
        <w:t>May 24, 1967</w:t>
      </w:r>
    </w:p>
    <w:p w14:paraId="2ACEEDF9" w14:textId="77777777" w:rsidR="002653E8" w:rsidRDefault="003115E3">
      <w:pPr>
        <w:spacing w:before="35" w:line="276" w:lineRule="auto"/>
        <w:ind w:left="216" w:right="1660"/>
        <w:rPr>
          <w:rFonts w:ascii="Gill Sans MT"/>
          <w:sz w:val="18"/>
        </w:rPr>
      </w:pPr>
      <w:r>
        <w:rPr>
          <w:rFonts w:ascii="Gill Sans MT"/>
          <w:color w:val="231F20"/>
          <w:spacing w:val="-7"/>
          <w:w w:val="115"/>
          <w:sz w:val="18"/>
        </w:rPr>
        <w:t xml:space="preserve">Two </w:t>
      </w:r>
      <w:r>
        <w:rPr>
          <w:rFonts w:ascii="Gill Sans MT"/>
          <w:color w:val="231F20"/>
          <w:w w:val="115"/>
          <w:sz w:val="18"/>
        </w:rPr>
        <w:t>days after a fire levels a Brussels department store, Kommune</w:t>
      </w:r>
      <w:r>
        <w:rPr>
          <w:rFonts w:ascii="Gill Sans MT"/>
          <w:color w:val="231F20"/>
          <w:spacing w:val="-22"/>
          <w:w w:val="115"/>
          <w:sz w:val="18"/>
        </w:rPr>
        <w:t xml:space="preserve"> </w:t>
      </w:r>
      <w:r>
        <w:rPr>
          <w:rFonts w:ascii="Gill Sans MT"/>
          <w:color w:val="231F20"/>
          <w:w w:val="115"/>
          <w:sz w:val="18"/>
        </w:rPr>
        <w:t>1</w:t>
      </w:r>
      <w:r>
        <w:rPr>
          <w:rFonts w:ascii="Gill Sans MT"/>
          <w:color w:val="231F20"/>
          <w:spacing w:val="-22"/>
          <w:w w:val="115"/>
          <w:sz w:val="18"/>
        </w:rPr>
        <w:t xml:space="preserve"> </w:t>
      </w:r>
      <w:r>
        <w:rPr>
          <w:rFonts w:ascii="Gill Sans MT"/>
          <w:color w:val="231F20"/>
          <w:w w:val="115"/>
          <w:sz w:val="18"/>
        </w:rPr>
        <w:t>members</w:t>
      </w:r>
      <w:r>
        <w:rPr>
          <w:rFonts w:ascii="Gill Sans MT"/>
          <w:color w:val="231F20"/>
          <w:spacing w:val="-22"/>
          <w:w w:val="115"/>
          <w:sz w:val="18"/>
        </w:rPr>
        <w:t xml:space="preserve"> </w:t>
      </w:r>
      <w:r>
        <w:rPr>
          <w:rFonts w:ascii="Gill Sans MT"/>
          <w:color w:val="231F20"/>
          <w:w w:val="115"/>
          <w:sz w:val="18"/>
        </w:rPr>
        <w:t>pass</w:t>
      </w:r>
      <w:r>
        <w:rPr>
          <w:rFonts w:ascii="Gill Sans MT"/>
          <w:color w:val="231F20"/>
          <w:spacing w:val="-22"/>
          <w:w w:val="115"/>
          <w:sz w:val="18"/>
        </w:rPr>
        <w:t xml:space="preserve"> </w:t>
      </w:r>
      <w:r>
        <w:rPr>
          <w:rFonts w:ascii="Gill Sans MT"/>
          <w:color w:val="231F20"/>
          <w:w w:val="115"/>
          <w:sz w:val="18"/>
        </w:rPr>
        <w:t>out a leaflet suggesting that burning department</w:t>
      </w:r>
      <w:r>
        <w:rPr>
          <w:rFonts w:ascii="Gill Sans MT"/>
          <w:color w:val="231F20"/>
          <w:spacing w:val="-16"/>
          <w:w w:val="115"/>
          <w:sz w:val="18"/>
        </w:rPr>
        <w:t xml:space="preserve"> </w:t>
      </w:r>
      <w:r>
        <w:rPr>
          <w:rFonts w:ascii="Gill Sans MT"/>
          <w:color w:val="231F20"/>
          <w:w w:val="115"/>
          <w:sz w:val="18"/>
        </w:rPr>
        <w:t>stores</w:t>
      </w:r>
      <w:r>
        <w:rPr>
          <w:rFonts w:ascii="Gill Sans MT"/>
          <w:color w:val="231F20"/>
          <w:spacing w:val="-16"/>
          <w:w w:val="115"/>
          <w:sz w:val="18"/>
        </w:rPr>
        <w:t xml:space="preserve"> </w:t>
      </w:r>
      <w:r>
        <w:rPr>
          <w:rFonts w:ascii="Gill Sans MT"/>
          <w:color w:val="231F20"/>
          <w:w w:val="115"/>
          <w:sz w:val="18"/>
        </w:rPr>
        <w:t>might</w:t>
      </w:r>
      <w:r>
        <w:rPr>
          <w:rFonts w:ascii="Gill Sans MT"/>
          <w:color w:val="231F20"/>
          <w:spacing w:val="-16"/>
          <w:w w:val="115"/>
          <w:sz w:val="18"/>
        </w:rPr>
        <w:t xml:space="preserve"> </w:t>
      </w:r>
      <w:r>
        <w:rPr>
          <w:rFonts w:ascii="Gill Sans MT"/>
          <w:color w:val="231F20"/>
          <w:w w:val="115"/>
          <w:sz w:val="18"/>
        </w:rPr>
        <w:t>not</w:t>
      </w:r>
    </w:p>
    <w:p w14:paraId="5F8C33A2" w14:textId="77777777" w:rsidR="002653E8" w:rsidRDefault="003115E3">
      <w:pPr>
        <w:spacing w:line="276" w:lineRule="auto"/>
        <w:ind w:left="216" w:right="1685"/>
        <w:rPr>
          <w:rFonts w:ascii="Gill Sans MT"/>
          <w:sz w:val="18"/>
        </w:rPr>
      </w:pPr>
      <w:r>
        <w:rPr>
          <w:rFonts w:ascii="Gill Sans MT"/>
          <w:color w:val="231F20"/>
          <w:w w:val="110"/>
          <w:sz w:val="18"/>
        </w:rPr>
        <w:t>be such a bad way to advance the revolution. Fritz Teufel and Rainer Langhans are arrested and charged with inciting arson.</w:t>
      </w:r>
    </w:p>
    <w:p w14:paraId="20A5C750" w14:textId="77777777" w:rsidR="002653E8" w:rsidRDefault="002653E8">
      <w:pPr>
        <w:pStyle w:val="a3"/>
        <w:spacing w:before="5"/>
        <w:rPr>
          <w:rFonts w:ascii="Gill Sans MT"/>
        </w:rPr>
      </w:pPr>
    </w:p>
    <w:p w14:paraId="12DC0C66" w14:textId="77777777" w:rsidR="002653E8" w:rsidRDefault="003115E3">
      <w:pPr>
        <w:ind w:left="216"/>
        <w:rPr>
          <w:rFonts w:ascii="Arial"/>
          <w:b/>
          <w:sz w:val="18"/>
        </w:rPr>
      </w:pPr>
      <w:r>
        <w:rPr>
          <w:rFonts w:ascii="Arial"/>
          <w:b/>
          <w:color w:val="231F20"/>
          <w:w w:val="115"/>
          <w:sz w:val="18"/>
        </w:rPr>
        <w:t>June 2, 1967</w:t>
      </w:r>
    </w:p>
    <w:p w14:paraId="1ED471B5" w14:textId="77777777" w:rsidR="002653E8" w:rsidRDefault="003115E3">
      <w:pPr>
        <w:spacing w:before="35" w:line="276" w:lineRule="auto"/>
        <w:ind w:left="216" w:right="1483"/>
        <w:rPr>
          <w:rFonts w:ascii="Gill Sans MT"/>
          <w:sz w:val="18"/>
        </w:rPr>
      </w:pPr>
      <w:r>
        <w:rPr>
          <w:rFonts w:ascii="Gill Sans MT"/>
          <w:color w:val="231F20"/>
          <w:w w:val="110"/>
          <w:sz w:val="18"/>
        </w:rPr>
        <w:t xml:space="preserve">Student Benno Ohnesorg is shot and killed by undercover police officer Karl-Heinz Kurras during a demonstration against a visit by the Shah of Iran to </w:t>
      </w:r>
      <w:r>
        <w:rPr>
          <w:rFonts w:ascii="Gill Sans MT"/>
          <w:color w:val="231F20"/>
          <w:spacing w:val="-3"/>
          <w:w w:val="110"/>
          <w:sz w:val="18"/>
        </w:rPr>
        <w:t xml:space="preserve">West </w:t>
      </w:r>
      <w:r>
        <w:rPr>
          <w:rFonts w:ascii="Gill Sans MT"/>
          <w:color w:val="231F20"/>
          <w:w w:val="110"/>
          <w:sz w:val="18"/>
        </w:rPr>
        <w:t>Berlin. Initially acquitted, Kurras is</w:t>
      </w:r>
      <w:r>
        <w:rPr>
          <w:rFonts w:ascii="Gill Sans MT"/>
          <w:color w:val="231F20"/>
          <w:spacing w:val="-26"/>
          <w:w w:val="110"/>
          <w:sz w:val="18"/>
        </w:rPr>
        <w:t xml:space="preserve"> </w:t>
      </w:r>
      <w:r>
        <w:rPr>
          <w:rFonts w:ascii="Gill Sans MT"/>
          <w:color w:val="231F20"/>
          <w:w w:val="110"/>
          <w:sz w:val="18"/>
        </w:rPr>
        <w:t>retried, convicted and spends four</w:t>
      </w:r>
      <w:r>
        <w:rPr>
          <w:rFonts w:ascii="Gill Sans MT"/>
          <w:color w:val="231F20"/>
          <w:spacing w:val="21"/>
          <w:w w:val="110"/>
          <w:sz w:val="18"/>
        </w:rPr>
        <w:t xml:space="preserve"> </w:t>
      </w:r>
      <w:r>
        <w:rPr>
          <w:rFonts w:ascii="Gill Sans MT"/>
          <w:color w:val="231F20"/>
          <w:w w:val="110"/>
          <w:sz w:val="18"/>
        </w:rPr>
        <w:t>months</w:t>
      </w:r>
    </w:p>
    <w:p w14:paraId="571AFFA0" w14:textId="77777777" w:rsidR="002653E8" w:rsidRDefault="003115E3">
      <w:pPr>
        <w:spacing w:line="208" w:lineRule="exact"/>
        <w:ind w:left="216"/>
        <w:rPr>
          <w:rFonts w:ascii="Gill Sans MT"/>
          <w:sz w:val="18"/>
        </w:rPr>
      </w:pPr>
      <w:r>
        <w:rPr>
          <w:rFonts w:ascii="Gill Sans MT"/>
          <w:color w:val="231F20"/>
          <w:w w:val="110"/>
          <w:sz w:val="18"/>
        </w:rPr>
        <w:t>in jail. He is allowed to retain his job.</w:t>
      </w:r>
    </w:p>
    <w:p w14:paraId="41CD72EB" w14:textId="77777777" w:rsidR="002653E8" w:rsidRDefault="002653E8">
      <w:pPr>
        <w:pStyle w:val="a3"/>
        <w:spacing w:before="3"/>
        <w:rPr>
          <w:rFonts w:ascii="Gill Sans MT"/>
          <w:sz w:val="23"/>
        </w:rPr>
      </w:pPr>
    </w:p>
    <w:p w14:paraId="01BE7A64" w14:textId="77777777" w:rsidR="002653E8" w:rsidRDefault="003115E3">
      <w:pPr>
        <w:ind w:left="216"/>
        <w:rPr>
          <w:rFonts w:ascii="Arial" w:hAnsi="Arial"/>
          <w:b/>
          <w:sz w:val="18"/>
        </w:rPr>
      </w:pPr>
      <w:r>
        <w:rPr>
          <w:rFonts w:ascii="Arial" w:hAnsi="Arial"/>
          <w:b/>
          <w:color w:val="231F20"/>
          <w:w w:val="110"/>
          <w:sz w:val="18"/>
        </w:rPr>
        <w:t>June 3–4, 1967</w:t>
      </w:r>
    </w:p>
    <w:p w14:paraId="0369F9B7" w14:textId="77777777" w:rsidR="002653E8" w:rsidRDefault="003115E3">
      <w:pPr>
        <w:spacing w:before="34" w:line="276" w:lineRule="auto"/>
        <w:ind w:left="216" w:right="1483"/>
        <w:rPr>
          <w:rFonts w:ascii="Gill Sans MT"/>
          <w:sz w:val="18"/>
        </w:rPr>
      </w:pPr>
      <w:r>
        <w:rPr>
          <w:rFonts w:ascii="Gill Sans MT"/>
          <w:color w:val="231F20"/>
          <w:w w:val="110"/>
          <w:sz w:val="18"/>
        </w:rPr>
        <w:t xml:space="preserve">Protests of the killing of Benno Ohnesorg on June </w:t>
      </w:r>
      <w:r>
        <w:rPr>
          <w:rFonts w:ascii="Arial"/>
          <w:color w:val="231F20"/>
          <w:w w:val="110"/>
          <w:sz w:val="18"/>
        </w:rPr>
        <w:t xml:space="preserve">2 </w:t>
      </w:r>
      <w:r>
        <w:rPr>
          <w:rFonts w:ascii="Gill Sans MT"/>
          <w:color w:val="231F20"/>
          <w:w w:val="110"/>
          <w:sz w:val="18"/>
        </w:rPr>
        <w:t>are held at almost every university in West Germany. Violent clashes with the police occur in Hamburg.</w:t>
      </w:r>
    </w:p>
    <w:p w14:paraId="139D9B7B" w14:textId="77777777" w:rsidR="002653E8" w:rsidRDefault="002653E8">
      <w:pPr>
        <w:pStyle w:val="a3"/>
        <w:spacing w:before="5"/>
        <w:rPr>
          <w:rFonts w:ascii="Gill Sans MT"/>
        </w:rPr>
      </w:pPr>
    </w:p>
    <w:p w14:paraId="2062786C" w14:textId="77777777" w:rsidR="002653E8" w:rsidRDefault="003115E3">
      <w:pPr>
        <w:ind w:left="216"/>
        <w:rPr>
          <w:rFonts w:ascii="Arial" w:hAnsi="Arial"/>
          <w:b/>
          <w:sz w:val="18"/>
        </w:rPr>
      </w:pPr>
      <w:r>
        <w:rPr>
          <w:rFonts w:ascii="Arial" w:hAnsi="Arial"/>
          <w:b/>
          <w:color w:val="231F20"/>
          <w:w w:val="115"/>
          <w:sz w:val="18"/>
        </w:rPr>
        <w:t>June 5–11, 1967</w:t>
      </w:r>
    </w:p>
    <w:p w14:paraId="7CB27B0B" w14:textId="77777777" w:rsidR="002653E8" w:rsidRDefault="003115E3">
      <w:pPr>
        <w:spacing w:before="34" w:line="276" w:lineRule="auto"/>
        <w:ind w:left="216" w:right="1442"/>
        <w:rPr>
          <w:rFonts w:ascii="Gill Sans MT" w:hAnsi="Gill Sans MT"/>
          <w:sz w:val="18"/>
        </w:rPr>
      </w:pPr>
      <w:r>
        <w:rPr>
          <w:rFonts w:ascii="Gill Sans MT" w:hAnsi="Gill Sans MT"/>
          <w:color w:val="231F20"/>
          <w:w w:val="110"/>
          <w:sz w:val="18"/>
        </w:rPr>
        <w:t>Israel attacks Egyptian forces in Sinai and the Gaza Strip—Syria and Jordan soon enter the conflict in support of Egypt. Nevertheless, due to its greater military capacity, Israel routes all three Arab armies, in what is known as the Six</w:t>
      </w:r>
      <w:r>
        <w:rPr>
          <w:rFonts w:ascii="Gill Sans MT" w:hAnsi="Gill Sans MT"/>
          <w:color w:val="231F20"/>
          <w:spacing w:val="-15"/>
          <w:w w:val="110"/>
          <w:sz w:val="18"/>
        </w:rPr>
        <w:t xml:space="preserve"> </w:t>
      </w:r>
      <w:r>
        <w:rPr>
          <w:rFonts w:ascii="Gill Sans MT" w:hAnsi="Gill Sans MT"/>
          <w:color w:val="231F20"/>
          <w:w w:val="110"/>
          <w:sz w:val="18"/>
        </w:rPr>
        <w:t>day</w:t>
      </w:r>
    </w:p>
    <w:p w14:paraId="66275934" w14:textId="77777777" w:rsidR="002653E8" w:rsidRDefault="002653E8">
      <w:pPr>
        <w:spacing w:line="276" w:lineRule="auto"/>
        <w:rPr>
          <w:rFonts w:ascii="Gill Sans MT" w:hAnsi="Gill Sans MT"/>
          <w:sz w:val="18"/>
        </w:rPr>
        <w:sectPr w:rsidR="002653E8">
          <w:footerReference w:type="default" r:id="rId495"/>
          <w:pgSz w:w="8640" w:h="12960"/>
          <w:pgMar w:top="1060" w:right="0" w:bottom="280" w:left="0" w:header="0" w:footer="0" w:gutter="0"/>
          <w:cols w:num="2" w:space="720" w:equalWidth="0">
            <w:col w:w="4094" w:space="40"/>
            <w:col w:w="4506"/>
          </w:cols>
        </w:sectPr>
      </w:pPr>
    </w:p>
    <w:p w14:paraId="0E962065" w14:textId="77777777" w:rsidR="002653E8" w:rsidRDefault="002653E8">
      <w:pPr>
        <w:pStyle w:val="a3"/>
        <w:rPr>
          <w:rFonts w:ascii="Gill Sans MT"/>
        </w:rPr>
      </w:pPr>
    </w:p>
    <w:p w14:paraId="306589E0" w14:textId="77777777" w:rsidR="002653E8" w:rsidRDefault="002653E8">
      <w:pPr>
        <w:pStyle w:val="a3"/>
        <w:spacing w:before="7"/>
        <w:rPr>
          <w:rFonts w:ascii="Gill Sans MT"/>
          <w:sz w:val="28"/>
        </w:rPr>
      </w:pPr>
    </w:p>
    <w:p w14:paraId="42671F48" w14:textId="77777777" w:rsidR="002653E8" w:rsidRDefault="003115E3">
      <w:pPr>
        <w:tabs>
          <w:tab w:val="left" w:pos="3677"/>
        </w:tabs>
        <w:spacing w:before="98"/>
        <w:ind w:left="1147"/>
        <w:rPr>
          <w:sz w:val="18"/>
        </w:rPr>
      </w:pPr>
      <w:r>
        <w:rPr>
          <w:color w:val="231F20"/>
          <w:spacing w:val="15"/>
          <w:w w:val="110"/>
          <w:position w:val="5"/>
          <w:sz w:val="18"/>
        </w:rPr>
        <w:t>580</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35"/>
          <w:w w:val="110"/>
          <w:sz w:val="18"/>
        </w:rPr>
        <w:t xml:space="preserve"> </w:t>
      </w:r>
      <w:r>
        <w:rPr>
          <w:color w:val="231F20"/>
          <w:spacing w:val="20"/>
          <w:w w:val="110"/>
          <w:sz w:val="18"/>
        </w:rPr>
        <w:t>germany</w:t>
      </w:r>
      <w:r>
        <w:rPr>
          <w:color w:val="231F20"/>
          <w:spacing w:val="-15"/>
          <w:sz w:val="18"/>
        </w:rPr>
        <w:t xml:space="preserve"> </w:t>
      </w:r>
    </w:p>
    <w:p w14:paraId="0927DCE2" w14:textId="77777777" w:rsidR="002653E8" w:rsidRDefault="003115E3">
      <w:pPr>
        <w:spacing w:before="5"/>
        <w:ind w:left="5615"/>
        <w:rPr>
          <w:sz w:val="18"/>
        </w:rPr>
      </w:pPr>
      <w:r>
        <w:rPr>
          <w:color w:val="231F20"/>
          <w:w w:val="110"/>
          <w:sz w:val="18"/>
        </w:rPr>
        <w:t>january  1,  1967</w:t>
      </w:r>
      <w:r>
        <w:rPr>
          <w:color w:val="231F20"/>
          <w:sz w:val="18"/>
        </w:rPr>
        <w:t xml:space="preserve"> </w:t>
      </w:r>
    </w:p>
    <w:p w14:paraId="595187C4" w14:textId="77777777" w:rsidR="002653E8" w:rsidRDefault="002653E8">
      <w:pPr>
        <w:rPr>
          <w:sz w:val="18"/>
        </w:rPr>
        <w:sectPr w:rsidR="002653E8">
          <w:type w:val="continuous"/>
          <w:pgSz w:w="8640" w:h="12960"/>
          <w:pgMar w:top="0" w:right="0" w:bottom="0" w:left="0" w:header="720" w:footer="720" w:gutter="0"/>
          <w:cols w:space="720"/>
        </w:sectPr>
      </w:pPr>
    </w:p>
    <w:p w14:paraId="27D256DA" w14:textId="77777777" w:rsidR="002653E8" w:rsidRDefault="003115E3">
      <w:pPr>
        <w:spacing w:before="92" w:line="276" w:lineRule="auto"/>
        <w:ind w:left="1327" w:right="631"/>
        <w:jc w:val="both"/>
        <w:rPr>
          <w:rFonts w:ascii="Gill Sans MT"/>
          <w:sz w:val="18"/>
        </w:rPr>
      </w:pPr>
      <w:r>
        <w:rPr>
          <w:rFonts w:ascii="Gill Sans MT"/>
          <w:color w:val="231F20"/>
          <w:spacing w:val="-6"/>
          <w:w w:val="115"/>
          <w:sz w:val="18"/>
        </w:rPr>
        <w:lastRenderedPageBreak/>
        <w:t>War.</w:t>
      </w:r>
      <w:r>
        <w:rPr>
          <w:rFonts w:ascii="Gill Sans MT"/>
          <w:color w:val="231F20"/>
          <w:spacing w:val="-37"/>
          <w:w w:val="115"/>
          <w:sz w:val="18"/>
        </w:rPr>
        <w:t xml:space="preserve"> </w:t>
      </w:r>
      <w:r>
        <w:rPr>
          <w:rFonts w:ascii="Gill Sans MT"/>
          <w:color w:val="231F20"/>
          <w:w w:val="115"/>
          <w:sz w:val="18"/>
        </w:rPr>
        <w:t>Hundreds</w:t>
      </w:r>
      <w:r>
        <w:rPr>
          <w:rFonts w:ascii="Gill Sans MT"/>
          <w:color w:val="231F20"/>
          <w:spacing w:val="-37"/>
          <w:w w:val="115"/>
          <w:sz w:val="18"/>
        </w:rPr>
        <w:t xml:space="preserve"> </w:t>
      </w:r>
      <w:r>
        <w:rPr>
          <w:rFonts w:ascii="Gill Sans MT"/>
          <w:color w:val="231F20"/>
          <w:w w:val="115"/>
          <w:sz w:val="18"/>
        </w:rPr>
        <w:t>of</w:t>
      </w:r>
      <w:r>
        <w:rPr>
          <w:rFonts w:ascii="Gill Sans MT"/>
          <w:color w:val="231F20"/>
          <w:spacing w:val="-37"/>
          <w:w w:val="115"/>
          <w:sz w:val="18"/>
        </w:rPr>
        <w:t xml:space="preserve"> </w:t>
      </w:r>
      <w:r>
        <w:rPr>
          <w:rFonts w:ascii="Gill Sans MT"/>
          <w:color w:val="231F20"/>
          <w:w w:val="115"/>
          <w:sz w:val="18"/>
        </w:rPr>
        <w:t>thousands of</w:t>
      </w:r>
      <w:r>
        <w:rPr>
          <w:rFonts w:ascii="Gill Sans MT"/>
          <w:color w:val="231F20"/>
          <w:spacing w:val="-19"/>
          <w:w w:val="115"/>
          <w:sz w:val="18"/>
        </w:rPr>
        <w:t xml:space="preserve"> </w:t>
      </w:r>
      <w:r>
        <w:rPr>
          <w:rFonts w:ascii="Gill Sans MT"/>
          <w:color w:val="231F20"/>
          <w:w w:val="115"/>
          <w:sz w:val="18"/>
        </w:rPr>
        <w:t>Palestinians</w:t>
      </w:r>
      <w:r>
        <w:rPr>
          <w:rFonts w:ascii="Gill Sans MT"/>
          <w:color w:val="231F20"/>
          <w:spacing w:val="-19"/>
          <w:w w:val="115"/>
          <w:sz w:val="18"/>
        </w:rPr>
        <w:t xml:space="preserve"> </w:t>
      </w:r>
      <w:r>
        <w:rPr>
          <w:rFonts w:ascii="Gill Sans MT"/>
          <w:color w:val="231F20"/>
          <w:w w:val="115"/>
          <w:sz w:val="18"/>
        </w:rPr>
        <w:t>flee</w:t>
      </w:r>
      <w:r>
        <w:rPr>
          <w:rFonts w:ascii="Gill Sans MT"/>
          <w:color w:val="231F20"/>
          <w:spacing w:val="-19"/>
          <w:w w:val="115"/>
          <w:sz w:val="18"/>
        </w:rPr>
        <w:t xml:space="preserve"> </w:t>
      </w:r>
      <w:r>
        <w:rPr>
          <w:rFonts w:ascii="Gill Sans MT"/>
          <w:color w:val="231F20"/>
          <w:w w:val="115"/>
          <w:sz w:val="18"/>
        </w:rPr>
        <w:t>the</w:t>
      </w:r>
      <w:r>
        <w:rPr>
          <w:rFonts w:ascii="Gill Sans MT"/>
          <w:color w:val="231F20"/>
          <w:spacing w:val="-19"/>
          <w:w w:val="115"/>
          <w:sz w:val="18"/>
        </w:rPr>
        <w:t xml:space="preserve"> </w:t>
      </w:r>
      <w:r>
        <w:rPr>
          <w:rFonts w:ascii="Gill Sans MT"/>
          <w:color w:val="231F20"/>
          <w:w w:val="115"/>
          <w:sz w:val="18"/>
        </w:rPr>
        <w:t xml:space="preserve">newly </w:t>
      </w:r>
      <w:r>
        <w:rPr>
          <w:rFonts w:ascii="Gill Sans MT"/>
          <w:color w:val="231F20"/>
          <w:w w:val="110"/>
          <w:sz w:val="18"/>
        </w:rPr>
        <w:t>Occupied Territories,</w:t>
      </w:r>
      <w:r>
        <w:rPr>
          <w:rFonts w:ascii="Gill Sans MT"/>
          <w:color w:val="231F20"/>
          <w:spacing w:val="-23"/>
          <w:w w:val="110"/>
          <w:sz w:val="18"/>
        </w:rPr>
        <w:t xml:space="preserve"> </w:t>
      </w:r>
      <w:r>
        <w:rPr>
          <w:rFonts w:ascii="Gill Sans MT"/>
          <w:color w:val="231F20"/>
          <w:w w:val="110"/>
          <w:sz w:val="18"/>
        </w:rPr>
        <w:t>finding</w:t>
      </w:r>
    </w:p>
    <w:p w14:paraId="4B5AAB35" w14:textId="77777777" w:rsidR="002653E8" w:rsidRDefault="003115E3">
      <w:pPr>
        <w:spacing w:line="276" w:lineRule="auto"/>
        <w:ind w:left="1327" w:right="277"/>
        <w:rPr>
          <w:rFonts w:ascii="Gill Sans MT"/>
          <w:sz w:val="18"/>
        </w:rPr>
      </w:pPr>
      <w:r>
        <w:rPr>
          <w:rFonts w:ascii="Gill Sans MT"/>
          <w:color w:val="231F20"/>
          <w:w w:val="115"/>
          <w:sz w:val="18"/>
        </w:rPr>
        <w:t>their</w:t>
      </w:r>
      <w:r>
        <w:rPr>
          <w:rFonts w:ascii="Gill Sans MT"/>
          <w:color w:val="231F20"/>
          <w:spacing w:val="-15"/>
          <w:w w:val="115"/>
          <w:sz w:val="18"/>
        </w:rPr>
        <w:t xml:space="preserve"> </w:t>
      </w:r>
      <w:r>
        <w:rPr>
          <w:rFonts w:ascii="Gill Sans MT"/>
          <w:color w:val="231F20"/>
          <w:w w:val="115"/>
          <w:sz w:val="18"/>
        </w:rPr>
        <w:t>way</w:t>
      </w:r>
      <w:r>
        <w:rPr>
          <w:rFonts w:ascii="Gill Sans MT"/>
          <w:color w:val="231F20"/>
          <w:spacing w:val="-15"/>
          <w:w w:val="115"/>
          <w:sz w:val="18"/>
        </w:rPr>
        <w:t xml:space="preserve"> </w:t>
      </w:r>
      <w:r>
        <w:rPr>
          <w:rFonts w:ascii="Gill Sans MT"/>
          <w:color w:val="231F20"/>
          <w:w w:val="115"/>
          <w:sz w:val="18"/>
        </w:rPr>
        <w:t>to</w:t>
      </w:r>
      <w:r>
        <w:rPr>
          <w:rFonts w:ascii="Gill Sans MT"/>
          <w:color w:val="231F20"/>
          <w:spacing w:val="-15"/>
          <w:w w:val="115"/>
          <w:sz w:val="18"/>
        </w:rPr>
        <w:t xml:space="preserve"> </w:t>
      </w:r>
      <w:r>
        <w:rPr>
          <w:rFonts w:ascii="Gill Sans MT"/>
          <w:color w:val="231F20"/>
          <w:w w:val="115"/>
          <w:sz w:val="18"/>
        </w:rPr>
        <w:t>neighboring</w:t>
      </w:r>
      <w:r>
        <w:rPr>
          <w:rFonts w:ascii="Gill Sans MT"/>
          <w:color w:val="231F20"/>
          <w:spacing w:val="-15"/>
          <w:w w:val="115"/>
          <w:sz w:val="18"/>
        </w:rPr>
        <w:t xml:space="preserve"> </w:t>
      </w:r>
      <w:r>
        <w:rPr>
          <w:rFonts w:ascii="Gill Sans MT"/>
          <w:color w:val="231F20"/>
          <w:w w:val="115"/>
          <w:sz w:val="18"/>
        </w:rPr>
        <w:t>Jordan. The</w:t>
      </w:r>
      <w:r>
        <w:rPr>
          <w:rFonts w:ascii="Gill Sans MT"/>
          <w:color w:val="231F20"/>
          <w:spacing w:val="-24"/>
          <w:w w:val="115"/>
          <w:sz w:val="18"/>
        </w:rPr>
        <w:t xml:space="preserve"> </w:t>
      </w:r>
      <w:r>
        <w:rPr>
          <w:rFonts w:ascii="Gill Sans MT"/>
          <w:color w:val="231F20"/>
          <w:w w:val="115"/>
          <w:sz w:val="18"/>
        </w:rPr>
        <w:t>Six</w:t>
      </w:r>
      <w:r>
        <w:rPr>
          <w:rFonts w:ascii="Gill Sans MT"/>
          <w:color w:val="231F20"/>
          <w:spacing w:val="-24"/>
          <w:w w:val="115"/>
          <w:sz w:val="18"/>
        </w:rPr>
        <w:t xml:space="preserve"> </w:t>
      </w:r>
      <w:r>
        <w:rPr>
          <w:rFonts w:ascii="Gill Sans MT"/>
          <w:color w:val="231F20"/>
          <w:w w:val="115"/>
          <w:sz w:val="18"/>
        </w:rPr>
        <w:t>day</w:t>
      </w:r>
      <w:r>
        <w:rPr>
          <w:rFonts w:ascii="Gill Sans MT"/>
          <w:color w:val="231F20"/>
          <w:spacing w:val="-24"/>
          <w:w w:val="115"/>
          <w:sz w:val="18"/>
        </w:rPr>
        <w:t xml:space="preserve"> </w:t>
      </w:r>
      <w:r>
        <w:rPr>
          <w:rFonts w:ascii="Gill Sans MT"/>
          <w:color w:val="231F20"/>
          <w:spacing w:val="-3"/>
          <w:w w:val="115"/>
          <w:sz w:val="18"/>
        </w:rPr>
        <w:t>War</w:t>
      </w:r>
      <w:r>
        <w:rPr>
          <w:rFonts w:ascii="Gill Sans MT"/>
          <w:color w:val="231F20"/>
          <w:spacing w:val="-24"/>
          <w:w w:val="115"/>
          <w:sz w:val="18"/>
        </w:rPr>
        <w:t xml:space="preserve"> </w:t>
      </w:r>
      <w:r>
        <w:rPr>
          <w:rFonts w:ascii="Gill Sans MT"/>
          <w:color w:val="231F20"/>
          <w:w w:val="115"/>
          <w:sz w:val="18"/>
        </w:rPr>
        <w:t>establishes</w:t>
      </w:r>
      <w:r>
        <w:rPr>
          <w:rFonts w:ascii="Gill Sans MT"/>
          <w:color w:val="231F20"/>
          <w:spacing w:val="-24"/>
          <w:w w:val="115"/>
          <w:sz w:val="18"/>
        </w:rPr>
        <w:t xml:space="preserve"> </w:t>
      </w:r>
      <w:r>
        <w:rPr>
          <w:rFonts w:ascii="Gill Sans MT"/>
          <w:color w:val="231F20"/>
          <w:w w:val="115"/>
          <w:sz w:val="18"/>
        </w:rPr>
        <w:t>antiZionism</w:t>
      </w:r>
      <w:r>
        <w:rPr>
          <w:rFonts w:ascii="Gill Sans MT"/>
          <w:color w:val="231F20"/>
          <w:spacing w:val="-18"/>
          <w:w w:val="115"/>
          <w:sz w:val="18"/>
        </w:rPr>
        <w:t xml:space="preserve"> </w:t>
      </w:r>
      <w:r>
        <w:rPr>
          <w:rFonts w:ascii="Gill Sans MT"/>
          <w:color w:val="231F20"/>
          <w:w w:val="115"/>
          <w:sz w:val="18"/>
        </w:rPr>
        <w:t>as</w:t>
      </w:r>
      <w:r>
        <w:rPr>
          <w:rFonts w:ascii="Gill Sans MT"/>
          <w:color w:val="231F20"/>
          <w:spacing w:val="-18"/>
          <w:w w:val="115"/>
          <w:sz w:val="18"/>
        </w:rPr>
        <w:t xml:space="preserve"> </w:t>
      </w:r>
      <w:r>
        <w:rPr>
          <w:rFonts w:ascii="Gill Sans MT"/>
          <w:color w:val="231F20"/>
          <w:w w:val="115"/>
          <w:sz w:val="18"/>
        </w:rPr>
        <w:t>a</w:t>
      </w:r>
      <w:r>
        <w:rPr>
          <w:rFonts w:ascii="Gill Sans MT"/>
          <w:color w:val="231F20"/>
          <w:spacing w:val="-18"/>
          <w:w w:val="115"/>
          <w:sz w:val="18"/>
        </w:rPr>
        <w:t xml:space="preserve"> </w:t>
      </w:r>
      <w:r>
        <w:rPr>
          <w:rFonts w:ascii="Gill Sans MT"/>
          <w:color w:val="231F20"/>
          <w:w w:val="115"/>
          <w:sz w:val="18"/>
        </w:rPr>
        <w:t>key</w:t>
      </w:r>
      <w:r>
        <w:rPr>
          <w:rFonts w:ascii="Gill Sans MT"/>
          <w:color w:val="231F20"/>
          <w:spacing w:val="-18"/>
          <w:w w:val="115"/>
          <w:sz w:val="18"/>
        </w:rPr>
        <w:t xml:space="preserve"> </w:t>
      </w:r>
      <w:r>
        <w:rPr>
          <w:rFonts w:ascii="Gill Sans MT"/>
          <w:color w:val="231F20"/>
          <w:w w:val="115"/>
          <w:sz w:val="18"/>
        </w:rPr>
        <w:t>element</w:t>
      </w:r>
      <w:r>
        <w:rPr>
          <w:rFonts w:ascii="Gill Sans MT"/>
          <w:color w:val="231F20"/>
          <w:spacing w:val="-18"/>
          <w:w w:val="115"/>
          <w:sz w:val="18"/>
        </w:rPr>
        <w:t xml:space="preserve"> </w:t>
      </w:r>
      <w:r>
        <w:rPr>
          <w:rFonts w:ascii="Gill Sans MT"/>
          <w:color w:val="231F20"/>
          <w:w w:val="115"/>
          <w:sz w:val="18"/>
        </w:rPr>
        <w:t>of</w:t>
      </w:r>
      <w:r>
        <w:rPr>
          <w:rFonts w:ascii="Gill Sans MT"/>
          <w:color w:val="231F20"/>
          <w:spacing w:val="-18"/>
          <w:w w:val="115"/>
          <w:sz w:val="18"/>
        </w:rPr>
        <w:t xml:space="preserve"> </w:t>
      </w:r>
      <w:r>
        <w:rPr>
          <w:rFonts w:ascii="Gill Sans MT"/>
          <w:color w:val="231F20"/>
          <w:w w:val="115"/>
          <w:sz w:val="18"/>
        </w:rPr>
        <w:t xml:space="preserve">the </w:t>
      </w:r>
      <w:r>
        <w:rPr>
          <w:rFonts w:ascii="Gill Sans MT"/>
          <w:color w:val="231F20"/>
          <w:spacing w:val="-3"/>
          <w:w w:val="115"/>
          <w:sz w:val="18"/>
        </w:rPr>
        <w:t xml:space="preserve">West </w:t>
      </w:r>
      <w:r>
        <w:rPr>
          <w:rFonts w:ascii="Gill Sans MT"/>
          <w:color w:val="231F20"/>
          <w:w w:val="115"/>
          <w:sz w:val="18"/>
        </w:rPr>
        <w:t>German</w:t>
      </w:r>
      <w:r>
        <w:rPr>
          <w:rFonts w:ascii="Gill Sans MT"/>
          <w:color w:val="231F20"/>
          <w:spacing w:val="-19"/>
          <w:w w:val="115"/>
          <w:sz w:val="18"/>
        </w:rPr>
        <w:t xml:space="preserve"> </w:t>
      </w:r>
      <w:r>
        <w:rPr>
          <w:rFonts w:ascii="Gill Sans MT"/>
          <w:color w:val="231F20"/>
          <w:w w:val="115"/>
          <w:sz w:val="18"/>
        </w:rPr>
        <w:t>left.</w:t>
      </w:r>
    </w:p>
    <w:p w14:paraId="7066EB10" w14:textId="77777777" w:rsidR="002653E8" w:rsidRDefault="002653E8">
      <w:pPr>
        <w:pStyle w:val="a3"/>
        <w:spacing w:before="6"/>
        <w:rPr>
          <w:rFonts w:ascii="Gill Sans MT"/>
        </w:rPr>
      </w:pPr>
    </w:p>
    <w:p w14:paraId="3754CAB6" w14:textId="77777777" w:rsidR="002653E8" w:rsidRDefault="003115E3">
      <w:pPr>
        <w:spacing w:before="1"/>
        <w:ind w:left="1327"/>
        <w:rPr>
          <w:rFonts w:ascii="Arial"/>
          <w:b/>
          <w:sz w:val="18"/>
        </w:rPr>
      </w:pPr>
      <w:r>
        <w:rPr>
          <w:rFonts w:ascii="Arial"/>
          <w:b/>
          <w:color w:val="231F20"/>
          <w:w w:val="115"/>
          <w:sz w:val="18"/>
        </w:rPr>
        <w:t>September 5, 1967</w:t>
      </w:r>
    </w:p>
    <w:p w14:paraId="4AF1725F" w14:textId="77777777" w:rsidR="002653E8" w:rsidRDefault="003115E3">
      <w:pPr>
        <w:spacing w:before="34" w:line="276" w:lineRule="auto"/>
        <w:ind w:left="1327" w:right="2" w:hanging="1"/>
        <w:rPr>
          <w:rFonts w:ascii="Gill Sans MT" w:hAnsi="Gill Sans MT"/>
          <w:sz w:val="18"/>
        </w:rPr>
      </w:pPr>
      <w:r>
        <w:rPr>
          <w:rFonts w:ascii="Gill Sans MT" w:hAnsi="Gill Sans MT"/>
          <w:color w:val="231F20"/>
          <w:w w:val="115"/>
          <w:sz w:val="18"/>
        </w:rPr>
        <w:t>At an SdS congress Rudi dutschke and Hans-Jürgen Krahl raise the idea</w:t>
      </w:r>
      <w:r>
        <w:rPr>
          <w:rFonts w:ascii="Gill Sans MT" w:hAnsi="Gill Sans MT"/>
          <w:color w:val="231F20"/>
          <w:spacing w:val="-16"/>
          <w:w w:val="115"/>
          <w:sz w:val="18"/>
        </w:rPr>
        <w:t xml:space="preserve"> </w:t>
      </w:r>
      <w:r>
        <w:rPr>
          <w:rFonts w:ascii="Gill Sans MT" w:hAnsi="Gill Sans MT"/>
          <w:color w:val="231F20"/>
          <w:w w:val="115"/>
          <w:sz w:val="18"/>
        </w:rPr>
        <w:t>of</w:t>
      </w:r>
      <w:r>
        <w:rPr>
          <w:rFonts w:ascii="Gill Sans MT" w:hAnsi="Gill Sans MT"/>
          <w:color w:val="231F20"/>
          <w:spacing w:val="-16"/>
          <w:w w:val="115"/>
          <w:sz w:val="18"/>
        </w:rPr>
        <w:t xml:space="preserve"> </w:t>
      </w:r>
      <w:r>
        <w:rPr>
          <w:rFonts w:ascii="Gill Sans MT" w:hAnsi="Gill Sans MT"/>
          <w:color w:val="231F20"/>
          <w:w w:val="115"/>
          <w:sz w:val="18"/>
        </w:rPr>
        <w:t>the</w:t>
      </w:r>
      <w:r>
        <w:rPr>
          <w:rFonts w:ascii="Gill Sans MT" w:hAnsi="Gill Sans MT"/>
          <w:color w:val="231F20"/>
          <w:spacing w:val="-16"/>
          <w:w w:val="115"/>
          <w:sz w:val="18"/>
        </w:rPr>
        <w:t xml:space="preserve"> </w:t>
      </w:r>
      <w:r>
        <w:rPr>
          <w:rFonts w:ascii="Gill Sans MT" w:hAnsi="Gill Sans MT"/>
          <w:color w:val="231F20"/>
          <w:w w:val="115"/>
          <w:sz w:val="18"/>
        </w:rPr>
        <w:t>urban</w:t>
      </w:r>
      <w:r>
        <w:rPr>
          <w:rFonts w:ascii="Gill Sans MT" w:hAnsi="Gill Sans MT"/>
          <w:color w:val="231F20"/>
          <w:spacing w:val="-16"/>
          <w:w w:val="115"/>
          <w:sz w:val="18"/>
        </w:rPr>
        <w:t xml:space="preserve"> </w:t>
      </w:r>
      <w:r>
        <w:rPr>
          <w:rFonts w:ascii="Gill Sans MT" w:hAnsi="Gill Sans MT"/>
          <w:color w:val="231F20"/>
          <w:w w:val="115"/>
          <w:sz w:val="18"/>
        </w:rPr>
        <w:t>guerilla.</w:t>
      </w:r>
      <w:r>
        <w:rPr>
          <w:rFonts w:ascii="Gill Sans MT" w:hAnsi="Gill Sans MT"/>
          <w:color w:val="231F20"/>
          <w:spacing w:val="-16"/>
          <w:w w:val="115"/>
          <w:sz w:val="18"/>
        </w:rPr>
        <w:t xml:space="preserve"> </w:t>
      </w:r>
      <w:r>
        <w:rPr>
          <w:rFonts w:ascii="Gill Sans MT" w:hAnsi="Gill Sans MT"/>
          <w:color w:val="231F20"/>
          <w:w w:val="115"/>
          <w:sz w:val="18"/>
        </w:rPr>
        <w:t>This</w:t>
      </w:r>
      <w:r>
        <w:rPr>
          <w:rFonts w:ascii="Gill Sans MT" w:hAnsi="Gill Sans MT"/>
          <w:color w:val="231F20"/>
          <w:spacing w:val="-16"/>
          <w:w w:val="115"/>
          <w:sz w:val="18"/>
        </w:rPr>
        <w:t xml:space="preserve"> </w:t>
      </w:r>
      <w:r>
        <w:rPr>
          <w:rFonts w:ascii="Gill Sans MT" w:hAnsi="Gill Sans MT"/>
          <w:color w:val="231F20"/>
          <w:w w:val="115"/>
          <w:sz w:val="18"/>
        </w:rPr>
        <w:t>is</w:t>
      </w:r>
      <w:r>
        <w:rPr>
          <w:rFonts w:ascii="Gill Sans MT" w:hAnsi="Gill Sans MT"/>
          <w:color w:val="231F20"/>
          <w:spacing w:val="-16"/>
          <w:w w:val="115"/>
          <w:sz w:val="18"/>
        </w:rPr>
        <w:t xml:space="preserve"> </w:t>
      </w:r>
      <w:r>
        <w:rPr>
          <w:rFonts w:ascii="Gill Sans MT" w:hAnsi="Gill Sans MT"/>
          <w:color w:val="231F20"/>
          <w:w w:val="115"/>
          <w:sz w:val="18"/>
        </w:rPr>
        <w:t>the first time the idea has been openly discussed</w:t>
      </w:r>
      <w:r>
        <w:rPr>
          <w:rFonts w:ascii="Gill Sans MT" w:hAnsi="Gill Sans MT"/>
          <w:color w:val="231F20"/>
          <w:spacing w:val="-12"/>
          <w:w w:val="115"/>
          <w:sz w:val="18"/>
        </w:rPr>
        <w:t xml:space="preserve"> </w:t>
      </w:r>
      <w:r>
        <w:rPr>
          <w:rFonts w:ascii="Gill Sans MT" w:hAnsi="Gill Sans MT"/>
          <w:color w:val="231F20"/>
          <w:w w:val="115"/>
          <w:sz w:val="18"/>
        </w:rPr>
        <w:t>in</w:t>
      </w:r>
      <w:r>
        <w:rPr>
          <w:rFonts w:ascii="Gill Sans MT" w:hAnsi="Gill Sans MT"/>
          <w:color w:val="231F20"/>
          <w:spacing w:val="-12"/>
          <w:w w:val="115"/>
          <w:sz w:val="18"/>
        </w:rPr>
        <w:t xml:space="preserve"> </w:t>
      </w:r>
      <w:r>
        <w:rPr>
          <w:rFonts w:ascii="Gill Sans MT" w:hAnsi="Gill Sans MT"/>
          <w:color w:val="231F20"/>
          <w:w w:val="115"/>
          <w:sz w:val="18"/>
        </w:rPr>
        <w:t>the</w:t>
      </w:r>
      <w:r>
        <w:rPr>
          <w:rFonts w:ascii="Gill Sans MT" w:hAnsi="Gill Sans MT"/>
          <w:color w:val="231F20"/>
          <w:spacing w:val="-12"/>
          <w:w w:val="115"/>
          <w:sz w:val="18"/>
        </w:rPr>
        <w:t xml:space="preserve"> </w:t>
      </w:r>
      <w:r>
        <w:rPr>
          <w:rFonts w:ascii="Gill Sans MT" w:hAnsi="Gill Sans MT"/>
          <w:color w:val="231F20"/>
          <w:w w:val="115"/>
          <w:sz w:val="18"/>
        </w:rPr>
        <w:t>SdS</w:t>
      </w:r>
      <w:r>
        <w:rPr>
          <w:rFonts w:ascii="Gill Sans MT" w:hAnsi="Gill Sans MT"/>
          <w:color w:val="231F20"/>
          <w:spacing w:val="-12"/>
          <w:w w:val="115"/>
          <w:sz w:val="18"/>
        </w:rPr>
        <w:t xml:space="preserve"> </w:t>
      </w:r>
      <w:r>
        <w:rPr>
          <w:rFonts w:ascii="Gill Sans MT" w:hAnsi="Gill Sans MT"/>
          <w:color w:val="231F20"/>
          <w:w w:val="115"/>
          <w:sz w:val="18"/>
        </w:rPr>
        <w:t>or</w:t>
      </w:r>
      <w:r>
        <w:rPr>
          <w:rFonts w:ascii="Gill Sans MT" w:hAnsi="Gill Sans MT"/>
          <w:color w:val="231F20"/>
          <w:spacing w:val="-12"/>
          <w:w w:val="115"/>
          <w:sz w:val="18"/>
        </w:rPr>
        <w:t xml:space="preserve"> </w:t>
      </w:r>
      <w:r>
        <w:rPr>
          <w:rFonts w:ascii="Gill Sans MT" w:hAnsi="Gill Sans MT"/>
          <w:color w:val="231F20"/>
          <w:w w:val="115"/>
          <w:sz w:val="18"/>
        </w:rPr>
        <w:t>the</w:t>
      </w:r>
      <w:r>
        <w:rPr>
          <w:rFonts w:ascii="Gill Sans MT" w:hAnsi="Gill Sans MT"/>
          <w:color w:val="231F20"/>
          <w:spacing w:val="-12"/>
          <w:w w:val="115"/>
          <w:sz w:val="18"/>
        </w:rPr>
        <w:t xml:space="preserve"> </w:t>
      </w:r>
      <w:r>
        <w:rPr>
          <w:rFonts w:ascii="Gill Sans MT" w:hAnsi="Gill Sans MT"/>
          <w:color w:val="231F20"/>
          <w:w w:val="115"/>
          <w:sz w:val="18"/>
        </w:rPr>
        <w:t>APO.</w:t>
      </w:r>
    </w:p>
    <w:p w14:paraId="2BBD8094" w14:textId="77777777" w:rsidR="002653E8" w:rsidRDefault="002653E8">
      <w:pPr>
        <w:pStyle w:val="a3"/>
        <w:spacing w:before="6"/>
        <w:rPr>
          <w:rFonts w:ascii="Gill Sans MT"/>
        </w:rPr>
      </w:pPr>
    </w:p>
    <w:p w14:paraId="1FFA6DFB" w14:textId="77777777" w:rsidR="002653E8" w:rsidRDefault="003115E3">
      <w:pPr>
        <w:ind w:left="1327"/>
        <w:rPr>
          <w:rFonts w:ascii="Arial"/>
          <w:b/>
          <w:sz w:val="18"/>
        </w:rPr>
      </w:pPr>
      <w:r>
        <w:rPr>
          <w:rFonts w:ascii="Arial"/>
          <w:b/>
          <w:color w:val="231F20"/>
          <w:w w:val="115"/>
          <w:sz w:val="18"/>
        </w:rPr>
        <w:t>October 21, 1967</w:t>
      </w:r>
    </w:p>
    <w:p w14:paraId="655A0335" w14:textId="77777777" w:rsidR="002653E8" w:rsidRDefault="003115E3">
      <w:pPr>
        <w:spacing w:before="33" w:line="276" w:lineRule="auto"/>
        <w:ind w:left="1327" w:right="14"/>
        <w:rPr>
          <w:rFonts w:ascii="Gill Sans MT"/>
          <w:sz w:val="18"/>
        </w:rPr>
      </w:pPr>
      <w:r>
        <w:rPr>
          <w:rFonts w:ascii="Arial"/>
          <w:color w:val="231F20"/>
          <w:w w:val="110"/>
          <w:sz w:val="18"/>
        </w:rPr>
        <w:t>10</w:t>
      </w:r>
      <w:r>
        <w:rPr>
          <w:rFonts w:ascii="Gill Sans MT"/>
          <w:color w:val="231F20"/>
          <w:w w:val="110"/>
          <w:sz w:val="18"/>
        </w:rPr>
        <w:t>,</w:t>
      </w:r>
      <w:r>
        <w:rPr>
          <w:rFonts w:ascii="Arial"/>
          <w:color w:val="231F20"/>
          <w:w w:val="110"/>
          <w:sz w:val="18"/>
        </w:rPr>
        <w:t>000</w:t>
      </w:r>
      <w:r>
        <w:rPr>
          <w:rFonts w:ascii="Arial"/>
          <w:color w:val="231F20"/>
          <w:spacing w:val="-12"/>
          <w:w w:val="110"/>
          <w:sz w:val="18"/>
        </w:rPr>
        <w:t xml:space="preserve"> </w:t>
      </w:r>
      <w:r>
        <w:rPr>
          <w:rFonts w:ascii="Gill Sans MT"/>
          <w:color w:val="231F20"/>
          <w:w w:val="110"/>
          <w:sz w:val="18"/>
        </w:rPr>
        <w:t>people</w:t>
      </w:r>
      <w:r>
        <w:rPr>
          <w:rFonts w:ascii="Gill Sans MT"/>
          <w:color w:val="231F20"/>
          <w:spacing w:val="-12"/>
          <w:w w:val="110"/>
          <w:sz w:val="18"/>
        </w:rPr>
        <w:t xml:space="preserve"> </w:t>
      </w:r>
      <w:r>
        <w:rPr>
          <w:rFonts w:ascii="Gill Sans MT"/>
          <w:color w:val="231F20"/>
          <w:w w:val="110"/>
          <w:sz w:val="18"/>
        </w:rPr>
        <w:t>demonstrate</w:t>
      </w:r>
      <w:r>
        <w:rPr>
          <w:rFonts w:ascii="Gill Sans MT"/>
          <w:color w:val="231F20"/>
          <w:spacing w:val="-12"/>
          <w:w w:val="110"/>
          <w:sz w:val="18"/>
        </w:rPr>
        <w:t xml:space="preserve"> </w:t>
      </w:r>
      <w:r>
        <w:rPr>
          <w:rFonts w:ascii="Gill Sans MT"/>
          <w:color w:val="231F20"/>
          <w:w w:val="110"/>
          <w:sz w:val="18"/>
        </w:rPr>
        <w:t>in</w:t>
      </w:r>
      <w:r>
        <w:rPr>
          <w:rFonts w:ascii="Gill Sans MT"/>
          <w:color w:val="231F20"/>
          <w:spacing w:val="-12"/>
          <w:w w:val="110"/>
          <w:sz w:val="18"/>
        </w:rPr>
        <w:t xml:space="preserve"> </w:t>
      </w:r>
      <w:r>
        <w:rPr>
          <w:rFonts w:ascii="Gill Sans MT"/>
          <w:color w:val="231F20"/>
          <w:spacing w:val="-3"/>
          <w:w w:val="110"/>
          <w:sz w:val="18"/>
        </w:rPr>
        <w:t xml:space="preserve">West </w:t>
      </w:r>
      <w:r>
        <w:rPr>
          <w:rFonts w:ascii="Gill Sans MT"/>
          <w:color w:val="231F20"/>
          <w:w w:val="110"/>
          <w:sz w:val="18"/>
        </w:rPr>
        <w:t xml:space="preserve">Berlin against the Vietnam </w:t>
      </w:r>
      <w:r>
        <w:rPr>
          <w:rFonts w:ascii="Gill Sans MT"/>
          <w:color w:val="231F20"/>
          <w:spacing w:val="-3"/>
          <w:w w:val="110"/>
          <w:sz w:val="18"/>
        </w:rPr>
        <w:t xml:space="preserve">War </w:t>
      </w:r>
      <w:r>
        <w:rPr>
          <w:rFonts w:ascii="Gill Sans MT"/>
          <w:color w:val="231F20"/>
          <w:w w:val="110"/>
          <w:sz w:val="18"/>
        </w:rPr>
        <w:t xml:space="preserve">on the same day as similar protests take place around the world. There are clashes with police in </w:t>
      </w:r>
      <w:r>
        <w:rPr>
          <w:rFonts w:ascii="Gill Sans MT"/>
          <w:color w:val="231F20"/>
          <w:spacing w:val="-3"/>
          <w:w w:val="110"/>
          <w:sz w:val="18"/>
        </w:rPr>
        <w:t xml:space="preserve">West </w:t>
      </w:r>
      <w:r>
        <w:rPr>
          <w:rFonts w:ascii="Gill Sans MT"/>
          <w:color w:val="231F20"/>
          <w:w w:val="110"/>
          <w:sz w:val="18"/>
        </w:rPr>
        <w:t>Berlin. Following the demonstration, Andreas Baader and Astrid Proll lay a bomb at America House. It fails to detonate due to a technical</w:t>
      </w:r>
      <w:r>
        <w:rPr>
          <w:rFonts w:ascii="Gill Sans MT"/>
          <w:color w:val="231F20"/>
          <w:spacing w:val="16"/>
          <w:w w:val="110"/>
          <w:sz w:val="18"/>
        </w:rPr>
        <w:t xml:space="preserve"> </w:t>
      </w:r>
      <w:r>
        <w:rPr>
          <w:rFonts w:ascii="Gill Sans MT"/>
          <w:color w:val="231F20"/>
          <w:w w:val="110"/>
          <w:sz w:val="18"/>
        </w:rPr>
        <w:t>failure.</w:t>
      </w:r>
    </w:p>
    <w:p w14:paraId="4939FDF7" w14:textId="77777777" w:rsidR="002653E8" w:rsidRDefault="002653E8">
      <w:pPr>
        <w:pStyle w:val="a3"/>
        <w:rPr>
          <w:rFonts w:ascii="Gill Sans MT"/>
        </w:rPr>
      </w:pPr>
    </w:p>
    <w:p w14:paraId="50D0D448" w14:textId="77777777" w:rsidR="002653E8" w:rsidRDefault="002653E8">
      <w:pPr>
        <w:pStyle w:val="a3"/>
        <w:spacing w:before="1"/>
        <w:rPr>
          <w:rFonts w:ascii="Gill Sans MT"/>
        </w:rPr>
      </w:pPr>
    </w:p>
    <w:p w14:paraId="766CA90B" w14:textId="77777777" w:rsidR="002653E8" w:rsidRDefault="003115E3">
      <w:pPr>
        <w:pStyle w:val="5"/>
      </w:pPr>
      <w:r>
        <w:rPr>
          <w:color w:val="231F20"/>
          <w:w w:val="120"/>
        </w:rPr>
        <w:t>1968</w:t>
      </w:r>
    </w:p>
    <w:p w14:paraId="419DF180" w14:textId="77777777" w:rsidR="002653E8" w:rsidRDefault="003115E3">
      <w:pPr>
        <w:spacing w:before="12"/>
        <w:ind w:left="1327"/>
        <w:rPr>
          <w:rFonts w:ascii="Arial"/>
          <w:b/>
          <w:sz w:val="18"/>
        </w:rPr>
      </w:pPr>
      <w:r>
        <w:rPr>
          <w:rFonts w:ascii="Arial"/>
          <w:b/>
          <w:color w:val="231F20"/>
          <w:w w:val="115"/>
          <w:sz w:val="18"/>
        </w:rPr>
        <w:t>January 30, 1968</w:t>
      </w:r>
    </w:p>
    <w:p w14:paraId="6346818E" w14:textId="77777777" w:rsidR="002653E8" w:rsidRDefault="003115E3">
      <w:pPr>
        <w:spacing w:before="34" w:line="276" w:lineRule="auto"/>
        <w:ind w:left="1327" w:right="-9"/>
        <w:rPr>
          <w:rFonts w:ascii="Gill Sans MT"/>
          <w:sz w:val="18"/>
        </w:rPr>
      </w:pPr>
      <w:r>
        <w:rPr>
          <w:rFonts w:ascii="Gill Sans MT"/>
          <w:color w:val="231F20"/>
          <w:w w:val="110"/>
          <w:sz w:val="18"/>
        </w:rPr>
        <w:t xml:space="preserve">The </w:t>
      </w:r>
      <w:r>
        <w:rPr>
          <w:rFonts w:ascii="Gill Sans MT"/>
          <w:color w:val="231F20"/>
          <w:spacing w:val="-7"/>
          <w:w w:val="110"/>
          <w:sz w:val="18"/>
        </w:rPr>
        <w:t xml:space="preserve">Tet </w:t>
      </w:r>
      <w:r>
        <w:rPr>
          <w:rFonts w:ascii="Gill Sans MT"/>
          <w:color w:val="231F20"/>
          <w:w w:val="110"/>
          <w:sz w:val="18"/>
        </w:rPr>
        <w:t xml:space="preserve">Offensive begins in Vietnam. The offensive, which lasts two months, is a turning point in the </w:t>
      </w:r>
      <w:r>
        <w:rPr>
          <w:rFonts w:ascii="Gill Sans MT"/>
          <w:color w:val="231F20"/>
          <w:spacing w:val="-5"/>
          <w:w w:val="110"/>
          <w:sz w:val="18"/>
        </w:rPr>
        <w:t xml:space="preserve">war, </w:t>
      </w:r>
      <w:r>
        <w:rPr>
          <w:rFonts w:ascii="Gill Sans MT"/>
          <w:color w:val="231F20"/>
          <w:w w:val="110"/>
          <w:sz w:val="18"/>
        </w:rPr>
        <w:t xml:space="preserve">forcing the u.S. into a defensive position from which it will never </w:t>
      </w:r>
      <w:r>
        <w:rPr>
          <w:rFonts w:ascii="Gill Sans MT"/>
          <w:color w:val="231F20"/>
          <w:spacing w:val="-3"/>
          <w:w w:val="110"/>
          <w:sz w:val="18"/>
        </w:rPr>
        <w:t>recover.</w:t>
      </w:r>
    </w:p>
    <w:p w14:paraId="22E51E6C" w14:textId="77777777" w:rsidR="002653E8" w:rsidRDefault="002653E8">
      <w:pPr>
        <w:pStyle w:val="a3"/>
        <w:spacing w:before="6"/>
        <w:rPr>
          <w:rFonts w:ascii="Gill Sans MT"/>
        </w:rPr>
      </w:pPr>
    </w:p>
    <w:p w14:paraId="4ACCD60C" w14:textId="77777777" w:rsidR="002653E8" w:rsidRDefault="003115E3">
      <w:pPr>
        <w:ind w:left="1327"/>
        <w:rPr>
          <w:rFonts w:ascii="Arial" w:hAnsi="Arial"/>
          <w:b/>
          <w:sz w:val="18"/>
        </w:rPr>
      </w:pPr>
      <w:r>
        <w:rPr>
          <w:rFonts w:ascii="Arial" w:hAnsi="Arial"/>
          <w:b/>
          <w:color w:val="231F20"/>
          <w:w w:val="110"/>
          <w:sz w:val="18"/>
        </w:rPr>
        <w:t>February 1–7, 1968</w:t>
      </w:r>
    </w:p>
    <w:p w14:paraId="2F3C68C5" w14:textId="77777777" w:rsidR="002653E8" w:rsidRDefault="003115E3">
      <w:pPr>
        <w:spacing w:before="35" w:line="276" w:lineRule="auto"/>
        <w:ind w:left="1327"/>
        <w:rPr>
          <w:rFonts w:ascii="Gill Sans MT"/>
          <w:sz w:val="18"/>
        </w:rPr>
      </w:pPr>
      <w:r>
        <w:rPr>
          <w:rFonts w:ascii="Gill Sans MT"/>
          <w:color w:val="231F20"/>
          <w:w w:val="110"/>
          <w:sz w:val="18"/>
        </w:rPr>
        <w:t>A week of violent student demonstrations against the Vietnam War sweeps West Germany.</w:t>
      </w:r>
    </w:p>
    <w:p w14:paraId="3B8C2250" w14:textId="77777777" w:rsidR="002653E8" w:rsidRDefault="003115E3">
      <w:pPr>
        <w:spacing w:before="91"/>
        <w:ind w:left="200"/>
        <w:rPr>
          <w:rFonts w:ascii="Arial"/>
          <w:b/>
          <w:sz w:val="18"/>
        </w:rPr>
      </w:pPr>
      <w:r>
        <w:br w:type="column"/>
      </w:r>
      <w:r>
        <w:rPr>
          <w:rFonts w:ascii="Arial"/>
          <w:b/>
          <w:color w:val="231F20"/>
          <w:w w:val="115"/>
          <w:sz w:val="18"/>
        </w:rPr>
        <w:t>February 2, 1968</w:t>
      </w:r>
    </w:p>
    <w:p w14:paraId="0A0D1B40" w14:textId="77777777" w:rsidR="002653E8" w:rsidRDefault="003115E3">
      <w:pPr>
        <w:spacing w:before="34" w:line="276" w:lineRule="auto"/>
        <w:ind w:left="200" w:right="1093"/>
        <w:rPr>
          <w:rFonts w:ascii="Gill Sans MT" w:hAnsi="Gill Sans MT"/>
          <w:sz w:val="18"/>
        </w:rPr>
      </w:pPr>
      <w:r>
        <w:rPr>
          <w:rFonts w:ascii="Gill Sans MT" w:hAnsi="Gill Sans MT"/>
          <w:color w:val="231F20"/>
          <w:w w:val="110"/>
          <w:sz w:val="18"/>
        </w:rPr>
        <w:t>At the Springer Tribunal at the Critical university, Holger Meins shows a film about how to make a molotov cocktail. The Springer Press refers to the Tribunal as an act of fascist terror, comparing students to Hitler’s SA.</w:t>
      </w:r>
    </w:p>
    <w:p w14:paraId="33DB24F7" w14:textId="77777777" w:rsidR="002653E8" w:rsidRDefault="002653E8">
      <w:pPr>
        <w:pStyle w:val="a3"/>
        <w:spacing w:before="6"/>
        <w:rPr>
          <w:rFonts w:ascii="Gill Sans MT"/>
        </w:rPr>
      </w:pPr>
    </w:p>
    <w:p w14:paraId="7925F2D7" w14:textId="77777777" w:rsidR="002653E8" w:rsidRDefault="003115E3">
      <w:pPr>
        <w:spacing w:before="1"/>
        <w:ind w:left="200"/>
        <w:rPr>
          <w:rFonts w:ascii="Arial" w:hAnsi="Arial"/>
          <w:b/>
          <w:sz w:val="18"/>
        </w:rPr>
      </w:pPr>
      <w:r>
        <w:rPr>
          <w:rFonts w:ascii="Arial" w:hAnsi="Arial"/>
          <w:b/>
          <w:color w:val="231F20"/>
          <w:w w:val="115"/>
          <w:sz w:val="18"/>
        </w:rPr>
        <w:t>February 17–18, 1968</w:t>
      </w:r>
    </w:p>
    <w:p w14:paraId="3FE21D83" w14:textId="77777777" w:rsidR="002653E8" w:rsidRDefault="003115E3">
      <w:pPr>
        <w:spacing w:before="34" w:line="276" w:lineRule="auto"/>
        <w:ind w:left="200" w:right="1417"/>
        <w:rPr>
          <w:rFonts w:ascii="Gill Sans MT"/>
          <w:sz w:val="18"/>
        </w:rPr>
      </w:pPr>
      <w:r>
        <w:rPr>
          <w:rFonts w:ascii="Gill Sans MT"/>
          <w:color w:val="231F20"/>
          <w:w w:val="110"/>
          <w:sz w:val="18"/>
        </w:rPr>
        <w:t xml:space="preserve">The International Congress on Vietnam is held at the </w:t>
      </w:r>
      <w:r>
        <w:rPr>
          <w:rFonts w:ascii="Gill Sans MT"/>
          <w:color w:val="231F20"/>
          <w:spacing w:val="-3"/>
          <w:w w:val="110"/>
          <w:sz w:val="18"/>
        </w:rPr>
        <w:t xml:space="preserve">Technical </w:t>
      </w:r>
      <w:r>
        <w:rPr>
          <w:rFonts w:ascii="Gill Sans MT"/>
          <w:color w:val="231F20"/>
          <w:w w:val="110"/>
          <w:sz w:val="18"/>
        </w:rPr>
        <w:t xml:space="preserve">university in </w:t>
      </w:r>
      <w:r>
        <w:rPr>
          <w:rFonts w:ascii="Gill Sans MT"/>
          <w:color w:val="231F20"/>
          <w:spacing w:val="-3"/>
          <w:w w:val="110"/>
          <w:sz w:val="18"/>
        </w:rPr>
        <w:t xml:space="preserve">West </w:t>
      </w:r>
      <w:r>
        <w:rPr>
          <w:rFonts w:ascii="Gill Sans MT"/>
          <w:color w:val="231F20"/>
          <w:w w:val="110"/>
          <w:sz w:val="18"/>
        </w:rPr>
        <w:t xml:space="preserve">Berlin. </w:t>
      </w:r>
      <w:r>
        <w:rPr>
          <w:rFonts w:ascii="Arial"/>
          <w:color w:val="231F20"/>
          <w:w w:val="110"/>
          <w:sz w:val="18"/>
        </w:rPr>
        <w:t>12</w:t>
      </w:r>
      <w:r>
        <w:rPr>
          <w:rFonts w:ascii="Gill Sans MT"/>
          <w:color w:val="231F20"/>
          <w:w w:val="110"/>
          <w:sz w:val="18"/>
        </w:rPr>
        <w:t>,</w:t>
      </w:r>
      <w:r>
        <w:rPr>
          <w:rFonts w:ascii="Arial"/>
          <w:color w:val="231F20"/>
          <w:w w:val="110"/>
          <w:sz w:val="18"/>
        </w:rPr>
        <w:t xml:space="preserve">000 </w:t>
      </w:r>
      <w:r>
        <w:rPr>
          <w:rFonts w:ascii="Gill Sans MT"/>
          <w:color w:val="231F20"/>
          <w:w w:val="110"/>
          <w:sz w:val="18"/>
        </w:rPr>
        <w:t>people attend the closing demonstration.</w:t>
      </w:r>
    </w:p>
    <w:p w14:paraId="60930AB9" w14:textId="77777777" w:rsidR="002653E8" w:rsidRDefault="002653E8">
      <w:pPr>
        <w:pStyle w:val="a3"/>
        <w:spacing w:before="5"/>
        <w:rPr>
          <w:rFonts w:ascii="Gill Sans MT"/>
        </w:rPr>
      </w:pPr>
    </w:p>
    <w:p w14:paraId="040F36C6" w14:textId="77777777" w:rsidR="002653E8" w:rsidRDefault="003115E3">
      <w:pPr>
        <w:ind w:left="200"/>
        <w:rPr>
          <w:rFonts w:ascii="Arial"/>
          <w:b/>
          <w:sz w:val="18"/>
        </w:rPr>
      </w:pPr>
      <w:r>
        <w:rPr>
          <w:rFonts w:ascii="Arial"/>
          <w:b/>
          <w:color w:val="231F20"/>
          <w:w w:val="115"/>
          <w:sz w:val="18"/>
        </w:rPr>
        <w:t>February 21, 1968</w:t>
      </w:r>
    </w:p>
    <w:p w14:paraId="56B4FC0E" w14:textId="77777777" w:rsidR="002653E8" w:rsidRDefault="003115E3">
      <w:pPr>
        <w:spacing w:before="34" w:line="276" w:lineRule="auto"/>
        <w:ind w:left="200" w:right="1146"/>
        <w:rPr>
          <w:rFonts w:ascii="Gill Sans MT" w:hAnsi="Gill Sans MT"/>
          <w:sz w:val="18"/>
        </w:rPr>
      </w:pPr>
      <w:r>
        <w:rPr>
          <w:rFonts w:ascii="Gill Sans MT" w:hAnsi="Gill Sans MT"/>
          <w:color w:val="231F20"/>
          <w:w w:val="110"/>
          <w:sz w:val="18"/>
        </w:rPr>
        <w:t xml:space="preserve">A demonstration organized by the </w:t>
      </w:r>
      <w:r>
        <w:rPr>
          <w:rFonts w:ascii="Gill Sans MT" w:hAnsi="Gill Sans MT"/>
          <w:color w:val="231F20"/>
          <w:spacing w:val="-3"/>
          <w:w w:val="110"/>
          <w:sz w:val="18"/>
        </w:rPr>
        <w:t xml:space="preserve">West </w:t>
      </w:r>
      <w:r>
        <w:rPr>
          <w:rFonts w:ascii="Gill Sans MT" w:hAnsi="Gill Sans MT"/>
          <w:color w:val="231F20"/>
          <w:w w:val="110"/>
          <w:sz w:val="18"/>
        </w:rPr>
        <w:t xml:space="preserve">Berlin Senate, the Federation of </w:t>
      </w:r>
      <w:r>
        <w:rPr>
          <w:rFonts w:ascii="Gill Sans MT" w:hAnsi="Gill Sans MT"/>
          <w:color w:val="231F20"/>
          <w:spacing w:val="-4"/>
          <w:w w:val="110"/>
          <w:sz w:val="18"/>
        </w:rPr>
        <w:t xml:space="preserve">Trade </w:t>
      </w:r>
      <w:r>
        <w:rPr>
          <w:rFonts w:ascii="Gill Sans MT" w:hAnsi="Gill Sans MT"/>
          <w:color w:val="231F20"/>
          <w:w w:val="110"/>
          <w:sz w:val="18"/>
        </w:rPr>
        <w:t xml:space="preserve">unions, and the Springer Press against the student movement and in support of the u.S. war against Vietnam draws </w:t>
      </w:r>
      <w:r>
        <w:rPr>
          <w:rFonts w:ascii="Arial" w:hAnsi="Arial"/>
          <w:color w:val="231F20"/>
          <w:w w:val="110"/>
          <w:sz w:val="18"/>
        </w:rPr>
        <w:t>80</w:t>
      </w:r>
      <w:r>
        <w:rPr>
          <w:rFonts w:ascii="Gill Sans MT" w:hAnsi="Gill Sans MT"/>
          <w:color w:val="231F20"/>
          <w:w w:val="110"/>
          <w:sz w:val="18"/>
        </w:rPr>
        <w:t>,</w:t>
      </w:r>
      <w:r>
        <w:rPr>
          <w:rFonts w:ascii="Arial" w:hAnsi="Arial"/>
          <w:color w:val="231F20"/>
          <w:w w:val="110"/>
          <w:sz w:val="18"/>
        </w:rPr>
        <w:t>000</w:t>
      </w:r>
      <w:r>
        <w:rPr>
          <w:rFonts w:ascii="Gill Sans MT" w:hAnsi="Gill Sans MT"/>
          <w:color w:val="231F20"/>
          <w:w w:val="110"/>
          <w:sz w:val="18"/>
        </w:rPr>
        <w:t>.</w:t>
      </w:r>
      <w:r>
        <w:rPr>
          <w:rFonts w:ascii="Gill Sans MT" w:hAnsi="Gill Sans MT"/>
          <w:color w:val="231F20"/>
          <w:spacing w:val="-3"/>
          <w:w w:val="110"/>
          <w:sz w:val="18"/>
        </w:rPr>
        <w:t xml:space="preserve"> </w:t>
      </w:r>
      <w:r>
        <w:rPr>
          <w:rFonts w:ascii="Gill Sans MT" w:hAnsi="Gill Sans MT"/>
          <w:color w:val="231F20"/>
          <w:w w:val="110"/>
          <w:sz w:val="18"/>
        </w:rPr>
        <w:t>Many participants carry placards reading “Rudi dutschke: Public Enemy Number One” and “Berlin Must Not Become</w:t>
      </w:r>
      <w:r>
        <w:rPr>
          <w:rFonts w:ascii="Gill Sans MT" w:hAnsi="Gill Sans MT"/>
          <w:color w:val="231F20"/>
          <w:spacing w:val="-3"/>
          <w:w w:val="110"/>
          <w:sz w:val="18"/>
        </w:rPr>
        <w:t xml:space="preserve"> </w:t>
      </w:r>
      <w:r>
        <w:rPr>
          <w:rFonts w:ascii="Gill Sans MT" w:hAnsi="Gill Sans MT"/>
          <w:color w:val="231F20"/>
          <w:w w:val="110"/>
          <w:sz w:val="18"/>
        </w:rPr>
        <w:t>Saigon.”</w:t>
      </w:r>
    </w:p>
    <w:p w14:paraId="783692C7" w14:textId="77777777" w:rsidR="002653E8" w:rsidRDefault="002653E8">
      <w:pPr>
        <w:pStyle w:val="a3"/>
        <w:spacing w:before="5"/>
        <w:rPr>
          <w:rFonts w:ascii="Gill Sans MT"/>
        </w:rPr>
      </w:pPr>
    </w:p>
    <w:p w14:paraId="60A9D97F" w14:textId="77777777" w:rsidR="002653E8" w:rsidRPr="00846956" w:rsidRDefault="003115E3">
      <w:pPr>
        <w:ind w:left="200"/>
        <w:rPr>
          <w:rFonts w:ascii="Arial"/>
          <w:b/>
          <w:sz w:val="18"/>
          <w:lang w:val="de-DE"/>
        </w:rPr>
      </w:pPr>
      <w:r w:rsidRPr="00846956">
        <w:rPr>
          <w:rFonts w:ascii="Arial"/>
          <w:b/>
          <w:color w:val="231F20"/>
          <w:w w:val="115"/>
          <w:sz w:val="18"/>
          <w:lang w:val="de-DE"/>
        </w:rPr>
        <w:t>April 1968</w:t>
      </w:r>
    </w:p>
    <w:p w14:paraId="6F09CB0E" w14:textId="77777777" w:rsidR="002653E8" w:rsidRPr="00846956" w:rsidRDefault="003115E3">
      <w:pPr>
        <w:spacing w:before="34" w:line="276" w:lineRule="auto"/>
        <w:ind w:left="200" w:right="1093"/>
        <w:rPr>
          <w:rFonts w:ascii="Gill Sans MT" w:hAnsi="Gill Sans MT"/>
          <w:sz w:val="18"/>
          <w:lang w:val="de-DE"/>
        </w:rPr>
      </w:pPr>
      <w:r w:rsidRPr="00846956">
        <w:rPr>
          <w:rFonts w:ascii="Gill Sans MT" w:hAnsi="Gill Sans MT"/>
          <w:color w:val="231F20"/>
          <w:w w:val="110"/>
          <w:sz w:val="18"/>
          <w:lang w:val="de-DE"/>
        </w:rPr>
        <w:t>Georg von Rauch, Michael “Bommi” Baumann, and others form the Wieland Kommune in West Berlin.</w:t>
      </w:r>
    </w:p>
    <w:p w14:paraId="65BFC3D5" w14:textId="77777777" w:rsidR="002653E8" w:rsidRPr="00846956" w:rsidRDefault="002653E8">
      <w:pPr>
        <w:pStyle w:val="a3"/>
        <w:spacing w:before="6"/>
        <w:rPr>
          <w:rFonts w:ascii="Gill Sans MT"/>
          <w:lang w:val="de-DE"/>
        </w:rPr>
      </w:pPr>
    </w:p>
    <w:p w14:paraId="08C8A404" w14:textId="77777777" w:rsidR="002653E8" w:rsidRDefault="003115E3">
      <w:pPr>
        <w:spacing w:before="1"/>
        <w:ind w:left="200"/>
        <w:rPr>
          <w:rFonts w:ascii="Arial"/>
          <w:b/>
          <w:sz w:val="18"/>
        </w:rPr>
      </w:pPr>
      <w:r>
        <w:rPr>
          <w:rFonts w:ascii="Arial"/>
          <w:b/>
          <w:color w:val="231F20"/>
          <w:w w:val="115"/>
          <w:sz w:val="18"/>
        </w:rPr>
        <w:t>April 3, 1968</w:t>
      </w:r>
    </w:p>
    <w:p w14:paraId="1448D492" w14:textId="77777777" w:rsidR="002653E8" w:rsidRDefault="003115E3">
      <w:pPr>
        <w:spacing w:before="34" w:line="276" w:lineRule="auto"/>
        <w:ind w:left="200" w:right="1236"/>
        <w:rPr>
          <w:rFonts w:ascii="Gill Sans MT" w:hAnsi="Gill Sans MT"/>
          <w:sz w:val="18"/>
        </w:rPr>
      </w:pPr>
      <w:r>
        <w:rPr>
          <w:rFonts w:ascii="Gill Sans MT" w:hAnsi="Gill Sans MT"/>
          <w:color w:val="231F20"/>
          <w:w w:val="110"/>
          <w:sz w:val="18"/>
        </w:rPr>
        <w:t xml:space="preserve">Andreas Baader, Gudrun Ensslin, Thorwald Proll, and Horst Söhnlein firebomb </w:t>
      </w:r>
      <w:r>
        <w:rPr>
          <w:rFonts w:ascii="Arial" w:hAnsi="Arial"/>
          <w:color w:val="231F20"/>
          <w:w w:val="110"/>
          <w:sz w:val="18"/>
        </w:rPr>
        <w:t xml:space="preserve">2 </w:t>
      </w:r>
      <w:r>
        <w:rPr>
          <w:rFonts w:ascii="Gill Sans MT" w:hAnsi="Gill Sans MT"/>
          <w:color w:val="231F20"/>
          <w:w w:val="110"/>
          <w:sz w:val="18"/>
        </w:rPr>
        <w:t>Frankfurt department stores to protest the escalation of the Vietnam War.</w:t>
      </w:r>
    </w:p>
    <w:p w14:paraId="490F9179" w14:textId="77777777" w:rsidR="002653E8" w:rsidRDefault="002653E8">
      <w:pPr>
        <w:spacing w:line="276" w:lineRule="auto"/>
        <w:rPr>
          <w:rFonts w:ascii="Gill Sans MT" w:hAnsi="Gill Sans MT"/>
          <w:sz w:val="18"/>
        </w:rPr>
        <w:sectPr w:rsidR="002653E8">
          <w:footerReference w:type="even" r:id="rId496"/>
          <w:pgSz w:w="8640" w:h="12960"/>
          <w:pgMar w:top="1060" w:right="0" w:bottom="280" w:left="0" w:header="0" w:footer="0" w:gutter="0"/>
          <w:cols w:num="2" w:space="720" w:equalWidth="0">
            <w:col w:w="4290" w:space="40"/>
            <w:col w:w="4310"/>
          </w:cols>
        </w:sectPr>
      </w:pPr>
    </w:p>
    <w:p w14:paraId="754C9DC7" w14:textId="77777777" w:rsidR="002653E8" w:rsidRDefault="002653E8">
      <w:pPr>
        <w:pStyle w:val="a3"/>
        <w:rPr>
          <w:rFonts w:ascii="Gill Sans MT"/>
        </w:rPr>
      </w:pPr>
    </w:p>
    <w:p w14:paraId="174DDECC" w14:textId="77777777" w:rsidR="002653E8" w:rsidRDefault="002653E8">
      <w:pPr>
        <w:pStyle w:val="a3"/>
        <w:rPr>
          <w:rFonts w:ascii="Gill Sans MT"/>
        </w:rPr>
      </w:pPr>
    </w:p>
    <w:p w14:paraId="2168E332" w14:textId="77777777" w:rsidR="002653E8" w:rsidRDefault="002653E8">
      <w:pPr>
        <w:pStyle w:val="a3"/>
        <w:rPr>
          <w:rFonts w:ascii="Gill Sans MT"/>
        </w:rPr>
      </w:pPr>
    </w:p>
    <w:p w14:paraId="4FE0B9A6" w14:textId="77777777" w:rsidR="002653E8" w:rsidRDefault="002653E8">
      <w:pPr>
        <w:pStyle w:val="a3"/>
        <w:spacing w:before="7"/>
        <w:rPr>
          <w:rFonts w:ascii="Gill Sans MT"/>
          <w:sz w:val="24"/>
        </w:rPr>
      </w:pPr>
    </w:p>
    <w:p w14:paraId="7B3EEFE4" w14:textId="77777777" w:rsidR="002653E8" w:rsidRDefault="002653E8">
      <w:pPr>
        <w:rPr>
          <w:rFonts w:ascii="Gill Sans MT"/>
          <w:sz w:val="24"/>
        </w:rPr>
        <w:sectPr w:rsidR="002653E8">
          <w:type w:val="continuous"/>
          <w:pgSz w:w="8640" w:h="12960"/>
          <w:pgMar w:top="0" w:right="0" w:bottom="0" w:left="0" w:header="720" w:footer="720" w:gutter="0"/>
          <w:cols w:space="720"/>
        </w:sectPr>
      </w:pPr>
    </w:p>
    <w:p w14:paraId="3885EED2" w14:textId="77777777" w:rsidR="002653E8" w:rsidRDefault="003115E3">
      <w:pPr>
        <w:spacing w:before="144" w:line="244" w:lineRule="auto"/>
        <w:ind w:left="1327" w:right="38"/>
        <w:rPr>
          <w:sz w:val="18"/>
        </w:rPr>
      </w:pPr>
      <w:r>
        <w:rPr>
          <w:color w:val="231F20"/>
          <w:w w:val="115"/>
          <w:sz w:val="18"/>
        </w:rPr>
        <w:t>a chronology april 3, 1968</w:t>
      </w:r>
      <w:r>
        <w:rPr>
          <w:color w:val="231F20"/>
          <w:sz w:val="18"/>
        </w:rPr>
        <w:t xml:space="preserve"> </w:t>
      </w:r>
    </w:p>
    <w:p w14:paraId="0527C4D6" w14:textId="77777777" w:rsidR="002653E8" w:rsidRDefault="003115E3">
      <w:pPr>
        <w:spacing w:before="99"/>
        <w:ind w:left="1346" w:right="1141"/>
        <w:jc w:val="center"/>
        <w:rPr>
          <w:sz w:val="18"/>
        </w:rPr>
      </w:pPr>
      <w:r>
        <w:br w:type="column"/>
      </w:r>
      <w:r>
        <w:rPr>
          <w:color w:val="231F20"/>
          <w:sz w:val="18"/>
        </w:rPr>
        <w:t xml:space="preserve">581 </w:t>
      </w:r>
    </w:p>
    <w:p w14:paraId="61B6F159" w14:textId="77777777" w:rsidR="002653E8" w:rsidRDefault="002653E8">
      <w:pPr>
        <w:jc w:val="center"/>
        <w:rPr>
          <w:sz w:val="18"/>
        </w:rPr>
        <w:sectPr w:rsidR="002653E8">
          <w:type w:val="continuous"/>
          <w:pgSz w:w="8640" w:h="12960"/>
          <w:pgMar w:top="0" w:right="0" w:bottom="0" w:left="0" w:header="720" w:footer="720" w:gutter="0"/>
          <w:cols w:num="2" w:space="720" w:equalWidth="0">
            <w:col w:w="2922" w:space="2892"/>
            <w:col w:w="2826"/>
          </w:cols>
        </w:sectPr>
      </w:pPr>
    </w:p>
    <w:p w14:paraId="4255D898" w14:textId="77777777" w:rsidR="002653E8" w:rsidRDefault="003115E3">
      <w:pPr>
        <w:spacing w:before="91"/>
        <w:ind w:left="1147"/>
        <w:rPr>
          <w:rFonts w:ascii="Arial"/>
          <w:b/>
          <w:sz w:val="18"/>
        </w:rPr>
      </w:pPr>
      <w:r>
        <w:rPr>
          <w:rFonts w:ascii="Arial"/>
          <w:b/>
          <w:color w:val="231F20"/>
          <w:w w:val="115"/>
          <w:sz w:val="18"/>
        </w:rPr>
        <w:lastRenderedPageBreak/>
        <w:t>April 4, 1968</w:t>
      </w:r>
    </w:p>
    <w:p w14:paraId="72632352" w14:textId="77777777" w:rsidR="002653E8" w:rsidRDefault="003115E3">
      <w:pPr>
        <w:spacing w:before="34" w:line="276" w:lineRule="auto"/>
        <w:ind w:left="1147" w:right="55"/>
        <w:rPr>
          <w:rFonts w:ascii="Gill Sans MT" w:hAnsi="Gill Sans MT"/>
          <w:sz w:val="18"/>
        </w:rPr>
      </w:pPr>
      <w:r>
        <w:rPr>
          <w:rFonts w:ascii="Gill Sans MT" w:hAnsi="Gill Sans MT"/>
          <w:color w:val="231F20"/>
          <w:w w:val="110"/>
          <w:sz w:val="18"/>
        </w:rPr>
        <w:t>Andreas Baader, Gudrun Ensslin, Thorwald Proll, and Horst Söhnlein are arrested for the arsons of the previous day.</w:t>
      </w:r>
    </w:p>
    <w:p w14:paraId="604EF467" w14:textId="77777777" w:rsidR="002653E8" w:rsidRDefault="003115E3">
      <w:pPr>
        <w:spacing w:line="276" w:lineRule="auto"/>
        <w:ind w:left="1147" w:right="-15"/>
        <w:rPr>
          <w:rFonts w:ascii="Gill Sans MT"/>
          <w:sz w:val="18"/>
        </w:rPr>
      </w:pPr>
      <w:r>
        <w:rPr>
          <w:rFonts w:ascii="Gill Sans MT"/>
          <w:color w:val="231F20"/>
          <w:w w:val="115"/>
          <w:sz w:val="18"/>
        </w:rPr>
        <w:t>Martin</w:t>
      </w:r>
      <w:r>
        <w:rPr>
          <w:rFonts w:ascii="Gill Sans MT"/>
          <w:color w:val="231F20"/>
          <w:spacing w:val="-25"/>
          <w:w w:val="115"/>
          <w:sz w:val="18"/>
        </w:rPr>
        <w:t xml:space="preserve"> </w:t>
      </w:r>
      <w:r>
        <w:rPr>
          <w:rFonts w:ascii="Gill Sans MT"/>
          <w:color w:val="231F20"/>
          <w:w w:val="115"/>
          <w:sz w:val="18"/>
        </w:rPr>
        <w:t>Luther</w:t>
      </w:r>
      <w:r>
        <w:rPr>
          <w:rFonts w:ascii="Gill Sans MT"/>
          <w:color w:val="231F20"/>
          <w:spacing w:val="-25"/>
          <w:w w:val="115"/>
          <w:sz w:val="18"/>
        </w:rPr>
        <w:t xml:space="preserve"> </w:t>
      </w:r>
      <w:r>
        <w:rPr>
          <w:rFonts w:ascii="Gill Sans MT"/>
          <w:color w:val="231F20"/>
          <w:w w:val="115"/>
          <w:sz w:val="18"/>
        </w:rPr>
        <w:t>King</w:t>
      </w:r>
      <w:r>
        <w:rPr>
          <w:rFonts w:ascii="Gill Sans MT"/>
          <w:color w:val="231F20"/>
          <w:spacing w:val="-25"/>
          <w:w w:val="115"/>
          <w:sz w:val="18"/>
        </w:rPr>
        <w:t xml:space="preserve"> </w:t>
      </w:r>
      <w:r>
        <w:rPr>
          <w:rFonts w:ascii="Gill Sans MT"/>
          <w:color w:val="231F20"/>
          <w:w w:val="115"/>
          <w:sz w:val="18"/>
        </w:rPr>
        <w:t>is</w:t>
      </w:r>
      <w:r>
        <w:rPr>
          <w:rFonts w:ascii="Gill Sans MT"/>
          <w:color w:val="231F20"/>
          <w:spacing w:val="-25"/>
          <w:w w:val="115"/>
          <w:sz w:val="18"/>
        </w:rPr>
        <w:t xml:space="preserve"> </w:t>
      </w:r>
      <w:r>
        <w:rPr>
          <w:rFonts w:ascii="Gill Sans MT"/>
          <w:color w:val="231F20"/>
          <w:w w:val="115"/>
          <w:sz w:val="18"/>
        </w:rPr>
        <w:t>assassinated</w:t>
      </w:r>
      <w:r>
        <w:rPr>
          <w:rFonts w:ascii="Gill Sans MT"/>
          <w:color w:val="231F20"/>
          <w:spacing w:val="-25"/>
          <w:w w:val="115"/>
          <w:sz w:val="18"/>
        </w:rPr>
        <w:t xml:space="preserve"> </w:t>
      </w:r>
      <w:r>
        <w:rPr>
          <w:rFonts w:ascii="Gill Sans MT"/>
          <w:color w:val="231F20"/>
          <w:w w:val="115"/>
          <w:sz w:val="18"/>
        </w:rPr>
        <w:t>in</w:t>
      </w:r>
      <w:r>
        <w:rPr>
          <w:rFonts w:ascii="Gill Sans MT"/>
          <w:color w:val="231F20"/>
          <w:w w:val="110"/>
          <w:sz w:val="18"/>
        </w:rPr>
        <w:t xml:space="preserve"> </w:t>
      </w:r>
      <w:r>
        <w:rPr>
          <w:rFonts w:ascii="Gill Sans MT"/>
          <w:color w:val="231F20"/>
          <w:w w:val="115"/>
          <w:sz w:val="18"/>
        </w:rPr>
        <w:t>Memphis,</w:t>
      </w:r>
      <w:r>
        <w:rPr>
          <w:rFonts w:ascii="Gill Sans MT"/>
          <w:color w:val="231F20"/>
          <w:spacing w:val="-10"/>
          <w:w w:val="115"/>
          <w:sz w:val="18"/>
        </w:rPr>
        <w:t xml:space="preserve"> </w:t>
      </w:r>
      <w:r>
        <w:rPr>
          <w:rFonts w:ascii="Gill Sans MT"/>
          <w:color w:val="231F20"/>
          <w:w w:val="115"/>
          <w:sz w:val="18"/>
        </w:rPr>
        <w:t>Tennessee.</w:t>
      </w:r>
    </w:p>
    <w:p w14:paraId="5002F7BF" w14:textId="77777777" w:rsidR="002653E8" w:rsidRDefault="002653E8">
      <w:pPr>
        <w:pStyle w:val="a3"/>
        <w:spacing w:before="6"/>
        <w:rPr>
          <w:rFonts w:ascii="Gill Sans MT"/>
        </w:rPr>
      </w:pPr>
    </w:p>
    <w:p w14:paraId="1CE73C8C" w14:textId="77777777" w:rsidR="002653E8" w:rsidRDefault="003115E3">
      <w:pPr>
        <w:ind w:left="1147"/>
        <w:rPr>
          <w:rFonts w:ascii="Arial"/>
          <w:b/>
          <w:sz w:val="18"/>
        </w:rPr>
      </w:pPr>
      <w:r>
        <w:rPr>
          <w:rFonts w:ascii="Arial"/>
          <w:b/>
          <w:color w:val="231F20"/>
          <w:w w:val="115"/>
          <w:sz w:val="18"/>
        </w:rPr>
        <w:t>April 11, 1968</w:t>
      </w:r>
    </w:p>
    <w:p w14:paraId="6E0A7862" w14:textId="77777777" w:rsidR="002653E8" w:rsidRDefault="003115E3">
      <w:pPr>
        <w:spacing w:before="35" w:line="273" w:lineRule="auto"/>
        <w:ind w:left="1147" w:right="216" w:hanging="1"/>
        <w:rPr>
          <w:rFonts w:ascii="Gill Sans MT"/>
          <w:sz w:val="18"/>
        </w:rPr>
      </w:pPr>
      <w:r>
        <w:rPr>
          <w:rFonts w:ascii="Gill Sans MT"/>
          <w:color w:val="231F20"/>
          <w:w w:val="115"/>
          <w:sz w:val="18"/>
        </w:rPr>
        <w:t>Student leader Rudi dutschke is shot three times, including once in</w:t>
      </w:r>
      <w:r>
        <w:rPr>
          <w:rFonts w:ascii="Gill Sans MT"/>
          <w:color w:val="231F20"/>
          <w:spacing w:val="-20"/>
          <w:w w:val="115"/>
          <w:sz w:val="18"/>
        </w:rPr>
        <w:t xml:space="preserve"> </w:t>
      </w:r>
      <w:r>
        <w:rPr>
          <w:rFonts w:ascii="Gill Sans MT"/>
          <w:color w:val="231F20"/>
          <w:w w:val="115"/>
          <w:sz w:val="18"/>
        </w:rPr>
        <w:t>the</w:t>
      </w:r>
      <w:r>
        <w:rPr>
          <w:rFonts w:ascii="Gill Sans MT"/>
          <w:color w:val="231F20"/>
          <w:spacing w:val="-20"/>
          <w:w w:val="115"/>
          <w:sz w:val="18"/>
        </w:rPr>
        <w:t xml:space="preserve"> </w:t>
      </w:r>
      <w:r>
        <w:rPr>
          <w:rFonts w:ascii="Gill Sans MT"/>
          <w:color w:val="231F20"/>
          <w:w w:val="115"/>
          <w:sz w:val="18"/>
        </w:rPr>
        <w:t>head,</w:t>
      </w:r>
      <w:r>
        <w:rPr>
          <w:rFonts w:ascii="Gill Sans MT"/>
          <w:color w:val="231F20"/>
          <w:spacing w:val="-20"/>
          <w:w w:val="115"/>
          <w:sz w:val="18"/>
        </w:rPr>
        <w:t xml:space="preserve"> </w:t>
      </w:r>
      <w:r>
        <w:rPr>
          <w:rFonts w:ascii="Gill Sans MT"/>
          <w:color w:val="231F20"/>
          <w:w w:val="115"/>
          <w:sz w:val="18"/>
        </w:rPr>
        <w:t>and</w:t>
      </w:r>
      <w:r>
        <w:rPr>
          <w:rFonts w:ascii="Gill Sans MT"/>
          <w:color w:val="231F20"/>
          <w:spacing w:val="-20"/>
          <w:w w:val="115"/>
          <w:sz w:val="18"/>
        </w:rPr>
        <w:t xml:space="preserve"> </w:t>
      </w:r>
      <w:r>
        <w:rPr>
          <w:rFonts w:ascii="Gill Sans MT"/>
          <w:color w:val="231F20"/>
          <w:w w:val="115"/>
          <w:sz w:val="18"/>
        </w:rPr>
        <w:t>seriously</w:t>
      </w:r>
      <w:r>
        <w:rPr>
          <w:rFonts w:ascii="Gill Sans MT"/>
          <w:color w:val="231F20"/>
          <w:spacing w:val="-20"/>
          <w:w w:val="115"/>
          <w:sz w:val="18"/>
        </w:rPr>
        <w:t xml:space="preserve"> </w:t>
      </w:r>
      <w:r>
        <w:rPr>
          <w:rFonts w:ascii="Gill Sans MT"/>
          <w:color w:val="231F20"/>
          <w:w w:val="115"/>
          <w:sz w:val="18"/>
        </w:rPr>
        <w:t>injured in</w:t>
      </w:r>
      <w:r>
        <w:rPr>
          <w:rFonts w:ascii="Gill Sans MT"/>
          <w:color w:val="231F20"/>
          <w:spacing w:val="-28"/>
          <w:w w:val="115"/>
          <w:sz w:val="18"/>
        </w:rPr>
        <w:t xml:space="preserve"> </w:t>
      </w:r>
      <w:r>
        <w:rPr>
          <w:rFonts w:ascii="Gill Sans MT"/>
          <w:color w:val="231F20"/>
          <w:spacing w:val="-3"/>
          <w:w w:val="115"/>
          <w:sz w:val="18"/>
        </w:rPr>
        <w:t>West</w:t>
      </w:r>
      <w:r>
        <w:rPr>
          <w:rFonts w:ascii="Gill Sans MT"/>
          <w:color w:val="231F20"/>
          <w:spacing w:val="-28"/>
          <w:w w:val="115"/>
          <w:sz w:val="18"/>
        </w:rPr>
        <w:t xml:space="preserve"> </w:t>
      </w:r>
      <w:r>
        <w:rPr>
          <w:rFonts w:ascii="Gill Sans MT"/>
          <w:color w:val="231F20"/>
          <w:w w:val="115"/>
          <w:sz w:val="18"/>
        </w:rPr>
        <w:t>Berlin.</w:t>
      </w:r>
      <w:r>
        <w:rPr>
          <w:rFonts w:ascii="Gill Sans MT"/>
          <w:color w:val="231F20"/>
          <w:spacing w:val="-28"/>
          <w:w w:val="115"/>
          <w:sz w:val="18"/>
        </w:rPr>
        <w:t xml:space="preserve"> </w:t>
      </w:r>
      <w:r>
        <w:rPr>
          <w:rFonts w:ascii="Gill Sans MT"/>
          <w:color w:val="231F20"/>
          <w:w w:val="115"/>
          <w:sz w:val="18"/>
        </w:rPr>
        <w:t>The</w:t>
      </w:r>
      <w:r>
        <w:rPr>
          <w:rFonts w:ascii="Gill Sans MT"/>
          <w:color w:val="231F20"/>
          <w:spacing w:val="-28"/>
          <w:w w:val="115"/>
          <w:sz w:val="18"/>
        </w:rPr>
        <w:t xml:space="preserve"> </w:t>
      </w:r>
      <w:r>
        <w:rPr>
          <w:rFonts w:ascii="Gill Sans MT"/>
          <w:color w:val="231F20"/>
          <w:spacing w:val="-3"/>
          <w:w w:val="115"/>
          <w:sz w:val="18"/>
        </w:rPr>
        <w:t>shooter,</w:t>
      </w:r>
      <w:r>
        <w:rPr>
          <w:rFonts w:ascii="Gill Sans MT"/>
          <w:color w:val="231F20"/>
          <w:spacing w:val="-28"/>
          <w:w w:val="115"/>
          <w:sz w:val="18"/>
        </w:rPr>
        <w:t xml:space="preserve"> </w:t>
      </w:r>
      <w:r>
        <w:rPr>
          <w:rFonts w:ascii="Gill Sans MT"/>
          <w:color w:val="231F20"/>
          <w:w w:val="115"/>
          <w:sz w:val="18"/>
        </w:rPr>
        <w:t>Josef Bachmann, is a young right-wing worker</w:t>
      </w:r>
      <w:r>
        <w:rPr>
          <w:rFonts w:ascii="Gill Sans MT"/>
          <w:color w:val="231F20"/>
          <w:spacing w:val="-34"/>
          <w:w w:val="115"/>
          <w:sz w:val="18"/>
        </w:rPr>
        <w:t xml:space="preserve"> </w:t>
      </w:r>
      <w:r>
        <w:rPr>
          <w:rFonts w:ascii="Gill Sans MT"/>
          <w:color w:val="231F20"/>
          <w:w w:val="115"/>
          <w:sz w:val="18"/>
        </w:rPr>
        <w:t>from</w:t>
      </w:r>
      <w:r>
        <w:rPr>
          <w:rFonts w:ascii="Gill Sans MT"/>
          <w:color w:val="231F20"/>
          <w:spacing w:val="-34"/>
          <w:w w:val="115"/>
          <w:sz w:val="18"/>
        </w:rPr>
        <w:t xml:space="preserve"> </w:t>
      </w:r>
      <w:r>
        <w:rPr>
          <w:rFonts w:ascii="Gill Sans MT"/>
          <w:color w:val="231F20"/>
          <w:w w:val="115"/>
          <w:sz w:val="18"/>
        </w:rPr>
        <w:t>Munich,</w:t>
      </w:r>
      <w:r>
        <w:rPr>
          <w:rFonts w:ascii="Gill Sans MT"/>
          <w:color w:val="231F20"/>
          <w:spacing w:val="-34"/>
          <w:w w:val="115"/>
          <w:sz w:val="18"/>
        </w:rPr>
        <w:t xml:space="preserve"> </w:t>
      </w:r>
      <w:r>
        <w:rPr>
          <w:rFonts w:ascii="Gill Sans MT"/>
          <w:color w:val="231F20"/>
          <w:w w:val="115"/>
          <w:sz w:val="18"/>
        </w:rPr>
        <w:t>who</w:t>
      </w:r>
      <w:r>
        <w:rPr>
          <w:rFonts w:ascii="Gill Sans MT"/>
          <w:color w:val="231F20"/>
          <w:spacing w:val="-34"/>
          <w:w w:val="115"/>
          <w:sz w:val="18"/>
        </w:rPr>
        <w:t xml:space="preserve"> </w:t>
      </w:r>
      <w:r>
        <w:rPr>
          <w:rFonts w:ascii="Gill Sans MT"/>
          <w:color w:val="231F20"/>
          <w:w w:val="115"/>
          <w:sz w:val="18"/>
        </w:rPr>
        <w:t>claims to</w:t>
      </w:r>
      <w:r>
        <w:rPr>
          <w:rFonts w:ascii="Gill Sans MT"/>
          <w:color w:val="231F20"/>
          <w:spacing w:val="-23"/>
          <w:w w:val="115"/>
          <w:sz w:val="18"/>
        </w:rPr>
        <w:t xml:space="preserve"> </w:t>
      </w:r>
      <w:r>
        <w:rPr>
          <w:rFonts w:ascii="Gill Sans MT"/>
          <w:color w:val="231F20"/>
          <w:w w:val="115"/>
          <w:sz w:val="18"/>
        </w:rPr>
        <w:t>have</w:t>
      </w:r>
      <w:r>
        <w:rPr>
          <w:rFonts w:ascii="Gill Sans MT"/>
          <w:color w:val="231F20"/>
          <w:spacing w:val="-23"/>
          <w:w w:val="115"/>
          <w:sz w:val="18"/>
        </w:rPr>
        <w:t xml:space="preserve"> </w:t>
      </w:r>
      <w:r>
        <w:rPr>
          <w:rFonts w:ascii="Gill Sans MT"/>
          <w:color w:val="231F20"/>
          <w:w w:val="115"/>
          <w:sz w:val="18"/>
        </w:rPr>
        <w:t>been</w:t>
      </w:r>
      <w:r>
        <w:rPr>
          <w:rFonts w:ascii="Gill Sans MT"/>
          <w:color w:val="231F20"/>
          <w:spacing w:val="-23"/>
          <w:w w:val="115"/>
          <w:sz w:val="18"/>
        </w:rPr>
        <w:t xml:space="preserve"> </w:t>
      </w:r>
      <w:r>
        <w:rPr>
          <w:rFonts w:ascii="Gill Sans MT"/>
          <w:color w:val="231F20"/>
          <w:w w:val="115"/>
          <w:sz w:val="18"/>
        </w:rPr>
        <w:t>inspired</w:t>
      </w:r>
      <w:r>
        <w:rPr>
          <w:rFonts w:ascii="Gill Sans MT"/>
          <w:color w:val="231F20"/>
          <w:spacing w:val="-23"/>
          <w:w w:val="115"/>
          <w:sz w:val="18"/>
        </w:rPr>
        <w:t xml:space="preserve"> </w:t>
      </w:r>
      <w:r>
        <w:rPr>
          <w:rFonts w:ascii="Gill Sans MT"/>
          <w:color w:val="231F20"/>
          <w:w w:val="115"/>
          <w:sz w:val="18"/>
        </w:rPr>
        <w:t>by</w:t>
      </w:r>
      <w:r>
        <w:rPr>
          <w:rFonts w:ascii="Gill Sans MT"/>
          <w:color w:val="231F20"/>
          <w:spacing w:val="-23"/>
          <w:w w:val="115"/>
          <w:sz w:val="18"/>
        </w:rPr>
        <w:t xml:space="preserve"> </w:t>
      </w:r>
      <w:r>
        <w:rPr>
          <w:rFonts w:ascii="Gill Sans MT"/>
          <w:color w:val="231F20"/>
          <w:w w:val="115"/>
          <w:sz w:val="18"/>
        </w:rPr>
        <w:t>the</w:t>
      </w:r>
      <w:r>
        <w:rPr>
          <w:rFonts w:ascii="Gill Sans MT"/>
          <w:color w:val="231F20"/>
          <w:spacing w:val="-23"/>
          <w:w w:val="115"/>
          <w:sz w:val="18"/>
        </w:rPr>
        <w:t xml:space="preserve"> </w:t>
      </w:r>
      <w:r>
        <w:rPr>
          <w:rFonts w:ascii="Lucida Sans"/>
          <w:i/>
          <w:color w:val="231F20"/>
          <w:w w:val="115"/>
          <w:sz w:val="18"/>
        </w:rPr>
        <w:t xml:space="preserve">Bild Zeitung. </w:t>
      </w:r>
      <w:r>
        <w:rPr>
          <w:rFonts w:ascii="Gill Sans MT"/>
          <w:color w:val="231F20"/>
          <w:w w:val="115"/>
          <w:sz w:val="18"/>
        </w:rPr>
        <w:t>The shooting sparks weeks</w:t>
      </w:r>
      <w:r>
        <w:rPr>
          <w:rFonts w:ascii="Gill Sans MT"/>
          <w:color w:val="231F20"/>
          <w:spacing w:val="-34"/>
          <w:w w:val="115"/>
          <w:sz w:val="18"/>
        </w:rPr>
        <w:t xml:space="preserve"> </w:t>
      </w:r>
      <w:r>
        <w:rPr>
          <w:rFonts w:ascii="Gill Sans MT"/>
          <w:color w:val="231F20"/>
          <w:w w:val="115"/>
          <w:sz w:val="18"/>
        </w:rPr>
        <w:t>of</w:t>
      </w:r>
      <w:r>
        <w:rPr>
          <w:rFonts w:ascii="Gill Sans MT"/>
          <w:color w:val="231F20"/>
          <w:spacing w:val="-34"/>
          <w:w w:val="115"/>
          <w:sz w:val="18"/>
        </w:rPr>
        <w:t xml:space="preserve"> </w:t>
      </w:r>
      <w:r>
        <w:rPr>
          <w:rFonts w:ascii="Gill Sans MT"/>
          <w:color w:val="231F20"/>
          <w:w w:val="115"/>
          <w:sz w:val="18"/>
        </w:rPr>
        <w:t>violent</w:t>
      </w:r>
      <w:r>
        <w:rPr>
          <w:rFonts w:ascii="Gill Sans MT"/>
          <w:color w:val="231F20"/>
          <w:spacing w:val="-34"/>
          <w:w w:val="115"/>
          <w:sz w:val="18"/>
        </w:rPr>
        <w:t xml:space="preserve"> </w:t>
      </w:r>
      <w:r>
        <w:rPr>
          <w:rFonts w:ascii="Gill Sans MT"/>
          <w:color w:val="231F20"/>
          <w:w w:val="115"/>
          <w:sz w:val="18"/>
        </w:rPr>
        <w:t>unrest,</w:t>
      </w:r>
      <w:r>
        <w:rPr>
          <w:rFonts w:ascii="Gill Sans MT"/>
          <w:color w:val="231F20"/>
          <w:spacing w:val="-34"/>
          <w:w w:val="115"/>
          <w:sz w:val="18"/>
        </w:rPr>
        <w:t xml:space="preserve"> </w:t>
      </w:r>
      <w:r>
        <w:rPr>
          <w:rFonts w:ascii="Gill Sans MT"/>
          <w:color w:val="231F20"/>
          <w:w w:val="115"/>
          <w:sz w:val="18"/>
        </w:rPr>
        <w:t>primarily</w:t>
      </w:r>
    </w:p>
    <w:p w14:paraId="22B94A47" w14:textId="77777777" w:rsidR="002653E8" w:rsidRDefault="003115E3">
      <w:pPr>
        <w:spacing w:before="4" w:line="276" w:lineRule="auto"/>
        <w:ind w:left="1147"/>
        <w:rPr>
          <w:rFonts w:ascii="Gill Sans MT"/>
          <w:sz w:val="18"/>
        </w:rPr>
      </w:pPr>
      <w:r>
        <w:rPr>
          <w:rFonts w:ascii="Gill Sans MT"/>
          <w:color w:val="231F20"/>
          <w:w w:val="110"/>
          <w:sz w:val="18"/>
        </w:rPr>
        <w:t>directed against the Springer Press. In Munich, two demonstrators are killed in clashes with the police. demonstrations and clashes occur for the rest of the month in cities throughout West Germany.</w:t>
      </w:r>
    </w:p>
    <w:p w14:paraId="3963573E" w14:textId="77777777" w:rsidR="002653E8" w:rsidRDefault="002653E8">
      <w:pPr>
        <w:pStyle w:val="a3"/>
        <w:spacing w:before="6"/>
        <w:rPr>
          <w:rFonts w:ascii="Gill Sans MT"/>
        </w:rPr>
      </w:pPr>
    </w:p>
    <w:p w14:paraId="3316AA02" w14:textId="77777777" w:rsidR="002653E8" w:rsidRDefault="003115E3">
      <w:pPr>
        <w:ind w:left="1147"/>
        <w:rPr>
          <w:rFonts w:ascii="Arial"/>
          <w:b/>
          <w:sz w:val="18"/>
        </w:rPr>
      </w:pPr>
      <w:r>
        <w:rPr>
          <w:rFonts w:ascii="Arial"/>
          <w:b/>
          <w:color w:val="231F20"/>
          <w:w w:val="115"/>
          <w:sz w:val="18"/>
        </w:rPr>
        <w:t>May 1968</w:t>
      </w:r>
    </w:p>
    <w:p w14:paraId="0784E952" w14:textId="77777777" w:rsidR="002653E8" w:rsidRDefault="003115E3">
      <w:pPr>
        <w:spacing w:before="35" w:line="276" w:lineRule="auto"/>
        <w:ind w:left="1147" w:right="111"/>
        <w:rPr>
          <w:rFonts w:ascii="Gill Sans MT" w:hAnsi="Gill Sans MT"/>
          <w:sz w:val="18"/>
        </w:rPr>
      </w:pPr>
      <w:r>
        <w:rPr>
          <w:rFonts w:ascii="Gill Sans MT" w:hAnsi="Gill Sans MT"/>
          <w:color w:val="231F20"/>
          <w:w w:val="110"/>
          <w:sz w:val="18"/>
        </w:rPr>
        <w:t>Student mass demonstrations happen around the world: West Germany, France, Austria, Italy, Yugoslavia, England, Turkey, Brazil, Japan, the uSA…</w:t>
      </w:r>
    </w:p>
    <w:p w14:paraId="10F7930F" w14:textId="77777777" w:rsidR="002653E8" w:rsidRDefault="002653E8">
      <w:pPr>
        <w:pStyle w:val="a3"/>
        <w:spacing w:before="6"/>
        <w:rPr>
          <w:rFonts w:ascii="Gill Sans MT"/>
        </w:rPr>
      </w:pPr>
    </w:p>
    <w:p w14:paraId="04D156A2" w14:textId="77777777" w:rsidR="002653E8" w:rsidRDefault="003115E3">
      <w:pPr>
        <w:ind w:left="1147"/>
        <w:rPr>
          <w:rFonts w:ascii="Arial" w:hAnsi="Arial"/>
          <w:b/>
          <w:sz w:val="18"/>
        </w:rPr>
      </w:pPr>
      <w:r>
        <w:rPr>
          <w:rFonts w:ascii="Arial" w:hAnsi="Arial"/>
          <w:b/>
          <w:color w:val="231F20"/>
          <w:w w:val="115"/>
          <w:sz w:val="18"/>
        </w:rPr>
        <w:t>May 3–June 30, 1968</w:t>
      </w:r>
    </w:p>
    <w:p w14:paraId="6DF53075" w14:textId="77777777" w:rsidR="002653E8" w:rsidRDefault="003115E3">
      <w:pPr>
        <w:spacing w:before="35" w:line="276" w:lineRule="auto"/>
        <w:ind w:left="1147" w:right="286"/>
        <w:rPr>
          <w:rFonts w:ascii="Gill Sans MT"/>
          <w:sz w:val="18"/>
        </w:rPr>
      </w:pPr>
      <w:r>
        <w:rPr>
          <w:rFonts w:ascii="Gill Sans MT"/>
          <w:color w:val="231F20"/>
          <w:w w:val="110"/>
          <w:sz w:val="18"/>
        </w:rPr>
        <w:t>A student strike in Paris, France sets in motion events that will last until August, including widespread workers strikes, mass demonstrations, street confrontations, and factory</w:t>
      </w:r>
    </w:p>
    <w:p w14:paraId="7250EDC4" w14:textId="77777777" w:rsidR="002653E8" w:rsidRDefault="003115E3">
      <w:pPr>
        <w:spacing w:line="276" w:lineRule="auto"/>
        <w:ind w:left="1147" w:right="56"/>
        <w:rPr>
          <w:rFonts w:ascii="Gill Sans MT"/>
          <w:sz w:val="18"/>
        </w:rPr>
      </w:pPr>
      <w:r>
        <w:rPr>
          <w:rFonts w:ascii="Gill Sans MT"/>
          <w:color w:val="231F20"/>
          <w:w w:val="115"/>
          <w:sz w:val="18"/>
        </w:rPr>
        <w:t>occupations,</w:t>
      </w:r>
      <w:r>
        <w:rPr>
          <w:rFonts w:ascii="Gill Sans MT"/>
          <w:color w:val="231F20"/>
          <w:spacing w:val="-21"/>
          <w:w w:val="115"/>
          <w:sz w:val="18"/>
        </w:rPr>
        <w:t xml:space="preserve"> </w:t>
      </w:r>
      <w:r>
        <w:rPr>
          <w:rFonts w:ascii="Gill Sans MT"/>
          <w:color w:val="231F20"/>
          <w:w w:val="115"/>
          <w:sz w:val="18"/>
        </w:rPr>
        <w:t>almost</w:t>
      </w:r>
      <w:r>
        <w:rPr>
          <w:rFonts w:ascii="Gill Sans MT"/>
          <w:color w:val="231F20"/>
          <w:spacing w:val="-21"/>
          <w:w w:val="115"/>
          <w:sz w:val="18"/>
        </w:rPr>
        <w:t xml:space="preserve"> </w:t>
      </w:r>
      <w:r>
        <w:rPr>
          <w:rFonts w:ascii="Gill Sans MT"/>
          <w:color w:val="231F20"/>
          <w:w w:val="115"/>
          <w:sz w:val="18"/>
        </w:rPr>
        <w:t>bringing</w:t>
      </w:r>
      <w:r>
        <w:rPr>
          <w:rFonts w:ascii="Gill Sans MT"/>
          <w:color w:val="231F20"/>
          <w:spacing w:val="-21"/>
          <w:w w:val="115"/>
          <w:sz w:val="18"/>
        </w:rPr>
        <w:t xml:space="preserve"> </w:t>
      </w:r>
      <w:r>
        <w:rPr>
          <w:rFonts w:ascii="Gill Sans MT"/>
          <w:color w:val="231F20"/>
          <w:w w:val="115"/>
          <w:sz w:val="18"/>
        </w:rPr>
        <w:t>down the</w:t>
      </w:r>
      <w:r>
        <w:rPr>
          <w:rFonts w:ascii="Gill Sans MT"/>
          <w:color w:val="231F20"/>
          <w:spacing w:val="-22"/>
          <w:w w:val="115"/>
          <w:sz w:val="18"/>
        </w:rPr>
        <w:t xml:space="preserve"> </w:t>
      </w:r>
      <w:r>
        <w:rPr>
          <w:rFonts w:ascii="Gill Sans MT"/>
          <w:color w:val="231F20"/>
          <w:w w:val="115"/>
          <w:sz w:val="18"/>
        </w:rPr>
        <w:t>Charles</w:t>
      </w:r>
      <w:r>
        <w:rPr>
          <w:rFonts w:ascii="Gill Sans MT"/>
          <w:color w:val="231F20"/>
          <w:spacing w:val="-22"/>
          <w:w w:val="115"/>
          <w:sz w:val="18"/>
        </w:rPr>
        <w:t xml:space="preserve"> </w:t>
      </w:r>
      <w:r>
        <w:rPr>
          <w:rFonts w:ascii="Gill Sans MT"/>
          <w:color w:val="231F20"/>
          <w:w w:val="115"/>
          <w:sz w:val="18"/>
        </w:rPr>
        <w:t>de</w:t>
      </w:r>
      <w:r>
        <w:rPr>
          <w:rFonts w:ascii="Gill Sans MT"/>
          <w:color w:val="231F20"/>
          <w:spacing w:val="-22"/>
          <w:w w:val="115"/>
          <w:sz w:val="18"/>
        </w:rPr>
        <w:t xml:space="preserve"> </w:t>
      </w:r>
      <w:r>
        <w:rPr>
          <w:rFonts w:ascii="Gill Sans MT"/>
          <w:color w:val="231F20"/>
          <w:w w:val="115"/>
          <w:sz w:val="18"/>
        </w:rPr>
        <w:t>Gaulle</w:t>
      </w:r>
      <w:r>
        <w:rPr>
          <w:rFonts w:ascii="Gill Sans MT"/>
          <w:color w:val="231F20"/>
          <w:spacing w:val="-22"/>
          <w:w w:val="115"/>
          <w:sz w:val="18"/>
        </w:rPr>
        <w:t xml:space="preserve"> </w:t>
      </w:r>
      <w:r>
        <w:rPr>
          <w:rFonts w:ascii="Gill Sans MT"/>
          <w:color w:val="231F20"/>
          <w:w w:val="115"/>
          <w:sz w:val="18"/>
        </w:rPr>
        <w:t>government.</w:t>
      </w:r>
    </w:p>
    <w:p w14:paraId="25BE5C62" w14:textId="77777777" w:rsidR="002653E8" w:rsidRDefault="003115E3">
      <w:pPr>
        <w:spacing w:before="109"/>
        <w:ind w:left="234"/>
        <w:rPr>
          <w:rFonts w:ascii="Arial"/>
          <w:b/>
          <w:sz w:val="18"/>
        </w:rPr>
      </w:pPr>
      <w:r>
        <w:br w:type="column"/>
      </w:r>
      <w:r>
        <w:rPr>
          <w:rFonts w:ascii="Arial"/>
          <w:b/>
          <w:color w:val="231F20"/>
          <w:w w:val="120"/>
          <w:sz w:val="18"/>
        </w:rPr>
        <w:t>May 5, 1968</w:t>
      </w:r>
    </w:p>
    <w:p w14:paraId="12EAEFE6" w14:textId="77777777" w:rsidR="002653E8" w:rsidRDefault="003115E3">
      <w:pPr>
        <w:spacing w:before="35" w:line="273" w:lineRule="auto"/>
        <w:ind w:left="234" w:right="1439"/>
        <w:rPr>
          <w:rFonts w:ascii="Gill Sans MT"/>
          <w:sz w:val="18"/>
        </w:rPr>
      </w:pPr>
      <w:r>
        <w:rPr>
          <w:rFonts w:ascii="Gill Sans MT"/>
          <w:color w:val="231F20"/>
          <w:w w:val="110"/>
          <w:sz w:val="18"/>
        </w:rPr>
        <w:t>ulrike Meinhof argues in her weekly column in the influential left magazine</w:t>
      </w:r>
      <w:r>
        <w:rPr>
          <w:rFonts w:ascii="Gill Sans MT"/>
          <w:color w:val="231F20"/>
          <w:spacing w:val="-17"/>
          <w:w w:val="110"/>
          <w:sz w:val="18"/>
        </w:rPr>
        <w:t xml:space="preserve"> </w:t>
      </w:r>
      <w:r>
        <w:rPr>
          <w:rFonts w:ascii="Lucida Sans"/>
          <w:i/>
          <w:color w:val="231F20"/>
          <w:w w:val="110"/>
          <w:sz w:val="18"/>
        </w:rPr>
        <w:t>konkret</w:t>
      </w:r>
      <w:r>
        <w:rPr>
          <w:rFonts w:ascii="Lucida Sans"/>
          <w:i/>
          <w:color w:val="231F20"/>
          <w:spacing w:val="-25"/>
          <w:w w:val="110"/>
          <w:sz w:val="18"/>
        </w:rPr>
        <w:t xml:space="preserve"> </w:t>
      </w:r>
      <w:r>
        <w:rPr>
          <w:rFonts w:ascii="Gill Sans MT"/>
          <w:color w:val="231F20"/>
          <w:w w:val="110"/>
          <w:sz w:val="18"/>
        </w:rPr>
        <w:t>that</w:t>
      </w:r>
      <w:r>
        <w:rPr>
          <w:rFonts w:ascii="Gill Sans MT"/>
          <w:color w:val="231F20"/>
          <w:spacing w:val="-17"/>
          <w:w w:val="110"/>
          <w:sz w:val="18"/>
        </w:rPr>
        <w:t xml:space="preserve"> </w:t>
      </w:r>
      <w:r>
        <w:rPr>
          <w:rFonts w:ascii="Gill Sans MT"/>
          <w:color w:val="231F20"/>
          <w:w w:val="110"/>
          <w:sz w:val="18"/>
        </w:rPr>
        <w:t>the</w:t>
      </w:r>
      <w:r>
        <w:rPr>
          <w:rFonts w:ascii="Gill Sans MT"/>
          <w:color w:val="231F20"/>
          <w:spacing w:val="-17"/>
          <w:w w:val="110"/>
          <w:sz w:val="18"/>
        </w:rPr>
        <w:t xml:space="preserve"> </w:t>
      </w:r>
      <w:r>
        <w:rPr>
          <w:rFonts w:ascii="Gill Sans MT"/>
          <w:color w:val="231F20"/>
          <w:w w:val="110"/>
          <w:sz w:val="18"/>
        </w:rPr>
        <w:t>time</w:t>
      </w:r>
      <w:r>
        <w:rPr>
          <w:rFonts w:ascii="Gill Sans MT"/>
          <w:color w:val="231F20"/>
          <w:spacing w:val="-17"/>
          <w:w w:val="110"/>
          <w:sz w:val="18"/>
        </w:rPr>
        <w:t xml:space="preserve"> </w:t>
      </w:r>
      <w:r>
        <w:rPr>
          <w:rFonts w:ascii="Gill Sans MT"/>
          <w:color w:val="231F20"/>
          <w:w w:val="110"/>
          <w:sz w:val="18"/>
        </w:rPr>
        <w:t>has come to escalate from protest to resistance.</w:t>
      </w:r>
    </w:p>
    <w:p w14:paraId="5A020B4B" w14:textId="77777777" w:rsidR="002653E8" w:rsidRDefault="002653E8">
      <w:pPr>
        <w:pStyle w:val="a3"/>
        <w:spacing w:before="9"/>
        <w:rPr>
          <w:rFonts w:ascii="Gill Sans MT"/>
        </w:rPr>
      </w:pPr>
    </w:p>
    <w:p w14:paraId="1B7813B1" w14:textId="77777777" w:rsidR="002653E8" w:rsidRDefault="003115E3">
      <w:pPr>
        <w:ind w:left="234"/>
        <w:rPr>
          <w:rFonts w:ascii="Arial" w:hAnsi="Arial"/>
          <w:b/>
          <w:sz w:val="18"/>
        </w:rPr>
      </w:pPr>
      <w:r>
        <w:rPr>
          <w:rFonts w:ascii="Arial" w:hAnsi="Arial"/>
          <w:b/>
          <w:color w:val="231F20"/>
          <w:w w:val="115"/>
          <w:sz w:val="18"/>
        </w:rPr>
        <w:t>May 15–30, 1968</w:t>
      </w:r>
    </w:p>
    <w:p w14:paraId="68981FCD" w14:textId="77777777" w:rsidR="002653E8" w:rsidRDefault="003115E3">
      <w:pPr>
        <w:spacing w:before="35" w:line="276" w:lineRule="auto"/>
        <w:ind w:left="234" w:right="1439"/>
        <w:rPr>
          <w:rFonts w:ascii="Gill Sans MT"/>
          <w:sz w:val="18"/>
        </w:rPr>
      </w:pPr>
      <w:r>
        <w:rPr>
          <w:rFonts w:ascii="Gill Sans MT"/>
          <w:color w:val="231F20"/>
          <w:w w:val="110"/>
          <w:sz w:val="18"/>
        </w:rPr>
        <w:t>A wave of demonstrations against the proposed Emergency Laws sweeps West Germany.</w:t>
      </w:r>
    </w:p>
    <w:p w14:paraId="2F08E5A6" w14:textId="77777777" w:rsidR="002653E8" w:rsidRDefault="002653E8">
      <w:pPr>
        <w:pStyle w:val="a3"/>
        <w:spacing w:before="6"/>
        <w:rPr>
          <w:rFonts w:ascii="Gill Sans MT"/>
        </w:rPr>
      </w:pPr>
    </w:p>
    <w:p w14:paraId="035ED38C" w14:textId="77777777" w:rsidR="002653E8" w:rsidRDefault="003115E3">
      <w:pPr>
        <w:ind w:left="234"/>
        <w:rPr>
          <w:rFonts w:ascii="Arial"/>
          <w:b/>
          <w:sz w:val="18"/>
        </w:rPr>
      </w:pPr>
      <w:r>
        <w:rPr>
          <w:rFonts w:ascii="Arial"/>
          <w:b/>
          <w:color w:val="231F20"/>
          <w:w w:val="120"/>
          <w:sz w:val="18"/>
        </w:rPr>
        <w:t>May 30, 1968</w:t>
      </w:r>
    </w:p>
    <w:p w14:paraId="67E644D9" w14:textId="77777777" w:rsidR="002653E8" w:rsidRDefault="003115E3">
      <w:pPr>
        <w:spacing w:before="35" w:line="276" w:lineRule="auto"/>
        <w:ind w:left="234" w:right="1416"/>
        <w:rPr>
          <w:rFonts w:ascii="Gill Sans MT"/>
          <w:sz w:val="18"/>
        </w:rPr>
      </w:pPr>
      <w:r>
        <w:rPr>
          <w:rFonts w:ascii="Gill Sans MT"/>
          <w:color w:val="231F20"/>
          <w:w w:val="110"/>
          <w:sz w:val="18"/>
        </w:rPr>
        <w:t>In West Germany, the Emergency Laws become law. Student protests erupt all over the country. Police forcibly clear Frankfurt university.</w:t>
      </w:r>
    </w:p>
    <w:p w14:paraId="07EC325F" w14:textId="77777777" w:rsidR="002653E8" w:rsidRDefault="002653E8">
      <w:pPr>
        <w:pStyle w:val="a3"/>
        <w:spacing w:before="6"/>
        <w:rPr>
          <w:rFonts w:ascii="Gill Sans MT"/>
        </w:rPr>
      </w:pPr>
    </w:p>
    <w:p w14:paraId="0B550B74" w14:textId="77777777" w:rsidR="002653E8" w:rsidRDefault="003115E3">
      <w:pPr>
        <w:ind w:left="234"/>
        <w:rPr>
          <w:rFonts w:ascii="Arial"/>
          <w:b/>
          <w:sz w:val="18"/>
        </w:rPr>
      </w:pPr>
      <w:r>
        <w:rPr>
          <w:rFonts w:ascii="Arial"/>
          <w:b/>
          <w:color w:val="231F20"/>
          <w:w w:val="120"/>
          <w:sz w:val="18"/>
        </w:rPr>
        <w:t>May 31, 1968</w:t>
      </w:r>
    </w:p>
    <w:p w14:paraId="58A529AC" w14:textId="77777777" w:rsidR="002653E8" w:rsidRDefault="003115E3">
      <w:pPr>
        <w:spacing w:before="33" w:line="276" w:lineRule="auto"/>
        <w:ind w:left="234" w:right="1439"/>
        <w:rPr>
          <w:rFonts w:ascii="Gill Sans MT"/>
          <w:sz w:val="18"/>
        </w:rPr>
      </w:pPr>
      <w:r>
        <w:rPr>
          <w:rFonts w:ascii="Arial"/>
          <w:color w:val="231F20"/>
          <w:w w:val="110"/>
          <w:sz w:val="18"/>
        </w:rPr>
        <w:t>80</w:t>
      </w:r>
      <w:r>
        <w:rPr>
          <w:rFonts w:ascii="Gill Sans MT"/>
          <w:color w:val="231F20"/>
          <w:w w:val="110"/>
          <w:sz w:val="18"/>
        </w:rPr>
        <w:t>,</w:t>
      </w:r>
      <w:r>
        <w:rPr>
          <w:rFonts w:ascii="Arial"/>
          <w:color w:val="231F20"/>
          <w:w w:val="110"/>
          <w:sz w:val="18"/>
        </w:rPr>
        <w:t xml:space="preserve">000 </w:t>
      </w:r>
      <w:r>
        <w:rPr>
          <w:rFonts w:ascii="Gill Sans MT"/>
          <w:color w:val="231F20"/>
          <w:w w:val="110"/>
          <w:sz w:val="18"/>
        </w:rPr>
        <w:t xml:space="preserve">people in more than </w:t>
      </w:r>
      <w:r>
        <w:rPr>
          <w:rFonts w:ascii="Arial"/>
          <w:color w:val="231F20"/>
          <w:w w:val="110"/>
          <w:sz w:val="18"/>
        </w:rPr>
        <w:t xml:space="preserve">50 </w:t>
      </w:r>
      <w:r>
        <w:rPr>
          <w:rFonts w:ascii="Gill Sans MT"/>
          <w:color w:val="231F20"/>
          <w:w w:val="110"/>
          <w:sz w:val="18"/>
        </w:rPr>
        <w:t>cities demonstrate to protest the adoption of the Emergency Laws.</w:t>
      </w:r>
    </w:p>
    <w:p w14:paraId="533C7EBB" w14:textId="77777777" w:rsidR="002653E8" w:rsidRDefault="002653E8">
      <w:pPr>
        <w:pStyle w:val="a3"/>
        <w:spacing w:before="6"/>
        <w:rPr>
          <w:rFonts w:ascii="Gill Sans MT"/>
        </w:rPr>
      </w:pPr>
    </w:p>
    <w:p w14:paraId="52D69E34" w14:textId="77777777" w:rsidR="002653E8" w:rsidRDefault="003115E3">
      <w:pPr>
        <w:spacing w:before="1"/>
        <w:ind w:left="234"/>
        <w:rPr>
          <w:rFonts w:ascii="Arial"/>
          <w:b/>
          <w:sz w:val="18"/>
        </w:rPr>
      </w:pPr>
      <w:r>
        <w:rPr>
          <w:rFonts w:ascii="Arial"/>
          <w:b/>
          <w:color w:val="231F20"/>
          <w:w w:val="115"/>
          <w:sz w:val="18"/>
        </w:rPr>
        <w:t>June 28, 1968</w:t>
      </w:r>
    </w:p>
    <w:p w14:paraId="0E801BAB" w14:textId="77777777" w:rsidR="002653E8" w:rsidRDefault="003115E3">
      <w:pPr>
        <w:spacing w:before="34" w:line="276" w:lineRule="auto"/>
        <w:ind w:left="234" w:right="1439"/>
        <w:rPr>
          <w:rFonts w:ascii="Gill Sans MT"/>
          <w:sz w:val="18"/>
        </w:rPr>
      </w:pPr>
      <w:r>
        <w:rPr>
          <w:rFonts w:ascii="Gill Sans MT"/>
          <w:color w:val="231F20"/>
          <w:w w:val="110"/>
          <w:sz w:val="18"/>
        </w:rPr>
        <w:t>The Emergency Powers Act is passed. A riot occurs at the Free university in West Berlin.</w:t>
      </w:r>
    </w:p>
    <w:p w14:paraId="63B21C60" w14:textId="77777777" w:rsidR="002653E8" w:rsidRDefault="002653E8">
      <w:pPr>
        <w:pStyle w:val="a3"/>
        <w:spacing w:before="6"/>
        <w:rPr>
          <w:rFonts w:ascii="Gill Sans MT"/>
        </w:rPr>
      </w:pPr>
    </w:p>
    <w:p w14:paraId="42F783FD" w14:textId="77777777" w:rsidR="002653E8" w:rsidRDefault="003115E3">
      <w:pPr>
        <w:spacing w:before="1"/>
        <w:ind w:left="234"/>
        <w:rPr>
          <w:rFonts w:ascii="Arial" w:hAnsi="Arial"/>
          <w:b/>
          <w:sz w:val="18"/>
        </w:rPr>
      </w:pPr>
      <w:r>
        <w:rPr>
          <w:rFonts w:ascii="Arial" w:hAnsi="Arial"/>
          <w:b/>
          <w:color w:val="231F20"/>
          <w:w w:val="115"/>
          <w:sz w:val="18"/>
        </w:rPr>
        <w:t>September 12–16, 1968</w:t>
      </w:r>
    </w:p>
    <w:p w14:paraId="2C8F5714" w14:textId="77777777" w:rsidR="002653E8" w:rsidRDefault="003115E3">
      <w:pPr>
        <w:spacing w:before="33" w:line="276" w:lineRule="auto"/>
        <w:ind w:left="234" w:right="1420"/>
        <w:rPr>
          <w:rFonts w:ascii="Gill Sans MT" w:hAnsi="Gill Sans MT"/>
          <w:sz w:val="18"/>
        </w:rPr>
      </w:pPr>
      <w:r>
        <w:rPr>
          <w:rFonts w:ascii="Gill Sans MT" w:hAnsi="Gill Sans MT"/>
          <w:color w:val="231F20"/>
          <w:w w:val="110"/>
          <w:sz w:val="18"/>
        </w:rPr>
        <w:t xml:space="preserve">At the </w:t>
      </w:r>
      <w:r>
        <w:rPr>
          <w:rFonts w:ascii="Arial" w:hAnsi="Arial"/>
          <w:color w:val="231F20"/>
          <w:w w:val="110"/>
          <w:sz w:val="18"/>
        </w:rPr>
        <w:t>23</w:t>
      </w:r>
      <w:r>
        <w:rPr>
          <w:rFonts w:ascii="Gill Sans MT" w:hAnsi="Gill Sans MT"/>
          <w:color w:val="231F20"/>
          <w:w w:val="110"/>
          <w:sz w:val="18"/>
        </w:rPr>
        <w:t>rd delegates Conference of the SdS in Frankfurt, Heike Sanders of the Steering Committee for Women’s Liberation intervenes to denounce the male authoritarian nature of the SdS and is booed down. When SdS leader Hans-</w:t>
      </w:r>
    </w:p>
    <w:p w14:paraId="120C6FC3" w14:textId="77777777" w:rsidR="002653E8" w:rsidRDefault="003115E3">
      <w:pPr>
        <w:spacing w:line="276" w:lineRule="auto"/>
        <w:ind w:left="234" w:right="1545"/>
        <w:rPr>
          <w:rFonts w:ascii="Gill Sans MT" w:hAnsi="Gill Sans MT"/>
          <w:sz w:val="18"/>
        </w:rPr>
      </w:pPr>
      <w:r>
        <w:rPr>
          <w:rFonts w:ascii="Gill Sans MT" w:hAnsi="Gill Sans MT"/>
          <w:color w:val="231F20"/>
          <w:w w:val="115"/>
          <w:sz w:val="18"/>
        </w:rPr>
        <w:t>Jürgen Krahl refuses to address the</w:t>
      </w:r>
      <w:r>
        <w:rPr>
          <w:rFonts w:ascii="Gill Sans MT" w:hAnsi="Gill Sans MT"/>
          <w:color w:val="231F20"/>
          <w:spacing w:val="-25"/>
          <w:w w:val="115"/>
          <w:sz w:val="18"/>
        </w:rPr>
        <w:t xml:space="preserve"> </w:t>
      </w:r>
      <w:r>
        <w:rPr>
          <w:rFonts w:ascii="Gill Sans MT" w:hAnsi="Gill Sans MT"/>
          <w:color w:val="231F20"/>
          <w:w w:val="115"/>
          <w:sz w:val="18"/>
        </w:rPr>
        <w:t>issue,</w:t>
      </w:r>
      <w:r>
        <w:rPr>
          <w:rFonts w:ascii="Gill Sans MT" w:hAnsi="Gill Sans MT"/>
          <w:color w:val="231F20"/>
          <w:spacing w:val="-25"/>
          <w:w w:val="115"/>
          <w:sz w:val="18"/>
        </w:rPr>
        <w:t xml:space="preserve"> </w:t>
      </w:r>
      <w:r>
        <w:rPr>
          <w:rFonts w:ascii="Gill Sans MT" w:hAnsi="Gill Sans MT"/>
          <w:color w:val="231F20"/>
          <w:w w:val="115"/>
          <w:sz w:val="18"/>
        </w:rPr>
        <w:t>women</w:t>
      </w:r>
      <w:r>
        <w:rPr>
          <w:rFonts w:ascii="Gill Sans MT" w:hAnsi="Gill Sans MT"/>
          <w:color w:val="231F20"/>
          <w:spacing w:val="-25"/>
          <w:w w:val="115"/>
          <w:sz w:val="18"/>
        </w:rPr>
        <w:t xml:space="preserve"> </w:t>
      </w:r>
      <w:r>
        <w:rPr>
          <w:rFonts w:ascii="Gill Sans MT" w:hAnsi="Gill Sans MT"/>
          <w:color w:val="231F20"/>
          <w:w w:val="115"/>
          <w:sz w:val="18"/>
        </w:rPr>
        <w:t>attack</w:t>
      </w:r>
      <w:r>
        <w:rPr>
          <w:rFonts w:ascii="Gill Sans MT" w:hAnsi="Gill Sans MT"/>
          <w:color w:val="231F20"/>
          <w:spacing w:val="-25"/>
          <w:w w:val="115"/>
          <w:sz w:val="18"/>
        </w:rPr>
        <w:t xml:space="preserve"> </w:t>
      </w:r>
      <w:r>
        <w:rPr>
          <w:rFonts w:ascii="Gill Sans MT" w:hAnsi="Gill Sans MT"/>
          <w:color w:val="231F20"/>
          <w:w w:val="115"/>
          <w:sz w:val="18"/>
        </w:rPr>
        <w:t>him</w:t>
      </w:r>
      <w:r>
        <w:rPr>
          <w:rFonts w:ascii="Gill Sans MT" w:hAnsi="Gill Sans MT"/>
          <w:color w:val="231F20"/>
          <w:spacing w:val="-25"/>
          <w:w w:val="115"/>
          <w:sz w:val="18"/>
        </w:rPr>
        <w:t xml:space="preserve"> </w:t>
      </w:r>
      <w:r>
        <w:rPr>
          <w:rFonts w:ascii="Gill Sans MT" w:hAnsi="Gill Sans MT"/>
          <w:color w:val="231F20"/>
          <w:w w:val="115"/>
          <w:sz w:val="18"/>
        </w:rPr>
        <w:t>with tomatoes, marking</w:t>
      </w:r>
      <w:r>
        <w:rPr>
          <w:rFonts w:ascii="Gill Sans MT" w:hAnsi="Gill Sans MT"/>
          <w:color w:val="231F20"/>
          <w:spacing w:val="-39"/>
          <w:w w:val="115"/>
          <w:sz w:val="18"/>
        </w:rPr>
        <w:t xml:space="preserve"> </w:t>
      </w:r>
      <w:r>
        <w:rPr>
          <w:rFonts w:ascii="Gill Sans MT" w:hAnsi="Gill Sans MT"/>
          <w:color w:val="231F20"/>
          <w:w w:val="115"/>
          <w:sz w:val="18"/>
        </w:rPr>
        <w:t>a</w:t>
      </w:r>
      <w:r>
        <w:rPr>
          <w:rFonts w:ascii="Gill Sans MT" w:hAnsi="Gill Sans MT"/>
          <w:color w:val="231F20"/>
          <w:spacing w:val="-20"/>
          <w:w w:val="115"/>
          <w:sz w:val="18"/>
        </w:rPr>
        <w:t xml:space="preserve"> </w:t>
      </w:r>
      <w:r>
        <w:rPr>
          <w:rFonts w:ascii="Gill Sans MT" w:hAnsi="Gill Sans MT"/>
          <w:color w:val="231F20"/>
          <w:w w:val="115"/>
          <w:sz w:val="18"/>
        </w:rPr>
        <w:t>fundamental</w:t>
      </w:r>
      <w:r>
        <w:rPr>
          <w:rFonts w:ascii="Gill Sans MT" w:hAnsi="Gill Sans MT"/>
          <w:color w:val="231F20"/>
          <w:w w:val="114"/>
          <w:sz w:val="18"/>
        </w:rPr>
        <w:t xml:space="preserve"> </w:t>
      </w:r>
      <w:r>
        <w:rPr>
          <w:rFonts w:ascii="Gill Sans MT" w:hAnsi="Gill Sans MT"/>
          <w:color w:val="231F20"/>
          <w:w w:val="115"/>
          <w:sz w:val="18"/>
        </w:rPr>
        <w:t>first step in the development of the</w:t>
      </w:r>
      <w:r>
        <w:rPr>
          <w:rFonts w:ascii="Gill Sans MT" w:hAnsi="Gill Sans MT"/>
          <w:color w:val="231F20"/>
          <w:spacing w:val="-28"/>
          <w:w w:val="115"/>
          <w:sz w:val="18"/>
        </w:rPr>
        <w:t xml:space="preserve"> </w:t>
      </w:r>
      <w:r>
        <w:rPr>
          <w:rFonts w:ascii="Gill Sans MT" w:hAnsi="Gill Sans MT"/>
          <w:color w:val="231F20"/>
          <w:w w:val="115"/>
          <w:sz w:val="18"/>
        </w:rPr>
        <w:t>women’s</w:t>
      </w:r>
      <w:r>
        <w:rPr>
          <w:rFonts w:ascii="Gill Sans MT" w:hAnsi="Gill Sans MT"/>
          <w:color w:val="231F20"/>
          <w:spacing w:val="-28"/>
          <w:w w:val="115"/>
          <w:sz w:val="18"/>
        </w:rPr>
        <w:t xml:space="preserve"> </w:t>
      </w:r>
      <w:r>
        <w:rPr>
          <w:rFonts w:ascii="Gill Sans MT" w:hAnsi="Gill Sans MT"/>
          <w:color w:val="231F20"/>
          <w:w w:val="115"/>
          <w:sz w:val="18"/>
        </w:rPr>
        <w:t>movement</w:t>
      </w:r>
      <w:r>
        <w:rPr>
          <w:rFonts w:ascii="Gill Sans MT" w:hAnsi="Gill Sans MT"/>
          <w:color w:val="231F20"/>
          <w:spacing w:val="-28"/>
          <w:w w:val="115"/>
          <w:sz w:val="18"/>
        </w:rPr>
        <w:t xml:space="preserve"> </w:t>
      </w:r>
      <w:r>
        <w:rPr>
          <w:rFonts w:ascii="Gill Sans MT" w:hAnsi="Gill Sans MT"/>
          <w:color w:val="231F20"/>
          <w:w w:val="115"/>
          <w:sz w:val="18"/>
        </w:rPr>
        <w:t>in</w:t>
      </w:r>
      <w:r>
        <w:rPr>
          <w:rFonts w:ascii="Gill Sans MT" w:hAnsi="Gill Sans MT"/>
          <w:color w:val="231F20"/>
          <w:spacing w:val="-28"/>
          <w:w w:val="115"/>
          <w:sz w:val="18"/>
        </w:rPr>
        <w:t xml:space="preserve"> </w:t>
      </w:r>
      <w:r>
        <w:rPr>
          <w:rFonts w:ascii="Gill Sans MT" w:hAnsi="Gill Sans MT"/>
          <w:color w:val="231F20"/>
          <w:spacing w:val="-3"/>
          <w:w w:val="115"/>
          <w:sz w:val="18"/>
        </w:rPr>
        <w:t xml:space="preserve">West </w:t>
      </w:r>
      <w:r>
        <w:rPr>
          <w:rFonts w:ascii="Gill Sans MT" w:hAnsi="Gill Sans MT"/>
          <w:color w:val="231F20"/>
          <w:w w:val="115"/>
          <w:sz w:val="18"/>
        </w:rPr>
        <w:t xml:space="preserve">Germany and </w:t>
      </w:r>
      <w:r>
        <w:rPr>
          <w:rFonts w:ascii="Gill Sans MT" w:hAnsi="Gill Sans MT"/>
          <w:color w:val="231F20"/>
          <w:spacing w:val="-3"/>
          <w:w w:val="115"/>
          <w:sz w:val="18"/>
        </w:rPr>
        <w:t>West</w:t>
      </w:r>
      <w:r>
        <w:rPr>
          <w:rFonts w:ascii="Gill Sans MT" w:hAnsi="Gill Sans MT"/>
          <w:color w:val="231F20"/>
          <w:spacing w:val="-43"/>
          <w:w w:val="115"/>
          <w:sz w:val="18"/>
        </w:rPr>
        <w:t xml:space="preserve"> </w:t>
      </w:r>
      <w:r>
        <w:rPr>
          <w:rFonts w:ascii="Gill Sans MT" w:hAnsi="Gill Sans MT"/>
          <w:color w:val="231F20"/>
          <w:w w:val="115"/>
          <w:sz w:val="18"/>
        </w:rPr>
        <w:t>Berlin.</w:t>
      </w:r>
    </w:p>
    <w:p w14:paraId="022848FC" w14:textId="77777777" w:rsidR="002653E8" w:rsidRDefault="002653E8">
      <w:pPr>
        <w:spacing w:line="276" w:lineRule="auto"/>
        <w:rPr>
          <w:rFonts w:ascii="Gill Sans MT" w:hAnsi="Gill Sans MT"/>
          <w:sz w:val="18"/>
        </w:rPr>
        <w:sectPr w:rsidR="002653E8">
          <w:footerReference w:type="default" r:id="rId497"/>
          <w:pgSz w:w="8640" w:h="12960"/>
          <w:pgMar w:top="1060" w:right="0" w:bottom="280" w:left="0" w:header="0" w:footer="0" w:gutter="0"/>
          <w:cols w:num="2" w:space="720" w:equalWidth="0">
            <w:col w:w="4076" w:space="40"/>
            <w:col w:w="4524"/>
          </w:cols>
        </w:sectPr>
      </w:pPr>
    </w:p>
    <w:p w14:paraId="5E84A76A" w14:textId="77777777" w:rsidR="002653E8" w:rsidRDefault="002653E8">
      <w:pPr>
        <w:pStyle w:val="a3"/>
        <w:rPr>
          <w:rFonts w:ascii="Gill Sans MT"/>
        </w:rPr>
      </w:pPr>
    </w:p>
    <w:p w14:paraId="22176C5F" w14:textId="77777777" w:rsidR="002653E8" w:rsidRDefault="002653E8">
      <w:pPr>
        <w:pStyle w:val="a3"/>
        <w:spacing w:before="5"/>
        <w:rPr>
          <w:rFonts w:ascii="Gill Sans MT"/>
          <w:sz w:val="28"/>
        </w:rPr>
      </w:pPr>
    </w:p>
    <w:p w14:paraId="77A54157" w14:textId="77777777" w:rsidR="002653E8" w:rsidRDefault="003115E3">
      <w:pPr>
        <w:tabs>
          <w:tab w:val="left" w:pos="3677"/>
        </w:tabs>
        <w:spacing w:before="98" w:line="244" w:lineRule="auto"/>
        <w:ind w:left="5894" w:right="1300" w:hanging="4747"/>
        <w:jc w:val="right"/>
        <w:rPr>
          <w:sz w:val="18"/>
        </w:rPr>
      </w:pPr>
      <w:r>
        <w:rPr>
          <w:color w:val="231F20"/>
          <w:spacing w:val="15"/>
          <w:w w:val="110"/>
          <w:position w:val="5"/>
          <w:sz w:val="18"/>
        </w:rPr>
        <w:t>582</w:t>
      </w:r>
      <w:r>
        <w:rPr>
          <w:color w:val="231F20"/>
          <w:spacing w:val="15"/>
          <w:w w:val="110"/>
          <w:position w:val="5"/>
          <w:sz w:val="18"/>
        </w:rPr>
        <w:tab/>
      </w:r>
      <w:r>
        <w:rPr>
          <w:color w:val="231F20"/>
          <w:spacing w:val="20"/>
          <w:w w:val="110"/>
          <w:sz w:val="18"/>
        </w:rPr>
        <w:t xml:space="preserve">armed struggle </w:t>
      </w:r>
      <w:r>
        <w:rPr>
          <w:color w:val="231F20"/>
          <w:spacing w:val="11"/>
          <w:w w:val="110"/>
          <w:sz w:val="18"/>
        </w:rPr>
        <w:t>in</w:t>
      </w:r>
      <w:r>
        <w:rPr>
          <w:color w:val="231F20"/>
          <w:spacing w:val="66"/>
          <w:w w:val="110"/>
          <w:sz w:val="18"/>
        </w:rPr>
        <w:t xml:space="preserve"> </w:t>
      </w:r>
      <w:r>
        <w:rPr>
          <w:color w:val="231F20"/>
          <w:spacing w:val="17"/>
          <w:w w:val="110"/>
          <w:sz w:val="18"/>
        </w:rPr>
        <w:t>west</w:t>
      </w:r>
      <w:r>
        <w:rPr>
          <w:color w:val="231F20"/>
          <w:spacing w:val="36"/>
          <w:w w:val="110"/>
          <w:sz w:val="18"/>
        </w:rPr>
        <w:t xml:space="preserve"> </w:t>
      </w:r>
      <w:r>
        <w:rPr>
          <w:color w:val="231F20"/>
          <w:spacing w:val="20"/>
          <w:w w:val="110"/>
          <w:sz w:val="18"/>
        </w:rPr>
        <w:t>germany</w:t>
      </w:r>
      <w:r>
        <w:rPr>
          <w:color w:val="231F20"/>
          <w:spacing w:val="-15"/>
          <w:sz w:val="18"/>
        </w:rPr>
        <w:t xml:space="preserve"> </w:t>
      </w:r>
      <w:r>
        <w:rPr>
          <w:color w:val="231F20"/>
          <w:spacing w:val="20"/>
          <w:w w:val="110"/>
          <w:sz w:val="18"/>
        </w:rPr>
        <w:t xml:space="preserve">april </w:t>
      </w:r>
      <w:r>
        <w:rPr>
          <w:color w:val="231F20"/>
          <w:spacing w:val="11"/>
          <w:w w:val="110"/>
          <w:sz w:val="18"/>
        </w:rPr>
        <w:t>4,</w:t>
      </w:r>
      <w:r>
        <w:rPr>
          <w:color w:val="231F20"/>
          <w:spacing w:val="62"/>
          <w:w w:val="110"/>
          <w:sz w:val="18"/>
        </w:rPr>
        <w:t xml:space="preserve"> </w:t>
      </w:r>
      <w:r>
        <w:rPr>
          <w:color w:val="231F20"/>
          <w:spacing w:val="17"/>
          <w:w w:val="110"/>
          <w:sz w:val="18"/>
        </w:rPr>
        <w:t>1968</w:t>
      </w:r>
      <w:r>
        <w:rPr>
          <w:color w:val="231F20"/>
          <w:spacing w:val="-15"/>
          <w:sz w:val="18"/>
        </w:rPr>
        <w:t xml:space="preserve"> </w:t>
      </w:r>
    </w:p>
    <w:p w14:paraId="19C895BA" w14:textId="77777777" w:rsidR="002653E8" w:rsidRDefault="002653E8">
      <w:pPr>
        <w:spacing w:line="244" w:lineRule="auto"/>
        <w:jc w:val="right"/>
        <w:rPr>
          <w:sz w:val="18"/>
        </w:rPr>
        <w:sectPr w:rsidR="002653E8">
          <w:type w:val="continuous"/>
          <w:pgSz w:w="8640" w:h="12960"/>
          <w:pgMar w:top="0" w:right="0" w:bottom="0" w:left="0" w:header="720" w:footer="720" w:gutter="0"/>
          <w:cols w:space="720"/>
        </w:sectPr>
      </w:pPr>
    </w:p>
    <w:p w14:paraId="3F24C26F" w14:textId="77777777" w:rsidR="002653E8" w:rsidRDefault="003115E3">
      <w:pPr>
        <w:spacing w:before="89"/>
        <w:ind w:left="1327"/>
        <w:rPr>
          <w:rFonts w:ascii="Arial"/>
          <w:b/>
          <w:sz w:val="18"/>
        </w:rPr>
      </w:pPr>
      <w:r>
        <w:rPr>
          <w:rFonts w:ascii="Arial"/>
          <w:b/>
          <w:color w:val="231F20"/>
          <w:w w:val="115"/>
          <w:sz w:val="18"/>
        </w:rPr>
        <w:lastRenderedPageBreak/>
        <w:t>October 14, 1968</w:t>
      </w:r>
    </w:p>
    <w:p w14:paraId="0043E934" w14:textId="77777777" w:rsidR="002653E8" w:rsidRDefault="003115E3">
      <w:pPr>
        <w:spacing w:before="35" w:line="276" w:lineRule="auto"/>
        <w:ind w:left="1327" w:right="-13"/>
        <w:rPr>
          <w:rFonts w:ascii="Gill Sans MT" w:hAnsi="Gill Sans MT"/>
          <w:sz w:val="18"/>
        </w:rPr>
      </w:pPr>
      <w:r>
        <w:rPr>
          <w:rFonts w:ascii="Gill Sans MT" w:hAnsi="Gill Sans MT"/>
          <w:color w:val="231F20"/>
          <w:w w:val="110"/>
          <w:sz w:val="18"/>
        </w:rPr>
        <w:t xml:space="preserve">The trial of Andreas Baader, Gudrun Ensslin, Thorwald Proll, and Horst Söhnlein for the April </w:t>
      </w:r>
      <w:r>
        <w:rPr>
          <w:rFonts w:ascii="Arial" w:hAnsi="Arial"/>
          <w:color w:val="231F20"/>
          <w:w w:val="110"/>
          <w:sz w:val="18"/>
        </w:rPr>
        <w:t xml:space="preserve">3 </w:t>
      </w:r>
      <w:r>
        <w:rPr>
          <w:rFonts w:ascii="Gill Sans MT" w:hAnsi="Gill Sans MT"/>
          <w:color w:val="231F20"/>
          <w:w w:val="110"/>
          <w:sz w:val="18"/>
        </w:rPr>
        <w:t>department store arsons in Frankfurt begins.</w:t>
      </w:r>
    </w:p>
    <w:p w14:paraId="4856314E" w14:textId="77777777" w:rsidR="002653E8" w:rsidRDefault="002653E8">
      <w:pPr>
        <w:pStyle w:val="a3"/>
        <w:spacing w:before="4"/>
        <w:rPr>
          <w:rFonts w:ascii="Gill Sans MT"/>
        </w:rPr>
      </w:pPr>
    </w:p>
    <w:p w14:paraId="2DAE46C5" w14:textId="77777777" w:rsidR="002653E8" w:rsidRDefault="003115E3">
      <w:pPr>
        <w:spacing w:before="1"/>
        <w:ind w:left="1327"/>
        <w:rPr>
          <w:rFonts w:ascii="Arial"/>
          <w:b/>
          <w:sz w:val="18"/>
        </w:rPr>
      </w:pPr>
      <w:r>
        <w:rPr>
          <w:rFonts w:ascii="Arial"/>
          <w:b/>
          <w:color w:val="231F20"/>
          <w:w w:val="115"/>
          <w:sz w:val="18"/>
        </w:rPr>
        <w:t>October 30, 1968</w:t>
      </w:r>
    </w:p>
    <w:p w14:paraId="11DDB5BB" w14:textId="77777777" w:rsidR="002653E8" w:rsidRDefault="003115E3">
      <w:pPr>
        <w:spacing w:before="34" w:line="276" w:lineRule="auto"/>
        <w:ind w:left="1327" w:right="33"/>
        <w:rPr>
          <w:rFonts w:ascii="Gill Sans MT" w:hAnsi="Gill Sans MT"/>
          <w:sz w:val="18"/>
        </w:rPr>
      </w:pPr>
      <w:r>
        <w:rPr>
          <w:rFonts w:ascii="Gill Sans MT" w:hAnsi="Gill Sans MT"/>
          <w:color w:val="231F20"/>
          <w:w w:val="110"/>
          <w:sz w:val="18"/>
        </w:rPr>
        <w:t>daniel Cohn-Bendit, who had been expelled from France for his leading role in the protests there earlier in the year, is arrested for disrupting the arson trial of Andreas Baader, Gudrun Ensslin, Horst Söhnlein, and Thorwald Proll.</w:t>
      </w:r>
    </w:p>
    <w:p w14:paraId="01918953" w14:textId="77777777" w:rsidR="002653E8" w:rsidRDefault="002653E8">
      <w:pPr>
        <w:pStyle w:val="a3"/>
        <w:spacing w:before="6"/>
        <w:rPr>
          <w:rFonts w:ascii="Gill Sans MT"/>
        </w:rPr>
      </w:pPr>
    </w:p>
    <w:p w14:paraId="474DE615" w14:textId="77777777" w:rsidR="002653E8" w:rsidRDefault="003115E3">
      <w:pPr>
        <w:ind w:left="1327"/>
        <w:rPr>
          <w:rFonts w:ascii="Arial"/>
          <w:b/>
          <w:sz w:val="18"/>
        </w:rPr>
      </w:pPr>
      <w:r>
        <w:rPr>
          <w:rFonts w:ascii="Arial"/>
          <w:b/>
          <w:color w:val="231F20"/>
          <w:w w:val="115"/>
          <w:sz w:val="18"/>
        </w:rPr>
        <w:t>October 31, 1968</w:t>
      </w:r>
    </w:p>
    <w:p w14:paraId="12807E90" w14:textId="77777777" w:rsidR="002653E8" w:rsidRDefault="003115E3">
      <w:pPr>
        <w:spacing w:before="35" w:line="276" w:lineRule="auto"/>
        <w:ind w:left="1327" w:right="83"/>
        <w:rPr>
          <w:rFonts w:ascii="Gill Sans MT" w:hAnsi="Gill Sans MT"/>
          <w:sz w:val="18"/>
        </w:rPr>
      </w:pPr>
      <w:r>
        <w:rPr>
          <w:rFonts w:ascii="Gill Sans MT" w:hAnsi="Gill Sans MT"/>
          <w:color w:val="231F20"/>
          <w:w w:val="110"/>
          <w:sz w:val="18"/>
        </w:rPr>
        <w:t>The Frankfurt LG sentences Andreas Baader, Gudrun Ensslin, Thorwald Proll, and Horst Söhnlein to three years in prison for the April department store arsons in Frankfurt.</w:t>
      </w:r>
    </w:p>
    <w:p w14:paraId="66840B77" w14:textId="77777777" w:rsidR="002653E8" w:rsidRDefault="002653E8">
      <w:pPr>
        <w:pStyle w:val="a3"/>
        <w:spacing w:before="6"/>
        <w:rPr>
          <w:rFonts w:ascii="Gill Sans MT"/>
        </w:rPr>
      </w:pPr>
    </w:p>
    <w:p w14:paraId="72B8B410" w14:textId="77777777" w:rsidR="002653E8" w:rsidRDefault="003115E3">
      <w:pPr>
        <w:ind w:left="1327"/>
        <w:rPr>
          <w:rFonts w:ascii="Arial"/>
          <w:b/>
          <w:sz w:val="18"/>
        </w:rPr>
      </w:pPr>
      <w:r>
        <w:rPr>
          <w:rFonts w:ascii="Arial"/>
          <w:b/>
          <w:color w:val="231F20"/>
          <w:w w:val="115"/>
          <w:sz w:val="18"/>
        </w:rPr>
        <w:t>November 4, 1968</w:t>
      </w:r>
    </w:p>
    <w:p w14:paraId="32E0AFDE" w14:textId="77777777" w:rsidR="002653E8" w:rsidRDefault="003115E3">
      <w:pPr>
        <w:spacing w:before="34" w:line="276" w:lineRule="auto"/>
        <w:ind w:left="1327"/>
        <w:rPr>
          <w:rFonts w:ascii="Gill Sans MT"/>
          <w:sz w:val="18"/>
        </w:rPr>
      </w:pPr>
      <w:r>
        <w:rPr>
          <w:rFonts w:ascii="Gill Sans MT"/>
          <w:color w:val="231F20"/>
          <w:w w:val="110"/>
          <w:sz w:val="18"/>
        </w:rPr>
        <w:t>Following threats to disbar left-wing attorney Horst Mahler because of his participation in anti-Springer protests, students and police clash violently in an incident that will, after the name of the street it</w:t>
      </w:r>
      <w:r>
        <w:rPr>
          <w:rFonts w:ascii="Gill Sans MT"/>
          <w:color w:val="231F20"/>
          <w:spacing w:val="-35"/>
          <w:w w:val="110"/>
          <w:sz w:val="18"/>
        </w:rPr>
        <w:t xml:space="preserve"> </w:t>
      </w:r>
      <w:r>
        <w:rPr>
          <w:rFonts w:ascii="Gill Sans MT"/>
          <w:color w:val="231F20"/>
          <w:w w:val="110"/>
          <w:sz w:val="18"/>
        </w:rPr>
        <w:t xml:space="preserve">occurs on, become known as the Battle of </w:t>
      </w:r>
      <w:r>
        <w:rPr>
          <w:rFonts w:ascii="Gill Sans MT"/>
          <w:color w:val="231F20"/>
          <w:spacing w:val="-3"/>
          <w:w w:val="110"/>
          <w:sz w:val="18"/>
        </w:rPr>
        <w:t>Tegeler</w:t>
      </w:r>
      <w:r>
        <w:rPr>
          <w:rFonts w:ascii="Gill Sans MT"/>
          <w:color w:val="231F20"/>
          <w:spacing w:val="-5"/>
          <w:w w:val="110"/>
          <w:sz w:val="18"/>
        </w:rPr>
        <w:t xml:space="preserve"> </w:t>
      </w:r>
      <w:r>
        <w:rPr>
          <w:rFonts w:ascii="Gill Sans MT"/>
          <w:color w:val="231F20"/>
          <w:spacing w:val="-3"/>
          <w:w w:val="110"/>
          <w:sz w:val="18"/>
        </w:rPr>
        <w:t>Weg.</w:t>
      </w:r>
    </w:p>
    <w:p w14:paraId="70C79A68" w14:textId="77777777" w:rsidR="002653E8" w:rsidRDefault="002653E8">
      <w:pPr>
        <w:pStyle w:val="a3"/>
        <w:rPr>
          <w:rFonts w:ascii="Gill Sans MT"/>
        </w:rPr>
      </w:pPr>
    </w:p>
    <w:p w14:paraId="347B81EA" w14:textId="77777777" w:rsidR="002653E8" w:rsidRDefault="002653E8">
      <w:pPr>
        <w:pStyle w:val="a3"/>
        <w:spacing w:before="1"/>
        <w:rPr>
          <w:rFonts w:ascii="Gill Sans MT"/>
        </w:rPr>
      </w:pPr>
    </w:p>
    <w:p w14:paraId="0133CAD9" w14:textId="77777777" w:rsidR="002653E8" w:rsidRDefault="003115E3">
      <w:pPr>
        <w:pStyle w:val="5"/>
      </w:pPr>
      <w:r>
        <w:rPr>
          <w:color w:val="231F20"/>
          <w:w w:val="120"/>
        </w:rPr>
        <w:t>1969</w:t>
      </w:r>
    </w:p>
    <w:p w14:paraId="3AF99C55" w14:textId="77777777" w:rsidR="002653E8" w:rsidRDefault="003115E3">
      <w:pPr>
        <w:spacing w:before="12"/>
        <w:ind w:left="1327"/>
        <w:rPr>
          <w:rFonts w:ascii="Arial"/>
          <w:b/>
          <w:sz w:val="18"/>
        </w:rPr>
      </w:pPr>
      <w:r>
        <w:rPr>
          <w:rFonts w:ascii="Arial"/>
          <w:b/>
          <w:color w:val="231F20"/>
          <w:w w:val="115"/>
          <w:sz w:val="18"/>
        </w:rPr>
        <w:t>February 27, 1969</w:t>
      </w:r>
    </w:p>
    <w:p w14:paraId="14EF36E2" w14:textId="77777777" w:rsidR="002653E8" w:rsidRDefault="003115E3">
      <w:pPr>
        <w:spacing w:before="35" w:line="276" w:lineRule="auto"/>
        <w:ind w:left="1327" w:right="45"/>
        <w:rPr>
          <w:rFonts w:ascii="Gill Sans MT"/>
          <w:sz w:val="18"/>
        </w:rPr>
      </w:pPr>
      <w:r>
        <w:rPr>
          <w:rFonts w:ascii="Gill Sans MT"/>
          <w:color w:val="231F20"/>
          <w:w w:val="110"/>
          <w:sz w:val="18"/>
        </w:rPr>
        <w:t>Richard</w:t>
      </w:r>
      <w:r>
        <w:rPr>
          <w:rFonts w:ascii="Gill Sans MT"/>
          <w:color w:val="231F20"/>
          <w:spacing w:val="-16"/>
          <w:w w:val="110"/>
          <w:sz w:val="18"/>
        </w:rPr>
        <w:t xml:space="preserve"> </w:t>
      </w:r>
      <w:r>
        <w:rPr>
          <w:rFonts w:ascii="Gill Sans MT"/>
          <w:color w:val="231F20"/>
          <w:w w:val="110"/>
          <w:sz w:val="18"/>
        </w:rPr>
        <w:t>Nixon</w:t>
      </w:r>
      <w:r>
        <w:rPr>
          <w:rFonts w:ascii="Gill Sans MT"/>
          <w:color w:val="231F20"/>
          <w:spacing w:val="-16"/>
          <w:w w:val="110"/>
          <w:sz w:val="18"/>
        </w:rPr>
        <w:t xml:space="preserve"> </w:t>
      </w:r>
      <w:r>
        <w:rPr>
          <w:rFonts w:ascii="Gill Sans MT"/>
          <w:color w:val="231F20"/>
          <w:w w:val="110"/>
          <w:sz w:val="18"/>
        </w:rPr>
        <w:t>visits</w:t>
      </w:r>
      <w:r>
        <w:rPr>
          <w:rFonts w:ascii="Gill Sans MT"/>
          <w:color w:val="231F20"/>
          <w:spacing w:val="-16"/>
          <w:w w:val="110"/>
          <w:sz w:val="18"/>
        </w:rPr>
        <w:t xml:space="preserve"> </w:t>
      </w:r>
      <w:r>
        <w:rPr>
          <w:rFonts w:ascii="Gill Sans MT"/>
          <w:color w:val="231F20"/>
          <w:spacing w:val="-3"/>
          <w:w w:val="110"/>
          <w:sz w:val="18"/>
        </w:rPr>
        <w:t>West</w:t>
      </w:r>
      <w:r>
        <w:rPr>
          <w:rFonts w:ascii="Gill Sans MT"/>
          <w:color w:val="231F20"/>
          <w:spacing w:val="-16"/>
          <w:w w:val="110"/>
          <w:sz w:val="18"/>
        </w:rPr>
        <w:t xml:space="preserve"> </w:t>
      </w:r>
      <w:r>
        <w:rPr>
          <w:rFonts w:ascii="Gill Sans MT"/>
          <w:color w:val="231F20"/>
          <w:w w:val="110"/>
          <w:sz w:val="18"/>
        </w:rPr>
        <w:t>Berlin</w:t>
      </w:r>
      <w:r>
        <w:rPr>
          <w:rFonts w:ascii="Gill Sans MT"/>
          <w:color w:val="231F20"/>
          <w:spacing w:val="-16"/>
          <w:w w:val="110"/>
          <w:sz w:val="18"/>
        </w:rPr>
        <w:t xml:space="preserve"> </w:t>
      </w:r>
      <w:r>
        <w:rPr>
          <w:rFonts w:ascii="Gill Sans MT"/>
          <w:color w:val="231F20"/>
          <w:w w:val="110"/>
          <w:sz w:val="18"/>
        </w:rPr>
        <w:t>and is met with massive demonstrations and an unsuccessful bombing attempt against his</w:t>
      </w:r>
      <w:r>
        <w:rPr>
          <w:rFonts w:ascii="Gill Sans MT"/>
          <w:color w:val="231F20"/>
          <w:spacing w:val="2"/>
          <w:w w:val="110"/>
          <w:sz w:val="18"/>
        </w:rPr>
        <w:t xml:space="preserve"> </w:t>
      </w:r>
      <w:r>
        <w:rPr>
          <w:rFonts w:ascii="Gill Sans MT"/>
          <w:color w:val="231F20"/>
          <w:w w:val="110"/>
          <w:sz w:val="18"/>
        </w:rPr>
        <w:t>motorcade.</w:t>
      </w:r>
    </w:p>
    <w:p w14:paraId="38193E6A" w14:textId="77777777" w:rsidR="002653E8" w:rsidRPr="00846956" w:rsidRDefault="003115E3">
      <w:pPr>
        <w:spacing w:line="276" w:lineRule="auto"/>
        <w:ind w:left="1327"/>
        <w:rPr>
          <w:rFonts w:ascii="Gill Sans MT"/>
          <w:sz w:val="18"/>
          <w:lang w:val="de-DE"/>
        </w:rPr>
      </w:pPr>
      <w:r w:rsidRPr="00846956">
        <w:rPr>
          <w:rFonts w:ascii="Gill Sans MT"/>
          <w:color w:val="231F20"/>
          <w:w w:val="110"/>
          <w:sz w:val="18"/>
          <w:lang w:val="de-DE"/>
        </w:rPr>
        <w:t>Kommune 1 members dieter Kunzelmann and Rainer Langhans</w:t>
      </w:r>
    </w:p>
    <w:p w14:paraId="3B7C38D5" w14:textId="77777777" w:rsidR="002653E8" w:rsidRDefault="003115E3">
      <w:pPr>
        <w:spacing w:before="73" w:line="273" w:lineRule="auto"/>
        <w:ind w:left="206" w:right="1327"/>
        <w:rPr>
          <w:rFonts w:ascii="Gill Sans MT"/>
          <w:sz w:val="18"/>
        </w:rPr>
      </w:pPr>
      <w:r w:rsidRPr="006918DA">
        <w:br w:type="column"/>
      </w:r>
      <w:r>
        <w:rPr>
          <w:rFonts w:ascii="Gill Sans MT"/>
          <w:color w:val="231F20"/>
          <w:w w:val="110"/>
          <w:sz w:val="18"/>
        </w:rPr>
        <w:t xml:space="preserve">are arrested for the attempted bombing. The bomb was supplied </w:t>
      </w:r>
      <w:r>
        <w:rPr>
          <w:rFonts w:ascii="Gill Sans MT"/>
          <w:color w:val="231F20"/>
          <w:w w:val="105"/>
          <w:sz w:val="18"/>
        </w:rPr>
        <w:t xml:space="preserve">by </w:t>
      </w:r>
      <w:r>
        <w:rPr>
          <w:rFonts w:ascii="Lucida Sans"/>
          <w:i/>
          <w:color w:val="231F20"/>
          <w:w w:val="105"/>
          <w:sz w:val="18"/>
        </w:rPr>
        <w:t xml:space="preserve">Verfassungsschutz </w:t>
      </w:r>
      <w:r>
        <w:rPr>
          <w:rFonts w:ascii="Gill Sans MT"/>
          <w:color w:val="231F20"/>
          <w:w w:val="105"/>
          <w:sz w:val="18"/>
        </w:rPr>
        <w:t xml:space="preserve">infiltrator </w:t>
      </w:r>
      <w:r>
        <w:rPr>
          <w:rFonts w:ascii="Gill Sans MT"/>
          <w:color w:val="231F20"/>
          <w:w w:val="110"/>
          <w:sz w:val="18"/>
        </w:rPr>
        <w:t>Peter urbach.</w:t>
      </w:r>
    </w:p>
    <w:p w14:paraId="279D126E" w14:textId="77777777" w:rsidR="002653E8" w:rsidRDefault="002653E8">
      <w:pPr>
        <w:pStyle w:val="a3"/>
        <w:spacing w:before="7"/>
        <w:rPr>
          <w:rFonts w:ascii="Gill Sans MT"/>
        </w:rPr>
      </w:pPr>
    </w:p>
    <w:p w14:paraId="4FD8D1A3" w14:textId="77777777" w:rsidR="002653E8" w:rsidRDefault="003115E3">
      <w:pPr>
        <w:ind w:left="206"/>
        <w:rPr>
          <w:rFonts w:ascii="Arial"/>
          <w:b/>
          <w:sz w:val="18"/>
        </w:rPr>
      </w:pPr>
      <w:r>
        <w:rPr>
          <w:rFonts w:ascii="Arial"/>
          <w:b/>
          <w:color w:val="231F20"/>
          <w:w w:val="115"/>
          <w:sz w:val="18"/>
        </w:rPr>
        <w:t>April 1, 1969</w:t>
      </w:r>
    </w:p>
    <w:p w14:paraId="4BEF4596" w14:textId="77777777" w:rsidR="002653E8" w:rsidRDefault="003115E3">
      <w:pPr>
        <w:spacing w:before="28" w:line="273" w:lineRule="auto"/>
        <w:ind w:left="206" w:right="1199"/>
        <w:rPr>
          <w:rFonts w:ascii="Gill Sans MT" w:hAnsi="Gill Sans MT"/>
          <w:sz w:val="18"/>
        </w:rPr>
      </w:pPr>
      <w:r>
        <w:rPr>
          <w:rFonts w:ascii="Gill Sans MT" w:hAnsi="Gill Sans MT"/>
          <w:color w:val="231F20"/>
          <w:sz w:val="18"/>
        </w:rPr>
        <w:t xml:space="preserve">The </w:t>
      </w:r>
      <w:r>
        <w:rPr>
          <w:rFonts w:ascii="Lucida Sans" w:hAnsi="Lucida Sans"/>
          <w:i/>
          <w:color w:val="231F20"/>
          <w:sz w:val="18"/>
        </w:rPr>
        <w:t xml:space="preserve">Sozialistisches Büro </w:t>
      </w:r>
      <w:r>
        <w:rPr>
          <w:rFonts w:ascii="Gill Sans MT" w:hAnsi="Gill Sans MT"/>
          <w:color w:val="231F20"/>
          <w:sz w:val="18"/>
        </w:rPr>
        <w:t xml:space="preserve">is founded </w:t>
      </w:r>
      <w:r>
        <w:rPr>
          <w:rFonts w:ascii="Gill Sans MT" w:hAnsi="Gill Sans MT"/>
          <w:color w:val="231F20"/>
          <w:w w:val="105"/>
          <w:sz w:val="18"/>
        </w:rPr>
        <w:t>in Offenbach.</w:t>
      </w:r>
    </w:p>
    <w:p w14:paraId="354D707F" w14:textId="77777777" w:rsidR="002653E8" w:rsidRDefault="002653E8">
      <w:pPr>
        <w:pStyle w:val="a3"/>
        <w:spacing w:before="10"/>
        <w:rPr>
          <w:rFonts w:ascii="Gill Sans MT"/>
        </w:rPr>
      </w:pPr>
    </w:p>
    <w:p w14:paraId="76E18C47" w14:textId="77777777" w:rsidR="002653E8" w:rsidRDefault="003115E3">
      <w:pPr>
        <w:ind w:left="206"/>
        <w:rPr>
          <w:rFonts w:ascii="Arial"/>
          <w:b/>
          <w:sz w:val="18"/>
        </w:rPr>
      </w:pPr>
      <w:r>
        <w:rPr>
          <w:rFonts w:ascii="Arial"/>
          <w:b/>
          <w:color w:val="231F20"/>
          <w:w w:val="120"/>
          <w:sz w:val="18"/>
        </w:rPr>
        <w:t>May 7, 1969</w:t>
      </w:r>
    </w:p>
    <w:p w14:paraId="45CF7F52" w14:textId="77777777" w:rsidR="002653E8" w:rsidRDefault="003115E3">
      <w:pPr>
        <w:spacing w:before="34" w:line="273" w:lineRule="auto"/>
        <w:ind w:left="206" w:right="1199"/>
        <w:rPr>
          <w:rFonts w:ascii="Gill Sans MT" w:hAnsi="Gill Sans MT"/>
          <w:sz w:val="18"/>
        </w:rPr>
      </w:pPr>
      <w:r>
        <w:rPr>
          <w:rFonts w:ascii="Gill Sans MT" w:hAnsi="Gill Sans MT"/>
          <w:color w:val="231F20"/>
          <w:w w:val="115"/>
          <w:sz w:val="18"/>
        </w:rPr>
        <w:t>Because</w:t>
      </w:r>
      <w:r>
        <w:rPr>
          <w:rFonts w:ascii="Gill Sans MT" w:hAnsi="Gill Sans MT"/>
          <w:color w:val="231F20"/>
          <w:spacing w:val="-26"/>
          <w:w w:val="115"/>
          <w:sz w:val="18"/>
        </w:rPr>
        <w:t xml:space="preserve"> </w:t>
      </w:r>
      <w:r>
        <w:rPr>
          <w:rFonts w:ascii="Gill Sans MT" w:hAnsi="Gill Sans MT"/>
          <w:color w:val="231F20"/>
          <w:w w:val="115"/>
          <w:sz w:val="18"/>
        </w:rPr>
        <w:t>of</w:t>
      </w:r>
      <w:r>
        <w:rPr>
          <w:rFonts w:ascii="Gill Sans MT" w:hAnsi="Gill Sans MT"/>
          <w:color w:val="231F20"/>
          <w:spacing w:val="-26"/>
          <w:w w:val="115"/>
          <w:sz w:val="18"/>
        </w:rPr>
        <w:t xml:space="preserve"> </w:t>
      </w:r>
      <w:r>
        <w:rPr>
          <w:rFonts w:ascii="Gill Sans MT" w:hAnsi="Gill Sans MT"/>
          <w:color w:val="231F20"/>
          <w:w w:val="115"/>
          <w:sz w:val="18"/>
        </w:rPr>
        <w:t>political</w:t>
      </w:r>
      <w:r>
        <w:rPr>
          <w:rFonts w:ascii="Gill Sans MT" w:hAnsi="Gill Sans MT"/>
          <w:color w:val="231F20"/>
          <w:spacing w:val="-26"/>
          <w:w w:val="115"/>
          <w:sz w:val="18"/>
        </w:rPr>
        <w:t xml:space="preserve"> </w:t>
      </w:r>
      <w:r>
        <w:rPr>
          <w:rFonts w:ascii="Gill Sans MT" w:hAnsi="Gill Sans MT"/>
          <w:color w:val="231F20"/>
          <w:w w:val="115"/>
          <w:sz w:val="18"/>
        </w:rPr>
        <w:t>differences</w:t>
      </w:r>
      <w:r>
        <w:rPr>
          <w:rFonts w:ascii="Gill Sans MT" w:hAnsi="Gill Sans MT"/>
          <w:color w:val="231F20"/>
          <w:spacing w:val="-26"/>
          <w:w w:val="115"/>
          <w:sz w:val="18"/>
        </w:rPr>
        <w:t xml:space="preserve"> </w:t>
      </w:r>
      <w:r>
        <w:rPr>
          <w:rFonts w:ascii="Gill Sans MT" w:hAnsi="Gill Sans MT"/>
          <w:color w:val="231F20"/>
          <w:w w:val="115"/>
          <w:sz w:val="18"/>
        </w:rPr>
        <w:t xml:space="preserve">with her husband, </w:t>
      </w:r>
      <w:r>
        <w:rPr>
          <w:rFonts w:ascii="Lucida Sans" w:hAnsi="Lucida Sans"/>
          <w:i/>
          <w:color w:val="231F20"/>
          <w:w w:val="115"/>
          <w:sz w:val="18"/>
        </w:rPr>
        <w:t xml:space="preserve">konkret </w:t>
      </w:r>
      <w:r>
        <w:rPr>
          <w:rFonts w:ascii="Gill Sans MT" w:hAnsi="Gill Sans MT"/>
          <w:color w:val="231F20"/>
          <w:w w:val="115"/>
          <w:sz w:val="18"/>
        </w:rPr>
        <w:t xml:space="preserve">publisher Klaus Rainer Röhl, ulrike Meinhof, at that time a </w:t>
      </w:r>
      <w:r>
        <w:rPr>
          <w:rFonts w:ascii="Lucida Sans" w:hAnsi="Lucida Sans"/>
          <w:i/>
          <w:color w:val="231F20"/>
          <w:w w:val="115"/>
          <w:sz w:val="18"/>
        </w:rPr>
        <w:t xml:space="preserve">konkret </w:t>
      </w:r>
      <w:r>
        <w:rPr>
          <w:rFonts w:ascii="Gill Sans MT" w:hAnsi="Gill Sans MT"/>
          <w:color w:val="231F20"/>
          <w:w w:val="115"/>
          <w:sz w:val="18"/>
        </w:rPr>
        <w:t>columnist, leads</w:t>
      </w:r>
      <w:r>
        <w:rPr>
          <w:rFonts w:ascii="Gill Sans MT" w:hAnsi="Gill Sans MT"/>
          <w:color w:val="231F20"/>
          <w:spacing w:val="-15"/>
          <w:w w:val="115"/>
          <w:sz w:val="18"/>
        </w:rPr>
        <w:t xml:space="preserve"> </w:t>
      </w:r>
      <w:r>
        <w:rPr>
          <w:rFonts w:ascii="Gill Sans MT" w:hAnsi="Gill Sans MT"/>
          <w:color w:val="231F20"/>
          <w:w w:val="115"/>
          <w:sz w:val="18"/>
        </w:rPr>
        <w:t>a</w:t>
      </w:r>
      <w:r>
        <w:rPr>
          <w:rFonts w:ascii="Gill Sans MT" w:hAnsi="Gill Sans MT"/>
          <w:color w:val="231F20"/>
          <w:spacing w:val="-15"/>
          <w:w w:val="115"/>
          <w:sz w:val="18"/>
        </w:rPr>
        <w:t xml:space="preserve"> </w:t>
      </w:r>
      <w:r>
        <w:rPr>
          <w:rFonts w:ascii="Gill Sans MT" w:hAnsi="Gill Sans MT"/>
          <w:color w:val="231F20"/>
          <w:w w:val="115"/>
          <w:sz w:val="18"/>
        </w:rPr>
        <w:t>group</w:t>
      </w:r>
      <w:r>
        <w:rPr>
          <w:rFonts w:ascii="Gill Sans MT" w:hAnsi="Gill Sans MT"/>
          <w:color w:val="231F20"/>
          <w:spacing w:val="-15"/>
          <w:w w:val="115"/>
          <w:sz w:val="18"/>
        </w:rPr>
        <w:t xml:space="preserve"> </w:t>
      </w:r>
      <w:r>
        <w:rPr>
          <w:rFonts w:ascii="Gill Sans MT" w:hAnsi="Gill Sans MT"/>
          <w:color w:val="231F20"/>
          <w:w w:val="115"/>
          <w:sz w:val="18"/>
        </w:rPr>
        <w:t>of</w:t>
      </w:r>
      <w:r>
        <w:rPr>
          <w:rFonts w:ascii="Gill Sans MT" w:hAnsi="Gill Sans MT"/>
          <w:color w:val="231F20"/>
          <w:spacing w:val="-15"/>
          <w:w w:val="115"/>
          <w:sz w:val="18"/>
        </w:rPr>
        <w:t xml:space="preserve"> </w:t>
      </w:r>
      <w:r>
        <w:rPr>
          <w:rFonts w:ascii="Gill Sans MT" w:hAnsi="Gill Sans MT"/>
          <w:color w:val="231F20"/>
          <w:w w:val="115"/>
          <w:sz w:val="18"/>
        </w:rPr>
        <w:t>thirty</w:t>
      </w:r>
      <w:r>
        <w:rPr>
          <w:rFonts w:ascii="Gill Sans MT" w:hAnsi="Gill Sans MT"/>
          <w:color w:val="231F20"/>
          <w:spacing w:val="-15"/>
          <w:w w:val="115"/>
          <w:sz w:val="18"/>
        </w:rPr>
        <w:t xml:space="preserve"> </w:t>
      </w:r>
      <w:r>
        <w:rPr>
          <w:rFonts w:ascii="Gill Sans MT" w:hAnsi="Gill Sans MT"/>
          <w:color w:val="231F20"/>
          <w:w w:val="115"/>
          <w:sz w:val="18"/>
        </w:rPr>
        <w:t>people</w:t>
      </w:r>
      <w:r>
        <w:rPr>
          <w:rFonts w:ascii="Gill Sans MT" w:hAnsi="Gill Sans MT"/>
          <w:color w:val="231F20"/>
          <w:spacing w:val="-15"/>
          <w:w w:val="115"/>
          <w:sz w:val="18"/>
        </w:rPr>
        <w:t xml:space="preserve"> </w:t>
      </w:r>
      <w:r>
        <w:rPr>
          <w:rFonts w:ascii="Gill Sans MT" w:hAnsi="Gill Sans MT"/>
          <w:color w:val="231F20"/>
          <w:w w:val="115"/>
          <w:sz w:val="18"/>
        </w:rPr>
        <w:t>who demolish</w:t>
      </w:r>
      <w:r>
        <w:rPr>
          <w:rFonts w:ascii="Gill Sans MT" w:hAnsi="Gill Sans MT"/>
          <w:color w:val="231F20"/>
          <w:spacing w:val="-18"/>
          <w:w w:val="115"/>
          <w:sz w:val="18"/>
        </w:rPr>
        <w:t xml:space="preserve"> </w:t>
      </w:r>
      <w:r>
        <w:rPr>
          <w:rFonts w:ascii="Gill Sans MT" w:hAnsi="Gill Sans MT"/>
          <w:color w:val="231F20"/>
          <w:w w:val="115"/>
          <w:sz w:val="18"/>
        </w:rPr>
        <w:t>the</w:t>
      </w:r>
      <w:r>
        <w:rPr>
          <w:rFonts w:ascii="Gill Sans MT" w:hAnsi="Gill Sans MT"/>
          <w:color w:val="231F20"/>
          <w:spacing w:val="-18"/>
          <w:w w:val="115"/>
          <w:sz w:val="18"/>
        </w:rPr>
        <w:t xml:space="preserve"> </w:t>
      </w:r>
      <w:r>
        <w:rPr>
          <w:rFonts w:ascii="Gill Sans MT" w:hAnsi="Gill Sans MT"/>
          <w:color w:val="231F20"/>
          <w:w w:val="115"/>
          <w:sz w:val="18"/>
        </w:rPr>
        <w:t>inside</w:t>
      </w:r>
      <w:r>
        <w:rPr>
          <w:rFonts w:ascii="Gill Sans MT" w:hAnsi="Gill Sans MT"/>
          <w:color w:val="231F20"/>
          <w:spacing w:val="-18"/>
          <w:w w:val="115"/>
          <w:sz w:val="18"/>
        </w:rPr>
        <w:t xml:space="preserve"> </w:t>
      </w:r>
      <w:r>
        <w:rPr>
          <w:rFonts w:ascii="Gill Sans MT" w:hAnsi="Gill Sans MT"/>
          <w:color w:val="231F20"/>
          <w:w w:val="115"/>
          <w:sz w:val="18"/>
        </w:rPr>
        <w:t>of</w:t>
      </w:r>
      <w:r>
        <w:rPr>
          <w:rFonts w:ascii="Gill Sans MT" w:hAnsi="Gill Sans MT"/>
          <w:color w:val="231F20"/>
          <w:spacing w:val="-18"/>
          <w:w w:val="115"/>
          <w:sz w:val="18"/>
        </w:rPr>
        <w:t xml:space="preserve"> </w:t>
      </w:r>
      <w:r>
        <w:rPr>
          <w:rFonts w:ascii="Gill Sans MT" w:hAnsi="Gill Sans MT"/>
          <w:color w:val="231F20"/>
          <w:w w:val="115"/>
          <w:sz w:val="18"/>
        </w:rPr>
        <w:t>his</w:t>
      </w:r>
      <w:r>
        <w:rPr>
          <w:rFonts w:ascii="Gill Sans MT" w:hAnsi="Gill Sans MT"/>
          <w:color w:val="231F20"/>
          <w:spacing w:val="-18"/>
          <w:w w:val="115"/>
          <w:sz w:val="18"/>
        </w:rPr>
        <w:t xml:space="preserve"> </w:t>
      </w:r>
      <w:r>
        <w:rPr>
          <w:rFonts w:ascii="Gill Sans MT" w:hAnsi="Gill Sans MT"/>
          <w:color w:val="231F20"/>
          <w:w w:val="115"/>
          <w:sz w:val="18"/>
        </w:rPr>
        <w:t>suburban Hamburg</w:t>
      </w:r>
      <w:r>
        <w:rPr>
          <w:rFonts w:ascii="Gill Sans MT" w:hAnsi="Gill Sans MT"/>
          <w:color w:val="231F20"/>
          <w:spacing w:val="-9"/>
          <w:w w:val="115"/>
          <w:sz w:val="18"/>
        </w:rPr>
        <w:t xml:space="preserve"> </w:t>
      </w:r>
      <w:r>
        <w:rPr>
          <w:rFonts w:ascii="Gill Sans MT" w:hAnsi="Gill Sans MT"/>
          <w:color w:val="231F20"/>
          <w:w w:val="115"/>
          <w:sz w:val="18"/>
        </w:rPr>
        <w:t>villa.</w:t>
      </w:r>
    </w:p>
    <w:p w14:paraId="44544C9F" w14:textId="77777777" w:rsidR="002653E8" w:rsidRDefault="002653E8">
      <w:pPr>
        <w:pStyle w:val="a3"/>
        <w:spacing w:before="6"/>
        <w:rPr>
          <w:rFonts w:ascii="Gill Sans MT"/>
        </w:rPr>
      </w:pPr>
    </w:p>
    <w:p w14:paraId="710C55D0" w14:textId="77777777" w:rsidR="002653E8" w:rsidRDefault="003115E3">
      <w:pPr>
        <w:spacing w:before="1"/>
        <w:ind w:left="206"/>
        <w:rPr>
          <w:rFonts w:ascii="Arial"/>
          <w:b/>
          <w:sz w:val="18"/>
        </w:rPr>
      </w:pPr>
      <w:r>
        <w:rPr>
          <w:rFonts w:ascii="Arial"/>
          <w:b/>
          <w:color w:val="231F20"/>
          <w:w w:val="115"/>
          <w:sz w:val="18"/>
        </w:rPr>
        <w:t>June 7, 1969</w:t>
      </w:r>
    </w:p>
    <w:p w14:paraId="0144F58B" w14:textId="77777777" w:rsidR="002653E8" w:rsidRDefault="003115E3">
      <w:pPr>
        <w:spacing w:before="34" w:line="276" w:lineRule="auto"/>
        <w:ind w:left="206" w:right="1423"/>
        <w:rPr>
          <w:rFonts w:ascii="Gill Sans MT" w:hAnsi="Gill Sans MT"/>
          <w:sz w:val="18"/>
        </w:rPr>
      </w:pPr>
      <w:r>
        <w:rPr>
          <w:rFonts w:ascii="Gill Sans MT" w:hAnsi="Gill Sans MT"/>
          <w:color w:val="231F20"/>
          <w:w w:val="115"/>
          <w:sz w:val="18"/>
        </w:rPr>
        <w:t>Young workers and apprentices demonstrate in Cologne. Their slogan is “Self-determination and class struggle instead of comanagement and union crap.”</w:t>
      </w:r>
    </w:p>
    <w:p w14:paraId="4D8C750A" w14:textId="77777777" w:rsidR="002653E8" w:rsidRDefault="002653E8">
      <w:pPr>
        <w:pStyle w:val="a3"/>
        <w:spacing w:before="6"/>
        <w:rPr>
          <w:rFonts w:ascii="Gill Sans MT"/>
        </w:rPr>
      </w:pPr>
    </w:p>
    <w:p w14:paraId="2072EC88" w14:textId="77777777" w:rsidR="002653E8" w:rsidRDefault="003115E3">
      <w:pPr>
        <w:ind w:left="206"/>
        <w:rPr>
          <w:rFonts w:ascii="Arial"/>
          <w:b/>
          <w:sz w:val="18"/>
        </w:rPr>
      </w:pPr>
      <w:r>
        <w:rPr>
          <w:rFonts w:ascii="Arial"/>
          <w:b/>
          <w:color w:val="231F20"/>
          <w:w w:val="115"/>
          <w:sz w:val="18"/>
        </w:rPr>
        <w:t>June 13, 1969</w:t>
      </w:r>
    </w:p>
    <w:p w14:paraId="73E8F1EC" w14:textId="77777777" w:rsidR="002653E8" w:rsidRDefault="003115E3">
      <w:pPr>
        <w:spacing w:before="35" w:line="276" w:lineRule="auto"/>
        <w:ind w:left="206" w:right="1094"/>
        <w:rPr>
          <w:rFonts w:ascii="Gill Sans MT" w:hAnsi="Gill Sans MT"/>
          <w:sz w:val="18"/>
        </w:rPr>
      </w:pPr>
      <w:r>
        <w:rPr>
          <w:rFonts w:ascii="Gill Sans MT" w:hAnsi="Gill Sans MT"/>
          <w:color w:val="231F20"/>
          <w:w w:val="110"/>
          <w:sz w:val="18"/>
        </w:rPr>
        <w:t xml:space="preserve">Andreas Baader, Gudrun Ensslin, Thorwald Proll, and Horst Söhnlein, who had been sentenced for the April, </w:t>
      </w:r>
      <w:r>
        <w:rPr>
          <w:rFonts w:ascii="Arial" w:hAnsi="Arial"/>
          <w:color w:val="231F20"/>
          <w:w w:val="110"/>
          <w:sz w:val="18"/>
        </w:rPr>
        <w:t>1968</w:t>
      </w:r>
      <w:r>
        <w:rPr>
          <w:rFonts w:ascii="Gill Sans MT" w:hAnsi="Gill Sans MT"/>
          <w:color w:val="231F20"/>
          <w:w w:val="110"/>
          <w:sz w:val="18"/>
        </w:rPr>
        <w:t>, department store arson, are released while their case is appealed.</w:t>
      </w:r>
    </w:p>
    <w:p w14:paraId="4A95E6BE" w14:textId="77777777" w:rsidR="002653E8" w:rsidRDefault="002653E8">
      <w:pPr>
        <w:pStyle w:val="a3"/>
        <w:spacing w:before="4"/>
        <w:rPr>
          <w:rFonts w:ascii="Gill Sans MT"/>
        </w:rPr>
      </w:pPr>
    </w:p>
    <w:p w14:paraId="73C1D22C" w14:textId="77777777" w:rsidR="002653E8" w:rsidRDefault="003115E3">
      <w:pPr>
        <w:ind w:left="206"/>
        <w:rPr>
          <w:rFonts w:ascii="Arial"/>
          <w:b/>
          <w:sz w:val="18"/>
        </w:rPr>
      </w:pPr>
      <w:r>
        <w:rPr>
          <w:rFonts w:ascii="Arial"/>
          <w:b/>
          <w:color w:val="231F20"/>
          <w:w w:val="115"/>
          <w:sz w:val="18"/>
        </w:rPr>
        <w:t>Fall 1969</w:t>
      </w:r>
    </w:p>
    <w:p w14:paraId="6DA8E94D" w14:textId="77777777" w:rsidR="002653E8" w:rsidRDefault="003115E3">
      <w:pPr>
        <w:spacing w:before="35" w:line="276" w:lineRule="auto"/>
        <w:ind w:left="206" w:right="1193"/>
        <w:rPr>
          <w:rFonts w:ascii="Gill Sans MT"/>
          <w:sz w:val="18"/>
        </w:rPr>
      </w:pPr>
      <w:r>
        <w:rPr>
          <w:rFonts w:ascii="Gill Sans MT"/>
          <w:color w:val="231F20"/>
          <w:w w:val="110"/>
          <w:sz w:val="18"/>
        </w:rPr>
        <w:t>The urban guerilla groups Tupamaros-West Berlin and Tupamaros-Munich are formed. dieter Kunzelmann and other members of the Tupamaros-West Berlin receive training in an Al Fatah (PLO) training camp in Jordan.</w:t>
      </w:r>
    </w:p>
    <w:p w14:paraId="040B30FA" w14:textId="77777777" w:rsidR="002653E8" w:rsidRDefault="003115E3">
      <w:pPr>
        <w:spacing w:line="276" w:lineRule="auto"/>
        <w:ind w:left="206" w:right="1503"/>
        <w:rPr>
          <w:rFonts w:ascii="Gill Sans MT"/>
          <w:sz w:val="18"/>
        </w:rPr>
      </w:pPr>
      <w:r>
        <w:rPr>
          <w:rFonts w:ascii="Gill Sans MT"/>
          <w:color w:val="231F20"/>
          <w:w w:val="110"/>
          <w:sz w:val="18"/>
        </w:rPr>
        <w:t>There are six bombings in West Berlin.</w:t>
      </w:r>
    </w:p>
    <w:p w14:paraId="3C629FFE" w14:textId="77777777" w:rsidR="002653E8" w:rsidRDefault="002653E8">
      <w:pPr>
        <w:spacing w:line="276" w:lineRule="auto"/>
        <w:rPr>
          <w:rFonts w:ascii="Gill Sans MT"/>
          <w:sz w:val="18"/>
        </w:rPr>
        <w:sectPr w:rsidR="002653E8">
          <w:footerReference w:type="even" r:id="rId498"/>
          <w:pgSz w:w="8640" w:h="12960"/>
          <w:pgMar w:top="1080" w:right="0" w:bottom="280" w:left="0" w:header="0" w:footer="0" w:gutter="0"/>
          <w:cols w:num="2" w:space="720" w:equalWidth="0">
            <w:col w:w="4284" w:space="40"/>
            <w:col w:w="4316"/>
          </w:cols>
        </w:sectPr>
      </w:pPr>
    </w:p>
    <w:p w14:paraId="2EA09D74" w14:textId="77777777" w:rsidR="002653E8" w:rsidRDefault="002653E8">
      <w:pPr>
        <w:pStyle w:val="a3"/>
        <w:spacing w:before="5"/>
        <w:rPr>
          <w:rFonts w:ascii="Gill Sans MT"/>
          <w:sz w:val="29"/>
        </w:rPr>
      </w:pPr>
    </w:p>
    <w:p w14:paraId="62C53E3C" w14:textId="77777777" w:rsidR="002653E8" w:rsidRDefault="002653E8">
      <w:pPr>
        <w:rPr>
          <w:rFonts w:ascii="Gill Sans MT"/>
          <w:sz w:val="29"/>
        </w:rPr>
        <w:sectPr w:rsidR="002653E8">
          <w:type w:val="continuous"/>
          <w:pgSz w:w="8640" w:h="12960"/>
          <w:pgMar w:top="0" w:right="0" w:bottom="0" w:left="0" w:header="720" w:footer="720" w:gutter="0"/>
          <w:cols w:space="720"/>
        </w:sectPr>
      </w:pPr>
    </w:p>
    <w:p w14:paraId="43F16E7F" w14:textId="77777777" w:rsidR="002653E8" w:rsidRDefault="003115E3">
      <w:pPr>
        <w:spacing w:before="144" w:line="244" w:lineRule="auto"/>
        <w:ind w:left="1327" w:right="31"/>
        <w:rPr>
          <w:sz w:val="18"/>
        </w:rPr>
      </w:pPr>
      <w:r>
        <w:rPr>
          <w:color w:val="231F20"/>
          <w:w w:val="120"/>
          <w:sz w:val="18"/>
        </w:rPr>
        <w:t xml:space="preserve">a chronology </w:t>
      </w:r>
      <w:r>
        <w:rPr>
          <w:color w:val="231F20"/>
          <w:w w:val="125"/>
          <w:sz w:val="18"/>
        </w:rPr>
        <w:t xml:space="preserve">fall </w:t>
      </w:r>
      <w:r>
        <w:rPr>
          <w:color w:val="231F20"/>
          <w:w w:val="120"/>
          <w:sz w:val="18"/>
        </w:rPr>
        <w:t>1969</w:t>
      </w:r>
      <w:r>
        <w:rPr>
          <w:color w:val="231F20"/>
          <w:sz w:val="18"/>
        </w:rPr>
        <w:t xml:space="preserve"> </w:t>
      </w:r>
    </w:p>
    <w:p w14:paraId="2028CACA" w14:textId="77777777" w:rsidR="002653E8" w:rsidRDefault="003115E3">
      <w:pPr>
        <w:spacing w:before="99"/>
        <w:ind w:left="1346" w:right="1141"/>
        <w:jc w:val="center"/>
        <w:rPr>
          <w:sz w:val="18"/>
        </w:rPr>
      </w:pPr>
      <w:r>
        <w:br w:type="column"/>
      </w:r>
      <w:r>
        <w:rPr>
          <w:color w:val="231F20"/>
          <w:sz w:val="18"/>
        </w:rPr>
        <w:t xml:space="preserve">583 </w:t>
      </w:r>
    </w:p>
    <w:p w14:paraId="57F87A41" w14:textId="77777777" w:rsidR="002653E8" w:rsidRDefault="002653E8">
      <w:pPr>
        <w:jc w:val="center"/>
        <w:rPr>
          <w:sz w:val="18"/>
        </w:rPr>
        <w:sectPr w:rsidR="002653E8">
          <w:type w:val="continuous"/>
          <w:pgSz w:w="8640" w:h="12960"/>
          <w:pgMar w:top="0" w:right="0" w:bottom="0" w:left="0" w:header="720" w:footer="720" w:gutter="0"/>
          <w:cols w:num="2" w:space="720" w:equalWidth="0">
            <w:col w:w="2922" w:space="2892"/>
            <w:col w:w="2826"/>
          </w:cols>
        </w:sectPr>
      </w:pPr>
    </w:p>
    <w:p w14:paraId="7276E567" w14:textId="77777777" w:rsidR="002653E8" w:rsidRDefault="003115E3">
      <w:pPr>
        <w:spacing w:before="89"/>
        <w:ind w:left="1147"/>
        <w:rPr>
          <w:rFonts w:ascii="Arial" w:hAnsi="Arial"/>
          <w:b/>
          <w:sz w:val="18"/>
        </w:rPr>
      </w:pPr>
      <w:r>
        <w:rPr>
          <w:rFonts w:ascii="Arial" w:hAnsi="Arial"/>
          <w:b/>
          <w:color w:val="231F20"/>
          <w:w w:val="115"/>
          <w:sz w:val="18"/>
        </w:rPr>
        <w:lastRenderedPageBreak/>
        <w:t>September 2–19, 1969</w:t>
      </w:r>
    </w:p>
    <w:p w14:paraId="564B9FCC" w14:textId="77777777" w:rsidR="002653E8" w:rsidRDefault="003115E3">
      <w:pPr>
        <w:spacing w:before="35" w:line="276" w:lineRule="auto"/>
        <w:ind w:left="1147"/>
        <w:rPr>
          <w:rFonts w:ascii="Gill Sans MT"/>
          <w:sz w:val="18"/>
        </w:rPr>
      </w:pPr>
      <w:r>
        <w:rPr>
          <w:rFonts w:ascii="Gill Sans MT"/>
          <w:color w:val="231F20"/>
          <w:w w:val="110"/>
          <w:sz w:val="18"/>
        </w:rPr>
        <w:t>Wildcat strikes occur in the mining, metal, energy, and car industries.</w:t>
      </w:r>
    </w:p>
    <w:p w14:paraId="2E3E26DC" w14:textId="77777777" w:rsidR="002653E8" w:rsidRDefault="002653E8">
      <w:pPr>
        <w:pStyle w:val="a3"/>
        <w:spacing w:before="6"/>
        <w:rPr>
          <w:rFonts w:ascii="Gill Sans MT"/>
        </w:rPr>
      </w:pPr>
    </w:p>
    <w:p w14:paraId="21657FEB" w14:textId="77777777" w:rsidR="002653E8" w:rsidRDefault="003115E3">
      <w:pPr>
        <w:ind w:left="1147"/>
        <w:rPr>
          <w:rFonts w:ascii="Arial"/>
          <w:b/>
          <w:sz w:val="18"/>
        </w:rPr>
      </w:pPr>
      <w:r>
        <w:rPr>
          <w:rFonts w:ascii="Arial"/>
          <w:b/>
          <w:color w:val="231F20"/>
          <w:w w:val="115"/>
          <w:sz w:val="18"/>
        </w:rPr>
        <w:t>October 21, 1969</w:t>
      </w:r>
    </w:p>
    <w:p w14:paraId="4DE9247A" w14:textId="77777777" w:rsidR="002653E8" w:rsidRDefault="003115E3">
      <w:pPr>
        <w:spacing w:before="35" w:line="276" w:lineRule="auto"/>
        <w:ind w:left="1147" w:right="165"/>
        <w:rPr>
          <w:rFonts w:ascii="Gill Sans MT"/>
          <w:sz w:val="18"/>
        </w:rPr>
      </w:pPr>
      <w:r>
        <w:rPr>
          <w:rFonts w:ascii="Gill Sans MT"/>
          <w:color w:val="231F20"/>
          <w:w w:val="110"/>
          <w:sz w:val="18"/>
        </w:rPr>
        <w:t>A new Social-Liberal coalition government of the SPd and the FdP is formed. Willy Brandt (SPd) is Chancellor, Gustav Heinemann (SPd) is President, and Walter Scheel (FdP) is Foreign Minister.</w:t>
      </w:r>
    </w:p>
    <w:p w14:paraId="04292874" w14:textId="77777777" w:rsidR="002653E8" w:rsidRDefault="002653E8">
      <w:pPr>
        <w:pStyle w:val="a3"/>
        <w:rPr>
          <w:rFonts w:ascii="Gill Sans MT"/>
        </w:rPr>
      </w:pPr>
    </w:p>
    <w:p w14:paraId="3A018C3C" w14:textId="77777777" w:rsidR="002653E8" w:rsidRDefault="002653E8">
      <w:pPr>
        <w:pStyle w:val="a3"/>
        <w:rPr>
          <w:rFonts w:ascii="Gill Sans MT"/>
        </w:rPr>
      </w:pPr>
    </w:p>
    <w:p w14:paraId="686DA612" w14:textId="77777777" w:rsidR="002653E8" w:rsidRDefault="003115E3">
      <w:pPr>
        <w:pStyle w:val="5"/>
        <w:ind w:left="1147"/>
      </w:pPr>
      <w:r>
        <w:rPr>
          <w:color w:val="231F20"/>
          <w:w w:val="120"/>
        </w:rPr>
        <w:t>1970</w:t>
      </w:r>
    </w:p>
    <w:p w14:paraId="5188FD4B" w14:textId="77777777" w:rsidR="002653E8" w:rsidRDefault="003115E3">
      <w:pPr>
        <w:spacing w:before="12"/>
        <w:ind w:left="1147"/>
        <w:rPr>
          <w:rFonts w:ascii="Arial"/>
          <w:b/>
          <w:sz w:val="18"/>
        </w:rPr>
      </w:pPr>
      <w:r>
        <w:rPr>
          <w:rFonts w:ascii="Arial"/>
          <w:b/>
          <w:color w:val="231F20"/>
          <w:w w:val="115"/>
          <w:sz w:val="18"/>
        </w:rPr>
        <w:t>February 12, 1970</w:t>
      </w:r>
    </w:p>
    <w:p w14:paraId="0F6A10A6" w14:textId="77777777" w:rsidR="002653E8" w:rsidRDefault="003115E3">
      <w:pPr>
        <w:spacing w:before="35" w:line="273" w:lineRule="auto"/>
        <w:ind w:left="1147" w:right="-18"/>
        <w:rPr>
          <w:rFonts w:ascii="Gill Sans MT" w:hAnsi="Gill Sans MT"/>
          <w:sz w:val="18"/>
        </w:rPr>
      </w:pPr>
      <w:r>
        <w:rPr>
          <w:rFonts w:ascii="Gill Sans MT" w:hAnsi="Gill Sans MT"/>
          <w:color w:val="231F20"/>
          <w:w w:val="110"/>
          <w:sz w:val="18"/>
        </w:rPr>
        <w:t xml:space="preserve">Fifty-two psychiatric patients form </w:t>
      </w:r>
      <w:r>
        <w:rPr>
          <w:rFonts w:ascii="Gill Sans MT" w:hAnsi="Gill Sans MT"/>
          <w:color w:val="231F20"/>
          <w:w w:val="95"/>
          <w:sz w:val="18"/>
        </w:rPr>
        <w:t>the</w:t>
      </w:r>
      <w:r>
        <w:rPr>
          <w:rFonts w:ascii="Gill Sans MT" w:hAnsi="Gill Sans MT"/>
          <w:color w:val="231F20"/>
          <w:spacing w:val="-21"/>
          <w:w w:val="95"/>
          <w:sz w:val="18"/>
        </w:rPr>
        <w:t xml:space="preserve"> </w:t>
      </w:r>
      <w:r>
        <w:rPr>
          <w:rFonts w:ascii="Lucida Sans" w:hAnsi="Lucida Sans"/>
          <w:i/>
          <w:color w:val="231F20"/>
          <w:w w:val="95"/>
          <w:sz w:val="18"/>
        </w:rPr>
        <w:t>Sozialistisches</w:t>
      </w:r>
      <w:r>
        <w:rPr>
          <w:rFonts w:ascii="Lucida Sans" w:hAnsi="Lucida Sans"/>
          <w:i/>
          <w:color w:val="231F20"/>
          <w:spacing w:val="-27"/>
          <w:w w:val="95"/>
          <w:sz w:val="18"/>
        </w:rPr>
        <w:t xml:space="preserve"> </w:t>
      </w:r>
      <w:r>
        <w:rPr>
          <w:rFonts w:ascii="Lucida Sans" w:hAnsi="Lucida Sans"/>
          <w:i/>
          <w:color w:val="231F20"/>
          <w:w w:val="95"/>
          <w:sz w:val="18"/>
        </w:rPr>
        <w:t>patientenkollektiv</w:t>
      </w:r>
      <w:r>
        <w:rPr>
          <w:rFonts w:ascii="Lucida Sans" w:hAnsi="Lucida Sans"/>
          <w:i/>
          <w:color w:val="231F20"/>
          <w:w w:val="92"/>
          <w:sz w:val="18"/>
        </w:rPr>
        <w:t xml:space="preserve"> </w:t>
      </w:r>
      <w:r>
        <w:rPr>
          <w:rFonts w:ascii="Gill Sans MT" w:hAnsi="Gill Sans MT"/>
          <w:color w:val="231F20"/>
          <w:w w:val="110"/>
          <w:sz w:val="18"/>
        </w:rPr>
        <w:t xml:space="preserve">(SPK—Socialist Patients’ Collective) in Heidelberg. The </w:t>
      </w:r>
      <w:r>
        <w:rPr>
          <w:rFonts w:ascii="Gill Sans MT" w:hAnsi="Gill Sans MT"/>
          <w:color w:val="231F20"/>
          <w:spacing w:val="-3"/>
          <w:w w:val="110"/>
          <w:sz w:val="18"/>
        </w:rPr>
        <w:t xml:space="preserve">group’s </w:t>
      </w:r>
      <w:r>
        <w:rPr>
          <w:rFonts w:ascii="Gill Sans MT" w:hAnsi="Gill Sans MT"/>
          <w:color w:val="231F20"/>
          <w:w w:val="110"/>
          <w:sz w:val="18"/>
        </w:rPr>
        <w:t xml:space="preserve">motto is </w:t>
      </w:r>
      <w:r>
        <w:rPr>
          <w:rFonts w:ascii="Gill Sans MT" w:hAnsi="Gill Sans MT"/>
          <w:color w:val="231F20"/>
          <w:spacing w:val="-4"/>
          <w:w w:val="110"/>
          <w:sz w:val="18"/>
        </w:rPr>
        <w:t xml:space="preserve">“Turn </w:t>
      </w:r>
      <w:r>
        <w:rPr>
          <w:rFonts w:ascii="Gill Sans MT" w:hAnsi="Gill Sans MT"/>
          <w:color w:val="231F20"/>
          <w:w w:val="110"/>
          <w:sz w:val="18"/>
        </w:rPr>
        <w:t>Illness Into a</w:t>
      </w:r>
      <w:r>
        <w:rPr>
          <w:rFonts w:ascii="Gill Sans MT" w:hAnsi="Gill Sans MT"/>
          <w:color w:val="231F20"/>
          <w:spacing w:val="-20"/>
          <w:w w:val="110"/>
          <w:sz w:val="18"/>
        </w:rPr>
        <w:t xml:space="preserve"> </w:t>
      </w:r>
      <w:r>
        <w:rPr>
          <w:rFonts w:ascii="Gill Sans MT" w:hAnsi="Gill Sans MT"/>
          <w:color w:val="231F20"/>
          <w:w w:val="110"/>
          <w:sz w:val="18"/>
        </w:rPr>
        <w:t>Weapon.”</w:t>
      </w:r>
    </w:p>
    <w:p w14:paraId="730D6115" w14:textId="77777777" w:rsidR="002653E8" w:rsidRDefault="002653E8">
      <w:pPr>
        <w:pStyle w:val="a3"/>
        <w:spacing w:before="9"/>
        <w:rPr>
          <w:rFonts w:ascii="Gill Sans MT"/>
        </w:rPr>
      </w:pPr>
    </w:p>
    <w:p w14:paraId="635245FB" w14:textId="77777777" w:rsidR="002653E8" w:rsidRDefault="003115E3">
      <w:pPr>
        <w:ind w:left="1147"/>
        <w:rPr>
          <w:rFonts w:ascii="Arial"/>
          <w:b/>
          <w:sz w:val="18"/>
        </w:rPr>
      </w:pPr>
      <w:r>
        <w:rPr>
          <w:rFonts w:ascii="Arial"/>
          <w:b/>
          <w:color w:val="231F20"/>
          <w:w w:val="115"/>
          <w:sz w:val="18"/>
        </w:rPr>
        <w:t>March 21, 1970</w:t>
      </w:r>
    </w:p>
    <w:p w14:paraId="6653A8FD" w14:textId="77777777" w:rsidR="002653E8" w:rsidRDefault="003115E3">
      <w:pPr>
        <w:spacing w:before="35" w:line="276" w:lineRule="auto"/>
        <w:ind w:left="1147" w:right="112"/>
        <w:rPr>
          <w:rFonts w:ascii="Gill Sans MT"/>
          <w:sz w:val="18"/>
        </w:rPr>
      </w:pPr>
      <w:r>
        <w:rPr>
          <w:rFonts w:ascii="Gill Sans MT"/>
          <w:color w:val="231F20"/>
          <w:w w:val="115"/>
          <w:sz w:val="18"/>
        </w:rPr>
        <w:t>At a meeting in Frankfurt the SdS Federal</w:t>
      </w:r>
      <w:r>
        <w:rPr>
          <w:rFonts w:ascii="Gill Sans MT"/>
          <w:color w:val="231F20"/>
          <w:spacing w:val="-24"/>
          <w:w w:val="115"/>
          <w:sz w:val="18"/>
        </w:rPr>
        <w:t xml:space="preserve"> </w:t>
      </w:r>
      <w:r>
        <w:rPr>
          <w:rFonts w:ascii="Gill Sans MT"/>
          <w:color w:val="231F20"/>
          <w:w w:val="115"/>
          <w:sz w:val="18"/>
        </w:rPr>
        <w:t>Association</w:t>
      </w:r>
      <w:r>
        <w:rPr>
          <w:rFonts w:ascii="Gill Sans MT"/>
          <w:color w:val="231F20"/>
          <w:spacing w:val="-24"/>
          <w:w w:val="115"/>
          <w:sz w:val="18"/>
        </w:rPr>
        <w:t xml:space="preserve"> </w:t>
      </w:r>
      <w:r>
        <w:rPr>
          <w:rFonts w:ascii="Gill Sans MT"/>
          <w:color w:val="231F20"/>
          <w:w w:val="115"/>
          <w:sz w:val="18"/>
        </w:rPr>
        <w:t>is</w:t>
      </w:r>
      <w:r>
        <w:rPr>
          <w:rFonts w:ascii="Gill Sans MT"/>
          <w:color w:val="231F20"/>
          <w:spacing w:val="-24"/>
          <w:w w:val="115"/>
          <w:sz w:val="18"/>
        </w:rPr>
        <w:t xml:space="preserve"> </w:t>
      </w:r>
      <w:r>
        <w:rPr>
          <w:rFonts w:ascii="Gill Sans MT"/>
          <w:color w:val="231F20"/>
          <w:w w:val="115"/>
          <w:sz w:val="18"/>
        </w:rPr>
        <w:t>dissolved</w:t>
      </w:r>
      <w:r>
        <w:rPr>
          <w:rFonts w:ascii="Gill Sans MT"/>
          <w:color w:val="231F20"/>
          <w:spacing w:val="-24"/>
          <w:w w:val="115"/>
          <w:sz w:val="18"/>
        </w:rPr>
        <w:t xml:space="preserve"> </w:t>
      </w:r>
      <w:r>
        <w:rPr>
          <w:rFonts w:ascii="Gill Sans MT"/>
          <w:color w:val="231F20"/>
          <w:w w:val="115"/>
          <w:sz w:val="18"/>
        </w:rPr>
        <w:t>by acclamation. A few local groups carry</w:t>
      </w:r>
      <w:r>
        <w:rPr>
          <w:rFonts w:ascii="Gill Sans MT"/>
          <w:color w:val="231F20"/>
          <w:spacing w:val="-14"/>
          <w:w w:val="115"/>
          <w:sz w:val="18"/>
        </w:rPr>
        <w:t xml:space="preserve"> </w:t>
      </w:r>
      <w:r>
        <w:rPr>
          <w:rFonts w:ascii="Gill Sans MT"/>
          <w:color w:val="231F20"/>
          <w:w w:val="115"/>
          <w:sz w:val="18"/>
        </w:rPr>
        <w:t>on</w:t>
      </w:r>
      <w:r>
        <w:rPr>
          <w:rFonts w:ascii="Gill Sans MT"/>
          <w:color w:val="231F20"/>
          <w:spacing w:val="-14"/>
          <w:w w:val="115"/>
          <w:sz w:val="18"/>
        </w:rPr>
        <w:t xml:space="preserve"> </w:t>
      </w:r>
      <w:r>
        <w:rPr>
          <w:rFonts w:ascii="Gill Sans MT"/>
          <w:color w:val="231F20"/>
          <w:w w:val="115"/>
          <w:sz w:val="18"/>
        </w:rPr>
        <w:t>for</w:t>
      </w:r>
      <w:r>
        <w:rPr>
          <w:rFonts w:ascii="Gill Sans MT"/>
          <w:color w:val="231F20"/>
          <w:spacing w:val="-14"/>
          <w:w w:val="115"/>
          <w:sz w:val="18"/>
        </w:rPr>
        <w:t xml:space="preserve"> </w:t>
      </w:r>
      <w:r>
        <w:rPr>
          <w:rFonts w:ascii="Gill Sans MT"/>
          <w:color w:val="231F20"/>
          <w:w w:val="115"/>
          <w:sz w:val="18"/>
        </w:rPr>
        <w:t>a</w:t>
      </w:r>
      <w:r>
        <w:rPr>
          <w:rFonts w:ascii="Gill Sans MT"/>
          <w:color w:val="231F20"/>
          <w:spacing w:val="-14"/>
          <w:w w:val="115"/>
          <w:sz w:val="18"/>
        </w:rPr>
        <w:t xml:space="preserve"> </w:t>
      </w:r>
      <w:r>
        <w:rPr>
          <w:rFonts w:ascii="Gill Sans MT"/>
          <w:color w:val="231F20"/>
          <w:w w:val="115"/>
          <w:sz w:val="18"/>
        </w:rPr>
        <w:t>short</w:t>
      </w:r>
      <w:r>
        <w:rPr>
          <w:rFonts w:ascii="Gill Sans MT"/>
          <w:color w:val="231F20"/>
          <w:spacing w:val="-14"/>
          <w:w w:val="115"/>
          <w:sz w:val="18"/>
        </w:rPr>
        <w:t xml:space="preserve"> </w:t>
      </w:r>
      <w:r>
        <w:rPr>
          <w:rFonts w:ascii="Gill Sans MT"/>
          <w:color w:val="231F20"/>
          <w:w w:val="115"/>
          <w:sz w:val="18"/>
        </w:rPr>
        <w:t>period.</w:t>
      </w:r>
    </w:p>
    <w:p w14:paraId="3286E6F3" w14:textId="77777777" w:rsidR="002653E8" w:rsidRDefault="002653E8">
      <w:pPr>
        <w:pStyle w:val="a3"/>
        <w:spacing w:before="6"/>
        <w:rPr>
          <w:rFonts w:ascii="Gill Sans MT"/>
        </w:rPr>
      </w:pPr>
    </w:p>
    <w:p w14:paraId="7C56C779" w14:textId="77777777" w:rsidR="002653E8" w:rsidRDefault="003115E3">
      <w:pPr>
        <w:ind w:left="1147"/>
        <w:rPr>
          <w:rFonts w:ascii="Arial"/>
          <w:b/>
          <w:sz w:val="18"/>
        </w:rPr>
      </w:pPr>
      <w:r>
        <w:rPr>
          <w:rFonts w:ascii="Arial"/>
          <w:b/>
          <w:color w:val="231F20"/>
          <w:w w:val="115"/>
          <w:sz w:val="18"/>
        </w:rPr>
        <w:t>April 4, 1970</w:t>
      </w:r>
    </w:p>
    <w:p w14:paraId="282F6CF0" w14:textId="77777777" w:rsidR="002653E8" w:rsidRDefault="003115E3">
      <w:pPr>
        <w:spacing w:before="35" w:line="276" w:lineRule="auto"/>
        <w:ind w:left="1147" w:right="10"/>
        <w:rPr>
          <w:rFonts w:ascii="Gill Sans MT" w:hAnsi="Gill Sans MT"/>
          <w:sz w:val="18"/>
        </w:rPr>
      </w:pPr>
      <w:r>
        <w:rPr>
          <w:rFonts w:ascii="Gill Sans MT" w:hAnsi="Gill Sans MT"/>
          <w:color w:val="231F20"/>
          <w:w w:val="110"/>
          <w:sz w:val="18"/>
        </w:rPr>
        <w:t xml:space="preserve">Andreas Baader is arrested in </w:t>
      </w:r>
      <w:r>
        <w:rPr>
          <w:rFonts w:ascii="Gill Sans MT" w:hAnsi="Gill Sans MT"/>
          <w:color w:val="231F20"/>
          <w:spacing w:val="-3"/>
          <w:w w:val="110"/>
          <w:sz w:val="18"/>
        </w:rPr>
        <w:t xml:space="preserve">West </w:t>
      </w:r>
      <w:r>
        <w:rPr>
          <w:rFonts w:ascii="Gill Sans MT" w:hAnsi="Gill Sans MT"/>
          <w:color w:val="231F20"/>
          <w:w w:val="110"/>
          <w:sz w:val="18"/>
        </w:rPr>
        <w:t>Berlin.</w:t>
      </w:r>
      <w:r>
        <w:rPr>
          <w:rFonts w:ascii="Gill Sans MT" w:hAnsi="Gill Sans MT"/>
          <w:color w:val="231F20"/>
          <w:spacing w:val="-8"/>
          <w:w w:val="110"/>
          <w:sz w:val="18"/>
        </w:rPr>
        <w:t xml:space="preserve"> </w:t>
      </w:r>
      <w:r>
        <w:rPr>
          <w:rFonts w:ascii="Gill Sans MT" w:hAnsi="Gill Sans MT"/>
          <w:color w:val="231F20"/>
          <w:w w:val="110"/>
          <w:sz w:val="18"/>
        </w:rPr>
        <w:t>While</w:t>
      </w:r>
      <w:r>
        <w:rPr>
          <w:rFonts w:ascii="Gill Sans MT" w:hAnsi="Gill Sans MT"/>
          <w:color w:val="231F20"/>
          <w:spacing w:val="-8"/>
          <w:w w:val="110"/>
          <w:sz w:val="18"/>
        </w:rPr>
        <w:t xml:space="preserve"> </w:t>
      </w:r>
      <w:r>
        <w:rPr>
          <w:rFonts w:ascii="Gill Sans MT" w:hAnsi="Gill Sans MT"/>
          <w:color w:val="231F20"/>
          <w:w w:val="110"/>
          <w:sz w:val="18"/>
        </w:rPr>
        <w:t>it</w:t>
      </w:r>
      <w:r>
        <w:rPr>
          <w:rFonts w:ascii="Gill Sans MT" w:hAnsi="Gill Sans MT"/>
          <w:color w:val="231F20"/>
          <w:spacing w:val="-8"/>
          <w:w w:val="110"/>
          <w:sz w:val="18"/>
        </w:rPr>
        <w:t xml:space="preserve"> </w:t>
      </w:r>
      <w:r>
        <w:rPr>
          <w:rFonts w:ascii="Gill Sans MT" w:hAnsi="Gill Sans MT"/>
          <w:color w:val="231F20"/>
          <w:w w:val="110"/>
          <w:sz w:val="18"/>
        </w:rPr>
        <w:t>first</w:t>
      </w:r>
      <w:r>
        <w:rPr>
          <w:rFonts w:ascii="Gill Sans MT" w:hAnsi="Gill Sans MT"/>
          <w:color w:val="231F20"/>
          <w:spacing w:val="-8"/>
          <w:w w:val="110"/>
          <w:sz w:val="18"/>
        </w:rPr>
        <w:t xml:space="preserve"> </w:t>
      </w:r>
      <w:r>
        <w:rPr>
          <w:rFonts w:ascii="Gill Sans MT" w:hAnsi="Gill Sans MT"/>
          <w:color w:val="231F20"/>
          <w:w w:val="110"/>
          <w:sz w:val="18"/>
        </w:rPr>
        <w:t>appears</w:t>
      </w:r>
      <w:r>
        <w:rPr>
          <w:rFonts w:ascii="Gill Sans MT" w:hAnsi="Gill Sans MT"/>
          <w:color w:val="231F20"/>
          <w:spacing w:val="-8"/>
          <w:w w:val="110"/>
          <w:sz w:val="18"/>
        </w:rPr>
        <w:t xml:space="preserve"> </w:t>
      </w:r>
      <w:r>
        <w:rPr>
          <w:rFonts w:ascii="Gill Sans MT" w:hAnsi="Gill Sans MT"/>
          <w:color w:val="231F20"/>
          <w:w w:val="110"/>
          <w:sz w:val="18"/>
        </w:rPr>
        <w:t>this</w:t>
      </w:r>
      <w:r>
        <w:rPr>
          <w:rFonts w:ascii="Gill Sans MT" w:hAnsi="Gill Sans MT"/>
          <w:color w:val="231F20"/>
          <w:spacing w:val="-8"/>
          <w:w w:val="110"/>
          <w:sz w:val="18"/>
        </w:rPr>
        <w:t xml:space="preserve"> </w:t>
      </w:r>
      <w:r>
        <w:rPr>
          <w:rFonts w:ascii="Gill Sans MT" w:hAnsi="Gill Sans MT"/>
          <w:color w:val="231F20"/>
          <w:w w:val="110"/>
          <w:sz w:val="18"/>
        </w:rPr>
        <w:t>was a “routine traffic stop”, it is later revealed that he was in fact set up by police spy Peter</w:t>
      </w:r>
      <w:r>
        <w:rPr>
          <w:rFonts w:ascii="Gill Sans MT" w:hAnsi="Gill Sans MT"/>
          <w:color w:val="231F20"/>
          <w:spacing w:val="-4"/>
          <w:w w:val="110"/>
          <w:sz w:val="18"/>
        </w:rPr>
        <w:t xml:space="preserve"> </w:t>
      </w:r>
      <w:r>
        <w:rPr>
          <w:rFonts w:ascii="Gill Sans MT" w:hAnsi="Gill Sans MT"/>
          <w:color w:val="231F20"/>
          <w:w w:val="110"/>
          <w:sz w:val="18"/>
        </w:rPr>
        <w:t>urbach.</w:t>
      </w:r>
    </w:p>
    <w:p w14:paraId="3E72EFF4" w14:textId="77777777" w:rsidR="002653E8" w:rsidRDefault="002653E8">
      <w:pPr>
        <w:pStyle w:val="a3"/>
        <w:spacing w:before="6"/>
        <w:rPr>
          <w:rFonts w:ascii="Gill Sans MT"/>
        </w:rPr>
      </w:pPr>
    </w:p>
    <w:p w14:paraId="5A6C4964" w14:textId="77777777" w:rsidR="002653E8" w:rsidRDefault="003115E3">
      <w:pPr>
        <w:ind w:left="1147"/>
        <w:rPr>
          <w:rFonts w:ascii="Arial"/>
          <w:b/>
          <w:sz w:val="18"/>
        </w:rPr>
      </w:pPr>
      <w:r>
        <w:rPr>
          <w:rFonts w:ascii="Arial"/>
          <w:b/>
          <w:color w:val="231F20"/>
          <w:w w:val="120"/>
          <w:sz w:val="18"/>
        </w:rPr>
        <w:t>May 14, 1970</w:t>
      </w:r>
    </w:p>
    <w:p w14:paraId="074874CC" w14:textId="77777777" w:rsidR="002653E8" w:rsidRDefault="003115E3">
      <w:pPr>
        <w:spacing w:before="35" w:line="276" w:lineRule="auto"/>
        <w:ind w:left="1147" w:right="47"/>
        <w:rPr>
          <w:rFonts w:ascii="Gill Sans MT"/>
          <w:sz w:val="18"/>
        </w:rPr>
      </w:pPr>
      <w:r>
        <w:rPr>
          <w:rFonts w:ascii="Gill Sans MT"/>
          <w:color w:val="231F20"/>
          <w:w w:val="110"/>
          <w:sz w:val="18"/>
        </w:rPr>
        <w:t>An armed group breaks Andreas Baader out of the library of the Institute for Social Research, where he had obtained permission to work with ulrike Meinhof on a</w:t>
      </w:r>
      <w:r>
        <w:rPr>
          <w:rFonts w:ascii="Gill Sans MT"/>
          <w:color w:val="231F20"/>
          <w:spacing w:val="-30"/>
          <w:w w:val="110"/>
          <w:sz w:val="18"/>
        </w:rPr>
        <w:t xml:space="preserve"> </w:t>
      </w:r>
      <w:r>
        <w:rPr>
          <w:rFonts w:ascii="Gill Sans MT"/>
          <w:color w:val="231F20"/>
          <w:w w:val="110"/>
          <w:sz w:val="18"/>
        </w:rPr>
        <w:t>book about juvenile detention centres.</w:t>
      </w:r>
    </w:p>
    <w:p w14:paraId="01B56611" w14:textId="77777777" w:rsidR="002653E8" w:rsidRDefault="003115E3">
      <w:pPr>
        <w:spacing w:line="208" w:lineRule="exact"/>
        <w:ind w:left="1147"/>
        <w:rPr>
          <w:rFonts w:ascii="Gill Sans MT"/>
          <w:sz w:val="18"/>
        </w:rPr>
      </w:pPr>
      <w:r>
        <w:rPr>
          <w:rFonts w:ascii="Gill Sans MT"/>
          <w:color w:val="231F20"/>
          <w:w w:val="110"/>
          <w:sz w:val="18"/>
        </w:rPr>
        <w:t>An Institute employee, Georg Linke,</w:t>
      </w:r>
    </w:p>
    <w:p w14:paraId="2719573F" w14:textId="77777777" w:rsidR="002653E8" w:rsidRDefault="003115E3">
      <w:pPr>
        <w:spacing w:before="72" w:line="276" w:lineRule="auto"/>
        <w:ind w:left="227" w:right="1556"/>
        <w:rPr>
          <w:rFonts w:ascii="Gill Sans MT"/>
          <w:sz w:val="18"/>
        </w:rPr>
      </w:pPr>
      <w:r>
        <w:br w:type="column"/>
      </w:r>
      <w:r>
        <w:rPr>
          <w:rFonts w:ascii="Gill Sans MT"/>
          <w:color w:val="231F20"/>
          <w:w w:val="110"/>
          <w:sz w:val="18"/>
        </w:rPr>
        <w:t>is shot and seriously injured. This marks the beginning of the Red Army Faction (</w:t>
      </w:r>
      <w:r w:rsidR="00C507A5">
        <w:rPr>
          <w:rFonts w:ascii="Gill Sans MT"/>
          <w:color w:val="231F20"/>
          <w:w w:val="110"/>
          <w:sz w:val="18"/>
        </w:rPr>
        <w:t>red army faction</w:t>
      </w:r>
      <w:r>
        <w:rPr>
          <w:rFonts w:ascii="Gill Sans MT"/>
          <w:color w:val="231F20"/>
          <w:w w:val="110"/>
          <w:sz w:val="18"/>
        </w:rPr>
        <w:t>).</w:t>
      </w:r>
    </w:p>
    <w:p w14:paraId="1234C0CB" w14:textId="77777777" w:rsidR="002653E8" w:rsidRDefault="002653E8">
      <w:pPr>
        <w:pStyle w:val="a3"/>
        <w:spacing w:before="7"/>
        <w:rPr>
          <w:rFonts w:ascii="Gill Sans MT"/>
        </w:rPr>
      </w:pPr>
    </w:p>
    <w:p w14:paraId="0CD4D902" w14:textId="77777777" w:rsidR="002653E8" w:rsidRDefault="003115E3">
      <w:pPr>
        <w:ind w:left="227"/>
        <w:rPr>
          <w:rFonts w:ascii="Arial"/>
          <w:b/>
          <w:sz w:val="18"/>
        </w:rPr>
      </w:pPr>
      <w:r>
        <w:rPr>
          <w:rFonts w:ascii="Arial"/>
          <w:b/>
          <w:color w:val="231F20"/>
          <w:w w:val="120"/>
          <w:sz w:val="18"/>
        </w:rPr>
        <w:t>May 20, 1970</w:t>
      </w:r>
    </w:p>
    <w:p w14:paraId="5C95CA1D" w14:textId="77777777" w:rsidR="002653E8" w:rsidRDefault="003115E3">
      <w:pPr>
        <w:spacing w:before="34" w:line="276" w:lineRule="auto"/>
        <w:ind w:left="227" w:right="1383"/>
        <w:rPr>
          <w:rFonts w:ascii="Gill Sans MT"/>
          <w:sz w:val="18"/>
        </w:rPr>
      </w:pPr>
      <w:r>
        <w:rPr>
          <w:rFonts w:ascii="Gill Sans MT"/>
          <w:color w:val="231F20"/>
          <w:w w:val="110"/>
          <w:sz w:val="18"/>
        </w:rPr>
        <w:t>In an amnesty, the new SocialLiberal Coalition pardons thousands of students who had been sentenced to up to nine</w:t>
      </w:r>
      <w:r>
        <w:rPr>
          <w:rFonts w:ascii="Gill Sans MT"/>
          <w:color w:val="231F20"/>
          <w:spacing w:val="-11"/>
          <w:w w:val="110"/>
          <w:sz w:val="18"/>
        </w:rPr>
        <w:t xml:space="preserve"> </w:t>
      </w:r>
      <w:r>
        <w:rPr>
          <w:rFonts w:ascii="Gill Sans MT"/>
          <w:color w:val="231F20"/>
          <w:w w:val="110"/>
          <w:sz w:val="18"/>
        </w:rPr>
        <w:t>months</w:t>
      </w:r>
    </w:p>
    <w:p w14:paraId="797790B3" w14:textId="77777777" w:rsidR="002653E8" w:rsidRDefault="003115E3">
      <w:pPr>
        <w:spacing w:line="276" w:lineRule="auto"/>
        <w:ind w:left="227" w:right="1838"/>
        <w:rPr>
          <w:rFonts w:ascii="Gill Sans MT"/>
          <w:sz w:val="18"/>
        </w:rPr>
      </w:pPr>
      <w:r>
        <w:rPr>
          <w:rFonts w:ascii="Gill Sans MT"/>
          <w:color w:val="231F20"/>
          <w:w w:val="110"/>
          <w:sz w:val="18"/>
        </w:rPr>
        <w:t>in prison for various offences committed at demonstrations.</w:t>
      </w:r>
    </w:p>
    <w:p w14:paraId="7AF71EE1" w14:textId="77777777" w:rsidR="002653E8" w:rsidRDefault="002653E8">
      <w:pPr>
        <w:pStyle w:val="a3"/>
        <w:spacing w:before="6"/>
        <w:rPr>
          <w:rFonts w:ascii="Gill Sans MT"/>
        </w:rPr>
      </w:pPr>
    </w:p>
    <w:p w14:paraId="7568A7AE" w14:textId="77777777" w:rsidR="002653E8" w:rsidRDefault="003115E3">
      <w:pPr>
        <w:ind w:left="227"/>
        <w:rPr>
          <w:rFonts w:ascii="Arial" w:hAnsi="Arial"/>
          <w:b/>
          <w:sz w:val="18"/>
        </w:rPr>
      </w:pPr>
      <w:r>
        <w:rPr>
          <w:rFonts w:ascii="Arial" w:hAnsi="Arial"/>
          <w:b/>
          <w:color w:val="231F20"/>
          <w:w w:val="115"/>
          <w:sz w:val="18"/>
        </w:rPr>
        <w:t>June–August 1970</w:t>
      </w:r>
    </w:p>
    <w:p w14:paraId="4AF5A77C" w14:textId="77777777" w:rsidR="002653E8" w:rsidRDefault="003115E3">
      <w:pPr>
        <w:spacing w:before="35" w:line="276" w:lineRule="auto"/>
        <w:ind w:left="227" w:right="1350"/>
        <w:jc w:val="both"/>
        <w:rPr>
          <w:rFonts w:ascii="Gill Sans MT"/>
          <w:sz w:val="18"/>
        </w:rPr>
      </w:pPr>
      <w:r>
        <w:rPr>
          <w:rFonts w:ascii="Gill Sans MT"/>
          <w:color w:val="231F20"/>
          <w:spacing w:val="-4"/>
          <w:w w:val="110"/>
          <w:sz w:val="18"/>
        </w:rPr>
        <w:t xml:space="preserve">Twenty </w:t>
      </w:r>
      <w:r>
        <w:rPr>
          <w:rFonts w:ascii="Gill Sans MT"/>
          <w:color w:val="231F20"/>
          <w:w w:val="110"/>
          <w:sz w:val="18"/>
        </w:rPr>
        <w:t xml:space="preserve">members of the </w:t>
      </w:r>
      <w:r w:rsidR="00C507A5">
        <w:rPr>
          <w:rFonts w:ascii="Gill Sans MT"/>
          <w:color w:val="231F20"/>
          <w:w w:val="110"/>
          <w:sz w:val="18"/>
        </w:rPr>
        <w:t>red army faction</w:t>
      </w:r>
      <w:r>
        <w:rPr>
          <w:rFonts w:ascii="Gill Sans MT"/>
          <w:color w:val="231F20"/>
          <w:spacing w:val="-32"/>
          <w:w w:val="110"/>
          <w:sz w:val="18"/>
        </w:rPr>
        <w:t xml:space="preserve"> </w:t>
      </w:r>
      <w:r>
        <w:rPr>
          <w:rFonts w:ascii="Gill Sans MT"/>
          <w:color w:val="231F20"/>
          <w:w w:val="110"/>
          <w:sz w:val="18"/>
        </w:rPr>
        <w:t>receive training in an Al Fatah (PLO)</w:t>
      </w:r>
      <w:r>
        <w:rPr>
          <w:rFonts w:ascii="Gill Sans MT"/>
          <w:color w:val="231F20"/>
          <w:spacing w:val="-8"/>
          <w:w w:val="110"/>
          <w:sz w:val="18"/>
        </w:rPr>
        <w:t xml:space="preserve"> </w:t>
      </w:r>
      <w:r>
        <w:rPr>
          <w:rFonts w:ascii="Gill Sans MT"/>
          <w:color w:val="231F20"/>
          <w:w w:val="110"/>
          <w:sz w:val="18"/>
        </w:rPr>
        <w:t>training camp in</w:t>
      </w:r>
      <w:r>
        <w:rPr>
          <w:rFonts w:ascii="Gill Sans MT"/>
          <w:color w:val="231F20"/>
          <w:spacing w:val="-7"/>
          <w:w w:val="110"/>
          <w:sz w:val="18"/>
        </w:rPr>
        <w:t xml:space="preserve"> </w:t>
      </w:r>
      <w:r>
        <w:rPr>
          <w:rFonts w:ascii="Gill Sans MT"/>
          <w:color w:val="231F20"/>
          <w:w w:val="110"/>
          <w:sz w:val="18"/>
        </w:rPr>
        <w:t>Jordan.</w:t>
      </w:r>
    </w:p>
    <w:p w14:paraId="4D2721D4" w14:textId="77777777" w:rsidR="002653E8" w:rsidRDefault="002653E8">
      <w:pPr>
        <w:pStyle w:val="a3"/>
        <w:spacing w:before="6"/>
        <w:rPr>
          <w:rFonts w:ascii="Gill Sans MT"/>
        </w:rPr>
      </w:pPr>
    </w:p>
    <w:p w14:paraId="71499D6D" w14:textId="77777777" w:rsidR="002653E8" w:rsidRDefault="003115E3">
      <w:pPr>
        <w:ind w:left="227"/>
        <w:rPr>
          <w:rFonts w:ascii="Arial"/>
          <w:b/>
          <w:sz w:val="18"/>
        </w:rPr>
      </w:pPr>
      <w:r>
        <w:rPr>
          <w:rFonts w:ascii="Arial"/>
          <w:b/>
          <w:color w:val="231F20"/>
          <w:w w:val="115"/>
          <w:sz w:val="18"/>
        </w:rPr>
        <w:t>June 2, 1970</w:t>
      </w:r>
    </w:p>
    <w:p w14:paraId="30294F84" w14:textId="77777777" w:rsidR="002653E8" w:rsidRDefault="003115E3">
      <w:pPr>
        <w:spacing w:before="35" w:line="276" w:lineRule="auto"/>
        <w:ind w:left="227" w:right="1556"/>
        <w:rPr>
          <w:rFonts w:ascii="Gill Sans MT" w:hAnsi="Gill Sans MT"/>
          <w:sz w:val="18"/>
        </w:rPr>
      </w:pPr>
      <w:r>
        <w:rPr>
          <w:rFonts w:ascii="Gill Sans MT" w:hAnsi="Gill Sans MT"/>
          <w:color w:val="231F20"/>
          <w:w w:val="110"/>
          <w:sz w:val="18"/>
        </w:rPr>
        <w:t xml:space="preserve">The West German press receives a communiqué claiming credit for breaking Baader out of prison on May </w:t>
      </w:r>
      <w:r>
        <w:rPr>
          <w:rFonts w:ascii="Arial" w:hAnsi="Arial"/>
          <w:color w:val="231F20"/>
          <w:w w:val="110"/>
          <w:sz w:val="18"/>
        </w:rPr>
        <w:t>14</w:t>
      </w:r>
      <w:r>
        <w:rPr>
          <w:rFonts w:ascii="Gill Sans MT" w:hAnsi="Gill Sans MT"/>
          <w:color w:val="231F20"/>
          <w:w w:val="110"/>
          <w:sz w:val="18"/>
        </w:rPr>
        <w:t>.</w:t>
      </w:r>
    </w:p>
    <w:p w14:paraId="3BDC4A9A" w14:textId="77777777" w:rsidR="002653E8" w:rsidRDefault="002653E8">
      <w:pPr>
        <w:pStyle w:val="a3"/>
        <w:spacing w:before="4"/>
        <w:rPr>
          <w:rFonts w:ascii="Gill Sans MT"/>
        </w:rPr>
      </w:pPr>
    </w:p>
    <w:p w14:paraId="0D26D302" w14:textId="77777777" w:rsidR="002653E8" w:rsidRDefault="003115E3">
      <w:pPr>
        <w:spacing w:before="1"/>
        <w:ind w:left="227"/>
        <w:rPr>
          <w:rFonts w:ascii="Arial"/>
          <w:b/>
          <w:sz w:val="18"/>
        </w:rPr>
      </w:pPr>
      <w:r>
        <w:rPr>
          <w:rFonts w:ascii="Arial"/>
          <w:b/>
          <w:color w:val="231F20"/>
          <w:w w:val="115"/>
          <w:sz w:val="18"/>
        </w:rPr>
        <w:t>June 5, 1970</w:t>
      </w:r>
    </w:p>
    <w:p w14:paraId="2579BE22" w14:textId="77777777" w:rsidR="002653E8" w:rsidRDefault="003115E3">
      <w:pPr>
        <w:spacing w:before="27" w:line="271" w:lineRule="auto"/>
        <w:ind w:left="227" w:right="1461"/>
        <w:rPr>
          <w:rFonts w:ascii="Gill Sans MT"/>
          <w:sz w:val="18"/>
        </w:rPr>
      </w:pPr>
      <w:r>
        <w:rPr>
          <w:rFonts w:ascii="Gill Sans MT"/>
          <w:color w:val="231F20"/>
          <w:w w:val="110"/>
          <w:sz w:val="18"/>
        </w:rPr>
        <w:t xml:space="preserve">In a statement entitled </w:t>
      </w:r>
      <w:r>
        <w:rPr>
          <w:rFonts w:ascii="Lucida Sans"/>
          <w:i/>
          <w:color w:val="231F20"/>
          <w:w w:val="110"/>
          <w:sz w:val="18"/>
        </w:rPr>
        <w:t xml:space="preserve">Die Rote Armee aufbauen </w:t>
      </w:r>
      <w:r>
        <w:rPr>
          <w:rFonts w:ascii="Gill Sans MT"/>
          <w:color w:val="231F20"/>
          <w:w w:val="110"/>
          <w:sz w:val="18"/>
        </w:rPr>
        <w:t xml:space="preserve">(Build the Red Army), sent to the radical left magazine </w:t>
      </w:r>
      <w:r>
        <w:rPr>
          <w:rFonts w:ascii="Lucida Sans"/>
          <w:i/>
          <w:color w:val="231F20"/>
          <w:w w:val="110"/>
          <w:sz w:val="18"/>
        </w:rPr>
        <w:t xml:space="preserve">883, </w:t>
      </w:r>
      <w:r>
        <w:rPr>
          <w:rFonts w:ascii="Gill Sans MT"/>
          <w:color w:val="231F20"/>
          <w:w w:val="110"/>
          <w:sz w:val="18"/>
        </w:rPr>
        <w:t xml:space="preserve">the </w:t>
      </w:r>
      <w:r w:rsidR="00C507A5">
        <w:rPr>
          <w:rFonts w:ascii="Gill Sans MT"/>
          <w:color w:val="231F20"/>
          <w:w w:val="110"/>
          <w:sz w:val="18"/>
        </w:rPr>
        <w:t>red army faction</w:t>
      </w:r>
      <w:r>
        <w:rPr>
          <w:rFonts w:ascii="Gill Sans MT"/>
          <w:color w:val="231F20"/>
          <w:w w:val="110"/>
          <w:sz w:val="18"/>
        </w:rPr>
        <w:t xml:space="preserve"> effectively announces its existence.</w:t>
      </w:r>
    </w:p>
    <w:p w14:paraId="4A7FDFFD" w14:textId="77777777" w:rsidR="002653E8" w:rsidRDefault="002653E8">
      <w:pPr>
        <w:pStyle w:val="a3"/>
        <w:spacing w:before="1"/>
        <w:rPr>
          <w:rFonts w:ascii="Gill Sans MT"/>
          <w:sz w:val="21"/>
        </w:rPr>
      </w:pPr>
    </w:p>
    <w:p w14:paraId="26C0CB3F" w14:textId="77777777" w:rsidR="002653E8" w:rsidRDefault="003115E3">
      <w:pPr>
        <w:ind w:left="227"/>
        <w:rPr>
          <w:rFonts w:ascii="Arial"/>
          <w:b/>
          <w:sz w:val="18"/>
        </w:rPr>
      </w:pPr>
      <w:r>
        <w:rPr>
          <w:rFonts w:ascii="Arial"/>
          <w:b/>
          <w:color w:val="231F20"/>
          <w:w w:val="115"/>
          <w:sz w:val="18"/>
        </w:rPr>
        <w:t>June 11, 1970</w:t>
      </w:r>
    </w:p>
    <w:p w14:paraId="4D41FDA9" w14:textId="77777777" w:rsidR="002653E8" w:rsidRDefault="003115E3">
      <w:pPr>
        <w:spacing w:before="35" w:line="276" w:lineRule="auto"/>
        <w:ind w:left="227" w:right="1406"/>
        <w:rPr>
          <w:rFonts w:ascii="Gill Sans MT" w:hAnsi="Gill Sans MT"/>
          <w:sz w:val="18"/>
        </w:rPr>
      </w:pPr>
      <w:r>
        <w:rPr>
          <w:rFonts w:ascii="Gill Sans MT" w:hAnsi="Gill Sans MT"/>
          <w:color w:val="231F20"/>
          <w:w w:val="115"/>
          <w:sz w:val="18"/>
        </w:rPr>
        <w:t>The</w:t>
      </w:r>
      <w:r>
        <w:rPr>
          <w:rFonts w:ascii="Gill Sans MT" w:hAnsi="Gill Sans MT"/>
          <w:color w:val="231F20"/>
          <w:spacing w:val="-31"/>
          <w:w w:val="115"/>
          <w:sz w:val="18"/>
        </w:rPr>
        <w:t xml:space="preserve"> </w:t>
      </w:r>
      <w:r>
        <w:rPr>
          <w:rFonts w:ascii="Gill Sans MT" w:hAnsi="Gill Sans MT"/>
          <w:color w:val="231F20"/>
          <w:w w:val="115"/>
          <w:sz w:val="18"/>
        </w:rPr>
        <w:t>so-called</w:t>
      </w:r>
      <w:r>
        <w:rPr>
          <w:rFonts w:ascii="Gill Sans MT" w:hAnsi="Gill Sans MT"/>
          <w:color w:val="231F20"/>
          <w:spacing w:val="-31"/>
          <w:w w:val="115"/>
          <w:sz w:val="18"/>
        </w:rPr>
        <w:t xml:space="preserve"> </w:t>
      </w:r>
      <w:r>
        <w:rPr>
          <w:rFonts w:ascii="Gill Sans MT" w:hAnsi="Gill Sans MT"/>
          <w:color w:val="231F20"/>
          <w:w w:val="115"/>
          <w:sz w:val="18"/>
        </w:rPr>
        <w:t>“Hand</w:t>
      </w:r>
      <w:r>
        <w:rPr>
          <w:rFonts w:ascii="Gill Sans MT" w:hAnsi="Gill Sans MT"/>
          <w:color w:val="231F20"/>
          <w:spacing w:val="-31"/>
          <w:w w:val="115"/>
          <w:sz w:val="18"/>
        </w:rPr>
        <w:t xml:space="preserve"> </w:t>
      </w:r>
      <w:r>
        <w:rPr>
          <w:rFonts w:ascii="Gill Sans MT" w:hAnsi="Gill Sans MT"/>
          <w:color w:val="231F20"/>
          <w:w w:val="115"/>
          <w:sz w:val="18"/>
        </w:rPr>
        <w:t>Grenade</w:t>
      </w:r>
      <w:r>
        <w:rPr>
          <w:rFonts w:ascii="Gill Sans MT" w:hAnsi="Gill Sans MT"/>
          <w:color w:val="231F20"/>
          <w:spacing w:val="-31"/>
          <w:w w:val="115"/>
          <w:sz w:val="18"/>
        </w:rPr>
        <w:t xml:space="preserve"> </w:t>
      </w:r>
      <w:r>
        <w:rPr>
          <w:rFonts w:ascii="Gill Sans MT" w:hAnsi="Gill Sans MT"/>
          <w:color w:val="231F20"/>
          <w:w w:val="115"/>
          <w:sz w:val="18"/>
        </w:rPr>
        <w:t>Law”</w:t>
      </w:r>
      <w:r>
        <w:rPr>
          <w:rFonts w:ascii="Gill Sans MT" w:hAnsi="Gill Sans MT"/>
          <w:color w:val="231F20"/>
          <w:w w:val="110"/>
          <w:sz w:val="18"/>
        </w:rPr>
        <w:t xml:space="preserve"> </w:t>
      </w:r>
      <w:r>
        <w:rPr>
          <w:rFonts w:ascii="Gill Sans MT" w:hAnsi="Gill Sans MT"/>
          <w:color w:val="231F20"/>
          <w:w w:val="115"/>
          <w:sz w:val="18"/>
        </w:rPr>
        <w:t>is passed arming police with hand grenades, machineguns, and semiautomatic</w:t>
      </w:r>
      <w:r>
        <w:rPr>
          <w:rFonts w:ascii="Gill Sans MT" w:hAnsi="Gill Sans MT"/>
          <w:color w:val="231F20"/>
          <w:spacing w:val="-9"/>
          <w:w w:val="115"/>
          <w:sz w:val="18"/>
        </w:rPr>
        <w:t xml:space="preserve"> </w:t>
      </w:r>
      <w:r>
        <w:rPr>
          <w:rFonts w:ascii="Gill Sans MT" w:hAnsi="Gill Sans MT"/>
          <w:color w:val="231F20"/>
          <w:w w:val="115"/>
          <w:sz w:val="18"/>
        </w:rPr>
        <w:t>pistols.</w:t>
      </w:r>
    </w:p>
    <w:p w14:paraId="77AD2B0F" w14:textId="77777777" w:rsidR="002653E8" w:rsidRDefault="002653E8">
      <w:pPr>
        <w:pStyle w:val="a3"/>
        <w:spacing w:before="6"/>
        <w:rPr>
          <w:rFonts w:ascii="Gill Sans MT"/>
        </w:rPr>
      </w:pPr>
    </w:p>
    <w:p w14:paraId="4959E984" w14:textId="77777777" w:rsidR="002653E8" w:rsidRDefault="003115E3">
      <w:pPr>
        <w:spacing w:line="278" w:lineRule="auto"/>
        <w:ind w:left="227" w:right="1553"/>
        <w:rPr>
          <w:rFonts w:ascii="Gill Sans MT" w:hAnsi="Gill Sans MT"/>
          <w:sz w:val="18"/>
        </w:rPr>
      </w:pPr>
      <w:r>
        <w:rPr>
          <w:rFonts w:ascii="Arial" w:hAnsi="Arial"/>
          <w:b/>
          <w:color w:val="231F20"/>
          <w:w w:val="115"/>
          <w:sz w:val="18"/>
        </w:rPr>
        <w:t xml:space="preserve">September 17, 1970 </w:t>
      </w:r>
      <w:r>
        <w:rPr>
          <w:rFonts w:ascii="Gill Sans MT" w:hAnsi="Gill Sans MT"/>
          <w:color w:val="231F20"/>
          <w:w w:val="115"/>
          <w:sz w:val="18"/>
        </w:rPr>
        <w:t>Following a series of daring skyjackings</w:t>
      </w:r>
      <w:r>
        <w:rPr>
          <w:rFonts w:ascii="Gill Sans MT" w:hAnsi="Gill Sans MT"/>
          <w:color w:val="231F20"/>
          <w:spacing w:val="-21"/>
          <w:w w:val="115"/>
          <w:sz w:val="18"/>
        </w:rPr>
        <w:t xml:space="preserve"> </w:t>
      </w:r>
      <w:r>
        <w:rPr>
          <w:rFonts w:ascii="Gill Sans MT" w:hAnsi="Gill Sans MT"/>
          <w:color w:val="231F20"/>
          <w:w w:val="115"/>
          <w:sz w:val="18"/>
        </w:rPr>
        <w:t>by</w:t>
      </w:r>
      <w:r>
        <w:rPr>
          <w:rFonts w:ascii="Gill Sans MT" w:hAnsi="Gill Sans MT"/>
          <w:color w:val="231F20"/>
          <w:spacing w:val="-21"/>
          <w:w w:val="115"/>
          <w:sz w:val="18"/>
        </w:rPr>
        <w:t xml:space="preserve"> </w:t>
      </w:r>
      <w:r>
        <w:rPr>
          <w:rFonts w:ascii="Gill Sans MT" w:hAnsi="Gill Sans MT"/>
          <w:color w:val="231F20"/>
          <w:w w:val="115"/>
          <w:sz w:val="18"/>
        </w:rPr>
        <w:t>the</w:t>
      </w:r>
      <w:r>
        <w:rPr>
          <w:rFonts w:ascii="Gill Sans MT" w:hAnsi="Gill Sans MT"/>
          <w:color w:val="231F20"/>
          <w:spacing w:val="-21"/>
          <w:w w:val="115"/>
          <w:sz w:val="18"/>
        </w:rPr>
        <w:t xml:space="preserve"> </w:t>
      </w:r>
      <w:r>
        <w:rPr>
          <w:rFonts w:ascii="Gill Sans MT" w:hAnsi="Gill Sans MT"/>
          <w:color w:val="231F20"/>
          <w:spacing w:val="-3"/>
          <w:w w:val="115"/>
          <w:sz w:val="18"/>
        </w:rPr>
        <w:t>PFLP’s</w:t>
      </w:r>
      <w:r>
        <w:rPr>
          <w:rFonts w:ascii="Gill Sans MT" w:hAnsi="Gill Sans MT"/>
          <w:color w:val="231F20"/>
          <w:spacing w:val="-21"/>
          <w:w w:val="115"/>
          <w:sz w:val="18"/>
        </w:rPr>
        <w:t xml:space="preserve"> </w:t>
      </w:r>
      <w:r>
        <w:rPr>
          <w:rFonts w:ascii="Gill Sans MT" w:hAnsi="Gill Sans MT"/>
          <w:color w:val="231F20"/>
          <w:w w:val="115"/>
          <w:sz w:val="18"/>
        </w:rPr>
        <w:t>External</w:t>
      </w:r>
    </w:p>
    <w:p w14:paraId="19604B97" w14:textId="77777777" w:rsidR="002653E8" w:rsidRDefault="003115E3">
      <w:pPr>
        <w:spacing w:line="276" w:lineRule="auto"/>
        <w:ind w:left="227" w:right="1413"/>
        <w:rPr>
          <w:rFonts w:ascii="Gill Sans MT"/>
          <w:sz w:val="18"/>
        </w:rPr>
      </w:pPr>
      <w:r>
        <w:rPr>
          <w:rFonts w:ascii="Gill Sans MT"/>
          <w:color w:val="231F20"/>
          <w:w w:val="115"/>
          <w:sz w:val="18"/>
        </w:rPr>
        <w:t>Operations</w:t>
      </w:r>
      <w:r>
        <w:rPr>
          <w:rFonts w:ascii="Gill Sans MT"/>
          <w:color w:val="231F20"/>
          <w:spacing w:val="-41"/>
          <w:w w:val="115"/>
          <w:sz w:val="18"/>
        </w:rPr>
        <w:t xml:space="preserve"> </w:t>
      </w:r>
      <w:r>
        <w:rPr>
          <w:rFonts w:ascii="Gill Sans MT"/>
          <w:color w:val="231F20"/>
          <w:w w:val="115"/>
          <w:sz w:val="18"/>
        </w:rPr>
        <w:t>section,</w:t>
      </w:r>
      <w:r>
        <w:rPr>
          <w:rFonts w:ascii="Gill Sans MT"/>
          <w:color w:val="231F20"/>
          <w:spacing w:val="-41"/>
          <w:w w:val="115"/>
          <w:sz w:val="18"/>
        </w:rPr>
        <w:t xml:space="preserve"> </w:t>
      </w:r>
      <w:r>
        <w:rPr>
          <w:rFonts w:ascii="Gill Sans MT"/>
          <w:color w:val="231F20"/>
          <w:w w:val="115"/>
          <w:sz w:val="18"/>
        </w:rPr>
        <w:t>civil</w:t>
      </w:r>
      <w:r>
        <w:rPr>
          <w:rFonts w:ascii="Gill Sans MT"/>
          <w:color w:val="231F20"/>
          <w:spacing w:val="-41"/>
          <w:w w:val="115"/>
          <w:sz w:val="18"/>
        </w:rPr>
        <w:t xml:space="preserve"> </w:t>
      </w:r>
      <w:r>
        <w:rPr>
          <w:rFonts w:ascii="Gill Sans MT"/>
          <w:color w:val="231F20"/>
          <w:w w:val="115"/>
          <w:sz w:val="18"/>
        </w:rPr>
        <w:t>war</w:t>
      </w:r>
      <w:r>
        <w:rPr>
          <w:rFonts w:ascii="Gill Sans MT"/>
          <w:color w:val="231F20"/>
          <w:spacing w:val="-41"/>
          <w:w w:val="115"/>
          <w:sz w:val="18"/>
        </w:rPr>
        <w:t xml:space="preserve"> </w:t>
      </w:r>
      <w:r>
        <w:rPr>
          <w:rFonts w:ascii="Gill Sans MT"/>
          <w:color w:val="231F20"/>
          <w:w w:val="115"/>
          <w:sz w:val="18"/>
        </w:rPr>
        <w:t>breaks</w:t>
      </w:r>
      <w:r>
        <w:rPr>
          <w:rFonts w:ascii="Gill Sans MT"/>
          <w:color w:val="231F20"/>
          <w:w w:val="113"/>
          <w:sz w:val="18"/>
        </w:rPr>
        <w:t xml:space="preserve"> </w:t>
      </w:r>
      <w:r>
        <w:rPr>
          <w:rFonts w:ascii="Gill Sans MT"/>
          <w:color w:val="231F20"/>
          <w:w w:val="115"/>
          <w:sz w:val="18"/>
        </w:rPr>
        <w:t>out in Jordan. The massacre of Palestinians</w:t>
      </w:r>
      <w:r>
        <w:rPr>
          <w:rFonts w:ascii="Gill Sans MT"/>
          <w:color w:val="231F20"/>
          <w:spacing w:val="-11"/>
          <w:w w:val="115"/>
          <w:sz w:val="18"/>
        </w:rPr>
        <w:t xml:space="preserve"> </w:t>
      </w:r>
      <w:r>
        <w:rPr>
          <w:rFonts w:ascii="Gill Sans MT"/>
          <w:color w:val="231F20"/>
          <w:w w:val="115"/>
          <w:sz w:val="18"/>
        </w:rPr>
        <w:t>at</w:t>
      </w:r>
      <w:r>
        <w:rPr>
          <w:rFonts w:ascii="Gill Sans MT"/>
          <w:color w:val="231F20"/>
          <w:spacing w:val="-11"/>
          <w:w w:val="115"/>
          <w:sz w:val="18"/>
        </w:rPr>
        <w:t xml:space="preserve"> </w:t>
      </w:r>
      <w:r>
        <w:rPr>
          <w:rFonts w:ascii="Gill Sans MT"/>
          <w:color w:val="231F20"/>
          <w:w w:val="115"/>
          <w:sz w:val="18"/>
        </w:rPr>
        <w:t>the</w:t>
      </w:r>
      <w:r>
        <w:rPr>
          <w:rFonts w:ascii="Gill Sans MT"/>
          <w:color w:val="231F20"/>
          <w:spacing w:val="-11"/>
          <w:w w:val="115"/>
          <w:sz w:val="18"/>
        </w:rPr>
        <w:t xml:space="preserve"> </w:t>
      </w:r>
      <w:r>
        <w:rPr>
          <w:rFonts w:ascii="Gill Sans MT"/>
          <w:color w:val="231F20"/>
          <w:w w:val="115"/>
          <w:sz w:val="18"/>
        </w:rPr>
        <w:t>hands</w:t>
      </w:r>
      <w:r>
        <w:rPr>
          <w:rFonts w:ascii="Gill Sans MT"/>
          <w:color w:val="231F20"/>
          <w:spacing w:val="-11"/>
          <w:w w:val="115"/>
          <w:sz w:val="18"/>
        </w:rPr>
        <w:t xml:space="preserve"> </w:t>
      </w:r>
      <w:r>
        <w:rPr>
          <w:rFonts w:ascii="Gill Sans MT"/>
          <w:color w:val="231F20"/>
          <w:w w:val="115"/>
          <w:sz w:val="18"/>
        </w:rPr>
        <w:t>of</w:t>
      </w:r>
      <w:r>
        <w:rPr>
          <w:rFonts w:ascii="Gill Sans MT"/>
          <w:color w:val="231F20"/>
          <w:spacing w:val="-11"/>
          <w:w w:val="115"/>
          <w:sz w:val="18"/>
        </w:rPr>
        <w:t xml:space="preserve"> </w:t>
      </w:r>
      <w:r>
        <w:rPr>
          <w:rFonts w:ascii="Gill Sans MT"/>
          <w:color w:val="231F20"/>
          <w:w w:val="115"/>
          <w:sz w:val="18"/>
        </w:rPr>
        <w:t>the</w:t>
      </w:r>
    </w:p>
    <w:p w14:paraId="1E40A325" w14:textId="77777777" w:rsidR="002653E8" w:rsidRDefault="002653E8">
      <w:pPr>
        <w:spacing w:line="276" w:lineRule="auto"/>
        <w:rPr>
          <w:rFonts w:ascii="Gill Sans MT"/>
          <w:sz w:val="18"/>
        </w:rPr>
        <w:sectPr w:rsidR="002653E8">
          <w:footerReference w:type="default" r:id="rId499"/>
          <w:pgSz w:w="8640" w:h="12960"/>
          <w:pgMar w:top="1080" w:right="0" w:bottom="280" w:left="0" w:header="0" w:footer="0" w:gutter="0"/>
          <w:cols w:num="2" w:space="720" w:equalWidth="0">
            <w:col w:w="4083" w:space="40"/>
            <w:col w:w="4517"/>
          </w:cols>
        </w:sectPr>
      </w:pPr>
    </w:p>
    <w:p w14:paraId="30BF7A44" w14:textId="77777777" w:rsidR="002653E8" w:rsidRDefault="002653E8">
      <w:pPr>
        <w:pStyle w:val="a3"/>
        <w:rPr>
          <w:rFonts w:ascii="Gill Sans MT"/>
        </w:rPr>
      </w:pPr>
    </w:p>
    <w:p w14:paraId="3CC2428B" w14:textId="77777777" w:rsidR="002653E8" w:rsidRDefault="002653E8">
      <w:pPr>
        <w:pStyle w:val="a3"/>
        <w:spacing w:before="3"/>
        <w:rPr>
          <w:rFonts w:ascii="Gill Sans MT"/>
          <w:sz w:val="24"/>
        </w:rPr>
      </w:pPr>
    </w:p>
    <w:p w14:paraId="037F9F0C" w14:textId="77777777" w:rsidR="002653E8" w:rsidRDefault="003115E3">
      <w:pPr>
        <w:tabs>
          <w:tab w:val="left" w:pos="3677"/>
        </w:tabs>
        <w:spacing w:before="98" w:line="244" w:lineRule="auto"/>
        <w:ind w:left="4999" w:right="1300" w:hanging="3852"/>
        <w:rPr>
          <w:sz w:val="18"/>
        </w:rPr>
      </w:pPr>
      <w:r>
        <w:rPr>
          <w:color w:val="231F20"/>
          <w:spacing w:val="15"/>
          <w:w w:val="110"/>
          <w:position w:val="5"/>
          <w:sz w:val="18"/>
        </w:rPr>
        <w:t>584</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20"/>
          <w:w w:val="110"/>
          <w:sz w:val="18"/>
        </w:rPr>
        <w:t xml:space="preserve">germany </w:t>
      </w:r>
      <w:r>
        <w:rPr>
          <w:color w:val="231F20"/>
          <w:spacing w:val="21"/>
          <w:w w:val="110"/>
          <w:sz w:val="18"/>
        </w:rPr>
        <w:t xml:space="preserve">september </w:t>
      </w:r>
      <w:r>
        <w:rPr>
          <w:color w:val="231F20"/>
          <w:spacing w:val="20"/>
          <w:w w:val="110"/>
          <w:sz w:val="18"/>
        </w:rPr>
        <w:t>2–19,</w:t>
      </w:r>
      <w:r>
        <w:rPr>
          <w:color w:val="231F20"/>
          <w:spacing w:val="28"/>
          <w:w w:val="110"/>
          <w:sz w:val="18"/>
        </w:rPr>
        <w:t xml:space="preserve"> </w:t>
      </w:r>
      <w:r>
        <w:rPr>
          <w:color w:val="231F20"/>
          <w:spacing w:val="17"/>
          <w:w w:val="110"/>
          <w:sz w:val="18"/>
        </w:rPr>
        <w:t>1969</w:t>
      </w:r>
      <w:r>
        <w:rPr>
          <w:color w:val="231F20"/>
          <w:spacing w:val="-15"/>
          <w:sz w:val="18"/>
        </w:rPr>
        <w:t xml:space="preserve"> </w:t>
      </w:r>
    </w:p>
    <w:p w14:paraId="52054CF3" w14:textId="77777777" w:rsidR="002653E8" w:rsidRDefault="002653E8">
      <w:pPr>
        <w:spacing w:line="244" w:lineRule="auto"/>
        <w:rPr>
          <w:sz w:val="18"/>
        </w:rPr>
        <w:sectPr w:rsidR="002653E8">
          <w:type w:val="continuous"/>
          <w:pgSz w:w="8640" w:h="12960"/>
          <w:pgMar w:top="0" w:right="0" w:bottom="0" w:left="0" w:header="720" w:footer="720" w:gutter="0"/>
          <w:cols w:space="720"/>
        </w:sectPr>
      </w:pPr>
    </w:p>
    <w:p w14:paraId="3065EBF5" w14:textId="77777777" w:rsidR="002653E8" w:rsidRDefault="003115E3">
      <w:pPr>
        <w:spacing w:before="92" w:line="276" w:lineRule="auto"/>
        <w:ind w:left="1327" w:right="454"/>
        <w:rPr>
          <w:rFonts w:ascii="Gill Sans MT"/>
          <w:sz w:val="18"/>
        </w:rPr>
      </w:pPr>
      <w:r>
        <w:rPr>
          <w:rFonts w:ascii="Gill Sans MT"/>
          <w:color w:val="231F20"/>
          <w:w w:val="115"/>
          <w:sz w:val="18"/>
        </w:rPr>
        <w:lastRenderedPageBreak/>
        <w:t>Jordanian</w:t>
      </w:r>
      <w:r>
        <w:rPr>
          <w:rFonts w:ascii="Gill Sans MT"/>
          <w:color w:val="231F20"/>
          <w:spacing w:val="-26"/>
          <w:w w:val="115"/>
          <w:sz w:val="18"/>
        </w:rPr>
        <w:t xml:space="preserve"> </w:t>
      </w:r>
      <w:r>
        <w:rPr>
          <w:rFonts w:ascii="Gill Sans MT"/>
          <w:color w:val="231F20"/>
          <w:w w:val="115"/>
          <w:sz w:val="18"/>
        </w:rPr>
        <w:t>forces</w:t>
      </w:r>
      <w:r>
        <w:rPr>
          <w:rFonts w:ascii="Gill Sans MT"/>
          <w:color w:val="231F20"/>
          <w:spacing w:val="-26"/>
          <w:w w:val="115"/>
          <w:sz w:val="18"/>
        </w:rPr>
        <w:t xml:space="preserve"> </w:t>
      </w:r>
      <w:r>
        <w:rPr>
          <w:rFonts w:ascii="Gill Sans MT"/>
          <w:color w:val="231F20"/>
          <w:w w:val="115"/>
          <w:sz w:val="18"/>
        </w:rPr>
        <w:t>will</w:t>
      </w:r>
      <w:r>
        <w:rPr>
          <w:rFonts w:ascii="Gill Sans MT"/>
          <w:color w:val="231F20"/>
          <w:spacing w:val="-26"/>
          <w:w w:val="115"/>
          <w:sz w:val="18"/>
        </w:rPr>
        <w:t xml:space="preserve"> </w:t>
      </w:r>
      <w:r>
        <w:rPr>
          <w:rFonts w:ascii="Gill Sans MT"/>
          <w:color w:val="231F20"/>
          <w:w w:val="115"/>
          <w:sz w:val="18"/>
        </w:rPr>
        <w:t>be</w:t>
      </w:r>
      <w:r>
        <w:rPr>
          <w:rFonts w:ascii="Gill Sans MT"/>
          <w:color w:val="231F20"/>
          <w:spacing w:val="-26"/>
          <w:w w:val="115"/>
          <w:sz w:val="18"/>
        </w:rPr>
        <w:t xml:space="preserve"> </w:t>
      </w:r>
      <w:r>
        <w:rPr>
          <w:rFonts w:ascii="Gill Sans MT"/>
          <w:color w:val="231F20"/>
          <w:w w:val="115"/>
          <w:sz w:val="18"/>
        </w:rPr>
        <w:t>known as</w:t>
      </w:r>
      <w:r>
        <w:rPr>
          <w:rFonts w:ascii="Gill Sans MT"/>
          <w:color w:val="231F20"/>
          <w:spacing w:val="-18"/>
          <w:w w:val="115"/>
          <w:sz w:val="18"/>
        </w:rPr>
        <w:t xml:space="preserve"> </w:t>
      </w:r>
      <w:r>
        <w:rPr>
          <w:rFonts w:ascii="Gill Sans MT"/>
          <w:color w:val="231F20"/>
          <w:w w:val="115"/>
          <w:sz w:val="18"/>
        </w:rPr>
        <w:t>Black</w:t>
      </w:r>
      <w:r>
        <w:rPr>
          <w:rFonts w:ascii="Gill Sans MT"/>
          <w:color w:val="231F20"/>
          <w:spacing w:val="-18"/>
          <w:w w:val="115"/>
          <w:sz w:val="18"/>
        </w:rPr>
        <w:t xml:space="preserve"> </w:t>
      </w:r>
      <w:r>
        <w:rPr>
          <w:rFonts w:ascii="Gill Sans MT"/>
          <w:color w:val="231F20"/>
          <w:w w:val="115"/>
          <w:sz w:val="18"/>
        </w:rPr>
        <w:t>September,</w:t>
      </w:r>
      <w:r>
        <w:rPr>
          <w:rFonts w:ascii="Gill Sans MT"/>
          <w:color w:val="231F20"/>
          <w:spacing w:val="-18"/>
          <w:w w:val="115"/>
          <w:sz w:val="18"/>
        </w:rPr>
        <w:t xml:space="preserve"> </w:t>
      </w:r>
      <w:r>
        <w:rPr>
          <w:rFonts w:ascii="Gill Sans MT"/>
          <w:color w:val="231F20"/>
          <w:w w:val="115"/>
          <w:sz w:val="18"/>
        </w:rPr>
        <w:t>different</w:t>
      </w:r>
    </w:p>
    <w:p w14:paraId="5119DC23" w14:textId="77777777" w:rsidR="002653E8" w:rsidRDefault="003115E3">
      <w:pPr>
        <w:spacing w:line="276" w:lineRule="auto"/>
        <w:ind w:left="1327" w:right="23"/>
        <w:rPr>
          <w:rFonts w:ascii="Gill Sans MT"/>
          <w:sz w:val="18"/>
        </w:rPr>
      </w:pPr>
      <w:r>
        <w:rPr>
          <w:rFonts w:ascii="Gill Sans MT"/>
          <w:color w:val="231F20"/>
          <w:w w:val="115"/>
          <w:sz w:val="18"/>
        </w:rPr>
        <w:t>estimates placing Palestinian</w:t>
      </w:r>
      <w:r>
        <w:rPr>
          <w:rFonts w:ascii="Gill Sans MT"/>
          <w:color w:val="231F20"/>
          <w:spacing w:val="-31"/>
          <w:w w:val="115"/>
          <w:sz w:val="18"/>
        </w:rPr>
        <w:t xml:space="preserve"> </w:t>
      </w:r>
      <w:r>
        <w:rPr>
          <w:rFonts w:ascii="Gill Sans MT"/>
          <w:color w:val="231F20"/>
          <w:w w:val="115"/>
          <w:sz w:val="18"/>
        </w:rPr>
        <w:t>deaths at</w:t>
      </w:r>
      <w:r>
        <w:rPr>
          <w:rFonts w:ascii="Gill Sans MT"/>
          <w:color w:val="231F20"/>
          <w:spacing w:val="-25"/>
          <w:w w:val="115"/>
          <w:sz w:val="18"/>
        </w:rPr>
        <w:t xml:space="preserve"> </w:t>
      </w:r>
      <w:r>
        <w:rPr>
          <w:rFonts w:ascii="Gill Sans MT"/>
          <w:color w:val="231F20"/>
          <w:w w:val="115"/>
          <w:sz w:val="18"/>
        </w:rPr>
        <w:t>between</w:t>
      </w:r>
      <w:r>
        <w:rPr>
          <w:rFonts w:ascii="Gill Sans MT"/>
          <w:color w:val="231F20"/>
          <w:spacing w:val="-25"/>
          <w:w w:val="115"/>
          <w:sz w:val="18"/>
        </w:rPr>
        <w:t xml:space="preserve"> </w:t>
      </w:r>
      <w:r>
        <w:rPr>
          <w:rFonts w:ascii="Arial"/>
          <w:color w:val="231F20"/>
          <w:w w:val="115"/>
          <w:sz w:val="18"/>
        </w:rPr>
        <w:t>4</w:t>
      </w:r>
      <w:r>
        <w:rPr>
          <w:rFonts w:ascii="Gill Sans MT"/>
          <w:color w:val="231F20"/>
          <w:w w:val="115"/>
          <w:sz w:val="18"/>
        </w:rPr>
        <w:t>,</w:t>
      </w:r>
      <w:r>
        <w:rPr>
          <w:rFonts w:ascii="Arial"/>
          <w:color w:val="231F20"/>
          <w:w w:val="115"/>
          <w:sz w:val="18"/>
        </w:rPr>
        <w:t>000</w:t>
      </w:r>
      <w:r>
        <w:rPr>
          <w:rFonts w:ascii="Arial"/>
          <w:color w:val="231F20"/>
          <w:spacing w:val="-25"/>
          <w:w w:val="115"/>
          <w:sz w:val="18"/>
        </w:rPr>
        <w:t xml:space="preserve"> </w:t>
      </w:r>
      <w:r>
        <w:rPr>
          <w:rFonts w:ascii="Gill Sans MT"/>
          <w:color w:val="231F20"/>
          <w:w w:val="115"/>
          <w:sz w:val="18"/>
        </w:rPr>
        <w:t>and</w:t>
      </w:r>
      <w:r>
        <w:rPr>
          <w:rFonts w:ascii="Gill Sans MT"/>
          <w:color w:val="231F20"/>
          <w:spacing w:val="-25"/>
          <w:w w:val="115"/>
          <w:sz w:val="18"/>
        </w:rPr>
        <w:t xml:space="preserve"> </w:t>
      </w:r>
      <w:r>
        <w:rPr>
          <w:rFonts w:ascii="Arial"/>
          <w:color w:val="231F20"/>
          <w:w w:val="115"/>
          <w:sz w:val="18"/>
        </w:rPr>
        <w:t>10</w:t>
      </w:r>
      <w:r>
        <w:rPr>
          <w:rFonts w:ascii="Gill Sans MT"/>
          <w:color w:val="231F20"/>
          <w:w w:val="115"/>
          <w:sz w:val="18"/>
        </w:rPr>
        <w:t>,</w:t>
      </w:r>
      <w:r>
        <w:rPr>
          <w:rFonts w:ascii="Arial"/>
          <w:color w:val="231F20"/>
          <w:w w:val="115"/>
          <w:sz w:val="18"/>
        </w:rPr>
        <w:t>000</w:t>
      </w:r>
      <w:r>
        <w:rPr>
          <w:rFonts w:ascii="Gill Sans MT"/>
          <w:color w:val="231F20"/>
          <w:w w:val="115"/>
          <w:sz w:val="18"/>
        </w:rPr>
        <w:t>.</w:t>
      </w:r>
      <w:r>
        <w:rPr>
          <w:rFonts w:ascii="Gill Sans MT"/>
          <w:color w:val="231F20"/>
          <w:spacing w:val="-25"/>
          <w:w w:val="115"/>
          <w:sz w:val="18"/>
        </w:rPr>
        <w:t xml:space="preserve"> </w:t>
      </w:r>
      <w:r>
        <w:rPr>
          <w:rFonts w:ascii="Gill Sans MT"/>
          <w:color w:val="231F20"/>
          <w:w w:val="115"/>
          <w:sz w:val="18"/>
        </w:rPr>
        <w:t>As</w:t>
      </w:r>
      <w:r>
        <w:rPr>
          <w:rFonts w:ascii="Gill Sans MT"/>
          <w:color w:val="231F20"/>
          <w:spacing w:val="-25"/>
          <w:w w:val="115"/>
          <w:sz w:val="18"/>
        </w:rPr>
        <w:t xml:space="preserve"> </w:t>
      </w:r>
      <w:r>
        <w:rPr>
          <w:rFonts w:ascii="Gill Sans MT"/>
          <w:color w:val="231F20"/>
          <w:w w:val="115"/>
          <w:sz w:val="18"/>
        </w:rPr>
        <w:t>a result</w:t>
      </w:r>
      <w:r>
        <w:rPr>
          <w:rFonts w:ascii="Gill Sans MT"/>
          <w:color w:val="231F20"/>
          <w:spacing w:val="-20"/>
          <w:w w:val="115"/>
          <w:sz w:val="18"/>
        </w:rPr>
        <w:t xml:space="preserve"> </w:t>
      </w:r>
      <w:r>
        <w:rPr>
          <w:rFonts w:ascii="Gill Sans MT"/>
          <w:color w:val="231F20"/>
          <w:w w:val="115"/>
          <w:sz w:val="18"/>
        </w:rPr>
        <w:t>of</w:t>
      </w:r>
      <w:r>
        <w:rPr>
          <w:rFonts w:ascii="Gill Sans MT"/>
          <w:color w:val="231F20"/>
          <w:spacing w:val="-20"/>
          <w:w w:val="115"/>
          <w:sz w:val="18"/>
        </w:rPr>
        <w:t xml:space="preserve"> </w:t>
      </w:r>
      <w:r>
        <w:rPr>
          <w:rFonts w:ascii="Gill Sans MT"/>
          <w:color w:val="231F20"/>
          <w:w w:val="115"/>
          <w:sz w:val="18"/>
        </w:rPr>
        <w:t>this</w:t>
      </w:r>
      <w:r>
        <w:rPr>
          <w:rFonts w:ascii="Gill Sans MT"/>
          <w:color w:val="231F20"/>
          <w:spacing w:val="-20"/>
          <w:w w:val="115"/>
          <w:sz w:val="18"/>
        </w:rPr>
        <w:t xml:space="preserve"> </w:t>
      </w:r>
      <w:r>
        <w:rPr>
          <w:rFonts w:ascii="Gill Sans MT"/>
          <w:color w:val="231F20"/>
          <w:w w:val="115"/>
          <w:sz w:val="18"/>
        </w:rPr>
        <w:t>defeat,</w:t>
      </w:r>
      <w:r>
        <w:rPr>
          <w:rFonts w:ascii="Gill Sans MT"/>
          <w:color w:val="231F20"/>
          <w:spacing w:val="-20"/>
          <w:w w:val="115"/>
          <w:sz w:val="18"/>
        </w:rPr>
        <w:t xml:space="preserve"> </w:t>
      </w:r>
      <w:r>
        <w:rPr>
          <w:rFonts w:ascii="Gill Sans MT"/>
          <w:color w:val="231F20"/>
          <w:w w:val="115"/>
          <w:sz w:val="18"/>
        </w:rPr>
        <w:t>the</w:t>
      </w:r>
      <w:r>
        <w:rPr>
          <w:rFonts w:ascii="Gill Sans MT"/>
          <w:color w:val="231F20"/>
          <w:spacing w:val="-20"/>
          <w:w w:val="115"/>
          <w:sz w:val="18"/>
        </w:rPr>
        <w:t xml:space="preserve"> </w:t>
      </w:r>
      <w:r>
        <w:rPr>
          <w:rFonts w:ascii="Gill Sans MT"/>
          <w:color w:val="231F20"/>
          <w:w w:val="115"/>
          <w:sz w:val="18"/>
        </w:rPr>
        <w:t>PFLP</w:t>
      </w:r>
      <w:r>
        <w:rPr>
          <w:rFonts w:ascii="Gill Sans MT"/>
          <w:color w:val="231F20"/>
          <w:spacing w:val="-35"/>
          <w:w w:val="115"/>
          <w:sz w:val="18"/>
        </w:rPr>
        <w:t xml:space="preserve"> </w:t>
      </w:r>
      <w:r>
        <w:rPr>
          <w:rFonts w:ascii="Gill Sans MT"/>
          <w:color w:val="231F20"/>
          <w:w w:val="115"/>
          <w:sz w:val="18"/>
        </w:rPr>
        <w:t>(EO) will</w:t>
      </w:r>
      <w:r>
        <w:rPr>
          <w:rFonts w:ascii="Gill Sans MT"/>
          <w:color w:val="231F20"/>
          <w:spacing w:val="-13"/>
          <w:w w:val="115"/>
          <w:sz w:val="18"/>
        </w:rPr>
        <w:t xml:space="preserve"> </w:t>
      </w:r>
      <w:r>
        <w:rPr>
          <w:rFonts w:ascii="Gill Sans MT"/>
          <w:color w:val="231F20"/>
          <w:w w:val="115"/>
          <w:sz w:val="18"/>
        </w:rPr>
        <w:t>eventually</w:t>
      </w:r>
      <w:r>
        <w:rPr>
          <w:rFonts w:ascii="Gill Sans MT"/>
          <w:color w:val="231F20"/>
          <w:spacing w:val="-13"/>
          <w:w w:val="115"/>
          <w:sz w:val="18"/>
        </w:rPr>
        <w:t xml:space="preserve"> </w:t>
      </w:r>
      <w:r>
        <w:rPr>
          <w:rFonts w:ascii="Gill Sans MT"/>
          <w:color w:val="231F20"/>
          <w:w w:val="115"/>
          <w:sz w:val="18"/>
        </w:rPr>
        <w:t>be</w:t>
      </w:r>
      <w:r>
        <w:rPr>
          <w:rFonts w:ascii="Gill Sans MT"/>
          <w:color w:val="231F20"/>
          <w:spacing w:val="-13"/>
          <w:w w:val="115"/>
          <w:sz w:val="18"/>
        </w:rPr>
        <w:t xml:space="preserve"> </w:t>
      </w:r>
      <w:r>
        <w:rPr>
          <w:rFonts w:ascii="Gill Sans MT"/>
          <w:color w:val="231F20"/>
          <w:w w:val="115"/>
          <w:sz w:val="18"/>
        </w:rPr>
        <w:t>ejected</w:t>
      </w:r>
      <w:r>
        <w:rPr>
          <w:rFonts w:ascii="Gill Sans MT"/>
          <w:color w:val="231F20"/>
          <w:spacing w:val="-13"/>
          <w:w w:val="115"/>
          <w:sz w:val="18"/>
        </w:rPr>
        <w:t xml:space="preserve"> </w:t>
      </w:r>
      <w:r>
        <w:rPr>
          <w:rFonts w:ascii="Gill Sans MT"/>
          <w:color w:val="231F20"/>
          <w:w w:val="115"/>
          <w:sz w:val="18"/>
        </w:rPr>
        <w:t>from</w:t>
      </w:r>
    </w:p>
    <w:p w14:paraId="681F0527" w14:textId="77777777" w:rsidR="002653E8" w:rsidRDefault="003115E3">
      <w:pPr>
        <w:spacing w:line="207" w:lineRule="exact"/>
        <w:ind w:left="1327"/>
        <w:rPr>
          <w:rFonts w:ascii="Gill Sans MT"/>
          <w:sz w:val="18"/>
        </w:rPr>
      </w:pPr>
      <w:r>
        <w:rPr>
          <w:rFonts w:ascii="Gill Sans MT"/>
          <w:color w:val="231F20"/>
          <w:w w:val="115"/>
          <w:sz w:val="18"/>
        </w:rPr>
        <w:t>the PFLP.</w:t>
      </w:r>
    </w:p>
    <w:p w14:paraId="09158C3A" w14:textId="77777777" w:rsidR="002653E8" w:rsidRDefault="002653E8">
      <w:pPr>
        <w:pStyle w:val="a3"/>
        <w:spacing w:before="3"/>
        <w:rPr>
          <w:rFonts w:ascii="Gill Sans MT"/>
          <w:sz w:val="23"/>
        </w:rPr>
      </w:pPr>
    </w:p>
    <w:p w14:paraId="1AB1457E" w14:textId="77777777" w:rsidR="002653E8" w:rsidRDefault="003115E3">
      <w:pPr>
        <w:ind w:left="1327"/>
        <w:rPr>
          <w:rFonts w:ascii="Arial"/>
          <w:b/>
          <w:sz w:val="18"/>
        </w:rPr>
      </w:pPr>
      <w:r>
        <w:rPr>
          <w:rFonts w:ascii="Arial"/>
          <w:b/>
          <w:color w:val="231F20"/>
          <w:w w:val="115"/>
          <w:sz w:val="18"/>
        </w:rPr>
        <w:t>September 29, 1970</w:t>
      </w:r>
    </w:p>
    <w:p w14:paraId="1DC3C400" w14:textId="77777777" w:rsidR="002653E8" w:rsidRDefault="003115E3">
      <w:pPr>
        <w:spacing w:before="35" w:line="273" w:lineRule="auto"/>
        <w:ind w:left="1327" w:right="12"/>
        <w:rPr>
          <w:rFonts w:ascii="Gill Sans MT" w:hAnsi="Gill Sans MT"/>
          <w:sz w:val="18"/>
        </w:rPr>
      </w:pPr>
      <w:r>
        <w:rPr>
          <w:rFonts w:ascii="Gill Sans MT" w:hAnsi="Gill Sans MT"/>
          <w:color w:val="231F20"/>
          <w:w w:val="110"/>
          <w:sz w:val="18"/>
        </w:rPr>
        <w:t>Three simultaneous bank robberies, carried out in cooperation with the Blues</w:t>
      </w:r>
      <w:r>
        <w:rPr>
          <w:rFonts w:ascii="Lucida Sans" w:hAnsi="Lucida Sans"/>
          <w:i/>
          <w:color w:val="231F20"/>
          <w:w w:val="110"/>
          <w:sz w:val="18"/>
        </w:rPr>
        <w:t xml:space="preserve">, </w:t>
      </w:r>
      <w:r>
        <w:rPr>
          <w:rFonts w:ascii="Gill Sans MT" w:hAnsi="Gill Sans MT"/>
          <w:color w:val="231F20"/>
          <w:w w:val="110"/>
          <w:sz w:val="18"/>
        </w:rPr>
        <w:t xml:space="preserve">an amorphous organization including members of the Tupamaros-West Berlin and the Roaming Hash Rebels, mark the </w:t>
      </w:r>
      <w:r w:rsidR="00C507A5">
        <w:rPr>
          <w:rFonts w:ascii="Gill Sans MT" w:hAnsi="Gill Sans MT"/>
          <w:color w:val="231F20"/>
          <w:w w:val="110"/>
          <w:sz w:val="18"/>
        </w:rPr>
        <w:t>red army faction</w:t>
      </w:r>
      <w:r>
        <w:rPr>
          <w:rFonts w:ascii="Gill Sans MT" w:hAnsi="Gill Sans MT"/>
          <w:color w:val="231F20"/>
          <w:w w:val="110"/>
          <w:sz w:val="18"/>
        </w:rPr>
        <w:t xml:space="preserve">’s first action. The robberies net </w:t>
      </w:r>
      <w:r>
        <w:rPr>
          <w:rFonts w:ascii="Arial" w:hAnsi="Arial"/>
          <w:color w:val="231F20"/>
          <w:w w:val="110"/>
          <w:sz w:val="18"/>
        </w:rPr>
        <w:t>220</w:t>
      </w:r>
      <w:r>
        <w:rPr>
          <w:rFonts w:ascii="Gill Sans MT" w:hAnsi="Gill Sans MT"/>
          <w:color w:val="231F20"/>
          <w:w w:val="110"/>
          <w:sz w:val="18"/>
        </w:rPr>
        <w:t>,</w:t>
      </w:r>
      <w:r>
        <w:rPr>
          <w:rFonts w:ascii="Arial" w:hAnsi="Arial"/>
          <w:color w:val="231F20"/>
          <w:w w:val="110"/>
          <w:sz w:val="18"/>
        </w:rPr>
        <w:t xml:space="preserve">000 </w:t>
      </w:r>
      <w:r>
        <w:rPr>
          <w:rFonts w:ascii="Gill Sans MT" w:hAnsi="Gill Sans MT"/>
          <w:color w:val="231F20"/>
          <w:w w:val="110"/>
          <w:sz w:val="18"/>
        </w:rPr>
        <w:t>dM.</w:t>
      </w:r>
    </w:p>
    <w:p w14:paraId="7A42E394" w14:textId="77777777" w:rsidR="002653E8" w:rsidRDefault="002653E8">
      <w:pPr>
        <w:pStyle w:val="a3"/>
        <w:spacing w:before="2"/>
        <w:rPr>
          <w:rFonts w:ascii="Gill Sans MT"/>
          <w:sz w:val="21"/>
        </w:rPr>
      </w:pPr>
    </w:p>
    <w:p w14:paraId="73218BB7" w14:textId="77777777" w:rsidR="002653E8" w:rsidRDefault="003115E3">
      <w:pPr>
        <w:ind w:left="1327"/>
        <w:rPr>
          <w:rFonts w:ascii="Arial"/>
          <w:b/>
          <w:sz w:val="18"/>
        </w:rPr>
      </w:pPr>
      <w:r>
        <w:rPr>
          <w:rFonts w:ascii="Arial"/>
          <w:b/>
          <w:color w:val="231F20"/>
          <w:w w:val="115"/>
          <w:sz w:val="18"/>
        </w:rPr>
        <w:t>October 8, 1970</w:t>
      </w:r>
    </w:p>
    <w:p w14:paraId="68F9DB7F" w14:textId="77777777" w:rsidR="002653E8" w:rsidRDefault="003115E3">
      <w:pPr>
        <w:spacing w:before="35" w:line="276" w:lineRule="auto"/>
        <w:ind w:left="1327" w:right="272"/>
        <w:rPr>
          <w:rFonts w:ascii="Gill Sans MT"/>
          <w:sz w:val="18"/>
        </w:rPr>
      </w:pPr>
      <w:r>
        <w:rPr>
          <w:rFonts w:ascii="Gill Sans MT"/>
          <w:color w:val="231F20"/>
          <w:w w:val="110"/>
          <w:sz w:val="18"/>
        </w:rPr>
        <w:t>Acting on a tip-off, police raid two West Berlin apartments and</w:t>
      </w:r>
    </w:p>
    <w:p w14:paraId="54668641" w14:textId="77777777" w:rsidR="002653E8" w:rsidRDefault="003115E3">
      <w:pPr>
        <w:spacing w:line="276" w:lineRule="auto"/>
        <w:ind w:left="1327" w:right="-12" w:hanging="1"/>
        <w:rPr>
          <w:rFonts w:ascii="Gill Sans MT"/>
          <w:sz w:val="18"/>
        </w:rPr>
      </w:pPr>
      <w:r>
        <w:rPr>
          <w:rFonts w:ascii="Gill Sans MT"/>
          <w:color w:val="231F20"/>
          <w:w w:val="110"/>
          <w:sz w:val="18"/>
        </w:rPr>
        <w:t xml:space="preserve">arrest </w:t>
      </w:r>
      <w:r w:rsidR="00C507A5">
        <w:rPr>
          <w:rFonts w:ascii="Gill Sans MT"/>
          <w:color w:val="231F20"/>
          <w:w w:val="110"/>
          <w:sz w:val="18"/>
        </w:rPr>
        <w:t>red army faction</w:t>
      </w:r>
      <w:r>
        <w:rPr>
          <w:rFonts w:ascii="Gill Sans MT"/>
          <w:color w:val="231F20"/>
          <w:w w:val="110"/>
          <w:sz w:val="18"/>
        </w:rPr>
        <w:t xml:space="preserve"> members Horst </w:t>
      </w:r>
      <w:r>
        <w:rPr>
          <w:rFonts w:ascii="Gill Sans MT"/>
          <w:color w:val="231F20"/>
          <w:spacing w:val="-3"/>
          <w:w w:val="110"/>
          <w:sz w:val="18"/>
        </w:rPr>
        <w:t xml:space="preserve">Mahler, </w:t>
      </w:r>
      <w:r>
        <w:rPr>
          <w:rFonts w:ascii="Gill Sans MT"/>
          <w:color w:val="231F20"/>
          <w:w w:val="110"/>
          <w:sz w:val="18"/>
        </w:rPr>
        <w:t>Irene Goergens, Ingrid Schubert, Monika Berberich, and Brigitte Asdonk.</w:t>
      </w:r>
      <w:r>
        <w:rPr>
          <w:rFonts w:ascii="Gill Sans MT"/>
          <w:color w:val="231F20"/>
          <w:spacing w:val="-11"/>
          <w:w w:val="110"/>
          <w:sz w:val="18"/>
        </w:rPr>
        <w:t xml:space="preserve"> </w:t>
      </w:r>
      <w:r>
        <w:rPr>
          <w:rFonts w:ascii="Gill Sans MT"/>
          <w:color w:val="231F20"/>
          <w:w w:val="110"/>
          <w:sz w:val="18"/>
        </w:rPr>
        <w:t>These</w:t>
      </w:r>
      <w:r>
        <w:rPr>
          <w:rFonts w:ascii="Gill Sans MT"/>
          <w:color w:val="231F20"/>
          <w:spacing w:val="-11"/>
          <w:w w:val="110"/>
          <w:sz w:val="18"/>
        </w:rPr>
        <w:t xml:space="preserve"> </w:t>
      </w:r>
      <w:r>
        <w:rPr>
          <w:rFonts w:ascii="Gill Sans MT"/>
          <w:color w:val="231F20"/>
          <w:w w:val="110"/>
          <w:sz w:val="18"/>
        </w:rPr>
        <w:t>are</w:t>
      </w:r>
      <w:r>
        <w:rPr>
          <w:rFonts w:ascii="Gill Sans MT"/>
          <w:color w:val="231F20"/>
          <w:spacing w:val="-11"/>
          <w:w w:val="110"/>
          <w:sz w:val="18"/>
        </w:rPr>
        <w:t xml:space="preserve"> </w:t>
      </w:r>
      <w:r>
        <w:rPr>
          <w:rFonts w:ascii="Gill Sans MT"/>
          <w:color w:val="231F20"/>
          <w:w w:val="110"/>
          <w:sz w:val="18"/>
        </w:rPr>
        <w:t>the</w:t>
      </w:r>
      <w:r>
        <w:rPr>
          <w:rFonts w:ascii="Gill Sans MT"/>
          <w:color w:val="231F20"/>
          <w:spacing w:val="-11"/>
          <w:w w:val="110"/>
          <w:sz w:val="18"/>
        </w:rPr>
        <w:t xml:space="preserve"> </w:t>
      </w:r>
      <w:r>
        <w:rPr>
          <w:rFonts w:ascii="Gill Sans MT"/>
          <w:color w:val="231F20"/>
          <w:w w:val="110"/>
          <w:sz w:val="18"/>
        </w:rPr>
        <w:t>first</w:t>
      </w:r>
      <w:r>
        <w:rPr>
          <w:rFonts w:ascii="Gill Sans MT"/>
          <w:color w:val="231F20"/>
          <w:spacing w:val="-11"/>
          <w:w w:val="110"/>
          <w:sz w:val="18"/>
        </w:rPr>
        <w:t xml:space="preserve"> </w:t>
      </w:r>
      <w:r>
        <w:rPr>
          <w:rFonts w:ascii="Gill Sans MT"/>
          <w:color w:val="231F20"/>
          <w:w w:val="110"/>
          <w:sz w:val="18"/>
        </w:rPr>
        <w:t>arrests</w:t>
      </w:r>
      <w:r>
        <w:rPr>
          <w:rFonts w:ascii="Gill Sans MT"/>
          <w:color w:val="231F20"/>
          <w:spacing w:val="-11"/>
          <w:w w:val="110"/>
          <w:sz w:val="18"/>
        </w:rPr>
        <w:t xml:space="preserve"> </w:t>
      </w:r>
      <w:r>
        <w:rPr>
          <w:rFonts w:ascii="Gill Sans MT"/>
          <w:color w:val="231F20"/>
          <w:w w:val="110"/>
          <w:sz w:val="18"/>
        </w:rPr>
        <w:t xml:space="preserve">of </w:t>
      </w:r>
      <w:r w:rsidR="00C507A5">
        <w:rPr>
          <w:rFonts w:ascii="Gill Sans MT"/>
          <w:color w:val="231F20"/>
          <w:w w:val="110"/>
          <w:sz w:val="18"/>
        </w:rPr>
        <w:t>red army faction</w:t>
      </w:r>
      <w:r>
        <w:rPr>
          <w:rFonts w:ascii="Gill Sans MT"/>
          <w:color w:val="231F20"/>
          <w:spacing w:val="-5"/>
          <w:w w:val="110"/>
          <w:sz w:val="18"/>
        </w:rPr>
        <w:t xml:space="preserve"> </w:t>
      </w:r>
      <w:r>
        <w:rPr>
          <w:rFonts w:ascii="Gill Sans MT"/>
          <w:color w:val="231F20"/>
          <w:w w:val="110"/>
          <w:sz w:val="18"/>
        </w:rPr>
        <w:t>members.</w:t>
      </w:r>
    </w:p>
    <w:p w14:paraId="7C3953C3" w14:textId="77777777" w:rsidR="002653E8" w:rsidRDefault="002653E8">
      <w:pPr>
        <w:pStyle w:val="a3"/>
        <w:spacing w:before="6"/>
        <w:rPr>
          <w:rFonts w:ascii="Gill Sans MT"/>
        </w:rPr>
      </w:pPr>
    </w:p>
    <w:p w14:paraId="3E4F4C1D" w14:textId="77777777" w:rsidR="002653E8" w:rsidRDefault="003115E3">
      <w:pPr>
        <w:ind w:left="1327"/>
        <w:rPr>
          <w:rFonts w:ascii="Arial"/>
          <w:b/>
          <w:sz w:val="18"/>
        </w:rPr>
      </w:pPr>
      <w:r>
        <w:rPr>
          <w:rFonts w:ascii="Arial"/>
          <w:b/>
          <w:color w:val="231F20"/>
          <w:w w:val="115"/>
          <w:sz w:val="18"/>
        </w:rPr>
        <w:t>October 10, 1970</w:t>
      </w:r>
    </w:p>
    <w:p w14:paraId="0327BA26" w14:textId="77777777" w:rsidR="002653E8" w:rsidRDefault="003115E3">
      <w:pPr>
        <w:spacing w:before="35" w:line="276" w:lineRule="auto"/>
        <w:ind w:left="1327" w:right="33"/>
        <w:rPr>
          <w:rFonts w:ascii="Gill Sans MT" w:hAnsi="Gill Sans MT"/>
          <w:sz w:val="18"/>
        </w:rPr>
      </w:pPr>
      <w:r>
        <w:rPr>
          <w:rFonts w:ascii="Gill Sans MT" w:hAnsi="Gill Sans MT"/>
          <w:color w:val="231F20"/>
          <w:w w:val="110"/>
          <w:sz w:val="18"/>
        </w:rPr>
        <w:t>Hans-Jürgen Bäcker, suspected of being the snitch who gave away the location of the safehouses raided two days earlier, leaves the group. Shortly thereafter uli Scholze, Ilse “Tinny” Stachowiak, Beate Sturm, and Holger Meins join the group.</w:t>
      </w:r>
    </w:p>
    <w:p w14:paraId="261CED77" w14:textId="77777777" w:rsidR="002653E8" w:rsidRDefault="002653E8">
      <w:pPr>
        <w:pStyle w:val="a3"/>
        <w:spacing w:before="6"/>
        <w:rPr>
          <w:rFonts w:ascii="Gill Sans MT"/>
        </w:rPr>
      </w:pPr>
    </w:p>
    <w:p w14:paraId="3ECEC7C6" w14:textId="77777777" w:rsidR="002653E8" w:rsidRDefault="003115E3">
      <w:pPr>
        <w:ind w:left="1327"/>
        <w:rPr>
          <w:rFonts w:ascii="Arial"/>
          <w:b/>
          <w:sz w:val="18"/>
        </w:rPr>
      </w:pPr>
      <w:r>
        <w:rPr>
          <w:rFonts w:ascii="Arial"/>
          <w:b/>
          <w:color w:val="231F20"/>
          <w:w w:val="115"/>
          <w:sz w:val="18"/>
        </w:rPr>
        <w:t>November 16, 1970</w:t>
      </w:r>
    </w:p>
    <w:p w14:paraId="1DD2C3BC" w14:textId="77777777" w:rsidR="002653E8" w:rsidRDefault="003115E3">
      <w:pPr>
        <w:spacing w:before="34" w:line="276" w:lineRule="auto"/>
        <w:ind w:left="1327" w:right="18"/>
        <w:rPr>
          <w:rFonts w:ascii="Gill Sans MT"/>
          <w:sz w:val="18"/>
        </w:rPr>
      </w:pPr>
      <w:r>
        <w:rPr>
          <w:rFonts w:ascii="Gill Sans MT"/>
          <w:color w:val="231F20"/>
          <w:w w:val="110"/>
          <w:sz w:val="18"/>
        </w:rPr>
        <w:t>City Hall in Neustadt is broken into, thirty-one official stamps, fifteen passports, and eleven Id cards</w:t>
      </w:r>
    </w:p>
    <w:p w14:paraId="39ABBDBE" w14:textId="77777777" w:rsidR="002653E8" w:rsidRDefault="003115E3">
      <w:pPr>
        <w:ind w:left="1327"/>
        <w:rPr>
          <w:rFonts w:ascii="Gill Sans MT"/>
          <w:sz w:val="18"/>
        </w:rPr>
      </w:pPr>
      <w:r>
        <w:rPr>
          <w:rFonts w:ascii="Gill Sans MT"/>
          <w:color w:val="231F20"/>
          <w:w w:val="110"/>
          <w:sz w:val="18"/>
        </w:rPr>
        <w:t>are stolen.</w:t>
      </w:r>
    </w:p>
    <w:p w14:paraId="0C9AEF94" w14:textId="77777777" w:rsidR="002653E8" w:rsidRDefault="003115E3">
      <w:pPr>
        <w:spacing w:before="91"/>
        <w:ind w:left="206"/>
        <w:rPr>
          <w:rFonts w:ascii="Arial"/>
          <w:b/>
          <w:sz w:val="18"/>
        </w:rPr>
      </w:pPr>
      <w:r>
        <w:br w:type="column"/>
      </w:r>
      <w:r>
        <w:rPr>
          <w:rFonts w:ascii="Arial"/>
          <w:b/>
          <w:color w:val="231F20"/>
          <w:w w:val="115"/>
          <w:sz w:val="18"/>
        </w:rPr>
        <w:t>November 21, 1970</w:t>
      </w:r>
    </w:p>
    <w:p w14:paraId="2EE5B42B" w14:textId="77777777" w:rsidR="002653E8" w:rsidRDefault="003115E3">
      <w:pPr>
        <w:spacing w:before="34" w:line="273" w:lineRule="auto"/>
        <w:ind w:left="206" w:right="1423"/>
        <w:rPr>
          <w:rFonts w:ascii="Gill Sans MT"/>
          <w:sz w:val="18"/>
        </w:rPr>
      </w:pPr>
      <w:r>
        <w:rPr>
          <w:rFonts w:ascii="Gill Sans MT"/>
          <w:color w:val="231F20"/>
          <w:w w:val="110"/>
          <w:sz w:val="18"/>
        </w:rPr>
        <w:t xml:space="preserve">City Hall in Lang-Gons is broken into; </w:t>
      </w:r>
      <w:r>
        <w:rPr>
          <w:rFonts w:ascii="Arial"/>
          <w:color w:val="231F20"/>
          <w:w w:val="110"/>
          <w:sz w:val="18"/>
        </w:rPr>
        <w:t xml:space="preserve">166 </w:t>
      </w:r>
      <w:r>
        <w:rPr>
          <w:rFonts w:ascii="Gill Sans MT"/>
          <w:color w:val="231F20"/>
          <w:w w:val="110"/>
          <w:sz w:val="18"/>
        </w:rPr>
        <w:t xml:space="preserve">Id cards, a bottle of cognac, and more than </w:t>
      </w:r>
      <w:r>
        <w:rPr>
          <w:rFonts w:ascii="Arial"/>
          <w:color w:val="231F20"/>
          <w:w w:val="110"/>
          <w:sz w:val="18"/>
        </w:rPr>
        <w:t xml:space="preserve">430 </w:t>
      </w:r>
      <w:r>
        <w:rPr>
          <w:rFonts w:ascii="Gill Sans MT"/>
          <w:color w:val="231F20"/>
          <w:w w:val="110"/>
          <w:sz w:val="18"/>
        </w:rPr>
        <w:t>dM are stolen.</w:t>
      </w:r>
    </w:p>
    <w:p w14:paraId="3D3DA053" w14:textId="77777777" w:rsidR="002653E8" w:rsidRDefault="002653E8">
      <w:pPr>
        <w:pStyle w:val="a3"/>
        <w:rPr>
          <w:rFonts w:ascii="Gill Sans MT"/>
          <w:sz w:val="21"/>
        </w:rPr>
      </w:pPr>
    </w:p>
    <w:p w14:paraId="003C6DAB" w14:textId="77777777" w:rsidR="002653E8" w:rsidRDefault="003115E3">
      <w:pPr>
        <w:ind w:left="206"/>
        <w:rPr>
          <w:rFonts w:ascii="Arial"/>
          <w:b/>
          <w:sz w:val="18"/>
        </w:rPr>
      </w:pPr>
      <w:r>
        <w:rPr>
          <w:rFonts w:ascii="Arial"/>
          <w:b/>
          <w:color w:val="231F20"/>
          <w:w w:val="115"/>
          <w:sz w:val="18"/>
        </w:rPr>
        <w:t>December 4, 1970</w:t>
      </w:r>
    </w:p>
    <w:p w14:paraId="2947E09C" w14:textId="77777777" w:rsidR="002653E8" w:rsidRDefault="00C507A5">
      <w:pPr>
        <w:spacing w:before="35" w:line="276" w:lineRule="auto"/>
        <w:ind w:left="206" w:right="1327"/>
        <w:rPr>
          <w:rFonts w:ascii="Gill Sans MT"/>
          <w:sz w:val="18"/>
        </w:rPr>
      </w:pPr>
      <w:r>
        <w:rPr>
          <w:rFonts w:ascii="Gill Sans MT"/>
          <w:color w:val="231F20"/>
          <w:w w:val="110"/>
          <w:sz w:val="18"/>
        </w:rPr>
        <w:t>red army faction</w:t>
      </w:r>
      <w:r w:rsidR="003115E3">
        <w:rPr>
          <w:rFonts w:ascii="Gill Sans MT"/>
          <w:color w:val="231F20"/>
          <w:w w:val="110"/>
          <w:sz w:val="18"/>
        </w:rPr>
        <w:t xml:space="preserve"> associate Eric Grustadt is arrested.</w:t>
      </w:r>
    </w:p>
    <w:p w14:paraId="45808FF3" w14:textId="77777777" w:rsidR="002653E8" w:rsidRDefault="002653E8">
      <w:pPr>
        <w:pStyle w:val="a3"/>
        <w:spacing w:before="6"/>
        <w:rPr>
          <w:rFonts w:ascii="Gill Sans MT"/>
        </w:rPr>
      </w:pPr>
    </w:p>
    <w:p w14:paraId="701F25E1" w14:textId="77777777" w:rsidR="002653E8" w:rsidRDefault="003115E3">
      <w:pPr>
        <w:ind w:left="206"/>
        <w:rPr>
          <w:rFonts w:ascii="Arial"/>
          <w:b/>
          <w:sz w:val="18"/>
        </w:rPr>
      </w:pPr>
      <w:r>
        <w:rPr>
          <w:rFonts w:ascii="Arial"/>
          <w:b/>
          <w:color w:val="231F20"/>
          <w:w w:val="115"/>
          <w:sz w:val="18"/>
        </w:rPr>
        <w:t>December 20, 1970</w:t>
      </w:r>
    </w:p>
    <w:p w14:paraId="75FD2950" w14:textId="77777777" w:rsidR="002653E8" w:rsidRDefault="00C507A5">
      <w:pPr>
        <w:spacing w:before="35" w:line="276" w:lineRule="auto"/>
        <w:ind w:left="206" w:right="1234"/>
        <w:rPr>
          <w:rFonts w:ascii="Gill Sans MT"/>
          <w:sz w:val="18"/>
        </w:rPr>
      </w:pPr>
      <w:r>
        <w:rPr>
          <w:rFonts w:ascii="Gill Sans MT"/>
          <w:color w:val="231F20"/>
          <w:w w:val="115"/>
          <w:sz w:val="18"/>
        </w:rPr>
        <w:t>red army faction</w:t>
      </w:r>
      <w:r w:rsidR="003115E3">
        <w:rPr>
          <w:rFonts w:ascii="Gill Sans MT"/>
          <w:color w:val="231F20"/>
          <w:spacing w:val="-30"/>
          <w:w w:val="115"/>
          <w:sz w:val="18"/>
        </w:rPr>
        <w:t xml:space="preserve"> </w:t>
      </w:r>
      <w:r w:rsidR="003115E3">
        <w:rPr>
          <w:rFonts w:ascii="Gill Sans MT"/>
          <w:color w:val="231F20"/>
          <w:w w:val="115"/>
          <w:sz w:val="18"/>
        </w:rPr>
        <w:t>associate</w:t>
      </w:r>
      <w:r w:rsidR="003115E3">
        <w:rPr>
          <w:rFonts w:ascii="Gill Sans MT"/>
          <w:color w:val="231F20"/>
          <w:spacing w:val="-30"/>
          <w:w w:val="115"/>
          <w:sz w:val="18"/>
        </w:rPr>
        <w:t xml:space="preserve"> </w:t>
      </w:r>
      <w:r w:rsidR="003115E3">
        <w:rPr>
          <w:rFonts w:ascii="Gill Sans MT"/>
          <w:color w:val="231F20"/>
          <w:w w:val="115"/>
          <w:sz w:val="18"/>
        </w:rPr>
        <w:t>Karl-Heinz</w:t>
      </w:r>
      <w:r w:rsidR="003115E3">
        <w:rPr>
          <w:rFonts w:ascii="Gill Sans MT"/>
          <w:color w:val="231F20"/>
          <w:spacing w:val="-30"/>
          <w:w w:val="115"/>
          <w:sz w:val="18"/>
        </w:rPr>
        <w:t xml:space="preserve"> </w:t>
      </w:r>
      <w:r w:rsidR="003115E3">
        <w:rPr>
          <w:rFonts w:ascii="Gill Sans MT"/>
          <w:color w:val="231F20"/>
          <w:w w:val="115"/>
          <w:sz w:val="18"/>
        </w:rPr>
        <w:t>Ruhland is</w:t>
      </w:r>
      <w:r w:rsidR="003115E3">
        <w:rPr>
          <w:rFonts w:ascii="Gill Sans MT"/>
          <w:color w:val="231F20"/>
          <w:spacing w:val="-24"/>
          <w:w w:val="115"/>
          <w:sz w:val="18"/>
        </w:rPr>
        <w:t xml:space="preserve"> </w:t>
      </w:r>
      <w:r w:rsidR="003115E3">
        <w:rPr>
          <w:rFonts w:ascii="Gill Sans MT"/>
          <w:color w:val="231F20"/>
          <w:w w:val="115"/>
          <w:sz w:val="18"/>
        </w:rPr>
        <w:t>arrested.</w:t>
      </w:r>
      <w:r w:rsidR="003115E3">
        <w:rPr>
          <w:rFonts w:ascii="Gill Sans MT"/>
          <w:color w:val="231F20"/>
          <w:spacing w:val="-24"/>
          <w:w w:val="115"/>
          <w:sz w:val="18"/>
        </w:rPr>
        <w:t xml:space="preserve"> </w:t>
      </w:r>
      <w:r w:rsidR="003115E3">
        <w:rPr>
          <w:rFonts w:ascii="Gill Sans MT"/>
          <w:color w:val="231F20"/>
          <w:w w:val="115"/>
          <w:sz w:val="18"/>
        </w:rPr>
        <w:t>He</w:t>
      </w:r>
      <w:r w:rsidR="003115E3">
        <w:rPr>
          <w:rFonts w:ascii="Gill Sans MT"/>
          <w:color w:val="231F20"/>
          <w:spacing w:val="-24"/>
          <w:w w:val="115"/>
          <w:sz w:val="18"/>
        </w:rPr>
        <w:t xml:space="preserve"> </w:t>
      </w:r>
      <w:r w:rsidR="003115E3">
        <w:rPr>
          <w:rFonts w:ascii="Gill Sans MT"/>
          <w:color w:val="231F20"/>
          <w:w w:val="115"/>
          <w:sz w:val="18"/>
        </w:rPr>
        <w:t>begins</w:t>
      </w:r>
      <w:r w:rsidR="003115E3">
        <w:rPr>
          <w:rFonts w:ascii="Gill Sans MT"/>
          <w:color w:val="231F20"/>
          <w:spacing w:val="-24"/>
          <w:w w:val="115"/>
          <w:sz w:val="18"/>
        </w:rPr>
        <w:t xml:space="preserve"> </w:t>
      </w:r>
      <w:r w:rsidR="003115E3">
        <w:rPr>
          <w:rFonts w:ascii="Gill Sans MT"/>
          <w:color w:val="231F20"/>
          <w:w w:val="115"/>
          <w:sz w:val="18"/>
        </w:rPr>
        <w:t>to</w:t>
      </w:r>
      <w:r w:rsidR="003115E3">
        <w:rPr>
          <w:rFonts w:ascii="Gill Sans MT"/>
          <w:color w:val="231F20"/>
          <w:spacing w:val="-24"/>
          <w:w w:val="115"/>
          <w:sz w:val="18"/>
        </w:rPr>
        <w:t xml:space="preserve"> </w:t>
      </w:r>
      <w:r w:rsidR="003115E3">
        <w:rPr>
          <w:rFonts w:ascii="Gill Sans MT"/>
          <w:color w:val="231F20"/>
          <w:w w:val="115"/>
          <w:sz w:val="18"/>
        </w:rPr>
        <w:t>cooperate immediately. Although he only knows</w:t>
      </w:r>
      <w:r w:rsidR="003115E3">
        <w:rPr>
          <w:rFonts w:ascii="Gill Sans MT"/>
          <w:color w:val="231F20"/>
          <w:spacing w:val="-29"/>
          <w:w w:val="115"/>
          <w:sz w:val="18"/>
        </w:rPr>
        <w:t xml:space="preserve"> </w:t>
      </w:r>
      <w:r>
        <w:rPr>
          <w:rFonts w:ascii="Gill Sans MT"/>
          <w:color w:val="231F20"/>
          <w:w w:val="115"/>
          <w:sz w:val="18"/>
        </w:rPr>
        <w:t>red army faction</w:t>
      </w:r>
      <w:r w:rsidR="003115E3">
        <w:rPr>
          <w:rFonts w:ascii="Gill Sans MT"/>
          <w:color w:val="231F20"/>
          <w:spacing w:val="-29"/>
          <w:w w:val="115"/>
          <w:sz w:val="18"/>
        </w:rPr>
        <w:t xml:space="preserve"> </w:t>
      </w:r>
      <w:r w:rsidR="003115E3">
        <w:rPr>
          <w:rFonts w:ascii="Gill Sans MT"/>
          <w:color w:val="231F20"/>
          <w:w w:val="115"/>
          <w:sz w:val="18"/>
        </w:rPr>
        <w:t>members</w:t>
      </w:r>
      <w:r w:rsidR="003115E3">
        <w:rPr>
          <w:rFonts w:ascii="Gill Sans MT"/>
          <w:color w:val="231F20"/>
          <w:spacing w:val="-29"/>
          <w:w w:val="115"/>
          <w:sz w:val="18"/>
        </w:rPr>
        <w:t xml:space="preserve"> </w:t>
      </w:r>
      <w:r w:rsidR="003115E3">
        <w:rPr>
          <w:rFonts w:ascii="Gill Sans MT"/>
          <w:color w:val="231F20"/>
          <w:w w:val="115"/>
          <w:sz w:val="18"/>
        </w:rPr>
        <w:t>by</w:t>
      </w:r>
      <w:r w:rsidR="003115E3">
        <w:rPr>
          <w:rFonts w:ascii="Gill Sans MT"/>
          <w:color w:val="231F20"/>
          <w:spacing w:val="-29"/>
          <w:w w:val="115"/>
          <w:sz w:val="18"/>
        </w:rPr>
        <w:t xml:space="preserve"> </w:t>
      </w:r>
      <w:r w:rsidR="003115E3">
        <w:rPr>
          <w:rFonts w:ascii="Gill Sans MT"/>
          <w:color w:val="231F20"/>
          <w:w w:val="115"/>
          <w:sz w:val="18"/>
        </w:rPr>
        <w:t>their</w:t>
      </w:r>
      <w:r w:rsidR="003115E3">
        <w:rPr>
          <w:rFonts w:ascii="Gill Sans MT"/>
          <w:color w:val="231F20"/>
          <w:spacing w:val="-29"/>
          <w:w w:val="115"/>
          <w:sz w:val="18"/>
        </w:rPr>
        <w:t xml:space="preserve"> </w:t>
      </w:r>
      <w:r w:rsidR="003115E3">
        <w:rPr>
          <w:rFonts w:ascii="Gill Sans MT"/>
          <w:color w:val="231F20"/>
          <w:w w:val="115"/>
          <w:sz w:val="18"/>
        </w:rPr>
        <w:t>code</w:t>
      </w:r>
    </w:p>
    <w:p w14:paraId="0C26D694" w14:textId="77777777" w:rsidR="002653E8" w:rsidRDefault="003115E3">
      <w:pPr>
        <w:spacing w:line="276" w:lineRule="auto"/>
        <w:ind w:left="206" w:right="1132"/>
        <w:rPr>
          <w:rFonts w:ascii="Gill Sans MT"/>
          <w:sz w:val="18"/>
        </w:rPr>
      </w:pPr>
      <w:r>
        <w:rPr>
          <w:rFonts w:ascii="Gill Sans MT"/>
          <w:color w:val="231F20"/>
          <w:w w:val="115"/>
          <w:sz w:val="18"/>
        </w:rPr>
        <w:t>names,</w:t>
      </w:r>
      <w:r>
        <w:rPr>
          <w:rFonts w:ascii="Gill Sans MT"/>
          <w:color w:val="231F20"/>
          <w:spacing w:val="-20"/>
          <w:w w:val="115"/>
          <w:sz w:val="18"/>
        </w:rPr>
        <w:t xml:space="preserve"> </w:t>
      </w:r>
      <w:r>
        <w:rPr>
          <w:rFonts w:ascii="Gill Sans MT"/>
          <w:color w:val="231F20"/>
          <w:w w:val="115"/>
          <w:sz w:val="18"/>
        </w:rPr>
        <w:t>he</w:t>
      </w:r>
      <w:r>
        <w:rPr>
          <w:rFonts w:ascii="Gill Sans MT"/>
          <w:color w:val="231F20"/>
          <w:spacing w:val="-20"/>
          <w:w w:val="115"/>
          <w:sz w:val="18"/>
        </w:rPr>
        <w:t xml:space="preserve"> </w:t>
      </w:r>
      <w:r>
        <w:rPr>
          <w:rFonts w:ascii="Gill Sans MT"/>
          <w:color w:val="231F20"/>
          <w:w w:val="115"/>
          <w:sz w:val="18"/>
        </w:rPr>
        <w:t>will</w:t>
      </w:r>
      <w:r>
        <w:rPr>
          <w:rFonts w:ascii="Gill Sans MT"/>
          <w:color w:val="231F20"/>
          <w:spacing w:val="-20"/>
          <w:w w:val="115"/>
          <w:sz w:val="18"/>
        </w:rPr>
        <w:t xml:space="preserve"> </w:t>
      </w:r>
      <w:r>
        <w:rPr>
          <w:rFonts w:ascii="Gill Sans MT"/>
          <w:color w:val="231F20"/>
          <w:w w:val="115"/>
          <w:sz w:val="18"/>
        </w:rPr>
        <w:t>become</w:t>
      </w:r>
      <w:r>
        <w:rPr>
          <w:rFonts w:ascii="Gill Sans MT"/>
          <w:color w:val="231F20"/>
          <w:spacing w:val="-20"/>
          <w:w w:val="115"/>
          <w:sz w:val="18"/>
        </w:rPr>
        <w:t xml:space="preserve"> </w:t>
      </w:r>
      <w:r>
        <w:rPr>
          <w:rFonts w:ascii="Gill Sans MT"/>
          <w:color w:val="231F20"/>
          <w:w w:val="115"/>
          <w:sz w:val="18"/>
        </w:rPr>
        <w:t>a</w:t>
      </w:r>
      <w:r>
        <w:rPr>
          <w:rFonts w:ascii="Gill Sans MT"/>
          <w:color w:val="231F20"/>
          <w:spacing w:val="-20"/>
          <w:w w:val="115"/>
          <w:sz w:val="18"/>
        </w:rPr>
        <w:t xml:space="preserve"> </w:t>
      </w:r>
      <w:r>
        <w:rPr>
          <w:rFonts w:ascii="Gill Sans MT"/>
          <w:color w:val="231F20"/>
          <w:w w:val="115"/>
          <w:sz w:val="18"/>
        </w:rPr>
        <w:t>key</w:t>
      </w:r>
      <w:r>
        <w:rPr>
          <w:rFonts w:ascii="Gill Sans MT"/>
          <w:color w:val="231F20"/>
          <w:spacing w:val="-20"/>
          <w:w w:val="115"/>
          <w:sz w:val="18"/>
        </w:rPr>
        <w:t xml:space="preserve"> </w:t>
      </w:r>
      <w:r>
        <w:rPr>
          <w:rFonts w:ascii="Gill Sans MT"/>
          <w:color w:val="231F20"/>
          <w:w w:val="115"/>
          <w:sz w:val="18"/>
        </w:rPr>
        <w:t>witness</w:t>
      </w:r>
      <w:r>
        <w:rPr>
          <w:rFonts w:ascii="Gill Sans MT"/>
          <w:color w:val="231F20"/>
          <w:w w:val="109"/>
          <w:sz w:val="18"/>
        </w:rPr>
        <w:t xml:space="preserve"> </w:t>
      </w:r>
      <w:r>
        <w:rPr>
          <w:rFonts w:ascii="Gill Sans MT"/>
          <w:color w:val="231F20"/>
          <w:w w:val="115"/>
          <w:sz w:val="18"/>
        </w:rPr>
        <w:t>in</w:t>
      </w:r>
      <w:r>
        <w:rPr>
          <w:rFonts w:ascii="Gill Sans MT"/>
          <w:color w:val="231F20"/>
          <w:spacing w:val="-11"/>
          <w:w w:val="115"/>
          <w:sz w:val="18"/>
        </w:rPr>
        <w:t xml:space="preserve"> </w:t>
      </w:r>
      <w:r>
        <w:rPr>
          <w:rFonts w:ascii="Gill Sans MT"/>
          <w:color w:val="231F20"/>
          <w:w w:val="115"/>
          <w:sz w:val="18"/>
        </w:rPr>
        <w:t>a</w:t>
      </w:r>
      <w:r>
        <w:rPr>
          <w:rFonts w:ascii="Gill Sans MT"/>
          <w:color w:val="231F20"/>
          <w:spacing w:val="-11"/>
          <w:w w:val="115"/>
          <w:sz w:val="18"/>
        </w:rPr>
        <w:t xml:space="preserve"> </w:t>
      </w:r>
      <w:r>
        <w:rPr>
          <w:rFonts w:ascii="Gill Sans MT"/>
          <w:color w:val="231F20"/>
          <w:w w:val="115"/>
          <w:sz w:val="18"/>
        </w:rPr>
        <w:t>series</w:t>
      </w:r>
      <w:r>
        <w:rPr>
          <w:rFonts w:ascii="Gill Sans MT"/>
          <w:color w:val="231F20"/>
          <w:spacing w:val="-11"/>
          <w:w w:val="115"/>
          <w:sz w:val="18"/>
        </w:rPr>
        <w:t xml:space="preserve"> </w:t>
      </w:r>
      <w:r>
        <w:rPr>
          <w:rFonts w:ascii="Gill Sans MT"/>
          <w:color w:val="231F20"/>
          <w:w w:val="115"/>
          <w:sz w:val="18"/>
        </w:rPr>
        <w:t>of</w:t>
      </w:r>
      <w:r>
        <w:rPr>
          <w:rFonts w:ascii="Gill Sans MT"/>
          <w:color w:val="231F20"/>
          <w:spacing w:val="-11"/>
          <w:w w:val="115"/>
          <w:sz w:val="18"/>
        </w:rPr>
        <w:t xml:space="preserve"> </w:t>
      </w:r>
      <w:r w:rsidR="00C507A5">
        <w:rPr>
          <w:rFonts w:ascii="Gill Sans MT"/>
          <w:color w:val="231F20"/>
          <w:w w:val="115"/>
          <w:sz w:val="18"/>
        </w:rPr>
        <w:t>red army faction</w:t>
      </w:r>
      <w:r>
        <w:rPr>
          <w:rFonts w:ascii="Gill Sans MT"/>
          <w:color w:val="231F20"/>
          <w:spacing w:val="-11"/>
          <w:w w:val="115"/>
          <w:sz w:val="18"/>
        </w:rPr>
        <w:t xml:space="preserve"> </w:t>
      </w:r>
      <w:r>
        <w:rPr>
          <w:rFonts w:ascii="Gill Sans MT"/>
          <w:color w:val="231F20"/>
          <w:w w:val="115"/>
          <w:sz w:val="18"/>
        </w:rPr>
        <w:t>trials.</w:t>
      </w:r>
    </w:p>
    <w:p w14:paraId="4902B0A0" w14:textId="77777777" w:rsidR="002653E8" w:rsidRDefault="002653E8">
      <w:pPr>
        <w:pStyle w:val="a3"/>
        <w:spacing w:before="6"/>
        <w:rPr>
          <w:rFonts w:ascii="Gill Sans MT"/>
        </w:rPr>
      </w:pPr>
    </w:p>
    <w:p w14:paraId="073EC132" w14:textId="77777777" w:rsidR="002653E8" w:rsidRDefault="003115E3">
      <w:pPr>
        <w:ind w:left="206"/>
        <w:rPr>
          <w:rFonts w:ascii="Arial"/>
          <w:b/>
          <w:sz w:val="18"/>
        </w:rPr>
      </w:pPr>
      <w:r>
        <w:rPr>
          <w:rFonts w:ascii="Arial"/>
          <w:b/>
          <w:color w:val="231F20"/>
          <w:w w:val="115"/>
          <w:sz w:val="18"/>
        </w:rPr>
        <w:t>December 21, 1970</w:t>
      </w:r>
    </w:p>
    <w:p w14:paraId="0D865131" w14:textId="77777777" w:rsidR="002653E8" w:rsidRDefault="00C507A5">
      <w:pPr>
        <w:spacing w:before="35" w:line="276" w:lineRule="auto"/>
        <w:ind w:left="206" w:right="1094"/>
        <w:rPr>
          <w:rFonts w:ascii="Gill Sans MT"/>
          <w:sz w:val="18"/>
        </w:rPr>
      </w:pPr>
      <w:r>
        <w:rPr>
          <w:rFonts w:ascii="Gill Sans MT"/>
          <w:color w:val="231F20"/>
          <w:w w:val="110"/>
          <w:sz w:val="18"/>
        </w:rPr>
        <w:t>red army faction</w:t>
      </w:r>
      <w:r w:rsidR="003115E3">
        <w:rPr>
          <w:rFonts w:ascii="Gill Sans MT"/>
          <w:color w:val="231F20"/>
          <w:w w:val="110"/>
          <w:sz w:val="18"/>
        </w:rPr>
        <w:t xml:space="preserve"> members Ali Jansen and uli Scholze are arrested in Nuremberg shortly after stealing a car. Astrid Proll and ulrike Meinhof escape. Scholze is released the next day and leaves the </w:t>
      </w:r>
      <w:r>
        <w:rPr>
          <w:rFonts w:ascii="Gill Sans MT"/>
          <w:color w:val="231F20"/>
          <w:w w:val="110"/>
          <w:sz w:val="18"/>
        </w:rPr>
        <w:t>red army faction</w:t>
      </w:r>
      <w:r w:rsidR="003115E3">
        <w:rPr>
          <w:rFonts w:ascii="Gill Sans MT"/>
          <w:color w:val="231F20"/>
          <w:w w:val="110"/>
          <w:sz w:val="18"/>
        </w:rPr>
        <w:t>.</w:t>
      </w:r>
    </w:p>
    <w:p w14:paraId="74E576DA" w14:textId="77777777" w:rsidR="002653E8" w:rsidRDefault="002653E8">
      <w:pPr>
        <w:pStyle w:val="a3"/>
        <w:rPr>
          <w:rFonts w:ascii="Gill Sans MT"/>
        </w:rPr>
      </w:pPr>
    </w:p>
    <w:p w14:paraId="220D6FED" w14:textId="77777777" w:rsidR="002653E8" w:rsidRDefault="002653E8">
      <w:pPr>
        <w:pStyle w:val="a3"/>
        <w:rPr>
          <w:rFonts w:ascii="Gill Sans MT"/>
        </w:rPr>
      </w:pPr>
    </w:p>
    <w:p w14:paraId="788B8BC5" w14:textId="77777777" w:rsidR="002653E8" w:rsidRDefault="003115E3">
      <w:pPr>
        <w:pStyle w:val="5"/>
        <w:ind w:left="206"/>
      </w:pPr>
      <w:r>
        <w:rPr>
          <w:color w:val="231F20"/>
          <w:w w:val="120"/>
        </w:rPr>
        <w:t>1971</w:t>
      </w:r>
    </w:p>
    <w:p w14:paraId="1C7DF902" w14:textId="77777777" w:rsidR="002653E8" w:rsidRDefault="003115E3">
      <w:pPr>
        <w:spacing w:before="12"/>
        <w:ind w:left="206"/>
        <w:rPr>
          <w:rFonts w:ascii="Arial"/>
          <w:b/>
          <w:sz w:val="18"/>
        </w:rPr>
      </w:pPr>
      <w:r>
        <w:rPr>
          <w:rFonts w:ascii="Arial"/>
          <w:b/>
          <w:color w:val="231F20"/>
          <w:w w:val="115"/>
          <w:sz w:val="18"/>
        </w:rPr>
        <w:t>January 15, 1971</w:t>
      </w:r>
    </w:p>
    <w:p w14:paraId="27C67FB2" w14:textId="77777777" w:rsidR="002653E8" w:rsidRDefault="003115E3">
      <w:pPr>
        <w:spacing w:before="34" w:line="276" w:lineRule="auto"/>
        <w:ind w:left="206" w:right="1199"/>
        <w:rPr>
          <w:rFonts w:ascii="Gill Sans MT"/>
          <w:sz w:val="18"/>
        </w:rPr>
      </w:pPr>
      <w:r>
        <w:rPr>
          <w:rFonts w:ascii="Gill Sans MT"/>
          <w:color w:val="231F20"/>
          <w:w w:val="110"/>
          <w:sz w:val="18"/>
        </w:rPr>
        <w:t xml:space="preserve">Two banks in Kassel are simultaneously robbed by the </w:t>
      </w:r>
      <w:r w:rsidR="00C507A5">
        <w:rPr>
          <w:rFonts w:ascii="Gill Sans MT"/>
          <w:color w:val="231F20"/>
          <w:w w:val="110"/>
          <w:sz w:val="18"/>
        </w:rPr>
        <w:t>red army faction</w:t>
      </w:r>
      <w:r>
        <w:rPr>
          <w:rFonts w:ascii="Gill Sans MT"/>
          <w:color w:val="231F20"/>
          <w:w w:val="110"/>
          <w:sz w:val="18"/>
        </w:rPr>
        <w:t xml:space="preserve">, netting an estimated </w:t>
      </w:r>
      <w:r>
        <w:rPr>
          <w:rFonts w:ascii="Arial"/>
          <w:color w:val="231F20"/>
          <w:w w:val="110"/>
          <w:sz w:val="18"/>
        </w:rPr>
        <w:t>114</w:t>
      </w:r>
      <w:r>
        <w:rPr>
          <w:rFonts w:ascii="Gill Sans MT"/>
          <w:color w:val="231F20"/>
          <w:w w:val="110"/>
          <w:sz w:val="18"/>
        </w:rPr>
        <w:t>,</w:t>
      </w:r>
      <w:r>
        <w:rPr>
          <w:rFonts w:ascii="Arial"/>
          <w:color w:val="231F20"/>
          <w:w w:val="110"/>
          <w:sz w:val="18"/>
        </w:rPr>
        <w:t xml:space="preserve">000 </w:t>
      </w:r>
      <w:r>
        <w:rPr>
          <w:rFonts w:ascii="Gill Sans MT"/>
          <w:color w:val="231F20"/>
          <w:w w:val="110"/>
          <w:sz w:val="18"/>
        </w:rPr>
        <w:t>dM.</w:t>
      </w:r>
    </w:p>
    <w:p w14:paraId="051D8B76" w14:textId="77777777" w:rsidR="002653E8" w:rsidRDefault="002653E8">
      <w:pPr>
        <w:pStyle w:val="a3"/>
        <w:spacing w:before="5"/>
        <w:rPr>
          <w:rFonts w:ascii="Gill Sans MT"/>
        </w:rPr>
      </w:pPr>
    </w:p>
    <w:p w14:paraId="597BDF65" w14:textId="77777777" w:rsidR="002653E8" w:rsidRDefault="003115E3">
      <w:pPr>
        <w:ind w:left="206"/>
        <w:rPr>
          <w:rFonts w:ascii="Arial"/>
          <w:b/>
          <w:sz w:val="18"/>
        </w:rPr>
      </w:pPr>
      <w:r>
        <w:rPr>
          <w:rFonts w:ascii="Arial"/>
          <w:b/>
          <w:color w:val="231F20"/>
          <w:w w:val="115"/>
          <w:sz w:val="18"/>
        </w:rPr>
        <w:t>January 28, 1971</w:t>
      </w:r>
    </w:p>
    <w:p w14:paraId="00360202" w14:textId="77777777" w:rsidR="002653E8" w:rsidRDefault="003115E3">
      <w:pPr>
        <w:spacing w:before="35" w:line="276" w:lineRule="auto"/>
        <w:ind w:left="206" w:right="1561" w:hanging="1"/>
        <w:rPr>
          <w:rFonts w:ascii="Gill Sans MT"/>
          <w:sz w:val="18"/>
        </w:rPr>
      </w:pPr>
      <w:r>
        <w:rPr>
          <w:rFonts w:ascii="Gill Sans MT"/>
          <w:color w:val="231F20"/>
          <w:w w:val="110"/>
          <w:sz w:val="18"/>
        </w:rPr>
        <w:t xml:space="preserve">Minister of the Interior, Hansdietrich Genscher, announces a major manhunt for the </w:t>
      </w:r>
      <w:r w:rsidR="00C507A5">
        <w:rPr>
          <w:rFonts w:ascii="Gill Sans MT"/>
          <w:color w:val="231F20"/>
          <w:w w:val="110"/>
          <w:sz w:val="18"/>
        </w:rPr>
        <w:t>red army faction</w:t>
      </w:r>
      <w:r>
        <w:rPr>
          <w:rFonts w:ascii="Gill Sans MT"/>
          <w:color w:val="231F20"/>
          <w:w w:val="110"/>
          <w:sz w:val="18"/>
        </w:rPr>
        <w:t>.</w:t>
      </w:r>
    </w:p>
    <w:p w14:paraId="32F7B1D0" w14:textId="77777777" w:rsidR="002653E8" w:rsidRDefault="002653E8">
      <w:pPr>
        <w:spacing w:line="276" w:lineRule="auto"/>
        <w:rPr>
          <w:rFonts w:ascii="Gill Sans MT"/>
          <w:sz w:val="18"/>
        </w:rPr>
        <w:sectPr w:rsidR="002653E8">
          <w:footerReference w:type="even" r:id="rId500"/>
          <w:pgSz w:w="8640" w:h="12960"/>
          <w:pgMar w:top="1060" w:right="0" w:bottom="280" w:left="0" w:header="0" w:footer="0" w:gutter="0"/>
          <w:cols w:num="2" w:space="720" w:equalWidth="0">
            <w:col w:w="4284" w:space="40"/>
            <w:col w:w="4316"/>
          </w:cols>
        </w:sectPr>
      </w:pPr>
    </w:p>
    <w:p w14:paraId="636D3D0C" w14:textId="77777777" w:rsidR="002653E8" w:rsidRDefault="002653E8">
      <w:pPr>
        <w:pStyle w:val="a3"/>
        <w:rPr>
          <w:rFonts w:ascii="Gill Sans MT"/>
        </w:rPr>
      </w:pPr>
    </w:p>
    <w:p w14:paraId="70CBDE55" w14:textId="77777777" w:rsidR="002653E8" w:rsidRDefault="002653E8">
      <w:pPr>
        <w:pStyle w:val="a3"/>
        <w:rPr>
          <w:rFonts w:ascii="Gill Sans MT"/>
        </w:rPr>
      </w:pPr>
    </w:p>
    <w:p w14:paraId="581D4F13" w14:textId="77777777" w:rsidR="002653E8" w:rsidRDefault="002653E8">
      <w:pPr>
        <w:pStyle w:val="a3"/>
        <w:rPr>
          <w:rFonts w:ascii="Gill Sans MT"/>
        </w:rPr>
      </w:pPr>
    </w:p>
    <w:p w14:paraId="776F70D4" w14:textId="77777777" w:rsidR="002653E8" w:rsidRDefault="002653E8">
      <w:pPr>
        <w:rPr>
          <w:rFonts w:ascii="Gill Sans MT"/>
        </w:rPr>
        <w:sectPr w:rsidR="002653E8">
          <w:type w:val="continuous"/>
          <w:pgSz w:w="8640" w:h="12960"/>
          <w:pgMar w:top="0" w:right="0" w:bottom="0" w:left="0" w:header="720" w:footer="720" w:gutter="0"/>
          <w:cols w:space="720"/>
        </w:sectPr>
      </w:pPr>
    </w:p>
    <w:p w14:paraId="0948688F" w14:textId="77777777" w:rsidR="002653E8" w:rsidRDefault="002653E8">
      <w:pPr>
        <w:pStyle w:val="a3"/>
        <w:rPr>
          <w:rFonts w:ascii="Gill Sans MT"/>
          <w:sz w:val="26"/>
        </w:rPr>
      </w:pPr>
    </w:p>
    <w:p w14:paraId="39DFED06" w14:textId="77777777" w:rsidR="002653E8" w:rsidRDefault="003115E3">
      <w:pPr>
        <w:ind w:left="1327"/>
        <w:rPr>
          <w:sz w:val="18"/>
        </w:rPr>
      </w:pPr>
      <w:r>
        <w:rPr>
          <w:color w:val="231F20"/>
          <w:w w:val="120"/>
          <w:sz w:val="18"/>
        </w:rPr>
        <w:t>a chronology</w:t>
      </w:r>
      <w:r>
        <w:rPr>
          <w:color w:val="231F20"/>
          <w:sz w:val="18"/>
        </w:rPr>
        <w:t xml:space="preserve"> </w:t>
      </w:r>
    </w:p>
    <w:p w14:paraId="5E94C60F" w14:textId="77777777" w:rsidR="002653E8" w:rsidRDefault="003115E3">
      <w:pPr>
        <w:spacing w:before="5"/>
        <w:ind w:left="1327"/>
        <w:rPr>
          <w:sz w:val="18"/>
        </w:rPr>
      </w:pPr>
      <w:r>
        <w:rPr>
          <w:color w:val="231F20"/>
          <w:spacing w:val="16"/>
          <w:w w:val="110"/>
          <w:sz w:val="18"/>
        </w:rPr>
        <w:t xml:space="preserve">january </w:t>
      </w:r>
      <w:r>
        <w:rPr>
          <w:color w:val="231F20"/>
          <w:spacing w:val="15"/>
          <w:w w:val="110"/>
          <w:sz w:val="18"/>
        </w:rPr>
        <w:t>28,</w:t>
      </w:r>
      <w:r>
        <w:rPr>
          <w:color w:val="231F20"/>
          <w:spacing w:val="66"/>
          <w:w w:val="110"/>
          <w:sz w:val="18"/>
        </w:rPr>
        <w:t xml:space="preserve"> </w:t>
      </w:r>
      <w:r>
        <w:rPr>
          <w:color w:val="231F20"/>
          <w:spacing w:val="17"/>
          <w:w w:val="110"/>
          <w:sz w:val="18"/>
        </w:rPr>
        <w:t>1971</w:t>
      </w:r>
      <w:r>
        <w:rPr>
          <w:color w:val="231F20"/>
          <w:spacing w:val="-15"/>
          <w:sz w:val="18"/>
        </w:rPr>
        <w:t xml:space="preserve"> </w:t>
      </w:r>
    </w:p>
    <w:p w14:paraId="0C7F2736" w14:textId="77777777" w:rsidR="002653E8" w:rsidRDefault="003115E3">
      <w:pPr>
        <w:pStyle w:val="a3"/>
        <w:spacing w:before="10"/>
        <w:rPr>
          <w:sz w:val="21"/>
        </w:rPr>
      </w:pPr>
      <w:r>
        <w:br w:type="column"/>
      </w:r>
    </w:p>
    <w:p w14:paraId="050FFC77" w14:textId="77777777" w:rsidR="002653E8" w:rsidRDefault="003115E3">
      <w:pPr>
        <w:ind w:left="1346" w:right="1141"/>
        <w:jc w:val="center"/>
        <w:rPr>
          <w:sz w:val="18"/>
        </w:rPr>
      </w:pPr>
      <w:r>
        <w:rPr>
          <w:color w:val="231F20"/>
          <w:sz w:val="18"/>
        </w:rPr>
        <w:t xml:space="preserve">585 </w:t>
      </w:r>
    </w:p>
    <w:p w14:paraId="51551D66" w14:textId="77777777" w:rsidR="002653E8" w:rsidRDefault="002653E8">
      <w:pPr>
        <w:jc w:val="center"/>
        <w:rPr>
          <w:sz w:val="18"/>
        </w:rPr>
        <w:sectPr w:rsidR="002653E8">
          <w:type w:val="continuous"/>
          <w:pgSz w:w="8640" w:h="12960"/>
          <w:pgMar w:top="0" w:right="0" w:bottom="0" w:left="0" w:header="720" w:footer="720" w:gutter="0"/>
          <w:cols w:num="2" w:space="720" w:equalWidth="0">
            <w:col w:w="3215" w:space="2599"/>
            <w:col w:w="2826"/>
          </w:cols>
        </w:sectPr>
      </w:pPr>
    </w:p>
    <w:p w14:paraId="4955A66C" w14:textId="77777777" w:rsidR="002653E8" w:rsidRDefault="003115E3">
      <w:pPr>
        <w:spacing w:before="77"/>
        <w:ind w:left="1147"/>
        <w:rPr>
          <w:rFonts w:ascii="Arial"/>
          <w:b/>
          <w:sz w:val="18"/>
        </w:rPr>
      </w:pPr>
      <w:r>
        <w:rPr>
          <w:rFonts w:ascii="Arial"/>
          <w:b/>
          <w:color w:val="231F20"/>
          <w:w w:val="115"/>
          <w:sz w:val="18"/>
        </w:rPr>
        <w:lastRenderedPageBreak/>
        <w:t>February 2, 1971</w:t>
      </w:r>
    </w:p>
    <w:p w14:paraId="75DE6B4D" w14:textId="77777777" w:rsidR="002653E8" w:rsidRDefault="003115E3">
      <w:pPr>
        <w:spacing w:before="35" w:line="276" w:lineRule="auto"/>
        <w:ind w:left="1147" w:right="168"/>
        <w:rPr>
          <w:rFonts w:ascii="Gill Sans MT" w:hAnsi="Gill Sans MT"/>
          <w:sz w:val="18"/>
        </w:rPr>
      </w:pPr>
      <w:r>
        <w:rPr>
          <w:rFonts w:ascii="Gill Sans MT" w:hAnsi="Gill Sans MT"/>
          <w:color w:val="231F20"/>
          <w:w w:val="115"/>
          <w:sz w:val="18"/>
        </w:rPr>
        <w:t xml:space="preserve">Hans-Jürgen </w:t>
      </w:r>
      <w:r>
        <w:rPr>
          <w:rFonts w:ascii="Gill Sans MT" w:hAnsi="Gill Sans MT"/>
          <w:color w:val="231F20"/>
          <w:spacing w:val="-3"/>
          <w:w w:val="115"/>
          <w:sz w:val="18"/>
        </w:rPr>
        <w:t xml:space="preserve">Bäcker, </w:t>
      </w:r>
      <w:r>
        <w:rPr>
          <w:rFonts w:ascii="Gill Sans MT" w:hAnsi="Gill Sans MT"/>
          <w:color w:val="231F20"/>
          <w:w w:val="115"/>
          <w:sz w:val="18"/>
        </w:rPr>
        <w:t>who had left the group after being accused</w:t>
      </w:r>
    </w:p>
    <w:p w14:paraId="70C762A7" w14:textId="77777777" w:rsidR="002653E8" w:rsidRDefault="003115E3">
      <w:pPr>
        <w:spacing w:line="276" w:lineRule="auto"/>
        <w:ind w:left="1147" w:right="328"/>
        <w:jc w:val="both"/>
        <w:rPr>
          <w:rFonts w:ascii="Gill Sans MT"/>
          <w:sz w:val="18"/>
        </w:rPr>
      </w:pPr>
      <w:r>
        <w:rPr>
          <w:rFonts w:ascii="Gill Sans MT"/>
          <w:color w:val="231F20"/>
          <w:w w:val="115"/>
          <w:sz w:val="18"/>
        </w:rPr>
        <w:t>of</w:t>
      </w:r>
      <w:r>
        <w:rPr>
          <w:rFonts w:ascii="Gill Sans MT"/>
          <w:color w:val="231F20"/>
          <w:spacing w:val="-13"/>
          <w:w w:val="115"/>
          <w:sz w:val="18"/>
        </w:rPr>
        <w:t xml:space="preserve"> </w:t>
      </w:r>
      <w:r>
        <w:rPr>
          <w:rFonts w:ascii="Gill Sans MT"/>
          <w:color w:val="231F20"/>
          <w:w w:val="115"/>
          <w:sz w:val="18"/>
        </w:rPr>
        <w:t>being</w:t>
      </w:r>
      <w:r>
        <w:rPr>
          <w:rFonts w:ascii="Gill Sans MT"/>
          <w:color w:val="231F20"/>
          <w:spacing w:val="-13"/>
          <w:w w:val="115"/>
          <w:sz w:val="18"/>
        </w:rPr>
        <w:t xml:space="preserve"> </w:t>
      </w:r>
      <w:r>
        <w:rPr>
          <w:rFonts w:ascii="Gill Sans MT"/>
          <w:color w:val="231F20"/>
          <w:w w:val="115"/>
          <w:sz w:val="18"/>
        </w:rPr>
        <w:t>a</w:t>
      </w:r>
      <w:r>
        <w:rPr>
          <w:rFonts w:ascii="Gill Sans MT"/>
          <w:color w:val="231F20"/>
          <w:spacing w:val="-13"/>
          <w:w w:val="115"/>
          <w:sz w:val="18"/>
        </w:rPr>
        <w:t xml:space="preserve"> </w:t>
      </w:r>
      <w:r>
        <w:rPr>
          <w:rFonts w:ascii="Gill Sans MT"/>
          <w:color w:val="231F20"/>
          <w:w w:val="115"/>
          <w:sz w:val="18"/>
        </w:rPr>
        <w:t>snitch,</w:t>
      </w:r>
      <w:r>
        <w:rPr>
          <w:rFonts w:ascii="Gill Sans MT"/>
          <w:color w:val="231F20"/>
          <w:spacing w:val="-13"/>
          <w:w w:val="115"/>
          <w:sz w:val="18"/>
        </w:rPr>
        <w:t xml:space="preserve"> </w:t>
      </w:r>
      <w:r>
        <w:rPr>
          <w:rFonts w:ascii="Gill Sans MT"/>
          <w:color w:val="231F20"/>
          <w:w w:val="115"/>
          <w:sz w:val="18"/>
        </w:rPr>
        <w:t>is</w:t>
      </w:r>
      <w:r>
        <w:rPr>
          <w:rFonts w:ascii="Gill Sans MT"/>
          <w:color w:val="231F20"/>
          <w:spacing w:val="-13"/>
          <w:w w:val="115"/>
          <w:sz w:val="18"/>
        </w:rPr>
        <w:t xml:space="preserve"> </w:t>
      </w:r>
      <w:r>
        <w:rPr>
          <w:rFonts w:ascii="Gill Sans MT"/>
          <w:color w:val="231F20"/>
          <w:w w:val="115"/>
          <w:sz w:val="18"/>
        </w:rPr>
        <w:t>arrested</w:t>
      </w:r>
      <w:r>
        <w:rPr>
          <w:rFonts w:ascii="Gill Sans MT"/>
          <w:color w:val="231F20"/>
          <w:spacing w:val="-13"/>
          <w:w w:val="115"/>
          <w:sz w:val="18"/>
        </w:rPr>
        <w:t xml:space="preserve"> </w:t>
      </w:r>
      <w:r>
        <w:rPr>
          <w:rFonts w:ascii="Gill Sans MT"/>
          <w:color w:val="231F20"/>
          <w:w w:val="115"/>
          <w:sz w:val="18"/>
        </w:rPr>
        <w:t>and charged</w:t>
      </w:r>
      <w:r>
        <w:rPr>
          <w:rFonts w:ascii="Gill Sans MT"/>
          <w:color w:val="231F20"/>
          <w:spacing w:val="-17"/>
          <w:w w:val="115"/>
          <w:sz w:val="18"/>
        </w:rPr>
        <w:t xml:space="preserve"> </w:t>
      </w:r>
      <w:r>
        <w:rPr>
          <w:rFonts w:ascii="Gill Sans MT"/>
          <w:color w:val="231F20"/>
          <w:w w:val="115"/>
          <w:sz w:val="18"/>
        </w:rPr>
        <w:t>with</w:t>
      </w:r>
      <w:r>
        <w:rPr>
          <w:rFonts w:ascii="Gill Sans MT"/>
          <w:color w:val="231F20"/>
          <w:spacing w:val="-17"/>
          <w:w w:val="115"/>
          <w:sz w:val="18"/>
        </w:rPr>
        <w:t xml:space="preserve"> </w:t>
      </w:r>
      <w:r>
        <w:rPr>
          <w:rFonts w:ascii="Gill Sans MT"/>
          <w:color w:val="231F20"/>
          <w:w w:val="115"/>
          <w:sz w:val="18"/>
        </w:rPr>
        <w:t>participating</w:t>
      </w:r>
      <w:r>
        <w:rPr>
          <w:rFonts w:ascii="Gill Sans MT"/>
          <w:color w:val="231F20"/>
          <w:spacing w:val="-17"/>
          <w:w w:val="115"/>
          <w:sz w:val="18"/>
        </w:rPr>
        <w:t xml:space="preserve"> </w:t>
      </w:r>
      <w:r>
        <w:rPr>
          <w:rFonts w:ascii="Gill Sans MT"/>
          <w:color w:val="231F20"/>
          <w:w w:val="115"/>
          <w:sz w:val="18"/>
        </w:rPr>
        <w:t>in</w:t>
      </w:r>
      <w:r>
        <w:rPr>
          <w:rFonts w:ascii="Gill Sans MT"/>
          <w:color w:val="231F20"/>
          <w:spacing w:val="-17"/>
          <w:w w:val="115"/>
          <w:sz w:val="18"/>
        </w:rPr>
        <w:t xml:space="preserve"> </w:t>
      </w:r>
      <w:r>
        <w:rPr>
          <w:rFonts w:ascii="Gill Sans MT"/>
          <w:color w:val="231F20"/>
          <w:w w:val="115"/>
          <w:sz w:val="18"/>
        </w:rPr>
        <w:t>the Baader</w:t>
      </w:r>
      <w:r>
        <w:rPr>
          <w:rFonts w:ascii="Gill Sans MT"/>
          <w:color w:val="231F20"/>
          <w:spacing w:val="-9"/>
          <w:w w:val="115"/>
          <w:sz w:val="18"/>
        </w:rPr>
        <w:t xml:space="preserve"> </w:t>
      </w:r>
      <w:r>
        <w:rPr>
          <w:rFonts w:ascii="Gill Sans MT"/>
          <w:color w:val="231F20"/>
          <w:w w:val="115"/>
          <w:sz w:val="18"/>
        </w:rPr>
        <w:t>jailbreak.</w:t>
      </w:r>
    </w:p>
    <w:p w14:paraId="2C20A046" w14:textId="77777777" w:rsidR="002653E8" w:rsidRDefault="002653E8">
      <w:pPr>
        <w:pStyle w:val="a3"/>
        <w:spacing w:before="5"/>
        <w:rPr>
          <w:rFonts w:ascii="Gill Sans MT"/>
        </w:rPr>
      </w:pPr>
    </w:p>
    <w:p w14:paraId="7AB15DCA" w14:textId="77777777" w:rsidR="002653E8" w:rsidRDefault="003115E3">
      <w:pPr>
        <w:spacing w:before="1"/>
        <w:ind w:left="1147"/>
        <w:rPr>
          <w:rFonts w:ascii="Arial"/>
          <w:b/>
          <w:sz w:val="18"/>
        </w:rPr>
      </w:pPr>
      <w:r>
        <w:rPr>
          <w:rFonts w:ascii="Arial"/>
          <w:b/>
          <w:color w:val="231F20"/>
          <w:w w:val="115"/>
          <w:sz w:val="18"/>
        </w:rPr>
        <w:t>February 10, 1971</w:t>
      </w:r>
    </w:p>
    <w:p w14:paraId="01680FB7" w14:textId="77777777" w:rsidR="002653E8" w:rsidRDefault="00C507A5">
      <w:pPr>
        <w:spacing w:before="34" w:line="276" w:lineRule="auto"/>
        <w:ind w:left="1147" w:right="418"/>
        <w:rPr>
          <w:rFonts w:ascii="Gill Sans MT"/>
          <w:sz w:val="18"/>
        </w:rPr>
      </w:pPr>
      <w:r>
        <w:rPr>
          <w:rFonts w:ascii="Gill Sans MT"/>
          <w:color w:val="231F20"/>
          <w:w w:val="110"/>
          <w:sz w:val="18"/>
        </w:rPr>
        <w:t>red army faction</w:t>
      </w:r>
      <w:r w:rsidR="003115E3">
        <w:rPr>
          <w:rFonts w:ascii="Gill Sans MT"/>
          <w:color w:val="231F20"/>
          <w:w w:val="110"/>
          <w:sz w:val="18"/>
        </w:rPr>
        <w:t xml:space="preserve"> members Astrid Proll and Manfred Grashof are shot at by police in Frankfurt, but escape.</w:t>
      </w:r>
    </w:p>
    <w:p w14:paraId="102F8061" w14:textId="77777777" w:rsidR="002653E8" w:rsidRDefault="003115E3">
      <w:pPr>
        <w:spacing w:line="273" w:lineRule="auto"/>
        <w:ind w:left="1147" w:right="11"/>
        <w:rPr>
          <w:rFonts w:ascii="Gill Sans MT" w:hAnsi="Gill Sans MT"/>
          <w:sz w:val="18"/>
        </w:rPr>
      </w:pPr>
      <w:r>
        <w:rPr>
          <w:rFonts w:ascii="Gill Sans MT" w:hAnsi="Gill Sans MT"/>
          <w:color w:val="231F20"/>
          <w:w w:val="115"/>
          <w:sz w:val="18"/>
        </w:rPr>
        <w:t>The</w:t>
      </w:r>
      <w:r>
        <w:rPr>
          <w:rFonts w:ascii="Gill Sans MT" w:hAnsi="Gill Sans MT"/>
          <w:color w:val="231F20"/>
          <w:spacing w:val="-30"/>
          <w:w w:val="115"/>
          <w:sz w:val="18"/>
        </w:rPr>
        <w:t xml:space="preserve"> </w:t>
      </w:r>
      <w:r>
        <w:rPr>
          <w:rFonts w:ascii="Gill Sans MT" w:hAnsi="Gill Sans MT"/>
          <w:color w:val="231F20"/>
          <w:w w:val="115"/>
          <w:sz w:val="18"/>
        </w:rPr>
        <w:t>Springer</w:t>
      </w:r>
      <w:r>
        <w:rPr>
          <w:rFonts w:ascii="Gill Sans MT" w:hAnsi="Gill Sans MT"/>
          <w:color w:val="231F20"/>
          <w:spacing w:val="-30"/>
          <w:w w:val="115"/>
          <w:sz w:val="18"/>
        </w:rPr>
        <w:t xml:space="preserve"> </w:t>
      </w:r>
      <w:r>
        <w:rPr>
          <w:rFonts w:ascii="Gill Sans MT" w:hAnsi="Gill Sans MT"/>
          <w:color w:val="231F20"/>
          <w:w w:val="115"/>
          <w:sz w:val="18"/>
        </w:rPr>
        <w:t>Press</w:t>
      </w:r>
      <w:r>
        <w:rPr>
          <w:rFonts w:ascii="Gill Sans MT" w:hAnsi="Gill Sans MT"/>
          <w:color w:val="231F20"/>
          <w:spacing w:val="-30"/>
          <w:w w:val="115"/>
          <w:sz w:val="18"/>
        </w:rPr>
        <w:t xml:space="preserve"> </w:t>
      </w:r>
      <w:r>
        <w:rPr>
          <w:rFonts w:ascii="Gill Sans MT" w:hAnsi="Gill Sans MT"/>
          <w:color w:val="231F20"/>
          <w:w w:val="115"/>
          <w:sz w:val="18"/>
        </w:rPr>
        <w:t>declares</w:t>
      </w:r>
      <w:r>
        <w:rPr>
          <w:rFonts w:ascii="Gill Sans MT" w:hAnsi="Gill Sans MT"/>
          <w:color w:val="231F20"/>
          <w:spacing w:val="-30"/>
          <w:w w:val="115"/>
          <w:sz w:val="18"/>
        </w:rPr>
        <w:t xml:space="preserve"> </w:t>
      </w:r>
      <w:r>
        <w:rPr>
          <w:rFonts w:ascii="Gill Sans MT" w:hAnsi="Gill Sans MT"/>
          <w:color w:val="231F20"/>
          <w:w w:val="115"/>
          <w:sz w:val="18"/>
        </w:rPr>
        <w:t>the</w:t>
      </w:r>
      <w:r>
        <w:rPr>
          <w:rFonts w:ascii="Gill Sans MT" w:hAnsi="Gill Sans MT"/>
          <w:color w:val="231F20"/>
          <w:spacing w:val="-30"/>
          <w:w w:val="115"/>
          <w:sz w:val="18"/>
        </w:rPr>
        <w:t xml:space="preserve"> </w:t>
      </w:r>
      <w:r w:rsidR="00C507A5">
        <w:rPr>
          <w:rFonts w:ascii="Gill Sans MT" w:hAnsi="Gill Sans MT"/>
          <w:color w:val="231F20"/>
          <w:w w:val="115"/>
          <w:sz w:val="18"/>
        </w:rPr>
        <w:t>red army faction</w:t>
      </w:r>
      <w:r>
        <w:rPr>
          <w:rFonts w:ascii="Gill Sans MT" w:hAnsi="Gill Sans MT"/>
          <w:color w:val="231F20"/>
          <w:w w:val="115"/>
          <w:sz w:val="18"/>
        </w:rPr>
        <w:t xml:space="preserve"> to be “Public Enemy</w:t>
      </w:r>
      <w:r>
        <w:rPr>
          <w:rFonts w:ascii="Gill Sans MT" w:hAnsi="Gill Sans MT"/>
          <w:color w:val="231F20"/>
          <w:spacing w:val="-38"/>
          <w:w w:val="115"/>
          <w:sz w:val="18"/>
        </w:rPr>
        <w:t xml:space="preserve"> </w:t>
      </w:r>
      <w:r>
        <w:rPr>
          <w:rFonts w:ascii="Gill Sans MT" w:hAnsi="Gill Sans MT"/>
          <w:color w:val="231F20"/>
          <w:w w:val="115"/>
          <w:sz w:val="18"/>
        </w:rPr>
        <w:t>#</w:t>
      </w:r>
      <w:r>
        <w:rPr>
          <w:rFonts w:ascii="Arial" w:hAnsi="Arial"/>
          <w:color w:val="231F20"/>
          <w:w w:val="115"/>
          <w:sz w:val="18"/>
        </w:rPr>
        <w:t>1</w:t>
      </w:r>
      <w:r>
        <w:rPr>
          <w:rFonts w:ascii="Gill Sans MT" w:hAnsi="Gill Sans MT"/>
          <w:color w:val="231F20"/>
          <w:w w:val="115"/>
          <w:sz w:val="18"/>
        </w:rPr>
        <w:t>.”</w:t>
      </w:r>
    </w:p>
    <w:p w14:paraId="095CB2C1" w14:textId="77777777" w:rsidR="002653E8" w:rsidRDefault="002653E8">
      <w:pPr>
        <w:pStyle w:val="a3"/>
        <w:spacing w:before="9"/>
        <w:rPr>
          <w:rFonts w:ascii="Gill Sans MT"/>
        </w:rPr>
      </w:pPr>
    </w:p>
    <w:p w14:paraId="444246DB" w14:textId="77777777" w:rsidR="002653E8" w:rsidRDefault="003115E3">
      <w:pPr>
        <w:ind w:left="1147"/>
        <w:rPr>
          <w:rFonts w:ascii="Arial"/>
          <w:b/>
          <w:sz w:val="18"/>
        </w:rPr>
      </w:pPr>
      <w:r>
        <w:rPr>
          <w:rFonts w:ascii="Arial"/>
          <w:b/>
          <w:color w:val="231F20"/>
          <w:w w:val="115"/>
          <w:sz w:val="18"/>
        </w:rPr>
        <w:t>February 25, 1971</w:t>
      </w:r>
    </w:p>
    <w:p w14:paraId="3DA50C40" w14:textId="77777777" w:rsidR="002653E8" w:rsidRDefault="003115E3">
      <w:pPr>
        <w:spacing w:before="35" w:line="276" w:lineRule="auto"/>
        <w:ind w:left="1147"/>
        <w:rPr>
          <w:rFonts w:ascii="Gill Sans MT" w:hAnsi="Gill Sans MT"/>
          <w:sz w:val="18"/>
        </w:rPr>
      </w:pPr>
      <w:r>
        <w:rPr>
          <w:rFonts w:ascii="Gill Sans MT" w:hAnsi="Gill Sans MT"/>
          <w:color w:val="231F20"/>
          <w:w w:val="110"/>
          <w:sz w:val="18"/>
        </w:rPr>
        <w:t>A seven year-old child is kidnapped, and the media float the story that his abductors are demanding Mahler’s freedom—it turns out this is a lie, and young Michael Luhmer is released two days later</w:t>
      </w:r>
      <w:r>
        <w:rPr>
          <w:rFonts w:ascii="Gill Sans MT" w:hAnsi="Gill Sans MT"/>
          <w:color w:val="231F20"/>
          <w:spacing w:val="-2"/>
          <w:w w:val="110"/>
          <w:sz w:val="18"/>
        </w:rPr>
        <w:t xml:space="preserve"> </w:t>
      </w:r>
      <w:r>
        <w:rPr>
          <w:rFonts w:ascii="Gill Sans MT" w:hAnsi="Gill Sans MT"/>
          <w:color w:val="231F20"/>
          <w:w w:val="110"/>
          <w:sz w:val="18"/>
        </w:rPr>
        <w:t>unharmed.</w:t>
      </w:r>
    </w:p>
    <w:p w14:paraId="7FD3B662" w14:textId="77777777" w:rsidR="002653E8" w:rsidRDefault="002653E8">
      <w:pPr>
        <w:pStyle w:val="a3"/>
        <w:spacing w:before="6"/>
        <w:rPr>
          <w:rFonts w:ascii="Gill Sans MT"/>
        </w:rPr>
      </w:pPr>
    </w:p>
    <w:p w14:paraId="7808C436" w14:textId="77777777" w:rsidR="002653E8" w:rsidRDefault="003115E3">
      <w:pPr>
        <w:ind w:left="1147"/>
        <w:rPr>
          <w:rFonts w:ascii="Arial"/>
          <w:b/>
          <w:sz w:val="18"/>
        </w:rPr>
      </w:pPr>
      <w:r>
        <w:rPr>
          <w:rFonts w:ascii="Arial"/>
          <w:b/>
          <w:color w:val="231F20"/>
          <w:w w:val="115"/>
          <w:sz w:val="18"/>
        </w:rPr>
        <w:t>February 28, 1971</w:t>
      </w:r>
    </w:p>
    <w:p w14:paraId="035C3A24" w14:textId="77777777" w:rsidR="002653E8" w:rsidRDefault="003115E3">
      <w:pPr>
        <w:spacing w:before="35" w:line="276" w:lineRule="auto"/>
        <w:ind w:left="1147" w:right="32" w:hanging="1"/>
        <w:rPr>
          <w:rFonts w:ascii="Gill Sans MT"/>
          <w:sz w:val="18"/>
        </w:rPr>
      </w:pPr>
      <w:r>
        <w:rPr>
          <w:rFonts w:ascii="Gill Sans MT"/>
          <w:color w:val="231F20"/>
          <w:w w:val="110"/>
          <w:sz w:val="18"/>
        </w:rPr>
        <w:t xml:space="preserve">The BAW (Federal Prosecutors Office) assumes responsibility for all </w:t>
      </w:r>
      <w:r w:rsidR="00C507A5">
        <w:rPr>
          <w:rFonts w:ascii="Gill Sans MT"/>
          <w:color w:val="231F20"/>
          <w:w w:val="110"/>
          <w:sz w:val="18"/>
        </w:rPr>
        <w:t>red army faction</w:t>
      </w:r>
      <w:r>
        <w:rPr>
          <w:rFonts w:ascii="Gill Sans MT"/>
          <w:color w:val="231F20"/>
          <w:w w:val="110"/>
          <w:sz w:val="18"/>
        </w:rPr>
        <w:t>-related cases.</w:t>
      </w:r>
    </w:p>
    <w:p w14:paraId="042F2790" w14:textId="77777777" w:rsidR="002653E8" w:rsidRDefault="002653E8">
      <w:pPr>
        <w:pStyle w:val="a3"/>
        <w:spacing w:before="6"/>
        <w:rPr>
          <w:rFonts w:ascii="Gill Sans MT"/>
        </w:rPr>
      </w:pPr>
    </w:p>
    <w:p w14:paraId="200D606F" w14:textId="77777777" w:rsidR="002653E8" w:rsidRDefault="003115E3">
      <w:pPr>
        <w:ind w:left="1147"/>
        <w:rPr>
          <w:rFonts w:ascii="Arial"/>
          <w:b/>
          <w:sz w:val="18"/>
        </w:rPr>
      </w:pPr>
      <w:r>
        <w:rPr>
          <w:rFonts w:ascii="Arial"/>
          <w:b/>
          <w:color w:val="231F20"/>
          <w:w w:val="115"/>
          <w:sz w:val="18"/>
        </w:rPr>
        <w:t>April 1971</w:t>
      </w:r>
    </w:p>
    <w:p w14:paraId="3C3940BD" w14:textId="77777777" w:rsidR="002653E8" w:rsidRDefault="003115E3">
      <w:pPr>
        <w:spacing w:before="35" w:line="268" w:lineRule="auto"/>
        <w:ind w:left="1147"/>
        <w:rPr>
          <w:rFonts w:ascii="Gill Sans MT"/>
          <w:sz w:val="18"/>
        </w:rPr>
      </w:pPr>
      <w:r>
        <w:rPr>
          <w:rFonts w:ascii="Gill Sans MT"/>
          <w:color w:val="231F20"/>
          <w:w w:val="105"/>
          <w:sz w:val="18"/>
        </w:rPr>
        <w:t xml:space="preserve">The </w:t>
      </w:r>
      <w:r w:rsidR="00C507A5">
        <w:rPr>
          <w:rFonts w:ascii="Gill Sans MT"/>
          <w:color w:val="231F20"/>
          <w:w w:val="105"/>
          <w:sz w:val="18"/>
        </w:rPr>
        <w:t>red army faction</w:t>
      </w:r>
      <w:r>
        <w:rPr>
          <w:rFonts w:ascii="Gill Sans MT"/>
          <w:color w:val="231F20"/>
          <w:w w:val="105"/>
          <w:sz w:val="18"/>
        </w:rPr>
        <w:t xml:space="preserve"> releases its foundational manifesto, </w:t>
      </w:r>
      <w:r>
        <w:rPr>
          <w:rFonts w:ascii="Lucida Sans"/>
          <w:i/>
          <w:color w:val="231F20"/>
          <w:w w:val="105"/>
          <w:sz w:val="18"/>
        </w:rPr>
        <w:t xml:space="preserve">Das konzept Stadtguerilla </w:t>
      </w:r>
      <w:r>
        <w:rPr>
          <w:rFonts w:ascii="Gill Sans MT"/>
          <w:color w:val="231F20"/>
          <w:w w:val="105"/>
          <w:sz w:val="18"/>
        </w:rPr>
        <w:t>(The urban</w:t>
      </w:r>
    </w:p>
    <w:p w14:paraId="7B757842" w14:textId="77777777" w:rsidR="002653E8" w:rsidRDefault="003115E3">
      <w:pPr>
        <w:spacing w:before="4"/>
        <w:ind w:left="1147"/>
        <w:rPr>
          <w:rFonts w:ascii="Gill Sans MT"/>
          <w:sz w:val="18"/>
        </w:rPr>
      </w:pPr>
      <w:r>
        <w:rPr>
          <w:rFonts w:ascii="Gill Sans MT"/>
          <w:color w:val="231F20"/>
          <w:w w:val="110"/>
          <w:sz w:val="18"/>
        </w:rPr>
        <w:t>Guerilla Concept).</w:t>
      </w:r>
    </w:p>
    <w:p w14:paraId="649387DE" w14:textId="77777777" w:rsidR="002653E8" w:rsidRDefault="002653E8">
      <w:pPr>
        <w:pStyle w:val="a3"/>
        <w:spacing w:before="3"/>
        <w:rPr>
          <w:rFonts w:ascii="Gill Sans MT"/>
          <w:sz w:val="23"/>
        </w:rPr>
      </w:pPr>
    </w:p>
    <w:p w14:paraId="0AD02E49" w14:textId="77777777" w:rsidR="002653E8" w:rsidRDefault="003115E3">
      <w:pPr>
        <w:ind w:left="1147"/>
        <w:rPr>
          <w:rFonts w:ascii="Arial"/>
          <w:b/>
          <w:sz w:val="18"/>
        </w:rPr>
      </w:pPr>
      <w:r>
        <w:rPr>
          <w:rFonts w:ascii="Arial"/>
          <w:b/>
          <w:color w:val="231F20"/>
          <w:w w:val="115"/>
          <w:sz w:val="18"/>
        </w:rPr>
        <w:t>April 12, 1971</w:t>
      </w:r>
    </w:p>
    <w:p w14:paraId="6F8C69CD" w14:textId="77777777" w:rsidR="002653E8" w:rsidRDefault="00C507A5">
      <w:pPr>
        <w:spacing w:before="34" w:line="276" w:lineRule="auto"/>
        <w:ind w:left="1147" w:right="168"/>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member Ilse “Tinny” Stachowiak is arrested at the Frankfurt train station.</w:t>
      </w:r>
    </w:p>
    <w:p w14:paraId="78C3E205" w14:textId="77777777" w:rsidR="002653E8" w:rsidRDefault="002653E8">
      <w:pPr>
        <w:pStyle w:val="a3"/>
        <w:spacing w:before="7"/>
        <w:rPr>
          <w:rFonts w:ascii="Gill Sans MT"/>
        </w:rPr>
      </w:pPr>
    </w:p>
    <w:p w14:paraId="0DC2C019" w14:textId="77777777" w:rsidR="002653E8" w:rsidRDefault="003115E3">
      <w:pPr>
        <w:ind w:left="1147"/>
        <w:rPr>
          <w:rFonts w:ascii="Arial"/>
          <w:b/>
          <w:sz w:val="18"/>
        </w:rPr>
      </w:pPr>
      <w:r>
        <w:rPr>
          <w:rFonts w:ascii="Arial"/>
          <w:b/>
          <w:color w:val="231F20"/>
          <w:w w:val="115"/>
          <w:sz w:val="18"/>
        </w:rPr>
        <w:t>April 13, 1971</w:t>
      </w:r>
    </w:p>
    <w:p w14:paraId="03503050" w14:textId="77777777" w:rsidR="002653E8" w:rsidRDefault="00C507A5">
      <w:pPr>
        <w:spacing w:before="34" w:line="276" w:lineRule="auto"/>
        <w:ind w:left="1147" w:right="436"/>
        <w:rPr>
          <w:rFonts w:ascii="Gill Sans MT"/>
          <w:sz w:val="18"/>
        </w:rPr>
      </w:pPr>
      <w:r>
        <w:rPr>
          <w:rFonts w:ascii="Gill Sans MT"/>
          <w:color w:val="231F20"/>
          <w:w w:val="110"/>
          <w:sz w:val="18"/>
        </w:rPr>
        <w:t>red army faction</w:t>
      </w:r>
      <w:r w:rsidR="003115E3">
        <w:rPr>
          <w:rFonts w:ascii="Gill Sans MT"/>
          <w:color w:val="231F20"/>
          <w:w w:val="110"/>
          <w:sz w:val="18"/>
        </w:rPr>
        <w:t xml:space="preserve"> member Rolf Heissler is arrested during a bank robbery in Munich.</w:t>
      </w:r>
    </w:p>
    <w:p w14:paraId="365A2D80" w14:textId="77777777" w:rsidR="002653E8" w:rsidRDefault="003115E3">
      <w:pPr>
        <w:spacing w:before="89"/>
        <w:ind w:left="200"/>
        <w:rPr>
          <w:rFonts w:ascii="Arial"/>
          <w:b/>
          <w:sz w:val="18"/>
        </w:rPr>
      </w:pPr>
      <w:r>
        <w:br w:type="column"/>
      </w:r>
      <w:r>
        <w:rPr>
          <w:rFonts w:ascii="Arial"/>
          <w:b/>
          <w:color w:val="231F20"/>
          <w:w w:val="115"/>
          <w:sz w:val="18"/>
        </w:rPr>
        <w:t>April 25, 1971</w:t>
      </w:r>
    </w:p>
    <w:p w14:paraId="3C90696F" w14:textId="77777777" w:rsidR="002653E8" w:rsidRDefault="003115E3">
      <w:pPr>
        <w:spacing w:before="35" w:line="276" w:lineRule="auto"/>
        <w:ind w:left="200" w:right="1651"/>
        <w:rPr>
          <w:rFonts w:ascii="Gill Sans MT" w:hAnsi="Gill Sans MT"/>
          <w:sz w:val="18"/>
        </w:rPr>
      </w:pPr>
      <w:r>
        <w:rPr>
          <w:rFonts w:ascii="Gill Sans MT" w:hAnsi="Gill Sans MT"/>
          <w:color w:val="231F20"/>
          <w:w w:val="115"/>
          <w:sz w:val="18"/>
        </w:rPr>
        <w:t>Letters received from alleged “left-wing kidnappers” claim that Professor Berthold Rubin and Rudolph Metzger had been abducted, and demand Horst Mahler’s release from prison.</w:t>
      </w:r>
    </w:p>
    <w:p w14:paraId="0B29A151" w14:textId="77777777" w:rsidR="002653E8" w:rsidRDefault="003115E3">
      <w:pPr>
        <w:spacing w:line="276" w:lineRule="auto"/>
        <w:ind w:left="200" w:right="1597"/>
        <w:rPr>
          <w:rFonts w:ascii="Gill Sans MT" w:hAnsi="Gill Sans MT"/>
          <w:sz w:val="18"/>
        </w:rPr>
      </w:pPr>
      <w:r>
        <w:rPr>
          <w:rFonts w:ascii="Gill Sans MT" w:hAnsi="Gill Sans MT"/>
          <w:color w:val="231F20"/>
          <w:w w:val="110"/>
          <w:sz w:val="18"/>
        </w:rPr>
        <w:t>This later turns out to be a hoax masterminded by far-right lawyer Jürgen Rieger.</w:t>
      </w:r>
    </w:p>
    <w:p w14:paraId="571E59AB" w14:textId="77777777" w:rsidR="002653E8" w:rsidRDefault="002653E8">
      <w:pPr>
        <w:pStyle w:val="a3"/>
        <w:spacing w:before="5"/>
        <w:rPr>
          <w:rFonts w:ascii="Gill Sans MT"/>
        </w:rPr>
      </w:pPr>
    </w:p>
    <w:p w14:paraId="4262ECA2" w14:textId="77777777" w:rsidR="002653E8" w:rsidRPr="00846956" w:rsidRDefault="003115E3">
      <w:pPr>
        <w:ind w:left="200"/>
        <w:rPr>
          <w:rFonts w:ascii="Arial"/>
          <w:b/>
          <w:sz w:val="18"/>
          <w:lang w:val="de-DE"/>
        </w:rPr>
      </w:pPr>
      <w:r w:rsidRPr="00846956">
        <w:rPr>
          <w:rFonts w:ascii="Arial"/>
          <w:b/>
          <w:color w:val="231F20"/>
          <w:w w:val="115"/>
          <w:sz w:val="18"/>
          <w:lang w:val="de-DE"/>
        </w:rPr>
        <w:t>May 1971</w:t>
      </w:r>
    </w:p>
    <w:p w14:paraId="681CD1D3" w14:textId="77777777" w:rsidR="002653E8" w:rsidRPr="00846956" w:rsidRDefault="003115E3">
      <w:pPr>
        <w:spacing w:before="29" w:line="271" w:lineRule="auto"/>
        <w:ind w:left="200" w:right="1859"/>
        <w:rPr>
          <w:rFonts w:ascii="Gill Sans MT" w:hAnsi="Gill Sans MT"/>
          <w:sz w:val="18"/>
          <w:lang w:val="de-DE"/>
        </w:rPr>
      </w:pPr>
      <w:r w:rsidRPr="00846956">
        <w:rPr>
          <w:rFonts w:ascii="Lucida Sans" w:hAnsi="Lucida Sans"/>
          <w:i/>
          <w:color w:val="231F20"/>
          <w:w w:val="95"/>
          <w:sz w:val="18"/>
          <w:lang w:val="de-DE"/>
        </w:rPr>
        <w:t xml:space="preserve">Über den bewaffneten kampf </w:t>
      </w:r>
      <w:r w:rsidRPr="00846956">
        <w:rPr>
          <w:rFonts w:ascii="Lucida Sans" w:hAnsi="Lucida Sans"/>
          <w:i/>
          <w:color w:val="231F20"/>
          <w:sz w:val="18"/>
          <w:lang w:val="de-DE"/>
        </w:rPr>
        <w:t xml:space="preserve">in Westeuropa </w:t>
      </w:r>
      <w:r w:rsidRPr="00846956">
        <w:rPr>
          <w:rFonts w:ascii="Gill Sans MT" w:hAnsi="Gill Sans MT"/>
          <w:color w:val="231F20"/>
          <w:sz w:val="18"/>
          <w:lang w:val="de-DE"/>
        </w:rPr>
        <w:t>(Regarding the</w:t>
      </w:r>
    </w:p>
    <w:p w14:paraId="34AA76BA" w14:textId="77777777" w:rsidR="002653E8" w:rsidRDefault="003115E3">
      <w:pPr>
        <w:spacing w:before="4" w:line="276" w:lineRule="auto"/>
        <w:ind w:left="200" w:right="1496"/>
        <w:rPr>
          <w:rFonts w:ascii="Gill Sans MT"/>
          <w:sz w:val="18"/>
        </w:rPr>
      </w:pPr>
      <w:r>
        <w:rPr>
          <w:rFonts w:ascii="Gill Sans MT"/>
          <w:color w:val="231F20"/>
          <w:w w:val="110"/>
          <w:sz w:val="18"/>
        </w:rPr>
        <w:t xml:space="preserve">Armed Struggle in </w:t>
      </w:r>
      <w:r>
        <w:rPr>
          <w:rFonts w:ascii="Gill Sans MT"/>
          <w:color w:val="231F20"/>
          <w:spacing w:val="-3"/>
          <w:w w:val="110"/>
          <w:sz w:val="18"/>
        </w:rPr>
        <w:t xml:space="preserve">West </w:t>
      </w:r>
      <w:r>
        <w:rPr>
          <w:rFonts w:ascii="Gill Sans MT"/>
          <w:color w:val="231F20"/>
          <w:w w:val="110"/>
          <w:sz w:val="18"/>
        </w:rPr>
        <w:t xml:space="preserve">Europe), a document signed The </w:t>
      </w:r>
      <w:r w:rsidR="00C507A5">
        <w:rPr>
          <w:rFonts w:ascii="Gill Sans MT"/>
          <w:color w:val="231F20"/>
          <w:w w:val="110"/>
          <w:sz w:val="18"/>
        </w:rPr>
        <w:t>red army faction</w:t>
      </w:r>
      <w:r>
        <w:rPr>
          <w:rFonts w:ascii="Gill Sans MT"/>
          <w:color w:val="231F20"/>
          <w:w w:val="110"/>
          <w:sz w:val="18"/>
        </w:rPr>
        <w:t xml:space="preserve"> Collective,</w:t>
      </w:r>
      <w:r>
        <w:rPr>
          <w:rFonts w:ascii="Gill Sans MT"/>
          <w:color w:val="231F20"/>
          <w:spacing w:val="-11"/>
          <w:w w:val="110"/>
          <w:sz w:val="18"/>
        </w:rPr>
        <w:t xml:space="preserve"> </w:t>
      </w:r>
      <w:r>
        <w:rPr>
          <w:rFonts w:ascii="Gill Sans MT"/>
          <w:color w:val="231F20"/>
          <w:w w:val="110"/>
          <w:sz w:val="18"/>
        </w:rPr>
        <w:t>but</w:t>
      </w:r>
      <w:r>
        <w:rPr>
          <w:rFonts w:ascii="Gill Sans MT"/>
          <w:color w:val="231F20"/>
          <w:spacing w:val="-11"/>
          <w:w w:val="110"/>
          <w:sz w:val="18"/>
        </w:rPr>
        <w:t xml:space="preserve"> </w:t>
      </w:r>
      <w:r>
        <w:rPr>
          <w:rFonts w:ascii="Gill Sans MT"/>
          <w:color w:val="231F20"/>
          <w:w w:val="110"/>
          <w:sz w:val="18"/>
        </w:rPr>
        <w:t>entirely</w:t>
      </w:r>
      <w:r>
        <w:rPr>
          <w:rFonts w:ascii="Gill Sans MT"/>
          <w:color w:val="231F20"/>
          <w:spacing w:val="-11"/>
          <w:w w:val="110"/>
          <w:sz w:val="18"/>
        </w:rPr>
        <w:t xml:space="preserve"> </w:t>
      </w:r>
      <w:r>
        <w:rPr>
          <w:rFonts w:ascii="Gill Sans MT"/>
          <w:color w:val="231F20"/>
          <w:w w:val="110"/>
          <w:sz w:val="18"/>
        </w:rPr>
        <w:t>the</w:t>
      </w:r>
      <w:r>
        <w:rPr>
          <w:rFonts w:ascii="Gill Sans MT"/>
          <w:color w:val="231F20"/>
          <w:spacing w:val="-11"/>
          <w:w w:val="110"/>
          <w:sz w:val="18"/>
        </w:rPr>
        <w:t xml:space="preserve"> </w:t>
      </w:r>
      <w:r>
        <w:rPr>
          <w:rFonts w:ascii="Gill Sans MT"/>
          <w:color w:val="231F20"/>
          <w:w w:val="110"/>
          <w:sz w:val="18"/>
        </w:rPr>
        <w:t>work</w:t>
      </w:r>
      <w:r>
        <w:rPr>
          <w:rFonts w:ascii="Gill Sans MT"/>
          <w:color w:val="231F20"/>
          <w:spacing w:val="-11"/>
          <w:w w:val="110"/>
          <w:sz w:val="18"/>
        </w:rPr>
        <w:t xml:space="preserve"> </w:t>
      </w:r>
      <w:r>
        <w:rPr>
          <w:rFonts w:ascii="Gill Sans MT"/>
          <w:color w:val="231F20"/>
          <w:w w:val="110"/>
          <w:sz w:val="18"/>
        </w:rPr>
        <w:t xml:space="preserve">of Horst </w:t>
      </w:r>
      <w:r>
        <w:rPr>
          <w:rFonts w:ascii="Gill Sans MT"/>
          <w:color w:val="231F20"/>
          <w:spacing w:val="-3"/>
          <w:w w:val="110"/>
          <w:sz w:val="18"/>
        </w:rPr>
        <w:t xml:space="preserve">Mahler, </w:t>
      </w:r>
      <w:r>
        <w:rPr>
          <w:rFonts w:ascii="Gill Sans MT"/>
          <w:color w:val="231F20"/>
          <w:w w:val="110"/>
          <w:sz w:val="18"/>
        </w:rPr>
        <w:t>is released. The</w:t>
      </w:r>
      <w:r>
        <w:rPr>
          <w:rFonts w:ascii="Gill Sans MT"/>
          <w:color w:val="231F20"/>
          <w:spacing w:val="-38"/>
          <w:w w:val="110"/>
          <w:sz w:val="18"/>
        </w:rPr>
        <w:t xml:space="preserve"> </w:t>
      </w:r>
      <w:r>
        <w:rPr>
          <w:rFonts w:ascii="Gill Sans MT"/>
          <w:color w:val="231F20"/>
          <w:w w:val="110"/>
          <w:sz w:val="18"/>
        </w:rPr>
        <w:t>rest</w:t>
      </w:r>
    </w:p>
    <w:p w14:paraId="0A9986B4" w14:textId="77777777" w:rsidR="002653E8" w:rsidRDefault="003115E3">
      <w:pPr>
        <w:spacing w:line="276" w:lineRule="auto"/>
        <w:ind w:left="200" w:right="1317" w:hanging="1"/>
        <w:rPr>
          <w:rFonts w:ascii="Gill Sans MT"/>
          <w:sz w:val="18"/>
        </w:rPr>
      </w:pPr>
      <w:r>
        <w:rPr>
          <w:rFonts w:ascii="Gill Sans MT"/>
          <w:color w:val="231F20"/>
          <w:w w:val="110"/>
          <w:sz w:val="18"/>
        </w:rPr>
        <w:t xml:space="preserve">of the </w:t>
      </w:r>
      <w:r w:rsidR="00C507A5">
        <w:rPr>
          <w:rFonts w:ascii="Gill Sans MT"/>
          <w:color w:val="231F20"/>
          <w:w w:val="110"/>
          <w:sz w:val="18"/>
        </w:rPr>
        <w:t>red army faction</w:t>
      </w:r>
      <w:r>
        <w:rPr>
          <w:rFonts w:ascii="Gill Sans MT"/>
          <w:color w:val="231F20"/>
          <w:w w:val="110"/>
          <w:sz w:val="18"/>
        </w:rPr>
        <w:t xml:space="preserve"> reject the document, and the pursuant tension will eventually lead to Horst Mahler being expelled from the group.</w:t>
      </w:r>
    </w:p>
    <w:p w14:paraId="3ED165A8" w14:textId="77777777" w:rsidR="002653E8" w:rsidRDefault="002653E8">
      <w:pPr>
        <w:pStyle w:val="a3"/>
        <w:spacing w:before="6"/>
        <w:rPr>
          <w:rFonts w:ascii="Gill Sans MT"/>
        </w:rPr>
      </w:pPr>
    </w:p>
    <w:p w14:paraId="0235B5B4" w14:textId="77777777" w:rsidR="002653E8" w:rsidRDefault="003115E3">
      <w:pPr>
        <w:ind w:left="200"/>
        <w:rPr>
          <w:rFonts w:ascii="Arial"/>
          <w:b/>
          <w:sz w:val="18"/>
        </w:rPr>
      </w:pPr>
      <w:r>
        <w:rPr>
          <w:rFonts w:ascii="Arial"/>
          <w:b/>
          <w:color w:val="231F20"/>
          <w:w w:val="120"/>
          <w:sz w:val="18"/>
        </w:rPr>
        <w:t>May 6, 1971</w:t>
      </w:r>
    </w:p>
    <w:p w14:paraId="61885B6F" w14:textId="77777777" w:rsidR="002653E8" w:rsidRDefault="00C507A5">
      <w:pPr>
        <w:spacing w:before="35" w:line="276" w:lineRule="auto"/>
        <w:ind w:left="200" w:right="667"/>
        <w:rPr>
          <w:rFonts w:ascii="Gill Sans MT"/>
          <w:sz w:val="18"/>
        </w:rPr>
      </w:pPr>
      <w:r>
        <w:rPr>
          <w:rFonts w:ascii="Gill Sans MT"/>
          <w:color w:val="231F20"/>
          <w:w w:val="110"/>
          <w:sz w:val="18"/>
        </w:rPr>
        <w:t>red army faction</w:t>
      </w:r>
      <w:r w:rsidR="003115E3">
        <w:rPr>
          <w:rFonts w:ascii="Gill Sans MT"/>
          <w:color w:val="231F20"/>
          <w:w w:val="110"/>
          <w:sz w:val="18"/>
        </w:rPr>
        <w:t xml:space="preserve"> founding member Astrid Proll is arrested in Hamburg.</w:t>
      </w:r>
    </w:p>
    <w:p w14:paraId="47288F23" w14:textId="77777777" w:rsidR="002653E8" w:rsidRDefault="002653E8">
      <w:pPr>
        <w:pStyle w:val="a3"/>
        <w:spacing w:before="6"/>
        <w:rPr>
          <w:rFonts w:ascii="Gill Sans MT"/>
        </w:rPr>
      </w:pPr>
    </w:p>
    <w:p w14:paraId="7A080C13" w14:textId="77777777" w:rsidR="002653E8" w:rsidRDefault="003115E3">
      <w:pPr>
        <w:ind w:left="200"/>
        <w:rPr>
          <w:rFonts w:ascii="Arial"/>
          <w:b/>
          <w:sz w:val="18"/>
        </w:rPr>
      </w:pPr>
      <w:r>
        <w:rPr>
          <w:rFonts w:ascii="Arial"/>
          <w:b/>
          <w:color w:val="231F20"/>
          <w:w w:val="120"/>
          <w:sz w:val="18"/>
        </w:rPr>
        <w:t>May 18, 1971</w:t>
      </w:r>
    </w:p>
    <w:p w14:paraId="21C4375B" w14:textId="77777777" w:rsidR="002653E8" w:rsidRDefault="003115E3">
      <w:pPr>
        <w:spacing w:before="35" w:line="276" w:lineRule="auto"/>
        <w:ind w:left="200" w:right="1476"/>
        <w:rPr>
          <w:rFonts w:ascii="Gill Sans MT"/>
          <w:sz w:val="18"/>
        </w:rPr>
      </w:pPr>
      <w:r>
        <w:rPr>
          <w:rFonts w:ascii="Gill Sans MT"/>
          <w:color w:val="231F20"/>
          <w:w w:val="115"/>
          <w:sz w:val="18"/>
        </w:rPr>
        <w:t xml:space="preserve">The trial of Horst </w:t>
      </w:r>
      <w:r>
        <w:rPr>
          <w:rFonts w:ascii="Gill Sans MT"/>
          <w:color w:val="231F20"/>
          <w:spacing w:val="-3"/>
          <w:w w:val="115"/>
          <w:sz w:val="18"/>
        </w:rPr>
        <w:t xml:space="preserve">Mahler, </w:t>
      </w:r>
      <w:r>
        <w:rPr>
          <w:rFonts w:ascii="Gill Sans MT"/>
          <w:color w:val="231F20"/>
          <w:w w:val="115"/>
          <w:sz w:val="18"/>
        </w:rPr>
        <w:t>Ingrid Schubert,</w:t>
      </w:r>
      <w:r>
        <w:rPr>
          <w:rFonts w:ascii="Gill Sans MT"/>
          <w:color w:val="231F20"/>
          <w:spacing w:val="-23"/>
          <w:w w:val="115"/>
          <w:sz w:val="18"/>
        </w:rPr>
        <w:t xml:space="preserve"> </w:t>
      </w:r>
      <w:r>
        <w:rPr>
          <w:rFonts w:ascii="Gill Sans MT"/>
          <w:color w:val="231F20"/>
          <w:w w:val="115"/>
          <w:sz w:val="18"/>
        </w:rPr>
        <w:t>and</w:t>
      </w:r>
      <w:r>
        <w:rPr>
          <w:rFonts w:ascii="Gill Sans MT"/>
          <w:color w:val="231F20"/>
          <w:spacing w:val="-23"/>
          <w:w w:val="115"/>
          <w:sz w:val="18"/>
        </w:rPr>
        <w:t xml:space="preserve"> </w:t>
      </w:r>
      <w:r>
        <w:rPr>
          <w:rFonts w:ascii="Gill Sans MT"/>
          <w:color w:val="231F20"/>
          <w:w w:val="115"/>
          <w:sz w:val="18"/>
        </w:rPr>
        <w:t>Irene</w:t>
      </w:r>
      <w:r>
        <w:rPr>
          <w:rFonts w:ascii="Gill Sans MT"/>
          <w:color w:val="231F20"/>
          <w:spacing w:val="-23"/>
          <w:w w:val="115"/>
          <w:sz w:val="18"/>
        </w:rPr>
        <w:t xml:space="preserve"> </w:t>
      </w:r>
      <w:r>
        <w:rPr>
          <w:rFonts w:ascii="Gill Sans MT"/>
          <w:color w:val="231F20"/>
          <w:w w:val="115"/>
          <w:sz w:val="18"/>
        </w:rPr>
        <w:t>Goergens</w:t>
      </w:r>
      <w:r>
        <w:rPr>
          <w:rFonts w:ascii="Gill Sans MT"/>
          <w:color w:val="231F20"/>
          <w:spacing w:val="-23"/>
          <w:w w:val="115"/>
          <w:sz w:val="18"/>
        </w:rPr>
        <w:t xml:space="preserve"> </w:t>
      </w:r>
      <w:r>
        <w:rPr>
          <w:rFonts w:ascii="Gill Sans MT"/>
          <w:color w:val="231F20"/>
          <w:w w:val="115"/>
          <w:sz w:val="18"/>
        </w:rPr>
        <w:t>for breaking</w:t>
      </w:r>
      <w:r>
        <w:rPr>
          <w:rFonts w:ascii="Gill Sans MT"/>
          <w:color w:val="231F20"/>
          <w:spacing w:val="-29"/>
          <w:w w:val="115"/>
          <w:sz w:val="18"/>
        </w:rPr>
        <w:t xml:space="preserve"> </w:t>
      </w:r>
      <w:r>
        <w:rPr>
          <w:rFonts w:ascii="Gill Sans MT"/>
          <w:color w:val="231F20"/>
          <w:w w:val="115"/>
          <w:sz w:val="18"/>
        </w:rPr>
        <w:t>Andreas</w:t>
      </w:r>
      <w:r>
        <w:rPr>
          <w:rFonts w:ascii="Gill Sans MT"/>
          <w:color w:val="231F20"/>
          <w:spacing w:val="-29"/>
          <w:w w:val="115"/>
          <w:sz w:val="18"/>
        </w:rPr>
        <w:t xml:space="preserve"> </w:t>
      </w:r>
      <w:r>
        <w:rPr>
          <w:rFonts w:ascii="Gill Sans MT"/>
          <w:color w:val="231F20"/>
          <w:w w:val="115"/>
          <w:sz w:val="18"/>
        </w:rPr>
        <w:t>Baader</w:t>
      </w:r>
      <w:r>
        <w:rPr>
          <w:rFonts w:ascii="Gill Sans MT"/>
          <w:color w:val="231F20"/>
          <w:spacing w:val="-29"/>
          <w:w w:val="115"/>
          <w:sz w:val="18"/>
        </w:rPr>
        <w:t xml:space="preserve"> </w:t>
      </w:r>
      <w:r>
        <w:rPr>
          <w:rFonts w:ascii="Gill Sans MT"/>
          <w:color w:val="231F20"/>
          <w:w w:val="115"/>
          <w:sz w:val="18"/>
        </w:rPr>
        <w:t>out</w:t>
      </w:r>
      <w:r>
        <w:rPr>
          <w:rFonts w:ascii="Gill Sans MT"/>
          <w:color w:val="231F20"/>
          <w:spacing w:val="-29"/>
          <w:w w:val="115"/>
          <w:sz w:val="18"/>
        </w:rPr>
        <w:t xml:space="preserve"> </w:t>
      </w:r>
      <w:r>
        <w:rPr>
          <w:rFonts w:ascii="Gill Sans MT"/>
          <w:color w:val="231F20"/>
          <w:w w:val="115"/>
          <w:sz w:val="18"/>
        </w:rPr>
        <w:t>from the Institute for Social Reserach Library begins. The trial will last less</w:t>
      </w:r>
      <w:r>
        <w:rPr>
          <w:rFonts w:ascii="Gill Sans MT"/>
          <w:color w:val="231F20"/>
          <w:spacing w:val="-20"/>
          <w:w w:val="115"/>
          <w:sz w:val="18"/>
        </w:rPr>
        <w:t xml:space="preserve"> </w:t>
      </w:r>
      <w:r>
        <w:rPr>
          <w:rFonts w:ascii="Gill Sans MT"/>
          <w:color w:val="231F20"/>
          <w:w w:val="115"/>
          <w:sz w:val="18"/>
        </w:rPr>
        <w:t>than</w:t>
      </w:r>
      <w:r>
        <w:rPr>
          <w:rFonts w:ascii="Gill Sans MT"/>
          <w:color w:val="231F20"/>
          <w:spacing w:val="-20"/>
          <w:w w:val="115"/>
          <w:sz w:val="18"/>
        </w:rPr>
        <w:t xml:space="preserve"> </w:t>
      </w:r>
      <w:r>
        <w:rPr>
          <w:rFonts w:ascii="Gill Sans MT"/>
          <w:color w:val="231F20"/>
          <w:w w:val="115"/>
          <w:sz w:val="18"/>
        </w:rPr>
        <w:t>one</w:t>
      </w:r>
      <w:r>
        <w:rPr>
          <w:rFonts w:ascii="Gill Sans MT"/>
          <w:color w:val="231F20"/>
          <w:spacing w:val="-20"/>
          <w:w w:val="115"/>
          <w:sz w:val="18"/>
        </w:rPr>
        <w:t xml:space="preserve"> </w:t>
      </w:r>
      <w:r>
        <w:rPr>
          <w:rFonts w:ascii="Gill Sans MT"/>
          <w:color w:val="231F20"/>
          <w:w w:val="115"/>
          <w:sz w:val="18"/>
        </w:rPr>
        <w:t>month</w:t>
      </w:r>
      <w:r>
        <w:rPr>
          <w:rFonts w:ascii="Gill Sans MT"/>
          <w:color w:val="231F20"/>
          <w:spacing w:val="-20"/>
          <w:w w:val="115"/>
          <w:sz w:val="18"/>
        </w:rPr>
        <w:t xml:space="preserve"> </w:t>
      </w:r>
      <w:r>
        <w:rPr>
          <w:rFonts w:ascii="Gill Sans MT"/>
          <w:color w:val="231F20"/>
          <w:w w:val="115"/>
          <w:sz w:val="18"/>
        </w:rPr>
        <w:t>and</w:t>
      </w:r>
      <w:r>
        <w:rPr>
          <w:rFonts w:ascii="Gill Sans MT"/>
          <w:color w:val="231F20"/>
          <w:spacing w:val="-20"/>
          <w:w w:val="115"/>
          <w:sz w:val="18"/>
        </w:rPr>
        <w:t xml:space="preserve"> </w:t>
      </w:r>
      <w:r>
        <w:rPr>
          <w:rFonts w:ascii="Gill Sans MT"/>
          <w:color w:val="231F20"/>
          <w:w w:val="115"/>
          <w:sz w:val="18"/>
        </w:rPr>
        <w:t>Schubert will receive a six-year sentence, Goergens four years, and Mahler will</w:t>
      </w:r>
      <w:r>
        <w:rPr>
          <w:rFonts w:ascii="Gill Sans MT"/>
          <w:color w:val="231F20"/>
          <w:spacing w:val="-11"/>
          <w:w w:val="115"/>
          <w:sz w:val="18"/>
        </w:rPr>
        <w:t xml:space="preserve"> </w:t>
      </w:r>
      <w:r>
        <w:rPr>
          <w:rFonts w:ascii="Gill Sans MT"/>
          <w:color w:val="231F20"/>
          <w:w w:val="115"/>
          <w:sz w:val="18"/>
        </w:rPr>
        <w:t>be</w:t>
      </w:r>
      <w:r>
        <w:rPr>
          <w:rFonts w:ascii="Gill Sans MT"/>
          <w:color w:val="231F20"/>
          <w:spacing w:val="-11"/>
          <w:w w:val="115"/>
          <w:sz w:val="18"/>
        </w:rPr>
        <w:t xml:space="preserve"> </w:t>
      </w:r>
      <w:r>
        <w:rPr>
          <w:rFonts w:ascii="Gill Sans MT"/>
          <w:color w:val="231F20"/>
          <w:w w:val="115"/>
          <w:sz w:val="18"/>
        </w:rPr>
        <w:t>acquitted</w:t>
      </w:r>
      <w:r>
        <w:rPr>
          <w:rFonts w:ascii="Gill Sans MT"/>
          <w:color w:val="231F20"/>
          <w:spacing w:val="-11"/>
          <w:w w:val="115"/>
          <w:sz w:val="18"/>
        </w:rPr>
        <w:t xml:space="preserve"> </w:t>
      </w:r>
      <w:r>
        <w:rPr>
          <w:rFonts w:ascii="Gill Sans MT"/>
          <w:color w:val="231F20"/>
          <w:w w:val="115"/>
          <w:sz w:val="18"/>
        </w:rPr>
        <w:t>though</w:t>
      </w:r>
      <w:r>
        <w:rPr>
          <w:rFonts w:ascii="Gill Sans MT"/>
          <w:color w:val="231F20"/>
          <w:spacing w:val="-11"/>
          <w:w w:val="115"/>
          <w:sz w:val="18"/>
        </w:rPr>
        <w:t xml:space="preserve"> </w:t>
      </w:r>
      <w:r>
        <w:rPr>
          <w:rFonts w:ascii="Gill Sans MT"/>
          <w:color w:val="231F20"/>
          <w:w w:val="115"/>
          <w:sz w:val="18"/>
        </w:rPr>
        <w:t>held</w:t>
      </w:r>
      <w:r>
        <w:rPr>
          <w:rFonts w:ascii="Gill Sans MT"/>
          <w:color w:val="231F20"/>
          <w:spacing w:val="-11"/>
          <w:w w:val="115"/>
          <w:sz w:val="18"/>
        </w:rPr>
        <w:t xml:space="preserve"> </w:t>
      </w:r>
      <w:r>
        <w:rPr>
          <w:rFonts w:ascii="Gill Sans MT"/>
          <w:color w:val="231F20"/>
          <w:w w:val="115"/>
          <w:sz w:val="18"/>
        </w:rPr>
        <w:t>in</w:t>
      </w:r>
    </w:p>
    <w:p w14:paraId="7F8C5AAC" w14:textId="77777777" w:rsidR="002653E8" w:rsidRDefault="003115E3">
      <w:pPr>
        <w:spacing w:line="276" w:lineRule="auto"/>
        <w:ind w:left="200" w:right="1383"/>
        <w:rPr>
          <w:rFonts w:ascii="Gill Sans MT"/>
          <w:sz w:val="18"/>
        </w:rPr>
      </w:pPr>
      <w:r>
        <w:rPr>
          <w:rFonts w:ascii="Gill Sans MT"/>
          <w:color w:val="231F20"/>
          <w:w w:val="115"/>
          <w:sz w:val="18"/>
        </w:rPr>
        <w:t>custody</w:t>
      </w:r>
      <w:r>
        <w:rPr>
          <w:rFonts w:ascii="Gill Sans MT"/>
          <w:color w:val="231F20"/>
          <w:spacing w:val="-26"/>
          <w:w w:val="115"/>
          <w:sz w:val="18"/>
        </w:rPr>
        <w:t xml:space="preserve"> </w:t>
      </w:r>
      <w:r>
        <w:rPr>
          <w:rFonts w:ascii="Gill Sans MT"/>
          <w:color w:val="231F20"/>
          <w:w w:val="115"/>
          <w:sz w:val="18"/>
        </w:rPr>
        <w:t>as</w:t>
      </w:r>
      <w:r>
        <w:rPr>
          <w:rFonts w:ascii="Gill Sans MT"/>
          <w:color w:val="231F20"/>
          <w:spacing w:val="-26"/>
          <w:w w:val="115"/>
          <w:sz w:val="18"/>
        </w:rPr>
        <w:t xml:space="preserve"> </w:t>
      </w:r>
      <w:r>
        <w:rPr>
          <w:rFonts w:ascii="Gill Sans MT"/>
          <w:color w:val="231F20"/>
          <w:w w:val="115"/>
          <w:sz w:val="18"/>
        </w:rPr>
        <w:t>the</w:t>
      </w:r>
      <w:r>
        <w:rPr>
          <w:rFonts w:ascii="Gill Sans MT"/>
          <w:color w:val="231F20"/>
          <w:spacing w:val="-26"/>
          <w:w w:val="115"/>
          <w:sz w:val="18"/>
        </w:rPr>
        <w:t xml:space="preserve"> </w:t>
      </w:r>
      <w:r>
        <w:rPr>
          <w:rFonts w:ascii="Gill Sans MT"/>
          <w:color w:val="231F20"/>
          <w:w w:val="115"/>
          <w:sz w:val="18"/>
        </w:rPr>
        <w:t>state</w:t>
      </w:r>
      <w:r>
        <w:rPr>
          <w:rFonts w:ascii="Gill Sans MT"/>
          <w:color w:val="231F20"/>
          <w:spacing w:val="-26"/>
          <w:w w:val="115"/>
          <w:sz w:val="18"/>
        </w:rPr>
        <w:t xml:space="preserve"> </w:t>
      </w:r>
      <w:r>
        <w:rPr>
          <w:rFonts w:ascii="Gill Sans MT"/>
          <w:color w:val="231F20"/>
          <w:w w:val="115"/>
          <w:sz w:val="18"/>
        </w:rPr>
        <w:t>prepared</w:t>
      </w:r>
      <w:r>
        <w:rPr>
          <w:rFonts w:ascii="Gill Sans MT"/>
          <w:color w:val="231F20"/>
          <w:spacing w:val="-26"/>
          <w:w w:val="115"/>
          <w:sz w:val="18"/>
        </w:rPr>
        <w:t xml:space="preserve"> </w:t>
      </w:r>
      <w:r>
        <w:rPr>
          <w:rFonts w:ascii="Gill Sans MT"/>
          <w:color w:val="231F20"/>
          <w:w w:val="115"/>
          <w:sz w:val="18"/>
        </w:rPr>
        <w:t>other charges.</w:t>
      </w:r>
    </w:p>
    <w:p w14:paraId="467F76AA" w14:textId="77777777" w:rsidR="002653E8" w:rsidRDefault="002653E8">
      <w:pPr>
        <w:spacing w:line="276" w:lineRule="auto"/>
        <w:rPr>
          <w:rFonts w:ascii="Gill Sans MT"/>
          <w:sz w:val="18"/>
        </w:rPr>
        <w:sectPr w:rsidR="002653E8">
          <w:footerReference w:type="default" r:id="rId501"/>
          <w:pgSz w:w="8640" w:h="12960"/>
          <w:pgMar w:top="1080" w:right="0" w:bottom="280" w:left="0" w:header="0" w:footer="0" w:gutter="0"/>
          <w:cols w:num="2" w:space="720" w:equalWidth="0">
            <w:col w:w="4110" w:space="40"/>
            <w:col w:w="4490"/>
          </w:cols>
        </w:sectPr>
      </w:pPr>
    </w:p>
    <w:p w14:paraId="22F82D1A" w14:textId="77777777" w:rsidR="002653E8" w:rsidRDefault="002653E8">
      <w:pPr>
        <w:pStyle w:val="a3"/>
        <w:rPr>
          <w:rFonts w:ascii="Gill Sans MT"/>
        </w:rPr>
      </w:pPr>
    </w:p>
    <w:p w14:paraId="25E71404" w14:textId="77777777" w:rsidR="002653E8" w:rsidRDefault="002653E8">
      <w:pPr>
        <w:pStyle w:val="a3"/>
        <w:spacing w:before="7"/>
        <w:rPr>
          <w:rFonts w:ascii="Gill Sans MT"/>
          <w:sz w:val="29"/>
        </w:rPr>
      </w:pPr>
    </w:p>
    <w:p w14:paraId="2CF7A190" w14:textId="77777777" w:rsidR="002653E8" w:rsidRDefault="003115E3">
      <w:pPr>
        <w:tabs>
          <w:tab w:val="left" w:pos="3677"/>
        </w:tabs>
        <w:spacing w:before="98" w:line="244" w:lineRule="auto"/>
        <w:ind w:left="5488" w:right="1325" w:hanging="4341"/>
        <w:rPr>
          <w:sz w:val="18"/>
        </w:rPr>
      </w:pPr>
      <w:r>
        <w:rPr>
          <w:color w:val="231F20"/>
          <w:spacing w:val="15"/>
          <w:w w:val="110"/>
          <w:position w:val="5"/>
          <w:sz w:val="18"/>
        </w:rPr>
        <w:t>586</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20"/>
          <w:w w:val="110"/>
          <w:sz w:val="18"/>
        </w:rPr>
        <w:t xml:space="preserve">germany </w:t>
      </w:r>
      <w:r>
        <w:rPr>
          <w:color w:val="231F20"/>
          <w:spacing w:val="18"/>
          <w:w w:val="110"/>
          <w:sz w:val="18"/>
        </w:rPr>
        <w:lastRenderedPageBreak/>
        <w:t xml:space="preserve">february </w:t>
      </w:r>
      <w:r>
        <w:rPr>
          <w:color w:val="231F20"/>
          <w:spacing w:val="11"/>
          <w:w w:val="110"/>
          <w:sz w:val="18"/>
        </w:rPr>
        <w:t>2,</w:t>
      </w:r>
      <w:r>
        <w:rPr>
          <w:color w:val="231F20"/>
          <w:spacing w:val="22"/>
          <w:w w:val="110"/>
          <w:sz w:val="18"/>
        </w:rPr>
        <w:t xml:space="preserve"> </w:t>
      </w:r>
      <w:r>
        <w:rPr>
          <w:color w:val="231F20"/>
          <w:spacing w:val="17"/>
          <w:w w:val="110"/>
          <w:sz w:val="18"/>
        </w:rPr>
        <w:t>1971</w:t>
      </w:r>
      <w:r>
        <w:rPr>
          <w:color w:val="231F20"/>
          <w:spacing w:val="-15"/>
          <w:sz w:val="18"/>
        </w:rPr>
        <w:t xml:space="preserve"> </w:t>
      </w:r>
    </w:p>
    <w:p w14:paraId="32FDEF6C" w14:textId="77777777" w:rsidR="002653E8" w:rsidRDefault="002653E8">
      <w:pPr>
        <w:spacing w:line="244" w:lineRule="auto"/>
        <w:rPr>
          <w:sz w:val="18"/>
        </w:rPr>
        <w:sectPr w:rsidR="002653E8">
          <w:type w:val="continuous"/>
          <w:pgSz w:w="8640" w:h="12960"/>
          <w:pgMar w:top="0" w:right="0" w:bottom="0" w:left="0" w:header="720" w:footer="720" w:gutter="0"/>
          <w:cols w:space="720"/>
        </w:sectPr>
      </w:pPr>
    </w:p>
    <w:p w14:paraId="52D6E178" w14:textId="77777777" w:rsidR="002653E8" w:rsidRDefault="003115E3">
      <w:pPr>
        <w:spacing w:before="91"/>
        <w:ind w:left="1327"/>
        <w:rPr>
          <w:rFonts w:ascii="Arial"/>
          <w:b/>
          <w:sz w:val="18"/>
        </w:rPr>
      </w:pPr>
      <w:r>
        <w:rPr>
          <w:rFonts w:ascii="Arial"/>
          <w:b/>
          <w:color w:val="231F20"/>
          <w:w w:val="115"/>
          <w:sz w:val="18"/>
        </w:rPr>
        <w:lastRenderedPageBreak/>
        <w:t>June 24, 1971</w:t>
      </w:r>
    </w:p>
    <w:p w14:paraId="18948D44" w14:textId="77777777" w:rsidR="002653E8" w:rsidRDefault="003115E3">
      <w:pPr>
        <w:spacing w:before="34" w:line="276" w:lineRule="auto"/>
        <w:ind w:left="1327"/>
        <w:rPr>
          <w:rFonts w:ascii="Gill Sans MT" w:hAnsi="Gill Sans MT"/>
          <w:sz w:val="18"/>
        </w:rPr>
      </w:pPr>
      <w:r>
        <w:rPr>
          <w:rFonts w:ascii="Gill Sans MT" w:hAnsi="Gill Sans MT"/>
          <w:color w:val="231F20"/>
          <w:w w:val="110"/>
          <w:sz w:val="18"/>
        </w:rPr>
        <w:t xml:space="preserve">SPK members exchange fire with the police at a traffic checkpoint, injuring one police </w:t>
      </w:r>
      <w:r>
        <w:rPr>
          <w:rFonts w:ascii="Gill Sans MT" w:hAnsi="Gill Sans MT"/>
          <w:color w:val="231F20"/>
          <w:spacing w:val="-3"/>
          <w:w w:val="110"/>
          <w:sz w:val="18"/>
        </w:rPr>
        <w:t xml:space="preserve">officer. </w:t>
      </w:r>
      <w:r>
        <w:rPr>
          <w:rFonts w:ascii="Gill Sans MT" w:hAnsi="Gill Sans MT"/>
          <w:color w:val="231F20"/>
          <w:w w:val="110"/>
          <w:sz w:val="18"/>
        </w:rPr>
        <w:t xml:space="preserve">The </w:t>
      </w:r>
      <w:r>
        <w:rPr>
          <w:rFonts w:ascii="Gill Sans MT" w:hAnsi="Gill Sans MT"/>
          <w:color w:val="231F20"/>
          <w:spacing w:val="-3"/>
          <w:w w:val="110"/>
          <w:sz w:val="18"/>
        </w:rPr>
        <w:t xml:space="preserve">SPK’s </w:t>
      </w:r>
      <w:r>
        <w:rPr>
          <w:rFonts w:ascii="Gill Sans MT" w:hAnsi="Gill Sans MT"/>
          <w:color w:val="231F20"/>
          <w:w w:val="110"/>
          <w:sz w:val="18"/>
        </w:rPr>
        <w:t>office is raided that evening. The SPK dissolves itself, many of its members going underground and joining the</w:t>
      </w:r>
      <w:r>
        <w:rPr>
          <w:rFonts w:ascii="Gill Sans MT" w:hAnsi="Gill Sans MT"/>
          <w:color w:val="231F20"/>
          <w:spacing w:val="-9"/>
          <w:w w:val="110"/>
          <w:sz w:val="18"/>
        </w:rPr>
        <w:t xml:space="preserve"> </w:t>
      </w:r>
      <w:r w:rsidR="00C507A5">
        <w:rPr>
          <w:rFonts w:ascii="Gill Sans MT" w:hAnsi="Gill Sans MT"/>
          <w:color w:val="231F20"/>
          <w:spacing w:val="-8"/>
          <w:w w:val="110"/>
          <w:sz w:val="18"/>
        </w:rPr>
        <w:t>red army faction</w:t>
      </w:r>
      <w:r>
        <w:rPr>
          <w:rFonts w:ascii="Gill Sans MT" w:hAnsi="Gill Sans MT"/>
          <w:color w:val="231F20"/>
          <w:spacing w:val="-8"/>
          <w:w w:val="110"/>
          <w:sz w:val="18"/>
        </w:rPr>
        <w:t>.</w:t>
      </w:r>
    </w:p>
    <w:p w14:paraId="15FC26EC" w14:textId="77777777" w:rsidR="002653E8" w:rsidRDefault="002653E8">
      <w:pPr>
        <w:pStyle w:val="a3"/>
        <w:spacing w:before="6"/>
        <w:rPr>
          <w:rFonts w:ascii="Gill Sans MT"/>
        </w:rPr>
      </w:pPr>
    </w:p>
    <w:p w14:paraId="056DEE93" w14:textId="77777777" w:rsidR="002653E8" w:rsidRDefault="003115E3">
      <w:pPr>
        <w:spacing w:before="1"/>
        <w:ind w:left="1327"/>
        <w:rPr>
          <w:rFonts w:ascii="Arial"/>
          <w:b/>
          <w:sz w:val="18"/>
        </w:rPr>
      </w:pPr>
      <w:r>
        <w:rPr>
          <w:rFonts w:ascii="Arial"/>
          <w:b/>
          <w:color w:val="231F20"/>
          <w:w w:val="115"/>
          <w:sz w:val="18"/>
        </w:rPr>
        <w:t>July 1971</w:t>
      </w:r>
    </w:p>
    <w:p w14:paraId="656631C6" w14:textId="77777777" w:rsidR="002653E8" w:rsidRDefault="00C507A5">
      <w:pPr>
        <w:spacing w:before="34" w:line="276" w:lineRule="auto"/>
        <w:ind w:left="1327" w:right="162"/>
        <w:rPr>
          <w:rFonts w:ascii="Gill Sans MT"/>
          <w:sz w:val="18"/>
        </w:rPr>
      </w:pPr>
      <w:r>
        <w:rPr>
          <w:rFonts w:ascii="Gill Sans MT"/>
          <w:color w:val="231F20"/>
          <w:w w:val="110"/>
          <w:sz w:val="18"/>
        </w:rPr>
        <w:t>red army faction</w:t>
      </w:r>
      <w:r w:rsidR="003115E3">
        <w:rPr>
          <w:rFonts w:ascii="Gill Sans MT"/>
          <w:color w:val="231F20"/>
          <w:w w:val="110"/>
          <w:sz w:val="18"/>
        </w:rPr>
        <w:t xml:space="preserve"> members meet with the Blues and </w:t>
      </w:r>
      <w:r w:rsidR="003115E3">
        <w:rPr>
          <w:rFonts w:ascii="Gill Sans MT"/>
          <w:color w:val="231F20"/>
          <w:spacing w:val="-3"/>
          <w:w w:val="110"/>
          <w:sz w:val="18"/>
        </w:rPr>
        <w:t xml:space="preserve">Tupamaros-West </w:t>
      </w:r>
      <w:r w:rsidR="003115E3">
        <w:rPr>
          <w:rFonts w:ascii="Gill Sans MT"/>
          <w:color w:val="231F20"/>
          <w:w w:val="110"/>
          <w:sz w:val="18"/>
        </w:rPr>
        <w:t xml:space="preserve">Berlin members to discuss the possibility of organizational fusion. Thomas Weissbecker and Angela Luther express an interest and begin working with </w:t>
      </w:r>
      <w:r>
        <w:rPr>
          <w:rFonts w:ascii="Gill Sans MT"/>
          <w:color w:val="231F20"/>
          <w:w w:val="110"/>
          <w:sz w:val="18"/>
        </w:rPr>
        <w:t>red army faction</w:t>
      </w:r>
      <w:r w:rsidR="003115E3">
        <w:rPr>
          <w:rFonts w:ascii="Gill Sans MT"/>
          <w:color w:val="231F20"/>
          <w:spacing w:val="-17"/>
          <w:w w:val="110"/>
          <w:sz w:val="18"/>
        </w:rPr>
        <w:t xml:space="preserve"> </w:t>
      </w:r>
      <w:r w:rsidR="003115E3">
        <w:rPr>
          <w:rFonts w:ascii="Gill Sans MT"/>
          <w:color w:val="231F20"/>
          <w:w w:val="110"/>
          <w:sz w:val="18"/>
        </w:rPr>
        <w:t>members.</w:t>
      </w:r>
    </w:p>
    <w:p w14:paraId="1C9077DC" w14:textId="77777777" w:rsidR="002653E8" w:rsidRDefault="002653E8">
      <w:pPr>
        <w:pStyle w:val="a3"/>
        <w:spacing w:before="6"/>
        <w:rPr>
          <w:rFonts w:ascii="Gill Sans MT"/>
        </w:rPr>
      </w:pPr>
    </w:p>
    <w:p w14:paraId="6D530138" w14:textId="77777777" w:rsidR="002653E8" w:rsidRDefault="003115E3">
      <w:pPr>
        <w:ind w:left="1327"/>
        <w:rPr>
          <w:rFonts w:ascii="Arial"/>
          <w:b/>
          <w:sz w:val="18"/>
        </w:rPr>
      </w:pPr>
      <w:r>
        <w:rPr>
          <w:rFonts w:ascii="Arial"/>
          <w:b/>
          <w:color w:val="231F20"/>
          <w:w w:val="115"/>
          <w:sz w:val="18"/>
        </w:rPr>
        <w:t>July 8, 1971</w:t>
      </w:r>
    </w:p>
    <w:p w14:paraId="2462BA6E" w14:textId="77777777" w:rsidR="002653E8" w:rsidRDefault="003115E3">
      <w:pPr>
        <w:spacing w:before="35" w:line="273" w:lineRule="auto"/>
        <w:ind w:left="1327" w:right="180"/>
        <w:rPr>
          <w:rFonts w:ascii="Lucida Sans" w:hAnsi="Lucida Sans"/>
          <w:i/>
          <w:sz w:val="18"/>
        </w:rPr>
      </w:pPr>
      <w:r>
        <w:rPr>
          <w:rFonts w:ascii="Gill Sans MT" w:hAnsi="Gill Sans MT"/>
          <w:color w:val="231F20"/>
          <w:w w:val="110"/>
          <w:sz w:val="18"/>
        </w:rPr>
        <w:t xml:space="preserve">Blues members Thomas Weissbecker, Michael “Bommi” Baumann, and Georg von Rauch go to trial for beating </w:t>
      </w:r>
      <w:r>
        <w:rPr>
          <w:rFonts w:ascii="Lucida Sans" w:hAnsi="Lucida Sans"/>
          <w:i/>
          <w:color w:val="231F20"/>
          <w:w w:val="110"/>
          <w:sz w:val="18"/>
        </w:rPr>
        <w:t>Quick</w:t>
      </w:r>
    </w:p>
    <w:p w14:paraId="7A96D5D0" w14:textId="77777777" w:rsidR="002653E8" w:rsidRDefault="003115E3">
      <w:pPr>
        <w:spacing w:before="1" w:line="276" w:lineRule="auto"/>
        <w:ind w:left="1327" w:right="-2"/>
        <w:rPr>
          <w:rFonts w:ascii="Gill Sans MT"/>
          <w:sz w:val="18"/>
        </w:rPr>
      </w:pPr>
      <w:r>
        <w:rPr>
          <w:rFonts w:ascii="Gill Sans MT"/>
          <w:color w:val="231F20"/>
          <w:w w:val="110"/>
          <w:sz w:val="18"/>
        </w:rPr>
        <w:t>journalist Horst Rieck. Baumann</w:t>
      </w:r>
      <w:r>
        <w:rPr>
          <w:rFonts w:ascii="Gill Sans MT"/>
          <w:color w:val="231F20"/>
          <w:spacing w:val="-23"/>
          <w:w w:val="110"/>
          <w:sz w:val="18"/>
        </w:rPr>
        <w:t xml:space="preserve"> </w:t>
      </w:r>
      <w:r>
        <w:rPr>
          <w:rFonts w:ascii="Gill Sans MT"/>
          <w:color w:val="231F20"/>
          <w:w w:val="110"/>
          <w:sz w:val="18"/>
        </w:rPr>
        <w:t>and Weissbecker are released on</w:t>
      </w:r>
      <w:r>
        <w:rPr>
          <w:rFonts w:ascii="Gill Sans MT"/>
          <w:color w:val="231F20"/>
          <w:spacing w:val="-20"/>
          <w:w w:val="110"/>
          <w:sz w:val="18"/>
        </w:rPr>
        <w:t xml:space="preserve"> </w:t>
      </w:r>
      <w:r>
        <w:rPr>
          <w:rFonts w:ascii="Gill Sans MT"/>
          <w:color w:val="231F20"/>
          <w:w w:val="110"/>
          <w:sz w:val="18"/>
        </w:rPr>
        <w:t>bail.</w:t>
      </w:r>
    </w:p>
    <w:p w14:paraId="07959430" w14:textId="77777777" w:rsidR="002653E8" w:rsidRDefault="003115E3">
      <w:pPr>
        <w:spacing w:line="276" w:lineRule="auto"/>
        <w:ind w:left="1327" w:right="21"/>
        <w:rPr>
          <w:rFonts w:ascii="Gill Sans MT"/>
          <w:sz w:val="18"/>
        </w:rPr>
      </w:pPr>
      <w:r>
        <w:rPr>
          <w:rFonts w:ascii="Gill Sans MT"/>
          <w:color w:val="231F20"/>
          <w:spacing w:val="-4"/>
          <w:w w:val="115"/>
          <w:sz w:val="18"/>
        </w:rPr>
        <w:t xml:space="preserve">Von </w:t>
      </w:r>
      <w:r>
        <w:rPr>
          <w:rFonts w:ascii="Gill Sans MT"/>
          <w:color w:val="231F20"/>
          <w:w w:val="115"/>
          <w:sz w:val="18"/>
        </w:rPr>
        <w:t>Rauch, facing other charges, with a possible ten year sentence, pretends to be Weissbecker (the two men strongly resemble each other) and leaves with Baumann. Weissbecker</w:t>
      </w:r>
      <w:r>
        <w:rPr>
          <w:rFonts w:ascii="Gill Sans MT"/>
          <w:color w:val="231F20"/>
          <w:spacing w:val="-33"/>
          <w:w w:val="115"/>
          <w:sz w:val="18"/>
        </w:rPr>
        <w:t xml:space="preserve"> </w:t>
      </w:r>
      <w:r>
        <w:rPr>
          <w:rFonts w:ascii="Gill Sans MT"/>
          <w:color w:val="231F20"/>
          <w:w w:val="115"/>
          <w:sz w:val="18"/>
        </w:rPr>
        <w:t>is</w:t>
      </w:r>
      <w:r>
        <w:rPr>
          <w:rFonts w:ascii="Gill Sans MT"/>
          <w:color w:val="231F20"/>
          <w:spacing w:val="-33"/>
          <w:w w:val="115"/>
          <w:sz w:val="18"/>
        </w:rPr>
        <w:t xml:space="preserve"> </w:t>
      </w:r>
      <w:r>
        <w:rPr>
          <w:rFonts w:ascii="Gill Sans MT"/>
          <w:color w:val="231F20"/>
          <w:w w:val="115"/>
          <w:sz w:val="18"/>
        </w:rPr>
        <w:t>later</w:t>
      </w:r>
      <w:r>
        <w:rPr>
          <w:rFonts w:ascii="Gill Sans MT"/>
          <w:color w:val="231F20"/>
          <w:spacing w:val="-33"/>
          <w:w w:val="115"/>
          <w:sz w:val="18"/>
        </w:rPr>
        <w:t xml:space="preserve"> </w:t>
      </w:r>
      <w:r>
        <w:rPr>
          <w:rFonts w:ascii="Gill Sans MT"/>
          <w:color w:val="231F20"/>
          <w:w w:val="115"/>
          <w:sz w:val="18"/>
        </w:rPr>
        <w:t>released</w:t>
      </w:r>
      <w:r>
        <w:rPr>
          <w:rFonts w:ascii="Gill Sans MT"/>
          <w:color w:val="231F20"/>
          <w:spacing w:val="-33"/>
          <w:w w:val="115"/>
          <w:sz w:val="18"/>
        </w:rPr>
        <w:t xml:space="preserve"> </w:t>
      </w:r>
      <w:r>
        <w:rPr>
          <w:rFonts w:ascii="Gill Sans MT"/>
          <w:color w:val="231F20"/>
          <w:w w:val="115"/>
          <w:sz w:val="18"/>
        </w:rPr>
        <w:t>by</w:t>
      </w:r>
      <w:r>
        <w:rPr>
          <w:rFonts w:ascii="Gill Sans MT"/>
          <w:color w:val="231F20"/>
          <w:spacing w:val="-33"/>
          <w:w w:val="115"/>
          <w:sz w:val="18"/>
        </w:rPr>
        <w:t xml:space="preserve"> </w:t>
      </w:r>
      <w:r>
        <w:rPr>
          <w:rFonts w:ascii="Gill Sans MT"/>
          <w:color w:val="231F20"/>
          <w:w w:val="115"/>
          <w:sz w:val="18"/>
        </w:rPr>
        <w:t>the embarrassed authorities. All three go underground. This marks the beginning of the process</w:t>
      </w:r>
      <w:r>
        <w:rPr>
          <w:rFonts w:ascii="Gill Sans MT"/>
          <w:color w:val="231F20"/>
          <w:spacing w:val="-13"/>
          <w:w w:val="115"/>
          <w:sz w:val="18"/>
        </w:rPr>
        <w:t xml:space="preserve"> </w:t>
      </w:r>
      <w:r>
        <w:rPr>
          <w:rFonts w:ascii="Gill Sans MT"/>
          <w:color w:val="231F20"/>
          <w:w w:val="115"/>
          <w:sz w:val="18"/>
        </w:rPr>
        <w:t>leading</w:t>
      </w:r>
    </w:p>
    <w:p w14:paraId="1062A03A" w14:textId="77777777" w:rsidR="002653E8" w:rsidRDefault="003115E3">
      <w:pPr>
        <w:spacing w:line="276" w:lineRule="auto"/>
        <w:ind w:left="1327"/>
        <w:rPr>
          <w:rFonts w:ascii="Gill Sans MT"/>
          <w:sz w:val="18"/>
        </w:rPr>
      </w:pPr>
      <w:r>
        <w:rPr>
          <w:rFonts w:ascii="Gill Sans MT"/>
          <w:color w:val="231F20"/>
          <w:w w:val="110"/>
          <w:sz w:val="18"/>
        </w:rPr>
        <w:t xml:space="preserve">to the formation of the </w:t>
      </w:r>
      <w:r>
        <w:rPr>
          <w:rFonts w:ascii="Arial"/>
          <w:color w:val="231F20"/>
          <w:w w:val="110"/>
          <w:sz w:val="18"/>
        </w:rPr>
        <w:t>2</w:t>
      </w:r>
      <w:r>
        <w:rPr>
          <w:rFonts w:ascii="Gill Sans MT"/>
          <w:color w:val="231F20"/>
          <w:w w:val="110"/>
          <w:sz w:val="18"/>
        </w:rPr>
        <w:t>nd of June Movement (2JM), a West Berlinbased anarchist guerilla group.</w:t>
      </w:r>
    </w:p>
    <w:p w14:paraId="32A979AF" w14:textId="77777777" w:rsidR="002653E8" w:rsidRDefault="002653E8">
      <w:pPr>
        <w:pStyle w:val="a3"/>
        <w:spacing w:before="4"/>
        <w:rPr>
          <w:rFonts w:ascii="Gill Sans MT"/>
        </w:rPr>
      </w:pPr>
    </w:p>
    <w:p w14:paraId="2AADF349" w14:textId="77777777" w:rsidR="002653E8" w:rsidRDefault="003115E3">
      <w:pPr>
        <w:ind w:left="1327"/>
        <w:rPr>
          <w:rFonts w:ascii="Arial"/>
          <w:b/>
          <w:sz w:val="18"/>
        </w:rPr>
      </w:pPr>
      <w:r>
        <w:rPr>
          <w:rFonts w:ascii="Arial"/>
          <w:b/>
          <w:color w:val="231F20"/>
          <w:w w:val="115"/>
          <w:sz w:val="18"/>
        </w:rPr>
        <w:t>July 15, 1971</w:t>
      </w:r>
    </w:p>
    <w:p w14:paraId="6E5B00A6" w14:textId="77777777" w:rsidR="002653E8" w:rsidRDefault="003115E3">
      <w:pPr>
        <w:spacing w:before="28" w:line="273" w:lineRule="auto"/>
        <w:ind w:left="1327"/>
        <w:rPr>
          <w:rFonts w:ascii="Gill Sans MT"/>
          <w:sz w:val="18"/>
        </w:rPr>
      </w:pPr>
      <w:r>
        <w:rPr>
          <w:rFonts w:ascii="Gill Sans MT"/>
          <w:color w:val="231F20"/>
          <w:w w:val="110"/>
          <w:sz w:val="18"/>
        </w:rPr>
        <w:t xml:space="preserve">during </w:t>
      </w:r>
      <w:r>
        <w:rPr>
          <w:rFonts w:ascii="Lucida Sans"/>
          <w:i/>
          <w:color w:val="231F20"/>
          <w:w w:val="110"/>
          <w:sz w:val="18"/>
        </w:rPr>
        <w:t xml:space="preserve">Aktion kobra </w:t>
      </w:r>
      <w:r>
        <w:rPr>
          <w:rFonts w:ascii="Gill Sans MT"/>
          <w:color w:val="231F20"/>
          <w:w w:val="110"/>
          <w:sz w:val="18"/>
        </w:rPr>
        <w:t xml:space="preserve">(Operation Cobra), a manhunt involving </w:t>
      </w:r>
      <w:r>
        <w:rPr>
          <w:rFonts w:ascii="Arial"/>
          <w:color w:val="231F20"/>
          <w:w w:val="110"/>
          <w:sz w:val="18"/>
        </w:rPr>
        <w:t xml:space="preserve">3,000 </w:t>
      </w:r>
      <w:r>
        <w:rPr>
          <w:rFonts w:ascii="Gill Sans MT"/>
          <w:color w:val="231F20"/>
          <w:w w:val="110"/>
          <w:sz w:val="18"/>
        </w:rPr>
        <w:t xml:space="preserve">police officers, </w:t>
      </w:r>
      <w:r w:rsidR="00C507A5">
        <w:rPr>
          <w:rFonts w:ascii="Gill Sans MT"/>
          <w:color w:val="231F20"/>
          <w:w w:val="110"/>
          <w:sz w:val="18"/>
        </w:rPr>
        <w:t>red army faction</w:t>
      </w:r>
      <w:r>
        <w:rPr>
          <w:rFonts w:ascii="Gill Sans MT"/>
          <w:color w:val="231F20"/>
          <w:w w:val="110"/>
          <w:sz w:val="18"/>
        </w:rPr>
        <w:t xml:space="preserve"> member Petra</w:t>
      </w:r>
    </w:p>
    <w:p w14:paraId="3434C4EF" w14:textId="77777777" w:rsidR="002653E8" w:rsidRDefault="003115E3">
      <w:pPr>
        <w:spacing w:before="105" w:line="276" w:lineRule="auto"/>
        <w:ind w:left="233" w:right="1152"/>
        <w:rPr>
          <w:rFonts w:ascii="Gill Sans MT"/>
          <w:sz w:val="18"/>
        </w:rPr>
      </w:pPr>
      <w:r>
        <w:br w:type="column"/>
      </w:r>
      <w:r>
        <w:rPr>
          <w:rFonts w:ascii="Gill Sans MT"/>
          <w:color w:val="231F20"/>
          <w:w w:val="110"/>
          <w:sz w:val="18"/>
        </w:rPr>
        <w:t>Schelm is shot and killed by the police at a Hamburg roadblock. Werner Hoppe is arrested and charged with attempted murder of a police officer.</w:t>
      </w:r>
    </w:p>
    <w:p w14:paraId="6773DC90" w14:textId="77777777" w:rsidR="002653E8" w:rsidRDefault="002653E8">
      <w:pPr>
        <w:pStyle w:val="a3"/>
        <w:spacing w:before="6"/>
        <w:rPr>
          <w:rFonts w:ascii="Gill Sans MT"/>
        </w:rPr>
      </w:pPr>
    </w:p>
    <w:p w14:paraId="62E1750D" w14:textId="77777777" w:rsidR="002653E8" w:rsidRDefault="003115E3">
      <w:pPr>
        <w:ind w:left="233"/>
        <w:rPr>
          <w:rFonts w:ascii="Arial"/>
          <w:b/>
          <w:sz w:val="18"/>
        </w:rPr>
      </w:pPr>
      <w:r>
        <w:rPr>
          <w:rFonts w:ascii="Arial"/>
          <w:b/>
          <w:color w:val="231F20"/>
          <w:w w:val="115"/>
          <w:sz w:val="18"/>
        </w:rPr>
        <w:t>July 25, 1971</w:t>
      </w:r>
    </w:p>
    <w:p w14:paraId="7E544D69" w14:textId="77777777" w:rsidR="002653E8" w:rsidRDefault="003115E3">
      <w:pPr>
        <w:spacing w:before="34" w:line="276" w:lineRule="auto"/>
        <w:ind w:left="233" w:right="1169"/>
        <w:rPr>
          <w:rFonts w:ascii="Gill Sans MT"/>
          <w:sz w:val="18"/>
        </w:rPr>
      </w:pPr>
      <w:r>
        <w:rPr>
          <w:rFonts w:ascii="Gill Sans MT"/>
          <w:color w:val="231F20"/>
          <w:w w:val="115"/>
          <w:sz w:val="18"/>
        </w:rPr>
        <w:t>The respected Allensbach Institute publishes</w:t>
      </w:r>
      <w:r>
        <w:rPr>
          <w:rFonts w:ascii="Gill Sans MT"/>
          <w:color w:val="231F20"/>
          <w:spacing w:val="-12"/>
          <w:w w:val="115"/>
          <w:sz w:val="18"/>
        </w:rPr>
        <w:t xml:space="preserve"> </w:t>
      </w:r>
      <w:r>
        <w:rPr>
          <w:rFonts w:ascii="Gill Sans MT"/>
          <w:color w:val="231F20"/>
          <w:w w:val="115"/>
          <w:sz w:val="18"/>
        </w:rPr>
        <w:t>a</w:t>
      </w:r>
      <w:r>
        <w:rPr>
          <w:rFonts w:ascii="Gill Sans MT"/>
          <w:color w:val="231F20"/>
          <w:spacing w:val="-12"/>
          <w:w w:val="115"/>
          <w:sz w:val="18"/>
        </w:rPr>
        <w:t xml:space="preserve"> </w:t>
      </w:r>
      <w:r>
        <w:rPr>
          <w:rFonts w:ascii="Gill Sans MT"/>
          <w:color w:val="231F20"/>
          <w:w w:val="115"/>
          <w:sz w:val="18"/>
        </w:rPr>
        <w:t>poll</w:t>
      </w:r>
      <w:r>
        <w:rPr>
          <w:rFonts w:ascii="Gill Sans MT"/>
          <w:color w:val="231F20"/>
          <w:spacing w:val="-12"/>
          <w:w w:val="115"/>
          <w:sz w:val="18"/>
        </w:rPr>
        <w:t xml:space="preserve"> </w:t>
      </w:r>
      <w:r>
        <w:rPr>
          <w:rFonts w:ascii="Gill Sans MT"/>
          <w:color w:val="231F20"/>
          <w:w w:val="115"/>
          <w:sz w:val="18"/>
        </w:rPr>
        <w:t>indicating</w:t>
      </w:r>
      <w:r>
        <w:rPr>
          <w:rFonts w:ascii="Gill Sans MT"/>
          <w:color w:val="231F20"/>
          <w:spacing w:val="-12"/>
          <w:w w:val="115"/>
          <w:sz w:val="18"/>
        </w:rPr>
        <w:t xml:space="preserve"> </w:t>
      </w:r>
      <w:r>
        <w:rPr>
          <w:rFonts w:ascii="Gill Sans MT"/>
          <w:color w:val="231F20"/>
          <w:w w:val="115"/>
          <w:sz w:val="18"/>
        </w:rPr>
        <w:t>that</w:t>
      </w:r>
      <w:r>
        <w:rPr>
          <w:rFonts w:ascii="Gill Sans MT"/>
          <w:color w:val="231F20"/>
          <w:spacing w:val="-12"/>
          <w:w w:val="115"/>
          <w:sz w:val="18"/>
        </w:rPr>
        <w:t xml:space="preserve"> </w:t>
      </w:r>
      <w:r>
        <w:rPr>
          <w:rFonts w:ascii="Arial"/>
          <w:color w:val="231F20"/>
          <w:w w:val="115"/>
          <w:sz w:val="18"/>
        </w:rPr>
        <w:t>20</w:t>
      </w:r>
      <w:r>
        <w:rPr>
          <w:rFonts w:ascii="Gill Sans MT"/>
          <w:color w:val="231F20"/>
          <w:w w:val="115"/>
          <w:sz w:val="18"/>
        </w:rPr>
        <w:t xml:space="preserve">% of </w:t>
      </w:r>
      <w:r>
        <w:rPr>
          <w:rFonts w:ascii="Gill Sans MT"/>
          <w:color w:val="231F20"/>
          <w:spacing w:val="-3"/>
          <w:w w:val="115"/>
          <w:sz w:val="18"/>
        </w:rPr>
        <w:t xml:space="preserve">West </w:t>
      </w:r>
      <w:r>
        <w:rPr>
          <w:rFonts w:ascii="Gill Sans MT"/>
          <w:color w:val="231F20"/>
          <w:w w:val="115"/>
          <w:sz w:val="18"/>
        </w:rPr>
        <w:t>Germans younger than thirty</w:t>
      </w:r>
      <w:r>
        <w:rPr>
          <w:rFonts w:ascii="Gill Sans MT"/>
          <w:color w:val="231F20"/>
          <w:spacing w:val="-25"/>
          <w:w w:val="115"/>
          <w:sz w:val="18"/>
        </w:rPr>
        <w:t xml:space="preserve"> </w:t>
      </w:r>
      <w:r>
        <w:rPr>
          <w:rFonts w:ascii="Gill Sans MT"/>
          <w:color w:val="231F20"/>
          <w:w w:val="115"/>
          <w:sz w:val="18"/>
        </w:rPr>
        <w:t>feel</w:t>
      </w:r>
      <w:r>
        <w:rPr>
          <w:rFonts w:ascii="Gill Sans MT"/>
          <w:color w:val="231F20"/>
          <w:spacing w:val="-25"/>
          <w:w w:val="115"/>
          <w:sz w:val="18"/>
        </w:rPr>
        <w:t xml:space="preserve"> </w:t>
      </w:r>
      <w:r>
        <w:rPr>
          <w:rFonts w:ascii="Gill Sans MT"/>
          <w:color w:val="231F20"/>
          <w:w w:val="115"/>
          <w:sz w:val="18"/>
        </w:rPr>
        <w:t>a</w:t>
      </w:r>
      <w:r>
        <w:rPr>
          <w:rFonts w:ascii="Gill Sans MT"/>
          <w:color w:val="231F20"/>
          <w:spacing w:val="-25"/>
          <w:w w:val="115"/>
          <w:sz w:val="18"/>
        </w:rPr>
        <w:t xml:space="preserve"> </w:t>
      </w:r>
      <w:r>
        <w:rPr>
          <w:rFonts w:ascii="Gill Sans MT"/>
          <w:color w:val="231F20"/>
          <w:w w:val="115"/>
          <w:sz w:val="18"/>
        </w:rPr>
        <w:t>certain</w:t>
      </w:r>
      <w:r>
        <w:rPr>
          <w:rFonts w:ascii="Gill Sans MT"/>
          <w:color w:val="231F20"/>
          <w:spacing w:val="-25"/>
          <w:w w:val="115"/>
          <w:sz w:val="18"/>
        </w:rPr>
        <w:t xml:space="preserve"> </w:t>
      </w:r>
      <w:r>
        <w:rPr>
          <w:rFonts w:ascii="Gill Sans MT"/>
          <w:color w:val="231F20"/>
          <w:w w:val="115"/>
          <w:sz w:val="18"/>
        </w:rPr>
        <w:t>sympathy</w:t>
      </w:r>
      <w:r>
        <w:rPr>
          <w:rFonts w:ascii="Gill Sans MT"/>
          <w:color w:val="231F20"/>
          <w:spacing w:val="-25"/>
          <w:w w:val="115"/>
          <w:sz w:val="18"/>
        </w:rPr>
        <w:t xml:space="preserve"> </w:t>
      </w:r>
      <w:r>
        <w:rPr>
          <w:rFonts w:ascii="Gill Sans MT"/>
          <w:color w:val="231F20"/>
          <w:w w:val="115"/>
          <w:sz w:val="18"/>
        </w:rPr>
        <w:t>for</w:t>
      </w:r>
      <w:r>
        <w:rPr>
          <w:rFonts w:ascii="Gill Sans MT"/>
          <w:color w:val="231F20"/>
          <w:spacing w:val="-25"/>
          <w:w w:val="115"/>
          <w:sz w:val="18"/>
        </w:rPr>
        <w:t xml:space="preserve"> </w:t>
      </w:r>
      <w:r>
        <w:rPr>
          <w:rFonts w:ascii="Gill Sans MT"/>
          <w:color w:val="231F20"/>
          <w:w w:val="115"/>
          <w:sz w:val="18"/>
        </w:rPr>
        <w:t>the</w:t>
      </w:r>
      <w:r>
        <w:rPr>
          <w:rFonts w:ascii="Gill Sans MT"/>
          <w:color w:val="231F20"/>
          <w:w w:val="111"/>
          <w:sz w:val="18"/>
        </w:rPr>
        <w:t xml:space="preserve"> </w:t>
      </w:r>
      <w:r w:rsidR="00C507A5">
        <w:rPr>
          <w:rFonts w:ascii="Gill Sans MT"/>
          <w:color w:val="231F20"/>
          <w:w w:val="115"/>
          <w:sz w:val="18"/>
        </w:rPr>
        <w:t>red army faction</w:t>
      </w:r>
      <w:r>
        <w:rPr>
          <w:rFonts w:ascii="Gill Sans MT"/>
          <w:color w:val="231F20"/>
          <w:w w:val="115"/>
          <w:sz w:val="18"/>
        </w:rPr>
        <w:t xml:space="preserve"> and </w:t>
      </w:r>
      <w:r>
        <w:rPr>
          <w:rFonts w:ascii="Arial"/>
          <w:color w:val="231F20"/>
          <w:w w:val="115"/>
          <w:sz w:val="18"/>
        </w:rPr>
        <w:t>10</w:t>
      </w:r>
      <w:r>
        <w:rPr>
          <w:rFonts w:ascii="Gill Sans MT"/>
          <w:color w:val="231F20"/>
          <w:w w:val="115"/>
          <w:sz w:val="18"/>
        </w:rPr>
        <w:t>% of the population in the</w:t>
      </w:r>
      <w:r>
        <w:rPr>
          <w:rFonts w:ascii="Gill Sans MT"/>
          <w:color w:val="231F20"/>
          <w:spacing w:val="-26"/>
          <w:w w:val="115"/>
          <w:sz w:val="18"/>
        </w:rPr>
        <w:t xml:space="preserve"> </w:t>
      </w:r>
      <w:r>
        <w:rPr>
          <w:rFonts w:ascii="Gill Sans MT"/>
          <w:color w:val="231F20"/>
          <w:w w:val="115"/>
          <w:sz w:val="18"/>
        </w:rPr>
        <w:t>north</w:t>
      </w:r>
      <w:r>
        <w:rPr>
          <w:rFonts w:ascii="Gill Sans MT"/>
          <w:color w:val="231F20"/>
          <w:spacing w:val="-26"/>
          <w:w w:val="115"/>
          <w:sz w:val="18"/>
        </w:rPr>
        <w:t xml:space="preserve"> </w:t>
      </w:r>
      <w:r>
        <w:rPr>
          <w:rFonts w:ascii="Gill Sans MT"/>
          <w:color w:val="231F20"/>
          <w:w w:val="115"/>
          <w:sz w:val="18"/>
        </w:rPr>
        <w:t>of</w:t>
      </w:r>
      <w:r>
        <w:rPr>
          <w:rFonts w:ascii="Gill Sans MT"/>
          <w:color w:val="231F20"/>
          <w:spacing w:val="-26"/>
          <w:w w:val="115"/>
          <w:sz w:val="18"/>
        </w:rPr>
        <w:t xml:space="preserve"> </w:t>
      </w:r>
      <w:r>
        <w:rPr>
          <w:rFonts w:ascii="Gill Sans MT"/>
          <w:color w:val="231F20"/>
          <w:spacing w:val="-3"/>
          <w:w w:val="115"/>
          <w:sz w:val="18"/>
        </w:rPr>
        <w:t>West</w:t>
      </w:r>
      <w:r>
        <w:rPr>
          <w:rFonts w:ascii="Gill Sans MT"/>
          <w:color w:val="231F20"/>
          <w:spacing w:val="-26"/>
          <w:w w:val="115"/>
          <w:sz w:val="18"/>
        </w:rPr>
        <w:t xml:space="preserve"> </w:t>
      </w:r>
      <w:r>
        <w:rPr>
          <w:rFonts w:ascii="Gill Sans MT"/>
          <w:color w:val="231F20"/>
          <w:w w:val="115"/>
          <w:sz w:val="18"/>
        </w:rPr>
        <w:t>Germany</w:t>
      </w:r>
      <w:r>
        <w:rPr>
          <w:rFonts w:ascii="Gill Sans MT"/>
          <w:color w:val="231F20"/>
          <w:spacing w:val="-26"/>
          <w:w w:val="115"/>
          <w:sz w:val="18"/>
        </w:rPr>
        <w:t xml:space="preserve"> </w:t>
      </w:r>
      <w:r>
        <w:rPr>
          <w:rFonts w:ascii="Gill Sans MT"/>
          <w:color w:val="231F20"/>
          <w:w w:val="115"/>
          <w:sz w:val="18"/>
        </w:rPr>
        <w:t>would shelter</w:t>
      </w:r>
      <w:r>
        <w:rPr>
          <w:rFonts w:ascii="Gill Sans MT"/>
          <w:color w:val="231F20"/>
          <w:spacing w:val="-16"/>
          <w:w w:val="115"/>
          <w:sz w:val="18"/>
        </w:rPr>
        <w:t xml:space="preserve"> </w:t>
      </w:r>
      <w:r>
        <w:rPr>
          <w:rFonts w:ascii="Gill Sans MT"/>
          <w:color w:val="231F20"/>
          <w:w w:val="115"/>
          <w:sz w:val="18"/>
        </w:rPr>
        <w:t>a</w:t>
      </w:r>
      <w:r>
        <w:rPr>
          <w:rFonts w:ascii="Gill Sans MT"/>
          <w:color w:val="231F20"/>
          <w:spacing w:val="-16"/>
          <w:w w:val="115"/>
          <w:sz w:val="18"/>
        </w:rPr>
        <w:t xml:space="preserve"> </w:t>
      </w:r>
      <w:r w:rsidR="00C507A5">
        <w:rPr>
          <w:rFonts w:ascii="Gill Sans MT"/>
          <w:color w:val="231F20"/>
          <w:w w:val="115"/>
          <w:sz w:val="18"/>
        </w:rPr>
        <w:t>red army faction</w:t>
      </w:r>
      <w:r>
        <w:rPr>
          <w:rFonts w:ascii="Gill Sans MT"/>
          <w:color w:val="231F20"/>
          <w:spacing w:val="-16"/>
          <w:w w:val="115"/>
          <w:sz w:val="18"/>
        </w:rPr>
        <w:t xml:space="preserve"> </w:t>
      </w:r>
      <w:r>
        <w:rPr>
          <w:rFonts w:ascii="Gill Sans MT"/>
          <w:color w:val="231F20"/>
          <w:w w:val="115"/>
          <w:sz w:val="18"/>
        </w:rPr>
        <w:t>member</w:t>
      </w:r>
      <w:r>
        <w:rPr>
          <w:rFonts w:ascii="Gill Sans MT"/>
          <w:color w:val="231F20"/>
          <w:spacing w:val="-16"/>
          <w:w w:val="115"/>
          <w:sz w:val="18"/>
        </w:rPr>
        <w:t xml:space="preserve"> </w:t>
      </w:r>
      <w:r>
        <w:rPr>
          <w:rFonts w:ascii="Gill Sans MT"/>
          <w:color w:val="231F20"/>
          <w:w w:val="115"/>
          <w:sz w:val="18"/>
        </w:rPr>
        <w:t>for</w:t>
      </w:r>
      <w:r>
        <w:rPr>
          <w:rFonts w:ascii="Gill Sans MT"/>
          <w:color w:val="231F20"/>
          <w:spacing w:val="-16"/>
          <w:w w:val="115"/>
          <w:sz w:val="18"/>
        </w:rPr>
        <w:t xml:space="preserve"> </w:t>
      </w:r>
      <w:r>
        <w:rPr>
          <w:rFonts w:ascii="Gill Sans MT"/>
          <w:color w:val="231F20"/>
          <w:w w:val="115"/>
          <w:sz w:val="18"/>
        </w:rPr>
        <w:t>a</w:t>
      </w:r>
      <w:r>
        <w:rPr>
          <w:rFonts w:ascii="Gill Sans MT"/>
          <w:color w:val="231F20"/>
          <w:spacing w:val="-16"/>
          <w:w w:val="115"/>
          <w:sz w:val="18"/>
        </w:rPr>
        <w:t xml:space="preserve"> </w:t>
      </w:r>
      <w:r>
        <w:rPr>
          <w:rFonts w:ascii="Gill Sans MT"/>
          <w:color w:val="231F20"/>
          <w:w w:val="115"/>
          <w:sz w:val="18"/>
        </w:rPr>
        <w:t>night.</w:t>
      </w:r>
    </w:p>
    <w:p w14:paraId="032A9F3F" w14:textId="77777777" w:rsidR="002653E8" w:rsidRDefault="002653E8">
      <w:pPr>
        <w:pStyle w:val="a3"/>
        <w:spacing w:before="3"/>
        <w:rPr>
          <w:rFonts w:ascii="Gill Sans MT"/>
        </w:rPr>
      </w:pPr>
    </w:p>
    <w:p w14:paraId="152BEF28" w14:textId="77777777" w:rsidR="002653E8" w:rsidRDefault="003115E3">
      <w:pPr>
        <w:spacing w:before="1"/>
        <w:ind w:left="233"/>
        <w:rPr>
          <w:rFonts w:ascii="Arial"/>
          <w:b/>
          <w:sz w:val="18"/>
        </w:rPr>
      </w:pPr>
      <w:r>
        <w:rPr>
          <w:rFonts w:ascii="Arial"/>
          <w:b/>
          <w:color w:val="231F20"/>
          <w:w w:val="115"/>
          <w:sz w:val="18"/>
        </w:rPr>
        <w:t>September 1971</w:t>
      </w:r>
    </w:p>
    <w:p w14:paraId="51829F02" w14:textId="77777777" w:rsidR="002653E8" w:rsidRDefault="003115E3">
      <w:pPr>
        <w:spacing w:before="34" w:line="273" w:lineRule="auto"/>
        <w:ind w:left="233" w:right="1152"/>
        <w:rPr>
          <w:rFonts w:ascii="Gill Sans MT" w:hAnsi="Gill Sans MT"/>
          <w:sz w:val="18"/>
        </w:rPr>
      </w:pPr>
      <w:r>
        <w:rPr>
          <w:rFonts w:ascii="Gill Sans MT" w:hAnsi="Gill Sans MT"/>
          <w:color w:val="231F20"/>
          <w:w w:val="105"/>
          <w:sz w:val="18"/>
        </w:rPr>
        <w:t xml:space="preserve">Respected left publisher Rotbuch releases Mahler’s </w:t>
      </w:r>
      <w:r>
        <w:rPr>
          <w:rFonts w:ascii="Lucida Sans" w:hAnsi="Lucida Sans"/>
          <w:i/>
          <w:color w:val="231F20"/>
          <w:w w:val="105"/>
          <w:sz w:val="18"/>
        </w:rPr>
        <w:t xml:space="preserve">Über den </w:t>
      </w:r>
      <w:r>
        <w:rPr>
          <w:rFonts w:ascii="Lucida Sans" w:hAnsi="Lucida Sans"/>
          <w:i/>
          <w:color w:val="231F20"/>
          <w:w w:val="95"/>
          <w:sz w:val="18"/>
        </w:rPr>
        <w:t xml:space="preserve">bewaffneten kampf in Westeuropa </w:t>
      </w:r>
      <w:r>
        <w:rPr>
          <w:rFonts w:ascii="Gill Sans MT" w:hAnsi="Gill Sans MT"/>
          <w:color w:val="231F20"/>
          <w:w w:val="105"/>
          <w:sz w:val="18"/>
        </w:rPr>
        <w:t>(Regarding the Armed Struggle in West Europe) in booklet form. It is promptly banned by the state.</w:t>
      </w:r>
    </w:p>
    <w:p w14:paraId="1B1AF987" w14:textId="77777777" w:rsidR="002653E8" w:rsidRDefault="002653E8">
      <w:pPr>
        <w:pStyle w:val="a3"/>
        <w:spacing w:before="8"/>
        <w:rPr>
          <w:rFonts w:ascii="Gill Sans MT"/>
        </w:rPr>
      </w:pPr>
    </w:p>
    <w:p w14:paraId="74E375CC" w14:textId="77777777" w:rsidR="002653E8" w:rsidRDefault="003115E3">
      <w:pPr>
        <w:ind w:left="233"/>
        <w:rPr>
          <w:rFonts w:ascii="Arial"/>
          <w:b/>
          <w:sz w:val="18"/>
        </w:rPr>
      </w:pPr>
      <w:r>
        <w:rPr>
          <w:rFonts w:ascii="Arial"/>
          <w:b/>
          <w:color w:val="231F20"/>
          <w:w w:val="115"/>
          <w:sz w:val="18"/>
        </w:rPr>
        <w:t>September 1, 1971</w:t>
      </w:r>
    </w:p>
    <w:p w14:paraId="552B176F" w14:textId="77777777" w:rsidR="002653E8" w:rsidRDefault="003115E3">
      <w:pPr>
        <w:spacing w:before="34" w:line="273" w:lineRule="auto"/>
        <w:ind w:left="233" w:right="1061"/>
        <w:rPr>
          <w:rFonts w:ascii="Gill Sans MT" w:hAnsi="Gill Sans MT"/>
          <w:sz w:val="18"/>
        </w:rPr>
      </w:pPr>
      <w:r>
        <w:rPr>
          <w:rFonts w:ascii="Gill Sans MT" w:hAnsi="Gill Sans MT"/>
          <w:color w:val="231F20"/>
          <w:w w:val="110"/>
          <w:sz w:val="18"/>
        </w:rPr>
        <w:t xml:space="preserve">Horst Herold is named head of the </w:t>
      </w:r>
      <w:r>
        <w:rPr>
          <w:rFonts w:ascii="Lucida Sans" w:hAnsi="Lucida Sans"/>
          <w:i/>
          <w:color w:val="231F20"/>
          <w:sz w:val="18"/>
        </w:rPr>
        <w:t xml:space="preserve">Bundeskriminalamt </w:t>
      </w:r>
      <w:r>
        <w:rPr>
          <w:rFonts w:ascii="Gill Sans MT" w:hAnsi="Gill Sans MT"/>
          <w:color w:val="231F20"/>
          <w:sz w:val="18"/>
        </w:rPr>
        <w:t>(Federal Criminal</w:t>
      </w:r>
      <w:r>
        <w:rPr>
          <w:rFonts w:ascii="Gill Sans MT" w:hAnsi="Gill Sans MT"/>
          <w:color w:val="231F20"/>
          <w:w w:val="107"/>
          <w:sz w:val="18"/>
        </w:rPr>
        <w:t xml:space="preserve"> </w:t>
      </w:r>
      <w:r>
        <w:rPr>
          <w:rFonts w:ascii="Gill Sans MT" w:hAnsi="Gill Sans MT"/>
          <w:color w:val="231F20"/>
          <w:w w:val="110"/>
          <w:sz w:val="18"/>
        </w:rPr>
        <w:t>Bureau—BKA). He immediately begins centralizing the bureau and constructing what will become the most extensive police computer database in the world.</w:t>
      </w:r>
    </w:p>
    <w:p w14:paraId="712ECEC5" w14:textId="77777777" w:rsidR="002653E8" w:rsidRDefault="002653E8">
      <w:pPr>
        <w:pStyle w:val="a3"/>
        <w:spacing w:before="2"/>
        <w:rPr>
          <w:rFonts w:ascii="Gill Sans MT"/>
          <w:sz w:val="21"/>
        </w:rPr>
      </w:pPr>
    </w:p>
    <w:p w14:paraId="2BBF466A" w14:textId="77777777" w:rsidR="002653E8" w:rsidRDefault="003115E3">
      <w:pPr>
        <w:ind w:left="233"/>
        <w:rPr>
          <w:rFonts w:ascii="Arial"/>
          <w:b/>
          <w:sz w:val="18"/>
        </w:rPr>
      </w:pPr>
      <w:r>
        <w:rPr>
          <w:rFonts w:ascii="Arial"/>
          <w:b/>
          <w:color w:val="231F20"/>
          <w:w w:val="115"/>
          <w:sz w:val="18"/>
        </w:rPr>
        <w:t>September 25, 1971</w:t>
      </w:r>
    </w:p>
    <w:p w14:paraId="63FD2B3E" w14:textId="77777777" w:rsidR="002653E8" w:rsidRDefault="00C507A5">
      <w:pPr>
        <w:spacing w:before="35" w:line="276" w:lineRule="auto"/>
        <w:ind w:left="233" w:right="1233"/>
        <w:rPr>
          <w:rFonts w:ascii="Gill Sans MT"/>
          <w:sz w:val="18"/>
        </w:rPr>
      </w:pPr>
      <w:r>
        <w:rPr>
          <w:rFonts w:ascii="Gill Sans MT"/>
          <w:color w:val="231F20"/>
          <w:w w:val="110"/>
          <w:sz w:val="18"/>
        </w:rPr>
        <w:t>red army faction</w:t>
      </w:r>
      <w:r w:rsidR="003115E3">
        <w:rPr>
          <w:rFonts w:ascii="Gill Sans MT"/>
          <w:color w:val="231F20"/>
          <w:w w:val="110"/>
          <w:sz w:val="18"/>
        </w:rPr>
        <w:t xml:space="preserve"> members Margrit Schiller and Holger Meins exchange fire with the police in Freiburg. Police officer Friedrich Ruf is shot through the hand, and police officer Helmut Ruf (not related) is seriously</w:t>
      </w:r>
      <w:r w:rsidR="003115E3">
        <w:rPr>
          <w:rFonts w:ascii="Gill Sans MT"/>
          <w:color w:val="231F20"/>
          <w:spacing w:val="-33"/>
          <w:w w:val="110"/>
          <w:sz w:val="18"/>
        </w:rPr>
        <w:t xml:space="preserve"> </w:t>
      </w:r>
      <w:r w:rsidR="003115E3">
        <w:rPr>
          <w:rFonts w:ascii="Gill Sans MT"/>
          <w:color w:val="231F20"/>
          <w:w w:val="110"/>
          <w:sz w:val="18"/>
        </w:rPr>
        <w:t>injured.</w:t>
      </w:r>
    </w:p>
    <w:p w14:paraId="0270E875" w14:textId="77777777" w:rsidR="002653E8" w:rsidRDefault="002653E8">
      <w:pPr>
        <w:spacing w:line="276" w:lineRule="auto"/>
        <w:rPr>
          <w:rFonts w:ascii="Gill Sans MT"/>
          <w:sz w:val="18"/>
        </w:rPr>
        <w:sectPr w:rsidR="002653E8">
          <w:footerReference w:type="even" r:id="rId502"/>
          <w:pgSz w:w="8640" w:h="12960"/>
          <w:pgMar w:top="1060" w:right="0" w:bottom="280" w:left="0" w:header="0" w:footer="0" w:gutter="0"/>
          <w:cols w:num="2" w:space="720" w:equalWidth="0">
            <w:col w:w="4257" w:space="40"/>
            <w:col w:w="4343"/>
          </w:cols>
        </w:sectPr>
      </w:pPr>
    </w:p>
    <w:p w14:paraId="40927871" w14:textId="77777777" w:rsidR="002653E8" w:rsidRDefault="002653E8">
      <w:pPr>
        <w:pStyle w:val="a3"/>
        <w:rPr>
          <w:rFonts w:ascii="Gill Sans MT"/>
        </w:rPr>
      </w:pPr>
    </w:p>
    <w:p w14:paraId="4E2359C6" w14:textId="77777777" w:rsidR="002653E8" w:rsidRDefault="002653E8">
      <w:pPr>
        <w:pStyle w:val="a3"/>
        <w:rPr>
          <w:rFonts w:ascii="Gill Sans MT"/>
        </w:rPr>
      </w:pPr>
    </w:p>
    <w:p w14:paraId="3D37DFCA" w14:textId="77777777" w:rsidR="002653E8" w:rsidRDefault="002653E8">
      <w:pPr>
        <w:rPr>
          <w:rFonts w:ascii="Gill Sans MT"/>
        </w:rPr>
        <w:sectPr w:rsidR="002653E8">
          <w:type w:val="continuous"/>
          <w:pgSz w:w="8640" w:h="12960"/>
          <w:pgMar w:top="0" w:right="0" w:bottom="0" w:left="0" w:header="720" w:footer="720" w:gutter="0"/>
          <w:cols w:space="720"/>
        </w:sectPr>
      </w:pPr>
    </w:p>
    <w:p w14:paraId="23912093" w14:textId="77777777" w:rsidR="002653E8" w:rsidRDefault="002653E8">
      <w:pPr>
        <w:pStyle w:val="a3"/>
        <w:spacing w:before="10"/>
        <w:rPr>
          <w:rFonts w:ascii="Gill Sans MT"/>
          <w:sz w:val="22"/>
        </w:rPr>
      </w:pPr>
    </w:p>
    <w:p w14:paraId="119B793A" w14:textId="77777777" w:rsidR="002653E8" w:rsidRDefault="003115E3">
      <w:pPr>
        <w:ind w:left="1327"/>
        <w:rPr>
          <w:sz w:val="18"/>
        </w:rPr>
      </w:pPr>
      <w:r>
        <w:rPr>
          <w:color w:val="231F20"/>
          <w:w w:val="120"/>
          <w:sz w:val="18"/>
        </w:rPr>
        <w:t>a chronology</w:t>
      </w:r>
      <w:r>
        <w:rPr>
          <w:color w:val="231F20"/>
          <w:sz w:val="18"/>
        </w:rPr>
        <w:t xml:space="preserve"> </w:t>
      </w:r>
    </w:p>
    <w:p w14:paraId="14866709" w14:textId="77777777" w:rsidR="002653E8" w:rsidRDefault="003115E3">
      <w:pPr>
        <w:spacing w:before="5"/>
        <w:ind w:left="1327"/>
        <w:rPr>
          <w:sz w:val="18"/>
        </w:rPr>
      </w:pPr>
      <w:r>
        <w:rPr>
          <w:color w:val="231F20"/>
          <w:w w:val="105"/>
          <w:sz w:val="18"/>
        </w:rPr>
        <w:t>september 25, 1971</w:t>
      </w:r>
      <w:r>
        <w:rPr>
          <w:color w:val="231F20"/>
          <w:sz w:val="18"/>
        </w:rPr>
        <w:t xml:space="preserve"> </w:t>
      </w:r>
    </w:p>
    <w:p w14:paraId="032B8A42" w14:textId="77777777" w:rsidR="002653E8" w:rsidRDefault="003115E3">
      <w:pPr>
        <w:pStyle w:val="a3"/>
        <w:spacing w:before="9"/>
        <w:rPr>
          <w:sz w:val="18"/>
        </w:rPr>
      </w:pPr>
      <w:r>
        <w:br w:type="column"/>
      </w:r>
    </w:p>
    <w:p w14:paraId="3863AC1E" w14:textId="77777777" w:rsidR="002653E8" w:rsidRDefault="003115E3">
      <w:pPr>
        <w:ind w:left="1346" w:right="1141"/>
        <w:jc w:val="center"/>
        <w:rPr>
          <w:sz w:val="18"/>
        </w:rPr>
      </w:pPr>
      <w:r>
        <w:rPr>
          <w:color w:val="231F20"/>
          <w:sz w:val="18"/>
        </w:rPr>
        <w:t xml:space="preserve">587 </w:t>
      </w:r>
    </w:p>
    <w:p w14:paraId="62CEBFD5" w14:textId="77777777" w:rsidR="002653E8" w:rsidRDefault="002653E8">
      <w:pPr>
        <w:jc w:val="center"/>
        <w:rPr>
          <w:sz w:val="18"/>
        </w:rPr>
        <w:sectPr w:rsidR="002653E8">
          <w:type w:val="continuous"/>
          <w:pgSz w:w="8640" w:h="12960"/>
          <w:pgMar w:top="0" w:right="0" w:bottom="0" w:left="0" w:header="720" w:footer="720" w:gutter="0"/>
          <w:cols w:num="2" w:space="720" w:equalWidth="0">
            <w:col w:w="3466" w:space="2348"/>
            <w:col w:w="2826"/>
          </w:cols>
        </w:sectPr>
      </w:pPr>
    </w:p>
    <w:p w14:paraId="30A2436B" w14:textId="77777777" w:rsidR="002653E8" w:rsidRDefault="003115E3">
      <w:pPr>
        <w:spacing w:before="91"/>
        <w:ind w:left="1147"/>
        <w:rPr>
          <w:rFonts w:ascii="Arial"/>
          <w:b/>
          <w:sz w:val="18"/>
        </w:rPr>
      </w:pPr>
      <w:r>
        <w:rPr>
          <w:rFonts w:ascii="Arial"/>
          <w:b/>
          <w:color w:val="231F20"/>
          <w:w w:val="115"/>
          <w:sz w:val="18"/>
        </w:rPr>
        <w:lastRenderedPageBreak/>
        <w:t>October 21, 1971</w:t>
      </w:r>
    </w:p>
    <w:p w14:paraId="5C012F12" w14:textId="77777777" w:rsidR="002653E8" w:rsidRDefault="003115E3">
      <w:pPr>
        <w:spacing w:before="34" w:line="276" w:lineRule="auto"/>
        <w:ind w:left="1147" w:right="-12"/>
        <w:rPr>
          <w:rFonts w:ascii="Gill Sans MT" w:hAnsi="Gill Sans MT"/>
          <w:sz w:val="18"/>
        </w:rPr>
      </w:pPr>
      <w:r>
        <w:rPr>
          <w:rFonts w:ascii="Gill Sans MT" w:hAnsi="Gill Sans MT"/>
          <w:color w:val="231F20"/>
          <w:w w:val="110"/>
          <w:sz w:val="18"/>
        </w:rPr>
        <w:t xml:space="preserve">during a routine traffic stop in </w:t>
      </w:r>
      <w:r>
        <w:rPr>
          <w:rFonts w:ascii="Gill Sans MT" w:hAnsi="Gill Sans MT"/>
          <w:color w:val="231F20"/>
          <w:spacing w:val="-3"/>
          <w:w w:val="110"/>
          <w:sz w:val="18"/>
        </w:rPr>
        <w:t xml:space="preserve">West </w:t>
      </w:r>
      <w:r>
        <w:rPr>
          <w:rFonts w:ascii="Gill Sans MT" w:hAnsi="Gill Sans MT"/>
          <w:color w:val="231F20"/>
          <w:w w:val="110"/>
          <w:sz w:val="18"/>
        </w:rPr>
        <w:t xml:space="preserve">Berlin, a shootout occurs between Georg von Rauch and police officer Peter </w:t>
      </w:r>
      <w:r>
        <w:rPr>
          <w:rFonts w:ascii="Gill Sans MT" w:hAnsi="Gill Sans MT"/>
          <w:color w:val="231F20"/>
          <w:spacing w:val="-3"/>
          <w:w w:val="110"/>
          <w:sz w:val="18"/>
        </w:rPr>
        <w:t xml:space="preserve">Mäker. </w:t>
      </w:r>
      <w:r>
        <w:rPr>
          <w:rFonts w:ascii="Gill Sans MT" w:hAnsi="Gill Sans MT"/>
          <w:color w:val="231F20"/>
          <w:w w:val="110"/>
          <w:sz w:val="18"/>
        </w:rPr>
        <w:t>Mäker is shot in the thigh, and von Rauch makes his escape.</w:t>
      </w:r>
    </w:p>
    <w:p w14:paraId="34779F28" w14:textId="77777777" w:rsidR="002653E8" w:rsidRDefault="003115E3">
      <w:pPr>
        <w:spacing w:line="276" w:lineRule="auto"/>
        <w:ind w:left="1147" w:right="72"/>
        <w:rPr>
          <w:rFonts w:ascii="Gill Sans MT"/>
          <w:sz w:val="18"/>
        </w:rPr>
      </w:pPr>
      <w:r>
        <w:rPr>
          <w:rFonts w:ascii="Gill Sans MT"/>
          <w:color w:val="231F20"/>
          <w:w w:val="110"/>
          <w:sz w:val="18"/>
        </w:rPr>
        <w:t>Policeman Norbert Schmid is</w:t>
      </w:r>
      <w:r>
        <w:rPr>
          <w:rFonts w:ascii="Gill Sans MT"/>
          <w:color w:val="231F20"/>
          <w:spacing w:val="-6"/>
          <w:w w:val="110"/>
          <w:sz w:val="18"/>
        </w:rPr>
        <w:t xml:space="preserve"> </w:t>
      </w:r>
      <w:r>
        <w:rPr>
          <w:rFonts w:ascii="Gill Sans MT"/>
          <w:color w:val="231F20"/>
          <w:w w:val="110"/>
          <w:sz w:val="18"/>
        </w:rPr>
        <w:t xml:space="preserve">killed in a shootout with </w:t>
      </w:r>
      <w:r w:rsidR="00C507A5">
        <w:rPr>
          <w:rFonts w:ascii="Gill Sans MT"/>
          <w:color w:val="231F20"/>
          <w:w w:val="110"/>
          <w:sz w:val="18"/>
        </w:rPr>
        <w:t>red army faction</w:t>
      </w:r>
      <w:r>
        <w:rPr>
          <w:rFonts w:ascii="Gill Sans MT"/>
          <w:color w:val="231F20"/>
          <w:w w:val="110"/>
          <w:sz w:val="18"/>
        </w:rPr>
        <w:t xml:space="preserve"> members in Hamburg. </w:t>
      </w:r>
      <w:r w:rsidR="00C507A5">
        <w:rPr>
          <w:rFonts w:ascii="Gill Sans MT"/>
          <w:color w:val="231F20"/>
          <w:w w:val="110"/>
          <w:sz w:val="18"/>
        </w:rPr>
        <w:t>red army faction</w:t>
      </w:r>
      <w:r>
        <w:rPr>
          <w:rFonts w:ascii="Gill Sans MT"/>
          <w:color w:val="231F20"/>
          <w:w w:val="110"/>
          <w:sz w:val="18"/>
        </w:rPr>
        <w:t xml:space="preserve"> member Margrit Schiller is arrested in</w:t>
      </w:r>
      <w:r>
        <w:rPr>
          <w:rFonts w:ascii="Gill Sans MT"/>
          <w:color w:val="231F20"/>
          <w:spacing w:val="-23"/>
          <w:w w:val="110"/>
          <w:sz w:val="18"/>
        </w:rPr>
        <w:t xml:space="preserve"> </w:t>
      </w:r>
      <w:r>
        <w:rPr>
          <w:rFonts w:ascii="Gill Sans MT"/>
          <w:color w:val="231F20"/>
          <w:w w:val="110"/>
          <w:sz w:val="18"/>
        </w:rPr>
        <w:t>connection</w:t>
      </w:r>
    </w:p>
    <w:p w14:paraId="6C217E4C" w14:textId="77777777" w:rsidR="002653E8" w:rsidRDefault="003115E3">
      <w:pPr>
        <w:spacing w:line="276" w:lineRule="auto"/>
        <w:ind w:left="1147"/>
        <w:rPr>
          <w:rFonts w:ascii="Gill Sans MT" w:hAnsi="Gill Sans MT"/>
          <w:sz w:val="18"/>
        </w:rPr>
      </w:pPr>
      <w:r>
        <w:rPr>
          <w:rFonts w:ascii="Gill Sans MT" w:hAnsi="Gill Sans MT"/>
          <w:color w:val="231F20"/>
          <w:w w:val="110"/>
          <w:sz w:val="18"/>
        </w:rPr>
        <w:t>with the shooting in the early hours of the following morning. The shooter Gerhard Müller will later serve as a state witness in order to avoid being charged with murder.</w:t>
      </w:r>
    </w:p>
    <w:p w14:paraId="5BF70F5C" w14:textId="77777777" w:rsidR="002653E8" w:rsidRDefault="002653E8">
      <w:pPr>
        <w:pStyle w:val="a3"/>
        <w:spacing w:before="6"/>
        <w:rPr>
          <w:rFonts w:ascii="Gill Sans MT"/>
        </w:rPr>
      </w:pPr>
    </w:p>
    <w:p w14:paraId="3015300A" w14:textId="77777777" w:rsidR="002653E8" w:rsidRDefault="003115E3">
      <w:pPr>
        <w:ind w:left="1147"/>
        <w:rPr>
          <w:rFonts w:ascii="Arial"/>
          <w:b/>
          <w:sz w:val="18"/>
        </w:rPr>
      </w:pPr>
      <w:r>
        <w:rPr>
          <w:rFonts w:ascii="Arial"/>
          <w:b/>
          <w:color w:val="231F20"/>
          <w:w w:val="115"/>
          <w:sz w:val="18"/>
        </w:rPr>
        <w:t>November 1971</w:t>
      </w:r>
    </w:p>
    <w:p w14:paraId="37E0AD86" w14:textId="77777777" w:rsidR="002653E8" w:rsidRDefault="00C507A5">
      <w:pPr>
        <w:spacing w:before="35" w:line="276" w:lineRule="auto"/>
        <w:ind w:left="1147" w:right="51"/>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Astrid Proll becomes the first prisoner to be held in the dead wing at Cologne-Ossendorf.</w:t>
      </w:r>
    </w:p>
    <w:p w14:paraId="416DC8DE" w14:textId="77777777" w:rsidR="002653E8" w:rsidRDefault="002653E8">
      <w:pPr>
        <w:pStyle w:val="a3"/>
        <w:spacing w:before="6"/>
        <w:rPr>
          <w:rFonts w:ascii="Gill Sans MT"/>
        </w:rPr>
      </w:pPr>
    </w:p>
    <w:p w14:paraId="2BBFC8A9" w14:textId="77777777" w:rsidR="002653E8" w:rsidRDefault="003115E3">
      <w:pPr>
        <w:ind w:left="1147"/>
        <w:rPr>
          <w:rFonts w:ascii="Arial"/>
          <w:b/>
          <w:sz w:val="18"/>
        </w:rPr>
      </w:pPr>
      <w:r>
        <w:rPr>
          <w:rFonts w:ascii="Arial"/>
          <w:b/>
          <w:color w:val="231F20"/>
          <w:w w:val="115"/>
          <w:sz w:val="18"/>
        </w:rPr>
        <w:t>November 1, 1971</w:t>
      </w:r>
    </w:p>
    <w:p w14:paraId="7781D754" w14:textId="77777777" w:rsidR="002653E8" w:rsidRDefault="003115E3">
      <w:pPr>
        <w:spacing w:before="35" w:line="276" w:lineRule="auto"/>
        <w:ind w:left="1147"/>
        <w:rPr>
          <w:rFonts w:ascii="Gill Sans MT"/>
          <w:sz w:val="18"/>
        </w:rPr>
      </w:pPr>
      <w:r>
        <w:rPr>
          <w:rFonts w:ascii="Gill Sans MT"/>
          <w:color w:val="231F20"/>
          <w:w w:val="110"/>
          <w:sz w:val="18"/>
        </w:rPr>
        <w:t xml:space="preserve">A bank robbery in Kiel is presumed to be the work of the </w:t>
      </w:r>
      <w:r w:rsidR="00C507A5">
        <w:rPr>
          <w:rFonts w:ascii="Gill Sans MT"/>
          <w:color w:val="231F20"/>
          <w:w w:val="110"/>
          <w:sz w:val="18"/>
        </w:rPr>
        <w:t>red army faction</w:t>
      </w:r>
      <w:r>
        <w:rPr>
          <w:rFonts w:ascii="Gill Sans MT"/>
          <w:color w:val="231F20"/>
          <w:w w:val="110"/>
          <w:sz w:val="18"/>
        </w:rPr>
        <w:t>.</w:t>
      </w:r>
    </w:p>
    <w:p w14:paraId="4B2EACD9" w14:textId="77777777" w:rsidR="002653E8" w:rsidRDefault="002653E8">
      <w:pPr>
        <w:pStyle w:val="a3"/>
        <w:spacing w:before="6"/>
        <w:rPr>
          <w:rFonts w:ascii="Gill Sans MT"/>
        </w:rPr>
      </w:pPr>
    </w:p>
    <w:p w14:paraId="58A9DA12" w14:textId="77777777" w:rsidR="002653E8" w:rsidRDefault="003115E3">
      <w:pPr>
        <w:ind w:left="1147"/>
        <w:rPr>
          <w:rFonts w:ascii="Arial"/>
          <w:b/>
          <w:sz w:val="18"/>
        </w:rPr>
      </w:pPr>
      <w:r>
        <w:rPr>
          <w:rFonts w:ascii="Arial"/>
          <w:b/>
          <w:color w:val="231F20"/>
          <w:w w:val="115"/>
          <w:sz w:val="18"/>
        </w:rPr>
        <w:t>November 16, 1971</w:t>
      </w:r>
    </w:p>
    <w:p w14:paraId="071FCB32" w14:textId="77777777" w:rsidR="002653E8" w:rsidRDefault="003115E3">
      <w:pPr>
        <w:spacing w:before="35" w:line="276" w:lineRule="auto"/>
        <w:ind w:left="1147" w:hanging="1"/>
        <w:rPr>
          <w:rFonts w:ascii="Gill Sans MT"/>
          <w:sz w:val="18"/>
        </w:rPr>
      </w:pPr>
      <w:r>
        <w:rPr>
          <w:rFonts w:ascii="Gill Sans MT"/>
          <w:color w:val="231F20"/>
          <w:w w:val="110"/>
          <w:sz w:val="18"/>
        </w:rPr>
        <w:t>The BKA sets up the BaaderMeinhof Special Commission.</w:t>
      </w:r>
    </w:p>
    <w:p w14:paraId="69C2EACB" w14:textId="77777777" w:rsidR="002653E8" w:rsidRDefault="002653E8">
      <w:pPr>
        <w:pStyle w:val="a3"/>
        <w:spacing w:before="6"/>
        <w:rPr>
          <w:rFonts w:ascii="Gill Sans MT"/>
        </w:rPr>
      </w:pPr>
    </w:p>
    <w:p w14:paraId="75B65F56" w14:textId="77777777" w:rsidR="002653E8" w:rsidRDefault="003115E3">
      <w:pPr>
        <w:ind w:left="1147"/>
        <w:rPr>
          <w:rFonts w:ascii="Arial"/>
          <w:b/>
          <w:sz w:val="18"/>
        </w:rPr>
      </w:pPr>
      <w:r>
        <w:rPr>
          <w:rFonts w:ascii="Arial"/>
          <w:b/>
          <w:color w:val="231F20"/>
          <w:w w:val="115"/>
          <w:sz w:val="18"/>
        </w:rPr>
        <w:t>December 4, 1971</w:t>
      </w:r>
    </w:p>
    <w:p w14:paraId="70744E2A" w14:textId="77777777" w:rsidR="002653E8" w:rsidRDefault="003115E3">
      <w:pPr>
        <w:spacing w:before="35" w:line="276" w:lineRule="auto"/>
        <w:ind w:left="1147" w:right="97"/>
        <w:rPr>
          <w:rFonts w:ascii="Gill Sans MT"/>
          <w:sz w:val="18"/>
        </w:rPr>
      </w:pPr>
      <w:r>
        <w:rPr>
          <w:rFonts w:ascii="Gill Sans MT"/>
          <w:color w:val="231F20"/>
          <w:w w:val="115"/>
          <w:sz w:val="18"/>
        </w:rPr>
        <w:t>during</w:t>
      </w:r>
      <w:r>
        <w:rPr>
          <w:rFonts w:ascii="Gill Sans MT"/>
          <w:color w:val="231F20"/>
          <w:spacing w:val="-19"/>
          <w:w w:val="115"/>
          <w:sz w:val="18"/>
        </w:rPr>
        <w:t xml:space="preserve"> </w:t>
      </w:r>
      <w:r>
        <w:rPr>
          <w:rFonts w:ascii="Gill Sans MT"/>
          <w:color w:val="231F20"/>
          <w:w w:val="115"/>
          <w:sz w:val="18"/>
        </w:rPr>
        <w:t>a</w:t>
      </w:r>
      <w:r>
        <w:rPr>
          <w:rFonts w:ascii="Gill Sans MT"/>
          <w:color w:val="231F20"/>
          <w:spacing w:val="-19"/>
          <w:w w:val="115"/>
          <w:sz w:val="18"/>
        </w:rPr>
        <w:t xml:space="preserve"> </w:t>
      </w:r>
      <w:r>
        <w:rPr>
          <w:rFonts w:ascii="Gill Sans MT"/>
          <w:color w:val="231F20"/>
          <w:w w:val="115"/>
          <w:sz w:val="18"/>
        </w:rPr>
        <w:t>massive</w:t>
      </w:r>
      <w:r>
        <w:rPr>
          <w:rFonts w:ascii="Gill Sans MT"/>
          <w:color w:val="231F20"/>
          <w:spacing w:val="-19"/>
          <w:w w:val="115"/>
          <w:sz w:val="18"/>
        </w:rPr>
        <w:t xml:space="preserve"> </w:t>
      </w:r>
      <w:r>
        <w:rPr>
          <w:rFonts w:ascii="Gill Sans MT"/>
          <w:color w:val="231F20"/>
          <w:w w:val="115"/>
          <w:sz w:val="18"/>
        </w:rPr>
        <w:t>manhunt</w:t>
      </w:r>
      <w:r>
        <w:rPr>
          <w:rFonts w:ascii="Gill Sans MT"/>
          <w:color w:val="231F20"/>
          <w:spacing w:val="-19"/>
          <w:w w:val="115"/>
          <w:sz w:val="18"/>
        </w:rPr>
        <w:t xml:space="preserve"> </w:t>
      </w:r>
      <w:r>
        <w:rPr>
          <w:rFonts w:ascii="Gill Sans MT"/>
          <w:color w:val="231F20"/>
          <w:w w:val="115"/>
          <w:sz w:val="18"/>
        </w:rPr>
        <w:t>in</w:t>
      </w:r>
      <w:r>
        <w:rPr>
          <w:rFonts w:ascii="Gill Sans MT"/>
          <w:color w:val="231F20"/>
          <w:spacing w:val="-19"/>
          <w:w w:val="115"/>
          <w:sz w:val="18"/>
        </w:rPr>
        <w:t xml:space="preserve"> </w:t>
      </w:r>
      <w:r>
        <w:rPr>
          <w:rFonts w:ascii="Gill Sans MT"/>
          <w:color w:val="231F20"/>
          <w:spacing w:val="-3"/>
          <w:w w:val="115"/>
          <w:sz w:val="18"/>
        </w:rPr>
        <w:t xml:space="preserve">West </w:t>
      </w:r>
      <w:r>
        <w:rPr>
          <w:rFonts w:ascii="Gill Sans MT"/>
          <w:color w:val="231F20"/>
          <w:w w:val="115"/>
          <w:sz w:val="18"/>
        </w:rPr>
        <w:t>Berlin,</w:t>
      </w:r>
      <w:r>
        <w:rPr>
          <w:rFonts w:ascii="Gill Sans MT"/>
          <w:color w:val="231F20"/>
          <w:spacing w:val="-16"/>
          <w:w w:val="115"/>
          <w:sz w:val="18"/>
        </w:rPr>
        <w:t xml:space="preserve"> </w:t>
      </w:r>
      <w:r>
        <w:rPr>
          <w:rFonts w:ascii="Gill Sans MT"/>
          <w:color w:val="231F20"/>
          <w:w w:val="115"/>
          <w:sz w:val="18"/>
        </w:rPr>
        <w:t>following</w:t>
      </w:r>
      <w:r>
        <w:rPr>
          <w:rFonts w:ascii="Gill Sans MT"/>
          <w:color w:val="231F20"/>
          <w:spacing w:val="-16"/>
          <w:w w:val="115"/>
          <w:sz w:val="18"/>
        </w:rPr>
        <w:t xml:space="preserve"> </w:t>
      </w:r>
      <w:r>
        <w:rPr>
          <w:rFonts w:ascii="Gill Sans MT"/>
          <w:color w:val="231F20"/>
          <w:w w:val="115"/>
          <w:sz w:val="18"/>
        </w:rPr>
        <w:t>the</w:t>
      </w:r>
      <w:r>
        <w:rPr>
          <w:rFonts w:ascii="Gill Sans MT"/>
          <w:color w:val="231F20"/>
          <w:spacing w:val="-16"/>
          <w:w w:val="115"/>
          <w:sz w:val="18"/>
        </w:rPr>
        <w:t xml:space="preserve"> </w:t>
      </w:r>
      <w:r>
        <w:rPr>
          <w:rFonts w:ascii="Gill Sans MT"/>
          <w:color w:val="231F20"/>
          <w:w w:val="115"/>
          <w:sz w:val="18"/>
        </w:rPr>
        <w:t>discovery</w:t>
      </w:r>
    </w:p>
    <w:p w14:paraId="38E79F10" w14:textId="77777777" w:rsidR="002653E8" w:rsidRDefault="003115E3">
      <w:pPr>
        <w:spacing w:line="276" w:lineRule="auto"/>
        <w:ind w:left="1147" w:right="-19"/>
        <w:rPr>
          <w:rFonts w:ascii="Gill Sans MT" w:hAnsi="Gill Sans MT"/>
          <w:sz w:val="18"/>
        </w:rPr>
      </w:pPr>
      <w:r>
        <w:rPr>
          <w:rFonts w:ascii="Gill Sans MT" w:hAnsi="Gill Sans MT"/>
          <w:color w:val="231F20"/>
          <w:w w:val="115"/>
          <w:sz w:val="18"/>
        </w:rPr>
        <w:t xml:space="preserve">of a </w:t>
      </w:r>
      <w:r w:rsidR="00C507A5">
        <w:rPr>
          <w:rFonts w:ascii="Gill Sans MT" w:hAnsi="Gill Sans MT"/>
          <w:color w:val="231F20"/>
          <w:w w:val="115"/>
          <w:sz w:val="18"/>
        </w:rPr>
        <w:t>red army faction</w:t>
      </w:r>
      <w:r>
        <w:rPr>
          <w:rFonts w:ascii="Gill Sans MT" w:hAnsi="Gill Sans MT"/>
          <w:color w:val="231F20"/>
          <w:w w:val="115"/>
          <w:sz w:val="18"/>
        </w:rPr>
        <w:t xml:space="preserve"> safehouse, three Blues members</w:t>
      </w:r>
      <w:r>
        <w:rPr>
          <w:rFonts w:ascii="Gill Sans MT" w:hAnsi="Gill Sans MT"/>
          <w:color w:val="231F20"/>
          <w:spacing w:val="-28"/>
          <w:w w:val="115"/>
          <w:sz w:val="18"/>
        </w:rPr>
        <w:t xml:space="preserve"> </w:t>
      </w:r>
      <w:r>
        <w:rPr>
          <w:rFonts w:ascii="Gill Sans MT" w:hAnsi="Gill Sans MT"/>
          <w:color w:val="231F20"/>
          <w:w w:val="115"/>
          <w:sz w:val="18"/>
        </w:rPr>
        <w:t>are</w:t>
      </w:r>
      <w:r>
        <w:rPr>
          <w:rFonts w:ascii="Gill Sans MT" w:hAnsi="Gill Sans MT"/>
          <w:color w:val="231F20"/>
          <w:spacing w:val="-28"/>
          <w:w w:val="115"/>
          <w:sz w:val="18"/>
        </w:rPr>
        <w:t xml:space="preserve"> </w:t>
      </w:r>
      <w:r>
        <w:rPr>
          <w:rFonts w:ascii="Gill Sans MT" w:hAnsi="Gill Sans MT"/>
          <w:color w:val="231F20"/>
          <w:w w:val="115"/>
          <w:sz w:val="18"/>
        </w:rPr>
        <w:t>involved</w:t>
      </w:r>
      <w:r>
        <w:rPr>
          <w:rFonts w:ascii="Gill Sans MT" w:hAnsi="Gill Sans MT"/>
          <w:color w:val="231F20"/>
          <w:spacing w:val="-28"/>
          <w:w w:val="115"/>
          <w:sz w:val="18"/>
        </w:rPr>
        <w:t xml:space="preserve"> </w:t>
      </w:r>
      <w:r>
        <w:rPr>
          <w:rFonts w:ascii="Gill Sans MT" w:hAnsi="Gill Sans MT"/>
          <w:color w:val="231F20"/>
          <w:w w:val="115"/>
          <w:sz w:val="18"/>
        </w:rPr>
        <w:t>in</w:t>
      </w:r>
      <w:r>
        <w:rPr>
          <w:rFonts w:ascii="Gill Sans MT" w:hAnsi="Gill Sans MT"/>
          <w:color w:val="231F20"/>
          <w:spacing w:val="-28"/>
          <w:w w:val="115"/>
          <w:sz w:val="18"/>
        </w:rPr>
        <w:t xml:space="preserve"> </w:t>
      </w:r>
      <w:r>
        <w:rPr>
          <w:rFonts w:ascii="Gill Sans MT" w:hAnsi="Gill Sans MT"/>
          <w:color w:val="231F20"/>
          <w:w w:val="115"/>
          <w:sz w:val="18"/>
        </w:rPr>
        <w:t>a</w:t>
      </w:r>
      <w:r>
        <w:rPr>
          <w:rFonts w:ascii="Gill Sans MT" w:hAnsi="Gill Sans MT"/>
          <w:color w:val="231F20"/>
          <w:spacing w:val="-28"/>
          <w:w w:val="115"/>
          <w:sz w:val="18"/>
        </w:rPr>
        <w:t xml:space="preserve"> </w:t>
      </w:r>
      <w:r>
        <w:rPr>
          <w:rFonts w:ascii="Gill Sans MT" w:hAnsi="Gill Sans MT"/>
          <w:color w:val="231F20"/>
          <w:w w:val="115"/>
          <w:sz w:val="18"/>
        </w:rPr>
        <w:t>shootout</w:t>
      </w:r>
      <w:r>
        <w:rPr>
          <w:rFonts w:ascii="Gill Sans MT" w:hAnsi="Gill Sans MT"/>
          <w:color w:val="231F20"/>
          <w:w w:val="108"/>
          <w:sz w:val="18"/>
        </w:rPr>
        <w:t xml:space="preserve"> </w:t>
      </w:r>
      <w:r>
        <w:rPr>
          <w:rFonts w:ascii="Gill Sans MT" w:hAnsi="Gill Sans MT"/>
          <w:color w:val="231F20"/>
          <w:w w:val="115"/>
          <w:sz w:val="18"/>
        </w:rPr>
        <w:t>with</w:t>
      </w:r>
      <w:r>
        <w:rPr>
          <w:rFonts w:ascii="Gill Sans MT" w:hAnsi="Gill Sans MT"/>
          <w:color w:val="231F20"/>
          <w:spacing w:val="-23"/>
          <w:w w:val="115"/>
          <w:sz w:val="18"/>
        </w:rPr>
        <w:t xml:space="preserve"> </w:t>
      </w:r>
      <w:r>
        <w:rPr>
          <w:rFonts w:ascii="Gill Sans MT" w:hAnsi="Gill Sans MT"/>
          <w:color w:val="231F20"/>
          <w:w w:val="115"/>
          <w:sz w:val="18"/>
        </w:rPr>
        <w:t>the</w:t>
      </w:r>
      <w:r>
        <w:rPr>
          <w:rFonts w:ascii="Gill Sans MT" w:hAnsi="Gill Sans MT"/>
          <w:color w:val="231F20"/>
          <w:spacing w:val="-23"/>
          <w:w w:val="115"/>
          <w:sz w:val="18"/>
        </w:rPr>
        <w:t xml:space="preserve"> </w:t>
      </w:r>
      <w:r>
        <w:rPr>
          <w:rFonts w:ascii="Gill Sans MT" w:hAnsi="Gill Sans MT"/>
          <w:color w:val="231F20"/>
          <w:w w:val="115"/>
          <w:sz w:val="18"/>
        </w:rPr>
        <w:t>police.</w:t>
      </w:r>
      <w:r>
        <w:rPr>
          <w:rFonts w:ascii="Gill Sans MT" w:hAnsi="Gill Sans MT"/>
          <w:color w:val="231F20"/>
          <w:spacing w:val="-23"/>
          <w:w w:val="115"/>
          <w:sz w:val="18"/>
        </w:rPr>
        <w:t xml:space="preserve"> </w:t>
      </w:r>
      <w:r>
        <w:rPr>
          <w:rFonts w:ascii="Gill Sans MT" w:hAnsi="Gill Sans MT"/>
          <w:color w:val="231F20"/>
          <w:w w:val="115"/>
          <w:sz w:val="18"/>
        </w:rPr>
        <w:t>Georg</w:t>
      </w:r>
      <w:r>
        <w:rPr>
          <w:rFonts w:ascii="Gill Sans MT" w:hAnsi="Gill Sans MT"/>
          <w:color w:val="231F20"/>
          <w:spacing w:val="-23"/>
          <w:w w:val="115"/>
          <w:sz w:val="18"/>
        </w:rPr>
        <w:t xml:space="preserve"> </w:t>
      </w:r>
      <w:r>
        <w:rPr>
          <w:rFonts w:ascii="Gill Sans MT" w:hAnsi="Gill Sans MT"/>
          <w:color w:val="231F20"/>
          <w:w w:val="115"/>
          <w:sz w:val="18"/>
        </w:rPr>
        <w:t>von</w:t>
      </w:r>
      <w:r>
        <w:rPr>
          <w:rFonts w:ascii="Gill Sans MT" w:hAnsi="Gill Sans MT"/>
          <w:color w:val="231F20"/>
          <w:spacing w:val="-23"/>
          <w:w w:val="115"/>
          <w:sz w:val="18"/>
        </w:rPr>
        <w:t xml:space="preserve"> </w:t>
      </w:r>
      <w:r>
        <w:rPr>
          <w:rFonts w:ascii="Gill Sans MT" w:hAnsi="Gill Sans MT"/>
          <w:color w:val="231F20"/>
          <w:w w:val="115"/>
          <w:sz w:val="18"/>
        </w:rPr>
        <w:t>Rauch</w:t>
      </w:r>
      <w:r>
        <w:rPr>
          <w:rFonts w:ascii="Gill Sans MT" w:hAnsi="Gill Sans MT"/>
          <w:color w:val="231F20"/>
          <w:spacing w:val="-23"/>
          <w:w w:val="115"/>
          <w:sz w:val="18"/>
        </w:rPr>
        <w:t xml:space="preserve"> </w:t>
      </w:r>
      <w:r>
        <w:rPr>
          <w:rFonts w:ascii="Gill Sans MT" w:hAnsi="Gill Sans MT"/>
          <w:color w:val="231F20"/>
          <w:w w:val="115"/>
          <w:sz w:val="18"/>
        </w:rPr>
        <w:t>is shot</w:t>
      </w:r>
      <w:r>
        <w:rPr>
          <w:rFonts w:ascii="Gill Sans MT" w:hAnsi="Gill Sans MT"/>
          <w:color w:val="231F20"/>
          <w:spacing w:val="-12"/>
          <w:w w:val="115"/>
          <w:sz w:val="18"/>
        </w:rPr>
        <w:t xml:space="preserve"> </w:t>
      </w:r>
      <w:r>
        <w:rPr>
          <w:rFonts w:ascii="Gill Sans MT" w:hAnsi="Gill Sans MT"/>
          <w:color w:val="231F20"/>
          <w:w w:val="115"/>
          <w:sz w:val="18"/>
        </w:rPr>
        <w:t>in</w:t>
      </w:r>
      <w:r>
        <w:rPr>
          <w:rFonts w:ascii="Gill Sans MT" w:hAnsi="Gill Sans MT"/>
          <w:color w:val="231F20"/>
          <w:spacing w:val="-12"/>
          <w:w w:val="115"/>
          <w:sz w:val="18"/>
        </w:rPr>
        <w:t xml:space="preserve"> </w:t>
      </w:r>
      <w:r>
        <w:rPr>
          <w:rFonts w:ascii="Gill Sans MT" w:hAnsi="Gill Sans MT"/>
          <w:color w:val="231F20"/>
          <w:w w:val="115"/>
          <w:sz w:val="18"/>
        </w:rPr>
        <w:t>the</w:t>
      </w:r>
      <w:r>
        <w:rPr>
          <w:rFonts w:ascii="Gill Sans MT" w:hAnsi="Gill Sans MT"/>
          <w:color w:val="231F20"/>
          <w:spacing w:val="-12"/>
          <w:w w:val="115"/>
          <w:sz w:val="18"/>
        </w:rPr>
        <w:t xml:space="preserve"> </w:t>
      </w:r>
      <w:r>
        <w:rPr>
          <w:rFonts w:ascii="Gill Sans MT" w:hAnsi="Gill Sans MT"/>
          <w:color w:val="231F20"/>
          <w:w w:val="115"/>
          <w:sz w:val="18"/>
        </w:rPr>
        <w:t>head</w:t>
      </w:r>
      <w:r>
        <w:rPr>
          <w:rFonts w:ascii="Gill Sans MT" w:hAnsi="Gill Sans MT"/>
          <w:color w:val="231F20"/>
          <w:spacing w:val="-12"/>
          <w:w w:val="115"/>
          <w:sz w:val="18"/>
        </w:rPr>
        <w:t xml:space="preserve"> </w:t>
      </w:r>
      <w:r>
        <w:rPr>
          <w:rFonts w:ascii="Gill Sans MT" w:hAnsi="Gill Sans MT"/>
          <w:color w:val="231F20"/>
          <w:w w:val="115"/>
          <w:sz w:val="18"/>
        </w:rPr>
        <w:t>and</w:t>
      </w:r>
      <w:r>
        <w:rPr>
          <w:rFonts w:ascii="Gill Sans MT" w:hAnsi="Gill Sans MT"/>
          <w:color w:val="231F20"/>
          <w:spacing w:val="-12"/>
          <w:w w:val="115"/>
          <w:sz w:val="18"/>
        </w:rPr>
        <w:t xml:space="preserve"> </w:t>
      </w:r>
      <w:r>
        <w:rPr>
          <w:rFonts w:ascii="Gill Sans MT" w:hAnsi="Gill Sans MT"/>
          <w:color w:val="231F20"/>
          <w:w w:val="115"/>
          <w:sz w:val="18"/>
        </w:rPr>
        <w:t>killed.</w:t>
      </w:r>
      <w:r>
        <w:rPr>
          <w:rFonts w:ascii="Gill Sans MT" w:hAnsi="Gill Sans MT"/>
          <w:color w:val="231F20"/>
          <w:spacing w:val="-12"/>
          <w:w w:val="115"/>
          <w:sz w:val="18"/>
        </w:rPr>
        <w:t xml:space="preserve"> </w:t>
      </w:r>
      <w:r>
        <w:rPr>
          <w:rFonts w:ascii="Gill Sans MT" w:hAnsi="Gill Sans MT"/>
          <w:color w:val="231F20"/>
          <w:w w:val="115"/>
          <w:sz w:val="18"/>
        </w:rPr>
        <w:t>Michael “Bommi” Baumann and another guerilla</w:t>
      </w:r>
      <w:r>
        <w:rPr>
          <w:rFonts w:ascii="Gill Sans MT" w:hAnsi="Gill Sans MT"/>
          <w:color w:val="231F20"/>
          <w:spacing w:val="-8"/>
          <w:w w:val="115"/>
          <w:sz w:val="18"/>
        </w:rPr>
        <w:t xml:space="preserve"> </w:t>
      </w:r>
      <w:r>
        <w:rPr>
          <w:rFonts w:ascii="Gill Sans MT" w:hAnsi="Gill Sans MT"/>
          <w:color w:val="231F20"/>
          <w:w w:val="115"/>
          <w:sz w:val="18"/>
        </w:rPr>
        <w:t>escape.</w:t>
      </w:r>
    </w:p>
    <w:p w14:paraId="28CE01C1" w14:textId="77777777" w:rsidR="002653E8" w:rsidRDefault="003115E3">
      <w:pPr>
        <w:spacing w:before="91"/>
        <w:ind w:left="263"/>
        <w:rPr>
          <w:rFonts w:ascii="Arial"/>
          <w:b/>
          <w:sz w:val="18"/>
        </w:rPr>
      </w:pPr>
      <w:r>
        <w:br w:type="column"/>
      </w:r>
      <w:r>
        <w:rPr>
          <w:rFonts w:ascii="Arial"/>
          <w:b/>
          <w:color w:val="231F20"/>
          <w:w w:val="115"/>
          <w:sz w:val="18"/>
        </w:rPr>
        <w:t>December 5, 1971</w:t>
      </w:r>
    </w:p>
    <w:p w14:paraId="022613E5" w14:textId="77777777" w:rsidR="002653E8" w:rsidRDefault="003115E3">
      <w:pPr>
        <w:spacing w:before="34" w:line="276" w:lineRule="auto"/>
        <w:ind w:left="263" w:right="1295"/>
        <w:rPr>
          <w:rFonts w:ascii="Gill Sans MT" w:hAnsi="Gill Sans MT"/>
          <w:sz w:val="18"/>
        </w:rPr>
      </w:pPr>
      <w:r>
        <w:rPr>
          <w:rFonts w:ascii="Gill Sans MT" w:hAnsi="Gill Sans MT"/>
          <w:color w:val="231F20"/>
          <w:w w:val="110"/>
          <w:sz w:val="18"/>
        </w:rPr>
        <w:t>An estimated five to seven thousand people demonstrate in West Berlin to protest von Rauch’s killing.</w:t>
      </w:r>
    </w:p>
    <w:p w14:paraId="09D5F650" w14:textId="77777777" w:rsidR="002653E8" w:rsidRDefault="002653E8">
      <w:pPr>
        <w:pStyle w:val="a3"/>
        <w:spacing w:before="6"/>
        <w:rPr>
          <w:rFonts w:ascii="Gill Sans MT"/>
        </w:rPr>
      </w:pPr>
    </w:p>
    <w:p w14:paraId="7056FE6E" w14:textId="77777777" w:rsidR="002653E8" w:rsidRDefault="003115E3">
      <w:pPr>
        <w:ind w:left="263"/>
        <w:rPr>
          <w:rFonts w:ascii="Arial"/>
          <w:b/>
          <w:sz w:val="18"/>
        </w:rPr>
      </w:pPr>
      <w:r>
        <w:rPr>
          <w:rFonts w:ascii="Arial"/>
          <w:b/>
          <w:color w:val="231F20"/>
          <w:w w:val="115"/>
          <w:sz w:val="18"/>
        </w:rPr>
        <w:t>December 8, 1971</w:t>
      </w:r>
    </w:p>
    <w:p w14:paraId="546BA89A" w14:textId="77777777" w:rsidR="002653E8" w:rsidRDefault="003115E3">
      <w:pPr>
        <w:spacing w:before="35" w:line="276" w:lineRule="auto"/>
        <w:ind w:left="263" w:right="1392"/>
        <w:rPr>
          <w:rFonts w:ascii="Gill Sans MT" w:hAnsi="Gill Sans MT"/>
          <w:sz w:val="18"/>
        </w:rPr>
      </w:pPr>
      <w:r>
        <w:rPr>
          <w:rFonts w:ascii="Gill Sans MT" w:hAnsi="Gill Sans MT"/>
          <w:color w:val="231F20"/>
          <w:w w:val="110"/>
          <w:sz w:val="18"/>
        </w:rPr>
        <w:t xml:space="preserve">A vacant nurse’s residence in </w:t>
      </w:r>
      <w:r>
        <w:rPr>
          <w:rFonts w:ascii="Gill Sans MT" w:hAnsi="Gill Sans MT"/>
          <w:color w:val="231F20"/>
          <w:spacing w:val="-3"/>
          <w:w w:val="110"/>
          <w:sz w:val="18"/>
        </w:rPr>
        <w:t xml:space="preserve">West </w:t>
      </w:r>
      <w:r>
        <w:rPr>
          <w:rFonts w:ascii="Gill Sans MT" w:hAnsi="Gill Sans MT"/>
          <w:color w:val="231F20"/>
          <w:w w:val="110"/>
          <w:sz w:val="18"/>
        </w:rPr>
        <w:t>Berlin is occupied and named the Georg</w:t>
      </w:r>
      <w:r>
        <w:rPr>
          <w:rFonts w:ascii="Gill Sans MT" w:hAnsi="Gill Sans MT"/>
          <w:color w:val="231F20"/>
          <w:spacing w:val="-8"/>
          <w:w w:val="110"/>
          <w:sz w:val="18"/>
        </w:rPr>
        <w:t xml:space="preserve"> </w:t>
      </w:r>
      <w:r>
        <w:rPr>
          <w:rFonts w:ascii="Gill Sans MT" w:hAnsi="Gill Sans MT"/>
          <w:color w:val="231F20"/>
          <w:w w:val="110"/>
          <w:sz w:val="18"/>
        </w:rPr>
        <w:t>von</w:t>
      </w:r>
      <w:r>
        <w:rPr>
          <w:rFonts w:ascii="Gill Sans MT" w:hAnsi="Gill Sans MT"/>
          <w:color w:val="231F20"/>
          <w:spacing w:val="-8"/>
          <w:w w:val="110"/>
          <w:sz w:val="18"/>
        </w:rPr>
        <w:t xml:space="preserve"> </w:t>
      </w:r>
      <w:r>
        <w:rPr>
          <w:rFonts w:ascii="Gill Sans MT" w:hAnsi="Gill Sans MT"/>
          <w:color w:val="231F20"/>
          <w:w w:val="110"/>
          <w:sz w:val="18"/>
        </w:rPr>
        <w:t>Rauch</w:t>
      </w:r>
      <w:r>
        <w:rPr>
          <w:rFonts w:ascii="Gill Sans MT" w:hAnsi="Gill Sans MT"/>
          <w:color w:val="231F20"/>
          <w:spacing w:val="-8"/>
          <w:w w:val="110"/>
          <w:sz w:val="18"/>
        </w:rPr>
        <w:t xml:space="preserve"> </w:t>
      </w:r>
      <w:r>
        <w:rPr>
          <w:rFonts w:ascii="Gill Sans MT" w:hAnsi="Gill Sans MT"/>
          <w:color w:val="231F20"/>
          <w:w w:val="110"/>
          <w:sz w:val="18"/>
        </w:rPr>
        <w:t>House.</w:t>
      </w:r>
      <w:r>
        <w:rPr>
          <w:rFonts w:ascii="Gill Sans MT" w:hAnsi="Gill Sans MT"/>
          <w:color w:val="231F20"/>
          <w:spacing w:val="-8"/>
          <w:w w:val="110"/>
          <w:sz w:val="18"/>
        </w:rPr>
        <w:t xml:space="preserve"> </w:t>
      </w:r>
      <w:r>
        <w:rPr>
          <w:rFonts w:ascii="Gill Sans MT" w:hAnsi="Gill Sans MT"/>
          <w:color w:val="231F20"/>
          <w:w w:val="110"/>
          <w:sz w:val="18"/>
        </w:rPr>
        <w:t>It</w:t>
      </w:r>
      <w:r>
        <w:rPr>
          <w:rFonts w:ascii="Gill Sans MT" w:hAnsi="Gill Sans MT"/>
          <w:color w:val="231F20"/>
          <w:spacing w:val="-8"/>
          <w:w w:val="110"/>
          <w:sz w:val="18"/>
        </w:rPr>
        <w:t xml:space="preserve"> </w:t>
      </w:r>
      <w:r>
        <w:rPr>
          <w:rFonts w:ascii="Gill Sans MT" w:hAnsi="Gill Sans MT"/>
          <w:color w:val="231F20"/>
          <w:w w:val="110"/>
          <w:sz w:val="18"/>
        </w:rPr>
        <w:t>exists</w:t>
      </w:r>
      <w:r>
        <w:rPr>
          <w:rFonts w:ascii="Gill Sans MT" w:hAnsi="Gill Sans MT"/>
          <w:color w:val="231F20"/>
          <w:spacing w:val="-8"/>
          <w:w w:val="110"/>
          <w:sz w:val="18"/>
        </w:rPr>
        <w:t xml:space="preserve"> </w:t>
      </w:r>
      <w:r>
        <w:rPr>
          <w:rFonts w:ascii="Gill Sans MT" w:hAnsi="Gill Sans MT"/>
          <w:color w:val="231F20"/>
          <w:w w:val="110"/>
          <w:sz w:val="18"/>
        </w:rPr>
        <w:t xml:space="preserve">to this </w:t>
      </w:r>
      <w:r>
        <w:rPr>
          <w:rFonts w:ascii="Gill Sans MT" w:hAnsi="Gill Sans MT"/>
          <w:color w:val="231F20"/>
          <w:spacing w:val="-4"/>
          <w:w w:val="110"/>
          <w:sz w:val="18"/>
        </w:rPr>
        <w:t xml:space="preserve">day, </w:t>
      </w:r>
      <w:r>
        <w:rPr>
          <w:rFonts w:ascii="Gill Sans MT" w:hAnsi="Gill Sans MT"/>
          <w:color w:val="231F20"/>
          <w:w w:val="110"/>
          <w:sz w:val="18"/>
        </w:rPr>
        <w:t>housing up to forty youth at any</w:t>
      </w:r>
      <w:r>
        <w:rPr>
          <w:rFonts w:ascii="Gill Sans MT" w:hAnsi="Gill Sans MT"/>
          <w:color w:val="231F20"/>
          <w:spacing w:val="-9"/>
          <w:w w:val="110"/>
          <w:sz w:val="18"/>
        </w:rPr>
        <w:t xml:space="preserve"> </w:t>
      </w:r>
      <w:r>
        <w:rPr>
          <w:rFonts w:ascii="Gill Sans MT" w:hAnsi="Gill Sans MT"/>
          <w:color w:val="231F20"/>
          <w:w w:val="110"/>
          <w:sz w:val="18"/>
        </w:rPr>
        <w:t>time.</w:t>
      </w:r>
    </w:p>
    <w:p w14:paraId="4130072B" w14:textId="77777777" w:rsidR="002653E8" w:rsidRDefault="002653E8">
      <w:pPr>
        <w:pStyle w:val="a3"/>
        <w:spacing w:before="6"/>
        <w:rPr>
          <w:rFonts w:ascii="Gill Sans MT"/>
        </w:rPr>
      </w:pPr>
    </w:p>
    <w:p w14:paraId="6A8FD3AF" w14:textId="77777777" w:rsidR="002653E8" w:rsidRDefault="003115E3">
      <w:pPr>
        <w:ind w:left="263"/>
        <w:rPr>
          <w:rFonts w:ascii="Arial"/>
          <w:b/>
          <w:sz w:val="18"/>
        </w:rPr>
      </w:pPr>
      <w:r>
        <w:rPr>
          <w:rFonts w:ascii="Arial"/>
          <w:b/>
          <w:color w:val="231F20"/>
          <w:w w:val="115"/>
          <w:sz w:val="18"/>
        </w:rPr>
        <w:t>December 17, 1971</w:t>
      </w:r>
    </w:p>
    <w:p w14:paraId="2AB8E353" w14:textId="77777777" w:rsidR="002653E8" w:rsidRDefault="003115E3">
      <w:pPr>
        <w:spacing w:before="34" w:line="276" w:lineRule="auto"/>
        <w:ind w:left="263" w:right="1383" w:hanging="1"/>
        <w:rPr>
          <w:rFonts w:ascii="Gill Sans MT" w:hAnsi="Gill Sans MT"/>
          <w:sz w:val="18"/>
        </w:rPr>
      </w:pPr>
      <w:r>
        <w:rPr>
          <w:rFonts w:ascii="Gill Sans MT" w:hAnsi="Gill Sans MT"/>
          <w:color w:val="231F20"/>
          <w:w w:val="110"/>
          <w:sz w:val="18"/>
        </w:rPr>
        <w:t>Rolf Pohle is arrested while trying to buy guns in Neu-ulm—the police claim the weapons were intended for the</w:t>
      </w:r>
      <w:r>
        <w:rPr>
          <w:rFonts w:ascii="Gill Sans MT" w:hAnsi="Gill Sans MT"/>
          <w:color w:val="231F20"/>
          <w:spacing w:val="-11"/>
          <w:w w:val="110"/>
          <w:sz w:val="18"/>
        </w:rPr>
        <w:t xml:space="preserve"> </w:t>
      </w:r>
      <w:r w:rsidR="00C507A5">
        <w:rPr>
          <w:rFonts w:ascii="Gill Sans MT" w:hAnsi="Gill Sans MT"/>
          <w:color w:val="231F20"/>
          <w:spacing w:val="-8"/>
          <w:w w:val="110"/>
          <w:sz w:val="18"/>
        </w:rPr>
        <w:t>red army faction</w:t>
      </w:r>
      <w:r>
        <w:rPr>
          <w:rFonts w:ascii="Gill Sans MT" w:hAnsi="Gill Sans MT"/>
          <w:color w:val="231F20"/>
          <w:spacing w:val="-8"/>
          <w:w w:val="110"/>
          <w:sz w:val="18"/>
        </w:rPr>
        <w:t>.</w:t>
      </w:r>
    </w:p>
    <w:p w14:paraId="11F5BF92" w14:textId="77777777" w:rsidR="002653E8" w:rsidRDefault="002653E8">
      <w:pPr>
        <w:pStyle w:val="a3"/>
        <w:spacing w:before="7"/>
        <w:rPr>
          <w:rFonts w:ascii="Gill Sans MT"/>
        </w:rPr>
      </w:pPr>
    </w:p>
    <w:p w14:paraId="1BC30468" w14:textId="77777777" w:rsidR="002653E8" w:rsidRDefault="003115E3">
      <w:pPr>
        <w:spacing w:before="1"/>
        <w:ind w:left="263"/>
        <w:rPr>
          <w:rFonts w:ascii="Arial"/>
          <w:b/>
          <w:sz w:val="18"/>
        </w:rPr>
      </w:pPr>
      <w:r>
        <w:rPr>
          <w:rFonts w:ascii="Arial"/>
          <w:b/>
          <w:color w:val="231F20"/>
          <w:w w:val="115"/>
          <w:sz w:val="18"/>
        </w:rPr>
        <w:t>December 22, 1971</w:t>
      </w:r>
    </w:p>
    <w:p w14:paraId="238CBE62" w14:textId="77777777" w:rsidR="002653E8" w:rsidRDefault="00C507A5">
      <w:pPr>
        <w:spacing w:before="34" w:line="276" w:lineRule="auto"/>
        <w:ind w:left="263" w:right="1295"/>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members Klaus Jünschke, Ingeborg Barz, and Wolfgang Grundmann rob a bank in Kaiserslautern, netting an estimated </w:t>
      </w:r>
      <w:r w:rsidR="003115E3">
        <w:rPr>
          <w:rFonts w:ascii="Arial" w:hAnsi="Arial"/>
          <w:color w:val="231F20"/>
          <w:w w:val="110"/>
          <w:sz w:val="18"/>
        </w:rPr>
        <w:t>134</w:t>
      </w:r>
      <w:r w:rsidR="003115E3">
        <w:rPr>
          <w:rFonts w:ascii="Gill Sans MT" w:hAnsi="Gill Sans MT"/>
          <w:color w:val="231F20"/>
          <w:w w:val="110"/>
          <w:sz w:val="18"/>
        </w:rPr>
        <w:t>,</w:t>
      </w:r>
      <w:r w:rsidR="003115E3">
        <w:rPr>
          <w:rFonts w:ascii="Arial" w:hAnsi="Arial"/>
          <w:color w:val="231F20"/>
          <w:w w:val="110"/>
          <w:sz w:val="18"/>
        </w:rPr>
        <w:t xml:space="preserve">000 </w:t>
      </w:r>
      <w:r w:rsidR="003115E3">
        <w:rPr>
          <w:rFonts w:ascii="Gill Sans MT" w:hAnsi="Gill Sans MT"/>
          <w:color w:val="231F20"/>
          <w:w w:val="110"/>
          <w:sz w:val="18"/>
        </w:rPr>
        <w:t>dM. Police officer Herbert Schoner is shot dead when he stumbles upon the robbery.</w:t>
      </w:r>
    </w:p>
    <w:p w14:paraId="69707CB5" w14:textId="77777777" w:rsidR="002653E8" w:rsidRDefault="002653E8">
      <w:pPr>
        <w:pStyle w:val="a3"/>
        <w:spacing w:before="4"/>
        <w:rPr>
          <w:rFonts w:ascii="Gill Sans MT"/>
        </w:rPr>
      </w:pPr>
    </w:p>
    <w:p w14:paraId="1B6D140F" w14:textId="77777777" w:rsidR="002653E8" w:rsidRDefault="003115E3">
      <w:pPr>
        <w:spacing w:before="1" w:line="273" w:lineRule="auto"/>
        <w:ind w:left="263" w:right="1401"/>
        <w:rPr>
          <w:rFonts w:ascii="Gill Sans MT" w:hAnsi="Gill Sans MT"/>
          <w:sz w:val="18"/>
        </w:rPr>
      </w:pPr>
      <w:r>
        <w:rPr>
          <w:rFonts w:ascii="Arial" w:hAnsi="Arial"/>
          <w:b/>
          <w:color w:val="231F20"/>
          <w:w w:val="110"/>
          <w:sz w:val="18"/>
        </w:rPr>
        <w:t xml:space="preserve">December 1971–January 1972 </w:t>
      </w:r>
      <w:r>
        <w:rPr>
          <w:rFonts w:ascii="Gill Sans MT" w:hAnsi="Gill Sans MT"/>
          <w:color w:val="231F20"/>
          <w:w w:val="110"/>
          <w:sz w:val="18"/>
        </w:rPr>
        <w:t>In a series of meetings held at the Georg von Rauch House, members of the Blues</w:t>
      </w:r>
      <w:r>
        <w:rPr>
          <w:rFonts w:ascii="Lucida Sans" w:hAnsi="Lucida Sans"/>
          <w:i/>
          <w:color w:val="231F20"/>
          <w:w w:val="110"/>
          <w:sz w:val="18"/>
        </w:rPr>
        <w:t xml:space="preserve">, </w:t>
      </w:r>
      <w:r>
        <w:rPr>
          <w:rFonts w:ascii="Gill Sans MT" w:hAnsi="Gill Sans MT"/>
          <w:color w:val="231F20"/>
          <w:w w:val="110"/>
          <w:sz w:val="18"/>
        </w:rPr>
        <w:t xml:space="preserve">Tupamaros-West Berlin, the Roaming Hash Rebels, and the </w:t>
      </w:r>
      <w:r>
        <w:rPr>
          <w:rFonts w:ascii="Lucida Sans" w:hAnsi="Lucida Sans"/>
          <w:i/>
          <w:color w:val="231F20"/>
          <w:w w:val="110"/>
          <w:sz w:val="18"/>
        </w:rPr>
        <w:t xml:space="preserve">Rote Ruhr Armee </w:t>
      </w:r>
      <w:r>
        <w:rPr>
          <w:rFonts w:ascii="Gill Sans MT" w:hAnsi="Gill Sans MT"/>
          <w:color w:val="231F20"/>
          <w:w w:val="110"/>
          <w:sz w:val="18"/>
        </w:rPr>
        <w:t xml:space="preserve">decide upon fusion, forming the </w:t>
      </w:r>
      <w:r>
        <w:rPr>
          <w:rFonts w:ascii="Arial" w:hAnsi="Arial"/>
          <w:color w:val="231F20"/>
          <w:w w:val="110"/>
          <w:sz w:val="18"/>
        </w:rPr>
        <w:t>2</w:t>
      </w:r>
      <w:r>
        <w:rPr>
          <w:rFonts w:ascii="Gill Sans MT" w:hAnsi="Gill Sans MT"/>
          <w:color w:val="231F20"/>
          <w:w w:val="110"/>
          <w:sz w:val="18"/>
        </w:rPr>
        <w:t>nd of June Movement (2JM).</w:t>
      </w:r>
    </w:p>
    <w:p w14:paraId="42A730EE" w14:textId="77777777" w:rsidR="002653E8" w:rsidRDefault="002653E8">
      <w:pPr>
        <w:pStyle w:val="a3"/>
        <w:rPr>
          <w:rFonts w:ascii="Gill Sans MT"/>
        </w:rPr>
      </w:pPr>
    </w:p>
    <w:p w14:paraId="230CFE1E" w14:textId="77777777" w:rsidR="002653E8" w:rsidRDefault="002653E8">
      <w:pPr>
        <w:pStyle w:val="a3"/>
        <w:spacing w:before="4"/>
        <w:rPr>
          <w:rFonts w:ascii="Gill Sans MT"/>
        </w:rPr>
      </w:pPr>
    </w:p>
    <w:p w14:paraId="447D8EB4" w14:textId="77777777" w:rsidR="002653E8" w:rsidRDefault="003115E3">
      <w:pPr>
        <w:pStyle w:val="5"/>
        <w:ind w:left="263"/>
      </w:pPr>
      <w:r>
        <w:rPr>
          <w:color w:val="231F20"/>
          <w:w w:val="120"/>
        </w:rPr>
        <w:t>1972</w:t>
      </w:r>
    </w:p>
    <w:p w14:paraId="1FD86603" w14:textId="77777777" w:rsidR="002653E8" w:rsidRDefault="003115E3">
      <w:pPr>
        <w:spacing w:before="12"/>
        <w:ind w:left="263"/>
        <w:rPr>
          <w:rFonts w:ascii="Arial"/>
          <w:b/>
          <w:sz w:val="18"/>
        </w:rPr>
      </w:pPr>
      <w:r>
        <w:rPr>
          <w:rFonts w:ascii="Arial"/>
          <w:b/>
          <w:color w:val="231F20"/>
          <w:w w:val="115"/>
          <w:sz w:val="18"/>
        </w:rPr>
        <w:t>January 10, 1972</w:t>
      </w:r>
    </w:p>
    <w:p w14:paraId="4BCE33AB" w14:textId="77777777" w:rsidR="002653E8" w:rsidRDefault="003115E3">
      <w:pPr>
        <w:spacing w:before="28" w:line="276" w:lineRule="auto"/>
        <w:ind w:left="263" w:right="1270"/>
        <w:rPr>
          <w:rFonts w:ascii="Gill Sans MT" w:hAnsi="Gill Sans MT"/>
          <w:sz w:val="18"/>
        </w:rPr>
      </w:pPr>
      <w:r>
        <w:rPr>
          <w:rFonts w:ascii="Lucida Sans" w:hAnsi="Lucida Sans"/>
          <w:i/>
          <w:color w:val="231F20"/>
          <w:w w:val="110"/>
          <w:sz w:val="18"/>
        </w:rPr>
        <w:t xml:space="preserve">Spiegel </w:t>
      </w:r>
      <w:r>
        <w:rPr>
          <w:rFonts w:ascii="Gill Sans MT" w:hAnsi="Gill Sans MT"/>
          <w:color w:val="231F20"/>
          <w:w w:val="110"/>
          <w:sz w:val="18"/>
        </w:rPr>
        <w:t xml:space="preserve">publishes a letter from noted </w:t>
      </w:r>
      <w:r>
        <w:rPr>
          <w:rFonts w:ascii="Gill Sans MT" w:hAnsi="Gill Sans MT"/>
          <w:color w:val="231F20"/>
          <w:spacing w:val="-3"/>
          <w:w w:val="110"/>
          <w:sz w:val="18"/>
        </w:rPr>
        <w:t xml:space="preserve">West </w:t>
      </w:r>
      <w:r>
        <w:rPr>
          <w:rFonts w:ascii="Gill Sans MT" w:hAnsi="Gill Sans MT"/>
          <w:color w:val="231F20"/>
          <w:w w:val="110"/>
          <w:sz w:val="18"/>
        </w:rPr>
        <w:t>German author Heinrich Böll in which he describes the</w:t>
      </w:r>
    </w:p>
    <w:p w14:paraId="40A0F1E6" w14:textId="77777777" w:rsidR="002653E8" w:rsidRDefault="002653E8">
      <w:pPr>
        <w:spacing w:line="276" w:lineRule="auto"/>
        <w:rPr>
          <w:rFonts w:ascii="Gill Sans MT" w:hAnsi="Gill Sans MT"/>
          <w:sz w:val="18"/>
        </w:rPr>
        <w:sectPr w:rsidR="002653E8">
          <w:footerReference w:type="default" r:id="rId503"/>
          <w:pgSz w:w="8640" w:h="12960"/>
          <w:pgMar w:top="1060" w:right="0" w:bottom="280" w:left="0" w:header="0" w:footer="0" w:gutter="0"/>
          <w:cols w:num="2" w:space="720" w:equalWidth="0">
            <w:col w:w="4047" w:space="40"/>
            <w:col w:w="4553"/>
          </w:cols>
        </w:sectPr>
      </w:pPr>
    </w:p>
    <w:p w14:paraId="796CE908" w14:textId="77777777" w:rsidR="002653E8" w:rsidRDefault="002653E8">
      <w:pPr>
        <w:pStyle w:val="a3"/>
        <w:rPr>
          <w:rFonts w:ascii="Gill Sans MT"/>
        </w:rPr>
      </w:pPr>
    </w:p>
    <w:p w14:paraId="6234C7FF" w14:textId="77777777" w:rsidR="002653E8" w:rsidRDefault="002653E8">
      <w:pPr>
        <w:pStyle w:val="a3"/>
        <w:spacing w:before="2"/>
        <w:rPr>
          <w:rFonts w:ascii="Gill Sans MT"/>
          <w:sz w:val="23"/>
        </w:rPr>
      </w:pPr>
    </w:p>
    <w:p w14:paraId="1DE977A7" w14:textId="77777777" w:rsidR="002653E8" w:rsidRDefault="003115E3">
      <w:pPr>
        <w:tabs>
          <w:tab w:val="left" w:pos="3677"/>
        </w:tabs>
        <w:spacing w:before="97" w:line="244" w:lineRule="auto"/>
        <w:ind w:left="5442" w:right="1325" w:hanging="4295"/>
        <w:rPr>
          <w:sz w:val="18"/>
        </w:rPr>
      </w:pPr>
      <w:r>
        <w:rPr>
          <w:color w:val="231F20"/>
          <w:spacing w:val="15"/>
          <w:w w:val="110"/>
          <w:position w:val="5"/>
          <w:sz w:val="18"/>
        </w:rPr>
        <w:t>588</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20"/>
          <w:w w:val="110"/>
          <w:sz w:val="18"/>
        </w:rPr>
        <w:t xml:space="preserve">germany october </w:t>
      </w:r>
      <w:r>
        <w:rPr>
          <w:color w:val="231F20"/>
          <w:spacing w:val="15"/>
          <w:w w:val="110"/>
          <w:sz w:val="18"/>
        </w:rPr>
        <w:t>21,</w:t>
      </w:r>
      <w:r>
        <w:rPr>
          <w:color w:val="231F20"/>
          <w:spacing w:val="22"/>
          <w:w w:val="110"/>
          <w:sz w:val="18"/>
        </w:rPr>
        <w:t xml:space="preserve"> </w:t>
      </w:r>
      <w:r>
        <w:rPr>
          <w:color w:val="231F20"/>
          <w:spacing w:val="17"/>
          <w:w w:val="110"/>
          <w:sz w:val="18"/>
        </w:rPr>
        <w:t>1971</w:t>
      </w:r>
      <w:r>
        <w:rPr>
          <w:color w:val="231F20"/>
          <w:spacing w:val="-15"/>
          <w:sz w:val="18"/>
        </w:rPr>
        <w:t xml:space="preserve"> </w:t>
      </w:r>
    </w:p>
    <w:p w14:paraId="209FF85E" w14:textId="77777777" w:rsidR="002653E8" w:rsidRDefault="002653E8">
      <w:pPr>
        <w:spacing w:line="244" w:lineRule="auto"/>
        <w:rPr>
          <w:sz w:val="18"/>
        </w:rPr>
        <w:sectPr w:rsidR="002653E8">
          <w:type w:val="continuous"/>
          <w:pgSz w:w="8640" w:h="12960"/>
          <w:pgMar w:top="0" w:right="0" w:bottom="0" w:left="0" w:header="720" w:footer="720" w:gutter="0"/>
          <w:cols w:space="720"/>
        </w:sectPr>
      </w:pPr>
    </w:p>
    <w:p w14:paraId="3407F88E" w14:textId="77777777" w:rsidR="002653E8" w:rsidRDefault="003115E3">
      <w:pPr>
        <w:spacing w:before="72" w:line="276" w:lineRule="auto"/>
        <w:ind w:left="1327" w:right="21"/>
        <w:rPr>
          <w:rFonts w:ascii="Gill Sans MT" w:hAnsi="Gill Sans MT"/>
          <w:sz w:val="18"/>
        </w:rPr>
      </w:pPr>
      <w:r>
        <w:rPr>
          <w:rFonts w:ascii="Gill Sans MT" w:hAnsi="Gill Sans MT"/>
          <w:color w:val="231F20"/>
          <w:w w:val="115"/>
          <w:sz w:val="18"/>
        </w:rPr>
        <w:lastRenderedPageBreak/>
        <w:t>Springer</w:t>
      </w:r>
      <w:r>
        <w:rPr>
          <w:rFonts w:ascii="Gill Sans MT" w:hAnsi="Gill Sans MT"/>
          <w:color w:val="231F20"/>
          <w:spacing w:val="-23"/>
          <w:w w:val="115"/>
          <w:sz w:val="18"/>
        </w:rPr>
        <w:t xml:space="preserve"> </w:t>
      </w:r>
      <w:r>
        <w:rPr>
          <w:rFonts w:ascii="Gill Sans MT" w:hAnsi="Gill Sans MT"/>
          <w:color w:val="231F20"/>
          <w:w w:val="115"/>
          <w:sz w:val="18"/>
        </w:rPr>
        <w:t>Press</w:t>
      </w:r>
      <w:r>
        <w:rPr>
          <w:rFonts w:ascii="Gill Sans MT" w:hAnsi="Gill Sans MT"/>
          <w:color w:val="231F20"/>
          <w:spacing w:val="-23"/>
          <w:w w:val="115"/>
          <w:sz w:val="18"/>
        </w:rPr>
        <w:t xml:space="preserve"> </w:t>
      </w:r>
      <w:r>
        <w:rPr>
          <w:rFonts w:ascii="Gill Sans MT" w:hAnsi="Gill Sans MT"/>
          <w:color w:val="231F20"/>
          <w:w w:val="115"/>
          <w:sz w:val="18"/>
        </w:rPr>
        <w:t>coverage</w:t>
      </w:r>
      <w:r>
        <w:rPr>
          <w:rFonts w:ascii="Gill Sans MT" w:hAnsi="Gill Sans MT"/>
          <w:color w:val="231F20"/>
          <w:spacing w:val="-23"/>
          <w:w w:val="115"/>
          <w:sz w:val="18"/>
        </w:rPr>
        <w:t xml:space="preserve"> </w:t>
      </w:r>
      <w:r>
        <w:rPr>
          <w:rFonts w:ascii="Gill Sans MT" w:hAnsi="Gill Sans MT"/>
          <w:color w:val="231F20"/>
          <w:w w:val="115"/>
          <w:sz w:val="18"/>
        </w:rPr>
        <w:t>of</w:t>
      </w:r>
      <w:r>
        <w:rPr>
          <w:rFonts w:ascii="Gill Sans MT" w:hAnsi="Gill Sans MT"/>
          <w:color w:val="231F20"/>
          <w:spacing w:val="-23"/>
          <w:w w:val="115"/>
          <w:sz w:val="18"/>
        </w:rPr>
        <w:t xml:space="preserve"> </w:t>
      </w:r>
      <w:r>
        <w:rPr>
          <w:rFonts w:ascii="Gill Sans MT" w:hAnsi="Gill Sans MT"/>
          <w:color w:val="231F20"/>
          <w:w w:val="115"/>
          <w:sz w:val="18"/>
        </w:rPr>
        <w:t>the</w:t>
      </w:r>
      <w:r>
        <w:rPr>
          <w:rFonts w:ascii="Gill Sans MT" w:hAnsi="Gill Sans MT"/>
          <w:color w:val="231F20"/>
          <w:spacing w:val="-23"/>
          <w:w w:val="115"/>
          <w:sz w:val="18"/>
        </w:rPr>
        <w:t xml:space="preserve"> </w:t>
      </w:r>
      <w:r w:rsidR="00C507A5">
        <w:rPr>
          <w:rFonts w:ascii="Gill Sans MT" w:hAnsi="Gill Sans MT"/>
          <w:color w:val="231F20"/>
          <w:w w:val="115"/>
          <w:sz w:val="18"/>
        </w:rPr>
        <w:t>red army faction</w:t>
      </w:r>
      <w:r>
        <w:rPr>
          <w:rFonts w:ascii="Gill Sans MT" w:hAnsi="Gill Sans MT"/>
          <w:color w:val="231F20"/>
          <w:w w:val="115"/>
          <w:sz w:val="18"/>
        </w:rPr>
        <w:t xml:space="preserve"> as “naked fascism,” making him a target of the right-wing media and the</w:t>
      </w:r>
      <w:r>
        <w:rPr>
          <w:rFonts w:ascii="Gill Sans MT" w:hAnsi="Gill Sans MT"/>
          <w:color w:val="231F20"/>
          <w:spacing w:val="-13"/>
          <w:w w:val="115"/>
          <w:sz w:val="18"/>
        </w:rPr>
        <w:t xml:space="preserve"> </w:t>
      </w:r>
      <w:r>
        <w:rPr>
          <w:rFonts w:ascii="Gill Sans MT" w:hAnsi="Gill Sans MT"/>
          <w:color w:val="231F20"/>
          <w:w w:val="115"/>
          <w:sz w:val="18"/>
        </w:rPr>
        <w:t>police</w:t>
      </w:r>
      <w:r>
        <w:rPr>
          <w:rFonts w:ascii="Gill Sans MT" w:hAnsi="Gill Sans MT"/>
          <w:color w:val="231F20"/>
          <w:spacing w:val="-13"/>
          <w:w w:val="115"/>
          <w:sz w:val="18"/>
        </w:rPr>
        <w:t xml:space="preserve"> </w:t>
      </w:r>
      <w:r>
        <w:rPr>
          <w:rFonts w:ascii="Gill Sans MT" w:hAnsi="Gill Sans MT"/>
          <w:color w:val="231F20"/>
          <w:w w:val="115"/>
          <w:sz w:val="18"/>
        </w:rPr>
        <w:t>for</w:t>
      </w:r>
      <w:r>
        <w:rPr>
          <w:rFonts w:ascii="Gill Sans MT" w:hAnsi="Gill Sans MT"/>
          <w:color w:val="231F20"/>
          <w:spacing w:val="-13"/>
          <w:w w:val="115"/>
          <w:sz w:val="18"/>
        </w:rPr>
        <w:t xml:space="preserve"> </w:t>
      </w:r>
      <w:r>
        <w:rPr>
          <w:rFonts w:ascii="Gill Sans MT" w:hAnsi="Gill Sans MT"/>
          <w:color w:val="231F20"/>
          <w:w w:val="115"/>
          <w:sz w:val="18"/>
        </w:rPr>
        <w:t>years</w:t>
      </w:r>
      <w:r>
        <w:rPr>
          <w:rFonts w:ascii="Gill Sans MT" w:hAnsi="Gill Sans MT"/>
          <w:color w:val="231F20"/>
          <w:spacing w:val="-13"/>
          <w:w w:val="115"/>
          <w:sz w:val="18"/>
        </w:rPr>
        <w:t xml:space="preserve"> </w:t>
      </w:r>
      <w:r>
        <w:rPr>
          <w:rFonts w:ascii="Gill Sans MT" w:hAnsi="Gill Sans MT"/>
          <w:color w:val="231F20"/>
          <w:w w:val="115"/>
          <w:sz w:val="18"/>
        </w:rPr>
        <w:t>to</w:t>
      </w:r>
      <w:r>
        <w:rPr>
          <w:rFonts w:ascii="Gill Sans MT" w:hAnsi="Gill Sans MT"/>
          <w:color w:val="231F20"/>
          <w:spacing w:val="-13"/>
          <w:w w:val="115"/>
          <w:sz w:val="18"/>
        </w:rPr>
        <w:t xml:space="preserve"> </w:t>
      </w:r>
      <w:r>
        <w:rPr>
          <w:rFonts w:ascii="Gill Sans MT" w:hAnsi="Gill Sans MT"/>
          <w:color w:val="231F20"/>
          <w:w w:val="115"/>
          <w:sz w:val="18"/>
        </w:rPr>
        <w:t>come.</w:t>
      </w:r>
    </w:p>
    <w:p w14:paraId="30D72139" w14:textId="77777777" w:rsidR="002653E8" w:rsidRDefault="002653E8">
      <w:pPr>
        <w:pStyle w:val="a3"/>
        <w:spacing w:before="6"/>
        <w:rPr>
          <w:rFonts w:ascii="Gill Sans MT"/>
        </w:rPr>
      </w:pPr>
    </w:p>
    <w:p w14:paraId="4822660B" w14:textId="77777777" w:rsidR="002653E8" w:rsidRDefault="003115E3">
      <w:pPr>
        <w:spacing w:before="1"/>
        <w:ind w:left="1327"/>
        <w:rPr>
          <w:rFonts w:ascii="Arial"/>
          <w:b/>
          <w:sz w:val="18"/>
        </w:rPr>
      </w:pPr>
      <w:r>
        <w:rPr>
          <w:rFonts w:ascii="Arial"/>
          <w:b/>
          <w:color w:val="231F20"/>
          <w:w w:val="115"/>
          <w:sz w:val="18"/>
        </w:rPr>
        <w:t>January 28, 1972</w:t>
      </w:r>
    </w:p>
    <w:p w14:paraId="6AB181C5" w14:textId="77777777" w:rsidR="002653E8" w:rsidRDefault="003115E3">
      <w:pPr>
        <w:spacing w:before="34" w:line="273" w:lineRule="auto"/>
        <w:ind w:left="1327" w:right="23"/>
        <w:rPr>
          <w:rFonts w:ascii="Gill Sans MT"/>
          <w:sz w:val="18"/>
        </w:rPr>
      </w:pPr>
      <w:r>
        <w:rPr>
          <w:rFonts w:ascii="Gill Sans MT"/>
          <w:color w:val="231F20"/>
          <w:w w:val="110"/>
          <w:sz w:val="18"/>
        </w:rPr>
        <w:t>The Interior Ministers Conference passes</w:t>
      </w:r>
      <w:r>
        <w:rPr>
          <w:rFonts w:ascii="Gill Sans MT"/>
          <w:color w:val="231F20"/>
          <w:spacing w:val="-39"/>
          <w:w w:val="110"/>
          <w:sz w:val="18"/>
        </w:rPr>
        <w:t xml:space="preserve"> </w:t>
      </w:r>
      <w:r>
        <w:rPr>
          <w:rFonts w:ascii="Gill Sans MT"/>
          <w:color w:val="231F20"/>
          <w:w w:val="110"/>
          <w:sz w:val="18"/>
        </w:rPr>
        <w:t>the</w:t>
      </w:r>
      <w:r>
        <w:rPr>
          <w:rFonts w:ascii="Gill Sans MT"/>
          <w:color w:val="231F20"/>
          <w:spacing w:val="-39"/>
          <w:w w:val="110"/>
          <w:sz w:val="18"/>
        </w:rPr>
        <w:t xml:space="preserve"> </w:t>
      </w:r>
      <w:r>
        <w:rPr>
          <w:rFonts w:ascii="Lucida Sans"/>
          <w:i/>
          <w:color w:val="231F20"/>
          <w:w w:val="110"/>
          <w:sz w:val="18"/>
        </w:rPr>
        <w:t>Radikalenerlass</w:t>
      </w:r>
      <w:r>
        <w:rPr>
          <w:rFonts w:ascii="Lucida Sans"/>
          <w:i/>
          <w:color w:val="231F20"/>
          <w:spacing w:val="-46"/>
          <w:w w:val="110"/>
          <w:sz w:val="18"/>
        </w:rPr>
        <w:t xml:space="preserve"> </w:t>
      </w:r>
      <w:r>
        <w:rPr>
          <w:rFonts w:ascii="Gill Sans MT"/>
          <w:color w:val="231F20"/>
          <w:w w:val="110"/>
          <w:sz w:val="18"/>
        </w:rPr>
        <w:t xml:space="preserve">(AntiRadical Act), generally known as </w:t>
      </w:r>
      <w:r>
        <w:rPr>
          <w:rFonts w:ascii="Gill Sans MT"/>
          <w:color w:val="231F20"/>
          <w:w w:val="105"/>
          <w:sz w:val="18"/>
        </w:rPr>
        <w:t>the</w:t>
      </w:r>
      <w:r>
        <w:rPr>
          <w:rFonts w:ascii="Gill Sans MT"/>
          <w:color w:val="231F20"/>
          <w:spacing w:val="-21"/>
          <w:w w:val="105"/>
          <w:sz w:val="18"/>
        </w:rPr>
        <w:t xml:space="preserve"> </w:t>
      </w:r>
      <w:r>
        <w:rPr>
          <w:rFonts w:ascii="Lucida Sans"/>
          <w:i/>
          <w:color w:val="231F20"/>
          <w:w w:val="105"/>
          <w:sz w:val="18"/>
        </w:rPr>
        <w:t>Berufsverbot</w:t>
      </w:r>
      <w:r>
        <w:rPr>
          <w:rFonts w:ascii="Lucida Sans"/>
          <w:i/>
          <w:color w:val="231F20"/>
          <w:spacing w:val="-28"/>
          <w:w w:val="105"/>
          <w:sz w:val="18"/>
        </w:rPr>
        <w:t xml:space="preserve"> </w:t>
      </w:r>
      <w:r>
        <w:rPr>
          <w:rFonts w:ascii="Gill Sans MT"/>
          <w:color w:val="231F20"/>
          <w:w w:val="105"/>
          <w:sz w:val="18"/>
        </w:rPr>
        <w:t>(Professional</w:t>
      </w:r>
      <w:r>
        <w:rPr>
          <w:rFonts w:ascii="Gill Sans MT"/>
          <w:color w:val="231F20"/>
          <w:spacing w:val="-21"/>
          <w:w w:val="105"/>
          <w:sz w:val="18"/>
        </w:rPr>
        <w:t xml:space="preserve"> </w:t>
      </w:r>
      <w:r>
        <w:rPr>
          <w:rFonts w:ascii="Gill Sans MT"/>
          <w:color w:val="231F20"/>
          <w:w w:val="105"/>
          <w:sz w:val="18"/>
        </w:rPr>
        <w:t xml:space="preserve">Ban), </w:t>
      </w:r>
      <w:r>
        <w:rPr>
          <w:rFonts w:ascii="Gill Sans MT"/>
          <w:color w:val="231F20"/>
          <w:w w:val="110"/>
          <w:sz w:val="18"/>
        </w:rPr>
        <w:t>barring people with left histories from working at any level of the civil service, including in the field of public</w:t>
      </w:r>
      <w:r>
        <w:rPr>
          <w:rFonts w:ascii="Gill Sans MT"/>
          <w:color w:val="231F20"/>
          <w:spacing w:val="-4"/>
          <w:w w:val="110"/>
          <w:sz w:val="18"/>
        </w:rPr>
        <w:t xml:space="preserve"> </w:t>
      </w:r>
      <w:r>
        <w:rPr>
          <w:rFonts w:ascii="Gill Sans MT"/>
          <w:color w:val="231F20"/>
          <w:w w:val="110"/>
          <w:sz w:val="18"/>
        </w:rPr>
        <w:t>education.</w:t>
      </w:r>
    </w:p>
    <w:p w14:paraId="36CC513D" w14:textId="77777777" w:rsidR="002653E8" w:rsidRDefault="002653E8">
      <w:pPr>
        <w:pStyle w:val="a3"/>
        <w:spacing w:before="8"/>
        <w:rPr>
          <w:rFonts w:ascii="Gill Sans MT"/>
        </w:rPr>
      </w:pPr>
    </w:p>
    <w:p w14:paraId="57554F80" w14:textId="77777777" w:rsidR="002653E8" w:rsidRDefault="003115E3">
      <w:pPr>
        <w:ind w:left="1327"/>
        <w:rPr>
          <w:rFonts w:ascii="Arial"/>
          <w:b/>
          <w:sz w:val="18"/>
        </w:rPr>
      </w:pPr>
      <w:r>
        <w:rPr>
          <w:rFonts w:ascii="Arial"/>
          <w:b/>
          <w:color w:val="231F20"/>
          <w:w w:val="115"/>
          <w:sz w:val="18"/>
        </w:rPr>
        <w:t>February 21, 1972</w:t>
      </w:r>
    </w:p>
    <w:p w14:paraId="7ED7C022" w14:textId="77777777" w:rsidR="002653E8" w:rsidRDefault="00C507A5">
      <w:pPr>
        <w:spacing w:before="35" w:line="276" w:lineRule="auto"/>
        <w:ind w:left="1327" w:right="383"/>
        <w:rPr>
          <w:rFonts w:ascii="Gill Sans MT"/>
          <w:sz w:val="18"/>
        </w:rPr>
      </w:pPr>
      <w:r>
        <w:rPr>
          <w:rFonts w:ascii="Gill Sans MT"/>
          <w:color w:val="231F20"/>
          <w:w w:val="115"/>
          <w:sz w:val="18"/>
        </w:rPr>
        <w:t>red army faction</w:t>
      </w:r>
      <w:r w:rsidR="003115E3">
        <w:rPr>
          <w:rFonts w:ascii="Gill Sans MT"/>
          <w:color w:val="231F20"/>
          <w:w w:val="115"/>
          <w:sz w:val="18"/>
        </w:rPr>
        <w:t xml:space="preserve"> members dressed in full Carnival regalia rob a bank in Ludwigshafen, making off with </w:t>
      </w:r>
      <w:r w:rsidR="003115E3">
        <w:rPr>
          <w:rFonts w:ascii="Arial"/>
          <w:color w:val="231F20"/>
          <w:w w:val="115"/>
          <w:sz w:val="18"/>
        </w:rPr>
        <w:t>285</w:t>
      </w:r>
      <w:r w:rsidR="003115E3">
        <w:rPr>
          <w:rFonts w:ascii="Gill Sans MT"/>
          <w:color w:val="231F20"/>
          <w:w w:val="115"/>
          <w:sz w:val="18"/>
        </w:rPr>
        <w:t>,</w:t>
      </w:r>
      <w:r w:rsidR="003115E3">
        <w:rPr>
          <w:rFonts w:ascii="Arial"/>
          <w:color w:val="231F20"/>
          <w:w w:val="115"/>
          <w:sz w:val="18"/>
        </w:rPr>
        <w:t xml:space="preserve">000 </w:t>
      </w:r>
      <w:r w:rsidR="003115E3">
        <w:rPr>
          <w:rFonts w:ascii="Gill Sans MT"/>
          <w:color w:val="231F20"/>
          <w:w w:val="115"/>
          <w:sz w:val="18"/>
        </w:rPr>
        <w:t>dM.</w:t>
      </w:r>
    </w:p>
    <w:p w14:paraId="35F2C200" w14:textId="77777777" w:rsidR="002653E8" w:rsidRDefault="002653E8">
      <w:pPr>
        <w:pStyle w:val="a3"/>
        <w:spacing w:before="5"/>
        <w:rPr>
          <w:rFonts w:ascii="Gill Sans MT"/>
        </w:rPr>
      </w:pPr>
    </w:p>
    <w:p w14:paraId="3D095856" w14:textId="77777777" w:rsidR="002653E8" w:rsidRDefault="003115E3">
      <w:pPr>
        <w:ind w:left="1327"/>
        <w:rPr>
          <w:rFonts w:ascii="Arial"/>
          <w:b/>
          <w:sz w:val="18"/>
        </w:rPr>
      </w:pPr>
      <w:r>
        <w:rPr>
          <w:rFonts w:ascii="Arial"/>
          <w:b/>
          <w:color w:val="231F20"/>
          <w:w w:val="115"/>
          <w:sz w:val="18"/>
        </w:rPr>
        <w:t>March 1, 1972</w:t>
      </w:r>
    </w:p>
    <w:p w14:paraId="2A8EA905" w14:textId="77777777" w:rsidR="002653E8" w:rsidRDefault="003115E3">
      <w:pPr>
        <w:spacing w:before="35" w:line="276" w:lineRule="auto"/>
        <w:ind w:left="1327"/>
        <w:rPr>
          <w:rFonts w:ascii="Gill Sans MT"/>
          <w:sz w:val="18"/>
        </w:rPr>
      </w:pPr>
      <w:r>
        <w:rPr>
          <w:rFonts w:ascii="Gill Sans MT"/>
          <w:color w:val="231F20"/>
          <w:w w:val="110"/>
          <w:sz w:val="18"/>
        </w:rPr>
        <w:t>Richard Epple, a seventeen-year-old apprentice, who is driving without</w:t>
      </w:r>
    </w:p>
    <w:p w14:paraId="3DF6ED1F" w14:textId="77777777" w:rsidR="002653E8" w:rsidRDefault="003115E3">
      <w:pPr>
        <w:spacing w:line="276" w:lineRule="auto"/>
        <w:ind w:left="1327" w:right="92"/>
        <w:rPr>
          <w:rFonts w:ascii="Gill Sans MT"/>
          <w:sz w:val="18"/>
        </w:rPr>
      </w:pPr>
      <w:r>
        <w:rPr>
          <w:rFonts w:ascii="Gill Sans MT"/>
          <w:color w:val="231F20"/>
          <w:w w:val="110"/>
          <w:sz w:val="18"/>
        </w:rPr>
        <w:t>a license, is mowed down when he runs a police checkpoint.</w:t>
      </w:r>
    </w:p>
    <w:p w14:paraId="44F3A2F7" w14:textId="77777777" w:rsidR="002653E8" w:rsidRDefault="002653E8">
      <w:pPr>
        <w:pStyle w:val="a3"/>
        <w:spacing w:before="6"/>
        <w:rPr>
          <w:rFonts w:ascii="Gill Sans MT"/>
        </w:rPr>
      </w:pPr>
    </w:p>
    <w:p w14:paraId="51BFBC5D" w14:textId="77777777" w:rsidR="002653E8" w:rsidRDefault="003115E3">
      <w:pPr>
        <w:ind w:left="1327"/>
        <w:rPr>
          <w:rFonts w:ascii="Arial"/>
          <w:b/>
          <w:sz w:val="18"/>
        </w:rPr>
      </w:pPr>
      <w:r>
        <w:rPr>
          <w:rFonts w:ascii="Arial"/>
          <w:b/>
          <w:color w:val="231F20"/>
          <w:w w:val="115"/>
          <w:sz w:val="18"/>
        </w:rPr>
        <w:t>March 2, 1972</w:t>
      </w:r>
    </w:p>
    <w:p w14:paraId="43AA256F" w14:textId="77777777" w:rsidR="002653E8" w:rsidRDefault="003115E3">
      <w:pPr>
        <w:spacing w:before="34" w:line="276" w:lineRule="auto"/>
        <w:ind w:left="1327" w:right="67"/>
        <w:rPr>
          <w:rFonts w:ascii="Gill Sans MT"/>
          <w:sz w:val="18"/>
        </w:rPr>
      </w:pPr>
      <w:r>
        <w:rPr>
          <w:rFonts w:ascii="Gill Sans MT"/>
          <w:color w:val="231F20"/>
          <w:w w:val="110"/>
          <w:sz w:val="18"/>
        </w:rPr>
        <w:t xml:space="preserve">An unarmed Thomas Weissbecker is shot and killed by police in Augsburg. </w:t>
      </w:r>
      <w:r w:rsidR="00C507A5">
        <w:rPr>
          <w:rFonts w:ascii="Gill Sans MT"/>
          <w:color w:val="231F20"/>
          <w:w w:val="110"/>
          <w:sz w:val="18"/>
        </w:rPr>
        <w:t>red army faction</w:t>
      </w:r>
      <w:r>
        <w:rPr>
          <w:rFonts w:ascii="Gill Sans MT"/>
          <w:color w:val="231F20"/>
          <w:w w:val="110"/>
          <w:sz w:val="18"/>
        </w:rPr>
        <w:t xml:space="preserve"> member Carmen Roll is arrested while trying to flee. In Hamburg, police raid a </w:t>
      </w:r>
      <w:r w:rsidR="00C507A5">
        <w:rPr>
          <w:rFonts w:ascii="Gill Sans MT"/>
          <w:color w:val="231F20"/>
          <w:w w:val="110"/>
          <w:sz w:val="18"/>
        </w:rPr>
        <w:t>red army faction</w:t>
      </w:r>
      <w:r>
        <w:rPr>
          <w:rFonts w:ascii="Gill Sans MT"/>
          <w:color w:val="231F20"/>
          <w:w w:val="110"/>
          <w:sz w:val="18"/>
        </w:rPr>
        <w:t xml:space="preserve"> safehouse. When </w:t>
      </w:r>
      <w:r w:rsidR="00C507A5">
        <w:rPr>
          <w:rFonts w:ascii="Gill Sans MT"/>
          <w:color w:val="231F20"/>
          <w:w w:val="110"/>
          <w:sz w:val="18"/>
        </w:rPr>
        <w:t>red army faction</w:t>
      </w:r>
      <w:r>
        <w:rPr>
          <w:rFonts w:ascii="Gill Sans MT"/>
          <w:color w:val="231F20"/>
          <w:w w:val="110"/>
          <w:sz w:val="18"/>
        </w:rPr>
        <w:t xml:space="preserve"> members Manfred Grashof and Wolfgang Grundmann arrive, a police officer opens fire. Grundmann surrenders immediately, but Grashof returns fire. Police Superintendent Hans Eckhardt is seriously wounded and subsequently dies of his injuries, and Grashof is seriously injured.</w:t>
      </w:r>
    </w:p>
    <w:p w14:paraId="716AF182" w14:textId="77777777" w:rsidR="002653E8" w:rsidRDefault="003115E3">
      <w:pPr>
        <w:spacing w:before="72" w:line="276" w:lineRule="auto"/>
        <w:ind w:left="253" w:right="1339"/>
        <w:rPr>
          <w:rFonts w:ascii="Gill Sans MT"/>
          <w:sz w:val="18"/>
        </w:rPr>
      </w:pPr>
      <w:r>
        <w:br w:type="column"/>
      </w:r>
      <w:r>
        <w:rPr>
          <w:rFonts w:ascii="Gill Sans MT"/>
          <w:color w:val="231F20"/>
          <w:w w:val="110"/>
          <w:sz w:val="18"/>
        </w:rPr>
        <w:t xml:space="preserve">Judge  Wolfgang  Buddenberg, who is in charge of all </w:t>
      </w:r>
      <w:r w:rsidR="00C507A5">
        <w:rPr>
          <w:rFonts w:ascii="Gill Sans MT"/>
          <w:color w:val="231F20"/>
          <w:w w:val="110"/>
          <w:sz w:val="18"/>
        </w:rPr>
        <w:t>red army faction</w:t>
      </w:r>
      <w:r>
        <w:rPr>
          <w:rFonts w:ascii="Gill Sans MT"/>
          <w:color w:val="231F20"/>
          <w:spacing w:val="-32"/>
          <w:w w:val="110"/>
          <w:sz w:val="18"/>
        </w:rPr>
        <w:t xml:space="preserve"> </w:t>
      </w:r>
      <w:r>
        <w:rPr>
          <w:rFonts w:ascii="Gill Sans MT"/>
          <w:color w:val="231F20"/>
          <w:w w:val="110"/>
          <w:sz w:val="18"/>
        </w:rPr>
        <w:t>arrests, nonetheless orders Grashof removed from the hospital to a prison</w:t>
      </w:r>
      <w:r>
        <w:rPr>
          <w:rFonts w:ascii="Gill Sans MT"/>
          <w:color w:val="231F20"/>
          <w:spacing w:val="-5"/>
          <w:w w:val="110"/>
          <w:sz w:val="18"/>
        </w:rPr>
        <w:t xml:space="preserve"> </w:t>
      </w:r>
      <w:r>
        <w:rPr>
          <w:rFonts w:ascii="Gill Sans MT"/>
          <w:color w:val="231F20"/>
          <w:w w:val="110"/>
          <w:sz w:val="18"/>
        </w:rPr>
        <w:t>cell.</w:t>
      </w:r>
    </w:p>
    <w:p w14:paraId="2EBFEE6E" w14:textId="77777777" w:rsidR="002653E8" w:rsidRDefault="002653E8">
      <w:pPr>
        <w:pStyle w:val="a3"/>
        <w:spacing w:before="6"/>
        <w:rPr>
          <w:rFonts w:ascii="Gill Sans MT"/>
        </w:rPr>
      </w:pPr>
    </w:p>
    <w:p w14:paraId="142AC283" w14:textId="77777777" w:rsidR="002653E8" w:rsidRDefault="003115E3">
      <w:pPr>
        <w:spacing w:before="1"/>
        <w:ind w:left="253"/>
        <w:rPr>
          <w:rFonts w:ascii="Arial"/>
          <w:b/>
          <w:sz w:val="18"/>
        </w:rPr>
      </w:pPr>
      <w:r>
        <w:rPr>
          <w:rFonts w:ascii="Arial"/>
          <w:b/>
          <w:color w:val="231F20"/>
          <w:w w:val="115"/>
          <w:sz w:val="18"/>
        </w:rPr>
        <w:t>March 3, 1972</w:t>
      </w:r>
    </w:p>
    <w:p w14:paraId="4774D92E" w14:textId="77777777" w:rsidR="002653E8" w:rsidRDefault="003115E3">
      <w:pPr>
        <w:spacing w:before="34" w:line="276" w:lineRule="auto"/>
        <w:ind w:left="254" w:right="1284"/>
        <w:rPr>
          <w:rFonts w:ascii="Gill Sans MT"/>
          <w:sz w:val="18"/>
        </w:rPr>
      </w:pPr>
      <w:r>
        <w:rPr>
          <w:rFonts w:ascii="Gill Sans MT"/>
          <w:color w:val="231F20"/>
          <w:w w:val="110"/>
          <w:sz w:val="18"/>
        </w:rPr>
        <w:t>demonstrations throughout West Germany to protest the murder of Weissbecker.</w:t>
      </w:r>
    </w:p>
    <w:p w14:paraId="68BC9F63" w14:textId="77777777" w:rsidR="002653E8" w:rsidRDefault="003115E3">
      <w:pPr>
        <w:spacing w:line="273" w:lineRule="auto"/>
        <w:ind w:left="253" w:right="1319"/>
        <w:rPr>
          <w:rFonts w:ascii="Gill Sans MT" w:hAnsi="Gill Sans MT"/>
          <w:sz w:val="18"/>
        </w:rPr>
      </w:pPr>
      <w:r>
        <w:rPr>
          <w:rFonts w:ascii="Gill Sans MT" w:hAnsi="Gill Sans MT"/>
          <w:color w:val="231F20"/>
          <w:w w:val="110"/>
          <w:sz w:val="18"/>
        </w:rPr>
        <w:t xml:space="preserve">2JM bomb the Berlin </w:t>
      </w:r>
      <w:r>
        <w:rPr>
          <w:rFonts w:ascii="Lucida Sans" w:hAnsi="Lucida Sans"/>
          <w:i/>
          <w:color w:val="231F20"/>
          <w:w w:val="95"/>
          <w:sz w:val="18"/>
        </w:rPr>
        <w:t xml:space="preserve">Landeskriminalamt </w:t>
      </w:r>
      <w:r>
        <w:rPr>
          <w:rFonts w:ascii="Gill Sans MT" w:hAnsi="Gill Sans MT"/>
          <w:color w:val="231F20"/>
          <w:w w:val="95"/>
          <w:sz w:val="18"/>
        </w:rPr>
        <w:t>(</w:t>
      </w:r>
      <w:r>
        <w:rPr>
          <w:rFonts w:ascii="Lucida Sans" w:hAnsi="Lucida Sans"/>
          <w:i/>
          <w:color w:val="231F20"/>
          <w:w w:val="95"/>
          <w:sz w:val="18"/>
        </w:rPr>
        <w:t xml:space="preserve">Land </w:t>
      </w:r>
      <w:r>
        <w:rPr>
          <w:rFonts w:ascii="Gill Sans MT" w:hAnsi="Gill Sans MT"/>
          <w:color w:val="231F20"/>
          <w:w w:val="95"/>
          <w:sz w:val="18"/>
        </w:rPr>
        <w:t xml:space="preserve">Criminal </w:t>
      </w:r>
      <w:r>
        <w:rPr>
          <w:rFonts w:ascii="Gill Sans MT" w:hAnsi="Gill Sans MT"/>
          <w:color w:val="231F20"/>
          <w:w w:val="110"/>
          <w:sz w:val="18"/>
        </w:rPr>
        <w:t xml:space="preserve">Bureau—LKA) in retaliation for the killings of </w:t>
      </w:r>
      <w:r w:rsidR="00C507A5">
        <w:rPr>
          <w:rFonts w:ascii="Gill Sans MT" w:hAnsi="Gill Sans MT"/>
          <w:color w:val="231F20"/>
          <w:w w:val="110"/>
          <w:sz w:val="18"/>
        </w:rPr>
        <w:t>red army faction</w:t>
      </w:r>
      <w:r>
        <w:rPr>
          <w:rFonts w:ascii="Gill Sans MT" w:hAnsi="Gill Sans MT"/>
          <w:color w:val="231F20"/>
          <w:w w:val="110"/>
          <w:sz w:val="18"/>
        </w:rPr>
        <w:t xml:space="preserve"> members Petra Schelm and Thomas Weissbecker.</w:t>
      </w:r>
    </w:p>
    <w:p w14:paraId="273B8576" w14:textId="77777777" w:rsidR="002653E8" w:rsidRDefault="002653E8">
      <w:pPr>
        <w:pStyle w:val="a3"/>
        <w:spacing w:before="9"/>
        <w:rPr>
          <w:rFonts w:ascii="Gill Sans MT"/>
        </w:rPr>
      </w:pPr>
    </w:p>
    <w:p w14:paraId="317BDA4F" w14:textId="77777777" w:rsidR="002653E8" w:rsidRDefault="003115E3">
      <w:pPr>
        <w:spacing w:before="1"/>
        <w:ind w:left="253"/>
        <w:rPr>
          <w:rFonts w:ascii="Arial"/>
          <w:b/>
          <w:sz w:val="18"/>
        </w:rPr>
      </w:pPr>
      <w:r>
        <w:rPr>
          <w:rFonts w:ascii="Arial"/>
          <w:b/>
          <w:color w:val="231F20"/>
          <w:w w:val="115"/>
          <w:sz w:val="18"/>
        </w:rPr>
        <w:t>March 15, 1972</w:t>
      </w:r>
    </w:p>
    <w:p w14:paraId="7772C563" w14:textId="77777777" w:rsidR="002653E8" w:rsidRDefault="003115E3">
      <w:pPr>
        <w:spacing w:before="34" w:line="276" w:lineRule="auto"/>
        <w:ind w:left="254" w:right="1312" w:hanging="1"/>
        <w:rPr>
          <w:rFonts w:ascii="Gill Sans MT"/>
          <w:sz w:val="18"/>
        </w:rPr>
      </w:pPr>
      <w:r>
        <w:rPr>
          <w:rFonts w:ascii="Gill Sans MT"/>
          <w:color w:val="231F20"/>
          <w:w w:val="110"/>
          <w:sz w:val="18"/>
        </w:rPr>
        <w:t xml:space="preserve">Former </w:t>
      </w:r>
      <w:r w:rsidR="00C507A5">
        <w:rPr>
          <w:rFonts w:ascii="Gill Sans MT"/>
          <w:color w:val="231F20"/>
          <w:w w:val="110"/>
          <w:sz w:val="18"/>
        </w:rPr>
        <w:t>red army faction</w:t>
      </w:r>
      <w:r>
        <w:rPr>
          <w:rFonts w:ascii="Gill Sans MT"/>
          <w:color w:val="231F20"/>
          <w:w w:val="110"/>
          <w:sz w:val="18"/>
        </w:rPr>
        <w:t xml:space="preserve"> associate turned state witness Karl-Heinz Ruhland</w:t>
      </w:r>
      <w:r>
        <w:rPr>
          <w:rFonts w:ascii="Gill Sans MT"/>
          <w:color w:val="231F20"/>
          <w:spacing w:val="-41"/>
          <w:w w:val="110"/>
          <w:sz w:val="18"/>
        </w:rPr>
        <w:t xml:space="preserve"> </w:t>
      </w:r>
      <w:r>
        <w:rPr>
          <w:rFonts w:ascii="Gill Sans MT"/>
          <w:color w:val="231F20"/>
          <w:w w:val="110"/>
          <w:sz w:val="18"/>
        </w:rPr>
        <w:t>is sentenced to four and a half</w:t>
      </w:r>
      <w:r>
        <w:rPr>
          <w:rFonts w:ascii="Gill Sans MT"/>
          <w:color w:val="231F20"/>
          <w:spacing w:val="30"/>
          <w:w w:val="110"/>
          <w:sz w:val="18"/>
        </w:rPr>
        <w:t xml:space="preserve"> </w:t>
      </w:r>
      <w:r>
        <w:rPr>
          <w:rFonts w:ascii="Gill Sans MT"/>
          <w:color w:val="231F20"/>
          <w:w w:val="110"/>
          <w:sz w:val="18"/>
        </w:rPr>
        <w:t>years.</w:t>
      </w:r>
    </w:p>
    <w:p w14:paraId="090B6C1E" w14:textId="77777777" w:rsidR="002653E8" w:rsidRDefault="002653E8">
      <w:pPr>
        <w:pStyle w:val="a3"/>
        <w:spacing w:before="6"/>
        <w:rPr>
          <w:rFonts w:ascii="Gill Sans MT"/>
        </w:rPr>
      </w:pPr>
    </w:p>
    <w:p w14:paraId="163F65D6" w14:textId="77777777" w:rsidR="002653E8" w:rsidRDefault="003115E3">
      <w:pPr>
        <w:ind w:left="254"/>
        <w:rPr>
          <w:rFonts w:ascii="Arial"/>
          <w:b/>
          <w:sz w:val="18"/>
        </w:rPr>
      </w:pPr>
      <w:r>
        <w:rPr>
          <w:rFonts w:ascii="Arial"/>
          <w:b/>
          <w:color w:val="231F20"/>
          <w:w w:val="115"/>
          <w:sz w:val="18"/>
        </w:rPr>
        <w:t>March 22, 1972</w:t>
      </w:r>
    </w:p>
    <w:p w14:paraId="1932794B" w14:textId="77777777" w:rsidR="002653E8" w:rsidRDefault="003115E3">
      <w:pPr>
        <w:spacing w:before="35" w:line="273" w:lineRule="auto"/>
        <w:ind w:left="254" w:right="1162"/>
        <w:rPr>
          <w:rFonts w:ascii="Gill Sans MT"/>
          <w:sz w:val="18"/>
        </w:rPr>
      </w:pPr>
      <w:r>
        <w:rPr>
          <w:rFonts w:ascii="Gill Sans MT"/>
          <w:color w:val="231F20"/>
          <w:w w:val="110"/>
          <w:sz w:val="18"/>
        </w:rPr>
        <w:t xml:space="preserve">The Social-Liberal coalition government passes the </w:t>
      </w:r>
      <w:r>
        <w:rPr>
          <w:rFonts w:ascii="Lucida Sans"/>
          <w:i/>
          <w:color w:val="231F20"/>
          <w:sz w:val="18"/>
        </w:rPr>
        <w:t xml:space="preserve">Schwerpunktprogramm Innere </w:t>
      </w:r>
      <w:r>
        <w:rPr>
          <w:rFonts w:ascii="Lucida Sans"/>
          <w:i/>
          <w:color w:val="231F20"/>
          <w:w w:val="110"/>
          <w:sz w:val="18"/>
        </w:rPr>
        <w:t xml:space="preserve">Sicherheit </w:t>
      </w:r>
      <w:r>
        <w:rPr>
          <w:rFonts w:ascii="Gill Sans MT"/>
          <w:color w:val="231F20"/>
          <w:w w:val="110"/>
          <w:sz w:val="18"/>
        </w:rPr>
        <w:t xml:space="preserve">(Priority Program for Internal Security), increasing and upgrading security measures overall and expanding the powers of the </w:t>
      </w:r>
      <w:r>
        <w:rPr>
          <w:rFonts w:ascii="Lucida Sans"/>
          <w:i/>
          <w:color w:val="231F20"/>
          <w:w w:val="110"/>
          <w:sz w:val="18"/>
        </w:rPr>
        <w:t>Verfassungsschutz</w:t>
      </w:r>
      <w:r>
        <w:rPr>
          <w:rFonts w:ascii="Gill Sans MT"/>
          <w:color w:val="231F20"/>
          <w:w w:val="110"/>
          <w:sz w:val="18"/>
        </w:rPr>
        <w:t>.</w:t>
      </w:r>
    </w:p>
    <w:p w14:paraId="4063EEB7" w14:textId="77777777" w:rsidR="002653E8" w:rsidRDefault="002653E8">
      <w:pPr>
        <w:pStyle w:val="a3"/>
        <w:spacing w:before="4"/>
        <w:rPr>
          <w:rFonts w:ascii="Gill Sans MT"/>
        </w:rPr>
      </w:pPr>
    </w:p>
    <w:p w14:paraId="54C9AC5C" w14:textId="77777777" w:rsidR="002653E8" w:rsidRDefault="003115E3">
      <w:pPr>
        <w:ind w:left="254"/>
        <w:rPr>
          <w:rFonts w:ascii="Arial"/>
          <w:b/>
          <w:sz w:val="18"/>
        </w:rPr>
      </w:pPr>
      <w:r>
        <w:rPr>
          <w:rFonts w:ascii="Arial"/>
          <w:b/>
          <w:color w:val="231F20"/>
          <w:w w:val="115"/>
          <w:sz w:val="18"/>
        </w:rPr>
        <w:t>April 1972</w:t>
      </w:r>
    </w:p>
    <w:p w14:paraId="57E62302" w14:textId="77777777" w:rsidR="002653E8" w:rsidRDefault="003115E3">
      <w:pPr>
        <w:spacing w:before="35" w:line="271" w:lineRule="auto"/>
        <w:ind w:left="254" w:right="1205" w:hanging="1"/>
        <w:rPr>
          <w:rFonts w:ascii="Gill Sans MT"/>
          <w:sz w:val="18"/>
        </w:rPr>
      </w:pPr>
      <w:r>
        <w:rPr>
          <w:rFonts w:ascii="Gill Sans MT"/>
          <w:color w:val="231F20"/>
          <w:w w:val="105"/>
          <w:sz w:val="18"/>
        </w:rPr>
        <w:t xml:space="preserve">The </w:t>
      </w:r>
      <w:r w:rsidR="00C507A5">
        <w:rPr>
          <w:rFonts w:ascii="Gill Sans MT"/>
          <w:color w:val="231F20"/>
          <w:w w:val="105"/>
          <w:sz w:val="18"/>
        </w:rPr>
        <w:t>red army faction</w:t>
      </w:r>
      <w:r>
        <w:rPr>
          <w:rFonts w:ascii="Gill Sans MT"/>
          <w:color w:val="231F20"/>
          <w:w w:val="105"/>
          <w:sz w:val="18"/>
        </w:rPr>
        <w:t xml:space="preserve"> issues a major document entitled </w:t>
      </w:r>
      <w:r>
        <w:rPr>
          <w:rFonts w:ascii="Lucida Sans"/>
          <w:i/>
          <w:color w:val="231F20"/>
          <w:w w:val="105"/>
          <w:sz w:val="18"/>
        </w:rPr>
        <w:t xml:space="preserve">Dem </w:t>
      </w:r>
      <w:r>
        <w:rPr>
          <w:rFonts w:ascii="Lucida Sans"/>
          <w:i/>
          <w:color w:val="231F20"/>
          <w:spacing w:val="-3"/>
          <w:w w:val="105"/>
          <w:sz w:val="18"/>
        </w:rPr>
        <w:t xml:space="preserve">Volk </w:t>
      </w:r>
      <w:r>
        <w:rPr>
          <w:rFonts w:ascii="Lucida Sans"/>
          <w:i/>
          <w:color w:val="231F20"/>
          <w:w w:val="105"/>
          <w:sz w:val="18"/>
        </w:rPr>
        <w:t xml:space="preserve">dienen: </w:t>
      </w:r>
      <w:r>
        <w:rPr>
          <w:rFonts w:ascii="Lucida Sans"/>
          <w:i/>
          <w:color w:val="231F20"/>
          <w:sz w:val="18"/>
        </w:rPr>
        <w:t xml:space="preserve">Stadtguerrilla und klassenkampf </w:t>
      </w:r>
      <w:r>
        <w:rPr>
          <w:rFonts w:ascii="Gill Sans MT"/>
          <w:color w:val="231F20"/>
          <w:w w:val="105"/>
          <w:sz w:val="18"/>
        </w:rPr>
        <w:t xml:space="preserve">(Serve the People: The  urban Guerilla and Class Struggle). </w:t>
      </w:r>
      <w:r>
        <w:rPr>
          <w:rFonts w:ascii="Lucida Sans"/>
          <w:i/>
          <w:color w:val="231F20"/>
          <w:w w:val="105"/>
          <w:sz w:val="18"/>
        </w:rPr>
        <w:t xml:space="preserve">Spiegel </w:t>
      </w:r>
      <w:r>
        <w:rPr>
          <w:rFonts w:ascii="Gill Sans MT"/>
          <w:color w:val="231F20"/>
          <w:w w:val="105"/>
          <w:sz w:val="18"/>
        </w:rPr>
        <w:t>prints</w:t>
      </w:r>
      <w:r>
        <w:rPr>
          <w:rFonts w:ascii="Gill Sans MT"/>
          <w:color w:val="231F20"/>
          <w:spacing w:val="-2"/>
          <w:w w:val="105"/>
          <w:sz w:val="18"/>
        </w:rPr>
        <w:t xml:space="preserve"> </w:t>
      </w:r>
      <w:r>
        <w:rPr>
          <w:rFonts w:ascii="Gill Sans MT"/>
          <w:color w:val="231F20"/>
          <w:w w:val="105"/>
          <w:sz w:val="18"/>
        </w:rPr>
        <w:t>extracts.</w:t>
      </w:r>
    </w:p>
    <w:p w14:paraId="32D9D88C" w14:textId="77777777" w:rsidR="002653E8" w:rsidRDefault="003115E3">
      <w:pPr>
        <w:spacing w:before="7" w:line="276" w:lineRule="auto"/>
        <w:ind w:left="254" w:right="1162"/>
        <w:rPr>
          <w:rFonts w:ascii="Gill Sans MT"/>
          <w:sz w:val="18"/>
        </w:rPr>
      </w:pPr>
      <w:r>
        <w:rPr>
          <w:rFonts w:ascii="Gill Sans MT"/>
          <w:color w:val="231F20"/>
          <w:w w:val="110"/>
          <w:sz w:val="18"/>
        </w:rPr>
        <w:t>The not-guilty sentence against Horst Mahler in the Baader jailbreak trial is overturned on appeal.</w:t>
      </w:r>
    </w:p>
    <w:p w14:paraId="6A553E03" w14:textId="77777777" w:rsidR="002653E8" w:rsidRDefault="002653E8">
      <w:pPr>
        <w:spacing w:line="276" w:lineRule="auto"/>
        <w:rPr>
          <w:rFonts w:ascii="Gill Sans MT"/>
          <w:sz w:val="18"/>
        </w:rPr>
        <w:sectPr w:rsidR="002653E8">
          <w:footerReference w:type="even" r:id="rId504"/>
          <w:pgSz w:w="8640" w:h="12960"/>
          <w:pgMar w:top="1080" w:right="0" w:bottom="280" w:left="0" w:header="0" w:footer="0" w:gutter="0"/>
          <w:cols w:num="2" w:space="720" w:equalWidth="0">
            <w:col w:w="4236" w:space="40"/>
            <w:col w:w="4364"/>
          </w:cols>
        </w:sectPr>
      </w:pPr>
    </w:p>
    <w:p w14:paraId="6338DA0C" w14:textId="77777777" w:rsidR="002653E8" w:rsidRDefault="002653E8">
      <w:pPr>
        <w:pStyle w:val="a3"/>
        <w:rPr>
          <w:rFonts w:ascii="Gill Sans MT"/>
        </w:rPr>
      </w:pPr>
    </w:p>
    <w:p w14:paraId="1711D9DA" w14:textId="77777777" w:rsidR="002653E8" w:rsidRDefault="002653E8">
      <w:pPr>
        <w:pStyle w:val="a3"/>
        <w:rPr>
          <w:rFonts w:ascii="Gill Sans MT"/>
        </w:rPr>
      </w:pPr>
    </w:p>
    <w:p w14:paraId="22DF2B5B" w14:textId="77777777" w:rsidR="002653E8" w:rsidRDefault="002653E8">
      <w:pPr>
        <w:rPr>
          <w:rFonts w:ascii="Gill Sans MT"/>
        </w:rPr>
        <w:sectPr w:rsidR="002653E8">
          <w:type w:val="continuous"/>
          <w:pgSz w:w="8640" w:h="12960"/>
          <w:pgMar w:top="0" w:right="0" w:bottom="0" w:left="0" w:header="720" w:footer="720" w:gutter="0"/>
          <w:cols w:space="720"/>
        </w:sectPr>
      </w:pPr>
    </w:p>
    <w:p w14:paraId="668F0D82" w14:textId="77777777" w:rsidR="002653E8" w:rsidRDefault="002653E8">
      <w:pPr>
        <w:pStyle w:val="a3"/>
        <w:spacing w:before="6"/>
        <w:rPr>
          <w:rFonts w:ascii="Gill Sans MT"/>
          <w:sz w:val="22"/>
        </w:rPr>
      </w:pPr>
    </w:p>
    <w:p w14:paraId="1906310F" w14:textId="77777777" w:rsidR="002653E8" w:rsidRDefault="003115E3">
      <w:pPr>
        <w:spacing w:line="244" w:lineRule="auto"/>
        <w:ind w:left="1327" w:right="38"/>
        <w:rPr>
          <w:sz w:val="18"/>
        </w:rPr>
      </w:pPr>
      <w:r>
        <w:rPr>
          <w:color w:val="231F20"/>
          <w:w w:val="120"/>
          <w:sz w:val="18"/>
        </w:rPr>
        <w:t xml:space="preserve">a chronology </w:t>
      </w:r>
      <w:r>
        <w:rPr>
          <w:color w:val="231F20"/>
          <w:w w:val="120"/>
          <w:sz w:val="18"/>
        </w:rPr>
        <w:lastRenderedPageBreak/>
        <w:t>april 1972</w:t>
      </w:r>
      <w:r>
        <w:rPr>
          <w:color w:val="231F20"/>
          <w:sz w:val="18"/>
        </w:rPr>
        <w:t xml:space="preserve"> </w:t>
      </w:r>
    </w:p>
    <w:p w14:paraId="1D94D774" w14:textId="77777777" w:rsidR="002653E8" w:rsidRDefault="003115E3">
      <w:pPr>
        <w:pStyle w:val="a3"/>
        <w:spacing w:before="5"/>
        <w:rPr>
          <w:sz w:val="18"/>
        </w:rPr>
      </w:pPr>
      <w:r>
        <w:br w:type="column"/>
      </w:r>
    </w:p>
    <w:p w14:paraId="721A5029" w14:textId="77777777" w:rsidR="002653E8" w:rsidRDefault="003115E3">
      <w:pPr>
        <w:ind w:left="1346" w:right="1141"/>
        <w:jc w:val="center"/>
        <w:rPr>
          <w:sz w:val="18"/>
        </w:rPr>
      </w:pPr>
      <w:r>
        <w:rPr>
          <w:color w:val="231F20"/>
          <w:sz w:val="18"/>
        </w:rPr>
        <w:t xml:space="preserve">589 </w:t>
      </w:r>
    </w:p>
    <w:p w14:paraId="7682189F" w14:textId="77777777" w:rsidR="002653E8" w:rsidRDefault="002653E8">
      <w:pPr>
        <w:jc w:val="center"/>
        <w:rPr>
          <w:sz w:val="18"/>
        </w:rPr>
        <w:sectPr w:rsidR="002653E8">
          <w:type w:val="continuous"/>
          <w:pgSz w:w="8640" w:h="12960"/>
          <w:pgMar w:top="0" w:right="0" w:bottom="0" w:left="0" w:header="720" w:footer="720" w:gutter="0"/>
          <w:cols w:num="2" w:space="720" w:equalWidth="0">
            <w:col w:w="2922" w:space="2892"/>
            <w:col w:w="2826"/>
          </w:cols>
        </w:sectPr>
      </w:pPr>
    </w:p>
    <w:p w14:paraId="77F782F8" w14:textId="77777777" w:rsidR="002653E8" w:rsidRDefault="003115E3">
      <w:pPr>
        <w:spacing w:before="91"/>
        <w:ind w:left="1147"/>
        <w:rPr>
          <w:rFonts w:ascii="Arial"/>
          <w:b/>
          <w:sz w:val="18"/>
        </w:rPr>
      </w:pPr>
      <w:r>
        <w:rPr>
          <w:rFonts w:ascii="Arial"/>
          <w:b/>
          <w:color w:val="231F20"/>
          <w:w w:val="115"/>
          <w:sz w:val="18"/>
        </w:rPr>
        <w:lastRenderedPageBreak/>
        <w:t>May 1972</w:t>
      </w:r>
    </w:p>
    <w:p w14:paraId="6D6863FE" w14:textId="77777777" w:rsidR="002653E8" w:rsidRDefault="003115E3">
      <w:pPr>
        <w:spacing w:before="34" w:line="276" w:lineRule="auto"/>
        <w:ind w:left="1147" w:right="285"/>
        <w:rPr>
          <w:rFonts w:ascii="Gill Sans MT"/>
          <w:sz w:val="18"/>
        </w:rPr>
      </w:pPr>
      <w:r>
        <w:rPr>
          <w:rFonts w:ascii="Gill Sans MT"/>
          <w:color w:val="231F20"/>
          <w:w w:val="115"/>
          <w:sz w:val="18"/>
        </w:rPr>
        <w:t>The</w:t>
      </w:r>
      <w:r>
        <w:rPr>
          <w:rFonts w:ascii="Gill Sans MT"/>
          <w:color w:val="231F20"/>
          <w:spacing w:val="-31"/>
          <w:w w:val="115"/>
          <w:sz w:val="18"/>
        </w:rPr>
        <w:t xml:space="preserve"> </w:t>
      </w:r>
      <w:r w:rsidR="00C507A5">
        <w:rPr>
          <w:rFonts w:ascii="Gill Sans MT"/>
          <w:color w:val="231F20"/>
          <w:w w:val="115"/>
          <w:sz w:val="18"/>
        </w:rPr>
        <w:t>red army faction</w:t>
      </w:r>
      <w:r>
        <w:rPr>
          <w:rFonts w:ascii="Gill Sans MT"/>
          <w:color w:val="231F20"/>
          <w:spacing w:val="-31"/>
          <w:w w:val="115"/>
          <w:sz w:val="18"/>
        </w:rPr>
        <w:t xml:space="preserve"> </w:t>
      </w:r>
      <w:r>
        <w:rPr>
          <w:rFonts w:ascii="Gill Sans MT"/>
          <w:color w:val="231F20"/>
          <w:w w:val="115"/>
          <w:sz w:val="18"/>
        </w:rPr>
        <w:t>responds</w:t>
      </w:r>
      <w:r>
        <w:rPr>
          <w:rFonts w:ascii="Gill Sans MT"/>
          <w:color w:val="231F20"/>
          <w:spacing w:val="-31"/>
          <w:w w:val="115"/>
          <w:sz w:val="18"/>
        </w:rPr>
        <w:t xml:space="preserve"> </w:t>
      </w:r>
      <w:r>
        <w:rPr>
          <w:rFonts w:ascii="Gill Sans MT"/>
          <w:color w:val="231F20"/>
          <w:w w:val="115"/>
          <w:sz w:val="18"/>
        </w:rPr>
        <w:t>to</w:t>
      </w:r>
      <w:r>
        <w:rPr>
          <w:rFonts w:ascii="Gill Sans MT"/>
          <w:color w:val="231F20"/>
          <w:spacing w:val="-31"/>
          <w:w w:val="115"/>
          <w:sz w:val="18"/>
        </w:rPr>
        <w:t xml:space="preserve"> </w:t>
      </w:r>
      <w:r>
        <w:rPr>
          <w:rFonts w:ascii="Gill Sans MT"/>
          <w:color w:val="231F20"/>
          <w:w w:val="115"/>
          <w:sz w:val="18"/>
        </w:rPr>
        <w:t>the</w:t>
      </w:r>
      <w:r>
        <w:rPr>
          <w:rFonts w:ascii="Gill Sans MT"/>
          <w:color w:val="231F20"/>
          <w:spacing w:val="-31"/>
          <w:w w:val="115"/>
          <w:sz w:val="18"/>
        </w:rPr>
        <w:t xml:space="preserve"> </w:t>
      </w:r>
      <w:r>
        <w:rPr>
          <w:rFonts w:ascii="Gill Sans MT"/>
          <w:color w:val="231F20"/>
          <w:w w:val="115"/>
          <w:sz w:val="18"/>
        </w:rPr>
        <w:t>carpetbombing of Vietnam with a bombing</w:t>
      </w:r>
      <w:r>
        <w:rPr>
          <w:rFonts w:ascii="Gill Sans MT"/>
          <w:color w:val="231F20"/>
          <w:spacing w:val="-17"/>
          <w:w w:val="115"/>
          <w:sz w:val="18"/>
        </w:rPr>
        <w:t xml:space="preserve"> </w:t>
      </w:r>
      <w:r>
        <w:rPr>
          <w:rFonts w:ascii="Gill Sans MT"/>
          <w:color w:val="231F20"/>
          <w:w w:val="115"/>
          <w:sz w:val="18"/>
        </w:rPr>
        <w:t>offensive</w:t>
      </w:r>
      <w:r>
        <w:rPr>
          <w:rFonts w:ascii="Gill Sans MT"/>
          <w:color w:val="231F20"/>
          <w:spacing w:val="-17"/>
          <w:w w:val="115"/>
          <w:sz w:val="18"/>
        </w:rPr>
        <w:t xml:space="preserve"> </w:t>
      </w:r>
      <w:r>
        <w:rPr>
          <w:rFonts w:ascii="Gill Sans MT"/>
          <w:color w:val="231F20"/>
          <w:w w:val="115"/>
          <w:sz w:val="18"/>
        </w:rPr>
        <w:t>known</w:t>
      </w:r>
      <w:r>
        <w:rPr>
          <w:rFonts w:ascii="Gill Sans MT"/>
          <w:color w:val="231F20"/>
          <w:spacing w:val="-17"/>
          <w:w w:val="115"/>
          <w:sz w:val="18"/>
        </w:rPr>
        <w:t xml:space="preserve"> </w:t>
      </w:r>
      <w:r>
        <w:rPr>
          <w:rFonts w:ascii="Gill Sans MT"/>
          <w:color w:val="231F20"/>
          <w:w w:val="115"/>
          <w:sz w:val="18"/>
        </w:rPr>
        <w:t>as</w:t>
      </w:r>
      <w:r>
        <w:rPr>
          <w:rFonts w:ascii="Gill Sans MT"/>
          <w:color w:val="231F20"/>
          <w:spacing w:val="-17"/>
          <w:w w:val="115"/>
          <w:sz w:val="18"/>
        </w:rPr>
        <w:t xml:space="preserve"> </w:t>
      </w:r>
      <w:r>
        <w:rPr>
          <w:rFonts w:ascii="Gill Sans MT"/>
          <w:color w:val="231F20"/>
          <w:w w:val="115"/>
          <w:sz w:val="18"/>
        </w:rPr>
        <w:t>the May</w:t>
      </w:r>
      <w:r>
        <w:rPr>
          <w:rFonts w:ascii="Gill Sans MT"/>
          <w:color w:val="231F20"/>
          <w:spacing w:val="-9"/>
          <w:w w:val="115"/>
          <w:sz w:val="18"/>
        </w:rPr>
        <w:t xml:space="preserve"> </w:t>
      </w:r>
      <w:r>
        <w:rPr>
          <w:rFonts w:ascii="Gill Sans MT"/>
          <w:color w:val="231F20"/>
          <w:w w:val="115"/>
          <w:sz w:val="18"/>
        </w:rPr>
        <w:t>Offensive.</w:t>
      </w:r>
    </w:p>
    <w:p w14:paraId="58D109DF" w14:textId="77777777" w:rsidR="002653E8" w:rsidRDefault="002653E8">
      <w:pPr>
        <w:pStyle w:val="a3"/>
        <w:spacing w:before="6"/>
        <w:rPr>
          <w:rFonts w:ascii="Gill Sans MT"/>
        </w:rPr>
      </w:pPr>
    </w:p>
    <w:p w14:paraId="6674A0ED" w14:textId="77777777" w:rsidR="002653E8" w:rsidRDefault="003115E3">
      <w:pPr>
        <w:spacing w:before="1"/>
        <w:ind w:left="1147"/>
        <w:rPr>
          <w:rFonts w:ascii="Arial"/>
          <w:b/>
          <w:sz w:val="18"/>
        </w:rPr>
      </w:pPr>
      <w:r>
        <w:rPr>
          <w:rFonts w:ascii="Arial"/>
          <w:b/>
          <w:color w:val="231F20"/>
          <w:w w:val="120"/>
          <w:sz w:val="18"/>
        </w:rPr>
        <w:t>May 11, 1972</w:t>
      </w:r>
    </w:p>
    <w:p w14:paraId="234E9A09" w14:textId="77777777" w:rsidR="002653E8" w:rsidRDefault="003115E3">
      <w:pPr>
        <w:spacing w:before="34" w:line="276" w:lineRule="auto"/>
        <w:ind w:left="1147" w:right="-10" w:hanging="1"/>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w w:val="110"/>
          <w:sz w:val="18"/>
        </w:rPr>
        <w:t>red army faction</w:t>
      </w:r>
      <w:r>
        <w:rPr>
          <w:rFonts w:ascii="Gill Sans MT" w:hAnsi="Gill Sans MT"/>
          <w:color w:val="231F20"/>
          <w:w w:val="110"/>
          <w:sz w:val="18"/>
        </w:rPr>
        <w:t>’s Petra Schelm Commando bombs the Headquarters of the u.S. Army’s V Corps in Frankfurt. One officer is killed and thirteen soldiers are injured.</w:t>
      </w:r>
    </w:p>
    <w:p w14:paraId="1978215D" w14:textId="77777777" w:rsidR="002653E8" w:rsidRDefault="002653E8">
      <w:pPr>
        <w:pStyle w:val="a3"/>
        <w:spacing w:before="6"/>
        <w:rPr>
          <w:rFonts w:ascii="Gill Sans MT"/>
        </w:rPr>
      </w:pPr>
    </w:p>
    <w:p w14:paraId="30A4BB50" w14:textId="77777777" w:rsidR="002653E8" w:rsidRDefault="003115E3">
      <w:pPr>
        <w:spacing w:before="1"/>
        <w:ind w:left="1147"/>
        <w:rPr>
          <w:rFonts w:ascii="Arial"/>
          <w:b/>
          <w:sz w:val="18"/>
        </w:rPr>
      </w:pPr>
      <w:r>
        <w:rPr>
          <w:rFonts w:ascii="Arial"/>
          <w:b/>
          <w:color w:val="231F20"/>
          <w:w w:val="120"/>
          <w:sz w:val="18"/>
        </w:rPr>
        <w:t>May 13, 1972</w:t>
      </w:r>
    </w:p>
    <w:p w14:paraId="3AB2AD53" w14:textId="77777777" w:rsidR="002653E8" w:rsidRDefault="003115E3">
      <w:pPr>
        <w:spacing w:before="34" w:line="276" w:lineRule="auto"/>
        <w:ind w:left="1147" w:right="297"/>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w w:val="110"/>
          <w:sz w:val="18"/>
        </w:rPr>
        <w:t>red army faction</w:t>
      </w:r>
      <w:r>
        <w:rPr>
          <w:rFonts w:ascii="Gill Sans MT" w:hAnsi="Gill Sans MT"/>
          <w:color w:val="231F20"/>
          <w:w w:val="110"/>
          <w:sz w:val="18"/>
        </w:rPr>
        <w:t>’s Thomas Weissbecker Commando bombs the police headquarters in both Augsburg and Munich to avenge Thomas Weissbecker’s killing.</w:t>
      </w:r>
    </w:p>
    <w:p w14:paraId="73B02B02" w14:textId="77777777" w:rsidR="002653E8" w:rsidRDefault="002653E8">
      <w:pPr>
        <w:pStyle w:val="a3"/>
        <w:spacing w:before="6"/>
        <w:rPr>
          <w:rFonts w:ascii="Gill Sans MT"/>
        </w:rPr>
      </w:pPr>
    </w:p>
    <w:p w14:paraId="486ECE1B" w14:textId="77777777" w:rsidR="002653E8" w:rsidRDefault="003115E3">
      <w:pPr>
        <w:ind w:left="1147"/>
        <w:rPr>
          <w:rFonts w:ascii="Arial"/>
          <w:b/>
          <w:sz w:val="18"/>
        </w:rPr>
      </w:pPr>
      <w:r>
        <w:rPr>
          <w:rFonts w:ascii="Arial"/>
          <w:b/>
          <w:color w:val="231F20"/>
          <w:w w:val="120"/>
          <w:sz w:val="18"/>
        </w:rPr>
        <w:t>May 14, 1972</w:t>
      </w:r>
    </w:p>
    <w:p w14:paraId="5DE5CEAE" w14:textId="77777777" w:rsidR="002653E8" w:rsidRDefault="003115E3">
      <w:pPr>
        <w:spacing w:before="28" w:line="273" w:lineRule="auto"/>
        <w:ind w:left="1147" w:right="-13"/>
        <w:rPr>
          <w:rFonts w:ascii="Gill Sans MT" w:hAnsi="Gill Sans MT"/>
          <w:sz w:val="18"/>
        </w:rPr>
      </w:pPr>
      <w:r>
        <w:rPr>
          <w:rFonts w:ascii="Gill Sans MT" w:hAnsi="Gill Sans MT"/>
          <w:color w:val="231F20"/>
          <w:w w:val="105"/>
          <w:sz w:val="18"/>
        </w:rPr>
        <w:t xml:space="preserve">The </w:t>
      </w:r>
      <w:r w:rsidR="00C507A5">
        <w:rPr>
          <w:rFonts w:ascii="Gill Sans MT" w:hAnsi="Gill Sans MT"/>
          <w:color w:val="231F20"/>
          <w:w w:val="105"/>
          <w:sz w:val="18"/>
        </w:rPr>
        <w:t>red army faction</w:t>
      </w:r>
      <w:r>
        <w:rPr>
          <w:rFonts w:ascii="Gill Sans MT" w:hAnsi="Gill Sans MT"/>
          <w:color w:val="231F20"/>
          <w:w w:val="105"/>
          <w:sz w:val="18"/>
        </w:rPr>
        <w:t xml:space="preserve"> release a communiqué </w:t>
      </w:r>
      <w:r>
        <w:rPr>
          <w:rFonts w:ascii="Lucida Sans" w:hAnsi="Lucida Sans"/>
          <w:i/>
          <w:color w:val="231F20"/>
          <w:w w:val="105"/>
          <w:sz w:val="18"/>
        </w:rPr>
        <w:t xml:space="preserve">For </w:t>
      </w:r>
      <w:r>
        <w:rPr>
          <w:rFonts w:ascii="Lucida Sans" w:hAnsi="Lucida Sans"/>
          <w:i/>
          <w:color w:val="231F20"/>
          <w:sz w:val="18"/>
        </w:rPr>
        <w:t>the</w:t>
      </w:r>
      <w:r>
        <w:rPr>
          <w:rFonts w:ascii="Lucida Sans" w:hAnsi="Lucida Sans"/>
          <w:i/>
          <w:color w:val="231F20"/>
          <w:spacing w:val="-35"/>
          <w:sz w:val="18"/>
        </w:rPr>
        <w:t xml:space="preserve"> </w:t>
      </w:r>
      <w:r>
        <w:rPr>
          <w:rFonts w:ascii="Lucida Sans" w:hAnsi="Lucida Sans"/>
          <w:i/>
          <w:color w:val="231F20"/>
          <w:sz w:val="18"/>
        </w:rPr>
        <w:t>Victory</w:t>
      </w:r>
      <w:r>
        <w:rPr>
          <w:rFonts w:ascii="Lucida Sans" w:hAnsi="Lucida Sans"/>
          <w:i/>
          <w:color w:val="231F20"/>
          <w:spacing w:val="-35"/>
          <w:sz w:val="18"/>
        </w:rPr>
        <w:t xml:space="preserve"> </w:t>
      </w:r>
      <w:r>
        <w:rPr>
          <w:rFonts w:ascii="Lucida Sans" w:hAnsi="Lucida Sans"/>
          <w:i/>
          <w:color w:val="231F20"/>
          <w:sz w:val="18"/>
        </w:rPr>
        <w:t>of</w:t>
      </w:r>
      <w:r>
        <w:rPr>
          <w:rFonts w:ascii="Lucida Sans" w:hAnsi="Lucida Sans"/>
          <w:i/>
          <w:color w:val="231F20"/>
          <w:spacing w:val="-35"/>
          <w:sz w:val="18"/>
        </w:rPr>
        <w:t xml:space="preserve"> </w:t>
      </w:r>
      <w:r>
        <w:rPr>
          <w:rFonts w:ascii="Lucida Sans" w:hAnsi="Lucida Sans"/>
          <w:i/>
          <w:color w:val="231F20"/>
          <w:sz w:val="18"/>
        </w:rPr>
        <w:t>the</w:t>
      </w:r>
      <w:r>
        <w:rPr>
          <w:rFonts w:ascii="Lucida Sans" w:hAnsi="Lucida Sans"/>
          <w:i/>
          <w:color w:val="231F20"/>
          <w:spacing w:val="-35"/>
          <w:sz w:val="18"/>
        </w:rPr>
        <w:t xml:space="preserve"> </w:t>
      </w:r>
      <w:r>
        <w:rPr>
          <w:rFonts w:ascii="Lucida Sans" w:hAnsi="Lucida Sans"/>
          <w:i/>
          <w:color w:val="231F20"/>
          <w:sz w:val="18"/>
        </w:rPr>
        <w:t>people</w:t>
      </w:r>
      <w:r>
        <w:rPr>
          <w:rFonts w:ascii="Lucida Sans" w:hAnsi="Lucida Sans"/>
          <w:i/>
          <w:color w:val="231F20"/>
          <w:spacing w:val="-35"/>
          <w:sz w:val="18"/>
        </w:rPr>
        <w:t xml:space="preserve"> </w:t>
      </w:r>
      <w:r>
        <w:rPr>
          <w:rFonts w:ascii="Lucida Sans" w:hAnsi="Lucida Sans"/>
          <w:i/>
          <w:color w:val="231F20"/>
          <w:sz w:val="18"/>
        </w:rPr>
        <w:t>of</w:t>
      </w:r>
      <w:r>
        <w:rPr>
          <w:rFonts w:ascii="Lucida Sans" w:hAnsi="Lucida Sans"/>
          <w:i/>
          <w:color w:val="231F20"/>
          <w:spacing w:val="-35"/>
          <w:sz w:val="18"/>
        </w:rPr>
        <w:t xml:space="preserve"> </w:t>
      </w:r>
      <w:r>
        <w:rPr>
          <w:rFonts w:ascii="Lucida Sans" w:hAnsi="Lucida Sans"/>
          <w:i/>
          <w:color w:val="231F20"/>
          <w:sz w:val="18"/>
        </w:rPr>
        <w:t>Vietnam</w:t>
      </w:r>
      <w:r>
        <w:rPr>
          <w:rFonts w:ascii="Lucida Sans" w:hAnsi="Lucida Sans"/>
          <w:i/>
          <w:color w:val="231F20"/>
          <w:w w:val="91"/>
          <w:sz w:val="18"/>
        </w:rPr>
        <w:t xml:space="preserve"> </w:t>
      </w:r>
      <w:r>
        <w:rPr>
          <w:rFonts w:ascii="Gill Sans MT" w:hAnsi="Gill Sans MT"/>
          <w:color w:val="231F20"/>
          <w:w w:val="105"/>
          <w:sz w:val="18"/>
        </w:rPr>
        <w:t xml:space="preserve">claiming responsibility for May </w:t>
      </w:r>
      <w:r>
        <w:rPr>
          <w:rFonts w:ascii="Arial" w:hAnsi="Arial"/>
          <w:color w:val="231F20"/>
          <w:w w:val="105"/>
          <w:sz w:val="18"/>
        </w:rPr>
        <w:t xml:space="preserve">11 </w:t>
      </w:r>
      <w:r>
        <w:rPr>
          <w:rFonts w:ascii="Gill Sans MT" w:hAnsi="Gill Sans MT"/>
          <w:color w:val="231F20"/>
          <w:w w:val="105"/>
          <w:sz w:val="18"/>
        </w:rPr>
        <w:t>bombing.</w:t>
      </w:r>
    </w:p>
    <w:p w14:paraId="5436C020" w14:textId="77777777" w:rsidR="002653E8" w:rsidRDefault="002653E8">
      <w:pPr>
        <w:pStyle w:val="a3"/>
        <w:spacing w:before="9"/>
        <w:rPr>
          <w:rFonts w:ascii="Gill Sans MT"/>
        </w:rPr>
      </w:pPr>
    </w:p>
    <w:p w14:paraId="53758070" w14:textId="77777777" w:rsidR="002653E8" w:rsidRDefault="003115E3">
      <w:pPr>
        <w:ind w:left="1147"/>
        <w:rPr>
          <w:rFonts w:ascii="Arial"/>
          <w:b/>
          <w:sz w:val="18"/>
        </w:rPr>
      </w:pPr>
      <w:r>
        <w:rPr>
          <w:rFonts w:ascii="Arial"/>
          <w:b/>
          <w:color w:val="231F20"/>
          <w:w w:val="120"/>
          <w:sz w:val="18"/>
        </w:rPr>
        <w:t>May 15, 1972</w:t>
      </w:r>
    </w:p>
    <w:p w14:paraId="5DCD2958" w14:textId="77777777" w:rsidR="002653E8" w:rsidRDefault="003115E3">
      <w:pPr>
        <w:spacing w:before="35" w:line="276" w:lineRule="auto"/>
        <w:ind w:left="1147" w:right="16" w:hanging="1"/>
        <w:rPr>
          <w:rFonts w:ascii="Gill Sans MT" w:hAnsi="Gill Sans MT"/>
          <w:sz w:val="18"/>
        </w:rPr>
      </w:pPr>
      <w:r>
        <w:rPr>
          <w:rFonts w:ascii="Gill Sans MT" w:hAnsi="Gill Sans MT"/>
          <w:color w:val="231F20"/>
          <w:w w:val="115"/>
          <w:sz w:val="18"/>
        </w:rPr>
        <w:t xml:space="preserve">The </w:t>
      </w:r>
      <w:r w:rsidR="00C507A5">
        <w:rPr>
          <w:rFonts w:ascii="Gill Sans MT" w:hAnsi="Gill Sans MT"/>
          <w:color w:val="231F20"/>
          <w:spacing w:val="-3"/>
          <w:w w:val="115"/>
          <w:sz w:val="18"/>
        </w:rPr>
        <w:t>red army faction</w:t>
      </w:r>
      <w:r>
        <w:rPr>
          <w:rFonts w:ascii="Gill Sans MT" w:hAnsi="Gill Sans MT"/>
          <w:color w:val="231F20"/>
          <w:spacing w:val="-3"/>
          <w:w w:val="115"/>
          <w:sz w:val="18"/>
        </w:rPr>
        <w:t xml:space="preserve">’s </w:t>
      </w:r>
      <w:r>
        <w:rPr>
          <w:rFonts w:ascii="Gill Sans MT" w:hAnsi="Gill Sans MT"/>
          <w:color w:val="231F20"/>
          <w:w w:val="115"/>
          <w:sz w:val="18"/>
        </w:rPr>
        <w:t>Manfred Grashof Commando plants a bomb in</w:t>
      </w:r>
      <w:r>
        <w:rPr>
          <w:rFonts w:ascii="Gill Sans MT" w:hAnsi="Gill Sans MT"/>
          <w:color w:val="231F20"/>
          <w:spacing w:val="-24"/>
          <w:w w:val="115"/>
          <w:sz w:val="18"/>
        </w:rPr>
        <w:t xml:space="preserve"> </w:t>
      </w:r>
      <w:r>
        <w:rPr>
          <w:rFonts w:ascii="Gill Sans MT" w:hAnsi="Gill Sans MT"/>
          <w:color w:val="231F20"/>
          <w:w w:val="115"/>
          <w:sz w:val="18"/>
        </w:rPr>
        <w:t>Judge Buddenberg’s</w:t>
      </w:r>
      <w:r>
        <w:rPr>
          <w:rFonts w:ascii="Gill Sans MT" w:hAnsi="Gill Sans MT"/>
          <w:color w:val="231F20"/>
          <w:spacing w:val="-21"/>
          <w:w w:val="115"/>
          <w:sz w:val="18"/>
        </w:rPr>
        <w:t xml:space="preserve"> </w:t>
      </w:r>
      <w:r>
        <w:rPr>
          <w:rFonts w:ascii="Gill Sans MT" w:hAnsi="Gill Sans MT"/>
          <w:color w:val="231F20"/>
          <w:spacing w:val="-5"/>
          <w:w w:val="115"/>
          <w:sz w:val="18"/>
        </w:rPr>
        <w:t>car.</w:t>
      </w:r>
      <w:r>
        <w:rPr>
          <w:rFonts w:ascii="Gill Sans MT" w:hAnsi="Gill Sans MT"/>
          <w:color w:val="231F20"/>
          <w:spacing w:val="-21"/>
          <w:w w:val="115"/>
          <w:sz w:val="18"/>
        </w:rPr>
        <w:t xml:space="preserve"> </w:t>
      </w:r>
      <w:r>
        <w:rPr>
          <w:rFonts w:ascii="Gill Sans MT" w:hAnsi="Gill Sans MT"/>
          <w:color w:val="231F20"/>
          <w:w w:val="115"/>
          <w:sz w:val="18"/>
        </w:rPr>
        <w:t>His</w:t>
      </w:r>
      <w:r>
        <w:rPr>
          <w:rFonts w:ascii="Gill Sans MT" w:hAnsi="Gill Sans MT"/>
          <w:color w:val="231F20"/>
          <w:spacing w:val="-21"/>
          <w:w w:val="115"/>
          <w:sz w:val="18"/>
        </w:rPr>
        <w:t xml:space="preserve"> </w:t>
      </w:r>
      <w:r>
        <w:rPr>
          <w:rFonts w:ascii="Gill Sans MT" w:hAnsi="Gill Sans MT"/>
          <w:color w:val="231F20"/>
          <w:w w:val="115"/>
          <w:sz w:val="18"/>
        </w:rPr>
        <w:t>wife</w:t>
      </w:r>
      <w:r>
        <w:rPr>
          <w:rFonts w:ascii="Gill Sans MT" w:hAnsi="Gill Sans MT"/>
          <w:color w:val="231F20"/>
          <w:spacing w:val="-21"/>
          <w:w w:val="115"/>
          <w:sz w:val="18"/>
        </w:rPr>
        <w:t xml:space="preserve"> </w:t>
      </w:r>
      <w:r>
        <w:rPr>
          <w:rFonts w:ascii="Gill Sans MT" w:hAnsi="Gill Sans MT"/>
          <w:color w:val="231F20"/>
          <w:w w:val="115"/>
          <w:sz w:val="18"/>
        </w:rPr>
        <w:t>Gerta</w:t>
      </w:r>
      <w:r>
        <w:rPr>
          <w:rFonts w:ascii="Gill Sans MT" w:hAnsi="Gill Sans MT"/>
          <w:color w:val="231F20"/>
          <w:spacing w:val="-21"/>
          <w:w w:val="115"/>
          <w:sz w:val="18"/>
        </w:rPr>
        <w:t xml:space="preserve"> </w:t>
      </w:r>
      <w:r>
        <w:rPr>
          <w:rFonts w:ascii="Gill Sans MT" w:hAnsi="Gill Sans MT"/>
          <w:color w:val="231F20"/>
          <w:w w:val="115"/>
          <w:sz w:val="18"/>
        </w:rPr>
        <w:t>is seriously</w:t>
      </w:r>
      <w:r>
        <w:rPr>
          <w:rFonts w:ascii="Gill Sans MT" w:hAnsi="Gill Sans MT"/>
          <w:color w:val="231F20"/>
          <w:spacing w:val="-25"/>
          <w:w w:val="115"/>
          <w:sz w:val="18"/>
        </w:rPr>
        <w:t xml:space="preserve"> </w:t>
      </w:r>
      <w:r>
        <w:rPr>
          <w:rFonts w:ascii="Gill Sans MT" w:hAnsi="Gill Sans MT"/>
          <w:color w:val="231F20"/>
          <w:w w:val="115"/>
          <w:sz w:val="18"/>
        </w:rPr>
        <w:t>injured,</w:t>
      </w:r>
      <w:r>
        <w:rPr>
          <w:rFonts w:ascii="Gill Sans MT" w:hAnsi="Gill Sans MT"/>
          <w:color w:val="231F20"/>
          <w:spacing w:val="-25"/>
          <w:w w:val="115"/>
          <w:sz w:val="18"/>
        </w:rPr>
        <w:t xml:space="preserve"> </w:t>
      </w:r>
      <w:r>
        <w:rPr>
          <w:rFonts w:ascii="Gill Sans MT" w:hAnsi="Gill Sans MT"/>
          <w:color w:val="231F20"/>
          <w:w w:val="115"/>
          <w:sz w:val="18"/>
        </w:rPr>
        <w:t>when</w:t>
      </w:r>
      <w:r>
        <w:rPr>
          <w:rFonts w:ascii="Gill Sans MT" w:hAnsi="Gill Sans MT"/>
          <w:color w:val="231F20"/>
          <w:spacing w:val="-25"/>
          <w:w w:val="115"/>
          <w:sz w:val="18"/>
        </w:rPr>
        <w:t xml:space="preserve"> </w:t>
      </w:r>
      <w:r>
        <w:rPr>
          <w:rFonts w:ascii="Gill Sans MT" w:hAnsi="Gill Sans MT"/>
          <w:color w:val="231F20"/>
          <w:w w:val="115"/>
          <w:sz w:val="18"/>
        </w:rPr>
        <w:t>she,</w:t>
      </w:r>
      <w:r>
        <w:rPr>
          <w:rFonts w:ascii="Gill Sans MT" w:hAnsi="Gill Sans MT"/>
          <w:color w:val="231F20"/>
          <w:spacing w:val="-25"/>
          <w:w w:val="115"/>
          <w:sz w:val="18"/>
        </w:rPr>
        <w:t xml:space="preserve"> </w:t>
      </w:r>
      <w:r>
        <w:rPr>
          <w:rFonts w:ascii="Gill Sans MT" w:hAnsi="Gill Sans MT"/>
          <w:color w:val="231F20"/>
          <w:w w:val="115"/>
          <w:sz w:val="18"/>
        </w:rPr>
        <w:t>instead of Judge Buddenberg, uses the</w:t>
      </w:r>
      <w:r>
        <w:rPr>
          <w:rFonts w:ascii="Gill Sans MT" w:hAnsi="Gill Sans MT"/>
          <w:color w:val="231F20"/>
          <w:spacing w:val="-3"/>
          <w:w w:val="115"/>
          <w:sz w:val="18"/>
        </w:rPr>
        <w:t xml:space="preserve"> </w:t>
      </w:r>
      <w:r>
        <w:rPr>
          <w:rFonts w:ascii="Gill Sans MT" w:hAnsi="Gill Sans MT"/>
          <w:color w:val="231F20"/>
          <w:spacing w:val="-5"/>
          <w:w w:val="115"/>
          <w:sz w:val="18"/>
        </w:rPr>
        <w:t>car.</w:t>
      </w:r>
    </w:p>
    <w:p w14:paraId="22B7FAF3" w14:textId="77777777" w:rsidR="002653E8" w:rsidRDefault="002653E8">
      <w:pPr>
        <w:pStyle w:val="a3"/>
        <w:spacing w:before="6"/>
        <w:rPr>
          <w:rFonts w:ascii="Gill Sans MT"/>
        </w:rPr>
      </w:pPr>
    </w:p>
    <w:p w14:paraId="0722F7ED" w14:textId="77777777" w:rsidR="002653E8" w:rsidRDefault="003115E3">
      <w:pPr>
        <w:ind w:left="1147"/>
        <w:rPr>
          <w:rFonts w:ascii="Arial"/>
          <w:b/>
          <w:sz w:val="18"/>
        </w:rPr>
      </w:pPr>
      <w:r>
        <w:rPr>
          <w:rFonts w:ascii="Arial"/>
          <w:b/>
          <w:color w:val="231F20"/>
          <w:w w:val="120"/>
          <w:sz w:val="18"/>
        </w:rPr>
        <w:t>May 16, 1972</w:t>
      </w:r>
    </w:p>
    <w:p w14:paraId="638DE2B0" w14:textId="77777777" w:rsidR="002653E8" w:rsidRDefault="003115E3">
      <w:pPr>
        <w:spacing w:before="35" w:line="276" w:lineRule="auto"/>
        <w:ind w:left="1147" w:right="63"/>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w w:val="110"/>
          <w:sz w:val="18"/>
        </w:rPr>
        <w:t>red army faction</w:t>
      </w:r>
      <w:r>
        <w:rPr>
          <w:rFonts w:ascii="Gill Sans MT" w:hAnsi="Gill Sans MT"/>
          <w:color w:val="231F20"/>
          <w:w w:val="110"/>
          <w:sz w:val="18"/>
        </w:rPr>
        <w:t xml:space="preserve"> releases a communiqué claiming responsibility for May </w:t>
      </w:r>
      <w:r>
        <w:rPr>
          <w:rFonts w:ascii="Arial" w:hAnsi="Arial"/>
          <w:color w:val="231F20"/>
          <w:w w:val="110"/>
          <w:sz w:val="18"/>
        </w:rPr>
        <w:t>13</w:t>
      </w:r>
      <w:r>
        <w:rPr>
          <w:rFonts w:ascii="Gill Sans MT" w:hAnsi="Gill Sans MT"/>
          <w:color w:val="231F20"/>
          <w:w w:val="110"/>
          <w:sz w:val="18"/>
        </w:rPr>
        <w:t>th bombing.</w:t>
      </w:r>
    </w:p>
    <w:p w14:paraId="553E5E7E" w14:textId="77777777" w:rsidR="002653E8" w:rsidRDefault="003115E3">
      <w:pPr>
        <w:spacing w:before="91"/>
        <w:ind w:left="216"/>
        <w:rPr>
          <w:rFonts w:ascii="Arial"/>
          <w:b/>
          <w:sz w:val="18"/>
        </w:rPr>
      </w:pPr>
      <w:r>
        <w:br w:type="column"/>
      </w:r>
      <w:r>
        <w:rPr>
          <w:rFonts w:ascii="Arial"/>
          <w:b/>
          <w:color w:val="231F20"/>
          <w:w w:val="120"/>
          <w:sz w:val="18"/>
        </w:rPr>
        <w:t>May 19, 1972</w:t>
      </w:r>
    </w:p>
    <w:p w14:paraId="54BBD878" w14:textId="77777777" w:rsidR="002653E8" w:rsidRDefault="003115E3">
      <w:pPr>
        <w:spacing w:before="33" w:line="276" w:lineRule="auto"/>
        <w:ind w:left="216" w:right="1455" w:hanging="1"/>
        <w:rPr>
          <w:rFonts w:ascii="Gill Sans MT" w:hAnsi="Gill Sans MT"/>
          <w:sz w:val="18"/>
        </w:rPr>
      </w:pPr>
      <w:r>
        <w:rPr>
          <w:rFonts w:ascii="Gill Sans MT" w:hAnsi="Gill Sans MT"/>
          <w:color w:val="231F20"/>
          <w:w w:val="115"/>
          <w:sz w:val="18"/>
        </w:rPr>
        <w:t>The</w:t>
      </w:r>
      <w:r>
        <w:rPr>
          <w:rFonts w:ascii="Gill Sans MT" w:hAnsi="Gill Sans MT"/>
          <w:color w:val="231F20"/>
          <w:spacing w:val="-22"/>
          <w:w w:val="115"/>
          <w:sz w:val="18"/>
        </w:rPr>
        <w:t xml:space="preserve"> </w:t>
      </w:r>
      <w:r w:rsidR="00C507A5">
        <w:rPr>
          <w:rFonts w:ascii="Gill Sans MT" w:hAnsi="Gill Sans MT"/>
          <w:color w:val="231F20"/>
          <w:spacing w:val="-3"/>
          <w:w w:val="115"/>
          <w:sz w:val="18"/>
        </w:rPr>
        <w:t>red army faction</w:t>
      </w:r>
      <w:r>
        <w:rPr>
          <w:rFonts w:ascii="Gill Sans MT" w:hAnsi="Gill Sans MT"/>
          <w:color w:val="231F20"/>
          <w:spacing w:val="-3"/>
          <w:w w:val="115"/>
          <w:sz w:val="18"/>
        </w:rPr>
        <w:t>’s</w:t>
      </w:r>
      <w:r>
        <w:rPr>
          <w:rFonts w:ascii="Gill Sans MT" w:hAnsi="Gill Sans MT"/>
          <w:color w:val="231F20"/>
          <w:spacing w:val="-22"/>
          <w:w w:val="115"/>
          <w:sz w:val="18"/>
        </w:rPr>
        <w:t xml:space="preserve"> </w:t>
      </w:r>
      <w:r>
        <w:rPr>
          <w:rFonts w:ascii="Arial" w:hAnsi="Arial"/>
          <w:color w:val="231F20"/>
          <w:w w:val="115"/>
          <w:sz w:val="18"/>
        </w:rPr>
        <w:t>2</w:t>
      </w:r>
      <w:r>
        <w:rPr>
          <w:rFonts w:ascii="Gill Sans MT" w:hAnsi="Gill Sans MT"/>
          <w:color w:val="231F20"/>
          <w:w w:val="115"/>
          <w:sz w:val="18"/>
        </w:rPr>
        <w:t>nd</w:t>
      </w:r>
      <w:r>
        <w:rPr>
          <w:rFonts w:ascii="Gill Sans MT" w:hAnsi="Gill Sans MT"/>
          <w:color w:val="231F20"/>
          <w:spacing w:val="-22"/>
          <w:w w:val="115"/>
          <w:sz w:val="18"/>
        </w:rPr>
        <w:t xml:space="preserve"> </w:t>
      </w:r>
      <w:r>
        <w:rPr>
          <w:rFonts w:ascii="Gill Sans MT" w:hAnsi="Gill Sans MT"/>
          <w:color w:val="231F20"/>
          <w:w w:val="115"/>
          <w:sz w:val="18"/>
        </w:rPr>
        <w:t>of</w:t>
      </w:r>
      <w:r>
        <w:rPr>
          <w:rFonts w:ascii="Gill Sans MT" w:hAnsi="Gill Sans MT"/>
          <w:color w:val="231F20"/>
          <w:spacing w:val="-22"/>
          <w:w w:val="115"/>
          <w:sz w:val="18"/>
        </w:rPr>
        <w:t xml:space="preserve"> </w:t>
      </w:r>
      <w:r>
        <w:rPr>
          <w:rFonts w:ascii="Gill Sans MT" w:hAnsi="Gill Sans MT"/>
          <w:color w:val="231F20"/>
          <w:w w:val="115"/>
          <w:sz w:val="18"/>
        </w:rPr>
        <w:t>June</w:t>
      </w:r>
      <w:r>
        <w:rPr>
          <w:rFonts w:ascii="Gill Sans MT" w:hAnsi="Gill Sans MT"/>
          <w:color w:val="231F20"/>
          <w:spacing w:val="-22"/>
          <w:w w:val="115"/>
          <w:sz w:val="18"/>
        </w:rPr>
        <w:t xml:space="preserve"> </w:t>
      </w:r>
      <w:r>
        <w:rPr>
          <w:rFonts w:ascii="Gill Sans MT" w:hAnsi="Gill Sans MT"/>
          <w:color w:val="231F20"/>
          <w:w w:val="115"/>
          <w:sz w:val="18"/>
        </w:rPr>
        <w:t>Commando bombs the Springer Building in Hamburg.</w:t>
      </w:r>
      <w:r>
        <w:rPr>
          <w:rFonts w:ascii="Gill Sans MT" w:hAnsi="Gill Sans MT"/>
          <w:color w:val="231F20"/>
          <w:spacing w:val="-17"/>
          <w:w w:val="115"/>
          <w:sz w:val="18"/>
        </w:rPr>
        <w:t xml:space="preserve"> </w:t>
      </w:r>
      <w:r>
        <w:rPr>
          <w:rFonts w:ascii="Gill Sans MT" w:hAnsi="Gill Sans MT"/>
          <w:color w:val="231F20"/>
          <w:w w:val="115"/>
          <w:sz w:val="18"/>
        </w:rPr>
        <w:t>despite</w:t>
      </w:r>
      <w:r>
        <w:rPr>
          <w:rFonts w:ascii="Gill Sans MT" w:hAnsi="Gill Sans MT"/>
          <w:color w:val="231F20"/>
          <w:spacing w:val="-17"/>
          <w:w w:val="115"/>
          <w:sz w:val="18"/>
        </w:rPr>
        <w:t xml:space="preserve"> </w:t>
      </w:r>
      <w:r>
        <w:rPr>
          <w:rFonts w:ascii="Gill Sans MT" w:hAnsi="Gill Sans MT"/>
          <w:color w:val="231F20"/>
          <w:w w:val="115"/>
          <w:sz w:val="18"/>
        </w:rPr>
        <w:t>three</w:t>
      </w:r>
      <w:r>
        <w:rPr>
          <w:rFonts w:ascii="Gill Sans MT" w:hAnsi="Gill Sans MT"/>
          <w:color w:val="231F20"/>
          <w:spacing w:val="-17"/>
          <w:w w:val="115"/>
          <w:sz w:val="18"/>
        </w:rPr>
        <w:t xml:space="preserve"> </w:t>
      </w:r>
      <w:r>
        <w:rPr>
          <w:rFonts w:ascii="Gill Sans MT" w:hAnsi="Gill Sans MT"/>
          <w:color w:val="231F20"/>
          <w:w w:val="115"/>
          <w:sz w:val="18"/>
        </w:rPr>
        <w:t>warnings, the building is not cleared and seventeen</w:t>
      </w:r>
      <w:r>
        <w:rPr>
          <w:rFonts w:ascii="Gill Sans MT" w:hAnsi="Gill Sans MT"/>
          <w:color w:val="231F20"/>
          <w:spacing w:val="-21"/>
          <w:w w:val="115"/>
          <w:sz w:val="18"/>
        </w:rPr>
        <w:t xml:space="preserve"> </w:t>
      </w:r>
      <w:r>
        <w:rPr>
          <w:rFonts w:ascii="Gill Sans MT" w:hAnsi="Gill Sans MT"/>
          <w:color w:val="231F20"/>
          <w:w w:val="115"/>
          <w:sz w:val="18"/>
        </w:rPr>
        <w:t>workers</w:t>
      </w:r>
      <w:r>
        <w:rPr>
          <w:rFonts w:ascii="Gill Sans MT" w:hAnsi="Gill Sans MT"/>
          <w:color w:val="231F20"/>
          <w:spacing w:val="-21"/>
          <w:w w:val="115"/>
          <w:sz w:val="18"/>
        </w:rPr>
        <w:t xml:space="preserve"> </w:t>
      </w:r>
      <w:r>
        <w:rPr>
          <w:rFonts w:ascii="Gill Sans MT" w:hAnsi="Gill Sans MT"/>
          <w:color w:val="231F20"/>
          <w:w w:val="115"/>
          <w:sz w:val="18"/>
        </w:rPr>
        <w:t>are</w:t>
      </w:r>
      <w:r>
        <w:rPr>
          <w:rFonts w:ascii="Gill Sans MT" w:hAnsi="Gill Sans MT"/>
          <w:color w:val="231F20"/>
          <w:spacing w:val="-21"/>
          <w:w w:val="115"/>
          <w:sz w:val="18"/>
        </w:rPr>
        <w:t xml:space="preserve"> </w:t>
      </w:r>
      <w:r>
        <w:rPr>
          <w:rFonts w:ascii="Gill Sans MT" w:hAnsi="Gill Sans MT"/>
          <w:color w:val="231F20"/>
          <w:w w:val="115"/>
          <w:sz w:val="18"/>
        </w:rPr>
        <w:t>injured.</w:t>
      </w:r>
    </w:p>
    <w:p w14:paraId="456C657C" w14:textId="77777777" w:rsidR="002653E8" w:rsidRDefault="002653E8">
      <w:pPr>
        <w:pStyle w:val="a3"/>
        <w:spacing w:before="6"/>
        <w:rPr>
          <w:rFonts w:ascii="Gill Sans MT"/>
        </w:rPr>
      </w:pPr>
    </w:p>
    <w:p w14:paraId="6A7E237B" w14:textId="77777777" w:rsidR="002653E8" w:rsidRDefault="003115E3">
      <w:pPr>
        <w:ind w:left="216"/>
        <w:rPr>
          <w:rFonts w:ascii="Arial"/>
          <w:b/>
          <w:sz w:val="18"/>
        </w:rPr>
      </w:pPr>
      <w:r>
        <w:rPr>
          <w:rFonts w:ascii="Arial"/>
          <w:b/>
          <w:color w:val="231F20"/>
          <w:w w:val="120"/>
          <w:sz w:val="18"/>
        </w:rPr>
        <w:t>May 20, 1972</w:t>
      </w:r>
    </w:p>
    <w:p w14:paraId="042412EF" w14:textId="77777777" w:rsidR="002653E8" w:rsidRDefault="003115E3">
      <w:pPr>
        <w:spacing w:before="35" w:line="276" w:lineRule="auto"/>
        <w:ind w:left="216" w:right="1355"/>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w w:val="110"/>
          <w:sz w:val="18"/>
        </w:rPr>
        <w:t>red army faction</w:t>
      </w:r>
      <w:r>
        <w:rPr>
          <w:rFonts w:ascii="Gill Sans MT" w:hAnsi="Gill Sans MT"/>
          <w:color w:val="231F20"/>
          <w:w w:val="110"/>
          <w:sz w:val="18"/>
        </w:rPr>
        <w:t xml:space="preserve"> release a communiqué addressing the May </w:t>
      </w:r>
      <w:r>
        <w:rPr>
          <w:rFonts w:ascii="Arial" w:hAnsi="Arial"/>
          <w:color w:val="231F20"/>
          <w:w w:val="110"/>
          <w:sz w:val="18"/>
        </w:rPr>
        <w:t xml:space="preserve">15 </w:t>
      </w:r>
      <w:r>
        <w:rPr>
          <w:rFonts w:ascii="Gill Sans MT" w:hAnsi="Gill Sans MT"/>
          <w:color w:val="231F20"/>
          <w:w w:val="110"/>
          <w:sz w:val="18"/>
        </w:rPr>
        <w:t xml:space="preserve">attack on Judge Buddenberg, and another regarding the May </w:t>
      </w:r>
      <w:r>
        <w:rPr>
          <w:rFonts w:ascii="Arial" w:hAnsi="Arial"/>
          <w:color w:val="231F20"/>
          <w:w w:val="110"/>
          <w:sz w:val="18"/>
        </w:rPr>
        <w:t xml:space="preserve">19 </w:t>
      </w:r>
      <w:r>
        <w:rPr>
          <w:rFonts w:ascii="Gill Sans MT" w:hAnsi="Gill Sans MT"/>
          <w:color w:val="231F20"/>
          <w:w w:val="110"/>
          <w:sz w:val="18"/>
        </w:rPr>
        <w:t>attack on the Springer Building.</w:t>
      </w:r>
    </w:p>
    <w:p w14:paraId="76F707DA" w14:textId="77777777" w:rsidR="002653E8" w:rsidRDefault="002653E8">
      <w:pPr>
        <w:pStyle w:val="a3"/>
        <w:spacing w:before="2"/>
        <w:rPr>
          <w:rFonts w:ascii="Gill Sans MT"/>
        </w:rPr>
      </w:pPr>
    </w:p>
    <w:p w14:paraId="7DF53CC3" w14:textId="77777777" w:rsidR="002653E8" w:rsidRDefault="003115E3">
      <w:pPr>
        <w:spacing w:before="1"/>
        <w:ind w:left="216"/>
        <w:rPr>
          <w:rFonts w:ascii="Arial"/>
          <w:b/>
          <w:sz w:val="18"/>
        </w:rPr>
      </w:pPr>
      <w:r>
        <w:rPr>
          <w:rFonts w:ascii="Arial"/>
          <w:b/>
          <w:color w:val="231F20"/>
          <w:w w:val="120"/>
          <w:sz w:val="18"/>
        </w:rPr>
        <w:t>May 24, 1972</w:t>
      </w:r>
    </w:p>
    <w:p w14:paraId="44290DBC" w14:textId="77777777" w:rsidR="002653E8" w:rsidRDefault="003115E3">
      <w:pPr>
        <w:spacing w:before="33" w:line="276" w:lineRule="auto"/>
        <w:ind w:left="216" w:right="1607"/>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w w:val="110"/>
          <w:sz w:val="18"/>
        </w:rPr>
        <w:t>red army faction</w:t>
      </w:r>
      <w:r>
        <w:rPr>
          <w:rFonts w:ascii="Gill Sans MT" w:hAnsi="Gill Sans MT"/>
          <w:color w:val="231F20"/>
          <w:w w:val="110"/>
          <w:sz w:val="18"/>
        </w:rPr>
        <w:t xml:space="preserve">’s July </w:t>
      </w:r>
      <w:r>
        <w:rPr>
          <w:rFonts w:ascii="Arial" w:hAnsi="Arial"/>
          <w:color w:val="231F20"/>
          <w:w w:val="110"/>
          <w:sz w:val="18"/>
        </w:rPr>
        <w:t>15</w:t>
      </w:r>
      <w:r>
        <w:rPr>
          <w:rFonts w:ascii="Gill Sans MT" w:hAnsi="Gill Sans MT"/>
          <w:color w:val="231F20"/>
          <w:w w:val="110"/>
          <w:sz w:val="18"/>
        </w:rPr>
        <w:t>th Commando bombs the Headquarters of the</w:t>
      </w:r>
    </w:p>
    <w:p w14:paraId="7600B9BD" w14:textId="77777777" w:rsidR="002653E8" w:rsidRDefault="003115E3">
      <w:pPr>
        <w:spacing w:line="276" w:lineRule="auto"/>
        <w:ind w:left="216" w:right="1355"/>
        <w:rPr>
          <w:rFonts w:ascii="Gill Sans MT"/>
          <w:sz w:val="18"/>
        </w:rPr>
      </w:pPr>
      <w:r>
        <w:rPr>
          <w:rFonts w:ascii="Gill Sans MT"/>
          <w:color w:val="231F20"/>
          <w:w w:val="115"/>
          <w:sz w:val="18"/>
        </w:rPr>
        <w:t>u.S. Army in Europe in Heidelberg. Three soldiers are killed.</w:t>
      </w:r>
    </w:p>
    <w:p w14:paraId="14E27CB3" w14:textId="77777777" w:rsidR="002653E8" w:rsidRDefault="002653E8">
      <w:pPr>
        <w:pStyle w:val="a3"/>
        <w:spacing w:before="6"/>
        <w:rPr>
          <w:rFonts w:ascii="Gill Sans MT"/>
        </w:rPr>
      </w:pPr>
    </w:p>
    <w:p w14:paraId="4FD6AE60" w14:textId="77777777" w:rsidR="002653E8" w:rsidRDefault="003115E3">
      <w:pPr>
        <w:ind w:left="216"/>
        <w:rPr>
          <w:rFonts w:ascii="Arial"/>
          <w:b/>
          <w:sz w:val="18"/>
        </w:rPr>
      </w:pPr>
      <w:r>
        <w:rPr>
          <w:rFonts w:ascii="Arial"/>
          <w:b/>
          <w:color w:val="231F20"/>
          <w:w w:val="120"/>
          <w:sz w:val="18"/>
        </w:rPr>
        <w:t>May 25, 1972</w:t>
      </w:r>
    </w:p>
    <w:p w14:paraId="79EC806C" w14:textId="77777777" w:rsidR="002653E8" w:rsidRDefault="003115E3">
      <w:pPr>
        <w:spacing w:before="35" w:line="276" w:lineRule="auto"/>
        <w:ind w:left="216" w:right="1607"/>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w w:val="110"/>
          <w:sz w:val="18"/>
        </w:rPr>
        <w:t>red army faction</w:t>
      </w:r>
      <w:r>
        <w:rPr>
          <w:rFonts w:ascii="Gill Sans MT" w:hAnsi="Gill Sans MT"/>
          <w:color w:val="231F20"/>
          <w:w w:val="110"/>
          <w:sz w:val="18"/>
        </w:rPr>
        <w:t xml:space="preserve"> releases a communiqué addressing the attack of the previous day.</w:t>
      </w:r>
    </w:p>
    <w:p w14:paraId="0107B07D" w14:textId="77777777" w:rsidR="002653E8" w:rsidRDefault="002653E8">
      <w:pPr>
        <w:pStyle w:val="a3"/>
        <w:spacing w:before="6"/>
        <w:rPr>
          <w:rFonts w:ascii="Gill Sans MT"/>
        </w:rPr>
      </w:pPr>
    </w:p>
    <w:p w14:paraId="1F0A6BA0" w14:textId="77777777" w:rsidR="002653E8" w:rsidRDefault="003115E3">
      <w:pPr>
        <w:ind w:left="216"/>
        <w:rPr>
          <w:rFonts w:ascii="Arial"/>
          <w:b/>
          <w:sz w:val="18"/>
        </w:rPr>
      </w:pPr>
      <w:r>
        <w:rPr>
          <w:rFonts w:ascii="Arial"/>
          <w:b/>
          <w:color w:val="231F20"/>
          <w:w w:val="120"/>
          <w:sz w:val="18"/>
        </w:rPr>
        <w:t>May 28, 1972</w:t>
      </w:r>
    </w:p>
    <w:p w14:paraId="6DCFA626" w14:textId="77777777" w:rsidR="002653E8" w:rsidRDefault="003115E3">
      <w:pPr>
        <w:spacing w:before="34" w:line="276" w:lineRule="auto"/>
        <w:ind w:left="216" w:right="1406"/>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w w:val="110"/>
          <w:sz w:val="18"/>
        </w:rPr>
        <w:t>red army faction</w:t>
      </w:r>
      <w:r>
        <w:rPr>
          <w:rFonts w:ascii="Gill Sans MT" w:hAnsi="Gill Sans MT"/>
          <w:color w:val="231F20"/>
          <w:w w:val="110"/>
          <w:sz w:val="18"/>
        </w:rPr>
        <w:t xml:space="preserve"> issues a communiqué to the West German press demanding that they print the communiqués explaining the May Offensive.</w:t>
      </w:r>
    </w:p>
    <w:p w14:paraId="52260105" w14:textId="77777777" w:rsidR="002653E8" w:rsidRDefault="002653E8">
      <w:pPr>
        <w:pStyle w:val="a3"/>
        <w:spacing w:before="7"/>
        <w:rPr>
          <w:rFonts w:ascii="Gill Sans MT"/>
        </w:rPr>
      </w:pPr>
    </w:p>
    <w:p w14:paraId="1701ECC5" w14:textId="77777777" w:rsidR="002653E8" w:rsidRDefault="003115E3">
      <w:pPr>
        <w:ind w:left="216"/>
        <w:rPr>
          <w:rFonts w:ascii="Arial"/>
          <w:b/>
          <w:sz w:val="18"/>
        </w:rPr>
      </w:pPr>
      <w:r>
        <w:rPr>
          <w:rFonts w:ascii="Arial"/>
          <w:b/>
          <w:color w:val="231F20"/>
          <w:w w:val="120"/>
          <w:sz w:val="18"/>
        </w:rPr>
        <w:t>May 28, 1972</w:t>
      </w:r>
    </w:p>
    <w:p w14:paraId="3FE4EDC6" w14:textId="77777777" w:rsidR="002653E8" w:rsidRDefault="003115E3">
      <w:pPr>
        <w:spacing w:before="34" w:line="276" w:lineRule="auto"/>
        <w:ind w:left="216" w:right="1325"/>
        <w:rPr>
          <w:rFonts w:ascii="Gill Sans MT" w:hAnsi="Gill Sans MT"/>
          <w:sz w:val="18"/>
        </w:rPr>
      </w:pPr>
      <w:r>
        <w:rPr>
          <w:rFonts w:ascii="Gill Sans MT" w:hAnsi="Gill Sans MT"/>
          <w:color w:val="231F20"/>
          <w:w w:val="110"/>
          <w:sz w:val="18"/>
        </w:rPr>
        <w:t xml:space="preserve">A false communiqué is issued claiming that the </w:t>
      </w:r>
      <w:r w:rsidR="00C507A5">
        <w:rPr>
          <w:rFonts w:ascii="Gill Sans MT" w:hAnsi="Gill Sans MT"/>
          <w:color w:val="231F20"/>
          <w:w w:val="110"/>
          <w:sz w:val="18"/>
        </w:rPr>
        <w:t>red army faction</w:t>
      </w:r>
      <w:r>
        <w:rPr>
          <w:rFonts w:ascii="Gill Sans MT" w:hAnsi="Gill Sans MT"/>
          <w:color w:val="231F20"/>
          <w:w w:val="110"/>
          <w:sz w:val="18"/>
        </w:rPr>
        <w:t xml:space="preserve"> will place three random car bombs in Stuttgart on June </w:t>
      </w:r>
      <w:r>
        <w:rPr>
          <w:rFonts w:ascii="Arial" w:hAnsi="Arial"/>
          <w:color w:val="231F20"/>
          <w:w w:val="110"/>
          <w:sz w:val="18"/>
        </w:rPr>
        <w:t>2</w:t>
      </w:r>
      <w:r>
        <w:rPr>
          <w:rFonts w:ascii="Gill Sans MT" w:hAnsi="Gill Sans MT"/>
          <w:color w:val="231F20"/>
          <w:w w:val="110"/>
          <w:sz w:val="18"/>
        </w:rPr>
        <w:t>, the anniversary of the killing of Benno</w:t>
      </w:r>
      <w:r>
        <w:rPr>
          <w:rFonts w:ascii="Gill Sans MT" w:hAnsi="Gill Sans MT"/>
          <w:color w:val="231F20"/>
          <w:spacing w:val="-9"/>
          <w:w w:val="110"/>
          <w:sz w:val="18"/>
        </w:rPr>
        <w:t xml:space="preserve"> </w:t>
      </w:r>
      <w:r>
        <w:rPr>
          <w:rFonts w:ascii="Gill Sans MT" w:hAnsi="Gill Sans MT"/>
          <w:color w:val="231F20"/>
          <w:w w:val="110"/>
          <w:sz w:val="18"/>
        </w:rPr>
        <w:t>Ohnesorg.</w:t>
      </w:r>
    </w:p>
    <w:p w14:paraId="4C82A536" w14:textId="77777777" w:rsidR="002653E8" w:rsidRDefault="002653E8">
      <w:pPr>
        <w:spacing w:line="276" w:lineRule="auto"/>
        <w:rPr>
          <w:rFonts w:ascii="Gill Sans MT" w:hAnsi="Gill Sans MT"/>
          <w:sz w:val="18"/>
        </w:rPr>
        <w:sectPr w:rsidR="002653E8">
          <w:footerReference w:type="default" r:id="rId505"/>
          <w:pgSz w:w="8640" w:h="12960"/>
          <w:pgMar w:top="1060" w:right="0" w:bottom="280" w:left="0" w:header="0" w:footer="0" w:gutter="0"/>
          <w:cols w:num="2" w:space="720" w:equalWidth="0">
            <w:col w:w="4094" w:space="40"/>
            <w:col w:w="4506"/>
          </w:cols>
        </w:sectPr>
      </w:pPr>
    </w:p>
    <w:p w14:paraId="4B08F21E" w14:textId="77777777" w:rsidR="002653E8" w:rsidRDefault="002653E8">
      <w:pPr>
        <w:pStyle w:val="a3"/>
        <w:rPr>
          <w:rFonts w:ascii="Gill Sans MT"/>
        </w:rPr>
      </w:pPr>
    </w:p>
    <w:p w14:paraId="313D3926" w14:textId="77777777" w:rsidR="002653E8" w:rsidRDefault="002653E8">
      <w:pPr>
        <w:pStyle w:val="a3"/>
        <w:rPr>
          <w:rFonts w:ascii="Gill Sans MT"/>
        </w:rPr>
      </w:pPr>
    </w:p>
    <w:p w14:paraId="14C62EE3" w14:textId="77777777" w:rsidR="002653E8" w:rsidRDefault="002653E8">
      <w:pPr>
        <w:pStyle w:val="a3"/>
        <w:rPr>
          <w:rFonts w:ascii="Gill Sans MT"/>
        </w:rPr>
      </w:pPr>
    </w:p>
    <w:p w14:paraId="12018A44" w14:textId="77777777" w:rsidR="002653E8" w:rsidRDefault="002653E8">
      <w:pPr>
        <w:pStyle w:val="a3"/>
        <w:rPr>
          <w:rFonts w:ascii="Gill Sans MT"/>
        </w:rPr>
      </w:pPr>
    </w:p>
    <w:p w14:paraId="60221756" w14:textId="77777777" w:rsidR="002653E8" w:rsidRDefault="002653E8">
      <w:pPr>
        <w:pStyle w:val="a3"/>
        <w:rPr>
          <w:rFonts w:ascii="Gill Sans MT"/>
        </w:rPr>
      </w:pPr>
    </w:p>
    <w:p w14:paraId="16E626C5" w14:textId="77777777" w:rsidR="002653E8" w:rsidRDefault="002653E8">
      <w:pPr>
        <w:pStyle w:val="a3"/>
        <w:rPr>
          <w:rFonts w:ascii="Gill Sans MT"/>
        </w:rPr>
      </w:pPr>
    </w:p>
    <w:p w14:paraId="166A15F5" w14:textId="77777777" w:rsidR="002653E8" w:rsidRDefault="002653E8">
      <w:pPr>
        <w:pStyle w:val="a3"/>
        <w:rPr>
          <w:rFonts w:ascii="Gill Sans MT"/>
        </w:rPr>
      </w:pPr>
    </w:p>
    <w:p w14:paraId="7ED908EE" w14:textId="77777777" w:rsidR="002653E8" w:rsidRDefault="002653E8">
      <w:pPr>
        <w:pStyle w:val="a3"/>
        <w:spacing w:before="9"/>
        <w:rPr>
          <w:rFonts w:ascii="Gill Sans MT"/>
          <w:sz w:val="21"/>
        </w:rPr>
      </w:pPr>
    </w:p>
    <w:p w14:paraId="673883C0" w14:textId="77777777" w:rsidR="002653E8" w:rsidRDefault="003115E3">
      <w:pPr>
        <w:tabs>
          <w:tab w:val="left" w:pos="3677"/>
        </w:tabs>
        <w:spacing w:before="1" w:line="244" w:lineRule="auto"/>
        <w:ind w:left="6336" w:right="1300" w:hanging="5189"/>
        <w:jc w:val="right"/>
        <w:rPr>
          <w:sz w:val="18"/>
        </w:rPr>
      </w:pPr>
      <w:r>
        <w:rPr>
          <w:color w:val="231F20"/>
          <w:spacing w:val="15"/>
          <w:w w:val="110"/>
          <w:position w:val="5"/>
          <w:sz w:val="18"/>
        </w:rPr>
        <w:t>590</w:t>
      </w:r>
      <w:r>
        <w:rPr>
          <w:color w:val="231F20"/>
          <w:spacing w:val="15"/>
          <w:w w:val="110"/>
          <w:position w:val="5"/>
          <w:sz w:val="18"/>
        </w:rPr>
        <w:tab/>
      </w:r>
      <w:r>
        <w:rPr>
          <w:color w:val="231F20"/>
          <w:spacing w:val="20"/>
          <w:w w:val="110"/>
          <w:sz w:val="18"/>
        </w:rPr>
        <w:t xml:space="preserve">armed struggle </w:t>
      </w:r>
      <w:r>
        <w:rPr>
          <w:color w:val="231F20"/>
          <w:spacing w:val="11"/>
          <w:w w:val="110"/>
          <w:sz w:val="18"/>
        </w:rPr>
        <w:t>in</w:t>
      </w:r>
      <w:r>
        <w:rPr>
          <w:color w:val="231F20"/>
          <w:spacing w:val="66"/>
          <w:w w:val="110"/>
          <w:sz w:val="18"/>
        </w:rPr>
        <w:t xml:space="preserve"> </w:t>
      </w:r>
      <w:r>
        <w:rPr>
          <w:color w:val="231F20"/>
          <w:spacing w:val="17"/>
          <w:w w:val="110"/>
          <w:sz w:val="18"/>
        </w:rPr>
        <w:t>west</w:t>
      </w:r>
      <w:r>
        <w:rPr>
          <w:color w:val="231F20"/>
          <w:spacing w:val="36"/>
          <w:w w:val="110"/>
          <w:sz w:val="18"/>
        </w:rPr>
        <w:t xml:space="preserve"> </w:t>
      </w:r>
      <w:r>
        <w:rPr>
          <w:color w:val="231F20"/>
          <w:spacing w:val="20"/>
          <w:w w:val="110"/>
          <w:sz w:val="18"/>
        </w:rPr>
        <w:t>germany</w:t>
      </w:r>
      <w:r>
        <w:rPr>
          <w:color w:val="231F20"/>
          <w:spacing w:val="-15"/>
          <w:sz w:val="18"/>
        </w:rPr>
        <w:t xml:space="preserve"> </w:t>
      </w:r>
      <w:r>
        <w:rPr>
          <w:color w:val="231F20"/>
          <w:spacing w:val="13"/>
          <w:w w:val="110"/>
          <w:sz w:val="18"/>
        </w:rPr>
        <w:t>may</w:t>
      </w:r>
      <w:r>
        <w:rPr>
          <w:color w:val="231F20"/>
          <w:spacing w:val="16"/>
          <w:w w:val="110"/>
          <w:sz w:val="18"/>
        </w:rPr>
        <w:t xml:space="preserve"> </w:t>
      </w:r>
      <w:r>
        <w:rPr>
          <w:color w:val="231F20"/>
          <w:spacing w:val="17"/>
          <w:w w:val="110"/>
          <w:sz w:val="18"/>
        </w:rPr>
        <w:t>1972</w:t>
      </w:r>
      <w:r>
        <w:rPr>
          <w:color w:val="231F20"/>
          <w:spacing w:val="-15"/>
          <w:sz w:val="18"/>
        </w:rPr>
        <w:t xml:space="preserve"> </w:t>
      </w:r>
    </w:p>
    <w:p w14:paraId="7E234F29" w14:textId="77777777" w:rsidR="002653E8" w:rsidRDefault="002653E8">
      <w:pPr>
        <w:spacing w:line="244" w:lineRule="auto"/>
        <w:jc w:val="right"/>
        <w:rPr>
          <w:sz w:val="18"/>
        </w:rPr>
        <w:sectPr w:rsidR="002653E8">
          <w:type w:val="continuous"/>
          <w:pgSz w:w="8640" w:h="12960"/>
          <w:pgMar w:top="0" w:right="0" w:bottom="0" w:left="0" w:header="720" w:footer="720" w:gutter="0"/>
          <w:cols w:space="720"/>
        </w:sectPr>
      </w:pPr>
    </w:p>
    <w:p w14:paraId="2BA0E61C" w14:textId="77777777" w:rsidR="002653E8" w:rsidRDefault="003115E3">
      <w:pPr>
        <w:spacing w:before="91"/>
        <w:ind w:left="1327"/>
        <w:rPr>
          <w:rFonts w:ascii="Arial"/>
          <w:b/>
          <w:sz w:val="18"/>
        </w:rPr>
      </w:pPr>
      <w:r>
        <w:rPr>
          <w:rFonts w:ascii="Arial"/>
          <w:b/>
          <w:color w:val="231F20"/>
          <w:w w:val="120"/>
          <w:sz w:val="18"/>
        </w:rPr>
        <w:lastRenderedPageBreak/>
        <w:t>May 29, 1972</w:t>
      </w:r>
    </w:p>
    <w:p w14:paraId="56A890B8" w14:textId="77777777" w:rsidR="002653E8" w:rsidRDefault="003115E3">
      <w:pPr>
        <w:spacing w:before="34" w:line="276" w:lineRule="auto"/>
        <w:ind w:left="1327"/>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w w:val="110"/>
          <w:sz w:val="18"/>
        </w:rPr>
        <w:t>red army faction</w:t>
      </w:r>
      <w:r>
        <w:rPr>
          <w:rFonts w:ascii="Gill Sans MT" w:hAnsi="Gill Sans MT"/>
          <w:color w:val="231F20"/>
          <w:w w:val="110"/>
          <w:sz w:val="18"/>
        </w:rPr>
        <w:t xml:space="preserve"> issues a communiqué addressing the false communiqué regarding the attacks threatened against Stuttgart.</w:t>
      </w:r>
    </w:p>
    <w:p w14:paraId="1BC4C6CD" w14:textId="77777777" w:rsidR="002653E8" w:rsidRDefault="002653E8">
      <w:pPr>
        <w:pStyle w:val="a3"/>
        <w:spacing w:before="6"/>
        <w:rPr>
          <w:rFonts w:ascii="Gill Sans MT"/>
        </w:rPr>
      </w:pPr>
    </w:p>
    <w:p w14:paraId="670B65C9" w14:textId="77777777" w:rsidR="002653E8" w:rsidRDefault="003115E3">
      <w:pPr>
        <w:spacing w:before="1"/>
        <w:ind w:left="1327"/>
        <w:rPr>
          <w:rFonts w:ascii="Arial"/>
          <w:b/>
          <w:sz w:val="18"/>
        </w:rPr>
      </w:pPr>
      <w:r>
        <w:rPr>
          <w:rFonts w:ascii="Arial"/>
          <w:b/>
          <w:color w:val="231F20"/>
          <w:w w:val="120"/>
          <w:sz w:val="18"/>
        </w:rPr>
        <w:t>May 31, 1972</w:t>
      </w:r>
    </w:p>
    <w:p w14:paraId="3B4CBC84" w14:textId="77777777" w:rsidR="002653E8" w:rsidRDefault="003115E3">
      <w:pPr>
        <w:spacing w:before="34" w:line="276" w:lineRule="auto"/>
        <w:ind w:left="1327" w:right="275"/>
        <w:jc w:val="both"/>
        <w:rPr>
          <w:rFonts w:ascii="Gill Sans MT"/>
          <w:sz w:val="18"/>
        </w:rPr>
      </w:pPr>
      <w:r>
        <w:rPr>
          <w:rFonts w:ascii="Gill Sans MT"/>
          <w:color w:val="231F20"/>
          <w:w w:val="110"/>
          <w:sz w:val="18"/>
        </w:rPr>
        <w:t>A recorded message from ulrike Meinhof is played at the Red Aid Teach-In in Frankfurt.</w:t>
      </w:r>
    </w:p>
    <w:p w14:paraId="09E8EE65" w14:textId="77777777" w:rsidR="002653E8" w:rsidRDefault="003115E3">
      <w:pPr>
        <w:spacing w:line="276" w:lineRule="auto"/>
        <w:ind w:left="1327" w:right="31"/>
        <w:rPr>
          <w:rFonts w:ascii="Gill Sans MT"/>
          <w:sz w:val="18"/>
        </w:rPr>
      </w:pPr>
      <w:r>
        <w:rPr>
          <w:rFonts w:ascii="Gill Sans MT"/>
          <w:color w:val="231F20"/>
          <w:w w:val="110"/>
          <w:sz w:val="18"/>
        </w:rPr>
        <w:t xml:space="preserve">The BKA initiates a massive manhunt for </w:t>
      </w:r>
      <w:r w:rsidR="00C507A5">
        <w:rPr>
          <w:rFonts w:ascii="Gill Sans MT"/>
          <w:color w:val="231F20"/>
          <w:w w:val="110"/>
          <w:sz w:val="18"/>
        </w:rPr>
        <w:t>red army faction</w:t>
      </w:r>
      <w:r>
        <w:rPr>
          <w:rFonts w:ascii="Gill Sans MT"/>
          <w:color w:val="231F20"/>
          <w:w w:val="110"/>
          <w:sz w:val="18"/>
        </w:rPr>
        <w:t xml:space="preserve"> members, known as Operation Washout.</w:t>
      </w:r>
    </w:p>
    <w:p w14:paraId="480E5562" w14:textId="77777777" w:rsidR="002653E8" w:rsidRDefault="002653E8">
      <w:pPr>
        <w:pStyle w:val="a3"/>
        <w:spacing w:before="6"/>
        <w:rPr>
          <w:rFonts w:ascii="Gill Sans MT"/>
        </w:rPr>
      </w:pPr>
    </w:p>
    <w:p w14:paraId="68EE6F62" w14:textId="77777777" w:rsidR="002653E8" w:rsidRDefault="003115E3">
      <w:pPr>
        <w:spacing w:before="1"/>
        <w:ind w:left="1327"/>
        <w:rPr>
          <w:rFonts w:ascii="Arial"/>
          <w:b/>
          <w:sz w:val="18"/>
        </w:rPr>
      </w:pPr>
      <w:r>
        <w:rPr>
          <w:rFonts w:ascii="Arial"/>
          <w:b/>
          <w:color w:val="231F20"/>
          <w:w w:val="115"/>
          <w:sz w:val="18"/>
        </w:rPr>
        <w:t>June 1, 1972</w:t>
      </w:r>
    </w:p>
    <w:p w14:paraId="1E33FA31" w14:textId="77777777" w:rsidR="002653E8" w:rsidRDefault="00C507A5">
      <w:pPr>
        <w:spacing w:before="34" w:line="276" w:lineRule="auto"/>
        <w:ind w:left="1327" w:right="145"/>
        <w:rPr>
          <w:rFonts w:ascii="Gill Sans MT"/>
          <w:sz w:val="18"/>
        </w:rPr>
      </w:pPr>
      <w:r>
        <w:rPr>
          <w:rFonts w:ascii="Gill Sans MT"/>
          <w:color w:val="231F20"/>
          <w:w w:val="110"/>
          <w:sz w:val="18"/>
        </w:rPr>
        <w:t>red army faction</w:t>
      </w:r>
      <w:r w:rsidR="003115E3">
        <w:rPr>
          <w:rFonts w:ascii="Gill Sans MT"/>
          <w:color w:val="231F20"/>
          <w:w w:val="110"/>
          <w:sz w:val="18"/>
        </w:rPr>
        <w:t xml:space="preserve"> members Andreas </w:t>
      </w:r>
      <w:r w:rsidR="003115E3">
        <w:rPr>
          <w:rFonts w:ascii="Gill Sans MT"/>
          <w:color w:val="231F20"/>
          <w:spacing w:val="-3"/>
          <w:w w:val="110"/>
          <w:sz w:val="18"/>
        </w:rPr>
        <w:t xml:space="preserve">Baader, </w:t>
      </w:r>
      <w:r w:rsidR="003115E3">
        <w:rPr>
          <w:rFonts w:ascii="Gill Sans MT"/>
          <w:color w:val="231F20"/>
          <w:w w:val="110"/>
          <w:sz w:val="18"/>
        </w:rPr>
        <w:t>Holger Meins, and Jan-Carl Raspe are arrested in Frankfurt. Baader is shot in the thigh. Three</w:t>
      </w:r>
      <w:r w:rsidR="003115E3">
        <w:rPr>
          <w:rFonts w:ascii="Gill Sans MT"/>
          <w:color w:val="231F20"/>
          <w:spacing w:val="-14"/>
          <w:w w:val="110"/>
          <w:sz w:val="18"/>
        </w:rPr>
        <w:t xml:space="preserve"> </w:t>
      </w:r>
      <w:r w:rsidR="003115E3">
        <w:rPr>
          <w:rFonts w:ascii="Gill Sans MT"/>
          <w:color w:val="231F20"/>
          <w:w w:val="110"/>
          <w:sz w:val="18"/>
        </w:rPr>
        <w:t>hundred cops and a tank are used to make the</w:t>
      </w:r>
      <w:r w:rsidR="003115E3">
        <w:rPr>
          <w:rFonts w:ascii="Gill Sans MT"/>
          <w:color w:val="231F20"/>
          <w:spacing w:val="-6"/>
          <w:w w:val="110"/>
          <w:sz w:val="18"/>
        </w:rPr>
        <w:t xml:space="preserve"> </w:t>
      </w:r>
      <w:r w:rsidR="003115E3">
        <w:rPr>
          <w:rFonts w:ascii="Gill Sans MT"/>
          <w:color w:val="231F20"/>
          <w:w w:val="110"/>
          <w:sz w:val="18"/>
        </w:rPr>
        <w:t>arrests.</w:t>
      </w:r>
    </w:p>
    <w:p w14:paraId="4B11D961" w14:textId="77777777" w:rsidR="002653E8" w:rsidRDefault="002653E8">
      <w:pPr>
        <w:pStyle w:val="a3"/>
        <w:spacing w:before="6"/>
        <w:rPr>
          <w:rFonts w:ascii="Gill Sans MT"/>
        </w:rPr>
      </w:pPr>
    </w:p>
    <w:p w14:paraId="06CD4532" w14:textId="77777777" w:rsidR="002653E8" w:rsidRDefault="003115E3">
      <w:pPr>
        <w:ind w:left="1327"/>
        <w:rPr>
          <w:rFonts w:ascii="Arial" w:hAnsi="Arial"/>
          <w:b/>
          <w:sz w:val="18"/>
        </w:rPr>
      </w:pPr>
      <w:r>
        <w:rPr>
          <w:rFonts w:ascii="Arial" w:hAnsi="Arial"/>
          <w:b/>
          <w:color w:val="231F20"/>
          <w:w w:val="110"/>
          <w:sz w:val="18"/>
        </w:rPr>
        <w:t>June 3–4, 1972</w:t>
      </w:r>
    </w:p>
    <w:p w14:paraId="0BE4324F" w14:textId="77777777" w:rsidR="002653E8" w:rsidRDefault="003115E3">
      <w:pPr>
        <w:spacing w:before="33" w:line="273" w:lineRule="auto"/>
        <w:ind w:left="1327"/>
        <w:rPr>
          <w:rFonts w:ascii="Gill Sans MT" w:hAnsi="Gill Sans MT"/>
          <w:sz w:val="18"/>
        </w:rPr>
      </w:pPr>
      <w:r>
        <w:rPr>
          <w:rFonts w:ascii="Gill Sans MT" w:hAnsi="Gill Sans MT"/>
          <w:color w:val="231F20"/>
          <w:w w:val="110"/>
          <w:sz w:val="18"/>
        </w:rPr>
        <w:t xml:space="preserve">Close to </w:t>
      </w:r>
      <w:r>
        <w:rPr>
          <w:rFonts w:ascii="Arial" w:hAnsi="Arial"/>
          <w:color w:val="231F20"/>
          <w:w w:val="110"/>
          <w:sz w:val="18"/>
        </w:rPr>
        <w:t>10</w:t>
      </w:r>
      <w:r>
        <w:rPr>
          <w:rFonts w:ascii="Gill Sans MT" w:hAnsi="Gill Sans MT"/>
          <w:color w:val="231F20"/>
          <w:w w:val="110"/>
          <w:sz w:val="18"/>
        </w:rPr>
        <w:t>,</w:t>
      </w:r>
      <w:r>
        <w:rPr>
          <w:rFonts w:ascii="Arial" w:hAnsi="Arial"/>
          <w:color w:val="231F20"/>
          <w:w w:val="110"/>
          <w:sz w:val="18"/>
        </w:rPr>
        <w:t xml:space="preserve">000 </w:t>
      </w:r>
      <w:r>
        <w:rPr>
          <w:rFonts w:ascii="Gill Sans MT" w:hAnsi="Gill Sans MT"/>
          <w:color w:val="231F20"/>
          <w:w w:val="110"/>
          <w:sz w:val="18"/>
        </w:rPr>
        <w:t xml:space="preserve">people attend the Angela davis Congress in Frankfurt, organized by the </w:t>
      </w:r>
      <w:r>
        <w:rPr>
          <w:rFonts w:ascii="Lucida Sans" w:hAnsi="Lucida Sans"/>
          <w:i/>
          <w:color w:val="231F20"/>
          <w:w w:val="110"/>
          <w:sz w:val="18"/>
        </w:rPr>
        <w:t>Sozialistisches Büro</w:t>
      </w:r>
      <w:r>
        <w:rPr>
          <w:rFonts w:ascii="Gill Sans MT" w:hAnsi="Gill Sans MT"/>
          <w:color w:val="231F20"/>
          <w:w w:val="110"/>
          <w:sz w:val="18"/>
        </w:rPr>
        <w:t xml:space="preserve">. Oskar Negt, an important New Left intellectual, uses the occasion to launch an attack on the </w:t>
      </w:r>
      <w:r w:rsidR="00C507A5">
        <w:rPr>
          <w:rFonts w:ascii="Gill Sans MT" w:hAnsi="Gill Sans MT"/>
          <w:color w:val="231F20"/>
          <w:w w:val="110"/>
          <w:sz w:val="18"/>
        </w:rPr>
        <w:t>red army faction</w:t>
      </w:r>
      <w:r>
        <w:rPr>
          <w:rFonts w:ascii="Gill Sans MT" w:hAnsi="Gill Sans MT"/>
          <w:color w:val="231F20"/>
          <w:w w:val="110"/>
          <w:sz w:val="18"/>
        </w:rPr>
        <w:t>, arguing that leftists should not show the guerilla any solidarity.</w:t>
      </w:r>
    </w:p>
    <w:p w14:paraId="4C6ABB71" w14:textId="77777777" w:rsidR="002653E8" w:rsidRDefault="002653E8">
      <w:pPr>
        <w:pStyle w:val="a3"/>
        <w:spacing w:before="8"/>
        <w:rPr>
          <w:rFonts w:ascii="Gill Sans MT"/>
        </w:rPr>
      </w:pPr>
    </w:p>
    <w:p w14:paraId="35A5C77A" w14:textId="77777777" w:rsidR="002653E8" w:rsidRDefault="003115E3">
      <w:pPr>
        <w:spacing w:before="1"/>
        <w:ind w:left="1327"/>
        <w:rPr>
          <w:rFonts w:ascii="Arial"/>
          <w:b/>
          <w:sz w:val="18"/>
        </w:rPr>
      </w:pPr>
      <w:r>
        <w:rPr>
          <w:rFonts w:ascii="Arial"/>
          <w:b/>
          <w:color w:val="231F20"/>
          <w:w w:val="115"/>
          <w:sz w:val="18"/>
        </w:rPr>
        <w:t>June 7, 1972</w:t>
      </w:r>
    </w:p>
    <w:p w14:paraId="33E25C9A" w14:textId="77777777" w:rsidR="002653E8" w:rsidRDefault="00C507A5">
      <w:pPr>
        <w:spacing w:before="34" w:line="276" w:lineRule="auto"/>
        <w:ind w:left="1327" w:right="-14"/>
        <w:rPr>
          <w:rFonts w:ascii="Gill Sans MT"/>
          <w:sz w:val="18"/>
        </w:rPr>
      </w:pPr>
      <w:r>
        <w:rPr>
          <w:rFonts w:ascii="Gill Sans MT"/>
          <w:color w:val="231F20"/>
          <w:w w:val="115"/>
          <w:sz w:val="18"/>
        </w:rPr>
        <w:t>red army faction</w:t>
      </w:r>
      <w:r w:rsidR="003115E3">
        <w:rPr>
          <w:rFonts w:ascii="Gill Sans MT"/>
          <w:color w:val="231F20"/>
          <w:w w:val="115"/>
          <w:sz w:val="18"/>
        </w:rPr>
        <w:t xml:space="preserve"> member Gudrun Ensslin is arrested in a boutique in Hamburg after</w:t>
      </w:r>
      <w:r w:rsidR="003115E3">
        <w:rPr>
          <w:rFonts w:ascii="Gill Sans MT"/>
          <w:color w:val="231F20"/>
          <w:spacing w:val="-13"/>
          <w:w w:val="115"/>
          <w:sz w:val="18"/>
        </w:rPr>
        <w:t xml:space="preserve"> </w:t>
      </w:r>
      <w:r w:rsidR="003115E3">
        <w:rPr>
          <w:rFonts w:ascii="Gill Sans MT"/>
          <w:color w:val="231F20"/>
          <w:w w:val="115"/>
          <w:sz w:val="18"/>
        </w:rPr>
        <w:t>a</w:t>
      </w:r>
      <w:r w:rsidR="003115E3">
        <w:rPr>
          <w:rFonts w:ascii="Gill Sans MT"/>
          <w:color w:val="231F20"/>
          <w:spacing w:val="-13"/>
          <w:w w:val="115"/>
          <w:sz w:val="18"/>
        </w:rPr>
        <w:t xml:space="preserve"> </w:t>
      </w:r>
      <w:r w:rsidR="003115E3">
        <w:rPr>
          <w:rFonts w:ascii="Gill Sans MT"/>
          <w:color w:val="231F20"/>
          <w:w w:val="115"/>
          <w:sz w:val="18"/>
        </w:rPr>
        <w:t>shop</w:t>
      </w:r>
      <w:r w:rsidR="003115E3">
        <w:rPr>
          <w:rFonts w:ascii="Gill Sans MT"/>
          <w:color w:val="231F20"/>
          <w:spacing w:val="-13"/>
          <w:w w:val="115"/>
          <w:sz w:val="18"/>
        </w:rPr>
        <w:t xml:space="preserve"> </w:t>
      </w:r>
      <w:r w:rsidR="003115E3">
        <w:rPr>
          <w:rFonts w:ascii="Gill Sans MT"/>
          <w:color w:val="231F20"/>
          <w:w w:val="115"/>
          <w:sz w:val="18"/>
        </w:rPr>
        <w:t>attendant</w:t>
      </w:r>
      <w:r w:rsidR="003115E3">
        <w:rPr>
          <w:rFonts w:ascii="Gill Sans MT"/>
          <w:color w:val="231F20"/>
          <w:spacing w:val="-13"/>
          <w:w w:val="115"/>
          <w:sz w:val="18"/>
        </w:rPr>
        <w:t xml:space="preserve"> </w:t>
      </w:r>
      <w:r w:rsidR="003115E3">
        <w:rPr>
          <w:rFonts w:ascii="Gill Sans MT"/>
          <w:color w:val="231F20"/>
          <w:w w:val="115"/>
          <w:sz w:val="18"/>
        </w:rPr>
        <w:t>notices</w:t>
      </w:r>
      <w:r w:rsidR="003115E3">
        <w:rPr>
          <w:rFonts w:ascii="Gill Sans MT"/>
          <w:color w:val="231F20"/>
          <w:spacing w:val="-13"/>
          <w:w w:val="115"/>
          <w:sz w:val="18"/>
        </w:rPr>
        <w:t xml:space="preserve"> </w:t>
      </w:r>
      <w:r w:rsidR="003115E3">
        <w:rPr>
          <w:rFonts w:ascii="Gill Sans MT"/>
          <w:color w:val="231F20"/>
          <w:w w:val="115"/>
          <w:sz w:val="18"/>
        </w:rPr>
        <w:t>a</w:t>
      </w:r>
      <w:r w:rsidR="003115E3">
        <w:rPr>
          <w:rFonts w:ascii="Gill Sans MT"/>
          <w:color w:val="231F20"/>
          <w:spacing w:val="-13"/>
          <w:w w:val="115"/>
          <w:sz w:val="18"/>
        </w:rPr>
        <w:t xml:space="preserve"> </w:t>
      </w:r>
      <w:r w:rsidR="003115E3">
        <w:rPr>
          <w:rFonts w:ascii="Gill Sans MT"/>
          <w:color w:val="231F20"/>
          <w:w w:val="115"/>
          <w:sz w:val="18"/>
        </w:rPr>
        <w:t>gun</w:t>
      </w:r>
      <w:r w:rsidR="003115E3">
        <w:rPr>
          <w:rFonts w:ascii="Gill Sans MT"/>
          <w:color w:val="231F20"/>
          <w:w w:val="120"/>
          <w:sz w:val="18"/>
        </w:rPr>
        <w:t xml:space="preserve"> </w:t>
      </w:r>
      <w:r w:rsidR="003115E3">
        <w:rPr>
          <w:rFonts w:ascii="Gill Sans MT"/>
          <w:color w:val="231F20"/>
          <w:w w:val="115"/>
          <w:sz w:val="18"/>
        </w:rPr>
        <w:t>in her</w:t>
      </w:r>
      <w:r w:rsidR="003115E3">
        <w:rPr>
          <w:rFonts w:ascii="Gill Sans MT"/>
          <w:color w:val="231F20"/>
          <w:spacing w:val="-17"/>
          <w:w w:val="115"/>
          <w:sz w:val="18"/>
        </w:rPr>
        <w:t xml:space="preserve"> </w:t>
      </w:r>
      <w:r w:rsidR="003115E3">
        <w:rPr>
          <w:rFonts w:ascii="Gill Sans MT"/>
          <w:color w:val="231F20"/>
          <w:w w:val="115"/>
          <w:sz w:val="18"/>
        </w:rPr>
        <w:t>purse.</w:t>
      </w:r>
    </w:p>
    <w:p w14:paraId="0E074C27" w14:textId="77777777" w:rsidR="002653E8" w:rsidRDefault="002653E8">
      <w:pPr>
        <w:pStyle w:val="a3"/>
        <w:spacing w:before="6"/>
        <w:rPr>
          <w:rFonts w:ascii="Gill Sans MT"/>
        </w:rPr>
      </w:pPr>
    </w:p>
    <w:p w14:paraId="49011D3A" w14:textId="77777777" w:rsidR="002653E8" w:rsidRDefault="003115E3">
      <w:pPr>
        <w:ind w:left="1327"/>
        <w:rPr>
          <w:rFonts w:ascii="Arial"/>
          <w:b/>
          <w:sz w:val="18"/>
        </w:rPr>
      </w:pPr>
      <w:r>
        <w:rPr>
          <w:rFonts w:ascii="Arial"/>
          <w:b/>
          <w:color w:val="231F20"/>
          <w:w w:val="115"/>
          <w:sz w:val="18"/>
        </w:rPr>
        <w:t>June 9, 1972</w:t>
      </w:r>
    </w:p>
    <w:p w14:paraId="4ACB2897" w14:textId="77777777" w:rsidR="002653E8" w:rsidRDefault="00C507A5">
      <w:pPr>
        <w:spacing w:before="35" w:line="276" w:lineRule="auto"/>
        <w:ind w:left="1327" w:right="101"/>
        <w:jc w:val="both"/>
        <w:rPr>
          <w:rFonts w:ascii="Gill Sans MT"/>
          <w:sz w:val="18"/>
        </w:rPr>
      </w:pPr>
      <w:r>
        <w:rPr>
          <w:rFonts w:ascii="Gill Sans MT"/>
          <w:color w:val="231F20"/>
          <w:w w:val="110"/>
          <w:sz w:val="18"/>
        </w:rPr>
        <w:t>red army faction</w:t>
      </w:r>
      <w:r w:rsidR="003115E3">
        <w:rPr>
          <w:rFonts w:ascii="Gill Sans MT"/>
          <w:color w:val="231F20"/>
          <w:w w:val="110"/>
          <w:sz w:val="18"/>
        </w:rPr>
        <w:t xml:space="preserve"> members Brigitte Mohnhaupt and Bernhard Braun are arrested</w:t>
      </w:r>
      <w:r w:rsidR="003115E3">
        <w:rPr>
          <w:rFonts w:ascii="Gill Sans MT"/>
          <w:color w:val="231F20"/>
          <w:spacing w:val="-27"/>
          <w:w w:val="110"/>
          <w:sz w:val="18"/>
        </w:rPr>
        <w:t xml:space="preserve"> </w:t>
      </w:r>
      <w:r w:rsidR="003115E3">
        <w:rPr>
          <w:rFonts w:ascii="Gill Sans MT"/>
          <w:color w:val="231F20"/>
          <w:w w:val="110"/>
          <w:sz w:val="18"/>
        </w:rPr>
        <w:t xml:space="preserve">in </w:t>
      </w:r>
      <w:r w:rsidR="003115E3">
        <w:rPr>
          <w:rFonts w:ascii="Gill Sans MT"/>
          <w:color w:val="231F20"/>
          <w:spacing w:val="-3"/>
          <w:w w:val="110"/>
          <w:sz w:val="18"/>
        </w:rPr>
        <w:t>West</w:t>
      </w:r>
      <w:r w:rsidR="003115E3">
        <w:rPr>
          <w:rFonts w:ascii="Gill Sans MT"/>
          <w:color w:val="231F20"/>
          <w:spacing w:val="-6"/>
          <w:w w:val="110"/>
          <w:sz w:val="18"/>
        </w:rPr>
        <w:t xml:space="preserve"> </w:t>
      </w:r>
      <w:r w:rsidR="003115E3">
        <w:rPr>
          <w:rFonts w:ascii="Gill Sans MT"/>
          <w:color w:val="231F20"/>
          <w:w w:val="110"/>
          <w:sz w:val="18"/>
        </w:rPr>
        <w:t>Berlin.</w:t>
      </w:r>
    </w:p>
    <w:p w14:paraId="6EE0FF9F" w14:textId="77777777" w:rsidR="002653E8" w:rsidRDefault="003115E3">
      <w:pPr>
        <w:spacing w:before="91"/>
        <w:ind w:left="229"/>
        <w:rPr>
          <w:rFonts w:ascii="Arial"/>
          <w:b/>
          <w:sz w:val="18"/>
        </w:rPr>
      </w:pPr>
      <w:r>
        <w:br w:type="column"/>
      </w:r>
      <w:r>
        <w:rPr>
          <w:rFonts w:ascii="Arial"/>
          <w:b/>
          <w:color w:val="231F20"/>
          <w:w w:val="115"/>
          <w:sz w:val="18"/>
        </w:rPr>
        <w:t>June 15, 1972</w:t>
      </w:r>
    </w:p>
    <w:p w14:paraId="48BB5DA3" w14:textId="77777777" w:rsidR="002653E8" w:rsidRDefault="00C507A5">
      <w:pPr>
        <w:spacing w:before="34" w:line="276" w:lineRule="auto"/>
        <w:ind w:left="230" w:right="1306"/>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member ulrike Meinhof and supporter Gerhard Müller are arrested in an apartment outside of Hannover. Police are tipped off by a left-wing trade unionist who had agreed to shelter them for</w:t>
      </w:r>
      <w:r w:rsidR="003115E3">
        <w:rPr>
          <w:rFonts w:ascii="Gill Sans MT" w:hAnsi="Gill Sans MT"/>
          <w:color w:val="231F20"/>
          <w:spacing w:val="10"/>
          <w:w w:val="110"/>
          <w:sz w:val="18"/>
        </w:rPr>
        <w:t xml:space="preserve"> </w:t>
      </w:r>
      <w:r w:rsidR="003115E3">
        <w:rPr>
          <w:rFonts w:ascii="Gill Sans MT" w:hAnsi="Gill Sans MT"/>
          <w:color w:val="231F20"/>
          <w:w w:val="110"/>
          <w:sz w:val="18"/>
        </w:rPr>
        <w:t>the</w:t>
      </w:r>
    </w:p>
    <w:p w14:paraId="57041F30" w14:textId="77777777" w:rsidR="002653E8" w:rsidRDefault="003115E3">
      <w:pPr>
        <w:spacing w:line="276" w:lineRule="auto"/>
        <w:ind w:left="230" w:right="1178"/>
        <w:rPr>
          <w:rFonts w:ascii="Gill Sans MT"/>
          <w:sz w:val="18"/>
        </w:rPr>
      </w:pPr>
      <w:r>
        <w:rPr>
          <w:rFonts w:ascii="Gill Sans MT"/>
          <w:color w:val="231F20"/>
          <w:w w:val="110"/>
          <w:sz w:val="18"/>
        </w:rPr>
        <w:t>evening. Meinhof will be held in the dead wing at Cologne-Ossendorf, where she will remain without respite for eight months.</w:t>
      </w:r>
    </w:p>
    <w:p w14:paraId="542D60A2" w14:textId="77777777" w:rsidR="002653E8" w:rsidRDefault="002653E8">
      <w:pPr>
        <w:pStyle w:val="a3"/>
        <w:spacing w:before="6"/>
        <w:rPr>
          <w:rFonts w:ascii="Gill Sans MT"/>
        </w:rPr>
      </w:pPr>
    </w:p>
    <w:p w14:paraId="6BE10BC7" w14:textId="77777777" w:rsidR="002653E8" w:rsidRDefault="003115E3">
      <w:pPr>
        <w:ind w:left="230"/>
        <w:rPr>
          <w:rFonts w:ascii="Arial"/>
          <w:b/>
          <w:sz w:val="18"/>
        </w:rPr>
      </w:pPr>
      <w:r>
        <w:rPr>
          <w:rFonts w:ascii="Arial"/>
          <w:b/>
          <w:color w:val="231F20"/>
          <w:w w:val="115"/>
          <w:sz w:val="18"/>
        </w:rPr>
        <w:t>June 22, 1972</w:t>
      </w:r>
    </w:p>
    <w:p w14:paraId="338DC4D5" w14:textId="77777777" w:rsidR="002653E8" w:rsidRDefault="003115E3">
      <w:pPr>
        <w:spacing w:before="35" w:line="273" w:lineRule="auto"/>
        <w:ind w:left="229" w:right="1555"/>
        <w:rPr>
          <w:rFonts w:ascii="Gill Sans MT" w:hAnsi="Gill Sans MT"/>
          <w:sz w:val="18"/>
        </w:rPr>
      </w:pPr>
      <w:r>
        <w:rPr>
          <w:rFonts w:ascii="Gill Sans MT" w:hAnsi="Gill Sans MT"/>
          <w:color w:val="231F20"/>
          <w:w w:val="110"/>
          <w:sz w:val="18"/>
        </w:rPr>
        <w:t xml:space="preserve">The constitution is amended to increase prison sentences and to increase the powers of the police and to better arm them, particularly in the case of the </w:t>
      </w:r>
      <w:r>
        <w:rPr>
          <w:rFonts w:ascii="Lucida Sans" w:hAnsi="Lucida Sans"/>
          <w:i/>
          <w:color w:val="231F20"/>
          <w:w w:val="105"/>
          <w:sz w:val="18"/>
        </w:rPr>
        <w:t xml:space="preserve">Bundesgrenzschutz </w:t>
      </w:r>
      <w:r>
        <w:rPr>
          <w:rFonts w:ascii="Gill Sans MT" w:hAnsi="Gill Sans MT"/>
          <w:color w:val="231F20"/>
          <w:w w:val="105"/>
          <w:sz w:val="18"/>
        </w:rPr>
        <w:t xml:space="preserve">(Federal </w:t>
      </w:r>
      <w:r>
        <w:rPr>
          <w:rFonts w:ascii="Gill Sans MT" w:hAnsi="Gill Sans MT"/>
          <w:color w:val="231F20"/>
          <w:w w:val="110"/>
          <w:sz w:val="18"/>
        </w:rPr>
        <w:t xml:space="preserve">Border Patrol—BGS) and the </w:t>
      </w:r>
      <w:r>
        <w:rPr>
          <w:rFonts w:ascii="Lucida Sans" w:hAnsi="Lucida Sans"/>
          <w:i/>
          <w:color w:val="231F20"/>
          <w:w w:val="110"/>
          <w:sz w:val="18"/>
        </w:rPr>
        <w:t>Verfassungsschutz</w:t>
      </w:r>
      <w:r>
        <w:rPr>
          <w:rFonts w:ascii="Gill Sans MT" w:hAnsi="Gill Sans MT"/>
          <w:color w:val="231F20"/>
          <w:w w:val="110"/>
          <w:sz w:val="18"/>
        </w:rPr>
        <w:t>.</w:t>
      </w:r>
    </w:p>
    <w:p w14:paraId="60C4FCD0" w14:textId="77777777" w:rsidR="002653E8" w:rsidRDefault="002653E8">
      <w:pPr>
        <w:pStyle w:val="a3"/>
        <w:spacing w:before="8"/>
        <w:rPr>
          <w:rFonts w:ascii="Gill Sans MT"/>
        </w:rPr>
      </w:pPr>
    </w:p>
    <w:p w14:paraId="0023A4D0" w14:textId="77777777" w:rsidR="002653E8" w:rsidRDefault="003115E3">
      <w:pPr>
        <w:ind w:left="229"/>
        <w:rPr>
          <w:rFonts w:ascii="Arial"/>
          <w:b/>
          <w:sz w:val="18"/>
        </w:rPr>
      </w:pPr>
      <w:r>
        <w:rPr>
          <w:rFonts w:ascii="Arial"/>
          <w:b/>
          <w:color w:val="231F20"/>
          <w:w w:val="115"/>
          <w:sz w:val="18"/>
        </w:rPr>
        <w:t>June 25, 1972</w:t>
      </w:r>
    </w:p>
    <w:p w14:paraId="72766C97" w14:textId="77777777" w:rsidR="002653E8" w:rsidRDefault="003115E3">
      <w:pPr>
        <w:spacing w:before="35" w:line="276" w:lineRule="auto"/>
        <w:ind w:left="229" w:right="1290"/>
        <w:rPr>
          <w:rFonts w:ascii="Gill Sans MT"/>
          <w:sz w:val="18"/>
        </w:rPr>
      </w:pPr>
      <w:r>
        <w:rPr>
          <w:rFonts w:ascii="Gill Sans MT"/>
          <w:color w:val="231F20"/>
          <w:w w:val="115"/>
          <w:sz w:val="18"/>
        </w:rPr>
        <w:t xml:space="preserve">Scottish businessman Ian McLeod is shot and killed by police who believe him to be a </w:t>
      </w:r>
      <w:r w:rsidR="00C507A5">
        <w:rPr>
          <w:rFonts w:ascii="Gill Sans MT"/>
          <w:color w:val="231F20"/>
          <w:w w:val="115"/>
          <w:sz w:val="18"/>
        </w:rPr>
        <w:t>red army faction</w:t>
      </w:r>
      <w:r>
        <w:rPr>
          <w:rFonts w:ascii="Gill Sans MT"/>
          <w:color w:val="231F20"/>
          <w:w w:val="115"/>
          <w:sz w:val="18"/>
        </w:rPr>
        <w:t xml:space="preserve"> </w:t>
      </w:r>
      <w:r>
        <w:rPr>
          <w:rFonts w:ascii="Gill Sans MT"/>
          <w:color w:val="231F20"/>
          <w:spacing w:val="-3"/>
          <w:w w:val="115"/>
          <w:sz w:val="18"/>
        </w:rPr>
        <w:t xml:space="preserve">member. </w:t>
      </w:r>
      <w:r>
        <w:rPr>
          <w:rFonts w:ascii="Gill Sans MT"/>
          <w:color w:val="231F20"/>
          <w:w w:val="115"/>
          <w:sz w:val="18"/>
        </w:rPr>
        <w:t>At the time he is standing naked, unarmed, in his bedroom.</w:t>
      </w:r>
    </w:p>
    <w:p w14:paraId="4430E36E" w14:textId="77777777" w:rsidR="002653E8" w:rsidRDefault="002653E8">
      <w:pPr>
        <w:pStyle w:val="a3"/>
        <w:spacing w:before="6"/>
        <w:rPr>
          <w:rFonts w:ascii="Gill Sans MT"/>
        </w:rPr>
      </w:pPr>
    </w:p>
    <w:p w14:paraId="2291BD84" w14:textId="77777777" w:rsidR="002653E8" w:rsidRDefault="003115E3">
      <w:pPr>
        <w:ind w:left="229"/>
        <w:rPr>
          <w:rFonts w:ascii="Arial"/>
          <w:b/>
          <w:sz w:val="18"/>
        </w:rPr>
      </w:pPr>
      <w:r>
        <w:rPr>
          <w:rFonts w:ascii="Arial"/>
          <w:b/>
          <w:color w:val="231F20"/>
          <w:w w:val="115"/>
          <w:sz w:val="18"/>
        </w:rPr>
        <w:t>June 29, 1972</w:t>
      </w:r>
    </w:p>
    <w:p w14:paraId="4C204087" w14:textId="77777777" w:rsidR="002653E8" w:rsidRDefault="003115E3">
      <w:pPr>
        <w:spacing w:before="35" w:line="276" w:lineRule="auto"/>
        <w:ind w:left="229" w:right="1178"/>
        <w:rPr>
          <w:rFonts w:ascii="Gill Sans MT"/>
          <w:sz w:val="18"/>
        </w:rPr>
      </w:pPr>
      <w:r>
        <w:rPr>
          <w:rFonts w:ascii="Gill Sans MT"/>
          <w:color w:val="231F20"/>
          <w:w w:val="110"/>
          <w:sz w:val="18"/>
        </w:rPr>
        <w:t xml:space="preserve">On the advice of her attorney, Otto Schily, Katharina Hammerschmidt, who is wanted for supporting the </w:t>
      </w:r>
      <w:r w:rsidR="00C507A5">
        <w:rPr>
          <w:rFonts w:ascii="Gill Sans MT"/>
          <w:color w:val="231F20"/>
          <w:w w:val="110"/>
          <w:sz w:val="18"/>
        </w:rPr>
        <w:t>red army faction</w:t>
      </w:r>
      <w:r>
        <w:rPr>
          <w:rFonts w:ascii="Gill Sans MT"/>
          <w:color w:val="231F20"/>
          <w:w w:val="110"/>
          <w:sz w:val="18"/>
        </w:rPr>
        <w:t>, surrenders to the police.</w:t>
      </w:r>
    </w:p>
    <w:p w14:paraId="0C585124" w14:textId="77777777" w:rsidR="002653E8" w:rsidRDefault="002653E8">
      <w:pPr>
        <w:pStyle w:val="a3"/>
        <w:spacing w:before="6"/>
        <w:rPr>
          <w:rFonts w:ascii="Gill Sans MT"/>
        </w:rPr>
      </w:pPr>
    </w:p>
    <w:p w14:paraId="332D7A3E" w14:textId="77777777" w:rsidR="002653E8" w:rsidRDefault="003115E3">
      <w:pPr>
        <w:ind w:left="230"/>
        <w:rPr>
          <w:rFonts w:ascii="Arial"/>
          <w:b/>
          <w:sz w:val="18"/>
        </w:rPr>
      </w:pPr>
      <w:r>
        <w:rPr>
          <w:rFonts w:ascii="Arial"/>
          <w:b/>
          <w:color w:val="231F20"/>
          <w:w w:val="115"/>
          <w:sz w:val="18"/>
        </w:rPr>
        <w:t>July 7, 1972</w:t>
      </w:r>
    </w:p>
    <w:p w14:paraId="72B75DC9" w14:textId="77777777" w:rsidR="002653E8" w:rsidRDefault="003115E3">
      <w:pPr>
        <w:spacing w:before="35" w:line="276" w:lineRule="auto"/>
        <w:ind w:left="230" w:right="1178"/>
        <w:rPr>
          <w:rFonts w:ascii="Gill Sans MT" w:hAnsi="Gill Sans MT"/>
          <w:sz w:val="18"/>
        </w:rPr>
      </w:pPr>
      <w:r>
        <w:rPr>
          <w:rFonts w:ascii="Gill Sans MT" w:hAnsi="Gill Sans MT"/>
          <w:color w:val="231F20"/>
          <w:w w:val="110"/>
          <w:sz w:val="18"/>
        </w:rPr>
        <w:t xml:space="preserve">Recent </w:t>
      </w:r>
      <w:r w:rsidR="00C507A5">
        <w:rPr>
          <w:rFonts w:ascii="Gill Sans MT" w:hAnsi="Gill Sans MT"/>
          <w:color w:val="231F20"/>
          <w:w w:val="110"/>
          <w:sz w:val="18"/>
        </w:rPr>
        <w:t>red army faction</w:t>
      </w:r>
      <w:r>
        <w:rPr>
          <w:rFonts w:ascii="Gill Sans MT" w:hAnsi="Gill Sans MT"/>
          <w:color w:val="231F20"/>
          <w:w w:val="110"/>
          <w:sz w:val="18"/>
        </w:rPr>
        <w:t xml:space="preserve"> recruit Hans-Peter Konieczny is cornered by the police in Offenbach. He is persuaded to cooperate in exchange for leniency. He agrees to set up Klaus Jünschke</w:t>
      </w:r>
    </w:p>
    <w:p w14:paraId="7F95C9DF" w14:textId="77777777" w:rsidR="002653E8" w:rsidRDefault="002653E8">
      <w:pPr>
        <w:spacing w:line="276" w:lineRule="auto"/>
        <w:rPr>
          <w:rFonts w:ascii="Gill Sans MT" w:hAnsi="Gill Sans MT"/>
          <w:sz w:val="18"/>
        </w:rPr>
        <w:sectPr w:rsidR="002653E8">
          <w:footerReference w:type="even" r:id="rId506"/>
          <w:pgSz w:w="8640" w:h="12960"/>
          <w:pgMar w:top="1060" w:right="0" w:bottom="280" w:left="0" w:header="0" w:footer="0" w:gutter="0"/>
          <w:cols w:num="2" w:space="720" w:equalWidth="0">
            <w:col w:w="4260" w:space="40"/>
            <w:col w:w="4340"/>
          </w:cols>
        </w:sectPr>
      </w:pPr>
    </w:p>
    <w:p w14:paraId="306E78E8" w14:textId="77777777" w:rsidR="002653E8" w:rsidRDefault="002653E8">
      <w:pPr>
        <w:pStyle w:val="a3"/>
        <w:rPr>
          <w:rFonts w:ascii="Gill Sans MT"/>
        </w:rPr>
      </w:pPr>
    </w:p>
    <w:p w14:paraId="192130BA" w14:textId="77777777" w:rsidR="002653E8" w:rsidRDefault="002653E8">
      <w:pPr>
        <w:pStyle w:val="a3"/>
        <w:rPr>
          <w:rFonts w:ascii="Gill Sans MT"/>
        </w:rPr>
      </w:pPr>
    </w:p>
    <w:p w14:paraId="29571E3F" w14:textId="77777777" w:rsidR="002653E8" w:rsidRDefault="002653E8">
      <w:pPr>
        <w:rPr>
          <w:rFonts w:ascii="Gill Sans MT"/>
        </w:rPr>
        <w:sectPr w:rsidR="002653E8">
          <w:type w:val="continuous"/>
          <w:pgSz w:w="8640" w:h="12960"/>
          <w:pgMar w:top="0" w:right="0" w:bottom="0" w:left="0" w:header="720" w:footer="720" w:gutter="0"/>
          <w:cols w:space="720"/>
        </w:sectPr>
      </w:pPr>
    </w:p>
    <w:p w14:paraId="0E302617" w14:textId="77777777" w:rsidR="002653E8" w:rsidRDefault="002653E8">
      <w:pPr>
        <w:pStyle w:val="a3"/>
        <w:spacing w:before="6"/>
        <w:rPr>
          <w:rFonts w:ascii="Gill Sans MT"/>
          <w:sz w:val="22"/>
        </w:rPr>
      </w:pPr>
    </w:p>
    <w:p w14:paraId="6831F39B" w14:textId="77777777" w:rsidR="002653E8" w:rsidRDefault="003115E3">
      <w:pPr>
        <w:spacing w:before="1"/>
        <w:ind w:left="1327"/>
        <w:rPr>
          <w:sz w:val="18"/>
        </w:rPr>
      </w:pPr>
      <w:r>
        <w:rPr>
          <w:color w:val="231F20"/>
          <w:w w:val="120"/>
          <w:sz w:val="18"/>
        </w:rPr>
        <w:t>a chronology</w:t>
      </w:r>
      <w:r>
        <w:rPr>
          <w:color w:val="231F20"/>
          <w:sz w:val="18"/>
        </w:rPr>
        <w:t xml:space="preserve"> </w:t>
      </w:r>
    </w:p>
    <w:p w14:paraId="5F5B6470" w14:textId="77777777" w:rsidR="002653E8" w:rsidRDefault="003115E3">
      <w:pPr>
        <w:spacing w:before="5"/>
        <w:ind w:left="1327"/>
        <w:rPr>
          <w:sz w:val="18"/>
        </w:rPr>
      </w:pPr>
      <w:r>
        <w:rPr>
          <w:color w:val="231F20"/>
          <w:w w:val="115"/>
          <w:sz w:val="18"/>
        </w:rPr>
        <w:lastRenderedPageBreak/>
        <w:t>july 7, 1972</w:t>
      </w:r>
      <w:r>
        <w:rPr>
          <w:color w:val="231F20"/>
          <w:sz w:val="18"/>
        </w:rPr>
        <w:t xml:space="preserve"> </w:t>
      </w:r>
    </w:p>
    <w:p w14:paraId="50290271" w14:textId="77777777" w:rsidR="002653E8" w:rsidRDefault="003115E3">
      <w:pPr>
        <w:pStyle w:val="a3"/>
        <w:spacing w:before="5"/>
        <w:rPr>
          <w:sz w:val="18"/>
        </w:rPr>
      </w:pPr>
      <w:r>
        <w:br w:type="column"/>
      </w:r>
    </w:p>
    <w:p w14:paraId="504F7627" w14:textId="77777777" w:rsidR="002653E8" w:rsidRDefault="003115E3">
      <w:pPr>
        <w:ind w:left="1346" w:right="1141"/>
        <w:jc w:val="center"/>
        <w:rPr>
          <w:sz w:val="18"/>
        </w:rPr>
      </w:pPr>
      <w:r>
        <w:rPr>
          <w:color w:val="231F20"/>
          <w:sz w:val="18"/>
        </w:rPr>
        <w:t xml:space="preserve">591 </w:t>
      </w:r>
    </w:p>
    <w:p w14:paraId="13748C7D" w14:textId="77777777" w:rsidR="002653E8" w:rsidRDefault="002653E8">
      <w:pPr>
        <w:jc w:val="center"/>
        <w:rPr>
          <w:sz w:val="18"/>
        </w:rPr>
        <w:sectPr w:rsidR="002653E8">
          <w:type w:val="continuous"/>
          <w:pgSz w:w="8640" w:h="12960"/>
          <w:pgMar w:top="0" w:right="0" w:bottom="0" w:left="0" w:header="720" w:footer="720" w:gutter="0"/>
          <w:cols w:num="2" w:space="720" w:equalWidth="0">
            <w:col w:w="2922" w:space="2892"/>
            <w:col w:w="2826"/>
          </w:cols>
        </w:sectPr>
      </w:pPr>
    </w:p>
    <w:p w14:paraId="793E5479" w14:textId="77777777" w:rsidR="002653E8" w:rsidRDefault="003115E3">
      <w:pPr>
        <w:spacing w:before="92" w:line="276" w:lineRule="auto"/>
        <w:ind w:left="1147" w:right="-7"/>
        <w:rPr>
          <w:rFonts w:ascii="Gill Sans MT" w:hAnsi="Gill Sans MT"/>
          <w:sz w:val="18"/>
        </w:rPr>
      </w:pPr>
      <w:r>
        <w:rPr>
          <w:rFonts w:ascii="Gill Sans MT" w:hAnsi="Gill Sans MT"/>
          <w:color w:val="231F20"/>
          <w:w w:val="110"/>
          <w:sz w:val="18"/>
        </w:rPr>
        <w:lastRenderedPageBreak/>
        <w:t xml:space="preserve">and Irmgard </w:t>
      </w:r>
      <w:r>
        <w:rPr>
          <w:rFonts w:ascii="Gill Sans MT" w:hAnsi="Gill Sans MT"/>
          <w:color w:val="231F20"/>
          <w:spacing w:val="-3"/>
          <w:w w:val="110"/>
          <w:sz w:val="18"/>
        </w:rPr>
        <w:t xml:space="preserve">Möller, </w:t>
      </w:r>
      <w:r>
        <w:rPr>
          <w:rFonts w:ascii="Gill Sans MT" w:hAnsi="Gill Sans MT"/>
          <w:color w:val="231F20"/>
          <w:w w:val="110"/>
          <w:sz w:val="18"/>
        </w:rPr>
        <w:t xml:space="preserve">who are arrested two days </w:t>
      </w:r>
      <w:r>
        <w:rPr>
          <w:rFonts w:ascii="Gill Sans MT" w:hAnsi="Gill Sans MT"/>
          <w:color w:val="231F20"/>
          <w:spacing w:val="-3"/>
          <w:w w:val="110"/>
          <w:sz w:val="18"/>
        </w:rPr>
        <w:t xml:space="preserve">later. </w:t>
      </w:r>
      <w:r>
        <w:rPr>
          <w:rFonts w:ascii="Gill Sans MT" w:hAnsi="Gill Sans MT"/>
          <w:color w:val="231F20"/>
          <w:w w:val="110"/>
          <w:sz w:val="18"/>
        </w:rPr>
        <w:t>Konieczny</w:t>
      </w:r>
      <w:r>
        <w:rPr>
          <w:rFonts w:ascii="Gill Sans MT" w:hAnsi="Gill Sans MT"/>
          <w:color w:val="231F20"/>
          <w:spacing w:val="-35"/>
          <w:w w:val="110"/>
          <w:sz w:val="18"/>
        </w:rPr>
        <w:t xml:space="preserve"> </w:t>
      </w:r>
      <w:r>
        <w:rPr>
          <w:rFonts w:ascii="Gill Sans MT" w:hAnsi="Gill Sans MT"/>
          <w:color w:val="231F20"/>
          <w:w w:val="110"/>
          <w:sz w:val="18"/>
        </w:rPr>
        <w:t>is released two months</w:t>
      </w:r>
      <w:r>
        <w:rPr>
          <w:rFonts w:ascii="Gill Sans MT" w:hAnsi="Gill Sans MT"/>
          <w:color w:val="231F20"/>
          <w:spacing w:val="-15"/>
          <w:w w:val="110"/>
          <w:sz w:val="18"/>
        </w:rPr>
        <w:t xml:space="preserve"> </w:t>
      </w:r>
      <w:r>
        <w:rPr>
          <w:rFonts w:ascii="Gill Sans MT" w:hAnsi="Gill Sans MT"/>
          <w:color w:val="231F20"/>
          <w:spacing w:val="-3"/>
          <w:w w:val="110"/>
          <w:sz w:val="18"/>
        </w:rPr>
        <w:t>later.</w:t>
      </w:r>
    </w:p>
    <w:p w14:paraId="673BA795" w14:textId="77777777" w:rsidR="002653E8" w:rsidRDefault="002653E8">
      <w:pPr>
        <w:pStyle w:val="a3"/>
        <w:spacing w:before="7"/>
        <w:rPr>
          <w:rFonts w:ascii="Gill Sans MT"/>
        </w:rPr>
      </w:pPr>
    </w:p>
    <w:p w14:paraId="7698E242" w14:textId="77777777" w:rsidR="002653E8" w:rsidRDefault="003115E3">
      <w:pPr>
        <w:ind w:left="1147"/>
        <w:rPr>
          <w:rFonts w:ascii="Arial"/>
          <w:b/>
          <w:sz w:val="18"/>
        </w:rPr>
      </w:pPr>
      <w:r>
        <w:rPr>
          <w:rFonts w:ascii="Arial"/>
          <w:b/>
          <w:color w:val="231F20"/>
          <w:w w:val="115"/>
          <w:sz w:val="18"/>
        </w:rPr>
        <w:t>July 13, 1972</w:t>
      </w:r>
    </w:p>
    <w:p w14:paraId="622CE3BA" w14:textId="77777777" w:rsidR="002653E8" w:rsidRDefault="003115E3">
      <w:pPr>
        <w:spacing w:before="34" w:line="276" w:lineRule="auto"/>
        <w:ind w:left="1147" w:right="-16"/>
        <w:rPr>
          <w:rFonts w:ascii="Gill Sans MT" w:hAnsi="Gill Sans MT"/>
          <w:sz w:val="18"/>
        </w:rPr>
      </w:pPr>
      <w:r>
        <w:rPr>
          <w:rFonts w:ascii="Gill Sans MT" w:hAnsi="Gill Sans MT"/>
          <w:color w:val="231F20"/>
          <w:w w:val="115"/>
          <w:sz w:val="18"/>
        </w:rPr>
        <w:t>Attorney</w:t>
      </w:r>
      <w:r>
        <w:rPr>
          <w:rFonts w:ascii="Gill Sans MT" w:hAnsi="Gill Sans MT"/>
          <w:color w:val="231F20"/>
          <w:spacing w:val="-15"/>
          <w:w w:val="115"/>
          <w:sz w:val="18"/>
        </w:rPr>
        <w:t xml:space="preserve"> </w:t>
      </w:r>
      <w:r>
        <w:rPr>
          <w:rFonts w:ascii="Gill Sans MT" w:hAnsi="Gill Sans MT"/>
          <w:color w:val="231F20"/>
          <w:w w:val="115"/>
          <w:sz w:val="18"/>
        </w:rPr>
        <w:t>Jörg</w:t>
      </w:r>
      <w:r>
        <w:rPr>
          <w:rFonts w:ascii="Gill Sans MT" w:hAnsi="Gill Sans MT"/>
          <w:color w:val="231F20"/>
          <w:spacing w:val="-15"/>
          <w:w w:val="115"/>
          <w:sz w:val="18"/>
        </w:rPr>
        <w:t xml:space="preserve"> </w:t>
      </w:r>
      <w:r>
        <w:rPr>
          <w:rFonts w:ascii="Gill Sans MT" w:hAnsi="Gill Sans MT"/>
          <w:color w:val="231F20"/>
          <w:w w:val="115"/>
          <w:sz w:val="18"/>
        </w:rPr>
        <w:t>Lang,</w:t>
      </w:r>
      <w:r>
        <w:rPr>
          <w:rFonts w:ascii="Gill Sans MT" w:hAnsi="Gill Sans MT"/>
          <w:color w:val="231F20"/>
          <w:spacing w:val="-15"/>
          <w:w w:val="115"/>
          <w:sz w:val="18"/>
        </w:rPr>
        <w:t xml:space="preserve"> </w:t>
      </w:r>
      <w:r>
        <w:rPr>
          <w:rFonts w:ascii="Gill Sans MT" w:hAnsi="Gill Sans MT"/>
          <w:color w:val="231F20"/>
          <w:w w:val="115"/>
          <w:sz w:val="18"/>
        </w:rPr>
        <w:t>who</w:t>
      </w:r>
      <w:r>
        <w:rPr>
          <w:rFonts w:ascii="Gill Sans MT" w:hAnsi="Gill Sans MT"/>
          <w:color w:val="231F20"/>
          <w:spacing w:val="-15"/>
          <w:w w:val="115"/>
          <w:sz w:val="18"/>
        </w:rPr>
        <w:t xml:space="preserve"> </w:t>
      </w:r>
      <w:r>
        <w:rPr>
          <w:rFonts w:ascii="Gill Sans MT" w:hAnsi="Gill Sans MT"/>
          <w:color w:val="231F20"/>
          <w:w w:val="115"/>
          <w:sz w:val="18"/>
        </w:rPr>
        <w:t>is</w:t>
      </w:r>
      <w:r>
        <w:rPr>
          <w:rFonts w:ascii="Gill Sans MT" w:hAnsi="Gill Sans MT"/>
          <w:color w:val="231F20"/>
          <w:spacing w:val="-15"/>
          <w:w w:val="115"/>
          <w:sz w:val="18"/>
        </w:rPr>
        <w:t xml:space="preserve"> </w:t>
      </w:r>
      <w:r>
        <w:rPr>
          <w:rFonts w:ascii="Gill Sans MT" w:hAnsi="Gill Sans MT"/>
          <w:color w:val="231F20"/>
          <w:w w:val="115"/>
          <w:sz w:val="18"/>
        </w:rPr>
        <w:t>believed to</w:t>
      </w:r>
      <w:r>
        <w:rPr>
          <w:rFonts w:ascii="Gill Sans MT" w:hAnsi="Gill Sans MT"/>
          <w:color w:val="231F20"/>
          <w:spacing w:val="-33"/>
          <w:w w:val="115"/>
          <w:sz w:val="18"/>
        </w:rPr>
        <w:t xml:space="preserve"> </w:t>
      </w:r>
      <w:r>
        <w:rPr>
          <w:rFonts w:ascii="Gill Sans MT" w:hAnsi="Gill Sans MT"/>
          <w:color w:val="231F20"/>
          <w:w w:val="115"/>
          <w:sz w:val="18"/>
        </w:rPr>
        <w:t>have</w:t>
      </w:r>
      <w:r>
        <w:rPr>
          <w:rFonts w:ascii="Gill Sans MT" w:hAnsi="Gill Sans MT"/>
          <w:color w:val="231F20"/>
          <w:spacing w:val="-33"/>
          <w:w w:val="115"/>
          <w:sz w:val="18"/>
        </w:rPr>
        <w:t xml:space="preserve"> </w:t>
      </w:r>
      <w:r>
        <w:rPr>
          <w:rFonts w:ascii="Gill Sans MT" w:hAnsi="Gill Sans MT"/>
          <w:color w:val="231F20"/>
          <w:w w:val="115"/>
          <w:sz w:val="18"/>
        </w:rPr>
        <w:t>introduced</w:t>
      </w:r>
      <w:r>
        <w:rPr>
          <w:rFonts w:ascii="Gill Sans MT" w:hAnsi="Gill Sans MT"/>
          <w:color w:val="231F20"/>
          <w:spacing w:val="-33"/>
          <w:w w:val="115"/>
          <w:sz w:val="18"/>
        </w:rPr>
        <w:t xml:space="preserve"> </w:t>
      </w:r>
      <w:r>
        <w:rPr>
          <w:rFonts w:ascii="Gill Sans MT" w:hAnsi="Gill Sans MT"/>
          <w:color w:val="231F20"/>
          <w:w w:val="115"/>
          <w:sz w:val="18"/>
        </w:rPr>
        <w:t>Konieczny</w:t>
      </w:r>
      <w:r>
        <w:rPr>
          <w:rFonts w:ascii="Gill Sans MT" w:hAnsi="Gill Sans MT"/>
          <w:color w:val="231F20"/>
          <w:spacing w:val="-33"/>
          <w:w w:val="115"/>
          <w:sz w:val="18"/>
        </w:rPr>
        <w:t xml:space="preserve"> </w:t>
      </w:r>
      <w:r>
        <w:rPr>
          <w:rFonts w:ascii="Gill Sans MT" w:hAnsi="Gill Sans MT"/>
          <w:color w:val="231F20"/>
          <w:w w:val="115"/>
          <w:sz w:val="18"/>
        </w:rPr>
        <w:t>to</w:t>
      </w:r>
      <w:r>
        <w:rPr>
          <w:rFonts w:ascii="Gill Sans MT" w:hAnsi="Gill Sans MT"/>
          <w:color w:val="231F20"/>
          <w:spacing w:val="-33"/>
          <w:w w:val="115"/>
          <w:sz w:val="18"/>
        </w:rPr>
        <w:t xml:space="preserve"> </w:t>
      </w:r>
      <w:r>
        <w:rPr>
          <w:rFonts w:ascii="Gill Sans MT" w:hAnsi="Gill Sans MT"/>
          <w:color w:val="231F20"/>
          <w:w w:val="115"/>
          <w:sz w:val="18"/>
        </w:rPr>
        <w:t>the</w:t>
      </w:r>
      <w:r>
        <w:rPr>
          <w:rFonts w:ascii="Gill Sans MT" w:hAnsi="Gill Sans MT"/>
          <w:color w:val="231F20"/>
          <w:w w:val="111"/>
          <w:sz w:val="18"/>
        </w:rPr>
        <w:t xml:space="preserve"> </w:t>
      </w:r>
      <w:r w:rsidR="00C507A5">
        <w:rPr>
          <w:rFonts w:ascii="Gill Sans MT" w:hAnsi="Gill Sans MT"/>
          <w:color w:val="231F20"/>
          <w:spacing w:val="-8"/>
          <w:w w:val="115"/>
          <w:sz w:val="18"/>
        </w:rPr>
        <w:t>red army faction</w:t>
      </w:r>
      <w:r>
        <w:rPr>
          <w:rFonts w:ascii="Gill Sans MT" w:hAnsi="Gill Sans MT"/>
          <w:color w:val="231F20"/>
          <w:spacing w:val="-8"/>
          <w:w w:val="115"/>
          <w:sz w:val="18"/>
        </w:rPr>
        <w:t xml:space="preserve">, </w:t>
      </w:r>
      <w:r>
        <w:rPr>
          <w:rFonts w:ascii="Gill Sans MT" w:hAnsi="Gill Sans MT"/>
          <w:color w:val="231F20"/>
          <w:w w:val="115"/>
          <w:sz w:val="18"/>
        </w:rPr>
        <w:t>is arrested and charged with acquiring</w:t>
      </w:r>
      <w:r>
        <w:rPr>
          <w:rFonts w:ascii="Gill Sans MT" w:hAnsi="Gill Sans MT"/>
          <w:color w:val="231F20"/>
          <w:spacing w:val="-16"/>
          <w:w w:val="115"/>
          <w:sz w:val="18"/>
        </w:rPr>
        <w:t xml:space="preserve"> </w:t>
      </w:r>
      <w:r>
        <w:rPr>
          <w:rFonts w:ascii="Gill Sans MT" w:hAnsi="Gill Sans MT"/>
          <w:color w:val="231F20"/>
          <w:w w:val="115"/>
          <w:sz w:val="18"/>
        </w:rPr>
        <w:t>safehouses</w:t>
      </w:r>
      <w:r>
        <w:rPr>
          <w:rFonts w:ascii="Gill Sans MT" w:hAnsi="Gill Sans MT"/>
          <w:color w:val="231F20"/>
          <w:spacing w:val="-16"/>
          <w:w w:val="115"/>
          <w:sz w:val="18"/>
        </w:rPr>
        <w:t xml:space="preserve"> </w:t>
      </w:r>
      <w:r>
        <w:rPr>
          <w:rFonts w:ascii="Gill Sans MT" w:hAnsi="Gill Sans MT"/>
          <w:color w:val="231F20"/>
          <w:w w:val="115"/>
          <w:sz w:val="18"/>
        </w:rPr>
        <w:t>for</w:t>
      </w:r>
      <w:r>
        <w:rPr>
          <w:rFonts w:ascii="Gill Sans MT" w:hAnsi="Gill Sans MT"/>
          <w:color w:val="231F20"/>
          <w:spacing w:val="-16"/>
          <w:w w:val="115"/>
          <w:sz w:val="18"/>
        </w:rPr>
        <w:t xml:space="preserve"> </w:t>
      </w:r>
      <w:r>
        <w:rPr>
          <w:rFonts w:ascii="Gill Sans MT" w:hAnsi="Gill Sans MT"/>
          <w:color w:val="231F20"/>
          <w:w w:val="115"/>
          <w:sz w:val="18"/>
        </w:rPr>
        <w:t>the</w:t>
      </w:r>
      <w:r>
        <w:rPr>
          <w:rFonts w:ascii="Gill Sans MT" w:hAnsi="Gill Sans MT"/>
          <w:color w:val="231F20"/>
          <w:spacing w:val="-16"/>
          <w:w w:val="115"/>
          <w:sz w:val="18"/>
        </w:rPr>
        <w:t xml:space="preserve"> </w:t>
      </w:r>
      <w:r>
        <w:rPr>
          <w:rFonts w:ascii="Gill Sans MT" w:hAnsi="Gill Sans MT"/>
          <w:color w:val="231F20"/>
          <w:w w:val="115"/>
          <w:sz w:val="18"/>
        </w:rPr>
        <w:t>group.</w:t>
      </w:r>
    </w:p>
    <w:p w14:paraId="6F294A2F" w14:textId="77777777" w:rsidR="002653E8" w:rsidRDefault="002653E8">
      <w:pPr>
        <w:pStyle w:val="a3"/>
        <w:spacing w:before="6"/>
        <w:rPr>
          <w:rFonts w:ascii="Gill Sans MT"/>
        </w:rPr>
      </w:pPr>
    </w:p>
    <w:p w14:paraId="1E0FD155" w14:textId="77777777" w:rsidR="002653E8" w:rsidRDefault="003115E3">
      <w:pPr>
        <w:spacing w:before="1"/>
        <w:ind w:left="1147"/>
        <w:rPr>
          <w:rFonts w:ascii="Arial"/>
          <w:b/>
          <w:sz w:val="18"/>
        </w:rPr>
      </w:pPr>
      <w:r>
        <w:rPr>
          <w:rFonts w:ascii="Arial"/>
          <w:b/>
          <w:color w:val="231F20"/>
          <w:w w:val="115"/>
          <w:sz w:val="18"/>
        </w:rPr>
        <w:t>July 9, 1972</w:t>
      </w:r>
    </w:p>
    <w:p w14:paraId="5FDE5EDA" w14:textId="77777777" w:rsidR="002653E8" w:rsidRDefault="00C507A5">
      <w:pPr>
        <w:spacing w:before="34" w:line="276" w:lineRule="auto"/>
        <w:ind w:left="1147" w:right="-7"/>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members Irmgard Möller and Klaus Jünschke are arrested in Offenbach, set up with the help of Konieczny.</w:t>
      </w:r>
    </w:p>
    <w:p w14:paraId="70E9BB24" w14:textId="77777777" w:rsidR="002653E8" w:rsidRDefault="002653E8">
      <w:pPr>
        <w:pStyle w:val="a3"/>
        <w:spacing w:before="6"/>
        <w:rPr>
          <w:rFonts w:ascii="Gill Sans MT"/>
        </w:rPr>
      </w:pPr>
    </w:p>
    <w:p w14:paraId="51BD4E23" w14:textId="77777777" w:rsidR="002653E8" w:rsidRDefault="003115E3">
      <w:pPr>
        <w:ind w:left="1147"/>
        <w:rPr>
          <w:rFonts w:ascii="Arial"/>
          <w:b/>
          <w:sz w:val="18"/>
        </w:rPr>
      </w:pPr>
      <w:r>
        <w:rPr>
          <w:rFonts w:ascii="Arial"/>
          <w:b/>
          <w:color w:val="231F20"/>
          <w:w w:val="115"/>
          <w:sz w:val="18"/>
        </w:rPr>
        <w:t>July 26, 1972</w:t>
      </w:r>
    </w:p>
    <w:p w14:paraId="666B6A81" w14:textId="77777777" w:rsidR="002653E8" w:rsidRDefault="003115E3">
      <w:pPr>
        <w:spacing w:before="35" w:line="276" w:lineRule="auto"/>
        <w:ind w:left="1147" w:right="126"/>
        <w:rPr>
          <w:rFonts w:ascii="Gill Sans MT"/>
          <w:sz w:val="18"/>
        </w:rPr>
      </w:pPr>
      <w:r>
        <w:rPr>
          <w:rFonts w:ascii="Gill Sans MT"/>
          <w:color w:val="231F20"/>
          <w:w w:val="110"/>
          <w:sz w:val="18"/>
        </w:rPr>
        <w:t xml:space="preserve">The Hamburg LG sentences </w:t>
      </w:r>
      <w:r w:rsidR="00C507A5">
        <w:rPr>
          <w:rFonts w:ascii="Gill Sans MT"/>
          <w:color w:val="231F20"/>
          <w:w w:val="110"/>
          <w:sz w:val="18"/>
        </w:rPr>
        <w:t>red army faction</w:t>
      </w:r>
      <w:r>
        <w:rPr>
          <w:rFonts w:ascii="Gill Sans MT"/>
          <w:color w:val="231F20"/>
          <w:w w:val="110"/>
          <w:sz w:val="18"/>
        </w:rPr>
        <w:t xml:space="preserve"> member Werner Hoppe, who was</w:t>
      </w:r>
      <w:r>
        <w:rPr>
          <w:rFonts w:ascii="Gill Sans MT"/>
          <w:color w:val="231F20"/>
          <w:sz w:val="18"/>
        </w:rPr>
        <w:t xml:space="preserve"> </w:t>
      </w:r>
      <w:r>
        <w:rPr>
          <w:rFonts w:ascii="Gill Sans MT"/>
          <w:color w:val="231F20"/>
          <w:w w:val="110"/>
          <w:sz w:val="18"/>
        </w:rPr>
        <w:t xml:space="preserve">captured on July </w:t>
      </w:r>
      <w:r>
        <w:rPr>
          <w:rFonts w:ascii="Arial"/>
          <w:color w:val="231F20"/>
          <w:w w:val="110"/>
          <w:sz w:val="18"/>
        </w:rPr>
        <w:t>15</w:t>
      </w:r>
      <w:r>
        <w:rPr>
          <w:rFonts w:ascii="Gill Sans MT"/>
          <w:color w:val="231F20"/>
          <w:w w:val="110"/>
          <w:sz w:val="18"/>
        </w:rPr>
        <w:t xml:space="preserve">, </w:t>
      </w:r>
      <w:r>
        <w:rPr>
          <w:rFonts w:ascii="Arial"/>
          <w:color w:val="231F20"/>
          <w:w w:val="110"/>
          <w:sz w:val="18"/>
        </w:rPr>
        <w:t>1971</w:t>
      </w:r>
      <w:r>
        <w:rPr>
          <w:rFonts w:ascii="Gill Sans MT"/>
          <w:color w:val="231F20"/>
          <w:w w:val="110"/>
          <w:sz w:val="18"/>
        </w:rPr>
        <w:t>, to ten years in prison for attempted murder.</w:t>
      </w:r>
    </w:p>
    <w:p w14:paraId="41E1D63E" w14:textId="77777777" w:rsidR="002653E8" w:rsidRDefault="002653E8">
      <w:pPr>
        <w:pStyle w:val="a3"/>
        <w:spacing w:before="4"/>
        <w:rPr>
          <w:rFonts w:ascii="Gill Sans MT"/>
        </w:rPr>
      </w:pPr>
    </w:p>
    <w:p w14:paraId="0FE4DA46" w14:textId="77777777" w:rsidR="002653E8" w:rsidRDefault="003115E3">
      <w:pPr>
        <w:spacing w:before="1" w:line="276" w:lineRule="auto"/>
        <w:ind w:left="1147" w:right="330"/>
        <w:rPr>
          <w:rFonts w:ascii="Gill Sans MT" w:hAnsi="Gill Sans MT"/>
          <w:sz w:val="18"/>
        </w:rPr>
      </w:pPr>
      <w:r>
        <w:rPr>
          <w:rFonts w:ascii="Arial" w:hAnsi="Arial"/>
          <w:b/>
          <w:color w:val="231F20"/>
          <w:w w:val="115"/>
          <w:sz w:val="18"/>
        </w:rPr>
        <w:t xml:space="preserve">September 5–6, 1972 </w:t>
      </w:r>
      <w:r>
        <w:rPr>
          <w:rFonts w:ascii="Gill Sans MT" w:hAnsi="Gill Sans MT"/>
          <w:color w:val="231F20"/>
          <w:w w:val="115"/>
          <w:sz w:val="18"/>
        </w:rPr>
        <w:t>Palestinian guerilla group Black September takes eleven Israeli athletes</w:t>
      </w:r>
      <w:r>
        <w:rPr>
          <w:rFonts w:ascii="Gill Sans MT" w:hAnsi="Gill Sans MT"/>
          <w:color w:val="231F20"/>
          <w:spacing w:val="-19"/>
          <w:w w:val="115"/>
          <w:sz w:val="18"/>
        </w:rPr>
        <w:t xml:space="preserve"> </w:t>
      </w:r>
      <w:r>
        <w:rPr>
          <w:rFonts w:ascii="Gill Sans MT" w:hAnsi="Gill Sans MT"/>
          <w:color w:val="231F20"/>
          <w:w w:val="115"/>
          <w:sz w:val="18"/>
        </w:rPr>
        <w:t>hostage</w:t>
      </w:r>
      <w:r>
        <w:rPr>
          <w:rFonts w:ascii="Gill Sans MT" w:hAnsi="Gill Sans MT"/>
          <w:color w:val="231F20"/>
          <w:spacing w:val="-19"/>
          <w:w w:val="115"/>
          <w:sz w:val="18"/>
        </w:rPr>
        <w:t xml:space="preserve"> </w:t>
      </w:r>
      <w:r>
        <w:rPr>
          <w:rFonts w:ascii="Gill Sans MT" w:hAnsi="Gill Sans MT"/>
          <w:color w:val="231F20"/>
          <w:w w:val="115"/>
          <w:sz w:val="18"/>
        </w:rPr>
        <w:t>at</w:t>
      </w:r>
      <w:r>
        <w:rPr>
          <w:rFonts w:ascii="Gill Sans MT" w:hAnsi="Gill Sans MT"/>
          <w:color w:val="231F20"/>
          <w:spacing w:val="-19"/>
          <w:w w:val="115"/>
          <w:sz w:val="18"/>
        </w:rPr>
        <w:t xml:space="preserve"> </w:t>
      </w:r>
      <w:r>
        <w:rPr>
          <w:rFonts w:ascii="Gill Sans MT" w:hAnsi="Gill Sans MT"/>
          <w:color w:val="231F20"/>
          <w:w w:val="115"/>
          <w:sz w:val="18"/>
        </w:rPr>
        <w:t>the</w:t>
      </w:r>
      <w:r>
        <w:rPr>
          <w:rFonts w:ascii="Gill Sans MT" w:hAnsi="Gill Sans MT"/>
          <w:color w:val="231F20"/>
          <w:spacing w:val="-19"/>
          <w:w w:val="115"/>
          <w:sz w:val="18"/>
        </w:rPr>
        <w:t xml:space="preserve"> </w:t>
      </w:r>
      <w:r>
        <w:rPr>
          <w:rFonts w:ascii="Gill Sans MT" w:hAnsi="Gill Sans MT"/>
          <w:color w:val="231F20"/>
          <w:w w:val="115"/>
          <w:sz w:val="18"/>
        </w:rPr>
        <w:t>Olympic Games</w:t>
      </w:r>
      <w:r>
        <w:rPr>
          <w:rFonts w:ascii="Gill Sans MT" w:hAnsi="Gill Sans MT"/>
          <w:color w:val="231F20"/>
          <w:spacing w:val="-18"/>
          <w:w w:val="115"/>
          <w:sz w:val="18"/>
        </w:rPr>
        <w:t xml:space="preserve"> </w:t>
      </w:r>
      <w:r>
        <w:rPr>
          <w:rFonts w:ascii="Gill Sans MT" w:hAnsi="Gill Sans MT"/>
          <w:color w:val="231F20"/>
          <w:w w:val="115"/>
          <w:sz w:val="18"/>
        </w:rPr>
        <w:t>in</w:t>
      </w:r>
      <w:r>
        <w:rPr>
          <w:rFonts w:ascii="Gill Sans MT" w:hAnsi="Gill Sans MT"/>
          <w:color w:val="231F20"/>
          <w:spacing w:val="-18"/>
          <w:w w:val="115"/>
          <w:sz w:val="18"/>
        </w:rPr>
        <w:t xml:space="preserve"> </w:t>
      </w:r>
      <w:r>
        <w:rPr>
          <w:rFonts w:ascii="Gill Sans MT" w:hAnsi="Gill Sans MT"/>
          <w:color w:val="231F20"/>
          <w:w w:val="115"/>
          <w:sz w:val="18"/>
        </w:rPr>
        <w:t>Munich.</w:t>
      </w:r>
      <w:r>
        <w:rPr>
          <w:rFonts w:ascii="Gill Sans MT" w:hAnsi="Gill Sans MT"/>
          <w:color w:val="231F20"/>
          <w:spacing w:val="-18"/>
          <w:w w:val="115"/>
          <w:sz w:val="18"/>
        </w:rPr>
        <w:t xml:space="preserve"> </w:t>
      </w:r>
      <w:r>
        <w:rPr>
          <w:rFonts w:ascii="Gill Sans MT" w:hAnsi="Gill Sans MT"/>
          <w:color w:val="231F20"/>
          <w:w w:val="115"/>
          <w:sz w:val="18"/>
        </w:rPr>
        <w:t>Offered</w:t>
      </w:r>
      <w:r>
        <w:rPr>
          <w:rFonts w:ascii="Gill Sans MT" w:hAnsi="Gill Sans MT"/>
          <w:color w:val="231F20"/>
          <w:spacing w:val="-18"/>
          <w:w w:val="115"/>
          <w:sz w:val="18"/>
        </w:rPr>
        <w:t xml:space="preserve"> </w:t>
      </w:r>
      <w:r>
        <w:rPr>
          <w:rFonts w:ascii="Gill Sans MT" w:hAnsi="Gill Sans MT"/>
          <w:color w:val="231F20"/>
          <w:w w:val="115"/>
          <w:sz w:val="18"/>
        </w:rPr>
        <w:t>safe passage out of the country, they</w:t>
      </w:r>
      <w:r>
        <w:rPr>
          <w:rFonts w:ascii="Gill Sans MT" w:hAnsi="Gill Sans MT"/>
          <w:color w:val="231F20"/>
          <w:spacing w:val="-15"/>
          <w:w w:val="115"/>
          <w:sz w:val="18"/>
        </w:rPr>
        <w:t xml:space="preserve"> </w:t>
      </w:r>
      <w:r>
        <w:rPr>
          <w:rFonts w:ascii="Gill Sans MT" w:hAnsi="Gill Sans MT"/>
          <w:color w:val="231F20"/>
          <w:w w:val="115"/>
          <w:sz w:val="18"/>
        </w:rPr>
        <w:t>are</w:t>
      </w:r>
      <w:r>
        <w:rPr>
          <w:rFonts w:ascii="Gill Sans MT" w:hAnsi="Gill Sans MT"/>
          <w:color w:val="231F20"/>
          <w:spacing w:val="-15"/>
          <w:w w:val="115"/>
          <w:sz w:val="18"/>
        </w:rPr>
        <w:t xml:space="preserve"> </w:t>
      </w:r>
      <w:r>
        <w:rPr>
          <w:rFonts w:ascii="Gill Sans MT" w:hAnsi="Gill Sans MT"/>
          <w:color w:val="231F20"/>
          <w:w w:val="115"/>
          <w:sz w:val="18"/>
        </w:rPr>
        <w:t>ambushed</w:t>
      </w:r>
      <w:r>
        <w:rPr>
          <w:rFonts w:ascii="Gill Sans MT" w:hAnsi="Gill Sans MT"/>
          <w:color w:val="231F20"/>
          <w:spacing w:val="-15"/>
          <w:w w:val="115"/>
          <w:sz w:val="18"/>
        </w:rPr>
        <w:t xml:space="preserve"> </w:t>
      </w:r>
      <w:r>
        <w:rPr>
          <w:rFonts w:ascii="Gill Sans MT" w:hAnsi="Gill Sans MT"/>
          <w:color w:val="231F20"/>
          <w:w w:val="115"/>
          <w:sz w:val="18"/>
        </w:rPr>
        <w:t>by</w:t>
      </w:r>
      <w:r>
        <w:rPr>
          <w:rFonts w:ascii="Gill Sans MT" w:hAnsi="Gill Sans MT"/>
          <w:color w:val="231F20"/>
          <w:spacing w:val="-15"/>
          <w:w w:val="115"/>
          <w:sz w:val="18"/>
        </w:rPr>
        <w:t xml:space="preserve"> </w:t>
      </w:r>
      <w:r>
        <w:rPr>
          <w:rFonts w:ascii="Gill Sans MT" w:hAnsi="Gill Sans MT"/>
          <w:color w:val="231F20"/>
          <w:w w:val="115"/>
          <w:sz w:val="18"/>
        </w:rPr>
        <w:t>police</w:t>
      </w:r>
      <w:r>
        <w:rPr>
          <w:rFonts w:ascii="Gill Sans MT" w:hAnsi="Gill Sans MT"/>
          <w:color w:val="231F20"/>
          <w:spacing w:val="-15"/>
          <w:w w:val="115"/>
          <w:sz w:val="18"/>
        </w:rPr>
        <w:t xml:space="preserve"> </w:t>
      </w:r>
      <w:r>
        <w:rPr>
          <w:rFonts w:ascii="Gill Sans MT" w:hAnsi="Gill Sans MT"/>
          <w:color w:val="231F20"/>
          <w:w w:val="115"/>
          <w:sz w:val="18"/>
        </w:rPr>
        <w:t>at</w:t>
      </w:r>
    </w:p>
    <w:p w14:paraId="5996696C" w14:textId="77777777" w:rsidR="002653E8" w:rsidRDefault="003115E3">
      <w:pPr>
        <w:spacing w:before="3" w:line="276" w:lineRule="auto"/>
        <w:ind w:left="1147" w:right="255"/>
        <w:jc w:val="both"/>
        <w:rPr>
          <w:rFonts w:ascii="Gill Sans MT" w:hAnsi="Gill Sans MT"/>
          <w:sz w:val="18"/>
        </w:rPr>
      </w:pPr>
      <w:r>
        <w:rPr>
          <w:rFonts w:ascii="Gill Sans MT" w:hAnsi="Gill Sans MT"/>
          <w:color w:val="231F20"/>
          <w:w w:val="110"/>
          <w:sz w:val="18"/>
        </w:rPr>
        <w:t>Fürstenfeldbruck Airport. during the ensuing shootout, the eleven athletes are executed, one cop is killed, and five of the eight Black September members are killed.</w:t>
      </w:r>
    </w:p>
    <w:p w14:paraId="7A5744B3" w14:textId="77777777" w:rsidR="002653E8" w:rsidRDefault="002653E8">
      <w:pPr>
        <w:pStyle w:val="a3"/>
        <w:spacing w:before="6"/>
        <w:rPr>
          <w:rFonts w:ascii="Gill Sans MT"/>
        </w:rPr>
      </w:pPr>
    </w:p>
    <w:p w14:paraId="00F37986" w14:textId="77777777" w:rsidR="002653E8" w:rsidRDefault="003115E3">
      <w:pPr>
        <w:ind w:left="1147"/>
        <w:rPr>
          <w:rFonts w:ascii="Arial"/>
          <w:b/>
          <w:sz w:val="18"/>
        </w:rPr>
      </w:pPr>
      <w:r>
        <w:rPr>
          <w:rFonts w:ascii="Arial"/>
          <w:b/>
          <w:color w:val="231F20"/>
          <w:w w:val="115"/>
          <w:sz w:val="18"/>
        </w:rPr>
        <w:t>September 12, 1972</w:t>
      </w:r>
    </w:p>
    <w:p w14:paraId="1789ABC6" w14:textId="77777777" w:rsidR="002653E8" w:rsidRDefault="003115E3">
      <w:pPr>
        <w:spacing w:before="35" w:line="276" w:lineRule="auto"/>
        <w:ind w:left="1147" w:right="-7"/>
        <w:rPr>
          <w:rFonts w:ascii="Gill Sans MT"/>
          <w:sz w:val="18"/>
        </w:rPr>
      </w:pPr>
      <w:r>
        <w:rPr>
          <w:rFonts w:ascii="Gill Sans MT"/>
          <w:color w:val="231F20"/>
          <w:w w:val="105"/>
          <w:sz w:val="18"/>
        </w:rPr>
        <w:t>The Interior Ministers Conference establishes the GSG-9, a special counterterrorism police unit.</w:t>
      </w:r>
    </w:p>
    <w:p w14:paraId="178F9736" w14:textId="77777777" w:rsidR="002653E8" w:rsidRDefault="003115E3">
      <w:pPr>
        <w:spacing w:before="91"/>
        <w:ind w:left="229"/>
        <w:rPr>
          <w:rFonts w:ascii="Arial"/>
          <w:b/>
          <w:sz w:val="18"/>
        </w:rPr>
      </w:pPr>
      <w:r>
        <w:br w:type="column"/>
      </w:r>
      <w:r>
        <w:rPr>
          <w:rFonts w:ascii="Arial"/>
          <w:b/>
          <w:color w:val="231F20"/>
          <w:w w:val="115"/>
          <w:sz w:val="18"/>
        </w:rPr>
        <w:t>October 3, 1972</w:t>
      </w:r>
    </w:p>
    <w:p w14:paraId="7AA8AE25" w14:textId="77777777" w:rsidR="002653E8" w:rsidRDefault="003115E3">
      <w:pPr>
        <w:spacing w:before="34" w:line="276" w:lineRule="auto"/>
        <w:ind w:left="229" w:right="1383"/>
        <w:rPr>
          <w:rFonts w:ascii="Gill Sans MT"/>
          <w:sz w:val="18"/>
        </w:rPr>
      </w:pPr>
      <w:r>
        <w:rPr>
          <w:rFonts w:ascii="Gill Sans MT"/>
          <w:color w:val="231F20"/>
          <w:w w:val="110"/>
          <w:sz w:val="18"/>
        </w:rPr>
        <w:t xml:space="preserve">The </w:t>
      </w:r>
      <w:r>
        <w:rPr>
          <w:rFonts w:ascii="Gill Sans MT"/>
          <w:color w:val="231F20"/>
          <w:spacing w:val="-3"/>
          <w:w w:val="110"/>
          <w:sz w:val="18"/>
        </w:rPr>
        <w:t xml:space="preserve">West </w:t>
      </w:r>
      <w:r>
        <w:rPr>
          <w:rFonts w:ascii="Gill Sans MT"/>
          <w:color w:val="231F20"/>
          <w:w w:val="110"/>
          <w:sz w:val="18"/>
        </w:rPr>
        <w:t xml:space="preserve">German government bans General union of Palestinian Workers and the General union of Palestinian Students. Approximately one hundred Palestinians are expelled from </w:t>
      </w:r>
      <w:r>
        <w:rPr>
          <w:rFonts w:ascii="Gill Sans MT"/>
          <w:color w:val="231F20"/>
          <w:spacing w:val="-3"/>
          <w:w w:val="110"/>
          <w:sz w:val="18"/>
        </w:rPr>
        <w:t>West</w:t>
      </w:r>
      <w:r>
        <w:rPr>
          <w:rFonts w:ascii="Gill Sans MT"/>
          <w:color w:val="231F20"/>
          <w:spacing w:val="-22"/>
          <w:w w:val="110"/>
          <w:sz w:val="18"/>
        </w:rPr>
        <w:t xml:space="preserve"> </w:t>
      </w:r>
      <w:r>
        <w:rPr>
          <w:rFonts w:ascii="Gill Sans MT"/>
          <w:color w:val="231F20"/>
          <w:w w:val="110"/>
          <w:sz w:val="18"/>
        </w:rPr>
        <w:t>Germany.</w:t>
      </w:r>
    </w:p>
    <w:p w14:paraId="342DBA7D" w14:textId="77777777" w:rsidR="002653E8" w:rsidRDefault="002653E8">
      <w:pPr>
        <w:pStyle w:val="a3"/>
        <w:spacing w:before="6"/>
        <w:rPr>
          <w:rFonts w:ascii="Gill Sans MT"/>
        </w:rPr>
      </w:pPr>
    </w:p>
    <w:p w14:paraId="59582500" w14:textId="77777777" w:rsidR="002653E8" w:rsidRDefault="003115E3">
      <w:pPr>
        <w:spacing w:before="1"/>
        <w:ind w:left="229"/>
        <w:rPr>
          <w:rFonts w:ascii="Arial"/>
          <w:b/>
          <w:sz w:val="18"/>
        </w:rPr>
      </w:pPr>
      <w:r>
        <w:rPr>
          <w:rFonts w:ascii="Arial"/>
          <w:b/>
          <w:color w:val="231F20"/>
          <w:w w:val="115"/>
          <w:sz w:val="18"/>
        </w:rPr>
        <w:t>October 29, 1972</w:t>
      </w:r>
    </w:p>
    <w:p w14:paraId="259057CE" w14:textId="77777777" w:rsidR="002653E8" w:rsidRDefault="003115E3">
      <w:pPr>
        <w:spacing w:before="34" w:line="276" w:lineRule="auto"/>
        <w:ind w:left="229" w:right="1310"/>
        <w:rPr>
          <w:rFonts w:ascii="Gill Sans MT"/>
          <w:sz w:val="18"/>
        </w:rPr>
      </w:pPr>
      <w:r>
        <w:rPr>
          <w:rFonts w:ascii="Gill Sans MT"/>
          <w:color w:val="231F20"/>
          <w:w w:val="115"/>
          <w:sz w:val="18"/>
        </w:rPr>
        <w:t>The Palestinian guerilla group Black September hijacks an airplane</w:t>
      </w:r>
    </w:p>
    <w:p w14:paraId="2D853568" w14:textId="77777777" w:rsidR="002653E8" w:rsidRDefault="003115E3">
      <w:pPr>
        <w:spacing w:line="276" w:lineRule="auto"/>
        <w:ind w:left="229" w:right="1435"/>
        <w:rPr>
          <w:rFonts w:ascii="Gill Sans MT"/>
          <w:sz w:val="18"/>
        </w:rPr>
      </w:pPr>
      <w:r>
        <w:rPr>
          <w:rFonts w:ascii="Gill Sans MT"/>
          <w:color w:val="231F20"/>
          <w:w w:val="115"/>
          <w:sz w:val="18"/>
        </w:rPr>
        <w:t>and demands the release of the three</w:t>
      </w:r>
      <w:r>
        <w:rPr>
          <w:rFonts w:ascii="Gill Sans MT"/>
          <w:color w:val="231F20"/>
          <w:spacing w:val="-34"/>
          <w:w w:val="115"/>
          <w:sz w:val="18"/>
        </w:rPr>
        <w:t xml:space="preserve"> </w:t>
      </w:r>
      <w:r>
        <w:rPr>
          <w:rFonts w:ascii="Gill Sans MT"/>
          <w:color w:val="231F20"/>
          <w:w w:val="115"/>
          <w:sz w:val="18"/>
        </w:rPr>
        <w:t>Palestinians</w:t>
      </w:r>
      <w:r>
        <w:rPr>
          <w:rFonts w:ascii="Gill Sans MT"/>
          <w:color w:val="231F20"/>
          <w:spacing w:val="-34"/>
          <w:w w:val="115"/>
          <w:sz w:val="18"/>
        </w:rPr>
        <w:t xml:space="preserve"> </w:t>
      </w:r>
      <w:r>
        <w:rPr>
          <w:rFonts w:ascii="Gill Sans MT"/>
          <w:color w:val="231F20"/>
          <w:w w:val="115"/>
          <w:sz w:val="18"/>
        </w:rPr>
        <w:t>who</w:t>
      </w:r>
      <w:r>
        <w:rPr>
          <w:rFonts w:ascii="Gill Sans MT"/>
          <w:color w:val="231F20"/>
          <w:spacing w:val="-34"/>
          <w:w w:val="115"/>
          <w:sz w:val="18"/>
        </w:rPr>
        <w:t xml:space="preserve"> </w:t>
      </w:r>
      <w:r>
        <w:rPr>
          <w:rFonts w:ascii="Gill Sans MT"/>
          <w:color w:val="231F20"/>
          <w:w w:val="115"/>
          <w:sz w:val="18"/>
        </w:rPr>
        <w:t>survived</w:t>
      </w:r>
      <w:r>
        <w:rPr>
          <w:rFonts w:ascii="Gill Sans MT"/>
          <w:color w:val="231F20"/>
          <w:spacing w:val="-34"/>
          <w:w w:val="115"/>
          <w:sz w:val="18"/>
        </w:rPr>
        <w:t xml:space="preserve"> </w:t>
      </w:r>
      <w:r>
        <w:rPr>
          <w:rFonts w:ascii="Gill Sans MT"/>
          <w:color w:val="231F20"/>
          <w:w w:val="115"/>
          <w:sz w:val="18"/>
        </w:rPr>
        <w:t>the</w:t>
      </w:r>
      <w:r>
        <w:rPr>
          <w:rFonts w:ascii="Gill Sans MT"/>
          <w:color w:val="231F20"/>
          <w:w w:val="111"/>
          <w:sz w:val="18"/>
        </w:rPr>
        <w:t xml:space="preserve"> </w:t>
      </w:r>
      <w:r>
        <w:rPr>
          <w:rFonts w:ascii="Gill Sans MT"/>
          <w:color w:val="231F20"/>
          <w:w w:val="115"/>
          <w:sz w:val="18"/>
        </w:rPr>
        <w:t xml:space="preserve">September </w:t>
      </w:r>
      <w:r>
        <w:rPr>
          <w:rFonts w:ascii="Arial"/>
          <w:color w:val="231F20"/>
          <w:w w:val="115"/>
          <w:sz w:val="18"/>
        </w:rPr>
        <w:t xml:space="preserve">6 </w:t>
      </w:r>
      <w:r>
        <w:rPr>
          <w:rFonts w:ascii="Gill Sans MT"/>
          <w:color w:val="231F20"/>
          <w:w w:val="115"/>
          <w:sz w:val="18"/>
        </w:rPr>
        <w:t xml:space="preserve">shootout. This time </w:t>
      </w:r>
      <w:r>
        <w:rPr>
          <w:rFonts w:ascii="Gill Sans MT"/>
          <w:color w:val="231F20"/>
          <w:spacing w:val="-3"/>
          <w:w w:val="115"/>
          <w:sz w:val="18"/>
        </w:rPr>
        <w:t xml:space="preserve">West </w:t>
      </w:r>
      <w:r>
        <w:rPr>
          <w:rFonts w:ascii="Gill Sans MT"/>
          <w:color w:val="231F20"/>
          <w:w w:val="115"/>
          <w:sz w:val="18"/>
        </w:rPr>
        <w:t>Germany</w:t>
      </w:r>
      <w:r>
        <w:rPr>
          <w:rFonts w:ascii="Gill Sans MT"/>
          <w:color w:val="231F20"/>
          <w:spacing w:val="-24"/>
          <w:w w:val="115"/>
          <w:sz w:val="18"/>
        </w:rPr>
        <w:t xml:space="preserve"> </w:t>
      </w:r>
      <w:r>
        <w:rPr>
          <w:rFonts w:ascii="Gill Sans MT"/>
          <w:color w:val="231F20"/>
          <w:w w:val="115"/>
          <w:sz w:val="18"/>
        </w:rPr>
        <w:t>acquiesces.</w:t>
      </w:r>
    </w:p>
    <w:p w14:paraId="6A5E99C4" w14:textId="77777777" w:rsidR="002653E8" w:rsidRDefault="002653E8">
      <w:pPr>
        <w:pStyle w:val="a3"/>
        <w:spacing w:before="4"/>
        <w:rPr>
          <w:rFonts w:ascii="Gill Sans MT"/>
        </w:rPr>
      </w:pPr>
    </w:p>
    <w:p w14:paraId="4A3DDCE1" w14:textId="77777777" w:rsidR="002653E8" w:rsidRDefault="003115E3">
      <w:pPr>
        <w:ind w:left="229"/>
        <w:rPr>
          <w:rFonts w:ascii="Arial"/>
          <w:b/>
          <w:sz w:val="18"/>
        </w:rPr>
      </w:pPr>
      <w:r>
        <w:rPr>
          <w:rFonts w:ascii="Arial"/>
          <w:b/>
          <w:color w:val="231F20"/>
          <w:w w:val="115"/>
          <w:sz w:val="18"/>
        </w:rPr>
        <w:t>November 1972</w:t>
      </w:r>
    </w:p>
    <w:p w14:paraId="424F7410" w14:textId="77777777" w:rsidR="002653E8" w:rsidRDefault="003115E3">
      <w:pPr>
        <w:spacing w:before="35" w:line="271" w:lineRule="auto"/>
        <w:ind w:left="229" w:right="1384"/>
        <w:rPr>
          <w:rFonts w:ascii="Gill Sans MT" w:hAnsi="Gill Sans MT"/>
          <w:sz w:val="18"/>
        </w:rPr>
      </w:pPr>
      <w:r>
        <w:rPr>
          <w:rFonts w:ascii="Gill Sans MT" w:hAnsi="Gill Sans MT"/>
          <w:color w:val="231F20"/>
          <w:sz w:val="18"/>
        </w:rPr>
        <w:t xml:space="preserve">The </w:t>
      </w:r>
      <w:r w:rsidR="00C507A5">
        <w:rPr>
          <w:rFonts w:ascii="Gill Sans MT" w:hAnsi="Gill Sans MT"/>
          <w:color w:val="231F20"/>
          <w:sz w:val="18"/>
        </w:rPr>
        <w:t>red army faction</w:t>
      </w:r>
      <w:r>
        <w:rPr>
          <w:rFonts w:ascii="Gill Sans MT" w:hAnsi="Gill Sans MT"/>
          <w:color w:val="231F20"/>
          <w:sz w:val="18"/>
        </w:rPr>
        <w:t xml:space="preserve"> releases a major</w:t>
      </w:r>
      <w:r>
        <w:rPr>
          <w:rFonts w:ascii="Gill Sans MT" w:hAnsi="Gill Sans MT"/>
          <w:color w:val="231F20"/>
          <w:spacing w:val="40"/>
          <w:sz w:val="18"/>
        </w:rPr>
        <w:t xml:space="preserve"> </w:t>
      </w:r>
      <w:r>
        <w:rPr>
          <w:rFonts w:ascii="Gill Sans MT" w:hAnsi="Gill Sans MT"/>
          <w:color w:val="231F20"/>
          <w:sz w:val="18"/>
        </w:rPr>
        <w:t xml:space="preserve">document entitled </w:t>
      </w:r>
      <w:r>
        <w:rPr>
          <w:rFonts w:ascii="Lucida Sans" w:hAnsi="Lucida Sans"/>
          <w:i/>
          <w:color w:val="231F20"/>
          <w:sz w:val="18"/>
        </w:rPr>
        <w:t xml:space="preserve">Die Aktion des Schwarzen September in München—Zur </w:t>
      </w:r>
      <w:r>
        <w:rPr>
          <w:rFonts w:ascii="Lucida Sans" w:hAnsi="Lucida Sans"/>
          <w:i/>
          <w:color w:val="231F20"/>
          <w:w w:val="95"/>
          <w:sz w:val="18"/>
        </w:rPr>
        <w:t xml:space="preserve">Strategie des antiimperialistischen </w:t>
      </w:r>
      <w:r>
        <w:rPr>
          <w:rFonts w:ascii="Lucida Sans" w:hAnsi="Lucida Sans"/>
          <w:i/>
          <w:color w:val="231F20"/>
          <w:sz w:val="18"/>
        </w:rPr>
        <w:t xml:space="preserve">kampfes </w:t>
      </w:r>
      <w:r>
        <w:rPr>
          <w:rFonts w:ascii="Gill Sans MT" w:hAnsi="Gill Sans MT"/>
          <w:color w:val="231F20"/>
          <w:sz w:val="18"/>
        </w:rPr>
        <w:t>(The Black September Action in Munich:</w:t>
      </w:r>
      <w:r>
        <w:rPr>
          <w:rFonts w:ascii="Gill Sans MT" w:hAnsi="Gill Sans MT"/>
          <w:color w:val="231F20"/>
          <w:spacing w:val="47"/>
          <w:sz w:val="18"/>
        </w:rPr>
        <w:t xml:space="preserve"> </w:t>
      </w:r>
      <w:r>
        <w:rPr>
          <w:rFonts w:ascii="Gill Sans MT" w:hAnsi="Gill Sans MT"/>
          <w:color w:val="231F20"/>
          <w:sz w:val="18"/>
        </w:rPr>
        <w:t>Regarding</w:t>
      </w:r>
    </w:p>
    <w:p w14:paraId="7D2458DC" w14:textId="77777777" w:rsidR="002653E8" w:rsidRDefault="003115E3">
      <w:pPr>
        <w:spacing w:before="3" w:line="276" w:lineRule="auto"/>
        <w:ind w:left="229" w:right="1310"/>
        <w:rPr>
          <w:rFonts w:ascii="Gill Sans MT"/>
          <w:sz w:val="18"/>
        </w:rPr>
      </w:pPr>
      <w:r>
        <w:rPr>
          <w:rFonts w:ascii="Gill Sans MT"/>
          <w:color w:val="231F20"/>
          <w:w w:val="110"/>
          <w:sz w:val="18"/>
        </w:rPr>
        <w:t>the Strategy for Anti-Imperialist Struggle). In it, they use the Black September attack in Munich as</w:t>
      </w:r>
    </w:p>
    <w:p w14:paraId="7671E1F6" w14:textId="77777777" w:rsidR="002653E8" w:rsidRDefault="003115E3">
      <w:pPr>
        <w:spacing w:line="276" w:lineRule="auto"/>
        <w:ind w:left="229" w:right="1310"/>
        <w:rPr>
          <w:rFonts w:ascii="Gill Sans MT"/>
          <w:sz w:val="18"/>
        </w:rPr>
      </w:pPr>
      <w:r>
        <w:rPr>
          <w:rFonts w:ascii="Gill Sans MT"/>
          <w:color w:val="231F20"/>
          <w:w w:val="110"/>
          <w:sz w:val="18"/>
        </w:rPr>
        <w:t>a starting point for a sweeping discussion of anti-imperialist resistance in West Germany and throughout the world.</w:t>
      </w:r>
    </w:p>
    <w:p w14:paraId="09F685E5" w14:textId="77777777" w:rsidR="002653E8" w:rsidRDefault="002653E8">
      <w:pPr>
        <w:pStyle w:val="a3"/>
        <w:rPr>
          <w:rFonts w:ascii="Gill Sans MT"/>
        </w:rPr>
      </w:pPr>
    </w:p>
    <w:p w14:paraId="517B487B" w14:textId="77777777" w:rsidR="002653E8" w:rsidRDefault="002653E8">
      <w:pPr>
        <w:pStyle w:val="a3"/>
        <w:spacing w:before="1"/>
        <w:rPr>
          <w:rFonts w:ascii="Gill Sans MT"/>
        </w:rPr>
      </w:pPr>
    </w:p>
    <w:p w14:paraId="0198698F" w14:textId="77777777" w:rsidR="002653E8" w:rsidRDefault="003115E3">
      <w:pPr>
        <w:pStyle w:val="5"/>
        <w:ind w:left="229"/>
      </w:pPr>
      <w:r>
        <w:rPr>
          <w:color w:val="231F20"/>
          <w:w w:val="120"/>
        </w:rPr>
        <w:t>1973</w:t>
      </w:r>
    </w:p>
    <w:p w14:paraId="4F164261" w14:textId="77777777" w:rsidR="002653E8" w:rsidRDefault="003115E3">
      <w:pPr>
        <w:spacing w:before="12"/>
        <w:ind w:left="229"/>
        <w:rPr>
          <w:rFonts w:ascii="Arial" w:hAnsi="Arial"/>
          <w:b/>
          <w:sz w:val="18"/>
        </w:rPr>
      </w:pPr>
      <w:r>
        <w:rPr>
          <w:rFonts w:ascii="Arial" w:hAnsi="Arial"/>
          <w:b/>
          <w:color w:val="231F20"/>
          <w:w w:val="115"/>
          <w:sz w:val="18"/>
        </w:rPr>
        <w:t>Jan. 17–Feb. 16, 1973</w:t>
      </w:r>
    </w:p>
    <w:p w14:paraId="23FD5C42" w14:textId="77777777" w:rsidR="002653E8" w:rsidRDefault="003115E3">
      <w:pPr>
        <w:spacing w:before="34" w:line="276" w:lineRule="auto"/>
        <w:ind w:left="229" w:right="1442"/>
        <w:rPr>
          <w:rFonts w:ascii="Gill Sans MT" w:hAnsi="Gill Sans MT"/>
          <w:sz w:val="18"/>
        </w:rPr>
      </w:pPr>
      <w:r>
        <w:rPr>
          <w:rFonts w:ascii="Gill Sans MT" w:hAnsi="Gill Sans MT"/>
          <w:color w:val="231F20"/>
          <w:w w:val="110"/>
          <w:sz w:val="18"/>
        </w:rPr>
        <w:t xml:space="preserve">Forty </w:t>
      </w:r>
      <w:r w:rsidR="00C507A5">
        <w:rPr>
          <w:rFonts w:ascii="Gill Sans MT" w:hAnsi="Gill Sans MT"/>
          <w:color w:val="231F20"/>
          <w:w w:val="110"/>
          <w:sz w:val="18"/>
        </w:rPr>
        <w:t>red army faction</w:t>
      </w:r>
      <w:r>
        <w:rPr>
          <w:rFonts w:ascii="Gill Sans MT" w:hAnsi="Gill Sans MT"/>
          <w:color w:val="231F20"/>
          <w:w w:val="110"/>
          <w:sz w:val="18"/>
        </w:rPr>
        <w:t xml:space="preserve"> prisoners participate in the </w:t>
      </w:r>
      <w:r>
        <w:rPr>
          <w:rFonts w:ascii="Arial" w:hAnsi="Arial"/>
          <w:color w:val="231F20"/>
          <w:w w:val="110"/>
          <w:sz w:val="18"/>
        </w:rPr>
        <w:t>1</w:t>
      </w:r>
      <w:r>
        <w:rPr>
          <w:rFonts w:ascii="Gill Sans MT" w:hAnsi="Gill Sans MT"/>
          <w:color w:val="231F20"/>
          <w:w w:val="110"/>
          <w:sz w:val="18"/>
        </w:rPr>
        <w:t>st collective hunger strike, demanding access to independent doctors and transfer to the general population. Andreas Baader announces the hunger strike while testifying at Horst Mahler’s trial in West Berlin.</w:t>
      </w:r>
    </w:p>
    <w:p w14:paraId="49C906D3" w14:textId="77777777" w:rsidR="002653E8" w:rsidRDefault="002653E8">
      <w:pPr>
        <w:spacing w:line="276" w:lineRule="auto"/>
        <w:rPr>
          <w:rFonts w:ascii="Gill Sans MT" w:hAnsi="Gill Sans MT"/>
          <w:sz w:val="18"/>
        </w:rPr>
        <w:sectPr w:rsidR="002653E8">
          <w:footerReference w:type="default" r:id="rId507"/>
          <w:pgSz w:w="8640" w:h="12960"/>
          <w:pgMar w:top="1060" w:right="0" w:bottom="280" w:left="0" w:header="0" w:footer="0" w:gutter="0"/>
          <w:cols w:num="2" w:space="720" w:equalWidth="0">
            <w:col w:w="4081" w:space="40"/>
            <w:col w:w="4519"/>
          </w:cols>
        </w:sectPr>
      </w:pPr>
    </w:p>
    <w:p w14:paraId="4017A4FE" w14:textId="77777777" w:rsidR="002653E8" w:rsidRDefault="002653E8">
      <w:pPr>
        <w:pStyle w:val="a3"/>
        <w:rPr>
          <w:rFonts w:ascii="Gill Sans MT"/>
        </w:rPr>
      </w:pPr>
    </w:p>
    <w:p w14:paraId="66218408" w14:textId="77777777" w:rsidR="002653E8" w:rsidRDefault="002653E8">
      <w:pPr>
        <w:pStyle w:val="a3"/>
        <w:spacing w:before="1"/>
        <w:rPr>
          <w:rFonts w:ascii="Gill Sans MT"/>
          <w:sz w:val="23"/>
        </w:rPr>
      </w:pPr>
    </w:p>
    <w:p w14:paraId="2ED305FE" w14:textId="77777777" w:rsidR="002653E8" w:rsidRDefault="003115E3">
      <w:pPr>
        <w:tabs>
          <w:tab w:val="left" w:pos="2529"/>
        </w:tabs>
        <w:spacing w:before="97"/>
        <w:ind w:right="1300"/>
        <w:jc w:val="right"/>
        <w:rPr>
          <w:sz w:val="18"/>
        </w:rPr>
      </w:pPr>
      <w:r>
        <w:rPr>
          <w:color w:val="231F20"/>
          <w:spacing w:val="15"/>
          <w:w w:val="110"/>
          <w:position w:val="5"/>
          <w:sz w:val="18"/>
        </w:rPr>
        <w:t>592</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35"/>
          <w:w w:val="110"/>
          <w:sz w:val="18"/>
        </w:rPr>
        <w:t xml:space="preserve"> </w:t>
      </w:r>
      <w:r>
        <w:rPr>
          <w:color w:val="231F20"/>
          <w:spacing w:val="20"/>
          <w:w w:val="110"/>
          <w:sz w:val="18"/>
        </w:rPr>
        <w:t>germany</w:t>
      </w:r>
      <w:r>
        <w:rPr>
          <w:color w:val="231F20"/>
          <w:spacing w:val="-15"/>
          <w:sz w:val="18"/>
        </w:rPr>
        <w:t xml:space="preserve"> </w:t>
      </w:r>
    </w:p>
    <w:p w14:paraId="7099A801" w14:textId="77777777" w:rsidR="002653E8" w:rsidRDefault="003115E3">
      <w:pPr>
        <w:spacing w:before="5"/>
        <w:ind w:left="1212" w:right="1300"/>
        <w:jc w:val="right"/>
        <w:rPr>
          <w:sz w:val="18"/>
        </w:rPr>
      </w:pPr>
      <w:r>
        <w:rPr>
          <w:color w:val="231F20"/>
          <w:w w:val="115"/>
          <w:sz w:val="18"/>
        </w:rPr>
        <w:t>july  13, 1972</w:t>
      </w:r>
      <w:r>
        <w:rPr>
          <w:color w:val="231F20"/>
          <w:sz w:val="18"/>
        </w:rPr>
        <w:t xml:space="preserve"> </w:t>
      </w:r>
    </w:p>
    <w:p w14:paraId="51CF1A2F" w14:textId="77777777" w:rsidR="002653E8" w:rsidRDefault="002653E8">
      <w:pPr>
        <w:jc w:val="right"/>
        <w:rPr>
          <w:sz w:val="18"/>
        </w:rPr>
        <w:sectPr w:rsidR="002653E8">
          <w:type w:val="continuous"/>
          <w:pgSz w:w="8640" w:h="12960"/>
          <w:pgMar w:top="0" w:right="0" w:bottom="0" w:left="0" w:header="720" w:footer="720" w:gutter="0"/>
          <w:cols w:space="720"/>
        </w:sectPr>
      </w:pPr>
    </w:p>
    <w:p w14:paraId="112C659A" w14:textId="77777777" w:rsidR="002653E8" w:rsidRDefault="003115E3">
      <w:pPr>
        <w:spacing w:before="91"/>
        <w:ind w:left="1327"/>
        <w:rPr>
          <w:rFonts w:ascii="Arial"/>
          <w:b/>
          <w:sz w:val="18"/>
        </w:rPr>
      </w:pPr>
      <w:r>
        <w:rPr>
          <w:rFonts w:ascii="Arial"/>
          <w:b/>
          <w:color w:val="231F20"/>
          <w:w w:val="115"/>
          <w:sz w:val="18"/>
        </w:rPr>
        <w:lastRenderedPageBreak/>
        <w:t>February 1973</w:t>
      </w:r>
    </w:p>
    <w:p w14:paraId="6F428754" w14:textId="77777777" w:rsidR="002653E8" w:rsidRDefault="00C507A5">
      <w:pPr>
        <w:spacing w:before="34" w:line="276" w:lineRule="auto"/>
        <w:ind w:left="1327" w:right="512"/>
        <w:rPr>
          <w:rFonts w:ascii="Gill Sans MT"/>
          <w:sz w:val="18"/>
        </w:rPr>
      </w:pPr>
      <w:r>
        <w:rPr>
          <w:rFonts w:ascii="Gill Sans MT"/>
          <w:color w:val="231F20"/>
          <w:w w:val="110"/>
          <w:sz w:val="18"/>
        </w:rPr>
        <w:t>red army faction</w:t>
      </w:r>
      <w:r w:rsidR="003115E3">
        <w:rPr>
          <w:rFonts w:ascii="Gill Sans MT"/>
          <w:color w:val="231F20"/>
          <w:w w:val="110"/>
          <w:sz w:val="18"/>
        </w:rPr>
        <w:t xml:space="preserve"> member Margrit Schiller is released from prison and immediately goes back underground.</w:t>
      </w:r>
    </w:p>
    <w:p w14:paraId="664E9F2B" w14:textId="77777777" w:rsidR="002653E8" w:rsidRDefault="002653E8">
      <w:pPr>
        <w:pStyle w:val="a3"/>
        <w:spacing w:before="6"/>
        <w:rPr>
          <w:rFonts w:ascii="Gill Sans MT"/>
        </w:rPr>
      </w:pPr>
    </w:p>
    <w:p w14:paraId="713D25FC" w14:textId="77777777" w:rsidR="002653E8" w:rsidRDefault="003115E3">
      <w:pPr>
        <w:spacing w:before="1"/>
        <w:ind w:left="1327"/>
        <w:rPr>
          <w:rFonts w:ascii="Arial" w:hAnsi="Arial"/>
          <w:b/>
          <w:sz w:val="18"/>
        </w:rPr>
      </w:pPr>
      <w:r>
        <w:rPr>
          <w:rFonts w:ascii="Arial" w:hAnsi="Arial"/>
          <w:b/>
          <w:color w:val="231F20"/>
          <w:w w:val="115"/>
          <w:sz w:val="18"/>
        </w:rPr>
        <w:t>February–October 1973</w:t>
      </w:r>
    </w:p>
    <w:p w14:paraId="51E72DEE" w14:textId="77777777" w:rsidR="002653E8" w:rsidRDefault="003115E3">
      <w:pPr>
        <w:spacing w:before="34" w:line="276" w:lineRule="auto"/>
        <w:ind w:left="1327"/>
        <w:rPr>
          <w:rFonts w:ascii="Gill Sans MT"/>
          <w:sz w:val="18"/>
        </w:rPr>
      </w:pPr>
      <w:r>
        <w:rPr>
          <w:rFonts w:ascii="Gill Sans MT"/>
          <w:color w:val="231F20"/>
          <w:w w:val="110"/>
          <w:sz w:val="18"/>
        </w:rPr>
        <w:t>Tens of thousands of workers participate in wildcat strikes in the steel and auto industries.</w:t>
      </w:r>
    </w:p>
    <w:p w14:paraId="2CD9E731" w14:textId="77777777" w:rsidR="002653E8" w:rsidRDefault="002653E8">
      <w:pPr>
        <w:pStyle w:val="a3"/>
        <w:spacing w:before="6"/>
        <w:rPr>
          <w:rFonts w:ascii="Gill Sans MT"/>
        </w:rPr>
      </w:pPr>
    </w:p>
    <w:p w14:paraId="3E871393" w14:textId="77777777" w:rsidR="002653E8" w:rsidRDefault="003115E3">
      <w:pPr>
        <w:ind w:left="1327"/>
        <w:rPr>
          <w:rFonts w:ascii="Arial"/>
          <w:b/>
          <w:sz w:val="18"/>
        </w:rPr>
      </w:pPr>
      <w:r>
        <w:rPr>
          <w:rFonts w:ascii="Arial"/>
          <w:b/>
          <w:color w:val="231F20"/>
          <w:w w:val="115"/>
          <w:sz w:val="18"/>
        </w:rPr>
        <w:t>April 1973</w:t>
      </w:r>
    </w:p>
    <w:p w14:paraId="5F06C0E6" w14:textId="77777777" w:rsidR="002653E8" w:rsidRDefault="003115E3">
      <w:pPr>
        <w:spacing w:before="35" w:line="276" w:lineRule="auto"/>
        <w:ind w:left="1327" w:right="25"/>
        <w:rPr>
          <w:rFonts w:ascii="Gill Sans MT"/>
          <w:sz w:val="18"/>
        </w:rPr>
      </w:pPr>
      <w:r>
        <w:rPr>
          <w:rFonts w:ascii="Gill Sans MT"/>
          <w:color w:val="231F20"/>
          <w:w w:val="110"/>
          <w:sz w:val="18"/>
        </w:rPr>
        <w:t>The</w:t>
      </w:r>
      <w:r>
        <w:rPr>
          <w:rFonts w:ascii="Gill Sans MT"/>
          <w:color w:val="231F20"/>
          <w:spacing w:val="-14"/>
          <w:w w:val="110"/>
          <w:sz w:val="18"/>
        </w:rPr>
        <w:t xml:space="preserve"> </w:t>
      </w:r>
      <w:r>
        <w:rPr>
          <w:rFonts w:ascii="Gill Sans MT"/>
          <w:color w:val="231F20"/>
          <w:w w:val="110"/>
          <w:sz w:val="18"/>
        </w:rPr>
        <w:t>Committees</w:t>
      </w:r>
      <w:r>
        <w:rPr>
          <w:rFonts w:ascii="Gill Sans MT"/>
          <w:color w:val="231F20"/>
          <w:spacing w:val="-14"/>
          <w:w w:val="110"/>
          <w:sz w:val="18"/>
        </w:rPr>
        <w:t xml:space="preserve"> </w:t>
      </w:r>
      <w:r>
        <w:rPr>
          <w:rFonts w:ascii="Gill Sans MT"/>
          <w:color w:val="231F20"/>
          <w:w w:val="110"/>
          <w:sz w:val="18"/>
        </w:rPr>
        <w:t>Against</w:t>
      </w:r>
      <w:r>
        <w:rPr>
          <w:rFonts w:ascii="Gill Sans MT"/>
          <w:color w:val="231F20"/>
          <w:spacing w:val="-14"/>
          <w:w w:val="110"/>
          <w:sz w:val="18"/>
        </w:rPr>
        <w:t xml:space="preserve"> </w:t>
      </w:r>
      <w:r>
        <w:rPr>
          <w:rFonts w:ascii="Gill Sans MT"/>
          <w:color w:val="231F20"/>
          <w:spacing w:val="-4"/>
          <w:w w:val="110"/>
          <w:sz w:val="18"/>
        </w:rPr>
        <w:t>Torture</w:t>
      </w:r>
      <w:r>
        <w:rPr>
          <w:rFonts w:ascii="Gill Sans MT"/>
          <w:color w:val="231F20"/>
          <w:spacing w:val="-14"/>
          <w:w w:val="110"/>
          <w:sz w:val="18"/>
        </w:rPr>
        <w:t xml:space="preserve"> </w:t>
      </w:r>
      <w:r>
        <w:rPr>
          <w:rFonts w:ascii="Gill Sans MT"/>
          <w:color w:val="231F20"/>
          <w:w w:val="110"/>
          <w:sz w:val="18"/>
        </w:rPr>
        <w:t xml:space="preserve">are formed by attorneys representing the </w:t>
      </w:r>
      <w:r w:rsidR="00C507A5">
        <w:rPr>
          <w:rFonts w:ascii="Gill Sans MT"/>
          <w:color w:val="231F20"/>
          <w:w w:val="110"/>
          <w:sz w:val="18"/>
        </w:rPr>
        <w:t>red army faction</w:t>
      </w:r>
      <w:r>
        <w:rPr>
          <w:rFonts w:ascii="Gill Sans MT"/>
          <w:color w:val="231F20"/>
          <w:w w:val="110"/>
          <w:sz w:val="18"/>
        </w:rPr>
        <w:t xml:space="preserve"> prisoners; their express purpose is to focus public attention on the struggle of the </w:t>
      </w:r>
      <w:r w:rsidR="00C507A5">
        <w:rPr>
          <w:rFonts w:ascii="Gill Sans MT"/>
          <w:color w:val="231F20"/>
          <w:w w:val="110"/>
          <w:sz w:val="18"/>
        </w:rPr>
        <w:t>red army faction</w:t>
      </w:r>
      <w:r>
        <w:rPr>
          <w:rFonts w:ascii="Gill Sans MT"/>
          <w:color w:val="231F20"/>
          <w:w w:val="110"/>
          <w:sz w:val="18"/>
        </w:rPr>
        <w:t xml:space="preserve">  prisoners against destructive prison conditions.</w:t>
      </w:r>
    </w:p>
    <w:p w14:paraId="212310DF" w14:textId="77777777" w:rsidR="002653E8" w:rsidRDefault="002653E8">
      <w:pPr>
        <w:pStyle w:val="a3"/>
        <w:spacing w:before="6"/>
        <w:rPr>
          <w:rFonts w:ascii="Gill Sans MT"/>
        </w:rPr>
      </w:pPr>
    </w:p>
    <w:p w14:paraId="594B0244" w14:textId="77777777" w:rsidR="002653E8" w:rsidRDefault="003115E3">
      <w:pPr>
        <w:ind w:left="1327"/>
        <w:rPr>
          <w:rFonts w:ascii="Arial" w:hAnsi="Arial"/>
          <w:b/>
          <w:sz w:val="18"/>
        </w:rPr>
      </w:pPr>
      <w:r>
        <w:rPr>
          <w:rFonts w:ascii="Arial" w:hAnsi="Arial"/>
          <w:b/>
          <w:color w:val="231F20"/>
          <w:w w:val="115"/>
          <w:sz w:val="18"/>
        </w:rPr>
        <w:t>May 8–June 29, 1973</w:t>
      </w:r>
    </w:p>
    <w:p w14:paraId="2DA2E0F1" w14:textId="77777777" w:rsidR="002653E8" w:rsidRDefault="003115E3">
      <w:pPr>
        <w:spacing w:before="35" w:line="276" w:lineRule="auto"/>
        <w:ind w:left="1327" w:right="107" w:hanging="1"/>
        <w:rPr>
          <w:rFonts w:ascii="Gill Sans MT"/>
          <w:sz w:val="18"/>
        </w:rPr>
      </w:pPr>
      <w:r>
        <w:rPr>
          <w:rFonts w:ascii="Gill Sans MT"/>
          <w:color w:val="231F20"/>
          <w:w w:val="110"/>
          <w:sz w:val="18"/>
        </w:rPr>
        <w:t xml:space="preserve">Sixty </w:t>
      </w:r>
      <w:r w:rsidR="00C507A5">
        <w:rPr>
          <w:rFonts w:ascii="Gill Sans MT"/>
          <w:color w:val="231F20"/>
          <w:w w:val="110"/>
          <w:sz w:val="18"/>
        </w:rPr>
        <w:t>red army faction</w:t>
      </w:r>
      <w:r>
        <w:rPr>
          <w:rFonts w:ascii="Gill Sans MT"/>
          <w:color w:val="231F20"/>
          <w:w w:val="110"/>
          <w:sz w:val="18"/>
        </w:rPr>
        <w:t xml:space="preserve"> prisoners participate in the </w:t>
      </w:r>
      <w:r>
        <w:rPr>
          <w:rFonts w:ascii="Arial"/>
          <w:color w:val="231F20"/>
          <w:w w:val="110"/>
          <w:sz w:val="18"/>
        </w:rPr>
        <w:t>2</w:t>
      </w:r>
      <w:r>
        <w:rPr>
          <w:rFonts w:ascii="Gill Sans MT"/>
          <w:color w:val="231F20"/>
          <w:w w:val="110"/>
          <w:sz w:val="18"/>
        </w:rPr>
        <w:t>nd collective hunger strike, demanding an end to special treatments and free access to political information.</w:t>
      </w:r>
    </w:p>
    <w:p w14:paraId="5C9C4927" w14:textId="77777777" w:rsidR="002653E8" w:rsidRDefault="002653E8">
      <w:pPr>
        <w:pStyle w:val="a3"/>
        <w:spacing w:before="4"/>
        <w:rPr>
          <w:rFonts w:ascii="Gill Sans MT"/>
        </w:rPr>
      </w:pPr>
    </w:p>
    <w:p w14:paraId="72AF4192" w14:textId="77777777" w:rsidR="002653E8" w:rsidRDefault="003115E3">
      <w:pPr>
        <w:ind w:left="1327"/>
        <w:rPr>
          <w:rFonts w:ascii="Arial"/>
          <w:b/>
          <w:sz w:val="18"/>
        </w:rPr>
      </w:pPr>
      <w:r>
        <w:rPr>
          <w:rFonts w:ascii="Arial"/>
          <w:b/>
          <w:color w:val="231F20"/>
          <w:w w:val="115"/>
          <w:sz w:val="18"/>
        </w:rPr>
        <w:t>July 13, 1973</w:t>
      </w:r>
    </w:p>
    <w:p w14:paraId="4873672A" w14:textId="77777777" w:rsidR="002653E8" w:rsidRDefault="003115E3">
      <w:pPr>
        <w:spacing w:before="35" w:line="276" w:lineRule="auto"/>
        <w:ind w:left="1327" w:right="315"/>
        <w:rPr>
          <w:rFonts w:ascii="Gill Sans MT"/>
          <w:sz w:val="18"/>
        </w:rPr>
      </w:pPr>
      <w:r>
        <w:rPr>
          <w:rFonts w:ascii="Gill Sans MT"/>
          <w:color w:val="231F20"/>
          <w:w w:val="115"/>
          <w:sz w:val="18"/>
        </w:rPr>
        <w:t>Federal Supreme Court Judge Knoblich rules that the state can proceed with x-rays and</w:t>
      </w:r>
    </w:p>
    <w:p w14:paraId="0E498A1B" w14:textId="77777777" w:rsidR="002653E8" w:rsidRDefault="003115E3">
      <w:pPr>
        <w:spacing w:line="276" w:lineRule="auto"/>
        <w:ind w:left="1327" w:right="107"/>
        <w:rPr>
          <w:rFonts w:ascii="Gill Sans MT" w:hAnsi="Gill Sans MT"/>
          <w:sz w:val="18"/>
        </w:rPr>
      </w:pPr>
      <w:r>
        <w:rPr>
          <w:rFonts w:ascii="Gill Sans MT" w:hAnsi="Gill Sans MT"/>
          <w:color w:val="231F20"/>
          <w:w w:val="115"/>
          <w:sz w:val="18"/>
        </w:rPr>
        <w:t>a scintigraphy (a radiographic procedure used to determine if brain</w:t>
      </w:r>
      <w:r>
        <w:rPr>
          <w:rFonts w:ascii="Gill Sans MT" w:hAnsi="Gill Sans MT"/>
          <w:color w:val="231F20"/>
          <w:spacing w:val="-27"/>
          <w:w w:val="115"/>
          <w:sz w:val="18"/>
        </w:rPr>
        <w:t xml:space="preserve"> </w:t>
      </w:r>
      <w:r>
        <w:rPr>
          <w:rFonts w:ascii="Gill Sans MT" w:hAnsi="Gill Sans MT"/>
          <w:color w:val="231F20"/>
          <w:w w:val="115"/>
          <w:sz w:val="18"/>
        </w:rPr>
        <w:t>surgery</w:t>
      </w:r>
      <w:r>
        <w:rPr>
          <w:rFonts w:ascii="Gill Sans MT" w:hAnsi="Gill Sans MT"/>
          <w:color w:val="231F20"/>
          <w:spacing w:val="-27"/>
          <w:w w:val="115"/>
          <w:sz w:val="18"/>
        </w:rPr>
        <w:t xml:space="preserve"> </w:t>
      </w:r>
      <w:r>
        <w:rPr>
          <w:rFonts w:ascii="Gill Sans MT" w:hAnsi="Gill Sans MT"/>
          <w:color w:val="231F20"/>
          <w:w w:val="115"/>
          <w:sz w:val="18"/>
        </w:rPr>
        <w:t>is</w:t>
      </w:r>
      <w:r>
        <w:rPr>
          <w:rFonts w:ascii="Gill Sans MT" w:hAnsi="Gill Sans MT"/>
          <w:color w:val="231F20"/>
          <w:spacing w:val="-27"/>
          <w:w w:val="115"/>
          <w:sz w:val="18"/>
        </w:rPr>
        <w:t xml:space="preserve"> </w:t>
      </w:r>
      <w:r>
        <w:rPr>
          <w:rFonts w:ascii="Gill Sans MT" w:hAnsi="Gill Sans MT"/>
          <w:color w:val="231F20"/>
          <w:w w:val="115"/>
          <w:sz w:val="18"/>
        </w:rPr>
        <w:t>necessary)</w:t>
      </w:r>
      <w:r>
        <w:rPr>
          <w:rFonts w:ascii="Gill Sans MT" w:hAnsi="Gill Sans MT"/>
          <w:color w:val="231F20"/>
          <w:spacing w:val="-27"/>
          <w:w w:val="115"/>
          <w:sz w:val="18"/>
        </w:rPr>
        <w:t xml:space="preserve"> </w:t>
      </w:r>
      <w:r>
        <w:rPr>
          <w:rFonts w:ascii="Gill Sans MT" w:hAnsi="Gill Sans MT"/>
          <w:color w:val="231F20"/>
          <w:w w:val="115"/>
          <w:sz w:val="18"/>
        </w:rPr>
        <w:t>on</w:t>
      </w:r>
      <w:r>
        <w:rPr>
          <w:rFonts w:ascii="Gill Sans MT" w:hAnsi="Gill Sans MT"/>
          <w:color w:val="231F20"/>
          <w:spacing w:val="-27"/>
          <w:w w:val="115"/>
          <w:sz w:val="18"/>
        </w:rPr>
        <w:t xml:space="preserve"> </w:t>
      </w:r>
      <w:r w:rsidR="00C507A5">
        <w:rPr>
          <w:rFonts w:ascii="Gill Sans MT" w:hAnsi="Gill Sans MT"/>
          <w:color w:val="231F20"/>
          <w:w w:val="115"/>
          <w:sz w:val="18"/>
        </w:rPr>
        <w:t>red army faction</w:t>
      </w:r>
      <w:r>
        <w:rPr>
          <w:rFonts w:ascii="Gill Sans MT" w:hAnsi="Gill Sans MT"/>
          <w:color w:val="231F20"/>
          <w:w w:val="115"/>
          <w:sz w:val="18"/>
        </w:rPr>
        <w:t xml:space="preserve"> prisoner ulrike Meinhof, even against her will, and with the use of</w:t>
      </w:r>
      <w:r>
        <w:rPr>
          <w:rFonts w:ascii="Gill Sans MT" w:hAnsi="Gill Sans MT"/>
          <w:color w:val="231F20"/>
          <w:spacing w:val="-27"/>
          <w:w w:val="115"/>
          <w:sz w:val="18"/>
        </w:rPr>
        <w:t xml:space="preserve"> </w:t>
      </w:r>
      <w:r>
        <w:rPr>
          <w:rFonts w:ascii="Gill Sans MT" w:hAnsi="Gill Sans MT"/>
          <w:color w:val="231F20"/>
          <w:w w:val="115"/>
          <w:sz w:val="18"/>
        </w:rPr>
        <w:t>restraining</w:t>
      </w:r>
      <w:r>
        <w:rPr>
          <w:rFonts w:ascii="Gill Sans MT" w:hAnsi="Gill Sans MT"/>
          <w:color w:val="231F20"/>
          <w:spacing w:val="-27"/>
          <w:w w:val="115"/>
          <w:sz w:val="18"/>
        </w:rPr>
        <w:t xml:space="preserve"> </w:t>
      </w:r>
      <w:r>
        <w:rPr>
          <w:rFonts w:ascii="Gill Sans MT" w:hAnsi="Gill Sans MT"/>
          <w:color w:val="231F20"/>
          <w:w w:val="115"/>
          <w:sz w:val="18"/>
        </w:rPr>
        <w:t>devices</w:t>
      </w:r>
      <w:r>
        <w:rPr>
          <w:rFonts w:ascii="Gill Sans MT" w:hAnsi="Gill Sans MT"/>
          <w:color w:val="231F20"/>
          <w:spacing w:val="-27"/>
          <w:w w:val="115"/>
          <w:sz w:val="18"/>
        </w:rPr>
        <w:t xml:space="preserve"> </w:t>
      </w:r>
      <w:r>
        <w:rPr>
          <w:rFonts w:ascii="Gill Sans MT" w:hAnsi="Gill Sans MT"/>
          <w:color w:val="231F20"/>
          <w:w w:val="115"/>
          <w:sz w:val="18"/>
        </w:rPr>
        <w:t>or</w:t>
      </w:r>
      <w:r>
        <w:rPr>
          <w:rFonts w:ascii="Gill Sans MT" w:hAnsi="Gill Sans MT"/>
          <w:color w:val="231F20"/>
          <w:spacing w:val="-27"/>
          <w:w w:val="115"/>
          <w:sz w:val="18"/>
        </w:rPr>
        <w:t xml:space="preserve"> </w:t>
      </w:r>
      <w:r>
        <w:rPr>
          <w:rFonts w:ascii="Gill Sans MT" w:hAnsi="Gill Sans MT"/>
          <w:color w:val="231F20"/>
          <w:w w:val="115"/>
          <w:sz w:val="18"/>
        </w:rPr>
        <w:t>anesthesia if</w:t>
      </w:r>
      <w:r>
        <w:rPr>
          <w:rFonts w:ascii="Gill Sans MT" w:hAnsi="Gill Sans MT"/>
          <w:color w:val="231F20"/>
          <w:spacing w:val="-19"/>
          <w:w w:val="115"/>
          <w:sz w:val="18"/>
        </w:rPr>
        <w:t xml:space="preserve"> </w:t>
      </w:r>
      <w:r>
        <w:rPr>
          <w:rFonts w:ascii="Gill Sans MT" w:hAnsi="Gill Sans MT"/>
          <w:color w:val="231F20"/>
          <w:w w:val="115"/>
          <w:sz w:val="18"/>
        </w:rPr>
        <w:t>necessary.</w:t>
      </w:r>
      <w:r>
        <w:rPr>
          <w:rFonts w:ascii="Gill Sans MT" w:hAnsi="Gill Sans MT"/>
          <w:color w:val="231F20"/>
          <w:spacing w:val="-19"/>
          <w:w w:val="115"/>
          <w:sz w:val="18"/>
        </w:rPr>
        <w:t xml:space="preserve"> </w:t>
      </w:r>
      <w:r>
        <w:rPr>
          <w:rFonts w:ascii="Gill Sans MT" w:hAnsi="Gill Sans MT"/>
          <w:color w:val="231F20"/>
          <w:w w:val="115"/>
          <w:sz w:val="18"/>
        </w:rPr>
        <w:t>This</w:t>
      </w:r>
      <w:r>
        <w:rPr>
          <w:rFonts w:ascii="Gill Sans MT" w:hAnsi="Gill Sans MT"/>
          <w:color w:val="231F20"/>
          <w:spacing w:val="-19"/>
          <w:w w:val="115"/>
          <w:sz w:val="18"/>
        </w:rPr>
        <w:t xml:space="preserve"> </w:t>
      </w:r>
      <w:r>
        <w:rPr>
          <w:rFonts w:ascii="Gill Sans MT" w:hAnsi="Gill Sans MT"/>
          <w:color w:val="231F20"/>
          <w:w w:val="115"/>
          <w:sz w:val="18"/>
        </w:rPr>
        <w:t>decision</w:t>
      </w:r>
      <w:r>
        <w:rPr>
          <w:rFonts w:ascii="Gill Sans MT" w:hAnsi="Gill Sans MT"/>
          <w:color w:val="231F20"/>
          <w:spacing w:val="-19"/>
          <w:w w:val="115"/>
          <w:sz w:val="18"/>
        </w:rPr>
        <w:t xml:space="preserve"> </w:t>
      </w:r>
      <w:r>
        <w:rPr>
          <w:rFonts w:ascii="Gill Sans MT" w:hAnsi="Gill Sans MT"/>
          <w:color w:val="231F20"/>
          <w:w w:val="115"/>
          <w:sz w:val="18"/>
        </w:rPr>
        <w:t>is</w:t>
      </w:r>
      <w:r>
        <w:rPr>
          <w:rFonts w:ascii="Gill Sans MT" w:hAnsi="Gill Sans MT"/>
          <w:color w:val="231F20"/>
          <w:spacing w:val="-19"/>
          <w:w w:val="115"/>
          <w:sz w:val="18"/>
        </w:rPr>
        <w:t xml:space="preserve"> </w:t>
      </w:r>
      <w:r>
        <w:rPr>
          <w:rFonts w:ascii="Gill Sans MT" w:hAnsi="Gill Sans MT"/>
          <w:color w:val="231F20"/>
          <w:w w:val="115"/>
          <w:sz w:val="18"/>
        </w:rPr>
        <w:t>based on the proposition that Meinhof’s behaviour</w:t>
      </w:r>
      <w:r>
        <w:rPr>
          <w:rFonts w:ascii="Gill Sans MT" w:hAnsi="Gill Sans MT"/>
          <w:color w:val="231F20"/>
          <w:spacing w:val="-14"/>
          <w:w w:val="115"/>
          <w:sz w:val="18"/>
        </w:rPr>
        <w:t xml:space="preserve"> </w:t>
      </w:r>
      <w:r>
        <w:rPr>
          <w:rFonts w:ascii="Gill Sans MT" w:hAnsi="Gill Sans MT"/>
          <w:color w:val="231F20"/>
          <w:w w:val="115"/>
          <w:sz w:val="18"/>
        </w:rPr>
        <w:t>may</w:t>
      </w:r>
      <w:r>
        <w:rPr>
          <w:rFonts w:ascii="Gill Sans MT" w:hAnsi="Gill Sans MT"/>
          <w:color w:val="231F20"/>
          <w:spacing w:val="-14"/>
          <w:w w:val="115"/>
          <w:sz w:val="18"/>
        </w:rPr>
        <w:t xml:space="preserve"> </w:t>
      </w:r>
      <w:r>
        <w:rPr>
          <w:rFonts w:ascii="Gill Sans MT" w:hAnsi="Gill Sans MT"/>
          <w:color w:val="231F20"/>
          <w:w w:val="115"/>
          <w:sz w:val="18"/>
        </w:rPr>
        <w:t>be</w:t>
      </w:r>
      <w:r>
        <w:rPr>
          <w:rFonts w:ascii="Gill Sans MT" w:hAnsi="Gill Sans MT"/>
          <w:color w:val="231F20"/>
          <w:spacing w:val="-14"/>
          <w:w w:val="115"/>
          <w:sz w:val="18"/>
        </w:rPr>
        <w:t xml:space="preserve"> </w:t>
      </w:r>
      <w:r>
        <w:rPr>
          <w:rFonts w:ascii="Gill Sans MT" w:hAnsi="Gill Sans MT"/>
          <w:color w:val="231F20"/>
          <w:w w:val="115"/>
          <w:sz w:val="18"/>
        </w:rPr>
        <w:t>the</w:t>
      </w:r>
      <w:r>
        <w:rPr>
          <w:rFonts w:ascii="Gill Sans MT" w:hAnsi="Gill Sans MT"/>
          <w:color w:val="231F20"/>
          <w:spacing w:val="-14"/>
          <w:w w:val="115"/>
          <w:sz w:val="18"/>
        </w:rPr>
        <w:t xml:space="preserve"> </w:t>
      </w:r>
      <w:r>
        <w:rPr>
          <w:rFonts w:ascii="Gill Sans MT" w:hAnsi="Gill Sans MT"/>
          <w:color w:val="231F20"/>
          <w:w w:val="115"/>
          <w:sz w:val="18"/>
        </w:rPr>
        <w:t>result</w:t>
      </w:r>
      <w:r>
        <w:rPr>
          <w:rFonts w:ascii="Gill Sans MT" w:hAnsi="Gill Sans MT"/>
          <w:color w:val="231F20"/>
          <w:spacing w:val="-14"/>
          <w:w w:val="115"/>
          <w:sz w:val="18"/>
        </w:rPr>
        <w:t xml:space="preserve"> </w:t>
      </w:r>
      <w:r>
        <w:rPr>
          <w:rFonts w:ascii="Gill Sans MT" w:hAnsi="Gill Sans MT"/>
          <w:color w:val="231F20"/>
          <w:w w:val="115"/>
          <w:sz w:val="18"/>
        </w:rPr>
        <w:t>of</w:t>
      </w:r>
      <w:r>
        <w:rPr>
          <w:rFonts w:ascii="Gill Sans MT" w:hAnsi="Gill Sans MT"/>
          <w:color w:val="231F20"/>
          <w:spacing w:val="-14"/>
          <w:w w:val="115"/>
          <w:sz w:val="18"/>
        </w:rPr>
        <w:t xml:space="preserve"> </w:t>
      </w:r>
      <w:r>
        <w:rPr>
          <w:rFonts w:ascii="Gill Sans MT" w:hAnsi="Gill Sans MT"/>
          <w:color w:val="231F20"/>
          <w:w w:val="115"/>
          <w:sz w:val="18"/>
        </w:rPr>
        <w:t>a</w:t>
      </w:r>
    </w:p>
    <w:p w14:paraId="3643EB1A" w14:textId="77777777" w:rsidR="002653E8" w:rsidRDefault="003115E3">
      <w:pPr>
        <w:spacing w:line="276" w:lineRule="auto"/>
        <w:ind w:left="1327" w:right="-19"/>
        <w:rPr>
          <w:rFonts w:ascii="Gill Sans MT"/>
          <w:sz w:val="18"/>
        </w:rPr>
      </w:pPr>
      <w:r>
        <w:rPr>
          <w:rFonts w:ascii="Gill Sans MT"/>
          <w:color w:val="231F20"/>
          <w:w w:val="110"/>
          <w:sz w:val="18"/>
        </w:rPr>
        <w:t>brain abnormality. Massive protest in West Germany and internationally,</w:t>
      </w:r>
    </w:p>
    <w:p w14:paraId="669F0E3F" w14:textId="77777777" w:rsidR="002653E8" w:rsidRDefault="003115E3">
      <w:pPr>
        <w:spacing w:before="92" w:line="276" w:lineRule="auto"/>
        <w:ind w:left="199" w:right="1335"/>
        <w:rPr>
          <w:rFonts w:ascii="Gill Sans MT"/>
          <w:sz w:val="18"/>
        </w:rPr>
      </w:pPr>
      <w:r>
        <w:br w:type="column"/>
      </w:r>
      <w:r>
        <w:rPr>
          <w:rFonts w:ascii="Gill Sans MT"/>
          <w:color w:val="231F20"/>
          <w:w w:val="110"/>
          <w:sz w:val="18"/>
        </w:rPr>
        <w:t>including the protest of many doctors, prevents the government from proceeding with its plan.</w:t>
      </w:r>
    </w:p>
    <w:p w14:paraId="7EF283DD" w14:textId="77777777" w:rsidR="002653E8" w:rsidRDefault="002653E8">
      <w:pPr>
        <w:pStyle w:val="a3"/>
        <w:spacing w:before="6"/>
        <w:rPr>
          <w:rFonts w:ascii="Gill Sans MT"/>
        </w:rPr>
      </w:pPr>
    </w:p>
    <w:p w14:paraId="38B9B497" w14:textId="77777777" w:rsidR="002653E8" w:rsidRDefault="003115E3">
      <w:pPr>
        <w:ind w:left="199"/>
        <w:rPr>
          <w:rFonts w:ascii="Arial"/>
          <w:b/>
          <w:sz w:val="18"/>
        </w:rPr>
      </w:pPr>
      <w:r>
        <w:rPr>
          <w:rFonts w:ascii="Arial"/>
          <w:b/>
          <w:color w:val="231F20"/>
          <w:w w:val="115"/>
          <w:sz w:val="18"/>
        </w:rPr>
        <w:t>July 16, 1973</w:t>
      </w:r>
    </w:p>
    <w:p w14:paraId="4751CFB5" w14:textId="77777777" w:rsidR="002653E8" w:rsidRDefault="003115E3">
      <w:pPr>
        <w:spacing w:before="35" w:line="276" w:lineRule="auto"/>
        <w:ind w:left="199" w:right="1489"/>
        <w:rPr>
          <w:rFonts w:ascii="Gill Sans MT"/>
          <w:sz w:val="18"/>
        </w:rPr>
      </w:pPr>
      <w:r>
        <w:rPr>
          <w:rFonts w:ascii="Gill Sans MT"/>
          <w:color w:val="231F20"/>
          <w:w w:val="110"/>
          <w:sz w:val="18"/>
        </w:rPr>
        <w:t xml:space="preserve">For the first time, the BKA raids the cells of </w:t>
      </w:r>
      <w:r w:rsidR="00C507A5">
        <w:rPr>
          <w:rFonts w:ascii="Gill Sans MT"/>
          <w:color w:val="231F20"/>
          <w:w w:val="110"/>
          <w:sz w:val="18"/>
        </w:rPr>
        <w:t>red army faction</w:t>
      </w:r>
      <w:r>
        <w:rPr>
          <w:rFonts w:ascii="Gill Sans MT"/>
          <w:color w:val="231F20"/>
          <w:w w:val="110"/>
          <w:sz w:val="18"/>
        </w:rPr>
        <w:t xml:space="preserve"> prisoners.</w:t>
      </w:r>
    </w:p>
    <w:p w14:paraId="289A3E34" w14:textId="77777777" w:rsidR="002653E8" w:rsidRDefault="002653E8">
      <w:pPr>
        <w:pStyle w:val="a3"/>
        <w:spacing w:before="7"/>
        <w:rPr>
          <w:rFonts w:ascii="Gill Sans MT"/>
        </w:rPr>
      </w:pPr>
    </w:p>
    <w:p w14:paraId="40511680" w14:textId="77777777" w:rsidR="002653E8" w:rsidRDefault="003115E3">
      <w:pPr>
        <w:ind w:left="199"/>
        <w:rPr>
          <w:rFonts w:ascii="Arial"/>
          <w:b/>
          <w:sz w:val="18"/>
        </w:rPr>
      </w:pPr>
      <w:r>
        <w:rPr>
          <w:rFonts w:ascii="Arial"/>
          <w:b/>
          <w:color w:val="231F20"/>
          <w:w w:val="115"/>
          <w:sz w:val="18"/>
        </w:rPr>
        <w:t>July 24, 1973</w:t>
      </w:r>
    </w:p>
    <w:p w14:paraId="01D8FC87" w14:textId="77777777" w:rsidR="002653E8" w:rsidRDefault="00C507A5">
      <w:pPr>
        <w:spacing w:before="34" w:line="276" w:lineRule="auto"/>
        <w:ind w:left="199" w:right="1579"/>
        <w:rPr>
          <w:rFonts w:ascii="Gill Sans MT"/>
          <w:sz w:val="18"/>
        </w:rPr>
      </w:pPr>
      <w:r>
        <w:rPr>
          <w:rFonts w:ascii="Gill Sans MT"/>
          <w:color w:val="231F20"/>
          <w:w w:val="110"/>
          <w:sz w:val="18"/>
        </w:rPr>
        <w:t>red army faction</w:t>
      </w:r>
      <w:r w:rsidR="003115E3">
        <w:rPr>
          <w:rFonts w:ascii="Gill Sans MT"/>
          <w:color w:val="231F20"/>
          <w:w w:val="110"/>
          <w:sz w:val="18"/>
        </w:rPr>
        <w:t xml:space="preserve"> member Ronald Augustin is arrested in Lingen. Augustin is a dutch citizen who met </w:t>
      </w:r>
      <w:r>
        <w:rPr>
          <w:rFonts w:ascii="Gill Sans MT"/>
          <w:color w:val="231F20"/>
          <w:w w:val="110"/>
          <w:sz w:val="18"/>
        </w:rPr>
        <w:t>red army faction</w:t>
      </w:r>
      <w:r w:rsidR="003115E3">
        <w:rPr>
          <w:rFonts w:ascii="Gill Sans MT"/>
          <w:color w:val="231F20"/>
          <w:w w:val="110"/>
          <w:sz w:val="18"/>
        </w:rPr>
        <w:t xml:space="preserve"> members when they were in Amsterdam.</w:t>
      </w:r>
    </w:p>
    <w:p w14:paraId="7C5C7A37" w14:textId="77777777" w:rsidR="002653E8" w:rsidRDefault="002653E8">
      <w:pPr>
        <w:pStyle w:val="a3"/>
        <w:spacing w:before="6"/>
        <w:rPr>
          <w:rFonts w:ascii="Gill Sans MT"/>
        </w:rPr>
      </w:pPr>
    </w:p>
    <w:p w14:paraId="02C99283" w14:textId="77777777" w:rsidR="002653E8" w:rsidRDefault="003115E3">
      <w:pPr>
        <w:spacing w:before="1"/>
        <w:ind w:left="199"/>
        <w:rPr>
          <w:rFonts w:ascii="Arial"/>
          <w:b/>
          <w:sz w:val="18"/>
        </w:rPr>
      </w:pPr>
      <w:r>
        <w:rPr>
          <w:rFonts w:ascii="Arial"/>
          <w:b/>
          <w:color w:val="231F20"/>
          <w:w w:val="115"/>
          <w:sz w:val="18"/>
        </w:rPr>
        <w:t>November 22, 1973</w:t>
      </w:r>
    </w:p>
    <w:p w14:paraId="0A065FD2" w14:textId="77777777" w:rsidR="002653E8" w:rsidRDefault="003115E3">
      <w:pPr>
        <w:spacing w:before="34" w:line="276" w:lineRule="auto"/>
        <w:ind w:left="199" w:right="1292" w:hanging="1"/>
        <w:jc w:val="both"/>
        <w:rPr>
          <w:rFonts w:ascii="Gill Sans MT"/>
          <w:sz w:val="18"/>
        </w:rPr>
      </w:pPr>
      <w:r>
        <w:rPr>
          <w:rFonts w:ascii="Gill Sans MT"/>
          <w:color w:val="231F20"/>
          <w:w w:val="110"/>
          <w:sz w:val="18"/>
        </w:rPr>
        <w:t>The</w:t>
      </w:r>
      <w:r>
        <w:rPr>
          <w:rFonts w:ascii="Gill Sans MT"/>
          <w:color w:val="231F20"/>
          <w:spacing w:val="-14"/>
          <w:w w:val="110"/>
          <w:sz w:val="18"/>
        </w:rPr>
        <w:t xml:space="preserve"> </w:t>
      </w:r>
      <w:r>
        <w:rPr>
          <w:rFonts w:ascii="Gill Sans MT"/>
          <w:color w:val="231F20"/>
          <w:spacing w:val="-3"/>
          <w:w w:val="110"/>
          <w:sz w:val="18"/>
        </w:rPr>
        <w:t>West</w:t>
      </w:r>
      <w:r>
        <w:rPr>
          <w:rFonts w:ascii="Gill Sans MT"/>
          <w:color w:val="231F20"/>
          <w:spacing w:val="-14"/>
          <w:w w:val="110"/>
          <w:sz w:val="18"/>
        </w:rPr>
        <w:t xml:space="preserve"> </w:t>
      </w:r>
      <w:r>
        <w:rPr>
          <w:rFonts w:ascii="Gill Sans MT"/>
          <w:color w:val="231F20"/>
          <w:w w:val="110"/>
          <w:sz w:val="18"/>
        </w:rPr>
        <w:t>Berlin</w:t>
      </w:r>
      <w:r>
        <w:rPr>
          <w:rFonts w:ascii="Gill Sans MT"/>
          <w:color w:val="231F20"/>
          <w:spacing w:val="-14"/>
          <w:w w:val="110"/>
          <w:sz w:val="18"/>
        </w:rPr>
        <w:t xml:space="preserve"> </w:t>
      </w:r>
      <w:r>
        <w:rPr>
          <w:rFonts w:ascii="Gill Sans MT"/>
          <w:color w:val="231F20"/>
          <w:w w:val="110"/>
          <w:sz w:val="18"/>
        </w:rPr>
        <w:t>LG</w:t>
      </w:r>
      <w:r>
        <w:rPr>
          <w:rFonts w:ascii="Gill Sans MT"/>
          <w:color w:val="231F20"/>
          <w:spacing w:val="-14"/>
          <w:w w:val="110"/>
          <w:sz w:val="18"/>
        </w:rPr>
        <w:t xml:space="preserve"> </w:t>
      </w:r>
      <w:r>
        <w:rPr>
          <w:rFonts w:ascii="Gill Sans MT"/>
          <w:color w:val="231F20"/>
          <w:w w:val="110"/>
          <w:sz w:val="18"/>
        </w:rPr>
        <w:t>sentences</w:t>
      </w:r>
      <w:r>
        <w:rPr>
          <w:rFonts w:ascii="Gill Sans MT"/>
          <w:color w:val="231F20"/>
          <w:spacing w:val="-14"/>
          <w:w w:val="110"/>
          <w:sz w:val="18"/>
        </w:rPr>
        <w:t xml:space="preserve"> </w:t>
      </w:r>
      <w:r w:rsidR="00C507A5">
        <w:rPr>
          <w:rFonts w:ascii="Gill Sans MT"/>
          <w:color w:val="231F20"/>
          <w:w w:val="110"/>
          <w:sz w:val="18"/>
        </w:rPr>
        <w:t>red army faction</w:t>
      </w:r>
      <w:r>
        <w:rPr>
          <w:rFonts w:ascii="Gill Sans MT"/>
          <w:color w:val="231F20"/>
          <w:w w:val="110"/>
          <w:sz w:val="18"/>
        </w:rPr>
        <w:t xml:space="preserve"> member Ali Jansen to ten years in prison on two counts of</w:t>
      </w:r>
      <w:r>
        <w:rPr>
          <w:rFonts w:ascii="Gill Sans MT"/>
          <w:color w:val="231F20"/>
          <w:spacing w:val="-11"/>
          <w:w w:val="110"/>
          <w:sz w:val="18"/>
        </w:rPr>
        <w:t xml:space="preserve"> </w:t>
      </w:r>
      <w:r>
        <w:rPr>
          <w:rFonts w:ascii="Gill Sans MT"/>
          <w:color w:val="231F20"/>
          <w:w w:val="110"/>
          <w:sz w:val="18"/>
        </w:rPr>
        <w:t xml:space="preserve">attempted </w:t>
      </w:r>
      <w:r>
        <w:rPr>
          <w:rFonts w:ascii="Gill Sans MT"/>
          <w:color w:val="231F20"/>
          <w:spacing w:val="-3"/>
          <w:w w:val="110"/>
          <w:sz w:val="18"/>
        </w:rPr>
        <w:t>murder.</w:t>
      </w:r>
    </w:p>
    <w:p w14:paraId="31969F8F" w14:textId="77777777" w:rsidR="002653E8" w:rsidRDefault="002653E8">
      <w:pPr>
        <w:pStyle w:val="a3"/>
        <w:rPr>
          <w:rFonts w:ascii="Gill Sans MT"/>
        </w:rPr>
      </w:pPr>
    </w:p>
    <w:p w14:paraId="7A73F81E" w14:textId="77777777" w:rsidR="002653E8" w:rsidRDefault="002653E8">
      <w:pPr>
        <w:pStyle w:val="a3"/>
        <w:spacing w:before="1"/>
        <w:rPr>
          <w:rFonts w:ascii="Gill Sans MT"/>
        </w:rPr>
      </w:pPr>
    </w:p>
    <w:p w14:paraId="4E029D48" w14:textId="77777777" w:rsidR="002653E8" w:rsidRDefault="003115E3">
      <w:pPr>
        <w:pStyle w:val="5"/>
        <w:ind w:left="199"/>
      </w:pPr>
      <w:r>
        <w:rPr>
          <w:color w:val="231F20"/>
          <w:w w:val="120"/>
        </w:rPr>
        <w:t>1974</w:t>
      </w:r>
    </w:p>
    <w:p w14:paraId="5558B77C" w14:textId="77777777" w:rsidR="002653E8" w:rsidRDefault="003115E3">
      <w:pPr>
        <w:spacing w:before="12"/>
        <w:ind w:left="199"/>
        <w:rPr>
          <w:rFonts w:ascii="Arial"/>
          <w:b/>
          <w:sz w:val="18"/>
        </w:rPr>
      </w:pPr>
      <w:r>
        <w:rPr>
          <w:rFonts w:ascii="Arial"/>
          <w:b/>
          <w:color w:val="231F20"/>
          <w:w w:val="110"/>
          <w:sz w:val="18"/>
        </w:rPr>
        <w:t>January</w:t>
      </w:r>
    </w:p>
    <w:p w14:paraId="4783F234" w14:textId="77777777" w:rsidR="002653E8" w:rsidRDefault="003115E3">
      <w:pPr>
        <w:spacing w:before="34" w:line="276" w:lineRule="auto"/>
        <w:ind w:left="199" w:right="998"/>
        <w:rPr>
          <w:rFonts w:ascii="Gill Sans MT"/>
          <w:sz w:val="18"/>
        </w:rPr>
      </w:pPr>
      <w:r>
        <w:rPr>
          <w:rFonts w:ascii="Gill Sans MT"/>
          <w:color w:val="231F20"/>
          <w:w w:val="110"/>
          <w:sz w:val="18"/>
        </w:rPr>
        <w:t>Katharina Hammerschmidt, who has been denied medical care while in prison, is released to a clinic and her trial adjourned. She is suffering from cancer.</w:t>
      </w:r>
    </w:p>
    <w:p w14:paraId="2BEF8CC8" w14:textId="77777777" w:rsidR="002653E8" w:rsidRDefault="002653E8">
      <w:pPr>
        <w:pStyle w:val="a3"/>
        <w:spacing w:before="6"/>
        <w:rPr>
          <w:rFonts w:ascii="Gill Sans MT"/>
        </w:rPr>
      </w:pPr>
    </w:p>
    <w:p w14:paraId="1FF8B0F8" w14:textId="77777777" w:rsidR="002653E8" w:rsidRDefault="003115E3">
      <w:pPr>
        <w:ind w:left="199"/>
        <w:rPr>
          <w:rFonts w:ascii="Arial"/>
          <w:b/>
          <w:sz w:val="18"/>
        </w:rPr>
      </w:pPr>
      <w:r>
        <w:rPr>
          <w:rFonts w:ascii="Arial"/>
          <w:b/>
          <w:color w:val="231F20"/>
          <w:w w:val="115"/>
          <w:sz w:val="18"/>
        </w:rPr>
        <w:t>January 3, 1974</w:t>
      </w:r>
    </w:p>
    <w:p w14:paraId="22A9EB8B" w14:textId="77777777" w:rsidR="002653E8" w:rsidRDefault="00C507A5">
      <w:pPr>
        <w:spacing w:before="35" w:line="276" w:lineRule="auto"/>
        <w:ind w:left="199" w:right="1698"/>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ulrike Meinhof is released from the Cologne-</w:t>
      </w:r>
    </w:p>
    <w:p w14:paraId="6BBDF7FA" w14:textId="77777777" w:rsidR="002653E8" w:rsidRDefault="003115E3">
      <w:pPr>
        <w:spacing w:line="276" w:lineRule="auto"/>
        <w:ind w:left="199" w:right="1248"/>
        <w:rPr>
          <w:rFonts w:ascii="Gill Sans MT"/>
          <w:sz w:val="18"/>
        </w:rPr>
      </w:pPr>
      <w:r>
        <w:rPr>
          <w:rFonts w:ascii="Gill Sans MT"/>
          <w:color w:val="231F20"/>
          <w:w w:val="115"/>
          <w:sz w:val="18"/>
        </w:rPr>
        <w:t>Ossendorf dead wing. Shortly thereafter</w:t>
      </w:r>
      <w:r>
        <w:rPr>
          <w:rFonts w:ascii="Gill Sans MT"/>
          <w:color w:val="231F20"/>
          <w:spacing w:val="-30"/>
          <w:w w:val="115"/>
          <w:sz w:val="18"/>
        </w:rPr>
        <w:t xml:space="preserve"> </w:t>
      </w:r>
      <w:r>
        <w:rPr>
          <w:rFonts w:ascii="Gill Sans MT"/>
          <w:color w:val="231F20"/>
          <w:w w:val="115"/>
          <w:sz w:val="18"/>
        </w:rPr>
        <w:t>she</w:t>
      </w:r>
      <w:r>
        <w:rPr>
          <w:rFonts w:ascii="Gill Sans MT"/>
          <w:color w:val="231F20"/>
          <w:spacing w:val="-30"/>
          <w:w w:val="115"/>
          <w:sz w:val="18"/>
        </w:rPr>
        <w:t xml:space="preserve"> </w:t>
      </w:r>
      <w:r>
        <w:rPr>
          <w:rFonts w:ascii="Gill Sans MT"/>
          <w:color w:val="231F20"/>
          <w:w w:val="115"/>
          <w:sz w:val="18"/>
        </w:rPr>
        <w:t>releases</w:t>
      </w:r>
      <w:r>
        <w:rPr>
          <w:rFonts w:ascii="Gill Sans MT"/>
          <w:color w:val="231F20"/>
          <w:spacing w:val="-30"/>
          <w:w w:val="115"/>
          <w:sz w:val="18"/>
        </w:rPr>
        <w:t xml:space="preserve"> </w:t>
      </w:r>
      <w:r>
        <w:rPr>
          <w:rFonts w:ascii="Gill Sans MT"/>
          <w:color w:val="231F20"/>
          <w:w w:val="115"/>
          <w:sz w:val="18"/>
        </w:rPr>
        <w:t>a</w:t>
      </w:r>
      <w:r>
        <w:rPr>
          <w:rFonts w:ascii="Gill Sans MT"/>
          <w:color w:val="231F20"/>
          <w:spacing w:val="-30"/>
          <w:w w:val="115"/>
          <w:sz w:val="18"/>
        </w:rPr>
        <w:t xml:space="preserve"> </w:t>
      </w:r>
      <w:r>
        <w:rPr>
          <w:rFonts w:ascii="Gill Sans MT"/>
          <w:color w:val="231F20"/>
          <w:w w:val="115"/>
          <w:sz w:val="18"/>
        </w:rPr>
        <w:t>document describing the physical and psychological impact of sensory deprivation</w:t>
      </w:r>
      <w:r>
        <w:rPr>
          <w:rFonts w:ascii="Gill Sans MT"/>
          <w:color w:val="231F20"/>
          <w:spacing w:val="-11"/>
          <w:w w:val="115"/>
          <w:sz w:val="18"/>
        </w:rPr>
        <w:t xml:space="preserve"> </w:t>
      </w:r>
      <w:r>
        <w:rPr>
          <w:rFonts w:ascii="Gill Sans MT"/>
          <w:color w:val="231F20"/>
          <w:w w:val="115"/>
          <w:sz w:val="18"/>
        </w:rPr>
        <w:t>torture.</w:t>
      </w:r>
    </w:p>
    <w:p w14:paraId="71DF32C5" w14:textId="77777777" w:rsidR="002653E8" w:rsidRDefault="002653E8">
      <w:pPr>
        <w:spacing w:line="276" w:lineRule="auto"/>
        <w:rPr>
          <w:rFonts w:ascii="Gill Sans MT"/>
          <w:sz w:val="18"/>
        </w:rPr>
        <w:sectPr w:rsidR="002653E8">
          <w:footerReference w:type="even" r:id="rId508"/>
          <w:pgSz w:w="8640" w:h="12960"/>
          <w:pgMar w:top="1060" w:right="0" w:bottom="280" w:left="0" w:header="0" w:footer="0" w:gutter="0"/>
          <w:cols w:num="2" w:space="720" w:equalWidth="0">
            <w:col w:w="4291" w:space="40"/>
            <w:col w:w="4309"/>
          </w:cols>
        </w:sectPr>
      </w:pPr>
    </w:p>
    <w:p w14:paraId="1AABA0A3" w14:textId="77777777" w:rsidR="002653E8" w:rsidRDefault="002653E8">
      <w:pPr>
        <w:pStyle w:val="a3"/>
        <w:rPr>
          <w:rFonts w:ascii="Gill Sans MT"/>
        </w:rPr>
      </w:pPr>
    </w:p>
    <w:p w14:paraId="453E4470" w14:textId="77777777" w:rsidR="002653E8" w:rsidRDefault="002653E8">
      <w:pPr>
        <w:pStyle w:val="a3"/>
        <w:rPr>
          <w:rFonts w:ascii="Gill Sans MT"/>
        </w:rPr>
      </w:pPr>
    </w:p>
    <w:p w14:paraId="00D45183" w14:textId="77777777" w:rsidR="002653E8" w:rsidRDefault="002653E8">
      <w:pPr>
        <w:rPr>
          <w:rFonts w:ascii="Gill Sans MT"/>
        </w:rPr>
        <w:sectPr w:rsidR="002653E8">
          <w:type w:val="continuous"/>
          <w:pgSz w:w="8640" w:h="12960"/>
          <w:pgMar w:top="0" w:right="0" w:bottom="0" w:left="0" w:header="720" w:footer="720" w:gutter="0"/>
          <w:cols w:space="720"/>
        </w:sectPr>
      </w:pPr>
    </w:p>
    <w:p w14:paraId="6C47B361" w14:textId="77777777" w:rsidR="002653E8" w:rsidRDefault="002653E8">
      <w:pPr>
        <w:pStyle w:val="a3"/>
        <w:spacing w:before="6"/>
        <w:rPr>
          <w:rFonts w:ascii="Gill Sans MT"/>
          <w:sz w:val="22"/>
        </w:rPr>
      </w:pPr>
    </w:p>
    <w:p w14:paraId="15B97133" w14:textId="77777777" w:rsidR="002653E8" w:rsidRDefault="003115E3">
      <w:pPr>
        <w:ind w:left="1327"/>
        <w:rPr>
          <w:sz w:val="18"/>
        </w:rPr>
      </w:pPr>
      <w:r>
        <w:rPr>
          <w:color w:val="231F20"/>
          <w:w w:val="120"/>
          <w:sz w:val="18"/>
        </w:rPr>
        <w:t>a chronology</w:t>
      </w:r>
      <w:r>
        <w:rPr>
          <w:color w:val="231F20"/>
          <w:sz w:val="18"/>
        </w:rPr>
        <w:t xml:space="preserve"> </w:t>
      </w:r>
    </w:p>
    <w:p w14:paraId="06387232" w14:textId="77777777" w:rsidR="002653E8" w:rsidRDefault="003115E3">
      <w:pPr>
        <w:spacing w:before="5"/>
        <w:ind w:left="1327"/>
        <w:rPr>
          <w:sz w:val="18"/>
        </w:rPr>
      </w:pPr>
      <w:r>
        <w:rPr>
          <w:color w:val="231F20"/>
          <w:w w:val="110"/>
          <w:sz w:val="18"/>
        </w:rPr>
        <w:t>january 3, 1974</w:t>
      </w:r>
      <w:r>
        <w:rPr>
          <w:color w:val="231F20"/>
          <w:sz w:val="18"/>
        </w:rPr>
        <w:t xml:space="preserve"> </w:t>
      </w:r>
    </w:p>
    <w:p w14:paraId="3E819246" w14:textId="77777777" w:rsidR="002653E8" w:rsidRDefault="003115E3">
      <w:pPr>
        <w:pStyle w:val="a3"/>
        <w:spacing w:before="5"/>
        <w:rPr>
          <w:sz w:val="18"/>
        </w:rPr>
      </w:pPr>
      <w:r>
        <w:br w:type="column"/>
      </w:r>
    </w:p>
    <w:p w14:paraId="0BD5646B" w14:textId="77777777" w:rsidR="002653E8" w:rsidRDefault="003115E3">
      <w:pPr>
        <w:ind w:left="1346" w:right="1141"/>
        <w:jc w:val="center"/>
        <w:rPr>
          <w:sz w:val="18"/>
        </w:rPr>
      </w:pPr>
      <w:r>
        <w:rPr>
          <w:color w:val="231F20"/>
          <w:sz w:val="18"/>
        </w:rPr>
        <w:t xml:space="preserve">593 </w:t>
      </w:r>
    </w:p>
    <w:p w14:paraId="147A204F" w14:textId="77777777" w:rsidR="002653E8" w:rsidRDefault="002653E8">
      <w:pPr>
        <w:jc w:val="center"/>
        <w:rPr>
          <w:sz w:val="18"/>
        </w:rPr>
        <w:sectPr w:rsidR="002653E8">
          <w:type w:val="continuous"/>
          <w:pgSz w:w="8640" w:h="12960"/>
          <w:pgMar w:top="0" w:right="0" w:bottom="0" w:left="0" w:header="720" w:footer="720" w:gutter="0"/>
          <w:cols w:num="2" w:space="720" w:equalWidth="0">
            <w:col w:w="3090" w:space="2724"/>
            <w:col w:w="2826"/>
          </w:cols>
        </w:sectPr>
      </w:pPr>
    </w:p>
    <w:p w14:paraId="2C363C76" w14:textId="77777777" w:rsidR="002653E8" w:rsidRDefault="003115E3">
      <w:pPr>
        <w:spacing w:before="91"/>
        <w:ind w:left="1147"/>
        <w:rPr>
          <w:rFonts w:ascii="Arial"/>
          <w:b/>
          <w:sz w:val="18"/>
        </w:rPr>
      </w:pPr>
      <w:r>
        <w:rPr>
          <w:rFonts w:ascii="Arial"/>
          <w:b/>
          <w:color w:val="231F20"/>
          <w:w w:val="115"/>
          <w:sz w:val="18"/>
        </w:rPr>
        <w:lastRenderedPageBreak/>
        <w:t>February 4, 1974</w:t>
      </w:r>
    </w:p>
    <w:p w14:paraId="37BA3277" w14:textId="77777777" w:rsidR="002653E8" w:rsidRDefault="003115E3">
      <w:pPr>
        <w:spacing w:before="34" w:line="276" w:lineRule="auto"/>
        <w:ind w:left="1147"/>
        <w:rPr>
          <w:rFonts w:ascii="Gill Sans MT"/>
          <w:sz w:val="18"/>
        </w:rPr>
      </w:pPr>
      <w:r>
        <w:rPr>
          <w:rFonts w:ascii="Gill Sans MT"/>
          <w:color w:val="231F20"/>
          <w:w w:val="110"/>
          <w:sz w:val="18"/>
        </w:rPr>
        <w:t xml:space="preserve">In simultaneous predawn actions, </w:t>
      </w:r>
      <w:r w:rsidR="00C507A5">
        <w:rPr>
          <w:rFonts w:ascii="Gill Sans MT"/>
          <w:color w:val="231F20"/>
          <w:w w:val="110"/>
          <w:sz w:val="18"/>
        </w:rPr>
        <w:t>red army faction</w:t>
      </w:r>
      <w:r>
        <w:rPr>
          <w:rFonts w:ascii="Gill Sans MT"/>
          <w:color w:val="231F20"/>
          <w:w w:val="110"/>
          <w:sz w:val="18"/>
        </w:rPr>
        <w:t xml:space="preserve"> safehouses are raided by police in Hamburg and Frankfurt. </w:t>
      </w:r>
      <w:r w:rsidR="00C507A5">
        <w:rPr>
          <w:rFonts w:ascii="Gill Sans MT"/>
          <w:color w:val="231F20"/>
          <w:w w:val="110"/>
          <w:sz w:val="18"/>
        </w:rPr>
        <w:t>red army faction</w:t>
      </w:r>
      <w:r>
        <w:rPr>
          <w:rFonts w:ascii="Gill Sans MT"/>
          <w:color w:val="231F20"/>
          <w:w w:val="110"/>
          <w:sz w:val="18"/>
        </w:rPr>
        <w:t xml:space="preserve"> members and supporters Helmut Pohl, Ilse Stachowiak, Christa Eckes, and Eberhard Becker are arrested</w:t>
      </w:r>
    </w:p>
    <w:p w14:paraId="7D2ED086" w14:textId="77777777" w:rsidR="002653E8" w:rsidRDefault="003115E3">
      <w:pPr>
        <w:spacing w:line="276" w:lineRule="auto"/>
        <w:ind w:left="1147" w:right="107"/>
        <w:jc w:val="both"/>
        <w:rPr>
          <w:rFonts w:ascii="Gill Sans MT"/>
          <w:sz w:val="18"/>
        </w:rPr>
      </w:pPr>
      <w:r>
        <w:rPr>
          <w:rFonts w:ascii="Gill Sans MT"/>
          <w:color w:val="231F20"/>
          <w:w w:val="110"/>
          <w:sz w:val="18"/>
        </w:rPr>
        <w:t>in Hamburg, while Margrit Schiller, Kay-Werner Allnach, and</w:t>
      </w:r>
      <w:r>
        <w:rPr>
          <w:rFonts w:ascii="Gill Sans MT"/>
          <w:color w:val="231F20"/>
          <w:spacing w:val="-34"/>
          <w:w w:val="110"/>
          <w:sz w:val="18"/>
        </w:rPr>
        <w:t xml:space="preserve"> </w:t>
      </w:r>
      <w:r>
        <w:rPr>
          <w:rFonts w:ascii="Gill Sans MT"/>
          <w:color w:val="231F20"/>
          <w:w w:val="110"/>
          <w:sz w:val="18"/>
        </w:rPr>
        <w:t>Wolfgang Beer are arrested in</w:t>
      </w:r>
      <w:r>
        <w:rPr>
          <w:rFonts w:ascii="Gill Sans MT"/>
          <w:color w:val="231F20"/>
          <w:spacing w:val="-27"/>
          <w:w w:val="110"/>
          <w:sz w:val="18"/>
        </w:rPr>
        <w:t xml:space="preserve"> </w:t>
      </w:r>
      <w:r>
        <w:rPr>
          <w:rFonts w:ascii="Gill Sans MT"/>
          <w:color w:val="231F20"/>
          <w:w w:val="110"/>
          <w:sz w:val="18"/>
        </w:rPr>
        <w:t>Frankfurt.</w:t>
      </w:r>
    </w:p>
    <w:p w14:paraId="0802A7F5" w14:textId="77777777" w:rsidR="002653E8" w:rsidRDefault="003115E3">
      <w:pPr>
        <w:spacing w:line="276" w:lineRule="auto"/>
        <w:ind w:left="1147"/>
        <w:rPr>
          <w:rFonts w:ascii="Gill Sans MT"/>
          <w:sz w:val="18"/>
        </w:rPr>
      </w:pPr>
      <w:r>
        <w:rPr>
          <w:rFonts w:ascii="Gill Sans MT"/>
          <w:color w:val="231F20"/>
          <w:w w:val="110"/>
          <w:sz w:val="18"/>
        </w:rPr>
        <w:t>Astrid Proll is released from prison for health reasons; she later flees to London, England, where she lives under the name of Anna Puttick.</w:t>
      </w:r>
    </w:p>
    <w:p w14:paraId="68F21E78" w14:textId="77777777" w:rsidR="002653E8" w:rsidRDefault="002653E8">
      <w:pPr>
        <w:pStyle w:val="a3"/>
        <w:spacing w:before="6"/>
        <w:rPr>
          <w:rFonts w:ascii="Gill Sans MT"/>
        </w:rPr>
      </w:pPr>
    </w:p>
    <w:p w14:paraId="2B87D1D7" w14:textId="77777777" w:rsidR="002653E8" w:rsidRDefault="003115E3">
      <w:pPr>
        <w:ind w:left="1147"/>
        <w:rPr>
          <w:rFonts w:ascii="Arial"/>
          <w:b/>
          <w:sz w:val="18"/>
        </w:rPr>
      </w:pPr>
      <w:r>
        <w:rPr>
          <w:rFonts w:ascii="Arial"/>
          <w:b/>
          <w:color w:val="231F20"/>
          <w:w w:val="115"/>
          <w:sz w:val="18"/>
        </w:rPr>
        <w:t>April 25, 1974</w:t>
      </w:r>
    </w:p>
    <w:p w14:paraId="1489DC55" w14:textId="77777777" w:rsidR="002653E8" w:rsidRDefault="003115E3">
      <w:pPr>
        <w:spacing w:before="34" w:line="276" w:lineRule="auto"/>
        <w:ind w:left="1147" w:right="8"/>
        <w:rPr>
          <w:rFonts w:ascii="Gill Sans MT"/>
          <w:sz w:val="18"/>
        </w:rPr>
      </w:pPr>
      <w:r>
        <w:rPr>
          <w:rFonts w:ascii="Gill Sans MT"/>
          <w:color w:val="231F20"/>
          <w:w w:val="110"/>
          <w:sz w:val="18"/>
        </w:rPr>
        <w:t xml:space="preserve">In Portugal, the Caetano dictatorship is overthrown in a leftwing military coup, known as the Carnation Revolution. By the end of the </w:t>
      </w:r>
      <w:r>
        <w:rPr>
          <w:rFonts w:ascii="Gill Sans MT"/>
          <w:color w:val="231F20"/>
          <w:spacing w:val="-4"/>
          <w:w w:val="110"/>
          <w:sz w:val="18"/>
        </w:rPr>
        <w:t xml:space="preserve">year, </w:t>
      </w:r>
      <w:r>
        <w:rPr>
          <w:rFonts w:ascii="Gill Sans MT"/>
          <w:color w:val="231F20"/>
          <w:w w:val="110"/>
          <w:sz w:val="18"/>
        </w:rPr>
        <w:t>all Portuguese colonies will receive their</w:t>
      </w:r>
      <w:r>
        <w:rPr>
          <w:rFonts w:ascii="Gill Sans MT"/>
          <w:color w:val="231F20"/>
          <w:spacing w:val="-5"/>
          <w:w w:val="110"/>
          <w:sz w:val="18"/>
        </w:rPr>
        <w:t xml:space="preserve"> </w:t>
      </w:r>
      <w:r>
        <w:rPr>
          <w:rFonts w:ascii="Gill Sans MT"/>
          <w:color w:val="231F20"/>
          <w:w w:val="110"/>
          <w:sz w:val="18"/>
        </w:rPr>
        <w:t>independence.</w:t>
      </w:r>
    </w:p>
    <w:p w14:paraId="07D65757" w14:textId="77777777" w:rsidR="002653E8" w:rsidRDefault="002653E8">
      <w:pPr>
        <w:pStyle w:val="a3"/>
        <w:spacing w:before="6"/>
        <w:rPr>
          <w:rFonts w:ascii="Gill Sans MT"/>
        </w:rPr>
      </w:pPr>
    </w:p>
    <w:p w14:paraId="44E14965" w14:textId="77777777" w:rsidR="002653E8" w:rsidRDefault="003115E3">
      <w:pPr>
        <w:ind w:left="1147"/>
        <w:rPr>
          <w:rFonts w:ascii="Arial"/>
          <w:b/>
          <w:sz w:val="18"/>
        </w:rPr>
      </w:pPr>
      <w:r>
        <w:rPr>
          <w:rFonts w:ascii="Arial"/>
          <w:b/>
          <w:color w:val="231F20"/>
          <w:w w:val="115"/>
          <w:sz w:val="18"/>
        </w:rPr>
        <w:t>April 28, 1974</w:t>
      </w:r>
    </w:p>
    <w:p w14:paraId="11C988A7" w14:textId="77777777" w:rsidR="002653E8" w:rsidRDefault="00C507A5">
      <w:pPr>
        <w:spacing w:before="36" w:line="276" w:lineRule="auto"/>
        <w:ind w:left="1147" w:right="215"/>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prisoners ulrike Meinhof and Gudrun Ensslin transferred from Cologne-Ossendorf prison to Stammheim.</w:t>
      </w:r>
    </w:p>
    <w:p w14:paraId="7B8C23CA" w14:textId="77777777" w:rsidR="002653E8" w:rsidRDefault="002653E8">
      <w:pPr>
        <w:pStyle w:val="a3"/>
        <w:spacing w:before="6"/>
        <w:rPr>
          <w:rFonts w:ascii="Gill Sans MT"/>
        </w:rPr>
      </w:pPr>
    </w:p>
    <w:p w14:paraId="4A45F445" w14:textId="77777777" w:rsidR="002653E8" w:rsidRDefault="003115E3">
      <w:pPr>
        <w:ind w:left="1147"/>
        <w:rPr>
          <w:rFonts w:ascii="Arial"/>
          <w:b/>
          <w:sz w:val="18"/>
        </w:rPr>
      </w:pPr>
      <w:r>
        <w:rPr>
          <w:rFonts w:ascii="Arial"/>
          <w:b/>
          <w:color w:val="231F20"/>
          <w:w w:val="120"/>
          <w:sz w:val="18"/>
        </w:rPr>
        <w:t>May 16, 1974</w:t>
      </w:r>
    </w:p>
    <w:p w14:paraId="78B8C684" w14:textId="77777777" w:rsidR="002653E8" w:rsidRDefault="003115E3">
      <w:pPr>
        <w:spacing w:before="35" w:line="276" w:lineRule="auto"/>
        <w:ind w:left="1147"/>
        <w:rPr>
          <w:rFonts w:ascii="Gill Sans MT"/>
          <w:sz w:val="18"/>
        </w:rPr>
      </w:pPr>
      <w:r>
        <w:rPr>
          <w:rFonts w:ascii="Gill Sans MT"/>
          <w:color w:val="231F20"/>
          <w:w w:val="110"/>
          <w:sz w:val="18"/>
        </w:rPr>
        <w:t>SPd Chancellor Willy Brandt, under constant fire since it became known in late April that one of his personal assistants was an East German spy, steps down, handing power to Helmut Schmidt.</w:t>
      </w:r>
    </w:p>
    <w:p w14:paraId="63A4B2C8" w14:textId="77777777" w:rsidR="002653E8" w:rsidRDefault="002653E8">
      <w:pPr>
        <w:pStyle w:val="a3"/>
        <w:spacing w:before="5"/>
        <w:rPr>
          <w:rFonts w:ascii="Gill Sans MT"/>
        </w:rPr>
      </w:pPr>
    </w:p>
    <w:p w14:paraId="406B942C" w14:textId="77777777" w:rsidR="002653E8" w:rsidRDefault="003115E3">
      <w:pPr>
        <w:ind w:left="1147"/>
        <w:rPr>
          <w:rFonts w:ascii="Arial"/>
          <w:b/>
          <w:sz w:val="18"/>
        </w:rPr>
      </w:pPr>
      <w:r>
        <w:rPr>
          <w:rFonts w:ascii="Arial"/>
          <w:b/>
          <w:color w:val="231F20"/>
          <w:w w:val="120"/>
          <w:sz w:val="18"/>
        </w:rPr>
        <w:t>May 21, 1974</w:t>
      </w:r>
    </w:p>
    <w:p w14:paraId="7A203CF0" w14:textId="77777777" w:rsidR="002653E8" w:rsidRDefault="003115E3">
      <w:pPr>
        <w:spacing w:before="35" w:line="276" w:lineRule="auto"/>
        <w:ind w:left="1147"/>
        <w:rPr>
          <w:rFonts w:ascii="Gill Sans MT" w:hAnsi="Gill Sans MT"/>
          <w:sz w:val="18"/>
        </w:rPr>
      </w:pPr>
      <w:r>
        <w:rPr>
          <w:rFonts w:ascii="Gill Sans MT" w:hAnsi="Gill Sans MT"/>
          <w:color w:val="231F20"/>
          <w:w w:val="110"/>
          <w:sz w:val="18"/>
        </w:rPr>
        <w:t xml:space="preserve">Taxi driver Günter Jendrian is killed by police in Munich when they mistake him for a </w:t>
      </w:r>
      <w:r w:rsidR="00C507A5">
        <w:rPr>
          <w:rFonts w:ascii="Gill Sans MT" w:hAnsi="Gill Sans MT"/>
          <w:color w:val="231F20"/>
          <w:w w:val="110"/>
          <w:sz w:val="18"/>
        </w:rPr>
        <w:t>red army faction</w:t>
      </w:r>
      <w:r>
        <w:rPr>
          <w:rFonts w:ascii="Gill Sans MT" w:hAnsi="Gill Sans MT"/>
          <w:color w:val="231F20"/>
          <w:w w:val="110"/>
          <w:sz w:val="18"/>
        </w:rPr>
        <w:t xml:space="preserve"> member.</w:t>
      </w:r>
    </w:p>
    <w:p w14:paraId="41CEC50A" w14:textId="77777777" w:rsidR="002653E8" w:rsidRDefault="003115E3">
      <w:pPr>
        <w:spacing w:before="91"/>
        <w:ind w:left="227"/>
        <w:rPr>
          <w:rFonts w:ascii="Arial"/>
          <w:b/>
          <w:sz w:val="18"/>
        </w:rPr>
      </w:pPr>
      <w:r>
        <w:br w:type="column"/>
      </w:r>
      <w:r>
        <w:rPr>
          <w:rFonts w:ascii="Arial"/>
          <w:b/>
          <w:color w:val="231F20"/>
          <w:w w:val="120"/>
          <w:sz w:val="18"/>
        </w:rPr>
        <w:t>May 31, 1974</w:t>
      </w:r>
    </w:p>
    <w:p w14:paraId="3469E23B" w14:textId="77777777" w:rsidR="002653E8" w:rsidRDefault="003115E3">
      <w:pPr>
        <w:spacing w:before="34" w:line="276" w:lineRule="auto"/>
        <w:ind w:left="227" w:right="1406"/>
        <w:rPr>
          <w:rFonts w:ascii="Gill Sans MT"/>
          <w:sz w:val="18"/>
        </w:rPr>
      </w:pPr>
      <w:r>
        <w:rPr>
          <w:rFonts w:ascii="Gill Sans MT"/>
          <w:color w:val="231F20"/>
          <w:w w:val="115"/>
          <w:sz w:val="18"/>
        </w:rPr>
        <w:t>Siegfried Buback succeeds Ludwig Martin as Attorney General.</w:t>
      </w:r>
    </w:p>
    <w:p w14:paraId="5D18C3DA" w14:textId="77777777" w:rsidR="002653E8" w:rsidRDefault="002653E8">
      <w:pPr>
        <w:pStyle w:val="a3"/>
        <w:spacing w:before="7"/>
        <w:rPr>
          <w:rFonts w:ascii="Gill Sans MT"/>
        </w:rPr>
      </w:pPr>
    </w:p>
    <w:p w14:paraId="1A1E7AE8" w14:textId="77777777" w:rsidR="002653E8" w:rsidRDefault="003115E3">
      <w:pPr>
        <w:ind w:left="227"/>
        <w:rPr>
          <w:rFonts w:ascii="Arial"/>
          <w:b/>
          <w:sz w:val="18"/>
        </w:rPr>
      </w:pPr>
      <w:r>
        <w:rPr>
          <w:rFonts w:ascii="Arial"/>
          <w:b/>
          <w:color w:val="231F20"/>
          <w:w w:val="115"/>
          <w:sz w:val="18"/>
        </w:rPr>
        <w:t>July 23, 1974</w:t>
      </w:r>
    </w:p>
    <w:p w14:paraId="1E5DE1A9" w14:textId="77777777" w:rsidR="002653E8" w:rsidRDefault="003115E3">
      <w:pPr>
        <w:spacing w:before="34" w:line="276" w:lineRule="auto"/>
        <w:ind w:left="227" w:right="1677"/>
        <w:rPr>
          <w:rFonts w:ascii="Gill Sans MT"/>
          <w:sz w:val="18"/>
        </w:rPr>
      </w:pPr>
      <w:r>
        <w:rPr>
          <w:rFonts w:ascii="Gill Sans MT"/>
          <w:color w:val="231F20"/>
          <w:w w:val="115"/>
          <w:sz w:val="18"/>
        </w:rPr>
        <w:t>In</w:t>
      </w:r>
      <w:r>
        <w:rPr>
          <w:rFonts w:ascii="Gill Sans MT"/>
          <w:color w:val="231F20"/>
          <w:spacing w:val="-13"/>
          <w:w w:val="115"/>
          <w:sz w:val="18"/>
        </w:rPr>
        <w:t xml:space="preserve"> </w:t>
      </w:r>
      <w:r>
        <w:rPr>
          <w:rFonts w:ascii="Gill Sans MT"/>
          <w:color w:val="231F20"/>
          <w:w w:val="115"/>
          <w:sz w:val="18"/>
        </w:rPr>
        <w:t>the</w:t>
      </w:r>
      <w:r>
        <w:rPr>
          <w:rFonts w:ascii="Gill Sans MT"/>
          <w:color w:val="231F20"/>
          <w:spacing w:val="-13"/>
          <w:w w:val="115"/>
          <w:sz w:val="18"/>
        </w:rPr>
        <w:t xml:space="preserve"> </w:t>
      </w:r>
      <w:r>
        <w:rPr>
          <w:rFonts w:ascii="Gill Sans MT"/>
          <w:color w:val="231F20"/>
          <w:w w:val="115"/>
          <w:sz w:val="18"/>
        </w:rPr>
        <w:t>wake</w:t>
      </w:r>
      <w:r>
        <w:rPr>
          <w:rFonts w:ascii="Gill Sans MT"/>
          <w:color w:val="231F20"/>
          <w:spacing w:val="-13"/>
          <w:w w:val="115"/>
          <w:sz w:val="18"/>
        </w:rPr>
        <w:t xml:space="preserve"> </w:t>
      </w:r>
      <w:r>
        <w:rPr>
          <w:rFonts w:ascii="Gill Sans MT"/>
          <w:color w:val="231F20"/>
          <w:w w:val="115"/>
          <w:sz w:val="18"/>
        </w:rPr>
        <w:t>of</w:t>
      </w:r>
      <w:r>
        <w:rPr>
          <w:rFonts w:ascii="Gill Sans MT"/>
          <w:color w:val="231F20"/>
          <w:spacing w:val="-13"/>
          <w:w w:val="115"/>
          <w:sz w:val="18"/>
        </w:rPr>
        <w:t xml:space="preserve"> </w:t>
      </w:r>
      <w:r>
        <w:rPr>
          <w:rFonts w:ascii="Gill Sans MT"/>
          <w:color w:val="231F20"/>
          <w:w w:val="115"/>
          <w:sz w:val="18"/>
        </w:rPr>
        <w:t>a</w:t>
      </w:r>
      <w:r>
        <w:rPr>
          <w:rFonts w:ascii="Gill Sans MT"/>
          <w:color w:val="231F20"/>
          <w:spacing w:val="-13"/>
          <w:w w:val="115"/>
          <w:sz w:val="18"/>
        </w:rPr>
        <w:t xml:space="preserve"> </w:t>
      </w:r>
      <w:r>
        <w:rPr>
          <w:rFonts w:ascii="Gill Sans MT"/>
          <w:color w:val="231F20"/>
          <w:w w:val="115"/>
          <w:sz w:val="18"/>
        </w:rPr>
        <w:t>failed</w:t>
      </w:r>
      <w:r>
        <w:rPr>
          <w:rFonts w:ascii="Gill Sans MT"/>
          <w:color w:val="231F20"/>
          <w:spacing w:val="-13"/>
          <w:w w:val="115"/>
          <w:sz w:val="18"/>
        </w:rPr>
        <w:t xml:space="preserve"> </w:t>
      </w:r>
      <w:r>
        <w:rPr>
          <w:rFonts w:ascii="Gill Sans MT"/>
          <w:color w:val="231F20"/>
          <w:w w:val="115"/>
          <w:sz w:val="18"/>
        </w:rPr>
        <w:t>coup,</w:t>
      </w:r>
      <w:r>
        <w:rPr>
          <w:rFonts w:ascii="Gill Sans MT"/>
          <w:color w:val="231F20"/>
          <w:spacing w:val="-13"/>
          <w:w w:val="115"/>
          <w:sz w:val="18"/>
        </w:rPr>
        <w:t xml:space="preserve"> </w:t>
      </w:r>
      <w:r>
        <w:rPr>
          <w:rFonts w:ascii="Gill Sans MT"/>
          <w:color w:val="231F20"/>
          <w:w w:val="115"/>
          <w:sz w:val="18"/>
        </w:rPr>
        <w:t>the Greek</w:t>
      </w:r>
      <w:r>
        <w:rPr>
          <w:rFonts w:ascii="Gill Sans MT"/>
          <w:color w:val="231F20"/>
          <w:spacing w:val="-22"/>
          <w:w w:val="115"/>
          <w:sz w:val="18"/>
        </w:rPr>
        <w:t xml:space="preserve"> </w:t>
      </w:r>
      <w:r>
        <w:rPr>
          <w:rFonts w:ascii="Gill Sans MT"/>
          <w:color w:val="231F20"/>
          <w:w w:val="115"/>
          <w:sz w:val="18"/>
        </w:rPr>
        <w:t>military</w:t>
      </w:r>
      <w:r>
        <w:rPr>
          <w:rFonts w:ascii="Gill Sans MT"/>
          <w:color w:val="231F20"/>
          <w:spacing w:val="-22"/>
          <w:w w:val="115"/>
          <w:sz w:val="18"/>
        </w:rPr>
        <w:t xml:space="preserve"> </w:t>
      </w:r>
      <w:r>
        <w:rPr>
          <w:rFonts w:ascii="Gill Sans MT"/>
          <w:color w:val="231F20"/>
          <w:w w:val="115"/>
          <w:sz w:val="18"/>
        </w:rPr>
        <w:t>junta</w:t>
      </w:r>
      <w:r>
        <w:rPr>
          <w:rFonts w:ascii="Gill Sans MT"/>
          <w:color w:val="231F20"/>
          <w:spacing w:val="-22"/>
          <w:w w:val="115"/>
          <w:sz w:val="18"/>
        </w:rPr>
        <w:t xml:space="preserve"> </w:t>
      </w:r>
      <w:r>
        <w:rPr>
          <w:rFonts w:ascii="Gill Sans MT"/>
          <w:color w:val="231F20"/>
          <w:w w:val="115"/>
          <w:sz w:val="18"/>
        </w:rPr>
        <w:t>collapses.</w:t>
      </w:r>
    </w:p>
    <w:p w14:paraId="12A6DFE6" w14:textId="77777777" w:rsidR="002653E8" w:rsidRDefault="002653E8">
      <w:pPr>
        <w:pStyle w:val="a3"/>
        <w:spacing w:before="7"/>
        <w:rPr>
          <w:rFonts w:ascii="Gill Sans MT"/>
        </w:rPr>
      </w:pPr>
    </w:p>
    <w:p w14:paraId="26E82351" w14:textId="77777777" w:rsidR="002653E8" w:rsidRPr="00846956" w:rsidRDefault="003115E3">
      <w:pPr>
        <w:ind w:left="227"/>
        <w:rPr>
          <w:rFonts w:ascii="Arial"/>
          <w:b/>
          <w:sz w:val="18"/>
          <w:lang w:val="de-DE"/>
        </w:rPr>
      </w:pPr>
      <w:r w:rsidRPr="00846956">
        <w:rPr>
          <w:rFonts w:ascii="Arial"/>
          <w:b/>
          <w:color w:val="231F20"/>
          <w:w w:val="115"/>
          <w:sz w:val="18"/>
          <w:lang w:val="de-DE"/>
        </w:rPr>
        <w:t>September 1974</w:t>
      </w:r>
    </w:p>
    <w:p w14:paraId="329FAD13" w14:textId="77777777" w:rsidR="002653E8" w:rsidRPr="00846956" w:rsidRDefault="003115E3">
      <w:pPr>
        <w:spacing w:before="34" w:line="271" w:lineRule="auto"/>
        <w:ind w:left="227" w:right="1582" w:hanging="1"/>
        <w:rPr>
          <w:rFonts w:ascii="Lucida Sans" w:hAnsi="Lucida Sans"/>
          <w:i/>
          <w:sz w:val="18"/>
          <w:lang w:val="de-DE"/>
        </w:rPr>
      </w:pPr>
      <w:r w:rsidRPr="00846956">
        <w:rPr>
          <w:rFonts w:ascii="Gill Sans MT" w:hAnsi="Gill Sans MT"/>
          <w:color w:val="231F20"/>
          <w:sz w:val="18"/>
          <w:lang w:val="de-DE"/>
        </w:rPr>
        <w:t xml:space="preserve">The </w:t>
      </w:r>
      <w:r w:rsidR="00C507A5" w:rsidRPr="00846956">
        <w:rPr>
          <w:rFonts w:ascii="Gill Sans MT" w:hAnsi="Gill Sans MT"/>
          <w:color w:val="231F20"/>
          <w:sz w:val="18"/>
          <w:lang w:val="de-DE"/>
        </w:rPr>
        <w:t>red army faction</w:t>
      </w:r>
      <w:r w:rsidRPr="00846956">
        <w:rPr>
          <w:rFonts w:ascii="Gill Sans MT" w:hAnsi="Gill Sans MT"/>
          <w:color w:val="231F20"/>
          <w:sz w:val="18"/>
          <w:lang w:val="de-DE"/>
        </w:rPr>
        <w:t xml:space="preserve"> prisoners release </w:t>
      </w:r>
      <w:r w:rsidRPr="00846956">
        <w:rPr>
          <w:rFonts w:ascii="Lucida Sans" w:hAnsi="Lucida Sans"/>
          <w:i/>
          <w:color w:val="231F20"/>
          <w:w w:val="95"/>
          <w:sz w:val="18"/>
          <w:lang w:val="de-DE"/>
        </w:rPr>
        <w:t>provisorisches kampfprogramm für</w:t>
      </w:r>
      <w:r w:rsidRPr="00846956">
        <w:rPr>
          <w:rFonts w:ascii="Lucida Sans" w:hAnsi="Lucida Sans"/>
          <w:i/>
          <w:color w:val="231F20"/>
          <w:spacing w:val="-13"/>
          <w:w w:val="95"/>
          <w:sz w:val="18"/>
          <w:lang w:val="de-DE"/>
        </w:rPr>
        <w:t xml:space="preserve"> </w:t>
      </w:r>
      <w:r w:rsidRPr="00846956">
        <w:rPr>
          <w:rFonts w:ascii="Lucida Sans" w:hAnsi="Lucida Sans"/>
          <w:i/>
          <w:color w:val="231F20"/>
          <w:w w:val="95"/>
          <w:sz w:val="18"/>
          <w:lang w:val="de-DE"/>
        </w:rPr>
        <w:t>den</w:t>
      </w:r>
      <w:r w:rsidRPr="00846956">
        <w:rPr>
          <w:rFonts w:ascii="Lucida Sans" w:hAnsi="Lucida Sans"/>
          <w:i/>
          <w:color w:val="231F20"/>
          <w:spacing w:val="-13"/>
          <w:w w:val="95"/>
          <w:sz w:val="18"/>
          <w:lang w:val="de-DE"/>
        </w:rPr>
        <w:t xml:space="preserve"> </w:t>
      </w:r>
      <w:r w:rsidRPr="00846956">
        <w:rPr>
          <w:rFonts w:ascii="Lucida Sans" w:hAnsi="Lucida Sans"/>
          <w:i/>
          <w:color w:val="231F20"/>
          <w:w w:val="95"/>
          <w:sz w:val="18"/>
          <w:lang w:val="de-DE"/>
        </w:rPr>
        <w:t>kampf</w:t>
      </w:r>
      <w:r w:rsidRPr="00846956">
        <w:rPr>
          <w:rFonts w:ascii="Lucida Sans" w:hAnsi="Lucida Sans"/>
          <w:i/>
          <w:color w:val="231F20"/>
          <w:spacing w:val="-13"/>
          <w:w w:val="95"/>
          <w:sz w:val="18"/>
          <w:lang w:val="de-DE"/>
        </w:rPr>
        <w:t xml:space="preserve"> </w:t>
      </w:r>
      <w:r w:rsidRPr="00846956">
        <w:rPr>
          <w:rFonts w:ascii="Lucida Sans" w:hAnsi="Lucida Sans"/>
          <w:i/>
          <w:color w:val="231F20"/>
          <w:w w:val="95"/>
          <w:sz w:val="18"/>
          <w:lang w:val="de-DE"/>
        </w:rPr>
        <w:t>um</w:t>
      </w:r>
      <w:r w:rsidRPr="00846956">
        <w:rPr>
          <w:rFonts w:ascii="Lucida Sans" w:hAnsi="Lucida Sans"/>
          <w:i/>
          <w:color w:val="231F20"/>
          <w:spacing w:val="-13"/>
          <w:w w:val="95"/>
          <w:sz w:val="18"/>
          <w:lang w:val="de-DE"/>
        </w:rPr>
        <w:t xml:space="preserve"> </w:t>
      </w:r>
      <w:r w:rsidRPr="00846956">
        <w:rPr>
          <w:rFonts w:ascii="Lucida Sans" w:hAnsi="Lucida Sans"/>
          <w:i/>
          <w:color w:val="231F20"/>
          <w:w w:val="95"/>
          <w:sz w:val="18"/>
          <w:lang w:val="de-DE"/>
        </w:rPr>
        <w:t>die</w:t>
      </w:r>
      <w:r w:rsidRPr="00846956">
        <w:rPr>
          <w:rFonts w:ascii="Lucida Sans" w:hAnsi="Lucida Sans"/>
          <w:i/>
          <w:color w:val="231F20"/>
          <w:spacing w:val="-13"/>
          <w:w w:val="95"/>
          <w:sz w:val="18"/>
          <w:lang w:val="de-DE"/>
        </w:rPr>
        <w:t xml:space="preserve"> </w:t>
      </w:r>
      <w:r w:rsidRPr="00846956">
        <w:rPr>
          <w:rFonts w:ascii="Lucida Sans" w:hAnsi="Lucida Sans"/>
          <w:i/>
          <w:color w:val="231F20"/>
          <w:w w:val="95"/>
          <w:sz w:val="18"/>
          <w:lang w:val="de-DE"/>
        </w:rPr>
        <w:t xml:space="preserve">politischen </w:t>
      </w:r>
      <w:r w:rsidRPr="00846956">
        <w:rPr>
          <w:rFonts w:ascii="Lucida Sans" w:hAnsi="Lucida Sans"/>
          <w:i/>
          <w:color w:val="231F20"/>
          <w:sz w:val="18"/>
          <w:lang w:val="de-DE"/>
        </w:rPr>
        <w:t>Rechte</w:t>
      </w:r>
      <w:r w:rsidRPr="00846956">
        <w:rPr>
          <w:rFonts w:ascii="Lucida Sans" w:hAnsi="Lucida Sans"/>
          <w:i/>
          <w:color w:val="231F20"/>
          <w:spacing w:val="-37"/>
          <w:sz w:val="18"/>
          <w:lang w:val="de-DE"/>
        </w:rPr>
        <w:t xml:space="preserve"> </w:t>
      </w:r>
      <w:r w:rsidRPr="00846956">
        <w:rPr>
          <w:rFonts w:ascii="Lucida Sans" w:hAnsi="Lucida Sans"/>
          <w:i/>
          <w:color w:val="231F20"/>
          <w:sz w:val="18"/>
          <w:lang w:val="de-DE"/>
        </w:rPr>
        <w:t>der</w:t>
      </w:r>
      <w:r w:rsidRPr="00846956">
        <w:rPr>
          <w:rFonts w:ascii="Lucida Sans" w:hAnsi="Lucida Sans"/>
          <w:i/>
          <w:color w:val="231F20"/>
          <w:spacing w:val="-37"/>
          <w:sz w:val="18"/>
          <w:lang w:val="de-DE"/>
        </w:rPr>
        <w:t xml:space="preserve"> </w:t>
      </w:r>
      <w:r w:rsidRPr="00846956">
        <w:rPr>
          <w:rFonts w:ascii="Lucida Sans" w:hAnsi="Lucida Sans"/>
          <w:i/>
          <w:color w:val="231F20"/>
          <w:sz w:val="18"/>
          <w:lang w:val="de-DE"/>
        </w:rPr>
        <w:t>gefangenen</w:t>
      </w:r>
      <w:r w:rsidRPr="00846956">
        <w:rPr>
          <w:rFonts w:ascii="Lucida Sans" w:hAnsi="Lucida Sans"/>
          <w:i/>
          <w:color w:val="231F20"/>
          <w:spacing w:val="-37"/>
          <w:sz w:val="18"/>
          <w:lang w:val="de-DE"/>
        </w:rPr>
        <w:t xml:space="preserve"> </w:t>
      </w:r>
      <w:r w:rsidRPr="00846956">
        <w:rPr>
          <w:rFonts w:ascii="Lucida Sans" w:hAnsi="Lucida Sans"/>
          <w:i/>
          <w:color w:val="231F20"/>
          <w:sz w:val="18"/>
          <w:lang w:val="de-DE"/>
        </w:rPr>
        <w:t>Arbeiter</w:t>
      </w:r>
    </w:p>
    <w:p w14:paraId="32BF72CB" w14:textId="77777777" w:rsidR="002653E8" w:rsidRDefault="003115E3">
      <w:pPr>
        <w:spacing w:before="6" w:line="276" w:lineRule="auto"/>
        <w:ind w:left="227" w:right="1385"/>
        <w:rPr>
          <w:rFonts w:ascii="Gill Sans MT"/>
          <w:sz w:val="18"/>
        </w:rPr>
      </w:pPr>
      <w:r>
        <w:rPr>
          <w:rFonts w:ascii="Gill Sans MT"/>
          <w:color w:val="231F20"/>
          <w:w w:val="110"/>
          <w:sz w:val="18"/>
        </w:rPr>
        <w:t>(Provisional Program of Struggle for the Political Rights of Imprisoned Workers), the only document</w:t>
      </w:r>
    </w:p>
    <w:p w14:paraId="75A394C2" w14:textId="77777777" w:rsidR="002653E8" w:rsidRDefault="003115E3">
      <w:pPr>
        <w:spacing w:line="276" w:lineRule="auto"/>
        <w:ind w:left="227" w:right="1556"/>
        <w:rPr>
          <w:rFonts w:ascii="Gill Sans MT"/>
          <w:sz w:val="18"/>
        </w:rPr>
      </w:pPr>
      <w:r>
        <w:rPr>
          <w:rFonts w:ascii="Gill Sans MT"/>
          <w:color w:val="231F20"/>
          <w:w w:val="110"/>
          <w:sz w:val="18"/>
        </w:rPr>
        <w:t>they will ever release addressing prisoners in general.</w:t>
      </w:r>
    </w:p>
    <w:p w14:paraId="1F8ECD77" w14:textId="77777777" w:rsidR="002653E8" w:rsidRDefault="002653E8">
      <w:pPr>
        <w:pStyle w:val="a3"/>
        <w:spacing w:before="6"/>
        <w:rPr>
          <w:rFonts w:ascii="Gill Sans MT"/>
        </w:rPr>
      </w:pPr>
    </w:p>
    <w:p w14:paraId="446D12CA" w14:textId="77777777" w:rsidR="002653E8" w:rsidRDefault="003115E3">
      <w:pPr>
        <w:ind w:left="227"/>
        <w:rPr>
          <w:rFonts w:ascii="Arial" w:hAnsi="Arial"/>
          <w:b/>
          <w:sz w:val="18"/>
        </w:rPr>
      </w:pPr>
      <w:r>
        <w:rPr>
          <w:rFonts w:ascii="Arial" w:hAnsi="Arial"/>
          <w:b/>
          <w:color w:val="231F20"/>
          <w:w w:val="115"/>
          <w:sz w:val="18"/>
        </w:rPr>
        <w:t>Sept. 13, 1974–Feb. 5, 1975</w:t>
      </w:r>
    </w:p>
    <w:p w14:paraId="2776B0F1" w14:textId="77777777" w:rsidR="002653E8" w:rsidRDefault="003115E3">
      <w:pPr>
        <w:spacing w:before="35" w:line="276" w:lineRule="auto"/>
        <w:ind w:left="227" w:right="1486"/>
        <w:rPr>
          <w:rFonts w:ascii="Gill Sans MT" w:hAnsi="Gill Sans MT"/>
          <w:sz w:val="18"/>
        </w:rPr>
      </w:pPr>
      <w:r>
        <w:rPr>
          <w:rFonts w:ascii="Gill Sans MT" w:hAnsi="Gill Sans MT"/>
          <w:color w:val="231F20"/>
          <w:w w:val="110"/>
          <w:sz w:val="18"/>
        </w:rPr>
        <w:t xml:space="preserve">ulrike Meinhof announces the </w:t>
      </w:r>
      <w:r w:rsidR="00C507A5">
        <w:rPr>
          <w:rFonts w:ascii="Gill Sans MT" w:hAnsi="Gill Sans MT"/>
          <w:color w:val="231F20"/>
          <w:w w:val="110"/>
          <w:sz w:val="18"/>
        </w:rPr>
        <w:t>red army faction</w:t>
      </w:r>
      <w:r>
        <w:rPr>
          <w:rFonts w:ascii="Gill Sans MT" w:hAnsi="Gill Sans MT"/>
          <w:color w:val="231F20"/>
          <w:w w:val="110"/>
          <w:sz w:val="18"/>
        </w:rPr>
        <w:t xml:space="preserve"> prisoners’ </w:t>
      </w:r>
      <w:r>
        <w:rPr>
          <w:rFonts w:ascii="Arial" w:hAnsi="Arial"/>
          <w:color w:val="231F20"/>
          <w:w w:val="110"/>
          <w:sz w:val="18"/>
        </w:rPr>
        <w:t>3</w:t>
      </w:r>
      <w:r>
        <w:rPr>
          <w:rFonts w:ascii="Gill Sans MT" w:hAnsi="Gill Sans MT"/>
          <w:color w:val="231F20"/>
          <w:w w:val="110"/>
          <w:sz w:val="18"/>
        </w:rPr>
        <w:t>rd collective hunger strike while testifying at the trial where she, Horst Mahler, and Hans-Jürgen Bäcker face charges related to Baader’s breakout from the Institute for Social Reserach Library. For the first time, the prisoners demand association with</w:t>
      </w:r>
    </w:p>
    <w:p w14:paraId="0F6ED410" w14:textId="77777777" w:rsidR="002653E8" w:rsidRDefault="003115E3">
      <w:pPr>
        <w:spacing w:line="276" w:lineRule="auto"/>
        <w:ind w:left="227" w:right="1392"/>
        <w:rPr>
          <w:rFonts w:ascii="Gill Sans MT"/>
          <w:sz w:val="18"/>
        </w:rPr>
      </w:pPr>
      <w:r>
        <w:rPr>
          <w:rFonts w:ascii="Gill Sans MT"/>
          <w:color w:val="231F20"/>
          <w:w w:val="115"/>
          <w:sz w:val="18"/>
        </w:rPr>
        <w:t>one</w:t>
      </w:r>
      <w:r>
        <w:rPr>
          <w:rFonts w:ascii="Gill Sans MT"/>
          <w:color w:val="231F20"/>
          <w:spacing w:val="-32"/>
          <w:w w:val="115"/>
          <w:sz w:val="18"/>
        </w:rPr>
        <w:t xml:space="preserve"> </w:t>
      </w:r>
      <w:r>
        <w:rPr>
          <w:rFonts w:ascii="Gill Sans MT"/>
          <w:color w:val="231F20"/>
          <w:spacing w:val="-3"/>
          <w:w w:val="115"/>
          <w:sz w:val="18"/>
        </w:rPr>
        <w:t>another,</w:t>
      </w:r>
      <w:r>
        <w:rPr>
          <w:rFonts w:ascii="Gill Sans MT"/>
          <w:color w:val="231F20"/>
          <w:spacing w:val="-32"/>
          <w:w w:val="115"/>
          <w:sz w:val="18"/>
        </w:rPr>
        <w:t xml:space="preserve"> </w:t>
      </w:r>
      <w:r>
        <w:rPr>
          <w:rFonts w:ascii="Gill Sans MT"/>
          <w:color w:val="231F20"/>
          <w:w w:val="115"/>
          <w:sz w:val="18"/>
        </w:rPr>
        <w:t>rather</w:t>
      </w:r>
      <w:r>
        <w:rPr>
          <w:rFonts w:ascii="Gill Sans MT"/>
          <w:color w:val="231F20"/>
          <w:spacing w:val="-32"/>
          <w:w w:val="115"/>
          <w:sz w:val="18"/>
        </w:rPr>
        <w:t xml:space="preserve"> </w:t>
      </w:r>
      <w:r>
        <w:rPr>
          <w:rFonts w:ascii="Gill Sans MT"/>
          <w:color w:val="231F20"/>
          <w:w w:val="115"/>
          <w:sz w:val="18"/>
        </w:rPr>
        <w:t>than</w:t>
      </w:r>
      <w:r>
        <w:rPr>
          <w:rFonts w:ascii="Gill Sans MT"/>
          <w:color w:val="231F20"/>
          <w:spacing w:val="-32"/>
          <w:w w:val="115"/>
          <w:sz w:val="18"/>
        </w:rPr>
        <w:t xml:space="preserve"> </w:t>
      </w:r>
      <w:r>
        <w:rPr>
          <w:rFonts w:ascii="Gill Sans MT"/>
          <w:color w:val="231F20"/>
          <w:w w:val="115"/>
          <w:sz w:val="18"/>
        </w:rPr>
        <w:t>integration</w:t>
      </w:r>
      <w:r>
        <w:rPr>
          <w:rFonts w:ascii="Gill Sans MT"/>
          <w:color w:val="231F20"/>
          <w:w w:val="112"/>
          <w:sz w:val="18"/>
        </w:rPr>
        <w:t xml:space="preserve"> </w:t>
      </w:r>
      <w:r>
        <w:rPr>
          <w:rFonts w:ascii="Gill Sans MT"/>
          <w:color w:val="231F20"/>
          <w:w w:val="115"/>
          <w:sz w:val="18"/>
        </w:rPr>
        <w:t>into general population. At least thirty-one</w:t>
      </w:r>
      <w:r>
        <w:rPr>
          <w:rFonts w:ascii="Gill Sans MT"/>
          <w:color w:val="231F20"/>
          <w:spacing w:val="-21"/>
          <w:w w:val="115"/>
          <w:sz w:val="18"/>
        </w:rPr>
        <w:t xml:space="preserve"> </w:t>
      </w:r>
      <w:r>
        <w:rPr>
          <w:rFonts w:ascii="Gill Sans MT"/>
          <w:color w:val="231F20"/>
          <w:w w:val="115"/>
          <w:sz w:val="18"/>
        </w:rPr>
        <w:t>prisoners,</w:t>
      </w:r>
      <w:r>
        <w:rPr>
          <w:rFonts w:ascii="Gill Sans MT"/>
          <w:color w:val="231F20"/>
          <w:spacing w:val="-21"/>
          <w:w w:val="115"/>
          <w:sz w:val="18"/>
        </w:rPr>
        <w:t xml:space="preserve"> </w:t>
      </w:r>
      <w:r>
        <w:rPr>
          <w:rFonts w:ascii="Gill Sans MT"/>
          <w:color w:val="231F20"/>
          <w:w w:val="115"/>
          <w:sz w:val="18"/>
        </w:rPr>
        <w:t>including</w:t>
      </w:r>
      <w:r>
        <w:rPr>
          <w:rFonts w:ascii="Gill Sans MT"/>
          <w:color w:val="231F20"/>
          <w:spacing w:val="-21"/>
          <w:w w:val="115"/>
          <w:sz w:val="18"/>
        </w:rPr>
        <w:t xml:space="preserve"> </w:t>
      </w:r>
      <w:r>
        <w:rPr>
          <w:rFonts w:ascii="Gill Sans MT"/>
          <w:color w:val="231F20"/>
          <w:w w:val="115"/>
          <w:sz w:val="18"/>
        </w:rPr>
        <w:t>2JM prisoners</w:t>
      </w:r>
      <w:r>
        <w:rPr>
          <w:rFonts w:ascii="Gill Sans MT"/>
          <w:color w:val="231F20"/>
          <w:spacing w:val="-18"/>
          <w:w w:val="115"/>
          <w:sz w:val="18"/>
        </w:rPr>
        <w:t xml:space="preserve"> </w:t>
      </w:r>
      <w:r>
        <w:rPr>
          <w:rFonts w:ascii="Gill Sans MT"/>
          <w:color w:val="231F20"/>
          <w:w w:val="115"/>
          <w:sz w:val="18"/>
        </w:rPr>
        <w:t>and</w:t>
      </w:r>
      <w:r>
        <w:rPr>
          <w:rFonts w:ascii="Gill Sans MT"/>
          <w:color w:val="231F20"/>
          <w:spacing w:val="-18"/>
          <w:w w:val="115"/>
          <w:sz w:val="18"/>
        </w:rPr>
        <w:t xml:space="preserve"> </w:t>
      </w:r>
      <w:r>
        <w:rPr>
          <w:rFonts w:ascii="Gill Sans MT"/>
          <w:color w:val="231F20"/>
          <w:w w:val="115"/>
          <w:sz w:val="18"/>
        </w:rPr>
        <w:t>others</w:t>
      </w:r>
      <w:r>
        <w:rPr>
          <w:rFonts w:ascii="Gill Sans MT"/>
          <w:color w:val="231F20"/>
          <w:spacing w:val="-18"/>
          <w:w w:val="115"/>
          <w:sz w:val="18"/>
        </w:rPr>
        <w:t xml:space="preserve"> </w:t>
      </w:r>
      <w:r>
        <w:rPr>
          <w:rFonts w:ascii="Gill Sans MT"/>
          <w:color w:val="231F20"/>
          <w:w w:val="115"/>
          <w:sz w:val="18"/>
        </w:rPr>
        <w:t>participate.</w:t>
      </w:r>
    </w:p>
    <w:p w14:paraId="29CA1A5E" w14:textId="77777777" w:rsidR="002653E8" w:rsidRDefault="002653E8">
      <w:pPr>
        <w:pStyle w:val="a3"/>
        <w:spacing w:before="4"/>
        <w:rPr>
          <w:rFonts w:ascii="Gill Sans MT"/>
        </w:rPr>
      </w:pPr>
    </w:p>
    <w:p w14:paraId="49625699" w14:textId="77777777" w:rsidR="002653E8" w:rsidRDefault="003115E3">
      <w:pPr>
        <w:ind w:left="227"/>
        <w:rPr>
          <w:rFonts w:ascii="Arial"/>
          <w:b/>
          <w:sz w:val="18"/>
        </w:rPr>
      </w:pPr>
      <w:r>
        <w:rPr>
          <w:rFonts w:ascii="Arial"/>
          <w:b/>
          <w:color w:val="231F20"/>
          <w:w w:val="115"/>
          <w:sz w:val="18"/>
        </w:rPr>
        <w:t>September 27, 1974</w:t>
      </w:r>
    </w:p>
    <w:p w14:paraId="5CA10C3D" w14:textId="77777777" w:rsidR="002653E8" w:rsidRDefault="003115E3">
      <w:pPr>
        <w:spacing w:before="34" w:line="276" w:lineRule="auto"/>
        <w:ind w:left="227" w:right="1359"/>
        <w:rPr>
          <w:rFonts w:ascii="Gill Sans MT" w:hAnsi="Gill Sans MT"/>
          <w:sz w:val="18"/>
        </w:rPr>
      </w:pPr>
      <w:r>
        <w:rPr>
          <w:rFonts w:ascii="Gill Sans MT" w:hAnsi="Gill Sans MT"/>
          <w:color w:val="231F20"/>
          <w:w w:val="110"/>
          <w:sz w:val="18"/>
        </w:rPr>
        <w:t xml:space="preserve">Monika Berberich reads a statement expelling Horst Mahler from the </w:t>
      </w:r>
      <w:r w:rsidR="00C507A5">
        <w:rPr>
          <w:rFonts w:ascii="Gill Sans MT" w:hAnsi="Gill Sans MT"/>
          <w:color w:val="231F20"/>
          <w:w w:val="110"/>
          <w:sz w:val="18"/>
        </w:rPr>
        <w:t>red army faction</w:t>
      </w:r>
      <w:r>
        <w:rPr>
          <w:rFonts w:ascii="Gill Sans MT" w:hAnsi="Gill Sans MT"/>
          <w:color w:val="231F20"/>
          <w:w w:val="110"/>
          <w:sz w:val="18"/>
        </w:rPr>
        <w:t xml:space="preserve"> during the Bäcker-MahlerMeinhof trial at which she is testifying. Mahler has by this time joined the Maoist KPd (previously known as the KPd/AO).</w:t>
      </w:r>
    </w:p>
    <w:p w14:paraId="295F6624" w14:textId="77777777" w:rsidR="002653E8" w:rsidRDefault="002653E8">
      <w:pPr>
        <w:spacing w:line="276" w:lineRule="auto"/>
        <w:rPr>
          <w:rFonts w:ascii="Gill Sans MT" w:hAnsi="Gill Sans MT"/>
          <w:sz w:val="18"/>
        </w:rPr>
        <w:sectPr w:rsidR="002653E8">
          <w:footerReference w:type="default" r:id="rId509"/>
          <w:pgSz w:w="8640" w:h="12960"/>
          <w:pgMar w:top="1060" w:right="0" w:bottom="280" w:left="0" w:header="0" w:footer="0" w:gutter="0"/>
          <w:cols w:num="2" w:space="720" w:equalWidth="0">
            <w:col w:w="4083" w:space="40"/>
            <w:col w:w="4517"/>
          </w:cols>
        </w:sectPr>
      </w:pPr>
    </w:p>
    <w:p w14:paraId="4BDE2EB8" w14:textId="77777777" w:rsidR="002653E8" w:rsidRDefault="002653E8">
      <w:pPr>
        <w:pStyle w:val="a3"/>
        <w:rPr>
          <w:rFonts w:ascii="Gill Sans MT"/>
        </w:rPr>
      </w:pPr>
    </w:p>
    <w:p w14:paraId="25B3392A" w14:textId="77777777" w:rsidR="002653E8" w:rsidRDefault="002653E8">
      <w:pPr>
        <w:pStyle w:val="a3"/>
        <w:rPr>
          <w:rFonts w:ascii="Gill Sans MT"/>
        </w:rPr>
      </w:pPr>
    </w:p>
    <w:p w14:paraId="67A4BE72" w14:textId="77777777" w:rsidR="002653E8" w:rsidRDefault="002653E8">
      <w:pPr>
        <w:pStyle w:val="a3"/>
        <w:spacing w:before="6"/>
        <w:rPr>
          <w:rFonts w:ascii="Gill Sans MT"/>
          <w:sz w:val="18"/>
        </w:rPr>
      </w:pPr>
    </w:p>
    <w:p w14:paraId="362B127A" w14:textId="77777777" w:rsidR="002653E8" w:rsidRDefault="003115E3">
      <w:pPr>
        <w:tabs>
          <w:tab w:val="left" w:pos="3677"/>
        </w:tabs>
        <w:spacing w:line="244" w:lineRule="auto"/>
        <w:ind w:left="5488" w:right="1325" w:hanging="4341"/>
        <w:rPr>
          <w:sz w:val="18"/>
        </w:rPr>
      </w:pPr>
      <w:r>
        <w:rPr>
          <w:color w:val="231F20"/>
          <w:spacing w:val="15"/>
          <w:w w:val="110"/>
          <w:position w:val="5"/>
          <w:sz w:val="18"/>
        </w:rPr>
        <w:t>594</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20"/>
          <w:w w:val="110"/>
          <w:sz w:val="18"/>
        </w:rPr>
        <w:t xml:space="preserve">germany </w:t>
      </w:r>
      <w:r>
        <w:rPr>
          <w:color w:val="231F20"/>
          <w:spacing w:val="18"/>
          <w:w w:val="110"/>
          <w:sz w:val="18"/>
        </w:rPr>
        <w:lastRenderedPageBreak/>
        <w:t xml:space="preserve">february </w:t>
      </w:r>
      <w:r>
        <w:rPr>
          <w:color w:val="231F20"/>
          <w:spacing w:val="11"/>
          <w:w w:val="110"/>
          <w:sz w:val="18"/>
        </w:rPr>
        <w:t>4,</w:t>
      </w:r>
      <w:r>
        <w:rPr>
          <w:color w:val="231F20"/>
          <w:spacing w:val="22"/>
          <w:w w:val="110"/>
          <w:sz w:val="18"/>
        </w:rPr>
        <w:t xml:space="preserve"> </w:t>
      </w:r>
      <w:r>
        <w:rPr>
          <w:color w:val="231F20"/>
          <w:spacing w:val="17"/>
          <w:w w:val="110"/>
          <w:sz w:val="18"/>
        </w:rPr>
        <w:t>1974</w:t>
      </w:r>
      <w:r>
        <w:rPr>
          <w:color w:val="231F20"/>
          <w:spacing w:val="-15"/>
          <w:sz w:val="18"/>
        </w:rPr>
        <w:t xml:space="preserve"> </w:t>
      </w:r>
    </w:p>
    <w:p w14:paraId="2D709DD9" w14:textId="77777777" w:rsidR="002653E8" w:rsidRDefault="002653E8">
      <w:pPr>
        <w:spacing w:line="244" w:lineRule="auto"/>
        <w:rPr>
          <w:sz w:val="18"/>
        </w:rPr>
        <w:sectPr w:rsidR="002653E8">
          <w:type w:val="continuous"/>
          <w:pgSz w:w="8640" w:h="12960"/>
          <w:pgMar w:top="0" w:right="0" w:bottom="0" w:left="0" w:header="720" w:footer="720" w:gutter="0"/>
          <w:cols w:space="720"/>
        </w:sectPr>
      </w:pPr>
    </w:p>
    <w:p w14:paraId="54646B44" w14:textId="77777777" w:rsidR="002653E8" w:rsidRDefault="003115E3">
      <w:pPr>
        <w:spacing w:before="91"/>
        <w:ind w:left="1327"/>
        <w:rPr>
          <w:rFonts w:ascii="Arial"/>
          <w:b/>
          <w:sz w:val="18"/>
        </w:rPr>
      </w:pPr>
      <w:r>
        <w:rPr>
          <w:rFonts w:ascii="Arial"/>
          <w:b/>
          <w:color w:val="231F20"/>
          <w:w w:val="115"/>
          <w:sz w:val="18"/>
        </w:rPr>
        <w:lastRenderedPageBreak/>
        <w:t>October 2, 1974</w:t>
      </w:r>
    </w:p>
    <w:p w14:paraId="2B73FCF3" w14:textId="77777777" w:rsidR="002653E8" w:rsidRDefault="003115E3">
      <w:pPr>
        <w:spacing w:before="34" w:line="276" w:lineRule="auto"/>
        <w:ind w:left="1327" w:right="380"/>
        <w:rPr>
          <w:rFonts w:ascii="Gill Sans MT"/>
          <w:sz w:val="18"/>
        </w:rPr>
      </w:pPr>
      <w:r>
        <w:rPr>
          <w:rFonts w:ascii="Gill Sans MT"/>
          <w:color w:val="231F20"/>
          <w:w w:val="115"/>
          <w:sz w:val="18"/>
        </w:rPr>
        <w:t>The perceived leadership of the</w:t>
      </w:r>
      <w:r>
        <w:rPr>
          <w:rFonts w:ascii="Gill Sans MT"/>
          <w:color w:val="231F20"/>
          <w:spacing w:val="-22"/>
          <w:w w:val="115"/>
          <w:sz w:val="18"/>
        </w:rPr>
        <w:t xml:space="preserve"> </w:t>
      </w:r>
      <w:r w:rsidR="00C507A5">
        <w:rPr>
          <w:rFonts w:ascii="Gill Sans MT"/>
          <w:color w:val="231F20"/>
          <w:spacing w:val="-8"/>
          <w:w w:val="115"/>
          <w:sz w:val="18"/>
        </w:rPr>
        <w:t>red army faction</w:t>
      </w:r>
      <w:r>
        <w:rPr>
          <w:rFonts w:ascii="Gill Sans MT"/>
          <w:color w:val="231F20"/>
          <w:spacing w:val="-8"/>
          <w:w w:val="115"/>
          <w:sz w:val="18"/>
        </w:rPr>
        <w:t>,</w:t>
      </w:r>
      <w:r>
        <w:rPr>
          <w:rFonts w:ascii="Gill Sans MT"/>
          <w:color w:val="231F20"/>
          <w:spacing w:val="-22"/>
          <w:w w:val="115"/>
          <w:sz w:val="18"/>
        </w:rPr>
        <w:t xml:space="preserve"> </w:t>
      </w:r>
      <w:r>
        <w:rPr>
          <w:rFonts w:ascii="Gill Sans MT"/>
          <w:color w:val="231F20"/>
          <w:w w:val="115"/>
          <w:sz w:val="18"/>
        </w:rPr>
        <w:t>Andreas</w:t>
      </w:r>
      <w:r>
        <w:rPr>
          <w:rFonts w:ascii="Gill Sans MT"/>
          <w:color w:val="231F20"/>
          <w:spacing w:val="-22"/>
          <w:w w:val="115"/>
          <w:sz w:val="18"/>
        </w:rPr>
        <w:t xml:space="preserve"> </w:t>
      </w:r>
      <w:r>
        <w:rPr>
          <w:rFonts w:ascii="Gill Sans MT"/>
          <w:color w:val="231F20"/>
          <w:spacing w:val="-3"/>
          <w:w w:val="115"/>
          <w:sz w:val="18"/>
        </w:rPr>
        <w:t>Baader,</w:t>
      </w:r>
      <w:r>
        <w:rPr>
          <w:rFonts w:ascii="Gill Sans MT"/>
          <w:color w:val="231F20"/>
          <w:spacing w:val="-22"/>
          <w:w w:val="115"/>
          <w:sz w:val="18"/>
        </w:rPr>
        <w:t xml:space="preserve"> </w:t>
      </w:r>
      <w:r>
        <w:rPr>
          <w:rFonts w:ascii="Gill Sans MT"/>
          <w:color w:val="231F20"/>
          <w:w w:val="115"/>
          <w:sz w:val="18"/>
        </w:rPr>
        <w:t>ulrike</w:t>
      </w:r>
    </w:p>
    <w:p w14:paraId="1BBBC9AD" w14:textId="77777777" w:rsidR="002653E8" w:rsidRDefault="003115E3">
      <w:pPr>
        <w:spacing w:line="276" w:lineRule="auto"/>
        <w:ind w:left="1327" w:right="116"/>
        <w:rPr>
          <w:rFonts w:ascii="Gill Sans MT"/>
          <w:sz w:val="18"/>
        </w:rPr>
      </w:pPr>
      <w:r>
        <w:rPr>
          <w:rFonts w:ascii="Gill Sans MT"/>
          <w:color w:val="231F20"/>
          <w:w w:val="115"/>
          <w:sz w:val="18"/>
        </w:rPr>
        <w:t>Meinhof, Gudrun Ensslin, Jan-Carl Raspe, and Holger Meins are indicted on dozens of charges.</w:t>
      </w:r>
    </w:p>
    <w:p w14:paraId="0E34ABB2" w14:textId="77777777" w:rsidR="002653E8" w:rsidRDefault="002653E8">
      <w:pPr>
        <w:pStyle w:val="a3"/>
        <w:spacing w:before="6"/>
        <w:rPr>
          <w:rFonts w:ascii="Gill Sans MT"/>
        </w:rPr>
      </w:pPr>
    </w:p>
    <w:p w14:paraId="15AB87D6" w14:textId="77777777" w:rsidR="002653E8" w:rsidRDefault="003115E3">
      <w:pPr>
        <w:spacing w:before="1"/>
        <w:ind w:left="1327"/>
        <w:rPr>
          <w:rFonts w:ascii="Arial"/>
          <w:b/>
          <w:sz w:val="18"/>
        </w:rPr>
      </w:pPr>
      <w:r>
        <w:rPr>
          <w:rFonts w:ascii="Arial"/>
          <w:b/>
          <w:color w:val="231F20"/>
          <w:w w:val="115"/>
          <w:sz w:val="18"/>
        </w:rPr>
        <w:t>October 16, 1974</w:t>
      </w:r>
    </w:p>
    <w:p w14:paraId="7086CABF" w14:textId="77777777" w:rsidR="002653E8" w:rsidRDefault="003115E3">
      <w:pPr>
        <w:spacing w:before="34" w:line="276" w:lineRule="auto"/>
        <w:ind w:left="1327" w:right="102"/>
        <w:rPr>
          <w:rFonts w:ascii="Gill Sans MT"/>
          <w:sz w:val="18"/>
        </w:rPr>
      </w:pPr>
      <w:r>
        <w:rPr>
          <w:rFonts w:ascii="Gill Sans MT"/>
          <w:color w:val="231F20"/>
          <w:w w:val="110"/>
          <w:sz w:val="18"/>
        </w:rPr>
        <w:t xml:space="preserve">The BAW files for seizure of the correspondence between defense attorney Kurt Groenewold and the </w:t>
      </w:r>
      <w:r w:rsidR="00C507A5">
        <w:rPr>
          <w:rFonts w:ascii="Gill Sans MT"/>
          <w:color w:val="231F20"/>
          <w:w w:val="110"/>
          <w:sz w:val="18"/>
        </w:rPr>
        <w:t>red army faction</w:t>
      </w:r>
      <w:r>
        <w:rPr>
          <w:rFonts w:ascii="Gill Sans MT"/>
          <w:color w:val="231F20"/>
          <w:w w:val="110"/>
          <w:sz w:val="18"/>
        </w:rPr>
        <w:t xml:space="preserve"> prisoners on the basis of a claim that attorneys form the core of an illegal </w:t>
      </w:r>
      <w:r w:rsidR="00C507A5">
        <w:rPr>
          <w:rFonts w:ascii="Gill Sans MT"/>
          <w:color w:val="231F20"/>
          <w:w w:val="110"/>
          <w:sz w:val="18"/>
        </w:rPr>
        <w:t>red army faction</w:t>
      </w:r>
      <w:r>
        <w:rPr>
          <w:rFonts w:ascii="Gill Sans MT"/>
          <w:color w:val="231F20"/>
          <w:w w:val="110"/>
          <w:sz w:val="18"/>
        </w:rPr>
        <w:t xml:space="preserve"> communication system.</w:t>
      </w:r>
    </w:p>
    <w:p w14:paraId="7E1CEF74" w14:textId="77777777" w:rsidR="002653E8" w:rsidRDefault="002653E8">
      <w:pPr>
        <w:pStyle w:val="a3"/>
        <w:spacing w:before="6"/>
        <w:rPr>
          <w:rFonts w:ascii="Gill Sans MT"/>
        </w:rPr>
      </w:pPr>
    </w:p>
    <w:p w14:paraId="371B2EE6" w14:textId="77777777" w:rsidR="002653E8" w:rsidRDefault="003115E3">
      <w:pPr>
        <w:ind w:left="1327"/>
        <w:rPr>
          <w:rFonts w:ascii="Arial"/>
          <w:b/>
          <w:sz w:val="18"/>
        </w:rPr>
      </w:pPr>
      <w:r>
        <w:rPr>
          <w:rFonts w:ascii="Arial"/>
          <w:b/>
          <w:color w:val="231F20"/>
          <w:w w:val="115"/>
          <w:sz w:val="18"/>
        </w:rPr>
        <w:t>November 9, 1974</w:t>
      </w:r>
    </w:p>
    <w:p w14:paraId="28E30DD7" w14:textId="77777777" w:rsidR="002653E8" w:rsidRDefault="00C507A5">
      <w:pPr>
        <w:spacing w:before="35" w:line="276" w:lineRule="auto"/>
        <w:ind w:left="1327" w:right="201"/>
        <w:rPr>
          <w:rFonts w:ascii="Gill Sans MT"/>
          <w:sz w:val="18"/>
        </w:rPr>
      </w:pPr>
      <w:r>
        <w:rPr>
          <w:rFonts w:ascii="Gill Sans MT"/>
          <w:color w:val="231F20"/>
          <w:w w:val="110"/>
          <w:sz w:val="18"/>
        </w:rPr>
        <w:t>red army faction</w:t>
      </w:r>
      <w:r w:rsidR="003115E3">
        <w:rPr>
          <w:rFonts w:ascii="Gill Sans MT"/>
          <w:color w:val="231F20"/>
          <w:w w:val="110"/>
          <w:sz w:val="18"/>
        </w:rPr>
        <w:t xml:space="preserve"> member Holger Meins dies after almost two months on hunger strike against isolation. demonstrations break out all over West Germany.</w:t>
      </w:r>
    </w:p>
    <w:p w14:paraId="2996B43E" w14:textId="77777777" w:rsidR="002653E8" w:rsidRDefault="002653E8">
      <w:pPr>
        <w:pStyle w:val="a3"/>
        <w:spacing w:before="6"/>
        <w:rPr>
          <w:rFonts w:ascii="Gill Sans MT"/>
        </w:rPr>
      </w:pPr>
    </w:p>
    <w:p w14:paraId="158D7EC6" w14:textId="77777777" w:rsidR="002653E8" w:rsidRDefault="003115E3">
      <w:pPr>
        <w:ind w:left="1327"/>
        <w:rPr>
          <w:rFonts w:ascii="Arial"/>
          <w:b/>
          <w:sz w:val="18"/>
        </w:rPr>
      </w:pPr>
      <w:r>
        <w:rPr>
          <w:rFonts w:ascii="Arial"/>
          <w:b/>
          <w:color w:val="231F20"/>
          <w:w w:val="115"/>
          <w:sz w:val="18"/>
        </w:rPr>
        <w:t>November 10, 1974</w:t>
      </w:r>
    </w:p>
    <w:p w14:paraId="70453A02" w14:textId="77777777" w:rsidR="002653E8" w:rsidRDefault="003115E3">
      <w:pPr>
        <w:spacing w:before="35" w:line="276" w:lineRule="auto"/>
        <w:ind w:left="1327" w:right="-17"/>
        <w:rPr>
          <w:rFonts w:ascii="Gill Sans MT" w:hAnsi="Gill Sans MT"/>
          <w:sz w:val="18"/>
        </w:rPr>
      </w:pPr>
      <w:r>
        <w:rPr>
          <w:rFonts w:ascii="Gill Sans MT" w:hAnsi="Gill Sans MT"/>
          <w:color w:val="231F20"/>
          <w:w w:val="110"/>
          <w:sz w:val="18"/>
        </w:rPr>
        <w:t xml:space="preserve">Günter von drenkmann, President of </w:t>
      </w:r>
      <w:r>
        <w:rPr>
          <w:rFonts w:ascii="Gill Sans MT" w:hAnsi="Gill Sans MT"/>
          <w:color w:val="231F20"/>
          <w:spacing w:val="-3"/>
          <w:w w:val="110"/>
          <w:sz w:val="18"/>
        </w:rPr>
        <w:t xml:space="preserve">West </w:t>
      </w:r>
      <w:r>
        <w:rPr>
          <w:rFonts w:ascii="Gill Sans MT" w:hAnsi="Gill Sans MT"/>
          <w:color w:val="231F20"/>
          <w:w w:val="110"/>
          <w:sz w:val="18"/>
        </w:rPr>
        <w:t>Berlin Supreme Court, is killed during an attempted kidnapping by the 2JM. A communiqué is issued claiming the action in retaliation for the death of Holger Meins.</w:t>
      </w:r>
    </w:p>
    <w:p w14:paraId="2ACF54E4" w14:textId="77777777" w:rsidR="002653E8" w:rsidRDefault="002653E8">
      <w:pPr>
        <w:pStyle w:val="a3"/>
        <w:spacing w:before="6"/>
        <w:rPr>
          <w:rFonts w:ascii="Gill Sans MT"/>
        </w:rPr>
      </w:pPr>
    </w:p>
    <w:p w14:paraId="6EF87389" w14:textId="77777777" w:rsidR="002653E8" w:rsidRDefault="003115E3">
      <w:pPr>
        <w:ind w:left="1327"/>
        <w:rPr>
          <w:rFonts w:ascii="Arial"/>
          <w:b/>
          <w:sz w:val="18"/>
        </w:rPr>
      </w:pPr>
      <w:r>
        <w:rPr>
          <w:rFonts w:ascii="Arial"/>
          <w:b/>
          <w:color w:val="231F20"/>
          <w:w w:val="115"/>
          <w:sz w:val="18"/>
        </w:rPr>
        <w:t>November 18, 1974</w:t>
      </w:r>
    </w:p>
    <w:p w14:paraId="4C753E43" w14:textId="77777777" w:rsidR="002653E8" w:rsidRDefault="003115E3">
      <w:pPr>
        <w:spacing w:before="34" w:line="276" w:lineRule="auto"/>
        <w:ind w:left="1327" w:right="68"/>
        <w:rPr>
          <w:rFonts w:ascii="Gill Sans MT" w:hAnsi="Gill Sans MT"/>
          <w:sz w:val="18"/>
        </w:rPr>
      </w:pPr>
      <w:r>
        <w:rPr>
          <w:rFonts w:ascii="Gill Sans MT" w:hAnsi="Gill Sans MT"/>
          <w:color w:val="231F20"/>
          <w:w w:val="115"/>
          <w:sz w:val="18"/>
        </w:rPr>
        <w:t>Holger</w:t>
      </w:r>
      <w:r>
        <w:rPr>
          <w:rFonts w:ascii="Gill Sans MT" w:hAnsi="Gill Sans MT"/>
          <w:color w:val="231F20"/>
          <w:spacing w:val="-19"/>
          <w:w w:val="115"/>
          <w:sz w:val="18"/>
        </w:rPr>
        <w:t xml:space="preserve"> </w:t>
      </w:r>
      <w:r>
        <w:rPr>
          <w:rFonts w:ascii="Gill Sans MT" w:hAnsi="Gill Sans MT"/>
          <w:color w:val="231F20"/>
          <w:w w:val="115"/>
          <w:sz w:val="18"/>
        </w:rPr>
        <w:t>Meins</w:t>
      </w:r>
      <w:r>
        <w:rPr>
          <w:rFonts w:ascii="Gill Sans MT" w:hAnsi="Gill Sans MT"/>
          <w:color w:val="231F20"/>
          <w:spacing w:val="-19"/>
          <w:w w:val="115"/>
          <w:sz w:val="18"/>
        </w:rPr>
        <w:t xml:space="preserve"> </w:t>
      </w:r>
      <w:r>
        <w:rPr>
          <w:rFonts w:ascii="Gill Sans MT" w:hAnsi="Gill Sans MT"/>
          <w:color w:val="231F20"/>
          <w:w w:val="115"/>
          <w:sz w:val="18"/>
        </w:rPr>
        <w:t>is</w:t>
      </w:r>
      <w:r>
        <w:rPr>
          <w:rFonts w:ascii="Gill Sans MT" w:hAnsi="Gill Sans MT"/>
          <w:color w:val="231F20"/>
          <w:spacing w:val="-19"/>
          <w:w w:val="115"/>
          <w:sz w:val="18"/>
        </w:rPr>
        <w:t xml:space="preserve"> </w:t>
      </w:r>
      <w:r>
        <w:rPr>
          <w:rFonts w:ascii="Gill Sans MT" w:hAnsi="Gill Sans MT"/>
          <w:color w:val="231F20"/>
          <w:w w:val="115"/>
          <w:sz w:val="18"/>
        </w:rPr>
        <w:t>buried</w:t>
      </w:r>
      <w:r>
        <w:rPr>
          <w:rFonts w:ascii="Gill Sans MT" w:hAnsi="Gill Sans MT"/>
          <w:color w:val="231F20"/>
          <w:spacing w:val="-19"/>
          <w:w w:val="115"/>
          <w:sz w:val="18"/>
        </w:rPr>
        <w:t xml:space="preserve"> </w:t>
      </w:r>
      <w:r>
        <w:rPr>
          <w:rFonts w:ascii="Gill Sans MT" w:hAnsi="Gill Sans MT"/>
          <w:color w:val="231F20"/>
          <w:w w:val="115"/>
          <w:sz w:val="18"/>
        </w:rPr>
        <w:t>in</w:t>
      </w:r>
      <w:r>
        <w:rPr>
          <w:rFonts w:ascii="Gill Sans MT" w:hAnsi="Gill Sans MT"/>
          <w:color w:val="231F20"/>
          <w:spacing w:val="-19"/>
          <w:w w:val="115"/>
          <w:sz w:val="18"/>
        </w:rPr>
        <w:t xml:space="preserve"> </w:t>
      </w:r>
      <w:r>
        <w:rPr>
          <w:rFonts w:ascii="Gill Sans MT" w:hAnsi="Gill Sans MT"/>
          <w:color w:val="231F20"/>
          <w:w w:val="115"/>
          <w:sz w:val="18"/>
        </w:rPr>
        <w:t>the</w:t>
      </w:r>
      <w:r>
        <w:rPr>
          <w:rFonts w:ascii="Gill Sans MT" w:hAnsi="Gill Sans MT"/>
          <w:color w:val="231F20"/>
          <w:spacing w:val="-19"/>
          <w:w w:val="115"/>
          <w:sz w:val="18"/>
        </w:rPr>
        <w:t xml:space="preserve"> </w:t>
      </w:r>
      <w:r>
        <w:rPr>
          <w:rFonts w:ascii="Gill Sans MT" w:hAnsi="Gill Sans MT"/>
          <w:color w:val="231F20"/>
          <w:w w:val="115"/>
          <w:sz w:val="18"/>
        </w:rPr>
        <w:t>family grave in Hamburg. Five thousand people</w:t>
      </w:r>
      <w:r>
        <w:rPr>
          <w:rFonts w:ascii="Gill Sans MT" w:hAnsi="Gill Sans MT"/>
          <w:color w:val="231F20"/>
          <w:spacing w:val="-12"/>
          <w:w w:val="115"/>
          <w:sz w:val="18"/>
        </w:rPr>
        <w:t xml:space="preserve"> </w:t>
      </w:r>
      <w:r>
        <w:rPr>
          <w:rFonts w:ascii="Gill Sans MT" w:hAnsi="Gill Sans MT"/>
          <w:color w:val="231F20"/>
          <w:w w:val="115"/>
          <w:sz w:val="18"/>
        </w:rPr>
        <w:t>attend</w:t>
      </w:r>
      <w:r>
        <w:rPr>
          <w:rFonts w:ascii="Gill Sans MT" w:hAnsi="Gill Sans MT"/>
          <w:color w:val="231F20"/>
          <w:spacing w:val="-12"/>
          <w:w w:val="115"/>
          <w:sz w:val="18"/>
        </w:rPr>
        <w:t xml:space="preserve"> </w:t>
      </w:r>
      <w:r>
        <w:rPr>
          <w:rFonts w:ascii="Gill Sans MT" w:hAnsi="Gill Sans MT"/>
          <w:color w:val="231F20"/>
          <w:w w:val="115"/>
          <w:sz w:val="18"/>
        </w:rPr>
        <w:t>the</w:t>
      </w:r>
      <w:r>
        <w:rPr>
          <w:rFonts w:ascii="Gill Sans MT" w:hAnsi="Gill Sans MT"/>
          <w:color w:val="231F20"/>
          <w:spacing w:val="-12"/>
          <w:w w:val="115"/>
          <w:sz w:val="18"/>
        </w:rPr>
        <w:t xml:space="preserve"> </w:t>
      </w:r>
      <w:r>
        <w:rPr>
          <w:rFonts w:ascii="Gill Sans MT" w:hAnsi="Gill Sans MT"/>
          <w:color w:val="231F20"/>
          <w:w w:val="115"/>
          <w:sz w:val="18"/>
        </w:rPr>
        <w:t>funeral,</w:t>
      </w:r>
      <w:r>
        <w:rPr>
          <w:rFonts w:ascii="Gill Sans MT" w:hAnsi="Gill Sans MT"/>
          <w:color w:val="231F20"/>
          <w:spacing w:val="-12"/>
          <w:w w:val="115"/>
          <w:sz w:val="18"/>
        </w:rPr>
        <w:t xml:space="preserve"> </w:t>
      </w:r>
      <w:r>
        <w:rPr>
          <w:rFonts w:ascii="Gill Sans MT" w:hAnsi="Gill Sans MT"/>
          <w:color w:val="231F20"/>
          <w:w w:val="115"/>
          <w:sz w:val="18"/>
        </w:rPr>
        <w:t>amongst them</w:t>
      </w:r>
      <w:r>
        <w:rPr>
          <w:rFonts w:ascii="Gill Sans MT" w:hAnsi="Gill Sans MT"/>
          <w:color w:val="231F20"/>
          <w:spacing w:val="-16"/>
          <w:w w:val="115"/>
          <w:sz w:val="18"/>
        </w:rPr>
        <w:t xml:space="preserve"> </w:t>
      </w:r>
      <w:r>
        <w:rPr>
          <w:rFonts w:ascii="Gill Sans MT" w:hAnsi="Gill Sans MT"/>
          <w:color w:val="231F20"/>
          <w:w w:val="115"/>
          <w:sz w:val="18"/>
        </w:rPr>
        <w:t>Rudi</w:t>
      </w:r>
      <w:r>
        <w:rPr>
          <w:rFonts w:ascii="Gill Sans MT" w:hAnsi="Gill Sans MT"/>
          <w:color w:val="231F20"/>
          <w:spacing w:val="-16"/>
          <w:w w:val="115"/>
          <w:sz w:val="18"/>
        </w:rPr>
        <w:t xml:space="preserve"> </w:t>
      </w:r>
      <w:r>
        <w:rPr>
          <w:rFonts w:ascii="Gill Sans MT" w:hAnsi="Gill Sans MT"/>
          <w:color w:val="231F20"/>
          <w:w w:val="115"/>
          <w:sz w:val="18"/>
        </w:rPr>
        <w:t>dutschke,</w:t>
      </w:r>
      <w:r>
        <w:rPr>
          <w:rFonts w:ascii="Gill Sans MT" w:hAnsi="Gill Sans MT"/>
          <w:color w:val="231F20"/>
          <w:spacing w:val="-16"/>
          <w:w w:val="115"/>
          <w:sz w:val="18"/>
        </w:rPr>
        <w:t xml:space="preserve"> </w:t>
      </w:r>
      <w:r>
        <w:rPr>
          <w:rFonts w:ascii="Gill Sans MT" w:hAnsi="Gill Sans MT"/>
          <w:color w:val="231F20"/>
          <w:w w:val="115"/>
          <w:sz w:val="18"/>
        </w:rPr>
        <w:t>who,</w:t>
      </w:r>
      <w:r>
        <w:rPr>
          <w:rFonts w:ascii="Gill Sans MT" w:hAnsi="Gill Sans MT"/>
          <w:color w:val="231F20"/>
          <w:spacing w:val="-16"/>
          <w:w w:val="115"/>
          <w:sz w:val="18"/>
        </w:rPr>
        <w:t xml:space="preserve"> </w:t>
      </w:r>
      <w:r>
        <w:rPr>
          <w:rFonts w:ascii="Gill Sans MT" w:hAnsi="Gill Sans MT"/>
          <w:color w:val="231F20"/>
          <w:w w:val="115"/>
          <w:sz w:val="18"/>
        </w:rPr>
        <w:t xml:space="preserve">standing over Meins’ casket, famously gives the clenched fist salute, crying, </w:t>
      </w:r>
      <w:r>
        <w:rPr>
          <w:rFonts w:ascii="Gill Sans MT" w:hAnsi="Gill Sans MT"/>
          <w:color w:val="231F20"/>
          <w:spacing w:val="-3"/>
          <w:w w:val="115"/>
          <w:sz w:val="18"/>
        </w:rPr>
        <w:t xml:space="preserve">“Holger, </w:t>
      </w:r>
      <w:r>
        <w:rPr>
          <w:rFonts w:ascii="Gill Sans MT" w:hAnsi="Gill Sans MT"/>
          <w:color w:val="231F20"/>
          <w:w w:val="115"/>
          <w:sz w:val="18"/>
        </w:rPr>
        <w:t>the fight goes</w:t>
      </w:r>
      <w:r>
        <w:rPr>
          <w:rFonts w:ascii="Gill Sans MT" w:hAnsi="Gill Sans MT"/>
          <w:color w:val="231F20"/>
          <w:spacing w:val="-29"/>
          <w:w w:val="115"/>
          <w:sz w:val="18"/>
        </w:rPr>
        <w:t xml:space="preserve"> </w:t>
      </w:r>
      <w:r>
        <w:rPr>
          <w:rFonts w:ascii="Gill Sans MT" w:hAnsi="Gill Sans MT"/>
          <w:color w:val="231F20"/>
          <w:w w:val="115"/>
          <w:sz w:val="18"/>
        </w:rPr>
        <w:t>on!”</w:t>
      </w:r>
    </w:p>
    <w:p w14:paraId="48E274F8" w14:textId="77777777" w:rsidR="002653E8" w:rsidRDefault="003115E3">
      <w:pPr>
        <w:spacing w:before="91"/>
        <w:ind w:left="200"/>
        <w:rPr>
          <w:rFonts w:ascii="Arial"/>
          <w:b/>
          <w:sz w:val="18"/>
        </w:rPr>
      </w:pPr>
      <w:r>
        <w:br w:type="column"/>
      </w:r>
      <w:r>
        <w:rPr>
          <w:rFonts w:ascii="Arial"/>
          <w:b/>
          <w:color w:val="231F20"/>
          <w:w w:val="115"/>
          <w:sz w:val="18"/>
        </w:rPr>
        <w:t>November 26, 1974</w:t>
      </w:r>
    </w:p>
    <w:p w14:paraId="32AE25C3" w14:textId="77777777" w:rsidR="002653E8" w:rsidRDefault="003115E3">
      <w:pPr>
        <w:spacing w:before="27" w:line="276" w:lineRule="auto"/>
        <w:ind w:left="200" w:right="1162"/>
        <w:rPr>
          <w:rFonts w:ascii="Gill Sans MT" w:hAnsi="Gill Sans MT"/>
          <w:sz w:val="18"/>
        </w:rPr>
      </w:pPr>
      <w:r>
        <w:rPr>
          <w:rFonts w:ascii="Gill Sans MT" w:hAnsi="Gill Sans MT"/>
          <w:color w:val="231F20"/>
          <w:sz w:val="18"/>
        </w:rPr>
        <w:t xml:space="preserve">With </w:t>
      </w:r>
      <w:r>
        <w:rPr>
          <w:rFonts w:ascii="Lucida Sans" w:hAnsi="Lucida Sans"/>
          <w:i/>
          <w:color w:val="231F20"/>
          <w:sz w:val="18"/>
        </w:rPr>
        <w:t xml:space="preserve">Aktion Winterreise </w:t>
      </w:r>
      <w:r>
        <w:rPr>
          <w:rFonts w:ascii="Gill Sans MT" w:hAnsi="Gill Sans MT"/>
          <w:color w:val="231F20"/>
          <w:sz w:val="18"/>
        </w:rPr>
        <w:t xml:space="preserve">(Operation </w:t>
      </w:r>
      <w:r>
        <w:rPr>
          <w:rFonts w:ascii="Gill Sans MT" w:hAnsi="Gill Sans MT"/>
          <w:color w:val="231F20"/>
          <w:w w:val="110"/>
          <w:sz w:val="18"/>
        </w:rPr>
        <w:t>Winter Trip), the BKA searches dozens of houses and offices in twelve cities, including the West Berlin office of attorneys Klaus Eschen, Henning Spangenberg, and Hans-Christian Ströbele. Roughly forty people are arrested.</w:t>
      </w:r>
    </w:p>
    <w:p w14:paraId="5DEB713F" w14:textId="77777777" w:rsidR="002653E8" w:rsidRDefault="002653E8">
      <w:pPr>
        <w:pStyle w:val="a3"/>
        <w:spacing w:before="6"/>
        <w:rPr>
          <w:rFonts w:ascii="Gill Sans MT"/>
        </w:rPr>
      </w:pPr>
    </w:p>
    <w:p w14:paraId="2C645BB3" w14:textId="77777777" w:rsidR="002653E8" w:rsidRDefault="003115E3">
      <w:pPr>
        <w:ind w:left="200"/>
        <w:rPr>
          <w:rFonts w:ascii="Arial"/>
          <w:b/>
          <w:sz w:val="18"/>
        </w:rPr>
      </w:pPr>
      <w:r>
        <w:rPr>
          <w:rFonts w:ascii="Arial"/>
          <w:b/>
          <w:color w:val="231F20"/>
          <w:w w:val="115"/>
          <w:sz w:val="18"/>
        </w:rPr>
        <w:t>November 29, 1974</w:t>
      </w:r>
    </w:p>
    <w:p w14:paraId="211EA564" w14:textId="77777777" w:rsidR="002653E8" w:rsidRDefault="003115E3">
      <w:pPr>
        <w:spacing w:before="35" w:line="276" w:lineRule="auto"/>
        <w:ind w:left="200" w:right="1239"/>
        <w:rPr>
          <w:rFonts w:ascii="Gill Sans MT" w:hAnsi="Gill Sans MT"/>
          <w:sz w:val="18"/>
        </w:rPr>
      </w:pPr>
      <w:r>
        <w:rPr>
          <w:rFonts w:ascii="Gill Sans MT" w:hAnsi="Gill Sans MT"/>
          <w:color w:val="231F20"/>
          <w:w w:val="115"/>
          <w:sz w:val="18"/>
        </w:rPr>
        <w:t xml:space="preserve">The </w:t>
      </w:r>
      <w:r>
        <w:rPr>
          <w:rFonts w:ascii="Gill Sans MT" w:hAnsi="Gill Sans MT"/>
          <w:color w:val="231F20"/>
          <w:spacing w:val="-3"/>
          <w:w w:val="115"/>
          <w:sz w:val="18"/>
        </w:rPr>
        <w:t xml:space="preserve">West </w:t>
      </w:r>
      <w:r>
        <w:rPr>
          <w:rFonts w:ascii="Gill Sans MT" w:hAnsi="Gill Sans MT"/>
          <w:color w:val="231F20"/>
          <w:w w:val="115"/>
          <w:sz w:val="18"/>
        </w:rPr>
        <w:t xml:space="preserve">Berlin LG sentences ulrike Meinhof to eight years in prison for her role in the Baader jailbreak. Recently expelled </w:t>
      </w:r>
      <w:r w:rsidR="00C507A5">
        <w:rPr>
          <w:rFonts w:ascii="Gill Sans MT" w:hAnsi="Gill Sans MT"/>
          <w:color w:val="231F20"/>
          <w:w w:val="115"/>
          <w:sz w:val="18"/>
        </w:rPr>
        <w:t>red army faction</w:t>
      </w:r>
      <w:r>
        <w:rPr>
          <w:rFonts w:ascii="Gill Sans MT" w:hAnsi="Gill Sans MT"/>
          <w:color w:val="231F20"/>
          <w:w w:val="115"/>
          <w:sz w:val="18"/>
        </w:rPr>
        <w:t xml:space="preserve"> member</w:t>
      </w:r>
      <w:r>
        <w:rPr>
          <w:rFonts w:ascii="Gill Sans MT" w:hAnsi="Gill Sans MT"/>
          <w:color w:val="231F20"/>
          <w:spacing w:val="-34"/>
          <w:w w:val="115"/>
          <w:sz w:val="18"/>
        </w:rPr>
        <w:t xml:space="preserve"> </w:t>
      </w:r>
      <w:r>
        <w:rPr>
          <w:rFonts w:ascii="Gill Sans MT" w:hAnsi="Gill Sans MT"/>
          <w:color w:val="231F20"/>
          <w:w w:val="115"/>
          <w:sz w:val="18"/>
        </w:rPr>
        <w:t>Horst</w:t>
      </w:r>
      <w:r>
        <w:rPr>
          <w:rFonts w:ascii="Gill Sans MT" w:hAnsi="Gill Sans MT"/>
          <w:color w:val="231F20"/>
          <w:spacing w:val="-34"/>
          <w:w w:val="115"/>
          <w:sz w:val="18"/>
        </w:rPr>
        <w:t xml:space="preserve"> </w:t>
      </w:r>
      <w:r>
        <w:rPr>
          <w:rFonts w:ascii="Gill Sans MT" w:hAnsi="Gill Sans MT"/>
          <w:color w:val="231F20"/>
          <w:w w:val="115"/>
          <w:sz w:val="18"/>
        </w:rPr>
        <w:t>Mahler</w:t>
      </w:r>
      <w:r>
        <w:rPr>
          <w:rFonts w:ascii="Gill Sans MT" w:hAnsi="Gill Sans MT"/>
          <w:color w:val="231F20"/>
          <w:spacing w:val="-34"/>
          <w:w w:val="115"/>
          <w:sz w:val="18"/>
        </w:rPr>
        <w:t xml:space="preserve"> </w:t>
      </w:r>
      <w:r>
        <w:rPr>
          <w:rFonts w:ascii="Gill Sans MT" w:hAnsi="Gill Sans MT"/>
          <w:color w:val="231F20"/>
          <w:w w:val="115"/>
          <w:sz w:val="18"/>
        </w:rPr>
        <w:t>is</w:t>
      </w:r>
      <w:r>
        <w:rPr>
          <w:rFonts w:ascii="Gill Sans MT" w:hAnsi="Gill Sans MT"/>
          <w:color w:val="231F20"/>
          <w:spacing w:val="-34"/>
          <w:w w:val="115"/>
          <w:sz w:val="18"/>
        </w:rPr>
        <w:t xml:space="preserve"> </w:t>
      </w:r>
      <w:r>
        <w:rPr>
          <w:rFonts w:ascii="Gill Sans MT" w:hAnsi="Gill Sans MT"/>
          <w:color w:val="231F20"/>
          <w:w w:val="115"/>
          <w:sz w:val="18"/>
        </w:rPr>
        <w:t xml:space="preserve">sentenced to </w:t>
      </w:r>
      <w:r>
        <w:rPr>
          <w:rFonts w:ascii="Arial" w:hAnsi="Arial"/>
          <w:color w:val="231F20"/>
          <w:w w:val="115"/>
          <w:sz w:val="18"/>
        </w:rPr>
        <w:t xml:space="preserve">14 </w:t>
      </w:r>
      <w:r>
        <w:rPr>
          <w:rFonts w:ascii="Gill Sans MT" w:hAnsi="Gill Sans MT"/>
          <w:color w:val="231F20"/>
          <w:w w:val="115"/>
          <w:sz w:val="18"/>
        </w:rPr>
        <w:t xml:space="preserve">years. Hans-Jürgen </w:t>
      </w:r>
      <w:r>
        <w:rPr>
          <w:rFonts w:ascii="Gill Sans MT" w:hAnsi="Gill Sans MT"/>
          <w:color w:val="231F20"/>
          <w:spacing w:val="-3"/>
          <w:w w:val="115"/>
          <w:sz w:val="18"/>
        </w:rPr>
        <w:t xml:space="preserve">Bäcker, </w:t>
      </w:r>
      <w:r>
        <w:rPr>
          <w:rFonts w:ascii="Gill Sans MT" w:hAnsi="Gill Sans MT"/>
          <w:color w:val="231F20"/>
          <w:w w:val="115"/>
          <w:sz w:val="18"/>
        </w:rPr>
        <w:t>who</w:t>
      </w:r>
      <w:r>
        <w:rPr>
          <w:rFonts w:ascii="Gill Sans MT" w:hAnsi="Gill Sans MT"/>
          <w:color w:val="231F20"/>
          <w:spacing w:val="-14"/>
          <w:w w:val="115"/>
          <w:sz w:val="18"/>
        </w:rPr>
        <w:t xml:space="preserve"> </w:t>
      </w:r>
      <w:r>
        <w:rPr>
          <w:rFonts w:ascii="Gill Sans MT" w:hAnsi="Gill Sans MT"/>
          <w:color w:val="231F20"/>
          <w:w w:val="115"/>
          <w:sz w:val="18"/>
        </w:rPr>
        <w:t>testified</w:t>
      </w:r>
      <w:r>
        <w:rPr>
          <w:rFonts w:ascii="Gill Sans MT" w:hAnsi="Gill Sans MT"/>
          <w:color w:val="231F20"/>
          <w:spacing w:val="-14"/>
          <w:w w:val="115"/>
          <w:sz w:val="18"/>
        </w:rPr>
        <w:t xml:space="preserve"> </w:t>
      </w:r>
      <w:r>
        <w:rPr>
          <w:rFonts w:ascii="Gill Sans MT" w:hAnsi="Gill Sans MT"/>
          <w:color w:val="231F20"/>
          <w:w w:val="115"/>
          <w:sz w:val="18"/>
        </w:rPr>
        <w:t>against</w:t>
      </w:r>
      <w:r>
        <w:rPr>
          <w:rFonts w:ascii="Gill Sans MT" w:hAnsi="Gill Sans MT"/>
          <w:color w:val="231F20"/>
          <w:spacing w:val="-14"/>
          <w:w w:val="115"/>
          <w:sz w:val="18"/>
        </w:rPr>
        <w:t xml:space="preserve"> </w:t>
      </w:r>
      <w:r>
        <w:rPr>
          <w:rFonts w:ascii="Gill Sans MT" w:hAnsi="Gill Sans MT"/>
          <w:color w:val="231F20"/>
          <w:w w:val="115"/>
          <w:sz w:val="18"/>
        </w:rPr>
        <w:t>the</w:t>
      </w:r>
      <w:r>
        <w:rPr>
          <w:rFonts w:ascii="Gill Sans MT" w:hAnsi="Gill Sans MT"/>
          <w:color w:val="231F20"/>
          <w:spacing w:val="-14"/>
          <w:w w:val="115"/>
          <w:sz w:val="18"/>
        </w:rPr>
        <w:t xml:space="preserve"> </w:t>
      </w:r>
      <w:r>
        <w:rPr>
          <w:rFonts w:ascii="Gill Sans MT" w:hAnsi="Gill Sans MT"/>
          <w:color w:val="231F20"/>
          <w:w w:val="115"/>
          <w:sz w:val="18"/>
        </w:rPr>
        <w:t>guerilla,</w:t>
      </w:r>
      <w:r>
        <w:rPr>
          <w:rFonts w:ascii="Gill Sans MT" w:hAnsi="Gill Sans MT"/>
          <w:color w:val="231F20"/>
          <w:spacing w:val="-14"/>
          <w:w w:val="115"/>
          <w:sz w:val="18"/>
        </w:rPr>
        <w:t xml:space="preserve"> </w:t>
      </w:r>
      <w:r>
        <w:rPr>
          <w:rFonts w:ascii="Gill Sans MT" w:hAnsi="Gill Sans MT"/>
          <w:color w:val="231F20"/>
          <w:w w:val="115"/>
          <w:sz w:val="18"/>
        </w:rPr>
        <w:t>is acquitted.</w:t>
      </w:r>
    </w:p>
    <w:p w14:paraId="2FBBAC1F" w14:textId="77777777" w:rsidR="002653E8" w:rsidRDefault="002653E8">
      <w:pPr>
        <w:pStyle w:val="a3"/>
        <w:spacing w:before="4"/>
        <w:rPr>
          <w:rFonts w:ascii="Gill Sans MT"/>
        </w:rPr>
      </w:pPr>
    </w:p>
    <w:p w14:paraId="4DC6DCFB" w14:textId="77777777" w:rsidR="002653E8" w:rsidRDefault="003115E3">
      <w:pPr>
        <w:ind w:left="200"/>
        <w:rPr>
          <w:rFonts w:ascii="Arial"/>
          <w:b/>
          <w:sz w:val="18"/>
        </w:rPr>
      </w:pPr>
      <w:r>
        <w:rPr>
          <w:rFonts w:ascii="Arial"/>
          <w:b/>
          <w:color w:val="231F20"/>
          <w:w w:val="115"/>
          <w:sz w:val="18"/>
        </w:rPr>
        <w:t>December 4, 1974</w:t>
      </w:r>
    </w:p>
    <w:p w14:paraId="61185A1B" w14:textId="77777777" w:rsidR="002653E8" w:rsidRDefault="003115E3">
      <w:pPr>
        <w:spacing w:before="35" w:line="276" w:lineRule="auto"/>
        <w:ind w:left="200" w:right="1213"/>
        <w:jc w:val="both"/>
        <w:rPr>
          <w:rFonts w:ascii="Gill Sans MT"/>
          <w:sz w:val="18"/>
        </w:rPr>
      </w:pPr>
      <w:r>
        <w:rPr>
          <w:rFonts w:ascii="Gill Sans MT"/>
          <w:color w:val="231F20"/>
          <w:w w:val="110"/>
          <w:sz w:val="18"/>
        </w:rPr>
        <w:t>Philosopher and Nobel Prize</w:t>
      </w:r>
      <w:r>
        <w:rPr>
          <w:rFonts w:ascii="Gill Sans MT"/>
          <w:color w:val="231F20"/>
          <w:spacing w:val="-22"/>
          <w:w w:val="110"/>
          <w:sz w:val="18"/>
        </w:rPr>
        <w:t xml:space="preserve"> </w:t>
      </w:r>
      <w:r>
        <w:rPr>
          <w:rFonts w:ascii="Gill Sans MT"/>
          <w:color w:val="231F20"/>
          <w:w w:val="110"/>
          <w:sz w:val="18"/>
        </w:rPr>
        <w:t xml:space="preserve">winner Jean-Paul Sartre visits </w:t>
      </w:r>
      <w:r w:rsidR="00C507A5">
        <w:rPr>
          <w:rFonts w:ascii="Gill Sans MT"/>
          <w:color w:val="231F20"/>
          <w:w w:val="110"/>
          <w:sz w:val="18"/>
        </w:rPr>
        <w:t>red army faction</w:t>
      </w:r>
      <w:r>
        <w:rPr>
          <w:rFonts w:ascii="Gill Sans MT"/>
          <w:color w:val="231F20"/>
          <w:w w:val="110"/>
          <w:sz w:val="18"/>
        </w:rPr>
        <w:t xml:space="preserve"> prisoner Andreas Baader in</w:t>
      </w:r>
      <w:r>
        <w:rPr>
          <w:rFonts w:ascii="Gill Sans MT"/>
          <w:color w:val="231F20"/>
          <w:spacing w:val="-12"/>
          <w:w w:val="110"/>
          <w:sz w:val="18"/>
        </w:rPr>
        <w:t xml:space="preserve"> </w:t>
      </w:r>
      <w:r>
        <w:rPr>
          <w:rFonts w:ascii="Gill Sans MT"/>
          <w:color w:val="231F20"/>
          <w:w w:val="110"/>
          <w:sz w:val="18"/>
        </w:rPr>
        <w:t>prison.</w:t>
      </w:r>
    </w:p>
    <w:p w14:paraId="7E459E3D" w14:textId="77777777" w:rsidR="002653E8" w:rsidRDefault="002653E8">
      <w:pPr>
        <w:pStyle w:val="a3"/>
        <w:spacing w:before="6"/>
        <w:rPr>
          <w:rFonts w:ascii="Gill Sans MT"/>
        </w:rPr>
      </w:pPr>
    </w:p>
    <w:p w14:paraId="4FD48198" w14:textId="77777777" w:rsidR="002653E8" w:rsidRDefault="003115E3">
      <w:pPr>
        <w:ind w:left="200"/>
        <w:rPr>
          <w:rFonts w:ascii="Arial"/>
          <w:b/>
          <w:sz w:val="18"/>
        </w:rPr>
      </w:pPr>
      <w:r>
        <w:rPr>
          <w:rFonts w:ascii="Arial"/>
          <w:b/>
          <w:color w:val="231F20"/>
          <w:w w:val="115"/>
          <w:sz w:val="18"/>
        </w:rPr>
        <w:t>December 7, 1974</w:t>
      </w:r>
    </w:p>
    <w:p w14:paraId="267C92BD" w14:textId="77777777" w:rsidR="002653E8" w:rsidRDefault="003115E3">
      <w:pPr>
        <w:spacing w:before="35" w:line="276" w:lineRule="auto"/>
        <w:ind w:left="200" w:right="1093"/>
        <w:rPr>
          <w:rFonts w:ascii="Gill Sans MT"/>
          <w:sz w:val="18"/>
        </w:rPr>
      </w:pPr>
      <w:r>
        <w:rPr>
          <w:rFonts w:ascii="Gill Sans MT"/>
          <w:color w:val="231F20"/>
          <w:w w:val="110"/>
          <w:sz w:val="18"/>
        </w:rPr>
        <w:t>A bomb explodes in Bremen Central Station, and five people are injured.</w:t>
      </w:r>
    </w:p>
    <w:p w14:paraId="1416336E" w14:textId="77777777" w:rsidR="002653E8" w:rsidRDefault="002653E8">
      <w:pPr>
        <w:pStyle w:val="a3"/>
        <w:spacing w:before="6"/>
        <w:rPr>
          <w:rFonts w:ascii="Gill Sans MT"/>
        </w:rPr>
      </w:pPr>
    </w:p>
    <w:p w14:paraId="32BFC37A" w14:textId="77777777" w:rsidR="002653E8" w:rsidRDefault="003115E3">
      <w:pPr>
        <w:ind w:left="200"/>
        <w:rPr>
          <w:rFonts w:ascii="Arial"/>
          <w:b/>
          <w:sz w:val="18"/>
        </w:rPr>
      </w:pPr>
      <w:r>
        <w:rPr>
          <w:rFonts w:ascii="Arial"/>
          <w:b/>
          <w:color w:val="231F20"/>
          <w:w w:val="115"/>
          <w:sz w:val="18"/>
        </w:rPr>
        <w:t>December 9, 1974</w:t>
      </w:r>
    </w:p>
    <w:p w14:paraId="01BAE1DC" w14:textId="77777777" w:rsidR="002653E8" w:rsidRDefault="003115E3">
      <w:pPr>
        <w:spacing w:before="35" w:line="276" w:lineRule="auto"/>
        <w:ind w:left="200" w:right="1093" w:hanging="1"/>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w w:val="110"/>
          <w:sz w:val="18"/>
        </w:rPr>
        <w:t>red army faction</w:t>
      </w:r>
      <w:r>
        <w:rPr>
          <w:rFonts w:ascii="Gill Sans MT" w:hAnsi="Gill Sans MT"/>
          <w:color w:val="231F20"/>
          <w:w w:val="110"/>
          <w:sz w:val="18"/>
        </w:rPr>
        <w:t xml:space="preserve"> issues a communiqué denouncing the Breman train station bombing as a police action.</w:t>
      </w:r>
    </w:p>
    <w:p w14:paraId="797773C9" w14:textId="77777777" w:rsidR="002653E8" w:rsidRDefault="002653E8">
      <w:pPr>
        <w:pStyle w:val="a3"/>
        <w:spacing w:before="6"/>
        <w:rPr>
          <w:rFonts w:ascii="Gill Sans MT"/>
        </w:rPr>
      </w:pPr>
    </w:p>
    <w:p w14:paraId="76A1CF11" w14:textId="77777777" w:rsidR="002653E8" w:rsidRDefault="003115E3">
      <w:pPr>
        <w:spacing w:line="276" w:lineRule="auto"/>
        <w:ind w:left="200" w:right="1726"/>
        <w:rPr>
          <w:rFonts w:ascii="Gill Sans MT" w:hAnsi="Gill Sans MT"/>
          <w:sz w:val="18"/>
        </w:rPr>
      </w:pPr>
      <w:r>
        <w:rPr>
          <w:rFonts w:ascii="Arial" w:hAnsi="Arial"/>
          <w:b/>
          <w:color w:val="231F20"/>
          <w:w w:val="110"/>
          <w:sz w:val="18"/>
        </w:rPr>
        <w:t xml:space="preserve">December 13, 1974 </w:t>
      </w:r>
      <w:r>
        <w:rPr>
          <w:rFonts w:ascii="Gill Sans MT" w:hAnsi="Gill Sans MT"/>
          <w:color w:val="231F20"/>
          <w:w w:val="110"/>
          <w:sz w:val="18"/>
        </w:rPr>
        <w:t>Attorney General Siegfried Buback files for seizure of</w:t>
      </w:r>
      <w:r>
        <w:rPr>
          <w:rFonts w:ascii="Gill Sans MT" w:hAnsi="Gill Sans MT"/>
          <w:color w:val="231F20"/>
          <w:spacing w:val="-10"/>
          <w:w w:val="110"/>
          <w:sz w:val="18"/>
        </w:rPr>
        <w:t xml:space="preserve"> </w:t>
      </w:r>
      <w:r>
        <w:rPr>
          <w:rFonts w:ascii="Gill Sans MT" w:hAnsi="Gill Sans MT"/>
          <w:color w:val="231F20"/>
          <w:w w:val="110"/>
          <w:sz w:val="18"/>
        </w:rPr>
        <w:t xml:space="preserve">the correspondence between </w:t>
      </w:r>
      <w:r w:rsidR="00C507A5">
        <w:rPr>
          <w:rFonts w:ascii="Gill Sans MT" w:hAnsi="Gill Sans MT"/>
          <w:color w:val="231F20"/>
          <w:w w:val="110"/>
          <w:sz w:val="18"/>
        </w:rPr>
        <w:t>red army faction</w:t>
      </w:r>
      <w:r>
        <w:rPr>
          <w:rFonts w:ascii="Gill Sans MT" w:hAnsi="Gill Sans MT"/>
          <w:color w:val="231F20"/>
          <w:w w:val="110"/>
          <w:sz w:val="18"/>
        </w:rPr>
        <w:t xml:space="preserve"> prisoners and defense attorneys Klaus Croissant</w:t>
      </w:r>
      <w:r>
        <w:rPr>
          <w:rFonts w:ascii="Gill Sans MT" w:hAnsi="Gill Sans MT"/>
          <w:color w:val="231F20"/>
          <w:spacing w:val="-36"/>
          <w:w w:val="110"/>
          <w:sz w:val="18"/>
        </w:rPr>
        <w:t xml:space="preserve"> </w:t>
      </w:r>
      <w:r>
        <w:rPr>
          <w:rFonts w:ascii="Gill Sans MT" w:hAnsi="Gill Sans MT"/>
          <w:color w:val="231F20"/>
          <w:w w:val="110"/>
          <w:sz w:val="18"/>
        </w:rPr>
        <w:t>and Hans-Christian</w:t>
      </w:r>
      <w:r>
        <w:rPr>
          <w:rFonts w:ascii="Gill Sans MT" w:hAnsi="Gill Sans MT"/>
          <w:color w:val="231F20"/>
          <w:spacing w:val="-7"/>
          <w:w w:val="110"/>
          <w:sz w:val="18"/>
        </w:rPr>
        <w:t xml:space="preserve"> </w:t>
      </w:r>
      <w:r>
        <w:rPr>
          <w:rFonts w:ascii="Gill Sans MT" w:hAnsi="Gill Sans MT"/>
          <w:color w:val="231F20"/>
          <w:w w:val="110"/>
          <w:sz w:val="18"/>
        </w:rPr>
        <w:t>Ströbele.</w:t>
      </w:r>
    </w:p>
    <w:p w14:paraId="3891C96B" w14:textId="77777777" w:rsidR="002653E8" w:rsidRDefault="002653E8">
      <w:pPr>
        <w:spacing w:line="276" w:lineRule="auto"/>
        <w:rPr>
          <w:rFonts w:ascii="Gill Sans MT" w:hAnsi="Gill Sans MT"/>
          <w:sz w:val="18"/>
        </w:rPr>
        <w:sectPr w:rsidR="002653E8">
          <w:footerReference w:type="even" r:id="rId510"/>
          <w:pgSz w:w="8640" w:h="12960"/>
          <w:pgMar w:top="1060" w:right="0" w:bottom="280" w:left="0" w:header="0" w:footer="0" w:gutter="0"/>
          <w:cols w:num="2" w:space="720" w:equalWidth="0">
            <w:col w:w="4290" w:space="40"/>
            <w:col w:w="4310"/>
          </w:cols>
        </w:sectPr>
      </w:pPr>
    </w:p>
    <w:p w14:paraId="4BE8ECA8" w14:textId="77777777" w:rsidR="002653E8" w:rsidRDefault="002653E8">
      <w:pPr>
        <w:pStyle w:val="a3"/>
        <w:rPr>
          <w:rFonts w:ascii="Gill Sans MT"/>
        </w:rPr>
      </w:pPr>
    </w:p>
    <w:p w14:paraId="41CBBA41" w14:textId="77777777" w:rsidR="002653E8" w:rsidRDefault="002653E8">
      <w:pPr>
        <w:pStyle w:val="a3"/>
        <w:rPr>
          <w:rFonts w:ascii="Gill Sans MT"/>
        </w:rPr>
      </w:pPr>
    </w:p>
    <w:p w14:paraId="3FB5258E" w14:textId="77777777" w:rsidR="002653E8" w:rsidRDefault="002653E8">
      <w:pPr>
        <w:pStyle w:val="a3"/>
        <w:rPr>
          <w:rFonts w:ascii="Gill Sans MT"/>
        </w:rPr>
      </w:pPr>
    </w:p>
    <w:p w14:paraId="236E9F8A" w14:textId="77777777" w:rsidR="002653E8" w:rsidRDefault="002653E8">
      <w:pPr>
        <w:rPr>
          <w:rFonts w:ascii="Gill Sans MT"/>
        </w:rPr>
        <w:sectPr w:rsidR="002653E8">
          <w:type w:val="continuous"/>
          <w:pgSz w:w="8640" w:h="12960"/>
          <w:pgMar w:top="0" w:right="0" w:bottom="0" w:left="0" w:header="720" w:footer="720" w:gutter="0"/>
          <w:cols w:space="720"/>
        </w:sectPr>
      </w:pPr>
    </w:p>
    <w:p w14:paraId="65EB3AA3" w14:textId="77777777" w:rsidR="002653E8" w:rsidRDefault="002653E8">
      <w:pPr>
        <w:pStyle w:val="a3"/>
        <w:spacing w:before="6"/>
        <w:rPr>
          <w:rFonts w:ascii="Gill Sans MT"/>
          <w:sz w:val="23"/>
        </w:rPr>
      </w:pPr>
    </w:p>
    <w:p w14:paraId="0C356053" w14:textId="77777777" w:rsidR="002653E8" w:rsidRDefault="003115E3">
      <w:pPr>
        <w:ind w:left="1327"/>
        <w:rPr>
          <w:sz w:val="18"/>
        </w:rPr>
      </w:pPr>
      <w:r>
        <w:rPr>
          <w:color w:val="231F20"/>
          <w:w w:val="120"/>
          <w:sz w:val="18"/>
        </w:rPr>
        <w:t>a chronology</w:t>
      </w:r>
      <w:r>
        <w:rPr>
          <w:color w:val="231F20"/>
          <w:sz w:val="18"/>
        </w:rPr>
        <w:t xml:space="preserve"> </w:t>
      </w:r>
    </w:p>
    <w:p w14:paraId="76BD1336" w14:textId="77777777" w:rsidR="002653E8" w:rsidRDefault="003115E3">
      <w:pPr>
        <w:spacing w:before="5"/>
        <w:ind w:left="1327"/>
        <w:rPr>
          <w:sz w:val="18"/>
        </w:rPr>
      </w:pPr>
      <w:r>
        <w:rPr>
          <w:color w:val="231F20"/>
          <w:w w:val="105"/>
          <w:sz w:val="18"/>
        </w:rPr>
        <w:lastRenderedPageBreak/>
        <w:t>december 13, 1974</w:t>
      </w:r>
      <w:r>
        <w:rPr>
          <w:color w:val="231F20"/>
          <w:sz w:val="18"/>
        </w:rPr>
        <w:t xml:space="preserve"> </w:t>
      </w:r>
    </w:p>
    <w:p w14:paraId="4E96EE43" w14:textId="77777777" w:rsidR="002653E8" w:rsidRDefault="003115E3">
      <w:pPr>
        <w:pStyle w:val="a3"/>
        <w:spacing w:before="5"/>
        <w:rPr>
          <w:sz w:val="19"/>
        </w:rPr>
      </w:pPr>
      <w:r>
        <w:br w:type="column"/>
      </w:r>
    </w:p>
    <w:p w14:paraId="0F3F4CB2" w14:textId="77777777" w:rsidR="002653E8" w:rsidRDefault="003115E3">
      <w:pPr>
        <w:ind w:left="1346" w:right="1141"/>
        <w:jc w:val="center"/>
        <w:rPr>
          <w:sz w:val="18"/>
        </w:rPr>
      </w:pPr>
      <w:r>
        <w:rPr>
          <w:color w:val="231F20"/>
          <w:sz w:val="18"/>
        </w:rPr>
        <w:t xml:space="preserve">595 </w:t>
      </w:r>
    </w:p>
    <w:p w14:paraId="0A6DFFAA" w14:textId="77777777" w:rsidR="002653E8" w:rsidRDefault="002653E8">
      <w:pPr>
        <w:jc w:val="center"/>
        <w:rPr>
          <w:sz w:val="18"/>
        </w:rPr>
        <w:sectPr w:rsidR="002653E8">
          <w:type w:val="continuous"/>
          <w:pgSz w:w="8640" w:h="12960"/>
          <w:pgMar w:top="0" w:right="0" w:bottom="0" w:left="0" w:header="720" w:footer="720" w:gutter="0"/>
          <w:cols w:num="2" w:space="720" w:equalWidth="0">
            <w:col w:w="3401" w:space="2413"/>
            <w:col w:w="2826"/>
          </w:cols>
        </w:sectPr>
      </w:pPr>
    </w:p>
    <w:p w14:paraId="38F5DCAC" w14:textId="77777777" w:rsidR="002653E8" w:rsidRDefault="003115E3">
      <w:pPr>
        <w:spacing w:before="91"/>
        <w:ind w:left="1147"/>
        <w:rPr>
          <w:rFonts w:ascii="Arial"/>
          <w:b/>
          <w:sz w:val="18"/>
        </w:rPr>
      </w:pPr>
      <w:r>
        <w:rPr>
          <w:rFonts w:ascii="Arial"/>
          <w:b/>
          <w:color w:val="231F20"/>
          <w:w w:val="115"/>
          <w:sz w:val="18"/>
        </w:rPr>
        <w:lastRenderedPageBreak/>
        <w:t>December 30, 1974</w:t>
      </w:r>
    </w:p>
    <w:p w14:paraId="4B1F8A00" w14:textId="77777777" w:rsidR="002653E8" w:rsidRDefault="003115E3">
      <w:pPr>
        <w:spacing w:before="34" w:line="276" w:lineRule="auto"/>
        <w:ind w:left="1147" w:right="32"/>
        <w:rPr>
          <w:rFonts w:ascii="Gill Sans MT"/>
          <w:sz w:val="18"/>
        </w:rPr>
      </w:pPr>
      <w:r>
        <w:rPr>
          <w:rFonts w:ascii="Gill Sans MT"/>
          <w:color w:val="231F20"/>
          <w:w w:val="110"/>
          <w:sz w:val="18"/>
        </w:rPr>
        <w:t xml:space="preserve">Second Senate Judge Theodor Prinzing rules that defense attorney Klaus Croissant is acting as supporter and spokesman for the </w:t>
      </w:r>
      <w:r w:rsidR="00C507A5">
        <w:rPr>
          <w:rFonts w:ascii="Gill Sans MT"/>
          <w:color w:val="231F20"/>
          <w:w w:val="110"/>
          <w:sz w:val="18"/>
        </w:rPr>
        <w:t>red army faction</w:t>
      </w:r>
      <w:r>
        <w:rPr>
          <w:rFonts w:ascii="Gill Sans MT"/>
          <w:color w:val="231F20"/>
          <w:w w:val="110"/>
          <w:sz w:val="18"/>
        </w:rPr>
        <w:t xml:space="preserve"> prisoners and, as such, for a criminal association.</w:t>
      </w:r>
    </w:p>
    <w:p w14:paraId="13FE01D6" w14:textId="77777777" w:rsidR="002653E8" w:rsidRDefault="002653E8">
      <w:pPr>
        <w:pStyle w:val="a3"/>
        <w:rPr>
          <w:rFonts w:ascii="Gill Sans MT"/>
        </w:rPr>
      </w:pPr>
    </w:p>
    <w:p w14:paraId="12992E6F" w14:textId="77777777" w:rsidR="002653E8" w:rsidRDefault="002653E8">
      <w:pPr>
        <w:pStyle w:val="a3"/>
        <w:spacing w:before="1"/>
        <w:rPr>
          <w:rFonts w:ascii="Gill Sans MT"/>
        </w:rPr>
      </w:pPr>
    </w:p>
    <w:p w14:paraId="19971AF0" w14:textId="77777777" w:rsidR="002653E8" w:rsidRDefault="003115E3">
      <w:pPr>
        <w:pStyle w:val="5"/>
        <w:ind w:left="1147"/>
      </w:pPr>
      <w:r>
        <w:rPr>
          <w:color w:val="231F20"/>
          <w:w w:val="120"/>
        </w:rPr>
        <w:t>1975</w:t>
      </w:r>
    </w:p>
    <w:p w14:paraId="54F12F05" w14:textId="77777777" w:rsidR="002653E8" w:rsidRDefault="003115E3">
      <w:pPr>
        <w:spacing w:before="12"/>
        <w:ind w:left="1147"/>
        <w:rPr>
          <w:rFonts w:ascii="Arial"/>
          <w:b/>
          <w:sz w:val="18"/>
        </w:rPr>
      </w:pPr>
      <w:r>
        <w:rPr>
          <w:rFonts w:ascii="Arial"/>
          <w:b/>
          <w:color w:val="231F20"/>
          <w:w w:val="115"/>
          <w:sz w:val="18"/>
        </w:rPr>
        <w:t>January 1, 1975</w:t>
      </w:r>
    </w:p>
    <w:p w14:paraId="43A5B7BF" w14:textId="77777777" w:rsidR="002653E8" w:rsidRDefault="003115E3">
      <w:pPr>
        <w:spacing w:before="28" w:line="276" w:lineRule="auto"/>
        <w:ind w:left="1147" w:right="82"/>
        <w:rPr>
          <w:rFonts w:ascii="Gill Sans MT"/>
          <w:sz w:val="18"/>
        </w:rPr>
      </w:pPr>
      <w:r>
        <w:rPr>
          <w:rFonts w:ascii="Gill Sans MT"/>
          <w:color w:val="231F20"/>
          <w:w w:val="105"/>
          <w:sz w:val="18"/>
        </w:rPr>
        <w:t xml:space="preserve">The </w:t>
      </w:r>
      <w:r>
        <w:rPr>
          <w:rFonts w:ascii="Lucida Sans"/>
          <w:i/>
          <w:color w:val="231F20"/>
          <w:w w:val="105"/>
          <w:sz w:val="18"/>
        </w:rPr>
        <w:t xml:space="preserve">Lex Baader-Meinhof </w:t>
      </w:r>
      <w:r>
        <w:rPr>
          <w:rFonts w:ascii="Gill Sans MT"/>
          <w:color w:val="231F20"/>
          <w:w w:val="105"/>
          <w:sz w:val="18"/>
        </w:rPr>
        <w:t>(Baader</w:t>
      </w:r>
      <w:r>
        <w:rPr>
          <w:rFonts w:ascii="Gill Sans MT"/>
          <w:color w:val="231F20"/>
          <w:w w:val="110"/>
          <w:sz w:val="18"/>
        </w:rPr>
        <w:t>Meinhof Laws) come into effect. Amongst other things, the laws allow the court to exclude defense attorneys who are suspected of forming a criminal association</w:t>
      </w:r>
    </w:p>
    <w:p w14:paraId="4786E790" w14:textId="77777777" w:rsidR="002653E8" w:rsidRDefault="003115E3">
      <w:pPr>
        <w:spacing w:line="276" w:lineRule="auto"/>
        <w:ind w:left="1147" w:right="168"/>
        <w:rPr>
          <w:rFonts w:ascii="Gill Sans MT"/>
          <w:sz w:val="18"/>
        </w:rPr>
      </w:pPr>
      <w:r>
        <w:rPr>
          <w:rFonts w:ascii="Gill Sans MT"/>
          <w:color w:val="231F20"/>
          <w:w w:val="110"/>
          <w:sz w:val="18"/>
        </w:rPr>
        <w:t>with their clients, and allows trials to continue without the accused present if the reason for the absence is deemed to be the fault of the prisoner, e.g., the result of illness due to hunger striking.</w:t>
      </w:r>
    </w:p>
    <w:p w14:paraId="1D6E5C9A" w14:textId="77777777" w:rsidR="002653E8" w:rsidRDefault="002653E8">
      <w:pPr>
        <w:pStyle w:val="a3"/>
        <w:spacing w:before="4"/>
        <w:rPr>
          <w:rFonts w:ascii="Gill Sans MT"/>
        </w:rPr>
      </w:pPr>
    </w:p>
    <w:p w14:paraId="2DE338E4" w14:textId="77777777" w:rsidR="002653E8" w:rsidRDefault="003115E3">
      <w:pPr>
        <w:ind w:left="1147"/>
        <w:rPr>
          <w:rFonts w:ascii="Arial"/>
          <w:b/>
          <w:sz w:val="18"/>
        </w:rPr>
      </w:pPr>
      <w:r>
        <w:rPr>
          <w:rFonts w:ascii="Arial"/>
          <w:b/>
          <w:color w:val="231F20"/>
          <w:w w:val="115"/>
          <w:sz w:val="18"/>
        </w:rPr>
        <w:t>January 20, 1975</w:t>
      </w:r>
    </w:p>
    <w:p w14:paraId="010A5E78" w14:textId="77777777" w:rsidR="002653E8" w:rsidRDefault="003115E3">
      <w:pPr>
        <w:spacing w:before="29" w:line="276" w:lineRule="auto"/>
        <w:ind w:left="1147"/>
        <w:rPr>
          <w:rFonts w:ascii="Gill Sans MT"/>
          <w:sz w:val="18"/>
        </w:rPr>
      </w:pPr>
      <w:r>
        <w:rPr>
          <w:rFonts w:ascii="Lucida Sans"/>
          <w:i/>
          <w:color w:val="231F20"/>
          <w:w w:val="110"/>
          <w:sz w:val="18"/>
        </w:rPr>
        <w:t>Spiegel</w:t>
      </w:r>
      <w:r>
        <w:rPr>
          <w:rFonts w:ascii="Lucida Sans"/>
          <w:i/>
          <w:color w:val="231F20"/>
          <w:spacing w:val="-30"/>
          <w:w w:val="110"/>
          <w:sz w:val="18"/>
        </w:rPr>
        <w:t xml:space="preserve"> </w:t>
      </w:r>
      <w:r>
        <w:rPr>
          <w:rFonts w:ascii="Gill Sans MT"/>
          <w:color w:val="231F20"/>
          <w:w w:val="110"/>
          <w:sz w:val="18"/>
        </w:rPr>
        <w:t>prints</w:t>
      </w:r>
      <w:r>
        <w:rPr>
          <w:rFonts w:ascii="Gill Sans MT"/>
          <w:color w:val="231F20"/>
          <w:spacing w:val="-22"/>
          <w:w w:val="110"/>
          <w:sz w:val="18"/>
        </w:rPr>
        <w:t xml:space="preserve"> </w:t>
      </w:r>
      <w:r>
        <w:rPr>
          <w:rFonts w:ascii="Gill Sans MT"/>
          <w:color w:val="231F20"/>
          <w:w w:val="110"/>
          <w:sz w:val="18"/>
        </w:rPr>
        <w:t>an</w:t>
      </w:r>
      <w:r>
        <w:rPr>
          <w:rFonts w:ascii="Gill Sans MT"/>
          <w:color w:val="231F20"/>
          <w:spacing w:val="-22"/>
          <w:w w:val="110"/>
          <w:sz w:val="18"/>
        </w:rPr>
        <w:t xml:space="preserve"> </w:t>
      </w:r>
      <w:r>
        <w:rPr>
          <w:rFonts w:ascii="Gill Sans MT"/>
          <w:color w:val="231F20"/>
          <w:w w:val="110"/>
          <w:sz w:val="18"/>
        </w:rPr>
        <w:t>interview</w:t>
      </w:r>
      <w:r>
        <w:rPr>
          <w:rFonts w:ascii="Gill Sans MT"/>
          <w:color w:val="231F20"/>
          <w:spacing w:val="-22"/>
          <w:w w:val="110"/>
          <w:sz w:val="18"/>
        </w:rPr>
        <w:t xml:space="preserve"> </w:t>
      </w:r>
      <w:r>
        <w:rPr>
          <w:rFonts w:ascii="Gill Sans MT"/>
          <w:color w:val="231F20"/>
          <w:w w:val="110"/>
          <w:sz w:val="18"/>
        </w:rPr>
        <w:t>with</w:t>
      </w:r>
      <w:r>
        <w:rPr>
          <w:rFonts w:ascii="Gill Sans MT"/>
          <w:color w:val="231F20"/>
          <w:spacing w:val="-22"/>
          <w:w w:val="110"/>
          <w:sz w:val="18"/>
        </w:rPr>
        <w:t xml:space="preserve"> </w:t>
      </w:r>
      <w:r w:rsidR="00C507A5">
        <w:rPr>
          <w:rFonts w:ascii="Gill Sans MT"/>
          <w:color w:val="231F20"/>
          <w:w w:val="110"/>
          <w:sz w:val="18"/>
        </w:rPr>
        <w:t>red army faction</w:t>
      </w:r>
      <w:r>
        <w:rPr>
          <w:rFonts w:ascii="Gill Sans MT"/>
          <w:color w:val="231F20"/>
          <w:w w:val="110"/>
          <w:sz w:val="18"/>
        </w:rPr>
        <w:t xml:space="preserve"> prisoners Andreas </w:t>
      </w:r>
      <w:r>
        <w:rPr>
          <w:rFonts w:ascii="Gill Sans MT"/>
          <w:color w:val="231F20"/>
          <w:spacing w:val="-3"/>
          <w:w w:val="110"/>
          <w:sz w:val="18"/>
        </w:rPr>
        <w:t xml:space="preserve">Baader, </w:t>
      </w:r>
      <w:r>
        <w:rPr>
          <w:rFonts w:ascii="Gill Sans MT"/>
          <w:color w:val="231F20"/>
          <w:w w:val="110"/>
          <w:sz w:val="18"/>
        </w:rPr>
        <w:t>Gudrun Ensslin, ulrike Meinhof, and Jan-Carl Raspe.</w:t>
      </w:r>
    </w:p>
    <w:p w14:paraId="05D6DAB1" w14:textId="77777777" w:rsidR="002653E8" w:rsidRDefault="003115E3">
      <w:pPr>
        <w:spacing w:line="276" w:lineRule="auto"/>
        <w:ind w:left="1147"/>
        <w:rPr>
          <w:rFonts w:ascii="Gill Sans MT" w:hAnsi="Gill Sans MT"/>
          <w:sz w:val="18"/>
        </w:rPr>
      </w:pPr>
      <w:r>
        <w:rPr>
          <w:rFonts w:ascii="Gill Sans MT" w:hAnsi="Gill Sans MT"/>
          <w:color w:val="231F20"/>
          <w:w w:val="110"/>
          <w:sz w:val="18"/>
        </w:rPr>
        <w:t>The Federal Supreme Court alleges that defense</w:t>
      </w:r>
      <w:r>
        <w:rPr>
          <w:rFonts w:ascii="Gill Sans MT" w:hAnsi="Gill Sans MT"/>
          <w:color w:val="231F20"/>
          <w:spacing w:val="-8"/>
          <w:w w:val="110"/>
          <w:sz w:val="18"/>
        </w:rPr>
        <w:t xml:space="preserve"> </w:t>
      </w:r>
      <w:r>
        <w:rPr>
          <w:rFonts w:ascii="Gill Sans MT" w:hAnsi="Gill Sans MT"/>
          <w:color w:val="231F20"/>
          <w:w w:val="110"/>
          <w:sz w:val="18"/>
        </w:rPr>
        <w:t>attorney</w:t>
      </w:r>
      <w:r>
        <w:rPr>
          <w:rFonts w:ascii="Gill Sans MT" w:hAnsi="Gill Sans MT"/>
          <w:color w:val="231F20"/>
          <w:spacing w:val="-4"/>
          <w:w w:val="110"/>
          <w:sz w:val="18"/>
        </w:rPr>
        <w:t xml:space="preserve"> </w:t>
      </w:r>
      <w:r>
        <w:rPr>
          <w:rFonts w:ascii="Gill Sans MT" w:hAnsi="Gill Sans MT"/>
          <w:color w:val="231F20"/>
          <w:w w:val="110"/>
          <w:sz w:val="18"/>
        </w:rPr>
        <w:t>Hans-Christian</w:t>
      </w:r>
      <w:r>
        <w:rPr>
          <w:rFonts w:ascii="Gill Sans MT" w:hAnsi="Gill Sans MT"/>
          <w:color w:val="231F20"/>
          <w:w w:val="107"/>
          <w:sz w:val="18"/>
        </w:rPr>
        <w:t xml:space="preserve"> </w:t>
      </w:r>
      <w:r>
        <w:rPr>
          <w:rFonts w:ascii="Gill Sans MT" w:hAnsi="Gill Sans MT"/>
          <w:color w:val="231F20"/>
          <w:w w:val="110"/>
          <w:sz w:val="18"/>
        </w:rPr>
        <w:t>Ströbele is a member of a criminal association for referring to himself as a “socialist and a political attorney” and for expressing “solidarity with the thinking of the prisoners,” whom he refers to as comrades.</w:t>
      </w:r>
    </w:p>
    <w:p w14:paraId="1E907B84" w14:textId="77777777" w:rsidR="002653E8" w:rsidRDefault="002653E8">
      <w:pPr>
        <w:pStyle w:val="a3"/>
        <w:spacing w:before="4"/>
        <w:rPr>
          <w:rFonts w:ascii="Gill Sans MT"/>
        </w:rPr>
      </w:pPr>
    </w:p>
    <w:p w14:paraId="27DF334E" w14:textId="77777777" w:rsidR="002653E8" w:rsidRDefault="003115E3">
      <w:pPr>
        <w:spacing w:before="1"/>
        <w:ind w:left="1147"/>
        <w:rPr>
          <w:rFonts w:ascii="Arial"/>
          <w:b/>
          <w:sz w:val="18"/>
        </w:rPr>
      </w:pPr>
      <w:r>
        <w:rPr>
          <w:rFonts w:ascii="Arial"/>
          <w:b/>
          <w:color w:val="231F20"/>
          <w:w w:val="115"/>
          <w:sz w:val="18"/>
        </w:rPr>
        <w:t>February 2, 1975</w:t>
      </w:r>
    </w:p>
    <w:p w14:paraId="38C0024D" w14:textId="77777777" w:rsidR="002653E8" w:rsidRDefault="003115E3">
      <w:pPr>
        <w:spacing w:before="35" w:line="276" w:lineRule="auto"/>
        <w:ind w:left="1147" w:right="452" w:hanging="1"/>
        <w:rPr>
          <w:rFonts w:ascii="Gill Sans MT"/>
          <w:sz w:val="18"/>
        </w:rPr>
      </w:pPr>
      <w:r>
        <w:rPr>
          <w:rFonts w:ascii="Gill Sans MT"/>
          <w:color w:val="231F20"/>
          <w:w w:val="110"/>
          <w:sz w:val="18"/>
        </w:rPr>
        <w:t xml:space="preserve">The </w:t>
      </w:r>
      <w:r w:rsidR="00C507A5">
        <w:rPr>
          <w:rFonts w:ascii="Gill Sans MT"/>
          <w:color w:val="231F20"/>
          <w:w w:val="110"/>
          <w:sz w:val="18"/>
        </w:rPr>
        <w:t>red army faction</w:t>
      </w:r>
      <w:r>
        <w:rPr>
          <w:rFonts w:ascii="Gill Sans MT"/>
          <w:color w:val="231F20"/>
          <w:w w:val="110"/>
          <w:sz w:val="18"/>
        </w:rPr>
        <w:t xml:space="preserve"> on the outside writes a letter to the hunger striking</w:t>
      </w:r>
    </w:p>
    <w:p w14:paraId="392526B1" w14:textId="77777777" w:rsidR="002653E8" w:rsidRDefault="003115E3">
      <w:pPr>
        <w:spacing w:before="92" w:line="276" w:lineRule="auto"/>
        <w:ind w:left="200" w:right="1317"/>
        <w:rPr>
          <w:rFonts w:ascii="Gill Sans MT"/>
          <w:sz w:val="18"/>
        </w:rPr>
      </w:pPr>
      <w:r>
        <w:br w:type="column"/>
      </w:r>
      <w:r>
        <w:rPr>
          <w:rFonts w:ascii="Gill Sans MT"/>
          <w:color w:val="231F20"/>
          <w:w w:val="110"/>
          <w:sz w:val="18"/>
        </w:rPr>
        <w:t>prisoners ordering them to call off their hunger strike and promising to carry out an action on their behalf.</w:t>
      </w:r>
    </w:p>
    <w:p w14:paraId="614A26DF" w14:textId="77777777" w:rsidR="002653E8" w:rsidRDefault="002653E8">
      <w:pPr>
        <w:pStyle w:val="a3"/>
        <w:spacing w:before="6"/>
        <w:rPr>
          <w:rFonts w:ascii="Gill Sans MT"/>
        </w:rPr>
      </w:pPr>
    </w:p>
    <w:p w14:paraId="74C2194B" w14:textId="77777777" w:rsidR="002653E8" w:rsidRDefault="003115E3">
      <w:pPr>
        <w:spacing w:before="1"/>
        <w:ind w:left="200"/>
        <w:rPr>
          <w:rFonts w:ascii="Arial"/>
          <w:b/>
          <w:sz w:val="18"/>
        </w:rPr>
      </w:pPr>
      <w:r>
        <w:rPr>
          <w:rFonts w:ascii="Arial"/>
          <w:b/>
          <w:color w:val="231F20"/>
          <w:w w:val="115"/>
          <w:sz w:val="18"/>
        </w:rPr>
        <w:t>February 27, 1975</w:t>
      </w:r>
    </w:p>
    <w:p w14:paraId="55513BBF" w14:textId="77777777" w:rsidR="002653E8" w:rsidRDefault="003115E3">
      <w:pPr>
        <w:spacing w:before="34" w:line="276" w:lineRule="auto"/>
        <w:ind w:left="200" w:right="1553" w:hanging="1"/>
        <w:rPr>
          <w:rFonts w:ascii="Gill Sans MT"/>
          <w:sz w:val="18"/>
        </w:rPr>
      </w:pPr>
      <w:r>
        <w:rPr>
          <w:rFonts w:ascii="Gill Sans MT"/>
          <w:color w:val="231F20"/>
          <w:w w:val="115"/>
          <w:sz w:val="18"/>
        </w:rPr>
        <w:t>The 2JM kidnap Peter Lorenz, Cdu</w:t>
      </w:r>
      <w:r>
        <w:rPr>
          <w:rFonts w:ascii="Gill Sans MT"/>
          <w:color w:val="231F20"/>
          <w:spacing w:val="-21"/>
          <w:w w:val="115"/>
          <w:sz w:val="18"/>
        </w:rPr>
        <w:t xml:space="preserve"> </w:t>
      </w:r>
      <w:r>
        <w:rPr>
          <w:rFonts w:ascii="Gill Sans MT"/>
          <w:color w:val="231F20"/>
          <w:w w:val="115"/>
          <w:sz w:val="18"/>
        </w:rPr>
        <w:t>candidate</w:t>
      </w:r>
      <w:r>
        <w:rPr>
          <w:rFonts w:ascii="Gill Sans MT"/>
          <w:color w:val="231F20"/>
          <w:spacing w:val="-21"/>
          <w:w w:val="115"/>
          <w:sz w:val="18"/>
        </w:rPr>
        <w:t xml:space="preserve"> </w:t>
      </w:r>
      <w:r>
        <w:rPr>
          <w:rFonts w:ascii="Gill Sans MT"/>
          <w:color w:val="231F20"/>
          <w:w w:val="115"/>
          <w:sz w:val="18"/>
        </w:rPr>
        <w:t>for</w:t>
      </w:r>
      <w:r>
        <w:rPr>
          <w:rFonts w:ascii="Gill Sans MT"/>
          <w:color w:val="231F20"/>
          <w:spacing w:val="-21"/>
          <w:w w:val="115"/>
          <w:sz w:val="18"/>
        </w:rPr>
        <w:t xml:space="preserve"> </w:t>
      </w:r>
      <w:r>
        <w:rPr>
          <w:rFonts w:ascii="Gill Sans MT"/>
          <w:color w:val="231F20"/>
          <w:w w:val="115"/>
          <w:sz w:val="18"/>
        </w:rPr>
        <w:t>mayor</w:t>
      </w:r>
      <w:r>
        <w:rPr>
          <w:rFonts w:ascii="Gill Sans MT"/>
          <w:color w:val="231F20"/>
          <w:spacing w:val="-21"/>
          <w:w w:val="115"/>
          <w:sz w:val="18"/>
        </w:rPr>
        <w:t xml:space="preserve"> </w:t>
      </w:r>
      <w:r>
        <w:rPr>
          <w:rFonts w:ascii="Gill Sans MT"/>
          <w:color w:val="231F20"/>
          <w:w w:val="115"/>
          <w:sz w:val="18"/>
        </w:rPr>
        <w:t>in</w:t>
      </w:r>
      <w:r>
        <w:rPr>
          <w:rFonts w:ascii="Gill Sans MT"/>
          <w:color w:val="231F20"/>
          <w:spacing w:val="-21"/>
          <w:w w:val="115"/>
          <w:sz w:val="18"/>
        </w:rPr>
        <w:t xml:space="preserve"> </w:t>
      </w:r>
      <w:r>
        <w:rPr>
          <w:rFonts w:ascii="Gill Sans MT"/>
          <w:color w:val="231F20"/>
          <w:spacing w:val="-3"/>
          <w:w w:val="115"/>
          <w:sz w:val="18"/>
        </w:rPr>
        <w:t>West</w:t>
      </w:r>
    </w:p>
    <w:p w14:paraId="286DDEA3" w14:textId="77777777" w:rsidR="002653E8" w:rsidRDefault="003115E3">
      <w:pPr>
        <w:spacing w:line="276" w:lineRule="auto"/>
        <w:ind w:left="200" w:right="1364"/>
        <w:rPr>
          <w:rFonts w:ascii="Gill Sans MT" w:hAnsi="Gill Sans MT"/>
          <w:sz w:val="18"/>
        </w:rPr>
      </w:pPr>
      <w:r>
        <w:rPr>
          <w:rFonts w:ascii="Gill Sans MT" w:hAnsi="Gill Sans MT"/>
          <w:color w:val="231F20"/>
          <w:w w:val="110"/>
          <w:sz w:val="18"/>
        </w:rPr>
        <w:t xml:space="preserve">Berlin, from his automobile, beating his chauffer Werner Sowa. Sowa identifies Angela Luther, who has been underground for three years, as one of the kidnappers. Luther, who was also alleged to be involved with the </w:t>
      </w:r>
      <w:r w:rsidR="00C507A5">
        <w:rPr>
          <w:rFonts w:ascii="Gill Sans MT" w:hAnsi="Gill Sans MT"/>
          <w:color w:val="231F20"/>
          <w:w w:val="110"/>
          <w:sz w:val="18"/>
        </w:rPr>
        <w:t>red army faction</w:t>
      </w:r>
      <w:r>
        <w:rPr>
          <w:rFonts w:ascii="Gill Sans MT" w:hAnsi="Gill Sans MT"/>
          <w:color w:val="231F20"/>
          <w:w w:val="110"/>
          <w:sz w:val="18"/>
        </w:rPr>
        <w:t>’s 1972 May offensive, disappears without a trace.</w:t>
      </w:r>
    </w:p>
    <w:p w14:paraId="1A02DB4C" w14:textId="77777777" w:rsidR="002653E8" w:rsidRDefault="002653E8">
      <w:pPr>
        <w:pStyle w:val="a3"/>
        <w:spacing w:before="6"/>
        <w:rPr>
          <w:rFonts w:ascii="Gill Sans MT"/>
        </w:rPr>
      </w:pPr>
    </w:p>
    <w:p w14:paraId="7AA3C268" w14:textId="77777777" w:rsidR="002653E8" w:rsidRDefault="003115E3">
      <w:pPr>
        <w:ind w:left="200"/>
        <w:rPr>
          <w:rFonts w:ascii="Arial"/>
          <w:b/>
          <w:sz w:val="18"/>
        </w:rPr>
      </w:pPr>
      <w:r>
        <w:rPr>
          <w:rFonts w:ascii="Arial"/>
          <w:b/>
          <w:color w:val="231F20"/>
          <w:w w:val="115"/>
          <w:sz w:val="18"/>
        </w:rPr>
        <w:t>February 28, 1975</w:t>
      </w:r>
    </w:p>
    <w:p w14:paraId="7765FAC7" w14:textId="77777777" w:rsidR="002653E8" w:rsidRDefault="003115E3">
      <w:pPr>
        <w:spacing w:before="35" w:line="276" w:lineRule="auto"/>
        <w:ind w:left="200" w:right="1352"/>
        <w:rPr>
          <w:rFonts w:ascii="Gill Sans MT" w:hAnsi="Gill Sans MT"/>
          <w:sz w:val="18"/>
        </w:rPr>
      </w:pPr>
      <w:r>
        <w:rPr>
          <w:rFonts w:ascii="Gill Sans MT" w:hAnsi="Gill Sans MT"/>
          <w:color w:val="231F20"/>
          <w:w w:val="110"/>
          <w:sz w:val="18"/>
        </w:rPr>
        <w:t xml:space="preserve">The Lorenz kidnappers demand the release of six imprisoned guerillas: Rolf Pohle, Rolf Heissler, Gabriele Kröcher-Tiedemann, </w:t>
      </w:r>
      <w:r>
        <w:rPr>
          <w:rFonts w:ascii="Gill Sans MT" w:hAnsi="Gill Sans MT"/>
          <w:color w:val="231F20"/>
          <w:spacing w:val="-3"/>
          <w:w w:val="110"/>
          <w:sz w:val="18"/>
        </w:rPr>
        <w:t xml:space="preserve">Verena Becker, </w:t>
      </w:r>
      <w:r>
        <w:rPr>
          <w:rFonts w:ascii="Gill Sans MT" w:hAnsi="Gill Sans MT"/>
          <w:color w:val="231F20"/>
          <w:w w:val="110"/>
          <w:sz w:val="18"/>
        </w:rPr>
        <w:t xml:space="preserve">Ingrid Siepmann, and Horst </w:t>
      </w:r>
      <w:r>
        <w:rPr>
          <w:rFonts w:ascii="Gill Sans MT" w:hAnsi="Gill Sans MT"/>
          <w:color w:val="231F20"/>
          <w:spacing w:val="-3"/>
          <w:w w:val="110"/>
          <w:sz w:val="18"/>
        </w:rPr>
        <w:t>Mahler.</w:t>
      </w:r>
    </w:p>
    <w:p w14:paraId="1E528CD2" w14:textId="77777777" w:rsidR="002653E8" w:rsidRDefault="002653E8">
      <w:pPr>
        <w:pStyle w:val="a3"/>
        <w:spacing w:before="6"/>
        <w:rPr>
          <w:rFonts w:ascii="Gill Sans MT"/>
        </w:rPr>
      </w:pPr>
    </w:p>
    <w:p w14:paraId="5FF116C0" w14:textId="77777777" w:rsidR="002653E8" w:rsidRDefault="003115E3">
      <w:pPr>
        <w:ind w:left="200"/>
        <w:rPr>
          <w:rFonts w:ascii="Arial" w:hAnsi="Arial"/>
          <w:b/>
          <w:sz w:val="18"/>
        </w:rPr>
      </w:pPr>
      <w:r>
        <w:rPr>
          <w:rFonts w:ascii="Arial" w:hAnsi="Arial"/>
          <w:b/>
          <w:color w:val="231F20"/>
          <w:w w:val="115"/>
          <w:sz w:val="18"/>
        </w:rPr>
        <w:t>March 1–3, 1975</w:t>
      </w:r>
    </w:p>
    <w:p w14:paraId="3F02A203" w14:textId="77777777" w:rsidR="002653E8" w:rsidRDefault="003115E3">
      <w:pPr>
        <w:spacing w:before="28" w:line="276" w:lineRule="auto"/>
        <w:ind w:left="200" w:right="1651"/>
        <w:rPr>
          <w:rFonts w:ascii="Gill Sans MT"/>
          <w:sz w:val="18"/>
        </w:rPr>
      </w:pPr>
      <w:r>
        <w:rPr>
          <w:rFonts w:ascii="Gill Sans MT"/>
          <w:color w:val="231F20"/>
          <w:w w:val="110"/>
          <w:sz w:val="18"/>
        </w:rPr>
        <w:t xml:space="preserve">The </w:t>
      </w:r>
      <w:r>
        <w:rPr>
          <w:rFonts w:ascii="Lucida Sans"/>
          <w:i/>
          <w:color w:val="231F20"/>
          <w:w w:val="110"/>
          <w:sz w:val="18"/>
        </w:rPr>
        <w:t xml:space="preserve">Verfassungsschutz </w:t>
      </w:r>
      <w:r>
        <w:rPr>
          <w:rFonts w:ascii="Gill Sans MT"/>
          <w:color w:val="231F20"/>
          <w:w w:val="110"/>
          <w:sz w:val="18"/>
        </w:rPr>
        <w:t xml:space="preserve">surreptitiously plants bugs in the cells of five </w:t>
      </w:r>
      <w:r w:rsidR="00C507A5">
        <w:rPr>
          <w:rFonts w:ascii="Gill Sans MT"/>
          <w:color w:val="231F20"/>
          <w:w w:val="110"/>
          <w:sz w:val="18"/>
        </w:rPr>
        <w:t>red army faction</w:t>
      </w:r>
      <w:r>
        <w:rPr>
          <w:rFonts w:ascii="Gill Sans MT"/>
          <w:color w:val="231F20"/>
          <w:w w:val="110"/>
          <w:sz w:val="18"/>
        </w:rPr>
        <w:t xml:space="preserve"> prisoners.</w:t>
      </w:r>
    </w:p>
    <w:p w14:paraId="630E13E5" w14:textId="77777777" w:rsidR="002653E8" w:rsidRDefault="002653E8">
      <w:pPr>
        <w:pStyle w:val="a3"/>
        <w:spacing w:before="6"/>
        <w:rPr>
          <w:rFonts w:ascii="Gill Sans MT"/>
        </w:rPr>
      </w:pPr>
    </w:p>
    <w:p w14:paraId="2E1E2AFC" w14:textId="77777777" w:rsidR="002653E8" w:rsidRDefault="003115E3">
      <w:pPr>
        <w:ind w:left="200"/>
        <w:rPr>
          <w:rFonts w:ascii="Arial"/>
          <w:b/>
          <w:sz w:val="18"/>
        </w:rPr>
      </w:pPr>
      <w:r>
        <w:rPr>
          <w:rFonts w:ascii="Arial"/>
          <w:b/>
          <w:color w:val="231F20"/>
          <w:w w:val="115"/>
          <w:sz w:val="18"/>
        </w:rPr>
        <w:t>March 3, 1975</w:t>
      </w:r>
    </w:p>
    <w:p w14:paraId="5663C383" w14:textId="77777777" w:rsidR="002653E8" w:rsidRDefault="003115E3">
      <w:pPr>
        <w:spacing w:before="34" w:line="276" w:lineRule="auto"/>
        <w:ind w:left="200" w:right="1362"/>
        <w:rPr>
          <w:rFonts w:ascii="Gill Sans MT" w:hAnsi="Gill Sans MT"/>
          <w:sz w:val="18"/>
        </w:rPr>
      </w:pPr>
      <w:r>
        <w:rPr>
          <w:rFonts w:ascii="Gill Sans MT" w:hAnsi="Gill Sans MT"/>
          <w:color w:val="231F20"/>
          <w:w w:val="110"/>
          <w:sz w:val="18"/>
        </w:rPr>
        <w:t xml:space="preserve">Rolf Pohle, Rolf Heissler, </w:t>
      </w:r>
      <w:r>
        <w:rPr>
          <w:rFonts w:ascii="Gill Sans MT" w:hAnsi="Gill Sans MT"/>
          <w:color w:val="231F20"/>
          <w:spacing w:val="-3"/>
          <w:w w:val="110"/>
          <w:sz w:val="18"/>
        </w:rPr>
        <w:t xml:space="preserve">Verena Becker, </w:t>
      </w:r>
      <w:r>
        <w:rPr>
          <w:rFonts w:ascii="Gill Sans MT" w:hAnsi="Gill Sans MT"/>
          <w:color w:val="231F20"/>
          <w:w w:val="110"/>
          <w:sz w:val="18"/>
        </w:rPr>
        <w:t xml:space="preserve">Ingrid Siepmann, and Gabrielle Kröcher-Tiedemann with former </w:t>
      </w:r>
      <w:r>
        <w:rPr>
          <w:rFonts w:ascii="Gill Sans MT" w:hAnsi="Gill Sans MT"/>
          <w:color w:val="231F20"/>
          <w:spacing w:val="-3"/>
          <w:w w:val="110"/>
          <w:sz w:val="18"/>
        </w:rPr>
        <w:t xml:space="preserve">West </w:t>
      </w:r>
      <w:r>
        <w:rPr>
          <w:rFonts w:ascii="Gill Sans MT" w:hAnsi="Gill Sans MT"/>
          <w:color w:val="231F20"/>
          <w:w w:val="110"/>
          <w:sz w:val="18"/>
        </w:rPr>
        <w:t xml:space="preserve">Berlin </w:t>
      </w:r>
      <w:r>
        <w:rPr>
          <w:rFonts w:ascii="Gill Sans MT" w:hAnsi="Gill Sans MT"/>
          <w:color w:val="231F20"/>
          <w:spacing w:val="-3"/>
          <w:w w:val="110"/>
          <w:sz w:val="18"/>
        </w:rPr>
        <w:t xml:space="preserve">Mayor, </w:t>
      </w:r>
      <w:r>
        <w:rPr>
          <w:rFonts w:ascii="Gill Sans MT" w:hAnsi="Gill Sans MT"/>
          <w:color w:val="231F20"/>
          <w:w w:val="110"/>
          <w:sz w:val="18"/>
        </w:rPr>
        <w:t xml:space="preserve">Heinrich Albertz acting as insurance, are flown to Aden, South </w:t>
      </w:r>
      <w:r>
        <w:rPr>
          <w:rFonts w:ascii="Gill Sans MT" w:hAnsi="Gill Sans MT"/>
          <w:color w:val="231F20"/>
          <w:spacing w:val="-4"/>
          <w:w w:val="110"/>
          <w:sz w:val="18"/>
        </w:rPr>
        <w:t xml:space="preserve">Yemen. </w:t>
      </w:r>
      <w:r>
        <w:rPr>
          <w:rFonts w:ascii="Gill Sans MT" w:hAnsi="Gill Sans MT"/>
          <w:color w:val="231F20"/>
          <w:w w:val="110"/>
          <w:sz w:val="18"/>
        </w:rPr>
        <w:t>Horst Mahler declines to go with them.</w:t>
      </w:r>
    </w:p>
    <w:p w14:paraId="4C505ABF" w14:textId="77777777" w:rsidR="002653E8" w:rsidRDefault="002653E8">
      <w:pPr>
        <w:pStyle w:val="a3"/>
        <w:spacing w:before="6"/>
        <w:rPr>
          <w:rFonts w:ascii="Gill Sans MT"/>
        </w:rPr>
      </w:pPr>
    </w:p>
    <w:p w14:paraId="41B62947" w14:textId="77777777" w:rsidR="002653E8" w:rsidRDefault="003115E3">
      <w:pPr>
        <w:ind w:left="200"/>
        <w:rPr>
          <w:rFonts w:ascii="Arial"/>
          <w:b/>
          <w:sz w:val="18"/>
        </w:rPr>
      </w:pPr>
      <w:r>
        <w:rPr>
          <w:rFonts w:ascii="Arial"/>
          <w:b/>
          <w:color w:val="231F20"/>
          <w:w w:val="115"/>
          <w:sz w:val="18"/>
        </w:rPr>
        <w:t>March 4, 1975</w:t>
      </w:r>
    </w:p>
    <w:p w14:paraId="045A651C" w14:textId="77777777" w:rsidR="002653E8" w:rsidRDefault="003115E3">
      <w:pPr>
        <w:spacing w:before="35" w:line="276" w:lineRule="auto"/>
        <w:ind w:left="200" w:right="1443"/>
        <w:jc w:val="both"/>
        <w:rPr>
          <w:rFonts w:ascii="Gill Sans MT"/>
          <w:sz w:val="18"/>
        </w:rPr>
      </w:pPr>
      <w:r>
        <w:rPr>
          <w:rFonts w:ascii="Gill Sans MT"/>
          <w:color w:val="231F20"/>
          <w:w w:val="110"/>
          <w:sz w:val="18"/>
        </w:rPr>
        <w:t>Peter Lorenz is released</w:t>
      </w:r>
      <w:r>
        <w:rPr>
          <w:rFonts w:ascii="Gill Sans MT"/>
          <w:color w:val="231F20"/>
          <w:spacing w:val="-13"/>
          <w:w w:val="110"/>
          <w:sz w:val="18"/>
        </w:rPr>
        <w:t xml:space="preserve"> </w:t>
      </w:r>
      <w:r>
        <w:rPr>
          <w:rFonts w:ascii="Gill Sans MT"/>
          <w:color w:val="231F20"/>
          <w:w w:val="110"/>
          <w:sz w:val="18"/>
        </w:rPr>
        <w:t xml:space="preserve">unharmed, and police raid suspected left-wing safehouses throughout </w:t>
      </w:r>
      <w:r>
        <w:rPr>
          <w:rFonts w:ascii="Gill Sans MT"/>
          <w:color w:val="231F20"/>
          <w:spacing w:val="-3"/>
          <w:w w:val="110"/>
          <w:sz w:val="18"/>
        </w:rPr>
        <w:t xml:space="preserve">West </w:t>
      </w:r>
      <w:r>
        <w:rPr>
          <w:rFonts w:ascii="Gill Sans MT"/>
          <w:color w:val="231F20"/>
          <w:w w:val="110"/>
          <w:sz w:val="18"/>
        </w:rPr>
        <w:t xml:space="preserve">Berlin and </w:t>
      </w:r>
      <w:r>
        <w:rPr>
          <w:rFonts w:ascii="Gill Sans MT"/>
          <w:color w:val="231F20"/>
          <w:spacing w:val="-3"/>
          <w:w w:val="110"/>
          <w:sz w:val="18"/>
        </w:rPr>
        <w:t>West</w:t>
      </w:r>
      <w:r>
        <w:rPr>
          <w:rFonts w:ascii="Gill Sans MT"/>
          <w:color w:val="231F20"/>
          <w:spacing w:val="-12"/>
          <w:w w:val="110"/>
          <w:sz w:val="18"/>
        </w:rPr>
        <w:t xml:space="preserve"> </w:t>
      </w:r>
      <w:r>
        <w:rPr>
          <w:rFonts w:ascii="Gill Sans MT"/>
          <w:color w:val="231F20"/>
          <w:w w:val="110"/>
          <w:sz w:val="18"/>
        </w:rPr>
        <w:t>Germany.</w:t>
      </w:r>
    </w:p>
    <w:p w14:paraId="1AE58E42" w14:textId="77777777" w:rsidR="002653E8" w:rsidRDefault="002653E8">
      <w:pPr>
        <w:spacing w:line="276" w:lineRule="auto"/>
        <w:jc w:val="both"/>
        <w:rPr>
          <w:rFonts w:ascii="Gill Sans MT"/>
          <w:sz w:val="18"/>
        </w:rPr>
        <w:sectPr w:rsidR="002653E8">
          <w:footerReference w:type="default" r:id="rId511"/>
          <w:pgSz w:w="8640" w:h="12960"/>
          <w:pgMar w:top="1060" w:right="0" w:bottom="280" w:left="0" w:header="0" w:footer="0" w:gutter="0"/>
          <w:cols w:num="2" w:space="720" w:equalWidth="0">
            <w:col w:w="4110" w:space="40"/>
            <w:col w:w="4490"/>
          </w:cols>
        </w:sectPr>
      </w:pPr>
    </w:p>
    <w:p w14:paraId="738F3E75" w14:textId="77777777" w:rsidR="002653E8" w:rsidRDefault="002653E8">
      <w:pPr>
        <w:pStyle w:val="a3"/>
        <w:rPr>
          <w:rFonts w:ascii="Gill Sans MT"/>
        </w:rPr>
      </w:pPr>
    </w:p>
    <w:p w14:paraId="595C0F74" w14:textId="77777777" w:rsidR="002653E8" w:rsidRDefault="002653E8">
      <w:pPr>
        <w:pStyle w:val="a3"/>
        <w:spacing w:before="2"/>
        <w:rPr>
          <w:rFonts w:ascii="Gill Sans MT"/>
          <w:sz w:val="23"/>
        </w:rPr>
      </w:pPr>
    </w:p>
    <w:p w14:paraId="3BC9C635" w14:textId="77777777" w:rsidR="002653E8" w:rsidRDefault="003115E3">
      <w:pPr>
        <w:tabs>
          <w:tab w:val="left" w:pos="3677"/>
        </w:tabs>
        <w:spacing w:before="98" w:line="244" w:lineRule="auto"/>
        <w:ind w:left="5304" w:right="1325" w:hanging="4157"/>
        <w:rPr>
          <w:sz w:val="18"/>
        </w:rPr>
      </w:pPr>
      <w:r>
        <w:rPr>
          <w:color w:val="231F20"/>
          <w:spacing w:val="15"/>
          <w:w w:val="110"/>
          <w:position w:val="5"/>
          <w:sz w:val="18"/>
        </w:rPr>
        <w:t>596</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20"/>
          <w:w w:val="110"/>
          <w:sz w:val="18"/>
        </w:rPr>
        <w:t xml:space="preserve">germany </w:t>
      </w:r>
      <w:r>
        <w:rPr>
          <w:color w:val="231F20"/>
          <w:spacing w:val="20"/>
          <w:w w:val="110"/>
          <w:sz w:val="18"/>
        </w:rPr>
        <w:lastRenderedPageBreak/>
        <w:t xml:space="preserve">december </w:t>
      </w:r>
      <w:r>
        <w:rPr>
          <w:color w:val="231F20"/>
          <w:spacing w:val="15"/>
          <w:w w:val="110"/>
          <w:sz w:val="18"/>
        </w:rPr>
        <w:t>30,</w:t>
      </w:r>
      <w:r>
        <w:rPr>
          <w:color w:val="231F20"/>
          <w:spacing w:val="10"/>
          <w:w w:val="110"/>
          <w:sz w:val="18"/>
        </w:rPr>
        <w:t xml:space="preserve"> </w:t>
      </w:r>
      <w:r>
        <w:rPr>
          <w:color w:val="231F20"/>
          <w:spacing w:val="17"/>
          <w:w w:val="110"/>
          <w:sz w:val="18"/>
        </w:rPr>
        <w:t>1974</w:t>
      </w:r>
      <w:r>
        <w:rPr>
          <w:color w:val="231F20"/>
          <w:spacing w:val="-15"/>
          <w:sz w:val="18"/>
        </w:rPr>
        <w:t xml:space="preserve"> </w:t>
      </w:r>
    </w:p>
    <w:p w14:paraId="46C5BCC4" w14:textId="77777777" w:rsidR="002653E8" w:rsidRDefault="002653E8">
      <w:pPr>
        <w:spacing w:line="244" w:lineRule="auto"/>
        <w:rPr>
          <w:sz w:val="18"/>
        </w:rPr>
        <w:sectPr w:rsidR="002653E8">
          <w:type w:val="continuous"/>
          <w:pgSz w:w="8640" w:h="12960"/>
          <w:pgMar w:top="0" w:right="0" w:bottom="0" w:left="0" w:header="720" w:footer="720" w:gutter="0"/>
          <w:cols w:space="720"/>
        </w:sectPr>
      </w:pPr>
    </w:p>
    <w:p w14:paraId="2AE7790E" w14:textId="77777777" w:rsidR="002653E8" w:rsidRDefault="003115E3">
      <w:pPr>
        <w:spacing w:before="91"/>
        <w:ind w:left="1327"/>
        <w:rPr>
          <w:rFonts w:ascii="Arial"/>
          <w:b/>
          <w:sz w:val="18"/>
        </w:rPr>
      </w:pPr>
      <w:r>
        <w:rPr>
          <w:rFonts w:ascii="Arial"/>
          <w:b/>
          <w:color w:val="231F20"/>
          <w:w w:val="115"/>
          <w:sz w:val="18"/>
        </w:rPr>
        <w:lastRenderedPageBreak/>
        <w:t>March 8, 1975</w:t>
      </w:r>
    </w:p>
    <w:p w14:paraId="0D1BDD5D" w14:textId="77777777" w:rsidR="002653E8" w:rsidRDefault="003115E3">
      <w:pPr>
        <w:spacing w:before="34" w:line="276" w:lineRule="auto"/>
        <w:ind w:left="1327" w:right="-15"/>
        <w:rPr>
          <w:rFonts w:ascii="Gill Sans MT"/>
          <w:sz w:val="18"/>
        </w:rPr>
      </w:pPr>
      <w:r>
        <w:rPr>
          <w:rFonts w:ascii="Gill Sans MT"/>
          <w:color w:val="231F20"/>
          <w:w w:val="110"/>
          <w:sz w:val="18"/>
        </w:rPr>
        <w:t>Facing pressure from the West German government, the government of South Yemen refuses to extradite the recently released prisoners, but does ask them to leave the country.</w:t>
      </w:r>
    </w:p>
    <w:p w14:paraId="0107F302" w14:textId="77777777" w:rsidR="002653E8" w:rsidRDefault="002653E8">
      <w:pPr>
        <w:pStyle w:val="a3"/>
        <w:spacing w:before="6"/>
        <w:rPr>
          <w:rFonts w:ascii="Gill Sans MT"/>
        </w:rPr>
      </w:pPr>
    </w:p>
    <w:p w14:paraId="29024C60" w14:textId="77777777" w:rsidR="002653E8" w:rsidRDefault="003115E3">
      <w:pPr>
        <w:ind w:left="1327"/>
        <w:rPr>
          <w:rFonts w:ascii="Arial"/>
          <w:b/>
          <w:sz w:val="18"/>
        </w:rPr>
      </w:pPr>
      <w:r>
        <w:rPr>
          <w:rFonts w:ascii="Arial"/>
          <w:b/>
          <w:color w:val="231F20"/>
          <w:w w:val="115"/>
          <w:sz w:val="18"/>
        </w:rPr>
        <w:t>March 17, 1975</w:t>
      </w:r>
    </w:p>
    <w:p w14:paraId="5838BEA4" w14:textId="77777777" w:rsidR="002653E8" w:rsidRDefault="003115E3">
      <w:pPr>
        <w:spacing w:before="35" w:line="276" w:lineRule="auto"/>
        <w:ind w:left="1327" w:right="82"/>
        <w:rPr>
          <w:rFonts w:ascii="Gill Sans MT"/>
          <w:sz w:val="18"/>
        </w:rPr>
      </w:pPr>
      <w:r>
        <w:rPr>
          <w:rFonts w:ascii="Gill Sans MT"/>
          <w:color w:val="231F20"/>
          <w:w w:val="110"/>
          <w:sz w:val="18"/>
        </w:rPr>
        <w:t>defense attorney Klaus Croissant is barred from representing Andreas Baader.</w:t>
      </w:r>
    </w:p>
    <w:p w14:paraId="13F66EAA" w14:textId="77777777" w:rsidR="002653E8" w:rsidRDefault="002653E8">
      <w:pPr>
        <w:pStyle w:val="a3"/>
        <w:spacing w:before="6"/>
        <w:rPr>
          <w:rFonts w:ascii="Gill Sans MT"/>
        </w:rPr>
      </w:pPr>
    </w:p>
    <w:p w14:paraId="700019B7" w14:textId="77777777" w:rsidR="002653E8" w:rsidRDefault="003115E3">
      <w:pPr>
        <w:spacing w:before="1"/>
        <w:ind w:left="1327"/>
        <w:rPr>
          <w:rFonts w:ascii="Arial"/>
          <w:b/>
          <w:sz w:val="18"/>
        </w:rPr>
      </w:pPr>
      <w:r>
        <w:rPr>
          <w:rFonts w:ascii="Arial"/>
          <w:b/>
          <w:color w:val="231F20"/>
          <w:w w:val="115"/>
          <w:sz w:val="18"/>
        </w:rPr>
        <w:t>April 15, 1975</w:t>
      </w:r>
    </w:p>
    <w:p w14:paraId="4EE776E4" w14:textId="77777777" w:rsidR="002653E8" w:rsidRDefault="003115E3">
      <w:pPr>
        <w:spacing w:before="34" w:line="273" w:lineRule="auto"/>
        <w:ind w:left="1327" w:right="103"/>
        <w:rPr>
          <w:rFonts w:ascii="Gill Sans MT" w:hAnsi="Gill Sans MT"/>
          <w:sz w:val="18"/>
        </w:rPr>
      </w:pPr>
      <w:r>
        <w:rPr>
          <w:rFonts w:ascii="Gill Sans MT" w:hAnsi="Gill Sans MT"/>
          <w:color w:val="231F20"/>
          <w:w w:val="110"/>
          <w:sz w:val="18"/>
        </w:rPr>
        <w:t>American attorneys Ramsey Clark, the</w:t>
      </w:r>
      <w:r>
        <w:rPr>
          <w:rFonts w:ascii="Gill Sans MT" w:hAnsi="Gill Sans MT"/>
          <w:color w:val="231F20"/>
          <w:spacing w:val="-11"/>
          <w:w w:val="110"/>
          <w:sz w:val="18"/>
        </w:rPr>
        <w:t xml:space="preserve"> </w:t>
      </w:r>
      <w:r>
        <w:rPr>
          <w:rFonts w:ascii="Gill Sans MT" w:hAnsi="Gill Sans MT"/>
          <w:color w:val="231F20"/>
          <w:w w:val="110"/>
          <w:sz w:val="18"/>
        </w:rPr>
        <w:t>former</w:t>
      </w:r>
      <w:r>
        <w:rPr>
          <w:rFonts w:ascii="Gill Sans MT" w:hAnsi="Gill Sans MT"/>
          <w:color w:val="231F20"/>
          <w:spacing w:val="-11"/>
          <w:w w:val="110"/>
          <w:sz w:val="18"/>
        </w:rPr>
        <w:t xml:space="preserve"> </w:t>
      </w:r>
      <w:r>
        <w:rPr>
          <w:rFonts w:ascii="Gill Sans MT" w:hAnsi="Gill Sans MT"/>
          <w:color w:val="231F20"/>
          <w:w w:val="110"/>
          <w:sz w:val="18"/>
        </w:rPr>
        <w:t>Attorney</w:t>
      </w:r>
      <w:r>
        <w:rPr>
          <w:rFonts w:ascii="Gill Sans MT" w:hAnsi="Gill Sans MT"/>
          <w:color w:val="231F20"/>
          <w:spacing w:val="-11"/>
          <w:w w:val="110"/>
          <w:sz w:val="18"/>
        </w:rPr>
        <w:t xml:space="preserve"> </w:t>
      </w:r>
      <w:r>
        <w:rPr>
          <w:rFonts w:ascii="Gill Sans MT" w:hAnsi="Gill Sans MT"/>
          <w:color w:val="231F20"/>
          <w:w w:val="110"/>
          <w:sz w:val="18"/>
        </w:rPr>
        <w:t>General</w:t>
      </w:r>
      <w:r>
        <w:rPr>
          <w:rFonts w:ascii="Gill Sans MT" w:hAnsi="Gill Sans MT"/>
          <w:color w:val="231F20"/>
          <w:spacing w:val="-11"/>
          <w:w w:val="110"/>
          <w:sz w:val="18"/>
        </w:rPr>
        <w:t xml:space="preserve"> </w:t>
      </w:r>
      <w:r>
        <w:rPr>
          <w:rFonts w:ascii="Gill Sans MT" w:hAnsi="Gill Sans MT"/>
          <w:color w:val="231F20"/>
          <w:w w:val="110"/>
          <w:sz w:val="18"/>
        </w:rPr>
        <w:t>of</w:t>
      </w:r>
      <w:r>
        <w:rPr>
          <w:rFonts w:ascii="Gill Sans MT" w:hAnsi="Gill Sans MT"/>
          <w:color w:val="231F20"/>
          <w:spacing w:val="-11"/>
          <w:w w:val="110"/>
          <w:sz w:val="18"/>
        </w:rPr>
        <w:t xml:space="preserve"> </w:t>
      </w:r>
      <w:r>
        <w:rPr>
          <w:rFonts w:ascii="Gill Sans MT" w:hAnsi="Gill Sans MT"/>
          <w:color w:val="231F20"/>
          <w:w w:val="110"/>
          <w:sz w:val="18"/>
        </w:rPr>
        <w:t xml:space="preserve">the united States, William Kunstler, Peter Weiss, and William Schaap file a formal protest against the  </w:t>
      </w:r>
      <w:r>
        <w:rPr>
          <w:rFonts w:ascii="Lucida Sans" w:hAnsi="Lucida Sans"/>
          <w:i/>
          <w:color w:val="231F20"/>
          <w:w w:val="110"/>
          <w:sz w:val="18"/>
        </w:rPr>
        <w:t xml:space="preserve">Lex Baader-Meinhof </w:t>
      </w:r>
      <w:r>
        <w:rPr>
          <w:rFonts w:ascii="Gill Sans MT" w:hAnsi="Gill Sans MT"/>
          <w:color w:val="231F20"/>
          <w:w w:val="110"/>
          <w:sz w:val="18"/>
        </w:rPr>
        <w:t xml:space="preserve">at </w:t>
      </w:r>
      <w:r>
        <w:rPr>
          <w:rFonts w:ascii="Gill Sans MT" w:hAnsi="Gill Sans MT"/>
          <w:color w:val="231F20"/>
          <w:spacing w:val="-3"/>
          <w:w w:val="110"/>
          <w:sz w:val="18"/>
        </w:rPr>
        <w:t xml:space="preserve">West </w:t>
      </w:r>
      <w:r>
        <w:rPr>
          <w:rFonts w:ascii="Gill Sans MT" w:hAnsi="Gill Sans MT"/>
          <w:color w:val="231F20"/>
          <w:w w:val="110"/>
          <w:sz w:val="18"/>
        </w:rPr>
        <w:t>Germany’s Constitutional</w:t>
      </w:r>
      <w:r>
        <w:rPr>
          <w:rFonts w:ascii="Gill Sans MT" w:hAnsi="Gill Sans MT"/>
          <w:color w:val="231F20"/>
          <w:spacing w:val="-25"/>
          <w:w w:val="110"/>
          <w:sz w:val="18"/>
        </w:rPr>
        <w:t xml:space="preserve"> </w:t>
      </w:r>
      <w:r>
        <w:rPr>
          <w:rFonts w:ascii="Gill Sans MT" w:hAnsi="Gill Sans MT"/>
          <w:color w:val="231F20"/>
          <w:w w:val="110"/>
          <w:sz w:val="18"/>
        </w:rPr>
        <w:t>Court.</w:t>
      </w:r>
    </w:p>
    <w:p w14:paraId="20C8FAF2" w14:textId="77777777" w:rsidR="002653E8" w:rsidRDefault="003115E3">
      <w:pPr>
        <w:spacing w:before="7"/>
        <w:ind w:left="1327"/>
        <w:rPr>
          <w:rFonts w:ascii="Gill Sans MT"/>
          <w:sz w:val="18"/>
        </w:rPr>
      </w:pPr>
      <w:r>
        <w:rPr>
          <w:rFonts w:ascii="Gill Sans MT"/>
          <w:color w:val="231F20"/>
          <w:w w:val="110"/>
          <w:sz w:val="18"/>
        </w:rPr>
        <w:t>The court bars attorneys</w:t>
      </w:r>
    </w:p>
    <w:p w14:paraId="594FE1E4" w14:textId="77777777" w:rsidR="002653E8" w:rsidRDefault="003115E3">
      <w:pPr>
        <w:spacing w:before="31" w:line="276" w:lineRule="auto"/>
        <w:ind w:left="1327" w:right="157"/>
        <w:rPr>
          <w:rFonts w:ascii="Gill Sans MT" w:hAnsi="Gill Sans MT"/>
          <w:sz w:val="18"/>
        </w:rPr>
      </w:pPr>
      <w:r>
        <w:rPr>
          <w:rFonts w:ascii="Gill Sans MT" w:hAnsi="Gill Sans MT"/>
          <w:color w:val="231F20"/>
          <w:w w:val="110"/>
          <w:sz w:val="18"/>
        </w:rPr>
        <w:t>Klaus</w:t>
      </w:r>
      <w:r>
        <w:rPr>
          <w:rFonts w:ascii="Gill Sans MT" w:hAnsi="Gill Sans MT"/>
          <w:color w:val="231F20"/>
          <w:spacing w:val="-28"/>
          <w:w w:val="110"/>
          <w:sz w:val="18"/>
        </w:rPr>
        <w:t xml:space="preserve"> </w:t>
      </w:r>
      <w:r>
        <w:rPr>
          <w:rFonts w:ascii="Gill Sans MT" w:hAnsi="Gill Sans MT"/>
          <w:color w:val="231F20"/>
          <w:w w:val="110"/>
          <w:sz w:val="18"/>
        </w:rPr>
        <w:t>Croissant,</w:t>
      </w:r>
      <w:r>
        <w:rPr>
          <w:rFonts w:ascii="Gill Sans MT" w:hAnsi="Gill Sans MT"/>
          <w:color w:val="231F20"/>
          <w:spacing w:val="-28"/>
          <w:w w:val="110"/>
          <w:sz w:val="18"/>
        </w:rPr>
        <w:t xml:space="preserve"> </w:t>
      </w:r>
      <w:r>
        <w:rPr>
          <w:rFonts w:ascii="Gill Sans MT" w:hAnsi="Gill Sans MT"/>
          <w:color w:val="231F20"/>
          <w:w w:val="110"/>
          <w:sz w:val="18"/>
        </w:rPr>
        <w:t>Kurt</w:t>
      </w:r>
      <w:r>
        <w:rPr>
          <w:rFonts w:ascii="Gill Sans MT" w:hAnsi="Gill Sans MT"/>
          <w:color w:val="231F20"/>
          <w:spacing w:val="-28"/>
          <w:w w:val="110"/>
          <w:sz w:val="18"/>
        </w:rPr>
        <w:t xml:space="preserve"> </w:t>
      </w:r>
      <w:r>
        <w:rPr>
          <w:rFonts w:ascii="Gill Sans MT" w:hAnsi="Gill Sans MT"/>
          <w:color w:val="231F20"/>
          <w:w w:val="110"/>
          <w:sz w:val="18"/>
        </w:rPr>
        <w:t xml:space="preserve">Groenewold, and Hans-Christian Ströbele from the </w:t>
      </w:r>
      <w:r w:rsidR="00C507A5">
        <w:rPr>
          <w:rFonts w:ascii="Gill Sans MT" w:hAnsi="Gill Sans MT"/>
          <w:color w:val="231F20"/>
          <w:spacing w:val="-3"/>
          <w:w w:val="110"/>
          <w:sz w:val="18"/>
        </w:rPr>
        <w:t>red army faction</w:t>
      </w:r>
      <w:r>
        <w:rPr>
          <w:rFonts w:ascii="Gill Sans MT" w:hAnsi="Gill Sans MT"/>
          <w:color w:val="231F20"/>
          <w:spacing w:val="-3"/>
          <w:w w:val="110"/>
          <w:sz w:val="18"/>
        </w:rPr>
        <w:t xml:space="preserve">’s </w:t>
      </w:r>
      <w:r>
        <w:rPr>
          <w:rFonts w:ascii="Gill Sans MT" w:hAnsi="Gill Sans MT"/>
          <w:color w:val="231F20"/>
          <w:w w:val="110"/>
          <w:sz w:val="18"/>
        </w:rPr>
        <w:t>defense</w:t>
      </w:r>
      <w:r>
        <w:rPr>
          <w:rFonts w:ascii="Gill Sans MT" w:hAnsi="Gill Sans MT"/>
          <w:color w:val="231F20"/>
          <w:spacing w:val="-4"/>
          <w:w w:val="110"/>
          <w:sz w:val="18"/>
        </w:rPr>
        <w:t xml:space="preserve"> </w:t>
      </w:r>
      <w:r>
        <w:rPr>
          <w:rFonts w:ascii="Gill Sans MT" w:hAnsi="Gill Sans MT"/>
          <w:color w:val="231F20"/>
          <w:w w:val="110"/>
          <w:sz w:val="18"/>
        </w:rPr>
        <w:t>team.</w:t>
      </w:r>
    </w:p>
    <w:p w14:paraId="6899C8B5" w14:textId="77777777" w:rsidR="002653E8" w:rsidRDefault="002653E8">
      <w:pPr>
        <w:pStyle w:val="a3"/>
        <w:spacing w:before="7"/>
        <w:rPr>
          <w:rFonts w:ascii="Gill Sans MT"/>
        </w:rPr>
      </w:pPr>
    </w:p>
    <w:p w14:paraId="6EB5C2A2" w14:textId="77777777" w:rsidR="002653E8" w:rsidRDefault="003115E3">
      <w:pPr>
        <w:ind w:left="1327"/>
        <w:rPr>
          <w:rFonts w:ascii="Arial"/>
          <w:b/>
          <w:sz w:val="18"/>
        </w:rPr>
      </w:pPr>
      <w:r>
        <w:rPr>
          <w:rFonts w:ascii="Arial"/>
          <w:b/>
          <w:color w:val="231F20"/>
          <w:w w:val="115"/>
          <w:sz w:val="18"/>
        </w:rPr>
        <w:t>April 22, 1975</w:t>
      </w:r>
    </w:p>
    <w:p w14:paraId="4DF8BCDB" w14:textId="77777777" w:rsidR="002653E8" w:rsidRDefault="003115E3">
      <w:pPr>
        <w:spacing w:before="34" w:line="276" w:lineRule="auto"/>
        <w:ind w:left="1327" w:right="-5"/>
        <w:rPr>
          <w:rFonts w:ascii="Gill Sans MT"/>
          <w:sz w:val="18"/>
        </w:rPr>
      </w:pPr>
      <w:r>
        <w:rPr>
          <w:rFonts w:ascii="Gill Sans MT"/>
          <w:color w:val="231F20"/>
          <w:w w:val="110"/>
          <w:sz w:val="18"/>
        </w:rPr>
        <w:t xml:space="preserve">A Stuttgart court bars attorney Klaus Croissant from defending </w:t>
      </w:r>
      <w:r w:rsidR="00C507A5">
        <w:rPr>
          <w:rFonts w:ascii="Gill Sans MT"/>
          <w:color w:val="231F20"/>
          <w:w w:val="110"/>
          <w:sz w:val="18"/>
        </w:rPr>
        <w:t>red army faction</w:t>
      </w:r>
      <w:r>
        <w:rPr>
          <w:rFonts w:ascii="Gill Sans MT"/>
          <w:color w:val="231F20"/>
          <w:w w:val="110"/>
          <w:sz w:val="18"/>
        </w:rPr>
        <w:t xml:space="preserve"> prisoner Andreas Baader.</w:t>
      </w:r>
    </w:p>
    <w:p w14:paraId="5A720F13" w14:textId="77777777" w:rsidR="002653E8" w:rsidRDefault="002653E8">
      <w:pPr>
        <w:pStyle w:val="a3"/>
        <w:spacing w:before="7"/>
        <w:rPr>
          <w:rFonts w:ascii="Gill Sans MT"/>
        </w:rPr>
      </w:pPr>
    </w:p>
    <w:p w14:paraId="64B92CDC" w14:textId="77777777" w:rsidR="002653E8" w:rsidRDefault="003115E3">
      <w:pPr>
        <w:ind w:left="1327"/>
        <w:rPr>
          <w:rFonts w:ascii="Arial"/>
          <w:b/>
          <w:sz w:val="18"/>
        </w:rPr>
      </w:pPr>
      <w:r>
        <w:rPr>
          <w:rFonts w:ascii="Arial"/>
          <w:b/>
          <w:color w:val="231F20"/>
          <w:w w:val="115"/>
          <w:sz w:val="18"/>
        </w:rPr>
        <w:t>April 24, 1975</w:t>
      </w:r>
    </w:p>
    <w:p w14:paraId="2EFACF69" w14:textId="77777777" w:rsidR="002653E8" w:rsidRDefault="003115E3">
      <w:pPr>
        <w:spacing w:before="34" w:line="276" w:lineRule="auto"/>
        <w:ind w:left="1327"/>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spacing w:val="-3"/>
          <w:w w:val="110"/>
          <w:sz w:val="18"/>
        </w:rPr>
        <w:t>red army faction</w:t>
      </w:r>
      <w:r>
        <w:rPr>
          <w:rFonts w:ascii="Gill Sans MT" w:hAnsi="Gill Sans MT"/>
          <w:color w:val="231F20"/>
          <w:spacing w:val="-3"/>
          <w:w w:val="110"/>
          <w:sz w:val="18"/>
        </w:rPr>
        <w:t xml:space="preserve">’s </w:t>
      </w:r>
      <w:r>
        <w:rPr>
          <w:rFonts w:ascii="Gill Sans MT" w:hAnsi="Gill Sans MT"/>
          <w:color w:val="231F20"/>
          <w:w w:val="110"/>
          <w:sz w:val="18"/>
        </w:rPr>
        <w:t>Holger Meins</w:t>
      </w:r>
      <w:r>
        <w:rPr>
          <w:rFonts w:ascii="Gill Sans MT" w:hAnsi="Gill Sans MT"/>
          <w:color w:val="231F20"/>
          <w:spacing w:val="-12"/>
          <w:w w:val="110"/>
          <w:sz w:val="18"/>
        </w:rPr>
        <w:t xml:space="preserve"> </w:t>
      </w:r>
      <w:r>
        <w:rPr>
          <w:rFonts w:ascii="Gill Sans MT" w:hAnsi="Gill Sans MT"/>
          <w:color w:val="231F20"/>
          <w:w w:val="110"/>
          <w:sz w:val="18"/>
        </w:rPr>
        <w:t xml:space="preserve">Commando occupies the </w:t>
      </w:r>
      <w:r>
        <w:rPr>
          <w:rFonts w:ascii="Gill Sans MT" w:hAnsi="Gill Sans MT"/>
          <w:color w:val="231F20"/>
          <w:spacing w:val="-3"/>
          <w:w w:val="110"/>
          <w:sz w:val="18"/>
        </w:rPr>
        <w:t xml:space="preserve">West </w:t>
      </w:r>
      <w:r>
        <w:rPr>
          <w:rFonts w:ascii="Gill Sans MT" w:hAnsi="Gill Sans MT"/>
          <w:color w:val="231F20"/>
          <w:w w:val="110"/>
          <w:sz w:val="18"/>
        </w:rPr>
        <w:t xml:space="preserve">German Embassy in Stockholm, Sweden and demands the release of twenty-six political prisoners. during a tense standoff, the guerilla executes the Military and Economic Attaches. Police storm the building, detonating explosives the guerilla had laid. </w:t>
      </w:r>
      <w:r w:rsidR="00C507A5">
        <w:rPr>
          <w:rFonts w:ascii="Gill Sans MT" w:hAnsi="Gill Sans MT"/>
          <w:color w:val="231F20"/>
          <w:w w:val="110"/>
          <w:sz w:val="18"/>
        </w:rPr>
        <w:t>red army faction</w:t>
      </w:r>
      <w:r>
        <w:rPr>
          <w:rFonts w:ascii="Gill Sans MT" w:hAnsi="Gill Sans MT"/>
          <w:color w:val="231F20"/>
          <w:w w:val="110"/>
          <w:sz w:val="18"/>
        </w:rPr>
        <w:t xml:space="preserve"> member ulrich Wessel is killed,</w:t>
      </w:r>
      <w:r>
        <w:rPr>
          <w:rFonts w:ascii="Gill Sans MT" w:hAnsi="Gill Sans MT"/>
          <w:color w:val="231F20"/>
          <w:spacing w:val="-7"/>
          <w:w w:val="110"/>
          <w:sz w:val="18"/>
        </w:rPr>
        <w:t xml:space="preserve"> </w:t>
      </w:r>
      <w:r>
        <w:rPr>
          <w:rFonts w:ascii="Gill Sans MT" w:hAnsi="Gill Sans MT"/>
          <w:color w:val="231F20"/>
          <w:w w:val="110"/>
          <w:sz w:val="18"/>
        </w:rPr>
        <w:t>and</w:t>
      </w:r>
    </w:p>
    <w:p w14:paraId="66F3C0AA" w14:textId="77777777" w:rsidR="002653E8" w:rsidRDefault="003115E3">
      <w:pPr>
        <w:spacing w:before="92" w:line="276" w:lineRule="auto"/>
        <w:ind w:left="220" w:right="1376"/>
        <w:rPr>
          <w:rFonts w:ascii="Gill Sans MT"/>
          <w:sz w:val="18"/>
        </w:rPr>
      </w:pPr>
      <w:r>
        <w:br w:type="column"/>
      </w:r>
      <w:r w:rsidR="00C507A5">
        <w:rPr>
          <w:rFonts w:ascii="Gill Sans MT"/>
          <w:color w:val="231F20"/>
          <w:w w:val="110"/>
          <w:sz w:val="18"/>
        </w:rPr>
        <w:t>red army faction</w:t>
      </w:r>
      <w:r>
        <w:rPr>
          <w:rFonts w:ascii="Gill Sans MT"/>
          <w:color w:val="231F20"/>
          <w:w w:val="110"/>
          <w:sz w:val="18"/>
        </w:rPr>
        <w:t xml:space="preserve"> member Siegfried Hausner is seriously injured.</w:t>
      </w:r>
    </w:p>
    <w:p w14:paraId="30332B93" w14:textId="77777777" w:rsidR="002653E8" w:rsidRDefault="003115E3">
      <w:pPr>
        <w:spacing w:line="276" w:lineRule="auto"/>
        <w:ind w:left="220" w:right="1316"/>
        <w:jc w:val="both"/>
        <w:rPr>
          <w:rFonts w:ascii="Gill Sans MT"/>
          <w:sz w:val="18"/>
        </w:rPr>
      </w:pPr>
      <w:r>
        <w:rPr>
          <w:rFonts w:ascii="Gill Sans MT"/>
          <w:color w:val="231F20"/>
          <w:w w:val="110"/>
          <w:sz w:val="18"/>
        </w:rPr>
        <w:t xml:space="preserve">As soon as the occupation begins, all </w:t>
      </w:r>
      <w:r w:rsidR="00C507A5">
        <w:rPr>
          <w:rFonts w:ascii="Gill Sans MT"/>
          <w:color w:val="231F20"/>
          <w:w w:val="110"/>
          <w:sz w:val="18"/>
        </w:rPr>
        <w:t>red army faction</w:t>
      </w:r>
      <w:r>
        <w:rPr>
          <w:rFonts w:ascii="Gill Sans MT"/>
          <w:color w:val="231F20"/>
          <w:w w:val="110"/>
          <w:sz w:val="18"/>
        </w:rPr>
        <w:t xml:space="preserve"> prisoners are searched</w:t>
      </w:r>
      <w:r>
        <w:rPr>
          <w:rFonts w:ascii="Gill Sans MT"/>
          <w:color w:val="231F20"/>
          <w:spacing w:val="-14"/>
          <w:w w:val="110"/>
          <w:sz w:val="18"/>
        </w:rPr>
        <w:t xml:space="preserve"> </w:t>
      </w:r>
      <w:r>
        <w:rPr>
          <w:rFonts w:ascii="Gill Sans MT"/>
          <w:color w:val="231F20"/>
          <w:w w:val="110"/>
          <w:sz w:val="18"/>
        </w:rPr>
        <w:t>and the Contact Ban is</w:t>
      </w:r>
      <w:r>
        <w:rPr>
          <w:rFonts w:ascii="Gill Sans MT"/>
          <w:color w:val="231F20"/>
          <w:spacing w:val="-6"/>
          <w:w w:val="110"/>
          <w:sz w:val="18"/>
        </w:rPr>
        <w:t xml:space="preserve"> </w:t>
      </w:r>
      <w:r>
        <w:rPr>
          <w:rFonts w:ascii="Gill Sans MT"/>
          <w:color w:val="231F20"/>
          <w:w w:val="110"/>
          <w:sz w:val="18"/>
        </w:rPr>
        <w:t>applied.</w:t>
      </w:r>
    </w:p>
    <w:p w14:paraId="361B7CDF" w14:textId="77777777" w:rsidR="002653E8" w:rsidRDefault="002653E8">
      <w:pPr>
        <w:pStyle w:val="a3"/>
        <w:spacing w:before="6"/>
        <w:rPr>
          <w:rFonts w:ascii="Gill Sans MT"/>
        </w:rPr>
      </w:pPr>
    </w:p>
    <w:p w14:paraId="57924204" w14:textId="77777777" w:rsidR="002653E8" w:rsidRDefault="003115E3">
      <w:pPr>
        <w:spacing w:before="1"/>
        <w:ind w:left="220"/>
        <w:rPr>
          <w:rFonts w:ascii="Arial"/>
          <w:b/>
          <w:sz w:val="18"/>
        </w:rPr>
      </w:pPr>
      <w:r>
        <w:rPr>
          <w:rFonts w:ascii="Arial"/>
          <w:b/>
          <w:color w:val="231F20"/>
          <w:w w:val="115"/>
          <w:sz w:val="18"/>
        </w:rPr>
        <w:t>May 1975</w:t>
      </w:r>
    </w:p>
    <w:p w14:paraId="20FB667A" w14:textId="77777777" w:rsidR="002653E8" w:rsidRDefault="003115E3">
      <w:pPr>
        <w:spacing w:before="34" w:line="276" w:lineRule="auto"/>
        <w:ind w:left="220" w:right="1144"/>
        <w:rPr>
          <w:rFonts w:ascii="Gill Sans MT"/>
          <w:sz w:val="18"/>
        </w:rPr>
      </w:pPr>
      <w:r>
        <w:rPr>
          <w:rFonts w:ascii="Gill Sans MT"/>
          <w:color w:val="231F20"/>
          <w:w w:val="110"/>
          <w:sz w:val="18"/>
        </w:rPr>
        <w:t xml:space="preserve">Interpol declares the </w:t>
      </w:r>
      <w:r w:rsidR="00C507A5">
        <w:rPr>
          <w:rFonts w:ascii="Gill Sans MT"/>
          <w:color w:val="231F20"/>
          <w:w w:val="110"/>
          <w:sz w:val="18"/>
        </w:rPr>
        <w:t>red army faction</w:t>
      </w:r>
      <w:r>
        <w:rPr>
          <w:rFonts w:ascii="Gill Sans MT"/>
          <w:color w:val="231F20"/>
          <w:w w:val="110"/>
          <w:sz w:val="18"/>
        </w:rPr>
        <w:t xml:space="preserve"> a criminal organization and places fifteen West German citizens on its wanted list.</w:t>
      </w:r>
    </w:p>
    <w:p w14:paraId="679713AF" w14:textId="77777777" w:rsidR="002653E8" w:rsidRDefault="002653E8">
      <w:pPr>
        <w:pStyle w:val="a3"/>
        <w:spacing w:before="6"/>
        <w:rPr>
          <w:rFonts w:ascii="Gill Sans MT"/>
        </w:rPr>
      </w:pPr>
    </w:p>
    <w:p w14:paraId="29DB17B6" w14:textId="77777777" w:rsidR="002653E8" w:rsidRDefault="003115E3">
      <w:pPr>
        <w:spacing w:before="1"/>
        <w:ind w:left="220"/>
        <w:rPr>
          <w:rFonts w:ascii="Arial"/>
          <w:b/>
          <w:sz w:val="18"/>
        </w:rPr>
      </w:pPr>
      <w:r>
        <w:rPr>
          <w:rFonts w:ascii="Arial"/>
          <w:b/>
          <w:color w:val="231F20"/>
          <w:w w:val="120"/>
          <w:sz w:val="18"/>
        </w:rPr>
        <w:t>May 1, 1975</w:t>
      </w:r>
    </w:p>
    <w:p w14:paraId="5529739D" w14:textId="77777777" w:rsidR="002653E8" w:rsidRDefault="003115E3">
      <w:pPr>
        <w:spacing w:before="27" w:line="276" w:lineRule="auto"/>
        <w:ind w:left="220" w:right="1473"/>
        <w:jc w:val="both"/>
        <w:rPr>
          <w:rFonts w:ascii="Gill Sans MT"/>
          <w:sz w:val="18"/>
        </w:rPr>
      </w:pPr>
      <w:r>
        <w:rPr>
          <w:rFonts w:ascii="Gill Sans MT"/>
          <w:color w:val="231F20"/>
          <w:sz w:val="18"/>
        </w:rPr>
        <w:t>The</w:t>
      </w:r>
      <w:r>
        <w:rPr>
          <w:rFonts w:ascii="Gill Sans MT"/>
          <w:color w:val="231F20"/>
          <w:spacing w:val="-24"/>
          <w:sz w:val="18"/>
        </w:rPr>
        <w:t xml:space="preserve"> </w:t>
      </w:r>
      <w:r>
        <w:rPr>
          <w:rFonts w:ascii="Lucida Sans"/>
          <w:i/>
          <w:color w:val="231F20"/>
          <w:sz w:val="18"/>
        </w:rPr>
        <w:t>Verfassungsschutz</w:t>
      </w:r>
      <w:r>
        <w:rPr>
          <w:rFonts w:ascii="Lucida Sans"/>
          <w:i/>
          <w:color w:val="231F20"/>
          <w:spacing w:val="-31"/>
          <w:sz w:val="18"/>
        </w:rPr>
        <w:t xml:space="preserve"> </w:t>
      </w:r>
      <w:r>
        <w:rPr>
          <w:rFonts w:ascii="Gill Sans MT"/>
          <w:color w:val="231F20"/>
          <w:sz w:val="18"/>
        </w:rPr>
        <w:t>bugs</w:t>
      </w:r>
      <w:r>
        <w:rPr>
          <w:rFonts w:ascii="Gill Sans MT"/>
          <w:color w:val="231F20"/>
          <w:spacing w:val="-24"/>
          <w:sz w:val="18"/>
        </w:rPr>
        <w:t xml:space="preserve"> </w:t>
      </w:r>
      <w:r>
        <w:rPr>
          <w:rFonts w:ascii="Gill Sans MT"/>
          <w:color w:val="231F20"/>
          <w:sz w:val="18"/>
        </w:rPr>
        <w:t xml:space="preserve">two </w:t>
      </w:r>
      <w:r>
        <w:rPr>
          <w:rFonts w:ascii="Gill Sans MT"/>
          <w:color w:val="231F20"/>
          <w:w w:val="110"/>
          <w:sz w:val="18"/>
        </w:rPr>
        <w:t xml:space="preserve">additional cells occupied by </w:t>
      </w:r>
      <w:r w:rsidR="00C507A5">
        <w:rPr>
          <w:rFonts w:ascii="Gill Sans MT"/>
          <w:color w:val="231F20"/>
          <w:w w:val="110"/>
          <w:sz w:val="18"/>
        </w:rPr>
        <w:t>red army faction</w:t>
      </w:r>
      <w:r>
        <w:rPr>
          <w:rFonts w:ascii="Gill Sans MT"/>
          <w:color w:val="231F20"/>
          <w:w w:val="110"/>
          <w:sz w:val="18"/>
        </w:rPr>
        <w:t xml:space="preserve"> prisoners.</w:t>
      </w:r>
    </w:p>
    <w:p w14:paraId="3245275A" w14:textId="77777777" w:rsidR="002653E8" w:rsidRDefault="002653E8">
      <w:pPr>
        <w:pStyle w:val="a3"/>
        <w:spacing w:before="6"/>
        <w:rPr>
          <w:rFonts w:ascii="Gill Sans MT"/>
        </w:rPr>
      </w:pPr>
    </w:p>
    <w:p w14:paraId="22036EF4" w14:textId="77777777" w:rsidR="002653E8" w:rsidRDefault="003115E3">
      <w:pPr>
        <w:ind w:left="220"/>
        <w:rPr>
          <w:rFonts w:ascii="Arial"/>
          <w:b/>
          <w:sz w:val="18"/>
        </w:rPr>
      </w:pPr>
      <w:r>
        <w:rPr>
          <w:rFonts w:ascii="Arial"/>
          <w:b/>
          <w:color w:val="231F20"/>
          <w:w w:val="120"/>
          <w:sz w:val="18"/>
        </w:rPr>
        <w:t>May 4, 1975</w:t>
      </w:r>
    </w:p>
    <w:p w14:paraId="78C45683" w14:textId="77777777" w:rsidR="002653E8" w:rsidRDefault="00C507A5">
      <w:pPr>
        <w:spacing w:before="35" w:line="276" w:lineRule="auto"/>
        <w:ind w:left="220" w:right="1516"/>
        <w:rPr>
          <w:rFonts w:ascii="Gill Sans MT"/>
          <w:sz w:val="18"/>
        </w:rPr>
      </w:pPr>
      <w:r>
        <w:rPr>
          <w:rFonts w:ascii="Gill Sans MT"/>
          <w:color w:val="231F20"/>
          <w:w w:val="110"/>
          <w:sz w:val="18"/>
        </w:rPr>
        <w:t>red army faction</w:t>
      </w:r>
      <w:r w:rsidR="003115E3">
        <w:rPr>
          <w:rFonts w:ascii="Gill Sans MT"/>
          <w:color w:val="231F20"/>
          <w:w w:val="110"/>
          <w:sz w:val="18"/>
        </w:rPr>
        <w:t xml:space="preserve"> member Siegfried </w:t>
      </w:r>
      <w:r w:rsidR="003115E3">
        <w:rPr>
          <w:rFonts w:ascii="Gill Sans MT"/>
          <w:color w:val="231F20"/>
          <w:spacing w:val="-3"/>
          <w:w w:val="110"/>
          <w:sz w:val="18"/>
        </w:rPr>
        <w:t xml:space="preserve">Hausner, </w:t>
      </w:r>
      <w:r w:rsidR="003115E3">
        <w:rPr>
          <w:rFonts w:ascii="Gill Sans MT"/>
          <w:color w:val="231F20"/>
          <w:w w:val="110"/>
          <w:sz w:val="18"/>
        </w:rPr>
        <w:t xml:space="preserve">who was seriously injured during the April </w:t>
      </w:r>
      <w:r w:rsidR="003115E3">
        <w:rPr>
          <w:rFonts w:ascii="Arial"/>
          <w:color w:val="231F20"/>
          <w:w w:val="110"/>
          <w:sz w:val="18"/>
        </w:rPr>
        <w:t xml:space="preserve">24 </w:t>
      </w:r>
      <w:r w:rsidR="003115E3">
        <w:rPr>
          <w:rFonts w:ascii="Gill Sans MT"/>
          <w:color w:val="231F20"/>
          <w:w w:val="110"/>
          <w:sz w:val="18"/>
        </w:rPr>
        <w:t>action at</w:t>
      </w:r>
      <w:r w:rsidR="003115E3">
        <w:rPr>
          <w:rFonts w:ascii="Gill Sans MT"/>
          <w:color w:val="231F20"/>
          <w:spacing w:val="-20"/>
          <w:w w:val="110"/>
          <w:sz w:val="18"/>
        </w:rPr>
        <w:t xml:space="preserve"> </w:t>
      </w:r>
      <w:r w:rsidR="003115E3">
        <w:rPr>
          <w:rFonts w:ascii="Gill Sans MT"/>
          <w:color w:val="231F20"/>
          <w:w w:val="110"/>
          <w:sz w:val="18"/>
        </w:rPr>
        <w:t>the</w:t>
      </w:r>
    </w:p>
    <w:p w14:paraId="1F37D18F" w14:textId="77777777" w:rsidR="002653E8" w:rsidRDefault="003115E3">
      <w:pPr>
        <w:spacing w:line="276" w:lineRule="auto"/>
        <w:ind w:left="220" w:right="1144"/>
        <w:rPr>
          <w:rFonts w:ascii="Gill Sans MT"/>
          <w:sz w:val="18"/>
        </w:rPr>
      </w:pPr>
      <w:r>
        <w:rPr>
          <w:rFonts w:ascii="Gill Sans MT"/>
          <w:color w:val="231F20"/>
          <w:w w:val="110"/>
          <w:sz w:val="18"/>
        </w:rPr>
        <w:t>German Embassy in Stockholm, dies in Stammheim Prison.</w:t>
      </w:r>
    </w:p>
    <w:p w14:paraId="3B6F1911" w14:textId="77777777" w:rsidR="002653E8" w:rsidRDefault="002653E8">
      <w:pPr>
        <w:pStyle w:val="a3"/>
        <w:spacing w:before="4"/>
        <w:rPr>
          <w:rFonts w:ascii="Gill Sans MT"/>
        </w:rPr>
      </w:pPr>
    </w:p>
    <w:p w14:paraId="30216AE8" w14:textId="77777777" w:rsidR="002653E8" w:rsidRDefault="003115E3">
      <w:pPr>
        <w:ind w:left="220"/>
        <w:rPr>
          <w:rFonts w:ascii="Arial"/>
          <w:b/>
          <w:sz w:val="18"/>
        </w:rPr>
      </w:pPr>
      <w:r>
        <w:rPr>
          <w:rFonts w:ascii="Arial"/>
          <w:b/>
          <w:color w:val="231F20"/>
          <w:w w:val="120"/>
          <w:sz w:val="18"/>
        </w:rPr>
        <w:t>May 5, 1975</w:t>
      </w:r>
    </w:p>
    <w:p w14:paraId="0D0F15EF" w14:textId="77777777" w:rsidR="002653E8" w:rsidRDefault="003115E3">
      <w:pPr>
        <w:spacing w:before="35" w:line="276" w:lineRule="auto"/>
        <w:ind w:left="220" w:right="1238"/>
        <w:rPr>
          <w:rFonts w:ascii="Gill Sans MT" w:hAnsi="Gill Sans MT"/>
          <w:sz w:val="18"/>
        </w:rPr>
      </w:pPr>
      <w:r>
        <w:rPr>
          <w:rFonts w:ascii="Gill Sans MT" w:hAnsi="Gill Sans MT"/>
          <w:color w:val="231F20"/>
          <w:w w:val="110"/>
          <w:sz w:val="18"/>
        </w:rPr>
        <w:t>defense attorney Kurt Groenewold is excluded as Andreas Baader’s attorney on the basis of allegations that his office served as an “information central” to allow prisoners to communicate amongst themselves.</w:t>
      </w:r>
    </w:p>
    <w:p w14:paraId="16C92886" w14:textId="77777777" w:rsidR="002653E8" w:rsidRDefault="002653E8">
      <w:pPr>
        <w:pStyle w:val="a3"/>
        <w:spacing w:before="6"/>
        <w:rPr>
          <w:rFonts w:ascii="Gill Sans MT"/>
        </w:rPr>
      </w:pPr>
    </w:p>
    <w:p w14:paraId="3E246715" w14:textId="77777777" w:rsidR="002653E8" w:rsidRDefault="003115E3">
      <w:pPr>
        <w:ind w:left="220"/>
        <w:rPr>
          <w:rFonts w:ascii="Arial"/>
          <w:b/>
          <w:sz w:val="18"/>
        </w:rPr>
      </w:pPr>
      <w:r>
        <w:rPr>
          <w:rFonts w:ascii="Arial"/>
          <w:b/>
          <w:color w:val="231F20"/>
          <w:w w:val="120"/>
          <w:sz w:val="18"/>
        </w:rPr>
        <w:t>May 9, 1975</w:t>
      </w:r>
    </w:p>
    <w:p w14:paraId="159378A2" w14:textId="77777777" w:rsidR="002653E8" w:rsidRDefault="003115E3">
      <w:pPr>
        <w:spacing w:before="35" w:line="276" w:lineRule="auto"/>
        <w:ind w:left="220" w:right="1540"/>
        <w:rPr>
          <w:rFonts w:ascii="Gill Sans MT"/>
          <w:sz w:val="18"/>
        </w:rPr>
      </w:pPr>
      <w:r>
        <w:rPr>
          <w:rFonts w:ascii="Gill Sans MT"/>
          <w:color w:val="231F20"/>
          <w:w w:val="115"/>
          <w:sz w:val="18"/>
        </w:rPr>
        <w:t>Elisabeth von dyck and Siegfried Haag are arrested on</w:t>
      </w:r>
    </w:p>
    <w:p w14:paraId="558796D2" w14:textId="77777777" w:rsidR="002653E8" w:rsidRDefault="003115E3">
      <w:pPr>
        <w:spacing w:line="276" w:lineRule="auto"/>
        <w:ind w:left="220" w:right="1313"/>
        <w:rPr>
          <w:rFonts w:ascii="Gill Sans MT"/>
          <w:sz w:val="18"/>
        </w:rPr>
      </w:pPr>
      <w:r>
        <w:rPr>
          <w:rFonts w:ascii="Gill Sans MT"/>
          <w:color w:val="231F20"/>
          <w:w w:val="110"/>
          <w:sz w:val="18"/>
        </w:rPr>
        <w:t>charges of smuggling weapons out of Switzerland. They are released soon after.</w:t>
      </w:r>
    </w:p>
    <w:p w14:paraId="4DB1EA6D" w14:textId="77777777" w:rsidR="002653E8" w:rsidRDefault="002653E8">
      <w:pPr>
        <w:pStyle w:val="a3"/>
        <w:spacing w:before="6"/>
        <w:rPr>
          <w:rFonts w:ascii="Gill Sans MT"/>
        </w:rPr>
      </w:pPr>
    </w:p>
    <w:p w14:paraId="3D7B4644" w14:textId="77777777" w:rsidR="002653E8" w:rsidRDefault="003115E3">
      <w:pPr>
        <w:ind w:left="220"/>
        <w:rPr>
          <w:rFonts w:ascii="Arial"/>
          <w:b/>
          <w:sz w:val="18"/>
        </w:rPr>
      </w:pPr>
      <w:r>
        <w:rPr>
          <w:rFonts w:ascii="Arial"/>
          <w:b/>
          <w:color w:val="231F20"/>
          <w:w w:val="120"/>
          <w:sz w:val="18"/>
        </w:rPr>
        <w:t>May 10, 1975</w:t>
      </w:r>
    </w:p>
    <w:p w14:paraId="3D438368" w14:textId="77777777" w:rsidR="002653E8" w:rsidRDefault="003115E3">
      <w:pPr>
        <w:spacing w:before="34" w:line="276" w:lineRule="auto"/>
        <w:ind w:left="220" w:right="1313"/>
        <w:rPr>
          <w:rFonts w:ascii="Gill Sans MT" w:hAnsi="Gill Sans MT"/>
          <w:sz w:val="18"/>
        </w:rPr>
      </w:pPr>
      <w:r>
        <w:rPr>
          <w:rFonts w:ascii="Gill Sans MT" w:hAnsi="Gill Sans MT"/>
          <w:color w:val="231F20"/>
          <w:w w:val="115"/>
          <w:sz w:val="18"/>
        </w:rPr>
        <w:t>All</w:t>
      </w:r>
      <w:r>
        <w:rPr>
          <w:rFonts w:ascii="Gill Sans MT" w:hAnsi="Gill Sans MT"/>
          <w:color w:val="231F20"/>
          <w:spacing w:val="-10"/>
          <w:w w:val="115"/>
          <w:sz w:val="18"/>
        </w:rPr>
        <w:t xml:space="preserve"> </w:t>
      </w:r>
      <w:r>
        <w:rPr>
          <w:rFonts w:ascii="Gill Sans MT" w:hAnsi="Gill Sans MT"/>
          <w:color w:val="231F20"/>
          <w:w w:val="115"/>
          <w:sz w:val="18"/>
        </w:rPr>
        <w:t>of</w:t>
      </w:r>
      <w:r>
        <w:rPr>
          <w:rFonts w:ascii="Gill Sans MT" w:hAnsi="Gill Sans MT"/>
          <w:color w:val="231F20"/>
          <w:spacing w:val="-10"/>
          <w:w w:val="115"/>
          <w:sz w:val="18"/>
        </w:rPr>
        <w:t xml:space="preserve"> </w:t>
      </w:r>
      <w:r>
        <w:rPr>
          <w:rFonts w:ascii="Gill Sans MT" w:hAnsi="Gill Sans MT"/>
          <w:color w:val="231F20"/>
          <w:w w:val="115"/>
          <w:sz w:val="18"/>
        </w:rPr>
        <w:t>Siegfried</w:t>
      </w:r>
      <w:r>
        <w:rPr>
          <w:rFonts w:ascii="Gill Sans MT" w:hAnsi="Gill Sans MT"/>
          <w:color w:val="231F20"/>
          <w:spacing w:val="-10"/>
          <w:w w:val="115"/>
          <w:sz w:val="18"/>
        </w:rPr>
        <w:t xml:space="preserve"> </w:t>
      </w:r>
      <w:r>
        <w:rPr>
          <w:rFonts w:ascii="Gill Sans MT" w:hAnsi="Gill Sans MT"/>
          <w:color w:val="231F20"/>
          <w:spacing w:val="-3"/>
          <w:w w:val="115"/>
          <w:sz w:val="18"/>
        </w:rPr>
        <w:t>Haag’s</w:t>
      </w:r>
      <w:r>
        <w:rPr>
          <w:rFonts w:ascii="Gill Sans MT" w:hAnsi="Gill Sans MT"/>
          <w:color w:val="231F20"/>
          <w:spacing w:val="-10"/>
          <w:w w:val="115"/>
          <w:sz w:val="18"/>
        </w:rPr>
        <w:t xml:space="preserve"> </w:t>
      </w:r>
      <w:r>
        <w:rPr>
          <w:rFonts w:ascii="Gill Sans MT" w:hAnsi="Gill Sans MT"/>
          <w:color w:val="231F20"/>
          <w:w w:val="115"/>
          <w:sz w:val="18"/>
        </w:rPr>
        <w:t>files</w:t>
      </w:r>
      <w:r>
        <w:rPr>
          <w:rFonts w:ascii="Gill Sans MT" w:hAnsi="Gill Sans MT"/>
          <w:color w:val="231F20"/>
          <w:spacing w:val="-10"/>
          <w:w w:val="115"/>
          <w:sz w:val="18"/>
        </w:rPr>
        <w:t xml:space="preserve"> </w:t>
      </w:r>
      <w:r>
        <w:rPr>
          <w:rFonts w:ascii="Gill Sans MT" w:hAnsi="Gill Sans MT"/>
          <w:color w:val="231F20"/>
          <w:w w:val="115"/>
          <w:sz w:val="18"/>
        </w:rPr>
        <w:t>related to</w:t>
      </w:r>
      <w:r>
        <w:rPr>
          <w:rFonts w:ascii="Gill Sans MT" w:hAnsi="Gill Sans MT"/>
          <w:color w:val="231F20"/>
          <w:spacing w:val="-23"/>
          <w:w w:val="115"/>
          <w:sz w:val="18"/>
        </w:rPr>
        <w:t xml:space="preserve"> </w:t>
      </w:r>
      <w:r>
        <w:rPr>
          <w:rFonts w:ascii="Gill Sans MT" w:hAnsi="Gill Sans MT"/>
          <w:color w:val="231F20"/>
          <w:w w:val="115"/>
          <w:sz w:val="18"/>
        </w:rPr>
        <w:t>the</w:t>
      </w:r>
      <w:r>
        <w:rPr>
          <w:rFonts w:ascii="Gill Sans MT" w:hAnsi="Gill Sans MT"/>
          <w:color w:val="231F20"/>
          <w:spacing w:val="-23"/>
          <w:w w:val="115"/>
          <w:sz w:val="18"/>
        </w:rPr>
        <w:t xml:space="preserve"> </w:t>
      </w:r>
      <w:r>
        <w:rPr>
          <w:rFonts w:ascii="Gill Sans MT" w:hAnsi="Gill Sans MT"/>
          <w:color w:val="231F20"/>
          <w:w w:val="115"/>
          <w:sz w:val="18"/>
        </w:rPr>
        <w:t>Stammheim</w:t>
      </w:r>
      <w:r>
        <w:rPr>
          <w:rFonts w:ascii="Gill Sans MT" w:hAnsi="Gill Sans MT"/>
          <w:color w:val="231F20"/>
          <w:spacing w:val="-23"/>
          <w:w w:val="115"/>
          <w:sz w:val="18"/>
        </w:rPr>
        <w:t xml:space="preserve"> </w:t>
      </w:r>
      <w:r>
        <w:rPr>
          <w:rFonts w:ascii="Gill Sans MT" w:hAnsi="Gill Sans MT"/>
          <w:color w:val="231F20"/>
          <w:w w:val="115"/>
          <w:sz w:val="18"/>
        </w:rPr>
        <w:t>trial</w:t>
      </w:r>
      <w:r>
        <w:rPr>
          <w:rFonts w:ascii="Gill Sans MT" w:hAnsi="Gill Sans MT"/>
          <w:color w:val="231F20"/>
          <w:spacing w:val="-23"/>
          <w:w w:val="115"/>
          <w:sz w:val="18"/>
        </w:rPr>
        <w:t xml:space="preserve"> </w:t>
      </w:r>
      <w:r>
        <w:rPr>
          <w:rFonts w:ascii="Gill Sans MT" w:hAnsi="Gill Sans MT"/>
          <w:color w:val="231F20"/>
          <w:w w:val="115"/>
          <w:sz w:val="18"/>
        </w:rPr>
        <w:t>are</w:t>
      </w:r>
      <w:r>
        <w:rPr>
          <w:rFonts w:ascii="Gill Sans MT" w:hAnsi="Gill Sans MT"/>
          <w:color w:val="231F20"/>
          <w:spacing w:val="-23"/>
          <w:w w:val="115"/>
          <w:sz w:val="18"/>
        </w:rPr>
        <w:t xml:space="preserve"> </w:t>
      </w:r>
      <w:r>
        <w:rPr>
          <w:rFonts w:ascii="Gill Sans MT" w:hAnsi="Gill Sans MT"/>
          <w:color w:val="231F20"/>
          <w:w w:val="115"/>
          <w:sz w:val="18"/>
        </w:rPr>
        <w:t>seized.</w:t>
      </w:r>
    </w:p>
    <w:p w14:paraId="62150B6A" w14:textId="77777777" w:rsidR="002653E8" w:rsidRDefault="002653E8">
      <w:pPr>
        <w:spacing w:line="276" w:lineRule="auto"/>
        <w:rPr>
          <w:rFonts w:ascii="Gill Sans MT" w:hAnsi="Gill Sans MT"/>
          <w:sz w:val="18"/>
        </w:rPr>
        <w:sectPr w:rsidR="002653E8">
          <w:footerReference w:type="even" r:id="rId512"/>
          <w:pgSz w:w="8640" w:h="12960"/>
          <w:pgMar w:top="1060" w:right="0" w:bottom="280" w:left="0" w:header="0" w:footer="0" w:gutter="0"/>
          <w:cols w:num="2" w:space="720" w:equalWidth="0">
            <w:col w:w="4270" w:space="40"/>
            <w:col w:w="4330"/>
          </w:cols>
        </w:sectPr>
      </w:pPr>
    </w:p>
    <w:p w14:paraId="5C63CB28" w14:textId="77777777" w:rsidR="002653E8" w:rsidRDefault="002653E8">
      <w:pPr>
        <w:pStyle w:val="a3"/>
        <w:rPr>
          <w:rFonts w:ascii="Gill Sans MT"/>
        </w:rPr>
      </w:pPr>
    </w:p>
    <w:p w14:paraId="7B759BB6" w14:textId="77777777" w:rsidR="002653E8" w:rsidRDefault="002653E8">
      <w:pPr>
        <w:pStyle w:val="a3"/>
        <w:rPr>
          <w:rFonts w:ascii="Gill Sans MT"/>
        </w:rPr>
      </w:pPr>
    </w:p>
    <w:p w14:paraId="69E3A1AE" w14:textId="77777777" w:rsidR="002653E8" w:rsidRDefault="002653E8">
      <w:pPr>
        <w:rPr>
          <w:rFonts w:ascii="Gill Sans MT"/>
        </w:rPr>
        <w:sectPr w:rsidR="002653E8">
          <w:type w:val="continuous"/>
          <w:pgSz w:w="8640" w:h="12960"/>
          <w:pgMar w:top="0" w:right="0" w:bottom="0" w:left="0" w:header="720" w:footer="720" w:gutter="0"/>
          <w:cols w:space="720"/>
        </w:sectPr>
      </w:pPr>
    </w:p>
    <w:p w14:paraId="5CBE871F" w14:textId="77777777" w:rsidR="002653E8" w:rsidRDefault="002653E8">
      <w:pPr>
        <w:pStyle w:val="a3"/>
        <w:spacing w:before="6"/>
        <w:rPr>
          <w:rFonts w:ascii="Gill Sans MT"/>
          <w:sz w:val="22"/>
        </w:rPr>
      </w:pPr>
    </w:p>
    <w:p w14:paraId="14529438" w14:textId="77777777" w:rsidR="002653E8" w:rsidRDefault="003115E3">
      <w:pPr>
        <w:spacing w:line="244" w:lineRule="auto"/>
        <w:ind w:left="1327" w:right="38"/>
        <w:rPr>
          <w:sz w:val="18"/>
        </w:rPr>
      </w:pPr>
      <w:r>
        <w:rPr>
          <w:color w:val="231F20"/>
          <w:w w:val="110"/>
          <w:sz w:val="18"/>
        </w:rPr>
        <w:t>a chronology may 10, 1975</w:t>
      </w:r>
      <w:r>
        <w:rPr>
          <w:color w:val="231F20"/>
          <w:sz w:val="18"/>
        </w:rPr>
        <w:t xml:space="preserve"> </w:t>
      </w:r>
    </w:p>
    <w:p w14:paraId="3F0CE7A9" w14:textId="77777777" w:rsidR="002653E8" w:rsidRDefault="003115E3">
      <w:pPr>
        <w:pStyle w:val="a3"/>
        <w:spacing w:before="5"/>
        <w:rPr>
          <w:sz w:val="18"/>
        </w:rPr>
      </w:pPr>
      <w:r>
        <w:br w:type="column"/>
      </w:r>
    </w:p>
    <w:p w14:paraId="6D200486" w14:textId="77777777" w:rsidR="002653E8" w:rsidRDefault="003115E3">
      <w:pPr>
        <w:ind w:left="1346" w:right="1141"/>
        <w:jc w:val="center"/>
        <w:rPr>
          <w:sz w:val="18"/>
        </w:rPr>
      </w:pPr>
      <w:r>
        <w:rPr>
          <w:color w:val="231F20"/>
          <w:sz w:val="18"/>
        </w:rPr>
        <w:t xml:space="preserve">597 </w:t>
      </w:r>
    </w:p>
    <w:p w14:paraId="005A897C" w14:textId="77777777" w:rsidR="002653E8" w:rsidRDefault="002653E8">
      <w:pPr>
        <w:jc w:val="center"/>
        <w:rPr>
          <w:sz w:val="18"/>
        </w:rPr>
        <w:sectPr w:rsidR="002653E8">
          <w:type w:val="continuous"/>
          <w:pgSz w:w="8640" w:h="12960"/>
          <w:pgMar w:top="0" w:right="0" w:bottom="0" w:left="0" w:header="720" w:footer="720" w:gutter="0"/>
          <w:cols w:num="2" w:space="720" w:equalWidth="0">
            <w:col w:w="2922" w:space="2892"/>
            <w:col w:w="2826"/>
          </w:cols>
        </w:sectPr>
      </w:pPr>
    </w:p>
    <w:p w14:paraId="2C5916D1" w14:textId="77777777" w:rsidR="002653E8" w:rsidRDefault="003115E3">
      <w:pPr>
        <w:spacing w:before="91"/>
        <w:ind w:left="1147"/>
        <w:rPr>
          <w:rFonts w:ascii="Arial"/>
          <w:b/>
          <w:sz w:val="18"/>
        </w:rPr>
      </w:pPr>
      <w:r>
        <w:rPr>
          <w:rFonts w:ascii="Arial"/>
          <w:b/>
          <w:color w:val="231F20"/>
          <w:w w:val="120"/>
          <w:sz w:val="18"/>
        </w:rPr>
        <w:lastRenderedPageBreak/>
        <w:t>May 11, 1975</w:t>
      </w:r>
    </w:p>
    <w:p w14:paraId="70CD0F50" w14:textId="77777777" w:rsidR="002653E8" w:rsidRDefault="003115E3">
      <w:pPr>
        <w:spacing w:before="34" w:line="276" w:lineRule="auto"/>
        <w:ind w:left="1147" w:right="384"/>
        <w:rPr>
          <w:rFonts w:ascii="Gill Sans MT"/>
          <w:sz w:val="18"/>
        </w:rPr>
      </w:pPr>
      <w:r>
        <w:rPr>
          <w:rFonts w:ascii="Gill Sans MT"/>
          <w:color w:val="231F20"/>
          <w:w w:val="110"/>
          <w:sz w:val="18"/>
        </w:rPr>
        <w:t xml:space="preserve">Attorney Siegfried Haag goes underground, joining the </w:t>
      </w:r>
      <w:r w:rsidR="00C507A5">
        <w:rPr>
          <w:rFonts w:ascii="Gill Sans MT"/>
          <w:color w:val="231F20"/>
          <w:w w:val="110"/>
          <w:sz w:val="18"/>
        </w:rPr>
        <w:t>red army faction</w:t>
      </w:r>
      <w:r>
        <w:rPr>
          <w:rFonts w:ascii="Gill Sans MT"/>
          <w:color w:val="231F20"/>
          <w:w w:val="110"/>
          <w:sz w:val="18"/>
        </w:rPr>
        <w:t>.</w:t>
      </w:r>
    </w:p>
    <w:p w14:paraId="05D171EB" w14:textId="77777777" w:rsidR="002653E8" w:rsidRDefault="002653E8">
      <w:pPr>
        <w:pStyle w:val="a3"/>
        <w:spacing w:before="7"/>
        <w:rPr>
          <w:rFonts w:ascii="Gill Sans MT"/>
        </w:rPr>
      </w:pPr>
    </w:p>
    <w:p w14:paraId="4F0BEF9B" w14:textId="77777777" w:rsidR="002653E8" w:rsidRDefault="003115E3">
      <w:pPr>
        <w:ind w:left="1147"/>
        <w:rPr>
          <w:rFonts w:ascii="Arial"/>
          <w:b/>
          <w:sz w:val="18"/>
        </w:rPr>
      </w:pPr>
      <w:r>
        <w:rPr>
          <w:rFonts w:ascii="Arial"/>
          <w:b/>
          <w:color w:val="231F20"/>
          <w:w w:val="120"/>
          <w:sz w:val="18"/>
        </w:rPr>
        <w:t>May 13, 1975</w:t>
      </w:r>
    </w:p>
    <w:p w14:paraId="17F3DFBC" w14:textId="77777777" w:rsidR="002653E8" w:rsidRDefault="003115E3">
      <w:pPr>
        <w:spacing w:before="34" w:line="276" w:lineRule="auto"/>
        <w:ind w:left="1147" w:right="89"/>
        <w:rPr>
          <w:rFonts w:ascii="Gill Sans MT" w:hAnsi="Gill Sans MT"/>
          <w:sz w:val="18"/>
        </w:rPr>
      </w:pPr>
      <w:r>
        <w:rPr>
          <w:rFonts w:ascii="Gill Sans MT" w:hAnsi="Gill Sans MT"/>
          <w:color w:val="231F20"/>
          <w:w w:val="110"/>
          <w:sz w:val="18"/>
        </w:rPr>
        <w:t>Attorney Hans-Christian Ströbele is barred from defending Andreas Baader.</w:t>
      </w:r>
    </w:p>
    <w:p w14:paraId="01DADB49" w14:textId="77777777" w:rsidR="002653E8" w:rsidRDefault="002653E8">
      <w:pPr>
        <w:pStyle w:val="a3"/>
        <w:spacing w:before="7"/>
        <w:rPr>
          <w:rFonts w:ascii="Gill Sans MT"/>
        </w:rPr>
      </w:pPr>
    </w:p>
    <w:p w14:paraId="441B2489" w14:textId="77777777" w:rsidR="002653E8" w:rsidRDefault="003115E3">
      <w:pPr>
        <w:ind w:left="1147"/>
        <w:rPr>
          <w:rFonts w:ascii="Arial"/>
          <w:b/>
          <w:sz w:val="18"/>
        </w:rPr>
      </w:pPr>
      <w:r>
        <w:rPr>
          <w:rFonts w:ascii="Arial"/>
          <w:b/>
          <w:color w:val="231F20"/>
          <w:w w:val="120"/>
          <w:sz w:val="18"/>
        </w:rPr>
        <w:t>May 16, 1975</w:t>
      </w:r>
    </w:p>
    <w:p w14:paraId="60556B45" w14:textId="77777777" w:rsidR="002653E8" w:rsidRDefault="003115E3">
      <w:pPr>
        <w:spacing w:before="34" w:line="276" w:lineRule="auto"/>
        <w:ind w:left="1147" w:right="144"/>
        <w:jc w:val="both"/>
        <w:rPr>
          <w:rFonts w:ascii="Gill Sans MT"/>
          <w:sz w:val="18"/>
        </w:rPr>
      </w:pPr>
      <w:r>
        <w:rPr>
          <w:rFonts w:ascii="Gill Sans MT"/>
          <w:color w:val="231F20"/>
          <w:w w:val="115"/>
          <w:sz w:val="18"/>
        </w:rPr>
        <w:t>Rumours</w:t>
      </w:r>
      <w:r>
        <w:rPr>
          <w:rFonts w:ascii="Gill Sans MT"/>
          <w:color w:val="231F20"/>
          <w:spacing w:val="-26"/>
          <w:w w:val="115"/>
          <w:sz w:val="18"/>
        </w:rPr>
        <w:t xml:space="preserve"> </w:t>
      </w:r>
      <w:r>
        <w:rPr>
          <w:rFonts w:ascii="Gill Sans MT"/>
          <w:color w:val="231F20"/>
          <w:w w:val="115"/>
          <w:sz w:val="18"/>
        </w:rPr>
        <w:t>are</w:t>
      </w:r>
      <w:r>
        <w:rPr>
          <w:rFonts w:ascii="Gill Sans MT"/>
          <w:color w:val="231F20"/>
          <w:spacing w:val="-26"/>
          <w:w w:val="115"/>
          <w:sz w:val="18"/>
        </w:rPr>
        <w:t xml:space="preserve"> </w:t>
      </w:r>
      <w:r>
        <w:rPr>
          <w:rFonts w:ascii="Gill Sans MT"/>
          <w:color w:val="231F20"/>
          <w:w w:val="115"/>
          <w:sz w:val="18"/>
        </w:rPr>
        <w:t>spread</w:t>
      </w:r>
      <w:r>
        <w:rPr>
          <w:rFonts w:ascii="Gill Sans MT"/>
          <w:color w:val="231F20"/>
          <w:spacing w:val="-26"/>
          <w:w w:val="115"/>
          <w:sz w:val="18"/>
        </w:rPr>
        <w:t xml:space="preserve"> </w:t>
      </w:r>
      <w:r>
        <w:rPr>
          <w:rFonts w:ascii="Gill Sans MT"/>
          <w:color w:val="231F20"/>
          <w:w w:val="115"/>
          <w:sz w:val="18"/>
        </w:rPr>
        <w:t>in</w:t>
      </w:r>
      <w:r>
        <w:rPr>
          <w:rFonts w:ascii="Gill Sans MT"/>
          <w:color w:val="231F20"/>
          <w:spacing w:val="-26"/>
          <w:w w:val="115"/>
          <w:sz w:val="18"/>
        </w:rPr>
        <w:t xml:space="preserve"> </w:t>
      </w:r>
      <w:r>
        <w:rPr>
          <w:rFonts w:ascii="Gill Sans MT"/>
          <w:color w:val="231F20"/>
          <w:w w:val="115"/>
          <w:sz w:val="18"/>
        </w:rPr>
        <w:t>the</w:t>
      </w:r>
      <w:r>
        <w:rPr>
          <w:rFonts w:ascii="Gill Sans MT"/>
          <w:color w:val="231F20"/>
          <w:spacing w:val="-26"/>
          <w:w w:val="115"/>
          <w:sz w:val="18"/>
        </w:rPr>
        <w:t xml:space="preserve"> </w:t>
      </w:r>
      <w:r>
        <w:rPr>
          <w:rFonts w:ascii="Gill Sans MT"/>
          <w:color w:val="231F20"/>
          <w:w w:val="115"/>
          <w:sz w:val="18"/>
        </w:rPr>
        <w:t>media that</w:t>
      </w:r>
      <w:r>
        <w:rPr>
          <w:rFonts w:ascii="Gill Sans MT"/>
          <w:color w:val="231F20"/>
          <w:spacing w:val="-14"/>
          <w:w w:val="115"/>
          <w:sz w:val="18"/>
        </w:rPr>
        <w:t xml:space="preserve"> </w:t>
      </w:r>
      <w:r>
        <w:rPr>
          <w:rFonts w:ascii="Gill Sans MT"/>
          <w:color w:val="231F20"/>
          <w:w w:val="115"/>
          <w:sz w:val="18"/>
        </w:rPr>
        <w:t>the</w:t>
      </w:r>
      <w:r>
        <w:rPr>
          <w:rFonts w:ascii="Gill Sans MT"/>
          <w:color w:val="231F20"/>
          <w:spacing w:val="-14"/>
          <w:w w:val="115"/>
          <w:sz w:val="18"/>
        </w:rPr>
        <w:t xml:space="preserve"> </w:t>
      </w:r>
      <w:r w:rsidR="00C507A5">
        <w:rPr>
          <w:rFonts w:ascii="Gill Sans MT"/>
          <w:color w:val="231F20"/>
          <w:w w:val="115"/>
          <w:sz w:val="18"/>
        </w:rPr>
        <w:t>red army faction</w:t>
      </w:r>
      <w:r>
        <w:rPr>
          <w:rFonts w:ascii="Gill Sans MT"/>
          <w:color w:val="231F20"/>
          <w:spacing w:val="-14"/>
          <w:w w:val="115"/>
          <w:sz w:val="18"/>
        </w:rPr>
        <w:t xml:space="preserve"> </w:t>
      </w:r>
      <w:r>
        <w:rPr>
          <w:rFonts w:ascii="Gill Sans MT"/>
          <w:color w:val="231F20"/>
          <w:w w:val="115"/>
          <w:sz w:val="18"/>
        </w:rPr>
        <w:t>is</w:t>
      </w:r>
      <w:r>
        <w:rPr>
          <w:rFonts w:ascii="Gill Sans MT"/>
          <w:color w:val="231F20"/>
          <w:spacing w:val="-14"/>
          <w:w w:val="115"/>
          <w:sz w:val="18"/>
        </w:rPr>
        <w:t xml:space="preserve"> </w:t>
      </w:r>
      <w:r>
        <w:rPr>
          <w:rFonts w:ascii="Gill Sans MT"/>
          <w:color w:val="231F20"/>
          <w:w w:val="115"/>
          <w:sz w:val="18"/>
        </w:rPr>
        <w:t>planning</w:t>
      </w:r>
      <w:r>
        <w:rPr>
          <w:rFonts w:ascii="Gill Sans MT"/>
          <w:color w:val="231F20"/>
          <w:spacing w:val="-14"/>
          <w:w w:val="115"/>
          <w:sz w:val="18"/>
        </w:rPr>
        <w:t xml:space="preserve"> </w:t>
      </w:r>
      <w:r>
        <w:rPr>
          <w:rFonts w:ascii="Gill Sans MT"/>
          <w:color w:val="231F20"/>
          <w:w w:val="115"/>
          <w:sz w:val="18"/>
        </w:rPr>
        <w:t>a</w:t>
      </w:r>
      <w:r>
        <w:rPr>
          <w:rFonts w:ascii="Gill Sans MT"/>
          <w:color w:val="231F20"/>
          <w:spacing w:val="-14"/>
          <w:w w:val="115"/>
          <w:sz w:val="18"/>
        </w:rPr>
        <w:t xml:space="preserve"> </w:t>
      </w:r>
      <w:r>
        <w:rPr>
          <w:rFonts w:ascii="Gill Sans MT"/>
          <w:color w:val="231F20"/>
          <w:w w:val="115"/>
          <w:sz w:val="18"/>
        </w:rPr>
        <w:t>poison gas attack on</w:t>
      </w:r>
      <w:r>
        <w:rPr>
          <w:rFonts w:ascii="Gill Sans MT"/>
          <w:color w:val="231F20"/>
          <w:spacing w:val="-26"/>
          <w:w w:val="115"/>
          <w:sz w:val="18"/>
        </w:rPr>
        <w:t xml:space="preserve"> </w:t>
      </w:r>
      <w:r>
        <w:rPr>
          <w:rFonts w:ascii="Gill Sans MT"/>
          <w:color w:val="231F20"/>
          <w:w w:val="115"/>
          <w:sz w:val="18"/>
        </w:rPr>
        <w:t>parliament.</w:t>
      </w:r>
    </w:p>
    <w:p w14:paraId="48011C32" w14:textId="77777777" w:rsidR="002653E8" w:rsidRDefault="002653E8">
      <w:pPr>
        <w:pStyle w:val="a3"/>
        <w:spacing w:before="7"/>
        <w:rPr>
          <w:rFonts w:ascii="Gill Sans MT"/>
        </w:rPr>
      </w:pPr>
    </w:p>
    <w:p w14:paraId="6DA373BE" w14:textId="77777777" w:rsidR="002653E8" w:rsidRDefault="003115E3">
      <w:pPr>
        <w:ind w:left="1147"/>
        <w:rPr>
          <w:rFonts w:ascii="Arial"/>
          <w:b/>
          <w:sz w:val="18"/>
        </w:rPr>
      </w:pPr>
      <w:r>
        <w:rPr>
          <w:rFonts w:ascii="Arial"/>
          <w:b/>
          <w:color w:val="231F20"/>
          <w:w w:val="120"/>
          <w:sz w:val="18"/>
        </w:rPr>
        <w:t>May 21, 1975</w:t>
      </w:r>
    </w:p>
    <w:p w14:paraId="329C281A" w14:textId="77777777" w:rsidR="002653E8" w:rsidRDefault="003115E3">
      <w:pPr>
        <w:spacing w:before="34" w:line="276" w:lineRule="auto"/>
        <w:ind w:left="1147"/>
        <w:rPr>
          <w:rFonts w:ascii="Gill Sans MT"/>
          <w:sz w:val="18"/>
        </w:rPr>
      </w:pPr>
      <w:r>
        <w:rPr>
          <w:rFonts w:ascii="Gill Sans MT"/>
          <w:color w:val="231F20"/>
          <w:w w:val="110"/>
          <w:sz w:val="18"/>
        </w:rPr>
        <w:t>The pretrial hearing for ulrike Meinhof, Gudrun Ensslin, Jan-Carl Raspe, and Andreas Baader begins in Stammheim. defense attorneys Otto Schily, Marielouise Becker, Rupert von Plottnitz, and Helmut Riedel, as well as several courtappointed attorneys, are present, but Andreas Baader is still without an attorney.</w:t>
      </w:r>
    </w:p>
    <w:p w14:paraId="2BBB2C76" w14:textId="77777777" w:rsidR="002653E8" w:rsidRDefault="002653E8">
      <w:pPr>
        <w:pStyle w:val="a3"/>
        <w:spacing w:before="6"/>
        <w:rPr>
          <w:rFonts w:ascii="Gill Sans MT"/>
        </w:rPr>
      </w:pPr>
    </w:p>
    <w:p w14:paraId="46A57B7D" w14:textId="77777777" w:rsidR="002653E8" w:rsidRDefault="003115E3">
      <w:pPr>
        <w:ind w:left="1147"/>
        <w:rPr>
          <w:rFonts w:ascii="Arial"/>
          <w:b/>
          <w:sz w:val="18"/>
        </w:rPr>
      </w:pPr>
      <w:r>
        <w:rPr>
          <w:rFonts w:ascii="Arial"/>
          <w:b/>
          <w:color w:val="231F20"/>
          <w:w w:val="120"/>
          <w:sz w:val="18"/>
        </w:rPr>
        <w:t>May 23, 1975</w:t>
      </w:r>
    </w:p>
    <w:p w14:paraId="557F5555" w14:textId="77777777" w:rsidR="002653E8" w:rsidRDefault="003115E3">
      <w:pPr>
        <w:spacing w:before="35" w:line="276" w:lineRule="auto"/>
        <w:ind w:left="1147" w:right="147"/>
        <w:rPr>
          <w:rFonts w:ascii="Gill Sans MT"/>
          <w:sz w:val="18"/>
        </w:rPr>
      </w:pPr>
      <w:r>
        <w:rPr>
          <w:rFonts w:ascii="Gill Sans MT"/>
          <w:color w:val="231F20"/>
          <w:w w:val="110"/>
          <w:sz w:val="18"/>
        </w:rPr>
        <w:t>Federal Minister of the Interior Werner Maihofer claims there are two hundred to three hundred</w:t>
      </w:r>
      <w:r>
        <w:rPr>
          <w:rFonts w:ascii="Gill Sans MT"/>
          <w:color w:val="231F20"/>
          <w:spacing w:val="-17"/>
          <w:w w:val="110"/>
          <w:sz w:val="18"/>
        </w:rPr>
        <w:t xml:space="preserve"> </w:t>
      </w:r>
      <w:r>
        <w:rPr>
          <w:rFonts w:ascii="Gill Sans MT"/>
          <w:color w:val="231F20"/>
          <w:w w:val="110"/>
          <w:sz w:val="18"/>
        </w:rPr>
        <w:t>terrorist</w:t>
      </w:r>
      <w:r>
        <w:rPr>
          <w:rFonts w:ascii="Gill Sans MT"/>
          <w:color w:val="231F20"/>
          <w:spacing w:val="-17"/>
          <w:w w:val="110"/>
          <w:sz w:val="18"/>
        </w:rPr>
        <w:t xml:space="preserve"> </w:t>
      </w:r>
      <w:r>
        <w:rPr>
          <w:rFonts w:ascii="Gill Sans MT"/>
          <w:color w:val="231F20"/>
          <w:w w:val="110"/>
          <w:sz w:val="18"/>
        </w:rPr>
        <w:t>sympathizers</w:t>
      </w:r>
      <w:r>
        <w:rPr>
          <w:rFonts w:ascii="Gill Sans MT"/>
          <w:color w:val="231F20"/>
          <w:spacing w:val="-17"/>
          <w:w w:val="110"/>
          <w:sz w:val="18"/>
        </w:rPr>
        <w:t xml:space="preserve"> </w:t>
      </w:r>
      <w:r>
        <w:rPr>
          <w:rFonts w:ascii="Gill Sans MT"/>
          <w:color w:val="231F20"/>
          <w:w w:val="110"/>
          <w:sz w:val="18"/>
        </w:rPr>
        <w:t>in</w:t>
      </w:r>
    </w:p>
    <w:p w14:paraId="10F97F70" w14:textId="77777777" w:rsidR="002653E8" w:rsidRDefault="003115E3">
      <w:pPr>
        <w:spacing w:line="276" w:lineRule="auto"/>
        <w:ind w:left="1147" w:right="-10"/>
        <w:rPr>
          <w:rFonts w:ascii="Gill Sans MT"/>
          <w:sz w:val="18"/>
        </w:rPr>
      </w:pPr>
      <w:r>
        <w:rPr>
          <w:rFonts w:ascii="Gill Sans MT"/>
          <w:color w:val="231F20"/>
          <w:spacing w:val="-3"/>
          <w:w w:val="110"/>
          <w:sz w:val="18"/>
        </w:rPr>
        <w:t xml:space="preserve">West </w:t>
      </w:r>
      <w:r>
        <w:rPr>
          <w:rFonts w:ascii="Gill Sans MT"/>
          <w:color w:val="231F20"/>
          <w:w w:val="110"/>
          <w:sz w:val="18"/>
        </w:rPr>
        <w:t>Germany, with a hardcore of about thirty.</w:t>
      </w:r>
    </w:p>
    <w:p w14:paraId="4E9AB232" w14:textId="77777777" w:rsidR="002653E8" w:rsidRDefault="002653E8">
      <w:pPr>
        <w:pStyle w:val="a3"/>
        <w:spacing w:before="5"/>
        <w:rPr>
          <w:rFonts w:ascii="Gill Sans MT"/>
        </w:rPr>
      </w:pPr>
    </w:p>
    <w:p w14:paraId="1FB2FF15" w14:textId="77777777" w:rsidR="002653E8" w:rsidRDefault="003115E3">
      <w:pPr>
        <w:spacing w:before="1"/>
        <w:ind w:left="1147"/>
        <w:rPr>
          <w:rFonts w:ascii="Arial"/>
          <w:b/>
          <w:sz w:val="18"/>
        </w:rPr>
      </w:pPr>
      <w:r>
        <w:rPr>
          <w:rFonts w:ascii="Arial"/>
          <w:b/>
          <w:color w:val="231F20"/>
          <w:w w:val="115"/>
          <w:sz w:val="18"/>
        </w:rPr>
        <w:t>June 5, 1975</w:t>
      </w:r>
    </w:p>
    <w:p w14:paraId="30F09714" w14:textId="77777777" w:rsidR="002653E8" w:rsidRDefault="00C507A5">
      <w:pPr>
        <w:spacing w:before="35" w:line="276" w:lineRule="auto"/>
        <w:ind w:left="1147" w:right="146"/>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prisoner Andreas Baader reminds the court that he is still without legal representation and claims that the prisoners’ cells are bugged. He is dismissed as paranoid in the media. </w:t>
      </w:r>
      <w:r w:rsidR="003115E3">
        <w:rPr>
          <w:rFonts w:ascii="Gill Sans MT" w:hAnsi="Gill Sans MT"/>
          <w:color w:val="231F20"/>
          <w:spacing w:val="-7"/>
          <w:w w:val="110"/>
          <w:sz w:val="18"/>
        </w:rPr>
        <w:t xml:space="preserve">Two </w:t>
      </w:r>
      <w:r w:rsidR="003115E3">
        <w:rPr>
          <w:rFonts w:ascii="Gill Sans MT" w:hAnsi="Gill Sans MT"/>
          <w:color w:val="231F20"/>
          <w:w w:val="110"/>
          <w:sz w:val="18"/>
        </w:rPr>
        <w:t>years</w:t>
      </w:r>
    </w:p>
    <w:p w14:paraId="18E0BAED" w14:textId="77777777" w:rsidR="002653E8" w:rsidRDefault="003115E3">
      <w:pPr>
        <w:spacing w:line="208" w:lineRule="exact"/>
        <w:ind w:left="1147"/>
        <w:rPr>
          <w:rFonts w:ascii="Gill Sans MT"/>
          <w:sz w:val="18"/>
        </w:rPr>
      </w:pPr>
      <w:r>
        <w:rPr>
          <w:rFonts w:ascii="Gill Sans MT"/>
          <w:color w:val="231F20"/>
          <w:w w:val="110"/>
          <w:sz w:val="18"/>
        </w:rPr>
        <w:t>later the government will admit to</w:t>
      </w:r>
    </w:p>
    <w:p w14:paraId="006FD5B7" w14:textId="77777777" w:rsidR="002653E8" w:rsidRDefault="003115E3">
      <w:pPr>
        <w:spacing w:before="92" w:line="276" w:lineRule="auto"/>
        <w:ind w:left="337" w:right="1469"/>
        <w:rPr>
          <w:rFonts w:ascii="Gill Sans MT"/>
          <w:sz w:val="18"/>
        </w:rPr>
      </w:pPr>
      <w:r>
        <w:br w:type="column"/>
      </w:r>
      <w:r>
        <w:rPr>
          <w:rFonts w:ascii="Gill Sans MT"/>
          <w:color w:val="231F20"/>
          <w:w w:val="115"/>
          <w:sz w:val="18"/>
        </w:rPr>
        <w:t>the</w:t>
      </w:r>
      <w:r>
        <w:rPr>
          <w:rFonts w:ascii="Gill Sans MT"/>
          <w:color w:val="231F20"/>
          <w:spacing w:val="-17"/>
          <w:w w:val="115"/>
          <w:sz w:val="18"/>
        </w:rPr>
        <w:t xml:space="preserve"> </w:t>
      </w:r>
      <w:r>
        <w:rPr>
          <w:rFonts w:ascii="Gill Sans MT"/>
          <w:color w:val="231F20"/>
          <w:w w:val="115"/>
          <w:sz w:val="18"/>
        </w:rPr>
        <w:t>bugs,</w:t>
      </w:r>
      <w:r>
        <w:rPr>
          <w:rFonts w:ascii="Gill Sans MT"/>
          <w:color w:val="231F20"/>
          <w:spacing w:val="-17"/>
          <w:w w:val="115"/>
          <w:sz w:val="18"/>
        </w:rPr>
        <w:t xml:space="preserve"> </w:t>
      </w:r>
      <w:r>
        <w:rPr>
          <w:rFonts w:ascii="Gill Sans MT"/>
          <w:color w:val="231F20"/>
          <w:w w:val="115"/>
          <w:sz w:val="18"/>
        </w:rPr>
        <w:t>but</w:t>
      </w:r>
      <w:r>
        <w:rPr>
          <w:rFonts w:ascii="Gill Sans MT"/>
          <w:color w:val="231F20"/>
          <w:spacing w:val="-17"/>
          <w:w w:val="115"/>
          <w:sz w:val="18"/>
        </w:rPr>
        <w:t xml:space="preserve"> </w:t>
      </w:r>
      <w:r>
        <w:rPr>
          <w:rFonts w:ascii="Gill Sans MT"/>
          <w:color w:val="231F20"/>
          <w:w w:val="115"/>
          <w:sz w:val="18"/>
        </w:rPr>
        <w:t>claim</w:t>
      </w:r>
      <w:r>
        <w:rPr>
          <w:rFonts w:ascii="Gill Sans MT"/>
          <w:color w:val="231F20"/>
          <w:spacing w:val="-17"/>
          <w:w w:val="115"/>
          <w:sz w:val="18"/>
        </w:rPr>
        <w:t xml:space="preserve"> </w:t>
      </w:r>
      <w:r>
        <w:rPr>
          <w:rFonts w:ascii="Gill Sans MT"/>
          <w:color w:val="231F20"/>
          <w:w w:val="115"/>
          <w:sz w:val="18"/>
        </w:rPr>
        <w:t>they</w:t>
      </w:r>
      <w:r>
        <w:rPr>
          <w:rFonts w:ascii="Gill Sans MT"/>
          <w:color w:val="231F20"/>
          <w:spacing w:val="-17"/>
          <w:w w:val="115"/>
          <w:sz w:val="18"/>
        </w:rPr>
        <w:t xml:space="preserve"> </w:t>
      </w:r>
      <w:r>
        <w:rPr>
          <w:rFonts w:ascii="Gill Sans MT"/>
          <w:color w:val="231F20"/>
          <w:w w:val="115"/>
          <w:sz w:val="18"/>
        </w:rPr>
        <w:t>were</w:t>
      </w:r>
      <w:r>
        <w:rPr>
          <w:rFonts w:ascii="Gill Sans MT"/>
          <w:color w:val="231F20"/>
          <w:spacing w:val="-17"/>
          <w:w w:val="115"/>
          <w:sz w:val="18"/>
        </w:rPr>
        <w:t xml:space="preserve"> </w:t>
      </w:r>
      <w:r>
        <w:rPr>
          <w:rFonts w:ascii="Gill Sans MT"/>
          <w:color w:val="231F20"/>
          <w:w w:val="115"/>
          <w:sz w:val="18"/>
        </w:rPr>
        <w:t>only used during the Stockholm crisis and</w:t>
      </w:r>
      <w:r>
        <w:rPr>
          <w:rFonts w:ascii="Gill Sans MT"/>
          <w:color w:val="231F20"/>
          <w:spacing w:val="-28"/>
          <w:w w:val="115"/>
          <w:sz w:val="18"/>
        </w:rPr>
        <w:t xml:space="preserve"> </w:t>
      </w:r>
      <w:r>
        <w:rPr>
          <w:rFonts w:ascii="Gill Sans MT"/>
          <w:color w:val="231F20"/>
          <w:w w:val="115"/>
          <w:sz w:val="18"/>
        </w:rPr>
        <w:t>briefly</w:t>
      </w:r>
      <w:r>
        <w:rPr>
          <w:rFonts w:ascii="Gill Sans MT"/>
          <w:color w:val="231F20"/>
          <w:spacing w:val="-28"/>
          <w:w w:val="115"/>
          <w:sz w:val="18"/>
        </w:rPr>
        <w:t xml:space="preserve"> </w:t>
      </w:r>
      <w:r>
        <w:rPr>
          <w:rFonts w:ascii="Gill Sans MT"/>
          <w:color w:val="231F20"/>
          <w:w w:val="115"/>
          <w:sz w:val="18"/>
        </w:rPr>
        <w:t>in</w:t>
      </w:r>
      <w:r>
        <w:rPr>
          <w:rFonts w:ascii="Gill Sans MT"/>
          <w:color w:val="231F20"/>
          <w:spacing w:val="-28"/>
          <w:w w:val="115"/>
          <w:sz w:val="18"/>
        </w:rPr>
        <w:t xml:space="preserve"> </w:t>
      </w:r>
      <w:r>
        <w:rPr>
          <w:rFonts w:ascii="Arial"/>
          <w:color w:val="231F20"/>
          <w:w w:val="115"/>
          <w:sz w:val="18"/>
        </w:rPr>
        <w:t>1976</w:t>
      </w:r>
      <w:r>
        <w:rPr>
          <w:rFonts w:ascii="Gill Sans MT"/>
          <w:color w:val="231F20"/>
          <w:w w:val="115"/>
          <w:sz w:val="18"/>
        </w:rPr>
        <w:t>,</w:t>
      </w:r>
      <w:r>
        <w:rPr>
          <w:rFonts w:ascii="Gill Sans MT"/>
          <w:color w:val="231F20"/>
          <w:spacing w:val="-28"/>
          <w:w w:val="115"/>
          <w:sz w:val="18"/>
        </w:rPr>
        <w:t xml:space="preserve"> </w:t>
      </w:r>
      <w:r>
        <w:rPr>
          <w:rFonts w:ascii="Gill Sans MT"/>
          <w:color w:val="231F20"/>
          <w:w w:val="115"/>
          <w:sz w:val="18"/>
        </w:rPr>
        <w:t>after</w:t>
      </w:r>
      <w:r>
        <w:rPr>
          <w:rFonts w:ascii="Gill Sans MT"/>
          <w:color w:val="231F20"/>
          <w:spacing w:val="-28"/>
          <w:w w:val="115"/>
          <w:sz w:val="18"/>
        </w:rPr>
        <w:t xml:space="preserve"> </w:t>
      </w:r>
      <w:r>
        <w:rPr>
          <w:rFonts w:ascii="Gill Sans MT"/>
          <w:color w:val="231F20"/>
          <w:w w:val="115"/>
          <w:sz w:val="18"/>
        </w:rPr>
        <w:t>which</w:t>
      </w:r>
      <w:r>
        <w:rPr>
          <w:rFonts w:ascii="Gill Sans MT"/>
          <w:color w:val="231F20"/>
          <w:spacing w:val="-28"/>
          <w:w w:val="115"/>
          <w:sz w:val="18"/>
        </w:rPr>
        <w:t xml:space="preserve"> </w:t>
      </w:r>
      <w:r>
        <w:rPr>
          <w:rFonts w:ascii="Gill Sans MT"/>
          <w:color w:val="231F20"/>
          <w:w w:val="115"/>
          <w:sz w:val="18"/>
        </w:rPr>
        <w:t>the</w:t>
      </w:r>
      <w:r>
        <w:rPr>
          <w:rFonts w:ascii="Gill Sans MT"/>
          <w:color w:val="231F20"/>
          <w:w w:val="111"/>
          <w:sz w:val="18"/>
        </w:rPr>
        <w:t xml:space="preserve"> </w:t>
      </w:r>
      <w:r>
        <w:rPr>
          <w:rFonts w:ascii="Gill Sans MT"/>
          <w:color w:val="231F20"/>
          <w:w w:val="115"/>
          <w:sz w:val="18"/>
        </w:rPr>
        <w:t>tapes were immediately</w:t>
      </w:r>
      <w:r>
        <w:rPr>
          <w:rFonts w:ascii="Gill Sans MT"/>
          <w:color w:val="231F20"/>
          <w:spacing w:val="-44"/>
          <w:w w:val="115"/>
          <w:sz w:val="18"/>
        </w:rPr>
        <w:t xml:space="preserve"> </w:t>
      </w:r>
      <w:r>
        <w:rPr>
          <w:rFonts w:ascii="Gill Sans MT"/>
          <w:color w:val="231F20"/>
          <w:w w:val="115"/>
          <w:sz w:val="18"/>
        </w:rPr>
        <w:t>erased.</w:t>
      </w:r>
    </w:p>
    <w:p w14:paraId="5D66891F" w14:textId="77777777" w:rsidR="002653E8" w:rsidRDefault="002653E8">
      <w:pPr>
        <w:pStyle w:val="a3"/>
        <w:spacing w:before="4"/>
        <w:rPr>
          <w:rFonts w:ascii="Gill Sans MT"/>
        </w:rPr>
      </w:pPr>
    </w:p>
    <w:p w14:paraId="41A75A95" w14:textId="77777777" w:rsidR="002653E8" w:rsidRDefault="003115E3">
      <w:pPr>
        <w:spacing w:before="1"/>
        <w:ind w:left="337"/>
        <w:rPr>
          <w:rFonts w:ascii="Arial"/>
          <w:b/>
          <w:sz w:val="18"/>
        </w:rPr>
      </w:pPr>
      <w:r>
        <w:rPr>
          <w:rFonts w:ascii="Arial"/>
          <w:b/>
          <w:color w:val="231F20"/>
          <w:w w:val="115"/>
          <w:sz w:val="18"/>
        </w:rPr>
        <w:t>June 12, 1975</w:t>
      </w:r>
    </w:p>
    <w:p w14:paraId="4C4ACFC8" w14:textId="77777777" w:rsidR="002653E8" w:rsidRDefault="003115E3">
      <w:pPr>
        <w:spacing w:before="34" w:line="271" w:lineRule="auto"/>
        <w:ind w:left="337" w:right="1481"/>
        <w:rPr>
          <w:rFonts w:ascii="Gill Sans MT"/>
          <w:sz w:val="18"/>
        </w:rPr>
      </w:pPr>
      <w:r>
        <w:rPr>
          <w:rFonts w:ascii="Gill Sans MT"/>
          <w:color w:val="231F20"/>
          <w:w w:val="110"/>
          <w:sz w:val="18"/>
        </w:rPr>
        <w:t xml:space="preserve">Kurt Groenewold, one of the attorneys representing </w:t>
      </w:r>
      <w:r w:rsidR="00C507A5">
        <w:rPr>
          <w:rFonts w:ascii="Gill Sans MT"/>
          <w:color w:val="231F20"/>
          <w:w w:val="110"/>
          <w:sz w:val="18"/>
        </w:rPr>
        <w:t>red army faction</w:t>
      </w:r>
      <w:r>
        <w:rPr>
          <w:rFonts w:ascii="Gill Sans MT"/>
          <w:color w:val="231F20"/>
          <w:w w:val="110"/>
          <w:sz w:val="18"/>
        </w:rPr>
        <w:t xml:space="preserve"> prisoners, is subjected to the </w:t>
      </w:r>
      <w:r>
        <w:rPr>
          <w:rFonts w:ascii="Lucida Sans"/>
          <w:i/>
          <w:color w:val="231F20"/>
          <w:w w:val="110"/>
          <w:sz w:val="18"/>
        </w:rPr>
        <w:t>Berufsverbot</w:t>
      </w:r>
      <w:r>
        <w:rPr>
          <w:rFonts w:ascii="Lucida Sans"/>
          <w:i/>
          <w:color w:val="231F20"/>
          <w:spacing w:val="-44"/>
          <w:w w:val="110"/>
          <w:sz w:val="18"/>
        </w:rPr>
        <w:t xml:space="preserve"> </w:t>
      </w:r>
      <w:r>
        <w:rPr>
          <w:rFonts w:ascii="Gill Sans MT"/>
          <w:color w:val="231F20"/>
          <w:w w:val="110"/>
          <w:sz w:val="18"/>
        </w:rPr>
        <w:t>for</w:t>
      </w:r>
      <w:r>
        <w:rPr>
          <w:rFonts w:ascii="Gill Sans MT"/>
          <w:color w:val="231F20"/>
          <w:spacing w:val="-37"/>
          <w:w w:val="110"/>
          <w:sz w:val="18"/>
        </w:rPr>
        <w:t xml:space="preserve"> </w:t>
      </w:r>
      <w:r>
        <w:rPr>
          <w:rFonts w:ascii="Gill Sans MT"/>
          <w:color w:val="231F20"/>
          <w:w w:val="110"/>
          <w:sz w:val="18"/>
        </w:rPr>
        <w:t>his</w:t>
      </w:r>
      <w:r>
        <w:rPr>
          <w:rFonts w:ascii="Gill Sans MT"/>
          <w:color w:val="231F20"/>
          <w:spacing w:val="-37"/>
          <w:w w:val="110"/>
          <w:sz w:val="18"/>
        </w:rPr>
        <w:t xml:space="preserve"> </w:t>
      </w:r>
      <w:r>
        <w:rPr>
          <w:rFonts w:ascii="Gill Sans MT"/>
          <w:color w:val="231F20"/>
          <w:w w:val="110"/>
          <w:sz w:val="18"/>
        </w:rPr>
        <w:t>alleged</w:t>
      </w:r>
      <w:r>
        <w:rPr>
          <w:rFonts w:ascii="Gill Sans MT"/>
          <w:color w:val="231F20"/>
          <w:spacing w:val="-37"/>
          <w:w w:val="110"/>
          <w:sz w:val="18"/>
        </w:rPr>
        <w:t xml:space="preserve"> </w:t>
      </w:r>
      <w:r>
        <w:rPr>
          <w:rFonts w:ascii="Gill Sans MT"/>
          <w:color w:val="231F20"/>
          <w:w w:val="110"/>
          <w:sz w:val="18"/>
        </w:rPr>
        <w:t>role</w:t>
      </w:r>
      <w:r>
        <w:rPr>
          <w:rFonts w:ascii="Gill Sans MT"/>
          <w:color w:val="231F20"/>
          <w:spacing w:val="-37"/>
          <w:w w:val="110"/>
          <w:sz w:val="18"/>
        </w:rPr>
        <w:t xml:space="preserve"> </w:t>
      </w:r>
      <w:r>
        <w:rPr>
          <w:rFonts w:ascii="Gill Sans MT"/>
          <w:color w:val="231F20"/>
          <w:w w:val="110"/>
          <w:sz w:val="18"/>
        </w:rPr>
        <w:t>in the</w:t>
      </w:r>
      <w:r>
        <w:rPr>
          <w:rFonts w:ascii="Gill Sans MT"/>
          <w:color w:val="231F20"/>
          <w:spacing w:val="-12"/>
          <w:w w:val="110"/>
          <w:sz w:val="18"/>
        </w:rPr>
        <w:t xml:space="preserve"> </w:t>
      </w:r>
      <w:r w:rsidR="00C507A5">
        <w:rPr>
          <w:rFonts w:ascii="Gill Sans MT"/>
          <w:color w:val="231F20"/>
          <w:w w:val="110"/>
          <w:sz w:val="18"/>
        </w:rPr>
        <w:t>red army faction</w:t>
      </w:r>
      <w:r>
        <w:rPr>
          <w:rFonts w:ascii="Gill Sans MT"/>
          <w:color w:val="231F20"/>
          <w:spacing w:val="-12"/>
          <w:w w:val="110"/>
          <w:sz w:val="18"/>
        </w:rPr>
        <w:t xml:space="preserve"> </w:t>
      </w:r>
      <w:r>
        <w:rPr>
          <w:rFonts w:ascii="Gill Sans MT"/>
          <w:color w:val="231F20"/>
          <w:w w:val="110"/>
          <w:sz w:val="18"/>
        </w:rPr>
        <w:t>prisoners</w:t>
      </w:r>
      <w:r>
        <w:rPr>
          <w:rFonts w:ascii="Gill Sans MT"/>
          <w:color w:val="231F20"/>
          <w:spacing w:val="-12"/>
          <w:w w:val="110"/>
          <w:sz w:val="18"/>
        </w:rPr>
        <w:t xml:space="preserve"> </w:t>
      </w:r>
      <w:r>
        <w:rPr>
          <w:rFonts w:ascii="Lucida Sans"/>
          <w:i/>
          <w:color w:val="231F20"/>
          <w:w w:val="110"/>
          <w:sz w:val="18"/>
        </w:rPr>
        <w:t>Info</w:t>
      </w:r>
      <w:r>
        <w:rPr>
          <w:rFonts w:ascii="Lucida Sans"/>
          <w:i/>
          <w:color w:val="231F20"/>
          <w:spacing w:val="-19"/>
          <w:w w:val="110"/>
          <w:sz w:val="18"/>
        </w:rPr>
        <w:t xml:space="preserve"> </w:t>
      </w:r>
      <w:r>
        <w:rPr>
          <w:rFonts w:ascii="Gill Sans MT"/>
          <w:color w:val="231F20"/>
          <w:w w:val="110"/>
          <w:sz w:val="18"/>
        </w:rPr>
        <w:t>system.</w:t>
      </w:r>
    </w:p>
    <w:p w14:paraId="6D121AB3" w14:textId="77777777" w:rsidR="002653E8" w:rsidRDefault="002653E8">
      <w:pPr>
        <w:pStyle w:val="a3"/>
        <w:spacing w:before="2"/>
        <w:rPr>
          <w:rFonts w:ascii="Gill Sans MT"/>
          <w:sz w:val="21"/>
        </w:rPr>
      </w:pPr>
    </w:p>
    <w:p w14:paraId="6A972635" w14:textId="77777777" w:rsidR="002653E8" w:rsidRDefault="003115E3">
      <w:pPr>
        <w:ind w:left="337"/>
        <w:rPr>
          <w:rFonts w:ascii="Arial"/>
          <w:b/>
          <w:sz w:val="18"/>
        </w:rPr>
      </w:pPr>
      <w:r>
        <w:rPr>
          <w:rFonts w:ascii="Arial"/>
          <w:b/>
          <w:color w:val="231F20"/>
          <w:w w:val="115"/>
          <w:sz w:val="18"/>
        </w:rPr>
        <w:t>June 23, 1975</w:t>
      </w:r>
    </w:p>
    <w:p w14:paraId="43A1AFB9" w14:textId="77777777" w:rsidR="002653E8" w:rsidRDefault="003115E3">
      <w:pPr>
        <w:spacing w:before="34" w:line="276" w:lineRule="auto"/>
        <w:ind w:left="337" w:right="1393"/>
        <w:rPr>
          <w:rFonts w:ascii="Gill Sans MT" w:hAnsi="Gill Sans MT"/>
          <w:sz w:val="18"/>
        </w:rPr>
      </w:pPr>
      <w:r>
        <w:rPr>
          <w:rFonts w:ascii="Gill Sans MT" w:hAnsi="Gill Sans MT"/>
          <w:color w:val="231F20"/>
          <w:w w:val="110"/>
          <w:sz w:val="18"/>
        </w:rPr>
        <w:t xml:space="preserve">defense attorneys for the </w:t>
      </w:r>
      <w:r w:rsidR="00C507A5">
        <w:rPr>
          <w:rFonts w:ascii="Gill Sans MT" w:hAnsi="Gill Sans MT"/>
          <w:color w:val="231F20"/>
          <w:w w:val="110"/>
          <w:sz w:val="18"/>
        </w:rPr>
        <w:t>red army faction</w:t>
      </w:r>
      <w:r>
        <w:rPr>
          <w:rFonts w:ascii="Gill Sans MT" w:hAnsi="Gill Sans MT"/>
          <w:color w:val="231F20"/>
          <w:w w:val="110"/>
          <w:sz w:val="18"/>
        </w:rPr>
        <w:t xml:space="preserve"> prisoners in Hamburg, Heidelberg, Stuttgart, and </w:t>
      </w:r>
      <w:r>
        <w:rPr>
          <w:rFonts w:ascii="Gill Sans MT" w:hAnsi="Gill Sans MT"/>
          <w:color w:val="231F20"/>
          <w:spacing w:val="-3"/>
          <w:w w:val="110"/>
          <w:sz w:val="18"/>
        </w:rPr>
        <w:t xml:space="preserve">West </w:t>
      </w:r>
      <w:r>
        <w:rPr>
          <w:rFonts w:ascii="Gill Sans MT" w:hAnsi="Gill Sans MT"/>
          <w:color w:val="231F20"/>
          <w:w w:val="110"/>
          <w:sz w:val="18"/>
        </w:rPr>
        <w:t>Berlin have their offices and homes searched. Hans-Christian Ströbele and Klaus Croissant are arrested. Files</w:t>
      </w:r>
      <w:r>
        <w:rPr>
          <w:rFonts w:ascii="Gill Sans MT" w:hAnsi="Gill Sans MT"/>
          <w:color w:val="231F20"/>
          <w:spacing w:val="-22"/>
          <w:w w:val="110"/>
          <w:sz w:val="18"/>
        </w:rPr>
        <w:t xml:space="preserve"> </w:t>
      </w:r>
      <w:r>
        <w:rPr>
          <w:rFonts w:ascii="Gill Sans MT" w:hAnsi="Gill Sans MT"/>
          <w:color w:val="231F20"/>
          <w:w w:val="110"/>
          <w:sz w:val="18"/>
        </w:rPr>
        <w:t>relating to the Stammheim trial are</w:t>
      </w:r>
      <w:r>
        <w:rPr>
          <w:rFonts w:ascii="Gill Sans MT" w:hAnsi="Gill Sans MT"/>
          <w:color w:val="231F20"/>
          <w:spacing w:val="-4"/>
          <w:w w:val="110"/>
          <w:sz w:val="18"/>
        </w:rPr>
        <w:t xml:space="preserve"> </w:t>
      </w:r>
      <w:r>
        <w:rPr>
          <w:rFonts w:ascii="Gill Sans MT" w:hAnsi="Gill Sans MT"/>
          <w:color w:val="231F20"/>
          <w:w w:val="110"/>
          <w:sz w:val="18"/>
        </w:rPr>
        <w:t>seized.</w:t>
      </w:r>
    </w:p>
    <w:p w14:paraId="2CDF1856" w14:textId="77777777" w:rsidR="002653E8" w:rsidRDefault="002653E8">
      <w:pPr>
        <w:pStyle w:val="a3"/>
        <w:spacing w:before="6"/>
        <w:rPr>
          <w:rFonts w:ascii="Gill Sans MT"/>
        </w:rPr>
      </w:pPr>
    </w:p>
    <w:p w14:paraId="05B563B4" w14:textId="77777777" w:rsidR="002653E8" w:rsidRDefault="003115E3">
      <w:pPr>
        <w:ind w:left="337"/>
        <w:rPr>
          <w:rFonts w:ascii="Arial"/>
          <w:b/>
          <w:sz w:val="18"/>
        </w:rPr>
      </w:pPr>
      <w:r>
        <w:rPr>
          <w:rFonts w:ascii="Arial"/>
          <w:b/>
          <w:color w:val="231F20"/>
          <w:w w:val="115"/>
          <w:sz w:val="18"/>
        </w:rPr>
        <w:t>June 29, 1975</w:t>
      </w:r>
    </w:p>
    <w:p w14:paraId="1ABE964F" w14:textId="77777777" w:rsidR="002653E8" w:rsidRDefault="00C507A5">
      <w:pPr>
        <w:spacing w:before="35" w:line="276" w:lineRule="auto"/>
        <w:ind w:left="337" w:right="1431"/>
        <w:rPr>
          <w:rFonts w:ascii="Gill Sans MT"/>
          <w:sz w:val="18"/>
        </w:rPr>
      </w:pPr>
      <w:r>
        <w:rPr>
          <w:rFonts w:ascii="Gill Sans MT"/>
          <w:color w:val="231F20"/>
          <w:w w:val="110"/>
          <w:sz w:val="18"/>
        </w:rPr>
        <w:t>red army faction</w:t>
      </w:r>
      <w:r w:rsidR="003115E3">
        <w:rPr>
          <w:rFonts w:ascii="Gill Sans MT"/>
          <w:color w:val="231F20"/>
          <w:w w:val="110"/>
          <w:sz w:val="18"/>
        </w:rPr>
        <w:t xml:space="preserve"> member Katharina Hammerschmidt dies of cancer in a West Berlin hospital.</w:t>
      </w:r>
    </w:p>
    <w:p w14:paraId="1C9904BB" w14:textId="77777777" w:rsidR="002653E8" w:rsidRDefault="002653E8">
      <w:pPr>
        <w:pStyle w:val="a3"/>
        <w:spacing w:before="6"/>
        <w:rPr>
          <w:rFonts w:ascii="Gill Sans MT"/>
        </w:rPr>
      </w:pPr>
    </w:p>
    <w:p w14:paraId="35573DF8" w14:textId="77777777" w:rsidR="002653E8" w:rsidRDefault="003115E3">
      <w:pPr>
        <w:ind w:left="337"/>
        <w:rPr>
          <w:rFonts w:ascii="Arial"/>
          <w:b/>
          <w:sz w:val="18"/>
        </w:rPr>
      </w:pPr>
      <w:r>
        <w:rPr>
          <w:rFonts w:ascii="Arial"/>
          <w:b/>
          <w:color w:val="231F20"/>
          <w:w w:val="115"/>
          <w:sz w:val="18"/>
        </w:rPr>
        <w:t>August 9, 1975</w:t>
      </w:r>
    </w:p>
    <w:p w14:paraId="6EF12A3C" w14:textId="77777777" w:rsidR="002653E8" w:rsidRDefault="00C507A5">
      <w:pPr>
        <w:spacing w:before="35" w:line="276" w:lineRule="auto"/>
        <w:ind w:left="337" w:right="1387"/>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prisoners Andreas Baader, ulrike Meinhof, Gudrun Ensslin, and Jan-Carl Raspe are jointly charged with four murders and fifty-four attempted murders.</w:t>
      </w:r>
    </w:p>
    <w:p w14:paraId="34EE2327" w14:textId="77777777" w:rsidR="002653E8" w:rsidRDefault="002653E8">
      <w:pPr>
        <w:pStyle w:val="a3"/>
        <w:spacing w:before="6"/>
        <w:rPr>
          <w:rFonts w:ascii="Gill Sans MT"/>
        </w:rPr>
      </w:pPr>
    </w:p>
    <w:p w14:paraId="2EC7639D" w14:textId="77777777" w:rsidR="002653E8" w:rsidRDefault="003115E3">
      <w:pPr>
        <w:ind w:left="337"/>
        <w:rPr>
          <w:rFonts w:ascii="Arial"/>
          <w:b/>
          <w:sz w:val="18"/>
        </w:rPr>
      </w:pPr>
      <w:r>
        <w:rPr>
          <w:rFonts w:ascii="Arial"/>
          <w:b/>
          <w:color w:val="231F20"/>
          <w:w w:val="115"/>
          <w:sz w:val="18"/>
        </w:rPr>
        <w:t>September 2, 1975</w:t>
      </w:r>
    </w:p>
    <w:p w14:paraId="32454CB6" w14:textId="77777777" w:rsidR="002653E8" w:rsidRDefault="003115E3">
      <w:pPr>
        <w:spacing w:before="35" w:line="276" w:lineRule="auto"/>
        <w:ind w:left="337" w:right="1503"/>
        <w:rPr>
          <w:rFonts w:ascii="Gill Sans MT" w:hAnsi="Gill Sans MT"/>
          <w:sz w:val="18"/>
        </w:rPr>
      </w:pPr>
      <w:r>
        <w:rPr>
          <w:rFonts w:ascii="Gill Sans MT" w:hAnsi="Gill Sans MT"/>
          <w:color w:val="231F20"/>
          <w:w w:val="110"/>
          <w:sz w:val="18"/>
        </w:rPr>
        <w:t xml:space="preserve">The trial of </w:t>
      </w:r>
      <w:r w:rsidR="00C507A5">
        <w:rPr>
          <w:rFonts w:ascii="Gill Sans MT" w:hAnsi="Gill Sans MT"/>
          <w:color w:val="231F20"/>
          <w:w w:val="110"/>
          <w:sz w:val="18"/>
        </w:rPr>
        <w:t>red army faction</w:t>
      </w:r>
      <w:r>
        <w:rPr>
          <w:rFonts w:ascii="Gill Sans MT" w:hAnsi="Gill Sans MT"/>
          <w:color w:val="231F20"/>
          <w:w w:val="110"/>
          <w:sz w:val="18"/>
        </w:rPr>
        <w:t xml:space="preserve"> members, Manfred Grashof, Wolfgang Grundmann, and Klaus Jünschke</w:t>
      </w:r>
    </w:p>
    <w:p w14:paraId="279CB151" w14:textId="77777777" w:rsidR="002653E8" w:rsidRDefault="003115E3">
      <w:pPr>
        <w:spacing w:line="276" w:lineRule="auto"/>
        <w:ind w:left="337" w:right="703"/>
        <w:rPr>
          <w:rFonts w:ascii="Gill Sans MT"/>
          <w:sz w:val="18"/>
        </w:rPr>
      </w:pPr>
      <w:r>
        <w:rPr>
          <w:rFonts w:ascii="Gill Sans MT"/>
          <w:color w:val="231F20"/>
          <w:w w:val="110"/>
          <w:sz w:val="18"/>
        </w:rPr>
        <w:t>begins in Kaiserslautern under heavy security.</w:t>
      </w:r>
    </w:p>
    <w:p w14:paraId="414B4A0A" w14:textId="77777777" w:rsidR="002653E8" w:rsidRDefault="002653E8">
      <w:pPr>
        <w:spacing w:line="276" w:lineRule="auto"/>
        <w:rPr>
          <w:rFonts w:ascii="Gill Sans MT"/>
          <w:sz w:val="18"/>
        </w:rPr>
        <w:sectPr w:rsidR="002653E8">
          <w:footerReference w:type="default" r:id="rId513"/>
          <w:pgSz w:w="8640" w:h="12960"/>
          <w:pgMar w:top="1060" w:right="0" w:bottom="280" w:left="0" w:header="0" w:footer="0" w:gutter="0"/>
          <w:cols w:num="2" w:space="720" w:equalWidth="0">
            <w:col w:w="3973" w:space="40"/>
            <w:col w:w="4627"/>
          </w:cols>
        </w:sectPr>
      </w:pPr>
    </w:p>
    <w:p w14:paraId="006444C4" w14:textId="77777777" w:rsidR="002653E8" w:rsidRDefault="002653E8">
      <w:pPr>
        <w:pStyle w:val="a3"/>
        <w:rPr>
          <w:rFonts w:ascii="Gill Sans MT"/>
        </w:rPr>
      </w:pPr>
    </w:p>
    <w:p w14:paraId="21AED298" w14:textId="77777777" w:rsidR="002653E8" w:rsidRDefault="002653E8">
      <w:pPr>
        <w:pStyle w:val="a3"/>
        <w:rPr>
          <w:rFonts w:ascii="Gill Sans MT"/>
        </w:rPr>
      </w:pPr>
    </w:p>
    <w:p w14:paraId="4AD1DE52" w14:textId="77777777" w:rsidR="002653E8" w:rsidRDefault="002653E8">
      <w:pPr>
        <w:pStyle w:val="a3"/>
        <w:spacing w:before="2"/>
        <w:rPr>
          <w:rFonts w:ascii="Gill Sans MT"/>
          <w:sz w:val="21"/>
        </w:rPr>
      </w:pPr>
    </w:p>
    <w:p w14:paraId="704AD47D" w14:textId="77777777" w:rsidR="002653E8" w:rsidRDefault="003115E3">
      <w:pPr>
        <w:tabs>
          <w:tab w:val="left" w:pos="3677"/>
        </w:tabs>
        <w:spacing w:before="1" w:line="244" w:lineRule="auto"/>
        <w:ind w:left="5926" w:right="1300" w:hanging="4779"/>
        <w:jc w:val="right"/>
        <w:rPr>
          <w:sz w:val="18"/>
        </w:rPr>
      </w:pPr>
      <w:r>
        <w:rPr>
          <w:color w:val="231F20"/>
          <w:spacing w:val="15"/>
          <w:w w:val="110"/>
          <w:position w:val="5"/>
          <w:sz w:val="18"/>
        </w:rPr>
        <w:lastRenderedPageBreak/>
        <w:t>598</w:t>
      </w:r>
      <w:r>
        <w:rPr>
          <w:color w:val="231F20"/>
          <w:spacing w:val="15"/>
          <w:w w:val="110"/>
          <w:position w:val="5"/>
          <w:sz w:val="18"/>
        </w:rPr>
        <w:tab/>
      </w:r>
      <w:r>
        <w:rPr>
          <w:color w:val="231F20"/>
          <w:spacing w:val="20"/>
          <w:w w:val="110"/>
          <w:sz w:val="18"/>
        </w:rPr>
        <w:t xml:space="preserve">armed struggle </w:t>
      </w:r>
      <w:r>
        <w:rPr>
          <w:color w:val="231F20"/>
          <w:spacing w:val="11"/>
          <w:w w:val="110"/>
          <w:sz w:val="18"/>
        </w:rPr>
        <w:t>in</w:t>
      </w:r>
      <w:r>
        <w:rPr>
          <w:color w:val="231F20"/>
          <w:spacing w:val="66"/>
          <w:w w:val="110"/>
          <w:sz w:val="18"/>
        </w:rPr>
        <w:t xml:space="preserve"> </w:t>
      </w:r>
      <w:r>
        <w:rPr>
          <w:color w:val="231F20"/>
          <w:spacing w:val="17"/>
          <w:w w:val="110"/>
          <w:sz w:val="18"/>
        </w:rPr>
        <w:t>west</w:t>
      </w:r>
      <w:r>
        <w:rPr>
          <w:color w:val="231F20"/>
          <w:spacing w:val="36"/>
          <w:w w:val="110"/>
          <w:sz w:val="18"/>
        </w:rPr>
        <w:t xml:space="preserve"> </w:t>
      </w:r>
      <w:r>
        <w:rPr>
          <w:color w:val="231F20"/>
          <w:spacing w:val="20"/>
          <w:w w:val="110"/>
          <w:sz w:val="18"/>
        </w:rPr>
        <w:t>germany</w:t>
      </w:r>
      <w:r>
        <w:rPr>
          <w:color w:val="231F20"/>
          <w:spacing w:val="-15"/>
          <w:sz w:val="18"/>
        </w:rPr>
        <w:t xml:space="preserve"> </w:t>
      </w:r>
      <w:r>
        <w:rPr>
          <w:color w:val="231F20"/>
          <w:spacing w:val="13"/>
          <w:w w:val="110"/>
          <w:sz w:val="18"/>
        </w:rPr>
        <w:t xml:space="preserve">may </w:t>
      </w:r>
      <w:r>
        <w:rPr>
          <w:color w:val="231F20"/>
          <w:spacing w:val="15"/>
          <w:w w:val="110"/>
          <w:sz w:val="18"/>
        </w:rPr>
        <w:t>11,</w:t>
      </w:r>
      <w:r>
        <w:rPr>
          <w:color w:val="231F20"/>
          <w:spacing w:val="3"/>
          <w:w w:val="110"/>
          <w:sz w:val="18"/>
        </w:rPr>
        <w:t xml:space="preserve"> </w:t>
      </w:r>
      <w:r>
        <w:rPr>
          <w:color w:val="231F20"/>
          <w:spacing w:val="17"/>
          <w:w w:val="110"/>
          <w:sz w:val="18"/>
        </w:rPr>
        <w:t>1975</w:t>
      </w:r>
      <w:r>
        <w:rPr>
          <w:color w:val="231F20"/>
          <w:spacing w:val="-15"/>
          <w:sz w:val="18"/>
        </w:rPr>
        <w:t xml:space="preserve"> </w:t>
      </w:r>
    </w:p>
    <w:p w14:paraId="01C6C469" w14:textId="77777777" w:rsidR="002653E8" w:rsidRDefault="002653E8">
      <w:pPr>
        <w:spacing w:line="244" w:lineRule="auto"/>
        <w:jc w:val="right"/>
        <w:rPr>
          <w:sz w:val="18"/>
        </w:rPr>
        <w:sectPr w:rsidR="002653E8">
          <w:type w:val="continuous"/>
          <w:pgSz w:w="8640" w:h="12960"/>
          <w:pgMar w:top="0" w:right="0" w:bottom="0" w:left="0" w:header="720" w:footer="720" w:gutter="0"/>
          <w:cols w:space="720"/>
        </w:sectPr>
      </w:pPr>
    </w:p>
    <w:p w14:paraId="4169B381" w14:textId="77777777" w:rsidR="002653E8" w:rsidRDefault="003115E3">
      <w:pPr>
        <w:spacing w:before="91"/>
        <w:ind w:left="1327"/>
        <w:rPr>
          <w:rFonts w:ascii="Arial"/>
          <w:b/>
          <w:sz w:val="18"/>
        </w:rPr>
      </w:pPr>
      <w:r>
        <w:rPr>
          <w:rFonts w:ascii="Arial"/>
          <w:b/>
          <w:color w:val="231F20"/>
          <w:w w:val="115"/>
          <w:sz w:val="18"/>
        </w:rPr>
        <w:lastRenderedPageBreak/>
        <w:t>September 13, 1975</w:t>
      </w:r>
    </w:p>
    <w:p w14:paraId="0F184106" w14:textId="77777777" w:rsidR="002653E8" w:rsidRDefault="003115E3">
      <w:pPr>
        <w:spacing w:before="34" w:line="276" w:lineRule="auto"/>
        <w:ind w:left="1327" w:right="21"/>
        <w:rPr>
          <w:rFonts w:ascii="Gill Sans MT"/>
          <w:sz w:val="18"/>
        </w:rPr>
      </w:pPr>
      <w:r>
        <w:rPr>
          <w:rFonts w:ascii="Gill Sans MT"/>
          <w:color w:val="231F20"/>
          <w:w w:val="110"/>
          <w:sz w:val="18"/>
        </w:rPr>
        <w:t xml:space="preserve">A bomb explosion in Hamburg Central Station injures eleven people. Although the </w:t>
      </w:r>
      <w:r w:rsidR="00C507A5">
        <w:rPr>
          <w:rFonts w:ascii="Gill Sans MT"/>
          <w:color w:val="231F20"/>
          <w:w w:val="110"/>
          <w:sz w:val="18"/>
        </w:rPr>
        <w:t>red army faction</w:t>
      </w:r>
      <w:r>
        <w:rPr>
          <w:rFonts w:ascii="Gill Sans MT"/>
          <w:color w:val="231F20"/>
          <w:w w:val="110"/>
          <w:sz w:val="18"/>
        </w:rPr>
        <w:t xml:space="preserve"> is blamed by police and the media, the </w:t>
      </w:r>
      <w:r w:rsidR="00C507A5">
        <w:rPr>
          <w:rFonts w:ascii="Gill Sans MT"/>
          <w:color w:val="231F20"/>
          <w:spacing w:val="-8"/>
          <w:w w:val="110"/>
          <w:sz w:val="18"/>
        </w:rPr>
        <w:t>red army faction</w:t>
      </w:r>
      <w:r>
        <w:rPr>
          <w:rFonts w:ascii="Gill Sans MT"/>
          <w:color w:val="231F20"/>
          <w:spacing w:val="-8"/>
          <w:w w:val="110"/>
          <w:sz w:val="18"/>
        </w:rPr>
        <w:t xml:space="preserve">, </w:t>
      </w:r>
      <w:r>
        <w:rPr>
          <w:rFonts w:ascii="Gill Sans MT"/>
          <w:color w:val="231F20"/>
          <w:w w:val="110"/>
          <w:sz w:val="18"/>
        </w:rPr>
        <w:t>the 2JM, and the RZ all distance themselves from the</w:t>
      </w:r>
      <w:r>
        <w:rPr>
          <w:rFonts w:ascii="Gill Sans MT"/>
          <w:color w:val="231F20"/>
          <w:spacing w:val="-12"/>
          <w:w w:val="110"/>
          <w:sz w:val="18"/>
        </w:rPr>
        <w:t xml:space="preserve"> </w:t>
      </w:r>
      <w:r>
        <w:rPr>
          <w:rFonts w:ascii="Gill Sans MT"/>
          <w:color w:val="231F20"/>
          <w:w w:val="110"/>
          <w:sz w:val="18"/>
        </w:rPr>
        <w:t>action.</w:t>
      </w:r>
    </w:p>
    <w:p w14:paraId="30832F8A" w14:textId="77777777" w:rsidR="002653E8" w:rsidRDefault="002653E8">
      <w:pPr>
        <w:pStyle w:val="a3"/>
        <w:spacing w:before="6"/>
        <w:rPr>
          <w:rFonts w:ascii="Gill Sans MT"/>
        </w:rPr>
      </w:pPr>
    </w:p>
    <w:p w14:paraId="33C388FD" w14:textId="77777777" w:rsidR="002653E8" w:rsidRDefault="003115E3">
      <w:pPr>
        <w:spacing w:before="1"/>
        <w:ind w:left="1327"/>
        <w:rPr>
          <w:rFonts w:ascii="Arial"/>
          <w:b/>
          <w:sz w:val="18"/>
        </w:rPr>
      </w:pPr>
      <w:r>
        <w:rPr>
          <w:rFonts w:ascii="Arial"/>
          <w:b/>
          <w:color w:val="231F20"/>
          <w:w w:val="115"/>
          <w:sz w:val="18"/>
        </w:rPr>
        <w:t>September 14, 1975</w:t>
      </w:r>
    </w:p>
    <w:p w14:paraId="6F6B332A" w14:textId="77777777" w:rsidR="002653E8" w:rsidRDefault="003115E3">
      <w:pPr>
        <w:spacing w:before="34" w:line="276" w:lineRule="auto"/>
        <w:ind w:left="1327" w:right="34"/>
        <w:rPr>
          <w:rFonts w:ascii="Gill Sans MT" w:hAnsi="Gill Sans MT"/>
          <w:sz w:val="18"/>
        </w:rPr>
      </w:pPr>
      <w:r>
        <w:rPr>
          <w:rFonts w:ascii="Gill Sans MT" w:hAnsi="Gill Sans MT"/>
          <w:color w:val="231F20"/>
          <w:w w:val="110"/>
          <w:sz w:val="18"/>
        </w:rPr>
        <w:t xml:space="preserve">A false bomb threat at the Munich train station leads police to a communiqué signed by  the  </w:t>
      </w:r>
      <w:r w:rsidR="00C507A5">
        <w:rPr>
          <w:rFonts w:ascii="Gill Sans MT" w:hAnsi="Gill Sans MT"/>
          <w:color w:val="231F20"/>
          <w:spacing w:val="-8"/>
          <w:w w:val="110"/>
          <w:sz w:val="18"/>
        </w:rPr>
        <w:t>red army faction</w:t>
      </w:r>
      <w:r>
        <w:rPr>
          <w:rFonts w:ascii="Gill Sans MT" w:hAnsi="Gill Sans MT"/>
          <w:color w:val="231F20"/>
          <w:spacing w:val="-8"/>
          <w:w w:val="110"/>
          <w:sz w:val="18"/>
        </w:rPr>
        <w:t xml:space="preserve">, </w:t>
      </w:r>
      <w:r>
        <w:rPr>
          <w:rFonts w:ascii="Gill Sans MT" w:hAnsi="Gill Sans MT"/>
          <w:color w:val="231F20"/>
          <w:w w:val="110"/>
          <w:sz w:val="18"/>
        </w:rPr>
        <w:t>the 2JM, and the RZ denouncing  the recent train station bombings as counterinsurgency</w:t>
      </w:r>
      <w:r>
        <w:rPr>
          <w:rFonts w:ascii="Gill Sans MT" w:hAnsi="Gill Sans MT"/>
          <w:color w:val="231F20"/>
          <w:spacing w:val="-5"/>
          <w:w w:val="110"/>
          <w:sz w:val="18"/>
        </w:rPr>
        <w:t xml:space="preserve"> </w:t>
      </w:r>
      <w:r>
        <w:rPr>
          <w:rFonts w:ascii="Gill Sans MT" w:hAnsi="Gill Sans MT"/>
          <w:color w:val="231F20"/>
          <w:w w:val="110"/>
          <w:sz w:val="18"/>
        </w:rPr>
        <w:t>actions.</w:t>
      </w:r>
    </w:p>
    <w:p w14:paraId="7E96C99D" w14:textId="77777777" w:rsidR="002653E8" w:rsidRDefault="002653E8">
      <w:pPr>
        <w:pStyle w:val="a3"/>
        <w:spacing w:before="6"/>
        <w:rPr>
          <w:rFonts w:ascii="Gill Sans MT"/>
        </w:rPr>
      </w:pPr>
    </w:p>
    <w:p w14:paraId="79C199DF" w14:textId="77777777" w:rsidR="002653E8" w:rsidRDefault="003115E3">
      <w:pPr>
        <w:ind w:left="1327"/>
        <w:rPr>
          <w:rFonts w:ascii="Arial"/>
          <w:b/>
          <w:sz w:val="18"/>
        </w:rPr>
      </w:pPr>
      <w:r>
        <w:rPr>
          <w:rFonts w:ascii="Arial"/>
          <w:b/>
          <w:color w:val="231F20"/>
          <w:w w:val="115"/>
          <w:sz w:val="18"/>
        </w:rPr>
        <w:t>October 6, 1975</w:t>
      </w:r>
    </w:p>
    <w:p w14:paraId="1338FA5F" w14:textId="77777777" w:rsidR="002653E8" w:rsidRDefault="003115E3">
      <w:pPr>
        <w:spacing w:before="35" w:line="276" w:lineRule="auto"/>
        <w:ind w:left="1327"/>
        <w:rPr>
          <w:rFonts w:ascii="Gill Sans MT"/>
          <w:sz w:val="18"/>
        </w:rPr>
      </w:pPr>
      <w:r>
        <w:rPr>
          <w:rFonts w:ascii="Gill Sans MT"/>
          <w:color w:val="231F20"/>
          <w:w w:val="110"/>
          <w:sz w:val="18"/>
        </w:rPr>
        <w:t xml:space="preserve">A bomb is discovered in the Nuremberg train station. Although the </w:t>
      </w:r>
      <w:r w:rsidR="00C507A5">
        <w:rPr>
          <w:rFonts w:ascii="Gill Sans MT"/>
          <w:color w:val="231F20"/>
          <w:w w:val="110"/>
          <w:sz w:val="18"/>
        </w:rPr>
        <w:t>red army faction</w:t>
      </w:r>
      <w:r>
        <w:rPr>
          <w:rFonts w:ascii="Gill Sans MT"/>
          <w:color w:val="231F20"/>
          <w:w w:val="110"/>
          <w:sz w:val="18"/>
        </w:rPr>
        <w:t xml:space="preserve"> is blamed by police and the media, the </w:t>
      </w:r>
      <w:r w:rsidR="00C507A5">
        <w:rPr>
          <w:rFonts w:ascii="Gill Sans MT"/>
          <w:color w:val="231F20"/>
          <w:w w:val="110"/>
          <w:sz w:val="18"/>
        </w:rPr>
        <w:t>red army faction</w:t>
      </w:r>
      <w:r>
        <w:rPr>
          <w:rFonts w:ascii="Gill Sans MT"/>
          <w:color w:val="231F20"/>
          <w:w w:val="110"/>
          <w:sz w:val="18"/>
        </w:rPr>
        <w:t>, the 2JM,  and  the RZ all distance themselves from the action.</w:t>
      </w:r>
    </w:p>
    <w:p w14:paraId="0BE9D9D1" w14:textId="77777777" w:rsidR="002653E8" w:rsidRDefault="002653E8">
      <w:pPr>
        <w:pStyle w:val="a3"/>
        <w:spacing w:before="6"/>
        <w:rPr>
          <w:rFonts w:ascii="Gill Sans MT"/>
        </w:rPr>
      </w:pPr>
    </w:p>
    <w:p w14:paraId="2555EF75" w14:textId="77777777" w:rsidR="002653E8" w:rsidRDefault="003115E3">
      <w:pPr>
        <w:ind w:left="1327"/>
        <w:rPr>
          <w:rFonts w:ascii="Arial"/>
          <w:b/>
          <w:sz w:val="18"/>
        </w:rPr>
      </w:pPr>
      <w:r>
        <w:rPr>
          <w:rFonts w:ascii="Arial"/>
          <w:b/>
          <w:color w:val="231F20"/>
          <w:w w:val="115"/>
          <w:sz w:val="18"/>
        </w:rPr>
        <w:t>November 12, 1975</w:t>
      </w:r>
    </w:p>
    <w:p w14:paraId="6CD02EBF" w14:textId="77777777" w:rsidR="002653E8" w:rsidRDefault="003115E3">
      <w:pPr>
        <w:spacing w:before="35" w:line="276" w:lineRule="auto"/>
        <w:ind w:left="1327" w:right="239"/>
        <w:rPr>
          <w:rFonts w:ascii="Gill Sans MT"/>
          <w:sz w:val="18"/>
        </w:rPr>
      </w:pPr>
      <w:r>
        <w:rPr>
          <w:rFonts w:ascii="Gill Sans MT"/>
          <w:color w:val="231F20"/>
          <w:w w:val="115"/>
          <w:sz w:val="18"/>
        </w:rPr>
        <w:t>A</w:t>
      </w:r>
      <w:r>
        <w:rPr>
          <w:rFonts w:ascii="Gill Sans MT"/>
          <w:color w:val="231F20"/>
          <w:spacing w:val="-19"/>
          <w:w w:val="115"/>
          <w:sz w:val="18"/>
        </w:rPr>
        <w:t xml:space="preserve"> </w:t>
      </w:r>
      <w:r>
        <w:rPr>
          <w:rFonts w:ascii="Gill Sans MT"/>
          <w:color w:val="231F20"/>
          <w:w w:val="115"/>
          <w:sz w:val="18"/>
        </w:rPr>
        <w:t>bomb</w:t>
      </w:r>
      <w:r>
        <w:rPr>
          <w:rFonts w:ascii="Gill Sans MT"/>
          <w:color w:val="231F20"/>
          <w:spacing w:val="-19"/>
          <w:w w:val="115"/>
          <w:sz w:val="18"/>
        </w:rPr>
        <w:t xml:space="preserve"> </w:t>
      </w:r>
      <w:r>
        <w:rPr>
          <w:rFonts w:ascii="Gill Sans MT"/>
          <w:color w:val="231F20"/>
          <w:w w:val="115"/>
          <w:sz w:val="18"/>
        </w:rPr>
        <w:t>explodes</w:t>
      </w:r>
      <w:r>
        <w:rPr>
          <w:rFonts w:ascii="Gill Sans MT"/>
          <w:color w:val="231F20"/>
          <w:spacing w:val="-19"/>
          <w:w w:val="115"/>
          <w:sz w:val="18"/>
        </w:rPr>
        <w:t xml:space="preserve"> </w:t>
      </w:r>
      <w:r>
        <w:rPr>
          <w:rFonts w:ascii="Gill Sans MT"/>
          <w:color w:val="231F20"/>
          <w:w w:val="115"/>
          <w:sz w:val="18"/>
        </w:rPr>
        <w:t>in</w:t>
      </w:r>
      <w:r>
        <w:rPr>
          <w:rFonts w:ascii="Gill Sans MT"/>
          <w:color w:val="231F20"/>
          <w:spacing w:val="-19"/>
          <w:w w:val="115"/>
          <w:sz w:val="18"/>
        </w:rPr>
        <w:t xml:space="preserve"> </w:t>
      </w:r>
      <w:r>
        <w:rPr>
          <w:rFonts w:ascii="Gill Sans MT"/>
          <w:color w:val="231F20"/>
          <w:w w:val="115"/>
          <w:sz w:val="18"/>
        </w:rPr>
        <w:t>the</w:t>
      </w:r>
      <w:r>
        <w:rPr>
          <w:rFonts w:ascii="Gill Sans MT"/>
          <w:color w:val="231F20"/>
          <w:spacing w:val="-19"/>
          <w:w w:val="115"/>
          <w:sz w:val="18"/>
        </w:rPr>
        <w:t xml:space="preserve"> </w:t>
      </w:r>
      <w:r>
        <w:rPr>
          <w:rFonts w:ascii="Gill Sans MT"/>
          <w:color w:val="231F20"/>
          <w:w w:val="115"/>
          <w:sz w:val="18"/>
        </w:rPr>
        <w:t xml:space="preserve">Cologne Central Station. The </w:t>
      </w:r>
      <w:r w:rsidR="00C507A5">
        <w:rPr>
          <w:rFonts w:ascii="Gill Sans MT"/>
          <w:color w:val="231F20"/>
          <w:spacing w:val="-8"/>
          <w:w w:val="115"/>
          <w:sz w:val="18"/>
        </w:rPr>
        <w:t>red army faction</w:t>
      </w:r>
      <w:r>
        <w:rPr>
          <w:rFonts w:ascii="Gill Sans MT"/>
          <w:color w:val="231F20"/>
          <w:spacing w:val="-8"/>
          <w:w w:val="115"/>
          <w:sz w:val="18"/>
        </w:rPr>
        <w:t xml:space="preserve">, </w:t>
      </w:r>
      <w:r>
        <w:rPr>
          <w:rFonts w:ascii="Gill Sans MT"/>
          <w:color w:val="231F20"/>
          <w:w w:val="115"/>
          <w:sz w:val="18"/>
        </w:rPr>
        <w:t>the 2JM,</w:t>
      </w:r>
      <w:r>
        <w:rPr>
          <w:rFonts w:ascii="Gill Sans MT"/>
          <w:color w:val="231F20"/>
          <w:spacing w:val="-16"/>
          <w:w w:val="115"/>
          <w:sz w:val="18"/>
        </w:rPr>
        <w:t xml:space="preserve"> </w:t>
      </w:r>
      <w:r>
        <w:rPr>
          <w:rFonts w:ascii="Gill Sans MT"/>
          <w:color w:val="231F20"/>
          <w:w w:val="115"/>
          <w:sz w:val="18"/>
        </w:rPr>
        <w:t>and</w:t>
      </w:r>
      <w:r>
        <w:rPr>
          <w:rFonts w:ascii="Gill Sans MT"/>
          <w:color w:val="231F20"/>
          <w:spacing w:val="-16"/>
          <w:w w:val="115"/>
          <w:sz w:val="18"/>
        </w:rPr>
        <w:t xml:space="preserve"> </w:t>
      </w:r>
      <w:r>
        <w:rPr>
          <w:rFonts w:ascii="Gill Sans MT"/>
          <w:color w:val="231F20"/>
          <w:w w:val="115"/>
          <w:sz w:val="18"/>
        </w:rPr>
        <w:t>the</w:t>
      </w:r>
      <w:r>
        <w:rPr>
          <w:rFonts w:ascii="Gill Sans MT"/>
          <w:color w:val="231F20"/>
          <w:spacing w:val="-16"/>
          <w:w w:val="115"/>
          <w:sz w:val="18"/>
        </w:rPr>
        <w:t xml:space="preserve"> </w:t>
      </w:r>
      <w:r>
        <w:rPr>
          <w:rFonts w:ascii="Gill Sans MT"/>
          <w:color w:val="231F20"/>
          <w:w w:val="115"/>
          <w:sz w:val="18"/>
        </w:rPr>
        <w:t>RZ</w:t>
      </w:r>
      <w:r>
        <w:rPr>
          <w:rFonts w:ascii="Gill Sans MT"/>
          <w:color w:val="231F20"/>
          <w:spacing w:val="-16"/>
          <w:w w:val="115"/>
          <w:sz w:val="18"/>
        </w:rPr>
        <w:t xml:space="preserve"> </w:t>
      </w:r>
      <w:r>
        <w:rPr>
          <w:rFonts w:ascii="Gill Sans MT"/>
          <w:color w:val="231F20"/>
          <w:w w:val="115"/>
          <w:sz w:val="18"/>
        </w:rPr>
        <w:t>issue</w:t>
      </w:r>
      <w:r>
        <w:rPr>
          <w:rFonts w:ascii="Gill Sans MT"/>
          <w:color w:val="231F20"/>
          <w:spacing w:val="-16"/>
          <w:w w:val="115"/>
          <w:sz w:val="18"/>
        </w:rPr>
        <w:t xml:space="preserve"> </w:t>
      </w:r>
      <w:r>
        <w:rPr>
          <w:rFonts w:ascii="Gill Sans MT"/>
          <w:color w:val="231F20"/>
          <w:w w:val="115"/>
          <w:sz w:val="18"/>
        </w:rPr>
        <w:t>a</w:t>
      </w:r>
      <w:r>
        <w:rPr>
          <w:rFonts w:ascii="Gill Sans MT"/>
          <w:color w:val="231F20"/>
          <w:spacing w:val="-16"/>
          <w:w w:val="115"/>
          <w:sz w:val="18"/>
        </w:rPr>
        <w:t xml:space="preserve"> </w:t>
      </w:r>
      <w:r>
        <w:rPr>
          <w:rFonts w:ascii="Gill Sans MT"/>
          <w:color w:val="231F20"/>
          <w:w w:val="115"/>
          <w:sz w:val="18"/>
        </w:rPr>
        <w:t>common</w:t>
      </w:r>
    </w:p>
    <w:p w14:paraId="099E4E06" w14:textId="77777777" w:rsidR="002653E8" w:rsidRDefault="003115E3">
      <w:pPr>
        <w:spacing w:line="276" w:lineRule="auto"/>
        <w:ind w:left="1327" w:right="52"/>
        <w:rPr>
          <w:rFonts w:ascii="Gill Sans MT"/>
          <w:sz w:val="18"/>
        </w:rPr>
      </w:pPr>
      <w:r>
        <w:rPr>
          <w:rFonts w:ascii="Gill Sans MT"/>
          <w:color w:val="231F20"/>
          <w:w w:val="110"/>
          <w:sz w:val="18"/>
        </w:rPr>
        <w:t>statement denouncing the bombing as a police counterinsurgency action.</w:t>
      </w:r>
    </w:p>
    <w:p w14:paraId="192400BE" w14:textId="77777777" w:rsidR="002653E8" w:rsidRDefault="002653E8">
      <w:pPr>
        <w:pStyle w:val="a3"/>
        <w:spacing w:before="6"/>
        <w:rPr>
          <w:rFonts w:ascii="Gill Sans MT"/>
        </w:rPr>
      </w:pPr>
    </w:p>
    <w:p w14:paraId="153D3438" w14:textId="77777777" w:rsidR="002653E8" w:rsidRDefault="003115E3">
      <w:pPr>
        <w:spacing w:line="276" w:lineRule="auto"/>
        <w:ind w:left="1327" w:right="371"/>
        <w:rPr>
          <w:rFonts w:ascii="Gill Sans MT" w:hAnsi="Gill Sans MT"/>
          <w:sz w:val="18"/>
        </w:rPr>
      </w:pPr>
      <w:r>
        <w:rPr>
          <w:rFonts w:ascii="Arial" w:hAnsi="Arial"/>
          <w:b/>
          <w:color w:val="231F20"/>
          <w:w w:val="110"/>
          <w:sz w:val="18"/>
        </w:rPr>
        <w:t xml:space="preserve">December 16–24, 1975 </w:t>
      </w:r>
      <w:r>
        <w:rPr>
          <w:rFonts w:ascii="Gill Sans MT" w:hAnsi="Gill Sans MT"/>
          <w:color w:val="231F20"/>
          <w:w w:val="110"/>
          <w:sz w:val="18"/>
        </w:rPr>
        <w:t>Police carry out raids of left bookstores, publishers, printing presses, and housing collectives throughout West Germany.</w:t>
      </w:r>
    </w:p>
    <w:p w14:paraId="68090ED9" w14:textId="77777777" w:rsidR="002653E8" w:rsidRDefault="002653E8">
      <w:pPr>
        <w:pStyle w:val="a3"/>
        <w:spacing w:before="9"/>
        <w:rPr>
          <w:rFonts w:ascii="Gill Sans MT"/>
        </w:rPr>
      </w:pPr>
    </w:p>
    <w:p w14:paraId="3E8B981D" w14:textId="77777777" w:rsidR="002653E8" w:rsidRDefault="003115E3">
      <w:pPr>
        <w:ind w:left="1327"/>
        <w:rPr>
          <w:rFonts w:ascii="Arial"/>
          <w:b/>
          <w:sz w:val="18"/>
        </w:rPr>
      </w:pPr>
      <w:r>
        <w:rPr>
          <w:rFonts w:ascii="Arial"/>
          <w:b/>
          <w:color w:val="231F20"/>
          <w:w w:val="115"/>
          <w:sz w:val="18"/>
        </w:rPr>
        <w:t>December 21, 1975</w:t>
      </w:r>
    </w:p>
    <w:p w14:paraId="0C575EFD" w14:textId="77777777" w:rsidR="002653E8" w:rsidRDefault="003115E3">
      <w:pPr>
        <w:spacing w:before="35" w:line="276" w:lineRule="auto"/>
        <w:ind w:left="1327" w:hanging="1"/>
        <w:rPr>
          <w:rFonts w:ascii="Gill Sans MT"/>
          <w:sz w:val="18"/>
        </w:rPr>
      </w:pPr>
      <w:r>
        <w:rPr>
          <w:rFonts w:ascii="Gill Sans MT"/>
          <w:color w:val="231F20"/>
          <w:w w:val="110"/>
          <w:sz w:val="18"/>
        </w:rPr>
        <w:t>An OPEC Conference in Vienna, Austria is raided by a mixed Palestinian/West German</w:t>
      </w:r>
    </w:p>
    <w:p w14:paraId="0EE3CA35" w14:textId="77777777" w:rsidR="002653E8" w:rsidRDefault="003115E3">
      <w:pPr>
        <w:spacing w:before="92" w:line="268" w:lineRule="auto"/>
        <w:ind w:left="210" w:right="1695"/>
        <w:rPr>
          <w:rFonts w:ascii="Lucida Sans"/>
          <w:i/>
          <w:sz w:val="18"/>
        </w:rPr>
      </w:pPr>
      <w:r>
        <w:br w:type="column"/>
      </w:r>
      <w:r>
        <w:rPr>
          <w:rFonts w:ascii="Gill Sans MT"/>
          <w:color w:val="231F20"/>
          <w:sz w:val="18"/>
        </w:rPr>
        <w:t xml:space="preserve">commando calling itself the </w:t>
      </w:r>
      <w:r>
        <w:rPr>
          <w:rFonts w:ascii="Lucida Sans"/>
          <w:i/>
          <w:color w:val="231F20"/>
          <w:sz w:val="18"/>
        </w:rPr>
        <w:t xml:space="preserve">Bewegung 21. Dezember </w:t>
      </w:r>
      <w:r>
        <w:rPr>
          <w:rFonts w:ascii="Lucida Sans"/>
          <w:i/>
          <w:color w:val="231F20"/>
          <w:w w:val="95"/>
          <w:sz w:val="18"/>
        </w:rPr>
        <w:t>der arabischen Revolution</w:t>
      </w:r>
    </w:p>
    <w:p w14:paraId="53D112DE" w14:textId="77777777" w:rsidR="002653E8" w:rsidRDefault="003115E3">
      <w:pPr>
        <w:spacing w:before="10" w:line="276" w:lineRule="auto"/>
        <w:ind w:left="210" w:right="1460" w:hanging="1"/>
        <w:rPr>
          <w:rFonts w:ascii="Gill Sans MT"/>
          <w:sz w:val="18"/>
        </w:rPr>
      </w:pPr>
      <w:r>
        <w:rPr>
          <w:rFonts w:ascii="Gill Sans MT"/>
          <w:color w:val="231F20"/>
          <w:w w:val="110"/>
          <w:sz w:val="18"/>
        </w:rPr>
        <w:t xml:space="preserve">(december </w:t>
      </w:r>
      <w:r>
        <w:rPr>
          <w:rFonts w:ascii="Arial"/>
          <w:color w:val="231F20"/>
          <w:w w:val="110"/>
          <w:sz w:val="18"/>
        </w:rPr>
        <w:t>21</w:t>
      </w:r>
      <w:r>
        <w:rPr>
          <w:rFonts w:ascii="Gill Sans MT"/>
          <w:color w:val="231F20"/>
          <w:w w:val="110"/>
          <w:sz w:val="18"/>
        </w:rPr>
        <w:t>st Movement of the Arabic Revolution), under the leadership of the Venezuelan</w:t>
      </w:r>
    </w:p>
    <w:p w14:paraId="16CDB0A8" w14:textId="77777777" w:rsidR="002653E8" w:rsidRDefault="003115E3">
      <w:pPr>
        <w:spacing w:line="276" w:lineRule="auto"/>
        <w:ind w:left="210" w:right="1316"/>
        <w:rPr>
          <w:rFonts w:ascii="Gill Sans MT"/>
          <w:sz w:val="18"/>
        </w:rPr>
      </w:pPr>
      <w:r>
        <w:rPr>
          <w:rFonts w:ascii="Gill Sans MT"/>
          <w:color w:val="231F20"/>
          <w:w w:val="115"/>
          <w:sz w:val="18"/>
        </w:rPr>
        <w:t>Carlos.</w:t>
      </w:r>
      <w:r>
        <w:rPr>
          <w:rFonts w:ascii="Gill Sans MT"/>
          <w:color w:val="231F20"/>
          <w:spacing w:val="-35"/>
          <w:w w:val="115"/>
          <w:sz w:val="18"/>
        </w:rPr>
        <w:t xml:space="preserve"> </w:t>
      </w:r>
      <w:r>
        <w:rPr>
          <w:rFonts w:ascii="Gill Sans MT"/>
          <w:color w:val="231F20"/>
          <w:w w:val="115"/>
          <w:sz w:val="18"/>
        </w:rPr>
        <w:t>They</w:t>
      </w:r>
      <w:r>
        <w:rPr>
          <w:rFonts w:ascii="Gill Sans MT"/>
          <w:color w:val="231F20"/>
          <w:spacing w:val="-35"/>
          <w:w w:val="115"/>
          <w:sz w:val="18"/>
        </w:rPr>
        <w:t xml:space="preserve"> </w:t>
      </w:r>
      <w:r>
        <w:rPr>
          <w:rFonts w:ascii="Gill Sans MT"/>
          <w:color w:val="231F20"/>
          <w:w w:val="115"/>
          <w:sz w:val="18"/>
        </w:rPr>
        <w:t>take</w:t>
      </w:r>
      <w:r>
        <w:rPr>
          <w:rFonts w:ascii="Gill Sans MT"/>
          <w:color w:val="231F20"/>
          <w:spacing w:val="-35"/>
          <w:w w:val="115"/>
          <w:sz w:val="18"/>
        </w:rPr>
        <w:t xml:space="preserve"> </w:t>
      </w:r>
      <w:r>
        <w:rPr>
          <w:rFonts w:ascii="Gill Sans MT"/>
          <w:color w:val="231F20"/>
          <w:w w:val="115"/>
          <w:sz w:val="18"/>
        </w:rPr>
        <w:t>the</w:t>
      </w:r>
      <w:r>
        <w:rPr>
          <w:rFonts w:ascii="Gill Sans MT"/>
          <w:color w:val="231F20"/>
          <w:spacing w:val="-35"/>
          <w:w w:val="115"/>
          <w:sz w:val="18"/>
        </w:rPr>
        <w:t xml:space="preserve"> </w:t>
      </w:r>
      <w:r>
        <w:rPr>
          <w:rFonts w:ascii="Gill Sans MT"/>
          <w:color w:val="231F20"/>
          <w:w w:val="115"/>
          <w:sz w:val="18"/>
        </w:rPr>
        <w:t>Oil</w:t>
      </w:r>
      <w:r>
        <w:rPr>
          <w:rFonts w:ascii="Gill Sans MT"/>
          <w:color w:val="231F20"/>
          <w:spacing w:val="-35"/>
          <w:w w:val="115"/>
          <w:sz w:val="18"/>
        </w:rPr>
        <w:t xml:space="preserve"> </w:t>
      </w:r>
      <w:r>
        <w:rPr>
          <w:rFonts w:ascii="Gill Sans MT"/>
          <w:color w:val="231F20"/>
          <w:w w:val="115"/>
          <w:sz w:val="18"/>
        </w:rPr>
        <w:t>Ministers hostage.</w:t>
      </w:r>
      <w:r>
        <w:rPr>
          <w:rFonts w:ascii="Gill Sans MT"/>
          <w:color w:val="231F20"/>
          <w:spacing w:val="-26"/>
          <w:w w:val="115"/>
          <w:sz w:val="18"/>
        </w:rPr>
        <w:t xml:space="preserve"> </w:t>
      </w:r>
      <w:r>
        <w:rPr>
          <w:rFonts w:ascii="Gill Sans MT"/>
          <w:color w:val="231F20"/>
          <w:w w:val="115"/>
          <w:sz w:val="18"/>
        </w:rPr>
        <w:t>One</w:t>
      </w:r>
      <w:r>
        <w:rPr>
          <w:rFonts w:ascii="Gill Sans MT"/>
          <w:color w:val="231F20"/>
          <w:spacing w:val="-26"/>
          <w:w w:val="115"/>
          <w:sz w:val="18"/>
        </w:rPr>
        <w:t xml:space="preserve"> </w:t>
      </w:r>
      <w:r>
        <w:rPr>
          <w:rFonts w:ascii="Gill Sans MT"/>
          <w:color w:val="231F20"/>
          <w:w w:val="115"/>
          <w:sz w:val="18"/>
        </w:rPr>
        <w:t>guerilla,</w:t>
      </w:r>
      <w:r>
        <w:rPr>
          <w:rFonts w:ascii="Gill Sans MT"/>
          <w:color w:val="231F20"/>
          <w:spacing w:val="-26"/>
          <w:w w:val="115"/>
          <w:sz w:val="18"/>
        </w:rPr>
        <w:t xml:space="preserve"> </w:t>
      </w:r>
      <w:r>
        <w:rPr>
          <w:rFonts w:ascii="Gill Sans MT"/>
          <w:color w:val="231F20"/>
          <w:w w:val="115"/>
          <w:sz w:val="18"/>
        </w:rPr>
        <w:t>RZ</w:t>
      </w:r>
      <w:r>
        <w:rPr>
          <w:rFonts w:ascii="Gill Sans MT"/>
          <w:color w:val="231F20"/>
          <w:spacing w:val="-26"/>
          <w:w w:val="115"/>
          <w:sz w:val="18"/>
        </w:rPr>
        <w:t xml:space="preserve"> </w:t>
      </w:r>
      <w:r>
        <w:rPr>
          <w:rFonts w:ascii="Gill Sans MT"/>
          <w:color w:val="231F20"/>
          <w:w w:val="115"/>
          <w:sz w:val="18"/>
        </w:rPr>
        <w:t>member</w:t>
      </w:r>
      <w:r>
        <w:rPr>
          <w:rFonts w:ascii="Gill Sans MT"/>
          <w:color w:val="231F20"/>
          <w:w w:val="111"/>
          <w:sz w:val="18"/>
        </w:rPr>
        <w:t xml:space="preserve"> </w:t>
      </w:r>
      <w:r>
        <w:rPr>
          <w:rFonts w:ascii="Gill Sans MT"/>
          <w:color w:val="231F20"/>
          <w:w w:val="115"/>
          <w:sz w:val="18"/>
        </w:rPr>
        <w:t>Hans-Joachim Klein, is severely injured in an exchange of fire in the</w:t>
      </w:r>
      <w:r>
        <w:rPr>
          <w:rFonts w:ascii="Gill Sans MT"/>
          <w:color w:val="231F20"/>
          <w:spacing w:val="-24"/>
          <w:w w:val="115"/>
          <w:sz w:val="18"/>
        </w:rPr>
        <w:t xml:space="preserve"> </w:t>
      </w:r>
      <w:r>
        <w:rPr>
          <w:rFonts w:ascii="Gill Sans MT"/>
          <w:color w:val="231F20"/>
          <w:w w:val="115"/>
          <w:sz w:val="18"/>
        </w:rPr>
        <w:t>OPEC</w:t>
      </w:r>
      <w:r>
        <w:rPr>
          <w:rFonts w:ascii="Gill Sans MT"/>
          <w:color w:val="231F20"/>
          <w:spacing w:val="-24"/>
          <w:w w:val="115"/>
          <w:sz w:val="18"/>
        </w:rPr>
        <w:t xml:space="preserve"> </w:t>
      </w:r>
      <w:r>
        <w:rPr>
          <w:rFonts w:ascii="Gill Sans MT"/>
          <w:color w:val="231F20"/>
          <w:w w:val="115"/>
          <w:sz w:val="18"/>
        </w:rPr>
        <w:t>office,</w:t>
      </w:r>
      <w:r>
        <w:rPr>
          <w:rFonts w:ascii="Gill Sans MT"/>
          <w:color w:val="231F20"/>
          <w:spacing w:val="-24"/>
          <w:w w:val="115"/>
          <w:sz w:val="18"/>
        </w:rPr>
        <w:t xml:space="preserve"> </w:t>
      </w:r>
      <w:r>
        <w:rPr>
          <w:rFonts w:ascii="Gill Sans MT"/>
          <w:color w:val="231F20"/>
          <w:w w:val="115"/>
          <w:sz w:val="18"/>
        </w:rPr>
        <w:t>which</w:t>
      </w:r>
      <w:r>
        <w:rPr>
          <w:rFonts w:ascii="Gill Sans MT"/>
          <w:color w:val="231F20"/>
          <w:spacing w:val="-24"/>
          <w:w w:val="115"/>
          <w:sz w:val="18"/>
        </w:rPr>
        <w:t xml:space="preserve"> </w:t>
      </w:r>
      <w:r>
        <w:rPr>
          <w:rFonts w:ascii="Gill Sans MT"/>
          <w:color w:val="231F20"/>
          <w:w w:val="115"/>
          <w:sz w:val="18"/>
        </w:rPr>
        <w:t>also</w:t>
      </w:r>
      <w:r>
        <w:rPr>
          <w:rFonts w:ascii="Gill Sans MT"/>
          <w:color w:val="231F20"/>
          <w:spacing w:val="-24"/>
          <w:w w:val="115"/>
          <w:sz w:val="18"/>
        </w:rPr>
        <w:t xml:space="preserve"> </w:t>
      </w:r>
      <w:r>
        <w:rPr>
          <w:rFonts w:ascii="Gill Sans MT"/>
          <w:color w:val="231F20"/>
          <w:w w:val="115"/>
          <w:sz w:val="18"/>
        </w:rPr>
        <w:t>leaves</w:t>
      </w:r>
    </w:p>
    <w:p w14:paraId="6BFEE6FC" w14:textId="77777777" w:rsidR="002653E8" w:rsidRDefault="003115E3">
      <w:pPr>
        <w:spacing w:line="276" w:lineRule="auto"/>
        <w:ind w:left="210" w:right="1089"/>
        <w:rPr>
          <w:rFonts w:ascii="Gill Sans MT"/>
          <w:sz w:val="18"/>
        </w:rPr>
      </w:pPr>
      <w:r>
        <w:rPr>
          <w:rFonts w:ascii="Gill Sans MT"/>
          <w:color w:val="231F20"/>
          <w:w w:val="110"/>
          <w:sz w:val="18"/>
        </w:rPr>
        <w:t>Austrian police officer Anton Tichler, Iraqi guard Khalifi, and a Libyan</w:t>
      </w:r>
    </w:p>
    <w:p w14:paraId="2CF0361A" w14:textId="77777777" w:rsidR="002653E8" w:rsidRPr="00846956" w:rsidRDefault="003115E3">
      <w:pPr>
        <w:spacing w:line="276" w:lineRule="auto"/>
        <w:ind w:left="210" w:right="1136"/>
        <w:rPr>
          <w:rFonts w:ascii="Gill Sans MT" w:hAnsi="Gill Sans MT"/>
          <w:sz w:val="18"/>
          <w:lang w:val="de-DE"/>
        </w:rPr>
      </w:pPr>
      <w:r>
        <w:rPr>
          <w:rFonts w:ascii="Gill Sans MT" w:hAnsi="Gill Sans MT"/>
          <w:color w:val="231F20"/>
          <w:w w:val="115"/>
          <w:sz w:val="18"/>
        </w:rPr>
        <w:t xml:space="preserve">Oil Ministry representative Yousef Ismirili dead. </w:t>
      </w:r>
      <w:r w:rsidRPr="00846956">
        <w:rPr>
          <w:rFonts w:ascii="Gill Sans MT" w:hAnsi="Gill Sans MT"/>
          <w:color w:val="231F20"/>
          <w:w w:val="115"/>
          <w:sz w:val="18"/>
          <w:lang w:val="de-DE"/>
        </w:rPr>
        <w:t>2JM member Gabriele Kröcher-Tiedemann is identified</w:t>
      </w:r>
    </w:p>
    <w:p w14:paraId="1658544C" w14:textId="77777777" w:rsidR="002653E8" w:rsidRDefault="003115E3">
      <w:pPr>
        <w:spacing w:line="276" w:lineRule="auto"/>
        <w:ind w:left="210" w:right="1380"/>
        <w:rPr>
          <w:rFonts w:ascii="Gill Sans MT"/>
          <w:sz w:val="18"/>
        </w:rPr>
      </w:pPr>
      <w:r>
        <w:rPr>
          <w:rFonts w:ascii="Gill Sans MT"/>
          <w:color w:val="231F20"/>
          <w:w w:val="115"/>
          <w:sz w:val="18"/>
        </w:rPr>
        <w:t xml:space="preserve">as the </w:t>
      </w:r>
      <w:r>
        <w:rPr>
          <w:rFonts w:ascii="Gill Sans MT"/>
          <w:color w:val="231F20"/>
          <w:spacing w:val="-3"/>
          <w:w w:val="115"/>
          <w:sz w:val="18"/>
        </w:rPr>
        <w:t xml:space="preserve">shooter. </w:t>
      </w:r>
      <w:r>
        <w:rPr>
          <w:rFonts w:ascii="Gill Sans MT"/>
          <w:color w:val="231F20"/>
          <w:w w:val="115"/>
          <w:sz w:val="18"/>
        </w:rPr>
        <w:t>In exchange for the</w:t>
      </w:r>
      <w:r>
        <w:rPr>
          <w:rFonts w:ascii="Gill Sans MT"/>
          <w:color w:val="231F20"/>
          <w:spacing w:val="-18"/>
          <w:w w:val="115"/>
          <w:sz w:val="18"/>
        </w:rPr>
        <w:t xml:space="preserve"> </w:t>
      </w:r>
      <w:r>
        <w:rPr>
          <w:rFonts w:ascii="Gill Sans MT"/>
          <w:color w:val="231F20"/>
          <w:w w:val="115"/>
          <w:sz w:val="18"/>
        </w:rPr>
        <w:t>hostages</w:t>
      </w:r>
      <w:r>
        <w:rPr>
          <w:rFonts w:ascii="Gill Sans MT"/>
          <w:color w:val="231F20"/>
          <w:spacing w:val="-18"/>
          <w:w w:val="115"/>
          <w:sz w:val="18"/>
        </w:rPr>
        <w:t xml:space="preserve"> </w:t>
      </w:r>
      <w:r>
        <w:rPr>
          <w:rFonts w:ascii="Gill Sans MT"/>
          <w:color w:val="231F20"/>
          <w:w w:val="115"/>
          <w:sz w:val="18"/>
        </w:rPr>
        <w:t>the</w:t>
      </w:r>
      <w:r>
        <w:rPr>
          <w:rFonts w:ascii="Gill Sans MT"/>
          <w:color w:val="231F20"/>
          <w:spacing w:val="-18"/>
          <w:w w:val="115"/>
          <w:sz w:val="18"/>
        </w:rPr>
        <w:t xml:space="preserve"> </w:t>
      </w:r>
      <w:r>
        <w:rPr>
          <w:rFonts w:ascii="Gill Sans MT"/>
          <w:color w:val="231F20"/>
          <w:w w:val="115"/>
          <w:sz w:val="18"/>
        </w:rPr>
        <w:t>guerillas</w:t>
      </w:r>
      <w:r>
        <w:rPr>
          <w:rFonts w:ascii="Gill Sans MT"/>
          <w:color w:val="231F20"/>
          <w:spacing w:val="-18"/>
          <w:w w:val="115"/>
          <w:sz w:val="18"/>
        </w:rPr>
        <w:t xml:space="preserve"> </w:t>
      </w:r>
      <w:r>
        <w:rPr>
          <w:rFonts w:ascii="Gill Sans MT"/>
          <w:color w:val="231F20"/>
          <w:w w:val="115"/>
          <w:sz w:val="18"/>
        </w:rPr>
        <w:t>receive a</w:t>
      </w:r>
      <w:r>
        <w:rPr>
          <w:rFonts w:ascii="Gill Sans MT"/>
          <w:color w:val="231F20"/>
          <w:spacing w:val="-28"/>
          <w:w w:val="115"/>
          <w:sz w:val="18"/>
        </w:rPr>
        <w:t xml:space="preserve"> </w:t>
      </w:r>
      <w:r>
        <w:rPr>
          <w:rFonts w:ascii="Gill Sans MT"/>
          <w:color w:val="231F20"/>
          <w:w w:val="115"/>
          <w:sz w:val="18"/>
        </w:rPr>
        <w:t>$</w:t>
      </w:r>
      <w:r>
        <w:rPr>
          <w:rFonts w:ascii="Arial"/>
          <w:color w:val="231F20"/>
          <w:w w:val="115"/>
          <w:sz w:val="18"/>
        </w:rPr>
        <w:t>5</w:t>
      </w:r>
      <w:r>
        <w:rPr>
          <w:rFonts w:ascii="Arial"/>
          <w:color w:val="231F20"/>
          <w:spacing w:val="-28"/>
          <w:w w:val="115"/>
          <w:sz w:val="18"/>
        </w:rPr>
        <w:t xml:space="preserve"> </w:t>
      </w:r>
      <w:r>
        <w:rPr>
          <w:rFonts w:ascii="Gill Sans MT"/>
          <w:color w:val="231F20"/>
          <w:w w:val="115"/>
          <w:sz w:val="18"/>
        </w:rPr>
        <w:t>million</w:t>
      </w:r>
      <w:r>
        <w:rPr>
          <w:rFonts w:ascii="Gill Sans MT"/>
          <w:color w:val="231F20"/>
          <w:spacing w:val="-28"/>
          <w:w w:val="115"/>
          <w:sz w:val="18"/>
        </w:rPr>
        <w:t xml:space="preserve"> </w:t>
      </w:r>
      <w:r>
        <w:rPr>
          <w:rFonts w:ascii="Gill Sans MT"/>
          <w:color w:val="231F20"/>
          <w:w w:val="115"/>
          <w:sz w:val="18"/>
        </w:rPr>
        <w:t>ransom</w:t>
      </w:r>
      <w:r>
        <w:rPr>
          <w:rFonts w:ascii="Gill Sans MT"/>
          <w:color w:val="231F20"/>
          <w:spacing w:val="-28"/>
          <w:w w:val="115"/>
          <w:sz w:val="18"/>
        </w:rPr>
        <w:t xml:space="preserve"> </w:t>
      </w:r>
      <w:r>
        <w:rPr>
          <w:rFonts w:ascii="Gill Sans MT"/>
          <w:color w:val="231F20"/>
          <w:w w:val="115"/>
          <w:sz w:val="18"/>
        </w:rPr>
        <w:t>and</w:t>
      </w:r>
      <w:r>
        <w:rPr>
          <w:rFonts w:ascii="Gill Sans MT"/>
          <w:color w:val="231F20"/>
          <w:spacing w:val="-28"/>
          <w:w w:val="115"/>
          <w:sz w:val="18"/>
        </w:rPr>
        <w:t xml:space="preserve"> </w:t>
      </w:r>
      <w:r>
        <w:rPr>
          <w:rFonts w:ascii="Gill Sans MT"/>
          <w:color w:val="231F20"/>
          <w:w w:val="115"/>
          <w:sz w:val="18"/>
        </w:rPr>
        <w:t>are</w:t>
      </w:r>
      <w:r>
        <w:rPr>
          <w:rFonts w:ascii="Gill Sans MT"/>
          <w:color w:val="231F20"/>
          <w:spacing w:val="-28"/>
          <w:w w:val="115"/>
          <w:sz w:val="18"/>
        </w:rPr>
        <w:t xml:space="preserve"> </w:t>
      </w:r>
      <w:r>
        <w:rPr>
          <w:rFonts w:ascii="Gill Sans MT"/>
          <w:color w:val="231F20"/>
          <w:w w:val="115"/>
          <w:sz w:val="18"/>
        </w:rPr>
        <w:t>flown</w:t>
      </w:r>
      <w:r>
        <w:rPr>
          <w:rFonts w:ascii="Gill Sans MT"/>
          <w:color w:val="231F20"/>
          <w:w w:val="108"/>
          <w:sz w:val="18"/>
        </w:rPr>
        <w:t xml:space="preserve"> </w:t>
      </w:r>
      <w:r>
        <w:rPr>
          <w:rFonts w:ascii="Gill Sans MT"/>
          <w:color w:val="231F20"/>
          <w:w w:val="115"/>
          <w:sz w:val="18"/>
        </w:rPr>
        <w:t>to</w:t>
      </w:r>
      <w:r>
        <w:rPr>
          <w:rFonts w:ascii="Gill Sans MT"/>
          <w:color w:val="231F20"/>
          <w:spacing w:val="-8"/>
          <w:w w:val="115"/>
          <w:sz w:val="18"/>
        </w:rPr>
        <w:t xml:space="preserve"> </w:t>
      </w:r>
      <w:r>
        <w:rPr>
          <w:rFonts w:ascii="Gill Sans MT"/>
          <w:color w:val="231F20"/>
          <w:w w:val="115"/>
          <w:sz w:val="18"/>
        </w:rPr>
        <w:t>Algeria.</w:t>
      </w:r>
    </w:p>
    <w:p w14:paraId="55A69AB6" w14:textId="77777777" w:rsidR="002653E8" w:rsidRDefault="002653E8">
      <w:pPr>
        <w:pStyle w:val="a3"/>
        <w:rPr>
          <w:rFonts w:ascii="Gill Sans MT"/>
        </w:rPr>
      </w:pPr>
    </w:p>
    <w:p w14:paraId="738A0D4F" w14:textId="77777777" w:rsidR="002653E8" w:rsidRDefault="002653E8">
      <w:pPr>
        <w:pStyle w:val="a3"/>
        <w:spacing w:before="10"/>
        <w:rPr>
          <w:rFonts w:ascii="Gill Sans MT"/>
          <w:sz w:val="19"/>
        </w:rPr>
      </w:pPr>
    </w:p>
    <w:p w14:paraId="122D7DB2" w14:textId="77777777" w:rsidR="002653E8" w:rsidRDefault="003115E3">
      <w:pPr>
        <w:pStyle w:val="5"/>
        <w:ind w:left="210"/>
      </w:pPr>
      <w:r>
        <w:rPr>
          <w:color w:val="231F20"/>
          <w:w w:val="120"/>
        </w:rPr>
        <w:t>1976</w:t>
      </w:r>
    </w:p>
    <w:p w14:paraId="763BE203" w14:textId="77777777" w:rsidR="002653E8" w:rsidRDefault="003115E3">
      <w:pPr>
        <w:spacing w:before="12"/>
        <w:ind w:left="210"/>
        <w:rPr>
          <w:rFonts w:ascii="Arial"/>
          <w:b/>
          <w:sz w:val="18"/>
        </w:rPr>
      </w:pPr>
      <w:r>
        <w:rPr>
          <w:rFonts w:ascii="Arial"/>
          <w:b/>
          <w:color w:val="231F20"/>
          <w:w w:val="115"/>
          <w:sz w:val="18"/>
        </w:rPr>
        <w:t>January 13, 1976</w:t>
      </w:r>
    </w:p>
    <w:p w14:paraId="725A90D0" w14:textId="77777777" w:rsidR="002653E8" w:rsidRDefault="003115E3">
      <w:pPr>
        <w:spacing w:before="34" w:line="276" w:lineRule="auto"/>
        <w:ind w:left="210" w:right="1243"/>
        <w:rPr>
          <w:rFonts w:ascii="Gill Sans MT"/>
          <w:sz w:val="18"/>
        </w:rPr>
      </w:pPr>
      <w:r>
        <w:rPr>
          <w:rFonts w:ascii="Gill Sans MT"/>
          <w:color w:val="231F20"/>
          <w:w w:val="115"/>
          <w:sz w:val="18"/>
        </w:rPr>
        <w:t>The</w:t>
      </w:r>
      <w:r>
        <w:rPr>
          <w:rFonts w:ascii="Gill Sans MT"/>
          <w:color w:val="231F20"/>
          <w:spacing w:val="-31"/>
          <w:w w:val="115"/>
          <w:sz w:val="18"/>
        </w:rPr>
        <w:t xml:space="preserve"> </w:t>
      </w:r>
      <w:r>
        <w:rPr>
          <w:rFonts w:ascii="Gill Sans MT"/>
          <w:color w:val="231F20"/>
          <w:w w:val="115"/>
          <w:sz w:val="18"/>
        </w:rPr>
        <w:t>trial</w:t>
      </w:r>
      <w:r>
        <w:rPr>
          <w:rFonts w:ascii="Gill Sans MT"/>
          <w:color w:val="231F20"/>
          <w:spacing w:val="-31"/>
          <w:w w:val="115"/>
          <w:sz w:val="18"/>
        </w:rPr>
        <w:t xml:space="preserve"> </w:t>
      </w:r>
      <w:r>
        <w:rPr>
          <w:rFonts w:ascii="Gill Sans MT"/>
          <w:color w:val="231F20"/>
          <w:w w:val="115"/>
          <w:sz w:val="18"/>
        </w:rPr>
        <w:t>of</w:t>
      </w:r>
      <w:r>
        <w:rPr>
          <w:rFonts w:ascii="Gill Sans MT"/>
          <w:color w:val="231F20"/>
          <w:spacing w:val="-31"/>
          <w:w w:val="115"/>
          <w:sz w:val="18"/>
        </w:rPr>
        <w:t xml:space="preserve"> </w:t>
      </w:r>
      <w:r w:rsidR="00C507A5">
        <w:rPr>
          <w:rFonts w:ascii="Gill Sans MT"/>
          <w:color w:val="231F20"/>
          <w:w w:val="115"/>
          <w:sz w:val="18"/>
        </w:rPr>
        <w:t>red army faction</w:t>
      </w:r>
      <w:r>
        <w:rPr>
          <w:rFonts w:ascii="Gill Sans MT"/>
          <w:color w:val="231F20"/>
          <w:spacing w:val="-31"/>
          <w:w w:val="115"/>
          <w:sz w:val="18"/>
        </w:rPr>
        <w:t xml:space="preserve"> </w:t>
      </w:r>
      <w:r>
        <w:rPr>
          <w:rFonts w:ascii="Gill Sans MT"/>
          <w:color w:val="231F20"/>
          <w:w w:val="115"/>
          <w:sz w:val="18"/>
        </w:rPr>
        <w:t>prisoners</w:t>
      </w:r>
      <w:r>
        <w:rPr>
          <w:rFonts w:ascii="Gill Sans MT"/>
          <w:color w:val="231F20"/>
          <w:spacing w:val="-31"/>
          <w:w w:val="115"/>
          <w:sz w:val="18"/>
        </w:rPr>
        <w:t xml:space="preserve"> </w:t>
      </w:r>
      <w:r>
        <w:rPr>
          <w:rFonts w:ascii="Gill Sans MT"/>
          <w:color w:val="231F20"/>
          <w:w w:val="115"/>
          <w:sz w:val="18"/>
        </w:rPr>
        <w:t xml:space="preserve">Andreas </w:t>
      </w:r>
      <w:r>
        <w:rPr>
          <w:rFonts w:ascii="Gill Sans MT"/>
          <w:color w:val="231F20"/>
          <w:spacing w:val="-3"/>
          <w:w w:val="115"/>
          <w:sz w:val="18"/>
        </w:rPr>
        <w:t xml:space="preserve">Baader, </w:t>
      </w:r>
      <w:r>
        <w:rPr>
          <w:rFonts w:ascii="Gill Sans MT"/>
          <w:color w:val="231F20"/>
          <w:w w:val="115"/>
          <w:sz w:val="18"/>
        </w:rPr>
        <w:t>ulrike Meinhof, Gudrun Ensslin, and Jan-Carl Raspe</w:t>
      </w:r>
      <w:r>
        <w:rPr>
          <w:rFonts w:ascii="Gill Sans MT"/>
          <w:color w:val="231F20"/>
          <w:spacing w:val="-20"/>
          <w:w w:val="115"/>
          <w:sz w:val="18"/>
        </w:rPr>
        <w:t xml:space="preserve"> </w:t>
      </w:r>
      <w:r>
        <w:rPr>
          <w:rFonts w:ascii="Gill Sans MT"/>
          <w:color w:val="231F20"/>
          <w:w w:val="115"/>
          <w:sz w:val="18"/>
        </w:rPr>
        <w:t>begins.</w:t>
      </w:r>
    </w:p>
    <w:p w14:paraId="177261FE" w14:textId="77777777" w:rsidR="002653E8" w:rsidRDefault="002653E8">
      <w:pPr>
        <w:pStyle w:val="a3"/>
        <w:spacing w:before="7"/>
        <w:rPr>
          <w:rFonts w:ascii="Gill Sans MT"/>
        </w:rPr>
      </w:pPr>
    </w:p>
    <w:p w14:paraId="1A260C71" w14:textId="77777777" w:rsidR="002653E8" w:rsidRDefault="003115E3">
      <w:pPr>
        <w:ind w:left="210"/>
        <w:rPr>
          <w:rFonts w:ascii="Arial"/>
          <w:b/>
          <w:sz w:val="18"/>
        </w:rPr>
      </w:pPr>
      <w:r>
        <w:rPr>
          <w:rFonts w:ascii="Arial"/>
          <w:b/>
          <w:color w:val="231F20"/>
          <w:w w:val="115"/>
          <w:sz w:val="18"/>
        </w:rPr>
        <w:t>January 16, 1976</w:t>
      </w:r>
    </w:p>
    <w:p w14:paraId="40B8033F" w14:textId="77777777" w:rsidR="002653E8" w:rsidRDefault="003115E3">
      <w:pPr>
        <w:spacing w:before="34"/>
        <w:ind w:left="210"/>
        <w:rPr>
          <w:rFonts w:ascii="Gill Sans MT"/>
          <w:sz w:val="18"/>
        </w:rPr>
      </w:pPr>
      <w:r>
        <w:rPr>
          <w:rFonts w:ascii="Gill Sans MT"/>
          <w:color w:val="231F20"/>
          <w:w w:val="110"/>
          <w:sz w:val="18"/>
        </w:rPr>
        <w:t>The West German parliament passes</w:t>
      </w:r>
    </w:p>
    <w:p w14:paraId="6E616A91" w14:textId="77777777" w:rsidR="002653E8" w:rsidRDefault="003115E3">
      <w:pPr>
        <w:spacing w:before="30" w:line="276" w:lineRule="auto"/>
        <w:ind w:left="210" w:right="1169"/>
        <w:rPr>
          <w:rFonts w:ascii="Gill Sans MT" w:hAnsi="Gill Sans MT"/>
          <w:sz w:val="18"/>
        </w:rPr>
      </w:pPr>
      <w:r>
        <w:rPr>
          <w:rFonts w:ascii="Gill Sans MT" w:hAnsi="Gill Sans MT"/>
          <w:color w:val="231F20"/>
          <w:w w:val="115"/>
          <w:sz w:val="18"/>
        </w:rPr>
        <w:t>§</w:t>
      </w:r>
      <w:r>
        <w:rPr>
          <w:rFonts w:ascii="Arial" w:hAnsi="Arial"/>
          <w:color w:val="231F20"/>
          <w:w w:val="115"/>
          <w:sz w:val="18"/>
        </w:rPr>
        <w:t>88</w:t>
      </w:r>
      <w:r>
        <w:rPr>
          <w:rFonts w:ascii="Gill Sans MT" w:hAnsi="Gill Sans MT"/>
          <w:color w:val="231F20"/>
          <w:w w:val="115"/>
          <w:sz w:val="18"/>
        </w:rPr>
        <w:t xml:space="preserve">a, a censorship </w:t>
      </w:r>
      <w:r>
        <w:rPr>
          <w:rFonts w:ascii="Gill Sans MT" w:hAnsi="Gill Sans MT"/>
          <w:color w:val="231F20"/>
          <w:spacing w:val="-3"/>
          <w:w w:val="115"/>
          <w:sz w:val="18"/>
        </w:rPr>
        <w:t xml:space="preserve">law, </w:t>
      </w:r>
      <w:r>
        <w:rPr>
          <w:rFonts w:ascii="Gill Sans MT" w:hAnsi="Gill Sans MT"/>
          <w:color w:val="231F20"/>
          <w:w w:val="115"/>
          <w:sz w:val="18"/>
        </w:rPr>
        <w:t xml:space="preserve">under which, effective May </w:t>
      </w:r>
      <w:r>
        <w:rPr>
          <w:rFonts w:ascii="Arial" w:hAnsi="Arial"/>
          <w:color w:val="231F20"/>
          <w:w w:val="115"/>
          <w:sz w:val="18"/>
        </w:rPr>
        <w:t xml:space="preserve">1 </w:t>
      </w:r>
      <w:r>
        <w:rPr>
          <w:rFonts w:ascii="Gill Sans MT" w:hAnsi="Gill Sans MT"/>
          <w:color w:val="231F20"/>
          <w:w w:val="115"/>
          <w:sz w:val="18"/>
        </w:rPr>
        <w:t xml:space="preserve">of that </w:t>
      </w:r>
      <w:r>
        <w:rPr>
          <w:rFonts w:ascii="Gill Sans MT" w:hAnsi="Gill Sans MT"/>
          <w:color w:val="231F20"/>
          <w:spacing w:val="-4"/>
          <w:w w:val="115"/>
          <w:sz w:val="18"/>
        </w:rPr>
        <w:t xml:space="preserve">year, </w:t>
      </w:r>
      <w:r>
        <w:rPr>
          <w:rFonts w:ascii="Gill Sans MT" w:hAnsi="Gill Sans MT"/>
          <w:color w:val="231F20"/>
          <w:w w:val="115"/>
          <w:sz w:val="18"/>
        </w:rPr>
        <w:t>writing, producing, publishing, distributing, advertising, selling, or displaying materials “glorifying acts of violence” is a criminal offense subject</w:t>
      </w:r>
      <w:r>
        <w:rPr>
          <w:rFonts w:ascii="Gill Sans MT" w:hAnsi="Gill Sans MT"/>
          <w:color w:val="231F20"/>
          <w:spacing w:val="-24"/>
          <w:w w:val="115"/>
          <w:sz w:val="18"/>
        </w:rPr>
        <w:t xml:space="preserve"> </w:t>
      </w:r>
      <w:r>
        <w:rPr>
          <w:rFonts w:ascii="Gill Sans MT" w:hAnsi="Gill Sans MT"/>
          <w:color w:val="231F20"/>
          <w:w w:val="115"/>
          <w:sz w:val="18"/>
        </w:rPr>
        <w:t>to</w:t>
      </w:r>
      <w:r>
        <w:rPr>
          <w:rFonts w:ascii="Gill Sans MT" w:hAnsi="Gill Sans MT"/>
          <w:color w:val="231F20"/>
          <w:spacing w:val="-24"/>
          <w:w w:val="115"/>
          <w:sz w:val="18"/>
        </w:rPr>
        <w:t xml:space="preserve"> </w:t>
      </w:r>
      <w:r>
        <w:rPr>
          <w:rFonts w:ascii="Gill Sans MT" w:hAnsi="Gill Sans MT"/>
          <w:color w:val="231F20"/>
          <w:w w:val="115"/>
          <w:sz w:val="18"/>
        </w:rPr>
        <w:t>a</w:t>
      </w:r>
      <w:r>
        <w:rPr>
          <w:rFonts w:ascii="Gill Sans MT" w:hAnsi="Gill Sans MT"/>
          <w:color w:val="231F20"/>
          <w:spacing w:val="-24"/>
          <w:w w:val="115"/>
          <w:sz w:val="18"/>
        </w:rPr>
        <w:t xml:space="preserve"> </w:t>
      </w:r>
      <w:r>
        <w:rPr>
          <w:rFonts w:ascii="Gill Sans MT" w:hAnsi="Gill Sans MT"/>
          <w:color w:val="231F20"/>
          <w:w w:val="115"/>
          <w:sz w:val="18"/>
        </w:rPr>
        <w:t>maximum</w:t>
      </w:r>
      <w:r>
        <w:rPr>
          <w:rFonts w:ascii="Gill Sans MT" w:hAnsi="Gill Sans MT"/>
          <w:color w:val="231F20"/>
          <w:spacing w:val="-24"/>
          <w:w w:val="115"/>
          <w:sz w:val="18"/>
        </w:rPr>
        <w:t xml:space="preserve"> </w:t>
      </w:r>
      <w:r>
        <w:rPr>
          <w:rFonts w:ascii="Gill Sans MT" w:hAnsi="Gill Sans MT"/>
          <w:color w:val="231F20"/>
          <w:w w:val="115"/>
          <w:sz w:val="18"/>
        </w:rPr>
        <w:t>three</w:t>
      </w:r>
      <w:r>
        <w:rPr>
          <w:rFonts w:ascii="Gill Sans MT" w:hAnsi="Gill Sans MT"/>
          <w:color w:val="231F20"/>
          <w:spacing w:val="-24"/>
          <w:w w:val="115"/>
          <w:sz w:val="18"/>
        </w:rPr>
        <w:t xml:space="preserve"> </w:t>
      </w:r>
      <w:r>
        <w:rPr>
          <w:rFonts w:ascii="Gill Sans MT" w:hAnsi="Gill Sans MT"/>
          <w:color w:val="231F20"/>
          <w:w w:val="115"/>
          <w:sz w:val="18"/>
        </w:rPr>
        <w:t>year</w:t>
      </w:r>
      <w:r>
        <w:rPr>
          <w:rFonts w:ascii="Gill Sans MT" w:hAnsi="Gill Sans MT"/>
          <w:color w:val="231F20"/>
          <w:spacing w:val="-24"/>
          <w:w w:val="115"/>
          <w:sz w:val="18"/>
        </w:rPr>
        <w:t xml:space="preserve"> </w:t>
      </w:r>
      <w:r>
        <w:rPr>
          <w:rFonts w:ascii="Gill Sans MT" w:hAnsi="Gill Sans MT"/>
          <w:color w:val="231F20"/>
          <w:w w:val="115"/>
          <w:sz w:val="18"/>
        </w:rPr>
        <w:t>jail sentence.</w:t>
      </w:r>
    </w:p>
    <w:p w14:paraId="2A421EFC" w14:textId="77777777" w:rsidR="002653E8" w:rsidRDefault="002653E8">
      <w:pPr>
        <w:spacing w:line="276" w:lineRule="auto"/>
        <w:rPr>
          <w:rFonts w:ascii="Gill Sans MT" w:hAnsi="Gill Sans MT"/>
          <w:sz w:val="18"/>
        </w:rPr>
        <w:sectPr w:rsidR="002653E8">
          <w:footerReference w:type="even" r:id="rId514"/>
          <w:pgSz w:w="8640" w:h="12960"/>
          <w:pgMar w:top="1060" w:right="0" w:bottom="280" w:left="0" w:header="0" w:footer="0" w:gutter="0"/>
          <w:cols w:num="2" w:space="720" w:equalWidth="0">
            <w:col w:w="4280" w:space="40"/>
            <w:col w:w="4320"/>
          </w:cols>
        </w:sectPr>
      </w:pPr>
    </w:p>
    <w:p w14:paraId="45AB6903" w14:textId="77777777" w:rsidR="002653E8" w:rsidRDefault="002653E8">
      <w:pPr>
        <w:pStyle w:val="a3"/>
        <w:rPr>
          <w:rFonts w:ascii="Gill Sans MT"/>
        </w:rPr>
      </w:pPr>
    </w:p>
    <w:p w14:paraId="5BE86C28" w14:textId="77777777" w:rsidR="002653E8" w:rsidRDefault="002653E8">
      <w:pPr>
        <w:pStyle w:val="a3"/>
        <w:rPr>
          <w:rFonts w:ascii="Gill Sans MT"/>
        </w:rPr>
      </w:pPr>
    </w:p>
    <w:p w14:paraId="7E8A3316" w14:textId="77777777" w:rsidR="002653E8" w:rsidRDefault="002653E8">
      <w:pPr>
        <w:rPr>
          <w:rFonts w:ascii="Gill Sans MT"/>
        </w:rPr>
        <w:sectPr w:rsidR="002653E8">
          <w:type w:val="continuous"/>
          <w:pgSz w:w="8640" w:h="12960"/>
          <w:pgMar w:top="0" w:right="0" w:bottom="0" w:left="0" w:header="720" w:footer="720" w:gutter="0"/>
          <w:cols w:space="720"/>
        </w:sectPr>
      </w:pPr>
    </w:p>
    <w:p w14:paraId="16D6DD2A" w14:textId="77777777" w:rsidR="002653E8" w:rsidRDefault="002653E8">
      <w:pPr>
        <w:pStyle w:val="a3"/>
        <w:spacing w:before="7"/>
        <w:rPr>
          <w:rFonts w:ascii="Gill Sans MT"/>
          <w:sz w:val="22"/>
        </w:rPr>
      </w:pPr>
    </w:p>
    <w:p w14:paraId="4BEF45A3" w14:textId="77777777" w:rsidR="002653E8" w:rsidRDefault="003115E3">
      <w:pPr>
        <w:ind w:left="1327"/>
        <w:rPr>
          <w:sz w:val="18"/>
        </w:rPr>
      </w:pPr>
      <w:r>
        <w:rPr>
          <w:color w:val="231F20"/>
          <w:w w:val="120"/>
          <w:sz w:val="18"/>
        </w:rPr>
        <w:t>a chronology</w:t>
      </w:r>
      <w:r>
        <w:rPr>
          <w:color w:val="231F20"/>
          <w:sz w:val="18"/>
        </w:rPr>
        <w:t xml:space="preserve"> </w:t>
      </w:r>
    </w:p>
    <w:p w14:paraId="354F4C97" w14:textId="77777777" w:rsidR="002653E8" w:rsidRDefault="003115E3">
      <w:pPr>
        <w:spacing w:before="5"/>
        <w:ind w:left="1327"/>
        <w:rPr>
          <w:sz w:val="18"/>
        </w:rPr>
      </w:pPr>
      <w:r>
        <w:rPr>
          <w:color w:val="231F20"/>
          <w:spacing w:val="16"/>
          <w:w w:val="110"/>
          <w:sz w:val="18"/>
        </w:rPr>
        <w:lastRenderedPageBreak/>
        <w:t xml:space="preserve">january </w:t>
      </w:r>
      <w:r>
        <w:rPr>
          <w:color w:val="231F20"/>
          <w:spacing w:val="15"/>
          <w:w w:val="110"/>
          <w:sz w:val="18"/>
        </w:rPr>
        <w:t>16,</w:t>
      </w:r>
      <w:r>
        <w:rPr>
          <w:color w:val="231F20"/>
          <w:spacing w:val="66"/>
          <w:w w:val="110"/>
          <w:sz w:val="18"/>
        </w:rPr>
        <w:t xml:space="preserve"> </w:t>
      </w:r>
      <w:r>
        <w:rPr>
          <w:color w:val="231F20"/>
          <w:spacing w:val="17"/>
          <w:w w:val="110"/>
          <w:sz w:val="18"/>
        </w:rPr>
        <w:t>1976</w:t>
      </w:r>
      <w:r>
        <w:rPr>
          <w:color w:val="231F20"/>
          <w:spacing w:val="-15"/>
          <w:sz w:val="18"/>
        </w:rPr>
        <w:t xml:space="preserve"> </w:t>
      </w:r>
    </w:p>
    <w:p w14:paraId="3E3A168C" w14:textId="77777777" w:rsidR="002653E8" w:rsidRDefault="003115E3">
      <w:pPr>
        <w:pStyle w:val="a3"/>
        <w:spacing w:before="6"/>
        <w:rPr>
          <w:sz w:val="18"/>
        </w:rPr>
      </w:pPr>
      <w:r>
        <w:br w:type="column"/>
      </w:r>
    </w:p>
    <w:p w14:paraId="557FBC98" w14:textId="77777777" w:rsidR="002653E8" w:rsidRDefault="003115E3">
      <w:pPr>
        <w:ind w:left="1346" w:right="1141"/>
        <w:jc w:val="center"/>
        <w:rPr>
          <w:sz w:val="18"/>
        </w:rPr>
      </w:pPr>
      <w:r>
        <w:rPr>
          <w:color w:val="231F20"/>
          <w:sz w:val="18"/>
        </w:rPr>
        <w:t xml:space="preserve">599 </w:t>
      </w:r>
    </w:p>
    <w:p w14:paraId="2072F4DA" w14:textId="77777777" w:rsidR="002653E8" w:rsidRDefault="002653E8">
      <w:pPr>
        <w:jc w:val="center"/>
        <w:rPr>
          <w:sz w:val="18"/>
        </w:rPr>
        <w:sectPr w:rsidR="002653E8">
          <w:type w:val="continuous"/>
          <w:pgSz w:w="8640" w:h="12960"/>
          <w:pgMar w:top="0" w:right="0" w:bottom="0" w:left="0" w:header="720" w:footer="720" w:gutter="0"/>
          <w:cols w:num="2" w:space="720" w:equalWidth="0">
            <w:col w:w="3215" w:space="2599"/>
            <w:col w:w="2826"/>
          </w:cols>
        </w:sectPr>
      </w:pPr>
    </w:p>
    <w:p w14:paraId="75281CAB" w14:textId="77777777" w:rsidR="002653E8" w:rsidRDefault="003115E3">
      <w:pPr>
        <w:spacing w:before="91"/>
        <w:ind w:left="1147"/>
        <w:rPr>
          <w:rFonts w:ascii="Arial"/>
          <w:b/>
          <w:sz w:val="18"/>
        </w:rPr>
      </w:pPr>
      <w:r>
        <w:rPr>
          <w:rFonts w:ascii="Arial"/>
          <w:b/>
          <w:color w:val="231F20"/>
          <w:w w:val="115"/>
          <w:sz w:val="18"/>
        </w:rPr>
        <w:lastRenderedPageBreak/>
        <w:t>January 20, 1976</w:t>
      </w:r>
    </w:p>
    <w:p w14:paraId="1EE0C548" w14:textId="77777777" w:rsidR="002653E8" w:rsidRDefault="00C507A5">
      <w:pPr>
        <w:spacing w:before="34" w:line="276" w:lineRule="auto"/>
        <w:ind w:left="1147" w:right="104"/>
        <w:rPr>
          <w:rFonts w:ascii="Gill Sans MT" w:hAnsi="Gill Sans MT"/>
          <w:sz w:val="18"/>
        </w:rPr>
      </w:pPr>
      <w:r>
        <w:rPr>
          <w:rFonts w:ascii="Gill Sans MT" w:hAnsi="Gill Sans MT"/>
          <w:color w:val="231F20"/>
          <w:w w:val="115"/>
          <w:sz w:val="18"/>
        </w:rPr>
        <w:t>red army faction</w:t>
      </w:r>
      <w:r w:rsidR="003115E3">
        <w:rPr>
          <w:rFonts w:ascii="Gill Sans MT" w:hAnsi="Gill Sans MT"/>
          <w:color w:val="231F20"/>
          <w:w w:val="115"/>
          <w:sz w:val="18"/>
        </w:rPr>
        <w:t xml:space="preserve"> prisoner ulrike Meinhof’s attorney</w:t>
      </w:r>
      <w:r w:rsidR="003115E3">
        <w:rPr>
          <w:rFonts w:ascii="Gill Sans MT" w:hAnsi="Gill Sans MT"/>
          <w:color w:val="231F20"/>
          <w:spacing w:val="-33"/>
          <w:w w:val="115"/>
          <w:sz w:val="18"/>
        </w:rPr>
        <w:t xml:space="preserve"> </w:t>
      </w:r>
      <w:r w:rsidR="003115E3">
        <w:rPr>
          <w:rFonts w:ascii="Gill Sans MT" w:hAnsi="Gill Sans MT"/>
          <w:color w:val="231F20"/>
          <w:w w:val="115"/>
          <w:sz w:val="18"/>
        </w:rPr>
        <w:t>Axel</w:t>
      </w:r>
      <w:r w:rsidR="003115E3">
        <w:rPr>
          <w:rFonts w:ascii="Gill Sans MT" w:hAnsi="Gill Sans MT"/>
          <w:color w:val="231F20"/>
          <w:spacing w:val="-33"/>
          <w:w w:val="115"/>
          <w:sz w:val="18"/>
        </w:rPr>
        <w:t xml:space="preserve"> </w:t>
      </w:r>
      <w:r w:rsidR="003115E3">
        <w:rPr>
          <w:rFonts w:ascii="Gill Sans MT" w:hAnsi="Gill Sans MT"/>
          <w:color w:val="231F20"/>
          <w:w w:val="115"/>
          <w:sz w:val="18"/>
        </w:rPr>
        <w:t>Azzola</w:t>
      </w:r>
      <w:r w:rsidR="003115E3">
        <w:rPr>
          <w:rFonts w:ascii="Gill Sans MT" w:hAnsi="Gill Sans MT"/>
          <w:color w:val="231F20"/>
          <w:spacing w:val="-33"/>
          <w:w w:val="115"/>
          <w:sz w:val="18"/>
        </w:rPr>
        <w:t xml:space="preserve"> </w:t>
      </w:r>
      <w:r w:rsidR="003115E3">
        <w:rPr>
          <w:rFonts w:ascii="Gill Sans MT" w:hAnsi="Gill Sans MT"/>
          <w:color w:val="231F20"/>
          <w:w w:val="115"/>
          <w:sz w:val="18"/>
        </w:rPr>
        <w:t>puts</w:t>
      </w:r>
      <w:r w:rsidR="003115E3">
        <w:rPr>
          <w:rFonts w:ascii="Gill Sans MT" w:hAnsi="Gill Sans MT"/>
          <w:color w:val="231F20"/>
          <w:spacing w:val="-33"/>
          <w:w w:val="115"/>
          <w:sz w:val="18"/>
        </w:rPr>
        <w:t xml:space="preserve"> </w:t>
      </w:r>
      <w:r w:rsidR="003115E3">
        <w:rPr>
          <w:rFonts w:ascii="Gill Sans MT" w:hAnsi="Gill Sans MT"/>
          <w:color w:val="231F20"/>
          <w:w w:val="115"/>
          <w:sz w:val="18"/>
        </w:rPr>
        <w:t>forward a motion that the defendants in the</w:t>
      </w:r>
      <w:r w:rsidR="003115E3">
        <w:rPr>
          <w:rFonts w:ascii="Gill Sans MT" w:hAnsi="Gill Sans MT"/>
          <w:color w:val="231F20"/>
          <w:spacing w:val="-23"/>
          <w:w w:val="115"/>
          <w:sz w:val="18"/>
        </w:rPr>
        <w:t xml:space="preserve"> </w:t>
      </w:r>
      <w:r w:rsidR="003115E3">
        <w:rPr>
          <w:rFonts w:ascii="Gill Sans MT" w:hAnsi="Gill Sans MT"/>
          <w:color w:val="231F20"/>
          <w:w w:val="115"/>
          <w:sz w:val="18"/>
        </w:rPr>
        <w:t>Stammheim</w:t>
      </w:r>
      <w:r w:rsidR="003115E3">
        <w:rPr>
          <w:rFonts w:ascii="Gill Sans MT" w:hAnsi="Gill Sans MT"/>
          <w:color w:val="231F20"/>
          <w:spacing w:val="-23"/>
          <w:w w:val="115"/>
          <w:sz w:val="18"/>
        </w:rPr>
        <w:t xml:space="preserve"> </w:t>
      </w:r>
      <w:r w:rsidR="003115E3">
        <w:rPr>
          <w:rFonts w:ascii="Gill Sans MT" w:hAnsi="Gill Sans MT"/>
          <w:color w:val="231F20"/>
          <w:w w:val="115"/>
          <w:sz w:val="18"/>
        </w:rPr>
        <w:t>trial</w:t>
      </w:r>
      <w:r w:rsidR="003115E3">
        <w:rPr>
          <w:rFonts w:ascii="Gill Sans MT" w:hAnsi="Gill Sans MT"/>
          <w:color w:val="231F20"/>
          <w:spacing w:val="-23"/>
          <w:w w:val="115"/>
          <w:sz w:val="18"/>
        </w:rPr>
        <w:t xml:space="preserve"> </w:t>
      </w:r>
      <w:r w:rsidR="003115E3">
        <w:rPr>
          <w:rFonts w:ascii="Gill Sans MT" w:hAnsi="Gill Sans MT"/>
          <w:color w:val="231F20"/>
          <w:w w:val="115"/>
          <w:sz w:val="18"/>
        </w:rPr>
        <w:t>be</w:t>
      </w:r>
      <w:r w:rsidR="003115E3">
        <w:rPr>
          <w:rFonts w:ascii="Gill Sans MT" w:hAnsi="Gill Sans MT"/>
          <w:color w:val="231F20"/>
          <w:spacing w:val="-23"/>
          <w:w w:val="115"/>
          <w:sz w:val="18"/>
        </w:rPr>
        <w:t xml:space="preserve"> </w:t>
      </w:r>
      <w:r w:rsidR="003115E3">
        <w:rPr>
          <w:rFonts w:ascii="Gill Sans MT" w:hAnsi="Gill Sans MT"/>
          <w:color w:val="231F20"/>
          <w:w w:val="115"/>
          <w:sz w:val="18"/>
        </w:rPr>
        <w:t>recognized as</w:t>
      </w:r>
      <w:r w:rsidR="003115E3">
        <w:rPr>
          <w:rFonts w:ascii="Gill Sans MT" w:hAnsi="Gill Sans MT"/>
          <w:color w:val="231F20"/>
          <w:spacing w:val="-9"/>
          <w:w w:val="115"/>
          <w:sz w:val="18"/>
        </w:rPr>
        <w:t xml:space="preserve"> </w:t>
      </w:r>
      <w:r w:rsidR="003115E3">
        <w:rPr>
          <w:rFonts w:ascii="Gill Sans MT" w:hAnsi="Gill Sans MT"/>
          <w:color w:val="231F20"/>
          <w:w w:val="115"/>
          <w:sz w:val="18"/>
        </w:rPr>
        <w:t>POWs.</w:t>
      </w:r>
    </w:p>
    <w:p w14:paraId="2FFD2A0F" w14:textId="77777777" w:rsidR="002653E8" w:rsidRDefault="002653E8">
      <w:pPr>
        <w:pStyle w:val="a3"/>
        <w:spacing w:before="7"/>
        <w:rPr>
          <w:rFonts w:ascii="Gill Sans MT"/>
        </w:rPr>
      </w:pPr>
    </w:p>
    <w:p w14:paraId="1E433F31" w14:textId="77777777" w:rsidR="002653E8" w:rsidRDefault="003115E3">
      <w:pPr>
        <w:ind w:left="1147"/>
        <w:rPr>
          <w:rFonts w:ascii="Arial"/>
          <w:b/>
          <w:sz w:val="18"/>
        </w:rPr>
      </w:pPr>
      <w:r>
        <w:rPr>
          <w:rFonts w:ascii="Arial"/>
          <w:b/>
          <w:color w:val="231F20"/>
          <w:w w:val="115"/>
          <w:sz w:val="18"/>
        </w:rPr>
        <w:t>March 16, 1976</w:t>
      </w:r>
    </w:p>
    <w:p w14:paraId="14DC080E" w14:textId="77777777" w:rsidR="002653E8" w:rsidRDefault="003115E3">
      <w:pPr>
        <w:spacing w:before="34" w:line="276" w:lineRule="auto"/>
        <w:ind w:left="1147"/>
        <w:rPr>
          <w:rFonts w:ascii="Gill Sans MT" w:hAnsi="Gill Sans MT"/>
          <w:sz w:val="18"/>
        </w:rPr>
      </w:pPr>
      <w:r>
        <w:rPr>
          <w:rFonts w:ascii="Gill Sans MT" w:hAnsi="Gill Sans MT"/>
          <w:color w:val="231F20"/>
          <w:w w:val="110"/>
          <w:sz w:val="18"/>
        </w:rPr>
        <w:t xml:space="preserve">The Hamburg LG sentences </w:t>
      </w:r>
      <w:r w:rsidR="00C507A5">
        <w:rPr>
          <w:rFonts w:ascii="Gill Sans MT" w:hAnsi="Gill Sans MT"/>
          <w:color w:val="231F20"/>
          <w:w w:val="110"/>
          <w:sz w:val="18"/>
        </w:rPr>
        <w:t>red army faction</w:t>
      </w:r>
      <w:r>
        <w:rPr>
          <w:rFonts w:ascii="Gill Sans MT" w:hAnsi="Gill Sans MT"/>
          <w:color w:val="231F20"/>
          <w:w w:val="110"/>
          <w:sz w:val="18"/>
        </w:rPr>
        <w:t xml:space="preserve"> member turned state witness Gerhard Müller to ten years</w:t>
      </w:r>
    </w:p>
    <w:p w14:paraId="582DBEFA" w14:textId="77777777" w:rsidR="002653E8" w:rsidRDefault="003115E3">
      <w:pPr>
        <w:spacing w:line="276" w:lineRule="auto"/>
        <w:ind w:left="1147" w:right="55"/>
        <w:rPr>
          <w:rFonts w:ascii="Gill Sans MT" w:hAnsi="Gill Sans MT"/>
          <w:sz w:val="18"/>
        </w:rPr>
      </w:pPr>
      <w:r>
        <w:rPr>
          <w:rFonts w:ascii="Gill Sans MT" w:hAnsi="Gill Sans MT"/>
          <w:color w:val="231F20"/>
          <w:w w:val="110"/>
          <w:sz w:val="18"/>
        </w:rPr>
        <w:t xml:space="preserve">in prison. In exchange for his cooperation, Müller is never charged with the murder of police officer Norbert Schmid. Instead, he is released after six and a half years, paid </w:t>
      </w:r>
      <w:r>
        <w:rPr>
          <w:rFonts w:ascii="Arial" w:hAnsi="Arial"/>
          <w:color w:val="231F20"/>
          <w:w w:val="110"/>
          <w:sz w:val="18"/>
        </w:rPr>
        <w:t>500</w:t>
      </w:r>
      <w:r>
        <w:rPr>
          <w:rFonts w:ascii="Gill Sans MT" w:hAnsi="Gill Sans MT"/>
          <w:color w:val="231F20"/>
          <w:w w:val="110"/>
          <w:sz w:val="18"/>
        </w:rPr>
        <w:t>,</w:t>
      </w:r>
      <w:r>
        <w:rPr>
          <w:rFonts w:ascii="Arial" w:hAnsi="Arial"/>
          <w:color w:val="231F20"/>
          <w:w w:val="110"/>
          <w:sz w:val="18"/>
        </w:rPr>
        <w:t xml:space="preserve">000 </w:t>
      </w:r>
      <w:r>
        <w:rPr>
          <w:rFonts w:ascii="Gill Sans MT" w:hAnsi="Gill Sans MT"/>
          <w:color w:val="231F20"/>
          <w:w w:val="110"/>
          <w:sz w:val="18"/>
        </w:rPr>
        <w:t>dM, and relocated to the</w:t>
      </w:r>
      <w:r>
        <w:rPr>
          <w:rFonts w:ascii="Gill Sans MT" w:hAnsi="Gill Sans MT"/>
          <w:color w:val="231F20"/>
          <w:spacing w:val="-4"/>
          <w:w w:val="110"/>
          <w:sz w:val="18"/>
        </w:rPr>
        <w:t xml:space="preserve"> </w:t>
      </w:r>
      <w:r>
        <w:rPr>
          <w:rFonts w:ascii="Gill Sans MT" w:hAnsi="Gill Sans MT"/>
          <w:color w:val="231F20"/>
          <w:w w:val="110"/>
          <w:sz w:val="18"/>
        </w:rPr>
        <w:t>u.S.A.</w:t>
      </w:r>
    </w:p>
    <w:p w14:paraId="6E045801" w14:textId="77777777" w:rsidR="002653E8" w:rsidRDefault="00C507A5">
      <w:pPr>
        <w:spacing w:line="276" w:lineRule="auto"/>
        <w:ind w:left="1147" w:right="147"/>
        <w:rPr>
          <w:rFonts w:ascii="Gill Sans MT" w:hAnsi="Gill Sans MT"/>
          <w:sz w:val="18"/>
        </w:rPr>
      </w:pPr>
      <w:r>
        <w:rPr>
          <w:rFonts w:ascii="Gill Sans MT" w:hAnsi="Gill Sans MT"/>
          <w:color w:val="231F20"/>
          <w:w w:val="115"/>
          <w:sz w:val="18"/>
        </w:rPr>
        <w:t>red army faction</w:t>
      </w:r>
      <w:r w:rsidR="003115E3">
        <w:rPr>
          <w:rFonts w:ascii="Gill Sans MT" w:hAnsi="Gill Sans MT"/>
          <w:color w:val="231F20"/>
          <w:w w:val="115"/>
          <w:sz w:val="18"/>
        </w:rPr>
        <w:t xml:space="preserve"> member Irmgard Möller is sentenced</w:t>
      </w:r>
      <w:r w:rsidR="003115E3">
        <w:rPr>
          <w:rFonts w:ascii="Gill Sans MT" w:hAnsi="Gill Sans MT"/>
          <w:color w:val="231F20"/>
          <w:spacing w:val="-16"/>
          <w:w w:val="115"/>
          <w:sz w:val="18"/>
        </w:rPr>
        <w:t xml:space="preserve"> </w:t>
      </w:r>
      <w:r w:rsidR="003115E3">
        <w:rPr>
          <w:rFonts w:ascii="Gill Sans MT" w:hAnsi="Gill Sans MT"/>
          <w:color w:val="231F20"/>
          <w:w w:val="115"/>
          <w:sz w:val="18"/>
        </w:rPr>
        <w:t>to</w:t>
      </w:r>
      <w:r w:rsidR="003115E3">
        <w:rPr>
          <w:rFonts w:ascii="Gill Sans MT" w:hAnsi="Gill Sans MT"/>
          <w:color w:val="231F20"/>
          <w:spacing w:val="-16"/>
          <w:w w:val="115"/>
          <w:sz w:val="18"/>
        </w:rPr>
        <w:t xml:space="preserve"> </w:t>
      </w:r>
      <w:r w:rsidR="003115E3">
        <w:rPr>
          <w:rFonts w:ascii="Gill Sans MT" w:hAnsi="Gill Sans MT"/>
          <w:color w:val="231F20"/>
          <w:w w:val="115"/>
          <w:sz w:val="18"/>
        </w:rPr>
        <w:t>four</w:t>
      </w:r>
      <w:r w:rsidR="003115E3">
        <w:rPr>
          <w:rFonts w:ascii="Gill Sans MT" w:hAnsi="Gill Sans MT"/>
          <w:color w:val="231F20"/>
          <w:spacing w:val="-16"/>
          <w:w w:val="115"/>
          <w:sz w:val="18"/>
        </w:rPr>
        <w:t xml:space="preserve"> </w:t>
      </w:r>
      <w:r w:rsidR="003115E3">
        <w:rPr>
          <w:rFonts w:ascii="Gill Sans MT" w:hAnsi="Gill Sans MT"/>
          <w:color w:val="231F20"/>
          <w:w w:val="115"/>
          <w:sz w:val="18"/>
        </w:rPr>
        <w:t>and</w:t>
      </w:r>
      <w:r w:rsidR="003115E3">
        <w:rPr>
          <w:rFonts w:ascii="Gill Sans MT" w:hAnsi="Gill Sans MT"/>
          <w:color w:val="231F20"/>
          <w:spacing w:val="-16"/>
          <w:w w:val="115"/>
          <w:sz w:val="18"/>
        </w:rPr>
        <w:t xml:space="preserve"> </w:t>
      </w:r>
      <w:r w:rsidR="003115E3">
        <w:rPr>
          <w:rFonts w:ascii="Gill Sans MT" w:hAnsi="Gill Sans MT"/>
          <w:color w:val="231F20"/>
          <w:w w:val="115"/>
          <w:sz w:val="18"/>
        </w:rPr>
        <w:t>a</w:t>
      </w:r>
      <w:r w:rsidR="003115E3">
        <w:rPr>
          <w:rFonts w:ascii="Gill Sans MT" w:hAnsi="Gill Sans MT"/>
          <w:color w:val="231F20"/>
          <w:spacing w:val="-16"/>
          <w:w w:val="115"/>
          <w:sz w:val="18"/>
        </w:rPr>
        <w:t xml:space="preserve"> </w:t>
      </w:r>
      <w:r w:rsidR="003115E3">
        <w:rPr>
          <w:rFonts w:ascii="Gill Sans MT" w:hAnsi="Gill Sans MT"/>
          <w:color w:val="231F20"/>
          <w:w w:val="115"/>
          <w:sz w:val="18"/>
        </w:rPr>
        <w:t>half</w:t>
      </w:r>
      <w:r w:rsidR="003115E3">
        <w:rPr>
          <w:rFonts w:ascii="Gill Sans MT" w:hAnsi="Gill Sans MT"/>
          <w:color w:val="231F20"/>
          <w:spacing w:val="-16"/>
          <w:w w:val="115"/>
          <w:sz w:val="18"/>
        </w:rPr>
        <w:t xml:space="preserve"> </w:t>
      </w:r>
      <w:r w:rsidR="003115E3">
        <w:rPr>
          <w:rFonts w:ascii="Gill Sans MT" w:hAnsi="Gill Sans MT"/>
          <w:color w:val="231F20"/>
          <w:w w:val="115"/>
          <w:sz w:val="18"/>
        </w:rPr>
        <w:t>years.</w:t>
      </w:r>
    </w:p>
    <w:p w14:paraId="37B120BD" w14:textId="77777777" w:rsidR="002653E8" w:rsidRDefault="002653E8">
      <w:pPr>
        <w:pStyle w:val="a3"/>
        <w:spacing w:before="4"/>
        <w:rPr>
          <w:rFonts w:ascii="Gill Sans MT"/>
        </w:rPr>
      </w:pPr>
    </w:p>
    <w:p w14:paraId="2141CE99" w14:textId="77777777" w:rsidR="002653E8" w:rsidRDefault="003115E3">
      <w:pPr>
        <w:spacing w:before="1"/>
        <w:ind w:left="1147"/>
        <w:rPr>
          <w:rFonts w:ascii="Arial"/>
          <w:b/>
          <w:sz w:val="18"/>
        </w:rPr>
      </w:pPr>
      <w:r>
        <w:rPr>
          <w:rFonts w:ascii="Arial"/>
          <w:b/>
          <w:color w:val="231F20"/>
          <w:w w:val="120"/>
          <w:sz w:val="18"/>
        </w:rPr>
        <w:t>May 4, 1976</w:t>
      </w:r>
    </w:p>
    <w:p w14:paraId="749F988C" w14:textId="77777777" w:rsidR="002653E8" w:rsidRDefault="003115E3">
      <w:pPr>
        <w:spacing w:before="34" w:line="276" w:lineRule="auto"/>
        <w:ind w:left="1147" w:right="-15"/>
        <w:rPr>
          <w:rFonts w:ascii="Gill Sans MT"/>
          <w:sz w:val="18"/>
        </w:rPr>
      </w:pPr>
      <w:r>
        <w:rPr>
          <w:rFonts w:ascii="Gill Sans MT"/>
          <w:color w:val="231F20"/>
          <w:w w:val="110"/>
          <w:sz w:val="18"/>
        </w:rPr>
        <w:t>Attorneys</w:t>
      </w:r>
      <w:r>
        <w:rPr>
          <w:rFonts w:ascii="Gill Sans MT"/>
          <w:color w:val="231F20"/>
          <w:spacing w:val="-19"/>
          <w:w w:val="110"/>
          <w:sz w:val="18"/>
        </w:rPr>
        <w:t xml:space="preserve"> </w:t>
      </w:r>
      <w:r>
        <w:rPr>
          <w:rFonts w:ascii="Gill Sans MT"/>
          <w:color w:val="231F20"/>
          <w:w w:val="110"/>
          <w:sz w:val="18"/>
        </w:rPr>
        <w:t>for</w:t>
      </w:r>
      <w:r>
        <w:rPr>
          <w:rFonts w:ascii="Gill Sans MT"/>
          <w:color w:val="231F20"/>
          <w:spacing w:val="-19"/>
          <w:w w:val="110"/>
          <w:sz w:val="18"/>
        </w:rPr>
        <w:t xml:space="preserve"> </w:t>
      </w:r>
      <w:r w:rsidR="00C507A5">
        <w:rPr>
          <w:rFonts w:ascii="Gill Sans MT"/>
          <w:color w:val="231F20"/>
          <w:w w:val="110"/>
          <w:sz w:val="18"/>
        </w:rPr>
        <w:t>red army faction</w:t>
      </w:r>
      <w:r>
        <w:rPr>
          <w:rFonts w:ascii="Gill Sans MT"/>
          <w:color w:val="231F20"/>
          <w:spacing w:val="-19"/>
          <w:w w:val="110"/>
          <w:sz w:val="18"/>
        </w:rPr>
        <w:t xml:space="preserve"> </w:t>
      </w:r>
      <w:r>
        <w:rPr>
          <w:rFonts w:ascii="Gill Sans MT"/>
          <w:color w:val="231F20"/>
          <w:w w:val="110"/>
          <w:sz w:val="18"/>
        </w:rPr>
        <w:t>prisoners</w:t>
      </w:r>
      <w:r>
        <w:rPr>
          <w:rFonts w:ascii="Gill Sans MT"/>
          <w:color w:val="231F20"/>
          <w:spacing w:val="-19"/>
          <w:w w:val="110"/>
          <w:sz w:val="18"/>
        </w:rPr>
        <w:t xml:space="preserve"> </w:t>
      </w:r>
      <w:r>
        <w:rPr>
          <w:rFonts w:ascii="Gill Sans MT"/>
          <w:color w:val="231F20"/>
          <w:w w:val="110"/>
          <w:sz w:val="18"/>
        </w:rPr>
        <w:t>Andreas</w:t>
      </w:r>
      <w:r>
        <w:rPr>
          <w:rFonts w:ascii="Gill Sans MT"/>
          <w:color w:val="231F20"/>
          <w:w w:val="116"/>
          <w:sz w:val="18"/>
        </w:rPr>
        <w:t xml:space="preserve"> </w:t>
      </w:r>
      <w:r>
        <w:rPr>
          <w:rFonts w:ascii="Gill Sans MT"/>
          <w:color w:val="231F20"/>
          <w:spacing w:val="-3"/>
          <w:w w:val="110"/>
          <w:sz w:val="18"/>
        </w:rPr>
        <w:t xml:space="preserve">Baader, </w:t>
      </w:r>
      <w:r>
        <w:rPr>
          <w:rFonts w:ascii="Gill Sans MT"/>
          <w:color w:val="231F20"/>
          <w:w w:val="110"/>
          <w:sz w:val="18"/>
        </w:rPr>
        <w:t>ulrike Meinhof, Gudrun Ensslin, and Jan-Carl Raspe petition to have Richard Nixon,</w:t>
      </w:r>
      <w:r>
        <w:rPr>
          <w:rFonts w:ascii="Gill Sans MT"/>
          <w:color w:val="231F20"/>
          <w:spacing w:val="-32"/>
          <w:w w:val="110"/>
          <w:sz w:val="18"/>
        </w:rPr>
        <w:t xml:space="preserve"> </w:t>
      </w:r>
      <w:r>
        <w:rPr>
          <w:rFonts w:ascii="Gill Sans MT"/>
          <w:color w:val="231F20"/>
          <w:w w:val="110"/>
          <w:sz w:val="18"/>
        </w:rPr>
        <w:t>Willy</w:t>
      </w:r>
    </w:p>
    <w:p w14:paraId="29AC3250" w14:textId="77777777" w:rsidR="002653E8" w:rsidRDefault="003115E3">
      <w:pPr>
        <w:spacing w:line="276" w:lineRule="auto"/>
        <w:ind w:left="1147" w:right="25"/>
        <w:rPr>
          <w:rFonts w:ascii="Gill Sans MT"/>
          <w:sz w:val="18"/>
        </w:rPr>
      </w:pPr>
      <w:r>
        <w:rPr>
          <w:rFonts w:ascii="Gill Sans MT"/>
          <w:color w:val="231F20"/>
          <w:w w:val="110"/>
          <w:sz w:val="18"/>
        </w:rPr>
        <w:t xml:space="preserve">Brandt, Helmut Schmidt, Georg Kiesinger, and Walter Scheel called as witnesses in an attempt to prove that u.S. activity in Southeast Asia violated international </w:t>
      </w:r>
      <w:r>
        <w:rPr>
          <w:rFonts w:ascii="Gill Sans MT"/>
          <w:color w:val="231F20"/>
          <w:spacing w:val="-3"/>
          <w:w w:val="110"/>
          <w:sz w:val="18"/>
        </w:rPr>
        <w:t xml:space="preserve">law, </w:t>
      </w:r>
      <w:r>
        <w:rPr>
          <w:rFonts w:ascii="Gill Sans MT"/>
          <w:color w:val="231F20"/>
          <w:w w:val="110"/>
          <w:sz w:val="18"/>
        </w:rPr>
        <w:t xml:space="preserve">making the </w:t>
      </w:r>
      <w:r w:rsidR="00C507A5">
        <w:rPr>
          <w:rFonts w:ascii="Gill Sans MT"/>
          <w:color w:val="231F20"/>
          <w:w w:val="110"/>
          <w:sz w:val="18"/>
        </w:rPr>
        <w:t>red army faction</w:t>
      </w:r>
      <w:r>
        <w:rPr>
          <w:rFonts w:ascii="Gill Sans MT"/>
          <w:color w:val="231F20"/>
          <w:w w:val="110"/>
          <w:sz w:val="18"/>
        </w:rPr>
        <w:t xml:space="preserve"> attacks legitimate and legal under international </w:t>
      </w:r>
      <w:r>
        <w:rPr>
          <w:rFonts w:ascii="Gill Sans MT"/>
          <w:color w:val="231F20"/>
          <w:spacing w:val="-3"/>
          <w:w w:val="110"/>
          <w:sz w:val="18"/>
        </w:rPr>
        <w:t xml:space="preserve">law. </w:t>
      </w:r>
      <w:r>
        <w:rPr>
          <w:rFonts w:ascii="Gill Sans MT"/>
          <w:color w:val="231F20"/>
          <w:w w:val="110"/>
          <w:sz w:val="18"/>
        </w:rPr>
        <w:t>The</w:t>
      </w:r>
      <w:r>
        <w:rPr>
          <w:rFonts w:ascii="Gill Sans MT"/>
          <w:color w:val="231F20"/>
          <w:spacing w:val="-5"/>
          <w:w w:val="110"/>
          <w:sz w:val="18"/>
        </w:rPr>
        <w:t xml:space="preserve"> </w:t>
      </w:r>
      <w:r>
        <w:rPr>
          <w:rFonts w:ascii="Gill Sans MT"/>
          <w:color w:val="231F20"/>
          <w:w w:val="110"/>
          <w:sz w:val="18"/>
        </w:rPr>
        <w:t>petition is</w:t>
      </w:r>
      <w:r>
        <w:rPr>
          <w:rFonts w:ascii="Gill Sans MT"/>
          <w:color w:val="231F20"/>
          <w:spacing w:val="-5"/>
          <w:w w:val="110"/>
          <w:sz w:val="18"/>
        </w:rPr>
        <w:t xml:space="preserve"> </w:t>
      </w:r>
      <w:r>
        <w:rPr>
          <w:rFonts w:ascii="Gill Sans MT"/>
          <w:color w:val="231F20"/>
          <w:w w:val="110"/>
          <w:sz w:val="18"/>
        </w:rPr>
        <w:t>rejected.</w:t>
      </w:r>
    </w:p>
    <w:p w14:paraId="4E12FFDA" w14:textId="77777777" w:rsidR="002653E8" w:rsidRDefault="002653E8">
      <w:pPr>
        <w:pStyle w:val="a3"/>
        <w:spacing w:before="6"/>
        <w:rPr>
          <w:rFonts w:ascii="Gill Sans MT"/>
        </w:rPr>
      </w:pPr>
    </w:p>
    <w:p w14:paraId="49EE3166" w14:textId="77777777" w:rsidR="002653E8" w:rsidRDefault="003115E3">
      <w:pPr>
        <w:ind w:left="1147"/>
        <w:rPr>
          <w:rFonts w:ascii="Arial"/>
          <w:b/>
          <w:sz w:val="18"/>
        </w:rPr>
      </w:pPr>
      <w:r>
        <w:rPr>
          <w:rFonts w:ascii="Arial"/>
          <w:b/>
          <w:color w:val="231F20"/>
          <w:w w:val="120"/>
          <w:sz w:val="18"/>
        </w:rPr>
        <w:t>May 6, 1976</w:t>
      </w:r>
    </w:p>
    <w:p w14:paraId="51EA02C6" w14:textId="77777777" w:rsidR="002653E8" w:rsidRDefault="003115E3">
      <w:pPr>
        <w:spacing w:before="35" w:line="276" w:lineRule="auto"/>
        <w:ind w:left="1147" w:right="-5"/>
        <w:rPr>
          <w:rFonts w:ascii="Gill Sans MT" w:hAnsi="Gill Sans MT"/>
          <w:sz w:val="18"/>
        </w:rPr>
      </w:pPr>
      <w:r>
        <w:rPr>
          <w:rFonts w:ascii="Gill Sans MT" w:hAnsi="Gill Sans MT"/>
          <w:color w:val="231F20"/>
          <w:w w:val="110"/>
          <w:sz w:val="18"/>
        </w:rPr>
        <w:t xml:space="preserve">The trial of the members of the </w:t>
      </w:r>
      <w:r w:rsidR="00C507A5">
        <w:rPr>
          <w:rFonts w:ascii="Gill Sans MT" w:hAnsi="Gill Sans MT"/>
          <w:color w:val="231F20"/>
          <w:w w:val="110"/>
          <w:sz w:val="18"/>
        </w:rPr>
        <w:t>red army faction</w:t>
      </w:r>
      <w:r>
        <w:rPr>
          <w:rFonts w:ascii="Gill Sans MT" w:hAnsi="Gill Sans MT"/>
          <w:color w:val="231F20"/>
          <w:w w:val="110"/>
          <w:sz w:val="18"/>
        </w:rPr>
        <w:t xml:space="preserve"> Holger Meins Commando, Hanna Krabbe, Lutz Taufer, Karl-Heinz dellwo, and Bernd Rössner begins.</w:t>
      </w:r>
    </w:p>
    <w:p w14:paraId="19795547" w14:textId="77777777" w:rsidR="002653E8" w:rsidRDefault="003115E3">
      <w:pPr>
        <w:spacing w:before="91"/>
        <w:ind w:left="203"/>
        <w:rPr>
          <w:rFonts w:ascii="Arial"/>
          <w:b/>
          <w:sz w:val="18"/>
        </w:rPr>
      </w:pPr>
      <w:r>
        <w:br w:type="column"/>
      </w:r>
      <w:r>
        <w:rPr>
          <w:rFonts w:ascii="Arial"/>
          <w:b/>
          <w:color w:val="231F20"/>
          <w:w w:val="120"/>
          <w:sz w:val="18"/>
        </w:rPr>
        <w:t>May 7, 1976</w:t>
      </w:r>
    </w:p>
    <w:p w14:paraId="5EC9351F" w14:textId="77777777" w:rsidR="002653E8" w:rsidRDefault="003115E3">
      <w:pPr>
        <w:spacing w:before="34" w:line="276" w:lineRule="auto"/>
        <w:ind w:left="203" w:right="1480"/>
        <w:rPr>
          <w:rFonts w:ascii="Gill Sans MT" w:hAnsi="Gill Sans MT"/>
          <w:sz w:val="18"/>
        </w:rPr>
      </w:pPr>
      <w:r>
        <w:rPr>
          <w:rFonts w:ascii="Gill Sans MT" w:hAnsi="Gill Sans MT"/>
          <w:color w:val="231F20"/>
          <w:w w:val="115"/>
          <w:sz w:val="18"/>
        </w:rPr>
        <w:t>Police</w:t>
      </w:r>
      <w:r>
        <w:rPr>
          <w:rFonts w:ascii="Gill Sans MT" w:hAnsi="Gill Sans MT"/>
          <w:color w:val="231F20"/>
          <w:spacing w:val="-18"/>
          <w:w w:val="115"/>
          <w:sz w:val="18"/>
        </w:rPr>
        <w:t xml:space="preserve"> </w:t>
      </w:r>
      <w:r>
        <w:rPr>
          <w:rFonts w:ascii="Gill Sans MT" w:hAnsi="Gill Sans MT"/>
          <w:color w:val="231F20"/>
          <w:w w:val="115"/>
          <w:sz w:val="18"/>
        </w:rPr>
        <w:t>Chief</w:t>
      </w:r>
      <w:r>
        <w:rPr>
          <w:rFonts w:ascii="Gill Sans MT" w:hAnsi="Gill Sans MT"/>
          <w:color w:val="231F20"/>
          <w:spacing w:val="-18"/>
          <w:w w:val="115"/>
          <w:sz w:val="18"/>
        </w:rPr>
        <w:t xml:space="preserve"> </w:t>
      </w:r>
      <w:r>
        <w:rPr>
          <w:rFonts w:ascii="Gill Sans MT" w:hAnsi="Gill Sans MT"/>
          <w:color w:val="231F20"/>
          <w:w w:val="115"/>
          <w:sz w:val="18"/>
        </w:rPr>
        <w:t>Fritz</w:t>
      </w:r>
      <w:r>
        <w:rPr>
          <w:rFonts w:ascii="Gill Sans MT" w:hAnsi="Gill Sans MT"/>
          <w:color w:val="231F20"/>
          <w:spacing w:val="-18"/>
          <w:w w:val="115"/>
          <w:sz w:val="18"/>
        </w:rPr>
        <w:t xml:space="preserve"> </w:t>
      </w:r>
      <w:r>
        <w:rPr>
          <w:rFonts w:ascii="Gill Sans MT" w:hAnsi="Gill Sans MT"/>
          <w:color w:val="231F20"/>
          <w:w w:val="115"/>
          <w:sz w:val="18"/>
        </w:rPr>
        <w:t>Sippel</w:t>
      </w:r>
      <w:r>
        <w:rPr>
          <w:rFonts w:ascii="Gill Sans MT" w:hAnsi="Gill Sans MT"/>
          <w:color w:val="231F20"/>
          <w:spacing w:val="-18"/>
          <w:w w:val="115"/>
          <w:sz w:val="18"/>
        </w:rPr>
        <w:t xml:space="preserve"> </w:t>
      </w:r>
      <w:r>
        <w:rPr>
          <w:rFonts w:ascii="Gill Sans MT" w:hAnsi="Gill Sans MT"/>
          <w:color w:val="231F20"/>
          <w:w w:val="115"/>
          <w:sz w:val="18"/>
        </w:rPr>
        <w:t>is</w:t>
      </w:r>
      <w:r>
        <w:rPr>
          <w:rFonts w:ascii="Gill Sans MT" w:hAnsi="Gill Sans MT"/>
          <w:color w:val="231F20"/>
          <w:spacing w:val="-18"/>
          <w:w w:val="115"/>
          <w:sz w:val="18"/>
        </w:rPr>
        <w:t xml:space="preserve"> </w:t>
      </w:r>
      <w:r>
        <w:rPr>
          <w:rFonts w:ascii="Gill Sans MT" w:hAnsi="Gill Sans MT"/>
          <w:color w:val="231F20"/>
          <w:w w:val="115"/>
          <w:sz w:val="18"/>
        </w:rPr>
        <w:t>shot</w:t>
      </w:r>
      <w:r>
        <w:rPr>
          <w:rFonts w:ascii="Gill Sans MT" w:hAnsi="Gill Sans MT"/>
          <w:color w:val="231F20"/>
          <w:spacing w:val="-18"/>
          <w:w w:val="115"/>
          <w:sz w:val="18"/>
        </w:rPr>
        <w:t xml:space="preserve"> </w:t>
      </w:r>
      <w:r>
        <w:rPr>
          <w:rFonts w:ascii="Gill Sans MT" w:hAnsi="Gill Sans MT"/>
          <w:color w:val="231F20"/>
          <w:w w:val="115"/>
          <w:sz w:val="18"/>
        </w:rPr>
        <w:t xml:space="preserve">in Sprendlingen. It is believed that </w:t>
      </w:r>
      <w:r w:rsidR="00C507A5">
        <w:rPr>
          <w:rFonts w:ascii="Gill Sans MT" w:hAnsi="Gill Sans MT"/>
          <w:color w:val="231F20"/>
          <w:w w:val="115"/>
          <w:sz w:val="18"/>
        </w:rPr>
        <w:t>red army faction</w:t>
      </w:r>
      <w:r>
        <w:rPr>
          <w:rFonts w:ascii="Gill Sans MT" w:hAnsi="Gill Sans MT"/>
          <w:color w:val="231F20"/>
          <w:spacing w:val="-37"/>
          <w:w w:val="115"/>
          <w:sz w:val="18"/>
        </w:rPr>
        <w:t xml:space="preserve"> </w:t>
      </w:r>
      <w:r>
        <w:rPr>
          <w:rFonts w:ascii="Gill Sans MT" w:hAnsi="Gill Sans MT"/>
          <w:color w:val="231F20"/>
          <w:w w:val="115"/>
          <w:sz w:val="18"/>
        </w:rPr>
        <w:t>members</w:t>
      </w:r>
      <w:r>
        <w:rPr>
          <w:rFonts w:ascii="Gill Sans MT" w:hAnsi="Gill Sans MT"/>
          <w:color w:val="231F20"/>
          <w:spacing w:val="-37"/>
          <w:w w:val="115"/>
          <w:sz w:val="18"/>
        </w:rPr>
        <w:t xml:space="preserve"> </w:t>
      </w:r>
      <w:r>
        <w:rPr>
          <w:rFonts w:ascii="Gill Sans MT" w:hAnsi="Gill Sans MT"/>
          <w:color w:val="231F20"/>
          <w:w w:val="115"/>
          <w:sz w:val="18"/>
        </w:rPr>
        <w:t>Peter-Jürgen</w:t>
      </w:r>
      <w:r>
        <w:rPr>
          <w:rFonts w:ascii="Gill Sans MT" w:hAnsi="Gill Sans MT"/>
          <w:color w:val="231F20"/>
          <w:spacing w:val="-37"/>
          <w:w w:val="115"/>
          <w:sz w:val="18"/>
        </w:rPr>
        <w:t xml:space="preserve"> </w:t>
      </w:r>
      <w:r>
        <w:rPr>
          <w:rFonts w:ascii="Gill Sans MT" w:hAnsi="Gill Sans MT"/>
          <w:color w:val="231F20"/>
          <w:w w:val="115"/>
          <w:sz w:val="18"/>
        </w:rPr>
        <w:t>Boock</w:t>
      </w:r>
      <w:r>
        <w:rPr>
          <w:rFonts w:ascii="Gill Sans MT" w:hAnsi="Gill Sans MT"/>
          <w:color w:val="231F20"/>
          <w:w w:val="108"/>
          <w:sz w:val="18"/>
        </w:rPr>
        <w:t xml:space="preserve"> </w:t>
      </w:r>
      <w:r>
        <w:rPr>
          <w:rFonts w:ascii="Gill Sans MT" w:hAnsi="Gill Sans MT"/>
          <w:color w:val="231F20"/>
          <w:w w:val="115"/>
          <w:sz w:val="18"/>
        </w:rPr>
        <w:t>and</w:t>
      </w:r>
      <w:r>
        <w:rPr>
          <w:rFonts w:ascii="Gill Sans MT" w:hAnsi="Gill Sans MT"/>
          <w:color w:val="231F20"/>
          <w:spacing w:val="-26"/>
          <w:w w:val="115"/>
          <w:sz w:val="18"/>
        </w:rPr>
        <w:t xml:space="preserve"> </w:t>
      </w:r>
      <w:r>
        <w:rPr>
          <w:rFonts w:ascii="Gill Sans MT" w:hAnsi="Gill Sans MT"/>
          <w:color w:val="231F20"/>
          <w:w w:val="115"/>
          <w:sz w:val="18"/>
        </w:rPr>
        <w:t>Rolf</w:t>
      </w:r>
      <w:r>
        <w:rPr>
          <w:rFonts w:ascii="Gill Sans MT" w:hAnsi="Gill Sans MT"/>
          <w:color w:val="231F20"/>
          <w:spacing w:val="-26"/>
          <w:w w:val="115"/>
          <w:sz w:val="18"/>
        </w:rPr>
        <w:t xml:space="preserve"> </w:t>
      </w:r>
      <w:r>
        <w:rPr>
          <w:rFonts w:ascii="Gill Sans MT" w:hAnsi="Gill Sans MT"/>
          <w:color w:val="231F20"/>
          <w:w w:val="115"/>
          <w:sz w:val="18"/>
        </w:rPr>
        <w:t>Clemens</w:t>
      </w:r>
      <w:r>
        <w:rPr>
          <w:rFonts w:ascii="Gill Sans MT" w:hAnsi="Gill Sans MT"/>
          <w:color w:val="231F20"/>
          <w:spacing w:val="-26"/>
          <w:w w:val="115"/>
          <w:sz w:val="18"/>
        </w:rPr>
        <w:t xml:space="preserve"> </w:t>
      </w:r>
      <w:r>
        <w:rPr>
          <w:rFonts w:ascii="Gill Sans MT" w:hAnsi="Gill Sans MT"/>
          <w:color w:val="231F20"/>
          <w:w w:val="115"/>
          <w:sz w:val="18"/>
        </w:rPr>
        <w:t>Wagner</w:t>
      </w:r>
      <w:r>
        <w:rPr>
          <w:rFonts w:ascii="Gill Sans MT" w:hAnsi="Gill Sans MT"/>
          <w:color w:val="231F20"/>
          <w:spacing w:val="-26"/>
          <w:w w:val="115"/>
          <w:sz w:val="18"/>
        </w:rPr>
        <w:t xml:space="preserve"> </w:t>
      </w:r>
      <w:r>
        <w:rPr>
          <w:rFonts w:ascii="Gill Sans MT" w:hAnsi="Gill Sans MT"/>
          <w:color w:val="231F20"/>
          <w:w w:val="115"/>
          <w:sz w:val="18"/>
        </w:rPr>
        <w:t>are</w:t>
      </w:r>
      <w:r>
        <w:rPr>
          <w:rFonts w:ascii="Gill Sans MT" w:hAnsi="Gill Sans MT"/>
          <w:color w:val="231F20"/>
          <w:spacing w:val="-26"/>
          <w:w w:val="115"/>
          <w:sz w:val="18"/>
        </w:rPr>
        <w:t xml:space="preserve"> </w:t>
      </w:r>
      <w:r>
        <w:rPr>
          <w:rFonts w:ascii="Gill Sans MT" w:hAnsi="Gill Sans MT"/>
          <w:color w:val="231F20"/>
          <w:w w:val="115"/>
          <w:sz w:val="18"/>
        </w:rPr>
        <w:t>the shooters.</w:t>
      </w:r>
    </w:p>
    <w:p w14:paraId="6807C62B" w14:textId="77777777" w:rsidR="002653E8" w:rsidRDefault="002653E8">
      <w:pPr>
        <w:pStyle w:val="a3"/>
        <w:spacing w:before="6"/>
        <w:rPr>
          <w:rFonts w:ascii="Gill Sans MT"/>
        </w:rPr>
      </w:pPr>
    </w:p>
    <w:p w14:paraId="0D4A4CA5" w14:textId="77777777" w:rsidR="002653E8" w:rsidRDefault="003115E3">
      <w:pPr>
        <w:spacing w:before="1"/>
        <w:ind w:left="203"/>
        <w:rPr>
          <w:rFonts w:ascii="Arial"/>
          <w:b/>
          <w:sz w:val="18"/>
        </w:rPr>
      </w:pPr>
      <w:r>
        <w:rPr>
          <w:rFonts w:ascii="Arial"/>
          <w:b/>
          <w:color w:val="231F20"/>
          <w:w w:val="120"/>
          <w:sz w:val="18"/>
        </w:rPr>
        <w:t>May 9, 1976</w:t>
      </w:r>
    </w:p>
    <w:p w14:paraId="766B146E" w14:textId="77777777" w:rsidR="002653E8" w:rsidRDefault="00C507A5">
      <w:pPr>
        <w:spacing w:before="34" w:line="276" w:lineRule="auto"/>
        <w:ind w:left="203" w:right="1567"/>
        <w:rPr>
          <w:rFonts w:ascii="Gill Sans MT"/>
          <w:sz w:val="18"/>
        </w:rPr>
      </w:pPr>
      <w:r>
        <w:rPr>
          <w:rFonts w:ascii="Gill Sans MT"/>
          <w:color w:val="231F20"/>
          <w:w w:val="110"/>
          <w:sz w:val="18"/>
        </w:rPr>
        <w:t>red army faction</w:t>
      </w:r>
      <w:r w:rsidR="003115E3">
        <w:rPr>
          <w:rFonts w:ascii="Gill Sans MT"/>
          <w:color w:val="231F20"/>
          <w:w w:val="110"/>
          <w:sz w:val="18"/>
        </w:rPr>
        <w:t xml:space="preserve"> member ulrike Meinhof is found hanged in her cell. The state claims it is a suicide. Fellow prisoners and supporters assert that it is murder. An International</w:t>
      </w:r>
    </w:p>
    <w:p w14:paraId="04FBAC89" w14:textId="77777777" w:rsidR="002653E8" w:rsidRDefault="003115E3">
      <w:pPr>
        <w:spacing w:line="276" w:lineRule="auto"/>
        <w:ind w:left="203" w:right="1332"/>
        <w:rPr>
          <w:rFonts w:ascii="Gill Sans MT"/>
          <w:sz w:val="18"/>
        </w:rPr>
      </w:pPr>
      <w:r>
        <w:rPr>
          <w:rFonts w:ascii="Gill Sans MT"/>
          <w:color w:val="231F20"/>
          <w:w w:val="110"/>
          <w:sz w:val="18"/>
        </w:rPr>
        <w:t>Commission will eventually rule that the evidence indicates rape and murder.</w:t>
      </w:r>
    </w:p>
    <w:p w14:paraId="4616BEE3" w14:textId="77777777" w:rsidR="002653E8" w:rsidRDefault="002653E8">
      <w:pPr>
        <w:pStyle w:val="a3"/>
        <w:spacing w:before="6"/>
        <w:rPr>
          <w:rFonts w:ascii="Gill Sans MT"/>
        </w:rPr>
      </w:pPr>
    </w:p>
    <w:p w14:paraId="71A5F05D" w14:textId="77777777" w:rsidR="002653E8" w:rsidRDefault="003115E3">
      <w:pPr>
        <w:ind w:left="203"/>
        <w:rPr>
          <w:rFonts w:ascii="Arial"/>
          <w:b/>
          <w:sz w:val="18"/>
        </w:rPr>
      </w:pPr>
      <w:r>
        <w:rPr>
          <w:rFonts w:ascii="Arial"/>
          <w:b/>
          <w:color w:val="231F20"/>
          <w:w w:val="120"/>
          <w:sz w:val="18"/>
        </w:rPr>
        <w:t>May 10, 1976</w:t>
      </w:r>
    </w:p>
    <w:p w14:paraId="06032131" w14:textId="77777777" w:rsidR="002653E8" w:rsidRDefault="003115E3">
      <w:pPr>
        <w:spacing w:before="35" w:line="273" w:lineRule="auto"/>
        <w:ind w:left="203" w:right="1348"/>
        <w:rPr>
          <w:rFonts w:ascii="Gill Sans MT" w:hAnsi="Gill Sans MT"/>
          <w:sz w:val="18"/>
        </w:rPr>
      </w:pPr>
      <w:r>
        <w:rPr>
          <w:rFonts w:ascii="Gill Sans MT" w:hAnsi="Gill Sans MT"/>
          <w:color w:val="231F20"/>
          <w:w w:val="105"/>
          <w:sz w:val="18"/>
        </w:rPr>
        <w:t xml:space="preserve">In response to ulrike Meinhof’s murder there are riots in West Berlin and a molotov cocktail attack on the </w:t>
      </w:r>
      <w:r>
        <w:rPr>
          <w:rFonts w:ascii="Lucida Sans" w:hAnsi="Lucida Sans"/>
          <w:i/>
          <w:color w:val="231F20"/>
          <w:w w:val="105"/>
          <w:sz w:val="18"/>
        </w:rPr>
        <w:t xml:space="preserve">Land </w:t>
      </w:r>
      <w:r>
        <w:rPr>
          <w:rFonts w:ascii="Gill Sans MT" w:hAnsi="Gill Sans MT"/>
          <w:color w:val="231F20"/>
          <w:w w:val="105"/>
          <w:sz w:val="18"/>
        </w:rPr>
        <w:t>Courthouse in Wuppertal.</w:t>
      </w:r>
    </w:p>
    <w:p w14:paraId="411CFC97" w14:textId="77777777" w:rsidR="002653E8" w:rsidRDefault="002653E8">
      <w:pPr>
        <w:pStyle w:val="a3"/>
        <w:spacing w:before="7"/>
        <w:rPr>
          <w:rFonts w:ascii="Gill Sans MT"/>
        </w:rPr>
      </w:pPr>
    </w:p>
    <w:p w14:paraId="1012F1A5" w14:textId="77777777" w:rsidR="002653E8" w:rsidRDefault="003115E3">
      <w:pPr>
        <w:ind w:left="203"/>
        <w:rPr>
          <w:rFonts w:ascii="Arial"/>
          <w:b/>
          <w:sz w:val="18"/>
        </w:rPr>
      </w:pPr>
      <w:r>
        <w:rPr>
          <w:rFonts w:ascii="Arial"/>
          <w:b/>
          <w:color w:val="231F20"/>
          <w:w w:val="120"/>
          <w:sz w:val="18"/>
        </w:rPr>
        <w:t>May 11, 1976</w:t>
      </w:r>
    </w:p>
    <w:p w14:paraId="41CCF0AD" w14:textId="77777777" w:rsidR="002653E8" w:rsidRDefault="00C507A5">
      <w:pPr>
        <w:spacing w:before="35" w:line="276" w:lineRule="auto"/>
        <w:ind w:left="203" w:right="1443"/>
        <w:rPr>
          <w:rFonts w:ascii="Gill Sans MT"/>
          <w:sz w:val="18"/>
        </w:rPr>
      </w:pPr>
      <w:r>
        <w:rPr>
          <w:rFonts w:ascii="Gill Sans MT"/>
          <w:color w:val="231F20"/>
          <w:w w:val="115"/>
          <w:sz w:val="18"/>
        </w:rPr>
        <w:t>red army faction</w:t>
      </w:r>
      <w:r w:rsidR="003115E3">
        <w:rPr>
          <w:rFonts w:ascii="Gill Sans MT"/>
          <w:color w:val="231F20"/>
          <w:w w:val="115"/>
          <w:sz w:val="18"/>
        </w:rPr>
        <w:t xml:space="preserve"> prisoner Jan-Carl Raspe makes a brief statement during the</w:t>
      </w:r>
      <w:r w:rsidR="003115E3">
        <w:rPr>
          <w:rFonts w:ascii="Gill Sans MT"/>
          <w:color w:val="231F20"/>
          <w:spacing w:val="-20"/>
          <w:w w:val="115"/>
          <w:sz w:val="18"/>
        </w:rPr>
        <w:t xml:space="preserve"> </w:t>
      </w:r>
      <w:r w:rsidR="003115E3">
        <w:rPr>
          <w:rFonts w:ascii="Gill Sans MT"/>
          <w:color w:val="231F20"/>
          <w:w w:val="115"/>
          <w:sz w:val="18"/>
        </w:rPr>
        <w:t>Stammheim</w:t>
      </w:r>
      <w:r w:rsidR="003115E3">
        <w:rPr>
          <w:rFonts w:ascii="Gill Sans MT"/>
          <w:color w:val="231F20"/>
          <w:spacing w:val="-20"/>
          <w:w w:val="115"/>
          <w:sz w:val="18"/>
        </w:rPr>
        <w:t xml:space="preserve"> </w:t>
      </w:r>
      <w:r w:rsidR="003115E3">
        <w:rPr>
          <w:rFonts w:ascii="Gill Sans MT"/>
          <w:color w:val="231F20"/>
          <w:w w:val="115"/>
          <w:sz w:val="18"/>
        </w:rPr>
        <w:t>trial</w:t>
      </w:r>
      <w:r w:rsidR="003115E3">
        <w:rPr>
          <w:rFonts w:ascii="Gill Sans MT"/>
          <w:color w:val="231F20"/>
          <w:spacing w:val="-20"/>
          <w:w w:val="115"/>
          <w:sz w:val="18"/>
        </w:rPr>
        <w:t xml:space="preserve"> </w:t>
      </w:r>
      <w:r w:rsidR="003115E3">
        <w:rPr>
          <w:rFonts w:ascii="Gill Sans MT"/>
          <w:color w:val="231F20"/>
          <w:w w:val="115"/>
          <w:sz w:val="18"/>
        </w:rPr>
        <w:t>and</w:t>
      </w:r>
      <w:r w:rsidR="003115E3">
        <w:rPr>
          <w:rFonts w:ascii="Gill Sans MT"/>
          <w:color w:val="231F20"/>
          <w:spacing w:val="-20"/>
          <w:w w:val="115"/>
          <w:sz w:val="18"/>
        </w:rPr>
        <w:t xml:space="preserve"> </w:t>
      </w:r>
      <w:r w:rsidR="003115E3">
        <w:rPr>
          <w:rFonts w:ascii="Gill Sans MT"/>
          <w:color w:val="231F20"/>
          <w:w w:val="115"/>
          <w:sz w:val="18"/>
        </w:rPr>
        <w:t>releases</w:t>
      </w:r>
      <w:r w:rsidR="003115E3">
        <w:rPr>
          <w:rFonts w:ascii="Gill Sans MT"/>
          <w:color w:val="231F20"/>
          <w:spacing w:val="-20"/>
          <w:w w:val="115"/>
          <w:sz w:val="18"/>
        </w:rPr>
        <w:t xml:space="preserve"> </w:t>
      </w:r>
      <w:r w:rsidR="003115E3">
        <w:rPr>
          <w:rFonts w:ascii="Gill Sans MT"/>
          <w:color w:val="231F20"/>
          <w:w w:val="115"/>
          <w:sz w:val="18"/>
        </w:rPr>
        <w:t>a</w:t>
      </w:r>
    </w:p>
    <w:p w14:paraId="6E39FD5A" w14:textId="77777777" w:rsidR="002653E8" w:rsidRDefault="003115E3">
      <w:pPr>
        <w:spacing w:line="276" w:lineRule="auto"/>
        <w:ind w:left="203" w:right="1348"/>
        <w:rPr>
          <w:rFonts w:ascii="Gill Sans MT" w:hAnsi="Gill Sans MT"/>
          <w:sz w:val="18"/>
        </w:rPr>
      </w:pPr>
      <w:r>
        <w:rPr>
          <w:rFonts w:ascii="Gill Sans MT" w:hAnsi="Gill Sans MT"/>
          <w:color w:val="231F20"/>
          <w:w w:val="110"/>
          <w:sz w:val="18"/>
        </w:rPr>
        <w:t>package of documents that indicate Meinhof’s state of mind at the time of her death and the unlikelihood that she committed suicide.</w:t>
      </w:r>
    </w:p>
    <w:p w14:paraId="41B96419" w14:textId="77777777" w:rsidR="002653E8" w:rsidRDefault="003115E3">
      <w:pPr>
        <w:spacing w:line="276" w:lineRule="auto"/>
        <w:ind w:left="203" w:right="1342"/>
        <w:rPr>
          <w:rFonts w:ascii="Gill Sans MT" w:hAnsi="Gill Sans MT"/>
          <w:sz w:val="18"/>
        </w:rPr>
      </w:pPr>
      <w:r>
        <w:rPr>
          <w:rFonts w:ascii="Gill Sans MT" w:hAnsi="Gill Sans MT"/>
          <w:color w:val="231F20"/>
          <w:w w:val="110"/>
          <w:sz w:val="18"/>
        </w:rPr>
        <w:t>In response to ulrike Meinhof’s murder, there is rioting in Frankfurt, during which a police officer is severely burned when a molotov cocktail explodes in his car.</w:t>
      </w:r>
    </w:p>
    <w:p w14:paraId="0041FD69" w14:textId="77777777" w:rsidR="002653E8" w:rsidRDefault="002653E8">
      <w:pPr>
        <w:pStyle w:val="a3"/>
        <w:spacing w:before="6"/>
        <w:rPr>
          <w:rFonts w:ascii="Gill Sans MT"/>
        </w:rPr>
      </w:pPr>
    </w:p>
    <w:p w14:paraId="7EA34EF3" w14:textId="77777777" w:rsidR="002653E8" w:rsidRDefault="003115E3">
      <w:pPr>
        <w:ind w:left="203"/>
        <w:rPr>
          <w:rFonts w:ascii="Arial"/>
          <w:b/>
          <w:sz w:val="18"/>
        </w:rPr>
      </w:pPr>
      <w:r>
        <w:rPr>
          <w:rFonts w:ascii="Arial"/>
          <w:b/>
          <w:color w:val="231F20"/>
          <w:w w:val="120"/>
          <w:sz w:val="18"/>
        </w:rPr>
        <w:t>May 14, 1976</w:t>
      </w:r>
    </w:p>
    <w:p w14:paraId="5A18CE1E" w14:textId="77777777" w:rsidR="002653E8" w:rsidRDefault="003115E3">
      <w:pPr>
        <w:spacing w:before="34" w:line="276" w:lineRule="auto"/>
        <w:ind w:left="203" w:right="1775"/>
        <w:rPr>
          <w:rFonts w:ascii="Gill Sans MT" w:hAnsi="Gill Sans MT"/>
          <w:sz w:val="18"/>
        </w:rPr>
      </w:pPr>
      <w:r>
        <w:rPr>
          <w:rFonts w:ascii="Gill Sans MT" w:hAnsi="Gill Sans MT"/>
          <w:color w:val="231F20"/>
          <w:w w:val="110"/>
          <w:sz w:val="18"/>
        </w:rPr>
        <w:t>In response to ulrike Meinhof’s murder, the Stachus Shopping Centre in Munich is bombed.</w:t>
      </w:r>
    </w:p>
    <w:p w14:paraId="04A83749" w14:textId="77777777" w:rsidR="002653E8" w:rsidRDefault="002653E8">
      <w:pPr>
        <w:spacing w:line="276" w:lineRule="auto"/>
        <w:rPr>
          <w:rFonts w:ascii="Gill Sans MT" w:hAnsi="Gill Sans MT"/>
          <w:sz w:val="18"/>
        </w:rPr>
        <w:sectPr w:rsidR="002653E8">
          <w:footerReference w:type="default" r:id="rId515"/>
          <w:pgSz w:w="8640" w:h="12960"/>
          <w:pgMar w:top="1060" w:right="0" w:bottom="280" w:left="0" w:header="0" w:footer="0" w:gutter="0"/>
          <w:cols w:num="2" w:space="720" w:equalWidth="0">
            <w:col w:w="4107" w:space="40"/>
            <w:col w:w="4493"/>
          </w:cols>
        </w:sectPr>
      </w:pPr>
    </w:p>
    <w:p w14:paraId="445D8B97" w14:textId="77777777" w:rsidR="002653E8" w:rsidRDefault="002653E8">
      <w:pPr>
        <w:pStyle w:val="a3"/>
        <w:rPr>
          <w:rFonts w:ascii="Gill Sans MT"/>
        </w:rPr>
      </w:pPr>
    </w:p>
    <w:p w14:paraId="53C0EFCE" w14:textId="77777777" w:rsidR="002653E8" w:rsidRDefault="002653E8">
      <w:pPr>
        <w:pStyle w:val="a3"/>
        <w:rPr>
          <w:rFonts w:ascii="Gill Sans MT"/>
        </w:rPr>
      </w:pPr>
    </w:p>
    <w:p w14:paraId="2BBC8469" w14:textId="77777777" w:rsidR="002653E8" w:rsidRDefault="002653E8">
      <w:pPr>
        <w:pStyle w:val="a3"/>
        <w:rPr>
          <w:rFonts w:ascii="Gill Sans MT"/>
        </w:rPr>
      </w:pPr>
    </w:p>
    <w:p w14:paraId="7A306A10" w14:textId="77777777" w:rsidR="002653E8" w:rsidRDefault="003115E3">
      <w:pPr>
        <w:tabs>
          <w:tab w:val="left" w:pos="3677"/>
        </w:tabs>
        <w:spacing w:before="223"/>
        <w:ind w:left="1147"/>
        <w:rPr>
          <w:sz w:val="18"/>
        </w:rPr>
      </w:pPr>
      <w:r>
        <w:rPr>
          <w:color w:val="231F20"/>
          <w:spacing w:val="15"/>
          <w:w w:val="110"/>
          <w:position w:val="5"/>
          <w:sz w:val="18"/>
        </w:rPr>
        <w:lastRenderedPageBreak/>
        <w:t>600</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35"/>
          <w:w w:val="110"/>
          <w:sz w:val="18"/>
        </w:rPr>
        <w:t xml:space="preserve"> </w:t>
      </w:r>
      <w:r>
        <w:rPr>
          <w:color w:val="231F20"/>
          <w:spacing w:val="20"/>
          <w:w w:val="110"/>
          <w:sz w:val="18"/>
        </w:rPr>
        <w:t>germany</w:t>
      </w:r>
      <w:r>
        <w:rPr>
          <w:color w:val="231F20"/>
          <w:spacing w:val="-15"/>
          <w:sz w:val="18"/>
        </w:rPr>
        <w:t xml:space="preserve"> </w:t>
      </w:r>
    </w:p>
    <w:p w14:paraId="2E61D150" w14:textId="77777777" w:rsidR="002653E8" w:rsidRDefault="003115E3">
      <w:pPr>
        <w:spacing w:before="5"/>
        <w:ind w:left="5490"/>
        <w:rPr>
          <w:sz w:val="18"/>
        </w:rPr>
      </w:pPr>
      <w:r>
        <w:rPr>
          <w:color w:val="231F20"/>
          <w:spacing w:val="16"/>
          <w:w w:val="110"/>
          <w:sz w:val="18"/>
        </w:rPr>
        <w:t xml:space="preserve">january  </w:t>
      </w:r>
      <w:r>
        <w:rPr>
          <w:color w:val="231F20"/>
          <w:spacing w:val="15"/>
          <w:w w:val="110"/>
          <w:sz w:val="18"/>
        </w:rPr>
        <w:t>20,</w:t>
      </w:r>
      <w:r>
        <w:rPr>
          <w:color w:val="231F20"/>
          <w:spacing w:val="68"/>
          <w:w w:val="110"/>
          <w:sz w:val="18"/>
        </w:rPr>
        <w:t xml:space="preserve"> </w:t>
      </w:r>
      <w:r>
        <w:rPr>
          <w:color w:val="231F20"/>
          <w:spacing w:val="17"/>
          <w:w w:val="110"/>
          <w:sz w:val="18"/>
        </w:rPr>
        <w:t>1976</w:t>
      </w:r>
      <w:r>
        <w:rPr>
          <w:color w:val="231F20"/>
          <w:spacing w:val="-15"/>
          <w:sz w:val="18"/>
        </w:rPr>
        <w:t xml:space="preserve"> </w:t>
      </w:r>
    </w:p>
    <w:p w14:paraId="79A7BA4F" w14:textId="77777777" w:rsidR="002653E8" w:rsidRDefault="002653E8">
      <w:pPr>
        <w:rPr>
          <w:sz w:val="18"/>
        </w:rPr>
        <w:sectPr w:rsidR="002653E8">
          <w:type w:val="continuous"/>
          <w:pgSz w:w="8640" w:h="12960"/>
          <w:pgMar w:top="0" w:right="0" w:bottom="0" w:left="0" w:header="720" w:footer="720" w:gutter="0"/>
          <w:cols w:space="720"/>
        </w:sectPr>
      </w:pPr>
    </w:p>
    <w:p w14:paraId="32A35725" w14:textId="77777777" w:rsidR="002653E8" w:rsidRDefault="003115E3">
      <w:pPr>
        <w:spacing w:before="92" w:line="276" w:lineRule="auto"/>
        <w:ind w:left="1327" w:right="-5"/>
        <w:rPr>
          <w:rFonts w:ascii="Gill Sans MT"/>
          <w:sz w:val="18"/>
        </w:rPr>
      </w:pPr>
      <w:r>
        <w:rPr>
          <w:rFonts w:ascii="Gill Sans MT"/>
          <w:color w:val="231F20"/>
          <w:w w:val="110"/>
          <w:sz w:val="18"/>
        </w:rPr>
        <w:lastRenderedPageBreak/>
        <w:t xml:space="preserve">Police raid a dozen collective houses in Frankfurt, arresting fourteen people on a variety of charges relating to the May </w:t>
      </w:r>
      <w:r>
        <w:rPr>
          <w:rFonts w:ascii="Arial"/>
          <w:color w:val="231F20"/>
          <w:w w:val="110"/>
          <w:sz w:val="18"/>
        </w:rPr>
        <w:t xml:space="preserve">11 </w:t>
      </w:r>
      <w:r>
        <w:rPr>
          <w:rFonts w:ascii="Gill Sans MT"/>
          <w:color w:val="231F20"/>
          <w:w w:val="110"/>
          <w:sz w:val="18"/>
        </w:rPr>
        <w:t>riot, including attempted murder. All are released the next day.</w:t>
      </w:r>
    </w:p>
    <w:p w14:paraId="3F52F664" w14:textId="77777777" w:rsidR="002653E8" w:rsidRDefault="002653E8">
      <w:pPr>
        <w:pStyle w:val="a3"/>
        <w:spacing w:before="5"/>
        <w:rPr>
          <w:rFonts w:ascii="Gill Sans MT"/>
        </w:rPr>
      </w:pPr>
    </w:p>
    <w:p w14:paraId="6CC32CE6" w14:textId="77777777" w:rsidR="002653E8" w:rsidRDefault="003115E3">
      <w:pPr>
        <w:ind w:left="1327"/>
        <w:rPr>
          <w:rFonts w:ascii="Arial" w:hAnsi="Arial"/>
          <w:b/>
          <w:sz w:val="18"/>
        </w:rPr>
      </w:pPr>
      <w:r>
        <w:rPr>
          <w:rFonts w:ascii="Arial" w:hAnsi="Arial"/>
          <w:b/>
          <w:color w:val="231F20"/>
          <w:w w:val="115"/>
          <w:sz w:val="18"/>
        </w:rPr>
        <w:t>May 14–16, 1976</w:t>
      </w:r>
    </w:p>
    <w:p w14:paraId="169E53D7" w14:textId="77777777" w:rsidR="002653E8" w:rsidRDefault="003115E3">
      <w:pPr>
        <w:spacing w:before="34" w:line="276" w:lineRule="auto"/>
        <w:ind w:left="1327" w:right="434"/>
        <w:jc w:val="both"/>
        <w:rPr>
          <w:rFonts w:ascii="Gill Sans MT" w:hAnsi="Gill Sans MT"/>
          <w:sz w:val="18"/>
        </w:rPr>
      </w:pPr>
      <w:r>
        <w:rPr>
          <w:rFonts w:ascii="Gill Sans MT" w:hAnsi="Gill Sans MT"/>
          <w:color w:val="231F20"/>
          <w:w w:val="110"/>
          <w:sz w:val="18"/>
        </w:rPr>
        <w:t>Thirty-six</w:t>
      </w:r>
      <w:r>
        <w:rPr>
          <w:rFonts w:ascii="Gill Sans MT" w:hAnsi="Gill Sans MT"/>
          <w:color w:val="231F20"/>
          <w:spacing w:val="-18"/>
          <w:w w:val="110"/>
          <w:sz w:val="18"/>
        </w:rPr>
        <w:t xml:space="preserve"> </w:t>
      </w:r>
      <w:r>
        <w:rPr>
          <w:rFonts w:ascii="Gill Sans MT" w:hAnsi="Gill Sans MT"/>
          <w:color w:val="231F20"/>
          <w:w w:val="110"/>
          <w:sz w:val="18"/>
        </w:rPr>
        <w:t>women</w:t>
      </w:r>
      <w:r>
        <w:rPr>
          <w:rFonts w:ascii="Gill Sans MT" w:hAnsi="Gill Sans MT"/>
          <w:color w:val="231F20"/>
          <w:spacing w:val="-18"/>
          <w:w w:val="110"/>
          <w:sz w:val="18"/>
        </w:rPr>
        <w:t xml:space="preserve"> </w:t>
      </w:r>
      <w:r>
        <w:rPr>
          <w:rFonts w:ascii="Gill Sans MT" w:hAnsi="Gill Sans MT"/>
          <w:color w:val="231F20"/>
          <w:w w:val="110"/>
          <w:sz w:val="18"/>
        </w:rPr>
        <w:t>hunger</w:t>
      </w:r>
      <w:r>
        <w:rPr>
          <w:rFonts w:ascii="Gill Sans MT" w:hAnsi="Gill Sans MT"/>
          <w:color w:val="231F20"/>
          <w:spacing w:val="-18"/>
          <w:w w:val="110"/>
          <w:sz w:val="18"/>
        </w:rPr>
        <w:t xml:space="preserve"> </w:t>
      </w:r>
      <w:r>
        <w:rPr>
          <w:rFonts w:ascii="Gill Sans MT" w:hAnsi="Gill Sans MT"/>
          <w:color w:val="231F20"/>
          <w:w w:val="110"/>
          <w:sz w:val="18"/>
        </w:rPr>
        <w:t>strike in Hessen prison in response</w:t>
      </w:r>
      <w:r>
        <w:rPr>
          <w:rFonts w:ascii="Gill Sans MT" w:hAnsi="Gill Sans MT"/>
          <w:color w:val="231F20"/>
          <w:spacing w:val="-33"/>
          <w:w w:val="110"/>
          <w:sz w:val="18"/>
        </w:rPr>
        <w:t xml:space="preserve"> </w:t>
      </w:r>
      <w:r>
        <w:rPr>
          <w:rFonts w:ascii="Gill Sans MT" w:hAnsi="Gill Sans MT"/>
          <w:color w:val="231F20"/>
          <w:w w:val="110"/>
          <w:sz w:val="18"/>
        </w:rPr>
        <w:t>to Meinhof’s</w:t>
      </w:r>
      <w:r>
        <w:rPr>
          <w:rFonts w:ascii="Gill Sans MT" w:hAnsi="Gill Sans MT"/>
          <w:color w:val="231F20"/>
          <w:spacing w:val="-5"/>
          <w:w w:val="110"/>
          <w:sz w:val="18"/>
        </w:rPr>
        <w:t xml:space="preserve"> </w:t>
      </w:r>
      <w:r>
        <w:rPr>
          <w:rFonts w:ascii="Gill Sans MT" w:hAnsi="Gill Sans MT"/>
          <w:color w:val="231F20"/>
          <w:spacing w:val="-3"/>
          <w:w w:val="110"/>
          <w:sz w:val="18"/>
        </w:rPr>
        <w:t>murder.</w:t>
      </w:r>
    </w:p>
    <w:p w14:paraId="53032251" w14:textId="77777777" w:rsidR="002653E8" w:rsidRDefault="002653E8">
      <w:pPr>
        <w:pStyle w:val="a3"/>
        <w:spacing w:before="6"/>
        <w:rPr>
          <w:rFonts w:ascii="Gill Sans MT"/>
        </w:rPr>
      </w:pPr>
    </w:p>
    <w:p w14:paraId="3A4854A5" w14:textId="77777777" w:rsidR="002653E8" w:rsidRDefault="003115E3">
      <w:pPr>
        <w:spacing w:before="1"/>
        <w:ind w:left="1327"/>
        <w:rPr>
          <w:rFonts w:ascii="Arial"/>
          <w:b/>
          <w:sz w:val="18"/>
        </w:rPr>
      </w:pPr>
      <w:r>
        <w:rPr>
          <w:rFonts w:ascii="Arial"/>
          <w:b/>
          <w:color w:val="231F20"/>
          <w:w w:val="120"/>
          <w:sz w:val="18"/>
        </w:rPr>
        <w:t>May 16, 1976</w:t>
      </w:r>
    </w:p>
    <w:p w14:paraId="03E401E8" w14:textId="77777777" w:rsidR="002653E8" w:rsidRDefault="003115E3">
      <w:pPr>
        <w:spacing w:before="35" w:line="276" w:lineRule="auto"/>
        <w:ind w:left="1327" w:right="153"/>
        <w:rPr>
          <w:rFonts w:ascii="Gill Sans MT"/>
          <w:sz w:val="18"/>
        </w:rPr>
      </w:pPr>
      <w:r>
        <w:rPr>
          <w:rFonts w:ascii="Gill Sans MT"/>
          <w:color w:val="231F20"/>
          <w:w w:val="110"/>
          <w:sz w:val="18"/>
        </w:rPr>
        <w:t>ulrike Meinhof is buried in West Berlin. Following the funeral, there is a massive demonstration.</w:t>
      </w:r>
    </w:p>
    <w:p w14:paraId="5D29CB17" w14:textId="77777777" w:rsidR="002653E8" w:rsidRDefault="002653E8">
      <w:pPr>
        <w:pStyle w:val="a3"/>
        <w:spacing w:before="6"/>
        <w:rPr>
          <w:rFonts w:ascii="Gill Sans MT"/>
        </w:rPr>
      </w:pPr>
    </w:p>
    <w:p w14:paraId="276118D5" w14:textId="77777777" w:rsidR="002653E8" w:rsidRDefault="003115E3">
      <w:pPr>
        <w:ind w:left="1327"/>
        <w:rPr>
          <w:rFonts w:ascii="Arial"/>
          <w:b/>
          <w:sz w:val="18"/>
        </w:rPr>
      </w:pPr>
      <w:r>
        <w:rPr>
          <w:rFonts w:ascii="Arial"/>
          <w:b/>
          <w:color w:val="231F20"/>
          <w:w w:val="120"/>
          <w:sz w:val="18"/>
        </w:rPr>
        <w:t>May 18, 1976</w:t>
      </w:r>
    </w:p>
    <w:p w14:paraId="5302774C" w14:textId="77777777" w:rsidR="002653E8" w:rsidRDefault="003115E3">
      <w:pPr>
        <w:spacing w:before="34" w:line="276" w:lineRule="auto"/>
        <w:ind w:left="1327" w:right="-14"/>
        <w:rPr>
          <w:rFonts w:ascii="Gill Sans MT"/>
          <w:sz w:val="18"/>
        </w:rPr>
      </w:pPr>
      <w:r>
        <w:rPr>
          <w:rFonts w:ascii="Gill Sans MT"/>
          <w:color w:val="231F20"/>
          <w:w w:val="110"/>
          <w:sz w:val="18"/>
        </w:rPr>
        <w:t>Eight thousand demonstrate in West Berlin against murder of Meinhof.</w:t>
      </w:r>
    </w:p>
    <w:p w14:paraId="20A7893C" w14:textId="77777777" w:rsidR="002653E8" w:rsidRDefault="003115E3">
      <w:pPr>
        <w:spacing w:line="276" w:lineRule="auto"/>
        <w:ind w:left="1327" w:right="464"/>
        <w:rPr>
          <w:rFonts w:ascii="Gill Sans MT"/>
          <w:sz w:val="18"/>
        </w:rPr>
      </w:pPr>
      <w:r>
        <w:rPr>
          <w:rFonts w:ascii="Gill Sans MT"/>
          <w:color w:val="231F20"/>
          <w:w w:val="110"/>
          <w:sz w:val="18"/>
        </w:rPr>
        <w:t>Clashes with the police lead to numerous arrests.</w:t>
      </w:r>
    </w:p>
    <w:p w14:paraId="5648887B" w14:textId="77777777" w:rsidR="002653E8" w:rsidRDefault="002653E8">
      <w:pPr>
        <w:pStyle w:val="a3"/>
        <w:spacing w:before="6"/>
        <w:rPr>
          <w:rFonts w:ascii="Gill Sans MT"/>
        </w:rPr>
      </w:pPr>
    </w:p>
    <w:p w14:paraId="37A8ADAD" w14:textId="77777777" w:rsidR="002653E8" w:rsidRDefault="003115E3">
      <w:pPr>
        <w:spacing w:before="1"/>
        <w:ind w:left="1327"/>
        <w:rPr>
          <w:rFonts w:ascii="Arial"/>
          <w:b/>
          <w:sz w:val="18"/>
        </w:rPr>
      </w:pPr>
      <w:r>
        <w:rPr>
          <w:rFonts w:ascii="Arial"/>
          <w:b/>
          <w:color w:val="231F20"/>
          <w:w w:val="115"/>
          <w:sz w:val="18"/>
        </w:rPr>
        <w:t>June 2, 1976</w:t>
      </w:r>
    </w:p>
    <w:p w14:paraId="5D1B9B44" w14:textId="77777777" w:rsidR="002653E8" w:rsidRDefault="003115E3">
      <w:pPr>
        <w:spacing w:before="34" w:line="276" w:lineRule="auto"/>
        <w:ind w:left="1327" w:right="-13"/>
        <w:rPr>
          <w:rFonts w:ascii="Gill Sans MT" w:hAnsi="Gill Sans MT"/>
          <w:sz w:val="18"/>
        </w:rPr>
      </w:pPr>
      <w:r>
        <w:rPr>
          <w:rFonts w:ascii="Gill Sans MT" w:hAnsi="Gill Sans MT"/>
          <w:color w:val="231F20"/>
          <w:w w:val="110"/>
          <w:sz w:val="18"/>
        </w:rPr>
        <w:t>The RZ’s ulrike Meinhof Commando bombs the Headquarters of the</w:t>
      </w:r>
    </w:p>
    <w:p w14:paraId="07205C3E" w14:textId="77777777" w:rsidR="002653E8" w:rsidRDefault="003115E3">
      <w:pPr>
        <w:spacing w:line="276" w:lineRule="auto"/>
        <w:ind w:left="1327" w:right="30"/>
        <w:rPr>
          <w:rFonts w:ascii="Gill Sans MT"/>
          <w:sz w:val="18"/>
        </w:rPr>
      </w:pPr>
      <w:r>
        <w:rPr>
          <w:rFonts w:ascii="Gill Sans MT"/>
          <w:color w:val="231F20"/>
          <w:w w:val="115"/>
          <w:sz w:val="18"/>
        </w:rPr>
        <w:t>u.S. Army and u.S. Officers Club in Frankfurt.</w:t>
      </w:r>
    </w:p>
    <w:p w14:paraId="7F7F7682" w14:textId="77777777" w:rsidR="002653E8" w:rsidRDefault="003115E3">
      <w:pPr>
        <w:spacing w:line="276" w:lineRule="auto"/>
        <w:ind w:left="1327" w:right="41"/>
        <w:jc w:val="both"/>
        <w:rPr>
          <w:rFonts w:ascii="Gill Sans MT"/>
          <w:sz w:val="18"/>
        </w:rPr>
      </w:pPr>
      <w:r>
        <w:rPr>
          <w:rFonts w:ascii="Gill Sans MT"/>
          <w:color w:val="231F20"/>
          <w:w w:val="110"/>
          <w:sz w:val="18"/>
        </w:rPr>
        <w:t xml:space="preserve">A group calling itself the Friends of the </w:t>
      </w:r>
      <w:r>
        <w:rPr>
          <w:rFonts w:ascii="Arial"/>
          <w:color w:val="231F20"/>
          <w:w w:val="110"/>
          <w:sz w:val="18"/>
        </w:rPr>
        <w:t>2</w:t>
      </w:r>
      <w:r>
        <w:rPr>
          <w:rFonts w:ascii="Gill Sans MT"/>
          <w:color w:val="231F20"/>
          <w:w w:val="110"/>
          <w:sz w:val="18"/>
        </w:rPr>
        <w:t>nd of June firebombs two fully loaded military trucks at the u.S. Air Force Base in Frankfurt.</w:t>
      </w:r>
    </w:p>
    <w:p w14:paraId="57F25E13" w14:textId="77777777" w:rsidR="002653E8" w:rsidRDefault="002653E8">
      <w:pPr>
        <w:pStyle w:val="a3"/>
        <w:spacing w:before="5"/>
        <w:rPr>
          <w:rFonts w:ascii="Gill Sans MT"/>
        </w:rPr>
      </w:pPr>
    </w:p>
    <w:p w14:paraId="080FDAB1" w14:textId="77777777" w:rsidR="002653E8" w:rsidRDefault="003115E3">
      <w:pPr>
        <w:ind w:left="1327"/>
        <w:rPr>
          <w:rFonts w:ascii="Arial" w:hAnsi="Arial"/>
          <w:b/>
          <w:sz w:val="18"/>
        </w:rPr>
      </w:pPr>
      <w:r>
        <w:rPr>
          <w:rFonts w:ascii="Arial" w:hAnsi="Arial"/>
          <w:b/>
          <w:color w:val="231F20"/>
          <w:w w:val="110"/>
          <w:sz w:val="18"/>
        </w:rPr>
        <w:t>June 5–7, 1976</w:t>
      </w:r>
    </w:p>
    <w:p w14:paraId="63457F55" w14:textId="77777777" w:rsidR="002653E8" w:rsidRDefault="003115E3">
      <w:pPr>
        <w:spacing w:before="28" w:line="273" w:lineRule="auto"/>
        <w:ind w:left="1327" w:right="130"/>
        <w:rPr>
          <w:rFonts w:ascii="Gill Sans MT" w:hAnsi="Gill Sans MT"/>
          <w:sz w:val="18"/>
        </w:rPr>
      </w:pPr>
      <w:r>
        <w:rPr>
          <w:rFonts w:ascii="Gill Sans MT" w:hAnsi="Gill Sans MT"/>
          <w:color w:val="231F20"/>
          <w:sz w:val="18"/>
        </w:rPr>
        <w:t xml:space="preserve">The </w:t>
      </w:r>
      <w:r>
        <w:rPr>
          <w:rFonts w:ascii="Lucida Sans" w:hAnsi="Lucida Sans"/>
          <w:i/>
          <w:color w:val="231F20"/>
          <w:sz w:val="18"/>
        </w:rPr>
        <w:t xml:space="preserve">Sozialistisches Büro </w:t>
      </w:r>
      <w:r>
        <w:rPr>
          <w:rFonts w:ascii="Gill Sans MT" w:hAnsi="Gill Sans MT"/>
          <w:color w:val="231F20"/>
          <w:sz w:val="18"/>
        </w:rPr>
        <w:t xml:space="preserve">organizes </w:t>
      </w:r>
      <w:r>
        <w:rPr>
          <w:rFonts w:ascii="Gill Sans MT" w:hAnsi="Gill Sans MT"/>
          <w:color w:val="231F20"/>
          <w:w w:val="110"/>
          <w:sz w:val="18"/>
        </w:rPr>
        <w:t xml:space="preserve">an Anti-Repression Congress in Frankfurt. </w:t>
      </w:r>
      <w:r>
        <w:rPr>
          <w:rFonts w:ascii="Gill Sans MT" w:hAnsi="Gill Sans MT"/>
          <w:color w:val="231F20"/>
          <w:spacing w:val="-4"/>
          <w:w w:val="110"/>
          <w:sz w:val="18"/>
        </w:rPr>
        <w:t xml:space="preserve">Twenty </w:t>
      </w:r>
      <w:r>
        <w:rPr>
          <w:rFonts w:ascii="Gill Sans MT" w:hAnsi="Gill Sans MT"/>
          <w:color w:val="231F20"/>
          <w:w w:val="110"/>
          <w:sz w:val="18"/>
        </w:rPr>
        <w:t>thousand people take</w:t>
      </w:r>
      <w:r>
        <w:rPr>
          <w:rFonts w:ascii="Gill Sans MT" w:hAnsi="Gill Sans MT"/>
          <w:color w:val="231F20"/>
          <w:spacing w:val="-15"/>
          <w:w w:val="110"/>
          <w:sz w:val="18"/>
        </w:rPr>
        <w:t xml:space="preserve"> </w:t>
      </w:r>
      <w:r>
        <w:rPr>
          <w:rFonts w:ascii="Gill Sans MT" w:hAnsi="Gill Sans MT"/>
          <w:color w:val="231F20"/>
          <w:w w:val="110"/>
          <w:sz w:val="18"/>
        </w:rPr>
        <w:t>part.</w:t>
      </w:r>
      <w:r>
        <w:rPr>
          <w:rFonts w:ascii="Gill Sans MT" w:hAnsi="Gill Sans MT"/>
          <w:color w:val="231F20"/>
          <w:spacing w:val="-15"/>
          <w:w w:val="110"/>
          <w:sz w:val="18"/>
        </w:rPr>
        <w:t xml:space="preserve"> </w:t>
      </w:r>
      <w:r>
        <w:rPr>
          <w:rFonts w:ascii="Gill Sans MT" w:hAnsi="Gill Sans MT"/>
          <w:color w:val="231F20"/>
          <w:w w:val="110"/>
          <w:sz w:val="18"/>
        </w:rPr>
        <w:t>Attorney</w:t>
      </w:r>
      <w:r>
        <w:rPr>
          <w:rFonts w:ascii="Gill Sans MT" w:hAnsi="Gill Sans MT"/>
          <w:color w:val="231F20"/>
          <w:spacing w:val="-15"/>
          <w:w w:val="110"/>
          <w:sz w:val="18"/>
        </w:rPr>
        <w:t xml:space="preserve"> </w:t>
      </w:r>
      <w:r>
        <w:rPr>
          <w:rFonts w:ascii="Gill Sans MT" w:hAnsi="Gill Sans MT"/>
          <w:color w:val="231F20"/>
          <w:w w:val="110"/>
          <w:sz w:val="18"/>
        </w:rPr>
        <w:t>Klaus</w:t>
      </w:r>
      <w:r>
        <w:rPr>
          <w:rFonts w:ascii="Gill Sans MT" w:hAnsi="Gill Sans MT"/>
          <w:color w:val="231F20"/>
          <w:spacing w:val="-15"/>
          <w:w w:val="110"/>
          <w:sz w:val="18"/>
        </w:rPr>
        <w:t xml:space="preserve"> </w:t>
      </w:r>
      <w:r>
        <w:rPr>
          <w:rFonts w:ascii="Gill Sans MT" w:hAnsi="Gill Sans MT"/>
          <w:color w:val="231F20"/>
          <w:w w:val="110"/>
          <w:sz w:val="18"/>
        </w:rPr>
        <w:t>Croissant is</w:t>
      </w:r>
      <w:r>
        <w:rPr>
          <w:rFonts w:ascii="Gill Sans MT" w:hAnsi="Gill Sans MT"/>
          <w:color w:val="231F20"/>
          <w:spacing w:val="-8"/>
          <w:w w:val="110"/>
          <w:sz w:val="18"/>
        </w:rPr>
        <w:t xml:space="preserve"> </w:t>
      </w:r>
      <w:r>
        <w:rPr>
          <w:rFonts w:ascii="Gill Sans MT" w:hAnsi="Gill Sans MT"/>
          <w:color w:val="231F20"/>
          <w:w w:val="110"/>
          <w:sz w:val="18"/>
        </w:rPr>
        <w:t>among</w:t>
      </w:r>
      <w:r>
        <w:rPr>
          <w:rFonts w:ascii="Gill Sans MT" w:hAnsi="Gill Sans MT"/>
          <w:color w:val="231F20"/>
          <w:spacing w:val="-8"/>
          <w:w w:val="110"/>
          <w:sz w:val="18"/>
        </w:rPr>
        <w:t xml:space="preserve"> </w:t>
      </w:r>
      <w:r>
        <w:rPr>
          <w:rFonts w:ascii="Gill Sans MT" w:hAnsi="Gill Sans MT"/>
          <w:color w:val="231F20"/>
          <w:w w:val="110"/>
          <w:sz w:val="18"/>
        </w:rPr>
        <w:t>the</w:t>
      </w:r>
      <w:r>
        <w:rPr>
          <w:rFonts w:ascii="Gill Sans MT" w:hAnsi="Gill Sans MT"/>
          <w:color w:val="231F20"/>
          <w:spacing w:val="-8"/>
          <w:w w:val="110"/>
          <w:sz w:val="18"/>
        </w:rPr>
        <w:t xml:space="preserve"> </w:t>
      </w:r>
      <w:r>
        <w:rPr>
          <w:rFonts w:ascii="Gill Sans MT" w:hAnsi="Gill Sans MT"/>
          <w:color w:val="231F20"/>
          <w:w w:val="110"/>
          <w:sz w:val="18"/>
        </w:rPr>
        <w:t>speakers,</w:t>
      </w:r>
      <w:r>
        <w:rPr>
          <w:rFonts w:ascii="Gill Sans MT" w:hAnsi="Gill Sans MT"/>
          <w:color w:val="231F20"/>
          <w:spacing w:val="-8"/>
          <w:w w:val="110"/>
          <w:sz w:val="18"/>
        </w:rPr>
        <w:t xml:space="preserve"> </w:t>
      </w:r>
      <w:r>
        <w:rPr>
          <w:rFonts w:ascii="Gill Sans MT" w:hAnsi="Gill Sans MT"/>
          <w:color w:val="231F20"/>
          <w:w w:val="110"/>
          <w:sz w:val="18"/>
        </w:rPr>
        <w:t>as</w:t>
      </w:r>
      <w:r>
        <w:rPr>
          <w:rFonts w:ascii="Gill Sans MT" w:hAnsi="Gill Sans MT"/>
          <w:color w:val="231F20"/>
          <w:spacing w:val="-8"/>
          <w:w w:val="110"/>
          <w:sz w:val="18"/>
        </w:rPr>
        <w:t xml:space="preserve"> </w:t>
      </w:r>
      <w:r>
        <w:rPr>
          <w:rFonts w:ascii="Gill Sans MT" w:hAnsi="Gill Sans MT"/>
          <w:color w:val="231F20"/>
          <w:w w:val="110"/>
          <w:sz w:val="18"/>
        </w:rPr>
        <w:t>is</w:t>
      </w:r>
      <w:r>
        <w:rPr>
          <w:rFonts w:ascii="Gill Sans MT" w:hAnsi="Gill Sans MT"/>
          <w:color w:val="231F20"/>
          <w:spacing w:val="-8"/>
          <w:w w:val="110"/>
          <w:sz w:val="18"/>
        </w:rPr>
        <w:t xml:space="preserve"> </w:t>
      </w:r>
      <w:r>
        <w:rPr>
          <w:rFonts w:ascii="Lucida Sans" w:hAnsi="Lucida Sans"/>
          <w:i/>
          <w:color w:val="231F20"/>
          <w:w w:val="110"/>
          <w:sz w:val="18"/>
        </w:rPr>
        <w:t xml:space="preserve">sponti </w:t>
      </w:r>
      <w:r>
        <w:rPr>
          <w:rFonts w:ascii="Gill Sans MT" w:hAnsi="Gill Sans MT"/>
          <w:color w:val="231F20"/>
          <w:w w:val="110"/>
          <w:sz w:val="18"/>
        </w:rPr>
        <w:t xml:space="preserve">leader Joschka </w:t>
      </w:r>
      <w:r>
        <w:rPr>
          <w:rFonts w:ascii="Gill Sans MT" w:hAnsi="Gill Sans MT"/>
          <w:color w:val="231F20"/>
          <w:spacing w:val="-3"/>
          <w:w w:val="110"/>
          <w:sz w:val="18"/>
        </w:rPr>
        <w:t xml:space="preserve">Fischer, </w:t>
      </w:r>
      <w:r>
        <w:rPr>
          <w:rFonts w:ascii="Gill Sans MT" w:hAnsi="Gill Sans MT"/>
          <w:color w:val="231F20"/>
          <w:w w:val="110"/>
          <w:sz w:val="18"/>
        </w:rPr>
        <w:t>who makes a historic speech urging the radical left to reject the armed</w:t>
      </w:r>
      <w:r>
        <w:rPr>
          <w:rFonts w:ascii="Gill Sans MT" w:hAnsi="Gill Sans MT"/>
          <w:color w:val="231F20"/>
          <w:spacing w:val="5"/>
          <w:w w:val="110"/>
          <w:sz w:val="18"/>
        </w:rPr>
        <w:t xml:space="preserve"> </w:t>
      </w:r>
      <w:r>
        <w:rPr>
          <w:rFonts w:ascii="Gill Sans MT" w:hAnsi="Gill Sans MT"/>
          <w:color w:val="231F20"/>
          <w:w w:val="110"/>
          <w:sz w:val="18"/>
        </w:rPr>
        <w:t>struggle.</w:t>
      </w:r>
    </w:p>
    <w:p w14:paraId="7C32C135" w14:textId="77777777" w:rsidR="002653E8" w:rsidRDefault="003115E3">
      <w:pPr>
        <w:spacing w:before="90"/>
        <w:ind w:left="203"/>
        <w:rPr>
          <w:rFonts w:ascii="Arial"/>
          <w:b/>
          <w:sz w:val="18"/>
        </w:rPr>
      </w:pPr>
      <w:r>
        <w:br w:type="column"/>
      </w:r>
      <w:r>
        <w:rPr>
          <w:rFonts w:ascii="Arial"/>
          <w:b/>
          <w:color w:val="231F20"/>
          <w:w w:val="115"/>
          <w:sz w:val="18"/>
        </w:rPr>
        <w:t>June 10, 1976</w:t>
      </w:r>
    </w:p>
    <w:p w14:paraId="422B0C95" w14:textId="77777777" w:rsidR="002653E8" w:rsidRDefault="003115E3">
      <w:pPr>
        <w:spacing w:before="35" w:line="276" w:lineRule="auto"/>
        <w:ind w:left="203" w:right="1236"/>
        <w:rPr>
          <w:rFonts w:ascii="Gill Sans MT"/>
          <w:sz w:val="18"/>
        </w:rPr>
      </w:pPr>
      <w:r>
        <w:rPr>
          <w:rFonts w:ascii="Gill Sans MT"/>
          <w:color w:val="231F20"/>
          <w:w w:val="110"/>
          <w:sz w:val="18"/>
        </w:rPr>
        <w:t>The Interior Ministers Conference gives the police the right to shoot to kill when dealing with suspected terrorists.</w:t>
      </w:r>
    </w:p>
    <w:p w14:paraId="088E9390" w14:textId="77777777" w:rsidR="002653E8" w:rsidRDefault="002653E8">
      <w:pPr>
        <w:pStyle w:val="a3"/>
        <w:spacing w:before="6"/>
        <w:rPr>
          <w:rFonts w:ascii="Gill Sans MT"/>
        </w:rPr>
      </w:pPr>
    </w:p>
    <w:p w14:paraId="60BFB036" w14:textId="77777777" w:rsidR="002653E8" w:rsidRDefault="003115E3">
      <w:pPr>
        <w:ind w:left="203"/>
        <w:rPr>
          <w:rFonts w:ascii="Arial"/>
          <w:b/>
          <w:sz w:val="18"/>
        </w:rPr>
      </w:pPr>
      <w:r>
        <w:rPr>
          <w:rFonts w:ascii="Arial"/>
          <w:b/>
          <w:color w:val="231F20"/>
          <w:w w:val="115"/>
          <w:sz w:val="18"/>
        </w:rPr>
        <w:t>June 14, 1976</w:t>
      </w:r>
    </w:p>
    <w:p w14:paraId="34D7EA99" w14:textId="77777777" w:rsidR="002653E8" w:rsidRDefault="003115E3">
      <w:pPr>
        <w:spacing w:before="35" w:line="276" w:lineRule="auto"/>
        <w:ind w:left="203" w:right="1299"/>
        <w:rPr>
          <w:rFonts w:ascii="Gill Sans MT"/>
          <w:sz w:val="18"/>
        </w:rPr>
      </w:pPr>
      <w:r>
        <w:rPr>
          <w:rFonts w:ascii="Gill Sans MT"/>
          <w:color w:val="231F20"/>
          <w:w w:val="110"/>
          <w:sz w:val="18"/>
        </w:rPr>
        <w:t>Twenty-four attorneys for political</w:t>
      </w:r>
      <w:r>
        <w:rPr>
          <w:rFonts w:ascii="Gill Sans MT"/>
          <w:color w:val="231F20"/>
          <w:w w:val="112"/>
          <w:sz w:val="18"/>
        </w:rPr>
        <w:t xml:space="preserve"> </w:t>
      </w:r>
      <w:r>
        <w:rPr>
          <w:rFonts w:ascii="Gill Sans MT"/>
          <w:color w:val="231F20"/>
          <w:w w:val="110"/>
          <w:sz w:val="18"/>
        </w:rPr>
        <w:t>prisoners release a statement protesting the murder of ulrike Meinhof, as well as isolation and torture.</w:t>
      </w:r>
    </w:p>
    <w:p w14:paraId="5A4FC766" w14:textId="77777777" w:rsidR="002653E8" w:rsidRDefault="002653E8">
      <w:pPr>
        <w:pStyle w:val="a3"/>
        <w:spacing w:before="6"/>
        <w:rPr>
          <w:rFonts w:ascii="Gill Sans MT"/>
        </w:rPr>
      </w:pPr>
    </w:p>
    <w:p w14:paraId="41A16966" w14:textId="77777777" w:rsidR="002653E8" w:rsidRDefault="003115E3">
      <w:pPr>
        <w:spacing w:before="1"/>
        <w:ind w:left="203"/>
        <w:rPr>
          <w:rFonts w:ascii="Arial"/>
          <w:b/>
          <w:sz w:val="18"/>
        </w:rPr>
      </w:pPr>
      <w:r>
        <w:rPr>
          <w:rFonts w:ascii="Arial"/>
          <w:b/>
          <w:color w:val="231F20"/>
          <w:w w:val="115"/>
          <w:sz w:val="18"/>
        </w:rPr>
        <w:t>June 16, 1976</w:t>
      </w:r>
    </w:p>
    <w:p w14:paraId="6855439F" w14:textId="77777777" w:rsidR="002653E8" w:rsidRDefault="003115E3">
      <w:pPr>
        <w:spacing w:before="34" w:line="276" w:lineRule="auto"/>
        <w:ind w:left="203" w:right="1236"/>
        <w:rPr>
          <w:rFonts w:ascii="Gill Sans MT"/>
          <w:sz w:val="18"/>
        </w:rPr>
      </w:pPr>
      <w:r>
        <w:rPr>
          <w:rFonts w:ascii="Gill Sans MT"/>
          <w:color w:val="231F20"/>
          <w:w w:val="115"/>
          <w:sz w:val="18"/>
        </w:rPr>
        <w:t xml:space="preserve">Five former intelligence agents, </w:t>
      </w:r>
      <w:r>
        <w:rPr>
          <w:rFonts w:ascii="Gill Sans MT"/>
          <w:color w:val="231F20"/>
          <w:w w:val="110"/>
          <w:sz w:val="18"/>
        </w:rPr>
        <w:t xml:space="preserve">including Winslow Peck (National </w:t>
      </w:r>
      <w:r>
        <w:rPr>
          <w:rFonts w:ascii="Gill Sans MT"/>
          <w:color w:val="231F20"/>
          <w:w w:val="115"/>
          <w:sz w:val="18"/>
        </w:rPr>
        <w:t>Security Agency Airforce),</w:t>
      </w:r>
    </w:p>
    <w:p w14:paraId="2A10153D" w14:textId="77777777" w:rsidR="002653E8" w:rsidRDefault="003115E3">
      <w:pPr>
        <w:spacing w:line="276" w:lineRule="auto"/>
        <w:ind w:left="203" w:right="1147"/>
        <w:rPr>
          <w:rFonts w:ascii="Gill Sans MT"/>
          <w:sz w:val="18"/>
        </w:rPr>
      </w:pPr>
      <w:r>
        <w:rPr>
          <w:rFonts w:ascii="Gill Sans MT"/>
          <w:color w:val="231F20"/>
          <w:w w:val="110"/>
          <w:sz w:val="18"/>
        </w:rPr>
        <w:t xml:space="preserve">Gary </w:t>
      </w:r>
      <w:r>
        <w:rPr>
          <w:rFonts w:ascii="Gill Sans MT"/>
          <w:color w:val="231F20"/>
          <w:spacing w:val="-17"/>
          <w:w w:val="110"/>
          <w:sz w:val="18"/>
        </w:rPr>
        <w:t xml:space="preserve">P. </w:t>
      </w:r>
      <w:r>
        <w:rPr>
          <w:rFonts w:ascii="Gill Sans MT"/>
          <w:color w:val="231F20"/>
          <w:w w:val="110"/>
          <w:sz w:val="18"/>
        </w:rPr>
        <w:t xml:space="preserve">Thomas (Military Intelligence) and Philip Agee (CIA), testify in Stammheim about the use of </w:t>
      </w:r>
      <w:r>
        <w:rPr>
          <w:rFonts w:ascii="Gill Sans MT"/>
          <w:color w:val="231F20"/>
          <w:spacing w:val="-3"/>
          <w:w w:val="110"/>
          <w:sz w:val="18"/>
        </w:rPr>
        <w:t xml:space="preserve">West </w:t>
      </w:r>
      <w:r>
        <w:rPr>
          <w:rFonts w:ascii="Gill Sans MT"/>
          <w:color w:val="231F20"/>
          <w:w w:val="110"/>
          <w:sz w:val="18"/>
        </w:rPr>
        <w:t>German territory by the</w:t>
      </w:r>
      <w:r>
        <w:rPr>
          <w:rFonts w:ascii="Gill Sans MT"/>
          <w:color w:val="231F20"/>
          <w:spacing w:val="-37"/>
          <w:w w:val="110"/>
          <w:sz w:val="18"/>
        </w:rPr>
        <w:t xml:space="preserve"> </w:t>
      </w:r>
      <w:r>
        <w:rPr>
          <w:rFonts w:ascii="Gill Sans MT"/>
          <w:color w:val="231F20"/>
          <w:w w:val="110"/>
          <w:sz w:val="18"/>
        </w:rPr>
        <w:t xml:space="preserve">u.S. for the Vietnamese </w:t>
      </w:r>
      <w:r>
        <w:rPr>
          <w:rFonts w:ascii="Gill Sans MT"/>
          <w:color w:val="231F20"/>
          <w:spacing w:val="-3"/>
          <w:w w:val="110"/>
          <w:sz w:val="18"/>
        </w:rPr>
        <w:t>War</w:t>
      </w:r>
      <w:r>
        <w:rPr>
          <w:rFonts w:ascii="Gill Sans MT"/>
          <w:color w:val="231F20"/>
          <w:spacing w:val="-28"/>
          <w:w w:val="110"/>
          <w:sz w:val="18"/>
        </w:rPr>
        <w:t xml:space="preserve"> </w:t>
      </w:r>
      <w:r>
        <w:rPr>
          <w:rFonts w:ascii="Gill Sans MT"/>
          <w:color w:val="231F20"/>
          <w:w w:val="110"/>
          <w:sz w:val="18"/>
        </w:rPr>
        <w:t>effort.</w:t>
      </w:r>
    </w:p>
    <w:p w14:paraId="460B7CE8" w14:textId="77777777" w:rsidR="002653E8" w:rsidRDefault="002653E8">
      <w:pPr>
        <w:pStyle w:val="a3"/>
        <w:spacing w:before="6"/>
        <w:rPr>
          <w:rFonts w:ascii="Gill Sans MT"/>
        </w:rPr>
      </w:pPr>
    </w:p>
    <w:p w14:paraId="41C3AF84" w14:textId="77777777" w:rsidR="002653E8" w:rsidRDefault="003115E3">
      <w:pPr>
        <w:ind w:left="203"/>
        <w:rPr>
          <w:rFonts w:ascii="Arial"/>
          <w:b/>
          <w:sz w:val="18"/>
        </w:rPr>
      </w:pPr>
      <w:r>
        <w:rPr>
          <w:rFonts w:ascii="Arial"/>
          <w:b/>
          <w:color w:val="231F20"/>
          <w:w w:val="115"/>
          <w:sz w:val="18"/>
        </w:rPr>
        <w:t>June 18, 1976</w:t>
      </w:r>
    </w:p>
    <w:p w14:paraId="0B312FA0" w14:textId="77777777" w:rsidR="002653E8" w:rsidRDefault="003115E3">
      <w:pPr>
        <w:spacing w:before="35" w:line="276" w:lineRule="auto"/>
        <w:ind w:left="203" w:right="1187"/>
        <w:rPr>
          <w:rFonts w:ascii="Gill Sans MT" w:hAnsi="Gill Sans MT"/>
          <w:sz w:val="18"/>
        </w:rPr>
      </w:pPr>
      <w:r>
        <w:rPr>
          <w:rFonts w:ascii="Gill Sans MT" w:hAnsi="Gill Sans MT"/>
          <w:color w:val="231F20"/>
          <w:w w:val="115"/>
          <w:sz w:val="18"/>
        </w:rPr>
        <w:t xml:space="preserve">The office of Klaus Jürgen </w:t>
      </w:r>
      <w:r>
        <w:rPr>
          <w:rFonts w:ascii="Gill Sans MT" w:hAnsi="Gill Sans MT"/>
          <w:color w:val="231F20"/>
          <w:spacing w:val="-3"/>
          <w:w w:val="115"/>
          <w:sz w:val="18"/>
        </w:rPr>
        <w:t xml:space="preserve">Langner, </w:t>
      </w:r>
      <w:r>
        <w:rPr>
          <w:rFonts w:ascii="Gill Sans MT" w:hAnsi="Gill Sans MT"/>
          <w:color w:val="231F20"/>
          <w:w w:val="115"/>
          <w:sz w:val="18"/>
        </w:rPr>
        <w:t>Margrit Schiller’s attorney, is firebombed. Seven people are injured.</w:t>
      </w:r>
    </w:p>
    <w:p w14:paraId="78FCCA57" w14:textId="77777777" w:rsidR="002653E8" w:rsidRDefault="002653E8">
      <w:pPr>
        <w:pStyle w:val="a3"/>
        <w:spacing w:before="6"/>
        <w:rPr>
          <w:rFonts w:ascii="Gill Sans MT"/>
        </w:rPr>
      </w:pPr>
    </w:p>
    <w:p w14:paraId="14EB54CF" w14:textId="77777777" w:rsidR="002653E8" w:rsidRDefault="003115E3">
      <w:pPr>
        <w:ind w:left="203"/>
        <w:rPr>
          <w:rFonts w:ascii="Arial"/>
          <w:b/>
          <w:sz w:val="18"/>
        </w:rPr>
      </w:pPr>
      <w:r>
        <w:rPr>
          <w:rFonts w:ascii="Arial"/>
          <w:b/>
          <w:color w:val="231F20"/>
          <w:w w:val="115"/>
          <w:sz w:val="18"/>
        </w:rPr>
        <w:t>June 24, 1976</w:t>
      </w:r>
    </w:p>
    <w:p w14:paraId="23213D94" w14:textId="77777777" w:rsidR="002653E8" w:rsidRDefault="003115E3">
      <w:pPr>
        <w:spacing w:before="35" w:line="276" w:lineRule="auto"/>
        <w:ind w:left="203" w:right="1666"/>
        <w:rPr>
          <w:rFonts w:ascii="Gill Sans MT"/>
          <w:sz w:val="18"/>
        </w:rPr>
      </w:pPr>
      <w:r>
        <w:rPr>
          <w:rFonts w:ascii="Gill Sans MT"/>
          <w:color w:val="231F20"/>
          <w:w w:val="110"/>
          <w:sz w:val="18"/>
        </w:rPr>
        <w:t xml:space="preserve">The West German parliament </w:t>
      </w:r>
      <w:r>
        <w:rPr>
          <w:rFonts w:ascii="Gill Sans MT"/>
          <w:color w:val="231F20"/>
          <w:w w:val="115"/>
          <w:sz w:val="18"/>
        </w:rPr>
        <w:t>passes legislation integrating</w:t>
      </w:r>
    </w:p>
    <w:p w14:paraId="4D4408F8" w14:textId="77777777" w:rsidR="002653E8" w:rsidRDefault="003115E3">
      <w:pPr>
        <w:spacing w:line="276" w:lineRule="auto"/>
        <w:ind w:left="203" w:right="1113"/>
        <w:rPr>
          <w:rFonts w:ascii="Gill Sans MT" w:hAnsi="Gill Sans MT"/>
          <w:sz w:val="18"/>
        </w:rPr>
      </w:pPr>
      <w:r>
        <w:rPr>
          <w:rFonts w:ascii="Gill Sans MT" w:hAnsi="Gill Sans MT"/>
          <w:color w:val="231F20"/>
          <w:w w:val="115"/>
          <w:sz w:val="18"/>
        </w:rPr>
        <w:t>§</w:t>
      </w:r>
      <w:r>
        <w:rPr>
          <w:rFonts w:ascii="Arial" w:hAnsi="Arial"/>
          <w:color w:val="231F20"/>
          <w:w w:val="115"/>
          <w:sz w:val="18"/>
        </w:rPr>
        <w:t>129</w:t>
      </w:r>
      <w:r>
        <w:rPr>
          <w:rFonts w:ascii="Gill Sans MT" w:hAnsi="Gill Sans MT"/>
          <w:color w:val="231F20"/>
          <w:w w:val="115"/>
          <w:sz w:val="18"/>
        </w:rPr>
        <w:t>a, which illegalizes “supporting</w:t>
      </w:r>
      <w:r>
        <w:rPr>
          <w:rFonts w:ascii="Gill Sans MT" w:hAnsi="Gill Sans MT"/>
          <w:color w:val="231F20"/>
          <w:w w:val="114"/>
          <w:sz w:val="18"/>
        </w:rPr>
        <w:t xml:space="preserve"> </w:t>
      </w:r>
      <w:r>
        <w:rPr>
          <w:rFonts w:ascii="Gill Sans MT" w:hAnsi="Gill Sans MT"/>
          <w:color w:val="231F20"/>
          <w:w w:val="115"/>
          <w:sz w:val="18"/>
        </w:rPr>
        <w:t>or participating in a terrorist organization,” into the Basic Law.</w:t>
      </w:r>
    </w:p>
    <w:p w14:paraId="4618E065" w14:textId="77777777" w:rsidR="002653E8" w:rsidRDefault="002653E8">
      <w:pPr>
        <w:pStyle w:val="a3"/>
        <w:spacing w:before="4"/>
        <w:rPr>
          <w:rFonts w:ascii="Gill Sans MT"/>
        </w:rPr>
      </w:pPr>
    </w:p>
    <w:p w14:paraId="4365556A" w14:textId="77777777" w:rsidR="002653E8" w:rsidRDefault="003115E3">
      <w:pPr>
        <w:ind w:left="203"/>
        <w:rPr>
          <w:rFonts w:ascii="Arial"/>
          <w:b/>
          <w:sz w:val="18"/>
        </w:rPr>
      </w:pPr>
      <w:r>
        <w:rPr>
          <w:rFonts w:ascii="Arial"/>
          <w:b/>
          <w:color w:val="231F20"/>
          <w:w w:val="115"/>
          <w:sz w:val="18"/>
        </w:rPr>
        <w:t>June 30, 1976</w:t>
      </w:r>
    </w:p>
    <w:p w14:paraId="218A8B5E" w14:textId="77777777" w:rsidR="002653E8" w:rsidRDefault="003115E3">
      <w:pPr>
        <w:spacing w:before="35" w:line="276" w:lineRule="auto"/>
        <w:ind w:left="203" w:right="1147"/>
        <w:rPr>
          <w:rFonts w:ascii="Gill Sans MT"/>
          <w:sz w:val="18"/>
        </w:rPr>
      </w:pPr>
      <w:r>
        <w:rPr>
          <w:rFonts w:ascii="Gill Sans MT"/>
          <w:color w:val="231F20"/>
          <w:w w:val="110"/>
          <w:sz w:val="18"/>
        </w:rPr>
        <w:t>Attorney Klaus Croissant is banned from taking on any more political cases.</w:t>
      </w:r>
    </w:p>
    <w:p w14:paraId="5B11500A" w14:textId="77777777" w:rsidR="002653E8" w:rsidRDefault="002653E8">
      <w:pPr>
        <w:spacing w:line="276" w:lineRule="auto"/>
        <w:rPr>
          <w:rFonts w:ascii="Gill Sans MT"/>
          <w:sz w:val="18"/>
        </w:rPr>
        <w:sectPr w:rsidR="002653E8">
          <w:footerReference w:type="even" r:id="rId516"/>
          <w:pgSz w:w="8640" w:h="12960"/>
          <w:pgMar w:top="1060" w:right="0" w:bottom="280" w:left="0" w:header="0" w:footer="0" w:gutter="0"/>
          <w:cols w:num="2" w:space="720" w:equalWidth="0">
            <w:col w:w="4287" w:space="40"/>
            <w:col w:w="4313"/>
          </w:cols>
        </w:sectPr>
      </w:pPr>
    </w:p>
    <w:p w14:paraId="423886FE" w14:textId="77777777" w:rsidR="002653E8" w:rsidRDefault="002653E8">
      <w:pPr>
        <w:pStyle w:val="a3"/>
        <w:rPr>
          <w:rFonts w:ascii="Gill Sans MT"/>
        </w:rPr>
      </w:pPr>
    </w:p>
    <w:p w14:paraId="0D9FA5AE" w14:textId="77777777" w:rsidR="002653E8" w:rsidRDefault="002653E8">
      <w:pPr>
        <w:pStyle w:val="a3"/>
        <w:rPr>
          <w:rFonts w:ascii="Gill Sans MT"/>
        </w:rPr>
      </w:pPr>
    </w:p>
    <w:p w14:paraId="40A3AACD" w14:textId="77777777" w:rsidR="002653E8" w:rsidRDefault="002653E8">
      <w:pPr>
        <w:rPr>
          <w:rFonts w:ascii="Gill Sans MT"/>
        </w:rPr>
        <w:sectPr w:rsidR="002653E8">
          <w:type w:val="continuous"/>
          <w:pgSz w:w="8640" w:h="12960"/>
          <w:pgMar w:top="0" w:right="0" w:bottom="0" w:left="0" w:header="720" w:footer="720" w:gutter="0"/>
          <w:cols w:space="720"/>
        </w:sectPr>
      </w:pPr>
    </w:p>
    <w:p w14:paraId="61DC42DA" w14:textId="77777777" w:rsidR="002653E8" w:rsidRDefault="002653E8">
      <w:pPr>
        <w:pStyle w:val="a3"/>
        <w:spacing w:before="3"/>
        <w:rPr>
          <w:rFonts w:ascii="Gill Sans MT"/>
          <w:sz w:val="23"/>
        </w:rPr>
      </w:pPr>
    </w:p>
    <w:p w14:paraId="59FD90DE" w14:textId="77777777" w:rsidR="002653E8" w:rsidRDefault="003115E3">
      <w:pPr>
        <w:ind w:left="1327"/>
        <w:rPr>
          <w:sz w:val="18"/>
        </w:rPr>
      </w:pPr>
      <w:r>
        <w:rPr>
          <w:color w:val="231F20"/>
          <w:w w:val="120"/>
          <w:sz w:val="18"/>
        </w:rPr>
        <w:t>a chronology</w:t>
      </w:r>
      <w:r>
        <w:rPr>
          <w:color w:val="231F20"/>
          <w:sz w:val="18"/>
        </w:rPr>
        <w:t xml:space="preserve"> </w:t>
      </w:r>
    </w:p>
    <w:p w14:paraId="6FAB6F29" w14:textId="77777777" w:rsidR="002653E8" w:rsidRDefault="003115E3">
      <w:pPr>
        <w:spacing w:before="5"/>
        <w:ind w:left="1327"/>
        <w:rPr>
          <w:sz w:val="18"/>
        </w:rPr>
      </w:pPr>
      <w:r>
        <w:rPr>
          <w:color w:val="231F20"/>
          <w:w w:val="105"/>
          <w:sz w:val="18"/>
        </w:rPr>
        <w:t>june 30, 1976</w:t>
      </w:r>
      <w:r>
        <w:rPr>
          <w:color w:val="231F20"/>
          <w:sz w:val="18"/>
        </w:rPr>
        <w:t xml:space="preserve"> </w:t>
      </w:r>
    </w:p>
    <w:p w14:paraId="1ED461EC" w14:textId="77777777" w:rsidR="002653E8" w:rsidRDefault="003115E3">
      <w:pPr>
        <w:pStyle w:val="a3"/>
        <w:spacing w:before="2"/>
        <w:rPr>
          <w:sz w:val="19"/>
        </w:rPr>
      </w:pPr>
      <w:r>
        <w:br w:type="column"/>
      </w:r>
    </w:p>
    <w:p w14:paraId="54BD4F1C" w14:textId="77777777" w:rsidR="002653E8" w:rsidRDefault="003115E3">
      <w:pPr>
        <w:ind w:left="1346" w:right="1141"/>
        <w:jc w:val="center"/>
        <w:rPr>
          <w:sz w:val="18"/>
        </w:rPr>
      </w:pPr>
      <w:r>
        <w:rPr>
          <w:color w:val="231F20"/>
          <w:sz w:val="18"/>
        </w:rPr>
        <w:t xml:space="preserve">601 </w:t>
      </w:r>
    </w:p>
    <w:p w14:paraId="7D90BDBC" w14:textId="77777777" w:rsidR="002653E8" w:rsidRDefault="002653E8">
      <w:pPr>
        <w:jc w:val="center"/>
        <w:rPr>
          <w:sz w:val="18"/>
        </w:rPr>
        <w:sectPr w:rsidR="002653E8">
          <w:type w:val="continuous"/>
          <w:pgSz w:w="8640" w:h="12960"/>
          <w:pgMar w:top="0" w:right="0" w:bottom="0" w:left="0" w:header="720" w:footer="720" w:gutter="0"/>
          <w:cols w:num="2" w:space="720" w:equalWidth="0">
            <w:col w:w="2922" w:space="2892"/>
            <w:col w:w="2826"/>
          </w:cols>
        </w:sectPr>
      </w:pPr>
    </w:p>
    <w:p w14:paraId="34CBC9F6" w14:textId="77777777" w:rsidR="002653E8" w:rsidRDefault="003115E3">
      <w:pPr>
        <w:spacing w:before="91"/>
        <w:ind w:left="1147"/>
        <w:rPr>
          <w:rFonts w:ascii="Arial"/>
          <w:b/>
          <w:sz w:val="18"/>
        </w:rPr>
      </w:pPr>
      <w:r>
        <w:rPr>
          <w:rFonts w:ascii="Arial"/>
          <w:b/>
          <w:color w:val="231F20"/>
          <w:w w:val="115"/>
          <w:sz w:val="18"/>
        </w:rPr>
        <w:lastRenderedPageBreak/>
        <w:t>July 1976</w:t>
      </w:r>
    </w:p>
    <w:p w14:paraId="090FB52B" w14:textId="77777777" w:rsidR="002653E8" w:rsidRDefault="003115E3">
      <w:pPr>
        <w:spacing w:before="34" w:line="273" w:lineRule="auto"/>
        <w:ind w:left="1147" w:right="3"/>
        <w:rPr>
          <w:rFonts w:ascii="Gill Sans MT"/>
          <w:sz w:val="18"/>
        </w:rPr>
      </w:pPr>
      <w:r>
        <w:rPr>
          <w:rFonts w:ascii="Gill Sans MT"/>
          <w:color w:val="231F20"/>
          <w:w w:val="110"/>
          <w:sz w:val="18"/>
        </w:rPr>
        <w:t xml:space="preserve">The influential French monthly </w:t>
      </w:r>
      <w:r>
        <w:rPr>
          <w:rFonts w:ascii="Gill Sans MT"/>
          <w:color w:val="231F20"/>
          <w:w w:val="105"/>
          <w:sz w:val="18"/>
        </w:rPr>
        <w:t>newspaper</w:t>
      </w:r>
      <w:r>
        <w:rPr>
          <w:rFonts w:ascii="Gill Sans MT"/>
          <w:color w:val="231F20"/>
          <w:spacing w:val="-33"/>
          <w:w w:val="105"/>
          <w:sz w:val="18"/>
        </w:rPr>
        <w:t xml:space="preserve"> </w:t>
      </w:r>
      <w:r>
        <w:rPr>
          <w:rFonts w:ascii="Lucida Sans"/>
          <w:i/>
          <w:color w:val="231F20"/>
          <w:w w:val="105"/>
          <w:sz w:val="18"/>
        </w:rPr>
        <w:t>Le</w:t>
      </w:r>
      <w:r>
        <w:rPr>
          <w:rFonts w:ascii="Lucida Sans"/>
          <w:i/>
          <w:color w:val="231F20"/>
          <w:spacing w:val="-40"/>
          <w:w w:val="105"/>
          <w:sz w:val="18"/>
        </w:rPr>
        <w:t xml:space="preserve"> </w:t>
      </w:r>
      <w:r>
        <w:rPr>
          <w:rFonts w:ascii="Lucida Sans"/>
          <w:i/>
          <w:color w:val="231F20"/>
          <w:w w:val="105"/>
          <w:sz w:val="18"/>
        </w:rPr>
        <w:t>Monde</w:t>
      </w:r>
      <w:r>
        <w:rPr>
          <w:rFonts w:ascii="Lucida Sans"/>
          <w:i/>
          <w:color w:val="231F20"/>
          <w:spacing w:val="-40"/>
          <w:w w:val="105"/>
          <w:sz w:val="18"/>
        </w:rPr>
        <w:t xml:space="preserve"> </w:t>
      </w:r>
      <w:r>
        <w:rPr>
          <w:rFonts w:ascii="Lucida Sans"/>
          <w:i/>
          <w:color w:val="231F20"/>
          <w:w w:val="105"/>
          <w:sz w:val="18"/>
        </w:rPr>
        <w:t>Diplomatique</w:t>
      </w:r>
      <w:r>
        <w:rPr>
          <w:rFonts w:ascii="Lucida Sans"/>
          <w:i/>
          <w:color w:val="231F20"/>
          <w:w w:val="94"/>
          <w:sz w:val="18"/>
        </w:rPr>
        <w:t xml:space="preserve"> </w:t>
      </w:r>
      <w:r>
        <w:rPr>
          <w:rFonts w:ascii="Gill Sans MT"/>
          <w:color w:val="231F20"/>
          <w:w w:val="110"/>
          <w:sz w:val="18"/>
        </w:rPr>
        <w:t xml:space="preserve">interviews the </w:t>
      </w:r>
      <w:r w:rsidR="00C507A5">
        <w:rPr>
          <w:rFonts w:ascii="Gill Sans MT"/>
          <w:color w:val="231F20"/>
          <w:w w:val="110"/>
          <w:sz w:val="18"/>
        </w:rPr>
        <w:t>red army faction</w:t>
      </w:r>
      <w:r>
        <w:rPr>
          <w:rFonts w:ascii="Gill Sans MT"/>
          <w:color w:val="231F20"/>
          <w:w w:val="110"/>
          <w:sz w:val="18"/>
        </w:rPr>
        <w:t xml:space="preserve"> prisoners and their</w:t>
      </w:r>
      <w:r>
        <w:rPr>
          <w:rFonts w:ascii="Gill Sans MT"/>
          <w:color w:val="231F20"/>
          <w:spacing w:val="-6"/>
          <w:w w:val="110"/>
          <w:sz w:val="18"/>
        </w:rPr>
        <w:t xml:space="preserve"> </w:t>
      </w:r>
      <w:r>
        <w:rPr>
          <w:rFonts w:ascii="Gill Sans MT"/>
          <w:color w:val="231F20"/>
          <w:w w:val="110"/>
          <w:sz w:val="18"/>
        </w:rPr>
        <w:t>attorneys.</w:t>
      </w:r>
    </w:p>
    <w:p w14:paraId="3AA5DB15" w14:textId="77777777" w:rsidR="002653E8" w:rsidRDefault="002653E8">
      <w:pPr>
        <w:pStyle w:val="a3"/>
        <w:spacing w:before="8"/>
        <w:rPr>
          <w:rFonts w:ascii="Gill Sans MT"/>
        </w:rPr>
      </w:pPr>
    </w:p>
    <w:p w14:paraId="07D291C5" w14:textId="77777777" w:rsidR="002653E8" w:rsidRDefault="003115E3">
      <w:pPr>
        <w:ind w:left="1147"/>
        <w:rPr>
          <w:rFonts w:ascii="Arial"/>
          <w:b/>
          <w:sz w:val="18"/>
        </w:rPr>
      </w:pPr>
      <w:r>
        <w:rPr>
          <w:rFonts w:ascii="Arial"/>
          <w:b/>
          <w:color w:val="231F20"/>
          <w:w w:val="115"/>
          <w:sz w:val="18"/>
        </w:rPr>
        <w:t>July 7, 1976</w:t>
      </w:r>
    </w:p>
    <w:p w14:paraId="342EDD94" w14:textId="77777777" w:rsidR="002653E8" w:rsidRDefault="00C507A5">
      <w:pPr>
        <w:spacing w:before="34" w:line="276" w:lineRule="auto"/>
        <w:ind w:left="1147" w:right="16"/>
        <w:rPr>
          <w:rFonts w:ascii="Gill Sans MT" w:hAnsi="Gill Sans MT"/>
          <w:sz w:val="18"/>
        </w:rPr>
      </w:pPr>
      <w:r>
        <w:rPr>
          <w:rFonts w:ascii="Gill Sans MT" w:hAnsi="Gill Sans MT"/>
          <w:color w:val="231F20"/>
          <w:w w:val="115"/>
          <w:sz w:val="18"/>
        </w:rPr>
        <w:t>red army faction</w:t>
      </w:r>
      <w:r w:rsidR="003115E3">
        <w:rPr>
          <w:rFonts w:ascii="Gill Sans MT" w:hAnsi="Gill Sans MT"/>
          <w:color w:val="231F20"/>
          <w:spacing w:val="-32"/>
          <w:w w:val="115"/>
          <w:sz w:val="18"/>
        </w:rPr>
        <w:t xml:space="preserve"> </w:t>
      </w:r>
      <w:r w:rsidR="003115E3">
        <w:rPr>
          <w:rFonts w:ascii="Gill Sans MT" w:hAnsi="Gill Sans MT"/>
          <w:color w:val="231F20"/>
          <w:w w:val="115"/>
          <w:sz w:val="18"/>
        </w:rPr>
        <w:t>member</w:t>
      </w:r>
      <w:r w:rsidR="003115E3">
        <w:rPr>
          <w:rFonts w:ascii="Gill Sans MT" w:hAnsi="Gill Sans MT"/>
          <w:color w:val="231F20"/>
          <w:spacing w:val="-32"/>
          <w:w w:val="115"/>
          <w:sz w:val="18"/>
        </w:rPr>
        <w:t xml:space="preserve"> </w:t>
      </w:r>
      <w:r w:rsidR="003115E3">
        <w:rPr>
          <w:rFonts w:ascii="Gill Sans MT" w:hAnsi="Gill Sans MT"/>
          <w:color w:val="231F20"/>
          <w:w w:val="115"/>
          <w:sz w:val="18"/>
        </w:rPr>
        <w:t>Monika</w:t>
      </w:r>
      <w:r w:rsidR="003115E3">
        <w:rPr>
          <w:rFonts w:ascii="Gill Sans MT" w:hAnsi="Gill Sans MT"/>
          <w:color w:val="231F20"/>
          <w:spacing w:val="-32"/>
          <w:w w:val="115"/>
          <w:sz w:val="18"/>
        </w:rPr>
        <w:t xml:space="preserve"> </w:t>
      </w:r>
      <w:r w:rsidR="003115E3">
        <w:rPr>
          <w:rFonts w:ascii="Gill Sans MT" w:hAnsi="Gill Sans MT"/>
          <w:color w:val="231F20"/>
          <w:w w:val="115"/>
          <w:sz w:val="18"/>
        </w:rPr>
        <w:t>Berberich</w:t>
      </w:r>
      <w:r w:rsidR="003115E3">
        <w:rPr>
          <w:rFonts w:ascii="Gill Sans MT" w:hAnsi="Gill Sans MT"/>
          <w:color w:val="231F20"/>
          <w:spacing w:val="-32"/>
          <w:w w:val="115"/>
          <w:sz w:val="18"/>
        </w:rPr>
        <w:t xml:space="preserve"> </w:t>
      </w:r>
      <w:r w:rsidR="003115E3">
        <w:rPr>
          <w:rFonts w:ascii="Gill Sans MT" w:hAnsi="Gill Sans MT"/>
          <w:color w:val="231F20"/>
          <w:w w:val="115"/>
          <w:sz w:val="18"/>
        </w:rPr>
        <w:t>and</w:t>
      </w:r>
      <w:r w:rsidR="003115E3">
        <w:rPr>
          <w:rFonts w:ascii="Gill Sans MT" w:hAnsi="Gill Sans MT"/>
          <w:color w:val="231F20"/>
          <w:w w:val="117"/>
          <w:sz w:val="18"/>
        </w:rPr>
        <w:t xml:space="preserve"> </w:t>
      </w:r>
      <w:r w:rsidR="003115E3">
        <w:rPr>
          <w:rFonts w:ascii="Gill Sans MT" w:hAnsi="Gill Sans MT"/>
          <w:color w:val="231F20"/>
          <w:w w:val="115"/>
          <w:sz w:val="18"/>
        </w:rPr>
        <w:t xml:space="preserve">2JM members, Juliane Plambeck, Gabriele Rollnick, and Inge Viett overpower a guard and scale the wall, escaping from the Lehrter </w:t>
      </w:r>
      <w:r w:rsidR="003115E3">
        <w:rPr>
          <w:rFonts w:ascii="Gill Sans MT" w:hAnsi="Gill Sans MT"/>
          <w:color w:val="231F20"/>
          <w:spacing w:val="-4"/>
          <w:w w:val="115"/>
          <w:sz w:val="18"/>
        </w:rPr>
        <w:t>Women’s</w:t>
      </w:r>
      <w:r w:rsidR="003115E3">
        <w:rPr>
          <w:rFonts w:ascii="Gill Sans MT" w:hAnsi="Gill Sans MT"/>
          <w:color w:val="231F20"/>
          <w:spacing w:val="-21"/>
          <w:w w:val="115"/>
          <w:sz w:val="18"/>
        </w:rPr>
        <w:t xml:space="preserve"> </w:t>
      </w:r>
      <w:r w:rsidR="003115E3">
        <w:rPr>
          <w:rFonts w:ascii="Gill Sans MT" w:hAnsi="Gill Sans MT"/>
          <w:color w:val="231F20"/>
          <w:w w:val="115"/>
          <w:sz w:val="18"/>
        </w:rPr>
        <w:t>Prison</w:t>
      </w:r>
      <w:r w:rsidR="003115E3">
        <w:rPr>
          <w:rFonts w:ascii="Gill Sans MT" w:hAnsi="Gill Sans MT"/>
          <w:color w:val="231F20"/>
          <w:spacing w:val="-21"/>
          <w:w w:val="115"/>
          <w:sz w:val="18"/>
        </w:rPr>
        <w:t xml:space="preserve"> </w:t>
      </w:r>
      <w:r w:rsidR="003115E3">
        <w:rPr>
          <w:rFonts w:ascii="Gill Sans MT" w:hAnsi="Gill Sans MT"/>
          <w:color w:val="231F20"/>
          <w:w w:val="115"/>
          <w:sz w:val="18"/>
        </w:rPr>
        <w:t>in</w:t>
      </w:r>
      <w:r w:rsidR="003115E3">
        <w:rPr>
          <w:rFonts w:ascii="Gill Sans MT" w:hAnsi="Gill Sans MT"/>
          <w:color w:val="231F20"/>
          <w:spacing w:val="-21"/>
          <w:w w:val="115"/>
          <w:sz w:val="18"/>
        </w:rPr>
        <w:t xml:space="preserve"> </w:t>
      </w:r>
      <w:r w:rsidR="003115E3">
        <w:rPr>
          <w:rFonts w:ascii="Gill Sans MT" w:hAnsi="Gill Sans MT"/>
          <w:color w:val="231F20"/>
          <w:spacing w:val="-3"/>
          <w:w w:val="115"/>
          <w:sz w:val="18"/>
        </w:rPr>
        <w:t>West</w:t>
      </w:r>
      <w:r w:rsidR="003115E3">
        <w:rPr>
          <w:rFonts w:ascii="Gill Sans MT" w:hAnsi="Gill Sans MT"/>
          <w:color w:val="231F20"/>
          <w:spacing w:val="-21"/>
          <w:w w:val="115"/>
          <w:sz w:val="18"/>
        </w:rPr>
        <w:t xml:space="preserve"> </w:t>
      </w:r>
      <w:r w:rsidR="003115E3">
        <w:rPr>
          <w:rFonts w:ascii="Gill Sans MT" w:hAnsi="Gill Sans MT"/>
          <w:color w:val="231F20"/>
          <w:w w:val="115"/>
          <w:sz w:val="18"/>
        </w:rPr>
        <w:t>Berlin.</w:t>
      </w:r>
    </w:p>
    <w:p w14:paraId="04F73449" w14:textId="77777777" w:rsidR="002653E8" w:rsidRDefault="002653E8">
      <w:pPr>
        <w:pStyle w:val="a3"/>
        <w:spacing w:before="6"/>
        <w:rPr>
          <w:rFonts w:ascii="Gill Sans MT"/>
        </w:rPr>
      </w:pPr>
    </w:p>
    <w:p w14:paraId="1A9D8CDE" w14:textId="77777777" w:rsidR="002653E8" w:rsidRDefault="003115E3">
      <w:pPr>
        <w:ind w:left="1147"/>
        <w:rPr>
          <w:rFonts w:ascii="Arial"/>
          <w:b/>
          <w:sz w:val="18"/>
        </w:rPr>
      </w:pPr>
      <w:r>
        <w:rPr>
          <w:rFonts w:ascii="Arial"/>
          <w:b/>
          <w:color w:val="231F20"/>
          <w:w w:val="115"/>
          <w:sz w:val="18"/>
        </w:rPr>
        <w:t>July 16, 1976</w:t>
      </w:r>
    </w:p>
    <w:p w14:paraId="2931EAE7" w14:textId="77777777" w:rsidR="002653E8" w:rsidRDefault="003115E3">
      <w:pPr>
        <w:spacing w:before="35" w:line="276" w:lineRule="auto"/>
        <w:ind w:left="1147" w:right="45"/>
        <w:rPr>
          <w:rFonts w:ascii="Gill Sans MT"/>
          <w:sz w:val="18"/>
        </w:rPr>
      </w:pPr>
      <w:r>
        <w:rPr>
          <w:rFonts w:ascii="Gill Sans MT"/>
          <w:color w:val="231F20"/>
          <w:w w:val="110"/>
          <w:sz w:val="18"/>
        </w:rPr>
        <w:t>Attorney</w:t>
      </w:r>
      <w:r>
        <w:rPr>
          <w:rFonts w:ascii="Gill Sans MT"/>
          <w:color w:val="231F20"/>
          <w:spacing w:val="-21"/>
          <w:w w:val="110"/>
          <w:sz w:val="18"/>
        </w:rPr>
        <w:t xml:space="preserve"> </w:t>
      </w:r>
      <w:r>
        <w:rPr>
          <w:rFonts w:ascii="Gill Sans MT"/>
          <w:color w:val="231F20"/>
          <w:w w:val="110"/>
          <w:sz w:val="18"/>
        </w:rPr>
        <w:t>Klaus</w:t>
      </w:r>
      <w:r>
        <w:rPr>
          <w:rFonts w:ascii="Gill Sans MT"/>
          <w:color w:val="231F20"/>
          <w:spacing w:val="-21"/>
          <w:w w:val="110"/>
          <w:sz w:val="18"/>
        </w:rPr>
        <w:t xml:space="preserve"> </w:t>
      </w:r>
      <w:r>
        <w:rPr>
          <w:rFonts w:ascii="Gill Sans MT"/>
          <w:color w:val="231F20"/>
          <w:w w:val="110"/>
          <w:sz w:val="18"/>
        </w:rPr>
        <w:t>Croissant</w:t>
      </w:r>
      <w:r>
        <w:rPr>
          <w:rFonts w:ascii="Gill Sans MT"/>
          <w:color w:val="231F20"/>
          <w:spacing w:val="-21"/>
          <w:w w:val="110"/>
          <w:sz w:val="18"/>
        </w:rPr>
        <w:t xml:space="preserve"> </w:t>
      </w:r>
      <w:r>
        <w:rPr>
          <w:rFonts w:ascii="Gill Sans MT"/>
          <w:color w:val="231F20"/>
          <w:w w:val="110"/>
          <w:sz w:val="18"/>
        </w:rPr>
        <w:t>is</w:t>
      </w:r>
      <w:r>
        <w:rPr>
          <w:rFonts w:ascii="Gill Sans MT"/>
          <w:color w:val="231F20"/>
          <w:spacing w:val="-21"/>
          <w:w w:val="110"/>
          <w:sz w:val="18"/>
        </w:rPr>
        <w:t xml:space="preserve"> </w:t>
      </w:r>
      <w:r>
        <w:rPr>
          <w:rFonts w:ascii="Gill Sans MT"/>
          <w:color w:val="231F20"/>
          <w:w w:val="110"/>
          <w:sz w:val="18"/>
        </w:rPr>
        <w:t>arrested and charged with supporting a criminal organization after he announces the formation of an International Commission into the death of ulrike</w:t>
      </w:r>
      <w:r>
        <w:rPr>
          <w:rFonts w:ascii="Gill Sans MT"/>
          <w:color w:val="231F20"/>
          <w:spacing w:val="-6"/>
          <w:w w:val="110"/>
          <w:sz w:val="18"/>
        </w:rPr>
        <w:t xml:space="preserve"> </w:t>
      </w:r>
      <w:r>
        <w:rPr>
          <w:rFonts w:ascii="Gill Sans MT"/>
          <w:color w:val="231F20"/>
          <w:w w:val="110"/>
          <w:sz w:val="18"/>
        </w:rPr>
        <w:t>Meinhof.</w:t>
      </w:r>
    </w:p>
    <w:p w14:paraId="7B0D79FA" w14:textId="77777777" w:rsidR="002653E8" w:rsidRDefault="002653E8">
      <w:pPr>
        <w:pStyle w:val="a3"/>
        <w:spacing w:before="6"/>
        <w:rPr>
          <w:rFonts w:ascii="Gill Sans MT"/>
        </w:rPr>
      </w:pPr>
    </w:p>
    <w:p w14:paraId="4F0D78C3" w14:textId="77777777" w:rsidR="002653E8" w:rsidRDefault="003115E3">
      <w:pPr>
        <w:ind w:left="1147"/>
        <w:rPr>
          <w:rFonts w:ascii="Arial"/>
          <w:b/>
          <w:sz w:val="18"/>
        </w:rPr>
      </w:pPr>
      <w:r>
        <w:rPr>
          <w:rFonts w:ascii="Arial"/>
          <w:b/>
          <w:color w:val="231F20"/>
          <w:w w:val="115"/>
          <w:sz w:val="18"/>
        </w:rPr>
        <w:t>July 21, 1976</w:t>
      </w:r>
    </w:p>
    <w:p w14:paraId="52DE9DF1" w14:textId="77777777" w:rsidR="002653E8" w:rsidRDefault="003115E3">
      <w:pPr>
        <w:spacing w:before="35" w:line="276" w:lineRule="auto"/>
        <w:ind w:left="1147" w:right="-17"/>
        <w:rPr>
          <w:rFonts w:ascii="Gill Sans MT"/>
          <w:sz w:val="18"/>
        </w:rPr>
      </w:pPr>
      <w:r>
        <w:rPr>
          <w:rFonts w:ascii="Gill Sans MT"/>
          <w:color w:val="231F20"/>
          <w:w w:val="110"/>
          <w:sz w:val="18"/>
        </w:rPr>
        <w:t>Rolf Pohle, one of the prisoners exchanged for Peter Lorenz</w:t>
      </w:r>
      <w:r>
        <w:rPr>
          <w:rFonts w:ascii="Gill Sans MT"/>
          <w:color w:val="231F20"/>
          <w:spacing w:val="-38"/>
          <w:w w:val="110"/>
          <w:sz w:val="18"/>
        </w:rPr>
        <w:t xml:space="preserve"> </w:t>
      </w:r>
      <w:r>
        <w:rPr>
          <w:rFonts w:ascii="Gill Sans MT"/>
          <w:color w:val="231F20"/>
          <w:w w:val="110"/>
          <w:sz w:val="18"/>
        </w:rPr>
        <w:t>in</w:t>
      </w:r>
      <w:r>
        <w:rPr>
          <w:rFonts w:ascii="Gill Sans MT"/>
          <w:color w:val="231F20"/>
          <w:spacing w:val="-10"/>
          <w:w w:val="110"/>
          <w:sz w:val="18"/>
        </w:rPr>
        <w:t xml:space="preserve"> </w:t>
      </w:r>
      <w:r>
        <w:rPr>
          <w:rFonts w:ascii="Arial"/>
          <w:color w:val="231F20"/>
          <w:w w:val="110"/>
          <w:sz w:val="18"/>
        </w:rPr>
        <w:t>1975</w:t>
      </w:r>
      <w:r>
        <w:rPr>
          <w:rFonts w:ascii="Gill Sans MT"/>
          <w:color w:val="231F20"/>
          <w:w w:val="110"/>
          <w:sz w:val="18"/>
        </w:rPr>
        <w:t>,</w:t>
      </w:r>
      <w:r>
        <w:rPr>
          <w:rFonts w:ascii="Gill Sans MT"/>
          <w:color w:val="231F20"/>
          <w:w w:val="126"/>
          <w:sz w:val="18"/>
        </w:rPr>
        <w:t xml:space="preserve"> </w:t>
      </w:r>
      <w:r>
        <w:rPr>
          <w:rFonts w:ascii="Gill Sans MT"/>
          <w:color w:val="231F20"/>
          <w:w w:val="110"/>
          <w:sz w:val="18"/>
        </w:rPr>
        <w:t xml:space="preserve">is arrested by </w:t>
      </w:r>
      <w:r>
        <w:rPr>
          <w:rFonts w:ascii="Gill Sans MT"/>
          <w:color w:val="231F20"/>
          <w:spacing w:val="-3"/>
          <w:w w:val="110"/>
          <w:sz w:val="18"/>
        </w:rPr>
        <w:t xml:space="preserve">West </w:t>
      </w:r>
      <w:r>
        <w:rPr>
          <w:rFonts w:ascii="Gill Sans MT"/>
          <w:color w:val="231F20"/>
          <w:w w:val="110"/>
          <w:sz w:val="18"/>
        </w:rPr>
        <w:t>German police in Athens,</w:t>
      </w:r>
      <w:r>
        <w:rPr>
          <w:rFonts w:ascii="Gill Sans MT"/>
          <w:color w:val="231F20"/>
          <w:spacing w:val="-10"/>
          <w:w w:val="110"/>
          <w:sz w:val="18"/>
        </w:rPr>
        <w:t xml:space="preserve"> </w:t>
      </w:r>
      <w:r>
        <w:rPr>
          <w:rFonts w:ascii="Gill Sans MT"/>
          <w:color w:val="231F20"/>
          <w:w w:val="110"/>
          <w:sz w:val="18"/>
        </w:rPr>
        <w:t>Greece.</w:t>
      </w:r>
    </w:p>
    <w:p w14:paraId="415DFCDE" w14:textId="77777777" w:rsidR="002653E8" w:rsidRDefault="00C507A5">
      <w:pPr>
        <w:spacing w:line="276" w:lineRule="auto"/>
        <w:ind w:left="1147" w:right="95"/>
        <w:rPr>
          <w:rFonts w:ascii="Gill Sans MT"/>
          <w:sz w:val="18"/>
        </w:rPr>
      </w:pPr>
      <w:r>
        <w:rPr>
          <w:rFonts w:ascii="Gill Sans MT"/>
          <w:color w:val="231F20"/>
          <w:w w:val="110"/>
          <w:sz w:val="18"/>
        </w:rPr>
        <w:t>red army faction</w:t>
      </w:r>
      <w:r w:rsidR="003115E3">
        <w:rPr>
          <w:rFonts w:ascii="Gill Sans MT"/>
          <w:color w:val="231F20"/>
          <w:w w:val="110"/>
          <w:sz w:val="18"/>
        </w:rPr>
        <w:t xml:space="preserve"> member Monika Berberich, who escaped from a West Berlin prison with three other women on July </w:t>
      </w:r>
      <w:r w:rsidR="003115E3">
        <w:rPr>
          <w:rFonts w:ascii="Arial"/>
          <w:color w:val="231F20"/>
          <w:w w:val="110"/>
          <w:sz w:val="18"/>
        </w:rPr>
        <w:t>7</w:t>
      </w:r>
      <w:r w:rsidR="003115E3">
        <w:rPr>
          <w:rFonts w:ascii="Gill Sans MT"/>
          <w:color w:val="231F20"/>
          <w:w w:val="110"/>
          <w:sz w:val="18"/>
        </w:rPr>
        <w:t>, is rearrested.</w:t>
      </w:r>
    </w:p>
    <w:p w14:paraId="4DBAB414" w14:textId="77777777" w:rsidR="002653E8" w:rsidRDefault="002653E8">
      <w:pPr>
        <w:pStyle w:val="a3"/>
        <w:spacing w:before="3"/>
        <w:rPr>
          <w:rFonts w:ascii="Gill Sans MT"/>
        </w:rPr>
      </w:pPr>
    </w:p>
    <w:p w14:paraId="0E9B3E88" w14:textId="77777777" w:rsidR="002653E8" w:rsidRDefault="003115E3">
      <w:pPr>
        <w:ind w:left="1147"/>
        <w:rPr>
          <w:rFonts w:ascii="Arial" w:hAnsi="Arial"/>
          <w:b/>
          <w:sz w:val="18"/>
        </w:rPr>
      </w:pPr>
      <w:r>
        <w:rPr>
          <w:rFonts w:ascii="Arial" w:hAnsi="Arial"/>
          <w:b/>
          <w:color w:val="231F20"/>
          <w:w w:val="115"/>
          <w:sz w:val="18"/>
        </w:rPr>
        <w:t>August 18–19, 1976</w:t>
      </w:r>
    </w:p>
    <w:p w14:paraId="74BAA405" w14:textId="77777777" w:rsidR="002653E8" w:rsidRDefault="003115E3">
      <w:pPr>
        <w:spacing w:before="34" w:line="276" w:lineRule="auto"/>
        <w:ind w:left="1147" w:right="61"/>
        <w:rPr>
          <w:rFonts w:ascii="Gill Sans MT" w:hAnsi="Gill Sans MT"/>
          <w:sz w:val="18"/>
        </w:rPr>
      </w:pPr>
      <w:r>
        <w:rPr>
          <w:rFonts w:ascii="Gill Sans MT" w:hAnsi="Gill Sans MT"/>
          <w:color w:val="231F20"/>
          <w:w w:val="110"/>
          <w:sz w:val="18"/>
        </w:rPr>
        <w:t xml:space="preserve">Left bookstores and publishers in </w:t>
      </w:r>
      <w:r>
        <w:rPr>
          <w:rFonts w:ascii="Gill Sans MT" w:hAnsi="Gill Sans MT"/>
          <w:color w:val="231F20"/>
          <w:spacing w:val="-3"/>
          <w:w w:val="110"/>
          <w:sz w:val="18"/>
        </w:rPr>
        <w:t xml:space="preserve">West </w:t>
      </w:r>
      <w:r>
        <w:rPr>
          <w:rFonts w:ascii="Gill Sans MT" w:hAnsi="Gill Sans MT"/>
          <w:color w:val="231F20"/>
          <w:w w:val="110"/>
          <w:sz w:val="18"/>
        </w:rPr>
        <w:t>Berlin, Hamburg, Bochum, Essen, Cologne, Heidelberg, Tübingen, and Munich are  raided in connection with §</w:t>
      </w:r>
      <w:r>
        <w:rPr>
          <w:rFonts w:ascii="Arial" w:hAnsi="Arial"/>
          <w:color w:val="231F20"/>
          <w:w w:val="110"/>
          <w:sz w:val="18"/>
        </w:rPr>
        <w:t>88</w:t>
      </w:r>
      <w:r>
        <w:rPr>
          <w:rFonts w:ascii="Gill Sans MT" w:hAnsi="Gill Sans MT"/>
          <w:color w:val="231F20"/>
          <w:w w:val="110"/>
          <w:sz w:val="18"/>
        </w:rPr>
        <w:t>a. Books</w:t>
      </w:r>
      <w:r>
        <w:rPr>
          <w:rFonts w:ascii="Gill Sans MT" w:hAnsi="Gill Sans MT"/>
          <w:color w:val="231F20"/>
          <w:spacing w:val="-7"/>
          <w:w w:val="110"/>
          <w:sz w:val="18"/>
        </w:rPr>
        <w:t xml:space="preserve"> </w:t>
      </w:r>
      <w:r>
        <w:rPr>
          <w:rFonts w:ascii="Gill Sans MT" w:hAnsi="Gill Sans MT"/>
          <w:color w:val="231F20"/>
          <w:w w:val="110"/>
          <w:sz w:val="18"/>
        </w:rPr>
        <w:t>and</w:t>
      </w:r>
    </w:p>
    <w:p w14:paraId="373351FF" w14:textId="77777777" w:rsidR="002653E8" w:rsidRDefault="003115E3">
      <w:pPr>
        <w:spacing w:line="276" w:lineRule="auto"/>
        <w:ind w:left="1147" w:right="8"/>
        <w:jc w:val="both"/>
        <w:rPr>
          <w:rFonts w:ascii="Gill Sans MT"/>
          <w:sz w:val="18"/>
        </w:rPr>
      </w:pPr>
      <w:r>
        <w:rPr>
          <w:rFonts w:ascii="Gill Sans MT"/>
          <w:color w:val="231F20"/>
          <w:w w:val="115"/>
          <w:sz w:val="18"/>
        </w:rPr>
        <w:t>magazines</w:t>
      </w:r>
      <w:r>
        <w:rPr>
          <w:rFonts w:ascii="Gill Sans MT"/>
          <w:color w:val="231F20"/>
          <w:spacing w:val="-13"/>
          <w:w w:val="115"/>
          <w:sz w:val="18"/>
        </w:rPr>
        <w:t xml:space="preserve"> </w:t>
      </w:r>
      <w:r>
        <w:rPr>
          <w:rFonts w:ascii="Gill Sans MT"/>
          <w:color w:val="231F20"/>
          <w:w w:val="115"/>
          <w:sz w:val="18"/>
        </w:rPr>
        <w:t>are</w:t>
      </w:r>
      <w:r>
        <w:rPr>
          <w:rFonts w:ascii="Gill Sans MT"/>
          <w:color w:val="231F20"/>
          <w:spacing w:val="-13"/>
          <w:w w:val="115"/>
          <w:sz w:val="18"/>
        </w:rPr>
        <w:t xml:space="preserve"> </w:t>
      </w:r>
      <w:r>
        <w:rPr>
          <w:rFonts w:ascii="Gill Sans MT"/>
          <w:color w:val="231F20"/>
          <w:w w:val="115"/>
          <w:sz w:val="18"/>
        </w:rPr>
        <w:t>seized</w:t>
      </w:r>
      <w:r>
        <w:rPr>
          <w:rFonts w:ascii="Gill Sans MT"/>
          <w:color w:val="231F20"/>
          <w:spacing w:val="-13"/>
          <w:w w:val="115"/>
          <w:sz w:val="18"/>
        </w:rPr>
        <w:t xml:space="preserve"> </w:t>
      </w:r>
      <w:r>
        <w:rPr>
          <w:rFonts w:ascii="Gill Sans MT"/>
          <w:color w:val="231F20"/>
          <w:w w:val="115"/>
          <w:sz w:val="18"/>
        </w:rPr>
        <w:t>and</w:t>
      </w:r>
      <w:r>
        <w:rPr>
          <w:rFonts w:ascii="Gill Sans MT"/>
          <w:color w:val="231F20"/>
          <w:spacing w:val="-13"/>
          <w:w w:val="115"/>
          <w:sz w:val="18"/>
        </w:rPr>
        <w:t xml:space="preserve"> </w:t>
      </w:r>
      <w:r>
        <w:rPr>
          <w:rFonts w:ascii="Gill Sans MT"/>
          <w:color w:val="231F20"/>
          <w:w w:val="115"/>
          <w:sz w:val="18"/>
        </w:rPr>
        <w:t>a</w:t>
      </w:r>
      <w:r>
        <w:rPr>
          <w:rFonts w:ascii="Gill Sans MT"/>
          <w:color w:val="231F20"/>
          <w:spacing w:val="-13"/>
          <w:w w:val="115"/>
          <w:sz w:val="18"/>
        </w:rPr>
        <w:t xml:space="preserve"> </w:t>
      </w:r>
      <w:r>
        <w:rPr>
          <w:rFonts w:ascii="Gill Sans MT"/>
          <w:color w:val="231F20"/>
          <w:w w:val="115"/>
          <w:sz w:val="18"/>
        </w:rPr>
        <w:t>Bochum book</w:t>
      </w:r>
      <w:r>
        <w:rPr>
          <w:rFonts w:ascii="Gill Sans MT"/>
          <w:color w:val="231F20"/>
          <w:spacing w:val="-21"/>
          <w:w w:val="115"/>
          <w:sz w:val="18"/>
        </w:rPr>
        <w:t xml:space="preserve"> </w:t>
      </w:r>
      <w:r>
        <w:rPr>
          <w:rFonts w:ascii="Gill Sans MT"/>
          <w:color w:val="231F20"/>
          <w:w w:val="115"/>
          <w:sz w:val="18"/>
        </w:rPr>
        <w:t>dealer</w:t>
      </w:r>
      <w:r>
        <w:rPr>
          <w:rFonts w:ascii="Gill Sans MT"/>
          <w:color w:val="231F20"/>
          <w:spacing w:val="-21"/>
          <w:w w:val="115"/>
          <w:sz w:val="18"/>
        </w:rPr>
        <w:t xml:space="preserve"> </w:t>
      </w:r>
      <w:r>
        <w:rPr>
          <w:rFonts w:ascii="Gill Sans MT"/>
          <w:color w:val="231F20"/>
          <w:w w:val="115"/>
          <w:sz w:val="18"/>
        </w:rPr>
        <w:t>is</w:t>
      </w:r>
      <w:r>
        <w:rPr>
          <w:rFonts w:ascii="Gill Sans MT"/>
          <w:color w:val="231F20"/>
          <w:spacing w:val="-21"/>
          <w:w w:val="115"/>
          <w:sz w:val="18"/>
        </w:rPr>
        <w:t xml:space="preserve"> </w:t>
      </w:r>
      <w:r>
        <w:rPr>
          <w:rFonts w:ascii="Gill Sans MT"/>
          <w:color w:val="231F20"/>
          <w:w w:val="115"/>
          <w:sz w:val="18"/>
        </w:rPr>
        <w:t>arrested</w:t>
      </w:r>
      <w:r>
        <w:rPr>
          <w:rFonts w:ascii="Gill Sans MT"/>
          <w:color w:val="231F20"/>
          <w:spacing w:val="-21"/>
          <w:w w:val="115"/>
          <w:sz w:val="18"/>
        </w:rPr>
        <w:t xml:space="preserve"> </w:t>
      </w:r>
      <w:r>
        <w:rPr>
          <w:rFonts w:ascii="Gill Sans MT"/>
          <w:color w:val="231F20"/>
          <w:w w:val="115"/>
          <w:sz w:val="18"/>
        </w:rPr>
        <w:t>and</w:t>
      </w:r>
      <w:r>
        <w:rPr>
          <w:rFonts w:ascii="Gill Sans MT"/>
          <w:color w:val="231F20"/>
          <w:spacing w:val="-21"/>
          <w:w w:val="115"/>
          <w:sz w:val="18"/>
        </w:rPr>
        <w:t xml:space="preserve"> </w:t>
      </w:r>
      <w:r>
        <w:rPr>
          <w:rFonts w:ascii="Gill Sans MT"/>
          <w:color w:val="231F20"/>
          <w:w w:val="115"/>
          <w:sz w:val="18"/>
        </w:rPr>
        <w:t>held</w:t>
      </w:r>
      <w:r>
        <w:rPr>
          <w:rFonts w:ascii="Gill Sans MT"/>
          <w:color w:val="231F20"/>
          <w:spacing w:val="-21"/>
          <w:w w:val="115"/>
          <w:sz w:val="18"/>
        </w:rPr>
        <w:t xml:space="preserve"> </w:t>
      </w:r>
      <w:r>
        <w:rPr>
          <w:rFonts w:ascii="Gill Sans MT"/>
          <w:color w:val="231F20"/>
          <w:w w:val="115"/>
          <w:sz w:val="18"/>
        </w:rPr>
        <w:t>for a</w:t>
      </w:r>
      <w:r>
        <w:rPr>
          <w:rFonts w:ascii="Gill Sans MT"/>
          <w:color w:val="231F20"/>
          <w:spacing w:val="-8"/>
          <w:w w:val="115"/>
          <w:sz w:val="18"/>
        </w:rPr>
        <w:t xml:space="preserve"> </w:t>
      </w:r>
      <w:r>
        <w:rPr>
          <w:rFonts w:ascii="Gill Sans MT"/>
          <w:color w:val="231F20"/>
          <w:w w:val="115"/>
          <w:sz w:val="18"/>
        </w:rPr>
        <w:t>week.</w:t>
      </w:r>
    </w:p>
    <w:p w14:paraId="46DD78FB" w14:textId="77777777" w:rsidR="002653E8" w:rsidRDefault="003115E3">
      <w:pPr>
        <w:spacing w:before="90"/>
        <w:ind w:left="229"/>
        <w:rPr>
          <w:rFonts w:ascii="Arial"/>
          <w:b/>
          <w:sz w:val="18"/>
        </w:rPr>
      </w:pPr>
      <w:r>
        <w:br w:type="column"/>
      </w:r>
      <w:r>
        <w:rPr>
          <w:rFonts w:ascii="Arial"/>
          <w:b/>
          <w:color w:val="231F20"/>
          <w:w w:val="115"/>
          <w:sz w:val="18"/>
        </w:rPr>
        <w:t>July 22, 1976</w:t>
      </w:r>
    </w:p>
    <w:p w14:paraId="39770AC1" w14:textId="77777777" w:rsidR="002653E8" w:rsidRDefault="00C507A5">
      <w:pPr>
        <w:spacing w:before="35" w:line="276" w:lineRule="auto"/>
        <w:ind w:left="230" w:right="1344"/>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prisoner Brigitte Mohnhaupt testifies at the Stammheim trial refuting most of Gerhard Müller’s testimony.</w:t>
      </w:r>
    </w:p>
    <w:p w14:paraId="26E4523A" w14:textId="77777777" w:rsidR="002653E8" w:rsidRDefault="002653E8">
      <w:pPr>
        <w:pStyle w:val="a3"/>
        <w:spacing w:before="6"/>
        <w:rPr>
          <w:rFonts w:ascii="Gill Sans MT"/>
        </w:rPr>
      </w:pPr>
    </w:p>
    <w:p w14:paraId="203332D2" w14:textId="77777777" w:rsidR="002653E8" w:rsidRDefault="003115E3">
      <w:pPr>
        <w:spacing w:before="1"/>
        <w:ind w:left="230"/>
        <w:rPr>
          <w:rFonts w:ascii="Arial"/>
          <w:b/>
          <w:sz w:val="18"/>
        </w:rPr>
      </w:pPr>
      <w:r>
        <w:rPr>
          <w:rFonts w:ascii="Arial"/>
          <w:b/>
          <w:color w:val="231F20"/>
          <w:w w:val="115"/>
          <w:sz w:val="18"/>
        </w:rPr>
        <w:t>October 1, 1976</w:t>
      </w:r>
    </w:p>
    <w:p w14:paraId="67315B28" w14:textId="77777777" w:rsidR="002653E8" w:rsidRDefault="003115E3">
      <w:pPr>
        <w:spacing w:before="34" w:line="276" w:lineRule="auto"/>
        <w:ind w:left="230" w:right="1344"/>
        <w:rPr>
          <w:rFonts w:ascii="Gill Sans MT"/>
          <w:sz w:val="18"/>
        </w:rPr>
      </w:pPr>
      <w:r>
        <w:rPr>
          <w:rFonts w:ascii="Gill Sans MT"/>
          <w:color w:val="231F20"/>
          <w:w w:val="110"/>
          <w:sz w:val="18"/>
        </w:rPr>
        <w:t>In spite of protests, Greece, under extreme pressure including threats of economic sanctions, extradites Rolf Pohle to West Germany.</w:t>
      </w:r>
    </w:p>
    <w:p w14:paraId="6B830890" w14:textId="77777777" w:rsidR="002653E8" w:rsidRDefault="002653E8">
      <w:pPr>
        <w:pStyle w:val="a3"/>
        <w:spacing w:before="6"/>
        <w:rPr>
          <w:rFonts w:ascii="Gill Sans MT"/>
        </w:rPr>
      </w:pPr>
    </w:p>
    <w:p w14:paraId="1CEC5FE5" w14:textId="77777777" w:rsidR="002653E8" w:rsidRDefault="003115E3">
      <w:pPr>
        <w:spacing w:line="278" w:lineRule="auto"/>
        <w:ind w:left="229" w:right="1649"/>
        <w:rPr>
          <w:rFonts w:ascii="Gill Sans MT"/>
          <w:sz w:val="18"/>
        </w:rPr>
      </w:pPr>
      <w:r>
        <w:rPr>
          <w:rFonts w:ascii="Arial"/>
          <w:b/>
          <w:color w:val="231F20"/>
          <w:w w:val="110"/>
          <w:sz w:val="18"/>
        </w:rPr>
        <w:t xml:space="preserve">November  10,  1976 </w:t>
      </w:r>
      <w:r>
        <w:rPr>
          <w:rFonts w:ascii="Gill Sans MT"/>
          <w:color w:val="231F20"/>
          <w:w w:val="110"/>
          <w:sz w:val="18"/>
        </w:rPr>
        <w:t>Ministers from nineteen EEC countries establish the</w:t>
      </w:r>
      <w:r>
        <w:rPr>
          <w:rFonts w:ascii="Gill Sans MT"/>
          <w:color w:val="231F20"/>
          <w:spacing w:val="12"/>
          <w:w w:val="110"/>
          <w:sz w:val="18"/>
        </w:rPr>
        <w:t xml:space="preserve"> </w:t>
      </w:r>
      <w:r>
        <w:rPr>
          <w:rFonts w:ascii="Gill Sans MT"/>
          <w:color w:val="231F20"/>
          <w:w w:val="110"/>
          <w:sz w:val="18"/>
        </w:rPr>
        <w:t>European</w:t>
      </w:r>
    </w:p>
    <w:p w14:paraId="3327971A" w14:textId="77777777" w:rsidR="002653E8" w:rsidRDefault="003115E3">
      <w:pPr>
        <w:spacing w:line="276" w:lineRule="auto"/>
        <w:ind w:left="229" w:right="1344"/>
        <w:rPr>
          <w:rFonts w:ascii="Gill Sans MT"/>
          <w:sz w:val="18"/>
        </w:rPr>
      </w:pPr>
      <w:r>
        <w:rPr>
          <w:rFonts w:ascii="Gill Sans MT"/>
          <w:color w:val="231F20"/>
          <w:w w:val="110"/>
          <w:sz w:val="18"/>
        </w:rPr>
        <w:t>Convention on the Suppression of Terrorism.</w:t>
      </w:r>
    </w:p>
    <w:p w14:paraId="10DCA228" w14:textId="77777777" w:rsidR="002653E8" w:rsidRDefault="002653E8">
      <w:pPr>
        <w:pStyle w:val="a3"/>
        <w:spacing w:before="4"/>
        <w:rPr>
          <w:rFonts w:ascii="Gill Sans MT"/>
        </w:rPr>
      </w:pPr>
    </w:p>
    <w:p w14:paraId="7B45869C" w14:textId="77777777" w:rsidR="002653E8" w:rsidRDefault="003115E3">
      <w:pPr>
        <w:ind w:left="229"/>
        <w:rPr>
          <w:rFonts w:ascii="Arial"/>
          <w:b/>
          <w:sz w:val="18"/>
        </w:rPr>
      </w:pPr>
      <w:r>
        <w:rPr>
          <w:rFonts w:ascii="Arial"/>
          <w:b/>
          <w:color w:val="231F20"/>
          <w:w w:val="115"/>
          <w:sz w:val="18"/>
        </w:rPr>
        <w:t>November 30, 1976</w:t>
      </w:r>
    </w:p>
    <w:p w14:paraId="354A03B6" w14:textId="77777777" w:rsidR="002653E8" w:rsidRDefault="00C507A5">
      <w:pPr>
        <w:spacing w:before="35" w:line="276" w:lineRule="auto"/>
        <w:ind w:left="230" w:right="1669"/>
        <w:rPr>
          <w:rFonts w:ascii="Gill Sans MT"/>
          <w:sz w:val="18"/>
        </w:rPr>
      </w:pPr>
      <w:r>
        <w:rPr>
          <w:rFonts w:ascii="Gill Sans MT"/>
          <w:color w:val="231F20"/>
          <w:w w:val="110"/>
          <w:sz w:val="18"/>
        </w:rPr>
        <w:t>red army faction</w:t>
      </w:r>
      <w:r w:rsidR="003115E3">
        <w:rPr>
          <w:rFonts w:ascii="Gill Sans MT"/>
          <w:color w:val="231F20"/>
          <w:w w:val="110"/>
          <w:sz w:val="18"/>
        </w:rPr>
        <w:t xml:space="preserve"> members Siegfried Haag and Roland Mayer are arrested on the Frankfurt-Kassel</w:t>
      </w:r>
      <w:r w:rsidR="003115E3">
        <w:rPr>
          <w:rFonts w:ascii="Gill Sans MT"/>
          <w:color w:val="231F20"/>
          <w:spacing w:val="-11"/>
          <w:w w:val="110"/>
          <w:sz w:val="18"/>
        </w:rPr>
        <w:t xml:space="preserve"> </w:t>
      </w:r>
      <w:r w:rsidR="003115E3">
        <w:rPr>
          <w:rFonts w:ascii="Gill Sans MT"/>
          <w:color w:val="231F20"/>
          <w:w w:val="110"/>
          <w:sz w:val="18"/>
        </w:rPr>
        <w:t>highway.</w:t>
      </w:r>
    </w:p>
    <w:p w14:paraId="737D2C77" w14:textId="77777777" w:rsidR="002653E8" w:rsidRDefault="003115E3">
      <w:pPr>
        <w:spacing w:line="276" w:lineRule="auto"/>
        <w:ind w:left="230" w:right="1465"/>
        <w:rPr>
          <w:rFonts w:ascii="Gill Sans MT"/>
          <w:sz w:val="18"/>
        </w:rPr>
      </w:pPr>
      <w:r>
        <w:rPr>
          <w:rFonts w:ascii="Gill Sans MT"/>
          <w:color w:val="231F20"/>
          <w:w w:val="110"/>
          <w:sz w:val="18"/>
        </w:rPr>
        <w:t>Chief Federal Prosecutor, Siegfried Buback, claims that they were in possession of a variety of weapons at the time of the arrest. Attorney Klaus Croissant is denied the right to represent Haag.</w:t>
      </w:r>
    </w:p>
    <w:p w14:paraId="241FB8C9" w14:textId="77777777" w:rsidR="002653E8" w:rsidRDefault="002653E8">
      <w:pPr>
        <w:pStyle w:val="a3"/>
        <w:spacing w:before="5"/>
        <w:rPr>
          <w:rFonts w:ascii="Gill Sans MT"/>
        </w:rPr>
      </w:pPr>
    </w:p>
    <w:p w14:paraId="7000ABB1" w14:textId="77777777" w:rsidR="002653E8" w:rsidRDefault="003115E3">
      <w:pPr>
        <w:ind w:left="230"/>
        <w:rPr>
          <w:rFonts w:ascii="Arial"/>
          <w:b/>
          <w:sz w:val="18"/>
        </w:rPr>
      </w:pPr>
      <w:r>
        <w:rPr>
          <w:rFonts w:ascii="Arial"/>
          <w:b/>
          <w:color w:val="231F20"/>
          <w:w w:val="115"/>
          <w:sz w:val="18"/>
        </w:rPr>
        <w:t>December 1976</w:t>
      </w:r>
    </w:p>
    <w:p w14:paraId="64C799BD" w14:textId="77777777" w:rsidR="002653E8" w:rsidRDefault="003115E3">
      <w:pPr>
        <w:spacing w:before="35" w:line="276" w:lineRule="auto"/>
        <w:ind w:left="229" w:right="1244"/>
        <w:rPr>
          <w:rFonts w:ascii="Gill Sans MT" w:hAnsi="Gill Sans MT"/>
          <w:sz w:val="18"/>
        </w:rPr>
      </w:pPr>
      <w:r>
        <w:rPr>
          <w:rFonts w:ascii="Gill Sans MT" w:hAnsi="Gill Sans MT"/>
          <w:color w:val="231F20"/>
          <w:w w:val="110"/>
          <w:sz w:val="18"/>
        </w:rPr>
        <w:t xml:space="preserve">A section of the RZ releases an open letter criticizing the </w:t>
      </w:r>
      <w:r w:rsidR="00C507A5">
        <w:rPr>
          <w:rFonts w:ascii="Gill Sans MT" w:hAnsi="Gill Sans MT"/>
          <w:color w:val="231F20"/>
          <w:w w:val="110"/>
          <w:sz w:val="18"/>
        </w:rPr>
        <w:t>red army faction</w:t>
      </w:r>
      <w:r>
        <w:rPr>
          <w:rFonts w:ascii="Gill Sans MT" w:hAnsi="Gill Sans MT"/>
          <w:color w:val="231F20"/>
          <w:w w:val="110"/>
          <w:sz w:val="18"/>
        </w:rPr>
        <w:t>’s strategy and dogmatism.</w:t>
      </w:r>
    </w:p>
    <w:p w14:paraId="5861CBFD" w14:textId="77777777" w:rsidR="002653E8" w:rsidRDefault="002653E8">
      <w:pPr>
        <w:pStyle w:val="a3"/>
        <w:spacing w:before="7"/>
        <w:rPr>
          <w:rFonts w:ascii="Gill Sans MT"/>
        </w:rPr>
      </w:pPr>
    </w:p>
    <w:p w14:paraId="3ADB8B11" w14:textId="77777777" w:rsidR="002653E8" w:rsidRDefault="003115E3">
      <w:pPr>
        <w:ind w:left="229"/>
        <w:rPr>
          <w:rFonts w:ascii="Arial"/>
          <w:b/>
          <w:sz w:val="18"/>
        </w:rPr>
      </w:pPr>
      <w:r>
        <w:rPr>
          <w:rFonts w:ascii="Arial"/>
          <w:b/>
          <w:color w:val="231F20"/>
          <w:w w:val="115"/>
          <w:sz w:val="18"/>
        </w:rPr>
        <w:t>December 8, 1976</w:t>
      </w:r>
    </w:p>
    <w:p w14:paraId="1372E312" w14:textId="77777777" w:rsidR="002653E8" w:rsidRDefault="003115E3">
      <w:pPr>
        <w:spacing w:before="34" w:line="276" w:lineRule="auto"/>
        <w:ind w:left="229" w:right="1430"/>
        <w:jc w:val="both"/>
        <w:rPr>
          <w:rFonts w:ascii="Gill Sans MT"/>
          <w:sz w:val="18"/>
        </w:rPr>
      </w:pPr>
      <w:r>
        <w:rPr>
          <w:rFonts w:ascii="Gill Sans MT"/>
          <w:color w:val="231F20"/>
          <w:w w:val="110"/>
          <w:sz w:val="18"/>
        </w:rPr>
        <w:t>Attorney Brigitte Tilgener is denied the</w:t>
      </w:r>
      <w:r>
        <w:rPr>
          <w:rFonts w:ascii="Gill Sans MT"/>
          <w:color w:val="231F20"/>
          <w:spacing w:val="-10"/>
          <w:w w:val="110"/>
          <w:sz w:val="18"/>
        </w:rPr>
        <w:t xml:space="preserve"> </w:t>
      </w:r>
      <w:r>
        <w:rPr>
          <w:rFonts w:ascii="Gill Sans MT"/>
          <w:color w:val="231F20"/>
          <w:w w:val="110"/>
          <w:sz w:val="18"/>
        </w:rPr>
        <w:t>right</w:t>
      </w:r>
      <w:r>
        <w:rPr>
          <w:rFonts w:ascii="Gill Sans MT"/>
          <w:color w:val="231F20"/>
          <w:spacing w:val="-10"/>
          <w:w w:val="110"/>
          <w:sz w:val="18"/>
        </w:rPr>
        <w:t xml:space="preserve"> </w:t>
      </w:r>
      <w:r>
        <w:rPr>
          <w:rFonts w:ascii="Gill Sans MT"/>
          <w:color w:val="231F20"/>
          <w:w w:val="110"/>
          <w:sz w:val="18"/>
        </w:rPr>
        <w:t>to</w:t>
      </w:r>
      <w:r>
        <w:rPr>
          <w:rFonts w:ascii="Gill Sans MT"/>
          <w:color w:val="231F20"/>
          <w:spacing w:val="-10"/>
          <w:w w:val="110"/>
          <w:sz w:val="18"/>
        </w:rPr>
        <w:t xml:space="preserve"> </w:t>
      </w:r>
      <w:r>
        <w:rPr>
          <w:rFonts w:ascii="Gill Sans MT"/>
          <w:color w:val="231F20"/>
          <w:w w:val="110"/>
          <w:sz w:val="18"/>
        </w:rPr>
        <w:t>represent</w:t>
      </w:r>
      <w:r>
        <w:rPr>
          <w:rFonts w:ascii="Gill Sans MT"/>
          <w:color w:val="231F20"/>
          <w:spacing w:val="-10"/>
          <w:w w:val="110"/>
          <w:sz w:val="18"/>
        </w:rPr>
        <w:t xml:space="preserve"> </w:t>
      </w:r>
      <w:r w:rsidR="00C507A5">
        <w:rPr>
          <w:rFonts w:ascii="Gill Sans MT"/>
          <w:color w:val="231F20"/>
          <w:w w:val="110"/>
          <w:sz w:val="18"/>
        </w:rPr>
        <w:t>red army faction</w:t>
      </w:r>
      <w:r>
        <w:rPr>
          <w:rFonts w:ascii="Gill Sans MT"/>
          <w:color w:val="231F20"/>
          <w:spacing w:val="-10"/>
          <w:w w:val="110"/>
          <w:sz w:val="18"/>
        </w:rPr>
        <w:t xml:space="preserve"> </w:t>
      </w:r>
      <w:r>
        <w:rPr>
          <w:rFonts w:ascii="Gill Sans MT"/>
          <w:color w:val="231F20"/>
          <w:w w:val="110"/>
          <w:sz w:val="18"/>
        </w:rPr>
        <w:t>prisoner Siegfried</w:t>
      </w:r>
      <w:r>
        <w:rPr>
          <w:rFonts w:ascii="Gill Sans MT"/>
          <w:color w:val="231F20"/>
          <w:spacing w:val="-3"/>
          <w:w w:val="110"/>
          <w:sz w:val="18"/>
        </w:rPr>
        <w:t xml:space="preserve"> </w:t>
      </w:r>
      <w:r>
        <w:rPr>
          <w:rFonts w:ascii="Gill Sans MT"/>
          <w:color w:val="231F20"/>
          <w:w w:val="110"/>
          <w:sz w:val="18"/>
        </w:rPr>
        <w:t>Haag.</w:t>
      </w:r>
    </w:p>
    <w:p w14:paraId="397DDF7D" w14:textId="77777777" w:rsidR="002653E8" w:rsidRDefault="002653E8">
      <w:pPr>
        <w:spacing w:line="276" w:lineRule="auto"/>
        <w:jc w:val="both"/>
        <w:rPr>
          <w:rFonts w:ascii="Gill Sans MT"/>
          <w:sz w:val="18"/>
        </w:rPr>
        <w:sectPr w:rsidR="002653E8">
          <w:footerReference w:type="default" r:id="rId517"/>
          <w:pgSz w:w="8640" w:h="12960"/>
          <w:pgMar w:top="1060" w:right="0" w:bottom="280" w:left="0" w:header="0" w:footer="0" w:gutter="0"/>
          <w:cols w:num="2" w:space="720" w:equalWidth="0">
            <w:col w:w="4080" w:space="40"/>
            <w:col w:w="4520"/>
          </w:cols>
        </w:sectPr>
      </w:pPr>
    </w:p>
    <w:p w14:paraId="2CF38FDC" w14:textId="77777777" w:rsidR="002653E8" w:rsidRDefault="002653E8">
      <w:pPr>
        <w:pStyle w:val="a3"/>
        <w:rPr>
          <w:rFonts w:ascii="Gill Sans MT"/>
        </w:rPr>
      </w:pPr>
    </w:p>
    <w:p w14:paraId="16E2AF69" w14:textId="77777777" w:rsidR="002653E8" w:rsidRDefault="002653E8">
      <w:pPr>
        <w:pStyle w:val="a3"/>
        <w:rPr>
          <w:rFonts w:ascii="Gill Sans MT"/>
        </w:rPr>
      </w:pPr>
    </w:p>
    <w:p w14:paraId="1170035F" w14:textId="77777777" w:rsidR="002653E8" w:rsidRDefault="002653E8">
      <w:pPr>
        <w:pStyle w:val="a3"/>
        <w:rPr>
          <w:rFonts w:ascii="Gill Sans MT"/>
        </w:rPr>
      </w:pPr>
    </w:p>
    <w:p w14:paraId="113E1E25" w14:textId="77777777" w:rsidR="002653E8" w:rsidRDefault="003115E3">
      <w:pPr>
        <w:tabs>
          <w:tab w:val="left" w:pos="2529"/>
        </w:tabs>
        <w:spacing w:before="222"/>
        <w:ind w:right="1300"/>
        <w:jc w:val="right"/>
        <w:rPr>
          <w:sz w:val="18"/>
        </w:rPr>
      </w:pPr>
      <w:r>
        <w:rPr>
          <w:color w:val="231F20"/>
          <w:spacing w:val="15"/>
          <w:w w:val="110"/>
          <w:position w:val="5"/>
          <w:sz w:val="18"/>
        </w:rPr>
        <w:t>602</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35"/>
          <w:w w:val="110"/>
          <w:sz w:val="18"/>
        </w:rPr>
        <w:t xml:space="preserve"> </w:t>
      </w:r>
      <w:r>
        <w:rPr>
          <w:color w:val="231F20"/>
          <w:spacing w:val="20"/>
          <w:w w:val="110"/>
          <w:sz w:val="18"/>
        </w:rPr>
        <w:t>germany</w:t>
      </w:r>
      <w:r>
        <w:rPr>
          <w:color w:val="231F20"/>
          <w:spacing w:val="-15"/>
          <w:sz w:val="18"/>
        </w:rPr>
        <w:t xml:space="preserve"> </w:t>
      </w:r>
    </w:p>
    <w:p w14:paraId="171721A0" w14:textId="77777777" w:rsidR="002653E8" w:rsidRDefault="003115E3">
      <w:pPr>
        <w:spacing w:before="5"/>
        <w:ind w:left="1212" w:right="1300"/>
        <w:jc w:val="right"/>
        <w:rPr>
          <w:sz w:val="18"/>
        </w:rPr>
      </w:pPr>
      <w:r>
        <w:rPr>
          <w:color w:val="231F20"/>
          <w:w w:val="115"/>
          <w:sz w:val="18"/>
        </w:rPr>
        <w:lastRenderedPageBreak/>
        <w:t>july 1976</w:t>
      </w:r>
      <w:r>
        <w:rPr>
          <w:color w:val="231F20"/>
          <w:sz w:val="18"/>
        </w:rPr>
        <w:t xml:space="preserve"> </w:t>
      </w:r>
    </w:p>
    <w:p w14:paraId="6D71A2BB" w14:textId="77777777" w:rsidR="002653E8" w:rsidRDefault="002653E8">
      <w:pPr>
        <w:jc w:val="right"/>
        <w:rPr>
          <w:sz w:val="18"/>
        </w:rPr>
        <w:sectPr w:rsidR="002653E8">
          <w:type w:val="continuous"/>
          <w:pgSz w:w="8640" w:h="12960"/>
          <w:pgMar w:top="0" w:right="0" w:bottom="0" w:left="0" w:header="720" w:footer="720" w:gutter="0"/>
          <w:cols w:space="720"/>
        </w:sectPr>
      </w:pPr>
    </w:p>
    <w:p w14:paraId="3B7CD532" w14:textId="77777777" w:rsidR="002653E8" w:rsidRDefault="003115E3">
      <w:pPr>
        <w:spacing w:before="91" w:line="278" w:lineRule="auto"/>
        <w:ind w:left="1327" w:right="799"/>
        <w:rPr>
          <w:rFonts w:ascii="Gill Sans MT" w:hAnsi="Gill Sans MT"/>
          <w:sz w:val="18"/>
        </w:rPr>
      </w:pPr>
      <w:r>
        <w:rPr>
          <w:rFonts w:ascii="Arial" w:hAnsi="Arial"/>
          <w:b/>
          <w:color w:val="231F20"/>
          <w:w w:val="110"/>
          <w:sz w:val="18"/>
        </w:rPr>
        <w:lastRenderedPageBreak/>
        <w:t xml:space="preserve">December 10,  1976 </w:t>
      </w:r>
      <w:r>
        <w:rPr>
          <w:rFonts w:ascii="Gill Sans MT" w:hAnsi="Gill Sans MT"/>
          <w:color w:val="231F20"/>
          <w:w w:val="110"/>
          <w:sz w:val="18"/>
        </w:rPr>
        <w:t>The</w:t>
      </w:r>
      <w:r>
        <w:rPr>
          <w:rFonts w:ascii="Gill Sans MT" w:hAnsi="Gill Sans MT"/>
          <w:color w:val="231F20"/>
          <w:spacing w:val="-19"/>
          <w:w w:val="110"/>
          <w:sz w:val="18"/>
        </w:rPr>
        <w:t xml:space="preserve"> </w:t>
      </w:r>
      <w:r>
        <w:rPr>
          <w:rFonts w:ascii="Gill Sans MT" w:hAnsi="Gill Sans MT"/>
          <w:color w:val="231F20"/>
          <w:w w:val="110"/>
          <w:sz w:val="18"/>
        </w:rPr>
        <w:t>BAW</w:t>
      </w:r>
      <w:r>
        <w:rPr>
          <w:rFonts w:ascii="Gill Sans MT" w:hAnsi="Gill Sans MT"/>
          <w:color w:val="231F20"/>
          <w:spacing w:val="-19"/>
          <w:w w:val="110"/>
          <w:sz w:val="18"/>
        </w:rPr>
        <w:t xml:space="preserve"> </w:t>
      </w:r>
      <w:r>
        <w:rPr>
          <w:rFonts w:ascii="Gill Sans MT" w:hAnsi="Gill Sans MT"/>
          <w:color w:val="231F20"/>
          <w:w w:val="110"/>
          <w:sz w:val="18"/>
        </w:rPr>
        <w:t>accuses</w:t>
      </w:r>
      <w:r>
        <w:rPr>
          <w:rFonts w:ascii="Gill Sans MT" w:hAnsi="Gill Sans MT"/>
          <w:color w:val="231F20"/>
          <w:spacing w:val="-19"/>
          <w:w w:val="110"/>
          <w:sz w:val="18"/>
        </w:rPr>
        <w:t xml:space="preserve"> </w:t>
      </w:r>
      <w:r>
        <w:rPr>
          <w:rFonts w:ascii="Gill Sans MT" w:hAnsi="Gill Sans MT"/>
          <w:color w:val="231F20"/>
          <w:w w:val="110"/>
          <w:sz w:val="18"/>
        </w:rPr>
        <w:t>attorney Hans-Christian Ströbele</w:t>
      </w:r>
      <w:r>
        <w:rPr>
          <w:rFonts w:ascii="Gill Sans MT" w:hAnsi="Gill Sans MT"/>
          <w:color w:val="231F20"/>
          <w:spacing w:val="-22"/>
          <w:w w:val="110"/>
          <w:sz w:val="18"/>
        </w:rPr>
        <w:t xml:space="preserve"> </w:t>
      </w:r>
      <w:r>
        <w:rPr>
          <w:rFonts w:ascii="Gill Sans MT" w:hAnsi="Gill Sans MT"/>
          <w:color w:val="231F20"/>
          <w:w w:val="110"/>
          <w:sz w:val="18"/>
        </w:rPr>
        <w:t>of</w:t>
      </w:r>
    </w:p>
    <w:p w14:paraId="3F0BC358" w14:textId="77777777" w:rsidR="002653E8" w:rsidRDefault="003115E3">
      <w:pPr>
        <w:spacing w:line="271" w:lineRule="auto"/>
        <w:ind w:left="1327"/>
        <w:rPr>
          <w:rFonts w:ascii="Gill Sans MT"/>
          <w:sz w:val="18"/>
        </w:rPr>
      </w:pPr>
      <w:r>
        <w:rPr>
          <w:rFonts w:ascii="Gill Sans MT"/>
          <w:color w:val="231F20"/>
          <w:w w:val="110"/>
          <w:sz w:val="18"/>
        </w:rPr>
        <w:t xml:space="preserve">supporting a terrorist organization and applies for a </w:t>
      </w:r>
      <w:r>
        <w:rPr>
          <w:rFonts w:ascii="Lucida Sans"/>
          <w:i/>
          <w:color w:val="231F20"/>
          <w:w w:val="110"/>
          <w:sz w:val="18"/>
        </w:rPr>
        <w:t xml:space="preserve">Berufsverbot </w:t>
      </w:r>
      <w:r>
        <w:rPr>
          <w:rFonts w:ascii="Gill Sans MT"/>
          <w:color w:val="231F20"/>
          <w:w w:val="110"/>
          <w:sz w:val="18"/>
        </w:rPr>
        <w:t>against him.</w:t>
      </w:r>
    </w:p>
    <w:p w14:paraId="4151DB30" w14:textId="77777777" w:rsidR="002653E8" w:rsidRDefault="002653E8">
      <w:pPr>
        <w:pStyle w:val="a3"/>
        <w:spacing w:before="8"/>
        <w:rPr>
          <w:rFonts w:ascii="Gill Sans MT"/>
        </w:rPr>
      </w:pPr>
    </w:p>
    <w:p w14:paraId="7C52A091" w14:textId="77777777" w:rsidR="002653E8" w:rsidRDefault="003115E3">
      <w:pPr>
        <w:spacing w:before="1"/>
        <w:ind w:left="1327"/>
        <w:rPr>
          <w:rFonts w:ascii="Arial"/>
          <w:b/>
          <w:sz w:val="18"/>
        </w:rPr>
      </w:pPr>
      <w:r>
        <w:rPr>
          <w:rFonts w:ascii="Arial"/>
          <w:b/>
          <w:color w:val="231F20"/>
          <w:w w:val="115"/>
          <w:sz w:val="18"/>
        </w:rPr>
        <w:t>December 13, 1976</w:t>
      </w:r>
    </w:p>
    <w:p w14:paraId="08E6DC9B" w14:textId="77777777" w:rsidR="002653E8" w:rsidRDefault="003115E3">
      <w:pPr>
        <w:spacing w:before="34" w:line="276" w:lineRule="auto"/>
        <w:ind w:left="1327" w:right="21"/>
        <w:rPr>
          <w:rFonts w:ascii="Gill Sans MT" w:hAnsi="Gill Sans MT"/>
          <w:sz w:val="18"/>
        </w:rPr>
      </w:pPr>
      <w:r>
        <w:rPr>
          <w:rFonts w:ascii="Gill Sans MT" w:hAnsi="Gill Sans MT"/>
          <w:color w:val="231F20"/>
          <w:w w:val="110"/>
          <w:sz w:val="18"/>
        </w:rPr>
        <w:t>Attorneys</w:t>
      </w:r>
      <w:r>
        <w:rPr>
          <w:rFonts w:ascii="Gill Sans MT" w:hAnsi="Gill Sans MT"/>
          <w:color w:val="231F20"/>
          <w:spacing w:val="-16"/>
          <w:w w:val="110"/>
          <w:sz w:val="18"/>
        </w:rPr>
        <w:t xml:space="preserve"> </w:t>
      </w:r>
      <w:r>
        <w:rPr>
          <w:rFonts w:ascii="Gill Sans MT" w:hAnsi="Gill Sans MT"/>
          <w:color w:val="231F20"/>
          <w:w w:val="110"/>
          <w:sz w:val="18"/>
        </w:rPr>
        <w:t>Klaus</w:t>
      </w:r>
      <w:r>
        <w:rPr>
          <w:rFonts w:ascii="Gill Sans MT" w:hAnsi="Gill Sans MT"/>
          <w:color w:val="231F20"/>
          <w:spacing w:val="-16"/>
          <w:w w:val="110"/>
          <w:sz w:val="18"/>
        </w:rPr>
        <w:t xml:space="preserve"> </w:t>
      </w:r>
      <w:r>
        <w:rPr>
          <w:rFonts w:ascii="Gill Sans MT" w:hAnsi="Gill Sans MT"/>
          <w:color w:val="231F20"/>
          <w:w w:val="110"/>
          <w:sz w:val="18"/>
        </w:rPr>
        <w:t>Croissant</w:t>
      </w:r>
      <w:r>
        <w:rPr>
          <w:rFonts w:ascii="Gill Sans MT" w:hAnsi="Gill Sans MT"/>
          <w:color w:val="231F20"/>
          <w:spacing w:val="-16"/>
          <w:w w:val="110"/>
          <w:sz w:val="18"/>
        </w:rPr>
        <w:t xml:space="preserve"> </w:t>
      </w:r>
      <w:r>
        <w:rPr>
          <w:rFonts w:ascii="Gill Sans MT" w:hAnsi="Gill Sans MT"/>
          <w:color w:val="231F20"/>
          <w:w w:val="110"/>
          <w:sz w:val="18"/>
        </w:rPr>
        <w:t>and</w:t>
      </w:r>
      <w:r>
        <w:rPr>
          <w:rFonts w:ascii="Gill Sans MT" w:hAnsi="Gill Sans MT"/>
          <w:color w:val="231F20"/>
          <w:spacing w:val="-16"/>
          <w:w w:val="110"/>
          <w:sz w:val="18"/>
        </w:rPr>
        <w:t xml:space="preserve"> </w:t>
      </w:r>
      <w:r>
        <w:rPr>
          <w:rFonts w:ascii="Gill Sans MT" w:hAnsi="Gill Sans MT"/>
          <w:color w:val="231F20"/>
          <w:w w:val="110"/>
          <w:sz w:val="18"/>
        </w:rPr>
        <w:t xml:space="preserve">HansChristian Ströbele are denied the right to represent </w:t>
      </w:r>
      <w:r w:rsidR="00C507A5">
        <w:rPr>
          <w:rFonts w:ascii="Gill Sans MT" w:hAnsi="Gill Sans MT"/>
          <w:color w:val="231F20"/>
          <w:w w:val="110"/>
          <w:sz w:val="18"/>
        </w:rPr>
        <w:t>red army faction</w:t>
      </w:r>
      <w:r>
        <w:rPr>
          <w:rFonts w:ascii="Gill Sans MT" w:hAnsi="Gill Sans MT"/>
          <w:color w:val="231F20"/>
          <w:w w:val="110"/>
          <w:sz w:val="18"/>
        </w:rPr>
        <w:t xml:space="preserve"> prisoner Brigitte</w:t>
      </w:r>
      <w:r>
        <w:rPr>
          <w:rFonts w:ascii="Gill Sans MT" w:hAnsi="Gill Sans MT"/>
          <w:color w:val="231F20"/>
          <w:spacing w:val="-4"/>
          <w:w w:val="110"/>
          <w:sz w:val="18"/>
        </w:rPr>
        <w:t xml:space="preserve"> </w:t>
      </w:r>
      <w:r>
        <w:rPr>
          <w:rFonts w:ascii="Gill Sans MT" w:hAnsi="Gill Sans MT"/>
          <w:color w:val="231F20"/>
          <w:w w:val="110"/>
          <w:sz w:val="18"/>
        </w:rPr>
        <w:t>Mohnhaupt.</w:t>
      </w:r>
    </w:p>
    <w:p w14:paraId="1BA9D897" w14:textId="77777777" w:rsidR="002653E8" w:rsidRDefault="002653E8">
      <w:pPr>
        <w:pStyle w:val="a3"/>
        <w:spacing w:before="6"/>
        <w:rPr>
          <w:rFonts w:ascii="Gill Sans MT"/>
        </w:rPr>
      </w:pPr>
    </w:p>
    <w:p w14:paraId="5DE6C7C2" w14:textId="77777777" w:rsidR="002653E8" w:rsidRDefault="003115E3">
      <w:pPr>
        <w:spacing w:before="1"/>
        <w:ind w:left="1327"/>
        <w:rPr>
          <w:rFonts w:ascii="Arial"/>
          <w:b/>
          <w:sz w:val="18"/>
        </w:rPr>
      </w:pPr>
      <w:r>
        <w:rPr>
          <w:rFonts w:ascii="Arial"/>
          <w:b/>
          <w:color w:val="231F20"/>
          <w:w w:val="115"/>
          <w:sz w:val="18"/>
        </w:rPr>
        <w:t>December 14, 1976</w:t>
      </w:r>
    </w:p>
    <w:p w14:paraId="798A5270" w14:textId="77777777" w:rsidR="002653E8" w:rsidRDefault="00C507A5">
      <w:pPr>
        <w:spacing w:before="34" w:line="276" w:lineRule="auto"/>
        <w:ind w:left="1327"/>
        <w:rPr>
          <w:rFonts w:ascii="Gill Sans MT"/>
          <w:sz w:val="18"/>
        </w:rPr>
      </w:pPr>
      <w:r>
        <w:rPr>
          <w:rFonts w:ascii="Gill Sans MT"/>
          <w:color w:val="231F20"/>
          <w:w w:val="110"/>
          <w:sz w:val="18"/>
        </w:rPr>
        <w:t>red army faction</w:t>
      </w:r>
      <w:r w:rsidR="003115E3">
        <w:rPr>
          <w:rFonts w:ascii="Gill Sans MT"/>
          <w:color w:val="231F20"/>
          <w:w w:val="110"/>
          <w:sz w:val="18"/>
        </w:rPr>
        <w:t xml:space="preserve"> member Waltraud Boock is arrested in Vienna, Austria following a bank robbery.</w:t>
      </w:r>
    </w:p>
    <w:p w14:paraId="4A898148" w14:textId="77777777" w:rsidR="002653E8" w:rsidRDefault="002653E8">
      <w:pPr>
        <w:pStyle w:val="a3"/>
        <w:spacing w:before="6"/>
        <w:rPr>
          <w:rFonts w:ascii="Gill Sans MT"/>
        </w:rPr>
      </w:pPr>
    </w:p>
    <w:p w14:paraId="183184E5" w14:textId="77777777" w:rsidR="002653E8" w:rsidRDefault="003115E3">
      <w:pPr>
        <w:ind w:left="1327"/>
        <w:rPr>
          <w:rFonts w:ascii="Arial"/>
          <w:b/>
          <w:sz w:val="18"/>
        </w:rPr>
      </w:pPr>
      <w:r>
        <w:rPr>
          <w:rFonts w:ascii="Arial"/>
          <w:b/>
          <w:color w:val="231F20"/>
          <w:w w:val="115"/>
          <w:sz w:val="18"/>
        </w:rPr>
        <w:t>December 15, 1976</w:t>
      </w:r>
    </w:p>
    <w:p w14:paraId="3EC40196" w14:textId="77777777" w:rsidR="002653E8" w:rsidRDefault="003115E3">
      <w:pPr>
        <w:spacing w:before="35" w:line="276" w:lineRule="auto"/>
        <w:ind w:left="1327" w:right="315"/>
        <w:rPr>
          <w:rFonts w:ascii="Gill Sans MT" w:hAnsi="Gill Sans MT"/>
          <w:sz w:val="18"/>
        </w:rPr>
      </w:pPr>
      <w:r>
        <w:rPr>
          <w:rFonts w:ascii="Gill Sans MT" w:hAnsi="Gill Sans MT"/>
          <w:color w:val="231F20"/>
          <w:w w:val="110"/>
          <w:sz w:val="18"/>
        </w:rPr>
        <w:t>One of attorney Klaus Croissant’s secretaries is offered several thousand dM by the</w:t>
      </w:r>
    </w:p>
    <w:p w14:paraId="007D9A68" w14:textId="77777777" w:rsidR="002653E8" w:rsidRDefault="003115E3">
      <w:pPr>
        <w:spacing w:line="273" w:lineRule="auto"/>
        <w:ind w:left="1327" w:right="-17"/>
        <w:rPr>
          <w:rFonts w:ascii="Gill Sans MT"/>
          <w:sz w:val="18"/>
        </w:rPr>
      </w:pPr>
      <w:r>
        <w:rPr>
          <w:rFonts w:ascii="Lucida Sans"/>
          <w:i/>
          <w:color w:val="231F20"/>
          <w:sz w:val="18"/>
        </w:rPr>
        <w:t xml:space="preserve">Verfassungsschutz </w:t>
      </w:r>
      <w:r>
        <w:rPr>
          <w:rFonts w:ascii="Gill Sans MT"/>
          <w:color w:val="231F20"/>
          <w:sz w:val="18"/>
        </w:rPr>
        <w:t>for copies of</w:t>
      </w:r>
      <w:r>
        <w:rPr>
          <w:rFonts w:ascii="Gill Sans MT"/>
          <w:color w:val="231F20"/>
          <w:spacing w:val="-36"/>
          <w:sz w:val="18"/>
        </w:rPr>
        <w:t xml:space="preserve"> </w:t>
      </w:r>
      <w:r>
        <w:rPr>
          <w:rFonts w:ascii="Gill Sans MT"/>
          <w:color w:val="231F20"/>
          <w:sz w:val="18"/>
        </w:rPr>
        <w:t xml:space="preserve">legal </w:t>
      </w:r>
      <w:r>
        <w:rPr>
          <w:rFonts w:ascii="Gill Sans MT"/>
          <w:color w:val="231F20"/>
          <w:w w:val="110"/>
          <w:sz w:val="18"/>
        </w:rPr>
        <w:t>notes and clients</w:t>
      </w:r>
      <w:r>
        <w:rPr>
          <w:rFonts w:ascii="Gill Sans MT"/>
          <w:color w:val="231F20"/>
          <w:spacing w:val="-9"/>
          <w:w w:val="110"/>
          <w:sz w:val="18"/>
        </w:rPr>
        <w:t xml:space="preserve"> </w:t>
      </w:r>
      <w:r>
        <w:rPr>
          <w:rFonts w:ascii="Gill Sans MT"/>
          <w:color w:val="231F20"/>
          <w:w w:val="110"/>
          <w:sz w:val="18"/>
        </w:rPr>
        <w:t>names.</w:t>
      </w:r>
    </w:p>
    <w:p w14:paraId="6D99431F" w14:textId="77777777" w:rsidR="002653E8" w:rsidRDefault="002653E8">
      <w:pPr>
        <w:pStyle w:val="a3"/>
        <w:spacing w:before="3"/>
        <w:rPr>
          <w:rFonts w:ascii="Gill Sans MT"/>
        </w:rPr>
      </w:pPr>
    </w:p>
    <w:p w14:paraId="2BB0F712" w14:textId="77777777" w:rsidR="002653E8" w:rsidRDefault="003115E3">
      <w:pPr>
        <w:ind w:left="1327"/>
        <w:rPr>
          <w:rFonts w:ascii="Arial"/>
          <w:b/>
          <w:sz w:val="18"/>
        </w:rPr>
      </w:pPr>
      <w:r>
        <w:rPr>
          <w:rFonts w:ascii="Arial"/>
          <w:b/>
          <w:color w:val="231F20"/>
          <w:w w:val="115"/>
          <w:sz w:val="18"/>
        </w:rPr>
        <w:t>December 17, 1976</w:t>
      </w:r>
    </w:p>
    <w:p w14:paraId="3F0347D4" w14:textId="77777777" w:rsidR="002653E8" w:rsidRDefault="003115E3">
      <w:pPr>
        <w:spacing w:before="35" w:line="276" w:lineRule="auto"/>
        <w:ind w:left="1327" w:right="50"/>
        <w:rPr>
          <w:rFonts w:ascii="Gill Sans MT"/>
          <w:sz w:val="18"/>
        </w:rPr>
      </w:pPr>
      <w:r>
        <w:rPr>
          <w:rFonts w:ascii="Gill Sans MT"/>
          <w:color w:val="231F20"/>
          <w:w w:val="110"/>
          <w:sz w:val="18"/>
        </w:rPr>
        <w:t xml:space="preserve">There is a bomb attack against the Vienna, Austria Police Information Centre demanding the release of </w:t>
      </w:r>
      <w:r w:rsidR="00C507A5">
        <w:rPr>
          <w:rFonts w:ascii="Gill Sans MT"/>
          <w:color w:val="231F20"/>
          <w:w w:val="110"/>
          <w:sz w:val="18"/>
        </w:rPr>
        <w:t>red army faction</w:t>
      </w:r>
      <w:r>
        <w:rPr>
          <w:rFonts w:ascii="Gill Sans MT"/>
          <w:color w:val="231F20"/>
          <w:w w:val="110"/>
          <w:sz w:val="18"/>
        </w:rPr>
        <w:t xml:space="preserve"> member Waltraud Boock. This is followed by two bomb threats with the same demand.</w:t>
      </w:r>
    </w:p>
    <w:p w14:paraId="7BE76521" w14:textId="77777777" w:rsidR="002653E8" w:rsidRDefault="002653E8">
      <w:pPr>
        <w:pStyle w:val="a3"/>
        <w:spacing w:before="6"/>
        <w:rPr>
          <w:rFonts w:ascii="Gill Sans MT"/>
        </w:rPr>
      </w:pPr>
    </w:p>
    <w:p w14:paraId="771FB060" w14:textId="77777777" w:rsidR="002653E8" w:rsidRDefault="003115E3">
      <w:pPr>
        <w:ind w:left="1327"/>
        <w:rPr>
          <w:rFonts w:ascii="Arial"/>
          <w:b/>
          <w:sz w:val="18"/>
        </w:rPr>
      </w:pPr>
      <w:r>
        <w:rPr>
          <w:rFonts w:ascii="Arial"/>
          <w:b/>
          <w:color w:val="231F20"/>
          <w:w w:val="115"/>
          <w:sz w:val="18"/>
        </w:rPr>
        <w:t>December 21, 1976</w:t>
      </w:r>
    </w:p>
    <w:p w14:paraId="15BE49CA" w14:textId="77777777" w:rsidR="002653E8" w:rsidRDefault="003115E3">
      <w:pPr>
        <w:spacing w:before="35" w:line="276" w:lineRule="auto"/>
        <w:ind w:left="1327"/>
        <w:rPr>
          <w:rFonts w:ascii="Gill Sans MT" w:hAnsi="Gill Sans MT"/>
          <w:sz w:val="18"/>
        </w:rPr>
      </w:pPr>
      <w:r>
        <w:rPr>
          <w:rFonts w:ascii="Gill Sans MT" w:hAnsi="Gill Sans MT"/>
          <w:color w:val="231F20"/>
          <w:w w:val="110"/>
          <w:sz w:val="18"/>
        </w:rPr>
        <w:t xml:space="preserve">Attorney General Siegfried Buback requests that attorney Jürgen Laubacher be denied the right to represent </w:t>
      </w:r>
      <w:r w:rsidR="00C507A5">
        <w:rPr>
          <w:rFonts w:ascii="Gill Sans MT" w:hAnsi="Gill Sans MT"/>
          <w:color w:val="231F20"/>
          <w:w w:val="110"/>
          <w:sz w:val="18"/>
        </w:rPr>
        <w:t>red army faction</w:t>
      </w:r>
      <w:r>
        <w:rPr>
          <w:rFonts w:ascii="Gill Sans MT" w:hAnsi="Gill Sans MT"/>
          <w:color w:val="231F20"/>
          <w:w w:val="110"/>
          <w:sz w:val="18"/>
        </w:rPr>
        <w:t xml:space="preserve"> prisoner Siegfried Haag, because he has previously represented political prisoners.</w:t>
      </w:r>
    </w:p>
    <w:p w14:paraId="4021880D" w14:textId="77777777" w:rsidR="002653E8" w:rsidRDefault="003115E3">
      <w:pPr>
        <w:pStyle w:val="5"/>
        <w:spacing w:before="77"/>
        <w:ind w:left="199"/>
      </w:pPr>
      <w:r>
        <w:rPr>
          <w:b w:val="0"/>
        </w:rPr>
        <w:br w:type="column"/>
      </w:r>
      <w:r>
        <w:rPr>
          <w:color w:val="231F20"/>
          <w:w w:val="120"/>
        </w:rPr>
        <w:t>1977</w:t>
      </w:r>
    </w:p>
    <w:p w14:paraId="616D2101" w14:textId="77777777" w:rsidR="002653E8" w:rsidRDefault="003115E3">
      <w:pPr>
        <w:spacing w:before="12"/>
        <w:ind w:left="199"/>
        <w:rPr>
          <w:rFonts w:ascii="Arial"/>
          <w:b/>
          <w:sz w:val="18"/>
        </w:rPr>
      </w:pPr>
      <w:r>
        <w:rPr>
          <w:rFonts w:ascii="Arial"/>
          <w:b/>
          <w:color w:val="231F20"/>
          <w:w w:val="115"/>
          <w:sz w:val="18"/>
        </w:rPr>
        <w:t>January 10, 1977</w:t>
      </w:r>
    </w:p>
    <w:p w14:paraId="32980BBD" w14:textId="77777777" w:rsidR="002653E8" w:rsidRDefault="00C507A5">
      <w:pPr>
        <w:spacing w:before="34" w:line="276" w:lineRule="auto"/>
        <w:ind w:left="199" w:right="1214"/>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prisoner Monika Berberich responds critically to the RZ’s open letter of december </w:t>
      </w:r>
      <w:r w:rsidR="003115E3">
        <w:rPr>
          <w:rFonts w:ascii="Arial" w:hAnsi="Arial"/>
          <w:color w:val="231F20"/>
          <w:w w:val="110"/>
          <w:sz w:val="18"/>
        </w:rPr>
        <w:t>1976</w:t>
      </w:r>
      <w:r w:rsidR="003115E3">
        <w:rPr>
          <w:rFonts w:ascii="Gill Sans MT" w:hAnsi="Gill Sans MT"/>
          <w:color w:val="231F20"/>
          <w:w w:val="110"/>
          <w:sz w:val="18"/>
        </w:rPr>
        <w:t xml:space="preserve">, which criticized the </w:t>
      </w:r>
      <w:r>
        <w:rPr>
          <w:rFonts w:ascii="Gill Sans MT" w:hAnsi="Gill Sans MT"/>
          <w:color w:val="231F20"/>
          <w:w w:val="110"/>
          <w:sz w:val="18"/>
        </w:rPr>
        <w:t>red army faction</w:t>
      </w:r>
      <w:r w:rsidR="003115E3">
        <w:rPr>
          <w:rFonts w:ascii="Gill Sans MT" w:hAnsi="Gill Sans MT"/>
          <w:color w:val="231F20"/>
          <w:w w:val="110"/>
          <w:sz w:val="18"/>
        </w:rPr>
        <w:t>’s strategy and dogmatism.</w:t>
      </w:r>
    </w:p>
    <w:p w14:paraId="0E072C7A" w14:textId="77777777" w:rsidR="002653E8" w:rsidRDefault="002653E8">
      <w:pPr>
        <w:pStyle w:val="a3"/>
        <w:spacing w:before="5"/>
        <w:rPr>
          <w:rFonts w:ascii="Gill Sans MT"/>
        </w:rPr>
      </w:pPr>
    </w:p>
    <w:p w14:paraId="4441FD7E" w14:textId="77777777" w:rsidR="002653E8" w:rsidRDefault="003115E3">
      <w:pPr>
        <w:spacing w:line="276" w:lineRule="auto"/>
        <w:ind w:left="199" w:right="1769"/>
        <w:rPr>
          <w:rFonts w:ascii="Gill Sans MT"/>
          <w:sz w:val="18"/>
        </w:rPr>
      </w:pPr>
      <w:r>
        <w:rPr>
          <w:rFonts w:ascii="Arial"/>
          <w:b/>
          <w:color w:val="231F20"/>
          <w:w w:val="115"/>
          <w:sz w:val="18"/>
        </w:rPr>
        <w:t xml:space="preserve">January 12, 1977 </w:t>
      </w:r>
      <w:r>
        <w:rPr>
          <w:rFonts w:ascii="Gill Sans MT"/>
          <w:color w:val="231F20"/>
          <w:w w:val="115"/>
          <w:sz w:val="18"/>
        </w:rPr>
        <w:t>defense</w:t>
      </w:r>
      <w:r>
        <w:rPr>
          <w:rFonts w:ascii="Gill Sans MT"/>
          <w:color w:val="231F20"/>
          <w:spacing w:val="-27"/>
          <w:w w:val="115"/>
          <w:sz w:val="18"/>
        </w:rPr>
        <w:t xml:space="preserve"> </w:t>
      </w:r>
      <w:r>
        <w:rPr>
          <w:rFonts w:ascii="Gill Sans MT"/>
          <w:color w:val="231F20"/>
          <w:w w:val="115"/>
          <w:sz w:val="18"/>
        </w:rPr>
        <w:t>attorney</w:t>
      </w:r>
      <w:r>
        <w:rPr>
          <w:rFonts w:ascii="Gill Sans MT"/>
          <w:color w:val="231F20"/>
          <w:spacing w:val="-27"/>
          <w:w w:val="115"/>
          <w:sz w:val="18"/>
        </w:rPr>
        <w:t xml:space="preserve"> </w:t>
      </w:r>
      <w:r>
        <w:rPr>
          <w:rFonts w:ascii="Gill Sans MT"/>
          <w:color w:val="231F20"/>
          <w:w w:val="115"/>
          <w:sz w:val="18"/>
        </w:rPr>
        <w:t>Otto</w:t>
      </w:r>
      <w:r>
        <w:rPr>
          <w:rFonts w:ascii="Gill Sans MT"/>
          <w:color w:val="231F20"/>
          <w:spacing w:val="-27"/>
          <w:w w:val="115"/>
          <w:sz w:val="18"/>
        </w:rPr>
        <w:t xml:space="preserve"> </w:t>
      </w:r>
      <w:r>
        <w:rPr>
          <w:rFonts w:ascii="Gill Sans MT"/>
          <w:color w:val="231F20"/>
          <w:w w:val="115"/>
          <w:sz w:val="18"/>
        </w:rPr>
        <w:t>Schily</w:t>
      </w:r>
      <w:r>
        <w:rPr>
          <w:rFonts w:ascii="Gill Sans MT"/>
          <w:color w:val="231F20"/>
          <w:w w:val="112"/>
          <w:sz w:val="18"/>
        </w:rPr>
        <w:t xml:space="preserve"> </w:t>
      </w:r>
      <w:r>
        <w:rPr>
          <w:rFonts w:ascii="Gill Sans MT"/>
          <w:color w:val="231F20"/>
          <w:w w:val="115"/>
          <w:sz w:val="18"/>
        </w:rPr>
        <w:t>launches a motion of nonconfidence against Theodor Prinzing, the judge in the Stammheim</w:t>
      </w:r>
      <w:r>
        <w:rPr>
          <w:rFonts w:ascii="Gill Sans MT"/>
          <w:color w:val="231F20"/>
          <w:spacing w:val="-18"/>
          <w:w w:val="115"/>
          <w:sz w:val="18"/>
        </w:rPr>
        <w:t xml:space="preserve"> </w:t>
      </w:r>
      <w:r>
        <w:rPr>
          <w:rFonts w:ascii="Gill Sans MT"/>
          <w:color w:val="231F20"/>
          <w:w w:val="115"/>
          <w:sz w:val="18"/>
        </w:rPr>
        <w:t>trial,</w:t>
      </w:r>
      <w:r>
        <w:rPr>
          <w:rFonts w:ascii="Gill Sans MT"/>
          <w:color w:val="231F20"/>
          <w:spacing w:val="-18"/>
          <w:w w:val="115"/>
          <w:sz w:val="18"/>
        </w:rPr>
        <w:t xml:space="preserve"> </w:t>
      </w:r>
      <w:r>
        <w:rPr>
          <w:rFonts w:ascii="Gill Sans MT"/>
          <w:color w:val="231F20"/>
          <w:w w:val="115"/>
          <w:sz w:val="18"/>
        </w:rPr>
        <w:t>when</w:t>
      </w:r>
      <w:r>
        <w:rPr>
          <w:rFonts w:ascii="Gill Sans MT"/>
          <w:color w:val="231F20"/>
          <w:spacing w:val="-18"/>
          <w:w w:val="115"/>
          <w:sz w:val="18"/>
        </w:rPr>
        <w:t xml:space="preserve"> </w:t>
      </w:r>
      <w:r>
        <w:rPr>
          <w:rFonts w:ascii="Gill Sans MT"/>
          <w:color w:val="231F20"/>
          <w:w w:val="115"/>
          <w:sz w:val="18"/>
        </w:rPr>
        <w:t>it</w:t>
      </w:r>
      <w:r>
        <w:rPr>
          <w:rFonts w:ascii="Gill Sans MT"/>
          <w:color w:val="231F20"/>
          <w:spacing w:val="-18"/>
          <w:w w:val="115"/>
          <w:sz w:val="18"/>
        </w:rPr>
        <w:t xml:space="preserve"> </w:t>
      </w:r>
      <w:r>
        <w:rPr>
          <w:rFonts w:ascii="Gill Sans MT"/>
          <w:color w:val="231F20"/>
          <w:w w:val="115"/>
          <w:sz w:val="18"/>
        </w:rPr>
        <w:t>is</w:t>
      </w:r>
    </w:p>
    <w:p w14:paraId="32A694F4" w14:textId="77777777" w:rsidR="002653E8" w:rsidRDefault="003115E3">
      <w:pPr>
        <w:spacing w:before="3" w:line="276" w:lineRule="auto"/>
        <w:ind w:left="199" w:right="1350"/>
        <w:rPr>
          <w:rFonts w:ascii="Gill Sans MT"/>
          <w:sz w:val="18"/>
        </w:rPr>
      </w:pPr>
      <w:r>
        <w:rPr>
          <w:rFonts w:ascii="Gill Sans MT"/>
          <w:color w:val="231F20"/>
          <w:w w:val="110"/>
          <w:sz w:val="18"/>
        </w:rPr>
        <w:t>discovered that he has leaked the trial tapes to the media, in spite  of the fact that it is illegal to make them</w:t>
      </w:r>
      <w:r>
        <w:rPr>
          <w:rFonts w:ascii="Gill Sans MT"/>
          <w:color w:val="231F20"/>
          <w:spacing w:val="-5"/>
          <w:w w:val="110"/>
          <w:sz w:val="18"/>
        </w:rPr>
        <w:t xml:space="preserve"> </w:t>
      </w:r>
      <w:r>
        <w:rPr>
          <w:rFonts w:ascii="Gill Sans MT"/>
          <w:color w:val="231F20"/>
          <w:w w:val="110"/>
          <w:sz w:val="18"/>
        </w:rPr>
        <w:t>public.</w:t>
      </w:r>
    </w:p>
    <w:p w14:paraId="3BAD27BD" w14:textId="77777777" w:rsidR="002653E8" w:rsidRDefault="002653E8">
      <w:pPr>
        <w:pStyle w:val="a3"/>
        <w:spacing w:before="6"/>
        <w:rPr>
          <w:rFonts w:ascii="Gill Sans MT"/>
        </w:rPr>
      </w:pPr>
    </w:p>
    <w:p w14:paraId="7CDA41FE" w14:textId="77777777" w:rsidR="002653E8" w:rsidRDefault="003115E3">
      <w:pPr>
        <w:ind w:left="199"/>
        <w:rPr>
          <w:rFonts w:ascii="Arial"/>
          <w:b/>
          <w:sz w:val="18"/>
        </w:rPr>
      </w:pPr>
      <w:r>
        <w:rPr>
          <w:rFonts w:ascii="Arial"/>
          <w:b/>
          <w:color w:val="231F20"/>
          <w:w w:val="115"/>
          <w:sz w:val="18"/>
        </w:rPr>
        <w:t>January 23, 1977</w:t>
      </w:r>
    </w:p>
    <w:p w14:paraId="5C22A049" w14:textId="77777777" w:rsidR="002653E8" w:rsidRDefault="003115E3">
      <w:pPr>
        <w:spacing w:before="35" w:line="276" w:lineRule="auto"/>
        <w:ind w:left="199" w:right="1298"/>
        <w:rPr>
          <w:rFonts w:ascii="Gill Sans MT"/>
          <w:sz w:val="18"/>
        </w:rPr>
      </w:pPr>
      <w:r>
        <w:rPr>
          <w:rFonts w:ascii="Gill Sans MT"/>
          <w:color w:val="231F20"/>
          <w:w w:val="110"/>
          <w:sz w:val="18"/>
        </w:rPr>
        <w:t>Chief Judge Theodor Prinzing is expelled from the Stammheim trial for partiality following eighty-five legal requests for his removal.</w:t>
      </w:r>
    </w:p>
    <w:p w14:paraId="376C09D4" w14:textId="77777777" w:rsidR="002653E8" w:rsidRDefault="002653E8">
      <w:pPr>
        <w:pStyle w:val="a3"/>
        <w:spacing w:before="6"/>
        <w:rPr>
          <w:rFonts w:ascii="Gill Sans MT"/>
        </w:rPr>
      </w:pPr>
    </w:p>
    <w:p w14:paraId="46C1E6C7" w14:textId="77777777" w:rsidR="002653E8" w:rsidRDefault="003115E3">
      <w:pPr>
        <w:ind w:left="199"/>
        <w:rPr>
          <w:rFonts w:ascii="Arial"/>
          <w:b/>
          <w:sz w:val="18"/>
        </w:rPr>
      </w:pPr>
      <w:r>
        <w:rPr>
          <w:rFonts w:ascii="Arial"/>
          <w:b/>
          <w:color w:val="231F20"/>
          <w:w w:val="115"/>
          <w:sz w:val="18"/>
        </w:rPr>
        <w:t>January 27, 1977</w:t>
      </w:r>
    </w:p>
    <w:p w14:paraId="17BF3531" w14:textId="77777777" w:rsidR="002653E8" w:rsidRDefault="003115E3">
      <w:pPr>
        <w:spacing w:before="35" w:line="276" w:lineRule="auto"/>
        <w:ind w:left="199" w:right="998"/>
        <w:rPr>
          <w:rFonts w:ascii="Gill Sans MT"/>
          <w:sz w:val="18"/>
        </w:rPr>
      </w:pPr>
      <w:r>
        <w:rPr>
          <w:rFonts w:ascii="Gill Sans MT"/>
          <w:color w:val="231F20"/>
          <w:w w:val="110"/>
          <w:sz w:val="18"/>
        </w:rPr>
        <w:t>Seventeen states sign the European Convention on the Suppression of Terrorism in Strasbourg, France, committing them to a common struggle against terrorism.</w:t>
      </w:r>
    </w:p>
    <w:p w14:paraId="1D684490" w14:textId="77777777" w:rsidR="002653E8" w:rsidRDefault="002653E8">
      <w:pPr>
        <w:pStyle w:val="a3"/>
        <w:spacing w:before="5"/>
        <w:rPr>
          <w:rFonts w:ascii="Gill Sans MT"/>
        </w:rPr>
      </w:pPr>
    </w:p>
    <w:p w14:paraId="441AFEC9" w14:textId="77777777" w:rsidR="002653E8" w:rsidRDefault="003115E3">
      <w:pPr>
        <w:spacing w:before="1"/>
        <w:ind w:left="199"/>
        <w:rPr>
          <w:rFonts w:ascii="Arial"/>
          <w:b/>
          <w:sz w:val="18"/>
        </w:rPr>
      </w:pPr>
      <w:r>
        <w:rPr>
          <w:rFonts w:ascii="Arial"/>
          <w:b/>
          <w:color w:val="231F20"/>
          <w:w w:val="115"/>
          <w:sz w:val="18"/>
        </w:rPr>
        <w:t>February 4, 1977</w:t>
      </w:r>
    </w:p>
    <w:p w14:paraId="5AAD40E1" w14:textId="77777777" w:rsidR="002653E8" w:rsidRDefault="003115E3">
      <w:pPr>
        <w:spacing w:before="35" w:line="276" w:lineRule="auto"/>
        <w:ind w:left="199" w:right="1235" w:hanging="1"/>
        <w:rPr>
          <w:rFonts w:ascii="Gill Sans MT"/>
          <w:sz w:val="18"/>
        </w:rPr>
      </w:pPr>
      <w:r>
        <w:rPr>
          <w:rFonts w:ascii="Gill Sans MT"/>
          <w:color w:val="231F20"/>
          <w:w w:val="110"/>
          <w:sz w:val="18"/>
        </w:rPr>
        <w:t xml:space="preserve">In Vienna, </w:t>
      </w:r>
      <w:r w:rsidR="00C507A5">
        <w:rPr>
          <w:rFonts w:ascii="Gill Sans MT"/>
          <w:color w:val="231F20"/>
          <w:w w:val="110"/>
          <w:sz w:val="18"/>
        </w:rPr>
        <w:t>red army faction</w:t>
      </w:r>
      <w:r>
        <w:rPr>
          <w:rFonts w:ascii="Gill Sans MT"/>
          <w:color w:val="231F20"/>
          <w:w w:val="110"/>
          <w:sz w:val="18"/>
        </w:rPr>
        <w:t xml:space="preserve"> member Waltraud Boock is sentenced to fifteen years.</w:t>
      </w:r>
    </w:p>
    <w:p w14:paraId="439EEC1A" w14:textId="77777777" w:rsidR="002653E8" w:rsidRDefault="002653E8">
      <w:pPr>
        <w:pStyle w:val="a3"/>
        <w:spacing w:before="6"/>
        <w:rPr>
          <w:rFonts w:ascii="Gill Sans MT"/>
        </w:rPr>
      </w:pPr>
    </w:p>
    <w:p w14:paraId="42D47EA8" w14:textId="77777777" w:rsidR="002653E8" w:rsidRDefault="003115E3">
      <w:pPr>
        <w:ind w:left="199"/>
        <w:rPr>
          <w:rFonts w:ascii="Arial"/>
          <w:b/>
          <w:sz w:val="18"/>
        </w:rPr>
      </w:pPr>
      <w:r>
        <w:rPr>
          <w:rFonts w:ascii="Arial"/>
          <w:b/>
          <w:color w:val="231F20"/>
          <w:w w:val="115"/>
          <w:sz w:val="18"/>
        </w:rPr>
        <w:t>February 8, 1977</w:t>
      </w:r>
    </w:p>
    <w:p w14:paraId="6D0BCB5F" w14:textId="77777777" w:rsidR="002653E8" w:rsidRDefault="00C507A5">
      <w:pPr>
        <w:spacing w:before="35" w:line="276" w:lineRule="auto"/>
        <w:ind w:left="199" w:right="1385"/>
        <w:rPr>
          <w:rFonts w:ascii="Gill Sans MT"/>
          <w:sz w:val="18"/>
        </w:rPr>
      </w:pPr>
      <w:r>
        <w:rPr>
          <w:rFonts w:ascii="Gill Sans MT"/>
          <w:color w:val="231F20"/>
          <w:w w:val="115"/>
          <w:sz w:val="18"/>
        </w:rPr>
        <w:t>red army faction</w:t>
      </w:r>
      <w:r w:rsidR="003115E3">
        <w:rPr>
          <w:rFonts w:ascii="Gill Sans MT"/>
          <w:color w:val="231F20"/>
          <w:spacing w:val="-32"/>
          <w:w w:val="115"/>
          <w:sz w:val="18"/>
        </w:rPr>
        <w:t xml:space="preserve"> </w:t>
      </w:r>
      <w:r w:rsidR="003115E3">
        <w:rPr>
          <w:rFonts w:ascii="Gill Sans MT"/>
          <w:color w:val="231F20"/>
          <w:w w:val="115"/>
          <w:sz w:val="18"/>
        </w:rPr>
        <w:t>member</w:t>
      </w:r>
      <w:r w:rsidR="003115E3">
        <w:rPr>
          <w:rFonts w:ascii="Gill Sans MT"/>
          <w:color w:val="231F20"/>
          <w:spacing w:val="-32"/>
          <w:w w:val="115"/>
          <w:sz w:val="18"/>
        </w:rPr>
        <w:t xml:space="preserve"> </w:t>
      </w:r>
      <w:r w:rsidR="003115E3">
        <w:rPr>
          <w:rFonts w:ascii="Gill Sans MT"/>
          <w:color w:val="231F20"/>
          <w:w w:val="115"/>
          <w:sz w:val="18"/>
        </w:rPr>
        <w:t>Brigitte</w:t>
      </w:r>
      <w:r w:rsidR="003115E3">
        <w:rPr>
          <w:rFonts w:ascii="Gill Sans MT"/>
          <w:color w:val="231F20"/>
          <w:spacing w:val="-32"/>
          <w:w w:val="115"/>
          <w:sz w:val="18"/>
        </w:rPr>
        <w:t xml:space="preserve"> </w:t>
      </w:r>
      <w:r w:rsidR="003115E3">
        <w:rPr>
          <w:rFonts w:ascii="Gill Sans MT"/>
          <w:color w:val="231F20"/>
          <w:w w:val="115"/>
          <w:sz w:val="18"/>
        </w:rPr>
        <w:t>Mohnhaupt</w:t>
      </w:r>
      <w:r w:rsidR="003115E3">
        <w:rPr>
          <w:rFonts w:ascii="Gill Sans MT"/>
          <w:color w:val="231F20"/>
          <w:w w:val="113"/>
          <w:sz w:val="18"/>
        </w:rPr>
        <w:t xml:space="preserve"> </w:t>
      </w:r>
      <w:r w:rsidR="003115E3">
        <w:rPr>
          <w:rFonts w:ascii="Gill Sans MT"/>
          <w:color w:val="231F20"/>
          <w:w w:val="115"/>
          <w:sz w:val="18"/>
        </w:rPr>
        <w:t>is released from prison and immediately goes back underground.</w:t>
      </w:r>
    </w:p>
    <w:p w14:paraId="7885DB44" w14:textId="77777777" w:rsidR="002653E8" w:rsidRDefault="002653E8">
      <w:pPr>
        <w:spacing w:line="276" w:lineRule="auto"/>
        <w:rPr>
          <w:rFonts w:ascii="Gill Sans MT"/>
          <w:sz w:val="18"/>
        </w:rPr>
        <w:sectPr w:rsidR="002653E8">
          <w:footerReference w:type="even" r:id="rId518"/>
          <w:pgSz w:w="8640" w:h="12960"/>
          <w:pgMar w:top="1060" w:right="0" w:bottom="280" w:left="0" w:header="0" w:footer="0" w:gutter="0"/>
          <w:cols w:num="2" w:space="720" w:equalWidth="0">
            <w:col w:w="4291" w:space="40"/>
            <w:col w:w="4309"/>
          </w:cols>
        </w:sectPr>
      </w:pPr>
    </w:p>
    <w:p w14:paraId="4239C54D" w14:textId="77777777" w:rsidR="002653E8" w:rsidRDefault="002653E8">
      <w:pPr>
        <w:pStyle w:val="a3"/>
        <w:rPr>
          <w:rFonts w:ascii="Gill Sans MT"/>
        </w:rPr>
      </w:pPr>
    </w:p>
    <w:p w14:paraId="3D52EFB8" w14:textId="77777777" w:rsidR="002653E8" w:rsidRDefault="002653E8">
      <w:pPr>
        <w:pStyle w:val="a3"/>
        <w:rPr>
          <w:rFonts w:ascii="Gill Sans MT"/>
        </w:rPr>
      </w:pPr>
    </w:p>
    <w:p w14:paraId="31C32A08" w14:textId="77777777" w:rsidR="002653E8" w:rsidRDefault="002653E8">
      <w:pPr>
        <w:pStyle w:val="a3"/>
        <w:spacing w:before="10"/>
        <w:rPr>
          <w:rFonts w:ascii="Gill Sans MT"/>
          <w:sz w:val="23"/>
        </w:rPr>
      </w:pPr>
    </w:p>
    <w:p w14:paraId="273033A0" w14:textId="77777777" w:rsidR="002653E8" w:rsidRDefault="002653E8">
      <w:pPr>
        <w:rPr>
          <w:rFonts w:ascii="Gill Sans MT"/>
          <w:sz w:val="23"/>
        </w:rPr>
        <w:sectPr w:rsidR="002653E8">
          <w:type w:val="continuous"/>
          <w:pgSz w:w="8640" w:h="12960"/>
          <w:pgMar w:top="0" w:right="0" w:bottom="0" w:left="0" w:header="720" w:footer="720" w:gutter="0"/>
          <w:cols w:space="720"/>
        </w:sectPr>
      </w:pPr>
    </w:p>
    <w:p w14:paraId="7F3935DF" w14:textId="77777777" w:rsidR="002653E8" w:rsidRDefault="003115E3">
      <w:pPr>
        <w:spacing w:before="145"/>
        <w:ind w:left="1327"/>
        <w:rPr>
          <w:sz w:val="18"/>
        </w:rPr>
      </w:pPr>
      <w:r>
        <w:rPr>
          <w:color w:val="231F20"/>
          <w:w w:val="120"/>
          <w:sz w:val="18"/>
        </w:rPr>
        <w:t>a chronology</w:t>
      </w:r>
      <w:r>
        <w:rPr>
          <w:color w:val="231F20"/>
          <w:sz w:val="18"/>
        </w:rPr>
        <w:t xml:space="preserve"> </w:t>
      </w:r>
    </w:p>
    <w:p w14:paraId="50D4A76B" w14:textId="77777777" w:rsidR="002653E8" w:rsidRDefault="003115E3">
      <w:pPr>
        <w:spacing w:before="5"/>
        <w:ind w:left="1327"/>
        <w:rPr>
          <w:sz w:val="18"/>
        </w:rPr>
      </w:pPr>
      <w:r>
        <w:rPr>
          <w:color w:val="231F20"/>
          <w:w w:val="110"/>
          <w:sz w:val="18"/>
        </w:rPr>
        <w:t>february 8, 1977</w:t>
      </w:r>
      <w:r>
        <w:rPr>
          <w:color w:val="231F20"/>
          <w:sz w:val="18"/>
        </w:rPr>
        <w:t xml:space="preserve"> </w:t>
      </w:r>
    </w:p>
    <w:p w14:paraId="09279402" w14:textId="77777777" w:rsidR="002653E8" w:rsidRDefault="003115E3">
      <w:pPr>
        <w:spacing w:before="100"/>
        <w:ind w:left="1346" w:right="1141"/>
        <w:jc w:val="center"/>
        <w:rPr>
          <w:sz w:val="18"/>
        </w:rPr>
      </w:pPr>
      <w:r>
        <w:br w:type="column"/>
      </w:r>
      <w:r>
        <w:rPr>
          <w:color w:val="231F20"/>
          <w:sz w:val="18"/>
        </w:rPr>
        <w:lastRenderedPageBreak/>
        <w:t xml:space="preserve">603 </w:t>
      </w:r>
    </w:p>
    <w:p w14:paraId="4E65C5ED" w14:textId="77777777" w:rsidR="002653E8" w:rsidRDefault="002653E8">
      <w:pPr>
        <w:jc w:val="center"/>
        <w:rPr>
          <w:sz w:val="18"/>
        </w:rPr>
        <w:sectPr w:rsidR="002653E8">
          <w:type w:val="continuous"/>
          <w:pgSz w:w="8640" w:h="12960"/>
          <w:pgMar w:top="0" w:right="0" w:bottom="0" w:left="0" w:header="720" w:footer="720" w:gutter="0"/>
          <w:cols w:num="2" w:space="720" w:equalWidth="0">
            <w:col w:w="3217" w:space="2597"/>
            <w:col w:w="2826"/>
          </w:cols>
        </w:sectPr>
      </w:pPr>
    </w:p>
    <w:p w14:paraId="3166ED97" w14:textId="77777777" w:rsidR="002653E8" w:rsidRDefault="003115E3">
      <w:pPr>
        <w:spacing w:before="91"/>
        <w:ind w:left="1147"/>
        <w:rPr>
          <w:rFonts w:ascii="Arial"/>
          <w:b/>
          <w:sz w:val="18"/>
        </w:rPr>
      </w:pPr>
      <w:r>
        <w:rPr>
          <w:rFonts w:ascii="Arial"/>
          <w:b/>
          <w:color w:val="231F20"/>
          <w:w w:val="115"/>
          <w:sz w:val="18"/>
        </w:rPr>
        <w:lastRenderedPageBreak/>
        <w:t>March 17, 1977</w:t>
      </w:r>
    </w:p>
    <w:p w14:paraId="54B58130" w14:textId="77777777" w:rsidR="002653E8" w:rsidRDefault="003115E3">
      <w:pPr>
        <w:spacing w:before="34" w:line="276" w:lineRule="auto"/>
        <w:ind w:left="1147" w:right="33"/>
        <w:rPr>
          <w:rFonts w:ascii="Gill Sans MT" w:hAnsi="Gill Sans MT"/>
          <w:sz w:val="18"/>
        </w:rPr>
      </w:pPr>
      <w:r>
        <w:rPr>
          <w:rFonts w:ascii="Gill Sans MT" w:hAnsi="Gill Sans MT"/>
          <w:color w:val="231F20"/>
          <w:w w:val="110"/>
          <w:sz w:val="18"/>
        </w:rPr>
        <w:t xml:space="preserve">The state admits to having bugged the cells of seven </w:t>
      </w:r>
      <w:r w:rsidR="00C507A5">
        <w:rPr>
          <w:rFonts w:ascii="Gill Sans MT" w:hAnsi="Gill Sans MT"/>
          <w:color w:val="231F20"/>
          <w:w w:val="110"/>
          <w:sz w:val="18"/>
        </w:rPr>
        <w:t>red army faction</w:t>
      </w:r>
      <w:r>
        <w:rPr>
          <w:rFonts w:ascii="Gill Sans MT" w:hAnsi="Gill Sans MT"/>
          <w:color w:val="231F20"/>
          <w:w w:val="110"/>
          <w:sz w:val="18"/>
        </w:rPr>
        <w:t xml:space="preserve"> prisoners, and to having listened in on the prisoners’ conversations with their attorneys. They claim, however,</w:t>
      </w:r>
    </w:p>
    <w:p w14:paraId="5229E547" w14:textId="77777777" w:rsidR="002653E8" w:rsidRDefault="003115E3">
      <w:pPr>
        <w:spacing w:line="276" w:lineRule="auto"/>
        <w:ind w:left="1147" w:right="17"/>
        <w:rPr>
          <w:rFonts w:ascii="Gill Sans MT"/>
          <w:sz w:val="18"/>
        </w:rPr>
      </w:pPr>
      <w:r>
        <w:rPr>
          <w:rFonts w:ascii="Gill Sans MT"/>
          <w:color w:val="231F20"/>
          <w:w w:val="110"/>
          <w:sz w:val="18"/>
        </w:rPr>
        <w:t>to have only used the bugs briefly on two occasions, during the Stockholm</w:t>
      </w:r>
      <w:r>
        <w:rPr>
          <w:rFonts w:ascii="Gill Sans MT"/>
          <w:color w:val="231F20"/>
          <w:spacing w:val="-9"/>
          <w:w w:val="110"/>
          <w:sz w:val="18"/>
        </w:rPr>
        <w:t xml:space="preserve"> </w:t>
      </w:r>
      <w:r>
        <w:rPr>
          <w:rFonts w:ascii="Gill Sans MT"/>
          <w:color w:val="231F20"/>
          <w:w w:val="110"/>
          <w:sz w:val="18"/>
        </w:rPr>
        <w:t>crisis</w:t>
      </w:r>
      <w:r>
        <w:rPr>
          <w:rFonts w:ascii="Gill Sans MT"/>
          <w:color w:val="231F20"/>
          <w:spacing w:val="-9"/>
          <w:w w:val="110"/>
          <w:sz w:val="18"/>
        </w:rPr>
        <w:t xml:space="preserve"> </w:t>
      </w:r>
      <w:r>
        <w:rPr>
          <w:rFonts w:ascii="Gill Sans MT"/>
          <w:color w:val="231F20"/>
          <w:w w:val="110"/>
          <w:sz w:val="18"/>
        </w:rPr>
        <w:t>of</w:t>
      </w:r>
      <w:r>
        <w:rPr>
          <w:rFonts w:ascii="Gill Sans MT"/>
          <w:color w:val="231F20"/>
          <w:spacing w:val="-9"/>
          <w:w w:val="110"/>
          <w:sz w:val="18"/>
        </w:rPr>
        <w:t xml:space="preserve"> </w:t>
      </w:r>
      <w:r>
        <w:rPr>
          <w:rFonts w:ascii="Arial"/>
          <w:color w:val="231F20"/>
          <w:w w:val="110"/>
          <w:sz w:val="18"/>
        </w:rPr>
        <w:t>1975</w:t>
      </w:r>
      <w:r>
        <w:rPr>
          <w:rFonts w:ascii="Gill Sans MT"/>
          <w:color w:val="231F20"/>
          <w:w w:val="110"/>
          <w:sz w:val="18"/>
        </w:rPr>
        <w:t>,</w:t>
      </w:r>
      <w:r>
        <w:rPr>
          <w:rFonts w:ascii="Gill Sans MT"/>
          <w:color w:val="231F20"/>
          <w:spacing w:val="-9"/>
          <w:w w:val="110"/>
          <w:sz w:val="18"/>
        </w:rPr>
        <w:t xml:space="preserve"> </w:t>
      </w:r>
      <w:r>
        <w:rPr>
          <w:rFonts w:ascii="Gill Sans MT"/>
          <w:color w:val="231F20"/>
          <w:w w:val="110"/>
          <w:sz w:val="18"/>
        </w:rPr>
        <w:t>and</w:t>
      </w:r>
      <w:r>
        <w:rPr>
          <w:rFonts w:ascii="Gill Sans MT"/>
          <w:color w:val="231F20"/>
          <w:spacing w:val="-9"/>
          <w:w w:val="110"/>
          <w:sz w:val="18"/>
        </w:rPr>
        <w:t xml:space="preserve"> </w:t>
      </w:r>
      <w:r>
        <w:rPr>
          <w:rFonts w:ascii="Gill Sans MT"/>
          <w:color w:val="231F20"/>
          <w:w w:val="110"/>
          <w:sz w:val="18"/>
        </w:rPr>
        <w:t xml:space="preserve">briefly on one occasion in </w:t>
      </w:r>
      <w:r>
        <w:rPr>
          <w:rFonts w:ascii="Arial"/>
          <w:color w:val="231F20"/>
          <w:w w:val="110"/>
          <w:sz w:val="18"/>
        </w:rPr>
        <w:t>1976</w:t>
      </w:r>
      <w:r>
        <w:rPr>
          <w:rFonts w:ascii="Gill Sans MT"/>
          <w:color w:val="231F20"/>
          <w:w w:val="110"/>
          <w:sz w:val="18"/>
        </w:rPr>
        <w:t>. They also claim to have destroyed the tapes immediately</w:t>
      </w:r>
      <w:r>
        <w:rPr>
          <w:rFonts w:ascii="Gill Sans MT"/>
          <w:color w:val="231F20"/>
          <w:spacing w:val="-4"/>
          <w:w w:val="110"/>
          <w:sz w:val="18"/>
        </w:rPr>
        <w:t xml:space="preserve"> </w:t>
      </w:r>
      <w:r>
        <w:rPr>
          <w:rFonts w:ascii="Gill Sans MT"/>
          <w:color w:val="231F20"/>
          <w:w w:val="110"/>
          <w:sz w:val="18"/>
        </w:rPr>
        <w:t>afterwards.</w:t>
      </w:r>
    </w:p>
    <w:p w14:paraId="2C4DC2A4" w14:textId="77777777" w:rsidR="002653E8" w:rsidRDefault="003115E3">
      <w:pPr>
        <w:spacing w:line="276" w:lineRule="auto"/>
        <w:ind w:left="1147" w:right="-16" w:hanging="1"/>
        <w:rPr>
          <w:rFonts w:ascii="Gill Sans MT"/>
          <w:sz w:val="18"/>
        </w:rPr>
      </w:pPr>
      <w:r>
        <w:rPr>
          <w:rFonts w:ascii="Gill Sans MT"/>
          <w:color w:val="231F20"/>
          <w:w w:val="115"/>
          <w:sz w:val="18"/>
        </w:rPr>
        <w:t>The</w:t>
      </w:r>
      <w:r>
        <w:rPr>
          <w:rFonts w:ascii="Gill Sans MT"/>
          <w:color w:val="231F20"/>
          <w:spacing w:val="-30"/>
          <w:w w:val="115"/>
          <w:sz w:val="18"/>
        </w:rPr>
        <w:t xml:space="preserve"> </w:t>
      </w:r>
      <w:r>
        <w:rPr>
          <w:rFonts w:ascii="Gill Sans MT"/>
          <w:color w:val="231F20"/>
          <w:w w:val="115"/>
          <w:sz w:val="18"/>
        </w:rPr>
        <w:t>media</w:t>
      </w:r>
      <w:r>
        <w:rPr>
          <w:rFonts w:ascii="Gill Sans MT"/>
          <w:color w:val="231F20"/>
          <w:spacing w:val="-30"/>
          <w:w w:val="115"/>
          <w:sz w:val="18"/>
        </w:rPr>
        <w:t xml:space="preserve"> </w:t>
      </w:r>
      <w:r>
        <w:rPr>
          <w:rFonts w:ascii="Gill Sans MT"/>
          <w:color w:val="231F20"/>
          <w:w w:val="115"/>
          <w:sz w:val="18"/>
        </w:rPr>
        <w:t>spreads</w:t>
      </w:r>
      <w:r>
        <w:rPr>
          <w:rFonts w:ascii="Gill Sans MT"/>
          <w:color w:val="231F20"/>
          <w:spacing w:val="-30"/>
          <w:w w:val="115"/>
          <w:sz w:val="18"/>
        </w:rPr>
        <w:t xml:space="preserve"> </w:t>
      </w:r>
      <w:r>
        <w:rPr>
          <w:rFonts w:ascii="Gill Sans MT"/>
          <w:color w:val="231F20"/>
          <w:w w:val="115"/>
          <w:sz w:val="18"/>
        </w:rPr>
        <w:t>rumours</w:t>
      </w:r>
      <w:r>
        <w:rPr>
          <w:rFonts w:ascii="Gill Sans MT"/>
          <w:color w:val="231F20"/>
          <w:spacing w:val="-30"/>
          <w:w w:val="115"/>
          <w:sz w:val="18"/>
        </w:rPr>
        <w:t xml:space="preserve"> </w:t>
      </w:r>
      <w:r>
        <w:rPr>
          <w:rFonts w:ascii="Gill Sans MT"/>
          <w:color w:val="231F20"/>
          <w:w w:val="115"/>
          <w:sz w:val="18"/>
        </w:rPr>
        <w:t>that</w:t>
      </w:r>
      <w:r>
        <w:rPr>
          <w:rFonts w:ascii="Gill Sans MT"/>
          <w:color w:val="231F20"/>
          <w:spacing w:val="-30"/>
          <w:w w:val="115"/>
          <w:sz w:val="18"/>
        </w:rPr>
        <w:t xml:space="preserve"> </w:t>
      </w:r>
      <w:r>
        <w:rPr>
          <w:rFonts w:ascii="Gill Sans MT"/>
          <w:color w:val="231F20"/>
          <w:w w:val="115"/>
          <w:sz w:val="18"/>
        </w:rPr>
        <w:t xml:space="preserve">the </w:t>
      </w:r>
      <w:r w:rsidR="00C507A5">
        <w:rPr>
          <w:rFonts w:ascii="Gill Sans MT"/>
          <w:color w:val="231F20"/>
          <w:w w:val="115"/>
          <w:sz w:val="18"/>
        </w:rPr>
        <w:t>red army faction</w:t>
      </w:r>
      <w:r>
        <w:rPr>
          <w:rFonts w:ascii="Gill Sans MT"/>
          <w:color w:val="231F20"/>
          <w:w w:val="115"/>
          <w:sz w:val="18"/>
        </w:rPr>
        <w:t xml:space="preserve"> is planning to kidnap children from</w:t>
      </w:r>
      <w:r>
        <w:rPr>
          <w:rFonts w:ascii="Gill Sans MT"/>
          <w:color w:val="231F20"/>
          <w:spacing w:val="-9"/>
          <w:w w:val="115"/>
          <w:sz w:val="18"/>
        </w:rPr>
        <w:t xml:space="preserve"> </w:t>
      </w:r>
      <w:r>
        <w:rPr>
          <w:rFonts w:ascii="Gill Sans MT"/>
          <w:color w:val="231F20"/>
          <w:w w:val="115"/>
          <w:sz w:val="18"/>
        </w:rPr>
        <w:t>playgrounds.</w:t>
      </w:r>
    </w:p>
    <w:p w14:paraId="3E30CBFE" w14:textId="77777777" w:rsidR="002653E8" w:rsidRDefault="002653E8">
      <w:pPr>
        <w:pStyle w:val="a3"/>
        <w:spacing w:before="3"/>
        <w:rPr>
          <w:rFonts w:ascii="Gill Sans MT"/>
        </w:rPr>
      </w:pPr>
    </w:p>
    <w:p w14:paraId="710EB4E0" w14:textId="77777777" w:rsidR="002653E8" w:rsidRDefault="003115E3">
      <w:pPr>
        <w:spacing w:line="276" w:lineRule="auto"/>
        <w:ind w:left="1147" w:right="363"/>
        <w:rPr>
          <w:rFonts w:ascii="Gill Sans MT" w:hAnsi="Gill Sans MT"/>
          <w:sz w:val="18"/>
        </w:rPr>
      </w:pPr>
      <w:r>
        <w:rPr>
          <w:rFonts w:ascii="Arial" w:hAnsi="Arial"/>
          <w:b/>
          <w:color w:val="231F20"/>
          <w:w w:val="115"/>
          <w:sz w:val="18"/>
        </w:rPr>
        <w:t xml:space="preserve">March 29–April 30, 1977 </w:t>
      </w:r>
      <w:r w:rsidR="00C507A5">
        <w:rPr>
          <w:rFonts w:ascii="Gill Sans MT" w:hAnsi="Gill Sans MT"/>
          <w:color w:val="231F20"/>
          <w:w w:val="115"/>
          <w:sz w:val="18"/>
        </w:rPr>
        <w:t>red army faction</w:t>
      </w:r>
      <w:r>
        <w:rPr>
          <w:rFonts w:ascii="Gill Sans MT" w:hAnsi="Gill Sans MT"/>
          <w:color w:val="231F20"/>
          <w:w w:val="115"/>
          <w:sz w:val="18"/>
        </w:rPr>
        <w:t xml:space="preserve"> and 2JM prisoners begin the</w:t>
      </w:r>
      <w:r>
        <w:rPr>
          <w:rFonts w:ascii="Gill Sans MT" w:hAnsi="Gill Sans MT"/>
          <w:color w:val="231F20"/>
          <w:spacing w:val="-33"/>
          <w:w w:val="115"/>
          <w:sz w:val="18"/>
        </w:rPr>
        <w:t xml:space="preserve"> </w:t>
      </w:r>
      <w:r>
        <w:rPr>
          <w:rFonts w:ascii="Arial" w:hAnsi="Arial"/>
          <w:color w:val="231F20"/>
          <w:w w:val="115"/>
          <w:sz w:val="18"/>
        </w:rPr>
        <w:t>4</w:t>
      </w:r>
      <w:r>
        <w:rPr>
          <w:rFonts w:ascii="Gill Sans MT" w:hAnsi="Gill Sans MT"/>
          <w:color w:val="231F20"/>
          <w:w w:val="115"/>
          <w:sz w:val="18"/>
        </w:rPr>
        <w:t>th</w:t>
      </w:r>
      <w:r>
        <w:rPr>
          <w:rFonts w:ascii="Gill Sans MT" w:hAnsi="Gill Sans MT"/>
          <w:color w:val="231F20"/>
          <w:spacing w:val="-33"/>
          <w:w w:val="115"/>
          <w:sz w:val="18"/>
        </w:rPr>
        <w:t xml:space="preserve"> </w:t>
      </w:r>
      <w:r>
        <w:rPr>
          <w:rFonts w:ascii="Gill Sans MT" w:hAnsi="Gill Sans MT"/>
          <w:color w:val="231F20"/>
          <w:w w:val="115"/>
          <w:sz w:val="18"/>
        </w:rPr>
        <w:t>collective</w:t>
      </w:r>
      <w:r>
        <w:rPr>
          <w:rFonts w:ascii="Gill Sans MT" w:hAnsi="Gill Sans MT"/>
          <w:color w:val="231F20"/>
          <w:spacing w:val="-33"/>
          <w:w w:val="115"/>
          <w:sz w:val="18"/>
        </w:rPr>
        <w:t xml:space="preserve"> </w:t>
      </w:r>
      <w:r>
        <w:rPr>
          <w:rFonts w:ascii="Gill Sans MT" w:hAnsi="Gill Sans MT"/>
          <w:color w:val="231F20"/>
          <w:w w:val="115"/>
          <w:sz w:val="18"/>
        </w:rPr>
        <w:t>hunger</w:t>
      </w:r>
      <w:r>
        <w:rPr>
          <w:rFonts w:ascii="Gill Sans MT" w:hAnsi="Gill Sans MT"/>
          <w:color w:val="231F20"/>
          <w:spacing w:val="-33"/>
          <w:w w:val="115"/>
          <w:sz w:val="18"/>
        </w:rPr>
        <w:t xml:space="preserve"> </w:t>
      </w:r>
      <w:r>
        <w:rPr>
          <w:rFonts w:ascii="Gill Sans MT" w:hAnsi="Gill Sans MT"/>
          <w:color w:val="231F20"/>
          <w:w w:val="115"/>
          <w:sz w:val="18"/>
        </w:rPr>
        <w:t>strike,</w:t>
      </w:r>
    </w:p>
    <w:p w14:paraId="5C3DDAE7" w14:textId="77777777" w:rsidR="002653E8" w:rsidRDefault="003115E3">
      <w:pPr>
        <w:spacing w:before="2" w:line="276" w:lineRule="auto"/>
        <w:ind w:left="1147" w:right="165"/>
        <w:rPr>
          <w:rFonts w:ascii="Gill Sans MT"/>
          <w:sz w:val="18"/>
        </w:rPr>
      </w:pPr>
      <w:r>
        <w:rPr>
          <w:rFonts w:ascii="Gill Sans MT"/>
          <w:color w:val="231F20"/>
          <w:w w:val="110"/>
          <w:sz w:val="18"/>
        </w:rPr>
        <w:t>demanding POW status under the Geneva Convention, association in groups of no less</w:t>
      </w:r>
      <w:r>
        <w:rPr>
          <w:rFonts w:ascii="Gill Sans MT"/>
          <w:color w:val="231F20"/>
          <w:spacing w:val="-17"/>
          <w:w w:val="110"/>
          <w:sz w:val="18"/>
        </w:rPr>
        <w:t xml:space="preserve"> </w:t>
      </w:r>
      <w:r>
        <w:rPr>
          <w:rFonts w:ascii="Gill Sans MT"/>
          <w:color w:val="231F20"/>
          <w:w w:val="110"/>
          <w:sz w:val="18"/>
        </w:rPr>
        <w:t>than</w:t>
      </w:r>
    </w:p>
    <w:p w14:paraId="4C03AE8D" w14:textId="77777777" w:rsidR="002653E8" w:rsidRDefault="003115E3">
      <w:pPr>
        <w:spacing w:line="276" w:lineRule="auto"/>
        <w:ind w:left="1147" w:right="137"/>
        <w:rPr>
          <w:rFonts w:ascii="Gill Sans MT"/>
          <w:sz w:val="18"/>
        </w:rPr>
      </w:pPr>
      <w:r>
        <w:rPr>
          <w:rFonts w:ascii="Gill Sans MT"/>
          <w:color w:val="231F20"/>
          <w:w w:val="115"/>
          <w:sz w:val="18"/>
        </w:rPr>
        <w:t>fifteen, abolition of isolation, an international</w:t>
      </w:r>
      <w:r>
        <w:rPr>
          <w:rFonts w:ascii="Gill Sans MT"/>
          <w:color w:val="231F20"/>
          <w:spacing w:val="-34"/>
          <w:w w:val="115"/>
          <w:sz w:val="18"/>
        </w:rPr>
        <w:t xml:space="preserve"> </w:t>
      </w:r>
      <w:r>
        <w:rPr>
          <w:rFonts w:ascii="Gill Sans MT"/>
          <w:color w:val="231F20"/>
          <w:w w:val="115"/>
          <w:sz w:val="18"/>
        </w:rPr>
        <w:t>investigation</w:t>
      </w:r>
      <w:r>
        <w:rPr>
          <w:rFonts w:ascii="Gill Sans MT"/>
          <w:color w:val="231F20"/>
          <w:spacing w:val="-34"/>
          <w:w w:val="115"/>
          <w:sz w:val="18"/>
        </w:rPr>
        <w:t xml:space="preserve"> </w:t>
      </w:r>
      <w:r>
        <w:rPr>
          <w:rFonts w:ascii="Gill Sans MT"/>
          <w:color w:val="231F20"/>
          <w:w w:val="115"/>
          <w:sz w:val="18"/>
        </w:rPr>
        <w:t>into</w:t>
      </w:r>
      <w:r>
        <w:rPr>
          <w:rFonts w:ascii="Gill Sans MT"/>
          <w:color w:val="231F20"/>
          <w:spacing w:val="-34"/>
          <w:w w:val="115"/>
          <w:sz w:val="18"/>
        </w:rPr>
        <w:t xml:space="preserve"> </w:t>
      </w:r>
      <w:r>
        <w:rPr>
          <w:rFonts w:ascii="Gill Sans MT"/>
          <w:color w:val="231F20"/>
          <w:w w:val="115"/>
          <w:sz w:val="18"/>
        </w:rPr>
        <w:t xml:space="preserve">the deaths of Holger Meins, Siegfried </w:t>
      </w:r>
      <w:r>
        <w:rPr>
          <w:rFonts w:ascii="Gill Sans MT"/>
          <w:color w:val="231F20"/>
          <w:spacing w:val="-3"/>
          <w:w w:val="115"/>
          <w:sz w:val="18"/>
        </w:rPr>
        <w:t xml:space="preserve">Hausner, </w:t>
      </w:r>
      <w:r>
        <w:rPr>
          <w:rFonts w:ascii="Gill Sans MT"/>
          <w:color w:val="231F20"/>
          <w:w w:val="115"/>
          <w:sz w:val="18"/>
        </w:rPr>
        <w:t>and ulrike</w:t>
      </w:r>
      <w:r>
        <w:rPr>
          <w:rFonts w:ascii="Gill Sans MT"/>
          <w:color w:val="231F20"/>
          <w:spacing w:val="-30"/>
          <w:w w:val="115"/>
          <w:sz w:val="18"/>
        </w:rPr>
        <w:t xml:space="preserve"> </w:t>
      </w:r>
      <w:r>
        <w:rPr>
          <w:rFonts w:ascii="Gill Sans MT"/>
          <w:color w:val="231F20"/>
          <w:w w:val="115"/>
          <w:sz w:val="18"/>
        </w:rPr>
        <w:t>Meinhof,</w:t>
      </w:r>
    </w:p>
    <w:p w14:paraId="444C40DF" w14:textId="77777777" w:rsidR="002653E8" w:rsidRDefault="003115E3">
      <w:pPr>
        <w:spacing w:line="276" w:lineRule="auto"/>
        <w:ind w:left="1147" w:right="11"/>
        <w:rPr>
          <w:rFonts w:ascii="Gill Sans MT" w:hAnsi="Gill Sans MT"/>
          <w:sz w:val="18"/>
        </w:rPr>
      </w:pPr>
      <w:r>
        <w:rPr>
          <w:rFonts w:ascii="Gill Sans MT" w:hAnsi="Gill Sans MT"/>
          <w:color w:val="231F20"/>
          <w:w w:val="115"/>
          <w:sz w:val="18"/>
        </w:rPr>
        <w:t xml:space="preserve">and an end to psychological warfare through false actions and </w:t>
      </w:r>
      <w:r>
        <w:rPr>
          <w:rFonts w:ascii="Gill Sans MT" w:hAnsi="Gill Sans MT"/>
          <w:color w:val="231F20"/>
          <w:w w:val="110"/>
          <w:sz w:val="18"/>
        </w:rPr>
        <w:t xml:space="preserve">communiqués. Thirty-five prisoners </w:t>
      </w:r>
      <w:r>
        <w:rPr>
          <w:rFonts w:ascii="Gill Sans MT" w:hAnsi="Gill Sans MT"/>
          <w:color w:val="231F20"/>
          <w:w w:val="115"/>
          <w:sz w:val="18"/>
        </w:rPr>
        <w:t>participate from the outset, including</w:t>
      </w:r>
      <w:r>
        <w:rPr>
          <w:rFonts w:ascii="Gill Sans MT" w:hAnsi="Gill Sans MT"/>
          <w:color w:val="231F20"/>
          <w:spacing w:val="-35"/>
          <w:w w:val="115"/>
          <w:sz w:val="18"/>
        </w:rPr>
        <w:t xml:space="preserve"> </w:t>
      </w:r>
      <w:r>
        <w:rPr>
          <w:rFonts w:ascii="Gill Sans MT" w:hAnsi="Gill Sans MT"/>
          <w:color w:val="231F20"/>
          <w:w w:val="115"/>
          <w:sz w:val="18"/>
        </w:rPr>
        <w:t>Waltraud</w:t>
      </w:r>
      <w:r>
        <w:rPr>
          <w:rFonts w:ascii="Gill Sans MT" w:hAnsi="Gill Sans MT"/>
          <w:color w:val="231F20"/>
          <w:spacing w:val="-35"/>
          <w:w w:val="115"/>
          <w:sz w:val="18"/>
        </w:rPr>
        <w:t xml:space="preserve"> </w:t>
      </w:r>
      <w:r>
        <w:rPr>
          <w:rFonts w:ascii="Gill Sans MT" w:hAnsi="Gill Sans MT"/>
          <w:color w:val="231F20"/>
          <w:w w:val="115"/>
          <w:sz w:val="18"/>
        </w:rPr>
        <w:t>Boock</w:t>
      </w:r>
      <w:r>
        <w:rPr>
          <w:rFonts w:ascii="Gill Sans MT" w:hAnsi="Gill Sans MT"/>
          <w:color w:val="231F20"/>
          <w:spacing w:val="-35"/>
          <w:w w:val="115"/>
          <w:sz w:val="18"/>
        </w:rPr>
        <w:t xml:space="preserve"> </w:t>
      </w:r>
      <w:r>
        <w:rPr>
          <w:rFonts w:ascii="Gill Sans MT" w:hAnsi="Gill Sans MT"/>
          <w:color w:val="231F20"/>
          <w:w w:val="115"/>
          <w:sz w:val="18"/>
        </w:rPr>
        <w:t>in</w:t>
      </w:r>
      <w:r>
        <w:rPr>
          <w:rFonts w:ascii="Gill Sans MT" w:hAnsi="Gill Sans MT"/>
          <w:color w:val="231F20"/>
          <w:spacing w:val="-35"/>
          <w:w w:val="115"/>
          <w:sz w:val="18"/>
        </w:rPr>
        <w:t xml:space="preserve"> </w:t>
      </w:r>
      <w:r>
        <w:rPr>
          <w:rFonts w:ascii="Gill Sans MT" w:hAnsi="Gill Sans MT"/>
          <w:color w:val="231F20"/>
          <w:w w:val="115"/>
          <w:sz w:val="18"/>
        </w:rPr>
        <w:t>Vienna, but</w:t>
      </w:r>
      <w:r>
        <w:rPr>
          <w:rFonts w:ascii="Gill Sans MT" w:hAnsi="Gill Sans MT"/>
          <w:color w:val="231F20"/>
          <w:spacing w:val="-30"/>
          <w:w w:val="115"/>
          <w:sz w:val="18"/>
        </w:rPr>
        <w:t xml:space="preserve"> </w:t>
      </w:r>
      <w:r>
        <w:rPr>
          <w:rFonts w:ascii="Gill Sans MT" w:hAnsi="Gill Sans MT"/>
          <w:color w:val="231F20"/>
          <w:w w:val="115"/>
          <w:sz w:val="18"/>
        </w:rPr>
        <w:t>soon</w:t>
      </w:r>
      <w:r>
        <w:rPr>
          <w:rFonts w:ascii="Gill Sans MT" w:hAnsi="Gill Sans MT"/>
          <w:color w:val="231F20"/>
          <w:spacing w:val="-30"/>
          <w:w w:val="115"/>
          <w:sz w:val="18"/>
        </w:rPr>
        <w:t xml:space="preserve"> </w:t>
      </w:r>
      <w:r>
        <w:rPr>
          <w:rFonts w:ascii="Gill Sans MT" w:hAnsi="Gill Sans MT"/>
          <w:color w:val="231F20"/>
          <w:w w:val="115"/>
          <w:sz w:val="18"/>
        </w:rPr>
        <w:t>one</w:t>
      </w:r>
      <w:r>
        <w:rPr>
          <w:rFonts w:ascii="Gill Sans MT" w:hAnsi="Gill Sans MT"/>
          <w:color w:val="231F20"/>
          <w:spacing w:val="-30"/>
          <w:w w:val="115"/>
          <w:sz w:val="18"/>
        </w:rPr>
        <w:t xml:space="preserve"> </w:t>
      </w:r>
      <w:r>
        <w:rPr>
          <w:rFonts w:ascii="Gill Sans MT" w:hAnsi="Gill Sans MT"/>
          <w:color w:val="231F20"/>
          <w:w w:val="115"/>
          <w:sz w:val="18"/>
        </w:rPr>
        <w:t>hundred</w:t>
      </w:r>
      <w:r>
        <w:rPr>
          <w:rFonts w:ascii="Gill Sans MT" w:hAnsi="Gill Sans MT"/>
          <w:color w:val="231F20"/>
          <w:spacing w:val="-30"/>
          <w:w w:val="115"/>
          <w:sz w:val="18"/>
        </w:rPr>
        <w:t xml:space="preserve"> </w:t>
      </w:r>
      <w:r>
        <w:rPr>
          <w:rFonts w:ascii="Gill Sans MT" w:hAnsi="Gill Sans MT"/>
          <w:color w:val="231F20"/>
          <w:w w:val="115"/>
          <w:sz w:val="18"/>
        </w:rPr>
        <w:t>prisoners</w:t>
      </w:r>
      <w:r>
        <w:rPr>
          <w:rFonts w:ascii="Gill Sans MT" w:hAnsi="Gill Sans MT"/>
          <w:color w:val="231F20"/>
          <w:spacing w:val="-30"/>
          <w:w w:val="115"/>
          <w:sz w:val="18"/>
        </w:rPr>
        <w:t xml:space="preserve"> </w:t>
      </w:r>
      <w:r>
        <w:rPr>
          <w:rFonts w:ascii="Gill Sans MT" w:hAnsi="Gill Sans MT"/>
          <w:color w:val="231F20"/>
          <w:w w:val="115"/>
          <w:sz w:val="18"/>
        </w:rPr>
        <w:t>are hunger</w:t>
      </w:r>
      <w:r>
        <w:rPr>
          <w:rFonts w:ascii="Gill Sans MT" w:hAnsi="Gill Sans MT"/>
          <w:color w:val="231F20"/>
          <w:spacing w:val="-16"/>
          <w:w w:val="115"/>
          <w:sz w:val="18"/>
        </w:rPr>
        <w:t xml:space="preserve"> </w:t>
      </w:r>
      <w:r>
        <w:rPr>
          <w:rFonts w:ascii="Gill Sans MT" w:hAnsi="Gill Sans MT"/>
          <w:color w:val="231F20"/>
          <w:w w:val="115"/>
          <w:sz w:val="18"/>
        </w:rPr>
        <w:t>striking</w:t>
      </w:r>
      <w:r>
        <w:rPr>
          <w:rFonts w:ascii="Gill Sans MT" w:hAnsi="Gill Sans MT"/>
          <w:color w:val="231F20"/>
          <w:spacing w:val="-16"/>
          <w:w w:val="115"/>
          <w:sz w:val="18"/>
        </w:rPr>
        <w:t xml:space="preserve"> </w:t>
      </w:r>
      <w:r>
        <w:rPr>
          <w:rFonts w:ascii="Gill Sans MT" w:hAnsi="Gill Sans MT"/>
          <w:color w:val="231F20"/>
          <w:w w:val="115"/>
          <w:sz w:val="18"/>
        </w:rPr>
        <w:t>against</w:t>
      </w:r>
      <w:r>
        <w:rPr>
          <w:rFonts w:ascii="Gill Sans MT" w:hAnsi="Gill Sans MT"/>
          <w:color w:val="231F20"/>
          <w:spacing w:val="-16"/>
          <w:w w:val="115"/>
          <w:sz w:val="18"/>
        </w:rPr>
        <w:t xml:space="preserve"> </w:t>
      </w:r>
      <w:r>
        <w:rPr>
          <w:rFonts w:ascii="Gill Sans MT" w:hAnsi="Gill Sans MT"/>
          <w:color w:val="231F20"/>
          <w:w w:val="115"/>
          <w:sz w:val="18"/>
        </w:rPr>
        <w:t>brutality</w:t>
      </w:r>
      <w:r>
        <w:rPr>
          <w:rFonts w:ascii="Gill Sans MT" w:hAnsi="Gill Sans MT"/>
          <w:color w:val="231F20"/>
          <w:spacing w:val="-16"/>
          <w:w w:val="115"/>
          <w:sz w:val="18"/>
        </w:rPr>
        <w:t xml:space="preserve"> </w:t>
      </w:r>
      <w:r>
        <w:rPr>
          <w:rFonts w:ascii="Gill Sans MT" w:hAnsi="Gill Sans MT"/>
          <w:color w:val="231F20"/>
          <w:w w:val="115"/>
          <w:sz w:val="18"/>
        </w:rPr>
        <w:t>and force-feeding.</w:t>
      </w:r>
    </w:p>
    <w:p w14:paraId="3C618932" w14:textId="77777777" w:rsidR="002653E8" w:rsidRDefault="002653E8">
      <w:pPr>
        <w:pStyle w:val="a3"/>
        <w:spacing w:before="5"/>
        <w:rPr>
          <w:rFonts w:ascii="Gill Sans MT"/>
        </w:rPr>
      </w:pPr>
    </w:p>
    <w:p w14:paraId="04D9295F" w14:textId="77777777" w:rsidR="002653E8" w:rsidRDefault="003115E3">
      <w:pPr>
        <w:ind w:left="1147"/>
        <w:rPr>
          <w:rFonts w:ascii="Arial"/>
          <w:b/>
          <w:sz w:val="18"/>
        </w:rPr>
      </w:pPr>
      <w:r>
        <w:rPr>
          <w:rFonts w:ascii="Arial"/>
          <w:b/>
          <w:color w:val="231F20"/>
          <w:w w:val="115"/>
          <w:sz w:val="18"/>
        </w:rPr>
        <w:t>April 7, 1977</w:t>
      </w:r>
    </w:p>
    <w:p w14:paraId="1A14CBB3" w14:textId="77777777" w:rsidR="002653E8" w:rsidRDefault="003115E3">
      <w:pPr>
        <w:spacing w:before="35" w:line="276" w:lineRule="auto"/>
        <w:ind w:left="1147" w:right="194"/>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spacing w:val="-3"/>
          <w:w w:val="110"/>
          <w:sz w:val="18"/>
        </w:rPr>
        <w:t>red army faction</w:t>
      </w:r>
      <w:r>
        <w:rPr>
          <w:rFonts w:ascii="Gill Sans MT" w:hAnsi="Gill Sans MT"/>
          <w:color w:val="231F20"/>
          <w:spacing w:val="-3"/>
          <w:w w:val="110"/>
          <w:sz w:val="18"/>
        </w:rPr>
        <w:t xml:space="preserve">’s </w:t>
      </w:r>
      <w:r>
        <w:rPr>
          <w:rFonts w:ascii="Gill Sans MT" w:hAnsi="Gill Sans MT"/>
          <w:color w:val="231F20"/>
          <w:w w:val="110"/>
          <w:sz w:val="18"/>
        </w:rPr>
        <w:t>ulrike Meinhof Commando assassinates Attorney General Siegfried  Buback, riddling his car with</w:t>
      </w:r>
      <w:r>
        <w:rPr>
          <w:rFonts w:ascii="Gill Sans MT" w:hAnsi="Gill Sans MT"/>
          <w:color w:val="231F20"/>
          <w:spacing w:val="3"/>
          <w:w w:val="110"/>
          <w:sz w:val="18"/>
        </w:rPr>
        <w:t xml:space="preserve"> </w:t>
      </w:r>
      <w:r>
        <w:rPr>
          <w:rFonts w:ascii="Gill Sans MT" w:hAnsi="Gill Sans MT"/>
          <w:color w:val="231F20"/>
          <w:w w:val="110"/>
          <w:sz w:val="18"/>
        </w:rPr>
        <w:t>submachine</w:t>
      </w:r>
    </w:p>
    <w:p w14:paraId="2AD74F9F" w14:textId="77777777" w:rsidR="002653E8" w:rsidRDefault="003115E3">
      <w:pPr>
        <w:spacing w:before="92" w:line="276" w:lineRule="auto"/>
        <w:ind w:left="233" w:right="1323"/>
        <w:rPr>
          <w:rFonts w:ascii="Gill Sans MT" w:hAnsi="Gill Sans MT"/>
          <w:sz w:val="18"/>
        </w:rPr>
      </w:pPr>
      <w:r>
        <w:br w:type="column"/>
      </w:r>
      <w:r>
        <w:rPr>
          <w:rFonts w:ascii="Gill Sans MT" w:hAnsi="Gill Sans MT"/>
          <w:color w:val="231F20"/>
          <w:w w:val="115"/>
          <w:sz w:val="18"/>
        </w:rPr>
        <w:t>gun fire, also killing his driver, Wolfgang Göbel, and a bodyguard, Georg Wurster.</w:t>
      </w:r>
    </w:p>
    <w:p w14:paraId="21164614" w14:textId="77777777" w:rsidR="002653E8" w:rsidRDefault="00C507A5">
      <w:pPr>
        <w:spacing w:line="276" w:lineRule="auto"/>
        <w:ind w:left="233" w:right="1323"/>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prisoners are searched and the Contact Ban is applied.</w:t>
      </w:r>
    </w:p>
    <w:p w14:paraId="6E8B3365" w14:textId="77777777" w:rsidR="002653E8" w:rsidRDefault="002653E8">
      <w:pPr>
        <w:pStyle w:val="a3"/>
        <w:spacing w:before="6"/>
        <w:rPr>
          <w:rFonts w:ascii="Gill Sans MT"/>
        </w:rPr>
      </w:pPr>
    </w:p>
    <w:p w14:paraId="6D3FAA7E" w14:textId="77777777" w:rsidR="002653E8" w:rsidRDefault="003115E3">
      <w:pPr>
        <w:spacing w:before="1"/>
        <w:ind w:left="233"/>
        <w:rPr>
          <w:rFonts w:ascii="Arial"/>
          <w:b/>
          <w:sz w:val="18"/>
        </w:rPr>
      </w:pPr>
      <w:r>
        <w:rPr>
          <w:rFonts w:ascii="Arial"/>
          <w:b/>
          <w:color w:val="231F20"/>
          <w:w w:val="115"/>
          <w:sz w:val="18"/>
        </w:rPr>
        <w:t>April 14, 1977</w:t>
      </w:r>
    </w:p>
    <w:p w14:paraId="3E7C86E7" w14:textId="77777777" w:rsidR="002653E8" w:rsidRDefault="003115E3">
      <w:pPr>
        <w:spacing w:before="34" w:line="276" w:lineRule="auto"/>
        <w:ind w:left="233" w:right="1323"/>
        <w:rPr>
          <w:rFonts w:ascii="Gill Sans MT"/>
          <w:sz w:val="18"/>
        </w:rPr>
      </w:pPr>
      <w:r>
        <w:rPr>
          <w:rFonts w:ascii="Gill Sans MT"/>
          <w:color w:val="231F20"/>
          <w:w w:val="110"/>
          <w:sz w:val="18"/>
        </w:rPr>
        <w:t>The head of the BKA, Horst Herold, claims that there are between</w:t>
      </w:r>
    </w:p>
    <w:p w14:paraId="4A5031BF" w14:textId="77777777" w:rsidR="002653E8" w:rsidRDefault="003115E3">
      <w:pPr>
        <w:spacing w:line="273" w:lineRule="auto"/>
        <w:ind w:left="233" w:right="1608"/>
        <w:rPr>
          <w:rFonts w:ascii="Gill Sans MT"/>
          <w:sz w:val="18"/>
        </w:rPr>
      </w:pPr>
      <w:r>
        <w:rPr>
          <w:rFonts w:ascii="Arial"/>
          <w:color w:val="231F20"/>
          <w:w w:val="110"/>
          <w:sz w:val="18"/>
        </w:rPr>
        <w:t>400</w:t>
      </w:r>
      <w:r>
        <w:rPr>
          <w:rFonts w:ascii="Arial"/>
          <w:color w:val="231F20"/>
          <w:spacing w:val="-32"/>
          <w:w w:val="110"/>
          <w:sz w:val="18"/>
        </w:rPr>
        <w:t xml:space="preserve"> </w:t>
      </w:r>
      <w:r>
        <w:rPr>
          <w:rFonts w:ascii="Gill Sans MT"/>
          <w:color w:val="231F20"/>
          <w:w w:val="110"/>
          <w:sz w:val="18"/>
        </w:rPr>
        <w:t>and</w:t>
      </w:r>
      <w:r>
        <w:rPr>
          <w:rFonts w:ascii="Gill Sans MT"/>
          <w:color w:val="231F20"/>
          <w:spacing w:val="-32"/>
          <w:w w:val="110"/>
          <w:sz w:val="18"/>
        </w:rPr>
        <w:t xml:space="preserve"> </w:t>
      </w:r>
      <w:r>
        <w:rPr>
          <w:rFonts w:ascii="Arial"/>
          <w:color w:val="231F20"/>
          <w:w w:val="110"/>
          <w:sz w:val="18"/>
        </w:rPr>
        <w:t>500</w:t>
      </w:r>
      <w:r>
        <w:rPr>
          <w:rFonts w:ascii="Arial"/>
          <w:color w:val="231F20"/>
          <w:spacing w:val="-32"/>
          <w:w w:val="110"/>
          <w:sz w:val="18"/>
        </w:rPr>
        <w:t xml:space="preserve"> </w:t>
      </w:r>
      <w:r>
        <w:rPr>
          <w:rFonts w:ascii="Gill Sans MT"/>
          <w:color w:val="231F20"/>
          <w:w w:val="110"/>
          <w:sz w:val="18"/>
        </w:rPr>
        <w:t>terrorists</w:t>
      </w:r>
      <w:r>
        <w:rPr>
          <w:rFonts w:ascii="Gill Sans MT"/>
          <w:color w:val="231F20"/>
          <w:spacing w:val="-32"/>
          <w:w w:val="110"/>
          <w:sz w:val="18"/>
        </w:rPr>
        <w:t xml:space="preserve"> </w:t>
      </w:r>
      <w:r>
        <w:rPr>
          <w:rFonts w:ascii="Gill Sans MT"/>
          <w:color w:val="231F20"/>
          <w:w w:val="110"/>
          <w:sz w:val="18"/>
        </w:rPr>
        <w:t>with</w:t>
      </w:r>
      <w:r>
        <w:rPr>
          <w:rFonts w:ascii="Gill Sans MT"/>
          <w:color w:val="231F20"/>
          <w:spacing w:val="-32"/>
          <w:w w:val="110"/>
          <w:sz w:val="18"/>
        </w:rPr>
        <w:t xml:space="preserve"> </w:t>
      </w:r>
      <w:r>
        <w:rPr>
          <w:rFonts w:ascii="Arial"/>
          <w:color w:val="231F20"/>
          <w:w w:val="110"/>
          <w:sz w:val="18"/>
        </w:rPr>
        <w:t>4</w:t>
      </w:r>
      <w:r>
        <w:rPr>
          <w:rFonts w:ascii="Gill Sans MT"/>
          <w:color w:val="231F20"/>
          <w:w w:val="110"/>
          <w:sz w:val="18"/>
        </w:rPr>
        <w:t>,</w:t>
      </w:r>
      <w:r>
        <w:rPr>
          <w:rFonts w:ascii="Arial"/>
          <w:color w:val="231F20"/>
          <w:w w:val="110"/>
          <w:sz w:val="18"/>
        </w:rPr>
        <w:t>000</w:t>
      </w:r>
      <w:r>
        <w:rPr>
          <w:rFonts w:ascii="Arial"/>
          <w:color w:val="231F20"/>
          <w:w w:val="99"/>
          <w:sz w:val="18"/>
        </w:rPr>
        <w:t xml:space="preserve"> </w:t>
      </w:r>
      <w:r>
        <w:rPr>
          <w:rFonts w:ascii="Gill Sans MT"/>
          <w:color w:val="231F20"/>
          <w:w w:val="110"/>
          <w:sz w:val="18"/>
        </w:rPr>
        <w:t xml:space="preserve">to </w:t>
      </w:r>
      <w:r>
        <w:rPr>
          <w:rFonts w:ascii="Arial"/>
          <w:color w:val="231F20"/>
          <w:w w:val="110"/>
          <w:sz w:val="18"/>
        </w:rPr>
        <w:t>5</w:t>
      </w:r>
      <w:r>
        <w:rPr>
          <w:rFonts w:ascii="Gill Sans MT"/>
          <w:color w:val="231F20"/>
          <w:w w:val="110"/>
          <w:sz w:val="18"/>
        </w:rPr>
        <w:t>,</w:t>
      </w:r>
      <w:r>
        <w:rPr>
          <w:rFonts w:ascii="Arial"/>
          <w:color w:val="231F20"/>
          <w:w w:val="110"/>
          <w:sz w:val="18"/>
        </w:rPr>
        <w:t xml:space="preserve">000 </w:t>
      </w:r>
      <w:r>
        <w:rPr>
          <w:rFonts w:ascii="Gill Sans MT"/>
          <w:color w:val="231F20"/>
          <w:w w:val="110"/>
          <w:sz w:val="18"/>
        </w:rPr>
        <w:t xml:space="preserve">sympathizers in </w:t>
      </w:r>
      <w:r>
        <w:rPr>
          <w:rFonts w:ascii="Gill Sans MT"/>
          <w:color w:val="231F20"/>
          <w:spacing w:val="-3"/>
          <w:w w:val="110"/>
          <w:sz w:val="18"/>
        </w:rPr>
        <w:t xml:space="preserve">West </w:t>
      </w:r>
      <w:r>
        <w:rPr>
          <w:rFonts w:ascii="Gill Sans MT"/>
          <w:color w:val="231F20"/>
          <w:w w:val="110"/>
          <w:sz w:val="18"/>
        </w:rPr>
        <w:t>Germany.</w:t>
      </w:r>
    </w:p>
    <w:p w14:paraId="01914076" w14:textId="77777777" w:rsidR="002653E8" w:rsidRDefault="002653E8">
      <w:pPr>
        <w:pStyle w:val="a3"/>
        <w:spacing w:before="9"/>
        <w:rPr>
          <w:rFonts w:ascii="Gill Sans MT"/>
        </w:rPr>
      </w:pPr>
    </w:p>
    <w:p w14:paraId="3C629AB3" w14:textId="77777777" w:rsidR="002653E8" w:rsidRDefault="003115E3">
      <w:pPr>
        <w:ind w:left="233"/>
        <w:rPr>
          <w:rFonts w:ascii="Arial"/>
          <w:b/>
          <w:sz w:val="18"/>
        </w:rPr>
      </w:pPr>
      <w:r>
        <w:rPr>
          <w:rFonts w:ascii="Arial"/>
          <w:b/>
          <w:color w:val="231F20"/>
          <w:w w:val="115"/>
          <w:sz w:val="18"/>
        </w:rPr>
        <w:t>April 26, 1977</w:t>
      </w:r>
    </w:p>
    <w:p w14:paraId="2DD5A8D6" w14:textId="77777777" w:rsidR="002653E8" w:rsidRDefault="003115E3">
      <w:pPr>
        <w:spacing w:before="35"/>
        <w:ind w:left="233"/>
        <w:rPr>
          <w:rFonts w:ascii="Gill Sans MT"/>
          <w:sz w:val="18"/>
        </w:rPr>
      </w:pPr>
      <w:r>
        <w:rPr>
          <w:rFonts w:ascii="Gill Sans MT"/>
          <w:color w:val="231F20"/>
          <w:w w:val="110"/>
          <w:sz w:val="18"/>
        </w:rPr>
        <w:t>Attorneys Otto Schily and</w:t>
      </w:r>
    </w:p>
    <w:p w14:paraId="78BAD695" w14:textId="77777777" w:rsidR="002653E8" w:rsidRDefault="003115E3">
      <w:pPr>
        <w:spacing w:before="31" w:line="276" w:lineRule="auto"/>
        <w:ind w:left="233" w:right="1323"/>
        <w:rPr>
          <w:rFonts w:ascii="Gill Sans MT"/>
          <w:sz w:val="18"/>
        </w:rPr>
      </w:pPr>
      <w:r>
        <w:rPr>
          <w:rFonts w:ascii="Gill Sans MT"/>
          <w:color w:val="231F20"/>
          <w:w w:val="110"/>
          <w:sz w:val="18"/>
        </w:rPr>
        <w:t>Hans-Heinz Heldmann temporarily halt their pleas in the Stammheim trial to protest the bugging of their meetings with witnesses.</w:t>
      </w:r>
    </w:p>
    <w:p w14:paraId="32C6FEDA" w14:textId="77777777" w:rsidR="002653E8" w:rsidRDefault="002653E8">
      <w:pPr>
        <w:pStyle w:val="a3"/>
        <w:spacing w:before="6"/>
        <w:rPr>
          <w:rFonts w:ascii="Gill Sans MT"/>
        </w:rPr>
      </w:pPr>
    </w:p>
    <w:p w14:paraId="172BBA41" w14:textId="77777777" w:rsidR="002653E8" w:rsidRDefault="003115E3">
      <w:pPr>
        <w:ind w:left="233"/>
        <w:rPr>
          <w:rFonts w:ascii="Arial"/>
          <w:b/>
          <w:sz w:val="18"/>
        </w:rPr>
      </w:pPr>
      <w:r>
        <w:rPr>
          <w:rFonts w:ascii="Arial"/>
          <w:b/>
          <w:color w:val="231F20"/>
          <w:w w:val="115"/>
          <w:sz w:val="18"/>
        </w:rPr>
        <w:t>April 28, 1977</w:t>
      </w:r>
    </w:p>
    <w:p w14:paraId="039506EA" w14:textId="77777777" w:rsidR="002653E8" w:rsidRDefault="003115E3">
      <w:pPr>
        <w:spacing w:before="35" w:line="276" w:lineRule="auto"/>
        <w:ind w:left="233" w:right="1444"/>
        <w:rPr>
          <w:rFonts w:ascii="Gill Sans MT"/>
          <w:sz w:val="18"/>
        </w:rPr>
      </w:pPr>
      <w:r>
        <w:rPr>
          <w:rFonts w:ascii="Gill Sans MT"/>
          <w:color w:val="231F20"/>
          <w:w w:val="110"/>
          <w:sz w:val="18"/>
        </w:rPr>
        <w:t xml:space="preserve">The Stuttgart OLG finds </w:t>
      </w:r>
      <w:r w:rsidR="00C507A5">
        <w:rPr>
          <w:rFonts w:ascii="Gill Sans MT"/>
          <w:color w:val="231F20"/>
          <w:w w:val="110"/>
          <w:sz w:val="18"/>
        </w:rPr>
        <w:t>red army faction</w:t>
      </w:r>
      <w:r>
        <w:rPr>
          <w:rFonts w:ascii="Gill Sans MT"/>
          <w:color w:val="231F20"/>
          <w:w w:val="110"/>
          <w:sz w:val="18"/>
        </w:rPr>
        <w:t xml:space="preserve"> members Gudrun Ensslin, Jan-Carl Raspe, and Andreas Baader guilty of six murders and thirty-four attempted murders in connection with six bomb attacks. They are sentenced to life plus fifteen years. The so-called Stammheim trial lasts two years, including </w:t>
      </w:r>
      <w:r>
        <w:rPr>
          <w:rFonts w:ascii="Arial"/>
          <w:color w:val="231F20"/>
          <w:w w:val="110"/>
          <w:sz w:val="18"/>
        </w:rPr>
        <w:t xml:space="preserve">192 </w:t>
      </w:r>
      <w:r>
        <w:rPr>
          <w:rFonts w:ascii="Gill Sans MT"/>
          <w:color w:val="231F20"/>
          <w:w w:val="110"/>
          <w:sz w:val="18"/>
        </w:rPr>
        <w:t>days of testimony and costs $</w:t>
      </w:r>
      <w:r>
        <w:rPr>
          <w:rFonts w:ascii="Arial"/>
          <w:color w:val="231F20"/>
          <w:w w:val="110"/>
          <w:sz w:val="18"/>
        </w:rPr>
        <w:t>15</w:t>
      </w:r>
      <w:r>
        <w:rPr>
          <w:rFonts w:ascii="Arial"/>
          <w:color w:val="231F20"/>
          <w:spacing w:val="-24"/>
          <w:w w:val="110"/>
          <w:sz w:val="18"/>
        </w:rPr>
        <w:t xml:space="preserve"> </w:t>
      </w:r>
      <w:r>
        <w:rPr>
          <w:rFonts w:ascii="Gill Sans MT"/>
          <w:color w:val="231F20"/>
          <w:w w:val="110"/>
          <w:sz w:val="18"/>
        </w:rPr>
        <w:t>million.</w:t>
      </w:r>
    </w:p>
    <w:p w14:paraId="0736F46F" w14:textId="77777777" w:rsidR="002653E8" w:rsidRDefault="002653E8">
      <w:pPr>
        <w:pStyle w:val="a3"/>
        <w:spacing w:before="2"/>
        <w:rPr>
          <w:rFonts w:ascii="Gill Sans MT"/>
        </w:rPr>
      </w:pPr>
    </w:p>
    <w:p w14:paraId="624C0D5B" w14:textId="77777777" w:rsidR="002653E8" w:rsidRDefault="003115E3">
      <w:pPr>
        <w:spacing w:before="1"/>
        <w:ind w:left="233"/>
        <w:rPr>
          <w:rFonts w:ascii="Arial"/>
          <w:b/>
          <w:sz w:val="18"/>
        </w:rPr>
      </w:pPr>
      <w:r>
        <w:rPr>
          <w:rFonts w:ascii="Arial"/>
          <w:b/>
          <w:color w:val="231F20"/>
          <w:w w:val="115"/>
          <w:sz w:val="18"/>
        </w:rPr>
        <w:t>April 30, 1977</w:t>
      </w:r>
    </w:p>
    <w:p w14:paraId="1AA93D65" w14:textId="77777777" w:rsidR="002653E8" w:rsidRDefault="003115E3">
      <w:pPr>
        <w:spacing w:before="34" w:line="276" w:lineRule="auto"/>
        <w:ind w:left="233" w:right="1377"/>
        <w:rPr>
          <w:rFonts w:ascii="Gill Sans MT" w:hAnsi="Gill Sans MT"/>
          <w:sz w:val="18"/>
        </w:rPr>
      </w:pPr>
      <w:r>
        <w:rPr>
          <w:rFonts w:ascii="Gill Sans MT" w:hAnsi="Gill Sans MT"/>
          <w:color w:val="231F20"/>
          <w:w w:val="110"/>
          <w:sz w:val="18"/>
        </w:rPr>
        <w:t xml:space="preserve">The Minister of Justice for BadenWurttemburg rules that the </w:t>
      </w:r>
      <w:r w:rsidR="00C507A5">
        <w:rPr>
          <w:rFonts w:ascii="Gill Sans MT" w:hAnsi="Gill Sans MT"/>
          <w:color w:val="231F20"/>
          <w:w w:val="110"/>
          <w:sz w:val="18"/>
        </w:rPr>
        <w:t>red army faction</w:t>
      </w:r>
      <w:r>
        <w:rPr>
          <w:rFonts w:ascii="Gill Sans MT" w:hAnsi="Gill Sans MT"/>
          <w:color w:val="231F20"/>
          <w:w w:val="110"/>
          <w:sz w:val="18"/>
        </w:rPr>
        <w:t xml:space="preserve"> prisoners’ demands for association must be met. In response to this gesture, the prisoners end their hunger strike. Shortly thereafter work begins on the seventh floor of Stammheim to allow the association of sixteen prisoners.</w:t>
      </w:r>
    </w:p>
    <w:p w14:paraId="69A4FD4B" w14:textId="77777777" w:rsidR="002653E8" w:rsidRDefault="002653E8">
      <w:pPr>
        <w:spacing w:line="276" w:lineRule="auto"/>
        <w:rPr>
          <w:rFonts w:ascii="Gill Sans MT" w:hAnsi="Gill Sans MT"/>
          <w:sz w:val="18"/>
        </w:rPr>
        <w:sectPr w:rsidR="002653E8">
          <w:footerReference w:type="default" r:id="rId519"/>
          <w:pgSz w:w="8640" w:h="12960"/>
          <w:pgMar w:top="1060" w:right="0" w:bottom="280" w:left="0" w:header="0" w:footer="0" w:gutter="0"/>
          <w:cols w:num="2" w:space="720" w:equalWidth="0">
            <w:col w:w="4077" w:space="40"/>
            <w:col w:w="4523"/>
          </w:cols>
        </w:sectPr>
      </w:pPr>
    </w:p>
    <w:p w14:paraId="79960986" w14:textId="77777777" w:rsidR="002653E8" w:rsidRDefault="002653E8">
      <w:pPr>
        <w:pStyle w:val="a3"/>
        <w:rPr>
          <w:rFonts w:ascii="Gill Sans MT"/>
        </w:rPr>
      </w:pPr>
    </w:p>
    <w:p w14:paraId="0BF84D5F" w14:textId="77777777" w:rsidR="002653E8" w:rsidRDefault="002653E8">
      <w:pPr>
        <w:pStyle w:val="a3"/>
        <w:rPr>
          <w:rFonts w:ascii="Gill Sans MT"/>
        </w:rPr>
      </w:pPr>
    </w:p>
    <w:p w14:paraId="4FBCFA5F" w14:textId="77777777" w:rsidR="002653E8" w:rsidRDefault="002653E8">
      <w:pPr>
        <w:pStyle w:val="a3"/>
        <w:spacing w:before="6"/>
        <w:rPr>
          <w:rFonts w:ascii="Gill Sans MT"/>
          <w:sz w:val="18"/>
        </w:rPr>
      </w:pPr>
    </w:p>
    <w:p w14:paraId="1FDDE595" w14:textId="77777777" w:rsidR="002653E8" w:rsidRDefault="003115E3">
      <w:pPr>
        <w:tabs>
          <w:tab w:val="left" w:pos="3677"/>
        </w:tabs>
        <w:spacing w:line="244" w:lineRule="auto"/>
        <w:ind w:left="5653" w:right="1325" w:hanging="4506"/>
        <w:rPr>
          <w:sz w:val="18"/>
        </w:rPr>
      </w:pPr>
      <w:r>
        <w:rPr>
          <w:color w:val="231F20"/>
          <w:spacing w:val="15"/>
          <w:w w:val="110"/>
          <w:position w:val="5"/>
          <w:sz w:val="18"/>
        </w:rPr>
        <w:lastRenderedPageBreak/>
        <w:t>604</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20"/>
          <w:w w:val="110"/>
          <w:sz w:val="18"/>
        </w:rPr>
        <w:t xml:space="preserve">germany </w:t>
      </w:r>
      <w:r>
        <w:rPr>
          <w:color w:val="231F20"/>
          <w:spacing w:val="18"/>
          <w:w w:val="110"/>
          <w:sz w:val="18"/>
        </w:rPr>
        <w:t xml:space="preserve">march </w:t>
      </w:r>
      <w:r>
        <w:rPr>
          <w:color w:val="231F20"/>
          <w:spacing w:val="15"/>
          <w:w w:val="110"/>
          <w:sz w:val="18"/>
        </w:rPr>
        <w:t>17,</w:t>
      </w:r>
      <w:r>
        <w:rPr>
          <w:color w:val="231F20"/>
          <w:spacing w:val="36"/>
          <w:w w:val="110"/>
          <w:sz w:val="18"/>
        </w:rPr>
        <w:t xml:space="preserve"> </w:t>
      </w:r>
      <w:r>
        <w:rPr>
          <w:color w:val="231F20"/>
          <w:spacing w:val="17"/>
          <w:w w:val="110"/>
          <w:sz w:val="18"/>
        </w:rPr>
        <w:t>1977</w:t>
      </w:r>
      <w:r>
        <w:rPr>
          <w:color w:val="231F20"/>
          <w:spacing w:val="-15"/>
          <w:sz w:val="18"/>
        </w:rPr>
        <w:t xml:space="preserve"> </w:t>
      </w:r>
    </w:p>
    <w:p w14:paraId="1EBD3B28" w14:textId="77777777" w:rsidR="002653E8" w:rsidRDefault="002653E8">
      <w:pPr>
        <w:spacing w:line="244" w:lineRule="auto"/>
        <w:rPr>
          <w:sz w:val="18"/>
        </w:rPr>
        <w:sectPr w:rsidR="002653E8">
          <w:type w:val="continuous"/>
          <w:pgSz w:w="8640" w:h="12960"/>
          <w:pgMar w:top="0" w:right="0" w:bottom="0" w:left="0" w:header="720" w:footer="720" w:gutter="0"/>
          <w:cols w:space="720"/>
        </w:sectPr>
      </w:pPr>
    </w:p>
    <w:p w14:paraId="5C931F95" w14:textId="77777777" w:rsidR="002653E8" w:rsidRDefault="003115E3">
      <w:pPr>
        <w:spacing w:before="91"/>
        <w:ind w:left="1327"/>
        <w:rPr>
          <w:rFonts w:ascii="Arial"/>
          <w:b/>
          <w:sz w:val="18"/>
        </w:rPr>
      </w:pPr>
      <w:r>
        <w:rPr>
          <w:rFonts w:ascii="Arial"/>
          <w:b/>
          <w:color w:val="231F20"/>
          <w:w w:val="120"/>
          <w:sz w:val="18"/>
        </w:rPr>
        <w:lastRenderedPageBreak/>
        <w:t>May 2, 1977</w:t>
      </w:r>
    </w:p>
    <w:p w14:paraId="132F7DDC" w14:textId="77777777" w:rsidR="002653E8" w:rsidRDefault="003115E3">
      <w:pPr>
        <w:spacing w:before="28" w:line="273" w:lineRule="auto"/>
        <w:ind w:left="1327" w:right="183"/>
        <w:rPr>
          <w:rFonts w:ascii="Gill Sans MT"/>
          <w:sz w:val="18"/>
        </w:rPr>
      </w:pPr>
      <w:r>
        <w:rPr>
          <w:rFonts w:ascii="Gill Sans MT"/>
          <w:color w:val="231F20"/>
          <w:w w:val="110"/>
          <w:sz w:val="18"/>
        </w:rPr>
        <w:t>The</w:t>
      </w:r>
      <w:r>
        <w:rPr>
          <w:rFonts w:ascii="Gill Sans MT"/>
          <w:color w:val="231F20"/>
          <w:spacing w:val="-21"/>
          <w:w w:val="110"/>
          <w:sz w:val="18"/>
        </w:rPr>
        <w:t xml:space="preserve"> </w:t>
      </w:r>
      <w:r>
        <w:rPr>
          <w:rFonts w:ascii="Gill Sans MT"/>
          <w:color w:val="231F20"/>
          <w:w w:val="110"/>
          <w:sz w:val="18"/>
        </w:rPr>
        <w:t>weekly</w:t>
      </w:r>
      <w:r>
        <w:rPr>
          <w:rFonts w:ascii="Gill Sans MT"/>
          <w:color w:val="231F20"/>
          <w:spacing w:val="-21"/>
          <w:w w:val="110"/>
          <w:sz w:val="18"/>
        </w:rPr>
        <w:t xml:space="preserve"> </w:t>
      </w:r>
      <w:r>
        <w:rPr>
          <w:rFonts w:ascii="Gill Sans MT"/>
          <w:color w:val="231F20"/>
          <w:w w:val="110"/>
          <w:sz w:val="18"/>
        </w:rPr>
        <w:t>news</w:t>
      </w:r>
      <w:r>
        <w:rPr>
          <w:rFonts w:ascii="Gill Sans MT"/>
          <w:color w:val="231F20"/>
          <w:spacing w:val="-21"/>
          <w:w w:val="110"/>
          <w:sz w:val="18"/>
        </w:rPr>
        <w:t xml:space="preserve"> </w:t>
      </w:r>
      <w:r>
        <w:rPr>
          <w:rFonts w:ascii="Gill Sans MT"/>
          <w:color w:val="231F20"/>
          <w:w w:val="110"/>
          <w:sz w:val="18"/>
        </w:rPr>
        <w:t>journal</w:t>
      </w:r>
      <w:r>
        <w:rPr>
          <w:rFonts w:ascii="Gill Sans MT"/>
          <w:color w:val="231F20"/>
          <w:spacing w:val="-21"/>
          <w:w w:val="110"/>
          <w:sz w:val="18"/>
        </w:rPr>
        <w:t xml:space="preserve"> </w:t>
      </w:r>
      <w:r>
        <w:rPr>
          <w:rFonts w:ascii="Lucida Sans"/>
          <w:i/>
          <w:color w:val="231F20"/>
          <w:w w:val="110"/>
          <w:sz w:val="18"/>
        </w:rPr>
        <w:t xml:space="preserve">Spiegel </w:t>
      </w:r>
      <w:r>
        <w:rPr>
          <w:rFonts w:ascii="Gill Sans MT"/>
          <w:color w:val="231F20"/>
          <w:w w:val="110"/>
          <w:sz w:val="18"/>
        </w:rPr>
        <w:t xml:space="preserve">prints poll results claiming </w:t>
      </w:r>
      <w:r>
        <w:rPr>
          <w:rFonts w:ascii="Arial"/>
          <w:color w:val="231F20"/>
          <w:w w:val="110"/>
          <w:sz w:val="18"/>
        </w:rPr>
        <w:t>50</w:t>
      </w:r>
      <w:r>
        <w:rPr>
          <w:rFonts w:ascii="Gill Sans MT"/>
          <w:color w:val="231F20"/>
          <w:w w:val="110"/>
          <w:sz w:val="18"/>
        </w:rPr>
        <w:t>%  of</w:t>
      </w:r>
      <w:r>
        <w:rPr>
          <w:rFonts w:ascii="Gill Sans MT"/>
          <w:color w:val="231F20"/>
          <w:spacing w:val="-10"/>
          <w:w w:val="110"/>
          <w:sz w:val="18"/>
        </w:rPr>
        <w:t xml:space="preserve"> </w:t>
      </w:r>
      <w:r>
        <w:rPr>
          <w:rFonts w:ascii="Gill Sans MT"/>
          <w:color w:val="231F20"/>
          <w:spacing w:val="-3"/>
          <w:w w:val="110"/>
          <w:sz w:val="18"/>
        </w:rPr>
        <w:t>West</w:t>
      </w:r>
      <w:r>
        <w:rPr>
          <w:rFonts w:ascii="Gill Sans MT"/>
          <w:color w:val="231F20"/>
          <w:spacing w:val="-10"/>
          <w:w w:val="110"/>
          <w:sz w:val="18"/>
        </w:rPr>
        <w:t xml:space="preserve"> </w:t>
      </w:r>
      <w:r>
        <w:rPr>
          <w:rFonts w:ascii="Gill Sans MT"/>
          <w:color w:val="231F20"/>
          <w:w w:val="110"/>
          <w:sz w:val="18"/>
        </w:rPr>
        <w:t>German</w:t>
      </w:r>
      <w:r>
        <w:rPr>
          <w:rFonts w:ascii="Gill Sans MT"/>
          <w:color w:val="231F20"/>
          <w:spacing w:val="-10"/>
          <w:w w:val="110"/>
          <w:sz w:val="18"/>
        </w:rPr>
        <w:t xml:space="preserve"> </w:t>
      </w:r>
      <w:r>
        <w:rPr>
          <w:rFonts w:ascii="Gill Sans MT"/>
          <w:color w:val="231F20"/>
          <w:w w:val="110"/>
          <w:sz w:val="18"/>
        </w:rPr>
        <w:t>citizens</w:t>
      </w:r>
      <w:r>
        <w:rPr>
          <w:rFonts w:ascii="Gill Sans MT"/>
          <w:color w:val="231F20"/>
          <w:spacing w:val="-10"/>
          <w:w w:val="110"/>
          <w:sz w:val="18"/>
        </w:rPr>
        <w:t xml:space="preserve"> </w:t>
      </w:r>
      <w:r>
        <w:rPr>
          <w:rFonts w:ascii="Gill Sans MT"/>
          <w:color w:val="231F20"/>
          <w:w w:val="110"/>
          <w:sz w:val="18"/>
        </w:rPr>
        <w:t>want</w:t>
      </w:r>
      <w:r>
        <w:rPr>
          <w:rFonts w:ascii="Gill Sans MT"/>
          <w:color w:val="231F20"/>
          <w:spacing w:val="-10"/>
          <w:w w:val="110"/>
          <w:sz w:val="18"/>
        </w:rPr>
        <w:t xml:space="preserve"> </w:t>
      </w:r>
      <w:r>
        <w:rPr>
          <w:rFonts w:ascii="Gill Sans MT"/>
          <w:color w:val="231F20"/>
          <w:w w:val="110"/>
          <w:sz w:val="18"/>
        </w:rPr>
        <w:t>the</w:t>
      </w:r>
    </w:p>
    <w:p w14:paraId="1FFC1586" w14:textId="77777777" w:rsidR="002653E8" w:rsidRDefault="003115E3">
      <w:pPr>
        <w:spacing w:before="4" w:line="276" w:lineRule="auto"/>
        <w:ind w:left="1327" w:right="-13"/>
        <w:rPr>
          <w:rFonts w:ascii="Gill Sans MT"/>
          <w:sz w:val="18"/>
        </w:rPr>
      </w:pPr>
      <w:r>
        <w:rPr>
          <w:rFonts w:ascii="Gill Sans MT"/>
          <w:color w:val="231F20"/>
          <w:w w:val="110"/>
          <w:sz w:val="18"/>
        </w:rPr>
        <w:t>reinstatement of the dead wing in prisons. Thirty-five thousand people</w:t>
      </w:r>
      <w:r>
        <w:rPr>
          <w:rFonts w:ascii="Gill Sans MT"/>
          <w:color w:val="231F20"/>
          <w:w w:val="116"/>
          <w:sz w:val="18"/>
        </w:rPr>
        <w:t xml:space="preserve"> </w:t>
      </w:r>
      <w:r>
        <w:rPr>
          <w:rFonts w:ascii="Gill Sans MT"/>
          <w:color w:val="231F20"/>
          <w:w w:val="110"/>
          <w:sz w:val="18"/>
        </w:rPr>
        <w:t>sign a petition to this effect.</w:t>
      </w:r>
    </w:p>
    <w:p w14:paraId="24D27CCA" w14:textId="77777777" w:rsidR="002653E8" w:rsidRDefault="002653E8">
      <w:pPr>
        <w:pStyle w:val="a3"/>
        <w:spacing w:before="6"/>
        <w:rPr>
          <w:rFonts w:ascii="Gill Sans MT"/>
        </w:rPr>
      </w:pPr>
    </w:p>
    <w:p w14:paraId="3A0A1352" w14:textId="77777777" w:rsidR="002653E8" w:rsidRDefault="003115E3">
      <w:pPr>
        <w:ind w:left="1327"/>
        <w:rPr>
          <w:rFonts w:ascii="Arial"/>
          <w:b/>
          <w:sz w:val="18"/>
        </w:rPr>
      </w:pPr>
      <w:r>
        <w:rPr>
          <w:rFonts w:ascii="Arial"/>
          <w:b/>
          <w:color w:val="231F20"/>
          <w:w w:val="120"/>
          <w:sz w:val="18"/>
        </w:rPr>
        <w:t>May 3, 1977</w:t>
      </w:r>
    </w:p>
    <w:p w14:paraId="2F9404A3" w14:textId="77777777" w:rsidR="002653E8" w:rsidRDefault="00C507A5">
      <w:pPr>
        <w:spacing w:before="35" w:line="276" w:lineRule="auto"/>
        <w:ind w:left="1327" w:right="36"/>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members Günter Sonnenberg and Verena Becker, formerly of the 2JM, are arrested in the GermanSwiss border town of Singen.</w:t>
      </w:r>
    </w:p>
    <w:p w14:paraId="5C829E81" w14:textId="77777777" w:rsidR="002653E8" w:rsidRDefault="003115E3">
      <w:pPr>
        <w:spacing w:line="276" w:lineRule="auto"/>
        <w:ind w:left="1327" w:right="21"/>
        <w:rPr>
          <w:rFonts w:ascii="Gill Sans MT"/>
          <w:sz w:val="18"/>
        </w:rPr>
      </w:pPr>
      <w:r>
        <w:rPr>
          <w:rFonts w:ascii="Gill Sans MT"/>
          <w:color w:val="231F20"/>
          <w:w w:val="115"/>
          <w:sz w:val="18"/>
        </w:rPr>
        <w:t>Sonnenberg is shot in the head and Becker in the leg. Sonnenberg is suspected in the Buback assassination and Becker has been wanted ever since she was freed through the Lorenz kidnapping.</w:t>
      </w:r>
    </w:p>
    <w:p w14:paraId="1A07AB09" w14:textId="77777777" w:rsidR="002653E8" w:rsidRDefault="002653E8">
      <w:pPr>
        <w:pStyle w:val="a3"/>
        <w:spacing w:before="5"/>
        <w:rPr>
          <w:rFonts w:ascii="Gill Sans MT"/>
        </w:rPr>
      </w:pPr>
    </w:p>
    <w:p w14:paraId="33392886" w14:textId="77777777" w:rsidR="002653E8" w:rsidRDefault="003115E3">
      <w:pPr>
        <w:ind w:left="1327"/>
        <w:rPr>
          <w:rFonts w:ascii="Arial"/>
          <w:b/>
          <w:sz w:val="18"/>
        </w:rPr>
      </w:pPr>
      <w:r>
        <w:rPr>
          <w:rFonts w:ascii="Arial"/>
          <w:b/>
          <w:color w:val="231F20"/>
          <w:w w:val="120"/>
          <w:sz w:val="18"/>
        </w:rPr>
        <w:t>May 5, 1977</w:t>
      </w:r>
    </w:p>
    <w:p w14:paraId="32D4759F" w14:textId="77777777" w:rsidR="002653E8" w:rsidRDefault="00C507A5">
      <w:pPr>
        <w:spacing w:before="35" w:line="276" w:lineRule="auto"/>
        <w:ind w:left="1327" w:right="165"/>
        <w:rPr>
          <w:rFonts w:ascii="Gill Sans MT"/>
          <w:sz w:val="18"/>
        </w:rPr>
      </w:pPr>
      <w:r>
        <w:rPr>
          <w:rFonts w:ascii="Gill Sans MT"/>
          <w:color w:val="231F20"/>
          <w:w w:val="110"/>
          <w:sz w:val="18"/>
        </w:rPr>
        <w:t>red army faction</w:t>
      </w:r>
      <w:r w:rsidR="003115E3">
        <w:rPr>
          <w:rFonts w:ascii="Gill Sans MT"/>
          <w:color w:val="231F20"/>
          <w:w w:val="110"/>
          <w:sz w:val="18"/>
        </w:rPr>
        <w:t xml:space="preserve"> supporters uwe Folkerts and Johannes Thimme are arrested</w:t>
      </w:r>
    </w:p>
    <w:p w14:paraId="1BB11F8B" w14:textId="77777777" w:rsidR="002653E8" w:rsidRDefault="003115E3">
      <w:pPr>
        <w:spacing w:line="276" w:lineRule="auto"/>
        <w:ind w:left="1327"/>
        <w:rPr>
          <w:rFonts w:ascii="Gill Sans MT"/>
          <w:sz w:val="18"/>
        </w:rPr>
      </w:pPr>
      <w:r>
        <w:rPr>
          <w:rFonts w:ascii="Gill Sans MT"/>
          <w:color w:val="231F20"/>
          <w:w w:val="110"/>
          <w:sz w:val="18"/>
        </w:rPr>
        <w:t>in connection with the Buback assassination.</w:t>
      </w:r>
    </w:p>
    <w:p w14:paraId="7513D59C" w14:textId="77777777" w:rsidR="002653E8" w:rsidRDefault="002653E8">
      <w:pPr>
        <w:pStyle w:val="a3"/>
        <w:spacing w:before="6"/>
        <w:rPr>
          <w:rFonts w:ascii="Gill Sans MT"/>
        </w:rPr>
      </w:pPr>
    </w:p>
    <w:p w14:paraId="14F6B1C4" w14:textId="77777777" w:rsidR="002653E8" w:rsidRDefault="003115E3">
      <w:pPr>
        <w:ind w:left="1327"/>
        <w:rPr>
          <w:rFonts w:ascii="Arial"/>
          <w:b/>
          <w:sz w:val="18"/>
        </w:rPr>
      </w:pPr>
      <w:r>
        <w:rPr>
          <w:rFonts w:ascii="Arial"/>
          <w:b/>
          <w:color w:val="231F20"/>
          <w:w w:val="120"/>
          <w:sz w:val="18"/>
        </w:rPr>
        <w:t>May 13, 1977</w:t>
      </w:r>
    </w:p>
    <w:p w14:paraId="570E7BDA" w14:textId="77777777" w:rsidR="002653E8" w:rsidRDefault="00C507A5">
      <w:pPr>
        <w:spacing w:before="35" w:line="276" w:lineRule="auto"/>
        <w:ind w:left="1327"/>
        <w:rPr>
          <w:rFonts w:ascii="Gill Sans MT"/>
          <w:sz w:val="18"/>
        </w:rPr>
      </w:pPr>
      <w:r>
        <w:rPr>
          <w:rFonts w:ascii="Gill Sans MT"/>
          <w:color w:val="231F20"/>
          <w:w w:val="110"/>
          <w:sz w:val="18"/>
        </w:rPr>
        <w:t>red army faction</w:t>
      </w:r>
      <w:r w:rsidR="003115E3">
        <w:rPr>
          <w:rFonts w:ascii="Gill Sans MT"/>
          <w:color w:val="231F20"/>
          <w:w w:val="110"/>
          <w:sz w:val="18"/>
        </w:rPr>
        <w:t xml:space="preserve"> member Irene Goergens is released from prison.</w:t>
      </w:r>
    </w:p>
    <w:p w14:paraId="61B23741" w14:textId="77777777" w:rsidR="002653E8" w:rsidRDefault="002653E8">
      <w:pPr>
        <w:pStyle w:val="a3"/>
        <w:spacing w:before="6"/>
        <w:rPr>
          <w:rFonts w:ascii="Gill Sans MT"/>
        </w:rPr>
      </w:pPr>
    </w:p>
    <w:p w14:paraId="0CFEA962" w14:textId="77777777" w:rsidR="002653E8" w:rsidRDefault="003115E3">
      <w:pPr>
        <w:spacing w:before="1"/>
        <w:ind w:left="1327"/>
        <w:rPr>
          <w:rFonts w:ascii="Arial"/>
          <w:b/>
          <w:sz w:val="18"/>
        </w:rPr>
      </w:pPr>
      <w:r>
        <w:rPr>
          <w:rFonts w:ascii="Arial"/>
          <w:b/>
          <w:color w:val="231F20"/>
          <w:w w:val="115"/>
          <w:sz w:val="18"/>
        </w:rPr>
        <w:t>June 2, 1977</w:t>
      </w:r>
    </w:p>
    <w:p w14:paraId="20B4D63E" w14:textId="77777777" w:rsidR="002653E8" w:rsidRDefault="003115E3">
      <w:pPr>
        <w:spacing w:before="34" w:line="276" w:lineRule="auto"/>
        <w:ind w:left="1327" w:right="35"/>
        <w:rPr>
          <w:rFonts w:ascii="Gill Sans MT" w:hAnsi="Gill Sans MT"/>
          <w:sz w:val="18"/>
        </w:rPr>
      </w:pPr>
      <w:r>
        <w:rPr>
          <w:rFonts w:ascii="Gill Sans MT" w:hAnsi="Gill Sans MT"/>
          <w:color w:val="231F20"/>
          <w:w w:val="110"/>
          <w:sz w:val="18"/>
        </w:rPr>
        <w:t xml:space="preserve">The Kaiserslautern LG sentences </w:t>
      </w:r>
      <w:r w:rsidR="00C507A5">
        <w:rPr>
          <w:rFonts w:ascii="Gill Sans MT" w:hAnsi="Gill Sans MT"/>
          <w:color w:val="231F20"/>
          <w:w w:val="110"/>
          <w:sz w:val="18"/>
        </w:rPr>
        <w:t>red army faction</w:t>
      </w:r>
      <w:r>
        <w:rPr>
          <w:rFonts w:ascii="Gill Sans MT" w:hAnsi="Gill Sans MT"/>
          <w:color w:val="231F20"/>
          <w:w w:val="110"/>
          <w:sz w:val="18"/>
        </w:rPr>
        <w:t xml:space="preserve"> members Manfred Grashof and Klaus Jünschke to life in prison. Wolfgang Grundmann is sentenced to four</w:t>
      </w:r>
      <w:r>
        <w:rPr>
          <w:rFonts w:ascii="Gill Sans MT" w:hAnsi="Gill Sans MT"/>
          <w:color w:val="231F20"/>
          <w:spacing w:val="-11"/>
          <w:w w:val="110"/>
          <w:sz w:val="18"/>
        </w:rPr>
        <w:t xml:space="preserve"> </w:t>
      </w:r>
      <w:r>
        <w:rPr>
          <w:rFonts w:ascii="Gill Sans MT" w:hAnsi="Gill Sans MT"/>
          <w:color w:val="231F20"/>
          <w:w w:val="110"/>
          <w:sz w:val="18"/>
        </w:rPr>
        <w:t>years.</w:t>
      </w:r>
    </w:p>
    <w:p w14:paraId="548BC07E" w14:textId="77777777" w:rsidR="002653E8" w:rsidRDefault="00C507A5">
      <w:pPr>
        <w:spacing w:line="276" w:lineRule="auto"/>
        <w:ind w:left="1327" w:right="151"/>
        <w:rPr>
          <w:rFonts w:ascii="Gill Sans MT"/>
          <w:sz w:val="18"/>
        </w:rPr>
      </w:pPr>
      <w:r>
        <w:rPr>
          <w:rFonts w:ascii="Gill Sans MT"/>
          <w:color w:val="231F20"/>
          <w:w w:val="110"/>
          <w:sz w:val="18"/>
        </w:rPr>
        <w:t>red army faction</w:t>
      </w:r>
      <w:r w:rsidR="003115E3">
        <w:rPr>
          <w:rFonts w:ascii="Gill Sans MT"/>
          <w:color w:val="231F20"/>
          <w:w w:val="110"/>
          <w:sz w:val="18"/>
        </w:rPr>
        <w:t xml:space="preserve"> members Verena Becker and Sabine Schmitz start hunger strike for association with prisoners in Stammheim.</w:t>
      </w:r>
    </w:p>
    <w:p w14:paraId="106495EA" w14:textId="77777777" w:rsidR="002653E8" w:rsidRDefault="003115E3">
      <w:pPr>
        <w:spacing w:before="91"/>
        <w:ind w:left="260"/>
        <w:rPr>
          <w:rFonts w:ascii="Arial"/>
          <w:b/>
          <w:sz w:val="18"/>
        </w:rPr>
      </w:pPr>
      <w:r>
        <w:br w:type="column"/>
      </w:r>
      <w:r>
        <w:rPr>
          <w:rFonts w:ascii="Arial"/>
          <w:b/>
          <w:color w:val="231F20"/>
          <w:w w:val="115"/>
          <w:sz w:val="18"/>
        </w:rPr>
        <w:t>June 22, 1977</w:t>
      </w:r>
    </w:p>
    <w:p w14:paraId="7DD7FA4F" w14:textId="77777777" w:rsidR="002653E8" w:rsidRDefault="00C507A5">
      <w:pPr>
        <w:spacing w:before="34" w:line="276" w:lineRule="auto"/>
        <w:ind w:left="260" w:right="1186"/>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prisoners Hanna Krabbe,</w:t>
      </w:r>
      <w:r w:rsidR="003115E3">
        <w:rPr>
          <w:rFonts w:ascii="Gill Sans MT" w:hAnsi="Gill Sans MT"/>
          <w:color w:val="231F20"/>
          <w:spacing w:val="-23"/>
          <w:w w:val="110"/>
          <w:sz w:val="18"/>
        </w:rPr>
        <w:t xml:space="preserve"> </w:t>
      </w:r>
      <w:r w:rsidR="003115E3">
        <w:rPr>
          <w:rFonts w:ascii="Gill Sans MT" w:hAnsi="Gill Sans MT"/>
          <w:color w:val="231F20"/>
          <w:w w:val="110"/>
          <w:sz w:val="18"/>
        </w:rPr>
        <w:t xml:space="preserve">Bernd </w:t>
      </w:r>
      <w:r w:rsidR="003115E3">
        <w:rPr>
          <w:rFonts w:ascii="Gill Sans MT" w:hAnsi="Gill Sans MT"/>
          <w:color w:val="231F20"/>
          <w:spacing w:val="-3"/>
          <w:w w:val="110"/>
          <w:sz w:val="18"/>
        </w:rPr>
        <w:t xml:space="preserve">Rössner, </w:t>
      </w:r>
      <w:r w:rsidR="003115E3">
        <w:rPr>
          <w:rFonts w:ascii="Gill Sans MT" w:hAnsi="Gill Sans MT"/>
          <w:color w:val="231F20"/>
          <w:w w:val="110"/>
          <w:sz w:val="18"/>
        </w:rPr>
        <w:t xml:space="preserve">Karl-Heinz dellwo, and Lutz </w:t>
      </w:r>
      <w:r w:rsidR="003115E3">
        <w:rPr>
          <w:rFonts w:ascii="Gill Sans MT" w:hAnsi="Gill Sans MT"/>
          <w:color w:val="231F20"/>
          <w:spacing w:val="-4"/>
          <w:w w:val="110"/>
          <w:sz w:val="18"/>
        </w:rPr>
        <w:t xml:space="preserve">Taufer </w:t>
      </w:r>
      <w:r w:rsidR="003115E3">
        <w:rPr>
          <w:rFonts w:ascii="Gill Sans MT" w:hAnsi="Gill Sans MT"/>
          <w:color w:val="231F20"/>
          <w:w w:val="110"/>
          <w:sz w:val="18"/>
        </w:rPr>
        <w:t>begin hunger strike for association with the prisoners in Stammheim.</w:t>
      </w:r>
    </w:p>
    <w:p w14:paraId="61AAB3C4" w14:textId="77777777" w:rsidR="002653E8" w:rsidRDefault="00C507A5">
      <w:pPr>
        <w:spacing w:line="276" w:lineRule="auto"/>
        <w:ind w:left="260" w:right="1154"/>
        <w:rPr>
          <w:rFonts w:ascii="Gill Sans MT"/>
          <w:sz w:val="18"/>
        </w:rPr>
      </w:pPr>
      <w:r>
        <w:rPr>
          <w:rFonts w:ascii="Gill Sans MT"/>
          <w:color w:val="231F20"/>
          <w:w w:val="110"/>
          <w:sz w:val="18"/>
        </w:rPr>
        <w:t>red army faction</w:t>
      </w:r>
      <w:r w:rsidR="003115E3">
        <w:rPr>
          <w:rFonts w:ascii="Gill Sans MT"/>
          <w:color w:val="231F20"/>
          <w:w w:val="110"/>
          <w:sz w:val="18"/>
        </w:rPr>
        <w:t xml:space="preserve"> members Sabine Schmitz and Verena Becker break their hunger strike when they are assured that they will be allowed association with other </w:t>
      </w:r>
      <w:r>
        <w:rPr>
          <w:rFonts w:ascii="Gill Sans MT"/>
          <w:color w:val="231F20"/>
          <w:w w:val="110"/>
          <w:sz w:val="18"/>
        </w:rPr>
        <w:t>red army faction</w:t>
      </w:r>
      <w:r w:rsidR="003115E3">
        <w:rPr>
          <w:rFonts w:ascii="Gill Sans MT"/>
          <w:color w:val="231F20"/>
          <w:w w:val="110"/>
          <w:sz w:val="18"/>
        </w:rPr>
        <w:t xml:space="preserve"> prisoners.</w:t>
      </w:r>
    </w:p>
    <w:p w14:paraId="6CBF44D6" w14:textId="77777777" w:rsidR="002653E8" w:rsidRDefault="002653E8">
      <w:pPr>
        <w:pStyle w:val="a3"/>
        <w:spacing w:before="6"/>
        <w:rPr>
          <w:rFonts w:ascii="Gill Sans MT"/>
        </w:rPr>
      </w:pPr>
    </w:p>
    <w:p w14:paraId="00C0AF65" w14:textId="77777777" w:rsidR="002653E8" w:rsidRDefault="003115E3">
      <w:pPr>
        <w:ind w:left="260"/>
        <w:rPr>
          <w:rFonts w:ascii="Arial"/>
          <w:b/>
          <w:sz w:val="18"/>
        </w:rPr>
      </w:pPr>
      <w:r>
        <w:rPr>
          <w:rFonts w:ascii="Arial"/>
          <w:b/>
          <w:color w:val="231F20"/>
          <w:w w:val="115"/>
          <w:sz w:val="18"/>
        </w:rPr>
        <w:t>June 27, 1977</w:t>
      </w:r>
    </w:p>
    <w:p w14:paraId="7B156DA9" w14:textId="77777777" w:rsidR="002653E8" w:rsidRDefault="003115E3">
      <w:pPr>
        <w:spacing w:before="35" w:line="276" w:lineRule="auto"/>
        <w:ind w:left="260" w:right="1154"/>
        <w:rPr>
          <w:rFonts w:ascii="Gill Sans MT"/>
          <w:sz w:val="18"/>
        </w:rPr>
      </w:pPr>
      <w:r>
        <w:rPr>
          <w:rFonts w:ascii="Gill Sans MT"/>
          <w:color w:val="231F20"/>
          <w:w w:val="110"/>
          <w:sz w:val="18"/>
        </w:rPr>
        <w:t>The Stuttgart OLG bars attorney Klaus Croissant from representing defendants in trials related to state security.</w:t>
      </w:r>
    </w:p>
    <w:p w14:paraId="001CE08A" w14:textId="77777777" w:rsidR="002653E8" w:rsidRDefault="002653E8">
      <w:pPr>
        <w:pStyle w:val="a3"/>
        <w:spacing w:before="6"/>
        <w:rPr>
          <w:rFonts w:ascii="Gill Sans MT"/>
        </w:rPr>
      </w:pPr>
    </w:p>
    <w:p w14:paraId="6EDEBB9D" w14:textId="77777777" w:rsidR="002653E8" w:rsidRDefault="003115E3">
      <w:pPr>
        <w:ind w:left="260"/>
        <w:rPr>
          <w:rFonts w:ascii="Arial"/>
          <w:b/>
          <w:sz w:val="18"/>
        </w:rPr>
      </w:pPr>
      <w:r>
        <w:rPr>
          <w:rFonts w:ascii="Arial"/>
          <w:b/>
          <w:color w:val="231F20"/>
          <w:w w:val="115"/>
          <w:sz w:val="18"/>
        </w:rPr>
        <w:t>July 1, 1977</w:t>
      </w:r>
    </w:p>
    <w:p w14:paraId="71D059B0" w14:textId="77777777" w:rsidR="002653E8" w:rsidRDefault="00C507A5">
      <w:pPr>
        <w:spacing w:before="35" w:line="276" w:lineRule="auto"/>
        <w:ind w:left="260" w:right="1154"/>
        <w:rPr>
          <w:rFonts w:ascii="Gill Sans MT"/>
          <w:sz w:val="18"/>
        </w:rPr>
      </w:pPr>
      <w:r>
        <w:rPr>
          <w:rFonts w:ascii="Gill Sans MT"/>
          <w:color w:val="231F20"/>
          <w:w w:val="110"/>
          <w:sz w:val="18"/>
        </w:rPr>
        <w:t>red army faction</w:t>
      </w:r>
      <w:r w:rsidR="003115E3">
        <w:rPr>
          <w:rFonts w:ascii="Gill Sans MT"/>
          <w:color w:val="231F20"/>
          <w:w w:val="110"/>
          <w:sz w:val="18"/>
        </w:rPr>
        <w:t xml:space="preserve"> members Willi-Peter Stoll and Knut Folkerts rob a gun store in Frankfurt, making off with fifteen revolvers and three pistols.</w:t>
      </w:r>
    </w:p>
    <w:p w14:paraId="610DB37D" w14:textId="77777777" w:rsidR="002653E8" w:rsidRDefault="003115E3">
      <w:pPr>
        <w:spacing w:line="276" w:lineRule="auto"/>
        <w:ind w:left="260" w:right="1504"/>
        <w:rPr>
          <w:rFonts w:ascii="Gill Sans MT" w:hAnsi="Gill Sans MT"/>
          <w:sz w:val="18"/>
        </w:rPr>
      </w:pPr>
      <w:r>
        <w:rPr>
          <w:rFonts w:ascii="Gill Sans MT" w:hAnsi="Gill Sans MT"/>
          <w:color w:val="231F20"/>
          <w:w w:val="110"/>
          <w:sz w:val="18"/>
        </w:rPr>
        <w:t>Kurt Rebmann becomes Siegfried Buback’s successor as Attorney General.</w:t>
      </w:r>
    </w:p>
    <w:p w14:paraId="65ABBAAB" w14:textId="77777777" w:rsidR="002653E8" w:rsidRDefault="002653E8">
      <w:pPr>
        <w:pStyle w:val="a3"/>
        <w:spacing w:before="6"/>
        <w:rPr>
          <w:rFonts w:ascii="Gill Sans MT"/>
        </w:rPr>
      </w:pPr>
    </w:p>
    <w:p w14:paraId="0825206B" w14:textId="77777777" w:rsidR="002653E8" w:rsidRDefault="003115E3">
      <w:pPr>
        <w:ind w:left="260"/>
        <w:rPr>
          <w:rFonts w:ascii="Arial"/>
          <w:b/>
          <w:sz w:val="18"/>
        </w:rPr>
      </w:pPr>
      <w:r>
        <w:rPr>
          <w:rFonts w:ascii="Arial"/>
          <w:b/>
          <w:color w:val="231F20"/>
          <w:w w:val="115"/>
          <w:sz w:val="18"/>
        </w:rPr>
        <w:t>July 7, 1977</w:t>
      </w:r>
    </w:p>
    <w:p w14:paraId="13596ABC" w14:textId="77777777" w:rsidR="002653E8" w:rsidRDefault="00C507A5">
      <w:pPr>
        <w:spacing w:before="35" w:line="276" w:lineRule="auto"/>
        <w:ind w:left="260" w:right="1154"/>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prisoners Helmut Pohl, Wolfgang Beer, and Werner Hoppe are moved to Stammheim.</w:t>
      </w:r>
    </w:p>
    <w:p w14:paraId="68607B2C" w14:textId="77777777" w:rsidR="002653E8" w:rsidRDefault="002653E8">
      <w:pPr>
        <w:pStyle w:val="a3"/>
        <w:spacing w:before="6"/>
        <w:rPr>
          <w:rFonts w:ascii="Gill Sans MT"/>
        </w:rPr>
      </w:pPr>
    </w:p>
    <w:p w14:paraId="58622EC2" w14:textId="77777777" w:rsidR="002653E8" w:rsidRDefault="003115E3">
      <w:pPr>
        <w:ind w:left="260"/>
        <w:rPr>
          <w:rFonts w:ascii="Arial"/>
          <w:b/>
          <w:sz w:val="18"/>
        </w:rPr>
      </w:pPr>
      <w:r>
        <w:rPr>
          <w:rFonts w:ascii="Arial"/>
          <w:b/>
          <w:color w:val="231F20"/>
          <w:w w:val="115"/>
          <w:sz w:val="18"/>
        </w:rPr>
        <w:t>July 8, 1977</w:t>
      </w:r>
    </w:p>
    <w:p w14:paraId="49A8B845" w14:textId="77777777" w:rsidR="002653E8" w:rsidRDefault="003115E3">
      <w:pPr>
        <w:spacing w:before="34" w:line="276" w:lineRule="auto"/>
        <w:ind w:left="260" w:right="1118"/>
        <w:rPr>
          <w:rFonts w:ascii="Gill Sans MT"/>
          <w:sz w:val="18"/>
        </w:rPr>
      </w:pPr>
      <w:r>
        <w:rPr>
          <w:rFonts w:ascii="Gill Sans MT"/>
          <w:color w:val="231F20"/>
          <w:w w:val="110"/>
          <w:sz w:val="18"/>
        </w:rPr>
        <w:t>Attorney Klaus Croissant, facing increasing harassment, flees to Paris, and holds a press conference at which he requests political asylum.</w:t>
      </w:r>
    </w:p>
    <w:p w14:paraId="68B20934" w14:textId="77777777" w:rsidR="002653E8" w:rsidRDefault="002653E8">
      <w:pPr>
        <w:pStyle w:val="a3"/>
        <w:spacing w:before="6"/>
        <w:rPr>
          <w:rFonts w:ascii="Gill Sans MT"/>
        </w:rPr>
      </w:pPr>
    </w:p>
    <w:p w14:paraId="1117FD70" w14:textId="77777777" w:rsidR="002653E8" w:rsidRDefault="003115E3">
      <w:pPr>
        <w:spacing w:before="1"/>
        <w:ind w:left="260"/>
        <w:rPr>
          <w:rFonts w:ascii="Arial"/>
          <w:b/>
          <w:sz w:val="18"/>
        </w:rPr>
      </w:pPr>
      <w:r>
        <w:rPr>
          <w:rFonts w:ascii="Arial"/>
          <w:b/>
          <w:color w:val="231F20"/>
          <w:w w:val="115"/>
          <w:sz w:val="18"/>
        </w:rPr>
        <w:t>July 12, 1977</w:t>
      </w:r>
    </w:p>
    <w:p w14:paraId="60627A97" w14:textId="77777777" w:rsidR="002653E8" w:rsidRDefault="003115E3">
      <w:pPr>
        <w:spacing w:before="34" w:line="276" w:lineRule="auto"/>
        <w:ind w:left="260" w:right="1118"/>
        <w:rPr>
          <w:rFonts w:ascii="Gill Sans MT"/>
          <w:sz w:val="18"/>
        </w:rPr>
      </w:pPr>
      <w:r>
        <w:rPr>
          <w:rFonts w:ascii="Gill Sans MT"/>
          <w:color w:val="231F20"/>
          <w:w w:val="110"/>
          <w:sz w:val="18"/>
        </w:rPr>
        <w:t>Attorney Klaus Croissant files a formal request for political asylum in France.</w:t>
      </w:r>
    </w:p>
    <w:p w14:paraId="3D05E8F1" w14:textId="77777777" w:rsidR="002653E8" w:rsidRDefault="002653E8">
      <w:pPr>
        <w:spacing w:line="276" w:lineRule="auto"/>
        <w:rPr>
          <w:rFonts w:ascii="Gill Sans MT"/>
          <w:sz w:val="18"/>
        </w:rPr>
        <w:sectPr w:rsidR="002653E8">
          <w:footerReference w:type="even" r:id="rId520"/>
          <w:pgSz w:w="8640" w:h="12960"/>
          <w:pgMar w:top="1060" w:right="0" w:bottom="280" w:left="0" w:header="0" w:footer="0" w:gutter="0"/>
          <w:cols w:num="2" w:space="720" w:equalWidth="0">
            <w:col w:w="4230" w:space="40"/>
            <w:col w:w="4370"/>
          </w:cols>
        </w:sectPr>
      </w:pPr>
    </w:p>
    <w:p w14:paraId="26C64995" w14:textId="77777777" w:rsidR="002653E8" w:rsidRDefault="002653E8">
      <w:pPr>
        <w:pStyle w:val="a3"/>
        <w:rPr>
          <w:rFonts w:ascii="Gill Sans MT"/>
        </w:rPr>
      </w:pPr>
    </w:p>
    <w:p w14:paraId="20019F6A" w14:textId="77777777" w:rsidR="002653E8" w:rsidRDefault="002653E8">
      <w:pPr>
        <w:pStyle w:val="a3"/>
        <w:rPr>
          <w:rFonts w:ascii="Gill Sans MT"/>
        </w:rPr>
      </w:pPr>
    </w:p>
    <w:p w14:paraId="794D6784" w14:textId="77777777" w:rsidR="002653E8" w:rsidRDefault="002653E8">
      <w:pPr>
        <w:rPr>
          <w:rFonts w:ascii="Gill Sans MT"/>
        </w:rPr>
        <w:sectPr w:rsidR="002653E8">
          <w:type w:val="continuous"/>
          <w:pgSz w:w="8640" w:h="12960"/>
          <w:pgMar w:top="0" w:right="0" w:bottom="0" w:left="0" w:header="720" w:footer="720" w:gutter="0"/>
          <w:cols w:space="720"/>
        </w:sectPr>
      </w:pPr>
    </w:p>
    <w:p w14:paraId="29893422" w14:textId="77777777" w:rsidR="002653E8" w:rsidRDefault="002653E8">
      <w:pPr>
        <w:pStyle w:val="a3"/>
        <w:spacing w:before="7"/>
        <w:rPr>
          <w:rFonts w:ascii="Gill Sans MT"/>
          <w:sz w:val="22"/>
        </w:rPr>
      </w:pPr>
    </w:p>
    <w:p w14:paraId="0FA1B586" w14:textId="77777777" w:rsidR="002653E8" w:rsidRDefault="003115E3">
      <w:pPr>
        <w:ind w:left="1327"/>
        <w:rPr>
          <w:sz w:val="18"/>
        </w:rPr>
      </w:pPr>
      <w:r>
        <w:rPr>
          <w:color w:val="231F20"/>
          <w:w w:val="120"/>
          <w:sz w:val="18"/>
        </w:rPr>
        <w:t>a chronology</w:t>
      </w:r>
      <w:r>
        <w:rPr>
          <w:color w:val="231F20"/>
          <w:sz w:val="18"/>
        </w:rPr>
        <w:t xml:space="preserve"> </w:t>
      </w:r>
    </w:p>
    <w:p w14:paraId="49BD9FDC" w14:textId="77777777" w:rsidR="002653E8" w:rsidRDefault="003115E3">
      <w:pPr>
        <w:spacing w:before="5"/>
        <w:ind w:left="1327"/>
        <w:rPr>
          <w:sz w:val="18"/>
        </w:rPr>
      </w:pPr>
      <w:r>
        <w:rPr>
          <w:color w:val="231F20"/>
          <w:w w:val="115"/>
          <w:sz w:val="18"/>
        </w:rPr>
        <w:t>july 12, 1977</w:t>
      </w:r>
      <w:r>
        <w:rPr>
          <w:color w:val="231F20"/>
          <w:sz w:val="18"/>
        </w:rPr>
        <w:t xml:space="preserve"> </w:t>
      </w:r>
    </w:p>
    <w:p w14:paraId="0AAA8E05" w14:textId="77777777" w:rsidR="002653E8" w:rsidRDefault="003115E3">
      <w:pPr>
        <w:pStyle w:val="a3"/>
        <w:spacing w:before="6"/>
        <w:rPr>
          <w:sz w:val="18"/>
        </w:rPr>
      </w:pPr>
      <w:r>
        <w:br w:type="column"/>
      </w:r>
    </w:p>
    <w:p w14:paraId="4C171A27" w14:textId="77777777" w:rsidR="002653E8" w:rsidRDefault="003115E3">
      <w:pPr>
        <w:ind w:left="1346" w:right="1141"/>
        <w:jc w:val="center"/>
        <w:rPr>
          <w:sz w:val="18"/>
        </w:rPr>
      </w:pPr>
      <w:r>
        <w:rPr>
          <w:color w:val="231F20"/>
          <w:sz w:val="18"/>
        </w:rPr>
        <w:t xml:space="preserve">605 </w:t>
      </w:r>
    </w:p>
    <w:p w14:paraId="2D5316D2" w14:textId="77777777" w:rsidR="002653E8" w:rsidRDefault="002653E8">
      <w:pPr>
        <w:jc w:val="center"/>
        <w:rPr>
          <w:sz w:val="18"/>
        </w:rPr>
        <w:sectPr w:rsidR="002653E8">
          <w:type w:val="continuous"/>
          <w:pgSz w:w="8640" w:h="12960"/>
          <w:pgMar w:top="0" w:right="0" w:bottom="0" w:left="0" w:header="720" w:footer="720" w:gutter="0"/>
          <w:cols w:num="2" w:space="720" w:equalWidth="0">
            <w:col w:w="2922" w:space="2892"/>
            <w:col w:w="2826"/>
          </w:cols>
        </w:sectPr>
      </w:pPr>
    </w:p>
    <w:p w14:paraId="679F4928" w14:textId="77777777" w:rsidR="002653E8" w:rsidRDefault="003115E3">
      <w:pPr>
        <w:spacing w:before="91"/>
        <w:ind w:left="1147"/>
        <w:rPr>
          <w:rFonts w:ascii="Arial"/>
          <w:b/>
          <w:sz w:val="18"/>
        </w:rPr>
      </w:pPr>
      <w:r>
        <w:rPr>
          <w:rFonts w:ascii="Arial"/>
          <w:b/>
          <w:color w:val="231F20"/>
          <w:w w:val="115"/>
          <w:sz w:val="18"/>
        </w:rPr>
        <w:lastRenderedPageBreak/>
        <w:t>July 16, 1977</w:t>
      </w:r>
    </w:p>
    <w:p w14:paraId="64C67FAF" w14:textId="77777777" w:rsidR="002653E8" w:rsidRDefault="003115E3">
      <w:pPr>
        <w:spacing w:before="34" w:line="276" w:lineRule="auto"/>
        <w:ind w:left="1147" w:right="-18"/>
        <w:rPr>
          <w:rFonts w:ascii="Gill Sans MT"/>
          <w:sz w:val="18"/>
        </w:rPr>
      </w:pPr>
      <w:r>
        <w:rPr>
          <w:rFonts w:ascii="Gill Sans MT"/>
          <w:color w:val="231F20"/>
          <w:spacing w:val="-3"/>
          <w:w w:val="110"/>
          <w:sz w:val="18"/>
        </w:rPr>
        <w:t xml:space="preserve">West </w:t>
      </w:r>
      <w:r>
        <w:rPr>
          <w:rFonts w:ascii="Gill Sans MT"/>
          <w:color w:val="231F20"/>
          <w:w w:val="110"/>
          <w:sz w:val="18"/>
        </w:rPr>
        <w:t>Germany requests that France extradite Klaus Croissant.</w:t>
      </w:r>
    </w:p>
    <w:p w14:paraId="2E1D5BF4" w14:textId="77777777" w:rsidR="002653E8" w:rsidRDefault="002653E8">
      <w:pPr>
        <w:pStyle w:val="a3"/>
        <w:spacing w:before="7"/>
        <w:rPr>
          <w:rFonts w:ascii="Gill Sans MT"/>
        </w:rPr>
      </w:pPr>
    </w:p>
    <w:p w14:paraId="375D7163" w14:textId="77777777" w:rsidR="002653E8" w:rsidRDefault="003115E3">
      <w:pPr>
        <w:ind w:left="1147"/>
        <w:rPr>
          <w:rFonts w:ascii="Arial"/>
          <w:b/>
          <w:sz w:val="18"/>
        </w:rPr>
      </w:pPr>
      <w:r>
        <w:rPr>
          <w:rFonts w:ascii="Arial"/>
          <w:b/>
          <w:color w:val="231F20"/>
          <w:w w:val="115"/>
          <w:sz w:val="18"/>
        </w:rPr>
        <w:t>July 20, 1977</w:t>
      </w:r>
    </w:p>
    <w:p w14:paraId="16D3C353" w14:textId="77777777" w:rsidR="002653E8" w:rsidRDefault="003115E3">
      <w:pPr>
        <w:spacing w:before="34" w:line="276" w:lineRule="auto"/>
        <w:ind w:left="1147" w:right="-15"/>
        <w:rPr>
          <w:rFonts w:ascii="Gill Sans MT" w:hAnsi="Gill Sans MT"/>
          <w:sz w:val="18"/>
        </w:rPr>
      </w:pPr>
      <w:r>
        <w:rPr>
          <w:rFonts w:ascii="Gill Sans MT" w:hAnsi="Gill Sans MT"/>
          <w:color w:val="231F20"/>
          <w:w w:val="110"/>
          <w:sz w:val="18"/>
        </w:rPr>
        <w:t xml:space="preserve">The düsseldorf OLG sentences </w:t>
      </w:r>
      <w:r w:rsidR="00C507A5">
        <w:rPr>
          <w:rFonts w:ascii="Gill Sans MT" w:hAnsi="Gill Sans MT"/>
          <w:color w:val="231F20"/>
          <w:w w:val="110"/>
          <w:sz w:val="18"/>
        </w:rPr>
        <w:t>red army faction</w:t>
      </w:r>
      <w:r>
        <w:rPr>
          <w:rFonts w:ascii="Gill Sans MT" w:hAnsi="Gill Sans MT"/>
          <w:color w:val="231F20"/>
          <w:w w:val="110"/>
          <w:sz w:val="18"/>
        </w:rPr>
        <w:t xml:space="preserve"> members Hanna Krabbe, Karl-Heinz dellwo, Lutz </w:t>
      </w:r>
      <w:r>
        <w:rPr>
          <w:rFonts w:ascii="Gill Sans MT" w:hAnsi="Gill Sans MT"/>
          <w:color w:val="231F20"/>
          <w:spacing w:val="-6"/>
          <w:w w:val="110"/>
          <w:sz w:val="18"/>
        </w:rPr>
        <w:t xml:space="preserve">Taufer, </w:t>
      </w:r>
      <w:r>
        <w:rPr>
          <w:rFonts w:ascii="Gill Sans MT" w:hAnsi="Gill Sans MT"/>
          <w:color w:val="231F20"/>
          <w:w w:val="110"/>
          <w:sz w:val="18"/>
        </w:rPr>
        <w:t>and Bernd Rössner to two life sentences for their</w:t>
      </w:r>
      <w:r>
        <w:rPr>
          <w:rFonts w:ascii="Gill Sans MT" w:hAnsi="Gill Sans MT"/>
          <w:color w:val="231F20"/>
          <w:spacing w:val="-12"/>
          <w:w w:val="110"/>
          <w:sz w:val="18"/>
        </w:rPr>
        <w:t xml:space="preserve"> </w:t>
      </w:r>
      <w:r>
        <w:rPr>
          <w:rFonts w:ascii="Gill Sans MT" w:hAnsi="Gill Sans MT"/>
          <w:color w:val="231F20"/>
          <w:w w:val="110"/>
          <w:sz w:val="18"/>
        </w:rPr>
        <w:t>respective</w:t>
      </w:r>
      <w:r>
        <w:rPr>
          <w:rFonts w:ascii="Gill Sans MT" w:hAnsi="Gill Sans MT"/>
          <w:color w:val="231F20"/>
          <w:spacing w:val="-12"/>
          <w:w w:val="110"/>
          <w:sz w:val="18"/>
        </w:rPr>
        <w:t xml:space="preserve"> </w:t>
      </w:r>
      <w:r>
        <w:rPr>
          <w:rFonts w:ascii="Gill Sans MT" w:hAnsi="Gill Sans MT"/>
          <w:color w:val="231F20"/>
          <w:w w:val="110"/>
          <w:sz w:val="18"/>
        </w:rPr>
        <w:t>roles</w:t>
      </w:r>
      <w:r>
        <w:rPr>
          <w:rFonts w:ascii="Gill Sans MT" w:hAnsi="Gill Sans MT"/>
          <w:color w:val="231F20"/>
          <w:spacing w:val="-12"/>
          <w:w w:val="110"/>
          <w:sz w:val="18"/>
        </w:rPr>
        <w:t xml:space="preserve"> </w:t>
      </w:r>
      <w:r>
        <w:rPr>
          <w:rFonts w:ascii="Gill Sans MT" w:hAnsi="Gill Sans MT"/>
          <w:color w:val="231F20"/>
          <w:w w:val="110"/>
          <w:sz w:val="18"/>
        </w:rPr>
        <w:t>in</w:t>
      </w:r>
      <w:r>
        <w:rPr>
          <w:rFonts w:ascii="Gill Sans MT" w:hAnsi="Gill Sans MT"/>
          <w:color w:val="231F20"/>
          <w:spacing w:val="-12"/>
          <w:w w:val="110"/>
          <w:sz w:val="18"/>
        </w:rPr>
        <w:t xml:space="preserve"> </w:t>
      </w:r>
      <w:r>
        <w:rPr>
          <w:rFonts w:ascii="Gill Sans MT" w:hAnsi="Gill Sans MT"/>
          <w:color w:val="231F20"/>
          <w:w w:val="110"/>
          <w:sz w:val="18"/>
        </w:rPr>
        <w:t>the</w:t>
      </w:r>
      <w:r>
        <w:rPr>
          <w:rFonts w:ascii="Gill Sans MT" w:hAnsi="Gill Sans MT"/>
          <w:color w:val="231F20"/>
          <w:spacing w:val="-12"/>
          <w:w w:val="110"/>
          <w:sz w:val="18"/>
        </w:rPr>
        <w:t xml:space="preserve"> </w:t>
      </w:r>
      <w:r>
        <w:rPr>
          <w:rFonts w:ascii="Gill Sans MT" w:hAnsi="Gill Sans MT"/>
          <w:color w:val="231F20"/>
          <w:w w:val="110"/>
          <w:sz w:val="18"/>
        </w:rPr>
        <w:t>April</w:t>
      </w:r>
      <w:r>
        <w:rPr>
          <w:rFonts w:ascii="Gill Sans MT" w:hAnsi="Gill Sans MT"/>
          <w:color w:val="231F20"/>
          <w:spacing w:val="-12"/>
          <w:w w:val="110"/>
          <w:sz w:val="18"/>
        </w:rPr>
        <w:t xml:space="preserve"> </w:t>
      </w:r>
      <w:r>
        <w:rPr>
          <w:rFonts w:ascii="Arial" w:hAnsi="Arial"/>
          <w:color w:val="231F20"/>
          <w:w w:val="110"/>
          <w:sz w:val="18"/>
        </w:rPr>
        <w:t>24</w:t>
      </w:r>
      <w:r>
        <w:rPr>
          <w:rFonts w:ascii="Gill Sans MT" w:hAnsi="Gill Sans MT"/>
          <w:color w:val="231F20"/>
          <w:w w:val="110"/>
          <w:sz w:val="18"/>
        </w:rPr>
        <w:t xml:space="preserve">, </w:t>
      </w:r>
      <w:r>
        <w:rPr>
          <w:rFonts w:ascii="Arial" w:hAnsi="Arial"/>
          <w:color w:val="231F20"/>
          <w:w w:val="110"/>
          <w:sz w:val="18"/>
        </w:rPr>
        <w:t>1975</w:t>
      </w:r>
      <w:r>
        <w:rPr>
          <w:rFonts w:ascii="Gill Sans MT" w:hAnsi="Gill Sans MT"/>
          <w:color w:val="231F20"/>
          <w:w w:val="110"/>
          <w:sz w:val="18"/>
        </w:rPr>
        <w:t>, Stockholm Embassy</w:t>
      </w:r>
      <w:r>
        <w:rPr>
          <w:rFonts w:ascii="Gill Sans MT" w:hAnsi="Gill Sans MT"/>
          <w:color w:val="231F20"/>
          <w:spacing w:val="-13"/>
          <w:w w:val="110"/>
          <w:sz w:val="18"/>
        </w:rPr>
        <w:t xml:space="preserve"> </w:t>
      </w:r>
      <w:r>
        <w:rPr>
          <w:rFonts w:ascii="Gill Sans MT" w:hAnsi="Gill Sans MT"/>
          <w:color w:val="231F20"/>
          <w:w w:val="110"/>
          <w:sz w:val="18"/>
        </w:rPr>
        <w:t>action.</w:t>
      </w:r>
    </w:p>
    <w:p w14:paraId="54F91141" w14:textId="77777777" w:rsidR="002653E8" w:rsidRDefault="002653E8">
      <w:pPr>
        <w:pStyle w:val="a3"/>
        <w:spacing w:before="3"/>
        <w:rPr>
          <w:rFonts w:ascii="Gill Sans MT"/>
        </w:rPr>
      </w:pPr>
    </w:p>
    <w:p w14:paraId="7217DD1A" w14:textId="77777777" w:rsidR="002653E8" w:rsidRDefault="003115E3">
      <w:pPr>
        <w:ind w:left="1147"/>
        <w:rPr>
          <w:rFonts w:ascii="Arial"/>
          <w:b/>
          <w:sz w:val="18"/>
        </w:rPr>
      </w:pPr>
      <w:r>
        <w:rPr>
          <w:rFonts w:ascii="Arial"/>
          <w:b/>
          <w:color w:val="231F20"/>
          <w:w w:val="115"/>
          <w:sz w:val="18"/>
        </w:rPr>
        <w:t>July 27, 1977</w:t>
      </w:r>
    </w:p>
    <w:p w14:paraId="188A1D44" w14:textId="77777777" w:rsidR="002653E8" w:rsidRDefault="00C507A5">
      <w:pPr>
        <w:spacing w:before="35" w:line="276" w:lineRule="auto"/>
        <w:ind w:left="1147"/>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Waltraud Boock begins a hunger strike for application of the Geneva Convention governing POWs and for</w:t>
      </w:r>
      <w:r w:rsidR="003115E3">
        <w:rPr>
          <w:rFonts w:ascii="Gill Sans MT"/>
          <w:color w:val="231F20"/>
          <w:spacing w:val="-11"/>
          <w:w w:val="110"/>
          <w:sz w:val="18"/>
        </w:rPr>
        <w:t xml:space="preserve"> </w:t>
      </w:r>
      <w:r w:rsidR="003115E3">
        <w:rPr>
          <w:rFonts w:ascii="Gill Sans MT"/>
          <w:color w:val="231F20"/>
          <w:w w:val="110"/>
          <w:sz w:val="18"/>
        </w:rPr>
        <w:t>association</w:t>
      </w:r>
      <w:r w:rsidR="003115E3">
        <w:rPr>
          <w:rFonts w:ascii="Gill Sans MT"/>
          <w:color w:val="231F20"/>
          <w:spacing w:val="-11"/>
          <w:w w:val="110"/>
          <w:sz w:val="18"/>
        </w:rPr>
        <w:t xml:space="preserve"> </w:t>
      </w:r>
      <w:r w:rsidR="003115E3">
        <w:rPr>
          <w:rFonts w:ascii="Gill Sans MT"/>
          <w:color w:val="231F20"/>
          <w:w w:val="110"/>
          <w:sz w:val="18"/>
        </w:rPr>
        <w:t>with</w:t>
      </w:r>
      <w:r w:rsidR="003115E3">
        <w:rPr>
          <w:rFonts w:ascii="Gill Sans MT"/>
          <w:color w:val="231F20"/>
          <w:spacing w:val="-11"/>
          <w:w w:val="110"/>
          <w:sz w:val="18"/>
        </w:rPr>
        <w:t xml:space="preserve"> </w:t>
      </w:r>
      <w:r>
        <w:rPr>
          <w:rFonts w:ascii="Gill Sans MT"/>
          <w:color w:val="231F20"/>
          <w:w w:val="110"/>
          <w:sz w:val="18"/>
        </w:rPr>
        <w:t>red army faction</w:t>
      </w:r>
      <w:r w:rsidR="003115E3">
        <w:rPr>
          <w:rFonts w:ascii="Gill Sans MT"/>
          <w:color w:val="231F20"/>
          <w:spacing w:val="-11"/>
          <w:w w:val="110"/>
          <w:sz w:val="18"/>
        </w:rPr>
        <w:t xml:space="preserve"> </w:t>
      </w:r>
      <w:r w:rsidR="003115E3">
        <w:rPr>
          <w:rFonts w:ascii="Gill Sans MT"/>
          <w:color w:val="231F20"/>
          <w:w w:val="110"/>
          <w:sz w:val="18"/>
        </w:rPr>
        <w:t>prisoners</w:t>
      </w:r>
      <w:r w:rsidR="003115E3">
        <w:rPr>
          <w:rFonts w:ascii="Gill Sans MT"/>
          <w:color w:val="231F20"/>
          <w:spacing w:val="-11"/>
          <w:w w:val="110"/>
          <w:sz w:val="18"/>
        </w:rPr>
        <w:t xml:space="preserve"> </w:t>
      </w:r>
      <w:r w:rsidR="003115E3">
        <w:rPr>
          <w:rFonts w:ascii="Gill Sans MT"/>
          <w:color w:val="231F20"/>
          <w:w w:val="110"/>
          <w:sz w:val="18"/>
        </w:rPr>
        <w:t>in Stammheim.</w:t>
      </w:r>
    </w:p>
    <w:p w14:paraId="0591860F" w14:textId="77777777" w:rsidR="002653E8" w:rsidRDefault="002653E8">
      <w:pPr>
        <w:pStyle w:val="a3"/>
        <w:spacing w:before="6"/>
        <w:rPr>
          <w:rFonts w:ascii="Gill Sans MT"/>
        </w:rPr>
      </w:pPr>
    </w:p>
    <w:p w14:paraId="3AD0A472" w14:textId="77777777" w:rsidR="002653E8" w:rsidRDefault="003115E3">
      <w:pPr>
        <w:ind w:left="1147"/>
        <w:rPr>
          <w:rFonts w:ascii="Arial"/>
          <w:b/>
          <w:sz w:val="18"/>
        </w:rPr>
      </w:pPr>
      <w:r>
        <w:rPr>
          <w:rFonts w:ascii="Arial"/>
          <w:b/>
          <w:color w:val="231F20"/>
          <w:w w:val="115"/>
          <w:sz w:val="18"/>
        </w:rPr>
        <w:t>July 30, 1977</w:t>
      </w:r>
    </w:p>
    <w:p w14:paraId="71418FB0" w14:textId="77777777" w:rsidR="002653E8" w:rsidRDefault="003115E3">
      <w:pPr>
        <w:spacing w:before="35" w:line="276" w:lineRule="auto"/>
        <w:ind w:left="1147" w:right="7"/>
        <w:rPr>
          <w:rFonts w:ascii="Gill Sans MT" w:hAnsi="Gill Sans MT"/>
          <w:sz w:val="18"/>
        </w:rPr>
      </w:pPr>
      <w:r>
        <w:rPr>
          <w:rFonts w:ascii="Gill Sans MT" w:hAnsi="Gill Sans MT"/>
          <w:color w:val="231F20"/>
          <w:w w:val="115"/>
          <w:sz w:val="18"/>
        </w:rPr>
        <w:t xml:space="preserve">Jürgen Ponto, the President of </w:t>
      </w:r>
      <w:r>
        <w:rPr>
          <w:rFonts w:ascii="Gill Sans MT" w:hAnsi="Gill Sans MT"/>
          <w:color w:val="231F20"/>
          <w:spacing w:val="-3"/>
          <w:w w:val="115"/>
          <w:sz w:val="18"/>
        </w:rPr>
        <w:t xml:space="preserve">West </w:t>
      </w:r>
      <w:r>
        <w:rPr>
          <w:rFonts w:ascii="Gill Sans MT" w:hAnsi="Gill Sans MT"/>
          <w:color w:val="231F20"/>
          <w:w w:val="115"/>
          <w:sz w:val="18"/>
        </w:rPr>
        <w:t>Germany’s largest bank, the dresdner</w:t>
      </w:r>
      <w:r>
        <w:rPr>
          <w:rFonts w:ascii="Gill Sans MT" w:hAnsi="Gill Sans MT"/>
          <w:color w:val="231F20"/>
          <w:spacing w:val="-15"/>
          <w:w w:val="115"/>
          <w:sz w:val="18"/>
        </w:rPr>
        <w:t xml:space="preserve"> </w:t>
      </w:r>
      <w:r>
        <w:rPr>
          <w:rFonts w:ascii="Gill Sans MT" w:hAnsi="Gill Sans MT"/>
          <w:color w:val="231F20"/>
          <w:w w:val="115"/>
          <w:sz w:val="18"/>
        </w:rPr>
        <w:t>Bank,</w:t>
      </w:r>
      <w:r>
        <w:rPr>
          <w:rFonts w:ascii="Gill Sans MT" w:hAnsi="Gill Sans MT"/>
          <w:color w:val="231F20"/>
          <w:spacing w:val="-15"/>
          <w:w w:val="115"/>
          <w:sz w:val="18"/>
        </w:rPr>
        <w:t xml:space="preserve"> </w:t>
      </w:r>
      <w:r>
        <w:rPr>
          <w:rFonts w:ascii="Gill Sans MT" w:hAnsi="Gill Sans MT"/>
          <w:color w:val="231F20"/>
          <w:w w:val="115"/>
          <w:sz w:val="18"/>
        </w:rPr>
        <w:t>is</w:t>
      </w:r>
      <w:r>
        <w:rPr>
          <w:rFonts w:ascii="Gill Sans MT" w:hAnsi="Gill Sans MT"/>
          <w:color w:val="231F20"/>
          <w:spacing w:val="-15"/>
          <w:w w:val="115"/>
          <w:sz w:val="18"/>
        </w:rPr>
        <w:t xml:space="preserve"> </w:t>
      </w:r>
      <w:r>
        <w:rPr>
          <w:rFonts w:ascii="Gill Sans MT" w:hAnsi="Gill Sans MT"/>
          <w:color w:val="231F20"/>
          <w:w w:val="115"/>
          <w:sz w:val="18"/>
        </w:rPr>
        <w:t>shot</w:t>
      </w:r>
      <w:r>
        <w:rPr>
          <w:rFonts w:ascii="Gill Sans MT" w:hAnsi="Gill Sans MT"/>
          <w:color w:val="231F20"/>
          <w:spacing w:val="-15"/>
          <w:w w:val="115"/>
          <w:sz w:val="18"/>
        </w:rPr>
        <w:t xml:space="preserve"> </w:t>
      </w:r>
      <w:r>
        <w:rPr>
          <w:rFonts w:ascii="Gill Sans MT" w:hAnsi="Gill Sans MT"/>
          <w:color w:val="231F20"/>
          <w:w w:val="115"/>
          <w:sz w:val="18"/>
        </w:rPr>
        <w:t>and</w:t>
      </w:r>
      <w:r>
        <w:rPr>
          <w:rFonts w:ascii="Gill Sans MT" w:hAnsi="Gill Sans MT"/>
          <w:color w:val="231F20"/>
          <w:spacing w:val="-15"/>
          <w:w w:val="115"/>
          <w:sz w:val="18"/>
        </w:rPr>
        <w:t xml:space="preserve"> </w:t>
      </w:r>
      <w:r>
        <w:rPr>
          <w:rFonts w:ascii="Gill Sans MT" w:hAnsi="Gill Sans MT"/>
          <w:color w:val="231F20"/>
          <w:w w:val="115"/>
          <w:sz w:val="18"/>
        </w:rPr>
        <w:t>killed</w:t>
      </w:r>
      <w:r>
        <w:rPr>
          <w:rFonts w:ascii="Gill Sans MT" w:hAnsi="Gill Sans MT"/>
          <w:color w:val="231F20"/>
          <w:spacing w:val="-15"/>
          <w:w w:val="115"/>
          <w:sz w:val="18"/>
        </w:rPr>
        <w:t xml:space="preserve"> </w:t>
      </w:r>
      <w:r>
        <w:rPr>
          <w:rFonts w:ascii="Gill Sans MT" w:hAnsi="Gill Sans MT"/>
          <w:color w:val="231F20"/>
          <w:w w:val="115"/>
          <w:sz w:val="18"/>
        </w:rPr>
        <w:t>in his</w:t>
      </w:r>
      <w:r>
        <w:rPr>
          <w:rFonts w:ascii="Gill Sans MT" w:hAnsi="Gill Sans MT"/>
          <w:color w:val="231F20"/>
          <w:spacing w:val="-22"/>
          <w:w w:val="115"/>
          <w:sz w:val="18"/>
        </w:rPr>
        <w:t xml:space="preserve"> </w:t>
      </w:r>
      <w:r>
        <w:rPr>
          <w:rFonts w:ascii="Gill Sans MT" w:hAnsi="Gill Sans MT"/>
          <w:color w:val="231F20"/>
          <w:w w:val="115"/>
          <w:sz w:val="18"/>
        </w:rPr>
        <w:t>home.</w:t>
      </w:r>
      <w:r>
        <w:rPr>
          <w:rFonts w:ascii="Gill Sans MT" w:hAnsi="Gill Sans MT"/>
          <w:color w:val="231F20"/>
          <w:spacing w:val="-22"/>
          <w:w w:val="115"/>
          <w:sz w:val="18"/>
        </w:rPr>
        <w:t xml:space="preserve"> </w:t>
      </w:r>
      <w:r>
        <w:rPr>
          <w:rFonts w:ascii="Gill Sans MT" w:hAnsi="Gill Sans MT"/>
          <w:color w:val="231F20"/>
          <w:w w:val="115"/>
          <w:sz w:val="18"/>
        </w:rPr>
        <w:t>Susanne</w:t>
      </w:r>
      <w:r>
        <w:rPr>
          <w:rFonts w:ascii="Gill Sans MT" w:hAnsi="Gill Sans MT"/>
          <w:color w:val="231F20"/>
          <w:spacing w:val="-22"/>
          <w:w w:val="115"/>
          <w:sz w:val="18"/>
        </w:rPr>
        <w:t xml:space="preserve"> </w:t>
      </w:r>
      <w:r>
        <w:rPr>
          <w:rFonts w:ascii="Gill Sans MT" w:hAnsi="Gill Sans MT"/>
          <w:color w:val="231F20"/>
          <w:w w:val="115"/>
          <w:sz w:val="18"/>
        </w:rPr>
        <w:t>Albrecht,</w:t>
      </w:r>
      <w:r>
        <w:rPr>
          <w:rFonts w:ascii="Gill Sans MT" w:hAnsi="Gill Sans MT"/>
          <w:color w:val="231F20"/>
          <w:spacing w:val="-22"/>
          <w:w w:val="115"/>
          <w:sz w:val="18"/>
        </w:rPr>
        <w:t xml:space="preserve"> </w:t>
      </w:r>
      <w:r>
        <w:rPr>
          <w:rFonts w:ascii="Gill Sans MT" w:hAnsi="Gill Sans MT"/>
          <w:color w:val="231F20"/>
          <w:w w:val="115"/>
          <w:sz w:val="18"/>
        </w:rPr>
        <w:t>who</w:t>
      </w:r>
      <w:r>
        <w:rPr>
          <w:rFonts w:ascii="Gill Sans MT" w:hAnsi="Gill Sans MT"/>
          <w:color w:val="231F20"/>
          <w:spacing w:val="-22"/>
          <w:w w:val="115"/>
          <w:sz w:val="18"/>
        </w:rPr>
        <w:t xml:space="preserve"> </w:t>
      </w:r>
      <w:r>
        <w:rPr>
          <w:rFonts w:ascii="Gill Sans MT" w:hAnsi="Gill Sans MT"/>
          <w:color w:val="231F20"/>
          <w:w w:val="115"/>
          <w:sz w:val="18"/>
        </w:rPr>
        <w:t>is the</w:t>
      </w:r>
      <w:r>
        <w:rPr>
          <w:rFonts w:ascii="Gill Sans MT" w:hAnsi="Gill Sans MT"/>
          <w:color w:val="231F20"/>
          <w:spacing w:val="-22"/>
          <w:w w:val="115"/>
          <w:sz w:val="18"/>
        </w:rPr>
        <w:t xml:space="preserve"> </w:t>
      </w:r>
      <w:r>
        <w:rPr>
          <w:rFonts w:ascii="Gill Sans MT" w:hAnsi="Gill Sans MT"/>
          <w:color w:val="231F20"/>
          <w:w w:val="115"/>
          <w:sz w:val="18"/>
        </w:rPr>
        <w:t>sister</w:t>
      </w:r>
      <w:r>
        <w:rPr>
          <w:rFonts w:ascii="Gill Sans MT" w:hAnsi="Gill Sans MT"/>
          <w:color w:val="231F20"/>
          <w:spacing w:val="-22"/>
          <w:w w:val="115"/>
          <w:sz w:val="18"/>
        </w:rPr>
        <w:t xml:space="preserve"> </w:t>
      </w:r>
      <w:r>
        <w:rPr>
          <w:rFonts w:ascii="Gill Sans MT" w:hAnsi="Gill Sans MT"/>
          <w:color w:val="231F20"/>
          <w:w w:val="115"/>
          <w:sz w:val="18"/>
        </w:rPr>
        <w:t>of</w:t>
      </w:r>
      <w:r>
        <w:rPr>
          <w:rFonts w:ascii="Gill Sans MT" w:hAnsi="Gill Sans MT"/>
          <w:color w:val="231F20"/>
          <w:spacing w:val="-22"/>
          <w:w w:val="115"/>
          <w:sz w:val="18"/>
        </w:rPr>
        <w:t xml:space="preserve"> </w:t>
      </w:r>
      <w:r>
        <w:rPr>
          <w:rFonts w:ascii="Gill Sans MT" w:hAnsi="Gill Sans MT"/>
          <w:color w:val="231F20"/>
          <w:w w:val="115"/>
          <w:sz w:val="18"/>
        </w:rPr>
        <w:t>Ponto’s</w:t>
      </w:r>
      <w:r>
        <w:rPr>
          <w:rFonts w:ascii="Gill Sans MT" w:hAnsi="Gill Sans MT"/>
          <w:color w:val="231F20"/>
          <w:spacing w:val="-22"/>
          <w:w w:val="115"/>
          <w:sz w:val="18"/>
        </w:rPr>
        <w:t xml:space="preserve"> </w:t>
      </w:r>
      <w:r>
        <w:rPr>
          <w:rFonts w:ascii="Gill Sans MT" w:hAnsi="Gill Sans MT"/>
          <w:color w:val="231F20"/>
          <w:w w:val="115"/>
          <w:sz w:val="18"/>
        </w:rPr>
        <w:t>goddaughter,</w:t>
      </w:r>
      <w:r>
        <w:rPr>
          <w:rFonts w:ascii="Gill Sans MT" w:hAnsi="Gill Sans MT"/>
          <w:color w:val="231F20"/>
          <w:spacing w:val="-22"/>
          <w:w w:val="115"/>
          <w:sz w:val="18"/>
        </w:rPr>
        <w:t xml:space="preserve"> </w:t>
      </w:r>
      <w:r>
        <w:rPr>
          <w:rFonts w:ascii="Gill Sans MT" w:hAnsi="Gill Sans MT"/>
          <w:color w:val="231F20"/>
          <w:w w:val="115"/>
          <w:sz w:val="18"/>
        </w:rPr>
        <w:t>is recognized. She goes underground along with Angelika Speitel, Silke Maier-Witt,</w:t>
      </w:r>
      <w:r>
        <w:rPr>
          <w:rFonts w:ascii="Gill Sans MT" w:hAnsi="Gill Sans MT"/>
          <w:color w:val="231F20"/>
          <w:spacing w:val="-32"/>
          <w:w w:val="115"/>
          <w:sz w:val="18"/>
        </w:rPr>
        <w:t xml:space="preserve"> </w:t>
      </w:r>
      <w:r>
        <w:rPr>
          <w:rFonts w:ascii="Gill Sans MT" w:hAnsi="Gill Sans MT"/>
          <w:color w:val="231F20"/>
          <w:w w:val="115"/>
          <w:sz w:val="18"/>
        </w:rPr>
        <w:t>and</w:t>
      </w:r>
      <w:r>
        <w:rPr>
          <w:rFonts w:ascii="Gill Sans MT" w:hAnsi="Gill Sans MT"/>
          <w:color w:val="231F20"/>
          <w:spacing w:val="-32"/>
          <w:w w:val="115"/>
          <w:sz w:val="18"/>
        </w:rPr>
        <w:t xml:space="preserve"> </w:t>
      </w:r>
      <w:r>
        <w:rPr>
          <w:rFonts w:ascii="Gill Sans MT" w:hAnsi="Gill Sans MT"/>
          <w:color w:val="231F20"/>
          <w:w w:val="115"/>
          <w:sz w:val="18"/>
        </w:rPr>
        <w:t>Siegrid</w:t>
      </w:r>
      <w:r>
        <w:rPr>
          <w:rFonts w:ascii="Gill Sans MT" w:hAnsi="Gill Sans MT"/>
          <w:color w:val="231F20"/>
          <w:spacing w:val="-32"/>
          <w:w w:val="115"/>
          <w:sz w:val="18"/>
        </w:rPr>
        <w:t xml:space="preserve"> </w:t>
      </w:r>
      <w:r>
        <w:rPr>
          <w:rFonts w:ascii="Gill Sans MT" w:hAnsi="Gill Sans MT"/>
          <w:color w:val="231F20"/>
          <w:w w:val="115"/>
          <w:sz w:val="18"/>
        </w:rPr>
        <w:t>Sternebeck. Immediately</w:t>
      </w:r>
      <w:r>
        <w:rPr>
          <w:rFonts w:ascii="Gill Sans MT" w:hAnsi="Gill Sans MT"/>
          <w:color w:val="231F20"/>
          <w:spacing w:val="-20"/>
          <w:w w:val="115"/>
          <w:sz w:val="18"/>
        </w:rPr>
        <w:t xml:space="preserve"> </w:t>
      </w:r>
      <w:r>
        <w:rPr>
          <w:rFonts w:ascii="Gill Sans MT" w:hAnsi="Gill Sans MT"/>
          <w:color w:val="231F20"/>
          <w:w w:val="115"/>
          <w:sz w:val="18"/>
        </w:rPr>
        <w:t>following</w:t>
      </w:r>
      <w:r>
        <w:rPr>
          <w:rFonts w:ascii="Gill Sans MT" w:hAnsi="Gill Sans MT"/>
          <w:color w:val="231F20"/>
          <w:spacing w:val="-20"/>
          <w:w w:val="115"/>
          <w:sz w:val="18"/>
        </w:rPr>
        <w:t xml:space="preserve"> </w:t>
      </w:r>
      <w:r>
        <w:rPr>
          <w:rFonts w:ascii="Gill Sans MT" w:hAnsi="Gill Sans MT"/>
          <w:color w:val="231F20"/>
          <w:w w:val="115"/>
          <w:sz w:val="18"/>
        </w:rPr>
        <w:t>the</w:t>
      </w:r>
      <w:r>
        <w:rPr>
          <w:rFonts w:ascii="Gill Sans MT" w:hAnsi="Gill Sans MT"/>
          <w:color w:val="231F20"/>
          <w:spacing w:val="-20"/>
          <w:w w:val="115"/>
          <w:sz w:val="18"/>
        </w:rPr>
        <w:t xml:space="preserve"> </w:t>
      </w:r>
      <w:r>
        <w:rPr>
          <w:rFonts w:ascii="Gill Sans MT" w:hAnsi="Gill Sans MT"/>
          <w:color w:val="231F20"/>
          <w:w w:val="115"/>
          <w:sz w:val="18"/>
        </w:rPr>
        <w:t xml:space="preserve">shooting </w:t>
      </w:r>
      <w:r w:rsidR="00C507A5">
        <w:rPr>
          <w:rFonts w:ascii="Gill Sans MT" w:hAnsi="Gill Sans MT"/>
          <w:color w:val="231F20"/>
          <w:w w:val="115"/>
          <w:sz w:val="18"/>
        </w:rPr>
        <w:t>red army faction</w:t>
      </w:r>
      <w:r>
        <w:rPr>
          <w:rFonts w:ascii="Gill Sans MT" w:hAnsi="Gill Sans MT"/>
          <w:color w:val="231F20"/>
          <w:spacing w:val="-27"/>
          <w:w w:val="115"/>
          <w:sz w:val="18"/>
        </w:rPr>
        <w:t xml:space="preserve"> </w:t>
      </w:r>
      <w:r>
        <w:rPr>
          <w:rFonts w:ascii="Gill Sans MT" w:hAnsi="Gill Sans MT"/>
          <w:color w:val="231F20"/>
          <w:w w:val="115"/>
          <w:sz w:val="18"/>
        </w:rPr>
        <w:t>prisoners</w:t>
      </w:r>
      <w:r>
        <w:rPr>
          <w:rFonts w:ascii="Gill Sans MT" w:hAnsi="Gill Sans MT"/>
          <w:color w:val="231F20"/>
          <w:spacing w:val="-27"/>
          <w:w w:val="115"/>
          <w:sz w:val="18"/>
        </w:rPr>
        <w:t xml:space="preserve"> </w:t>
      </w:r>
      <w:r>
        <w:rPr>
          <w:rFonts w:ascii="Gill Sans MT" w:hAnsi="Gill Sans MT"/>
          <w:color w:val="231F20"/>
          <w:w w:val="115"/>
          <w:sz w:val="18"/>
        </w:rPr>
        <w:t>are</w:t>
      </w:r>
      <w:r>
        <w:rPr>
          <w:rFonts w:ascii="Gill Sans MT" w:hAnsi="Gill Sans MT"/>
          <w:color w:val="231F20"/>
          <w:spacing w:val="-27"/>
          <w:w w:val="115"/>
          <w:sz w:val="18"/>
        </w:rPr>
        <w:t xml:space="preserve"> </w:t>
      </w:r>
      <w:r>
        <w:rPr>
          <w:rFonts w:ascii="Gill Sans MT" w:hAnsi="Gill Sans MT"/>
          <w:color w:val="231F20"/>
          <w:w w:val="115"/>
          <w:sz w:val="18"/>
        </w:rPr>
        <w:t>searched</w:t>
      </w:r>
      <w:r>
        <w:rPr>
          <w:rFonts w:ascii="Gill Sans MT" w:hAnsi="Gill Sans MT"/>
          <w:color w:val="231F20"/>
          <w:spacing w:val="-27"/>
          <w:w w:val="115"/>
          <w:sz w:val="18"/>
        </w:rPr>
        <w:t xml:space="preserve"> </w:t>
      </w:r>
      <w:r>
        <w:rPr>
          <w:rFonts w:ascii="Gill Sans MT" w:hAnsi="Gill Sans MT"/>
          <w:color w:val="231F20"/>
          <w:w w:val="115"/>
          <w:sz w:val="18"/>
        </w:rPr>
        <w:t>and</w:t>
      </w:r>
      <w:r>
        <w:rPr>
          <w:rFonts w:ascii="Gill Sans MT" w:hAnsi="Gill Sans MT"/>
          <w:color w:val="231F20"/>
          <w:spacing w:val="-27"/>
          <w:w w:val="115"/>
          <w:sz w:val="18"/>
        </w:rPr>
        <w:t xml:space="preserve"> </w:t>
      </w:r>
      <w:r>
        <w:rPr>
          <w:rFonts w:ascii="Gill Sans MT" w:hAnsi="Gill Sans MT"/>
          <w:color w:val="231F20"/>
          <w:w w:val="115"/>
          <w:sz w:val="18"/>
        </w:rPr>
        <w:t>the Contact Ban is</w:t>
      </w:r>
      <w:r>
        <w:rPr>
          <w:rFonts w:ascii="Gill Sans MT" w:hAnsi="Gill Sans MT"/>
          <w:color w:val="231F20"/>
          <w:spacing w:val="-26"/>
          <w:w w:val="115"/>
          <w:sz w:val="18"/>
        </w:rPr>
        <w:t xml:space="preserve"> </w:t>
      </w:r>
      <w:r>
        <w:rPr>
          <w:rFonts w:ascii="Gill Sans MT" w:hAnsi="Gill Sans MT"/>
          <w:color w:val="231F20"/>
          <w:w w:val="115"/>
          <w:sz w:val="18"/>
        </w:rPr>
        <w:t>applied.</w:t>
      </w:r>
    </w:p>
    <w:p w14:paraId="7B3250D0" w14:textId="77777777" w:rsidR="002653E8" w:rsidRDefault="002653E8">
      <w:pPr>
        <w:pStyle w:val="a3"/>
        <w:spacing w:before="6"/>
        <w:rPr>
          <w:rFonts w:ascii="Gill Sans MT"/>
        </w:rPr>
      </w:pPr>
    </w:p>
    <w:p w14:paraId="545341C2" w14:textId="77777777" w:rsidR="002653E8" w:rsidRDefault="003115E3">
      <w:pPr>
        <w:ind w:left="1147"/>
        <w:rPr>
          <w:rFonts w:ascii="Arial"/>
          <w:b/>
          <w:sz w:val="18"/>
        </w:rPr>
      </w:pPr>
      <w:r>
        <w:rPr>
          <w:rFonts w:ascii="Arial"/>
          <w:b/>
          <w:color w:val="231F20"/>
          <w:w w:val="115"/>
          <w:sz w:val="18"/>
        </w:rPr>
        <w:t>August 8, 1977</w:t>
      </w:r>
    </w:p>
    <w:p w14:paraId="190E959B" w14:textId="77777777" w:rsidR="002653E8" w:rsidRDefault="003115E3">
      <w:pPr>
        <w:spacing w:before="34" w:line="276" w:lineRule="auto"/>
        <w:ind w:left="1147" w:right="137"/>
        <w:rPr>
          <w:rFonts w:ascii="Gill Sans MT"/>
          <w:sz w:val="18"/>
        </w:rPr>
      </w:pPr>
      <w:r>
        <w:rPr>
          <w:rFonts w:ascii="Gill Sans MT"/>
          <w:color w:val="231F20"/>
          <w:w w:val="110"/>
          <w:sz w:val="18"/>
        </w:rPr>
        <w:t>A special unit brutally breaks up the month-old Stammheim group, marking the renewal of draconian prison conditions.</w:t>
      </w:r>
    </w:p>
    <w:p w14:paraId="5F8E24E3" w14:textId="77777777" w:rsidR="002653E8" w:rsidRDefault="003115E3">
      <w:pPr>
        <w:spacing w:before="91" w:line="276" w:lineRule="auto"/>
        <w:ind w:left="233" w:right="1467" w:hanging="1"/>
        <w:rPr>
          <w:rFonts w:ascii="Gill Sans MT" w:hAnsi="Gill Sans MT"/>
          <w:sz w:val="18"/>
        </w:rPr>
      </w:pPr>
      <w:r>
        <w:br w:type="column"/>
      </w:r>
      <w:r>
        <w:rPr>
          <w:rFonts w:ascii="Arial" w:hAnsi="Arial"/>
          <w:b/>
          <w:color w:val="231F20"/>
          <w:w w:val="110"/>
          <w:sz w:val="18"/>
        </w:rPr>
        <w:t xml:space="preserve">August 9–September 2, 1977 </w:t>
      </w:r>
      <w:r w:rsidR="00C507A5">
        <w:rPr>
          <w:rFonts w:ascii="Gill Sans MT" w:hAnsi="Gill Sans MT"/>
          <w:color w:val="231F20"/>
          <w:w w:val="110"/>
          <w:sz w:val="18"/>
        </w:rPr>
        <w:t>red army faction</w:t>
      </w:r>
      <w:r>
        <w:rPr>
          <w:rFonts w:ascii="Gill Sans MT" w:hAnsi="Gill Sans MT"/>
          <w:color w:val="231F20"/>
          <w:w w:val="110"/>
          <w:sz w:val="18"/>
        </w:rPr>
        <w:t xml:space="preserve"> prisoners participate in the </w:t>
      </w:r>
      <w:r>
        <w:rPr>
          <w:rFonts w:ascii="Arial" w:hAnsi="Arial"/>
          <w:color w:val="231F20"/>
          <w:w w:val="110"/>
          <w:sz w:val="18"/>
        </w:rPr>
        <w:t>5</w:t>
      </w:r>
      <w:r>
        <w:rPr>
          <w:rFonts w:ascii="Gill Sans MT" w:hAnsi="Gill Sans MT"/>
          <w:color w:val="231F20"/>
          <w:w w:val="110"/>
          <w:sz w:val="18"/>
        </w:rPr>
        <w:t>th collective hunger strike in response to the attack on the</w:t>
      </w:r>
    </w:p>
    <w:p w14:paraId="6B2A008A" w14:textId="77777777" w:rsidR="002653E8" w:rsidRDefault="003115E3">
      <w:pPr>
        <w:spacing w:before="1" w:line="276" w:lineRule="auto"/>
        <w:ind w:left="233" w:right="1320"/>
        <w:rPr>
          <w:rFonts w:ascii="Gill Sans MT"/>
          <w:sz w:val="18"/>
        </w:rPr>
      </w:pPr>
      <w:r>
        <w:rPr>
          <w:rFonts w:ascii="Gill Sans MT"/>
          <w:color w:val="231F20"/>
          <w:w w:val="115"/>
          <w:sz w:val="18"/>
        </w:rPr>
        <w:t>Stammheim</w:t>
      </w:r>
      <w:r>
        <w:rPr>
          <w:rFonts w:ascii="Gill Sans MT"/>
          <w:color w:val="231F20"/>
          <w:spacing w:val="-31"/>
          <w:w w:val="115"/>
          <w:sz w:val="18"/>
        </w:rPr>
        <w:t xml:space="preserve"> </w:t>
      </w:r>
      <w:r>
        <w:rPr>
          <w:rFonts w:ascii="Gill Sans MT"/>
          <w:color w:val="231F20"/>
          <w:w w:val="115"/>
          <w:sz w:val="18"/>
        </w:rPr>
        <w:t>prisoners</w:t>
      </w:r>
      <w:r>
        <w:rPr>
          <w:rFonts w:ascii="Gill Sans MT"/>
          <w:color w:val="231F20"/>
          <w:spacing w:val="-31"/>
          <w:w w:val="115"/>
          <w:sz w:val="18"/>
        </w:rPr>
        <w:t xml:space="preserve"> </w:t>
      </w:r>
      <w:r>
        <w:rPr>
          <w:rFonts w:ascii="Gill Sans MT"/>
          <w:color w:val="231F20"/>
          <w:w w:val="115"/>
          <w:sz w:val="18"/>
        </w:rPr>
        <w:t>and</w:t>
      </w:r>
      <w:r>
        <w:rPr>
          <w:rFonts w:ascii="Gill Sans MT"/>
          <w:color w:val="231F20"/>
          <w:spacing w:val="-31"/>
          <w:w w:val="115"/>
          <w:sz w:val="18"/>
        </w:rPr>
        <w:t xml:space="preserve"> </w:t>
      </w:r>
      <w:r>
        <w:rPr>
          <w:rFonts w:ascii="Gill Sans MT"/>
          <w:color w:val="231F20"/>
          <w:w w:val="115"/>
          <w:sz w:val="18"/>
        </w:rPr>
        <w:t>the</w:t>
      </w:r>
      <w:r>
        <w:rPr>
          <w:rFonts w:ascii="Gill Sans MT"/>
          <w:color w:val="231F20"/>
          <w:spacing w:val="-31"/>
          <w:w w:val="115"/>
          <w:sz w:val="18"/>
        </w:rPr>
        <w:t xml:space="preserve"> </w:t>
      </w:r>
      <w:r>
        <w:rPr>
          <w:rFonts w:ascii="Gill Sans MT"/>
          <w:color w:val="231F20"/>
          <w:w w:val="115"/>
          <w:sz w:val="18"/>
        </w:rPr>
        <w:t>Ponto</w:t>
      </w:r>
      <w:r>
        <w:rPr>
          <w:rFonts w:ascii="Gill Sans MT"/>
          <w:color w:val="231F20"/>
          <w:w w:val="109"/>
          <w:sz w:val="18"/>
        </w:rPr>
        <w:t xml:space="preserve"> </w:t>
      </w:r>
      <w:r>
        <w:rPr>
          <w:rFonts w:ascii="Gill Sans MT"/>
          <w:color w:val="231F20"/>
          <w:w w:val="115"/>
          <w:sz w:val="18"/>
        </w:rPr>
        <w:t>assassination.</w:t>
      </w:r>
      <w:r>
        <w:rPr>
          <w:rFonts w:ascii="Gill Sans MT"/>
          <w:color w:val="231F20"/>
          <w:spacing w:val="-26"/>
          <w:w w:val="115"/>
          <w:sz w:val="18"/>
        </w:rPr>
        <w:t xml:space="preserve"> </w:t>
      </w:r>
      <w:r>
        <w:rPr>
          <w:rFonts w:ascii="Gill Sans MT"/>
          <w:color w:val="231F20"/>
          <w:w w:val="115"/>
          <w:sz w:val="18"/>
        </w:rPr>
        <w:t>Some</w:t>
      </w:r>
      <w:r>
        <w:rPr>
          <w:rFonts w:ascii="Gill Sans MT"/>
          <w:color w:val="231F20"/>
          <w:spacing w:val="-26"/>
          <w:w w:val="115"/>
          <w:sz w:val="18"/>
        </w:rPr>
        <w:t xml:space="preserve"> </w:t>
      </w:r>
      <w:r>
        <w:rPr>
          <w:rFonts w:ascii="Gill Sans MT"/>
          <w:color w:val="231F20"/>
          <w:w w:val="115"/>
          <w:sz w:val="18"/>
        </w:rPr>
        <w:t>of</w:t>
      </w:r>
      <w:r>
        <w:rPr>
          <w:rFonts w:ascii="Gill Sans MT"/>
          <w:color w:val="231F20"/>
          <w:spacing w:val="-26"/>
          <w:w w:val="115"/>
          <w:sz w:val="18"/>
        </w:rPr>
        <w:t xml:space="preserve"> </w:t>
      </w:r>
      <w:r>
        <w:rPr>
          <w:rFonts w:ascii="Gill Sans MT"/>
          <w:color w:val="231F20"/>
          <w:w w:val="115"/>
          <w:sz w:val="18"/>
        </w:rPr>
        <w:t>the</w:t>
      </w:r>
      <w:r>
        <w:rPr>
          <w:rFonts w:ascii="Gill Sans MT"/>
          <w:color w:val="231F20"/>
          <w:spacing w:val="-26"/>
          <w:w w:val="115"/>
          <w:sz w:val="18"/>
        </w:rPr>
        <w:t xml:space="preserve"> </w:t>
      </w:r>
      <w:r>
        <w:rPr>
          <w:rFonts w:ascii="Gill Sans MT"/>
          <w:color w:val="231F20"/>
          <w:w w:val="115"/>
          <w:sz w:val="18"/>
        </w:rPr>
        <w:t>prisoners escalate to a thirst strike almost immediately.</w:t>
      </w:r>
    </w:p>
    <w:p w14:paraId="45639370" w14:textId="77777777" w:rsidR="002653E8" w:rsidRDefault="002653E8">
      <w:pPr>
        <w:pStyle w:val="a3"/>
        <w:spacing w:before="6"/>
        <w:rPr>
          <w:rFonts w:ascii="Gill Sans MT"/>
        </w:rPr>
      </w:pPr>
    </w:p>
    <w:p w14:paraId="181BF958" w14:textId="77777777" w:rsidR="002653E8" w:rsidRDefault="003115E3">
      <w:pPr>
        <w:spacing w:before="1"/>
        <w:ind w:left="233"/>
        <w:rPr>
          <w:rFonts w:ascii="Arial"/>
          <w:b/>
          <w:sz w:val="18"/>
        </w:rPr>
      </w:pPr>
      <w:r>
        <w:rPr>
          <w:rFonts w:ascii="Arial"/>
          <w:b/>
          <w:color w:val="231F20"/>
          <w:w w:val="115"/>
          <w:sz w:val="18"/>
        </w:rPr>
        <w:t>August 12, 1977</w:t>
      </w:r>
    </w:p>
    <w:p w14:paraId="04396DA7" w14:textId="77777777" w:rsidR="002653E8" w:rsidRDefault="00C507A5">
      <w:pPr>
        <w:spacing w:before="35" w:line="276" w:lineRule="auto"/>
        <w:ind w:left="233" w:right="1457"/>
        <w:rPr>
          <w:rFonts w:ascii="Gill Sans MT"/>
          <w:sz w:val="18"/>
        </w:rPr>
      </w:pPr>
      <w:r>
        <w:rPr>
          <w:rFonts w:ascii="Gill Sans MT"/>
          <w:color w:val="231F20"/>
          <w:w w:val="115"/>
          <w:sz w:val="18"/>
        </w:rPr>
        <w:t>red army faction</w:t>
      </w:r>
      <w:r w:rsidR="003115E3">
        <w:rPr>
          <w:rFonts w:ascii="Gill Sans MT"/>
          <w:color w:val="231F20"/>
          <w:spacing w:val="-19"/>
          <w:w w:val="115"/>
          <w:sz w:val="18"/>
        </w:rPr>
        <w:t xml:space="preserve"> </w:t>
      </w:r>
      <w:r w:rsidR="003115E3">
        <w:rPr>
          <w:rFonts w:ascii="Gill Sans MT"/>
          <w:color w:val="231F20"/>
          <w:w w:val="115"/>
          <w:sz w:val="18"/>
        </w:rPr>
        <w:t>member</w:t>
      </w:r>
      <w:r w:rsidR="003115E3">
        <w:rPr>
          <w:rFonts w:ascii="Gill Sans MT"/>
          <w:color w:val="231F20"/>
          <w:spacing w:val="-19"/>
          <w:w w:val="115"/>
          <w:sz w:val="18"/>
        </w:rPr>
        <w:t xml:space="preserve"> </w:t>
      </w:r>
      <w:r w:rsidR="003115E3">
        <w:rPr>
          <w:rFonts w:ascii="Gill Sans MT"/>
          <w:color w:val="231F20"/>
          <w:w w:val="115"/>
          <w:sz w:val="18"/>
        </w:rPr>
        <w:t>Elisabeth</w:t>
      </w:r>
      <w:r w:rsidR="003115E3">
        <w:rPr>
          <w:rFonts w:ascii="Gill Sans MT"/>
          <w:color w:val="231F20"/>
          <w:spacing w:val="-19"/>
          <w:w w:val="115"/>
          <w:sz w:val="18"/>
        </w:rPr>
        <w:t xml:space="preserve"> </w:t>
      </w:r>
      <w:r w:rsidR="003115E3">
        <w:rPr>
          <w:rFonts w:ascii="Gill Sans MT"/>
          <w:color w:val="231F20"/>
          <w:w w:val="115"/>
          <w:sz w:val="18"/>
        </w:rPr>
        <w:t>von</w:t>
      </w:r>
      <w:r w:rsidR="003115E3">
        <w:rPr>
          <w:rFonts w:ascii="Gill Sans MT"/>
          <w:color w:val="231F20"/>
          <w:spacing w:val="-19"/>
          <w:w w:val="115"/>
          <w:sz w:val="18"/>
        </w:rPr>
        <w:t xml:space="preserve"> </w:t>
      </w:r>
      <w:r w:rsidR="003115E3">
        <w:rPr>
          <w:rFonts w:ascii="Gill Sans MT"/>
          <w:color w:val="231F20"/>
          <w:w w:val="115"/>
          <w:sz w:val="18"/>
        </w:rPr>
        <w:t>dyck</w:t>
      </w:r>
      <w:r w:rsidR="003115E3">
        <w:rPr>
          <w:rFonts w:ascii="Gill Sans MT"/>
          <w:color w:val="231F20"/>
          <w:spacing w:val="-19"/>
          <w:w w:val="115"/>
          <w:sz w:val="18"/>
        </w:rPr>
        <w:t xml:space="preserve"> </w:t>
      </w:r>
      <w:r w:rsidR="003115E3">
        <w:rPr>
          <w:rFonts w:ascii="Gill Sans MT"/>
          <w:color w:val="231F20"/>
          <w:w w:val="115"/>
          <w:sz w:val="18"/>
        </w:rPr>
        <w:t>is named as a suspect in connection with the Ponto</w:t>
      </w:r>
      <w:r w:rsidR="003115E3">
        <w:rPr>
          <w:rFonts w:ascii="Gill Sans MT"/>
          <w:color w:val="231F20"/>
          <w:spacing w:val="-40"/>
          <w:w w:val="115"/>
          <w:sz w:val="18"/>
        </w:rPr>
        <w:t xml:space="preserve"> </w:t>
      </w:r>
      <w:r w:rsidR="003115E3">
        <w:rPr>
          <w:rFonts w:ascii="Gill Sans MT"/>
          <w:color w:val="231F20"/>
          <w:w w:val="115"/>
          <w:sz w:val="18"/>
        </w:rPr>
        <w:t>assassination.</w:t>
      </w:r>
    </w:p>
    <w:p w14:paraId="2A305A7D" w14:textId="77777777" w:rsidR="002653E8" w:rsidRDefault="002653E8">
      <w:pPr>
        <w:pStyle w:val="a3"/>
        <w:spacing w:before="6"/>
        <w:rPr>
          <w:rFonts w:ascii="Gill Sans MT"/>
        </w:rPr>
      </w:pPr>
    </w:p>
    <w:p w14:paraId="1C0C3771" w14:textId="77777777" w:rsidR="002653E8" w:rsidRDefault="003115E3">
      <w:pPr>
        <w:ind w:left="233"/>
        <w:rPr>
          <w:rFonts w:ascii="Arial"/>
          <w:b/>
          <w:sz w:val="18"/>
        </w:rPr>
      </w:pPr>
      <w:r>
        <w:rPr>
          <w:rFonts w:ascii="Arial"/>
          <w:b/>
          <w:color w:val="231F20"/>
          <w:w w:val="115"/>
          <w:sz w:val="18"/>
        </w:rPr>
        <w:t>August 13, 1977</w:t>
      </w:r>
    </w:p>
    <w:p w14:paraId="1BB7AF36" w14:textId="77777777" w:rsidR="002653E8" w:rsidRDefault="003115E3">
      <w:pPr>
        <w:spacing w:before="28" w:line="273" w:lineRule="auto"/>
        <w:ind w:left="233" w:right="1323"/>
        <w:rPr>
          <w:rFonts w:ascii="Gill Sans MT"/>
          <w:sz w:val="18"/>
        </w:rPr>
      </w:pPr>
      <w:r>
        <w:rPr>
          <w:rFonts w:ascii="Lucida Sans"/>
          <w:i/>
          <w:color w:val="231F20"/>
          <w:w w:val="105"/>
          <w:sz w:val="18"/>
        </w:rPr>
        <w:t xml:space="preserve">Berufsverbot </w:t>
      </w:r>
      <w:r>
        <w:rPr>
          <w:rFonts w:ascii="Gill Sans MT"/>
          <w:color w:val="231F20"/>
          <w:w w:val="105"/>
          <w:sz w:val="18"/>
        </w:rPr>
        <w:t>is requested against attorney Kurt Groenewold.</w:t>
      </w:r>
    </w:p>
    <w:p w14:paraId="70C97731" w14:textId="77777777" w:rsidR="002653E8" w:rsidRDefault="002653E8">
      <w:pPr>
        <w:pStyle w:val="a3"/>
        <w:spacing w:before="10"/>
        <w:rPr>
          <w:rFonts w:ascii="Gill Sans MT"/>
        </w:rPr>
      </w:pPr>
    </w:p>
    <w:p w14:paraId="7BEE8510" w14:textId="77777777" w:rsidR="002653E8" w:rsidRDefault="003115E3">
      <w:pPr>
        <w:ind w:left="233"/>
        <w:rPr>
          <w:rFonts w:ascii="Arial"/>
          <w:b/>
          <w:sz w:val="18"/>
        </w:rPr>
      </w:pPr>
      <w:r>
        <w:rPr>
          <w:rFonts w:ascii="Arial"/>
          <w:b/>
          <w:color w:val="231F20"/>
          <w:w w:val="115"/>
          <w:sz w:val="18"/>
        </w:rPr>
        <w:t>August 14, 1977</w:t>
      </w:r>
    </w:p>
    <w:p w14:paraId="0873B72B" w14:textId="77777777" w:rsidR="002653E8" w:rsidRDefault="003115E3">
      <w:pPr>
        <w:spacing w:before="34" w:line="276" w:lineRule="auto"/>
        <w:ind w:left="233" w:right="1392"/>
        <w:rPr>
          <w:rFonts w:ascii="Gill Sans MT" w:hAnsi="Gill Sans MT"/>
          <w:sz w:val="18"/>
        </w:rPr>
      </w:pPr>
      <w:r>
        <w:rPr>
          <w:rFonts w:ascii="Gill Sans MT" w:hAnsi="Gill Sans MT"/>
          <w:color w:val="231F20"/>
          <w:w w:val="115"/>
          <w:sz w:val="18"/>
        </w:rPr>
        <w:t xml:space="preserve">Susanne Albrecht issues a communiqué on behalf of the </w:t>
      </w:r>
      <w:r w:rsidR="00C507A5">
        <w:rPr>
          <w:rFonts w:ascii="Gill Sans MT" w:hAnsi="Gill Sans MT"/>
          <w:color w:val="231F20"/>
          <w:w w:val="115"/>
          <w:sz w:val="18"/>
        </w:rPr>
        <w:t>red army faction</w:t>
      </w:r>
      <w:r>
        <w:rPr>
          <w:rFonts w:ascii="Gill Sans MT" w:hAnsi="Gill Sans MT"/>
          <w:color w:val="231F20"/>
          <w:w w:val="115"/>
          <w:sz w:val="18"/>
        </w:rPr>
        <w:t xml:space="preserve"> regarding the July </w:t>
      </w:r>
      <w:r>
        <w:rPr>
          <w:rFonts w:ascii="Arial" w:hAnsi="Arial"/>
          <w:color w:val="231F20"/>
          <w:w w:val="115"/>
          <w:sz w:val="18"/>
        </w:rPr>
        <w:t xml:space="preserve">30 </w:t>
      </w:r>
      <w:r>
        <w:rPr>
          <w:rFonts w:ascii="Gill Sans MT" w:hAnsi="Gill Sans MT"/>
          <w:color w:val="231F20"/>
          <w:w w:val="115"/>
          <w:sz w:val="18"/>
        </w:rPr>
        <w:t>assassination of Ponto.</w:t>
      </w:r>
    </w:p>
    <w:p w14:paraId="5A46A5F1" w14:textId="77777777" w:rsidR="002653E8" w:rsidRDefault="002653E8">
      <w:pPr>
        <w:pStyle w:val="a3"/>
        <w:spacing w:before="5"/>
        <w:rPr>
          <w:rFonts w:ascii="Gill Sans MT"/>
        </w:rPr>
      </w:pPr>
    </w:p>
    <w:p w14:paraId="6358E6AA" w14:textId="77777777" w:rsidR="002653E8" w:rsidRDefault="003115E3">
      <w:pPr>
        <w:ind w:left="233"/>
        <w:rPr>
          <w:rFonts w:ascii="Arial"/>
          <w:b/>
          <w:sz w:val="18"/>
        </w:rPr>
      </w:pPr>
      <w:r>
        <w:rPr>
          <w:rFonts w:ascii="Arial"/>
          <w:b/>
          <w:color w:val="231F20"/>
          <w:w w:val="115"/>
          <w:sz w:val="18"/>
        </w:rPr>
        <w:t>August 15, 1977</w:t>
      </w:r>
    </w:p>
    <w:p w14:paraId="6495F8F9" w14:textId="77777777" w:rsidR="002653E8" w:rsidRDefault="003115E3">
      <w:pPr>
        <w:spacing w:before="35" w:line="276" w:lineRule="auto"/>
        <w:ind w:left="233" w:right="1379"/>
        <w:rPr>
          <w:rFonts w:ascii="Gill Sans MT" w:hAnsi="Gill Sans MT"/>
          <w:sz w:val="18"/>
        </w:rPr>
      </w:pPr>
      <w:r>
        <w:rPr>
          <w:rFonts w:ascii="Gill Sans MT" w:hAnsi="Gill Sans MT"/>
          <w:color w:val="231F20"/>
          <w:w w:val="110"/>
          <w:sz w:val="18"/>
        </w:rPr>
        <w:t>The office of attorneys Arndt</w:t>
      </w:r>
      <w:r>
        <w:rPr>
          <w:rFonts w:ascii="Gill Sans MT" w:hAnsi="Gill Sans MT"/>
          <w:color w:val="231F20"/>
          <w:spacing w:val="-41"/>
          <w:w w:val="110"/>
          <w:sz w:val="18"/>
        </w:rPr>
        <w:t xml:space="preserve"> </w:t>
      </w:r>
      <w:r>
        <w:rPr>
          <w:rFonts w:ascii="Gill Sans MT" w:hAnsi="Gill Sans MT"/>
          <w:color w:val="231F20"/>
          <w:w w:val="110"/>
          <w:sz w:val="18"/>
        </w:rPr>
        <w:t xml:space="preserve">Müller and Armin Newerla (previously Klaus Croissant’s office, which they have taken over) is firebombed while under </w:t>
      </w:r>
      <w:r>
        <w:rPr>
          <w:rFonts w:ascii="Arial" w:hAnsi="Arial"/>
          <w:color w:val="231F20"/>
          <w:w w:val="110"/>
          <w:sz w:val="18"/>
        </w:rPr>
        <w:t>24</w:t>
      </w:r>
      <w:r>
        <w:rPr>
          <w:rFonts w:ascii="Gill Sans MT" w:hAnsi="Gill Sans MT"/>
          <w:color w:val="231F20"/>
          <w:w w:val="110"/>
          <w:sz w:val="18"/>
        </w:rPr>
        <w:t>-hour-a-day police surveillance.</w:t>
      </w:r>
    </w:p>
    <w:p w14:paraId="687D53E7" w14:textId="77777777" w:rsidR="002653E8" w:rsidRDefault="002653E8">
      <w:pPr>
        <w:pStyle w:val="a3"/>
        <w:spacing w:before="4"/>
        <w:rPr>
          <w:rFonts w:ascii="Gill Sans MT"/>
        </w:rPr>
      </w:pPr>
    </w:p>
    <w:p w14:paraId="2B08B0E4" w14:textId="77777777" w:rsidR="002653E8" w:rsidRDefault="003115E3">
      <w:pPr>
        <w:ind w:left="233"/>
        <w:rPr>
          <w:rFonts w:ascii="Arial"/>
          <w:b/>
          <w:sz w:val="18"/>
        </w:rPr>
      </w:pPr>
      <w:r>
        <w:rPr>
          <w:rFonts w:ascii="Arial"/>
          <w:b/>
          <w:color w:val="231F20"/>
          <w:w w:val="115"/>
          <w:sz w:val="18"/>
        </w:rPr>
        <w:t>August 20, 1977</w:t>
      </w:r>
    </w:p>
    <w:p w14:paraId="0776EADB" w14:textId="77777777" w:rsidR="002653E8" w:rsidRDefault="003115E3">
      <w:pPr>
        <w:spacing w:before="34" w:line="276" w:lineRule="auto"/>
        <w:ind w:left="233" w:right="1413"/>
        <w:rPr>
          <w:rFonts w:ascii="Gill Sans MT"/>
          <w:sz w:val="18"/>
        </w:rPr>
      </w:pPr>
      <w:r>
        <w:rPr>
          <w:rFonts w:ascii="Gill Sans MT"/>
          <w:color w:val="231F20"/>
          <w:w w:val="110"/>
          <w:sz w:val="18"/>
        </w:rPr>
        <w:t>Attorney</w:t>
      </w:r>
      <w:r>
        <w:rPr>
          <w:rFonts w:ascii="Gill Sans MT"/>
          <w:color w:val="231F20"/>
          <w:spacing w:val="-22"/>
          <w:w w:val="110"/>
          <w:sz w:val="18"/>
        </w:rPr>
        <w:t xml:space="preserve"> </w:t>
      </w:r>
      <w:r>
        <w:rPr>
          <w:rFonts w:ascii="Gill Sans MT"/>
          <w:color w:val="231F20"/>
          <w:w w:val="110"/>
          <w:sz w:val="18"/>
        </w:rPr>
        <w:t>Armin</w:t>
      </w:r>
      <w:r>
        <w:rPr>
          <w:rFonts w:ascii="Gill Sans MT"/>
          <w:color w:val="231F20"/>
          <w:spacing w:val="-22"/>
          <w:w w:val="110"/>
          <w:sz w:val="18"/>
        </w:rPr>
        <w:t xml:space="preserve"> </w:t>
      </w:r>
      <w:r>
        <w:rPr>
          <w:rFonts w:ascii="Gill Sans MT"/>
          <w:color w:val="231F20"/>
          <w:w w:val="110"/>
          <w:sz w:val="18"/>
        </w:rPr>
        <w:t>Newerla</w:t>
      </w:r>
      <w:r>
        <w:rPr>
          <w:rFonts w:ascii="Gill Sans MT"/>
          <w:color w:val="231F20"/>
          <w:spacing w:val="-22"/>
          <w:w w:val="110"/>
          <w:sz w:val="18"/>
        </w:rPr>
        <w:t xml:space="preserve"> </w:t>
      </w:r>
      <w:r>
        <w:rPr>
          <w:rFonts w:ascii="Gill Sans MT"/>
          <w:color w:val="231F20"/>
          <w:w w:val="110"/>
          <w:sz w:val="18"/>
        </w:rPr>
        <w:t>is</w:t>
      </w:r>
      <w:r>
        <w:rPr>
          <w:rFonts w:ascii="Gill Sans MT"/>
          <w:color w:val="231F20"/>
          <w:spacing w:val="-22"/>
          <w:w w:val="110"/>
          <w:sz w:val="18"/>
        </w:rPr>
        <w:t xml:space="preserve"> </w:t>
      </w:r>
      <w:r>
        <w:rPr>
          <w:rFonts w:ascii="Gill Sans MT"/>
          <w:color w:val="231F20"/>
          <w:w w:val="110"/>
          <w:sz w:val="18"/>
        </w:rPr>
        <w:t>arrested along with six other</w:t>
      </w:r>
      <w:r>
        <w:rPr>
          <w:rFonts w:ascii="Gill Sans MT"/>
          <w:color w:val="231F20"/>
          <w:spacing w:val="-11"/>
          <w:w w:val="110"/>
          <w:sz w:val="18"/>
        </w:rPr>
        <w:t xml:space="preserve"> </w:t>
      </w:r>
      <w:r>
        <w:rPr>
          <w:rFonts w:ascii="Gill Sans MT"/>
          <w:color w:val="231F20"/>
          <w:w w:val="110"/>
          <w:sz w:val="18"/>
        </w:rPr>
        <w:t>people.</w:t>
      </w:r>
    </w:p>
    <w:p w14:paraId="781C86BB" w14:textId="77777777" w:rsidR="002653E8" w:rsidRDefault="002653E8">
      <w:pPr>
        <w:pStyle w:val="a3"/>
        <w:spacing w:before="7"/>
        <w:rPr>
          <w:rFonts w:ascii="Gill Sans MT"/>
        </w:rPr>
      </w:pPr>
    </w:p>
    <w:p w14:paraId="7969B675" w14:textId="77777777" w:rsidR="002653E8" w:rsidRDefault="003115E3">
      <w:pPr>
        <w:ind w:left="233"/>
        <w:rPr>
          <w:rFonts w:ascii="Arial"/>
          <w:b/>
          <w:sz w:val="18"/>
        </w:rPr>
      </w:pPr>
      <w:r>
        <w:rPr>
          <w:rFonts w:ascii="Arial"/>
          <w:b/>
          <w:color w:val="231F20"/>
          <w:w w:val="115"/>
          <w:sz w:val="18"/>
        </w:rPr>
        <w:t>August 22, 1977</w:t>
      </w:r>
    </w:p>
    <w:p w14:paraId="67899086" w14:textId="77777777" w:rsidR="002653E8" w:rsidRDefault="003115E3">
      <w:pPr>
        <w:spacing w:before="34" w:line="276" w:lineRule="auto"/>
        <w:ind w:left="233" w:right="1356"/>
        <w:rPr>
          <w:rFonts w:ascii="Gill Sans MT"/>
          <w:sz w:val="18"/>
        </w:rPr>
      </w:pPr>
      <w:r>
        <w:rPr>
          <w:rFonts w:ascii="Gill Sans MT"/>
          <w:color w:val="231F20"/>
          <w:w w:val="110"/>
          <w:sz w:val="18"/>
        </w:rPr>
        <w:t>Attorney</w:t>
      </w:r>
      <w:r>
        <w:rPr>
          <w:rFonts w:ascii="Gill Sans MT"/>
          <w:color w:val="231F20"/>
          <w:spacing w:val="-13"/>
          <w:w w:val="110"/>
          <w:sz w:val="18"/>
        </w:rPr>
        <w:t xml:space="preserve"> </w:t>
      </w:r>
      <w:r>
        <w:rPr>
          <w:rFonts w:ascii="Gill Sans MT"/>
          <w:color w:val="231F20"/>
          <w:w w:val="110"/>
          <w:sz w:val="18"/>
        </w:rPr>
        <w:t>Armin</w:t>
      </w:r>
      <w:r>
        <w:rPr>
          <w:rFonts w:ascii="Gill Sans MT"/>
          <w:color w:val="231F20"/>
          <w:spacing w:val="-13"/>
          <w:w w:val="110"/>
          <w:sz w:val="18"/>
        </w:rPr>
        <w:t xml:space="preserve"> </w:t>
      </w:r>
      <w:r>
        <w:rPr>
          <w:rFonts w:ascii="Gill Sans MT"/>
          <w:color w:val="231F20"/>
          <w:w w:val="110"/>
          <w:sz w:val="18"/>
        </w:rPr>
        <w:t>Newerla</w:t>
      </w:r>
      <w:r>
        <w:rPr>
          <w:rFonts w:ascii="Gill Sans MT"/>
          <w:color w:val="231F20"/>
          <w:spacing w:val="-13"/>
          <w:w w:val="110"/>
          <w:sz w:val="18"/>
        </w:rPr>
        <w:t xml:space="preserve"> </w:t>
      </w:r>
      <w:r>
        <w:rPr>
          <w:rFonts w:ascii="Gill Sans MT"/>
          <w:color w:val="231F20"/>
          <w:w w:val="110"/>
          <w:sz w:val="18"/>
        </w:rPr>
        <w:t>and</w:t>
      </w:r>
      <w:r>
        <w:rPr>
          <w:rFonts w:ascii="Gill Sans MT"/>
          <w:color w:val="231F20"/>
          <w:spacing w:val="-13"/>
          <w:w w:val="110"/>
          <w:sz w:val="18"/>
        </w:rPr>
        <w:t xml:space="preserve"> </w:t>
      </w:r>
      <w:r>
        <w:rPr>
          <w:rFonts w:ascii="Gill Sans MT"/>
          <w:color w:val="231F20"/>
          <w:w w:val="110"/>
          <w:sz w:val="18"/>
        </w:rPr>
        <w:t>the</w:t>
      </w:r>
      <w:r>
        <w:rPr>
          <w:rFonts w:ascii="Gill Sans MT"/>
          <w:color w:val="231F20"/>
          <w:spacing w:val="-13"/>
          <w:w w:val="110"/>
          <w:sz w:val="18"/>
        </w:rPr>
        <w:t xml:space="preserve"> </w:t>
      </w:r>
      <w:r>
        <w:rPr>
          <w:rFonts w:ascii="Gill Sans MT"/>
          <w:color w:val="231F20"/>
          <w:w w:val="110"/>
          <w:sz w:val="18"/>
        </w:rPr>
        <w:t>six other people arrested are released, but charges of supporting a terrorist organization are laid against Newerla and one other</w:t>
      </w:r>
      <w:r>
        <w:rPr>
          <w:rFonts w:ascii="Gill Sans MT"/>
          <w:color w:val="231F20"/>
          <w:spacing w:val="-21"/>
          <w:w w:val="110"/>
          <w:sz w:val="18"/>
        </w:rPr>
        <w:t xml:space="preserve"> </w:t>
      </w:r>
      <w:r>
        <w:rPr>
          <w:rFonts w:ascii="Gill Sans MT"/>
          <w:color w:val="231F20"/>
          <w:w w:val="110"/>
          <w:sz w:val="18"/>
        </w:rPr>
        <w:t>person.</w:t>
      </w:r>
    </w:p>
    <w:p w14:paraId="237A65C8" w14:textId="77777777" w:rsidR="002653E8" w:rsidRDefault="002653E8">
      <w:pPr>
        <w:spacing w:line="276" w:lineRule="auto"/>
        <w:rPr>
          <w:rFonts w:ascii="Gill Sans MT"/>
          <w:sz w:val="18"/>
        </w:rPr>
        <w:sectPr w:rsidR="002653E8">
          <w:footerReference w:type="default" r:id="rId521"/>
          <w:pgSz w:w="8640" w:h="12960"/>
          <w:pgMar w:top="1060" w:right="0" w:bottom="280" w:left="0" w:header="0" w:footer="0" w:gutter="0"/>
          <w:cols w:num="2" w:space="720" w:equalWidth="0">
            <w:col w:w="4077" w:space="40"/>
            <w:col w:w="4523"/>
          </w:cols>
        </w:sectPr>
      </w:pPr>
    </w:p>
    <w:p w14:paraId="299F8239" w14:textId="77777777" w:rsidR="002653E8" w:rsidRDefault="002653E8">
      <w:pPr>
        <w:pStyle w:val="a3"/>
        <w:rPr>
          <w:rFonts w:ascii="Gill Sans MT"/>
        </w:rPr>
      </w:pPr>
    </w:p>
    <w:p w14:paraId="67539301" w14:textId="77777777" w:rsidR="002653E8" w:rsidRDefault="002653E8">
      <w:pPr>
        <w:pStyle w:val="a3"/>
        <w:rPr>
          <w:rFonts w:ascii="Gill Sans MT"/>
        </w:rPr>
      </w:pPr>
    </w:p>
    <w:p w14:paraId="0C3B8673" w14:textId="77777777" w:rsidR="002653E8" w:rsidRDefault="003115E3">
      <w:pPr>
        <w:tabs>
          <w:tab w:val="left" w:pos="2529"/>
        </w:tabs>
        <w:spacing w:before="216"/>
        <w:ind w:right="1300"/>
        <w:jc w:val="right"/>
        <w:rPr>
          <w:sz w:val="18"/>
        </w:rPr>
      </w:pPr>
      <w:r>
        <w:rPr>
          <w:color w:val="231F20"/>
          <w:spacing w:val="15"/>
          <w:w w:val="110"/>
          <w:position w:val="5"/>
          <w:sz w:val="18"/>
        </w:rPr>
        <w:t>606</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35"/>
          <w:w w:val="110"/>
          <w:sz w:val="18"/>
        </w:rPr>
        <w:t xml:space="preserve"> </w:t>
      </w:r>
      <w:r>
        <w:rPr>
          <w:color w:val="231F20"/>
          <w:spacing w:val="20"/>
          <w:w w:val="110"/>
          <w:sz w:val="18"/>
        </w:rPr>
        <w:t>germany</w:t>
      </w:r>
      <w:r>
        <w:rPr>
          <w:color w:val="231F20"/>
          <w:spacing w:val="-15"/>
          <w:sz w:val="18"/>
        </w:rPr>
        <w:t xml:space="preserve"> </w:t>
      </w:r>
    </w:p>
    <w:p w14:paraId="62A1B1A2" w14:textId="77777777" w:rsidR="002653E8" w:rsidRDefault="003115E3">
      <w:pPr>
        <w:spacing w:before="5"/>
        <w:ind w:left="1212" w:right="1300"/>
        <w:jc w:val="right"/>
        <w:rPr>
          <w:sz w:val="18"/>
        </w:rPr>
      </w:pPr>
      <w:r>
        <w:rPr>
          <w:color w:val="231F20"/>
          <w:w w:val="115"/>
          <w:sz w:val="18"/>
        </w:rPr>
        <w:lastRenderedPageBreak/>
        <w:t>july  16, 1977</w:t>
      </w:r>
      <w:r>
        <w:rPr>
          <w:color w:val="231F20"/>
          <w:sz w:val="18"/>
        </w:rPr>
        <w:t xml:space="preserve"> </w:t>
      </w:r>
    </w:p>
    <w:p w14:paraId="7028751B" w14:textId="77777777" w:rsidR="002653E8" w:rsidRDefault="002653E8">
      <w:pPr>
        <w:jc w:val="right"/>
        <w:rPr>
          <w:sz w:val="18"/>
        </w:rPr>
        <w:sectPr w:rsidR="002653E8">
          <w:type w:val="continuous"/>
          <w:pgSz w:w="8640" w:h="12960"/>
          <w:pgMar w:top="0" w:right="0" w:bottom="0" w:left="0" w:header="720" w:footer="720" w:gutter="0"/>
          <w:cols w:space="720"/>
        </w:sectPr>
      </w:pPr>
    </w:p>
    <w:p w14:paraId="5B21842B" w14:textId="77777777" w:rsidR="002653E8" w:rsidRDefault="003115E3">
      <w:pPr>
        <w:spacing w:before="91"/>
        <w:ind w:left="1327"/>
        <w:rPr>
          <w:rFonts w:ascii="Arial"/>
          <w:b/>
          <w:sz w:val="18"/>
        </w:rPr>
      </w:pPr>
      <w:r>
        <w:rPr>
          <w:rFonts w:ascii="Arial"/>
          <w:b/>
          <w:color w:val="231F20"/>
          <w:w w:val="115"/>
          <w:sz w:val="18"/>
        </w:rPr>
        <w:lastRenderedPageBreak/>
        <w:t>August 25, 1977</w:t>
      </w:r>
    </w:p>
    <w:p w14:paraId="2FD84D19" w14:textId="77777777" w:rsidR="002653E8" w:rsidRDefault="003115E3">
      <w:pPr>
        <w:spacing w:before="34" w:line="276" w:lineRule="auto"/>
        <w:ind w:left="1327" w:right="23" w:hanging="1"/>
        <w:rPr>
          <w:rFonts w:ascii="Gill Sans MT"/>
          <w:sz w:val="18"/>
        </w:rPr>
      </w:pPr>
      <w:r>
        <w:rPr>
          <w:rFonts w:ascii="Gill Sans MT"/>
          <w:color w:val="231F20"/>
          <w:w w:val="110"/>
          <w:sz w:val="18"/>
        </w:rPr>
        <w:t xml:space="preserve">A </w:t>
      </w:r>
      <w:r w:rsidR="00C507A5">
        <w:rPr>
          <w:rFonts w:ascii="Gill Sans MT"/>
          <w:color w:val="231F20"/>
          <w:w w:val="110"/>
          <w:sz w:val="18"/>
        </w:rPr>
        <w:t>red army faction</w:t>
      </w:r>
      <w:r>
        <w:rPr>
          <w:rFonts w:ascii="Gill Sans MT"/>
          <w:color w:val="231F20"/>
          <w:w w:val="110"/>
          <w:sz w:val="18"/>
        </w:rPr>
        <w:t xml:space="preserve"> commando carries out a failed missile attack against the BAW</w:t>
      </w:r>
      <w:r>
        <w:rPr>
          <w:rFonts w:ascii="Gill Sans MT"/>
          <w:color w:val="231F20"/>
          <w:spacing w:val="-23"/>
          <w:w w:val="110"/>
          <w:sz w:val="18"/>
        </w:rPr>
        <w:t xml:space="preserve"> </w:t>
      </w:r>
      <w:r>
        <w:rPr>
          <w:rFonts w:ascii="Gill Sans MT"/>
          <w:color w:val="231F20"/>
          <w:w w:val="110"/>
          <w:sz w:val="18"/>
        </w:rPr>
        <w:t>office</w:t>
      </w:r>
      <w:r>
        <w:rPr>
          <w:rFonts w:ascii="Gill Sans MT"/>
          <w:color w:val="231F20"/>
          <w:spacing w:val="-23"/>
          <w:w w:val="110"/>
          <w:sz w:val="18"/>
        </w:rPr>
        <w:t xml:space="preserve"> </w:t>
      </w:r>
      <w:r>
        <w:rPr>
          <w:rFonts w:ascii="Gill Sans MT"/>
          <w:color w:val="231F20"/>
          <w:w w:val="110"/>
          <w:sz w:val="18"/>
        </w:rPr>
        <w:t>in</w:t>
      </w:r>
      <w:r>
        <w:rPr>
          <w:rFonts w:ascii="Gill Sans MT"/>
          <w:color w:val="231F20"/>
          <w:spacing w:val="-23"/>
          <w:w w:val="110"/>
          <w:sz w:val="18"/>
        </w:rPr>
        <w:t xml:space="preserve"> </w:t>
      </w:r>
      <w:r>
        <w:rPr>
          <w:rFonts w:ascii="Gill Sans MT"/>
          <w:color w:val="231F20"/>
          <w:w w:val="110"/>
          <w:sz w:val="18"/>
        </w:rPr>
        <w:t>Karlsruhe.</w:t>
      </w:r>
      <w:r>
        <w:rPr>
          <w:rFonts w:ascii="Gill Sans MT"/>
          <w:color w:val="231F20"/>
          <w:spacing w:val="-23"/>
          <w:w w:val="110"/>
          <w:sz w:val="18"/>
        </w:rPr>
        <w:t xml:space="preserve"> </w:t>
      </w:r>
      <w:r>
        <w:rPr>
          <w:rFonts w:ascii="Gill Sans MT"/>
          <w:color w:val="231F20"/>
          <w:w w:val="110"/>
          <w:sz w:val="18"/>
        </w:rPr>
        <w:t>The</w:t>
      </w:r>
      <w:r>
        <w:rPr>
          <w:rFonts w:ascii="Gill Sans MT"/>
          <w:color w:val="231F20"/>
          <w:spacing w:val="-23"/>
          <w:w w:val="110"/>
          <w:sz w:val="18"/>
        </w:rPr>
        <w:t xml:space="preserve"> </w:t>
      </w:r>
      <w:r>
        <w:rPr>
          <w:rFonts w:ascii="Gill Sans MT"/>
          <w:color w:val="231F20"/>
          <w:w w:val="110"/>
          <w:sz w:val="18"/>
        </w:rPr>
        <w:t>rocket failed to ignite due to a technical failure.</w:t>
      </w:r>
    </w:p>
    <w:p w14:paraId="18128C01" w14:textId="77777777" w:rsidR="002653E8" w:rsidRDefault="002653E8">
      <w:pPr>
        <w:pStyle w:val="a3"/>
        <w:spacing w:before="6"/>
        <w:rPr>
          <w:rFonts w:ascii="Gill Sans MT"/>
        </w:rPr>
      </w:pPr>
    </w:p>
    <w:p w14:paraId="1A91C6A0" w14:textId="77777777" w:rsidR="002653E8" w:rsidRDefault="003115E3">
      <w:pPr>
        <w:spacing w:before="1"/>
        <w:ind w:left="1327"/>
        <w:rPr>
          <w:rFonts w:ascii="Arial"/>
          <w:b/>
          <w:sz w:val="18"/>
        </w:rPr>
      </w:pPr>
      <w:r>
        <w:rPr>
          <w:rFonts w:ascii="Arial"/>
          <w:b/>
          <w:color w:val="231F20"/>
          <w:w w:val="115"/>
          <w:sz w:val="18"/>
        </w:rPr>
        <w:t>August 30, 1977</w:t>
      </w:r>
    </w:p>
    <w:p w14:paraId="657DADCE" w14:textId="77777777" w:rsidR="002653E8" w:rsidRDefault="003115E3">
      <w:pPr>
        <w:spacing w:before="34" w:line="276" w:lineRule="auto"/>
        <w:ind w:left="1327" w:right="159"/>
        <w:rPr>
          <w:rFonts w:ascii="Gill Sans MT"/>
          <w:sz w:val="18"/>
        </w:rPr>
      </w:pPr>
      <w:r>
        <w:rPr>
          <w:rFonts w:ascii="Gill Sans MT"/>
          <w:color w:val="231F20"/>
          <w:w w:val="110"/>
          <w:sz w:val="18"/>
        </w:rPr>
        <w:t>Attorney Armin Newerla is rearrested and his office is searched and documents are seized.</w:t>
      </w:r>
    </w:p>
    <w:p w14:paraId="2181B531" w14:textId="77777777" w:rsidR="002653E8" w:rsidRDefault="002653E8">
      <w:pPr>
        <w:pStyle w:val="a3"/>
        <w:spacing w:before="6"/>
        <w:rPr>
          <w:rFonts w:ascii="Gill Sans MT"/>
        </w:rPr>
      </w:pPr>
    </w:p>
    <w:p w14:paraId="0810EE39" w14:textId="77777777" w:rsidR="002653E8" w:rsidRDefault="003115E3">
      <w:pPr>
        <w:spacing w:line="278" w:lineRule="auto"/>
        <w:ind w:left="1327" w:right="283"/>
        <w:rPr>
          <w:rFonts w:ascii="Gill Sans MT"/>
          <w:sz w:val="18"/>
        </w:rPr>
      </w:pPr>
      <w:r>
        <w:rPr>
          <w:rFonts w:ascii="Arial"/>
          <w:b/>
          <w:color w:val="231F20"/>
          <w:w w:val="115"/>
          <w:sz w:val="18"/>
        </w:rPr>
        <w:t xml:space="preserve">September 2, 1977 </w:t>
      </w:r>
      <w:r>
        <w:rPr>
          <w:rFonts w:ascii="Gill Sans MT"/>
          <w:color w:val="231F20"/>
          <w:w w:val="115"/>
          <w:sz w:val="18"/>
        </w:rPr>
        <w:t>Following the breakdown of negotiations between Amnesty</w:t>
      </w:r>
      <w:r>
        <w:rPr>
          <w:rFonts w:ascii="Gill Sans MT"/>
          <w:color w:val="231F20"/>
          <w:w w:val="109"/>
          <w:sz w:val="18"/>
        </w:rPr>
        <w:t xml:space="preserve"> </w:t>
      </w:r>
      <w:r>
        <w:rPr>
          <w:rFonts w:ascii="Gill Sans MT"/>
          <w:color w:val="231F20"/>
          <w:w w:val="115"/>
          <w:sz w:val="18"/>
        </w:rPr>
        <w:t>International and the Federal</w:t>
      </w:r>
    </w:p>
    <w:p w14:paraId="0C8FB6E2" w14:textId="77777777" w:rsidR="002653E8" w:rsidRDefault="003115E3">
      <w:pPr>
        <w:spacing w:line="276" w:lineRule="auto"/>
        <w:ind w:left="1327"/>
        <w:rPr>
          <w:rFonts w:ascii="Gill Sans MT"/>
          <w:sz w:val="18"/>
        </w:rPr>
      </w:pPr>
      <w:r>
        <w:rPr>
          <w:rFonts w:ascii="Gill Sans MT"/>
          <w:color w:val="231F20"/>
          <w:w w:val="110"/>
          <w:sz w:val="18"/>
        </w:rPr>
        <w:t>Government, the prisoners call off their hunger and thirst strike.</w:t>
      </w:r>
    </w:p>
    <w:p w14:paraId="0067BC18" w14:textId="77777777" w:rsidR="002653E8" w:rsidRDefault="002653E8">
      <w:pPr>
        <w:pStyle w:val="a3"/>
        <w:spacing w:before="1"/>
        <w:rPr>
          <w:rFonts w:ascii="Gill Sans MT"/>
        </w:rPr>
      </w:pPr>
    </w:p>
    <w:p w14:paraId="26A79CD8" w14:textId="77777777" w:rsidR="002653E8" w:rsidRDefault="003115E3">
      <w:pPr>
        <w:spacing w:before="1"/>
        <w:ind w:left="1327"/>
        <w:rPr>
          <w:rFonts w:ascii="Arial"/>
          <w:b/>
          <w:sz w:val="18"/>
        </w:rPr>
      </w:pPr>
      <w:r>
        <w:rPr>
          <w:rFonts w:ascii="Arial"/>
          <w:b/>
          <w:color w:val="231F20"/>
          <w:w w:val="115"/>
          <w:sz w:val="18"/>
        </w:rPr>
        <w:t>September 5, 1977</w:t>
      </w:r>
    </w:p>
    <w:p w14:paraId="0738BFD3" w14:textId="77777777" w:rsidR="002653E8" w:rsidRDefault="003115E3">
      <w:pPr>
        <w:spacing w:before="34" w:line="276" w:lineRule="auto"/>
        <w:ind w:left="1327" w:right="-8"/>
        <w:rPr>
          <w:rFonts w:ascii="Gill Sans MT" w:hAnsi="Gill Sans MT"/>
          <w:sz w:val="18"/>
        </w:rPr>
      </w:pPr>
      <w:r>
        <w:rPr>
          <w:rFonts w:ascii="Gill Sans MT" w:hAnsi="Gill Sans MT"/>
          <w:color w:val="231F20"/>
          <w:w w:val="110"/>
          <w:sz w:val="18"/>
        </w:rPr>
        <w:t xml:space="preserve">West Germany’s top Industrialist, and former SS officer, Hanns Martin Schleyer is kidnapped from his limousine in Cologne, by the </w:t>
      </w:r>
      <w:r w:rsidR="00C507A5">
        <w:rPr>
          <w:rFonts w:ascii="Gill Sans MT" w:hAnsi="Gill Sans MT"/>
          <w:color w:val="231F20"/>
          <w:w w:val="110"/>
          <w:sz w:val="18"/>
        </w:rPr>
        <w:t>red army faction</w:t>
      </w:r>
      <w:r>
        <w:rPr>
          <w:rFonts w:ascii="Gill Sans MT" w:hAnsi="Gill Sans MT"/>
          <w:color w:val="231F20"/>
          <w:w w:val="110"/>
          <w:sz w:val="18"/>
        </w:rPr>
        <w:t>’s Siegfried Hausner Commando. His chauffeur and three bodyguards are killed.</w:t>
      </w:r>
    </w:p>
    <w:p w14:paraId="2723A9BE" w14:textId="77777777" w:rsidR="002653E8" w:rsidRDefault="002653E8">
      <w:pPr>
        <w:pStyle w:val="a3"/>
        <w:spacing w:before="6"/>
        <w:rPr>
          <w:rFonts w:ascii="Gill Sans MT"/>
        </w:rPr>
      </w:pPr>
    </w:p>
    <w:p w14:paraId="1E339852" w14:textId="77777777" w:rsidR="002653E8" w:rsidRDefault="003115E3">
      <w:pPr>
        <w:spacing w:before="1"/>
        <w:ind w:left="1327"/>
        <w:rPr>
          <w:rFonts w:ascii="Arial"/>
          <w:b/>
          <w:sz w:val="18"/>
        </w:rPr>
      </w:pPr>
      <w:r>
        <w:rPr>
          <w:rFonts w:ascii="Arial"/>
          <w:b/>
          <w:color w:val="231F20"/>
          <w:w w:val="115"/>
          <w:sz w:val="18"/>
        </w:rPr>
        <w:t>September 6, 1977</w:t>
      </w:r>
    </w:p>
    <w:p w14:paraId="3C674167" w14:textId="77777777" w:rsidR="002653E8" w:rsidRDefault="003115E3">
      <w:pPr>
        <w:spacing w:before="34" w:line="276" w:lineRule="auto"/>
        <w:ind w:left="1327"/>
        <w:rPr>
          <w:rFonts w:ascii="Gill Sans MT"/>
          <w:sz w:val="18"/>
        </w:rPr>
      </w:pPr>
      <w:r>
        <w:rPr>
          <w:rFonts w:ascii="Gill Sans MT"/>
          <w:color w:val="231F20"/>
          <w:w w:val="110"/>
          <w:sz w:val="18"/>
        </w:rPr>
        <w:t>A total Contact Ban is instituted against all political prisoners.</w:t>
      </w:r>
    </w:p>
    <w:p w14:paraId="6044EE6C" w14:textId="77777777" w:rsidR="002653E8" w:rsidRDefault="002653E8">
      <w:pPr>
        <w:pStyle w:val="a3"/>
        <w:spacing w:before="6"/>
        <w:rPr>
          <w:rFonts w:ascii="Gill Sans MT"/>
        </w:rPr>
      </w:pPr>
    </w:p>
    <w:p w14:paraId="4F7B958D" w14:textId="77777777" w:rsidR="002653E8" w:rsidRDefault="003115E3">
      <w:pPr>
        <w:spacing w:before="1"/>
        <w:ind w:left="1327"/>
        <w:rPr>
          <w:rFonts w:ascii="Arial"/>
          <w:b/>
          <w:sz w:val="18"/>
        </w:rPr>
      </w:pPr>
      <w:r>
        <w:rPr>
          <w:rFonts w:ascii="Arial"/>
          <w:b/>
          <w:color w:val="231F20"/>
          <w:w w:val="115"/>
          <w:sz w:val="18"/>
        </w:rPr>
        <w:t>September 13, 1977</w:t>
      </w:r>
    </w:p>
    <w:p w14:paraId="532526C7" w14:textId="77777777" w:rsidR="002653E8" w:rsidRDefault="003115E3">
      <w:pPr>
        <w:spacing w:before="34" w:line="276" w:lineRule="auto"/>
        <w:ind w:left="1327" w:right="3"/>
        <w:rPr>
          <w:rFonts w:ascii="Gill Sans MT" w:hAnsi="Gill Sans MT"/>
          <w:sz w:val="18"/>
        </w:rPr>
      </w:pPr>
      <w:r>
        <w:rPr>
          <w:rFonts w:ascii="Gill Sans MT" w:hAnsi="Gill Sans MT"/>
          <w:color w:val="231F20"/>
          <w:w w:val="110"/>
          <w:sz w:val="18"/>
        </w:rPr>
        <w:t>At the funeral of Schleyer’s driver</w:t>
      </w:r>
      <w:r>
        <w:rPr>
          <w:rFonts w:ascii="Gill Sans MT" w:hAnsi="Gill Sans MT"/>
          <w:color w:val="231F20"/>
          <w:spacing w:val="-38"/>
          <w:w w:val="110"/>
          <w:sz w:val="18"/>
        </w:rPr>
        <w:t xml:space="preserve"> </w:t>
      </w:r>
      <w:r>
        <w:rPr>
          <w:rFonts w:ascii="Gill Sans MT" w:hAnsi="Gill Sans MT"/>
          <w:color w:val="231F20"/>
          <w:w w:val="110"/>
          <w:sz w:val="18"/>
        </w:rPr>
        <w:t>in Cologne, North Rhein-Westphalia Prime Minister Heinz Kühn delivers a speech warning the kidnappers that Schleyer’s death will have repercussions for the</w:t>
      </w:r>
      <w:r>
        <w:rPr>
          <w:rFonts w:ascii="Gill Sans MT" w:hAnsi="Gill Sans MT"/>
          <w:color w:val="231F20"/>
          <w:spacing w:val="-24"/>
          <w:w w:val="110"/>
          <w:sz w:val="18"/>
        </w:rPr>
        <w:t xml:space="preserve"> </w:t>
      </w:r>
      <w:r>
        <w:rPr>
          <w:rFonts w:ascii="Gill Sans MT" w:hAnsi="Gill Sans MT"/>
          <w:color w:val="231F20"/>
          <w:w w:val="110"/>
          <w:sz w:val="18"/>
        </w:rPr>
        <w:t>prisoners.</w:t>
      </w:r>
    </w:p>
    <w:p w14:paraId="534D70FD" w14:textId="77777777" w:rsidR="002653E8" w:rsidRDefault="003115E3">
      <w:pPr>
        <w:spacing w:before="90"/>
        <w:ind w:left="263"/>
        <w:rPr>
          <w:rFonts w:ascii="Arial"/>
          <w:b/>
          <w:sz w:val="18"/>
        </w:rPr>
      </w:pPr>
      <w:r>
        <w:br w:type="column"/>
      </w:r>
      <w:r>
        <w:rPr>
          <w:rFonts w:ascii="Arial"/>
          <w:b/>
          <w:color w:val="231F20"/>
          <w:w w:val="115"/>
          <w:sz w:val="18"/>
        </w:rPr>
        <w:t>September 19, 1977</w:t>
      </w:r>
    </w:p>
    <w:p w14:paraId="5CF48BCD" w14:textId="77777777" w:rsidR="002653E8" w:rsidRDefault="00C507A5">
      <w:pPr>
        <w:spacing w:before="35" w:line="276" w:lineRule="auto"/>
        <w:ind w:left="263" w:right="1102"/>
        <w:rPr>
          <w:rFonts w:ascii="Gill Sans MT"/>
          <w:sz w:val="18"/>
        </w:rPr>
      </w:pPr>
      <w:r>
        <w:rPr>
          <w:rFonts w:ascii="Gill Sans MT"/>
          <w:color w:val="231F20"/>
          <w:w w:val="110"/>
          <w:sz w:val="18"/>
        </w:rPr>
        <w:t>red army faction</w:t>
      </w:r>
      <w:r w:rsidR="003115E3">
        <w:rPr>
          <w:rFonts w:ascii="Gill Sans MT"/>
          <w:color w:val="231F20"/>
          <w:w w:val="110"/>
          <w:sz w:val="18"/>
        </w:rPr>
        <w:t xml:space="preserve"> member Angelika Speitel is involved in a shootout with police in den Haag, Holland.</w:t>
      </w:r>
    </w:p>
    <w:p w14:paraId="2CA414E9" w14:textId="77777777" w:rsidR="002653E8" w:rsidRDefault="002653E8">
      <w:pPr>
        <w:pStyle w:val="a3"/>
        <w:spacing w:before="7"/>
        <w:rPr>
          <w:rFonts w:ascii="Gill Sans MT"/>
        </w:rPr>
      </w:pPr>
    </w:p>
    <w:p w14:paraId="2DC2F587" w14:textId="77777777" w:rsidR="002653E8" w:rsidRDefault="003115E3">
      <w:pPr>
        <w:ind w:left="263"/>
        <w:rPr>
          <w:rFonts w:ascii="Arial"/>
          <w:b/>
          <w:sz w:val="18"/>
        </w:rPr>
      </w:pPr>
      <w:r>
        <w:rPr>
          <w:rFonts w:ascii="Arial"/>
          <w:b/>
          <w:color w:val="231F20"/>
          <w:w w:val="115"/>
          <w:sz w:val="18"/>
        </w:rPr>
        <w:t>September 22, 1977</w:t>
      </w:r>
    </w:p>
    <w:p w14:paraId="2B520F71" w14:textId="77777777" w:rsidR="002653E8" w:rsidRDefault="00C507A5">
      <w:pPr>
        <w:spacing w:before="34" w:line="276" w:lineRule="auto"/>
        <w:ind w:left="263" w:right="1102"/>
        <w:rPr>
          <w:rFonts w:ascii="Gill Sans MT"/>
          <w:sz w:val="18"/>
        </w:rPr>
      </w:pPr>
      <w:r>
        <w:rPr>
          <w:rFonts w:ascii="Gill Sans MT"/>
          <w:color w:val="231F20"/>
          <w:w w:val="115"/>
          <w:sz w:val="18"/>
        </w:rPr>
        <w:t>red army faction</w:t>
      </w:r>
      <w:r w:rsidR="003115E3">
        <w:rPr>
          <w:rFonts w:ascii="Gill Sans MT"/>
          <w:color w:val="231F20"/>
          <w:w w:val="115"/>
          <w:sz w:val="18"/>
        </w:rPr>
        <w:t xml:space="preserve"> member Knut Folkerts, a suspect in the Buback assassination, is arrested with a large sum of money and a false passport in utrecht, Holland, following a</w:t>
      </w:r>
    </w:p>
    <w:p w14:paraId="06271BE6" w14:textId="77777777" w:rsidR="002653E8" w:rsidRDefault="003115E3">
      <w:pPr>
        <w:spacing w:line="276" w:lineRule="auto"/>
        <w:ind w:left="263" w:right="1162"/>
        <w:rPr>
          <w:rFonts w:ascii="Gill Sans MT"/>
          <w:sz w:val="18"/>
        </w:rPr>
      </w:pPr>
      <w:r>
        <w:rPr>
          <w:rFonts w:ascii="Gill Sans MT"/>
          <w:color w:val="231F20"/>
          <w:w w:val="110"/>
          <w:sz w:val="18"/>
        </w:rPr>
        <w:t>shoot-out in which police officer Arie Kranenburg is killed. Brigitte Mohnhaupt manages to get away.</w:t>
      </w:r>
    </w:p>
    <w:p w14:paraId="256602B9" w14:textId="77777777" w:rsidR="002653E8" w:rsidRDefault="002653E8">
      <w:pPr>
        <w:pStyle w:val="a3"/>
        <w:spacing w:before="6"/>
        <w:rPr>
          <w:rFonts w:ascii="Gill Sans MT"/>
        </w:rPr>
      </w:pPr>
    </w:p>
    <w:p w14:paraId="55834793" w14:textId="77777777" w:rsidR="002653E8" w:rsidRDefault="003115E3">
      <w:pPr>
        <w:ind w:left="263"/>
        <w:rPr>
          <w:rFonts w:ascii="Arial"/>
          <w:b/>
          <w:sz w:val="18"/>
        </w:rPr>
      </w:pPr>
      <w:r>
        <w:rPr>
          <w:rFonts w:ascii="Arial"/>
          <w:b/>
          <w:color w:val="231F20"/>
          <w:w w:val="115"/>
          <w:sz w:val="18"/>
        </w:rPr>
        <w:t>September 28, 1977</w:t>
      </w:r>
    </w:p>
    <w:p w14:paraId="285DC079" w14:textId="77777777" w:rsidR="002653E8" w:rsidRDefault="003115E3">
      <w:pPr>
        <w:spacing w:before="35" w:line="276" w:lineRule="auto"/>
        <w:ind w:left="263" w:right="1162"/>
        <w:rPr>
          <w:rFonts w:ascii="Gill Sans MT"/>
          <w:sz w:val="18"/>
        </w:rPr>
      </w:pPr>
      <w:r>
        <w:rPr>
          <w:rFonts w:ascii="Gill Sans MT"/>
          <w:color w:val="231F20"/>
          <w:w w:val="110"/>
          <w:sz w:val="18"/>
        </w:rPr>
        <w:t xml:space="preserve">The Hamburg LG sentences </w:t>
      </w:r>
      <w:r w:rsidR="00C507A5">
        <w:rPr>
          <w:rFonts w:ascii="Gill Sans MT"/>
          <w:color w:val="231F20"/>
          <w:w w:val="110"/>
          <w:sz w:val="18"/>
        </w:rPr>
        <w:t>red army faction</w:t>
      </w:r>
      <w:r>
        <w:rPr>
          <w:rFonts w:ascii="Gill Sans MT"/>
          <w:color w:val="231F20"/>
          <w:w w:val="110"/>
          <w:sz w:val="18"/>
        </w:rPr>
        <w:t xml:space="preserve"> members Christa Eckes, Helmut Pohl, and Wolfgang Beer to seven years, five years, and four and a half years in prison, respectively.</w:t>
      </w:r>
    </w:p>
    <w:p w14:paraId="2FADB547" w14:textId="77777777" w:rsidR="002653E8" w:rsidRDefault="002653E8">
      <w:pPr>
        <w:pStyle w:val="a3"/>
        <w:spacing w:before="6"/>
        <w:rPr>
          <w:rFonts w:ascii="Gill Sans MT"/>
        </w:rPr>
      </w:pPr>
    </w:p>
    <w:p w14:paraId="36103E09" w14:textId="77777777" w:rsidR="002653E8" w:rsidRDefault="003115E3">
      <w:pPr>
        <w:ind w:left="263"/>
        <w:rPr>
          <w:rFonts w:ascii="Arial"/>
          <w:b/>
          <w:sz w:val="18"/>
        </w:rPr>
      </w:pPr>
      <w:r>
        <w:rPr>
          <w:rFonts w:ascii="Arial"/>
          <w:b/>
          <w:color w:val="231F20"/>
          <w:w w:val="115"/>
          <w:sz w:val="18"/>
        </w:rPr>
        <w:t>September 29, 1977</w:t>
      </w:r>
    </w:p>
    <w:p w14:paraId="28289F8F" w14:textId="77777777" w:rsidR="002653E8" w:rsidRDefault="003115E3">
      <w:pPr>
        <w:spacing w:before="33"/>
        <w:ind w:left="263"/>
        <w:rPr>
          <w:rFonts w:ascii="Gill Sans MT"/>
          <w:sz w:val="18"/>
        </w:rPr>
      </w:pPr>
      <w:r>
        <w:rPr>
          <w:rFonts w:ascii="Gill Sans MT"/>
          <w:color w:val="231F20"/>
          <w:w w:val="110"/>
          <w:sz w:val="18"/>
        </w:rPr>
        <w:t xml:space="preserve">Parliament votes </w:t>
      </w:r>
      <w:r>
        <w:rPr>
          <w:rFonts w:ascii="Arial"/>
          <w:color w:val="231F20"/>
          <w:w w:val="110"/>
          <w:sz w:val="18"/>
        </w:rPr>
        <w:t xml:space="preserve">371 </w:t>
      </w:r>
      <w:r>
        <w:rPr>
          <w:rFonts w:ascii="Gill Sans MT"/>
          <w:color w:val="231F20"/>
          <w:w w:val="110"/>
          <w:sz w:val="18"/>
        </w:rPr>
        <w:t xml:space="preserve">to </w:t>
      </w:r>
      <w:r>
        <w:rPr>
          <w:rFonts w:ascii="Arial"/>
          <w:color w:val="231F20"/>
          <w:w w:val="110"/>
          <w:sz w:val="18"/>
        </w:rPr>
        <w:t>4</w:t>
      </w:r>
      <w:r>
        <w:rPr>
          <w:rFonts w:ascii="Gill Sans MT"/>
          <w:color w:val="231F20"/>
          <w:w w:val="110"/>
          <w:sz w:val="18"/>
        </w:rPr>
        <w:t>,</w:t>
      </w:r>
    </w:p>
    <w:p w14:paraId="397E04F2" w14:textId="77777777" w:rsidR="002653E8" w:rsidRDefault="003115E3">
      <w:pPr>
        <w:spacing w:before="30" w:line="268" w:lineRule="auto"/>
        <w:ind w:left="263" w:right="1447"/>
        <w:rPr>
          <w:rFonts w:ascii="Lucida Sans"/>
          <w:i/>
          <w:sz w:val="18"/>
        </w:rPr>
      </w:pPr>
      <w:r>
        <w:rPr>
          <w:rFonts w:ascii="Gill Sans MT"/>
          <w:color w:val="231F20"/>
          <w:w w:val="110"/>
          <w:sz w:val="18"/>
        </w:rPr>
        <w:t xml:space="preserve">with </w:t>
      </w:r>
      <w:r>
        <w:rPr>
          <w:rFonts w:ascii="Arial"/>
          <w:color w:val="231F20"/>
          <w:w w:val="110"/>
          <w:sz w:val="18"/>
        </w:rPr>
        <w:t xml:space="preserve">17 </w:t>
      </w:r>
      <w:r>
        <w:rPr>
          <w:rFonts w:ascii="Gill Sans MT"/>
          <w:color w:val="231F20"/>
          <w:w w:val="110"/>
          <w:sz w:val="18"/>
        </w:rPr>
        <w:t>abstentions, ratifying the Contact Ban</w:t>
      </w:r>
      <w:r>
        <w:rPr>
          <w:rFonts w:ascii="Lucida Sans"/>
          <w:i/>
          <w:color w:val="231F20"/>
          <w:w w:val="110"/>
          <w:sz w:val="18"/>
        </w:rPr>
        <w:t>.</w:t>
      </w:r>
    </w:p>
    <w:p w14:paraId="32908325" w14:textId="77777777" w:rsidR="002653E8" w:rsidRDefault="003115E3">
      <w:pPr>
        <w:spacing w:line="276" w:lineRule="auto"/>
        <w:ind w:left="263" w:right="1271"/>
        <w:rPr>
          <w:rFonts w:ascii="Gill Sans MT" w:hAnsi="Gill Sans MT"/>
          <w:sz w:val="18"/>
        </w:rPr>
      </w:pPr>
      <w:r>
        <w:rPr>
          <w:rFonts w:ascii="Gill Sans MT" w:hAnsi="Gill Sans MT"/>
          <w:color w:val="231F20"/>
          <w:w w:val="110"/>
          <w:sz w:val="18"/>
        </w:rPr>
        <w:t xml:space="preserve">The editors of </w:t>
      </w:r>
      <w:r>
        <w:rPr>
          <w:rFonts w:ascii="Lucida Sans" w:hAnsi="Lucida Sans"/>
          <w:i/>
          <w:color w:val="231F20"/>
          <w:w w:val="110"/>
          <w:sz w:val="18"/>
        </w:rPr>
        <w:t xml:space="preserve">Arbeiterstimme </w:t>
      </w:r>
      <w:r>
        <w:rPr>
          <w:rFonts w:ascii="Gill Sans MT" w:hAnsi="Gill Sans MT"/>
          <w:color w:val="231F20"/>
          <w:w w:val="110"/>
          <w:sz w:val="18"/>
        </w:rPr>
        <w:t>(Workers’ Voice), the newspaper of the KBW, are sentenced to six months in prison for publishing an</w:t>
      </w:r>
    </w:p>
    <w:p w14:paraId="6D03E400" w14:textId="77777777" w:rsidR="002653E8" w:rsidRDefault="003115E3">
      <w:pPr>
        <w:spacing w:line="276" w:lineRule="auto"/>
        <w:ind w:left="263" w:right="1229"/>
        <w:jc w:val="both"/>
        <w:rPr>
          <w:rFonts w:ascii="Gill Sans MT" w:hAnsi="Gill Sans MT"/>
          <w:sz w:val="18"/>
        </w:rPr>
      </w:pPr>
      <w:r>
        <w:rPr>
          <w:rFonts w:ascii="Gill Sans MT" w:hAnsi="Gill Sans MT"/>
          <w:color w:val="231F20"/>
          <w:w w:val="110"/>
          <w:sz w:val="18"/>
        </w:rPr>
        <w:t>anonymous article entitled “Buback Shot—Enough Reasons, But What’s The Purpose.”</w:t>
      </w:r>
    </w:p>
    <w:p w14:paraId="494ED1BB" w14:textId="77777777" w:rsidR="002653E8" w:rsidRDefault="002653E8">
      <w:pPr>
        <w:pStyle w:val="a3"/>
        <w:spacing w:before="4"/>
        <w:rPr>
          <w:rFonts w:ascii="Gill Sans MT"/>
        </w:rPr>
      </w:pPr>
    </w:p>
    <w:p w14:paraId="6FD0C4FA" w14:textId="77777777" w:rsidR="002653E8" w:rsidRDefault="003115E3">
      <w:pPr>
        <w:ind w:left="263"/>
        <w:rPr>
          <w:rFonts w:ascii="Arial"/>
          <w:b/>
          <w:sz w:val="18"/>
        </w:rPr>
      </w:pPr>
      <w:r>
        <w:rPr>
          <w:rFonts w:ascii="Arial"/>
          <w:b/>
          <w:color w:val="231F20"/>
          <w:w w:val="115"/>
          <w:sz w:val="18"/>
        </w:rPr>
        <w:t>September 30, 1977</w:t>
      </w:r>
    </w:p>
    <w:p w14:paraId="3721A70D" w14:textId="77777777" w:rsidR="002653E8" w:rsidRDefault="003115E3">
      <w:pPr>
        <w:spacing w:before="35" w:line="276" w:lineRule="auto"/>
        <w:ind w:left="263" w:right="1147" w:hanging="1"/>
        <w:rPr>
          <w:rFonts w:ascii="Gill Sans MT" w:hAnsi="Gill Sans MT"/>
          <w:sz w:val="18"/>
        </w:rPr>
      </w:pPr>
      <w:r>
        <w:rPr>
          <w:rFonts w:ascii="Gill Sans MT" w:hAnsi="Gill Sans MT"/>
          <w:color w:val="231F20"/>
          <w:w w:val="110"/>
          <w:sz w:val="18"/>
        </w:rPr>
        <w:t>The BKA, through attorney denis Payot, states that all of the countries visited by Hans Jürgen Wischnewski declined to accept the prisoners.</w:t>
      </w:r>
    </w:p>
    <w:p w14:paraId="21127DDC" w14:textId="77777777" w:rsidR="002653E8" w:rsidRDefault="003115E3">
      <w:pPr>
        <w:spacing w:line="276" w:lineRule="auto"/>
        <w:ind w:left="263" w:right="1162"/>
        <w:rPr>
          <w:rFonts w:ascii="Gill Sans MT" w:hAnsi="Gill Sans MT"/>
          <w:sz w:val="18"/>
        </w:rPr>
      </w:pPr>
      <w:r>
        <w:rPr>
          <w:rFonts w:ascii="Gill Sans MT" w:hAnsi="Gill Sans MT"/>
          <w:color w:val="231F20"/>
          <w:w w:val="110"/>
          <w:sz w:val="18"/>
        </w:rPr>
        <w:t>Attorney Ardnt Müller is arrested and the documents remaining in his office are seized.</w:t>
      </w:r>
    </w:p>
    <w:p w14:paraId="5D73161F" w14:textId="77777777" w:rsidR="002653E8" w:rsidRDefault="002653E8">
      <w:pPr>
        <w:spacing w:line="276" w:lineRule="auto"/>
        <w:rPr>
          <w:rFonts w:ascii="Gill Sans MT" w:hAnsi="Gill Sans MT"/>
          <w:sz w:val="18"/>
        </w:rPr>
        <w:sectPr w:rsidR="002653E8">
          <w:footerReference w:type="even" r:id="rId522"/>
          <w:pgSz w:w="8640" w:h="12960"/>
          <w:pgMar w:top="1060" w:right="0" w:bottom="280" w:left="0" w:header="0" w:footer="0" w:gutter="0"/>
          <w:cols w:num="2" w:space="720" w:equalWidth="0">
            <w:col w:w="4227" w:space="40"/>
            <w:col w:w="4373"/>
          </w:cols>
        </w:sectPr>
      </w:pPr>
    </w:p>
    <w:p w14:paraId="23247BC1" w14:textId="77777777" w:rsidR="002653E8" w:rsidRDefault="002653E8">
      <w:pPr>
        <w:pStyle w:val="a3"/>
        <w:rPr>
          <w:rFonts w:ascii="Gill Sans MT"/>
        </w:rPr>
      </w:pPr>
    </w:p>
    <w:p w14:paraId="49AC6272" w14:textId="77777777" w:rsidR="002653E8" w:rsidRDefault="002653E8">
      <w:pPr>
        <w:pStyle w:val="a3"/>
        <w:rPr>
          <w:rFonts w:ascii="Gill Sans MT"/>
        </w:rPr>
      </w:pPr>
    </w:p>
    <w:p w14:paraId="75498641" w14:textId="77777777" w:rsidR="002653E8" w:rsidRDefault="002653E8">
      <w:pPr>
        <w:rPr>
          <w:rFonts w:ascii="Gill Sans MT"/>
        </w:rPr>
        <w:sectPr w:rsidR="002653E8">
          <w:type w:val="continuous"/>
          <w:pgSz w:w="8640" w:h="12960"/>
          <w:pgMar w:top="0" w:right="0" w:bottom="0" w:left="0" w:header="720" w:footer="720" w:gutter="0"/>
          <w:cols w:space="720"/>
        </w:sectPr>
      </w:pPr>
    </w:p>
    <w:p w14:paraId="20B05976" w14:textId="77777777" w:rsidR="002653E8" w:rsidRDefault="002653E8">
      <w:pPr>
        <w:pStyle w:val="a3"/>
        <w:spacing w:before="6"/>
        <w:rPr>
          <w:rFonts w:ascii="Gill Sans MT"/>
          <w:sz w:val="22"/>
        </w:rPr>
      </w:pPr>
    </w:p>
    <w:p w14:paraId="2864C26F" w14:textId="77777777" w:rsidR="002653E8" w:rsidRDefault="003115E3">
      <w:pPr>
        <w:ind w:left="1327"/>
        <w:rPr>
          <w:sz w:val="18"/>
        </w:rPr>
      </w:pPr>
      <w:r>
        <w:rPr>
          <w:color w:val="231F20"/>
          <w:w w:val="120"/>
          <w:sz w:val="18"/>
        </w:rPr>
        <w:t>a chronology</w:t>
      </w:r>
      <w:r>
        <w:rPr>
          <w:color w:val="231F20"/>
          <w:sz w:val="18"/>
        </w:rPr>
        <w:t xml:space="preserve"> </w:t>
      </w:r>
    </w:p>
    <w:p w14:paraId="3C83E980" w14:textId="77777777" w:rsidR="002653E8" w:rsidRDefault="003115E3">
      <w:pPr>
        <w:spacing w:before="5"/>
        <w:ind w:left="1327"/>
        <w:rPr>
          <w:sz w:val="18"/>
        </w:rPr>
      </w:pPr>
      <w:r>
        <w:rPr>
          <w:color w:val="231F20"/>
          <w:w w:val="105"/>
          <w:sz w:val="18"/>
        </w:rPr>
        <w:t>september 30, 1977</w:t>
      </w:r>
      <w:r>
        <w:rPr>
          <w:color w:val="231F20"/>
          <w:sz w:val="18"/>
        </w:rPr>
        <w:t xml:space="preserve"> </w:t>
      </w:r>
    </w:p>
    <w:p w14:paraId="2BA1B0CA" w14:textId="77777777" w:rsidR="002653E8" w:rsidRDefault="003115E3">
      <w:pPr>
        <w:pStyle w:val="a3"/>
        <w:spacing w:before="5"/>
        <w:rPr>
          <w:sz w:val="18"/>
        </w:rPr>
      </w:pPr>
      <w:r>
        <w:br w:type="column"/>
      </w:r>
    </w:p>
    <w:p w14:paraId="7507EE53" w14:textId="77777777" w:rsidR="002653E8" w:rsidRDefault="003115E3">
      <w:pPr>
        <w:ind w:left="1346" w:right="1141"/>
        <w:jc w:val="center"/>
        <w:rPr>
          <w:sz w:val="18"/>
        </w:rPr>
      </w:pPr>
      <w:r>
        <w:rPr>
          <w:color w:val="231F20"/>
          <w:sz w:val="18"/>
        </w:rPr>
        <w:t xml:space="preserve">607 </w:t>
      </w:r>
    </w:p>
    <w:p w14:paraId="4C4EE827" w14:textId="77777777" w:rsidR="002653E8" w:rsidRDefault="002653E8">
      <w:pPr>
        <w:jc w:val="center"/>
        <w:rPr>
          <w:sz w:val="18"/>
        </w:rPr>
        <w:sectPr w:rsidR="002653E8">
          <w:type w:val="continuous"/>
          <w:pgSz w:w="8640" w:h="12960"/>
          <w:pgMar w:top="0" w:right="0" w:bottom="0" w:left="0" w:header="720" w:footer="720" w:gutter="0"/>
          <w:cols w:num="2" w:space="720" w:equalWidth="0">
            <w:col w:w="3466" w:space="2348"/>
            <w:col w:w="2826"/>
          </w:cols>
        </w:sectPr>
      </w:pPr>
    </w:p>
    <w:p w14:paraId="0A2CFFB5" w14:textId="77777777" w:rsidR="002653E8" w:rsidRDefault="003115E3">
      <w:pPr>
        <w:spacing w:before="92" w:line="276" w:lineRule="auto"/>
        <w:ind w:left="1147" w:right="67"/>
        <w:rPr>
          <w:rFonts w:ascii="Gill Sans MT" w:hAnsi="Gill Sans MT"/>
          <w:sz w:val="18"/>
        </w:rPr>
      </w:pPr>
      <w:r>
        <w:rPr>
          <w:rFonts w:ascii="Gill Sans MT" w:hAnsi="Gill Sans MT"/>
          <w:color w:val="231F20"/>
          <w:w w:val="110"/>
          <w:sz w:val="18"/>
        </w:rPr>
        <w:lastRenderedPageBreak/>
        <w:t xml:space="preserve">A representative from the BAW flies to Paris with information he claims proves defense attorney and political exile Klaus Croissant’s role in the </w:t>
      </w:r>
      <w:r w:rsidR="00C507A5">
        <w:rPr>
          <w:rFonts w:ascii="Gill Sans MT" w:hAnsi="Gill Sans MT"/>
          <w:color w:val="231F20"/>
          <w:w w:val="110"/>
          <w:sz w:val="18"/>
        </w:rPr>
        <w:t>red army faction</w:t>
      </w:r>
      <w:r>
        <w:rPr>
          <w:rFonts w:ascii="Gill Sans MT" w:hAnsi="Gill Sans MT"/>
          <w:color w:val="231F20"/>
          <w:w w:val="110"/>
          <w:sz w:val="18"/>
        </w:rPr>
        <w:t>. Croissant is arrested.</w:t>
      </w:r>
    </w:p>
    <w:p w14:paraId="7B5A6691" w14:textId="77777777" w:rsidR="002653E8" w:rsidRDefault="002653E8">
      <w:pPr>
        <w:pStyle w:val="a3"/>
        <w:spacing w:before="7"/>
        <w:rPr>
          <w:rFonts w:ascii="Gill Sans MT"/>
        </w:rPr>
      </w:pPr>
    </w:p>
    <w:p w14:paraId="561DC222" w14:textId="77777777" w:rsidR="002653E8" w:rsidRDefault="003115E3">
      <w:pPr>
        <w:ind w:left="1147"/>
        <w:rPr>
          <w:rFonts w:ascii="Arial"/>
          <w:b/>
          <w:sz w:val="18"/>
        </w:rPr>
      </w:pPr>
      <w:r>
        <w:rPr>
          <w:rFonts w:ascii="Arial"/>
          <w:b/>
          <w:color w:val="231F20"/>
          <w:w w:val="115"/>
          <w:sz w:val="18"/>
        </w:rPr>
        <w:t>October 2, 1977</w:t>
      </w:r>
    </w:p>
    <w:p w14:paraId="4EAD7D20" w14:textId="77777777" w:rsidR="002653E8" w:rsidRDefault="003115E3">
      <w:pPr>
        <w:spacing w:before="34" w:line="276" w:lineRule="auto"/>
        <w:ind w:left="1147" w:right="167"/>
        <w:rPr>
          <w:rFonts w:ascii="Gill Sans MT" w:hAnsi="Gill Sans MT"/>
          <w:sz w:val="18"/>
        </w:rPr>
      </w:pPr>
      <w:r>
        <w:rPr>
          <w:rFonts w:ascii="Gill Sans MT" w:hAnsi="Gill Sans MT"/>
          <w:color w:val="231F20"/>
          <w:w w:val="110"/>
          <w:sz w:val="18"/>
        </w:rPr>
        <w:t>Volker Speitel and Rosemarie Preiss,</w:t>
      </w:r>
      <w:r>
        <w:rPr>
          <w:rFonts w:ascii="Gill Sans MT" w:hAnsi="Gill Sans MT"/>
          <w:color w:val="231F20"/>
          <w:spacing w:val="-25"/>
          <w:w w:val="110"/>
          <w:sz w:val="18"/>
        </w:rPr>
        <w:t xml:space="preserve"> </w:t>
      </w:r>
      <w:r>
        <w:rPr>
          <w:rFonts w:ascii="Gill Sans MT" w:hAnsi="Gill Sans MT"/>
          <w:color w:val="231F20"/>
          <w:w w:val="110"/>
          <w:sz w:val="18"/>
        </w:rPr>
        <w:t>workers</w:t>
      </w:r>
      <w:r>
        <w:rPr>
          <w:rFonts w:ascii="Gill Sans MT" w:hAnsi="Gill Sans MT"/>
          <w:color w:val="231F20"/>
          <w:spacing w:val="-25"/>
          <w:w w:val="110"/>
          <w:sz w:val="18"/>
        </w:rPr>
        <w:t xml:space="preserve"> </w:t>
      </w:r>
      <w:r>
        <w:rPr>
          <w:rFonts w:ascii="Gill Sans MT" w:hAnsi="Gill Sans MT"/>
          <w:color w:val="231F20"/>
          <w:w w:val="110"/>
          <w:sz w:val="18"/>
        </w:rPr>
        <w:t>in</w:t>
      </w:r>
      <w:r>
        <w:rPr>
          <w:rFonts w:ascii="Gill Sans MT" w:hAnsi="Gill Sans MT"/>
          <w:color w:val="231F20"/>
          <w:spacing w:val="-25"/>
          <w:w w:val="110"/>
          <w:sz w:val="18"/>
        </w:rPr>
        <w:t xml:space="preserve"> </w:t>
      </w:r>
      <w:r>
        <w:rPr>
          <w:rFonts w:ascii="Gill Sans MT" w:hAnsi="Gill Sans MT"/>
          <w:color w:val="231F20"/>
          <w:w w:val="110"/>
          <w:sz w:val="18"/>
        </w:rPr>
        <w:t>Klaus</w:t>
      </w:r>
      <w:r>
        <w:rPr>
          <w:rFonts w:ascii="Gill Sans MT" w:hAnsi="Gill Sans MT"/>
          <w:color w:val="231F20"/>
          <w:spacing w:val="-25"/>
          <w:w w:val="110"/>
          <w:sz w:val="18"/>
        </w:rPr>
        <w:t xml:space="preserve"> </w:t>
      </w:r>
      <w:r>
        <w:rPr>
          <w:rFonts w:ascii="Gill Sans MT" w:hAnsi="Gill Sans MT"/>
          <w:color w:val="231F20"/>
          <w:w w:val="110"/>
          <w:sz w:val="18"/>
        </w:rPr>
        <w:t>Croissant’s office, are arrested on a train in Puttgarden.</w:t>
      </w:r>
    </w:p>
    <w:p w14:paraId="70A6083E" w14:textId="77777777" w:rsidR="002653E8" w:rsidRDefault="002653E8">
      <w:pPr>
        <w:pStyle w:val="a3"/>
        <w:spacing w:before="6"/>
        <w:rPr>
          <w:rFonts w:ascii="Gill Sans MT"/>
        </w:rPr>
      </w:pPr>
    </w:p>
    <w:p w14:paraId="2C9727A3" w14:textId="77777777" w:rsidR="002653E8" w:rsidRDefault="003115E3">
      <w:pPr>
        <w:ind w:left="1147"/>
        <w:rPr>
          <w:rFonts w:ascii="Arial"/>
          <w:b/>
          <w:sz w:val="18"/>
        </w:rPr>
      </w:pPr>
      <w:r>
        <w:rPr>
          <w:rFonts w:ascii="Arial"/>
          <w:b/>
          <w:color w:val="231F20"/>
          <w:w w:val="115"/>
          <w:sz w:val="18"/>
        </w:rPr>
        <w:t>October 8, 1977</w:t>
      </w:r>
    </w:p>
    <w:p w14:paraId="3DD86E75" w14:textId="77777777" w:rsidR="002653E8" w:rsidRDefault="003115E3">
      <w:pPr>
        <w:spacing w:before="35" w:line="276" w:lineRule="auto"/>
        <w:ind w:left="1147" w:right="35"/>
        <w:rPr>
          <w:rFonts w:ascii="Gill Sans MT" w:hAnsi="Gill Sans MT"/>
          <w:sz w:val="18"/>
        </w:rPr>
      </w:pPr>
      <w:r>
        <w:rPr>
          <w:rFonts w:ascii="Gill Sans MT" w:hAnsi="Gill Sans MT"/>
          <w:color w:val="231F20"/>
          <w:spacing w:val="-4"/>
          <w:w w:val="115"/>
          <w:sz w:val="18"/>
        </w:rPr>
        <w:t>Twenty</w:t>
      </w:r>
      <w:r>
        <w:rPr>
          <w:rFonts w:ascii="Gill Sans MT" w:hAnsi="Gill Sans MT"/>
          <w:color w:val="231F20"/>
          <w:spacing w:val="-31"/>
          <w:w w:val="115"/>
          <w:sz w:val="18"/>
        </w:rPr>
        <w:t xml:space="preserve"> </w:t>
      </w:r>
      <w:r>
        <w:rPr>
          <w:rFonts w:ascii="Gill Sans MT" w:hAnsi="Gill Sans MT"/>
          <w:color w:val="231F20"/>
          <w:w w:val="115"/>
          <w:sz w:val="18"/>
        </w:rPr>
        <w:t>thousand</w:t>
      </w:r>
      <w:r>
        <w:rPr>
          <w:rFonts w:ascii="Gill Sans MT" w:hAnsi="Gill Sans MT"/>
          <w:color w:val="231F20"/>
          <w:spacing w:val="-31"/>
          <w:w w:val="115"/>
          <w:sz w:val="18"/>
        </w:rPr>
        <w:t xml:space="preserve"> </w:t>
      </w:r>
      <w:r>
        <w:rPr>
          <w:rFonts w:ascii="Gill Sans MT" w:hAnsi="Gill Sans MT"/>
          <w:color w:val="231F20"/>
          <w:w w:val="115"/>
          <w:sz w:val="18"/>
        </w:rPr>
        <w:t>people</w:t>
      </w:r>
      <w:r>
        <w:rPr>
          <w:rFonts w:ascii="Gill Sans MT" w:hAnsi="Gill Sans MT"/>
          <w:color w:val="231F20"/>
          <w:spacing w:val="-31"/>
          <w:w w:val="115"/>
          <w:sz w:val="18"/>
        </w:rPr>
        <w:t xml:space="preserve"> </w:t>
      </w:r>
      <w:r>
        <w:rPr>
          <w:rFonts w:ascii="Gill Sans MT" w:hAnsi="Gill Sans MT"/>
          <w:color w:val="231F20"/>
          <w:w w:val="115"/>
          <w:sz w:val="18"/>
        </w:rPr>
        <w:t xml:space="preserve">participate in a demonstration in Bonn to protest the state’s threat to ban three Maoist organizations, the </w:t>
      </w:r>
      <w:r>
        <w:rPr>
          <w:rFonts w:ascii="Gill Sans MT" w:hAnsi="Gill Sans MT"/>
          <w:color w:val="231F20"/>
          <w:spacing w:val="-4"/>
          <w:w w:val="115"/>
          <w:sz w:val="18"/>
        </w:rPr>
        <w:t>KBW,</w:t>
      </w:r>
      <w:r>
        <w:rPr>
          <w:rFonts w:ascii="Gill Sans MT" w:hAnsi="Gill Sans MT"/>
          <w:color w:val="231F20"/>
          <w:spacing w:val="-13"/>
          <w:w w:val="115"/>
          <w:sz w:val="18"/>
        </w:rPr>
        <w:t xml:space="preserve"> </w:t>
      </w:r>
      <w:r>
        <w:rPr>
          <w:rFonts w:ascii="Gill Sans MT" w:hAnsi="Gill Sans MT"/>
          <w:color w:val="231F20"/>
          <w:w w:val="115"/>
          <w:sz w:val="18"/>
        </w:rPr>
        <w:t>the</w:t>
      </w:r>
      <w:r>
        <w:rPr>
          <w:rFonts w:ascii="Gill Sans MT" w:hAnsi="Gill Sans MT"/>
          <w:color w:val="231F20"/>
          <w:spacing w:val="-13"/>
          <w:w w:val="115"/>
          <w:sz w:val="18"/>
        </w:rPr>
        <w:t xml:space="preserve"> </w:t>
      </w:r>
      <w:r>
        <w:rPr>
          <w:rFonts w:ascii="Gill Sans MT" w:hAnsi="Gill Sans MT"/>
          <w:color w:val="231F20"/>
          <w:w w:val="115"/>
          <w:sz w:val="18"/>
        </w:rPr>
        <w:t>KPd,</w:t>
      </w:r>
      <w:r>
        <w:rPr>
          <w:rFonts w:ascii="Gill Sans MT" w:hAnsi="Gill Sans MT"/>
          <w:color w:val="231F20"/>
          <w:spacing w:val="-13"/>
          <w:w w:val="115"/>
          <w:sz w:val="18"/>
        </w:rPr>
        <w:t xml:space="preserve"> </w:t>
      </w:r>
      <w:r>
        <w:rPr>
          <w:rFonts w:ascii="Gill Sans MT" w:hAnsi="Gill Sans MT"/>
          <w:color w:val="231F20"/>
          <w:w w:val="115"/>
          <w:sz w:val="18"/>
        </w:rPr>
        <w:t>and</w:t>
      </w:r>
      <w:r>
        <w:rPr>
          <w:rFonts w:ascii="Gill Sans MT" w:hAnsi="Gill Sans MT"/>
          <w:color w:val="231F20"/>
          <w:spacing w:val="-13"/>
          <w:w w:val="115"/>
          <w:sz w:val="18"/>
        </w:rPr>
        <w:t xml:space="preserve"> </w:t>
      </w:r>
      <w:r>
        <w:rPr>
          <w:rFonts w:ascii="Gill Sans MT" w:hAnsi="Gill Sans MT"/>
          <w:color w:val="231F20"/>
          <w:w w:val="115"/>
          <w:sz w:val="18"/>
        </w:rPr>
        <w:t>the</w:t>
      </w:r>
      <w:r>
        <w:rPr>
          <w:rFonts w:ascii="Gill Sans MT" w:hAnsi="Gill Sans MT"/>
          <w:color w:val="231F20"/>
          <w:spacing w:val="-13"/>
          <w:w w:val="115"/>
          <w:sz w:val="18"/>
        </w:rPr>
        <w:t xml:space="preserve"> </w:t>
      </w:r>
      <w:r>
        <w:rPr>
          <w:rFonts w:ascii="Gill Sans MT" w:hAnsi="Gill Sans MT"/>
          <w:color w:val="231F20"/>
          <w:w w:val="115"/>
          <w:sz w:val="18"/>
        </w:rPr>
        <w:t>KPd/ML.</w:t>
      </w:r>
    </w:p>
    <w:p w14:paraId="33125AF7" w14:textId="77777777" w:rsidR="002653E8" w:rsidRDefault="002653E8">
      <w:pPr>
        <w:pStyle w:val="a3"/>
        <w:spacing w:before="6"/>
        <w:rPr>
          <w:rFonts w:ascii="Gill Sans MT"/>
        </w:rPr>
      </w:pPr>
    </w:p>
    <w:p w14:paraId="6238951D" w14:textId="77777777" w:rsidR="002653E8" w:rsidRDefault="003115E3">
      <w:pPr>
        <w:ind w:left="1147"/>
        <w:rPr>
          <w:rFonts w:ascii="Arial"/>
          <w:b/>
          <w:sz w:val="18"/>
        </w:rPr>
      </w:pPr>
      <w:r>
        <w:rPr>
          <w:rFonts w:ascii="Arial"/>
          <w:b/>
          <w:color w:val="231F20"/>
          <w:w w:val="115"/>
          <w:sz w:val="18"/>
        </w:rPr>
        <w:t>October 13, 1977</w:t>
      </w:r>
    </w:p>
    <w:p w14:paraId="2FBD5C24" w14:textId="77777777" w:rsidR="002653E8" w:rsidRDefault="003115E3">
      <w:pPr>
        <w:spacing w:before="35" w:line="276" w:lineRule="auto"/>
        <w:ind w:left="1147" w:right="19"/>
        <w:rPr>
          <w:rFonts w:ascii="Gill Sans MT" w:hAnsi="Gill Sans MT"/>
          <w:sz w:val="18"/>
        </w:rPr>
      </w:pPr>
      <w:r>
        <w:rPr>
          <w:rFonts w:ascii="Gill Sans MT" w:hAnsi="Gill Sans MT"/>
          <w:color w:val="231F20"/>
          <w:w w:val="110"/>
          <w:sz w:val="18"/>
        </w:rPr>
        <w:t xml:space="preserve">A four person PFLP (EO) group calling itself the Struggle Against </w:t>
      </w:r>
      <w:r>
        <w:rPr>
          <w:rFonts w:ascii="Gill Sans MT" w:hAnsi="Gill Sans MT"/>
          <w:color w:val="231F20"/>
          <w:spacing w:val="-3"/>
          <w:w w:val="110"/>
          <w:sz w:val="18"/>
        </w:rPr>
        <w:t xml:space="preserve">World </w:t>
      </w:r>
      <w:r>
        <w:rPr>
          <w:rFonts w:ascii="Gill Sans MT" w:hAnsi="Gill Sans MT"/>
          <w:color w:val="231F20"/>
          <w:w w:val="110"/>
          <w:sz w:val="18"/>
        </w:rPr>
        <w:t>Imperialism Organization, hijack a Lufthansa airliner en route from Majorca to Paris, taking it first to</w:t>
      </w:r>
      <w:r>
        <w:rPr>
          <w:rFonts w:ascii="Gill Sans MT" w:hAnsi="Gill Sans MT"/>
          <w:color w:val="231F20"/>
          <w:spacing w:val="-8"/>
          <w:w w:val="110"/>
          <w:sz w:val="18"/>
        </w:rPr>
        <w:t xml:space="preserve"> </w:t>
      </w:r>
      <w:r>
        <w:rPr>
          <w:rFonts w:ascii="Gill Sans MT" w:hAnsi="Gill Sans MT"/>
          <w:color w:val="231F20"/>
          <w:w w:val="110"/>
          <w:sz w:val="18"/>
        </w:rPr>
        <w:t>Rome,</w:t>
      </w:r>
      <w:r>
        <w:rPr>
          <w:rFonts w:ascii="Gill Sans MT" w:hAnsi="Gill Sans MT"/>
          <w:color w:val="231F20"/>
          <w:spacing w:val="-8"/>
          <w:w w:val="110"/>
          <w:sz w:val="18"/>
        </w:rPr>
        <w:t xml:space="preserve"> </w:t>
      </w:r>
      <w:r>
        <w:rPr>
          <w:rFonts w:ascii="Gill Sans MT" w:hAnsi="Gill Sans MT"/>
          <w:color w:val="231F20"/>
          <w:w w:val="110"/>
          <w:sz w:val="18"/>
        </w:rPr>
        <w:t>then</w:t>
      </w:r>
      <w:r>
        <w:rPr>
          <w:rFonts w:ascii="Gill Sans MT" w:hAnsi="Gill Sans MT"/>
          <w:color w:val="231F20"/>
          <w:spacing w:val="-8"/>
          <w:w w:val="110"/>
          <w:sz w:val="18"/>
        </w:rPr>
        <w:t xml:space="preserve"> </w:t>
      </w:r>
      <w:r>
        <w:rPr>
          <w:rFonts w:ascii="Gill Sans MT" w:hAnsi="Gill Sans MT"/>
          <w:color w:val="231F20"/>
          <w:w w:val="110"/>
          <w:sz w:val="18"/>
        </w:rPr>
        <w:t>to</w:t>
      </w:r>
      <w:r>
        <w:rPr>
          <w:rFonts w:ascii="Gill Sans MT" w:hAnsi="Gill Sans MT"/>
          <w:color w:val="231F20"/>
          <w:spacing w:val="-8"/>
          <w:w w:val="110"/>
          <w:sz w:val="18"/>
        </w:rPr>
        <w:t xml:space="preserve"> </w:t>
      </w:r>
      <w:r>
        <w:rPr>
          <w:rFonts w:ascii="Gill Sans MT" w:hAnsi="Gill Sans MT"/>
          <w:color w:val="231F20"/>
          <w:w w:val="110"/>
          <w:sz w:val="18"/>
        </w:rPr>
        <w:t>Cyprus.</w:t>
      </w:r>
      <w:r>
        <w:rPr>
          <w:rFonts w:ascii="Gill Sans MT" w:hAnsi="Gill Sans MT"/>
          <w:color w:val="231F20"/>
          <w:spacing w:val="-8"/>
          <w:w w:val="110"/>
          <w:sz w:val="18"/>
        </w:rPr>
        <w:t xml:space="preserve"> </w:t>
      </w:r>
      <w:r>
        <w:rPr>
          <w:rFonts w:ascii="Gill Sans MT" w:hAnsi="Gill Sans MT"/>
          <w:color w:val="231F20"/>
          <w:w w:val="110"/>
          <w:sz w:val="18"/>
        </w:rPr>
        <w:t>They</w:t>
      </w:r>
      <w:r>
        <w:rPr>
          <w:rFonts w:ascii="Gill Sans MT" w:hAnsi="Gill Sans MT"/>
          <w:color w:val="231F20"/>
          <w:spacing w:val="-8"/>
          <w:w w:val="110"/>
          <w:sz w:val="18"/>
        </w:rPr>
        <w:t xml:space="preserve"> </w:t>
      </w:r>
      <w:r>
        <w:rPr>
          <w:rFonts w:ascii="Gill Sans MT" w:hAnsi="Gill Sans MT"/>
          <w:color w:val="231F20"/>
          <w:w w:val="110"/>
          <w:sz w:val="18"/>
        </w:rPr>
        <w:t>issue a communiqué saying their action is meant to reinforce the demands of the Siegfried Hausner Commando. Attorney Hans-Christian Ströbele’s home and office are</w:t>
      </w:r>
      <w:r>
        <w:rPr>
          <w:rFonts w:ascii="Gill Sans MT" w:hAnsi="Gill Sans MT"/>
          <w:color w:val="231F20"/>
          <w:spacing w:val="-9"/>
          <w:w w:val="110"/>
          <w:sz w:val="18"/>
        </w:rPr>
        <w:t xml:space="preserve"> </w:t>
      </w:r>
      <w:r>
        <w:rPr>
          <w:rFonts w:ascii="Gill Sans MT" w:hAnsi="Gill Sans MT"/>
          <w:color w:val="231F20"/>
          <w:w w:val="110"/>
          <w:sz w:val="18"/>
        </w:rPr>
        <w:t>raided.</w:t>
      </w:r>
    </w:p>
    <w:p w14:paraId="0E84AC6B" w14:textId="77777777" w:rsidR="002653E8" w:rsidRDefault="002653E8">
      <w:pPr>
        <w:pStyle w:val="a3"/>
        <w:spacing w:before="5"/>
        <w:rPr>
          <w:rFonts w:ascii="Gill Sans MT"/>
        </w:rPr>
      </w:pPr>
    </w:p>
    <w:p w14:paraId="12D74876" w14:textId="77777777" w:rsidR="002653E8" w:rsidRDefault="003115E3">
      <w:pPr>
        <w:ind w:left="1147"/>
        <w:rPr>
          <w:rFonts w:ascii="Arial"/>
          <w:b/>
          <w:sz w:val="18"/>
        </w:rPr>
      </w:pPr>
      <w:r>
        <w:rPr>
          <w:rFonts w:ascii="Arial"/>
          <w:b/>
          <w:color w:val="231F20"/>
          <w:w w:val="115"/>
          <w:sz w:val="18"/>
        </w:rPr>
        <w:t>October 16, 1977</w:t>
      </w:r>
    </w:p>
    <w:p w14:paraId="68038432" w14:textId="77777777" w:rsidR="002653E8" w:rsidRDefault="003115E3">
      <w:pPr>
        <w:spacing w:before="35" w:line="276" w:lineRule="auto"/>
        <w:ind w:left="1147" w:right="31"/>
        <w:rPr>
          <w:rFonts w:ascii="Gill Sans MT" w:hAnsi="Gill Sans MT"/>
          <w:sz w:val="18"/>
        </w:rPr>
      </w:pPr>
      <w:r>
        <w:rPr>
          <w:rFonts w:ascii="Gill Sans MT" w:hAnsi="Gill Sans MT"/>
          <w:color w:val="231F20"/>
          <w:w w:val="115"/>
          <w:sz w:val="18"/>
        </w:rPr>
        <w:t>denis</w:t>
      </w:r>
      <w:r>
        <w:rPr>
          <w:rFonts w:ascii="Gill Sans MT" w:hAnsi="Gill Sans MT"/>
          <w:color w:val="231F20"/>
          <w:spacing w:val="-19"/>
          <w:w w:val="115"/>
          <w:sz w:val="18"/>
        </w:rPr>
        <w:t xml:space="preserve"> </w:t>
      </w:r>
      <w:r>
        <w:rPr>
          <w:rFonts w:ascii="Gill Sans MT" w:hAnsi="Gill Sans MT"/>
          <w:color w:val="231F20"/>
          <w:w w:val="115"/>
          <w:sz w:val="18"/>
        </w:rPr>
        <w:t>Payot</w:t>
      </w:r>
      <w:r>
        <w:rPr>
          <w:rFonts w:ascii="Gill Sans MT" w:hAnsi="Gill Sans MT"/>
          <w:color w:val="231F20"/>
          <w:spacing w:val="-19"/>
          <w:w w:val="115"/>
          <w:sz w:val="18"/>
        </w:rPr>
        <w:t xml:space="preserve"> </w:t>
      </w:r>
      <w:r>
        <w:rPr>
          <w:rFonts w:ascii="Gill Sans MT" w:hAnsi="Gill Sans MT"/>
          <w:color w:val="231F20"/>
          <w:w w:val="115"/>
          <w:sz w:val="18"/>
        </w:rPr>
        <w:t>receives</w:t>
      </w:r>
      <w:r>
        <w:rPr>
          <w:rFonts w:ascii="Gill Sans MT" w:hAnsi="Gill Sans MT"/>
          <w:color w:val="231F20"/>
          <w:spacing w:val="-19"/>
          <w:w w:val="115"/>
          <w:sz w:val="18"/>
        </w:rPr>
        <w:t xml:space="preserve"> </w:t>
      </w:r>
      <w:r>
        <w:rPr>
          <w:rFonts w:ascii="Gill Sans MT" w:hAnsi="Gill Sans MT"/>
          <w:color w:val="231F20"/>
          <w:w w:val="115"/>
          <w:sz w:val="18"/>
        </w:rPr>
        <w:t>a</w:t>
      </w:r>
      <w:r>
        <w:rPr>
          <w:rFonts w:ascii="Gill Sans MT" w:hAnsi="Gill Sans MT"/>
          <w:color w:val="231F20"/>
          <w:spacing w:val="-19"/>
          <w:w w:val="115"/>
          <w:sz w:val="18"/>
        </w:rPr>
        <w:t xml:space="preserve"> </w:t>
      </w:r>
      <w:r>
        <w:rPr>
          <w:rFonts w:ascii="Gill Sans MT" w:hAnsi="Gill Sans MT"/>
          <w:color w:val="231F20"/>
          <w:w w:val="115"/>
          <w:sz w:val="18"/>
        </w:rPr>
        <w:t xml:space="preserve">communiqué from the SAWIO demanding the release of the eleven prisoners demanded by the </w:t>
      </w:r>
      <w:r w:rsidR="00C507A5">
        <w:rPr>
          <w:rFonts w:ascii="Gill Sans MT" w:hAnsi="Gill Sans MT"/>
          <w:color w:val="231F20"/>
          <w:spacing w:val="-3"/>
          <w:w w:val="115"/>
          <w:sz w:val="18"/>
        </w:rPr>
        <w:t>red army faction</w:t>
      </w:r>
      <w:r>
        <w:rPr>
          <w:rFonts w:ascii="Gill Sans MT" w:hAnsi="Gill Sans MT"/>
          <w:color w:val="231F20"/>
          <w:spacing w:val="-3"/>
          <w:w w:val="115"/>
          <w:sz w:val="18"/>
        </w:rPr>
        <w:t xml:space="preserve">’s </w:t>
      </w:r>
      <w:r>
        <w:rPr>
          <w:rFonts w:ascii="Gill Sans MT" w:hAnsi="Gill Sans MT"/>
          <w:color w:val="231F20"/>
          <w:w w:val="115"/>
          <w:sz w:val="18"/>
        </w:rPr>
        <w:t>Siegfried Hausner</w:t>
      </w:r>
      <w:r>
        <w:rPr>
          <w:rFonts w:ascii="Gill Sans MT" w:hAnsi="Gill Sans MT"/>
          <w:color w:val="231F20"/>
          <w:spacing w:val="-24"/>
          <w:w w:val="115"/>
          <w:sz w:val="18"/>
        </w:rPr>
        <w:t xml:space="preserve"> </w:t>
      </w:r>
      <w:r>
        <w:rPr>
          <w:rFonts w:ascii="Gill Sans MT" w:hAnsi="Gill Sans MT"/>
          <w:color w:val="231F20"/>
          <w:w w:val="115"/>
          <w:sz w:val="18"/>
        </w:rPr>
        <w:t>Commando,</w:t>
      </w:r>
      <w:r>
        <w:rPr>
          <w:rFonts w:ascii="Gill Sans MT" w:hAnsi="Gill Sans MT"/>
          <w:color w:val="231F20"/>
          <w:spacing w:val="-24"/>
          <w:w w:val="115"/>
          <w:sz w:val="18"/>
        </w:rPr>
        <w:t xml:space="preserve"> </w:t>
      </w:r>
      <w:r>
        <w:rPr>
          <w:rFonts w:ascii="Gill Sans MT" w:hAnsi="Gill Sans MT"/>
          <w:color w:val="231F20"/>
          <w:w w:val="115"/>
          <w:sz w:val="18"/>
        </w:rPr>
        <w:t>as</w:t>
      </w:r>
      <w:r>
        <w:rPr>
          <w:rFonts w:ascii="Gill Sans MT" w:hAnsi="Gill Sans MT"/>
          <w:color w:val="231F20"/>
          <w:spacing w:val="-24"/>
          <w:w w:val="115"/>
          <w:sz w:val="18"/>
        </w:rPr>
        <w:t xml:space="preserve"> </w:t>
      </w:r>
      <w:r>
        <w:rPr>
          <w:rFonts w:ascii="Gill Sans MT" w:hAnsi="Gill Sans MT"/>
          <w:color w:val="231F20"/>
          <w:w w:val="115"/>
          <w:sz w:val="18"/>
        </w:rPr>
        <w:t>well</w:t>
      </w:r>
      <w:r>
        <w:rPr>
          <w:rFonts w:ascii="Gill Sans MT" w:hAnsi="Gill Sans MT"/>
          <w:color w:val="231F20"/>
          <w:spacing w:val="-24"/>
          <w:w w:val="115"/>
          <w:sz w:val="18"/>
        </w:rPr>
        <w:t xml:space="preserve"> </w:t>
      </w:r>
      <w:r>
        <w:rPr>
          <w:rFonts w:ascii="Gill Sans MT" w:hAnsi="Gill Sans MT"/>
          <w:color w:val="231F20"/>
          <w:w w:val="115"/>
          <w:sz w:val="18"/>
        </w:rPr>
        <w:t>as</w:t>
      </w:r>
      <w:r>
        <w:rPr>
          <w:rFonts w:ascii="Gill Sans MT" w:hAnsi="Gill Sans MT"/>
          <w:color w:val="231F20"/>
          <w:spacing w:val="-24"/>
          <w:w w:val="115"/>
          <w:sz w:val="18"/>
        </w:rPr>
        <w:t xml:space="preserve"> </w:t>
      </w:r>
      <w:r>
        <w:rPr>
          <w:rFonts w:ascii="Gill Sans MT" w:hAnsi="Gill Sans MT"/>
          <w:color w:val="231F20"/>
          <w:w w:val="115"/>
          <w:sz w:val="18"/>
        </w:rPr>
        <w:t>the release</w:t>
      </w:r>
      <w:r>
        <w:rPr>
          <w:rFonts w:ascii="Gill Sans MT" w:hAnsi="Gill Sans MT"/>
          <w:color w:val="231F20"/>
          <w:spacing w:val="-13"/>
          <w:w w:val="115"/>
          <w:sz w:val="18"/>
        </w:rPr>
        <w:t xml:space="preserve"> </w:t>
      </w:r>
      <w:r>
        <w:rPr>
          <w:rFonts w:ascii="Gill Sans MT" w:hAnsi="Gill Sans MT"/>
          <w:color w:val="231F20"/>
          <w:w w:val="115"/>
          <w:sz w:val="18"/>
        </w:rPr>
        <w:t>of</w:t>
      </w:r>
      <w:r>
        <w:rPr>
          <w:rFonts w:ascii="Gill Sans MT" w:hAnsi="Gill Sans MT"/>
          <w:color w:val="231F20"/>
          <w:spacing w:val="-13"/>
          <w:w w:val="115"/>
          <w:sz w:val="18"/>
        </w:rPr>
        <w:t xml:space="preserve"> </w:t>
      </w:r>
      <w:r>
        <w:rPr>
          <w:rFonts w:ascii="Gill Sans MT" w:hAnsi="Gill Sans MT"/>
          <w:color w:val="231F20"/>
          <w:w w:val="115"/>
          <w:sz w:val="18"/>
        </w:rPr>
        <w:t>two</w:t>
      </w:r>
      <w:r>
        <w:rPr>
          <w:rFonts w:ascii="Gill Sans MT" w:hAnsi="Gill Sans MT"/>
          <w:color w:val="231F20"/>
          <w:spacing w:val="-13"/>
          <w:w w:val="115"/>
          <w:sz w:val="18"/>
        </w:rPr>
        <w:t xml:space="preserve"> </w:t>
      </w:r>
      <w:r>
        <w:rPr>
          <w:rFonts w:ascii="Gill Sans MT" w:hAnsi="Gill Sans MT"/>
          <w:color w:val="231F20"/>
          <w:w w:val="115"/>
          <w:sz w:val="18"/>
        </w:rPr>
        <w:t>Palestinians</w:t>
      </w:r>
      <w:r>
        <w:rPr>
          <w:rFonts w:ascii="Gill Sans MT" w:hAnsi="Gill Sans MT"/>
          <w:color w:val="231F20"/>
          <w:spacing w:val="-13"/>
          <w:w w:val="115"/>
          <w:sz w:val="18"/>
        </w:rPr>
        <w:t xml:space="preserve"> </w:t>
      </w:r>
      <w:r>
        <w:rPr>
          <w:rFonts w:ascii="Gill Sans MT" w:hAnsi="Gill Sans MT"/>
          <w:color w:val="231F20"/>
          <w:w w:val="115"/>
          <w:sz w:val="18"/>
        </w:rPr>
        <w:t>held</w:t>
      </w:r>
    </w:p>
    <w:p w14:paraId="69F36E3E" w14:textId="77777777" w:rsidR="002653E8" w:rsidRDefault="003115E3">
      <w:pPr>
        <w:spacing w:line="276" w:lineRule="auto"/>
        <w:ind w:left="1147" w:hanging="1"/>
        <w:rPr>
          <w:rFonts w:ascii="Gill Sans MT" w:hAnsi="Gill Sans MT"/>
          <w:sz w:val="18"/>
        </w:rPr>
      </w:pPr>
      <w:r>
        <w:rPr>
          <w:rFonts w:ascii="Gill Sans MT" w:hAnsi="Gill Sans MT"/>
          <w:color w:val="231F20"/>
          <w:w w:val="110"/>
          <w:sz w:val="18"/>
        </w:rPr>
        <w:t>in Turkey, and fifteen million u.S. dollars, to be delivered by Schleyer’s son Eberhard.</w:t>
      </w:r>
    </w:p>
    <w:p w14:paraId="3AD938EF" w14:textId="77777777" w:rsidR="002653E8" w:rsidRDefault="003115E3">
      <w:pPr>
        <w:spacing w:before="91"/>
        <w:ind w:left="200"/>
        <w:rPr>
          <w:rFonts w:ascii="Arial"/>
          <w:b/>
          <w:sz w:val="18"/>
        </w:rPr>
      </w:pPr>
      <w:r>
        <w:br w:type="column"/>
      </w:r>
      <w:r>
        <w:rPr>
          <w:rFonts w:ascii="Arial"/>
          <w:b/>
          <w:color w:val="231F20"/>
          <w:w w:val="115"/>
          <w:sz w:val="18"/>
        </w:rPr>
        <w:t>October 17, 1977</w:t>
      </w:r>
    </w:p>
    <w:p w14:paraId="3A69FEB1" w14:textId="77777777" w:rsidR="002653E8" w:rsidRDefault="003115E3">
      <w:pPr>
        <w:spacing w:before="34" w:line="276" w:lineRule="auto"/>
        <w:ind w:left="200" w:right="1861"/>
        <w:rPr>
          <w:rFonts w:ascii="Gill Sans MT"/>
          <w:sz w:val="18"/>
        </w:rPr>
      </w:pPr>
      <w:r>
        <w:rPr>
          <w:rFonts w:ascii="Gill Sans MT"/>
          <w:color w:val="231F20"/>
          <w:w w:val="115"/>
          <w:sz w:val="18"/>
        </w:rPr>
        <w:t>The</w:t>
      </w:r>
      <w:r>
        <w:rPr>
          <w:rFonts w:ascii="Gill Sans MT"/>
          <w:color w:val="231F20"/>
          <w:spacing w:val="-35"/>
          <w:w w:val="115"/>
          <w:sz w:val="18"/>
        </w:rPr>
        <w:t xml:space="preserve"> </w:t>
      </w:r>
      <w:r>
        <w:rPr>
          <w:rFonts w:ascii="Gill Sans MT"/>
          <w:color w:val="231F20"/>
          <w:w w:val="115"/>
          <w:sz w:val="18"/>
        </w:rPr>
        <w:t>hijacked</w:t>
      </w:r>
      <w:r>
        <w:rPr>
          <w:rFonts w:ascii="Gill Sans MT"/>
          <w:color w:val="231F20"/>
          <w:spacing w:val="-35"/>
          <w:w w:val="115"/>
          <w:sz w:val="18"/>
        </w:rPr>
        <w:t xml:space="preserve"> </w:t>
      </w:r>
      <w:r>
        <w:rPr>
          <w:rFonts w:ascii="Gill Sans MT"/>
          <w:color w:val="231F20"/>
          <w:w w:val="115"/>
          <w:sz w:val="18"/>
        </w:rPr>
        <w:t>jetliner</w:t>
      </w:r>
      <w:r>
        <w:rPr>
          <w:rFonts w:ascii="Gill Sans MT"/>
          <w:color w:val="231F20"/>
          <w:spacing w:val="-35"/>
          <w:w w:val="115"/>
          <w:sz w:val="18"/>
        </w:rPr>
        <w:t xml:space="preserve"> </w:t>
      </w:r>
      <w:r>
        <w:rPr>
          <w:rFonts w:ascii="Gill Sans MT"/>
          <w:color w:val="231F20"/>
          <w:w w:val="115"/>
          <w:sz w:val="18"/>
        </w:rPr>
        <w:t>arrives</w:t>
      </w:r>
      <w:r>
        <w:rPr>
          <w:rFonts w:ascii="Gill Sans MT"/>
          <w:color w:val="231F20"/>
          <w:spacing w:val="-35"/>
          <w:w w:val="115"/>
          <w:sz w:val="18"/>
        </w:rPr>
        <w:t xml:space="preserve"> </w:t>
      </w:r>
      <w:r>
        <w:rPr>
          <w:rFonts w:ascii="Gill Sans MT"/>
          <w:color w:val="231F20"/>
          <w:w w:val="115"/>
          <w:sz w:val="18"/>
        </w:rPr>
        <w:t>at</w:t>
      </w:r>
      <w:r>
        <w:rPr>
          <w:rFonts w:ascii="Gill Sans MT"/>
          <w:color w:val="231F20"/>
          <w:w w:val="114"/>
          <w:sz w:val="18"/>
        </w:rPr>
        <w:t xml:space="preserve"> </w:t>
      </w:r>
      <w:r>
        <w:rPr>
          <w:rFonts w:ascii="Gill Sans MT"/>
          <w:color w:val="231F20"/>
          <w:w w:val="115"/>
          <w:sz w:val="18"/>
        </w:rPr>
        <w:t>Mogadishu,</w:t>
      </w:r>
      <w:r>
        <w:rPr>
          <w:rFonts w:ascii="Gill Sans MT"/>
          <w:color w:val="231F20"/>
          <w:spacing w:val="-7"/>
          <w:w w:val="115"/>
          <w:sz w:val="18"/>
        </w:rPr>
        <w:t xml:space="preserve"> </w:t>
      </w:r>
      <w:r>
        <w:rPr>
          <w:rFonts w:ascii="Gill Sans MT"/>
          <w:color w:val="231F20"/>
          <w:w w:val="115"/>
          <w:sz w:val="18"/>
        </w:rPr>
        <w:t>Somalia.</w:t>
      </w:r>
    </w:p>
    <w:p w14:paraId="0F5CAC4A" w14:textId="77777777" w:rsidR="002653E8" w:rsidRDefault="003115E3">
      <w:pPr>
        <w:spacing w:line="276" w:lineRule="auto"/>
        <w:ind w:left="200" w:right="1530" w:hanging="1"/>
        <w:rPr>
          <w:rFonts w:ascii="Gill Sans MT" w:hAnsi="Gill Sans MT"/>
          <w:sz w:val="18"/>
        </w:rPr>
      </w:pPr>
      <w:r>
        <w:rPr>
          <w:rFonts w:ascii="Gill Sans MT" w:hAnsi="Gill Sans MT"/>
          <w:color w:val="231F20"/>
          <w:w w:val="115"/>
          <w:sz w:val="18"/>
        </w:rPr>
        <w:t>Hans-Jürgen</w:t>
      </w:r>
      <w:r>
        <w:rPr>
          <w:rFonts w:ascii="Gill Sans MT" w:hAnsi="Gill Sans MT"/>
          <w:color w:val="231F20"/>
          <w:spacing w:val="-37"/>
          <w:w w:val="115"/>
          <w:sz w:val="18"/>
        </w:rPr>
        <w:t xml:space="preserve"> </w:t>
      </w:r>
      <w:r>
        <w:rPr>
          <w:rFonts w:ascii="Gill Sans MT" w:hAnsi="Gill Sans MT"/>
          <w:color w:val="231F20"/>
          <w:w w:val="115"/>
          <w:sz w:val="18"/>
        </w:rPr>
        <w:t>Wischnewski</w:t>
      </w:r>
      <w:r>
        <w:rPr>
          <w:rFonts w:ascii="Gill Sans MT" w:hAnsi="Gill Sans MT"/>
          <w:color w:val="231F20"/>
          <w:spacing w:val="-37"/>
          <w:w w:val="115"/>
          <w:sz w:val="18"/>
        </w:rPr>
        <w:t xml:space="preserve"> </w:t>
      </w:r>
      <w:r>
        <w:rPr>
          <w:rFonts w:ascii="Gill Sans MT" w:hAnsi="Gill Sans MT"/>
          <w:color w:val="231F20"/>
          <w:w w:val="115"/>
          <w:sz w:val="18"/>
        </w:rPr>
        <w:t>and</w:t>
      </w:r>
      <w:r>
        <w:rPr>
          <w:rFonts w:ascii="Gill Sans MT" w:hAnsi="Gill Sans MT"/>
          <w:color w:val="231F20"/>
          <w:spacing w:val="-37"/>
          <w:w w:val="115"/>
          <w:sz w:val="18"/>
        </w:rPr>
        <w:t xml:space="preserve"> </w:t>
      </w:r>
      <w:r>
        <w:rPr>
          <w:rFonts w:ascii="Gill Sans MT" w:hAnsi="Gill Sans MT"/>
          <w:color w:val="231F20"/>
          <w:w w:val="115"/>
          <w:sz w:val="18"/>
        </w:rPr>
        <w:t>the</w:t>
      </w:r>
      <w:r>
        <w:rPr>
          <w:rFonts w:ascii="Gill Sans MT" w:hAnsi="Gill Sans MT"/>
          <w:color w:val="231F20"/>
          <w:w w:val="111"/>
          <w:sz w:val="18"/>
        </w:rPr>
        <w:t xml:space="preserve"> </w:t>
      </w:r>
      <w:r>
        <w:rPr>
          <w:rFonts w:ascii="Gill Sans MT" w:hAnsi="Gill Sans MT"/>
          <w:color w:val="231F20"/>
          <w:w w:val="115"/>
          <w:sz w:val="18"/>
        </w:rPr>
        <w:t>GSG-9 fly to</w:t>
      </w:r>
      <w:r>
        <w:rPr>
          <w:rFonts w:ascii="Gill Sans MT" w:hAnsi="Gill Sans MT"/>
          <w:color w:val="231F20"/>
          <w:spacing w:val="-28"/>
          <w:w w:val="115"/>
          <w:sz w:val="18"/>
        </w:rPr>
        <w:t xml:space="preserve"> </w:t>
      </w:r>
      <w:r>
        <w:rPr>
          <w:rFonts w:ascii="Gill Sans MT" w:hAnsi="Gill Sans MT"/>
          <w:color w:val="231F20"/>
          <w:w w:val="115"/>
          <w:sz w:val="18"/>
        </w:rPr>
        <w:t>Mogadishu.</w:t>
      </w:r>
    </w:p>
    <w:p w14:paraId="714A3A24" w14:textId="77777777" w:rsidR="002653E8" w:rsidRDefault="003115E3">
      <w:pPr>
        <w:spacing w:line="276" w:lineRule="auto"/>
        <w:ind w:left="200" w:right="1743"/>
        <w:rPr>
          <w:rFonts w:ascii="Gill Sans MT"/>
          <w:sz w:val="18"/>
        </w:rPr>
      </w:pPr>
      <w:r>
        <w:rPr>
          <w:rFonts w:ascii="Gill Sans MT"/>
          <w:color w:val="231F20"/>
          <w:w w:val="110"/>
          <w:sz w:val="18"/>
        </w:rPr>
        <w:t>The trial of Rolf Pohle begins in Munich.</w:t>
      </w:r>
    </w:p>
    <w:p w14:paraId="47A57E2C" w14:textId="77777777" w:rsidR="002653E8" w:rsidRDefault="002653E8">
      <w:pPr>
        <w:pStyle w:val="a3"/>
        <w:spacing w:before="6"/>
        <w:rPr>
          <w:rFonts w:ascii="Gill Sans MT"/>
        </w:rPr>
      </w:pPr>
    </w:p>
    <w:p w14:paraId="32E64B02" w14:textId="77777777" w:rsidR="002653E8" w:rsidRDefault="003115E3">
      <w:pPr>
        <w:spacing w:before="1"/>
        <w:ind w:left="200"/>
        <w:rPr>
          <w:rFonts w:ascii="Arial"/>
          <w:b/>
          <w:sz w:val="18"/>
        </w:rPr>
      </w:pPr>
      <w:r>
        <w:rPr>
          <w:rFonts w:ascii="Arial"/>
          <w:b/>
          <w:color w:val="231F20"/>
          <w:w w:val="115"/>
          <w:sz w:val="18"/>
        </w:rPr>
        <w:t>October 18, 1977</w:t>
      </w:r>
    </w:p>
    <w:p w14:paraId="47D84A37" w14:textId="77777777" w:rsidR="002653E8" w:rsidRDefault="003115E3">
      <w:pPr>
        <w:spacing w:before="34" w:line="276" w:lineRule="auto"/>
        <w:ind w:left="200" w:right="1322"/>
        <w:rPr>
          <w:rFonts w:ascii="Gill Sans MT"/>
          <w:sz w:val="18"/>
        </w:rPr>
      </w:pPr>
      <w:r>
        <w:rPr>
          <w:rFonts w:ascii="Gill Sans MT"/>
          <w:color w:val="231F20"/>
          <w:w w:val="115"/>
          <w:sz w:val="18"/>
        </w:rPr>
        <w:t>The</w:t>
      </w:r>
      <w:r>
        <w:rPr>
          <w:rFonts w:ascii="Gill Sans MT"/>
          <w:color w:val="231F20"/>
          <w:spacing w:val="-26"/>
          <w:w w:val="115"/>
          <w:sz w:val="18"/>
        </w:rPr>
        <w:t xml:space="preserve"> </w:t>
      </w:r>
      <w:r>
        <w:rPr>
          <w:rFonts w:ascii="Gill Sans MT"/>
          <w:color w:val="231F20"/>
          <w:w w:val="115"/>
          <w:sz w:val="18"/>
        </w:rPr>
        <w:t>jetliner</w:t>
      </w:r>
      <w:r>
        <w:rPr>
          <w:rFonts w:ascii="Gill Sans MT"/>
          <w:color w:val="231F20"/>
          <w:spacing w:val="-26"/>
          <w:w w:val="115"/>
          <w:sz w:val="18"/>
        </w:rPr>
        <w:t xml:space="preserve"> </w:t>
      </w:r>
      <w:r>
        <w:rPr>
          <w:rFonts w:ascii="Gill Sans MT"/>
          <w:color w:val="231F20"/>
          <w:w w:val="115"/>
          <w:sz w:val="18"/>
        </w:rPr>
        <w:t>in</w:t>
      </w:r>
      <w:r>
        <w:rPr>
          <w:rFonts w:ascii="Gill Sans MT"/>
          <w:color w:val="231F20"/>
          <w:spacing w:val="-26"/>
          <w:w w:val="115"/>
          <w:sz w:val="18"/>
        </w:rPr>
        <w:t xml:space="preserve"> </w:t>
      </w:r>
      <w:r>
        <w:rPr>
          <w:rFonts w:ascii="Gill Sans MT"/>
          <w:color w:val="231F20"/>
          <w:w w:val="115"/>
          <w:sz w:val="18"/>
        </w:rPr>
        <w:t>Mogadishu</w:t>
      </w:r>
      <w:r>
        <w:rPr>
          <w:rFonts w:ascii="Gill Sans MT"/>
          <w:color w:val="231F20"/>
          <w:spacing w:val="-26"/>
          <w:w w:val="115"/>
          <w:sz w:val="18"/>
        </w:rPr>
        <w:t xml:space="preserve"> </w:t>
      </w:r>
      <w:r>
        <w:rPr>
          <w:rFonts w:ascii="Gill Sans MT"/>
          <w:color w:val="231F20"/>
          <w:w w:val="115"/>
          <w:sz w:val="18"/>
        </w:rPr>
        <w:t>is</w:t>
      </w:r>
      <w:r>
        <w:rPr>
          <w:rFonts w:ascii="Gill Sans MT"/>
          <w:color w:val="231F20"/>
          <w:spacing w:val="-26"/>
          <w:w w:val="115"/>
          <w:sz w:val="18"/>
        </w:rPr>
        <w:t xml:space="preserve"> </w:t>
      </w:r>
      <w:r>
        <w:rPr>
          <w:rFonts w:ascii="Gill Sans MT"/>
          <w:color w:val="231F20"/>
          <w:w w:val="115"/>
          <w:sz w:val="18"/>
        </w:rPr>
        <w:t>stormed</w:t>
      </w:r>
      <w:r>
        <w:rPr>
          <w:rFonts w:ascii="Gill Sans MT"/>
          <w:color w:val="231F20"/>
          <w:w w:val="109"/>
          <w:sz w:val="18"/>
        </w:rPr>
        <w:t xml:space="preserve"> </w:t>
      </w:r>
      <w:r>
        <w:rPr>
          <w:rFonts w:ascii="Gill Sans MT"/>
          <w:color w:val="231F20"/>
          <w:w w:val="115"/>
          <w:sz w:val="18"/>
        </w:rPr>
        <w:t>and three of the four hijackers are killed, the fourth is badly injured, and one passenger dies of a heart attack.</w:t>
      </w:r>
    </w:p>
    <w:p w14:paraId="4FA40C8D" w14:textId="77777777" w:rsidR="002653E8" w:rsidRDefault="003115E3">
      <w:pPr>
        <w:spacing w:line="276" w:lineRule="auto"/>
        <w:ind w:left="200" w:right="1352"/>
        <w:rPr>
          <w:rFonts w:ascii="Gill Sans MT" w:hAnsi="Gill Sans MT"/>
          <w:sz w:val="18"/>
        </w:rPr>
      </w:pPr>
      <w:r>
        <w:rPr>
          <w:rFonts w:ascii="Gill Sans MT" w:hAnsi="Gill Sans MT"/>
          <w:color w:val="231F20"/>
          <w:w w:val="115"/>
          <w:sz w:val="18"/>
        </w:rPr>
        <w:t>Shortly thereafter a state official announces the “suicides” of Andreas</w:t>
      </w:r>
      <w:r>
        <w:rPr>
          <w:rFonts w:ascii="Gill Sans MT" w:hAnsi="Gill Sans MT"/>
          <w:color w:val="231F20"/>
          <w:spacing w:val="-25"/>
          <w:w w:val="115"/>
          <w:sz w:val="18"/>
        </w:rPr>
        <w:t xml:space="preserve"> </w:t>
      </w:r>
      <w:r>
        <w:rPr>
          <w:rFonts w:ascii="Gill Sans MT" w:hAnsi="Gill Sans MT"/>
          <w:color w:val="231F20"/>
          <w:w w:val="115"/>
          <w:sz w:val="18"/>
        </w:rPr>
        <w:t>Baader</w:t>
      </w:r>
      <w:r>
        <w:rPr>
          <w:rFonts w:ascii="Gill Sans MT" w:hAnsi="Gill Sans MT"/>
          <w:color w:val="231F20"/>
          <w:spacing w:val="-25"/>
          <w:w w:val="115"/>
          <w:sz w:val="18"/>
        </w:rPr>
        <w:t xml:space="preserve"> </w:t>
      </w:r>
      <w:r>
        <w:rPr>
          <w:rFonts w:ascii="Gill Sans MT" w:hAnsi="Gill Sans MT"/>
          <w:color w:val="231F20"/>
          <w:w w:val="115"/>
          <w:sz w:val="18"/>
        </w:rPr>
        <w:t>and</w:t>
      </w:r>
      <w:r>
        <w:rPr>
          <w:rFonts w:ascii="Gill Sans MT" w:hAnsi="Gill Sans MT"/>
          <w:color w:val="231F20"/>
          <w:spacing w:val="-25"/>
          <w:w w:val="115"/>
          <w:sz w:val="18"/>
        </w:rPr>
        <w:t xml:space="preserve"> </w:t>
      </w:r>
      <w:r>
        <w:rPr>
          <w:rFonts w:ascii="Gill Sans MT" w:hAnsi="Gill Sans MT"/>
          <w:color w:val="231F20"/>
          <w:w w:val="115"/>
          <w:sz w:val="18"/>
        </w:rPr>
        <w:t>Gudrun</w:t>
      </w:r>
      <w:r>
        <w:rPr>
          <w:rFonts w:ascii="Gill Sans MT" w:hAnsi="Gill Sans MT"/>
          <w:color w:val="231F20"/>
          <w:spacing w:val="-25"/>
          <w:w w:val="115"/>
          <w:sz w:val="18"/>
        </w:rPr>
        <w:t xml:space="preserve"> </w:t>
      </w:r>
      <w:r>
        <w:rPr>
          <w:rFonts w:ascii="Gill Sans MT" w:hAnsi="Gill Sans MT"/>
          <w:color w:val="231F20"/>
          <w:w w:val="115"/>
          <w:sz w:val="18"/>
        </w:rPr>
        <w:t xml:space="preserve">Ensslin and the attempted “suicides” of Jan-Carl Raspe and Irmgard </w:t>
      </w:r>
      <w:r>
        <w:rPr>
          <w:rFonts w:ascii="Gill Sans MT" w:hAnsi="Gill Sans MT"/>
          <w:color w:val="231F20"/>
          <w:spacing w:val="-3"/>
          <w:w w:val="115"/>
          <w:sz w:val="18"/>
        </w:rPr>
        <w:t xml:space="preserve">Möller. </w:t>
      </w:r>
      <w:r>
        <w:rPr>
          <w:rFonts w:ascii="Gill Sans MT" w:hAnsi="Gill Sans MT"/>
          <w:color w:val="231F20"/>
          <w:w w:val="115"/>
          <w:sz w:val="18"/>
        </w:rPr>
        <w:t>Raspe subsequently dies of his wounds. Only Möller survives to refute</w:t>
      </w:r>
      <w:r>
        <w:rPr>
          <w:rFonts w:ascii="Gill Sans MT" w:hAnsi="Gill Sans MT"/>
          <w:color w:val="231F20"/>
          <w:spacing w:val="-32"/>
          <w:w w:val="115"/>
          <w:sz w:val="18"/>
        </w:rPr>
        <w:t xml:space="preserve"> </w:t>
      </w:r>
      <w:r>
        <w:rPr>
          <w:rFonts w:ascii="Gill Sans MT" w:hAnsi="Gill Sans MT"/>
          <w:color w:val="231F20"/>
          <w:w w:val="115"/>
          <w:sz w:val="18"/>
        </w:rPr>
        <w:t>the</w:t>
      </w:r>
      <w:r>
        <w:rPr>
          <w:rFonts w:ascii="Gill Sans MT" w:hAnsi="Gill Sans MT"/>
          <w:color w:val="231F20"/>
          <w:spacing w:val="-32"/>
          <w:w w:val="115"/>
          <w:sz w:val="18"/>
        </w:rPr>
        <w:t xml:space="preserve"> </w:t>
      </w:r>
      <w:r>
        <w:rPr>
          <w:rFonts w:ascii="Gill Sans MT" w:hAnsi="Gill Sans MT"/>
          <w:color w:val="231F20"/>
          <w:w w:val="115"/>
          <w:sz w:val="18"/>
        </w:rPr>
        <w:t>state’s</w:t>
      </w:r>
      <w:r>
        <w:rPr>
          <w:rFonts w:ascii="Gill Sans MT" w:hAnsi="Gill Sans MT"/>
          <w:color w:val="231F20"/>
          <w:spacing w:val="-32"/>
          <w:w w:val="115"/>
          <w:sz w:val="18"/>
        </w:rPr>
        <w:t xml:space="preserve"> </w:t>
      </w:r>
      <w:r>
        <w:rPr>
          <w:rFonts w:ascii="Gill Sans MT" w:hAnsi="Gill Sans MT"/>
          <w:color w:val="231F20"/>
          <w:w w:val="115"/>
          <w:sz w:val="18"/>
        </w:rPr>
        <w:t>suicide</w:t>
      </w:r>
      <w:r>
        <w:rPr>
          <w:rFonts w:ascii="Gill Sans MT" w:hAnsi="Gill Sans MT"/>
          <w:color w:val="231F20"/>
          <w:spacing w:val="-32"/>
          <w:w w:val="115"/>
          <w:sz w:val="18"/>
        </w:rPr>
        <w:t xml:space="preserve"> </w:t>
      </w:r>
      <w:r>
        <w:rPr>
          <w:rFonts w:ascii="Gill Sans MT" w:hAnsi="Gill Sans MT"/>
          <w:color w:val="231F20"/>
          <w:w w:val="115"/>
          <w:sz w:val="18"/>
        </w:rPr>
        <w:t xml:space="preserve">contention. In </w:t>
      </w:r>
      <w:r>
        <w:rPr>
          <w:rFonts w:ascii="Gill Sans MT" w:hAnsi="Gill Sans MT"/>
          <w:color w:val="231F20"/>
          <w:spacing w:val="-3"/>
          <w:w w:val="115"/>
          <w:sz w:val="18"/>
        </w:rPr>
        <w:t xml:space="preserve">West </w:t>
      </w:r>
      <w:r>
        <w:rPr>
          <w:rFonts w:ascii="Gill Sans MT" w:hAnsi="Gill Sans MT"/>
          <w:color w:val="231F20"/>
          <w:w w:val="115"/>
          <w:sz w:val="18"/>
        </w:rPr>
        <w:t>Berlin, thirty-eight apartments, bookstores, and printing shops are searched and forty</w:t>
      </w:r>
      <w:r>
        <w:rPr>
          <w:rFonts w:ascii="Gill Sans MT" w:hAnsi="Gill Sans MT"/>
          <w:color w:val="231F20"/>
          <w:spacing w:val="-16"/>
          <w:w w:val="115"/>
          <w:sz w:val="18"/>
        </w:rPr>
        <w:t xml:space="preserve"> </w:t>
      </w:r>
      <w:r>
        <w:rPr>
          <w:rFonts w:ascii="Gill Sans MT" w:hAnsi="Gill Sans MT"/>
          <w:color w:val="231F20"/>
          <w:w w:val="115"/>
          <w:sz w:val="18"/>
        </w:rPr>
        <w:t>people</w:t>
      </w:r>
      <w:r>
        <w:rPr>
          <w:rFonts w:ascii="Gill Sans MT" w:hAnsi="Gill Sans MT"/>
          <w:color w:val="231F20"/>
          <w:spacing w:val="-16"/>
          <w:w w:val="115"/>
          <w:sz w:val="18"/>
        </w:rPr>
        <w:t xml:space="preserve"> </w:t>
      </w:r>
      <w:r>
        <w:rPr>
          <w:rFonts w:ascii="Gill Sans MT" w:hAnsi="Gill Sans MT"/>
          <w:color w:val="231F20"/>
          <w:w w:val="115"/>
          <w:sz w:val="18"/>
        </w:rPr>
        <w:t>taken</w:t>
      </w:r>
      <w:r>
        <w:rPr>
          <w:rFonts w:ascii="Gill Sans MT" w:hAnsi="Gill Sans MT"/>
          <w:color w:val="231F20"/>
          <w:spacing w:val="-16"/>
          <w:w w:val="115"/>
          <w:sz w:val="18"/>
        </w:rPr>
        <w:t xml:space="preserve"> </w:t>
      </w:r>
      <w:r>
        <w:rPr>
          <w:rFonts w:ascii="Gill Sans MT" w:hAnsi="Gill Sans MT"/>
          <w:color w:val="231F20"/>
          <w:w w:val="115"/>
          <w:sz w:val="18"/>
        </w:rPr>
        <w:t>into</w:t>
      </w:r>
      <w:r>
        <w:rPr>
          <w:rFonts w:ascii="Gill Sans MT" w:hAnsi="Gill Sans MT"/>
          <w:color w:val="231F20"/>
          <w:spacing w:val="-16"/>
          <w:w w:val="115"/>
          <w:sz w:val="18"/>
        </w:rPr>
        <w:t xml:space="preserve"> </w:t>
      </w:r>
      <w:r>
        <w:rPr>
          <w:rFonts w:ascii="Gill Sans MT" w:hAnsi="Gill Sans MT"/>
          <w:color w:val="231F20"/>
          <w:w w:val="115"/>
          <w:sz w:val="18"/>
        </w:rPr>
        <w:t>custody.</w:t>
      </w:r>
    </w:p>
    <w:p w14:paraId="63825EA1" w14:textId="77777777" w:rsidR="002653E8" w:rsidRDefault="003115E3">
      <w:pPr>
        <w:spacing w:line="276" w:lineRule="auto"/>
        <w:ind w:left="200" w:right="1313"/>
        <w:rPr>
          <w:rFonts w:ascii="Gill Sans MT"/>
          <w:sz w:val="18"/>
        </w:rPr>
      </w:pPr>
      <w:r>
        <w:rPr>
          <w:rFonts w:ascii="Lucida Sans"/>
          <w:i/>
          <w:color w:val="231F20"/>
          <w:w w:val="110"/>
          <w:sz w:val="18"/>
        </w:rPr>
        <w:t>Info-BUG</w:t>
      </w:r>
      <w:r>
        <w:rPr>
          <w:rFonts w:ascii="Lucida Sans"/>
          <w:i/>
          <w:color w:val="231F20"/>
          <w:spacing w:val="-25"/>
          <w:w w:val="110"/>
          <w:sz w:val="18"/>
        </w:rPr>
        <w:t xml:space="preserve"> </w:t>
      </w:r>
      <w:r>
        <w:rPr>
          <w:rFonts w:ascii="Gill Sans MT"/>
          <w:color w:val="231F20"/>
          <w:w w:val="110"/>
          <w:sz w:val="18"/>
        </w:rPr>
        <w:t>and</w:t>
      </w:r>
      <w:r>
        <w:rPr>
          <w:rFonts w:ascii="Gill Sans MT"/>
          <w:color w:val="231F20"/>
          <w:spacing w:val="-18"/>
          <w:w w:val="110"/>
          <w:sz w:val="18"/>
        </w:rPr>
        <w:t xml:space="preserve"> </w:t>
      </w:r>
      <w:r>
        <w:rPr>
          <w:rFonts w:ascii="Gill Sans MT"/>
          <w:color w:val="231F20"/>
          <w:w w:val="110"/>
          <w:sz w:val="18"/>
        </w:rPr>
        <w:t>its</w:t>
      </w:r>
      <w:r>
        <w:rPr>
          <w:rFonts w:ascii="Gill Sans MT"/>
          <w:color w:val="231F20"/>
          <w:spacing w:val="-18"/>
          <w:w w:val="110"/>
          <w:sz w:val="18"/>
        </w:rPr>
        <w:t xml:space="preserve"> </w:t>
      </w:r>
      <w:r>
        <w:rPr>
          <w:rFonts w:ascii="Gill Sans MT"/>
          <w:color w:val="231F20"/>
          <w:w w:val="110"/>
          <w:sz w:val="18"/>
        </w:rPr>
        <w:t>printers</w:t>
      </w:r>
      <w:r>
        <w:rPr>
          <w:rFonts w:ascii="Gill Sans MT"/>
          <w:color w:val="231F20"/>
          <w:spacing w:val="-18"/>
          <w:w w:val="110"/>
          <w:sz w:val="18"/>
        </w:rPr>
        <w:t xml:space="preserve"> </w:t>
      </w:r>
      <w:r>
        <w:rPr>
          <w:rFonts w:ascii="Gill Sans MT"/>
          <w:color w:val="231F20"/>
          <w:w w:val="110"/>
          <w:sz w:val="18"/>
        </w:rPr>
        <w:t>Firma</w:t>
      </w:r>
      <w:r>
        <w:rPr>
          <w:rFonts w:ascii="Gill Sans MT"/>
          <w:color w:val="231F20"/>
          <w:spacing w:val="-18"/>
          <w:w w:val="110"/>
          <w:sz w:val="18"/>
        </w:rPr>
        <w:t xml:space="preserve"> </w:t>
      </w:r>
      <w:r>
        <w:rPr>
          <w:rFonts w:ascii="Gill Sans MT"/>
          <w:color w:val="231F20"/>
          <w:w w:val="110"/>
          <w:sz w:val="18"/>
        </w:rPr>
        <w:t>Agitdruck are amongst those targeted, and the radical newspaper now finds itself</w:t>
      </w:r>
      <w:r>
        <w:rPr>
          <w:rFonts w:ascii="Gill Sans MT"/>
          <w:color w:val="231F20"/>
          <w:spacing w:val="-4"/>
          <w:w w:val="110"/>
          <w:sz w:val="18"/>
        </w:rPr>
        <w:t xml:space="preserve"> </w:t>
      </w:r>
      <w:r>
        <w:rPr>
          <w:rFonts w:ascii="Gill Sans MT"/>
          <w:color w:val="231F20"/>
          <w:w w:val="110"/>
          <w:sz w:val="18"/>
        </w:rPr>
        <w:t>banned.</w:t>
      </w:r>
    </w:p>
    <w:p w14:paraId="1B75256D" w14:textId="77777777" w:rsidR="002653E8" w:rsidRDefault="002653E8">
      <w:pPr>
        <w:pStyle w:val="a3"/>
        <w:spacing w:before="10"/>
        <w:rPr>
          <w:rFonts w:ascii="Gill Sans MT"/>
          <w:sz w:val="19"/>
        </w:rPr>
      </w:pPr>
    </w:p>
    <w:p w14:paraId="78297F64" w14:textId="77777777" w:rsidR="002653E8" w:rsidRDefault="003115E3">
      <w:pPr>
        <w:ind w:left="200"/>
        <w:rPr>
          <w:rFonts w:ascii="Arial"/>
          <w:b/>
          <w:sz w:val="18"/>
        </w:rPr>
      </w:pPr>
      <w:r>
        <w:rPr>
          <w:rFonts w:ascii="Arial"/>
          <w:b/>
          <w:color w:val="231F20"/>
          <w:w w:val="115"/>
          <w:sz w:val="18"/>
        </w:rPr>
        <w:t>October 19, 1977</w:t>
      </w:r>
    </w:p>
    <w:p w14:paraId="6B091364" w14:textId="77777777" w:rsidR="002653E8" w:rsidRDefault="003115E3">
      <w:pPr>
        <w:spacing w:before="35" w:line="276" w:lineRule="auto"/>
        <w:ind w:left="200" w:right="1456"/>
        <w:rPr>
          <w:rFonts w:ascii="Gill Sans MT" w:hAnsi="Gill Sans MT"/>
          <w:sz w:val="18"/>
        </w:rPr>
      </w:pPr>
      <w:r>
        <w:rPr>
          <w:rFonts w:ascii="Gill Sans MT" w:hAnsi="Gill Sans MT"/>
          <w:color w:val="231F20"/>
          <w:w w:val="110"/>
          <w:sz w:val="18"/>
        </w:rPr>
        <w:t xml:space="preserve">The </w:t>
      </w:r>
      <w:r>
        <w:rPr>
          <w:rFonts w:ascii="Gill Sans MT" w:hAnsi="Gill Sans MT"/>
          <w:color w:val="231F20"/>
          <w:spacing w:val="-5"/>
          <w:w w:val="110"/>
          <w:sz w:val="18"/>
        </w:rPr>
        <w:t xml:space="preserve">dPA </w:t>
      </w:r>
      <w:r>
        <w:rPr>
          <w:rFonts w:ascii="Gill Sans MT" w:hAnsi="Gill Sans MT"/>
          <w:color w:val="231F20"/>
          <w:w w:val="110"/>
          <w:sz w:val="18"/>
        </w:rPr>
        <w:t>News Agency in Stuttgart receives the final communiqué from the kidnappers, saying that Schleyer has been executed. His</w:t>
      </w:r>
    </w:p>
    <w:p w14:paraId="5639CB1A" w14:textId="77777777" w:rsidR="002653E8" w:rsidRDefault="003115E3">
      <w:pPr>
        <w:spacing w:line="276" w:lineRule="auto"/>
        <w:ind w:left="200" w:right="1316"/>
        <w:rPr>
          <w:rFonts w:ascii="Gill Sans MT" w:hAnsi="Gill Sans MT"/>
          <w:sz w:val="18"/>
        </w:rPr>
      </w:pPr>
      <w:r>
        <w:rPr>
          <w:rFonts w:ascii="Gill Sans MT" w:hAnsi="Gill Sans MT"/>
          <w:color w:val="231F20"/>
          <w:w w:val="115"/>
          <w:sz w:val="18"/>
        </w:rPr>
        <w:t>body</w:t>
      </w:r>
      <w:r>
        <w:rPr>
          <w:rFonts w:ascii="Gill Sans MT" w:hAnsi="Gill Sans MT"/>
          <w:color w:val="231F20"/>
          <w:spacing w:val="-16"/>
          <w:w w:val="115"/>
          <w:sz w:val="18"/>
        </w:rPr>
        <w:t xml:space="preserve"> </w:t>
      </w:r>
      <w:r>
        <w:rPr>
          <w:rFonts w:ascii="Gill Sans MT" w:hAnsi="Gill Sans MT"/>
          <w:color w:val="231F20"/>
          <w:w w:val="115"/>
          <w:sz w:val="18"/>
        </w:rPr>
        <w:t>is</w:t>
      </w:r>
      <w:r>
        <w:rPr>
          <w:rFonts w:ascii="Gill Sans MT" w:hAnsi="Gill Sans MT"/>
          <w:color w:val="231F20"/>
          <w:spacing w:val="-16"/>
          <w:w w:val="115"/>
          <w:sz w:val="18"/>
        </w:rPr>
        <w:t xml:space="preserve"> </w:t>
      </w:r>
      <w:r>
        <w:rPr>
          <w:rFonts w:ascii="Gill Sans MT" w:hAnsi="Gill Sans MT"/>
          <w:color w:val="231F20"/>
          <w:w w:val="115"/>
          <w:sz w:val="18"/>
        </w:rPr>
        <w:t>found</w:t>
      </w:r>
      <w:r>
        <w:rPr>
          <w:rFonts w:ascii="Gill Sans MT" w:hAnsi="Gill Sans MT"/>
          <w:color w:val="231F20"/>
          <w:spacing w:val="-16"/>
          <w:w w:val="115"/>
          <w:sz w:val="18"/>
        </w:rPr>
        <w:t xml:space="preserve"> </w:t>
      </w:r>
      <w:r>
        <w:rPr>
          <w:rFonts w:ascii="Gill Sans MT" w:hAnsi="Gill Sans MT"/>
          <w:color w:val="231F20"/>
          <w:w w:val="115"/>
          <w:sz w:val="18"/>
        </w:rPr>
        <w:t>in</w:t>
      </w:r>
      <w:r>
        <w:rPr>
          <w:rFonts w:ascii="Gill Sans MT" w:hAnsi="Gill Sans MT"/>
          <w:color w:val="231F20"/>
          <w:spacing w:val="-16"/>
          <w:w w:val="115"/>
          <w:sz w:val="18"/>
        </w:rPr>
        <w:t xml:space="preserve"> </w:t>
      </w:r>
      <w:r>
        <w:rPr>
          <w:rFonts w:ascii="Gill Sans MT" w:hAnsi="Gill Sans MT"/>
          <w:color w:val="231F20"/>
          <w:w w:val="115"/>
          <w:sz w:val="18"/>
        </w:rPr>
        <w:t>the</w:t>
      </w:r>
      <w:r>
        <w:rPr>
          <w:rFonts w:ascii="Gill Sans MT" w:hAnsi="Gill Sans MT"/>
          <w:color w:val="231F20"/>
          <w:spacing w:val="-16"/>
          <w:w w:val="115"/>
          <w:sz w:val="18"/>
        </w:rPr>
        <w:t xml:space="preserve"> </w:t>
      </w:r>
      <w:r>
        <w:rPr>
          <w:rFonts w:ascii="Gill Sans MT" w:hAnsi="Gill Sans MT"/>
          <w:color w:val="231F20"/>
          <w:w w:val="115"/>
          <w:sz w:val="18"/>
        </w:rPr>
        <w:t>trunk</w:t>
      </w:r>
      <w:r>
        <w:rPr>
          <w:rFonts w:ascii="Gill Sans MT" w:hAnsi="Gill Sans MT"/>
          <w:color w:val="231F20"/>
          <w:spacing w:val="-16"/>
          <w:w w:val="115"/>
          <w:sz w:val="18"/>
        </w:rPr>
        <w:t xml:space="preserve"> </w:t>
      </w:r>
      <w:r>
        <w:rPr>
          <w:rFonts w:ascii="Gill Sans MT" w:hAnsi="Gill Sans MT"/>
          <w:color w:val="231F20"/>
          <w:w w:val="115"/>
          <w:sz w:val="18"/>
        </w:rPr>
        <w:t>of</w:t>
      </w:r>
      <w:r>
        <w:rPr>
          <w:rFonts w:ascii="Gill Sans MT" w:hAnsi="Gill Sans MT"/>
          <w:color w:val="231F20"/>
          <w:spacing w:val="-16"/>
          <w:w w:val="115"/>
          <w:sz w:val="18"/>
        </w:rPr>
        <w:t xml:space="preserve"> </w:t>
      </w:r>
      <w:r>
        <w:rPr>
          <w:rFonts w:ascii="Gill Sans MT" w:hAnsi="Gill Sans MT"/>
          <w:color w:val="231F20"/>
          <w:w w:val="115"/>
          <w:sz w:val="18"/>
        </w:rPr>
        <w:t>a</w:t>
      </w:r>
      <w:r>
        <w:rPr>
          <w:rFonts w:ascii="Gill Sans MT" w:hAnsi="Gill Sans MT"/>
          <w:color w:val="231F20"/>
          <w:spacing w:val="-16"/>
          <w:w w:val="115"/>
          <w:sz w:val="18"/>
        </w:rPr>
        <w:t xml:space="preserve"> </w:t>
      </w:r>
      <w:r>
        <w:rPr>
          <w:rFonts w:ascii="Gill Sans MT" w:hAnsi="Gill Sans MT"/>
          <w:color w:val="231F20"/>
          <w:w w:val="115"/>
          <w:sz w:val="18"/>
        </w:rPr>
        <w:t xml:space="preserve">green Audi </w:t>
      </w:r>
      <w:r>
        <w:rPr>
          <w:rFonts w:ascii="Arial" w:hAnsi="Arial"/>
          <w:color w:val="231F20"/>
          <w:w w:val="115"/>
          <w:sz w:val="18"/>
        </w:rPr>
        <w:t xml:space="preserve">100 </w:t>
      </w:r>
      <w:r>
        <w:rPr>
          <w:rFonts w:ascii="Gill Sans MT" w:hAnsi="Gill Sans MT"/>
          <w:color w:val="231F20"/>
          <w:w w:val="115"/>
          <w:sz w:val="18"/>
        </w:rPr>
        <w:t xml:space="preserve">in the border town of Mülhausen, France, just where the </w:t>
      </w:r>
      <w:r w:rsidR="00C507A5">
        <w:rPr>
          <w:rFonts w:ascii="Gill Sans MT" w:hAnsi="Gill Sans MT"/>
          <w:color w:val="231F20"/>
          <w:w w:val="115"/>
          <w:sz w:val="18"/>
        </w:rPr>
        <w:t>red army faction</w:t>
      </w:r>
      <w:r>
        <w:rPr>
          <w:rFonts w:ascii="Gill Sans MT" w:hAnsi="Gill Sans MT"/>
          <w:color w:val="231F20"/>
          <w:w w:val="115"/>
          <w:sz w:val="18"/>
        </w:rPr>
        <w:t xml:space="preserve"> said it would</w:t>
      </w:r>
      <w:r>
        <w:rPr>
          <w:rFonts w:ascii="Gill Sans MT" w:hAnsi="Gill Sans MT"/>
          <w:color w:val="231F20"/>
          <w:spacing w:val="-36"/>
          <w:w w:val="115"/>
          <w:sz w:val="18"/>
        </w:rPr>
        <w:t xml:space="preserve"> </w:t>
      </w:r>
      <w:r>
        <w:rPr>
          <w:rFonts w:ascii="Gill Sans MT" w:hAnsi="Gill Sans MT"/>
          <w:color w:val="231F20"/>
          <w:w w:val="115"/>
          <w:sz w:val="18"/>
        </w:rPr>
        <w:t>be.</w:t>
      </w:r>
    </w:p>
    <w:p w14:paraId="02319451" w14:textId="77777777" w:rsidR="002653E8" w:rsidRDefault="003115E3">
      <w:pPr>
        <w:spacing w:line="276" w:lineRule="auto"/>
        <w:ind w:left="200" w:right="1898"/>
        <w:rPr>
          <w:rFonts w:ascii="Gill Sans MT"/>
          <w:sz w:val="18"/>
        </w:rPr>
      </w:pPr>
      <w:r>
        <w:rPr>
          <w:rFonts w:ascii="Gill Sans MT"/>
          <w:color w:val="231F20"/>
          <w:w w:val="110"/>
          <w:sz w:val="18"/>
        </w:rPr>
        <w:t>Attorneys Otto Schily and Hans-Heinz Heldmann hold a</w:t>
      </w:r>
    </w:p>
    <w:p w14:paraId="4313A22B" w14:textId="77777777" w:rsidR="002653E8" w:rsidRDefault="002653E8">
      <w:pPr>
        <w:spacing w:line="276" w:lineRule="auto"/>
        <w:rPr>
          <w:rFonts w:ascii="Gill Sans MT"/>
          <w:sz w:val="18"/>
        </w:rPr>
        <w:sectPr w:rsidR="002653E8">
          <w:footerReference w:type="default" r:id="rId523"/>
          <w:pgSz w:w="8640" w:h="12960"/>
          <w:pgMar w:top="1060" w:right="0" w:bottom="280" w:left="0" w:header="0" w:footer="0" w:gutter="0"/>
          <w:cols w:num="2" w:space="720" w:equalWidth="0">
            <w:col w:w="4110" w:space="40"/>
            <w:col w:w="4490"/>
          </w:cols>
        </w:sectPr>
      </w:pPr>
    </w:p>
    <w:p w14:paraId="6341350C" w14:textId="77777777" w:rsidR="002653E8" w:rsidRDefault="002653E8">
      <w:pPr>
        <w:pStyle w:val="a3"/>
        <w:rPr>
          <w:rFonts w:ascii="Gill Sans MT"/>
        </w:rPr>
      </w:pPr>
    </w:p>
    <w:p w14:paraId="579CEDA4" w14:textId="77777777" w:rsidR="002653E8" w:rsidRDefault="002653E8">
      <w:pPr>
        <w:pStyle w:val="a3"/>
        <w:spacing w:before="11"/>
        <w:rPr>
          <w:rFonts w:ascii="Gill Sans MT"/>
          <w:sz w:val="29"/>
        </w:rPr>
      </w:pPr>
    </w:p>
    <w:p w14:paraId="3A559614" w14:textId="77777777" w:rsidR="002653E8" w:rsidRDefault="003115E3">
      <w:pPr>
        <w:tabs>
          <w:tab w:val="left" w:pos="3677"/>
        </w:tabs>
        <w:spacing w:before="97" w:line="244" w:lineRule="auto"/>
        <w:ind w:left="5567" w:right="1325" w:hanging="4420"/>
        <w:rPr>
          <w:sz w:val="18"/>
        </w:rPr>
      </w:pPr>
      <w:r>
        <w:rPr>
          <w:color w:val="231F20"/>
          <w:spacing w:val="15"/>
          <w:w w:val="110"/>
          <w:position w:val="5"/>
          <w:sz w:val="18"/>
        </w:rPr>
        <w:t>608</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20"/>
          <w:w w:val="110"/>
          <w:sz w:val="18"/>
        </w:rPr>
        <w:t xml:space="preserve">germany </w:t>
      </w:r>
      <w:r>
        <w:rPr>
          <w:color w:val="231F20"/>
          <w:spacing w:val="20"/>
          <w:w w:val="110"/>
          <w:sz w:val="18"/>
        </w:rPr>
        <w:lastRenderedPageBreak/>
        <w:t xml:space="preserve">october </w:t>
      </w:r>
      <w:r>
        <w:rPr>
          <w:color w:val="231F20"/>
          <w:spacing w:val="11"/>
          <w:w w:val="110"/>
          <w:sz w:val="18"/>
        </w:rPr>
        <w:t>2,</w:t>
      </w:r>
      <w:r>
        <w:rPr>
          <w:color w:val="231F20"/>
          <w:spacing w:val="35"/>
          <w:w w:val="110"/>
          <w:sz w:val="18"/>
        </w:rPr>
        <w:t xml:space="preserve"> </w:t>
      </w:r>
      <w:r>
        <w:rPr>
          <w:color w:val="231F20"/>
          <w:spacing w:val="17"/>
          <w:w w:val="110"/>
          <w:sz w:val="18"/>
        </w:rPr>
        <w:t>1977</w:t>
      </w:r>
      <w:r>
        <w:rPr>
          <w:color w:val="231F20"/>
          <w:spacing w:val="-15"/>
          <w:sz w:val="18"/>
        </w:rPr>
        <w:t xml:space="preserve"> </w:t>
      </w:r>
    </w:p>
    <w:p w14:paraId="006B4D85" w14:textId="77777777" w:rsidR="002653E8" w:rsidRDefault="002653E8">
      <w:pPr>
        <w:spacing w:line="244" w:lineRule="auto"/>
        <w:rPr>
          <w:sz w:val="18"/>
        </w:rPr>
        <w:sectPr w:rsidR="002653E8">
          <w:type w:val="continuous"/>
          <w:pgSz w:w="8640" w:h="12960"/>
          <w:pgMar w:top="0" w:right="0" w:bottom="0" w:left="0" w:header="720" w:footer="720" w:gutter="0"/>
          <w:cols w:space="720"/>
        </w:sectPr>
      </w:pPr>
    </w:p>
    <w:p w14:paraId="2F898909" w14:textId="77777777" w:rsidR="002653E8" w:rsidRDefault="003115E3">
      <w:pPr>
        <w:spacing w:before="92" w:line="276" w:lineRule="auto"/>
        <w:ind w:left="1327" w:right="183"/>
        <w:jc w:val="both"/>
        <w:rPr>
          <w:rFonts w:ascii="Gill Sans MT" w:hAnsi="Gill Sans MT"/>
          <w:sz w:val="18"/>
        </w:rPr>
      </w:pPr>
      <w:r>
        <w:rPr>
          <w:rFonts w:ascii="Gill Sans MT" w:hAnsi="Gill Sans MT"/>
          <w:color w:val="231F20"/>
          <w:w w:val="110"/>
          <w:sz w:val="18"/>
        </w:rPr>
        <w:lastRenderedPageBreak/>
        <w:t>press conference to denounce the state’s suicide story regarding the prisoners.</w:t>
      </w:r>
    </w:p>
    <w:p w14:paraId="4A5AEE12" w14:textId="77777777" w:rsidR="002653E8" w:rsidRDefault="002653E8">
      <w:pPr>
        <w:pStyle w:val="a3"/>
        <w:spacing w:before="7"/>
        <w:rPr>
          <w:rFonts w:ascii="Gill Sans MT"/>
        </w:rPr>
      </w:pPr>
    </w:p>
    <w:p w14:paraId="1D6BF8AD" w14:textId="77777777" w:rsidR="002653E8" w:rsidRDefault="003115E3">
      <w:pPr>
        <w:ind w:left="1327"/>
        <w:rPr>
          <w:rFonts w:ascii="Arial"/>
          <w:b/>
          <w:sz w:val="18"/>
        </w:rPr>
      </w:pPr>
      <w:r>
        <w:rPr>
          <w:rFonts w:ascii="Arial"/>
          <w:b/>
          <w:color w:val="231F20"/>
          <w:w w:val="115"/>
          <w:sz w:val="18"/>
        </w:rPr>
        <w:t>October 20, 1977</w:t>
      </w:r>
    </w:p>
    <w:p w14:paraId="522FD59F" w14:textId="77777777" w:rsidR="002653E8" w:rsidRDefault="003115E3">
      <w:pPr>
        <w:spacing w:before="34"/>
        <w:ind w:left="1327"/>
        <w:rPr>
          <w:rFonts w:ascii="Gill Sans MT"/>
          <w:sz w:val="18"/>
        </w:rPr>
      </w:pPr>
      <w:r>
        <w:rPr>
          <w:rFonts w:ascii="Gill Sans MT"/>
          <w:color w:val="231F20"/>
          <w:w w:val="110"/>
          <w:sz w:val="18"/>
        </w:rPr>
        <w:t>The Contact Ban is lifted.</w:t>
      </w:r>
    </w:p>
    <w:p w14:paraId="10230743" w14:textId="77777777" w:rsidR="002653E8" w:rsidRDefault="002653E8">
      <w:pPr>
        <w:pStyle w:val="a3"/>
        <w:spacing w:before="3"/>
        <w:rPr>
          <w:rFonts w:ascii="Gill Sans MT"/>
          <w:sz w:val="23"/>
        </w:rPr>
      </w:pPr>
    </w:p>
    <w:p w14:paraId="2ADA484B" w14:textId="77777777" w:rsidR="002653E8" w:rsidRDefault="003115E3">
      <w:pPr>
        <w:ind w:left="1327"/>
        <w:rPr>
          <w:rFonts w:ascii="Arial"/>
          <w:b/>
          <w:sz w:val="18"/>
        </w:rPr>
      </w:pPr>
      <w:r>
        <w:rPr>
          <w:rFonts w:ascii="Arial"/>
          <w:b/>
          <w:color w:val="231F20"/>
          <w:w w:val="115"/>
          <w:sz w:val="18"/>
        </w:rPr>
        <w:t>October 27, 1977</w:t>
      </w:r>
    </w:p>
    <w:p w14:paraId="13142C82" w14:textId="77777777" w:rsidR="002653E8" w:rsidRDefault="003115E3">
      <w:pPr>
        <w:spacing w:before="35" w:line="276" w:lineRule="auto"/>
        <w:ind w:left="1327" w:right="14"/>
        <w:rPr>
          <w:rFonts w:ascii="Gill Sans MT" w:hAnsi="Gill Sans MT"/>
          <w:sz w:val="18"/>
        </w:rPr>
      </w:pPr>
      <w:r>
        <w:rPr>
          <w:rFonts w:ascii="Gill Sans MT" w:hAnsi="Gill Sans MT"/>
          <w:color w:val="231F20"/>
          <w:w w:val="110"/>
          <w:sz w:val="18"/>
        </w:rPr>
        <w:t>Ensslin’s parents bury Gudrun Ensslin, Jan-Carl Raspe,  and Andreas Baader in Stuttgart. Several hundred supporters attend the funeral.</w:t>
      </w:r>
    </w:p>
    <w:p w14:paraId="07FC20BE" w14:textId="77777777" w:rsidR="002653E8" w:rsidRDefault="002653E8">
      <w:pPr>
        <w:pStyle w:val="a3"/>
        <w:spacing w:before="6"/>
        <w:rPr>
          <w:rFonts w:ascii="Gill Sans MT"/>
        </w:rPr>
      </w:pPr>
    </w:p>
    <w:p w14:paraId="6E80BE43" w14:textId="77777777" w:rsidR="002653E8" w:rsidRDefault="003115E3">
      <w:pPr>
        <w:ind w:left="1327"/>
        <w:rPr>
          <w:rFonts w:ascii="Arial"/>
          <w:b/>
          <w:sz w:val="18"/>
        </w:rPr>
      </w:pPr>
      <w:r>
        <w:rPr>
          <w:rFonts w:ascii="Arial"/>
          <w:b/>
          <w:color w:val="231F20"/>
          <w:w w:val="115"/>
          <w:sz w:val="18"/>
        </w:rPr>
        <w:t>November 2, 1977</w:t>
      </w:r>
    </w:p>
    <w:p w14:paraId="5C0FF4BE" w14:textId="77777777" w:rsidR="002653E8" w:rsidRDefault="003115E3">
      <w:pPr>
        <w:spacing w:before="34" w:line="276" w:lineRule="auto"/>
        <w:ind w:left="1327" w:right="-18"/>
        <w:rPr>
          <w:rFonts w:ascii="Gill Sans MT" w:hAnsi="Gill Sans MT"/>
          <w:sz w:val="18"/>
        </w:rPr>
      </w:pPr>
      <w:r>
        <w:rPr>
          <w:rFonts w:ascii="Gill Sans MT" w:hAnsi="Gill Sans MT"/>
          <w:color w:val="231F20"/>
          <w:w w:val="110"/>
          <w:sz w:val="18"/>
        </w:rPr>
        <w:t>At Klaus Croissant’s extradition trial in Paris, fifteen attorneys from all over West Europe plead that he not be extradited.</w:t>
      </w:r>
    </w:p>
    <w:p w14:paraId="6B2D0625" w14:textId="77777777" w:rsidR="002653E8" w:rsidRDefault="002653E8">
      <w:pPr>
        <w:pStyle w:val="a3"/>
        <w:spacing w:before="6"/>
        <w:rPr>
          <w:rFonts w:ascii="Gill Sans MT"/>
        </w:rPr>
      </w:pPr>
    </w:p>
    <w:p w14:paraId="3951B393" w14:textId="77777777" w:rsidR="002653E8" w:rsidRDefault="003115E3">
      <w:pPr>
        <w:spacing w:before="1"/>
        <w:ind w:left="1327"/>
        <w:rPr>
          <w:rFonts w:ascii="Arial" w:hAnsi="Arial"/>
          <w:b/>
          <w:sz w:val="18"/>
        </w:rPr>
      </w:pPr>
      <w:r>
        <w:rPr>
          <w:rFonts w:ascii="Arial" w:hAnsi="Arial"/>
          <w:b/>
          <w:color w:val="231F20"/>
          <w:w w:val="115"/>
          <w:sz w:val="18"/>
        </w:rPr>
        <w:t>November 9–13, 1977</w:t>
      </w:r>
    </w:p>
    <w:p w14:paraId="0E62EB3E" w14:textId="77777777" w:rsidR="002653E8" w:rsidRDefault="003115E3">
      <w:pPr>
        <w:spacing w:before="35" w:line="276" w:lineRule="auto"/>
        <w:ind w:left="1327" w:right="-2"/>
        <w:rPr>
          <w:rFonts w:ascii="Gill Sans MT"/>
          <w:sz w:val="18"/>
        </w:rPr>
      </w:pPr>
      <w:r>
        <w:rPr>
          <w:rFonts w:ascii="Gill Sans MT"/>
          <w:color w:val="231F20"/>
          <w:w w:val="110"/>
          <w:sz w:val="18"/>
        </w:rPr>
        <w:t xml:space="preserve">The 2JM kidnaps industrialist Walter Palmers in Vienna. He is released in exchange for a ransom of thirty-one million shillings, which was divided amongst the 2JM, the </w:t>
      </w:r>
      <w:r w:rsidR="00C507A5">
        <w:rPr>
          <w:rFonts w:ascii="Gill Sans MT"/>
          <w:color w:val="231F20"/>
          <w:w w:val="110"/>
          <w:sz w:val="18"/>
        </w:rPr>
        <w:t>red army faction</w:t>
      </w:r>
      <w:r>
        <w:rPr>
          <w:rFonts w:ascii="Gill Sans MT"/>
          <w:color w:val="231F20"/>
          <w:w w:val="110"/>
          <w:sz w:val="18"/>
        </w:rPr>
        <w:t>, and a Palestinian group.</w:t>
      </w:r>
    </w:p>
    <w:p w14:paraId="03E75F07" w14:textId="77777777" w:rsidR="002653E8" w:rsidRDefault="002653E8">
      <w:pPr>
        <w:pStyle w:val="a3"/>
        <w:spacing w:before="6"/>
        <w:rPr>
          <w:rFonts w:ascii="Gill Sans MT"/>
        </w:rPr>
      </w:pPr>
    </w:p>
    <w:p w14:paraId="5E35372E" w14:textId="77777777" w:rsidR="002653E8" w:rsidRDefault="003115E3">
      <w:pPr>
        <w:ind w:left="1327"/>
        <w:rPr>
          <w:rFonts w:ascii="Arial"/>
          <w:b/>
          <w:sz w:val="18"/>
        </w:rPr>
      </w:pPr>
      <w:r>
        <w:rPr>
          <w:rFonts w:ascii="Arial"/>
          <w:b/>
          <w:color w:val="231F20"/>
          <w:w w:val="115"/>
          <w:sz w:val="18"/>
        </w:rPr>
        <w:t>November 11, 1977</w:t>
      </w:r>
    </w:p>
    <w:p w14:paraId="3A92BCEC" w14:textId="77777777" w:rsidR="002653E8" w:rsidRDefault="00C507A5">
      <w:pPr>
        <w:spacing w:before="34" w:line="276" w:lineRule="auto"/>
        <w:ind w:left="1327" w:right="-18"/>
        <w:rPr>
          <w:rFonts w:ascii="Gill Sans MT"/>
          <w:sz w:val="18"/>
        </w:rPr>
      </w:pPr>
      <w:r>
        <w:rPr>
          <w:rFonts w:ascii="Gill Sans MT"/>
          <w:color w:val="231F20"/>
          <w:w w:val="110"/>
          <w:sz w:val="18"/>
        </w:rPr>
        <w:t>red army faction</w:t>
      </w:r>
      <w:r w:rsidR="003115E3">
        <w:rPr>
          <w:rFonts w:ascii="Gill Sans MT"/>
          <w:color w:val="231F20"/>
          <w:w w:val="110"/>
          <w:sz w:val="18"/>
        </w:rPr>
        <w:t xml:space="preserve"> members Christof</w:t>
      </w:r>
      <w:r w:rsidR="003115E3">
        <w:rPr>
          <w:rFonts w:ascii="Gill Sans MT"/>
          <w:color w:val="231F20"/>
          <w:spacing w:val="-42"/>
          <w:w w:val="110"/>
          <w:sz w:val="18"/>
        </w:rPr>
        <w:t xml:space="preserve"> </w:t>
      </w:r>
      <w:r w:rsidR="003115E3">
        <w:rPr>
          <w:rFonts w:ascii="Gill Sans MT"/>
          <w:color w:val="231F20"/>
          <w:w w:val="110"/>
          <w:sz w:val="18"/>
        </w:rPr>
        <w:t>Wackernagel and Gerd Schneider are arrested in Amsterdam. A year later they will</w:t>
      </w:r>
      <w:r w:rsidR="003115E3">
        <w:rPr>
          <w:rFonts w:ascii="Gill Sans MT"/>
          <w:color w:val="231F20"/>
          <w:spacing w:val="-25"/>
          <w:w w:val="110"/>
          <w:sz w:val="18"/>
        </w:rPr>
        <w:t xml:space="preserve"> </w:t>
      </w:r>
      <w:r w:rsidR="003115E3">
        <w:rPr>
          <w:rFonts w:ascii="Gill Sans MT"/>
          <w:color w:val="231F20"/>
          <w:w w:val="110"/>
          <w:sz w:val="18"/>
        </w:rPr>
        <w:t xml:space="preserve">be extradited to </w:t>
      </w:r>
      <w:r w:rsidR="003115E3">
        <w:rPr>
          <w:rFonts w:ascii="Gill Sans MT"/>
          <w:color w:val="231F20"/>
          <w:spacing w:val="-3"/>
          <w:w w:val="110"/>
          <w:sz w:val="18"/>
        </w:rPr>
        <w:t>West</w:t>
      </w:r>
      <w:r w:rsidR="003115E3">
        <w:rPr>
          <w:rFonts w:ascii="Gill Sans MT"/>
          <w:color w:val="231F20"/>
          <w:spacing w:val="-23"/>
          <w:w w:val="110"/>
          <w:sz w:val="18"/>
        </w:rPr>
        <w:t xml:space="preserve"> </w:t>
      </w:r>
      <w:r w:rsidR="003115E3">
        <w:rPr>
          <w:rFonts w:ascii="Gill Sans MT"/>
          <w:color w:val="231F20"/>
          <w:w w:val="110"/>
          <w:sz w:val="18"/>
        </w:rPr>
        <w:t>Germany.</w:t>
      </w:r>
    </w:p>
    <w:p w14:paraId="2A668214" w14:textId="77777777" w:rsidR="002653E8" w:rsidRDefault="002653E8">
      <w:pPr>
        <w:pStyle w:val="a3"/>
        <w:spacing w:before="6"/>
        <w:rPr>
          <w:rFonts w:ascii="Gill Sans MT"/>
        </w:rPr>
      </w:pPr>
    </w:p>
    <w:p w14:paraId="3998F2A9" w14:textId="77777777" w:rsidR="002653E8" w:rsidRDefault="003115E3">
      <w:pPr>
        <w:spacing w:before="1"/>
        <w:ind w:left="1327"/>
        <w:rPr>
          <w:rFonts w:ascii="Arial"/>
          <w:b/>
          <w:sz w:val="18"/>
        </w:rPr>
      </w:pPr>
      <w:r>
        <w:rPr>
          <w:rFonts w:ascii="Arial"/>
          <w:b/>
          <w:color w:val="231F20"/>
          <w:w w:val="115"/>
          <w:sz w:val="18"/>
        </w:rPr>
        <w:t>November 12, 1977</w:t>
      </w:r>
    </w:p>
    <w:p w14:paraId="3BA21C7B" w14:textId="77777777" w:rsidR="002653E8" w:rsidRDefault="00C507A5">
      <w:pPr>
        <w:spacing w:before="34" w:line="276" w:lineRule="auto"/>
        <w:ind w:left="1327" w:right="167"/>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Ingrid Schubert, one of eleven prisoners demanded in exchange for Schleyer, is found hanged in her cell in Munich.</w:t>
      </w:r>
    </w:p>
    <w:p w14:paraId="552B616A" w14:textId="77777777" w:rsidR="002653E8" w:rsidRDefault="003115E3">
      <w:pPr>
        <w:spacing w:line="276" w:lineRule="auto"/>
        <w:ind w:left="1327"/>
        <w:rPr>
          <w:rFonts w:ascii="Gill Sans MT"/>
          <w:sz w:val="18"/>
        </w:rPr>
      </w:pPr>
      <w:r>
        <w:rPr>
          <w:rFonts w:ascii="Gill Sans MT"/>
          <w:color w:val="231F20"/>
          <w:w w:val="110"/>
          <w:sz w:val="18"/>
        </w:rPr>
        <w:t>The state claims it is suicide but supporters believe it is a murder.</w:t>
      </w:r>
    </w:p>
    <w:p w14:paraId="7C450B54" w14:textId="77777777" w:rsidR="002653E8" w:rsidRDefault="003115E3">
      <w:pPr>
        <w:spacing w:before="91"/>
        <w:ind w:left="217"/>
        <w:rPr>
          <w:rFonts w:ascii="Arial"/>
          <w:b/>
          <w:sz w:val="18"/>
        </w:rPr>
      </w:pPr>
      <w:r>
        <w:br w:type="column"/>
      </w:r>
      <w:r>
        <w:rPr>
          <w:rFonts w:ascii="Arial"/>
          <w:b/>
          <w:color w:val="231F20"/>
          <w:w w:val="115"/>
          <w:sz w:val="18"/>
        </w:rPr>
        <w:t>November 16, 1977</w:t>
      </w:r>
    </w:p>
    <w:p w14:paraId="7FD07DF6" w14:textId="77777777" w:rsidR="002653E8" w:rsidRDefault="003115E3">
      <w:pPr>
        <w:spacing w:before="34" w:line="276" w:lineRule="auto"/>
        <w:ind w:left="217" w:right="1049"/>
        <w:rPr>
          <w:rFonts w:ascii="Gill Sans MT"/>
          <w:sz w:val="18"/>
        </w:rPr>
      </w:pPr>
      <w:r>
        <w:rPr>
          <w:rFonts w:ascii="Gill Sans MT"/>
          <w:color w:val="231F20"/>
          <w:w w:val="110"/>
          <w:sz w:val="18"/>
        </w:rPr>
        <w:t>The French Court of Appeals rules that Klaus Croissant be extradited to West Germany.</w:t>
      </w:r>
    </w:p>
    <w:p w14:paraId="7C7D4EA9" w14:textId="77777777" w:rsidR="002653E8" w:rsidRDefault="002653E8">
      <w:pPr>
        <w:pStyle w:val="a3"/>
        <w:spacing w:before="6"/>
        <w:rPr>
          <w:rFonts w:ascii="Gill Sans MT"/>
        </w:rPr>
      </w:pPr>
    </w:p>
    <w:p w14:paraId="6E3F92D1" w14:textId="77777777" w:rsidR="002653E8" w:rsidRDefault="003115E3">
      <w:pPr>
        <w:ind w:left="217"/>
        <w:rPr>
          <w:rFonts w:ascii="Arial"/>
          <w:b/>
          <w:sz w:val="18"/>
        </w:rPr>
      </w:pPr>
      <w:r>
        <w:rPr>
          <w:rFonts w:ascii="Arial"/>
          <w:b/>
          <w:color w:val="231F20"/>
          <w:w w:val="115"/>
          <w:sz w:val="18"/>
        </w:rPr>
        <w:t>November 17, 1977</w:t>
      </w:r>
    </w:p>
    <w:p w14:paraId="17F04BA6" w14:textId="77777777" w:rsidR="002653E8" w:rsidRDefault="003115E3">
      <w:pPr>
        <w:spacing w:before="35" w:line="276" w:lineRule="auto"/>
        <w:ind w:left="217" w:right="1450"/>
        <w:rPr>
          <w:rFonts w:ascii="Gill Sans MT"/>
          <w:sz w:val="18"/>
        </w:rPr>
      </w:pPr>
      <w:r>
        <w:rPr>
          <w:rFonts w:ascii="Gill Sans MT"/>
          <w:color w:val="231F20"/>
          <w:w w:val="110"/>
          <w:sz w:val="18"/>
        </w:rPr>
        <w:t>Klaus Croissant is extradited from France to West Germany and immediately imprisoned in Stammheim.</w:t>
      </w:r>
    </w:p>
    <w:p w14:paraId="7892CC2F" w14:textId="77777777" w:rsidR="002653E8" w:rsidRDefault="002653E8">
      <w:pPr>
        <w:pStyle w:val="a3"/>
        <w:spacing w:before="6"/>
        <w:rPr>
          <w:rFonts w:ascii="Gill Sans MT"/>
        </w:rPr>
      </w:pPr>
    </w:p>
    <w:p w14:paraId="32B01FB6" w14:textId="77777777" w:rsidR="002653E8" w:rsidRDefault="003115E3">
      <w:pPr>
        <w:ind w:left="217"/>
        <w:rPr>
          <w:rFonts w:ascii="Arial"/>
          <w:b/>
          <w:sz w:val="18"/>
        </w:rPr>
      </w:pPr>
      <w:r>
        <w:rPr>
          <w:rFonts w:ascii="Arial"/>
          <w:b/>
          <w:color w:val="231F20"/>
          <w:w w:val="115"/>
          <w:sz w:val="18"/>
        </w:rPr>
        <w:t>November 19, 1977</w:t>
      </w:r>
    </w:p>
    <w:p w14:paraId="29BD4DAE" w14:textId="77777777" w:rsidR="002653E8" w:rsidRDefault="00C507A5">
      <w:pPr>
        <w:spacing w:before="35" w:line="276" w:lineRule="auto"/>
        <w:ind w:left="217" w:right="1197"/>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prisoner Irmgard Möller begins a hunger strike for association with </w:t>
      </w:r>
      <w:r>
        <w:rPr>
          <w:rFonts w:ascii="Gill Sans MT" w:hAnsi="Gill Sans MT"/>
          <w:color w:val="231F20"/>
          <w:w w:val="110"/>
          <w:sz w:val="18"/>
        </w:rPr>
        <w:t>red army faction</w:t>
      </w:r>
      <w:r w:rsidR="003115E3">
        <w:rPr>
          <w:rFonts w:ascii="Gill Sans MT" w:hAnsi="Gill Sans MT"/>
          <w:color w:val="231F20"/>
          <w:w w:val="110"/>
          <w:sz w:val="18"/>
        </w:rPr>
        <w:t xml:space="preserve"> prisoner Verena Becker.</w:t>
      </w:r>
    </w:p>
    <w:p w14:paraId="5E59C767" w14:textId="77777777" w:rsidR="002653E8" w:rsidRDefault="002653E8">
      <w:pPr>
        <w:pStyle w:val="a3"/>
        <w:spacing w:before="6"/>
        <w:rPr>
          <w:rFonts w:ascii="Gill Sans MT"/>
        </w:rPr>
      </w:pPr>
    </w:p>
    <w:p w14:paraId="3543A74A" w14:textId="77777777" w:rsidR="002653E8" w:rsidRDefault="003115E3">
      <w:pPr>
        <w:spacing w:before="1"/>
        <w:ind w:left="217"/>
        <w:rPr>
          <w:rFonts w:ascii="Arial"/>
          <w:b/>
          <w:sz w:val="18"/>
        </w:rPr>
      </w:pPr>
      <w:r>
        <w:rPr>
          <w:rFonts w:ascii="Arial"/>
          <w:b/>
          <w:color w:val="231F20"/>
          <w:w w:val="115"/>
          <w:sz w:val="18"/>
        </w:rPr>
        <w:t>November 28, 1977</w:t>
      </w:r>
    </w:p>
    <w:p w14:paraId="7F7598CC" w14:textId="77777777" w:rsidR="002653E8" w:rsidRDefault="003115E3">
      <w:pPr>
        <w:spacing w:before="34" w:line="276" w:lineRule="auto"/>
        <w:ind w:left="217" w:right="1450"/>
        <w:rPr>
          <w:rFonts w:ascii="Gill Sans MT"/>
          <w:sz w:val="18"/>
        </w:rPr>
      </w:pPr>
      <w:r>
        <w:rPr>
          <w:rFonts w:ascii="Gill Sans MT"/>
          <w:color w:val="231F20"/>
          <w:w w:val="115"/>
          <w:sz w:val="18"/>
        </w:rPr>
        <w:t>The</w:t>
      </w:r>
      <w:r>
        <w:rPr>
          <w:rFonts w:ascii="Gill Sans MT"/>
          <w:color w:val="231F20"/>
          <w:spacing w:val="-28"/>
          <w:w w:val="115"/>
          <w:sz w:val="18"/>
        </w:rPr>
        <w:t xml:space="preserve"> </w:t>
      </w:r>
      <w:r>
        <w:rPr>
          <w:rFonts w:ascii="Gill Sans MT"/>
          <w:color w:val="231F20"/>
          <w:w w:val="115"/>
          <w:sz w:val="18"/>
        </w:rPr>
        <w:t>trial</w:t>
      </w:r>
      <w:r>
        <w:rPr>
          <w:rFonts w:ascii="Gill Sans MT"/>
          <w:color w:val="231F20"/>
          <w:spacing w:val="-28"/>
          <w:w w:val="115"/>
          <w:sz w:val="18"/>
        </w:rPr>
        <w:t xml:space="preserve"> </w:t>
      </w:r>
      <w:r>
        <w:rPr>
          <w:rFonts w:ascii="Gill Sans MT"/>
          <w:color w:val="231F20"/>
          <w:w w:val="115"/>
          <w:sz w:val="18"/>
        </w:rPr>
        <w:t>of</w:t>
      </w:r>
      <w:r>
        <w:rPr>
          <w:rFonts w:ascii="Gill Sans MT"/>
          <w:color w:val="231F20"/>
          <w:spacing w:val="-28"/>
          <w:w w:val="115"/>
          <w:sz w:val="18"/>
        </w:rPr>
        <w:t xml:space="preserve"> </w:t>
      </w:r>
      <w:r w:rsidR="00C507A5">
        <w:rPr>
          <w:rFonts w:ascii="Gill Sans MT"/>
          <w:color w:val="231F20"/>
          <w:w w:val="115"/>
          <w:sz w:val="18"/>
        </w:rPr>
        <w:t>red army faction</w:t>
      </w:r>
      <w:r>
        <w:rPr>
          <w:rFonts w:ascii="Gill Sans MT"/>
          <w:color w:val="231F20"/>
          <w:spacing w:val="-28"/>
          <w:w w:val="115"/>
          <w:sz w:val="18"/>
        </w:rPr>
        <w:t xml:space="preserve"> </w:t>
      </w:r>
      <w:r>
        <w:rPr>
          <w:rFonts w:ascii="Gill Sans MT"/>
          <w:color w:val="231F20"/>
          <w:w w:val="115"/>
          <w:sz w:val="18"/>
        </w:rPr>
        <w:t>member</w:t>
      </w:r>
      <w:r>
        <w:rPr>
          <w:rFonts w:ascii="Gill Sans MT"/>
          <w:color w:val="231F20"/>
          <w:spacing w:val="-28"/>
          <w:w w:val="115"/>
          <w:sz w:val="18"/>
        </w:rPr>
        <w:t xml:space="preserve"> </w:t>
      </w:r>
      <w:r>
        <w:rPr>
          <w:rFonts w:ascii="Gill Sans MT"/>
          <w:color w:val="231F20"/>
          <w:spacing w:val="-3"/>
          <w:w w:val="115"/>
          <w:sz w:val="18"/>
        </w:rPr>
        <w:t xml:space="preserve">Verena </w:t>
      </w:r>
      <w:r>
        <w:rPr>
          <w:rFonts w:ascii="Gill Sans MT"/>
          <w:color w:val="231F20"/>
          <w:w w:val="115"/>
          <w:sz w:val="18"/>
        </w:rPr>
        <w:t>Becker begins. She is charged with</w:t>
      </w:r>
      <w:r>
        <w:rPr>
          <w:rFonts w:ascii="Gill Sans MT"/>
          <w:color w:val="231F20"/>
          <w:spacing w:val="-38"/>
          <w:w w:val="115"/>
          <w:sz w:val="18"/>
        </w:rPr>
        <w:t xml:space="preserve"> </w:t>
      </w:r>
      <w:r>
        <w:rPr>
          <w:rFonts w:ascii="Gill Sans MT"/>
          <w:color w:val="231F20"/>
          <w:w w:val="115"/>
          <w:sz w:val="18"/>
        </w:rPr>
        <w:t>attempted</w:t>
      </w:r>
      <w:r>
        <w:rPr>
          <w:rFonts w:ascii="Gill Sans MT"/>
          <w:color w:val="231F20"/>
          <w:spacing w:val="-38"/>
          <w:w w:val="115"/>
          <w:sz w:val="18"/>
        </w:rPr>
        <w:t xml:space="preserve"> </w:t>
      </w:r>
      <w:r>
        <w:rPr>
          <w:rFonts w:ascii="Gill Sans MT"/>
          <w:color w:val="231F20"/>
          <w:spacing w:val="-3"/>
          <w:w w:val="115"/>
          <w:sz w:val="18"/>
        </w:rPr>
        <w:t>murder,</w:t>
      </w:r>
      <w:r>
        <w:rPr>
          <w:rFonts w:ascii="Gill Sans MT"/>
          <w:color w:val="231F20"/>
          <w:spacing w:val="-38"/>
          <w:w w:val="115"/>
          <w:sz w:val="18"/>
        </w:rPr>
        <w:t xml:space="preserve"> </w:t>
      </w:r>
      <w:r>
        <w:rPr>
          <w:rFonts w:ascii="Gill Sans MT"/>
          <w:color w:val="231F20"/>
          <w:spacing w:val="-3"/>
          <w:w w:val="115"/>
          <w:sz w:val="18"/>
        </w:rPr>
        <w:t xml:space="preserve">robbery, </w:t>
      </w:r>
      <w:r>
        <w:rPr>
          <w:rFonts w:ascii="Gill Sans MT"/>
          <w:color w:val="231F20"/>
          <w:w w:val="115"/>
          <w:sz w:val="18"/>
        </w:rPr>
        <w:t>and membership in a terrorist organization.</w:t>
      </w:r>
    </w:p>
    <w:p w14:paraId="5D73BEEC" w14:textId="77777777" w:rsidR="002653E8" w:rsidRDefault="002653E8">
      <w:pPr>
        <w:pStyle w:val="a3"/>
        <w:spacing w:before="6"/>
        <w:rPr>
          <w:rFonts w:ascii="Gill Sans MT"/>
        </w:rPr>
      </w:pPr>
    </w:p>
    <w:p w14:paraId="3C704478" w14:textId="77777777" w:rsidR="002653E8" w:rsidRDefault="003115E3">
      <w:pPr>
        <w:ind w:left="217"/>
        <w:rPr>
          <w:rFonts w:ascii="Arial"/>
          <w:b/>
          <w:sz w:val="18"/>
        </w:rPr>
      </w:pPr>
      <w:r>
        <w:rPr>
          <w:rFonts w:ascii="Arial"/>
          <w:b/>
          <w:color w:val="231F20"/>
          <w:w w:val="115"/>
          <w:sz w:val="18"/>
        </w:rPr>
        <w:t>December 20, 1977</w:t>
      </w:r>
    </w:p>
    <w:p w14:paraId="39FF762D" w14:textId="77777777" w:rsidR="002653E8" w:rsidRDefault="003115E3">
      <w:pPr>
        <w:spacing w:before="35" w:line="276" w:lineRule="auto"/>
        <w:ind w:left="217" w:right="1049"/>
        <w:rPr>
          <w:rFonts w:ascii="Gill Sans MT"/>
          <w:sz w:val="18"/>
        </w:rPr>
      </w:pPr>
      <w:r>
        <w:rPr>
          <w:rFonts w:ascii="Gill Sans MT"/>
          <w:color w:val="231F20"/>
          <w:w w:val="110"/>
          <w:sz w:val="18"/>
        </w:rPr>
        <w:t xml:space="preserve">In utrecht, Holland, </w:t>
      </w:r>
      <w:r w:rsidR="00C507A5">
        <w:rPr>
          <w:rFonts w:ascii="Gill Sans MT"/>
          <w:color w:val="231F20"/>
          <w:w w:val="110"/>
          <w:sz w:val="18"/>
        </w:rPr>
        <w:t>red army faction</w:t>
      </w:r>
      <w:r>
        <w:rPr>
          <w:rFonts w:ascii="Gill Sans MT"/>
          <w:color w:val="231F20"/>
          <w:w w:val="110"/>
          <w:sz w:val="18"/>
        </w:rPr>
        <w:t xml:space="preserve"> member Knut Folkerts is sentenced to twenty years in prison. He is later extradited to West Germany.</w:t>
      </w:r>
    </w:p>
    <w:p w14:paraId="18657A3C" w14:textId="77777777" w:rsidR="002653E8" w:rsidRDefault="002653E8">
      <w:pPr>
        <w:pStyle w:val="a3"/>
        <w:spacing w:before="6"/>
        <w:rPr>
          <w:rFonts w:ascii="Gill Sans MT"/>
        </w:rPr>
      </w:pPr>
    </w:p>
    <w:p w14:paraId="080F1A21" w14:textId="77777777" w:rsidR="002653E8" w:rsidRDefault="003115E3">
      <w:pPr>
        <w:ind w:left="217"/>
        <w:rPr>
          <w:rFonts w:ascii="Arial"/>
          <w:b/>
          <w:sz w:val="18"/>
        </w:rPr>
      </w:pPr>
      <w:r>
        <w:rPr>
          <w:rFonts w:ascii="Arial"/>
          <w:b/>
          <w:color w:val="231F20"/>
          <w:w w:val="115"/>
          <w:sz w:val="18"/>
        </w:rPr>
        <w:t>December 28, 1977</w:t>
      </w:r>
    </w:p>
    <w:p w14:paraId="466A1EA8" w14:textId="77777777" w:rsidR="002653E8" w:rsidRDefault="003115E3">
      <w:pPr>
        <w:spacing w:before="35" w:line="276" w:lineRule="auto"/>
        <w:ind w:left="217" w:right="1049"/>
        <w:rPr>
          <w:rFonts w:ascii="Gill Sans MT"/>
          <w:sz w:val="18"/>
        </w:rPr>
      </w:pPr>
      <w:r>
        <w:rPr>
          <w:rFonts w:ascii="Gill Sans MT"/>
          <w:color w:val="231F20"/>
          <w:w w:val="110"/>
          <w:sz w:val="18"/>
        </w:rPr>
        <w:t xml:space="preserve">The Stuttgart OLG sentences </w:t>
      </w:r>
      <w:r w:rsidR="00C507A5">
        <w:rPr>
          <w:rFonts w:ascii="Gill Sans MT"/>
          <w:color w:val="231F20"/>
          <w:w w:val="110"/>
          <w:sz w:val="18"/>
        </w:rPr>
        <w:t>red army faction</w:t>
      </w:r>
      <w:r>
        <w:rPr>
          <w:rFonts w:ascii="Gill Sans MT"/>
          <w:color w:val="231F20"/>
          <w:w w:val="110"/>
          <w:sz w:val="18"/>
        </w:rPr>
        <w:t xml:space="preserve"> member Verena Becker to life in prison.</w:t>
      </w:r>
    </w:p>
    <w:p w14:paraId="7026F57C" w14:textId="77777777" w:rsidR="002653E8" w:rsidRDefault="002653E8">
      <w:pPr>
        <w:pStyle w:val="a3"/>
        <w:rPr>
          <w:rFonts w:ascii="Gill Sans MT"/>
        </w:rPr>
      </w:pPr>
    </w:p>
    <w:p w14:paraId="21A489D0" w14:textId="77777777" w:rsidR="002653E8" w:rsidRDefault="002653E8">
      <w:pPr>
        <w:pStyle w:val="a3"/>
        <w:rPr>
          <w:rFonts w:ascii="Gill Sans MT"/>
        </w:rPr>
      </w:pPr>
    </w:p>
    <w:p w14:paraId="4047BC77" w14:textId="77777777" w:rsidR="002653E8" w:rsidRDefault="003115E3">
      <w:pPr>
        <w:pStyle w:val="5"/>
        <w:spacing w:before="1"/>
        <w:ind w:left="217"/>
      </w:pPr>
      <w:r>
        <w:rPr>
          <w:color w:val="231F20"/>
          <w:w w:val="120"/>
        </w:rPr>
        <w:t>1978</w:t>
      </w:r>
    </w:p>
    <w:p w14:paraId="1B15FB26" w14:textId="77777777" w:rsidR="002653E8" w:rsidRDefault="003115E3">
      <w:pPr>
        <w:spacing w:before="11"/>
        <w:ind w:left="217"/>
        <w:rPr>
          <w:rFonts w:ascii="Arial"/>
          <w:b/>
          <w:sz w:val="18"/>
        </w:rPr>
      </w:pPr>
      <w:r>
        <w:rPr>
          <w:rFonts w:ascii="Arial"/>
          <w:b/>
          <w:color w:val="231F20"/>
          <w:w w:val="115"/>
          <w:sz w:val="18"/>
        </w:rPr>
        <w:t>January 18, 1978</w:t>
      </w:r>
    </w:p>
    <w:p w14:paraId="35509315" w14:textId="77777777" w:rsidR="002653E8" w:rsidRDefault="003115E3">
      <w:pPr>
        <w:spacing w:before="35" w:line="276" w:lineRule="auto"/>
        <w:ind w:left="217" w:right="1049"/>
        <w:rPr>
          <w:rFonts w:ascii="Gill Sans MT" w:hAnsi="Gill Sans MT"/>
          <w:sz w:val="18"/>
        </w:rPr>
      </w:pPr>
      <w:r>
        <w:rPr>
          <w:rFonts w:ascii="Gill Sans MT" w:hAnsi="Gill Sans MT"/>
          <w:color w:val="231F20"/>
          <w:w w:val="110"/>
          <w:sz w:val="18"/>
        </w:rPr>
        <w:t xml:space="preserve">The trial of attorney Kurt Groenewold on charges of helping organize the </w:t>
      </w:r>
      <w:r w:rsidR="00C507A5">
        <w:rPr>
          <w:rFonts w:ascii="Gill Sans MT" w:hAnsi="Gill Sans MT"/>
          <w:color w:val="231F20"/>
          <w:w w:val="110"/>
          <w:sz w:val="18"/>
        </w:rPr>
        <w:t>red army faction</w:t>
      </w:r>
      <w:r>
        <w:rPr>
          <w:rFonts w:ascii="Gill Sans MT" w:hAnsi="Gill Sans MT"/>
          <w:color w:val="231F20"/>
          <w:w w:val="110"/>
          <w:sz w:val="18"/>
        </w:rPr>
        <w:t xml:space="preserve"> prisoners’ illegal communications system begins in Hamburg.</w:t>
      </w:r>
    </w:p>
    <w:p w14:paraId="6F2761E5" w14:textId="77777777" w:rsidR="002653E8" w:rsidRDefault="002653E8">
      <w:pPr>
        <w:spacing w:line="276" w:lineRule="auto"/>
        <w:rPr>
          <w:rFonts w:ascii="Gill Sans MT" w:hAnsi="Gill Sans MT"/>
          <w:sz w:val="18"/>
        </w:rPr>
        <w:sectPr w:rsidR="002653E8">
          <w:footerReference w:type="even" r:id="rId524"/>
          <w:pgSz w:w="8640" w:h="12960"/>
          <w:pgMar w:top="1060" w:right="0" w:bottom="280" w:left="0" w:header="0" w:footer="0" w:gutter="0"/>
          <w:cols w:num="2" w:space="720" w:equalWidth="0">
            <w:col w:w="4273" w:space="40"/>
            <w:col w:w="4327"/>
          </w:cols>
        </w:sectPr>
      </w:pPr>
    </w:p>
    <w:p w14:paraId="54E38327" w14:textId="77777777" w:rsidR="002653E8" w:rsidRDefault="002653E8">
      <w:pPr>
        <w:pStyle w:val="a3"/>
        <w:rPr>
          <w:rFonts w:ascii="Gill Sans MT"/>
        </w:rPr>
      </w:pPr>
    </w:p>
    <w:p w14:paraId="372B5DD7" w14:textId="77777777" w:rsidR="002653E8" w:rsidRDefault="002653E8">
      <w:pPr>
        <w:pStyle w:val="a3"/>
        <w:spacing w:before="2"/>
        <w:rPr>
          <w:rFonts w:ascii="Gill Sans MT"/>
          <w:sz w:val="23"/>
        </w:rPr>
      </w:pPr>
    </w:p>
    <w:p w14:paraId="15BBBF73" w14:textId="77777777" w:rsidR="002653E8" w:rsidRDefault="002653E8">
      <w:pPr>
        <w:rPr>
          <w:rFonts w:ascii="Gill Sans MT"/>
          <w:sz w:val="23"/>
        </w:rPr>
        <w:sectPr w:rsidR="002653E8">
          <w:type w:val="continuous"/>
          <w:pgSz w:w="8640" w:h="12960"/>
          <w:pgMar w:top="0" w:right="0" w:bottom="0" w:left="0" w:header="720" w:footer="720" w:gutter="0"/>
          <w:cols w:space="720"/>
        </w:sectPr>
      </w:pPr>
    </w:p>
    <w:p w14:paraId="5EAC570C" w14:textId="77777777" w:rsidR="002653E8" w:rsidRDefault="003115E3">
      <w:pPr>
        <w:spacing w:before="145"/>
        <w:ind w:left="1327"/>
        <w:rPr>
          <w:sz w:val="18"/>
        </w:rPr>
      </w:pPr>
      <w:r>
        <w:rPr>
          <w:color w:val="231F20"/>
          <w:w w:val="120"/>
          <w:sz w:val="18"/>
        </w:rPr>
        <w:t>a chronology</w:t>
      </w:r>
      <w:r>
        <w:rPr>
          <w:color w:val="231F20"/>
          <w:sz w:val="18"/>
        </w:rPr>
        <w:t xml:space="preserve"> </w:t>
      </w:r>
    </w:p>
    <w:p w14:paraId="14945103" w14:textId="77777777" w:rsidR="002653E8" w:rsidRDefault="003115E3">
      <w:pPr>
        <w:spacing w:before="5"/>
        <w:ind w:left="1327"/>
        <w:rPr>
          <w:sz w:val="18"/>
        </w:rPr>
      </w:pPr>
      <w:r>
        <w:rPr>
          <w:color w:val="231F20"/>
          <w:spacing w:val="16"/>
          <w:w w:val="110"/>
          <w:sz w:val="18"/>
        </w:rPr>
        <w:t xml:space="preserve">january </w:t>
      </w:r>
      <w:r>
        <w:rPr>
          <w:color w:val="231F20"/>
          <w:spacing w:val="15"/>
          <w:w w:val="110"/>
          <w:sz w:val="18"/>
        </w:rPr>
        <w:t>18,</w:t>
      </w:r>
      <w:r>
        <w:rPr>
          <w:color w:val="231F20"/>
          <w:spacing w:val="66"/>
          <w:w w:val="110"/>
          <w:sz w:val="18"/>
        </w:rPr>
        <w:t xml:space="preserve"> </w:t>
      </w:r>
      <w:r>
        <w:rPr>
          <w:color w:val="231F20"/>
          <w:spacing w:val="17"/>
          <w:w w:val="110"/>
          <w:sz w:val="18"/>
        </w:rPr>
        <w:lastRenderedPageBreak/>
        <w:t>1978</w:t>
      </w:r>
      <w:r>
        <w:rPr>
          <w:color w:val="231F20"/>
          <w:spacing w:val="-15"/>
          <w:sz w:val="18"/>
        </w:rPr>
        <w:t xml:space="preserve"> </w:t>
      </w:r>
    </w:p>
    <w:p w14:paraId="18F497EA" w14:textId="77777777" w:rsidR="002653E8" w:rsidRDefault="003115E3">
      <w:pPr>
        <w:spacing w:before="99"/>
        <w:ind w:left="1346" w:right="1141"/>
        <w:jc w:val="center"/>
        <w:rPr>
          <w:sz w:val="18"/>
        </w:rPr>
      </w:pPr>
      <w:r>
        <w:br w:type="column"/>
      </w:r>
      <w:r>
        <w:rPr>
          <w:color w:val="231F20"/>
          <w:sz w:val="18"/>
        </w:rPr>
        <w:t xml:space="preserve">609 </w:t>
      </w:r>
    </w:p>
    <w:p w14:paraId="7A74ABD8" w14:textId="77777777" w:rsidR="002653E8" w:rsidRDefault="002653E8">
      <w:pPr>
        <w:jc w:val="center"/>
        <w:rPr>
          <w:sz w:val="18"/>
        </w:rPr>
        <w:sectPr w:rsidR="002653E8">
          <w:type w:val="continuous"/>
          <w:pgSz w:w="8640" w:h="12960"/>
          <w:pgMar w:top="0" w:right="0" w:bottom="0" w:left="0" w:header="720" w:footer="720" w:gutter="0"/>
          <w:cols w:num="2" w:space="720" w:equalWidth="0">
            <w:col w:w="3215" w:space="2599"/>
            <w:col w:w="2826"/>
          </w:cols>
        </w:sectPr>
      </w:pPr>
    </w:p>
    <w:p w14:paraId="68F17461" w14:textId="77777777" w:rsidR="002653E8" w:rsidRDefault="003115E3">
      <w:pPr>
        <w:spacing w:before="91"/>
        <w:ind w:left="1147"/>
        <w:rPr>
          <w:rFonts w:ascii="Arial"/>
          <w:b/>
          <w:sz w:val="18"/>
        </w:rPr>
      </w:pPr>
      <w:r>
        <w:rPr>
          <w:rFonts w:ascii="Arial"/>
          <w:b/>
          <w:color w:val="231F20"/>
          <w:w w:val="115"/>
          <w:sz w:val="18"/>
        </w:rPr>
        <w:lastRenderedPageBreak/>
        <w:t>January 21, 1978</w:t>
      </w:r>
    </w:p>
    <w:p w14:paraId="120A9145" w14:textId="77777777" w:rsidR="002653E8" w:rsidRDefault="00C507A5">
      <w:pPr>
        <w:spacing w:before="34" w:line="276" w:lineRule="auto"/>
        <w:ind w:left="1147" w:right="148"/>
        <w:rPr>
          <w:rFonts w:ascii="Gill Sans MT" w:hAnsi="Gill Sans MT"/>
          <w:sz w:val="18"/>
        </w:rPr>
      </w:pPr>
      <w:r>
        <w:rPr>
          <w:rFonts w:ascii="Gill Sans MT" w:hAnsi="Gill Sans MT"/>
          <w:color w:val="231F20"/>
          <w:w w:val="115"/>
          <w:sz w:val="18"/>
        </w:rPr>
        <w:t>red army faction</w:t>
      </w:r>
      <w:r w:rsidR="003115E3">
        <w:rPr>
          <w:rFonts w:ascii="Gill Sans MT" w:hAnsi="Gill Sans MT"/>
          <w:color w:val="231F20"/>
          <w:w w:val="115"/>
          <w:sz w:val="18"/>
        </w:rPr>
        <w:t xml:space="preserve"> member Christine Kuby is arrested</w:t>
      </w:r>
      <w:r w:rsidR="003115E3">
        <w:rPr>
          <w:rFonts w:ascii="Gill Sans MT" w:hAnsi="Gill Sans MT"/>
          <w:color w:val="231F20"/>
          <w:spacing w:val="-25"/>
          <w:w w:val="115"/>
          <w:sz w:val="18"/>
        </w:rPr>
        <w:t xml:space="preserve"> </w:t>
      </w:r>
      <w:r w:rsidR="003115E3">
        <w:rPr>
          <w:rFonts w:ascii="Gill Sans MT" w:hAnsi="Gill Sans MT"/>
          <w:color w:val="231F20"/>
          <w:w w:val="115"/>
          <w:sz w:val="18"/>
        </w:rPr>
        <w:t>in</w:t>
      </w:r>
      <w:r w:rsidR="003115E3">
        <w:rPr>
          <w:rFonts w:ascii="Gill Sans MT" w:hAnsi="Gill Sans MT"/>
          <w:color w:val="231F20"/>
          <w:spacing w:val="-25"/>
          <w:w w:val="115"/>
          <w:sz w:val="18"/>
        </w:rPr>
        <w:t xml:space="preserve"> </w:t>
      </w:r>
      <w:r w:rsidR="003115E3">
        <w:rPr>
          <w:rFonts w:ascii="Gill Sans MT" w:hAnsi="Gill Sans MT"/>
          <w:color w:val="231F20"/>
          <w:w w:val="115"/>
          <w:sz w:val="18"/>
        </w:rPr>
        <w:t>a</w:t>
      </w:r>
      <w:r w:rsidR="003115E3">
        <w:rPr>
          <w:rFonts w:ascii="Gill Sans MT" w:hAnsi="Gill Sans MT"/>
          <w:color w:val="231F20"/>
          <w:spacing w:val="-25"/>
          <w:w w:val="115"/>
          <w:sz w:val="18"/>
        </w:rPr>
        <w:t xml:space="preserve"> </w:t>
      </w:r>
      <w:r w:rsidR="003115E3">
        <w:rPr>
          <w:rFonts w:ascii="Gill Sans MT" w:hAnsi="Gill Sans MT"/>
          <w:color w:val="231F20"/>
          <w:w w:val="115"/>
          <w:sz w:val="18"/>
        </w:rPr>
        <w:t>shootout</w:t>
      </w:r>
      <w:r w:rsidR="003115E3">
        <w:rPr>
          <w:rFonts w:ascii="Gill Sans MT" w:hAnsi="Gill Sans MT"/>
          <w:color w:val="231F20"/>
          <w:spacing w:val="-25"/>
          <w:w w:val="115"/>
          <w:sz w:val="18"/>
        </w:rPr>
        <w:t xml:space="preserve"> </w:t>
      </w:r>
      <w:r w:rsidR="003115E3">
        <w:rPr>
          <w:rFonts w:ascii="Gill Sans MT" w:hAnsi="Gill Sans MT"/>
          <w:color w:val="231F20"/>
          <w:w w:val="115"/>
          <w:sz w:val="18"/>
        </w:rPr>
        <w:t>with</w:t>
      </w:r>
      <w:r w:rsidR="003115E3">
        <w:rPr>
          <w:rFonts w:ascii="Gill Sans MT" w:hAnsi="Gill Sans MT"/>
          <w:color w:val="231F20"/>
          <w:spacing w:val="-25"/>
          <w:w w:val="115"/>
          <w:sz w:val="18"/>
        </w:rPr>
        <w:t xml:space="preserve"> </w:t>
      </w:r>
      <w:r w:rsidR="003115E3">
        <w:rPr>
          <w:rFonts w:ascii="Gill Sans MT" w:hAnsi="Gill Sans MT"/>
          <w:color w:val="231F20"/>
          <w:w w:val="115"/>
          <w:sz w:val="18"/>
        </w:rPr>
        <w:t>police in</w:t>
      </w:r>
      <w:r w:rsidR="003115E3">
        <w:rPr>
          <w:rFonts w:ascii="Gill Sans MT" w:hAnsi="Gill Sans MT"/>
          <w:color w:val="231F20"/>
          <w:spacing w:val="-21"/>
          <w:w w:val="115"/>
          <w:sz w:val="18"/>
        </w:rPr>
        <w:t xml:space="preserve"> </w:t>
      </w:r>
      <w:r w:rsidR="003115E3">
        <w:rPr>
          <w:rFonts w:ascii="Gill Sans MT" w:hAnsi="Gill Sans MT"/>
          <w:color w:val="231F20"/>
          <w:w w:val="115"/>
          <w:sz w:val="18"/>
        </w:rPr>
        <w:t>a</w:t>
      </w:r>
      <w:r w:rsidR="003115E3">
        <w:rPr>
          <w:rFonts w:ascii="Gill Sans MT" w:hAnsi="Gill Sans MT"/>
          <w:color w:val="231F20"/>
          <w:spacing w:val="-21"/>
          <w:w w:val="115"/>
          <w:sz w:val="18"/>
        </w:rPr>
        <w:t xml:space="preserve"> </w:t>
      </w:r>
      <w:r w:rsidR="003115E3">
        <w:rPr>
          <w:rFonts w:ascii="Gill Sans MT" w:hAnsi="Gill Sans MT"/>
          <w:color w:val="231F20"/>
          <w:w w:val="115"/>
          <w:sz w:val="18"/>
        </w:rPr>
        <w:t>Hamburg</w:t>
      </w:r>
      <w:r w:rsidR="003115E3">
        <w:rPr>
          <w:rFonts w:ascii="Gill Sans MT" w:hAnsi="Gill Sans MT"/>
          <w:color w:val="231F20"/>
          <w:spacing w:val="-21"/>
          <w:w w:val="115"/>
          <w:sz w:val="18"/>
        </w:rPr>
        <w:t xml:space="preserve"> </w:t>
      </w:r>
      <w:r w:rsidR="003115E3">
        <w:rPr>
          <w:rFonts w:ascii="Gill Sans MT" w:hAnsi="Gill Sans MT"/>
          <w:color w:val="231F20"/>
          <w:w w:val="115"/>
          <w:sz w:val="18"/>
        </w:rPr>
        <w:t>drugstore.</w:t>
      </w:r>
      <w:r w:rsidR="003115E3">
        <w:rPr>
          <w:rFonts w:ascii="Gill Sans MT" w:hAnsi="Gill Sans MT"/>
          <w:color w:val="231F20"/>
          <w:spacing w:val="-21"/>
          <w:w w:val="115"/>
          <w:sz w:val="18"/>
        </w:rPr>
        <w:t xml:space="preserve"> </w:t>
      </w:r>
      <w:r w:rsidR="003115E3">
        <w:rPr>
          <w:rFonts w:ascii="Gill Sans MT" w:hAnsi="Gill Sans MT"/>
          <w:color w:val="231F20"/>
          <w:w w:val="115"/>
          <w:sz w:val="18"/>
        </w:rPr>
        <w:t>Kuby</w:t>
      </w:r>
      <w:r w:rsidR="003115E3">
        <w:rPr>
          <w:rFonts w:ascii="Gill Sans MT" w:hAnsi="Gill Sans MT"/>
          <w:color w:val="231F20"/>
          <w:spacing w:val="-21"/>
          <w:w w:val="115"/>
          <w:sz w:val="18"/>
        </w:rPr>
        <w:t xml:space="preserve"> </w:t>
      </w:r>
      <w:r w:rsidR="003115E3">
        <w:rPr>
          <w:rFonts w:ascii="Gill Sans MT" w:hAnsi="Gill Sans MT"/>
          <w:color w:val="231F20"/>
          <w:w w:val="115"/>
          <w:sz w:val="18"/>
        </w:rPr>
        <w:t xml:space="preserve">and a police officer are injured. Kuby was attempting to use a forged prescription to buy narcotics for fellow </w:t>
      </w:r>
      <w:r>
        <w:rPr>
          <w:rFonts w:ascii="Gill Sans MT" w:hAnsi="Gill Sans MT"/>
          <w:color w:val="231F20"/>
          <w:w w:val="115"/>
          <w:sz w:val="18"/>
        </w:rPr>
        <w:t>red army faction</w:t>
      </w:r>
      <w:r w:rsidR="003115E3">
        <w:rPr>
          <w:rFonts w:ascii="Gill Sans MT" w:hAnsi="Gill Sans MT"/>
          <w:color w:val="231F20"/>
          <w:w w:val="115"/>
          <w:sz w:val="18"/>
        </w:rPr>
        <w:t xml:space="preserve"> member Peter-Jürgen Boock, a drug</w:t>
      </w:r>
      <w:r w:rsidR="003115E3">
        <w:rPr>
          <w:rFonts w:ascii="Gill Sans MT" w:hAnsi="Gill Sans MT"/>
          <w:color w:val="231F20"/>
          <w:spacing w:val="-24"/>
          <w:w w:val="115"/>
          <w:sz w:val="18"/>
        </w:rPr>
        <w:t xml:space="preserve"> </w:t>
      </w:r>
      <w:r w:rsidR="003115E3">
        <w:rPr>
          <w:rFonts w:ascii="Gill Sans MT" w:hAnsi="Gill Sans MT"/>
          <w:color w:val="231F20"/>
          <w:w w:val="115"/>
          <w:sz w:val="18"/>
        </w:rPr>
        <w:t>addict.</w:t>
      </w:r>
    </w:p>
    <w:p w14:paraId="3A73CA5A" w14:textId="77777777" w:rsidR="002653E8" w:rsidRDefault="002653E8">
      <w:pPr>
        <w:pStyle w:val="a3"/>
        <w:spacing w:before="6"/>
        <w:rPr>
          <w:rFonts w:ascii="Gill Sans MT"/>
        </w:rPr>
      </w:pPr>
    </w:p>
    <w:p w14:paraId="0726A0B6" w14:textId="77777777" w:rsidR="002653E8" w:rsidRDefault="003115E3">
      <w:pPr>
        <w:spacing w:before="1"/>
        <w:ind w:left="1147"/>
        <w:rPr>
          <w:rFonts w:ascii="Arial"/>
          <w:b/>
          <w:sz w:val="18"/>
        </w:rPr>
      </w:pPr>
      <w:r>
        <w:rPr>
          <w:rFonts w:ascii="Arial"/>
          <w:b/>
          <w:color w:val="231F20"/>
          <w:w w:val="115"/>
          <w:sz w:val="18"/>
        </w:rPr>
        <w:t>January 28, 1978</w:t>
      </w:r>
    </w:p>
    <w:p w14:paraId="6FF01A90" w14:textId="77777777" w:rsidR="002653E8" w:rsidRDefault="003115E3">
      <w:pPr>
        <w:spacing w:before="34" w:line="276" w:lineRule="auto"/>
        <w:ind w:left="1147" w:right="159"/>
        <w:rPr>
          <w:rFonts w:ascii="Gill Sans MT"/>
          <w:sz w:val="18"/>
        </w:rPr>
      </w:pPr>
      <w:r>
        <w:rPr>
          <w:rFonts w:ascii="Gill Sans MT"/>
          <w:color w:val="231F20"/>
          <w:w w:val="110"/>
          <w:sz w:val="18"/>
        </w:rPr>
        <w:t xml:space="preserve">The </w:t>
      </w:r>
      <w:r>
        <w:rPr>
          <w:rFonts w:ascii="Gill Sans MT"/>
          <w:color w:val="231F20"/>
          <w:spacing w:val="-4"/>
          <w:w w:val="110"/>
          <w:sz w:val="18"/>
        </w:rPr>
        <w:t xml:space="preserve">Tunix </w:t>
      </w:r>
      <w:r>
        <w:rPr>
          <w:rFonts w:ascii="Gill Sans MT"/>
          <w:color w:val="231F20"/>
          <w:w w:val="110"/>
          <w:sz w:val="18"/>
        </w:rPr>
        <w:t xml:space="preserve">Congress is held in </w:t>
      </w:r>
      <w:r>
        <w:rPr>
          <w:rFonts w:ascii="Gill Sans MT"/>
          <w:color w:val="231F20"/>
          <w:spacing w:val="-3"/>
          <w:w w:val="110"/>
          <w:sz w:val="18"/>
        </w:rPr>
        <w:t>West</w:t>
      </w:r>
      <w:r>
        <w:rPr>
          <w:rFonts w:ascii="Gill Sans MT"/>
          <w:color w:val="231F20"/>
          <w:spacing w:val="-13"/>
          <w:w w:val="110"/>
          <w:sz w:val="18"/>
        </w:rPr>
        <w:t xml:space="preserve"> </w:t>
      </w:r>
      <w:r>
        <w:rPr>
          <w:rFonts w:ascii="Gill Sans MT"/>
          <w:color w:val="231F20"/>
          <w:w w:val="110"/>
          <w:sz w:val="18"/>
        </w:rPr>
        <w:t>Berlin.</w:t>
      </w:r>
      <w:r>
        <w:rPr>
          <w:rFonts w:ascii="Gill Sans MT"/>
          <w:color w:val="231F20"/>
          <w:spacing w:val="-13"/>
          <w:w w:val="110"/>
          <w:sz w:val="18"/>
        </w:rPr>
        <w:t xml:space="preserve"> </w:t>
      </w:r>
      <w:r>
        <w:rPr>
          <w:rFonts w:ascii="Gill Sans MT"/>
          <w:color w:val="231F20"/>
          <w:w w:val="110"/>
          <w:sz w:val="18"/>
        </w:rPr>
        <w:t>A</w:t>
      </w:r>
      <w:r>
        <w:rPr>
          <w:rFonts w:ascii="Gill Sans MT"/>
          <w:color w:val="231F20"/>
          <w:spacing w:val="-13"/>
          <w:w w:val="110"/>
          <w:sz w:val="18"/>
        </w:rPr>
        <w:t xml:space="preserve"> </w:t>
      </w:r>
      <w:r>
        <w:rPr>
          <w:rFonts w:ascii="Gill Sans MT"/>
          <w:color w:val="231F20"/>
          <w:w w:val="110"/>
          <w:sz w:val="18"/>
        </w:rPr>
        <w:t>broad</w:t>
      </w:r>
      <w:r>
        <w:rPr>
          <w:rFonts w:ascii="Gill Sans MT"/>
          <w:color w:val="231F20"/>
          <w:spacing w:val="-13"/>
          <w:w w:val="110"/>
          <w:sz w:val="18"/>
        </w:rPr>
        <w:t xml:space="preserve"> </w:t>
      </w:r>
      <w:r>
        <w:rPr>
          <w:rFonts w:ascii="Gill Sans MT"/>
          <w:color w:val="231F20"/>
          <w:w w:val="110"/>
          <w:sz w:val="18"/>
        </w:rPr>
        <w:t>cross</w:t>
      </w:r>
      <w:r>
        <w:rPr>
          <w:rFonts w:ascii="Gill Sans MT"/>
          <w:color w:val="231F20"/>
          <w:spacing w:val="-13"/>
          <w:w w:val="110"/>
          <w:sz w:val="18"/>
        </w:rPr>
        <w:t xml:space="preserve"> </w:t>
      </w:r>
      <w:r>
        <w:rPr>
          <w:rFonts w:ascii="Gill Sans MT"/>
          <w:color w:val="231F20"/>
          <w:w w:val="110"/>
          <w:sz w:val="18"/>
        </w:rPr>
        <w:t>section of the left meets to discuss how</w:t>
      </w:r>
      <w:r>
        <w:rPr>
          <w:rFonts w:ascii="Gill Sans MT"/>
          <w:color w:val="231F20"/>
          <w:spacing w:val="-17"/>
          <w:w w:val="110"/>
          <w:sz w:val="18"/>
        </w:rPr>
        <w:t xml:space="preserve"> </w:t>
      </w:r>
      <w:r>
        <w:rPr>
          <w:rFonts w:ascii="Gill Sans MT"/>
          <w:color w:val="231F20"/>
          <w:w w:val="110"/>
          <w:sz w:val="18"/>
        </w:rPr>
        <w:t>to</w:t>
      </w:r>
    </w:p>
    <w:p w14:paraId="69380C35" w14:textId="77777777" w:rsidR="002653E8" w:rsidRDefault="003115E3">
      <w:pPr>
        <w:spacing w:line="208" w:lineRule="exact"/>
        <w:ind w:left="1147"/>
        <w:rPr>
          <w:rFonts w:ascii="Gill Sans MT"/>
          <w:sz w:val="18"/>
        </w:rPr>
      </w:pPr>
      <w:r>
        <w:rPr>
          <w:rFonts w:ascii="Gill Sans MT"/>
          <w:color w:val="231F20"/>
          <w:w w:val="110"/>
          <w:sz w:val="18"/>
        </w:rPr>
        <w:t>proceed after the German Autumn.</w:t>
      </w:r>
    </w:p>
    <w:p w14:paraId="26393DDF" w14:textId="77777777" w:rsidR="002653E8" w:rsidRDefault="002653E8">
      <w:pPr>
        <w:pStyle w:val="a3"/>
        <w:spacing w:before="3"/>
        <w:rPr>
          <w:rFonts w:ascii="Gill Sans MT"/>
          <w:sz w:val="23"/>
        </w:rPr>
      </w:pPr>
    </w:p>
    <w:p w14:paraId="7D076E12" w14:textId="77777777" w:rsidR="002653E8" w:rsidRDefault="003115E3">
      <w:pPr>
        <w:ind w:left="1147"/>
        <w:rPr>
          <w:rFonts w:ascii="Arial"/>
          <w:b/>
          <w:sz w:val="18"/>
        </w:rPr>
      </w:pPr>
      <w:r>
        <w:rPr>
          <w:rFonts w:ascii="Arial"/>
          <w:b/>
          <w:color w:val="231F20"/>
          <w:w w:val="115"/>
          <w:sz w:val="18"/>
        </w:rPr>
        <w:t>February 1, 1978</w:t>
      </w:r>
    </w:p>
    <w:p w14:paraId="2116B57B" w14:textId="77777777" w:rsidR="002653E8" w:rsidRDefault="00C507A5">
      <w:pPr>
        <w:spacing w:before="35" w:line="276" w:lineRule="auto"/>
        <w:ind w:left="1147" w:right="43"/>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prisoners held in Holland begin a hunger strike, demanding an end to isolation and bans on visits, free access to literature, and to be flown to a country of their choice.</w:t>
      </w:r>
    </w:p>
    <w:p w14:paraId="7F3CFCC8" w14:textId="77777777" w:rsidR="002653E8" w:rsidRDefault="002653E8">
      <w:pPr>
        <w:pStyle w:val="a3"/>
        <w:spacing w:before="6"/>
        <w:rPr>
          <w:rFonts w:ascii="Gill Sans MT"/>
        </w:rPr>
      </w:pPr>
    </w:p>
    <w:p w14:paraId="61BA8156" w14:textId="77777777" w:rsidR="002653E8" w:rsidRDefault="003115E3">
      <w:pPr>
        <w:ind w:left="1147"/>
        <w:rPr>
          <w:rFonts w:ascii="Arial"/>
          <w:b/>
          <w:sz w:val="18"/>
        </w:rPr>
      </w:pPr>
      <w:r>
        <w:rPr>
          <w:rFonts w:ascii="Arial"/>
          <w:b/>
          <w:color w:val="231F20"/>
          <w:w w:val="115"/>
          <w:sz w:val="18"/>
        </w:rPr>
        <w:t>February 9, 1978</w:t>
      </w:r>
    </w:p>
    <w:p w14:paraId="4B00A3AC" w14:textId="77777777" w:rsidR="002653E8" w:rsidRDefault="00C507A5">
      <w:pPr>
        <w:spacing w:before="35" w:line="276" w:lineRule="auto"/>
        <w:ind w:left="1147" w:right="319"/>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prisoners in Hamburg begin a hunger strike, demanding POW status, association, the return of confiscated writings of Gudrun Ensslin, Jan-Carl Raspe, and Andreas </w:t>
      </w:r>
      <w:r w:rsidR="003115E3">
        <w:rPr>
          <w:rFonts w:ascii="Gill Sans MT"/>
          <w:color w:val="231F20"/>
          <w:spacing w:val="-3"/>
          <w:w w:val="110"/>
          <w:sz w:val="18"/>
        </w:rPr>
        <w:t xml:space="preserve">Baader, </w:t>
      </w:r>
      <w:r w:rsidR="003115E3">
        <w:rPr>
          <w:rFonts w:ascii="Gill Sans MT"/>
          <w:color w:val="231F20"/>
          <w:w w:val="110"/>
          <w:sz w:val="18"/>
        </w:rPr>
        <w:t>and</w:t>
      </w:r>
      <w:r w:rsidR="003115E3">
        <w:rPr>
          <w:rFonts w:ascii="Gill Sans MT"/>
          <w:color w:val="231F20"/>
          <w:spacing w:val="10"/>
          <w:w w:val="110"/>
          <w:sz w:val="18"/>
        </w:rPr>
        <w:t xml:space="preserve"> </w:t>
      </w:r>
      <w:r w:rsidR="003115E3">
        <w:rPr>
          <w:rFonts w:ascii="Gill Sans MT"/>
          <w:color w:val="231F20"/>
          <w:w w:val="110"/>
          <w:sz w:val="18"/>
        </w:rPr>
        <w:t>an</w:t>
      </w:r>
    </w:p>
    <w:p w14:paraId="7293D8BF" w14:textId="77777777" w:rsidR="002653E8" w:rsidRDefault="003115E3">
      <w:pPr>
        <w:spacing w:line="276" w:lineRule="auto"/>
        <w:ind w:left="1147"/>
        <w:rPr>
          <w:rFonts w:ascii="Gill Sans MT"/>
          <w:sz w:val="18"/>
        </w:rPr>
      </w:pPr>
      <w:r>
        <w:rPr>
          <w:rFonts w:ascii="Gill Sans MT"/>
          <w:color w:val="231F20"/>
          <w:w w:val="110"/>
          <w:sz w:val="18"/>
        </w:rPr>
        <w:t xml:space="preserve">independent investigation into the murders of the </w:t>
      </w:r>
      <w:r w:rsidR="00C507A5">
        <w:rPr>
          <w:rFonts w:ascii="Gill Sans MT"/>
          <w:color w:val="231F20"/>
          <w:w w:val="110"/>
          <w:sz w:val="18"/>
        </w:rPr>
        <w:t>red army faction</w:t>
      </w:r>
      <w:r>
        <w:rPr>
          <w:rFonts w:ascii="Gill Sans MT"/>
          <w:color w:val="231F20"/>
          <w:w w:val="110"/>
          <w:sz w:val="18"/>
        </w:rPr>
        <w:t xml:space="preserve"> prisoners.</w:t>
      </w:r>
    </w:p>
    <w:p w14:paraId="2CEEFA5E" w14:textId="77777777" w:rsidR="002653E8" w:rsidRDefault="002653E8">
      <w:pPr>
        <w:pStyle w:val="a3"/>
        <w:spacing w:before="6"/>
        <w:rPr>
          <w:rFonts w:ascii="Gill Sans MT"/>
        </w:rPr>
      </w:pPr>
    </w:p>
    <w:p w14:paraId="6707C00A" w14:textId="77777777" w:rsidR="002653E8" w:rsidRDefault="003115E3">
      <w:pPr>
        <w:ind w:left="1147"/>
        <w:rPr>
          <w:rFonts w:ascii="Arial"/>
          <w:b/>
          <w:sz w:val="18"/>
        </w:rPr>
      </w:pPr>
      <w:r>
        <w:rPr>
          <w:rFonts w:ascii="Arial"/>
          <w:b/>
          <w:color w:val="231F20"/>
          <w:w w:val="115"/>
          <w:sz w:val="18"/>
        </w:rPr>
        <w:t>March 3, 1978</w:t>
      </w:r>
    </w:p>
    <w:p w14:paraId="2F5F1BF2" w14:textId="77777777" w:rsidR="002653E8" w:rsidRDefault="003115E3">
      <w:pPr>
        <w:spacing w:before="28" w:line="276" w:lineRule="auto"/>
        <w:ind w:left="1147" w:right="157"/>
        <w:rPr>
          <w:rFonts w:ascii="Gill Sans MT"/>
          <w:sz w:val="18"/>
        </w:rPr>
      </w:pPr>
      <w:r>
        <w:rPr>
          <w:rFonts w:ascii="Lucida Sans"/>
          <w:i/>
          <w:color w:val="231F20"/>
          <w:sz w:val="18"/>
        </w:rPr>
        <w:t xml:space="preserve">Deutschland im Herbst </w:t>
      </w:r>
      <w:r>
        <w:rPr>
          <w:rFonts w:ascii="Gill Sans MT"/>
          <w:color w:val="231F20"/>
          <w:sz w:val="18"/>
        </w:rPr>
        <w:t xml:space="preserve">(Germany </w:t>
      </w:r>
      <w:r>
        <w:rPr>
          <w:rFonts w:ascii="Gill Sans MT"/>
          <w:color w:val="231F20"/>
          <w:w w:val="110"/>
          <w:sz w:val="18"/>
        </w:rPr>
        <w:t>in Autumn), a film examining the events surrounding the Schleyer kidnapping and the Stammheim deaths, with segments by several West German directors, including</w:t>
      </w:r>
    </w:p>
    <w:p w14:paraId="6EBFE45C" w14:textId="77777777" w:rsidR="002653E8" w:rsidRPr="00846956" w:rsidRDefault="003115E3">
      <w:pPr>
        <w:spacing w:line="276" w:lineRule="auto"/>
        <w:ind w:left="1147" w:right="-15"/>
        <w:rPr>
          <w:rFonts w:ascii="Gill Sans MT" w:hAnsi="Gill Sans MT"/>
          <w:sz w:val="18"/>
          <w:lang w:val="de-DE"/>
        </w:rPr>
      </w:pPr>
      <w:r w:rsidRPr="00846956">
        <w:rPr>
          <w:rFonts w:ascii="Gill Sans MT" w:hAnsi="Gill Sans MT"/>
          <w:color w:val="231F20"/>
          <w:w w:val="110"/>
          <w:sz w:val="18"/>
          <w:lang w:val="de-DE"/>
        </w:rPr>
        <w:t>Alexander Kluge, Volker</w:t>
      </w:r>
      <w:r w:rsidRPr="00846956">
        <w:rPr>
          <w:rFonts w:ascii="Gill Sans MT" w:hAnsi="Gill Sans MT"/>
          <w:color w:val="231F20"/>
          <w:spacing w:val="-28"/>
          <w:w w:val="110"/>
          <w:sz w:val="18"/>
          <w:lang w:val="de-DE"/>
        </w:rPr>
        <w:t xml:space="preserve"> </w:t>
      </w:r>
      <w:r w:rsidRPr="00846956">
        <w:rPr>
          <w:rFonts w:ascii="Gill Sans MT" w:hAnsi="Gill Sans MT"/>
          <w:color w:val="231F20"/>
          <w:w w:val="110"/>
          <w:sz w:val="18"/>
          <w:lang w:val="de-DE"/>
        </w:rPr>
        <w:t xml:space="preserve">Schlöndorff, </w:t>
      </w:r>
      <w:r w:rsidRPr="00846956">
        <w:rPr>
          <w:rFonts w:ascii="Gill Sans MT" w:hAnsi="Gill Sans MT"/>
          <w:color w:val="231F20"/>
          <w:w w:val="115"/>
          <w:sz w:val="18"/>
          <w:lang w:val="de-DE"/>
        </w:rPr>
        <w:t>and</w:t>
      </w:r>
      <w:r w:rsidRPr="00846956">
        <w:rPr>
          <w:rFonts w:ascii="Gill Sans MT" w:hAnsi="Gill Sans MT"/>
          <w:color w:val="231F20"/>
          <w:spacing w:val="-19"/>
          <w:w w:val="115"/>
          <w:sz w:val="18"/>
          <w:lang w:val="de-DE"/>
        </w:rPr>
        <w:t xml:space="preserve"> </w:t>
      </w:r>
      <w:r w:rsidRPr="00846956">
        <w:rPr>
          <w:rFonts w:ascii="Gill Sans MT" w:hAnsi="Gill Sans MT"/>
          <w:color w:val="231F20"/>
          <w:w w:val="115"/>
          <w:sz w:val="18"/>
          <w:lang w:val="de-DE"/>
        </w:rPr>
        <w:t>Rainer</w:t>
      </w:r>
      <w:r w:rsidRPr="00846956">
        <w:rPr>
          <w:rFonts w:ascii="Gill Sans MT" w:hAnsi="Gill Sans MT"/>
          <w:color w:val="231F20"/>
          <w:spacing w:val="-19"/>
          <w:w w:val="115"/>
          <w:sz w:val="18"/>
          <w:lang w:val="de-DE"/>
        </w:rPr>
        <w:t xml:space="preserve"> </w:t>
      </w:r>
      <w:r w:rsidRPr="00846956">
        <w:rPr>
          <w:rFonts w:ascii="Gill Sans MT" w:hAnsi="Gill Sans MT"/>
          <w:color w:val="231F20"/>
          <w:w w:val="115"/>
          <w:sz w:val="18"/>
          <w:lang w:val="de-DE"/>
        </w:rPr>
        <w:t>Werner</w:t>
      </w:r>
      <w:r w:rsidRPr="00846956">
        <w:rPr>
          <w:rFonts w:ascii="Gill Sans MT" w:hAnsi="Gill Sans MT"/>
          <w:color w:val="231F20"/>
          <w:spacing w:val="-19"/>
          <w:w w:val="115"/>
          <w:sz w:val="18"/>
          <w:lang w:val="de-DE"/>
        </w:rPr>
        <w:t xml:space="preserve"> </w:t>
      </w:r>
      <w:r w:rsidRPr="00846956">
        <w:rPr>
          <w:rFonts w:ascii="Gill Sans MT" w:hAnsi="Gill Sans MT"/>
          <w:color w:val="231F20"/>
          <w:w w:val="115"/>
          <w:sz w:val="18"/>
          <w:lang w:val="de-DE"/>
        </w:rPr>
        <w:t>Fassbinder,</w:t>
      </w:r>
    </w:p>
    <w:p w14:paraId="52A88845" w14:textId="77777777" w:rsidR="002653E8" w:rsidRDefault="003115E3">
      <w:pPr>
        <w:spacing w:before="92" w:line="271" w:lineRule="auto"/>
        <w:ind w:left="199" w:right="1324"/>
        <w:rPr>
          <w:rFonts w:ascii="Gill Sans MT"/>
          <w:sz w:val="18"/>
        </w:rPr>
      </w:pPr>
      <w:r w:rsidRPr="006918DA">
        <w:br w:type="column"/>
      </w:r>
      <w:r>
        <w:rPr>
          <w:rFonts w:ascii="Gill Sans MT"/>
          <w:color w:val="231F20"/>
          <w:w w:val="110"/>
          <w:sz w:val="18"/>
        </w:rPr>
        <w:t>premieres. The events will</w:t>
      </w:r>
      <w:r>
        <w:rPr>
          <w:rFonts w:ascii="Gill Sans MT"/>
          <w:color w:val="231F20"/>
          <w:spacing w:val="-40"/>
          <w:w w:val="110"/>
          <w:sz w:val="18"/>
        </w:rPr>
        <w:t xml:space="preserve"> </w:t>
      </w:r>
      <w:r>
        <w:rPr>
          <w:rFonts w:ascii="Gill Sans MT"/>
          <w:color w:val="231F20"/>
          <w:w w:val="110"/>
          <w:sz w:val="18"/>
        </w:rPr>
        <w:t>thereafter be</w:t>
      </w:r>
      <w:r>
        <w:rPr>
          <w:rFonts w:ascii="Gill Sans MT"/>
          <w:color w:val="231F20"/>
          <w:spacing w:val="-33"/>
          <w:w w:val="110"/>
          <w:sz w:val="18"/>
        </w:rPr>
        <w:t xml:space="preserve"> </w:t>
      </w:r>
      <w:r>
        <w:rPr>
          <w:rFonts w:ascii="Gill Sans MT"/>
          <w:color w:val="231F20"/>
          <w:w w:val="110"/>
          <w:sz w:val="18"/>
        </w:rPr>
        <w:t>known</w:t>
      </w:r>
      <w:r>
        <w:rPr>
          <w:rFonts w:ascii="Gill Sans MT"/>
          <w:color w:val="231F20"/>
          <w:spacing w:val="-33"/>
          <w:w w:val="110"/>
          <w:sz w:val="18"/>
        </w:rPr>
        <w:t xml:space="preserve"> </w:t>
      </w:r>
      <w:r>
        <w:rPr>
          <w:rFonts w:ascii="Gill Sans MT"/>
          <w:color w:val="231F20"/>
          <w:w w:val="110"/>
          <w:sz w:val="18"/>
        </w:rPr>
        <w:t>as</w:t>
      </w:r>
      <w:r>
        <w:rPr>
          <w:rFonts w:ascii="Gill Sans MT"/>
          <w:color w:val="231F20"/>
          <w:spacing w:val="-33"/>
          <w:w w:val="110"/>
          <w:sz w:val="18"/>
        </w:rPr>
        <w:t xml:space="preserve"> </w:t>
      </w:r>
      <w:r>
        <w:rPr>
          <w:rFonts w:ascii="Gill Sans MT"/>
          <w:color w:val="231F20"/>
          <w:w w:val="110"/>
          <w:sz w:val="18"/>
        </w:rPr>
        <w:t>the</w:t>
      </w:r>
      <w:r>
        <w:rPr>
          <w:rFonts w:ascii="Gill Sans MT"/>
          <w:color w:val="231F20"/>
          <w:spacing w:val="-33"/>
          <w:w w:val="110"/>
          <w:sz w:val="18"/>
        </w:rPr>
        <w:t xml:space="preserve"> </w:t>
      </w:r>
      <w:r>
        <w:rPr>
          <w:rFonts w:ascii="Lucida Sans"/>
          <w:i/>
          <w:color w:val="231F20"/>
          <w:w w:val="110"/>
          <w:sz w:val="18"/>
        </w:rPr>
        <w:t>Deutscher</w:t>
      </w:r>
      <w:r>
        <w:rPr>
          <w:rFonts w:ascii="Lucida Sans"/>
          <w:i/>
          <w:color w:val="231F20"/>
          <w:spacing w:val="-41"/>
          <w:w w:val="110"/>
          <w:sz w:val="18"/>
        </w:rPr>
        <w:t xml:space="preserve"> </w:t>
      </w:r>
      <w:r>
        <w:rPr>
          <w:rFonts w:ascii="Lucida Sans"/>
          <w:i/>
          <w:color w:val="231F20"/>
          <w:w w:val="110"/>
          <w:sz w:val="18"/>
        </w:rPr>
        <w:t xml:space="preserve">Herbst </w:t>
      </w:r>
      <w:r>
        <w:rPr>
          <w:rFonts w:ascii="Gill Sans MT"/>
          <w:color w:val="231F20"/>
          <w:w w:val="110"/>
          <w:sz w:val="18"/>
        </w:rPr>
        <w:t>(German</w:t>
      </w:r>
      <w:r>
        <w:rPr>
          <w:rFonts w:ascii="Gill Sans MT"/>
          <w:color w:val="231F20"/>
          <w:spacing w:val="-7"/>
          <w:w w:val="110"/>
          <w:sz w:val="18"/>
        </w:rPr>
        <w:t xml:space="preserve"> </w:t>
      </w:r>
      <w:r>
        <w:rPr>
          <w:rFonts w:ascii="Gill Sans MT"/>
          <w:color w:val="231F20"/>
          <w:w w:val="110"/>
          <w:sz w:val="18"/>
        </w:rPr>
        <w:t>Autumn).</w:t>
      </w:r>
    </w:p>
    <w:p w14:paraId="268099CE" w14:textId="77777777" w:rsidR="002653E8" w:rsidRDefault="002653E8">
      <w:pPr>
        <w:pStyle w:val="a3"/>
        <w:rPr>
          <w:rFonts w:ascii="Gill Sans MT"/>
          <w:sz w:val="21"/>
        </w:rPr>
      </w:pPr>
    </w:p>
    <w:p w14:paraId="2E994C67" w14:textId="77777777" w:rsidR="002653E8" w:rsidRDefault="003115E3">
      <w:pPr>
        <w:ind w:left="199"/>
        <w:rPr>
          <w:rFonts w:ascii="Arial"/>
          <w:b/>
          <w:sz w:val="18"/>
        </w:rPr>
      </w:pPr>
      <w:r>
        <w:rPr>
          <w:rFonts w:ascii="Arial"/>
          <w:b/>
          <w:color w:val="231F20"/>
          <w:w w:val="115"/>
          <w:sz w:val="18"/>
        </w:rPr>
        <w:t>March 9, 1978</w:t>
      </w:r>
    </w:p>
    <w:p w14:paraId="4A14D9B8" w14:textId="77777777" w:rsidR="002653E8" w:rsidRDefault="003115E3">
      <w:pPr>
        <w:spacing w:before="35" w:line="276" w:lineRule="auto"/>
        <w:ind w:left="199" w:right="1526"/>
        <w:rPr>
          <w:rFonts w:ascii="Gill Sans MT" w:hAnsi="Gill Sans MT"/>
          <w:sz w:val="18"/>
        </w:rPr>
      </w:pPr>
      <w:r>
        <w:rPr>
          <w:rFonts w:ascii="Gill Sans MT" w:hAnsi="Gill Sans MT"/>
          <w:color w:val="231F20"/>
          <w:w w:val="110"/>
          <w:sz w:val="18"/>
        </w:rPr>
        <w:t>Former defense attorney Klaus Croissant’s trial begins. Croissant refuses to distance himself from his former clients, but, rather,</w:t>
      </w:r>
    </w:p>
    <w:p w14:paraId="1CF13A91" w14:textId="77777777" w:rsidR="002653E8" w:rsidRDefault="003115E3">
      <w:pPr>
        <w:spacing w:line="276" w:lineRule="auto"/>
        <w:ind w:left="199" w:right="1385"/>
        <w:rPr>
          <w:rFonts w:ascii="Gill Sans MT"/>
          <w:sz w:val="18"/>
        </w:rPr>
      </w:pPr>
      <w:r>
        <w:rPr>
          <w:rFonts w:ascii="Gill Sans MT"/>
          <w:color w:val="231F20"/>
          <w:w w:val="115"/>
          <w:sz w:val="18"/>
        </w:rPr>
        <w:t>publicly</w:t>
      </w:r>
      <w:r>
        <w:rPr>
          <w:rFonts w:ascii="Gill Sans MT"/>
          <w:color w:val="231F20"/>
          <w:spacing w:val="-25"/>
          <w:w w:val="115"/>
          <w:sz w:val="18"/>
        </w:rPr>
        <w:t xml:space="preserve"> </w:t>
      </w:r>
      <w:r>
        <w:rPr>
          <w:rFonts w:ascii="Gill Sans MT"/>
          <w:color w:val="231F20"/>
          <w:w w:val="115"/>
          <w:sz w:val="18"/>
        </w:rPr>
        <w:t>identifies</w:t>
      </w:r>
      <w:r>
        <w:rPr>
          <w:rFonts w:ascii="Gill Sans MT"/>
          <w:color w:val="231F20"/>
          <w:spacing w:val="-25"/>
          <w:w w:val="115"/>
          <w:sz w:val="18"/>
        </w:rPr>
        <w:t xml:space="preserve"> </w:t>
      </w:r>
      <w:r>
        <w:rPr>
          <w:rFonts w:ascii="Gill Sans MT"/>
          <w:color w:val="231F20"/>
          <w:w w:val="115"/>
          <w:sz w:val="18"/>
        </w:rPr>
        <w:t>himself</w:t>
      </w:r>
      <w:r>
        <w:rPr>
          <w:rFonts w:ascii="Gill Sans MT"/>
          <w:color w:val="231F20"/>
          <w:spacing w:val="-25"/>
          <w:w w:val="115"/>
          <w:sz w:val="18"/>
        </w:rPr>
        <w:t xml:space="preserve"> </w:t>
      </w:r>
      <w:r>
        <w:rPr>
          <w:rFonts w:ascii="Gill Sans MT"/>
          <w:color w:val="231F20"/>
          <w:w w:val="115"/>
          <w:sz w:val="18"/>
        </w:rPr>
        <w:t>with</w:t>
      </w:r>
      <w:r>
        <w:rPr>
          <w:rFonts w:ascii="Gill Sans MT"/>
          <w:color w:val="231F20"/>
          <w:spacing w:val="-25"/>
          <w:w w:val="115"/>
          <w:sz w:val="18"/>
        </w:rPr>
        <w:t xml:space="preserve"> </w:t>
      </w:r>
      <w:r>
        <w:rPr>
          <w:rFonts w:ascii="Gill Sans MT"/>
          <w:color w:val="231F20"/>
          <w:w w:val="115"/>
          <w:sz w:val="18"/>
        </w:rPr>
        <w:t>them</w:t>
      </w:r>
      <w:r>
        <w:rPr>
          <w:rFonts w:ascii="Gill Sans MT"/>
          <w:color w:val="231F20"/>
          <w:w w:val="111"/>
          <w:sz w:val="18"/>
        </w:rPr>
        <w:t xml:space="preserve"> </w:t>
      </w:r>
      <w:r>
        <w:rPr>
          <w:rFonts w:ascii="Gill Sans MT"/>
          <w:color w:val="231F20"/>
          <w:w w:val="115"/>
          <w:sz w:val="18"/>
        </w:rPr>
        <w:t>ideologically.</w:t>
      </w:r>
    </w:p>
    <w:p w14:paraId="6D609488" w14:textId="77777777" w:rsidR="002653E8" w:rsidRDefault="002653E8">
      <w:pPr>
        <w:pStyle w:val="a3"/>
        <w:spacing w:before="5"/>
        <w:rPr>
          <w:rFonts w:ascii="Gill Sans MT"/>
        </w:rPr>
      </w:pPr>
    </w:p>
    <w:p w14:paraId="2D2F06AA" w14:textId="77777777" w:rsidR="002653E8" w:rsidRDefault="003115E3">
      <w:pPr>
        <w:ind w:left="199"/>
        <w:rPr>
          <w:rFonts w:ascii="Arial" w:hAnsi="Arial"/>
          <w:b/>
          <w:sz w:val="18"/>
        </w:rPr>
      </w:pPr>
      <w:r>
        <w:rPr>
          <w:rFonts w:ascii="Arial" w:hAnsi="Arial"/>
          <w:b/>
          <w:color w:val="231F20"/>
          <w:w w:val="115"/>
          <w:sz w:val="18"/>
        </w:rPr>
        <w:t>March 10–April 2, 1978</w:t>
      </w:r>
    </w:p>
    <w:p w14:paraId="001F78E9" w14:textId="77777777" w:rsidR="002653E8" w:rsidRDefault="00C507A5">
      <w:pPr>
        <w:spacing w:before="36" w:line="276" w:lineRule="auto"/>
        <w:ind w:left="199" w:right="1308"/>
        <w:rPr>
          <w:rFonts w:ascii="Gill Sans MT" w:hAnsi="Gill Sans MT"/>
          <w:sz w:val="18"/>
        </w:rPr>
      </w:pPr>
      <w:r>
        <w:rPr>
          <w:rFonts w:ascii="Gill Sans MT" w:hAnsi="Gill Sans MT"/>
          <w:color w:val="231F20"/>
          <w:w w:val="115"/>
          <w:sz w:val="18"/>
        </w:rPr>
        <w:t>red army faction</w:t>
      </w:r>
      <w:r w:rsidR="003115E3">
        <w:rPr>
          <w:rFonts w:ascii="Gill Sans MT" w:hAnsi="Gill Sans MT"/>
          <w:color w:val="231F20"/>
          <w:w w:val="115"/>
          <w:sz w:val="18"/>
        </w:rPr>
        <w:t xml:space="preserve"> prisoners participate in the </w:t>
      </w:r>
      <w:r w:rsidR="003115E3">
        <w:rPr>
          <w:rFonts w:ascii="Gill Sans MT" w:hAnsi="Gill Sans MT"/>
          <w:color w:val="231F20"/>
          <w:w w:val="110"/>
          <w:sz w:val="18"/>
        </w:rPr>
        <w:t xml:space="preserve">organization’s sixth collective hunger </w:t>
      </w:r>
      <w:r w:rsidR="003115E3">
        <w:rPr>
          <w:rFonts w:ascii="Gill Sans MT" w:hAnsi="Gill Sans MT"/>
          <w:color w:val="231F20"/>
          <w:w w:val="115"/>
          <w:sz w:val="18"/>
        </w:rPr>
        <w:t>strike, demanding POW status, association,</w:t>
      </w:r>
      <w:r w:rsidR="003115E3">
        <w:rPr>
          <w:rFonts w:ascii="Gill Sans MT" w:hAnsi="Gill Sans MT"/>
          <w:color w:val="231F20"/>
          <w:spacing w:val="-23"/>
          <w:w w:val="115"/>
          <w:sz w:val="18"/>
        </w:rPr>
        <w:t xml:space="preserve"> </w:t>
      </w:r>
      <w:r w:rsidR="003115E3">
        <w:rPr>
          <w:rFonts w:ascii="Gill Sans MT" w:hAnsi="Gill Sans MT"/>
          <w:color w:val="231F20"/>
          <w:w w:val="115"/>
          <w:sz w:val="18"/>
        </w:rPr>
        <w:t>the</w:t>
      </w:r>
      <w:r w:rsidR="003115E3">
        <w:rPr>
          <w:rFonts w:ascii="Gill Sans MT" w:hAnsi="Gill Sans MT"/>
          <w:color w:val="231F20"/>
          <w:spacing w:val="-23"/>
          <w:w w:val="115"/>
          <w:sz w:val="18"/>
        </w:rPr>
        <w:t xml:space="preserve"> </w:t>
      </w:r>
      <w:r w:rsidR="003115E3">
        <w:rPr>
          <w:rFonts w:ascii="Gill Sans MT" w:hAnsi="Gill Sans MT"/>
          <w:color w:val="231F20"/>
          <w:w w:val="115"/>
          <w:sz w:val="18"/>
        </w:rPr>
        <w:t>release</w:t>
      </w:r>
      <w:r w:rsidR="003115E3">
        <w:rPr>
          <w:rFonts w:ascii="Gill Sans MT" w:hAnsi="Gill Sans MT"/>
          <w:color w:val="231F20"/>
          <w:spacing w:val="-23"/>
          <w:w w:val="115"/>
          <w:sz w:val="18"/>
        </w:rPr>
        <w:t xml:space="preserve"> </w:t>
      </w:r>
      <w:r w:rsidR="003115E3">
        <w:rPr>
          <w:rFonts w:ascii="Gill Sans MT" w:hAnsi="Gill Sans MT"/>
          <w:color w:val="231F20"/>
          <w:w w:val="115"/>
          <w:sz w:val="18"/>
        </w:rPr>
        <w:t>of</w:t>
      </w:r>
      <w:r w:rsidR="003115E3">
        <w:rPr>
          <w:rFonts w:ascii="Gill Sans MT" w:hAnsi="Gill Sans MT"/>
          <w:color w:val="231F20"/>
          <w:spacing w:val="-23"/>
          <w:w w:val="115"/>
          <w:sz w:val="18"/>
        </w:rPr>
        <w:t xml:space="preserve"> </w:t>
      </w:r>
      <w:r w:rsidR="003115E3">
        <w:rPr>
          <w:rFonts w:ascii="Gill Sans MT" w:hAnsi="Gill Sans MT"/>
          <w:color w:val="231F20"/>
          <w:w w:val="115"/>
          <w:sz w:val="18"/>
        </w:rPr>
        <w:t>seriously ill</w:t>
      </w:r>
      <w:r w:rsidR="003115E3">
        <w:rPr>
          <w:rFonts w:ascii="Gill Sans MT" w:hAnsi="Gill Sans MT"/>
          <w:color w:val="231F20"/>
          <w:spacing w:val="-34"/>
          <w:w w:val="115"/>
          <w:sz w:val="18"/>
        </w:rPr>
        <w:t xml:space="preserve"> </w:t>
      </w:r>
      <w:r>
        <w:rPr>
          <w:rFonts w:ascii="Gill Sans MT" w:hAnsi="Gill Sans MT"/>
          <w:color w:val="231F20"/>
          <w:w w:val="115"/>
          <w:sz w:val="18"/>
        </w:rPr>
        <w:t>red army faction</w:t>
      </w:r>
      <w:r w:rsidR="003115E3">
        <w:rPr>
          <w:rFonts w:ascii="Gill Sans MT" w:hAnsi="Gill Sans MT"/>
          <w:color w:val="231F20"/>
          <w:spacing w:val="-34"/>
          <w:w w:val="115"/>
          <w:sz w:val="18"/>
        </w:rPr>
        <w:t xml:space="preserve"> </w:t>
      </w:r>
      <w:r w:rsidR="003115E3">
        <w:rPr>
          <w:rFonts w:ascii="Gill Sans MT" w:hAnsi="Gill Sans MT"/>
          <w:color w:val="231F20"/>
          <w:w w:val="115"/>
          <w:sz w:val="18"/>
        </w:rPr>
        <w:t>prisoner</w:t>
      </w:r>
      <w:r w:rsidR="003115E3">
        <w:rPr>
          <w:rFonts w:ascii="Gill Sans MT" w:hAnsi="Gill Sans MT"/>
          <w:color w:val="231F20"/>
          <w:spacing w:val="-34"/>
          <w:w w:val="115"/>
          <w:sz w:val="18"/>
        </w:rPr>
        <w:t xml:space="preserve"> </w:t>
      </w:r>
      <w:r w:rsidR="003115E3">
        <w:rPr>
          <w:rFonts w:ascii="Gill Sans MT" w:hAnsi="Gill Sans MT"/>
          <w:color w:val="231F20"/>
          <w:w w:val="115"/>
          <w:sz w:val="18"/>
        </w:rPr>
        <w:t>Günter</w:t>
      </w:r>
      <w:r w:rsidR="003115E3">
        <w:rPr>
          <w:rFonts w:ascii="Gill Sans MT" w:hAnsi="Gill Sans MT"/>
          <w:color w:val="231F20"/>
          <w:spacing w:val="-34"/>
          <w:w w:val="115"/>
          <w:sz w:val="18"/>
        </w:rPr>
        <w:t xml:space="preserve"> </w:t>
      </w:r>
      <w:r w:rsidR="003115E3">
        <w:rPr>
          <w:rFonts w:ascii="Gill Sans MT" w:hAnsi="Gill Sans MT"/>
          <w:color w:val="231F20"/>
          <w:w w:val="115"/>
          <w:sz w:val="18"/>
        </w:rPr>
        <w:t>Sonnenberg, and the end to the psychological warfare against the</w:t>
      </w:r>
      <w:r w:rsidR="003115E3">
        <w:rPr>
          <w:rFonts w:ascii="Gill Sans MT" w:hAnsi="Gill Sans MT"/>
          <w:color w:val="231F20"/>
          <w:spacing w:val="-29"/>
          <w:w w:val="115"/>
          <w:sz w:val="18"/>
        </w:rPr>
        <w:t xml:space="preserve"> </w:t>
      </w:r>
      <w:r>
        <w:rPr>
          <w:rFonts w:ascii="Gill Sans MT" w:hAnsi="Gill Sans MT"/>
          <w:color w:val="231F20"/>
          <w:spacing w:val="-8"/>
          <w:w w:val="115"/>
          <w:sz w:val="18"/>
        </w:rPr>
        <w:t>red army faction</w:t>
      </w:r>
      <w:r w:rsidR="003115E3">
        <w:rPr>
          <w:rFonts w:ascii="Gill Sans MT" w:hAnsi="Gill Sans MT"/>
          <w:color w:val="231F20"/>
          <w:spacing w:val="-8"/>
          <w:w w:val="115"/>
          <w:sz w:val="18"/>
        </w:rPr>
        <w:t>.</w:t>
      </w:r>
    </w:p>
    <w:p w14:paraId="526E2B41" w14:textId="77777777" w:rsidR="002653E8" w:rsidRDefault="002653E8">
      <w:pPr>
        <w:pStyle w:val="a3"/>
        <w:spacing w:before="6"/>
        <w:rPr>
          <w:rFonts w:ascii="Gill Sans MT"/>
        </w:rPr>
      </w:pPr>
    </w:p>
    <w:p w14:paraId="677E47AF" w14:textId="77777777" w:rsidR="002653E8" w:rsidRDefault="003115E3">
      <w:pPr>
        <w:ind w:left="199"/>
        <w:rPr>
          <w:rFonts w:ascii="Arial"/>
          <w:b/>
          <w:sz w:val="18"/>
        </w:rPr>
      </w:pPr>
      <w:r>
        <w:rPr>
          <w:rFonts w:ascii="Arial"/>
          <w:b/>
          <w:color w:val="231F20"/>
          <w:w w:val="115"/>
          <w:sz w:val="18"/>
        </w:rPr>
        <w:t>April 26, 1978</w:t>
      </w:r>
    </w:p>
    <w:p w14:paraId="72910273" w14:textId="77777777" w:rsidR="002653E8" w:rsidRDefault="003115E3">
      <w:pPr>
        <w:spacing w:before="35" w:line="276" w:lineRule="auto"/>
        <w:ind w:left="199" w:right="1801" w:hanging="1"/>
        <w:rPr>
          <w:rFonts w:ascii="Gill Sans MT" w:hAnsi="Gill Sans MT"/>
          <w:sz w:val="18"/>
        </w:rPr>
      </w:pPr>
      <w:r>
        <w:rPr>
          <w:rFonts w:ascii="Gill Sans MT" w:hAnsi="Gill Sans MT"/>
          <w:color w:val="231F20"/>
          <w:w w:val="115"/>
          <w:sz w:val="18"/>
        </w:rPr>
        <w:t>The</w:t>
      </w:r>
      <w:r>
        <w:rPr>
          <w:rFonts w:ascii="Gill Sans MT" w:hAnsi="Gill Sans MT"/>
          <w:color w:val="231F20"/>
          <w:spacing w:val="-27"/>
          <w:w w:val="115"/>
          <w:sz w:val="18"/>
        </w:rPr>
        <w:t xml:space="preserve"> </w:t>
      </w:r>
      <w:r>
        <w:rPr>
          <w:rFonts w:ascii="Gill Sans MT" w:hAnsi="Gill Sans MT"/>
          <w:color w:val="231F20"/>
          <w:w w:val="115"/>
          <w:sz w:val="18"/>
        </w:rPr>
        <w:t>Stuttgart</w:t>
      </w:r>
      <w:r>
        <w:rPr>
          <w:rFonts w:ascii="Gill Sans MT" w:hAnsi="Gill Sans MT"/>
          <w:color w:val="231F20"/>
          <w:spacing w:val="-27"/>
          <w:w w:val="115"/>
          <w:sz w:val="18"/>
        </w:rPr>
        <w:t xml:space="preserve"> </w:t>
      </w:r>
      <w:r>
        <w:rPr>
          <w:rFonts w:ascii="Gill Sans MT" w:hAnsi="Gill Sans MT"/>
          <w:color w:val="231F20"/>
          <w:w w:val="115"/>
          <w:sz w:val="18"/>
        </w:rPr>
        <w:t>OLG</w:t>
      </w:r>
      <w:r>
        <w:rPr>
          <w:rFonts w:ascii="Gill Sans MT" w:hAnsi="Gill Sans MT"/>
          <w:color w:val="231F20"/>
          <w:spacing w:val="-27"/>
          <w:w w:val="115"/>
          <w:sz w:val="18"/>
        </w:rPr>
        <w:t xml:space="preserve"> </w:t>
      </w:r>
      <w:r>
        <w:rPr>
          <w:rFonts w:ascii="Gill Sans MT" w:hAnsi="Gill Sans MT"/>
          <w:color w:val="231F20"/>
          <w:w w:val="115"/>
          <w:sz w:val="18"/>
        </w:rPr>
        <w:t>sentences Günter</w:t>
      </w:r>
      <w:r>
        <w:rPr>
          <w:rFonts w:ascii="Gill Sans MT" w:hAnsi="Gill Sans MT"/>
          <w:color w:val="231F20"/>
          <w:spacing w:val="-30"/>
          <w:w w:val="115"/>
          <w:sz w:val="18"/>
        </w:rPr>
        <w:t xml:space="preserve"> </w:t>
      </w:r>
      <w:r>
        <w:rPr>
          <w:rFonts w:ascii="Gill Sans MT" w:hAnsi="Gill Sans MT"/>
          <w:color w:val="231F20"/>
          <w:w w:val="115"/>
          <w:sz w:val="18"/>
        </w:rPr>
        <w:t>Sonnenberg</w:t>
      </w:r>
      <w:r>
        <w:rPr>
          <w:rFonts w:ascii="Gill Sans MT" w:hAnsi="Gill Sans MT"/>
          <w:color w:val="231F20"/>
          <w:spacing w:val="-30"/>
          <w:w w:val="115"/>
          <w:sz w:val="18"/>
        </w:rPr>
        <w:t xml:space="preserve"> </w:t>
      </w:r>
      <w:r>
        <w:rPr>
          <w:rFonts w:ascii="Gill Sans MT" w:hAnsi="Gill Sans MT"/>
          <w:color w:val="231F20"/>
          <w:w w:val="115"/>
          <w:sz w:val="18"/>
        </w:rPr>
        <w:t>to</w:t>
      </w:r>
      <w:r>
        <w:rPr>
          <w:rFonts w:ascii="Gill Sans MT" w:hAnsi="Gill Sans MT"/>
          <w:color w:val="231F20"/>
          <w:spacing w:val="-30"/>
          <w:w w:val="115"/>
          <w:sz w:val="18"/>
        </w:rPr>
        <w:t xml:space="preserve"> </w:t>
      </w:r>
      <w:r>
        <w:rPr>
          <w:rFonts w:ascii="Gill Sans MT" w:hAnsi="Gill Sans MT"/>
          <w:color w:val="231F20"/>
          <w:w w:val="115"/>
          <w:sz w:val="18"/>
        </w:rPr>
        <w:t>two</w:t>
      </w:r>
      <w:r>
        <w:rPr>
          <w:rFonts w:ascii="Gill Sans MT" w:hAnsi="Gill Sans MT"/>
          <w:color w:val="231F20"/>
          <w:spacing w:val="-30"/>
          <w:w w:val="115"/>
          <w:sz w:val="18"/>
        </w:rPr>
        <w:t xml:space="preserve"> </w:t>
      </w:r>
      <w:r>
        <w:rPr>
          <w:rFonts w:ascii="Gill Sans MT" w:hAnsi="Gill Sans MT"/>
          <w:color w:val="231F20"/>
          <w:w w:val="115"/>
          <w:sz w:val="18"/>
        </w:rPr>
        <w:t>life prison</w:t>
      </w:r>
      <w:r>
        <w:rPr>
          <w:rFonts w:ascii="Gill Sans MT" w:hAnsi="Gill Sans MT"/>
          <w:color w:val="231F20"/>
          <w:spacing w:val="-10"/>
          <w:w w:val="115"/>
          <w:sz w:val="18"/>
        </w:rPr>
        <w:t xml:space="preserve"> </w:t>
      </w:r>
      <w:r>
        <w:rPr>
          <w:rFonts w:ascii="Gill Sans MT" w:hAnsi="Gill Sans MT"/>
          <w:color w:val="231F20"/>
          <w:w w:val="115"/>
          <w:sz w:val="18"/>
        </w:rPr>
        <w:t>sentences.</w:t>
      </w:r>
    </w:p>
    <w:p w14:paraId="4017FBF9" w14:textId="77777777" w:rsidR="002653E8" w:rsidRDefault="002653E8">
      <w:pPr>
        <w:pStyle w:val="a3"/>
        <w:spacing w:before="6"/>
        <w:rPr>
          <w:rFonts w:ascii="Gill Sans MT"/>
        </w:rPr>
      </w:pPr>
    </w:p>
    <w:p w14:paraId="732A6595" w14:textId="77777777" w:rsidR="002653E8" w:rsidRDefault="003115E3">
      <w:pPr>
        <w:ind w:left="199"/>
        <w:rPr>
          <w:rFonts w:ascii="Arial"/>
          <w:b/>
          <w:sz w:val="18"/>
        </w:rPr>
      </w:pPr>
      <w:r>
        <w:rPr>
          <w:rFonts w:ascii="Arial"/>
          <w:b/>
          <w:color w:val="231F20"/>
          <w:w w:val="120"/>
          <w:sz w:val="18"/>
        </w:rPr>
        <w:t>May 11, 1978</w:t>
      </w:r>
    </w:p>
    <w:p w14:paraId="3C87F513" w14:textId="77777777" w:rsidR="002653E8" w:rsidRDefault="00C507A5">
      <w:pPr>
        <w:spacing w:before="35" w:line="276" w:lineRule="auto"/>
        <w:ind w:left="199" w:right="1249"/>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member Stefan Wisniewski is arrested at Orly Airport in Paris. He is in possession of a letter from </w:t>
      </w:r>
      <w:r>
        <w:rPr>
          <w:rFonts w:ascii="Gill Sans MT" w:hAnsi="Gill Sans MT"/>
          <w:color w:val="231F20"/>
          <w:w w:val="110"/>
          <w:sz w:val="18"/>
        </w:rPr>
        <w:t>red army faction</w:t>
      </w:r>
      <w:r w:rsidR="003115E3">
        <w:rPr>
          <w:rFonts w:ascii="Gill Sans MT" w:hAnsi="Gill Sans MT"/>
          <w:color w:val="231F20"/>
          <w:w w:val="110"/>
          <w:sz w:val="18"/>
        </w:rPr>
        <w:t xml:space="preserve"> prisoner Karl-Heinz dellwo criticizing the Schleyer kidnapping, along with forty capsules of narcotics for </w:t>
      </w:r>
      <w:r>
        <w:rPr>
          <w:rFonts w:ascii="Gill Sans MT" w:hAnsi="Gill Sans MT"/>
          <w:color w:val="231F20"/>
          <w:w w:val="110"/>
          <w:sz w:val="18"/>
        </w:rPr>
        <w:t>red army faction</w:t>
      </w:r>
      <w:r w:rsidR="003115E3">
        <w:rPr>
          <w:rFonts w:ascii="Gill Sans MT" w:hAnsi="Gill Sans MT"/>
          <w:color w:val="231F20"/>
          <w:w w:val="110"/>
          <w:sz w:val="18"/>
        </w:rPr>
        <w:t xml:space="preserve"> member Peter-Jürgen Boock, a</w:t>
      </w:r>
    </w:p>
    <w:p w14:paraId="46D19BC4" w14:textId="77777777" w:rsidR="002653E8" w:rsidRDefault="003115E3">
      <w:pPr>
        <w:spacing w:line="208" w:lineRule="exact"/>
        <w:ind w:left="199"/>
        <w:rPr>
          <w:rFonts w:ascii="Gill Sans MT"/>
          <w:sz w:val="18"/>
        </w:rPr>
      </w:pPr>
      <w:r>
        <w:rPr>
          <w:rFonts w:ascii="Gill Sans MT"/>
          <w:color w:val="231F20"/>
          <w:w w:val="115"/>
          <w:sz w:val="18"/>
        </w:rPr>
        <w:t>drug addict.</w:t>
      </w:r>
    </w:p>
    <w:p w14:paraId="72517B14" w14:textId="77777777" w:rsidR="002653E8" w:rsidRDefault="002653E8">
      <w:pPr>
        <w:pStyle w:val="a3"/>
        <w:spacing w:before="2"/>
        <w:rPr>
          <w:rFonts w:ascii="Gill Sans MT"/>
          <w:sz w:val="23"/>
        </w:rPr>
      </w:pPr>
    </w:p>
    <w:p w14:paraId="3AEB960B" w14:textId="77777777" w:rsidR="002653E8" w:rsidRDefault="003115E3">
      <w:pPr>
        <w:spacing w:before="1"/>
        <w:ind w:left="199"/>
        <w:rPr>
          <w:rFonts w:ascii="Arial"/>
          <w:b/>
          <w:sz w:val="18"/>
        </w:rPr>
      </w:pPr>
      <w:r>
        <w:rPr>
          <w:rFonts w:ascii="Arial"/>
          <w:b/>
          <w:color w:val="231F20"/>
          <w:w w:val="115"/>
          <w:sz w:val="18"/>
        </w:rPr>
        <w:t>June 30, 1978</w:t>
      </w:r>
    </w:p>
    <w:p w14:paraId="7AE7ED7F" w14:textId="77777777" w:rsidR="002653E8" w:rsidRDefault="00C507A5">
      <w:pPr>
        <w:spacing w:before="34" w:line="276" w:lineRule="auto"/>
        <w:ind w:left="199" w:right="1365"/>
        <w:rPr>
          <w:rFonts w:ascii="Gill Sans MT" w:hAnsi="Gill Sans MT"/>
          <w:sz w:val="18"/>
        </w:rPr>
      </w:pPr>
      <w:r>
        <w:rPr>
          <w:rFonts w:ascii="Gill Sans MT" w:hAnsi="Gill Sans MT"/>
          <w:color w:val="231F20"/>
          <w:w w:val="115"/>
          <w:sz w:val="18"/>
        </w:rPr>
        <w:t>red army faction</w:t>
      </w:r>
      <w:r w:rsidR="003115E3">
        <w:rPr>
          <w:rFonts w:ascii="Gill Sans MT" w:hAnsi="Gill Sans MT"/>
          <w:color w:val="231F20"/>
          <w:w w:val="115"/>
          <w:sz w:val="18"/>
        </w:rPr>
        <w:t xml:space="preserve"> members, Sieglinde Hofmann,</w:t>
      </w:r>
      <w:r w:rsidR="003115E3">
        <w:rPr>
          <w:rFonts w:ascii="Gill Sans MT" w:hAnsi="Gill Sans MT"/>
          <w:color w:val="231F20"/>
          <w:w w:val="111"/>
          <w:sz w:val="18"/>
        </w:rPr>
        <w:t xml:space="preserve"> </w:t>
      </w:r>
      <w:r w:rsidR="003115E3">
        <w:rPr>
          <w:rFonts w:ascii="Gill Sans MT" w:hAnsi="Gill Sans MT"/>
          <w:color w:val="231F20"/>
          <w:w w:val="115"/>
          <w:sz w:val="18"/>
        </w:rPr>
        <w:t>Brigitte Mohnhaupt, Rolf Clemens Wagner, and Peter-Jürgen Boock are arrested in Yugoslavia.</w:t>
      </w:r>
    </w:p>
    <w:p w14:paraId="2E8F289C" w14:textId="77777777" w:rsidR="002653E8" w:rsidRDefault="002653E8">
      <w:pPr>
        <w:spacing w:line="276" w:lineRule="auto"/>
        <w:rPr>
          <w:rFonts w:ascii="Gill Sans MT" w:hAnsi="Gill Sans MT"/>
          <w:sz w:val="18"/>
        </w:rPr>
        <w:sectPr w:rsidR="002653E8">
          <w:footerReference w:type="default" r:id="rId525"/>
          <w:pgSz w:w="8640" w:h="12960"/>
          <w:pgMar w:top="1060" w:right="0" w:bottom="280" w:left="0" w:header="0" w:footer="0" w:gutter="0"/>
          <w:cols w:num="2" w:space="720" w:equalWidth="0">
            <w:col w:w="4111" w:space="40"/>
            <w:col w:w="4489"/>
          </w:cols>
        </w:sectPr>
      </w:pPr>
    </w:p>
    <w:p w14:paraId="4515ABBC" w14:textId="77777777" w:rsidR="002653E8" w:rsidRDefault="002653E8">
      <w:pPr>
        <w:pStyle w:val="a3"/>
        <w:rPr>
          <w:rFonts w:ascii="Gill Sans MT"/>
        </w:rPr>
      </w:pPr>
    </w:p>
    <w:p w14:paraId="6B6A1493" w14:textId="77777777" w:rsidR="002653E8" w:rsidRDefault="002653E8">
      <w:pPr>
        <w:pStyle w:val="a3"/>
        <w:rPr>
          <w:rFonts w:ascii="Gill Sans MT"/>
        </w:rPr>
      </w:pPr>
    </w:p>
    <w:p w14:paraId="5FA43DF7" w14:textId="77777777" w:rsidR="002653E8" w:rsidRDefault="003115E3">
      <w:pPr>
        <w:tabs>
          <w:tab w:val="left" w:pos="3677"/>
        </w:tabs>
        <w:spacing w:before="214"/>
        <w:ind w:left="1147"/>
        <w:rPr>
          <w:sz w:val="18"/>
        </w:rPr>
      </w:pPr>
      <w:r>
        <w:rPr>
          <w:color w:val="231F20"/>
          <w:spacing w:val="15"/>
          <w:w w:val="110"/>
          <w:position w:val="5"/>
          <w:sz w:val="18"/>
        </w:rPr>
        <w:lastRenderedPageBreak/>
        <w:t>610</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35"/>
          <w:w w:val="110"/>
          <w:sz w:val="18"/>
        </w:rPr>
        <w:t xml:space="preserve"> </w:t>
      </w:r>
      <w:r>
        <w:rPr>
          <w:color w:val="231F20"/>
          <w:spacing w:val="20"/>
          <w:w w:val="110"/>
          <w:sz w:val="18"/>
        </w:rPr>
        <w:t>germany</w:t>
      </w:r>
      <w:r>
        <w:rPr>
          <w:color w:val="231F20"/>
          <w:spacing w:val="-15"/>
          <w:sz w:val="18"/>
        </w:rPr>
        <w:t xml:space="preserve"> </w:t>
      </w:r>
    </w:p>
    <w:p w14:paraId="3AEA2298" w14:textId="77777777" w:rsidR="002653E8" w:rsidRDefault="003115E3">
      <w:pPr>
        <w:spacing w:before="5"/>
        <w:ind w:left="5490"/>
        <w:rPr>
          <w:sz w:val="18"/>
        </w:rPr>
      </w:pPr>
      <w:r>
        <w:rPr>
          <w:color w:val="231F20"/>
          <w:spacing w:val="16"/>
          <w:w w:val="110"/>
          <w:sz w:val="18"/>
        </w:rPr>
        <w:t xml:space="preserve">january  </w:t>
      </w:r>
      <w:r>
        <w:rPr>
          <w:color w:val="231F20"/>
          <w:spacing w:val="15"/>
          <w:w w:val="110"/>
          <w:sz w:val="18"/>
        </w:rPr>
        <w:t>21,</w:t>
      </w:r>
      <w:r>
        <w:rPr>
          <w:color w:val="231F20"/>
          <w:spacing w:val="68"/>
          <w:w w:val="110"/>
          <w:sz w:val="18"/>
        </w:rPr>
        <w:t xml:space="preserve"> </w:t>
      </w:r>
      <w:r>
        <w:rPr>
          <w:color w:val="231F20"/>
          <w:spacing w:val="17"/>
          <w:w w:val="110"/>
          <w:sz w:val="18"/>
        </w:rPr>
        <w:t>1978</w:t>
      </w:r>
      <w:r>
        <w:rPr>
          <w:color w:val="231F20"/>
          <w:spacing w:val="-15"/>
          <w:sz w:val="18"/>
        </w:rPr>
        <w:t xml:space="preserve"> </w:t>
      </w:r>
    </w:p>
    <w:p w14:paraId="433DF058" w14:textId="77777777" w:rsidR="002653E8" w:rsidRDefault="002653E8">
      <w:pPr>
        <w:rPr>
          <w:sz w:val="18"/>
        </w:rPr>
        <w:sectPr w:rsidR="002653E8">
          <w:type w:val="continuous"/>
          <w:pgSz w:w="8640" w:h="12960"/>
          <w:pgMar w:top="0" w:right="0" w:bottom="0" w:left="0" w:header="720" w:footer="720" w:gutter="0"/>
          <w:cols w:space="720"/>
        </w:sectPr>
      </w:pPr>
    </w:p>
    <w:p w14:paraId="3A3A329E" w14:textId="77777777" w:rsidR="002653E8" w:rsidRDefault="003115E3">
      <w:pPr>
        <w:spacing w:before="91"/>
        <w:ind w:left="1327"/>
        <w:rPr>
          <w:rFonts w:ascii="Arial"/>
          <w:b/>
          <w:sz w:val="18"/>
        </w:rPr>
      </w:pPr>
      <w:r>
        <w:rPr>
          <w:rFonts w:ascii="Arial"/>
          <w:b/>
          <w:color w:val="231F20"/>
          <w:w w:val="115"/>
          <w:sz w:val="18"/>
        </w:rPr>
        <w:lastRenderedPageBreak/>
        <w:t>July 10, 1978</w:t>
      </w:r>
    </w:p>
    <w:p w14:paraId="65B49849" w14:textId="77777777" w:rsidR="002653E8" w:rsidRDefault="003115E3">
      <w:pPr>
        <w:spacing w:before="34" w:line="276" w:lineRule="auto"/>
        <w:ind w:left="1327" w:right="259"/>
        <w:rPr>
          <w:rFonts w:ascii="Gill Sans MT"/>
          <w:sz w:val="18"/>
        </w:rPr>
      </w:pPr>
      <w:r>
        <w:rPr>
          <w:rFonts w:ascii="Gill Sans MT"/>
          <w:color w:val="231F20"/>
          <w:w w:val="110"/>
          <w:sz w:val="18"/>
        </w:rPr>
        <w:t>The Hamburg OLG sentences attorney Kurt Groenewold to two years probation and a fine of</w:t>
      </w:r>
    </w:p>
    <w:p w14:paraId="5C430DE5" w14:textId="77777777" w:rsidR="002653E8" w:rsidRDefault="003115E3">
      <w:pPr>
        <w:spacing w:line="276" w:lineRule="auto"/>
        <w:ind w:left="1327" w:right="22"/>
        <w:rPr>
          <w:rFonts w:ascii="Gill Sans MT"/>
          <w:sz w:val="18"/>
        </w:rPr>
      </w:pPr>
      <w:r>
        <w:rPr>
          <w:rFonts w:ascii="Arial"/>
          <w:color w:val="231F20"/>
          <w:w w:val="115"/>
          <w:sz w:val="18"/>
        </w:rPr>
        <w:t>75</w:t>
      </w:r>
      <w:r>
        <w:rPr>
          <w:rFonts w:ascii="Gill Sans MT"/>
          <w:color w:val="231F20"/>
          <w:w w:val="115"/>
          <w:sz w:val="18"/>
        </w:rPr>
        <w:t>,</w:t>
      </w:r>
      <w:r>
        <w:rPr>
          <w:rFonts w:ascii="Arial"/>
          <w:color w:val="231F20"/>
          <w:w w:val="115"/>
          <w:sz w:val="18"/>
        </w:rPr>
        <w:t>000</w:t>
      </w:r>
      <w:r>
        <w:rPr>
          <w:rFonts w:ascii="Arial"/>
          <w:color w:val="231F20"/>
          <w:spacing w:val="-41"/>
          <w:w w:val="115"/>
          <w:sz w:val="18"/>
        </w:rPr>
        <w:t xml:space="preserve"> </w:t>
      </w:r>
      <w:r>
        <w:rPr>
          <w:rFonts w:ascii="Gill Sans MT"/>
          <w:color w:val="231F20"/>
          <w:w w:val="115"/>
          <w:sz w:val="18"/>
        </w:rPr>
        <w:t>dM</w:t>
      </w:r>
      <w:r>
        <w:rPr>
          <w:rFonts w:ascii="Gill Sans MT"/>
          <w:color w:val="231F20"/>
          <w:spacing w:val="-29"/>
          <w:w w:val="115"/>
          <w:sz w:val="18"/>
        </w:rPr>
        <w:t xml:space="preserve"> </w:t>
      </w:r>
      <w:r>
        <w:rPr>
          <w:rFonts w:ascii="Gill Sans MT"/>
          <w:color w:val="231F20"/>
          <w:w w:val="115"/>
          <w:sz w:val="18"/>
        </w:rPr>
        <w:t>for</w:t>
      </w:r>
      <w:r>
        <w:rPr>
          <w:rFonts w:ascii="Gill Sans MT"/>
          <w:color w:val="231F20"/>
          <w:spacing w:val="-29"/>
          <w:w w:val="115"/>
          <w:sz w:val="18"/>
        </w:rPr>
        <w:t xml:space="preserve"> </w:t>
      </w:r>
      <w:r>
        <w:rPr>
          <w:rFonts w:ascii="Gill Sans MT"/>
          <w:color w:val="231F20"/>
          <w:w w:val="115"/>
          <w:sz w:val="18"/>
        </w:rPr>
        <w:t>supporting</w:t>
      </w:r>
      <w:r>
        <w:rPr>
          <w:rFonts w:ascii="Gill Sans MT"/>
          <w:color w:val="231F20"/>
          <w:spacing w:val="-29"/>
          <w:w w:val="115"/>
          <w:sz w:val="18"/>
        </w:rPr>
        <w:t xml:space="preserve"> </w:t>
      </w:r>
      <w:r>
        <w:rPr>
          <w:rFonts w:ascii="Gill Sans MT"/>
          <w:color w:val="231F20"/>
          <w:w w:val="115"/>
          <w:sz w:val="18"/>
        </w:rPr>
        <w:t>a</w:t>
      </w:r>
      <w:r>
        <w:rPr>
          <w:rFonts w:ascii="Gill Sans MT"/>
          <w:color w:val="231F20"/>
          <w:spacing w:val="-29"/>
          <w:w w:val="115"/>
          <w:sz w:val="18"/>
        </w:rPr>
        <w:t xml:space="preserve"> </w:t>
      </w:r>
      <w:r>
        <w:rPr>
          <w:rFonts w:ascii="Gill Sans MT"/>
          <w:color w:val="231F20"/>
          <w:w w:val="115"/>
          <w:sz w:val="18"/>
        </w:rPr>
        <w:t>criminal organization.</w:t>
      </w:r>
    </w:p>
    <w:p w14:paraId="1379012E" w14:textId="77777777" w:rsidR="002653E8" w:rsidRDefault="002653E8">
      <w:pPr>
        <w:pStyle w:val="a3"/>
        <w:spacing w:before="5"/>
        <w:rPr>
          <w:rFonts w:ascii="Gill Sans MT"/>
        </w:rPr>
      </w:pPr>
    </w:p>
    <w:p w14:paraId="242F0646" w14:textId="77777777" w:rsidR="002653E8" w:rsidRDefault="003115E3">
      <w:pPr>
        <w:ind w:left="1327"/>
        <w:rPr>
          <w:rFonts w:ascii="Arial"/>
          <w:b/>
          <w:sz w:val="18"/>
        </w:rPr>
      </w:pPr>
      <w:r>
        <w:rPr>
          <w:rFonts w:ascii="Arial"/>
          <w:b/>
          <w:color w:val="231F20"/>
          <w:w w:val="115"/>
          <w:sz w:val="18"/>
        </w:rPr>
        <w:t>September 6, 1978</w:t>
      </w:r>
    </w:p>
    <w:p w14:paraId="3B1066A0" w14:textId="77777777" w:rsidR="002653E8" w:rsidRDefault="00C507A5">
      <w:pPr>
        <w:spacing w:before="35" w:line="276" w:lineRule="auto"/>
        <w:ind w:left="1327" w:right="516"/>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member Willi-Peter Stoll is shot dead by police in a düsseldorf restaurant.</w:t>
      </w:r>
    </w:p>
    <w:p w14:paraId="7F3DCEA1" w14:textId="77777777" w:rsidR="002653E8" w:rsidRDefault="002653E8">
      <w:pPr>
        <w:pStyle w:val="a3"/>
        <w:spacing w:before="6"/>
        <w:rPr>
          <w:rFonts w:ascii="Gill Sans MT"/>
        </w:rPr>
      </w:pPr>
    </w:p>
    <w:p w14:paraId="012CF3C6" w14:textId="77777777" w:rsidR="002653E8" w:rsidRDefault="003115E3">
      <w:pPr>
        <w:ind w:left="1327"/>
        <w:rPr>
          <w:rFonts w:ascii="Arial"/>
          <w:b/>
          <w:sz w:val="18"/>
        </w:rPr>
      </w:pPr>
      <w:r>
        <w:rPr>
          <w:rFonts w:ascii="Arial"/>
          <w:b/>
          <w:color w:val="231F20"/>
          <w:w w:val="115"/>
          <w:sz w:val="18"/>
        </w:rPr>
        <w:t>September 15, 1978</w:t>
      </w:r>
    </w:p>
    <w:p w14:paraId="34909B04" w14:textId="77777777" w:rsidR="002653E8" w:rsidRDefault="003115E3">
      <w:pPr>
        <w:spacing w:before="35" w:line="276" w:lineRule="auto"/>
        <w:ind w:left="1327" w:right="184"/>
        <w:rPr>
          <w:rFonts w:ascii="Gill Sans MT"/>
          <w:sz w:val="18"/>
        </w:rPr>
      </w:pPr>
      <w:r>
        <w:rPr>
          <w:rFonts w:ascii="Gill Sans MT"/>
          <w:color w:val="231F20"/>
          <w:w w:val="110"/>
          <w:sz w:val="18"/>
        </w:rPr>
        <w:t xml:space="preserve">Former </w:t>
      </w:r>
      <w:r w:rsidR="00C507A5">
        <w:rPr>
          <w:rFonts w:ascii="Gill Sans MT"/>
          <w:color w:val="231F20"/>
          <w:w w:val="110"/>
          <w:sz w:val="18"/>
        </w:rPr>
        <w:t>red army faction</w:t>
      </w:r>
      <w:r>
        <w:rPr>
          <w:rFonts w:ascii="Gill Sans MT"/>
          <w:color w:val="231F20"/>
          <w:w w:val="110"/>
          <w:sz w:val="18"/>
        </w:rPr>
        <w:t xml:space="preserve"> member Astrid Proll, who has been living under the name of Anna Puttick in London, is arrested by British police. She is extradited less than a year later</w:t>
      </w:r>
      <w:r>
        <w:rPr>
          <w:rFonts w:ascii="Gill Sans MT"/>
          <w:color w:val="231F20"/>
          <w:spacing w:val="-9"/>
          <w:w w:val="110"/>
          <w:sz w:val="18"/>
        </w:rPr>
        <w:t xml:space="preserve"> </w:t>
      </w:r>
      <w:r>
        <w:rPr>
          <w:rFonts w:ascii="Gill Sans MT"/>
          <w:color w:val="231F20"/>
          <w:w w:val="110"/>
          <w:sz w:val="18"/>
        </w:rPr>
        <w:t xml:space="preserve">to </w:t>
      </w:r>
      <w:r>
        <w:rPr>
          <w:rFonts w:ascii="Gill Sans MT"/>
          <w:color w:val="231F20"/>
          <w:spacing w:val="-3"/>
          <w:w w:val="110"/>
          <w:sz w:val="18"/>
        </w:rPr>
        <w:t>West</w:t>
      </w:r>
      <w:r>
        <w:rPr>
          <w:rFonts w:ascii="Gill Sans MT"/>
          <w:color w:val="231F20"/>
          <w:spacing w:val="-7"/>
          <w:w w:val="110"/>
          <w:sz w:val="18"/>
        </w:rPr>
        <w:t xml:space="preserve"> </w:t>
      </w:r>
      <w:r>
        <w:rPr>
          <w:rFonts w:ascii="Gill Sans MT"/>
          <w:color w:val="231F20"/>
          <w:w w:val="110"/>
          <w:sz w:val="18"/>
        </w:rPr>
        <w:t>Germany.</w:t>
      </w:r>
    </w:p>
    <w:p w14:paraId="2A97C91D" w14:textId="77777777" w:rsidR="002653E8" w:rsidRDefault="002653E8">
      <w:pPr>
        <w:pStyle w:val="a3"/>
        <w:spacing w:before="5"/>
        <w:rPr>
          <w:rFonts w:ascii="Gill Sans MT"/>
        </w:rPr>
      </w:pPr>
    </w:p>
    <w:p w14:paraId="1C0B28A7" w14:textId="77777777" w:rsidR="002653E8" w:rsidRDefault="003115E3">
      <w:pPr>
        <w:spacing w:before="1"/>
        <w:ind w:left="1327"/>
        <w:rPr>
          <w:rFonts w:ascii="Arial"/>
          <w:b/>
          <w:sz w:val="18"/>
        </w:rPr>
      </w:pPr>
      <w:r>
        <w:rPr>
          <w:rFonts w:ascii="Arial"/>
          <w:b/>
          <w:color w:val="231F20"/>
          <w:w w:val="115"/>
          <w:sz w:val="18"/>
        </w:rPr>
        <w:t>September 24, 1978</w:t>
      </w:r>
    </w:p>
    <w:p w14:paraId="732358F5" w14:textId="77777777" w:rsidR="002653E8" w:rsidRDefault="00C507A5">
      <w:pPr>
        <w:spacing w:before="34" w:line="276" w:lineRule="auto"/>
        <w:ind w:left="1327" w:right="-18"/>
        <w:rPr>
          <w:rFonts w:ascii="Gill Sans MT"/>
          <w:sz w:val="18"/>
        </w:rPr>
      </w:pPr>
      <w:r>
        <w:rPr>
          <w:rFonts w:ascii="Gill Sans MT"/>
          <w:color w:val="231F20"/>
          <w:w w:val="115"/>
          <w:sz w:val="18"/>
        </w:rPr>
        <w:t>red army faction</w:t>
      </w:r>
      <w:r w:rsidR="003115E3">
        <w:rPr>
          <w:rFonts w:ascii="Gill Sans MT"/>
          <w:color w:val="231F20"/>
          <w:w w:val="115"/>
          <w:sz w:val="18"/>
        </w:rPr>
        <w:t xml:space="preserve"> members Angelika Speitel and Michael Knoll are wounded and arrested in a shoot-out in which police</w:t>
      </w:r>
      <w:r w:rsidR="003115E3">
        <w:rPr>
          <w:rFonts w:ascii="Gill Sans MT"/>
          <w:color w:val="231F20"/>
          <w:spacing w:val="-39"/>
          <w:w w:val="115"/>
          <w:sz w:val="18"/>
        </w:rPr>
        <w:t xml:space="preserve"> </w:t>
      </w:r>
      <w:r w:rsidR="003115E3">
        <w:rPr>
          <w:rFonts w:ascii="Gill Sans MT"/>
          <w:color w:val="231F20"/>
          <w:w w:val="115"/>
          <w:sz w:val="18"/>
        </w:rPr>
        <w:t>officer</w:t>
      </w:r>
      <w:r w:rsidR="003115E3">
        <w:rPr>
          <w:rFonts w:ascii="Gill Sans MT"/>
          <w:color w:val="231F20"/>
          <w:spacing w:val="-39"/>
          <w:w w:val="115"/>
          <w:sz w:val="18"/>
        </w:rPr>
        <w:t xml:space="preserve"> </w:t>
      </w:r>
      <w:r w:rsidR="003115E3">
        <w:rPr>
          <w:rFonts w:ascii="Gill Sans MT"/>
          <w:color w:val="231F20"/>
          <w:w w:val="115"/>
          <w:sz w:val="18"/>
        </w:rPr>
        <w:t>Hans-Wilhelm</w:t>
      </w:r>
      <w:r w:rsidR="003115E3">
        <w:rPr>
          <w:rFonts w:ascii="Gill Sans MT"/>
          <w:color w:val="231F20"/>
          <w:spacing w:val="-39"/>
          <w:w w:val="115"/>
          <w:sz w:val="18"/>
        </w:rPr>
        <w:t xml:space="preserve"> </w:t>
      </w:r>
      <w:r w:rsidR="003115E3">
        <w:rPr>
          <w:rFonts w:ascii="Gill Sans MT"/>
          <w:color w:val="231F20"/>
          <w:w w:val="115"/>
          <w:sz w:val="18"/>
        </w:rPr>
        <w:t>Hansen is</w:t>
      </w:r>
      <w:r w:rsidR="003115E3">
        <w:rPr>
          <w:rFonts w:ascii="Gill Sans MT"/>
          <w:color w:val="231F20"/>
          <w:spacing w:val="-37"/>
          <w:w w:val="115"/>
          <w:sz w:val="18"/>
        </w:rPr>
        <w:t xml:space="preserve"> </w:t>
      </w:r>
      <w:r w:rsidR="003115E3">
        <w:rPr>
          <w:rFonts w:ascii="Gill Sans MT"/>
          <w:color w:val="231F20"/>
          <w:w w:val="115"/>
          <w:sz w:val="18"/>
        </w:rPr>
        <w:t>killed.</w:t>
      </w:r>
      <w:r w:rsidR="003115E3">
        <w:rPr>
          <w:rFonts w:ascii="Gill Sans MT"/>
          <w:color w:val="231F20"/>
          <w:spacing w:val="-37"/>
          <w:w w:val="115"/>
          <w:sz w:val="18"/>
        </w:rPr>
        <w:t xml:space="preserve"> </w:t>
      </w:r>
      <w:r>
        <w:rPr>
          <w:rFonts w:ascii="Gill Sans MT"/>
          <w:color w:val="231F20"/>
          <w:w w:val="115"/>
          <w:sz w:val="18"/>
        </w:rPr>
        <w:t>red army faction</w:t>
      </w:r>
      <w:r w:rsidR="003115E3">
        <w:rPr>
          <w:rFonts w:ascii="Gill Sans MT"/>
          <w:color w:val="231F20"/>
          <w:spacing w:val="-37"/>
          <w:w w:val="115"/>
          <w:sz w:val="18"/>
        </w:rPr>
        <w:t xml:space="preserve"> </w:t>
      </w:r>
      <w:r w:rsidR="003115E3">
        <w:rPr>
          <w:rFonts w:ascii="Gill Sans MT"/>
          <w:color w:val="231F20"/>
          <w:w w:val="115"/>
          <w:sz w:val="18"/>
        </w:rPr>
        <w:t>member</w:t>
      </w:r>
      <w:r w:rsidR="003115E3">
        <w:rPr>
          <w:rFonts w:ascii="Gill Sans MT"/>
          <w:color w:val="231F20"/>
          <w:spacing w:val="-37"/>
          <w:w w:val="115"/>
          <w:sz w:val="18"/>
        </w:rPr>
        <w:t xml:space="preserve"> </w:t>
      </w:r>
      <w:r w:rsidR="003115E3">
        <w:rPr>
          <w:rFonts w:ascii="Gill Sans MT"/>
          <w:color w:val="231F20"/>
          <w:w w:val="115"/>
          <w:sz w:val="18"/>
        </w:rPr>
        <w:t>Werner</w:t>
      </w:r>
      <w:r w:rsidR="003115E3">
        <w:rPr>
          <w:rFonts w:ascii="Gill Sans MT"/>
          <w:color w:val="231F20"/>
          <w:spacing w:val="-37"/>
          <w:w w:val="115"/>
          <w:sz w:val="18"/>
        </w:rPr>
        <w:t xml:space="preserve"> </w:t>
      </w:r>
      <w:r w:rsidR="003115E3">
        <w:rPr>
          <w:rFonts w:ascii="Gill Sans MT"/>
          <w:color w:val="231F20"/>
          <w:w w:val="115"/>
          <w:sz w:val="18"/>
        </w:rPr>
        <w:t>Lotze escapes. Michael</w:t>
      </w:r>
      <w:r w:rsidR="003115E3">
        <w:rPr>
          <w:rFonts w:ascii="Gill Sans MT"/>
          <w:color w:val="231F20"/>
          <w:spacing w:val="-46"/>
          <w:w w:val="115"/>
          <w:sz w:val="18"/>
        </w:rPr>
        <w:t xml:space="preserve"> </w:t>
      </w:r>
      <w:r w:rsidR="003115E3">
        <w:rPr>
          <w:rFonts w:ascii="Gill Sans MT"/>
          <w:color w:val="231F20"/>
          <w:w w:val="115"/>
          <w:sz w:val="18"/>
        </w:rPr>
        <w:t>Knoll</w:t>
      </w:r>
      <w:r w:rsidR="003115E3">
        <w:rPr>
          <w:rFonts w:ascii="Gill Sans MT"/>
          <w:color w:val="231F20"/>
          <w:spacing w:val="-23"/>
          <w:w w:val="115"/>
          <w:sz w:val="18"/>
        </w:rPr>
        <w:t xml:space="preserve"> </w:t>
      </w:r>
      <w:r w:rsidR="003115E3">
        <w:rPr>
          <w:rFonts w:ascii="Gill Sans MT"/>
          <w:color w:val="231F20"/>
          <w:w w:val="115"/>
          <w:sz w:val="18"/>
        </w:rPr>
        <w:t>subsequently</w:t>
      </w:r>
      <w:r w:rsidR="003115E3">
        <w:rPr>
          <w:rFonts w:ascii="Gill Sans MT"/>
          <w:color w:val="231F20"/>
          <w:w w:val="113"/>
          <w:sz w:val="18"/>
        </w:rPr>
        <w:t xml:space="preserve"> </w:t>
      </w:r>
      <w:r w:rsidR="003115E3">
        <w:rPr>
          <w:rFonts w:ascii="Gill Sans MT"/>
          <w:color w:val="231F20"/>
          <w:w w:val="115"/>
          <w:sz w:val="18"/>
        </w:rPr>
        <w:t>dies of his</w:t>
      </w:r>
      <w:r w:rsidR="003115E3">
        <w:rPr>
          <w:rFonts w:ascii="Gill Sans MT"/>
          <w:color w:val="231F20"/>
          <w:spacing w:val="-27"/>
          <w:w w:val="115"/>
          <w:sz w:val="18"/>
        </w:rPr>
        <w:t xml:space="preserve"> </w:t>
      </w:r>
      <w:r w:rsidR="003115E3">
        <w:rPr>
          <w:rFonts w:ascii="Gill Sans MT"/>
          <w:color w:val="231F20"/>
          <w:w w:val="115"/>
          <w:sz w:val="18"/>
        </w:rPr>
        <w:t>injuries.</w:t>
      </w:r>
    </w:p>
    <w:p w14:paraId="2E189FBC" w14:textId="77777777" w:rsidR="002653E8" w:rsidRDefault="002653E8">
      <w:pPr>
        <w:pStyle w:val="a3"/>
        <w:spacing w:before="6"/>
        <w:rPr>
          <w:rFonts w:ascii="Gill Sans MT"/>
        </w:rPr>
      </w:pPr>
    </w:p>
    <w:p w14:paraId="01B4C0C0" w14:textId="77777777" w:rsidR="002653E8" w:rsidRDefault="003115E3">
      <w:pPr>
        <w:ind w:left="1327"/>
        <w:rPr>
          <w:rFonts w:ascii="Arial"/>
          <w:b/>
          <w:sz w:val="18"/>
        </w:rPr>
      </w:pPr>
      <w:r>
        <w:rPr>
          <w:rFonts w:ascii="Arial"/>
          <w:b/>
          <w:color w:val="231F20"/>
          <w:w w:val="115"/>
          <w:sz w:val="18"/>
        </w:rPr>
        <w:t>November 1, 1978</w:t>
      </w:r>
    </w:p>
    <w:p w14:paraId="0E5323E0" w14:textId="77777777" w:rsidR="002653E8" w:rsidRDefault="00C507A5">
      <w:pPr>
        <w:spacing w:before="35" w:line="276" w:lineRule="auto"/>
        <w:ind w:left="1327" w:right="219"/>
        <w:rPr>
          <w:rFonts w:ascii="Gill Sans MT"/>
          <w:sz w:val="18"/>
        </w:rPr>
      </w:pPr>
      <w:r>
        <w:rPr>
          <w:rFonts w:ascii="Gill Sans MT"/>
          <w:color w:val="231F20"/>
          <w:w w:val="115"/>
          <w:sz w:val="18"/>
        </w:rPr>
        <w:t>red army faction</w:t>
      </w:r>
      <w:r w:rsidR="003115E3">
        <w:rPr>
          <w:rFonts w:ascii="Gill Sans MT"/>
          <w:color w:val="231F20"/>
          <w:w w:val="115"/>
          <w:sz w:val="18"/>
        </w:rPr>
        <w:t xml:space="preserve"> members Rolf Heissler and Adelheid Schulz shoot and kill dutch border guards dionysius de Jong and Johannes Goemans at the Kerkade border crossing into Holland.</w:t>
      </w:r>
    </w:p>
    <w:p w14:paraId="2693FC9B" w14:textId="77777777" w:rsidR="002653E8" w:rsidRDefault="002653E8">
      <w:pPr>
        <w:pStyle w:val="a3"/>
        <w:spacing w:before="6"/>
        <w:rPr>
          <w:rFonts w:ascii="Gill Sans MT"/>
        </w:rPr>
      </w:pPr>
    </w:p>
    <w:p w14:paraId="164E8194" w14:textId="77777777" w:rsidR="002653E8" w:rsidRDefault="003115E3">
      <w:pPr>
        <w:ind w:left="1327"/>
        <w:rPr>
          <w:rFonts w:ascii="Arial"/>
          <w:b/>
          <w:sz w:val="18"/>
        </w:rPr>
      </w:pPr>
      <w:r>
        <w:rPr>
          <w:rFonts w:ascii="Arial"/>
          <w:b/>
          <w:color w:val="231F20"/>
          <w:w w:val="115"/>
          <w:sz w:val="18"/>
        </w:rPr>
        <w:t>November 6, 1978</w:t>
      </w:r>
    </w:p>
    <w:p w14:paraId="5CCDD83D" w14:textId="77777777" w:rsidR="002653E8" w:rsidRDefault="003115E3">
      <w:pPr>
        <w:spacing w:before="35" w:line="276" w:lineRule="auto"/>
        <w:ind w:left="1327" w:right="-17"/>
        <w:rPr>
          <w:rFonts w:ascii="Gill Sans MT" w:hAnsi="Gill Sans MT"/>
          <w:sz w:val="18"/>
        </w:rPr>
      </w:pPr>
      <w:r>
        <w:rPr>
          <w:rFonts w:ascii="Gill Sans MT" w:hAnsi="Gill Sans MT"/>
          <w:color w:val="231F20"/>
          <w:w w:val="110"/>
          <w:sz w:val="18"/>
        </w:rPr>
        <w:t>Former</w:t>
      </w:r>
      <w:r>
        <w:rPr>
          <w:rFonts w:ascii="Gill Sans MT" w:hAnsi="Gill Sans MT"/>
          <w:color w:val="231F20"/>
          <w:spacing w:val="-11"/>
          <w:w w:val="110"/>
          <w:sz w:val="18"/>
        </w:rPr>
        <w:t xml:space="preserve"> </w:t>
      </w:r>
      <w:r w:rsidR="00C507A5">
        <w:rPr>
          <w:rFonts w:ascii="Gill Sans MT" w:hAnsi="Gill Sans MT"/>
          <w:color w:val="231F20"/>
          <w:w w:val="110"/>
          <w:sz w:val="18"/>
        </w:rPr>
        <w:t>red army faction</w:t>
      </w:r>
      <w:r>
        <w:rPr>
          <w:rFonts w:ascii="Gill Sans MT" w:hAnsi="Gill Sans MT"/>
          <w:color w:val="231F20"/>
          <w:spacing w:val="-11"/>
          <w:w w:val="110"/>
          <w:sz w:val="18"/>
        </w:rPr>
        <w:t xml:space="preserve"> </w:t>
      </w:r>
      <w:r>
        <w:rPr>
          <w:rFonts w:ascii="Gill Sans MT" w:hAnsi="Gill Sans MT"/>
          <w:color w:val="231F20"/>
          <w:w w:val="110"/>
          <w:sz w:val="18"/>
        </w:rPr>
        <w:t>prisoner</w:t>
      </w:r>
      <w:r>
        <w:rPr>
          <w:rFonts w:ascii="Gill Sans MT" w:hAnsi="Gill Sans MT"/>
          <w:color w:val="231F20"/>
          <w:spacing w:val="-11"/>
          <w:w w:val="110"/>
          <w:sz w:val="18"/>
        </w:rPr>
        <w:t xml:space="preserve"> </w:t>
      </w:r>
      <w:r>
        <w:rPr>
          <w:rFonts w:ascii="Gill Sans MT" w:hAnsi="Gill Sans MT"/>
          <w:color w:val="231F20"/>
          <w:w w:val="110"/>
          <w:sz w:val="18"/>
        </w:rPr>
        <w:t>Wolfgang</w:t>
      </w:r>
      <w:r>
        <w:rPr>
          <w:rFonts w:ascii="Gill Sans MT" w:hAnsi="Gill Sans MT"/>
          <w:color w:val="231F20"/>
          <w:spacing w:val="-11"/>
          <w:w w:val="110"/>
          <w:sz w:val="18"/>
        </w:rPr>
        <w:t xml:space="preserve"> </w:t>
      </w:r>
      <w:r>
        <w:rPr>
          <w:rFonts w:ascii="Gill Sans MT" w:hAnsi="Gill Sans MT"/>
          <w:color w:val="231F20"/>
          <w:w w:val="110"/>
          <w:sz w:val="18"/>
        </w:rPr>
        <w:t xml:space="preserve">Beer </w:t>
      </w:r>
      <w:r>
        <w:rPr>
          <w:rFonts w:ascii="Gill Sans MT" w:hAnsi="Gill Sans MT"/>
          <w:color w:val="231F20"/>
          <w:w w:val="115"/>
          <w:sz w:val="18"/>
        </w:rPr>
        <w:t>along with supporters Peter Alexa, Mathias Böge, Simone Borgstedde, Ingrid Jakobsmeier,</w:t>
      </w:r>
      <w:r>
        <w:rPr>
          <w:rFonts w:ascii="Gill Sans MT" w:hAnsi="Gill Sans MT"/>
          <w:color w:val="231F20"/>
          <w:spacing w:val="-26"/>
          <w:w w:val="115"/>
          <w:sz w:val="18"/>
        </w:rPr>
        <w:t xml:space="preserve"> </w:t>
      </w:r>
      <w:r>
        <w:rPr>
          <w:rFonts w:ascii="Gill Sans MT" w:hAnsi="Gill Sans MT"/>
          <w:color w:val="231F20"/>
          <w:w w:val="115"/>
          <w:sz w:val="18"/>
        </w:rPr>
        <w:t>Rosemarie</w:t>
      </w:r>
    </w:p>
    <w:p w14:paraId="5FED9551" w14:textId="77777777" w:rsidR="002653E8" w:rsidRDefault="003115E3">
      <w:pPr>
        <w:spacing w:before="92" w:line="276" w:lineRule="auto"/>
        <w:ind w:left="213" w:right="1055"/>
        <w:rPr>
          <w:rFonts w:ascii="Gill Sans MT"/>
          <w:sz w:val="18"/>
        </w:rPr>
      </w:pPr>
      <w:r>
        <w:br w:type="column"/>
      </w:r>
      <w:r>
        <w:rPr>
          <w:rFonts w:ascii="Gill Sans MT"/>
          <w:color w:val="231F20"/>
          <w:w w:val="115"/>
          <w:sz w:val="18"/>
        </w:rPr>
        <w:t>Priess, Helga Roos, and four other people, occupy the offices of dPA, demanding that the newswire run something about the life threatening prison conditions in which KarlHeinz dellwo and Werner Hoppe are being held. They are all arrested and sentenced to a year in prison.</w:t>
      </w:r>
    </w:p>
    <w:p w14:paraId="3886399D" w14:textId="77777777" w:rsidR="002653E8" w:rsidRDefault="002653E8">
      <w:pPr>
        <w:pStyle w:val="a3"/>
        <w:spacing w:before="6"/>
        <w:rPr>
          <w:rFonts w:ascii="Gill Sans MT"/>
        </w:rPr>
      </w:pPr>
    </w:p>
    <w:p w14:paraId="105D192D" w14:textId="77777777" w:rsidR="002653E8" w:rsidRDefault="003115E3">
      <w:pPr>
        <w:ind w:left="213"/>
        <w:rPr>
          <w:rFonts w:ascii="Arial"/>
          <w:b/>
          <w:sz w:val="18"/>
        </w:rPr>
      </w:pPr>
      <w:r>
        <w:rPr>
          <w:rFonts w:ascii="Arial"/>
          <w:b/>
          <w:color w:val="231F20"/>
          <w:w w:val="115"/>
          <w:sz w:val="18"/>
        </w:rPr>
        <w:t>November 17, 1978</w:t>
      </w:r>
    </w:p>
    <w:p w14:paraId="5E9B7E5B" w14:textId="77777777" w:rsidR="002653E8" w:rsidRDefault="003115E3">
      <w:pPr>
        <w:spacing w:before="35" w:line="276" w:lineRule="auto"/>
        <w:ind w:left="213" w:right="1413"/>
        <w:rPr>
          <w:rFonts w:ascii="Gill Sans MT" w:hAnsi="Gill Sans MT"/>
          <w:sz w:val="18"/>
        </w:rPr>
      </w:pPr>
      <w:r>
        <w:rPr>
          <w:rFonts w:ascii="Gill Sans MT" w:hAnsi="Gill Sans MT"/>
          <w:color w:val="231F20"/>
          <w:w w:val="115"/>
          <w:sz w:val="18"/>
        </w:rPr>
        <w:t>Yugoslav</w:t>
      </w:r>
      <w:r>
        <w:rPr>
          <w:rFonts w:ascii="Gill Sans MT" w:hAnsi="Gill Sans MT"/>
          <w:color w:val="231F20"/>
          <w:spacing w:val="-35"/>
          <w:w w:val="115"/>
          <w:sz w:val="18"/>
        </w:rPr>
        <w:t xml:space="preserve"> </w:t>
      </w:r>
      <w:r>
        <w:rPr>
          <w:rFonts w:ascii="Gill Sans MT" w:hAnsi="Gill Sans MT"/>
          <w:color w:val="231F20"/>
          <w:w w:val="115"/>
          <w:sz w:val="18"/>
        </w:rPr>
        <w:t>authorities</w:t>
      </w:r>
      <w:r>
        <w:rPr>
          <w:rFonts w:ascii="Gill Sans MT" w:hAnsi="Gill Sans MT"/>
          <w:color w:val="231F20"/>
          <w:spacing w:val="-35"/>
          <w:w w:val="115"/>
          <w:sz w:val="18"/>
        </w:rPr>
        <w:t xml:space="preserve"> </w:t>
      </w:r>
      <w:r>
        <w:rPr>
          <w:rFonts w:ascii="Gill Sans MT" w:hAnsi="Gill Sans MT"/>
          <w:color w:val="231F20"/>
          <w:w w:val="115"/>
          <w:sz w:val="18"/>
        </w:rPr>
        <w:t>release</w:t>
      </w:r>
      <w:r>
        <w:rPr>
          <w:rFonts w:ascii="Gill Sans MT" w:hAnsi="Gill Sans MT"/>
          <w:color w:val="231F20"/>
          <w:spacing w:val="-35"/>
          <w:w w:val="115"/>
          <w:sz w:val="18"/>
        </w:rPr>
        <w:t xml:space="preserve"> </w:t>
      </w:r>
      <w:r w:rsidR="00C507A5">
        <w:rPr>
          <w:rFonts w:ascii="Gill Sans MT" w:hAnsi="Gill Sans MT"/>
          <w:color w:val="231F20"/>
          <w:w w:val="115"/>
          <w:sz w:val="18"/>
        </w:rPr>
        <w:t>red army faction</w:t>
      </w:r>
      <w:r>
        <w:rPr>
          <w:rFonts w:ascii="Gill Sans MT" w:hAnsi="Gill Sans MT"/>
          <w:color w:val="231F20"/>
          <w:w w:val="115"/>
          <w:sz w:val="18"/>
        </w:rPr>
        <w:t xml:space="preserve"> members Sieglinde Hofmann, Brigitte</w:t>
      </w:r>
      <w:r>
        <w:rPr>
          <w:rFonts w:ascii="Gill Sans MT" w:hAnsi="Gill Sans MT"/>
          <w:color w:val="231F20"/>
          <w:spacing w:val="-28"/>
          <w:w w:val="115"/>
          <w:sz w:val="18"/>
        </w:rPr>
        <w:t xml:space="preserve"> </w:t>
      </w:r>
      <w:r>
        <w:rPr>
          <w:rFonts w:ascii="Gill Sans MT" w:hAnsi="Gill Sans MT"/>
          <w:color w:val="231F20"/>
          <w:w w:val="115"/>
          <w:sz w:val="18"/>
        </w:rPr>
        <w:t>Monhaupt,</w:t>
      </w:r>
      <w:r>
        <w:rPr>
          <w:rFonts w:ascii="Gill Sans MT" w:hAnsi="Gill Sans MT"/>
          <w:color w:val="231F20"/>
          <w:spacing w:val="-28"/>
          <w:w w:val="115"/>
          <w:sz w:val="18"/>
        </w:rPr>
        <w:t xml:space="preserve"> </w:t>
      </w:r>
      <w:r>
        <w:rPr>
          <w:rFonts w:ascii="Gill Sans MT" w:hAnsi="Gill Sans MT"/>
          <w:color w:val="231F20"/>
          <w:w w:val="115"/>
          <w:sz w:val="18"/>
        </w:rPr>
        <w:t>Rolf</w:t>
      </w:r>
      <w:r>
        <w:rPr>
          <w:rFonts w:ascii="Gill Sans MT" w:hAnsi="Gill Sans MT"/>
          <w:color w:val="231F20"/>
          <w:spacing w:val="-28"/>
          <w:w w:val="115"/>
          <w:sz w:val="18"/>
        </w:rPr>
        <w:t xml:space="preserve"> </w:t>
      </w:r>
      <w:r>
        <w:rPr>
          <w:rFonts w:ascii="Gill Sans MT" w:hAnsi="Gill Sans MT"/>
          <w:color w:val="231F20"/>
          <w:w w:val="115"/>
          <w:sz w:val="18"/>
        </w:rPr>
        <w:t xml:space="preserve">Clemens </w:t>
      </w:r>
      <w:r>
        <w:rPr>
          <w:rFonts w:ascii="Gill Sans MT" w:hAnsi="Gill Sans MT"/>
          <w:color w:val="231F20"/>
          <w:spacing w:val="-4"/>
          <w:w w:val="115"/>
          <w:sz w:val="18"/>
        </w:rPr>
        <w:t xml:space="preserve">Wagner, </w:t>
      </w:r>
      <w:r>
        <w:rPr>
          <w:rFonts w:ascii="Gill Sans MT" w:hAnsi="Gill Sans MT"/>
          <w:color w:val="231F20"/>
          <w:w w:val="115"/>
          <w:sz w:val="18"/>
        </w:rPr>
        <w:t>and Peter-Jürgen Boock, who were arrested on June</w:t>
      </w:r>
      <w:r>
        <w:rPr>
          <w:rFonts w:ascii="Gill Sans MT" w:hAnsi="Gill Sans MT"/>
          <w:color w:val="231F20"/>
          <w:spacing w:val="-35"/>
          <w:w w:val="115"/>
          <w:sz w:val="18"/>
        </w:rPr>
        <w:t xml:space="preserve"> </w:t>
      </w:r>
      <w:r>
        <w:rPr>
          <w:rFonts w:ascii="Arial" w:hAnsi="Arial"/>
          <w:color w:val="231F20"/>
          <w:w w:val="115"/>
          <w:sz w:val="18"/>
        </w:rPr>
        <w:t>30</w:t>
      </w:r>
      <w:r>
        <w:rPr>
          <w:rFonts w:ascii="Gill Sans MT" w:hAnsi="Gill Sans MT"/>
          <w:color w:val="231F20"/>
          <w:w w:val="115"/>
          <w:sz w:val="18"/>
        </w:rPr>
        <w:t>.</w:t>
      </w:r>
      <w:r>
        <w:rPr>
          <w:rFonts w:ascii="Gill Sans MT" w:hAnsi="Gill Sans MT"/>
          <w:color w:val="231F20"/>
          <w:spacing w:val="-35"/>
          <w:w w:val="115"/>
          <w:sz w:val="18"/>
        </w:rPr>
        <w:t xml:space="preserve"> </w:t>
      </w:r>
      <w:r>
        <w:rPr>
          <w:rFonts w:ascii="Gill Sans MT" w:hAnsi="Gill Sans MT"/>
          <w:color w:val="231F20"/>
          <w:w w:val="115"/>
          <w:sz w:val="18"/>
        </w:rPr>
        <w:t>When</w:t>
      </w:r>
      <w:r>
        <w:rPr>
          <w:rFonts w:ascii="Gill Sans MT" w:hAnsi="Gill Sans MT"/>
          <w:color w:val="231F20"/>
          <w:spacing w:val="-35"/>
          <w:w w:val="115"/>
          <w:sz w:val="18"/>
        </w:rPr>
        <w:t xml:space="preserve"> </w:t>
      </w:r>
      <w:r>
        <w:rPr>
          <w:rFonts w:ascii="Gill Sans MT" w:hAnsi="Gill Sans MT"/>
          <w:color w:val="231F20"/>
          <w:w w:val="115"/>
          <w:sz w:val="18"/>
        </w:rPr>
        <w:t>the</w:t>
      </w:r>
      <w:r>
        <w:rPr>
          <w:rFonts w:ascii="Gill Sans MT" w:hAnsi="Gill Sans MT"/>
          <w:color w:val="231F20"/>
          <w:spacing w:val="-35"/>
          <w:w w:val="115"/>
          <w:sz w:val="18"/>
        </w:rPr>
        <w:t xml:space="preserve"> </w:t>
      </w:r>
      <w:r>
        <w:rPr>
          <w:rFonts w:ascii="Gill Sans MT" w:hAnsi="Gill Sans MT"/>
          <w:color w:val="231F20"/>
          <w:spacing w:val="-3"/>
          <w:w w:val="115"/>
          <w:sz w:val="18"/>
        </w:rPr>
        <w:t>West</w:t>
      </w:r>
      <w:r>
        <w:rPr>
          <w:rFonts w:ascii="Gill Sans MT" w:hAnsi="Gill Sans MT"/>
          <w:color w:val="231F20"/>
          <w:spacing w:val="-35"/>
          <w:w w:val="115"/>
          <w:sz w:val="18"/>
        </w:rPr>
        <w:t xml:space="preserve"> </w:t>
      </w:r>
      <w:r>
        <w:rPr>
          <w:rFonts w:ascii="Gill Sans MT" w:hAnsi="Gill Sans MT"/>
          <w:color w:val="231F20"/>
          <w:w w:val="115"/>
          <w:sz w:val="18"/>
        </w:rPr>
        <w:t>German</w:t>
      </w:r>
      <w:r>
        <w:rPr>
          <w:rFonts w:ascii="Gill Sans MT" w:hAnsi="Gill Sans MT"/>
          <w:color w:val="231F20"/>
          <w:w w:val="109"/>
          <w:sz w:val="18"/>
        </w:rPr>
        <w:t xml:space="preserve"> </w:t>
      </w:r>
      <w:r>
        <w:rPr>
          <w:rFonts w:ascii="Gill Sans MT" w:hAnsi="Gill Sans MT"/>
          <w:color w:val="231F20"/>
          <w:w w:val="115"/>
          <w:sz w:val="18"/>
        </w:rPr>
        <w:t>government</w:t>
      </w:r>
      <w:r>
        <w:rPr>
          <w:rFonts w:ascii="Gill Sans MT" w:hAnsi="Gill Sans MT"/>
          <w:color w:val="231F20"/>
          <w:spacing w:val="-25"/>
          <w:w w:val="115"/>
          <w:sz w:val="18"/>
        </w:rPr>
        <w:t xml:space="preserve"> </w:t>
      </w:r>
      <w:r>
        <w:rPr>
          <w:rFonts w:ascii="Gill Sans MT" w:hAnsi="Gill Sans MT"/>
          <w:color w:val="231F20"/>
          <w:w w:val="115"/>
          <w:sz w:val="18"/>
        </w:rPr>
        <w:t>refuses</w:t>
      </w:r>
      <w:r>
        <w:rPr>
          <w:rFonts w:ascii="Gill Sans MT" w:hAnsi="Gill Sans MT"/>
          <w:color w:val="231F20"/>
          <w:spacing w:val="-25"/>
          <w:w w:val="115"/>
          <w:sz w:val="18"/>
        </w:rPr>
        <w:t xml:space="preserve"> </w:t>
      </w:r>
      <w:r>
        <w:rPr>
          <w:rFonts w:ascii="Gill Sans MT" w:hAnsi="Gill Sans MT"/>
          <w:color w:val="231F20"/>
          <w:w w:val="115"/>
          <w:sz w:val="18"/>
        </w:rPr>
        <w:t>to</w:t>
      </w:r>
      <w:r>
        <w:rPr>
          <w:rFonts w:ascii="Gill Sans MT" w:hAnsi="Gill Sans MT"/>
          <w:color w:val="231F20"/>
          <w:spacing w:val="-25"/>
          <w:w w:val="115"/>
          <w:sz w:val="18"/>
        </w:rPr>
        <w:t xml:space="preserve"> </w:t>
      </w:r>
      <w:r>
        <w:rPr>
          <w:rFonts w:ascii="Gill Sans MT" w:hAnsi="Gill Sans MT"/>
          <w:color w:val="231F20"/>
          <w:w w:val="115"/>
          <w:sz w:val="18"/>
        </w:rPr>
        <w:t>exchange</w:t>
      </w:r>
    </w:p>
    <w:p w14:paraId="0E4B4CF1" w14:textId="77777777" w:rsidR="002653E8" w:rsidRDefault="003115E3">
      <w:pPr>
        <w:spacing w:line="276" w:lineRule="auto"/>
        <w:ind w:left="213" w:right="1220"/>
        <w:rPr>
          <w:rFonts w:ascii="Gill Sans MT"/>
          <w:sz w:val="18"/>
        </w:rPr>
      </w:pPr>
      <w:r>
        <w:rPr>
          <w:rFonts w:ascii="Gill Sans MT"/>
          <w:color w:val="231F20"/>
          <w:w w:val="110"/>
          <w:sz w:val="18"/>
        </w:rPr>
        <w:t>them for eight exiled Croat fascists, they are flown to an undisclosed third country.</w:t>
      </w:r>
    </w:p>
    <w:p w14:paraId="79D371E5" w14:textId="77777777" w:rsidR="002653E8" w:rsidRDefault="002653E8">
      <w:pPr>
        <w:pStyle w:val="a3"/>
        <w:spacing w:before="4"/>
        <w:rPr>
          <w:rFonts w:ascii="Gill Sans MT"/>
        </w:rPr>
      </w:pPr>
    </w:p>
    <w:p w14:paraId="3FC54ECF" w14:textId="77777777" w:rsidR="002653E8" w:rsidRDefault="003115E3">
      <w:pPr>
        <w:ind w:left="213"/>
        <w:rPr>
          <w:rFonts w:ascii="Arial"/>
          <w:b/>
          <w:sz w:val="18"/>
        </w:rPr>
      </w:pPr>
      <w:r>
        <w:rPr>
          <w:rFonts w:ascii="Arial"/>
          <w:b/>
          <w:color w:val="231F20"/>
          <w:w w:val="115"/>
          <w:sz w:val="18"/>
        </w:rPr>
        <w:t>December 14, 1978</w:t>
      </w:r>
    </w:p>
    <w:p w14:paraId="0F6D3557" w14:textId="77777777" w:rsidR="002653E8" w:rsidRDefault="003115E3">
      <w:pPr>
        <w:spacing w:before="35" w:line="276" w:lineRule="auto"/>
        <w:ind w:left="213" w:right="1055" w:hanging="1"/>
        <w:rPr>
          <w:rFonts w:ascii="Gill Sans MT"/>
          <w:sz w:val="18"/>
        </w:rPr>
      </w:pPr>
      <w:r>
        <w:rPr>
          <w:rFonts w:ascii="Gill Sans MT"/>
          <w:color w:val="231F20"/>
          <w:w w:val="110"/>
          <w:sz w:val="18"/>
        </w:rPr>
        <w:t xml:space="preserve">The Stuttgart OLG sentences </w:t>
      </w:r>
      <w:r w:rsidR="00C507A5">
        <w:rPr>
          <w:rFonts w:ascii="Gill Sans MT"/>
          <w:color w:val="231F20"/>
          <w:w w:val="110"/>
          <w:sz w:val="18"/>
        </w:rPr>
        <w:t>red army faction</w:t>
      </w:r>
      <w:r>
        <w:rPr>
          <w:rFonts w:ascii="Gill Sans MT"/>
          <w:color w:val="231F20"/>
          <w:w w:val="110"/>
          <w:sz w:val="18"/>
        </w:rPr>
        <w:t xml:space="preserve"> supporters Volker Speitel and</w:t>
      </w:r>
    </w:p>
    <w:p w14:paraId="6BA411C9" w14:textId="77777777" w:rsidR="002653E8" w:rsidRDefault="003115E3">
      <w:pPr>
        <w:spacing w:line="276" w:lineRule="auto"/>
        <w:ind w:left="213" w:right="1176"/>
        <w:rPr>
          <w:rFonts w:ascii="Gill Sans MT"/>
          <w:sz w:val="18"/>
        </w:rPr>
      </w:pPr>
      <w:r>
        <w:rPr>
          <w:rFonts w:ascii="Gill Sans MT"/>
          <w:color w:val="231F20"/>
          <w:w w:val="115"/>
          <w:sz w:val="18"/>
        </w:rPr>
        <w:t>Hans-Joachim</w:t>
      </w:r>
      <w:r>
        <w:rPr>
          <w:rFonts w:ascii="Gill Sans MT"/>
          <w:color w:val="231F20"/>
          <w:spacing w:val="-25"/>
          <w:w w:val="115"/>
          <w:sz w:val="18"/>
        </w:rPr>
        <w:t xml:space="preserve"> </w:t>
      </w:r>
      <w:r>
        <w:rPr>
          <w:rFonts w:ascii="Gill Sans MT"/>
          <w:color w:val="231F20"/>
          <w:w w:val="115"/>
          <w:sz w:val="18"/>
        </w:rPr>
        <w:t>dellwo</w:t>
      </w:r>
      <w:r>
        <w:rPr>
          <w:rFonts w:ascii="Gill Sans MT"/>
          <w:color w:val="231F20"/>
          <w:spacing w:val="-25"/>
          <w:w w:val="115"/>
          <w:sz w:val="18"/>
        </w:rPr>
        <w:t xml:space="preserve"> </w:t>
      </w:r>
      <w:r>
        <w:rPr>
          <w:rFonts w:ascii="Gill Sans MT"/>
          <w:color w:val="231F20"/>
          <w:w w:val="115"/>
          <w:sz w:val="18"/>
        </w:rPr>
        <w:t>to</w:t>
      </w:r>
      <w:r>
        <w:rPr>
          <w:rFonts w:ascii="Gill Sans MT"/>
          <w:color w:val="231F20"/>
          <w:spacing w:val="-25"/>
          <w:w w:val="115"/>
          <w:sz w:val="18"/>
        </w:rPr>
        <w:t xml:space="preserve"> </w:t>
      </w:r>
      <w:r>
        <w:rPr>
          <w:rFonts w:ascii="Gill Sans MT"/>
          <w:color w:val="231F20"/>
          <w:w w:val="115"/>
          <w:sz w:val="18"/>
        </w:rPr>
        <w:t>three</w:t>
      </w:r>
      <w:r>
        <w:rPr>
          <w:rFonts w:ascii="Gill Sans MT"/>
          <w:color w:val="231F20"/>
          <w:spacing w:val="-25"/>
          <w:w w:val="115"/>
          <w:sz w:val="18"/>
        </w:rPr>
        <w:t xml:space="preserve"> </w:t>
      </w:r>
      <w:r>
        <w:rPr>
          <w:rFonts w:ascii="Gill Sans MT"/>
          <w:color w:val="231F20"/>
          <w:w w:val="115"/>
          <w:sz w:val="18"/>
        </w:rPr>
        <w:t>years and two months, and two years in prison,</w:t>
      </w:r>
      <w:r>
        <w:rPr>
          <w:rFonts w:ascii="Gill Sans MT"/>
          <w:color w:val="231F20"/>
          <w:spacing w:val="-27"/>
          <w:w w:val="115"/>
          <w:sz w:val="18"/>
        </w:rPr>
        <w:t xml:space="preserve"> </w:t>
      </w:r>
      <w:r>
        <w:rPr>
          <w:rFonts w:ascii="Gill Sans MT"/>
          <w:color w:val="231F20"/>
          <w:w w:val="115"/>
          <w:sz w:val="18"/>
        </w:rPr>
        <w:t>respectively,</w:t>
      </w:r>
      <w:r>
        <w:rPr>
          <w:rFonts w:ascii="Gill Sans MT"/>
          <w:color w:val="231F20"/>
          <w:spacing w:val="-27"/>
          <w:w w:val="115"/>
          <w:sz w:val="18"/>
        </w:rPr>
        <w:t xml:space="preserve"> </w:t>
      </w:r>
      <w:r>
        <w:rPr>
          <w:rFonts w:ascii="Gill Sans MT"/>
          <w:color w:val="231F20"/>
          <w:w w:val="115"/>
          <w:sz w:val="18"/>
        </w:rPr>
        <w:t>for</w:t>
      </w:r>
      <w:r>
        <w:rPr>
          <w:rFonts w:ascii="Gill Sans MT"/>
          <w:color w:val="231F20"/>
          <w:spacing w:val="-27"/>
          <w:w w:val="115"/>
          <w:sz w:val="18"/>
        </w:rPr>
        <w:t xml:space="preserve"> </w:t>
      </w:r>
      <w:r>
        <w:rPr>
          <w:rFonts w:ascii="Gill Sans MT"/>
          <w:color w:val="231F20"/>
          <w:w w:val="115"/>
          <w:sz w:val="18"/>
        </w:rPr>
        <w:t>supporting a terrorist organization. Both had agreed</w:t>
      </w:r>
      <w:r>
        <w:rPr>
          <w:rFonts w:ascii="Gill Sans MT"/>
          <w:color w:val="231F20"/>
          <w:spacing w:val="-23"/>
          <w:w w:val="115"/>
          <w:sz w:val="18"/>
        </w:rPr>
        <w:t xml:space="preserve"> </w:t>
      </w:r>
      <w:r>
        <w:rPr>
          <w:rFonts w:ascii="Gill Sans MT"/>
          <w:color w:val="231F20"/>
          <w:w w:val="115"/>
          <w:sz w:val="18"/>
        </w:rPr>
        <w:t>to</w:t>
      </w:r>
      <w:r>
        <w:rPr>
          <w:rFonts w:ascii="Gill Sans MT"/>
          <w:color w:val="231F20"/>
          <w:spacing w:val="-23"/>
          <w:w w:val="115"/>
          <w:sz w:val="18"/>
        </w:rPr>
        <w:t xml:space="preserve"> </w:t>
      </w:r>
      <w:r>
        <w:rPr>
          <w:rFonts w:ascii="Gill Sans MT"/>
          <w:color w:val="231F20"/>
          <w:w w:val="115"/>
          <w:sz w:val="18"/>
        </w:rPr>
        <w:t>cooperate</w:t>
      </w:r>
      <w:r>
        <w:rPr>
          <w:rFonts w:ascii="Gill Sans MT"/>
          <w:color w:val="231F20"/>
          <w:spacing w:val="-23"/>
          <w:w w:val="115"/>
          <w:sz w:val="18"/>
        </w:rPr>
        <w:t xml:space="preserve"> </w:t>
      </w:r>
      <w:r>
        <w:rPr>
          <w:rFonts w:ascii="Gill Sans MT"/>
          <w:color w:val="231F20"/>
          <w:w w:val="115"/>
          <w:sz w:val="18"/>
        </w:rPr>
        <w:t>with</w:t>
      </w:r>
      <w:r>
        <w:rPr>
          <w:rFonts w:ascii="Gill Sans MT"/>
          <w:color w:val="231F20"/>
          <w:spacing w:val="-23"/>
          <w:w w:val="115"/>
          <w:sz w:val="18"/>
        </w:rPr>
        <w:t xml:space="preserve"> </w:t>
      </w:r>
      <w:r>
        <w:rPr>
          <w:rFonts w:ascii="Gill Sans MT"/>
          <w:color w:val="231F20"/>
          <w:w w:val="115"/>
          <w:sz w:val="18"/>
        </w:rPr>
        <w:t>the</w:t>
      </w:r>
      <w:r>
        <w:rPr>
          <w:rFonts w:ascii="Gill Sans MT"/>
          <w:color w:val="231F20"/>
          <w:spacing w:val="-23"/>
          <w:w w:val="115"/>
          <w:sz w:val="18"/>
        </w:rPr>
        <w:t xml:space="preserve"> </w:t>
      </w:r>
      <w:r>
        <w:rPr>
          <w:rFonts w:ascii="Gill Sans MT"/>
          <w:color w:val="231F20"/>
          <w:w w:val="115"/>
          <w:sz w:val="18"/>
        </w:rPr>
        <w:t>police in exchange for reduced sentences and new</w:t>
      </w:r>
      <w:r>
        <w:rPr>
          <w:rFonts w:ascii="Gill Sans MT"/>
          <w:color w:val="231F20"/>
          <w:spacing w:val="-17"/>
          <w:w w:val="115"/>
          <w:sz w:val="18"/>
        </w:rPr>
        <w:t xml:space="preserve"> </w:t>
      </w:r>
      <w:r>
        <w:rPr>
          <w:rFonts w:ascii="Gill Sans MT"/>
          <w:color w:val="231F20"/>
          <w:w w:val="115"/>
          <w:sz w:val="18"/>
        </w:rPr>
        <w:t>identities.</w:t>
      </w:r>
    </w:p>
    <w:p w14:paraId="104B3B4B" w14:textId="77777777" w:rsidR="002653E8" w:rsidRDefault="002653E8">
      <w:pPr>
        <w:pStyle w:val="a3"/>
        <w:spacing w:before="6"/>
        <w:rPr>
          <w:rFonts w:ascii="Gill Sans MT"/>
        </w:rPr>
      </w:pPr>
    </w:p>
    <w:p w14:paraId="312E55AF" w14:textId="77777777" w:rsidR="002653E8" w:rsidRDefault="003115E3">
      <w:pPr>
        <w:ind w:left="213"/>
        <w:rPr>
          <w:rFonts w:ascii="Arial"/>
          <w:b/>
          <w:sz w:val="18"/>
        </w:rPr>
      </w:pPr>
      <w:r>
        <w:rPr>
          <w:rFonts w:ascii="Arial"/>
          <w:b/>
          <w:color w:val="231F20"/>
          <w:w w:val="115"/>
          <w:sz w:val="18"/>
        </w:rPr>
        <w:t>December 15, 1978</w:t>
      </w:r>
    </w:p>
    <w:p w14:paraId="5999DF35" w14:textId="77777777" w:rsidR="002653E8" w:rsidRDefault="003115E3">
      <w:pPr>
        <w:spacing w:before="34" w:line="276" w:lineRule="auto"/>
        <w:ind w:left="213" w:right="1055"/>
        <w:rPr>
          <w:rFonts w:ascii="Gill Sans MT"/>
          <w:sz w:val="18"/>
        </w:rPr>
      </w:pPr>
      <w:r>
        <w:rPr>
          <w:rFonts w:ascii="Gill Sans MT"/>
          <w:color w:val="231F20"/>
          <w:w w:val="110"/>
          <w:sz w:val="18"/>
        </w:rPr>
        <w:t>The International Investigatory Commission into the death of ulrike Meinhof releases its findings, which indicate that Meinhof was brutally raped and murdered.</w:t>
      </w:r>
    </w:p>
    <w:p w14:paraId="7F14DCC6" w14:textId="77777777" w:rsidR="002653E8" w:rsidRDefault="002653E8">
      <w:pPr>
        <w:spacing w:line="276" w:lineRule="auto"/>
        <w:rPr>
          <w:rFonts w:ascii="Gill Sans MT"/>
          <w:sz w:val="18"/>
        </w:rPr>
        <w:sectPr w:rsidR="002653E8">
          <w:footerReference w:type="even" r:id="rId526"/>
          <w:pgSz w:w="8640" w:h="12960"/>
          <w:pgMar w:top="1060" w:right="0" w:bottom="280" w:left="0" w:header="0" w:footer="0" w:gutter="0"/>
          <w:cols w:num="2" w:space="720" w:equalWidth="0">
            <w:col w:w="4277" w:space="40"/>
            <w:col w:w="4323"/>
          </w:cols>
        </w:sectPr>
      </w:pPr>
    </w:p>
    <w:p w14:paraId="5E66A70B" w14:textId="77777777" w:rsidR="002653E8" w:rsidRDefault="002653E8">
      <w:pPr>
        <w:pStyle w:val="a3"/>
        <w:rPr>
          <w:rFonts w:ascii="Gill Sans MT"/>
        </w:rPr>
      </w:pPr>
    </w:p>
    <w:p w14:paraId="23232871" w14:textId="77777777" w:rsidR="002653E8" w:rsidRDefault="002653E8">
      <w:pPr>
        <w:pStyle w:val="a3"/>
        <w:rPr>
          <w:rFonts w:ascii="Gill Sans MT"/>
        </w:rPr>
      </w:pPr>
    </w:p>
    <w:p w14:paraId="16D3298E" w14:textId="77777777" w:rsidR="002653E8" w:rsidRDefault="002653E8">
      <w:pPr>
        <w:rPr>
          <w:rFonts w:ascii="Gill Sans MT"/>
        </w:rPr>
        <w:sectPr w:rsidR="002653E8">
          <w:type w:val="continuous"/>
          <w:pgSz w:w="8640" w:h="12960"/>
          <w:pgMar w:top="0" w:right="0" w:bottom="0" w:left="0" w:header="720" w:footer="720" w:gutter="0"/>
          <w:cols w:space="720"/>
        </w:sectPr>
      </w:pPr>
    </w:p>
    <w:p w14:paraId="3DEDF066" w14:textId="77777777" w:rsidR="002653E8" w:rsidRDefault="002653E8">
      <w:pPr>
        <w:pStyle w:val="a3"/>
        <w:spacing w:before="6"/>
        <w:rPr>
          <w:rFonts w:ascii="Gill Sans MT"/>
          <w:sz w:val="22"/>
        </w:rPr>
      </w:pPr>
    </w:p>
    <w:p w14:paraId="6C2C3B4A" w14:textId="77777777" w:rsidR="002653E8" w:rsidRDefault="003115E3">
      <w:pPr>
        <w:ind w:left="1327"/>
        <w:rPr>
          <w:sz w:val="18"/>
        </w:rPr>
      </w:pPr>
      <w:r>
        <w:rPr>
          <w:color w:val="231F20"/>
          <w:w w:val="120"/>
          <w:sz w:val="18"/>
        </w:rPr>
        <w:t>a chronology</w:t>
      </w:r>
      <w:r>
        <w:rPr>
          <w:color w:val="231F20"/>
          <w:sz w:val="18"/>
        </w:rPr>
        <w:t xml:space="preserve"> </w:t>
      </w:r>
    </w:p>
    <w:p w14:paraId="77EB7599" w14:textId="77777777" w:rsidR="002653E8" w:rsidRDefault="003115E3">
      <w:pPr>
        <w:spacing w:before="5"/>
        <w:ind w:left="1327"/>
        <w:rPr>
          <w:sz w:val="18"/>
        </w:rPr>
      </w:pPr>
      <w:r>
        <w:rPr>
          <w:color w:val="231F20"/>
          <w:w w:val="105"/>
          <w:sz w:val="18"/>
        </w:rPr>
        <w:t>december 15, 1978</w:t>
      </w:r>
      <w:r>
        <w:rPr>
          <w:color w:val="231F20"/>
          <w:sz w:val="18"/>
        </w:rPr>
        <w:t xml:space="preserve"> </w:t>
      </w:r>
    </w:p>
    <w:p w14:paraId="1F0B6831" w14:textId="77777777" w:rsidR="002653E8" w:rsidRDefault="003115E3">
      <w:pPr>
        <w:pStyle w:val="a3"/>
        <w:spacing w:before="5"/>
        <w:rPr>
          <w:sz w:val="18"/>
        </w:rPr>
      </w:pPr>
      <w:r>
        <w:br w:type="column"/>
      </w:r>
    </w:p>
    <w:p w14:paraId="13A8F226" w14:textId="77777777" w:rsidR="002653E8" w:rsidRDefault="003115E3">
      <w:pPr>
        <w:ind w:left="1346" w:right="1141"/>
        <w:jc w:val="center"/>
        <w:rPr>
          <w:sz w:val="18"/>
        </w:rPr>
      </w:pPr>
      <w:r>
        <w:rPr>
          <w:color w:val="231F20"/>
          <w:sz w:val="18"/>
        </w:rPr>
        <w:t xml:space="preserve">611 </w:t>
      </w:r>
    </w:p>
    <w:p w14:paraId="535E672F" w14:textId="77777777" w:rsidR="002653E8" w:rsidRDefault="002653E8">
      <w:pPr>
        <w:jc w:val="center"/>
        <w:rPr>
          <w:sz w:val="18"/>
        </w:rPr>
        <w:sectPr w:rsidR="002653E8">
          <w:type w:val="continuous"/>
          <w:pgSz w:w="8640" w:h="12960"/>
          <w:pgMar w:top="0" w:right="0" w:bottom="0" w:left="0" w:header="720" w:footer="720" w:gutter="0"/>
          <w:cols w:num="2" w:space="720" w:equalWidth="0">
            <w:col w:w="3401" w:space="2413"/>
            <w:col w:w="2826"/>
          </w:cols>
        </w:sectPr>
      </w:pPr>
    </w:p>
    <w:p w14:paraId="67A94592" w14:textId="77777777" w:rsidR="002653E8" w:rsidRDefault="003115E3">
      <w:pPr>
        <w:spacing w:before="91"/>
        <w:ind w:left="1147"/>
        <w:rPr>
          <w:rFonts w:ascii="Arial"/>
          <w:b/>
          <w:sz w:val="18"/>
        </w:rPr>
      </w:pPr>
      <w:r>
        <w:rPr>
          <w:rFonts w:ascii="Arial"/>
          <w:b/>
          <w:color w:val="231F20"/>
          <w:w w:val="115"/>
          <w:sz w:val="18"/>
        </w:rPr>
        <w:lastRenderedPageBreak/>
        <w:t>Mid-December 1978</w:t>
      </w:r>
    </w:p>
    <w:p w14:paraId="63DEE786" w14:textId="77777777" w:rsidR="002653E8" w:rsidRDefault="00C507A5">
      <w:pPr>
        <w:spacing w:before="34" w:line="276" w:lineRule="auto"/>
        <w:ind w:left="1147" w:right="-16"/>
        <w:rPr>
          <w:rFonts w:ascii="Gill Sans MT"/>
          <w:sz w:val="18"/>
        </w:rPr>
      </w:pPr>
      <w:r>
        <w:rPr>
          <w:rFonts w:ascii="Gill Sans MT"/>
          <w:color w:val="231F20"/>
          <w:w w:val="115"/>
          <w:sz w:val="18"/>
        </w:rPr>
        <w:t>red army faction</w:t>
      </w:r>
      <w:r w:rsidR="003115E3">
        <w:rPr>
          <w:rFonts w:ascii="Gill Sans MT"/>
          <w:color w:val="231F20"/>
          <w:w w:val="115"/>
          <w:sz w:val="18"/>
        </w:rPr>
        <w:t xml:space="preserve"> members Susanne Albrecht, Sieglinde Hofmann, Christian Klar, Werner Lotze, Silke Maier-Witt, Brigitte Mohnhaupt, Adelheid Schulz, and Rolf Clemens Wagner seek refuge at a Palestinian training camp in South Yemen.</w:t>
      </w:r>
    </w:p>
    <w:p w14:paraId="7964F8B0" w14:textId="77777777" w:rsidR="002653E8" w:rsidRDefault="002653E8">
      <w:pPr>
        <w:pStyle w:val="a3"/>
        <w:rPr>
          <w:rFonts w:ascii="Gill Sans MT"/>
        </w:rPr>
      </w:pPr>
    </w:p>
    <w:p w14:paraId="31A55F31" w14:textId="77777777" w:rsidR="002653E8" w:rsidRDefault="002653E8">
      <w:pPr>
        <w:pStyle w:val="a3"/>
        <w:spacing w:before="1"/>
        <w:rPr>
          <w:rFonts w:ascii="Gill Sans MT"/>
        </w:rPr>
      </w:pPr>
    </w:p>
    <w:p w14:paraId="304199F7" w14:textId="77777777" w:rsidR="002653E8" w:rsidRDefault="003115E3">
      <w:pPr>
        <w:pStyle w:val="5"/>
        <w:ind w:left="1147"/>
      </w:pPr>
      <w:r>
        <w:rPr>
          <w:color w:val="231F20"/>
          <w:w w:val="120"/>
        </w:rPr>
        <w:t>1979</w:t>
      </w:r>
    </w:p>
    <w:p w14:paraId="5FBC774A" w14:textId="77777777" w:rsidR="002653E8" w:rsidRDefault="003115E3">
      <w:pPr>
        <w:spacing w:before="12"/>
        <w:ind w:left="1147"/>
        <w:rPr>
          <w:rFonts w:ascii="Arial"/>
          <w:b/>
          <w:sz w:val="18"/>
        </w:rPr>
      </w:pPr>
      <w:r>
        <w:rPr>
          <w:rFonts w:ascii="Arial"/>
          <w:b/>
          <w:color w:val="231F20"/>
          <w:w w:val="115"/>
          <w:sz w:val="18"/>
        </w:rPr>
        <w:t>February 1979</w:t>
      </w:r>
    </w:p>
    <w:p w14:paraId="5C393490" w14:textId="77777777" w:rsidR="002653E8" w:rsidRDefault="00C507A5">
      <w:pPr>
        <w:spacing w:before="34" w:line="276" w:lineRule="auto"/>
        <w:ind w:left="1147" w:right="32"/>
        <w:rPr>
          <w:rFonts w:ascii="Gill Sans MT"/>
          <w:sz w:val="18"/>
        </w:rPr>
      </w:pPr>
      <w:r>
        <w:rPr>
          <w:rFonts w:ascii="Gill Sans MT"/>
          <w:color w:val="231F20"/>
          <w:w w:val="110"/>
          <w:sz w:val="18"/>
        </w:rPr>
        <w:t>red army faction</w:t>
      </w:r>
      <w:r w:rsidR="003115E3">
        <w:rPr>
          <w:rFonts w:ascii="Gill Sans MT"/>
          <w:color w:val="231F20"/>
          <w:w w:val="110"/>
          <w:sz w:val="18"/>
        </w:rPr>
        <w:t xml:space="preserve"> members Susanne Albrecht, Sieglinde Hofmann, Christian </w:t>
      </w:r>
      <w:r w:rsidR="003115E3">
        <w:rPr>
          <w:rFonts w:ascii="Gill Sans MT"/>
          <w:color w:val="231F20"/>
          <w:spacing w:val="-4"/>
          <w:w w:val="110"/>
          <w:sz w:val="18"/>
        </w:rPr>
        <w:t xml:space="preserve">Klar, </w:t>
      </w:r>
      <w:r w:rsidR="003115E3">
        <w:rPr>
          <w:rFonts w:ascii="Gill Sans MT"/>
          <w:color w:val="231F20"/>
          <w:w w:val="110"/>
          <w:sz w:val="18"/>
        </w:rPr>
        <w:t xml:space="preserve">Werner Lotze, Silke Maier-Witt, Brigitte Mohnhaupt, Adelheid Schulz, and Rolf Clemens Wagner return from South </w:t>
      </w:r>
      <w:r w:rsidR="003115E3">
        <w:rPr>
          <w:rFonts w:ascii="Gill Sans MT"/>
          <w:color w:val="231F20"/>
          <w:spacing w:val="-4"/>
          <w:w w:val="110"/>
          <w:sz w:val="18"/>
        </w:rPr>
        <w:t xml:space="preserve">Yemen </w:t>
      </w:r>
      <w:r w:rsidR="003115E3">
        <w:rPr>
          <w:rFonts w:ascii="Gill Sans MT"/>
          <w:color w:val="231F20"/>
          <w:w w:val="110"/>
          <w:sz w:val="18"/>
        </w:rPr>
        <w:t>and begin preparations for a new offensive.</w:t>
      </w:r>
    </w:p>
    <w:p w14:paraId="19A25A9F" w14:textId="77777777" w:rsidR="002653E8" w:rsidRDefault="002653E8">
      <w:pPr>
        <w:pStyle w:val="a3"/>
        <w:spacing w:before="6"/>
        <w:rPr>
          <w:rFonts w:ascii="Gill Sans MT"/>
        </w:rPr>
      </w:pPr>
    </w:p>
    <w:p w14:paraId="047B453B" w14:textId="77777777" w:rsidR="002653E8" w:rsidRDefault="003115E3">
      <w:pPr>
        <w:ind w:left="1147"/>
        <w:rPr>
          <w:rFonts w:ascii="Arial"/>
          <w:b/>
          <w:sz w:val="18"/>
        </w:rPr>
      </w:pPr>
      <w:r>
        <w:rPr>
          <w:rFonts w:ascii="Arial"/>
          <w:b/>
          <w:color w:val="231F20"/>
          <w:w w:val="115"/>
          <w:sz w:val="18"/>
        </w:rPr>
        <w:t>February 8, 1979</w:t>
      </w:r>
    </w:p>
    <w:p w14:paraId="081B9625" w14:textId="77777777" w:rsidR="002653E8" w:rsidRDefault="003115E3">
      <w:pPr>
        <w:spacing w:before="35" w:line="276" w:lineRule="auto"/>
        <w:ind w:left="1147" w:right="95"/>
        <w:rPr>
          <w:rFonts w:ascii="Gill Sans MT"/>
          <w:sz w:val="18"/>
        </w:rPr>
      </w:pPr>
      <w:r>
        <w:rPr>
          <w:rFonts w:ascii="Gill Sans MT"/>
          <w:color w:val="231F20"/>
          <w:w w:val="110"/>
          <w:sz w:val="18"/>
        </w:rPr>
        <w:t xml:space="preserve">Werner Hoppe, whose health has been seriously damaged by years  of isolation, is released from prison on compassionate grounds.  He had disavowed the </w:t>
      </w:r>
      <w:r w:rsidR="00C507A5">
        <w:rPr>
          <w:rFonts w:ascii="Gill Sans MT"/>
          <w:color w:val="231F20"/>
          <w:w w:val="110"/>
          <w:sz w:val="18"/>
        </w:rPr>
        <w:t>red army faction</w:t>
      </w:r>
      <w:r>
        <w:rPr>
          <w:rFonts w:ascii="Gill Sans MT"/>
          <w:color w:val="231F20"/>
          <w:w w:val="110"/>
          <w:sz w:val="18"/>
        </w:rPr>
        <w:t xml:space="preserve"> and armed struggle the previous</w:t>
      </w:r>
      <w:r>
        <w:rPr>
          <w:rFonts w:ascii="Gill Sans MT"/>
          <w:color w:val="231F20"/>
          <w:spacing w:val="-7"/>
          <w:w w:val="110"/>
          <w:sz w:val="18"/>
        </w:rPr>
        <w:t xml:space="preserve"> </w:t>
      </w:r>
      <w:r>
        <w:rPr>
          <w:rFonts w:ascii="Gill Sans MT"/>
          <w:color w:val="231F20"/>
          <w:spacing w:val="-4"/>
          <w:w w:val="110"/>
          <w:sz w:val="18"/>
        </w:rPr>
        <w:t>year.</w:t>
      </w:r>
    </w:p>
    <w:p w14:paraId="255BB547" w14:textId="77777777" w:rsidR="002653E8" w:rsidRDefault="002653E8">
      <w:pPr>
        <w:pStyle w:val="a3"/>
        <w:spacing w:before="6"/>
        <w:rPr>
          <w:rFonts w:ascii="Gill Sans MT"/>
        </w:rPr>
      </w:pPr>
    </w:p>
    <w:p w14:paraId="4A46223C" w14:textId="77777777" w:rsidR="002653E8" w:rsidRDefault="003115E3">
      <w:pPr>
        <w:ind w:left="1147"/>
        <w:rPr>
          <w:rFonts w:ascii="Arial"/>
          <w:b/>
          <w:sz w:val="18"/>
        </w:rPr>
      </w:pPr>
      <w:r>
        <w:rPr>
          <w:rFonts w:ascii="Arial"/>
          <w:b/>
          <w:color w:val="231F20"/>
          <w:w w:val="115"/>
          <w:sz w:val="18"/>
        </w:rPr>
        <w:t>February 16, 1979</w:t>
      </w:r>
    </w:p>
    <w:p w14:paraId="7F9C2F89" w14:textId="77777777" w:rsidR="002653E8" w:rsidRDefault="003115E3">
      <w:pPr>
        <w:spacing w:before="35" w:line="273" w:lineRule="auto"/>
        <w:ind w:left="1147" w:right="-18"/>
        <w:rPr>
          <w:rFonts w:ascii="Gill Sans MT"/>
          <w:sz w:val="18"/>
        </w:rPr>
      </w:pPr>
      <w:r>
        <w:rPr>
          <w:rFonts w:ascii="Gill Sans MT"/>
          <w:color w:val="231F20"/>
          <w:w w:val="110"/>
          <w:sz w:val="18"/>
        </w:rPr>
        <w:t>The Stuttgart LG</w:t>
      </w:r>
      <w:r>
        <w:rPr>
          <w:rFonts w:ascii="Gill Sans MT"/>
          <w:color w:val="231F20"/>
          <w:spacing w:val="-12"/>
          <w:w w:val="110"/>
          <w:sz w:val="18"/>
        </w:rPr>
        <w:t xml:space="preserve"> </w:t>
      </w:r>
      <w:r>
        <w:rPr>
          <w:rFonts w:ascii="Gill Sans MT"/>
          <w:color w:val="231F20"/>
          <w:w w:val="110"/>
          <w:sz w:val="18"/>
        </w:rPr>
        <w:t>sentences</w:t>
      </w:r>
      <w:r>
        <w:rPr>
          <w:rFonts w:ascii="Gill Sans MT"/>
          <w:color w:val="231F20"/>
          <w:spacing w:val="-4"/>
          <w:w w:val="110"/>
          <w:sz w:val="18"/>
        </w:rPr>
        <w:t xml:space="preserve"> </w:t>
      </w:r>
      <w:r>
        <w:rPr>
          <w:rFonts w:ascii="Gill Sans MT"/>
          <w:color w:val="231F20"/>
          <w:w w:val="110"/>
          <w:sz w:val="18"/>
        </w:rPr>
        <w:t>attorney</w:t>
      </w:r>
      <w:r>
        <w:rPr>
          <w:rFonts w:ascii="Gill Sans MT"/>
          <w:color w:val="231F20"/>
          <w:w w:val="108"/>
          <w:sz w:val="18"/>
        </w:rPr>
        <w:t xml:space="preserve"> </w:t>
      </w:r>
      <w:r>
        <w:rPr>
          <w:rFonts w:ascii="Gill Sans MT"/>
          <w:color w:val="231F20"/>
          <w:w w:val="110"/>
          <w:sz w:val="18"/>
        </w:rPr>
        <w:t xml:space="preserve">Klaus Croissant to two and a half years in prison and four years of </w:t>
      </w:r>
      <w:r>
        <w:rPr>
          <w:rFonts w:ascii="Lucida Sans"/>
          <w:i/>
          <w:color w:val="231F20"/>
          <w:w w:val="110"/>
          <w:sz w:val="18"/>
        </w:rPr>
        <w:t xml:space="preserve">Berufsverbot </w:t>
      </w:r>
      <w:r>
        <w:rPr>
          <w:rFonts w:ascii="Gill Sans MT"/>
          <w:color w:val="231F20"/>
          <w:w w:val="110"/>
          <w:sz w:val="18"/>
        </w:rPr>
        <w:t>for supporting a terrorist</w:t>
      </w:r>
      <w:r>
        <w:rPr>
          <w:rFonts w:ascii="Gill Sans MT"/>
          <w:color w:val="231F20"/>
          <w:spacing w:val="-7"/>
          <w:w w:val="110"/>
          <w:sz w:val="18"/>
        </w:rPr>
        <w:t xml:space="preserve"> </w:t>
      </w:r>
      <w:r>
        <w:rPr>
          <w:rFonts w:ascii="Gill Sans MT"/>
          <w:color w:val="231F20"/>
          <w:w w:val="110"/>
          <w:sz w:val="18"/>
        </w:rPr>
        <w:t>organization.</w:t>
      </w:r>
    </w:p>
    <w:p w14:paraId="25D88F82" w14:textId="77777777" w:rsidR="002653E8" w:rsidRDefault="002653E8">
      <w:pPr>
        <w:pStyle w:val="a3"/>
        <w:spacing w:before="9"/>
        <w:rPr>
          <w:rFonts w:ascii="Gill Sans MT"/>
        </w:rPr>
      </w:pPr>
    </w:p>
    <w:p w14:paraId="00064812" w14:textId="77777777" w:rsidR="002653E8" w:rsidRDefault="003115E3">
      <w:pPr>
        <w:spacing w:line="276" w:lineRule="auto"/>
        <w:ind w:left="1147" w:right="311"/>
        <w:rPr>
          <w:rFonts w:ascii="Gill Sans MT" w:hAnsi="Gill Sans MT"/>
          <w:sz w:val="18"/>
        </w:rPr>
      </w:pPr>
      <w:r>
        <w:rPr>
          <w:rFonts w:ascii="Arial" w:hAnsi="Arial"/>
          <w:b/>
          <w:color w:val="231F20"/>
          <w:w w:val="115"/>
          <w:sz w:val="18"/>
        </w:rPr>
        <w:t xml:space="preserve">April 20–June 26, 1979 </w:t>
      </w:r>
      <w:r>
        <w:rPr>
          <w:rFonts w:ascii="Gill Sans MT" w:hAnsi="Gill Sans MT"/>
          <w:color w:val="231F20"/>
          <w:w w:val="115"/>
          <w:sz w:val="18"/>
        </w:rPr>
        <w:t>More than seventy prisoners participate</w:t>
      </w:r>
      <w:r>
        <w:rPr>
          <w:rFonts w:ascii="Gill Sans MT" w:hAnsi="Gill Sans MT"/>
          <w:color w:val="231F20"/>
          <w:spacing w:val="-31"/>
          <w:w w:val="115"/>
          <w:sz w:val="18"/>
        </w:rPr>
        <w:t xml:space="preserve"> </w:t>
      </w:r>
      <w:r>
        <w:rPr>
          <w:rFonts w:ascii="Gill Sans MT" w:hAnsi="Gill Sans MT"/>
          <w:color w:val="231F20"/>
          <w:w w:val="115"/>
          <w:sz w:val="18"/>
        </w:rPr>
        <w:t>in</w:t>
      </w:r>
      <w:r>
        <w:rPr>
          <w:rFonts w:ascii="Gill Sans MT" w:hAnsi="Gill Sans MT"/>
          <w:color w:val="231F20"/>
          <w:spacing w:val="-31"/>
          <w:w w:val="115"/>
          <w:sz w:val="18"/>
        </w:rPr>
        <w:t xml:space="preserve"> </w:t>
      </w:r>
      <w:r>
        <w:rPr>
          <w:rFonts w:ascii="Gill Sans MT" w:hAnsi="Gill Sans MT"/>
          <w:color w:val="231F20"/>
          <w:w w:val="115"/>
          <w:sz w:val="18"/>
        </w:rPr>
        <w:t>the</w:t>
      </w:r>
      <w:r>
        <w:rPr>
          <w:rFonts w:ascii="Gill Sans MT" w:hAnsi="Gill Sans MT"/>
          <w:color w:val="231F20"/>
          <w:spacing w:val="-31"/>
          <w:w w:val="115"/>
          <w:sz w:val="18"/>
        </w:rPr>
        <w:t xml:space="preserve"> </w:t>
      </w:r>
      <w:r w:rsidR="00C507A5">
        <w:rPr>
          <w:rFonts w:ascii="Gill Sans MT" w:hAnsi="Gill Sans MT"/>
          <w:color w:val="231F20"/>
          <w:w w:val="115"/>
          <w:sz w:val="18"/>
        </w:rPr>
        <w:t>red army faction</w:t>
      </w:r>
      <w:r>
        <w:rPr>
          <w:rFonts w:ascii="Gill Sans MT" w:hAnsi="Gill Sans MT"/>
          <w:color w:val="231F20"/>
          <w:spacing w:val="-31"/>
          <w:w w:val="115"/>
          <w:sz w:val="18"/>
        </w:rPr>
        <w:t xml:space="preserve"> </w:t>
      </w:r>
      <w:r>
        <w:rPr>
          <w:rFonts w:ascii="Gill Sans MT" w:hAnsi="Gill Sans MT"/>
          <w:color w:val="231F20"/>
          <w:w w:val="115"/>
          <w:sz w:val="18"/>
        </w:rPr>
        <w:t>prisoners’ seventh</w:t>
      </w:r>
      <w:r>
        <w:rPr>
          <w:rFonts w:ascii="Gill Sans MT" w:hAnsi="Gill Sans MT"/>
          <w:color w:val="231F20"/>
          <w:spacing w:val="-35"/>
          <w:w w:val="115"/>
          <w:sz w:val="18"/>
        </w:rPr>
        <w:t xml:space="preserve"> </w:t>
      </w:r>
      <w:r>
        <w:rPr>
          <w:rFonts w:ascii="Gill Sans MT" w:hAnsi="Gill Sans MT"/>
          <w:color w:val="231F20"/>
          <w:w w:val="115"/>
          <w:sz w:val="18"/>
        </w:rPr>
        <w:t>collective</w:t>
      </w:r>
      <w:r>
        <w:rPr>
          <w:rFonts w:ascii="Gill Sans MT" w:hAnsi="Gill Sans MT"/>
          <w:color w:val="231F20"/>
          <w:spacing w:val="-35"/>
          <w:w w:val="115"/>
          <w:sz w:val="18"/>
        </w:rPr>
        <w:t xml:space="preserve"> </w:t>
      </w:r>
      <w:r>
        <w:rPr>
          <w:rFonts w:ascii="Gill Sans MT" w:hAnsi="Gill Sans MT"/>
          <w:color w:val="231F20"/>
          <w:w w:val="115"/>
          <w:sz w:val="18"/>
        </w:rPr>
        <w:t>hunger</w:t>
      </w:r>
      <w:r>
        <w:rPr>
          <w:rFonts w:ascii="Gill Sans MT" w:hAnsi="Gill Sans MT"/>
          <w:color w:val="231F20"/>
          <w:spacing w:val="-35"/>
          <w:w w:val="115"/>
          <w:sz w:val="18"/>
        </w:rPr>
        <w:t xml:space="preserve"> </w:t>
      </w:r>
      <w:r>
        <w:rPr>
          <w:rFonts w:ascii="Gill Sans MT" w:hAnsi="Gill Sans MT"/>
          <w:color w:val="231F20"/>
          <w:w w:val="115"/>
          <w:sz w:val="18"/>
        </w:rPr>
        <w:t>strike, demanding the end of</w:t>
      </w:r>
      <w:r>
        <w:rPr>
          <w:rFonts w:ascii="Gill Sans MT" w:hAnsi="Gill Sans MT"/>
          <w:color w:val="231F20"/>
          <w:spacing w:val="-40"/>
          <w:w w:val="115"/>
          <w:sz w:val="18"/>
        </w:rPr>
        <w:t xml:space="preserve"> </w:t>
      </w:r>
      <w:r>
        <w:rPr>
          <w:rFonts w:ascii="Gill Sans MT" w:hAnsi="Gill Sans MT"/>
          <w:color w:val="231F20"/>
          <w:w w:val="115"/>
          <w:sz w:val="18"/>
        </w:rPr>
        <w:t>isolation,</w:t>
      </w:r>
    </w:p>
    <w:p w14:paraId="0C0785DA" w14:textId="77777777" w:rsidR="002653E8" w:rsidRDefault="003115E3">
      <w:pPr>
        <w:spacing w:before="92" w:line="276" w:lineRule="auto"/>
        <w:ind w:left="226" w:right="1778"/>
        <w:rPr>
          <w:rFonts w:ascii="Gill Sans MT" w:hAnsi="Gill Sans MT"/>
          <w:sz w:val="18"/>
        </w:rPr>
      </w:pPr>
      <w:r>
        <w:br w:type="column"/>
      </w:r>
      <w:r>
        <w:rPr>
          <w:rFonts w:ascii="Gill Sans MT" w:hAnsi="Gill Sans MT"/>
          <w:color w:val="231F20"/>
          <w:w w:val="115"/>
          <w:sz w:val="18"/>
        </w:rPr>
        <w:t>the application of the Geneva Convention</w:t>
      </w:r>
      <w:r>
        <w:rPr>
          <w:rFonts w:ascii="Gill Sans MT" w:hAnsi="Gill Sans MT"/>
          <w:color w:val="231F20"/>
          <w:spacing w:val="-41"/>
          <w:w w:val="115"/>
          <w:sz w:val="18"/>
        </w:rPr>
        <w:t xml:space="preserve"> </w:t>
      </w:r>
      <w:r>
        <w:rPr>
          <w:rFonts w:ascii="Gill Sans MT" w:hAnsi="Gill Sans MT"/>
          <w:color w:val="231F20"/>
          <w:w w:val="115"/>
          <w:sz w:val="18"/>
        </w:rPr>
        <w:t>for</w:t>
      </w:r>
      <w:r>
        <w:rPr>
          <w:rFonts w:ascii="Gill Sans MT" w:hAnsi="Gill Sans MT"/>
          <w:color w:val="231F20"/>
          <w:spacing w:val="-41"/>
          <w:w w:val="115"/>
          <w:sz w:val="18"/>
        </w:rPr>
        <w:t xml:space="preserve"> </w:t>
      </w:r>
      <w:r>
        <w:rPr>
          <w:rFonts w:ascii="Gill Sans MT" w:hAnsi="Gill Sans MT"/>
          <w:color w:val="231F20"/>
          <w:w w:val="115"/>
          <w:sz w:val="18"/>
        </w:rPr>
        <w:t>POWs,</w:t>
      </w:r>
      <w:r>
        <w:rPr>
          <w:rFonts w:ascii="Gill Sans MT" w:hAnsi="Gill Sans MT"/>
          <w:color w:val="231F20"/>
          <w:spacing w:val="-41"/>
          <w:w w:val="115"/>
          <w:sz w:val="18"/>
        </w:rPr>
        <w:t xml:space="preserve"> </w:t>
      </w:r>
      <w:r>
        <w:rPr>
          <w:rFonts w:ascii="Gill Sans MT" w:hAnsi="Gill Sans MT"/>
          <w:color w:val="231F20"/>
          <w:w w:val="115"/>
          <w:sz w:val="18"/>
        </w:rPr>
        <w:t>and</w:t>
      </w:r>
      <w:r>
        <w:rPr>
          <w:rFonts w:ascii="Gill Sans MT" w:hAnsi="Gill Sans MT"/>
          <w:color w:val="231F20"/>
          <w:spacing w:val="-41"/>
          <w:w w:val="115"/>
          <w:sz w:val="18"/>
        </w:rPr>
        <w:t xml:space="preserve"> </w:t>
      </w:r>
      <w:r>
        <w:rPr>
          <w:rFonts w:ascii="Gill Sans MT" w:hAnsi="Gill Sans MT"/>
          <w:color w:val="231F20"/>
          <w:w w:val="115"/>
          <w:sz w:val="18"/>
        </w:rPr>
        <w:t>the release</w:t>
      </w:r>
      <w:r>
        <w:rPr>
          <w:rFonts w:ascii="Gill Sans MT" w:hAnsi="Gill Sans MT"/>
          <w:color w:val="231F20"/>
          <w:spacing w:val="-29"/>
          <w:w w:val="115"/>
          <w:sz w:val="18"/>
        </w:rPr>
        <w:t xml:space="preserve"> </w:t>
      </w:r>
      <w:r>
        <w:rPr>
          <w:rFonts w:ascii="Gill Sans MT" w:hAnsi="Gill Sans MT"/>
          <w:color w:val="231F20"/>
          <w:w w:val="115"/>
          <w:sz w:val="18"/>
        </w:rPr>
        <w:t>of</w:t>
      </w:r>
      <w:r>
        <w:rPr>
          <w:rFonts w:ascii="Gill Sans MT" w:hAnsi="Gill Sans MT"/>
          <w:color w:val="231F20"/>
          <w:spacing w:val="-29"/>
          <w:w w:val="115"/>
          <w:sz w:val="18"/>
        </w:rPr>
        <w:t xml:space="preserve"> </w:t>
      </w:r>
      <w:r>
        <w:rPr>
          <w:rFonts w:ascii="Gill Sans MT" w:hAnsi="Gill Sans MT"/>
          <w:color w:val="231F20"/>
          <w:w w:val="115"/>
          <w:sz w:val="18"/>
        </w:rPr>
        <w:t>Günter</w:t>
      </w:r>
      <w:r>
        <w:rPr>
          <w:rFonts w:ascii="Gill Sans MT" w:hAnsi="Gill Sans MT"/>
          <w:color w:val="231F20"/>
          <w:spacing w:val="-29"/>
          <w:w w:val="115"/>
          <w:sz w:val="18"/>
        </w:rPr>
        <w:t xml:space="preserve"> </w:t>
      </w:r>
      <w:r>
        <w:rPr>
          <w:rFonts w:ascii="Gill Sans MT" w:hAnsi="Gill Sans MT"/>
          <w:color w:val="231F20"/>
          <w:w w:val="115"/>
          <w:sz w:val="18"/>
        </w:rPr>
        <w:t>Sonnenberg.</w:t>
      </w:r>
    </w:p>
    <w:p w14:paraId="17A6AF3A" w14:textId="77777777" w:rsidR="002653E8" w:rsidRDefault="002653E8">
      <w:pPr>
        <w:pStyle w:val="a3"/>
        <w:spacing w:before="7"/>
        <w:rPr>
          <w:rFonts w:ascii="Gill Sans MT"/>
        </w:rPr>
      </w:pPr>
    </w:p>
    <w:p w14:paraId="709CF996" w14:textId="77777777" w:rsidR="002653E8" w:rsidRDefault="003115E3">
      <w:pPr>
        <w:ind w:left="226"/>
        <w:rPr>
          <w:rFonts w:ascii="Arial"/>
          <w:b/>
          <w:sz w:val="18"/>
        </w:rPr>
      </w:pPr>
      <w:r>
        <w:rPr>
          <w:rFonts w:ascii="Arial"/>
          <w:b/>
          <w:color w:val="231F20"/>
          <w:w w:val="120"/>
          <w:sz w:val="18"/>
        </w:rPr>
        <w:t>May 2, 1979</w:t>
      </w:r>
    </w:p>
    <w:p w14:paraId="511FDC02" w14:textId="77777777" w:rsidR="002653E8" w:rsidRDefault="003115E3">
      <w:pPr>
        <w:spacing w:before="34" w:line="276" w:lineRule="auto"/>
        <w:ind w:left="226" w:right="1292"/>
        <w:rPr>
          <w:rFonts w:ascii="Gill Sans MT"/>
          <w:sz w:val="18"/>
        </w:rPr>
      </w:pPr>
      <w:r>
        <w:rPr>
          <w:rFonts w:ascii="Gill Sans MT"/>
          <w:color w:val="231F20"/>
          <w:w w:val="110"/>
          <w:sz w:val="18"/>
        </w:rPr>
        <w:t xml:space="preserve">The Hamburg OLG sentences </w:t>
      </w:r>
      <w:r w:rsidR="00C507A5">
        <w:rPr>
          <w:rFonts w:ascii="Gill Sans MT"/>
          <w:color w:val="231F20"/>
          <w:w w:val="110"/>
          <w:sz w:val="18"/>
        </w:rPr>
        <w:t>red army faction</w:t>
      </w:r>
      <w:r>
        <w:rPr>
          <w:rFonts w:ascii="Gill Sans MT"/>
          <w:color w:val="231F20"/>
          <w:w w:val="110"/>
          <w:sz w:val="18"/>
        </w:rPr>
        <w:t xml:space="preserve"> member Christine Kuby to life in prison.</w:t>
      </w:r>
    </w:p>
    <w:p w14:paraId="4E480B5F" w14:textId="77777777" w:rsidR="002653E8" w:rsidRDefault="002653E8">
      <w:pPr>
        <w:pStyle w:val="a3"/>
        <w:spacing w:before="6"/>
        <w:rPr>
          <w:rFonts w:ascii="Gill Sans MT"/>
        </w:rPr>
      </w:pPr>
    </w:p>
    <w:p w14:paraId="3CE922C3" w14:textId="77777777" w:rsidR="002653E8" w:rsidRDefault="003115E3">
      <w:pPr>
        <w:spacing w:before="1"/>
        <w:ind w:left="226"/>
        <w:rPr>
          <w:rFonts w:ascii="Arial"/>
          <w:b/>
          <w:sz w:val="18"/>
        </w:rPr>
      </w:pPr>
      <w:r>
        <w:rPr>
          <w:rFonts w:ascii="Arial"/>
          <w:b/>
          <w:color w:val="231F20"/>
          <w:w w:val="120"/>
          <w:sz w:val="18"/>
        </w:rPr>
        <w:t>May 4, 1979</w:t>
      </w:r>
    </w:p>
    <w:p w14:paraId="56E77837" w14:textId="77777777" w:rsidR="002653E8" w:rsidRDefault="00C507A5">
      <w:pPr>
        <w:spacing w:before="34" w:line="276" w:lineRule="auto"/>
        <w:ind w:left="226" w:right="1545"/>
        <w:rPr>
          <w:rFonts w:ascii="Gill Sans MT"/>
          <w:sz w:val="18"/>
        </w:rPr>
      </w:pPr>
      <w:r>
        <w:rPr>
          <w:rFonts w:ascii="Gill Sans MT"/>
          <w:color w:val="231F20"/>
          <w:w w:val="115"/>
          <w:sz w:val="18"/>
        </w:rPr>
        <w:t>red army faction</w:t>
      </w:r>
      <w:r w:rsidR="003115E3">
        <w:rPr>
          <w:rFonts w:ascii="Gill Sans MT"/>
          <w:color w:val="231F20"/>
          <w:w w:val="115"/>
          <w:sz w:val="18"/>
        </w:rPr>
        <w:t xml:space="preserve"> member Elisabeth von dyck</w:t>
      </w:r>
      <w:r w:rsidR="003115E3">
        <w:rPr>
          <w:rFonts w:ascii="Gill Sans MT"/>
          <w:color w:val="231F20"/>
          <w:w w:val="108"/>
          <w:sz w:val="18"/>
        </w:rPr>
        <w:t xml:space="preserve"> </w:t>
      </w:r>
      <w:r w:rsidR="003115E3">
        <w:rPr>
          <w:rFonts w:ascii="Gill Sans MT"/>
          <w:color w:val="231F20"/>
          <w:w w:val="115"/>
          <w:sz w:val="18"/>
        </w:rPr>
        <w:t>is shot dead by the police in Nuremberg.</w:t>
      </w:r>
    </w:p>
    <w:p w14:paraId="08FBCCF8" w14:textId="77777777" w:rsidR="002653E8" w:rsidRDefault="002653E8">
      <w:pPr>
        <w:pStyle w:val="a3"/>
        <w:spacing w:before="6"/>
        <w:rPr>
          <w:rFonts w:ascii="Gill Sans MT"/>
        </w:rPr>
      </w:pPr>
    </w:p>
    <w:p w14:paraId="3EF30AA7" w14:textId="77777777" w:rsidR="002653E8" w:rsidRDefault="003115E3">
      <w:pPr>
        <w:spacing w:before="1"/>
        <w:ind w:left="226"/>
        <w:rPr>
          <w:rFonts w:ascii="Arial"/>
          <w:b/>
          <w:sz w:val="18"/>
        </w:rPr>
      </w:pPr>
      <w:r>
        <w:rPr>
          <w:rFonts w:ascii="Arial"/>
          <w:b/>
          <w:color w:val="231F20"/>
          <w:w w:val="120"/>
          <w:sz w:val="18"/>
        </w:rPr>
        <w:t>May 31, 1979</w:t>
      </w:r>
    </w:p>
    <w:p w14:paraId="0CEC8A3A" w14:textId="77777777" w:rsidR="002653E8" w:rsidRDefault="003115E3">
      <w:pPr>
        <w:spacing w:before="34" w:line="276" w:lineRule="auto"/>
        <w:ind w:left="226" w:right="1292"/>
        <w:rPr>
          <w:rFonts w:ascii="Gill Sans MT" w:hAnsi="Gill Sans MT"/>
          <w:sz w:val="18"/>
        </w:rPr>
      </w:pPr>
      <w:r>
        <w:rPr>
          <w:rFonts w:ascii="Gill Sans MT" w:hAnsi="Gill Sans MT"/>
          <w:color w:val="231F20"/>
          <w:w w:val="110"/>
          <w:sz w:val="18"/>
        </w:rPr>
        <w:t xml:space="preserve">The Heidelberg LG sentences Irmgard Möller to life in prison for her role in the </w:t>
      </w:r>
      <w:r w:rsidR="00C507A5">
        <w:rPr>
          <w:rFonts w:ascii="Gill Sans MT" w:hAnsi="Gill Sans MT"/>
          <w:color w:val="231F20"/>
          <w:w w:val="110"/>
          <w:sz w:val="18"/>
        </w:rPr>
        <w:t>red army faction</w:t>
      </w:r>
      <w:r>
        <w:rPr>
          <w:rFonts w:ascii="Gill Sans MT" w:hAnsi="Gill Sans MT"/>
          <w:color w:val="231F20"/>
          <w:w w:val="110"/>
          <w:sz w:val="18"/>
        </w:rPr>
        <w:t xml:space="preserve">’s May </w:t>
      </w:r>
      <w:r>
        <w:rPr>
          <w:rFonts w:ascii="Arial" w:hAnsi="Arial"/>
          <w:color w:val="231F20"/>
          <w:w w:val="110"/>
          <w:sz w:val="18"/>
        </w:rPr>
        <w:t xml:space="preserve">1972 </w:t>
      </w:r>
      <w:r>
        <w:rPr>
          <w:rFonts w:ascii="Gill Sans MT" w:hAnsi="Gill Sans MT"/>
          <w:color w:val="231F20"/>
          <w:w w:val="110"/>
          <w:sz w:val="18"/>
        </w:rPr>
        <w:t>offensive.</w:t>
      </w:r>
    </w:p>
    <w:p w14:paraId="697F9993" w14:textId="77777777" w:rsidR="002653E8" w:rsidRDefault="002653E8">
      <w:pPr>
        <w:pStyle w:val="a3"/>
        <w:spacing w:before="5"/>
        <w:rPr>
          <w:rFonts w:ascii="Gill Sans MT"/>
        </w:rPr>
      </w:pPr>
    </w:p>
    <w:p w14:paraId="5F3399AE" w14:textId="77777777" w:rsidR="002653E8" w:rsidRDefault="003115E3">
      <w:pPr>
        <w:ind w:left="226"/>
        <w:rPr>
          <w:rFonts w:ascii="Arial"/>
          <w:b/>
          <w:sz w:val="18"/>
        </w:rPr>
      </w:pPr>
      <w:r>
        <w:rPr>
          <w:rFonts w:ascii="Arial"/>
          <w:b/>
          <w:color w:val="231F20"/>
          <w:w w:val="115"/>
          <w:sz w:val="18"/>
        </w:rPr>
        <w:t>June 9, 1979</w:t>
      </w:r>
    </w:p>
    <w:p w14:paraId="599B9D06" w14:textId="77777777" w:rsidR="002653E8" w:rsidRDefault="00C507A5">
      <w:pPr>
        <w:spacing w:before="35" w:line="276" w:lineRule="auto"/>
        <w:ind w:left="226" w:right="1491"/>
        <w:rPr>
          <w:rFonts w:ascii="Gill Sans MT"/>
          <w:sz w:val="18"/>
        </w:rPr>
      </w:pPr>
      <w:r>
        <w:rPr>
          <w:rFonts w:ascii="Gill Sans MT"/>
          <w:color w:val="231F20"/>
          <w:w w:val="110"/>
          <w:sz w:val="18"/>
        </w:rPr>
        <w:t>red army faction</w:t>
      </w:r>
      <w:r w:rsidR="003115E3">
        <w:rPr>
          <w:rFonts w:ascii="Gill Sans MT"/>
          <w:color w:val="231F20"/>
          <w:w w:val="110"/>
          <w:sz w:val="18"/>
        </w:rPr>
        <w:t xml:space="preserve"> member, Rolf Heissler is shot in the head without warning as he</w:t>
      </w:r>
    </w:p>
    <w:p w14:paraId="41E3CFD6" w14:textId="77777777" w:rsidR="002653E8" w:rsidRDefault="003115E3">
      <w:pPr>
        <w:spacing w:line="276" w:lineRule="auto"/>
        <w:ind w:left="226" w:right="1292"/>
        <w:rPr>
          <w:rFonts w:ascii="Gill Sans MT"/>
          <w:sz w:val="18"/>
        </w:rPr>
      </w:pPr>
      <w:r>
        <w:rPr>
          <w:rFonts w:ascii="Gill Sans MT"/>
          <w:color w:val="231F20"/>
          <w:w w:val="110"/>
          <w:sz w:val="18"/>
        </w:rPr>
        <w:t>enters an apartment in Frankfurt. He survives, and is placed under arrest.</w:t>
      </w:r>
    </w:p>
    <w:p w14:paraId="5BA92AB8" w14:textId="77777777" w:rsidR="002653E8" w:rsidRDefault="002653E8">
      <w:pPr>
        <w:pStyle w:val="a3"/>
        <w:spacing w:before="5"/>
        <w:rPr>
          <w:rFonts w:ascii="Gill Sans MT"/>
        </w:rPr>
      </w:pPr>
    </w:p>
    <w:p w14:paraId="03D8B6DB" w14:textId="77777777" w:rsidR="002653E8" w:rsidRDefault="003115E3">
      <w:pPr>
        <w:spacing w:before="1"/>
        <w:ind w:left="226"/>
        <w:rPr>
          <w:rFonts w:ascii="Arial"/>
          <w:b/>
          <w:sz w:val="18"/>
        </w:rPr>
      </w:pPr>
      <w:r>
        <w:rPr>
          <w:rFonts w:ascii="Arial"/>
          <w:b/>
          <w:color w:val="231F20"/>
          <w:w w:val="115"/>
          <w:sz w:val="18"/>
        </w:rPr>
        <w:t>June 25, 1979</w:t>
      </w:r>
    </w:p>
    <w:p w14:paraId="2BEB9327" w14:textId="77777777" w:rsidR="002653E8" w:rsidRDefault="003115E3">
      <w:pPr>
        <w:spacing w:before="34" w:line="276" w:lineRule="auto"/>
        <w:ind w:left="226" w:right="1381"/>
        <w:rPr>
          <w:rFonts w:ascii="Gill Sans MT" w:hAnsi="Gill Sans MT"/>
          <w:sz w:val="18"/>
        </w:rPr>
      </w:pPr>
      <w:r>
        <w:rPr>
          <w:rFonts w:ascii="Gill Sans MT" w:hAnsi="Gill Sans MT"/>
          <w:color w:val="231F20"/>
          <w:w w:val="115"/>
          <w:sz w:val="18"/>
        </w:rPr>
        <w:t xml:space="preserve">The </w:t>
      </w:r>
      <w:r w:rsidR="00C507A5">
        <w:rPr>
          <w:rFonts w:ascii="Gill Sans MT" w:hAnsi="Gill Sans MT"/>
          <w:color w:val="231F20"/>
          <w:spacing w:val="-3"/>
          <w:w w:val="115"/>
          <w:sz w:val="18"/>
        </w:rPr>
        <w:t>red army faction</w:t>
      </w:r>
      <w:r>
        <w:rPr>
          <w:rFonts w:ascii="Gill Sans MT" w:hAnsi="Gill Sans MT"/>
          <w:color w:val="231F20"/>
          <w:spacing w:val="-3"/>
          <w:w w:val="115"/>
          <w:sz w:val="18"/>
        </w:rPr>
        <w:t xml:space="preserve">’s </w:t>
      </w:r>
      <w:r>
        <w:rPr>
          <w:rFonts w:ascii="Gill Sans MT" w:hAnsi="Gill Sans MT"/>
          <w:color w:val="231F20"/>
          <w:w w:val="115"/>
          <w:sz w:val="18"/>
        </w:rPr>
        <w:t>Andreas Baader Commando</w:t>
      </w:r>
      <w:r>
        <w:rPr>
          <w:rFonts w:ascii="Gill Sans MT" w:hAnsi="Gill Sans MT"/>
          <w:color w:val="231F20"/>
          <w:spacing w:val="-32"/>
          <w:w w:val="115"/>
          <w:sz w:val="18"/>
        </w:rPr>
        <w:t xml:space="preserve"> </w:t>
      </w:r>
      <w:r>
        <w:rPr>
          <w:rFonts w:ascii="Gill Sans MT" w:hAnsi="Gill Sans MT"/>
          <w:color w:val="231F20"/>
          <w:w w:val="115"/>
          <w:sz w:val="18"/>
        </w:rPr>
        <w:t>attempts</w:t>
      </w:r>
      <w:r>
        <w:rPr>
          <w:rFonts w:ascii="Gill Sans MT" w:hAnsi="Gill Sans MT"/>
          <w:color w:val="231F20"/>
          <w:spacing w:val="-32"/>
          <w:w w:val="115"/>
          <w:sz w:val="18"/>
        </w:rPr>
        <w:t xml:space="preserve"> </w:t>
      </w:r>
      <w:r>
        <w:rPr>
          <w:rFonts w:ascii="Gill Sans MT" w:hAnsi="Gill Sans MT"/>
          <w:color w:val="231F20"/>
          <w:w w:val="115"/>
          <w:sz w:val="18"/>
        </w:rPr>
        <w:t>to</w:t>
      </w:r>
      <w:r>
        <w:rPr>
          <w:rFonts w:ascii="Gill Sans MT" w:hAnsi="Gill Sans MT"/>
          <w:color w:val="231F20"/>
          <w:spacing w:val="-32"/>
          <w:w w:val="115"/>
          <w:sz w:val="18"/>
        </w:rPr>
        <w:t xml:space="preserve"> </w:t>
      </w:r>
      <w:r>
        <w:rPr>
          <w:rFonts w:ascii="Gill Sans MT" w:hAnsi="Gill Sans MT"/>
          <w:color w:val="231F20"/>
          <w:w w:val="115"/>
          <w:sz w:val="18"/>
        </w:rPr>
        <w:t>assassinate</w:t>
      </w:r>
      <w:r>
        <w:rPr>
          <w:rFonts w:ascii="Gill Sans MT" w:hAnsi="Gill Sans MT"/>
          <w:color w:val="231F20"/>
          <w:w w:val="114"/>
          <w:sz w:val="18"/>
        </w:rPr>
        <w:t xml:space="preserve"> </w:t>
      </w:r>
      <w:r>
        <w:rPr>
          <w:rFonts w:ascii="Gill Sans MT" w:hAnsi="Gill Sans MT"/>
          <w:color w:val="231F20"/>
          <w:w w:val="115"/>
          <w:sz w:val="18"/>
        </w:rPr>
        <w:t xml:space="preserve">the </w:t>
      </w:r>
      <w:r>
        <w:rPr>
          <w:rFonts w:ascii="Gill Sans MT" w:hAnsi="Gill Sans MT"/>
          <w:color w:val="231F20"/>
          <w:spacing w:val="-5"/>
          <w:w w:val="115"/>
          <w:sz w:val="18"/>
        </w:rPr>
        <w:t xml:space="preserve">NATO </w:t>
      </w:r>
      <w:r>
        <w:rPr>
          <w:rFonts w:ascii="Gill Sans MT" w:hAnsi="Gill Sans MT"/>
          <w:color w:val="231F20"/>
          <w:w w:val="115"/>
          <w:sz w:val="18"/>
        </w:rPr>
        <w:t>Chief of</w:t>
      </w:r>
      <w:r>
        <w:rPr>
          <w:rFonts w:ascii="Gill Sans MT" w:hAnsi="Gill Sans MT"/>
          <w:color w:val="231F20"/>
          <w:spacing w:val="-41"/>
          <w:w w:val="115"/>
          <w:sz w:val="18"/>
        </w:rPr>
        <w:t xml:space="preserve"> </w:t>
      </w:r>
      <w:r>
        <w:rPr>
          <w:rFonts w:ascii="Gill Sans MT" w:hAnsi="Gill Sans MT"/>
          <w:color w:val="231F20"/>
          <w:w w:val="115"/>
          <w:sz w:val="18"/>
        </w:rPr>
        <w:t>Staff,</w:t>
      </w:r>
    </w:p>
    <w:p w14:paraId="0778FD5D" w14:textId="77777777" w:rsidR="002653E8" w:rsidRDefault="003115E3">
      <w:pPr>
        <w:ind w:left="226"/>
        <w:rPr>
          <w:rFonts w:ascii="Gill Sans MT"/>
          <w:sz w:val="18"/>
        </w:rPr>
      </w:pPr>
      <w:r>
        <w:rPr>
          <w:rFonts w:ascii="Gill Sans MT"/>
          <w:color w:val="231F20"/>
          <w:w w:val="115"/>
          <w:sz w:val="18"/>
        </w:rPr>
        <w:t>u.S. General Alexander Haig.</w:t>
      </w:r>
    </w:p>
    <w:p w14:paraId="479C831F" w14:textId="77777777" w:rsidR="002653E8" w:rsidRDefault="002653E8">
      <w:pPr>
        <w:pStyle w:val="a3"/>
        <w:spacing w:before="3"/>
        <w:rPr>
          <w:rFonts w:ascii="Gill Sans MT"/>
          <w:sz w:val="23"/>
        </w:rPr>
      </w:pPr>
    </w:p>
    <w:p w14:paraId="5A5F07CA" w14:textId="77777777" w:rsidR="002653E8" w:rsidRDefault="003115E3">
      <w:pPr>
        <w:ind w:left="226"/>
        <w:rPr>
          <w:rFonts w:ascii="Arial"/>
          <w:b/>
          <w:sz w:val="18"/>
        </w:rPr>
      </w:pPr>
      <w:r>
        <w:rPr>
          <w:rFonts w:ascii="Arial"/>
          <w:b/>
          <w:color w:val="231F20"/>
          <w:w w:val="115"/>
          <w:sz w:val="18"/>
        </w:rPr>
        <w:t>July 11, 1979</w:t>
      </w:r>
    </w:p>
    <w:p w14:paraId="0ABAADD2" w14:textId="77777777" w:rsidR="002653E8" w:rsidRDefault="003115E3">
      <w:pPr>
        <w:spacing w:before="35" w:line="276" w:lineRule="auto"/>
        <w:ind w:left="226" w:right="1292"/>
        <w:rPr>
          <w:rFonts w:ascii="Gill Sans MT"/>
          <w:sz w:val="18"/>
        </w:rPr>
      </w:pPr>
      <w:r>
        <w:rPr>
          <w:rFonts w:ascii="Gill Sans MT"/>
          <w:color w:val="231F20"/>
          <w:w w:val="110"/>
          <w:sz w:val="18"/>
        </w:rPr>
        <w:t>The Stuttgart OLG sentences Siegfried Haag and Roland Mayer to fourteen years and twelve years in prison, respectively.</w:t>
      </w:r>
    </w:p>
    <w:p w14:paraId="36AB182C" w14:textId="77777777" w:rsidR="002653E8" w:rsidRDefault="002653E8">
      <w:pPr>
        <w:pStyle w:val="a3"/>
        <w:spacing w:before="6"/>
        <w:rPr>
          <w:rFonts w:ascii="Gill Sans MT"/>
        </w:rPr>
      </w:pPr>
    </w:p>
    <w:p w14:paraId="5CCB2361" w14:textId="77777777" w:rsidR="002653E8" w:rsidRDefault="003115E3">
      <w:pPr>
        <w:ind w:left="226"/>
        <w:rPr>
          <w:rFonts w:ascii="Arial"/>
          <w:b/>
          <w:sz w:val="18"/>
        </w:rPr>
      </w:pPr>
      <w:r>
        <w:rPr>
          <w:rFonts w:ascii="Arial"/>
          <w:b/>
          <w:color w:val="231F20"/>
          <w:w w:val="115"/>
          <w:sz w:val="18"/>
        </w:rPr>
        <w:t>November 19, 1979</w:t>
      </w:r>
    </w:p>
    <w:p w14:paraId="78192071" w14:textId="77777777" w:rsidR="002653E8" w:rsidRDefault="00C507A5">
      <w:pPr>
        <w:spacing w:before="35" w:line="276" w:lineRule="auto"/>
        <w:ind w:left="226" w:right="1620"/>
        <w:rPr>
          <w:rFonts w:ascii="Gill Sans MT"/>
          <w:sz w:val="18"/>
        </w:rPr>
      </w:pPr>
      <w:r>
        <w:rPr>
          <w:rFonts w:ascii="Gill Sans MT"/>
          <w:color w:val="231F20"/>
          <w:w w:val="110"/>
          <w:sz w:val="18"/>
        </w:rPr>
        <w:t>red army faction</w:t>
      </w:r>
      <w:r w:rsidR="003115E3">
        <w:rPr>
          <w:rFonts w:ascii="Gill Sans MT"/>
          <w:color w:val="231F20"/>
          <w:w w:val="110"/>
          <w:sz w:val="18"/>
        </w:rPr>
        <w:t xml:space="preserve"> members Christian Klar, Rolf Clemens Wagner, Henning</w:t>
      </w:r>
    </w:p>
    <w:p w14:paraId="76FE97F1" w14:textId="77777777" w:rsidR="002653E8" w:rsidRDefault="003115E3">
      <w:pPr>
        <w:spacing w:line="209" w:lineRule="exact"/>
        <w:ind w:left="226"/>
        <w:rPr>
          <w:rFonts w:ascii="Gill Sans MT" w:hAnsi="Gill Sans MT"/>
          <w:sz w:val="18"/>
        </w:rPr>
      </w:pPr>
      <w:r>
        <w:rPr>
          <w:rFonts w:ascii="Gill Sans MT" w:hAnsi="Gill Sans MT"/>
          <w:color w:val="231F20"/>
          <w:w w:val="115"/>
          <w:sz w:val="18"/>
        </w:rPr>
        <w:t>Beer, and Peter-Jürgen Boock rob</w:t>
      </w:r>
    </w:p>
    <w:p w14:paraId="2017F35C" w14:textId="77777777" w:rsidR="002653E8" w:rsidRDefault="002653E8">
      <w:pPr>
        <w:spacing w:line="209" w:lineRule="exact"/>
        <w:rPr>
          <w:rFonts w:ascii="Gill Sans MT" w:hAnsi="Gill Sans MT"/>
          <w:sz w:val="18"/>
        </w:rPr>
        <w:sectPr w:rsidR="002653E8">
          <w:footerReference w:type="default" r:id="rId527"/>
          <w:pgSz w:w="8640" w:h="12960"/>
          <w:pgMar w:top="1060" w:right="0" w:bottom="280" w:left="0" w:header="0" w:footer="0" w:gutter="0"/>
          <w:cols w:num="2" w:space="720" w:equalWidth="0">
            <w:col w:w="4084" w:space="40"/>
            <w:col w:w="4516"/>
          </w:cols>
        </w:sectPr>
      </w:pPr>
    </w:p>
    <w:p w14:paraId="51DFDF2C" w14:textId="77777777" w:rsidR="002653E8" w:rsidRDefault="002653E8">
      <w:pPr>
        <w:pStyle w:val="a3"/>
        <w:rPr>
          <w:rFonts w:ascii="Gill Sans MT"/>
        </w:rPr>
      </w:pPr>
    </w:p>
    <w:p w14:paraId="14817128" w14:textId="77777777" w:rsidR="002653E8" w:rsidRDefault="002653E8">
      <w:pPr>
        <w:pStyle w:val="a3"/>
        <w:rPr>
          <w:rFonts w:ascii="Gill Sans MT"/>
        </w:rPr>
      </w:pPr>
    </w:p>
    <w:p w14:paraId="44DEBAA9" w14:textId="77777777" w:rsidR="002653E8" w:rsidRDefault="002653E8">
      <w:pPr>
        <w:pStyle w:val="a3"/>
        <w:spacing w:before="2"/>
        <w:rPr>
          <w:rFonts w:ascii="Gill Sans MT"/>
          <w:sz w:val="21"/>
        </w:rPr>
      </w:pPr>
    </w:p>
    <w:p w14:paraId="2FABC8E7" w14:textId="77777777" w:rsidR="002653E8" w:rsidRDefault="003115E3">
      <w:pPr>
        <w:tabs>
          <w:tab w:val="left" w:pos="3677"/>
        </w:tabs>
        <w:spacing w:line="244" w:lineRule="auto"/>
        <w:ind w:left="5234" w:right="1300" w:hanging="4087"/>
        <w:rPr>
          <w:sz w:val="18"/>
        </w:rPr>
      </w:pPr>
      <w:r>
        <w:rPr>
          <w:color w:val="231F20"/>
          <w:spacing w:val="15"/>
          <w:w w:val="105"/>
          <w:position w:val="5"/>
          <w:sz w:val="18"/>
        </w:rPr>
        <w:lastRenderedPageBreak/>
        <w:t>612</w:t>
      </w:r>
      <w:r>
        <w:rPr>
          <w:color w:val="231F20"/>
          <w:spacing w:val="15"/>
          <w:w w:val="105"/>
          <w:position w:val="5"/>
          <w:sz w:val="18"/>
        </w:rPr>
        <w:tab/>
      </w:r>
      <w:r>
        <w:rPr>
          <w:color w:val="231F20"/>
          <w:spacing w:val="20"/>
          <w:w w:val="105"/>
          <w:sz w:val="18"/>
        </w:rPr>
        <w:t xml:space="preserve">armed struggle </w:t>
      </w:r>
      <w:r>
        <w:rPr>
          <w:color w:val="231F20"/>
          <w:spacing w:val="11"/>
          <w:w w:val="105"/>
          <w:sz w:val="18"/>
        </w:rPr>
        <w:t xml:space="preserve">in </w:t>
      </w:r>
      <w:r>
        <w:rPr>
          <w:color w:val="231F20"/>
          <w:spacing w:val="17"/>
          <w:w w:val="105"/>
          <w:sz w:val="18"/>
        </w:rPr>
        <w:t>west</w:t>
      </w:r>
      <w:r>
        <w:rPr>
          <w:color w:val="231F20"/>
          <w:spacing w:val="76"/>
          <w:w w:val="105"/>
          <w:sz w:val="18"/>
        </w:rPr>
        <w:t xml:space="preserve"> </w:t>
      </w:r>
      <w:r>
        <w:rPr>
          <w:color w:val="231F20"/>
          <w:spacing w:val="20"/>
          <w:w w:val="105"/>
          <w:sz w:val="18"/>
        </w:rPr>
        <w:t xml:space="preserve">germany </w:t>
      </w:r>
      <w:r>
        <w:rPr>
          <w:color w:val="231F20"/>
          <w:spacing w:val="21"/>
          <w:w w:val="105"/>
          <w:sz w:val="18"/>
        </w:rPr>
        <w:t>mid-december</w:t>
      </w:r>
      <w:r>
        <w:rPr>
          <w:color w:val="231F20"/>
          <w:spacing w:val="30"/>
          <w:w w:val="105"/>
          <w:sz w:val="18"/>
        </w:rPr>
        <w:t xml:space="preserve"> </w:t>
      </w:r>
      <w:r>
        <w:rPr>
          <w:color w:val="231F20"/>
          <w:spacing w:val="17"/>
          <w:w w:val="105"/>
          <w:sz w:val="18"/>
        </w:rPr>
        <w:t>1978</w:t>
      </w:r>
      <w:r>
        <w:rPr>
          <w:color w:val="231F20"/>
          <w:spacing w:val="-15"/>
          <w:sz w:val="18"/>
        </w:rPr>
        <w:t xml:space="preserve"> </w:t>
      </w:r>
    </w:p>
    <w:p w14:paraId="6C4701C9" w14:textId="77777777" w:rsidR="002653E8" w:rsidRDefault="002653E8">
      <w:pPr>
        <w:spacing w:line="244" w:lineRule="auto"/>
        <w:rPr>
          <w:sz w:val="18"/>
        </w:rPr>
        <w:sectPr w:rsidR="002653E8">
          <w:type w:val="continuous"/>
          <w:pgSz w:w="8640" w:h="12960"/>
          <w:pgMar w:top="0" w:right="0" w:bottom="0" w:left="0" w:header="720" w:footer="720" w:gutter="0"/>
          <w:cols w:space="720"/>
        </w:sectPr>
      </w:pPr>
    </w:p>
    <w:p w14:paraId="7B1C5AE0" w14:textId="77777777" w:rsidR="002653E8" w:rsidRDefault="003115E3">
      <w:pPr>
        <w:spacing w:before="92" w:line="276" w:lineRule="auto"/>
        <w:ind w:left="1327" w:right="268"/>
        <w:rPr>
          <w:rFonts w:ascii="Gill Sans MT" w:hAnsi="Gill Sans MT"/>
          <w:sz w:val="18"/>
        </w:rPr>
      </w:pPr>
      <w:r>
        <w:rPr>
          <w:rFonts w:ascii="Gill Sans MT" w:hAnsi="Gill Sans MT"/>
          <w:color w:val="231F20"/>
          <w:w w:val="110"/>
          <w:sz w:val="18"/>
        </w:rPr>
        <w:lastRenderedPageBreak/>
        <w:t xml:space="preserve">a bank in Zurich of an estimated </w:t>
      </w:r>
      <w:r>
        <w:rPr>
          <w:rFonts w:ascii="Arial" w:hAnsi="Arial"/>
          <w:color w:val="231F20"/>
          <w:w w:val="110"/>
          <w:sz w:val="18"/>
        </w:rPr>
        <w:t>548</w:t>
      </w:r>
      <w:r>
        <w:rPr>
          <w:rFonts w:ascii="Gill Sans MT" w:hAnsi="Gill Sans MT"/>
          <w:color w:val="231F20"/>
          <w:w w:val="110"/>
          <w:sz w:val="18"/>
        </w:rPr>
        <w:t>,</w:t>
      </w:r>
      <w:r>
        <w:rPr>
          <w:rFonts w:ascii="Arial" w:hAnsi="Arial"/>
          <w:color w:val="231F20"/>
          <w:w w:val="110"/>
          <w:sz w:val="18"/>
        </w:rPr>
        <w:t xml:space="preserve">000 </w:t>
      </w:r>
      <w:r>
        <w:rPr>
          <w:rFonts w:ascii="Gill Sans MT" w:hAnsi="Gill Sans MT"/>
          <w:color w:val="231F20"/>
          <w:w w:val="110"/>
          <w:sz w:val="18"/>
        </w:rPr>
        <w:t>Swiss francs. Making their getaway, they shoot two police officers, and passer-by Edith Kletzhändler is killed by a ricocheting bullet. Rolf Clemens Wagner</w:t>
      </w:r>
      <w:r>
        <w:rPr>
          <w:rFonts w:ascii="Gill Sans MT" w:hAnsi="Gill Sans MT"/>
          <w:color w:val="231F20"/>
          <w:spacing w:val="-18"/>
          <w:w w:val="110"/>
          <w:sz w:val="18"/>
        </w:rPr>
        <w:t xml:space="preserve"> </w:t>
      </w:r>
      <w:r>
        <w:rPr>
          <w:rFonts w:ascii="Gill Sans MT" w:hAnsi="Gill Sans MT"/>
          <w:color w:val="231F20"/>
          <w:w w:val="110"/>
          <w:sz w:val="18"/>
        </w:rPr>
        <w:t>is</w:t>
      </w:r>
      <w:r>
        <w:rPr>
          <w:rFonts w:ascii="Gill Sans MT" w:hAnsi="Gill Sans MT"/>
          <w:color w:val="231F20"/>
          <w:spacing w:val="-18"/>
          <w:w w:val="110"/>
          <w:sz w:val="18"/>
        </w:rPr>
        <w:t xml:space="preserve"> </w:t>
      </w:r>
      <w:r>
        <w:rPr>
          <w:rFonts w:ascii="Gill Sans MT" w:hAnsi="Gill Sans MT"/>
          <w:color w:val="231F20"/>
          <w:w w:val="110"/>
          <w:sz w:val="18"/>
        </w:rPr>
        <w:t>arrested</w:t>
      </w:r>
      <w:r>
        <w:rPr>
          <w:rFonts w:ascii="Gill Sans MT" w:hAnsi="Gill Sans MT"/>
          <w:color w:val="231F20"/>
          <w:spacing w:val="-18"/>
          <w:w w:val="110"/>
          <w:sz w:val="18"/>
        </w:rPr>
        <w:t xml:space="preserve"> </w:t>
      </w:r>
      <w:r>
        <w:rPr>
          <w:rFonts w:ascii="Gill Sans MT" w:hAnsi="Gill Sans MT"/>
          <w:color w:val="231F20"/>
          <w:w w:val="110"/>
          <w:sz w:val="18"/>
        </w:rPr>
        <w:t>in</w:t>
      </w:r>
      <w:r>
        <w:rPr>
          <w:rFonts w:ascii="Gill Sans MT" w:hAnsi="Gill Sans MT"/>
          <w:color w:val="231F20"/>
          <w:spacing w:val="-18"/>
          <w:w w:val="110"/>
          <w:sz w:val="18"/>
        </w:rPr>
        <w:t xml:space="preserve"> </w:t>
      </w:r>
      <w:r>
        <w:rPr>
          <w:rFonts w:ascii="Gill Sans MT" w:hAnsi="Gill Sans MT"/>
          <w:color w:val="231F20"/>
          <w:w w:val="110"/>
          <w:sz w:val="18"/>
        </w:rPr>
        <w:t>Zurich</w:t>
      </w:r>
      <w:r>
        <w:rPr>
          <w:rFonts w:ascii="Gill Sans MT" w:hAnsi="Gill Sans MT"/>
          <w:color w:val="231F20"/>
          <w:spacing w:val="-18"/>
          <w:w w:val="110"/>
          <w:sz w:val="18"/>
        </w:rPr>
        <w:t xml:space="preserve"> </w:t>
      </w:r>
      <w:r>
        <w:rPr>
          <w:rFonts w:ascii="Gill Sans MT" w:hAnsi="Gill Sans MT"/>
          <w:color w:val="231F20"/>
          <w:w w:val="110"/>
          <w:sz w:val="18"/>
        </w:rPr>
        <w:t>later the same</w:t>
      </w:r>
      <w:r>
        <w:rPr>
          <w:rFonts w:ascii="Gill Sans MT" w:hAnsi="Gill Sans MT"/>
          <w:color w:val="231F20"/>
          <w:spacing w:val="-8"/>
          <w:w w:val="110"/>
          <w:sz w:val="18"/>
        </w:rPr>
        <w:t xml:space="preserve"> </w:t>
      </w:r>
      <w:r>
        <w:rPr>
          <w:rFonts w:ascii="Gill Sans MT" w:hAnsi="Gill Sans MT"/>
          <w:color w:val="231F20"/>
          <w:spacing w:val="-4"/>
          <w:w w:val="110"/>
          <w:sz w:val="18"/>
        </w:rPr>
        <w:t>day.</w:t>
      </w:r>
    </w:p>
    <w:p w14:paraId="09D74215" w14:textId="77777777" w:rsidR="002653E8" w:rsidRDefault="002653E8">
      <w:pPr>
        <w:pStyle w:val="a3"/>
        <w:rPr>
          <w:rFonts w:ascii="Gill Sans MT"/>
        </w:rPr>
      </w:pPr>
    </w:p>
    <w:p w14:paraId="220ED91A" w14:textId="77777777" w:rsidR="002653E8" w:rsidRDefault="002653E8">
      <w:pPr>
        <w:pStyle w:val="a3"/>
        <w:spacing w:before="11"/>
        <w:rPr>
          <w:rFonts w:ascii="Gill Sans MT"/>
          <w:sz w:val="19"/>
        </w:rPr>
      </w:pPr>
    </w:p>
    <w:p w14:paraId="2EAB7A23" w14:textId="77777777" w:rsidR="002653E8" w:rsidRDefault="003115E3">
      <w:pPr>
        <w:pStyle w:val="5"/>
      </w:pPr>
      <w:r>
        <w:rPr>
          <w:color w:val="231F20"/>
          <w:w w:val="120"/>
        </w:rPr>
        <w:t>1980</w:t>
      </w:r>
    </w:p>
    <w:p w14:paraId="03795355" w14:textId="77777777" w:rsidR="002653E8" w:rsidRDefault="003115E3">
      <w:pPr>
        <w:spacing w:before="12"/>
        <w:ind w:left="1327"/>
        <w:rPr>
          <w:rFonts w:ascii="Arial"/>
          <w:b/>
          <w:sz w:val="18"/>
        </w:rPr>
      </w:pPr>
      <w:r>
        <w:rPr>
          <w:rFonts w:ascii="Arial"/>
          <w:b/>
          <w:color w:val="231F20"/>
          <w:w w:val="115"/>
          <w:sz w:val="18"/>
        </w:rPr>
        <w:t>January 31, 1980</w:t>
      </w:r>
    </w:p>
    <w:p w14:paraId="607E8359" w14:textId="77777777" w:rsidR="002653E8" w:rsidRDefault="003115E3">
      <w:pPr>
        <w:spacing w:before="34" w:line="276" w:lineRule="auto"/>
        <w:ind w:left="1327" w:right="66"/>
        <w:rPr>
          <w:rFonts w:ascii="Gill Sans MT" w:hAnsi="Gill Sans MT"/>
          <w:sz w:val="18"/>
        </w:rPr>
      </w:pPr>
      <w:r>
        <w:rPr>
          <w:rFonts w:ascii="Gill Sans MT" w:hAnsi="Gill Sans MT"/>
          <w:color w:val="231F20"/>
          <w:w w:val="110"/>
          <w:sz w:val="18"/>
        </w:rPr>
        <w:t xml:space="preserve">On the basis of testimony supplied by former </w:t>
      </w:r>
      <w:r w:rsidR="00C507A5">
        <w:rPr>
          <w:rFonts w:ascii="Gill Sans MT" w:hAnsi="Gill Sans MT"/>
          <w:color w:val="231F20"/>
          <w:w w:val="110"/>
          <w:sz w:val="18"/>
        </w:rPr>
        <w:t>red army faction</w:t>
      </w:r>
      <w:r>
        <w:rPr>
          <w:rFonts w:ascii="Gill Sans MT" w:hAnsi="Gill Sans MT"/>
          <w:color w:val="231F20"/>
          <w:w w:val="110"/>
          <w:sz w:val="18"/>
        </w:rPr>
        <w:t xml:space="preserve"> supporters Volker Speitel and Hans-Joachim dellwo, the Stuttgart OLG sentences attorneys Arndt Müller and Armin Newerla to four years and eight months, and three years and six months respectively for smuggling weapons and explosives into Stammheim.</w:t>
      </w:r>
    </w:p>
    <w:p w14:paraId="7081D242" w14:textId="77777777" w:rsidR="002653E8" w:rsidRDefault="002653E8">
      <w:pPr>
        <w:pStyle w:val="a3"/>
        <w:spacing w:before="6"/>
        <w:rPr>
          <w:rFonts w:ascii="Gill Sans MT"/>
        </w:rPr>
      </w:pPr>
    </w:p>
    <w:p w14:paraId="3F6C2184" w14:textId="77777777" w:rsidR="002653E8" w:rsidRDefault="003115E3">
      <w:pPr>
        <w:ind w:left="1327"/>
        <w:rPr>
          <w:rFonts w:ascii="Arial"/>
          <w:b/>
          <w:sz w:val="18"/>
        </w:rPr>
      </w:pPr>
      <w:r>
        <w:rPr>
          <w:rFonts w:ascii="Arial"/>
          <w:b/>
          <w:color w:val="231F20"/>
          <w:w w:val="115"/>
          <w:sz w:val="18"/>
        </w:rPr>
        <w:t>February 22, 1980</w:t>
      </w:r>
    </w:p>
    <w:p w14:paraId="324EA264" w14:textId="77777777" w:rsidR="002653E8" w:rsidRDefault="003115E3">
      <w:pPr>
        <w:spacing w:before="34" w:line="276" w:lineRule="auto"/>
        <w:ind w:left="1327" w:right="275"/>
        <w:rPr>
          <w:rFonts w:ascii="Gill Sans MT"/>
          <w:sz w:val="18"/>
        </w:rPr>
      </w:pPr>
      <w:r>
        <w:rPr>
          <w:rFonts w:ascii="Gill Sans MT"/>
          <w:color w:val="231F20"/>
          <w:w w:val="115"/>
          <w:sz w:val="18"/>
        </w:rPr>
        <w:t>Astrid Proll is sentenced to five and</w:t>
      </w:r>
      <w:r>
        <w:rPr>
          <w:rFonts w:ascii="Gill Sans MT"/>
          <w:color w:val="231F20"/>
          <w:spacing w:val="-19"/>
          <w:w w:val="115"/>
          <w:sz w:val="18"/>
        </w:rPr>
        <w:t xml:space="preserve"> </w:t>
      </w:r>
      <w:r>
        <w:rPr>
          <w:rFonts w:ascii="Gill Sans MT"/>
          <w:color w:val="231F20"/>
          <w:w w:val="115"/>
          <w:sz w:val="18"/>
        </w:rPr>
        <w:t>a</w:t>
      </w:r>
      <w:r>
        <w:rPr>
          <w:rFonts w:ascii="Gill Sans MT"/>
          <w:color w:val="231F20"/>
          <w:spacing w:val="-19"/>
          <w:w w:val="115"/>
          <w:sz w:val="18"/>
        </w:rPr>
        <w:t xml:space="preserve"> </w:t>
      </w:r>
      <w:r>
        <w:rPr>
          <w:rFonts w:ascii="Gill Sans MT"/>
          <w:color w:val="231F20"/>
          <w:w w:val="115"/>
          <w:sz w:val="18"/>
        </w:rPr>
        <w:t>half</w:t>
      </w:r>
      <w:r>
        <w:rPr>
          <w:rFonts w:ascii="Gill Sans MT"/>
          <w:color w:val="231F20"/>
          <w:spacing w:val="-19"/>
          <w:w w:val="115"/>
          <w:sz w:val="18"/>
        </w:rPr>
        <w:t xml:space="preserve"> </w:t>
      </w:r>
      <w:r>
        <w:rPr>
          <w:rFonts w:ascii="Gill Sans MT"/>
          <w:color w:val="231F20"/>
          <w:w w:val="115"/>
          <w:sz w:val="18"/>
        </w:rPr>
        <w:t>years</w:t>
      </w:r>
      <w:r>
        <w:rPr>
          <w:rFonts w:ascii="Gill Sans MT"/>
          <w:color w:val="231F20"/>
          <w:spacing w:val="-19"/>
          <w:w w:val="115"/>
          <w:sz w:val="18"/>
        </w:rPr>
        <w:t xml:space="preserve"> </w:t>
      </w:r>
      <w:r>
        <w:rPr>
          <w:rFonts w:ascii="Gill Sans MT"/>
          <w:color w:val="231F20"/>
          <w:w w:val="115"/>
          <w:sz w:val="18"/>
        </w:rPr>
        <w:t>for</w:t>
      </w:r>
      <w:r>
        <w:rPr>
          <w:rFonts w:ascii="Gill Sans MT"/>
          <w:color w:val="231F20"/>
          <w:spacing w:val="-19"/>
          <w:w w:val="115"/>
          <w:sz w:val="18"/>
        </w:rPr>
        <w:t xml:space="preserve"> </w:t>
      </w:r>
      <w:r>
        <w:rPr>
          <w:rFonts w:ascii="Gill Sans MT"/>
          <w:color w:val="231F20"/>
          <w:w w:val="115"/>
          <w:sz w:val="18"/>
        </w:rPr>
        <w:t>bank</w:t>
      </w:r>
      <w:r>
        <w:rPr>
          <w:rFonts w:ascii="Gill Sans MT"/>
          <w:color w:val="231F20"/>
          <w:spacing w:val="-19"/>
          <w:w w:val="115"/>
          <w:sz w:val="18"/>
        </w:rPr>
        <w:t xml:space="preserve"> </w:t>
      </w:r>
      <w:r>
        <w:rPr>
          <w:rFonts w:ascii="Gill Sans MT"/>
          <w:color w:val="231F20"/>
          <w:w w:val="115"/>
          <w:sz w:val="18"/>
        </w:rPr>
        <w:t>robbery and using a forged Id, but</w:t>
      </w:r>
      <w:r>
        <w:rPr>
          <w:rFonts w:ascii="Gill Sans MT"/>
          <w:color w:val="231F20"/>
          <w:spacing w:val="-27"/>
          <w:w w:val="115"/>
          <w:sz w:val="18"/>
        </w:rPr>
        <w:t xml:space="preserve"> </w:t>
      </w:r>
      <w:r>
        <w:rPr>
          <w:rFonts w:ascii="Gill Sans MT"/>
          <w:color w:val="231F20"/>
          <w:w w:val="115"/>
          <w:sz w:val="18"/>
        </w:rPr>
        <w:t>is</w:t>
      </w:r>
    </w:p>
    <w:p w14:paraId="0DB89D37" w14:textId="77777777" w:rsidR="002653E8" w:rsidRDefault="003115E3">
      <w:pPr>
        <w:spacing w:before="1" w:line="276" w:lineRule="auto"/>
        <w:ind w:left="1327"/>
        <w:rPr>
          <w:rFonts w:ascii="Gill Sans MT"/>
          <w:sz w:val="18"/>
        </w:rPr>
      </w:pPr>
      <w:r>
        <w:rPr>
          <w:rFonts w:ascii="Gill Sans MT"/>
          <w:color w:val="231F20"/>
          <w:w w:val="110"/>
          <w:sz w:val="18"/>
        </w:rPr>
        <w:t>immediately released on the basis of time already served.</w:t>
      </w:r>
    </w:p>
    <w:p w14:paraId="7E73F402" w14:textId="77777777" w:rsidR="002653E8" w:rsidRDefault="00C507A5">
      <w:pPr>
        <w:spacing w:line="276" w:lineRule="auto"/>
        <w:ind w:left="1327" w:right="241"/>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member Peter-Jürgen Boock is arrested in Hamburg. He soon renounces the </w:t>
      </w:r>
      <w:r>
        <w:rPr>
          <w:rFonts w:ascii="Gill Sans MT" w:hAnsi="Gill Sans MT"/>
          <w:color w:val="231F20"/>
          <w:w w:val="110"/>
          <w:sz w:val="18"/>
        </w:rPr>
        <w:t>red army faction</w:t>
      </w:r>
      <w:r w:rsidR="003115E3">
        <w:rPr>
          <w:rFonts w:ascii="Gill Sans MT" w:hAnsi="Gill Sans MT"/>
          <w:color w:val="231F20"/>
          <w:w w:val="110"/>
          <w:sz w:val="18"/>
        </w:rPr>
        <w:t>.</w:t>
      </w:r>
    </w:p>
    <w:p w14:paraId="4164F74C" w14:textId="77777777" w:rsidR="002653E8" w:rsidRDefault="002653E8">
      <w:pPr>
        <w:pStyle w:val="a3"/>
        <w:spacing w:before="6"/>
        <w:rPr>
          <w:rFonts w:ascii="Gill Sans MT"/>
        </w:rPr>
      </w:pPr>
    </w:p>
    <w:p w14:paraId="59700124" w14:textId="77777777" w:rsidR="002653E8" w:rsidRDefault="003115E3">
      <w:pPr>
        <w:ind w:left="1327"/>
        <w:rPr>
          <w:rFonts w:ascii="Arial"/>
          <w:b/>
          <w:sz w:val="18"/>
        </w:rPr>
      </w:pPr>
      <w:r>
        <w:rPr>
          <w:rFonts w:ascii="Arial"/>
          <w:b/>
          <w:color w:val="231F20"/>
          <w:w w:val="120"/>
          <w:sz w:val="18"/>
        </w:rPr>
        <w:t>May 5, 1980</w:t>
      </w:r>
    </w:p>
    <w:p w14:paraId="38E89673" w14:textId="77777777" w:rsidR="002653E8" w:rsidRDefault="003115E3">
      <w:pPr>
        <w:spacing w:before="34" w:line="276" w:lineRule="auto"/>
        <w:ind w:left="1327" w:right="20"/>
        <w:rPr>
          <w:rFonts w:ascii="Gill Sans MT"/>
          <w:sz w:val="18"/>
        </w:rPr>
      </w:pPr>
      <w:r>
        <w:rPr>
          <w:rFonts w:ascii="Gill Sans MT"/>
          <w:color w:val="231F20"/>
          <w:w w:val="115"/>
          <w:sz w:val="18"/>
        </w:rPr>
        <w:t xml:space="preserve">2JM member Ingrid Barabas, </w:t>
      </w:r>
      <w:r w:rsidR="00C507A5">
        <w:rPr>
          <w:rFonts w:ascii="Gill Sans MT"/>
          <w:color w:val="231F20"/>
          <w:w w:val="115"/>
          <w:sz w:val="18"/>
        </w:rPr>
        <w:t>red army faction</w:t>
      </w:r>
      <w:r>
        <w:rPr>
          <w:rFonts w:ascii="Gill Sans MT"/>
          <w:color w:val="231F20"/>
          <w:w w:val="115"/>
          <w:sz w:val="18"/>
        </w:rPr>
        <w:t xml:space="preserve"> member Sieglinde Hofmann, and </w:t>
      </w:r>
      <w:r>
        <w:rPr>
          <w:rFonts w:ascii="Gill Sans MT"/>
          <w:color w:val="231F20"/>
          <w:w w:val="110"/>
          <w:sz w:val="18"/>
        </w:rPr>
        <w:t xml:space="preserve">supporters Karin Kamp-Munruchow </w:t>
      </w:r>
      <w:r>
        <w:rPr>
          <w:rFonts w:ascii="Gill Sans MT"/>
          <w:color w:val="231F20"/>
          <w:w w:val="115"/>
          <w:sz w:val="18"/>
        </w:rPr>
        <w:t>and Regine Nicolai are arrested</w:t>
      </w:r>
    </w:p>
    <w:p w14:paraId="4DE0817C" w14:textId="77777777" w:rsidR="002653E8" w:rsidRPr="00846956" w:rsidRDefault="003115E3">
      <w:pPr>
        <w:spacing w:line="208" w:lineRule="exact"/>
        <w:ind w:left="1327"/>
        <w:rPr>
          <w:rFonts w:ascii="Gill Sans MT"/>
          <w:sz w:val="18"/>
          <w:lang w:val="de-DE"/>
        </w:rPr>
      </w:pPr>
      <w:r w:rsidRPr="00846956">
        <w:rPr>
          <w:rFonts w:ascii="Gill Sans MT"/>
          <w:color w:val="231F20"/>
          <w:w w:val="110"/>
          <w:sz w:val="18"/>
          <w:lang w:val="de-DE"/>
        </w:rPr>
        <w:t>in Paris.</w:t>
      </w:r>
    </w:p>
    <w:p w14:paraId="38D4455E" w14:textId="77777777" w:rsidR="002653E8" w:rsidRPr="00846956" w:rsidRDefault="003115E3">
      <w:pPr>
        <w:spacing w:before="91"/>
        <w:ind w:left="204"/>
        <w:rPr>
          <w:rFonts w:ascii="Arial"/>
          <w:b/>
          <w:sz w:val="18"/>
          <w:lang w:val="de-DE"/>
        </w:rPr>
      </w:pPr>
      <w:r w:rsidRPr="00846956">
        <w:rPr>
          <w:lang w:val="de-DE"/>
        </w:rPr>
        <w:br w:type="column"/>
      </w:r>
      <w:r w:rsidRPr="00846956">
        <w:rPr>
          <w:rFonts w:ascii="Arial"/>
          <w:b/>
          <w:color w:val="231F20"/>
          <w:w w:val="115"/>
          <w:sz w:val="18"/>
          <w:lang w:val="de-DE"/>
        </w:rPr>
        <w:t>June 1980</w:t>
      </w:r>
    </w:p>
    <w:p w14:paraId="42760063" w14:textId="77777777" w:rsidR="002653E8" w:rsidRPr="00846956" w:rsidRDefault="003115E3">
      <w:pPr>
        <w:spacing w:before="27"/>
        <w:ind w:left="204"/>
        <w:rPr>
          <w:rFonts w:ascii="Lucida Sans"/>
          <w:i/>
          <w:sz w:val="18"/>
          <w:lang w:val="de-DE"/>
        </w:rPr>
      </w:pPr>
      <w:r w:rsidRPr="00846956">
        <w:rPr>
          <w:rFonts w:ascii="Lucida Sans"/>
          <w:i/>
          <w:color w:val="231F20"/>
          <w:sz w:val="18"/>
          <w:lang w:val="de-DE"/>
        </w:rPr>
        <w:t>Der Minister und der Terrorist</w:t>
      </w:r>
    </w:p>
    <w:p w14:paraId="43F9BC9E" w14:textId="77777777" w:rsidR="002653E8" w:rsidRDefault="003115E3">
      <w:pPr>
        <w:spacing w:before="35" w:line="276" w:lineRule="auto"/>
        <w:ind w:left="204" w:right="1096"/>
        <w:rPr>
          <w:rFonts w:ascii="Gill Sans MT"/>
          <w:sz w:val="18"/>
        </w:rPr>
      </w:pPr>
      <w:r>
        <w:rPr>
          <w:rFonts w:ascii="Gill Sans MT"/>
          <w:color w:val="231F20"/>
          <w:w w:val="110"/>
          <w:sz w:val="18"/>
        </w:rPr>
        <w:t xml:space="preserve">(The Minister and the Terrorist), a book-length conversation between Federal Parliamentary Secretary Gerhart Baum (FdP) and former </w:t>
      </w:r>
      <w:r w:rsidR="00C507A5">
        <w:rPr>
          <w:rFonts w:ascii="Gill Sans MT"/>
          <w:color w:val="231F20"/>
          <w:w w:val="110"/>
          <w:sz w:val="18"/>
        </w:rPr>
        <w:t>red army faction</w:t>
      </w:r>
      <w:r>
        <w:rPr>
          <w:rFonts w:ascii="Gill Sans MT"/>
          <w:color w:val="231F20"/>
          <w:w w:val="110"/>
          <w:sz w:val="18"/>
        </w:rPr>
        <w:t xml:space="preserve"> member Horst Mahler is released.</w:t>
      </w:r>
    </w:p>
    <w:p w14:paraId="5EC5CD64" w14:textId="77777777" w:rsidR="002653E8" w:rsidRDefault="002653E8">
      <w:pPr>
        <w:pStyle w:val="a3"/>
        <w:spacing w:before="6"/>
        <w:rPr>
          <w:rFonts w:ascii="Gill Sans MT"/>
        </w:rPr>
      </w:pPr>
    </w:p>
    <w:p w14:paraId="656566EB" w14:textId="77777777" w:rsidR="002653E8" w:rsidRDefault="003115E3">
      <w:pPr>
        <w:spacing w:before="1"/>
        <w:ind w:left="204"/>
        <w:rPr>
          <w:rFonts w:ascii="Arial"/>
          <w:b/>
          <w:sz w:val="18"/>
        </w:rPr>
      </w:pPr>
      <w:r>
        <w:rPr>
          <w:rFonts w:ascii="Arial"/>
          <w:b/>
          <w:color w:val="231F20"/>
          <w:w w:val="115"/>
          <w:sz w:val="18"/>
        </w:rPr>
        <w:t>June 2, 1980</w:t>
      </w:r>
    </w:p>
    <w:p w14:paraId="7E2A2D4B" w14:textId="77777777" w:rsidR="002653E8" w:rsidRDefault="003115E3">
      <w:pPr>
        <w:spacing w:before="34" w:line="276" w:lineRule="auto"/>
        <w:ind w:left="204" w:right="1187" w:hanging="1"/>
        <w:rPr>
          <w:rFonts w:ascii="Gill Sans MT" w:hAnsi="Gill Sans MT"/>
          <w:sz w:val="18"/>
        </w:rPr>
      </w:pPr>
      <w:r>
        <w:rPr>
          <w:rFonts w:ascii="Gill Sans MT" w:hAnsi="Gill Sans MT"/>
          <w:color w:val="231F20"/>
          <w:w w:val="110"/>
          <w:sz w:val="18"/>
        </w:rPr>
        <w:t xml:space="preserve">The 2JM releases a communiqué announcing its dissolution and merger with the </w:t>
      </w:r>
      <w:r w:rsidR="00C507A5">
        <w:rPr>
          <w:rFonts w:ascii="Gill Sans MT" w:hAnsi="Gill Sans MT"/>
          <w:color w:val="231F20"/>
          <w:w w:val="110"/>
          <w:sz w:val="18"/>
        </w:rPr>
        <w:t>red army faction</w:t>
      </w:r>
      <w:r>
        <w:rPr>
          <w:rFonts w:ascii="Gill Sans MT" w:hAnsi="Gill Sans MT"/>
          <w:color w:val="231F20"/>
          <w:w w:val="110"/>
          <w:sz w:val="18"/>
        </w:rPr>
        <w:t>. Some 2JM members in prison will release a document distancing themselves from this fusion later in the month, but the 2JM will never claim responsibility for another action.</w:t>
      </w:r>
    </w:p>
    <w:p w14:paraId="331893FA" w14:textId="77777777" w:rsidR="002653E8" w:rsidRDefault="002653E8">
      <w:pPr>
        <w:pStyle w:val="a3"/>
        <w:spacing w:before="6"/>
        <w:rPr>
          <w:rFonts w:ascii="Gill Sans MT"/>
        </w:rPr>
      </w:pPr>
    </w:p>
    <w:p w14:paraId="50F1AFDE" w14:textId="77777777" w:rsidR="002653E8" w:rsidRDefault="003115E3">
      <w:pPr>
        <w:ind w:left="204"/>
        <w:rPr>
          <w:rFonts w:ascii="Arial"/>
          <w:b/>
          <w:sz w:val="18"/>
        </w:rPr>
      </w:pPr>
      <w:r>
        <w:rPr>
          <w:rFonts w:ascii="Arial"/>
          <w:b/>
          <w:color w:val="231F20"/>
          <w:w w:val="115"/>
          <w:sz w:val="18"/>
        </w:rPr>
        <w:t>July 25, 1980</w:t>
      </w:r>
    </w:p>
    <w:p w14:paraId="62F4AD84" w14:textId="77777777" w:rsidR="002653E8" w:rsidRDefault="00C507A5">
      <w:pPr>
        <w:spacing w:before="35" w:line="276" w:lineRule="auto"/>
        <w:ind w:left="204" w:right="1185"/>
        <w:rPr>
          <w:rFonts w:ascii="Gill Sans MT"/>
          <w:sz w:val="18"/>
        </w:rPr>
      </w:pPr>
      <w:r>
        <w:rPr>
          <w:rFonts w:ascii="Gill Sans MT"/>
          <w:color w:val="231F20"/>
          <w:w w:val="115"/>
          <w:sz w:val="18"/>
        </w:rPr>
        <w:t>red army faction</w:t>
      </w:r>
      <w:r w:rsidR="003115E3">
        <w:rPr>
          <w:rFonts w:ascii="Gill Sans MT"/>
          <w:color w:val="231F20"/>
          <w:w w:val="115"/>
          <w:sz w:val="18"/>
        </w:rPr>
        <w:t xml:space="preserve"> members Juliane Plambeck, formerly of the 2JM, and Wolfgang Beer are killed in a traffic accident outside of Bietigheim-Bissingen.</w:t>
      </w:r>
    </w:p>
    <w:p w14:paraId="5FB180EF" w14:textId="77777777" w:rsidR="002653E8" w:rsidRDefault="002653E8">
      <w:pPr>
        <w:pStyle w:val="a3"/>
        <w:spacing w:before="6"/>
        <w:rPr>
          <w:rFonts w:ascii="Gill Sans MT"/>
        </w:rPr>
      </w:pPr>
    </w:p>
    <w:p w14:paraId="37AC44D0" w14:textId="77777777" w:rsidR="002653E8" w:rsidRDefault="003115E3">
      <w:pPr>
        <w:ind w:left="204"/>
        <w:rPr>
          <w:rFonts w:ascii="Arial"/>
          <w:b/>
          <w:sz w:val="18"/>
        </w:rPr>
      </w:pPr>
      <w:r>
        <w:rPr>
          <w:rFonts w:ascii="Arial"/>
          <w:b/>
          <w:color w:val="231F20"/>
          <w:w w:val="115"/>
          <w:sz w:val="18"/>
        </w:rPr>
        <w:t>July 31, 1980</w:t>
      </w:r>
    </w:p>
    <w:p w14:paraId="66D8C04B" w14:textId="77777777" w:rsidR="002653E8" w:rsidRDefault="003115E3">
      <w:pPr>
        <w:spacing w:before="35" w:line="276" w:lineRule="auto"/>
        <w:ind w:left="204" w:right="1263"/>
        <w:rPr>
          <w:rFonts w:ascii="Gill Sans MT" w:hAnsi="Gill Sans MT"/>
          <w:sz w:val="18"/>
        </w:rPr>
      </w:pPr>
      <w:r>
        <w:rPr>
          <w:rFonts w:ascii="Gill Sans MT" w:hAnsi="Gill Sans MT"/>
          <w:color w:val="231F20"/>
          <w:w w:val="110"/>
          <w:sz w:val="18"/>
        </w:rPr>
        <w:t xml:space="preserve">The düsseldorf OLG sentences </w:t>
      </w:r>
      <w:r w:rsidR="00C507A5">
        <w:rPr>
          <w:rFonts w:ascii="Gill Sans MT" w:hAnsi="Gill Sans MT"/>
          <w:color w:val="231F20"/>
          <w:w w:val="110"/>
          <w:sz w:val="18"/>
        </w:rPr>
        <w:t>red army faction</w:t>
      </w:r>
      <w:r>
        <w:rPr>
          <w:rFonts w:ascii="Gill Sans MT" w:hAnsi="Gill Sans MT"/>
          <w:color w:val="231F20"/>
          <w:spacing w:val="-8"/>
          <w:w w:val="110"/>
          <w:sz w:val="18"/>
        </w:rPr>
        <w:t xml:space="preserve"> </w:t>
      </w:r>
      <w:r>
        <w:rPr>
          <w:rFonts w:ascii="Gill Sans MT" w:hAnsi="Gill Sans MT"/>
          <w:color w:val="231F20"/>
          <w:w w:val="110"/>
          <w:sz w:val="18"/>
        </w:rPr>
        <w:t>member</w:t>
      </w:r>
      <w:r>
        <w:rPr>
          <w:rFonts w:ascii="Gill Sans MT" w:hAnsi="Gill Sans MT"/>
          <w:color w:val="231F20"/>
          <w:spacing w:val="-8"/>
          <w:w w:val="110"/>
          <w:sz w:val="18"/>
        </w:rPr>
        <w:t xml:space="preserve"> </w:t>
      </w:r>
      <w:r>
        <w:rPr>
          <w:rFonts w:ascii="Gill Sans MT" w:hAnsi="Gill Sans MT"/>
          <w:color w:val="231F20"/>
          <w:w w:val="110"/>
          <w:sz w:val="18"/>
        </w:rPr>
        <w:t>Knut</w:t>
      </w:r>
      <w:r>
        <w:rPr>
          <w:rFonts w:ascii="Gill Sans MT" w:hAnsi="Gill Sans MT"/>
          <w:color w:val="231F20"/>
          <w:spacing w:val="-8"/>
          <w:w w:val="110"/>
          <w:sz w:val="18"/>
        </w:rPr>
        <w:t xml:space="preserve"> </w:t>
      </w:r>
      <w:r>
        <w:rPr>
          <w:rFonts w:ascii="Gill Sans MT" w:hAnsi="Gill Sans MT"/>
          <w:color w:val="231F20"/>
          <w:w w:val="110"/>
          <w:sz w:val="18"/>
        </w:rPr>
        <w:t>Folkerts</w:t>
      </w:r>
      <w:r>
        <w:rPr>
          <w:rFonts w:ascii="Gill Sans MT" w:hAnsi="Gill Sans MT"/>
          <w:color w:val="231F20"/>
          <w:spacing w:val="-8"/>
          <w:w w:val="110"/>
          <w:sz w:val="18"/>
        </w:rPr>
        <w:t xml:space="preserve"> </w:t>
      </w:r>
      <w:r>
        <w:rPr>
          <w:rFonts w:ascii="Gill Sans MT" w:hAnsi="Gill Sans MT"/>
          <w:color w:val="231F20"/>
          <w:w w:val="110"/>
          <w:sz w:val="18"/>
        </w:rPr>
        <w:t>to</w:t>
      </w:r>
      <w:r>
        <w:rPr>
          <w:rFonts w:ascii="Gill Sans MT" w:hAnsi="Gill Sans MT"/>
          <w:color w:val="231F20"/>
          <w:spacing w:val="-8"/>
          <w:w w:val="110"/>
          <w:sz w:val="18"/>
        </w:rPr>
        <w:t xml:space="preserve"> </w:t>
      </w:r>
      <w:r>
        <w:rPr>
          <w:rFonts w:ascii="Gill Sans MT" w:hAnsi="Gill Sans MT"/>
          <w:color w:val="231F20"/>
          <w:w w:val="110"/>
          <w:sz w:val="18"/>
        </w:rPr>
        <w:t>a</w:t>
      </w:r>
      <w:r>
        <w:rPr>
          <w:rFonts w:ascii="Gill Sans MT" w:hAnsi="Gill Sans MT"/>
          <w:color w:val="231F20"/>
          <w:spacing w:val="-8"/>
          <w:w w:val="110"/>
          <w:sz w:val="18"/>
        </w:rPr>
        <w:t xml:space="preserve"> </w:t>
      </w:r>
      <w:r>
        <w:rPr>
          <w:rFonts w:ascii="Gill Sans MT" w:hAnsi="Gill Sans MT"/>
          <w:color w:val="231F20"/>
          <w:w w:val="110"/>
          <w:sz w:val="18"/>
        </w:rPr>
        <w:t>life sentence for three</w:t>
      </w:r>
      <w:r>
        <w:rPr>
          <w:rFonts w:ascii="Gill Sans MT" w:hAnsi="Gill Sans MT"/>
          <w:color w:val="231F20"/>
          <w:spacing w:val="-19"/>
          <w:w w:val="110"/>
          <w:sz w:val="18"/>
        </w:rPr>
        <w:t xml:space="preserve"> </w:t>
      </w:r>
      <w:r>
        <w:rPr>
          <w:rFonts w:ascii="Gill Sans MT" w:hAnsi="Gill Sans MT"/>
          <w:color w:val="231F20"/>
          <w:w w:val="110"/>
          <w:sz w:val="18"/>
        </w:rPr>
        <w:t>murders.</w:t>
      </w:r>
    </w:p>
    <w:p w14:paraId="2455EA32" w14:textId="77777777" w:rsidR="002653E8" w:rsidRDefault="002653E8">
      <w:pPr>
        <w:pStyle w:val="a3"/>
        <w:spacing w:before="6"/>
        <w:rPr>
          <w:rFonts w:ascii="Gill Sans MT"/>
        </w:rPr>
      </w:pPr>
    </w:p>
    <w:p w14:paraId="0F0637B0" w14:textId="77777777" w:rsidR="002653E8" w:rsidRDefault="003115E3">
      <w:pPr>
        <w:ind w:left="204"/>
        <w:rPr>
          <w:rFonts w:ascii="Arial"/>
          <w:b/>
          <w:sz w:val="18"/>
        </w:rPr>
      </w:pPr>
      <w:r>
        <w:rPr>
          <w:rFonts w:ascii="Arial"/>
          <w:b/>
          <w:color w:val="231F20"/>
          <w:w w:val="115"/>
          <w:sz w:val="18"/>
        </w:rPr>
        <w:t>September 5, 1980</w:t>
      </w:r>
    </w:p>
    <w:p w14:paraId="7C932543" w14:textId="77777777" w:rsidR="002653E8" w:rsidRDefault="003115E3">
      <w:pPr>
        <w:spacing w:before="35" w:line="276" w:lineRule="auto"/>
        <w:ind w:left="204" w:right="1216"/>
        <w:rPr>
          <w:rFonts w:ascii="Gill Sans MT" w:hAnsi="Gill Sans MT"/>
          <w:sz w:val="18"/>
        </w:rPr>
      </w:pPr>
      <w:r>
        <w:rPr>
          <w:rFonts w:ascii="Gill Sans MT" w:hAnsi="Gill Sans MT"/>
          <w:color w:val="231F20"/>
          <w:w w:val="110"/>
          <w:sz w:val="18"/>
        </w:rPr>
        <w:t>The düsseldorf OLG sentences</w:t>
      </w:r>
      <w:r>
        <w:rPr>
          <w:rFonts w:ascii="Gill Sans MT" w:hAnsi="Gill Sans MT"/>
          <w:color w:val="231F20"/>
          <w:spacing w:val="-10"/>
          <w:w w:val="110"/>
          <w:sz w:val="18"/>
        </w:rPr>
        <w:t xml:space="preserve"> </w:t>
      </w:r>
      <w:r w:rsidR="00C507A5">
        <w:rPr>
          <w:rFonts w:ascii="Gill Sans MT" w:hAnsi="Gill Sans MT"/>
          <w:color w:val="231F20"/>
          <w:w w:val="110"/>
          <w:sz w:val="18"/>
        </w:rPr>
        <w:t>red army faction</w:t>
      </w:r>
      <w:r>
        <w:rPr>
          <w:rFonts w:ascii="Gill Sans MT" w:hAnsi="Gill Sans MT"/>
          <w:color w:val="231F20"/>
          <w:w w:val="110"/>
          <w:sz w:val="18"/>
        </w:rPr>
        <w:t xml:space="preserve"> members Christof Wackernagel and Gerd Schneider to fifteen years in prison for attempted</w:t>
      </w:r>
      <w:r>
        <w:rPr>
          <w:rFonts w:ascii="Gill Sans MT" w:hAnsi="Gill Sans MT"/>
          <w:color w:val="231F20"/>
          <w:spacing w:val="-20"/>
          <w:w w:val="110"/>
          <w:sz w:val="18"/>
        </w:rPr>
        <w:t xml:space="preserve"> </w:t>
      </w:r>
      <w:r>
        <w:rPr>
          <w:rFonts w:ascii="Gill Sans MT" w:hAnsi="Gill Sans MT"/>
          <w:color w:val="231F20"/>
          <w:w w:val="110"/>
          <w:sz w:val="18"/>
        </w:rPr>
        <w:t>murder</w:t>
      </w:r>
    </w:p>
    <w:p w14:paraId="340982BC" w14:textId="77777777" w:rsidR="002653E8" w:rsidRDefault="003115E3">
      <w:pPr>
        <w:spacing w:line="276" w:lineRule="auto"/>
        <w:ind w:left="204" w:right="1700"/>
        <w:rPr>
          <w:rFonts w:ascii="Gill Sans MT"/>
          <w:sz w:val="18"/>
        </w:rPr>
      </w:pPr>
      <w:r>
        <w:rPr>
          <w:rFonts w:ascii="Gill Sans MT"/>
          <w:color w:val="231F20"/>
          <w:w w:val="115"/>
          <w:sz w:val="18"/>
        </w:rPr>
        <w:t>and</w:t>
      </w:r>
      <w:r>
        <w:rPr>
          <w:rFonts w:ascii="Gill Sans MT"/>
          <w:color w:val="231F20"/>
          <w:spacing w:val="-33"/>
          <w:w w:val="115"/>
          <w:sz w:val="18"/>
        </w:rPr>
        <w:t xml:space="preserve"> </w:t>
      </w:r>
      <w:r>
        <w:rPr>
          <w:rFonts w:ascii="Gill Sans MT"/>
          <w:color w:val="231F20"/>
          <w:w w:val="115"/>
          <w:sz w:val="18"/>
        </w:rPr>
        <w:t>membership</w:t>
      </w:r>
      <w:r>
        <w:rPr>
          <w:rFonts w:ascii="Gill Sans MT"/>
          <w:color w:val="231F20"/>
          <w:spacing w:val="-33"/>
          <w:w w:val="115"/>
          <w:sz w:val="18"/>
        </w:rPr>
        <w:t xml:space="preserve"> </w:t>
      </w:r>
      <w:r>
        <w:rPr>
          <w:rFonts w:ascii="Gill Sans MT"/>
          <w:color w:val="231F20"/>
          <w:w w:val="115"/>
          <w:sz w:val="18"/>
        </w:rPr>
        <w:t>in</w:t>
      </w:r>
      <w:r>
        <w:rPr>
          <w:rFonts w:ascii="Gill Sans MT"/>
          <w:color w:val="231F20"/>
          <w:spacing w:val="-33"/>
          <w:w w:val="115"/>
          <w:sz w:val="18"/>
        </w:rPr>
        <w:t xml:space="preserve"> </w:t>
      </w:r>
      <w:r>
        <w:rPr>
          <w:rFonts w:ascii="Gill Sans MT"/>
          <w:color w:val="231F20"/>
          <w:w w:val="115"/>
          <w:sz w:val="18"/>
        </w:rPr>
        <w:t>a</w:t>
      </w:r>
      <w:r>
        <w:rPr>
          <w:rFonts w:ascii="Gill Sans MT"/>
          <w:color w:val="231F20"/>
          <w:spacing w:val="-33"/>
          <w:w w:val="115"/>
          <w:sz w:val="18"/>
        </w:rPr>
        <w:t xml:space="preserve"> </w:t>
      </w:r>
      <w:r>
        <w:rPr>
          <w:rFonts w:ascii="Gill Sans MT"/>
          <w:color w:val="231F20"/>
          <w:w w:val="115"/>
          <w:sz w:val="18"/>
        </w:rPr>
        <w:t>terrorist</w:t>
      </w:r>
      <w:r>
        <w:rPr>
          <w:rFonts w:ascii="Gill Sans MT"/>
          <w:color w:val="231F20"/>
          <w:w w:val="104"/>
          <w:sz w:val="18"/>
        </w:rPr>
        <w:t xml:space="preserve"> </w:t>
      </w:r>
      <w:r>
        <w:rPr>
          <w:rFonts w:ascii="Gill Sans MT"/>
          <w:color w:val="231F20"/>
          <w:w w:val="115"/>
          <w:sz w:val="18"/>
        </w:rPr>
        <w:t>organization.</w:t>
      </w:r>
    </w:p>
    <w:p w14:paraId="6BE948D3" w14:textId="77777777" w:rsidR="002653E8" w:rsidRDefault="002653E8">
      <w:pPr>
        <w:pStyle w:val="a3"/>
        <w:spacing w:before="6"/>
        <w:rPr>
          <w:rFonts w:ascii="Gill Sans MT"/>
        </w:rPr>
      </w:pPr>
    </w:p>
    <w:p w14:paraId="6F9BC162" w14:textId="77777777" w:rsidR="002653E8" w:rsidRDefault="003115E3">
      <w:pPr>
        <w:ind w:left="204"/>
        <w:rPr>
          <w:rFonts w:ascii="Arial"/>
          <w:b/>
          <w:sz w:val="18"/>
        </w:rPr>
      </w:pPr>
      <w:r>
        <w:rPr>
          <w:rFonts w:ascii="Arial"/>
          <w:b/>
          <w:color w:val="231F20"/>
          <w:w w:val="115"/>
          <w:sz w:val="18"/>
        </w:rPr>
        <w:t>September 26, 1980</w:t>
      </w:r>
    </w:p>
    <w:p w14:paraId="4556BAD2" w14:textId="77777777" w:rsidR="002653E8" w:rsidRDefault="003115E3">
      <w:pPr>
        <w:spacing w:before="35" w:line="276" w:lineRule="auto"/>
        <w:ind w:left="204" w:right="1160"/>
        <w:rPr>
          <w:rFonts w:ascii="Gill Sans MT" w:hAnsi="Gill Sans MT"/>
          <w:sz w:val="18"/>
        </w:rPr>
      </w:pPr>
      <w:r>
        <w:rPr>
          <w:rFonts w:ascii="Gill Sans MT" w:hAnsi="Gill Sans MT"/>
          <w:color w:val="231F20"/>
          <w:w w:val="110"/>
          <w:sz w:val="18"/>
        </w:rPr>
        <w:t xml:space="preserve">The düsseldorf OLG sentences </w:t>
      </w:r>
      <w:r w:rsidR="00C507A5">
        <w:rPr>
          <w:rFonts w:ascii="Gill Sans MT" w:hAnsi="Gill Sans MT"/>
          <w:color w:val="231F20"/>
          <w:w w:val="110"/>
          <w:sz w:val="18"/>
        </w:rPr>
        <w:t>red army faction</w:t>
      </w:r>
      <w:r>
        <w:rPr>
          <w:rFonts w:ascii="Gill Sans MT" w:hAnsi="Gill Sans MT"/>
          <w:color w:val="231F20"/>
          <w:w w:val="110"/>
          <w:sz w:val="18"/>
        </w:rPr>
        <w:t xml:space="preserve"> member Rolf Clemens Wagner to life in prison.</w:t>
      </w:r>
    </w:p>
    <w:p w14:paraId="2B49EB9F" w14:textId="77777777" w:rsidR="002653E8" w:rsidRDefault="002653E8">
      <w:pPr>
        <w:spacing w:line="276" w:lineRule="auto"/>
        <w:rPr>
          <w:rFonts w:ascii="Gill Sans MT" w:hAnsi="Gill Sans MT"/>
          <w:sz w:val="18"/>
        </w:rPr>
        <w:sectPr w:rsidR="002653E8">
          <w:footerReference w:type="even" r:id="rId528"/>
          <w:pgSz w:w="8640" w:h="12960"/>
          <w:pgMar w:top="1060" w:right="0" w:bottom="280" w:left="0" w:header="0" w:footer="0" w:gutter="0"/>
          <w:cols w:num="2" w:space="720" w:equalWidth="0">
            <w:col w:w="4286" w:space="40"/>
            <w:col w:w="4314"/>
          </w:cols>
        </w:sectPr>
      </w:pPr>
    </w:p>
    <w:p w14:paraId="4DE10ABA" w14:textId="77777777" w:rsidR="002653E8" w:rsidRDefault="002653E8">
      <w:pPr>
        <w:pStyle w:val="a3"/>
        <w:rPr>
          <w:rFonts w:ascii="Gill Sans MT"/>
        </w:rPr>
      </w:pPr>
    </w:p>
    <w:p w14:paraId="4D6564DA" w14:textId="77777777" w:rsidR="002653E8" w:rsidRDefault="002653E8">
      <w:pPr>
        <w:pStyle w:val="a3"/>
        <w:rPr>
          <w:rFonts w:ascii="Gill Sans MT"/>
        </w:rPr>
      </w:pPr>
    </w:p>
    <w:p w14:paraId="45DACC85" w14:textId="77777777" w:rsidR="002653E8" w:rsidRDefault="002653E8">
      <w:pPr>
        <w:pStyle w:val="a3"/>
        <w:rPr>
          <w:rFonts w:ascii="Gill Sans MT"/>
        </w:rPr>
      </w:pPr>
    </w:p>
    <w:p w14:paraId="75E4F589" w14:textId="77777777" w:rsidR="002653E8" w:rsidRDefault="002653E8">
      <w:pPr>
        <w:rPr>
          <w:rFonts w:ascii="Gill Sans MT"/>
        </w:rPr>
        <w:sectPr w:rsidR="002653E8">
          <w:type w:val="continuous"/>
          <w:pgSz w:w="8640" w:h="12960"/>
          <w:pgMar w:top="0" w:right="0" w:bottom="0" w:left="0" w:header="720" w:footer="720" w:gutter="0"/>
          <w:cols w:space="720"/>
        </w:sectPr>
      </w:pPr>
    </w:p>
    <w:p w14:paraId="6BAC8632" w14:textId="77777777" w:rsidR="002653E8" w:rsidRDefault="002653E8">
      <w:pPr>
        <w:pStyle w:val="a3"/>
        <w:spacing w:before="2"/>
        <w:rPr>
          <w:rFonts w:ascii="Gill Sans MT"/>
          <w:sz w:val="23"/>
        </w:rPr>
      </w:pPr>
    </w:p>
    <w:p w14:paraId="54A52F10" w14:textId="77777777" w:rsidR="002653E8" w:rsidRDefault="003115E3">
      <w:pPr>
        <w:ind w:left="1327"/>
        <w:rPr>
          <w:sz w:val="18"/>
        </w:rPr>
      </w:pPr>
      <w:r>
        <w:rPr>
          <w:color w:val="231F20"/>
          <w:w w:val="120"/>
          <w:sz w:val="18"/>
        </w:rPr>
        <w:t>a chronology</w:t>
      </w:r>
      <w:r>
        <w:rPr>
          <w:color w:val="231F20"/>
          <w:sz w:val="18"/>
        </w:rPr>
        <w:t xml:space="preserve"> </w:t>
      </w:r>
    </w:p>
    <w:p w14:paraId="600B5F3D" w14:textId="77777777" w:rsidR="002653E8" w:rsidRDefault="003115E3">
      <w:pPr>
        <w:spacing w:before="5"/>
        <w:ind w:left="1327"/>
        <w:rPr>
          <w:sz w:val="18"/>
        </w:rPr>
      </w:pPr>
      <w:r>
        <w:rPr>
          <w:color w:val="231F20"/>
          <w:w w:val="105"/>
          <w:sz w:val="18"/>
        </w:rPr>
        <w:t>september 26, 1980</w:t>
      </w:r>
      <w:r>
        <w:rPr>
          <w:color w:val="231F20"/>
          <w:sz w:val="18"/>
        </w:rPr>
        <w:t xml:space="preserve"> </w:t>
      </w:r>
    </w:p>
    <w:p w14:paraId="2F518C9D" w14:textId="77777777" w:rsidR="002653E8" w:rsidRDefault="003115E3">
      <w:pPr>
        <w:pStyle w:val="a3"/>
        <w:spacing w:before="1"/>
        <w:rPr>
          <w:sz w:val="19"/>
        </w:rPr>
      </w:pPr>
      <w:r>
        <w:br w:type="column"/>
      </w:r>
    </w:p>
    <w:p w14:paraId="668C3AA0" w14:textId="77777777" w:rsidR="002653E8" w:rsidRDefault="003115E3">
      <w:pPr>
        <w:ind w:left="1346" w:right="1141"/>
        <w:jc w:val="center"/>
        <w:rPr>
          <w:sz w:val="18"/>
        </w:rPr>
      </w:pPr>
      <w:r>
        <w:rPr>
          <w:color w:val="231F20"/>
          <w:sz w:val="18"/>
        </w:rPr>
        <w:t xml:space="preserve">613 </w:t>
      </w:r>
    </w:p>
    <w:p w14:paraId="2CB1F2EE" w14:textId="77777777" w:rsidR="002653E8" w:rsidRDefault="002653E8">
      <w:pPr>
        <w:jc w:val="center"/>
        <w:rPr>
          <w:sz w:val="18"/>
        </w:rPr>
        <w:sectPr w:rsidR="002653E8">
          <w:type w:val="continuous"/>
          <w:pgSz w:w="8640" w:h="12960"/>
          <w:pgMar w:top="0" w:right="0" w:bottom="0" w:left="0" w:header="720" w:footer="720" w:gutter="0"/>
          <w:cols w:num="2" w:space="720" w:equalWidth="0">
            <w:col w:w="3466" w:space="2348"/>
            <w:col w:w="2826"/>
          </w:cols>
        </w:sectPr>
      </w:pPr>
    </w:p>
    <w:p w14:paraId="41C15007" w14:textId="77777777" w:rsidR="002653E8" w:rsidRDefault="003115E3">
      <w:pPr>
        <w:spacing w:before="91"/>
        <w:ind w:left="1147"/>
        <w:rPr>
          <w:rFonts w:ascii="Arial"/>
          <w:b/>
          <w:sz w:val="18"/>
        </w:rPr>
      </w:pPr>
      <w:r>
        <w:rPr>
          <w:rFonts w:ascii="Arial"/>
          <w:b/>
          <w:color w:val="231F20"/>
          <w:w w:val="115"/>
          <w:sz w:val="18"/>
        </w:rPr>
        <w:lastRenderedPageBreak/>
        <w:t>October 1980</w:t>
      </w:r>
    </w:p>
    <w:p w14:paraId="302805E5" w14:textId="77777777" w:rsidR="002653E8" w:rsidRDefault="00C507A5">
      <w:pPr>
        <w:spacing w:before="34" w:line="276" w:lineRule="auto"/>
        <w:ind w:left="1147" w:right="150"/>
        <w:rPr>
          <w:rFonts w:ascii="Gill Sans MT" w:hAnsi="Gill Sans MT"/>
          <w:sz w:val="18"/>
        </w:rPr>
      </w:pPr>
      <w:r>
        <w:rPr>
          <w:rFonts w:ascii="Gill Sans MT" w:hAnsi="Gill Sans MT"/>
          <w:color w:val="231F20"/>
          <w:w w:val="115"/>
          <w:sz w:val="18"/>
        </w:rPr>
        <w:t>red army faction</w:t>
      </w:r>
      <w:r w:rsidR="003115E3">
        <w:rPr>
          <w:rFonts w:ascii="Gill Sans MT" w:hAnsi="Gill Sans MT"/>
          <w:color w:val="231F20"/>
          <w:w w:val="115"/>
          <w:sz w:val="18"/>
        </w:rPr>
        <w:t xml:space="preserve"> members Susanne Albrecht, Werner</w:t>
      </w:r>
      <w:r w:rsidR="003115E3">
        <w:rPr>
          <w:rFonts w:ascii="Gill Sans MT" w:hAnsi="Gill Sans MT"/>
          <w:color w:val="231F20"/>
          <w:spacing w:val="-36"/>
          <w:w w:val="115"/>
          <w:sz w:val="18"/>
        </w:rPr>
        <w:t xml:space="preserve"> </w:t>
      </w:r>
      <w:r w:rsidR="003115E3">
        <w:rPr>
          <w:rFonts w:ascii="Gill Sans MT" w:hAnsi="Gill Sans MT"/>
          <w:color w:val="231F20"/>
          <w:w w:val="115"/>
          <w:sz w:val="18"/>
        </w:rPr>
        <w:t>Lotze,</w:t>
      </w:r>
      <w:r w:rsidR="003115E3">
        <w:rPr>
          <w:rFonts w:ascii="Gill Sans MT" w:hAnsi="Gill Sans MT"/>
          <w:color w:val="231F20"/>
          <w:spacing w:val="-36"/>
          <w:w w:val="115"/>
          <w:sz w:val="18"/>
        </w:rPr>
        <w:t xml:space="preserve"> </w:t>
      </w:r>
      <w:r w:rsidR="003115E3">
        <w:rPr>
          <w:rFonts w:ascii="Gill Sans MT" w:hAnsi="Gill Sans MT"/>
          <w:color w:val="231F20"/>
          <w:w w:val="115"/>
          <w:sz w:val="18"/>
        </w:rPr>
        <w:t>Christine</w:t>
      </w:r>
      <w:r w:rsidR="003115E3">
        <w:rPr>
          <w:rFonts w:ascii="Gill Sans MT" w:hAnsi="Gill Sans MT"/>
          <w:color w:val="231F20"/>
          <w:spacing w:val="-36"/>
          <w:w w:val="115"/>
          <w:sz w:val="18"/>
        </w:rPr>
        <w:t xml:space="preserve"> </w:t>
      </w:r>
      <w:r w:rsidR="003115E3">
        <w:rPr>
          <w:rFonts w:ascii="Gill Sans MT" w:hAnsi="Gill Sans MT"/>
          <w:color w:val="231F20"/>
          <w:w w:val="115"/>
          <w:sz w:val="18"/>
        </w:rPr>
        <w:t>dümlein, Monika Helbing, Ekkehard von Seckendorff, Sigrid Sternebeck, Ralf Baptist Friedrich, and Silke Maier-Witt</w:t>
      </w:r>
      <w:r w:rsidR="003115E3">
        <w:rPr>
          <w:rFonts w:ascii="Gill Sans MT" w:hAnsi="Gill Sans MT"/>
          <w:color w:val="231F20"/>
          <w:spacing w:val="-38"/>
          <w:w w:val="115"/>
          <w:sz w:val="18"/>
        </w:rPr>
        <w:t xml:space="preserve"> </w:t>
      </w:r>
      <w:r w:rsidR="003115E3">
        <w:rPr>
          <w:rFonts w:ascii="Gill Sans MT" w:hAnsi="Gill Sans MT"/>
          <w:color w:val="231F20"/>
          <w:w w:val="115"/>
          <w:sz w:val="18"/>
        </w:rPr>
        <w:t>leave</w:t>
      </w:r>
      <w:r w:rsidR="003115E3">
        <w:rPr>
          <w:rFonts w:ascii="Gill Sans MT" w:hAnsi="Gill Sans MT"/>
          <w:color w:val="231F20"/>
          <w:spacing w:val="-38"/>
          <w:w w:val="115"/>
          <w:sz w:val="18"/>
        </w:rPr>
        <w:t xml:space="preserve"> </w:t>
      </w:r>
      <w:r w:rsidR="003115E3">
        <w:rPr>
          <w:rFonts w:ascii="Gill Sans MT" w:hAnsi="Gill Sans MT"/>
          <w:color w:val="231F20"/>
          <w:w w:val="115"/>
          <w:sz w:val="18"/>
        </w:rPr>
        <w:t>the</w:t>
      </w:r>
      <w:r w:rsidR="003115E3">
        <w:rPr>
          <w:rFonts w:ascii="Gill Sans MT" w:hAnsi="Gill Sans MT"/>
          <w:color w:val="231F20"/>
          <w:spacing w:val="-38"/>
          <w:w w:val="115"/>
          <w:sz w:val="18"/>
        </w:rPr>
        <w:t xml:space="preserve"> </w:t>
      </w:r>
      <w:r>
        <w:rPr>
          <w:rFonts w:ascii="Gill Sans MT" w:hAnsi="Gill Sans MT"/>
          <w:color w:val="231F20"/>
          <w:spacing w:val="-8"/>
          <w:w w:val="115"/>
          <w:sz w:val="18"/>
        </w:rPr>
        <w:t>red army faction</w:t>
      </w:r>
      <w:r w:rsidR="003115E3">
        <w:rPr>
          <w:rFonts w:ascii="Gill Sans MT" w:hAnsi="Gill Sans MT"/>
          <w:color w:val="231F20"/>
          <w:spacing w:val="-8"/>
          <w:w w:val="115"/>
          <w:sz w:val="18"/>
        </w:rPr>
        <w:t>.</w:t>
      </w:r>
      <w:r w:rsidR="003115E3">
        <w:rPr>
          <w:rFonts w:ascii="Gill Sans MT" w:hAnsi="Gill Sans MT"/>
          <w:color w:val="231F20"/>
          <w:spacing w:val="-38"/>
          <w:w w:val="115"/>
          <w:sz w:val="18"/>
        </w:rPr>
        <w:t xml:space="preserve"> </w:t>
      </w:r>
      <w:r w:rsidR="003115E3">
        <w:rPr>
          <w:rFonts w:ascii="Gill Sans MT" w:hAnsi="Gill Sans MT"/>
          <w:color w:val="231F20"/>
          <w:w w:val="115"/>
          <w:sz w:val="18"/>
        </w:rPr>
        <w:t>They</w:t>
      </w:r>
      <w:r w:rsidR="003115E3">
        <w:rPr>
          <w:rFonts w:ascii="Gill Sans MT" w:hAnsi="Gill Sans MT"/>
          <w:color w:val="231F20"/>
          <w:spacing w:val="-38"/>
          <w:w w:val="115"/>
          <w:sz w:val="18"/>
        </w:rPr>
        <w:t xml:space="preserve"> </w:t>
      </w:r>
      <w:r w:rsidR="003115E3">
        <w:rPr>
          <w:rFonts w:ascii="Gill Sans MT" w:hAnsi="Gill Sans MT"/>
          <w:color w:val="231F20"/>
          <w:w w:val="115"/>
          <w:sz w:val="18"/>
        </w:rPr>
        <w:t xml:space="preserve">are provided with new identities and sanctuary in East Germany. </w:t>
      </w:r>
      <w:r w:rsidR="003115E3">
        <w:rPr>
          <w:rFonts w:ascii="Gill Sans MT" w:hAnsi="Gill Sans MT"/>
          <w:color w:val="231F20"/>
          <w:spacing w:val="-7"/>
          <w:w w:val="115"/>
          <w:sz w:val="18"/>
        </w:rPr>
        <w:t xml:space="preserve">Two </w:t>
      </w:r>
      <w:r w:rsidR="003115E3">
        <w:rPr>
          <w:rFonts w:ascii="Gill Sans MT" w:hAnsi="Gill Sans MT"/>
          <w:color w:val="231F20"/>
          <w:w w:val="115"/>
          <w:sz w:val="18"/>
        </w:rPr>
        <w:t>years</w:t>
      </w:r>
      <w:r w:rsidR="003115E3">
        <w:rPr>
          <w:rFonts w:ascii="Gill Sans MT" w:hAnsi="Gill Sans MT"/>
          <w:color w:val="231F20"/>
          <w:spacing w:val="-18"/>
          <w:w w:val="115"/>
          <w:sz w:val="18"/>
        </w:rPr>
        <w:t xml:space="preserve"> </w:t>
      </w:r>
      <w:r w:rsidR="003115E3">
        <w:rPr>
          <w:rFonts w:ascii="Gill Sans MT" w:hAnsi="Gill Sans MT"/>
          <w:color w:val="231F20"/>
          <w:spacing w:val="-3"/>
          <w:w w:val="115"/>
          <w:sz w:val="18"/>
        </w:rPr>
        <w:t>later,</w:t>
      </w:r>
      <w:r w:rsidR="003115E3">
        <w:rPr>
          <w:rFonts w:ascii="Gill Sans MT" w:hAnsi="Gill Sans MT"/>
          <w:color w:val="231F20"/>
          <w:spacing w:val="-18"/>
          <w:w w:val="115"/>
          <w:sz w:val="18"/>
        </w:rPr>
        <w:t xml:space="preserve"> </w:t>
      </w:r>
      <w:r w:rsidR="003115E3">
        <w:rPr>
          <w:rFonts w:ascii="Gill Sans MT" w:hAnsi="Gill Sans MT"/>
          <w:color w:val="231F20"/>
          <w:w w:val="115"/>
          <w:sz w:val="18"/>
        </w:rPr>
        <w:t>Inge</w:t>
      </w:r>
      <w:r w:rsidR="003115E3">
        <w:rPr>
          <w:rFonts w:ascii="Gill Sans MT" w:hAnsi="Gill Sans MT"/>
          <w:color w:val="231F20"/>
          <w:spacing w:val="-18"/>
          <w:w w:val="115"/>
          <w:sz w:val="18"/>
        </w:rPr>
        <w:t xml:space="preserve"> </w:t>
      </w:r>
      <w:r w:rsidR="003115E3">
        <w:rPr>
          <w:rFonts w:ascii="Gill Sans MT" w:hAnsi="Gill Sans MT"/>
          <w:color w:val="231F20"/>
          <w:w w:val="115"/>
          <w:sz w:val="18"/>
        </w:rPr>
        <w:t>Viett</w:t>
      </w:r>
      <w:r w:rsidR="003115E3">
        <w:rPr>
          <w:rFonts w:ascii="Gill Sans MT" w:hAnsi="Gill Sans MT"/>
          <w:color w:val="231F20"/>
          <w:spacing w:val="-18"/>
          <w:w w:val="115"/>
          <w:sz w:val="18"/>
        </w:rPr>
        <w:t xml:space="preserve"> </w:t>
      </w:r>
      <w:r w:rsidR="003115E3">
        <w:rPr>
          <w:rFonts w:ascii="Gill Sans MT" w:hAnsi="Gill Sans MT"/>
          <w:color w:val="231F20"/>
          <w:w w:val="115"/>
          <w:sz w:val="18"/>
        </w:rPr>
        <w:t>and</w:t>
      </w:r>
      <w:r w:rsidR="003115E3">
        <w:rPr>
          <w:rFonts w:ascii="Gill Sans MT" w:hAnsi="Gill Sans MT"/>
          <w:color w:val="231F20"/>
          <w:spacing w:val="-18"/>
          <w:w w:val="115"/>
          <w:sz w:val="18"/>
        </w:rPr>
        <w:t xml:space="preserve"> </w:t>
      </w:r>
      <w:r w:rsidR="003115E3">
        <w:rPr>
          <w:rFonts w:ascii="Gill Sans MT" w:hAnsi="Gill Sans MT"/>
          <w:color w:val="231F20"/>
          <w:w w:val="115"/>
          <w:sz w:val="18"/>
        </w:rPr>
        <w:t>Henning Beer will join</w:t>
      </w:r>
      <w:r w:rsidR="003115E3">
        <w:rPr>
          <w:rFonts w:ascii="Gill Sans MT" w:hAnsi="Gill Sans MT"/>
          <w:color w:val="231F20"/>
          <w:spacing w:val="-30"/>
          <w:w w:val="115"/>
          <w:sz w:val="18"/>
        </w:rPr>
        <w:t xml:space="preserve"> </w:t>
      </w:r>
      <w:r w:rsidR="003115E3">
        <w:rPr>
          <w:rFonts w:ascii="Gill Sans MT" w:hAnsi="Gill Sans MT"/>
          <w:color w:val="231F20"/>
          <w:w w:val="115"/>
          <w:sz w:val="18"/>
        </w:rPr>
        <w:t>them.</w:t>
      </w:r>
    </w:p>
    <w:p w14:paraId="0A76E482" w14:textId="77777777" w:rsidR="002653E8" w:rsidRDefault="002653E8">
      <w:pPr>
        <w:pStyle w:val="a3"/>
        <w:rPr>
          <w:rFonts w:ascii="Gill Sans MT"/>
        </w:rPr>
      </w:pPr>
    </w:p>
    <w:p w14:paraId="0E28F931" w14:textId="77777777" w:rsidR="002653E8" w:rsidRDefault="002653E8">
      <w:pPr>
        <w:pStyle w:val="a3"/>
        <w:spacing w:before="1"/>
        <w:rPr>
          <w:rFonts w:ascii="Gill Sans MT"/>
        </w:rPr>
      </w:pPr>
    </w:p>
    <w:p w14:paraId="54EC757C" w14:textId="77777777" w:rsidR="002653E8" w:rsidRDefault="003115E3">
      <w:pPr>
        <w:pStyle w:val="5"/>
        <w:ind w:left="1147"/>
      </w:pPr>
      <w:r>
        <w:rPr>
          <w:color w:val="231F20"/>
          <w:w w:val="120"/>
        </w:rPr>
        <w:t>1981</w:t>
      </w:r>
    </w:p>
    <w:p w14:paraId="0E640817" w14:textId="77777777" w:rsidR="002653E8" w:rsidRDefault="003115E3">
      <w:pPr>
        <w:spacing w:before="12" w:line="276" w:lineRule="auto"/>
        <w:ind w:left="1147" w:right="220"/>
        <w:rPr>
          <w:rFonts w:ascii="Gill Sans MT" w:hAnsi="Gill Sans MT"/>
          <w:sz w:val="18"/>
        </w:rPr>
      </w:pPr>
      <w:r>
        <w:rPr>
          <w:rFonts w:ascii="Arial" w:hAnsi="Arial"/>
          <w:b/>
          <w:color w:val="231F20"/>
          <w:w w:val="110"/>
          <w:sz w:val="18"/>
        </w:rPr>
        <w:t xml:space="preserve">February 2–April 16, 1981 </w:t>
      </w:r>
      <w:r>
        <w:rPr>
          <w:rFonts w:ascii="Gill Sans MT" w:hAnsi="Gill Sans MT"/>
          <w:color w:val="231F20"/>
          <w:w w:val="110"/>
          <w:sz w:val="18"/>
        </w:rPr>
        <w:t xml:space="preserve">More than </w:t>
      </w:r>
      <w:r>
        <w:rPr>
          <w:rFonts w:ascii="Arial" w:hAnsi="Arial"/>
          <w:color w:val="231F20"/>
          <w:w w:val="110"/>
          <w:sz w:val="18"/>
        </w:rPr>
        <w:t xml:space="preserve">100 </w:t>
      </w:r>
      <w:r>
        <w:rPr>
          <w:rFonts w:ascii="Gill Sans MT" w:hAnsi="Gill Sans MT"/>
          <w:color w:val="231F20"/>
          <w:w w:val="110"/>
          <w:sz w:val="18"/>
        </w:rPr>
        <w:t xml:space="preserve">political prisoners participate in the </w:t>
      </w:r>
      <w:r w:rsidR="00C507A5">
        <w:rPr>
          <w:rFonts w:ascii="Gill Sans MT" w:hAnsi="Gill Sans MT"/>
          <w:color w:val="231F20"/>
          <w:w w:val="110"/>
          <w:sz w:val="18"/>
        </w:rPr>
        <w:t>red army faction</w:t>
      </w:r>
      <w:r>
        <w:rPr>
          <w:rFonts w:ascii="Gill Sans MT" w:hAnsi="Gill Sans MT"/>
          <w:color w:val="231F20"/>
          <w:w w:val="110"/>
          <w:sz w:val="18"/>
        </w:rPr>
        <w:t xml:space="preserve"> prisoners’ eighth collective hunger strike, demanding association and the release of seriously ill prisoner Günter Sonnenberg.</w:t>
      </w:r>
    </w:p>
    <w:p w14:paraId="2E971F5E" w14:textId="77777777" w:rsidR="002653E8" w:rsidRDefault="002653E8">
      <w:pPr>
        <w:pStyle w:val="a3"/>
        <w:spacing w:before="7"/>
        <w:rPr>
          <w:rFonts w:ascii="Gill Sans MT"/>
        </w:rPr>
      </w:pPr>
    </w:p>
    <w:p w14:paraId="769B17C9" w14:textId="77777777" w:rsidR="002653E8" w:rsidRDefault="003115E3">
      <w:pPr>
        <w:ind w:left="1147"/>
        <w:rPr>
          <w:rFonts w:ascii="Arial"/>
          <w:b/>
          <w:sz w:val="18"/>
        </w:rPr>
      </w:pPr>
      <w:r>
        <w:rPr>
          <w:rFonts w:ascii="Arial"/>
          <w:b/>
          <w:color w:val="231F20"/>
          <w:w w:val="115"/>
          <w:sz w:val="18"/>
        </w:rPr>
        <w:t>April 16, 1981</w:t>
      </w:r>
    </w:p>
    <w:p w14:paraId="36EC7487" w14:textId="77777777" w:rsidR="002653E8" w:rsidRDefault="003115E3">
      <w:pPr>
        <w:spacing w:before="35" w:line="276" w:lineRule="auto"/>
        <w:ind w:left="1147" w:right="3" w:hanging="1"/>
        <w:rPr>
          <w:rFonts w:ascii="Gill Sans MT"/>
          <w:sz w:val="18"/>
        </w:rPr>
      </w:pPr>
      <w:r>
        <w:rPr>
          <w:rFonts w:ascii="Gill Sans MT"/>
          <w:color w:val="231F20"/>
          <w:w w:val="115"/>
          <w:sz w:val="18"/>
        </w:rPr>
        <w:t>Political</w:t>
      </w:r>
      <w:r>
        <w:rPr>
          <w:rFonts w:ascii="Gill Sans MT"/>
          <w:color w:val="231F20"/>
          <w:spacing w:val="-21"/>
          <w:w w:val="115"/>
          <w:sz w:val="18"/>
        </w:rPr>
        <w:t xml:space="preserve"> </w:t>
      </w:r>
      <w:r>
        <w:rPr>
          <w:rFonts w:ascii="Gill Sans MT"/>
          <w:color w:val="231F20"/>
          <w:w w:val="115"/>
          <w:sz w:val="18"/>
        </w:rPr>
        <w:t>prisoner</w:t>
      </w:r>
      <w:r>
        <w:rPr>
          <w:rFonts w:ascii="Gill Sans MT"/>
          <w:color w:val="231F20"/>
          <w:spacing w:val="-21"/>
          <w:w w:val="115"/>
          <w:sz w:val="18"/>
        </w:rPr>
        <w:t xml:space="preserve"> </w:t>
      </w:r>
      <w:r>
        <w:rPr>
          <w:rFonts w:ascii="Gill Sans MT"/>
          <w:color w:val="231F20"/>
          <w:w w:val="115"/>
          <w:sz w:val="18"/>
        </w:rPr>
        <w:t>Sigurd</w:t>
      </w:r>
      <w:r>
        <w:rPr>
          <w:rFonts w:ascii="Gill Sans MT"/>
          <w:color w:val="231F20"/>
          <w:spacing w:val="-21"/>
          <w:w w:val="115"/>
          <w:sz w:val="18"/>
        </w:rPr>
        <w:t xml:space="preserve"> </w:t>
      </w:r>
      <w:r>
        <w:rPr>
          <w:rFonts w:ascii="Gill Sans MT"/>
          <w:color w:val="231F20"/>
          <w:w w:val="115"/>
          <w:sz w:val="18"/>
        </w:rPr>
        <w:t>debus,</w:t>
      </w:r>
      <w:r>
        <w:rPr>
          <w:rFonts w:ascii="Gill Sans MT"/>
          <w:color w:val="231F20"/>
          <w:spacing w:val="-21"/>
          <w:w w:val="115"/>
          <w:sz w:val="18"/>
        </w:rPr>
        <w:t xml:space="preserve"> </w:t>
      </w:r>
      <w:r>
        <w:rPr>
          <w:rFonts w:ascii="Gill Sans MT"/>
          <w:color w:val="231F20"/>
          <w:w w:val="115"/>
          <w:sz w:val="18"/>
        </w:rPr>
        <w:t xml:space="preserve">who is participating in the hunger strike although he is not a </w:t>
      </w:r>
      <w:r w:rsidR="00C507A5">
        <w:rPr>
          <w:rFonts w:ascii="Gill Sans MT"/>
          <w:color w:val="231F20"/>
          <w:w w:val="115"/>
          <w:sz w:val="18"/>
        </w:rPr>
        <w:t>red army faction</w:t>
      </w:r>
      <w:r>
        <w:rPr>
          <w:rFonts w:ascii="Gill Sans MT"/>
          <w:color w:val="231F20"/>
          <w:w w:val="115"/>
          <w:sz w:val="18"/>
        </w:rPr>
        <w:t xml:space="preserve"> </w:t>
      </w:r>
      <w:r>
        <w:rPr>
          <w:rFonts w:ascii="Gill Sans MT"/>
          <w:color w:val="231F20"/>
          <w:spacing w:val="-3"/>
          <w:w w:val="115"/>
          <w:sz w:val="18"/>
        </w:rPr>
        <w:t xml:space="preserve">member, </w:t>
      </w:r>
      <w:r>
        <w:rPr>
          <w:rFonts w:ascii="Gill Sans MT"/>
          <w:color w:val="231F20"/>
          <w:w w:val="115"/>
          <w:sz w:val="18"/>
        </w:rPr>
        <w:t>dies of a brain hemorrhage that is the result of being</w:t>
      </w:r>
      <w:r>
        <w:rPr>
          <w:rFonts w:ascii="Gill Sans MT"/>
          <w:color w:val="231F20"/>
          <w:spacing w:val="-41"/>
          <w:w w:val="115"/>
          <w:sz w:val="18"/>
        </w:rPr>
        <w:t xml:space="preserve"> </w:t>
      </w:r>
      <w:r>
        <w:rPr>
          <w:rFonts w:ascii="Gill Sans MT"/>
          <w:color w:val="231F20"/>
          <w:w w:val="115"/>
          <w:sz w:val="18"/>
        </w:rPr>
        <w:t>force-fed.</w:t>
      </w:r>
    </w:p>
    <w:p w14:paraId="283F3849" w14:textId="77777777" w:rsidR="002653E8" w:rsidRDefault="003115E3">
      <w:pPr>
        <w:spacing w:line="276" w:lineRule="auto"/>
        <w:ind w:left="1147" w:right="229"/>
        <w:rPr>
          <w:rFonts w:ascii="Gill Sans MT"/>
          <w:sz w:val="18"/>
        </w:rPr>
      </w:pPr>
      <w:r>
        <w:rPr>
          <w:rFonts w:ascii="Gill Sans MT"/>
          <w:color w:val="231F20"/>
          <w:w w:val="110"/>
          <w:sz w:val="18"/>
        </w:rPr>
        <w:t>The Federal Minister of Justice agrees to association of prisoners in groups of four and an end to solitary isolation. As a result, the hungerstrike is called off.</w:t>
      </w:r>
    </w:p>
    <w:p w14:paraId="1C5F08CF" w14:textId="77777777" w:rsidR="002653E8" w:rsidRDefault="002653E8">
      <w:pPr>
        <w:pStyle w:val="a3"/>
        <w:spacing w:before="6"/>
        <w:rPr>
          <w:rFonts w:ascii="Gill Sans MT"/>
        </w:rPr>
      </w:pPr>
    </w:p>
    <w:p w14:paraId="04E1C133" w14:textId="77777777" w:rsidR="002653E8" w:rsidRDefault="003115E3">
      <w:pPr>
        <w:ind w:left="1147"/>
        <w:rPr>
          <w:rFonts w:ascii="Arial"/>
          <w:b/>
          <w:sz w:val="18"/>
        </w:rPr>
      </w:pPr>
      <w:r>
        <w:rPr>
          <w:rFonts w:ascii="Arial"/>
          <w:b/>
          <w:color w:val="231F20"/>
          <w:w w:val="115"/>
          <w:sz w:val="18"/>
        </w:rPr>
        <w:t>August 4, 1981</w:t>
      </w:r>
    </w:p>
    <w:p w14:paraId="63BD6664" w14:textId="77777777" w:rsidR="002653E8" w:rsidRDefault="003115E3">
      <w:pPr>
        <w:spacing w:before="34" w:line="276" w:lineRule="auto"/>
        <w:ind w:left="1147" w:right="-19"/>
        <w:rPr>
          <w:rFonts w:ascii="Gill Sans MT"/>
          <w:sz w:val="18"/>
        </w:rPr>
      </w:pPr>
      <w:r>
        <w:rPr>
          <w:rFonts w:ascii="Gill Sans MT"/>
          <w:color w:val="231F20"/>
          <w:w w:val="115"/>
          <w:sz w:val="18"/>
        </w:rPr>
        <w:t>French</w:t>
      </w:r>
      <w:r>
        <w:rPr>
          <w:rFonts w:ascii="Gill Sans MT"/>
          <w:color w:val="231F20"/>
          <w:spacing w:val="-36"/>
          <w:w w:val="115"/>
          <w:sz w:val="18"/>
        </w:rPr>
        <w:t xml:space="preserve"> </w:t>
      </w:r>
      <w:r>
        <w:rPr>
          <w:rFonts w:ascii="Gill Sans MT"/>
          <w:color w:val="231F20"/>
          <w:w w:val="115"/>
          <w:sz w:val="18"/>
        </w:rPr>
        <w:t>police</w:t>
      </w:r>
      <w:r>
        <w:rPr>
          <w:rFonts w:ascii="Gill Sans MT"/>
          <w:color w:val="231F20"/>
          <w:spacing w:val="-36"/>
          <w:w w:val="115"/>
          <w:sz w:val="18"/>
        </w:rPr>
        <w:t xml:space="preserve"> </w:t>
      </w:r>
      <w:r>
        <w:rPr>
          <w:rFonts w:ascii="Gill Sans MT"/>
          <w:color w:val="231F20"/>
          <w:w w:val="115"/>
          <w:sz w:val="18"/>
        </w:rPr>
        <w:t>officer</w:t>
      </w:r>
      <w:r>
        <w:rPr>
          <w:rFonts w:ascii="Gill Sans MT"/>
          <w:color w:val="231F20"/>
          <w:spacing w:val="-36"/>
          <w:w w:val="115"/>
          <w:sz w:val="18"/>
        </w:rPr>
        <w:t xml:space="preserve"> </w:t>
      </w:r>
      <w:r>
        <w:rPr>
          <w:rFonts w:ascii="Gill Sans MT"/>
          <w:color w:val="231F20"/>
          <w:w w:val="115"/>
          <w:sz w:val="18"/>
        </w:rPr>
        <w:t>Francis</w:t>
      </w:r>
      <w:r>
        <w:rPr>
          <w:rFonts w:ascii="Gill Sans MT"/>
          <w:color w:val="231F20"/>
          <w:spacing w:val="-36"/>
          <w:w w:val="115"/>
          <w:sz w:val="18"/>
        </w:rPr>
        <w:t xml:space="preserve"> </w:t>
      </w:r>
      <w:r>
        <w:rPr>
          <w:rFonts w:ascii="Gill Sans MT"/>
          <w:color w:val="231F20"/>
          <w:w w:val="115"/>
          <w:sz w:val="18"/>
        </w:rPr>
        <w:t>Violleau</w:t>
      </w:r>
      <w:r>
        <w:rPr>
          <w:rFonts w:ascii="Gill Sans MT"/>
          <w:color w:val="231F20"/>
          <w:w w:val="110"/>
          <w:sz w:val="18"/>
        </w:rPr>
        <w:t xml:space="preserve"> </w:t>
      </w:r>
      <w:r>
        <w:rPr>
          <w:rFonts w:ascii="Gill Sans MT"/>
          <w:color w:val="231F20"/>
          <w:w w:val="115"/>
          <w:sz w:val="18"/>
        </w:rPr>
        <w:t xml:space="preserve">is shot and seriously injured in an exchange of fire with </w:t>
      </w:r>
      <w:r w:rsidR="00C507A5">
        <w:rPr>
          <w:rFonts w:ascii="Gill Sans MT"/>
          <w:color w:val="231F20"/>
          <w:w w:val="115"/>
          <w:sz w:val="18"/>
        </w:rPr>
        <w:t>red army faction</w:t>
      </w:r>
      <w:r>
        <w:rPr>
          <w:rFonts w:ascii="Gill Sans MT"/>
          <w:color w:val="231F20"/>
          <w:w w:val="115"/>
          <w:sz w:val="18"/>
        </w:rPr>
        <w:t xml:space="preserve"> member Inge</w:t>
      </w:r>
      <w:r>
        <w:rPr>
          <w:rFonts w:ascii="Gill Sans MT"/>
          <w:color w:val="231F20"/>
          <w:spacing w:val="-18"/>
          <w:w w:val="115"/>
          <w:sz w:val="18"/>
        </w:rPr>
        <w:t xml:space="preserve"> </w:t>
      </w:r>
      <w:r>
        <w:rPr>
          <w:rFonts w:ascii="Gill Sans MT"/>
          <w:color w:val="231F20"/>
          <w:w w:val="115"/>
          <w:sz w:val="18"/>
        </w:rPr>
        <w:t>Viett</w:t>
      </w:r>
      <w:r>
        <w:rPr>
          <w:rFonts w:ascii="Gill Sans MT"/>
          <w:color w:val="231F20"/>
          <w:spacing w:val="-18"/>
          <w:w w:val="115"/>
          <w:sz w:val="18"/>
        </w:rPr>
        <w:t xml:space="preserve"> </w:t>
      </w:r>
      <w:r>
        <w:rPr>
          <w:rFonts w:ascii="Gill Sans MT"/>
          <w:color w:val="231F20"/>
          <w:w w:val="115"/>
          <w:sz w:val="18"/>
        </w:rPr>
        <w:t>in</w:t>
      </w:r>
      <w:r>
        <w:rPr>
          <w:rFonts w:ascii="Gill Sans MT"/>
          <w:color w:val="231F20"/>
          <w:spacing w:val="-18"/>
          <w:w w:val="115"/>
          <w:sz w:val="18"/>
        </w:rPr>
        <w:t xml:space="preserve"> </w:t>
      </w:r>
      <w:r>
        <w:rPr>
          <w:rFonts w:ascii="Gill Sans MT"/>
          <w:color w:val="231F20"/>
          <w:w w:val="115"/>
          <w:sz w:val="18"/>
        </w:rPr>
        <w:t>Paris.</w:t>
      </w:r>
      <w:r>
        <w:rPr>
          <w:rFonts w:ascii="Gill Sans MT"/>
          <w:color w:val="231F20"/>
          <w:spacing w:val="-18"/>
          <w:w w:val="115"/>
          <w:sz w:val="18"/>
        </w:rPr>
        <w:t xml:space="preserve"> </w:t>
      </w:r>
      <w:r>
        <w:rPr>
          <w:rFonts w:ascii="Gill Sans MT"/>
          <w:color w:val="231F20"/>
          <w:w w:val="115"/>
          <w:sz w:val="18"/>
        </w:rPr>
        <w:t>Viett</w:t>
      </w:r>
      <w:r>
        <w:rPr>
          <w:rFonts w:ascii="Gill Sans MT"/>
          <w:color w:val="231F20"/>
          <w:spacing w:val="-18"/>
          <w:w w:val="115"/>
          <w:sz w:val="18"/>
        </w:rPr>
        <w:t xml:space="preserve"> </w:t>
      </w:r>
      <w:r>
        <w:rPr>
          <w:rFonts w:ascii="Gill Sans MT"/>
          <w:color w:val="231F20"/>
          <w:w w:val="115"/>
          <w:sz w:val="18"/>
        </w:rPr>
        <w:t>is</w:t>
      </w:r>
      <w:r>
        <w:rPr>
          <w:rFonts w:ascii="Gill Sans MT"/>
          <w:color w:val="231F20"/>
          <w:spacing w:val="-18"/>
          <w:w w:val="115"/>
          <w:sz w:val="18"/>
        </w:rPr>
        <w:t xml:space="preserve"> </w:t>
      </w:r>
      <w:r>
        <w:rPr>
          <w:rFonts w:ascii="Gill Sans MT"/>
          <w:color w:val="231F20"/>
          <w:w w:val="115"/>
          <w:sz w:val="18"/>
        </w:rPr>
        <w:t>one</w:t>
      </w:r>
      <w:r>
        <w:rPr>
          <w:rFonts w:ascii="Gill Sans MT"/>
          <w:color w:val="231F20"/>
          <w:spacing w:val="-18"/>
          <w:w w:val="115"/>
          <w:sz w:val="18"/>
        </w:rPr>
        <w:t xml:space="preserve"> </w:t>
      </w:r>
      <w:r>
        <w:rPr>
          <w:rFonts w:ascii="Gill Sans MT"/>
          <w:color w:val="231F20"/>
          <w:w w:val="115"/>
          <w:sz w:val="18"/>
        </w:rPr>
        <w:t>of</w:t>
      </w:r>
      <w:r>
        <w:rPr>
          <w:rFonts w:ascii="Gill Sans MT"/>
          <w:color w:val="231F20"/>
          <w:spacing w:val="-18"/>
          <w:w w:val="115"/>
          <w:sz w:val="18"/>
        </w:rPr>
        <w:t xml:space="preserve"> </w:t>
      </w:r>
      <w:r>
        <w:rPr>
          <w:rFonts w:ascii="Gill Sans MT"/>
          <w:color w:val="231F20"/>
          <w:w w:val="115"/>
          <w:sz w:val="18"/>
        </w:rPr>
        <w:t>the</w:t>
      </w:r>
      <w:r>
        <w:rPr>
          <w:rFonts w:ascii="Gill Sans MT"/>
          <w:color w:val="231F20"/>
          <w:w w:val="111"/>
          <w:sz w:val="18"/>
        </w:rPr>
        <w:t xml:space="preserve"> </w:t>
      </w:r>
      <w:r>
        <w:rPr>
          <w:rFonts w:ascii="Gill Sans MT"/>
          <w:color w:val="231F20"/>
          <w:w w:val="115"/>
          <w:sz w:val="18"/>
        </w:rPr>
        <w:t xml:space="preserve">2JM members who joined the </w:t>
      </w:r>
      <w:r w:rsidR="00C507A5">
        <w:rPr>
          <w:rFonts w:ascii="Gill Sans MT"/>
          <w:color w:val="231F20"/>
          <w:w w:val="115"/>
          <w:sz w:val="18"/>
        </w:rPr>
        <w:t>red army faction</w:t>
      </w:r>
      <w:r>
        <w:rPr>
          <w:rFonts w:ascii="Gill Sans MT"/>
          <w:color w:val="231F20"/>
          <w:w w:val="115"/>
          <w:sz w:val="18"/>
        </w:rPr>
        <w:t xml:space="preserve"> when the organizations</w:t>
      </w:r>
      <w:r>
        <w:rPr>
          <w:rFonts w:ascii="Gill Sans MT"/>
          <w:color w:val="231F20"/>
          <w:spacing w:val="-35"/>
          <w:w w:val="115"/>
          <w:sz w:val="18"/>
        </w:rPr>
        <w:t xml:space="preserve"> </w:t>
      </w:r>
      <w:r>
        <w:rPr>
          <w:rFonts w:ascii="Gill Sans MT"/>
          <w:color w:val="231F20"/>
          <w:w w:val="115"/>
          <w:sz w:val="18"/>
        </w:rPr>
        <w:t>fused.</w:t>
      </w:r>
    </w:p>
    <w:p w14:paraId="740DF240" w14:textId="77777777" w:rsidR="002653E8" w:rsidRDefault="003115E3">
      <w:pPr>
        <w:spacing w:before="91"/>
        <w:ind w:left="213"/>
        <w:rPr>
          <w:rFonts w:ascii="Arial"/>
          <w:b/>
          <w:sz w:val="18"/>
        </w:rPr>
      </w:pPr>
      <w:r>
        <w:br w:type="column"/>
      </w:r>
      <w:r>
        <w:rPr>
          <w:rFonts w:ascii="Arial"/>
          <w:b/>
          <w:color w:val="231F20"/>
          <w:w w:val="115"/>
          <w:sz w:val="18"/>
        </w:rPr>
        <w:t>August 31, 1981</w:t>
      </w:r>
    </w:p>
    <w:p w14:paraId="56137EFB" w14:textId="77777777" w:rsidR="002653E8" w:rsidRDefault="003115E3">
      <w:pPr>
        <w:spacing w:before="34" w:line="276" w:lineRule="auto"/>
        <w:ind w:left="213" w:right="861" w:hanging="1"/>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w w:val="110"/>
          <w:sz w:val="18"/>
        </w:rPr>
        <w:t>red army faction</w:t>
      </w:r>
      <w:r>
        <w:rPr>
          <w:rFonts w:ascii="Gill Sans MT" w:hAnsi="Gill Sans MT"/>
          <w:color w:val="231F20"/>
          <w:w w:val="110"/>
          <w:sz w:val="18"/>
        </w:rPr>
        <w:t>’s Sigurd debus Commando bombs the Headquarters of the</w:t>
      </w:r>
    </w:p>
    <w:p w14:paraId="44FB353B" w14:textId="77777777" w:rsidR="002653E8" w:rsidRDefault="003115E3">
      <w:pPr>
        <w:spacing w:line="276" w:lineRule="auto"/>
        <w:ind w:left="213" w:right="1526"/>
        <w:jc w:val="both"/>
        <w:rPr>
          <w:rFonts w:ascii="Gill Sans MT"/>
          <w:sz w:val="18"/>
        </w:rPr>
      </w:pPr>
      <w:r>
        <w:rPr>
          <w:rFonts w:ascii="Gill Sans MT"/>
          <w:color w:val="231F20"/>
          <w:w w:val="115"/>
          <w:sz w:val="18"/>
        </w:rPr>
        <w:t>u.S.</w:t>
      </w:r>
      <w:r>
        <w:rPr>
          <w:rFonts w:ascii="Gill Sans MT"/>
          <w:color w:val="231F20"/>
          <w:spacing w:val="-22"/>
          <w:w w:val="115"/>
          <w:sz w:val="18"/>
        </w:rPr>
        <w:t xml:space="preserve"> </w:t>
      </w:r>
      <w:r>
        <w:rPr>
          <w:rFonts w:ascii="Gill Sans MT"/>
          <w:color w:val="231F20"/>
          <w:w w:val="115"/>
          <w:sz w:val="18"/>
        </w:rPr>
        <w:t>Air</w:t>
      </w:r>
      <w:r>
        <w:rPr>
          <w:rFonts w:ascii="Gill Sans MT"/>
          <w:color w:val="231F20"/>
          <w:spacing w:val="-22"/>
          <w:w w:val="115"/>
          <w:sz w:val="18"/>
        </w:rPr>
        <w:t xml:space="preserve"> </w:t>
      </w:r>
      <w:r>
        <w:rPr>
          <w:rFonts w:ascii="Gill Sans MT"/>
          <w:color w:val="231F20"/>
          <w:w w:val="115"/>
          <w:sz w:val="18"/>
        </w:rPr>
        <w:t>Force</w:t>
      </w:r>
      <w:r>
        <w:rPr>
          <w:rFonts w:ascii="Gill Sans MT"/>
          <w:color w:val="231F20"/>
          <w:spacing w:val="-22"/>
          <w:w w:val="115"/>
          <w:sz w:val="18"/>
        </w:rPr>
        <w:t xml:space="preserve"> </w:t>
      </w:r>
      <w:r>
        <w:rPr>
          <w:rFonts w:ascii="Gill Sans MT"/>
          <w:color w:val="231F20"/>
          <w:w w:val="115"/>
          <w:sz w:val="18"/>
        </w:rPr>
        <w:t>in</w:t>
      </w:r>
      <w:r>
        <w:rPr>
          <w:rFonts w:ascii="Gill Sans MT"/>
          <w:color w:val="231F20"/>
          <w:spacing w:val="-22"/>
          <w:w w:val="115"/>
          <w:sz w:val="18"/>
        </w:rPr>
        <w:t xml:space="preserve"> </w:t>
      </w:r>
      <w:r>
        <w:rPr>
          <w:rFonts w:ascii="Gill Sans MT"/>
          <w:color w:val="231F20"/>
          <w:w w:val="115"/>
          <w:sz w:val="18"/>
        </w:rPr>
        <w:t>Ramstein</w:t>
      </w:r>
      <w:r>
        <w:rPr>
          <w:rFonts w:ascii="Gill Sans MT"/>
          <w:color w:val="231F20"/>
          <w:spacing w:val="-22"/>
          <w:w w:val="115"/>
          <w:sz w:val="18"/>
        </w:rPr>
        <w:t xml:space="preserve"> </w:t>
      </w:r>
      <w:r>
        <w:rPr>
          <w:rFonts w:ascii="Gill Sans MT"/>
          <w:color w:val="231F20"/>
          <w:w w:val="115"/>
          <w:sz w:val="18"/>
        </w:rPr>
        <w:t>injuring seventeen</w:t>
      </w:r>
      <w:r>
        <w:rPr>
          <w:rFonts w:ascii="Gill Sans MT"/>
          <w:color w:val="231F20"/>
          <w:spacing w:val="-13"/>
          <w:w w:val="115"/>
          <w:sz w:val="18"/>
        </w:rPr>
        <w:t xml:space="preserve"> </w:t>
      </w:r>
      <w:r>
        <w:rPr>
          <w:rFonts w:ascii="Gill Sans MT"/>
          <w:color w:val="231F20"/>
          <w:w w:val="115"/>
          <w:sz w:val="18"/>
        </w:rPr>
        <w:t>people</w:t>
      </w:r>
      <w:r>
        <w:rPr>
          <w:rFonts w:ascii="Gill Sans MT"/>
          <w:color w:val="231F20"/>
          <w:spacing w:val="-13"/>
          <w:w w:val="115"/>
          <w:sz w:val="18"/>
        </w:rPr>
        <w:t xml:space="preserve"> </w:t>
      </w:r>
      <w:r>
        <w:rPr>
          <w:rFonts w:ascii="Gill Sans MT"/>
          <w:color w:val="231F20"/>
          <w:w w:val="115"/>
          <w:sz w:val="18"/>
        </w:rPr>
        <w:t>and</w:t>
      </w:r>
      <w:r>
        <w:rPr>
          <w:rFonts w:ascii="Gill Sans MT"/>
          <w:color w:val="231F20"/>
          <w:spacing w:val="-13"/>
          <w:w w:val="115"/>
          <w:sz w:val="18"/>
        </w:rPr>
        <w:t xml:space="preserve"> </w:t>
      </w:r>
      <w:r>
        <w:rPr>
          <w:rFonts w:ascii="Gill Sans MT"/>
          <w:color w:val="231F20"/>
          <w:w w:val="115"/>
          <w:sz w:val="18"/>
        </w:rPr>
        <w:t>causing</w:t>
      </w:r>
      <w:r>
        <w:rPr>
          <w:rFonts w:ascii="Gill Sans MT"/>
          <w:color w:val="231F20"/>
          <w:spacing w:val="-13"/>
          <w:w w:val="115"/>
          <w:sz w:val="18"/>
        </w:rPr>
        <w:t xml:space="preserve"> </w:t>
      </w:r>
      <w:r>
        <w:rPr>
          <w:rFonts w:ascii="Arial"/>
          <w:color w:val="231F20"/>
          <w:w w:val="115"/>
          <w:sz w:val="18"/>
        </w:rPr>
        <w:t>7</w:t>
      </w:r>
      <w:r>
        <w:rPr>
          <w:rFonts w:ascii="Gill Sans MT"/>
          <w:color w:val="231F20"/>
          <w:w w:val="115"/>
          <w:sz w:val="18"/>
        </w:rPr>
        <w:t>.</w:t>
      </w:r>
      <w:r>
        <w:rPr>
          <w:rFonts w:ascii="Arial"/>
          <w:color w:val="231F20"/>
          <w:w w:val="115"/>
          <w:sz w:val="18"/>
        </w:rPr>
        <w:t xml:space="preserve">2 </w:t>
      </w:r>
      <w:r>
        <w:rPr>
          <w:rFonts w:ascii="Gill Sans MT"/>
          <w:color w:val="231F20"/>
          <w:w w:val="115"/>
          <w:sz w:val="18"/>
        </w:rPr>
        <w:t>million dM in</w:t>
      </w:r>
      <w:r>
        <w:rPr>
          <w:rFonts w:ascii="Gill Sans MT"/>
          <w:color w:val="231F20"/>
          <w:spacing w:val="-18"/>
          <w:w w:val="115"/>
          <w:sz w:val="18"/>
        </w:rPr>
        <w:t xml:space="preserve"> </w:t>
      </w:r>
      <w:r>
        <w:rPr>
          <w:rFonts w:ascii="Gill Sans MT"/>
          <w:color w:val="231F20"/>
          <w:w w:val="115"/>
          <w:sz w:val="18"/>
        </w:rPr>
        <w:t>damage.</w:t>
      </w:r>
    </w:p>
    <w:p w14:paraId="7435EE4C" w14:textId="77777777" w:rsidR="002653E8" w:rsidRDefault="002653E8">
      <w:pPr>
        <w:pStyle w:val="a3"/>
        <w:spacing w:before="5"/>
        <w:rPr>
          <w:rFonts w:ascii="Gill Sans MT"/>
        </w:rPr>
      </w:pPr>
    </w:p>
    <w:p w14:paraId="5403DFF4" w14:textId="77777777" w:rsidR="002653E8" w:rsidRDefault="003115E3">
      <w:pPr>
        <w:ind w:left="213"/>
        <w:rPr>
          <w:rFonts w:ascii="Arial"/>
          <w:b/>
          <w:sz w:val="18"/>
        </w:rPr>
      </w:pPr>
      <w:r>
        <w:rPr>
          <w:rFonts w:ascii="Arial"/>
          <w:b/>
          <w:color w:val="231F20"/>
          <w:w w:val="115"/>
          <w:sz w:val="18"/>
        </w:rPr>
        <w:t>September 15, 1981</w:t>
      </w:r>
    </w:p>
    <w:p w14:paraId="33B387B5" w14:textId="77777777" w:rsidR="002653E8" w:rsidRDefault="003115E3">
      <w:pPr>
        <w:spacing w:before="35" w:line="276" w:lineRule="auto"/>
        <w:ind w:left="213" w:right="1402" w:hanging="1"/>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spacing w:val="-3"/>
          <w:w w:val="110"/>
          <w:sz w:val="18"/>
        </w:rPr>
        <w:t>red army faction</w:t>
      </w:r>
      <w:r>
        <w:rPr>
          <w:rFonts w:ascii="Gill Sans MT" w:hAnsi="Gill Sans MT"/>
          <w:color w:val="231F20"/>
          <w:spacing w:val="-3"/>
          <w:w w:val="110"/>
          <w:sz w:val="18"/>
        </w:rPr>
        <w:t xml:space="preserve">’s </w:t>
      </w:r>
      <w:r>
        <w:rPr>
          <w:rFonts w:ascii="Gill Sans MT" w:hAnsi="Gill Sans MT"/>
          <w:color w:val="231F20"/>
          <w:w w:val="110"/>
          <w:sz w:val="18"/>
        </w:rPr>
        <w:t>Gudrun Ensslin Commando attacks the car carrying the head of the u.S. Army in Europe, General Frederick</w:t>
      </w:r>
      <w:r>
        <w:rPr>
          <w:rFonts w:ascii="Gill Sans MT" w:hAnsi="Gill Sans MT"/>
          <w:color w:val="231F20"/>
          <w:spacing w:val="-37"/>
          <w:w w:val="110"/>
          <w:sz w:val="18"/>
        </w:rPr>
        <w:t xml:space="preserve"> </w:t>
      </w:r>
      <w:r>
        <w:rPr>
          <w:rFonts w:ascii="Gill Sans MT" w:hAnsi="Gill Sans MT"/>
          <w:color w:val="231F20"/>
          <w:w w:val="110"/>
          <w:sz w:val="18"/>
        </w:rPr>
        <w:t>Kroesen, with a bazooka. The armour-plated vehicle survives the attack, and Kroesen and his wife suffer only minor</w:t>
      </w:r>
      <w:r>
        <w:rPr>
          <w:rFonts w:ascii="Gill Sans MT" w:hAnsi="Gill Sans MT"/>
          <w:color w:val="231F20"/>
          <w:spacing w:val="-6"/>
          <w:w w:val="110"/>
          <w:sz w:val="18"/>
        </w:rPr>
        <w:t xml:space="preserve"> </w:t>
      </w:r>
      <w:r>
        <w:rPr>
          <w:rFonts w:ascii="Gill Sans MT" w:hAnsi="Gill Sans MT"/>
          <w:color w:val="231F20"/>
          <w:w w:val="110"/>
          <w:sz w:val="18"/>
        </w:rPr>
        <w:t>injuries.</w:t>
      </w:r>
    </w:p>
    <w:p w14:paraId="0969EC18" w14:textId="77777777" w:rsidR="002653E8" w:rsidRDefault="002653E8">
      <w:pPr>
        <w:pStyle w:val="a3"/>
        <w:spacing w:before="5"/>
        <w:rPr>
          <w:rFonts w:ascii="Gill Sans MT"/>
        </w:rPr>
      </w:pPr>
    </w:p>
    <w:p w14:paraId="3F93172E" w14:textId="77777777" w:rsidR="002653E8" w:rsidRDefault="003115E3">
      <w:pPr>
        <w:spacing w:before="1"/>
        <w:ind w:left="213"/>
        <w:rPr>
          <w:rFonts w:ascii="Arial"/>
          <w:b/>
          <w:sz w:val="18"/>
        </w:rPr>
      </w:pPr>
      <w:r>
        <w:rPr>
          <w:rFonts w:ascii="Arial"/>
          <w:b/>
          <w:color w:val="231F20"/>
          <w:w w:val="115"/>
          <w:sz w:val="18"/>
        </w:rPr>
        <w:t>October 10, 1981</w:t>
      </w:r>
    </w:p>
    <w:p w14:paraId="08ED1DF9" w14:textId="77777777" w:rsidR="002653E8" w:rsidRDefault="003115E3">
      <w:pPr>
        <w:spacing w:before="33" w:line="276" w:lineRule="auto"/>
        <w:ind w:left="213" w:right="1478"/>
        <w:rPr>
          <w:rFonts w:ascii="Gill Sans MT"/>
          <w:sz w:val="18"/>
        </w:rPr>
      </w:pPr>
      <w:r>
        <w:rPr>
          <w:rFonts w:ascii="Arial"/>
          <w:color w:val="231F20"/>
          <w:w w:val="110"/>
          <w:sz w:val="18"/>
        </w:rPr>
        <w:t>265</w:t>
      </w:r>
      <w:r>
        <w:rPr>
          <w:rFonts w:ascii="Gill Sans MT"/>
          <w:color w:val="231F20"/>
          <w:w w:val="110"/>
          <w:sz w:val="18"/>
        </w:rPr>
        <w:t>,</w:t>
      </w:r>
      <w:r>
        <w:rPr>
          <w:rFonts w:ascii="Arial"/>
          <w:color w:val="231F20"/>
          <w:w w:val="110"/>
          <w:sz w:val="18"/>
        </w:rPr>
        <w:t xml:space="preserve">000 </w:t>
      </w:r>
      <w:r>
        <w:rPr>
          <w:rFonts w:ascii="Gill Sans MT"/>
          <w:color w:val="231F20"/>
          <w:w w:val="110"/>
          <w:sz w:val="18"/>
        </w:rPr>
        <w:t>march in antiwar demonstration in Bonn, the largest demonstration in West German history.</w:t>
      </w:r>
    </w:p>
    <w:p w14:paraId="0BA3A045" w14:textId="77777777" w:rsidR="002653E8" w:rsidRDefault="002653E8">
      <w:pPr>
        <w:pStyle w:val="a3"/>
        <w:spacing w:before="6"/>
        <w:rPr>
          <w:rFonts w:ascii="Gill Sans MT"/>
        </w:rPr>
      </w:pPr>
    </w:p>
    <w:p w14:paraId="1F481D22" w14:textId="77777777" w:rsidR="002653E8" w:rsidRDefault="003115E3">
      <w:pPr>
        <w:ind w:left="213"/>
        <w:rPr>
          <w:rFonts w:ascii="Arial"/>
          <w:b/>
          <w:sz w:val="18"/>
        </w:rPr>
      </w:pPr>
      <w:r>
        <w:rPr>
          <w:rFonts w:ascii="Arial"/>
          <w:b/>
          <w:color w:val="231F20"/>
          <w:w w:val="115"/>
          <w:sz w:val="18"/>
        </w:rPr>
        <w:t>December 4, 1981</w:t>
      </w:r>
    </w:p>
    <w:p w14:paraId="2C925F52" w14:textId="77777777" w:rsidR="002653E8" w:rsidRDefault="003115E3">
      <w:pPr>
        <w:spacing w:before="35" w:line="276" w:lineRule="auto"/>
        <w:ind w:left="213" w:right="861"/>
        <w:rPr>
          <w:rFonts w:ascii="Gill Sans MT" w:hAnsi="Gill Sans MT"/>
          <w:sz w:val="18"/>
        </w:rPr>
      </w:pPr>
      <w:r>
        <w:rPr>
          <w:rFonts w:ascii="Gill Sans MT" w:hAnsi="Gill Sans MT"/>
          <w:color w:val="231F20"/>
          <w:w w:val="110"/>
          <w:sz w:val="18"/>
        </w:rPr>
        <w:t xml:space="preserve">The düsseldorf OLG sentences </w:t>
      </w:r>
      <w:r w:rsidR="00C507A5">
        <w:rPr>
          <w:rFonts w:ascii="Gill Sans MT" w:hAnsi="Gill Sans MT"/>
          <w:color w:val="231F20"/>
          <w:w w:val="110"/>
          <w:sz w:val="18"/>
        </w:rPr>
        <w:t>red army faction</w:t>
      </w:r>
      <w:r>
        <w:rPr>
          <w:rFonts w:ascii="Gill Sans MT" w:hAnsi="Gill Sans MT"/>
          <w:color w:val="231F20"/>
          <w:w w:val="110"/>
          <w:sz w:val="18"/>
        </w:rPr>
        <w:t xml:space="preserve"> member Stefan Wisniewski to life</w:t>
      </w:r>
    </w:p>
    <w:p w14:paraId="065F8896" w14:textId="77777777" w:rsidR="002653E8" w:rsidRDefault="003115E3">
      <w:pPr>
        <w:spacing w:line="276" w:lineRule="auto"/>
        <w:ind w:left="213" w:right="1378"/>
        <w:rPr>
          <w:rFonts w:ascii="Gill Sans MT"/>
          <w:sz w:val="18"/>
        </w:rPr>
      </w:pPr>
      <w:r>
        <w:rPr>
          <w:rFonts w:ascii="Gill Sans MT"/>
          <w:color w:val="231F20"/>
          <w:w w:val="110"/>
          <w:sz w:val="18"/>
        </w:rPr>
        <w:t>in prison for his role in the Schleyer kidnapping, among other things.</w:t>
      </w:r>
    </w:p>
    <w:p w14:paraId="1A079406" w14:textId="77777777" w:rsidR="002653E8" w:rsidRDefault="002653E8">
      <w:pPr>
        <w:pStyle w:val="a3"/>
        <w:rPr>
          <w:rFonts w:ascii="Gill Sans MT"/>
        </w:rPr>
      </w:pPr>
    </w:p>
    <w:p w14:paraId="2FC66021" w14:textId="77777777" w:rsidR="002653E8" w:rsidRDefault="002653E8">
      <w:pPr>
        <w:pStyle w:val="a3"/>
        <w:rPr>
          <w:rFonts w:ascii="Gill Sans MT"/>
        </w:rPr>
      </w:pPr>
    </w:p>
    <w:p w14:paraId="6862A36F" w14:textId="77777777" w:rsidR="002653E8" w:rsidRDefault="003115E3">
      <w:pPr>
        <w:pStyle w:val="5"/>
        <w:ind w:left="213"/>
      </w:pPr>
      <w:r>
        <w:rPr>
          <w:color w:val="231F20"/>
          <w:w w:val="120"/>
        </w:rPr>
        <w:t>1982</w:t>
      </w:r>
    </w:p>
    <w:p w14:paraId="2B24C42C" w14:textId="77777777" w:rsidR="002653E8" w:rsidRDefault="003115E3">
      <w:pPr>
        <w:spacing w:before="14" w:line="276" w:lineRule="auto"/>
        <w:ind w:left="213" w:right="1512"/>
        <w:rPr>
          <w:rFonts w:ascii="Gill Sans MT"/>
          <w:sz w:val="18"/>
        </w:rPr>
      </w:pPr>
      <w:r>
        <w:rPr>
          <w:rFonts w:ascii="Gill Sans MT"/>
          <w:color w:val="231F20"/>
          <w:w w:val="110"/>
          <w:sz w:val="18"/>
        </w:rPr>
        <w:t xml:space="preserve">Inge Viett and Henning Beer leave the </w:t>
      </w:r>
      <w:r w:rsidR="00C507A5">
        <w:rPr>
          <w:rFonts w:ascii="Gill Sans MT"/>
          <w:color w:val="231F20"/>
          <w:w w:val="110"/>
          <w:sz w:val="18"/>
        </w:rPr>
        <w:t>red army faction</w:t>
      </w:r>
      <w:r>
        <w:rPr>
          <w:rFonts w:ascii="Gill Sans MT"/>
          <w:color w:val="231F20"/>
          <w:w w:val="110"/>
          <w:sz w:val="18"/>
        </w:rPr>
        <w:t xml:space="preserve"> and are provided with new identities and sanctuary in East Germany.</w:t>
      </w:r>
    </w:p>
    <w:p w14:paraId="3C86A693" w14:textId="77777777" w:rsidR="002653E8" w:rsidRDefault="002653E8">
      <w:pPr>
        <w:pStyle w:val="a3"/>
        <w:spacing w:before="6"/>
        <w:rPr>
          <w:rFonts w:ascii="Gill Sans MT"/>
        </w:rPr>
      </w:pPr>
    </w:p>
    <w:p w14:paraId="14B12009" w14:textId="77777777" w:rsidR="002653E8" w:rsidRDefault="003115E3">
      <w:pPr>
        <w:ind w:left="213"/>
        <w:rPr>
          <w:rFonts w:ascii="Arial"/>
          <w:b/>
          <w:sz w:val="18"/>
        </w:rPr>
      </w:pPr>
      <w:r>
        <w:rPr>
          <w:rFonts w:ascii="Arial"/>
          <w:b/>
          <w:color w:val="231F20"/>
          <w:w w:val="115"/>
          <w:sz w:val="18"/>
        </w:rPr>
        <w:t>Early 1982</w:t>
      </w:r>
    </w:p>
    <w:p w14:paraId="6A26A972" w14:textId="77777777" w:rsidR="002653E8" w:rsidRDefault="00C507A5">
      <w:pPr>
        <w:spacing w:before="35" w:line="273" w:lineRule="auto"/>
        <w:ind w:left="213" w:right="1506"/>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Verena Becker begins cooperating with the </w:t>
      </w:r>
      <w:r w:rsidR="003115E3">
        <w:rPr>
          <w:rFonts w:ascii="Lucida Sans"/>
          <w:i/>
          <w:color w:val="231F20"/>
          <w:sz w:val="18"/>
        </w:rPr>
        <w:t xml:space="preserve">Verfassungsschutz, </w:t>
      </w:r>
      <w:r w:rsidR="003115E3">
        <w:rPr>
          <w:rFonts w:ascii="Gill Sans MT"/>
          <w:color w:val="231F20"/>
          <w:sz w:val="18"/>
        </w:rPr>
        <w:t>naming Stefan</w:t>
      </w:r>
      <w:r w:rsidR="003115E3">
        <w:rPr>
          <w:rFonts w:ascii="Gill Sans MT"/>
          <w:color w:val="231F20"/>
          <w:w w:val="116"/>
          <w:sz w:val="18"/>
        </w:rPr>
        <w:t xml:space="preserve"> </w:t>
      </w:r>
      <w:r w:rsidR="003115E3">
        <w:rPr>
          <w:rFonts w:ascii="Gill Sans MT"/>
          <w:color w:val="231F20"/>
          <w:w w:val="110"/>
          <w:sz w:val="18"/>
        </w:rPr>
        <w:t xml:space="preserve">Wisniewski as the shooter in the Buback assassination. Other </w:t>
      </w:r>
      <w:r>
        <w:rPr>
          <w:rFonts w:ascii="Gill Sans MT"/>
          <w:color w:val="231F20"/>
          <w:w w:val="110"/>
          <w:sz w:val="18"/>
        </w:rPr>
        <w:t>red army faction</w:t>
      </w:r>
    </w:p>
    <w:p w14:paraId="683F72BF" w14:textId="77777777" w:rsidR="002653E8" w:rsidRDefault="002653E8">
      <w:pPr>
        <w:spacing w:line="273" w:lineRule="auto"/>
        <w:rPr>
          <w:rFonts w:ascii="Gill Sans MT"/>
          <w:sz w:val="18"/>
        </w:rPr>
        <w:sectPr w:rsidR="002653E8">
          <w:footerReference w:type="default" r:id="rId529"/>
          <w:pgSz w:w="8640" w:h="12960"/>
          <w:pgMar w:top="1060" w:right="0" w:bottom="280" w:left="0" w:header="0" w:footer="0" w:gutter="0"/>
          <w:cols w:num="2" w:space="720" w:equalWidth="0">
            <w:col w:w="4097" w:space="40"/>
            <w:col w:w="4503"/>
          </w:cols>
        </w:sectPr>
      </w:pPr>
    </w:p>
    <w:p w14:paraId="6521FEA6" w14:textId="77777777" w:rsidR="002653E8" w:rsidRDefault="002653E8">
      <w:pPr>
        <w:pStyle w:val="a3"/>
        <w:rPr>
          <w:rFonts w:ascii="Gill Sans MT"/>
        </w:rPr>
      </w:pPr>
    </w:p>
    <w:p w14:paraId="64330A68" w14:textId="77777777" w:rsidR="002653E8" w:rsidRDefault="002653E8">
      <w:pPr>
        <w:pStyle w:val="a3"/>
        <w:spacing w:before="5"/>
        <w:rPr>
          <w:rFonts w:ascii="Gill Sans MT"/>
          <w:sz w:val="23"/>
        </w:rPr>
      </w:pPr>
    </w:p>
    <w:p w14:paraId="15232B66" w14:textId="77777777" w:rsidR="002653E8" w:rsidRDefault="003115E3">
      <w:pPr>
        <w:tabs>
          <w:tab w:val="left" w:pos="3677"/>
        </w:tabs>
        <w:spacing w:before="98" w:line="244" w:lineRule="auto"/>
        <w:ind w:left="5852" w:right="1300" w:hanging="4705"/>
        <w:jc w:val="right"/>
        <w:rPr>
          <w:sz w:val="18"/>
        </w:rPr>
      </w:pPr>
      <w:r>
        <w:rPr>
          <w:color w:val="231F20"/>
          <w:spacing w:val="15"/>
          <w:w w:val="110"/>
          <w:position w:val="5"/>
          <w:sz w:val="18"/>
        </w:rPr>
        <w:t>614</w:t>
      </w:r>
      <w:r>
        <w:rPr>
          <w:color w:val="231F20"/>
          <w:spacing w:val="15"/>
          <w:w w:val="110"/>
          <w:position w:val="5"/>
          <w:sz w:val="18"/>
        </w:rPr>
        <w:tab/>
      </w:r>
      <w:r>
        <w:rPr>
          <w:color w:val="231F20"/>
          <w:spacing w:val="20"/>
          <w:w w:val="110"/>
          <w:sz w:val="18"/>
        </w:rPr>
        <w:t xml:space="preserve">armed struggle </w:t>
      </w:r>
      <w:r>
        <w:rPr>
          <w:color w:val="231F20"/>
          <w:spacing w:val="11"/>
          <w:w w:val="110"/>
          <w:sz w:val="18"/>
        </w:rPr>
        <w:t>in</w:t>
      </w:r>
      <w:r>
        <w:rPr>
          <w:color w:val="231F20"/>
          <w:spacing w:val="66"/>
          <w:w w:val="110"/>
          <w:sz w:val="18"/>
        </w:rPr>
        <w:t xml:space="preserve"> </w:t>
      </w:r>
      <w:r>
        <w:rPr>
          <w:color w:val="231F20"/>
          <w:spacing w:val="17"/>
          <w:w w:val="110"/>
          <w:sz w:val="18"/>
        </w:rPr>
        <w:t>west</w:t>
      </w:r>
      <w:r>
        <w:rPr>
          <w:color w:val="231F20"/>
          <w:spacing w:val="36"/>
          <w:w w:val="110"/>
          <w:sz w:val="18"/>
        </w:rPr>
        <w:t xml:space="preserve"> </w:t>
      </w:r>
      <w:r>
        <w:rPr>
          <w:color w:val="231F20"/>
          <w:spacing w:val="20"/>
          <w:w w:val="110"/>
          <w:sz w:val="18"/>
        </w:rPr>
        <w:t>germany</w:t>
      </w:r>
      <w:r>
        <w:rPr>
          <w:color w:val="231F20"/>
          <w:spacing w:val="-15"/>
          <w:sz w:val="18"/>
        </w:rPr>
        <w:t xml:space="preserve"> </w:t>
      </w:r>
      <w:r>
        <w:rPr>
          <w:color w:val="231F20"/>
          <w:spacing w:val="20"/>
          <w:w w:val="110"/>
          <w:sz w:val="18"/>
        </w:rPr>
        <w:t>october</w:t>
      </w:r>
      <w:r>
        <w:rPr>
          <w:color w:val="231F20"/>
          <w:spacing w:val="47"/>
          <w:w w:val="110"/>
          <w:sz w:val="18"/>
        </w:rPr>
        <w:t xml:space="preserve"> </w:t>
      </w:r>
      <w:r>
        <w:rPr>
          <w:color w:val="231F20"/>
          <w:spacing w:val="17"/>
          <w:w w:val="110"/>
          <w:sz w:val="18"/>
        </w:rPr>
        <w:t>1980</w:t>
      </w:r>
      <w:r>
        <w:rPr>
          <w:color w:val="231F20"/>
          <w:spacing w:val="-15"/>
          <w:sz w:val="18"/>
        </w:rPr>
        <w:t xml:space="preserve"> </w:t>
      </w:r>
    </w:p>
    <w:p w14:paraId="0144A5F3" w14:textId="77777777" w:rsidR="002653E8" w:rsidRDefault="002653E8">
      <w:pPr>
        <w:spacing w:line="244" w:lineRule="auto"/>
        <w:jc w:val="right"/>
        <w:rPr>
          <w:sz w:val="18"/>
        </w:rPr>
        <w:sectPr w:rsidR="002653E8">
          <w:type w:val="continuous"/>
          <w:pgSz w:w="8640" w:h="12960"/>
          <w:pgMar w:top="0" w:right="0" w:bottom="0" w:left="0" w:header="720" w:footer="720" w:gutter="0"/>
          <w:cols w:space="720"/>
        </w:sectPr>
      </w:pPr>
    </w:p>
    <w:p w14:paraId="419F101A" w14:textId="77777777" w:rsidR="002653E8" w:rsidRDefault="003115E3">
      <w:pPr>
        <w:spacing w:before="92" w:line="273" w:lineRule="auto"/>
        <w:ind w:left="1327" w:right="40"/>
        <w:rPr>
          <w:rFonts w:ascii="Gill Sans MT"/>
          <w:sz w:val="18"/>
        </w:rPr>
      </w:pPr>
      <w:r>
        <w:rPr>
          <w:rFonts w:ascii="Gill Sans MT"/>
          <w:color w:val="231F20"/>
          <w:w w:val="110"/>
          <w:sz w:val="18"/>
        </w:rPr>
        <w:lastRenderedPageBreak/>
        <w:t xml:space="preserve">members have already been convicted for this murder, and the </w:t>
      </w:r>
      <w:r>
        <w:rPr>
          <w:rFonts w:ascii="Lucida Sans"/>
          <w:i/>
          <w:color w:val="231F20"/>
          <w:sz w:val="18"/>
        </w:rPr>
        <w:t xml:space="preserve">Verfassungsschutz </w:t>
      </w:r>
      <w:r>
        <w:rPr>
          <w:rFonts w:ascii="Gill Sans MT"/>
          <w:color w:val="231F20"/>
          <w:sz w:val="18"/>
        </w:rPr>
        <w:t xml:space="preserve">does not pursue </w:t>
      </w:r>
      <w:r>
        <w:rPr>
          <w:rFonts w:ascii="Gill Sans MT"/>
          <w:color w:val="231F20"/>
          <w:w w:val="110"/>
          <w:sz w:val="18"/>
        </w:rPr>
        <w:t xml:space="preserve">this lead. Twenty-five years later, in </w:t>
      </w:r>
      <w:r>
        <w:rPr>
          <w:rFonts w:ascii="Arial"/>
          <w:color w:val="231F20"/>
          <w:w w:val="110"/>
          <w:sz w:val="18"/>
        </w:rPr>
        <w:t>2007</w:t>
      </w:r>
      <w:r>
        <w:rPr>
          <w:rFonts w:ascii="Gill Sans MT"/>
          <w:color w:val="231F20"/>
          <w:w w:val="110"/>
          <w:sz w:val="18"/>
        </w:rPr>
        <w:t>, a political crisis will develop around exactly this question.</w:t>
      </w:r>
    </w:p>
    <w:p w14:paraId="0E399176" w14:textId="77777777" w:rsidR="002653E8" w:rsidRDefault="002653E8">
      <w:pPr>
        <w:pStyle w:val="a3"/>
        <w:spacing w:before="10"/>
        <w:rPr>
          <w:rFonts w:ascii="Gill Sans MT"/>
        </w:rPr>
      </w:pPr>
    </w:p>
    <w:p w14:paraId="518E1CE7" w14:textId="77777777" w:rsidR="002653E8" w:rsidRDefault="003115E3">
      <w:pPr>
        <w:ind w:left="1327"/>
        <w:rPr>
          <w:rFonts w:ascii="Arial"/>
          <w:b/>
          <w:sz w:val="18"/>
        </w:rPr>
      </w:pPr>
      <w:r>
        <w:rPr>
          <w:rFonts w:ascii="Arial"/>
          <w:b/>
          <w:color w:val="231F20"/>
          <w:w w:val="115"/>
          <w:sz w:val="18"/>
        </w:rPr>
        <w:t>May 1982</w:t>
      </w:r>
    </w:p>
    <w:p w14:paraId="53F7BD3B" w14:textId="77777777" w:rsidR="002653E8" w:rsidRDefault="003115E3">
      <w:pPr>
        <w:spacing w:before="35" w:line="276" w:lineRule="auto"/>
        <w:ind w:left="1327" w:right="-15"/>
        <w:rPr>
          <w:rFonts w:ascii="Gill Sans MT"/>
          <w:sz w:val="18"/>
        </w:rPr>
      </w:pPr>
      <w:r>
        <w:rPr>
          <w:rFonts w:ascii="Gill Sans MT"/>
          <w:color w:val="231F20"/>
          <w:w w:val="115"/>
          <w:sz w:val="18"/>
        </w:rPr>
        <w:t>The</w:t>
      </w:r>
      <w:r>
        <w:rPr>
          <w:rFonts w:ascii="Gill Sans MT"/>
          <w:color w:val="231F20"/>
          <w:spacing w:val="-36"/>
          <w:w w:val="115"/>
          <w:sz w:val="18"/>
        </w:rPr>
        <w:t xml:space="preserve"> </w:t>
      </w:r>
      <w:r w:rsidR="00C507A5">
        <w:rPr>
          <w:rFonts w:ascii="Gill Sans MT"/>
          <w:color w:val="231F20"/>
          <w:w w:val="115"/>
          <w:sz w:val="18"/>
        </w:rPr>
        <w:t>red army faction</w:t>
      </w:r>
      <w:r>
        <w:rPr>
          <w:rFonts w:ascii="Gill Sans MT"/>
          <w:color w:val="231F20"/>
          <w:spacing w:val="-36"/>
          <w:w w:val="115"/>
          <w:sz w:val="18"/>
        </w:rPr>
        <w:t xml:space="preserve"> </w:t>
      </w:r>
      <w:r>
        <w:rPr>
          <w:rFonts w:ascii="Gill Sans MT"/>
          <w:color w:val="231F20"/>
          <w:w w:val="115"/>
          <w:sz w:val="18"/>
        </w:rPr>
        <w:t>releases</w:t>
      </w:r>
      <w:r>
        <w:rPr>
          <w:rFonts w:ascii="Gill Sans MT"/>
          <w:color w:val="231F20"/>
          <w:spacing w:val="-36"/>
          <w:w w:val="115"/>
          <w:sz w:val="18"/>
        </w:rPr>
        <w:t xml:space="preserve"> </w:t>
      </w:r>
      <w:r>
        <w:rPr>
          <w:rFonts w:ascii="Gill Sans MT"/>
          <w:color w:val="231F20"/>
          <w:w w:val="115"/>
          <w:sz w:val="18"/>
        </w:rPr>
        <w:t>a</w:t>
      </w:r>
      <w:r>
        <w:rPr>
          <w:rFonts w:ascii="Gill Sans MT"/>
          <w:color w:val="231F20"/>
          <w:spacing w:val="-36"/>
          <w:w w:val="115"/>
          <w:sz w:val="18"/>
        </w:rPr>
        <w:t xml:space="preserve"> </w:t>
      </w:r>
      <w:r>
        <w:rPr>
          <w:rFonts w:ascii="Gill Sans MT"/>
          <w:color w:val="231F20"/>
          <w:w w:val="115"/>
          <w:sz w:val="18"/>
        </w:rPr>
        <w:t>major</w:t>
      </w:r>
      <w:r>
        <w:rPr>
          <w:rFonts w:ascii="Gill Sans MT"/>
          <w:color w:val="231F20"/>
          <w:spacing w:val="-36"/>
          <w:w w:val="115"/>
          <w:sz w:val="18"/>
        </w:rPr>
        <w:t xml:space="preserve"> </w:t>
      </w:r>
      <w:r>
        <w:rPr>
          <w:rFonts w:ascii="Gill Sans MT"/>
          <w:color w:val="231F20"/>
          <w:w w:val="115"/>
          <w:sz w:val="18"/>
        </w:rPr>
        <w:t>theoretical</w:t>
      </w:r>
      <w:r>
        <w:rPr>
          <w:rFonts w:ascii="Gill Sans MT"/>
          <w:color w:val="231F20"/>
          <w:w w:val="112"/>
          <w:sz w:val="18"/>
        </w:rPr>
        <w:t xml:space="preserve"> </w:t>
      </w:r>
      <w:r>
        <w:rPr>
          <w:rFonts w:ascii="Gill Sans MT"/>
          <w:color w:val="231F20"/>
          <w:w w:val="115"/>
          <w:sz w:val="18"/>
        </w:rPr>
        <w:t>text</w:t>
      </w:r>
      <w:r>
        <w:rPr>
          <w:rFonts w:ascii="Gill Sans MT"/>
          <w:color w:val="231F20"/>
          <w:spacing w:val="-16"/>
          <w:w w:val="115"/>
          <w:sz w:val="18"/>
        </w:rPr>
        <w:t xml:space="preserve"> </w:t>
      </w:r>
      <w:r>
        <w:rPr>
          <w:rFonts w:ascii="Gill Sans MT"/>
          <w:color w:val="231F20"/>
          <w:w w:val="115"/>
          <w:sz w:val="18"/>
        </w:rPr>
        <w:t>re-evaluating</w:t>
      </w:r>
      <w:r>
        <w:rPr>
          <w:rFonts w:ascii="Gill Sans MT"/>
          <w:color w:val="231F20"/>
          <w:spacing w:val="-16"/>
          <w:w w:val="115"/>
          <w:sz w:val="18"/>
        </w:rPr>
        <w:t xml:space="preserve"> </w:t>
      </w:r>
      <w:r>
        <w:rPr>
          <w:rFonts w:ascii="Gill Sans MT"/>
          <w:color w:val="231F20"/>
          <w:w w:val="115"/>
          <w:sz w:val="18"/>
        </w:rPr>
        <w:t>their</w:t>
      </w:r>
      <w:r>
        <w:rPr>
          <w:rFonts w:ascii="Gill Sans MT"/>
          <w:color w:val="231F20"/>
          <w:spacing w:val="-16"/>
          <w:w w:val="115"/>
          <w:sz w:val="18"/>
        </w:rPr>
        <w:t xml:space="preserve"> </w:t>
      </w:r>
      <w:r>
        <w:rPr>
          <w:rFonts w:ascii="Gill Sans MT"/>
          <w:color w:val="231F20"/>
          <w:w w:val="115"/>
          <w:sz w:val="18"/>
        </w:rPr>
        <w:t>practice</w:t>
      </w:r>
    </w:p>
    <w:p w14:paraId="62236F2D" w14:textId="77777777" w:rsidR="002653E8" w:rsidRDefault="003115E3">
      <w:pPr>
        <w:spacing w:line="273" w:lineRule="auto"/>
        <w:ind w:left="1327" w:right="25"/>
        <w:rPr>
          <w:rFonts w:ascii="Gill Sans MT" w:hAnsi="Gill Sans MT"/>
          <w:sz w:val="18"/>
        </w:rPr>
      </w:pPr>
      <w:r>
        <w:rPr>
          <w:rFonts w:ascii="Gill Sans MT" w:hAnsi="Gill Sans MT"/>
          <w:color w:val="231F20"/>
          <w:w w:val="110"/>
          <w:sz w:val="18"/>
        </w:rPr>
        <w:t xml:space="preserve">and opening a new phase in their discussion with the legal movement. This </w:t>
      </w:r>
      <w:r>
        <w:rPr>
          <w:rFonts w:ascii="Gill Sans MT" w:hAnsi="Gill Sans MT"/>
          <w:color w:val="231F20"/>
          <w:spacing w:val="-3"/>
          <w:w w:val="110"/>
          <w:sz w:val="18"/>
        </w:rPr>
        <w:t xml:space="preserve">paper, </w:t>
      </w:r>
      <w:r>
        <w:rPr>
          <w:rFonts w:ascii="Lucida Sans" w:hAnsi="Lucida Sans"/>
          <w:i/>
          <w:color w:val="231F20"/>
          <w:w w:val="110"/>
          <w:sz w:val="18"/>
        </w:rPr>
        <w:t xml:space="preserve">Guerilla, Widerstand </w:t>
      </w:r>
      <w:r>
        <w:rPr>
          <w:rFonts w:ascii="Lucida Sans" w:hAnsi="Lucida Sans"/>
          <w:i/>
          <w:color w:val="231F20"/>
          <w:w w:val="95"/>
          <w:sz w:val="18"/>
        </w:rPr>
        <w:t xml:space="preserve">und antiimperialistische Front </w:t>
      </w:r>
      <w:r>
        <w:rPr>
          <w:rFonts w:ascii="Gill Sans MT" w:hAnsi="Gill Sans MT"/>
          <w:color w:val="231F20"/>
          <w:w w:val="95"/>
          <w:sz w:val="18"/>
        </w:rPr>
        <w:t xml:space="preserve">(The </w:t>
      </w:r>
      <w:r>
        <w:rPr>
          <w:rFonts w:ascii="Gill Sans MT" w:hAnsi="Gill Sans MT"/>
          <w:color w:val="231F20"/>
          <w:w w:val="110"/>
          <w:sz w:val="18"/>
        </w:rPr>
        <w:t>Guerilla, The Resistance, and the Anti-Imperialist Front), calls for a broad-based front involving the guerilla, the semi-legal movement, and the legal anti-imperialist movement. It becomes known as the May Paper and is hotly debated amongst supporters, some of whom see it as showing a bold new way forward, while others see it as a betrayal of some of the guerilla’s key</w:t>
      </w:r>
      <w:r>
        <w:rPr>
          <w:rFonts w:ascii="Gill Sans MT" w:hAnsi="Gill Sans MT"/>
          <w:color w:val="231F20"/>
          <w:spacing w:val="-5"/>
          <w:w w:val="110"/>
          <w:sz w:val="18"/>
        </w:rPr>
        <w:t xml:space="preserve"> </w:t>
      </w:r>
      <w:r>
        <w:rPr>
          <w:rFonts w:ascii="Gill Sans MT" w:hAnsi="Gill Sans MT"/>
          <w:color w:val="231F20"/>
          <w:w w:val="110"/>
          <w:sz w:val="18"/>
        </w:rPr>
        <w:t>tenets.</w:t>
      </w:r>
    </w:p>
    <w:p w14:paraId="046CFD06" w14:textId="77777777" w:rsidR="002653E8" w:rsidRDefault="002653E8">
      <w:pPr>
        <w:pStyle w:val="a3"/>
        <w:rPr>
          <w:rFonts w:ascii="Gill Sans MT"/>
          <w:sz w:val="22"/>
        </w:rPr>
      </w:pPr>
    </w:p>
    <w:p w14:paraId="64338354" w14:textId="77777777" w:rsidR="002653E8" w:rsidRDefault="003115E3">
      <w:pPr>
        <w:ind w:left="1327"/>
        <w:rPr>
          <w:rFonts w:ascii="Arial"/>
          <w:b/>
          <w:sz w:val="18"/>
        </w:rPr>
      </w:pPr>
      <w:r>
        <w:rPr>
          <w:rFonts w:ascii="Arial"/>
          <w:b/>
          <w:color w:val="231F20"/>
          <w:w w:val="115"/>
          <w:sz w:val="18"/>
        </w:rPr>
        <w:t>June 16, 1982</w:t>
      </w:r>
    </w:p>
    <w:p w14:paraId="2742178A" w14:textId="77777777" w:rsidR="002653E8" w:rsidRDefault="003115E3">
      <w:pPr>
        <w:spacing w:before="36" w:line="276" w:lineRule="auto"/>
        <w:ind w:left="1327" w:right="63"/>
        <w:rPr>
          <w:rFonts w:ascii="Gill Sans MT"/>
          <w:sz w:val="18"/>
        </w:rPr>
      </w:pPr>
      <w:r>
        <w:rPr>
          <w:rFonts w:ascii="Gill Sans MT"/>
          <w:color w:val="231F20"/>
          <w:w w:val="115"/>
          <w:sz w:val="18"/>
        </w:rPr>
        <w:t>The</w:t>
      </w:r>
      <w:r>
        <w:rPr>
          <w:rFonts w:ascii="Gill Sans MT"/>
          <w:color w:val="231F20"/>
          <w:spacing w:val="-32"/>
          <w:w w:val="115"/>
          <w:sz w:val="18"/>
        </w:rPr>
        <w:t xml:space="preserve"> </w:t>
      </w:r>
      <w:r>
        <w:rPr>
          <w:rFonts w:ascii="Gill Sans MT"/>
          <w:color w:val="231F20"/>
          <w:w w:val="115"/>
          <w:sz w:val="18"/>
        </w:rPr>
        <w:t>Frankfurt</w:t>
      </w:r>
      <w:r>
        <w:rPr>
          <w:rFonts w:ascii="Gill Sans MT"/>
          <w:color w:val="231F20"/>
          <w:spacing w:val="-32"/>
          <w:w w:val="115"/>
          <w:sz w:val="18"/>
        </w:rPr>
        <w:t xml:space="preserve"> </w:t>
      </w:r>
      <w:r>
        <w:rPr>
          <w:rFonts w:ascii="Gill Sans MT"/>
          <w:color w:val="231F20"/>
          <w:w w:val="115"/>
          <w:sz w:val="18"/>
        </w:rPr>
        <w:t>OLG</w:t>
      </w:r>
      <w:r>
        <w:rPr>
          <w:rFonts w:ascii="Gill Sans MT"/>
          <w:color w:val="231F20"/>
          <w:spacing w:val="-32"/>
          <w:w w:val="115"/>
          <w:sz w:val="18"/>
        </w:rPr>
        <w:t xml:space="preserve"> </w:t>
      </w:r>
      <w:r>
        <w:rPr>
          <w:rFonts w:ascii="Gill Sans MT"/>
          <w:color w:val="231F20"/>
          <w:w w:val="115"/>
          <w:sz w:val="18"/>
        </w:rPr>
        <w:t>sentences</w:t>
      </w:r>
      <w:r>
        <w:rPr>
          <w:rFonts w:ascii="Gill Sans MT"/>
          <w:color w:val="231F20"/>
          <w:spacing w:val="-32"/>
          <w:w w:val="115"/>
          <w:sz w:val="18"/>
        </w:rPr>
        <w:t xml:space="preserve"> </w:t>
      </w:r>
      <w:r w:rsidR="00C507A5">
        <w:rPr>
          <w:rFonts w:ascii="Gill Sans MT"/>
          <w:color w:val="231F20"/>
          <w:w w:val="115"/>
          <w:sz w:val="18"/>
        </w:rPr>
        <w:t>red army faction</w:t>
      </w:r>
      <w:r>
        <w:rPr>
          <w:rFonts w:ascii="Gill Sans MT"/>
          <w:color w:val="231F20"/>
          <w:w w:val="115"/>
          <w:sz w:val="18"/>
        </w:rPr>
        <w:t xml:space="preserve"> member Sieglinde Hofmann to fifteen</w:t>
      </w:r>
      <w:r>
        <w:rPr>
          <w:rFonts w:ascii="Gill Sans MT"/>
          <w:color w:val="231F20"/>
          <w:spacing w:val="-27"/>
          <w:w w:val="115"/>
          <w:sz w:val="18"/>
        </w:rPr>
        <w:t xml:space="preserve"> </w:t>
      </w:r>
      <w:r>
        <w:rPr>
          <w:rFonts w:ascii="Gill Sans MT"/>
          <w:color w:val="231F20"/>
          <w:w w:val="115"/>
          <w:sz w:val="18"/>
        </w:rPr>
        <w:t>years</w:t>
      </w:r>
      <w:r>
        <w:rPr>
          <w:rFonts w:ascii="Gill Sans MT"/>
          <w:color w:val="231F20"/>
          <w:spacing w:val="-27"/>
          <w:w w:val="115"/>
          <w:sz w:val="18"/>
        </w:rPr>
        <w:t xml:space="preserve"> </w:t>
      </w:r>
      <w:r>
        <w:rPr>
          <w:rFonts w:ascii="Gill Sans MT"/>
          <w:color w:val="231F20"/>
          <w:w w:val="115"/>
          <w:sz w:val="18"/>
        </w:rPr>
        <w:t>in</w:t>
      </w:r>
      <w:r>
        <w:rPr>
          <w:rFonts w:ascii="Gill Sans MT"/>
          <w:color w:val="231F20"/>
          <w:spacing w:val="-27"/>
          <w:w w:val="115"/>
          <w:sz w:val="18"/>
        </w:rPr>
        <w:t xml:space="preserve"> </w:t>
      </w:r>
      <w:r>
        <w:rPr>
          <w:rFonts w:ascii="Gill Sans MT"/>
          <w:color w:val="231F20"/>
          <w:w w:val="115"/>
          <w:sz w:val="18"/>
        </w:rPr>
        <w:t>prison</w:t>
      </w:r>
      <w:r>
        <w:rPr>
          <w:rFonts w:ascii="Gill Sans MT"/>
          <w:color w:val="231F20"/>
          <w:spacing w:val="-27"/>
          <w:w w:val="115"/>
          <w:sz w:val="18"/>
        </w:rPr>
        <w:t xml:space="preserve"> </w:t>
      </w:r>
      <w:r>
        <w:rPr>
          <w:rFonts w:ascii="Gill Sans MT"/>
          <w:color w:val="231F20"/>
          <w:w w:val="115"/>
          <w:sz w:val="18"/>
        </w:rPr>
        <w:t>for</w:t>
      </w:r>
      <w:r>
        <w:rPr>
          <w:rFonts w:ascii="Gill Sans MT"/>
          <w:color w:val="231F20"/>
          <w:spacing w:val="-27"/>
          <w:w w:val="115"/>
          <w:sz w:val="18"/>
        </w:rPr>
        <w:t xml:space="preserve"> </w:t>
      </w:r>
      <w:r>
        <w:rPr>
          <w:rFonts w:ascii="Gill Sans MT"/>
          <w:color w:val="231F20"/>
          <w:w w:val="115"/>
          <w:sz w:val="18"/>
        </w:rPr>
        <w:t>her</w:t>
      </w:r>
      <w:r>
        <w:rPr>
          <w:rFonts w:ascii="Gill Sans MT"/>
          <w:color w:val="231F20"/>
          <w:spacing w:val="-27"/>
          <w:w w:val="115"/>
          <w:sz w:val="18"/>
        </w:rPr>
        <w:t xml:space="preserve"> </w:t>
      </w:r>
      <w:r>
        <w:rPr>
          <w:rFonts w:ascii="Gill Sans MT"/>
          <w:color w:val="231F20"/>
          <w:w w:val="115"/>
          <w:sz w:val="18"/>
        </w:rPr>
        <w:t>role</w:t>
      </w:r>
      <w:r>
        <w:rPr>
          <w:rFonts w:ascii="Gill Sans MT"/>
          <w:color w:val="231F20"/>
          <w:spacing w:val="-27"/>
          <w:w w:val="115"/>
          <w:sz w:val="18"/>
        </w:rPr>
        <w:t xml:space="preserve"> </w:t>
      </w:r>
      <w:r>
        <w:rPr>
          <w:rFonts w:ascii="Gill Sans MT"/>
          <w:color w:val="231F20"/>
          <w:w w:val="115"/>
          <w:sz w:val="18"/>
        </w:rPr>
        <w:t>in planning the attempted kidnapping that</w:t>
      </w:r>
      <w:r>
        <w:rPr>
          <w:rFonts w:ascii="Gill Sans MT"/>
          <w:color w:val="231F20"/>
          <w:spacing w:val="-19"/>
          <w:w w:val="115"/>
          <w:sz w:val="18"/>
        </w:rPr>
        <w:t xml:space="preserve"> </w:t>
      </w:r>
      <w:r>
        <w:rPr>
          <w:rFonts w:ascii="Gill Sans MT"/>
          <w:color w:val="231F20"/>
          <w:w w:val="115"/>
          <w:sz w:val="18"/>
        </w:rPr>
        <w:t>led</w:t>
      </w:r>
      <w:r>
        <w:rPr>
          <w:rFonts w:ascii="Gill Sans MT"/>
          <w:color w:val="231F20"/>
          <w:spacing w:val="-19"/>
          <w:w w:val="115"/>
          <w:sz w:val="18"/>
        </w:rPr>
        <w:t xml:space="preserve"> </w:t>
      </w:r>
      <w:r>
        <w:rPr>
          <w:rFonts w:ascii="Gill Sans MT"/>
          <w:color w:val="231F20"/>
          <w:w w:val="115"/>
          <w:sz w:val="18"/>
        </w:rPr>
        <w:t>to</w:t>
      </w:r>
      <w:r>
        <w:rPr>
          <w:rFonts w:ascii="Gill Sans MT"/>
          <w:color w:val="231F20"/>
          <w:spacing w:val="-19"/>
          <w:w w:val="115"/>
          <w:sz w:val="18"/>
        </w:rPr>
        <w:t xml:space="preserve"> </w:t>
      </w:r>
      <w:r>
        <w:rPr>
          <w:rFonts w:ascii="Gill Sans MT"/>
          <w:color w:val="231F20"/>
          <w:w w:val="115"/>
          <w:sz w:val="18"/>
        </w:rPr>
        <w:t>the</w:t>
      </w:r>
      <w:r>
        <w:rPr>
          <w:rFonts w:ascii="Gill Sans MT"/>
          <w:color w:val="231F20"/>
          <w:spacing w:val="-19"/>
          <w:w w:val="115"/>
          <w:sz w:val="18"/>
        </w:rPr>
        <w:t xml:space="preserve"> </w:t>
      </w:r>
      <w:r>
        <w:rPr>
          <w:rFonts w:ascii="Gill Sans MT"/>
          <w:color w:val="231F20"/>
          <w:w w:val="115"/>
          <w:sz w:val="18"/>
        </w:rPr>
        <w:t>Ponto</w:t>
      </w:r>
      <w:r>
        <w:rPr>
          <w:rFonts w:ascii="Gill Sans MT"/>
          <w:color w:val="231F20"/>
          <w:spacing w:val="-19"/>
          <w:w w:val="115"/>
          <w:sz w:val="18"/>
        </w:rPr>
        <w:t xml:space="preserve"> </w:t>
      </w:r>
      <w:r>
        <w:rPr>
          <w:rFonts w:ascii="Gill Sans MT"/>
          <w:color w:val="231F20"/>
          <w:w w:val="115"/>
          <w:sz w:val="18"/>
        </w:rPr>
        <w:t>assassination.</w:t>
      </w:r>
    </w:p>
    <w:p w14:paraId="2D8DE3CC" w14:textId="77777777" w:rsidR="002653E8" w:rsidRDefault="002653E8">
      <w:pPr>
        <w:pStyle w:val="a3"/>
        <w:spacing w:before="6"/>
        <w:rPr>
          <w:rFonts w:ascii="Gill Sans MT"/>
        </w:rPr>
      </w:pPr>
    </w:p>
    <w:p w14:paraId="3768DAB5" w14:textId="77777777" w:rsidR="002653E8" w:rsidRDefault="003115E3">
      <w:pPr>
        <w:ind w:left="1327"/>
        <w:rPr>
          <w:rFonts w:ascii="Arial"/>
          <w:b/>
          <w:sz w:val="18"/>
        </w:rPr>
      </w:pPr>
      <w:r>
        <w:rPr>
          <w:rFonts w:ascii="Arial"/>
          <w:b/>
          <w:color w:val="231F20"/>
          <w:w w:val="115"/>
          <w:sz w:val="18"/>
        </w:rPr>
        <w:t>October 1, 1982</w:t>
      </w:r>
    </w:p>
    <w:p w14:paraId="4C9B242D" w14:textId="77777777" w:rsidR="002653E8" w:rsidRDefault="003115E3">
      <w:pPr>
        <w:spacing w:before="35" w:line="273" w:lineRule="auto"/>
        <w:ind w:left="1327" w:right="5"/>
        <w:rPr>
          <w:rFonts w:ascii="Gill Sans MT"/>
          <w:sz w:val="18"/>
        </w:rPr>
      </w:pPr>
      <w:r>
        <w:rPr>
          <w:rFonts w:ascii="Gill Sans MT"/>
          <w:color w:val="231F20"/>
          <w:w w:val="110"/>
          <w:sz w:val="18"/>
        </w:rPr>
        <w:t>The Cdu proposes a constructive vote of no confidence which is supported by the FdP: the</w:t>
      </w:r>
      <w:r>
        <w:rPr>
          <w:rFonts w:ascii="Gill Sans MT"/>
          <w:color w:val="231F20"/>
          <w:spacing w:val="41"/>
          <w:w w:val="110"/>
          <w:sz w:val="18"/>
        </w:rPr>
        <w:t xml:space="preserve"> </w:t>
      </w:r>
      <w:r>
        <w:rPr>
          <w:rFonts w:ascii="Gill Sans MT"/>
          <w:color w:val="231F20"/>
          <w:w w:val="110"/>
          <w:sz w:val="18"/>
        </w:rPr>
        <w:t>motion</w:t>
      </w:r>
      <w:r>
        <w:rPr>
          <w:rFonts w:ascii="Gill Sans MT"/>
          <w:color w:val="231F20"/>
          <w:spacing w:val="13"/>
          <w:w w:val="110"/>
          <w:sz w:val="18"/>
        </w:rPr>
        <w:t xml:space="preserve"> </w:t>
      </w:r>
      <w:r>
        <w:rPr>
          <w:rFonts w:ascii="Gill Sans MT"/>
          <w:color w:val="231F20"/>
          <w:w w:val="110"/>
          <w:sz w:val="18"/>
        </w:rPr>
        <w:t>is</w:t>
      </w:r>
      <w:r>
        <w:rPr>
          <w:rFonts w:ascii="Gill Sans MT"/>
          <w:color w:val="231F20"/>
          <w:sz w:val="18"/>
        </w:rPr>
        <w:t xml:space="preserve"> </w:t>
      </w:r>
      <w:r>
        <w:rPr>
          <w:rFonts w:ascii="Gill Sans MT"/>
          <w:color w:val="231F20"/>
          <w:w w:val="110"/>
          <w:sz w:val="18"/>
        </w:rPr>
        <w:t xml:space="preserve">carried, and two days later the </w:t>
      </w:r>
      <w:r>
        <w:rPr>
          <w:rFonts w:ascii="Lucida Sans"/>
          <w:i/>
          <w:color w:val="231F20"/>
          <w:w w:val="110"/>
          <w:sz w:val="18"/>
        </w:rPr>
        <w:t>Bundestag</w:t>
      </w:r>
      <w:r>
        <w:rPr>
          <w:rFonts w:ascii="Lucida Sans"/>
          <w:i/>
          <w:color w:val="231F20"/>
          <w:spacing w:val="-34"/>
          <w:w w:val="110"/>
          <w:sz w:val="18"/>
        </w:rPr>
        <w:t xml:space="preserve"> </w:t>
      </w:r>
      <w:r>
        <w:rPr>
          <w:rFonts w:ascii="Gill Sans MT"/>
          <w:color w:val="231F20"/>
          <w:w w:val="110"/>
          <w:sz w:val="18"/>
        </w:rPr>
        <w:t>votes</w:t>
      </w:r>
      <w:r>
        <w:rPr>
          <w:rFonts w:ascii="Gill Sans MT"/>
          <w:color w:val="231F20"/>
          <w:spacing w:val="-26"/>
          <w:w w:val="110"/>
          <w:sz w:val="18"/>
        </w:rPr>
        <w:t xml:space="preserve"> </w:t>
      </w:r>
      <w:r>
        <w:rPr>
          <w:rFonts w:ascii="Gill Sans MT"/>
          <w:color w:val="231F20"/>
          <w:w w:val="110"/>
          <w:sz w:val="18"/>
        </w:rPr>
        <w:t>in</w:t>
      </w:r>
      <w:r>
        <w:rPr>
          <w:rFonts w:ascii="Gill Sans MT"/>
          <w:color w:val="231F20"/>
          <w:spacing w:val="-26"/>
          <w:w w:val="110"/>
          <w:sz w:val="18"/>
        </w:rPr>
        <w:t xml:space="preserve"> </w:t>
      </w:r>
      <w:r>
        <w:rPr>
          <w:rFonts w:ascii="Gill Sans MT"/>
          <w:color w:val="231F20"/>
          <w:w w:val="110"/>
          <w:sz w:val="18"/>
        </w:rPr>
        <w:t>a</w:t>
      </w:r>
      <w:r>
        <w:rPr>
          <w:rFonts w:ascii="Gill Sans MT"/>
          <w:color w:val="231F20"/>
          <w:spacing w:val="-26"/>
          <w:w w:val="110"/>
          <w:sz w:val="18"/>
        </w:rPr>
        <w:t xml:space="preserve"> </w:t>
      </w:r>
      <w:r>
        <w:rPr>
          <w:rFonts w:ascii="Gill Sans MT"/>
          <w:color w:val="231F20"/>
          <w:w w:val="110"/>
          <w:sz w:val="18"/>
        </w:rPr>
        <w:t>new</w:t>
      </w:r>
      <w:r>
        <w:rPr>
          <w:rFonts w:ascii="Gill Sans MT"/>
          <w:color w:val="231F20"/>
          <w:spacing w:val="-26"/>
          <w:w w:val="110"/>
          <w:sz w:val="18"/>
        </w:rPr>
        <w:t xml:space="preserve"> </w:t>
      </w:r>
      <w:r>
        <w:rPr>
          <w:rFonts w:ascii="Gill Sans MT"/>
          <w:color w:val="231F20"/>
          <w:w w:val="110"/>
          <w:sz w:val="18"/>
        </w:rPr>
        <w:t>right-wing Cdu/CSu-FdP  coalition  cabinet, with</w:t>
      </w:r>
      <w:r>
        <w:rPr>
          <w:rFonts w:ascii="Gill Sans MT"/>
          <w:color w:val="231F20"/>
          <w:spacing w:val="-11"/>
          <w:w w:val="110"/>
          <w:sz w:val="18"/>
        </w:rPr>
        <w:t xml:space="preserve"> </w:t>
      </w:r>
      <w:r>
        <w:rPr>
          <w:rFonts w:ascii="Gill Sans MT"/>
          <w:color w:val="231F20"/>
          <w:w w:val="110"/>
          <w:sz w:val="18"/>
        </w:rPr>
        <w:t>Helmut</w:t>
      </w:r>
      <w:r>
        <w:rPr>
          <w:rFonts w:ascii="Gill Sans MT"/>
          <w:color w:val="231F20"/>
          <w:spacing w:val="-11"/>
          <w:w w:val="110"/>
          <w:sz w:val="18"/>
        </w:rPr>
        <w:t xml:space="preserve"> </w:t>
      </w:r>
      <w:r>
        <w:rPr>
          <w:rFonts w:ascii="Gill Sans MT"/>
          <w:color w:val="231F20"/>
          <w:w w:val="110"/>
          <w:sz w:val="18"/>
        </w:rPr>
        <w:t>Kohl</w:t>
      </w:r>
      <w:r>
        <w:rPr>
          <w:rFonts w:ascii="Gill Sans MT"/>
          <w:color w:val="231F20"/>
          <w:spacing w:val="-11"/>
          <w:w w:val="110"/>
          <w:sz w:val="18"/>
        </w:rPr>
        <w:t xml:space="preserve"> </w:t>
      </w:r>
      <w:r>
        <w:rPr>
          <w:rFonts w:ascii="Gill Sans MT"/>
          <w:color w:val="231F20"/>
          <w:w w:val="110"/>
          <w:sz w:val="18"/>
        </w:rPr>
        <w:t>as</w:t>
      </w:r>
      <w:r>
        <w:rPr>
          <w:rFonts w:ascii="Gill Sans MT"/>
          <w:color w:val="231F20"/>
          <w:spacing w:val="-11"/>
          <w:w w:val="110"/>
          <w:sz w:val="18"/>
        </w:rPr>
        <w:t xml:space="preserve"> </w:t>
      </w:r>
      <w:r>
        <w:rPr>
          <w:rFonts w:ascii="Gill Sans MT"/>
          <w:color w:val="231F20"/>
          <w:w w:val="110"/>
          <w:sz w:val="18"/>
        </w:rPr>
        <w:t>the</w:t>
      </w:r>
      <w:r>
        <w:rPr>
          <w:rFonts w:ascii="Gill Sans MT"/>
          <w:color w:val="231F20"/>
          <w:spacing w:val="-11"/>
          <w:w w:val="110"/>
          <w:sz w:val="18"/>
        </w:rPr>
        <w:t xml:space="preserve"> </w:t>
      </w:r>
      <w:r>
        <w:rPr>
          <w:rFonts w:ascii="Gill Sans MT"/>
          <w:color w:val="231F20"/>
          <w:w w:val="110"/>
          <w:sz w:val="18"/>
        </w:rPr>
        <w:t>chancellor.</w:t>
      </w:r>
    </w:p>
    <w:p w14:paraId="76C7A4B1" w14:textId="77777777" w:rsidR="002653E8" w:rsidRDefault="003115E3">
      <w:pPr>
        <w:spacing w:before="91"/>
        <w:ind w:left="206"/>
        <w:rPr>
          <w:rFonts w:ascii="Arial"/>
          <w:b/>
          <w:sz w:val="18"/>
        </w:rPr>
      </w:pPr>
      <w:r>
        <w:br w:type="column"/>
      </w:r>
      <w:r>
        <w:rPr>
          <w:rFonts w:ascii="Arial"/>
          <w:b/>
          <w:color w:val="231F20"/>
          <w:w w:val="115"/>
          <w:sz w:val="18"/>
        </w:rPr>
        <w:t>November 10, 1982</w:t>
      </w:r>
    </w:p>
    <w:p w14:paraId="64060C0A" w14:textId="77777777" w:rsidR="002653E8" w:rsidRDefault="003115E3">
      <w:pPr>
        <w:spacing w:before="34" w:line="276" w:lineRule="auto"/>
        <w:ind w:left="206" w:right="1094"/>
        <w:rPr>
          <w:rFonts w:ascii="Gill Sans MT" w:hAnsi="Gill Sans MT"/>
          <w:sz w:val="18"/>
        </w:rPr>
      </w:pPr>
      <w:r>
        <w:rPr>
          <w:rFonts w:ascii="Gill Sans MT" w:hAnsi="Gill Sans MT"/>
          <w:color w:val="231F20"/>
          <w:w w:val="110"/>
          <w:sz w:val="18"/>
        </w:rPr>
        <w:t xml:space="preserve">The düsseldorf OLG sentences </w:t>
      </w:r>
      <w:r w:rsidR="00C507A5">
        <w:rPr>
          <w:rFonts w:ascii="Gill Sans MT" w:hAnsi="Gill Sans MT"/>
          <w:color w:val="231F20"/>
          <w:w w:val="110"/>
          <w:sz w:val="18"/>
        </w:rPr>
        <w:t>red army faction</w:t>
      </w:r>
      <w:r>
        <w:rPr>
          <w:rFonts w:ascii="Gill Sans MT" w:hAnsi="Gill Sans MT"/>
          <w:color w:val="231F20"/>
          <w:w w:val="110"/>
          <w:sz w:val="18"/>
        </w:rPr>
        <w:t xml:space="preserve"> member Rolf Heissler to two life terms plus fifteen years in prison</w:t>
      </w:r>
    </w:p>
    <w:p w14:paraId="5708D1A5" w14:textId="77777777" w:rsidR="002653E8" w:rsidRDefault="003115E3">
      <w:pPr>
        <w:spacing w:line="276" w:lineRule="auto"/>
        <w:ind w:left="206" w:right="1462"/>
        <w:rPr>
          <w:rFonts w:ascii="Gill Sans MT"/>
          <w:sz w:val="18"/>
        </w:rPr>
      </w:pPr>
      <w:r>
        <w:rPr>
          <w:rFonts w:ascii="Gill Sans MT"/>
          <w:color w:val="231F20"/>
          <w:w w:val="115"/>
          <w:sz w:val="18"/>
        </w:rPr>
        <w:t>for</w:t>
      </w:r>
      <w:r>
        <w:rPr>
          <w:rFonts w:ascii="Gill Sans MT"/>
          <w:color w:val="231F20"/>
          <w:spacing w:val="-26"/>
          <w:w w:val="115"/>
          <w:sz w:val="18"/>
        </w:rPr>
        <w:t xml:space="preserve"> </w:t>
      </w:r>
      <w:r>
        <w:rPr>
          <w:rFonts w:ascii="Gill Sans MT"/>
          <w:color w:val="231F20"/>
          <w:w w:val="115"/>
          <w:sz w:val="18"/>
        </w:rPr>
        <w:t>the</w:t>
      </w:r>
      <w:r>
        <w:rPr>
          <w:rFonts w:ascii="Gill Sans MT"/>
          <w:color w:val="231F20"/>
          <w:spacing w:val="-26"/>
          <w:w w:val="115"/>
          <w:sz w:val="18"/>
        </w:rPr>
        <w:t xml:space="preserve"> </w:t>
      </w:r>
      <w:r>
        <w:rPr>
          <w:rFonts w:ascii="Gill Sans MT"/>
          <w:color w:val="231F20"/>
          <w:w w:val="115"/>
          <w:sz w:val="18"/>
        </w:rPr>
        <w:t>murder</w:t>
      </w:r>
      <w:r>
        <w:rPr>
          <w:rFonts w:ascii="Gill Sans MT"/>
          <w:color w:val="231F20"/>
          <w:spacing w:val="-26"/>
          <w:w w:val="115"/>
          <w:sz w:val="18"/>
        </w:rPr>
        <w:t xml:space="preserve"> </w:t>
      </w:r>
      <w:r>
        <w:rPr>
          <w:rFonts w:ascii="Gill Sans MT"/>
          <w:color w:val="231F20"/>
          <w:w w:val="115"/>
          <w:sz w:val="18"/>
        </w:rPr>
        <w:t>of</w:t>
      </w:r>
      <w:r>
        <w:rPr>
          <w:rFonts w:ascii="Gill Sans MT"/>
          <w:color w:val="231F20"/>
          <w:spacing w:val="-26"/>
          <w:w w:val="115"/>
          <w:sz w:val="18"/>
        </w:rPr>
        <w:t xml:space="preserve"> </w:t>
      </w:r>
      <w:r>
        <w:rPr>
          <w:rFonts w:ascii="Gill Sans MT"/>
          <w:color w:val="231F20"/>
          <w:w w:val="115"/>
          <w:sz w:val="18"/>
        </w:rPr>
        <w:t>a</w:t>
      </w:r>
      <w:r>
        <w:rPr>
          <w:rFonts w:ascii="Gill Sans MT"/>
          <w:color w:val="231F20"/>
          <w:spacing w:val="-26"/>
          <w:w w:val="115"/>
          <w:sz w:val="18"/>
        </w:rPr>
        <w:t xml:space="preserve"> </w:t>
      </w:r>
      <w:r>
        <w:rPr>
          <w:rFonts w:ascii="Gill Sans MT"/>
          <w:color w:val="231F20"/>
          <w:w w:val="115"/>
          <w:sz w:val="18"/>
        </w:rPr>
        <w:t>police</w:t>
      </w:r>
      <w:r>
        <w:rPr>
          <w:rFonts w:ascii="Gill Sans MT"/>
          <w:color w:val="231F20"/>
          <w:spacing w:val="-26"/>
          <w:w w:val="115"/>
          <w:sz w:val="18"/>
        </w:rPr>
        <w:t xml:space="preserve"> </w:t>
      </w:r>
      <w:r>
        <w:rPr>
          <w:rFonts w:ascii="Gill Sans MT"/>
          <w:color w:val="231F20"/>
          <w:w w:val="115"/>
          <w:sz w:val="18"/>
        </w:rPr>
        <w:t>officer and membership in a terrorist organization.</w:t>
      </w:r>
    </w:p>
    <w:p w14:paraId="085F8402" w14:textId="77777777" w:rsidR="002653E8" w:rsidRDefault="002653E8">
      <w:pPr>
        <w:pStyle w:val="a3"/>
        <w:spacing w:before="6"/>
        <w:rPr>
          <w:rFonts w:ascii="Gill Sans MT"/>
        </w:rPr>
      </w:pPr>
    </w:p>
    <w:p w14:paraId="5357E4C4" w14:textId="77777777" w:rsidR="002653E8" w:rsidRDefault="003115E3">
      <w:pPr>
        <w:ind w:left="206"/>
        <w:rPr>
          <w:rFonts w:ascii="Arial"/>
          <w:b/>
          <w:sz w:val="18"/>
        </w:rPr>
      </w:pPr>
      <w:r>
        <w:rPr>
          <w:rFonts w:ascii="Arial"/>
          <w:b/>
          <w:color w:val="231F20"/>
          <w:w w:val="115"/>
          <w:sz w:val="18"/>
        </w:rPr>
        <w:t>November 11, 1982</w:t>
      </w:r>
    </w:p>
    <w:p w14:paraId="6DF01B33" w14:textId="77777777" w:rsidR="002653E8" w:rsidRDefault="00C507A5">
      <w:pPr>
        <w:spacing w:before="35" w:line="276" w:lineRule="auto"/>
        <w:ind w:left="206" w:right="1327"/>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members Brigitte Mohnhaupt and Adelheid Schulz are arrested at the </w:t>
      </w:r>
      <w:r>
        <w:rPr>
          <w:rFonts w:ascii="Gill Sans MT" w:hAnsi="Gill Sans MT"/>
          <w:color w:val="231F20"/>
          <w:w w:val="110"/>
          <w:sz w:val="18"/>
        </w:rPr>
        <w:t>red army faction</w:t>
      </w:r>
      <w:r w:rsidR="003115E3">
        <w:rPr>
          <w:rFonts w:ascii="Gill Sans MT" w:hAnsi="Gill Sans MT"/>
          <w:color w:val="231F20"/>
          <w:w w:val="110"/>
          <w:sz w:val="18"/>
        </w:rPr>
        <w:t>’s Heusenstamm arms depot.</w:t>
      </w:r>
    </w:p>
    <w:p w14:paraId="2F50783A" w14:textId="77777777" w:rsidR="002653E8" w:rsidRDefault="002653E8">
      <w:pPr>
        <w:pStyle w:val="a3"/>
        <w:spacing w:before="6"/>
        <w:rPr>
          <w:rFonts w:ascii="Gill Sans MT"/>
        </w:rPr>
      </w:pPr>
    </w:p>
    <w:p w14:paraId="3D2116EC" w14:textId="77777777" w:rsidR="002653E8" w:rsidRDefault="003115E3">
      <w:pPr>
        <w:spacing w:before="1"/>
        <w:ind w:left="206"/>
        <w:rPr>
          <w:rFonts w:ascii="Arial"/>
          <w:b/>
          <w:sz w:val="18"/>
        </w:rPr>
      </w:pPr>
      <w:r>
        <w:rPr>
          <w:rFonts w:ascii="Arial"/>
          <w:b/>
          <w:color w:val="231F20"/>
          <w:w w:val="115"/>
          <w:sz w:val="18"/>
        </w:rPr>
        <w:t>November 16, 1982</w:t>
      </w:r>
    </w:p>
    <w:p w14:paraId="39792B02" w14:textId="77777777" w:rsidR="002653E8" w:rsidRDefault="00C507A5">
      <w:pPr>
        <w:spacing w:before="34" w:line="276" w:lineRule="auto"/>
        <w:ind w:left="206" w:right="1094"/>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member Christian Klar is arrested at the </w:t>
      </w:r>
      <w:r>
        <w:rPr>
          <w:rFonts w:ascii="Gill Sans MT" w:hAnsi="Gill Sans MT"/>
          <w:color w:val="231F20"/>
          <w:w w:val="110"/>
          <w:sz w:val="18"/>
        </w:rPr>
        <w:t>red army faction</w:t>
      </w:r>
      <w:r w:rsidR="003115E3">
        <w:rPr>
          <w:rFonts w:ascii="Gill Sans MT" w:hAnsi="Gill Sans MT"/>
          <w:color w:val="231F20"/>
          <w:w w:val="110"/>
          <w:sz w:val="18"/>
        </w:rPr>
        <w:t>’s Anmühle arms depot.</w:t>
      </w:r>
    </w:p>
    <w:p w14:paraId="7873CC4E" w14:textId="77777777" w:rsidR="002653E8" w:rsidRDefault="002653E8">
      <w:pPr>
        <w:pStyle w:val="a3"/>
        <w:spacing w:before="6"/>
        <w:rPr>
          <w:rFonts w:ascii="Gill Sans MT"/>
        </w:rPr>
      </w:pPr>
    </w:p>
    <w:p w14:paraId="0D71D1B6" w14:textId="77777777" w:rsidR="002653E8" w:rsidRDefault="003115E3">
      <w:pPr>
        <w:ind w:left="206"/>
        <w:rPr>
          <w:rFonts w:ascii="Arial"/>
          <w:b/>
          <w:sz w:val="18"/>
        </w:rPr>
      </w:pPr>
      <w:r>
        <w:rPr>
          <w:rFonts w:ascii="Arial"/>
          <w:b/>
          <w:color w:val="231F20"/>
          <w:w w:val="115"/>
          <w:sz w:val="18"/>
        </w:rPr>
        <w:t>December 14, 1982</w:t>
      </w:r>
    </w:p>
    <w:p w14:paraId="6286F2E1" w14:textId="77777777" w:rsidR="002653E8" w:rsidRDefault="003115E3">
      <w:pPr>
        <w:spacing w:before="35" w:line="276" w:lineRule="auto"/>
        <w:ind w:left="206" w:right="1276"/>
        <w:rPr>
          <w:rFonts w:ascii="Gill Sans MT" w:hAnsi="Gill Sans MT"/>
          <w:sz w:val="18"/>
        </w:rPr>
      </w:pPr>
      <w:r>
        <w:rPr>
          <w:rFonts w:ascii="Gill Sans MT" w:hAnsi="Gill Sans MT"/>
          <w:color w:val="231F20"/>
          <w:w w:val="110"/>
          <w:sz w:val="18"/>
        </w:rPr>
        <w:t xml:space="preserve">The neo-nazi Hexel-Hepp Group bombs the u.S. Army Base in Hessen. </w:t>
      </w:r>
      <w:r>
        <w:rPr>
          <w:rFonts w:ascii="Gill Sans MT" w:hAnsi="Gill Sans MT"/>
          <w:color w:val="231F20"/>
          <w:spacing w:val="-7"/>
          <w:w w:val="110"/>
          <w:sz w:val="18"/>
        </w:rPr>
        <w:t xml:space="preserve">Two </w:t>
      </w:r>
      <w:r>
        <w:rPr>
          <w:rFonts w:ascii="Gill Sans MT" w:hAnsi="Gill Sans MT"/>
          <w:color w:val="231F20"/>
          <w:w w:val="110"/>
          <w:sz w:val="18"/>
        </w:rPr>
        <w:t xml:space="preserve">GIs are seriously injured. Many people on the left originally applaud the action, believing it was carried out by the RZ. Both the RZ and </w:t>
      </w:r>
      <w:r w:rsidR="00C507A5">
        <w:rPr>
          <w:rFonts w:ascii="Gill Sans MT" w:hAnsi="Gill Sans MT"/>
          <w:color w:val="231F20"/>
          <w:w w:val="110"/>
          <w:sz w:val="18"/>
        </w:rPr>
        <w:t>red army faction</w:t>
      </w:r>
      <w:r>
        <w:rPr>
          <w:rFonts w:ascii="Gill Sans MT" w:hAnsi="Gill Sans MT"/>
          <w:color w:val="231F20"/>
          <w:w w:val="110"/>
          <w:sz w:val="18"/>
        </w:rPr>
        <w:t xml:space="preserve"> prisoner Christian Klar issue statements pointing out operational indicators that the action came from the</w:t>
      </w:r>
      <w:r>
        <w:rPr>
          <w:rFonts w:ascii="Gill Sans MT" w:hAnsi="Gill Sans MT"/>
          <w:color w:val="231F20"/>
          <w:spacing w:val="-3"/>
          <w:w w:val="110"/>
          <w:sz w:val="18"/>
        </w:rPr>
        <w:t xml:space="preserve"> </w:t>
      </w:r>
      <w:r>
        <w:rPr>
          <w:rFonts w:ascii="Gill Sans MT" w:hAnsi="Gill Sans MT"/>
          <w:color w:val="231F20"/>
          <w:w w:val="110"/>
          <w:sz w:val="18"/>
        </w:rPr>
        <w:t xml:space="preserve">right and criticize the superficiality of the </w:t>
      </w:r>
      <w:r>
        <w:rPr>
          <w:rFonts w:ascii="Gill Sans MT" w:hAnsi="Gill Sans MT"/>
          <w:color w:val="231F20"/>
          <w:spacing w:val="-3"/>
          <w:w w:val="110"/>
          <w:sz w:val="18"/>
        </w:rPr>
        <w:t xml:space="preserve">left’s </w:t>
      </w:r>
      <w:r>
        <w:rPr>
          <w:rFonts w:ascii="Gill Sans MT" w:hAnsi="Gill Sans MT"/>
          <w:color w:val="231F20"/>
          <w:w w:val="110"/>
          <w:sz w:val="18"/>
        </w:rPr>
        <w:t>analysis of the action, establishing the  difference between anti-Americanism and anti-imperialism.</w:t>
      </w:r>
    </w:p>
    <w:p w14:paraId="6E2091AE" w14:textId="77777777" w:rsidR="002653E8" w:rsidRDefault="002653E8">
      <w:pPr>
        <w:spacing w:line="276" w:lineRule="auto"/>
        <w:rPr>
          <w:rFonts w:ascii="Gill Sans MT" w:hAnsi="Gill Sans MT"/>
          <w:sz w:val="18"/>
        </w:rPr>
        <w:sectPr w:rsidR="002653E8">
          <w:footerReference w:type="even" r:id="rId530"/>
          <w:pgSz w:w="8640" w:h="12960"/>
          <w:pgMar w:top="1060" w:right="0" w:bottom="280" w:left="0" w:header="0" w:footer="0" w:gutter="0"/>
          <w:cols w:num="2" w:space="720" w:equalWidth="0">
            <w:col w:w="4284" w:space="40"/>
            <w:col w:w="4316"/>
          </w:cols>
        </w:sectPr>
      </w:pPr>
    </w:p>
    <w:p w14:paraId="7281A849" w14:textId="77777777" w:rsidR="002653E8" w:rsidRDefault="002653E8">
      <w:pPr>
        <w:pStyle w:val="a3"/>
        <w:rPr>
          <w:rFonts w:ascii="Gill Sans MT"/>
        </w:rPr>
      </w:pPr>
    </w:p>
    <w:p w14:paraId="7321DDE5" w14:textId="77777777" w:rsidR="002653E8" w:rsidRDefault="002653E8">
      <w:pPr>
        <w:pStyle w:val="a3"/>
        <w:rPr>
          <w:rFonts w:ascii="Gill Sans MT"/>
        </w:rPr>
      </w:pPr>
    </w:p>
    <w:p w14:paraId="754A9140" w14:textId="77777777" w:rsidR="002653E8" w:rsidRDefault="002653E8">
      <w:pPr>
        <w:rPr>
          <w:rFonts w:ascii="Gill Sans MT"/>
        </w:rPr>
        <w:sectPr w:rsidR="002653E8">
          <w:type w:val="continuous"/>
          <w:pgSz w:w="8640" w:h="12960"/>
          <w:pgMar w:top="0" w:right="0" w:bottom="0" w:left="0" w:header="720" w:footer="720" w:gutter="0"/>
          <w:cols w:space="720"/>
        </w:sectPr>
      </w:pPr>
    </w:p>
    <w:p w14:paraId="48B33637" w14:textId="77777777" w:rsidR="002653E8" w:rsidRDefault="002653E8">
      <w:pPr>
        <w:pStyle w:val="a3"/>
        <w:spacing w:before="1"/>
        <w:rPr>
          <w:rFonts w:ascii="Gill Sans MT"/>
          <w:sz w:val="23"/>
        </w:rPr>
      </w:pPr>
    </w:p>
    <w:p w14:paraId="1E33C076" w14:textId="77777777" w:rsidR="002653E8" w:rsidRDefault="003115E3">
      <w:pPr>
        <w:spacing w:before="1"/>
        <w:ind w:left="1327"/>
        <w:rPr>
          <w:sz w:val="18"/>
        </w:rPr>
      </w:pPr>
      <w:r>
        <w:rPr>
          <w:color w:val="231F20"/>
          <w:w w:val="120"/>
          <w:sz w:val="18"/>
        </w:rPr>
        <w:t>a chronology</w:t>
      </w:r>
      <w:r>
        <w:rPr>
          <w:color w:val="231F20"/>
          <w:sz w:val="18"/>
        </w:rPr>
        <w:t xml:space="preserve"> </w:t>
      </w:r>
    </w:p>
    <w:p w14:paraId="426B3899" w14:textId="77777777" w:rsidR="002653E8" w:rsidRDefault="003115E3">
      <w:pPr>
        <w:spacing w:before="5"/>
        <w:ind w:left="1327"/>
        <w:rPr>
          <w:sz w:val="18"/>
        </w:rPr>
      </w:pPr>
      <w:r>
        <w:rPr>
          <w:color w:val="231F20"/>
          <w:w w:val="105"/>
          <w:sz w:val="18"/>
        </w:rPr>
        <w:t>december 14, 1982</w:t>
      </w:r>
      <w:r>
        <w:rPr>
          <w:color w:val="231F20"/>
          <w:sz w:val="18"/>
        </w:rPr>
        <w:t xml:space="preserve"> </w:t>
      </w:r>
    </w:p>
    <w:p w14:paraId="2667153C" w14:textId="77777777" w:rsidR="002653E8" w:rsidRDefault="003115E3">
      <w:pPr>
        <w:pStyle w:val="a3"/>
        <w:rPr>
          <w:sz w:val="19"/>
        </w:rPr>
      </w:pPr>
      <w:r>
        <w:br w:type="column"/>
      </w:r>
    </w:p>
    <w:p w14:paraId="5BA6557E" w14:textId="77777777" w:rsidR="002653E8" w:rsidRDefault="003115E3">
      <w:pPr>
        <w:ind w:left="1346" w:right="1141"/>
        <w:jc w:val="center"/>
        <w:rPr>
          <w:sz w:val="18"/>
        </w:rPr>
      </w:pPr>
      <w:r>
        <w:rPr>
          <w:color w:val="231F20"/>
          <w:sz w:val="18"/>
        </w:rPr>
        <w:t xml:space="preserve">615 </w:t>
      </w:r>
    </w:p>
    <w:p w14:paraId="172AB38B" w14:textId="77777777" w:rsidR="002653E8" w:rsidRDefault="002653E8">
      <w:pPr>
        <w:jc w:val="center"/>
        <w:rPr>
          <w:sz w:val="18"/>
        </w:rPr>
        <w:sectPr w:rsidR="002653E8">
          <w:type w:val="continuous"/>
          <w:pgSz w:w="8640" w:h="12960"/>
          <w:pgMar w:top="0" w:right="0" w:bottom="0" w:left="0" w:header="720" w:footer="720" w:gutter="0"/>
          <w:cols w:num="2" w:space="720" w:equalWidth="0">
            <w:col w:w="3401" w:space="2413"/>
            <w:col w:w="2826"/>
          </w:cols>
        </w:sectPr>
      </w:pPr>
    </w:p>
    <w:p w14:paraId="5C369D22" w14:textId="77777777" w:rsidR="002653E8" w:rsidRDefault="003115E3">
      <w:pPr>
        <w:pStyle w:val="5"/>
        <w:spacing w:before="77"/>
        <w:ind w:left="1147"/>
      </w:pPr>
      <w:r>
        <w:rPr>
          <w:color w:val="231F20"/>
          <w:w w:val="120"/>
        </w:rPr>
        <w:lastRenderedPageBreak/>
        <w:t>1984</w:t>
      </w:r>
    </w:p>
    <w:p w14:paraId="3636FFB0" w14:textId="77777777" w:rsidR="002653E8" w:rsidRDefault="003115E3">
      <w:pPr>
        <w:spacing w:before="12"/>
        <w:ind w:left="1147"/>
        <w:rPr>
          <w:rFonts w:ascii="Arial"/>
          <w:b/>
          <w:sz w:val="18"/>
        </w:rPr>
      </w:pPr>
      <w:r>
        <w:rPr>
          <w:rFonts w:ascii="Arial"/>
          <w:b/>
          <w:color w:val="231F20"/>
          <w:w w:val="120"/>
          <w:sz w:val="18"/>
        </w:rPr>
        <w:t>May 7, 1984</w:t>
      </w:r>
    </w:p>
    <w:p w14:paraId="76FBD0B6" w14:textId="77777777" w:rsidR="002653E8" w:rsidRDefault="003115E3">
      <w:pPr>
        <w:spacing w:before="34" w:line="276" w:lineRule="auto"/>
        <w:ind w:left="1147" w:right="9"/>
        <w:rPr>
          <w:rFonts w:ascii="Gill Sans MT" w:hAnsi="Gill Sans MT"/>
          <w:sz w:val="18"/>
        </w:rPr>
      </w:pPr>
      <w:r>
        <w:rPr>
          <w:rFonts w:ascii="Gill Sans MT" w:hAnsi="Gill Sans MT"/>
          <w:color w:val="231F20"/>
          <w:w w:val="115"/>
          <w:sz w:val="18"/>
        </w:rPr>
        <w:t xml:space="preserve">The Stuttgart OLG sentences </w:t>
      </w:r>
      <w:r w:rsidR="00C507A5">
        <w:rPr>
          <w:rFonts w:ascii="Gill Sans MT" w:hAnsi="Gill Sans MT"/>
          <w:color w:val="231F20"/>
          <w:w w:val="115"/>
          <w:sz w:val="18"/>
        </w:rPr>
        <w:t>red army faction</w:t>
      </w:r>
      <w:r>
        <w:rPr>
          <w:rFonts w:ascii="Gill Sans MT" w:hAnsi="Gill Sans MT"/>
          <w:color w:val="231F20"/>
          <w:w w:val="115"/>
          <w:sz w:val="18"/>
        </w:rPr>
        <w:t xml:space="preserve"> member Peter-Jürgen Boock to three</w:t>
      </w:r>
      <w:r>
        <w:rPr>
          <w:rFonts w:ascii="Gill Sans MT" w:hAnsi="Gill Sans MT"/>
          <w:color w:val="231F20"/>
          <w:spacing w:val="-23"/>
          <w:w w:val="115"/>
          <w:sz w:val="18"/>
        </w:rPr>
        <w:t xml:space="preserve"> </w:t>
      </w:r>
      <w:r>
        <w:rPr>
          <w:rFonts w:ascii="Gill Sans MT" w:hAnsi="Gill Sans MT"/>
          <w:color w:val="231F20"/>
          <w:w w:val="115"/>
          <w:sz w:val="18"/>
        </w:rPr>
        <w:t>times</w:t>
      </w:r>
      <w:r>
        <w:rPr>
          <w:rFonts w:ascii="Gill Sans MT" w:hAnsi="Gill Sans MT"/>
          <w:color w:val="231F20"/>
          <w:spacing w:val="-23"/>
          <w:w w:val="115"/>
          <w:sz w:val="18"/>
        </w:rPr>
        <w:t xml:space="preserve"> </w:t>
      </w:r>
      <w:r>
        <w:rPr>
          <w:rFonts w:ascii="Gill Sans MT" w:hAnsi="Gill Sans MT"/>
          <w:color w:val="231F20"/>
          <w:w w:val="115"/>
          <w:sz w:val="18"/>
        </w:rPr>
        <w:t>life</w:t>
      </w:r>
      <w:r>
        <w:rPr>
          <w:rFonts w:ascii="Gill Sans MT" w:hAnsi="Gill Sans MT"/>
          <w:color w:val="231F20"/>
          <w:spacing w:val="-23"/>
          <w:w w:val="115"/>
          <w:sz w:val="18"/>
        </w:rPr>
        <w:t xml:space="preserve"> </w:t>
      </w:r>
      <w:r>
        <w:rPr>
          <w:rFonts w:ascii="Gill Sans MT" w:hAnsi="Gill Sans MT"/>
          <w:color w:val="231F20"/>
          <w:w w:val="115"/>
          <w:sz w:val="18"/>
        </w:rPr>
        <w:t>plus</w:t>
      </w:r>
      <w:r>
        <w:rPr>
          <w:rFonts w:ascii="Gill Sans MT" w:hAnsi="Gill Sans MT"/>
          <w:color w:val="231F20"/>
          <w:spacing w:val="-23"/>
          <w:w w:val="115"/>
          <w:sz w:val="18"/>
        </w:rPr>
        <w:t xml:space="preserve"> </w:t>
      </w:r>
      <w:r>
        <w:rPr>
          <w:rFonts w:ascii="Gill Sans MT" w:hAnsi="Gill Sans MT"/>
          <w:color w:val="231F20"/>
          <w:w w:val="115"/>
          <w:sz w:val="18"/>
        </w:rPr>
        <w:t>fifteen</w:t>
      </w:r>
      <w:r>
        <w:rPr>
          <w:rFonts w:ascii="Gill Sans MT" w:hAnsi="Gill Sans MT"/>
          <w:color w:val="231F20"/>
          <w:spacing w:val="-23"/>
          <w:w w:val="115"/>
          <w:sz w:val="18"/>
        </w:rPr>
        <w:t xml:space="preserve"> </w:t>
      </w:r>
      <w:r>
        <w:rPr>
          <w:rFonts w:ascii="Gill Sans MT" w:hAnsi="Gill Sans MT"/>
          <w:color w:val="231F20"/>
          <w:w w:val="115"/>
          <w:sz w:val="18"/>
        </w:rPr>
        <w:t>years</w:t>
      </w:r>
      <w:r>
        <w:rPr>
          <w:rFonts w:ascii="Gill Sans MT" w:hAnsi="Gill Sans MT"/>
          <w:color w:val="231F20"/>
          <w:spacing w:val="-23"/>
          <w:w w:val="115"/>
          <w:sz w:val="18"/>
        </w:rPr>
        <w:t xml:space="preserve"> </w:t>
      </w:r>
      <w:r>
        <w:rPr>
          <w:rFonts w:ascii="Gill Sans MT" w:hAnsi="Gill Sans MT"/>
          <w:color w:val="231F20"/>
          <w:w w:val="115"/>
          <w:sz w:val="18"/>
        </w:rPr>
        <w:t>for his</w:t>
      </w:r>
      <w:r>
        <w:rPr>
          <w:rFonts w:ascii="Gill Sans MT" w:hAnsi="Gill Sans MT"/>
          <w:color w:val="231F20"/>
          <w:spacing w:val="-25"/>
          <w:w w:val="115"/>
          <w:sz w:val="18"/>
        </w:rPr>
        <w:t xml:space="preserve"> </w:t>
      </w:r>
      <w:r>
        <w:rPr>
          <w:rFonts w:ascii="Gill Sans MT" w:hAnsi="Gill Sans MT"/>
          <w:color w:val="231F20"/>
          <w:w w:val="115"/>
          <w:sz w:val="18"/>
        </w:rPr>
        <w:t>role</w:t>
      </w:r>
      <w:r>
        <w:rPr>
          <w:rFonts w:ascii="Gill Sans MT" w:hAnsi="Gill Sans MT"/>
          <w:color w:val="231F20"/>
          <w:spacing w:val="-25"/>
          <w:w w:val="115"/>
          <w:sz w:val="18"/>
        </w:rPr>
        <w:t xml:space="preserve"> </w:t>
      </w:r>
      <w:r>
        <w:rPr>
          <w:rFonts w:ascii="Gill Sans MT" w:hAnsi="Gill Sans MT"/>
          <w:color w:val="231F20"/>
          <w:w w:val="115"/>
          <w:sz w:val="18"/>
        </w:rPr>
        <w:t>in</w:t>
      </w:r>
      <w:r>
        <w:rPr>
          <w:rFonts w:ascii="Gill Sans MT" w:hAnsi="Gill Sans MT"/>
          <w:color w:val="231F20"/>
          <w:spacing w:val="-25"/>
          <w:w w:val="115"/>
          <w:sz w:val="18"/>
        </w:rPr>
        <w:t xml:space="preserve"> </w:t>
      </w:r>
      <w:r>
        <w:rPr>
          <w:rFonts w:ascii="Gill Sans MT" w:hAnsi="Gill Sans MT"/>
          <w:color w:val="231F20"/>
          <w:w w:val="115"/>
          <w:sz w:val="18"/>
        </w:rPr>
        <w:t>the</w:t>
      </w:r>
      <w:r>
        <w:rPr>
          <w:rFonts w:ascii="Gill Sans MT" w:hAnsi="Gill Sans MT"/>
          <w:color w:val="231F20"/>
          <w:spacing w:val="-25"/>
          <w:w w:val="115"/>
          <w:sz w:val="18"/>
        </w:rPr>
        <w:t xml:space="preserve"> </w:t>
      </w:r>
      <w:r>
        <w:rPr>
          <w:rFonts w:ascii="Gill Sans MT" w:hAnsi="Gill Sans MT"/>
          <w:color w:val="231F20"/>
          <w:w w:val="115"/>
          <w:sz w:val="18"/>
        </w:rPr>
        <w:t>murders</w:t>
      </w:r>
      <w:r>
        <w:rPr>
          <w:rFonts w:ascii="Gill Sans MT" w:hAnsi="Gill Sans MT"/>
          <w:color w:val="231F20"/>
          <w:spacing w:val="-25"/>
          <w:w w:val="115"/>
          <w:sz w:val="18"/>
        </w:rPr>
        <w:t xml:space="preserve"> </w:t>
      </w:r>
      <w:r>
        <w:rPr>
          <w:rFonts w:ascii="Gill Sans MT" w:hAnsi="Gill Sans MT"/>
          <w:color w:val="231F20"/>
          <w:w w:val="115"/>
          <w:sz w:val="18"/>
        </w:rPr>
        <w:t>of</w:t>
      </w:r>
      <w:r>
        <w:rPr>
          <w:rFonts w:ascii="Gill Sans MT" w:hAnsi="Gill Sans MT"/>
          <w:color w:val="231F20"/>
          <w:spacing w:val="-25"/>
          <w:w w:val="115"/>
          <w:sz w:val="18"/>
        </w:rPr>
        <w:t xml:space="preserve"> </w:t>
      </w:r>
      <w:r>
        <w:rPr>
          <w:rFonts w:ascii="Gill Sans MT" w:hAnsi="Gill Sans MT"/>
          <w:color w:val="231F20"/>
          <w:w w:val="115"/>
          <w:sz w:val="18"/>
        </w:rPr>
        <w:t>Ponto</w:t>
      </w:r>
      <w:r>
        <w:rPr>
          <w:rFonts w:ascii="Gill Sans MT" w:hAnsi="Gill Sans MT"/>
          <w:color w:val="231F20"/>
          <w:spacing w:val="-25"/>
          <w:w w:val="115"/>
          <w:sz w:val="18"/>
        </w:rPr>
        <w:t xml:space="preserve"> </w:t>
      </w:r>
      <w:r>
        <w:rPr>
          <w:rFonts w:ascii="Gill Sans MT" w:hAnsi="Gill Sans MT"/>
          <w:color w:val="231F20"/>
          <w:w w:val="115"/>
          <w:sz w:val="18"/>
        </w:rPr>
        <w:t>and Schleyer.</w:t>
      </w:r>
    </w:p>
    <w:p w14:paraId="3582C4CA" w14:textId="77777777" w:rsidR="002653E8" w:rsidRDefault="002653E8">
      <w:pPr>
        <w:pStyle w:val="a3"/>
        <w:spacing w:before="6"/>
        <w:rPr>
          <w:rFonts w:ascii="Gill Sans MT"/>
        </w:rPr>
      </w:pPr>
    </w:p>
    <w:p w14:paraId="74C437CC" w14:textId="77777777" w:rsidR="002653E8" w:rsidRDefault="003115E3">
      <w:pPr>
        <w:spacing w:before="1"/>
        <w:ind w:left="1147"/>
        <w:rPr>
          <w:rFonts w:ascii="Arial"/>
          <w:b/>
          <w:sz w:val="18"/>
        </w:rPr>
      </w:pPr>
      <w:r>
        <w:rPr>
          <w:rFonts w:ascii="Arial"/>
          <w:b/>
          <w:color w:val="231F20"/>
          <w:w w:val="115"/>
          <w:sz w:val="18"/>
        </w:rPr>
        <w:t>Summer 1984</w:t>
      </w:r>
    </w:p>
    <w:p w14:paraId="269D72B7" w14:textId="77777777" w:rsidR="002653E8" w:rsidRDefault="003115E3">
      <w:pPr>
        <w:spacing w:before="34" w:line="276" w:lineRule="auto"/>
        <w:ind w:left="1147" w:right="277"/>
        <w:rPr>
          <w:rFonts w:ascii="Gill Sans MT" w:hAnsi="Gill Sans MT"/>
          <w:sz w:val="18"/>
        </w:rPr>
      </w:pPr>
      <w:r>
        <w:rPr>
          <w:rFonts w:ascii="Gill Sans MT" w:hAnsi="Gill Sans MT"/>
          <w:color w:val="231F20"/>
          <w:w w:val="115"/>
          <w:sz w:val="18"/>
        </w:rPr>
        <w:t>Members</w:t>
      </w:r>
      <w:r>
        <w:rPr>
          <w:rFonts w:ascii="Gill Sans MT" w:hAnsi="Gill Sans MT"/>
          <w:color w:val="231F20"/>
          <w:spacing w:val="-29"/>
          <w:w w:val="115"/>
          <w:sz w:val="18"/>
        </w:rPr>
        <w:t xml:space="preserve"> </w:t>
      </w:r>
      <w:r>
        <w:rPr>
          <w:rFonts w:ascii="Gill Sans MT" w:hAnsi="Gill Sans MT"/>
          <w:color w:val="231F20"/>
          <w:w w:val="115"/>
          <w:sz w:val="18"/>
        </w:rPr>
        <w:t>of</w:t>
      </w:r>
      <w:r>
        <w:rPr>
          <w:rFonts w:ascii="Gill Sans MT" w:hAnsi="Gill Sans MT"/>
          <w:color w:val="231F20"/>
          <w:spacing w:val="-29"/>
          <w:w w:val="115"/>
          <w:sz w:val="18"/>
        </w:rPr>
        <w:t xml:space="preserve"> </w:t>
      </w:r>
      <w:r>
        <w:rPr>
          <w:rFonts w:ascii="Gill Sans MT" w:hAnsi="Gill Sans MT"/>
          <w:color w:val="231F20"/>
          <w:w w:val="115"/>
          <w:sz w:val="18"/>
        </w:rPr>
        <w:t>the</w:t>
      </w:r>
      <w:r>
        <w:rPr>
          <w:rFonts w:ascii="Gill Sans MT" w:hAnsi="Gill Sans MT"/>
          <w:color w:val="231F20"/>
          <w:spacing w:val="-29"/>
          <w:w w:val="115"/>
          <w:sz w:val="18"/>
        </w:rPr>
        <w:t xml:space="preserve"> </w:t>
      </w:r>
      <w:r>
        <w:rPr>
          <w:rFonts w:ascii="Gill Sans MT" w:hAnsi="Gill Sans MT"/>
          <w:color w:val="231F20"/>
          <w:w w:val="115"/>
          <w:sz w:val="18"/>
        </w:rPr>
        <w:t>“anti-imperialist resistance” including Birgit Hogefeld and Wolfgang Grams go underground, rejuvenating a dwindling</w:t>
      </w:r>
      <w:r>
        <w:rPr>
          <w:rFonts w:ascii="Gill Sans MT" w:hAnsi="Gill Sans MT"/>
          <w:color w:val="231F20"/>
          <w:spacing w:val="-8"/>
          <w:w w:val="115"/>
          <w:sz w:val="18"/>
        </w:rPr>
        <w:t xml:space="preserve"> </w:t>
      </w:r>
      <w:r w:rsidR="00C507A5">
        <w:rPr>
          <w:rFonts w:ascii="Gill Sans MT" w:hAnsi="Gill Sans MT"/>
          <w:color w:val="231F20"/>
          <w:spacing w:val="-8"/>
          <w:w w:val="115"/>
          <w:sz w:val="18"/>
        </w:rPr>
        <w:t>red army faction</w:t>
      </w:r>
      <w:r>
        <w:rPr>
          <w:rFonts w:ascii="Gill Sans MT" w:hAnsi="Gill Sans MT"/>
          <w:color w:val="231F20"/>
          <w:spacing w:val="-8"/>
          <w:w w:val="115"/>
          <w:sz w:val="18"/>
        </w:rPr>
        <w:t>.</w:t>
      </w:r>
    </w:p>
    <w:p w14:paraId="014695A6" w14:textId="77777777" w:rsidR="002653E8" w:rsidRDefault="002653E8">
      <w:pPr>
        <w:pStyle w:val="a3"/>
        <w:spacing w:before="6"/>
        <w:rPr>
          <w:rFonts w:ascii="Gill Sans MT"/>
        </w:rPr>
      </w:pPr>
    </w:p>
    <w:p w14:paraId="0BE7B981" w14:textId="77777777" w:rsidR="002653E8" w:rsidRDefault="003115E3">
      <w:pPr>
        <w:spacing w:before="1"/>
        <w:ind w:left="1147"/>
        <w:rPr>
          <w:rFonts w:ascii="Arial"/>
          <w:b/>
          <w:sz w:val="18"/>
        </w:rPr>
      </w:pPr>
      <w:r>
        <w:rPr>
          <w:rFonts w:ascii="Arial"/>
          <w:b/>
          <w:color w:val="231F20"/>
          <w:w w:val="115"/>
          <w:sz w:val="18"/>
        </w:rPr>
        <w:t>July 2, 1984</w:t>
      </w:r>
    </w:p>
    <w:p w14:paraId="53C4462E" w14:textId="77777777" w:rsidR="002653E8" w:rsidRDefault="00C507A5">
      <w:pPr>
        <w:spacing w:before="34" w:line="276" w:lineRule="auto"/>
        <w:ind w:left="1147" w:right="277"/>
        <w:rPr>
          <w:rFonts w:ascii="Gill Sans MT"/>
          <w:sz w:val="18"/>
        </w:rPr>
      </w:pPr>
      <w:r>
        <w:rPr>
          <w:rFonts w:ascii="Gill Sans MT"/>
          <w:color w:val="231F20"/>
          <w:w w:val="115"/>
          <w:sz w:val="18"/>
        </w:rPr>
        <w:t>red army faction</w:t>
      </w:r>
      <w:r w:rsidR="003115E3">
        <w:rPr>
          <w:rFonts w:ascii="Gill Sans MT"/>
          <w:color w:val="231F20"/>
          <w:w w:val="115"/>
          <w:sz w:val="18"/>
        </w:rPr>
        <w:t xml:space="preserve"> members Helmut Pohl, Christa</w:t>
      </w:r>
      <w:r w:rsidR="003115E3">
        <w:rPr>
          <w:rFonts w:ascii="Gill Sans MT"/>
          <w:color w:val="231F20"/>
          <w:spacing w:val="-23"/>
          <w:w w:val="115"/>
          <w:sz w:val="18"/>
        </w:rPr>
        <w:t xml:space="preserve"> </w:t>
      </w:r>
      <w:r w:rsidR="003115E3">
        <w:rPr>
          <w:rFonts w:ascii="Gill Sans MT"/>
          <w:color w:val="231F20"/>
          <w:w w:val="115"/>
          <w:sz w:val="18"/>
        </w:rPr>
        <w:t>Eckes,</w:t>
      </w:r>
      <w:r w:rsidR="003115E3">
        <w:rPr>
          <w:rFonts w:ascii="Gill Sans MT"/>
          <w:color w:val="231F20"/>
          <w:spacing w:val="-23"/>
          <w:w w:val="115"/>
          <w:sz w:val="18"/>
        </w:rPr>
        <w:t xml:space="preserve"> </w:t>
      </w:r>
      <w:r w:rsidR="003115E3">
        <w:rPr>
          <w:rFonts w:ascii="Gill Sans MT"/>
          <w:color w:val="231F20"/>
          <w:w w:val="115"/>
          <w:sz w:val="18"/>
        </w:rPr>
        <w:t>Stefan</w:t>
      </w:r>
      <w:r w:rsidR="003115E3">
        <w:rPr>
          <w:rFonts w:ascii="Gill Sans MT"/>
          <w:color w:val="231F20"/>
          <w:spacing w:val="-23"/>
          <w:w w:val="115"/>
          <w:sz w:val="18"/>
        </w:rPr>
        <w:t xml:space="preserve"> </w:t>
      </w:r>
      <w:r w:rsidR="003115E3">
        <w:rPr>
          <w:rFonts w:ascii="Gill Sans MT"/>
          <w:color w:val="231F20"/>
          <w:spacing w:val="-4"/>
          <w:w w:val="115"/>
          <w:sz w:val="18"/>
        </w:rPr>
        <w:t>Frey,</w:t>
      </w:r>
      <w:r w:rsidR="003115E3">
        <w:rPr>
          <w:rFonts w:ascii="Gill Sans MT"/>
          <w:color w:val="231F20"/>
          <w:spacing w:val="-23"/>
          <w:w w:val="115"/>
          <w:sz w:val="18"/>
        </w:rPr>
        <w:t xml:space="preserve"> </w:t>
      </w:r>
      <w:r w:rsidR="003115E3">
        <w:rPr>
          <w:rFonts w:ascii="Gill Sans MT"/>
          <w:color w:val="231F20"/>
          <w:w w:val="115"/>
          <w:sz w:val="18"/>
        </w:rPr>
        <w:t>Ingrid Jakobsmeier,</w:t>
      </w:r>
      <w:r w:rsidR="003115E3">
        <w:rPr>
          <w:rFonts w:ascii="Gill Sans MT"/>
          <w:color w:val="231F20"/>
          <w:spacing w:val="-19"/>
          <w:w w:val="115"/>
          <w:sz w:val="18"/>
        </w:rPr>
        <w:t xml:space="preserve"> </w:t>
      </w:r>
      <w:r w:rsidR="003115E3">
        <w:rPr>
          <w:rFonts w:ascii="Gill Sans MT"/>
          <w:color w:val="231F20"/>
          <w:w w:val="115"/>
          <w:sz w:val="18"/>
        </w:rPr>
        <w:t>Barbara</w:t>
      </w:r>
      <w:r w:rsidR="003115E3">
        <w:rPr>
          <w:rFonts w:ascii="Gill Sans MT"/>
          <w:color w:val="231F20"/>
          <w:spacing w:val="-19"/>
          <w:w w:val="115"/>
          <w:sz w:val="18"/>
        </w:rPr>
        <w:t xml:space="preserve"> </w:t>
      </w:r>
      <w:r w:rsidR="003115E3">
        <w:rPr>
          <w:rFonts w:ascii="Gill Sans MT"/>
          <w:color w:val="231F20"/>
          <w:w w:val="115"/>
          <w:sz w:val="18"/>
        </w:rPr>
        <w:t>Ernst,</w:t>
      </w:r>
      <w:r w:rsidR="003115E3">
        <w:rPr>
          <w:rFonts w:ascii="Gill Sans MT"/>
          <w:color w:val="231F20"/>
          <w:spacing w:val="-19"/>
          <w:w w:val="115"/>
          <w:sz w:val="18"/>
        </w:rPr>
        <w:t xml:space="preserve"> </w:t>
      </w:r>
      <w:r w:rsidR="003115E3">
        <w:rPr>
          <w:rFonts w:ascii="Gill Sans MT"/>
          <w:color w:val="231F20"/>
          <w:w w:val="115"/>
          <w:sz w:val="18"/>
        </w:rPr>
        <w:t>and Ernst-Volker</w:t>
      </w:r>
      <w:r w:rsidR="003115E3">
        <w:rPr>
          <w:rFonts w:ascii="Gill Sans MT"/>
          <w:color w:val="231F20"/>
          <w:spacing w:val="-32"/>
          <w:w w:val="115"/>
          <w:sz w:val="18"/>
        </w:rPr>
        <w:t xml:space="preserve"> </w:t>
      </w:r>
      <w:r w:rsidR="003115E3">
        <w:rPr>
          <w:rFonts w:ascii="Gill Sans MT"/>
          <w:color w:val="231F20"/>
          <w:w w:val="115"/>
          <w:sz w:val="18"/>
        </w:rPr>
        <w:t>Staub</w:t>
      </w:r>
      <w:r w:rsidR="003115E3">
        <w:rPr>
          <w:rFonts w:ascii="Gill Sans MT"/>
          <w:color w:val="231F20"/>
          <w:spacing w:val="-32"/>
          <w:w w:val="115"/>
          <w:sz w:val="18"/>
        </w:rPr>
        <w:t xml:space="preserve"> </w:t>
      </w:r>
      <w:r w:rsidR="003115E3">
        <w:rPr>
          <w:rFonts w:ascii="Gill Sans MT"/>
          <w:color w:val="231F20"/>
          <w:w w:val="115"/>
          <w:sz w:val="18"/>
        </w:rPr>
        <w:t>are</w:t>
      </w:r>
      <w:r w:rsidR="003115E3">
        <w:rPr>
          <w:rFonts w:ascii="Gill Sans MT"/>
          <w:color w:val="231F20"/>
          <w:spacing w:val="-32"/>
          <w:w w:val="115"/>
          <w:sz w:val="18"/>
        </w:rPr>
        <w:t xml:space="preserve"> </w:t>
      </w:r>
      <w:r w:rsidR="003115E3">
        <w:rPr>
          <w:rFonts w:ascii="Gill Sans MT"/>
          <w:color w:val="231F20"/>
          <w:w w:val="115"/>
          <w:sz w:val="18"/>
        </w:rPr>
        <w:t>arrested in Frankfurt after one of them accidentally discharges a gun into</w:t>
      </w:r>
      <w:r w:rsidR="003115E3">
        <w:rPr>
          <w:rFonts w:ascii="Gill Sans MT"/>
          <w:color w:val="231F20"/>
          <w:spacing w:val="-21"/>
          <w:w w:val="115"/>
          <w:sz w:val="18"/>
        </w:rPr>
        <w:t xml:space="preserve"> </w:t>
      </w:r>
      <w:r w:rsidR="003115E3">
        <w:rPr>
          <w:rFonts w:ascii="Gill Sans MT"/>
          <w:color w:val="231F20"/>
          <w:w w:val="115"/>
          <w:sz w:val="18"/>
        </w:rPr>
        <w:t>the</w:t>
      </w:r>
      <w:r w:rsidR="003115E3">
        <w:rPr>
          <w:rFonts w:ascii="Gill Sans MT"/>
          <w:color w:val="231F20"/>
          <w:spacing w:val="-21"/>
          <w:w w:val="115"/>
          <w:sz w:val="18"/>
        </w:rPr>
        <w:t xml:space="preserve"> </w:t>
      </w:r>
      <w:r w:rsidR="003115E3">
        <w:rPr>
          <w:rFonts w:ascii="Gill Sans MT"/>
          <w:color w:val="231F20"/>
          <w:w w:val="115"/>
          <w:sz w:val="18"/>
        </w:rPr>
        <w:t>apartment</w:t>
      </w:r>
      <w:r w:rsidR="003115E3">
        <w:rPr>
          <w:rFonts w:ascii="Gill Sans MT"/>
          <w:color w:val="231F20"/>
          <w:spacing w:val="-21"/>
          <w:w w:val="115"/>
          <w:sz w:val="18"/>
        </w:rPr>
        <w:t xml:space="preserve"> </w:t>
      </w:r>
      <w:r w:rsidR="003115E3">
        <w:rPr>
          <w:rFonts w:ascii="Gill Sans MT"/>
          <w:color w:val="231F20"/>
          <w:w w:val="115"/>
          <w:sz w:val="18"/>
        </w:rPr>
        <w:t>below</w:t>
      </w:r>
      <w:r w:rsidR="003115E3">
        <w:rPr>
          <w:rFonts w:ascii="Gill Sans MT"/>
          <w:color w:val="231F20"/>
          <w:spacing w:val="-21"/>
          <w:w w:val="115"/>
          <w:sz w:val="18"/>
        </w:rPr>
        <w:t xml:space="preserve"> </w:t>
      </w:r>
      <w:r w:rsidR="003115E3">
        <w:rPr>
          <w:rFonts w:ascii="Gill Sans MT"/>
          <w:color w:val="231F20"/>
          <w:w w:val="115"/>
          <w:sz w:val="18"/>
        </w:rPr>
        <w:t>their</w:t>
      </w:r>
    </w:p>
    <w:p w14:paraId="2BC54085" w14:textId="77777777" w:rsidR="002653E8" w:rsidRDefault="003115E3">
      <w:pPr>
        <w:spacing w:line="273" w:lineRule="auto"/>
        <w:ind w:left="1147"/>
        <w:rPr>
          <w:rFonts w:ascii="Gill Sans MT" w:hAnsi="Gill Sans MT"/>
          <w:sz w:val="18"/>
        </w:rPr>
      </w:pPr>
      <w:r>
        <w:rPr>
          <w:rFonts w:ascii="Gill Sans MT" w:hAnsi="Gill Sans MT"/>
          <w:color w:val="231F20"/>
          <w:w w:val="110"/>
          <w:sz w:val="18"/>
        </w:rPr>
        <w:t xml:space="preserve">safehouse. Police find a document entitled </w:t>
      </w:r>
      <w:r>
        <w:rPr>
          <w:rFonts w:ascii="Lucida Sans" w:hAnsi="Lucida Sans"/>
          <w:i/>
          <w:color w:val="231F20"/>
          <w:w w:val="110"/>
          <w:sz w:val="18"/>
        </w:rPr>
        <w:t xml:space="preserve">Acktionspapier </w:t>
      </w:r>
      <w:r>
        <w:rPr>
          <w:rFonts w:ascii="Gill Sans MT" w:hAnsi="Gill Sans MT"/>
          <w:color w:val="231F20"/>
          <w:w w:val="110"/>
          <w:sz w:val="18"/>
        </w:rPr>
        <w:t xml:space="preserve">(Action Paper), directed to members of the “anti-imperialist resistance” working within the context of the Front concept, as spelled out in the </w:t>
      </w:r>
      <w:r w:rsidR="00C507A5">
        <w:rPr>
          <w:rFonts w:ascii="Gill Sans MT" w:hAnsi="Gill Sans MT"/>
          <w:color w:val="231F20"/>
          <w:w w:val="110"/>
          <w:sz w:val="18"/>
        </w:rPr>
        <w:t>red army faction</w:t>
      </w:r>
      <w:r>
        <w:rPr>
          <w:rFonts w:ascii="Gill Sans MT" w:hAnsi="Gill Sans MT"/>
          <w:color w:val="231F20"/>
          <w:w w:val="110"/>
          <w:sz w:val="18"/>
        </w:rPr>
        <w:t>’s 1982 May Paper.</w:t>
      </w:r>
    </w:p>
    <w:p w14:paraId="4948FC64" w14:textId="77777777" w:rsidR="002653E8" w:rsidRDefault="002653E8">
      <w:pPr>
        <w:pStyle w:val="a3"/>
        <w:spacing w:before="2"/>
        <w:rPr>
          <w:rFonts w:ascii="Gill Sans MT"/>
          <w:sz w:val="21"/>
        </w:rPr>
      </w:pPr>
    </w:p>
    <w:p w14:paraId="10076C83" w14:textId="77777777" w:rsidR="002653E8" w:rsidRDefault="003115E3">
      <w:pPr>
        <w:ind w:left="1147"/>
        <w:rPr>
          <w:rFonts w:ascii="Arial"/>
          <w:b/>
          <w:sz w:val="18"/>
        </w:rPr>
      </w:pPr>
      <w:r>
        <w:rPr>
          <w:rFonts w:ascii="Arial"/>
          <w:b/>
          <w:color w:val="231F20"/>
          <w:w w:val="115"/>
          <w:sz w:val="18"/>
        </w:rPr>
        <w:t>November 5, 1984</w:t>
      </w:r>
    </w:p>
    <w:p w14:paraId="07DA8B73" w14:textId="77777777" w:rsidR="002653E8" w:rsidRDefault="003115E3">
      <w:pPr>
        <w:spacing w:before="34" w:line="276" w:lineRule="auto"/>
        <w:ind w:left="1147" w:right="55" w:hanging="1"/>
        <w:rPr>
          <w:rFonts w:ascii="Gill Sans MT"/>
          <w:sz w:val="18"/>
        </w:rPr>
      </w:pPr>
      <w:r>
        <w:rPr>
          <w:rFonts w:ascii="Gill Sans MT"/>
          <w:color w:val="231F20"/>
          <w:w w:val="110"/>
          <w:sz w:val="18"/>
        </w:rPr>
        <w:t xml:space="preserve">The </w:t>
      </w:r>
      <w:r w:rsidR="00C507A5">
        <w:rPr>
          <w:rFonts w:ascii="Gill Sans MT"/>
          <w:color w:val="231F20"/>
          <w:w w:val="110"/>
          <w:sz w:val="18"/>
        </w:rPr>
        <w:t>red army faction</w:t>
      </w:r>
      <w:r>
        <w:rPr>
          <w:rFonts w:ascii="Gill Sans MT"/>
          <w:color w:val="231F20"/>
          <w:w w:val="110"/>
          <w:sz w:val="18"/>
        </w:rPr>
        <w:t xml:space="preserve"> robs a gun shop in Maxdorf for weapons, making off with twenty-two handguns and </w:t>
      </w:r>
      <w:r>
        <w:rPr>
          <w:rFonts w:ascii="Arial"/>
          <w:color w:val="231F20"/>
          <w:w w:val="110"/>
          <w:sz w:val="18"/>
        </w:rPr>
        <w:t>2</w:t>
      </w:r>
      <w:r>
        <w:rPr>
          <w:rFonts w:ascii="Gill Sans MT"/>
          <w:color w:val="231F20"/>
          <w:w w:val="110"/>
          <w:sz w:val="18"/>
        </w:rPr>
        <w:t>,</w:t>
      </w:r>
      <w:r>
        <w:rPr>
          <w:rFonts w:ascii="Arial"/>
          <w:color w:val="231F20"/>
          <w:w w:val="110"/>
          <w:sz w:val="18"/>
        </w:rPr>
        <w:t xml:space="preserve">800 </w:t>
      </w:r>
      <w:r>
        <w:rPr>
          <w:rFonts w:ascii="Gill Sans MT"/>
          <w:color w:val="231F20"/>
          <w:w w:val="110"/>
          <w:sz w:val="18"/>
        </w:rPr>
        <w:t>rounds of ammunition.</w:t>
      </w:r>
    </w:p>
    <w:p w14:paraId="6624748C" w14:textId="77777777" w:rsidR="002653E8" w:rsidRDefault="002653E8">
      <w:pPr>
        <w:pStyle w:val="a3"/>
        <w:spacing w:before="5"/>
        <w:rPr>
          <w:rFonts w:ascii="Gill Sans MT"/>
        </w:rPr>
      </w:pPr>
    </w:p>
    <w:p w14:paraId="1F97FA6D" w14:textId="77777777" w:rsidR="002653E8" w:rsidRDefault="003115E3">
      <w:pPr>
        <w:ind w:left="1147"/>
        <w:rPr>
          <w:rFonts w:ascii="Arial"/>
          <w:b/>
          <w:sz w:val="18"/>
        </w:rPr>
      </w:pPr>
      <w:r>
        <w:rPr>
          <w:rFonts w:ascii="Arial"/>
          <w:b/>
          <w:color w:val="231F20"/>
          <w:w w:val="115"/>
          <w:sz w:val="18"/>
        </w:rPr>
        <w:t>December 1984</w:t>
      </w:r>
    </w:p>
    <w:p w14:paraId="246ED9BA" w14:textId="77777777" w:rsidR="002653E8" w:rsidRDefault="003115E3">
      <w:pPr>
        <w:spacing w:before="34" w:line="271" w:lineRule="auto"/>
        <w:ind w:left="1147" w:right="384"/>
        <w:jc w:val="both"/>
        <w:rPr>
          <w:rFonts w:ascii="Gill Sans MT" w:hAnsi="Gill Sans MT"/>
          <w:sz w:val="18"/>
        </w:rPr>
      </w:pPr>
      <w:r>
        <w:rPr>
          <w:rFonts w:ascii="Gill Sans MT" w:hAnsi="Gill Sans MT"/>
          <w:color w:val="231F20"/>
          <w:w w:val="110"/>
          <w:sz w:val="18"/>
        </w:rPr>
        <w:t>The first issue of the illegal</w:t>
      </w:r>
      <w:r>
        <w:rPr>
          <w:rFonts w:ascii="Gill Sans MT" w:hAnsi="Gill Sans MT"/>
          <w:color w:val="231F20"/>
          <w:spacing w:val="-7"/>
          <w:w w:val="110"/>
          <w:sz w:val="18"/>
        </w:rPr>
        <w:t xml:space="preserve"> </w:t>
      </w:r>
      <w:r w:rsidR="00C507A5">
        <w:rPr>
          <w:rFonts w:ascii="Gill Sans MT" w:hAnsi="Gill Sans MT"/>
          <w:color w:val="231F20"/>
          <w:w w:val="110"/>
          <w:sz w:val="18"/>
        </w:rPr>
        <w:t>red army faction</w:t>
      </w:r>
      <w:r>
        <w:rPr>
          <w:rFonts w:ascii="Gill Sans MT" w:hAnsi="Gill Sans MT"/>
          <w:color w:val="231F20"/>
          <w:w w:val="110"/>
          <w:sz w:val="18"/>
        </w:rPr>
        <w:t xml:space="preserve"> </w:t>
      </w:r>
      <w:r>
        <w:rPr>
          <w:rFonts w:ascii="Gill Sans MT" w:hAnsi="Gill Sans MT"/>
          <w:color w:val="231F20"/>
          <w:w w:val="105"/>
          <w:sz w:val="18"/>
        </w:rPr>
        <w:t xml:space="preserve">support newspaper </w:t>
      </w:r>
      <w:r>
        <w:rPr>
          <w:rFonts w:ascii="Lucida Sans" w:hAnsi="Lucida Sans"/>
          <w:i/>
          <w:color w:val="231F20"/>
          <w:w w:val="105"/>
          <w:sz w:val="18"/>
        </w:rPr>
        <w:t xml:space="preserve">Zusammen </w:t>
      </w:r>
      <w:r>
        <w:rPr>
          <w:rFonts w:ascii="Lucida Sans" w:hAnsi="Lucida Sans"/>
          <w:i/>
          <w:color w:val="231F20"/>
          <w:w w:val="110"/>
          <w:sz w:val="18"/>
        </w:rPr>
        <w:t>kämpfen</w:t>
      </w:r>
      <w:r>
        <w:rPr>
          <w:rFonts w:ascii="Lucida Sans" w:hAnsi="Lucida Sans"/>
          <w:i/>
          <w:color w:val="231F20"/>
          <w:spacing w:val="-36"/>
          <w:w w:val="110"/>
          <w:sz w:val="18"/>
        </w:rPr>
        <w:t xml:space="preserve"> </w:t>
      </w:r>
      <w:r>
        <w:rPr>
          <w:rFonts w:ascii="Gill Sans MT" w:hAnsi="Gill Sans MT"/>
          <w:color w:val="231F20"/>
          <w:w w:val="110"/>
          <w:sz w:val="18"/>
        </w:rPr>
        <w:t>(Struggling</w:t>
      </w:r>
      <w:r>
        <w:rPr>
          <w:rFonts w:ascii="Gill Sans MT" w:hAnsi="Gill Sans MT"/>
          <w:color w:val="231F20"/>
          <w:spacing w:val="-28"/>
          <w:w w:val="110"/>
          <w:sz w:val="18"/>
        </w:rPr>
        <w:t xml:space="preserve"> </w:t>
      </w:r>
      <w:r>
        <w:rPr>
          <w:rFonts w:ascii="Gill Sans MT" w:hAnsi="Gill Sans MT"/>
          <w:color w:val="231F20"/>
          <w:spacing w:val="-3"/>
          <w:w w:val="110"/>
          <w:sz w:val="18"/>
        </w:rPr>
        <w:t xml:space="preserve">Together) </w:t>
      </w:r>
      <w:r>
        <w:rPr>
          <w:rFonts w:ascii="Gill Sans MT" w:hAnsi="Gill Sans MT"/>
          <w:color w:val="231F20"/>
          <w:w w:val="110"/>
          <w:sz w:val="18"/>
        </w:rPr>
        <w:t>comes</w:t>
      </w:r>
      <w:r>
        <w:rPr>
          <w:rFonts w:ascii="Gill Sans MT" w:hAnsi="Gill Sans MT"/>
          <w:color w:val="231F20"/>
          <w:spacing w:val="-5"/>
          <w:w w:val="110"/>
          <w:sz w:val="18"/>
        </w:rPr>
        <w:t xml:space="preserve"> </w:t>
      </w:r>
      <w:r>
        <w:rPr>
          <w:rFonts w:ascii="Gill Sans MT" w:hAnsi="Gill Sans MT"/>
          <w:color w:val="231F20"/>
          <w:w w:val="110"/>
          <w:sz w:val="18"/>
        </w:rPr>
        <w:t>out.</w:t>
      </w:r>
    </w:p>
    <w:p w14:paraId="4BA37BE7" w14:textId="77777777" w:rsidR="002653E8" w:rsidRDefault="003115E3">
      <w:pPr>
        <w:spacing w:before="91"/>
        <w:ind w:left="234"/>
        <w:rPr>
          <w:rFonts w:ascii="Arial"/>
          <w:b/>
          <w:sz w:val="18"/>
        </w:rPr>
      </w:pPr>
      <w:r>
        <w:br w:type="column"/>
      </w:r>
      <w:r>
        <w:rPr>
          <w:rFonts w:ascii="Arial"/>
          <w:b/>
          <w:color w:val="231F20"/>
          <w:w w:val="115"/>
          <w:sz w:val="18"/>
        </w:rPr>
        <w:t>December 4, 1984</w:t>
      </w:r>
    </w:p>
    <w:p w14:paraId="59D523C2" w14:textId="77777777" w:rsidR="002653E8" w:rsidRDefault="00C507A5">
      <w:pPr>
        <w:spacing w:before="34" w:line="276" w:lineRule="auto"/>
        <w:ind w:left="234" w:right="1349"/>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prisoners begin their ninth collective hunger strike, demanding association in large groups and uncensored mail and visits. </w:t>
      </w:r>
      <w:r w:rsidR="003115E3">
        <w:rPr>
          <w:rFonts w:ascii="Gill Sans MT"/>
          <w:color w:val="231F20"/>
          <w:spacing w:val="-7"/>
          <w:w w:val="110"/>
          <w:sz w:val="18"/>
        </w:rPr>
        <w:t xml:space="preserve">Two </w:t>
      </w:r>
      <w:r w:rsidR="003115E3">
        <w:rPr>
          <w:rFonts w:ascii="Gill Sans MT"/>
          <w:color w:val="231F20"/>
          <w:w w:val="110"/>
          <w:sz w:val="18"/>
        </w:rPr>
        <w:t>statements are released, a shorter hunger strike statement and a longer document aimed at the support movement. Within the context of the anti-imperialist Front, dozens of armed attacks will be carried out by supporters during</w:t>
      </w:r>
      <w:r w:rsidR="003115E3">
        <w:rPr>
          <w:rFonts w:ascii="Gill Sans MT"/>
          <w:color w:val="231F20"/>
          <w:spacing w:val="-6"/>
          <w:w w:val="110"/>
          <w:sz w:val="18"/>
        </w:rPr>
        <w:t xml:space="preserve"> </w:t>
      </w:r>
      <w:r w:rsidR="003115E3">
        <w:rPr>
          <w:rFonts w:ascii="Gill Sans MT"/>
          <w:color w:val="231F20"/>
          <w:w w:val="110"/>
          <w:sz w:val="18"/>
        </w:rPr>
        <w:t>the seventy nine days that the prisoners will be on hunger</w:t>
      </w:r>
      <w:r w:rsidR="003115E3">
        <w:rPr>
          <w:rFonts w:ascii="Gill Sans MT"/>
          <w:color w:val="231F20"/>
          <w:spacing w:val="-18"/>
          <w:w w:val="110"/>
          <w:sz w:val="18"/>
        </w:rPr>
        <w:t xml:space="preserve"> </w:t>
      </w:r>
      <w:r w:rsidR="003115E3">
        <w:rPr>
          <w:rFonts w:ascii="Gill Sans MT"/>
          <w:color w:val="231F20"/>
          <w:w w:val="110"/>
          <w:sz w:val="18"/>
        </w:rPr>
        <w:t>strike.</w:t>
      </w:r>
    </w:p>
    <w:p w14:paraId="60C9B752" w14:textId="77777777" w:rsidR="002653E8" w:rsidRDefault="002653E8">
      <w:pPr>
        <w:pStyle w:val="a3"/>
        <w:spacing w:before="5"/>
        <w:rPr>
          <w:rFonts w:ascii="Gill Sans MT"/>
        </w:rPr>
      </w:pPr>
    </w:p>
    <w:p w14:paraId="358AA992" w14:textId="77777777" w:rsidR="002653E8" w:rsidRDefault="003115E3">
      <w:pPr>
        <w:spacing w:before="1"/>
        <w:ind w:left="234"/>
        <w:rPr>
          <w:rFonts w:ascii="Arial"/>
          <w:b/>
          <w:sz w:val="18"/>
        </w:rPr>
      </w:pPr>
      <w:r>
        <w:rPr>
          <w:rFonts w:ascii="Arial"/>
          <w:b/>
          <w:color w:val="231F20"/>
          <w:w w:val="115"/>
          <w:sz w:val="18"/>
        </w:rPr>
        <w:t>December 18, 1984</w:t>
      </w:r>
    </w:p>
    <w:p w14:paraId="23980548" w14:textId="77777777" w:rsidR="002653E8" w:rsidRDefault="003115E3">
      <w:pPr>
        <w:spacing w:before="35" w:line="276" w:lineRule="auto"/>
        <w:ind w:left="234" w:right="1463"/>
        <w:rPr>
          <w:rFonts w:ascii="Gill Sans MT" w:hAnsi="Gill Sans MT"/>
          <w:sz w:val="18"/>
        </w:rPr>
      </w:pPr>
      <w:r>
        <w:rPr>
          <w:rFonts w:ascii="Gill Sans MT" w:hAnsi="Gill Sans MT"/>
          <w:color w:val="231F20"/>
          <w:w w:val="115"/>
          <w:sz w:val="18"/>
        </w:rPr>
        <w:t xml:space="preserve">The </w:t>
      </w:r>
      <w:r w:rsidR="00C507A5">
        <w:rPr>
          <w:rFonts w:ascii="Gill Sans MT" w:hAnsi="Gill Sans MT"/>
          <w:color w:val="231F20"/>
          <w:spacing w:val="-3"/>
          <w:w w:val="115"/>
          <w:sz w:val="18"/>
        </w:rPr>
        <w:t>red army faction</w:t>
      </w:r>
      <w:r>
        <w:rPr>
          <w:rFonts w:ascii="Gill Sans MT" w:hAnsi="Gill Sans MT"/>
          <w:color w:val="231F20"/>
          <w:spacing w:val="-3"/>
          <w:w w:val="115"/>
          <w:sz w:val="18"/>
        </w:rPr>
        <w:t xml:space="preserve">’s </w:t>
      </w:r>
      <w:r>
        <w:rPr>
          <w:rFonts w:ascii="Gill Sans MT" w:hAnsi="Gill Sans MT"/>
          <w:color w:val="231F20"/>
          <w:w w:val="115"/>
          <w:sz w:val="18"/>
        </w:rPr>
        <w:t>Jan-Carl Raspe Commando</w:t>
      </w:r>
      <w:r>
        <w:rPr>
          <w:rFonts w:ascii="Gill Sans MT" w:hAnsi="Gill Sans MT"/>
          <w:color w:val="231F20"/>
          <w:spacing w:val="-25"/>
          <w:w w:val="115"/>
          <w:sz w:val="18"/>
        </w:rPr>
        <w:t xml:space="preserve"> </w:t>
      </w:r>
      <w:r>
        <w:rPr>
          <w:rFonts w:ascii="Gill Sans MT" w:hAnsi="Gill Sans MT"/>
          <w:color w:val="231F20"/>
          <w:w w:val="115"/>
          <w:sz w:val="18"/>
        </w:rPr>
        <w:t>attempts</w:t>
      </w:r>
      <w:r>
        <w:rPr>
          <w:rFonts w:ascii="Gill Sans MT" w:hAnsi="Gill Sans MT"/>
          <w:color w:val="231F20"/>
          <w:spacing w:val="-25"/>
          <w:w w:val="115"/>
          <w:sz w:val="18"/>
        </w:rPr>
        <w:t xml:space="preserve"> </w:t>
      </w:r>
      <w:r>
        <w:rPr>
          <w:rFonts w:ascii="Gill Sans MT" w:hAnsi="Gill Sans MT"/>
          <w:color w:val="231F20"/>
          <w:w w:val="115"/>
          <w:sz w:val="18"/>
        </w:rPr>
        <w:t>to</w:t>
      </w:r>
      <w:r>
        <w:rPr>
          <w:rFonts w:ascii="Gill Sans MT" w:hAnsi="Gill Sans MT"/>
          <w:color w:val="231F20"/>
          <w:spacing w:val="-25"/>
          <w:w w:val="115"/>
          <w:sz w:val="18"/>
        </w:rPr>
        <w:t xml:space="preserve"> </w:t>
      </w:r>
      <w:r>
        <w:rPr>
          <w:rFonts w:ascii="Gill Sans MT" w:hAnsi="Gill Sans MT"/>
          <w:color w:val="231F20"/>
          <w:w w:val="115"/>
          <w:sz w:val="18"/>
        </w:rPr>
        <w:t>bomb</w:t>
      </w:r>
      <w:r>
        <w:rPr>
          <w:rFonts w:ascii="Gill Sans MT" w:hAnsi="Gill Sans MT"/>
          <w:color w:val="231F20"/>
          <w:spacing w:val="-25"/>
          <w:w w:val="115"/>
          <w:sz w:val="18"/>
        </w:rPr>
        <w:t xml:space="preserve"> </w:t>
      </w:r>
      <w:r>
        <w:rPr>
          <w:rFonts w:ascii="Gill Sans MT" w:hAnsi="Gill Sans MT"/>
          <w:color w:val="231F20"/>
          <w:w w:val="115"/>
          <w:sz w:val="18"/>
        </w:rPr>
        <w:t xml:space="preserve">the </w:t>
      </w:r>
      <w:r>
        <w:rPr>
          <w:rFonts w:ascii="Gill Sans MT" w:hAnsi="Gill Sans MT"/>
          <w:color w:val="231F20"/>
          <w:w w:val="110"/>
          <w:sz w:val="18"/>
        </w:rPr>
        <w:t>SHAPE</w:t>
      </w:r>
      <w:r>
        <w:rPr>
          <w:rFonts w:ascii="Gill Sans MT" w:hAnsi="Gill Sans MT"/>
          <w:color w:val="231F20"/>
          <w:spacing w:val="-14"/>
          <w:w w:val="110"/>
          <w:sz w:val="18"/>
        </w:rPr>
        <w:t xml:space="preserve"> </w:t>
      </w:r>
      <w:r>
        <w:rPr>
          <w:rFonts w:ascii="Gill Sans MT" w:hAnsi="Gill Sans MT"/>
          <w:color w:val="231F20"/>
          <w:w w:val="110"/>
          <w:sz w:val="18"/>
        </w:rPr>
        <w:t>School,</w:t>
      </w:r>
      <w:r>
        <w:rPr>
          <w:rFonts w:ascii="Gill Sans MT" w:hAnsi="Gill Sans MT"/>
          <w:color w:val="231F20"/>
          <w:spacing w:val="-14"/>
          <w:w w:val="110"/>
          <w:sz w:val="18"/>
        </w:rPr>
        <w:t xml:space="preserve"> </w:t>
      </w:r>
      <w:r>
        <w:rPr>
          <w:rFonts w:ascii="Gill Sans MT" w:hAnsi="Gill Sans MT"/>
          <w:color w:val="231F20"/>
          <w:w w:val="110"/>
          <w:sz w:val="18"/>
        </w:rPr>
        <w:t>the</w:t>
      </w:r>
      <w:r>
        <w:rPr>
          <w:rFonts w:ascii="Gill Sans MT" w:hAnsi="Gill Sans MT"/>
          <w:color w:val="231F20"/>
          <w:spacing w:val="-14"/>
          <w:w w:val="110"/>
          <w:sz w:val="18"/>
        </w:rPr>
        <w:t xml:space="preserve"> </w:t>
      </w:r>
      <w:r>
        <w:rPr>
          <w:rFonts w:ascii="Gill Sans MT" w:hAnsi="Gill Sans MT"/>
          <w:color w:val="231F20"/>
          <w:spacing w:val="-5"/>
          <w:w w:val="110"/>
          <w:sz w:val="18"/>
        </w:rPr>
        <w:t>NATO</w:t>
      </w:r>
      <w:r>
        <w:rPr>
          <w:rFonts w:ascii="Gill Sans MT" w:hAnsi="Gill Sans MT"/>
          <w:color w:val="231F20"/>
          <w:spacing w:val="-14"/>
          <w:w w:val="110"/>
          <w:sz w:val="18"/>
        </w:rPr>
        <w:t xml:space="preserve"> </w:t>
      </w:r>
      <w:r>
        <w:rPr>
          <w:rFonts w:ascii="Gill Sans MT" w:hAnsi="Gill Sans MT"/>
          <w:color w:val="231F20"/>
          <w:w w:val="110"/>
          <w:sz w:val="18"/>
        </w:rPr>
        <w:t xml:space="preserve">Officers’ </w:t>
      </w:r>
      <w:r>
        <w:rPr>
          <w:rFonts w:ascii="Gill Sans MT" w:hAnsi="Gill Sans MT"/>
          <w:color w:val="231F20"/>
          <w:w w:val="115"/>
          <w:sz w:val="18"/>
        </w:rPr>
        <w:t>School, in Oberammergua. The bomb is discovered and</w:t>
      </w:r>
      <w:r>
        <w:rPr>
          <w:rFonts w:ascii="Gill Sans MT" w:hAnsi="Gill Sans MT"/>
          <w:color w:val="231F20"/>
          <w:spacing w:val="-41"/>
          <w:w w:val="115"/>
          <w:sz w:val="18"/>
        </w:rPr>
        <w:t xml:space="preserve"> </w:t>
      </w:r>
      <w:r>
        <w:rPr>
          <w:rFonts w:ascii="Gill Sans MT" w:hAnsi="Gill Sans MT"/>
          <w:color w:val="231F20"/>
          <w:w w:val="115"/>
          <w:sz w:val="18"/>
        </w:rPr>
        <w:t>defused.</w:t>
      </w:r>
    </w:p>
    <w:p w14:paraId="1A0F5A53" w14:textId="77777777" w:rsidR="002653E8" w:rsidRDefault="002653E8">
      <w:pPr>
        <w:pStyle w:val="a3"/>
        <w:rPr>
          <w:rFonts w:ascii="Gill Sans MT"/>
        </w:rPr>
      </w:pPr>
    </w:p>
    <w:p w14:paraId="5A08DA59" w14:textId="77777777" w:rsidR="002653E8" w:rsidRDefault="002653E8">
      <w:pPr>
        <w:pStyle w:val="a3"/>
        <w:rPr>
          <w:rFonts w:ascii="Gill Sans MT"/>
        </w:rPr>
      </w:pPr>
    </w:p>
    <w:p w14:paraId="20AD6B04" w14:textId="77777777" w:rsidR="002653E8" w:rsidRDefault="003115E3">
      <w:pPr>
        <w:pStyle w:val="5"/>
        <w:ind w:left="234"/>
      </w:pPr>
      <w:r>
        <w:rPr>
          <w:color w:val="231F20"/>
          <w:w w:val="120"/>
        </w:rPr>
        <w:t>1985</w:t>
      </w:r>
    </w:p>
    <w:p w14:paraId="37EF3466" w14:textId="77777777" w:rsidR="002653E8" w:rsidRDefault="003115E3">
      <w:pPr>
        <w:spacing w:before="12" w:line="276" w:lineRule="auto"/>
        <w:ind w:left="234" w:right="1472"/>
        <w:rPr>
          <w:rFonts w:ascii="Gill Sans MT" w:hAnsi="Gill Sans MT"/>
          <w:sz w:val="18"/>
        </w:rPr>
      </w:pPr>
      <w:r>
        <w:rPr>
          <w:rFonts w:ascii="Arial" w:hAnsi="Arial"/>
          <w:color w:val="231F20"/>
          <w:w w:val="110"/>
          <w:sz w:val="18"/>
        </w:rPr>
        <w:t xml:space="preserve">1985 </w:t>
      </w:r>
      <w:r>
        <w:rPr>
          <w:rFonts w:ascii="Gill Sans MT" w:hAnsi="Gill Sans MT"/>
          <w:color w:val="231F20"/>
          <w:w w:val="110"/>
          <w:sz w:val="18"/>
        </w:rPr>
        <w:t xml:space="preserve">sees an ambitious offensive by the anti-imperialist resistance, within the framework of the </w:t>
      </w:r>
      <w:r w:rsidR="00C507A5">
        <w:rPr>
          <w:rFonts w:ascii="Gill Sans MT" w:hAnsi="Gill Sans MT"/>
          <w:color w:val="231F20"/>
          <w:w w:val="110"/>
          <w:sz w:val="18"/>
        </w:rPr>
        <w:t>red army faction</w:t>
      </w:r>
      <w:r>
        <w:rPr>
          <w:rFonts w:ascii="Gill Sans MT" w:hAnsi="Gill Sans MT"/>
          <w:color w:val="231F20"/>
          <w:w w:val="110"/>
          <w:sz w:val="18"/>
        </w:rPr>
        <w:t xml:space="preserve">’s Front concept as spelled out in the </w:t>
      </w:r>
      <w:r>
        <w:rPr>
          <w:rFonts w:ascii="Arial" w:hAnsi="Arial"/>
          <w:color w:val="231F20"/>
          <w:w w:val="110"/>
          <w:sz w:val="18"/>
        </w:rPr>
        <w:t xml:space="preserve">1982 </w:t>
      </w:r>
      <w:r>
        <w:rPr>
          <w:rFonts w:ascii="Gill Sans MT" w:hAnsi="Gill Sans MT"/>
          <w:color w:val="231F20"/>
          <w:w w:val="110"/>
          <w:sz w:val="18"/>
        </w:rPr>
        <w:t>May Paper. Within the first half of the year alone, there are one hundred eleven firebombings and thirty-nine bombings reported by the Minister of the Interior, and for periods of time, daily lowand medium-level attacks.</w:t>
      </w:r>
    </w:p>
    <w:p w14:paraId="6EB9EC84" w14:textId="77777777" w:rsidR="002653E8" w:rsidRDefault="002653E8">
      <w:pPr>
        <w:pStyle w:val="a3"/>
        <w:spacing w:before="4"/>
        <w:rPr>
          <w:rFonts w:ascii="Gill Sans MT"/>
        </w:rPr>
      </w:pPr>
    </w:p>
    <w:p w14:paraId="6DB37E62" w14:textId="77777777" w:rsidR="002653E8" w:rsidRDefault="003115E3">
      <w:pPr>
        <w:ind w:left="234"/>
        <w:rPr>
          <w:rFonts w:ascii="Arial"/>
          <w:b/>
          <w:sz w:val="18"/>
        </w:rPr>
      </w:pPr>
      <w:r>
        <w:rPr>
          <w:rFonts w:ascii="Arial"/>
          <w:b/>
          <w:color w:val="231F20"/>
          <w:w w:val="115"/>
          <w:sz w:val="18"/>
        </w:rPr>
        <w:t>January 15, 1985</w:t>
      </w:r>
    </w:p>
    <w:p w14:paraId="1A046E50" w14:textId="77777777" w:rsidR="002653E8" w:rsidRDefault="003115E3">
      <w:pPr>
        <w:spacing w:before="35" w:line="268" w:lineRule="auto"/>
        <w:ind w:left="234" w:right="1299" w:hanging="1"/>
        <w:rPr>
          <w:rFonts w:ascii="Lucida Sans" w:hAnsi="Lucida Sans"/>
          <w:i/>
          <w:sz w:val="18"/>
        </w:rPr>
      </w:pPr>
      <w:r>
        <w:rPr>
          <w:rFonts w:ascii="Gill Sans MT" w:hAnsi="Gill Sans MT"/>
          <w:color w:val="231F20"/>
          <w:w w:val="105"/>
          <w:sz w:val="18"/>
        </w:rPr>
        <w:t xml:space="preserve">The </w:t>
      </w:r>
      <w:r w:rsidR="00C507A5">
        <w:rPr>
          <w:rFonts w:ascii="Gill Sans MT" w:hAnsi="Gill Sans MT"/>
          <w:color w:val="231F20"/>
          <w:w w:val="105"/>
          <w:sz w:val="18"/>
        </w:rPr>
        <w:t>red army faction</w:t>
      </w:r>
      <w:r>
        <w:rPr>
          <w:rFonts w:ascii="Gill Sans MT" w:hAnsi="Gill Sans MT"/>
          <w:color w:val="231F20"/>
          <w:w w:val="105"/>
          <w:sz w:val="18"/>
        </w:rPr>
        <w:t xml:space="preserve"> issue a bilingual joint statement with the French antiimperialist guerilla group </w:t>
      </w:r>
      <w:r>
        <w:rPr>
          <w:rFonts w:ascii="Lucida Sans" w:hAnsi="Lucida Sans"/>
          <w:i/>
          <w:color w:val="231F20"/>
          <w:w w:val="105"/>
          <w:sz w:val="18"/>
        </w:rPr>
        <w:t xml:space="preserve">Action Directe </w:t>
      </w:r>
      <w:r>
        <w:rPr>
          <w:rFonts w:ascii="Gill Sans MT" w:hAnsi="Gill Sans MT"/>
          <w:color w:val="231F20"/>
          <w:w w:val="105"/>
          <w:sz w:val="18"/>
        </w:rPr>
        <w:t xml:space="preserve">entitled </w:t>
      </w:r>
      <w:r>
        <w:rPr>
          <w:rFonts w:ascii="Lucida Sans" w:hAnsi="Lucida Sans"/>
          <w:i/>
          <w:color w:val="231F20"/>
          <w:w w:val="105"/>
          <w:sz w:val="18"/>
        </w:rPr>
        <w:t xml:space="preserve">pour l’unité des </w:t>
      </w:r>
      <w:r>
        <w:rPr>
          <w:rFonts w:ascii="Lucida Sans" w:hAnsi="Lucida Sans"/>
          <w:i/>
          <w:color w:val="231F20"/>
          <w:w w:val="95"/>
          <w:sz w:val="18"/>
        </w:rPr>
        <w:t>revolutionaires en Europe de l’ouest</w:t>
      </w:r>
    </w:p>
    <w:p w14:paraId="3708BE84" w14:textId="77777777" w:rsidR="002653E8" w:rsidRDefault="002653E8">
      <w:pPr>
        <w:spacing w:line="268" w:lineRule="auto"/>
        <w:rPr>
          <w:rFonts w:ascii="Lucida Sans" w:hAnsi="Lucida Sans"/>
          <w:sz w:val="18"/>
        </w:rPr>
        <w:sectPr w:rsidR="002653E8">
          <w:footerReference w:type="default" r:id="rId531"/>
          <w:pgSz w:w="8640" w:h="12960"/>
          <w:pgMar w:top="1060" w:right="0" w:bottom="280" w:left="0" w:header="0" w:footer="0" w:gutter="0"/>
          <w:cols w:num="2" w:space="720" w:equalWidth="0">
            <w:col w:w="4076" w:space="40"/>
            <w:col w:w="4524"/>
          </w:cols>
        </w:sectPr>
      </w:pPr>
    </w:p>
    <w:p w14:paraId="6581A46B" w14:textId="77777777" w:rsidR="002653E8" w:rsidRDefault="002653E8">
      <w:pPr>
        <w:pStyle w:val="a3"/>
        <w:rPr>
          <w:rFonts w:ascii="Lucida Sans"/>
          <w:i/>
        </w:rPr>
      </w:pPr>
    </w:p>
    <w:p w14:paraId="398D8E3D" w14:textId="77777777" w:rsidR="002653E8" w:rsidRDefault="002653E8">
      <w:pPr>
        <w:pStyle w:val="a3"/>
        <w:spacing w:before="9"/>
        <w:rPr>
          <w:rFonts w:ascii="Lucida Sans"/>
          <w:i/>
          <w:sz w:val="22"/>
        </w:rPr>
      </w:pPr>
    </w:p>
    <w:p w14:paraId="06968D2F" w14:textId="77777777" w:rsidR="002653E8" w:rsidRDefault="003115E3">
      <w:pPr>
        <w:tabs>
          <w:tab w:val="left" w:pos="3677"/>
        </w:tabs>
        <w:spacing w:before="98" w:line="244" w:lineRule="auto"/>
        <w:ind w:left="6051" w:right="1300" w:hanging="4904"/>
        <w:jc w:val="right"/>
        <w:rPr>
          <w:sz w:val="18"/>
        </w:rPr>
      </w:pPr>
      <w:r>
        <w:rPr>
          <w:color w:val="231F20"/>
          <w:spacing w:val="15"/>
          <w:w w:val="110"/>
          <w:position w:val="5"/>
          <w:sz w:val="18"/>
        </w:rPr>
        <w:t>616</w:t>
      </w:r>
      <w:r>
        <w:rPr>
          <w:color w:val="231F20"/>
          <w:spacing w:val="15"/>
          <w:w w:val="110"/>
          <w:position w:val="5"/>
          <w:sz w:val="18"/>
        </w:rPr>
        <w:tab/>
      </w:r>
      <w:r>
        <w:rPr>
          <w:color w:val="231F20"/>
          <w:spacing w:val="20"/>
          <w:w w:val="110"/>
          <w:sz w:val="18"/>
        </w:rPr>
        <w:t xml:space="preserve">armed struggle </w:t>
      </w:r>
      <w:r>
        <w:rPr>
          <w:color w:val="231F20"/>
          <w:spacing w:val="11"/>
          <w:w w:val="110"/>
          <w:sz w:val="18"/>
        </w:rPr>
        <w:t>in</w:t>
      </w:r>
      <w:r>
        <w:rPr>
          <w:color w:val="231F20"/>
          <w:spacing w:val="66"/>
          <w:w w:val="110"/>
          <w:sz w:val="18"/>
        </w:rPr>
        <w:t xml:space="preserve"> </w:t>
      </w:r>
      <w:r>
        <w:rPr>
          <w:color w:val="231F20"/>
          <w:spacing w:val="17"/>
          <w:w w:val="110"/>
          <w:sz w:val="18"/>
        </w:rPr>
        <w:t>west</w:t>
      </w:r>
      <w:r>
        <w:rPr>
          <w:color w:val="231F20"/>
          <w:spacing w:val="36"/>
          <w:w w:val="110"/>
          <w:sz w:val="18"/>
        </w:rPr>
        <w:t xml:space="preserve"> </w:t>
      </w:r>
      <w:r>
        <w:rPr>
          <w:color w:val="231F20"/>
          <w:spacing w:val="20"/>
          <w:w w:val="110"/>
          <w:sz w:val="18"/>
        </w:rPr>
        <w:t>germany</w:t>
      </w:r>
      <w:r>
        <w:rPr>
          <w:color w:val="231F20"/>
          <w:spacing w:val="-15"/>
          <w:sz w:val="18"/>
        </w:rPr>
        <w:t xml:space="preserve"> </w:t>
      </w:r>
      <w:r>
        <w:rPr>
          <w:color w:val="231F20"/>
          <w:spacing w:val="13"/>
          <w:w w:val="110"/>
          <w:sz w:val="18"/>
        </w:rPr>
        <w:lastRenderedPageBreak/>
        <w:t xml:space="preserve">may </w:t>
      </w:r>
      <w:r>
        <w:rPr>
          <w:color w:val="231F20"/>
          <w:spacing w:val="11"/>
          <w:w w:val="110"/>
          <w:sz w:val="18"/>
        </w:rPr>
        <w:t xml:space="preserve">7, </w:t>
      </w:r>
      <w:r>
        <w:rPr>
          <w:color w:val="231F20"/>
          <w:spacing w:val="17"/>
          <w:w w:val="110"/>
          <w:sz w:val="18"/>
        </w:rPr>
        <w:t>1984</w:t>
      </w:r>
      <w:r>
        <w:rPr>
          <w:color w:val="231F20"/>
          <w:spacing w:val="-15"/>
          <w:sz w:val="18"/>
        </w:rPr>
        <w:t xml:space="preserve"> </w:t>
      </w:r>
    </w:p>
    <w:p w14:paraId="58B30170" w14:textId="77777777" w:rsidR="002653E8" w:rsidRDefault="002653E8">
      <w:pPr>
        <w:spacing w:line="244" w:lineRule="auto"/>
        <w:jc w:val="right"/>
        <w:rPr>
          <w:sz w:val="18"/>
        </w:rPr>
        <w:sectPr w:rsidR="002653E8">
          <w:type w:val="continuous"/>
          <w:pgSz w:w="8640" w:h="12960"/>
          <w:pgMar w:top="0" w:right="0" w:bottom="0" w:left="0" w:header="720" w:footer="720" w:gutter="0"/>
          <w:cols w:space="720"/>
        </w:sectPr>
      </w:pPr>
    </w:p>
    <w:p w14:paraId="664B1CD2" w14:textId="77777777" w:rsidR="002653E8" w:rsidRDefault="003115E3">
      <w:pPr>
        <w:spacing w:before="86" w:line="273" w:lineRule="auto"/>
        <w:ind w:left="1327" w:right="79"/>
        <w:rPr>
          <w:rFonts w:ascii="Gill Sans MT" w:hAnsi="Gill Sans MT"/>
          <w:sz w:val="18"/>
        </w:rPr>
      </w:pPr>
      <w:r>
        <w:rPr>
          <w:rFonts w:ascii="Lucida Sans" w:hAnsi="Lucida Sans"/>
          <w:i/>
          <w:color w:val="231F20"/>
          <w:w w:val="95"/>
          <w:sz w:val="18"/>
        </w:rPr>
        <w:lastRenderedPageBreak/>
        <w:t xml:space="preserve">/ Für die Einheit der Revolutionäre </w:t>
      </w:r>
      <w:r>
        <w:rPr>
          <w:rFonts w:ascii="Lucida Sans" w:hAnsi="Lucida Sans"/>
          <w:i/>
          <w:color w:val="231F20"/>
          <w:w w:val="105"/>
          <w:sz w:val="18"/>
        </w:rPr>
        <w:t xml:space="preserve">in Westeuropa </w:t>
      </w:r>
      <w:r>
        <w:rPr>
          <w:rFonts w:ascii="Gill Sans MT" w:hAnsi="Gill Sans MT"/>
          <w:color w:val="231F20"/>
          <w:w w:val="105"/>
          <w:sz w:val="18"/>
        </w:rPr>
        <w:t>(For the unity of Revolutionaries in West Europe) calling for united guerilla action in West Europe.</w:t>
      </w:r>
    </w:p>
    <w:p w14:paraId="6A9D9D25" w14:textId="77777777" w:rsidR="002653E8" w:rsidRDefault="002653E8">
      <w:pPr>
        <w:pStyle w:val="a3"/>
        <w:rPr>
          <w:rFonts w:ascii="Gill Sans MT"/>
          <w:sz w:val="21"/>
        </w:rPr>
      </w:pPr>
    </w:p>
    <w:p w14:paraId="3BA2941F" w14:textId="77777777" w:rsidR="002653E8" w:rsidRDefault="003115E3">
      <w:pPr>
        <w:spacing w:before="1"/>
        <w:ind w:left="1327"/>
        <w:rPr>
          <w:rFonts w:ascii="Arial"/>
          <w:b/>
          <w:sz w:val="18"/>
        </w:rPr>
      </w:pPr>
      <w:r>
        <w:rPr>
          <w:rFonts w:ascii="Arial"/>
          <w:b/>
          <w:color w:val="231F20"/>
          <w:w w:val="115"/>
          <w:sz w:val="18"/>
        </w:rPr>
        <w:t>January 20, 1985</w:t>
      </w:r>
    </w:p>
    <w:p w14:paraId="67193084" w14:textId="77777777" w:rsidR="002653E8" w:rsidRDefault="00C507A5">
      <w:pPr>
        <w:spacing w:before="34" w:line="276" w:lineRule="auto"/>
        <w:ind w:left="1327"/>
        <w:rPr>
          <w:rFonts w:ascii="Gill Sans MT"/>
          <w:sz w:val="18"/>
        </w:rPr>
      </w:pPr>
      <w:r>
        <w:rPr>
          <w:rFonts w:ascii="Gill Sans MT"/>
          <w:color w:val="231F20"/>
          <w:w w:val="110"/>
          <w:sz w:val="18"/>
        </w:rPr>
        <w:t>red army faction</w:t>
      </w:r>
      <w:r w:rsidR="003115E3">
        <w:rPr>
          <w:rFonts w:ascii="Gill Sans MT"/>
          <w:color w:val="231F20"/>
          <w:w w:val="110"/>
          <w:sz w:val="18"/>
        </w:rPr>
        <w:t xml:space="preserve"> supporter Johannes Thimme is killed and Claudia Wannersdorfer is seriously injured when a bomb they are planting at the Association for the development of Air and Space Industries in Stuttgart explodes prematurely.</w:t>
      </w:r>
    </w:p>
    <w:p w14:paraId="4C672E31" w14:textId="77777777" w:rsidR="002653E8" w:rsidRDefault="002653E8">
      <w:pPr>
        <w:pStyle w:val="a3"/>
        <w:spacing w:before="6"/>
        <w:rPr>
          <w:rFonts w:ascii="Gill Sans MT"/>
        </w:rPr>
      </w:pPr>
    </w:p>
    <w:p w14:paraId="2D63D968" w14:textId="77777777" w:rsidR="002653E8" w:rsidRDefault="003115E3">
      <w:pPr>
        <w:ind w:left="1327"/>
        <w:rPr>
          <w:rFonts w:ascii="Arial"/>
          <w:b/>
          <w:sz w:val="18"/>
        </w:rPr>
      </w:pPr>
      <w:r>
        <w:rPr>
          <w:rFonts w:ascii="Arial"/>
          <w:b/>
          <w:color w:val="231F20"/>
          <w:w w:val="115"/>
          <w:sz w:val="18"/>
        </w:rPr>
        <w:t>January 25, 1985</w:t>
      </w:r>
    </w:p>
    <w:p w14:paraId="6A9828D2" w14:textId="77777777" w:rsidR="002653E8" w:rsidRDefault="003115E3">
      <w:pPr>
        <w:spacing w:before="28" w:line="276" w:lineRule="auto"/>
        <w:ind w:left="1327" w:right="-17"/>
        <w:rPr>
          <w:rFonts w:ascii="Gill Sans MT" w:hAnsi="Gill Sans MT"/>
          <w:sz w:val="18"/>
        </w:rPr>
      </w:pPr>
      <w:r>
        <w:rPr>
          <w:rFonts w:ascii="Lucida Sans" w:hAnsi="Lucida Sans"/>
          <w:i/>
          <w:color w:val="231F20"/>
          <w:w w:val="110"/>
          <w:sz w:val="18"/>
        </w:rPr>
        <w:t>Action</w:t>
      </w:r>
      <w:r>
        <w:rPr>
          <w:rFonts w:ascii="Lucida Sans" w:hAnsi="Lucida Sans"/>
          <w:i/>
          <w:color w:val="231F20"/>
          <w:spacing w:val="-34"/>
          <w:w w:val="110"/>
          <w:sz w:val="18"/>
        </w:rPr>
        <w:t xml:space="preserve"> </w:t>
      </w:r>
      <w:r>
        <w:rPr>
          <w:rFonts w:ascii="Lucida Sans" w:hAnsi="Lucida Sans"/>
          <w:i/>
          <w:color w:val="231F20"/>
          <w:w w:val="110"/>
          <w:sz w:val="18"/>
        </w:rPr>
        <w:t>Directe</w:t>
      </w:r>
      <w:r>
        <w:rPr>
          <w:rFonts w:ascii="Gill Sans MT" w:hAnsi="Gill Sans MT"/>
          <w:color w:val="231F20"/>
          <w:w w:val="110"/>
          <w:sz w:val="18"/>
        </w:rPr>
        <w:t>’s</w:t>
      </w:r>
      <w:r>
        <w:rPr>
          <w:rFonts w:ascii="Gill Sans MT" w:hAnsi="Gill Sans MT"/>
          <w:color w:val="231F20"/>
          <w:spacing w:val="-26"/>
          <w:w w:val="110"/>
          <w:sz w:val="18"/>
        </w:rPr>
        <w:t xml:space="preserve"> </w:t>
      </w:r>
      <w:r>
        <w:rPr>
          <w:rFonts w:ascii="Gill Sans MT" w:hAnsi="Gill Sans MT"/>
          <w:color w:val="231F20"/>
          <w:w w:val="110"/>
          <w:sz w:val="18"/>
        </w:rPr>
        <w:t>Elisabeth</w:t>
      </w:r>
      <w:r>
        <w:rPr>
          <w:rFonts w:ascii="Gill Sans MT" w:hAnsi="Gill Sans MT"/>
          <w:color w:val="231F20"/>
          <w:spacing w:val="-26"/>
          <w:w w:val="110"/>
          <w:sz w:val="18"/>
        </w:rPr>
        <w:t xml:space="preserve"> </w:t>
      </w:r>
      <w:r>
        <w:rPr>
          <w:rFonts w:ascii="Gill Sans MT" w:hAnsi="Gill Sans MT"/>
          <w:color w:val="231F20"/>
          <w:w w:val="110"/>
          <w:sz w:val="18"/>
        </w:rPr>
        <w:t>von</w:t>
      </w:r>
      <w:r>
        <w:rPr>
          <w:rFonts w:ascii="Gill Sans MT" w:hAnsi="Gill Sans MT"/>
          <w:color w:val="231F20"/>
          <w:spacing w:val="-26"/>
          <w:w w:val="110"/>
          <w:sz w:val="18"/>
        </w:rPr>
        <w:t xml:space="preserve"> </w:t>
      </w:r>
      <w:r>
        <w:rPr>
          <w:rFonts w:ascii="Gill Sans MT" w:hAnsi="Gill Sans MT"/>
          <w:color w:val="231F20"/>
          <w:w w:val="110"/>
          <w:sz w:val="18"/>
        </w:rPr>
        <w:t xml:space="preserve">dyck </w:t>
      </w:r>
      <w:r>
        <w:rPr>
          <w:rFonts w:ascii="Gill Sans MT" w:hAnsi="Gill Sans MT"/>
          <w:color w:val="231F20"/>
          <w:w w:val="115"/>
          <w:sz w:val="18"/>
        </w:rPr>
        <w:t>Commando assassinates General René Audran, ambushing him as he parked</w:t>
      </w:r>
      <w:r>
        <w:rPr>
          <w:rFonts w:ascii="Gill Sans MT" w:hAnsi="Gill Sans MT"/>
          <w:color w:val="231F20"/>
          <w:spacing w:val="-19"/>
          <w:w w:val="115"/>
          <w:sz w:val="18"/>
        </w:rPr>
        <w:t xml:space="preserve"> </w:t>
      </w:r>
      <w:r>
        <w:rPr>
          <w:rFonts w:ascii="Gill Sans MT" w:hAnsi="Gill Sans MT"/>
          <w:color w:val="231F20"/>
          <w:w w:val="115"/>
          <w:sz w:val="18"/>
        </w:rPr>
        <w:t>his</w:t>
      </w:r>
      <w:r>
        <w:rPr>
          <w:rFonts w:ascii="Gill Sans MT" w:hAnsi="Gill Sans MT"/>
          <w:color w:val="231F20"/>
          <w:spacing w:val="-19"/>
          <w:w w:val="115"/>
          <w:sz w:val="18"/>
        </w:rPr>
        <w:t xml:space="preserve"> </w:t>
      </w:r>
      <w:r>
        <w:rPr>
          <w:rFonts w:ascii="Gill Sans MT" w:hAnsi="Gill Sans MT"/>
          <w:color w:val="231F20"/>
          <w:w w:val="115"/>
          <w:sz w:val="18"/>
        </w:rPr>
        <w:t>car</w:t>
      </w:r>
      <w:r>
        <w:rPr>
          <w:rFonts w:ascii="Gill Sans MT" w:hAnsi="Gill Sans MT"/>
          <w:color w:val="231F20"/>
          <w:spacing w:val="-19"/>
          <w:w w:val="115"/>
          <w:sz w:val="18"/>
        </w:rPr>
        <w:t xml:space="preserve"> </w:t>
      </w:r>
      <w:r>
        <w:rPr>
          <w:rFonts w:ascii="Gill Sans MT" w:hAnsi="Gill Sans MT"/>
          <w:color w:val="231F20"/>
          <w:w w:val="115"/>
          <w:sz w:val="18"/>
        </w:rPr>
        <w:t>outside</w:t>
      </w:r>
      <w:r>
        <w:rPr>
          <w:rFonts w:ascii="Gill Sans MT" w:hAnsi="Gill Sans MT"/>
          <w:color w:val="231F20"/>
          <w:spacing w:val="-19"/>
          <w:w w:val="115"/>
          <w:sz w:val="18"/>
        </w:rPr>
        <w:t xml:space="preserve"> </w:t>
      </w:r>
      <w:r>
        <w:rPr>
          <w:rFonts w:ascii="Gill Sans MT" w:hAnsi="Gill Sans MT"/>
          <w:color w:val="231F20"/>
          <w:w w:val="115"/>
          <w:sz w:val="18"/>
        </w:rPr>
        <w:t>his</w:t>
      </w:r>
      <w:r>
        <w:rPr>
          <w:rFonts w:ascii="Gill Sans MT" w:hAnsi="Gill Sans MT"/>
          <w:color w:val="231F20"/>
          <w:spacing w:val="-19"/>
          <w:w w:val="115"/>
          <w:sz w:val="18"/>
        </w:rPr>
        <w:t xml:space="preserve"> </w:t>
      </w:r>
      <w:r>
        <w:rPr>
          <w:rFonts w:ascii="Gill Sans MT" w:hAnsi="Gill Sans MT"/>
          <w:color w:val="231F20"/>
          <w:w w:val="115"/>
          <w:sz w:val="18"/>
        </w:rPr>
        <w:t>suburban Paris</w:t>
      </w:r>
      <w:r>
        <w:rPr>
          <w:rFonts w:ascii="Gill Sans MT" w:hAnsi="Gill Sans MT"/>
          <w:color w:val="231F20"/>
          <w:spacing w:val="-21"/>
          <w:w w:val="115"/>
          <w:sz w:val="18"/>
        </w:rPr>
        <w:t xml:space="preserve"> </w:t>
      </w:r>
      <w:r>
        <w:rPr>
          <w:rFonts w:ascii="Gill Sans MT" w:hAnsi="Gill Sans MT"/>
          <w:color w:val="231F20"/>
          <w:w w:val="115"/>
          <w:sz w:val="18"/>
        </w:rPr>
        <w:t>home.</w:t>
      </w:r>
      <w:r>
        <w:rPr>
          <w:rFonts w:ascii="Gill Sans MT" w:hAnsi="Gill Sans MT"/>
          <w:color w:val="231F20"/>
          <w:spacing w:val="-21"/>
          <w:w w:val="115"/>
          <w:sz w:val="18"/>
        </w:rPr>
        <w:t xml:space="preserve"> </w:t>
      </w:r>
      <w:r>
        <w:rPr>
          <w:rFonts w:ascii="Gill Sans MT" w:hAnsi="Gill Sans MT"/>
          <w:color w:val="231F20"/>
          <w:w w:val="115"/>
          <w:sz w:val="18"/>
        </w:rPr>
        <w:t>Audran</w:t>
      </w:r>
      <w:r>
        <w:rPr>
          <w:rFonts w:ascii="Gill Sans MT" w:hAnsi="Gill Sans MT"/>
          <w:color w:val="231F20"/>
          <w:spacing w:val="-21"/>
          <w:w w:val="115"/>
          <w:sz w:val="18"/>
        </w:rPr>
        <w:t xml:space="preserve"> </w:t>
      </w:r>
      <w:r>
        <w:rPr>
          <w:rFonts w:ascii="Gill Sans MT" w:hAnsi="Gill Sans MT"/>
          <w:color w:val="231F20"/>
          <w:w w:val="115"/>
          <w:sz w:val="18"/>
        </w:rPr>
        <w:t>was</w:t>
      </w:r>
      <w:r>
        <w:rPr>
          <w:rFonts w:ascii="Gill Sans MT" w:hAnsi="Gill Sans MT"/>
          <w:color w:val="231F20"/>
          <w:spacing w:val="-21"/>
          <w:w w:val="115"/>
          <w:sz w:val="18"/>
        </w:rPr>
        <w:t xml:space="preserve"> </w:t>
      </w:r>
      <w:r>
        <w:rPr>
          <w:rFonts w:ascii="Gill Sans MT" w:hAnsi="Gill Sans MT"/>
          <w:color w:val="231F20"/>
          <w:w w:val="115"/>
          <w:sz w:val="18"/>
        </w:rPr>
        <w:t>in</w:t>
      </w:r>
      <w:r>
        <w:rPr>
          <w:rFonts w:ascii="Gill Sans MT" w:hAnsi="Gill Sans MT"/>
          <w:color w:val="231F20"/>
          <w:spacing w:val="-21"/>
          <w:w w:val="115"/>
          <w:sz w:val="18"/>
        </w:rPr>
        <w:t xml:space="preserve"> </w:t>
      </w:r>
      <w:r>
        <w:rPr>
          <w:rFonts w:ascii="Gill Sans MT" w:hAnsi="Gill Sans MT"/>
          <w:color w:val="231F20"/>
          <w:w w:val="115"/>
          <w:sz w:val="18"/>
        </w:rPr>
        <w:t>charge</w:t>
      </w:r>
      <w:r>
        <w:rPr>
          <w:rFonts w:ascii="Gill Sans MT" w:hAnsi="Gill Sans MT"/>
          <w:color w:val="231F20"/>
          <w:spacing w:val="-21"/>
          <w:w w:val="115"/>
          <w:sz w:val="18"/>
        </w:rPr>
        <w:t xml:space="preserve"> </w:t>
      </w:r>
      <w:r>
        <w:rPr>
          <w:rFonts w:ascii="Gill Sans MT" w:hAnsi="Gill Sans MT"/>
          <w:color w:val="231F20"/>
          <w:w w:val="115"/>
          <w:sz w:val="18"/>
        </w:rPr>
        <w:t>of</w:t>
      </w:r>
      <w:r>
        <w:rPr>
          <w:rFonts w:ascii="Gill Sans MT" w:hAnsi="Gill Sans MT"/>
          <w:color w:val="231F20"/>
          <w:w w:val="113"/>
          <w:sz w:val="18"/>
        </w:rPr>
        <w:t xml:space="preserve"> </w:t>
      </w:r>
      <w:r>
        <w:rPr>
          <w:rFonts w:ascii="Gill Sans MT" w:hAnsi="Gill Sans MT"/>
          <w:color w:val="231F20"/>
          <w:w w:val="115"/>
          <w:sz w:val="18"/>
        </w:rPr>
        <w:t>arms</w:t>
      </w:r>
      <w:r>
        <w:rPr>
          <w:rFonts w:ascii="Gill Sans MT" w:hAnsi="Gill Sans MT"/>
          <w:color w:val="231F20"/>
          <w:spacing w:val="-26"/>
          <w:w w:val="115"/>
          <w:sz w:val="18"/>
        </w:rPr>
        <w:t xml:space="preserve"> </w:t>
      </w:r>
      <w:r>
        <w:rPr>
          <w:rFonts w:ascii="Gill Sans MT" w:hAnsi="Gill Sans MT"/>
          <w:color w:val="231F20"/>
          <w:w w:val="115"/>
          <w:sz w:val="18"/>
        </w:rPr>
        <w:t>sales</w:t>
      </w:r>
      <w:r>
        <w:rPr>
          <w:rFonts w:ascii="Gill Sans MT" w:hAnsi="Gill Sans MT"/>
          <w:color w:val="231F20"/>
          <w:spacing w:val="-26"/>
          <w:w w:val="115"/>
          <w:sz w:val="18"/>
        </w:rPr>
        <w:t xml:space="preserve"> </w:t>
      </w:r>
      <w:r>
        <w:rPr>
          <w:rFonts w:ascii="Gill Sans MT" w:hAnsi="Gill Sans MT"/>
          <w:color w:val="231F20"/>
          <w:w w:val="115"/>
          <w:sz w:val="18"/>
        </w:rPr>
        <w:t>for</w:t>
      </w:r>
      <w:r>
        <w:rPr>
          <w:rFonts w:ascii="Gill Sans MT" w:hAnsi="Gill Sans MT"/>
          <w:color w:val="231F20"/>
          <w:spacing w:val="-26"/>
          <w:w w:val="115"/>
          <w:sz w:val="18"/>
        </w:rPr>
        <w:t xml:space="preserve"> </w:t>
      </w:r>
      <w:r>
        <w:rPr>
          <w:rFonts w:ascii="Gill Sans MT" w:hAnsi="Gill Sans MT"/>
          <w:color w:val="231F20"/>
          <w:w w:val="115"/>
          <w:sz w:val="18"/>
        </w:rPr>
        <w:t>the</w:t>
      </w:r>
      <w:r>
        <w:rPr>
          <w:rFonts w:ascii="Gill Sans MT" w:hAnsi="Gill Sans MT"/>
          <w:color w:val="231F20"/>
          <w:spacing w:val="-26"/>
          <w:w w:val="115"/>
          <w:sz w:val="18"/>
        </w:rPr>
        <w:t xml:space="preserve"> </w:t>
      </w:r>
      <w:r>
        <w:rPr>
          <w:rFonts w:ascii="Gill Sans MT" w:hAnsi="Gill Sans MT"/>
          <w:color w:val="231F20"/>
          <w:w w:val="115"/>
          <w:sz w:val="18"/>
        </w:rPr>
        <w:t>French</w:t>
      </w:r>
      <w:r>
        <w:rPr>
          <w:rFonts w:ascii="Gill Sans MT" w:hAnsi="Gill Sans MT"/>
          <w:color w:val="231F20"/>
          <w:spacing w:val="-26"/>
          <w:w w:val="115"/>
          <w:sz w:val="18"/>
        </w:rPr>
        <w:t xml:space="preserve"> </w:t>
      </w:r>
      <w:r>
        <w:rPr>
          <w:rFonts w:ascii="Gill Sans MT" w:hAnsi="Gill Sans MT"/>
          <w:color w:val="231F20"/>
          <w:w w:val="115"/>
          <w:sz w:val="18"/>
        </w:rPr>
        <w:t>Ministry</w:t>
      </w:r>
      <w:r>
        <w:rPr>
          <w:rFonts w:ascii="Gill Sans MT" w:hAnsi="Gill Sans MT"/>
          <w:color w:val="231F20"/>
          <w:spacing w:val="-26"/>
          <w:w w:val="115"/>
          <w:sz w:val="18"/>
        </w:rPr>
        <w:t xml:space="preserve"> </w:t>
      </w:r>
      <w:r>
        <w:rPr>
          <w:rFonts w:ascii="Gill Sans MT" w:hAnsi="Gill Sans MT"/>
          <w:color w:val="231F20"/>
          <w:w w:val="115"/>
          <w:sz w:val="18"/>
        </w:rPr>
        <w:t>of defense.</w:t>
      </w:r>
    </w:p>
    <w:p w14:paraId="6A62E969" w14:textId="77777777" w:rsidR="002653E8" w:rsidRDefault="002653E8">
      <w:pPr>
        <w:pStyle w:val="a3"/>
        <w:spacing w:before="6"/>
        <w:rPr>
          <w:rFonts w:ascii="Gill Sans MT"/>
        </w:rPr>
      </w:pPr>
    </w:p>
    <w:p w14:paraId="6FA15B46" w14:textId="77777777" w:rsidR="002653E8" w:rsidRDefault="003115E3">
      <w:pPr>
        <w:ind w:left="1327"/>
        <w:rPr>
          <w:rFonts w:ascii="Arial"/>
          <w:b/>
          <w:sz w:val="18"/>
        </w:rPr>
      </w:pPr>
      <w:r>
        <w:rPr>
          <w:rFonts w:ascii="Arial"/>
          <w:b/>
          <w:color w:val="231F20"/>
          <w:w w:val="115"/>
          <w:sz w:val="18"/>
        </w:rPr>
        <w:t>February 1, 1985</w:t>
      </w:r>
    </w:p>
    <w:p w14:paraId="1C378F7B" w14:textId="77777777" w:rsidR="002653E8" w:rsidRDefault="003115E3">
      <w:pPr>
        <w:spacing w:before="34" w:line="276" w:lineRule="auto"/>
        <w:ind w:left="1327" w:right="4"/>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spacing w:val="-3"/>
          <w:w w:val="110"/>
          <w:sz w:val="18"/>
        </w:rPr>
        <w:t>red army faction</w:t>
      </w:r>
      <w:r>
        <w:rPr>
          <w:rFonts w:ascii="Gill Sans MT" w:hAnsi="Gill Sans MT"/>
          <w:color w:val="231F20"/>
          <w:spacing w:val="-3"/>
          <w:w w:val="110"/>
          <w:sz w:val="18"/>
        </w:rPr>
        <w:t xml:space="preserve">’s </w:t>
      </w:r>
      <w:r>
        <w:rPr>
          <w:rFonts w:ascii="Gill Sans MT" w:hAnsi="Gill Sans MT"/>
          <w:color w:val="231F20"/>
          <w:w w:val="110"/>
          <w:sz w:val="18"/>
        </w:rPr>
        <w:t>Patsy O’Hara Commando assassinates arms manufacturer Ernst Zimmerman, Chairman of the MTu</w:t>
      </w:r>
      <w:r>
        <w:rPr>
          <w:rFonts w:ascii="Gill Sans MT" w:hAnsi="Gill Sans MT"/>
          <w:color w:val="231F20"/>
          <w:spacing w:val="-10"/>
          <w:w w:val="110"/>
          <w:sz w:val="18"/>
        </w:rPr>
        <w:t xml:space="preserve"> </w:t>
      </w:r>
      <w:r>
        <w:rPr>
          <w:rFonts w:ascii="Gill Sans MT" w:hAnsi="Gill Sans MT"/>
          <w:color w:val="231F20"/>
          <w:w w:val="110"/>
          <w:sz w:val="18"/>
        </w:rPr>
        <w:t>Board</w:t>
      </w:r>
      <w:r>
        <w:rPr>
          <w:rFonts w:ascii="Gill Sans MT" w:hAnsi="Gill Sans MT"/>
          <w:color w:val="231F20"/>
          <w:spacing w:val="-10"/>
          <w:w w:val="110"/>
          <w:sz w:val="18"/>
        </w:rPr>
        <w:t xml:space="preserve"> </w:t>
      </w:r>
      <w:r>
        <w:rPr>
          <w:rFonts w:ascii="Gill Sans MT" w:hAnsi="Gill Sans MT"/>
          <w:color w:val="231F20"/>
          <w:w w:val="110"/>
          <w:sz w:val="18"/>
        </w:rPr>
        <w:t>of</w:t>
      </w:r>
      <w:r>
        <w:rPr>
          <w:rFonts w:ascii="Gill Sans MT" w:hAnsi="Gill Sans MT"/>
          <w:color w:val="231F20"/>
          <w:spacing w:val="-10"/>
          <w:w w:val="110"/>
          <w:sz w:val="18"/>
        </w:rPr>
        <w:t xml:space="preserve"> </w:t>
      </w:r>
      <w:r>
        <w:rPr>
          <w:rFonts w:ascii="Gill Sans MT" w:hAnsi="Gill Sans MT"/>
          <w:color w:val="231F20"/>
          <w:w w:val="110"/>
          <w:sz w:val="18"/>
        </w:rPr>
        <w:t>directors.</w:t>
      </w:r>
      <w:r>
        <w:rPr>
          <w:rFonts w:ascii="Gill Sans MT" w:hAnsi="Gill Sans MT"/>
          <w:color w:val="231F20"/>
          <w:spacing w:val="-10"/>
          <w:w w:val="110"/>
          <w:sz w:val="18"/>
        </w:rPr>
        <w:t xml:space="preserve"> </w:t>
      </w:r>
      <w:r>
        <w:rPr>
          <w:rFonts w:ascii="Gill Sans MT" w:hAnsi="Gill Sans MT"/>
          <w:color w:val="231F20"/>
          <w:w w:val="110"/>
          <w:sz w:val="18"/>
        </w:rPr>
        <w:t>The</w:t>
      </w:r>
      <w:r>
        <w:rPr>
          <w:rFonts w:ascii="Gill Sans MT" w:hAnsi="Gill Sans MT"/>
          <w:color w:val="231F20"/>
          <w:spacing w:val="-10"/>
          <w:w w:val="110"/>
          <w:sz w:val="18"/>
        </w:rPr>
        <w:t xml:space="preserve"> </w:t>
      </w:r>
      <w:r>
        <w:rPr>
          <w:rFonts w:ascii="Gill Sans MT" w:hAnsi="Gill Sans MT"/>
          <w:color w:val="231F20"/>
          <w:w w:val="110"/>
          <w:sz w:val="18"/>
        </w:rPr>
        <w:t>murder remains</w:t>
      </w:r>
      <w:r>
        <w:rPr>
          <w:rFonts w:ascii="Gill Sans MT" w:hAnsi="Gill Sans MT"/>
          <w:color w:val="231F20"/>
          <w:spacing w:val="-5"/>
          <w:w w:val="110"/>
          <w:sz w:val="18"/>
        </w:rPr>
        <w:t xml:space="preserve"> </w:t>
      </w:r>
      <w:r>
        <w:rPr>
          <w:rFonts w:ascii="Gill Sans MT" w:hAnsi="Gill Sans MT"/>
          <w:color w:val="231F20"/>
          <w:w w:val="110"/>
          <w:sz w:val="18"/>
        </w:rPr>
        <w:t>unsolved.</w:t>
      </w:r>
    </w:p>
    <w:p w14:paraId="1A882FB0" w14:textId="77777777" w:rsidR="002653E8" w:rsidRDefault="002653E8">
      <w:pPr>
        <w:pStyle w:val="a3"/>
        <w:spacing w:before="6"/>
        <w:rPr>
          <w:rFonts w:ascii="Gill Sans MT"/>
        </w:rPr>
      </w:pPr>
    </w:p>
    <w:p w14:paraId="759A29C8" w14:textId="77777777" w:rsidR="002653E8" w:rsidRDefault="003115E3">
      <w:pPr>
        <w:spacing w:before="1"/>
        <w:ind w:left="1327"/>
        <w:rPr>
          <w:rFonts w:ascii="Arial"/>
          <w:b/>
          <w:sz w:val="18"/>
        </w:rPr>
      </w:pPr>
      <w:r>
        <w:rPr>
          <w:rFonts w:ascii="Arial"/>
          <w:b/>
          <w:color w:val="231F20"/>
          <w:w w:val="115"/>
          <w:sz w:val="18"/>
        </w:rPr>
        <w:t>February 2, 1985</w:t>
      </w:r>
    </w:p>
    <w:p w14:paraId="3641DC5C" w14:textId="77777777" w:rsidR="002653E8" w:rsidRDefault="003115E3">
      <w:pPr>
        <w:spacing w:before="34" w:line="276" w:lineRule="auto"/>
        <w:ind w:left="1327" w:right="79"/>
        <w:rPr>
          <w:rFonts w:ascii="Gill Sans MT"/>
          <w:sz w:val="18"/>
        </w:rPr>
      </w:pPr>
      <w:r>
        <w:rPr>
          <w:rFonts w:ascii="Gill Sans MT"/>
          <w:color w:val="231F20"/>
          <w:w w:val="110"/>
          <w:sz w:val="18"/>
        </w:rPr>
        <w:t xml:space="preserve">The </w:t>
      </w:r>
      <w:r w:rsidR="00C507A5">
        <w:rPr>
          <w:rFonts w:ascii="Gill Sans MT"/>
          <w:color w:val="231F20"/>
          <w:w w:val="110"/>
          <w:sz w:val="18"/>
        </w:rPr>
        <w:t>red army faction</w:t>
      </w:r>
      <w:r>
        <w:rPr>
          <w:rFonts w:ascii="Gill Sans MT"/>
          <w:color w:val="231F20"/>
          <w:w w:val="110"/>
          <w:sz w:val="18"/>
        </w:rPr>
        <w:t xml:space="preserve"> sends a letter to the prisoners asking them to call off their hunger strike, saying that the mobilization it has achieved is as much as can be expected in the existing conditions.</w:t>
      </w:r>
    </w:p>
    <w:p w14:paraId="17AF9542" w14:textId="77777777" w:rsidR="002653E8" w:rsidRDefault="003115E3">
      <w:pPr>
        <w:spacing w:before="91"/>
        <w:ind w:left="213"/>
        <w:rPr>
          <w:rFonts w:ascii="Arial"/>
          <w:b/>
          <w:sz w:val="18"/>
        </w:rPr>
      </w:pPr>
      <w:r>
        <w:br w:type="column"/>
      </w:r>
      <w:r>
        <w:rPr>
          <w:rFonts w:ascii="Arial"/>
          <w:b/>
          <w:color w:val="231F20"/>
          <w:w w:val="115"/>
          <w:sz w:val="18"/>
        </w:rPr>
        <w:t>March 13, 1985</w:t>
      </w:r>
    </w:p>
    <w:p w14:paraId="45FDC4AA" w14:textId="77777777" w:rsidR="002653E8" w:rsidRDefault="003115E3">
      <w:pPr>
        <w:spacing w:before="34" w:line="276" w:lineRule="auto"/>
        <w:ind w:left="213" w:right="1666"/>
        <w:rPr>
          <w:rFonts w:ascii="Gill Sans MT" w:hAnsi="Gill Sans MT"/>
          <w:sz w:val="18"/>
        </w:rPr>
      </w:pPr>
      <w:r>
        <w:rPr>
          <w:rFonts w:ascii="Gill Sans MT" w:hAnsi="Gill Sans MT"/>
          <w:color w:val="231F20"/>
          <w:w w:val="110"/>
          <w:sz w:val="18"/>
        </w:rPr>
        <w:t xml:space="preserve">The düsseldorf OLG gives </w:t>
      </w:r>
      <w:r w:rsidR="00C507A5">
        <w:rPr>
          <w:rFonts w:ascii="Gill Sans MT" w:hAnsi="Gill Sans MT"/>
          <w:color w:val="231F20"/>
          <w:w w:val="110"/>
          <w:sz w:val="18"/>
        </w:rPr>
        <w:t>red army faction</w:t>
      </w:r>
      <w:r>
        <w:rPr>
          <w:rFonts w:ascii="Gill Sans MT" w:hAnsi="Gill Sans MT"/>
          <w:color w:val="231F20"/>
          <w:w w:val="110"/>
          <w:sz w:val="18"/>
        </w:rPr>
        <w:t xml:space="preserve"> member Adelheid Schulz </w:t>
      </w:r>
      <w:r>
        <w:rPr>
          <w:rFonts w:ascii="Arial" w:hAnsi="Arial"/>
          <w:color w:val="231F20"/>
          <w:w w:val="110"/>
          <w:sz w:val="18"/>
        </w:rPr>
        <w:t xml:space="preserve">3 </w:t>
      </w:r>
      <w:r>
        <w:rPr>
          <w:rFonts w:ascii="Gill Sans MT" w:hAnsi="Gill Sans MT"/>
          <w:color w:val="231F20"/>
          <w:w w:val="110"/>
          <w:sz w:val="18"/>
        </w:rPr>
        <w:t>life sentences for her role in the Schleyer kidnapping and for membership in a terrorist</w:t>
      </w:r>
    </w:p>
    <w:p w14:paraId="336E96BC" w14:textId="77777777" w:rsidR="002653E8" w:rsidRDefault="003115E3">
      <w:pPr>
        <w:spacing w:line="276" w:lineRule="auto"/>
        <w:ind w:left="213" w:right="1055"/>
        <w:rPr>
          <w:rFonts w:ascii="Gill Sans MT"/>
          <w:sz w:val="18"/>
        </w:rPr>
      </w:pPr>
      <w:r>
        <w:rPr>
          <w:rFonts w:ascii="Gill Sans MT"/>
          <w:color w:val="231F20"/>
          <w:w w:val="110"/>
          <w:sz w:val="18"/>
        </w:rPr>
        <w:t>organization. Rolf Clemens Wagner receives 2 life sentences, largely</w:t>
      </w:r>
    </w:p>
    <w:p w14:paraId="34997022" w14:textId="77777777" w:rsidR="002653E8" w:rsidRDefault="003115E3">
      <w:pPr>
        <w:spacing w:line="276" w:lineRule="auto"/>
        <w:ind w:left="213" w:right="1311"/>
        <w:rPr>
          <w:rFonts w:ascii="Gill Sans MT" w:hAnsi="Gill Sans MT"/>
          <w:sz w:val="18"/>
        </w:rPr>
      </w:pPr>
      <w:r>
        <w:rPr>
          <w:rFonts w:ascii="Gill Sans MT" w:hAnsi="Gill Sans MT"/>
          <w:color w:val="231F20"/>
          <w:w w:val="115"/>
          <w:sz w:val="18"/>
        </w:rPr>
        <w:t>as</w:t>
      </w:r>
      <w:r>
        <w:rPr>
          <w:rFonts w:ascii="Gill Sans MT" w:hAnsi="Gill Sans MT"/>
          <w:color w:val="231F20"/>
          <w:spacing w:val="-24"/>
          <w:w w:val="115"/>
          <w:sz w:val="18"/>
        </w:rPr>
        <w:t xml:space="preserve"> </w:t>
      </w:r>
      <w:r>
        <w:rPr>
          <w:rFonts w:ascii="Gill Sans MT" w:hAnsi="Gill Sans MT"/>
          <w:color w:val="231F20"/>
          <w:w w:val="115"/>
          <w:sz w:val="18"/>
        </w:rPr>
        <w:t>a</w:t>
      </w:r>
      <w:r>
        <w:rPr>
          <w:rFonts w:ascii="Gill Sans MT" w:hAnsi="Gill Sans MT"/>
          <w:color w:val="231F20"/>
          <w:spacing w:val="-24"/>
          <w:w w:val="115"/>
          <w:sz w:val="18"/>
        </w:rPr>
        <w:t xml:space="preserve"> </w:t>
      </w:r>
      <w:r>
        <w:rPr>
          <w:rFonts w:ascii="Gill Sans MT" w:hAnsi="Gill Sans MT"/>
          <w:color w:val="231F20"/>
          <w:w w:val="115"/>
          <w:sz w:val="18"/>
        </w:rPr>
        <w:t>result</w:t>
      </w:r>
      <w:r>
        <w:rPr>
          <w:rFonts w:ascii="Gill Sans MT" w:hAnsi="Gill Sans MT"/>
          <w:color w:val="231F20"/>
          <w:spacing w:val="-24"/>
          <w:w w:val="115"/>
          <w:sz w:val="18"/>
        </w:rPr>
        <w:t xml:space="preserve"> </w:t>
      </w:r>
      <w:r>
        <w:rPr>
          <w:rFonts w:ascii="Gill Sans MT" w:hAnsi="Gill Sans MT"/>
          <w:color w:val="231F20"/>
          <w:w w:val="115"/>
          <w:sz w:val="18"/>
        </w:rPr>
        <w:t>of</w:t>
      </w:r>
      <w:r>
        <w:rPr>
          <w:rFonts w:ascii="Gill Sans MT" w:hAnsi="Gill Sans MT"/>
          <w:color w:val="231F20"/>
          <w:spacing w:val="-24"/>
          <w:w w:val="115"/>
          <w:sz w:val="18"/>
        </w:rPr>
        <w:t xml:space="preserve"> </w:t>
      </w:r>
      <w:r>
        <w:rPr>
          <w:rFonts w:ascii="Gill Sans MT" w:hAnsi="Gill Sans MT"/>
          <w:color w:val="231F20"/>
          <w:w w:val="115"/>
          <w:sz w:val="18"/>
        </w:rPr>
        <w:t>Peter-Jürgen</w:t>
      </w:r>
      <w:r>
        <w:rPr>
          <w:rFonts w:ascii="Gill Sans MT" w:hAnsi="Gill Sans MT"/>
          <w:color w:val="231F20"/>
          <w:spacing w:val="-24"/>
          <w:w w:val="115"/>
          <w:sz w:val="18"/>
        </w:rPr>
        <w:t xml:space="preserve"> </w:t>
      </w:r>
      <w:r>
        <w:rPr>
          <w:rFonts w:ascii="Gill Sans MT" w:hAnsi="Gill Sans MT"/>
          <w:color w:val="231F20"/>
          <w:w w:val="115"/>
          <w:sz w:val="18"/>
        </w:rPr>
        <w:t>Boock’s testimony.</w:t>
      </w:r>
    </w:p>
    <w:p w14:paraId="7D6F86EA" w14:textId="77777777" w:rsidR="002653E8" w:rsidRDefault="002653E8">
      <w:pPr>
        <w:pStyle w:val="a3"/>
        <w:spacing w:before="4"/>
        <w:rPr>
          <w:rFonts w:ascii="Gill Sans MT"/>
        </w:rPr>
      </w:pPr>
    </w:p>
    <w:p w14:paraId="3A97B28C" w14:textId="77777777" w:rsidR="002653E8" w:rsidRDefault="003115E3">
      <w:pPr>
        <w:spacing w:before="1"/>
        <w:ind w:left="213"/>
        <w:rPr>
          <w:rFonts w:ascii="Arial"/>
          <w:b/>
          <w:sz w:val="18"/>
        </w:rPr>
      </w:pPr>
      <w:r>
        <w:rPr>
          <w:rFonts w:ascii="Arial"/>
          <w:b/>
          <w:color w:val="231F20"/>
          <w:w w:val="115"/>
          <w:sz w:val="18"/>
        </w:rPr>
        <w:t>April 1985</w:t>
      </w:r>
    </w:p>
    <w:p w14:paraId="68A9824B" w14:textId="77777777" w:rsidR="002653E8" w:rsidRDefault="003115E3">
      <w:pPr>
        <w:spacing w:before="35" w:line="271" w:lineRule="auto"/>
        <w:ind w:left="213" w:right="1259"/>
        <w:rPr>
          <w:rFonts w:ascii="Gill Sans MT" w:hAnsi="Gill Sans MT"/>
          <w:sz w:val="18"/>
        </w:rPr>
      </w:pPr>
      <w:r>
        <w:rPr>
          <w:rFonts w:ascii="Gill Sans MT" w:hAnsi="Gill Sans MT"/>
          <w:color w:val="231F20"/>
          <w:w w:val="110"/>
          <w:sz w:val="18"/>
        </w:rPr>
        <w:t xml:space="preserve">The illegal </w:t>
      </w:r>
      <w:r w:rsidR="00C507A5">
        <w:rPr>
          <w:rFonts w:ascii="Gill Sans MT" w:hAnsi="Gill Sans MT"/>
          <w:color w:val="231F20"/>
          <w:w w:val="110"/>
          <w:sz w:val="18"/>
        </w:rPr>
        <w:t>red army faction</w:t>
      </w:r>
      <w:r>
        <w:rPr>
          <w:rFonts w:ascii="Gill Sans MT" w:hAnsi="Gill Sans MT"/>
          <w:color w:val="231F20"/>
          <w:w w:val="110"/>
          <w:sz w:val="18"/>
        </w:rPr>
        <w:t xml:space="preserve"> support newspaper </w:t>
      </w:r>
      <w:r>
        <w:rPr>
          <w:rFonts w:ascii="Lucida Sans" w:hAnsi="Lucida Sans"/>
          <w:i/>
          <w:color w:val="231F20"/>
          <w:w w:val="105"/>
          <w:sz w:val="18"/>
        </w:rPr>
        <w:t xml:space="preserve">Zusammen kämpfen </w:t>
      </w:r>
      <w:r>
        <w:rPr>
          <w:rFonts w:ascii="Gill Sans MT" w:hAnsi="Gill Sans MT"/>
          <w:color w:val="231F20"/>
          <w:w w:val="105"/>
          <w:sz w:val="18"/>
        </w:rPr>
        <w:t xml:space="preserve">releases an </w:t>
      </w:r>
      <w:r>
        <w:rPr>
          <w:rFonts w:ascii="Gill Sans MT" w:hAnsi="Gill Sans MT"/>
          <w:color w:val="231F20"/>
          <w:w w:val="110"/>
          <w:sz w:val="18"/>
        </w:rPr>
        <w:t xml:space="preserve">interview with the </w:t>
      </w:r>
      <w:r w:rsidR="00C507A5">
        <w:rPr>
          <w:rFonts w:ascii="Gill Sans MT" w:hAnsi="Gill Sans MT"/>
          <w:color w:val="231F20"/>
          <w:w w:val="110"/>
          <w:sz w:val="18"/>
        </w:rPr>
        <w:t>red army faction</w:t>
      </w:r>
      <w:r>
        <w:rPr>
          <w:rFonts w:ascii="Gill Sans MT" w:hAnsi="Gill Sans MT"/>
          <w:color w:val="231F20"/>
          <w:w w:val="110"/>
          <w:sz w:val="18"/>
        </w:rPr>
        <w:t xml:space="preserve"> addressing their common actions with </w:t>
      </w:r>
      <w:r>
        <w:rPr>
          <w:rFonts w:ascii="Lucida Sans" w:hAnsi="Lucida Sans"/>
          <w:i/>
          <w:color w:val="231F20"/>
          <w:w w:val="110"/>
          <w:sz w:val="18"/>
        </w:rPr>
        <w:t xml:space="preserve">Action Directe </w:t>
      </w:r>
      <w:r>
        <w:rPr>
          <w:rFonts w:ascii="Gill Sans MT" w:hAnsi="Gill Sans MT"/>
          <w:color w:val="231F20"/>
          <w:w w:val="110"/>
          <w:sz w:val="18"/>
        </w:rPr>
        <w:t>and the Front concept in general.</w:t>
      </w:r>
    </w:p>
    <w:p w14:paraId="49F8647E" w14:textId="77777777" w:rsidR="002653E8" w:rsidRDefault="002653E8">
      <w:pPr>
        <w:pStyle w:val="a3"/>
        <w:spacing w:before="9"/>
        <w:rPr>
          <w:rFonts w:ascii="Gill Sans MT"/>
        </w:rPr>
      </w:pPr>
    </w:p>
    <w:p w14:paraId="5934092B" w14:textId="77777777" w:rsidR="002653E8" w:rsidRDefault="003115E3">
      <w:pPr>
        <w:ind w:left="213"/>
        <w:rPr>
          <w:rFonts w:ascii="Arial"/>
          <w:b/>
          <w:sz w:val="18"/>
        </w:rPr>
      </w:pPr>
      <w:r>
        <w:rPr>
          <w:rFonts w:ascii="Arial"/>
          <w:b/>
          <w:color w:val="231F20"/>
          <w:w w:val="115"/>
          <w:sz w:val="18"/>
        </w:rPr>
        <w:t>April 2, 1985</w:t>
      </w:r>
    </w:p>
    <w:p w14:paraId="3C5096D4" w14:textId="77777777" w:rsidR="002653E8" w:rsidRDefault="003115E3">
      <w:pPr>
        <w:spacing w:before="35" w:line="280" w:lineRule="auto"/>
        <w:ind w:left="213" w:right="1220"/>
        <w:rPr>
          <w:rFonts w:ascii="Gill Sans MT"/>
          <w:sz w:val="18"/>
        </w:rPr>
      </w:pPr>
      <w:r>
        <w:rPr>
          <w:rFonts w:ascii="Gill Sans MT"/>
          <w:color w:val="231F20"/>
          <w:w w:val="110"/>
          <w:sz w:val="18"/>
        </w:rPr>
        <w:t xml:space="preserve">The Stuttgart OLG sentences </w:t>
      </w:r>
      <w:r w:rsidR="00C507A5">
        <w:rPr>
          <w:rFonts w:ascii="Gill Sans MT"/>
          <w:color w:val="231F20"/>
          <w:w w:val="110"/>
          <w:sz w:val="18"/>
        </w:rPr>
        <w:t>red army faction</w:t>
      </w:r>
      <w:r>
        <w:rPr>
          <w:rFonts w:ascii="Gill Sans MT"/>
          <w:color w:val="231F20"/>
          <w:w w:val="110"/>
          <w:sz w:val="18"/>
        </w:rPr>
        <w:t xml:space="preserve"> members Brigitte Mohnhaupt and Christian Klar to </w:t>
      </w:r>
      <w:r>
        <w:rPr>
          <w:rFonts w:ascii="Arial"/>
          <w:color w:val="231F20"/>
          <w:w w:val="110"/>
          <w:sz w:val="18"/>
        </w:rPr>
        <w:t xml:space="preserve">5 </w:t>
      </w:r>
      <w:r>
        <w:rPr>
          <w:rFonts w:ascii="Gill Sans MT"/>
          <w:color w:val="231F20"/>
          <w:w w:val="110"/>
          <w:sz w:val="18"/>
        </w:rPr>
        <w:t xml:space="preserve">life sentences each in connection with every </w:t>
      </w:r>
      <w:r w:rsidR="00C507A5">
        <w:rPr>
          <w:rFonts w:ascii="Gill Sans MT"/>
          <w:color w:val="231F20"/>
          <w:w w:val="110"/>
          <w:sz w:val="18"/>
        </w:rPr>
        <w:t>red army faction</w:t>
      </w:r>
      <w:r>
        <w:rPr>
          <w:rFonts w:ascii="Gill Sans MT"/>
          <w:color w:val="231F20"/>
          <w:w w:val="110"/>
          <w:sz w:val="18"/>
        </w:rPr>
        <w:t xml:space="preserve"> action from </w:t>
      </w:r>
      <w:r>
        <w:rPr>
          <w:rFonts w:ascii="Arial"/>
          <w:color w:val="231F20"/>
          <w:w w:val="110"/>
          <w:sz w:val="18"/>
        </w:rPr>
        <w:t xml:space="preserve">1977 </w:t>
      </w:r>
      <w:r>
        <w:rPr>
          <w:rFonts w:ascii="Gill Sans MT"/>
          <w:color w:val="231F20"/>
          <w:w w:val="110"/>
          <w:sz w:val="18"/>
        </w:rPr>
        <w:t xml:space="preserve">until </w:t>
      </w:r>
      <w:r>
        <w:rPr>
          <w:rFonts w:ascii="Arial"/>
          <w:color w:val="231F20"/>
          <w:w w:val="110"/>
          <w:sz w:val="18"/>
        </w:rPr>
        <w:t>1981</w:t>
      </w:r>
      <w:r>
        <w:rPr>
          <w:rFonts w:ascii="Gill Sans MT"/>
          <w:color w:val="231F20"/>
          <w:w w:val="110"/>
          <w:sz w:val="18"/>
        </w:rPr>
        <w:t>.</w:t>
      </w:r>
    </w:p>
    <w:p w14:paraId="7AB7258B" w14:textId="77777777" w:rsidR="002653E8" w:rsidRDefault="002653E8">
      <w:pPr>
        <w:pStyle w:val="a3"/>
        <w:spacing w:before="9"/>
        <w:rPr>
          <w:rFonts w:ascii="Gill Sans MT"/>
          <w:sz w:val="19"/>
        </w:rPr>
      </w:pPr>
    </w:p>
    <w:p w14:paraId="5F28403A" w14:textId="77777777" w:rsidR="002653E8" w:rsidRDefault="003115E3">
      <w:pPr>
        <w:spacing w:before="1"/>
        <w:ind w:left="213"/>
        <w:rPr>
          <w:rFonts w:ascii="Arial"/>
          <w:b/>
          <w:sz w:val="18"/>
        </w:rPr>
      </w:pPr>
      <w:r>
        <w:rPr>
          <w:rFonts w:ascii="Arial"/>
          <w:b/>
          <w:color w:val="231F20"/>
          <w:w w:val="115"/>
          <w:sz w:val="18"/>
        </w:rPr>
        <w:t>August 8, 1985</w:t>
      </w:r>
    </w:p>
    <w:p w14:paraId="2634DF4B" w14:textId="77777777" w:rsidR="002653E8" w:rsidRDefault="003115E3">
      <w:pPr>
        <w:spacing w:before="34" w:line="273" w:lineRule="auto"/>
        <w:ind w:left="213" w:right="1146"/>
        <w:rPr>
          <w:rFonts w:ascii="Gill Sans MT"/>
          <w:sz w:val="18"/>
        </w:rPr>
      </w:pPr>
      <w:r>
        <w:rPr>
          <w:rFonts w:ascii="Gill Sans MT"/>
          <w:color w:val="231F20"/>
          <w:w w:val="110"/>
          <w:sz w:val="18"/>
        </w:rPr>
        <w:t xml:space="preserve">In Wiesbaden, </w:t>
      </w:r>
      <w:r w:rsidR="00C507A5">
        <w:rPr>
          <w:rFonts w:ascii="Gill Sans MT"/>
          <w:color w:val="231F20"/>
          <w:w w:val="110"/>
          <w:sz w:val="18"/>
        </w:rPr>
        <w:t>red army faction</w:t>
      </w:r>
      <w:r>
        <w:rPr>
          <w:rFonts w:ascii="Gill Sans MT"/>
          <w:color w:val="231F20"/>
          <w:w w:val="110"/>
          <w:sz w:val="18"/>
        </w:rPr>
        <w:t xml:space="preserve"> members abduct </w:t>
      </w:r>
      <w:r>
        <w:rPr>
          <w:rFonts w:ascii="Arial"/>
          <w:color w:val="231F20"/>
          <w:w w:val="110"/>
          <w:sz w:val="18"/>
        </w:rPr>
        <w:t>20</w:t>
      </w:r>
      <w:r>
        <w:rPr>
          <w:rFonts w:ascii="Gill Sans MT"/>
          <w:color w:val="231F20"/>
          <w:w w:val="110"/>
          <w:sz w:val="18"/>
        </w:rPr>
        <w:t xml:space="preserve">-year-old American GI Edward Pimental in order to steal his Id card, and then execute him with a single shot to the back of the head. The joint </w:t>
      </w:r>
      <w:r w:rsidR="00C507A5">
        <w:rPr>
          <w:rFonts w:ascii="Gill Sans MT"/>
          <w:color w:val="231F20"/>
          <w:w w:val="110"/>
          <w:sz w:val="18"/>
        </w:rPr>
        <w:t>red army faction</w:t>
      </w:r>
      <w:r>
        <w:rPr>
          <w:rFonts w:ascii="Gill Sans MT"/>
          <w:color w:val="231F20"/>
          <w:w w:val="110"/>
          <w:sz w:val="18"/>
        </w:rPr>
        <w:t xml:space="preserve"> and </w:t>
      </w:r>
      <w:r>
        <w:rPr>
          <w:rFonts w:ascii="Lucida Sans"/>
          <w:i/>
          <w:color w:val="231F20"/>
          <w:w w:val="110"/>
          <w:sz w:val="18"/>
        </w:rPr>
        <w:t xml:space="preserve">Action Directe </w:t>
      </w:r>
      <w:r>
        <w:rPr>
          <w:rFonts w:ascii="Gill Sans MT"/>
          <w:color w:val="231F20"/>
          <w:w w:val="110"/>
          <w:sz w:val="18"/>
        </w:rPr>
        <w:t xml:space="preserve">George Jackson Commando  uses his Id card to gain entrance to the Rhein-Main u.S. Air Force Base in Frankfurt, where they then plant a bomb which causes </w:t>
      </w:r>
      <w:r>
        <w:rPr>
          <w:rFonts w:ascii="Arial"/>
          <w:color w:val="231F20"/>
          <w:w w:val="110"/>
          <w:sz w:val="18"/>
        </w:rPr>
        <w:t xml:space="preserve">1 </w:t>
      </w:r>
      <w:r>
        <w:rPr>
          <w:rFonts w:ascii="Gill Sans MT"/>
          <w:color w:val="231F20"/>
          <w:w w:val="110"/>
          <w:sz w:val="18"/>
        </w:rPr>
        <w:t>million dM</w:t>
      </w:r>
    </w:p>
    <w:p w14:paraId="5566FB24" w14:textId="77777777" w:rsidR="002653E8" w:rsidRDefault="003115E3">
      <w:pPr>
        <w:spacing w:before="12" w:line="276" w:lineRule="auto"/>
        <w:ind w:left="213" w:right="1206"/>
        <w:rPr>
          <w:rFonts w:ascii="Gill Sans MT"/>
          <w:sz w:val="18"/>
        </w:rPr>
      </w:pPr>
      <w:r>
        <w:rPr>
          <w:rFonts w:ascii="Gill Sans MT"/>
          <w:color w:val="231F20"/>
          <w:w w:val="115"/>
          <w:sz w:val="18"/>
        </w:rPr>
        <w:t xml:space="preserve">in damage and kills a </w:t>
      </w:r>
      <w:r>
        <w:rPr>
          <w:rFonts w:ascii="Gill Sans MT"/>
          <w:color w:val="231F20"/>
          <w:spacing w:val="-3"/>
          <w:w w:val="115"/>
          <w:sz w:val="18"/>
        </w:rPr>
        <w:t xml:space="preserve">soldier, </w:t>
      </w:r>
      <w:r>
        <w:rPr>
          <w:rFonts w:ascii="Gill Sans MT"/>
          <w:color w:val="231F20"/>
          <w:w w:val="115"/>
          <w:sz w:val="18"/>
        </w:rPr>
        <w:t>Frank Scarton, and a civilian employee, Becky Jo Bristol.</w:t>
      </w:r>
    </w:p>
    <w:p w14:paraId="6ABD6513" w14:textId="77777777" w:rsidR="002653E8" w:rsidRDefault="002653E8">
      <w:pPr>
        <w:spacing w:line="276" w:lineRule="auto"/>
        <w:rPr>
          <w:rFonts w:ascii="Gill Sans MT"/>
          <w:sz w:val="18"/>
        </w:rPr>
        <w:sectPr w:rsidR="002653E8">
          <w:footerReference w:type="even" r:id="rId532"/>
          <w:pgSz w:w="8640" w:h="12960"/>
          <w:pgMar w:top="1060" w:right="0" w:bottom="280" w:left="0" w:header="0" w:footer="0" w:gutter="0"/>
          <w:cols w:num="2" w:space="720" w:equalWidth="0">
            <w:col w:w="4277" w:space="40"/>
            <w:col w:w="4323"/>
          </w:cols>
        </w:sectPr>
      </w:pPr>
    </w:p>
    <w:p w14:paraId="7EDB714D" w14:textId="77777777" w:rsidR="002653E8" w:rsidRDefault="002653E8">
      <w:pPr>
        <w:pStyle w:val="a3"/>
        <w:rPr>
          <w:rFonts w:ascii="Gill Sans MT"/>
        </w:rPr>
      </w:pPr>
    </w:p>
    <w:p w14:paraId="43968A4A" w14:textId="77777777" w:rsidR="002653E8" w:rsidRDefault="002653E8">
      <w:pPr>
        <w:pStyle w:val="a3"/>
        <w:rPr>
          <w:rFonts w:ascii="Gill Sans MT"/>
        </w:rPr>
      </w:pPr>
    </w:p>
    <w:p w14:paraId="01440158" w14:textId="77777777" w:rsidR="002653E8" w:rsidRDefault="002653E8">
      <w:pPr>
        <w:pStyle w:val="a3"/>
        <w:spacing w:before="5"/>
        <w:rPr>
          <w:rFonts w:ascii="Gill Sans MT"/>
          <w:sz w:val="29"/>
        </w:rPr>
      </w:pPr>
    </w:p>
    <w:p w14:paraId="28F432E2" w14:textId="77777777" w:rsidR="002653E8" w:rsidRDefault="002653E8">
      <w:pPr>
        <w:rPr>
          <w:rFonts w:ascii="Gill Sans MT"/>
          <w:sz w:val="29"/>
        </w:rPr>
        <w:sectPr w:rsidR="002653E8">
          <w:type w:val="continuous"/>
          <w:pgSz w:w="8640" w:h="12960"/>
          <w:pgMar w:top="0" w:right="0" w:bottom="0" w:left="0" w:header="720" w:footer="720" w:gutter="0"/>
          <w:cols w:space="720"/>
        </w:sectPr>
      </w:pPr>
    </w:p>
    <w:p w14:paraId="3B50DE7F" w14:textId="77777777" w:rsidR="002653E8" w:rsidRDefault="003115E3">
      <w:pPr>
        <w:spacing w:before="144" w:line="244" w:lineRule="auto"/>
        <w:ind w:left="1327"/>
        <w:rPr>
          <w:sz w:val="18"/>
        </w:rPr>
      </w:pPr>
      <w:r>
        <w:rPr>
          <w:color w:val="231F20"/>
          <w:w w:val="115"/>
          <w:sz w:val="18"/>
        </w:rPr>
        <w:t>a chronology august 8, 1985</w:t>
      </w:r>
      <w:r>
        <w:rPr>
          <w:color w:val="231F20"/>
          <w:sz w:val="18"/>
        </w:rPr>
        <w:t xml:space="preserve"> </w:t>
      </w:r>
    </w:p>
    <w:p w14:paraId="28747DAD" w14:textId="77777777" w:rsidR="002653E8" w:rsidRDefault="003115E3">
      <w:pPr>
        <w:spacing w:before="99"/>
        <w:ind w:left="1346" w:right="1141"/>
        <w:jc w:val="center"/>
        <w:rPr>
          <w:sz w:val="18"/>
        </w:rPr>
      </w:pPr>
      <w:r>
        <w:br w:type="column"/>
      </w:r>
      <w:r>
        <w:rPr>
          <w:color w:val="231F20"/>
          <w:sz w:val="18"/>
        </w:rPr>
        <w:t xml:space="preserve">617 </w:t>
      </w:r>
    </w:p>
    <w:p w14:paraId="1806153D" w14:textId="77777777" w:rsidR="002653E8" w:rsidRDefault="002653E8">
      <w:pPr>
        <w:jc w:val="center"/>
        <w:rPr>
          <w:sz w:val="18"/>
        </w:rPr>
        <w:sectPr w:rsidR="002653E8">
          <w:type w:val="continuous"/>
          <w:pgSz w:w="8640" w:h="12960"/>
          <w:pgMar w:top="0" w:right="0" w:bottom="0" w:left="0" w:header="720" w:footer="720" w:gutter="0"/>
          <w:cols w:num="2" w:space="720" w:equalWidth="0">
            <w:col w:w="2991" w:space="2822"/>
            <w:col w:w="2827"/>
          </w:cols>
        </w:sectPr>
      </w:pPr>
    </w:p>
    <w:p w14:paraId="3C699243" w14:textId="77777777" w:rsidR="002653E8" w:rsidRDefault="003115E3">
      <w:pPr>
        <w:spacing w:before="91"/>
        <w:ind w:left="1147"/>
        <w:rPr>
          <w:rFonts w:ascii="Arial"/>
          <w:b/>
          <w:sz w:val="18"/>
        </w:rPr>
      </w:pPr>
      <w:r>
        <w:rPr>
          <w:rFonts w:ascii="Arial"/>
          <w:b/>
          <w:color w:val="231F20"/>
          <w:w w:val="115"/>
          <w:sz w:val="18"/>
        </w:rPr>
        <w:lastRenderedPageBreak/>
        <w:t>August 25, 1985</w:t>
      </w:r>
    </w:p>
    <w:p w14:paraId="391CEAA8" w14:textId="77777777" w:rsidR="002653E8" w:rsidRDefault="003115E3">
      <w:pPr>
        <w:spacing w:before="34" w:line="276" w:lineRule="auto"/>
        <w:ind w:left="1147" w:right="47"/>
        <w:rPr>
          <w:rFonts w:ascii="Gill Sans MT" w:hAnsi="Gill Sans MT"/>
          <w:sz w:val="18"/>
        </w:rPr>
      </w:pPr>
      <w:r>
        <w:rPr>
          <w:rFonts w:ascii="Gill Sans MT" w:hAnsi="Gill Sans MT"/>
          <w:color w:val="231F20"/>
          <w:w w:val="110"/>
          <w:sz w:val="18"/>
        </w:rPr>
        <w:t xml:space="preserve">In a second communiqué regarding the Rhein-Main Air Base action, the </w:t>
      </w:r>
      <w:r w:rsidR="00C507A5">
        <w:rPr>
          <w:rFonts w:ascii="Gill Sans MT" w:hAnsi="Gill Sans MT"/>
          <w:color w:val="231F20"/>
          <w:w w:val="110"/>
          <w:sz w:val="18"/>
        </w:rPr>
        <w:t>red army faction</w:t>
      </w:r>
      <w:r>
        <w:rPr>
          <w:rFonts w:ascii="Gill Sans MT" w:hAnsi="Gill Sans MT"/>
          <w:color w:val="231F20"/>
          <w:w w:val="110"/>
          <w:sz w:val="18"/>
        </w:rPr>
        <w:t xml:space="preserve"> claims responsibility for the killing of u.S. GI Edward Pimental, whose Id card they used to gain access to the Air Base for the August </w:t>
      </w:r>
      <w:r>
        <w:rPr>
          <w:rFonts w:ascii="Arial" w:hAnsi="Arial"/>
          <w:color w:val="231F20"/>
          <w:w w:val="110"/>
          <w:sz w:val="18"/>
        </w:rPr>
        <w:t>8</w:t>
      </w:r>
      <w:r>
        <w:rPr>
          <w:rFonts w:ascii="Gill Sans MT" w:hAnsi="Gill Sans MT"/>
          <w:color w:val="231F20"/>
          <w:w w:val="110"/>
          <w:sz w:val="18"/>
        </w:rPr>
        <w:t xml:space="preserve">, </w:t>
      </w:r>
      <w:r>
        <w:rPr>
          <w:rFonts w:ascii="Arial" w:hAnsi="Arial"/>
          <w:color w:val="231F20"/>
          <w:w w:val="110"/>
          <w:sz w:val="18"/>
        </w:rPr>
        <w:t xml:space="preserve">1985 </w:t>
      </w:r>
      <w:r>
        <w:rPr>
          <w:rFonts w:ascii="Gill Sans MT" w:hAnsi="Gill Sans MT"/>
          <w:color w:val="231F20"/>
          <w:w w:val="110"/>
          <w:sz w:val="18"/>
        </w:rPr>
        <w:t>action. Prior to the release of this communiqué, many supporters had denounced the killing as a false flag action. The execution of Pimental, which was clearly unnecessary, will provoke much criticism from the support scene.</w:t>
      </w:r>
    </w:p>
    <w:p w14:paraId="25631277" w14:textId="77777777" w:rsidR="002653E8" w:rsidRDefault="002653E8">
      <w:pPr>
        <w:pStyle w:val="a3"/>
        <w:spacing w:before="4"/>
        <w:rPr>
          <w:rFonts w:ascii="Gill Sans MT"/>
        </w:rPr>
      </w:pPr>
    </w:p>
    <w:p w14:paraId="64C81421" w14:textId="77777777" w:rsidR="002653E8" w:rsidRDefault="003115E3">
      <w:pPr>
        <w:ind w:left="1147"/>
        <w:rPr>
          <w:rFonts w:ascii="Arial"/>
          <w:b/>
          <w:sz w:val="18"/>
        </w:rPr>
      </w:pPr>
      <w:r>
        <w:rPr>
          <w:rFonts w:ascii="Arial"/>
          <w:b/>
          <w:color w:val="231F20"/>
          <w:w w:val="115"/>
          <w:sz w:val="18"/>
        </w:rPr>
        <w:t>September 1985</w:t>
      </w:r>
    </w:p>
    <w:p w14:paraId="6AB918F7" w14:textId="77777777" w:rsidR="002653E8" w:rsidRDefault="003115E3">
      <w:pPr>
        <w:spacing w:before="35" w:line="271" w:lineRule="auto"/>
        <w:ind w:left="1147"/>
        <w:rPr>
          <w:rFonts w:ascii="Gill Sans MT" w:hAnsi="Gill Sans MT"/>
          <w:sz w:val="18"/>
        </w:rPr>
      </w:pPr>
      <w:r>
        <w:rPr>
          <w:rFonts w:ascii="Gill Sans MT" w:hAnsi="Gill Sans MT"/>
          <w:color w:val="231F20"/>
          <w:w w:val="110"/>
          <w:sz w:val="18"/>
        </w:rPr>
        <w:t xml:space="preserve">The illegal </w:t>
      </w:r>
      <w:r w:rsidR="00C507A5">
        <w:rPr>
          <w:rFonts w:ascii="Gill Sans MT" w:hAnsi="Gill Sans MT"/>
          <w:color w:val="231F20"/>
          <w:w w:val="110"/>
          <w:sz w:val="18"/>
        </w:rPr>
        <w:t>red army faction</w:t>
      </w:r>
      <w:r>
        <w:rPr>
          <w:rFonts w:ascii="Gill Sans MT" w:hAnsi="Gill Sans MT"/>
          <w:color w:val="231F20"/>
          <w:w w:val="110"/>
          <w:sz w:val="18"/>
        </w:rPr>
        <w:t xml:space="preserve"> support newspaper </w:t>
      </w:r>
      <w:r>
        <w:rPr>
          <w:rFonts w:ascii="Lucida Sans" w:hAnsi="Lucida Sans"/>
          <w:i/>
          <w:color w:val="231F20"/>
          <w:w w:val="105"/>
          <w:sz w:val="18"/>
        </w:rPr>
        <w:t xml:space="preserve">Zusammen kämpfen </w:t>
      </w:r>
      <w:r>
        <w:rPr>
          <w:rFonts w:ascii="Gill Sans MT" w:hAnsi="Gill Sans MT"/>
          <w:color w:val="231F20"/>
          <w:w w:val="105"/>
          <w:sz w:val="18"/>
        </w:rPr>
        <w:t xml:space="preserve">releases an </w:t>
      </w:r>
      <w:r>
        <w:rPr>
          <w:rFonts w:ascii="Gill Sans MT" w:hAnsi="Gill Sans MT"/>
          <w:color w:val="231F20"/>
          <w:w w:val="110"/>
          <w:sz w:val="18"/>
        </w:rPr>
        <w:t xml:space="preserve">interview with the </w:t>
      </w:r>
      <w:r w:rsidR="00C507A5">
        <w:rPr>
          <w:rFonts w:ascii="Gill Sans MT" w:hAnsi="Gill Sans MT"/>
          <w:color w:val="231F20"/>
          <w:w w:val="110"/>
          <w:sz w:val="18"/>
        </w:rPr>
        <w:t>red army faction</w:t>
      </w:r>
      <w:r>
        <w:rPr>
          <w:rFonts w:ascii="Gill Sans MT" w:hAnsi="Gill Sans MT"/>
          <w:color w:val="231F20"/>
          <w:w w:val="110"/>
          <w:sz w:val="18"/>
        </w:rPr>
        <w:t xml:space="preserve"> entitled</w:t>
      </w:r>
    </w:p>
    <w:p w14:paraId="59FFB9E9" w14:textId="77777777" w:rsidR="002653E8" w:rsidRDefault="003115E3">
      <w:pPr>
        <w:spacing w:line="276" w:lineRule="auto"/>
        <w:ind w:left="1147" w:right="-13" w:hanging="1"/>
        <w:rPr>
          <w:rFonts w:ascii="Gill Sans MT" w:hAnsi="Gill Sans MT"/>
          <w:sz w:val="18"/>
        </w:rPr>
      </w:pPr>
      <w:r>
        <w:rPr>
          <w:rFonts w:ascii="Lucida Sans" w:hAnsi="Lucida Sans"/>
          <w:i/>
          <w:color w:val="231F20"/>
          <w:w w:val="105"/>
          <w:sz w:val="18"/>
        </w:rPr>
        <w:t xml:space="preserve">An die, die mit uns kämpfen </w:t>
      </w:r>
      <w:r>
        <w:rPr>
          <w:rFonts w:ascii="Gill Sans MT" w:hAnsi="Gill Sans MT"/>
          <w:color w:val="231F20"/>
          <w:w w:val="105"/>
          <w:sz w:val="18"/>
        </w:rPr>
        <w:t>(To Those Who Struggle Alongside us), addressing questions and criticisms that have arisen on the left in the wake of the Pimental killing.</w:t>
      </w:r>
    </w:p>
    <w:p w14:paraId="428BF4FD" w14:textId="77777777" w:rsidR="002653E8" w:rsidRDefault="002653E8">
      <w:pPr>
        <w:pStyle w:val="a3"/>
        <w:spacing w:before="4"/>
        <w:rPr>
          <w:rFonts w:ascii="Gill Sans MT"/>
        </w:rPr>
      </w:pPr>
    </w:p>
    <w:p w14:paraId="0E42637B" w14:textId="77777777" w:rsidR="002653E8" w:rsidRDefault="003115E3">
      <w:pPr>
        <w:ind w:left="1147"/>
        <w:rPr>
          <w:rFonts w:ascii="Arial"/>
          <w:b/>
          <w:sz w:val="18"/>
        </w:rPr>
      </w:pPr>
      <w:r>
        <w:rPr>
          <w:rFonts w:ascii="Arial"/>
          <w:b/>
          <w:color w:val="231F20"/>
          <w:w w:val="115"/>
          <w:sz w:val="18"/>
        </w:rPr>
        <w:t>December 6, 1985</w:t>
      </w:r>
    </w:p>
    <w:p w14:paraId="23EF29CC" w14:textId="77777777" w:rsidR="002653E8" w:rsidRDefault="003115E3">
      <w:pPr>
        <w:spacing w:before="35" w:line="276" w:lineRule="auto"/>
        <w:ind w:left="1147" w:right="-18"/>
        <w:rPr>
          <w:rFonts w:ascii="Gill Sans MT"/>
          <w:sz w:val="18"/>
        </w:rPr>
      </w:pPr>
      <w:r>
        <w:rPr>
          <w:rFonts w:ascii="Gill Sans MT"/>
          <w:color w:val="231F20"/>
          <w:w w:val="110"/>
          <w:sz w:val="18"/>
        </w:rPr>
        <w:t xml:space="preserve">The Stuttgart OLG sentences </w:t>
      </w:r>
      <w:r w:rsidR="00C507A5">
        <w:rPr>
          <w:rFonts w:ascii="Gill Sans MT"/>
          <w:color w:val="231F20"/>
          <w:w w:val="110"/>
          <w:sz w:val="18"/>
        </w:rPr>
        <w:t>red army faction</w:t>
      </w:r>
      <w:r>
        <w:rPr>
          <w:rFonts w:ascii="Gill Sans MT"/>
          <w:color w:val="231F20"/>
          <w:w w:val="110"/>
          <w:sz w:val="18"/>
        </w:rPr>
        <w:t xml:space="preserve"> supporter Claudia</w:t>
      </w:r>
      <w:r>
        <w:rPr>
          <w:rFonts w:ascii="Gill Sans MT"/>
          <w:color w:val="231F20"/>
          <w:spacing w:val="-41"/>
          <w:w w:val="110"/>
          <w:sz w:val="18"/>
        </w:rPr>
        <w:t xml:space="preserve"> </w:t>
      </w:r>
      <w:r>
        <w:rPr>
          <w:rFonts w:ascii="Gill Sans MT"/>
          <w:color w:val="231F20"/>
          <w:w w:val="110"/>
          <w:sz w:val="18"/>
        </w:rPr>
        <w:t>Wannersdorfer</w:t>
      </w:r>
      <w:r>
        <w:rPr>
          <w:rFonts w:ascii="Gill Sans MT"/>
          <w:color w:val="231F20"/>
          <w:spacing w:val="-21"/>
          <w:w w:val="110"/>
          <w:sz w:val="18"/>
        </w:rPr>
        <w:t xml:space="preserve"> </w:t>
      </w:r>
      <w:r>
        <w:rPr>
          <w:rFonts w:ascii="Gill Sans MT"/>
          <w:color w:val="231F20"/>
          <w:w w:val="110"/>
          <w:sz w:val="18"/>
        </w:rPr>
        <w:t>to</w:t>
      </w:r>
      <w:r>
        <w:rPr>
          <w:rFonts w:ascii="Gill Sans MT"/>
          <w:color w:val="231F20"/>
          <w:w w:val="106"/>
          <w:sz w:val="18"/>
        </w:rPr>
        <w:t xml:space="preserve"> </w:t>
      </w:r>
      <w:r>
        <w:rPr>
          <w:rFonts w:ascii="Gill Sans MT"/>
          <w:color w:val="231F20"/>
          <w:w w:val="110"/>
          <w:sz w:val="18"/>
        </w:rPr>
        <w:t>eight years in</w:t>
      </w:r>
      <w:r>
        <w:rPr>
          <w:rFonts w:ascii="Gill Sans MT"/>
          <w:color w:val="231F20"/>
          <w:spacing w:val="-12"/>
          <w:w w:val="110"/>
          <w:sz w:val="18"/>
        </w:rPr>
        <w:t xml:space="preserve"> </w:t>
      </w:r>
      <w:r>
        <w:rPr>
          <w:rFonts w:ascii="Gill Sans MT"/>
          <w:color w:val="231F20"/>
          <w:w w:val="110"/>
          <w:sz w:val="18"/>
        </w:rPr>
        <w:t>prison.</w:t>
      </w:r>
    </w:p>
    <w:p w14:paraId="29232EDC" w14:textId="77777777" w:rsidR="002653E8" w:rsidRDefault="002653E8">
      <w:pPr>
        <w:pStyle w:val="a3"/>
        <w:rPr>
          <w:rFonts w:ascii="Gill Sans MT"/>
        </w:rPr>
      </w:pPr>
    </w:p>
    <w:p w14:paraId="45C966CB" w14:textId="77777777" w:rsidR="002653E8" w:rsidRDefault="002653E8">
      <w:pPr>
        <w:pStyle w:val="a3"/>
        <w:rPr>
          <w:rFonts w:ascii="Gill Sans MT"/>
        </w:rPr>
      </w:pPr>
    </w:p>
    <w:p w14:paraId="5A794E6A" w14:textId="77777777" w:rsidR="002653E8" w:rsidRDefault="003115E3">
      <w:pPr>
        <w:pStyle w:val="5"/>
        <w:spacing w:before="1"/>
        <w:ind w:left="1147"/>
      </w:pPr>
      <w:r>
        <w:rPr>
          <w:color w:val="231F20"/>
          <w:w w:val="120"/>
        </w:rPr>
        <w:t>1986</w:t>
      </w:r>
    </w:p>
    <w:p w14:paraId="7AC21C16" w14:textId="77777777" w:rsidR="002653E8" w:rsidRDefault="003115E3">
      <w:pPr>
        <w:spacing w:before="11"/>
        <w:ind w:left="1147"/>
        <w:rPr>
          <w:rFonts w:ascii="Arial"/>
          <w:b/>
          <w:sz w:val="18"/>
        </w:rPr>
      </w:pPr>
      <w:r>
        <w:rPr>
          <w:rFonts w:ascii="Arial"/>
          <w:b/>
          <w:color w:val="231F20"/>
          <w:w w:val="115"/>
          <w:sz w:val="18"/>
        </w:rPr>
        <w:t>January 1986</w:t>
      </w:r>
    </w:p>
    <w:p w14:paraId="03BC6132" w14:textId="77777777" w:rsidR="002653E8" w:rsidRDefault="003115E3">
      <w:pPr>
        <w:spacing w:before="28" w:line="271" w:lineRule="auto"/>
        <w:ind w:left="1147" w:right="9"/>
        <w:rPr>
          <w:rFonts w:ascii="Gill Sans MT" w:hAnsi="Gill Sans MT"/>
          <w:sz w:val="18"/>
        </w:rPr>
      </w:pPr>
      <w:r>
        <w:rPr>
          <w:rFonts w:ascii="Gill Sans MT" w:hAnsi="Gill Sans MT"/>
          <w:color w:val="231F20"/>
          <w:w w:val="105"/>
          <w:sz w:val="18"/>
        </w:rPr>
        <w:t>The</w:t>
      </w:r>
      <w:r>
        <w:rPr>
          <w:rFonts w:ascii="Gill Sans MT" w:hAnsi="Gill Sans MT"/>
          <w:color w:val="231F20"/>
          <w:spacing w:val="-28"/>
          <w:w w:val="105"/>
          <w:sz w:val="18"/>
        </w:rPr>
        <w:t xml:space="preserve"> </w:t>
      </w:r>
      <w:r w:rsidR="00C507A5">
        <w:rPr>
          <w:rFonts w:ascii="Gill Sans MT" w:hAnsi="Gill Sans MT"/>
          <w:color w:val="231F20"/>
          <w:w w:val="105"/>
          <w:sz w:val="18"/>
        </w:rPr>
        <w:t>red army faction</w:t>
      </w:r>
      <w:r>
        <w:rPr>
          <w:rFonts w:ascii="Gill Sans MT" w:hAnsi="Gill Sans MT"/>
          <w:color w:val="231F20"/>
          <w:spacing w:val="-28"/>
          <w:w w:val="105"/>
          <w:sz w:val="18"/>
        </w:rPr>
        <w:t xml:space="preserve"> </w:t>
      </w:r>
      <w:r>
        <w:rPr>
          <w:rFonts w:ascii="Gill Sans MT" w:hAnsi="Gill Sans MT"/>
          <w:color w:val="231F20"/>
          <w:w w:val="105"/>
          <w:sz w:val="18"/>
        </w:rPr>
        <w:t>releases</w:t>
      </w:r>
      <w:r>
        <w:rPr>
          <w:rFonts w:ascii="Gill Sans MT" w:hAnsi="Gill Sans MT"/>
          <w:color w:val="231F20"/>
          <w:spacing w:val="-28"/>
          <w:w w:val="105"/>
          <w:sz w:val="18"/>
        </w:rPr>
        <w:t xml:space="preserve"> </w:t>
      </w:r>
      <w:r>
        <w:rPr>
          <w:rFonts w:ascii="Lucida Sans" w:hAnsi="Lucida Sans"/>
          <w:i/>
          <w:color w:val="231F20"/>
          <w:w w:val="105"/>
          <w:sz w:val="18"/>
        </w:rPr>
        <w:t>Die</w:t>
      </w:r>
      <w:r>
        <w:rPr>
          <w:rFonts w:ascii="Lucida Sans" w:hAnsi="Lucida Sans"/>
          <w:i/>
          <w:color w:val="231F20"/>
          <w:spacing w:val="-36"/>
          <w:w w:val="105"/>
          <w:sz w:val="18"/>
        </w:rPr>
        <w:t xml:space="preserve"> </w:t>
      </w:r>
      <w:r>
        <w:rPr>
          <w:rFonts w:ascii="Lucida Sans" w:hAnsi="Lucida Sans"/>
          <w:i/>
          <w:color w:val="231F20"/>
          <w:w w:val="105"/>
          <w:sz w:val="18"/>
        </w:rPr>
        <w:t xml:space="preserve">revolutionäre Front aufbauen </w:t>
      </w:r>
      <w:r>
        <w:rPr>
          <w:rFonts w:ascii="Gill Sans MT" w:hAnsi="Gill Sans MT"/>
          <w:color w:val="231F20"/>
          <w:w w:val="105"/>
          <w:sz w:val="18"/>
        </w:rPr>
        <w:t xml:space="preserve">(Build the Revolutionary Front), an assessment of their </w:t>
      </w:r>
      <w:r>
        <w:rPr>
          <w:rFonts w:ascii="Arial" w:hAnsi="Arial"/>
          <w:color w:val="231F20"/>
          <w:w w:val="105"/>
          <w:sz w:val="18"/>
        </w:rPr>
        <w:t>1984</w:t>
      </w:r>
      <w:r>
        <w:rPr>
          <w:rFonts w:ascii="Gill Sans MT" w:hAnsi="Gill Sans MT"/>
          <w:color w:val="231F20"/>
          <w:w w:val="105"/>
          <w:sz w:val="18"/>
        </w:rPr>
        <w:t>-</w:t>
      </w:r>
      <w:r>
        <w:rPr>
          <w:rFonts w:ascii="Arial" w:hAnsi="Arial"/>
          <w:color w:val="231F20"/>
          <w:w w:val="105"/>
          <w:sz w:val="18"/>
        </w:rPr>
        <w:t xml:space="preserve">1985 </w:t>
      </w:r>
      <w:r>
        <w:rPr>
          <w:rFonts w:ascii="Gill Sans MT" w:hAnsi="Gill Sans MT"/>
          <w:color w:val="231F20"/>
          <w:w w:val="105"/>
          <w:sz w:val="18"/>
        </w:rPr>
        <w:t>offensive</w:t>
      </w:r>
      <w:r>
        <w:rPr>
          <w:rFonts w:ascii="Gill Sans MT" w:hAnsi="Gill Sans MT"/>
          <w:color w:val="231F20"/>
          <w:spacing w:val="15"/>
          <w:w w:val="105"/>
          <w:sz w:val="18"/>
        </w:rPr>
        <w:t xml:space="preserve"> </w:t>
      </w:r>
      <w:r>
        <w:rPr>
          <w:rFonts w:ascii="Gill Sans MT" w:hAnsi="Gill Sans MT"/>
          <w:color w:val="231F20"/>
          <w:w w:val="105"/>
          <w:sz w:val="18"/>
        </w:rPr>
        <w:t>and</w:t>
      </w:r>
    </w:p>
    <w:p w14:paraId="6CE96F89" w14:textId="77777777" w:rsidR="002653E8" w:rsidRDefault="003115E3">
      <w:pPr>
        <w:spacing w:before="7" w:line="276" w:lineRule="auto"/>
        <w:ind w:left="1147" w:right="66"/>
        <w:rPr>
          <w:rFonts w:ascii="Gill Sans MT"/>
          <w:sz w:val="18"/>
        </w:rPr>
      </w:pPr>
      <w:r>
        <w:rPr>
          <w:rFonts w:ascii="Gill Sans MT"/>
          <w:color w:val="231F20"/>
          <w:w w:val="110"/>
          <w:sz w:val="18"/>
        </w:rPr>
        <w:t>a call for the further development of the revolutionary front in West Germany and West Europe.</w:t>
      </w:r>
    </w:p>
    <w:p w14:paraId="5268D9B3" w14:textId="77777777" w:rsidR="002653E8" w:rsidRDefault="003115E3">
      <w:pPr>
        <w:spacing w:before="90" w:line="276" w:lineRule="auto"/>
        <w:ind w:left="237" w:right="1327"/>
        <w:rPr>
          <w:rFonts w:ascii="Gill Sans MT" w:hAnsi="Gill Sans MT"/>
          <w:sz w:val="18"/>
        </w:rPr>
      </w:pPr>
      <w:r>
        <w:br w:type="column"/>
      </w:r>
      <w:r>
        <w:rPr>
          <w:rFonts w:ascii="Arial" w:hAnsi="Arial"/>
          <w:b/>
          <w:color w:val="231F20"/>
          <w:w w:val="110"/>
          <w:sz w:val="18"/>
        </w:rPr>
        <w:t xml:space="preserve">January 31–February 4, 1986 </w:t>
      </w:r>
      <w:r>
        <w:rPr>
          <w:rFonts w:ascii="Gill Sans MT" w:hAnsi="Gill Sans MT"/>
          <w:color w:val="231F20"/>
          <w:w w:val="110"/>
          <w:sz w:val="18"/>
        </w:rPr>
        <w:t xml:space="preserve">The Anti-Capitalist and AntiImperialist Resistance in Western Europe Conference in Frankfurt, organized by </w:t>
      </w:r>
      <w:r w:rsidR="00C507A5">
        <w:rPr>
          <w:rFonts w:ascii="Gill Sans MT" w:hAnsi="Gill Sans MT"/>
          <w:color w:val="231F20"/>
          <w:w w:val="110"/>
          <w:sz w:val="18"/>
        </w:rPr>
        <w:t>red army faction</w:t>
      </w:r>
      <w:r>
        <w:rPr>
          <w:rFonts w:ascii="Gill Sans MT" w:hAnsi="Gill Sans MT"/>
          <w:color w:val="231F20"/>
          <w:w w:val="110"/>
          <w:sz w:val="18"/>
        </w:rPr>
        <w:t xml:space="preserve"> supporters to advance the Front concept, draws thousands from all over West Europe and around the world.</w:t>
      </w:r>
    </w:p>
    <w:p w14:paraId="1B74767B" w14:textId="77777777" w:rsidR="002653E8" w:rsidRDefault="002653E8">
      <w:pPr>
        <w:pStyle w:val="a3"/>
        <w:spacing w:before="10"/>
        <w:rPr>
          <w:rFonts w:ascii="Gill Sans MT"/>
        </w:rPr>
      </w:pPr>
    </w:p>
    <w:p w14:paraId="5DF206FA" w14:textId="77777777" w:rsidR="002653E8" w:rsidRDefault="003115E3">
      <w:pPr>
        <w:ind w:left="237"/>
        <w:rPr>
          <w:rFonts w:ascii="Arial"/>
          <w:b/>
          <w:sz w:val="18"/>
        </w:rPr>
      </w:pPr>
      <w:r>
        <w:rPr>
          <w:rFonts w:ascii="Arial"/>
          <w:b/>
          <w:color w:val="231F20"/>
          <w:w w:val="115"/>
          <w:sz w:val="18"/>
        </w:rPr>
        <w:t>March 1986</w:t>
      </w:r>
    </w:p>
    <w:p w14:paraId="29028ACD" w14:textId="77777777" w:rsidR="002653E8" w:rsidRDefault="003115E3">
      <w:pPr>
        <w:spacing w:before="35" w:line="271" w:lineRule="auto"/>
        <w:ind w:left="237" w:right="1327"/>
        <w:rPr>
          <w:rFonts w:ascii="Gill Sans MT"/>
          <w:sz w:val="18"/>
        </w:rPr>
      </w:pPr>
      <w:r>
        <w:rPr>
          <w:rFonts w:ascii="Gill Sans MT"/>
          <w:color w:val="231F20"/>
          <w:w w:val="110"/>
          <w:sz w:val="18"/>
        </w:rPr>
        <w:t xml:space="preserve">All over West Germany there are actions against the Reinhard Hauff film, </w:t>
      </w:r>
      <w:r>
        <w:rPr>
          <w:rFonts w:ascii="Lucida Sans"/>
          <w:i/>
          <w:color w:val="231F20"/>
          <w:w w:val="110"/>
          <w:sz w:val="18"/>
        </w:rPr>
        <w:t xml:space="preserve">Stammheim, </w:t>
      </w:r>
      <w:r>
        <w:rPr>
          <w:rFonts w:ascii="Gill Sans MT"/>
          <w:color w:val="231F20"/>
          <w:w w:val="110"/>
          <w:sz w:val="18"/>
        </w:rPr>
        <w:t xml:space="preserve">based on the Stefan Aust book, </w:t>
      </w:r>
      <w:r>
        <w:rPr>
          <w:rFonts w:ascii="Lucida Sans"/>
          <w:i/>
          <w:color w:val="231F20"/>
          <w:w w:val="110"/>
          <w:sz w:val="18"/>
        </w:rPr>
        <w:t>Der Baader</w:t>
      </w:r>
      <w:r>
        <w:rPr>
          <w:rFonts w:ascii="Lucida Sans"/>
          <w:i/>
          <w:color w:val="231F20"/>
          <w:w w:val="105"/>
          <w:sz w:val="18"/>
        </w:rPr>
        <w:t xml:space="preserve">Meinhof komplex. </w:t>
      </w:r>
      <w:r>
        <w:rPr>
          <w:rFonts w:ascii="Gill Sans MT"/>
          <w:color w:val="231F20"/>
          <w:w w:val="105"/>
          <w:sz w:val="18"/>
        </w:rPr>
        <w:t xml:space="preserve">Both are seen as </w:t>
      </w:r>
      <w:r>
        <w:rPr>
          <w:rFonts w:ascii="Gill Sans MT"/>
          <w:color w:val="231F20"/>
          <w:w w:val="110"/>
          <w:sz w:val="18"/>
        </w:rPr>
        <w:t>counterinsurgency pieces.</w:t>
      </w:r>
    </w:p>
    <w:p w14:paraId="6193961D" w14:textId="77777777" w:rsidR="002653E8" w:rsidRDefault="002653E8">
      <w:pPr>
        <w:pStyle w:val="a3"/>
        <w:spacing w:before="10"/>
        <w:rPr>
          <w:rFonts w:ascii="Gill Sans MT"/>
        </w:rPr>
      </w:pPr>
    </w:p>
    <w:p w14:paraId="75F2C6DA" w14:textId="77777777" w:rsidR="002653E8" w:rsidRDefault="003115E3">
      <w:pPr>
        <w:ind w:left="237"/>
        <w:rPr>
          <w:rFonts w:ascii="Arial"/>
          <w:b/>
          <w:sz w:val="18"/>
        </w:rPr>
      </w:pPr>
      <w:r>
        <w:rPr>
          <w:rFonts w:ascii="Arial"/>
          <w:b/>
          <w:color w:val="231F20"/>
          <w:w w:val="115"/>
          <w:sz w:val="18"/>
        </w:rPr>
        <w:t>July 9, 1986</w:t>
      </w:r>
    </w:p>
    <w:p w14:paraId="7DC37DBF" w14:textId="77777777" w:rsidR="002653E8" w:rsidRDefault="003115E3">
      <w:pPr>
        <w:spacing w:before="34" w:line="276" w:lineRule="auto"/>
        <w:ind w:left="237" w:right="1333" w:hanging="1"/>
        <w:rPr>
          <w:rFonts w:ascii="Gill Sans MT" w:hAnsi="Gill Sans MT"/>
          <w:sz w:val="18"/>
        </w:rPr>
      </w:pPr>
      <w:r>
        <w:rPr>
          <w:rFonts w:ascii="Gill Sans MT" w:hAnsi="Gill Sans MT"/>
          <w:color w:val="231F20"/>
          <w:w w:val="115"/>
          <w:sz w:val="18"/>
        </w:rPr>
        <w:t xml:space="preserve">The </w:t>
      </w:r>
      <w:r w:rsidR="00C507A5">
        <w:rPr>
          <w:rFonts w:ascii="Gill Sans MT" w:hAnsi="Gill Sans MT"/>
          <w:color w:val="231F20"/>
          <w:w w:val="115"/>
          <w:sz w:val="18"/>
        </w:rPr>
        <w:t>red army faction</w:t>
      </w:r>
      <w:r>
        <w:rPr>
          <w:rFonts w:ascii="Gill Sans MT" w:hAnsi="Gill Sans MT"/>
          <w:color w:val="231F20"/>
          <w:w w:val="115"/>
          <w:sz w:val="18"/>
        </w:rPr>
        <w:t>’s Mara Cagol Commando assassinates Karl Heinz Beckurts, the President of Siemens and a key figure in Strategic defense Initiative (Star Wars) development, and his chauffer Eckhard Groppler.</w:t>
      </w:r>
    </w:p>
    <w:p w14:paraId="4FBBFF99" w14:textId="77777777" w:rsidR="002653E8" w:rsidRDefault="002653E8">
      <w:pPr>
        <w:pStyle w:val="a3"/>
        <w:spacing w:before="6"/>
        <w:rPr>
          <w:rFonts w:ascii="Gill Sans MT"/>
        </w:rPr>
      </w:pPr>
    </w:p>
    <w:p w14:paraId="7A496A1E" w14:textId="77777777" w:rsidR="002653E8" w:rsidRDefault="003115E3">
      <w:pPr>
        <w:spacing w:before="1"/>
        <w:ind w:left="237"/>
        <w:rPr>
          <w:rFonts w:ascii="Arial"/>
          <w:b/>
          <w:sz w:val="18"/>
        </w:rPr>
      </w:pPr>
      <w:r>
        <w:rPr>
          <w:rFonts w:ascii="Arial"/>
          <w:b/>
          <w:color w:val="231F20"/>
          <w:w w:val="115"/>
          <w:sz w:val="18"/>
        </w:rPr>
        <w:t>October 10, 1986</w:t>
      </w:r>
    </w:p>
    <w:p w14:paraId="6D79036C" w14:textId="77777777" w:rsidR="002653E8" w:rsidRDefault="003115E3">
      <w:pPr>
        <w:spacing w:before="34" w:line="276" w:lineRule="auto"/>
        <w:ind w:left="237" w:right="1327"/>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w w:val="110"/>
          <w:sz w:val="18"/>
        </w:rPr>
        <w:t>red army faction</w:t>
      </w:r>
      <w:r>
        <w:rPr>
          <w:rFonts w:ascii="Gill Sans MT" w:hAnsi="Gill Sans MT"/>
          <w:color w:val="231F20"/>
          <w:w w:val="110"/>
          <w:sz w:val="18"/>
        </w:rPr>
        <w:t>’s Ingrid Schubert Commando assassinates Foreign department director Gerold von Braunmühl in Bonn for his role in restructuring West Europe into</w:t>
      </w:r>
    </w:p>
    <w:p w14:paraId="56853042" w14:textId="77777777" w:rsidR="002653E8" w:rsidRDefault="003115E3">
      <w:pPr>
        <w:spacing w:line="276" w:lineRule="auto"/>
        <w:ind w:left="237" w:right="1394"/>
        <w:rPr>
          <w:rFonts w:ascii="Gill Sans MT"/>
          <w:sz w:val="18"/>
        </w:rPr>
      </w:pPr>
      <w:r>
        <w:rPr>
          <w:rFonts w:ascii="Gill Sans MT"/>
          <w:color w:val="231F20"/>
          <w:w w:val="110"/>
          <w:sz w:val="18"/>
        </w:rPr>
        <w:t>a unified imperialist bloc geared towards destabilizing the Eastern Bloc and rolling back the antiimperialist movement in the Third World. The murder has never been solved.</w:t>
      </w:r>
    </w:p>
    <w:p w14:paraId="4E992EB7" w14:textId="77777777" w:rsidR="002653E8" w:rsidRDefault="002653E8">
      <w:pPr>
        <w:spacing w:line="276" w:lineRule="auto"/>
        <w:rPr>
          <w:rFonts w:ascii="Gill Sans MT"/>
          <w:sz w:val="18"/>
        </w:rPr>
        <w:sectPr w:rsidR="002653E8">
          <w:footerReference w:type="default" r:id="rId533"/>
          <w:pgSz w:w="8640" w:h="12960"/>
          <w:pgMar w:top="1060" w:right="0" w:bottom="280" w:left="0" w:header="0" w:footer="0" w:gutter="0"/>
          <w:cols w:num="2" w:space="720" w:equalWidth="0">
            <w:col w:w="4073" w:space="40"/>
            <w:col w:w="4527"/>
          </w:cols>
        </w:sectPr>
      </w:pPr>
    </w:p>
    <w:p w14:paraId="65A1FB0B" w14:textId="77777777" w:rsidR="002653E8" w:rsidRDefault="002653E8">
      <w:pPr>
        <w:pStyle w:val="a3"/>
        <w:rPr>
          <w:rFonts w:ascii="Gill Sans MT"/>
        </w:rPr>
      </w:pPr>
    </w:p>
    <w:p w14:paraId="1228C9AA" w14:textId="77777777" w:rsidR="002653E8" w:rsidRDefault="002653E8">
      <w:pPr>
        <w:pStyle w:val="a3"/>
        <w:rPr>
          <w:rFonts w:ascii="Gill Sans MT"/>
        </w:rPr>
      </w:pPr>
    </w:p>
    <w:p w14:paraId="41CD2B1E" w14:textId="77777777" w:rsidR="002653E8" w:rsidRDefault="002653E8">
      <w:pPr>
        <w:pStyle w:val="a3"/>
        <w:spacing w:before="11"/>
        <w:rPr>
          <w:rFonts w:ascii="Gill Sans MT"/>
          <w:sz w:val="23"/>
        </w:rPr>
      </w:pPr>
    </w:p>
    <w:p w14:paraId="76FBE5C0" w14:textId="77777777" w:rsidR="002653E8" w:rsidRDefault="003115E3">
      <w:pPr>
        <w:tabs>
          <w:tab w:val="left" w:pos="3677"/>
        </w:tabs>
        <w:spacing w:before="98" w:line="244" w:lineRule="auto"/>
        <w:ind w:left="5589" w:right="1325" w:hanging="4442"/>
        <w:rPr>
          <w:sz w:val="18"/>
        </w:rPr>
      </w:pPr>
      <w:r>
        <w:rPr>
          <w:color w:val="231F20"/>
          <w:spacing w:val="15"/>
          <w:w w:val="110"/>
          <w:position w:val="5"/>
          <w:sz w:val="18"/>
        </w:rPr>
        <w:lastRenderedPageBreak/>
        <w:t>618</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20"/>
          <w:w w:val="110"/>
          <w:sz w:val="18"/>
        </w:rPr>
        <w:t xml:space="preserve">germany august </w:t>
      </w:r>
      <w:r>
        <w:rPr>
          <w:color w:val="231F20"/>
          <w:spacing w:val="15"/>
          <w:w w:val="110"/>
          <w:sz w:val="18"/>
        </w:rPr>
        <w:t>25,</w:t>
      </w:r>
      <w:r>
        <w:rPr>
          <w:color w:val="231F20"/>
          <w:spacing w:val="46"/>
          <w:w w:val="110"/>
          <w:sz w:val="18"/>
        </w:rPr>
        <w:t xml:space="preserve"> </w:t>
      </w:r>
      <w:r>
        <w:rPr>
          <w:color w:val="231F20"/>
          <w:spacing w:val="17"/>
          <w:w w:val="110"/>
          <w:sz w:val="18"/>
        </w:rPr>
        <w:t>1985</w:t>
      </w:r>
      <w:r>
        <w:rPr>
          <w:color w:val="231F20"/>
          <w:spacing w:val="-15"/>
          <w:sz w:val="18"/>
        </w:rPr>
        <w:t xml:space="preserve"> </w:t>
      </w:r>
    </w:p>
    <w:p w14:paraId="38A9FE5F" w14:textId="77777777" w:rsidR="002653E8" w:rsidRDefault="002653E8">
      <w:pPr>
        <w:spacing w:line="244" w:lineRule="auto"/>
        <w:rPr>
          <w:sz w:val="18"/>
        </w:rPr>
        <w:sectPr w:rsidR="002653E8">
          <w:type w:val="continuous"/>
          <w:pgSz w:w="8640" w:h="12960"/>
          <w:pgMar w:top="0" w:right="0" w:bottom="0" w:left="0" w:header="720" w:footer="720" w:gutter="0"/>
          <w:cols w:space="720"/>
        </w:sectPr>
      </w:pPr>
    </w:p>
    <w:p w14:paraId="6C9053A8" w14:textId="77777777" w:rsidR="002653E8" w:rsidRDefault="003115E3">
      <w:pPr>
        <w:spacing w:before="91"/>
        <w:ind w:left="1327"/>
        <w:rPr>
          <w:rFonts w:ascii="Arial"/>
          <w:b/>
          <w:sz w:val="18"/>
        </w:rPr>
      </w:pPr>
      <w:r>
        <w:rPr>
          <w:rFonts w:ascii="Arial"/>
          <w:b/>
          <w:color w:val="231F20"/>
          <w:w w:val="115"/>
          <w:sz w:val="18"/>
        </w:rPr>
        <w:lastRenderedPageBreak/>
        <w:t>November 28, 1986</w:t>
      </w:r>
    </w:p>
    <w:p w14:paraId="77E6495E" w14:textId="77777777" w:rsidR="002653E8" w:rsidRDefault="003115E3">
      <w:pPr>
        <w:spacing w:before="34" w:line="276" w:lineRule="auto"/>
        <w:ind w:left="1327" w:right="8"/>
        <w:rPr>
          <w:rFonts w:ascii="Gill Sans MT" w:hAnsi="Gill Sans MT"/>
          <w:sz w:val="18"/>
        </w:rPr>
      </w:pPr>
      <w:r>
        <w:rPr>
          <w:rFonts w:ascii="Gill Sans MT" w:hAnsi="Gill Sans MT"/>
          <w:color w:val="231F20"/>
          <w:w w:val="115"/>
          <w:sz w:val="18"/>
        </w:rPr>
        <w:t xml:space="preserve">Peter-Jürgen Boock, who has broken with the </w:t>
      </w:r>
      <w:r w:rsidR="00C507A5">
        <w:rPr>
          <w:rFonts w:ascii="Gill Sans MT" w:hAnsi="Gill Sans MT"/>
          <w:color w:val="231F20"/>
          <w:spacing w:val="-8"/>
          <w:w w:val="115"/>
          <w:sz w:val="18"/>
        </w:rPr>
        <w:t>red army faction</w:t>
      </w:r>
      <w:r>
        <w:rPr>
          <w:rFonts w:ascii="Gill Sans MT" w:hAnsi="Gill Sans MT"/>
          <w:color w:val="231F20"/>
          <w:spacing w:val="-8"/>
          <w:w w:val="115"/>
          <w:sz w:val="18"/>
        </w:rPr>
        <w:t xml:space="preserve">, </w:t>
      </w:r>
      <w:r>
        <w:rPr>
          <w:rFonts w:ascii="Gill Sans MT" w:hAnsi="Gill Sans MT"/>
          <w:color w:val="231F20"/>
          <w:w w:val="115"/>
          <w:sz w:val="18"/>
        </w:rPr>
        <w:t>has his sentence of three times life plus fifteen</w:t>
      </w:r>
      <w:r>
        <w:rPr>
          <w:rFonts w:ascii="Gill Sans MT" w:hAnsi="Gill Sans MT"/>
          <w:color w:val="231F20"/>
          <w:spacing w:val="-15"/>
          <w:w w:val="115"/>
          <w:sz w:val="18"/>
        </w:rPr>
        <w:t xml:space="preserve"> </w:t>
      </w:r>
      <w:r>
        <w:rPr>
          <w:rFonts w:ascii="Gill Sans MT" w:hAnsi="Gill Sans MT"/>
          <w:color w:val="231F20"/>
          <w:w w:val="115"/>
          <w:sz w:val="18"/>
        </w:rPr>
        <w:t>years</w:t>
      </w:r>
      <w:r>
        <w:rPr>
          <w:rFonts w:ascii="Gill Sans MT" w:hAnsi="Gill Sans MT"/>
          <w:color w:val="231F20"/>
          <w:spacing w:val="-15"/>
          <w:w w:val="115"/>
          <w:sz w:val="18"/>
        </w:rPr>
        <w:t xml:space="preserve"> </w:t>
      </w:r>
      <w:r>
        <w:rPr>
          <w:rFonts w:ascii="Gill Sans MT" w:hAnsi="Gill Sans MT"/>
          <w:color w:val="231F20"/>
          <w:w w:val="115"/>
          <w:sz w:val="18"/>
        </w:rPr>
        <w:t>reduced</w:t>
      </w:r>
      <w:r>
        <w:rPr>
          <w:rFonts w:ascii="Gill Sans MT" w:hAnsi="Gill Sans MT"/>
          <w:color w:val="231F20"/>
          <w:spacing w:val="-15"/>
          <w:w w:val="115"/>
          <w:sz w:val="18"/>
        </w:rPr>
        <w:t xml:space="preserve"> </w:t>
      </w:r>
      <w:r>
        <w:rPr>
          <w:rFonts w:ascii="Gill Sans MT" w:hAnsi="Gill Sans MT"/>
          <w:color w:val="231F20"/>
          <w:w w:val="115"/>
          <w:sz w:val="18"/>
        </w:rPr>
        <w:t>to</w:t>
      </w:r>
      <w:r>
        <w:rPr>
          <w:rFonts w:ascii="Gill Sans MT" w:hAnsi="Gill Sans MT"/>
          <w:color w:val="231F20"/>
          <w:spacing w:val="-15"/>
          <w:w w:val="115"/>
          <w:sz w:val="18"/>
        </w:rPr>
        <w:t xml:space="preserve"> </w:t>
      </w:r>
      <w:r>
        <w:rPr>
          <w:rFonts w:ascii="Gill Sans MT" w:hAnsi="Gill Sans MT"/>
          <w:color w:val="231F20"/>
          <w:w w:val="115"/>
          <w:sz w:val="18"/>
        </w:rPr>
        <w:t>a</w:t>
      </w:r>
      <w:r>
        <w:rPr>
          <w:rFonts w:ascii="Gill Sans MT" w:hAnsi="Gill Sans MT"/>
          <w:color w:val="231F20"/>
          <w:spacing w:val="-15"/>
          <w:w w:val="115"/>
          <w:sz w:val="18"/>
        </w:rPr>
        <w:t xml:space="preserve"> </w:t>
      </w:r>
      <w:r>
        <w:rPr>
          <w:rFonts w:ascii="Gill Sans MT" w:hAnsi="Gill Sans MT"/>
          <w:color w:val="231F20"/>
          <w:w w:val="115"/>
          <w:sz w:val="18"/>
        </w:rPr>
        <w:t>single</w:t>
      </w:r>
      <w:r>
        <w:rPr>
          <w:rFonts w:ascii="Gill Sans MT" w:hAnsi="Gill Sans MT"/>
          <w:color w:val="231F20"/>
          <w:spacing w:val="-15"/>
          <w:w w:val="115"/>
          <w:sz w:val="18"/>
        </w:rPr>
        <w:t xml:space="preserve"> </w:t>
      </w:r>
      <w:r>
        <w:rPr>
          <w:rFonts w:ascii="Gill Sans MT" w:hAnsi="Gill Sans MT"/>
          <w:color w:val="231F20"/>
          <w:w w:val="115"/>
          <w:sz w:val="18"/>
        </w:rPr>
        <w:t>life sentence.</w:t>
      </w:r>
    </w:p>
    <w:p w14:paraId="5899865F" w14:textId="77777777" w:rsidR="002653E8" w:rsidRDefault="002653E8">
      <w:pPr>
        <w:pStyle w:val="a3"/>
        <w:rPr>
          <w:rFonts w:ascii="Gill Sans MT"/>
        </w:rPr>
      </w:pPr>
    </w:p>
    <w:p w14:paraId="14C4C1A8" w14:textId="77777777" w:rsidR="002653E8" w:rsidRDefault="002653E8">
      <w:pPr>
        <w:pStyle w:val="a3"/>
        <w:spacing w:before="1"/>
        <w:rPr>
          <w:rFonts w:ascii="Gill Sans MT"/>
        </w:rPr>
      </w:pPr>
    </w:p>
    <w:p w14:paraId="5B460706" w14:textId="77777777" w:rsidR="002653E8" w:rsidRDefault="003115E3">
      <w:pPr>
        <w:pStyle w:val="5"/>
      </w:pPr>
      <w:r>
        <w:rPr>
          <w:color w:val="231F20"/>
          <w:w w:val="120"/>
        </w:rPr>
        <w:t>1987</w:t>
      </w:r>
    </w:p>
    <w:p w14:paraId="2888457A" w14:textId="77777777" w:rsidR="002653E8" w:rsidRDefault="003115E3">
      <w:pPr>
        <w:spacing w:before="12"/>
        <w:ind w:left="1327"/>
        <w:rPr>
          <w:rFonts w:ascii="Arial"/>
          <w:b/>
          <w:sz w:val="18"/>
        </w:rPr>
      </w:pPr>
      <w:r>
        <w:rPr>
          <w:rFonts w:ascii="Arial"/>
          <w:b/>
          <w:color w:val="231F20"/>
          <w:w w:val="115"/>
          <w:sz w:val="18"/>
        </w:rPr>
        <w:t>February 25, 1987</w:t>
      </w:r>
    </w:p>
    <w:p w14:paraId="0EDE1A10" w14:textId="77777777" w:rsidR="002653E8" w:rsidRDefault="003115E3">
      <w:pPr>
        <w:spacing w:before="28" w:line="276" w:lineRule="auto"/>
        <w:ind w:left="1327" w:right="-4"/>
        <w:rPr>
          <w:rFonts w:ascii="Gill Sans MT" w:hAnsi="Gill Sans MT"/>
          <w:sz w:val="18"/>
        </w:rPr>
      </w:pPr>
      <w:r>
        <w:rPr>
          <w:rFonts w:ascii="Lucida Sans" w:hAnsi="Lucida Sans"/>
          <w:i/>
          <w:color w:val="231F20"/>
          <w:w w:val="110"/>
          <w:sz w:val="18"/>
        </w:rPr>
        <w:t xml:space="preserve">Action Directe </w:t>
      </w:r>
      <w:r>
        <w:rPr>
          <w:rFonts w:ascii="Gill Sans MT" w:hAnsi="Gill Sans MT"/>
          <w:color w:val="231F20"/>
          <w:w w:val="110"/>
          <w:sz w:val="18"/>
        </w:rPr>
        <w:t>members Nathalie Ménigon, Joëlle Aubron, Jean-Marc Rouillan, and Georges Cipriani are arrested in a farmhouse outside Orleans.</w:t>
      </w:r>
    </w:p>
    <w:p w14:paraId="799A88E3" w14:textId="77777777" w:rsidR="002653E8" w:rsidRDefault="002653E8">
      <w:pPr>
        <w:pStyle w:val="a3"/>
        <w:rPr>
          <w:rFonts w:ascii="Gill Sans MT"/>
        </w:rPr>
      </w:pPr>
    </w:p>
    <w:p w14:paraId="38826BB2" w14:textId="77777777" w:rsidR="002653E8" w:rsidRDefault="002653E8">
      <w:pPr>
        <w:pStyle w:val="a3"/>
        <w:spacing w:before="11"/>
        <w:rPr>
          <w:rFonts w:ascii="Gill Sans MT"/>
          <w:sz w:val="19"/>
        </w:rPr>
      </w:pPr>
    </w:p>
    <w:p w14:paraId="7E6A4F9F" w14:textId="77777777" w:rsidR="002653E8" w:rsidRDefault="003115E3">
      <w:pPr>
        <w:pStyle w:val="5"/>
      </w:pPr>
      <w:r>
        <w:rPr>
          <w:color w:val="231F20"/>
          <w:w w:val="120"/>
        </w:rPr>
        <w:t>1988</w:t>
      </w:r>
    </w:p>
    <w:p w14:paraId="4F7D7D4C" w14:textId="77777777" w:rsidR="002653E8" w:rsidRDefault="003115E3">
      <w:pPr>
        <w:spacing w:before="12"/>
        <w:ind w:left="1327"/>
        <w:rPr>
          <w:rFonts w:ascii="Arial"/>
          <w:b/>
          <w:sz w:val="18"/>
        </w:rPr>
      </w:pPr>
      <w:r>
        <w:rPr>
          <w:rFonts w:ascii="Arial"/>
          <w:b/>
          <w:color w:val="231F20"/>
          <w:w w:val="115"/>
          <w:sz w:val="18"/>
        </w:rPr>
        <w:t>June 17, 1988</w:t>
      </w:r>
    </w:p>
    <w:p w14:paraId="1C3CB43D" w14:textId="77777777" w:rsidR="002653E8" w:rsidRDefault="003115E3">
      <w:pPr>
        <w:spacing w:before="35" w:line="276" w:lineRule="auto"/>
        <w:ind w:left="1327" w:right="278"/>
        <w:rPr>
          <w:rFonts w:ascii="Gill Sans MT"/>
          <w:sz w:val="18"/>
        </w:rPr>
      </w:pPr>
      <w:r>
        <w:rPr>
          <w:rFonts w:ascii="Gill Sans MT"/>
          <w:color w:val="231F20"/>
          <w:w w:val="115"/>
          <w:sz w:val="18"/>
        </w:rPr>
        <w:t>An attempted bombing of a discotheque popular with uS military</w:t>
      </w:r>
      <w:r>
        <w:rPr>
          <w:rFonts w:ascii="Gill Sans MT"/>
          <w:color w:val="231F20"/>
          <w:spacing w:val="-27"/>
          <w:w w:val="115"/>
          <w:sz w:val="18"/>
        </w:rPr>
        <w:t xml:space="preserve"> </w:t>
      </w:r>
      <w:r>
        <w:rPr>
          <w:rFonts w:ascii="Gill Sans MT"/>
          <w:color w:val="231F20"/>
          <w:w w:val="115"/>
          <w:sz w:val="18"/>
        </w:rPr>
        <w:t>personnel</w:t>
      </w:r>
      <w:r>
        <w:rPr>
          <w:rFonts w:ascii="Gill Sans MT"/>
          <w:color w:val="231F20"/>
          <w:spacing w:val="-27"/>
          <w:w w:val="115"/>
          <w:sz w:val="18"/>
        </w:rPr>
        <w:t xml:space="preserve"> </w:t>
      </w:r>
      <w:r>
        <w:rPr>
          <w:rFonts w:ascii="Gill Sans MT"/>
          <w:color w:val="231F20"/>
          <w:w w:val="115"/>
          <w:sz w:val="18"/>
        </w:rPr>
        <w:t>in</w:t>
      </w:r>
      <w:r>
        <w:rPr>
          <w:rFonts w:ascii="Gill Sans MT"/>
          <w:color w:val="231F20"/>
          <w:spacing w:val="-27"/>
          <w:w w:val="115"/>
          <w:sz w:val="18"/>
        </w:rPr>
        <w:t xml:space="preserve"> </w:t>
      </w:r>
      <w:r>
        <w:rPr>
          <w:rFonts w:ascii="Gill Sans MT"/>
          <w:color w:val="231F20"/>
          <w:w w:val="115"/>
          <w:sz w:val="18"/>
        </w:rPr>
        <w:t>Rota,</w:t>
      </w:r>
      <w:r>
        <w:rPr>
          <w:rFonts w:ascii="Gill Sans MT"/>
          <w:color w:val="231F20"/>
          <w:spacing w:val="-27"/>
          <w:w w:val="115"/>
          <w:sz w:val="18"/>
        </w:rPr>
        <w:t xml:space="preserve"> </w:t>
      </w:r>
      <w:r>
        <w:rPr>
          <w:rFonts w:ascii="Gill Sans MT"/>
          <w:color w:val="231F20"/>
          <w:w w:val="115"/>
          <w:sz w:val="18"/>
        </w:rPr>
        <w:t>Spain is disrupted when a police patrol</w:t>
      </w:r>
      <w:r>
        <w:rPr>
          <w:rFonts w:ascii="Gill Sans MT"/>
          <w:color w:val="231F20"/>
          <w:spacing w:val="-15"/>
          <w:w w:val="115"/>
          <w:sz w:val="18"/>
        </w:rPr>
        <w:t xml:space="preserve"> </w:t>
      </w:r>
      <w:r>
        <w:rPr>
          <w:rFonts w:ascii="Gill Sans MT"/>
          <w:color w:val="231F20"/>
          <w:w w:val="115"/>
          <w:sz w:val="18"/>
        </w:rPr>
        <w:t>happens</w:t>
      </w:r>
      <w:r>
        <w:rPr>
          <w:rFonts w:ascii="Gill Sans MT"/>
          <w:color w:val="231F20"/>
          <w:spacing w:val="-15"/>
          <w:w w:val="115"/>
          <w:sz w:val="18"/>
        </w:rPr>
        <w:t xml:space="preserve"> </w:t>
      </w:r>
      <w:r>
        <w:rPr>
          <w:rFonts w:ascii="Gill Sans MT"/>
          <w:color w:val="231F20"/>
          <w:w w:val="115"/>
          <w:sz w:val="18"/>
        </w:rPr>
        <w:t>upon</w:t>
      </w:r>
      <w:r>
        <w:rPr>
          <w:rFonts w:ascii="Gill Sans MT"/>
          <w:color w:val="231F20"/>
          <w:spacing w:val="-15"/>
          <w:w w:val="115"/>
          <w:sz w:val="18"/>
        </w:rPr>
        <w:t xml:space="preserve"> </w:t>
      </w:r>
      <w:r>
        <w:rPr>
          <w:rFonts w:ascii="Gill Sans MT"/>
          <w:color w:val="231F20"/>
          <w:w w:val="115"/>
          <w:sz w:val="18"/>
        </w:rPr>
        <w:t>the</w:t>
      </w:r>
      <w:r>
        <w:rPr>
          <w:rFonts w:ascii="Gill Sans MT"/>
          <w:color w:val="231F20"/>
          <w:spacing w:val="-15"/>
          <w:w w:val="115"/>
          <w:sz w:val="18"/>
        </w:rPr>
        <w:t xml:space="preserve"> </w:t>
      </w:r>
      <w:r>
        <w:rPr>
          <w:rFonts w:ascii="Gill Sans MT"/>
          <w:color w:val="231F20"/>
          <w:w w:val="115"/>
          <w:sz w:val="18"/>
        </w:rPr>
        <w:t>scene.</w:t>
      </w:r>
    </w:p>
    <w:p w14:paraId="5FDB43A7" w14:textId="77777777" w:rsidR="002653E8" w:rsidRDefault="003115E3">
      <w:pPr>
        <w:spacing w:line="276" w:lineRule="auto"/>
        <w:ind w:left="1327" w:right="85"/>
        <w:rPr>
          <w:rFonts w:ascii="Gill Sans MT"/>
          <w:sz w:val="18"/>
        </w:rPr>
      </w:pPr>
      <w:r>
        <w:rPr>
          <w:rFonts w:ascii="Gill Sans MT"/>
          <w:color w:val="231F20"/>
          <w:w w:val="110"/>
          <w:sz w:val="18"/>
        </w:rPr>
        <w:t xml:space="preserve">The would-be bombers escape following a firefight. </w:t>
      </w:r>
      <w:r w:rsidR="00C507A5">
        <w:rPr>
          <w:rFonts w:ascii="Gill Sans MT"/>
          <w:color w:val="231F20"/>
          <w:w w:val="110"/>
          <w:sz w:val="18"/>
        </w:rPr>
        <w:t>red army faction</w:t>
      </w:r>
      <w:r>
        <w:rPr>
          <w:rFonts w:ascii="Gill Sans MT"/>
          <w:color w:val="231F20"/>
          <w:w w:val="110"/>
          <w:sz w:val="18"/>
        </w:rPr>
        <w:t xml:space="preserve"> member Horst Meyer and alleged </w:t>
      </w:r>
      <w:r w:rsidR="00C507A5">
        <w:rPr>
          <w:rFonts w:ascii="Gill Sans MT"/>
          <w:color w:val="231F20"/>
          <w:w w:val="110"/>
          <w:sz w:val="18"/>
        </w:rPr>
        <w:t>red army faction</w:t>
      </w:r>
      <w:r>
        <w:rPr>
          <w:rFonts w:ascii="Gill Sans MT"/>
          <w:color w:val="231F20"/>
          <w:w w:val="110"/>
          <w:sz w:val="18"/>
        </w:rPr>
        <w:t xml:space="preserve"> member Andrea Klump are sought in connection with the action.</w:t>
      </w:r>
    </w:p>
    <w:p w14:paraId="79BF400C" w14:textId="77777777" w:rsidR="002653E8" w:rsidRDefault="002653E8">
      <w:pPr>
        <w:pStyle w:val="a3"/>
        <w:spacing w:before="5"/>
        <w:rPr>
          <w:rFonts w:ascii="Gill Sans MT"/>
        </w:rPr>
      </w:pPr>
    </w:p>
    <w:p w14:paraId="3908F928" w14:textId="77777777" w:rsidR="002653E8" w:rsidRDefault="003115E3">
      <w:pPr>
        <w:ind w:left="1327"/>
        <w:rPr>
          <w:rFonts w:ascii="Arial"/>
          <w:b/>
          <w:sz w:val="18"/>
        </w:rPr>
      </w:pPr>
      <w:r>
        <w:rPr>
          <w:rFonts w:ascii="Arial"/>
          <w:b/>
          <w:color w:val="231F20"/>
          <w:w w:val="115"/>
          <w:sz w:val="18"/>
        </w:rPr>
        <w:t>September 1988</w:t>
      </w:r>
    </w:p>
    <w:p w14:paraId="284B437B" w14:textId="77777777" w:rsidR="002653E8" w:rsidRDefault="003115E3">
      <w:pPr>
        <w:spacing w:before="35" w:line="276" w:lineRule="auto"/>
        <w:ind w:left="1327" w:right="95"/>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w w:val="110"/>
          <w:sz w:val="18"/>
        </w:rPr>
        <w:t>red army faction</w:t>
      </w:r>
      <w:r>
        <w:rPr>
          <w:rFonts w:ascii="Gill Sans MT" w:hAnsi="Gill Sans MT"/>
          <w:color w:val="231F20"/>
          <w:w w:val="110"/>
          <w:sz w:val="18"/>
        </w:rPr>
        <w:t xml:space="preserve"> releases a joint</w:t>
      </w:r>
      <w:r>
        <w:rPr>
          <w:rFonts w:ascii="Gill Sans MT" w:hAnsi="Gill Sans MT"/>
          <w:color w:val="231F20"/>
          <w:spacing w:val="-18"/>
          <w:w w:val="110"/>
          <w:sz w:val="18"/>
        </w:rPr>
        <w:t xml:space="preserve"> </w:t>
      </w:r>
      <w:r>
        <w:rPr>
          <w:rFonts w:ascii="Gill Sans MT" w:hAnsi="Gill Sans MT"/>
          <w:color w:val="231F20"/>
          <w:w w:val="110"/>
          <w:sz w:val="18"/>
        </w:rPr>
        <w:t xml:space="preserve">statement with Italy’s Red Brigades  calling for greater cooperation between guerilla groups in </w:t>
      </w:r>
      <w:r>
        <w:rPr>
          <w:rFonts w:ascii="Gill Sans MT" w:hAnsi="Gill Sans MT"/>
          <w:color w:val="231F20"/>
          <w:spacing w:val="-3"/>
          <w:w w:val="110"/>
          <w:sz w:val="18"/>
        </w:rPr>
        <w:t>West</w:t>
      </w:r>
      <w:r>
        <w:rPr>
          <w:rFonts w:ascii="Gill Sans MT" w:hAnsi="Gill Sans MT"/>
          <w:color w:val="231F20"/>
          <w:spacing w:val="-9"/>
          <w:w w:val="110"/>
          <w:sz w:val="18"/>
        </w:rPr>
        <w:t xml:space="preserve"> </w:t>
      </w:r>
      <w:r>
        <w:rPr>
          <w:rFonts w:ascii="Gill Sans MT" w:hAnsi="Gill Sans MT"/>
          <w:color w:val="231F20"/>
          <w:w w:val="110"/>
          <w:sz w:val="18"/>
        </w:rPr>
        <w:t>Europe.</w:t>
      </w:r>
    </w:p>
    <w:p w14:paraId="6A689841" w14:textId="77777777" w:rsidR="002653E8" w:rsidRDefault="003115E3">
      <w:pPr>
        <w:spacing w:line="276" w:lineRule="auto"/>
        <w:ind w:left="1327" w:right="164"/>
        <w:rPr>
          <w:rFonts w:ascii="Gill Sans MT"/>
          <w:sz w:val="18"/>
        </w:rPr>
      </w:pPr>
      <w:r>
        <w:rPr>
          <w:rFonts w:ascii="Gill Sans MT"/>
          <w:color w:val="231F20"/>
          <w:w w:val="110"/>
          <w:sz w:val="18"/>
        </w:rPr>
        <w:t>Within days, there are raids across Italy, with six Red Brigades safehouses being discovered and twenty militants arrested.</w:t>
      </w:r>
    </w:p>
    <w:p w14:paraId="49A5D5E5" w14:textId="77777777" w:rsidR="002653E8" w:rsidRDefault="003115E3">
      <w:pPr>
        <w:spacing w:before="90"/>
        <w:ind w:left="260"/>
        <w:rPr>
          <w:rFonts w:ascii="Arial"/>
          <w:b/>
          <w:sz w:val="18"/>
        </w:rPr>
      </w:pPr>
      <w:r>
        <w:br w:type="column"/>
      </w:r>
      <w:r>
        <w:rPr>
          <w:rFonts w:ascii="Arial"/>
          <w:b/>
          <w:color w:val="231F20"/>
          <w:w w:val="115"/>
          <w:sz w:val="18"/>
        </w:rPr>
        <w:t>September 20, 1988</w:t>
      </w:r>
    </w:p>
    <w:p w14:paraId="7A0B9BB0" w14:textId="77777777" w:rsidR="002653E8" w:rsidRDefault="003115E3">
      <w:pPr>
        <w:spacing w:before="35" w:line="276" w:lineRule="auto"/>
        <w:ind w:left="260" w:right="1213" w:hanging="1"/>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spacing w:val="-3"/>
          <w:w w:val="110"/>
          <w:sz w:val="18"/>
        </w:rPr>
        <w:t>red army faction</w:t>
      </w:r>
      <w:r>
        <w:rPr>
          <w:rFonts w:ascii="Gill Sans MT" w:hAnsi="Gill Sans MT"/>
          <w:color w:val="231F20"/>
          <w:spacing w:val="-3"/>
          <w:w w:val="110"/>
          <w:sz w:val="18"/>
        </w:rPr>
        <w:t xml:space="preserve">’s </w:t>
      </w:r>
      <w:r>
        <w:rPr>
          <w:rFonts w:ascii="Gill Sans MT" w:hAnsi="Gill Sans MT"/>
          <w:color w:val="231F20"/>
          <w:w w:val="110"/>
          <w:sz w:val="18"/>
        </w:rPr>
        <w:t>Khaled Aker Commando attempts to assassinate  Secretary of State for the Minister of Finance, Hans</w:t>
      </w:r>
      <w:r>
        <w:rPr>
          <w:rFonts w:ascii="Gill Sans MT" w:hAnsi="Gill Sans MT"/>
          <w:color w:val="231F20"/>
          <w:spacing w:val="-11"/>
          <w:w w:val="110"/>
          <w:sz w:val="18"/>
        </w:rPr>
        <w:t xml:space="preserve"> </w:t>
      </w:r>
      <w:r>
        <w:rPr>
          <w:rFonts w:ascii="Gill Sans MT" w:hAnsi="Gill Sans MT"/>
          <w:color w:val="231F20"/>
          <w:w w:val="110"/>
          <w:sz w:val="18"/>
        </w:rPr>
        <w:t>Tietmeyer,</w:t>
      </w:r>
      <w:r>
        <w:rPr>
          <w:rFonts w:ascii="Gill Sans MT" w:hAnsi="Gill Sans MT"/>
          <w:color w:val="231F20"/>
          <w:spacing w:val="-11"/>
          <w:w w:val="110"/>
          <w:sz w:val="18"/>
        </w:rPr>
        <w:t xml:space="preserve"> </w:t>
      </w:r>
      <w:r>
        <w:rPr>
          <w:rFonts w:ascii="Gill Sans MT" w:hAnsi="Gill Sans MT"/>
          <w:color w:val="231F20"/>
          <w:w w:val="110"/>
          <w:sz w:val="18"/>
        </w:rPr>
        <w:t>but</w:t>
      </w:r>
      <w:r>
        <w:rPr>
          <w:rFonts w:ascii="Gill Sans MT" w:hAnsi="Gill Sans MT"/>
          <w:color w:val="231F20"/>
          <w:spacing w:val="-11"/>
          <w:w w:val="110"/>
          <w:sz w:val="18"/>
        </w:rPr>
        <w:t xml:space="preserve"> </w:t>
      </w:r>
      <w:r>
        <w:rPr>
          <w:rFonts w:ascii="Gill Sans MT" w:hAnsi="Gill Sans MT"/>
          <w:color w:val="231F20"/>
          <w:w w:val="110"/>
          <w:sz w:val="18"/>
        </w:rPr>
        <w:t>their</w:t>
      </w:r>
      <w:r>
        <w:rPr>
          <w:rFonts w:ascii="Gill Sans MT" w:hAnsi="Gill Sans MT"/>
          <w:color w:val="231F20"/>
          <w:spacing w:val="-11"/>
          <w:w w:val="110"/>
          <w:sz w:val="18"/>
        </w:rPr>
        <w:t xml:space="preserve"> </w:t>
      </w:r>
      <w:r>
        <w:rPr>
          <w:rFonts w:ascii="Gill Sans MT" w:hAnsi="Gill Sans MT"/>
          <w:color w:val="231F20"/>
          <w:w w:val="110"/>
          <w:sz w:val="18"/>
        </w:rPr>
        <w:t>automatic pistol</w:t>
      </w:r>
      <w:r>
        <w:rPr>
          <w:rFonts w:ascii="Gill Sans MT" w:hAnsi="Gill Sans MT"/>
          <w:color w:val="231F20"/>
          <w:spacing w:val="-5"/>
          <w:w w:val="110"/>
          <w:sz w:val="18"/>
        </w:rPr>
        <w:t xml:space="preserve"> </w:t>
      </w:r>
      <w:r>
        <w:rPr>
          <w:rFonts w:ascii="Gill Sans MT" w:hAnsi="Gill Sans MT"/>
          <w:color w:val="231F20"/>
          <w:w w:val="110"/>
          <w:sz w:val="18"/>
        </w:rPr>
        <w:t>jams.</w:t>
      </w:r>
    </w:p>
    <w:p w14:paraId="2A60A58D" w14:textId="77777777" w:rsidR="002653E8" w:rsidRDefault="002653E8">
      <w:pPr>
        <w:pStyle w:val="a3"/>
        <w:spacing w:before="6"/>
        <w:rPr>
          <w:rFonts w:ascii="Gill Sans MT"/>
        </w:rPr>
      </w:pPr>
    </w:p>
    <w:p w14:paraId="58BBDA61" w14:textId="77777777" w:rsidR="002653E8" w:rsidRDefault="003115E3">
      <w:pPr>
        <w:spacing w:before="1"/>
        <w:ind w:left="260"/>
        <w:rPr>
          <w:rFonts w:ascii="Arial"/>
          <w:b/>
          <w:sz w:val="18"/>
        </w:rPr>
      </w:pPr>
      <w:r>
        <w:rPr>
          <w:rFonts w:ascii="Arial"/>
          <w:b/>
          <w:color w:val="231F20"/>
          <w:w w:val="115"/>
          <w:sz w:val="18"/>
        </w:rPr>
        <w:t>November 30, 1988</w:t>
      </w:r>
    </w:p>
    <w:p w14:paraId="39B59202" w14:textId="77777777" w:rsidR="002653E8" w:rsidRDefault="003115E3">
      <w:pPr>
        <w:spacing w:before="34" w:line="276" w:lineRule="auto"/>
        <w:ind w:left="260" w:right="1224"/>
        <w:rPr>
          <w:rFonts w:ascii="Gill Sans MT" w:hAnsi="Gill Sans MT"/>
          <w:sz w:val="18"/>
        </w:rPr>
      </w:pPr>
      <w:r>
        <w:rPr>
          <w:rFonts w:ascii="Gill Sans MT" w:hAnsi="Gill Sans MT"/>
          <w:color w:val="231F20"/>
          <w:w w:val="110"/>
          <w:sz w:val="18"/>
        </w:rPr>
        <w:t xml:space="preserve">President Bernhard Vogel pardons former </w:t>
      </w:r>
      <w:r w:rsidR="00C507A5">
        <w:rPr>
          <w:rFonts w:ascii="Gill Sans MT" w:hAnsi="Gill Sans MT"/>
          <w:color w:val="231F20"/>
          <w:w w:val="110"/>
          <w:sz w:val="18"/>
        </w:rPr>
        <w:t>red army faction</w:t>
      </w:r>
      <w:r>
        <w:rPr>
          <w:rFonts w:ascii="Gill Sans MT" w:hAnsi="Gill Sans MT"/>
          <w:color w:val="231F20"/>
          <w:w w:val="110"/>
          <w:sz w:val="18"/>
        </w:rPr>
        <w:t xml:space="preserve"> members Klaus Jünschke and Manfred Grashof, both of whom have publicly distanced themselves from the</w:t>
      </w:r>
      <w:r>
        <w:rPr>
          <w:rFonts w:ascii="Gill Sans MT" w:hAnsi="Gill Sans MT"/>
          <w:color w:val="231F20"/>
          <w:spacing w:val="17"/>
          <w:w w:val="110"/>
          <w:sz w:val="18"/>
        </w:rPr>
        <w:t xml:space="preserve"> </w:t>
      </w:r>
      <w:r w:rsidR="00C507A5">
        <w:rPr>
          <w:rFonts w:ascii="Gill Sans MT" w:hAnsi="Gill Sans MT"/>
          <w:color w:val="231F20"/>
          <w:spacing w:val="-8"/>
          <w:w w:val="110"/>
          <w:sz w:val="18"/>
        </w:rPr>
        <w:t>red army faction</w:t>
      </w:r>
      <w:r>
        <w:rPr>
          <w:rFonts w:ascii="Gill Sans MT" w:hAnsi="Gill Sans MT"/>
          <w:color w:val="231F20"/>
          <w:spacing w:val="-8"/>
          <w:w w:val="110"/>
          <w:sz w:val="18"/>
        </w:rPr>
        <w:t>.</w:t>
      </w:r>
    </w:p>
    <w:p w14:paraId="05AF173E" w14:textId="77777777" w:rsidR="002653E8" w:rsidRDefault="002653E8">
      <w:pPr>
        <w:pStyle w:val="a3"/>
        <w:rPr>
          <w:rFonts w:ascii="Gill Sans MT"/>
        </w:rPr>
      </w:pPr>
    </w:p>
    <w:p w14:paraId="291B6810" w14:textId="77777777" w:rsidR="002653E8" w:rsidRDefault="002653E8">
      <w:pPr>
        <w:pStyle w:val="a3"/>
        <w:spacing w:before="1"/>
        <w:rPr>
          <w:rFonts w:ascii="Gill Sans MT"/>
        </w:rPr>
      </w:pPr>
    </w:p>
    <w:p w14:paraId="1B73ECAE" w14:textId="77777777" w:rsidR="002653E8" w:rsidRDefault="003115E3">
      <w:pPr>
        <w:pStyle w:val="5"/>
        <w:ind w:left="260"/>
      </w:pPr>
      <w:r>
        <w:rPr>
          <w:color w:val="231F20"/>
          <w:w w:val="120"/>
        </w:rPr>
        <w:t>1989</w:t>
      </w:r>
    </w:p>
    <w:p w14:paraId="494B91E6" w14:textId="77777777" w:rsidR="002653E8" w:rsidRDefault="003115E3">
      <w:pPr>
        <w:spacing w:before="12" w:line="276" w:lineRule="auto"/>
        <w:ind w:left="260" w:right="1385"/>
        <w:rPr>
          <w:rFonts w:ascii="Gill Sans MT" w:hAnsi="Gill Sans MT"/>
          <w:sz w:val="18"/>
        </w:rPr>
      </w:pPr>
      <w:r>
        <w:rPr>
          <w:rFonts w:ascii="Arial" w:hAnsi="Arial"/>
          <w:b/>
          <w:color w:val="231F20"/>
          <w:w w:val="110"/>
          <w:sz w:val="18"/>
        </w:rPr>
        <w:t xml:space="preserve">February 1–May 14, 1989 </w:t>
      </w:r>
      <w:r>
        <w:rPr>
          <w:rFonts w:ascii="Gill Sans MT" w:hAnsi="Gill Sans MT"/>
          <w:color w:val="231F20"/>
          <w:w w:val="110"/>
          <w:sz w:val="18"/>
        </w:rPr>
        <w:t xml:space="preserve">Political prisoners participate in the </w:t>
      </w:r>
      <w:r w:rsidR="00C507A5">
        <w:rPr>
          <w:rFonts w:ascii="Gill Sans MT" w:hAnsi="Gill Sans MT"/>
          <w:color w:val="231F20"/>
          <w:w w:val="110"/>
          <w:sz w:val="18"/>
        </w:rPr>
        <w:t>red army faction</w:t>
      </w:r>
      <w:r>
        <w:rPr>
          <w:rFonts w:ascii="Gill Sans MT" w:hAnsi="Gill Sans MT"/>
          <w:color w:val="231F20"/>
          <w:w w:val="110"/>
          <w:sz w:val="18"/>
        </w:rPr>
        <w:t xml:space="preserve">’s </w:t>
      </w:r>
      <w:r>
        <w:rPr>
          <w:rFonts w:ascii="Arial" w:hAnsi="Arial"/>
          <w:color w:val="231F20"/>
          <w:w w:val="110"/>
          <w:sz w:val="18"/>
        </w:rPr>
        <w:t>10</w:t>
      </w:r>
      <w:r>
        <w:rPr>
          <w:rFonts w:ascii="Gill Sans MT" w:hAnsi="Gill Sans MT"/>
          <w:color w:val="231F20"/>
          <w:w w:val="110"/>
          <w:sz w:val="18"/>
        </w:rPr>
        <w:t>th collective hunger strike, demanding improved prison conditions and the right to</w:t>
      </w:r>
    </w:p>
    <w:p w14:paraId="7328F15A" w14:textId="77777777" w:rsidR="002653E8" w:rsidRDefault="003115E3">
      <w:pPr>
        <w:spacing w:before="1"/>
        <w:ind w:left="260"/>
        <w:rPr>
          <w:rFonts w:ascii="Gill Sans MT"/>
          <w:sz w:val="18"/>
        </w:rPr>
      </w:pPr>
      <w:r>
        <w:rPr>
          <w:rFonts w:ascii="Gill Sans MT"/>
          <w:color w:val="231F20"/>
          <w:w w:val="110"/>
          <w:sz w:val="18"/>
        </w:rPr>
        <w:t>communicate between themselves.</w:t>
      </w:r>
    </w:p>
    <w:p w14:paraId="04C010DF" w14:textId="77777777" w:rsidR="002653E8" w:rsidRDefault="002653E8">
      <w:pPr>
        <w:pStyle w:val="a3"/>
        <w:spacing w:before="3"/>
        <w:rPr>
          <w:rFonts w:ascii="Gill Sans MT"/>
          <w:sz w:val="23"/>
        </w:rPr>
      </w:pPr>
    </w:p>
    <w:p w14:paraId="5753E233" w14:textId="77777777" w:rsidR="002653E8" w:rsidRDefault="003115E3">
      <w:pPr>
        <w:ind w:left="260"/>
        <w:rPr>
          <w:rFonts w:ascii="Arial"/>
          <w:b/>
          <w:sz w:val="18"/>
        </w:rPr>
      </w:pPr>
      <w:r>
        <w:rPr>
          <w:rFonts w:ascii="Arial"/>
          <w:b/>
          <w:color w:val="231F20"/>
          <w:w w:val="115"/>
          <w:sz w:val="18"/>
        </w:rPr>
        <w:t>November 9, 1989</w:t>
      </w:r>
    </w:p>
    <w:p w14:paraId="4819984B" w14:textId="77777777" w:rsidR="002653E8" w:rsidRDefault="003115E3">
      <w:pPr>
        <w:spacing w:before="35"/>
        <w:ind w:left="260"/>
        <w:rPr>
          <w:rFonts w:ascii="Gill Sans MT"/>
          <w:sz w:val="18"/>
        </w:rPr>
      </w:pPr>
      <w:r>
        <w:rPr>
          <w:rFonts w:ascii="Gill Sans MT"/>
          <w:color w:val="231F20"/>
          <w:w w:val="110"/>
          <w:sz w:val="18"/>
        </w:rPr>
        <w:t>The Berlin Wall falls.</w:t>
      </w:r>
    </w:p>
    <w:p w14:paraId="18F43FF4" w14:textId="77777777" w:rsidR="002653E8" w:rsidRDefault="002653E8">
      <w:pPr>
        <w:pStyle w:val="a3"/>
        <w:spacing w:before="3"/>
        <w:rPr>
          <w:rFonts w:ascii="Gill Sans MT"/>
          <w:sz w:val="23"/>
        </w:rPr>
      </w:pPr>
    </w:p>
    <w:p w14:paraId="6D462AC9" w14:textId="77777777" w:rsidR="002653E8" w:rsidRDefault="003115E3">
      <w:pPr>
        <w:ind w:left="260"/>
        <w:rPr>
          <w:rFonts w:ascii="Arial"/>
          <w:b/>
          <w:sz w:val="18"/>
        </w:rPr>
      </w:pPr>
      <w:r>
        <w:rPr>
          <w:rFonts w:ascii="Arial"/>
          <w:b/>
          <w:color w:val="231F20"/>
          <w:w w:val="115"/>
          <w:sz w:val="18"/>
        </w:rPr>
        <w:t>November 30, 1989</w:t>
      </w:r>
    </w:p>
    <w:p w14:paraId="37E4553C" w14:textId="77777777" w:rsidR="002653E8" w:rsidRDefault="003115E3">
      <w:pPr>
        <w:spacing w:before="34" w:line="276" w:lineRule="auto"/>
        <w:ind w:left="260" w:right="1266"/>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w w:val="110"/>
          <w:sz w:val="18"/>
        </w:rPr>
        <w:t>red army faction</w:t>
      </w:r>
      <w:r>
        <w:rPr>
          <w:rFonts w:ascii="Gill Sans MT" w:hAnsi="Gill Sans MT"/>
          <w:color w:val="231F20"/>
          <w:w w:val="110"/>
          <w:sz w:val="18"/>
        </w:rPr>
        <w:t>’s Wolfgang Beer Commando assassinates deutsche Bank Chairman Alfred Herrhausen in Bad Homburg. His chauffer is also injured. The murder is never solved, and the sophistication</w:t>
      </w:r>
    </w:p>
    <w:p w14:paraId="4DA6AE25" w14:textId="77777777" w:rsidR="002653E8" w:rsidRDefault="003115E3">
      <w:pPr>
        <w:spacing w:line="273" w:lineRule="auto"/>
        <w:ind w:left="260" w:right="1192"/>
        <w:rPr>
          <w:rFonts w:ascii="Gill Sans MT"/>
          <w:sz w:val="18"/>
        </w:rPr>
      </w:pPr>
      <w:r>
        <w:rPr>
          <w:rFonts w:ascii="Gill Sans MT"/>
          <w:color w:val="231F20"/>
          <w:w w:val="110"/>
          <w:sz w:val="18"/>
        </w:rPr>
        <w:t xml:space="preserve">of the bomb, containing armour piercing projectiles and  triggered by a </w:t>
      </w:r>
      <w:r>
        <w:rPr>
          <w:rFonts w:ascii="Gill Sans MT"/>
          <w:color w:val="231F20"/>
          <w:spacing w:val="-3"/>
          <w:w w:val="110"/>
          <w:sz w:val="18"/>
        </w:rPr>
        <w:t xml:space="preserve">laser, </w:t>
      </w:r>
      <w:r>
        <w:rPr>
          <w:rFonts w:ascii="Gill Sans MT"/>
          <w:color w:val="231F20"/>
          <w:w w:val="110"/>
          <w:sz w:val="18"/>
        </w:rPr>
        <w:t xml:space="preserve">leads many to suspect  the involvement of the East German </w:t>
      </w:r>
      <w:r>
        <w:rPr>
          <w:rFonts w:ascii="Lucida Sans"/>
          <w:i/>
          <w:color w:val="231F20"/>
          <w:w w:val="110"/>
          <w:sz w:val="18"/>
        </w:rPr>
        <w:t>Stasi</w:t>
      </w:r>
      <w:r>
        <w:rPr>
          <w:rFonts w:ascii="Gill Sans MT"/>
          <w:color w:val="231F20"/>
          <w:w w:val="110"/>
          <w:sz w:val="18"/>
        </w:rPr>
        <w:t>.</w:t>
      </w:r>
    </w:p>
    <w:p w14:paraId="0E73A8FF" w14:textId="77777777" w:rsidR="002653E8" w:rsidRDefault="002653E8">
      <w:pPr>
        <w:spacing w:line="273" w:lineRule="auto"/>
        <w:rPr>
          <w:rFonts w:ascii="Gill Sans MT"/>
          <w:sz w:val="18"/>
        </w:rPr>
        <w:sectPr w:rsidR="002653E8">
          <w:footerReference w:type="even" r:id="rId534"/>
          <w:pgSz w:w="8640" w:h="12960"/>
          <w:pgMar w:top="1060" w:right="0" w:bottom="280" w:left="0" w:header="0" w:footer="0" w:gutter="0"/>
          <w:cols w:num="2" w:space="720" w:equalWidth="0">
            <w:col w:w="4230" w:space="40"/>
            <w:col w:w="4370"/>
          </w:cols>
        </w:sectPr>
      </w:pPr>
    </w:p>
    <w:p w14:paraId="0626F32A" w14:textId="77777777" w:rsidR="002653E8" w:rsidRDefault="002653E8">
      <w:pPr>
        <w:pStyle w:val="a3"/>
        <w:rPr>
          <w:rFonts w:ascii="Gill Sans MT"/>
        </w:rPr>
      </w:pPr>
    </w:p>
    <w:p w14:paraId="1F4B5266" w14:textId="77777777" w:rsidR="002653E8" w:rsidRDefault="002653E8">
      <w:pPr>
        <w:pStyle w:val="a3"/>
        <w:rPr>
          <w:rFonts w:ascii="Gill Sans MT"/>
        </w:rPr>
      </w:pPr>
    </w:p>
    <w:p w14:paraId="27A4D91D" w14:textId="77777777" w:rsidR="002653E8" w:rsidRDefault="002653E8">
      <w:pPr>
        <w:pStyle w:val="a3"/>
        <w:rPr>
          <w:rFonts w:ascii="Gill Sans MT"/>
        </w:rPr>
      </w:pPr>
    </w:p>
    <w:p w14:paraId="7A2A0101" w14:textId="77777777" w:rsidR="002653E8" w:rsidRDefault="002653E8">
      <w:pPr>
        <w:pStyle w:val="a3"/>
        <w:rPr>
          <w:rFonts w:ascii="Gill Sans MT"/>
        </w:rPr>
      </w:pPr>
    </w:p>
    <w:p w14:paraId="38756A8A" w14:textId="77777777" w:rsidR="002653E8" w:rsidRDefault="002653E8">
      <w:pPr>
        <w:pStyle w:val="a3"/>
        <w:spacing w:before="5"/>
        <w:rPr>
          <w:rFonts w:ascii="Gill Sans MT"/>
          <w:sz w:val="18"/>
        </w:rPr>
      </w:pPr>
    </w:p>
    <w:p w14:paraId="0B850E9F" w14:textId="77777777" w:rsidR="002653E8" w:rsidRDefault="002653E8">
      <w:pPr>
        <w:rPr>
          <w:rFonts w:ascii="Gill Sans MT"/>
          <w:sz w:val="18"/>
        </w:rPr>
        <w:sectPr w:rsidR="002653E8">
          <w:type w:val="continuous"/>
          <w:pgSz w:w="8640" w:h="12960"/>
          <w:pgMar w:top="0" w:right="0" w:bottom="0" w:left="0" w:header="720" w:footer="720" w:gutter="0"/>
          <w:cols w:space="720"/>
        </w:sectPr>
      </w:pPr>
    </w:p>
    <w:p w14:paraId="0A8E9F1D" w14:textId="77777777" w:rsidR="002653E8" w:rsidRDefault="003115E3">
      <w:pPr>
        <w:spacing w:before="144"/>
        <w:ind w:left="1327"/>
        <w:rPr>
          <w:sz w:val="18"/>
        </w:rPr>
      </w:pPr>
      <w:r>
        <w:rPr>
          <w:color w:val="231F20"/>
          <w:w w:val="120"/>
          <w:sz w:val="18"/>
        </w:rPr>
        <w:t>a chronology</w:t>
      </w:r>
      <w:r>
        <w:rPr>
          <w:color w:val="231F20"/>
          <w:sz w:val="18"/>
        </w:rPr>
        <w:t xml:space="preserve"> </w:t>
      </w:r>
    </w:p>
    <w:p w14:paraId="1C7ADB9A" w14:textId="77777777" w:rsidR="002653E8" w:rsidRDefault="003115E3">
      <w:pPr>
        <w:spacing w:before="5"/>
        <w:ind w:left="1327"/>
        <w:rPr>
          <w:sz w:val="18"/>
        </w:rPr>
      </w:pPr>
      <w:r>
        <w:rPr>
          <w:color w:val="231F20"/>
          <w:w w:val="105"/>
          <w:sz w:val="18"/>
        </w:rPr>
        <w:t xml:space="preserve">november 30, </w:t>
      </w:r>
      <w:r>
        <w:rPr>
          <w:color w:val="231F20"/>
          <w:w w:val="105"/>
          <w:sz w:val="18"/>
        </w:rPr>
        <w:lastRenderedPageBreak/>
        <w:t>1989</w:t>
      </w:r>
      <w:r>
        <w:rPr>
          <w:color w:val="231F20"/>
          <w:sz w:val="18"/>
        </w:rPr>
        <w:t xml:space="preserve"> </w:t>
      </w:r>
    </w:p>
    <w:p w14:paraId="30476209" w14:textId="77777777" w:rsidR="002653E8" w:rsidRDefault="003115E3">
      <w:pPr>
        <w:spacing w:before="99"/>
        <w:ind w:left="1346" w:right="1141"/>
        <w:jc w:val="center"/>
        <w:rPr>
          <w:sz w:val="18"/>
        </w:rPr>
      </w:pPr>
      <w:r>
        <w:br w:type="column"/>
      </w:r>
      <w:r>
        <w:rPr>
          <w:color w:val="231F20"/>
          <w:sz w:val="18"/>
        </w:rPr>
        <w:t xml:space="preserve">619 </w:t>
      </w:r>
    </w:p>
    <w:p w14:paraId="3D88CADC" w14:textId="77777777" w:rsidR="002653E8" w:rsidRDefault="002653E8">
      <w:pPr>
        <w:jc w:val="center"/>
        <w:rPr>
          <w:sz w:val="18"/>
        </w:rPr>
        <w:sectPr w:rsidR="002653E8">
          <w:type w:val="continuous"/>
          <w:pgSz w:w="8640" w:h="12960"/>
          <w:pgMar w:top="0" w:right="0" w:bottom="0" w:left="0" w:header="720" w:footer="720" w:gutter="0"/>
          <w:cols w:num="2" w:space="720" w:equalWidth="0">
            <w:col w:w="3413" w:space="2401"/>
            <w:col w:w="2826"/>
          </w:cols>
        </w:sectPr>
      </w:pPr>
    </w:p>
    <w:p w14:paraId="43DB40B9" w14:textId="77777777" w:rsidR="002653E8" w:rsidRDefault="003115E3">
      <w:pPr>
        <w:pStyle w:val="5"/>
        <w:spacing w:before="77"/>
        <w:ind w:left="1147"/>
      </w:pPr>
      <w:r>
        <w:rPr>
          <w:color w:val="231F20"/>
          <w:w w:val="120"/>
        </w:rPr>
        <w:lastRenderedPageBreak/>
        <w:t>1990</w:t>
      </w:r>
    </w:p>
    <w:p w14:paraId="4D4EDB23" w14:textId="77777777" w:rsidR="002653E8" w:rsidRDefault="003115E3">
      <w:pPr>
        <w:spacing w:before="12"/>
        <w:ind w:left="1147"/>
        <w:rPr>
          <w:rFonts w:ascii="Arial"/>
          <w:b/>
          <w:sz w:val="18"/>
        </w:rPr>
      </w:pPr>
      <w:r>
        <w:rPr>
          <w:rFonts w:ascii="Arial"/>
          <w:b/>
          <w:color w:val="231F20"/>
          <w:w w:val="115"/>
          <w:sz w:val="18"/>
        </w:rPr>
        <w:t>June 6, 1990</w:t>
      </w:r>
    </w:p>
    <w:p w14:paraId="6539B710" w14:textId="77777777" w:rsidR="002653E8" w:rsidRDefault="003115E3">
      <w:pPr>
        <w:spacing w:before="34" w:line="276" w:lineRule="auto"/>
        <w:ind w:left="1147" w:right="60"/>
        <w:rPr>
          <w:rFonts w:ascii="Gill Sans MT"/>
          <w:sz w:val="18"/>
        </w:rPr>
      </w:pPr>
      <w:r>
        <w:rPr>
          <w:rFonts w:ascii="Gill Sans MT"/>
          <w:color w:val="231F20"/>
          <w:w w:val="110"/>
          <w:sz w:val="18"/>
        </w:rPr>
        <w:t>Susanne Albrecht is arrested in East Berlin, in the GdR.</w:t>
      </w:r>
    </w:p>
    <w:p w14:paraId="7230C97C" w14:textId="77777777" w:rsidR="002653E8" w:rsidRDefault="002653E8">
      <w:pPr>
        <w:pStyle w:val="a3"/>
        <w:spacing w:before="7"/>
        <w:rPr>
          <w:rFonts w:ascii="Gill Sans MT"/>
        </w:rPr>
      </w:pPr>
    </w:p>
    <w:p w14:paraId="54AE90BB" w14:textId="77777777" w:rsidR="002653E8" w:rsidRDefault="003115E3">
      <w:pPr>
        <w:ind w:left="1147"/>
        <w:rPr>
          <w:rFonts w:ascii="Arial"/>
          <w:b/>
          <w:sz w:val="18"/>
        </w:rPr>
      </w:pPr>
      <w:r>
        <w:rPr>
          <w:rFonts w:ascii="Arial"/>
          <w:b/>
          <w:color w:val="231F20"/>
          <w:w w:val="115"/>
          <w:sz w:val="18"/>
        </w:rPr>
        <w:t>June 12, 1990</w:t>
      </w:r>
    </w:p>
    <w:p w14:paraId="47F34B59" w14:textId="77777777" w:rsidR="002653E8" w:rsidRDefault="003115E3">
      <w:pPr>
        <w:spacing w:before="34" w:line="276" w:lineRule="auto"/>
        <w:ind w:left="1147" w:right="17"/>
        <w:rPr>
          <w:rFonts w:ascii="Gill Sans MT"/>
          <w:sz w:val="18"/>
        </w:rPr>
      </w:pPr>
      <w:r>
        <w:rPr>
          <w:rFonts w:ascii="Gill Sans MT"/>
          <w:color w:val="231F20"/>
          <w:w w:val="115"/>
          <w:sz w:val="18"/>
        </w:rPr>
        <w:t>Inge</w:t>
      </w:r>
      <w:r>
        <w:rPr>
          <w:rFonts w:ascii="Gill Sans MT"/>
          <w:color w:val="231F20"/>
          <w:spacing w:val="-12"/>
          <w:w w:val="115"/>
          <w:sz w:val="18"/>
        </w:rPr>
        <w:t xml:space="preserve"> </w:t>
      </w:r>
      <w:r>
        <w:rPr>
          <w:rFonts w:ascii="Gill Sans MT"/>
          <w:color w:val="231F20"/>
          <w:w w:val="115"/>
          <w:sz w:val="18"/>
        </w:rPr>
        <w:t>Viett</w:t>
      </w:r>
      <w:r>
        <w:rPr>
          <w:rFonts w:ascii="Gill Sans MT"/>
          <w:color w:val="231F20"/>
          <w:spacing w:val="-12"/>
          <w:w w:val="115"/>
          <w:sz w:val="18"/>
        </w:rPr>
        <w:t xml:space="preserve"> </w:t>
      </w:r>
      <w:r>
        <w:rPr>
          <w:rFonts w:ascii="Gill Sans MT"/>
          <w:color w:val="231F20"/>
          <w:w w:val="115"/>
          <w:sz w:val="18"/>
        </w:rPr>
        <w:t>is</w:t>
      </w:r>
      <w:r>
        <w:rPr>
          <w:rFonts w:ascii="Gill Sans MT"/>
          <w:color w:val="231F20"/>
          <w:spacing w:val="-12"/>
          <w:w w:val="115"/>
          <w:sz w:val="18"/>
        </w:rPr>
        <w:t xml:space="preserve"> </w:t>
      </w:r>
      <w:r>
        <w:rPr>
          <w:rFonts w:ascii="Gill Sans MT"/>
          <w:color w:val="231F20"/>
          <w:w w:val="115"/>
          <w:sz w:val="18"/>
        </w:rPr>
        <w:t>arrested</w:t>
      </w:r>
      <w:r>
        <w:rPr>
          <w:rFonts w:ascii="Gill Sans MT"/>
          <w:color w:val="231F20"/>
          <w:spacing w:val="-12"/>
          <w:w w:val="115"/>
          <w:sz w:val="18"/>
        </w:rPr>
        <w:t xml:space="preserve"> </w:t>
      </w:r>
      <w:r>
        <w:rPr>
          <w:rFonts w:ascii="Gill Sans MT"/>
          <w:color w:val="231F20"/>
          <w:w w:val="115"/>
          <w:sz w:val="18"/>
        </w:rPr>
        <w:t>in</w:t>
      </w:r>
      <w:r>
        <w:rPr>
          <w:rFonts w:ascii="Gill Sans MT"/>
          <w:color w:val="231F20"/>
          <w:spacing w:val="-12"/>
          <w:w w:val="115"/>
          <w:sz w:val="18"/>
        </w:rPr>
        <w:t xml:space="preserve"> </w:t>
      </w:r>
      <w:r>
        <w:rPr>
          <w:rFonts w:ascii="Gill Sans MT"/>
          <w:color w:val="231F20"/>
          <w:w w:val="115"/>
          <w:sz w:val="18"/>
        </w:rPr>
        <w:t>Magdeburg, in the</w:t>
      </w:r>
      <w:r>
        <w:rPr>
          <w:rFonts w:ascii="Gill Sans MT"/>
          <w:color w:val="231F20"/>
          <w:spacing w:val="-16"/>
          <w:w w:val="115"/>
          <w:sz w:val="18"/>
        </w:rPr>
        <w:t xml:space="preserve"> </w:t>
      </w:r>
      <w:r>
        <w:rPr>
          <w:rFonts w:ascii="Gill Sans MT"/>
          <w:color w:val="231F20"/>
          <w:w w:val="115"/>
          <w:sz w:val="18"/>
        </w:rPr>
        <w:t>GdR.</w:t>
      </w:r>
    </w:p>
    <w:p w14:paraId="5B9E6102" w14:textId="77777777" w:rsidR="002653E8" w:rsidRDefault="002653E8">
      <w:pPr>
        <w:pStyle w:val="a3"/>
        <w:spacing w:before="7"/>
        <w:rPr>
          <w:rFonts w:ascii="Gill Sans MT"/>
        </w:rPr>
      </w:pPr>
    </w:p>
    <w:p w14:paraId="65FC7519" w14:textId="77777777" w:rsidR="002653E8" w:rsidRDefault="003115E3">
      <w:pPr>
        <w:ind w:left="1147"/>
        <w:rPr>
          <w:rFonts w:ascii="Arial"/>
          <w:b/>
          <w:sz w:val="18"/>
        </w:rPr>
      </w:pPr>
      <w:r>
        <w:rPr>
          <w:rFonts w:ascii="Arial"/>
          <w:b/>
          <w:color w:val="231F20"/>
          <w:w w:val="115"/>
          <w:sz w:val="18"/>
        </w:rPr>
        <w:t>June 14, 1990</w:t>
      </w:r>
    </w:p>
    <w:p w14:paraId="21252516" w14:textId="77777777" w:rsidR="002653E8" w:rsidRDefault="003115E3">
      <w:pPr>
        <w:spacing w:before="34" w:line="276" w:lineRule="auto"/>
        <w:ind w:left="1147" w:right="17" w:hanging="1"/>
        <w:rPr>
          <w:rFonts w:ascii="Gill Sans MT" w:hAnsi="Gill Sans MT"/>
          <w:sz w:val="18"/>
        </w:rPr>
      </w:pPr>
      <w:r>
        <w:rPr>
          <w:rFonts w:ascii="Gill Sans MT" w:hAnsi="Gill Sans MT"/>
          <w:color w:val="231F20"/>
          <w:w w:val="110"/>
          <w:sz w:val="18"/>
        </w:rPr>
        <w:t>Werner</w:t>
      </w:r>
      <w:r>
        <w:rPr>
          <w:rFonts w:ascii="Gill Sans MT" w:hAnsi="Gill Sans MT"/>
          <w:color w:val="231F20"/>
          <w:spacing w:val="-14"/>
          <w:w w:val="110"/>
          <w:sz w:val="18"/>
        </w:rPr>
        <w:t xml:space="preserve"> </w:t>
      </w:r>
      <w:r>
        <w:rPr>
          <w:rFonts w:ascii="Gill Sans MT" w:hAnsi="Gill Sans MT"/>
          <w:color w:val="231F20"/>
          <w:w w:val="110"/>
          <w:sz w:val="18"/>
        </w:rPr>
        <w:t>Lotze</w:t>
      </w:r>
      <w:r>
        <w:rPr>
          <w:rFonts w:ascii="Gill Sans MT" w:hAnsi="Gill Sans MT"/>
          <w:color w:val="231F20"/>
          <w:spacing w:val="-14"/>
          <w:w w:val="110"/>
          <w:sz w:val="18"/>
        </w:rPr>
        <w:t xml:space="preserve"> </w:t>
      </w:r>
      <w:r>
        <w:rPr>
          <w:rFonts w:ascii="Gill Sans MT" w:hAnsi="Gill Sans MT"/>
          <w:color w:val="231F20"/>
          <w:w w:val="110"/>
          <w:sz w:val="18"/>
        </w:rPr>
        <w:t>and</w:t>
      </w:r>
      <w:r>
        <w:rPr>
          <w:rFonts w:ascii="Gill Sans MT" w:hAnsi="Gill Sans MT"/>
          <w:color w:val="231F20"/>
          <w:spacing w:val="-14"/>
          <w:w w:val="110"/>
          <w:sz w:val="18"/>
        </w:rPr>
        <w:t xml:space="preserve"> </w:t>
      </w:r>
      <w:r>
        <w:rPr>
          <w:rFonts w:ascii="Gill Sans MT" w:hAnsi="Gill Sans MT"/>
          <w:color w:val="231F20"/>
          <w:w w:val="110"/>
          <w:sz w:val="18"/>
        </w:rPr>
        <w:t>Christine</w:t>
      </w:r>
      <w:r>
        <w:rPr>
          <w:rFonts w:ascii="Gill Sans MT" w:hAnsi="Gill Sans MT"/>
          <w:color w:val="231F20"/>
          <w:spacing w:val="-14"/>
          <w:w w:val="110"/>
          <w:sz w:val="18"/>
        </w:rPr>
        <w:t xml:space="preserve"> </w:t>
      </w:r>
      <w:r>
        <w:rPr>
          <w:rFonts w:ascii="Gill Sans MT" w:hAnsi="Gill Sans MT"/>
          <w:color w:val="231F20"/>
          <w:w w:val="110"/>
          <w:sz w:val="18"/>
        </w:rPr>
        <w:t xml:space="preserve">dümlein </w:t>
      </w:r>
      <w:r>
        <w:rPr>
          <w:rFonts w:ascii="Gill Sans MT" w:hAnsi="Gill Sans MT"/>
          <w:color w:val="231F20"/>
          <w:w w:val="115"/>
          <w:sz w:val="18"/>
        </w:rPr>
        <w:t>are arrested in Seftenbeck, in the GdR.</w:t>
      </w:r>
    </w:p>
    <w:p w14:paraId="290C9123" w14:textId="77777777" w:rsidR="002653E8" w:rsidRDefault="003115E3">
      <w:pPr>
        <w:spacing w:line="276" w:lineRule="auto"/>
        <w:ind w:left="1147" w:right="145"/>
        <w:rPr>
          <w:rFonts w:ascii="Gill Sans MT"/>
          <w:sz w:val="18"/>
        </w:rPr>
      </w:pPr>
      <w:r>
        <w:rPr>
          <w:rFonts w:ascii="Gill Sans MT"/>
          <w:color w:val="231F20"/>
          <w:w w:val="115"/>
          <w:sz w:val="18"/>
        </w:rPr>
        <w:t>Ekkehard von Seckendorff and Monika Helbing are arrested in Frankfurt</w:t>
      </w:r>
      <w:r>
        <w:rPr>
          <w:rFonts w:ascii="Gill Sans MT"/>
          <w:color w:val="231F20"/>
          <w:spacing w:val="-23"/>
          <w:w w:val="115"/>
          <w:sz w:val="18"/>
        </w:rPr>
        <w:t xml:space="preserve"> </w:t>
      </w:r>
      <w:r>
        <w:rPr>
          <w:rFonts w:ascii="Gill Sans MT"/>
          <w:color w:val="231F20"/>
          <w:w w:val="115"/>
          <w:sz w:val="18"/>
        </w:rPr>
        <w:t>an</w:t>
      </w:r>
      <w:r>
        <w:rPr>
          <w:rFonts w:ascii="Gill Sans MT"/>
          <w:color w:val="231F20"/>
          <w:spacing w:val="-23"/>
          <w:w w:val="115"/>
          <w:sz w:val="18"/>
        </w:rPr>
        <w:t xml:space="preserve"> </w:t>
      </w:r>
      <w:r>
        <w:rPr>
          <w:rFonts w:ascii="Gill Sans MT"/>
          <w:color w:val="231F20"/>
          <w:w w:val="115"/>
          <w:sz w:val="18"/>
        </w:rPr>
        <w:t>der</w:t>
      </w:r>
      <w:r>
        <w:rPr>
          <w:rFonts w:ascii="Gill Sans MT"/>
          <w:color w:val="231F20"/>
          <w:spacing w:val="-23"/>
          <w:w w:val="115"/>
          <w:sz w:val="18"/>
        </w:rPr>
        <w:t xml:space="preserve"> </w:t>
      </w:r>
      <w:r>
        <w:rPr>
          <w:rFonts w:ascii="Gill Sans MT"/>
          <w:color w:val="231F20"/>
          <w:spacing w:val="-4"/>
          <w:w w:val="115"/>
          <w:sz w:val="18"/>
        </w:rPr>
        <w:t>Oder,</w:t>
      </w:r>
      <w:r>
        <w:rPr>
          <w:rFonts w:ascii="Gill Sans MT"/>
          <w:color w:val="231F20"/>
          <w:spacing w:val="-23"/>
          <w:w w:val="115"/>
          <w:sz w:val="18"/>
        </w:rPr>
        <w:t xml:space="preserve"> </w:t>
      </w:r>
      <w:r>
        <w:rPr>
          <w:rFonts w:ascii="Gill Sans MT"/>
          <w:color w:val="231F20"/>
          <w:w w:val="115"/>
          <w:sz w:val="18"/>
        </w:rPr>
        <w:t>in</w:t>
      </w:r>
      <w:r>
        <w:rPr>
          <w:rFonts w:ascii="Gill Sans MT"/>
          <w:color w:val="231F20"/>
          <w:spacing w:val="-23"/>
          <w:w w:val="115"/>
          <w:sz w:val="18"/>
        </w:rPr>
        <w:t xml:space="preserve"> </w:t>
      </w:r>
      <w:r>
        <w:rPr>
          <w:rFonts w:ascii="Gill Sans MT"/>
          <w:color w:val="231F20"/>
          <w:w w:val="115"/>
          <w:sz w:val="18"/>
        </w:rPr>
        <w:t>the</w:t>
      </w:r>
      <w:r>
        <w:rPr>
          <w:rFonts w:ascii="Gill Sans MT"/>
          <w:color w:val="231F20"/>
          <w:spacing w:val="-23"/>
          <w:w w:val="115"/>
          <w:sz w:val="18"/>
        </w:rPr>
        <w:t xml:space="preserve"> </w:t>
      </w:r>
      <w:r>
        <w:rPr>
          <w:rFonts w:ascii="Gill Sans MT"/>
          <w:color w:val="231F20"/>
          <w:w w:val="115"/>
          <w:sz w:val="18"/>
        </w:rPr>
        <w:t>GdR.</w:t>
      </w:r>
    </w:p>
    <w:p w14:paraId="6228C4E1" w14:textId="77777777" w:rsidR="002653E8" w:rsidRDefault="002653E8">
      <w:pPr>
        <w:pStyle w:val="a3"/>
        <w:spacing w:before="6"/>
        <w:rPr>
          <w:rFonts w:ascii="Gill Sans MT"/>
        </w:rPr>
      </w:pPr>
    </w:p>
    <w:p w14:paraId="5115CB6C" w14:textId="77777777" w:rsidR="002653E8" w:rsidRDefault="003115E3">
      <w:pPr>
        <w:spacing w:before="1"/>
        <w:ind w:left="1147"/>
        <w:rPr>
          <w:rFonts w:ascii="Arial"/>
          <w:b/>
          <w:sz w:val="18"/>
        </w:rPr>
      </w:pPr>
      <w:r>
        <w:rPr>
          <w:rFonts w:ascii="Arial"/>
          <w:b/>
          <w:color w:val="231F20"/>
          <w:w w:val="115"/>
          <w:sz w:val="18"/>
        </w:rPr>
        <w:t>June 15, 1990</w:t>
      </w:r>
    </w:p>
    <w:p w14:paraId="4C29C65A" w14:textId="77777777" w:rsidR="002653E8" w:rsidRDefault="003115E3">
      <w:pPr>
        <w:spacing w:before="34" w:line="276" w:lineRule="auto"/>
        <w:ind w:left="1147" w:right="-1"/>
        <w:rPr>
          <w:rFonts w:ascii="Gill Sans MT"/>
          <w:sz w:val="18"/>
        </w:rPr>
      </w:pPr>
      <w:r>
        <w:rPr>
          <w:rFonts w:ascii="Gill Sans MT"/>
          <w:color w:val="231F20"/>
          <w:w w:val="110"/>
          <w:sz w:val="18"/>
        </w:rPr>
        <w:t>Sigrid Sternebeck and Ralf Friedrich are arrested in Schwedt, in the GdR.</w:t>
      </w:r>
    </w:p>
    <w:p w14:paraId="79AB358C" w14:textId="77777777" w:rsidR="002653E8" w:rsidRDefault="002653E8">
      <w:pPr>
        <w:pStyle w:val="a3"/>
        <w:spacing w:before="6"/>
        <w:rPr>
          <w:rFonts w:ascii="Gill Sans MT"/>
        </w:rPr>
      </w:pPr>
    </w:p>
    <w:p w14:paraId="3832274F" w14:textId="77777777" w:rsidR="002653E8" w:rsidRDefault="003115E3">
      <w:pPr>
        <w:spacing w:before="1"/>
        <w:ind w:left="1147"/>
        <w:rPr>
          <w:rFonts w:ascii="Arial"/>
          <w:b/>
          <w:sz w:val="18"/>
        </w:rPr>
      </w:pPr>
      <w:r>
        <w:rPr>
          <w:rFonts w:ascii="Arial"/>
          <w:b/>
          <w:color w:val="231F20"/>
          <w:w w:val="115"/>
          <w:sz w:val="18"/>
        </w:rPr>
        <w:t>June 18, 1990</w:t>
      </w:r>
    </w:p>
    <w:p w14:paraId="771AC774" w14:textId="77777777" w:rsidR="002653E8" w:rsidRDefault="003115E3">
      <w:pPr>
        <w:spacing w:before="34" w:line="276" w:lineRule="auto"/>
        <w:ind w:left="1147" w:right="85"/>
        <w:rPr>
          <w:rFonts w:ascii="Gill Sans MT"/>
          <w:sz w:val="18"/>
        </w:rPr>
      </w:pPr>
      <w:r>
        <w:rPr>
          <w:rFonts w:ascii="Gill Sans MT"/>
          <w:color w:val="231F20"/>
          <w:w w:val="115"/>
          <w:sz w:val="18"/>
        </w:rPr>
        <w:t>Silke</w:t>
      </w:r>
      <w:r>
        <w:rPr>
          <w:rFonts w:ascii="Gill Sans MT"/>
          <w:color w:val="231F20"/>
          <w:spacing w:val="-30"/>
          <w:w w:val="115"/>
          <w:sz w:val="18"/>
        </w:rPr>
        <w:t xml:space="preserve"> </w:t>
      </w:r>
      <w:r>
        <w:rPr>
          <w:rFonts w:ascii="Gill Sans MT"/>
          <w:color w:val="231F20"/>
          <w:w w:val="115"/>
          <w:sz w:val="18"/>
        </w:rPr>
        <w:t>Maier-Witt</w:t>
      </w:r>
      <w:r>
        <w:rPr>
          <w:rFonts w:ascii="Gill Sans MT"/>
          <w:color w:val="231F20"/>
          <w:spacing w:val="-30"/>
          <w:w w:val="115"/>
          <w:sz w:val="18"/>
        </w:rPr>
        <w:t xml:space="preserve"> </w:t>
      </w:r>
      <w:r>
        <w:rPr>
          <w:rFonts w:ascii="Gill Sans MT"/>
          <w:color w:val="231F20"/>
          <w:w w:val="115"/>
          <w:sz w:val="18"/>
        </w:rPr>
        <w:t>and</w:t>
      </w:r>
      <w:r>
        <w:rPr>
          <w:rFonts w:ascii="Gill Sans MT"/>
          <w:color w:val="231F20"/>
          <w:spacing w:val="-30"/>
          <w:w w:val="115"/>
          <w:sz w:val="18"/>
        </w:rPr>
        <w:t xml:space="preserve"> </w:t>
      </w:r>
      <w:r>
        <w:rPr>
          <w:rFonts w:ascii="Gill Sans MT"/>
          <w:color w:val="231F20"/>
          <w:w w:val="115"/>
          <w:sz w:val="18"/>
        </w:rPr>
        <w:t>Henning</w:t>
      </w:r>
      <w:r>
        <w:rPr>
          <w:rFonts w:ascii="Gill Sans MT"/>
          <w:color w:val="231F20"/>
          <w:spacing w:val="-30"/>
          <w:w w:val="115"/>
          <w:sz w:val="18"/>
        </w:rPr>
        <w:t xml:space="preserve"> </w:t>
      </w:r>
      <w:r>
        <w:rPr>
          <w:rFonts w:ascii="Gill Sans MT"/>
          <w:color w:val="231F20"/>
          <w:w w:val="115"/>
          <w:sz w:val="18"/>
        </w:rPr>
        <w:t>Beer are</w:t>
      </w:r>
      <w:r>
        <w:rPr>
          <w:rFonts w:ascii="Gill Sans MT"/>
          <w:color w:val="231F20"/>
          <w:spacing w:val="-29"/>
          <w:w w:val="115"/>
          <w:sz w:val="18"/>
        </w:rPr>
        <w:t xml:space="preserve"> </w:t>
      </w:r>
      <w:r>
        <w:rPr>
          <w:rFonts w:ascii="Gill Sans MT"/>
          <w:color w:val="231F20"/>
          <w:w w:val="115"/>
          <w:sz w:val="18"/>
        </w:rPr>
        <w:t>arrested</w:t>
      </w:r>
      <w:r>
        <w:rPr>
          <w:rFonts w:ascii="Gill Sans MT"/>
          <w:color w:val="231F20"/>
          <w:spacing w:val="-29"/>
          <w:w w:val="115"/>
          <w:sz w:val="18"/>
        </w:rPr>
        <w:t xml:space="preserve"> </w:t>
      </w:r>
      <w:r>
        <w:rPr>
          <w:rFonts w:ascii="Gill Sans MT"/>
          <w:color w:val="231F20"/>
          <w:w w:val="115"/>
          <w:sz w:val="18"/>
        </w:rPr>
        <w:t>in</w:t>
      </w:r>
      <w:r>
        <w:rPr>
          <w:rFonts w:ascii="Gill Sans MT"/>
          <w:color w:val="231F20"/>
          <w:spacing w:val="-29"/>
          <w:w w:val="115"/>
          <w:sz w:val="18"/>
        </w:rPr>
        <w:t xml:space="preserve"> </w:t>
      </w:r>
      <w:r>
        <w:rPr>
          <w:rFonts w:ascii="Gill Sans MT"/>
          <w:color w:val="231F20"/>
          <w:w w:val="115"/>
          <w:sz w:val="18"/>
        </w:rPr>
        <w:t>Neubrandenberg,</w:t>
      </w:r>
      <w:r>
        <w:rPr>
          <w:rFonts w:ascii="Gill Sans MT"/>
          <w:color w:val="231F20"/>
          <w:spacing w:val="-29"/>
          <w:w w:val="115"/>
          <w:sz w:val="18"/>
        </w:rPr>
        <w:t xml:space="preserve"> </w:t>
      </w:r>
      <w:r>
        <w:rPr>
          <w:rFonts w:ascii="Gill Sans MT"/>
          <w:color w:val="231F20"/>
          <w:w w:val="115"/>
          <w:sz w:val="18"/>
        </w:rPr>
        <w:t>in the</w:t>
      </w:r>
      <w:r>
        <w:rPr>
          <w:rFonts w:ascii="Gill Sans MT"/>
          <w:color w:val="231F20"/>
          <w:spacing w:val="-8"/>
          <w:w w:val="115"/>
          <w:sz w:val="18"/>
        </w:rPr>
        <w:t xml:space="preserve"> </w:t>
      </w:r>
      <w:r>
        <w:rPr>
          <w:rFonts w:ascii="Gill Sans MT"/>
          <w:color w:val="231F20"/>
          <w:w w:val="115"/>
          <w:sz w:val="18"/>
        </w:rPr>
        <w:t>GdR.</w:t>
      </w:r>
    </w:p>
    <w:p w14:paraId="5962B176" w14:textId="77777777" w:rsidR="002653E8" w:rsidRDefault="002653E8">
      <w:pPr>
        <w:pStyle w:val="a3"/>
        <w:spacing w:before="8"/>
        <w:rPr>
          <w:rFonts w:ascii="Gill Sans MT"/>
        </w:rPr>
      </w:pPr>
    </w:p>
    <w:p w14:paraId="3A3EF3AE" w14:textId="77777777" w:rsidR="002653E8" w:rsidRDefault="003115E3">
      <w:pPr>
        <w:spacing w:line="276" w:lineRule="auto"/>
        <w:ind w:left="1147" w:right="318"/>
        <w:rPr>
          <w:rFonts w:ascii="Gill Sans MT" w:hAnsi="Gill Sans MT"/>
          <w:sz w:val="18"/>
        </w:rPr>
      </w:pPr>
      <w:r>
        <w:rPr>
          <w:rFonts w:ascii="Gill Sans MT" w:hAnsi="Gill Sans MT"/>
          <w:color w:val="231F20"/>
          <w:w w:val="110"/>
          <w:sz w:val="18"/>
        </w:rPr>
        <w:t>Of the above listed arrestees, dümlein and von  Seckendorf are quickly released, the</w:t>
      </w:r>
      <w:r>
        <w:rPr>
          <w:rFonts w:ascii="Gill Sans MT" w:hAnsi="Gill Sans MT"/>
          <w:color w:val="231F20"/>
          <w:spacing w:val="27"/>
          <w:w w:val="110"/>
          <w:sz w:val="18"/>
        </w:rPr>
        <w:t xml:space="preserve"> </w:t>
      </w:r>
      <w:r>
        <w:rPr>
          <w:rFonts w:ascii="Gill Sans MT" w:hAnsi="Gill Sans MT"/>
          <w:color w:val="231F20"/>
          <w:w w:val="110"/>
          <w:sz w:val="18"/>
        </w:rPr>
        <w:t>charges</w:t>
      </w:r>
    </w:p>
    <w:p w14:paraId="1C171EB3" w14:textId="77777777" w:rsidR="002653E8" w:rsidRDefault="003115E3">
      <w:pPr>
        <w:spacing w:line="276" w:lineRule="auto"/>
        <w:ind w:left="1147" w:right="-2"/>
        <w:rPr>
          <w:rFonts w:ascii="Gill Sans MT"/>
          <w:sz w:val="18"/>
        </w:rPr>
      </w:pPr>
      <w:r>
        <w:rPr>
          <w:rFonts w:ascii="Gill Sans MT"/>
          <w:color w:val="231F20"/>
          <w:w w:val="110"/>
          <w:sz w:val="18"/>
        </w:rPr>
        <w:t>against them being moot due to the statute of limitations. Nonetheless, they, like all of the arrestees, with the exception of Viett, provided prosecutors with testimony against other former guerillas. All those charged, with the exception of Viett, would, as a result, receive relatively short sentences. Their testimony would be used to increase the sentences of Eva Haule, Christian</w:t>
      </w:r>
    </w:p>
    <w:p w14:paraId="3E016D41" w14:textId="77777777" w:rsidR="002653E8" w:rsidRPr="00846956" w:rsidRDefault="003115E3">
      <w:pPr>
        <w:spacing w:before="92" w:line="273" w:lineRule="auto"/>
        <w:ind w:left="203" w:right="1332"/>
        <w:rPr>
          <w:rFonts w:ascii="Gill Sans MT"/>
          <w:sz w:val="18"/>
          <w:lang w:val="de-DE"/>
        </w:rPr>
      </w:pPr>
      <w:r w:rsidRPr="006918DA">
        <w:rPr>
          <w:lang w:val="de-DE"/>
        </w:rPr>
        <w:br w:type="column"/>
      </w:r>
      <w:r w:rsidRPr="00846956">
        <w:rPr>
          <w:rFonts w:ascii="Gill Sans MT"/>
          <w:color w:val="231F20"/>
          <w:w w:val="110"/>
          <w:sz w:val="18"/>
          <w:lang w:val="de-DE"/>
        </w:rPr>
        <w:t xml:space="preserve">Klar, Adelheid Schulz, and Sieglinde Hofmann during trials in </w:t>
      </w:r>
      <w:r w:rsidRPr="00846956">
        <w:rPr>
          <w:rFonts w:ascii="Arial"/>
          <w:color w:val="231F20"/>
          <w:w w:val="110"/>
          <w:sz w:val="18"/>
          <w:lang w:val="de-DE"/>
        </w:rPr>
        <w:t xml:space="preserve">1994 </w:t>
      </w:r>
      <w:r w:rsidRPr="00846956">
        <w:rPr>
          <w:rFonts w:ascii="Gill Sans MT"/>
          <w:color w:val="231F20"/>
          <w:w w:val="110"/>
          <w:sz w:val="18"/>
          <w:lang w:val="de-DE"/>
        </w:rPr>
        <w:t xml:space="preserve">and </w:t>
      </w:r>
      <w:r w:rsidRPr="00846956">
        <w:rPr>
          <w:rFonts w:ascii="Arial"/>
          <w:color w:val="231F20"/>
          <w:w w:val="110"/>
          <w:sz w:val="18"/>
          <w:lang w:val="de-DE"/>
        </w:rPr>
        <w:t>1995</w:t>
      </w:r>
      <w:r w:rsidRPr="00846956">
        <w:rPr>
          <w:rFonts w:ascii="Gill Sans MT"/>
          <w:color w:val="231F20"/>
          <w:w w:val="110"/>
          <w:sz w:val="18"/>
          <w:lang w:val="de-DE"/>
        </w:rPr>
        <w:t>.</w:t>
      </w:r>
    </w:p>
    <w:p w14:paraId="57C9213E" w14:textId="77777777" w:rsidR="002653E8" w:rsidRPr="00846956" w:rsidRDefault="002653E8">
      <w:pPr>
        <w:pStyle w:val="a3"/>
        <w:spacing w:before="9"/>
        <w:rPr>
          <w:rFonts w:ascii="Gill Sans MT"/>
          <w:lang w:val="de-DE"/>
        </w:rPr>
      </w:pPr>
    </w:p>
    <w:p w14:paraId="5A0D1E10" w14:textId="77777777" w:rsidR="002653E8" w:rsidRDefault="003115E3">
      <w:pPr>
        <w:ind w:left="203"/>
        <w:rPr>
          <w:rFonts w:ascii="Arial"/>
          <w:b/>
          <w:sz w:val="18"/>
        </w:rPr>
      </w:pPr>
      <w:r>
        <w:rPr>
          <w:rFonts w:ascii="Arial"/>
          <w:b/>
          <w:color w:val="231F20"/>
          <w:w w:val="115"/>
          <w:sz w:val="18"/>
        </w:rPr>
        <w:t>July 27, 1990</w:t>
      </w:r>
    </w:p>
    <w:p w14:paraId="44474426" w14:textId="77777777" w:rsidR="002653E8" w:rsidRDefault="003115E3">
      <w:pPr>
        <w:spacing w:before="35" w:line="276" w:lineRule="auto"/>
        <w:ind w:left="203" w:right="1387" w:hanging="1"/>
        <w:rPr>
          <w:rFonts w:ascii="Gill Sans MT" w:hAnsi="Gill Sans MT"/>
          <w:sz w:val="18"/>
        </w:rPr>
      </w:pPr>
      <w:r>
        <w:rPr>
          <w:rFonts w:ascii="Gill Sans MT" w:hAnsi="Gill Sans MT"/>
          <w:color w:val="231F20"/>
          <w:w w:val="115"/>
          <w:sz w:val="18"/>
        </w:rPr>
        <w:t xml:space="preserve">The </w:t>
      </w:r>
      <w:r w:rsidR="00C507A5">
        <w:rPr>
          <w:rFonts w:ascii="Gill Sans MT" w:hAnsi="Gill Sans MT"/>
          <w:color w:val="231F20"/>
          <w:spacing w:val="-3"/>
          <w:w w:val="115"/>
          <w:sz w:val="18"/>
        </w:rPr>
        <w:t>red army faction</w:t>
      </w:r>
      <w:r>
        <w:rPr>
          <w:rFonts w:ascii="Gill Sans MT" w:hAnsi="Gill Sans MT"/>
          <w:color w:val="231F20"/>
          <w:spacing w:val="-3"/>
          <w:w w:val="115"/>
          <w:sz w:val="18"/>
        </w:rPr>
        <w:t xml:space="preserve">’s </w:t>
      </w:r>
      <w:r>
        <w:rPr>
          <w:rFonts w:ascii="Gill Sans MT" w:hAnsi="Gill Sans MT"/>
          <w:color w:val="231F20"/>
          <w:w w:val="115"/>
          <w:sz w:val="18"/>
        </w:rPr>
        <w:t>José Manuel Sévillano Commando</w:t>
      </w:r>
      <w:r>
        <w:rPr>
          <w:rFonts w:ascii="Gill Sans MT" w:hAnsi="Gill Sans MT"/>
          <w:color w:val="231F20"/>
          <w:spacing w:val="-21"/>
          <w:w w:val="115"/>
          <w:sz w:val="18"/>
        </w:rPr>
        <w:t xml:space="preserve"> </w:t>
      </w:r>
      <w:r>
        <w:rPr>
          <w:rFonts w:ascii="Gill Sans MT" w:hAnsi="Gill Sans MT"/>
          <w:color w:val="231F20"/>
          <w:w w:val="115"/>
          <w:sz w:val="18"/>
        </w:rPr>
        <w:t>fails</w:t>
      </w:r>
      <w:r>
        <w:rPr>
          <w:rFonts w:ascii="Gill Sans MT" w:hAnsi="Gill Sans MT"/>
          <w:color w:val="231F20"/>
          <w:spacing w:val="-21"/>
          <w:w w:val="115"/>
          <w:sz w:val="18"/>
        </w:rPr>
        <w:t xml:space="preserve"> </w:t>
      </w:r>
      <w:r>
        <w:rPr>
          <w:rFonts w:ascii="Gill Sans MT" w:hAnsi="Gill Sans MT"/>
          <w:color w:val="231F20"/>
          <w:w w:val="115"/>
          <w:sz w:val="18"/>
        </w:rPr>
        <w:t>in</w:t>
      </w:r>
      <w:r>
        <w:rPr>
          <w:rFonts w:ascii="Gill Sans MT" w:hAnsi="Gill Sans MT"/>
          <w:color w:val="231F20"/>
          <w:spacing w:val="-21"/>
          <w:w w:val="115"/>
          <w:sz w:val="18"/>
        </w:rPr>
        <w:t xml:space="preserve"> </w:t>
      </w:r>
      <w:r>
        <w:rPr>
          <w:rFonts w:ascii="Gill Sans MT" w:hAnsi="Gill Sans MT"/>
          <w:color w:val="231F20"/>
          <w:w w:val="115"/>
          <w:sz w:val="18"/>
        </w:rPr>
        <w:t>an</w:t>
      </w:r>
      <w:r>
        <w:rPr>
          <w:rFonts w:ascii="Gill Sans MT" w:hAnsi="Gill Sans MT"/>
          <w:color w:val="231F20"/>
          <w:spacing w:val="-21"/>
          <w:w w:val="115"/>
          <w:sz w:val="18"/>
        </w:rPr>
        <w:t xml:space="preserve"> </w:t>
      </w:r>
      <w:r>
        <w:rPr>
          <w:rFonts w:ascii="Gill Sans MT" w:hAnsi="Gill Sans MT"/>
          <w:color w:val="231F20"/>
          <w:w w:val="115"/>
          <w:sz w:val="18"/>
        </w:rPr>
        <w:t>assassination attempt against State Secretary of the</w:t>
      </w:r>
      <w:r>
        <w:rPr>
          <w:rFonts w:ascii="Gill Sans MT" w:hAnsi="Gill Sans MT"/>
          <w:color w:val="231F20"/>
          <w:spacing w:val="-36"/>
          <w:w w:val="115"/>
          <w:sz w:val="18"/>
        </w:rPr>
        <w:t xml:space="preserve"> </w:t>
      </w:r>
      <w:r>
        <w:rPr>
          <w:rFonts w:ascii="Gill Sans MT" w:hAnsi="Gill Sans MT"/>
          <w:color w:val="231F20"/>
          <w:w w:val="115"/>
          <w:sz w:val="18"/>
        </w:rPr>
        <w:t>Minister</w:t>
      </w:r>
      <w:r>
        <w:rPr>
          <w:rFonts w:ascii="Gill Sans MT" w:hAnsi="Gill Sans MT"/>
          <w:color w:val="231F20"/>
          <w:spacing w:val="-36"/>
          <w:w w:val="115"/>
          <w:sz w:val="18"/>
        </w:rPr>
        <w:t xml:space="preserve"> </w:t>
      </w:r>
      <w:r>
        <w:rPr>
          <w:rFonts w:ascii="Gill Sans MT" w:hAnsi="Gill Sans MT"/>
          <w:color w:val="231F20"/>
          <w:w w:val="115"/>
          <w:sz w:val="18"/>
        </w:rPr>
        <w:t>of</w:t>
      </w:r>
      <w:r>
        <w:rPr>
          <w:rFonts w:ascii="Gill Sans MT" w:hAnsi="Gill Sans MT"/>
          <w:color w:val="231F20"/>
          <w:spacing w:val="-36"/>
          <w:w w:val="115"/>
          <w:sz w:val="18"/>
        </w:rPr>
        <w:t xml:space="preserve"> </w:t>
      </w:r>
      <w:r>
        <w:rPr>
          <w:rFonts w:ascii="Gill Sans MT" w:hAnsi="Gill Sans MT"/>
          <w:color w:val="231F20"/>
          <w:w w:val="115"/>
          <w:sz w:val="18"/>
        </w:rPr>
        <w:t>Interior</w:t>
      </w:r>
      <w:r>
        <w:rPr>
          <w:rFonts w:ascii="Gill Sans MT" w:hAnsi="Gill Sans MT"/>
          <w:color w:val="231F20"/>
          <w:spacing w:val="-36"/>
          <w:w w:val="115"/>
          <w:sz w:val="18"/>
        </w:rPr>
        <w:t xml:space="preserve"> </w:t>
      </w:r>
      <w:r>
        <w:rPr>
          <w:rFonts w:ascii="Gill Sans MT" w:hAnsi="Gill Sans MT"/>
          <w:color w:val="231F20"/>
          <w:w w:val="115"/>
          <w:sz w:val="18"/>
        </w:rPr>
        <w:t>Affairs,</w:t>
      </w:r>
      <w:r>
        <w:rPr>
          <w:rFonts w:ascii="Gill Sans MT" w:hAnsi="Gill Sans MT"/>
          <w:color w:val="231F20"/>
          <w:spacing w:val="-36"/>
          <w:w w:val="115"/>
          <w:sz w:val="18"/>
        </w:rPr>
        <w:t xml:space="preserve"> </w:t>
      </w:r>
      <w:r>
        <w:rPr>
          <w:rFonts w:ascii="Gill Sans MT" w:hAnsi="Gill Sans MT"/>
          <w:color w:val="231F20"/>
          <w:w w:val="115"/>
          <w:sz w:val="18"/>
        </w:rPr>
        <w:t>Hans</w:t>
      </w:r>
      <w:r>
        <w:rPr>
          <w:rFonts w:ascii="Gill Sans MT" w:hAnsi="Gill Sans MT"/>
          <w:color w:val="231F20"/>
          <w:w w:val="108"/>
          <w:sz w:val="18"/>
        </w:rPr>
        <w:t xml:space="preserve"> </w:t>
      </w:r>
      <w:r>
        <w:rPr>
          <w:rFonts w:ascii="Gill Sans MT" w:hAnsi="Gill Sans MT"/>
          <w:color w:val="231F20"/>
          <w:w w:val="115"/>
          <w:sz w:val="18"/>
        </w:rPr>
        <w:t>Neusel.</w:t>
      </w:r>
      <w:r>
        <w:rPr>
          <w:rFonts w:ascii="Gill Sans MT" w:hAnsi="Gill Sans MT"/>
          <w:color w:val="231F20"/>
          <w:spacing w:val="-27"/>
          <w:w w:val="115"/>
          <w:sz w:val="18"/>
        </w:rPr>
        <w:t xml:space="preserve"> </w:t>
      </w:r>
      <w:r>
        <w:rPr>
          <w:rFonts w:ascii="Gill Sans MT" w:hAnsi="Gill Sans MT"/>
          <w:color w:val="231F20"/>
          <w:w w:val="115"/>
          <w:sz w:val="18"/>
        </w:rPr>
        <w:t>The</w:t>
      </w:r>
      <w:r>
        <w:rPr>
          <w:rFonts w:ascii="Gill Sans MT" w:hAnsi="Gill Sans MT"/>
          <w:color w:val="231F20"/>
          <w:spacing w:val="-27"/>
          <w:w w:val="115"/>
          <w:sz w:val="18"/>
        </w:rPr>
        <w:t xml:space="preserve"> </w:t>
      </w:r>
      <w:r>
        <w:rPr>
          <w:rFonts w:ascii="Gill Sans MT" w:hAnsi="Gill Sans MT"/>
          <w:color w:val="231F20"/>
          <w:w w:val="115"/>
          <w:sz w:val="18"/>
        </w:rPr>
        <w:t>attempted</w:t>
      </w:r>
      <w:r>
        <w:rPr>
          <w:rFonts w:ascii="Gill Sans MT" w:hAnsi="Gill Sans MT"/>
          <w:color w:val="231F20"/>
          <w:spacing w:val="-27"/>
          <w:w w:val="115"/>
          <w:sz w:val="18"/>
        </w:rPr>
        <w:t xml:space="preserve"> </w:t>
      </w:r>
      <w:r>
        <w:rPr>
          <w:rFonts w:ascii="Gill Sans MT" w:hAnsi="Gill Sans MT"/>
          <w:color w:val="231F20"/>
          <w:w w:val="115"/>
          <w:sz w:val="18"/>
        </w:rPr>
        <w:t>murder</w:t>
      </w:r>
      <w:r>
        <w:rPr>
          <w:rFonts w:ascii="Gill Sans MT" w:hAnsi="Gill Sans MT"/>
          <w:color w:val="231F20"/>
          <w:spacing w:val="-27"/>
          <w:w w:val="115"/>
          <w:sz w:val="18"/>
        </w:rPr>
        <w:t xml:space="preserve"> </w:t>
      </w:r>
      <w:r>
        <w:rPr>
          <w:rFonts w:ascii="Gill Sans MT" w:hAnsi="Gill Sans MT"/>
          <w:color w:val="231F20"/>
          <w:w w:val="115"/>
          <w:sz w:val="18"/>
        </w:rPr>
        <w:t>has never been</w:t>
      </w:r>
      <w:r>
        <w:rPr>
          <w:rFonts w:ascii="Gill Sans MT" w:hAnsi="Gill Sans MT"/>
          <w:color w:val="231F20"/>
          <w:spacing w:val="-17"/>
          <w:w w:val="115"/>
          <w:sz w:val="18"/>
        </w:rPr>
        <w:t xml:space="preserve"> </w:t>
      </w:r>
      <w:r>
        <w:rPr>
          <w:rFonts w:ascii="Gill Sans MT" w:hAnsi="Gill Sans MT"/>
          <w:color w:val="231F20"/>
          <w:w w:val="115"/>
          <w:sz w:val="18"/>
        </w:rPr>
        <w:t>solved.</w:t>
      </w:r>
    </w:p>
    <w:p w14:paraId="7D0E34B3" w14:textId="77777777" w:rsidR="002653E8" w:rsidRDefault="002653E8">
      <w:pPr>
        <w:pStyle w:val="a3"/>
        <w:spacing w:before="6"/>
        <w:rPr>
          <w:rFonts w:ascii="Gill Sans MT"/>
        </w:rPr>
      </w:pPr>
    </w:p>
    <w:p w14:paraId="2508C17F" w14:textId="77777777" w:rsidR="002653E8" w:rsidRDefault="003115E3">
      <w:pPr>
        <w:ind w:left="203"/>
        <w:rPr>
          <w:rFonts w:ascii="Arial"/>
          <w:b/>
          <w:sz w:val="18"/>
        </w:rPr>
      </w:pPr>
      <w:r>
        <w:rPr>
          <w:rFonts w:ascii="Arial"/>
          <w:b/>
          <w:color w:val="231F20"/>
          <w:w w:val="115"/>
          <w:sz w:val="18"/>
        </w:rPr>
        <w:t>August 1990</w:t>
      </w:r>
    </w:p>
    <w:p w14:paraId="5BF3F263" w14:textId="77777777" w:rsidR="002653E8" w:rsidRDefault="003115E3">
      <w:pPr>
        <w:spacing w:before="35" w:line="268" w:lineRule="auto"/>
        <w:ind w:left="203" w:right="1480"/>
        <w:rPr>
          <w:rFonts w:ascii="Gill Sans MT" w:hAnsi="Gill Sans MT"/>
          <w:sz w:val="18"/>
        </w:rPr>
      </w:pPr>
      <w:r>
        <w:rPr>
          <w:rFonts w:ascii="Gill Sans MT" w:hAnsi="Gill Sans MT"/>
          <w:color w:val="231F20"/>
          <w:w w:val="110"/>
          <w:sz w:val="18"/>
        </w:rPr>
        <w:t xml:space="preserve">The final issue of the illegal </w:t>
      </w:r>
      <w:r w:rsidR="00C507A5">
        <w:rPr>
          <w:rFonts w:ascii="Gill Sans MT" w:hAnsi="Gill Sans MT"/>
          <w:color w:val="231F20"/>
          <w:w w:val="110"/>
          <w:sz w:val="18"/>
        </w:rPr>
        <w:t>red army faction</w:t>
      </w:r>
      <w:r>
        <w:rPr>
          <w:rFonts w:ascii="Gill Sans MT" w:hAnsi="Gill Sans MT"/>
          <w:color w:val="231F20"/>
          <w:w w:val="110"/>
          <w:sz w:val="18"/>
        </w:rPr>
        <w:t xml:space="preserve"> </w:t>
      </w:r>
      <w:r>
        <w:rPr>
          <w:rFonts w:ascii="Gill Sans MT" w:hAnsi="Gill Sans MT"/>
          <w:color w:val="231F20"/>
          <w:w w:val="105"/>
          <w:sz w:val="18"/>
        </w:rPr>
        <w:t xml:space="preserve">support newspaper </w:t>
      </w:r>
      <w:r>
        <w:rPr>
          <w:rFonts w:ascii="Lucida Sans" w:hAnsi="Lucida Sans"/>
          <w:i/>
          <w:color w:val="231F20"/>
          <w:w w:val="105"/>
          <w:sz w:val="18"/>
        </w:rPr>
        <w:t xml:space="preserve">Zusammen </w:t>
      </w:r>
      <w:r>
        <w:rPr>
          <w:rFonts w:ascii="Lucida Sans" w:hAnsi="Lucida Sans"/>
          <w:i/>
          <w:color w:val="231F20"/>
          <w:w w:val="110"/>
          <w:sz w:val="18"/>
        </w:rPr>
        <w:t xml:space="preserve">kämpfen </w:t>
      </w:r>
      <w:r>
        <w:rPr>
          <w:rFonts w:ascii="Gill Sans MT" w:hAnsi="Gill Sans MT"/>
          <w:color w:val="231F20"/>
          <w:w w:val="110"/>
          <w:sz w:val="18"/>
        </w:rPr>
        <w:t>comes out.</w:t>
      </w:r>
    </w:p>
    <w:p w14:paraId="38A6A438" w14:textId="77777777" w:rsidR="002653E8" w:rsidRDefault="002653E8">
      <w:pPr>
        <w:pStyle w:val="a3"/>
        <w:spacing w:before="11"/>
        <w:rPr>
          <w:rFonts w:ascii="Gill Sans MT"/>
        </w:rPr>
      </w:pPr>
    </w:p>
    <w:p w14:paraId="6BF6D387" w14:textId="77777777" w:rsidR="002653E8" w:rsidRDefault="003115E3">
      <w:pPr>
        <w:ind w:left="203"/>
        <w:rPr>
          <w:rFonts w:ascii="Arial"/>
          <w:b/>
          <w:sz w:val="18"/>
        </w:rPr>
      </w:pPr>
      <w:r>
        <w:rPr>
          <w:rFonts w:ascii="Arial"/>
          <w:b/>
          <w:color w:val="231F20"/>
          <w:w w:val="115"/>
          <w:sz w:val="18"/>
        </w:rPr>
        <w:t>October 3, 1990</w:t>
      </w:r>
    </w:p>
    <w:p w14:paraId="771DE46A" w14:textId="77777777" w:rsidR="002653E8" w:rsidRDefault="003115E3">
      <w:pPr>
        <w:spacing w:before="35" w:line="276" w:lineRule="auto"/>
        <w:ind w:left="203" w:right="1582"/>
        <w:rPr>
          <w:rFonts w:ascii="Gill Sans MT"/>
          <w:sz w:val="18"/>
        </w:rPr>
      </w:pPr>
      <w:r>
        <w:rPr>
          <w:rFonts w:ascii="Gill Sans MT"/>
          <w:color w:val="231F20"/>
          <w:w w:val="110"/>
          <w:sz w:val="18"/>
        </w:rPr>
        <w:t>Germany is officially reunited, with the German democratic Republic being absorbed into the Federal Republic of Germany, again collectively known  simply as</w:t>
      </w:r>
      <w:r>
        <w:rPr>
          <w:rFonts w:ascii="Gill Sans MT"/>
          <w:color w:val="231F20"/>
          <w:spacing w:val="-6"/>
          <w:w w:val="110"/>
          <w:sz w:val="18"/>
        </w:rPr>
        <w:t xml:space="preserve"> </w:t>
      </w:r>
      <w:r>
        <w:rPr>
          <w:rFonts w:ascii="Gill Sans MT"/>
          <w:color w:val="231F20"/>
          <w:w w:val="110"/>
          <w:sz w:val="18"/>
        </w:rPr>
        <w:t>Germany.</w:t>
      </w:r>
    </w:p>
    <w:p w14:paraId="50D0B8CF" w14:textId="77777777" w:rsidR="002653E8" w:rsidRDefault="002653E8">
      <w:pPr>
        <w:pStyle w:val="a3"/>
        <w:rPr>
          <w:rFonts w:ascii="Gill Sans MT"/>
        </w:rPr>
      </w:pPr>
    </w:p>
    <w:p w14:paraId="724EB23D" w14:textId="77777777" w:rsidR="002653E8" w:rsidRDefault="002653E8">
      <w:pPr>
        <w:pStyle w:val="a3"/>
        <w:rPr>
          <w:rFonts w:ascii="Gill Sans MT"/>
        </w:rPr>
      </w:pPr>
    </w:p>
    <w:p w14:paraId="5018D495" w14:textId="77777777" w:rsidR="002653E8" w:rsidRDefault="003115E3">
      <w:pPr>
        <w:pStyle w:val="5"/>
        <w:ind w:left="203"/>
      </w:pPr>
      <w:r>
        <w:rPr>
          <w:color w:val="231F20"/>
          <w:w w:val="120"/>
        </w:rPr>
        <w:t>1991</w:t>
      </w:r>
    </w:p>
    <w:p w14:paraId="63A02CDF" w14:textId="77777777" w:rsidR="002653E8" w:rsidRDefault="003115E3">
      <w:pPr>
        <w:spacing w:before="12" w:line="276" w:lineRule="auto"/>
        <w:ind w:left="203" w:right="1582"/>
        <w:rPr>
          <w:rFonts w:ascii="Gill Sans MT" w:hAnsi="Gill Sans MT"/>
          <w:sz w:val="18"/>
        </w:rPr>
      </w:pPr>
      <w:r>
        <w:rPr>
          <w:rFonts w:ascii="Arial" w:hAnsi="Arial"/>
          <w:b/>
          <w:color w:val="231F20"/>
          <w:w w:val="110"/>
          <w:sz w:val="18"/>
        </w:rPr>
        <w:t xml:space="preserve">January 16–April 12, 1991 </w:t>
      </w:r>
      <w:r>
        <w:rPr>
          <w:rFonts w:ascii="Gill Sans MT" w:hAnsi="Gill Sans MT"/>
          <w:color w:val="231F20"/>
          <w:w w:val="110"/>
          <w:sz w:val="18"/>
        </w:rPr>
        <w:t>Following the occupation of Kuwait by Iraq, the u.S. Air Force and ground troops attack Iraq, in what will become known as the first Gulf War.</w:t>
      </w:r>
    </w:p>
    <w:p w14:paraId="12E65190" w14:textId="77777777" w:rsidR="002653E8" w:rsidRDefault="002653E8">
      <w:pPr>
        <w:pStyle w:val="a3"/>
        <w:spacing w:before="9"/>
        <w:rPr>
          <w:rFonts w:ascii="Gill Sans MT"/>
        </w:rPr>
      </w:pPr>
    </w:p>
    <w:p w14:paraId="28D3C007" w14:textId="77777777" w:rsidR="002653E8" w:rsidRDefault="003115E3">
      <w:pPr>
        <w:spacing w:before="1"/>
        <w:ind w:left="203"/>
        <w:rPr>
          <w:rFonts w:ascii="Arial"/>
          <w:b/>
          <w:sz w:val="18"/>
        </w:rPr>
      </w:pPr>
      <w:r>
        <w:rPr>
          <w:rFonts w:ascii="Arial"/>
          <w:b/>
          <w:color w:val="231F20"/>
          <w:w w:val="115"/>
          <w:sz w:val="18"/>
        </w:rPr>
        <w:t>February 13, 1991</w:t>
      </w:r>
    </w:p>
    <w:p w14:paraId="5E7AA7A7" w14:textId="77777777" w:rsidR="002653E8" w:rsidRDefault="003115E3">
      <w:pPr>
        <w:spacing w:before="34" w:line="276" w:lineRule="auto"/>
        <w:ind w:left="203" w:right="1332"/>
        <w:rPr>
          <w:rFonts w:ascii="Gill Sans MT"/>
          <w:sz w:val="18"/>
        </w:rPr>
      </w:pPr>
      <w:r>
        <w:rPr>
          <w:rFonts w:ascii="Gill Sans MT"/>
          <w:color w:val="231F20"/>
          <w:w w:val="115"/>
          <w:sz w:val="18"/>
        </w:rPr>
        <w:t xml:space="preserve">The </w:t>
      </w:r>
      <w:r w:rsidR="00C507A5">
        <w:rPr>
          <w:rFonts w:ascii="Gill Sans MT"/>
          <w:color w:val="231F20"/>
          <w:w w:val="115"/>
          <w:sz w:val="18"/>
        </w:rPr>
        <w:t>red army faction</w:t>
      </w:r>
      <w:r>
        <w:rPr>
          <w:rFonts w:ascii="Gill Sans MT"/>
          <w:color w:val="231F20"/>
          <w:w w:val="115"/>
          <w:sz w:val="18"/>
        </w:rPr>
        <w:t xml:space="preserve"> machineguns the u.S. Embassy</w:t>
      </w:r>
      <w:r>
        <w:rPr>
          <w:rFonts w:ascii="Gill Sans MT"/>
          <w:color w:val="231F20"/>
          <w:spacing w:val="-17"/>
          <w:w w:val="115"/>
          <w:sz w:val="18"/>
        </w:rPr>
        <w:t xml:space="preserve"> </w:t>
      </w:r>
      <w:r>
        <w:rPr>
          <w:rFonts w:ascii="Gill Sans MT"/>
          <w:color w:val="231F20"/>
          <w:w w:val="115"/>
          <w:sz w:val="18"/>
        </w:rPr>
        <w:t>in</w:t>
      </w:r>
      <w:r>
        <w:rPr>
          <w:rFonts w:ascii="Gill Sans MT"/>
          <w:color w:val="231F20"/>
          <w:spacing w:val="-17"/>
          <w:w w:val="115"/>
          <w:sz w:val="18"/>
        </w:rPr>
        <w:t xml:space="preserve"> </w:t>
      </w:r>
      <w:r>
        <w:rPr>
          <w:rFonts w:ascii="Gill Sans MT"/>
          <w:color w:val="231F20"/>
          <w:w w:val="115"/>
          <w:sz w:val="18"/>
        </w:rPr>
        <w:t>Bonn.</w:t>
      </w:r>
      <w:r>
        <w:rPr>
          <w:rFonts w:ascii="Gill Sans MT"/>
          <w:color w:val="231F20"/>
          <w:spacing w:val="-17"/>
          <w:w w:val="115"/>
          <w:sz w:val="18"/>
        </w:rPr>
        <w:t xml:space="preserve"> </w:t>
      </w:r>
      <w:r>
        <w:rPr>
          <w:rFonts w:ascii="Gill Sans MT"/>
          <w:color w:val="231F20"/>
          <w:w w:val="115"/>
          <w:sz w:val="18"/>
        </w:rPr>
        <w:t>First</w:t>
      </w:r>
      <w:r>
        <w:rPr>
          <w:rFonts w:ascii="Gill Sans MT"/>
          <w:color w:val="231F20"/>
          <w:spacing w:val="-17"/>
          <w:w w:val="115"/>
          <w:sz w:val="18"/>
        </w:rPr>
        <w:t xml:space="preserve"> </w:t>
      </w:r>
      <w:r>
        <w:rPr>
          <w:rFonts w:ascii="Gill Sans MT"/>
          <w:color w:val="231F20"/>
          <w:w w:val="115"/>
          <w:sz w:val="18"/>
        </w:rPr>
        <w:t>they</w:t>
      </w:r>
      <w:r>
        <w:rPr>
          <w:rFonts w:ascii="Gill Sans MT"/>
          <w:color w:val="231F20"/>
          <w:spacing w:val="-17"/>
          <w:w w:val="115"/>
          <w:sz w:val="18"/>
        </w:rPr>
        <w:t xml:space="preserve"> </w:t>
      </w:r>
      <w:r>
        <w:rPr>
          <w:rFonts w:ascii="Gill Sans MT"/>
          <w:color w:val="231F20"/>
          <w:w w:val="115"/>
          <w:sz w:val="18"/>
        </w:rPr>
        <w:t>call</w:t>
      </w:r>
      <w:r>
        <w:rPr>
          <w:rFonts w:ascii="Gill Sans MT"/>
          <w:color w:val="231F20"/>
          <w:spacing w:val="-17"/>
          <w:w w:val="115"/>
          <w:sz w:val="18"/>
        </w:rPr>
        <w:t xml:space="preserve"> </w:t>
      </w:r>
      <w:r>
        <w:rPr>
          <w:rFonts w:ascii="Gill Sans MT"/>
          <w:color w:val="231F20"/>
          <w:w w:val="115"/>
          <w:sz w:val="18"/>
        </w:rPr>
        <w:t>the commando the Vincenzo Spano Commando.</w:t>
      </w:r>
      <w:r>
        <w:rPr>
          <w:rFonts w:ascii="Gill Sans MT"/>
          <w:color w:val="231F20"/>
          <w:spacing w:val="-27"/>
          <w:w w:val="115"/>
          <w:sz w:val="18"/>
        </w:rPr>
        <w:t xml:space="preserve"> </w:t>
      </w:r>
      <w:r>
        <w:rPr>
          <w:rFonts w:ascii="Gill Sans MT"/>
          <w:color w:val="231F20"/>
          <w:w w:val="115"/>
          <w:sz w:val="18"/>
        </w:rPr>
        <w:t>In</w:t>
      </w:r>
      <w:r>
        <w:rPr>
          <w:rFonts w:ascii="Gill Sans MT"/>
          <w:color w:val="231F20"/>
          <w:spacing w:val="-27"/>
          <w:w w:val="115"/>
          <w:sz w:val="18"/>
        </w:rPr>
        <w:t xml:space="preserve"> </w:t>
      </w:r>
      <w:r>
        <w:rPr>
          <w:rFonts w:ascii="Gill Sans MT"/>
          <w:color w:val="231F20"/>
          <w:w w:val="115"/>
          <w:sz w:val="18"/>
        </w:rPr>
        <w:t>a</w:t>
      </w:r>
      <w:r>
        <w:rPr>
          <w:rFonts w:ascii="Gill Sans MT"/>
          <w:color w:val="231F20"/>
          <w:spacing w:val="-27"/>
          <w:w w:val="115"/>
          <w:sz w:val="18"/>
        </w:rPr>
        <w:t xml:space="preserve"> </w:t>
      </w:r>
      <w:r>
        <w:rPr>
          <w:rFonts w:ascii="Gill Sans MT"/>
          <w:color w:val="231F20"/>
          <w:w w:val="115"/>
          <w:sz w:val="18"/>
        </w:rPr>
        <w:t>statement</w:t>
      </w:r>
      <w:r>
        <w:rPr>
          <w:rFonts w:ascii="Gill Sans MT"/>
          <w:color w:val="231F20"/>
          <w:spacing w:val="-27"/>
          <w:w w:val="115"/>
          <w:sz w:val="18"/>
        </w:rPr>
        <w:t xml:space="preserve"> </w:t>
      </w:r>
      <w:r>
        <w:rPr>
          <w:rFonts w:ascii="Gill Sans MT"/>
          <w:color w:val="231F20"/>
          <w:w w:val="115"/>
          <w:sz w:val="18"/>
        </w:rPr>
        <w:t>released</w:t>
      </w:r>
      <w:r>
        <w:rPr>
          <w:rFonts w:ascii="Gill Sans MT"/>
          <w:color w:val="231F20"/>
          <w:w w:val="116"/>
          <w:sz w:val="18"/>
        </w:rPr>
        <w:t xml:space="preserve"> </w:t>
      </w:r>
      <w:r>
        <w:rPr>
          <w:rFonts w:ascii="Gill Sans MT"/>
          <w:color w:val="231F20"/>
          <w:w w:val="115"/>
          <w:sz w:val="18"/>
        </w:rPr>
        <w:t>on</w:t>
      </w:r>
      <w:r>
        <w:rPr>
          <w:rFonts w:ascii="Gill Sans MT"/>
          <w:color w:val="231F20"/>
          <w:spacing w:val="-19"/>
          <w:w w:val="115"/>
          <w:sz w:val="18"/>
        </w:rPr>
        <w:t xml:space="preserve"> </w:t>
      </w:r>
      <w:r>
        <w:rPr>
          <w:rFonts w:ascii="Gill Sans MT"/>
          <w:color w:val="231F20"/>
          <w:w w:val="115"/>
          <w:sz w:val="18"/>
        </w:rPr>
        <w:t>February</w:t>
      </w:r>
      <w:r>
        <w:rPr>
          <w:rFonts w:ascii="Gill Sans MT"/>
          <w:color w:val="231F20"/>
          <w:spacing w:val="-19"/>
          <w:w w:val="115"/>
          <w:sz w:val="18"/>
        </w:rPr>
        <w:t xml:space="preserve"> </w:t>
      </w:r>
      <w:r>
        <w:rPr>
          <w:rFonts w:ascii="Arial"/>
          <w:color w:val="231F20"/>
          <w:w w:val="115"/>
          <w:sz w:val="18"/>
        </w:rPr>
        <w:t>24</w:t>
      </w:r>
      <w:r>
        <w:rPr>
          <w:rFonts w:ascii="Gill Sans MT"/>
          <w:color w:val="231F20"/>
          <w:w w:val="115"/>
          <w:sz w:val="18"/>
        </w:rPr>
        <w:t>,</w:t>
      </w:r>
      <w:r>
        <w:rPr>
          <w:rFonts w:ascii="Gill Sans MT"/>
          <w:color w:val="231F20"/>
          <w:spacing w:val="-19"/>
          <w:w w:val="115"/>
          <w:sz w:val="18"/>
        </w:rPr>
        <w:t xml:space="preserve"> </w:t>
      </w:r>
      <w:r>
        <w:rPr>
          <w:rFonts w:ascii="Gill Sans MT"/>
          <w:color w:val="231F20"/>
          <w:w w:val="115"/>
          <w:sz w:val="18"/>
        </w:rPr>
        <w:t>they</w:t>
      </w:r>
      <w:r>
        <w:rPr>
          <w:rFonts w:ascii="Gill Sans MT"/>
          <w:color w:val="231F20"/>
          <w:spacing w:val="-19"/>
          <w:w w:val="115"/>
          <w:sz w:val="18"/>
        </w:rPr>
        <w:t xml:space="preserve"> </w:t>
      </w:r>
      <w:r>
        <w:rPr>
          <w:rFonts w:ascii="Gill Sans MT"/>
          <w:color w:val="231F20"/>
          <w:w w:val="115"/>
          <w:sz w:val="18"/>
        </w:rPr>
        <w:t>will</w:t>
      </w:r>
      <w:r>
        <w:rPr>
          <w:rFonts w:ascii="Gill Sans MT"/>
          <w:color w:val="231F20"/>
          <w:spacing w:val="-19"/>
          <w:w w:val="115"/>
          <w:sz w:val="18"/>
        </w:rPr>
        <w:t xml:space="preserve"> </w:t>
      </w:r>
      <w:r>
        <w:rPr>
          <w:rFonts w:ascii="Gill Sans MT"/>
          <w:color w:val="231F20"/>
          <w:w w:val="115"/>
          <w:sz w:val="18"/>
        </w:rPr>
        <w:t>call</w:t>
      </w:r>
      <w:r>
        <w:rPr>
          <w:rFonts w:ascii="Gill Sans MT"/>
          <w:color w:val="231F20"/>
          <w:spacing w:val="-19"/>
          <w:w w:val="115"/>
          <w:sz w:val="18"/>
        </w:rPr>
        <w:t xml:space="preserve"> </w:t>
      </w:r>
      <w:r>
        <w:rPr>
          <w:rFonts w:ascii="Gill Sans MT"/>
          <w:color w:val="231F20"/>
          <w:w w:val="115"/>
          <w:sz w:val="18"/>
        </w:rPr>
        <w:t>it</w:t>
      </w:r>
      <w:r>
        <w:rPr>
          <w:rFonts w:ascii="Gill Sans MT"/>
          <w:color w:val="231F20"/>
          <w:spacing w:val="-19"/>
          <w:w w:val="115"/>
          <w:sz w:val="18"/>
        </w:rPr>
        <w:t xml:space="preserve"> </w:t>
      </w:r>
      <w:r>
        <w:rPr>
          <w:rFonts w:ascii="Gill Sans MT"/>
          <w:color w:val="231F20"/>
          <w:w w:val="115"/>
          <w:sz w:val="18"/>
        </w:rPr>
        <w:t>the Ciro Rizatto</w:t>
      </w:r>
      <w:r>
        <w:rPr>
          <w:rFonts w:ascii="Gill Sans MT"/>
          <w:color w:val="231F20"/>
          <w:spacing w:val="-27"/>
          <w:w w:val="115"/>
          <w:sz w:val="18"/>
        </w:rPr>
        <w:t xml:space="preserve"> </w:t>
      </w:r>
      <w:r>
        <w:rPr>
          <w:rFonts w:ascii="Gill Sans MT"/>
          <w:color w:val="231F20"/>
          <w:w w:val="115"/>
          <w:sz w:val="18"/>
        </w:rPr>
        <w:t>Commando.</w:t>
      </w:r>
    </w:p>
    <w:p w14:paraId="227EAD14" w14:textId="77777777" w:rsidR="002653E8" w:rsidRDefault="002653E8">
      <w:pPr>
        <w:spacing w:line="276" w:lineRule="auto"/>
        <w:rPr>
          <w:rFonts w:ascii="Gill Sans MT"/>
          <w:sz w:val="18"/>
        </w:rPr>
        <w:sectPr w:rsidR="002653E8">
          <w:footerReference w:type="default" r:id="rId535"/>
          <w:pgSz w:w="8640" w:h="12960"/>
          <w:pgMar w:top="1060" w:right="0" w:bottom="280" w:left="0" w:header="0" w:footer="0" w:gutter="0"/>
          <w:cols w:num="2" w:space="720" w:equalWidth="0">
            <w:col w:w="4107" w:space="40"/>
            <w:col w:w="4493"/>
          </w:cols>
        </w:sectPr>
      </w:pPr>
    </w:p>
    <w:p w14:paraId="70C291F5" w14:textId="77777777" w:rsidR="002653E8" w:rsidRDefault="002653E8">
      <w:pPr>
        <w:pStyle w:val="a3"/>
        <w:rPr>
          <w:rFonts w:ascii="Gill Sans MT"/>
        </w:rPr>
      </w:pPr>
    </w:p>
    <w:p w14:paraId="73665EF5" w14:textId="77777777" w:rsidR="002653E8" w:rsidRDefault="002653E8">
      <w:pPr>
        <w:pStyle w:val="a3"/>
        <w:rPr>
          <w:rFonts w:ascii="Gill Sans MT"/>
        </w:rPr>
      </w:pPr>
    </w:p>
    <w:p w14:paraId="3955E00E" w14:textId="77777777" w:rsidR="002653E8" w:rsidRDefault="002653E8">
      <w:pPr>
        <w:pStyle w:val="a3"/>
        <w:spacing w:before="9"/>
        <w:rPr>
          <w:rFonts w:ascii="Gill Sans MT"/>
          <w:sz w:val="23"/>
        </w:rPr>
      </w:pPr>
    </w:p>
    <w:p w14:paraId="2E814716" w14:textId="77777777" w:rsidR="002653E8" w:rsidRDefault="003115E3">
      <w:pPr>
        <w:tabs>
          <w:tab w:val="left" w:pos="2529"/>
        </w:tabs>
        <w:spacing w:before="98"/>
        <w:ind w:right="1300"/>
        <w:jc w:val="right"/>
        <w:rPr>
          <w:sz w:val="18"/>
        </w:rPr>
      </w:pPr>
      <w:r>
        <w:rPr>
          <w:color w:val="231F20"/>
          <w:spacing w:val="15"/>
          <w:w w:val="110"/>
          <w:position w:val="5"/>
          <w:sz w:val="18"/>
        </w:rPr>
        <w:t>620</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35"/>
          <w:w w:val="110"/>
          <w:sz w:val="18"/>
        </w:rPr>
        <w:t xml:space="preserve"> </w:t>
      </w:r>
      <w:r>
        <w:rPr>
          <w:color w:val="231F20"/>
          <w:spacing w:val="20"/>
          <w:w w:val="110"/>
          <w:sz w:val="18"/>
        </w:rPr>
        <w:t>germany</w:t>
      </w:r>
      <w:r>
        <w:rPr>
          <w:color w:val="231F20"/>
          <w:spacing w:val="-15"/>
          <w:sz w:val="18"/>
        </w:rPr>
        <w:t xml:space="preserve"> </w:t>
      </w:r>
    </w:p>
    <w:p w14:paraId="3090F434" w14:textId="77777777" w:rsidR="002653E8" w:rsidRDefault="003115E3">
      <w:pPr>
        <w:spacing w:before="5"/>
        <w:ind w:left="1212" w:right="1300"/>
        <w:jc w:val="right"/>
        <w:rPr>
          <w:sz w:val="18"/>
        </w:rPr>
      </w:pPr>
      <w:r>
        <w:rPr>
          <w:color w:val="231F20"/>
          <w:w w:val="110"/>
          <w:sz w:val="18"/>
        </w:rPr>
        <w:lastRenderedPageBreak/>
        <w:t>june  6, 1990</w:t>
      </w:r>
      <w:r>
        <w:rPr>
          <w:color w:val="231F20"/>
          <w:sz w:val="18"/>
        </w:rPr>
        <w:t xml:space="preserve"> </w:t>
      </w:r>
    </w:p>
    <w:p w14:paraId="43F5473B" w14:textId="77777777" w:rsidR="002653E8" w:rsidRDefault="002653E8">
      <w:pPr>
        <w:jc w:val="right"/>
        <w:rPr>
          <w:sz w:val="18"/>
        </w:rPr>
        <w:sectPr w:rsidR="002653E8">
          <w:type w:val="continuous"/>
          <w:pgSz w:w="8640" w:h="12960"/>
          <w:pgMar w:top="0" w:right="0" w:bottom="0" w:left="0" w:header="720" w:footer="720" w:gutter="0"/>
          <w:cols w:space="720"/>
        </w:sectPr>
      </w:pPr>
    </w:p>
    <w:p w14:paraId="33BA8231" w14:textId="77777777" w:rsidR="002653E8" w:rsidRDefault="003115E3">
      <w:pPr>
        <w:spacing w:before="91"/>
        <w:ind w:left="1327"/>
        <w:rPr>
          <w:rFonts w:ascii="Arial"/>
          <w:b/>
          <w:sz w:val="18"/>
        </w:rPr>
      </w:pPr>
      <w:r>
        <w:rPr>
          <w:rFonts w:ascii="Arial"/>
          <w:b/>
          <w:color w:val="231F20"/>
          <w:w w:val="115"/>
          <w:sz w:val="18"/>
        </w:rPr>
        <w:lastRenderedPageBreak/>
        <w:t>April 1, 1991</w:t>
      </w:r>
    </w:p>
    <w:p w14:paraId="152170E3" w14:textId="77777777" w:rsidR="002653E8" w:rsidRDefault="003115E3">
      <w:pPr>
        <w:spacing w:before="34" w:line="273" w:lineRule="auto"/>
        <w:ind w:left="1327" w:right="30"/>
        <w:rPr>
          <w:rFonts w:ascii="Gill Sans MT" w:hAnsi="Gill Sans MT"/>
          <w:sz w:val="18"/>
        </w:rPr>
      </w:pPr>
      <w:r>
        <w:rPr>
          <w:rFonts w:ascii="Gill Sans MT" w:hAnsi="Gill Sans MT"/>
          <w:color w:val="231F20"/>
          <w:w w:val="110"/>
          <w:sz w:val="18"/>
        </w:rPr>
        <w:t>The</w:t>
      </w:r>
      <w:r>
        <w:rPr>
          <w:rFonts w:ascii="Gill Sans MT" w:hAnsi="Gill Sans MT"/>
          <w:color w:val="231F20"/>
          <w:spacing w:val="-12"/>
          <w:w w:val="110"/>
          <w:sz w:val="18"/>
        </w:rPr>
        <w:t xml:space="preserve"> </w:t>
      </w:r>
      <w:r w:rsidR="00C507A5">
        <w:rPr>
          <w:rFonts w:ascii="Gill Sans MT" w:hAnsi="Gill Sans MT"/>
          <w:color w:val="231F20"/>
          <w:spacing w:val="-3"/>
          <w:w w:val="110"/>
          <w:sz w:val="18"/>
        </w:rPr>
        <w:t>red army faction</w:t>
      </w:r>
      <w:r>
        <w:rPr>
          <w:rFonts w:ascii="Gill Sans MT" w:hAnsi="Gill Sans MT"/>
          <w:color w:val="231F20"/>
          <w:spacing w:val="-3"/>
          <w:w w:val="110"/>
          <w:sz w:val="18"/>
        </w:rPr>
        <w:t>’s</w:t>
      </w:r>
      <w:r>
        <w:rPr>
          <w:rFonts w:ascii="Gill Sans MT" w:hAnsi="Gill Sans MT"/>
          <w:color w:val="231F20"/>
          <w:spacing w:val="-12"/>
          <w:w w:val="110"/>
          <w:sz w:val="18"/>
        </w:rPr>
        <w:t xml:space="preserve"> </w:t>
      </w:r>
      <w:r>
        <w:rPr>
          <w:rFonts w:ascii="Gill Sans MT" w:hAnsi="Gill Sans MT"/>
          <w:color w:val="231F20"/>
          <w:w w:val="110"/>
          <w:sz w:val="18"/>
        </w:rPr>
        <w:t>ulrich</w:t>
      </w:r>
      <w:r>
        <w:rPr>
          <w:rFonts w:ascii="Gill Sans MT" w:hAnsi="Gill Sans MT"/>
          <w:color w:val="231F20"/>
          <w:spacing w:val="-12"/>
          <w:w w:val="110"/>
          <w:sz w:val="18"/>
        </w:rPr>
        <w:t xml:space="preserve"> </w:t>
      </w:r>
      <w:r>
        <w:rPr>
          <w:rFonts w:ascii="Gill Sans MT" w:hAnsi="Gill Sans MT"/>
          <w:color w:val="231F20"/>
          <w:w w:val="110"/>
          <w:sz w:val="18"/>
        </w:rPr>
        <w:t>Wessel</w:t>
      </w:r>
      <w:r>
        <w:rPr>
          <w:rFonts w:ascii="Gill Sans MT" w:hAnsi="Gill Sans MT"/>
          <w:color w:val="231F20"/>
          <w:spacing w:val="-12"/>
          <w:w w:val="110"/>
          <w:sz w:val="18"/>
        </w:rPr>
        <w:t xml:space="preserve"> </w:t>
      </w:r>
      <w:r>
        <w:rPr>
          <w:rFonts w:ascii="Gill Sans MT" w:hAnsi="Gill Sans MT"/>
          <w:color w:val="231F20"/>
          <w:w w:val="110"/>
          <w:sz w:val="18"/>
        </w:rPr>
        <w:t xml:space="preserve">Commando assassinates Karsten Rohwedder, </w:t>
      </w:r>
      <w:r>
        <w:rPr>
          <w:rFonts w:ascii="Gill Sans MT" w:hAnsi="Gill Sans MT"/>
          <w:color w:val="231F20"/>
          <w:w w:val="105"/>
          <w:sz w:val="18"/>
        </w:rPr>
        <w:t>the</w:t>
      </w:r>
      <w:r>
        <w:rPr>
          <w:rFonts w:ascii="Gill Sans MT" w:hAnsi="Gill Sans MT"/>
          <w:color w:val="231F20"/>
          <w:spacing w:val="-25"/>
          <w:w w:val="105"/>
          <w:sz w:val="18"/>
        </w:rPr>
        <w:t xml:space="preserve"> </w:t>
      </w:r>
      <w:r>
        <w:rPr>
          <w:rFonts w:ascii="Gill Sans MT" w:hAnsi="Gill Sans MT"/>
          <w:color w:val="231F20"/>
          <w:w w:val="105"/>
          <w:sz w:val="18"/>
        </w:rPr>
        <w:t>Chairman</w:t>
      </w:r>
      <w:r>
        <w:rPr>
          <w:rFonts w:ascii="Gill Sans MT" w:hAnsi="Gill Sans MT"/>
          <w:color w:val="231F20"/>
          <w:spacing w:val="-25"/>
          <w:w w:val="105"/>
          <w:sz w:val="18"/>
        </w:rPr>
        <w:t xml:space="preserve"> </w:t>
      </w:r>
      <w:r>
        <w:rPr>
          <w:rFonts w:ascii="Gill Sans MT" w:hAnsi="Gill Sans MT"/>
          <w:color w:val="231F20"/>
          <w:w w:val="105"/>
          <w:sz w:val="18"/>
        </w:rPr>
        <w:t>of</w:t>
      </w:r>
      <w:r>
        <w:rPr>
          <w:rFonts w:ascii="Gill Sans MT" w:hAnsi="Gill Sans MT"/>
          <w:color w:val="231F20"/>
          <w:spacing w:val="-25"/>
          <w:w w:val="105"/>
          <w:sz w:val="18"/>
        </w:rPr>
        <w:t xml:space="preserve"> </w:t>
      </w:r>
      <w:r>
        <w:rPr>
          <w:rFonts w:ascii="Gill Sans MT" w:hAnsi="Gill Sans MT"/>
          <w:color w:val="231F20"/>
          <w:w w:val="105"/>
          <w:sz w:val="18"/>
        </w:rPr>
        <w:t>the</w:t>
      </w:r>
      <w:r>
        <w:rPr>
          <w:rFonts w:ascii="Gill Sans MT" w:hAnsi="Gill Sans MT"/>
          <w:color w:val="231F20"/>
          <w:spacing w:val="-25"/>
          <w:w w:val="105"/>
          <w:sz w:val="18"/>
        </w:rPr>
        <w:t xml:space="preserve"> </w:t>
      </w:r>
      <w:r>
        <w:rPr>
          <w:rFonts w:ascii="Lucida Sans" w:hAnsi="Lucida Sans"/>
          <w:i/>
          <w:color w:val="231F20"/>
          <w:w w:val="105"/>
          <w:sz w:val="18"/>
        </w:rPr>
        <w:t xml:space="preserve">Treuhandstalt, </w:t>
      </w:r>
      <w:r>
        <w:rPr>
          <w:rFonts w:ascii="Gill Sans MT" w:hAnsi="Gill Sans MT"/>
          <w:color w:val="231F20"/>
          <w:w w:val="110"/>
          <w:sz w:val="18"/>
        </w:rPr>
        <w:t>the organization</w:t>
      </w:r>
      <w:r>
        <w:rPr>
          <w:rFonts w:ascii="Gill Sans MT" w:hAnsi="Gill Sans MT"/>
          <w:color w:val="231F20"/>
          <w:spacing w:val="-6"/>
          <w:w w:val="110"/>
          <w:sz w:val="18"/>
        </w:rPr>
        <w:t xml:space="preserve"> </w:t>
      </w:r>
      <w:r>
        <w:rPr>
          <w:rFonts w:ascii="Gill Sans MT" w:hAnsi="Gill Sans MT"/>
          <w:color w:val="231F20"/>
          <w:w w:val="110"/>
          <w:sz w:val="18"/>
        </w:rPr>
        <w:t>responsible</w:t>
      </w:r>
    </w:p>
    <w:p w14:paraId="3EF47B33" w14:textId="77777777" w:rsidR="002653E8" w:rsidRDefault="003115E3">
      <w:pPr>
        <w:spacing w:before="1" w:line="276" w:lineRule="auto"/>
        <w:ind w:left="1327" w:right="126"/>
        <w:rPr>
          <w:rFonts w:ascii="Gill Sans MT" w:hAnsi="Gill Sans MT"/>
          <w:sz w:val="18"/>
        </w:rPr>
      </w:pPr>
      <w:r>
        <w:rPr>
          <w:rFonts w:ascii="Gill Sans MT" w:hAnsi="Gill Sans MT"/>
          <w:color w:val="231F20"/>
          <w:w w:val="115"/>
          <w:sz w:val="18"/>
        </w:rPr>
        <w:t>for privatizing industry in the former East Germany. He is shot through</w:t>
      </w:r>
      <w:r>
        <w:rPr>
          <w:rFonts w:ascii="Gill Sans MT" w:hAnsi="Gill Sans MT"/>
          <w:color w:val="231F20"/>
          <w:spacing w:val="-25"/>
          <w:w w:val="115"/>
          <w:sz w:val="18"/>
        </w:rPr>
        <w:t xml:space="preserve"> </w:t>
      </w:r>
      <w:r>
        <w:rPr>
          <w:rFonts w:ascii="Gill Sans MT" w:hAnsi="Gill Sans MT"/>
          <w:color w:val="231F20"/>
          <w:w w:val="115"/>
          <w:sz w:val="18"/>
        </w:rPr>
        <w:t>the</w:t>
      </w:r>
      <w:r>
        <w:rPr>
          <w:rFonts w:ascii="Gill Sans MT" w:hAnsi="Gill Sans MT"/>
          <w:color w:val="231F20"/>
          <w:spacing w:val="-25"/>
          <w:w w:val="115"/>
          <w:sz w:val="18"/>
        </w:rPr>
        <w:t xml:space="preserve"> </w:t>
      </w:r>
      <w:r>
        <w:rPr>
          <w:rFonts w:ascii="Gill Sans MT" w:hAnsi="Gill Sans MT"/>
          <w:color w:val="231F20"/>
          <w:w w:val="115"/>
          <w:sz w:val="18"/>
        </w:rPr>
        <w:t>window</w:t>
      </w:r>
      <w:r>
        <w:rPr>
          <w:rFonts w:ascii="Gill Sans MT" w:hAnsi="Gill Sans MT"/>
          <w:color w:val="231F20"/>
          <w:spacing w:val="-25"/>
          <w:w w:val="115"/>
          <w:sz w:val="18"/>
        </w:rPr>
        <w:t xml:space="preserve"> </w:t>
      </w:r>
      <w:r>
        <w:rPr>
          <w:rFonts w:ascii="Gill Sans MT" w:hAnsi="Gill Sans MT"/>
          <w:color w:val="231F20"/>
          <w:w w:val="115"/>
          <w:sz w:val="18"/>
        </w:rPr>
        <w:t>of</w:t>
      </w:r>
      <w:r>
        <w:rPr>
          <w:rFonts w:ascii="Gill Sans MT" w:hAnsi="Gill Sans MT"/>
          <w:color w:val="231F20"/>
          <w:spacing w:val="-25"/>
          <w:w w:val="115"/>
          <w:sz w:val="18"/>
        </w:rPr>
        <w:t xml:space="preserve"> </w:t>
      </w:r>
      <w:r>
        <w:rPr>
          <w:rFonts w:ascii="Gill Sans MT" w:hAnsi="Gill Sans MT"/>
          <w:color w:val="231F20"/>
          <w:w w:val="115"/>
          <w:sz w:val="18"/>
        </w:rPr>
        <w:t>his</w:t>
      </w:r>
      <w:r>
        <w:rPr>
          <w:rFonts w:ascii="Gill Sans MT" w:hAnsi="Gill Sans MT"/>
          <w:color w:val="231F20"/>
          <w:spacing w:val="-25"/>
          <w:w w:val="115"/>
          <w:sz w:val="18"/>
        </w:rPr>
        <w:t xml:space="preserve"> </w:t>
      </w:r>
      <w:r>
        <w:rPr>
          <w:rFonts w:ascii="Gill Sans MT" w:hAnsi="Gill Sans MT"/>
          <w:color w:val="231F20"/>
          <w:w w:val="115"/>
          <w:sz w:val="18"/>
        </w:rPr>
        <w:t>home</w:t>
      </w:r>
      <w:r>
        <w:rPr>
          <w:rFonts w:ascii="Gill Sans MT" w:hAnsi="Gill Sans MT"/>
          <w:color w:val="231F20"/>
          <w:spacing w:val="-25"/>
          <w:w w:val="115"/>
          <w:sz w:val="18"/>
        </w:rPr>
        <w:t xml:space="preserve"> </w:t>
      </w:r>
      <w:r>
        <w:rPr>
          <w:rFonts w:ascii="Gill Sans MT" w:hAnsi="Gill Sans MT"/>
          <w:color w:val="231F20"/>
          <w:w w:val="115"/>
          <w:sz w:val="18"/>
        </w:rPr>
        <w:t xml:space="preserve">in düsseldorf by a </w:t>
      </w:r>
      <w:r>
        <w:rPr>
          <w:rFonts w:ascii="Gill Sans MT" w:hAnsi="Gill Sans MT"/>
          <w:color w:val="231F20"/>
          <w:spacing w:val="-3"/>
          <w:w w:val="115"/>
          <w:sz w:val="18"/>
        </w:rPr>
        <w:t xml:space="preserve">sniper. </w:t>
      </w:r>
      <w:r>
        <w:rPr>
          <w:rFonts w:ascii="Gill Sans MT" w:hAnsi="Gill Sans MT"/>
          <w:color w:val="231F20"/>
          <w:w w:val="115"/>
          <w:sz w:val="18"/>
        </w:rPr>
        <w:t>His wife is injured</w:t>
      </w:r>
      <w:r>
        <w:rPr>
          <w:rFonts w:ascii="Gill Sans MT" w:hAnsi="Gill Sans MT"/>
          <w:color w:val="231F20"/>
          <w:spacing w:val="-19"/>
          <w:w w:val="115"/>
          <w:sz w:val="18"/>
        </w:rPr>
        <w:t xml:space="preserve"> </w:t>
      </w:r>
      <w:r>
        <w:rPr>
          <w:rFonts w:ascii="Gill Sans MT" w:hAnsi="Gill Sans MT"/>
          <w:color w:val="231F20"/>
          <w:w w:val="115"/>
          <w:sz w:val="18"/>
        </w:rPr>
        <w:t>by</w:t>
      </w:r>
      <w:r>
        <w:rPr>
          <w:rFonts w:ascii="Gill Sans MT" w:hAnsi="Gill Sans MT"/>
          <w:color w:val="231F20"/>
          <w:spacing w:val="-19"/>
          <w:w w:val="115"/>
          <w:sz w:val="18"/>
        </w:rPr>
        <w:t xml:space="preserve"> </w:t>
      </w:r>
      <w:r>
        <w:rPr>
          <w:rFonts w:ascii="Gill Sans MT" w:hAnsi="Gill Sans MT"/>
          <w:color w:val="231F20"/>
          <w:w w:val="115"/>
          <w:sz w:val="18"/>
        </w:rPr>
        <w:t>one</w:t>
      </w:r>
      <w:r>
        <w:rPr>
          <w:rFonts w:ascii="Gill Sans MT" w:hAnsi="Gill Sans MT"/>
          <w:color w:val="231F20"/>
          <w:spacing w:val="-19"/>
          <w:w w:val="115"/>
          <w:sz w:val="18"/>
        </w:rPr>
        <w:t xml:space="preserve"> </w:t>
      </w:r>
      <w:r>
        <w:rPr>
          <w:rFonts w:ascii="Gill Sans MT" w:hAnsi="Gill Sans MT"/>
          <w:color w:val="231F20"/>
          <w:w w:val="115"/>
          <w:sz w:val="18"/>
        </w:rPr>
        <w:t>of</w:t>
      </w:r>
      <w:r>
        <w:rPr>
          <w:rFonts w:ascii="Gill Sans MT" w:hAnsi="Gill Sans MT"/>
          <w:color w:val="231F20"/>
          <w:spacing w:val="-19"/>
          <w:w w:val="115"/>
          <w:sz w:val="18"/>
        </w:rPr>
        <w:t xml:space="preserve"> </w:t>
      </w:r>
      <w:r>
        <w:rPr>
          <w:rFonts w:ascii="Gill Sans MT" w:hAnsi="Gill Sans MT"/>
          <w:color w:val="231F20"/>
          <w:w w:val="115"/>
          <w:sz w:val="18"/>
        </w:rPr>
        <w:t>the</w:t>
      </w:r>
      <w:r>
        <w:rPr>
          <w:rFonts w:ascii="Gill Sans MT" w:hAnsi="Gill Sans MT"/>
          <w:color w:val="231F20"/>
          <w:spacing w:val="-19"/>
          <w:w w:val="115"/>
          <w:sz w:val="18"/>
        </w:rPr>
        <w:t xml:space="preserve"> </w:t>
      </w:r>
      <w:r>
        <w:rPr>
          <w:rFonts w:ascii="Gill Sans MT" w:hAnsi="Gill Sans MT"/>
          <w:color w:val="231F20"/>
          <w:w w:val="115"/>
          <w:sz w:val="18"/>
        </w:rPr>
        <w:t>three</w:t>
      </w:r>
      <w:r>
        <w:rPr>
          <w:rFonts w:ascii="Gill Sans MT" w:hAnsi="Gill Sans MT"/>
          <w:color w:val="231F20"/>
          <w:spacing w:val="-19"/>
          <w:w w:val="115"/>
          <w:sz w:val="18"/>
        </w:rPr>
        <w:t xml:space="preserve"> </w:t>
      </w:r>
      <w:r>
        <w:rPr>
          <w:rFonts w:ascii="Gill Sans MT" w:hAnsi="Gill Sans MT"/>
          <w:color w:val="231F20"/>
          <w:w w:val="115"/>
          <w:sz w:val="18"/>
        </w:rPr>
        <w:t xml:space="preserve">shots. In </w:t>
      </w:r>
      <w:r>
        <w:rPr>
          <w:rFonts w:ascii="Arial" w:hAnsi="Arial"/>
          <w:color w:val="231F20"/>
          <w:w w:val="115"/>
          <w:sz w:val="18"/>
        </w:rPr>
        <w:t>2001</w:t>
      </w:r>
      <w:r>
        <w:rPr>
          <w:rFonts w:ascii="Gill Sans MT" w:hAnsi="Gill Sans MT"/>
          <w:color w:val="231F20"/>
          <w:w w:val="115"/>
          <w:sz w:val="18"/>
        </w:rPr>
        <w:t>, dNA evidence from hair found at the scene will implicate Wolfgang</w:t>
      </w:r>
      <w:r>
        <w:rPr>
          <w:rFonts w:ascii="Gill Sans MT" w:hAnsi="Gill Sans MT"/>
          <w:color w:val="231F20"/>
          <w:spacing w:val="-19"/>
          <w:w w:val="115"/>
          <w:sz w:val="18"/>
        </w:rPr>
        <w:t xml:space="preserve"> </w:t>
      </w:r>
      <w:r>
        <w:rPr>
          <w:rFonts w:ascii="Gill Sans MT" w:hAnsi="Gill Sans MT"/>
          <w:color w:val="231F20"/>
          <w:w w:val="115"/>
          <w:sz w:val="18"/>
        </w:rPr>
        <w:t>Grams,</w:t>
      </w:r>
      <w:r>
        <w:rPr>
          <w:rFonts w:ascii="Gill Sans MT" w:hAnsi="Gill Sans MT"/>
          <w:color w:val="231F20"/>
          <w:spacing w:val="-19"/>
          <w:w w:val="115"/>
          <w:sz w:val="18"/>
        </w:rPr>
        <w:t xml:space="preserve"> </w:t>
      </w:r>
      <w:r>
        <w:rPr>
          <w:rFonts w:ascii="Gill Sans MT" w:hAnsi="Gill Sans MT"/>
          <w:color w:val="231F20"/>
          <w:w w:val="115"/>
          <w:sz w:val="18"/>
        </w:rPr>
        <w:t>but</w:t>
      </w:r>
      <w:r>
        <w:rPr>
          <w:rFonts w:ascii="Gill Sans MT" w:hAnsi="Gill Sans MT"/>
          <w:color w:val="231F20"/>
          <w:spacing w:val="-19"/>
          <w:w w:val="115"/>
          <w:sz w:val="18"/>
        </w:rPr>
        <w:t xml:space="preserve"> </w:t>
      </w:r>
      <w:r>
        <w:rPr>
          <w:rFonts w:ascii="Gill Sans MT" w:hAnsi="Gill Sans MT"/>
          <w:color w:val="231F20"/>
          <w:w w:val="115"/>
          <w:sz w:val="18"/>
        </w:rPr>
        <w:t>by</w:t>
      </w:r>
      <w:r>
        <w:rPr>
          <w:rFonts w:ascii="Gill Sans MT" w:hAnsi="Gill Sans MT"/>
          <w:color w:val="231F20"/>
          <w:spacing w:val="-19"/>
          <w:w w:val="115"/>
          <w:sz w:val="18"/>
        </w:rPr>
        <w:t xml:space="preserve"> </w:t>
      </w:r>
      <w:r>
        <w:rPr>
          <w:rFonts w:ascii="Gill Sans MT" w:hAnsi="Gill Sans MT"/>
          <w:color w:val="231F20"/>
          <w:w w:val="115"/>
          <w:sz w:val="18"/>
        </w:rPr>
        <w:t>that</w:t>
      </w:r>
      <w:r>
        <w:rPr>
          <w:rFonts w:ascii="Gill Sans MT" w:hAnsi="Gill Sans MT"/>
          <w:color w:val="231F20"/>
          <w:spacing w:val="-19"/>
          <w:w w:val="115"/>
          <w:sz w:val="18"/>
        </w:rPr>
        <w:t xml:space="preserve"> </w:t>
      </w:r>
      <w:r>
        <w:rPr>
          <w:rFonts w:ascii="Gill Sans MT" w:hAnsi="Gill Sans MT"/>
          <w:color w:val="231F20"/>
          <w:w w:val="115"/>
          <w:sz w:val="18"/>
        </w:rPr>
        <w:t>time Grams is</w:t>
      </w:r>
      <w:r>
        <w:rPr>
          <w:rFonts w:ascii="Gill Sans MT" w:hAnsi="Gill Sans MT"/>
          <w:color w:val="231F20"/>
          <w:spacing w:val="-17"/>
          <w:w w:val="115"/>
          <w:sz w:val="18"/>
        </w:rPr>
        <w:t xml:space="preserve"> </w:t>
      </w:r>
      <w:r>
        <w:rPr>
          <w:rFonts w:ascii="Gill Sans MT" w:hAnsi="Gill Sans MT"/>
          <w:color w:val="231F20"/>
          <w:w w:val="115"/>
          <w:sz w:val="18"/>
        </w:rPr>
        <w:t>dead.</w:t>
      </w:r>
    </w:p>
    <w:p w14:paraId="442718FC" w14:textId="77777777" w:rsidR="002653E8" w:rsidRDefault="002653E8">
      <w:pPr>
        <w:pStyle w:val="a3"/>
        <w:spacing w:before="5"/>
        <w:rPr>
          <w:rFonts w:ascii="Gill Sans MT"/>
        </w:rPr>
      </w:pPr>
    </w:p>
    <w:p w14:paraId="2AF66400" w14:textId="77777777" w:rsidR="002653E8" w:rsidRDefault="003115E3">
      <w:pPr>
        <w:ind w:left="1327"/>
        <w:rPr>
          <w:rFonts w:ascii="Arial"/>
          <w:b/>
          <w:sz w:val="18"/>
        </w:rPr>
      </w:pPr>
      <w:r>
        <w:rPr>
          <w:rFonts w:ascii="Arial"/>
          <w:b/>
          <w:color w:val="231F20"/>
          <w:w w:val="115"/>
          <w:sz w:val="18"/>
        </w:rPr>
        <w:t>June 3, 1991</w:t>
      </w:r>
    </w:p>
    <w:p w14:paraId="49670F6B" w14:textId="77777777" w:rsidR="002653E8" w:rsidRDefault="003115E3">
      <w:pPr>
        <w:spacing w:before="34" w:line="276" w:lineRule="auto"/>
        <w:ind w:left="1327" w:right="-9"/>
        <w:rPr>
          <w:rFonts w:ascii="Gill Sans MT"/>
          <w:sz w:val="18"/>
        </w:rPr>
      </w:pPr>
      <w:r>
        <w:rPr>
          <w:rFonts w:ascii="Gill Sans MT"/>
          <w:color w:val="231F20"/>
          <w:w w:val="110"/>
          <w:sz w:val="18"/>
        </w:rPr>
        <w:t>The Stuttgart OLG sentences</w:t>
      </w:r>
      <w:r>
        <w:rPr>
          <w:rFonts w:ascii="Gill Sans MT"/>
          <w:color w:val="231F20"/>
          <w:spacing w:val="-40"/>
          <w:w w:val="110"/>
          <w:sz w:val="18"/>
        </w:rPr>
        <w:t xml:space="preserve"> </w:t>
      </w:r>
      <w:r>
        <w:rPr>
          <w:rFonts w:ascii="Gill Sans MT"/>
          <w:color w:val="231F20"/>
          <w:w w:val="110"/>
          <w:sz w:val="18"/>
        </w:rPr>
        <w:t xml:space="preserve">former </w:t>
      </w:r>
      <w:r w:rsidR="00C507A5">
        <w:rPr>
          <w:rFonts w:ascii="Gill Sans MT"/>
          <w:color w:val="231F20"/>
          <w:w w:val="110"/>
          <w:sz w:val="18"/>
        </w:rPr>
        <w:t>red army faction</w:t>
      </w:r>
      <w:r>
        <w:rPr>
          <w:rFonts w:ascii="Gill Sans MT"/>
          <w:color w:val="231F20"/>
          <w:w w:val="110"/>
          <w:sz w:val="18"/>
        </w:rPr>
        <w:t xml:space="preserve"> member Susanne Albrecht, arrested in the former GdR, to twelve years in</w:t>
      </w:r>
      <w:r>
        <w:rPr>
          <w:rFonts w:ascii="Gill Sans MT"/>
          <w:color w:val="231F20"/>
          <w:spacing w:val="-15"/>
          <w:w w:val="110"/>
          <w:sz w:val="18"/>
        </w:rPr>
        <w:t xml:space="preserve"> </w:t>
      </w:r>
      <w:r>
        <w:rPr>
          <w:rFonts w:ascii="Gill Sans MT"/>
          <w:color w:val="231F20"/>
          <w:w w:val="110"/>
          <w:sz w:val="18"/>
        </w:rPr>
        <w:t>prison.</w:t>
      </w:r>
    </w:p>
    <w:p w14:paraId="11C75749" w14:textId="77777777" w:rsidR="002653E8" w:rsidRDefault="002653E8">
      <w:pPr>
        <w:pStyle w:val="a3"/>
        <w:spacing w:before="7"/>
        <w:rPr>
          <w:rFonts w:ascii="Gill Sans MT"/>
        </w:rPr>
      </w:pPr>
    </w:p>
    <w:p w14:paraId="276C5613" w14:textId="77777777" w:rsidR="002653E8" w:rsidRDefault="003115E3">
      <w:pPr>
        <w:ind w:left="1327"/>
        <w:rPr>
          <w:rFonts w:ascii="Arial"/>
          <w:b/>
          <w:sz w:val="18"/>
        </w:rPr>
      </w:pPr>
      <w:r>
        <w:rPr>
          <w:rFonts w:ascii="Arial"/>
          <w:b/>
          <w:color w:val="231F20"/>
          <w:w w:val="115"/>
          <w:sz w:val="18"/>
        </w:rPr>
        <w:t>July 3, 1991</w:t>
      </w:r>
    </w:p>
    <w:p w14:paraId="022EE67B" w14:textId="77777777" w:rsidR="002653E8" w:rsidRDefault="003115E3">
      <w:pPr>
        <w:spacing w:before="34" w:line="276" w:lineRule="auto"/>
        <w:ind w:left="1327" w:right="69"/>
        <w:rPr>
          <w:rFonts w:ascii="Gill Sans MT"/>
          <w:sz w:val="18"/>
        </w:rPr>
      </w:pPr>
      <w:r>
        <w:rPr>
          <w:rFonts w:ascii="Gill Sans MT"/>
          <w:color w:val="231F20"/>
          <w:w w:val="110"/>
          <w:sz w:val="18"/>
        </w:rPr>
        <w:t xml:space="preserve">The Koblenz OLG sentences former </w:t>
      </w:r>
      <w:r w:rsidR="00C507A5">
        <w:rPr>
          <w:rFonts w:ascii="Gill Sans MT"/>
          <w:color w:val="231F20"/>
          <w:w w:val="110"/>
          <w:sz w:val="18"/>
        </w:rPr>
        <w:t>red army faction</w:t>
      </w:r>
      <w:r>
        <w:rPr>
          <w:rFonts w:ascii="Gill Sans MT"/>
          <w:color w:val="231F20"/>
          <w:w w:val="110"/>
          <w:sz w:val="18"/>
        </w:rPr>
        <w:t xml:space="preserve"> member Henning Beer, arrested in the former GdR, to </w:t>
      </w:r>
      <w:r>
        <w:rPr>
          <w:rFonts w:ascii="Arial"/>
          <w:color w:val="231F20"/>
          <w:w w:val="110"/>
          <w:sz w:val="18"/>
        </w:rPr>
        <w:t xml:space="preserve">6 </w:t>
      </w:r>
      <w:r>
        <w:rPr>
          <w:rFonts w:ascii="Gill Sans MT"/>
          <w:color w:val="231F20"/>
          <w:w w:val="110"/>
          <w:sz w:val="18"/>
        </w:rPr>
        <w:t>years in a minimum-security prison.</w:t>
      </w:r>
    </w:p>
    <w:p w14:paraId="5C4CAC69" w14:textId="77777777" w:rsidR="002653E8" w:rsidRDefault="002653E8">
      <w:pPr>
        <w:pStyle w:val="a3"/>
        <w:spacing w:before="5"/>
        <w:rPr>
          <w:rFonts w:ascii="Gill Sans MT"/>
        </w:rPr>
      </w:pPr>
    </w:p>
    <w:p w14:paraId="047F2D0A" w14:textId="77777777" w:rsidR="002653E8" w:rsidRDefault="003115E3">
      <w:pPr>
        <w:ind w:left="1327"/>
        <w:rPr>
          <w:rFonts w:ascii="Arial"/>
          <w:b/>
          <w:sz w:val="18"/>
        </w:rPr>
      </w:pPr>
      <w:r>
        <w:rPr>
          <w:rFonts w:ascii="Arial"/>
          <w:b/>
          <w:color w:val="231F20"/>
          <w:w w:val="115"/>
          <w:sz w:val="18"/>
        </w:rPr>
        <w:t>October 8, 1991</w:t>
      </w:r>
    </w:p>
    <w:p w14:paraId="1DEF8A8A" w14:textId="77777777" w:rsidR="002653E8" w:rsidRDefault="003115E3">
      <w:pPr>
        <w:spacing w:before="35" w:line="276" w:lineRule="auto"/>
        <w:ind w:left="1327" w:right="175" w:hanging="1"/>
        <w:rPr>
          <w:rFonts w:ascii="Gill Sans MT"/>
          <w:sz w:val="18"/>
        </w:rPr>
      </w:pPr>
      <w:r>
        <w:rPr>
          <w:rFonts w:ascii="Gill Sans MT"/>
          <w:color w:val="231F20"/>
          <w:w w:val="105"/>
          <w:sz w:val="18"/>
        </w:rPr>
        <w:t xml:space="preserve">The Stuttgart OLG sentences Silke Maier-Witt, arrested in the former GdR, to </w:t>
      </w:r>
      <w:r>
        <w:rPr>
          <w:rFonts w:ascii="Arial"/>
          <w:color w:val="231F20"/>
          <w:w w:val="105"/>
          <w:sz w:val="18"/>
        </w:rPr>
        <w:t xml:space="preserve">10 </w:t>
      </w:r>
      <w:r>
        <w:rPr>
          <w:rFonts w:ascii="Gill Sans MT"/>
          <w:color w:val="231F20"/>
          <w:w w:val="105"/>
          <w:sz w:val="18"/>
        </w:rPr>
        <w:t>years in prison.</w:t>
      </w:r>
    </w:p>
    <w:p w14:paraId="09A28290" w14:textId="77777777" w:rsidR="002653E8" w:rsidRDefault="002653E8">
      <w:pPr>
        <w:pStyle w:val="a3"/>
        <w:spacing w:before="4"/>
        <w:rPr>
          <w:rFonts w:ascii="Gill Sans MT"/>
        </w:rPr>
      </w:pPr>
    </w:p>
    <w:p w14:paraId="3A778B28" w14:textId="77777777" w:rsidR="002653E8" w:rsidRDefault="003115E3">
      <w:pPr>
        <w:ind w:left="1327"/>
        <w:rPr>
          <w:rFonts w:ascii="Arial"/>
          <w:b/>
          <w:sz w:val="18"/>
        </w:rPr>
      </w:pPr>
      <w:r>
        <w:rPr>
          <w:rFonts w:ascii="Arial"/>
          <w:b/>
          <w:color w:val="231F20"/>
          <w:w w:val="115"/>
          <w:sz w:val="18"/>
        </w:rPr>
        <w:t>November 30, 1991</w:t>
      </w:r>
    </w:p>
    <w:p w14:paraId="172243E4" w14:textId="77777777" w:rsidR="002653E8" w:rsidRDefault="003115E3">
      <w:pPr>
        <w:spacing w:before="35" w:line="276" w:lineRule="auto"/>
        <w:ind w:left="1327" w:right="-14"/>
        <w:rPr>
          <w:rFonts w:ascii="Gill Sans MT" w:hAnsi="Gill Sans MT"/>
          <w:sz w:val="18"/>
        </w:rPr>
      </w:pPr>
      <w:r>
        <w:rPr>
          <w:rFonts w:ascii="Gill Sans MT" w:hAnsi="Gill Sans MT"/>
          <w:color w:val="231F20"/>
          <w:w w:val="115"/>
          <w:sz w:val="18"/>
        </w:rPr>
        <w:t xml:space="preserve">President Richard von Weizsäcker </w:t>
      </w:r>
      <w:r>
        <w:rPr>
          <w:rFonts w:ascii="Gill Sans MT" w:hAnsi="Gill Sans MT"/>
          <w:color w:val="231F20"/>
          <w:w w:val="110"/>
          <w:sz w:val="18"/>
        </w:rPr>
        <w:t>pardons</w:t>
      </w:r>
      <w:r>
        <w:rPr>
          <w:rFonts w:ascii="Gill Sans MT" w:hAnsi="Gill Sans MT"/>
          <w:color w:val="231F20"/>
          <w:spacing w:val="-11"/>
          <w:w w:val="110"/>
          <w:sz w:val="18"/>
        </w:rPr>
        <w:t xml:space="preserve"> </w:t>
      </w:r>
      <w:r>
        <w:rPr>
          <w:rFonts w:ascii="Gill Sans MT" w:hAnsi="Gill Sans MT"/>
          <w:color w:val="231F20"/>
          <w:w w:val="110"/>
          <w:sz w:val="18"/>
        </w:rPr>
        <w:t>former</w:t>
      </w:r>
      <w:r>
        <w:rPr>
          <w:rFonts w:ascii="Gill Sans MT" w:hAnsi="Gill Sans MT"/>
          <w:color w:val="231F20"/>
          <w:spacing w:val="-11"/>
          <w:w w:val="110"/>
          <w:sz w:val="18"/>
        </w:rPr>
        <w:t xml:space="preserve"> </w:t>
      </w:r>
      <w:r w:rsidR="00C507A5">
        <w:rPr>
          <w:rFonts w:ascii="Gill Sans MT" w:hAnsi="Gill Sans MT"/>
          <w:color w:val="231F20"/>
          <w:w w:val="110"/>
          <w:sz w:val="18"/>
        </w:rPr>
        <w:t>red army faction</w:t>
      </w:r>
      <w:r>
        <w:rPr>
          <w:rFonts w:ascii="Gill Sans MT" w:hAnsi="Gill Sans MT"/>
          <w:color w:val="231F20"/>
          <w:spacing w:val="-11"/>
          <w:w w:val="110"/>
          <w:sz w:val="18"/>
        </w:rPr>
        <w:t xml:space="preserve"> </w:t>
      </w:r>
      <w:r>
        <w:rPr>
          <w:rFonts w:ascii="Gill Sans MT" w:hAnsi="Gill Sans MT"/>
          <w:color w:val="231F20"/>
          <w:w w:val="110"/>
          <w:sz w:val="18"/>
        </w:rPr>
        <w:t>member</w:t>
      </w:r>
      <w:r>
        <w:rPr>
          <w:rFonts w:ascii="Gill Sans MT" w:hAnsi="Gill Sans MT"/>
          <w:color w:val="231F20"/>
          <w:spacing w:val="-11"/>
          <w:w w:val="110"/>
          <w:sz w:val="18"/>
        </w:rPr>
        <w:t xml:space="preserve"> </w:t>
      </w:r>
      <w:r>
        <w:rPr>
          <w:rFonts w:ascii="Gill Sans MT" w:hAnsi="Gill Sans MT"/>
          <w:color w:val="231F20"/>
          <w:spacing w:val="-3"/>
          <w:w w:val="110"/>
          <w:sz w:val="18"/>
        </w:rPr>
        <w:t xml:space="preserve">Verena </w:t>
      </w:r>
      <w:r>
        <w:rPr>
          <w:rFonts w:ascii="Gill Sans MT" w:hAnsi="Gill Sans MT"/>
          <w:color w:val="231F20"/>
          <w:spacing w:val="-3"/>
          <w:w w:val="115"/>
          <w:sz w:val="18"/>
        </w:rPr>
        <w:t xml:space="preserve">Becker. </w:t>
      </w:r>
      <w:r>
        <w:rPr>
          <w:rFonts w:ascii="Gill Sans MT" w:hAnsi="Gill Sans MT"/>
          <w:color w:val="231F20"/>
          <w:w w:val="115"/>
          <w:sz w:val="18"/>
        </w:rPr>
        <w:t>She began cooperating shortly after her</w:t>
      </w:r>
      <w:r>
        <w:rPr>
          <w:rFonts w:ascii="Gill Sans MT" w:hAnsi="Gill Sans MT"/>
          <w:color w:val="231F20"/>
          <w:spacing w:val="-37"/>
          <w:w w:val="115"/>
          <w:sz w:val="18"/>
        </w:rPr>
        <w:t xml:space="preserve"> </w:t>
      </w:r>
      <w:r>
        <w:rPr>
          <w:rFonts w:ascii="Gill Sans MT" w:hAnsi="Gill Sans MT"/>
          <w:color w:val="231F20"/>
          <w:w w:val="115"/>
          <w:sz w:val="18"/>
        </w:rPr>
        <w:t>arrest.</w:t>
      </w:r>
    </w:p>
    <w:p w14:paraId="18934AD0" w14:textId="77777777" w:rsidR="002653E8" w:rsidRDefault="002653E8">
      <w:pPr>
        <w:pStyle w:val="a3"/>
        <w:spacing w:before="6"/>
        <w:rPr>
          <w:rFonts w:ascii="Gill Sans MT"/>
        </w:rPr>
      </w:pPr>
    </w:p>
    <w:p w14:paraId="65A9BDE4" w14:textId="77777777" w:rsidR="002653E8" w:rsidRDefault="003115E3">
      <w:pPr>
        <w:ind w:left="1327"/>
        <w:rPr>
          <w:rFonts w:ascii="Arial"/>
          <w:b/>
          <w:sz w:val="18"/>
        </w:rPr>
      </w:pPr>
      <w:r>
        <w:rPr>
          <w:rFonts w:ascii="Arial"/>
          <w:b/>
          <w:color w:val="231F20"/>
          <w:w w:val="115"/>
          <w:sz w:val="18"/>
        </w:rPr>
        <w:t>December 23, 1991</w:t>
      </w:r>
    </w:p>
    <w:p w14:paraId="3BE6B3BD" w14:textId="77777777" w:rsidR="002653E8" w:rsidRDefault="003115E3">
      <w:pPr>
        <w:spacing w:before="35" w:line="276" w:lineRule="auto"/>
        <w:ind w:left="1327" w:right="277"/>
        <w:rPr>
          <w:rFonts w:ascii="Gill Sans MT"/>
          <w:sz w:val="18"/>
        </w:rPr>
      </w:pPr>
      <w:r>
        <w:rPr>
          <w:rFonts w:ascii="Gill Sans MT"/>
          <w:color w:val="231F20"/>
          <w:w w:val="110"/>
          <w:sz w:val="18"/>
        </w:rPr>
        <w:t>A bus carrying Russian Jewish refugees on their way Israel is bombed in Budapest, Hungary.</w:t>
      </w:r>
    </w:p>
    <w:p w14:paraId="1C8A2052" w14:textId="77777777" w:rsidR="002653E8" w:rsidRDefault="003115E3">
      <w:pPr>
        <w:spacing w:before="92" w:line="276" w:lineRule="auto"/>
        <w:ind w:left="199" w:right="1322"/>
        <w:rPr>
          <w:rFonts w:ascii="Gill Sans MT"/>
          <w:sz w:val="18"/>
        </w:rPr>
      </w:pPr>
      <w:r>
        <w:br w:type="column"/>
      </w:r>
      <w:r w:rsidR="00C507A5">
        <w:rPr>
          <w:rFonts w:ascii="Gill Sans MT"/>
          <w:color w:val="231F20"/>
          <w:w w:val="115"/>
          <w:sz w:val="18"/>
        </w:rPr>
        <w:t>red army faction</w:t>
      </w:r>
      <w:r>
        <w:rPr>
          <w:rFonts w:ascii="Gill Sans MT"/>
          <w:color w:val="231F20"/>
          <w:w w:val="115"/>
          <w:sz w:val="18"/>
        </w:rPr>
        <w:t xml:space="preserve"> member Horst Meyer and alleged </w:t>
      </w:r>
      <w:r w:rsidR="00C507A5">
        <w:rPr>
          <w:rFonts w:ascii="Gill Sans MT"/>
          <w:color w:val="231F20"/>
          <w:w w:val="115"/>
          <w:sz w:val="18"/>
        </w:rPr>
        <w:t>red army faction</w:t>
      </w:r>
      <w:r>
        <w:rPr>
          <w:rFonts w:ascii="Gill Sans MT"/>
          <w:color w:val="231F20"/>
          <w:w w:val="115"/>
          <w:sz w:val="18"/>
        </w:rPr>
        <w:t xml:space="preserve"> member Andrea Klump are sought in connection with the action, carried out by a fringe Palestinian guerilla group, the</w:t>
      </w:r>
      <w:r>
        <w:rPr>
          <w:rFonts w:ascii="Gill Sans MT"/>
          <w:color w:val="231F20"/>
          <w:spacing w:val="-26"/>
          <w:w w:val="115"/>
          <w:sz w:val="18"/>
        </w:rPr>
        <w:t xml:space="preserve"> </w:t>
      </w:r>
      <w:r>
        <w:rPr>
          <w:rFonts w:ascii="Gill Sans MT"/>
          <w:color w:val="231F20"/>
          <w:w w:val="115"/>
          <w:sz w:val="18"/>
        </w:rPr>
        <w:t>Movement</w:t>
      </w:r>
      <w:r>
        <w:rPr>
          <w:rFonts w:ascii="Gill Sans MT"/>
          <w:color w:val="231F20"/>
          <w:spacing w:val="-26"/>
          <w:w w:val="115"/>
          <w:sz w:val="18"/>
        </w:rPr>
        <w:t xml:space="preserve"> </w:t>
      </w:r>
      <w:r>
        <w:rPr>
          <w:rFonts w:ascii="Gill Sans MT"/>
          <w:color w:val="231F20"/>
          <w:w w:val="115"/>
          <w:sz w:val="18"/>
        </w:rPr>
        <w:t>for</w:t>
      </w:r>
      <w:r>
        <w:rPr>
          <w:rFonts w:ascii="Gill Sans MT"/>
          <w:color w:val="231F20"/>
          <w:spacing w:val="-26"/>
          <w:w w:val="115"/>
          <w:sz w:val="18"/>
        </w:rPr>
        <w:t xml:space="preserve"> </w:t>
      </w:r>
      <w:r>
        <w:rPr>
          <w:rFonts w:ascii="Gill Sans MT"/>
          <w:color w:val="231F20"/>
          <w:w w:val="115"/>
          <w:sz w:val="18"/>
        </w:rPr>
        <w:t>the</w:t>
      </w:r>
      <w:r>
        <w:rPr>
          <w:rFonts w:ascii="Gill Sans MT"/>
          <w:color w:val="231F20"/>
          <w:spacing w:val="-26"/>
          <w:w w:val="115"/>
          <w:sz w:val="18"/>
        </w:rPr>
        <w:t xml:space="preserve"> </w:t>
      </w:r>
      <w:r>
        <w:rPr>
          <w:rFonts w:ascii="Gill Sans MT"/>
          <w:color w:val="231F20"/>
          <w:w w:val="115"/>
          <w:sz w:val="18"/>
        </w:rPr>
        <w:t>Freedom</w:t>
      </w:r>
      <w:r>
        <w:rPr>
          <w:rFonts w:ascii="Gill Sans MT"/>
          <w:color w:val="231F20"/>
          <w:spacing w:val="-26"/>
          <w:w w:val="115"/>
          <w:sz w:val="18"/>
        </w:rPr>
        <w:t xml:space="preserve"> </w:t>
      </w:r>
      <w:r>
        <w:rPr>
          <w:rFonts w:ascii="Gill Sans MT"/>
          <w:color w:val="231F20"/>
          <w:w w:val="115"/>
          <w:sz w:val="18"/>
        </w:rPr>
        <w:t>of Jerusalem.</w:t>
      </w:r>
    </w:p>
    <w:p w14:paraId="7A06A847" w14:textId="77777777" w:rsidR="002653E8" w:rsidRDefault="002653E8">
      <w:pPr>
        <w:pStyle w:val="a3"/>
        <w:spacing w:before="6"/>
        <w:rPr>
          <w:rFonts w:ascii="Gill Sans MT"/>
        </w:rPr>
      </w:pPr>
    </w:p>
    <w:p w14:paraId="6C72985D" w14:textId="77777777" w:rsidR="002653E8" w:rsidRDefault="003115E3">
      <w:pPr>
        <w:ind w:left="199"/>
        <w:rPr>
          <w:rFonts w:ascii="Arial"/>
          <w:b/>
          <w:sz w:val="18"/>
        </w:rPr>
      </w:pPr>
      <w:r>
        <w:rPr>
          <w:rFonts w:ascii="Arial"/>
          <w:b/>
          <w:color w:val="231F20"/>
          <w:w w:val="115"/>
          <w:sz w:val="18"/>
        </w:rPr>
        <w:t>December 26, 1991</w:t>
      </w:r>
    </w:p>
    <w:p w14:paraId="034C0945" w14:textId="77777777" w:rsidR="002653E8" w:rsidRDefault="003115E3">
      <w:pPr>
        <w:spacing w:before="35"/>
        <w:ind w:left="199"/>
        <w:rPr>
          <w:rFonts w:ascii="Gill Sans MT"/>
          <w:sz w:val="18"/>
        </w:rPr>
      </w:pPr>
      <w:r>
        <w:rPr>
          <w:rFonts w:ascii="Gill Sans MT"/>
          <w:color w:val="231F20"/>
          <w:w w:val="115"/>
          <w:sz w:val="18"/>
        </w:rPr>
        <w:t>The u.S.S.R. is dissolved.</w:t>
      </w:r>
    </w:p>
    <w:p w14:paraId="170C5BAF" w14:textId="77777777" w:rsidR="002653E8" w:rsidRDefault="002653E8">
      <w:pPr>
        <w:pStyle w:val="a3"/>
        <w:rPr>
          <w:rFonts w:ascii="Gill Sans MT"/>
        </w:rPr>
      </w:pPr>
    </w:p>
    <w:p w14:paraId="50260438" w14:textId="77777777" w:rsidR="002653E8" w:rsidRDefault="002653E8">
      <w:pPr>
        <w:pStyle w:val="a3"/>
        <w:spacing w:before="9"/>
        <w:rPr>
          <w:rFonts w:ascii="Gill Sans MT"/>
          <w:sz w:val="22"/>
        </w:rPr>
      </w:pPr>
    </w:p>
    <w:p w14:paraId="5D7CB94D" w14:textId="77777777" w:rsidR="002653E8" w:rsidRDefault="003115E3">
      <w:pPr>
        <w:pStyle w:val="5"/>
        <w:ind w:left="200"/>
      </w:pPr>
      <w:r>
        <w:rPr>
          <w:color w:val="231F20"/>
          <w:w w:val="120"/>
        </w:rPr>
        <w:t>1992</w:t>
      </w:r>
    </w:p>
    <w:p w14:paraId="14DD9A77" w14:textId="77777777" w:rsidR="002653E8" w:rsidRDefault="003115E3">
      <w:pPr>
        <w:spacing w:before="12"/>
        <w:ind w:left="200"/>
        <w:rPr>
          <w:rFonts w:ascii="Arial"/>
          <w:b/>
          <w:sz w:val="18"/>
        </w:rPr>
      </w:pPr>
      <w:r>
        <w:rPr>
          <w:rFonts w:ascii="Arial"/>
          <w:b/>
          <w:color w:val="231F20"/>
          <w:w w:val="115"/>
          <w:sz w:val="18"/>
        </w:rPr>
        <w:t>January 6, 1992</w:t>
      </w:r>
    </w:p>
    <w:p w14:paraId="147B7264" w14:textId="77777777" w:rsidR="002653E8" w:rsidRDefault="003115E3">
      <w:pPr>
        <w:spacing w:before="34" w:line="276" w:lineRule="auto"/>
        <w:ind w:left="200" w:right="1248"/>
        <w:rPr>
          <w:rFonts w:ascii="Gill Sans MT"/>
          <w:sz w:val="18"/>
        </w:rPr>
      </w:pPr>
      <w:r>
        <w:rPr>
          <w:rFonts w:ascii="Gill Sans MT"/>
          <w:color w:val="231F20"/>
          <w:w w:val="110"/>
          <w:sz w:val="18"/>
        </w:rPr>
        <w:t xml:space="preserve">The Kinkel Initiative, a government proposal for the gradual decarceration of </w:t>
      </w:r>
      <w:r w:rsidR="00C507A5">
        <w:rPr>
          <w:rFonts w:ascii="Gill Sans MT"/>
          <w:color w:val="231F20"/>
          <w:w w:val="110"/>
          <w:sz w:val="18"/>
        </w:rPr>
        <w:t>red army faction</w:t>
      </w:r>
      <w:r>
        <w:rPr>
          <w:rFonts w:ascii="Gill Sans MT"/>
          <w:color w:val="231F20"/>
          <w:w w:val="110"/>
          <w:sz w:val="18"/>
        </w:rPr>
        <w:t xml:space="preserve"> prisoners, is launched. By September of </w:t>
      </w:r>
      <w:r>
        <w:rPr>
          <w:rFonts w:ascii="Arial"/>
          <w:color w:val="231F20"/>
          <w:w w:val="110"/>
          <w:sz w:val="18"/>
        </w:rPr>
        <w:t>1993</w:t>
      </w:r>
      <w:r>
        <w:rPr>
          <w:rFonts w:ascii="Gill Sans MT"/>
          <w:color w:val="231F20"/>
          <w:w w:val="110"/>
          <w:sz w:val="18"/>
        </w:rPr>
        <w:t xml:space="preserve">, eight prisoners from the </w:t>
      </w:r>
      <w:r w:rsidR="00C507A5">
        <w:rPr>
          <w:rFonts w:ascii="Gill Sans MT"/>
          <w:color w:val="231F20"/>
          <w:w w:val="110"/>
          <w:sz w:val="18"/>
        </w:rPr>
        <w:t>red army faction</w:t>
      </w:r>
      <w:r>
        <w:rPr>
          <w:rFonts w:ascii="Gill Sans MT"/>
          <w:color w:val="231F20"/>
          <w:w w:val="110"/>
          <w:sz w:val="18"/>
        </w:rPr>
        <w:t xml:space="preserve"> and its support movement have been</w:t>
      </w:r>
    </w:p>
    <w:p w14:paraId="5EE031C8" w14:textId="77777777" w:rsidR="002653E8" w:rsidRDefault="003115E3">
      <w:pPr>
        <w:spacing w:line="276" w:lineRule="auto"/>
        <w:ind w:left="200" w:right="1132"/>
        <w:rPr>
          <w:rFonts w:ascii="Gill Sans MT" w:hAnsi="Gill Sans MT"/>
          <w:sz w:val="18"/>
        </w:rPr>
      </w:pPr>
      <w:r>
        <w:rPr>
          <w:rFonts w:ascii="Gill Sans MT" w:hAnsi="Gill Sans MT"/>
          <w:color w:val="231F20"/>
          <w:w w:val="110"/>
          <w:sz w:val="18"/>
        </w:rPr>
        <w:t xml:space="preserve">released: Günter Sonnenberg, Bernd Rössner, Karl-Friedrich Grosser, Claudia Wannersdorfer, Thomas Thoene, Angelica Goder, Barbel Hofmeier, and Christian Kluth. The initiative is harshly criticized by Chancellor Helmut Kohl, the BAW, </w:t>
      </w:r>
      <w:r>
        <w:rPr>
          <w:rFonts w:ascii="Gill Sans MT" w:hAnsi="Gill Sans MT"/>
          <w:color w:val="231F20"/>
          <w:sz w:val="18"/>
        </w:rPr>
        <w:t xml:space="preserve">the </w:t>
      </w:r>
      <w:r>
        <w:rPr>
          <w:rFonts w:ascii="Lucida Sans" w:hAnsi="Lucida Sans"/>
          <w:i/>
          <w:color w:val="231F20"/>
          <w:sz w:val="18"/>
        </w:rPr>
        <w:t>Verfassungsschutz</w:t>
      </w:r>
      <w:r>
        <w:rPr>
          <w:rFonts w:ascii="Gill Sans MT" w:hAnsi="Gill Sans MT"/>
          <w:color w:val="231F20"/>
          <w:sz w:val="18"/>
        </w:rPr>
        <w:t xml:space="preserve">, and the BKA </w:t>
      </w:r>
      <w:r>
        <w:rPr>
          <w:rFonts w:ascii="Gill Sans MT" w:hAnsi="Gill Sans MT"/>
          <w:color w:val="231F20"/>
          <w:w w:val="110"/>
          <w:sz w:val="18"/>
        </w:rPr>
        <w:t>Terrorism unit.</w:t>
      </w:r>
    </w:p>
    <w:p w14:paraId="59E29C1F" w14:textId="77777777" w:rsidR="002653E8" w:rsidRDefault="002653E8">
      <w:pPr>
        <w:pStyle w:val="a3"/>
        <w:spacing w:before="9"/>
        <w:rPr>
          <w:rFonts w:ascii="Gill Sans MT"/>
          <w:sz w:val="19"/>
        </w:rPr>
      </w:pPr>
    </w:p>
    <w:p w14:paraId="658C42A0" w14:textId="77777777" w:rsidR="002653E8" w:rsidRDefault="003115E3">
      <w:pPr>
        <w:ind w:left="200"/>
        <w:rPr>
          <w:rFonts w:ascii="Arial"/>
          <w:b/>
          <w:sz w:val="18"/>
        </w:rPr>
      </w:pPr>
      <w:r>
        <w:rPr>
          <w:rFonts w:ascii="Arial"/>
          <w:b/>
          <w:color w:val="231F20"/>
          <w:w w:val="115"/>
          <w:sz w:val="18"/>
        </w:rPr>
        <w:t>February 24, 1992</w:t>
      </w:r>
    </w:p>
    <w:p w14:paraId="50E4ED82" w14:textId="77777777" w:rsidR="002653E8" w:rsidRDefault="003115E3">
      <w:pPr>
        <w:spacing w:before="34" w:line="276" w:lineRule="auto"/>
        <w:ind w:left="200" w:right="1093"/>
        <w:rPr>
          <w:rFonts w:ascii="Gill Sans MT"/>
          <w:sz w:val="18"/>
        </w:rPr>
      </w:pPr>
      <w:r>
        <w:rPr>
          <w:rFonts w:ascii="Gill Sans MT"/>
          <w:color w:val="231F20"/>
          <w:w w:val="110"/>
          <w:sz w:val="18"/>
        </w:rPr>
        <w:t xml:space="preserve">The Stuttgart OLG sentences former </w:t>
      </w:r>
      <w:r w:rsidR="00C507A5">
        <w:rPr>
          <w:rFonts w:ascii="Gill Sans MT"/>
          <w:color w:val="231F20"/>
          <w:w w:val="110"/>
          <w:sz w:val="18"/>
        </w:rPr>
        <w:t>red army faction</w:t>
      </w:r>
      <w:r>
        <w:rPr>
          <w:rFonts w:ascii="Gill Sans MT"/>
          <w:color w:val="231F20"/>
          <w:w w:val="110"/>
          <w:sz w:val="18"/>
        </w:rPr>
        <w:t xml:space="preserve"> member Monika Helbing, arrested in the former GdR, to </w:t>
      </w:r>
      <w:r>
        <w:rPr>
          <w:rFonts w:ascii="Arial"/>
          <w:color w:val="231F20"/>
          <w:w w:val="110"/>
          <w:sz w:val="18"/>
        </w:rPr>
        <w:t xml:space="preserve">7 </w:t>
      </w:r>
      <w:r>
        <w:rPr>
          <w:rFonts w:ascii="Gill Sans MT"/>
          <w:color w:val="231F20"/>
          <w:w w:val="110"/>
          <w:sz w:val="18"/>
        </w:rPr>
        <w:t>years in prison.</w:t>
      </w:r>
    </w:p>
    <w:p w14:paraId="797877F4" w14:textId="77777777" w:rsidR="002653E8" w:rsidRDefault="002653E8">
      <w:pPr>
        <w:pStyle w:val="a3"/>
        <w:spacing w:before="5"/>
        <w:rPr>
          <w:rFonts w:ascii="Gill Sans MT"/>
        </w:rPr>
      </w:pPr>
    </w:p>
    <w:p w14:paraId="1D9EC2C7" w14:textId="77777777" w:rsidR="002653E8" w:rsidRDefault="003115E3">
      <w:pPr>
        <w:ind w:left="200"/>
        <w:rPr>
          <w:rFonts w:ascii="Arial"/>
          <w:b/>
          <w:sz w:val="18"/>
        </w:rPr>
      </w:pPr>
      <w:r>
        <w:rPr>
          <w:rFonts w:ascii="Arial"/>
          <w:b/>
          <w:color w:val="231F20"/>
          <w:w w:val="115"/>
          <w:sz w:val="18"/>
        </w:rPr>
        <w:t>March 11, 1992</w:t>
      </w:r>
    </w:p>
    <w:p w14:paraId="6EA31EF0" w14:textId="77777777" w:rsidR="002653E8" w:rsidRDefault="003115E3">
      <w:pPr>
        <w:spacing w:before="35" w:line="276" w:lineRule="auto"/>
        <w:ind w:left="200" w:right="1134" w:hanging="1"/>
        <w:rPr>
          <w:rFonts w:ascii="Gill Sans MT"/>
          <w:sz w:val="18"/>
        </w:rPr>
      </w:pPr>
      <w:r>
        <w:rPr>
          <w:rFonts w:ascii="Gill Sans MT"/>
          <w:color w:val="231F20"/>
          <w:w w:val="110"/>
          <w:sz w:val="18"/>
        </w:rPr>
        <w:t xml:space="preserve">The Bavaria OLG sentences former </w:t>
      </w:r>
      <w:r w:rsidR="00C507A5">
        <w:rPr>
          <w:rFonts w:ascii="Gill Sans MT"/>
          <w:color w:val="231F20"/>
          <w:w w:val="110"/>
          <w:sz w:val="18"/>
        </w:rPr>
        <w:t>red army faction</w:t>
      </w:r>
      <w:r>
        <w:rPr>
          <w:rFonts w:ascii="Gill Sans MT"/>
          <w:color w:val="231F20"/>
          <w:spacing w:val="-25"/>
          <w:w w:val="110"/>
          <w:sz w:val="18"/>
        </w:rPr>
        <w:t xml:space="preserve"> </w:t>
      </w:r>
      <w:r>
        <w:rPr>
          <w:rFonts w:ascii="Gill Sans MT"/>
          <w:color w:val="231F20"/>
          <w:w w:val="110"/>
          <w:sz w:val="18"/>
        </w:rPr>
        <w:t>member</w:t>
      </w:r>
      <w:r>
        <w:rPr>
          <w:rFonts w:ascii="Gill Sans MT"/>
          <w:color w:val="231F20"/>
          <w:spacing w:val="-25"/>
          <w:w w:val="110"/>
          <w:sz w:val="18"/>
        </w:rPr>
        <w:t xml:space="preserve"> </w:t>
      </w:r>
      <w:r>
        <w:rPr>
          <w:rFonts w:ascii="Gill Sans MT"/>
          <w:color w:val="231F20"/>
          <w:w w:val="110"/>
          <w:sz w:val="18"/>
        </w:rPr>
        <w:t>Werner</w:t>
      </w:r>
      <w:r>
        <w:rPr>
          <w:rFonts w:ascii="Gill Sans MT"/>
          <w:color w:val="231F20"/>
          <w:spacing w:val="-25"/>
          <w:w w:val="110"/>
          <w:sz w:val="18"/>
        </w:rPr>
        <w:t xml:space="preserve"> </w:t>
      </w:r>
      <w:r>
        <w:rPr>
          <w:rFonts w:ascii="Gill Sans MT"/>
          <w:color w:val="231F20"/>
          <w:w w:val="110"/>
          <w:sz w:val="18"/>
        </w:rPr>
        <w:t>Lotze,</w:t>
      </w:r>
      <w:r>
        <w:rPr>
          <w:rFonts w:ascii="Gill Sans MT"/>
          <w:color w:val="231F20"/>
          <w:spacing w:val="-25"/>
          <w:w w:val="110"/>
          <w:sz w:val="18"/>
        </w:rPr>
        <w:t xml:space="preserve"> </w:t>
      </w:r>
      <w:r>
        <w:rPr>
          <w:rFonts w:ascii="Gill Sans MT"/>
          <w:color w:val="231F20"/>
          <w:w w:val="110"/>
          <w:sz w:val="18"/>
        </w:rPr>
        <w:t xml:space="preserve">arrested in the former GdR, to </w:t>
      </w:r>
      <w:r>
        <w:rPr>
          <w:rFonts w:ascii="Arial"/>
          <w:color w:val="231F20"/>
          <w:w w:val="110"/>
          <w:sz w:val="18"/>
        </w:rPr>
        <w:t xml:space="preserve">11 </w:t>
      </w:r>
      <w:r>
        <w:rPr>
          <w:rFonts w:ascii="Gill Sans MT"/>
          <w:color w:val="231F20"/>
          <w:w w:val="110"/>
          <w:sz w:val="18"/>
        </w:rPr>
        <w:t>years in prison.</w:t>
      </w:r>
    </w:p>
    <w:p w14:paraId="02E6C471" w14:textId="77777777" w:rsidR="002653E8" w:rsidRDefault="002653E8">
      <w:pPr>
        <w:spacing w:line="276" w:lineRule="auto"/>
        <w:rPr>
          <w:rFonts w:ascii="Gill Sans MT"/>
          <w:sz w:val="18"/>
        </w:rPr>
        <w:sectPr w:rsidR="002653E8">
          <w:footerReference w:type="even" r:id="rId536"/>
          <w:pgSz w:w="8640" w:h="12960"/>
          <w:pgMar w:top="1060" w:right="0" w:bottom="280" w:left="0" w:header="0" w:footer="0" w:gutter="0"/>
          <w:cols w:num="2" w:space="720" w:equalWidth="0">
            <w:col w:w="4290" w:space="40"/>
            <w:col w:w="4310"/>
          </w:cols>
        </w:sectPr>
      </w:pPr>
    </w:p>
    <w:p w14:paraId="6A0AE237" w14:textId="77777777" w:rsidR="002653E8" w:rsidRDefault="002653E8">
      <w:pPr>
        <w:pStyle w:val="a3"/>
        <w:rPr>
          <w:rFonts w:ascii="Gill Sans MT"/>
        </w:rPr>
      </w:pPr>
    </w:p>
    <w:p w14:paraId="3E95368B" w14:textId="77777777" w:rsidR="002653E8" w:rsidRDefault="002653E8">
      <w:pPr>
        <w:pStyle w:val="a3"/>
        <w:rPr>
          <w:rFonts w:ascii="Gill Sans MT"/>
        </w:rPr>
      </w:pPr>
    </w:p>
    <w:p w14:paraId="7D5A45D0" w14:textId="77777777" w:rsidR="002653E8" w:rsidRDefault="002653E8">
      <w:pPr>
        <w:rPr>
          <w:rFonts w:ascii="Gill Sans MT"/>
        </w:rPr>
        <w:sectPr w:rsidR="002653E8">
          <w:type w:val="continuous"/>
          <w:pgSz w:w="8640" w:h="12960"/>
          <w:pgMar w:top="0" w:right="0" w:bottom="0" w:left="0" w:header="720" w:footer="720" w:gutter="0"/>
          <w:cols w:space="720"/>
        </w:sectPr>
      </w:pPr>
    </w:p>
    <w:p w14:paraId="0B353C2B" w14:textId="77777777" w:rsidR="002653E8" w:rsidRDefault="002653E8">
      <w:pPr>
        <w:pStyle w:val="a3"/>
        <w:spacing w:before="6"/>
        <w:rPr>
          <w:rFonts w:ascii="Gill Sans MT"/>
          <w:sz w:val="22"/>
        </w:rPr>
      </w:pPr>
    </w:p>
    <w:p w14:paraId="1451FDFD" w14:textId="77777777" w:rsidR="002653E8" w:rsidRDefault="003115E3">
      <w:pPr>
        <w:spacing w:line="244" w:lineRule="auto"/>
        <w:ind w:left="1327" w:right="25"/>
        <w:rPr>
          <w:sz w:val="18"/>
        </w:rPr>
      </w:pPr>
      <w:r>
        <w:rPr>
          <w:color w:val="231F20"/>
          <w:w w:val="110"/>
          <w:sz w:val="18"/>
        </w:rPr>
        <w:t xml:space="preserve">a chronology </w:t>
      </w:r>
      <w:r>
        <w:rPr>
          <w:color w:val="231F20"/>
          <w:w w:val="110"/>
          <w:sz w:val="18"/>
        </w:rPr>
        <w:lastRenderedPageBreak/>
        <w:t>march 11, 1992</w:t>
      </w:r>
      <w:r>
        <w:rPr>
          <w:color w:val="231F20"/>
          <w:sz w:val="18"/>
        </w:rPr>
        <w:t xml:space="preserve"> </w:t>
      </w:r>
    </w:p>
    <w:p w14:paraId="28898783" w14:textId="77777777" w:rsidR="002653E8" w:rsidRDefault="003115E3">
      <w:pPr>
        <w:pStyle w:val="a3"/>
        <w:spacing w:before="5"/>
        <w:rPr>
          <w:sz w:val="18"/>
        </w:rPr>
      </w:pPr>
      <w:r>
        <w:br w:type="column"/>
      </w:r>
    </w:p>
    <w:p w14:paraId="3F2073B2" w14:textId="77777777" w:rsidR="002653E8" w:rsidRDefault="003115E3">
      <w:pPr>
        <w:ind w:left="1346" w:right="1141"/>
        <w:jc w:val="center"/>
        <w:rPr>
          <w:sz w:val="18"/>
        </w:rPr>
      </w:pPr>
      <w:r>
        <w:rPr>
          <w:color w:val="231F20"/>
          <w:sz w:val="18"/>
        </w:rPr>
        <w:t xml:space="preserve">621 </w:t>
      </w:r>
    </w:p>
    <w:p w14:paraId="5B035BF7" w14:textId="77777777" w:rsidR="002653E8" w:rsidRDefault="002653E8">
      <w:pPr>
        <w:jc w:val="center"/>
        <w:rPr>
          <w:sz w:val="18"/>
        </w:rPr>
        <w:sectPr w:rsidR="002653E8">
          <w:type w:val="continuous"/>
          <w:pgSz w:w="8640" w:h="12960"/>
          <w:pgMar w:top="0" w:right="0" w:bottom="0" w:left="0" w:header="720" w:footer="720" w:gutter="0"/>
          <w:cols w:num="2" w:space="720" w:equalWidth="0">
            <w:col w:w="3052" w:space="2762"/>
            <w:col w:w="2826"/>
          </w:cols>
        </w:sectPr>
      </w:pPr>
    </w:p>
    <w:p w14:paraId="2AEBE694" w14:textId="77777777" w:rsidR="002653E8" w:rsidRDefault="003115E3">
      <w:pPr>
        <w:spacing w:before="91"/>
        <w:ind w:left="1147"/>
        <w:rPr>
          <w:rFonts w:ascii="Arial"/>
          <w:b/>
          <w:sz w:val="18"/>
        </w:rPr>
      </w:pPr>
      <w:r>
        <w:rPr>
          <w:rFonts w:ascii="Arial"/>
          <w:b/>
          <w:color w:val="231F20"/>
          <w:w w:val="115"/>
          <w:sz w:val="18"/>
        </w:rPr>
        <w:lastRenderedPageBreak/>
        <w:t>April 10, 1992</w:t>
      </w:r>
    </w:p>
    <w:p w14:paraId="36F9790F" w14:textId="77777777" w:rsidR="002653E8" w:rsidRDefault="003115E3">
      <w:pPr>
        <w:spacing w:before="28" w:line="276" w:lineRule="auto"/>
        <w:ind w:left="1147" w:right="113"/>
        <w:rPr>
          <w:rFonts w:ascii="Gill Sans MT" w:hAnsi="Gill Sans MT"/>
          <w:sz w:val="18"/>
        </w:rPr>
      </w:pPr>
      <w:r>
        <w:rPr>
          <w:rFonts w:ascii="Gill Sans MT" w:hAnsi="Gill Sans MT"/>
          <w:color w:val="231F20"/>
          <w:sz w:val="18"/>
        </w:rPr>
        <w:t xml:space="preserve">The </w:t>
      </w:r>
      <w:r w:rsidR="00C507A5">
        <w:rPr>
          <w:rFonts w:ascii="Gill Sans MT" w:hAnsi="Gill Sans MT"/>
          <w:color w:val="231F20"/>
          <w:sz w:val="18"/>
        </w:rPr>
        <w:t>red army faction</w:t>
      </w:r>
      <w:r>
        <w:rPr>
          <w:rFonts w:ascii="Gill Sans MT" w:hAnsi="Gill Sans MT"/>
          <w:color w:val="231F20"/>
          <w:sz w:val="18"/>
        </w:rPr>
        <w:t xml:space="preserve"> issues the </w:t>
      </w:r>
      <w:r>
        <w:rPr>
          <w:rFonts w:ascii="Lucida Sans" w:hAnsi="Lucida Sans"/>
          <w:i/>
          <w:color w:val="231F20"/>
          <w:sz w:val="18"/>
        </w:rPr>
        <w:t xml:space="preserve">Zäsurerklarung </w:t>
      </w:r>
      <w:r>
        <w:rPr>
          <w:rFonts w:ascii="Gill Sans MT" w:hAnsi="Gill Sans MT"/>
          <w:color w:val="231F20"/>
          <w:w w:val="110"/>
          <w:sz w:val="18"/>
        </w:rPr>
        <w:t xml:space="preserve">(Ceasefire Statement), also known </w:t>
      </w:r>
      <w:r>
        <w:rPr>
          <w:rFonts w:ascii="Gill Sans MT" w:hAnsi="Gill Sans MT"/>
          <w:color w:val="231F20"/>
          <w:w w:val="115"/>
          <w:sz w:val="18"/>
        </w:rPr>
        <w:t xml:space="preserve">as the April Paper, announcing a unilateral de-escalation, indicating that it will no longer assassinate leading figures of the state or industry. The paper calls for the decarceration of </w:t>
      </w:r>
      <w:r w:rsidR="00C507A5">
        <w:rPr>
          <w:rFonts w:ascii="Gill Sans MT" w:hAnsi="Gill Sans MT"/>
          <w:color w:val="231F20"/>
          <w:w w:val="115"/>
          <w:sz w:val="18"/>
        </w:rPr>
        <w:t>red army faction</w:t>
      </w:r>
      <w:r>
        <w:rPr>
          <w:rFonts w:ascii="Gill Sans MT" w:hAnsi="Gill Sans MT"/>
          <w:color w:val="231F20"/>
          <w:w w:val="115"/>
          <w:sz w:val="18"/>
        </w:rPr>
        <w:t xml:space="preserve"> prisoners who have already served lengthy sentences and for all who are ill. This paper is generally seen as a response to the Kinkel Initiative.</w:t>
      </w:r>
    </w:p>
    <w:p w14:paraId="1BA5FE42" w14:textId="77777777" w:rsidR="002653E8" w:rsidRDefault="002653E8">
      <w:pPr>
        <w:pStyle w:val="a3"/>
        <w:spacing w:before="5"/>
        <w:rPr>
          <w:rFonts w:ascii="Gill Sans MT"/>
        </w:rPr>
      </w:pPr>
    </w:p>
    <w:p w14:paraId="4A17DA3B" w14:textId="77777777" w:rsidR="002653E8" w:rsidRDefault="003115E3">
      <w:pPr>
        <w:ind w:left="1147"/>
        <w:rPr>
          <w:rFonts w:ascii="Arial"/>
          <w:b/>
          <w:sz w:val="18"/>
        </w:rPr>
      </w:pPr>
      <w:r>
        <w:rPr>
          <w:rFonts w:ascii="Arial"/>
          <w:b/>
          <w:color w:val="231F20"/>
          <w:w w:val="115"/>
          <w:sz w:val="18"/>
        </w:rPr>
        <w:t>April 15, 1992</w:t>
      </w:r>
    </w:p>
    <w:p w14:paraId="101BE260" w14:textId="77777777" w:rsidR="002653E8" w:rsidRDefault="00C507A5">
      <w:pPr>
        <w:spacing w:before="35" w:line="276" w:lineRule="auto"/>
        <w:ind w:left="1147" w:right="-17"/>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prisoner Irmgard </w:t>
      </w:r>
      <w:r w:rsidR="003115E3">
        <w:rPr>
          <w:rFonts w:ascii="Gill Sans MT" w:hAnsi="Gill Sans MT"/>
          <w:color w:val="231F20"/>
          <w:spacing w:val="-3"/>
          <w:w w:val="110"/>
          <w:sz w:val="18"/>
        </w:rPr>
        <w:t xml:space="preserve">Möller, </w:t>
      </w:r>
      <w:r w:rsidR="003115E3">
        <w:rPr>
          <w:rFonts w:ascii="Gill Sans MT" w:hAnsi="Gill Sans MT"/>
          <w:color w:val="231F20"/>
          <w:w w:val="110"/>
          <w:sz w:val="18"/>
        </w:rPr>
        <w:t>who has been in prison since</w:t>
      </w:r>
      <w:r w:rsidR="003115E3">
        <w:rPr>
          <w:rFonts w:ascii="Gill Sans MT" w:hAnsi="Gill Sans MT"/>
          <w:color w:val="231F20"/>
          <w:spacing w:val="-18"/>
          <w:w w:val="110"/>
          <w:sz w:val="18"/>
        </w:rPr>
        <w:t xml:space="preserve"> </w:t>
      </w:r>
      <w:r w:rsidR="003115E3">
        <w:rPr>
          <w:rFonts w:ascii="Arial" w:hAnsi="Arial"/>
          <w:color w:val="231F20"/>
          <w:w w:val="110"/>
          <w:sz w:val="18"/>
        </w:rPr>
        <w:t>1972</w:t>
      </w:r>
      <w:r w:rsidR="003115E3">
        <w:rPr>
          <w:rFonts w:ascii="Gill Sans MT" w:hAnsi="Gill Sans MT"/>
          <w:color w:val="231F20"/>
          <w:w w:val="110"/>
          <w:sz w:val="18"/>
        </w:rPr>
        <w:t>,</w:t>
      </w:r>
      <w:r w:rsidR="003115E3">
        <w:rPr>
          <w:rFonts w:ascii="Gill Sans MT" w:hAnsi="Gill Sans MT"/>
          <w:color w:val="231F20"/>
          <w:spacing w:val="-4"/>
          <w:w w:val="110"/>
          <w:sz w:val="18"/>
        </w:rPr>
        <w:t xml:space="preserve"> </w:t>
      </w:r>
      <w:r w:rsidR="003115E3">
        <w:rPr>
          <w:rFonts w:ascii="Gill Sans MT" w:hAnsi="Gill Sans MT"/>
          <w:color w:val="231F20"/>
          <w:w w:val="110"/>
          <w:sz w:val="18"/>
        </w:rPr>
        <w:t>issues</w:t>
      </w:r>
      <w:r w:rsidR="003115E3">
        <w:rPr>
          <w:rFonts w:ascii="Gill Sans MT" w:hAnsi="Gill Sans MT"/>
          <w:color w:val="231F20"/>
          <w:w w:val="111"/>
          <w:sz w:val="18"/>
        </w:rPr>
        <w:t xml:space="preserve"> </w:t>
      </w:r>
      <w:r w:rsidR="003115E3">
        <w:rPr>
          <w:rFonts w:ascii="Gill Sans MT" w:hAnsi="Gill Sans MT"/>
          <w:color w:val="231F20"/>
          <w:w w:val="110"/>
          <w:sz w:val="18"/>
        </w:rPr>
        <w:t xml:space="preserve">a statement voicing her support to the </w:t>
      </w:r>
      <w:r>
        <w:rPr>
          <w:rFonts w:ascii="Gill Sans MT" w:hAnsi="Gill Sans MT"/>
          <w:color w:val="231F20"/>
          <w:spacing w:val="-3"/>
          <w:w w:val="110"/>
          <w:sz w:val="18"/>
        </w:rPr>
        <w:t>red army faction</w:t>
      </w:r>
      <w:r w:rsidR="003115E3">
        <w:rPr>
          <w:rFonts w:ascii="Gill Sans MT" w:hAnsi="Gill Sans MT"/>
          <w:color w:val="231F20"/>
          <w:spacing w:val="-3"/>
          <w:w w:val="110"/>
          <w:sz w:val="18"/>
        </w:rPr>
        <w:t xml:space="preserve">’s </w:t>
      </w:r>
      <w:r w:rsidR="003115E3">
        <w:rPr>
          <w:rFonts w:ascii="Gill Sans MT" w:hAnsi="Gill Sans MT"/>
          <w:color w:val="231F20"/>
          <w:w w:val="110"/>
          <w:sz w:val="18"/>
        </w:rPr>
        <w:t>ceasefire decision and calling for the immediate</w:t>
      </w:r>
      <w:r w:rsidR="003115E3">
        <w:rPr>
          <w:rFonts w:ascii="Gill Sans MT" w:hAnsi="Gill Sans MT"/>
          <w:color w:val="231F20"/>
          <w:spacing w:val="2"/>
          <w:w w:val="110"/>
          <w:sz w:val="18"/>
        </w:rPr>
        <w:t xml:space="preserve"> </w:t>
      </w:r>
      <w:r w:rsidR="003115E3">
        <w:rPr>
          <w:rFonts w:ascii="Gill Sans MT" w:hAnsi="Gill Sans MT"/>
          <w:color w:val="231F20"/>
          <w:w w:val="110"/>
          <w:sz w:val="18"/>
        </w:rPr>
        <w:t>release</w:t>
      </w:r>
    </w:p>
    <w:p w14:paraId="18C847A8" w14:textId="77777777" w:rsidR="002653E8" w:rsidRDefault="003115E3">
      <w:pPr>
        <w:spacing w:line="276" w:lineRule="auto"/>
        <w:ind w:left="1147" w:right="204"/>
        <w:rPr>
          <w:rFonts w:ascii="Gill Sans MT" w:hAnsi="Gill Sans MT"/>
          <w:sz w:val="18"/>
        </w:rPr>
      </w:pPr>
      <w:r>
        <w:rPr>
          <w:rFonts w:ascii="Gill Sans MT" w:hAnsi="Gill Sans MT"/>
          <w:color w:val="231F20"/>
          <w:w w:val="110"/>
          <w:sz w:val="18"/>
        </w:rPr>
        <w:t xml:space="preserve">of two seriously ill </w:t>
      </w:r>
      <w:r w:rsidR="00C507A5">
        <w:rPr>
          <w:rFonts w:ascii="Gill Sans MT" w:hAnsi="Gill Sans MT"/>
          <w:color w:val="231F20"/>
          <w:w w:val="110"/>
          <w:sz w:val="18"/>
        </w:rPr>
        <w:t>red army faction</w:t>
      </w:r>
      <w:r>
        <w:rPr>
          <w:rFonts w:ascii="Gill Sans MT" w:hAnsi="Gill Sans MT"/>
          <w:color w:val="231F20"/>
          <w:w w:val="110"/>
          <w:sz w:val="18"/>
        </w:rPr>
        <w:t xml:space="preserve"> prisoners, Günter Sonnenberg and Bernd Rössner.</w:t>
      </w:r>
    </w:p>
    <w:p w14:paraId="5671B625" w14:textId="77777777" w:rsidR="002653E8" w:rsidRDefault="002653E8">
      <w:pPr>
        <w:pStyle w:val="a3"/>
        <w:spacing w:before="4"/>
        <w:rPr>
          <w:rFonts w:ascii="Gill Sans MT"/>
        </w:rPr>
      </w:pPr>
    </w:p>
    <w:p w14:paraId="63659988" w14:textId="77777777" w:rsidR="002653E8" w:rsidRDefault="003115E3">
      <w:pPr>
        <w:ind w:left="1147"/>
        <w:rPr>
          <w:rFonts w:ascii="Arial"/>
          <w:b/>
          <w:sz w:val="18"/>
        </w:rPr>
      </w:pPr>
      <w:r>
        <w:rPr>
          <w:rFonts w:ascii="Arial"/>
          <w:b/>
          <w:color w:val="231F20"/>
          <w:w w:val="120"/>
          <w:sz w:val="18"/>
        </w:rPr>
        <w:t>May 15, 1992</w:t>
      </w:r>
    </w:p>
    <w:p w14:paraId="4BBFEC6B" w14:textId="77777777" w:rsidR="002653E8" w:rsidRDefault="00C507A5">
      <w:pPr>
        <w:spacing w:before="35" w:line="276" w:lineRule="auto"/>
        <w:ind w:left="1147"/>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prisoner Günter Sonnenberg is released from prison.</w:t>
      </w:r>
    </w:p>
    <w:p w14:paraId="1CDDA1EF" w14:textId="77777777" w:rsidR="002653E8" w:rsidRDefault="002653E8">
      <w:pPr>
        <w:pStyle w:val="a3"/>
        <w:spacing w:before="6"/>
        <w:rPr>
          <w:rFonts w:ascii="Gill Sans MT"/>
        </w:rPr>
      </w:pPr>
    </w:p>
    <w:p w14:paraId="7D9A1839" w14:textId="77777777" w:rsidR="002653E8" w:rsidRDefault="003115E3">
      <w:pPr>
        <w:ind w:left="1147"/>
        <w:rPr>
          <w:rFonts w:ascii="Arial"/>
          <w:b/>
          <w:sz w:val="18"/>
        </w:rPr>
      </w:pPr>
      <w:r>
        <w:rPr>
          <w:rFonts w:ascii="Arial"/>
          <w:b/>
          <w:color w:val="231F20"/>
          <w:w w:val="120"/>
          <w:sz w:val="18"/>
        </w:rPr>
        <w:t>May 18, 1992</w:t>
      </w:r>
    </w:p>
    <w:p w14:paraId="1BA05113" w14:textId="77777777" w:rsidR="002653E8" w:rsidRDefault="003115E3">
      <w:pPr>
        <w:spacing w:before="28" w:line="276" w:lineRule="auto"/>
        <w:ind w:left="1147" w:right="20"/>
        <w:rPr>
          <w:rFonts w:ascii="Gill Sans MT" w:hAnsi="Gill Sans MT"/>
          <w:sz w:val="18"/>
        </w:rPr>
      </w:pPr>
      <w:r>
        <w:rPr>
          <w:rFonts w:ascii="Lucida Sans" w:hAnsi="Lucida Sans"/>
          <w:i/>
          <w:color w:val="231F20"/>
          <w:w w:val="110"/>
          <w:sz w:val="18"/>
        </w:rPr>
        <w:t xml:space="preserve">Spiegel </w:t>
      </w:r>
      <w:r>
        <w:rPr>
          <w:rFonts w:ascii="Gill Sans MT" w:hAnsi="Gill Sans MT"/>
          <w:color w:val="231F20"/>
          <w:w w:val="110"/>
          <w:sz w:val="18"/>
        </w:rPr>
        <w:t xml:space="preserve">publishes an interview with </w:t>
      </w:r>
      <w:r w:rsidR="00C507A5">
        <w:rPr>
          <w:rFonts w:ascii="Gill Sans MT" w:hAnsi="Gill Sans MT"/>
          <w:color w:val="231F20"/>
          <w:w w:val="110"/>
          <w:sz w:val="18"/>
        </w:rPr>
        <w:t>red army faction</w:t>
      </w:r>
      <w:r>
        <w:rPr>
          <w:rFonts w:ascii="Gill Sans MT" w:hAnsi="Gill Sans MT"/>
          <w:color w:val="231F20"/>
          <w:w w:val="110"/>
          <w:sz w:val="18"/>
        </w:rPr>
        <w:t xml:space="preserve"> prisoner Irmgard Möller.</w:t>
      </w:r>
    </w:p>
    <w:p w14:paraId="7052FDDF" w14:textId="77777777" w:rsidR="002653E8" w:rsidRDefault="002653E8">
      <w:pPr>
        <w:pStyle w:val="a3"/>
        <w:spacing w:before="6"/>
        <w:rPr>
          <w:rFonts w:ascii="Gill Sans MT"/>
        </w:rPr>
      </w:pPr>
    </w:p>
    <w:p w14:paraId="3AE24827" w14:textId="77777777" w:rsidR="002653E8" w:rsidRDefault="003115E3">
      <w:pPr>
        <w:ind w:left="1147"/>
        <w:rPr>
          <w:rFonts w:ascii="Arial"/>
          <w:b/>
          <w:sz w:val="18"/>
        </w:rPr>
      </w:pPr>
      <w:r>
        <w:rPr>
          <w:rFonts w:ascii="Arial"/>
          <w:b/>
          <w:color w:val="231F20"/>
          <w:w w:val="115"/>
          <w:sz w:val="18"/>
        </w:rPr>
        <w:t>June 1992</w:t>
      </w:r>
    </w:p>
    <w:p w14:paraId="15F6C8A0" w14:textId="77777777" w:rsidR="002653E8" w:rsidRDefault="003115E3">
      <w:pPr>
        <w:spacing w:before="28" w:line="276" w:lineRule="auto"/>
        <w:ind w:left="1147" w:right="100"/>
        <w:rPr>
          <w:rFonts w:ascii="Gill Sans MT"/>
          <w:sz w:val="18"/>
        </w:rPr>
      </w:pPr>
      <w:r>
        <w:rPr>
          <w:rFonts w:ascii="Lucida Sans"/>
          <w:i/>
          <w:color w:val="231F20"/>
          <w:w w:val="110"/>
          <w:sz w:val="18"/>
        </w:rPr>
        <w:t>konkret</w:t>
      </w:r>
      <w:r>
        <w:rPr>
          <w:rFonts w:ascii="Lucida Sans"/>
          <w:i/>
          <w:color w:val="231F20"/>
          <w:spacing w:val="-41"/>
          <w:w w:val="110"/>
          <w:sz w:val="18"/>
        </w:rPr>
        <w:t xml:space="preserve"> </w:t>
      </w:r>
      <w:r>
        <w:rPr>
          <w:rFonts w:ascii="Gill Sans MT"/>
          <w:color w:val="231F20"/>
          <w:w w:val="110"/>
          <w:sz w:val="18"/>
        </w:rPr>
        <w:t>publishes</w:t>
      </w:r>
      <w:r>
        <w:rPr>
          <w:rFonts w:ascii="Gill Sans MT"/>
          <w:color w:val="231F20"/>
          <w:spacing w:val="-34"/>
          <w:w w:val="110"/>
          <w:sz w:val="18"/>
        </w:rPr>
        <w:t xml:space="preserve"> </w:t>
      </w:r>
      <w:r>
        <w:rPr>
          <w:rFonts w:ascii="Gill Sans MT"/>
          <w:color w:val="231F20"/>
          <w:w w:val="110"/>
          <w:sz w:val="18"/>
        </w:rPr>
        <w:t>an</w:t>
      </w:r>
      <w:r>
        <w:rPr>
          <w:rFonts w:ascii="Gill Sans MT"/>
          <w:color w:val="231F20"/>
          <w:spacing w:val="-34"/>
          <w:w w:val="110"/>
          <w:sz w:val="18"/>
        </w:rPr>
        <w:t xml:space="preserve"> </w:t>
      </w:r>
      <w:r>
        <w:rPr>
          <w:rFonts w:ascii="Gill Sans MT"/>
          <w:color w:val="231F20"/>
          <w:w w:val="110"/>
          <w:sz w:val="18"/>
        </w:rPr>
        <w:t>interview</w:t>
      </w:r>
      <w:r>
        <w:rPr>
          <w:rFonts w:ascii="Gill Sans MT"/>
          <w:color w:val="231F20"/>
          <w:spacing w:val="-34"/>
          <w:w w:val="110"/>
          <w:sz w:val="18"/>
        </w:rPr>
        <w:t xml:space="preserve"> </w:t>
      </w:r>
      <w:r>
        <w:rPr>
          <w:rFonts w:ascii="Gill Sans MT"/>
          <w:color w:val="231F20"/>
          <w:w w:val="110"/>
          <w:sz w:val="18"/>
        </w:rPr>
        <w:t>with</w:t>
      </w:r>
      <w:r>
        <w:rPr>
          <w:rFonts w:ascii="Gill Sans MT"/>
          <w:color w:val="231F20"/>
          <w:w w:val="106"/>
          <w:sz w:val="18"/>
        </w:rPr>
        <w:t xml:space="preserve"> </w:t>
      </w:r>
      <w:r w:rsidR="00C507A5">
        <w:rPr>
          <w:rFonts w:ascii="Gill Sans MT"/>
          <w:color w:val="231F20"/>
          <w:w w:val="110"/>
          <w:sz w:val="18"/>
        </w:rPr>
        <w:t>red army faction</w:t>
      </w:r>
      <w:r>
        <w:rPr>
          <w:rFonts w:ascii="Gill Sans MT"/>
          <w:color w:val="231F20"/>
          <w:w w:val="110"/>
          <w:sz w:val="18"/>
        </w:rPr>
        <w:t xml:space="preserve"> prisoners being held in Celle, Lutz </w:t>
      </w:r>
      <w:r>
        <w:rPr>
          <w:rFonts w:ascii="Gill Sans MT"/>
          <w:color w:val="231F20"/>
          <w:spacing w:val="-6"/>
          <w:w w:val="110"/>
          <w:sz w:val="18"/>
        </w:rPr>
        <w:t xml:space="preserve">Taufer, </w:t>
      </w:r>
      <w:r>
        <w:rPr>
          <w:rFonts w:ascii="Gill Sans MT"/>
          <w:color w:val="231F20"/>
          <w:w w:val="110"/>
          <w:sz w:val="18"/>
        </w:rPr>
        <w:t>Karl-Heinz dellwo, and Knut</w:t>
      </w:r>
      <w:r>
        <w:rPr>
          <w:rFonts w:ascii="Gill Sans MT"/>
          <w:color w:val="231F20"/>
          <w:spacing w:val="-6"/>
          <w:w w:val="110"/>
          <w:sz w:val="18"/>
        </w:rPr>
        <w:t xml:space="preserve"> </w:t>
      </w:r>
      <w:r>
        <w:rPr>
          <w:rFonts w:ascii="Gill Sans MT"/>
          <w:color w:val="231F20"/>
          <w:w w:val="110"/>
          <w:sz w:val="18"/>
        </w:rPr>
        <w:t>Folkerts.</w:t>
      </w:r>
    </w:p>
    <w:p w14:paraId="377B6E67" w14:textId="77777777" w:rsidR="002653E8" w:rsidRDefault="002653E8">
      <w:pPr>
        <w:pStyle w:val="a3"/>
        <w:spacing w:before="5"/>
        <w:rPr>
          <w:rFonts w:ascii="Gill Sans MT"/>
        </w:rPr>
      </w:pPr>
    </w:p>
    <w:p w14:paraId="15473BD0" w14:textId="77777777" w:rsidR="002653E8" w:rsidRDefault="003115E3">
      <w:pPr>
        <w:spacing w:before="1"/>
        <w:ind w:left="1147"/>
        <w:rPr>
          <w:rFonts w:ascii="Arial"/>
          <w:b/>
          <w:sz w:val="18"/>
        </w:rPr>
      </w:pPr>
      <w:r>
        <w:rPr>
          <w:rFonts w:ascii="Arial"/>
          <w:b/>
          <w:color w:val="231F20"/>
          <w:w w:val="115"/>
          <w:sz w:val="18"/>
        </w:rPr>
        <w:t>June 22, 1992</w:t>
      </w:r>
    </w:p>
    <w:p w14:paraId="68CE5E98" w14:textId="77777777" w:rsidR="002653E8" w:rsidRDefault="003115E3">
      <w:pPr>
        <w:spacing w:before="34" w:line="276" w:lineRule="auto"/>
        <w:ind w:left="1147"/>
        <w:rPr>
          <w:rFonts w:ascii="Gill Sans MT"/>
          <w:sz w:val="18"/>
        </w:rPr>
      </w:pPr>
      <w:r>
        <w:rPr>
          <w:rFonts w:ascii="Gill Sans MT"/>
          <w:color w:val="231F20"/>
          <w:w w:val="110"/>
          <w:sz w:val="18"/>
        </w:rPr>
        <w:t>The Stuttgart OLG sentences</w:t>
      </w:r>
      <w:r>
        <w:rPr>
          <w:rFonts w:ascii="Gill Sans MT"/>
          <w:color w:val="231F20"/>
          <w:spacing w:val="-40"/>
          <w:w w:val="110"/>
          <w:sz w:val="18"/>
        </w:rPr>
        <w:t xml:space="preserve"> </w:t>
      </w:r>
      <w:r>
        <w:rPr>
          <w:rFonts w:ascii="Gill Sans MT"/>
          <w:color w:val="231F20"/>
          <w:w w:val="110"/>
          <w:sz w:val="18"/>
        </w:rPr>
        <w:t xml:space="preserve">former </w:t>
      </w:r>
      <w:r w:rsidR="00C507A5">
        <w:rPr>
          <w:rFonts w:ascii="Gill Sans MT"/>
          <w:color w:val="231F20"/>
          <w:w w:val="110"/>
          <w:sz w:val="18"/>
        </w:rPr>
        <w:t>red army faction</w:t>
      </w:r>
      <w:r>
        <w:rPr>
          <w:rFonts w:ascii="Gill Sans MT"/>
          <w:color w:val="231F20"/>
          <w:w w:val="110"/>
          <w:sz w:val="18"/>
        </w:rPr>
        <w:t xml:space="preserve"> members Sigrid  Sternebeck and Ralf Baptist Friedrich,</w:t>
      </w:r>
      <w:r>
        <w:rPr>
          <w:rFonts w:ascii="Gill Sans MT"/>
          <w:color w:val="231F20"/>
          <w:spacing w:val="-2"/>
          <w:w w:val="110"/>
          <w:sz w:val="18"/>
        </w:rPr>
        <w:t xml:space="preserve"> </w:t>
      </w:r>
      <w:r>
        <w:rPr>
          <w:rFonts w:ascii="Gill Sans MT"/>
          <w:color w:val="231F20"/>
          <w:w w:val="110"/>
          <w:sz w:val="18"/>
        </w:rPr>
        <w:t>arrested</w:t>
      </w:r>
    </w:p>
    <w:p w14:paraId="500FEAB9" w14:textId="77777777" w:rsidR="002653E8" w:rsidRDefault="003115E3">
      <w:pPr>
        <w:spacing w:before="92" w:line="276" w:lineRule="auto"/>
        <w:ind w:left="207" w:right="1643"/>
        <w:jc w:val="both"/>
        <w:rPr>
          <w:rFonts w:ascii="Gill Sans MT"/>
          <w:sz w:val="18"/>
        </w:rPr>
      </w:pPr>
      <w:r>
        <w:br w:type="column"/>
      </w:r>
      <w:r>
        <w:rPr>
          <w:rFonts w:ascii="Gill Sans MT"/>
          <w:color w:val="231F20"/>
          <w:w w:val="110"/>
          <w:sz w:val="18"/>
        </w:rPr>
        <w:t>in the former GdR, to eight-anda-half and six-and-a-half years in prison, respectively.</w:t>
      </w:r>
    </w:p>
    <w:p w14:paraId="0DAC9E91" w14:textId="77777777" w:rsidR="002653E8" w:rsidRDefault="002653E8">
      <w:pPr>
        <w:pStyle w:val="a3"/>
        <w:spacing w:before="7"/>
        <w:rPr>
          <w:rFonts w:ascii="Gill Sans MT"/>
        </w:rPr>
      </w:pPr>
    </w:p>
    <w:p w14:paraId="324BCE9C" w14:textId="77777777" w:rsidR="002653E8" w:rsidRDefault="003115E3">
      <w:pPr>
        <w:ind w:left="207"/>
        <w:rPr>
          <w:rFonts w:ascii="Arial"/>
          <w:b/>
          <w:sz w:val="18"/>
        </w:rPr>
      </w:pPr>
      <w:r>
        <w:rPr>
          <w:rFonts w:ascii="Arial"/>
          <w:b/>
          <w:color w:val="231F20"/>
          <w:w w:val="115"/>
          <w:sz w:val="18"/>
        </w:rPr>
        <w:t>June 29, 1992</w:t>
      </w:r>
    </w:p>
    <w:p w14:paraId="2141F76A" w14:textId="77777777" w:rsidR="002653E8" w:rsidRDefault="003115E3">
      <w:pPr>
        <w:spacing w:before="34" w:line="276" w:lineRule="auto"/>
        <w:ind w:left="207" w:right="1661" w:hanging="1"/>
        <w:rPr>
          <w:rFonts w:ascii="Gill Sans MT"/>
          <w:sz w:val="18"/>
        </w:rPr>
      </w:pPr>
      <w:r>
        <w:rPr>
          <w:rFonts w:ascii="Gill Sans MT"/>
          <w:color w:val="231F20"/>
          <w:w w:val="115"/>
          <w:sz w:val="18"/>
        </w:rPr>
        <w:t xml:space="preserve">The </w:t>
      </w:r>
      <w:r w:rsidR="00C507A5">
        <w:rPr>
          <w:rFonts w:ascii="Gill Sans MT"/>
          <w:color w:val="231F20"/>
          <w:w w:val="115"/>
          <w:sz w:val="18"/>
        </w:rPr>
        <w:t>red army faction</w:t>
      </w:r>
      <w:r>
        <w:rPr>
          <w:rFonts w:ascii="Gill Sans MT"/>
          <w:color w:val="231F20"/>
          <w:w w:val="115"/>
          <w:sz w:val="18"/>
        </w:rPr>
        <w:t xml:space="preserve"> releases a statement expressing their solidarity with protests being planned for the IMF</w:t>
      </w:r>
      <w:r>
        <w:rPr>
          <w:rFonts w:ascii="Gill Sans MT"/>
          <w:color w:val="231F20"/>
          <w:spacing w:val="-34"/>
          <w:w w:val="115"/>
          <w:sz w:val="18"/>
        </w:rPr>
        <w:t xml:space="preserve"> </w:t>
      </w:r>
      <w:r>
        <w:rPr>
          <w:rFonts w:ascii="Gill Sans MT"/>
          <w:color w:val="231F20"/>
          <w:spacing w:val="-3"/>
          <w:w w:val="115"/>
          <w:sz w:val="18"/>
        </w:rPr>
        <w:t>World</w:t>
      </w:r>
      <w:r>
        <w:rPr>
          <w:rFonts w:ascii="Gill Sans MT"/>
          <w:color w:val="231F20"/>
          <w:spacing w:val="-34"/>
          <w:w w:val="115"/>
          <w:sz w:val="18"/>
        </w:rPr>
        <w:t xml:space="preserve"> </w:t>
      </w:r>
      <w:r>
        <w:rPr>
          <w:rFonts w:ascii="Gill Sans MT"/>
          <w:color w:val="231F20"/>
          <w:w w:val="115"/>
          <w:sz w:val="18"/>
        </w:rPr>
        <w:t>Economic</w:t>
      </w:r>
      <w:r>
        <w:rPr>
          <w:rFonts w:ascii="Gill Sans MT"/>
          <w:color w:val="231F20"/>
          <w:spacing w:val="-34"/>
          <w:w w:val="115"/>
          <w:sz w:val="18"/>
        </w:rPr>
        <w:t xml:space="preserve"> </w:t>
      </w:r>
      <w:r>
        <w:rPr>
          <w:rFonts w:ascii="Gill Sans MT"/>
          <w:color w:val="231F20"/>
          <w:w w:val="115"/>
          <w:sz w:val="18"/>
        </w:rPr>
        <w:t>Summit</w:t>
      </w:r>
      <w:r>
        <w:rPr>
          <w:rFonts w:ascii="Gill Sans MT"/>
          <w:color w:val="231F20"/>
          <w:spacing w:val="-34"/>
          <w:w w:val="115"/>
          <w:sz w:val="18"/>
        </w:rPr>
        <w:t xml:space="preserve"> </w:t>
      </w:r>
      <w:r>
        <w:rPr>
          <w:rFonts w:ascii="Gill Sans MT"/>
          <w:color w:val="231F20"/>
          <w:w w:val="115"/>
          <w:sz w:val="18"/>
        </w:rPr>
        <w:t>to take</w:t>
      </w:r>
      <w:r>
        <w:rPr>
          <w:rFonts w:ascii="Gill Sans MT"/>
          <w:color w:val="231F20"/>
          <w:spacing w:val="-15"/>
          <w:w w:val="115"/>
          <w:sz w:val="18"/>
        </w:rPr>
        <w:t xml:space="preserve"> </w:t>
      </w:r>
      <w:r>
        <w:rPr>
          <w:rFonts w:ascii="Gill Sans MT"/>
          <w:color w:val="231F20"/>
          <w:w w:val="115"/>
          <w:sz w:val="18"/>
        </w:rPr>
        <w:t>place</w:t>
      </w:r>
      <w:r>
        <w:rPr>
          <w:rFonts w:ascii="Gill Sans MT"/>
          <w:color w:val="231F20"/>
          <w:spacing w:val="-15"/>
          <w:w w:val="115"/>
          <w:sz w:val="18"/>
        </w:rPr>
        <w:t xml:space="preserve"> </w:t>
      </w:r>
      <w:r>
        <w:rPr>
          <w:rFonts w:ascii="Gill Sans MT"/>
          <w:color w:val="231F20"/>
          <w:w w:val="115"/>
          <w:sz w:val="18"/>
        </w:rPr>
        <w:t>in</w:t>
      </w:r>
      <w:r>
        <w:rPr>
          <w:rFonts w:ascii="Gill Sans MT"/>
          <w:color w:val="231F20"/>
          <w:spacing w:val="-15"/>
          <w:w w:val="115"/>
          <w:sz w:val="18"/>
        </w:rPr>
        <w:t xml:space="preserve"> </w:t>
      </w:r>
      <w:r>
        <w:rPr>
          <w:rFonts w:ascii="Gill Sans MT"/>
          <w:color w:val="231F20"/>
          <w:w w:val="115"/>
          <w:sz w:val="18"/>
        </w:rPr>
        <w:t>Munich</w:t>
      </w:r>
      <w:r>
        <w:rPr>
          <w:rFonts w:ascii="Gill Sans MT"/>
          <w:color w:val="231F20"/>
          <w:spacing w:val="-15"/>
          <w:w w:val="115"/>
          <w:sz w:val="18"/>
        </w:rPr>
        <w:t xml:space="preserve"> </w:t>
      </w:r>
      <w:r>
        <w:rPr>
          <w:rFonts w:ascii="Gill Sans MT"/>
          <w:color w:val="231F20"/>
          <w:w w:val="115"/>
          <w:sz w:val="18"/>
        </w:rPr>
        <w:t>from</w:t>
      </w:r>
      <w:r>
        <w:rPr>
          <w:rFonts w:ascii="Gill Sans MT"/>
          <w:color w:val="231F20"/>
          <w:spacing w:val="-15"/>
          <w:w w:val="115"/>
          <w:sz w:val="18"/>
        </w:rPr>
        <w:t xml:space="preserve"> </w:t>
      </w:r>
      <w:r>
        <w:rPr>
          <w:rFonts w:ascii="Gill Sans MT"/>
          <w:color w:val="231F20"/>
          <w:w w:val="115"/>
          <w:sz w:val="18"/>
        </w:rPr>
        <w:t>July</w:t>
      </w:r>
      <w:r>
        <w:rPr>
          <w:rFonts w:ascii="Gill Sans MT"/>
          <w:color w:val="231F20"/>
          <w:spacing w:val="-15"/>
          <w:w w:val="115"/>
          <w:sz w:val="18"/>
        </w:rPr>
        <w:t xml:space="preserve"> </w:t>
      </w:r>
      <w:r>
        <w:rPr>
          <w:rFonts w:ascii="Arial"/>
          <w:color w:val="231F20"/>
          <w:w w:val="115"/>
          <w:sz w:val="18"/>
        </w:rPr>
        <w:t xml:space="preserve">6 </w:t>
      </w:r>
      <w:r>
        <w:rPr>
          <w:rFonts w:ascii="Gill Sans MT"/>
          <w:color w:val="231F20"/>
          <w:w w:val="115"/>
          <w:sz w:val="18"/>
        </w:rPr>
        <w:t>to</w:t>
      </w:r>
      <w:r>
        <w:rPr>
          <w:rFonts w:ascii="Gill Sans MT"/>
          <w:color w:val="231F20"/>
          <w:spacing w:val="-14"/>
          <w:w w:val="115"/>
          <w:sz w:val="18"/>
        </w:rPr>
        <w:t xml:space="preserve"> </w:t>
      </w:r>
      <w:r>
        <w:rPr>
          <w:rFonts w:ascii="Gill Sans MT"/>
          <w:color w:val="231F20"/>
          <w:w w:val="115"/>
          <w:sz w:val="18"/>
        </w:rPr>
        <w:t>July</w:t>
      </w:r>
      <w:r>
        <w:rPr>
          <w:rFonts w:ascii="Gill Sans MT"/>
          <w:color w:val="231F20"/>
          <w:spacing w:val="-14"/>
          <w:w w:val="115"/>
          <w:sz w:val="18"/>
        </w:rPr>
        <w:t xml:space="preserve"> </w:t>
      </w:r>
      <w:r>
        <w:rPr>
          <w:rFonts w:ascii="Arial"/>
          <w:color w:val="231F20"/>
          <w:w w:val="115"/>
          <w:sz w:val="18"/>
        </w:rPr>
        <w:t>8</w:t>
      </w:r>
      <w:r>
        <w:rPr>
          <w:rFonts w:ascii="Gill Sans MT"/>
          <w:color w:val="231F20"/>
          <w:w w:val="115"/>
          <w:sz w:val="18"/>
        </w:rPr>
        <w:t>.</w:t>
      </w:r>
      <w:r>
        <w:rPr>
          <w:rFonts w:ascii="Gill Sans MT"/>
          <w:color w:val="231F20"/>
          <w:spacing w:val="-14"/>
          <w:w w:val="115"/>
          <w:sz w:val="18"/>
        </w:rPr>
        <w:t xml:space="preserve"> </w:t>
      </w:r>
      <w:r>
        <w:rPr>
          <w:rFonts w:ascii="Gill Sans MT"/>
          <w:color w:val="231F20"/>
          <w:w w:val="115"/>
          <w:sz w:val="18"/>
        </w:rPr>
        <w:t>In</w:t>
      </w:r>
      <w:r>
        <w:rPr>
          <w:rFonts w:ascii="Gill Sans MT"/>
          <w:color w:val="231F20"/>
          <w:spacing w:val="-14"/>
          <w:w w:val="115"/>
          <w:sz w:val="18"/>
        </w:rPr>
        <w:t xml:space="preserve"> </w:t>
      </w:r>
      <w:r>
        <w:rPr>
          <w:rFonts w:ascii="Gill Sans MT"/>
          <w:color w:val="231F20"/>
          <w:w w:val="115"/>
          <w:sz w:val="18"/>
        </w:rPr>
        <w:t>the</w:t>
      </w:r>
      <w:r>
        <w:rPr>
          <w:rFonts w:ascii="Gill Sans MT"/>
          <w:color w:val="231F20"/>
          <w:spacing w:val="-14"/>
          <w:w w:val="115"/>
          <w:sz w:val="18"/>
        </w:rPr>
        <w:t xml:space="preserve"> </w:t>
      </w:r>
      <w:r>
        <w:rPr>
          <w:rFonts w:ascii="Gill Sans MT"/>
          <w:color w:val="231F20"/>
          <w:w w:val="115"/>
          <w:sz w:val="18"/>
        </w:rPr>
        <w:t>document,</w:t>
      </w:r>
      <w:r>
        <w:rPr>
          <w:rFonts w:ascii="Gill Sans MT"/>
          <w:color w:val="231F20"/>
          <w:spacing w:val="-14"/>
          <w:w w:val="115"/>
          <w:sz w:val="18"/>
        </w:rPr>
        <w:t xml:space="preserve"> </w:t>
      </w:r>
      <w:r>
        <w:rPr>
          <w:rFonts w:ascii="Gill Sans MT"/>
          <w:color w:val="231F20"/>
          <w:w w:val="115"/>
          <w:sz w:val="18"/>
        </w:rPr>
        <w:t xml:space="preserve">also sometimes known as the June </w:t>
      </w:r>
      <w:r>
        <w:rPr>
          <w:rFonts w:ascii="Gill Sans MT"/>
          <w:color w:val="231F20"/>
          <w:spacing w:val="-3"/>
          <w:w w:val="115"/>
          <w:sz w:val="18"/>
        </w:rPr>
        <w:t>Paper,</w:t>
      </w:r>
      <w:r>
        <w:rPr>
          <w:rFonts w:ascii="Gill Sans MT"/>
          <w:color w:val="231F20"/>
          <w:spacing w:val="-23"/>
          <w:w w:val="115"/>
          <w:sz w:val="18"/>
        </w:rPr>
        <w:t xml:space="preserve"> </w:t>
      </w:r>
      <w:r>
        <w:rPr>
          <w:rFonts w:ascii="Gill Sans MT"/>
          <w:color w:val="231F20"/>
          <w:w w:val="115"/>
          <w:sz w:val="18"/>
        </w:rPr>
        <w:t>the</w:t>
      </w:r>
      <w:r>
        <w:rPr>
          <w:rFonts w:ascii="Gill Sans MT"/>
          <w:color w:val="231F20"/>
          <w:spacing w:val="-23"/>
          <w:w w:val="115"/>
          <w:sz w:val="18"/>
        </w:rPr>
        <w:t xml:space="preserve"> </w:t>
      </w:r>
      <w:r w:rsidR="00C507A5">
        <w:rPr>
          <w:rFonts w:ascii="Gill Sans MT"/>
          <w:color w:val="231F20"/>
          <w:w w:val="115"/>
          <w:sz w:val="18"/>
        </w:rPr>
        <w:t>red army faction</w:t>
      </w:r>
      <w:r>
        <w:rPr>
          <w:rFonts w:ascii="Gill Sans MT"/>
          <w:color w:val="231F20"/>
          <w:spacing w:val="-23"/>
          <w:w w:val="115"/>
          <w:sz w:val="18"/>
        </w:rPr>
        <w:t xml:space="preserve"> </w:t>
      </w:r>
      <w:r>
        <w:rPr>
          <w:rFonts w:ascii="Gill Sans MT"/>
          <w:color w:val="231F20"/>
          <w:w w:val="115"/>
          <w:sz w:val="18"/>
        </w:rPr>
        <w:t>also</w:t>
      </w:r>
      <w:r>
        <w:rPr>
          <w:rFonts w:ascii="Gill Sans MT"/>
          <w:color w:val="231F20"/>
          <w:spacing w:val="-23"/>
          <w:w w:val="115"/>
          <w:sz w:val="18"/>
        </w:rPr>
        <w:t xml:space="preserve"> </w:t>
      </w:r>
      <w:r>
        <w:rPr>
          <w:rFonts w:ascii="Gill Sans MT"/>
          <w:color w:val="231F20"/>
          <w:w w:val="115"/>
          <w:sz w:val="18"/>
        </w:rPr>
        <w:t>reaffirms</w:t>
      </w:r>
      <w:r>
        <w:rPr>
          <w:rFonts w:ascii="Gill Sans MT"/>
          <w:color w:val="231F20"/>
          <w:spacing w:val="-23"/>
          <w:w w:val="115"/>
          <w:sz w:val="18"/>
        </w:rPr>
        <w:t xml:space="preserve"> </w:t>
      </w:r>
      <w:r>
        <w:rPr>
          <w:rFonts w:ascii="Gill Sans MT"/>
          <w:color w:val="231F20"/>
          <w:w w:val="115"/>
          <w:sz w:val="18"/>
        </w:rPr>
        <w:t>its April</w:t>
      </w:r>
      <w:r>
        <w:rPr>
          <w:rFonts w:ascii="Gill Sans MT"/>
          <w:color w:val="231F20"/>
          <w:spacing w:val="-10"/>
          <w:w w:val="115"/>
          <w:sz w:val="18"/>
        </w:rPr>
        <w:t xml:space="preserve"> </w:t>
      </w:r>
      <w:r>
        <w:rPr>
          <w:rFonts w:ascii="Gill Sans MT"/>
          <w:color w:val="231F20"/>
          <w:w w:val="115"/>
          <w:sz w:val="18"/>
        </w:rPr>
        <w:t>de-escalation.</w:t>
      </w:r>
    </w:p>
    <w:p w14:paraId="7ABD4E95" w14:textId="77777777" w:rsidR="002653E8" w:rsidRDefault="002653E8">
      <w:pPr>
        <w:pStyle w:val="a3"/>
        <w:spacing w:before="3"/>
        <w:rPr>
          <w:rFonts w:ascii="Gill Sans MT"/>
        </w:rPr>
      </w:pPr>
    </w:p>
    <w:p w14:paraId="4B7CA95B" w14:textId="77777777" w:rsidR="002653E8" w:rsidRDefault="003115E3">
      <w:pPr>
        <w:ind w:left="207"/>
        <w:rPr>
          <w:rFonts w:ascii="Arial" w:hAnsi="Arial"/>
          <w:b/>
          <w:sz w:val="18"/>
        </w:rPr>
      </w:pPr>
      <w:r>
        <w:rPr>
          <w:rFonts w:ascii="Arial" w:hAnsi="Arial"/>
          <w:b/>
          <w:color w:val="231F20"/>
          <w:w w:val="115"/>
          <w:sz w:val="18"/>
        </w:rPr>
        <w:t>July 6–8, 1992</w:t>
      </w:r>
    </w:p>
    <w:p w14:paraId="0879F263" w14:textId="77777777" w:rsidR="002653E8" w:rsidRDefault="003115E3">
      <w:pPr>
        <w:spacing w:before="35" w:line="276" w:lineRule="auto"/>
        <w:ind w:left="207" w:right="1397"/>
        <w:rPr>
          <w:rFonts w:ascii="Gill Sans MT"/>
          <w:sz w:val="18"/>
        </w:rPr>
      </w:pPr>
      <w:r>
        <w:rPr>
          <w:rFonts w:ascii="Gill Sans MT"/>
          <w:color w:val="231F20"/>
          <w:w w:val="110"/>
          <w:sz w:val="18"/>
        </w:rPr>
        <w:t>Extremely violent protests</w:t>
      </w:r>
      <w:r>
        <w:rPr>
          <w:rFonts w:ascii="Gill Sans MT"/>
          <w:color w:val="231F20"/>
          <w:spacing w:val="-11"/>
          <w:w w:val="110"/>
          <w:sz w:val="18"/>
        </w:rPr>
        <w:t xml:space="preserve"> </w:t>
      </w:r>
      <w:r>
        <w:rPr>
          <w:rFonts w:ascii="Gill Sans MT"/>
          <w:color w:val="231F20"/>
          <w:w w:val="110"/>
          <w:sz w:val="18"/>
        </w:rPr>
        <w:t xml:space="preserve">involving </w:t>
      </w:r>
      <w:r>
        <w:rPr>
          <w:rFonts w:ascii="Gill Sans MT"/>
          <w:color w:val="231F20"/>
          <w:w w:val="115"/>
          <w:sz w:val="18"/>
        </w:rPr>
        <w:t>tens of thousands of people greet the</w:t>
      </w:r>
      <w:r>
        <w:rPr>
          <w:rFonts w:ascii="Gill Sans MT"/>
          <w:color w:val="231F20"/>
          <w:spacing w:val="-31"/>
          <w:w w:val="115"/>
          <w:sz w:val="18"/>
        </w:rPr>
        <w:t xml:space="preserve"> </w:t>
      </w:r>
      <w:r>
        <w:rPr>
          <w:rFonts w:ascii="Gill Sans MT"/>
          <w:color w:val="231F20"/>
          <w:w w:val="115"/>
          <w:sz w:val="18"/>
        </w:rPr>
        <w:t>IMF</w:t>
      </w:r>
      <w:r>
        <w:rPr>
          <w:rFonts w:ascii="Gill Sans MT"/>
          <w:color w:val="231F20"/>
          <w:spacing w:val="-31"/>
          <w:w w:val="115"/>
          <w:sz w:val="18"/>
        </w:rPr>
        <w:t xml:space="preserve"> </w:t>
      </w:r>
      <w:r>
        <w:rPr>
          <w:rFonts w:ascii="Gill Sans MT"/>
          <w:color w:val="231F20"/>
          <w:spacing w:val="-3"/>
          <w:w w:val="115"/>
          <w:sz w:val="18"/>
        </w:rPr>
        <w:t>World</w:t>
      </w:r>
      <w:r>
        <w:rPr>
          <w:rFonts w:ascii="Gill Sans MT"/>
          <w:color w:val="231F20"/>
          <w:spacing w:val="-31"/>
          <w:w w:val="115"/>
          <w:sz w:val="18"/>
        </w:rPr>
        <w:t xml:space="preserve"> </w:t>
      </w:r>
      <w:r>
        <w:rPr>
          <w:rFonts w:ascii="Gill Sans MT"/>
          <w:color w:val="231F20"/>
          <w:w w:val="115"/>
          <w:sz w:val="18"/>
        </w:rPr>
        <w:t>Economic</w:t>
      </w:r>
      <w:r>
        <w:rPr>
          <w:rFonts w:ascii="Gill Sans MT"/>
          <w:color w:val="231F20"/>
          <w:spacing w:val="-31"/>
          <w:w w:val="115"/>
          <w:sz w:val="18"/>
        </w:rPr>
        <w:t xml:space="preserve"> </w:t>
      </w:r>
      <w:r>
        <w:rPr>
          <w:rFonts w:ascii="Gill Sans MT"/>
          <w:color w:val="231F20"/>
          <w:w w:val="115"/>
          <w:sz w:val="18"/>
        </w:rPr>
        <w:t>Summit</w:t>
      </w:r>
      <w:r>
        <w:rPr>
          <w:rFonts w:ascii="Gill Sans MT"/>
          <w:color w:val="231F20"/>
          <w:spacing w:val="-31"/>
          <w:w w:val="115"/>
          <w:sz w:val="18"/>
        </w:rPr>
        <w:t xml:space="preserve"> </w:t>
      </w:r>
      <w:r>
        <w:rPr>
          <w:rFonts w:ascii="Gill Sans MT"/>
          <w:color w:val="231F20"/>
          <w:w w:val="115"/>
          <w:sz w:val="18"/>
        </w:rPr>
        <w:t>in Munich.</w:t>
      </w:r>
    </w:p>
    <w:p w14:paraId="495469C6" w14:textId="77777777" w:rsidR="002653E8" w:rsidRDefault="002653E8">
      <w:pPr>
        <w:pStyle w:val="a3"/>
        <w:spacing w:before="6"/>
        <w:rPr>
          <w:rFonts w:ascii="Gill Sans MT"/>
        </w:rPr>
      </w:pPr>
    </w:p>
    <w:p w14:paraId="466AB868" w14:textId="77777777" w:rsidR="002653E8" w:rsidRDefault="003115E3">
      <w:pPr>
        <w:ind w:left="207"/>
        <w:rPr>
          <w:rFonts w:ascii="Arial"/>
          <w:b/>
          <w:sz w:val="18"/>
        </w:rPr>
      </w:pPr>
      <w:r>
        <w:rPr>
          <w:rFonts w:ascii="Arial"/>
          <w:b/>
          <w:color w:val="231F20"/>
          <w:w w:val="115"/>
          <w:sz w:val="18"/>
        </w:rPr>
        <w:t>August 1992</w:t>
      </w:r>
    </w:p>
    <w:p w14:paraId="073141B4" w14:textId="77777777" w:rsidR="002653E8" w:rsidRDefault="003115E3">
      <w:pPr>
        <w:spacing w:before="35" w:line="276" w:lineRule="auto"/>
        <w:ind w:left="207" w:right="1462"/>
        <w:rPr>
          <w:rFonts w:ascii="Gill Sans MT"/>
          <w:sz w:val="18"/>
        </w:rPr>
      </w:pPr>
      <w:r>
        <w:rPr>
          <w:rFonts w:ascii="Gill Sans MT"/>
          <w:color w:val="231F20"/>
          <w:w w:val="110"/>
          <w:sz w:val="18"/>
        </w:rPr>
        <w:t xml:space="preserve">The </w:t>
      </w:r>
      <w:r w:rsidR="00C507A5">
        <w:rPr>
          <w:rFonts w:ascii="Gill Sans MT"/>
          <w:color w:val="231F20"/>
          <w:w w:val="110"/>
          <w:sz w:val="18"/>
        </w:rPr>
        <w:t>red army faction</w:t>
      </w:r>
      <w:r>
        <w:rPr>
          <w:rFonts w:ascii="Gill Sans MT"/>
          <w:color w:val="231F20"/>
          <w:w w:val="110"/>
          <w:sz w:val="18"/>
        </w:rPr>
        <w:t xml:space="preserve"> releases a statement, sometimes known as the August Paper, pronouncing the end of the Front concept first developed in the May Paper of </w:t>
      </w:r>
      <w:r>
        <w:rPr>
          <w:rFonts w:ascii="Arial"/>
          <w:color w:val="231F20"/>
          <w:w w:val="110"/>
          <w:sz w:val="18"/>
        </w:rPr>
        <w:t xml:space="preserve">1982 </w:t>
      </w:r>
      <w:r>
        <w:rPr>
          <w:rFonts w:ascii="Gill Sans MT"/>
          <w:color w:val="231F20"/>
          <w:w w:val="110"/>
          <w:sz w:val="18"/>
        </w:rPr>
        <w:t>and calling for a broad-based discussion to</w:t>
      </w:r>
    </w:p>
    <w:p w14:paraId="07B25AA7" w14:textId="77777777" w:rsidR="002653E8" w:rsidRDefault="003115E3">
      <w:pPr>
        <w:spacing w:line="276" w:lineRule="auto"/>
        <w:ind w:left="207" w:right="1352"/>
        <w:rPr>
          <w:rFonts w:ascii="Gill Sans MT"/>
          <w:sz w:val="18"/>
        </w:rPr>
      </w:pPr>
      <w:r>
        <w:rPr>
          <w:rFonts w:ascii="Gill Sans MT"/>
          <w:color w:val="231F20"/>
          <w:w w:val="110"/>
          <w:sz w:val="18"/>
        </w:rPr>
        <w:t>determine the next step to be taken by the movement.</w:t>
      </w:r>
    </w:p>
    <w:p w14:paraId="604C7E5A" w14:textId="77777777" w:rsidR="002653E8" w:rsidRDefault="002653E8">
      <w:pPr>
        <w:pStyle w:val="a3"/>
        <w:spacing w:before="4"/>
        <w:rPr>
          <w:rFonts w:ascii="Gill Sans MT"/>
        </w:rPr>
      </w:pPr>
    </w:p>
    <w:p w14:paraId="719819AF" w14:textId="77777777" w:rsidR="002653E8" w:rsidRDefault="003115E3">
      <w:pPr>
        <w:ind w:left="207"/>
        <w:rPr>
          <w:rFonts w:ascii="Arial"/>
          <w:b/>
          <w:sz w:val="18"/>
        </w:rPr>
      </w:pPr>
      <w:r>
        <w:rPr>
          <w:rFonts w:ascii="Arial"/>
          <w:b/>
          <w:color w:val="231F20"/>
          <w:w w:val="115"/>
          <w:sz w:val="18"/>
        </w:rPr>
        <w:t>August 26, 1992</w:t>
      </w:r>
    </w:p>
    <w:p w14:paraId="731E4A5A" w14:textId="77777777" w:rsidR="002653E8" w:rsidRDefault="003115E3">
      <w:pPr>
        <w:spacing w:before="35" w:line="276" w:lineRule="auto"/>
        <w:ind w:left="207" w:right="1322" w:hanging="1"/>
        <w:rPr>
          <w:rFonts w:ascii="Gill Sans MT"/>
          <w:sz w:val="18"/>
        </w:rPr>
      </w:pPr>
      <w:r>
        <w:rPr>
          <w:rFonts w:ascii="Gill Sans MT"/>
          <w:color w:val="231F20"/>
          <w:w w:val="110"/>
          <w:sz w:val="18"/>
        </w:rPr>
        <w:t xml:space="preserve">The Koblenz OLG sentences former </w:t>
      </w:r>
      <w:r w:rsidR="00C507A5">
        <w:rPr>
          <w:rFonts w:ascii="Gill Sans MT"/>
          <w:color w:val="231F20"/>
          <w:w w:val="110"/>
          <w:sz w:val="18"/>
        </w:rPr>
        <w:t>red army faction</w:t>
      </w:r>
      <w:r>
        <w:rPr>
          <w:rFonts w:ascii="Gill Sans MT"/>
          <w:color w:val="231F20"/>
          <w:w w:val="110"/>
          <w:sz w:val="18"/>
        </w:rPr>
        <w:t xml:space="preserve"> member Inge Viett, arrested</w:t>
      </w:r>
    </w:p>
    <w:p w14:paraId="6C176198" w14:textId="77777777" w:rsidR="002653E8" w:rsidRDefault="003115E3">
      <w:pPr>
        <w:spacing w:line="276" w:lineRule="auto"/>
        <w:ind w:left="207" w:right="1661"/>
        <w:rPr>
          <w:rFonts w:ascii="Gill Sans MT"/>
          <w:sz w:val="18"/>
        </w:rPr>
      </w:pPr>
      <w:r>
        <w:rPr>
          <w:rFonts w:ascii="Gill Sans MT"/>
          <w:color w:val="231F20"/>
          <w:w w:val="110"/>
          <w:sz w:val="18"/>
        </w:rPr>
        <w:t>in the former East Germany, to thirteen years in prison.</w:t>
      </w:r>
    </w:p>
    <w:p w14:paraId="5807EAA5" w14:textId="77777777" w:rsidR="002653E8" w:rsidRDefault="002653E8">
      <w:pPr>
        <w:pStyle w:val="a3"/>
        <w:spacing w:before="6"/>
        <w:rPr>
          <w:rFonts w:ascii="Gill Sans MT"/>
        </w:rPr>
      </w:pPr>
    </w:p>
    <w:p w14:paraId="42C1A178" w14:textId="77777777" w:rsidR="002653E8" w:rsidRDefault="003115E3">
      <w:pPr>
        <w:ind w:left="207"/>
        <w:rPr>
          <w:rFonts w:ascii="Arial"/>
          <w:b/>
          <w:sz w:val="18"/>
        </w:rPr>
      </w:pPr>
      <w:r>
        <w:rPr>
          <w:rFonts w:ascii="Arial"/>
          <w:b/>
          <w:color w:val="231F20"/>
          <w:w w:val="115"/>
          <w:sz w:val="18"/>
        </w:rPr>
        <w:t>September 30, 1992</w:t>
      </w:r>
    </w:p>
    <w:p w14:paraId="195C5728" w14:textId="77777777" w:rsidR="002653E8" w:rsidRDefault="003115E3">
      <w:pPr>
        <w:spacing w:before="28" w:line="276" w:lineRule="auto"/>
        <w:ind w:left="207" w:right="1559"/>
        <w:jc w:val="both"/>
        <w:rPr>
          <w:rFonts w:ascii="Gill Sans MT"/>
          <w:sz w:val="18"/>
        </w:rPr>
      </w:pPr>
      <w:r>
        <w:rPr>
          <w:rFonts w:ascii="Gill Sans MT"/>
          <w:color w:val="231F20"/>
          <w:w w:val="110"/>
          <w:sz w:val="18"/>
        </w:rPr>
        <w:t>The</w:t>
      </w:r>
      <w:r>
        <w:rPr>
          <w:rFonts w:ascii="Gill Sans MT"/>
          <w:color w:val="231F20"/>
          <w:spacing w:val="-34"/>
          <w:w w:val="110"/>
          <w:sz w:val="18"/>
        </w:rPr>
        <w:t xml:space="preserve"> </w:t>
      </w:r>
      <w:r w:rsidR="00C507A5">
        <w:rPr>
          <w:rFonts w:ascii="Gill Sans MT"/>
          <w:color w:val="231F20"/>
          <w:w w:val="110"/>
          <w:sz w:val="18"/>
        </w:rPr>
        <w:t>red army faction</w:t>
      </w:r>
      <w:r>
        <w:rPr>
          <w:rFonts w:ascii="Gill Sans MT"/>
          <w:color w:val="231F20"/>
          <w:spacing w:val="-34"/>
          <w:w w:val="110"/>
          <w:sz w:val="18"/>
        </w:rPr>
        <w:t xml:space="preserve"> </w:t>
      </w:r>
      <w:r>
        <w:rPr>
          <w:rFonts w:ascii="Gill Sans MT"/>
          <w:color w:val="231F20"/>
          <w:w w:val="110"/>
          <w:sz w:val="18"/>
        </w:rPr>
        <w:t>writes</w:t>
      </w:r>
      <w:r>
        <w:rPr>
          <w:rFonts w:ascii="Gill Sans MT"/>
          <w:color w:val="231F20"/>
          <w:spacing w:val="-34"/>
          <w:w w:val="110"/>
          <w:sz w:val="18"/>
        </w:rPr>
        <w:t xml:space="preserve"> </w:t>
      </w:r>
      <w:r>
        <w:rPr>
          <w:rFonts w:ascii="Gill Sans MT"/>
          <w:color w:val="231F20"/>
          <w:w w:val="110"/>
          <w:sz w:val="18"/>
        </w:rPr>
        <w:t>a</w:t>
      </w:r>
      <w:r>
        <w:rPr>
          <w:rFonts w:ascii="Gill Sans MT"/>
          <w:color w:val="231F20"/>
          <w:spacing w:val="-34"/>
          <w:w w:val="110"/>
          <w:sz w:val="18"/>
        </w:rPr>
        <w:t xml:space="preserve"> </w:t>
      </w:r>
      <w:r>
        <w:rPr>
          <w:rFonts w:ascii="Gill Sans MT"/>
          <w:color w:val="231F20"/>
          <w:w w:val="110"/>
          <w:sz w:val="18"/>
        </w:rPr>
        <w:t>letter</w:t>
      </w:r>
      <w:r>
        <w:rPr>
          <w:rFonts w:ascii="Gill Sans MT"/>
          <w:color w:val="231F20"/>
          <w:spacing w:val="-34"/>
          <w:w w:val="110"/>
          <w:sz w:val="18"/>
        </w:rPr>
        <w:t xml:space="preserve"> </w:t>
      </w:r>
      <w:r>
        <w:rPr>
          <w:rFonts w:ascii="Gill Sans MT"/>
          <w:color w:val="231F20"/>
          <w:w w:val="110"/>
          <w:sz w:val="18"/>
        </w:rPr>
        <w:t>to</w:t>
      </w:r>
      <w:r>
        <w:rPr>
          <w:rFonts w:ascii="Gill Sans MT"/>
          <w:color w:val="231F20"/>
          <w:spacing w:val="-34"/>
          <w:w w:val="110"/>
          <w:sz w:val="18"/>
        </w:rPr>
        <w:t xml:space="preserve"> </w:t>
      </w:r>
      <w:r>
        <w:rPr>
          <w:rFonts w:ascii="Lucida Sans"/>
          <w:i/>
          <w:color w:val="231F20"/>
          <w:w w:val="110"/>
          <w:sz w:val="18"/>
        </w:rPr>
        <w:t>konkret</w:t>
      </w:r>
      <w:r>
        <w:rPr>
          <w:rFonts w:ascii="Lucida Sans"/>
          <w:i/>
          <w:color w:val="231F20"/>
          <w:w w:val="99"/>
          <w:sz w:val="18"/>
        </w:rPr>
        <w:t xml:space="preserve"> </w:t>
      </w:r>
      <w:r>
        <w:rPr>
          <w:rFonts w:ascii="Gill Sans MT"/>
          <w:color w:val="231F20"/>
          <w:w w:val="110"/>
          <w:sz w:val="18"/>
        </w:rPr>
        <w:t xml:space="preserve">regarding the June interview with the </w:t>
      </w:r>
      <w:r w:rsidR="00C507A5">
        <w:rPr>
          <w:rFonts w:ascii="Gill Sans MT"/>
          <w:color w:val="231F20"/>
          <w:w w:val="110"/>
          <w:sz w:val="18"/>
        </w:rPr>
        <w:t>red army faction</w:t>
      </w:r>
      <w:r>
        <w:rPr>
          <w:rFonts w:ascii="Gill Sans MT"/>
          <w:color w:val="231F20"/>
          <w:w w:val="110"/>
          <w:sz w:val="18"/>
        </w:rPr>
        <w:t xml:space="preserve"> prisoners in</w:t>
      </w:r>
      <w:r>
        <w:rPr>
          <w:rFonts w:ascii="Gill Sans MT"/>
          <w:color w:val="231F20"/>
          <w:spacing w:val="-24"/>
          <w:w w:val="110"/>
          <w:sz w:val="18"/>
        </w:rPr>
        <w:t xml:space="preserve"> </w:t>
      </w:r>
      <w:r>
        <w:rPr>
          <w:rFonts w:ascii="Gill Sans MT"/>
          <w:color w:val="231F20"/>
          <w:w w:val="110"/>
          <w:sz w:val="18"/>
        </w:rPr>
        <w:t>Celle.</w:t>
      </w:r>
    </w:p>
    <w:p w14:paraId="068855DA" w14:textId="77777777" w:rsidR="002653E8" w:rsidRDefault="002653E8">
      <w:pPr>
        <w:spacing w:line="276" w:lineRule="auto"/>
        <w:jc w:val="both"/>
        <w:rPr>
          <w:rFonts w:ascii="Gill Sans MT"/>
          <w:sz w:val="18"/>
        </w:rPr>
        <w:sectPr w:rsidR="002653E8">
          <w:footerReference w:type="default" r:id="rId537"/>
          <w:pgSz w:w="8640" w:h="12960"/>
          <w:pgMar w:top="1060" w:right="0" w:bottom="280" w:left="0" w:header="0" w:footer="0" w:gutter="0"/>
          <w:cols w:num="2" w:space="720" w:equalWidth="0">
            <w:col w:w="4103" w:space="40"/>
            <w:col w:w="4497"/>
          </w:cols>
        </w:sectPr>
      </w:pPr>
    </w:p>
    <w:p w14:paraId="37524824" w14:textId="77777777" w:rsidR="002653E8" w:rsidRDefault="002653E8">
      <w:pPr>
        <w:pStyle w:val="a3"/>
        <w:rPr>
          <w:rFonts w:ascii="Gill Sans MT"/>
        </w:rPr>
      </w:pPr>
    </w:p>
    <w:p w14:paraId="6AA64C8A" w14:textId="77777777" w:rsidR="002653E8" w:rsidRDefault="002653E8">
      <w:pPr>
        <w:pStyle w:val="a3"/>
        <w:rPr>
          <w:rFonts w:ascii="Gill Sans MT"/>
        </w:rPr>
      </w:pPr>
    </w:p>
    <w:p w14:paraId="08D34492" w14:textId="77777777" w:rsidR="002653E8" w:rsidRDefault="002653E8">
      <w:pPr>
        <w:pStyle w:val="a3"/>
        <w:spacing w:before="6"/>
        <w:rPr>
          <w:rFonts w:ascii="Gill Sans MT"/>
          <w:sz w:val="18"/>
        </w:rPr>
      </w:pPr>
    </w:p>
    <w:p w14:paraId="2BFA40E0" w14:textId="77777777" w:rsidR="002653E8" w:rsidRDefault="003115E3">
      <w:pPr>
        <w:tabs>
          <w:tab w:val="left" w:pos="3677"/>
        </w:tabs>
        <w:spacing w:line="244" w:lineRule="auto"/>
        <w:ind w:left="5769" w:right="1300" w:hanging="4622"/>
        <w:jc w:val="right"/>
        <w:rPr>
          <w:sz w:val="18"/>
        </w:rPr>
      </w:pPr>
      <w:r>
        <w:rPr>
          <w:color w:val="231F20"/>
          <w:spacing w:val="15"/>
          <w:w w:val="110"/>
          <w:position w:val="5"/>
          <w:sz w:val="18"/>
        </w:rPr>
        <w:t>622</w:t>
      </w:r>
      <w:r>
        <w:rPr>
          <w:color w:val="231F20"/>
          <w:spacing w:val="15"/>
          <w:w w:val="110"/>
          <w:position w:val="5"/>
          <w:sz w:val="18"/>
        </w:rPr>
        <w:tab/>
      </w:r>
      <w:r>
        <w:rPr>
          <w:color w:val="231F20"/>
          <w:spacing w:val="20"/>
          <w:w w:val="110"/>
          <w:sz w:val="18"/>
        </w:rPr>
        <w:t xml:space="preserve">armed struggle </w:t>
      </w:r>
      <w:r>
        <w:rPr>
          <w:color w:val="231F20"/>
          <w:spacing w:val="11"/>
          <w:w w:val="110"/>
          <w:sz w:val="18"/>
        </w:rPr>
        <w:t>in</w:t>
      </w:r>
      <w:r>
        <w:rPr>
          <w:color w:val="231F20"/>
          <w:spacing w:val="66"/>
          <w:w w:val="110"/>
          <w:sz w:val="18"/>
        </w:rPr>
        <w:t xml:space="preserve"> </w:t>
      </w:r>
      <w:r>
        <w:rPr>
          <w:color w:val="231F20"/>
          <w:spacing w:val="17"/>
          <w:w w:val="110"/>
          <w:sz w:val="18"/>
        </w:rPr>
        <w:t>west</w:t>
      </w:r>
      <w:r>
        <w:rPr>
          <w:color w:val="231F20"/>
          <w:spacing w:val="36"/>
          <w:w w:val="110"/>
          <w:sz w:val="18"/>
        </w:rPr>
        <w:t xml:space="preserve"> </w:t>
      </w:r>
      <w:r>
        <w:rPr>
          <w:color w:val="231F20"/>
          <w:spacing w:val="20"/>
          <w:w w:val="110"/>
          <w:sz w:val="18"/>
        </w:rPr>
        <w:t>germany</w:t>
      </w:r>
      <w:r>
        <w:rPr>
          <w:color w:val="231F20"/>
          <w:spacing w:val="-15"/>
          <w:sz w:val="18"/>
        </w:rPr>
        <w:t xml:space="preserve"> </w:t>
      </w:r>
      <w:r>
        <w:rPr>
          <w:color w:val="231F20"/>
          <w:spacing w:val="20"/>
          <w:w w:val="110"/>
          <w:sz w:val="18"/>
        </w:rPr>
        <w:t xml:space="preserve">april </w:t>
      </w:r>
      <w:r>
        <w:rPr>
          <w:color w:val="231F20"/>
          <w:spacing w:val="15"/>
          <w:w w:val="110"/>
          <w:sz w:val="18"/>
        </w:rPr>
        <w:t>10,</w:t>
      </w:r>
      <w:r>
        <w:rPr>
          <w:color w:val="231F20"/>
          <w:spacing w:val="53"/>
          <w:w w:val="110"/>
          <w:sz w:val="18"/>
        </w:rPr>
        <w:t xml:space="preserve"> </w:t>
      </w:r>
      <w:r>
        <w:rPr>
          <w:color w:val="231F20"/>
          <w:spacing w:val="17"/>
          <w:w w:val="110"/>
          <w:sz w:val="18"/>
        </w:rPr>
        <w:t>1992</w:t>
      </w:r>
      <w:r>
        <w:rPr>
          <w:color w:val="231F20"/>
          <w:spacing w:val="-15"/>
          <w:sz w:val="18"/>
        </w:rPr>
        <w:t xml:space="preserve"> </w:t>
      </w:r>
    </w:p>
    <w:p w14:paraId="3A978ED1" w14:textId="77777777" w:rsidR="002653E8" w:rsidRDefault="002653E8">
      <w:pPr>
        <w:spacing w:line="244" w:lineRule="auto"/>
        <w:jc w:val="right"/>
        <w:rPr>
          <w:sz w:val="18"/>
        </w:rPr>
        <w:sectPr w:rsidR="002653E8">
          <w:type w:val="continuous"/>
          <w:pgSz w:w="8640" w:h="12960"/>
          <w:pgMar w:top="0" w:right="0" w:bottom="0" w:left="0" w:header="720" w:footer="720" w:gutter="0"/>
          <w:cols w:space="720"/>
        </w:sectPr>
      </w:pPr>
    </w:p>
    <w:p w14:paraId="634EBFAA" w14:textId="77777777" w:rsidR="002653E8" w:rsidRDefault="003115E3">
      <w:pPr>
        <w:spacing w:before="91"/>
        <w:ind w:left="1327"/>
        <w:rPr>
          <w:rFonts w:ascii="Arial"/>
          <w:b/>
          <w:sz w:val="18"/>
        </w:rPr>
      </w:pPr>
      <w:r>
        <w:rPr>
          <w:rFonts w:ascii="Arial"/>
          <w:b/>
          <w:color w:val="231F20"/>
          <w:w w:val="115"/>
          <w:sz w:val="18"/>
        </w:rPr>
        <w:lastRenderedPageBreak/>
        <w:t>November 3, 1992</w:t>
      </w:r>
    </w:p>
    <w:p w14:paraId="5F1BD17F" w14:textId="77777777" w:rsidR="002653E8" w:rsidRDefault="003115E3">
      <w:pPr>
        <w:spacing w:before="34" w:line="276" w:lineRule="auto"/>
        <w:ind w:left="1327" w:right="-13"/>
        <w:rPr>
          <w:rFonts w:ascii="Gill Sans MT" w:hAnsi="Gill Sans MT"/>
          <w:sz w:val="18"/>
        </w:rPr>
      </w:pPr>
      <w:r>
        <w:rPr>
          <w:rFonts w:ascii="Gill Sans MT" w:hAnsi="Gill Sans MT"/>
          <w:color w:val="231F20"/>
          <w:w w:val="110"/>
          <w:sz w:val="18"/>
        </w:rPr>
        <w:t xml:space="preserve">The Stuttgart OLG reduces </w:t>
      </w:r>
      <w:r w:rsidR="00C507A5">
        <w:rPr>
          <w:rFonts w:ascii="Gill Sans MT" w:hAnsi="Gill Sans MT"/>
          <w:color w:val="231F20"/>
          <w:w w:val="110"/>
          <w:sz w:val="18"/>
        </w:rPr>
        <w:t>red army faction</w:t>
      </w:r>
      <w:r>
        <w:rPr>
          <w:rFonts w:ascii="Gill Sans MT" w:hAnsi="Gill Sans MT"/>
          <w:color w:val="231F20"/>
          <w:w w:val="110"/>
          <w:sz w:val="18"/>
        </w:rPr>
        <w:t xml:space="preserve"> prisoner Christian </w:t>
      </w:r>
      <w:r>
        <w:rPr>
          <w:rFonts w:ascii="Gill Sans MT" w:hAnsi="Gill Sans MT"/>
          <w:color w:val="231F20"/>
          <w:spacing w:val="-3"/>
          <w:w w:val="110"/>
          <w:sz w:val="18"/>
        </w:rPr>
        <w:t xml:space="preserve">Klar’s </w:t>
      </w:r>
      <w:r>
        <w:rPr>
          <w:rFonts w:ascii="Gill Sans MT" w:hAnsi="Gill Sans MT"/>
          <w:color w:val="231F20"/>
          <w:w w:val="110"/>
          <w:sz w:val="18"/>
        </w:rPr>
        <w:t>sentence to a single life sentence.</w:t>
      </w:r>
    </w:p>
    <w:p w14:paraId="4940CED3" w14:textId="77777777" w:rsidR="002653E8" w:rsidRDefault="002653E8">
      <w:pPr>
        <w:pStyle w:val="a3"/>
        <w:rPr>
          <w:rFonts w:ascii="Gill Sans MT"/>
        </w:rPr>
      </w:pPr>
    </w:p>
    <w:p w14:paraId="564B5EC0" w14:textId="77777777" w:rsidR="002653E8" w:rsidRDefault="002653E8">
      <w:pPr>
        <w:pStyle w:val="a3"/>
        <w:spacing w:before="1"/>
        <w:rPr>
          <w:rFonts w:ascii="Gill Sans MT"/>
        </w:rPr>
      </w:pPr>
    </w:p>
    <w:p w14:paraId="247ECD62" w14:textId="77777777" w:rsidR="002653E8" w:rsidRDefault="003115E3">
      <w:pPr>
        <w:pStyle w:val="5"/>
      </w:pPr>
      <w:r>
        <w:rPr>
          <w:color w:val="231F20"/>
          <w:w w:val="120"/>
        </w:rPr>
        <w:t>1993</w:t>
      </w:r>
    </w:p>
    <w:p w14:paraId="2F99F614" w14:textId="77777777" w:rsidR="002653E8" w:rsidRDefault="003115E3">
      <w:pPr>
        <w:spacing w:before="12"/>
        <w:ind w:left="1327"/>
        <w:rPr>
          <w:rFonts w:ascii="Arial"/>
          <w:b/>
          <w:sz w:val="18"/>
        </w:rPr>
      </w:pPr>
      <w:r>
        <w:rPr>
          <w:rFonts w:ascii="Arial"/>
          <w:b/>
          <w:color w:val="231F20"/>
          <w:w w:val="115"/>
          <w:sz w:val="18"/>
        </w:rPr>
        <w:t>Early 1993</w:t>
      </w:r>
    </w:p>
    <w:p w14:paraId="40823010" w14:textId="77777777" w:rsidR="002653E8" w:rsidRDefault="003115E3">
      <w:pPr>
        <w:spacing w:before="34" w:line="276" w:lineRule="auto"/>
        <w:ind w:left="1327" w:right="242"/>
        <w:rPr>
          <w:rFonts w:ascii="Gill Sans MT" w:hAnsi="Gill Sans MT"/>
          <w:sz w:val="18"/>
        </w:rPr>
      </w:pPr>
      <w:r>
        <w:rPr>
          <w:rFonts w:ascii="Gill Sans MT" w:hAnsi="Gill Sans MT"/>
          <w:color w:val="231F20"/>
          <w:w w:val="110"/>
          <w:sz w:val="18"/>
        </w:rPr>
        <w:t>Attorney Hans-Christian</w:t>
      </w:r>
      <w:r>
        <w:rPr>
          <w:rFonts w:ascii="Gill Sans MT" w:hAnsi="Gill Sans MT"/>
          <w:color w:val="231F20"/>
          <w:spacing w:val="-39"/>
          <w:w w:val="110"/>
          <w:sz w:val="18"/>
        </w:rPr>
        <w:t xml:space="preserve"> </w:t>
      </w:r>
      <w:r>
        <w:rPr>
          <w:rFonts w:ascii="Gill Sans MT" w:hAnsi="Gill Sans MT"/>
          <w:color w:val="231F20"/>
          <w:w w:val="110"/>
          <w:sz w:val="18"/>
        </w:rPr>
        <w:t xml:space="preserve">Ströbele </w:t>
      </w:r>
      <w:r>
        <w:rPr>
          <w:rFonts w:ascii="Gill Sans MT" w:hAnsi="Gill Sans MT"/>
          <w:color w:val="231F20"/>
          <w:w w:val="115"/>
          <w:sz w:val="18"/>
        </w:rPr>
        <w:t xml:space="preserve">mediates a meeting between </w:t>
      </w:r>
      <w:r w:rsidR="00C507A5">
        <w:rPr>
          <w:rFonts w:ascii="Gill Sans MT" w:hAnsi="Gill Sans MT"/>
          <w:color w:val="231F20"/>
          <w:w w:val="110"/>
          <w:sz w:val="18"/>
        </w:rPr>
        <w:t>red army faction</w:t>
      </w:r>
      <w:r>
        <w:rPr>
          <w:rFonts w:ascii="Gill Sans MT" w:hAnsi="Gill Sans MT"/>
          <w:color w:val="231F20"/>
          <w:spacing w:val="-19"/>
          <w:w w:val="110"/>
          <w:sz w:val="18"/>
        </w:rPr>
        <w:t xml:space="preserve"> </w:t>
      </w:r>
      <w:r>
        <w:rPr>
          <w:rFonts w:ascii="Gill Sans MT" w:hAnsi="Gill Sans MT"/>
          <w:color w:val="231F20"/>
          <w:w w:val="110"/>
          <w:sz w:val="18"/>
        </w:rPr>
        <w:t>prisoners</w:t>
      </w:r>
      <w:r>
        <w:rPr>
          <w:rFonts w:ascii="Gill Sans MT" w:hAnsi="Gill Sans MT"/>
          <w:color w:val="231F20"/>
          <w:spacing w:val="-19"/>
          <w:w w:val="110"/>
          <w:sz w:val="18"/>
        </w:rPr>
        <w:t xml:space="preserve"> </w:t>
      </w:r>
      <w:r>
        <w:rPr>
          <w:rFonts w:ascii="Gill Sans MT" w:hAnsi="Gill Sans MT"/>
          <w:color w:val="231F20"/>
          <w:w w:val="110"/>
          <w:sz w:val="18"/>
        </w:rPr>
        <w:t>in</w:t>
      </w:r>
      <w:r>
        <w:rPr>
          <w:rFonts w:ascii="Gill Sans MT" w:hAnsi="Gill Sans MT"/>
          <w:color w:val="231F20"/>
          <w:spacing w:val="-19"/>
          <w:w w:val="110"/>
          <w:sz w:val="18"/>
        </w:rPr>
        <w:t xml:space="preserve"> </w:t>
      </w:r>
      <w:r>
        <w:rPr>
          <w:rFonts w:ascii="Gill Sans MT" w:hAnsi="Gill Sans MT"/>
          <w:color w:val="231F20"/>
          <w:w w:val="110"/>
          <w:sz w:val="18"/>
        </w:rPr>
        <w:t>Celle,</w:t>
      </w:r>
      <w:r>
        <w:rPr>
          <w:rFonts w:ascii="Gill Sans MT" w:hAnsi="Gill Sans MT"/>
          <w:color w:val="231F20"/>
          <w:spacing w:val="-19"/>
          <w:w w:val="110"/>
          <w:sz w:val="18"/>
        </w:rPr>
        <w:t xml:space="preserve"> </w:t>
      </w:r>
      <w:r>
        <w:rPr>
          <w:rFonts w:ascii="Gill Sans MT" w:hAnsi="Gill Sans MT"/>
          <w:color w:val="231F20"/>
          <w:w w:val="110"/>
          <w:sz w:val="18"/>
        </w:rPr>
        <w:t xml:space="preserve">Karl-Heinz </w:t>
      </w:r>
      <w:r>
        <w:rPr>
          <w:rFonts w:ascii="Gill Sans MT" w:hAnsi="Gill Sans MT"/>
          <w:color w:val="231F20"/>
          <w:w w:val="115"/>
          <w:sz w:val="18"/>
        </w:rPr>
        <w:t xml:space="preserve">dellwo, Lutz </w:t>
      </w:r>
      <w:r>
        <w:rPr>
          <w:rFonts w:ascii="Gill Sans MT" w:hAnsi="Gill Sans MT"/>
          <w:color w:val="231F20"/>
          <w:spacing w:val="-6"/>
          <w:w w:val="115"/>
          <w:sz w:val="18"/>
        </w:rPr>
        <w:t xml:space="preserve">Taufer, </w:t>
      </w:r>
      <w:r>
        <w:rPr>
          <w:rFonts w:ascii="Gill Sans MT" w:hAnsi="Gill Sans MT"/>
          <w:color w:val="231F20"/>
          <w:w w:val="115"/>
          <w:sz w:val="18"/>
        </w:rPr>
        <w:t>and Knut Folkerts and the President of daimler-Benz,</w:t>
      </w:r>
      <w:r>
        <w:rPr>
          <w:rFonts w:ascii="Gill Sans MT" w:hAnsi="Gill Sans MT"/>
          <w:color w:val="231F20"/>
          <w:spacing w:val="-25"/>
          <w:w w:val="115"/>
          <w:sz w:val="18"/>
        </w:rPr>
        <w:t xml:space="preserve"> </w:t>
      </w:r>
      <w:r>
        <w:rPr>
          <w:rFonts w:ascii="Gill Sans MT" w:hAnsi="Gill Sans MT"/>
          <w:color w:val="231F20"/>
          <w:w w:val="115"/>
          <w:sz w:val="18"/>
        </w:rPr>
        <w:t>Edzard</w:t>
      </w:r>
      <w:r>
        <w:rPr>
          <w:rFonts w:ascii="Gill Sans MT" w:hAnsi="Gill Sans MT"/>
          <w:color w:val="231F20"/>
          <w:spacing w:val="-25"/>
          <w:w w:val="115"/>
          <w:sz w:val="18"/>
        </w:rPr>
        <w:t xml:space="preserve"> </w:t>
      </w:r>
      <w:r>
        <w:rPr>
          <w:rFonts w:ascii="Gill Sans MT" w:hAnsi="Gill Sans MT"/>
          <w:color w:val="231F20"/>
          <w:w w:val="115"/>
          <w:sz w:val="18"/>
        </w:rPr>
        <w:t>Reuter</w:t>
      </w:r>
      <w:r>
        <w:rPr>
          <w:rFonts w:ascii="Gill Sans MT" w:hAnsi="Gill Sans MT"/>
          <w:color w:val="231F20"/>
          <w:spacing w:val="-25"/>
          <w:w w:val="115"/>
          <w:sz w:val="18"/>
        </w:rPr>
        <w:t xml:space="preserve"> </w:t>
      </w:r>
      <w:r>
        <w:rPr>
          <w:rFonts w:ascii="Gill Sans MT" w:hAnsi="Gill Sans MT"/>
          <w:color w:val="231F20"/>
          <w:w w:val="115"/>
          <w:sz w:val="18"/>
        </w:rPr>
        <w:t>and Chairman</w:t>
      </w:r>
      <w:r>
        <w:rPr>
          <w:rFonts w:ascii="Gill Sans MT" w:hAnsi="Gill Sans MT"/>
          <w:color w:val="231F20"/>
          <w:spacing w:val="-30"/>
          <w:w w:val="115"/>
          <w:sz w:val="18"/>
        </w:rPr>
        <w:t xml:space="preserve"> </w:t>
      </w:r>
      <w:r>
        <w:rPr>
          <w:rFonts w:ascii="Gill Sans MT" w:hAnsi="Gill Sans MT"/>
          <w:color w:val="231F20"/>
          <w:w w:val="115"/>
          <w:sz w:val="18"/>
        </w:rPr>
        <w:t>of</w:t>
      </w:r>
      <w:r>
        <w:rPr>
          <w:rFonts w:ascii="Gill Sans MT" w:hAnsi="Gill Sans MT"/>
          <w:color w:val="231F20"/>
          <w:spacing w:val="-30"/>
          <w:w w:val="115"/>
          <w:sz w:val="18"/>
        </w:rPr>
        <w:t xml:space="preserve"> </w:t>
      </w:r>
      <w:r>
        <w:rPr>
          <w:rFonts w:ascii="Gill Sans MT" w:hAnsi="Gill Sans MT"/>
          <w:color w:val="231F20"/>
          <w:w w:val="115"/>
          <w:sz w:val="18"/>
        </w:rPr>
        <w:t>the</w:t>
      </w:r>
      <w:r>
        <w:rPr>
          <w:rFonts w:ascii="Gill Sans MT" w:hAnsi="Gill Sans MT"/>
          <w:color w:val="231F20"/>
          <w:spacing w:val="-30"/>
          <w:w w:val="115"/>
          <w:sz w:val="18"/>
        </w:rPr>
        <w:t xml:space="preserve"> </w:t>
      </w:r>
      <w:r>
        <w:rPr>
          <w:rFonts w:ascii="Gill Sans MT" w:hAnsi="Gill Sans MT"/>
          <w:color w:val="231F20"/>
          <w:w w:val="115"/>
          <w:sz w:val="18"/>
        </w:rPr>
        <w:t>Central</w:t>
      </w:r>
      <w:r>
        <w:rPr>
          <w:rFonts w:ascii="Gill Sans MT" w:hAnsi="Gill Sans MT"/>
          <w:color w:val="231F20"/>
          <w:spacing w:val="-30"/>
          <w:w w:val="115"/>
          <w:sz w:val="18"/>
        </w:rPr>
        <w:t xml:space="preserve"> </w:t>
      </w:r>
      <w:r>
        <w:rPr>
          <w:rFonts w:ascii="Gill Sans MT" w:hAnsi="Gill Sans MT"/>
          <w:color w:val="231F20"/>
          <w:w w:val="115"/>
          <w:sz w:val="18"/>
        </w:rPr>
        <w:t>Council of</w:t>
      </w:r>
      <w:r>
        <w:rPr>
          <w:rFonts w:ascii="Gill Sans MT" w:hAnsi="Gill Sans MT"/>
          <w:color w:val="231F20"/>
          <w:spacing w:val="-12"/>
          <w:w w:val="115"/>
          <w:sz w:val="18"/>
        </w:rPr>
        <w:t xml:space="preserve"> </w:t>
      </w:r>
      <w:r>
        <w:rPr>
          <w:rFonts w:ascii="Gill Sans MT" w:hAnsi="Gill Sans MT"/>
          <w:color w:val="231F20"/>
          <w:w w:val="115"/>
          <w:sz w:val="18"/>
        </w:rPr>
        <w:t>Jews,</w:t>
      </w:r>
      <w:r>
        <w:rPr>
          <w:rFonts w:ascii="Gill Sans MT" w:hAnsi="Gill Sans MT"/>
          <w:color w:val="231F20"/>
          <w:spacing w:val="-12"/>
          <w:w w:val="115"/>
          <w:sz w:val="18"/>
        </w:rPr>
        <w:t xml:space="preserve"> </w:t>
      </w:r>
      <w:r>
        <w:rPr>
          <w:rFonts w:ascii="Gill Sans MT" w:hAnsi="Gill Sans MT"/>
          <w:color w:val="231F20"/>
          <w:w w:val="115"/>
          <w:sz w:val="18"/>
        </w:rPr>
        <w:t>Ignatz</w:t>
      </w:r>
      <w:r>
        <w:rPr>
          <w:rFonts w:ascii="Gill Sans MT" w:hAnsi="Gill Sans MT"/>
          <w:color w:val="231F20"/>
          <w:spacing w:val="-12"/>
          <w:w w:val="115"/>
          <w:sz w:val="18"/>
        </w:rPr>
        <w:t xml:space="preserve"> </w:t>
      </w:r>
      <w:r>
        <w:rPr>
          <w:rFonts w:ascii="Gill Sans MT" w:hAnsi="Gill Sans MT"/>
          <w:color w:val="231F20"/>
          <w:w w:val="115"/>
          <w:sz w:val="18"/>
        </w:rPr>
        <w:t>Bubis,</w:t>
      </w:r>
      <w:r>
        <w:rPr>
          <w:rFonts w:ascii="Gill Sans MT" w:hAnsi="Gill Sans MT"/>
          <w:color w:val="231F20"/>
          <w:spacing w:val="-12"/>
          <w:w w:val="115"/>
          <w:sz w:val="18"/>
        </w:rPr>
        <w:t xml:space="preserve"> </w:t>
      </w:r>
      <w:r>
        <w:rPr>
          <w:rFonts w:ascii="Gill Sans MT" w:hAnsi="Gill Sans MT"/>
          <w:color w:val="231F20"/>
          <w:w w:val="115"/>
          <w:sz w:val="18"/>
        </w:rPr>
        <w:t>to</w:t>
      </w:r>
      <w:r>
        <w:rPr>
          <w:rFonts w:ascii="Gill Sans MT" w:hAnsi="Gill Sans MT"/>
          <w:color w:val="231F20"/>
          <w:spacing w:val="-12"/>
          <w:w w:val="115"/>
          <w:sz w:val="18"/>
        </w:rPr>
        <w:t xml:space="preserve"> </w:t>
      </w:r>
      <w:r>
        <w:rPr>
          <w:rFonts w:ascii="Gill Sans MT" w:hAnsi="Gill Sans MT"/>
          <w:color w:val="231F20"/>
          <w:w w:val="115"/>
          <w:sz w:val="18"/>
        </w:rPr>
        <w:t>explore</w:t>
      </w:r>
    </w:p>
    <w:p w14:paraId="5D7AA4A3" w14:textId="77777777" w:rsidR="002653E8" w:rsidRDefault="003115E3">
      <w:pPr>
        <w:spacing w:line="276" w:lineRule="auto"/>
        <w:ind w:left="1327"/>
        <w:rPr>
          <w:rFonts w:ascii="Gill Sans MT"/>
          <w:sz w:val="18"/>
        </w:rPr>
      </w:pPr>
      <w:r>
        <w:rPr>
          <w:rFonts w:ascii="Gill Sans MT"/>
          <w:color w:val="231F20"/>
          <w:w w:val="110"/>
          <w:sz w:val="18"/>
        </w:rPr>
        <w:t xml:space="preserve">ways of preventing a new upsurge  of violence in Germany. The </w:t>
      </w:r>
      <w:r w:rsidR="00C507A5">
        <w:rPr>
          <w:rFonts w:ascii="Gill Sans MT"/>
          <w:color w:val="231F20"/>
          <w:w w:val="110"/>
          <w:sz w:val="18"/>
        </w:rPr>
        <w:t>red army faction</w:t>
      </w:r>
      <w:r>
        <w:rPr>
          <w:rFonts w:ascii="Gill Sans MT"/>
          <w:color w:val="231F20"/>
          <w:w w:val="110"/>
          <w:sz w:val="18"/>
        </w:rPr>
        <w:t xml:space="preserve"> prisoners request that Reuter put pressure on the federal</w:t>
      </w:r>
      <w:r>
        <w:rPr>
          <w:rFonts w:ascii="Gill Sans MT"/>
          <w:color w:val="231F20"/>
          <w:spacing w:val="12"/>
          <w:w w:val="110"/>
          <w:sz w:val="18"/>
        </w:rPr>
        <w:t xml:space="preserve"> </w:t>
      </w:r>
      <w:r>
        <w:rPr>
          <w:rFonts w:ascii="Gill Sans MT"/>
          <w:color w:val="231F20"/>
          <w:w w:val="110"/>
          <w:sz w:val="18"/>
        </w:rPr>
        <w:t>government.</w:t>
      </w:r>
    </w:p>
    <w:p w14:paraId="450ADE5A" w14:textId="77777777" w:rsidR="002653E8" w:rsidRDefault="002653E8">
      <w:pPr>
        <w:pStyle w:val="a3"/>
        <w:spacing w:before="6"/>
        <w:rPr>
          <w:rFonts w:ascii="Gill Sans MT"/>
        </w:rPr>
      </w:pPr>
    </w:p>
    <w:p w14:paraId="4D00F411" w14:textId="77777777" w:rsidR="002653E8" w:rsidRDefault="003115E3">
      <w:pPr>
        <w:ind w:left="1327"/>
        <w:rPr>
          <w:rFonts w:ascii="Arial"/>
          <w:b/>
          <w:sz w:val="18"/>
        </w:rPr>
      </w:pPr>
      <w:r>
        <w:rPr>
          <w:rFonts w:ascii="Arial"/>
          <w:b/>
          <w:color w:val="231F20"/>
          <w:w w:val="115"/>
          <w:sz w:val="18"/>
        </w:rPr>
        <w:t>March 9, 1993</w:t>
      </w:r>
    </w:p>
    <w:p w14:paraId="38A0140E" w14:textId="77777777" w:rsidR="002653E8" w:rsidRDefault="003115E3">
      <w:pPr>
        <w:spacing w:before="35" w:line="276" w:lineRule="auto"/>
        <w:ind w:left="1327" w:right="193"/>
        <w:jc w:val="both"/>
        <w:rPr>
          <w:rFonts w:ascii="Gill Sans MT" w:hAnsi="Gill Sans MT"/>
          <w:sz w:val="18"/>
        </w:rPr>
      </w:pPr>
      <w:r>
        <w:rPr>
          <w:rFonts w:ascii="Gill Sans MT" w:hAnsi="Gill Sans MT"/>
          <w:color w:val="231F20"/>
          <w:w w:val="110"/>
          <w:sz w:val="18"/>
        </w:rPr>
        <w:t xml:space="preserve">The düsseldorf OLG decides that as a result of the extreme gravity of his crimes, </w:t>
      </w:r>
      <w:r w:rsidR="00C507A5">
        <w:rPr>
          <w:rFonts w:ascii="Gill Sans MT" w:hAnsi="Gill Sans MT"/>
          <w:color w:val="231F20"/>
          <w:w w:val="110"/>
          <w:sz w:val="18"/>
        </w:rPr>
        <w:t>red army faction</w:t>
      </w:r>
      <w:r>
        <w:rPr>
          <w:rFonts w:ascii="Gill Sans MT" w:hAnsi="Gill Sans MT"/>
          <w:color w:val="231F20"/>
          <w:w w:val="110"/>
          <w:sz w:val="18"/>
        </w:rPr>
        <w:t xml:space="preserve"> prisoner Stefan Wisniewski will only be eligible</w:t>
      </w:r>
      <w:r>
        <w:rPr>
          <w:rFonts w:ascii="Gill Sans MT" w:hAnsi="Gill Sans MT"/>
          <w:color w:val="231F20"/>
          <w:spacing w:val="-25"/>
          <w:w w:val="110"/>
          <w:sz w:val="18"/>
        </w:rPr>
        <w:t xml:space="preserve"> </w:t>
      </w:r>
      <w:r>
        <w:rPr>
          <w:rFonts w:ascii="Gill Sans MT" w:hAnsi="Gill Sans MT"/>
          <w:color w:val="231F20"/>
          <w:w w:val="110"/>
          <w:sz w:val="18"/>
        </w:rPr>
        <w:t>for parole after twenty</w:t>
      </w:r>
      <w:r>
        <w:rPr>
          <w:rFonts w:ascii="Gill Sans MT" w:hAnsi="Gill Sans MT"/>
          <w:color w:val="231F20"/>
          <w:spacing w:val="-14"/>
          <w:w w:val="110"/>
          <w:sz w:val="18"/>
        </w:rPr>
        <w:t xml:space="preserve"> </w:t>
      </w:r>
      <w:r>
        <w:rPr>
          <w:rFonts w:ascii="Gill Sans MT" w:hAnsi="Gill Sans MT"/>
          <w:color w:val="231F20"/>
          <w:w w:val="110"/>
          <w:sz w:val="18"/>
        </w:rPr>
        <w:t>years.</w:t>
      </w:r>
    </w:p>
    <w:p w14:paraId="702E3BCB" w14:textId="77777777" w:rsidR="002653E8" w:rsidRDefault="002653E8">
      <w:pPr>
        <w:pStyle w:val="a3"/>
        <w:spacing w:before="6"/>
        <w:rPr>
          <w:rFonts w:ascii="Gill Sans MT"/>
        </w:rPr>
      </w:pPr>
    </w:p>
    <w:p w14:paraId="38B8CB5D" w14:textId="77777777" w:rsidR="002653E8" w:rsidRDefault="003115E3">
      <w:pPr>
        <w:ind w:left="1327"/>
        <w:rPr>
          <w:rFonts w:ascii="Arial"/>
          <w:b/>
          <w:sz w:val="18"/>
        </w:rPr>
      </w:pPr>
      <w:r>
        <w:rPr>
          <w:rFonts w:ascii="Arial"/>
          <w:b/>
          <w:color w:val="231F20"/>
          <w:w w:val="115"/>
          <w:sz w:val="18"/>
        </w:rPr>
        <w:t>March 30, 1993</w:t>
      </w:r>
    </w:p>
    <w:p w14:paraId="245E88ED" w14:textId="77777777" w:rsidR="002653E8" w:rsidRDefault="003115E3">
      <w:pPr>
        <w:spacing w:before="35" w:line="276" w:lineRule="auto"/>
        <w:ind w:left="1327" w:right="1"/>
        <w:rPr>
          <w:rFonts w:ascii="Gill Sans MT" w:hAnsi="Gill Sans MT"/>
          <w:sz w:val="18"/>
        </w:rPr>
      </w:pPr>
      <w:r>
        <w:rPr>
          <w:rFonts w:ascii="Gill Sans MT" w:hAnsi="Gill Sans MT"/>
          <w:color w:val="231F20"/>
          <w:w w:val="110"/>
          <w:sz w:val="18"/>
        </w:rPr>
        <w:t xml:space="preserve">The </w:t>
      </w:r>
      <w:r w:rsidR="00C507A5">
        <w:rPr>
          <w:rFonts w:ascii="Gill Sans MT" w:hAnsi="Gill Sans MT"/>
          <w:color w:val="231F20"/>
          <w:w w:val="110"/>
          <w:sz w:val="18"/>
        </w:rPr>
        <w:t>red army faction</w:t>
      </w:r>
      <w:r>
        <w:rPr>
          <w:rFonts w:ascii="Gill Sans MT" w:hAnsi="Gill Sans MT"/>
          <w:color w:val="231F20"/>
          <w:w w:val="110"/>
          <w:sz w:val="18"/>
        </w:rPr>
        <w:t xml:space="preserve">’s Katharina Hammerschmidt Commando detonates thirty-four </w:t>
      </w:r>
      <w:r>
        <w:rPr>
          <w:rFonts w:ascii="Arial" w:hAnsi="Arial"/>
          <w:color w:val="231F20"/>
          <w:w w:val="110"/>
          <w:sz w:val="18"/>
        </w:rPr>
        <w:t xml:space="preserve">200 </w:t>
      </w:r>
      <w:r>
        <w:rPr>
          <w:rFonts w:ascii="Gill Sans MT" w:hAnsi="Gill Sans MT"/>
          <w:color w:val="231F20"/>
          <w:w w:val="110"/>
          <w:sz w:val="18"/>
        </w:rPr>
        <w:t xml:space="preserve">kg bombs at a new High Security prison outside of darmstadt shortly before it is to open, causing </w:t>
      </w:r>
      <w:r>
        <w:rPr>
          <w:rFonts w:ascii="Arial" w:hAnsi="Arial"/>
          <w:color w:val="231F20"/>
          <w:w w:val="110"/>
          <w:sz w:val="18"/>
        </w:rPr>
        <w:t xml:space="preserve">123 </w:t>
      </w:r>
      <w:r>
        <w:rPr>
          <w:rFonts w:ascii="Gill Sans MT" w:hAnsi="Gill Sans MT"/>
          <w:color w:val="231F20"/>
          <w:w w:val="110"/>
          <w:sz w:val="18"/>
        </w:rPr>
        <w:t>million dM in damages and setting back the opening four years.</w:t>
      </w:r>
    </w:p>
    <w:p w14:paraId="59B7B347" w14:textId="77777777" w:rsidR="002653E8" w:rsidRDefault="003115E3">
      <w:pPr>
        <w:spacing w:before="91"/>
        <w:ind w:left="206"/>
        <w:rPr>
          <w:rFonts w:ascii="Arial"/>
          <w:b/>
          <w:sz w:val="18"/>
        </w:rPr>
      </w:pPr>
      <w:r>
        <w:br w:type="column"/>
      </w:r>
      <w:r>
        <w:rPr>
          <w:rFonts w:ascii="Arial"/>
          <w:b/>
          <w:color w:val="231F20"/>
          <w:w w:val="115"/>
          <w:sz w:val="18"/>
        </w:rPr>
        <w:t>June 27, 1993</w:t>
      </w:r>
    </w:p>
    <w:p w14:paraId="77659A0F" w14:textId="77777777" w:rsidR="002653E8" w:rsidRDefault="00C507A5">
      <w:pPr>
        <w:spacing w:before="34" w:line="276" w:lineRule="auto"/>
        <w:ind w:left="206" w:right="1233"/>
        <w:rPr>
          <w:rFonts w:ascii="Gill Sans MT"/>
          <w:sz w:val="18"/>
        </w:rPr>
      </w:pPr>
      <w:r>
        <w:rPr>
          <w:rFonts w:ascii="Gill Sans MT"/>
          <w:color w:val="231F20"/>
          <w:w w:val="110"/>
          <w:sz w:val="18"/>
        </w:rPr>
        <w:t>red army faction</w:t>
      </w:r>
      <w:r w:rsidR="003115E3">
        <w:rPr>
          <w:rFonts w:ascii="Gill Sans MT"/>
          <w:color w:val="231F20"/>
          <w:w w:val="110"/>
          <w:sz w:val="18"/>
        </w:rPr>
        <w:t xml:space="preserve"> members Wolfgang Grams and Birgit Hogefeld are lured into an ambush in Bad Kleinen by</w:t>
      </w:r>
      <w:r w:rsidR="003115E3">
        <w:rPr>
          <w:rFonts w:ascii="Gill Sans MT"/>
          <w:color w:val="231F20"/>
          <w:spacing w:val="42"/>
          <w:w w:val="110"/>
          <w:sz w:val="18"/>
        </w:rPr>
        <w:t xml:space="preserve"> </w:t>
      </w:r>
      <w:r w:rsidR="003115E3">
        <w:rPr>
          <w:rFonts w:ascii="Gill Sans MT"/>
          <w:color w:val="231F20"/>
          <w:w w:val="110"/>
          <w:sz w:val="18"/>
        </w:rPr>
        <w:t>police</w:t>
      </w:r>
    </w:p>
    <w:p w14:paraId="0FD4278A" w14:textId="77777777" w:rsidR="002653E8" w:rsidRDefault="003115E3">
      <w:pPr>
        <w:spacing w:line="276" w:lineRule="auto"/>
        <w:ind w:left="206" w:right="1153"/>
        <w:rPr>
          <w:rFonts w:ascii="Gill Sans MT"/>
          <w:sz w:val="18"/>
        </w:rPr>
      </w:pPr>
      <w:r>
        <w:rPr>
          <w:rFonts w:ascii="Gill Sans MT"/>
          <w:color w:val="231F20"/>
          <w:w w:val="110"/>
          <w:sz w:val="18"/>
        </w:rPr>
        <w:t>infiltrator Klaus Steinmetz.</w:t>
      </w:r>
      <w:r>
        <w:rPr>
          <w:rFonts w:ascii="Gill Sans MT"/>
          <w:color w:val="231F20"/>
          <w:spacing w:val="-6"/>
          <w:w w:val="110"/>
          <w:sz w:val="18"/>
        </w:rPr>
        <w:t xml:space="preserve"> </w:t>
      </w:r>
      <w:r>
        <w:rPr>
          <w:rFonts w:ascii="Gill Sans MT"/>
          <w:color w:val="231F20"/>
          <w:w w:val="110"/>
          <w:sz w:val="18"/>
        </w:rPr>
        <w:t>Following a shootout, both GSG-9 agent Michael Newrzella and Wolfgang Grams lie dead. As  evidence mounts of gross</w:t>
      </w:r>
      <w:r>
        <w:rPr>
          <w:rFonts w:ascii="Gill Sans MT"/>
          <w:color w:val="231F20"/>
          <w:spacing w:val="-15"/>
          <w:w w:val="110"/>
          <w:sz w:val="18"/>
        </w:rPr>
        <w:t xml:space="preserve"> </w:t>
      </w:r>
      <w:r>
        <w:rPr>
          <w:rFonts w:ascii="Gill Sans MT"/>
          <w:color w:val="231F20"/>
          <w:w w:val="110"/>
          <w:sz w:val="18"/>
        </w:rPr>
        <w:t>irregularities</w:t>
      </w:r>
    </w:p>
    <w:p w14:paraId="58FD96CC" w14:textId="77777777" w:rsidR="002653E8" w:rsidRDefault="003115E3">
      <w:pPr>
        <w:spacing w:line="276" w:lineRule="auto"/>
        <w:ind w:left="206" w:right="1409"/>
        <w:rPr>
          <w:rFonts w:ascii="Gill Sans MT"/>
          <w:sz w:val="18"/>
        </w:rPr>
      </w:pPr>
      <w:r>
        <w:rPr>
          <w:rFonts w:ascii="Gill Sans MT"/>
          <w:color w:val="231F20"/>
          <w:w w:val="110"/>
          <w:sz w:val="18"/>
        </w:rPr>
        <w:t>in all aspects of the operation, including eyewitness reports that Grams was executed on site</w:t>
      </w:r>
      <w:r>
        <w:rPr>
          <w:rFonts w:ascii="Gill Sans MT"/>
          <w:color w:val="231F20"/>
          <w:spacing w:val="-17"/>
          <w:w w:val="110"/>
          <w:sz w:val="18"/>
        </w:rPr>
        <w:t xml:space="preserve"> </w:t>
      </w:r>
      <w:r>
        <w:rPr>
          <w:rFonts w:ascii="Gill Sans MT"/>
          <w:color w:val="231F20"/>
          <w:w w:val="110"/>
          <w:sz w:val="18"/>
        </w:rPr>
        <w:t>after he had been subdued,  Minister of the Interior Rudolph Seiters resigns and Attorney General Alexander von Stahl is</w:t>
      </w:r>
      <w:r>
        <w:rPr>
          <w:rFonts w:ascii="Gill Sans MT"/>
          <w:color w:val="231F20"/>
          <w:spacing w:val="-14"/>
          <w:w w:val="110"/>
          <w:sz w:val="18"/>
        </w:rPr>
        <w:t xml:space="preserve"> </w:t>
      </w:r>
      <w:r>
        <w:rPr>
          <w:rFonts w:ascii="Gill Sans MT"/>
          <w:color w:val="231F20"/>
          <w:w w:val="110"/>
          <w:sz w:val="18"/>
        </w:rPr>
        <w:t>fired.</w:t>
      </w:r>
    </w:p>
    <w:p w14:paraId="138EFCC2" w14:textId="77777777" w:rsidR="002653E8" w:rsidRDefault="002653E8">
      <w:pPr>
        <w:pStyle w:val="a3"/>
        <w:spacing w:before="5"/>
        <w:rPr>
          <w:rFonts w:ascii="Gill Sans MT"/>
        </w:rPr>
      </w:pPr>
    </w:p>
    <w:p w14:paraId="6F83607C" w14:textId="77777777" w:rsidR="002653E8" w:rsidRDefault="003115E3">
      <w:pPr>
        <w:spacing w:before="1"/>
        <w:ind w:left="206"/>
        <w:rPr>
          <w:rFonts w:ascii="Arial"/>
          <w:b/>
          <w:sz w:val="18"/>
        </w:rPr>
      </w:pPr>
      <w:r>
        <w:rPr>
          <w:rFonts w:ascii="Arial"/>
          <w:b/>
          <w:color w:val="231F20"/>
          <w:w w:val="115"/>
          <w:sz w:val="18"/>
        </w:rPr>
        <w:t>October 18, 1993</w:t>
      </w:r>
    </w:p>
    <w:p w14:paraId="1E19763A" w14:textId="77777777" w:rsidR="002653E8" w:rsidRDefault="003115E3">
      <w:pPr>
        <w:spacing w:before="35" w:line="276" w:lineRule="auto"/>
        <w:ind w:left="206" w:right="1094" w:hanging="1"/>
        <w:rPr>
          <w:rFonts w:ascii="Gill Sans MT"/>
          <w:sz w:val="18"/>
        </w:rPr>
      </w:pPr>
      <w:r>
        <w:rPr>
          <w:rFonts w:ascii="Gill Sans MT"/>
          <w:color w:val="231F20"/>
          <w:w w:val="110"/>
          <w:sz w:val="18"/>
        </w:rPr>
        <w:t xml:space="preserve">The Stuttgart OLG sentences former </w:t>
      </w:r>
      <w:r w:rsidR="00C507A5">
        <w:rPr>
          <w:rFonts w:ascii="Gill Sans MT"/>
          <w:color w:val="231F20"/>
          <w:w w:val="115"/>
          <w:sz w:val="18"/>
        </w:rPr>
        <w:t>red army faction</w:t>
      </w:r>
      <w:r>
        <w:rPr>
          <w:rFonts w:ascii="Gill Sans MT"/>
          <w:color w:val="231F20"/>
          <w:w w:val="115"/>
          <w:sz w:val="18"/>
        </w:rPr>
        <w:t xml:space="preserve"> member Ingrid Jakobsmeier to fifteen years in prison.</w:t>
      </w:r>
    </w:p>
    <w:p w14:paraId="51D9483D" w14:textId="77777777" w:rsidR="002653E8" w:rsidRDefault="002653E8">
      <w:pPr>
        <w:pStyle w:val="a3"/>
        <w:spacing w:before="6"/>
        <w:rPr>
          <w:rFonts w:ascii="Gill Sans MT"/>
        </w:rPr>
      </w:pPr>
    </w:p>
    <w:p w14:paraId="17B53CB5" w14:textId="77777777" w:rsidR="002653E8" w:rsidRDefault="003115E3">
      <w:pPr>
        <w:ind w:left="206"/>
        <w:rPr>
          <w:rFonts w:ascii="Arial"/>
          <w:b/>
          <w:sz w:val="18"/>
        </w:rPr>
      </w:pPr>
      <w:r>
        <w:rPr>
          <w:rFonts w:ascii="Arial"/>
          <w:b/>
          <w:color w:val="231F20"/>
          <w:w w:val="115"/>
          <w:sz w:val="18"/>
        </w:rPr>
        <w:t>October 28, 1993</w:t>
      </w:r>
    </w:p>
    <w:p w14:paraId="1EE6987D" w14:textId="77777777" w:rsidR="002653E8" w:rsidRDefault="00C507A5">
      <w:pPr>
        <w:spacing w:before="35" w:line="276" w:lineRule="auto"/>
        <w:ind w:left="206" w:right="1235"/>
        <w:rPr>
          <w:rFonts w:ascii="Gill Sans MT" w:hAnsi="Gill Sans MT"/>
          <w:sz w:val="18"/>
        </w:rPr>
      </w:pPr>
      <w:r>
        <w:rPr>
          <w:rFonts w:ascii="Gill Sans MT" w:hAnsi="Gill Sans MT"/>
          <w:color w:val="231F20"/>
          <w:w w:val="115"/>
          <w:sz w:val="18"/>
        </w:rPr>
        <w:t>red army faction</w:t>
      </w:r>
      <w:r w:rsidR="003115E3">
        <w:rPr>
          <w:rFonts w:ascii="Gill Sans MT" w:hAnsi="Gill Sans MT"/>
          <w:color w:val="231F20"/>
          <w:w w:val="115"/>
          <w:sz w:val="18"/>
        </w:rPr>
        <w:t xml:space="preserve"> prisoner Brigitte Mohnhaupt, speaking for herself and fellow </w:t>
      </w:r>
      <w:r>
        <w:rPr>
          <w:rFonts w:ascii="Gill Sans MT" w:hAnsi="Gill Sans MT"/>
          <w:color w:val="231F20"/>
          <w:w w:val="115"/>
          <w:sz w:val="18"/>
        </w:rPr>
        <w:t>red army faction</w:t>
      </w:r>
      <w:r w:rsidR="003115E3">
        <w:rPr>
          <w:rFonts w:ascii="Gill Sans MT" w:hAnsi="Gill Sans MT"/>
          <w:color w:val="231F20"/>
          <w:w w:val="115"/>
          <w:sz w:val="18"/>
        </w:rPr>
        <w:t xml:space="preserve"> prisoners Hanna Krabbe, Irmgard </w:t>
      </w:r>
      <w:r w:rsidR="003115E3">
        <w:rPr>
          <w:rFonts w:ascii="Gill Sans MT" w:hAnsi="Gill Sans MT"/>
          <w:color w:val="231F20"/>
          <w:spacing w:val="-3"/>
          <w:w w:val="115"/>
          <w:sz w:val="18"/>
        </w:rPr>
        <w:t xml:space="preserve">Möller, </w:t>
      </w:r>
      <w:r w:rsidR="003115E3">
        <w:rPr>
          <w:rFonts w:ascii="Gill Sans MT" w:hAnsi="Gill Sans MT"/>
          <w:color w:val="231F20"/>
          <w:w w:val="115"/>
          <w:sz w:val="18"/>
        </w:rPr>
        <w:t xml:space="preserve">Christine </w:t>
      </w:r>
      <w:r w:rsidR="003115E3">
        <w:rPr>
          <w:rFonts w:ascii="Gill Sans MT" w:hAnsi="Gill Sans MT"/>
          <w:color w:val="231F20"/>
          <w:spacing w:val="-3"/>
          <w:w w:val="115"/>
          <w:sz w:val="18"/>
        </w:rPr>
        <w:t xml:space="preserve">Kuby, </w:t>
      </w:r>
      <w:r w:rsidR="003115E3">
        <w:rPr>
          <w:rFonts w:ascii="Gill Sans MT" w:hAnsi="Gill Sans MT"/>
          <w:color w:val="231F20"/>
          <w:w w:val="115"/>
          <w:sz w:val="18"/>
        </w:rPr>
        <w:t xml:space="preserve">Sieglinde Hofmann, Rolf Heissler, Rolf Clemens </w:t>
      </w:r>
      <w:r w:rsidR="003115E3">
        <w:rPr>
          <w:rFonts w:ascii="Gill Sans MT" w:hAnsi="Gill Sans MT"/>
          <w:color w:val="231F20"/>
          <w:spacing w:val="-4"/>
          <w:w w:val="115"/>
          <w:sz w:val="18"/>
        </w:rPr>
        <w:t xml:space="preserve">Wagner, </w:t>
      </w:r>
      <w:r w:rsidR="003115E3">
        <w:rPr>
          <w:rFonts w:ascii="Gill Sans MT" w:hAnsi="Gill Sans MT"/>
          <w:color w:val="231F20"/>
          <w:w w:val="115"/>
          <w:sz w:val="18"/>
        </w:rPr>
        <w:t>Eva Haule, Adelheid</w:t>
      </w:r>
      <w:r w:rsidR="003115E3">
        <w:rPr>
          <w:rFonts w:ascii="Gill Sans MT" w:hAnsi="Gill Sans MT"/>
          <w:color w:val="231F20"/>
          <w:spacing w:val="-31"/>
          <w:w w:val="115"/>
          <w:sz w:val="18"/>
        </w:rPr>
        <w:t xml:space="preserve"> </w:t>
      </w:r>
      <w:r w:rsidR="003115E3">
        <w:rPr>
          <w:rFonts w:ascii="Gill Sans MT" w:hAnsi="Gill Sans MT"/>
          <w:color w:val="231F20"/>
          <w:w w:val="115"/>
          <w:sz w:val="18"/>
        </w:rPr>
        <w:t>Schulz,</w:t>
      </w:r>
      <w:r w:rsidR="003115E3">
        <w:rPr>
          <w:rFonts w:ascii="Gill Sans MT" w:hAnsi="Gill Sans MT"/>
          <w:color w:val="231F20"/>
          <w:spacing w:val="-31"/>
          <w:w w:val="115"/>
          <w:sz w:val="18"/>
        </w:rPr>
        <w:t xml:space="preserve"> </w:t>
      </w:r>
      <w:r w:rsidR="003115E3">
        <w:rPr>
          <w:rFonts w:ascii="Gill Sans MT" w:hAnsi="Gill Sans MT"/>
          <w:color w:val="231F20"/>
          <w:w w:val="115"/>
          <w:sz w:val="18"/>
        </w:rPr>
        <w:t>Christian</w:t>
      </w:r>
      <w:r w:rsidR="003115E3">
        <w:rPr>
          <w:rFonts w:ascii="Gill Sans MT" w:hAnsi="Gill Sans MT"/>
          <w:color w:val="231F20"/>
          <w:spacing w:val="-31"/>
          <w:w w:val="115"/>
          <w:sz w:val="18"/>
        </w:rPr>
        <w:t xml:space="preserve"> </w:t>
      </w:r>
      <w:r w:rsidR="003115E3">
        <w:rPr>
          <w:rFonts w:ascii="Gill Sans MT" w:hAnsi="Gill Sans MT"/>
          <w:color w:val="231F20"/>
          <w:spacing w:val="-4"/>
          <w:w w:val="115"/>
          <w:sz w:val="18"/>
        </w:rPr>
        <w:t>Klar,</w:t>
      </w:r>
      <w:r w:rsidR="003115E3">
        <w:rPr>
          <w:rFonts w:ascii="Gill Sans MT" w:hAnsi="Gill Sans MT"/>
          <w:color w:val="231F20"/>
          <w:spacing w:val="-31"/>
          <w:w w:val="115"/>
          <w:sz w:val="18"/>
        </w:rPr>
        <w:t xml:space="preserve"> </w:t>
      </w:r>
      <w:r w:rsidR="003115E3">
        <w:rPr>
          <w:rFonts w:ascii="Gill Sans MT" w:hAnsi="Gill Sans MT"/>
          <w:color w:val="231F20"/>
          <w:w w:val="115"/>
          <w:sz w:val="18"/>
        </w:rPr>
        <w:t>and</w:t>
      </w:r>
      <w:r w:rsidR="003115E3">
        <w:rPr>
          <w:rFonts w:ascii="Gill Sans MT" w:hAnsi="Gill Sans MT"/>
          <w:color w:val="231F20"/>
          <w:w w:val="117"/>
          <w:sz w:val="18"/>
        </w:rPr>
        <w:t xml:space="preserve"> </w:t>
      </w:r>
      <w:r w:rsidR="003115E3">
        <w:rPr>
          <w:rFonts w:ascii="Gill Sans MT" w:hAnsi="Gill Sans MT"/>
          <w:color w:val="231F20"/>
          <w:w w:val="115"/>
          <w:sz w:val="18"/>
        </w:rPr>
        <w:t>Helmut</w:t>
      </w:r>
      <w:r w:rsidR="003115E3">
        <w:rPr>
          <w:rFonts w:ascii="Gill Sans MT" w:hAnsi="Gill Sans MT"/>
          <w:color w:val="231F20"/>
          <w:spacing w:val="-22"/>
          <w:w w:val="115"/>
          <w:sz w:val="18"/>
        </w:rPr>
        <w:t xml:space="preserve"> </w:t>
      </w:r>
      <w:r w:rsidR="003115E3">
        <w:rPr>
          <w:rFonts w:ascii="Gill Sans MT" w:hAnsi="Gill Sans MT"/>
          <w:color w:val="231F20"/>
          <w:w w:val="115"/>
          <w:sz w:val="18"/>
        </w:rPr>
        <w:t>Pohl,</w:t>
      </w:r>
      <w:r w:rsidR="003115E3">
        <w:rPr>
          <w:rFonts w:ascii="Gill Sans MT" w:hAnsi="Gill Sans MT"/>
          <w:color w:val="231F20"/>
          <w:spacing w:val="-22"/>
          <w:w w:val="115"/>
          <w:sz w:val="18"/>
        </w:rPr>
        <w:t xml:space="preserve"> </w:t>
      </w:r>
      <w:r w:rsidR="003115E3">
        <w:rPr>
          <w:rFonts w:ascii="Gill Sans MT" w:hAnsi="Gill Sans MT"/>
          <w:color w:val="231F20"/>
          <w:w w:val="115"/>
          <w:sz w:val="18"/>
        </w:rPr>
        <w:t>releases</w:t>
      </w:r>
      <w:r w:rsidR="003115E3">
        <w:rPr>
          <w:rFonts w:ascii="Gill Sans MT" w:hAnsi="Gill Sans MT"/>
          <w:color w:val="231F20"/>
          <w:spacing w:val="-22"/>
          <w:w w:val="115"/>
          <w:sz w:val="18"/>
        </w:rPr>
        <w:t xml:space="preserve"> </w:t>
      </w:r>
      <w:r w:rsidR="003115E3">
        <w:rPr>
          <w:rFonts w:ascii="Gill Sans MT" w:hAnsi="Gill Sans MT"/>
          <w:color w:val="231F20"/>
          <w:w w:val="115"/>
          <w:sz w:val="18"/>
        </w:rPr>
        <w:t>a</w:t>
      </w:r>
      <w:r w:rsidR="003115E3">
        <w:rPr>
          <w:rFonts w:ascii="Gill Sans MT" w:hAnsi="Gill Sans MT"/>
          <w:color w:val="231F20"/>
          <w:spacing w:val="-22"/>
          <w:w w:val="115"/>
          <w:sz w:val="18"/>
        </w:rPr>
        <w:t xml:space="preserve"> </w:t>
      </w:r>
      <w:r w:rsidR="003115E3">
        <w:rPr>
          <w:rFonts w:ascii="Gill Sans MT" w:hAnsi="Gill Sans MT"/>
          <w:color w:val="231F20"/>
          <w:w w:val="115"/>
          <w:sz w:val="18"/>
        </w:rPr>
        <w:t xml:space="preserve">statement announcing a split with the Celle prisoners and the </w:t>
      </w:r>
      <w:r>
        <w:rPr>
          <w:rFonts w:ascii="Gill Sans MT" w:hAnsi="Gill Sans MT"/>
          <w:color w:val="231F20"/>
          <w:w w:val="115"/>
          <w:sz w:val="18"/>
        </w:rPr>
        <w:t>red army faction</w:t>
      </w:r>
      <w:r w:rsidR="003115E3">
        <w:rPr>
          <w:rFonts w:ascii="Gill Sans MT" w:hAnsi="Gill Sans MT"/>
          <w:color w:val="231F20"/>
          <w:w w:val="115"/>
          <w:sz w:val="18"/>
        </w:rPr>
        <w:t xml:space="preserve"> on the outside.</w:t>
      </w:r>
    </w:p>
    <w:p w14:paraId="0F74B7C0" w14:textId="77777777" w:rsidR="002653E8" w:rsidRDefault="002653E8">
      <w:pPr>
        <w:pStyle w:val="a3"/>
        <w:spacing w:before="5"/>
        <w:rPr>
          <w:rFonts w:ascii="Gill Sans MT"/>
        </w:rPr>
      </w:pPr>
    </w:p>
    <w:p w14:paraId="0BB9E70B" w14:textId="77777777" w:rsidR="002653E8" w:rsidRDefault="003115E3">
      <w:pPr>
        <w:spacing w:before="1"/>
        <w:ind w:left="206"/>
        <w:rPr>
          <w:rFonts w:ascii="Arial"/>
          <w:b/>
          <w:sz w:val="18"/>
        </w:rPr>
      </w:pPr>
      <w:r>
        <w:rPr>
          <w:rFonts w:ascii="Arial"/>
          <w:b/>
          <w:color w:val="231F20"/>
          <w:w w:val="115"/>
          <w:sz w:val="18"/>
        </w:rPr>
        <w:t>November 2, 1993</w:t>
      </w:r>
    </w:p>
    <w:p w14:paraId="75E13D80" w14:textId="77777777" w:rsidR="002653E8" w:rsidRDefault="003115E3">
      <w:pPr>
        <w:spacing w:before="34" w:line="276" w:lineRule="auto"/>
        <w:ind w:left="206" w:right="1199" w:hanging="1"/>
        <w:rPr>
          <w:rFonts w:ascii="Gill Sans MT"/>
          <w:sz w:val="18"/>
        </w:rPr>
      </w:pPr>
      <w:r>
        <w:rPr>
          <w:rFonts w:ascii="Gill Sans MT"/>
          <w:color w:val="231F20"/>
          <w:w w:val="110"/>
          <w:sz w:val="18"/>
        </w:rPr>
        <w:t xml:space="preserve">The </w:t>
      </w:r>
      <w:r w:rsidR="00C507A5">
        <w:rPr>
          <w:rFonts w:ascii="Gill Sans MT"/>
          <w:color w:val="231F20"/>
          <w:w w:val="110"/>
          <w:sz w:val="18"/>
        </w:rPr>
        <w:t>red army faction</w:t>
      </w:r>
      <w:r>
        <w:rPr>
          <w:rFonts w:ascii="Gill Sans MT"/>
          <w:color w:val="231F20"/>
          <w:w w:val="110"/>
          <w:sz w:val="18"/>
        </w:rPr>
        <w:t xml:space="preserve"> releases statement responding to Brigitte Mohnhaupt, requesting that the prisoners</w:t>
      </w:r>
    </w:p>
    <w:p w14:paraId="5D0153A8" w14:textId="77777777" w:rsidR="002653E8" w:rsidRDefault="003115E3">
      <w:pPr>
        <w:spacing w:line="276" w:lineRule="auto"/>
        <w:ind w:left="206" w:right="1327"/>
        <w:rPr>
          <w:rFonts w:ascii="Gill Sans MT"/>
          <w:sz w:val="18"/>
        </w:rPr>
      </w:pPr>
      <w:r>
        <w:rPr>
          <w:rFonts w:ascii="Gill Sans MT"/>
          <w:color w:val="231F20"/>
          <w:w w:val="110"/>
          <w:sz w:val="18"/>
        </w:rPr>
        <w:t xml:space="preserve">she represented reconsider their decision to break with the </w:t>
      </w:r>
      <w:r w:rsidR="00C507A5">
        <w:rPr>
          <w:rFonts w:ascii="Gill Sans MT"/>
          <w:color w:val="231F20"/>
          <w:w w:val="110"/>
          <w:sz w:val="18"/>
        </w:rPr>
        <w:t>red army faction</w:t>
      </w:r>
      <w:r>
        <w:rPr>
          <w:rFonts w:ascii="Gill Sans MT"/>
          <w:color w:val="231F20"/>
          <w:w w:val="110"/>
          <w:sz w:val="18"/>
        </w:rPr>
        <w:t>.</w:t>
      </w:r>
    </w:p>
    <w:p w14:paraId="16F32D20" w14:textId="77777777" w:rsidR="002653E8" w:rsidRDefault="002653E8">
      <w:pPr>
        <w:spacing w:line="276" w:lineRule="auto"/>
        <w:rPr>
          <w:rFonts w:ascii="Gill Sans MT"/>
          <w:sz w:val="18"/>
        </w:rPr>
        <w:sectPr w:rsidR="002653E8">
          <w:footerReference w:type="even" r:id="rId538"/>
          <w:pgSz w:w="8640" w:h="12960"/>
          <w:pgMar w:top="1060" w:right="0" w:bottom="280" w:left="0" w:header="0" w:footer="0" w:gutter="0"/>
          <w:cols w:num="2" w:space="720" w:equalWidth="0">
            <w:col w:w="4284" w:space="40"/>
            <w:col w:w="4316"/>
          </w:cols>
        </w:sectPr>
      </w:pPr>
    </w:p>
    <w:p w14:paraId="0A16D6FB" w14:textId="77777777" w:rsidR="002653E8" w:rsidRDefault="002653E8">
      <w:pPr>
        <w:pStyle w:val="a3"/>
        <w:rPr>
          <w:rFonts w:ascii="Gill Sans MT"/>
        </w:rPr>
      </w:pPr>
    </w:p>
    <w:p w14:paraId="2942110F" w14:textId="77777777" w:rsidR="002653E8" w:rsidRDefault="002653E8">
      <w:pPr>
        <w:pStyle w:val="a3"/>
        <w:rPr>
          <w:rFonts w:ascii="Gill Sans MT"/>
        </w:rPr>
      </w:pPr>
    </w:p>
    <w:p w14:paraId="669536ED" w14:textId="77777777" w:rsidR="002653E8" w:rsidRDefault="002653E8">
      <w:pPr>
        <w:pStyle w:val="a3"/>
        <w:rPr>
          <w:rFonts w:ascii="Gill Sans MT"/>
        </w:rPr>
      </w:pPr>
    </w:p>
    <w:p w14:paraId="05691112" w14:textId="77777777" w:rsidR="002653E8" w:rsidRDefault="002653E8">
      <w:pPr>
        <w:rPr>
          <w:rFonts w:ascii="Gill Sans MT"/>
        </w:rPr>
        <w:sectPr w:rsidR="002653E8">
          <w:type w:val="continuous"/>
          <w:pgSz w:w="8640" w:h="12960"/>
          <w:pgMar w:top="0" w:right="0" w:bottom="0" w:left="0" w:header="720" w:footer="720" w:gutter="0"/>
          <w:cols w:space="720"/>
        </w:sectPr>
      </w:pPr>
    </w:p>
    <w:p w14:paraId="2AC09364" w14:textId="77777777" w:rsidR="002653E8" w:rsidRDefault="002653E8">
      <w:pPr>
        <w:pStyle w:val="a3"/>
        <w:spacing w:before="3"/>
        <w:rPr>
          <w:rFonts w:ascii="Gill Sans MT"/>
          <w:sz w:val="23"/>
        </w:rPr>
      </w:pPr>
    </w:p>
    <w:p w14:paraId="38E3317B" w14:textId="77777777" w:rsidR="002653E8" w:rsidRDefault="003115E3">
      <w:pPr>
        <w:ind w:left="1327"/>
        <w:rPr>
          <w:sz w:val="18"/>
        </w:rPr>
      </w:pPr>
      <w:r>
        <w:rPr>
          <w:color w:val="231F20"/>
          <w:w w:val="120"/>
          <w:sz w:val="18"/>
        </w:rPr>
        <w:t>a chronology</w:t>
      </w:r>
      <w:r>
        <w:rPr>
          <w:color w:val="231F20"/>
          <w:sz w:val="18"/>
        </w:rPr>
        <w:t xml:space="preserve"> </w:t>
      </w:r>
    </w:p>
    <w:p w14:paraId="7EEE0077" w14:textId="77777777" w:rsidR="002653E8" w:rsidRDefault="003115E3">
      <w:pPr>
        <w:spacing w:before="5"/>
        <w:ind w:left="1327"/>
        <w:rPr>
          <w:sz w:val="18"/>
        </w:rPr>
      </w:pPr>
      <w:r>
        <w:rPr>
          <w:color w:val="231F20"/>
          <w:w w:val="105"/>
          <w:sz w:val="18"/>
        </w:rPr>
        <w:t>november 2, 1993</w:t>
      </w:r>
      <w:r>
        <w:rPr>
          <w:color w:val="231F20"/>
          <w:sz w:val="18"/>
        </w:rPr>
        <w:t xml:space="preserve"> </w:t>
      </w:r>
    </w:p>
    <w:p w14:paraId="0B94CBB2" w14:textId="77777777" w:rsidR="002653E8" w:rsidRDefault="003115E3">
      <w:pPr>
        <w:pStyle w:val="a3"/>
        <w:spacing w:before="2"/>
        <w:rPr>
          <w:sz w:val="19"/>
        </w:rPr>
      </w:pPr>
      <w:r>
        <w:br w:type="column"/>
      </w:r>
    </w:p>
    <w:p w14:paraId="665725E2" w14:textId="77777777" w:rsidR="002653E8" w:rsidRDefault="003115E3">
      <w:pPr>
        <w:ind w:left="1346" w:right="1141"/>
        <w:jc w:val="center"/>
        <w:rPr>
          <w:sz w:val="18"/>
        </w:rPr>
      </w:pPr>
      <w:r>
        <w:rPr>
          <w:color w:val="231F20"/>
          <w:sz w:val="18"/>
        </w:rPr>
        <w:t xml:space="preserve">623 </w:t>
      </w:r>
    </w:p>
    <w:p w14:paraId="38552E1D" w14:textId="77777777" w:rsidR="002653E8" w:rsidRDefault="002653E8">
      <w:pPr>
        <w:jc w:val="center"/>
        <w:rPr>
          <w:sz w:val="18"/>
        </w:rPr>
        <w:sectPr w:rsidR="002653E8">
          <w:type w:val="continuous"/>
          <w:pgSz w:w="8640" w:h="12960"/>
          <w:pgMar w:top="0" w:right="0" w:bottom="0" w:left="0" w:header="720" w:footer="720" w:gutter="0"/>
          <w:cols w:num="2" w:space="720" w:equalWidth="0">
            <w:col w:w="3288" w:space="2526"/>
            <w:col w:w="2826"/>
          </w:cols>
        </w:sectPr>
      </w:pPr>
    </w:p>
    <w:p w14:paraId="36D6CE4D" w14:textId="77777777" w:rsidR="002653E8" w:rsidRDefault="003115E3">
      <w:pPr>
        <w:spacing w:before="91"/>
        <w:ind w:left="1147"/>
        <w:rPr>
          <w:rFonts w:ascii="Arial"/>
          <w:b/>
          <w:sz w:val="18"/>
        </w:rPr>
      </w:pPr>
      <w:r>
        <w:rPr>
          <w:rFonts w:ascii="Arial"/>
          <w:b/>
          <w:color w:val="231F20"/>
          <w:w w:val="115"/>
          <w:sz w:val="18"/>
        </w:rPr>
        <w:lastRenderedPageBreak/>
        <w:t>November 24, 1993</w:t>
      </w:r>
    </w:p>
    <w:p w14:paraId="69B5298D" w14:textId="77777777" w:rsidR="002653E8" w:rsidRDefault="003115E3">
      <w:pPr>
        <w:spacing w:before="34" w:line="276" w:lineRule="auto"/>
        <w:ind w:left="1147" w:right="91"/>
        <w:rPr>
          <w:rFonts w:ascii="Gill Sans MT" w:hAnsi="Gill Sans MT"/>
          <w:sz w:val="18"/>
        </w:rPr>
      </w:pPr>
      <w:r>
        <w:rPr>
          <w:rFonts w:ascii="Gill Sans MT" w:hAnsi="Gill Sans MT"/>
          <w:color w:val="231F20"/>
          <w:w w:val="110"/>
          <w:sz w:val="18"/>
        </w:rPr>
        <w:t xml:space="preserve">The düsseldorf OLG sentences </w:t>
      </w:r>
      <w:r w:rsidR="00C507A5">
        <w:rPr>
          <w:rFonts w:ascii="Gill Sans MT" w:hAnsi="Gill Sans MT"/>
          <w:color w:val="231F20"/>
          <w:w w:val="110"/>
          <w:sz w:val="18"/>
        </w:rPr>
        <w:t>red army faction</w:t>
      </w:r>
      <w:r>
        <w:rPr>
          <w:rFonts w:ascii="Gill Sans MT" w:hAnsi="Gill Sans MT"/>
          <w:color w:val="231F20"/>
          <w:w w:val="110"/>
          <w:sz w:val="18"/>
        </w:rPr>
        <w:t xml:space="preserve"> member Rolf Clemens</w:t>
      </w:r>
      <w:r>
        <w:rPr>
          <w:rFonts w:ascii="Gill Sans MT" w:hAnsi="Gill Sans MT"/>
          <w:color w:val="231F20"/>
          <w:spacing w:val="-40"/>
          <w:w w:val="110"/>
          <w:sz w:val="18"/>
        </w:rPr>
        <w:t xml:space="preserve"> </w:t>
      </w:r>
      <w:r>
        <w:rPr>
          <w:rFonts w:ascii="Gill Sans MT" w:hAnsi="Gill Sans MT"/>
          <w:color w:val="231F20"/>
          <w:w w:val="110"/>
          <w:sz w:val="18"/>
        </w:rPr>
        <w:t>Wagner to 12 years for the attempted assassination of Alexander Haig, largely on the basis of testimony by Werner</w:t>
      </w:r>
      <w:r>
        <w:rPr>
          <w:rFonts w:ascii="Gill Sans MT" w:hAnsi="Gill Sans MT"/>
          <w:color w:val="231F20"/>
          <w:spacing w:val="-7"/>
          <w:w w:val="110"/>
          <w:sz w:val="18"/>
        </w:rPr>
        <w:t xml:space="preserve"> </w:t>
      </w:r>
      <w:r>
        <w:rPr>
          <w:rFonts w:ascii="Gill Sans MT" w:hAnsi="Gill Sans MT"/>
          <w:color w:val="231F20"/>
          <w:w w:val="110"/>
          <w:sz w:val="18"/>
        </w:rPr>
        <w:t>Lotze.</w:t>
      </w:r>
    </w:p>
    <w:p w14:paraId="6607EE4C" w14:textId="77777777" w:rsidR="002653E8" w:rsidRDefault="002653E8">
      <w:pPr>
        <w:pStyle w:val="a3"/>
        <w:rPr>
          <w:rFonts w:ascii="Gill Sans MT"/>
        </w:rPr>
      </w:pPr>
    </w:p>
    <w:p w14:paraId="594DBEE9" w14:textId="77777777" w:rsidR="002653E8" w:rsidRDefault="002653E8">
      <w:pPr>
        <w:pStyle w:val="a3"/>
        <w:spacing w:before="1"/>
        <w:rPr>
          <w:rFonts w:ascii="Gill Sans MT"/>
        </w:rPr>
      </w:pPr>
    </w:p>
    <w:p w14:paraId="16A1E0AA" w14:textId="77777777" w:rsidR="002653E8" w:rsidRDefault="003115E3">
      <w:pPr>
        <w:pStyle w:val="5"/>
        <w:ind w:left="1147"/>
      </w:pPr>
      <w:r>
        <w:rPr>
          <w:color w:val="231F20"/>
          <w:w w:val="120"/>
        </w:rPr>
        <w:t>1994</w:t>
      </w:r>
    </w:p>
    <w:p w14:paraId="5B34A270" w14:textId="77777777" w:rsidR="002653E8" w:rsidRDefault="003115E3">
      <w:pPr>
        <w:spacing w:before="12"/>
        <w:ind w:left="1147"/>
        <w:rPr>
          <w:rFonts w:ascii="Arial"/>
          <w:b/>
          <w:sz w:val="18"/>
        </w:rPr>
      </w:pPr>
      <w:r>
        <w:rPr>
          <w:rFonts w:ascii="Arial"/>
          <w:b/>
          <w:color w:val="231F20"/>
          <w:w w:val="115"/>
          <w:sz w:val="18"/>
        </w:rPr>
        <w:t>March 6, 1994</w:t>
      </w:r>
    </w:p>
    <w:p w14:paraId="0D4883DF" w14:textId="77777777" w:rsidR="002653E8" w:rsidRDefault="003115E3">
      <w:pPr>
        <w:spacing w:before="34" w:line="276" w:lineRule="auto"/>
        <w:ind w:left="1147" w:right="-18"/>
        <w:rPr>
          <w:rFonts w:ascii="Gill Sans MT"/>
          <w:sz w:val="18"/>
        </w:rPr>
      </w:pPr>
      <w:r>
        <w:rPr>
          <w:rFonts w:ascii="Gill Sans MT"/>
          <w:color w:val="231F20"/>
          <w:w w:val="110"/>
          <w:sz w:val="18"/>
        </w:rPr>
        <w:t xml:space="preserve">The </w:t>
      </w:r>
      <w:r w:rsidR="00C507A5">
        <w:rPr>
          <w:rFonts w:ascii="Gill Sans MT"/>
          <w:color w:val="231F20"/>
          <w:w w:val="110"/>
          <w:sz w:val="18"/>
        </w:rPr>
        <w:t>red army faction</w:t>
      </w:r>
      <w:r>
        <w:rPr>
          <w:rFonts w:ascii="Gill Sans MT"/>
          <w:color w:val="231F20"/>
          <w:w w:val="110"/>
          <w:sz w:val="18"/>
        </w:rPr>
        <w:t xml:space="preserve"> releases a statement assessing their relationship with police infiltrator Klaus</w:t>
      </w:r>
      <w:r>
        <w:rPr>
          <w:rFonts w:ascii="Gill Sans MT"/>
          <w:color w:val="231F20"/>
          <w:spacing w:val="-4"/>
          <w:w w:val="110"/>
          <w:sz w:val="18"/>
        </w:rPr>
        <w:t xml:space="preserve"> </w:t>
      </w:r>
      <w:r>
        <w:rPr>
          <w:rFonts w:ascii="Gill Sans MT"/>
          <w:color w:val="231F20"/>
          <w:w w:val="110"/>
          <w:sz w:val="18"/>
        </w:rPr>
        <w:t>Steinmetz</w:t>
      </w:r>
      <w:r>
        <w:rPr>
          <w:rFonts w:ascii="Gill Sans MT"/>
          <w:color w:val="231F20"/>
          <w:spacing w:val="-2"/>
          <w:w w:val="110"/>
          <w:sz w:val="18"/>
        </w:rPr>
        <w:t xml:space="preserve"> </w:t>
      </w:r>
      <w:r>
        <w:rPr>
          <w:rFonts w:ascii="Gill Sans MT"/>
          <w:color w:val="231F20"/>
          <w:w w:val="110"/>
          <w:sz w:val="18"/>
        </w:rPr>
        <w:t>and</w:t>
      </w:r>
      <w:r>
        <w:rPr>
          <w:rFonts w:ascii="Gill Sans MT"/>
          <w:color w:val="231F20"/>
          <w:w w:val="117"/>
          <w:sz w:val="18"/>
        </w:rPr>
        <w:t xml:space="preserve"> </w:t>
      </w:r>
      <w:r>
        <w:rPr>
          <w:rFonts w:ascii="Gill Sans MT"/>
          <w:color w:val="231F20"/>
          <w:w w:val="110"/>
          <w:sz w:val="18"/>
        </w:rPr>
        <w:t xml:space="preserve">the killing of </w:t>
      </w:r>
      <w:r w:rsidR="00C507A5">
        <w:rPr>
          <w:rFonts w:ascii="Gill Sans MT"/>
          <w:color w:val="231F20"/>
          <w:w w:val="110"/>
          <w:sz w:val="18"/>
        </w:rPr>
        <w:t>red army faction</w:t>
      </w:r>
      <w:r>
        <w:rPr>
          <w:rFonts w:ascii="Gill Sans MT"/>
          <w:color w:val="231F20"/>
          <w:w w:val="110"/>
          <w:sz w:val="18"/>
        </w:rPr>
        <w:t xml:space="preserve"> member Wolfgang Grams. They again reiterate their decision not to carry out attacks against representatives of the state and industry and call for a broadbased debate to determine the next step to be taken by the movement. They also demand association for political</w:t>
      </w:r>
      <w:r>
        <w:rPr>
          <w:rFonts w:ascii="Gill Sans MT"/>
          <w:color w:val="231F20"/>
          <w:spacing w:val="-5"/>
          <w:w w:val="110"/>
          <w:sz w:val="18"/>
        </w:rPr>
        <w:t xml:space="preserve"> </w:t>
      </w:r>
      <w:r>
        <w:rPr>
          <w:rFonts w:ascii="Gill Sans MT"/>
          <w:color w:val="231F20"/>
          <w:w w:val="110"/>
          <w:sz w:val="18"/>
        </w:rPr>
        <w:t>prisoners.</w:t>
      </w:r>
    </w:p>
    <w:p w14:paraId="31F7CC0B" w14:textId="77777777" w:rsidR="002653E8" w:rsidRDefault="002653E8">
      <w:pPr>
        <w:pStyle w:val="a3"/>
        <w:spacing w:before="6"/>
        <w:rPr>
          <w:rFonts w:ascii="Gill Sans MT"/>
        </w:rPr>
      </w:pPr>
    </w:p>
    <w:p w14:paraId="0A5B8729" w14:textId="77777777" w:rsidR="002653E8" w:rsidRDefault="003115E3">
      <w:pPr>
        <w:ind w:left="1147"/>
        <w:rPr>
          <w:rFonts w:ascii="Arial"/>
          <w:b/>
          <w:sz w:val="18"/>
        </w:rPr>
      </w:pPr>
      <w:r>
        <w:rPr>
          <w:rFonts w:ascii="Arial"/>
          <w:b/>
          <w:color w:val="231F20"/>
          <w:w w:val="115"/>
          <w:sz w:val="18"/>
        </w:rPr>
        <w:t>April 28, 1994</w:t>
      </w:r>
    </w:p>
    <w:p w14:paraId="745CD61B" w14:textId="77777777" w:rsidR="002653E8" w:rsidRDefault="003115E3">
      <w:pPr>
        <w:spacing w:before="35" w:line="276" w:lineRule="auto"/>
        <w:ind w:left="1147" w:right="105"/>
        <w:rPr>
          <w:rFonts w:ascii="Gill Sans MT"/>
          <w:sz w:val="18"/>
        </w:rPr>
      </w:pPr>
      <w:r>
        <w:rPr>
          <w:rFonts w:ascii="Gill Sans MT"/>
          <w:color w:val="231F20"/>
          <w:w w:val="110"/>
          <w:sz w:val="18"/>
        </w:rPr>
        <w:t xml:space="preserve">The Frankfurt OLG sentences </w:t>
      </w:r>
      <w:r w:rsidR="00C507A5">
        <w:rPr>
          <w:rFonts w:ascii="Gill Sans MT"/>
          <w:color w:val="231F20"/>
          <w:w w:val="110"/>
          <w:sz w:val="18"/>
        </w:rPr>
        <w:t>red army faction</w:t>
      </w:r>
      <w:r>
        <w:rPr>
          <w:rFonts w:ascii="Gill Sans MT"/>
          <w:color w:val="231F20"/>
          <w:w w:val="110"/>
          <w:sz w:val="18"/>
        </w:rPr>
        <w:t xml:space="preserve"> member Eva Haule to life in prison.</w:t>
      </w:r>
    </w:p>
    <w:p w14:paraId="288EBC13" w14:textId="77777777" w:rsidR="002653E8" w:rsidRDefault="002653E8">
      <w:pPr>
        <w:pStyle w:val="a3"/>
        <w:spacing w:before="6"/>
        <w:rPr>
          <w:rFonts w:ascii="Gill Sans MT"/>
        </w:rPr>
      </w:pPr>
    </w:p>
    <w:p w14:paraId="06D1FEE5" w14:textId="77777777" w:rsidR="002653E8" w:rsidRDefault="003115E3">
      <w:pPr>
        <w:ind w:left="1147"/>
        <w:rPr>
          <w:rFonts w:ascii="Arial"/>
          <w:b/>
          <w:sz w:val="18"/>
        </w:rPr>
      </w:pPr>
      <w:r>
        <w:rPr>
          <w:rFonts w:ascii="Arial"/>
          <w:b/>
          <w:color w:val="231F20"/>
          <w:w w:val="115"/>
          <w:sz w:val="18"/>
        </w:rPr>
        <w:t>April 29, 1994</w:t>
      </w:r>
    </w:p>
    <w:p w14:paraId="412C5070" w14:textId="77777777" w:rsidR="002653E8" w:rsidRDefault="00C507A5">
      <w:pPr>
        <w:spacing w:before="35" w:line="276" w:lineRule="auto"/>
        <w:ind w:left="1147" w:right="107"/>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prisoner Bernd Rössner is pardoned by President Richard von Weizsäcker.</w:t>
      </w:r>
    </w:p>
    <w:p w14:paraId="5C16A9D5" w14:textId="77777777" w:rsidR="002653E8" w:rsidRDefault="002653E8">
      <w:pPr>
        <w:pStyle w:val="a3"/>
        <w:spacing w:before="6"/>
        <w:rPr>
          <w:rFonts w:ascii="Gill Sans MT"/>
        </w:rPr>
      </w:pPr>
    </w:p>
    <w:p w14:paraId="6C7E45B7" w14:textId="77777777" w:rsidR="002653E8" w:rsidRDefault="003115E3">
      <w:pPr>
        <w:ind w:left="1147"/>
        <w:rPr>
          <w:rFonts w:ascii="Arial" w:hAnsi="Arial"/>
          <w:b/>
          <w:sz w:val="18"/>
        </w:rPr>
      </w:pPr>
      <w:r>
        <w:rPr>
          <w:rFonts w:ascii="Arial" w:hAnsi="Arial"/>
          <w:b/>
          <w:color w:val="231F20"/>
          <w:w w:val="115"/>
          <w:sz w:val="18"/>
        </w:rPr>
        <w:t>July 27–August 3, 1994</w:t>
      </w:r>
    </w:p>
    <w:p w14:paraId="4345688E" w14:textId="77777777" w:rsidR="002653E8" w:rsidRDefault="00C507A5">
      <w:pPr>
        <w:spacing w:before="35" w:line="276" w:lineRule="auto"/>
        <w:ind w:left="1147" w:right="221"/>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prisoners Manuela Happe, Eva Haule, Rolf Heissler, Sieglinde Hofmann, Christian Klar, Hanna Krabbe, Christine Kuby, Irmgard</w:t>
      </w:r>
    </w:p>
    <w:p w14:paraId="58C8D8CA" w14:textId="77777777" w:rsidR="002653E8" w:rsidRDefault="003115E3">
      <w:pPr>
        <w:spacing w:line="276" w:lineRule="auto"/>
        <w:ind w:left="1147" w:right="33"/>
        <w:rPr>
          <w:rFonts w:ascii="Gill Sans MT" w:hAnsi="Gill Sans MT"/>
          <w:sz w:val="18"/>
        </w:rPr>
      </w:pPr>
      <w:r>
        <w:rPr>
          <w:rFonts w:ascii="Gill Sans MT" w:hAnsi="Gill Sans MT"/>
          <w:color w:val="231F20"/>
          <w:spacing w:val="-3"/>
          <w:w w:val="115"/>
          <w:sz w:val="18"/>
        </w:rPr>
        <w:t>Möller,</w:t>
      </w:r>
      <w:r>
        <w:rPr>
          <w:rFonts w:ascii="Gill Sans MT" w:hAnsi="Gill Sans MT"/>
          <w:color w:val="231F20"/>
          <w:spacing w:val="-29"/>
          <w:w w:val="115"/>
          <w:sz w:val="18"/>
        </w:rPr>
        <w:t xml:space="preserve"> </w:t>
      </w:r>
      <w:r>
        <w:rPr>
          <w:rFonts w:ascii="Gill Sans MT" w:hAnsi="Gill Sans MT"/>
          <w:color w:val="231F20"/>
          <w:w w:val="115"/>
          <w:sz w:val="18"/>
        </w:rPr>
        <w:t>Brigitte</w:t>
      </w:r>
      <w:r>
        <w:rPr>
          <w:rFonts w:ascii="Gill Sans MT" w:hAnsi="Gill Sans MT"/>
          <w:color w:val="231F20"/>
          <w:spacing w:val="-29"/>
          <w:w w:val="115"/>
          <w:sz w:val="18"/>
        </w:rPr>
        <w:t xml:space="preserve"> </w:t>
      </w:r>
      <w:r>
        <w:rPr>
          <w:rFonts w:ascii="Gill Sans MT" w:hAnsi="Gill Sans MT"/>
          <w:color w:val="231F20"/>
          <w:w w:val="115"/>
          <w:sz w:val="18"/>
        </w:rPr>
        <w:t>Mohnhaupt,</w:t>
      </w:r>
      <w:r>
        <w:rPr>
          <w:rFonts w:ascii="Gill Sans MT" w:hAnsi="Gill Sans MT"/>
          <w:color w:val="231F20"/>
          <w:spacing w:val="-29"/>
          <w:w w:val="115"/>
          <w:sz w:val="18"/>
        </w:rPr>
        <w:t xml:space="preserve"> </w:t>
      </w:r>
      <w:r>
        <w:rPr>
          <w:rFonts w:ascii="Gill Sans MT" w:hAnsi="Gill Sans MT"/>
          <w:color w:val="231F20"/>
          <w:w w:val="115"/>
          <w:sz w:val="18"/>
        </w:rPr>
        <w:t>Helmut Pohl,</w:t>
      </w:r>
      <w:r>
        <w:rPr>
          <w:rFonts w:ascii="Gill Sans MT" w:hAnsi="Gill Sans MT"/>
          <w:color w:val="231F20"/>
          <w:spacing w:val="-27"/>
          <w:w w:val="115"/>
          <w:sz w:val="18"/>
        </w:rPr>
        <w:t xml:space="preserve"> </w:t>
      </w:r>
      <w:r>
        <w:rPr>
          <w:rFonts w:ascii="Gill Sans MT" w:hAnsi="Gill Sans MT"/>
          <w:color w:val="231F20"/>
          <w:w w:val="115"/>
          <w:sz w:val="18"/>
        </w:rPr>
        <w:t>Adelheid</w:t>
      </w:r>
      <w:r>
        <w:rPr>
          <w:rFonts w:ascii="Gill Sans MT" w:hAnsi="Gill Sans MT"/>
          <w:color w:val="231F20"/>
          <w:spacing w:val="-27"/>
          <w:w w:val="115"/>
          <w:sz w:val="18"/>
        </w:rPr>
        <w:t xml:space="preserve"> </w:t>
      </w:r>
      <w:r>
        <w:rPr>
          <w:rFonts w:ascii="Gill Sans MT" w:hAnsi="Gill Sans MT"/>
          <w:color w:val="231F20"/>
          <w:w w:val="115"/>
          <w:sz w:val="18"/>
        </w:rPr>
        <w:t>Schulz,</w:t>
      </w:r>
      <w:r>
        <w:rPr>
          <w:rFonts w:ascii="Gill Sans MT" w:hAnsi="Gill Sans MT"/>
          <w:color w:val="231F20"/>
          <w:spacing w:val="-27"/>
          <w:w w:val="115"/>
          <w:sz w:val="18"/>
        </w:rPr>
        <w:t xml:space="preserve"> </w:t>
      </w:r>
      <w:r>
        <w:rPr>
          <w:rFonts w:ascii="Gill Sans MT" w:hAnsi="Gill Sans MT"/>
          <w:color w:val="231F20"/>
          <w:w w:val="115"/>
          <w:sz w:val="18"/>
        </w:rPr>
        <w:t>Rolf</w:t>
      </w:r>
      <w:r>
        <w:rPr>
          <w:rFonts w:ascii="Gill Sans MT" w:hAnsi="Gill Sans MT"/>
          <w:color w:val="231F20"/>
          <w:spacing w:val="-27"/>
          <w:w w:val="115"/>
          <w:sz w:val="18"/>
        </w:rPr>
        <w:t xml:space="preserve"> </w:t>
      </w:r>
      <w:r>
        <w:rPr>
          <w:rFonts w:ascii="Gill Sans MT" w:hAnsi="Gill Sans MT"/>
          <w:color w:val="231F20"/>
          <w:w w:val="115"/>
          <w:sz w:val="18"/>
        </w:rPr>
        <w:t xml:space="preserve">Clemens </w:t>
      </w:r>
      <w:r>
        <w:rPr>
          <w:rFonts w:ascii="Gill Sans MT" w:hAnsi="Gill Sans MT"/>
          <w:color w:val="231F20"/>
          <w:spacing w:val="-4"/>
          <w:w w:val="115"/>
          <w:sz w:val="18"/>
        </w:rPr>
        <w:t xml:space="preserve">Wagner, </w:t>
      </w:r>
      <w:r>
        <w:rPr>
          <w:rFonts w:ascii="Gill Sans MT" w:hAnsi="Gill Sans MT"/>
          <w:color w:val="231F20"/>
          <w:w w:val="115"/>
          <w:sz w:val="18"/>
        </w:rPr>
        <w:t>and Birgit Hogefeld engage in a limited hunger</w:t>
      </w:r>
      <w:r>
        <w:rPr>
          <w:rFonts w:ascii="Gill Sans MT" w:hAnsi="Gill Sans MT"/>
          <w:color w:val="231F20"/>
          <w:spacing w:val="-43"/>
          <w:w w:val="115"/>
          <w:sz w:val="18"/>
        </w:rPr>
        <w:t xml:space="preserve"> </w:t>
      </w:r>
      <w:r>
        <w:rPr>
          <w:rFonts w:ascii="Gill Sans MT" w:hAnsi="Gill Sans MT"/>
          <w:color w:val="231F20"/>
          <w:w w:val="115"/>
          <w:sz w:val="18"/>
        </w:rPr>
        <w:t>strike</w:t>
      </w:r>
    </w:p>
    <w:p w14:paraId="2C31A8FB" w14:textId="77777777" w:rsidR="002653E8" w:rsidRDefault="003115E3">
      <w:pPr>
        <w:spacing w:before="92" w:line="273" w:lineRule="auto"/>
        <w:ind w:left="201" w:right="1536"/>
        <w:rPr>
          <w:rFonts w:ascii="Gill Sans MT" w:hAnsi="Gill Sans MT"/>
          <w:sz w:val="18"/>
        </w:rPr>
      </w:pPr>
      <w:r>
        <w:br w:type="column"/>
      </w:r>
      <w:r>
        <w:rPr>
          <w:rFonts w:ascii="Gill Sans MT" w:hAnsi="Gill Sans MT"/>
          <w:color w:val="231F20"/>
          <w:w w:val="110"/>
          <w:sz w:val="18"/>
        </w:rPr>
        <w:t xml:space="preserve">demanding the release of Irmgard Möller who has been imprisoned since </w:t>
      </w:r>
      <w:r>
        <w:rPr>
          <w:rFonts w:ascii="Arial" w:hAnsi="Arial"/>
          <w:color w:val="231F20"/>
          <w:w w:val="110"/>
          <w:sz w:val="18"/>
        </w:rPr>
        <w:t>1972</w:t>
      </w:r>
      <w:r>
        <w:rPr>
          <w:rFonts w:ascii="Gill Sans MT" w:hAnsi="Gill Sans MT"/>
          <w:color w:val="231F20"/>
          <w:w w:val="110"/>
          <w:sz w:val="18"/>
        </w:rPr>
        <w:t xml:space="preserve">. Although they refer to it as the </w:t>
      </w:r>
      <w:r w:rsidR="00C507A5">
        <w:rPr>
          <w:rFonts w:ascii="Gill Sans MT" w:hAnsi="Gill Sans MT"/>
          <w:color w:val="231F20"/>
          <w:spacing w:val="-3"/>
          <w:w w:val="110"/>
          <w:sz w:val="18"/>
        </w:rPr>
        <w:t>red army faction</w:t>
      </w:r>
      <w:r>
        <w:rPr>
          <w:rFonts w:ascii="Gill Sans MT" w:hAnsi="Gill Sans MT"/>
          <w:color w:val="231F20"/>
          <w:spacing w:val="-3"/>
          <w:w w:val="110"/>
          <w:sz w:val="18"/>
        </w:rPr>
        <w:t xml:space="preserve">’s </w:t>
      </w:r>
      <w:r>
        <w:rPr>
          <w:rFonts w:ascii="Arial" w:hAnsi="Arial"/>
          <w:color w:val="231F20"/>
          <w:w w:val="110"/>
          <w:sz w:val="18"/>
        </w:rPr>
        <w:t>11</w:t>
      </w:r>
      <w:r>
        <w:rPr>
          <w:rFonts w:ascii="Gill Sans MT" w:hAnsi="Gill Sans MT"/>
          <w:color w:val="231F20"/>
          <w:w w:val="110"/>
          <w:sz w:val="18"/>
        </w:rPr>
        <w:t>th</w:t>
      </w:r>
      <w:r>
        <w:rPr>
          <w:rFonts w:ascii="Gill Sans MT" w:hAnsi="Gill Sans MT"/>
          <w:color w:val="231F20"/>
          <w:spacing w:val="-35"/>
          <w:w w:val="110"/>
          <w:sz w:val="18"/>
        </w:rPr>
        <w:t xml:space="preserve"> </w:t>
      </w:r>
      <w:r>
        <w:rPr>
          <w:rFonts w:ascii="Gill Sans MT" w:hAnsi="Gill Sans MT"/>
          <w:color w:val="231F20"/>
          <w:w w:val="110"/>
          <w:sz w:val="18"/>
        </w:rPr>
        <w:t>collective</w:t>
      </w:r>
    </w:p>
    <w:p w14:paraId="082C78BB" w14:textId="77777777" w:rsidR="002653E8" w:rsidRDefault="003115E3">
      <w:pPr>
        <w:spacing w:before="5" w:line="276" w:lineRule="auto"/>
        <w:ind w:left="201" w:right="1403"/>
        <w:jc w:val="both"/>
        <w:rPr>
          <w:rFonts w:ascii="Gill Sans MT"/>
          <w:sz w:val="18"/>
        </w:rPr>
      </w:pPr>
      <w:r>
        <w:rPr>
          <w:rFonts w:ascii="Gill Sans MT"/>
          <w:color w:val="231F20"/>
          <w:w w:val="110"/>
          <w:sz w:val="18"/>
        </w:rPr>
        <w:t>hungerstrike, a number of</w:t>
      </w:r>
      <w:r>
        <w:rPr>
          <w:rFonts w:ascii="Gill Sans MT"/>
          <w:color w:val="231F20"/>
          <w:spacing w:val="-9"/>
          <w:w w:val="110"/>
          <w:sz w:val="18"/>
        </w:rPr>
        <w:t xml:space="preserve"> </w:t>
      </w:r>
      <w:r>
        <w:rPr>
          <w:rFonts w:ascii="Gill Sans MT"/>
          <w:color w:val="231F20"/>
          <w:w w:val="110"/>
          <w:sz w:val="18"/>
        </w:rPr>
        <w:t>prisoners do not participate, a further sign of the gravity of the split in the</w:t>
      </w:r>
      <w:r>
        <w:rPr>
          <w:rFonts w:ascii="Gill Sans MT"/>
          <w:color w:val="231F20"/>
          <w:spacing w:val="25"/>
          <w:w w:val="110"/>
          <w:sz w:val="18"/>
        </w:rPr>
        <w:t xml:space="preserve"> </w:t>
      </w:r>
      <w:r>
        <w:rPr>
          <w:rFonts w:ascii="Gill Sans MT"/>
          <w:color w:val="231F20"/>
          <w:w w:val="110"/>
          <w:sz w:val="18"/>
        </w:rPr>
        <w:t>group.</w:t>
      </w:r>
    </w:p>
    <w:p w14:paraId="2D2065B7" w14:textId="77777777" w:rsidR="002653E8" w:rsidRDefault="002653E8">
      <w:pPr>
        <w:pStyle w:val="a3"/>
        <w:spacing w:before="6"/>
        <w:rPr>
          <w:rFonts w:ascii="Gill Sans MT"/>
        </w:rPr>
      </w:pPr>
    </w:p>
    <w:p w14:paraId="4EEAF7C5" w14:textId="77777777" w:rsidR="002653E8" w:rsidRDefault="003115E3">
      <w:pPr>
        <w:spacing w:before="1"/>
        <w:ind w:left="201"/>
        <w:rPr>
          <w:rFonts w:ascii="Arial"/>
          <w:b/>
          <w:sz w:val="18"/>
        </w:rPr>
      </w:pPr>
      <w:r>
        <w:rPr>
          <w:rFonts w:ascii="Arial"/>
          <w:b/>
          <w:color w:val="231F20"/>
          <w:w w:val="115"/>
          <w:sz w:val="18"/>
        </w:rPr>
        <w:t>December 1, 1994</w:t>
      </w:r>
    </w:p>
    <w:p w14:paraId="273015B0" w14:textId="77777777" w:rsidR="002653E8" w:rsidRDefault="00C507A5">
      <w:pPr>
        <w:spacing w:before="34" w:line="276" w:lineRule="auto"/>
        <w:ind w:left="201" w:right="1536"/>
        <w:rPr>
          <w:rFonts w:ascii="Gill Sans MT" w:hAnsi="Gill Sans MT"/>
          <w:sz w:val="18"/>
        </w:rPr>
      </w:pPr>
      <w:r>
        <w:rPr>
          <w:rFonts w:ascii="Gill Sans MT" w:hAnsi="Gill Sans MT"/>
          <w:color w:val="231F20"/>
          <w:w w:val="110"/>
          <w:sz w:val="18"/>
        </w:rPr>
        <w:t>red army faction</w:t>
      </w:r>
      <w:r w:rsidR="003115E3">
        <w:rPr>
          <w:rFonts w:ascii="Gill Sans MT" w:hAnsi="Gill Sans MT"/>
          <w:color w:val="231F20"/>
          <w:w w:val="110"/>
          <w:sz w:val="18"/>
        </w:rPr>
        <w:t xml:space="preserve"> prisoner Irmgard Möller is released from prison.</w:t>
      </w:r>
    </w:p>
    <w:p w14:paraId="7ABCC199" w14:textId="77777777" w:rsidR="002653E8" w:rsidRDefault="002653E8">
      <w:pPr>
        <w:pStyle w:val="a3"/>
        <w:rPr>
          <w:rFonts w:ascii="Gill Sans MT"/>
        </w:rPr>
      </w:pPr>
    </w:p>
    <w:p w14:paraId="365C016B" w14:textId="77777777" w:rsidR="002653E8" w:rsidRDefault="002653E8">
      <w:pPr>
        <w:pStyle w:val="a3"/>
        <w:spacing w:before="1"/>
        <w:rPr>
          <w:rFonts w:ascii="Gill Sans MT"/>
        </w:rPr>
      </w:pPr>
    </w:p>
    <w:p w14:paraId="02AF4303" w14:textId="77777777" w:rsidR="002653E8" w:rsidRDefault="003115E3">
      <w:pPr>
        <w:pStyle w:val="5"/>
        <w:ind w:left="201"/>
      </w:pPr>
      <w:r>
        <w:rPr>
          <w:color w:val="231F20"/>
          <w:w w:val="120"/>
        </w:rPr>
        <w:t>1995</w:t>
      </w:r>
    </w:p>
    <w:p w14:paraId="18AA751A" w14:textId="77777777" w:rsidR="002653E8" w:rsidRDefault="003115E3">
      <w:pPr>
        <w:spacing w:before="12"/>
        <w:ind w:left="201"/>
        <w:rPr>
          <w:rFonts w:ascii="Arial"/>
          <w:b/>
          <w:sz w:val="18"/>
        </w:rPr>
      </w:pPr>
      <w:r>
        <w:rPr>
          <w:rFonts w:ascii="Arial"/>
          <w:b/>
          <w:color w:val="231F20"/>
          <w:w w:val="115"/>
          <w:sz w:val="18"/>
        </w:rPr>
        <w:t>February 21, 1995</w:t>
      </w:r>
    </w:p>
    <w:p w14:paraId="5E5B23F6" w14:textId="77777777" w:rsidR="002653E8" w:rsidRDefault="00C507A5">
      <w:pPr>
        <w:spacing w:before="34" w:line="276" w:lineRule="auto"/>
        <w:ind w:left="201" w:right="1752"/>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Christine Kuby is released from prison.</w:t>
      </w:r>
    </w:p>
    <w:p w14:paraId="697F8A14" w14:textId="77777777" w:rsidR="002653E8" w:rsidRDefault="002653E8">
      <w:pPr>
        <w:pStyle w:val="a3"/>
        <w:spacing w:before="7"/>
        <w:rPr>
          <w:rFonts w:ascii="Gill Sans MT"/>
        </w:rPr>
      </w:pPr>
    </w:p>
    <w:p w14:paraId="5CE108D1" w14:textId="77777777" w:rsidR="002653E8" w:rsidRDefault="003115E3">
      <w:pPr>
        <w:ind w:left="201"/>
        <w:rPr>
          <w:rFonts w:ascii="Arial"/>
          <w:b/>
          <w:sz w:val="18"/>
        </w:rPr>
      </w:pPr>
      <w:r>
        <w:rPr>
          <w:rFonts w:ascii="Arial"/>
          <w:b/>
          <w:color w:val="231F20"/>
          <w:w w:val="115"/>
          <w:sz w:val="18"/>
        </w:rPr>
        <w:t>April 25, 1995</w:t>
      </w:r>
    </w:p>
    <w:p w14:paraId="401C14D0" w14:textId="77777777" w:rsidR="002653E8" w:rsidRDefault="00C507A5">
      <w:pPr>
        <w:spacing w:before="34" w:line="276" w:lineRule="auto"/>
        <w:ind w:left="201" w:right="1725"/>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Manuela Happe is released from prison.</w:t>
      </w:r>
    </w:p>
    <w:p w14:paraId="10575611" w14:textId="77777777" w:rsidR="002653E8" w:rsidRDefault="002653E8">
      <w:pPr>
        <w:pStyle w:val="a3"/>
        <w:spacing w:before="7"/>
        <w:rPr>
          <w:rFonts w:ascii="Gill Sans MT"/>
        </w:rPr>
      </w:pPr>
    </w:p>
    <w:p w14:paraId="018D903D" w14:textId="77777777" w:rsidR="002653E8" w:rsidRDefault="003115E3">
      <w:pPr>
        <w:ind w:left="201"/>
        <w:rPr>
          <w:rFonts w:ascii="Arial"/>
          <w:b/>
          <w:sz w:val="18"/>
        </w:rPr>
      </w:pPr>
      <w:r>
        <w:rPr>
          <w:rFonts w:ascii="Arial"/>
          <w:b/>
          <w:color w:val="231F20"/>
          <w:w w:val="115"/>
          <w:sz w:val="18"/>
        </w:rPr>
        <w:t>April 26, 1995</w:t>
      </w:r>
    </w:p>
    <w:p w14:paraId="2EE32145" w14:textId="77777777" w:rsidR="002653E8" w:rsidRDefault="00C507A5">
      <w:pPr>
        <w:spacing w:before="34" w:line="276" w:lineRule="auto"/>
        <w:ind w:left="201" w:right="1313"/>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Lutz Taufer is released from prison.</w:t>
      </w:r>
    </w:p>
    <w:p w14:paraId="5A8014E1" w14:textId="77777777" w:rsidR="002653E8" w:rsidRDefault="002653E8">
      <w:pPr>
        <w:pStyle w:val="a3"/>
        <w:spacing w:before="7"/>
        <w:rPr>
          <w:rFonts w:ascii="Gill Sans MT"/>
        </w:rPr>
      </w:pPr>
    </w:p>
    <w:p w14:paraId="7EADE5A5" w14:textId="77777777" w:rsidR="002653E8" w:rsidRDefault="003115E3">
      <w:pPr>
        <w:ind w:left="201"/>
        <w:rPr>
          <w:rFonts w:ascii="Arial"/>
          <w:b/>
          <w:sz w:val="18"/>
        </w:rPr>
      </w:pPr>
      <w:r>
        <w:rPr>
          <w:rFonts w:ascii="Arial"/>
          <w:b/>
          <w:color w:val="231F20"/>
          <w:w w:val="120"/>
          <w:sz w:val="18"/>
        </w:rPr>
        <w:t>May 10, 1995</w:t>
      </w:r>
    </w:p>
    <w:p w14:paraId="704FF4A8" w14:textId="77777777" w:rsidR="002653E8" w:rsidRDefault="00C507A5">
      <w:pPr>
        <w:spacing w:before="34" w:line="276" w:lineRule="auto"/>
        <w:ind w:left="201" w:right="1508"/>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Karl-Heinz dellwo is released from prison.</w:t>
      </w:r>
    </w:p>
    <w:p w14:paraId="4669CBD7" w14:textId="77777777" w:rsidR="002653E8" w:rsidRDefault="002653E8">
      <w:pPr>
        <w:pStyle w:val="a3"/>
        <w:spacing w:before="7"/>
        <w:rPr>
          <w:rFonts w:ascii="Gill Sans MT"/>
        </w:rPr>
      </w:pPr>
    </w:p>
    <w:p w14:paraId="63BDC5DA" w14:textId="77777777" w:rsidR="002653E8" w:rsidRDefault="003115E3">
      <w:pPr>
        <w:ind w:left="201"/>
        <w:rPr>
          <w:rFonts w:ascii="Arial"/>
          <w:b/>
          <w:sz w:val="18"/>
        </w:rPr>
      </w:pPr>
      <w:r>
        <w:rPr>
          <w:rFonts w:ascii="Arial"/>
          <w:b/>
          <w:color w:val="231F20"/>
          <w:w w:val="115"/>
          <w:sz w:val="18"/>
        </w:rPr>
        <w:t>September 5, 1995</w:t>
      </w:r>
    </w:p>
    <w:p w14:paraId="025C38BB" w14:textId="77777777" w:rsidR="002653E8" w:rsidRDefault="003115E3">
      <w:pPr>
        <w:spacing w:before="34" w:line="276" w:lineRule="auto"/>
        <w:ind w:left="201" w:right="1262"/>
        <w:rPr>
          <w:rFonts w:ascii="Gill Sans MT" w:hAnsi="Gill Sans MT"/>
          <w:sz w:val="18"/>
        </w:rPr>
      </w:pPr>
      <w:r>
        <w:rPr>
          <w:rFonts w:ascii="Gill Sans MT" w:hAnsi="Gill Sans MT"/>
          <w:color w:val="231F20"/>
          <w:w w:val="110"/>
          <w:sz w:val="18"/>
        </w:rPr>
        <w:t xml:space="preserve">On the basis of testimony from former </w:t>
      </w:r>
      <w:r w:rsidR="00C507A5">
        <w:rPr>
          <w:rFonts w:ascii="Gill Sans MT" w:hAnsi="Gill Sans MT"/>
          <w:color w:val="231F20"/>
          <w:w w:val="110"/>
          <w:sz w:val="18"/>
        </w:rPr>
        <w:t>red army faction</w:t>
      </w:r>
      <w:r>
        <w:rPr>
          <w:rFonts w:ascii="Gill Sans MT" w:hAnsi="Gill Sans MT"/>
          <w:color w:val="231F20"/>
          <w:w w:val="110"/>
          <w:sz w:val="18"/>
        </w:rPr>
        <w:t xml:space="preserve"> members arrested in the former GdR, the düsseldorf OLG sentences </w:t>
      </w:r>
      <w:r w:rsidR="00C507A5">
        <w:rPr>
          <w:rFonts w:ascii="Gill Sans MT" w:hAnsi="Gill Sans MT"/>
          <w:color w:val="231F20"/>
          <w:w w:val="110"/>
          <w:sz w:val="18"/>
        </w:rPr>
        <w:t>red army faction</w:t>
      </w:r>
      <w:r>
        <w:rPr>
          <w:rFonts w:ascii="Gill Sans MT" w:hAnsi="Gill Sans MT"/>
          <w:color w:val="231F20"/>
          <w:w w:val="110"/>
          <w:sz w:val="18"/>
        </w:rPr>
        <w:t xml:space="preserve"> member Adelheid Schulz to life in prison in connection with the attack on u.S. General Frederick Kroesen.</w:t>
      </w:r>
    </w:p>
    <w:p w14:paraId="26F90D11" w14:textId="77777777" w:rsidR="002653E8" w:rsidRDefault="002653E8">
      <w:pPr>
        <w:spacing w:line="276" w:lineRule="auto"/>
        <w:rPr>
          <w:rFonts w:ascii="Gill Sans MT" w:hAnsi="Gill Sans MT"/>
          <w:sz w:val="18"/>
        </w:rPr>
        <w:sectPr w:rsidR="002653E8">
          <w:footerReference w:type="default" r:id="rId539"/>
          <w:pgSz w:w="8640" w:h="12960"/>
          <w:pgMar w:top="1060" w:right="0" w:bottom="280" w:left="0" w:header="0" w:footer="0" w:gutter="0"/>
          <w:cols w:num="2" w:space="720" w:equalWidth="0">
            <w:col w:w="4109" w:space="40"/>
            <w:col w:w="4491"/>
          </w:cols>
        </w:sectPr>
      </w:pPr>
    </w:p>
    <w:p w14:paraId="3B770252" w14:textId="77777777" w:rsidR="002653E8" w:rsidRDefault="002653E8">
      <w:pPr>
        <w:pStyle w:val="a3"/>
        <w:rPr>
          <w:rFonts w:ascii="Gill Sans MT"/>
        </w:rPr>
      </w:pPr>
    </w:p>
    <w:p w14:paraId="5FA0D6A8" w14:textId="77777777" w:rsidR="002653E8" w:rsidRDefault="002653E8">
      <w:pPr>
        <w:pStyle w:val="a3"/>
        <w:spacing w:before="2"/>
        <w:rPr>
          <w:rFonts w:ascii="Gill Sans MT"/>
          <w:sz w:val="23"/>
        </w:rPr>
      </w:pPr>
    </w:p>
    <w:p w14:paraId="3857E730" w14:textId="77777777" w:rsidR="002653E8" w:rsidRDefault="003115E3">
      <w:pPr>
        <w:tabs>
          <w:tab w:val="left" w:pos="3677"/>
        </w:tabs>
        <w:spacing w:before="97" w:line="244" w:lineRule="auto"/>
        <w:ind w:left="5292" w:right="1325" w:hanging="4145"/>
        <w:rPr>
          <w:sz w:val="18"/>
        </w:rPr>
      </w:pPr>
      <w:r>
        <w:rPr>
          <w:color w:val="231F20"/>
          <w:spacing w:val="15"/>
          <w:w w:val="110"/>
          <w:position w:val="5"/>
          <w:sz w:val="18"/>
        </w:rPr>
        <w:lastRenderedPageBreak/>
        <w:t>624</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20"/>
          <w:w w:val="110"/>
          <w:sz w:val="18"/>
        </w:rPr>
        <w:t xml:space="preserve">germany november </w:t>
      </w:r>
      <w:r>
        <w:rPr>
          <w:color w:val="231F20"/>
          <w:spacing w:val="15"/>
          <w:w w:val="110"/>
          <w:sz w:val="18"/>
        </w:rPr>
        <w:t>24,</w:t>
      </w:r>
      <w:r>
        <w:rPr>
          <w:color w:val="231F20"/>
          <w:spacing w:val="10"/>
          <w:w w:val="110"/>
          <w:sz w:val="18"/>
        </w:rPr>
        <w:t xml:space="preserve"> </w:t>
      </w:r>
      <w:r>
        <w:rPr>
          <w:color w:val="231F20"/>
          <w:spacing w:val="17"/>
          <w:w w:val="110"/>
          <w:sz w:val="18"/>
        </w:rPr>
        <w:t>1993</w:t>
      </w:r>
      <w:r>
        <w:rPr>
          <w:color w:val="231F20"/>
          <w:spacing w:val="-15"/>
          <w:sz w:val="18"/>
        </w:rPr>
        <w:t xml:space="preserve"> </w:t>
      </w:r>
    </w:p>
    <w:p w14:paraId="1F4CF574" w14:textId="77777777" w:rsidR="002653E8" w:rsidRDefault="002653E8">
      <w:pPr>
        <w:spacing w:line="244" w:lineRule="auto"/>
        <w:rPr>
          <w:sz w:val="18"/>
        </w:rPr>
        <w:sectPr w:rsidR="002653E8">
          <w:type w:val="continuous"/>
          <w:pgSz w:w="8640" w:h="12960"/>
          <w:pgMar w:top="0" w:right="0" w:bottom="0" w:left="0" w:header="720" w:footer="720" w:gutter="0"/>
          <w:cols w:space="720"/>
        </w:sectPr>
      </w:pPr>
    </w:p>
    <w:p w14:paraId="667134E3" w14:textId="77777777" w:rsidR="002653E8" w:rsidRDefault="003115E3">
      <w:pPr>
        <w:spacing w:before="91"/>
        <w:ind w:left="1327"/>
        <w:rPr>
          <w:rFonts w:ascii="Arial"/>
          <w:b/>
          <w:sz w:val="18"/>
        </w:rPr>
      </w:pPr>
      <w:r>
        <w:rPr>
          <w:rFonts w:ascii="Arial"/>
          <w:b/>
          <w:color w:val="231F20"/>
          <w:w w:val="115"/>
          <w:sz w:val="18"/>
        </w:rPr>
        <w:lastRenderedPageBreak/>
        <w:t>September 26, 1995</w:t>
      </w:r>
    </w:p>
    <w:p w14:paraId="2006C8D3" w14:textId="77777777" w:rsidR="002653E8" w:rsidRDefault="003115E3">
      <w:pPr>
        <w:spacing w:before="34" w:line="276" w:lineRule="auto"/>
        <w:ind w:left="1327" w:right="288"/>
        <w:rPr>
          <w:rFonts w:ascii="Gill Sans MT"/>
          <w:sz w:val="18"/>
        </w:rPr>
      </w:pPr>
      <w:r>
        <w:rPr>
          <w:rFonts w:ascii="Gill Sans MT"/>
          <w:color w:val="231F20"/>
          <w:w w:val="110"/>
          <w:sz w:val="18"/>
        </w:rPr>
        <w:t xml:space="preserve">On the basis of testimony from former </w:t>
      </w:r>
      <w:r w:rsidR="00C507A5">
        <w:rPr>
          <w:rFonts w:ascii="Gill Sans MT"/>
          <w:color w:val="231F20"/>
          <w:w w:val="110"/>
          <w:sz w:val="18"/>
        </w:rPr>
        <w:t>red army faction</w:t>
      </w:r>
      <w:r>
        <w:rPr>
          <w:rFonts w:ascii="Gill Sans MT"/>
          <w:color w:val="231F20"/>
          <w:w w:val="110"/>
          <w:sz w:val="18"/>
        </w:rPr>
        <w:t xml:space="preserve"> members arrested in the former East Germany, the Stuttgart OLG sentences </w:t>
      </w:r>
      <w:r w:rsidR="00C507A5">
        <w:rPr>
          <w:rFonts w:ascii="Gill Sans MT"/>
          <w:color w:val="231F20"/>
          <w:w w:val="110"/>
          <w:sz w:val="18"/>
        </w:rPr>
        <w:t>red army faction</w:t>
      </w:r>
    </w:p>
    <w:p w14:paraId="3F5310C2" w14:textId="77777777" w:rsidR="002653E8" w:rsidRDefault="003115E3">
      <w:pPr>
        <w:spacing w:line="276" w:lineRule="auto"/>
        <w:ind w:left="1327" w:right="34"/>
        <w:rPr>
          <w:rFonts w:ascii="Gill Sans MT"/>
          <w:sz w:val="18"/>
        </w:rPr>
      </w:pPr>
      <w:r>
        <w:rPr>
          <w:rFonts w:ascii="Gill Sans MT"/>
          <w:color w:val="231F20"/>
          <w:w w:val="110"/>
          <w:sz w:val="18"/>
        </w:rPr>
        <w:t>member Sieglinde Hofmann to life in</w:t>
      </w:r>
      <w:r>
        <w:rPr>
          <w:rFonts w:ascii="Gill Sans MT"/>
          <w:color w:val="231F20"/>
          <w:spacing w:val="-10"/>
          <w:w w:val="110"/>
          <w:sz w:val="18"/>
        </w:rPr>
        <w:t xml:space="preserve"> </w:t>
      </w:r>
      <w:r>
        <w:rPr>
          <w:rFonts w:ascii="Gill Sans MT"/>
          <w:color w:val="231F20"/>
          <w:w w:val="110"/>
          <w:sz w:val="18"/>
        </w:rPr>
        <w:t>prison</w:t>
      </w:r>
      <w:r>
        <w:rPr>
          <w:rFonts w:ascii="Gill Sans MT"/>
          <w:color w:val="231F20"/>
          <w:spacing w:val="-10"/>
          <w:w w:val="110"/>
          <w:sz w:val="18"/>
        </w:rPr>
        <w:t xml:space="preserve"> </w:t>
      </w:r>
      <w:r>
        <w:rPr>
          <w:rFonts w:ascii="Gill Sans MT"/>
          <w:color w:val="231F20"/>
          <w:w w:val="110"/>
          <w:sz w:val="18"/>
        </w:rPr>
        <w:t>for</w:t>
      </w:r>
      <w:r>
        <w:rPr>
          <w:rFonts w:ascii="Gill Sans MT"/>
          <w:color w:val="231F20"/>
          <w:spacing w:val="-10"/>
          <w:w w:val="110"/>
          <w:sz w:val="18"/>
        </w:rPr>
        <w:t xml:space="preserve"> </w:t>
      </w:r>
      <w:r>
        <w:rPr>
          <w:rFonts w:ascii="Gill Sans MT"/>
          <w:color w:val="231F20"/>
          <w:w w:val="110"/>
          <w:sz w:val="18"/>
        </w:rPr>
        <w:t>her</w:t>
      </w:r>
      <w:r>
        <w:rPr>
          <w:rFonts w:ascii="Gill Sans MT"/>
          <w:color w:val="231F20"/>
          <w:spacing w:val="-10"/>
          <w:w w:val="110"/>
          <w:sz w:val="18"/>
        </w:rPr>
        <w:t xml:space="preserve"> </w:t>
      </w:r>
      <w:r>
        <w:rPr>
          <w:rFonts w:ascii="Gill Sans MT"/>
          <w:color w:val="231F20"/>
          <w:w w:val="110"/>
          <w:sz w:val="18"/>
        </w:rPr>
        <w:t>role</w:t>
      </w:r>
      <w:r>
        <w:rPr>
          <w:rFonts w:ascii="Gill Sans MT"/>
          <w:color w:val="231F20"/>
          <w:spacing w:val="-10"/>
          <w:w w:val="110"/>
          <w:sz w:val="18"/>
        </w:rPr>
        <w:t xml:space="preserve"> </w:t>
      </w:r>
      <w:r>
        <w:rPr>
          <w:rFonts w:ascii="Gill Sans MT"/>
          <w:color w:val="231F20"/>
          <w:w w:val="110"/>
          <w:sz w:val="18"/>
        </w:rPr>
        <w:t>in</w:t>
      </w:r>
      <w:r>
        <w:rPr>
          <w:rFonts w:ascii="Gill Sans MT"/>
          <w:color w:val="231F20"/>
          <w:spacing w:val="-10"/>
          <w:w w:val="110"/>
          <w:sz w:val="18"/>
        </w:rPr>
        <w:t xml:space="preserve"> </w:t>
      </w:r>
      <w:r>
        <w:rPr>
          <w:rFonts w:ascii="Gill Sans MT"/>
          <w:color w:val="231F20"/>
          <w:w w:val="110"/>
          <w:sz w:val="18"/>
        </w:rPr>
        <w:t>the</w:t>
      </w:r>
      <w:r>
        <w:rPr>
          <w:rFonts w:ascii="Gill Sans MT"/>
          <w:color w:val="231F20"/>
          <w:spacing w:val="-10"/>
          <w:w w:val="110"/>
          <w:sz w:val="18"/>
        </w:rPr>
        <w:t xml:space="preserve"> </w:t>
      </w:r>
      <w:r>
        <w:rPr>
          <w:rFonts w:ascii="Gill Sans MT"/>
          <w:color w:val="231F20"/>
          <w:w w:val="110"/>
          <w:sz w:val="18"/>
        </w:rPr>
        <w:t>Schleyer kidnapping and execution.</w:t>
      </w:r>
    </w:p>
    <w:p w14:paraId="70B6AE9A" w14:textId="77777777" w:rsidR="002653E8" w:rsidRDefault="002653E8">
      <w:pPr>
        <w:pStyle w:val="a3"/>
        <w:spacing w:before="6"/>
        <w:rPr>
          <w:rFonts w:ascii="Gill Sans MT"/>
        </w:rPr>
      </w:pPr>
    </w:p>
    <w:p w14:paraId="2B5538C4" w14:textId="77777777" w:rsidR="002653E8" w:rsidRDefault="003115E3">
      <w:pPr>
        <w:ind w:left="1327"/>
        <w:rPr>
          <w:rFonts w:ascii="Arial"/>
          <w:b/>
          <w:sz w:val="18"/>
        </w:rPr>
      </w:pPr>
      <w:r>
        <w:rPr>
          <w:rFonts w:ascii="Arial"/>
          <w:b/>
          <w:color w:val="231F20"/>
          <w:w w:val="115"/>
          <w:sz w:val="18"/>
        </w:rPr>
        <w:t>November 13, 1995</w:t>
      </w:r>
    </w:p>
    <w:p w14:paraId="7F6F838D" w14:textId="77777777" w:rsidR="002653E8" w:rsidRDefault="00C507A5">
      <w:pPr>
        <w:spacing w:before="35" w:line="276" w:lineRule="auto"/>
        <w:ind w:left="1327" w:right="487"/>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Knut Folkerts is released from prison.</w:t>
      </w:r>
    </w:p>
    <w:p w14:paraId="7416BBF2" w14:textId="77777777" w:rsidR="002653E8" w:rsidRDefault="002653E8">
      <w:pPr>
        <w:pStyle w:val="a3"/>
        <w:rPr>
          <w:rFonts w:ascii="Gill Sans MT"/>
        </w:rPr>
      </w:pPr>
    </w:p>
    <w:p w14:paraId="27351958" w14:textId="77777777" w:rsidR="002653E8" w:rsidRDefault="002653E8">
      <w:pPr>
        <w:pStyle w:val="a3"/>
        <w:spacing w:before="1"/>
        <w:rPr>
          <w:rFonts w:ascii="Gill Sans MT"/>
        </w:rPr>
      </w:pPr>
    </w:p>
    <w:p w14:paraId="3B1A0422" w14:textId="77777777" w:rsidR="002653E8" w:rsidRDefault="003115E3">
      <w:pPr>
        <w:pStyle w:val="5"/>
      </w:pPr>
      <w:r>
        <w:rPr>
          <w:color w:val="231F20"/>
          <w:w w:val="120"/>
        </w:rPr>
        <w:t>1996</w:t>
      </w:r>
    </w:p>
    <w:p w14:paraId="701D6AE9" w14:textId="77777777" w:rsidR="002653E8" w:rsidRDefault="003115E3">
      <w:pPr>
        <w:spacing w:before="12"/>
        <w:ind w:left="1327"/>
        <w:rPr>
          <w:rFonts w:ascii="Arial"/>
          <w:b/>
          <w:sz w:val="18"/>
        </w:rPr>
      </w:pPr>
      <w:r>
        <w:rPr>
          <w:rFonts w:ascii="Arial"/>
          <w:b/>
          <w:color w:val="231F20"/>
          <w:w w:val="120"/>
          <w:sz w:val="18"/>
        </w:rPr>
        <w:t>May 10, 1996</w:t>
      </w:r>
    </w:p>
    <w:p w14:paraId="339B4F54" w14:textId="77777777" w:rsidR="002653E8" w:rsidRDefault="00C507A5">
      <w:pPr>
        <w:spacing w:before="34" w:line="276" w:lineRule="auto"/>
        <w:ind w:left="1327"/>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Hanna Krabbe is released from prison.</w:t>
      </w:r>
    </w:p>
    <w:p w14:paraId="683F0588" w14:textId="77777777" w:rsidR="002653E8" w:rsidRDefault="002653E8">
      <w:pPr>
        <w:pStyle w:val="a3"/>
        <w:spacing w:before="6"/>
        <w:rPr>
          <w:rFonts w:ascii="Gill Sans MT"/>
        </w:rPr>
      </w:pPr>
    </w:p>
    <w:p w14:paraId="54C41F34" w14:textId="77777777" w:rsidR="002653E8" w:rsidRDefault="003115E3">
      <w:pPr>
        <w:spacing w:before="1"/>
        <w:ind w:left="1327"/>
        <w:rPr>
          <w:rFonts w:ascii="Arial"/>
          <w:b/>
          <w:sz w:val="18"/>
        </w:rPr>
      </w:pPr>
      <w:r>
        <w:rPr>
          <w:rFonts w:ascii="Arial"/>
          <w:b/>
          <w:color w:val="231F20"/>
          <w:w w:val="115"/>
          <w:sz w:val="18"/>
        </w:rPr>
        <w:t>November 5, 1996</w:t>
      </w:r>
    </w:p>
    <w:p w14:paraId="02EDDDD8" w14:textId="77777777" w:rsidR="002653E8" w:rsidRDefault="003115E3">
      <w:pPr>
        <w:spacing w:before="34" w:line="276" w:lineRule="auto"/>
        <w:ind w:left="1327" w:right="165"/>
        <w:rPr>
          <w:rFonts w:ascii="Gill Sans MT"/>
          <w:sz w:val="18"/>
        </w:rPr>
      </w:pPr>
      <w:r>
        <w:rPr>
          <w:rFonts w:ascii="Gill Sans MT"/>
          <w:color w:val="231F20"/>
          <w:w w:val="110"/>
          <w:sz w:val="18"/>
        </w:rPr>
        <w:t>Birgit Hogefeld is sentenced to life in prison, with no possibility</w:t>
      </w:r>
      <w:r>
        <w:rPr>
          <w:rFonts w:ascii="Gill Sans MT"/>
          <w:color w:val="231F20"/>
          <w:spacing w:val="-6"/>
          <w:w w:val="110"/>
          <w:sz w:val="18"/>
        </w:rPr>
        <w:t xml:space="preserve"> </w:t>
      </w:r>
      <w:r>
        <w:rPr>
          <w:rFonts w:ascii="Gill Sans MT"/>
          <w:color w:val="231F20"/>
          <w:w w:val="110"/>
          <w:sz w:val="18"/>
        </w:rPr>
        <w:t>of parole for fifteen</w:t>
      </w:r>
      <w:r>
        <w:rPr>
          <w:rFonts w:ascii="Gill Sans MT"/>
          <w:color w:val="231F20"/>
          <w:spacing w:val="-13"/>
          <w:w w:val="110"/>
          <w:sz w:val="18"/>
        </w:rPr>
        <w:t xml:space="preserve"> </w:t>
      </w:r>
      <w:r>
        <w:rPr>
          <w:rFonts w:ascii="Gill Sans MT"/>
          <w:color w:val="231F20"/>
          <w:w w:val="110"/>
          <w:sz w:val="18"/>
        </w:rPr>
        <w:t>years.</w:t>
      </w:r>
    </w:p>
    <w:p w14:paraId="7A6453AC" w14:textId="77777777" w:rsidR="002653E8" w:rsidRDefault="002653E8">
      <w:pPr>
        <w:pStyle w:val="a3"/>
        <w:spacing w:before="6"/>
        <w:rPr>
          <w:rFonts w:ascii="Gill Sans MT"/>
        </w:rPr>
      </w:pPr>
    </w:p>
    <w:p w14:paraId="75EAF421" w14:textId="77777777" w:rsidR="002653E8" w:rsidRDefault="003115E3">
      <w:pPr>
        <w:ind w:left="1327"/>
        <w:rPr>
          <w:rFonts w:ascii="Arial"/>
          <w:b/>
          <w:sz w:val="18"/>
        </w:rPr>
      </w:pPr>
      <w:r>
        <w:rPr>
          <w:rFonts w:ascii="Arial"/>
          <w:b/>
          <w:color w:val="231F20"/>
          <w:w w:val="115"/>
          <w:sz w:val="18"/>
        </w:rPr>
        <w:t>November 19, 1996</w:t>
      </w:r>
    </w:p>
    <w:p w14:paraId="51A4967D" w14:textId="77777777" w:rsidR="002653E8" w:rsidRDefault="003115E3">
      <w:pPr>
        <w:spacing w:before="35" w:line="276" w:lineRule="auto"/>
        <w:ind w:left="1327" w:right="113"/>
        <w:rPr>
          <w:rFonts w:ascii="Gill Sans MT"/>
          <w:sz w:val="18"/>
        </w:rPr>
      </w:pPr>
      <w:r>
        <w:rPr>
          <w:rFonts w:ascii="Gill Sans MT"/>
          <w:color w:val="231F20"/>
          <w:w w:val="110"/>
          <w:sz w:val="18"/>
        </w:rPr>
        <w:t>The Frankfurt OLG sentences PFLP (EO) member Souhaila Andrawes, the sole survivor of the Mogadishu hijacking, to twelve</w:t>
      </w:r>
    </w:p>
    <w:p w14:paraId="322E2708" w14:textId="77777777" w:rsidR="002653E8" w:rsidRDefault="003115E3">
      <w:pPr>
        <w:spacing w:line="276" w:lineRule="auto"/>
        <w:ind w:left="1327" w:right="-14"/>
        <w:rPr>
          <w:rFonts w:ascii="Gill Sans MT"/>
          <w:sz w:val="18"/>
        </w:rPr>
      </w:pPr>
      <w:r>
        <w:rPr>
          <w:rFonts w:ascii="Gill Sans MT"/>
          <w:color w:val="231F20"/>
          <w:w w:val="110"/>
          <w:sz w:val="18"/>
        </w:rPr>
        <w:t xml:space="preserve">years in prison. After serving a year in prison in Somalia, Andrawes had moved to Oslo with her husband and daughter. </w:t>
      </w:r>
      <w:r>
        <w:rPr>
          <w:rFonts w:ascii="Gill Sans MT"/>
          <w:color w:val="231F20"/>
          <w:spacing w:val="-3"/>
          <w:w w:val="110"/>
          <w:sz w:val="18"/>
        </w:rPr>
        <w:t xml:space="preserve">Tracked </w:t>
      </w:r>
      <w:r>
        <w:rPr>
          <w:rFonts w:ascii="Gill Sans MT"/>
          <w:color w:val="231F20"/>
          <w:w w:val="110"/>
          <w:sz w:val="18"/>
        </w:rPr>
        <w:t xml:space="preserve">down by German police in </w:t>
      </w:r>
      <w:r>
        <w:rPr>
          <w:rFonts w:ascii="Arial"/>
          <w:color w:val="231F20"/>
          <w:w w:val="110"/>
          <w:sz w:val="18"/>
        </w:rPr>
        <w:t>1994</w:t>
      </w:r>
      <w:r>
        <w:rPr>
          <w:rFonts w:ascii="Gill Sans MT"/>
          <w:color w:val="231F20"/>
          <w:w w:val="110"/>
          <w:sz w:val="18"/>
        </w:rPr>
        <w:t>, she was arrested and extradited to</w:t>
      </w:r>
      <w:r>
        <w:rPr>
          <w:rFonts w:ascii="Gill Sans MT"/>
          <w:color w:val="231F20"/>
          <w:spacing w:val="-12"/>
          <w:w w:val="110"/>
          <w:sz w:val="18"/>
        </w:rPr>
        <w:t xml:space="preserve"> </w:t>
      </w:r>
      <w:r>
        <w:rPr>
          <w:rFonts w:ascii="Gill Sans MT"/>
          <w:color w:val="231F20"/>
          <w:w w:val="110"/>
          <w:sz w:val="18"/>
        </w:rPr>
        <w:t xml:space="preserve">Germany in </w:t>
      </w:r>
      <w:r>
        <w:rPr>
          <w:rFonts w:ascii="Arial"/>
          <w:color w:val="231F20"/>
          <w:w w:val="110"/>
          <w:sz w:val="18"/>
        </w:rPr>
        <w:t>1995</w:t>
      </w:r>
      <w:r>
        <w:rPr>
          <w:rFonts w:ascii="Gill Sans MT"/>
          <w:color w:val="231F20"/>
          <w:w w:val="110"/>
          <w:sz w:val="18"/>
        </w:rPr>
        <w:t>. She serves six years of her sentence before being released due to ill</w:t>
      </w:r>
      <w:r>
        <w:rPr>
          <w:rFonts w:ascii="Gill Sans MT"/>
          <w:color w:val="231F20"/>
          <w:spacing w:val="-10"/>
          <w:w w:val="110"/>
          <w:sz w:val="18"/>
        </w:rPr>
        <w:t xml:space="preserve"> </w:t>
      </w:r>
      <w:r>
        <w:rPr>
          <w:rFonts w:ascii="Gill Sans MT"/>
          <w:color w:val="231F20"/>
          <w:w w:val="110"/>
          <w:sz w:val="18"/>
        </w:rPr>
        <w:t>health.</w:t>
      </w:r>
    </w:p>
    <w:p w14:paraId="2F9C2DC8" w14:textId="77777777" w:rsidR="002653E8" w:rsidRDefault="003115E3">
      <w:pPr>
        <w:spacing w:before="90"/>
        <w:ind w:left="243"/>
        <w:rPr>
          <w:rFonts w:ascii="Arial"/>
          <w:b/>
          <w:sz w:val="18"/>
        </w:rPr>
      </w:pPr>
      <w:r>
        <w:br w:type="column"/>
      </w:r>
      <w:r>
        <w:rPr>
          <w:rFonts w:ascii="Arial"/>
          <w:b/>
          <w:color w:val="231F20"/>
          <w:w w:val="115"/>
          <w:sz w:val="18"/>
        </w:rPr>
        <w:t>December 9, 1996</w:t>
      </w:r>
    </w:p>
    <w:p w14:paraId="15951D43" w14:textId="77777777" w:rsidR="002653E8" w:rsidRDefault="003115E3">
      <w:pPr>
        <w:spacing w:before="28" w:line="271" w:lineRule="auto"/>
        <w:ind w:left="243" w:right="1106"/>
        <w:rPr>
          <w:rFonts w:ascii="Gill Sans MT"/>
          <w:sz w:val="18"/>
        </w:rPr>
      </w:pPr>
      <w:r>
        <w:rPr>
          <w:rFonts w:ascii="Gill Sans MT"/>
          <w:color w:val="231F20"/>
          <w:w w:val="110"/>
          <w:sz w:val="18"/>
        </w:rPr>
        <w:t xml:space="preserve">The left-wing daily newspaper </w:t>
      </w:r>
      <w:r>
        <w:rPr>
          <w:rFonts w:ascii="Lucida Sans"/>
          <w:i/>
          <w:color w:val="231F20"/>
          <w:w w:val="110"/>
          <w:sz w:val="18"/>
        </w:rPr>
        <w:t xml:space="preserve">junge Welt </w:t>
      </w:r>
      <w:r>
        <w:rPr>
          <w:rFonts w:ascii="Gill Sans MT"/>
          <w:color w:val="231F20"/>
          <w:w w:val="110"/>
          <w:sz w:val="18"/>
        </w:rPr>
        <w:t xml:space="preserve">prints a letter from the </w:t>
      </w:r>
      <w:r w:rsidR="00C507A5">
        <w:rPr>
          <w:rFonts w:ascii="Gill Sans MT"/>
          <w:color w:val="231F20"/>
          <w:w w:val="110"/>
          <w:sz w:val="18"/>
        </w:rPr>
        <w:t>red army faction</w:t>
      </w:r>
      <w:r>
        <w:rPr>
          <w:rFonts w:ascii="Gill Sans MT"/>
          <w:color w:val="231F20"/>
          <w:w w:val="110"/>
          <w:sz w:val="18"/>
        </w:rPr>
        <w:t xml:space="preserve"> addressing the split in the </w:t>
      </w:r>
      <w:r w:rsidR="00C507A5">
        <w:rPr>
          <w:rFonts w:ascii="Gill Sans MT"/>
          <w:color w:val="231F20"/>
          <w:w w:val="110"/>
          <w:sz w:val="18"/>
        </w:rPr>
        <w:t>red army faction</w:t>
      </w:r>
      <w:r>
        <w:rPr>
          <w:rFonts w:ascii="Gill Sans MT"/>
          <w:color w:val="231F20"/>
          <w:w w:val="110"/>
          <w:sz w:val="18"/>
        </w:rPr>
        <w:t>.</w:t>
      </w:r>
    </w:p>
    <w:p w14:paraId="14905162" w14:textId="77777777" w:rsidR="002653E8" w:rsidRDefault="002653E8">
      <w:pPr>
        <w:pStyle w:val="a3"/>
        <w:rPr>
          <w:rFonts w:ascii="Gill Sans MT"/>
        </w:rPr>
      </w:pPr>
    </w:p>
    <w:p w14:paraId="7F8EDF5C" w14:textId="77777777" w:rsidR="002653E8" w:rsidRDefault="002653E8">
      <w:pPr>
        <w:pStyle w:val="a3"/>
        <w:spacing w:before="6"/>
        <w:rPr>
          <w:rFonts w:ascii="Gill Sans MT"/>
        </w:rPr>
      </w:pPr>
    </w:p>
    <w:p w14:paraId="271BC68F" w14:textId="77777777" w:rsidR="002653E8" w:rsidRDefault="003115E3">
      <w:pPr>
        <w:pStyle w:val="5"/>
        <w:ind w:left="243"/>
      </w:pPr>
      <w:r>
        <w:rPr>
          <w:color w:val="231F20"/>
          <w:w w:val="120"/>
        </w:rPr>
        <w:t>1997</w:t>
      </w:r>
    </w:p>
    <w:p w14:paraId="6F9D126B" w14:textId="77777777" w:rsidR="002653E8" w:rsidRDefault="003115E3">
      <w:pPr>
        <w:spacing w:before="12"/>
        <w:ind w:left="243"/>
        <w:rPr>
          <w:rFonts w:ascii="Arial"/>
          <w:b/>
          <w:sz w:val="18"/>
        </w:rPr>
      </w:pPr>
      <w:r>
        <w:rPr>
          <w:rFonts w:ascii="Arial"/>
          <w:b/>
          <w:color w:val="231F20"/>
          <w:w w:val="115"/>
          <w:sz w:val="18"/>
        </w:rPr>
        <w:t>January 1997</w:t>
      </w:r>
    </w:p>
    <w:p w14:paraId="77D89518" w14:textId="77777777" w:rsidR="002653E8" w:rsidRDefault="00C507A5">
      <w:pPr>
        <w:spacing w:before="35" w:line="276" w:lineRule="auto"/>
        <w:ind w:left="243" w:right="1106"/>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Inge Viett is released from prison.</w:t>
      </w:r>
    </w:p>
    <w:p w14:paraId="4ADCAE3B" w14:textId="77777777" w:rsidR="002653E8" w:rsidRDefault="002653E8">
      <w:pPr>
        <w:pStyle w:val="a3"/>
        <w:rPr>
          <w:rFonts w:ascii="Gill Sans MT"/>
        </w:rPr>
      </w:pPr>
    </w:p>
    <w:p w14:paraId="0F14F8A9" w14:textId="77777777" w:rsidR="002653E8" w:rsidRDefault="002653E8">
      <w:pPr>
        <w:pStyle w:val="a3"/>
        <w:rPr>
          <w:rFonts w:ascii="Gill Sans MT"/>
        </w:rPr>
      </w:pPr>
    </w:p>
    <w:p w14:paraId="32941C19" w14:textId="77777777" w:rsidR="002653E8" w:rsidRDefault="003115E3">
      <w:pPr>
        <w:pStyle w:val="5"/>
        <w:ind w:left="243"/>
      </w:pPr>
      <w:r>
        <w:rPr>
          <w:color w:val="231F20"/>
          <w:w w:val="120"/>
        </w:rPr>
        <w:t>1998</w:t>
      </w:r>
    </w:p>
    <w:p w14:paraId="7706C777" w14:textId="77777777" w:rsidR="002653E8" w:rsidRDefault="003115E3">
      <w:pPr>
        <w:spacing w:before="12"/>
        <w:ind w:left="243"/>
        <w:rPr>
          <w:rFonts w:ascii="Arial"/>
          <w:b/>
          <w:sz w:val="18"/>
        </w:rPr>
      </w:pPr>
      <w:r>
        <w:rPr>
          <w:rFonts w:ascii="Arial"/>
          <w:b/>
          <w:color w:val="231F20"/>
          <w:w w:val="115"/>
          <w:sz w:val="18"/>
        </w:rPr>
        <w:t>March 13, 1998</w:t>
      </w:r>
    </w:p>
    <w:p w14:paraId="5A1F1F02" w14:textId="77777777" w:rsidR="002653E8" w:rsidRDefault="003115E3">
      <w:pPr>
        <w:spacing w:before="35" w:line="276" w:lineRule="auto"/>
        <w:ind w:left="243" w:right="1297"/>
        <w:rPr>
          <w:rFonts w:ascii="Gill Sans MT" w:hAnsi="Gill Sans MT"/>
          <w:sz w:val="18"/>
        </w:rPr>
      </w:pPr>
      <w:r>
        <w:rPr>
          <w:rFonts w:ascii="Gill Sans MT" w:hAnsi="Gill Sans MT"/>
          <w:color w:val="231F20"/>
          <w:w w:val="110"/>
          <w:sz w:val="18"/>
        </w:rPr>
        <w:t xml:space="preserve">Former </w:t>
      </w:r>
      <w:r w:rsidR="00C507A5">
        <w:rPr>
          <w:rFonts w:ascii="Gill Sans MT" w:hAnsi="Gill Sans MT"/>
          <w:color w:val="231F20"/>
          <w:w w:val="110"/>
          <w:sz w:val="18"/>
        </w:rPr>
        <w:t>red army faction</w:t>
      </w:r>
      <w:r>
        <w:rPr>
          <w:rFonts w:ascii="Gill Sans MT" w:hAnsi="Gill Sans MT"/>
          <w:color w:val="231F20"/>
          <w:w w:val="110"/>
          <w:sz w:val="18"/>
        </w:rPr>
        <w:t xml:space="preserve"> member Peter-Jürgen Boock is released from prison.</w:t>
      </w:r>
    </w:p>
    <w:p w14:paraId="76F57673" w14:textId="77777777" w:rsidR="002653E8" w:rsidRDefault="002653E8">
      <w:pPr>
        <w:pStyle w:val="a3"/>
        <w:spacing w:before="6"/>
        <w:rPr>
          <w:rFonts w:ascii="Gill Sans MT"/>
        </w:rPr>
      </w:pPr>
    </w:p>
    <w:p w14:paraId="41CE1B1B" w14:textId="77777777" w:rsidR="002653E8" w:rsidRDefault="003115E3">
      <w:pPr>
        <w:ind w:left="243"/>
        <w:rPr>
          <w:rFonts w:ascii="Arial"/>
          <w:b/>
          <w:sz w:val="18"/>
        </w:rPr>
      </w:pPr>
      <w:r>
        <w:rPr>
          <w:rFonts w:ascii="Arial"/>
          <w:b/>
          <w:color w:val="231F20"/>
          <w:w w:val="115"/>
          <w:sz w:val="18"/>
        </w:rPr>
        <w:t>April 20, 1998</w:t>
      </w:r>
    </w:p>
    <w:p w14:paraId="1AF2A211" w14:textId="77777777" w:rsidR="002653E8" w:rsidRDefault="003115E3">
      <w:pPr>
        <w:spacing w:before="35" w:line="273" w:lineRule="auto"/>
        <w:ind w:left="243" w:right="1168"/>
        <w:rPr>
          <w:rFonts w:ascii="Gill Sans MT"/>
          <w:sz w:val="18"/>
        </w:rPr>
      </w:pPr>
      <w:r>
        <w:rPr>
          <w:rFonts w:ascii="Gill Sans MT"/>
          <w:color w:val="231F20"/>
          <w:w w:val="105"/>
          <w:sz w:val="18"/>
        </w:rPr>
        <w:t xml:space="preserve">The </w:t>
      </w:r>
      <w:r w:rsidR="00C507A5">
        <w:rPr>
          <w:rFonts w:ascii="Gill Sans MT"/>
          <w:color w:val="231F20"/>
          <w:w w:val="105"/>
          <w:sz w:val="18"/>
        </w:rPr>
        <w:t>red army faction</w:t>
      </w:r>
      <w:r>
        <w:rPr>
          <w:rFonts w:ascii="Gill Sans MT"/>
          <w:color w:val="231F20"/>
          <w:w w:val="105"/>
          <w:sz w:val="18"/>
        </w:rPr>
        <w:t xml:space="preserve"> issues a document entitled </w:t>
      </w:r>
      <w:r>
        <w:rPr>
          <w:rFonts w:ascii="Lucida Sans"/>
          <w:i/>
          <w:color w:val="231F20"/>
          <w:sz w:val="18"/>
        </w:rPr>
        <w:t>Die</w:t>
      </w:r>
      <w:r>
        <w:rPr>
          <w:rFonts w:ascii="Lucida Sans"/>
          <w:i/>
          <w:color w:val="231F20"/>
          <w:spacing w:val="-39"/>
          <w:sz w:val="18"/>
        </w:rPr>
        <w:t xml:space="preserve"> </w:t>
      </w:r>
      <w:r>
        <w:rPr>
          <w:rFonts w:ascii="Lucida Sans"/>
          <w:i/>
          <w:color w:val="231F20"/>
          <w:sz w:val="18"/>
        </w:rPr>
        <w:t>Stadtguerilla</w:t>
      </w:r>
      <w:r>
        <w:rPr>
          <w:rFonts w:ascii="Lucida Sans"/>
          <w:i/>
          <w:color w:val="231F20"/>
          <w:spacing w:val="-39"/>
          <w:sz w:val="18"/>
        </w:rPr>
        <w:t xml:space="preserve"> </w:t>
      </w:r>
      <w:r>
        <w:rPr>
          <w:rFonts w:ascii="Lucida Sans"/>
          <w:i/>
          <w:color w:val="231F20"/>
          <w:sz w:val="18"/>
        </w:rPr>
        <w:t>in</w:t>
      </w:r>
      <w:r>
        <w:rPr>
          <w:rFonts w:ascii="Lucida Sans"/>
          <w:i/>
          <w:color w:val="231F20"/>
          <w:spacing w:val="-39"/>
          <w:sz w:val="18"/>
        </w:rPr>
        <w:t xml:space="preserve"> </w:t>
      </w:r>
      <w:r>
        <w:rPr>
          <w:rFonts w:ascii="Lucida Sans"/>
          <w:i/>
          <w:color w:val="231F20"/>
          <w:sz w:val="18"/>
        </w:rPr>
        <w:t>Form</w:t>
      </w:r>
      <w:r>
        <w:rPr>
          <w:rFonts w:ascii="Lucida Sans"/>
          <w:i/>
          <w:color w:val="231F20"/>
          <w:spacing w:val="-39"/>
          <w:sz w:val="18"/>
        </w:rPr>
        <w:t xml:space="preserve"> </w:t>
      </w:r>
      <w:r>
        <w:rPr>
          <w:rFonts w:ascii="Lucida Sans"/>
          <w:i/>
          <w:color w:val="231F20"/>
          <w:sz w:val="18"/>
        </w:rPr>
        <w:t>der</w:t>
      </w:r>
      <w:r>
        <w:rPr>
          <w:rFonts w:ascii="Lucida Sans"/>
          <w:i/>
          <w:color w:val="231F20"/>
          <w:spacing w:val="-39"/>
          <w:sz w:val="18"/>
        </w:rPr>
        <w:t xml:space="preserve"> </w:t>
      </w:r>
      <w:r>
        <w:rPr>
          <w:rFonts w:ascii="Lucida Sans"/>
          <w:i/>
          <w:color w:val="231F20"/>
          <w:sz w:val="18"/>
        </w:rPr>
        <w:t>raf</w:t>
      </w:r>
      <w:r>
        <w:rPr>
          <w:rFonts w:ascii="Lucida Sans"/>
          <w:i/>
          <w:color w:val="231F20"/>
          <w:spacing w:val="-39"/>
          <w:sz w:val="18"/>
        </w:rPr>
        <w:t xml:space="preserve"> </w:t>
      </w:r>
      <w:r>
        <w:rPr>
          <w:rFonts w:ascii="Lucida Sans"/>
          <w:i/>
          <w:color w:val="231F20"/>
          <w:sz w:val="18"/>
        </w:rPr>
        <w:t xml:space="preserve">ist </w:t>
      </w:r>
      <w:r>
        <w:rPr>
          <w:rFonts w:ascii="Lucida Sans"/>
          <w:i/>
          <w:color w:val="231F20"/>
          <w:w w:val="105"/>
          <w:sz w:val="18"/>
        </w:rPr>
        <w:t>nun</w:t>
      </w:r>
      <w:r>
        <w:rPr>
          <w:rFonts w:ascii="Lucida Sans"/>
          <w:i/>
          <w:color w:val="231F20"/>
          <w:spacing w:val="-23"/>
          <w:w w:val="105"/>
          <w:sz w:val="18"/>
        </w:rPr>
        <w:t xml:space="preserve"> </w:t>
      </w:r>
      <w:r>
        <w:rPr>
          <w:rFonts w:ascii="Lucida Sans"/>
          <w:i/>
          <w:color w:val="231F20"/>
          <w:w w:val="105"/>
          <w:sz w:val="18"/>
        </w:rPr>
        <w:t>Geschichte</w:t>
      </w:r>
      <w:r>
        <w:rPr>
          <w:rFonts w:ascii="Lucida Sans"/>
          <w:i/>
          <w:color w:val="231F20"/>
          <w:spacing w:val="-23"/>
          <w:w w:val="105"/>
          <w:sz w:val="18"/>
        </w:rPr>
        <w:t xml:space="preserve"> </w:t>
      </w:r>
      <w:r>
        <w:rPr>
          <w:rFonts w:ascii="Gill Sans MT"/>
          <w:color w:val="231F20"/>
          <w:w w:val="105"/>
          <w:sz w:val="18"/>
        </w:rPr>
        <w:t>(The</w:t>
      </w:r>
      <w:r>
        <w:rPr>
          <w:rFonts w:ascii="Gill Sans MT"/>
          <w:color w:val="231F20"/>
          <w:spacing w:val="-15"/>
          <w:w w:val="105"/>
          <w:sz w:val="18"/>
        </w:rPr>
        <w:t xml:space="preserve"> </w:t>
      </w:r>
      <w:r>
        <w:rPr>
          <w:rFonts w:ascii="Gill Sans MT"/>
          <w:color w:val="231F20"/>
          <w:w w:val="105"/>
          <w:sz w:val="18"/>
        </w:rPr>
        <w:t>urban</w:t>
      </w:r>
      <w:r>
        <w:rPr>
          <w:rFonts w:ascii="Gill Sans MT"/>
          <w:color w:val="231F20"/>
          <w:spacing w:val="-15"/>
          <w:w w:val="105"/>
          <w:sz w:val="18"/>
        </w:rPr>
        <w:t xml:space="preserve"> </w:t>
      </w:r>
      <w:r>
        <w:rPr>
          <w:rFonts w:ascii="Gill Sans MT"/>
          <w:color w:val="231F20"/>
          <w:w w:val="105"/>
          <w:sz w:val="18"/>
        </w:rPr>
        <w:t xml:space="preserve">Guerilla in the Form of the </w:t>
      </w:r>
      <w:r w:rsidR="00C507A5">
        <w:rPr>
          <w:rFonts w:ascii="Gill Sans MT"/>
          <w:color w:val="231F20"/>
          <w:w w:val="105"/>
          <w:sz w:val="18"/>
        </w:rPr>
        <w:t>red army faction</w:t>
      </w:r>
      <w:r>
        <w:rPr>
          <w:rFonts w:ascii="Gill Sans MT"/>
          <w:color w:val="231F20"/>
          <w:w w:val="105"/>
          <w:sz w:val="18"/>
        </w:rPr>
        <w:t xml:space="preserve"> is Now History) announcing its dissolution. The</w:t>
      </w:r>
      <w:r>
        <w:rPr>
          <w:rFonts w:ascii="Gill Sans MT"/>
          <w:color w:val="231F20"/>
          <w:spacing w:val="20"/>
          <w:w w:val="105"/>
          <w:sz w:val="18"/>
        </w:rPr>
        <w:t xml:space="preserve"> </w:t>
      </w:r>
      <w:r>
        <w:rPr>
          <w:rFonts w:ascii="Gill Sans MT"/>
          <w:color w:val="231F20"/>
          <w:w w:val="105"/>
          <w:sz w:val="18"/>
        </w:rPr>
        <w:t>document</w:t>
      </w:r>
      <w:r>
        <w:rPr>
          <w:rFonts w:ascii="Gill Sans MT"/>
          <w:color w:val="231F20"/>
          <w:spacing w:val="20"/>
          <w:w w:val="105"/>
          <w:sz w:val="18"/>
        </w:rPr>
        <w:t xml:space="preserve"> </w:t>
      </w:r>
      <w:r>
        <w:rPr>
          <w:rFonts w:ascii="Gill Sans MT"/>
          <w:color w:val="231F20"/>
          <w:w w:val="105"/>
          <w:sz w:val="18"/>
        </w:rPr>
        <w:t>is</w:t>
      </w:r>
      <w:r>
        <w:rPr>
          <w:rFonts w:ascii="Gill Sans MT"/>
          <w:color w:val="231F20"/>
          <w:spacing w:val="20"/>
          <w:w w:val="105"/>
          <w:sz w:val="18"/>
        </w:rPr>
        <w:t xml:space="preserve"> </w:t>
      </w:r>
      <w:r>
        <w:rPr>
          <w:rFonts w:ascii="Gill Sans MT"/>
          <w:color w:val="231F20"/>
          <w:w w:val="105"/>
          <w:sz w:val="18"/>
        </w:rPr>
        <w:t>dated</w:t>
      </w:r>
      <w:r>
        <w:rPr>
          <w:rFonts w:ascii="Gill Sans MT"/>
          <w:color w:val="231F20"/>
          <w:spacing w:val="20"/>
          <w:w w:val="105"/>
          <w:sz w:val="18"/>
        </w:rPr>
        <w:t xml:space="preserve"> </w:t>
      </w:r>
      <w:r>
        <w:rPr>
          <w:rFonts w:ascii="Gill Sans MT"/>
          <w:color w:val="231F20"/>
          <w:w w:val="105"/>
          <w:sz w:val="18"/>
        </w:rPr>
        <w:t>March</w:t>
      </w:r>
      <w:r>
        <w:rPr>
          <w:rFonts w:ascii="Gill Sans MT"/>
          <w:color w:val="231F20"/>
          <w:spacing w:val="20"/>
          <w:w w:val="105"/>
          <w:sz w:val="18"/>
        </w:rPr>
        <w:t xml:space="preserve"> </w:t>
      </w:r>
      <w:r>
        <w:rPr>
          <w:rFonts w:ascii="Arial"/>
          <w:color w:val="231F20"/>
          <w:w w:val="105"/>
          <w:sz w:val="18"/>
        </w:rPr>
        <w:t>1998</w:t>
      </w:r>
      <w:r>
        <w:rPr>
          <w:rFonts w:ascii="Gill Sans MT"/>
          <w:color w:val="231F20"/>
          <w:w w:val="105"/>
          <w:sz w:val="18"/>
        </w:rPr>
        <w:t>.</w:t>
      </w:r>
    </w:p>
    <w:p w14:paraId="6940360C" w14:textId="77777777" w:rsidR="002653E8" w:rsidRDefault="002653E8">
      <w:pPr>
        <w:pStyle w:val="a3"/>
        <w:spacing w:before="6"/>
        <w:rPr>
          <w:rFonts w:ascii="Gill Sans MT"/>
        </w:rPr>
      </w:pPr>
    </w:p>
    <w:p w14:paraId="5F665C53" w14:textId="77777777" w:rsidR="002653E8" w:rsidRDefault="003115E3">
      <w:pPr>
        <w:ind w:left="243"/>
        <w:rPr>
          <w:rFonts w:ascii="Arial"/>
          <w:b/>
          <w:sz w:val="18"/>
        </w:rPr>
      </w:pPr>
      <w:r>
        <w:rPr>
          <w:rFonts w:ascii="Arial"/>
          <w:b/>
          <w:color w:val="231F20"/>
          <w:w w:val="115"/>
          <w:sz w:val="18"/>
        </w:rPr>
        <w:t>June 1, 1998</w:t>
      </w:r>
    </w:p>
    <w:p w14:paraId="74F0C08E" w14:textId="77777777" w:rsidR="002653E8" w:rsidRDefault="00C507A5">
      <w:pPr>
        <w:spacing w:before="34" w:line="276" w:lineRule="auto"/>
        <w:ind w:left="243" w:right="1385"/>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Helmut Pohl, who had suffered as stroke in May, is pardoned by President Roman Herzog and released from prison.</w:t>
      </w:r>
    </w:p>
    <w:p w14:paraId="5317F0B6" w14:textId="77777777" w:rsidR="002653E8" w:rsidRDefault="002653E8">
      <w:pPr>
        <w:pStyle w:val="a3"/>
        <w:spacing w:before="6"/>
        <w:rPr>
          <w:rFonts w:ascii="Gill Sans MT"/>
        </w:rPr>
      </w:pPr>
    </w:p>
    <w:p w14:paraId="587A49F6" w14:textId="77777777" w:rsidR="002653E8" w:rsidRDefault="003115E3">
      <w:pPr>
        <w:spacing w:before="1"/>
        <w:ind w:left="243"/>
        <w:rPr>
          <w:rFonts w:ascii="Arial"/>
          <w:b/>
          <w:sz w:val="18"/>
        </w:rPr>
      </w:pPr>
      <w:r>
        <w:rPr>
          <w:rFonts w:ascii="Arial"/>
          <w:b/>
          <w:color w:val="231F20"/>
          <w:w w:val="115"/>
          <w:sz w:val="18"/>
        </w:rPr>
        <w:t>October 19, 1998</w:t>
      </w:r>
    </w:p>
    <w:p w14:paraId="66744605" w14:textId="77777777" w:rsidR="002653E8" w:rsidRDefault="00C507A5">
      <w:pPr>
        <w:spacing w:before="34" w:line="276" w:lineRule="auto"/>
        <w:ind w:left="243" w:right="1696"/>
        <w:jc w:val="both"/>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Adelheid Schulz is released from prison due</w:t>
      </w:r>
      <w:r w:rsidR="003115E3">
        <w:rPr>
          <w:rFonts w:ascii="Gill Sans MT"/>
          <w:color w:val="231F20"/>
          <w:spacing w:val="-18"/>
          <w:w w:val="110"/>
          <w:sz w:val="18"/>
        </w:rPr>
        <w:t xml:space="preserve"> </w:t>
      </w:r>
      <w:r w:rsidR="003115E3">
        <w:rPr>
          <w:rFonts w:ascii="Gill Sans MT"/>
          <w:color w:val="231F20"/>
          <w:w w:val="110"/>
          <w:sz w:val="18"/>
        </w:rPr>
        <w:t>to ill</w:t>
      </w:r>
      <w:r w:rsidR="003115E3">
        <w:rPr>
          <w:rFonts w:ascii="Gill Sans MT"/>
          <w:color w:val="231F20"/>
          <w:spacing w:val="-5"/>
          <w:w w:val="110"/>
          <w:sz w:val="18"/>
        </w:rPr>
        <w:t xml:space="preserve"> </w:t>
      </w:r>
      <w:r w:rsidR="003115E3">
        <w:rPr>
          <w:rFonts w:ascii="Gill Sans MT"/>
          <w:color w:val="231F20"/>
          <w:w w:val="110"/>
          <w:sz w:val="18"/>
        </w:rPr>
        <w:t>health.</w:t>
      </w:r>
    </w:p>
    <w:p w14:paraId="15AF1DFD" w14:textId="77777777" w:rsidR="002653E8" w:rsidRDefault="002653E8">
      <w:pPr>
        <w:pStyle w:val="a3"/>
        <w:spacing w:before="6"/>
        <w:rPr>
          <w:rFonts w:ascii="Gill Sans MT"/>
        </w:rPr>
      </w:pPr>
    </w:p>
    <w:p w14:paraId="7A1E2329" w14:textId="77777777" w:rsidR="002653E8" w:rsidRDefault="003115E3">
      <w:pPr>
        <w:spacing w:before="1"/>
        <w:ind w:left="243"/>
        <w:rPr>
          <w:rFonts w:ascii="Arial"/>
          <w:b/>
          <w:sz w:val="18"/>
        </w:rPr>
      </w:pPr>
      <w:r>
        <w:rPr>
          <w:rFonts w:ascii="Arial"/>
          <w:b/>
          <w:color w:val="231F20"/>
          <w:w w:val="115"/>
          <w:sz w:val="18"/>
        </w:rPr>
        <w:t>October 27, 1998</w:t>
      </w:r>
    </w:p>
    <w:p w14:paraId="7137DB32" w14:textId="77777777" w:rsidR="002653E8" w:rsidRDefault="003115E3">
      <w:pPr>
        <w:spacing w:before="34" w:line="273" w:lineRule="auto"/>
        <w:ind w:left="243" w:right="1385"/>
        <w:rPr>
          <w:rFonts w:ascii="Gill Sans MT" w:hAnsi="Gill Sans MT"/>
          <w:sz w:val="18"/>
        </w:rPr>
      </w:pPr>
      <w:r>
        <w:rPr>
          <w:rFonts w:ascii="Gill Sans MT" w:hAnsi="Gill Sans MT"/>
          <w:color w:val="231F20"/>
          <w:w w:val="110"/>
          <w:sz w:val="18"/>
        </w:rPr>
        <w:t xml:space="preserve">The SPd/Green party coalition government is formed with former </w:t>
      </w:r>
      <w:r>
        <w:rPr>
          <w:rFonts w:ascii="Lucida Sans" w:hAnsi="Lucida Sans"/>
          <w:i/>
          <w:color w:val="231F20"/>
          <w:w w:val="110"/>
          <w:sz w:val="18"/>
        </w:rPr>
        <w:t xml:space="preserve">Jusos </w:t>
      </w:r>
      <w:r>
        <w:rPr>
          <w:rFonts w:ascii="Gill Sans MT" w:hAnsi="Gill Sans MT"/>
          <w:color w:val="231F20"/>
          <w:w w:val="110"/>
          <w:sz w:val="18"/>
        </w:rPr>
        <w:t>leader Gerhard Schröder (SPd) as Chancellor,</w:t>
      </w:r>
    </w:p>
    <w:p w14:paraId="06E0FE62" w14:textId="77777777" w:rsidR="002653E8" w:rsidRDefault="002653E8">
      <w:pPr>
        <w:spacing w:line="273" w:lineRule="auto"/>
        <w:rPr>
          <w:rFonts w:ascii="Gill Sans MT" w:hAnsi="Gill Sans MT"/>
          <w:sz w:val="18"/>
        </w:rPr>
        <w:sectPr w:rsidR="002653E8">
          <w:footerReference w:type="even" r:id="rId540"/>
          <w:pgSz w:w="8640" w:h="12960"/>
          <w:pgMar w:top="1060" w:right="0" w:bottom="280" w:left="0" w:header="0" w:footer="0" w:gutter="0"/>
          <w:cols w:num="2" w:space="720" w:equalWidth="0">
            <w:col w:w="4247" w:space="40"/>
            <w:col w:w="4353"/>
          </w:cols>
        </w:sectPr>
      </w:pPr>
    </w:p>
    <w:p w14:paraId="008BBAC4" w14:textId="77777777" w:rsidR="002653E8" w:rsidRDefault="002653E8">
      <w:pPr>
        <w:pStyle w:val="a3"/>
        <w:rPr>
          <w:rFonts w:ascii="Gill Sans MT"/>
        </w:rPr>
      </w:pPr>
    </w:p>
    <w:p w14:paraId="0B88976C" w14:textId="77777777" w:rsidR="002653E8" w:rsidRDefault="002653E8">
      <w:pPr>
        <w:pStyle w:val="a3"/>
        <w:rPr>
          <w:rFonts w:ascii="Gill Sans MT"/>
        </w:rPr>
      </w:pPr>
    </w:p>
    <w:p w14:paraId="1225AFC7" w14:textId="77777777" w:rsidR="002653E8" w:rsidRDefault="002653E8">
      <w:pPr>
        <w:pStyle w:val="a3"/>
        <w:spacing w:before="1"/>
        <w:rPr>
          <w:rFonts w:ascii="Gill Sans MT"/>
          <w:sz w:val="17"/>
        </w:rPr>
      </w:pPr>
    </w:p>
    <w:p w14:paraId="4AD52458" w14:textId="77777777" w:rsidR="002653E8" w:rsidRDefault="002653E8">
      <w:pPr>
        <w:rPr>
          <w:rFonts w:ascii="Gill Sans MT"/>
          <w:sz w:val="17"/>
        </w:rPr>
        <w:sectPr w:rsidR="002653E8">
          <w:type w:val="continuous"/>
          <w:pgSz w:w="8640" w:h="12960"/>
          <w:pgMar w:top="0" w:right="0" w:bottom="0" w:left="0" w:header="720" w:footer="720" w:gutter="0"/>
          <w:cols w:space="720"/>
        </w:sectPr>
      </w:pPr>
    </w:p>
    <w:p w14:paraId="6DE02B41" w14:textId="77777777" w:rsidR="002653E8" w:rsidRDefault="003115E3">
      <w:pPr>
        <w:spacing w:before="145"/>
        <w:ind w:left="1327"/>
        <w:rPr>
          <w:sz w:val="18"/>
        </w:rPr>
      </w:pPr>
      <w:r>
        <w:rPr>
          <w:color w:val="231F20"/>
          <w:w w:val="120"/>
          <w:sz w:val="18"/>
        </w:rPr>
        <w:t>a chronology</w:t>
      </w:r>
      <w:r>
        <w:rPr>
          <w:color w:val="231F20"/>
          <w:sz w:val="18"/>
        </w:rPr>
        <w:t xml:space="preserve"> </w:t>
      </w:r>
    </w:p>
    <w:p w14:paraId="4BE858B2" w14:textId="77777777" w:rsidR="002653E8" w:rsidRDefault="003115E3">
      <w:pPr>
        <w:spacing w:before="5"/>
        <w:ind w:left="1327"/>
        <w:rPr>
          <w:sz w:val="18"/>
        </w:rPr>
      </w:pPr>
      <w:r>
        <w:rPr>
          <w:color w:val="231F20"/>
          <w:w w:val="110"/>
          <w:sz w:val="18"/>
        </w:rPr>
        <w:t>october 27, 1998</w:t>
      </w:r>
      <w:r>
        <w:rPr>
          <w:color w:val="231F20"/>
          <w:sz w:val="18"/>
        </w:rPr>
        <w:t xml:space="preserve"> </w:t>
      </w:r>
    </w:p>
    <w:p w14:paraId="2B9F76B6" w14:textId="77777777" w:rsidR="002653E8" w:rsidRDefault="003115E3">
      <w:pPr>
        <w:spacing w:before="100"/>
        <w:ind w:left="1346" w:right="1141"/>
        <w:jc w:val="center"/>
        <w:rPr>
          <w:sz w:val="18"/>
        </w:rPr>
      </w:pPr>
      <w:r>
        <w:br w:type="column"/>
      </w:r>
      <w:r>
        <w:rPr>
          <w:color w:val="231F20"/>
          <w:sz w:val="18"/>
        </w:rPr>
        <w:t xml:space="preserve">625 </w:t>
      </w:r>
    </w:p>
    <w:p w14:paraId="1F99F9FD" w14:textId="77777777" w:rsidR="002653E8" w:rsidRDefault="002653E8">
      <w:pPr>
        <w:jc w:val="center"/>
        <w:rPr>
          <w:sz w:val="18"/>
        </w:rPr>
        <w:sectPr w:rsidR="002653E8">
          <w:type w:val="continuous"/>
          <w:pgSz w:w="8640" w:h="12960"/>
          <w:pgMar w:top="0" w:right="0" w:bottom="0" w:left="0" w:header="720" w:footer="720" w:gutter="0"/>
          <w:cols w:num="2" w:space="720" w:equalWidth="0">
            <w:col w:w="3263" w:space="2551"/>
            <w:col w:w="2826"/>
          </w:cols>
        </w:sectPr>
      </w:pPr>
    </w:p>
    <w:p w14:paraId="71181887" w14:textId="77777777" w:rsidR="002653E8" w:rsidRDefault="003115E3">
      <w:pPr>
        <w:spacing w:before="86" w:line="276" w:lineRule="auto"/>
        <w:ind w:left="1147" w:right="-17"/>
        <w:rPr>
          <w:rFonts w:ascii="Gill Sans MT"/>
          <w:sz w:val="18"/>
        </w:rPr>
      </w:pPr>
      <w:r>
        <w:rPr>
          <w:rFonts w:ascii="Gill Sans MT"/>
          <w:color w:val="231F20"/>
          <w:w w:val="110"/>
          <w:sz w:val="18"/>
        </w:rPr>
        <w:lastRenderedPageBreak/>
        <w:t>former</w:t>
      </w:r>
      <w:r>
        <w:rPr>
          <w:rFonts w:ascii="Gill Sans MT"/>
          <w:color w:val="231F20"/>
          <w:spacing w:val="-19"/>
          <w:w w:val="110"/>
          <w:sz w:val="18"/>
        </w:rPr>
        <w:t xml:space="preserve"> </w:t>
      </w:r>
      <w:r>
        <w:rPr>
          <w:rFonts w:ascii="Lucida Sans"/>
          <w:i/>
          <w:color w:val="231F20"/>
          <w:w w:val="110"/>
          <w:sz w:val="18"/>
        </w:rPr>
        <w:t>sponti</w:t>
      </w:r>
      <w:r>
        <w:rPr>
          <w:rFonts w:ascii="Lucida Sans"/>
          <w:i/>
          <w:color w:val="231F20"/>
          <w:spacing w:val="-27"/>
          <w:w w:val="110"/>
          <w:sz w:val="18"/>
        </w:rPr>
        <w:t xml:space="preserve"> </w:t>
      </w:r>
      <w:r>
        <w:rPr>
          <w:rFonts w:ascii="Gill Sans MT"/>
          <w:color w:val="231F20"/>
          <w:w w:val="110"/>
          <w:sz w:val="18"/>
        </w:rPr>
        <w:t>leader</w:t>
      </w:r>
      <w:r>
        <w:rPr>
          <w:rFonts w:ascii="Gill Sans MT"/>
          <w:color w:val="231F20"/>
          <w:spacing w:val="-19"/>
          <w:w w:val="110"/>
          <w:sz w:val="18"/>
        </w:rPr>
        <w:t xml:space="preserve"> </w:t>
      </w:r>
      <w:r>
        <w:rPr>
          <w:rFonts w:ascii="Gill Sans MT"/>
          <w:color w:val="231F20"/>
          <w:w w:val="110"/>
          <w:sz w:val="18"/>
        </w:rPr>
        <w:t>Joschka</w:t>
      </w:r>
      <w:r>
        <w:rPr>
          <w:rFonts w:ascii="Gill Sans MT"/>
          <w:color w:val="231F20"/>
          <w:spacing w:val="-19"/>
          <w:w w:val="110"/>
          <w:sz w:val="18"/>
        </w:rPr>
        <w:t xml:space="preserve"> </w:t>
      </w:r>
      <w:r>
        <w:rPr>
          <w:rFonts w:ascii="Gill Sans MT"/>
          <w:color w:val="231F20"/>
          <w:w w:val="110"/>
          <w:sz w:val="18"/>
        </w:rPr>
        <w:t xml:space="preserve">Fischer (Green Party) as Minister of Foreign Affairs, and former </w:t>
      </w:r>
      <w:r w:rsidR="00C507A5">
        <w:rPr>
          <w:rFonts w:ascii="Gill Sans MT"/>
          <w:color w:val="231F20"/>
          <w:w w:val="110"/>
          <w:sz w:val="18"/>
        </w:rPr>
        <w:t>red army faction</w:t>
      </w:r>
      <w:r>
        <w:rPr>
          <w:rFonts w:ascii="Gill Sans MT"/>
          <w:color w:val="231F20"/>
          <w:spacing w:val="-24"/>
          <w:w w:val="110"/>
          <w:sz w:val="18"/>
        </w:rPr>
        <w:t xml:space="preserve"> </w:t>
      </w:r>
      <w:r>
        <w:rPr>
          <w:rFonts w:ascii="Gill Sans MT"/>
          <w:color w:val="231F20"/>
          <w:w w:val="110"/>
          <w:sz w:val="18"/>
        </w:rPr>
        <w:t>lawyer</w:t>
      </w:r>
    </w:p>
    <w:p w14:paraId="4471E708" w14:textId="77777777" w:rsidR="002653E8" w:rsidRDefault="003115E3">
      <w:pPr>
        <w:spacing w:line="276" w:lineRule="auto"/>
        <w:ind w:left="1147" w:right="105" w:hanging="1"/>
        <w:rPr>
          <w:rFonts w:ascii="Gill Sans MT"/>
          <w:sz w:val="18"/>
        </w:rPr>
      </w:pPr>
      <w:r>
        <w:rPr>
          <w:rFonts w:ascii="Gill Sans MT"/>
          <w:color w:val="231F20"/>
          <w:w w:val="110"/>
          <w:sz w:val="18"/>
        </w:rPr>
        <w:t>Otto Schily (SPd) as Minister of the Interior.</w:t>
      </w:r>
    </w:p>
    <w:p w14:paraId="60B8FEA3" w14:textId="77777777" w:rsidR="002653E8" w:rsidRDefault="002653E8">
      <w:pPr>
        <w:pStyle w:val="a3"/>
        <w:rPr>
          <w:rFonts w:ascii="Gill Sans MT"/>
        </w:rPr>
      </w:pPr>
    </w:p>
    <w:p w14:paraId="340DA029" w14:textId="77777777" w:rsidR="002653E8" w:rsidRDefault="002653E8">
      <w:pPr>
        <w:pStyle w:val="a3"/>
        <w:spacing w:before="11"/>
        <w:rPr>
          <w:rFonts w:ascii="Gill Sans MT"/>
          <w:sz w:val="19"/>
        </w:rPr>
      </w:pPr>
    </w:p>
    <w:p w14:paraId="09C622C9" w14:textId="77777777" w:rsidR="002653E8" w:rsidRDefault="003115E3">
      <w:pPr>
        <w:pStyle w:val="5"/>
        <w:ind w:left="1147"/>
      </w:pPr>
      <w:r>
        <w:rPr>
          <w:color w:val="231F20"/>
          <w:w w:val="120"/>
        </w:rPr>
        <w:t>1999</w:t>
      </w:r>
    </w:p>
    <w:p w14:paraId="11311CFD" w14:textId="77777777" w:rsidR="002653E8" w:rsidRDefault="003115E3">
      <w:pPr>
        <w:spacing w:before="12"/>
        <w:ind w:left="1147"/>
        <w:rPr>
          <w:rFonts w:ascii="Arial"/>
          <w:b/>
          <w:sz w:val="18"/>
        </w:rPr>
      </w:pPr>
      <w:r>
        <w:rPr>
          <w:rFonts w:ascii="Arial"/>
          <w:b/>
          <w:color w:val="231F20"/>
          <w:w w:val="115"/>
          <w:sz w:val="18"/>
        </w:rPr>
        <w:t>March 1, 1999</w:t>
      </w:r>
    </w:p>
    <w:p w14:paraId="2431D095" w14:textId="77777777" w:rsidR="002653E8" w:rsidRDefault="00C507A5">
      <w:pPr>
        <w:spacing w:before="35" w:line="276" w:lineRule="auto"/>
        <w:ind w:left="1147" w:right="351"/>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Stefan Wisniewski is released from prison. He continues to be subjected to parole conditions.</w:t>
      </w:r>
    </w:p>
    <w:p w14:paraId="261BA039" w14:textId="77777777" w:rsidR="002653E8" w:rsidRDefault="002653E8">
      <w:pPr>
        <w:pStyle w:val="a3"/>
        <w:spacing w:before="6"/>
        <w:rPr>
          <w:rFonts w:ascii="Gill Sans MT"/>
        </w:rPr>
      </w:pPr>
    </w:p>
    <w:p w14:paraId="0CDE781D" w14:textId="77777777" w:rsidR="002653E8" w:rsidRDefault="003115E3">
      <w:pPr>
        <w:ind w:left="1147"/>
        <w:rPr>
          <w:rFonts w:ascii="Arial"/>
          <w:b/>
          <w:sz w:val="18"/>
        </w:rPr>
      </w:pPr>
      <w:r>
        <w:rPr>
          <w:rFonts w:ascii="Arial"/>
          <w:b/>
          <w:color w:val="231F20"/>
          <w:w w:val="120"/>
          <w:sz w:val="18"/>
        </w:rPr>
        <w:t>May 5, 1999</w:t>
      </w:r>
    </w:p>
    <w:p w14:paraId="4DB29600" w14:textId="77777777" w:rsidR="002653E8" w:rsidRDefault="00C507A5">
      <w:pPr>
        <w:spacing w:before="35" w:line="276" w:lineRule="auto"/>
        <w:ind w:left="1147" w:right="243"/>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Sieglinde Hofmann is released from prison. She continues to be subjected to parole conditions.</w:t>
      </w:r>
    </w:p>
    <w:p w14:paraId="573150F2" w14:textId="77777777" w:rsidR="002653E8" w:rsidRDefault="002653E8">
      <w:pPr>
        <w:pStyle w:val="a3"/>
        <w:spacing w:before="6"/>
        <w:rPr>
          <w:rFonts w:ascii="Gill Sans MT"/>
        </w:rPr>
      </w:pPr>
    </w:p>
    <w:p w14:paraId="19FB30AE" w14:textId="77777777" w:rsidR="002653E8" w:rsidRDefault="003115E3">
      <w:pPr>
        <w:ind w:left="1147"/>
        <w:rPr>
          <w:rFonts w:ascii="Arial"/>
          <w:b/>
          <w:sz w:val="18"/>
        </w:rPr>
      </w:pPr>
      <w:r>
        <w:rPr>
          <w:rFonts w:ascii="Arial"/>
          <w:b/>
          <w:color w:val="231F20"/>
          <w:w w:val="115"/>
          <w:sz w:val="18"/>
        </w:rPr>
        <w:t>July 20, 1999</w:t>
      </w:r>
    </w:p>
    <w:p w14:paraId="548731BE" w14:textId="77777777" w:rsidR="002653E8" w:rsidRDefault="003115E3">
      <w:pPr>
        <w:spacing w:before="34" w:line="276" w:lineRule="auto"/>
        <w:ind w:left="1147" w:right="-13"/>
        <w:rPr>
          <w:rFonts w:ascii="Gill Sans MT"/>
          <w:sz w:val="18"/>
        </w:rPr>
      </w:pPr>
      <w:r>
        <w:rPr>
          <w:rFonts w:ascii="Gill Sans MT"/>
          <w:color w:val="231F20"/>
          <w:w w:val="115"/>
          <w:sz w:val="18"/>
        </w:rPr>
        <w:t>In duisburg, an armoured car is attacked</w:t>
      </w:r>
      <w:r>
        <w:rPr>
          <w:rFonts w:ascii="Gill Sans MT"/>
          <w:color w:val="231F20"/>
          <w:spacing w:val="-19"/>
          <w:w w:val="115"/>
          <w:sz w:val="18"/>
        </w:rPr>
        <w:t xml:space="preserve"> </w:t>
      </w:r>
      <w:r>
        <w:rPr>
          <w:rFonts w:ascii="Gill Sans MT"/>
          <w:color w:val="231F20"/>
          <w:w w:val="115"/>
          <w:sz w:val="18"/>
        </w:rPr>
        <w:t>with</w:t>
      </w:r>
      <w:r>
        <w:rPr>
          <w:rFonts w:ascii="Gill Sans MT"/>
          <w:color w:val="231F20"/>
          <w:spacing w:val="-19"/>
          <w:w w:val="115"/>
          <w:sz w:val="18"/>
        </w:rPr>
        <w:t xml:space="preserve"> </w:t>
      </w:r>
      <w:r>
        <w:rPr>
          <w:rFonts w:ascii="Gill Sans MT"/>
          <w:color w:val="231F20"/>
          <w:w w:val="115"/>
          <w:sz w:val="18"/>
        </w:rPr>
        <w:t>a</w:t>
      </w:r>
      <w:r>
        <w:rPr>
          <w:rFonts w:ascii="Gill Sans MT"/>
          <w:color w:val="231F20"/>
          <w:spacing w:val="-19"/>
          <w:w w:val="115"/>
          <w:sz w:val="18"/>
        </w:rPr>
        <w:t xml:space="preserve"> </w:t>
      </w:r>
      <w:r>
        <w:rPr>
          <w:rFonts w:ascii="Gill Sans MT"/>
          <w:color w:val="231F20"/>
          <w:w w:val="115"/>
          <w:sz w:val="18"/>
        </w:rPr>
        <w:t>bazooka</w:t>
      </w:r>
      <w:r>
        <w:rPr>
          <w:rFonts w:ascii="Gill Sans MT"/>
          <w:color w:val="231F20"/>
          <w:spacing w:val="-19"/>
          <w:w w:val="115"/>
          <w:sz w:val="18"/>
        </w:rPr>
        <w:t xml:space="preserve"> </w:t>
      </w:r>
      <w:r>
        <w:rPr>
          <w:rFonts w:ascii="Gill Sans MT"/>
          <w:color w:val="231F20"/>
          <w:w w:val="115"/>
          <w:sz w:val="18"/>
        </w:rPr>
        <w:t>and</w:t>
      </w:r>
      <w:r>
        <w:rPr>
          <w:rFonts w:ascii="Gill Sans MT"/>
          <w:color w:val="231F20"/>
          <w:spacing w:val="-19"/>
          <w:w w:val="115"/>
          <w:sz w:val="18"/>
        </w:rPr>
        <w:t xml:space="preserve"> </w:t>
      </w:r>
      <w:r>
        <w:rPr>
          <w:rFonts w:ascii="Gill Sans MT"/>
          <w:color w:val="231F20"/>
          <w:w w:val="115"/>
          <w:sz w:val="18"/>
        </w:rPr>
        <w:t xml:space="preserve">robbed of an estimated one million dM. dNA evidence ties daniela Klette and Ernst Volker Staub, </w:t>
      </w:r>
      <w:r w:rsidR="00C507A5">
        <w:rPr>
          <w:rFonts w:ascii="Gill Sans MT"/>
          <w:color w:val="231F20"/>
          <w:w w:val="115"/>
          <w:sz w:val="18"/>
        </w:rPr>
        <w:t>red army faction</w:t>
      </w:r>
      <w:r>
        <w:rPr>
          <w:rFonts w:ascii="Gill Sans MT"/>
          <w:color w:val="231F20"/>
          <w:w w:val="115"/>
          <w:sz w:val="18"/>
        </w:rPr>
        <w:t xml:space="preserve"> members</w:t>
      </w:r>
      <w:r>
        <w:rPr>
          <w:rFonts w:ascii="Gill Sans MT"/>
          <w:color w:val="231F20"/>
          <w:spacing w:val="-24"/>
          <w:w w:val="115"/>
          <w:sz w:val="18"/>
        </w:rPr>
        <w:t xml:space="preserve"> </w:t>
      </w:r>
      <w:r>
        <w:rPr>
          <w:rFonts w:ascii="Gill Sans MT"/>
          <w:color w:val="231F20"/>
          <w:w w:val="115"/>
          <w:sz w:val="18"/>
        </w:rPr>
        <w:t>still</w:t>
      </w:r>
      <w:r>
        <w:rPr>
          <w:rFonts w:ascii="Gill Sans MT"/>
          <w:color w:val="231F20"/>
          <w:spacing w:val="-24"/>
          <w:w w:val="115"/>
          <w:sz w:val="18"/>
        </w:rPr>
        <w:t xml:space="preserve"> </w:t>
      </w:r>
      <w:r>
        <w:rPr>
          <w:rFonts w:ascii="Gill Sans MT"/>
          <w:color w:val="231F20"/>
          <w:w w:val="115"/>
          <w:sz w:val="18"/>
        </w:rPr>
        <w:t>living</w:t>
      </w:r>
      <w:r>
        <w:rPr>
          <w:rFonts w:ascii="Gill Sans MT"/>
          <w:color w:val="231F20"/>
          <w:spacing w:val="-24"/>
          <w:w w:val="115"/>
          <w:sz w:val="18"/>
        </w:rPr>
        <w:t xml:space="preserve"> </w:t>
      </w:r>
      <w:r>
        <w:rPr>
          <w:rFonts w:ascii="Gill Sans MT"/>
          <w:color w:val="231F20"/>
          <w:w w:val="115"/>
          <w:sz w:val="18"/>
        </w:rPr>
        <w:t>underground,</w:t>
      </w:r>
      <w:r>
        <w:rPr>
          <w:rFonts w:ascii="Gill Sans MT"/>
          <w:color w:val="231F20"/>
          <w:spacing w:val="-24"/>
          <w:w w:val="115"/>
          <w:sz w:val="18"/>
        </w:rPr>
        <w:t xml:space="preserve"> </w:t>
      </w:r>
      <w:r>
        <w:rPr>
          <w:rFonts w:ascii="Gill Sans MT"/>
          <w:color w:val="231F20"/>
          <w:w w:val="115"/>
          <w:sz w:val="18"/>
        </w:rPr>
        <w:t>to the</w:t>
      </w:r>
      <w:r>
        <w:rPr>
          <w:rFonts w:ascii="Gill Sans MT"/>
          <w:color w:val="231F20"/>
          <w:spacing w:val="-26"/>
          <w:w w:val="115"/>
          <w:sz w:val="18"/>
        </w:rPr>
        <w:t xml:space="preserve"> </w:t>
      </w:r>
      <w:r>
        <w:rPr>
          <w:rFonts w:ascii="Gill Sans MT"/>
          <w:color w:val="231F20"/>
          <w:spacing w:val="-3"/>
          <w:w w:val="115"/>
          <w:sz w:val="18"/>
        </w:rPr>
        <w:t>robbery.</w:t>
      </w:r>
      <w:r>
        <w:rPr>
          <w:rFonts w:ascii="Gill Sans MT"/>
          <w:color w:val="231F20"/>
          <w:spacing w:val="-26"/>
          <w:w w:val="115"/>
          <w:sz w:val="18"/>
        </w:rPr>
        <w:t xml:space="preserve"> </w:t>
      </w:r>
      <w:r>
        <w:rPr>
          <w:rFonts w:ascii="Gill Sans MT"/>
          <w:color w:val="231F20"/>
          <w:w w:val="115"/>
          <w:sz w:val="18"/>
        </w:rPr>
        <w:t>Another</w:t>
      </w:r>
      <w:r>
        <w:rPr>
          <w:rFonts w:ascii="Gill Sans MT"/>
          <w:color w:val="231F20"/>
          <w:spacing w:val="-26"/>
          <w:w w:val="115"/>
          <w:sz w:val="18"/>
        </w:rPr>
        <w:t xml:space="preserve"> </w:t>
      </w:r>
      <w:r w:rsidR="00C507A5">
        <w:rPr>
          <w:rFonts w:ascii="Gill Sans MT"/>
          <w:color w:val="231F20"/>
          <w:w w:val="115"/>
          <w:sz w:val="18"/>
        </w:rPr>
        <w:t>red army faction</w:t>
      </w:r>
      <w:r>
        <w:rPr>
          <w:rFonts w:ascii="Gill Sans MT"/>
          <w:color w:val="231F20"/>
          <w:spacing w:val="-26"/>
          <w:w w:val="115"/>
          <w:sz w:val="18"/>
        </w:rPr>
        <w:t xml:space="preserve"> </w:t>
      </w:r>
      <w:r>
        <w:rPr>
          <w:rFonts w:ascii="Gill Sans MT"/>
          <w:color w:val="231F20"/>
          <w:w w:val="115"/>
          <w:sz w:val="18"/>
        </w:rPr>
        <w:t xml:space="preserve">member still at large, Burkhard Garweg, is also sought in connection with the </w:t>
      </w:r>
      <w:r>
        <w:rPr>
          <w:rFonts w:ascii="Gill Sans MT"/>
          <w:color w:val="231F20"/>
          <w:spacing w:val="-3"/>
          <w:w w:val="115"/>
          <w:sz w:val="18"/>
        </w:rPr>
        <w:t>robbery.</w:t>
      </w:r>
      <w:r>
        <w:rPr>
          <w:rFonts w:ascii="Gill Sans MT"/>
          <w:color w:val="231F20"/>
          <w:spacing w:val="-20"/>
          <w:w w:val="115"/>
          <w:sz w:val="18"/>
        </w:rPr>
        <w:t xml:space="preserve"> </w:t>
      </w:r>
      <w:r>
        <w:rPr>
          <w:rFonts w:ascii="Gill Sans MT"/>
          <w:color w:val="231F20"/>
          <w:w w:val="115"/>
          <w:sz w:val="18"/>
        </w:rPr>
        <w:t>The</w:t>
      </w:r>
      <w:r>
        <w:rPr>
          <w:rFonts w:ascii="Gill Sans MT"/>
          <w:color w:val="231F20"/>
          <w:spacing w:val="-20"/>
          <w:w w:val="115"/>
          <w:sz w:val="18"/>
        </w:rPr>
        <w:t xml:space="preserve"> </w:t>
      </w:r>
      <w:r>
        <w:rPr>
          <w:rFonts w:ascii="Gill Sans MT"/>
          <w:color w:val="231F20"/>
          <w:w w:val="115"/>
          <w:sz w:val="18"/>
        </w:rPr>
        <w:t>three</w:t>
      </w:r>
      <w:r>
        <w:rPr>
          <w:rFonts w:ascii="Gill Sans MT"/>
          <w:color w:val="231F20"/>
          <w:spacing w:val="-20"/>
          <w:w w:val="115"/>
          <w:sz w:val="18"/>
        </w:rPr>
        <w:t xml:space="preserve"> </w:t>
      </w:r>
      <w:r>
        <w:rPr>
          <w:rFonts w:ascii="Gill Sans MT"/>
          <w:color w:val="231F20"/>
          <w:w w:val="115"/>
          <w:sz w:val="18"/>
        </w:rPr>
        <w:t>remain</w:t>
      </w:r>
      <w:r>
        <w:rPr>
          <w:rFonts w:ascii="Gill Sans MT"/>
          <w:color w:val="231F20"/>
          <w:spacing w:val="-20"/>
          <w:w w:val="115"/>
          <w:sz w:val="18"/>
        </w:rPr>
        <w:t xml:space="preserve"> </w:t>
      </w:r>
      <w:r>
        <w:rPr>
          <w:rFonts w:ascii="Gill Sans MT"/>
          <w:color w:val="231F20"/>
          <w:w w:val="115"/>
          <w:sz w:val="18"/>
        </w:rPr>
        <w:t>at</w:t>
      </w:r>
      <w:r>
        <w:rPr>
          <w:rFonts w:ascii="Gill Sans MT"/>
          <w:color w:val="231F20"/>
          <w:spacing w:val="-20"/>
          <w:w w:val="115"/>
          <w:sz w:val="18"/>
        </w:rPr>
        <w:t xml:space="preserve"> </w:t>
      </w:r>
      <w:r>
        <w:rPr>
          <w:rFonts w:ascii="Gill Sans MT"/>
          <w:color w:val="231F20"/>
          <w:w w:val="115"/>
          <w:sz w:val="18"/>
        </w:rPr>
        <w:t>large.</w:t>
      </w:r>
    </w:p>
    <w:p w14:paraId="618C1825" w14:textId="77777777" w:rsidR="002653E8" w:rsidRDefault="002653E8">
      <w:pPr>
        <w:pStyle w:val="a3"/>
        <w:spacing w:before="6"/>
        <w:rPr>
          <w:rFonts w:ascii="Gill Sans MT"/>
        </w:rPr>
      </w:pPr>
    </w:p>
    <w:p w14:paraId="56872047" w14:textId="77777777" w:rsidR="002653E8" w:rsidRDefault="003115E3">
      <w:pPr>
        <w:ind w:left="1147"/>
        <w:rPr>
          <w:rFonts w:ascii="Arial"/>
          <w:b/>
          <w:sz w:val="18"/>
        </w:rPr>
      </w:pPr>
      <w:r>
        <w:rPr>
          <w:rFonts w:ascii="Arial"/>
          <w:b/>
          <w:color w:val="231F20"/>
          <w:w w:val="115"/>
          <w:sz w:val="18"/>
        </w:rPr>
        <w:t>September 15, 1999</w:t>
      </w:r>
    </w:p>
    <w:p w14:paraId="18EE1FA8" w14:textId="77777777" w:rsidR="002653E8" w:rsidRDefault="003115E3">
      <w:pPr>
        <w:spacing w:before="35" w:line="276" w:lineRule="auto"/>
        <w:ind w:left="1147"/>
        <w:rPr>
          <w:rFonts w:ascii="Gill Sans MT"/>
          <w:sz w:val="18"/>
        </w:rPr>
      </w:pPr>
      <w:r>
        <w:rPr>
          <w:rFonts w:ascii="Gill Sans MT"/>
          <w:color w:val="231F20"/>
          <w:w w:val="110"/>
          <w:sz w:val="18"/>
        </w:rPr>
        <w:t xml:space="preserve">In a shootout with police in Vienna, </w:t>
      </w:r>
      <w:r w:rsidR="00C507A5">
        <w:rPr>
          <w:rFonts w:ascii="Gill Sans MT"/>
          <w:color w:val="231F20"/>
          <w:w w:val="110"/>
          <w:sz w:val="18"/>
        </w:rPr>
        <w:t>red army faction</w:t>
      </w:r>
      <w:r>
        <w:rPr>
          <w:rFonts w:ascii="Gill Sans MT"/>
          <w:color w:val="231F20"/>
          <w:w w:val="110"/>
          <w:sz w:val="18"/>
        </w:rPr>
        <w:t xml:space="preserve"> member Horst Meyer is shot and killed and alleged </w:t>
      </w:r>
      <w:r w:rsidR="00C507A5">
        <w:rPr>
          <w:rFonts w:ascii="Gill Sans MT"/>
          <w:color w:val="231F20"/>
          <w:w w:val="110"/>
          <w:sz w:val="18"/>
        </w:rPr>
        <w:t>red army faction</w:t>
      </w:r>
      <w:r>
        <w:rPr>
          <w:rFonts w:ascii="Gill Sans MT"/>
          <w:color w:val="231F20"/>
          <w:w w:val="110"/>
          <w:sz w:val="18"/>
        </w:rPr>
        <w:t xml:space="preserve"> member Andrea Klump is arrested.</w:t>
      </w:r>
    </w:p>
    <w:p w14:paraId="02413E09" w14:textId="77777777" w:rsidR="002653E8" w:rsidRDefault="003115E3">
      <w:pPr>
        <w:pStyle w:val="5"/>
        <w:spacing w:before="77"/>
        <w:ind w:left="199"/>
      </w:pPr>
      <w:r>
        <w:rPr>
          <w:b w:val="0"/>
        </w:rPr>
        <w:br w:type="column"/>
      </w:r>
      <w:r>
        <w:rPr>
          <w:color w:val="231F20"/>
          <w:w w:val="120"/>
        </w:rPr>
        <w:t>2001</w:t>
      </w:r>
    </w:p>
    <w:p w14:paraId="1BF5961F" w14:textId="77777777" w:rsidR="002653E8" w:rsidRDefault="003115E3">
      <w:pPr>
        <w:spacing w:before="12"/>
        <w:ind w:left="199"/>
        <w:rPr>
          <w:rFonts w:ascii="Arial"/>
          <w:b/>
          <w:sz w:val="18"/>
        </w:rPr>
      </w:pPr>
      <w:r>
        <w:rPr>
          <w:rFonts w:ascii="Arial"/>
          <w:b/>
          <w:color w:val="231F20"/>
          <w:w w:val="120"/>
          <w:sz w:val="18"/>
        </w:rPr>
        <w:t>May 15, 2001</w:t>
      </w:r>
    </w:p>
    <w:p w14:paraId="378CD53E" w14:textId="77777777" w:rsidR="002653E8" w:rsidRDefault="003115E3">
      <w:pPr>
        <w:spacing w:before="34" w:line="276" w:lineRule="auto"/>
        <w:ind w:left="199" w:right="1329"/>
        <w:rPr>
          <w:rFonts w:ascii="Gill Sans MT"/>
          <w:sz w:val="18"/>
        </w:rPr>
      </w:pPr>
      <w:r>
        <w:rPr>
          <w:rFonts w:ascii="Gill Sans MT"/>
          <w:color w:val="231F20"/>
          <w:w w:val="110"/>
          <w:sz w:val="18"/>
        </w:rPr>
        <w:t xml:space="preserve">The Stuttgart OLG sentences alleged </w:t>
      </w:r>
      <w:r w:rsidR="00C507A5">
        <w:rPr>
          <w:rFonts w:ascii="Gill Sans MT"/>
          <w:color w:val="231F20"/>
          <w:w w:val="110"/>
          <w:sz w:val="18"/>
        </w:rPr>
        <w:t>red army faction</w:t>
      </w:r>
      <w:r>
        <w:rPr>
          <w:rFonts w:ascii="Gill Sans MT"/>
          <w:color w:val="231F20"/>
          <w:w w:val="110"/>
          <w:sz w:val="18"/>
        </w:rPr>
        <w:t xml:space="preserve"> member Andrea Klump to nine years in prison in connection with an action in Spain and an action in Hungary, neither of which were carried out by the </w:t>
      </w:r>
      <w:r w:rsidR="00C507A5">
        <w:rPr>
          <w:rFonts w:ascii="Gill Sans MT"/>
          <w:color w:val="231F20"/>
          <w:spacing w:val="-8"/>
          <w:w w:val="110"/>
          <w:sz w:val="18"/>
        </w:rPr>
        <w:t>red army faction</w:t>
      </w:r>
      <w:r>
        <w:rPr>
          <w:rFonts w:ascii="Gill Sans MT"/>
          <w:color w:val="231F20"/>
          <w:spacing w:val="-8"/>
          <w:w w:val="110"/>
          <w:sz w:val="18"/>
        </w:rPr>
        <w:t xml:space="preserve">. </w:t>
      </w:r>
      <w:r>
        <w:rPr>
          <w:rFonts w:ascii="Gill Sans MT"/>
          <w:color w:val="231F20"/>
          <w:w w:val="110"/>
          <w:sz w:val="18"/>
        </w:rPr>
        <w:t xml:space="preserve">She remains in prison, but is not generally considered a </w:t>
      </w:r>
      <w:r w:rsidR="00C507A5">
        <w:rPr>
          <w:rFonts w:ascii="Gill Sans MT"/>
          <w:color w:val="231F20"/>
          <w:w w:val="110"/>
          <w:sz w:val="18"/>
        </w:rPr>
        <w:t>red army faction</w:t>
      </w:r>
      <w:r>
        <w:rPr>
          <w:rFonts w:ascii="Gill Sans MT"/>
          <w:color w:val="231F20"/>
          <w:spacing w:val="-18"/>
          <w:w w:val="110"/>
          <w:sz w:val="18"/>
        </w:rPr>
        <w:t xml:space="preserve"> </w:t>
      </w:r>
      <w:r>
        <w:rPr>
          <w:rFonts w:ascii="Gill Sans MT"/>
          <w:color w:val="231F20"/>
          <w:w w:val="110"/>
          <w:sz w:val="18"/>
        </w:rPr>
        <w:t>prisoner.</w:t>
      </w:r>
    </w:p>
    <w:p w14:paraId="30DD7BEC" w14:textId="77777777" w:rsidR="002653E8" w:rsidRDefault="002653E8">
      <w:pPr>
        <w:pStyle w:val="a3"/>
        <w:spacing w:before="6"/>
        <w:rPr>
          <w:rFonts w:ascii="Gill Sans MT"/>
        </w:rPr>
      </w:pPr>
    </w:p>
    <w:p w14:paraId="3BE7E2C1" w14:textId="77777777" w:rsidR="002653E8" w:rsidRDefault="003115E3">
      <w:pPr>
        <w:spacing w:before="1"/>
        <w:ind w:left="199"/>
        <w:rPr>
          <w:rFonts w:ascii="Arial"/>
          <w:b/>
          <w:sz w:val="18"/>
        </w:rPr>
      </w:pPr>
      <w:r>
        <w:rPr>
          <w:rFonts w:ascii="Arial"/>
          <w:b/>
          <w:color w:val="231F20"/>
          <w:w w:val="115"/>
          <w:sz w:val="18"/>
        </w:rPr>
        <w:t>October 26, 2001</w:t>
      </w:r>
    </w:p>
    <w:p w14:paraId="49F2CDAB" w14:textId="77777777" w:rsidR="002653E8" w:rsidRDefault="00C507A5">
      <w:pPr>
        <w:spacing w:before="34" w:line="276" w:lineRule="auto"/>
        <w:ind w:left="199" w:right="1398"/>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Rolf Heissler is released from prison. He continues to be subjected to parole conditions.</w:t>
      </w:r>
    </w:p>
    <w:p w14:paraId="02C904DF" w14:textId="77777777" w:rsidR="002653E8" w:rsidRDefault="002653E8">
      <w:pPr>
        <w:pStyle w:val="a3"/>
        <w:rPr>
          <w:rFonts w:ascii="Gill Sans MT"/>
        </w:rPr>
      </w:pPr>
    </w:p>
    <w:p w14:paraId="74CC9A21" w14:textId="77777777" w:rsidR="002653E8" w:rsidRDefault="002653E8">
      <w:pPr>
        <w:pStyle w:val="a3"/>
        <w:spacing w:before="1"/>
        <w:rPr>
          <w:rFonts w:ascii="Gill Sans MT"/>
        </w:rPr>
      </w:pPr>
    </w:p>
    <w:p w14:paraId="6841C9E4" w14:textId="77777777" w:rsidR="002653E8" w:rsidRDefault="003115E3">
      <w:pPr>
        <w:pStyle w:val="5"/>
        <w:ind w:left="199"/>
      </w:pPr>
      <w:r>
        <w:rPr>
          <w:color w:val="231F20"/>
          <w:w w:val="120"/>
        </w:rPr>
        <w:t>2002</w:t>
      </w:r>
    </w:p>
    <w:p w14:paraId="3EEB21F2" w14:textId="77777777" w:rsidR="002653E8" w:rsidRDefault="003115E3">
      <w:pPr>
        <w:spacing w:before="12"/>
        <w:ind w:left="199"/>
        <w:rPr>
          <w:rFonts w:ascii="Arial"/>
          <w:b/>
          <w:sz w:val="18"/>
        </w:rPr>
      </w:pPr>
      <w:r>
        <w:rPr>
          <w:rFonts w:ascii="Arial"/>
          <w:b/>
          <w:color w:val="231F20"/>
          <w:w w:val="115"/>
          <w:sz w:val="18"/>
        </w:rPr>
        <w:t>February 26, 2002</w:t>
      </w:r>
    </w:p>
    <w:p w14:paraId="5D820CE4" w14:textId="77777777" w:rsidR="002653E8" w:rsidRDefault="003115E3">
      <w:pPr>
        <w:spacing w:before="34" w:line="276" w:lineRule="auto"/>
        <w:ind w:left="199" w:right="1521"/>
        <w:rPr>
          <w:rFonts w:ascii="Gill Sans MT"/>
          <w:sz w:val="18"/>
        </w:rPr>
      </w:pPr>
      <w:r>
        <w:rPr>
          <w:rFonts w:ascii="Gill Sans MT"/>
          <w:color w:val="231F20"/>
          <w:w w:val="110"/>
          <w:sz w:val="18"/>
        </w:rPr>
        <w:t xml:space="preserve">President Johannes Rau pardons </w:t>
      </w:r>
      <w:r w:rsidR="00C507A5">
        <w:rPr>
          <w:rFonts w:ascii="Gill Sans MT"/>
          <w:color w:val="231F20"/>
          <w:w w:val="110"/>
          <w:sz w:val="18"/>
        </w:rPr>
        <w:t>red army faction</w:t>
      </w:r>
      <w:r>
        <w:rPr>
          <w:rFonts w:ascii="Gill Sans MT"/>
          <w:color w:val="231F20"/>
          <w:w w:val="110"/>
          <w:sz w:val="18"/>
        </w:rPr>
        <w:t xml:space="preserve"> member Adelheid Schulz. Schulz, who was released from prison in </w:t>
      </w:r>
      <w:r>
        <w:rPr>
          <w:rFonts w:ascii="Arial"/>
          <w:color w:val="231F20"/>
          <w:w w:val="110"/>
          <w:sz w:val="18"/>
        </w:rPr>
        <w:t xml:space="preserve">1998 </w:t>
      </w:r>
      <w:r>
        <w:rPr>
          <w:rFonts w:ascii="Gill Sans MT"/>
          <w:color w:val="231F20"/>
          <w:w w:val="110"/>
          <w:sz w:val="18"/>
        </w:rPr>
        <w:t>for health reasons, remains in poor health.</w:t>
      </w:r>
    </w:p>
    <w:p w14:paraId="613567B5" w14:textId="77777777" w:rsidR="002653E8" w:rsidRDefault="002653E8">
      <w:pPr>
        <w:pStyle w:val="a3"/>
        <w:rPr>
          <w:rFonts w:ascii="Gill Sans MT"/>
        </w:rPr>
      </w:pPr>
    </w:p>
    <w:p w14:paraId="58D885A3" w14:textId="77777777" w:rsidR="002653E8" w:rsidRDefault="002653E8">
      <w:pPr>
        <w:pStyle w:val="a3"/>
        <w:spacing w:before="10"/>
        <w:rPr>
          <w:rFonts w:ascii="Gill Sans MT"/>
          <w:sz w:val="19"/>
        </w:rPr>
      </w:pPr>
    </w:p>
    <w:p w14:paraId="058B93DD" w14:textId="77777777" w:rsidR="002653E8" w:rsidRDefault="003115E3">
      <w:pPr>
        <w:pStyle w:val="5"/>
        <w:spacing w:before="1"/>
        <w:ind w:left="199"/>
      </w:pPr>
      <w:r>
        <w:rPr>
          <w:color w:val="231F20"/>
          <w:w w:val="120"/>
        </w:rPr>
        <w:t>2003</w:t>
      </w:r>
    </w:p>
    <w:p w14:paraId="56B42A00" w14:textId="77777777" w:rsidR="002653E8" w:rsidRDefault="003115E3">
      <w:pPr>
        <w:spacing w:before="11"/>
        <w:ind w:left="199"/>
        <w:rPr>
          <w:rFonts w:ascii="Arial"/>
          <w:b/>
          <w:sz w:val="18"/>
        </w:rPr>
      </w:pPr>
      <w:r>
        <w:rPr>
          <w:rFonts w:ascii="Arial"/>
          <w:b/>
          <w:color w:val="231F20"/>
          <w:w w:val="115"/>
          <w:sz w:val="18"/>
        </w:rPr>
        <w:t>December 10, 2003</w:t>
      </w:r>
    </w:p>
    <w:p w14:paraId="58BC1BFD" w14:textId="77777777" w:rsidR="002653E8" w:rsidRDefault="00C507A5">
      <w:pPr>
        <w:spacing w:before="35" w:line="276" w:lineRule="auto"/>
        <w:ind w:left="199" w:right="1356"/>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Rolf Clemens Wagner is released from prison.</w:t>
      </w:r>
    </w:p>
    <w:p w14:paraId="438A9885" w14:textId="77777777" w:rsidR="002653E8" w:rsidRDefault="002653E8">
      <w:pPr>
        <w:pStyle w:val="a3"/>
        <w:rPr>
          <w:rFonts w:ascii="Gill Sans MT"/>
        </w:rPr>
      </w:pPr>
    </w:p>
    <w:p w14:paraId="3709F777" w14:textId="77777777" w:rsidR="002653E8" w:rsidRDefault="002653E8">
      <w:pPr>
        <w:pStyle w:val="a3"/>
        <w:spacing w:before="1"/>
        <w:rPr>
          <w:rFonts w:ascii="Gill Sans MT"/>
        </w:rPr>
      </w:pPr>
    </w:p>
    <w:p w14:paraId="14675F35" w14:textId="77777777" w:rsidR="002653E8" w:rsidRDefault="003115E3">
      <w:pPr>
        <w:pStyle w:val="5"/>
        <w:ind w:left="199"/>
      </w:pPr>
      <w:r>
        <w:rPr>
          <w:color w:val="231F20"/>
          <w:w w:val="120"/>
        </w:rPr>
        <w:t>2007</w:t>
      </w:r>
    </w:p>
    <w:p w14:paraId="5CBC38F6" w14:textId="77777777" w:rsidR="002653E8" w:rsidRDefault="003115E3">
      <w:pPr>
        <w:spacing w:before="12" w:line="278" w:lineRule="auto"/>
        <w:ind w:left="199" w:right="1823"/>
        <w:rPr>
          <w:rFonts w:ascii="Gill Sans MT"/>
          <w:sz w:val="18"/>
        </w:rPr>
      </w:pPr>
      <w:r>
        <w:rPr>
          <w:rFonts w:ascii="Arial"/>
          <w:b/>
          <w:color w:val="231F20"/>
          <w:w w:val="110"/>
          <w:sz w:val="18"/>
        </w:rPr>
        <w:t xml:space="preserve">January 13, 2007 </w:t>
      </w:r>
      <w:r>
        <w:rPr>
          <w:rFonts w:ascii="Gill Sans MT"/>
          <w:color w:val="231F20"/>
          <w:w w:val="110"/>
          <w:sz w:val="18"/>
        </w:rPr>
        <w:t>Clergyman Heinrich Fink</w:t>
      </w:r>
      <w:r>
        <w:rPr>
          <w:rFonts w:ascii="Gill Sans MT"/>
          <w:color w:val="231F20"/>
          <w:spacing w:val="-21"/>
          <w:w w:val="110"/>
          <w:sz w:val="18"/>
        </w:rPr>
        <w:t xml:space="preserve"> </w:t>
      </w:r>
      <w:r>
        <w:rPr>
          <w:rFonts w:ascii="Gill Sans MT"/>
          <w:color w:val="231F20"/>
          <w:w w:val="110"/>
          <w:sz w:val="18"/>
        </w:rPr>
        <w:t xml:space="preserve">reads a message from </w:t>
      </w:r>
      <w:r w:rsidR="00C507A5">
        <w:rPr>
          <w:rFonts w:ascii="Gill Sans MT"/>
          <w:color w:val="231F20"/>
          <w:w w:val="110"/>
          <w:sz w:val="18"/>
        </w:rPr>
        <w:t>red army faction</w:t>
      </w:r>
      <w:r>
        <w:rPr>
          <w:rFonts w:ascii="Gill Sans MT"/>
          <w:color w:val="231F20"/>
          <w:w w:val="110"/>
          <w:sz w:val="18"/>
        </w:rPr>
        <w:t xml:space="preserve"> prisoner Christian Klar to the</w:t>
      </w:r>
      <w:r>
        <w:rPr>
          <w:rFonts w:ascii="Gill Sans MT"/>
          <w:color w:val="231F20"/>
          <w:spacing w:val="-35"/>
          <w:w w:val="110"/>
          <w:sz w:val="18"/>
        </w:rPr>
        <w:t xml:space="preserve"> </w:t>
      </w:r>
      <w:r>
        <w:rPr>
          <w:rFonts w:ascii="Gill Sans MT"/>
          <w:color w:val="231F20"/>
          <w:w w:val="110"/>
          <w:sz w:val="18"/>
        </w:rPr>
        <w:t>Rosa</w:t>
      </w:r>
    </w:p>
    <w:p w14:paraId="3BE224DC" w14:textId="77777777" w:rsidR="002653E8" w:rsidRDefault="003115E3">
      <w:pPr>
        <w:spacing w:line="276" w:lineRule="auto"/>
        <w:ind w:left="199" w:right="1526"/>
        <w:rPr>
          <w:rFonts w:ascii="Gill Sans MT"/>
          <w:sz w:val="18"/>
        </w:rPr>
      </w:pPr>
      <w:r>
        <w:rPr>
          <w:rFonts w:ascii="Gill Sans MT"/>
          <w:color w:val="231F20"/>
          <w:w w:val="110"/>
          <w:sz w:val="18"/>
        </w:rPr>
        <w:t>Luxemburg Conference in Berlin. In his message, Klar calls for</w:t>
      </w:r>
    </w:p>
    <w:p w14:paraId="6DACF08C" w14:textId="77777777" w:rsidR="002653E8" w:rsidRDefault="002653E8">
      <w:pPr>
        <w:spacing w:line="276" w:lineRule="auto"/>
        <w:rPr>
          <w:rFonts w:ascii="Gill Sans MT"/>
          <w:sz w:val="18"/>
        </w:rPr>
        <w:sectPr w:rsidR="002653E8">
          <w:footerReference w:type="default" r:id="rId541"/>
          <w:pgSz w:w="8640" w:h="12960"/>
          <w:pgMar w:top="1060" w:right="0" w:bottom="280" w:left="0" w:header="0" w:footer="0" w:gutter="0"/>
          <w:cols w:num="2" w:space="720" w:equalWidth="0">
            <w:col w:w="4111" w:space="40"/>
            <w:col w:w="4489"/>
          </w:cols>
        </w:sectPr>
      </w:pPr>
    </w:p>
    <w:p w14:paraId="1E9528E4" w14:textId="77777777" w:rsidR="002653E8" w:rsidRDefault="002653E8">
      <w:pPr>
        <w:pStyle w:val="a3"/>
        <w:rPr>
          <w:rFonts w:ascii="Gill Sans MT"/>
        </w:rPr>
      </w:pPr>
    </w:p>
    <w:p w14:paraId="5B4E7A62" w14:textId="77777777" w:rsidR="002653E8" w:rsidRDefault="002653E8">
      <w:pPr>
        <w:pStyle w:val="a3"/>
        <w:rPr>
          <w:rFonts w:ascii="Gill Sans MT"/>
        </w:rPr>
      </w:pPr>
    </w:p>
    <w:p w14:paraId="6CB9ED59" w14:textId="77777777" w:rsidR="002653E8" w:rsidRDefault="002653E8">
      <w:pPr>
        <w:pStyle w:val="a3"/>
        <w:spacing w:before="5"/>
        <w:rPr>
          <w:rFonts w:ascii="Gill Sans MT"/>
          <w:sz w:val="23"/>
        </w:rPr>
      </w:pPr>
    </w:p>
    <w:p w14:paraId="33D350D1" w14:textId="77777777" w:rsidR="002653E8" w:rsidRDefault="003115E3">
      <w:pPr>
        <w:tabs>
          <w:tab w:val="left" w:pos="3677"/>
        </w:tabs>
        <w:spacing w:before="98" w:line="244" w:lineRule="auto"/>
        <w:ind w:left="5778" w:right="1300" w:hanging="4631"/>
        <w:jc w:val="right"/>
        <w:rPr>
          <w:sz w:val="18"/>
        </w:rPr>
      </w:pPr>
      <w:r>
        <w:rPr>
          <w:color w:val="231F20"/>
          <w:spacing w:val="15"/>
          <w:w w:val="110"/>
          <w:position w:val="5"/>
          <w:sz w:val="18"/>
        </w:rPr>
        <w:t>626</w:t>
      </w:r>
      <w:r>
        <w:rPr>
          <w:color w:val="231F20"/>
          <w:spacing w:val="15"/>
          <w:w w:val="110"/>
          <w:position w:val="5"/>
          <w:sz w:val="18"/>
        </w:rPr>
        <w:tab/>
      </w:r>
      <w:r>
        <w:rPr>
          <w:color w:val="231F20"/>
          <w:spacing w:val="20"/>
          <w:w w:val="110"/>
          <w:sz w:val="18"/>
        </w:rPr>
        <w:t xml:space="preserve">armed struggle </w:t>
      </w:r>
      <w:r>
        <w:rPr>
          <w:color w:val="231F20"/>
          <w:spacing w:val="11"/>
          <w:w w:val="110"/>
          <w:sz w:val="18"/>
        </w:rPr>
        <w:t>in</w:t>
      </w:r>
      <w:r>
        <w:rPr>
          <w:color w:val="231F20"/>
          <w:spacing w:val="66"/>
          <w:w w:val="110"/>
          <w:sz w:val="18"/>
        </w:rPr>
        <w:t xml:space="preserve"> </w:t>
      </w:r>
      <w:r>
        <w:rPr>
          <w:color w:val="231F20"/>
          <w:spacing w:val="17"/>
          <w:w w:val="110"/>
          <w:sz w:val="18"/>
        </w:rPr>
        <w:t>west</w:t>
      </w:r>
      <w:r>
        <w:rPr>
          <w:color w:val="231F20"/>
          <w:spacing w:val="36"/>
          <w:w w:val="110"/>
          <w:sz w:val="18"/>
        </w:rPr>
        <w:t xml:space="preserve"> </w:t>
      </w:r>
      <w:r>
        <w:rPr>
          <w:color w:val="231F20"/>
          <w:spacing w:val="20"/>
          <w:w w:val="110"/>
          <w:sz w:val="18"/>
        </w:rPr>
        <w:t>germany</w:t>
      </w:r>
      <w:r>
        <w:rPr>
          <w:color w:val="231F20"/>
          <w:spacing w:val="-15"/>
          <w:sz w:val="18"/>
        </w:rPr>
        <w:t xml:space="preserve"> </w:t>
      </w:r>
      <w:r>
        <w:rPr>
          <w:color w:val="231F20"/>
          <w:spacing w:val="18"/>
          <w:w w:val="110"/>
          <w:sz w:val="18"/>
        </w:rPr>
        <w:t xml:space="preserve">march </w:t>
      </w:r>
      <w:r>
        <w:rPr>
          <w:color w:val="231F20"/>
          <w:spacing w:val="11"/>
          <w:w w:val="110"/>
          <w:sz w:val="18"/>
        </w:rPr>
        <w:t>1,</w:t>
      </w:r>
      <w:r>
        <w:rPr>
          <w:color w:val="231F20"/>
          <w:spacing w:val="42"/>
          <w:w w:val="110"/>
          <w:sz w:val="18"/>
        </w:rPr>
        <w:t xml:space="preserve"> </w:t>
      </w:r>
      <w:r>
        <w:rPr>
          <w:color w:val="231F20"/>
          <w:spacing w:val="17"/>
          <w:w w:val="110"/>
          <w:sz w:val="18"/>
        </w:rPr>
        <w:t>1999</w:t>
      </w:r>
      <w:r>
        <w:rPr>
          <w:color w:val="231F20"/>
          <w:spacing w:val="-15"/>
          <w:sz w:val="18"/>
        </w:rPr>
        <w:t xml:space="preserve"> </w:t>
      </w:r>
    </w:p>
    <w:p w14:paraId="4CD0218A" w14:textId="77777777" w:rsidR="002653E8" w:rsidRDefault="002653E8">
      <w:pPr>
        <w:spacing w:line="244" w:lineRule="auto"/>
        <w:jc w:val="right"/>
        <w:rPr>
          <w:sz w:val="18"/>
        </w:rPr>
        <w:sectPr w:rsidR="002653E8">
          <w:type w:val="continuous"/>
          <w:pgSz w:w="8640" w:h="12960"/>
          <w:pgMar w:top="0" w:right="0" w:bottom="0" w:left="0" w:header="720" w:footer="720" w:gutter="0"/>
          <w:cols w:space="720"/>
        </w:sectPr>
      </w:pPr>
    </w:p>
    <w:p w14:paraId="67A38D23" w14:textId="77777777" w:rsidR="002653E8" w:rsidRDefault="003115E3">
      <w:pPr>
        <w:spacing w:before="72" w:line="276" w:lineRule="auto"/>
        <w:ind w:left="1327" w:right="199"/>
        <w:rPr>
          <w:rFonts w:ascii="Gill Sans MT"/>
          <w:sz w:val="18"/>
        </w:rPr>
      </w:pPr>
      <w:r>
        <w:rPr>
          <w:rFonts w:ascii="Gill Sans MT"/>
          <w:color w:val="231F20"/>
          <w:w w:val="115"/>
          <w:sz w:val="18"/>
        </w:rPr>
        <w:lastRenderedPageBreak/>
        <w:t>the continuing struggle against capitalism</w:t>
      </w:r>
      <w:r>
        <w:rPr>
          <w:rFonts w:ascii="Gill Sans MT"/>
          <w:color w:val="231F20"/>
          <w:spacing w:val="-21"/>
          <w:w w:val="115"/>
          <w:sz w:val="18"/>
        </w:rPr>
        <w:t xml:space="preserve"> </w:t>
      </w:r>
      <w:r>
        <w:rPr>
          <w:rFonts w:ascii="Gill Sans MT"/>
          <w:color w:val="231F20"/>
          <w:w w:val="115"/>
          <w:sz w:val="18"/>
        </w:rPr>
        <w:t>and</w:t>
      </w:r>
      <w:r>
        <w:rPr>
          <w:rFonts w:ascii="Gill Sans MT"/>
          <w:color w:val="231F20"/>
          <w:spacing w:val="-21"/>
          <w:w w:val="115"/>
          <w:sz w:val="18"/>
        </w:rPr>
        <w:t xml:space="preserve"> </w:t>
      </w:r>
      <w:r>
        <w:rPr>
          <w:rFonts w:ascii="Gill Sans MT"/>
          <w:color w:val="231F20"/>
          <w:w w:val="115"/>
          <w:sz w:val="18"/>
        </w:rPr>
        <w:t>for</w:t>
      </w:r>
      <w:r>
        <w:rPr>
          <w:rFonts w:ascii="Gill Sans MT"/>
          <w:color w:val="231F20"/>
          <w:spacing w:val="-21"/>
          <w:w w:val="115"/>
          <w:sz w:val="18"/>
        </w:rPr>
        <w:t xml:space="preserve"> </w:t>
      </w:r>
      <w:r>
        <w:rPr>
          <w:rFonts w:ascii="Gill Sans MT"/>
          <w:color w:val="231F20"/>
          <w:w w:val="115"/>
          <w:sz w:val="18"/>
        </w:rPr>
        <w:t>a</w:t>
      </w:r>
      <w:r>
        <w:rPr>
          <w:rFonts w:ascii="Gill Sans MT"/>
          <w:color w:val="231F20"/>
          <w:spacing w:val="-21"/>
          <w:w w:val="115"/>
          <w:sz w:val="18"/>
        </w:rPr>
        <w:t xml:space="preserve"> </w:t>
      </w:r>
      <w:r>
        <w:rPr>
          <w:rFonts w:ascii="Gill Sans MT"/>
          <w:color w:val="231F20"/>
          <w:w w:val="115"/>
          <w:sz w:val="18"/>
        </w:rPr>
        <w:t>more</w:t>
      </w:r>
      <w:r>
        <w:rPr>
          <w:rFonts w:ascii="Gill Sans MT"/>
          <w:color w:val="231F20"/>
          <w:spacing w:val="-21"/>
          <w:w w:val="115"/>
          <w:sz w:val="18"/>
        </w:rPr>
        <w:t xml:space="preserve"> </w:t>
      </w:r>
      <w:r>
        <w:rPr>
          <w:rFonts w:ascii="Gill Sans MT"/>
          <w:color w:val="231F20"/>
          <w:w w:val="115"/>
          <w:sz w:val="18"/>
        </w:rPr>
        <w:t>humane society.</w:t>
      </w:r>
    </w:p>
    <w:p w14:paraId="086A6809" w14:textId="77777777" w:rsidR="002653E8" w:rsidRDefault="002653E8">
      <w:pPr>
        <w:pStyle w:val="a3"/>
        <w:spacing w:before="7"/>
        <w:rPr>
          <w:rFonts w:ascii="Gill Sans MT"/>
        </w:rPr>
      </w:pPr>
    </w:p>
    <w:p w14:paraId="7525DF75" w14:textId="77777777" w:rsidR="002653E8" w:rsidRDefault="003115E3">
      <w:pPr>
        <w:ind w:left="1327"/>
        <w:rPr>
          <w:rFonts w:ascii="Arial"/>
          <w:b/>
          <w:sz w:val="18"/>
        </w:rPr>
      </w:pPr>
      <w:r>
        <w:rPr>
          <w:rFonts w:ascii="Arial"/>
          <w:b/>
          <w:color w:val="231F20"/>
          <w:w w:val="115"/>
          <w:sz w:val="18"/>
        </w:rPr>
        <w:t>February 26, 2007</w:t>
      </w:r>
    </w:p>
    <w:p w14:paraId="48FA8291" w14:textId="77777777" w:rsidR="002653E8" w:rsidRDefault="003115E3">
      <w:pPr>
        <w:spacing w:before="34" w:line="273" w:lineRule="auto"/>
        <w:ind w:left="1327"/>
        <w:rPr>
          <w:rFonts w:ascii="Gill Sans MT" w:hAnsi="Gill Sans MT"/>
          <w:sz w:val="18"/>
        </w:rPr>
      </w:pPr>
      <w:r>
        <w:rPr>
          <w:rFonts w:ascii="Gill Sans MT" w:hAnsi="Gill Sans MT"/>
          <w:color w:val="231F20"/>
          <w:w w:val="110"/>
          <w:sz w:val="18"/>
        </w:rPr>
        <w:t xml:space="preserve">The television news magazine </w:t>
      </w:r>
      <w:r>
        <w:rPr>
          <w:rFonts w:ascii="Lucida Sans" w:hAnsi="Lucida Sans"/>
          <w:i/>
          <w:color w:val="231F20"/>
          <w:w w:val="110"/>
          <w:sz w:val="18"/>
        </w:rPr>
        <w:t xml:space="preserve">Report Mainz </w:t>
      </w:r>
      <w:r>
        <w:rPr>
          <w:rFonts w:ascii="Gill Sans MT" w:hAnsi="Gill Sans MT"/>
          <w:color w:val="231F20"/>
          <w:w w:val="110"/>
          <w:sz w:val="18"/>
        </w:rPr>
        <w:t xml:space="preserve">(The Mainz Report) reports on </w:t>
      </w:r>
      <w:r w:rsidR="00C507A5">
        <w:rPr>
          <w:rFonts w:ascii="Gill Sans MT" w:hAnsi="Gill Sans MT"/>
          <w:color w:val="231F20"/>
          <w:w w:val="110"/>
          <w:sz w:val="18"/>
        </w:rPr>
        <w:t>red army faction</w:t>
      </w:r>
      <w:r>
        <w:rPr>
          <w:rFonts w:ascii="Gill Sans MT" w:hAnsi="Gill Sans MT"/>
          <w:color w:val="231F20"/>
          <w:w w:val="110"/>
          <w:sz w:val="18"/>
        </w:rPr>
        <w:t xml:space="preserve"> prisoner Christian Klar’s application for a presidential pardon, setting off a media debate.</w:t>
      </w:r>
    </w:p>
    <w:p w14:paraId="4D6FC047" w14:textId="77777777" w:rsidR="002653E8" w:rsidRDefault="002653E8">
      <w:pPr>
        <w:pStyle w:val="a3"/>
        <w:spacing w:before="10"/>
        <w:rPr>
          <w:rFonts w:ascii="Gill Sans MT"/>
        </w:rPr>
      </w:pPr>
    </w:p>
    <w:p w14:paraId="53304832" w14:textId="77777777" w:rsidR="002653E8" w:rsidRDefault="003115E3">
      <w:pPr>
        <w:ind w:left="1327"/>
        <w:rPr>
          <w:rFonts w:ascii="Arial"/>
          <w:b/>
          <w:sz w:val="18"/>
        </w:rPr>
      </w:pPr>
      <w:r>
        <w:rPr>
          <w:rFonts w:ascii="Arial"/>
          <w:b/>
          <w:color w:val="231F20"/>
          <w:w w:val="115"/>
          <w:sz w:val="18"/>
        </w:rPr>
        <w:t>March 25, 2007</w:t>
      </w:r>
    </w:p>
    <w:p w14:paraId="7E4E8F49" w14:textId="77777777" w:rsidR="002653E8" w:rsidRDefault="00C507A5">
      <w:pPr>
        <w:spacing w:before="34" w:line="276" w:lineRule="auto"/>
        <w:ind w:left="1327" w:right="83"/>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Brigitte Mohnhaupt is released from prison. She remains subject to parole conditions.</w:t>
      </w:r>
    </w:p>
    <w:p w14:paraId="26DBDDA8" w14:textId="77777777" w:rsidR="002653E8" w:rsidRDefault="002653E8">
      <w:pPr>
        <w:pStyle w:val="a3"/>
        <w:spacing w:before="6"/>
        <w:rPr>
          <w:rFonts w:ascii="Gill Sans MT"/>
        </w:rPr>
      </w:pPr>
    </w:p>
    <w:p w14:paraId="5BD32C81" w14:textId="77777777" w:rsidR="002653E8" w:rsidRDefault="003115E3">
      <w:pPr>
        <w:spacing w:before="1"/>
        <w:ind w:left="1327"/>
        <w:rPr>
          <w:rFonts w:ascii="Arial"/>
          <w:b/>
          <w:sz w:val="18"/>
        </w:rPr>
      </w:pPr>
      <w:r>
        <w:rPr>
          <w:rFonts w:ascii="Arial"/>
          <w:b/>
          <w:color w:val="231F20"/>
          <w:w w:val="115"/>
          <w:sz w:val="18"/>
        </w:rPr>
        <w:t>April 25, 2007</w:t>
      </w:r>
    </w:p>
    <w:p w14:paraId="4F5F2CBA" w14:textId="77777777" w:rsidR="002653E8" w:rsidRDefault="003115E3">
      <w:pPr>
        <w:spacing w:before="34" w:line="276" w:lineRule="auto"/>
        <w:ind w:left="1327" w:right="345"/>
        <w:rPr>
          <w:rFonts w:ascii="Gill Sans MT"/>
          <w:sz w:val="18"/>
        </w:rPr>
      </w:pPr>
      <w:r>
        <w:rPr>
          <w:rFonts w:ascii="Gill Sans MT"/>
          <w:color w:val="231F20"/>
          <w:w w:val="110"/>
          <w:sz w:val="18"/>
        </w:rPr>
        <w:t>Attorney</w:t>
      </w:r>
      <w:r>
        <w:rPr>
          <w:rFonts w:ascii="Gill Sans MT"/>
          <w:color w:val="231F20"/>
          <w:spacing w:val="-16"/>
          <w:w w:val="110"/>
          <w:sz w:val="18"/>
        </w:rPr>
        <w:t xml:space="preserve"> </w:t>
      </w:r>
      <w:r>
        <w:rPr>
          <w:rFonts w:ascii="Gill Sans MT"/>
          <w:color w:val="231F20"/>
          <w:w w:val="110"/>
          <w:sz w:val="18"/>
        </w:rPr>
        <w:t>General</w:t>
      </w:r>
      <w:r>
        <w:rPr>
          <w:rFonts w:ascii="Gill Sans MT"/>
          <w:color w:val="231F20"/>
          <w:spacing w:val="-16"/>
          <w:w w:val="110"/>
          <w:sz w:val="18"/>
        </w:rPr>
        <w:t xml:space="preserve"> </w:t>
      </w:r>
      <w:r>
        <w:rPr>
          <w:rFonts w:ascii="Gill Sans MT"/>
          <w:color w:val="231F20"/>
          <w:w w:val="110"/>
          <w:sz w:val="18"/>
        </w:rPr>
        <w:t>Monika</w:t>
      </w:r>
      <w:r>
        <w:rPr>
          <w:rFonts w:ascii="Gill Sans MT"/>
          <w:color w:val="231F20"/>
          <w:spacing w:val="-16"/>
          <w:w w:val="110"/>
          <w:sz w:val="18"/>
        </w:rPr>
        <w:t xml:space="preserve"> </w:t>
      </w:r>
      <w:r>
        <w:rPr>
          <w:rFonts w:ascii="Gill Sans MT"/>
          <w:color w:val="231F20"/>
          <w:w w:val="110"/>
          <w:sz w:val="18"/>
        </w:rPr>
        <w:t>Harms launches an investigation into the allegations of former</w:t>
      </w:r>
      <w:r>
        <w:rPr>
          <w:rFonts w:ascii="Gill Sans MT"/>
          <w:color w:val="231F20"/>
          <w:spacing w:val="-9"/>
          <w:w w:val="110"/>
          <w:sz w:val="18"/>
        </w:rPr>
        <w:t xml:space="preserve"> </w:t>
      </w:r>
      <w:r w:rsidR="00C507A5">
        <w:rPr>
          <w:rFonts w:ascii="Gill Sans MT"/>
          <w:color w:val="231F20"/>
          <w:w w:val="110"/>
          <w:sz w:val="18"/>
        </w:rPr>
        <w:t>red army faction</w:t>
      </w:r>
    </w:p>
    <w:p w14:paraId="1143A993" w14:textId="77777777" w:rsidR="002653E8" w:rsidRDefault="003115E3">
      <w:pPr>
        <w:spacing w:line="276" w:lineRule="auto"/>
        <w:ind w:left="1327" w:right="-16"/>
        <w:rPr>
          <w:rFonts w:ascii="Gill Sans MT" w:hAnsi="Gill Sans MT"/>
          <w:sz w:val="18"/>
        </w:rPr>
      </w:pPr>
      <w:r>
        <w:rPr>
          <w:rFonts w:ascii="Gill Sans MT" w:hAnsi="Gill Sans MT"/>
          <w:color w:val="231F20"/>
          <w:w w:val="115"/>
          <w:sz w:val="18"/>
        </w:rPr>
        <w:t xml:space="preserve">members Peter-Jürgen Boock and </w:t>
      </w:r>
      <w:r>
        <w:rPr>
          <w:rFonts w:ascii="Gill Sans MT" w:hAnsi="Gill Sans MT"/>
          <w:color w:val="231F20"/>
          <w:spacing w:val="-3"/>
          <w:w w:val="110"/>
          <w:sz w:val="18"/>
        </w:rPr>
        <w:t>Verena</w:t>
      </w:r>
      <w:r>
        <w:rPr>
          <w:rFonts w:ascii="Gill Sans MT" w:hAnsi="Gill Sans MT"/>
          <w:color w:val="231F20"/>
          <w:spacing w:val="-24"/>
          <w:w w:val="110"/>
          <w:sz w:val="18"/>
        </w:rPr>
        <w:t xml:space="preserve"> </w:t>
      </w:r>
      <w:r>
        <w:rPr>
          <w:rFonts w:ascii="Gill Sans MT" w:hAnsi="Gill Sans MT"/>
          <w:color w:val="231F20"/>
          <w:w w:val="110"/>
          <w:sz w:val="18"/>
        </w:rPr>
        <w:t>Becker</w:t>
      </w:r>
      <w:r>
        <w:rPr>
          <w:rFonts w:ascii="Gill Sans MT" w:hAnsi="Gill Sans MT"/>
          <w:color w:val="231F20"/>
          <w:spacing w:val="-24"/>
          <w:w w:val="110"/>
          <w:sz w:val="18"/>
        </w:rPr>
        <w:t xml:space="preserve"> </w:t>
      </w:r>
      <w:r>
        <w:rPr>
          <w:rFonts w:ascii="Gill Sans MT" w:hAnsi="Gill Sans MT"/>
          <w:color w:val="231F20"/>
          <w:w w:val="110"/>
          <w:sz w:val="18"/>
        </w:rPr>
        <w:t>that</w:t>
      </w:r>
      <w:r>
        <w:rPr>
          <w:rFonts w:ascii="Gill Sans MT" w:hAnsi="Gill Sans MT"/>
          <w:color w:val="231F20"/>
          <w:spacing w:val="-24"/>
          <w:w w:val="110"/>
          <w:sz w:val="18"/>
        </w:rPr>
        <w:t xml:space="preserve"> </w:t>
      </w:r>
      <w:r>
        <w:rPr>
          <w:rFonts w:ascii="Gill Sans MT" w:hAnsi="Gill Sans MT"/>
          <w:color w:val="231F20"/>
          <w:w w:val="110"/>
          <w:sz w:val="18"/>
        </w:rPr>
        <w:t>Stefan</w:t>
      </w:r>
      <w:r>
        <w:rPr>
          <w:rFonts w:ascii="Gill Sans MT" w:hAnsi="Gill Sans MT"/>
          <w:color w:val="231F20"/>
          <w:spacing w:val="-24"/>
          <w:w w:val="110"/>
          <w:sz w:val="18"/>
        </w:rPr>
        <w:t xml:space="preserve"> </w:t>
      </w:r>
      <w:r>
        <w:rPr>
          <w:rFonts w:ascii="Gill Sans MT" w:hAnsi="Gill Sans MT"/>
          <w:color w:val="231F20"/>
          <w:w w:val="110"/>
          <w:sz w:val="18"/>
        </w:rPr>
        <w:t xml:space="preserve">Wisniewski </w:t>
      </w:r>
      <w:r>
        <w:rPr>
          <w:rFonts w:ascii="Gill Sans MT" w:hAnsi="Gill Sans MT"/>
          <w:color w:val="231F20"/>
          <w:w w:val="115"/>
          <w:sz w:val="18"/>
        </w:rPr>
        <w:t>was the shooter in the Buback assassination.</w:t>
      </w:r>
    </w:p>
    <w:p w14:paraId="6BCD233F" w14:textId="77777777" w:rsidR="002653E8" w:rsidRDefault="002653E8">
      <w:pPr>
        <w:pStyle w:val="a3"/>
        <w:spacing w:before="6"/>
        <w:rPr>
          <w:rFonts w:ascii="Gill Sans MT"/>
        </w:rPr>
      </w:pPr>
    </w:p>
    <w:p w14:paraId="37CE2697" w14:textId="77777777" w:rsidR="002653E8" w:rsidRDefault="003115E3">
      <w:pPr>
        <w:ind w:left="1327"/>
        <w:rPr>
          <w:rFonts w:ascii="Arial"/>
          <w:b/>
          <w:sz w:val="18"/>
        </w:rPr>
      </w:pPr>
      <w:r>
        <w:rPr>
          <w:rFonts w:ascii="Arial"/>
          <w:b/>
          <w:color w:val="231F20"/>
          <w:w w:val="120"/>
          <w:sz w:val="18"/>
        </w:rPr>
        <w:t>May 7, 2007</w:t>
      </w:r>
    </w:p>
    <w:p w14:paraId="7AAB4EAF" w14:textId="77777777" w:rsidR="002653E8" w:rsidRDefault="003115E3">
      <w:pPr>
        <w:spacing w:before="35" w:line="276" w:lineRule="auto"/>
        <w:ind w:left="1327" w:right="-10"/>
        <w:rPr>
          <w:rFonts w:ascii="Gill Sans MT" w:hAnsi="Gill Sans MT"/>
          <w:sz w:val="18"/>
        </w:rPr>
      </w:pPr>
      <w:r>
        <w:rPr>
          <w:rFonts w:ascii="Gill Sans MT" w:hAnsi="Gill Sans MT"/>
          <w:color w:val="231F20"/>
          <w:w w:val="110"/>
          <w:sz w:val="18"/>
        </w:rPr>
        <w:t xml:space="preserve">Following a personal conversation with </w:t>
      </w:r>
      <w:r w:rsidR="00C507A5">
        <w:rPr>
          <w:rFonts w:ascii="Gill Sans MT" w:hAnsi="Gill Sans MT"/>
          <w:color w:val="231F20"/>
          <w:w w:val="110"/>
          <w:sz w:val="18"/>
        </w:rPr>
        <w:t>red army faction</w:t>
      </w:r>
      <w:r>
        <w:rPr>
          <w:rFonts w:ascii="Gill Sans MT" w:hAnsi="Gill Sans MT"/>
          <w:color w:val="231F20"/>
          <w:w w:val="110"/>
          <w:sz w:val="18"/>
        </w:rPr>
        <w:t xml:space="preserve"> prisoner Christian Klar, President Horst Köhler turns down Klar’s clemency request. He will also turn down a similar request from Birgit Hogefeld.</w:t>
      </w:r>
    </w:p>
    <w:p w14:paraId="18F69BFE" w14:textId="77777777" w:rsidR="002653E8" w:rsidRDefault="002653E8">
      <w:pPr>
        <w:pStyle w:val="a3"/>
        <w:spacing w:before="6"/>
        <w:rPr>
          <w:rFonts w:ascii="Gill Sans MT"/>
        </w:rPr>
      </w:pPr>
    </w:p>
    <w:p w14:paraId="47CB2209" w14:textId="77777777" w:rsidR="002653E8" w:rsidRDefault="003115E3">
      <w:pPr>
        <w:ind w:left="1327"/>
        <w:rPr>
          <w:rFonts w:ascii="Arial"/>
          <w:b/>
          <w:sz w:val="18"/>
        </w:rPr>
      </w:pPr>
      <w:r>
        <w:rPr>
          <w:rFonts w:ascii="Arial"/>
          <w:b/>
          <w:color w:val="231F20"/>
          <w:w w:val="115"/>
          <w:sz w:val="18"/>
        </w:rPr>
        <w:t>August 27, 2007</w:t>
      </w:r>
    </w:p>
    <w:p w14:paraId="56E5870A" w14:textId="77777777" w:rsidR="002653E8" w:rsidRDefault="00C507A5">
      <w:pPr>
        <w:spacing w:before="35" w:line="276" w:lineRule="auto"/>
        <w:ind w:left="1327" w:right="104"/>
        <w:jc w:val="both"/>
        <w:rPr>
          <w:rFonts w:ascii="Gill Sans MT"/>
          <w:sz w:val="18"/>
        </w:rPr>
      </w:pPr>
      <w:r>
        <w:rPr>
          <w:rFonts w:ascii="Gill Sans MT"/>
          <w:color w:val="231F20"/>
          <w:w w:val="110"/>
          <w:sz w:val="18"/>
        </w:rPr>
        <w:t>red army faction</w:t>
      </w:r>
      <w:r w:rsidR="003115E3">
        <w:rPr>
          <w:rFonts w:ascii="Gill Sans MT"/>
          <w:color w:val="231F20"/>
          <w:w w:val="110"/>
          <w:sz w:val="18"/>
        </w:rPr>
        <w:t xml:space="preserve"> prisoner Eva Haule is released from prison. She remains subject</w:t>
      </w:r>
      <w:r w:rsidR="003115E3">
        <w:rPr>
          <w:rFonts w:ascii="Gill Sans MT"/>
          <w:color w:val="231F20"/>
          <w:spacing w:val="-15"/>
          <w:w w:val="110"/>
          <w:sz w:val="18"/>
        </w:rPr>
        <w:t xml:space="preserve"> </w:t>
      </w:r>
      <w:r w:rsidR="003115E3">
        <w:rPr>
          <w:rFonts w:ascii="Gill Sans MT"/>
          <w:color w:val="231F20"/>
          <w:w w:val="110"/>
          <w:sz w:val="18"/>
        </w:rPr>
        <w:t>to parole</w:t>
      </w:r>
      <w:r w:rsidR="003115E3">
        <w:rPr>
          <w:rFonts w:ascii="Gill Sans MT"/>
          <w:color w:val="231F20"/>
          <w:spacing w:val="-5"/>
          <w:w w:val="110"/>
          <w:sz w:val="18"/>
        </w:rPr>
        <w:t xml:space="preserve"> </w:t>
      </w:r>
      <w:r w:rsidR="003115E3">
        <w:rPr>
          <w:rFonts w:ascii="Gill Sans MT"/>
          <w:color w:val="231F20"/>
          <w:w w:val="110"/>
          <w:sz w:val="18"/>
        </w:rPr>
        <w:t>conditions.</w:t>
      </w:r>
    </w:p>
    <w:p w14:paraId="3E7A6752" w14:textId="77777777" w:rsidR="002653E8" w:rsidRDefault="002653E8">
      <w:pPr>
        <w:pStyle w:val="a3"/>
        <w:spacing w:before="6"/>
        <w:rPr>
          <w:rFonts w:ascii="Gill Sans MT"/>
        </w:rPr>
      </w:pPr>
    </w:p>
    <w:p w14:paraId="78DA82B6" w14:textId="77777777" w:rsidR="002653E8" w:rsidRDefault="003115E3">
      <w:pPr>
        <w:ind w:left="1327"/>
        <w:rPr>
          <w:rFonts w:ascii="Arial" w:hAnsi="Arial"/>
          <w:b/>
          <w:sz w:val="18"/>
        </w:rPr>
      </w:pPr>
      <w:r>
        <w:rPr>
          <w:rFonts w:ascii="Arial" w:hAnsi="Arial"/>
          <w:b/>
          <w:color w:val="231F20"/>
          <w:w w:val="115"/>
          <w:sz w:val="18"/>
        </w:rPr>
        <w:t>September 9–10, 2007</w:t>
      </w:r>
    </w:p>
    <w:p w14:paraId="71D57CB8" w14:textId="77777777" w:rsidR="002653E8" w:rsidRDefault="003115E3">
      <w:pPr>
        <w:spacing w:before="35" w:line="276" w:lineRule="auto"/>
        <w:ind w:left="1327"/>
        <w:rPr>
          <w:rFonts w:ascii="Gill Sans MT"/>
          <w:sz w:val="18"/>
        </w:rPr>
      </w:pPr>
      <w:r>
        <w:rPr>
          <w:rFonts w:ascii="Gill Sans MT"/>
          <w:color w:val="231F20"/>
          <w:w w:val="110"/>
          <w:sz w:val="18"/>
        </w:rPr>
        <w:t xml:space="preserve">Special programming on ARd commemorates the </w:t>
      </w:r>
      <w:r>
        <w:rPr>
          <w:rFonts w:ascii="Arial"/>
          <w:color w:val="231F20"/>
          <w:w w:val="110"/>
          <w:sz w:val="18"/>
        </w:rPr>
        <w:t>30</w:t>
      </w:r>
      <w:r>
        <w:rPr>
          <w:rFonts w:ascii="Gill Sans MT"/>
          <w:color w:val="231F20"/>
          <w:w w:val="110"/>
          <w:sz w:val="18"/>
        </w:rPr>
        <w:t>th</w:t>
      </w:r>
      <w:r>
        <w:rPr>
          <w:rFonts w:ascii="Gill Sans MT"/>
          <w:color w:val="231F20"/>
          <w:spacing w:val="-37"/>
          <w:w w:val="110"/>
          <w:sz w:val="18"/>
        </w:rPr>
        <w:t xml:space="preserve"> </w:t>
      </w:r>
      <w:r>
        <w:rPr>
          <w:rFonts w:ascii="Gill Sans MT"/>
          <w:color w:val="231F20"/>
          <w:w w:val="110"/>
          <w:sz w:val="18"/>
        </w:rPr>
        <w:t>anniversary of the Schleyer kidnapping.</w:t>
      </w:r>
      <w:r>
        <w:rPr>
          <w:rFonts w:ascii="Gill Sans MT"/>
          <w:color w:val="231F20"/>
          <w:spacing w:val="22"/>
          <w:w w:val="110"/>
          <w:sz w:val="18"/>
        </w:rPr>
        <w:t xml:space="preserve"> </w:t>
      </w:r>
      <w:r>
        <w:rPr>
          <w:rFonts w:ascii="Gill Sans MT"/>
          <w:color w:val="231F20"/>
          <w:w w:val="110"/>
          <w:sz w:val="18"/>
        </w:rPr>
        <w:t>Former</w:t>
      </w:r>
    </w:p>
    <w:p w14:paraId="261EA1BF" w14:textId="77777777" w:rsidR="002653E8" w:rsidRDefault="003115E3">
      <w:pPr>
        <w:spacing w:before="72" w:line="276" w:lineRule="auto"/>
        <w:ind w:left="200" w:right="1361"/>
        <w:rPr>
          <w:rFonts w:ascii="Gill Sans MT" w:hAnsi="Gill Sans MT"/>
          <w:sz w:val="18"/>
        </w:rPr>
      </w:pPr>
      <w:r>
        <w:br w:type="column"/>
      </w:r>
      <w:r w:rsidR="00C507A5">
        <w:rPr>
          <w:rFonts w:ascii="Gill Sans MT" w:hAnsi="Gill Sans MT"/>
          <w:color w:val="231F20"/>
          <w:w w:val="115"/>
          <w:sz w:val="18"/>
        </w:rPr>
        <w:t>red army faction</w:t>
      </w:r>
      <w:r>
        <w:rPr>
          <w:rFonts w:ascii="Gill Sans MT" w:hAnsi="Gill Sans MT"/>
          <w:color w:val="231F20"/>
          <w:spacing w:val="-33"/>
          <w:w w:val="115"/>
          <w:sz w:val="18"/>
        </w:rPr>
        <w:t xml:space="preserve"> </w:t>
      </w:r>
      <w:r>
        <w:rPr>
          <w:rFonts w:ascii="Gill Sans MT" w:hAnsi="Gill Sans MT"/>
          <w:color w:val="231F20"/>
          <w:w w:val="115"/>
          <w:sz w:val="18"/>
        </w:rPr>
        <w:t>member</w:t>
      </w:r>
      <w:r>
        <w:rPr>
          <w:rFonts w:ascii="Gill Sans MT" w:hAnsi="Gill Sans MT"/>
          <w:color w:val="231F20"/>
          <w:spacing w:val="-33"/>
          <w:w w:val="115"/>
          <w:sz w:val="18"/>
        </w:rPr>
        <w:t xml:space="preserve"> </w:t>
      </w:r>
      <w:r>
        <w:rPr>
          <w:rFonts w:ascii="Gill Sans MT" w:hAnsi="Gill Sans MT"/>
          <w:color w:val="231F20"/>
          <w:w w:val="115"/>
          <w:sz w:val="18"/>
        </w:rPr>
        <w:t>Peter-Jürgen</w:t>
      </w:r>
      <w:r>
        <w:rPr>
          <w:rFonts w:ascii="Gill Sans MT" w:hAnsi="Gill Sans MT"/>
          <w:color w:val="231F20"/>
          <w:spacing w:val="-33"/>
          <w:w w:val="115"/>
          <w:sz w:val="18"/>
        </w:rPr>
        <w:t xml:space="preserve"> </w:t>
      </w:r>
      <w:r>
        <w:rPr>
          <w:rFonts w:ascii="Gill Sans MT" w:hAnsi="Gill Sans MT"/>
          <w:color w:val="231F20"/>
          <w:w w:val="115"/>
          <w:sz w:val="18"/>
        </w:rPr>
        <w:t>Boock claims</w:t>
      </w:r>
      <w:r>
        <w:rPr>
          <w:rFonts w:ascii="Gill Sans MT" w:hAnsi="Gill Sans MT"/>
          <w:color w:val="231F20"/>
          <w:spacing w:val="-18"/>
          <w:w w:val="115"/>
          <w:sz w:val="18"/>
        </w:rPr>
        <w:t xml:space="preserve"> </w:t>
      </w:r>
      <w:r>
        <w:rPr>
          <w:rFonts w:ascii="Gill Sans MT" w:hAnsi="Gill Sans MT"/>
          <w:color w:val="231F20"/>
          <w:w w:val="115"/>
          <w:sz w:val="18"/>
        </w:rPr>
        <w:t>in</w:t>
      </w:r>
      <w:r>
        <w:rPr>
          <w:rFonts w:ascii="Gill Sans MT" w:hAnsi="Gill Sans MT"/>
          <w:color w:val="231F20"/>
          <w:spacing w:val="-18"/>
          <w:w w:val="115"/>
          <w:sz w:val="18"/>
        </w:rPr>
        <w:t xml:space="preserve"> </w:t>
      </w:r>
      <w:r>
        <w:rPr>
          <w:rFonts w:ascii="Gill Sans MT" w:hAnsi="Gill Sans MT"/>
          <w:color w:val="231F20"/>
          <w:w w:val="115"/>
          <w:sz w:val="18"/>
        </w:rPr>
        <w:t>an</w:t>
      </w:r>
      <w:r>
        <w:rPr>
          <w:rFonts w:ascii="Gill Sans MT" w:hAnsi="Gill Sans MT"/>
          <w:color w:val="231F20"/>
          <w:spacing w:val="-18"/>
          <w:w w:val="115"/>
          <w:sz w:val="18"/>
        </w:rPr>
        <w:t xml:space="preserve"> </w:t>
      </w:r>
      <w:r>
        <w:rPr>
          <w:rFonts w:ascii="Gill Sans MT" w:hAnsi="Gill Sans MT"/>
          <w:color w:val="231F20"/>
          <w:w w:val="115"/>
          <w:sz w:val="18"/>
        </w:rPr>
        <w:t>interview</w:t>
      </w:r>
      <w:r>
        <w:rPr>
          <w:rFonts w:ascii="Gill Sans MT" w:hAnsi="Gill Sans MT"/>
          <w:color w:val="231F20"/>
          <w:spacing w:val="-18"/>
          <w:w w:val="115"/>
          <w:sz w:val="18"/>
        </w:rPr>
        <w:t xml:space="preserve"> </w:t>
      </w:r>
      <w:r>
        <w:rPr>
          <w:rFonts w:ascii="Gill Sans MT" w:hAnsi="Gill Sans MT"/>
          <w:color w:val="231F20"/>
          <w:w w:val="115"/>
          <w:sz w:val="18"/>
        </w:rPr>
        <w:t>that</w:t>
      </w:r>
      <w:r>
        <w:rPr>
          <w:rFonts w:ascii="Gill Sans MT" w:hAnsi="Gill Sans MT"/>
          <w:color w:val="231F20"/>
          <w:spacing w:val="-18"/>
          <w:w w:val="115"/>
          <w:sz w:val="18"/>
        </w:rPr>
        <w:t xml:space="preserve"> </w:t>
      </w:r>
      <w:r>
        <w:rPr>
          <w:rFonts w:ascii="Gill Sans MT" w:hAnsi="Gill Sans MT"/>
          <w:color w:val="231F20"/>
          <w:w w:val="115"/>
          <w:sz w:val="18"/>
        </w:rPr>
        <w:t>Stefan Wisniewski and Rolf Heissler executed Schleyer in a wooded area</w:t>
      </w:r>
      <w:r>
        <w:rPr>
          <w:rFonts w:ascii="Gill Sans MT" w:hAnsi="Gill Sans MT"/>
          <w:color w:val="231F20"/>
          <w:spacing w:val="-21"/>
          <w:w w:val="115"/>
          <w:sz w:val="18"/>
        </w:rPr>
        <w:t xml:space="preserve"> </w:t>
      </w:r>
      <w:r>
        <w:rPr>
          <w:rFonts w:ascii="Gill Sans MT" w:hAnsi="Gill Sans MT"/>
          <w:color w:val="231F20"/>
          <w:w w:val="115"/>
          <w:sz w:val="18"/>
        </w:rPr>
        <w:t>in</w:t>
      </w:r>
      <w:r>
        <w:rPr>
          <w:rFonts w:ascii="Gill Sans MT" w:hAnsi="Gill Sans MT"/>
          <w:color w:val="231F20"/>
          <w:spacing w:val="-21"/>
          <w:w w:val="115"/>
          <w:sz w:val="18"/>
        </w:rPr>
        <w:t xml:space="preserve"> </w:t>
      </w:r>
      <w:r>
        <w:rPr>
          <w:rFonts w:ascii="Gill Sans MT" w:hAnsi="Gill Sans MT"/>
          <w:color w:val="231F20"/>
          <w:w w:val="115"/>
          <w:sz w:val="18"/>
        </w:rPr>
        <w:t>Alsace.</w:t>
      </w:r>
      <w:r>
        <w:rPr>
          <w:rFonts w:ascii="Gill Sans MT" w:hAnsi="Gill Sans MT"/>
          <w:color w:val="231F20"/>
          <w:spacing w:val="-21"/>
          <w:w w:val="115"/>
          <w:sz w:val="18"/>
        </w:rPr>
        <w:t xml:space="preserve"> </w:t>
      </w:r>
      <w:r>
        <w:rPr>
          <w:rFonts w:ascii="Gill Sans MT" w:hAnsi="Gill Sans MT"/>
          <w:color w:val="231F20"/>
          <w:w w:val="115"/>
          <w:sz w:val="18"/>
        </w:rPr>
        <w:t>He</w:t>
      </w:r>
      <w:r>
        <w:rPr>
          <w:rFonts w:ascii="Gill Sans MT" w:hAnsi="Gill Sans MT"/>
          <w:color w:val="231F20"/>
          <w:spacing w:val="-21"/>
          <w:w w:val="115"/>
          <w:sz w:val="18"/>
        </w:rPr>
        <w:t xml:space="preserve"> </w:t>
      </w:r>
      <w:r>
        <w:rPr>
          <w:rFonts w:ascii="Gill Sans MT" w:hAnsi="Gill Sans MT"/>
          <w:color w:val="231F20"/>
          <w:w w:val="115"/>
          <w:sz w:val="18"/>
        </w:rPr>
        <w:t>also</w:t>
      </w:r>
      <w:r>
        <w:rPr>
          <w:rFonts w:ascii="Gill Sans MT" w:hAnsi="Gill Sans MT"/>
          <w:color w:val="231F20"/>
          <w:spacing w:val="-21"/>
          <w:w w:val="115"/>
          <w:sz w:val="18"/>
        </w:rPr>
        <w:t xml:space="preserve"> </w:t>
      </w:r>
      <w:r>
        <w:rPr>
          <w:rFonts w:ascii="Gill Sans MT" w:hAnsi="Gill Sans MT"/>
          <w:color w:val="231F20"/>
          <w:w w:val="115"/>
          <w:sz w:val="18"/>
        </w:rPr>
        <w:t>claims</w:t>
      </w:r>
      <w:r>
        <w:rPr>
          <w:rFonts w:ascii="Gill Sans MT" w:hAnsi="Gill Sans MT"/>
          <w:color w:val="231F20"/>
          <w:spacing w:val="-21"/>
          <w:w w:val="115"/>
          <w:sz w:val="18"/>
        </w:rPr>
        <w:t xml:space="preserve"> </w:t>
      </w:r>
      <w:r>
        <w:rPr>
          <w:rFonts w:ascii="Gill Sans MT" w:hAnsi="Gill Sans MT"/>
          <w:color w:val="231F20"/>
          <w:w w:val="115"/>
          <w:sz w:val="18"/>
        </w:rPr>
        <w:t>that there were plans to kidnap then Chancellor Helmut</w:t>
      </w:r>
      <w:r>
        <w:rPr>
          <w:rFonts w:ascii="Gill Sans MT" w:hAnsi="Gill Sans MT"/>
          <w:color w:val="231F20"/>
          <w:spacing w:val="-33"/>
          <w:w w:val="115"/>
          <w:sz w:val="18"/>
        </w:rPr>
        <w:t xml:space="preserve"> </w:t>
      </w:r>
      <w:r>
        <w:rPr>
          <w:rFonts w:ascii="Gill Sans MT" w:hAnsi="Gill Sans MT"/>
          <w:color w:val="231F20"/>
          <w:w w:val="115"/>
          <w:sz w:val="18"/>
        </w:rPr>
        <w:t>Schmidt.</w:t>
      </w:r>
    </w:p>
    <w:p w14:paraId="002FDC74" w14:textId="77777777" w:rsidR="002653E8" w:rsidRDefault="002653E8">
      <w:pPr>
        <w:pStyle w:val="a3"/>
        <w:spacing w:before="6"/>
        <w:rPr>
          <w:rFonts w:ascii="Gill Sans MT"/>
        </w:rPr>
      </w:pPr>
    </w:p>
    <w:p w14:paraId="47290D3B" w14:textId="77777777" w:rsidR="002653E8" w:rsidRDefault="003115E3">
      <w:pPr>
        <w:ind w:left="200"/>
        <w:rPr>
          <w:rFonts w:ascii="Arial"/>
          <w:b/>
          <w:sz w:val="18"/>
        </w:rPr>
      </w:pPr>
      <w:r>
        <w:rPr>
          <w:rFonts w:ascii="Arial"/>
          <w:b/>
          <w:color w:val="231F20"/>
          <w:w w:val="115"/>
          <w:sz w:val="18"/>
        </w:rPr>
        <w:t>October 18, 2007</w:t>
      </w:r>
    </w:p>
    <w:p w14:paraId="0CED6808" w14:textId="77777777" w:rsidR="002653E8" w:rsidRDefault="003115E3">
      <w:pPr>
        <w:spacing w:before="28" w:line="276" w:lineRule="auto"/>
        <w:ind w:left="200" w:right="1255"/>
        <w:rPr>
          <w:rFonts w:ascii="Gill Sans MT" w:hAnsi="Gill Sans MT"/>
          <w:sz w:val="18"/>
        </w:rPr>
      </w:pPr>
      <w:r>
        <w:rPr>
          <w:rFonts w:ascii="Gill Sans MT" w:hAnsi="Gill Sans MT"/>
          <w:color w:val="231F20"/>
          <w:w w:val="110"/>
          <w:sz w:val="18"/>
        </w:rPr>
        <w:t xml:space="preserve">In an interview with </w:t>
      </w:r>
      <w:r>
        <w:rPr>
          <w:rFonts w:ascii="Lucida Sans" w:hAnsi="Lucida Sans"/>
          <w:i/>
          <w:color w:val="231F20"/>
          <w:w w:val="110"/>
          <w:sz w:val="18"/>
        </w:rPr>
        <w:t>junge Welt</w:t>
      </w:r>
      <w:r>
        <w:rPr>
          <w:rFonts w:ascii="Gill Sans MT" w:hAnsi="Gill Sans MT"/>
          <w:color w:val="231F20"/>
          <w:w w:val="110"/>
          <w:sz w:val="18"/>
        </w:rPr>
        <w:t>, Rolf Clemens Wagner expresses the opinion that even in</w:t>
      </w:r>
      <w:r>
        <w:rPr>
          <w:rFonts w:ascii="Gill Sans MT" w:hAnsi="Gill Sans MT"/>
          <w:color w:val="231F20"/>
          <w:spacing w:val="-14"/>
          <w:w w:val="110"/>
          <w:sz w:val="18"/>
        </w:rPr>
        <w:t xml:space="preserve"> </w:t>
      </w:r>
      <w:r>
        <w:rPr>
          <w:rFonts w:ascii="Gill Sans MT" w:hAnsi="Gill Sans MT"/>
          <w:color w:val="231F20"/>
          <w:w w:val="110"/>
          <w:sz w:val="18"/>
        </w:rPr>
        <w:t xml:space="preserve">retrospect, many </w:t>
      </w:r>
      <w:r w:rsidR="00C507A5">
        <w:rPr>
          <w:rFonts w:ascii="Gill Sans MT" w:hAnsi="Gill Sans MT"/>
          <w:color w:val="231F20"/>
          <w:w w:val="110"/>
          <w:sz w:val="18"/>
        </w:rPr>
        <w:t>red army faction</w:t>
      </w:r>
      <w:r>
        <w:rPr>
          <w:rFonts w:ascii="Gill Sans MT" w:hAnsi="Gill Sans MT"/>
          <w:color w:val="231F20"/>
          <w:w w:val="110"/>
          <w:sz w:val="18"/>
        </w:rPr>
        <w:t xml:space="preserve"> actions still seemed correct. </w:t>
      </w:r>
      <w:r>
        <w:rPr>
          <w:rFonts w:ascii="Lucida Sans" w:hAnsi="Lucida Sans"/>
          <w:i/>
          <w:color w:val="231F20"/>
          <w:w w:val="110"/>
          <w:sz w:val="18"/>
        </w:rPr>
        <w:t xml:space="preserve">Bild Zeitung </w:t>
      </w:r>
      <w:r>
        <w:rPr>
          <w:rFonts w:ascii="Gill Sans MT" w:hAnsi="Gill Sans MT"/>
          <w:color w:val="231F20"/>
          <w:w w:val="110"/>
          <w:sz w:val="18"/>
        </w:rPr>
        <w:t>and former Federal Minister of defense (Cdu) Rupert Scholz call for charges to be laid for “speech encouraging criminality” and “disparaging the memory of the dead,” but nothing comes of</w:t>
      </w:r>
      <w:r>
        <w:rPr>
          <w:rFonts w:ascii="Gill Sans MT" w:hAnsi="Gill Sans MT"/>
          <w:color w:val="231F20"/>
          <w:spacing w:val="-10"/>
          <w:w w:val="110"/>
          <w:sz w:val="18"/>
        </w:rPr>
        <w:t xml:space="preserve"> </w:t>
      </w:r>
      <w:r>
        <w:rPr>
          <w:rFonts w:ascii="Gill Sans MT" w:hAnsi="Gill Sans MT"/>
          <w:color w:val="231F20"/>
          <w:w w:val="110"/>
          <w:sz w:val="18"/>
        </w:rPr>
        <w:t>it.</w:t>
      </w:r>
    </w:p>
    <w:p w14:paraId="0ABCA35F" w14:textId="77777777" w:rsidR="002653E8" w:rsidRDefault="002653E8">
      <w:pPr>
        <w:pStyle w:val="a3"/>
        <w:rPr>
          <w:rFonts w:ascii="Gill Sans MT"/>
        </w:rPr>
      </w:pPr>
    </w:p>
    <w:p w14:paraId="01D42A4A" w14:textId="77777777" w:rsidR="002653E8" w:rsidRDefault="002653E8">
      <w:pPr>
        <w:pStyle w:val="a3"/>
        <w:spacing w:before="4"/>
        <w:rPr>
          <w:rFonts w:ascii="Gill Sans MT"/>
          <w:sz w:val="19"/>
        </w:rPr>
      </w:pPr>
    </w:p>
    <w:p w14:paraId="436703E4" w14:textId="77777777" w:rsidR="002653E8" w:rsidRDefault="003115E3">
      <w:pPr>
        <w:pStyle w:val="5"/>
        <w:ind w:left="200"/>
      </w:pPr>
      <w:r>
        <w:rPr>
          <w:color w:val="231F20"/>
          <w:w w:val="120"/>
        </w:rPr>
        <w:t>2008</w:t>
      </w:r>
    </w:p>
    <w:p w14:paraId="620D25B5" w14:textId="77777777" w:rsidR="002653E8" w:rsidRDefault="003115E3">
      <w:pPr>
        <w:spacing w:before="12"/>
        <w:ind w:left="200"/>
        <w:rPr>
          <w:rFonts w:ascii="Arial"/>
          <w:b/>
          <w:sz w:val="18"/>
        </w:rPr>
      </w:pPr>
      <w:r>
        <w:rPr>
          <w:rFonts w:ascii="Arial"/>
          <w:b/>
          <w:color w:val="231F20"/>
          <w:w w:val="115"/>
          <w:sz w:val="18"/>
        </w:rPr>
        <w:t>January 3, 2008</w:t>
      </w:r>
    </w:p>
    <w:p w14:paraId="2D6C8678" w14:textId="77777777" w:rsidR="002653E8" w:rsidRDefault="003115E3">
      <w:pPr>
        <w:spacing w:before="35" w:line="276" w:lineRule="auto"/>
        <w:ind w:left="200" w:right="1292"/>
        <w:rPr>
          <w:rFonts w:ascii="Gill Sans MT"/>
          <w:sz w:val="18"/>
        </w:rPr>
      </w:pPr>
      <w:r>
        <w:rPr>
          <w:rFonts w:ascii="Gill Sans MT"/>
          <w:color w:val="231F20"/>
          <w:w w:val="110"/>
          <w:sz w:val="18"/>
        </w:rPr>
        <w:t>The</w:t>
      </w:r>
      <w:r>
        <w:rPr>
          <w:rFonts w:ascii="Gill Sans MT"/>
          <w:color w:val="231F20"/>
          <w:spacing w:val="-13"/>
          <w:w w:val="110"/>
          <w:sz w:val="18"/>
        </w:rPr>
        <w:t xml:space="preserve"> </w:t>
      </w:r>
      <w:r>
        <w:rPr>
          <w:rFonts w:ascii="Gill Sans MT"/>
          <w:color w:val="231F20"/>
          <w:w w:val="110"/>
          <w:sz w:val="18"/>
        </w:rPr>
        <w:t>Federal</w:t>
      </w:r>
      <w:r>
        <w:rPr>
          <w:rFonts w:ascii="Gill Sans MT"/>
          <w:color w:val="231F20"/>
          <w:spacing w:val="-13"/>
          <w:w w:val="110"/>
          <w:sz w:val="18"/>
        </w:rPr>
        <w:t xml:space="preserve"> </w:t>
      </w:r>
      <w:r>
        <w:rPr>
          <w:rFonts w:ascii="Gill Sans MT"/>
          <w:color w:val="231F20"/>
          <w:w w:val="110"/>
          <w:sz w:val="18"/>
        </w:rPr>
        <w:t>Supreme</w:t>
      </w:r>
      <w:r>
        <w:rPr>
          <w:rFonts w:ascii="Gill Sans MT"/>
          <w:color w:val="231F20"/>
          <w:spacing w:val="-13"/>
          <w:w w:val="110"/>
          <w:sz w:val="18"/>
        </w:rPr>
        <w:t xml:space="preserve"> </w:t>
      </w:r>
      <w:r>
        <w:rPr>
          <w:rFonts w:ascii="Gill Sans MT"/>
          <w:color w:val="231F20"/>
          <w:w w:val="110"/>
          <w:sz w:val="18"/>
        </w:rPr>
        <w:t>Court</w:t>
      </w:r>
      <w:r>
        <w:rPr>
          <w:rFonts w:ascii="Gill Sans MT"/>
          <w:color w:val="231F20"/>
          <w:spacing w:val="-13"/>
          <w:w w:val="110"/>
          <w:sz w:val="18"/>
        </w:rPr>
        <w:t xml:space="preserve"> </w:t>
      </w:r>
      <w:r>
        <w:rPr>
          <w:rFonts w:ascii="Gill Sans MT"/>
          <w:color w:val="231F20"/>
          <w:w w:val="110"/>
          <w:sz w:val="18"/>
        </w:rPr>
        <w:t>orders coercive</w:t>
      </w:r>
      <w:r>
        <w:rPr>
          <w:rFonts w:ascii="Gill Sans MT"/>
          <w:color w:val="231F20"/>
          <w:spacing w:val="-12"/>
          <w:w w:val="110"/>
          <w:sz w:val="18"/>
        </w:rPr>
        <w:t xml:space="preserve"> </w:t>
      </w:r>
      <w:r>
        <w:rPr>
          <w:rFonts w:ascii="Gill Sans MT"/>
          <w:color w:val="231F20"/>
          <w:w w:val="110"/>
          <w:sz w:val="18"/>
        </w:rPr>
        <w:t>detention</w:t>
      </w:r>
      <w:r>
        <w:rPr>
          <w:rFonts w:ascii="Gill Sans MT"/>
          <w:color w:val="231F20"/>
          <w:spacing w:val="-12"/>
          <w:w w:val="110"/>
          <w:sz w:val="18"/>
        </w:rPr>
        <w:t xml:space="preserve"> </w:t>
      </w:r>
      <w:r>
        <w:rPr>
          <w:rFonts w:ascii="Gill Sans MT"/>
          <w:color w:val="231F20"/>
          <w:w w:val="110"/>
          <w:sz w:val="18"/>
        </w:rPr>
        <w:t>for</w:t>
      </w:r>
      <w:r>
        <w:rPr>
          <w:rFonts w:ascii="Gill Sans MT"/>
          <w:color w:val="231F20"/>
          <w:spacing w:val="-12"/>
          <w:w w:val="110"/>
          <w:sz w:val="18"/>
        </w:rPr>
        <w:t xml:space="preserve"> </w:t>
      </w:r>
      <w:r>
        <w:rPr>
          <w:rFonts w:ascii="Gill Sans MT"/>
          <w:color w:val="231F20"/>
          <w:w w:val="110"/>
          <w:sz w:val="18"/>
        </w:rPr>
        <w:t>former</w:t>
      </w:r>
      <w:r>
        <w:rPr>
          <w:rFonts w:ascii="Gill Sans MT"/>
          <w:color w:val="231F20"/>
          <w:spacing w:val="-12"/>
          <w:w w:val="110"/>
          <w:sz w:val="18"/>
        </w:rPr>
        <w:t xml:space="preserve"> </w:t>
      </w:r>
      <w:r w:rsidR="00C507A5">
        <w:rPr>
          <w:rFonts w:ascii="Gill Sans MT"/>
          <w:color w:val="231F20"/>
          <w:w w:val="110"/>
          <w:sz w:val="18"/>
        </w:rPr>
        <w:t>red army faction</w:t>
      </w:r>
      <w:r>
        <w:rPr>
          <w:rFonts w:ascii="Gill Sans MT"/>
          <w:color w:val="231F20"/>
          <w:w w:val="110"/>
          <w:sz w:val="18"/>
        </w:rPr>
        <w:t xml:space="preserve"> members Brigitte Mohnhaupt, Knut Folkerts, and Christian Klar to apply pressure to have them provide information regarding the assassination of Attorney</w:t>
      </w:r>
      <w:r>
        <w:rPr>
          <w:rFonts w:ascii="Gill Sans MT"/>
          <w:color w:val="231F20"/>
          <w:spacing w:val="-11"/>
          <w:w w:val="110"/>
          <w:sz w:val="18"/>
        </w:rPr>
        <w:t xml:space="preserve"> </w:t>
      </w:r>
      <w:r>
        <w:rPr>
          <w:rFonts w:ascii="Gill Sans MT"/>
          <w:color w:val="231F20"/>
          <w:w w:val="110"/>
          <w:sz w:val="18"/>
        </w:rPr>
        <w:t>General</w:t>
      </w:r>
    </w:p>
    <w:p w14:paraId="376F6AC8" w14:textId="77777777" w:rsidR="002653E8" w:rsidRDefault="003115E3">
      <w:pPr>
        <w:spacing w:line="276" w:lineRule="auto"/>
        <w:ind w:left="200" w:right="1093"/>
        <w:rPr>
          <w:rFonts w:ascii="Gill Sans MT"/>
          <w:sz w:val="18"/>
        </w:rPr>
      </w:pPr>
      <w:r>
        <w:rPr>
          <w:rFonts w:ascii="Gill Sans MT"/>
          <w:color w:val="231F20"/>
          <w:w w:val="110"/>
          <w:sz w:val="18"/>
        </w:rPr>
        <w:t xml:space="preserve">Siegfried Buback in </w:t>
      </w:r>
      <w:r>
        <w:rPr>
          <w:rFonts w:ascii="Arial"/>
          <w:color w:val="231F20"/>
          <w:w w:val="110"/>
          <w:sz w:val="18"/>
        </w:rPr>
        <w:t>1977</w:t>
      </w:r>
      <w:r>
        <w:rPr>
          <w:rFonts w:ascii="Gill Sans MT"/>
          <w:color w:val="231F20"/>
          <w:w w:val="110"/>
          <w:sz w:val="18"/>
        </w:rPr>
        <w:t>. The order is subsequently reversed. The case has been reopened on the basis</w:t>
      </w:r>
    </w:p>
    <w:p w14:paraId="4860558B" w14:textId="77777777" w:rsidR="002653E8" w:rsidRDefault="003115E3">
      <w:pPr>
        <w:spacing w:line="276" w:lineRule="auto"/>
        <w:ind w:left="200" w:right="1363" w:hanging="1"/>
        <w:rPr>
          <w:rFonts w:ascii="Gill Sans MT" w:hAnsi="Gill Sans MT"/>
          <w:sz w:val="18"/>
        </w:rPr>
      </w:pPr>
      <w:r>
        <w:rPr>
          <w:rFonts w:ascii="Gill Sans MT" w:hAnsi="Gill Sans MT"/>
          <w:color w:val="231F20"/>
          <w:w w:val="115"/>
          <w:sz w:val="18"/>
        </w:rPr>
        <w:t>of</w:t>
      </w:r>
      <w:r>
        <w:rPr>
          <w:rFonts w:ascii="Gill Sans MT" w:hAnsi="Gill Sans MT"/>
          <w:color w:val="231F20"/>
          <w:spacing w:val="-29"/>
          <w:w w:val="115"/>
          <w:sz w:val="18"/>
        </w:rPr>
        <w:t xml:space="preserve"> </w:t>
      </w:r>
      <w:r>
        <w:rPr>
          <w:rFonts w:ascii="Gill Sans MT" w:hAnsi="Gill Sans MT"/>
          <w:color w:val="231F20"/>
          <w:w w:val="115"/>
          <w:sz w:val="18"/>
        </w:rPr>
        <w:t>claims</w:t>
      </w:r>
      <w:r>
        <w:rPr>
          <w:rFonts w:ascii="Gill Sans MT" w:hAnsi="Gill Sans MT"/>
          <w:color w:val="231F20"/>
          <w:spacing w:val="-29"/>
          <w:w w:val="115"/>
          <w:sz w:val="18"/>
        </w:rPr>
        <w:t xml:space="preserve"> </w:t>
      </w:r>
      <w:r>
        <w:rPr>
          <w:rFonts w:ascii="Gill Sans MT" w:hAnsi="Gill Sans MT"/>
          <w:color w:val="231F20"/>
          <w:w w:val="115"/>
          <w:sz w:val="18"/>
        </w:rPr>
        <w:t>by</w:t>
      </w:r>
      <w:r>
        <w:rPr>
          <w:rFonts w:ascii="Gill Sans MT" w:hAnsi="Gill Sans MT"/>
          <w:color w:val="231F20"/>
          <w:spacing w:val="-29"/>
          <w:w w:val="115"/>
          <w:sz w:val="18"/>
        </w:rPr>
        <w:t xml:space="preserve"> </w:t>
      </w:r>
      <w:r>
        <w:rPr>
          <w:rFonts w:ascii="Gill Sans MT" w:hAnsi="Gill Sans MT"/>
          <w:color w:val="231F20"/>
          <w:w w:val="115"/>
          <w:sz w:val="18"/>
        </w:rPr>
        <w:t>former</w:t>
      </w:r>
      <w:r>
        <w:rPr>
          <w:rFonts w:ascii="Gill Sans MT" w:hAnsi="Gill Sans MT"/>
          <w:color w:val="231F20"/>
          <w:spacing w:val="-29"/>
          <w:w w:val="115"/>
          <w:sz w:val="18"/>
        </w:rPr>
        <w:t xml:space="preserve"> </w:t>
      </w:r>
      <w:r w:rsidR="00C507A5">
        <w:rPr>
          <w:rFonts w:ascii="Gill Sans MT" w:hAnsi="Gill Sans MT"/>
          <w:color w:val="231F20"/>
          <w:w w:val="115"/>
          <w:sz w:val="18"/>
        </w:rPr>
        <w:t>red army faction</w:t>
      </w:r>
      <w:r>
        <w:rPr>
          <w:rFonts w:ascii="Gill Sans MT" w:hAnsi="Gill Sans MT"/>
          <w:color w:val="231F20"/>
          <w:spacing w:val="-29"/>
          <w:w w:val="115"/>
          <w:sz w:val="18"/>
        </w:rPr>
        <w:t xml:space="preserve"> </w:t>
      </w:r>
      <w:r>
        <w:rPr>
          <w:rFonts w:ascii="Gill Sans MT" w:hAnsi="Gill Sans MT"/>
          <w:color w:val="231F20"/>
          <w:w w:val="115"/>
          <w:sz w:val="18"/>
        </w:rPr>
        <w:t xml:space="preserve">members Peter-Jürgen Boock and </w:t>
      </w:r>
      <w:r>
        <w:rPr>
          <w:rFonts w:ascii="Gill Sans MT" w:hAnsi="Gill Sans MT"/>
          <w:color w:val="231F20"/>
          <w:spacing w:val="-3"/>
          <w:w w:val="115"/>
          <w:sz w:val="18"/>
        </w:rPr>
        <w:t xml:space="preserve">Verena </w:t>
      </w:r>
      <w:r>
        <w:rPr>
          <w:rFonts w:ascii="Gill Sans MT" w:hAnsi="Gill Sans MT"/>
          <w:color w:val="231F20"/>
          <w:w w:val="115"/>
          <w:sz w:val="18"/>
        </w:rPr>
        <w:t xml:space="preserve">Becker that Stefan Wisniewski and not Knut Folkerts, who was convicted for the crime, was the </w:t>
      </w:r>
      <w:r>
        <w:rPr>
          <w:rFonts w:ascii="Gill Sans MT" w:hAnsi="Gill Sans MT"/>
          <w:color w:val="231F20"/>
          <w:spacing w:val="-3"/>
          <w:w w:val="115"/>
          <w:sz w:val="18"/>
        </w:rPr>
        <w:t>shooter.</w:t>
      </w:r>
    </w:p>
    <w:p w14:paraId="32BE9C00" w14:textId="77777777" w:rsidR="002653E8" w:rsidRDefault="002653E8">
      <w:pPr>
        <w:spacing w:line="276" w:lineRule="auto"/>
        <w:rPr>
          <w:rFonts w:ascii="Gill Sans MT" w:hAnsi="Gill Sans MT"/>
          <w:sz w:val="18"/>
        </w:rPr>
        <w:sectPr w:rsidR="002653E8">
          <w:footerReference w:type="even" r:id="rId542"/>
          <w:pgSz w:w="8640" w:h="12960"/>
          <w:pgMar w:top="1080" w:right="0" w:bottom="280" w:left="0" w:header="0" w:footer="0" w:gutter="0"/>
          <w:cols w:num="2" w:space="720" w:equalWidth="0">
            <w:col w:w="4290" w:space="40"/>
            <w:col w:w="4310"/>
          </w:cols>
        </w:sectPr>
      </w:pPr>
    </w:p>
    <w:p w14:paraId="5573720F" w14:textId="77777777" w:rsidR="002653E8" w:rsidRDefault="002653E8">
      <w:pPr>
        <w:pStyle w:val="a3"/>
        <w:rPr>
          <w:rFonts w:ascii="Gill Sans MT"/>
        </w:rPr>
      </w:pPr>
    </w:p>
    <w:p w14:paraId="48EB7CEB" w14:textId="77777777" w:rsidR="002653E8" w:rsidRDefault="002653E8">
      <w:pPr>
        <w:pStyle w:val="a3"/>
        <w:spacing w:before="11"/>
        <w:rPr>
          <w:rFonts w:ascii="Gill Sans MT"/>
          <w:sz w:val="29"/>
        </w:rPr>
      </w:pPr>
    </w:p>
    <w:p w14:paraId="0D242A8D" w14:textId="77777777" w:rsidR="002653E8" w:rsidRDefault="002653E8">
      <w:pPr>
        <w:rPr>
          <w:rFonts w:ascii="Gill Sans MT"/>
          <w:sz w:val="29"/>
        </w:rPr>
        <w:sectPr w:rsidR="002653E8">
          <w:type w:val="continuous"/>
          <w:pgSz w:w="8640" w:h="12960"/>
          <w:pgMar w:top="0" w:right="0" w:bottom="0" w:left="0" w:header="720" w:footer="720" w:gutter="0"/>
          <w:cols w:space="720"/>
        </w:sectPr>
      </w:pPr>
    </w:p>
    <w:p w14:paraId="3F811B45" w14:textId="77777777" w:rsidR="002653E8" w:rsidRDefault="003115E3">
      <w:pPr>
        <w:spacing w:before="144"/>
        <w:ind w:left="1327"/>
        <w:rPr>
          <w:sz w:val="18"/>
        </w:rPr>
      </w:pPr>
      <w:r>
        <w:rPr>
          <w:color w:val="231F20"/>
          <w:w w:val="120"/>
          <w:sz w:val="18"/>
        </w:rPr>
        <w:t>a chronology</w:t>
      </w:r>
      <w:r>
        <w:rPr>
          <w:color w:val="231F20"/>
          <w:sz w:val="18"/>
        </w:rPr>
        <w:t xml:space="preserve"> </w:t>
      </w:r>
    </w:p>
    <w:p w14:paraId="56FFFACF" w14:textId="77777777" w:rsidR="002653E8" w:rsidRDefault="003115E3">
      <w:pPr>
        <w:spacing w:before="5"/>
        <w:ind w:left="1327"/>
        <w:rPr>
          <w:sz w:val="18"/>
        </w:rPr>
      </w:pPr>
      <w:r>
        <w:rPr>
          <w:color w:val="231F20"/>
          <w:w w:val="110"/>
          <w:sz w:val="18"/>
        </w:rPr>
        <w:t>january 3, 2008</w:t>
      </w:r>
      <w:r>
        <w:rPr>
          <w:color w:val="231F20"/>
          <w:sz w:val="18"/>
        </w:rPr>
        <w:t xml:space="preserve"> </w:t>
      </w:r>
    </w:p>
    <w:p w14:paraId="3545C1C0" w14:textId="77777777" w:rsidR="002653E8" w:rsidRDefault="003115E3">
      <w:pPr>
        <w:spacing w:before="99"/>
        <w:ind w:left="1346" w:right="1141"/>
        <w:jc w:val="center"/>
        <w:rPr>
          <w:sz w:val="18"/>
        </w:rPr>
      </w:pPr>
      <w:r>
        <w:br w:type="column"/>
      </w:r>
      <w:r>
        <w:rPr>
          <w:color w:val="231F20"/>
          <w:sz w:val="18"/>
        </w:rPr>
        <w:t xml:space="preserve">627 </w:t>
      </w:r>
    </w:p>
    <w:p w14:paraId="5026A177" w14:textId="77777777" w:rsidR="002653E8" w:rsidRDefault="002653E8">
      <w:pPr>
        <w:jc w:val="center"/>
        <w:rPr>
          <w:sz w:val="18"/>
        </w:rPr>
        <w:sectPr w:rsidR="002653E8">
          <w:type w:val="continuous"/>
          <w:pgSz w:w="8640" w:h="12960"/>
          <w:pgMar w:top="0" w:right="0" w:bottom="0" w:left="0" w:header="720" w:footer="720" w:gutter="0"/>
          <w:cols w:num="2" w:space="720" w:equalWidth="0">
            <w:col w:w="3090" w:space="2724"/>
            <w:col w:w="2826"/>
          </w:cols>
        </w:sectPr>
      </w:pPr>
    </w:p>
    <w:p w14:paraId="750D2D57" w14:textId="77777777" w:rsidR="002653E8" w:rsidRDefault="003115E3">
      <w:pPr>
        <w:spacing w:before="91"/>
        <w:ind w:left="1147"/>
        <w:rPr>
          <w:rFonts w:ascii="Arial"/>
          <w:b/>
          <w:sz w:val="18"/>
        </w:rPr>
      </w:pPr>
      <w:r>
        <w:rPr>
          <w:rFonts w:ascii="Arial"/>
          <w:b/>
          <w:color w:val="231F20"/>
          <w:w w:val="115"/>
          <w:sz w:val="18"/>
        </w:rPr>
        <w:lastRenderedPageBreak/>
        <w:t>September 25, 2008</w:t>
      </w:r>
    </w:p>
    <w:p w14:paraId="15915E04" w14:textId="77777777" w:rsidR="002653E8" w:rsidRDefault="003115E3">
      <w:pPr>
        <w:spacing w:before="28"/>
        <w:ind w:left="1147"/>
        <w:rPr>
          <w:rFonts w:ascii="Lucida Sans"/>
          <w:i/>
          <w:sz w:val="18"/>
        </w:rPr>
      </w:pPr>
      <w:r>
        <w:rPr>
          <w:rFonts w:ascii="Gill Sans MT"/>
          <w:color w:val="231F20"/>
          <w:w w:val="105"/>
          <w:sz w:val="18"/>
        </w:rPr>
        <w:t xml:space="preserve">The German release of </w:t>
      </w:r>
      <w:r>
        <w:rPr>
          <w:rFonts w:ascii="Lucida Sans"/>
          <w:i/>
          <w:color w:val="231F20"/>
          <w:w w:val="105"/>
          <w:sz w:val="18"/>
        </w:rPr>
        <w:t>Der Baader-</w:t>
      </w:r>
    </w:p>
    <w:p w14:paraId="04D0793A" w14:textId="77777777" w:rsidR="002653E8" w:rsidRDefault="003115E3">
      <w:pPr>
        <w:spacing w:before="24" w:line="276" w:lineRule="auto"/>
        <w:ind w:left="1147" w:right="4718"/>
        <w:rPr>
          <w:rFonts w:ascii="Gill Sans MT" w:hAnsi="Gill Sans MT"/>
          <w:sz w:val="18"/>
        </w:rPr>
      </w:pPr>
      <w:r>
        <w:rPr>
          <w:rFonts w:ascii="Lucida Sans" w:hAnsi="Lucida Sans"/>
          <w:i/>
          <w:color w:val="231F20"/>
          <w:w w:val="110"/>
          <w:sz w:val="18"/>
        </w:rPr>
        <w:t>Meinhof komplex</w:t>
      </w:r>
      <w:r>
        <w:rPr>
          <w:rFonts w:ascii="Gill Sans MT" w:hAnsi="Gill Sans MT"/>
          <w:color w:val="231F20"/>
          <w:w w:val="110"/>
          <w:sz w:val="18"/>
        </w:rPr>
        <w:t>, a film based on Stefan Aust’s book of the same name, and directed by uli Eidel.</w:t>
      </w:r>
    </w:p>
    <w:p w14:paraId="4CC75B45" w14:textId="77777777" w:rsidR="002653E8" w:rsidRDefault="003115E3">
      <w:pPr>
        <w:spacing w:line="276" w:lineRule="auto"/>
        <w:ind w:left="1147" w:right="4631"/>
        <w:rPr>
          <w:rFonts w:ascii="Gill Sans MT"/>
          <w:sz w:val="18"/>
        </w:rPr>
      </w:pPr>
      <w:r>
        <w:rPr>
          <w:rFonts w:ascii="Gill Sans MT"/>
          <w:color w:val="231F20"/>
          <w:w w:val="110"/>
          <w:sz w:val="18"/>
        </w:rPr>
        <w:t>Ronald Augustin criticizes the film for portraying Baader as a madman and all of the female guerillas as cold blooded killers.</w:t>
      </w:r>
    </w:p>
    <w:p w14:paraId="17053E8F" w14:textId="77777777" w:rsidR="002653E8" w:rsidRDefault="002653E8">
      <w:pPr>
        <w:pStyle w:val="a3"/>
        <w:spacing w:before="6"/>
        <w:rPr>
          <w:rFonts w:ascii="Gill Sans MT"/>
        </w:rPr>
      </w:pPr>
    </w:p>
    <w:p w14:paraId="3F3DBB48" w14:textId="77777777" w:rsidR="002653E8" w:rsidRDefault="003115E3">
      <w:pPr>
        <w:ind w:left="1147"/>
        <w:rPr>
          <w:rFonts w:ascii="Arial"/>
          <w:b/>
          <w:sz w:val="18"/>
        </w:rPr>
      </w:pPr>
      <w:r>
        <w:rPr>
          <w:rFonts w:ascii="Arial"/>
          <w:b/>
          <w:color w:val="231F20"/>
          <w:w w:val="115"/>
          <w:sz w:val="18"/>
        </w:rPr>
        <w:t>December 19, 2008</w:t>
      </w:r>
    </w:p>
    <w:p w14:paraId="3E469000" w14:textId="77777777" w:rsidR="002653E8" w:rsidRDefault="003115E3">
      <w:pPr>
        <w:spacing w:before="34" w:line="276" w:lineRule="auto"/>
        <w:ind w:left="1147" w:right="4524"/>
        <w:rPr>
          <w:rFonts w:ascii="Gill Sans MT"/>
          <w:sz w:val="18"/>
        </w:rPr>
      </w:pPr>
      <w:r>
        <w:rPr>
          <w:rFonts w:ascii="Gill Sans MT"/>
          <w:color w:val="231F20"/>
          <w:w w:val="110"/>
          <w:sz w:val="18"/>
        </w:rPr>
        <w:t>Christian</w:t>
      </w:r>
      <w:r>
        <w:rPr>
          <w:rFonts w:ascii="Gill Sans MT"/>
          <w:color w:val="231F20"/>
          <w:spacing w:val="-15"/>
          <w:w w:val="110"/>
          <w:sz w:val="18"/>
        </w:rPr>
        <w:t xml:space="preserve"> </w:t>
      </w:r>
      <w:r>
        <w:rPr>
          <w:rFonts w:ascii="Gill Sans MT"/>
          <w:color w:val="231F20"/>
          <w:w w:val="110"/>
          <w:sz w:val="18"/>
        </w:rPr>
        <w:t>Klar</w:t>
      </w:r>
      <w:r>
        <w:rPr>
          <w:rFonts w:ascii="Gill Sans MT"/>
          <w:color w:val="231F20"/>
          <w:spacing w:val="-15"/>
          <w:w w:val="110"/>
          <w:sz w:val="18"/>
        </w:rPr>
        <w:t xml:space="preserve"> </w:t>
      </w:r>
      <w:r>
        <w:rPr>
          <w:rFonts w:ascii="Gill Sans MT"/>
          <w:color w:val="231F20"/>
          <w:w w:val="110"/>
          <w:sz w:val="18"/>
        </w:rPr>
        <w:t>is</w:t>
      </w:r>
      <w:r>
        <w:rPr>
          <w:rFonts w:ascii="Gill Sans MT"/>
          <w:color w:val="231F20"/>
          <w:spacing w:val="-15"/>
          <w:w w:val="110"/>
          <w:sz w:val="18"/>
        </w:rPr>
        <w:t xml:space="preserve"> </w:t>
      </w:r>
      <w:r>
        <w:rPr>
          <w:rFonts w:ascii="Gill Sans MT"/>
          <w:color w:val="231F20"/>
          <w:w w:val="110"/>
          <w:sz w:val="18"/>
        </w:rPr>
        <w:t>released</w:t>
      </w:r>
      <w:r>
        <w:rPr>
          <w:rFonts w:ascii="Gill Sans MT"/>
          <w:color w:val="231F20"/>
          <w:spacing w:val="-15"/>
          <w:w w:val="110"/>
          <w:sz w:val="18"/>
        </w:rPr>
        <w:t xml:space="preserve"> </w:t>
      </w:r>
      <w:r>
        <w:rPr>
          <w:rFonts w:ascii="Gill Sans MT"/>
          <w:color w:val="231F20"/>
          <w:w w:val="110"/>
          <w:sz w:val="18"/>
        </w:rPr>
        <w:t>from</w:t>
      </w:r>
      <w:r>
        <w:rPr>
          <w:rFonts w:ascii="Gill Sans MT"/>
          <w:color w:val="231F20"/>
          <w:spacing w:val="-15"/>
          <w:w w:val="110"/>
          <w:sz w:val="18"/>
        </w:rPr>
        <w:t xml:space="preserve"> </w:t>
      </w:r>
      <w:r>
        <w:rPr>
          <w:rFonts w:ascii="Gill Sans MT"/>
          <w:color w:val="231F20"/>
          <w:w w:val="110"/>
          <w:sz w:val="18"/>
        </w:rPr>
        <w:t xml:space="preserve">prison after </w:t>
      </w:r>
      <w:r>
        <w:rPr>
          <w:rFonts w:ascii="Arial"/>
          <w:color w:val="231F20"/>
          <w:w w:val="110"/>
          <w:sz w:val="18"/>
        </w:rPr>
        <w:t xml:space="preserve">26 </w:t>
      </w:r>
      <w:r>
        <w:rPr>
          <w:rFonts w:ascii="Gill Sans MT"/>
          <w:color w:val="231F20"/>
          <w:w w:val="110"/>
          <w:sz w:val="18"/>
        </w:rPr>
        <w:t>years. Birgit Hogefeld, who will reach her mandatory release date in 2011, remains</w:t>
      </w:r>
      <w:r>
        <w:rPr>
          <w:rFonts w:ascii="Gill Sans MT"/>
          <w:color w:val="231F20"/>
          <w:spacing w:val="-14"/>
          <w:w w:val="110"/>
          <w:sz w:val="18"/>
        </w:rPr>
        <w:t xml:space="preserve"> </w:t>
      </w:r>
      <w:r>
        <w:rPr>
          <w:rFonts w:ascii="Gill Sans MT"/>
          <w:color w:val="231F20"/>
          <w:w w:val="110"/>
          <w:sz w:val="18"/>
        </w:rPr>
        <w:t>the</w:t>
      </w:r>
    </w:p>
    <w:p w14:paraId="340F177C" w14:textId="77777777" w:rsidR="002653E8" w:rsidRDefault="003115E3">
      <w:pPr>
        <w:spacing w:line="276" w:lineRule="auto"/>
        <w:ind w:left="1147" w:right="4622"/>
        <w:rPr>
          <w:rFonts w:ascii="Gill Sans MT" w:hAnsi="Gill Sans MT"/>
          <w:sz w:val="18"/>
        </w:rPr>
      </w:pPr>
      <w:r>
        <w:rPr>
          <w:rFonts w:ascii="Gill Sans MT" w:hAnsi="Gill Sans MT"/>
          <w:color w:val="231F20"/>
          <w:w w:val="115"/>
          <w:sz w:val="18"/>
        </w:rPr>
        <w:t xml:space="preserve">only </w:t>
      </w:r>
      <w:r w:rsidR="00C507A5">
        <w:rPr>
          <w:rFonts w:ascii="Gill Sans MT" w:hAnsi="Gill Sans MT"/>
          <w:color w:val="231F20"/>
          <w:w w:val="115"/>
          <w:sz w:val="18"/>
        </w:rPr>
        <w:t>red army faction</w:t>
      </w:r>
      <w:r>
        <w:rPr>
          <w:rFonts w:ascii="Gill Sans MT" w:hAnsi="Gill Sans MT"/>
          <w:color w:val="231F20"/>
          <w:w w:val="115"/>
          <w:sz w:val="18"/>
        </w:rPr>
        <w:t xml:space="preserve"> member in prison. A newspaper article reporting on a welcome</w:t>
      </w:r>
      <w:r>
        <w:rPr>
          <w:rFonts w:ascii="Gill Sans MT" w:hAnsi="Gill Sans MT"/>
          <w:color w:val="231F20"/>
          <w:spacing w:val="-25"/>
          <w:w w:val="115"/>
          <w:sz w:val="18"/>
        </w:rPr>
        <w:t xml:space="preserve"> </w:t>
      </w:r>
      <w:r>
        <w:rPr>
          <w:rFonts w:ascii="Gill Sans MT" w:hAnsi="Gill Sans MT"/>
          <w:color w:val="231F20"/>
          <w:w w:val="115"/>
          <w:sz w:val="18"/>
        </w:rPr>
        <w:t>home</w:t>
      </w:r>
      <w:r>
        <w:rPr>
          <w:rFonts w:ascii="Gill Sans MT" w:hAnsi="Gill Sans MT"/>
          <w:color w:val="231F20"/>
          <w:spacing w:val="-25"/>
          <w:w w:val="115"/>
          <w:sz w:val="18"/>
        </w:rPr>
        <w:t xml:space="preserve"> </w:t>
      </w:r>
      <w:r>
        <w:rPr>
          <w:rFonts w:ascii="Gill Sans MT" w:hAnsi="Gill Sans MT"/>
          <w:color w:val="231F20"/>
          <w:w w:val="115"/>
          <w:sz w:val="18"/>
        </w:rPr>
        <w:t>party</w:t>
      </w:r>
      <w:r>
        <w:rPr>
          <w:rFonts w:ascii="Gill Sans MT" w:hAnsi="Gill Sans MT"/>
          <w:color w:val="231F20"/>
          <w:spacing w:val="-25"/>
          <w:w w:val="115"/>
          <w:sz w:val="18"/>
        </w:rPr>
        <w:t xml:space="preserve"> </w:t>
      </w:r>
      <w:r>
        <w:rPr>
          <w:rFonts w:ascii="Gill Sans MT" w:hAnsi="Gill Sans MT"/>
          <w:color w:val="231F20"/>
          <w:w w:val="115"/>
          <w:sz w:val="18"/>
        </w:rPr>
        <w:t>held</w:t>
      </w:r>
      <w:r>
        <w:rPr>
          <w:rFonts w:ascii="Gill Sans MT" w:hAnsi="Gill Sans MT"/>
          <w:color w:val="231F20"/>
          <w:spacing w:val="-25"/>
          <w:w w:val="115"/>
          <w:sz w:val="18"/>
        </w:rPr>
        <w:t xml:space="preserve"> </w:t>
      </w:r>
      <w:r>
        <w:rPr>
          <w:rFonts w:ascii="Gill Sans MT" w:hAnsi="Gill Sans MT"/>
          <w:color w:val="231F20"/>
          <w:w w:val="115"/>
          <w:sz w:val="18"/>
        </w:rPr>
        <w:t>for</w:t>
      </w:r>
      <w:r>
        <w:rPr>
          <w:rFonts w:ascii="Gill Sans MT" w:hAnsi="Gill Sans MT"/>
          <w:color w:val="231F20"/>
          <w:spacing w:val="-25"/>
          <w:w w:val="115"/>
          <w:sz w:val="18"/>
        </w:rPr>
        <w:t xml:space="preserve"> </w:t>
      </w:r>
      <w:r>
        <w:rPr>
          <w:rFonts w:ascii="Gill Sans MT" w:hAnsi="Gill Sans MT"/>
          <w:color w:val="231F20"/>
          <w:w w:val="115"/>
          <w:sz w:val="18"/>
        </w:rPr>
        <w:t>Klar in Berlin a week after his release, quoted Inge Viett asserting that the guerrilla was “a reasonable expression of our resistance to capitalism”</w:t>
      </w:r>
      <w:r>
        <w:rPr>
          <w:rFonts w:ascii="Gill Sans MT" w:hAnsi="Gill Sans MT"/>
          <w:color w:val="231F20"/>
          <w:spacing w:val="-20"/>
          <w:w w:val="115"/>
          <w:sz w:val="18"/>
        </w:rPr>
        <w:t xml:space="preserve"> </w:t>
      </w:r>
      <w:r>
        <w:rPr>
          <w:rFonts w:ascii="Gill Sans MT" w:hAnsi="Gill Sans MT"/>
          <w:color w:val="231F20"/>
          <w:w w:val="115"/>
          <w:sz w:val="18"/>
        </w:rPr>
        <w:t>and</w:t>
      </w:r>
      <w:r>
        <w:rPr>
          <w:rFonts w:ascii="Gill Sans MT" w:hAnsi="Gill Sans MT"/>
          <w:color w:val="231F20"/>
          <w:spacing w:val="-20"/>
          <w:w w:val="115"/>
          <w:sz w:val="18"/>
        </w:rPr>
        <w:t xml:space="preserve"> </w:t>
      </w:r>
      <w:r>
        <w:rPr>
          <w:rFonts w:ascii="Gill Sans MT" w:hAnsi="Gill Sans MT"/>
          <w:color w:val="231F20"/>
          <w:w w:val="115"/>
          <w:sz w:val="18"/>
        </w:rPr>
        <w:t>that,</w:t>
      </w:r>
      <w:r>
        <w:rPr>
          <w:rFonts w:ascii="Gill Sans MT" w:hAnsi="Gill Sans MT"/>
          <w:color w:val="231F20"/>
          <w:spacing w:val="-20"/>
          <w:w w:val="115"/>
          <w:sz w:val="18"/>
        </w:rPr>
        <w:t xml:space="preserve"> </w:t>
      </w:r>
      <w:r>
        <w:rPr>
          <w:rFonts w:ascii="Gill Sans MT" w:hAnsi="Gill Sans MT"/>
          <w:color w:val="231F20"/>
          <w:w w:val="115"/>
          <w:sz w:val="18"/>
        </w:rPr>
        <w:t>in</w:t>
      </w:r>
      <w:r>
        <w:rPr>
          <w:rFonts w:ascii="Gill Sans MT" w:hAnsi="Gill Sans MT"/>
          <w:color w:val="231F20"/>
          <w:spacing w:val="-20"/>
          <w:w w:val="115"/>
          <w:sz w:val="18"/>
        </w:rPr>
        <w:t xml:space="preserve"> </w:t>
      </w:r>
      <w:r>
        <w:rPr>
          <w:rFonts w:ascii="Gill Sans MT" w:hAnsi="Gill Sans MT"/>
          <w:color w:val="231F20"/>
          <w:w w:val="115"/>
          <w:sz w:val="18"/>
        </w:rPr>
        <w:t>retrospect, she</w:t>
      </w:r>
      <w:r>
        <w:rPr>
          <w:rFonts w:ascii="Gill Sans MT" w:hAnsi="Gill Sans MT"/>
          <w:color w:val="231F20"/>
          <w:spacing w:val="-24"/>
          <w:w w:val="115"/>
          <w:sz w:val="18"/>
        </w:rPr>
        <w:t xml:space="preserve"> </w:t>
      </w:r>
      <w:r>
        <w:rPr>
          <w:rFonts w:ascii="Gill Sans MT" w:hAnsi="Gill Sans MT"/>
          <w:color w:val="231F20"/>
          <w:w w:val="115"/>
          <w:sz w:val="18"/>
        </w:rPr>
        <w:t>wishes</w:t>
      </w:r>
      <w:r>
        <w:rPr>
          <w:rFonts w:ascii="Gill Sans MT" w:hAnsi="Gill Sans MT"/>
          <w:color w:val="231F20"/>
          <w:spacing w:val="-24"/>
          <w:w w:val="115"/>
          <w:sz w:val="18"/>
        </w:rPr>
        <w:t xml:space="preserve"> </w:t>
      </w:r>
      <w:r>
        <w:rPr>
          <w:rFonts w:ascii="Gill Sans MT" w:hAnsi="Gill Sans MT"/>
          <w:color w:val="231F20"/>
          <w:w w:val="115"/>
          <w:sz w:val="18"/>
        </w:rPr>
        <w:t>they</w:t>
      </w:r>
      <w:r>
        <w:rPr>
          <w:rFonts w:ascii="Gill Sans MT" w:hAnsi="Gill Sans MT"/>
          <w:color w:val="231F20"/>
          <w:spacing w:val="-24"/>
          <w:w w:val="115"/>
          <w:sz w:val="18"/>
        </w:rPr>
        <w:t xml:space="preserve"> </w:t>
      </w:r>
      <w:r>
        <w:rPr>
          <w:rFonts w:ascii="Gill Sans MT" w:hAnsi="Gill Sans MT"/>
          <w:color w:val="231F20"/>
          <w:w w:val="115"/>
          <w:sz w:val="18"/>
        </w:rPr>
        <w:t>had</w:t>
      </w:r>
      <w:r>
        <w:rPr>
          <w:rFonts w:ascii="Gill Sans MT" w:hAnsi="Gill Sans MT"/>
          <w:color w:val="231F20"/>
          <w:spacing w:val="-24"/>
          <w:w w:val="115"/>
          <w:sz w:val="18"/>
        </w:rPr>
        <w:t xml:space="preserve"> </w:t>
      </w:r>
      <w:r>
        <w:rPr>
          <w:rFonts w:ascii="Gill Sans MT" w:hAnsi="Gill Sans MT"/>
          <w:color w:val="231F20"/>
          <w:w w:val="115"/>
          <w:sz w:val="18"/>
        </w:rPr>
        <w:t>carried</w:t>
      </w:r>
      <w:r>
        <w:rPr>
          <w:rFonts w:ascii="Gill Sans MT" w:hAnsi="Gill Sans MT"/>
          <w:color w:val="231F20"/>
          <w:spacing w:val="-24"/>
          <w:w w:val="115"/>
          <w:sz w:val="18"/>
        </w:rPr>
        <w:t xml:space="preserve"> </w:t>
      </w:r>
      <w:r>
        <w:rPr>
          <w:rFonts w:ascii="Gill Sans MT" w:hAnsi="Gill Sans MT"/>
          <w:color w:val="231F20"/>
          <w:w w:val="115"/>
          <w:sz w:val="18"/>
        </w:rPr>
        <w:t>out</w:t>
      </w:r>
      <w:r>
        <w:rPr>
          <w:rFonts w:ascii="Gill Sans MT" w:hAnsi="Gill Sans MT"/>
          <w:color w:val="231F20"/>
          <w:spacing w:val="-24"/>
          <w:w w:val="115"/>
          <w:sz w:val="18"/>
        </w:rPr>
        <w:t xml:space="preserve"> </w:t>
      </w:r>
      <w:r>
        <w:rPr>
          <w:rFonts w:ascii="Gill Sans MT" w:hAnsi="Gill Sans MT"/>
          <w:color w:val="231F20"/>
          <w:w w:val="115"/>
          <w:sz w:val="18"/>
        </w:rPr>
        <w:t>the guerilla struggle with more know</w:t>
      </w:r>
      <w:r>
        <w:rPr>
          <w:rFonts w:ascii="Gill Sans MT" w:hAnsi="Gill Sans MT"/>
          <w:color w:val="231F20"/>
          <w:spacing w:val="-3"/>
          <w:w w:val="115"/>
          <w:sz w:val="18"/>
        </w:rPr>
        <w:t xml:space="preserve">how, </w:t>
      </w:r>
      <w:r>
        <w:rPr>
          <w:rFonts w:ascii="Gill Sans MT" w:hAnsi="Gill Sans MT"/>
          <w:color w:val="231F20"/>
          <w:w w:val="115"/>
          <w:sz w:val="18"/>
        </w:rPr>
        <w:t>intelligence, patience, and support.</w:t>
      </w:r>
    </w:p>
    <w:p w14:paraId="4204AE76" w14:textId="77777777" w:rsidR="002653E8" w:rsidRDefault="002653E8">
      <w:pPr>
        <w:pStyle w:val="a3"/>
        <w:rPr>
          <w:rFonts w:ascii="Gill Sans MT"/>
        </w:rPr>
      </w:pPr>
    </w:p>
    <w:p w14:paraId="48A5CA78" w14:textId="77777777" w:rsidR="002653E8" w:rsidRDefault="002653E8">
      <w:pPr>
        <w:pStyle w:val="a3"/>
        <w:rPr>
          <w:rFonts w:ascii="Gill Sans MT"/>
        </w:rPr>
      </w:pPr>
    </w:p>
    <w:p w14:paraId="1B554320" w14:textId="77777777" w:rsidR="002653E8" w:rsidRDefault="002653E8">
      <w:pPr>
        <w:pStyle w:val="a3"/>
        <w:rPr>
          <w:rFonts w:ascii="Gill Sans MT"/>
        </w:rPr>
      </w:pPr>
    </w:p>
    <w:p w14:paraId="30FCDAD3" w14:textId="77777777" w:rsidR="002653E8" w:rsidRDefault="002653E8">
      <w:pPr>
        <w:pStyle w:val="a3"/>
        <w:rPr>
          <w:rFonts w:ascii="Gill Sans MT"/>
        </w:rPr>
      </w:pPr>
    </w:p>
    <w:p w14:paraId="6F638CF8" w14:textId="77777777" w:rsidR="002653E8" w:rsidRDefault="002653E8">
      <w:pPr>
        <w:pStyle w:val="a3"/>
        <w:rPr>
          <w:rFonts w:ascii="Gill Sans MT"/>
        </w:rPr>
      </w:pPr>
    </w:p>
    <w:p w14:paraId="5923E866" w14:textId="77777777" w:rsidR="002653E8" w:rsidRDefault="002653E8">
      <w:pPr>
        <w:pStyle w:val="a3"/>
        <w:rPr>
          <w:rFonts w:ascii="Gill Sans MT"/>
        </w:rPr>
      </w:pPr>
    </w:p>
    <w:p w14:paraId="519776E2" w14:textId="77777777" w:rsidR="002653E8" w:rsidRDefault="002653E8">
      <w:pPr>
        <w:pStyle w:val="a3"/>
        <w:rPr>
          <w:rFonts w:ascii="Gill Sans MT"/>
        </w:rPr>
      </w:pPr>
    </w:p>
    <w:p w14:paraId="3AB8902C" w14:textId="77777777" w:rsidR="002653E8" w:rsidRDefault="002653E8">
      <w:pPr>
        <w:pStyle w:val="a3"/>
        <w:rPr>
          <w:rFonts w:ascii="Gill Sans MT"/>
        </w:rPr>
      </w:pPr>
    </w:p>
    <w:p w14:paraId="557FBA2E" w14:textId="77777777" w:rsidR="002653E8" w:rsidRDefault="002653E8">
      <w:pPr>
        <w:pStyle w:val="a3"/>
        <w:rPr>
          <w:rFonts w:ascii="Gill Sans MT"/>
        </w:rPr>
      </w:pPr>
    </w:p>
    <w:p w14:paraId="20165A85" w14:textId="77777777" w:rsidR="002653E8" w:rsidRDefault="002653E8">
      <w:pPr>
        <w:pStyle w:val="a3"/>
        <w:rPr>
          <w:rFonts w:ascii="Gill Sans MT"/>
        </w:rPr>
      </w:pPr>
    </w:p>
    <w:p w14:paraId="149B51B2" w14:textId="77777777" w:rsidR="002653E8" w:rsidRDefault="002653E8">
      <w:pPr>
        <w:pStyle w:val="a3"/>
        <w:rPr>
          <w:rFonts w:ascii="Gill Sans MT"/>
        </w:rPr>
      </w:pPr>
    </w:p>
    <w:p w14:paraId="2599E80A" w14:textId="77777777" w:rsidR="002653E8" w:rsidRDefault="002653E8">
      <w:pPr>
        <w:pStyle w:val="a3"/>
        <w:rPr>
          <w:rFonts w:ascii="Gill Sans MT"/>
        </w:rPr>
      </w:pPr>
    </w:p>
    <w:p w14:paraId="1C67A153" w14:textId="77777777" w:rsidR="002653E8" w:rsidRDefault="002653E8">
      <w:pPr>
        <w:pStyle w:val="a3"/>
        <w:rPr>
          <w:rFonts w:ascii="Gill Sans MT"/>
        </w:rPr>
      </w:pPr>
    </w:p>
    <w:p w14:paraId="4EA4B0E3" w14:textId="77777777" w:rsidR="002653E8" w:rsidRDefault="002653E8">
      <w:pPr>
        <w:pStyle w:val="a3"/>
        <w:rPr>
          <w:rFonts w:ascii="Gill Sans MT"/>
        </w:rPr>
      </w:pPr>
    </w:p>
    <w:p w14:paraId="1F22D619" w14:textId="77777777" w:rsidR="002653E8" w:rsidRDefault="002653E8">
      <w:pPr>
        <w:pStyle w:val="a3"/>
        <w:rPr>
          <w:rFonts w:ascii="Gill Sans MT"/>
        </w:rPr>
      </w:pPr>
    </w:p>
    <w:p w14:paraId="167C4A90" w14:textId="77777777" w:rsidR="002653E8" w:rsidRDefault="002653E8">
      <w:pPr>
        <w:pStyle w:val="a3"/>
        <w:rPr>
          <w:rFonts w:ascii="Gill Sans MT"/>
        </w:rPr>
      </w:pPr>
    </w:p>
    <w:p w14:paraId="394522BF" w14:textId="77777777" w:rsidR="002653E8" w:rsidRDefault="002653E8">
      <w:pPr>
        <w:pStyle w:val="a3"/>
        <w:rPr>
          <w:rFonts w:ascii="Gill Sans MT"/>
        </w:rPr>
      </w:pPr>
    </w:p>
    <w:p w14:paraId="2C52C836" w14:textId="77777777" w:rsidR="002653E8" w:rsidRDefault="002653E8">
      <w:pPr>
        <w:pStyle w:val="a3"/>
        <w:spacing w:before="4"/>
        <w:rPr>
          <w:rFonts w:ascii="Gill Sans MT"/>
        </w:rPr>
      </w:pPr>
    </w:p>
    <w:p w14:paraId="7ED79CC0" w14:textId="77777777" w:rsidR="002653E8" w:rsidRDefault="003115E3">
      <w:pPr>
        <w:tabs>
          <w:tab w:val="left" w:pos="3677"/>
        </w:tabs>
        <w:spacing w:before="98" w:line="244" w:lineRule="auto"/>
        <w:ind w:left="5239" w:right="1300" w:hanging="4092"/>
        <w:rPr>
          <w:sz w:val="18"/>
        </w:rPr>
      </w:pPr>
      <w:r>
        <w:rPr>
          <w:color w:val="231F20"/>
          <w:spacing w:val="15"/>
          <w:w w:val="110"/>
          <w:position w:val="5"/>
          <w:sz w:val="18"/>
        </w:rPr>
        <w:t>628</w:t>
      </w:r>
      <w:r>
        <w:rPr>
          <w:color w:val="231F20"/>
          <w:spacing w:val="15"/>
          <w:w w:val="110"/>
          <w:position w:val="5"/>
          <w:sz w:val="18"/>
        </w:rPr>
        <w:tab/>
      </w:r>
      <w:r>
        <w:rPr>
          <w:color w:val="231F20"/>
          <w:spacing w:val="20"/>
          <w:w w:val="110"/>
          <w:sz w:val="18"/>
        </w:rPr>
        <w:t xml:space="preserve">armed struggle </w:t>
      </w:r>
      <w:r>
        <w:rPr>
          <w:color w:val="231F20"/>
          <w:spacing w:val="11"/>
          <w:w w:val="110"/>
          <w:sz w:val="18"/>
        </w:rPr>
        <w:t xml:space="preserve">in </w:t>
      </w:r>
      <w:r>
        <w:rPr>
          <w:color w:val="231F20"/>
          <w:spacing w:val="17"/>
          <w:w w:val="110"/>
          <w:sz w:val="18"/>
        </w:rPr>
        <w:t xml:space="preserve">west </w:t>
      </w:r>
      <w:r>
        <w:rPr>
          <w:color w:val="231F20"/>
          <w:spacing w:val="20"/>
          <w:w w:val="110"/>
          <w:sz w:val="18"/>
        </w:rPr>
        <w:t xml:space="preserve">germany </w:t>
      </w:r>
      <w:r>
        <w:rPr>
          <w:color w:val="231F20"/>
          <w:spacing w:val="21"/>
          <w:w w:val="110"/>
          <w:sz w:val="18"/>
        </w:rPr>
        <w:t xml:space="preserve">september </w:t>
      </w:r>
      <w:r>
        <w:rPr>
          <w:color w:val="231F20"/>
          <w:spacing w:val="15"/>
          <w:w w:val="110"/>
          <w:sz w:val="18"/>
        </w:rPr>
        <w:t>25,</w:t>
      </w:r>
      <w:r>
        <w:rPr>
          <w:color w:val="231F20"/>
          <w:spacing w:val="46"/>
          <w:w w:val="110"/>
          <w:sz w:val="18"/>
        </w:rPr>
        <w:t xml:space="preserve"> </w:t>
      </w:r>
      <w:r>
        <w:rPr>
          <w:color w:val="231F20"/>
          <w:spacing w:val="17"/>
          <w:w w:val="110"/>
          <w:sz w:val="18"/>
        </w:rPr>
        <w:t>2008</w:t>
      </w:r>
      <w:r>
        <w:rPr>
          <w:color w:val="231F20"/>
          <w:spacing w:val="-15"/>
          <w:sz w:val="18"/>
        </w:rPr>
        <w:t xml:space="preserve"> </w:t>
      </w:r>
    </w:p>
    <w:p w14:paraId="30A5697D" w14:textId="77777777" w:rsidR="002653E8" w:rsidRDefault="002653E8">
      <w:pPr>
        <w:spacing w:line="244" w:lineRule="auto"/>
        <w:rPr>
          <w:sz w:val="18"/>
        </w:rPr>
        <w:sectPr w:rsidR="002653E8">
          <w:footerReference w:type="default" r:id="rId543"/>
          <w:pgSz w:w="8640" w:h="12960"/>
          <w:pgMar w:top="1060" w:right="0" w:bottom="280" w:left="0" w:header="0" w:footer="0" w:gutter="0"/>
          <w:cols w:space="720"/>
        </w:sectPr>
      </w:pPr>
    </w:p>
    <w:p w14:paraId="54CC9E13" w14:textId="77777777" w:rsidR="002653E8" w:rsidRDefault="002653E8">
      <w:pPr>
        <w:pStyle w:val="a3"/>
        <w:spacing w:before="7"/>
        <w:rPr>
          <w:sz w:val="21"/>
        </w:rPr>
      </w:pPr>
    </w:p>
    <w:p w14:paraId="48D92B8C" w14:textId="77777777" w:rsidR="002653E8" w:rsidRDefault="003115E3">
      <w:pPr>
        <w:pStyle w:val="4"/>
        <w:spacing w:before="85"/>
        <w:ind w:left="2019"/>
        <w:rPr>
          <w:rFonts w:ascii="Lucida Sans"/>
          <w:b/>
        </w:rPr>
      </w:pPr>
      <w:bookmarkStart w:id="281" w:name="Note_on_Sources_and_Methodology_"/>
      <w:bookmarkStart w:id="282" w:name="_bookmark92"/>
      <w:bookmarkEnd w:id="281"/>
      <w:bookmarkEnd w:id="282"/>
      <w:r>
        <w:rPr>
          <w:rFonts w:ascii="Lucida Sans"/>
          <w:b/>
          <w:color w:val="231F20"/>
        </w:rPr>
        <w:t>note on sources and Methodology</w:t>
      </w:r>
    </w:p>
    <w:p w14:paraId="4E68823C" w14:textId="77777777" w:rsidR="002653E8" w:rsidRDefault="002653E8">
      <w:pPr>
        <w:pStyle w:val="a3"/>
        <w:spacing w:before="1"/>
        <w:rPr>
          <w:rFonts w:ascii="Lucida Sans"/>
          <w:b/>
          <w:sz w:val="44"/>
        </w:rPr>
      </w:pPr>
    </w:p>
    <w:p w14:paraId="1A59129D" w14:textId="77777777" w:rsidR="002653E8" w:rsidRDefault="003115E3">
      <w:pPr>
        <w:pStyle w:val="a3"/>
        <w:spacing w:line="264" w:lineRule="auto"/>
        <w:ind w:left="1298" w:right="1146"/>
        <w:jc w:val="right"/>
      </w:pPr>
      <w:r>
        <w:rPr>
          <w:color w:val="231F20"/>
        </w:rPr>
        <w:t>Obviously, many of the challenges in working on this book have</w:t>
      </w:r>
      <w:r>
        <w:rPr>
          <w:color w:val="231F20"/>
          <w:w w:val="91"/>
        </w:rPr>
        <w:t xml:space="preserve"> </w:t>
      </w:r>
      <w:r>
        <w:rPr>
          <w:color w:val="231F20"/>
        </w:rPr>
        <w:t>stemmed from the nature of the organization we have chosen to study.</w:t>
      </w:r>
      <w:r>
        <w:rPr>
          <w:color w:val="231F20"/>
          <w:w w:val="135"/>
        </w:rPr>
        <w:t xml:space="preserve"> </w:t>
      </w:r>
      <w:r>
        <w:rPr>
          <w:color w:val="231F20"/>
        </w:rPr>
        <w:t>The Red Army Faction was not just a clandestine organization, but</w:t>
      </w:r>
      <w:r>
        <w:rPr>
          <w:color w:val="231F20"/>
          <w:w w:val="98"/>
        </w:rPr>
        <w:t xml:space="preserve"> </w:t>
      </w:r>
      <w:r>
        <w:rPr>
          <w:color w:val="231F20"/>
        </w:rPr>
        <w:t>also a revolutionary communist one. As such, it faced not just state</w:t>
      </w:r>
      <w:r>
        <w:rPr>
          <w:color w:val="231F20"/>
          <w:w w:val="91"/>
        </w:rPr>
        <w:t xml:space="preserve"> </w:t>
      </w:r>
      <w:r>
        <w:rPr>
          <w:color w:val="231F20"/>
        </w:rPr>
        <w:t>repression, but also actual historical suppression, not merely through “regular” police and paramilitary action, but also more subtly, through ideological attrition. The latter has sometimes taken the form of outright lies with their origin in psychological warfare, but just as insidious has been the unanimous, unexamined rejection of the group’s core</w:t>
      </w:r>
      <w:r>
        <w:rPr>
          <w:color w:val="231F20"/>
          <w:w w:val="91"/>
        </w:rPr>
        <w:t xml:space="preserve"> </w:t>
      </w:r>
      <w:r>
        <w:rPr>
          <w:color w:val="231F20"/>
        </w:rPr>
        <w:t>beliefs on the part of all those who have studied it. As to those authors</w:t>
      </w:r>
      <w:r>
        <w:rPr>
          <w:color w:val="231F20"/>
          <w:w w:val="90"/>
        </w:rPr>
        <w:t xml:space="preserve"> </w:t>
      </w:r>
      <w:r>
        <w:rPr>
          <w:color w:val="231F20"/>
        </w:rPr>
        <w:t>writing from an explicitly anti-left perspective, they have often been</w:t>
      </w:r>
      <w:r>
        <w:rPr>
          <w:color w:val="231F20"/>
          <w:w w:val="99"/>
        </w:rPr>
        <w:t xml:space="preserve"> </w:t>
      </w:r>
      <w:r>
        <w:rPr>
          <w:color w:val="231F20"/>
        </w:rPr>
        <w:t>skeptical about the group’s political beliefs even being germane to its activities or history; for them the political verbiage simply provided cover</w:t>
      </w:r>
    </w:p>
    <w:p w14:paraId="662BCA34" w14:textId="77777777" w:rsidR="002653E8" w:rsidRDefault="003115E3">
      <w:pPr>
        <w:pStyle w:val="a3"/>
        <w:spacing w:line="220" w:lineRule="exact"/>
        <w:ind w:left="1327"/>
      </w:pPr>
      <w:r>
        <w:rPr>
          <w:color w:val="231F20"/>
        </w:rPr>
        <w:t>for deranged crimes.</w:t>
      </w:r>
    </w:p>
    <w:p w14:paraId="38F91D6F" w14:textId="77777777" w:rsidR="002653E8" w:rsidRDefault="003115E3">
      <w:pPr>
        <w:pStyle w:val="a3"/>
        <w:spacing w:before="22" w:line="264" w:lineRule="auto"/>
        <w:ind w:left="1327" w:right="1146" w:firstLine="210"/>
        <w:jc w:val="both"/>
      </w:pPr>
      <w:r>
        <w:rPr>
          <w:color w:val="231F20"/>
          <w:spacing w:val="1"/>
        </w:rPr>
        <w:t xml:space="preserve">All </w:t>
      </w:r>
      <w:r>
        <w:rPr>
          <w:color w:val="231F20"/>
        </w:rPr>
        <w:t>works must at times rely on unverifiable assumptions or guesses. This</w:t>
      </w:r>
      <w:r>
        <w:rPr>
          <w:color w:val="231F20"/>
          <w:spacing w:val="-5"/>
        </w:rPr>
        <w:t xml:space="preserve"> </w:t>
      </w:r>
      <w:r>
        <w:rPr>
          <w:color w:val="231F20"/>
        </w:rPr>
        <w:t>is</w:t>
      </w:r>
      <w:r>
        <w:rPr>
          <w:color w:val="231F20"/>
          <w:spacing w:val="-5"/>
        </w:rPr>
        <w:t xml:space="preserve"> </w:t>
      </w:r>
      <w:r>
        <w:rPr>
          <w:color w:val="231F20"/>
        </w:rPr>
        <w:t>especially</w:t>
      </w:r>
      <w:r>
        <w:rPr>
          <w:color w:val="231F20"/>
          <w:spacing w:val="-5"/>
        </w:rPr>
        <w:t xml:space="preserve"> </w:t>
      </w:r>
      <w:r>
        <w:rPr>
          <w:color w:val="231F20"/>
        </w:rPr>
        <w:t>so</w:t>
      </w:r>
      <w:r>
        <w:rPr>
          <w:color w:val="231F20"/>
          <w:spacing w:val="-5"/>
        </w:rPr>
        <w:t xml:space="preserve"> </w:t>
      </w:r>
      <w:r>
        <w:rPr>
          <w:color w:val="231F20"/>
        </w:rPr>
        <w:t>when</w:t>
      </w:r>
      <w:r>
        <w:rPr>
          <w:color w:val="231F20"/>
          <w:spacing w:val="-5"/>
        </w:rPr>
        <w:t xml:space="preserve"> </w:t>
      </w:r>
      <w:r>
        <w:rPr>
          <w:color w:val="231F20"/>
        </w:rPr>
        <w:t>studying</w:t>
      </w:r>
      <w:r>
        <w:rPr>
          <w:color w:val="231F20"/>
          <w:spacing w:val="-5"/>
        </w:rPr>
        <w:t xml:space="preserve"> </w:t>
      </w:r>
      <w:r>
        <w:rPr>
          <w:color w:val="231F20"/>
        </w:rPr>
        <w:t>a</w:t>
      </w:r>
      <w:r>
        <w:rPr>
          <w:color w:val="231F20"/>
          <w:spacing w:val="-5"/>
        </w:rPr>
        <w:t xml:space="preserve"> </w:t>
      </w:r>
      <w:r>
        <w:rPr>
          <w:color w:val="231F20"/>
        </w:rPr>
        <w:t>clandestine</w:t>
      </w:r>
      <w:r>
        <w:rPr>
          <w:color w:val="231F20"/>
          <w:spacing w:val="-5"/>
        </w:rPr>
        <w:t xml:space="preserve"> </w:t>
      </w:r>
      <w:r>
        <w:rPr>
          <w:color w:val="231F20"/>
        </w:rPr>
        <w:t>organization,</w:t>
      </w:r>
      <w:r>
        <w:rPr>
          <w:color w:val="231F20"/>
          <w:spacing w:val="-5"/>
        </w:rPr>
        <w:t xml:space="preserve"> </w:t>
      </w:r>
      <w:r>
        <w:rPr>
          <w:color w:val="231F20"/>
        </w:rPr>
        <w:t>and</w:t>
      </w:r>
      <w:r>
        <w:rPr>
          <w:color w:val="231F20"/>
          <w:spacing w:val="-5"/>
        </w:rPr>
        <w:t xml:space="preserve"> </w:t>
      </w:r>
      <w:r>
        <w:rPr>
          <w:color w:val="231F20"/>
        </w:rPr>
        <w:t xml:space="preserve">some authors have clearly felt entitled to make a </w:t>
      </w:r>
      <w:r>
        <w:rPr>
          <w:color w:val="231F20"/>
          <w:spacing w:val="1"/>
        </w:rPr>
        <w:t xml:space="preserve">virtue </w:t>
      </w:r>
      <w:r>
        <w:rPr>
          <w:color w:val="231F20"/>
        </w:rPr>
        <w:t xml:space="preserve">of necessity, crafting the </w:t>
      </w:r>
      <w:r w:rsidR="00C507A5">
        <w:rPr>
          <w:color w:val="231F20"/>
          <w:spacing w:val="1"/>
        </w:rPr>
        <w:t>red army faction</w:t>
      </w:r>
      <w:r>
        <w:rPr>
          <w:color w:val="231F20"/>
          <w:spacing w:val="1"/>
        </w:rPr>
        <w:t xml:space="preserve">’s </w:t>
      </w:r>
      <w:r>
        <w:rPr>
          <w:color w:val="231F20"/>
        </w:rPr>
        <w:t>narrative to suit their own political bias, which is more often than</w:t>
      </w:r>
      <w:r>
        <w:rPr>
          <w:color w:val="231F20"/>
          <w:spacing w:val="10"/>
        </w:rPr>
        <w:t xml:space="preserve"> </w:t>
      </w:r>
      <w:r>
        <w:rPr>
          <w:color w:val="231F20"/>
        </w:rPr>
        <w:t>not</w:t>
      </w:r>
      <w:r>
        <w:rPr>
          <w:color w:val="231F20"/>
          <w:spacing w:val="10"/>
        </w:rPr>
        <w:t xml:space="preserve"> </w:t>
      </w:r>
      <w:r>
        <w:rPr>
          <w:color w:val="231F20"/>
        </w:rPr>
        <w:t>the</w:t>
      </w:r>
      <w:r>
        <w:rPr>
          <w:color w:val="231F20"/>
          <w:spacing w:val="10"/>
        </w:rPr>
        <w:t xml:space="preserve"> </w:t>
      </w:r>
      <w:r>
        <w:rPr>
          <w:color w:val="231F20"/>
        </w:rPr>
        <w:t>bias</w:t>
      </w:r>
      <w:r>
        <w:rPr>
          <w:color w:val="231F20"/>
          <w:spacing w:val="10"/>
        </w:rPr>
        <w:t xml:space="preserve"> </w:t>
      </w:r>
      <w:r>
        <w:rPr>
          <w:color w:val="231F20"/>
        </w:rPr>
        <w:t>of</w:t>
      </w:r>
      <w:r>
        <w:rPr>
          <w:color w:val="231F20"/>
          <w:spacing w:val="10"/>
        </w:rPr>
        <w:t xml:space="preserve"> </w:t>
      </w:r>
      <w:r>
        <w:rPr>
          <w:color w:val="231F20"/>
        </w:rPr>
        <w:t>those</w:t>
      </w:r>
      <w:r>
        <w:rPr>
          <w:color w:val="231F20"/>
          <w:spacing w:val="10"/>
        </w:rPr>
        <w:t xml:space="preserve"> </w:t>
      </w:r>
      <w:r>
        <w:rPr>
          <w:color w:val="231F20"/>
        </w:rPr>
        <w:t>who</w:t>
      </w:r>
      <w:r>
        <w:rPr>
          <w:color w:val="231F20"/>
          <w:spacing w:val="10"/>
        </w:rPr>
        <w:t xml:space="preserve"> </w:t>
      </w:r>
      <w:r>
        <w:rPr>
          <w:color w:val="231F20"/>
        </w:rPr>
        <w:t>pretend</w:t>
      </w:r>
      <w:r>
        <w:rPr>
          <w:color w:val="231F20"/>
          <w:spacing w:val="10"/>
        </w:rPr>
        <w:t xml:space="preserve"> </w:t>
      </w:r>
      <w:r>
        <w:rPr>
          <w:color w:val="231F20"/>
        </w:rPr>
        <w:t>to</w:t>
      </w:r>
      <w:r>
        <w:rPr>
          <w:color w:val="231F20"/>
          <w:spacing w:val="10"/>
        </w:rPr>
        <w:t xml:space="preserve"> </w:t>
      </w:r>
      <w:r>
        <w:rPr>
          <w:color w:val="231F20"/>
        </w:rPr>
        <w:t>have</w:t>
      </w:r>
      <w:r>
        <w:rPr>
          <w:color w:val="231F20"/>
          <w:spacing w:val="10"/>
        </w:rPr>
        <w:t xml:space="preserve"> </w:t>
      </w:r>
      <w:r>
        <w:rPr>
          <w:color w:val="231F20"/>
        </w:rPr>
        <w:t>no</w:t>
      </w:r>
      <w:r>
        <w:rPr>
          <w:color w:val="231F20"/>
          <w:spacing w:val="10"/>
        </w:rPr>
        <w:t xml:space="preserve"> </w:t>
      </w:r>
      <w:r>
        <w:rPr>
          <w:color w:val="231F20"/>
        </w:rPr>
        <w:t>bias</w:t>
      </w:r>
      <w:r>
        <w:rPr>
          <w:color w:val="231F20"/>
          <w:spacing w:val="10"/>
        </w:rPr>
        <w:t xml:space="preserve"> </w:t>
      </w:r>
      <w:r>
        <w:rPr>
          <w:color w:val="231F20"/>
        </w:rPr>
        <w:t>at</w:t>
      </w:r>
      <w:r>
        <w:rPr>
          <w:color w:val="231F20"/>
          <w:spacing w:val="10"/>
        </w:rPr>
        <w:t xml:space="preserve"> </w:t>
      </w:r>
      <w:r>
        <w:rPr>
          <w:color w:val="231F20"/>
        </w:rPr>
        <w:t>all.</w:t>
      </w:r>
    </w:p>
    <w:p w14:paraId="47EAFE6B" w14:textId="77777777" w:rsidR="002653E8" w:rsidRDefault="003115E3">
      <w:pPr>
        <w:pStyle w:val="a3"/>
        <w:spacing w:line="264" w:lineRule="auto"/>
        <w:ind w:left="1328" w:right="1145" w:firstLine="210"/>
        <w:jc w:val="both"/>
      </w:pPr>
      <w:r>
        <w:rPr>
          <w:color w:val="231F20"/>
        </w:rPr>
        <w:t xml:space="preserve">Of course, we too have been forced to make guesses where there is  no </w:t>
      </w:r>
      <w:r>
        <w:rPr>
          <w:color w:val="231F20"/>
          <w:spacing w:val="-2"/>
        </w:rPr>
        <w:t xml:space="preserve">way </w:t>
      </w:r>
      <w:r>
        <w:rPr>
          <w:color w:val="231F20"/>
        </w:rPr>
        <w:t xml:space="preserve">of knowing for sure. </w:t>
      </w:r>
      <w:r>
        <w:rPr>
          <w:color w:val="231F20"/>
          <w:spacing w:val="-5"/>
        </w:rPr>
        <w:t xml:space="preserve">We </w:t>
      </w:r>
      <w:r>
        <w:rPr>
          <w:color w:val="231F20"/>
        </w:rPr>
        <w:t>have tried, however, to always indicate where we are unsure, and our somewhat excessive use of footnotes is intended to give the reader an opportunity to see on what we are basing our</w:t>
      </w:r>
      <w:r>
        <w:rPr>
          <w:color w:val="231F20"/>
          <w:spacing w:val="10"/>
        </w:rPr>
        <w:t xml:space="preserve"> </w:t>
      </w:r>
      <w:r>
        <w:rPr>
          <w:color w:val="231F20"/>
        </w:rPr>
        <w:t>assertions.</w:t>
      </w:r>
    </w:p>
    <w:p w14:paraId="1D2F3992" w14:textId="77777777" w:rsidR="002653E8" w:rsidRDefault="003115E3">
      <w:pPr>
        <w:pStyle w:val="a3"/>
        <w:spacing w:line="264" w:lineRule="auto"/>
        <w:ind w:left="1327" w:right="1145" w:firstLine="210"/>
        <w:jc w:val="both"/>
      </w:pPr>
      <w:r>
        <w:rPr>
          <w:color w:val="231F20"/>
        </w:rPr>
        <w:t xml:space="preserve">A further, at times bewildering, challenge in recovering the </w:t>
      </w:r>
      <w:r w:rsidR="00C507A5">
        <w:rPr>
          <w:color w:val="231F20"/>
          <w:spacing w:val="1"/>
        </w:rPr>
        <w:t>red army faction</w:t>
      </w:r>
      <w:r>
        <w:rPr>
          <w:color w:val="231F20"/>
          <w:spacing w:val="1"/>
        </w:rPr>
        <w:t xml:space="preserve">’s </w:t>
      </w:r>
      <w:r>
        <w:rPr>
          <w:color w:val="231F20"/>
        </w:rPr>
        <w:t xml:space="preserve">history has been the fact that many authors seem to feel entitled to   play very loose with facts both critical and incidental to this story. This kind of shoddy scholarship is a defining feature of the “real crime” and espionage genres, and in the case of a revolutionary organization, it is often compounded by fabrications planted by the state, which liberal scholars often seem unwilling to subject to the same hermeneutic of suspicion as claims made by the movement. </w:t>
      </w:r>
      <w:r>
        <w:rPr>
          <w:color w:val="231F20"/>
          <w:spacing w:val="-5"/>
        </w:rPr>
        <w:t xml:space="preserve">We  </w:t>
      </w:r>
      <w:r>
        <w:rPr>
          <w:color w:val="231F20"/>
        </w:rPr>
        <w:t xml:space="preserve">have found almost all  of the state’s psychological warfare stories repeated in some place or another as if they were fact. </w:t>
      </w:r>
      <w:r>
        <w:rPr>
          <w:color w:val="231F20"/>
          <w:spacing w:val="1"/>
        </w:rPr>
        <w:t xml:space="preserve">In </w:t>
      </w:r>
      <w:r>
        <w:rPr>
          <w:color w:val="231F20"/>
        </w:rPr>
        <w:t>some cases, “plans” the state accused   the</w:t>
      </w:r>
      <w:r>
        <w:rPr>
          <w:color w:val="231F20"/>
          <w:spacing w:val="12"/>
        </w:rPr>
        <w:t xml:space="preserve"> </w:t>
      </w:r>
      <w:r w:rsidR="00C507A5">
        <w:rPr>
          <w:color w:val="231F20"/>
          <w:spacing w:val="5"/>
        </w:rPr>
        <w:t>red army faction</w:t>
      </w:r>
      <w:r>
        <w:rPr>
          <w:color w:val="231F20"/>
          <w:spacing w:val="10"/>
        </w:rPr>
        <w:t xml:space="preserve"> </w:t>
      </w:r>
      <w:r>
        <w:rPr>
          <w:color w:val="231F20"/>
        </w:rPr>
        <w:t>of</w:t>
      </w:r>
      <w:r>
        <w:rPr>
          <w:color w:val="231F20"/>
          <w:spacing w:val="10"/>
        </w:rPr>
        <w:t xml:space="preserve"> </w:t>
      </w:r>
      <w:r>
        <w:rPr>
          <w:color w:val="231F20"/>
        </w:rPr>
        <w:t>having</w:t>
      </w:r>
      <w:r>
        <w:rPr>
          <w:color w:val="231F20"/>
          <w:spacing w:val="10"/>
        </w:rPr>
        <w:t xml:space="preserve"> </w:t>
      </w:r>
      <w:r>
        <w:rPr>
          <w:color w:val="231F20"/>
        </w:rPr>
        <w:t>actually</w:t>
      </w:r>
      <w:r>
        <w:rPr>
          <w:color w:val="231F20"/>
          <w:spacing w:val="10"/>
        </w:rPr>
        <w:t xml:space="preserve"> </w:t>
      </w:r>
      <w:r>
        <w:rPr>
          <w:color w:val="231F20"/>
        </w:rPr>
        <w:t>get</w:t>
      </w:r>
      <w:r>
        <w:rPr>
          <w:color w:val="231F20"/>
          <w:spacing w:val="10"/>
        </w:rPr>
        <w:t xml:space="preserve"> </w:t>
      </w:r>
      <w:r>
        <w:rPr>
          <w:color w:val="231F20"/>
        </w:rPr>
        <w:t>promoted</w:t>
      </w:r>
      <w:r>
        <w:rPr>
          <w:color w:val="231F20"/>
          <w:spacing w:val="10"/>
        </w:rPr>
        <w:t xml:space="preserve"> </w:t>
      </w:r>
      <w:r>
        <w:rPr>
          <w:color w:val="231F20"/>
        </w:rPr>
        <w:t>to</w:t>
      </w:r>
      <w:r>
        <w:rPr>
          <w:color w:val="231F20"/>
          <w:spacing w:val="10"/>
        </w:rPr>
        <w:t xml:space="preserve"> </w:t>
      </w:r>
      <w:r>
        <w:rPr>
          <w:color w:val="231F20"/>
        </w:rPr>
        <w:lastRenderedPageBreak/>
        <w:t>actual</w:t>
      </w:r>
      <w:r>
        <w:rPr>
          <w:color w:val="231F20"/>
          <w:spacing w:val="10"/>
        </w:rPr>
        <w:t xml:space="preserve"> </w:t>
      </w:r>
      <w:r>
        <w:rPr>
          <w:color w:val="231F20"/>
        </w:rPr>
        <w:t>events,</w:t>
      </w:r>
      <w:r>
        <w:rPr>
          <w:color w:val="231F20"/>
          <w:spacing w:val="10"/>
        </w:rPr>
        <w:t xml:space="preserve"> </w:t>
      </w:r>
      <w:r>
        <w:rPr>
          <w:color w:val="231F20"/>
        </w:rPr>
        <w:t>i.e.</w:t>
      </w:r>
      <w:r>
        <w:rPr>
          <w:color w:val="231F20"/>
          <w:spacing w:val="10"/>
        </w:rPr>
        <w:t xml:space="preserve"> </w:t>
      </w:r>
      <w:r>
        <w:rPr>
          <w:color w:val="231F20"/>
        </w:rPr>
        <w:t>we</w:t>
      </w:r>
      <w:r>
        <w:rPr>
          <w:color w:val="231F20"/>
          <w:spacing w:val="10"/>
        </w:rPr>
        <w:t xml:space="preserve"> </w:t>
      </w:r>
      <w:r>
        <w:rPr>
          <w:color w:val="231F20"/>
        </w:rPr>
        <w:t>found</w:t>
      </w:r>
    </w:p>
    <w:p w14:paraId="37C062B1" w14:textId="77777777" w:rsidR="002653E8" w:rsidRDefault="002653E8">
      <w:pPr>
        <w:spacing w:line="264" w:lineRule="auto"/>
        <w:jc w:val="both"/>
        <w:sectPr w:rsidR="002653E8">
          <w:footerReference w:type="even" r:id="rId544"/>
          <w:footerReference w:type="default" r:id="rId545"/>
          <w:pgSz w:w="8640" w:h="12960"/>
          <w:pgMar w:top="1220" w:right="0" w:bottom="1040" w:left="0" w:header="0" w:footer="850" w:gutter="0"/>
          <w:cols w:space="720"/>
        </w:sectPr>
      </w:pPr>
    </w:p>
    <w:p w14:paraId="6A96F32B" w14:textId="77777777" w:rsidR="002653E8" w:rsidRDefault="003115E3">
      <w:pPr>
        <w:pStyle w:val="a3"/>
        <w:spacing w:before="86" w:line="264" w:lineRule="auto"/>
        <w:ind w:left="1147" w:right="1327"/>
        <w:jc w:val="both"/>
      </w:pPr>
      <w:r>
        <w:rPr>
          <w:color w:val="231F20"/>
        </w:rPr>
        <w:lastRenderedPageBreak/>
        <w:t xml:space="preserve">one mention of a </w:t>
      </w:r>
      <w:r w:rsidR="00C507A5">
        <w:rPr>
          <w:color w:val="231F20"/>
        </w:rPr>
        <w:t>red army faction</w:t>
      </w:r>
      <w:r>
        <w:rPr>
          <w:color w:val="231F20"/>
        </w:rPr>
        <w:t xml:space="preserve"> commando attacking a nuclear power plant in 1977—despite the fact that no such attack ever took place, as should be easy to verify from available public sources.</w:t>
      </w:r>
    </w:p>
    <w:p w14:paraId="3BFBB4C7" w14:textId="77777777" w:rsidR="002653E8" w:rsidRDefault="003115E3">
      <w:pPr>
        <w:pStyle w:val="a3"/>
        <w:spacing w:line="264" w:lineRule="auto"/>
        <w:ind w:left="1147" w:right="1326" w:firstLine="210"/>
        <w:jc w:val="both"/>
      </w:pPr>
      <w:r>
        <w:rPr>
          <w:color w:val="231F20"/>
        </w:rPr>
        <w:t>This</w:t>
      </w:r>
      <w:r>
        <w:rPr>
          <w:color w:val="231F20"/>
          <w:spacing w:val="-3"/>
        </w:rPr>
        <w:t xml:space="preserve"> </w:t>
      </w:r>
      <w:r>
        <w:rPr>
          <w:color w:val="231F20"/>
        </w:rPr>
        <w:t>basic</w:t>
      </w:r>
      <w:r>
        <w:rPr>
          <w:color w:val="231F20"/>
          <w:spacing w:val="-3"/>
        </w:rPr>
        <w:t xml:space="preserve"> </w:t>
      </w:r>
      <w:r>
        <w:rPr>
          <w:color w:val="231F20"/>
        </w:rPr>
        <w:t>intellectual</w:t>
      </w:r>
      <w:r>
        <w:rPr>
          <w:color w:val="231F20"/>
          <w:spacing w:val="-3"/>
        </w:rPr>
        <w:t xml:space="preserve"> </w:t>
      </w:r>
      <w:r>
        <w:rPr>
          <w:color w:val="231F20"/>
        </w:rPr>
        <w:t>corruption</w:t>
      </w:r>
      <w:r>
        <w:rPr>
          <w:color w:val="231F20"/>
          <w:spacing w:val="-3"/>
        </w:rPr>
        <w:t xml:space="preserve"> </w:t>
      </w:r>
      <w:r>
        <w:rPr>
          <w:color w:val="231F20"/>
        </w:rPr>
        <w:t>seems</w:t>
      </w:r>
      <w:r>
        <w:rPr>
          <w:color w:val="231F20"/>
          <w:spacing w:val="-3"/>
        </w:rPr>
        <w:t xml:space="preserve"> </w:t>
      </w:r>
      <w:r>
        <w:rPr>
          <w:color w:val="231F20"/>
        </w:rPr>
        <w:t>to</w:t>
      </w:r>
      <w:r>
        <w:rPr>
          <w:color w:val="231F20"/>
          <w:spacing w:val="-3"/>
        </w:rPr>
        <w:t xml:space="preserve"> </w:t>
      </w:r>
      <w:r>
        <w:rPr>
          <w:color w:val="231F20"/>
        </w:rPr>
        <w:t>come</w:t>
      </w:r>
      <w:r>
        <w:rPr>
          <w:color w:val="231F20"/>
          <w:spacing w:val="-3"/>
        </w:rPr>
        <w:t xml:space="preserve"> </w:t>
      </w:r>
      <w:r>
        <w:rPr>
          <w:color w:val="231F20"/>
        </w:rPr>
        <w:t>with</w:t>
      </w:r>
      <w:r>
        <w:rPr>
          <w:color w:val="231F20"/>
          <w:spacing w:val="-3"/>
        </w:rPr>
        <w:t xml:space="preserve"> </w:t>
      </w:r>
      <w:r>
        <w:rPr>
          <w:color w:val="231F20"/>
        </w:rPr>
        <w:t>a</w:t>
      </w:r>
      <w:r>
        <w:rPr>
          <w:color w:val="231F20"/>
          <w:spacing w:val="-3"/>
        </w:rPr>
        <w:t xml:space="preserve"> </w:t>
      </w:r>
      <w:r>
        <w:rPr>
          <w:color w:val="231F20"/>
        </w:rPr>
        <w:t>free</w:t>
      </w:r>
      <w:r>
        <w:rPr>
          <w:color w:val="231F20"/>
          <w:spacing w:val="-3"/>
        </w:rPr>
        <w:t xml:space="preserve"> </w:t>
      </w:r>
      <w:r>
        <w:rPr>
          <w:color w:val="231F20"/>
        </w:rPr>
        <w:t>pass</w:t>
      </w:r>
      <w:r>
        <w:rPr>
          <w:color w:val="231F20"/>
          <w:spacing w:val="-3"/>
        </w:rPr>
        <w:t xml:space="preserve"> </w:t>
      </w:r>
      <w:r>
        <w:rPr>
          <w:color w:val="231F20"/>
        </w:rPr>
        <w:t>to</w:t>
      </w:r>
      <w:r>
        <w:rPr>
          <w:color w:val="231F20"/>
          <w:spacing w:val="-3"/>
        </w:rPr>
        <w:t xml:space="preserve"> </w:t>
      </w:r>
      <w:r>
        <w:rPr>
          <w:color w:val="231F20"/>
        </w:rPr>
        <w:t>be less</w:t>
      </w:r>
      <w:r>
        <w:rPr>
          <w:color w:val="231F20"/>
          <w:spacing w:val="-4"/>
        </w:rPr>
        <w:t xml:space="preserve"> </w:t>
      </w:r>
      <w:r>
        <w:rPr>
          <w:color w:val="231F20"/>
        </w:rPr>
        <w:t>than</w:t>
      </w:r>
      <w:r>
        <w:rPr>
          <w:color w:val="231F20"/>
          <w:spacing w:val="-4"/>
        </w:rPr>
        <w:t xml:space="preserve"> </w:t>
      </w:r>
      <w:r>
        <w:rPr>
          <w:color w:val="231F20"/>
        </w:rPr>
        <w:t>rigorous</w:t>
      </w:r>
      <w:r>
        <w:rPr>
          <w:color w:val="231F20"/>
          <w:spacing w:val="-4"/>
        </w:rPr>
        <w:t xml:space="preserve"> </w:t>
      </w:r>
      <w:r>
        <w:rPr>
          <w:color w:val="231F20"/>
        </w:rPr>
        <w:t>regarding</w:t>
      </w:r>
      <w:r>
        <w:rPr>
          <w:color w:val="231F20"/>
          <w:spacing w:val="-4"/>
        </w:rPr>
        <w:t xml:space="preserve"> </w:t>
      </w:r>
      <w:r>
        <w:rPr>
          <w:color w:val="231F20"/>
        </w:rPr>
        <w:t>other</w:t>
      </w:r>
      <w:r>
        <w:rPr>
          <w:color w:val="231F20"/>
          <w:spacing w:val="-4"/>
        </w:rPr>
        <w:t xml:space="preserve"> </w:t>
      </w:r>
      <w:r>
        <w:rPr>
          <w:color w:val="231F20"/>
        </w:rPr>
        <w:t>facts</w:t>
      </w:r>
      <w:r>
        <w:rPr>
          <w:color w:val="231F20"/>
          <w:spacing w:val="-4"/>
        </w:rPr>
        <w:t xml:space="preserve"> </w:t>
      </w:r>
      <w:r>
        <w:rPr>
          <w:color w:val="231F20"/>
        </w:rPr>
        <w:t>as</w:t>
      </w:r>
      <w:r>
        <w:rPr>
          <w:color w:val="231F20"/>
          <w:spacing w:val="-4"/>
        </w:rPr>
        <w:t xml:space="preserve"> </w:t>
      </w:r>
      <w:r>
        <w:rPr>
          <w:color w:val="231F20"/>
        </w:rPr>
        <w:t>well;</w:t>
      </w:r>
      <w:r>
        <w:rPr>
          <w:color w:val="231F20"/>
          <w:spacing w:val="-4"/>
        </w:rPr>
        <w:t xml:space="preserve"> </w:t>
      </w:r>
      <w:r>
        <w:rPr>
          <w:color w:val="231F20"/>
        </w:rPr>
        <w:t>on</w:t>
      </w:r>
      <w:r>
        <w:rPr>
          <w:color w:val="231F20"/>
          <w:spacing w:val="-4"/>
        </w:rPr>
        <w:t xml:space="preserve"> </w:t>
      </w:r>
      <w:r>
        <w:rPr>
          <w:color w:val="231F20"/>
        </w:rPr>
        <w:t>several</w:t>
      </w:r>
      <w:r>
        <w:rPr>
          <w:color w:val="231F20"/>
          <w:spacing w:val="-4"/>
        </w:rPr>
        <w:t xml:space="preserve"> </w:t>
      </w:r>
      <w:r>
        <w:rPr>
          <w:color w:val="231F20"/>
        </w:rPr>
        <w:t>occasions,</w:t>
      </w:r>
      <w:r>
        <w:rPr>
          <w:color w:val="231F20"/>
          <w:spacing w:val="-4"/>
        </w:rPr>
        <w:t xml:space="preserve"> </w:t>
      </w:r>
      <w:r>
        <w:rPr>
          <w:color w:val="231F20"/>
        </w:rPr>
        <w:t xml:space="preserve">we found that authors would get people’s names wrong, dates wrong, and the basic facts about various actions wrong. Siegfried Hausner becomes “Wolfgang Hausner”, Andreas Baader dies on a hunger strike, supporters become members, the </w:t>
      </w:r>
      <w:r>
        <w:rPr>
          <w:color w:val="231F20"/>
          <w:spacing w:val="3"/>
        </w:rPr>
        <w:t xml:space="preserve">RZ </w:t>
      </w:r>
      <w:r>
        <w:rPr>
          <w:color w:val="231F20"/>
        </w:rPr>
        <w:t xml:space="preserve">and 2JM become the </w:t>
      </w:r>
      <w:r w:rsidR="00C507A5">
        <w:rPr>
          <w:color w:val="231F20"/>
        </w:rPr>
        <w:t>red army faction</w:t>
      </w:r>
      <w:r>
        <w:rPr>
          <w:color w:val="231F20"/>
        </w:rPr>
        <w:t>… these are just some</w:t>
      </w:r>
      <w:r>
        <w:rPr>
          <w:color w:val="231F20"/>
          <w:spacing w:val="15"/>
        </w:rPr>
        <w:t xml:space="preserve"> </w:t>
      </w:r>
      <w:r>
        <w:rPr>
          <w:color w:val="231F20"/>
        </w:rPr>
        <w:t>of</w:t>
      </w:r>
      <w:r>
        <w:rPr>
          <w:color w:val="231F20"/>
          <w:spacing w:val="15"/>
        </w:rPr>
        <w:t xml:space="preserve"> </w:t>
      </w:r>
      <w:r>
        <w:rPr>
          <w:color w:val="231F20"/>
        </w:rPr>
        <w:t>the</w:t>
      </w:r>
      <w:r>
        <w:rPr>
          <w:color w:val="231F20"/>
          <w:spacing w:val="15"/>
        </w:rPr>
        <w:t xml:space="preserve"> </w:t>
      </w:r>
      <w:r>
        <w:rPr>
          <w:color w:val="231F20"/>
        </w:rPr>
        <w:t>“facts”</w:t>
      </w:r>
      <w:r>
        <w:rPr>
          <w:color w:val="231F20"/>
          <w:spacing w:val="15"/>
        </w:rPr>
        <w:t xml:space="preserve"> </w:t>
      </w:r>
      <w:r>
        <w:rPr>
          <w:color w:val="231F20"/>
        </w:rPr>
        <w:t>we</w:t>
      </w:r>
      <w:r>
        <w:rPr>
          <w:color w:val="231F20"/>
          <w:spacing w:val="15"/>
        </w:rPr>
        <w:t xml:space="preserve"> </w:t>
      </w:r>
      <w:r>
        <w:rPr>
          <w:color w:val="231F20"/>
        </w:rPr>
        <w:t>have</w:t>
      </w:r>
      <w:r>
        <w:rPr>
          <w:color w:val="231F20"/>
          <w:spacing w:val="15"/>
        </w:rPr>
        <w:t xml:space="preserve"> </w:t>
      </w:r>
      <w:r>
        <w:rPr>
          <w:color w:val="231F20"/>
        </w:rPr>
        <w:t>found</w:t>
      </w:r>
      <w:r>
        <w:rPr>
          <w:color w:val="231F20"/>
          <w:spacing w:val="15"/>
        </w:rPr>
        <w:t xml:space="preserve"> </w:t>
      </w:r>
      <w:r>
        <w:rPr>
          <w:color w:val="231F20"/>
        </w:rPr>
        <w:t>in</w:t>
      </w:r>
      <w:r>
        <w:rPr>
          <w:color w:val="231F20"/>
          <w:spacing w:val="15"/>
        </w:rPr>
        <w:t xml:space="preserve"> </w:t>
      </w:r>
      <w:r>
        <w:rPr>
          <w:color w:val="231F20"/>
        </w:rPr>
        <w:t>various</w:t>
      </w:r>
      <w:r>
        <w:rPr>
          <w:color w:val="231F20"/>
          <w:spacing w:val="15"/>
        </w:rPr>
        <w:t xml:space="preserve"> </w:t>
      </w:r>
      <w:r>
        <w:rPr>
          <w:color w:val="231F20"/>
        </w:rPr>
        <w:t>“reputable”</w:t>
      </w:r>
      <w:r>
        <w:rPr>
          <w:color w:val="231F20"/>
          <w:spacing w:val="15"/>
        </w:rPr>
        <w:t xml:space="preserve"> </w:t>
      </w:r>
      <w:r>
        <w:rPr>
          <w:color w:val="231F20"/>
        </w:rPr>
        <w:t>works.</w:t>
      </w:r>
    </w:p>
    <w:p w14:paraId="42530F4F" w14:textId="77777777" w:rsidR="002653E8" w:rsidRDefault="003115E3">
      <w:pPr>
        <w:pStyle w:val="a3"/>
        <w:spacing w:line="264" w:lineRule="auto"/>
        <w:ind w:left="1147" w:right="1325" w:firstLine="210"/>
        <w:jc w:val="both"/>
      </w:pPr>
      <w:r>
        <w:rPr>
          <w:color w:val="231F20"/>
          <w:spacing w:val="1"/>
        </w:rPr>
        <w:t>In</w:t>
      </w:r>
      <w:r>
        <w:rPr>
          <w:color w:val="231F20"/>
          <w:spacing w:val="-3"/>
        </w:rPr>
        <w:t xml:space="preserve"> </w:t>
      </w:r>
      <w:r>
        <w:rPr>
          <w:color w:val="231F20"/>
        </w:rPr>
        <w:t>fairness,</w:t>
      </w:r>
      <w:r>
        <w:rPr>
          <w:color w:val="231F20"/>
          <w:spacing w:val="-3"/>
        </w:rPr>
        <w:t xml:space="preserve"> </w:t>
      </w:r>
      <w:r>
        <w:rPr>
          <w:color w:val="231F20"/>
        </w:rPr>
        <w:t>some</w:t>
      </w:r>
      <w:r>
        <w:rPr>
          <w:color w:val="231F20"/>
          <w:spacing w:val="-3"/>
        </w:rPr>
        <w:t xml:space="preserve"> </w:t>
      </w:r>
      <w:r>
        <w:rPr>
          <w:color w:val="231F20"/>
        </w:rPr>
        <w:t>authors</w:t>
      </w:r>
      <w:r>
        <w:rPr>
          <w:color w:val="231F20"/>
          <w:spacing w:val="-3"/>
        </w:rPr>
        <w:t xml:space="preserve"> </w:t>
      </w:r>
      <w:r>
        <w:rPr>
          <w:color w:val="231F20"/>
        </w:rPr>
        <w:t>seem</w:t>
      </w:r>
      <w:r>
        <w:rPr>
          <w:color w:val="231F20"/>
          <w:spacing w:val="-3"/>
        </w:rPr>
        <w:t xml:space="preserve"> </w:t>
      </w:r>
      <w:r>
        <w:rPr>
          <w:color w:val="231F20"/>
        </w:rPr>
        <w:t>to</w:t>
      </w:r>
      <w:r>
        <w:rPr>
          <w:color w:val="231F20"/>
          <w:spacing w:val="-3"/>
        </w:rPr>
        <w:t xml:space="preserve"> </w:t>
      </w:r>
      <w:r>
        <w:rPr>
          <w:color w:val="231F20"/>
        </w:rPr>
        <w:t>have</w:t>
      </w:r>
      <w:r>
        <w:rPr>
          <w:color w:val="231F20"/>
          <w:spacing w:val="-3"/>
        </w:rPr>
        <w:t xml:space="preserve"> </w:t>
      </w:r>
      <w:r>
        <w:rPr>
          <w:color w:val="231F20"/>
        </w:rPr>
        <w:t>sincerely</w:t>
      </w:r>
      <w:r>
        <w:rPr>
          <w:color w:val="231F20"/>
          <w:spacing w:val="-3"/>
        </w:rPr>
        <w:t xml:space="preserve"> </w:t>
      </w:r>
      <w:r>
        <w:rPr>
          <w:color w:val="231F20"/>
        </w:rPr>
        <w:t>tried</w:t>
      </w:r>
      <w:r>
        <w:rPr>
          <w:color w:val="231F20"/>
          <w:spacing w:val="-3"/>
        </w:rPr>
        <w:t xml:space="preserve"> </w:t>
      </w:r>
      <w:r>
        <w:rPr>
          <w:color w:val="231F20"/>
        </w:rPr>
        <w:t>to</w:t>
      </w:r>
      <w:r>
        <w:rPr>
          <w:color w:val="231F20"/>
          <w:spacing w:val="-3"/>
        </w:rPr>
        <w:t xml:space="preserve"> </w:t>
      </w:r>
      <w:r>
        <w:rPr>
          <w:color w:val="231F20"/>
        </w:rPr>
        <w:t>do</w:t>
      </w:r>
      <w:r>
        <w:rPr>
          <w:color w:val="231F20"/>
          <w:spacing w:val="-3"/>
        </w:rPr>
        <w:t xml:space="preserve"> </w:t>
      </w:r>
      <w:r>
        <w:rPr>
          <w:color w:val="231F20"/>
        </w:rPr>
        <w:t>their</w:t>
      </w:r>
      <w:r>
        <w:rPr>
          <w:color w:val="231F20"/>
          <w:spacing w:val="-3"/>
        </w:rPr>
        <w:t xml:space="preserve"> </w:t>
      </w:r>
      <w:r>
        <w:rPr>
          <w:color w:val="231F20"/>
        </w:rPr>
        <w:t xml:space="preserve">best. Others have done very well in general, only to falter when certain subjects are broached. And while almost all works we consulted start from assumptions that we eventually rejected, we nevertheless continued to consult, and to rely on, these works. That is to </w:t>
      </w:r>
      <w:r>
        <w:rPr>
          <w:color w:val="231F20"/>
          <w:spacing w:val="-4"/>
        </w:rPr>
        <w:t xml:space="preserve">say, </w:t>
      </w:r>
      <w:r>
        <w:rPr>
          <w:color w:val="231F20"/>
        </w:rPr>
        <w:t>one or many errors, or an open right-wing bias, have not been enough to rule out our consulting a book or article, providing we could not find any other source contradicting</w:t>
      </w:r>
      <w:r>
        <w:rPr>
          <w:color w:val="231F20"/>
          <w:spacing w:val="10"/>
        </w:rPr>
        <w:t xml:space="preserve"> </w:t>
      </w:r>
      <w:r>
        <w:rPr>
          <w:color w:val="231F20"/>
        </w:rPr>
        <w:t>it.</w:t>
      </w:r>
    </w:p>
    <w:p w14:paraId="077F1B73" w14:textId="77777777" w:rsidR="002653E8" w:rsidRDefault="003115E3">
      <w:pPr>
        <w:pStyle w:val="a3"/>
        <w:spacing w:line="264" w:lineRule="auto"/>
        <w:ind w:left="1147" w:right="1325" w:firstLine="210"/>
        <w:jc w:val="both"/>
      </w:pPr>
      <w:r>
        <w:rPr>
          <w:color w:val="231F20"/>
        </w:rPr>
        <w:t>The internet is widely considered an unreliable source of</w:t>
      </w:r>
      <w:r>
        <w:rPr>
          <w:color w:val="231F20"/>
          <w:spacing w:val="-29"/>
        </w:rPr>
        <w:t xml:space="preserve"> </w:t>
      </w:r>
      <w:r>
        <w:rPr>
          <w:color w:val="231F20"/>
        </w:rPr>
        <w:t xml:space="preserve">information, and yet we have found it to be an excellent tool with which to crossreference the various “facts” found in most accounts of the </w:t>
      </w:r>
      <w:r w:rsidR="00C507A5">
        <w:rPr>
          <w:color w:val="231F20"/>
          <w:spacing w:val="5"/>
        </w:rPr>
        <w:t>red army faction</w:t>
      </w:r>
      <w:r>
        <w:rPr>
          <w:color w:val="231F20"/>
          <w:spacing w:val="5"/>
        </w:rPr>
        <w:t xml:space="preserve"> </w:t>
      </w:r>
      <w:r>
        <w:rPr>
          <w:color w:val="231F20"/>
        </w:rPr>
        <w:t xml:space="preserve">story. Even such inherently problematic sources as Wikipedia have served as  a crucial warning system to indicate where the extant narrative is missing information, or is in error. </w:t>
      </w:r>
      <w:r>
        <w:rPr>
          <w:color w:val="231F20"/>
          <w:spacing w:val="1"/>
        </w:rPr>
        <w:t xml:space="preserve">In </w:t>
      </w:r>
      <w:r>
        <w:rPr>
          <w:color w:val="231F20"/>
        </w:rPr>
        <w:t>many such cases, we would later find authoritative material indicating that the “unreliable” internet had in fact</w:t>
      </w:r>
      <w:r>
        <w:rPr>
          <w:color w:val="231F20"/>
          <w:spacing w:val="10"/>
        </w:rPr>
        <w:t xml:space="preserve"> </w:t>
      </w:r>
      <w:r>
        <w:rPr>
          <w:color w:val="231F20"/>
        </w:rPr>
        <w:t>been</w:t>
      </w:r>
      <w:r>
        <w:rPr>
          <w:color w:val="231F20"/>
          <w:spacing w:val="10"/>
        </w:rPr>
        <w:t xml:space="preserve"> </w:t>
      </w:r>
      <w:r>
        <w:rPr>
          <w:color w:val="231F20"/>
        </w:rPr>
        <w:t>correct</w:t>
      </w:r>
      <w:r>
        <w:rPr>
          <w:color w:val="231F20"/>
          <w:spacing w:val="10"/>
        </w:rPr>
        <w:t xml:space="preserve"> </w:t>
      </w:r>
      <w:r>
        <w:rPr>
          <w:color w:val="231F20"/>
        </w:rPr>
        <w:t>where</w:t>
      </w:r>
      <w:r>
        <w:rPr>
          <w:color w:val="231F20"/>
          <w:spacing w:val="10"/>
        </w:rPr>
        <w:t xml:space="preserve"> </w:t>
      </w:r>
      <w:r>
        <w:rPr>
          <w:color w:val="231F20"/>
        </w:rPr>
        <w:t>some</w:t>
      </w:r>
      <w:r>
        <w:rPr>
          <w:color w:val="231F20"/>
          <w:spacing w:val="10"/>
        </w:rPr>
        <w:t xml:space="preserve"> </w:t>
      </w:r>
      <w:r>
        <w:rPr>
          <w:color w:val="231F20"/>
        </w:rPr>
        <w:t>“reputable”</w:t>
      </w:r>
      <w:r>
        <w:rPr>
          <w:color w:val="231F20"/>
          <w:spacing w:val="10"/>
        </w:rPr>
        <w:t xml:space="preserve"> </w:t>
      </w:r>
      <w:r>
        <w:rPr>
          <w:color w:val="231F20"/>
        </w:rPr>
        <w:t>work</w:t>
      </w:r>
      <w:r>
        <w:rPr>
          <w:color w:val="231F20"/>
          <w:spacing w:val="10"/>
        </w:rPr>
        <w:t xml:space="preserve"> </w:t>
      </w:r>
      <w:r>
        <w:rPr>
          <w:color w:val="231F20"/>
        </w:rPr>
        <w:t>had</w:t>
      </w:r>
      <w:r>
        <w:rPr>
          <w:color w:val="231F20"/>
          <w:spacing w:val="10"/>
        </w:rPr>
        <w:t xml:space="preserve"> </w:t>
      </w:r>
      <w:r>
        <w:rPr>
          <w:color w:val="231F20"/>
        </w:rPr>
        <w:t>erred.</w:t>
      </w:r>
    </w:p>
    <w:p w14:paraId="324CC4C6" w14:textId="77777777" w:rsidR="002653E8" w:rsidRDefault="003115E3">
      <w:pPr>
        <w:pStyle w:val="a3"/>
        <w:spacing w:line="264" w:lineRule="auto"/>
        <w:ind w:left="1148" w:right="1325" w:firstLine="210"/>
        <w:jc w:val="both"/>
      </w:pPr>
      <w:r>
        <w:rPr>
          <w:color w:val="231F20"/>
        </w:rPr>
        <w:t xml:space="preserve">Finally, while we have been open about our bias, we should also admit that there are most likely errors and omissions in our work. </w:t>
      </w:r>
      <w:r>
        <w:rPr>
          <w:color w:val="231F20"/>
          <w:spacing w:val="-5"/>
        </w:rPr>
        <w:t xml:space="preserve">We </w:t>
      </w:r>
      <w:r>
        <w:rPr>
          <w:color w:val="231F20"/>
        </w:rPr>
        <w:t>have tried our hardest to weed them out, but both as a result of the murky and often contradictory existing record, and as a result of our own</w:t>
      </w:r>
      <w:r>
        <w:rPr>
          <w:color w:val="231F20"/>
          <w:spacing w:val="10"/>
        </w:rPr>
        <w:t xml:space="preserve"> </w:t>
      </w:r>
      <w:r>
        <w:rPr>
          <w:color w:val="231F20"/>
        </w:rPr>
        <w:t>inevitable</w:t>
      </w:r>
      <w:r>
        <w:rPr>
          <w:color w:val="231F20"/>
          <w:spacing w:val="10"/>
        </w:rPr>
        <w:t xml:space="preserve"> </w:t>
      </w:r>
      <w:r>
        <w:rPr>
          <w:color w:val="231F20"/>
        </w:rPr>
        <w:t>mistakes,</w:t>
      </w:r>
      <w:r>
        <w:rPr>
          <w:color w:val="231F20"/>
          <w:spacing w:val="10"/>
        </w:rPr>
        <w:t xml:space="preserve"> </w:t>
      </w:r>
      <w:r>
        <w:rPr>
          <w:color w:val="231F20"/>
        </w:rPr>
        <w:t>chances</w:t>
      </w:r>
      <w:r>
        <w:rPr>
          <w:color w:val="231F20"/>
          <w:spacing w:val="10"/>
        </w:rPr>
        <w:t xml:space="preserve"> </w:t>
      </w:r>
      <w:r>
        <w:rPr>
          <w:color w:val="231F20"/>
        </w:rPr>
        <w:t>are,</w:t>
      </w:r>
      <w:r>
        <w:rPr>
          <w:color w:val="231F20"/>
          <w:spacing w:val="10"/>
        </w:rPr>
        <w:t xml:space="preserve"> </w:t>
      </w:r>
      <w:r>
        <w:rPr>
          <w:color w:val="231F20"/>
        </w:rPr>
        <w:t>some</w:t>
      </w:r>
      <w:r>
        <w:rPr>
          <w:color w:val="231F20"/>
          <w:spacing w:val="10"/>
        </w:rPr>
        <w:t xml:space="preserve"> </w:t>
      </w:r>
      <w:r>
        <w:rPr>
          <w:color w:val="231F20"/>
        </w:rPr>
        <w:t>have</w:t>
      </w:r>
      <w:r>
        <w:rPr>
          <w:color w:val="231F20"/>
          <w:spacing w:val="10"/>
        </w:rPr>
        <w:t xml:space="preserve"> </w:t>
      </w:r>
      <w:r>
        <w:rPr>
          <w:color w:val="231F20"/>
        </w:rPr>
        <w:t>snuck</w:t>
      </w:r>
      <w:r>
        <w:rPr>
          <w:color w:val="231F20"/>
          <w:spacing w:val="10"/>
        </w:rPr>
        <w:t xml:space="preserve"> </w:t>
      </w:r>
      <w:r>
        <w:rPr>
          <w:color w:val="231F20"/>
        </w:rPr>
        <w:t>in.</w:t>
      </w:r>
    </w:p>
    <w:p w14:paraId="4625AA09" w14:textId="77777777" w:rsidR="002653E8" w:rsidRDefault="003115E3">
      <w:pPr>
        <w:pStyle w:val="a3"/>
        <w:spacing w:line="264" w:lineRule="auto"/>
        <w:ind w:left="1148" w:right="1326" w:firstLine="210"/>
        <w:jc w:val="both"/>
      </w:pPr>
      <w:r>
        <w:rPr>
          <w:color w:val="231F20"/>
        </w:rPr>
        <w:t xml:space="preserve">We hope, however, to have succeeded in providing a fair and accurate representation of the first part of the </w:t>
      </w:r>
      <w:r w:rsidR="00C507A5">
        <w:rPr>
          <w:color w:val="231F20"/>
        </w:rPr>
        <w:t>red army faction</w:t>
      </w:r>
      <w:r>
        <w:rPr>
          <w:color w:val="231F20"/>
        </w:rPr>
        <w:t xml:space="preserve"> saga.</w:t>
      </w:r>
    </w:p>
    <w:p w14:paraId="2DF8E766" w14:textId="77777777" w:rsidR="002653E8" w:rsidRDefault="003115E3">
      <w:pPr>
        <w:pStyle w:val="a3"/>
        <w:spacing w:before="6"/>
        <w:rPr>
          <w:sz w:val="14"/>
        </w:rPr>
      </w:pPr>
      <w:r>
        <w:drawing>
          <wp:anchor distT="0" distB="0" distL="0" distR="0" simplePos="0" relativeHeight="11704" behindDoc="0" locked="0" layoutInCell="1" allowOverlap="1" wp14:anchorId="075D3AA9" wp14:editId="1EA01547">
            <wp:simplePos x="0" y="0"/>
            <wp:positionH relativeFrom="page">
              <wp:posOffset>2467301</wp:posOffset>
            </wp:positionH>
            <wp:positionV relativeFrom="paragraph">
              <wp:posOffset>132875</wp:posOffset>
            </wp:positionV>
            <wp:extent cx="588541" cy="304800"/>
            <wp:effectExtent l="0" t="0" r="0" b="0"/>
            <wp:wrapTopAndBottom/>
            <wp:docPr id="89"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8.png"/>
                    <pic:cNvPicPr/>
                  </pic:nvPicPr>
                  <pic:blipFill>
                    <a:blip r:embed="rId546" cstate="print"/>
                    <a:stretch>
                      <a:fillRect/>
                    </a:stretch>
                  </pic:blipFill>
                  <pic:spPr>
                    <a:xfrm>
                      <a:off x="0" y="0"/>
                      <a:ext cx="588541" cy="304800"/>
                    </a:xfrm>
                    <a:prstGeom prst="rect">
                      <a:avLst/>
                    </a:prstGeom>
                  </pic:spPr>
                </pic:pic>
              </a:graphicData>
            </a:graphic>
          </wp:anchor>
        </w:drawing>
      </w:r>
    </w:p>
    <w:p w14:paraId="40D1FC83" w14:textId="77777777" w:rsidR="002653E8" w:rsidRDefault="002653E8">
      <w:pPr>
        <w:rPr>
          <w:sz w:val="14"/>
        </w:rPr>
        <w:sectPr w:rsidR="002653E8">
          <w:pgSz w:w="8640" w:h="12960"/>
          <w:pgMar w:top="1060" w:right="0" w:bottom="1040" w:left="0" w:header="0" w:footer="850" w:gutter="0"/>
          <w:cols w:space="720"/>
        </w:sectPr>
      </w:pPr>
    </w:p>
    <w:p w14:paraId="52D0F9DE" w14:textId="77777777" w:rsidR="002653E8" w:rsidRDefault="003115E3">
      <w:pPr>
        <w:pStyle w:val="a3"/>
        <w:spacing w:before="86" w:line="264" w:lineRule="auto"/>
        <w:ind w:left="1327" w:right="1145"/>
        <w:jc w:val="both"/>
      </w:pPr>
      <w:r>
        <w:rPr>
          <w:color w:val="231F20"/>
        </w:rPr>
        <w:lastRenderedPageBreak/>
        <w:t xml:space="preserve">Any note on sources would be remiss without pointing all readers to the incredible Rote Armee Fraktion Collection of the International Institute of Social History, Amsterdam, maintained as an online archive by former </w:t>
      </w:r>
      <w:r w:rsidR="00C507A5">
        <w:rPr>
          <w:color w:val="231F20"/>
        </w:rPr>
        <w:t>red army faction</w:t>
      </w:r>
      <w:r>
        <w:rPr>
          <w:color w:val="231F20"/>
        </w:rPr>
        <w:t xml:space="preserve"> member Ronald Augustin. The collection includes tens of thousands of pages related to the </w:t>
      </w:r>
      <w:r w:rsidR="00C507A5">
        <w:rPr>
          <w:color w:val="231F20"/>
        </w:rPr>
        <w:t>red army faction</w:t>
      </w:r>
      <w:r>
        <w:rPr>
          <w:color w:val="231F20"/>
        </w:rPr>
        <w:t>, including several books; while most of the documents are in German, some are in other languages, including English:</w:t>
      </w:r>
    </w:p>
    <w:p w14:paraId="360E900B" w14:textId="77777777" w:rsidR="002653E8" w:rsidRDefault="00000000">
      <w:pPr>
        <w:spacing w:before="112"/>
        <w:ind w:left="2471"/>
        <w:rPr>
          <w:b/>
          <w:sz w:val="20"/>
        </w:rPr>
      </w:pPr>
      <w:hyperlink r:id="rId547">
        <w:r w:rsidR="003115E3">
          <w:rPr>
            <w:b/>
            <w:color w:val="231F20"/>
            <w:sz w:val="20"/>
          </w:rPr>
          <w:t>http://www.labourhistory.net/raf/index.php</w:t>
        </w:r>
      </w:hyperlink>
    </w:p>
    <w:p w14:paraId="67B8BA07" w14:textId="77777777" w:rsidR="002653E8" w:rsidRDefault="003115E3">
      <w:pPr>
        <w:pStyle w:val="a3"/>
        <w:spacing w:before="160" w:line="264" w:lineRule="auto"/>
        <w:ind w:left="1328" w:right="1146" w:hanging="1"/>
        <w:jc w:val="both"/>
      </w:pPr>
      <w:r>
        <w:rPr>
          <w:color w:val="231F20"/>
        </w:rPr>
        <w:t xml:space="preserve">A far more modest collection of </w:t>
      </w:r>
      <w:r w:rsidR="00C507A5">
        <w:rPr>
          <w:color w:val="231F20"/>
        </w:rPr>
        <w:t>red army faction</w:t>
      </w:r>
      <w:r>
        <w:rPr>
          <w:color w:val="231F20"/>
        </w:rPr>
        <w:t>-related documents in English is available on the German Guerilla website:</w:t>
      </w:r>
    </w:p>
    <w:p w14:paraId="34C59C0D" w14:textId="77777777" w:rsidR="002653E8" w:rsidRDefault="00000000">
      <w:pPr>
        <w:spacing w:before="117"/>
        <w:ind w:left="179"/>
        <w:jc w:val="center"/>
        <w:rPr>
          <w:b/>
          <w:sz w:val="20"/>
        </w:rPr>
      </w:pPr>
      <w:hyperlink r:id="rId548">
        <w:r w:rsidR="003115E3">
          <w:rPr>
            <w:b/>
            <w:color w:val="231F20"/>
            <w:sz w:val="20"/>
          </w:rPr>
          <w:t>http://www.germanguerilla.com</w:t>
        </w:r>
      </w:hyperlink>
    </w:p>
    <w:p w14:paraId="1C005BB8" w14:textId="77777777" w:rsidR="002653E8" w:rsidRDefault="002653E8">
      <w:pPr>
        <w:jc w:val="center"/>
        <w:rPr>
          <w:sz w:val="20"/>
        </w:rPr>
        <w:sectPr w:rsidR="002653E8">
          <w:footerReference w:type="even" r:id="rId549"/>
          <w:footerReference w:type="default" r:id="rId550"/>
          <w:pgSz w:w="8640" w:h="12960"/>
          <w:pgMar w:top="1060" w:right="0" w:bottom="1040" w:left="0" w:header="0" w:footer="850" w:gutter="0"/>
          <w:cols w:space="720"/>
        </w:sectPr>
      </w:pPr>
    </w:p>
    <w:p w14:paraId="54CB4FC6" w14:textId="77777777" w:rsidR="002653E8" w:rsidRDefault="003115E3">
      <w:pPr>
        <w:spacing w:before="82"/>
        <w:ind w:left="760" w:right="937"/>
        <w:jc w:val="center"/>
        <w:rPr>
          <w:rFonts w:ascii="Lucida Sans"/>
          <w:b/>
          <w:sz w:val="30"/>
        </w:rPr>
      </w:pPr>
      <w:bookmarkStart w:id="283" w:name="Bibliography_"/>
      <w:bookmarkStart w:id="284" w:name="_bookmark93"/>
      <w:bookmarkEnd w:id="283"/>
      <w:bookmarkEnd w:id="284"/>
      <w:r>
        <w:rPr>
          <w:rFonts w:ascii="Lucida Sans"/>
          <w:b/>
          <w:color w:val="231F20"/>
          <w:sz w:val="30"/>
        </w:rPr>
        <w:lastRenderedPageBreak/>
        <w:t>Bibliography</w:t>
      </w:r>
    </w:p>
    <w:p w14:paraId="16C04609" w14:textId="77777777" w:rsidR="002653E8" w:rsidRDefault="002653E8">
      <w:pPr>
        <w:pStyle w:val="a3"/>
        <w:rPr>
          <w:rFonts w:ascii="Lucida Sans"/>
          <w:b/>
          <w:sz w:val="36"/>
        </w:rPr>
      </w:pPr>
    </w:p>
    <w:p w14:paraId="694B7858" w14:textId="77777777" w:rsidR="002653E8" w:rsidRDefault="002653E8">
      <w:pPr>
        <w:pStyle w:val="a3"/>
        <w:spacing w:before="10"/>
        <w:rPr>
          <w:rFonts w:ascii="Lucida Sans"/>
          <w:b/>
          <w:sz w:val="44"/>
        </w:rPr>
      </w:pPr>
    </w:p>
    <w:p w14:paraId="0F54C733" w14:textId="77777777" w:rsidR="002653E8" w:rsidRDefault="003115E3">
      <w:pPr>
        <w:ind w:left="1147"/>
        <w:rPr>
          <w:sz w:val="28"/>
        </w:rPr>
      </w:pPr>
      <w:r>
        <w:rPr>
          <w:color w:val="231F20"/>
          <w:w w:val="110"/>
          <w:sz w:val="28"/>
        </w:rPr>
        <w:t xml:space="preserve">b </w:t>
      </w:r>
      <w:r>
        <w:rPr>
          <w:color w:val="231F20"/>
          <w:spacing w:val="23"/>
          <w:w w:val="110"/>
          <w:sz w:val="28"/>
        </w:rPr>
        <w:t>ook</w:t>
      </w:r>
      <w:r>
        <w:rPr>
          <w:color w:val="231F20"/>
          <w:spacing w:val="-53"/>
          <w:w w:val="110"/>
          <w:sz w:val="28"/>
        </w:rPr>
        <w:t xml:space="preserve"> </w:t>
      </w:r>
      <w:r>
        <w:rPr>
          <w:color w:val="231F20"/>
          <w:w w:val="110"/>
          <w:sz w:val="28"/>
        </w:rPr>
        <w:t>s</w:t>
      </w:r>
    </w:p>
    <w:p w14:paraId="426AB356" w14:textId="77777777" w:rsidR="002653E8" w:rsidRDefault="003115E3">
      <w:pPr>
        <w:spacing w:before="188" w:line="244" w:lineRule="auto"/>
        <w:ind w:left="2282" w:right="1390" w:hanging="1135"/>
        <w:jc w:val="both"/>
        <w:rPr>
          <w:sz w:val="20"/>
        </w:rPr>
      </w:pPr>
      <w:r>
        <w:rPr>
          <w:color w:val="231F20"/>
          <w:w w:val="105"/>
          <w:sz w:val="20"/>
        </w:rPr>
        <w:t xml:space="preserve">Abendroth, Wolfgang, Helmut Ridder and Otto Schonfeldt, eds. </w:t>
      </w:r>
      <w:r w:rsidRPr="00846956">
        <w:rPr>
          <w:i/>
          <w:color w:val="231F20"/>
          <w:w w:val="105"/>
          <w:sz w:val="20"/>
          <w:lang w:val="de-DE"/>
        </w:rPr>
        <w:t xml:space="preserve">KPD Verbot oder mit Kommunisten leben. </w:t>
      </w:r>
      <w:r>
        <w:rPr>
          <w:color w:val="231F20"/>
          <w:w w:val="105"/>
          <w:sz w:val="20"/>
        </w:rPr>
        <w:t>Hamburg: Rororo Taschenbuch Verlag, 1968.</w:t>
      </w:r>
    </w:p>
    <w:p w14:paraId="126ED2D8" w14:textId="77777777" w:rsidR="002653E8" w:rsidRDefault="003115E3">
      <w:pPr>
        <w:spacing w:before="162" w:line="244" w:lineRule="auto"/>
        <w:ind w:left="2282" w:right="1513" w:hanging="1134"/>
        <w:rPr>
          <w:sz w:val="20"/>
        </w:rPr>
      </w:pPr>
      <w:r>
        <w:rPr>
          <w:color w:val="231F20"/>
          <w:w w:val="105"/>
          <w:sz w:val="20"/>
        </w:rPr>
        <w:t>Afro-Asian Solidarity Committee of the German Democratic Republic</w:t>
      </w:r>
      <w:r>
        <w:rPr>
          <w:i/>
          <w:color w:val="231F20"/>
          <w:w w:val="105"/>
          <w:sz w:val="20"/>
        </w:rPr>
        <w:t xml:space="preserve">. The Neo-colonialism of the West German Federal Republic. </w:t>
      </w:r>
      <w:r>
        <w:rPr>
          <w:color w:val="231F20"/>
          <w:w w:val="105"/>
          <w:sz w:val="20"/>
        </w:rPr>
        <w:t>Berlin: Afro-Asian Solidarity Committee of the German Democratic Republic, 1965.</w:t>
      </w:r>
    </w:p>
    <w:p w14:paraId="409B71D3" w14:textId="77777777" w:rsidR="002653E8" w:rsidRDefault="003115E3">
      <w:pPr>
        <w:spacing w:before="163"/>
        <w:ind w:left="1148"/>
        <w:rPr>
          <w:i/>
          <w:sz w:val="20"/>
        </w:rPr>
      </w:pPr>
      <w:r>
        <w:rPr>
          <w:color w:val="231F20"/>
          <w:w w:val="105"/>
          <w:sz w:val="20"/>
        </w:rPr>
        <w:t xml:space="preserve">Alexander, Robert J. </w:t>
      </w:r>
      <w:r>
        <w:rPr>
          <w:i/>
          <w:color w:val="231F20"/>
          <w:w w:val="105"/>
          <w:sz w:val="20"/>
        </w:rPr>
        <w:t>International Maoism in the developed world.</w:t>
      </w:r>
    </w:p>
    <w:p w14:paraId="266A7ED3" w14:textId="77777777" w:rsidR="002653E8" w:rsidRDefault="003115E3">
      <w:pPr>
        <w:pStyle w:val="a3"/>
        <w:spacing w:before="6"/>
        <w:ind w:left="2282"/>
      </w:pPr>
      <w:r>
        <w:rPr>
          <w:color w:val="231F20"/>
          <w:w w:val="105"/>
        </w:rPr>
        <w:t>Westport, Conn.: Praeger,1999.</w:t>
      </w:r>
    </w:p>
    <w:p w14:paraId="5E902FF4" w14:textId="77777777" w:rsidR="002653E8" w:rsidRDefault="003115E3">
      <w:pPr>
        <w:spacing w:before="165"/>
        <w:ind w:left="1148"/>
        <w:rPr>
          <w:i/>
          <w:sz w:val="20"/>
        </w:rPr>
      </w:pPr>
      <w:r>
        <w:rPr>
          <w:color w:val="231F20"/>
          <w:w w:val="105"/>
          <w:sz w:val="20"/>
        </w:rPr>
        <w:t xml:space="preserve">Ali, Tariq. </w:t>
      </w:r>
      <w:r>
        <w:rPr>
          <w:i/>
          <w:color w:val="231F20"/>
          <w:w w:val="105"/>
          <w:sz w:val="20"/>
        </w:rPr>
        <w:t>Street fighting Years: An Autobiography of the Sixties.</w:t>
      </w:r>
    </w:p>
    <w:p w14:paraId="5C8C9288" w14:textId="77777777" w:rsidR="002653E8" w:rsidRDefault="003115E3">
      <w:pPr>
        <w:pStyle w:val="a3"/>
        <w:spacing w:before="6"/>
        <w:ind w:left="2281"/>
      </w:pPr>
      <w:r>
        <w:rPr>
          <w:color w:val="231F20"/>
          <w:w w:val="110"/>
        </w:rPr>
        <w:t>New york, Ny: Verso, 2005.</w:t>
      </w:r>
    </w:p>
    <w:p w14:paraId="17DE6505" w14:textId="77777777" w:rsidR="002653E8" w:rsidRDefault="003115E3">
      <w:pPr>
        <w:spacing w:before="166" w:line="244" w:lineRule="auto"/>
        <w:ind w:left="2281" w:right="1145" w:hanging="1134"/>
        <w:rPr>
          <w:sz w:val="20"/>
        </w:rPr>
      </w:pPr>
      <w:r>
        <w:rPr>
          <w:color w:val="231F20"/>
          <w:w w:val="105"/>
          <w:sz w:val="20"/>
        </w:rPr>
        <w:t xml:space="preserve">Aly, Götz. </w:t>
      </w:r>
      <w:r>
        <w:rPr>
          <w:i/>
          <w:color w:val="231F20"/>
          <w:w w:val="105"/>
          <w:sz w:val="20"/>
        </w:rPr>
        <w:t xml:space="preserve">Hitler’s Beneficiaries: Plunder, Racial War, and the Nazi Welfare State. </w:t>
      </w:r>
      <w:r>
        <w:rPr>
          <w:color w:val="231F20"/>
          <w:w w:val="105"/>
          <w:sz w:val="20"/>
        </w:rPr>
        <w:t>Translated by Jefferson Chase. New york: Metropolitan, 2007.</w:t>
      </w:r>
    </w:p>
    <w:p w14:paraId="49D61CB9" w14:textId="77777777" w:rsidR="002653E8" w:rsidRDefault="003115E3">
      <w:pPr>
        <w:spacing w:before="162" w:line="244" w:lineRule="auto"/>
        <w:ind w:left="2282" w:right="1513" w:hanging="1134"/>
        <w:rPr>
          <w:sz w:val="20"/>
        </w:rPr>
      </w:pPr>
      <w:r>
        <w:rPr>
          <w:color w:val="231F20"/>
          <w:w w:val="105"/>
          <w:sz w:val="20"/>
        </w:rPr>
        <w:t xml:space="preserve">Aust, Stefan. </w:t>
      </w:r>
      <w:r>
        <w:rPr>
          <w:i/>
          <w:color w:val="231F20"/>
          <w:w w:val="105"/>
          <w:sz w:val="20"/>
        </w:rPr>
        <w:t xml:space="preserve">The Baader-Meinhof Group: The Inside Story of a Phenomenon. </w:t>
      </w:r>
      <w:r>
        <w:rPr>
          <w:color w:val="231F20"/>
          <w:w w:val="105"/>
          <w:sz w:val="20"/>
        </w:rPr>
        <w:t>Translated by Anthea Bell. London: The Bodley Head Ltd., 1987.</w:t>
      </w:r>
    </w:p>
    <w:p w14:paraId="3618CFFB" w14:textId="77777777" w:rsidR="002653E8" w:rsidRPr="00846956" w:rsidRDefault="003115E3">
      <w:pPr>
        <w:spacing w:before="163" w:line="244" w:lineRule="auto"/>
        <w:ind w:left="2282" w:right="1325" w:hanging="1134"/>
        <w:rPr>
          <w:sz w:val="20"/>
          <w:lang w:val="de-DE"/>
        </w:rPr>
      </w:pPr>
      <w:r>
        <w:rPr>
          <w:color w:val="231F20"/>
          <w:w w:val="105"/>
          <w:sz w:val="20"/>
        </w:rPr>
        <w:t xml:space="preserve">Bakker Schut, Pieter, ed. </w:t>
      </w:r>
      <w:r w:rsidRPr="00846956">
        <w:rPr>
          <w:i/>
          <w:color w:val="231F20"/>
          <w:w w:val="105"/>
          <w:sz w:val="20"/>
          <w:lang w:val="de-DE"/>
        </w:rPr>
        <w:t xml:space="preserve">Das Info: brief von gefangen aus der raf aus der discussion </w:t>
      </w:r>
      <w:r w:rsidRPr="00846956">
        <w:rPr>
          <w:rFonts w:ascii="Bookman Old Style"/>
          <w:i/>
          <w:color w:val="231F20"/>
          <w:w w:val="105"/>
          <w:sz w:val="20"/>
          <w:lang w:val="de-DE"/>
        </w:rPr>
        <w:t>1973</w:t>
      </w:r>
      <w:r w:rsidRPr="00846956">
        <w:rPr>
          <w:i/>
          <w:color w:val="231F20"/>
          <w:w w:val="105"/>
          <w:sz w:val="20"/>
          <w:lang w:val="de-DE"/>
        </w:rPr>
        <w:t>-</w:t>
      </w:r>
      <w:r w:rsidRPr="00846956">
        <w:rPr>
          <w:rFonts w:ascii="Bookman Old Style"/>
          <w:i/>
          <w:color w:val="231F20"/>
          <w:w w:val="105"/>
          <w:sz w:val="20"/>
          <w:lang w:val="de-DE"/>
        </w:rPr>
        <w:t>1977</w:t>
      </w:r>
      <w:r w:rsidRPr="00846956">
        <w:rPr>
          <w:i/>
          <w:color w:val="231F20"/>
          <w:w w:val="105"/>
          <w:sz w:val="20"/>
          <w:lang w:val="de-DE"/>
        </w:rPr>
        <w:t xml:space="preserve">. </w:t>
      </w:r>
      <w:r w:rsidRPr="00846956">
        <w:rPr>
          <w:color w:val="231F20"/>
          <w:w w:val="105"/>
          <w:sz w:val="20"/>
          <w:lang w:val="de-DE"/>
        </w:rPr>
        <w:t>Kiel: Neuer Malik Verlag, 1987.</w:t>
      </w:r>
    </w:p>
    <w:p w14:paraId="70EFA3CD" w14:textId="77777777" w:rsidR="002653E8" w:rsidRDefault="003115E3">
      <w:pPr>
        <w:spacing w:before="30" w:line="400" w:lineRule="exact"/>
        <w:ind w:left="1148" w:right="2067"/>
        <w:rPr>
          <w:i/>
          <w:sz w:val="20"/>
        </w:rPr>
      </w:pPr>
      <w:r w:rsidRPr="00846956">
        <w:rPr>
          <w:color w:val="231F20"/>
          <w:w w:val="105"/>
          <w:sz w:val="20"/>
          <w:lang w:val="de-DE"/>
        </w:rPr>
        <w:t>---------</w:t>
      </w:r>
      <w:r w:rsidRPr="00846956">
        <w:rPr>
          <w:i/>
          <w:color w:val="231F20"/>
          <w:w w:val="105"/>
          <w:sz w:val="20"/>
          <w:lang w:val="de-DE"/>
        </w:rPr>
        <w:t xml:space="preserve">Stammheim. </w:t>
      </w:r>
      <w:r w:rsidRPr="00846956">
        <w:rPr>
          <w:color w:val="231F20"/>
          <w:w w:val="105"/>
          <w:sz w:val="20"/>
          <w:lang w:val="de-DE"/>
        </w:rPr>
        <w:t xml:space="preserve">Kiel: Neuer Malik Verlag, 1986. Baumann, Bommi. </w:t>
      </w:r>
      <w:r>
        <w:rPr>
          <w:i/>
          <w:color w:val="231F20"/>
          <w:w w:val="105"/>
          <w:sz w:val="20"/>
        </w:rPr>
        <w:t>Terror or Love? The Personal Account of a</w:t>
      </w:r>
    </w:p>
    <w:p w14:paraId="346BE496" w14:textId="77777777" w:rsidR="002653E8" w:rsidRDefault="003115E3">
      <w:pPr>
        <w:spacing w:line="204" w:lineRule="exact"/>
        <w:ind w:left="2282"/>
        <w:rPr>
          <w:sz w:val="20"/>
        </w:rPr>
      </w:pPr>
      <w:r>
        <w:rPr>
          <w:i/>
          <w:color w:val="231F20"/>
          <w:sz w:val="20"/>
        </w:rPr>
        <w:t xml:space="preserve">West German Urban Guerilla. </w:t>
      </w:r>
      <w:r>
        <w:rPr>
          <w:color w:val="231F20"/>
          <w:sz w:val="20"/>
        </w:rPr>
        <w:t>Translated by Helene</w:t>
      </w:r>
    </w:p>
    <w:p w14:paraId="2A2D24BC" w14:textId="77777777" w:rsidR="002653E8" w:rsidRDefault="003115E3">
      <w:pPr>
        <w:pStyle w:val="a3"/>
        <w:spacing w:before="6" w:line="244" w:lineRule="auto"/>
        <w:ind w:left="2282" w:right="1713"/>
      </w:pPr>
      <w:r>
        <w:rPr>
          <w:color w:val="231F20"/>
          <w:w w:val="105"/>
        </w:rPr>
        <w:t>Ellenbogen and Wayne Parker. London: John Calder Publications, 1979.</w:t>
      </w:r>
    </w:p>
    <w:p w14:paraId="20E71CC3" w14:textId="77777777" w:rsidR="002653E8" w:rsidRDefault="003115E3">
      <w:pPr>
        <w:spacing w:before="161" w:line="244" w:lineRule="auto"/>
        <w:ind w:left="2282" w:right="1580" w:hanging="1134"/>
        <w:rPr>
          <w:sz w:val="20"/>
        </w:rPr>
      </w:pPr>
      <w:r>
        <w:rPr>
          <w:color w:val="231F20"/>
          <w:w w:val="105"/>
          <w:sz w:val="20"/>
        </w:rPr>
        <w:t xml:space="preserve">Becker, Jillian. </w:t>
      </w:r>
      <w:r>
        <w:rPr>
          <w:i/>
          <w:color w:val="231F20"/>
          <w:w w:val="105"/>
          <w:sz w:val="20"/>
        </w:rPr>
        <w:t xml:space="preserve">Hitler’s Children: The Story of the Baader Meinhof Gang. </w:t>
      </w:r>
      <w:r>
        <w:rPr>
          <w:color w:val="231F20"/>
          <w:w w:val="105"/>
          <w:sz w:val="20"/>
        </w:rPr>
        <w:t>London: Panther Granada Publishing, 1978.</w:t>
      </w:r>
    </w:p>
    <w:p w14:paraId="5D471DDC" w14:textId="77777777" w:rsidR="002653E8" w:rsidRDefault="002653E8">
      <w:pPr>
        <w:spacing w:line="244" w:lineRule="auto"/>
        <w:rPr>
          <w:sz w:val="20"/>
        </w:rPr>
        <w:sectPr w:rsidR="002653E8">
          <w:pgSz w:w="8640" w:h="12960"/>
          <w:pgMar w:top="1220" w:right="0" w:bottom="1040" w:left="0" w:header="0" w:footer="850" w:gutter="0"/>
          <w:cols w:space="720"/>
        </w:sectPr>
      </w:pPr>
    </w:p>
    <w:p w14:paraId="0C516388" w14:textId="77777777" w:rsidR="002653E8" w:rsidRDefault="003115E3">
      <w:pPr>
        <w:spacing w:before="70" w:line="244" w:lineRule="auto"/>
        <w:ind w:left="2462" w:right="1580" w:hanging="1135"/>
        <w:rPr>
          <w:sz w:val="20"/>
        </w:rPr>
      </w:pPr>
      <w:r>
        <w:rPr>
          <w:color w:val="231F20"/>
          <w:w w:val="105"/>
          <w:sz w:val="20"/>
        </w:rPr>
        <w:lastRenderedPageBreak/>
        <w:t xml:space="preserve">Berman, Paul. </w:t>
      </w:r>
      <w:r>
        <w:rPr>
          <w:i/>
          <w:color w:val="231F20"/>
          <w:w w:val="105"/>
          <w:sz w:val="20"/>
        </w:rPr>
        <w:t xml:space="preserve">Power and the Idealists: Or, The Passion of Joschka Fischer, and Its Aftermath. </w:t>
      </w:r>
      <w:r>
        <w:rPr>
          <w:color w:val="231F20"/>
          <w:w w:val="105"/>
          <w:sz w:val="20"/>
        </w:rPr>
        <w:t>Brooklyn, Ny: Soft Skull Press, 2005.</w:t>
      </w:r>
    </w:p>
    <w:p w14:paraId="29640D62" w14:textId="77777777" w:rsidR="002653E8" w:rsidRDefault="003115E3">
      <w:pPr>
        <w:spacing w:before="162" w:line="244" w:lineRule="auto"/>
        <w:ind w:left="2462" w:right="1325" w:hanging="1134"/>
        <w:rPr>
          <w:sz w:val="20"/>
        </w:rPr>
      </w:pPr>
      <w:r>
        <w:rPr>
          <w:color w:val="231F20"/>
          <w:w w:val="105"/>
          <w:sz w:val="20"/>
        </w:rPr>
        <w:t xml:space="preserve">Bewegung 2. Juni (2nd of June Movement). </w:t>
      </w:r>
      <w:r w:rsidRPr="00846956">
        <w:rPr>
          <w:i/>
          <w:color w:val="231F20"/>
          <w:w w:val="105"/>
          <w:sz w:val="20"/>
          <w:lang w:val="de-DE"/>
        </w:rPr>
        <w:t xml:space="preserve">Der Blues: Gesammelte Texte der Bewgung </w:t>
      </w:r>
      <w:r w:rsidRPr="00846956">
        <w:rPr>
          <w:rFonts w:ascii="Bookman Old Style"/>
          <w:i/>
          <w:color w:val="231F20"/>
          <w:w w:val="105"/>
          <w:sz w:val="20"/>
          <w:lang w:val="de-DE"/>
        </w:rPr>
        <w:t>2</w:t>
      </w:r>
      <w:r w:rsidRPr="00846956">
        <w:rPr>
          <w:i/>
          <w:color w:val="231F20"/>
          <w:w w:val="105"/>
          <w:sz w:val="20"/>
          <w:lang w:val="de-DE"/>
        </w:rPr>
        <w:t xml:space="preserve">. </w:t>
      </w:r>
      <w:r>
        <w:rPr>
          <w:i/>
          <w:color w:val="231F20"/>
          <w:w w:val="105"/>
          <w:sz w:val="20"/>
        </w:rPr>
        <w:t xml:space="preserve">Juni, Vol. </w:t>
      </w:r>
      <w:r>
        <w:rPr>
          <w:rFonts w:ascii="Bookman Old Style"/>
          <w:i/>
          <w:color w:val="231F20"/>
          <w:w w:val="105"/>
          <w:sz w:val="20"/>
        </w:rPr>
        <w:t>1</w:t>
      </w:r>
      <w:r>
        <w:rPr>
          <w:i/>
          <w:color w:val="231F20"/>
          <w:w w:val="105"/>
          <w:sz w:val="20"/>
        </w:rPr>
        <w:t xml:space="preserve">. </w:t>
      </w:r>
      <w:r>
        <w:rPr>
          <w:color w:val="231F20"/>
          <w:w w:val="105"/>
          <w:sz w:val="20"/>
        </w:rPr>
        <w:t>self-published illegally in West Germany, no date (1982?).</w:t>
      </w:r>
    </w:p>
    <w:p w14:paraId="7E622C2F" w14:textId="77777777" w:rsidR="002653E8" w:rsidRDefault="003115E3">
      <w:pPr>
        <w:spacing w:before="161"/>
        <w:ind w:left="1328"/>
        <w:rPr>
          <w:i/>
          <w:sz w:val="20"/>
        </w:rPr>
      </w:pPr>
      <w:r w:rsidRPr="00846956">
        <w:rPr>
          <w:color w:val="231F20"/>
          <w:w w:val="105"/>
          <w:sz w:val="20"/>
          <w:lang w:val="de-DE"/>
        </w:rPr>
        <w:t>---------</w:t>
      </w:r>
      <w:r w:rsidRPr="00846956">
        <w:rPr>
          <w:i/>
          <w:color w:val="231F20"/>
          <w:w w:val="105"/>
          <w:sz w:val="20"/>
          <w:lang w:val="de-DE"/>
        </w:rPr>
        <w:t xml:space="preserve">Der Blues: Gesammelte Texte der Bewgung </w:t>
      </w:r>
      <w:r w:rsidRPr="00846956">
        <w:rPr>
          <w:rFonts w:ascii="Bookman Old Style"/>
          <w:i/>
          <w:color w:val="231F20"/>
          <w:w w:val="105"/>
          <w:sz w:val="20"/>
          <w:lang w:val="de-DE"/>
        </w:rPr>
        <w:t>2</w:t>
      </w:r>
      <w:r w:rsidRPr="00846956">
        <w:rPr>
          <w:i/>
          <w:color w:val="231F20"/>
          <w:w w:val="105"/>
          <w:sz w:val="20"/>
          <w:lang w:val="de-DE"/>
        </w:rPr>
        <w:t xml:space="preserve">. </w:t>
      </w:r>
      <w:r>
        <w:rPr>
          <w:i/>
          <w:color w:val="231F20"/>
          <w:w w:val="105"/>
          <w:sz w:val="20"/>
        </w:rPr>
        <w:t xml:space="preserve">Juni, Vol. </w:t>
      </w:r>
      <w:r>
        <w:rPr>
          <w:rFonts w:ascii="Bookman Old Style"/>
          <w:i/>
          <w:color w:val="231F20"/>
          <w:w w:val="105"/>
          <w:sz w:val="20"/>
        </w:rPr>
        <w:t>2</w:t>
      </w:r>
      <w:r>
        <w:rPr>
          <w:i/>
          <w:color w:val="231F20"/>
          <w:w w:val="105"/>
          <w:sz w:val="20"/>
        </w:rPr>
        <w:t>.</w:t>
      </w:r>
    </w:p>
    <w:p w14:paraId="17460123" w14:textId="77777777" w:rsidR="002653E8" w:rsidRDefault="003115E3">
      <w:pPr>
        <w:pStyle w:val="a3"/>
        <w:spacing w:before="3"/>
        <w:ind w:left="2462"/>
      </w:pPr>
      <w:r>
        <w:rPr>
          <w:color w:val="231F20"/>
        </w:rPr>
        <w:t>self-published illegally in West Germany, no date (1982?).</w:t>
      </w:r>
    </w:p>
    <w:p w14:paraId="73A64B24" w14:textId="77777777" w:rsidR="002653E8" w:rsidRDefault="003115E3">
      <w:pPr>
        <w:pStyle w:val="a3"/>
        <w:spacing w:before="166" w:line="244" w:lineRule="auto"/>
        <w:ind w:left="2461" w:right="1325" w:hanging="1134"/>
      </w:pPr>
      <w:r>
        <w:rPr>
          <w:color w:val="231F20"/>
          <w:w w:val="105"/>
        </w:rPr>
        <w:t xml:space="preserve">Böll, Heinrich. Interview by Gert Heidenreich (Bavarian Radio), September 28, 1977. “This Type of Cheap Propaganda Is Extremely Danegrous.” Translated by Martin Black, in Martin Black, ed. </w:t>
      </w:r>
      <w:r>
        <w:rPr>
          <w:i/>
          <w:color w:val="231F20"/>
          <w:w w:val="105"/>
        </w:rPr>
        <w:t xml:space="preserve">Stories, Political Writings and Autobiographical Works. </w:t>
      </w:r>
      <w:r>
        <w:rPr>
          <w:color w:val="231F20"/>
          <w:w w:val="105"/>
        </w:rPr>
        <w:t>New york: Continuum International Publishing Group, 2006.</w:t>
      </w:r>
    </w:p>
    <w:p w14:paraId="4D9DA375" w14:textId="77777777" w:rsidR="002653E8" w:rsidRDefault="003115E3">
      <w:pPr>
        <w:spacing w:before="165" w:line="244" w:lineRule="auto"/>
        <w:ind w:left="2461" w:right="1145" w:hanging="1134"/>
        <w:rPr>
          <w:sz w:val="20"/>
        </w:rPr>
      </w:pPr>
      <w:r>
        <w:rPr>
          <w:color w:val="231F20"/>
          <w:w w:val="105"/>
          <w:sz w:val="20"/>
        </w:rPr>
        <w:t xml:space="preserve">Braunthal, Gerard. </w:t>
      </w:r>
      <w:r>
        <w:rPr>
          <w:i/>
          <w:color w:val="231F20"/>
          <w:w w:val="105"/>
          <w:sz w:val="20"/>
        </w:rPr>
        <w:t xml:space="preserve">Political Loyalty and Public Service in West Germany: the </w:t>
      </w:r>
      <w:r>
        <w:rPr>
          <w:rFonts w:ascii="Bookman Old Style"/>
          <w:i/>
          <w:color w:val="231F20"/>
          <w:w w:val="105"/>
          <w:sz w:val="20"/>
        </w:rPr>
        <w:t xml:space="preserve">1972 </w:t>
      </w:r>
      <w:r>
        <w:rPr>
          <w:i/>
          <w:color w:val="231F20"/>
          <w:w w:val="105"/>
          <w:sz w:val="20"/>
        </w:rPr>
        <w:t xml:space="preserve">Decree Against Radicals and Its Consequences. </w:t>
      </w:r>
      <w:r>
        <w:rPr>
          <w:color w:val="231F20"/>
          <w:w w:val="105"/>
          <w:sz w:val="20"/>
        </w:rPr>
        <w:t>Amherst: University of Massachusetts Press, 1990.</w:t>
      </w:r>
    </w:p>
    <w:p w14:paraId="33949140" w14:textId="77777777" w:rsidR="002653E8" w:rsidRPr="00846956" w:rsidRDefault="003115E3">
      <w:pPr>
        <w:spacing w:before="161" w:line="244" w:lineRule="auto"/>
        <w:ind w:left="2461" w:right="1145" w:hanging="1134"/>
        <w:rPr>
          <w:sz w:val="20"/>
          <w:lang w:val="de-DE"/>
        </w:rPr>
      </w:pPr>
      <w:r>
        <w:rPr>
          <w:color w:val="231F20"/>
          <w:w w:val="105"/>
          <w:sz w:val="20"/>
        </w:rPr>
        <w:t xml:space="preserve">Butz, Peters. </w:t>
      </w:r>
      <w:r w:rsidR="00C507A5">
        <w:rPr>
          <w:i/>
          <w:color w:val="231F20"/>
          <w:w w:val="105"/>
          <w:sz w:val="20"/>
        </w:rPr>
        <w:t>red army faction</w:t>
      </w:r>
      <w:r>
        <w:rPr>
          <w:i/>
          <w:color w:val="231F20"/>
          <w:w w:val="105"/>
          <w:sz w:val="20"/>
        </w:rPr>
        <w:t xml:space="preserve"> Terrorismus in Deutschland</w:t>
      </w:r>
      <w:r>
        <w:rPr>
          <w:color w:val="231F20"/>
          <w:w w:val="105"/>
          <w:sz w:val="20"/>
        </w:rPr>
        <w:t xml:space="preserve">. </w:t>
      </w:r>
      <w:r w:rsidRPr="00846956">
        <w:rPr>
          <w:color w:val="231F20"/>
          <w:w w:val="105"/>
          <w:sz w:val="20"/>
          <w:lang w:val="de-DE"/>
        </w:rPr>
        <w:t>Stuttgart: Deutsche Verlags Anstalt, 1991.</w:t>
      </w:r>
    </w:p>
    <w:p w14:paraId="6595249B" w14:textId="77777777" w:rsidR="002653E8" w:rsidRDefault="003115E3">
      <w:pPr>
        <w:spacing w:before="32" w:line="400" w:lineRule="exact"/>
        <w:ind w:left="1327" w:right="1145"/>
        <w:rPr>
          <w:i/>
          <w:sz w:val="20"/>
        </w:rPr>
      </w:pPr>
      <w:r w:rsidRPr="00846956">
        <w:rPr>
          <w:color w:val="231F20"/>
          <w:w w:val="105"/>
          <w:sz w:val="20"/>
          <w:lang w:val="de-DE"/>
        </w:rPr>
        <w:t xml:space="preserve">Cattan, Henry. </w:t>
      </w:r>
      <w:r>
        <w:rPr>
          <w:i/>
          <w:color w:val="231F20"/>
          <w:w w:val="105"/>
          <w:sz w:val="20"/>
        </w:rPr>
        <w:t xml:space="preserve">The Palestine Question. </w:t>
      </w:r>
      <w:r>
        <w:rPr>
          <w:color w:val="231F20"/>
          <w:w w:val="105"/>
          <w:sz w:val="20"/>
        </w:rPr>
        <w:t xml:space="preserve">London: Croom Helm, 1987. Childs, David. </w:t>
      </w:r>
      <w:r>
        <w:rPr>
          <w:i/>
          <w:color w:val="231F20"/>
          <w:w w:val="105"/>
          <w:sz w:val="20"/>
        </w:rPr>
        <w:t>From Schumacher to Brandt: The Story of German</w:t>
      </w:r>
    </w:p>
    <w:p w14:paraId="25AA3EC7" w14:textId="77777777" w:rsidR="002653E8" w:rsidRDefault="003115E3">
      <w:pPr>
        <w:spacing w:line="206" w:lineRule="exact"/>
        <w:ind w:left="2461"/>
        <w:rPr>
          <w:sz w:val="20"/>
        </w:rPr>
      </w:pPr>
      <w:r>
        <w:rPr>
          <w:i/>
          <w:color w:val="231F20"/>
          <w:sz w:val="20"/>
        </w:rPr>
        <w:t xml:space="preserve">Socialism </w:t>
      </w:r>
      <w:r>
        <w:rPr>
          <w:rFonts w:ascii="Bookman Old Style"/>
          <w:i/>
          <w:color w:val="231F20"/>
          <w:sz w:val="20"/>
        </w:rPr>
        <w:t>1945</w:t>
      </w:r>
      <w:r>
        <w:rPr>
          <w:i/>
          <w:color w:val="231F20"/>
          <w:sz w:val="20"/>
        </w:rPr>
        <w:t>-</w:t>
      </w:r>
      <w:r>
        <w:rPr>
          <w:rFonts w:ascii="Bookman Old Style"/>
          <w:i/>
          <w:color w:val="231F20"/>
          <w:sz w:val="20"/>
        </w:rPr>
        <w:t>1965</w:t>
      </w:r>
      <w:r>
        <w:rPr>
          <w:i/>
          <w:color w:val="231F20"/>
          <w:sz w:val="20"/>
        </w:rPr>
        <w:t xml:space="preserve">. </w:t>
      </w:r>
      <w:r>
        <w:rPr>
          <w:color w:val="231F20"/>
          <w:sz w:val="20"/>
        </w:rPr>
        <w:t>New york: Pergamon Press, 1966.</w:t>
      </w:r>
    </w:p>
    <w:p w14:paraId="0F37246C" w14:textId="77777777" w:rsidR="002653E8" w:rsidRDefault="003115E3">
      <w:pPr>
        <w:spacing w:before="164" w:line="244" w:lineRule="auto"/>
        <w:ind w:left="2461" w:right="1513" w:hanging="1134"/>
        <w:rPr>
          <w:sz w:val="20"/>
        </w:rPr>
      </w:pPr>
      <w:r>
        <w:rPr>
          <w:color w:val="231F20"/>
          <w:w w:val="105"/>
          <w:sz w:val="20"/>
        </w:rPr>
        <w:t xml:space="preserve">Christie, Stuart. </w:t>
      </w:r>
      <w:r>
        <w:rPr>
          <w:i/>
          <w:color w:val="231F20"/>
          <w:w w:val="105"/>
          <w:sz w:val="20"/>
        </w:rPr>
        <w:t>Stefano Della Chaie: Portrait of a Black Terrorist</w:t>
      </w:r>
      <w:r>
        <w:rPr>
          <w:color w:val="231F20"/>
          <w:w w:val="105"/>
          <w:sz w:val="20"/>
        </w:rPr>
        <w:t xml:space="preserve">. </w:t>
      </w:r>
      <w:r>
        <w:rPr>
          <w:i/>
          <w:color w:val="231F20"/>
          <w:w w:val="89"/>
          <w:sz w:val="20"/>
        </w:rPr>
        <w:t>(</w:t>
      </w:r>
      <w:r>
        <w:rPr>
          <w:i/>
          <w:color w:val="231F20"/>
          <w:w w:val="111"/>
          <w:sz w:val="20"/>
        </w:rPr>
        <w:t>B</w:t>
      </w:r>
      <w:r>
        <w:rPr>
          <w:i/>
          <w:color w:val="231F20"/>
          <w:w w:val="104"/>
          <w:sz w:val="20"/>
        </w:rPr>
        <w:t>l</w:t>
      </w:r>
      <w:r>
        <w:rPr>
          <w:i/>
          <w:color w:val="231F20"/>
          <w:w w:val="95"/>
          <w:sz w:val="20"/>
        </w:rPr>
        <w:t>a</w:t>
      </w:r>
      <w:r>
        <w:rPr>
          <w:i/>
          <w:color w:val="231F20"/>
          <w:w w:val="102"/>
          <w:sz w:val="20"/>
        </w:rPr>
        <w:t>c</w:t>
      </w:r>
      <w:r>
        <w:rPr>
          <w:i/>
          <w:color w:val="231F20"/>
          <w:w w:val="111"/>
          <w:sz w:val="20"/>
        </w:rPr>
        <w:t>k</w:t>
      </w:r>
      <w:r>
        <w:rPr>
          <w:i/>
          <w:color w:val="231F20"/>
          <w:sz w:val="20"/>
        </w:rPr>
        <w:t xml:space="preserve"> </w:t>
      </w:r>
      <w:r>
        <w:rPr>
          <w:i/>
          <w:color w:val="231F20"/>
          <w:w w:val="110"/>
          <w:sz w:val="20"/>
        </w:rPr>
        <w:t>P</w:t>
      </w:r>
      <w:r>
        <w:rPr>
          <w:i/>
          <w:color w:val="231F20"/>
          <w:w w:val="95"/>
          <w:sz w:val="20"/>
        </w:rPr>
        <w:t>a</w:t>
      </w:r>
      <w:r>
        <w:rPr>
          <w:i/>
          <w:color w:val="231F20"/>
          <w:w w:val="105"/>
          <w:sz w:val="20"/>
        </w:rPr>
        <w:t>p</w:t>
      </w:r>
      <w:r>
        <w:rPr>
          <w:i/>
          <w:color w:val="231F20"/>
          <w:w w:val="97"/>
          <w:sz w:val="20"/>
        </w:rPr>
        <w:t>e</w:t>
      </w:r>
      <w:r>
        <w:rPr>
          <w:i/>
          <w:color w:val="231F20"/>
          <w:w w:val="95"/>
          <w:sz w:val="20"/>
        </w:rPr>
        <w:t>r</w:t>
      </w:r>
      <w:r>
        <w:rPr>
          <w:i/>
          <w:color w:val="231F20"/>
          <w:w w:val="101"/>
          <w:sz w:val="20"/>
        </w:rPr>
        <w:t>s</w:t>
      </w:r>
      <w:r>
        <w:rPr>
          <w:i/>
          <w:color w:val="231F20"/>
          <w:w w:val="139"/>
          <w:sz w:val="20"/>
        </w:rPr>
        <w:t>,</w:t>
      </w:r>
      <w:r>
        <w:rPr>
          <w:i/>
          <w:color w:val="231F20"/>
          <w:sz w:val="20"/>
        </w:rPr>
        <w:t xml:space="preserve"> </w:t>
      </w:r>
      <w:r>
        <w:rPr>
          <w:i/>
          <w:color w:val="231F20"/>
          <w:w w:val="124"/>
          <w:sz w:val="20"/>
        </w:rPr>
        <w:t>N</w:t>
      </w:r>
      <w:r>
        <w:rPr>
          <w:i/>
          <w:color w:val="231F20"/>
          <w:w w:val="109"/>
          <w:sz w:val="20"/>
        </w:rPr>
        <w:t>o</w:t>
      </w:r>
      <w:r>
        <w:rPr>
          <w:i/>
          <w:color w:val="231F20"/>
          <w:sz w:val="20"/>
        </w:rPr>
        <w:t xml:space="preserve"> </w:t>
      </w:r>
      <w:r>
        <w:rPr>
          <w:rFonts w:ascii="Bookman Old Style"/>
          <w:i/>
          <w:color w:val="231F20"/>
          <w:w w:val="89"/>
          <w:sz w:val="20"/>
        </w:rPr>
        <w:t>1</w:t>
      </w:r>
      <w:r>
        <w:rPr>
          <w:i/>
          <w:color w:val="231F20"/>
          <w:w w:val="107"/>
          <w:sz w:val="20"/>
        </w:rPr>
        <w:t>).</w:t>
      </w:r>
      <w:r>
        <w:rPr>
          <w:i/>
          <w:color w:val="231F20"/>
          <w:sz w:val="20"/>
        </w:rPr>
        <w:t xml:space="preserve"> </w:t>
      </w:r>
      <w:r>
        <w:rPr>
          <w:color w:val="231F20"/>
          <w:w w:val="113"/>
          <w:sz w:val="20"/>
        </w:rPr>
        <w:t>L</w:t>
      </w:r>
      <w:r>
        <w:rPr>
          <w:color w:val="231F20"/>
          <w:w w:val="104"/>
          <w:sz w:val="20"/>
        </w:rPr>
        <w:t>o</w:t>
      </w:r>
      <w:r>
        <w:rPr>
          <w:color w:val="231F20"/>
          <w:w w:val="99"/>
          <w:sz w:val="20"/>
        </w:rPr>
        <w:t>n</w:t>
      </w:r>
      <w:r>
        <w:rPr>
          <w:color w:val="231F20"/>
          <w:sz w:val="20"/>
        </w:rPr>
        <w:t>d</w:t>
      </w:r>
      <w:r>
        <w:rPr>
          <w:color w:val="231F20"/>
          <w:w w:val="104"/>
          <w:sz w:val="20"/>
        </w:rPr>
        <w:t>o</w:t>
      </w:r>
      <w:r>
        <w:rPr>
          <w:color w:val="231F20"/>
          <w:w w:val="99"/>
          <w:sz w:val="20"/>
        </w:rPr>
        <w:t>n</w:t>
      </w:r>
      <w:r>
        <w:rPr>
          <w:color w:val="231F20"/>
          <w:w w:val="105"/>
          <w:sz w:val="20"/>
        </w:rPr>
        <w:t>:</w:t>
      </w:r>
      <w:r>
        <w:rPr>
          <w:color w:val="231F20"/>
          <w:sz w:val="20"/>
        </w:rPr>
        <w:t xml:space="preserve"> </w:t>
      </w:r>
      <w:r>
        <w:rPr>
          <w:color w:val="231F20"/>
          <w:w w:val="115"/>
          <w:sz w:val="20"/>
        </w:rPr>
        <w:t>A</w:t>
      </w:r>
      <w:r>
        <w:rPr>
          <w:color w:val="231F20"/>
          <w:w w:val="99"/>
          <w:sz w:val="20"/>
        </w:rPr>
        <w:t>n</w:t>
      </w:r>
      <w:r>
        <w:rPr>
          <w:color w:val="231F20"/>
          <w:w w:val="102"/>
          <w:sz w:val="20"/>
        </w:rPr>
        <w:t>a</w:t>
      </w:r>
      <w:r>
        <w:rPr>
          <w:color w:val="231F20"/>
          <w:w w:val="94"/>
          <w:sz w:val="20"/>
        </w:rPr>
        <w:t>r</w:t>
      </w:r>
      <w:r>
        <w:rPr>
          <w:color w:val="231F20"/>
          <w:sz w:val="20"/>
        </w:rPr>
        <w:t>ch</w:t>
      </w:r>
      <w:r>
        <w:rPr>
          <w:color w:val="231F20"/>
          <w:w w:val="99"/>
          <w:sz w:val="20"/>
        </w:rPr>
        <w:t>y</w:t>
      </w:r>
      <w:r>
        <w:rPr>
          <w:color w:val="231F20"/>
          <w:sz w:val="20"/>
        </w:rPr>
        <w:t xml:space="preserve"> </w:t>
      </w:r>
      <w:r>
        <w:rPr>
          <w:color w:val="231F20"/>
          <w:w w:val="122"/>
          <w:sz w:val="20"/>
        </w:rPr>
        <w:t>M</w:t>
      </w:r>
      <w:r>
        <w:rPr>
          <w:color w:val="231F20"/>
          <w:w w:val="102"/>
          <w:sz w:val="20"/>
        </w:rPr>
        <w:t>a</w:t>
      </w:r>
      <w:r>
        <w:rPr>
          <w:color w:val="231F20"/>
          <w:w w:val="101"/>
          <w:sz w:val="20"/>
        </w:rPr>
        <w:t>g</w:t>
      </w:r>
      <w:r>
        <w:rPr>
          <w:color w:val="231F20"/>
          <w:w w:val="102"/>
          <w:sz w:val="20"/>
        </w:rPr>
        <w:t>a</w:t>
      </w:r>
      <w:r>
        <w:rPr>
          <w:color w:val="231F20"/>
          <w:w w:val="97"/>
          <w:sz w:val="20"/>
        </w:rPr>
        <w:t>z</w:t>
      </w:r>
      <w:r>
        <w:rPr>
          <w:color w:val="231F20"/>
          <w:sz w:val="20"/>
        </w:rPr>
        <w:t>i</w:t>
      </w:r>
      <w:r>
        <w:rPr>
          <w:color w:val="231F20"/>
          <w:w w:val="99"/>
          <w:sz w:val="20"/>
        </w:rPr>
        <w:t>n</w:t>
      </w:r>
      <w:r>
        <w:rPr>
          <w:color w:val="231F20"/>
          <w:w w:val="91"/>
          <w:sz w:val="20"/>
        </w:rPr>
        <w:t>e</w:t>
      </w:r>
      <w:r>
        <w:rPr>
          <w:color w:val="231F20"/>
          <w:w w:val="56"/>
          <w:sz w:val="20"/>
        </w:rPr>
        <w:t xml:space="preserve">/ </w:t>
      </w:r>
      <w:r>
        <w:rPr>
          <w:color w:val="231F20"/>
          <w:w w:val="105"/>
          <w:sz w:val="20"/>
        </w:rPr>
        <w:t>Refract, 1984.</w:t>
      </w:r>
    </w:p>
    <w:p w14:paraId="517D0BB0" w14:textId="77777777" w:rsidR="002653E8" w:rsidRDefault="003115E3">
      <w:pPr>
        <w:spacing w:before="160"/>
        <w:ind w:left="1327"/>
        <w:rPr>
          <w:i/>
          <w:sz w:val="20"/>
        </w:rPr>
      </w:pPr>
      <w:r>
        <w:rPr>
          <w:color w:val="231F20"/>
          <w:w w:val="105"/>
          <w:sz w:val="20"/>
        </w:rPr>
        <w:t xml:space="preserve">Cobler, Sebastien. </w:t>
      </w:r>
      <w:r>
        <w:rPr>
          <w:i/>
          <w:color w:val="231F20"/>
          <w:w w:val="105"/>
          <w:sz w:val="20"/>
        </w:rPr>
        <w:t>Law, Order and Politics in West Germany.</w:t>
      </w:r>
    </w:p>
    <w:p w14:paraId="45365194" w14:textId="77777777" w:rsidR="002653E8" w:rsidRDefault="003115E3">
      <w:pPr>
        <w:pStyle w:val="a3"/>
        <w:spacing w:before="6"/>
        <w:ind w:left="2461"/>
      </w:pPr>
      <w:r>
        <w:rPr>
          <w:color w:val="231F20"/>
          <w:w w:val="105"/>
        </w:rPr>
        <w:t>Harmondsworth, Eng.: Penguin Books, 1978.</w:t>
      </w:r>
    </w:p>
    <w:p w14:paraId="4FE47128" w14:textId="77777777" w:rsidR="002653E8" w:rsidRDefault="003115E3">
      <w:pPr>
        <w:spacing w:before="165" w:line="244" w:lineRule="auto"/>
        <w:ind w:left="2462" w:right="1442" w:hanging="1134"/>
        <w:jc w:val="both"/>
        <w:rPr>
          <w:sz w:val="20"/>
        </w:rPr>
      </w:pPr>
      <w:r>
        <w:rPr>
          <w:color w:val="231F20"/>
          <w:w w:val="105"/>
          <w:sz w:val="20"/>
        </w:rPr>
        <w:t xml:space="preserve">Cobran, Helena. </w:t>
      </w:r>
      <w:r>
        <w:rPr>
          <w:i/>
          <w:color w:val="231F20"/>
          <w:w w:val="105"/>
          <w:sz w:val="20"/>
        </w:rPr>
        <w:t xml:space="preserve">The Palestinian Liberation Organization: People, Power and Politics. </w:t>
      </w:r>
      <w:r>
        <w:rPr>
          <w:color w:val="231F20"/>
          <w:w w:val="105"/>
          <w:sz w:val="20"/>
        </w:rPr>
        <w:t>Cambridge: Cambridge</w:t>
      </w:r>
      <w:r>
        <w:rPr>
          <w:color w:val="231F20"/>
          <w:spacing w:val="-25"/>
          <w:w w:val="105"/>
          <w:sz w:val="20"/>
        </w:rPr>
        <w:t xml:space="preserve"> </w:t>
      </w:r>
      <w:r>
        <w:rPr>
          <w:color w:val="231F20"/>
          <w:w w:val="105"/>
          <w:sz w:val="20"/>
        </w:rPr>
        <w:t>University Press,</w:t>
      </w:r>
      <w:r>
        <w:rPr>
          <w:color w:val="231F20"/>
          <w:spacing w:val="7"/>
          <w:w w:val="105"/>
          <w:sz w:val="20"/>
        </w:rPr>
        <w:t xml:space="preserve"> </w:t>
      </w:r>
      <w:r>
        <w:rPr>
          <w:color w:val="231F20"/>
          <w:spacing w:val="-4"/>
          <w:w w:val="105"/>
          <w:sz w:val="20"/>
        </w:rPr>
        <w:t>1984.</w:t>
      </w:r>
    </w:p>
    <w:p w14:paraId="09D5F5EF" w14:textId="77777777" w:rsidR="002653E8" w:rsidRPr="00846956" w:rsidRDefault="003115E3">
      <w:pPr>
        <w:spacing w:before="163" w:line="244" w:lineRule="auto"/>
        <w:ind w:left="2461" w:right="1145" w:hanging="1134"/>
        <w:rPr>
          <w:sz w:val="20"/>
          <w:lang w:val="de-DE"/>
        </w:rPr>
      </w:pPr>
      <w:r>
        <w:rPr>
          <w:color w:val="231F20"/>
          <w:w w:val="105"/>
          <w:sz w:val="20"/>
        </w:rPr>
        <w:t xml:space="preserve">Croissant, Klaus, ed. </w:t>
      </w:r>
      <w:r>
        <w:rPr>
          <w:i/>
          <w:color w:val="231F20"/>
          <w:w w:val="105"/>
          <w:sz w:val="20"/>
        </w:rPr>
        <w:t xml:space="preserve">à propos du procès Baader-Meinhof, Fraction Armée Rouge : de la torture dans les prisons de la RFA. </w:t>
      </w:r>
      <w:r w:rsidRPr="00846956">
        <w:rPr>
          <w:color w:val="231F20"/>
          <w:w w:val="105"/>
          <w:sz w:val="20"/>
          <w:lang w:val="de-DE"/>
        </w:rPr>
        <w:t>Paris: Christian Bourgeois Éditeur, 1975.</w:t>
      </w:r>
    </w:p>
    <w:p w14:paraId="7048829A" w14:textId="77777777" w:rsidR="002653E8" w:rsidRPr="00846956" w:rsidRDefault="002653E8">
      <w:pPr>
        <w:spacing w:line="244" w:lineRule="auto"/>
        <w:rPr>
          <w:sz w:val="20"/>
          <w:lang w:val="de-DE"/>
        </w:rPr>
        <w:sectPr w:rsidR="002653E8" w:rsidRPr="00846956">
          <w:footerReference w:type="even" r:id="rId551"/>
          <w:footerReference w:type="default" r:id="rId552"/>
          <w:pgSz w:w="8640" w:h="12960"/>
          <w:pgMar w:top="1060" w:right="0" w:bottom="1040" w:left="0" w:header="0" w:footer="850" w:gutter="0"/>
          <w:pgNumType w:start="633"/>
          <w:cols w:space="720"/>
        </w:sectPr>
      </w:pPr>
    </w:p>
    <w:p w14:paraId="28C7314D" w14:textId="77777777" w:rsidR="002653E8" w:rsidRPr="00846956" w:rsidRDefault="003115E3">
      <w:pPr>
        <w:spacing w:before="70"/>
        <w:ind w:left="1147"/>
        <w:rPr>
          <w:sz w:val="20"/>
          <w:lang w:val="de-DE"/>
        </w:rPr>
      </w:pPr>
      <w:r w:rsidRPr="00846956">
        <w:rPr>
          <w:color w:val="231F20"/>
          <w:w w:val="105"/>
          <w:sz w:val="20"/>
          <w:lang w:val="de-DE"/>
        </w:rPr>
        <w:lastRenderedPageBreak/>
        <w:t xml:space="preserve">Dellwo, Karl-Heinz. </w:t>
      </w:r>
      <w:r w:rsidRPr="00846956">
        <w:rPr>
          <w:i/>
          <w:color w:val="231F20"/>
          <w:w w:val="105"/>
          <w:sz w:val="20"/>
          <w:lang w:val="de-DE"/>
        </w:rPr>
        <w:t xml:space="preserve">Das Projektil sind wir. </w:t>
      </w:r>
      <w:r w:rsidRPr="00846956">
        <w:rPr>
          <w:color w:val="231F20"/>
          <w:w w:val="105"/>
          <w:sz w:val="20"/>
          <w:lang w:val="de-DE"/>
        </w:rPr>
        <w:t>Hamburg: Nautilus, 2007.</w:t>
      </w:r>
    </w:p>
    <w:p w14:paraId="7CBB2B6A" w14:textId="77777777" w:rsidR="002653E8" w:rsidRDefault="003115E3">
      <w:pPr>
        <w:spacing w:before="165" w:line="244" w:lineRule="auto"/>
        <w:ind w:left="2281" w:right="1616" w:hanging="1134"/>
        <w:rPr>
          <w:sz w:val="20"/>
        </w:rPr>
      </w:pPr>
      <w:r w:rsidRPr="00846956">
        <w:rPr>
          <w:color w:val="231F20"/>
          <w:w w:val="110"/>
          <w:sz w:val="20"/>
          <w:lang w:val="de-DE"/>
        </w:rPr>
        <w:t>Deutsche-Arabische</w:t>
      </w:r>
      <w:r w:rsidRPr="00846956">
        <w:rPr>
          <w:color w:val="231F20"/>
          <w:spacing w:val="-21"/>
          <w:w w:val="110"/>
          <w:sz w:val="20"/>
          <w:lang w:val="de-DE"/>
        </w:rPr>
        <w:t xml:space="preserve"> </w:t>
      </w:r>
      <w:r w:rsidRPr="00846956">
        <w:rPr>
          <w:color w:val="231F20"/>
          <w:w w:val="110"/>
          <w:sz w:val="20"/>
          <w:lang w:val="de-DE"/>
        </w:rPr>
        <w:t>Gesellschaft</w:t>
      </w:r>
      <w:r w:rsidRPr="00846956">
        <w:rPr>
          <w:color w:val="231F20"/>
          <w:spacing w:val="-21"/>
          <w:w w:val="110"/>
          <w:sz w:val="20"/>
          <w:lang w:val="de-DE"/>
        </w:rPr>
        <w:t xml:space="preserve"> </w:t>
      </w:r>
      <w:r w:rsidRPr="00846956">
        <w:rPr>
          <w:color w:val="231F20"/>
          <w:w w:val="110"/>
          <w:sz w:val="20"/>
          <w:lang w:val="de-DE"/>
        </w:rPr>
        <w:t>der</w:t>
      </w:r>
      <w:r w:rsidRPr="00846956">
        <w:rPr>
          <w:color w:val="231F20"/>
          <w:spacing w:val="-21"/>
          <w:w w:val="110"/>
          <w:sz w:val="20"/>
          <w:lang w:val="de-DE"/>
        </w:rPr>
        <w:t xml:space="preserve"> </w:t>
      </w:r>
      <w:r w:rsidRPr="00846956">
        <w:rPr>
          <w:color w:val="231F20"/>
          <w:w w:val="110"/>
          <w:sz w:val="20"/>
          <w:lang w:val="de-DE"/>
        </w:rPr>
        <w:t>DDR.</w:t>
      </w:r>
      <w:r w:rsidRPr="00846956">
        <w:rPr>
          <w:color w:val="231F20"/>
          <w:spacing w:val="-21"/>
          <w:w w:val="110"/>
          <w:sz w:val="20"/>
          <w:lang w:val="de-DE"/>
        </w:rPr>
        <w:t xml:space="preserve"> </w:t>
      </w:r>
      <w:r>
        <w:rPr>
          <w:i/>
          <w:color w:val="231F20"/>
          <w:spacing w:val="1"/>
          <w:w w:val="110"/>
          <w:sz w:val="20"/>
        </w:rPr>
        <w:t>Friend</w:t>
      </w:r>
      <w:r>
        <w:rPr>
          <w:i/>
          <w:color w:val="231F20"/>
          <w:spacing w:val="-21"/>
          <w:w w:val="110"/>
          <w:sz w:val="20"/>
        </w:rPr>
        <w:t xml:space="preserve"> </w:t>
      </w:r>
      <w:r>
        <w:rPr>
          <w:i/>
          <w:color w:val="231F20"/>
          <w:w w:val="110"/>
          <w:sz w:val="20"/>
        </w:rPr>
        <w:t>and</w:t>
      </w:r>
      <w:r>
        <w:rPr>
          <w:i/>
          <w:color w:val="231F20"/>
          <w:spacing w:val="-21"/>
          <w:w w:val="110"/>
          <w:sz w:val="20"/>
        </w:rPr>
        <w:t xml:space="preserve"> </w:t>
      </w:r>
      <w:r>
        <w:rPr>
          <w:i/>
          <w:color w:val="231F20"/>
          <w:spacing w:val="1"/>
          <w:w w:val="110"/>
          <w:sz w:val="20"/>
        </w:rPr>
        <w:t>Enemy</w:t>
      </w:r>
      <w:r>
        <w:rPr>
          <w:i/>
          <w:color w:val="231F20"/>
          <w:spacing w:val="-21"/>
          <w:w w:val="110"/>
          <w:sz w:val="20"/>
        </w:rPr>
        <w:t xml:space="preserve"> </w:t>
      </w:r>
      <w:r>
        <w:rPr>
          <w:i/>
          <w:color w:val="231F20"/>
          <w:w w:val="110"/>
          <w:sz w:val="20"/>
        </w:rPr>
        <w:t>of the Arabs</w:t>
      </w:r>
      <w:r>
        <w:rPr>
          <w:color w:val="231F20"/>
          <w:w w:val="110"/>
          <w:sz w:val="20"/>
        </w:rPr>
        <w:t xml:space="preserve">: </w:t>
      </w:r>
      <w:r>
        <w:rPr>
          <w:i/>
          <w:color w:val="231F20"/>
          <w:w w:val="110"/>
          <w:sz w:val="20"/>
        </w:rPr>
        <w:t>Facts on the Attitude of the GDR and of West</w:t>
      </w:r>
      <w:r>
        <w:rPr>
          <w:i/>
          <w:color w:val="231F20"/>
          <w:spacing w:val="-21"/>
          <w:w w:val="110"/>
          <w:sz w:val="20"/>
        </w:rPr>
        <w:t xml:space="preserve"> </w:t>
      </w:r>
      <w:r>
        <w:rPr>
          <w:i/>
          <w:color w:val="231F20"/>
          <w:spacing w:val="1"/>
          <w:w w:val="110"/>
          <w:sz w:val="20"/>
        </w:rPr>
        <w:t>Germany</w:t>
      </w:r>
      <w:r>
        <w:rPr>
          <w:i/>
          <w:color w:val="231F20"/>
          <w:spacing w:val="-21"/>
          <w:w w:val="110"/>
          <w:sz w:val="20"/>
        </w:rPr>
        <w:t xml:space="preserve"> </w:t>
      </w:r>
      <w:r>
        <w:rPr>
          <w:i/>
          <w:color w:val="231F20"/>
          <w:w w:val="110"/>
          <w:sz w:val="20"/>
        </w:rPr>
        <w:t>on</w:t>
      </w:r>
      <w:r>
        <w:rPr>
          <w:i/>
          <w:color w:val="231F20"/>
          <w:spacing w:val="-21"/>
          <w:w w:val="110"/>
          <w:sz w:val="20"/>
        </w:rPr>
        <w:t xml:space="preserve"> </w:t>
      </w:r>
      <w:r>
        <w:rPr>
          <w:i/>
          <w:color w:val="231F20"/>
          <w:w w:val="110"/>
          <w:sz w:val="20"/>
        </w:rPr>
        <w:t>the</w:t>
      </w:r>
      <w:r>
        <w:rPr>
          <w:i/>
          <w:color w:val="231F20"/>
          <w:spacing w:val="-21"/>
          <w:w w:val="110"/>
          <w:sz w:val="20"/>
        </w:rPr>
        <w:t xml:space="preserve"> </w:t>
      </w:r>
      <w:r>
        <w:rPr>
          <w:i/>
          <w:color w:val="231F20"/>
          <w:w w:val="110"/>
          <w:sz w:val="20"/>
        </w:rPr>
        <w:t>Imperialist</w:t>
      </w:r>
      <w:r>
        <w:rPr>
          <w:i/>
          <w:color w:val="231F20"/>
          <w:spacing w:val="-21"/>
          <w:w w:val="110"/>
          <w:sz w:val="20"/>
        </w:rPr>
        <w:t xml:space="preserve"> </w:t>
      </w:r>
      <w:r>
        <w:rPr>
          <w:i/>
          <w:color w:val="231F20"/>
          <w:w w:val="110"/>
          <w:sz w:val="20"/>
        </w:rPr>
        <w:t>Aggression</w:t>
      </w:r>
      <w:r>
        <w:rPr>
          <w:i/>
          <w:color w:val="231F20"/>
          <w:spacing w:val="-21"/>
          <w:w w:val="110"/>
          <w:sz w:val="20"/>
        </w:rPr>
        <w:t xml:space="preserve"> </w:t>
      </w:r>
      <w:r>
        <w:rPr>
          <w:i/>
          <w:color w:val="231F20"/>
          <w:w w:val="110"/>
          <w:sz w:val="20"/>
        </w:rPr>
        <w:t>of</w:t>
      </w:r>
      <w:r>
        <w:rPr>
          <w:i/>
          <w:color w:val="231F20"/>
          <w:spacing w:val="-21"/>
          <w:w w:val="110"/>
          <w:sz w:val="20"/>
        </w:rPr>
        <w:t xml:space="preserve"> </w:t>
      </w:r>
      <w:r>
        <w:rPr>
          <w:i/>
          <w:color w:val="231F20"/>
          <w:w w:val="110"/>
          <w:sz w:val="20"/>
        </w:rPr>
        <w:t xml:space="preserve">Israel </w:t>
      </w:r>
      <w:r>
        <w:rPr>
          <w:i/>
          <w:color w:val="231F20"/>
          <w:w w:val="105"/>
          <w:sz w:val="20"/>
        </w:rPr>
        <w:t xml:space="preserve">against the Arab States. </w:t>
      </w:r>
      <w:r>
        <w:rPr>
          <w:color w:val="231F20"/>
          <w:w w:val="105"/>
          <w:sz w:val="20"/>
        </w:rPr>
        <w:t>Dresden, German</w:t>
      </w:r>
      <w:r>
        <w:rPr>
          <w:color w:val="231F20"/>
          <w:spacing w:val="-33"/>
          <w:w w:val="105"/>
          <w:sz w:val="20"/>
        </w:rPr>
        <w:t xml:space="preserve"> </w:t>
      </w:r>
      <w:r>
        <w:rPr>
          <w:color w:val="231F20"/>
          <w:w w:val="105"/>
          <w:sz w:val="20"/>
        </w:rPr>
        <w:t xml:space="preserve">Democratic </w:t>
      </w:r>
      <w:r>
        <w:rPr>
          <w:color w:val="231F20"/>
          <w:w w:val="110"/>
          <w:sz w:val="20"/>
        </w:rPr>
        <w:t>Republic:</w:t>
      </w:r>
      <w:r>
        <w:rPr>
          <w:color w:val="231F20"/>
          <w:spacing w:val="-10"/>
          <w:w w:val="110"/>
          <w:sz w:val="20"/>
        </w:rPr>
        <w:t xml:space="preserve"> </w:t>
      </w:r>
      <w:r>
        <w:rPr>
          <w:color w:val="231F20"/>
          <w:w w:val="110"/>
          <w:sz w:val="20"/>
        </w:rPr>
        <w:t>German-Arab</w:t>
      </w:r>
      <w:r>
        <w:rPr>
          <w:color w:val="231F20"/>
          <w:spacing w:val="-10"/>
          <w:w w:val="110"/>
          <w:sz w:val="20"/>
        </w:rPr>
        <w:t xml:space="preserve"> </w:t>
      </w:r>
      <w:r>
        <w:rPr>
          <w:color w:val="231F20"/>
          <w:w w:val="110"/>
          <w:sz w:val="20"/>
        </w:rPr>
        <w:t>Society</w:t>
      </w:r>
      <w:r>
        <w:rPr>
          <w:color w:val="231F20"/>
          <w:spacing w:val="-10"/>
          <w:w w:val="110"/>
          <w:sz w:val="20"/>
        </w:rPr>
        <w:t xml:space="preserve"> </w:t>
      </w:r>
      <w:r>
        <w:rPr>
          <w:color w:val="231F20"/>
          <w:w w:val="110"/>
          <w:sz w:val="20"/>
        </w:rPr>
        <w:t>of</w:t>
      </w:r>
      <w:r>
        <w:rPr>
          <w:color w:val="231F20"/>
          <w:spacing w:val="-10"/>
          <w:w w:val="110"/>
          <w:sz w:val="20"/>
        </w:rPr>
        <w:t xml:space="preserve"> </w:t>
      </w:r>
      <w:r>
        <w:rPr>
          <w:color w:val="231F20"/>
          <w:w w:val="110"/>
          <w:sz w:val="20"/>
        </w:rPr>
        <w:t>the</w:t>
      </w:r>
      <w:r>
        <w:rPr>
          <w:color w:val="231F20"/>
          <w:spacing w:val="-10"/>
          <w:w w:val="110"/>
          <w:sz w:val="20"/>
        </w:rPr>
        <w:t xml:space="preserve"> </w:t>
      </w:r>
      <w:r>
        <w:rPr>
          <w:color w:val="231F20"/>
          <w:w w:val="110"/>
          <w:sz w:val="20"/>
        </w:rPr>
        <w:t>GDR,</w:t>
      </w:r>
      <w:r>
        <w:rPr>
          <w:color w:val="231F20"/>
          <w:spacing w:val="-10"/>
          <w:w w:val="110"/>
          <w:sz w:val="20"/>
        </w:rPr>
        <w:t xml:space="preserve"> </w:t>
      </w:r>
      <w:r>
        <w:rPr>
          <w:color w:val="231F20"/>
          <w:spacing w:val="-7"/>
          <w:w w:val="110"/>
          <w:sz w:val="20"/>
        </w:rPr>
        <w:t>1967.</w:t>
      </w:r>
    </w:p>
    <w:p w14:paraId="337D768C" w14:textId="77777777" w:rsidR="002653E8" w:rsidRDefault="003115E3">
      <w:pPr>
        <w:spacing w:before="34" w:line="400" w:lineRule="exact"/>
        <w:ind w:left="1148" w:right="1513" w:hanging="1"/>
        <w:rPr>
          <w:i/>
          <w:sz w:val="20"/>
        </w:rPr>
      </w:pPr>
      <w:r w:rsidRPr="00846956">
        <w:rPr>
          <w:color w:val="231F20"/>
          <w:w w:val="105"/>
          <w:sz w:val="20"/>
          <w:lang w:val="de-DE"/>
        </w:rPr>
        <w:t xml:space="preserve">Ditfurth, Jutta. </w:t>
      </w:r>
      <w:r w:rsidRPr="00846956">
        <w:rPr>
          <w:i/>
          <w:color w:val="231F20"/>
          <w:w w:val="105"/>
          <w:sz w:val="20"/>
          <w:lang w:val="de-DE"/>
        </w:rPr>
        <w:t xml:space="preserve">Ulrike Meinhof: Die Biografie. </w:t>
      </w:r>
      <w:r>
        <w:rPr>
          <w:color w:val="231F20"/>
          <w:w w:val="105"/>
          <w:sz w:val="20"/>
        </w:rPr>
        <w:t xml:space="preserve">Berlin: Ullstein, 2007. Dobson, Christopher. </w:t>
      </w:r>
      <w:r>
        <w:rPr>
          <w:i/>
          <w:color w:val="231F20"/>
          <w:w w:val="105"/>
          <w:sz w:val="20"/>
        </w:rPr>
        <w:t>Black September: Its Short, Violent History.</w:t>
      </w:r>
    </w:p>
    <w:p w14:paraId="6F39A835" w14:textId="77777777" w:rsidR="002653E8" w:rsidRDefault="003115E3">
      <w:pPr>
        <w:pStyle w:val="a3"/>
        <w:spacing w:line="204" w:lineRule="exact"/>
        <w:ind w:left="2281"/>
      </w:pPr>
      <w:r>
        <w:rPr>
          <w:color w:val="231F20"/>
          <w:w w:val="105"/>
        </w:rPr>
        <w:t>New york: Macmillan, 1974.</w:t>
      </w:r>
    </w:p>
    <w:p w14:paraId="11F6E0CF" w14:textId="77777777" w:rsidR="002653E8" w:rsidRDefault="003115E3">
      <w:pPr>
        <w:spacing w:before="166" w:line="244" w:lineRule="auto"/>
        <w:ind w:left="2281" w:right="1145" w:hanging="1134"/>
        <w:rPr>
          <w:sz w:val="20"/>
        </w:rPr>
      </w:pPr>
      <w:r>
        <w:rPr>
          <w:color w:val="231F20"/>
          <w:w w:val="105"/>
          <w:sz w:val="20"/>
        </w:rPr>
        <w:t xml:space="preserve">Dosse, François. </w:t>
      </w:r>
      <w:r>
        <w:rPr>
          <w:i/>
          <w:color w:val="231F20"/>
          <w:w w:val="105"/>
          <w:sz w:val="20"/>
        </w:rPr>
        <w:t xml:space="preserve">History of Structuralism. </w:t>
      </w:r>
      <w:r>
        <w:rPr>
          <w:color w:val="231F20"/>
          <w:w w:val="105"/>
          <w:sz w:val="20"/>
        </w:rPr>
        <w:t>Minneapolis: University of Minnesota Press, 1998.</w:t>
      </w:r>
    </w:p>
    <w:p w14:paraId="471B19E0" w14:textId="77777777" w:rsidR="002653E8" w:rsidRPr="00846956" w:rsidRDefault="003115E3">
      <w:pPr>
        <w:spacing w:before="162"/>
        <w:ind w:left="1147"/>
        <w:rPr>
          <w:i/>
          <w:sz w:val="20"/>
          <w:lang w:val="de-DE"/>
        </w:rPr>
      </w:pPr>
      <w:r w:rsidRPr="00846956">
        <w:rPr>
          <w:color w:val="231F20"/>
          <w:w w:val="105"/>
          <w:sz w:val="20"/>
          <w:lang w:val="de-DE"/>
        </w:rPr>
        <w:t xml:space="preserve">Dutschke, Gretchen. </w:t>
      </w:r>
      <w:r w:rsidRPr="00846956">
        <w:rPr>
          <w:i/>
          <w:color w:val="231F20"/>
          <w:w w:val="105"/>
          <w:sz w:val="20"/>
          <w:lang w:val="de-DE"/>
        </w:rPr>
        <w:t>Wir hatten ein barbarisches, schones Leben.</w:t>
      </w:r>
    </w:p>
    <w:p w14:paraId="75BC7473" w14:textId="77777777" w:rsidR="002653E8" w:rsidRPr="00846956" w:rsidRDefault="003115E3">
      <w:pPr>
        <w:pStyle w:val="a3"/>
        <w:spacing w:before="5" w:line="244" w:lineRule="auto"/>
        <w:ind w:left="2281" w:right="1325"/>
        <w:rPr>
          <w:lang w:val="de-DE"/>
        </w:rPr>
      </w:pPr>
      <w:r w:rsidRPr="00846956">
        <w:rPr>
          <w:color w:val="231F20"/>
          <w:w w:val="105"/>
          <w:lang w:val="de-DE"/>
        </w:rPr>
        <w:t xml:space="preserve">Rudi Dutschke. Ein Biographie. Köln: Koln, Kiepenheuer </w:t>
      </w:r>
      <w:r w:rsidRPr="00846956">
        <w:rPr>
          <w:color w:val="231F20"/>
          <w:w w:val="110"/>
          <w:lang w:val="de-DE"/>
        </w:rPr>
        <w:t>&amp; Witsch, 1996.</w:t>
      </w:r>
    </w:p>
    <w:p w14:paraId="59CC43F5" w14:textId="77777777" w:rsidR="002653E8" w:rsidRDefault="003115E3">
      <w:pPr>
        <w:spacing w:before="162"/>
        <w:ind w:left="1148"/>
        <w:rPr>
          <w:sz w:val="20"/>
        </w:rPr>
      </w:pPr>
      <w:r>
        <w:rPr>
          <w:color w:val="231F20"/>
          <w:w w:val="105"/>
          <w:sz w:val="20"/>
        </w:rPr>
        <w:t xml:space="preserve">European Commission of Human Rights. </w:t>
      </w:r>
      <w:r>
        <w:rPr>
          <w:i/>
          <w:color w:val="231F20"/>
          <w:w w:val="105"/>
          <w:sz w:val="20"/>
        </w:rPr>
        <w:t xml:space="preserve">Decisions and Reports. </w:t>
      </w:r>
      <w:r>
        <w:rPr>
          <w:color w:val="231F20"/>
          <w:w w:val="105"/>
          <w:sz w:val="20"/>
        </w:rPr>
        <w:t>14.</w:t>
      </w:r>
    </w:p>
    <w:p w14:paraId="0C57E24D" w14:textId="77777777" w:rsidR="002653E8" w:rsidRDefault="003115E3">
      <w:pPr>
        <w:pStyle w:val="a3"/>
        <w:spacing w:before="5"/>
        <w:ind w:left="2281"/>
      </w:pPr>
      <w:r>
        <w:rPr>
          <w:color w:val="231F20"/>
          <w:w w:val="110"/>
        </w:rPr>
        <w:t>Strasbourg: ECHR, 1979.</w:t>
      </w:r>
    </w:p>
    <w:p w14:paraId="229164B6" w14:textId="77777777" w:rsidR="002653E8" w:rsidRDefault="003115E3">
      <w:pPr>
        <w:spacing w:before="166" w:line="244" w:lineRule="auto"/>
        <w:ind w:left="2282" w:right="1513" w:hanging="1134"/>
        <w:rPr>
          <w:sz w:val="20"/>
        </w:rPr>
      </w:pPr>
      <w:r>
        <w:rPr>
          <w:color w:val="231F20"/>
          <w:w w:val="105"/>
          <w:sz w:val="20"/>
        </w:rPr>
        <w:t xml:space="preserve">Follain, John. </w:t>
      </w:r>
      <w:r>
        <w:rPr>
          <w:i/>
          <w:color w:val="231F20"/>
          <w:w w:val="105"/>
          <w:sz w:val="20"/>
        </w:rPr>
        <w:t xml:space="preserve">Jackal: The Complete Story of the Legendary Terrorist, Carlos The Jackal. </w:t>
      </w:r>
      <w:r>
        <w:rPr>
          <w:color w:val="231F20"/>
          <w:w w:val="105"/>
          <w:sz w:val="20"/>
        </w:rPr>
        <w:t>New york: Arcade Publishing, 1998.</w:t>
      </w:r>
    </w:p>
    <w:p w14:paraId="3ED1718F" w14:textId="77777777" w:rsidR="002653E8" w:rsidRDefault="003115E3">
      <w:pPr>
        <w:spacing w:before="162"/>
        <w:ind w:left="1147"/>
        <w:rPr>
          <w:i/>
          <w:sz w:val="20"/>
        </w:rPr>
      </w:pPr>
      <w:r>
        <w:rPr>
          <w:color w:val="231F20"/>
          <w:w w:val="105"/>
          <w:sz w:val="20"/>
        </w:rPr>
        <w:t xml:space="preserve">Friends of Astid Proll. </w:t>
      </w:r>
      <w:r>
        <w:rPr>
          <w:i/>
          <w:color w:val="231F20"/>
          <w:w w:val="105"/>
          <w:sz w:val="20"/>
        </w:rPr>
        <w:t>Astrid Proll: The case against her extradition.</w:t>
      </w:r>
    </w:p>
    <w:p w14:paraId="03FE53D1" w14:textId="77777777" w:rsidR="002653E8" w:rsidRDefault="003115E3">
      <w:pPr>
        <w:pStyle w:val="a3"/>
        <w:spacing w:before="5"/>
        <w:ind w:left="2281"/>
      </w:pPr>
      <w:r>
        <w:rPr>
          <w:color w:val="231F20"/>
          <w:w w:val="105"/>
        </w:rPr>
        <w:t>London: Friends of Astrid Proll 1978.</w:t>
      </w:r>
    </w:p>
    <w:p w14:paraId="4EE23CBC" w14:textId="77777777" w:rsidR="002653E8" w:rsidRDefault="003115E3">
      <w:pPr>
        <w:spacing w:before="166" w:line="244" w:lineRule="auto"/>
        <w:ind w:left="2282" w:right="1580" w:hanging="1135"/>
        <w:rPr>
          <w:sz w:val="20"/>
        </w:rPr>
      </w:pPr>
      <w:r>
        <w:rPr>
          <w:color w:val="231F20"/>
          <w:w w:val="105"/>
          <w:sz w:val="20"/>
        </w:rPr>
        <w:t xml:space="preserve">Ganser, Daniel. </w:t>
      </w:r>
      <w:r>
        <w:rPr>
          <w:i/>
          <w:color w:val="231F20"/>
          <w:w w:val="105"/>
          <w:sz w:val="20"/>
        </w:rPr>
        <w:t xml:space="preserve">NATO’s Secret Army: Operation Gladio and Terrorism in Western Europe. </w:t>
      </w:r>
      <w:r>
        <w:rPr>
          <w:color w:val="231F20"/>
          <w:w w:val="105"/>
          <w:sz w:val="20"/>
        </w:rPr>
        <w:t>London: Frank Cass, 2005.</w:t>
      </w:r>
    </w:p>
    <w:p w14:paraId="5840E0E5" w14:textId="77777777" w:rsidR="002653E8" w:rsidRPr="00846956" w:rsidRDefault="003115E3">
      <w:pPr>
        <w:spacing w:before="162"/>
        <w:ind w:left="1148"/>
        <w:rPr>
          <w:i/>
          <w:sz w:val="20"/>
          <w:lang w:val="de-DE"/>
        </w:rPr>
      </w:pPr>
      <w:r w:rsidRPr="00846956">
        <w:rPr>
          <w:color w:val="231F20"/>
          <w:w w:val="105"/>
          <w:sz w:val="20"/>
          <w:lang w:val="de-DE"/>
        </w:rPr>
        <w:t xml:space="preserve">Geronimo, </w:t>
      </w:r>
      <w:r w:rsidRPr="00846956">
        <w:rPr>
          <w:i/>
          <w:color w:val="231F20"/>
          <w:w w:val="105"/>
          <w:sz w:val="20"/>
          <w:lang w:val="de-DE"/>
        </w:rPr>
        <w:t>Feuer und Flamme: Zur Geschichte der Autonomen.</w:t>
      </w:r>
    </w:p>
    <w:p w14:paraId="4C00A0E9" w14:textId="77777777" w:rsidR="002653E8" w:rsidRDefault="003115E3">
      <w:pPr>
        <w:pStyle w:val="a3"/>
        <w:spacing w:before="6"/>
        <w:ind w:left="2282"/>
      </w:pPr>
      <w:r>
        <w:rPr>
          <w:color w:val="231F20"/>
          <w:w w:val="105"/>
        </w:rPr>
        <w:t>Berlin: ID-Archiv, 1990.</w:t>
      </w:r>
    </w:p>
    <w:p w14:paraId="4F29DDD0" w14:textId="77777777" w:rsidR="002653E8" w:rsidRDefault="003115E3">
      <w:pPr>
        <w:spacing w:before="165"/>
        <w:ind w:left="1148"/>
        <w:rPr>
          <w:i/>
          <w:sz w:val="20"/>
        </w:rPr>
      </w:pPr>
      <w:r>
        <w:rPr>
          <w:color w:val="231F20"/>
          <w:w w:val="105"/>
          <w:sz w:val="20"/>
        </w:rPr>
        <w:t xml:space="preserve">Hadawi, Sami. </w:t>
      </w:r>
      <w:r>
        <w:rPr>
          <w:i/>
          <w:color w:val="231F20"/>
          <w:w w:val="105"/>
          <w:sz w:val="20"/>
        </w:rPr>
        <w:t>Crime and No Punishment: Zionist-Israeli Terrorism</w:t>
      </w:r>
    </w:p>
    <w:p w14:paraId="142F663B" w14:textId="77777777" w:rsidR="002653E8" w:rsidRDefault="003115E3">
      <w:pPr>
        <w:spacing w:before="6"/>
        <w:ind w:left="2282"/>
        <w:rPr>
          <w:sz w:val="20"/>
        </w:rPr>
      </w:pPr>
      <w:r>
        <w:rPr>
          <w:rFonts w:ascii="Bookman Old Style"/>
          <w:i/>
          <w:color w:val="231F20"/>
          <w:sz w:val="20"/>
        </w:rPr>
        <w:t>1939</w:t>
      </w:r>
      <w:r>
        <w:rPr>
          <w:i/>
          <w:color w:val="231F20"/>
          <w:sz w:val="20"/>
        </w:rPr>
        <w:t>-</w:t>
      </w:r>
      <w:r>
        <w:rPr>
          <w:rFonts w:ascii="Bookman Old Style"/>
          <w:i/>
          <w:color w:val="231F20"/>
          <w:sz w:val="20"/>
        </w:rPr>
        <w:t>1972</w:t>
      </w:r>
      <w:r>
        <w:rPr>
          <w:i/>
          <w:color w:val="231F20"/>
          <w:sz w:val="20"/>
        </w:rPr>
        <w:t xml:space="preserve">. </w:t>
      </w:r>
      <w:r>
        <w:rPr>
          <w:color w:val="231F20"/>
          <w:sz w:val="20"/>
        </w:rPr>
        <w:t>Beirut: Palestine Research Centre, 1972.</w:t>
      </w:r>
    </w:p>
    <w:p w14:paraId="7971ADF6" w14:textId="77777777" w:rsidR="002653E8" w:rsidRDefault="003115E3">
      <w:pPr>
        <w:spacing w:before="163" w:line="244" w:lineRule="auto"/>
        <w:ind w:left="2282" w:right="1676" w:hanging="1134"/>
        <w:jc w:val="both"/>
        <w:rPr>
          <w:sz w:val="20"/>
        </w:rPr>
      </w:pPr>
      <w:r>
        <w:rPr>
          <w:color w:val="231F20"/>
          <w:w w:val="105"/>
          <w:sz w:val="20"/>
        </w:rPr>
        <w:t xml:space="preserve">Halliday, Fred. </w:t>
      </w:r>
      <w:r>
        <w:rPr>
          <w:i/>
          <w:color w:val="231F20"/>
          <w:w w:val="105"/>
          <w:sz w:val="20"/>
        </w:rPr>
        <w:t xml:space="preserve">Revolution and Foreign Policy: The Case of South </w:t>
      </w:r>
      <w:r>
        <w:rPr>
          <w:i/>
          <w:color w:val="231F20"/>
          <w:sz w:val="20"/>
        </w:rPr>
        <w:t xml:space="preserve">Yemen </w:t>
      </w:r>
      <w:r>
        <w:rPr>
          <w:rFonts w:ascii="Bookman Old Style"/>
          <w:i/>
          <w:color w:val="231F20"/>
          <w:sz w:val="20"/>
        </w:rPr>
        <w:t>1967</w:t>
      </w:r>
      <w:r>
        <w:rPr>
          <w:i/>
          <w:color w:val="231F20"/>
          <w:sz w:val="20"/>
        </w:rPr>
        <w:t>-</w:t>
      </w:r>
      <w:r>
        <w:rPr>
          <w:rFonts w:ascii="Bookman Old Style"/>
          <w:i/>
          <w:color w:val="231F20"/>
          <w:sz w:val="20"/>
        </w:rPr>
        <w:t>1987</w:t>
      </w:r>
      <w:r>
        <w:rPr>
          <w:i/>
          <w:color w:val="231F20"/>
          <w:sz w:val="20"/>
        </w:rPr>
        <w:t xml:space="preserve">. </w:t>
      </w:r>
      <w:r>
        <w:rPr>
          <w:color w:val="231F20"/>
          <w:sz w:val="20"/>
        </w:rPr>
        <w:t xml:space="preserve">Cambridge: Cambridge University </w:t>
      </w:r>
      <w:r>
        <w:rPr>
          <w:color w:val="231F20"/>
          <w:w w:val="105"/>
          <w:sz w:val="20"/>
        </w:rPr>
        <w:t>Press, 1990.</w:t>
      </w:r>
    </w:p>
    <w:p w14:paraId="192BAFFA" w14:textId="77777777" w:rsidR="002653E8" w:rsidRDefault="002653E8">
      <w:pPr>
        <w:spacing w:line="244" w:lineRule="auto"/>
        <w:jc w:val="both"/>
        <w:rPr>
          <w:sz w:val="20"/>
        </w:rPr>
        <w:sectPr w:rsidR="002653E8">
          <w:pgSz w:w="8640" w:h="12960"/>
          <w:pgMar w:top="1060" w:right="0" w:bottom="1040" w:left="0" w:header="0" w:footer="850" w:gutter="0"/>
          <w:cols w:space="720"/>
        </w:sectPr>
      </w:pPr>
    </w:p>
    <w:p w14:paraId="3C0ADC2B" w14:textId="77777777" w:rsidR="002653E8" w:rsidRDefault="003115E3">
      <w:pPr>
        <w:pStyle w:val="a3"/>
        <w:spacing w:before="70" w:line="244" w:lineRule="auto"/>
        <w:ind w:left="2461" w:right="1457" w:hanging="1134"/>
      </w:pPr>
      <w:r>
        <w:rPr>
          <w:color w:val="231F20"/>
        </w:rPr>
        <w:lastRenderedPageBreak/>
        <w:t xml:space="preserve">Hanshew, Karrin. “Militant Democracy, Civil Disobedience,  and </w:t>
      </w:r>
      <w:r>
        <w:rPr>
          <w:color w:val="231F20"/>
          <w:spacing w:val="-3"/>
        </w:rPr>
        <w:t xml:space="preserve">Terror: </w:t>
      </w:r>
      <w:r>
        <w:rPr>
          <w:color w:val="231F20"/>
        </w:rPr>
        <w:t xml:space="preserve">Political Violence and the </w:t>
      </w:r>
      <w:r>
        <w:rPr>
          <w:color w:val="231F20"/>
          <w:spacing w:val="-3"/>
        </w:rPr>
        <w:t xml:space="preserve">West </w:t>
      </w:r>
      <w:r>
        <w:rPr>
          <w:color w:val="231F20"/>
        </w:rPr>
        <w:t xml:space="preserve">German </w:t>
      </w:r>
      <w:r>
        <w:rPr>
          <w:color w:val="231F20"/>
          <w:spacing w:val="1"/>
        </w:rPr>
        <w:t xml:space="preserve">Left </w:t>
      </w:r>
      <w:r>
        <w:rPr>
          <w:color w:val="231F20"/>
        </w:rPr>
        <w:t xml:space="preserve">during  the  ‘German  Autumn,’  </w:t>
      </w:r>
      <w:r>
        <w:rPr>
          <w:color w:val="231F20"/>
          <w:spacing w:val="-3"/>
        </w:rPr>
        <w:t xml:space="preserve">1977”  </w:t>
      </w:r>
      <w:r>
        <w:rPr>
          <w:color w:val="231F20"/>
        </w:rPr>
        <w:t xml:space="preserve">in  </w:t>
      </w:r>
      <w:r>
        <w:rPr>
          <w:i/>
          <w:color w:val="231F20"/>
          <w:spacing w:val="-3"/>
        </w:rPr>
        <w:t xml:space="preserve">War  </w:t>
      </w:r>
      <w:r>
        <w:rPr>
          <w:i/>
          <w:color w:val="231F20"/>
        </w:rPr>
        <w:t xml:space="preserve">and Terror in Contemporary Historical  Perspective,  </w:t>
      </w:r>
      <w:r>
        <w:rPr>
          <w:color w:val="231F20"/>
          <w:spacing w:val="1"/>
        </w:rPr>
        <w:t xml:space="preserve">Harry </w:t>
      </w:r>
      <w:r>
        <w:rPr>
          <w:color w:val="231F20"/>
        </w:rPr>
        <w:t>and Helen Gray Humanities and Program Series 14, Washington DC: American Institute for Contemporary German Studies Humanities, Johns Hopkins University, 2003.</w:t>
      </w:r>
    </w:p>
    <w:p w14:paraId="07AD2901" w14:textId="77777777" w:rsidR="002653E8" w:rsidRDefault="003115E3">
      <w:pPr>
        <w:spacing w:before="166" w:line="244" w:lineRule="auto"/>
        <w:ind w:left="2461" w:right="1145" w:hanging="1134"/>
        <w:rPr>
          <w:sz w:val="20"/>
        </w:rPr>
      </w:pPr>
      <w:r>
        <w:rPr>
          <w:color w:val="231F20"/>
          <w:w w:val="105"/>
          <w:sz w:val="20"/>
        </w:rPr>
        <w:t xml:space="preserve">Herminghouse, Patricia A. and Magda Mueller, eds. </w:t>
      </w:r>
      <w:r>
        <w:rPr>
          <w:i/>
          <w:color w:val="231F20"/>
          <w:w w:val="105"/>
          <w:sz w:val="20"/>
        </w:rPr>
        <w:t xml:space="preserve">German Feminist Writing. </w:t>
      </w:r>
      <w:r>
        <w:rPr>
          <w:color w:val="231F20"/>
          <w:w w:val="105"/>
          <w:sz w:val="20"/>
        </w:rPr>
        <w:t>New york: Continuum, 2001.</w:t>
      </w:r>
    </w:p>
    <w:p w14:paraId="190AB480" w14:textId="77777777" w:rsidR="002653E8" w:rsidRPr="00846956" w:rsidRDefault="003115E3">
      <w:pPr>
        <w:spacing w:before="162" w:line="244" w:lineRule="auto"/>
        <w:ind w:left="2461" w:right="1145" w:hanging="1134"/>
        <w:rPr>
          <w:sz w:val="20"/>
          <w:lang w:val="de-DE"/>
        </w:rPr>
      </w:pPr>
      <w:r>
        <w:rPr>
          <w:color w:val="231F20"/>
          <w:w w:val="105"/>
          <w:sz w:val="20"/>
        </w:rPr>
        <w:t xml:space="preserve">Higham, Charles. </w:t>
      </w:r>
      <w:r>
        <w:rPr>
          <w:i/>
          <w:color w:val="231F20"/>
          <w:w w:val="105"/>
          <w:sz w:val="20"/>
        </w:rPr>
        <w:t xml:space="preserve">Trading with the Enemy: An Exposé of the NaziAmerican Money Plot, </w:t>
      </w:r>
      <w:r>
        <w:rPr>
          <w:rFonts w:ascii="Bookman Old Style" w:hAnsi="Bookman Old Style"/>
          <w:i/>
          <w:color w:val="231F20"/>
          <w:w w:val="105"/>
          <w:sz w:val="20"/>
        </w:rPr>
        <w:t>1933</w:t>
      </w:r>
      <w:r>
        <w:rPr>
          <w:i/>
          <w:color w:val="231F20"/>
          <w:w w:val="105"/>
          <w:sz w:val="20"/>
        </w:rPr>
        <w:t>-</w:t>
      </w:r>
      <w:r>
        <w:rPr>
          <w:rFonts w:ascii="Bookman Old Style" w:hAnsi="Bookman Old Style"/>
          <w:i/>
          <w:color w:val="231F20"/>
          <w:w w:val="105"/>
          <w:sz w:val="20"/>
        </w:rPr>
        <w:t>1949</w:t>
      </w:r>
      <w:r>
        <w:rPr>
          <w:i/>
          <w:color w:val="231F20"/>
          <w:w w:val="105"/>
          <w:sz w:val="20"/>
        </w:rPr>
        <w:t xml:space="preserve">. </w:t>
      </w:r>
      <w:r w:rsidRPr="00846956">
        <w:rPr>
          <w:color w:val="231F20"/>
          <w:w w:val="105"/>
          <w:sz w:val="20"/>
          <w:lang w:val="de-DE"/>
        </w:rPr>
        <w:t>New york: Delacorte Press, 1983.</w:t>
      </w:r>
    </w:p>
    <w:p w14:paraId="4ABB61A0" w14:textId="77777777" w:rsidR="002653E8" w:rsidRDefault="003115E3">
      <w:pPr>
        <w:spacing w:before="161" w:line="244" w:lineRule="auto"/>
        <w:ind w:left="2461" w:right="1325" w:hanging="1134"/>
        <w:rPr>
          <w:sz w:val="20"/>
        </w:rPr>
      </w:pPr>
      <w:r w:rsidRPr="00846956">
        <w:rPr>
          <w:color w:val="231F20"/>
          <w:spacing w:val="2"/>
          <w:sz w:val="20"/>
          <w:lang w:val="de-DE"/>
        </w:rPr>
        <w:t xml:space="preserve">HKS </w:t>
      </w:r>
      <w:r w:rsidRPr="00846956">
        <w:rPr>
          <w:color w:val="231F20"/>
          <w:sz w:val="20"/>
          <w:lang w:val="de-DE"/>
        </w:rPr>
        <w:t xml:space="preserve">13. </w:t>
      </w:r>
      <w:r w:rsidRPr="00846956">
        <w:rPr>
          <w:i/>
          <w:color w:val="231F20"/>
          <w:sz w:val="20"/>
          <w:lang w:val="de-DE"/>
        </w:rPr>
        <w:t xml:space="preserve">vorwärts bis zum nieder  mit:  30  Jahre  Plakate unkontrollierter Bewegungen. </w:t>
      </w:r>
      <w:r>
        <w:rPr>
          <w:color w:val="231F20"/>
          <w:sz w:val="20"/>
        </w:rPr>
        <w:t xml:space="preserve">Berlin: </w:t>
      </w:r>
      <w:r>
        <w:rPr>
          <w:color w:val="231F20"/>
          <w:spacing w:val="-3"/>
          <w:sz w:val="20"/>
        </w:rPr>
        <w:t xml:space="preserve">Verlag  </w:t>
      </w:r>
      <w:r>
        <w:rPr>
          <w:color w:val="231F20"/>
          <w:sz w:val="20"/>
        </w:rPr>
        <w:t xml:space="preserve">Assoziation </w:t>
      </w:r>
      <w:r>
        <w:rPr>
          <w:color w:val="231F20"/>
          <w:spacing w:val="2"/>
          <w:sz w:val="20"/>
        </w:rPr>
        <w:t>A,</w:t>
      </w:r>
      <w:r>
        <w:rPr>
          <w:color w:val="231F20"/>
          <w:spacing w:val="10"/>
          <w:sz w:val="20"/>
        </w:rPr>
        <w:t xml:space="preserve"> </w:t>
      </w:r>
      <w:r>
        <w:rPr>
          <w:color w:val="231F20"/>
          <w:sz w:val="20"/>
        </w:rPr>
        <w:t>2001.</w:t>
      </w:r>
    </w:p>
    <w:p w14:paraId="119D09C6" w14:textId="77777777" w:rsidR="002653E8" w:rsidRPr="00846956" w:rsidRDefault="003115E3">
      <w:pPr>
        <w:spacing w:before="162" w:line="244" w:lineRule="auto"/>
        <w:ind w:left="2461" w:right="1479" w:hanging="1134"/>
        <w:rPr>
          <w:sz w:val="20"/>
          <w:lang w:val="de-DE"/>
        </w:rPr>
      </w:pPr>
      <w:r>
        <w:rPr>
          <w:color w:val="231F20"/>
          <w:w w:val="105"/>
          <w:sz w:val="20"/>
        </w:rPr>
        <w:t xml:space="preserve">Hockenos, Paul, </w:t>
      </w:r>
      <w:r>
        <w:rPr>
          <w:i/>
          <w:color w:val="231F20"/>
          <w:w w:val="105"/>
          <w:sz w:val="20"/>
        </w:rPr>
        <w:t xml:space="preserve">Joschka Fischer and the Making of the Berlin Republic: an Alternative History of Postwar Germany. </w:t>
      </w:r>
      <w:r w:rsidRPr="00846956">
        <w:rPr>
          <w:color w:val="231F20"/>
          <w:w w:val="105"/>
          <w:sz w:val="20"/>
          <w:lang w:val="de-DE"/>
        </w:rPr>
        <w:t>Oxford: Oxford University Press, 2008.</w:t>
      </w:r>
    </w:p>
    <w:p w14:paraId="508CB1D1" w14:textId="77777777" w:rsidR="002653E8" w:rsidRPr="00846956" w:rsidRDefault="003115E3">
      <w:pPr>
        <w:spacing w:before="163" w:line="244" w:lineRule="auto"/>
        <w:ind w:left="2461" w:right="1509" w:hanging="1134"/>
        <w:rPr>
          <w:sz w:val="20"/>
          <w:lang w:val="de-DE"/>
        </w:rPr>
      </w:pPr>
      <w:r w:rsidRPr="00846956">
        <w:rPr>
          <w:color w:val="231F20"/>
          <w:w w:val="105"/>
          <w:sz w:val="20"/>
          <w:lang w:val="de-DE"/>
        </w:rPr>
        <w:t xml:space="preserve">Holderberg, Angelika ed., </w:t>
      </w:r>
      <w:r w:rsidRPr="00846956">
        <w:rPr>
          <w:i/>
          <w:color w:val="231F20"/>
          <w:w w:val="105"/>
          <w:sz w:val="20"/>
          <w:lang w:val="de-DE"/>
        </w:rPr>
        <w:t xml:space="preserve">Nach dem bewaffneten Kampf. </w:t>
      </w:r>
      <w:r w:rsidRPr="00846956">
        <w:rPr>
          <w:color w:val="231F20"/>
          <w:w w:val="105"/>
          <w:sz w:val="20"/>
          <w:lang w:val="de-DE"/>
        </w:rPr>
        <w:t>Gießen: Psychsozial-Verlag, 2007.</w:t>
      </w:r>
    </w:p>
    <w:p w14:paraId="408E844E" w14:textId="77777777" w:rsidR="002653E8" w:rsidRDefault="003115E3">
      <w:pPr>
        <w:spacing w:before="161" w:line="244" w:lineRule="auto"/>
        <w:ind w:left="2461" w:right="1325" w:hanging="1134"/>
        <w:rPr>
          <w:sz w:val="20"/>
        </w:rPr>
      </w:pPr>
      <w:r w:rsidRPr="00846956">
        <w:rPr>
          <w:color w:val="231F20"/>
          <w:w w:val="105"/>
          <w:sz w:val="20"/>
          <w:lang w:val="de-DE"/>
        </w:rPr>
        <w:t xml:space="preserve">Hoshino Altbach, Edith, ed. </w:t>
      </w:r>
      <w:r>
        <w:rPr>
          <w:i/>
          <w:color w:val="231F20"/>
          <w:w w:val="105"/>
          <w:sz w:val="20"/>
        </w:rPr>
        <w:t xml:space="preserve">German Feminism: Readings in Politics and Literature. </w:t>
      </w:r>
      <w:r>
        <w:rPr>
          <w:color w:val="231F20"/>
          <w:w w:val="105"/>
          <w:sz w:val="20"/>
        </w:rPr>
        <w:t>Albany, Ny: State University of New york Press, 1984.</w:t>
      </w:r>
    </w:p>
    <w:p w14:paraId="367674F6" w14:textId="77777777" w:rsidR="002653E8" w:rsidRDefault="003115E3">
      <w:pPr>
        <w:spacing w:before="163"/>
        <w:ind w:left="1327"/>
        <w:rPr>
          <w:i/>
          <w:sz w:val="20"/>
        </w:rPr>
      </w:pPr>
      <w:r>
        <w:rPr>
          <w:color w:val="231F20"/>
          <w:w w:val="105"/>
          <w:sz w:val="20"/>
        </w:rPr>
        <w:t xml:space="preserve">Hülsberg, Werner. </w:t>
      </w:r>
      <w:r>
        <w:rPr>
          <w:i/>
          <w:color w:val="231F20"/>
          <w:w w:val="105"/>
          <w:sz w:val="20"/>
        </w:rPr>
        <w:t>The German Greens: A Social and Political Profile.</w:t>
      </w:r>
    </w:p>
    <w:p w14:paraId="7971C5EC" w14:textId="77777777" w:rsidR="002653E8" w:rsidRDefault="003115E3">
      <w:pPr>
        <w:pStyle w:val="a3"/>
        <w:spacing w:before="5"/>
        <w:ind w:left="2461"/>
      </w:pPr>
      <w:r>
        <w:rPr>
          <w:color w:val="231F20"/>
          <w:w w:val="105"/>
        </w:rPr>
        <w:t>Translated by Gus Fagan. London: Verso, 1988.</w:t>
      </w:r>
    </w:p>
    <w:p w14:paraId="1CC2F6A8" w14:textId="77777777" w:rsidR="002653E8" w:rsidRDefault="003115E3">
      <w:pPr>
        <w:spacing w:before="166" w:line="244" w:lineRule="auto"/>
        <w:ind w:left="2461" w:right="1479" w:hanging="1134"/>
        <w:rPr>
          <w:sz w:val="20"/>
        </w:rPr>
      </w:pPr>
      <w:r>
        <w:rPr>
          <w:color w:val="231F20"/>
          <w:w w:val="105"/>
          <w:sz w:val="20"/>
        </w:rPr>
        <w:t xml:space="preserve">Kalb, Madeleine G. </w:t>
      </w:r>
      <w:r>
        <w:rPr>
          <w:i/>
          <w:color w:val="231F20"/>
          <w:w w:val="105"/>
          <w:sz w:val="20"/>
        </w:rPr>
        <w:t xml:space="preserve">The Congo Cables: The Cold War in Africa from Eisenhower to Kennedy. </w:t>
      </w:r>
      <w:r>
        <w:rPr>
          <w:color w:val="231F20"/>
          <w:w w:val="105"/>
          <w:sz w:val="20"/>
        </w:rPr>
        <w:t>New york: Macmillan, 1982.</w:t>
      </w:r>
    </w:p>
    <w:p w14:paraId="7E7D51AF" w14:textId="77777777" w:rsidR="002653E8" w:rsidRDefault="003115E3">
      <w:pPr>
        <w:spacing w:before="162"/>
        <w:ind w:left="1327"/>
        <w:rPr>
          <w:i/>
          <w:sz w:val="20"/>
        </w:rPr>
      </w:pPr>
      <w:r>
        <w:rPr>
          <w:color w:val="231F20"/>
          <w:w w:val="105"/>
          <w:sz w:val="20"/>
        </w:rPr>
        <w:t xml:space="preserve">Kallam, Mahmud Abdallah. </w:t>
      </w:r>
      <w:r>
        <w:rPr>
          <w:i/>
          <w:color w:val="231F20"/>
          <w:w w:val="105"/>
          <w:sz w:val="20"/>
        </w:rPr>
        <w:t>Sabra wa Shatila: dhakirat ad-Damm.</w:t>
      </w:r>
    </w:p>
    <w:p w14:paraId="28B3B1CB" w14:textId="77777777" w:rsidR="002653E8" w:rsidRDefault="003115E3">
      <w:pPr>
        <w:pStyle w:val="a3"/>
        <w:spacing w:before="5"/>
        <w:ind w:left="2461"/>
      </w:pPr>
      <w:r>
        <w:rPr>
          <w:color w:val="231F20"/>
        </w:rPr>
        <w:t>Beirut: Beisan Publishing.</w:t>
      </w:r>
    </w:p>
    <w:p w14:paraId="10B87F1B" w14:textId="77777777" w:rsidR="002653E8" w:rsidRDefault="003115E3">
      <w:pPr>
        <w:spacing w:before="166" w:line="244" w:lineRule="auto"/>
        <w:ind w:left="2461" w:right="1325" w:hanging="1134"/>
        <w:rPr>
          <w:sz w:val="20"/>
        </w:rPr>
      </w:pPr>
      <w:r>
        <w:rPr>
          <w:color w:val="231F20"/>
          <w:w w:val="105"/>
          <w:sz w:val="20"/>
        </w:rPr>
        <w:t xml:space="preserve">Katsiaficas, Georgy. </w:t>
      </w:r>
      <w:r>
        <w:rPr>
          <w:i/>
          <w:color w:val="231F20"/>
          <w:w w:val="105"/>
          <w:sz w:val="20"/>
        </w:rPr>
        <w:t xml:space="preserve">The Subversion of Politics: European Autonomous Social Movements and the Decolonization of </w:t>
      </w:r>
      <w:r>
        <w:rPr>
          <w:i/>
          <w:color w:val="231F20"/>
          <w:spacing w:val="1"/>
          <w:w w:val="105"/>
          <w:sz w:val="20"/>
        </w:rPr>
        <w:t xml:space="preserve">Everyday </w:t>
      </w:r>
      <w:r>
        <w:rPr>
          <w:i/>
          <w:color w:val="231F20"/>
          <w:w w:val="105"/>
          <w:sz w:val="20"/>
        </w:rPr>
        <w:t xml:space="preserve">Life. </w:t>
      </w:r>
      <w:r>
        <w:rPr>
          <w:color w:val="231F20"/>
          <w:w w:val="105"/>
          <w:sz w:val="20"/>
        </w:rPr>
        <w:t xml:space="preserve">Oakland: </w:t>
      </w:r>
      <w:r>
        <w:rPr>
          <w:color w:val="231F20"/>
          <w:spacing w:val="2"/>
          <w:w w:val="105"/>
          <w:sz w:val="20"/>
        </w:rPr>
        <w:t xml:space="preserve">AK </w:t>
      </w:r>
      <w:r>
        <w:rPr>
          <w:color w:val="231F20"/>
          <w:w w:val="105"/>
          <w:sz w:val="20"/>
        </w:rPr>
        <w:t>Press,</w:t>
      </w:r>
      <w:r>
        <w:rPr>
          <w:color w:val="231F20"/>
          <w:spacing w:val="17"/>
          <w:w w:val="105"/>
          <w:sz w:val="20"/>
        </w:rPr>
        <w:t xml:space="preserve"> </w:t>
      </w:r>
      <w:r>
        <w:rPr>
          <w:color w:val="231F20"/>
          <w:w w:val="105"/>
          <w:sz w:val="20"/>
        </w:rPr>
        <w:t>2006.</w:t>
      </w:r>
    </w:p>
    <w:p w14:paraId="10F0F7CB" w14:textId="77777777" w:rsidR="002653E8" w:rsidRDefault="002653E8">
      <w:pPr>
        <w:spacing w:line="244" w:lineRule="auto"/>
        <w:rPr>
          <w:sz w:val="20"/>
        </w:rPr>
        <w:sectPr w:rsidR="002653E8">
          <w:pgSz w:w="8640" w:h="12960"/>
          <w:pgMar w:top="1060" w:right="0" w:bottom="1040" w:left="0" w:header="0" w:footer="850" w:gutter="0"/>
          <w:cols w:space="720"/>
        </w:sectPr>
      </w:pPr>
    </w:p>
    <w:p w14:paraId="075ED714" w14:textId="77777777" w:rsidR="002653E8" w:rsidRPr="00846956" w:rsidRDefault="003115E3">
      <w:pPr>
        <w:spacing w:before="70" w:line="244" w:lineRule="auto"/>
        <w:ind w:left="2281" w:right="1580" w:hanging="1134"/>
        <w:rPr>
          <w:sz w:val="20"/>
          <w:lang w:val="de-DE"/>
        </w:rPr>
      </w:pPr>
      <w:r>
        <w:rPr>
          <w:color w:val="231F20"/>
          <w:w w:val="105"/>
          <w:sz w:val="20"/>
        </w:rPr>
        <w:lastRenderedPageBreak/>
        <w:t xml:space="preserve">Klein, Aaron J. </w:t>
      </w:r>
      <w:r>
        <w:rPr>
          <w:i/>
          <w:color w:val="231F20"/>
          <w:w w:val="105"/>
          <w:sz w:val="20"/>
        </w:rPr>
        <w:t xml:space="preserve">Striking Back: the </w:t>
      </w:r>
      <w:r>
        <w:rPr>
          <w:rFonts w:ascii="Bookman Old Style" w:hAnsi="Bookman Old Style"/>
          <w:i/>
          <w:color w:val="231F20"/>
          <w:w w:val="105"/>
          <w:sz w:val="20"/>
        </w:rPr>
        <w:t xml:space="preserve">1972 </w:t>
      </w:r>
      <w:r>
        <w:rPr>
          <w:i/>
          <w:color w:val="231F20"/>
          <w:w w:val="105"/>
          <w:sz w:val="20"/>
        </w:rPr>
        <w:t xml:space="preserve">Munich Olympics Massacre and Israel’s Deadly Response. </w:t>
      </w:r>
      <w:r w:rsidRPr="00846956">
        <w:rPr>
          <w:color w:val="231F20"/>
          <w:w w:val="105"/>
          <w:sz w:val="20"/>
          <w:lang w:val="de-DE"/>
        </w:rPr>
        <w:t>New york: Random House, 2005.</w:t>
      </w:r>
    </w:p>
    <w:p w14:paraId="5C6DD3CF" w14:textId="77777777" w:rsidR="002653E8" w:rsidRPr="00846956" w:rsidRDefault="003115E3">
      <w:pPr>
        <w:spacing w:before="160" w:line="244" w:lineRule="auto"/>
        <w:ind w:left="2281" w:right="1145" w:hanging="1134"/>
        <w:rPr>
          <w:sz w:val="20"/>
          <w:lang w:val="de-DE"/>
        </w:rPr>
      </w:pPr>
      <w:r w:rsidRPr="00846956">
        <w:rPr>
          <w:color w:val="231F20"/>
          <w:w w:val="105"/>
          <w:sz w:val="20"/>
          <w:lang w:val="de-DE"/>
        </w:rPr>
        <w:t xml:space="preserve">Komitees gegen Folter. </w:t>
      </w:r>
      <w:r w:rsidRPr="00846956">
        <w:rPr>
          <w:i/>
          <w:color w:val="231F20"/>
          <w:w w:val="105"/>
          <w:sz w:val="20"/>
          <w:lang w:val="de-DE"/>
        </w:rPr>
        <w:t xml:space="preserve">Der Kampf Gegen die Vernichtungshaft. </w:t>
      </w:r>
      <w:r w:rsidRPr="00846956">
        <w:rPr>
          <w:color w:val="231F20"/>
          <w:w w:val="105"/>
          <w:sz w:val="20"/>
          <w:lang w:val="de-DE"/>
        </w:rPr>
        <w:t>(n.p., n.d.)</w:t>
      </w:r>
    </w:p>
    <w:p w14:paraId="7C639937" w14:textId="77777777" w:rsidR="002653E8" w:rsidRDefault="003115E3">
      <w:pPr>
        <w:spacing w:before="162" w:line="244" w:lineRule="auto"/>
        <w:ind w:left="2281" w:right="1848" w:hanging="1134"/>
        <w:rPr>
          <w:sz w:val="20"/>
        </w:rPr>
      </w:pPr>
      <w:r w:rsidRPr="00846956">
        <w:rPr>
          <w:color w:val="231F20"/>
          <w:sz w:val="20"/>
          <w:lang w:val="de-DE"/>
        </w:rPr>
        <w:t xml:space="preserve">Kramer, David. </w:t>
      </w:r>
      <w:r>
        <w:rPr>
          <w:color w:val="231F20"/>
          <w:sz w:val="20"/>
        </w:rPr>
        <w:t xml:space="preserve">“Ulrike Meinhof: </w:t>
      </w:r>
      <w:r>
        <w:rPr>
          <w:color w:val="231F20"/>
          <w:spacing w:val="2"/>
          <w:sz w:val="20"/>
        </w:rPr>
        <w:t xml:space="preserve">An </w:t>
      </w:r>
      <w:r>
        <w:rPr>
          <w:color w:val="231F20"/>
          <w:sz w:val="20"/>
        </w:rPr>
        <w:t xml:space="preserve">Emancipated Terrorist?” in </w:t>
      </w:r>
      <w:r>
        <w:rPr>
          <w:i/>
          <w:color w:val="231F20"/>
          <w:sz w:val="20"/>
        </w:rPr>
        <w:t xml:space="preserve">European Women on the </w:t>
      </w:r>
      <w:r>
        <w:rPr>
          <w:i/>
          <w:color w:val="231F20"/>
          <w:spacing w:val="1"/>
          <w:sz w:val="20"/>
        </w:rPr>
        <w:t xml:space="preserve">Left: </w:t>
      </w:r>
      <w:r>
        <w:rPr>
          <w:i/>
          <w:color w:val="231F20"/>
          <w:sz w:val="20"/>
        </w:rPr>
        <w:t xml:space="preserve">Socialism, </w:t>
      </w:r>
      <w:r>
        <w:rPr>
          <w:i/>
          <w:color w:val="231F20"/>
          <w:spacing w:val="1"/>
          <w:sz w:val="20"/>
        </w:rPr>
        <w:t xml:space="preserve">Feminism, </w:t>
      </w:r>
      <w:r>
        <w:rPr>
          <w:i/>
          <w:color w:val="231F20"/>
          <w:sz w:val="20"/>
        </w:rPr>
        <w:t xml:space="preserve">and the Problems Faced  by  Political  Women,  </w:t>
      </w:r>
      <w:r>
        <w:rPr>
          <w:rFonts w:ascii="Bookman Old Style" w:hAnsi="Bookman Old Style"/>
          <w:i/>
          <w:color w:val="231F20"/>
          <w:sz w:val="20"/>
        </w:rPr>
        <w:t xml:space="preserve">1880 </w:t>
      </w:r>
      <w:r>
        <w:rPr>
          <w:i/>
          <w:color w:val="231F20"/>
          <w:sz w:val="20"/>
        </w:rPr>
        <w:t xml:space="preserve">to the Present. </w:t>
      </w:r>
      <w:r>
        <w:rPr>
          <w:color w:val="231F20"/>
          <w:sz w:val="20"/>
        </w:rPr>
        <w:t xml:space="preserve">Jane Slaughter and Robert Kern, eds. Contributions in </w:t>
      </w:r>
      <w:r>
        <w:rPr>
          <w:color w:val="231F20"/>
          <w:spacing w:val="-4"/>
          <w:sz w:val="20"/>
        </w:rPr>
        <w:t xml:space="preserve">Women’s </w:t>
      </w:r>
      <w:r>
        <w:rPr>
          <w:color w:val="231F20"/>
          <w:sz w:val="20"/>
        </w:rPr>
        <w:t>Studies. Westport Conn.: Greenwood Press</w:t>
      </w:r>
      <w:r>
        <w:rPr>
          <w:color w:val="231F20"/>
          <w:spacing w:val="21"/>
          <w:sz w:val="20"/>
        </w:rPr>
        <w:t xml:space="preserve"> </w:t>
      </w:r>
      <w:r>
        <w:rPr>
          <w:color w:val="231F20"/>
          <w:spacing w:val="-6"/>
          <w:sz w:val="20"/>
        </w:rPr>
        <w:t>1981.</w:t>
      </w:r>
    </w:p>
    <w:p w14:paraId="13F9DE33" w14:textId="77777777" w:rsidR="002653E8" w:rsidRDefault="003115E3">
      <w:pPr>
        <w:spacing w:before="163" w:line="244" w:lineRule="auto"/>
        <w:ind w:left="2281" w:right="1596" w:hanging="1134"/>
        <w:jc w:val="both"/>
        <w:rPr>
          <w:sz w:val="20"/>
        </w:rPr>
      </w:pPr>
      <w:r>
        <w:rPr>
          <w:color w:val="231F20"/>
          <w:w w:val="105"/>
          <w:sz w:val="20"/>
        </w:rPr>
        <w:t xml:space="preserve">Krippendorf, Ekkert and </w:t>
      </w:r>
      <w:r>
        <w:rPr>
          <w:color w:val="231F20"/>
          <w:spacing w:val="-3"/>
          <w:w w:val="105"/>
          <w:sz w:val="20"/>
        </w:rPr>
        <w:t xml:space="preserve">Volker </w:t>
      </w:r>
      <w:r>
        <w:rPr>
          <w:color w:val="231F20"/>
          <w:w w:val="105"/>
          <w:sz w:val="20"/>
        </w:rPr>
        <w:t xml:space="preserve">Rittberger, eds. </w:t>
      </w:r>
      <w:r>
        <w:rPr>
          <w:i/>
          <w:color w:val="231F20"/>
          <w:w w:val="105"/>
          <w:sz w:val="20"/>
        </w:rPr>
        <w:t xml:space="preserve">The Foreign Policy of West </w:t>
      </w:r>
      <w:r>
        <w:rPr>
          <w:i/>
          <w:color w:val="231F20"/>
          <w:spacing w:val="1"/>
          <w:w w:val="105"/>
          <w:sz w:val="20"/>
        </w:rPr>
        <w:t xml:space="preserve">Germany: </w:t>
      </w:r>
      <w:r>
        <w:rPr>
          <w:i/>
          <w:color w:val="231F20"/>
          <w:w w:val="105"/>
          <w:sz w:val="20"/>
        </w:rPr>
        <w:t xml:space="preserve">Formation and </w:t>
      </w:r>
      <w:r>
        <w:rPr>
          <w:i/>
          <w:color w:val="231F20"/>
          <w:spacing w:val="1"/>
          <w:w w:val="105"/>
          <w:sz w:val="20"/>
        </w:rPr>
        <w:t xml:space="preserve">Contents. </w:t>
      </w:r>
      <w:r>
        <w:rPr>
          <w:color w:val="231F20"/>
          <w:w w:val="105"/>
          <w:sz w:val="20"/>
        </w:rPr>
        <w:t xml:space="preserve">London: SAGE Publications, </w:t>
      </w:r>
      <w:r>
        <w:rPr>
          <w:color w:val="231F20"/>
          <w:spacing w:val="-4"/>
          <w:w w:val="105"/>
          <w:sz w:val="20"/>
        </w:rPr>
        <w:t>1980.</w:t>
      </w:r>
    </w:p>
    <w:p w14:paraId="73CE10E2" w14:textId="77777777" w:rsidR="002653E8" w:rsidRDefault="003115E3">
      <w:pPr>
        <w:spacing w:before="162" w:line="244" w:lineRule="auto"/>
        <w:ind w:left="2282" w:right="1580" w:hanging="1134"/>
        <w:rPr>
          <w:sz w:val="20"/>
        </w:rPr>
      </w:pPr>
      <w:r>
        <w:rPr>
          <w:color w:val="231F20"/>
          <w:sz w:val="20"/>
        </w:rPr>
        <w:t xml:space="preserve">Commission internationale d’enquête sur la mort d’Ulrike Meinhof.  </w:t>
      </w:r>
      <w:r>
        <w:rPr>
          <w:i/>
          <w:color w:val="231F20"/>
          <w:spacing w:val="2"/>
          <w:sz w:val="20"/>
        </w:rPr>
        <w:t xml:space="preserve">La </w:t>
      </w:r>
      <w:r>
        <w:rPr>
          <w:i/>
          <w:color w:val="231F20"/>
          <w:sz w:val="20"/>
        </w:rPr>
        <w:t xml:space="preserve">Mort d’Ulrike Meinhof: </w:t>
      </w:r>
      <w:r>
        <w:rPr>
          <w:i/>
          <w:color w:val="231F20"/>
          <w:spacing w:val="1"/>
          <w:sz w:val="20"/>
        </w:rPr>
        <w:t xml:space="preserve">Rapport </w:t>
      </w:r>
      <w:r>
        <w:rPr>
          <w:i/>
          <w:color w:val="231F20"/>
          <w:sz w:val="20"/>
        </w:rPr>
        <w:t xml:space="preserve">de </w:t>
      </w:r>
      <w:r>
        <w:rPr>
          <w:i/>
          <w:color w:val="231F20"/>
          <w:spacing w:val="1"/>
          <w:sz w:val="20"/>
        </w:rPr>
        <w:t xml:space="preserve">la </w:t>
      </w:r>
      <w:r>
        <w:rPr>
          <w:i/>
          <w:color w:val="231F20"/>
          <w:sz w:val="20"/>
        </w:rPr>
        <w:t xml:space="preserve">Commission international d’enquête. </w:t>
      </w:r>
      <w:r>
        <w:rPr>
          <w:color w:val="231F20"/>
          <w:sz w:val="20"/>
        </w:rPr>
        <w:t>Paris: Librairie François Maspero,</w:t>
      </w:r>
      <w:r>
        <w:rPr>
          <w:color w:val="231F20"/>
          <w:spacing w:val="10"/>
          <w:sz w:val="20"/>
        </w:rPr>
        <w:t xml:space="preserve"> </w:t>
      </w:r>
      <w:r>
        <w:rPr>
          <w:color w:val="231F20"/>
          <w:spacing w:val="-5"/>
          <w:sz w:val="20"/>
        </w:rPr>
        <w:t>1979.</w:t>
      </w:r>
    </w:p>
    <w:p w14:paraId="436A9D72" w14:textId="77777777" w:rsidR="002653E8" w:rsidRDefault="003115E3">
      <w:pPr>
        <w:spacing w:before="164"/>
        <w:ind w:left="1148"/>
        <w:rPr>
          <w:sz w:val="20"/>
        </w:rPr>
      </w:pPr>
      <w:r>
        <w:rPr>
          <w:color w:val="231F20"/>
          <w:sz w:val="20"/>
        </w:rPr>
        <w:t xml:space="preserve">Langer, Bernd. </w:t>
      </w:r>
      <w:r>
        <w:rPr>
          <w:i/>
          <w:color w:val="231F20"/>
          <w:sz w:val="20"/>
        </w:rPr>
        <w:t xml:space="preserve">Art as Resistance. </w:t>
      </w:r>
      <w:r>
        <w:rPr>
          <w:color w:val="231F20"/>
          <w:sz w:val="20"/>
        </w:rPr>
        <w:t>Translated by Anti-Fascist Forum.</w:t>
      </w:r>
    </w:p>
    <w:p w14:paraId="6C26F541" w14:textId="77777777" w:rsidR="002653E8" w:rsidRPr="00846956" w:rsidRDefault="003115E3">
      <w:pPr>
        <w:pStyle w:val="a3"/>
        <w:spacing w:before="5"/>
        <w:ind w:left="2282"/>
        <w:rPr>
          <w:lang w:val="de-DE"/>
        </w:rPr>
      </w:pPr>
      <w:r w:rsidRPr="00846956">
        <w:rPr>
          <w:color w:val="231F20"/>
          <w:w w:val="105"/>
          <w:lang w:val="de-DE"/>
        </w:rPr>
        <w:t>Göttingen: Aktiv-Dr. und Verl., 1998.</w:t>
      </w:r>
    </w:p>
    <w:p w14:paraId="2D9BAC76" w14:textId="77777777" w:rsidR="002653E8" w:rsidRDefault="003115E3">
      <w:pPr>
        <w:spacing w:before="166" w:line="244" w:lineRule="auto"/>
        <w:ind w:left="2282" w:right="1580" w:hanging="1134"/>
        <w:rPr>
          <w:sz w:val="20"/>
        </w:rPr>
      </w:pPr>
      <w:r>
        <w:rPr>
          <w:color w:val="231F20"/>
          <w:w w:val="105"/>
          <w:sz w:val="20"/>
        </w:rPr>
        <w:t xml:space="preserve">Lavy, George. </w:t>
      </w:r>
      <w:r>
        <w:rPr>
          <w:i/>
          <w:color w:val="231F20"/>
          <w:w w:val="105"/>
          <w:sz w:val="20"/>
        </w:rPr>
        <w:t xml:space="preserve">Germany and Israel: Moral Debt and National Interest. </w:t>
      </w:r>
      <w:r>
        <w:rPr>
          <w:color w:val="231F20"/>
          <w:w w:val="105"/>
          <w:sz w:val="20"/>
        </w:rPr>
        <w:t>London: Frank Cass, 1996.</w:t>
      </w:r>
    </w:p>
    <w:p w14:paraId="4833E96F" w14:textId="77777777" w:rsidR="002653E8" w:rsidRDefault="003115E3">
      <w:pPr>
        <w:spacing w:before="162" w:line="244" w:lineRule="auto"/>
        <w:ind w:left="2282" w:right="1580" w:hanging="1134"/>
        <w:rPr>
          <w:sz w:val="20"/>
        </w:rPr>
      </w:pPr>
      <w:r>
        <w:rPr>
          <w:color w:val="231F20"/>
          <w:w w:val="105"/>
          <w:sz w:val="20"/>
        </w:rPr>
        <w:t xml:space="preserve">Lee, Butch. </w:t>
      </w:r>
      <w:r>
        <w:rPr>
          <w:i/>
          <w:color w:val="231F20"/>
          <w:w w:val="105"/>
          <w:sz w:val="20"/>
        </w:rPr>
        <w:t xml:space="preserve">Jailbreak Out Of History: The Re-Biography of Harriet Tubman. </w:t>
      </w:r>
      <w:r>
        <w:rPr>
          <w:color w:val="231F20"/>
          <w:w w:val="105"/>
          <w:sz w:val="20"/>
        </w:rPr>
        <w:t>Montreal: Kersplebedeb Publishing, 2000.</w:t>
      </w:r>
    </w:p>
    <w:p w14:paraId="0A8F1481" w14:textId="77777777" w:rsidR="002653E8" w:rsidRDefault="003115E3">
      <w:pPr>
        <w:spacing w:before="161" w:line="244" w:lineRule="auto"/>
        <w:ind w:left="2282" w:right="1580" w:hanging="1134"/>
        <w:rPr>
          <w:sz w:val="20"/>
        </w:rPr>
      </w:pPr>
      <w:r>
        <w:rPr>
          <w:color w:val="231F20"/>
          <w:w w:val="105"/>
          <w:sz w:val="20"/>
        </w:rPr>
        <w:t xml:space="preserve">Lee, Martin. </w:t>
      </w:r>
      <w:r>
        <w:rPr>
          <w:i/>
          <w:color w:val="231F20"/>
          <w:w w:val="105"/>
          <w:sz w:val="20"/>
        </w:rPr>
        <w:t xml:space="preserve">The Beast Reawakens. </w:t>
      </w:r>
      <w:r>
        <w:rPr>
          <w:color w:val="231F20"/>
          <w:w w:val="105"/>
          <w:sz w:val="20"/>
        </w:rPr>
        <w:t>Boston: Little, Brown and Company, 1997.</w:t>
      </w:r>
    </w:p>
    <w:p w14:paraId="2E124FCA" w14:textId="77777777" w:rsidR="002653E8" w:rsidRDefault="003115E3">
      <w:pPr>
        <w:pStyle w:val="a3"/>
        <w:spacing w:before="162" w:line="244" w:lineRule="auto"/>
        <w:ind w:left="2282" w:right="1440" w:hanging="1134"/>
        <w:jc w:val="both"/>
      </w:pPr>
      <w:r>
        <w:rPr>
          <w:color w:val="231F20"/>
          <w:w w:val="105"/>
        </w:rPr>
        <w:t xml:space="preserve">Metz, Helen Chapin. Library of Congress Federal Research Division. </w:t>
      </w:r>
      <w:r>
        <w:rPr>
          <w:i/>
          <w:color w:val="231F20"/>
          <w:w w:val="105"/>
        </w:rPr>
        <w:t xml:space="preserve">Israel, A Country Study. </w:t>
      </w:r>
      <w:r>
        <w:rPr>
          <w:color w:val="231F20"/>
          <w:w w:val="105"/>
        </w:rPr>
        <w:t>Whitefish, Montana: Kessinger publishing, 2004.</w:t>
      </w:r>
    </w:p>
    <w:p w14:paraId="0F8BB155" w14:textId="77777777" w:rsidR="002653E8" w:rsidRDefault="003115E3">
      <w:pPr>
        <w:spacing w:before="162" w:line="244" w:lineRule="auto"/>
        <w:ind w:left="2282" w:right="1579" w:hanging="1134"/>
        <w:rPr>
          <w:sz w:val="20"/>
        </w:rPr>
      </w:pPr>
      <w:r>
        <w:rPr>
          <w:color w:val="231F20"/>
          <w:w w:val="110"/>
          <w:sz w:val="20"/>
        </w:rPr>
        <w:t>MacDonald,</w:t>
      </w:r>
      <w:r>
        <w:rPr>
          <w:color w:val="231F20"/>
          <w:spacing w:val="-22"/>
          <w:w w:val="110"/>
          <w:sz w:val="20"/>
        </w:rPr>
        <w:t xml:space="preserve"> </w:t>
      </w:r>
      <w:r>
        <w:rPr>
          <w:color w:val="231F20"/>
          <w:w w:val="110"/>
          <w:sz w:val="20"/>
        </w:rPr>
        <w:t>Eileen.</w:t>
      </w:r>
      <w:r>
        <w:rPr>
          <w:color w:val="231F20"/>
          <w:spacing w:val="-22"/>
          <w:w w:val="110"/>
          <w:sz w:val="20"/>
        </w:rPr>
        <w:t xml:space="preserve"> </w:t>
      </w:r>
      <w:r>
        <w:rPr>
          <w:i/>
          <w:color w:val="231F20"/>
          <w:w w:val="110"/>
          <w:sz w:val="20"/>
        </w:rPr>
        <w:t>Shoot</w:t>
      </w:r>
      <w:r>
        <w:rPr>
          <w:i/>
          <w:color w:val="231F20"/>
          <w:spacing w:val="-22"/>
          <w:w w:val="110"/>
          <w:sz w:val="20"/>
        </w:rPr>
        <w:t xml:space="preserve"> </w:t>
      </w:r>
      <w:r>
        <w:rPr>
          <w:i/>
          <w:color w:val="231F20"/>
          <w:w w:val="110"/>
          <w:sz w:val="20"/>
        </w:rPr>
        <w:t>the</w:t>
      </w:r>
      <w:r>
        <w:rPr>
          <w:i/>
          <w:color w:val="231F20"/>
          <w:spacing w:val="-22"/>
          <w:w w:val="110"/>
          <w:sz w:val="20"/>
        </w:rPr>
        <w:t xml:space="preserve"> </w:t>
      </w:r>
      <w:r>
        <w:rPr>
          <w:i/>
          <w:color w:val="231F20"/>
          <w:w w:val="110"/>
          <w:sz w:val="20"/>
        </w:rPr>
        <w:t>Women</w:t>
      </w:r>
      <w:r>
        <w:rPr>
          <w:i/>
          <w:color w:val="231F20"/>
          <w:spacing w:val="-22"/>
          <w:w w:val="110"/>
          <w:sz w:val="20"/>
        </w:rPr>
        <w:t xml:space="preserve"> </w:t>
      </w:r>
      <w:r>
        <w:rPr>
          <w:i/>
          <w:color w:val="231F20"/>
          <w:w w:val="110"/>
          <w:sz w:val="20"/>
        </w:rPr>
        <w:t>First.</w:t>
      </w:r>
      <w:r>
        <w:rPr>
          <w:i/>
          <w:color w:val="231F20"/>
          <w:spacing w:val="-22"/>
          <w:w w:val="110"/>
          <w:sz w:val="20"/>
        </w:rPr>
        <w:t xml:space="preserve"> </w:t>
      </w:r>
      <w:r>
        <w:rPr>
          <w:color w:val="231F20"/>
          <w:w w:val="110"/>
          <w:sz w:val="20"/>
        </w:rPr>
        <w:t>London:</w:t>
      </w:r>
      <w:r>
        <w:rPr>
          <w:color w:val="231F20"/>
          <w:spacing w:val="-22"/>
          <w:w w:val="110"/>
          <w:sz w:val="20"/>
        </w:rPr>
        <w:t xml:space="preserve"> </w:t>
      </w:r>
      <w:r>
        <w:rPr>
          <w:color w:val="231F20"/>
          <w:w w:val="110"/>
          <w:sz w:val="20"/>
        </w:rPr>
        <w:t>Arrow</w:t>
      </w:r>
      <w:r>
        <w:rPr>
          <w:color w:val="231F20"/>
          <w:spacing w:val="-22"/>
          <w:w w:val="110"/>
          <w:sz w:val="20"/>
        </w:rPr>
        <w:t xml:space="preserve"> </w:t>
      </w:r>
      <w:r>
        <w:rPr>
          <w:color w:val="231F20"/>
          <w:w w:val="110"/>
          <w:sz w:val="20"/>
        </w:rPr>
        <w:t>Books Ltd.,</w:t>
      </w:r>
      <w:r>
        <w:rPr>
          <w:color w:val="231F20"/>
          <w:spacing w:val="5"/>
          <w:w w:val="110"/>
          <w:sz w:val="20"/>
        </w:rPr>
        <w:t xml:space="preserve"> </w:t>
      </w:r>
      <w:r>
        <w:rPr>
          <w:color w:val="231F20"/>
          <w:spacing w:val="-6"/>
          <w:w w:val="110"/>
          <w:sz w:val="20"/>
        </w:rPr>
        <w:t>1991.</w:t>
      </w:r>
    </w:p>
    <w:p w14:paraId="7D1EBF26" w14:textId="77777777" w:rsidR="002653E8" w:rsidRDefault="003115E3">
      <w:pPr>
        <w:spacing w:before="162" w:line="244" w:lineRule="auto"/>
        <w:ind w:left="2281" w:right="1580" w:hanging="1134"/>
        <w:rPr>
          <w:sz w:val="20"/>
        </w:rPr>
      </w:pPr>
      <w:r>
        <w:rPr>
          <w:color w:val="231F20"/>
          <w:w w:val="105"/>
          <w:sz w:val="20"/>
        </w:rPr>
        <w:t xml:space="preserve">Major, Patrick. </w:t>
      </w:r>
      <w:r>
        <w:rPr>
          <w:i/>
          <w:color w:val="231F20"/>
          <w:w w:val="105"/>
          <w:sz w:val="20"/>
        </w:rPr>
        <w:t xml:space="preserve">The Death of the KPD: Communism and AntiCommunism in West Germany, </w:t>
      </w:r>
      <w:r>
        <w:rPr>
          <w:rFonts w:ascii="Bookman Old Style"/>
          <w:i/>
          <w:color w:val="231F20"/>
          <w:w w:val="105"/>
          <w:sz w:val="20"/>
        </w:rPr>
        <w:t>1945</w:t>
      </w:r>
      <w:r>
        <w:rPr>
          <w:i/>
          <w:color w:val="231F20"/>
          <w:w w:val="105"/>
          <w:sz w:val="20"/>
        </w:rPr>
        <w:t>-</w:t>
      </w:r>
      <w:r>
        <w:rPr>
          <w:rFonts w:ascii="Bookman Old Style"/>
          <w:i/>
          <w:color w:val="231F20"/>
          <w:w w:val="105"/>
          <w:sz w:val="20"/>
        </w:rPr>
        <w:t>1956</w:t>
      </w:r>
      <w:r>
        <w:rPr>
          <w:i/>
          <w:color w:val="231F20"/>
          <w:w w:val="105"/>
          <w:sz w:val="20"/>
        </w:rPr>
        <w:t xml:space="preserve">. </w:t>
      </w:r>
      <w:r>
        <w:rPr>
          <w:color w:val="231F20"/>
          <w:w w:val="105"/>
          <w:sz w:val="20"/>
        </w:rPr>
        <w:t>Oxford: Clarendon Press, 1997.</w:t>
      </w:r>
    </w:p>
    <w:p w14:paraId="1F981AA1" w14:textId="77777777" w:rsidR="002653E8" w:rsidRDefault="002653E8">
      <w:pPr>
        <w:spacing w:line="244" w:lineRule="auto"/>
        <w:rPr>
          <w:sz w:val="20"/>
        </w:rPr>
        <w:sectPr w:rsidR="002653E8">
          <w:pgSz w:w="8640" w:h="12960"/>
          <w:pgMar w:top="1060" w:right="0" w:bottom="1040" w:left="0" w:header="0" w:footer="850" w:gutter="0"/>
          <w:cols w:space="720"/>
        </w:sectPr>
      </w:pPr>
    </w:p>
    <w:p w14:paraId="294255DA" w14:textId="77777777" w:rsidR="002653E8" w:rsidRDefault="003115E3">
      <w:pPr>
        <w:spacing w:before="70" w:line="244" w:lineRule="auto"/>
        <w:ind w:left="2462" w:right="1513" w:hanging="1135"/>
        <w:rPr>
          <w:sz w:val="20"/>
        </w:rPr>
      </w:pPr>
      <w:r>
        <w:rPr>
          <w:color w:val="231F20"/>
          <w:w w:val="105"/>
          <w:sz w:val="20"/>
        </w:rPr>
        <w:lastRenderedPageBreak/>
        <w:t xml:space="preserve">Marcuse, Herbert. </w:t>
      </w:r>
      <w:r>
        <w:rPr>
          <w:i/>
          <w:color w:val="231F20"/>
          <w:w w:val="105"/>
          <w:sz w:val="20"/>
        </w:rPr>
        <w:t xml:space="preserve">Counterrevolution and Revolt. </w:t>
      </w:r>
      <w:r>
        <w:rPr>
          <w:color w:val="231F20"/>
          <w:w w:val="105"/>
          <w:sz w:val="20"/>
        </w:rPr>
        <w:t>Boston: Beacon Press, 1989.</w:t>
      </w:r>
    </w:p>
    <w:p w14:paraId="70E44AFC" w14:textId="77777777" w:rsidR="002653E8" w:rsidRDefault="003115E3">
      <w:pPr>
        <w:spacing w:before="161" w:line="244" w:lineRule="auto"/>
        <w:ind w:left="2462" w:right="1340" w:hanging="1134"/>
        <w:rPr>
          <w:sz w:val="20"/>
        </w:rPr>
      </w:pPr>
      <w:r>
        <w:rPr>
          <w:color w:val="231F20"/>
          <w:w w:val="105"/>
          <w:sz w:val="20"/>
        </w:rPr>
        <w:t xml:space="preserve">Meyer, Matt, ed. </w:t>
      </w:r>
      <w:r>
        <w:rPr>
          <w:i/>
          <w:color w:val="231F20"/>
          <w:spacing w:val="1"/>
          <w:w w:val="105"/>
          <w:sz w:val="20"/>
        </w:rPr>
        <w:t xml:space="preserve">Let </w:t>
      </w:r>
      <w:r>
        <w:rPr>
          <w:i/>
          <w:color w:val="231F20"/>
          <w:w w:val="105"/>
          <w:sz w:val="20"/>
        </w:rPr>
        <w:t xml:space="preserve">Freedom Ring: A  Collection  of  Documents from the Movements to Free </w:t>
      </w:r>
      <w:r>
        <w:rPr>
          <w:i/>
          <w:color w:val="231F20"/>
          <w:spacing w:val="3"/>
          <w:w w:val="105"/>
          <w:sz w:val="20"/>
        </w:rPr>
        <w:t xml:space="preserve">U.S. </w:t>
      </w:r>
      <w:r>
        <w:rPr>
          <w:i/>
          <w:color w:val="231F20"/>
          <w:w w:val="105"/>
          <w:sz w:val="20"/>
        </w:rPr>
        <w:t xml:space="preserve">Political Prisoners. </w:t>
      </w:r>
      <w:r>
        <w:rPr>
          <w:color w:val="231F20"/>
          <w:spacing w:val="-1"/>
          <w:w w:val="122"/>
          <w:sz w:val="20"/>
        </w:rPr>
        <w:t>M</w:t>
      </w:r>
      <w:r>
        <w:rPr>
          <w:color w:val="231F20"/>
          <w:spacing w:val="-1"/>
          <w:w w:val="104"/>
          <w:sz w:val="20"/>
        </w:rPr>
        <w:t>o</w:t>
      </w:r>
      <w:r>
        <w:rPr>
          <w:color w:val="231F20"/>
          <w:spacing w:val="-2"/>
          <w:w w:val="99"/>
          <w:sz w:val="20"/>
        </w:rPr>
        <w:t>n</w:t>
      </w:r>
      <w:r>
        <w:rPr>
          <w:color w:val="231F20"/>
          <w:spacing w:val="3"/>
          <w:w w:val="98"/>
          <w:sz w:val="20"/>
        </w:rPr>
        <w:t>t</w:t>
      </w:r>
      <w:r>
        <w:rPr>
          <w:color w:val="231F20"/>
          <w:spacing w:val="-1"/>
          <w:w w:val="94"/>
          <w:sz w:val="20"/>
        </w:rPr>
        <w:t>r</w:t>
      </w:r>
      <w:r>
        <w:rPr>
          <w:color w:val="231F20"/>
          <w:spacing w:val="1"/>
          <w:w w:val="91"/>
          <w:sz w:val="20"/>
        </w:rPr>
        <w:t>e</w:t>
      </w:r>
      <w:r>
        <w:rPr>
          <w:color w:val="231F20"/>
          <w:spacing w:val="2"/>
          <w:w w:val="102"/>
          <w:sz w:val="20"/>
        </w:rPr>
        <w:t>a</w:t>
      </w:r>
      <w:r>
        <w:rPr>
          <w:color w:val="231F20"/>
          <w:spacing w:val="8"/>
          <w:w w:val="102"/>
          <w:sz w:val="20"/>
        </w:rPr>
        <w:t>l</w:t>
      </w:r>
      <w:r>
        <w:rPr>
          <w:color w:val="231F20"/>
          <w:w w:val="56"/>
          <w:sz w:val="20"/>
        </w:rPr>
        <w:t>/</w:t>
      </w:r>
      <w:r>
        <w:rPr>
          <w:color w:val="231F20"/>
          <w:w w:val="127"/>
          <w:sz w:val="20"/>
        </w:rPr>
        <w:t>O</w:t>
      </w:r>
      <w:r>
        <w:rPr>
          <w:color w:val="231F20"/>
          <w:spacing w:val="2"/>
          <w:w w:val="102"/>
          <w:sz w:val="20"/>
        </w:rPr>
        <w:t>a</w:t>
      </w:r>
      <w:r>
        <w:rPr>
          <w:color w:val="231F20"/>
          <w:spacing w:val="3"/>
          <w:w w:val="106"/>
          <w:sz w:val="20"/>
        </w:rPr>
        <w:t>k</w:t>
      </w:r>
      <w:r>
        <w:rPr>
          <w:color w:val="231F20"/>
          <w:w w:val="102"/>
          <w:sz w:val="20"/>
        </w:rPr>
        <w:t>l</w:t>
      </w:r>
      <w:r>
        <w:rPr>
          <w:color w:val="231F20"/>
          <w:spacing w:val="2"/>
          <w:w w:val="102"/>
          <w:sz w:val="20"/>
        </w:rPr>
        <w:t>a</w:t>
      </w:r>
      <w:r>
        <w:rPr>
          <w:color w:val="231F20"/>
          <w:spacing w:val="-1"/>
          <w:w w:val="99"/>
          <w:sz w:val="20"/>
        </w:rPr>
        <w:t>n</w:t>
      </w:r>
      <w:r>
        <w:rPr>
          <w:color w:val="231F20"/>
          <w:sz w:val="20"/>
        </w:rPr>
        <w:t>d</w:t>
      </w:r>
      <w:r>
        <w:rPr>
          <w:color w:val="231F20"/>
          <w:w w:val="105"/>
          <w:sz w:val="20"/>
        </w:rPr>
        <w:t>:</w:t>
      </w:r>
      <w:r>
        <w:rPr>
          <w:color w:val="231F20"/>
          <w:spacing w:val="10"/>
          <w:sz w:val="20"/>
        </w:rPr>
        <w:t xml:space="preserve"> </w:t>
      </w:r>
      <w:r>
        <w:rPr>
          <w:color w:val="231F20"/>
          <w:w w:val="114"/>
          <w:sz w:val="20"/>
        </w:rPr>
        <w:t>K</w:t>
      </w:r>
      <w:r>
        <w:rPr>
          <w:color w:val="231F20"/>
          <w:w w:val="92"/>
          <w:sz w:val="20"/>
        </w:rPr>
        <w:t>er</w:t>
      </w:r>
      <w:r>
        <w:rPr>
          <w:color w:val="231F20"/>
          <w:spacing w:val="-1"/>
          <w:w w:val="90"/>
          <w:sz w:val="20"/>
        </w:rPr>
        <w:t>s</w:t>
      </w:r>
      <w:r>
        <w:rPr>
          <w:color w:val="231F20"/>
          <w:spacing w:val="-2"/>
          <w:w w:val="99"/>
          <w:sz w:val="20"/>
        </w:rPr>
        <w:t>p</w:t>
      </w:r>
      <w:r>
        <w:rPr>
          <w:color w:val="231F20"/>
          <w:spacing w:val="-1"/>
          <w:w w:val="102"/>
          <w:sz w:val="20"/>
        </w:rPr>
        <w:t>l</w:t>
      </w:r>
      <w:r>
        <w:rPr>
          <w:color w:val="231F20"/>
          <w:spacing w:val="-1"/>
          <w:w w:val="91"/>
          <w:sz w:val="20"/>
        </w:rPr>
        <w:t>e</w:t>
      </w:r>
      <w:r>
        <w:rPr>
          <w:color w:val="231F20"/>
          <w:spacing w:val="1"/>
          <w:w w:val="101"/>
          <w:sz w:val="20"/>
        </w:rPr>
        <w:t>b</w:t>
      </w:r>
      <w:r>
        <w:rPr>
          <w:color w:val="231F20"/>
          <w:w w:val="91"/>
          <w:sz w:val="20"/>
        </w:rPr>
        <w:t>e</w:t>
      </w:r>
      <w:r>
        <w:rPr>
          <w:color w:val="231F20"/>
          <w:sz w:val="20"/>
        </w:rPr>
        <w:t>d</w:t>
      </w:r>
      <w:r>
        <w:rPr>
          <w:color w:val="231F20"/>
          <w:spacing w:val="-1"/>
          <w:w w:val="91"/>
          <w:sz w:val="20"/>
        </w:rPr>
        <w:t>e</w:t>
      </w:r>
      <w:r>
        <w:rPr>
          <w:color w:val="231F20"/>
          <w:w w:val="101"/>
          <w:sz w:val="20"/>
        </w:rPr>
        <w:t>b</w:t>
      </w:r>
      <w:r>
        <w:rPr>
          <w:color w:val="231F20"/>
          <w:spacing w:val="10"/>
          <w:sz w:val="20"/>
        </w:rPr>
        <w:t xml:space="preserve"> </w:t>
      </w:r>
      <w:r>
        <w:rPr>
          <w:color w:val="231F20"/>
          <w:spacing w:val="3"/>
          <w:w w:val="97"/>
          <w:sz w:val="20"/>
        </w:rPr>
        <w:t>P</w:t>
      </w:r>
      <w:r>
        <w:rPr>
          <w:color w:val="231F20"/>
          <w:spacing w:val="-1"/>
          <w:sz w:val="20"/>
        </w:rPr>
        <w:t>u</w:t>
      </w:r>
      <w:r>
        <w:rPr>
          <w:color w:val="231F20"/>
          <w:spacing w:val="-2"/>
          <w:w w:val="101"/>
          <w:sz w:val="20"/>
        </w:rPr>
        <w:t>b</w:t>
      </w:r>
      <w:r>
        <w:rPr>
          <w:color w:val="231F20"/>
          <w:spacing w:val="2"/>
          <w:w w:val="102"/>
          <w:sz w:val="20"/>
        </w:rPr>
        <w:t>l</w:t>
      </w:r>
      <w:r>
        <w:rPr>
          <w:color w:val="231F20"/>
          <w:sz w:val="20"/>
        </w:rPr>
        <w:t>i</w:t>
      </w:r>
      <w:r>
        <w:rPr>
          <w:color w:val="231F20"/>
          <w:w w:val="96"/>
          <w:sz w:val="20"/>
        </w:rPr>
        <w:t>s</w:t>
      </w:r>
      <w:r>
        <w:rPr>
          <w:color w:val="231F20"/>
          <w:spacing w:val="3"/>
          <w:w w:val="96"/>
          <w:sz w:val="20"/>
        </w:rPr>
        <w:t>h</w:t>
      </w:r>
      <w:r>
        <w:rPr>
          <w:color w:val="231F20"/>
          <w:spacing w:val="2"/>
          <w:sz w:val="20"/>
        </w:rPr>
        <w:t>i</w:t>
      </w:r>
      <w:r>
        <w:rPr>
          <w:color w:val="231F20"/>
          <w:w w:val="99"/>
          <w:sz w:val="20"/>
        </w:rPr>
        <w:t>n</w:t>
      </w:r>
      <w:r>
        <w:rPr>
          <w:color w:val="231F20"/>
          <w:spacing w:val="10"/>
          <w:w w:val="101"/>
          <w:sz w:val="20"/>
        </w:rPr>
        <w:t>g</w:t>
      </w:r>
      <w:r>
        <w:rPr>
          <w:color w:val="231F20"/>
          <w:spacing w:val="10"/>
          <w:w w:val="56"/>
          <w:sz w:val="20"/>
        </w:rPr>
        <w:t>/</w:t>
      </w:r>
      <w:r>
        <w:rPr>
          <w:color w:val="231F20"/>
          <w:spacing w:val="-4"/>
          <w:w w:val="112"/>
          <w:sz w:val="20"/>
        </w:rPr>
        <w:t>P</w:t>
      </w:r>
      <w:r>
        <w:rPr>
          <w:color w:val="231F20"/>
          <w:w w:val="112"/>
          <w:sz w:val="20"/>
        </w:rPr>
        <w:t>M</w:t>
      </w:r>
      <w:r>
        <w:rPr>
          <w:color w:val="231F20"/>
          <w:spacing w:val="10"/>
          <w:sz w:val="20"/>
        </w:rPr>
        <w:t xml:space="preserve"> </w:t>
      </w:r>
      <w:r>
        <w:rPr>
          <w:color w:val="231F20"/>
          <w:spacing w:val="1"/>
          <w:w w:val="97"/>
          <w:sz w:val="20"/>
        </w:rPr>
        <w:t>P</w:t>
      </w:r>
      <w:r>
        <w:rPr>
          <w:color w:val="231F20"/>
          <w:spacing w:val="-1"/>
          <w:w w:val="94"/>
          <w:sz w:val="20"/>
        </w:rPr>
        <w:t>r</w:t>
      </w:r>
      <w:r>
        <w:rPr>
          <w:color w:val="231F20"/>
          <w:spacing w:val="1"/>
          <w:w w:val="91"/>
          <w:sz w:val="20"/>
        </w:rPr>
        <w:t>e</w:t>
      </w:r>
      <w:r>
        <w:rPr>
          <w:color w:val="231F20"/>
          <w:spacing w:val="1"/>
          <w:w w:val="90"/>
          <w:sz w:val="20"/>
        </w:rPr>
        <w:t>s</w:t>
      </w:r>
      <w:r>
        <w:rPr>
          <w:color w:val="231F20"/>
          <w:spacing w:val="2"/>
          <w:w w:val="90"/>
          <w:sz w:val="20"/>
        </w:rPr>
        <w:t>s</w:t>
      </w:r>
      <w:r>
        <w:rPr>
          <w:color w:val="231F20"/>
          <w:w w:val="135"/>
          <w:sz w:val="20"/>
        </w:rPr>
        <w:t xml:space="preserve">, </w:t>
      </w:r>
      <w:r>
        <w:rPr>
          <w:color w:val="231F20"/>
          <w:w w:val="105"/>
          <w:sz w:val="20"/>
        </w:rPr>
        <w:t>2008.</w:t>
      </w:r>
    </w:p>
    <w:p w14:paraId="011D87A2" w14:textId="77777777" w:rsidR="002653E8" w:rsidRDefault="003115E3">
      <w:pPr>
        <w:spacing w:before="164"/>
        <w:ind w:left="1327"/>
        <w:rPr>
          <w:i/>
          <w:sz w:val="20"/>
        </w:rPr>
      </w:pPr>
      <w:r>
        <w:rPr>
          <w:color w:val="231F20"/>
          <w:w w:val="105"/>
          <w:sz w:val="20"/>
        </w:rPr>
        <w:t xml:space="preserve">Murphy, Anthony, ed. and trans. </w:t>
      </w:r>
      <w:r>
        <w:rPr>
          <w:i/>
          <w:color w:val="231F20"/>
          <w:w w:val="105"/>
          <w:sz w:val="20"/>
        </w:rPr>
        <w:t>The Urban Guerilla Concept.</w:t>
      </w:r>
    </w:p>
    <w:p w14:paraId="64E8FC7C" w14:textId="77777777" w:rsidR="002653E8" w:rsidRDefault="003115E3">
      <w:pPr>
        <w:pStyle w:val="a3"/>
        <w:spacing w:before="5"/>
        <w:ind w:left="2461"/>
      </w:pPr>
      <w:r>
        <w:rPr>
          <w:color w:val="231F20"/>
          <w:w w:val="105"/>
        </w:rPr>
        <w:t>Montreal: Kersplebedeb Publishing, 2003.</w:t>
      </w:r>
    </w:p>
    <w:p w14:paraId="592B0873" w14:textId="77777777" w:rsidR="002653E8" w:rsidRDefault="003115E3">
      <w:pPr>
        <w:spacing w:before="166" w:line="244" w:lineRule="auto"/>
        <w:ind w:left="2461" w:right="1513" w:hanging="1134"/>
        <w:rPr>
          <w:sz w:val="20"/>
        </w:rPr>
      </w:pPr>
      <w:r>
        <w:rPr>
          <w:color w:val="231F20"/>
          <w:w w:val="105"/>
          <w:sz w:val="20"/>
        </w:rPr>
        <w:t xml:space="preserve">O’Balance, Edgar. </w:t>
      </w:r>
      <w:r>
        <w:rPr>
          <w:i/>
          <w:color w:val="231F20"/>
          <w:w w:val="105"/>
          <w:sz w:val="20"/>
        </w:rPr>
        <w:t xml:space="preserve">Arab Guerilla Power. </w:t>
      </w:r>
      <w:r>
        <w:rPr>
          <w:color w:val="231F20"/>
          <w:w w:val="105"/>
          <w:sz w:val="20"/>
        </w:rPr>
        <w:t>London: Faber and Faber, 1974.</w:t>
      </w:r>
    </w:p>
    <w:p w14:paraId="62EFFC31" w14:textId="77777777" w:rsidR="002653E8" w:rsidRDefault="003115E3">
      <w:pPr>
        <w:spacing w:before="161" w:line="244" w:lineRule="auto"/>
        <w:ind w:left="2461" w:right="1580" w:hanging="1134"/>
        <w:rPr>
          <w:sz w:val="20"/>
        </w:rPr>
      </w:pPr>
      <w:r>
        <w:rPr>
          <w:color w:val="231F20"/>
          <w:w w:val="105"/>
          <w:sz w:val="20"/>
        </w:rPr>
        <w:t xml:space="preserve">O’Neill, Brad E. </w:t>
      </w:r>
      <w:r>
        <w:rPr>
          <w:i/>
          <w:color w:val="231F20"/>
          <w:w w:val="105"/>
          <w:sz w:val="20"/>
        </w:rPr>
        <w:t xml:space="preserve">Armed Struggle in Palestine: A Political-Military Analysis. </w:t>
      </w:r>
      <w:r>
        <w:rPr>
          <w:color w:val="231F20"/>
          <w:w w:val="105"/>
          <w:sz w:val="20"/>
        </w:rPr>
        <w:t>Boulder, Colorado: Westview Press, 1978.</w:t>
      </w:r>
    </w:p>
    <w:p w14:paraId="2BAACA87" w14:textId="77777777" w:rsidR="002653E8" w:rsidRDefault="003115E3">
      <w:pPr>
        <w:spacing w:before="162" w:line="244" w:lineRule="auto"/>
        <w:ind w:left="2461" w:right="1580" w:hanging="1134"/>
        <w:rPr>
          <w:sz w:val="20"/>
        </w:rPr>
      </w:pPr>
      <w:r>
        <w:rPr>
          <w:color w:val="231F20"/>
          <w:w w:val="105"/>
          <w:sz w:val="20"/>
        </w:rPr>
        <w:t xml:space="preserve">Pittman, Avril. </w:t>
      </w:r>
      <w:r>
        <w:rPr>
          <w:i/>
          <w:color w:val="231F20"/>
          <w:w w:val="105"/>
          <w:sz w:val="20"/>
        </w:rPr>
        <w:t xml:space="preserve">From Ostpolitik to Reunification: West GermanSoviet Political Relations Since </w:t>
      </w:r>
      <w:r>
        <w:rPr>
          <w:rFonts w:ascii="Bookman Old Style"/>
          <w:i/>
          <w:color w:val="231F20"/>
          <w:w w:val="105"/>
          <w:sz w:val="20"/>
        </w:rPr>
        <w:t>1974</w:t>
      </w:r>
      <w:r>
        <w:rPr>
          <w:i/>
          <w:color w:val="231F20"/>
          <w:w w:val="105"/>
          <w:sz w:val="20"/>
        </w:rPr>
        <w:t xml:space="preserve">. </w:t>
      </w:r>
      <w:r>
        <w:rPr>
          <w:color w:val="231F20"/>
          <w:w w:val="105"/>
          <w:sz w:val="20"/>
        </w:rPr>
        <w:t>New york: Cambridge University Press, 1992.</w:t>
      </w:r>
    </w:p>
    <w:p w14:paraId="52287801" w14:textId="77777777" w:rsidR="002653E8" w:rsidRDefault="003115E3">
      <w:pPr>
        <w:spacing w:before="161" w:line="244" w:lineRule="auto"/>
        <w:ind w:left="2461" w:right="1479" w:hanging="1134"/>
        <w:rPr>
          <w:sz w:val="20"/>
        </w:rPr>
      </w:pPr>
      <w:r>
        <w:rPr>
          <w:color w:val="231F20"/>
          <w:w w:val="105"/>
          <w:sz w:val="20"/>
        </w:rPr>
        <w:t xml:space="preserve">Prairie Fire Organizing Committee. </w:t>
      </w:r>
      <w:r>
        <w:rPr>
          <w:i/>
          <w:color w:val="231F20"/>
          <w:w w:val="105"/>
          <w:sz w:val="20"/>
        </w:rPr>
        <w:t xml:space="preserve">War on the War Makers: Documents and Communiqués from the West German Left. </w:t>
      </w:r>
      <w:r>
        <w:rPr>
          <w:color w:val="231F20"/>
          <w:w w:val="105"/>
          <w:sz w:val="20"/>
        </w:rPr>
        <w:t>San Francisco: John Brown Book Club, n.d.</w:t>
      </w:r>
    </w:p>
    <w:p w14:paraId="7590ABD5" w14:textId="77777777" w:rsidR="002653E8" w:rsidRDefault="003115E3">
      <w:pPr>
        <w:spacing w:before="162" w:line="244" w:lineRule="auto"/>
        <w:ind w:left="2461" w:right="1513" w:hanging="1134"/>
        <w:rPr>
          <w:sz w:val="20"/>
        </w:rPr>
      </w:pPr>
      <w:r>
        <w:rPr>
          <w:color w:val="231F20"/>
          <w:w w:val="105"/>
          <w:sz w:val="20"/>
        </w:rPr>
        <w:t xml:space="preserve">Proll, Astrid. </w:t>
      </w:r>
      <w:r>
        <w:rPr>
          <w:i/>
          <w:color w:val="231F20"/>
          <w:w w:val="105"/>
          <w:sz w:val="20"/>
        </w:rPr>
        <w:t xml:space="preserve">Baader Meinhof: Pictures on the Run </w:t>
      </w:r>
      <w:r>
        <w:rPr>
          <w:rFonts w:ascii="Bookman Old Style"/>
          <w:i/>
          <w:color w:val="231F20"/>
          <w:w w:val="105"/>
          <w:sz w:val="20"/>
        </w:rPr>
        <w:t>67</w:t>
      </w:r>
      <w:r>
        <w:rPr>
          <w:i/>
          <w:color w:val="231F20"/>
          <w:w w:val="105"/>
          <w:sz w:val="20"/>
        </w:rPr>
        <w:t>-</w:t>
      </w:r>
      <w:r>
        <w:rPr>
          <w:rFonts w:ascii="Bookman Old Style"/>
          <w:i/>
          <w:color w:val="231F20"/>
          <w:w w:val="105"/>
          <w:sz w:val="20"/>
        </w:rPr>
        <w:t>77</w:t>
      </w:r>
      <w:r>
        <w:rPr>
          <w:i/>
          <w:color w:val="231F20"/>
          <w:w w:val="105"/>
          <w:sz w:val="20"/>
        </w:rPr>
        <w:t xml:space="preserve">. </w:t>
      </w:r>
      <w:r>
        <w:rPr>
          <w:color w:val="231F20"/>
          <w:w w:val="105"/>
          <w:sz w:val="20"/>
        </w:rPr>
        <w:t>Zurich: Scalo, 1998.</w:t>
      </w:r>
    </w:p>
    <w:p w14:paraId="4A1CF2AE" w14:textId="77777777" w:rsidR="002653E8" w:rsidRDefault="003115E3">
      <w:pPr>
        <w:spacing w:before="160" w:line="244" w:lineRule="auto"/>
        <w:ind w:left="2461" w:right="1580" w:hanging="1134"/>
        <w:rPr>
          <w:sz w:val="20"/>
        </w:rPr>
      </w:pPr>
      <w:r>
        <w:rPr>
          <w:color w:val="231F20"/>
          <w:w w:val="105"/>
          <w:sz w:val="20"/>
        </w:rPr>
        <w:t xml:space="preserve">Reeve, Simon. </w:t>
      </w:r>
      <w:r>
        <w:rPr>
          <w:i/>
          <w:color w:val="231F20"/>
          <w:w w:val="105"/>
          <w:sz w:val="20"/>
        </w:rPr>
        <w:t xml:space="preserve">One Day in September: The Full Story of the </w:t>
      </w:r>
      <w:r>
        <w:rPr>
          <w:rFonts w:ascii="Bookman Old Style"/>
          <w:i/>
          <w:color w:val="231F20"/>
          <w:w w:val="105"/>
          <w:sz w:val="20"/>
        </w:rPr>
        <w:t xml:space="preserve">1972 </w:t>
      </w:r>
      <w:r>
        <w:rPr>
          <w:i/>
          <w:color w:val="231F20"/>
          <w:w w:val="105"/>
          <w:sz w:val="20"/>
        </w:rPr>
        <w:t xml:space="preserve">Munich Olympics Massacre. </w:t>
      </w:r>
      <w:r>
        <w:rPr>
          <w:color w:val="231F20"/>
          <w:w w:val="105"/>
          <w:sz w:val="20"/>
        </w:rPr>
        <w:t>New york: Arcade Publishing, 2000.</w:t>
      </w:r>
    </w:p>
    <w:p w14:paraId="5396D10E" w14:textId="77777777" w:rsidR="002653E8" w:rsidRPr="00846956" w:rsidRDefault="003115E3">
      <w:pPr>
        <w:spacing w:before="160" w:line="244" w:lineRule="auto"/>
        <w:ind w:left="2461" w:right="1145" w:hanging="1134"/>
        <w:rPr>
          <w:sz w:val="20"/>
          <w:lang w:val="de-DE"/>
        </w:rPr>
      </w:pPr>
      <w:r>
        <w:rPr>
          <w:color w:val="231F20"/>
          <w:w w:val="105"/>
          <w:sz w:val="20"/>
        </w:rPr>
        <w:t xml:space="preserve">Rose, Paul Lawrence. </w:t>
      </w:r>
      <w:r>
        <w:rPr>
          <w:i/>
          <w:color w:val="231F20"/>
          <w:w w:val="105"/>
          <w:sz w:val="20"/>
        </w:rPr>
        <w:t xml:space="preserve">Revolutionary Antisemitism in Germany from Kant to Wagner. </w:t>
      </w:r>
      <w:r w:rsidRPr="00846956">
        <w:rPr>
          <w:color w:val="231F20"/>
          <w:w w:val="105"/>
          <w:sz w:val="20"/>
          <w:lang w:val="de-DE"/>
        </w:rPr>
        <w:t>Princeton: Princeton University Press, 1990.</w:t>
      </w:r>
    </w:p>
    <w:p w14:paraId="5BDEE9BD" w14:textId="77777777" w:rsidR="002653E8" w:rsidRPr="00846956" w:rsidRDefault="003115E3">
      <w:pPr>
        <w:spacing w:before="163"/>
        <w:ind w:left="1327"/>
        <w:rPr>
          <w:i/>
          <w:sz w:val="20"/>
          <w:lang w:val="de-DE"/>
        </w:rPr>
      </w:pPr>
      <w:r w:rsidRPr="00846956">
        <w:rPr>
          <w:color w:val="231F20"/>
          <w:w w:val="105"/>
          <w:sz w:val="20"/>
          <w:lang w:val="de-DE"/>
        </w:rPr>
        <w:t xml:space="preserve">Rote Armee Fraktion. </w:t>
      </w:r>
      <w:r w:rsidRPr="00846956">
        <w:rPr>
          <w:i/>
          <w:color w:val="231F20"/>
          <w:w w:val="105"/>
          <w:sz w:val="20"/>
          <w:lang w:val="de-DE"/>
        </w:rPr>
        <w:t xml:space="preserve">Texte und Materialien zur Geschichte der </w:t>
      </w:r>
      <w:r w:rsidR="00C507A5" w:rsidRPr="00846956">
        <w:rPr>
          <w:i/>
          <w:color w:val="231F20"/>
          <w:w w:val="105"/>
          <w:sz w:val="20"/>
          <w:lang w:val="de-DE"/>
        </w:rPr>
        <w:t>red army faction</w:t>
      </w:r>
      <w:r w:rsidRPr="00846956">
        <w:rPr>
          <w:i/>
          <w:color w:val="231F20"/>
          <w:w w:val="105"/>
          <w:sz w:val="20"/>
          <w:lang w:val="de-DE"/>
        </w:rPr>
        <w:t>.</w:t>
      </w:r>
    </w:p>
    <w:p w14:paraId="11B9E7D5" w14:textId="77777777" w:rsidR="002653E8" w:rsidRPr="00846956" w:rsidRDefault="003115E3">
      <w:pPr>
        <w:pStyle w:val="a3"/>
        <w:spacing w:before="5"/>
        <w:ind w:left="2462"/>
        <w:rPr>
          <w:lang w:val="de-DE"/>
        </w:rPr>
      </w:pPr>
      <w:r w:rsidRPr="00846956">
        <w:rPr>
          <w:color w:val="231F20"/>
          <w:w w:val="105"/>
          <w:lang w:val="de-DE"/>
        </w:rPr>
        <w:t>Berlin: ID-Verlag, 1997.</w:t>
      </w:r>
    </w:p>
    <w:p w14:paraId="23FF86A3" w14:textId="77777777" w:rsidR="002653E8" w:rsidRDefault="003115E3">
      <w:pPr>
        <w:spacing w:before="166" w:line="244" w:lineRule="auto"/>
        <w:ind w:left="2461" w:right="1288" w:hanging="1134"/>
        <w:jc w:val="both"/>
        <w:rPr>
          <w:sz w:val="20"/>
        </w:rPr>
      </w:pPr>
      <w:r w:rsidRPr="00846956">
        <w:rPr>
          <w:color w:val="231F20"/>
          <w:sz w:val="20"/>
          <w:lang w:val="de-DE"/>
        </w:rPr>
        <w:t xml:space="preserve">Roth, Karl Heinz. </w:t>
      </w:r>
      <w:r>
        <w:rPr>
          <w:i/>
          <w:color w:val="231F20"/>
          <w:sz w:val="20"/>
        </w:rPr>
        <w:t xml:space="preserve">L’autre movement ouvrier en Allemagne </w:t>
      </w:r>
      <w:r>
        <w:rPr>
          <w:rFonts w:ascii="Bookman Old Style" w:hAnsi="Bookman Old Style"/>
          <w:i/>
          <w:color w:val="231F20"/>
          <w:sz w:val="20"/>
        </w:rPr>
        <w:t>1945</w:t>
      </w:r>
      <w:r>
        <w:rPr>
          <w:i/>
          <w:color w:val="231F20"/>
          <w:sz w:val="20"/>
        </w:rPr>
        <w:t>-</w:t>
      </w:r>
      <w:r>
        <w:rPr>
          <w:rFonts w:ascii="Bookman Old Style" w:hAnsi="Bookman Old Style"/>
          <w:i/>
          <w:color w:val="231F20"/>
          <w:sz w:val="20"/>
        </w:rPr>
        <w:t>78</w:t>
      </w:r>
      <w:r>
        <w:rPr>
          <w:i/>
          <w:color w:val="231F20"/>
          <w:sz w:val="20"/>
        </w:rPr>
        <w:t xml:space="preserve">. </w:t>
      </w:r>
      <w:r>
        <w:rPr>
          <w:color w:val="231F20"/>
          <w:sz w:val="20"/>
        </w:rPr>
        <w:t>Translated by Serge Cosseron. Paris: Christian Bourgois Editeur, 1979.</w:t>
      </w:r>
    </w:p>
    <w:p w14:paraId="1CDCCDCB" w14:textId="77777777" w:rsidR="002653E8" w:rsidRDefault="003115E3">
      <w:pPr>
        <w:spacing w:before="161" w:line="244" w:lineRule="auto"/>
        <w:ind w:left="2462" w:right="1580" w:hanging="1135"/>
        <w:rPr>
          <w:sz w:val="20"/>
        </w:rPr>
      </w:pPr>
      <w:r>
        <w:rPr>
          <w:color w:val="231F20"/>
          <w:sz w:val="20"/>
        </w:rPr>
        <w:t xml:space="preserve">Sayigh, yazid. </w:t>
      </w:r>
      <w:r>
        <w:rPr>
          <w:i/>
          <w:color w:val="231F20"/>
          <w:sz w:val="20"/>
        </w:rPr>
        <w:t xml:space="preserve">Armed struggle and the Search for State: the Palestinian national movement, </w:t>
      </w:r>
      <w:r>
        <w:rPr>
          <w:rFonts w:ascii="Bookman Old Style"/>
          <w:i/>
          <w:color w:val="231F20"/>
          <w:sz w:val="20"/>
        </w:rPr>
        <w:t>1949</w:t>
      </w:r>
      <w:r>
        <w:rPr>
          <w:i/>
          <w:color w:val="231F20"/>
          <w:sz w:val="20"/>
        </w:rPr>
        <w:t>-</w:t>
      </w:r>
      <w:r>
        <w:rPr>
          <w:rFonts w:ascii="Bookman Old Style"/>
          <w:i/>
          <w:color w:val="231F20"/>
          <w:sz w:val="20"/>
        </w:rPr>
        <w:t>1993</w:t>
      </w:r>
      <w:r>
        <w:rPr>
          <w:i/>
          <w:color w:val="231F20"/>
          <w:sz w:val="20"/>
        </w:rPr>
        <w:t xml:space="preserve">. </w:t>
      </w:r>
      <w:r>
        <w:rPr>
          <w:color w:val="231F20"/>
          <w:sz w:val="20"/>
        </w:rPr>
        <w:t>Oxford: Clarendon Press, 1997.</w:t>
      </w:r>
    </w:p>
    <w:p w14:paraId="5DCFAF86" w14:textId="77777777" w:rsidR="002653E8" w:rsidRDefault="002653E8">
      <w:pPr>
        <w:spacing w:line="244" w:lineRule="auto"/>
        <w:rPr>
          <w:sz w:val="20"/>
        </w:rPr>
        <w:sectPr w:rsidR="002653E8">
          <w:pgSz w:w="8640" w:h="12960"/>
          <w:pgMar w:top="1060" w:right="0" w:bottom="1040" w:left="0" w:header="0" w:footer="850" w:gutter="0"/>
          <w:cols w:space="720"/>
        </w:sectPr>
      </w:pPr>
    </w:p>
    <w:p w14:paraId="038D8C2A" w14:textId="77777777" w:rsidR="002653E8" w:rsidRDefault="003115E3">
      <w:pPr>
        <w:spacing w:before="70" w:line="244" w:lineRule="auto"/>
        <w:ind w:left="2282" w:right="1145" w:hanging="1135"/>
        <w:rPr>
          <w:sz w:val="20"/>
        </w:rPr>
      </w:pPr>
      <w:r>
        <w:rPr>
          <w:color w:val="231F20"/>
          <w:w w:val="105"/>
          <w:sz w:val="20"/>
        </w:rPr>
        <w:lastRenderedPageBreak/>
        <w:t xml:space="preserve">Scalzo, Salvator, Steffi de Jong, and Joost van den Akker. </w:t>
      </w:r>
      <w:r>
        <w:rPr>
          <w:i/>
          <w:color w:val="231F20"/>
          <w:w w:val="105"/>
          <w:sz w:val="20"/>
        </w:rPr>
        <w:t xml:space="preserve">Terror, Myth and Victims: The Historical Interpretation of the Brigate Rosse and the Rote Armee Fraktion. </w:t>
      </w:r>
      <w:r>
        <w:rPr>
          <w:color w:val="231F20"/>
          <w:w w:val="105"/>
          <w:sz w:val="20"/>
        </w:rPr>
        <w:t xml:space="preserve">October 26, 2007. </w:t>
      </w:r>
      <w:hyperlink r:id="rId553">
        <w:r>
          <w:rPr>
            <w:color w:val="231F20"/>
            <w:sz w:val="20"/>
          </w:rPr>
          <w:t>h</w:t>
        </w:r>
        <w:r>
          <w:rPr>
            <w:color w:val="231F20"/>
            <w:w w:val="98"/>
            <w:sz w:val="20"/>
          </w:rPr>
          <w:t>tt</w:t>
        </w:r>
        <w:r>
          <w:rPr>
            <w:color w:val="231F20"/>
            <w:w w:val="99"/>
            <w:sz w:val="20"/>
          </w:rPr>
          <w:t>p</w:t>
        </w:r>
        <w:r>
          <w:rPr>
            <w:color w:val="231F20"/>
            <w:w w:val="105"/>
            <w:sz w:val="20"/>
          </w:rPr>
          <w:t>:</w:t>
        </w:r>
        <w:r>
          <w:rPr>
            <w:color w:val="231F20"/>
            <w:w w:val="56"/>
            <w:sz w:val="20"/>
          </w:rPr>
          <w:t>//</w:t>
        </w:r>
        <w:r>
          <w:rPr>
            <w:color w:val="231F20"/>
            <w:sz w:val="20"/>
          </w:rPr>
          <w:t>www</w:t>
        </w:r>
        <w:r>
          <w:rPr>
            <w:color w:val="231F20"/>
            <w:w w:val="135"/>
            <w:sz w:val="20"/>
          </w:rPr>
          <w:t>.</w:t>
        </w:r>
        <w:r>
          <w:rPr>
            <w:color w:val="231F20"/>
            <w:w w:val="101"/>
            <w:sz w:val="20"/>
          </w:rPr>
          <w:t>b</w:t>
        </w:r>
        <w:r>
          <w:rPr>
            <w:color w:val="231F20"/>
            <w:w w:val="94"/>
            <w:sz w:val="20"/>
          </w:rPr>
          <w:t>r</w:t>
        </w:r>
        <w:r>
          <w:rPr>
            <w:color w:val="231F20"/>
            <w:sz w:val="20"/>
          </w:rPr>
          <w:t>i</w:t>
        </w:r>
        <w:r>
          <w:rPr>
            <w:color w:val="231F20"/>
            <w:w w:val="101"/>
            <w:sz w:val="20"/>
          </w:rPr>
          <w:t>g</w:t>
        </w:r>
        <w:r>
          <w:rPr>
            <w:color w:val="231F20"/>
            <w:w w:val="102"/>
            <w:sz w:val="20"/>
          </w:rPr>
          <w:t>a</w:t>
        </w:r>
        <w:r>
          <w:rPr>
            <w:color w:val="231F20"/>
            <w:w w:val="94"/>
            <w:sz w:val="20"/>
          </w:rPr>
          <w:t>ter</w:t>
        </w:r>
        <w:r>
          <w:rPr>
            <w:color w:val="231F20"/>
            <w:w w:val="104"/>
            <w:sz w:val="20"/>
          </w:rPr>
          <w:t>o</w:t>
        </w:r>
        <w:r>
          <w:rPr>
            <w:color w:val="231F20"/>
            <w:w w:val="90"/>
            <w:sz w:val="20"/>
          </w:rPr>
          <w:t>ss</w:t>
        </w:r>
        <w:r>
          <w:rPr>
            <w:color w:val="231F20"/>
            <w:w w:val="91"/>
            <w:sz w:val="20"/>
          </w:rPr>
          <w:t>e</w:t>
        </w:r>
        <w:r>
          <w:rPr>
            <w:color w:val="231F20"/>
            <w:w w:val="135"/>
            <w:sz w:val="20"/>
          </w:rPr>
          <w:t>.</w:t>
        </w:r>
        <w:r>
          <w:rPr>
            <w:color w:val="231F20"/>
            <w:w w:val="104"/>
            <w:sz w:val="20"/>
          </w:rPr>
          <w:t>o</w:t>
        </w:r>
        <w:r>
          <w:rPr>
            <w:color w:val="231F20"/>
            <w:w w:val="94"/>
            <w:sz w:val="20"/>
          </w:rPr>
          <w:t>r</w:t>
        </w:r>
        <w:r>
          <w:rPr>
            <w:color w:val="231F20"/>
            <w:w w:val="101"/>
            <w:sz w:val="20"/>
          </w:rPr>
          <w:t>g</w:t>
        </w:r>
        <w:r>
          <w:rPr>
            <w:color w:val="231F20"/>
            <w:w w:val="56"/>
            <w:sz w:val="20"/>
          </w:rPr>
          <w:t>/</w:t>
        </w:r>
        <w:r>
          <w:rPr>
            <w:color w:val="231F20"/>
            <w:w w:val="101"/>
            <w:sz w:val="20"/>
          </w:rPr>
          <w:t>b</w:t>
        </w:r>
        <w:r>
          <w:rPr>
            <w:color w:val="231F20"/>
            <w:w w:val="94"/>
            <w:sz w:val="20"/>
          </w:rPr>
          <w:t>r</w:t>
        </w:r>
        <w:r>
          <w:rPr>
            <w:color w:val="231F20"/>
            <w:sz w:val="20"/>
          </w:rPr>
          <w:t>i</w:t>
        </w:r>
        <w:r>
          <w:rPr>
            <w:color w:val="231F20"/>
            <w:w w:val="101"/>
            <w:sz w:val="20"/>
          </w:rPr>
          <w:t>g</w:t>
        </w:r>
        <w:r>
          <w:rPr>
            <w:color w:val="231F20"/>
            <w:w w:val="102"/>
            <w:sz w:val="20"/>
          </w:rPr>
          <w:t>a</w:t>
        </w:r>
        <w:r>
          <w:rPr>
            <w:color w:val="231F20"/>
            <w:w w:val="94"/>
            <w:sz w:val="20"/>
          </w:rPr>
          <w:t>ter</w:t>
        </w:r>
        <w:r>
          <w:rPr>
            <w:color w:val="231F20"/>
            <w:w w:val="104"/>
            <w:sz w:val="20"/>
          </w:rPr>
          <w:t>o</w:t>
        </w:r>
        <w:r>
          <w:rPr>
            <w:color w:val="231F20"/>
            <w:w w:val="90"/>
            <w:sz w:val="20"/>
          </w:rPr>
          <w:t>ss</w:t>
        </w:r>
        <w:r>
          <w:rPr>
            <w:color w:val="231F20"/>
            <w:w w:val="91"/>
            <w:sz w:val="20"/>
          </w:rPr>
          <w:t>e</w:t>
        </w:r>
        <w:r>
          <w:rPr>
            <w:color w:val="231F20"/>
            <w:w w:val="56"/>
            <w:sz w:val="20"/>
          </w:rPr>
          <w:t>/</w:t>
        </w:r>
        <w:r>
          <w:rPr>
            <w:color w:val="231F20"/>
            <w:sz w:val="20"/>
          </w:rPr>
          <w:t>d</w:t>
        </w:r>
        <w:r>
          <w:rPr>
            <w:color w:val="231F20"/>
            <w:w w:val="104"/>
            <w:sz w:val="20"/>
          </w:rPr>
          <w:t>o</w:t>
        </w:r>
        <w:r>
          <w:rPr>
            <w:color w:val="231F20"/>
            <w:sz w:val="20"/>
          </w:rPr>
          <w:t>cu</w:t>
        </w:r>
        <w:r>
          <w:rPr>
            <w:color w:val="231F20"/>
            <w:w w:val="96"/>
            <w:sz w:val="20"/>
          </w:rPr>
          <w:t>me</w:t>
        </w:r>
        <w:r>
          <w:rPr>
            <w:color w:val="231F20"/>
            <w:w w:val="99"/>
            <w:sz w:val="20"/>
          </w:rPr>
          <w:t>n</w:t>
        </w:r>
        <w:r>
          <w:rPr>
            <w:color w:val="231F20"/>
            <w:w w:val="98"/>
            <w:sz w:val="20"/>
          </w:rPr>
          <w:t>t</w:t>
        </w:r>
        <w:r>
          <w:rPr>
            <w:color w:val="231F20"/>
            <w:sz w:val="20"/>
          </w:rPr>
          <w:t>i</w:t>
        </w:r>
        <w:r>
          <w:rPr>
            <w:color w:val="231F20"/>
            <w:w w:val="56"/>
            <w:sz w:val="20"/>
          </w:rPr>
          <w:t>/</w:t>
        </w:r>
      </w:hyperlink>
      <w:r>
        <w:rPr>
          <w:color w:val="231F20"/>
          <w:w w:val="56"/>
          <w:sz w:val="20"/>
        </w:rPr>
        <w:t xml:space="preserve"> </w:t>
      </w:r>
      <w:r>
        <w:rPr>
          <w:color w:val="231F20"/>
          <w:w w:val="102"/>
          <w:sz w:val="20"/>
        </w:rPr>
        <w:t>a</w:t>
      </w:r>
      <w:r>
        <w:rPr>
          <w:color w:val="231F20"/>
          <w:w w:val="94"/>
          <w:sz w:val="20"/>
        </w:rPr>
        <w:t>r</w:t>
      </w:r>
      <w:r>
        <w:rPr>
          <w:color w:val="231F20"/>
          <w:sz w:val="20"/>
        </w:rPr>
        <w:t>chi</w:t>
      </w:r>
      <w:r>
        <w:rPr>
          <w:color w:val="231F20"/>
          <w:w w:val="99"/>
          <w:sz w:val="20"/>
        </w:rPr>
        <w:t>vi</w:t>
      </w:r>
      <w:r>
        <w:rPr>
          <w:color w:val="231F20"/>
          <w:w w:val="104"/>
          <w:sz w:val="20"/>
        </w:rPr>
        <w:t>o</w:t>
      </w:r>
      <w:r>
        <w:rPr>
          <w:color w:val="231F20"/>
          <w:w w:val="56"/>
          <w:sz w:val="20"/>
        </w:rPr>
        <w:t>/</w:t>
      </w:r>
      <w:r>
        <w:rPr>
          <w:color w:val="231F20"/>
          <w:w w:val="117"/>
          <w:sz w:val="20"/>
        </w:rPr>
        <w:t>D</w:t>
      </w:r>
      <w:r>
        <w:rPr>
          <w:color w:val="231F20"/>
          <w:w w:val="102"/>
          <w:sz w:val="20"/>
        </w:rPr>
        <w:t>oc</w:t>
      </w:r>
      <w:r>
        <w:rPr>
          <w:color w:val="231F20"/>
          <w:w w:val="115"/>
          <w:sz w:val="20"/>
        </w:rPr>
        <w:t>A</w:t>
      </w:r>
      <w:r>
        <w:rPr>
          <w:color w:val="231F20"/>
          <w:w w:val="99"/>
          <w:sz w:val="20"/>
        </w:rPr>
        <w:t>pp</w:t>
      </w:r>
      <w:r>
        <w:rPr>
          <w:color w:val="231F20"/>
          <w:w w:val="94"/>
          <w:sz w:val="20"/>
        </w:rPr>
        <w:t>r</w:t>
      </w:r>
      <w:r>
        <w:rPr>
          <w:color w:val="231F20"/>
          <w:w w:val="108"/>
          <w:sz w:val="20"/>
        </w:rPr>
        <w:t>BR</w:t>
      </w:r>
      <w:r>
        <w:rPr>
          <w:color w:val="231F20"/>
          <w:w w:val="102"/>
          <w:sz w:val="20"/>
        </w:rPr>
        <w:t>a</w:t>
      </w:r>
      <w:r>
        <w:rPr>
          <w:color w:val="231F20"/>
          <w:w w:val="99"/>
          <w:sz w:val="20"/>
        </w:rPr>
        <w:t>nd</w:t>
      </w:r>
      <w:r>
        <w:rPr>
          <w:color w:val="231F20"/>
          <w:w w:val="116"/>
          <w:sz w:val="20"/>
        </w:rPr>
        <w:t>R</w:t>
      </w:r>
      <w:r>
        <w:rPr>
          <w:color w:val="231F20"/>
          <w:w w:val="110"/>
          <w:sz w:val="20"/>
        </w:rPr>
        <w:t>AF</w:t>
      </w:r>
      <w:r>
        <w:rPr>
          <w:color w:val="231F20"/>
          <w:w w:val="109"/>
          <w:sz w:val="20"/>
        </w:rPr>
        <w:t>.p</w:t>
      </w:r>
      <w:r>
        <w:rPr>
          <w:color w:val="231F20"/>
          <w:sz w:val="20"/>
        </w:rPr>
        <w:t>d</w:t>
      </w:r>
      <w:r>
        <w:rPr>
          <w:color w:val="231F20"/>
          <w:w w:val="109"/>
          <w:sz w:val="20"/>
        </w:rPr>
        <w:t>f</w:t>
      </w:r>
      <w:r>
        <w:rPr>
          <w:color w:val="231F20"/>
          <w:w w:val="135"/>
          <w:sz w:val="20"/>
        </w:rPr>
        <w:t>.</w:t>
      </w:r>
    </w:p>
    <w:p w14:paraId="6846CA9F" w14:textId="77777777" w:rsidR="002653E8" w:rsidRDefault="003115E3">
      <w:pPr>
        <w:spacing w:before="164" w:line="244" w:lineRule="auto"/>
        <w:ind w:left="2281" w:right="1943" w:hanging="1134"/>
        <w:jc w:val="both"/>
        <w:rPr>
          <w:sz w:val="20"/>
        </w:rPr>
      </w:pPr>
      <w:r>
        <w:rPr>
          <w:color w:val="231F20"/>
          <w:w w:val="105"/>
          <w:sz w:val="20"/>
        </w:rPr>
        <w:t xml:space="preserve">Socialist Patients’ Collective. </w:t>
      </w:r>
      <w:r>
        <w:rPr>
          <w:i/>
          <w:color w:val="231F20"/>
          <w:w w:val="105"/>
          <w:sz w:val="20"/>
        </w:rPr>
        <w:t xml:space="preserve">SPK Turn Illness into a Weapon. </w:t>
      </w:r>
      <w:r>
        <w:rPr>
          <w:color w:val="231F20"/>
          <w:w w:val="105"/>
          <w:sz w:val="20"/>
        </w:rPr>
        <w:t>Preface</w:t>
      </w:r>
      <w:r>
        <w:rPr>
          <w:color w:val="231F20"/>
          <w:spacing w:val="-15"/>
          <w:w w:val="105"/>
          <w:sz w:val="20"/>
        </w:rPr>
        <w:t xml:space="preserve"> </w:t>
      </w:r>
      <w:r>
        <w:rPr>
          <w:color w:val="231F20"/>
          <w:w w:val="105"/>
          <w:sz w:val="20"/>
        </w:rPr>
        <w:t>by</w:t>
      </w:r>
      <w:r>
        <w:rPr>
          <w:color w:val="231F20"/>
          <w:spacing w:val="-15"/>
          <w:w w:val="105"/>
          <w:sz w:val="20"/>
        </w:rPr>
        <w:t xml:space="preserve"> </w:t>
      </w:r>
      <w:r>
        <w:rPr>
          <w:color w:val="231F20"/>
          <w:w w:val="105"/>
          <w:sz w:val="20"/>
        </w:rPr>
        <w:t>Jean-Paul</w:t>
      </w:r>
      <w:r>
        <w:rPr>
          <w:color w:val="231F20"/>
          <w:spacing w:val="-15"/>
          <w:w w:val="105"/>
          <w:sz w:val="20"/>
        </w:rPr>
        <w:t xml:space="preserve"> </w:t>
      </w:r>
      <w:r>
        <w:rPr>
          <w:color w:val="231F20"/>
          <w:w w:val="105"/>
          <w:sz w:val="20"/>
        </w:rPr>
        <w:t>Sartre.</w:t>
      </w:r>
      <w:r>
        <w:rPr>
          <w:color w:val="231F20"/>
          <w:spacing w:val="-15"/>
          <w:w w:val="105"/>
          <w:sz w:val="20"/>
        </w:rPr>
        <w:t xml:space="preserve"> </w:t>
      </w:r>
      <w:r>
        <w:rPr>
          <w:color w:val="231F20"/>
          <w:w w:val="105"/>
          <w:sz w:val="20"/>
        </w:rPr>
        <w:t>Translation</w:t>
      </w:r>
      <w:r>
        <w:rPr>
          <w:color w:val="231F20"/>
          <w:spacing w:val="-15"/>
          <w:w w:val="105"/>
          <w:sz w:val="20"/>
        </w:rPr>
        <w:t xml:space="preserve"> </w:t>
      </w:r>
      <w:r>
        <w:rPr>
          <w:color w:val="231F20"/>
          <w:w w:val="105"/>
          <w:sz w:val="20"/>
        </w:rPr>
        <w:t>by</w:t>
      </w:r>
      <w:r>
        <w:rPr>
          <w:color w:val="231F20"/>
          <w:spacing w:val="-15"/>
          <w:w w:val="105"/>
          <w:sz w:val="20"/>
        </w:rPr>
        <w:t xml:space="preserve"> </w:t>
      </w:r>
      <w:r>
        <w:rPr>
          <w:color w:val="231F20"/>
          <w:w w:val="105"/>
          <w:sz w:val="20"/>
        </w:rPr>
        <w:t xml:space="preserve">Huber. </w:t>
      </w:r>
      <w:r>
        <w:rPr>
          <w:color w:val="231F20"/>
          <w:spacing w:val="5"/>
          <w:w w:val="105"/>
          <w:sz w:val="20"/>
        </w:rPr>
        <w:t>KRRIM,</w:t>
      </w:r>
      <w:r>
        <w:rPr>
          <w:color w:val="231F20"/>
          <w:spacing w:val="10"/>
          <w:w w:val="105"/>
          <w:sz w:val="20"/>
        </w:rPr>
        <w:t xml:space="preserve"> </w:t>
      </w:r>
      <w:r>
        <w:rPr>
          <w:color w:val="231F20"/>
          <w:w w:val="105"/>
          <w:sz w:val="20"/>
        </w:rPr>
        <w:t>1993.</w:t>
      </w:r>
    </w:p>
    <w:p w14:paraId="7ED82BC5" w14:textId="77777777" w:rsidR="002653E8" w:rsidRDefault="003115E3">
      <w:pPr>
        <w:spacing w:before="162" w:line="244" w:lineRule="auto"/>
        <w:ind w:left="2281" w:right="1580" w:hanging="1134"/>
        <w:rPr>
          <w:sz w:val="20"/>
        </w:rPr>
      </w:pPr>
      <w:r>
        <w:rPr>
          <w:i/>
          <w:color w:val="231F20"/>
          <w:sz w:val="20"/>
        </w:rPr>
        <w:t xml:space="preserve">Texte des prisonniers de la “fraction armée rouge” et dernières lettres d’Ulrike Meinhof. </w:t>
      </w:r>
      <w:r>
        <w:rPr>
          <w:color w:val="231F20"/>
          <w:sz w:val="20"/>
        </w:rPr>
        <w:t xml:space="preserve">Draft Version, Cahiers Libres 337 </w:t>
      </w:r>
      <w:r>
        <w:rPr>
          <w:color w:val="231F20"/>
          <w:w w:val="95"/>
          <w:sz w:val="20"/>
        </w:rPr>
        <w:t xml:space="preserve">/ </w:t>
      </w:r>
      <w:r>
        <w:rPr>
          <w:color w:val="231F20"/>
          <w:sz w:val="20"/>
        </w:rPr>
        <w:t>François Maspero.</w:t>
      </w:r>
    </w:p>
    <w:p w14:paraId="461427FE" w14:textId="77777777" w:rsidR="002653E8" w:rsidRDefault="003115E3">
      <w:pPr>
        <w:spacing w:before="163" w:line="244" w:lineRule="auto"/>
        <w:ind w:left="2281" w:right="1681" w:hanging="1134"/>
        <w:rPr>
          <w:sz w:val="20"/>
        </w:rPr>
      </w:pPr>
      <w:r>
        <w:rPr>
          <w:i/>
          <w:color w:val="231F20"/>
          <w:sz w:val="20"/>
        </w:rPr>
        <w:t xml:space="preserve">Texte des prisonniers de </w:t>
      </w:r>
      <w:r>
        <w:rPr>
          <w:i/>
          <w:color w:val="231F20"/>
          <w:spacing w:val="1"/>
          <w:sz w:val="20"/>
        </w:rPr>
        <w:t xml:space="preserve">la </w:t>
      </w:r>
      <w:r>
        <w:rPr>
          <w:i/>
          <w:color w:val="231F20"/>
          <w:sz w:val="20"/>
        </w:rPr>
        <w:t xml:space="preserve">“fraction armée  rouge”  et  </w:t>
      </w:r>
      <w:r>
        <w:rPr>
          <w:i/>
          <w:color w:val="231F20"/>
          <w:spacing w:val="1"/>
          <w:sz w:val="20"/>
        </w:rPr>
        <w:t xml:space="preserve">dernières </w:t>
      </w:r>
      <w:r>
        <w:rPr>
          <w:i/>
          <w:color w:val="231F20"/>
          <w:sz w:val="20"/>
        </w:rPr>
        <w:t xml:space="preserve">lettres d’Ulrike Meinhof. </w:t>
      </w:r>
      <w:r>
        <w:rPr>
          <w:color w:val="231F20"/>
          <w:sz w:val="20"/>
        </w:rPr>
        <w:t xml:space="preserve">Cahiers Libres </w:t>
      </w:r>
      <w:r>
        <w:rPr>
          <w:color w:val="231F20"/>
          <w:spacing w:val="-8"/>
          <w:sz w:val="20"/>
        </w:rPr>
        <w:t xml:space="preserve">337 </w:t>
      </w:r>
      <w:r>
        <w:rPr>
          <w:color w:val="231F20"/>
          <w:w w:val="95"/>
          <w:sz w:val="20"/>
        </w:rPr>
        <w:t xml:space="preserve">/ </w:t>
      </w:r>
      <w:r>
        <w:rPr>
          <w:color w:val="231F20"/>
          <w:sz w:val="20"/>
        </w:rPr>
        <w:t>François Maspero,</w:t>
      </w:r>
      <w:r>
        <w:rPr>
          <w:color w:val="231F20"/>
          <w:spacing w:val="10"/>
          <w:sz w:val="20"/>
        </w:rPr>
        <w:t xml:space="preserve"> </w:t>
      </w:r>
      <w:r>
        <w:rPr>
          <w:color w:val="231F20"/>
          <w:spacing w:val="-6"/>
          <w:sz w:val="20"/>
        </w:rPr>
        <w:t>1977.</w:t>
      </w:r>
    </w:p>
    <w:p w14:paraId="0E4F05D5" w14:textId="77777777" w:rsidR="002653E8" w:rsidRDefault="003115E3">
      <w:pPr>
        <w:spacing w:before="162" w:line="244" w:lineRule="auto"/>
        <w:ind w:left="2281" w:right="1396" w:hanging="1134"/>
        <w:rPr>
          <w:sz w:val="20"/>
        </w:rPr>
      </w:pPr>
      <w:r>
        <w:rPr>
          <w:color w:val="231F20"/>
          <w:w w:val="110"/>
          <w:sz w:val="20"/>
        </w:rPr>
        <w:t>Thomas,</w:t>
      </w:r>
      <w:r>
        <w:rPr>
          <w:color w:val="231F20"/>
          <w:spacing w:val="-19"/>
          <w:w w:val="110"/>
          <w:sz w:val="20"/>
        </w:rPr>
        <w:t xml:space="preserve"> </w:t>
      </w:r>
      <w:r>
        <w:rPr>
          <w:color w:val="231F20"/>
          <w:w w:val="110"/>
          <w:sz w:val="20"/>
        </w:rPr>
        <w:t>Nick.</w:t>
      </w:r>
      <w:r>
        <w:rPr>
          <w:color w:val="231F20"/>
          <w:spacing w:val="-19"/>
          <w:w w:val="110"/>
          <w:sz w:val="20"/>
        </w:rPr>
        <w:t xml:space="preserve"> </w:t>
      </w:r>
      <w:r>
        <w:rPr>
          <w:i/>
          <w:color w:val="231F20"/>
          <w:w w:val="110"/>
          <w:sz w:val="20"/>
        </w:rPr>
        <w:t>Protest</w:t>
      </w:r>
      <w:r>
        <w:rPr>
          <w:i/>
          <w:color w:val="231F20"/>
          <w:spacing w:val="-19"/>
          <w:w w:val="110"/>
          <w:sz w:val="20"/>
        </w:rPr>
        <w:t xml:space="preserve"> </w:t>
      </w:r>
      <w:r>
        <w:rPr>
          <w:i/>
          <w:color w:val="231F20"/>
          <w:w w:val="110"/>
          <w:sz w:val="20"/>
        </w:rPr>
        <w:t>Movements</w:t>
      </w:r>
      <w:r>
        <w:rPr>
          <w:i/>
          <w:color w:val="231F20"/>
          <w:spacing w:val="-19"/>
          <w:w w:val="110"/>
          <w:sz w:val="20"/>
        </w:rPr>
        <w:t xml:space="preserve"> </w:t>
      </w:r>
      <w:r>
        <w:rPr>
          <w:i/>
          <w:color w:val="231F20"/>
          <w:w w:val="110"/>
          <w:sz w:val="20"/>
        </w:rPr>
        <w:t>in</w:t>
      </w:r>
      <w:r>
        <w:rPr>
          <w:i/>
          <w:color w:val="231F20"/>
          <w:spacing w:val="-19"/>
          <w:w w:val="110"/>
          <w:sz w:val="20"/>
        </w:rPr>
        <w:t xml:space="preserve"> </w:t>
      </w:r>
      <w:r>
        <w:rPr>
          <w:rFonts w:ascii="Bookman Old Style"/>
          <w:i/>
          <w:color w:val="231F20"/>
          <w:w w:val="110"/>
          <w:sz w:val="20"/>
        </w:rPr>
        <w:t>1960</w:t>
      </w:r>
      <w:r>
        <w:rPr>
          <w:i/>
          <w:color w:val="231F20"/>
          <w:w w:val="110"/>
          <w:sz w:val="20"/>
        </w:rPr>
        <w:t>s</w:t>
      </w:r>
      <w:r>
        <w:rPr>
          <w:i/>
          <w:color w:val="231F20"/>
          <w:spacing w:val="-19"/>
          <w:w w:val="110"/>
          <w:sz w:val="20"/>
        </w:rPr>
        <w:t xml:space="preserve"> </w:t>
      </w:r>
      <w:r>
        <w:rPr>
          <w:i/>
          <w:color w:val="231F20"/>
          <w:w w:val="110"/>
          <w:sz w:val="20"/>
        </w:rPr>
        <w:t>West</w:t>
      </w:r>
      <w:r>
        <w:rPr>
          <w:i/>
          <w:color w:val="231F20"/>
          <w:spacing w:val="-19"/>
          <w:w w:val="110"/>
          <w:sz w:val="20"/>
        </w:rPr>
        <w:t xml:space="preserve"> </w:t>
      </w:r>
      <w:r>
        <w:rPr>
          <w:i/>
          <w:color w:val="231F20"/>
          <w:spacing w:val="1"/>
          <w:w w:val="110"/>
          <w:sz w:val="20"/>
        </w:rPr>
        <w:t>Germany:</w:t>
      </w:r>
      <w:r>
        <w:rPr>
          <w:i/>
          <w:color w:val="231F20"/>
          <w:spacing w:val="-19"/>
          <w:w w:val="110"/>
          <w:sz w:val="20"/>
        </w:rPr>
        <w:t xml:space="preserve"> </w:t>
      </w:r>
      <w:r>
        <w:rPr>
          <w:i/>
          <w:color w:val="231F20"/>
          <w:w w:val="110"/>
          <w:sz w:val="20"/>
        </w:rPr>
        <w:t>A</w:t>
      </w:r>
      <w:r>
        <w:rPr>
          <w:i/>
          <w:color w:val="231F20"/>
          <w:spacing w:val="-19"/>
          <w:w w:val="110"/>
          <w:sz w:val="20"/>
        </w:rPr>
        <w:t xml:space="preserve"> </w:t>
      </w:r>
      <w:r>
        <w:rPr>
          <w:i/>
          <w:color w:val="231F20"/>
          <w:w w:val="110"/>
          <w:sz w:val="20"/>
        </w:rPr>
        <w:t xml:space="preserve">Social History of Dissent and Democracy. </w:t>
      </w:r>
      <w:r>
        <w:rPr>
          <w:color w:val="231F20"/>
          <w:w w:val="110"/>
          <w:sz w:val="20"/>
        </w:rPr>
        <w:t xml:space="preserve">New </w:t>
      </w:r>
      <w:r>
        <w:rPr>
          <w:color w:val="231F20"/>
          <w:spacing w:val="-4"/>
          <w:w w:val="110"/>
          <w:sz w:val="20"/>
        </w:rPr>
        <w:t xml:space="preserve">york: </w:t>
      </w:r>
      <w:r>
        <w:rPr>
          <w:color w:val="231F20"/>
          <w:w w:val="110"/>
          <w:sz w:val="20"/>
        </w:rPr>
        <w:t>Berg, 2003.</w:t>
      </w:r>
    </w:p>
    <w:p w14:paraId="089F6598" w14:textId="77777777" w:rsidR="002653E8" w:rsidRDefault="003115E3">
      <w:pPr>
        <w:spacing w:before="161" w:line="244" w:lineRule="auto"/>
        <w:ind w:left="2281" w:right="1580" w:hanging="1134"/>
        <w:rPr>
          <w:sz w:val="20"/>
        </w:rPr>
      </w:pPr>
      <w:r>
        <w:rPr>
          <w:color w:val="231F20"/>
          <w:w w:val="105"/>
          <w:sz w:val="20"/>
        </w:rPr>
        <w:t xml:space="preserve">Tse-Tung, Mao. </w:t>
      </w:r>
      <w:r>
        <w:rPr>
          <w:i/>
          <w:color w:val="231F20"/>
          <w:w w:val="105"/>
          <w:sz w:val="20"/>
        </w:rPr>
        <w:t xml:space="preserve">Quotations from Chairman Mao Tse Tung. </w:t>
      </w:r>
      <w:r>
        <w:rPr>
          <w:color w:val="231F20"/>
          <w:w w:val="105"/>
          <w:sz w:val="20"/>
        </w:rPr>
        <w:t>Peking: Foreign Languages Press, 1966.</w:t>
      </w:r>
    </w:p>
    <w:p w14:paraId="660927F2" w14:textId="77777777" w:rsidR="002653E8" w:rsidRDefault="003115E3">
      <w:pPr>
        <w:spacing w:before="162" w:line="244" w:lineRule="auto"/>
        <w:ind w:left="2281" w:right="1450" w:hanging="1134"/>
        <w:rPr>
          <w:sz w:val="20"/>
        </w:rPr>
      </w:pPr>
      <w:r>
        <w:rPr>
          <w:color w:val="231F20"/>
          <w:sz w:val="20"/>
        </w:rPr>
        <w:t xml:space="preserve">Turbiville, Graham H. Jr. </w:t>
      </w:r>
      <w:r>
        <w:rPr>
          <w:i/>
          <w:color w:val="231F20"/>
          <w:sz w:val="20"/>
        </w:rPr>
        <w:t xml:space="preserve">Hunting Leadership Targets in Counterinsurgency and Counterterrorist Operations: Selected Perspectives and Experience. </w:t>
      </w:r>
      <w:r>
        <w:rPr>
          <w:color w:val="231F20"/>
          <w:sz w:val="20"/>
        </w:rPr>
        <w:t>Hurlburt Field, Florida: Joint Special Operations University Press, 2007. h</w:t>
      </w:r>
      <w:r>
        <w:rPr>
          <w:color w:val="231F20"/>
          <w:w w:val="98"/>
          <w:sz w:val="20"/>
        </w:rPr>
        <w:t>tt</w:t>
      </w:r>
      <w:r>
        <w:rPr>
          <w:color w:val="231F20"/>
          <w:w w:val="99"/>
          <w:sz w:val="20"/>
        </w:rPr>
        <w:t>p</w:t>
      </w:r>
      <w:r>
        <w:rPr>
          <w:color w:val="231F20"/>
          <w:w w:val="90"/>
          <w:sz w:val="20"/>
        </w:rPr>
        <w:t>s</w:t>
      </w:r>
      <w:r>
        <w:rPr>
          <w:color w:val="231F20"/>
          <w:w w:val="105"/>
          <w:sz w:val="20"/>
        </w:rPr>
        <w:t>:</w:t>
      </w:r>
      <w:r>
        <w:rPr>
          <w:color w:val="231F20"/>
          <w:w w:val="56"/>
          <w:sz w:val="20"/>
        </w:rPr>
        <w:t>//</w:t>
      </w:r>
      <w:r>
        <w:rPr>
          <w:color w:val="231F20"/>
          <w:w w:val="104"/>
          <w:sz w:val="20"/>
        </w:rPr>
        <w:t>j</w:t>
      </w:r>
      <w:r>
        <w:rPr>
          <w:color w:val="231F20"/>
          <w:w w:val="90"/>
          <w:sz w:val="20"/>
        </w:rPr>
        <w:t>s</w:t>
      </w:r>
      <w:r>
        <w:rPr>
          <w:color w:val="231F20"/>
          <w:w w:val="102"/>
          <w:sz w:val="20"/>
        </w:rPr>
        <w:t>ou</w:t>
      </w:r>
      <w:r>
        <w:rPr>
          <w:color w:val="231F20"/>
          <w:sz w:val="20"/>
        </w:rPr>
        <w:t>pu</w:t>
      </w:r>
      <w:r>
        <w:rPr>
          <w:color w:val="231F20"/>
          <w:w w:val="101"/>
          <w:sz w:val="20"/>
        </w:rPr>
        <w:t>bl</w:t>
      </w:r>
      <w:r>
        <w:rPr>
          <w:color w:val="231F20"/>
          <w:sz w:val="20"/>
        </w:rPr>
        <w:t>ic</w:t>
      </w:r>
      <w:r>
        <w:rPr>
          <w:color w:val="231F20"/>
          <w:w w:val="135"/>
          <w:sz w:val="20"/>
        </w:rPr>
        <w:t>.</w:t>
      </w:r>
      <w:r>
        <w:rPr>
          <w:color w:val="231F20"/>
          <w:w w:val="90"/>
          <w:sz w:val="20"/>
        </w:rPr>
        <w:t>s</w:t>
      </w:r>
      <w:r>
        <w:rPr>
          <w:color w:val="231F20"/>
          <w:w w:val="104"/>
          <w:sz w:val="20"/>
        </w:rPr>
        <w:t>o</w:t>
      </w:r>
      <w:r>
        <w:rPr>
          <w:color w:val="231F20"/>
          <w:sz w:val="20"/>
        </w:rPr>
        <w:t>c</w:t>
      </w:r>
      <w:r>
        <w:rPr>
          <w:color w:val="231F20"/>
          <w:w w:val="104"/>
          <w:sz w:val="20"/>
        </w:rPr>
        <w:t>o</w:t>
      </w:r>
      <w:r>
        <w:rPr>
          <w:color w:val="231F20"/>
          <w:w w:val="99"/>
          <w:sz w:val="20"/>
        </w:rPr>
        <w:t>m</w:t>
      </w:r>
      <w:r>
        <w:rPr>
          <w:color w:val="231F20"/>
          <w:w w:val="135"/>
          <w:sz w:val="20"/>
        </w:rPr>
        <w:t>.</w:t>
      </w:r>
      <w:r>
        <w:rPr>
          <w:color w:val="231F20"/>
          <w:w w:val="99"/>
          <w:sz w:val="20"/>
        </w:rPr>
        <w:t>m</w:t>
      </w:r>
      <w:r>
        <w:rPr>
          <w:color w:val="231F20"/>
          <w:sz w:val="20"/>
        </w:rPr>
        <w:t>i</w:t>
      </w:r>
      <w:r>
        <w:rPr>
          <w:color w:val="231F20"/>
          <w:w w:val="102"/>
          <w:sz w:val="20"/>
        </w:rPr>
        <w:t>l</w:t>
      </w:r>
      <w:r>
        <w:rPr>
          <w:color w:val="231F20"/>
          <w:w w:val="56"/>
          <w:sz w:val="20"/>
        </w:rPr>
        <w:t>/</w:t>
      </w:r>
      <w:r>
        <w:rPr>
          <w:color w:val="231F20"/>
          <w:sz w:val="20"/>
        </w:rPr>
        <w:t>pu</w:t>
      </w:r>
      <w:r>
        <w:rPr>
          <w:color w:val="231F20"/>
          <w:w w:val="101"/>
          <w:sz w:val="20"/>
        </w:rPr>
        <w:t>bl</w:t>
      </w:r>
      <w:r>
        <w:rPr>
          <w:color w:val="231F20"/>
          <w:sz w:val="20"/>
        </w:rPr>
        <w:t>ic</w:t>
      </w:r>
      <w:r>
        <w:rPr>
          <w:color w:val="231F20"/>
          <w:w w:val="102"/>
          <w:sz w:val="20"/>
        </w:rPr>
        <w:t>a</w:t>
      </w:r>
      <w:r>
        <w:rPr>
          <w:color w:val="231F20"/>
          <w:w w:val="98"/>
          <w:sz w:val="20"/>
        </w:rPr>
        <w:t>t</w:t>
      </w:r>
      <w:r>
        <w:rPr>
          <w:color w:val="231F20"/>
          <w:sz w:val="20"/>
        </w:rPr>
        <w:t>i</w:t>
      </w:r>
      <w:r>
        <w:rPr>
          <w:color w:val="231F20"/>
          <w:w w:val="104"/>
          <w:sz w:val="20"/>
        </w:rPr>
        <w:t>o</w:t>
      </w:r>
      <w:r>
        <w:rPr>
          <w:color w:val="231F20"/>
          <w:w w:val="99"/>
          <w:sz w:val="20"/>
        </w:rPr>
        <w:t>n</w:t>
      </w:r>
      <w:r>
        <w:rPr>
          <w:color w:val="231F20"/>
          <w:w w:val="90"/>
          <w:sz w:val="20"/>
        </w:rPr>
        <w:t>s</w:t>
      </w:r>
      <w:r>
        <w:rPr>
          <w:color w:val="231F20"/>
          <w:w w:val="56"/>
          <w:sz w:val="20"/>
        </w:rPr>
        <w:t>/</w:t>
      </w:r>
      <w:r>
        <w:rPr>
          <w:color w:val="231F20"/>
          <w:w w:val="104"/>
          <w:sz w:val="20"/>
        </w:rPr>
        <w:t>j</w:t>
      </w:r>
      <w:r>
        <w:rPr>
          <w:color w:val="231F20"/>
          <w:w w:val="90"/>
          <w:sz w:val="20"/>
        </w:rPr>
        <w:t>s</w:t>
      </w:r>
      <w:r>
        <w:rPr>
          <w:color w:val="231F20"/>
          <w:w w:val="102"/>
          <w:sz w:val="20"/>
        </w:rPr>
        <w:t>ou</w:t>
      </w:r>
      <w:r>
        <w:rPr>
          <w:color w:val="231F20"/>
          <w:w w:val="56"/>
          <w:sz w:val="20"/>
        </w:rPr>
        <w:t>/</w:t>
      </w:r>
      <w:r>
        <w:rPr>
          <w:color w:val="231F20"/>
          <w:w w:val="126"/>
          <w:sz w:val="20"/>
        </w:rPr>
        <w:t>J</w:t>
      </w:r>
      <w:r>
        <w:rPr>
          <w:color w:val="231F20"/>
          <w:sz w:val="20"/>
        </w:rPr>
        <w:t>S</w:t>
      </w:r>
      <w:r>
        <w:rPr>
          <w:color w:val="231F20"/>
          <w:w w:val="127"/>
          <w:sz w:val="20"/>
        </w:rPr>
        <w:t>O</w:t>
      </w:r>
      <w:r>
        <w:rPr>
          <w:color w:val="231F20"/>
          <w:w w:val="111"/>
          <w:sz w:val="20"/>
        </w:rPr>
        <w:t>U</w:t>
      </w:r>
      <w:r>
        <w:rPr>
          <w:color w:val="231F20"/>
          <w:sz w:val="20"/>
        </w:rPr>
        <w:t>076turbivilleHuntingLeadershipTargets_final.pdf.</w:t>
      </w:r>
    </w:p>
    <w:p w14:paraId="084E63CE" w14:textId="77777777" w:rsidR="002653E8" w:rsidRDefault="003115E3">
      <w:pPr>
        <w:spacing w:before="165" w:line="244" w:lineRule="auto"/>
        <w:ind w:left="2281" w:right="1580" w:hanging="1134"/>
        <w:rPr>
          <w:sz w:val="20"/>
        </w:rPr>
      </w:pPr>
      <w:r>
        <w:rPr>
          <w:color w:val="231F20"/>
          <w:w w:val="105"/>
          <w:sz w:val="20"/>
        </w:rPr>
        <w:t xml:space="preserve">Vague, Tom. </w:t>
      </w:r>
      <w:r>
        <w:rPr>
          <w:i/>
          <w:color w:val="231F20"/>
          <w:w w:val="105"/>
          <w:sz w:val="20"/>
        </w:rPr>
        <w:t>Televisionaries: The Red Army Faction Story</w:t>
      </w:r>
      <w:r>
        <w:rPr>
          <w:color w:val="231F20"/>
          <w:w w:val="105"/>
          <w:sz w:val="20"/>
        </w:rPr>
        <w:t xml:space="preserve">, </w:t>
      </w:r>
      <w:r>
        <w:rPr>
          <w:rFonts w:ascii="Bookman Old Style"/>
          <w:i/>
          <w:color w:val="231F20"/>
          <w:w w:val="105"/>
          <w:sz w:val="20"/>
        </w:rPr>
        <w:t>19631993</w:t>
      </w:r>
      <w:r>
        <w:rPr>
          <w:i/>
          <w:color w:val="231F20"/>
          <w:w w:val="105"/>
          <w:sz w:val="20"/>
        </w:rPr>
        <w:t xml:space="preserve">. </w:t>
      </w:r>
      <w:r>
        <w:rPr>
          <w:color w:val="231F20"/>
          <w:w w:val="105"/>
          <w:sz w:val="20"/>
        </w:rPr>
        <w:t>Oakland: AK Press, 1994.</w:t>
      </w:r>
    </w:p>
    <w:p w14:paraId="42579719" w14:textId="77777777" w:rsidR="002653E8" w:rsidRDefault="003115E3">
      <w:pPr>
        <w:spacing w:before="157" w:line="244" w:lineRule="auto"/>
        <w:ind w:left="2281" w:right="1513" w:hanging="1134"/>
        <w:rPr>
          <w:i/>
          <w:sz w:val="20"/>
        </w:rPr>
      </w:pPr>
      <w:r>
        <w:rPr>
          <w:color w:val="231F20"/>
          <w:w w:val="105"/>
          <w:sz w:val="20"/>
        </w:rPr>
        <w:t xml:space="preserve">Varon, Jeremy. </w:t>
      </w:r>
      <w:r>
        <w:rPr>
          <w:i/>
          <w:color w:val="231F20"/>
          <w:w w:val="105"/>
          <w:sz w:val="20"/>
        </w:rPr>
        <w:t>Bringing the War Home: The Weather Underground, the Red Army Faction, and Revolutionary Violence</w:t>
      </w:r>
    </w:p>
    <w:p w14:paraId="354C7BF0" w14:textId="77777777" w:rsidR="002653E8" w:rsidRDefault="003115E3">
      <w:pPr>
        <w:spacing w:before="2" w:line="244" w:lineRule="auto"/>
        <w:ind w:left="2281" w:right="1580"/>
        <w:rPr>
          <w:sz w:val="20"/>
        </w:rPr>
      </w:pPr>
      <w:r>
        <w:rPr>
          <w:i/>
          <w:color w:val="231F20"/>
          <w:w w:val="105"/>
          <w:sz w:val="20"/>
        </w:rPr>
        <w:t xml:space="preserve">in the Sixties and Seventies. </w:t>
      </w:r>
      <w:r>
        <w:rPr>
          <w:color w:val="231F20"/>
          <w:w w:val="105"/>
          <w:sz w:val="20"/>
        </w:rPr>
        <w:t>Berkeley: University of California Press, 2004.</w:t>
      </w:r>
    </w:p>
    <w:p w14:paraId="523B8891" w14:textId="77777777" w:rsidR="002653E8" w:rsidRDefault="003115E3">
      <w:pPr>
        <w:spacing w:before="162" w:line="244" w:lineRule="auto"/>
        <w:ind w:left="2281" w:right="1580" w:hanging="1134"/>
        <w:rPr>
          <w:sz w:val="20"/>
        </w:rPr>
      </w:pPr>
      <w:r w:rsidRPr="00846956">
        <w:rPr>
          <w:i/>
          <w:color w:val="231F20"/>
          <w:w w:val="105"/>
          <w:sz w:val="20"/>
          <w:lang w:val="de-DE"/>
        </w:rPr>
        <w:t xml:space="preserve">Von der Zwangernährung zur “Koma-Losung.” </w:t>
      </w:r>
      <w:r>
        <w:rPr>
          <w:color w:val="231F20"/>
          <w:w w:val="105"/>
          <w:sz w:val="20"/>
        </w:rPr>
        <w:t>West Germany, September 1985.</w:t>
      </w:r>
    </w:p>
    <w:p w14:paraId="50F30F79" w14:textId="77777777" w:rsidR="002653E8" w:rsidRDefault="003115E3">
      <w:pPr>
        <w:spacing w:before="161" w:line="244" w:lineRule="auto"/>
        <w:ind w:left="2281" w:right="1145" w:hanging="1134"/>
        <w:rPr>
          <w:sz w:val="20"/>
        </w:rPr>
      </w:pPr>
      <w:r>
        <w:rPr>
          <w:color w:val="231F20"/>
          <w:w w:val="105"/>
          <w:sz w:val="20"/>
        </w:rPr>
        <w:t xml:space="preserve">Wiggershaus, Rolf. </w:t>
      </w:r>
      <w:r>
        <w:rPr>
          <w:i/>
          <w:color w:val="231F20"/>
          <w:w w:val="105"/>
          <w:sz w:val="20"/>
        </w:rPr>
        <w:t xml:space="preserve">The Frankfurt School: Its History, Theories and Political Significance. </w:t>
      </w:r>
      <w:r>
        <w:rPr>
          <w:color w:val="231F20"/>
          <w:w w:val="105"/>
          <w:sz w:val="20"/>
        </w:rPr>
        <w:t>Translated by Michael Robertson. Cambridge, Mass.: MIT Press, 1994.</w:t>
      </w:r>
    </w:p>
    <w:p w14:paraId="17A564E9" w14:textId="77777777" w:rsidR="002653E8" w:rsidRDefault="002653E8">
      <w:pPr>
        <w:spacing w:line="244" w:lineRule="auto"/>
        <w:rPr>
          <w:sz w:val="20"/>
        </w:rPr>
        <w:sectPr w:rsidR="002653E8">
          <w:pgSz w:w="8640" w:h="12960"/>
          <w:pgMar w:top="1060" w:right="0" w:bottom="1040" w:left="0" w:header="0" w:footer="850" w:gutter="0"/>
          <w:cols w:space="720"/>
        </w:sectPr>
      </w:pPr>
    </w:p>
    <w:p w14:paraId="3F1CEADA" w14:textId="77777777" w:rsidR="002653E8" w:rsidRDefault="003115E3">
      <w:pPr>
        <w:spacing w:before="70" w:line="244" w:lineRule="auto"/>
        <w:ind w:left="2461" w:right="1145" w:hanging="1134"/>
        <w:rPr>
          <w:sz w:val="20"/>
        </w:rPr>
      </w:pPr>
      <w:r>
        <w:rPr>
          <w:color w:val="231F20"/>
          <w:w w:val="105"/>
          <w:sz w:val="20"/>
        </w:rPr>
        <w:lastRenderedPageBreak/>
        <w:t xml:space="preserve">Wisniewski, Stefan. </w:t>
      </w:r>
      <w:r>
        <w:rPr>
          <w:i/>
          <w:color w:val="231F20"/>
          <w:w w:val="105"/>
          <w:sz w:val="20"/>
        </w:rPr>
        <w:t xml:space="preserve">We were so terribly consistent… A Conversation About the History of the Red Army Faction. </w:t>
      </w:r>
      <w:r>
        <w:rPr>
          <w:color w:val="231F20"/>
          <w:w w:val="105"/>
          <w:sz w:val="20"/>
        </w:rPr>
        <w:t>Montreal: Kersplebedeb, 2008.</w:t>
      </w:r>
    </w:p>
    <w:p w14:paraId="536A8D7A" w14:textId="77777777" w:rsidR="002653E8" w:rsidRDefault="003115E3">
      <w:pPr>
        <w:spacing w:before="162" w:line="244" w:lineRule="auto"/>
        <w:ind w:left="2461" w:right="1513" w:hanging="1134"/>
        <w:rPr>
          <w:sz w:val="20"/>
        </w:rPr>
      </w:pPr>
      <w:r>
        <w:rPr>
          <w:color w:val="231F20"/>
          <w:w w:val="105"/>
          <w:sz w:val="20"/>
        </w:rPr>
        <w:t xml:space="preserve">Wolf, Markus, and Anne McElvoy. </w:t>
      </w:r>
      <w:r>
        <w:rPr>
          <w:i/>
          <w:color w:val="231F20"/>
          <w:w w:val="105"/>
          <w:sz w:val="20"/>
        </w:rPr>
        <w:t xml:space="preserve">Man without a Face: The Autobiography of Communism’s Greatest Spymaster. </w:t>
      </w:r>
      <w:r>
        <w:rPr>
          <w:color w:val="231F20"/>
          <w:w w:val="105"/>
          <w:sz w:val="20"/>
        </w:rPr>
        <w:t>New york: Times Books, 1999.</w:t>
      </w:r>
    </w:p>
    <w:p w14:paraId="39C26AD2" w14:textId="77777777" w:rsidR="002653E8" w:rsidRDefault="002653E8">
      <w:pPr>
        <w:pStyle w:val="a3"/>
        <w:rPr>
          <w:sz w:val="22"/>
        </w:rPr>
      </w:pPr>
    </w:p>
    <w:p w14:paraId="7288CA89" w14:textId="77777777" w:rsidR="002653E8" w:rsidRDefault="002653E8">
      <w:pPr>
        <w:pStyle w:val="a3"/>
        <w:rPr>
          <w:sz w:val="22"/>
        </w:rPr>
      </w:pPr>
    </w:p>
    <w:p w14:paraId="04CED838" w14:textId="77777777" w:rsidR="002653E8" w:rsidRDefault="002653E8">
      <w:pPr>
        <w:pStyle w:val="a3"/>
        <w:rPr>
          <w:sz w:val="18"/>
        </w:rPr>
      </w:pPr>
    </w:p>
    <w:p w14:paraId="0E4985EF" w14:textId="77777777" w:rsidR="002653E8" w:rsidRDefault="003115E3">
      <w:pPr>
        <w:ind w:left="1327"/>
        <w:rPr>
          <w:sz w:val="28"/>
        </w:rPr>
      </w:pPr>
      <w:r>
        <w:rPr>
          <w:color w:val="231F20"/>
          <w:w w:val="145"/>
          <w:sz w:val="28"/>
        </w:rPr>
        <w:t xml:space="preserve">f </w:t>
      </w:r>
      <w:r>
        <w:rPr>
          <w:color w:val="231F20"/>
          <w:spacing w:val="20"/>
          <w:w w:val="145"/>
          <w:sz w:val="28"/>
        </w:rPr>
        <w:t>il</w:t>
      </w:r>
      <w:r>
        <w:rPr>
          <w:color w:val="231F20"/>
          <w:spacing w:val="-43"/>
          <w:w w:val="145"/>
          <w:sz w:val="28"/>
        </w:rPr>
        <w:t xml:space="preserve"> </w:t>
      </w:r>
      <w:r>
        <w:rPr>
          <w:color w:val="231F20"/>
          <w:w w:val="115"/>
          <w:sz w:val="28"/>
        </w:rPr>
        <w:t>m</w:t>
      </w:r>
    </w:p>
    <w:p w14:paraId="35A3CE08" w14:textId="77777777" w:rsidR="002653E8" w:rsidRDefault="003115E3">
      <w:pPr>
        <w:pStyle w:val="a3"/>
        <w:spacing w:before="188" w:line="244" w:lineRule="auto"/>
        <w:ind w:left="2461" w:right="1145" w:hanging="1134"/>
      </w:pPr>
      <w:r>
        <w:rPr>
          <w:color w:val="231F20"/>
          <w:w w:val="110"/>
        </w:rPr>
        <w:t xml:space="preserve">Conradt, G., and H. Jahn. </w:t>
      </w:r>
      <w:r>
        <w:rPr>
          <w:i/>
          <w:color w:val="231F20"/>
          <w:w w:val="110"/>
        </w:rPr>
        <w:t xml:space="preserve">Starbuck Holger Meins. </w:t>
      </w:r>
      <w:r>
        <w:rPr>
          <w:color w:val="231F20"/>
          <w:w w:val="110"/>
        </w:rPr>
        <w:t>Directed by G. Conradt. Germany: Hartmut Jahn Filmproduktion, 2002.</w:t>
      </w:r>
    </w:p>
    <w:p w14:paraId="6823E930" w14:textId="77777777" w:rsidR="002653E8" w:rsidRDefault="003115E3">
      <w:pPr>
        <w:spacing w:before="162" w:line="244" w:lineRule="auto"/>
        <w:ind w:left="2461" w:right="1145" w:hanging="1134"/>
        <w:rPr>
          <w:sz w:val="20"/>
        </w:rPr>
      </w:pPr>
      <w:r>
        <w:rPr>
          <w:color w:val="231F20"/>
          <w:w w:val="105"/>
          <w:sz w:val="20"/>
        </w:rPr>
        <w:t xml:space="preserve">Lewis, B., director. </w:t>
      </w:r>
      <w:r>
        <w:rPr>
          <w:i/>
          <w:color w:val="231F20"/>
          <w:w w:val="105"/>
          <w:sz w:val="20"/>
        </w:rPr>
        <w:t xml:space="preserve">Baader Meinhof: In Love With Terror. </w:t>
      </w:r>
      <w:r>
        <w:rPr>
          <w:color w:val="231F20"/>
          <w:w w:val="105"/>
          <w:sz w:val="20"/>
        </w:rPr>
        <w:t>United Kingdom: A Mentorn Production for BBC FOUR, 2002.</w:t>
      </w:r>
    </w:p>
    <w:p w14:paraId="44B5BFF0" w14:textId="77777777" w:rsidR="002653E8" w:rsidRDefault="002653E8">
      <w:pPr>
        <w:pStyle w:val="a3"/>
        <w:rPr>
          <w:sz w:val="22"/>
        </w:rPr>
      </w:pPr>
    </w:p>
    <w:p w14:paraId="0B912A70" w14:textId="77777777" w:rsidR="002653E8" w:rsidRDefault="002653E8">
      <w:pPr>
        <w:pStyle w:val="a3"/>
        <w:rPr>
          <w:sz w:val="22"/>
        </w:rPr>
      </w:pPr>
    </w:p>
    <w:p w14:paraId="5B15D2C4" w14:textId="77777777" w:rsidR="002653E8" w:rsidRDefault="002653E8">
      <w:pPr>
        <w:pStyle w:val="a3"/>
        <w:spacing w:before="10"/>
        <w:rPr>
          <w:sz w:val="17"/>
        </w:rPr>
      </w:pPr>
    </w:p>
    <w:p w14:paraId="6F439F5D" w14:textId="77777777" w:rsidR="002653E8" w:rsidRDefault="003115E3">
      <w:pPr>
        <w:pStyle w:val="6"/>
        <w:spacing w:before="1"/>
      </w:pPr>
      <w:r>
        <w:rPr>
          <w:color w:val="231F20"/>
          <w:spacing w:val="20"/>
          <w:w w:val="125"/>
        </w:rPr>
        <w:t>jou</w:t>
      </w:r>
      <w:r>
        <w:rPr>
          <w:color w:val="231F20"/>
          <w:spacing w:val="-32"/>
          <w:w w:val="125"/>
        </w:rPr>
        <w:t xml:space="preserve"> </w:t>
      </w:r>
      <w:r>
        <w:rPr>
          <w:color w:val="231F20"/>
          <w:w w:val="125"/>
        </w:rPr>
        <w:t xml:space="preserve">r n a </w:t>
      </w:r>
      <w:r>
        <w:rPr>
          <w:color w:val="231F20"/>
          <w:w w:val="155"/>
        </w:rPr>
        <w:t>l</w:t>
      </w:r>
      <w:r>
        <w:rPr>
          <w:color w:val="231F20"/>
          <w:spacing w:val="-51"/>
          <w:w w:val="155"/>
        </w:rPr>
        <w:t xml:space="preserve"> </w:t>
      </w:r>
      <w:r>
        <w:rPr>
          <w:color w:val="231F20"/>
          <w:w w:val="125"/>
        </w:rPr>
        <w:t>s</w:t>
      </w:r>
    </w:p>
    <w:p w14:paraId="10459DC9" w14:textId="77777777" w:rsidR="002653E8" w:rsidRDefault="003115E3">
      <w:pPr>
        <w:pStyle w:val="a3"/>
        <w:spacing w:before="187" w:line="244" w:lineRule="auto"/>
        <w:ind w:left="2461" w:right="1685" w:hanging="1134"/>
      </w:pPr>
      <w:r>
        <w:rPr>
          <w:color w:val="231F20"/>
          <w:w w:val="105"/>
        </w:rPr>
        <w:t xml:space="preserve">Anonymous. “Buback: </w:t>
      </w:r>
      <w:r>
        <w:rPr>
          <w:color w:val="231F20"/>
          <w:spacing w:val="1"/>
          <w:w w:val="105"/>
        </w:rPr>
        <w:t xml:space="preserve">In </w:t>
      </w:r>
      <w:r>
        <w:rPr>
          <w:color w:val="231F20"/>
          <w:w w:val="105"/>
        </w:rPr>
        <w:t xml:space="preserve">Memoriam,” in “The German Issue,” special issue, </w:t>
      </w:r>
      <w:r>
        <w:rPr>
          <w:i/>
          <w:color w:val="231F20"/>
          <w:w w:val="105"/>
        </w:rPr>
        <w:t xml:space="preserve">semiotext(e) </w:t>
      </w:r>
      <w:r>
        <w:rPr>
          <w:color w:val="231F20"/>
          <w:w w:val="105"/>
        </w:rPr>
        <w:t xml:space="preserve">4, no. 2 </w:t>
      </w:r>
      <w:r>
        <w:rPr>
          <w:color w:val="231F20"/>
          <w:spacing w:val="-7"/>
          <w:w w:val="105"/>
        </w:rPr>
        <w:t xml:space="preserve">(1982): </w:t>
      </w:r>
      <w:r>
        <w:rPr>
          <w:color w:val="231F20"/>
          <w:spacing w:val="-6"/>
          <w:w w:val="105"/>
        </w:rPr>
        <w:t>124-133.</w:t>
      </w:r>
    </w:p>
    <w:p w14:paraId="59C2EA2E" w14:textId="77777777" w:rsidR="002653E8" w:rsidRDefault="003115E3">
      <w:pPr>
        <w:pStyle w:val="a3"/>
        <w:spacing w:before="162" w:line="244" w:lineRule="auto"/>
        <w:ind w:left="2461" w:right="1145" w:hanging="1134"/>
      </w:pPr>
      <w:r>
        <w:rPr>
          <w:color w:val="231F20"/>
          <w:w w:val="105"/>
        </w:rPr>
        <w:t xml:space="preserve">Anonymous. “To Have Done with Armed Isolation,” in “The German Issue,” special issue. Translated by Wynn Gunderson. </w:t>
      </w:r>
      <w:r>
        <w:rPr>
          <w:i/>
          <w:color w:val="231F20"/>
          <w:w w:val="105"/>
        </w:rPr>
        <w:t xml:space="preserve">semiotext(e) </w:t>
      </w:r>
      <w:r>
        <w:rPr>
          <w:color w:val="231F20"/>
          <w:w w:val="105"/>
        </w:rPr>
        <w:t>4, no. 2 (1982): 130-133.</w:t>
      </w:r>
    </w:p>
    <w:p w14:paraId="259ECF76" w14:textId="77777777" w:rsidR="002653E8" w:rsidRDefault="003115E3">
      <w:pPr>
        <w:pStyle w:val="a3"/>
        <w:spacing w:before="163"/>
        <w:ind w:left="1327"/>
      </w:pPr>
      <w:r>
        <w:rPr>
          <w:color w:val="231F20"/>
          <w:w w:val="105"/>
        </w:rPr>
        <w:t>Benjamin, Jessica, and Anson Rabinbach. “Germans, Leftists, Jews.”</w:t>
      </w:r>
    </w:p>
    <w:p w14:paraId="5889B928" w14:textId="77777777" w:rsidR="002653E8" w:rsidRDefault="003115E3">
      <w:pPr>
        <w:spacing w:before="5"/>
        <w:ind w:left="2461"/>
        <w:rPr>
          <w:sz w:val="20"/>
        </w:rPr>
      </w:pPr>
      <w:r>
        <w:rPr>
          <w:i/>
          <w:color w:val="231F20"/>
          <w:w w:val="105"/>
          <w:sz w:val="20"/>
        </w:rPr>
        <w:t xml:space="preserve">New German Critique </w:t>
      </w:r>
      <w:r>
        <w:rPr>
          <w:color w:val="231F20"/>
          <w:w w:val="105"/>
          <w:sz w:val="20"/>
        </w:rPr>
        <w:t>31 (Winter 1984): 183-193.</w:t>
      </w:r>
    </w:p>
    <w:p w14:paraId="369124D3" w14:textId="77777777" w:rsidR="002653E8" w:rsidRDefault="003115E3">
      <w:pPr>
        <w:pStyle w:val="a3"/>
        <w:spacing w:before="166" w:line="244" w:lineRule="auto"/>
        <w:ind w:left="2461" w:right="1444" w:hanging="1134"/>
      </w:pPr>
      <w:r>
        <w:rPr>
          <w:color w:val="231F20"/>
          <w:w w:val="105"/>
        </w:rPr>
        <w:t xml:space="preserve">Bier, Jean-Paul. “The Holocaust and West Germany: Strategies of Oblivion 1947-1979,” in “Germans and Jews,” special issue, </w:t>
      </w:r>
      <w:r>
        <w:rPr>
          <w:i/>
          <w:color w:val="231F20"/>
          <w:w w:val="105"/>
        </w:rPr>
        <w:t xml:space="preserve">New German Critique </w:t>
      </w:r>
      <w:r>
        <w:rPr>
          <w:color w:val="231F20"/>
          <w:w w:val="105"/>
        </w:rPr>
        <w:t>19 (Winter 1980): 9-29.</w:t>
      </w:r>
    </w:p>
    <w:p w14:paraId="793E7EB4" w14:textId="77777777" w:rsidR="002653E8" w:rsidRDefault="003115E3">
      <w:pPr>
        <w:spacing w:before="162" w:line="244" w:lineRule="auto"/>
        <w:ind w:left="2461" w:right="1580" w:hanging="1134"/>
        <w:rPr>
          <w:sz w:val="20"/>
        </w:rPr>
      </w:pPr>
      <w:r>
        <w:rPr>
          <w:color w:val="231F20"/>
          <w:w w:val="105"/>
          <w:sz w:val="20"/>
        </w:rPr>
        <w:t xml:space="preserve">Billig, Otto. “The Lawyer Terrorist and his Comrades.” </w:t>
      </w:r>
      <w:r>
        <w:rPr>
          <w:i/>
          <w:color w:val="231F20"/>
          <w:w w:val="105"/>
          <w:sz w:val="20"/>
        </w:rPr>
        <w:t xml:space="preserve">Political Psychology </w:t>
      </w:r>
      <w:r>
        <w:rPr>
          <w:color w:val="231F20"/>
          <w:w w:val="105"/>
          <w:sz w:val="20"/>
        </w:rPr>
        <w:t>6, no.1 (March 1985): 29-46.</w:t>
      </w:r>
    </w:p>
    <w:p w14:paraId="6D8FA73D" w14:textId="77777777" w:rsidR="002653E8" w:rsidRDefault="003115E3">
      <w:pPr>
        <w:pStyle w:val="a3"/>
        <w:spacing w:before="162" w:line="244" w:lineRule="auto"/>
        <w:ind w:left="2461" w:right="1354" w:hanging="1134"/>
      </w:pPr>
      <w:r>
        <w:rPr>
          <w:color w:val="231F20"/>
          <w:w w:val="105"/>
        </w:rPr>
        <w:t xml:space="preserve">Bodemann, Michal </w:t>
      </w:r>
      <w:r>
        <w:rPr>
          <w:color w:val="231F20"/>
          <w:spacing w:val="-7"/>
          <w:w w:val="110"/>
        </w:rPr>
        <w:t xml:space="preserve">y. </w:t>
      </w:r>
      <w:r>
        <w:rPr>
          <w:color w:val="231F20"/>
          <w:w w:val="105"/>
        </w:rPr>
        <w:t xml:space="preserve">“The Green Party and the New Nationalism  in the Federal Republic of </w:t>
      </w:r>
      <w:r>
        <w:rPr>
          <w:color w:val="231F20"/>
          <w:spacing w:val="-3"/>
          <w:w w:val="105"/>
        </w:rPr>
        <w:t xml:space="preserve">Germany.” </w:t>
      </w:r>
      <w:r>
        <w:rPr>
          <w:i/>
          <w:color w:val="231F20"/>
          <w:w w:val="105"/>
        </w:rPr>
        <w:t xml:space="preserve">Socialist Register </w:t>
      </w:r>
      <w:r>
        <w:rPr>
          <w:color w:val="231F20"/>
          <w:spacing w:val="-5"/>
          <w:w w:val="105"/>
        </w:rPr>
        <w:t>(1985-86):</w:t>
      </w:r>
      <w:r>
        <w:rPr>
          <w:color w:val="231F20"/>
          <w:spacing w:val="6"/>
          <w:w w:val="105"/>
        </w:rPr>
        <w:t xml:space="preserve"> </w:t>
      </w:r>
      <w:r>
        <w:rPr>
          <w:color w:val="231F20"/>
          <w:spacing w:val="-10"/>
          <w:w w:val="105"/>
        </w:rPr>
        <w:t>137-157.</w:t>
      </w:r>
    </w:p>
    <w:p w14:paraId="3B0FC612" w14:textId="77777777" w:rsidR="002653E8" w:rsidRDefault="002653E8">
      <w:pPr>
        <w:spacing w:line="244" w:lineRule="auto"/>
        <w:sectPr w:rsidR="002653E8">
          <w:pgSz w:w="8640" w:h="12960"/>
          <w:pgMar w:top="1060" w:right="0" w:bottom="1040" w:left="0" w:header="0" w:footer="850" w:gutter="0"/>
          <w:cols w:space="720"/>
        </w:sectPr>
      </w:pPr>
    </w:p>
    <w:p w14:paraId="672E8491" w14:textId="77777777" w:rsidR="002653E8" w:rsidRDefault="003115E3">
      <w:pPr>
        <w:spacing w:before="70" w:line="244" w:lineRule="auto"/>
        <w:ind w:left="2281" w:right="1325" w:hanging="1134"/>
        <w:rPr>
          <w:sz w:val="20"/>
        </w:rPr>
      </w:pPr>
      <w:r>
        <w:rPr>
          <w:color w:val="231F20"/>
          <w:w w:val="105"/>
          <w:sz w:val="20"/>
        </w:rPr>
        <w:lastRenderedPageBreak/>
        <w:t xml:space="preserve">Busuttil, James J. “The Bonn Declaration on International Terrorism: A Non-Binding International Agreement on Aircraft Hijacking.” </w:t>
      </w:r>
      <w:r>
        <w:rPr>
          <w:i/>
          <w:color w:val="231F20"/>
          <w:w w:val="105"/>
          <w:sz w:val="20"/>
        </w:rPr>
        <w:t xml:space="preserve">The International and Comparative Law Quarterly </w:t>
      </w:r>
      <w:r>
        <w:rPr>
          <w:color w:val="231F20"/>
          <w:w w:val="105"/>
          <w:sz w:val="20"/>
        </w:rPr>
        <w:t>31, no. 3. (July 1982): 474-487.</w:t>
      </w:r>
    </w:p>
    <w:p w14:paraId="7EA09B51" w14:textId="77777777" w:rsidR="002653E8" w:rsidRDefault="003115E3">
      <w:pPr>
        <w:spacing w:before="163" w:line="244" w:lineRule="auto"/>
        <w:ind w:left="2282" w:right="1580" w:hanging="1134"/>
        <w:rPr>
          <w:sz w:val="20"/>
        </w:rPr>
      </w:pPr>
      <w:r>
        <w:rPr>
          <w:color w:val="231F20"/>
          <w:w w:val="105"/>
          <w:sz w:val="20"/>
        </w:rPr>
        <w:t xml:space="preserve">Candar, Cengiz. “A Turk in the Palestinian Resistance.” </w:t>
      </w:r>
      <w:r>
        <w:rPr>
          <w:i/>
          <w:color w:val="231F20"/>
          <w:w w:val="105"/>
          <w:sz w:val="20"/>
        </w:rPr>
        <w:t xml:space="preserve">Journal of Palestine Studies </w:t>
      </w:r>
      <w:r>
        <w:rPr>
          <w:color w:val="231F20"/>
          <w:w w:val="105"/>
          <w:sz w:val="20"/>
        </w:rPr>
        <w:t>30, no. 1 (Autumn, 2000): 68-82.</w:t>
      </w:r>
    </w:p>
    <w:p w14:paraId="72738129" w14:textId="77777777" w:rsidR="002653E8" w:rsidRDefault="003115E3">
      <w:pPr>
        <w:spacing w:before="162" w:line="244" w:lineRule="auto"/>
        <w:ind w:left="2282" w:right="1513" w:hanging="1134"/>
        <w:rPr>
          <w:sz w:val="20"/>
        </w:rPr>
      </w:pPr>
      <w:r>
        <w:rPr>
          <w:color w:val="231F20"/>
          <w:w w:val="105"/>
          <w:sz w:val="20"/>
        </w:rPr>
        <w:t xml:space="preserve">Clutterbuck, Richard. “Terrorism and Urban Violence.” in </w:t>
      </w:r>
      <w:r>
        <w:rPr>
          <w:i/>
          <w:color w:val="231F20"/>
          <w:w w:val="105"/>
          <w:sz w:val="20"/>
        </w:rPr>
        <w:t xml:space="preserve">Proceedings of the Academy of Political Science </w:t>
      </w:r>
      <w:r>
        <w:rPr>
          <w:color w:val="231F20"/>
          <w:w w:val="105"/>
          <w:sz w:val="20"/>
        </w:rPr>
        <w:t>34, no. 4 (1982). The Communications Revolution in Politics (1982): 165-175.</w:t>
      </w:r>
    </w:p>
    <w:p w14:paraId="542F0325" w14:textId="77777777" w:rsidR="002653E8" w:rsidRDefault="003115E3">
      <w:pPr>
        <w:spacing w:before="163" w:line="244" w:lineRule="auto"/>
        <w:ind w:left="2282" w:right="1513" w:hanging="1134"/>
        <w:rPr>
          <w:sz w:val="20"/>
        </w:rPr>
      </w:pPr>
      <w:r>
        <w:rPr>
          <w:color w:val="231F20"/>
          <w:w w:val="105"/>
          <w:sz w:val="20"/>
        </w:rPr>
        <w:t xml:space="preserve">de Boer, Connie. “The Polls: Terrorism and Hijacking.” </w:t>
      </w:r>
      <w:r>
        <w:rPr>
          <w:i/>
          <w:color w:val="231F20"/>
          <w:w w:val="105"/>
          <w:sz w:val="20"/>
        </w:rPr>
        <w:t xml:space="preserve">The Public Opinion Quarterly </w:t>
      </w:r>
      <w:r>
        <w:rPr>
          <w:color w:val="231F20"/>
          <w:w w:val="105"/>
          <w:sz w:val="20"/>
        </w:rPr>
        <w:t>43, no. 3 (Autumn, 1979): 410-418.</w:t>
      </w:r>
    </w:p>
    <w:p w14:paraId="2A988905" w14:textId="77777777" w:rsidR="002653E8" w:rsidRDefault="003115E3">
      <w:pPr>
        <w:spacing w:before="162" w:line="244" w:lineRule="auto"/>
        <w:ind w:left="2282" w:right="1479" w:hanging="1134"/>
        <w:rPr>
          <w:sz w:val="20"/>
        </w:rPr>
      </w:pPr>
      <w:r>
        <w:rPr>
          <w:color w:val="231F20"/>
          <w:w w:val="105"/>
          <w:sz w:val="20"/>
        </w:rPr>
        <w:t xml:space="preserve">Evans, Alona E. “Aircraft Hijacking: What is Being Done?” </w:t>
      </w:r>
      <w:r>
        <w:rPr>
          <w:i/>
          <w:color w:val="231F20"/>
          <w:w w:val="105"/>
          <w:sz w:val="20"/>
        </w:rPr>
        <w:t xml:space="preserve">American Journal of International Law </w:t>
      </w:r>
      <w:r>
        <w:rPr>
          <w:color w:val="231F20"/>
          <w:w w:val="105"/>
          <w:sz w:val="20"/>
        </w:rPr>
        <w:t>67 (1973): 641-671.</w:t>
      </w:r>
    </w:p>
    <w:p w14:paraId="38CD51D8" w14:textId="77777777" w:rsidR="002653E8" w:rsidRDefault="003115E3">
      <w:pPr>
        <w:pStyle w:val="a3"/>
        <w:spacing w:before="161" w:line="244" w:lineRule="auto"/>
        <w:ind w:left="2281" w:right="1580" w:hanging="1079"/>
      </w:pPr>
      <w:r>
        <w:rPr>
          <w:color w:val="231F20"/>
          <w:w w:val="105"/>
        </w:rPr>
        <w:t xml:space="preserve">“Federal Constitutional Court Issues Temporary Injunction in the NPD Party Ban Case.” </w:t>
      </w:r>
      <w:r>
        <w:rPr>
          <w:i/>
          <w:color w:val="231F20"/>
          <w:w w:val="105"/>
        </w:rPr>
        <w:t xml:space="preserve">German Law Journal </w:t>
      </w:r>
      <w:r>
        <w:rPr>
          <w:color w:val="231F20"/>
          <w:w w:val="105"/>
        </w:rPr>
        <w:t xml:space="preserve">2, no. 13 </w:t>
      </w:r>
      <w:r>
        <w:rPr>
          <w:color w:val="231F20"/>
          <w:w w:val="87"/>
        </w:rPr>
        <w:t>(</w:t>
      </w:r>
      <w:r>
        <w:rPr>
          <w:color w:val="231F20"/>
          <w:w w:val="115"/>
        </w:rPr>
        <w:t>A</w:t>
      </w:r>
      <w:r>
        <w:rPr>
          <w:color w:val="231F20"/>
        </w:rPr>
        <w:t>u</w:t>
      </w:r>
      <w:r>
        <w:rPr>
          <w:color w:val="231F20"/>
          <w:w w:val="101"/>
        </w:rPr>
        <w:t>g</w:t>
      </w:r>
      <w:r>
        <w:rPr>
          <w:color w:val="231F20"/>
        </w:rPr>
        <w:t>u</w:t>
      </w:r>
      <w:r>
        <w:rPr>
          <w:color w:val="231F20"/>
          <w:w w:val="90"/>
        </w:rPr>
        <w:t>s</w:t>
      </w:r>
      <w:r>
        <w:rPr>
          <w:color w:val="231F20"/>
          <w:w w:val="98"/>
        </w:rPr>
        <w:t>t</w:t>
      </w:r>
      <w:r>
        <w:rPr>
          <w:color w:val="231F20"/>
        </w:rPr>
        <w:t xml:space="preserve"> 1</w:t>
      </w:r>
      <w:r>
        <w:rPr>
          <w:color w:val="231F20"/>
          <w:w w:val="135"/>
        </w:rPr>
        <w:t>,</w:t>
      </w:r>
      <w:r>
        <w:rPr>
          <w:color w:val="231F20"/>
        </w:rPr>
        <w:t xml:space="preserve"> 2001</w:t>
      </w:r>
      <w:r>
        <w:rPr>
          <w:color w:val="231F20"/>
          <w:w w:val="135"/>
        </w:rPr>
        <w:t>.</w:t>
      </w:r>
      <w:r>
        <w:rPr>
          <w:color w:val="231F20"/>
          <w:w w:val="87"/>
        </w:rPr>
        <w:t>)</w:t>
      </w:r>
      <w:r>
        <w:rPr>
          <w:color w:val="231F20"/>
        </w:rPr>
        <w:t xml:space="preserve"> </w:t>
      </w:r>
      <w:hyperlink r:id="rId554">
        <w:r>
          <w:rPr>
            <w:color w:val="231F20"/>
            <w:w w:val="99"/>
          </w:rPr>
          <w:t>ht</w:t>
        </w:r>
        <w:r>
          <w:rPr>
            <w:color w:val="231F20"/>
            <w:w w:val="98"/>
          </w:rPr>
          <w:t>t</w:t>
        </w:r>
        <w:r>
          <w:rPr>
            <w:color w:val="231F20"/>
            <w:w w:val="99"/>
          </w:rPr>
          <w:t>p</w:t>
        </w:r>
        <w:r>
          <w:rPr>
            <w:color w:val="231F20"/>
            <w:w w:val="105"/>
          </w:rPr>
          <w:t>:</w:t>
        </w:r>
        <w:r>
          <w:rPr>
            <w:color w:val="231F20"/>
            <w:w w:val="56"/>
          </w:rPr>
          <w:t>//</w:t>
        </w:r>
        <w:r>
          <w:rPr>
            <w:color w:val="231F20"/>
          </w:rPr>
          <w:t>www</w:t>
        </w:r>
        <w:r>
          <w:rPr>
            <w:color w:val="231F20"/>
            <w:w w:val="135"/>
          </w:rPr>
          <w:t>.</w:t>
        </w:r>
        <w:r>
          <w:rPr>
            <w:color w:val="231F20"/>
            <w:w w:val="101"/>
          </w:rPr>
          <w:t>g</w:t>
        </w:r>
        <w:r>
          <w:rPr>
            <w:color w:val="231F20"/>
            <w:w w:val="91"/>
          </w:rPr>
          <w:t>e</w:t>
        </w:r>
        <w:r>
          <w:rPr>
            <w:color w:val="231F20"/>
            <w:w w:val="94"/>
          </w:rPr>
          <w:t>r</w:t>
        </w:r>
        <w:r>
          <w:rPr>
            <w:color w:val="231F20"/>
            <w:w w:val="99"/>
          </w:rPr>
          <w:t>m</w:t>
        </w:r>
        <w:r>
          <w:rPr>
            <w:color w:val="231F20"/>
            <w:w w:val="102"/>
          </w:rPr>
          <w:t>a</w:t>
        </w:r>
        <w:r>
          <w:rPr>
            <w:color w:val="231F20"/>
            <w:w w:val="99"/>
          </w:rPr>
          <w:t>n</w:t>
        </w:r>
        <w:r>
          <w:rPr>
            <w:color w:val="231F20"/>
            <w:w w:val="102"/>
          </w:rPr>
          <w:t>la</w:t>
        </w:r>
        <w:r>
          <w:rPr>
            <w:color w:val="231F20"/>
          </w:rPr>
          <w:t>w</w:t>
        </w:r>
        <w:r>
          <w:rPr>
            <w:color w:val="231F20"/>
            <w:w w:val="104"/>
          </w:rPr>
          <w:t>jo</w:t>
        </w:r>
        <w:r>
          <w:rPr>
            <w:color w:val="231F20"/>
          </w:rPr>
          <w:t>u</w:t>
        </w:r>
        <w:r>
          <w:rPr>
            <w:color w:val="231F20"/>
            <w:w w:val="94"/>
          </w:rPr>
          <w:t>r</w:t>
        </w:r>
        <w:r>
          <w:rPr>
            <w:color w:val="231F20"/>
            <w:w w:val="99"/>
          </w:rPr>
          <w:t>n</w:t>
        </w:r>
        <w:r>
          <w:rPr>
            <w:color w:val="231F20"/>
            <w:w w:val="102"/>
          </w:rPr>
          <w:t>al</w:t>
        </w:r>
        <w:r>
          <w:rPr>
            <w:color w:val="231F20"/>
            <w:w w:val="135"/>
          </w:rPr>
          <w:t>.</w:t>
        </w:r>
        <w:r>
          <w:rPr>
            <w:color w:val="231F20"/>
          </w:rPr>
          <w:t>c</w:t>
        </w:r>
        <w:r>
          <w:rPr>
            <w:color w:val="231F20"/>
            <w:w w:val="104"/>
          </w:rPr>
          <w:t>o</w:t>
        </w:r>
        <w:r>
          <w:rPr>
            <w:color w:val="231F20"/>
            <w:w w:val="99"/>
          </w:rPr>
          <w:t>m</w:t>
        </w:r>
        <w:r>
          <w:rPr>
            <w:color w:val="231F20"/>
            <w:w w:val="56"/>
          </w:rPr>
          <w:t>/</w:t>
        </w:r>
      </w:hyperlink>
      <w:r>
        <w:rPr>
          <w:color w:val="231F20"/>
          <w:w w:val="56"/>
        </w:rPr>
        <w:t xml:space="preserve"> </w:t>
      </w:r>
      <w:r>
        <w:rPr>
          <w:color w:val="231F20"/>
          <w:w w:val="105"/>
        </w:rPr>
        <w:t>past_issues.php?id=74.</w:t>
      </w:r>
    </w:p>
    <w:p w14:paraId="37C99AD2" w14:textId="77777777" w:rsidR="002653E8" w:rsidRDefault="003115E3">
      <w:pPr>
        <w:pStyle w:val="a3"/>
        <w:spacing w:before="164" w:line="244" w:lineRule="auto"/>
        <w:ind w:left="2282" w:right="1580" w:hanging="1079"/>
      </w:pPr>
      <w:r>
        <w:rPr>
          <w:color w:val="231F20"/>
          <w:w w:val="105"/>
        </w:rPr>
        <w:t xml:space="preserve">Graf, William D. “Anti-Communism in the Federal Republic of Germany.” </w:t>
      </w:r>
      <w:r>
        <w:rPr>
          <w:i/>
          <w:color w:val="231F20"/>
          <w:w w:val="105"/>
        </w:rPr>
        <w:t xml:space="preserve">Socialist Register </w:t>
      </w:r>
      <w:r>
        <w:rPr>
          <w:color w:val="231F20"/>
          <w:w w:val="105"/>
        </w:rPr>
        <w:t>(1984): 164-213.</w:t>
      </w:r>
    </w:p>
    <w:p w14:paraId="4C452B7A" w14:textId="77777777" w:rsidR="002653E8" w:rsidRDefault="003115E3">
      <w:pPr>
        <w:spacing w:before="161" w:line="244" w:lineRule="auto"/>
        <w:ind w:left="2282" w:right="1580" w:hanging="1134"/>
        <w:rPr>
          <w:sz w:val="20"/>
        </w:rPr>
      </w:pPr>
      <w:r>
        <w:rPr>
          <w:color w:val="231F20"/>
          <w:sz w:val="20"/>
        </w:rPr>
        <w:t xml:space="preserve">---------“Beyond Social Democracy in West Germany?” </w:t>
      </w:r>
      <w:r>
        <w:rPr>
          <w:i/>
          <w:color w:val="231F20"/>
          <w:sz w:val="20"/>
        </w:rPr>
        <w:t xml:space="preserve">Socialist Register </w:t>
      </w:r>
      <w:r>
        <w:rPr>
          <w:color w:val="231F20"/>
          <w:sz w:val="20"/>
        </w:rPr>
        <w:t>(1985/86): 98-136.</w:t>
      </w:r>
    </w:p>
    <w:p w14:paraId="14A1C236" w14:textId="77777777" w:rsidR="002653E8" w:rsidRDefault="003115E3">
      <w:pPr>
        <w:pStyle w:val="a3"/>
        <w:spacing w:before="162" w:line="244" w:lineRule="auto"/>
        <w:ind w:left="2281" w:right="1479" w:hanging="1134"/>
      </w:pPr>
      <w:r>
        <w:rPr>
          <w:color w:val="231F20"/>
          <w:w w:val="105"/>
        </w:rPr>
        <w:t xml:space="preserve">Herf, Jeffrey. “The ‘Holocaust’ Reception in West Germany: Right, Center and Left,” in “Germans and Jews,” special issue, </w:t>
      </w:r>
      <w:r>
        <w:rPr>
          <w:i/>
          <w:color w:val="231F20"/>
          <w:w w:val="105"/>
        </w:rPr>
        <w:t xml:space="preserve">New German Critique </w:t>
      </w:r>
      <w:r>
        <w:rPr>
          <w:color w:val="231F20"/>
          <w:w w:val="105"/>
        </w:rPr>
        <w:t>19 (Winter 1980): 30-52.</w:t>
      </w:r>
    </w:p>
    <w:p w14:paraId="1CA451C2" w14:textId="77777777" w:rsidR="002653E8" w:rsidRDefault="003115E3">
      <w:pPr>
        <w:pStyle w:val="a3"/>
        <w:spacing w:before="163" w:line="244" w:lineRule="auto"/>
        <w:ind w:left="2281" w:right="1370" w:hanging="1134"/>
      </w:pPr>
      <w:r>
        <w:rPr>
          <w:color w:val="231F20"/>
          <w:w w:val="105"/>
        </w:rPr>
        <w:t xml:space="preserve">Herzog, Dagmar. “‘Pleasure, Sex, and Politics Belong Together’: PostHolocaust Memory and the Sexual Revolution in West Germany,” in “Intimacy,” special issue, </w:t>
      </w:r>
      <w:r>
        <w:rPr>
          <w:i/>
          <w:color w:val="231F20"/>
          <w:w w:val="105"/>
        </w:rPr>
        <w:t xml:space="preserve">Critical Inquiry </w:t>
      </w:r>
      <w:r>
        <w:rPr>
          <w:color w:val="231F20"/>
          <w:w w:val="105"/>
        </w:rPr>
        <w:t>24, no. 2 (Winter 1998): 393-444.</w:t>
      </w:r>
    </w:p>
    <w:p w14:paraId="66E14588" w14:textId="77777777" w:rsidR="002653E8" w:rsidRDefault="003115E3">
      <w:pPr>
        <w:spacing w:before="163" w:line="244" w:lineRule="auto"/>
        <w:ind w:left="2282" w:right="1580" w:hanging="1134"/>
        <w:rPr>
          <w:sz w:val="20"/>
        </w:rPr>
      </w:pPr>
      <w:r>
        <w:rPr>
          <w:color w:val="231F20"/>
          <w:w w:val="105"/>
          <w:sz w:val="20"/>
        </w:rPr>
        <w:t xml:space="preserve">Horton, K.C. “Abortion Law Reform in the German Federal Republic.” </w:t>
      </w:r>
      <w:r>
        <w:rPr>
          <w:i/>
          <w:color w:val="231F20"/>
          <w:w w:val="105"/>
          <w:sz w:val="20"/>
        </w:rPr>
        <w:t xml:space="preserve">The International and Comparative Law Quarterly </w:t>
      </w:r>
      <w:r>
        <w:rPr>
          <w:color w:val="231F20"/>
          <w:w w:val="105"/>
          <w:sz w:val="20"/>
        </w:rPr>
        <w:t>28, no. 2 (April 1979): 288-296.</w:t>
      </w:r>
    </w:p>
    <w:p w14:paraId="6B356C3D" w14:textId="77777777" w:rsidR="002653E8" w:rsidRDefault="003115E3">
      <w:pPr>
        <w:pStyle w:val="a3"/>
        <w:spacing w:before="162"/>
        <w:ind w:left="1147"/>
      </w:pPr>
      <w:r>
        <w:rPr>
          <w:color w:val="231F20"/>
          <w:w w:val="110"/>
        </w:rPr>
        <w:t>Hoshino Altbach, Edith. “The New German Women’s Movement.”</w:t>
      </w:r>
    </w:p>
    <w:p w14:paraId="7B864755" w14:textId="77777777" w:rsidR="002653E8" w:rsidRDefault="003115E3">
      <w:pPr>
        <w:pStyle w:val="a3"/>
        <w:spacing w:before="6"/>
        <w:ind w:left="2281"/>
      </w:pPr>
      <w:r>
        <w:rPr>
          <w:i/>
          <w:color w:val="231F20"/>
          <w:w w:val="105"/>
        </w:rPr>
        <w:t xml:space="preserve">Signs </w:t>
      </w:r>
      <w:r>
        <w:rPr>
          <w:color w:val="231F20"/>
          <w:w w:val="105"/>
        </w:rPr>
        <w:t>9, no. 3 (Spring, 1984): 454-469.</w:t>
      </w:r>
    </w:p>
    <w:p w14:paraId="696B8CB9" w14:textId="77777777" w:rsidR="002653E8" w:rsidRDefault="002653E8">
      <w:pPr>
        <w:sectPr w:rsidR="002653E8">
          <w:footerReference w:type="even" r:id="rId555"/>
          <w:footerReference w:type="default" r:id="rId556"/>
          <w:pgSz w:w="8640" w:h="12960"/>
          <w:pgMar w:top="1060" w:right="0" w:bottom="1040" w:left="0" w:header="0" w:footer="850" w:gutter="0"/>
          <w:cols w:space="720"/>
        </w:sectPr>
      </w:pPr>
    </w:p>
    <w:p w14:paraId="5E02975B" w14:textId="77777777" w:rsidR="002653E8" w:rsidRDefault="003115E3">
      <w:pPr>
        <w:pStyle w:val="a3"/>
        <w:spacing w:before="70" w:line="244" w:lineRule="auto"/>
        <w:ind w:left="2461" w:right="1366" w:hanging="1134"/>
        <w:jc w:val="both"/>
      </w:pPr>
      <w:r>
        <w:rPr>
          <w:color w:val="231F20"/>
          <w:w w:val="105"/>
        </w:rPr>
        <w:lastRenderedPageBreak/>
        <w:t xml:space="preserve">Hudson, Michael </w:t>
      </w:r>
      <w:r>
        <w:rPr>
          <w:color w:val="231F20"/>
          <w:spacing w:val="2"/>
          <w:w w:val="105"/>
        </w:rPr>
        <w:t xml:space="preserve">C. </w:t>
      </w:r>
      <w:r>
        <w:rPr>
          <w:color w:val="231F20"/>
          <w:w w:val="105"/>
        </w:rPr>
        <w:t xml:space="preserve">“Developments and Setbacks in the Palestinian Resistance Movement </w:t>
      </w:r>
      <w:r>
        <w:rPr>
          <w:color w:val="231F20"/>
          <w:spacing w:val="-6"/>
          <w:w w:val="105"/>
        </w:rPr>
        <w:t xml:space="preserve">1967-1971.” </w:t>
      </w:r>
      <w:r>
        <w:rPr>
          <w:i/>
          <w:color w:val="231F20"/>
          <w:w w:val="105"/>
        </w:rPr>
        <w:t xml:space="preserve">Journal of Palestine </w:t>
      </w:r>
      <w:r>
        <w:rPr>
          <w:i/>
          <w:color w:val="231F20"/>
          <w:w w:val="110"/>
        </w:rPr>
        <w:t xml:space="preserve">Studies </w:t>
      </w:r>
      <w:r>
        <w:rPr>
          <w:color w:val="231F20"/>
          <w:w w:val="110"/>
        </w:rPr>
        <w:t xml:space="preserve">1, no. 3 (Spring </w:t>
      </w:r>
      <w:r>
        <w:rPr>
          <w:color w:val="231F20"/>
          <w:spacing w:val="-5"/>
          <w:w w:val="110"/>
        </w:rPr>
        <w:t xml:space="preserve">1972): </w:t>
      </w:r>
      <w:r>
        <w:rPr>
          <w:color w:val="231F20"/>
          <w:spacing w:val="-2"/>
          <w:w w:val="110"/>
        </w:rPr>
        <w:t>64-84.</w:t>
      </w:r>
    </w:p>
    <w:p w14:paraId="24756B75" w14:textId="77777777" w:rsidR="002653E8" w:rsidRDefault="003115E3">
      <w:pPr>
        <w:pStyle w:val="a3"/>
        <w:spacing w:before="162" w:line="244" w:lineRule="auto"/>
        <w:ind w:left="2462" w:right="1436" w:hanging="1134"/>
      </w:pPr>
      <w:r>
        <w:rPr>
          <w:color w:val="231F20"/>
          <w:w w:val="105"/>
        </w:rPr>
        <w:t xml:space="preserve">Jacobs, Monica. “Civil Rights and Women’s Rights in the Federal Republic of Germany,” in Special Feminist Issue, </w:t>
      </w:r>
      <w:r>
        <w:rPr>
          <w:i/>
          <w:color w:val="231F20"/>
          <w:w w:val="105"/>
        </w:rPr>
        <w:t xml:space="preserve">New German Critique </w:t>
      </w:r>
      <w:r>
        <w:rPr>
          <w:color w:val="231F20"/>
          <w:w w:val="105"/>
        </w:rPr>
        <w:t>13 (Winter 1978): 164-174.</w:t>
      </w:r>
    </w:p>
    <w:p w14:paraId="47A82279" w14:textId="77777777" w:rsidR="002653E8" w:rsidRDefault="003115E3">
      <w:pPr>
        <w:spacing w:before="163" w:line="244" w:lineRule="auto"/>
        <w:ind w:left="2462" w:right="1303" w:hanging="1134"/>
        <w:rPr>
          <w:sz w:val="20"/>
        </w:rPr>
      </w:pPr>
      <w:r>
        <w:rPr>
          <w:color w:val="231F20"/>
          <w:w w:val="105"/>
          <w:sz w:val="20"/>
        </w:rPr>
        <w:t xml:space="preserve">Koopmans, Ruud. “The Dynamics of Protest Waves: West Germany, 1965 to 1989.” </w:t>
      </w:r>
      <w:r>
        <w:rPr>
          <w:i/>
          <w:color w:val="231F20"/>
          <w:w w:val="105"/>
          <w:sz w:val="20"/>
        </w:rPr>
        <w:t xml:space="preserve">American Sociological Review </w:t>
      </w:r>
      <w:r>
        <w:rPr>
          <w:color w:val="231F20"/>
          <w:w w:val="105"/>
          <w:sz w:val="20"/>
        </w:rPr>
        <w:t>58, no. 5</w:t>
      </w:r>
    </w:p>
    <w:p w14:paraId="183F53ED" w14:textId="77777777" w:rsidR="002653E8" w:rsidRDefault="003115E3">
      <w:pPr>
        <w:pStyle w:val="a3"/>
        <w:spacing w:before="1"/>
        <w:ind w:left="2462"/>
      </w:pPr>
      <w:r>
        <w:rPr>
          <w:color w:val="231F20"/>
        </w:rPr>
        <w:t>(October 1993): 637-658.</w:t>
      </w:r>
    </w:p>
    <w:p w14:paraId="50836804" w14:textId="77777777" w:rsidR="002653E8" w:rsidRDefault="003115E3">
      <w:pPr>
        <w:pStyle w:val="a3"/>
        <w:spacing w:before="166" w:line="244" w:lineRule="auto"/>
        <w:ind w:left="2462" w:right="1655" w:hanging="1134"/>
      </w:pPr>
      <w:r>
        <w:rPr>
          <w:color w:val="231F20"/>
          <w:w w:val="110"/>
        </w:rPr>
        <w:t xml:space="preserve">Kumagai, J. “The German Solution.” </w:t>
      </w:r>
      <w:r>
        <w:rPr>
          <w:i/>
          <w:color w:val="231F20"/>
          <w:w w:val="110"/>
        </w:rPr>
        <w:t xml:space="preserve">IEEE Spectrum </w:t>
      </w:r>
      <w:r>
        <w:rPr>
          <w:color w:val="231F20"/>
          <w:w w:val="110"/>
        </w:rPr>
        <w:t>(April 11, 2003): 30.</w:t>
      </w:r>
    </w:p>
    <w:p w14:paraId="5C3A2EC7" w14:textId="77777777" w:rsidR="002653E8" w:rsidRDefault="003115E3">
      <w:pPr>
        <w:pStyle w:val="a3"/>
        <w:spacing w:before="162"/>
        <w:ind w:left="1328"/>
      </w:pPr>
      <w:r>
        <w:rPr>
          <w:color w:val="231F20"/>
          <w:w w:val="115"/>
        </w:rPr>
        <w:t>Lasky, Melvin J. “Ulrike Meinhof &amp; the Baader-Meinhof Gang.”</w:t>
      </w:r>
    </w:p>
    <w:p w14:paraId="3F217384" w14:textId="77777777" w:rsidR="002653E8" w:rsidRDefault="003115E3">
      <w:pPr>
        <w:spacing w:before="5"/>
        <w:ind w:left="2462"/>
        <w:rPr>
          <w:sz w:val="20"/>
        </w:rPr>
      </w:pPr>
      <w:r>
        <w:rPr>
          <w:i/>
          <w:color w:val="231F20"/>
          <w:w w:val="105"/>
          <w:sz w:val="20"/>
        </w:rPr>
        <w:t xml:space="preserve">Encounter </w:t>
      </w:r>
      <w:r>
        <w:rPr>
          <w:color w:val="231F20"/>
          <w:w w:val="105"/>
          <w:sz w:val="20"/>
        </w:rPr>
        <w:t>44, no.6: 9-23.</w:t>
      </w:r>
    </w:p>
    <w:p w14:paraId="01596606" w14:textId="77777777" w:rsidR="002653E8" w:rsidRDefault="003115E3">
      <w:pPr>
        <w:spacing w:before="166" w:line="244" w:lineRule="auto"/>
        <w:ind w:left="2461" w:right="1580" w:hanging="1134"/>
        <w:rPr>
          <w:sz w:val="20"/>
        </w:rPr>
      </w:pPr>
      <w:r>
        <w:rPr>
          <w:color w:val="231F20"/>
          <w:w w:val="105"/>
          <w:sz w:val="20"/>
        </w:rPr>
        <w:t xml:space="preserve">Mayer, Margit. “The German October of 1977.” </w:t>
      </w:r>
      <w:r>
        <w:rPr>
          <w:i/>
          <w:color w:val="231F20"/>
          <w:w w:val="105"/>
          <w:sz w:val="20"/>
        </w:rPr>
        <w:t>New German Critique</w:t>
      </w:r>
      <w:r>
        <w:rPr>
          <w:color w:val="231F20"/>
          <w:w w:val="105"/>
          <w:sz w:val="20"/>
        </w:rPr>
        <w:t>13 (Winter 1978): 155-163.</w:t>
      </w:r>
    </w:p>
    <w:p w14:paraId="5DABAA34" w14:textId="77777777" w:rsidR="002653E8" w:rsidRDefault="003115E3">
      <w:pPr>
        <w:pStyle w:val="a3"/>
        <w:spacing w:before="161" w:line="244" w:lineRule="auto"/>
        <w:ind w:left="2461" w:right="1580" w:hanging="1134"/>
      </w:pPr>
      <w:r>
        <w:rPr>
          <w:color w:val="231F20"/>
          <w:w w:val="105"/>
        </w:rPr>
        <w:t xml:space="preserve">Mazrui, Ali A. “The Third World and International Terrorism: Preliminary Reflections.” </w:t>
      </w:r>
      <w:r>
        <w:rPr>
          <w:i/>
          <w:color w:val="231F20"/>
          <w:w w:val="105"/>
        </w:rPr>
        <w:t xml:space="preserve">Third World Quarterly </w:t>
      </w:r>
      <w:r>
        <w:rPr>
          <w:color w:val="231F20"/>
          <w:w w:val="105"/>
        </w:rPr>
        <w:t>7, no. 2. (April 1985): 348-364.</w:t>
      </w:r>
    </w:p>
    <w:p w14:paraId="1DAD654F" w14:textId="77777777" w:rsidR="002653E8" w:rsidRDefault="003115E3">
      <w:pPr>
        <w:spacing w:before="163" w:line="244" w:lineRule="auto"/>
        <w:ind w:left="2461" w:right="1580" w:hanging="1134"/>
        <w:rPr>
          <w:sz w:val="20"/>
        </w:rPr>
      </w:pPr>
      <w:r>
        <w:rPr>
          <w:color w:val="231F20"/>
          <w:w w:val="105"/>
          <w:sz w:val="20"/>
        </w:rPr>
        <w:t xml:space="preserve">Mewes, Horst. “The German New Left.” </w:t>
      </w:r>
      <w:r>
        <w:rPr>
          <w:i/>
          <w:color w:val="231F20"/>
          <w:w w:val="105"/>
          <w:sz w:val="20"/>
        </w:rPr>
        <w:t>New German Critique</w:t>
      </w:r>
      <w:r>
        <w:rPr>
          <w:color w:val="231F20"/>
          <w:w w:val="105"/>
          <w:sz w:val="20"/>
        </w:rPr>
        <w:t>1 (Winter 1973): 22-41.</w:t>
      </w:r>
    </w:p>
    <w:p w14:paraId="20145387" w14:textId="77777777" w:rsidR="002653E8" w:rsidRDefault="003115E3">
      <w:pPr>
        <w:pStyle w:val="a3"/>
        <w:spacing w:before="161" w:line="244" w:lineRule="auto"/>
        <w:ind w:left="2461" w:right="1479" w:hanging="1134"/>
      </w:pPr>
      <w:r>
        <w:rPr>
          <w:color w:val="231F20"/>
          <w:w w:val="105"/>
        </w:rPr>
        <w:t xml:space="preserve">Molyneux, Maxine, Aida yafai, Aisha Mohsen, and Noor Ba’abad “Women and Revolution in the People’s Democratic Republic of yemen.” </w:t>
      </w:r>
      <w:r>
        <w:rPr>
          <w:i/>
          <w:color w:val="231F20"/>
          <w:w w:val="105"/>
        </w:rPr>
        <w:t xml:space="preserve">Feminist Review </w:t>
      </w:r>
      <w:r>
        <w:rPr>
          <w:color w:val="231F20"/>
          <w:w w:val="105"/>
        </w:rPr>
        <w:t>1 (1979): 4-20.</w:t>
      </w:r>
    </w:p>
    <w:p w14:paraId="46D534FD" w14:textId="77777777" w:rsidR="002653E8" w:rsidRDefault="003115E3">
      <w:pPr>
        <w:pStyle w:val="a3"/>
        <w:spacing w:before="163" w:line="244" w:lineRule="auto"/>
        <w:ind w:left="2461" w:right="1145" w:hanging="1134"/>
      </w:pPr>
      <w:r>
        <w:rPr>
          <w:color w:val="231F20"/>
          <w:w w:val="105"/>
        </w:rPr>
        <w:t xml:space="preserve">Monson, Robert A. “Political Toleration versus Militant Democracy: The Case of West Germany.” </w:t>
      </w:r>
      <w:r>
        <w:rPr>
          <w:i/>
          <w:color w:val="231F20"/>
          <w:w w:val="105"/>
        </w:rPr>
        <w:t xml:space="preserve">German Studies Review </w:t>
      </w:r>
      <w:r>
        <w:rPr>
          <w:color w:val="231F20"/>
          <w:w w:val="105"/>
        </w:rPr>
        <w:t>7, no. 2 (May 1984): 301-324.</w:t>
      </w:r>
    </w:p>
    <w:p w14:paraId="7C5EAAAB" w14:textId="77777777" w:rsidR="002653E8" w:rsidRDefault="003115E3">
      <w:pPr>
        <w:spacing w:before="163" w:line="244" w:lineRule="auto"/>
        <w:ind w:left="2461" w:right="1145" w:hanging="1134"/>
        <w:rPr>
          <w:sz w:val="20"/>
        </w:rPr>
      </w:pPr>
      <w:r>
        <w:rPr>
          <w:color w:val="231F20"/>
          <w:w w:val="105"/>
          <w:sz w:val="20"/>
        </w:rPr>
        <w:t xml:space="preserve">“The Palestinian Resistance and Jordan.” </w:t>
      </w:r>
      <w:r>
        <w:rPr>
          <w:i/>
          <w:color w:val="231F20"/>
          <w:w w:val="105"/>
          <w:sz w:val="20"/>
        </w:rPr>
        <w:t>Journal of Palestine Studies</w:t>
      </w:r>
      <w:r>
        <w:rPr>
          <w:color w:val="231F20"/>
          <w:w w:val="105"/>
          <w:sz w:val="20"/>
        </w:rPr>
        <w:t>, 1, no. 1. (Autumn 1971): 162-170.</w:t>
      </w:r>
    </w:p>
    <w:p w14:paraId="56C65D61" w14:textId="77777777" w:rsidR="002653E8" w:rsidRDefault="003115E3">
      <w:pPr>
        <w:pStyle w:val="a3"/>
        <w:spacing w:before="161" w:line="244" w:lineRule="auto"/>
        <w:ind w:left="2461" w:right="1145" w:hanging="1134"/>
      </w:pPr>
      <w:r>
        <w:rPr>
          <w:color w:val="231F20"/>
          <w:w w:val="105"/>
        </w:rPr>
        <w:t xml:space="preserve">Paul, Diane. “‘In the Interests of Civilization’: Marxist Views of Race and Culture in the Nineteenth Century.” </w:t>
      </w:r>
      <w:r>
        <w:rPr>
          <w:i/>
          <w:color w:val="231F20"/>
          <w:w w:val="105"/>
        </w:rPr>
        <w:t xml:space="preserve">Journal of the History of Ideas </w:t>
      </w:r>
      <w:r>
        <w:rPr>
          <w:color w:val="231F20"/>
          <w:w w:val="105"/>
        </w:rPr>
        <w:t>42, no. 1 (January-March, 1981): 115-</w:t>
      </w:r>
    </w:p>
    <w:p w14:paraId="12F92470" w14:textId="77777777" w:rsidR="002653E8" w:rsidRDefault="003115E3">
      <w:pPr>
        <w:pStyle w:val="a3"/>
        <w:spacing w:before="3"/>
        <w:ind w:left="2461"/>
      </w:pPr>
      <w:r>
        <w:rPr>
          <w:color w:val="231F20"/>
          <w:w w:val="110"/>
        </w:rPr>
        <w:t>138.</w:t>
      </w:r>
    </w:p>
    <w:p w14:paraId="7AF79A20" w14:textId="77777777" w:rsidR="002653E8" w:rsidRDefault="003115E3">
      <w:pPr>
        <w:pStyle w:val="a3"/>
        <w:spacing w:before="165" w:line="244" w:lineRule="auto"/>
        <w:ind w:left="2461" w:right="1597" w:hanging="1134"/>
      </w:pPr>
      <w:r>
        <w:rPr>
          <w:color w:val="231F20"/>
          <w:w w:val="105"/>
        </w:rPr>
        <w:t xml:space="preserve">“Recent Emergency Legislation in West Germany.” </w:t>
      </w:r>
      <w:r>
        <w:rPr>
          <w:i/>
          <w:color w:val="231F20"/>
          <w:w w:val="105"/>
        </w:rPr>
        <w:t xml:space="preserve">Harvard Law Review </w:t>
      </w:r>
      <w:r>
        <w:rPr>
          <w:color w:val="231F20"/>
          <w:w w:val="105"/>
        </w:rPr>
        <w:t>82, no. 8. (June 1969): 1704-1737.</w:t>
      </w:r>
    </w:p>
    <w:p w14:paraId="07E0BBBC" w14:textId="77777777" w:rsidR="002653E8" w:rsidRDefault="002653E8">
      <w:pPr>
        <w:spacing w:line="244" w:lineRule="auto"/>
        <w:sectPr w:rsidR="002653E8">
          <w:pgSz w:w="8640" w:h="12960"/>
          <w:pgMar w:top="1060" w:right="0" w:bottom="1040" w:left="0" w:header="0" w:footer="850" w:gutter="0"/>
          <w:cols w:space="720"/>
        </w:sectPr>
      </w:pPr>
    </w:p>
    <w:p w14:paraId="538EC362" w14:textId="77777777" w:rsidR="002653E8" w:rsidRDefault="003115E3">
      <w:pPr>
        <w:pStyle w:val="a3"/>
        <w:spacing w:before="70"/>
        <w:ind w:left="1147"/>
      </w:pPr>
      <w:r>
        <w:rPr>
          <w:color w:val="231F20"/>
          <w:w w:val="105"/>
        </w:rPr>
        <w:lastRenderedPageBreak/>
        <w:t>Ryan, Mike. “The Stammheim Model—Judicial Counter-Insurgency.”</w:t>
      </w:r>
    </w:p>
    <w:p w14:paraId="26EA6743" w14:textId="77777777" w:rsidR="002653E8" w:rsidRDefault="003115E3">
      <w:pPr>
        <w:spacing w:before="5"/>
        <w:ind w:left="2281"/>
        <w:rPr>
          <w:sz w:val="20"/>
        </w:rPr>
      </w:pPr>
      <w:r>
        <w:rPr>
          <w:i/>
          <w:color w:val="231F20"/>
          <w:w w:val="105"/>
          <w:sz w:val="20"/>
        </w:rPr>
        <w:t xml:space="preserve">New Studies on the Left </w:t>
      </w:r>
      <w:r>
        <w:rPr>
          <w:color w:val="231F20"/>
          <w:w w:val="105"/>
          <w:sz w:val="20"/>
        </w:rPr>
        <w:t xml:space="preserve">14, no. 1 </w:t>
      </w:r>
      <w:r>
        <w:rPr>
          <w:color w:val="231F20"/>
          <w:w w:val="110"/>
          <w:sz w:val="20"/>
        </w:rPr>
        <w:t xml:space="preserve">&amp; </w:t>
      </w:r>
      <w:r>
        <w:rPr>
          <w:color w:val="231F20"/>
          <w:w w:val="105"/>
          <w:sz w:val="20"/>
        </w:rPr>
        <w:t>2 (1989): 45-68.</w:t>
      </w:r>
    </w:p>
    <w:p w14:paraId="098834F5" w14:textId="77777777" w:rsidR="002653E8" w:rsidRDefault="003115E3">
      <w:pPr>
        <w:pStyle w:val="a3"/>
        <w:spacing w:before="166" w:line="244" w:lineRule="auto"/>
        <w:ind w:left="2281" w:right="1463" w:hanging="1134"/>
      </w:pPr>
      <w:r>
        <w:rPr>
          <w:color w:val="231F20"/>
          <w:w w:val="105"/>
        </w:rPr>
        <w:t xml:space="preserve">Schlaeger, Hilke and Nancy Vedder-Shults. “West German Women’s Movement.” </w:t>
      </w:r>
      <w:r>
        <w:rPr>
          <w:i/>
          <w:color w:val="231F20"/>
          <w:w w:val="105"/>
        </w:rPr>
        <w:t xml:space="preserve">New German Critique </w:t>
      </w:r>
      <w:r>
        <w:rPr>
          <w:color w:val="231F20"/>
          <w:w w:val="105"/>
        </w:rPr>
        <w:t>13 (Winter 1978): 59-68.</w:t>
      </w:r>
    </w:p>
    <w:p w14:paraId="496456A6" w14:textId="77777777" w:rsidR="002653E8" w:rsidRDefault="003115E3">
      <w:pPr>
        <w:pStyle w:val="a3"/>
        <w:spacing w:before="162"/>
        <w:ind w:left="1147"/>
      </w:pPr>
      <w:r>
        <w:rPr>
          <w:color w:val="231F20"/>
          <w:w w:val="105"/>
        </w:rPr>
        <w:t>Schmidtke, Michael A. “Cultural Revolution or Cultural Shock?</w:t>
      </w:r>
    </w:p>
    <w:p w14:paraId="295CE843" w14:textId="77777777" w:rsidR="002653E8" w:rsidRDefault="003115E3">
      <w:pPr>
        <w:pStyle w:val="a3"/>
        <w:spacing w:before="6" w:line="244" w:lineRule="auto"/>
        <w:ind w:left="2281" w:right="1527"/>
      </w:pPr>
      <w:r>
        <w:rPr>
          <w:color w:val="231F20"/>
          <w:w w:val="110"/>
        </w:rPr>
        <w:t xml:space="preserve">Student Radicalism and </w:t>
      </w:r>
      <w:r>
        <w:rPr>
          <w:color w:val="231F20"/>
          <w:spacing w:val="-4"/>
          <w:w w:val="110"/>
        </w:rPr>
        <w:t xml:space="preserve">1968 </w:t>
      </w:r>
      <w:r>
        <w:rPr>
          <w:color w:val="231F20"/>
          <w:w w:val="110"/>
        </w:rPr>
        <w:t xml:space="preserve">in Germany,” in “Rethinking </w:t>
      </w:r>
      <w:r>
        <w:rPr>
          <w:color w:val="231F20"/>
          <w:spacing w:val="-4"/>
          <w:w w:val="110"/>
        </w:rPr>
        <w:t xml:space="preserve">1968: </w:t>
      </w:r>
      <w:r>
        <w:rPr>
          <w:color w:val="231F20"/>
          <w:w w:val="110"/>
        </w:rPr>
        <w:t>The United States &amp; Western Europe,”</w:t>
      </w:r>
      <w:r>
        <w:rPr>
          <w:color w:val="231F20"/>
          <w:spacing w:val="-20"/>
          <w:w w:val="110"/>
        </w:rPr>
        <w:t xml:space="preserve"> </w:t>
      </w:r>
      <w:r>
        <w:rPr>
          <w:color w:val="231F20"/>
          <w:w w:val="110"/>
        </w:rPr>
        <w:t>special</w:t>
      </w:r>
      <w:r>
        <w:rPr>
          <w:color w:val="231F20"/>
          <w:spacing w:val="-20"/>
          <w:w w:val="110"/>
        </w:rPr>
        <w:t xml:space="preserve"> </w:t>
      </w:r>
      <w:r>
        <w:rPr>
          <w:color w:val="231F20"/>
          <w:w w:val="110"/>
        </w:rPr>
        <w:t>issue.</w:t>
      </w:r>
      <w:r>
        <w:rPr>
          <w:color w:val="231F20"/>
          <w:spacing w:val="-20"/>
          <w:w w:val="110"/>
        </w:rPr>
        <w:t xml:space="preserve"> </w:t>
      </w:r>
      <w:r>
        <w:rPr>
          <w:i/>
          <w:color w:val="231F20"/>
          <w:w w:val="110"/>
        </w:rPr>
        <w:t>South</w:t>
      </w:r>
      <w:r>
        <w:rPr>
          <w:i/>
          <w:color w:val="231F20"/>
          <w:spacing w:val="-20"/>
          <w:w w:val="110"/>
        </w:rPr>
        <w:t xml:space="preserve"> </w:t>
      </w:r>
      <w:r>
        <w:rPr>
          <w:i/>
          <w:color w:val="231F20"/>
          <w:w w:val="110"/>
        </w:rPr>
        <w:t>Central</w:t>
      </w:r>
      <w:r>
        <w:rPr>
          <w:i/>
          <w:color w:val="231F20"/>
          <w:spacing w:val="-20"/>
          <w:w w:val="110"/>
        </w:rPr>
        <w:t xml:space="preserve"> </w:t>
      </w:r>
      <w:r>
        <w:rPr>
          <w:i/>
          <w:color w:val="231F20"/>
          <w:spacing w:val="1"/>
          <w:w w:val="110"/>
        </w:rPr>
        <w:t>Review</w:t>
      </w:r>
      <w:r>
        <w:rPr>
          <w:i/>
          <w:color w:val="231F20"/>
          <w:spacing w:val="-20"/>
          <w:w w:val="110"/>
        </w:rPr>
        <w:t xml:space="preserve"> </w:t>
      </w:r>
      <w:r>
        <w:rPr>
          <w:color w:val="231F20"/>
          <w:spacing w:val="-4"/>
          <w:w w:val="110"/>
        </w:rPr>
        <w:t>16,</w:t>
      </w:r>
      <w:r>
        <w:rPr>
          <w:color w:val="231F20"/>
          <w:spacing w:val="-20"/>
          <w:w w:val="110"/>
        </w:rPr>
        <w:t xml:space="preserve"> </w:t>
      </w:r>
      <w:r>
        <w:rPr>
          <w:color w:val="231F20"/>
          <w:w w:val="110"/>
        </w:rPr>
        <w:t>no.</w:t>
      </w:r>
      <w:r>
        <w:rPr>
          <w:color w:val="231F20"/>
          <w:spacing w:val="-20"/>
          <w:w w:val="110"/>
        </w:rPr>
        <w:t xml:space="preserve"> </w:t>
      </w:r>
      <w:r>
        <w:rPr>
          <w:color w:val="231F20"/>
          <w:w w:val="110"/>
        </w:rPr>
        <w:t xml:space="preserve">4, (Winter, </w:t>
      </w:r>
      <w:r>
        <w:rPr>
          <w:color w:val="231F20"/>
          <w:spacing w:val="-3"/>
          <w:w w:val="110"/>
        </w:rPr>
        <w:t xml:space="preserve">1999 </w:t>
      </w:r>
      <w:r>
        <w:rPr>
          <w:color w:val="231F20"/>
          <w:w w:val="110"/>
        </w:rPr>
        <w:t>Spring, 2000):</w:t>
      </w:r>
      <w:r>
        <w:rPr>
          <w:color w:val="231F20"/>
          <w:spacing w:val="-3"/>
          <w:w w:val="110"/>
        </w:rPr>
        <w:t xml:space="preserve"> </w:t>
      </w:r>
      <w:r>
        <w:rPr>
          <w:color w:val="231F20"/>
          <w:w w:val="110"/>
        </w:rPr>
        <w:t>77-89.</w:t>
      </w:r>
    </w:p>
    <w:p w14:paraId="6C471087" w14:textId="77777777" w:rsidR="002653E8" w:rsidRDefault="003115E3">
      <w:pPr>
        <w:spacing w:before="163" w:line="244" w:lineRule="auto"/>
        <w:ind w:left="2282" w:right="1580" w:hanging="1134"/>
        <w:rPr>
          <w:sz w:val="20"/>
        </w:rPr>
      </w:pPr>
      <w:r>
        <w:rPr>
          <w:color w:val="231F20"/>
          <w:w w:val="105"/>
          <w:sz w:val="20"/>
        </w:rPr>
        <w:t xml:space="preserve">Schweitzer, C. C. “Emergency Powers in the Federal Republic of Germany.” </w:t>
      </w:r>
      <w:r>
        <w:rPr>
          <w:i/>
          <w:color w:val="231F20"/>
          <w:w w:val="105"/>
          <w:sz w:val="20"/>
        </w:rPr>
        <w:t xml:space="preserve">The Western Political Quarterly </w:t>
      </w:r>
      <w:r>
        <w:rPr>
          <w:color w:val="231F20"/>
          <w:w w:val="105"/>
          <w:sz w:val="20"/>
        </w:rPr>
        <w:t>22, no. 1 (March 1969): 112-121.</w:t>
      </w:r>
    </w:p>
    <w:p w14:paraId="7D52021A" w14:textId="77777777" w:rsidR="002653E8" w:rsidRDefault="003115E3">
      <w:pPr>
        <w:pStyle w:val="a3"/>
        <w:spacing w:before="163" w:line="244" w:lineRule="auto"/>
        <w:ind w:left="2281" w:right="1325" w:hanging="1134"/>
      </w:pPr>
      <w:r>
        <w:rPr>
          <w:color w:val="231F20"/>
          <w:w w:val="105"/>
        </w:rPr>
        <w:t>Shell, Kurt L. “Extraparliamentary Opposition in Postwar Germany,” in “West German Election of 1969.” special issue.</w:t>
      </w:r>
    </w:p>
    <w:p w14:paraId="4E279169" w14:textId="77777777" w:rsidR="002653E8" w:rsidRDefault="003115E3">
      <w:pPr>
        <w:spacing w:before="1"/>
        <w:ind w:left="2281"/>
        <w:rPr>
          <w:sz w:val="20"/>
        </w:rPr>
      </w:pPr>
      <w:r>
        <w:rPr>
          <w:i/>
          <w:color w:val="231F20"/>
          <w:w w:val="105"/>
          <w:sz w:val="20"/>
        </w:rPr>
        <w:t xml:space="preserve">Comparative Politics </w:t>
      </w:r>
      <w:r>
        <w:rPr>
          <w:color w:val="231F20"/>
          <w:w w:val="105"/>
          <w:sz w:val="20"/>
        </w:rPr>
        <w:t>2, no. 4 (July 1970): 653-680.</w:t>
      </w:r>
    </w:p>
    <w:p w14:paraId="5F024D9F" w14:textId="77777777" w:rsidR="002653E8" w:rsidRDefault="003115E3">
      <w:pPr>
        <w:pStyle w:val="a3"/>
        <w:spacing w:before="166" w:line="244" w:lineRule="auto"/>
        <w:ind w:left="2281" w:right="1307" w:hanging="1134"/>
      </w:pPr>
      <w:r>
        <w:rPr>
          <w:color w:val="231F20"/>
          <w:w w:val="105"/>
        </w:rPr>
        <w:t xml:space="preserve">Stork, Joe. “Socialist Revolution in Arabia: A Report from the People’s Democratic Republic of yemen.” </w:t>
      </w:r>
      <w:r>
        <w:rPr>
          <w:i/>
          <w:color w:val="231F20"/>
          <w:w w:val="105"/>
        </w:rPr>
        <w:t xml:space="preserve">MERIP Reports </w:t>
      </w:r>
      <w:r>
        <w:rPr>
          <w:color w:val="231F20"/>
          <w:w w:val="105"/>
        </w:rPr>
        <w:t>15 (March, 1973): 1-25.</w:t>
      </w:r>
    </w:p>
    <w:p w14:paraId="7668BCDA" w14:textId="77777777" w:rsidR="002653E8" w:rsidRDefault="003115E3">
      <w:pPr>
        <w:spacing w:before="162"/>
        <w:ind w:left="1147"/>
        <w:rPr>
          <w:sz w:val="20"/>
        </w:rPr>
      </w:pPr>
      <w:r>
        <w:rPr>
          <w:color w:val="231F20"/>
          <w:w w:val="105"/>
          <w:sz w:val="20"/>
        </w:rPr>
        <w:t xml:space="preserve">“Strike of Arab Prisoners in Israel.” </w:t>
      </w:r>
      <w:r>
        <w:rPr>
          <w:i/>
          <w:color w:val="231F20"/>
          <w:w w:val="105"/>
          <w:sz w:val="20"/>
        </w:rPr>
        <w:t xml:space="preserve">Journal of Palestine Studies </w:t>
      </w:r>
      <w:r>
        <w:rPr>
          <w:color w:val="231F20"/>
          <w:w w:val="105"/>
          <w:sz w:val="20"/>
        </w:rPr>
        <w:t>7, no.</w:t>
      </w:r>
    </w:p>
    <w:p w14:paraId="2B21ED35" w14:textId="77777777" w:rsidR="002653E8" w:rsidRDefault="003115E3">
      <w:pPr>
        <w:pStyle w:val="a3"/>
        <w:spacing w:before="6"/>
        <w:ind w:left="2281"/>
      </w:pPr>
      <w:r>
        <w:rPr>
          <w:color w:val="231F20"/>
        </w:rPr>
        <w:t>1 (Autumn 1977): 169-171.</w:t>
      </w:r>
    </w:p>
    <w:p w14:paraId="4F95E764" w14:textId="77777777" w:rsidR="002653E8" w:rsidRPr="00846956" w:rsidRDefault="003115E3">
      <w:pPr>
        <w:pStyle w:val="a3"/>
        <w:spacing w:before="165" w:line="244" w:lineRule="auto"/>
        <w:ind w:left="2281" w:right="1580" w:hanging="1134"/>
        <w:rPr>
          <w:lang w:val="de-DE"/>
        </w:rPr>
      </w:pPr>
      <w:r>
        <w:rPr>
          <w:color w:val="231F20"/>
          <w:w w:val="105"/>
        </w:rPr>
        <w:t xml:space="preserve">Watson, George. “Race and the Socialists.” </w:t>
      </w:r>
      <w:r w:rsidRPr="00846956">
        <w:rPr>
          <w:i/>
          <w:color w:val="231F20"/>
          <w:w w:val="105"/>
          <w:lang w:val="de-DE"/>
        </w:rPr>
        <w:t xml:space="preserve">Encounter </w:t>
      </w:r>
      <w:r w:rsidRPr="00846956">
        <w:rPr>
          <w:color w:val="231F20"/>
          <w:w w:val="105"/>
          <w:lang w:val="de-DE"/>
        </w:rPr>
        <w:t>47 (November 1976): 15-23.</w:t>
      </w:r>
    </w:p>
    <w:p w14:paraId="44DAB8B3" w14:textId="77777777" w:rsidR="002653E8" w:rsidRDefault="003115E3">
      <w:pPr>
        <w:pStyle w:val="a3"/>
        <w:spacing w:before="162" w:line="244" w:lineRule="auto"/>
        <w:ind w:left="2282" w:right="1516" w:hanging="1134"/>
      </w:pPr>
      <w:r w:rsidRPr="00846956">
        <w:rPr>
          <w:color w:val="231F20"/>
          <w:w w:val="105"/>
          <w:lang w:val="de-DE"/>
        </w:rPr>
        <w:t xml:space="preserve">Webler, Wolff-Dietrich. </w:t>
      </w:r>
      <w:r>
        <w:rPr>
          <w:color w:val="231F20"/>
          <w:w w:val="105"/>
        </w:rPr>
        <w:t xml:space="preserve">“The Sixties and the Seventies: Aspects of Student Activism in West Germany.” </w:t>
      </w:r>
      <w:r>
        <w:rPr>
          <w:i/>
          <w:color w:val="231F20"/>
          <w:w w:val="105"/>
        </w:rPr>
        <w:t xml:space="preserve">Higher Education </w:t>
      </w:r>
      <w:r>
        <w:rPr>
          <w:color w:val="231F20"/>
          <w:w w:val="105"/>
        </w:rPr>
        <w:t>9, no. 2 (March 1980): 155-168.</w:t>
      </w:r>
    </w:p>
    <w:p w14:paraId="15EC8EE9" w14:textId="77777777" w:rsidR="002653E8" w:rsidRDefault="002653E8">
      <w:pPr>
        <w:pStyle w:val="a3"/>
        <w:rPr>
          <w:sz w:val="22"/>
        </w:rPr>
      </w:pPr>
    </w:p>
    <w:p w14:paraId="2F3338FE" w14:textId="77777777" w:rsidR="002653E8" w:rsidRDefault="002653E8">
      <w:pPr>
        <w:pStyle w:val="a3"/>
        <w:rPr>
          <w:sz w:val="22"/>
        </w:rPr>
      </w:pPr>
    </w:p>
    <w:p w14:paraId="5B1E3287" w14:textId="77777777" w:rsidR="002653E8" w:rsidRDefault="002653E8">
      <w:pPr>
        <w:pStyle w:val="a3"/>
        <w:rPr>
          <w:sz w:val="18"/>
        </w:rPr>
      </w:pPr>
    </w:p>
    <w:p w14:paraId="30853F1C" w14:textId="77777777" w:rsidR="002653E8" w:rsidRDefault="003115E3">
      <w:pPr>
        <w:pStyle w:val="6"/>
        <w:ind w:left="1147"/>
      </w:pPr>
      <w:r>
        <w:rPr>
          <w:color w:val="231F20"/>
          <w:w w:val="110"/>
        </w:rPr>
        <w:t xml:space="preserve">m </w:t>
      </w:r>
      <w:r>
        <w:rPr>
          <w:color w:val="231F20"/>
          <w:spacing w:val="15"/>
          <w:w w:val="110"/>
        </w:rPr>
        <w:t xml:space="preserve">ov </w:t>
      </w:r>
      <w:r>
        <w:rPr>
          <w:color w:val="231F20"/>
          <w:w w:val="110"/>
        </w:rPr>
        <w:t xml:space="preserve">e m e n </w:t>
      </w:r>
      <w:r>
        <w:rPr>
          <w:color w:val="231F20"/>
          <w:w w:val="125"/>
        </w:rPr>
        <w:t xml:space="preserve">t </w:t>
      </w:r>
      <w:r>
        <w:rPr>
          <w:color w:val="231F20"/>
          <w:w w:val="110"/>
        </w:rPr>
        <w:t xml:space="preserve">p u </w:t>
      </w:r>
      <w:r>
        <w:rPr>
          <w:color w:val="231F20"/>
          <w:spacing w:val="15"/>
          <w:w w:val="125"/>
        </w:rPr>
        <w:t xml:space="preserve">bl </w:t>
      </w:r>
      <w:r>
        <w:rPr>
          <w:color w:val="231F20"/>
          <w:spacing w:val="16"/>
          <w:w w:val="110"/>
        </w:rPr>
        <w:t>ic</w:t>
      </w:r>
      <w:r>
        <w:rPr>
          <w:color w:val="231F20"/>
          <w:spacing w:val="15"/>
          <w:w w:val="110"/>
        </w:rPr>
        <w:t xml:space="preserve"> </w:t>
      </w:r>
      <w:r>
        <w:rPr>
          <w:color w:val="231F20"/>
          <w:spacing w:val="17"/>
          <w:w w:val="110"/>
        </w:rPr>
        <w:t>at</w:t>
      </w:r>
      <w:r>
        <w:rPr>
          <w:color w:val="231F20"/>
          <w:spacing w:val="16"/>
          <w:w w:val="110"/>
        </w:rPr>
        <w:t xml:space="preserve"> </w:t>
      </w:r>
      <w:r>
        <w:rPr>
          <w:color w:val="231F20"/>
          <w:spacing w:val="21"/>
          <w:w w:val="110"/>
        </w:rPr>
        <w:t>ion</w:t>
      </w:r>
      <w:r>
        <w:rPr>
          <w:color w:val="231F20"/>
          <w:spacing w:val="-30"/>
          <w:w w:val="110"/>
        </w:rPr>
        <w:t xml:space="preserve"> </w:t>
      </w:r>
      <w:r>
        <w:rPr>
          <w:color w:val="231F20"/>
          <w:w w:val="110"/>
        </w:rPr>
        <w:t>s</w:t>
      </w:r>
    </w:p>
    <w:p w14:paraId="02D2D564" w14:textId="77777777" w:rsidR="002653E8" w:rsidRDefault="003115E3">
      <w:pPr>
        <w:spacing w:before="187" w:line="244" w:lineRule="auto"/>
        <w:ind w:left="2281" w:right="2448" w:hanging="1134"/>
        <w:rPr>
          <w:sz w:val="20"/>
        </w:rPr>
      </w:pPr>
      <w:r>
        <w:rPr>
          <w:i/>
          <w:color w:val="231F20"/>
          <w:w w:val="105"/>
          <w:sz w:val="20"/>
        </w:rPr>
        <w:t xml:space="preserve">Actualité de la Résistance Anti-Impérialiste. </w:t>
      </w:r>
      <w:r>
        <w:rPr>
          <w:color w:val="231F20"/>
          <w:w w:val="105"/>
          <w:sz w:val="20"/>
        </w:rPr>
        <w:t>no. 3, Paris, June 6, 1978.</w:t>
      </w:r>
    </w:p>
    <w:p w14:paraId="6D5103FD" w14:textId="77777777" w:rsidR="002653E8" w:rsidRDefault="002653E8">
      <w:pPr>
        <w:spacing w:line="244" w:lineRule="auto"/>
        <w:rPr>
          <w:sz w:val="20"/>
        </w:rPr>
        <w:sectPr w:rsidR="002653E8">
          <w:footerReference w:type="even" r:id="rId557"/>
          <w:footerReference w:type="default" r:id="rId558"/>
          <w:pgSz w:w="8640" w:h="12960"/>
          <w:pgMar w:top="1060" w:right="0" w:bottom="1040" w:left="0" w:header="0" w:footer="850" w:gutter="0"/>
          <w:pgNumType w:start="642"/>
          <w:cols w:space="720"/>
        </w:sectPr>
      </w:pPr>
    </w:p>
    <w:p w14:paraId="5812F6A0" w14:textId="77777777" w:rsidR="002653E8" w:rsidRPr="00846956" w:rsidRDefault="003115E3">
      <w:pPr>
        <w:pStyle w:val="a3"/>
        <w:spacing w:before="70" w:line="244" w:lineRule="auto"/>
        <w:ind w:left="2461" w:right="1479" w:hanging="1134"/>
        <w:rPr>
          <w:lang w:val="de-DE"/>
        </w:rPr>
      </w:pPr>
      <w:r>
        <w:rPr>
          <w:color w:val="231F20"/>
        </w:rPr>
        <w:lastRenderedPageBreak/>
        <w:t xml:space="preserve">“Déclaration de Knut Folkerts dans le procèes contre Brigitte Schulz et Christian Klar </w:t>
      </w:r>
      <w:r>
        <w:rPr>
          <w:color w:val="231F20"/>
          <w:spacing w:val="-3"/>
        </w:rPr>
        <w:t xml:space="preserve">(5-6-84) </w:t>
      </w:r>
      <w:r>
        <w:rPr>
          <w:color w:val="231F20"/>
        </w:rPr>
        <w:t xml:space="preserve">à Stuttgart-Stammheim, concernant l’action contre Buback.” </w:t>
      </w:r>
      <w:r w:rsidRPr="00846956">
        <w:rPr>
          <w:color w:val="231F20"/>
          <w:lang w:val="de-DE"/>
        </w:rPr>
        <w:t xml:space="preserve">Ligne Rouge </w:t>
      </w:r>
      <w:r w:rsidRPr="00846956">
        <w:rPr>
          <w:color w:val="231F20"/>
          <w:spacing w:val="-6"/>
          <w:lang w:val="de-DE"/>
        </w:rPr>
        <w:t xml:space="preserve">#11 </w:t>
      </w:r>
      <w:r w:rsidRPr="00846956">
        <w:rPr>
          <w:color w:val="231F20"/>
          <w:lang w:val="de-DE"/>
        </w:rPr>
        <w:t>décembre</w:t>
      </w:r>
      <w:r w:rsidRPr="00846956">
        <w:rPr>
          <w:color w:val="231F20"/>
          <w:spacing w:val="10"/>
          <w:lang w:val="de-DE"/>
        </w:rPr>
        <w:t xml:space="preserve"> </w:t>
      </w:r>
      <w:r w:rsidRPr="00846956">
        <w:rPr>
          <w:color w:val="231F20"/>
          <w:spacing w:val="-4"/>
          <w:lang w:val="de-DE"/>
        </w:rPr>
        <w:t>1984.</w:t>
      </w:r>
    </w:p>
    <w:p w14:paraId="6A8C3050" w14:textId="77777777" w:rsidR="002653E8" w:rsidRPr="00846956" w:rsidRDefault="003115E3">
      <w:pPr>
        <w:spacing w:before="163" w:line="244" w:lineRule="auto"/>
        <w:ind w:left="2461" w:right="1145" w:hanging="1134"/>
        <w:rPr>
          <w:sz w:val="20"/>
          <w:lang w:val="de-DE"/>
        </w:rPr>
      </w:pPr>
      <w:r w:rsidRPr="00846956">
        <w:rPr>
          <w:i/>
          <w:color w:val="231F20"/>
          <w:w w:val="105"/>
          <w:sz w:val="20"/>
          <w:lang w:val="de-DE"/>
        </w:rPr>
        <w:t xml:space="preserve">Der Stammheimtod: Kampagne gegen das Modell Deutschland. </w:t>
      </w:r>
      <w:r w:rsidRPr="00846956">
        <w:rPr>
          <w:color w:val="231F20"/>
          <w:w w:val="105"/>
          <w:sz w:val="20"/>
          <w:lang w:val="de-DE"/>
        </w:rPr>
        <w:t>no. 4, Bochum, December 1977.</w:t>
      </w:r>
    </w:p>
    <w:p w14:paraId="1F266540" w14:textId="77777777" w:rsidR="002653E8" w:rsidRPr="00846956" w:rsidRDefault="003115E3">
      <w:pPr>
        <w:pStyle w:val="a3"/>
        <w:spacing w:before="162" w:line="244" w:lineRule="auto"/>
        <w:ind w:left="2462" w:right="1145" w:hanging="1135"/>
        <w:rPr>
          <w:lang w:val="de-DE"/>
        </w:rPr>
      </w:pPr>
      <w:r>
        <w:rPr>
          <w:color w:val="231F20"/>
          <w:w w:val="105"/>
        </w:rPr>
        <w:t xml:space="preserve">“German war machine targets anti-nukers.” </w:t>
      </w:r>
      <w:r w:rsidRPr="00846956">
        <w:rPr>
          <w:i/>
          <w:color w:val="231F20"/>
          <w:w w:val="105"/>
          <w:lang w:val="de-DE"/>
        </w:rPr>
        <w:t xml:space="preserve">Open Road </w:t>
      </w:r>
      <w:r w:rsidRPr="00846956">
        <w:rPr>
          <w:color w:val="231F20"/>
          <w:w w:val="105"/>
          <w:lang w:val="de-DE"/>
        </w:rPr>
        <w:t>11, Summer 1980.</w:t>
      </w:r>
    </w:p>
    <w:p w14:paraId="1F070937" w14:textId="77777777" w:rsidR="002653E8" w:rsidRDefault="003115E3">
      <w:pPr>
        <w:spacing w:before="161" w:line="244" w:lineRule="auto"/>
        <w:ind w:left="2462" w:right="1145" w:hanging="1134"/>
        <w:rPr>
          <w:sz w:val="20"/>
        </w:rPr>
      </w:pPr>
      <w:r w:rsidRPr="00846956">
        <w:rPr>
          <w:i/>
          <w:color w:val="231F20"/>
          <w:w w:val="105"/>
          <w:sz w:val="20"/>
          <w:lang w:val="de-DE"/>
        </w:rPr>
        <w:t xml:space="preserve">Internazionale Kommission zum Schutz der Gefangenen une Gegen Isolationshaft. </w:t>
      </w:r>
      <w:r>
        <w:rPr>
          <w:color w:val="231F20"/>
          <w:w w:val="105"/>
          <w:sz w:val="20"/>
        </w:rPr>
        <w:t>October 1980.</w:t>
      </w:r>
    </w:p>
    <w:p w14:paraId="6BF948F6" w14:textId="77777777" w:rsidR="002653E8" w:rsidRDefault="003115E3">
      <w:pPr>
        <w:spacing w:before="162" w:line="244" w:lineRule="auto"/>
        <w:ind w:left="2462" w:right="1145" w:hanging="1134"/>
        <w:rPr>
          <w:sz w:val="20"/>
        </w:rPr>
      </w:pPr>
      <w:r>
        <w:rPr>
          <w:color w:val="231F20"/>
          <w:w w:val="105"/>
          <w:sz w:val="20"/>
        </w:rPr>
        <w:t xml:space="preserve">“Les democraties face à la violence.” </w:t>
      </w:r>
      <w:r>
        <w:rPr>
          <w:i/>
          <w:color w:val="231F20"/>
          <w:w w:val="105"/>
          <w:sz w:val="20"/>
        </w:rPr>
        <w:t xml:space="preserve">la Lanterne Noire </w:t>
      </w:r>
      <w:r>
        <w:rPr>
          <w:color w:val="231F20"/>
          <w:w w:val="105"/>
          <w:sz w:val="20"/>
        </w:rPr>
        <w:t>5, decembre 1975.</w:t>
      </w:r>
    </w:p>
    <w:p w14:paraId="5570F83B" w14:textId="77777777" w:rsidR="002653E8" w:rsidRDefault="003115E3">
      <w:pPr>
        <w:spacing w:before="162" w:line="244" w:lineRule="auto"/>
        <w:ind w:left="2462" w:right="1580" w:hanging="1134"/>
        <w:rPr>
          <w:sz w:val="20"/>
        </w:rPr>
      </w:pPr>
      <w:r>
        <w:rPr>
          <w:color w:val="231F20"/>
          <w:w w:val="105"/>
          <w:sz w:val="20"/>
        </w:rPr>
        <w:t xml:space="preserve">“The Stammheim Deaths.” </w:t>
      </w:r>
      <w:r>
        <w:rPr>
          <w:i/>
          <w:color w:val="231F20"/>
          <w:w w:val="105"/>
          <w:sz w:val="20"/>
        </w:rPr>
        <w:t xml:space="preserve">Cienfuegos Press Anarchist Review </w:t>
      </w:r>
      <w:r>
        <w:rPr>
          <w:color w:val="231F20"/>
          <w:w w:val="105"/>
          <w:sz w:val="20"/>
        </w:rPr>
        <w:t xml:space="preserve">4, </w:t>
      </w:r>
      <w:hyperlink r:id="rId559">
        <w:r>
          <w:rPr>
            <w:color w:val="231F20"/>
            <w:sz w:val="20"/>
          </w:rPr>
          <w:t>h</w:t>
        </w:r>
        <w:r>
          <w:rPr>
            <w:color w:val="231F20"/>
            <w:w w:val="98"/>
            <w:sz w:val="20"/>
          </w:rPr>
          <w:t>tt</w:t>
        </w:r>
        <w:r>
          <w:rPr>
            <w:color w:val="231F20"/>
            <w:w w:val="99"/>
            <w:sz w:val="20"/>
          </w:rPr>
          <w:t>p</w:t>
        </w:r>
        <w:r>
          <w:rPr>
            <w:color w:val="231F20"/>
            <w:w w:val="105"/>
            <w:sz w:val="20"/>
          </w:rPr>
          <w:t>:</w:t>
        </w:r>
        <w:r>
          <w:rPr>
            <w:color w:val="231F20"/>
            <w:w w:val="56"/>
            <w:sz w:val="20"/>
          </w:rPr>
          <w:t>//</w:t>
        </w:r>
        <w:r>
          <w:rPr>
            <w:color w:val="231F20"/>
            <w:sz w:val="20"/>
          </w:rPr>
          <w:t>www</w:t>
        </w:r>
        <w:r>
          <w:rPr>
            <w:color w:val="231F20"/>
            <w:w w:val="135"/>
            <w:sz w:val="20"/>
          </w:rPr>
          <w:t>.</w:t>
        </w:r>
        <w:r>
          <w:rPr>
            <w:color w:val="231F20"/>
            <w:w w:val="106"/>
            <w:sz w:val="20"/>
          </w:rPr>
          <w:t>k</w:t>
        </w:r>
        <w:r>
          <w:rPr>
            <w:color w:val="231F20"/>
            <w:w w:val="102"/>
            <w:sz w:val="20"/>
          </w:rPr>
          <w:t>a</w:t>
        </w:r>
        <w:r>
          <w:rPr>
            <w:color w:val="231F20"/>
            <w:w w:val="98"/>
            <w:sz w:val="20"/>
          </w:rPr>
          <w:t>t</w:t>
        </w:r>
        <w:r>
          <w:rPr>
            <w:color w:val="231F20"/>
            <w:w w:val="91"/>
            <w:sz w:val="20"/>
          </w:rPr>
          <w:t>e</w:t>
        </w:r>
        <w:r>
          <w:rPr>
            <w:color w:val="231F20"/>
            <w:w w:val="90"/>
            <w:sz w:val="20"/>
          </w:rPr>
          <w:t>s</w:t>
        </w:r>
        <w:r>
          <w:rPr>
            <w:color w:val="231F20"/>
            <w:sz w:val="20"/>
          </w:rPr>
          <w:t>h</w:t>
        </w:r>
        <w:r>
          <w:rPr>
            <w:color w:val="231F20"/>
            <w:w w:val="102"/>
            <w:sz w:val="20"/>
          </w:rPr>
          <w:t>a</w:t>
        </w:r>
        <w:r>
          <w:rPr>
            <w:color w:val="231F20"/>
            <w:w w:val="94"/>
            <w:sz w:val="20"/>
          </w:rPr>
          <w:t>r</w:t>
        </w:r>
        <w:r>
          <w:rPr>
            <w:color w:val="231F20"/>
            <w:w w:val="99"/>
            <w:sz w:val="20"/>
          </w:rPr>
          <w:t>p</w:t>
        </w:r>
        <w:r>
          <w:rPr>
            <w:color w:val="231F20"/>
            <w:w w:val="95"/>
            <w:sz w:val="20"/>
          </w:rPr>
          <w:t>le</w:t>
        </w:r>
        <w:r>
          <w:rPr>
            <w:color w:val="231F20"/>
            <w:w w:val="99"/>
            <w:sz w:val="20"/>
          </w:rPr>
          <w:t>y</w:t>
        </w:r>
        <w:r>
          <w:rPr>
            <w:color w:val="231F20"/>
            <w:w w:val="102"/>
            <w:sz w:val="20"/>
          </w:rPr>
          <w:t>l</w:t>
        </w:r>
        <w:r>
          <w:rPr>
            <w:color w:val="231F20"/>
            <w:sz w:val="20"/>
          </w:rPr>
          <w:t>i</w:t>
        </w:r>
        <w:r>
          <w:rPr>
            <w:color w:val="231F20"/>
            <w:w w:val="101"/>
            <w:sz w:val="20"/>
          </w:rPr>
          <w:t>b</w:t>
        </w:r>
        <w:r>
          <w:rPr>
            <w:color w:val="231F20"/>
            <w:w w:val="98"/>
            <w:sz w:val="20"/>
          </w:rPr>
          <w:t>ra</w:t>
        </w:r>
        <w:r>
          <w:rPr>
            <w:color w:val="231F20"/>
            <w:w w:val="94"/>
            <w:sz w:val="20"/>
          </w:rPr>
          <w:t>r</w:t>
        </w:r>
        <w:r>
          <w:rPr>
            <w:color w:val="231F20"/>
            <w:w w:val="99"/>
            <w:sz w:val="20"/>
          </w:rPr>
          <w:t>y</w:t>
        </w:r>
        <w:r>
          <w:rPr>
            <w:color w:val="231F20"/>
            <w:w w:val="135"/>
            <w:sz w:val="20"/>
          </w:rPr>
          <w:t>.</w:t>
        </w:r>
        <w:r>
          <w:rPr>
            <w:color w:val="231F20"/>
            <w:w w:val="95"/>
            <w:sz w:val="20"/>
          </w:rPr>
          <w:t>ne</w:t>
        </w:r>
        <w:r>
          <w:rPr>
            <w:color w:val="231F20"/>
            <w:w w:val="98"/>
            <w:sz w:val="20"/>
          </w:rPr>
          <w:t>t</w:t>
        </w:r>
        <w:r>
          <w:rPr>
            <w:color w:val="231F20"/>
            <w:w w:val="56"/>
            <w:sz w:val="20"/>
          </w:rPr>
          <w:t>/</w:t>
        </w:r>
        <w:r>
          <w:rPr>
            <w:color w:val="231F20"/>
            <w:w w:val="90"/>
            <w:sz w:val="20"/>
          </w:rPr>
          <w:t>s</w:t>
        </w:r>
        <w:r>
          <w:rPr>
            <w:color w:val="231F20"/>
            <w:w w:val="98"/>
            <w:sz w:val="20"/>
          </w:rPr>
          <w:t>t</w:t>
        </w:r>
        <w:r>
          <w:rPr>
            <w:color w:val="231F20"/>
            <w:w w:val="102"/>
            <w:sz w:val="20"/>
          </w:rPr>
          <w:t>a</w:t>
        </w:r>
        <w:r>
          <w:rPr>
            <w:color w:val="231F20"/>
            <w:w w:val="99"/>
            <w:sz w:val="20"/>
          </w:rPr>
          <w:t>mm</w:t>
        </w:r>
        <w:r>
          <w:rPr>
            <w:color w:val="231F20"/>
            <w:w w:val="97"/>
            <w:sz w:val="20"/>
          </w:rPr>
          <w:t>hei</w:t>
        </w:r>
        <w:r>
          <w:rPr>
            <w:color w:val="231F20"/>
            <w:w w:val="99"/>
            <w:sz w:val="20"/>
          </w:rPr>
          <w:t>m</w:t>
        </w:r>
        <w:r>
          <w:rPr>
            <w:color w:val="231F20"/>
            <w:w w:val="135"/>
            <w:sz w:val="20"/>
          </w:rPr>
          <w:t>.</w:t>
        </w:r>
        <w:r>
          <w:rPr>
            <w:color w:val="231F20"/>
            <w:sz w:val="20"/>
          </w:rPr>
          <w:t>h</w:t>
        </w:r>
        <w:r>
          <w:rPr>
            <w:color w:val="231F20"/>
            <w:w w:val="98"/>
            <w:sz w:val="20"/>
          </w:rPr>
          <w:t>t</w:t>
        </w:r>
        <w:r>
          <w:rPr>
            <w:color w:val="231F20"/>
            <w:w w:val="99"/>
            <w:sz w:val="20"/>
          </w:rPr>
          <w:t>m</w:t>
        </w:r>
        <w:r>
          <w:rPr>
            <w:color w:val="231F20"/>
            <w:w w:val="135"/>
            <w:sz w:val="20"/>
          </w:rPr>
          <w:t>.</w:t>
        </w:r>
      </w:hyperlink>
    </w:p>
    <w:p w14:paraId="69EFDACE" w14:textId="77777777" w:rsidR="002653E8" w:rsidRDefault="002653E8">
      <w:pPr>
        <w:pStyle w:val="a3"/>
        <w:rPr>
          <w:sz w:val="22"/>
        </w:rPr>
      </w:pPr>
    </w:p>
    <w:p w14:paraId="31A9F5D7" w14:textId="77777777" w:rsidR="002653E8" w:rsidRDefault="002653E8">
      <w:pPr>
        <w:pStyle w:val="a3"/>
        <w:rPr>
          <w:sz w:val="22"/>
        </w:rPr>
      </w:pPr>
    </w:p>
    <w:p w14:paraId="60490D40" w14:textId="77777777" w:rsidR="002653E8" w:rsidRDefault="002653E8">
      <w:pPr>
        <w:pStyle w:val="a3"/>
        <w:spacing w:before="10"/>
        <w:rPr>
          <w:sz w:val="17"/>
        </w:rPr>
      </w:pPr>
    </w:p>
    <w:p w14:paraId="6D8E296A" w14:textId="77777777" w:rsidR="002653E8" w:rsidRDefault="003115E3">
      <w:pPr>
        <w:pStyle w:val="6"/>
      </w:pPr>
      <w:r>
        <w:rPr>
          <w:color w:val="231F20"/>
          <w:w w:val="110"/>
        </w:rPr>
        <w:t xml:space="preserve">w e b s i </w:t>
      </w:r>
      <w:r>
        <w:rPr>
          <w:color w:val="231F20"/>
          <w:w w:val="130"/>
        </w:rPr>
        <w:t xml:space="preserve">t </w:t>
      </w:r>
      <w:r>
        <w:rPr>
          <w:color w:val="231F20"/>
          <w:w w:val="110"/>
        </w:rPr>
        <w:t>e s</w:t>
      </w:r>
    </w:p>
    <w:p w14:paraId="01D7A732" w14:textId="77777777" w:rsidR="002653E8" w:rsidRDefault="003115E3">
      <w:pPr>
        <w:spacing w:before="188"/>
        <w:ind w:left="1327"/>
        <w:rPr>
          <w:i/>
          <w:sz w:val="20"/>
        </w:rPr>
      </w:pPr>
      <w:r>
        <w:rPr>
          <w:i/>
          <w:color w:val="231F20"/>
          <w:sz w:val="20"/>
        </w:rPr>
        <w:t xml:space="preserve">Unless otherwise noted, websites were accessed on May </w:t>
      </w:r>
      <w:r>
        <w:rPr>
          <w:rFonts w:ascii="Bookman Old Style"/>
          <w:i/>
          <w:color w:val="231F20"/>
          <w:sz w:val="20"/>
        </w:rPr>
        <w:t>3</w:t>
      </w:r>
      <w:r>
        <w:rPr>
          <w:i/>
          <w:color w:val="231F20"/>
          <w:sz w:val="20"/>
        </w:rPr>
        <w:t xml:space="preserve">, </w:t>
      </w:r>
      <w:r>
        <w:rPr>
          <w:rFonts w:ascii="Bookman Old Style"/>
          <w:i/>
          <w:color w:val="231F20"/>
          <w:sz w:val="20"/>
        </w:rPr>
        <w:t>2008</w:t>
      </w:r>
      <w:r>
        <w:rPr>
          <w:i/>
          <w:color w:val="231F20"/>
          <w:sz w:val="20"/>
        </w:rPr>
        <w:t>.</w:t>
      </w:r>
    </w:p>
    <w:p w14:paraId="4935DAFE" w14:textId="77777777" w:rsidR="002653E8" w:rsidRDefault="003115E3">
      <w:pPr>
        <w:pStyle w:val="a3"/>
        <w:spacing w:before="164" w:line="244" w:lineRule="auto"/>
        <w:ind w:left="2461" w:right="1580" w:hanging="1134"/>
      </w:pPr>
      <w:r>
        <w:rPr>
          <w:color w:val="231F20"/>
          <w:spacing w:val="-2"/>
          <w:w w:val="148"/>
        </w:rPr>
        <w:t>“</w:t>
      </w:r>
      <w:r>
        <w:rPr>
          <w:color w:val="231F20"/>
          <w:spacing w:val="-1"/>
        </w:rPr>
        <w:t>2</w:t>
      </w:r>
      <w:r>
        <w:rPr>
          <w:color w:val="231F20"/>
          <w:spacing w:val="6"/>
        </w:rPr>
        <w:t>4</w:t>
      </w:r>
      <w:r>
        <w:rPr>
          <w:color w:val="231F20"/>
          <w:spacing w:val="3"/>
        </w:rPr>
        <w:t>-</w:t>
      </w:r>
      <w:r>
        <w:rPr>
          <w:color w:val="231F20"/>
          <w:spacing w:val="3"/>
          <w:w w:val="97"/>
        </w:rPr>
        <w:t>P</w:t>
      </w:r>
      <w:r>
        <w:rPr>
          <w:color w:val="231F20"/>
          <w:spacing w:val="3"/>
        </w:rPr>
        <w:t>u</w:t>
      </w:r>
      <w:r>
        <w:rPr>
          <w:color w:val="231F20"/>
          <w:spacing w:val="3"/>
          <w:w w:val="99"/>
        </w:rPr>
        <w:t>n</w:t>
      </w:r>
      <w:r>
        <w:rPr>
          <w:color w:val="231F20"/>
          <w:spacing w:val="1"/>
          <w:w w:val="106"/>
        </w:rPr>
        <w:t>k</w:t>
      </w:r>
      <w:r>
        <w:rPr>
          <w:color w:val="231F20"/>
          <w:spacing w:val="-3"/>
          <w:w w:val="98"/>
        </w:rPr>
        <w:t>t</w:t>
      </w:r>
      <w:r>
        <w:rPr>
          <w:color w:val="231F20"/>
          <w:spacing w:val="3"/>
        </w:rPr>
        <w:t>-</w:t>
      </w:r>
      <w:r>
        <w:rPr>
          <w:color w:val="231F20"/>
          <w:spacing w:val="3"/>
          <w:w w:val="121"/>
        </w:rPr>
        <w:t>H</w:t>
      </w:r>
      <w:r>
        <w:rPr>
          <w:color w:val="231F20"/>
          <w:spacing w:val="2"/>
          <w:w w:val="102"/>
        </w:rPr>
        <w:t>a</w:t>
      </w:r>
      <w:r>
        <w:rPr>
          <w:color w:val="231F20"/>
          <w:spacing w:val="5"/>
          <w:w w:val="109"/>
        </w:rPr>
        <w:t>f</w:t>
      </w:r>
      <w:r>
        <w:rPr>
          <w:color w:val="231F20"/>
          <w:spacing w:val="2"/>
          <w:w w:val="98"/>
        </w:rPr>
        <w:t>t</w:t>
      </w:r>
      <w:r>
        <w:rPr>
          <w:color w:val="231F20"/>
          <w:w w:val="90"/>
        </w:rPr>
        <w:t>s</w:t>
      </w:r>
      <w:r>
        <w:rPr>
          <w:color w:val="231F20"/>
          <w:spacing w:val="2"/>
          <w:w w:val="98"/>
        </w:rPr>
        <w:t>t</w:t>
      </w:r>
      <w:r>
        <w:rPr>
          <w:color w:val="231F20"/>
          <w:spacing w:val="-2"/>
          <w:w w:val="102"/>
        </w:rPr>
        <w:t>a</w:t>
      </w:r>
      <w:r>
        <w:rPr>
          <w:color w:val="231F20"/>
          <w:spacing w:val="3"/>
          <w:w w:val="98"/>
        </w:rPr>
        <w:t>t</w:t>
      </w:r>
      <w:r>
        <w:rPr>
          <w:color w:val="231F20"/>
          <w:spacing w:val="-2"/>
        </w:rPr>
        <w:t>u</w:t>
      </w:r>
      <w:r>
        <w:rPr>
          <w:color w:val="231F20"/>
          <w:spacing w:val="1"/>
          <w:w w:val="98"/>
        </w:rPr>
        <w:t>t</w:t>
      </w:r>
      <w:r>
        <w:rPr>
          <w:color w:val="231F20"/>
          <w:spacing w:val="-14"/>
          <w:w w:val="135"/>
        </w:rPr>
        <w:t>.</w:t>
      </w:r>
      <w:r>
        <w:rPr>
          <w:color w:val="231F20"/>
          <w:w w:val="148"/>
        </w:rPr>
        <w:t>”</w:t>
      </w:r>
      <w:r>
        <w:rPr>
          <w:color w:val="231F20"/>
          <w:spacing w:val="10"/>
        </w:rPr>
        <w:t xml:space="preserve"> </w:t>
      </w:r>
      <w:hyperlink r:id="rId560">
        <w:r>
          <w:rPr>
            <w:color w:val="231F20"/>
            <w:spacing w:val="-2"/>
          </w:rPr>
          <w:t>h</w:t>
        </w:r>
        <w:r>
          <w:rPr>
            <w:color w:val="231F20"/>
            <w:spacing w:val="5"/>
            <w:w w:val="98"/>
          </w:rPr>
          <w:t>t</w:t>
        </w:r>
        <w:r>
          <w:rPr>
            <w:color w:val="231F20"/>
            <w:spacing w:val="3"/>
            <w:w w:val="98"/>
          </w:rPr>
          <w:t>t</w:t>
        </w:r>
        <w:r>
          <w:rPr>
            <w:color w:val="231F20"/>
            <w:spacing w:val="-1"/>
            <w:w w:val="99"/>
          </w:rPr>
          <w:t>p</w:t>
        </w:r>
        <w:r>
          <w:rPr>
            <w:color w:val="231F20"/>
            <w:spacing w:val="5"/>
            <w:w w:val="105"/>
          </w:rPr>
          <w:t>:</w:t>
        </w:r>
        <w:r>
          <w:rPr>
            <w:color w:val="231F20"/>
            <w:spacing w:val="-3"/>
            <w:w w:val="56"/>
          </w:rPr>
          <w:t>/</w:t>
        </w:r>
        <w:r>
          <w:rPr>
            <w:color w:val="231F20"/>
            <w:spacing w:val="1"/>
            <w:w w:val="56"/>
          </w:rPr>
          <w:t>/</w:t>
        </w:r>
        <w:r>
          <w:rPr>
            <w:color w:val="231F20"/>
            <w:spacing w:val="6"/>
          </w:rPr>
          <w:t>ww</w:t>
        </w:r>
        <w:r>
          <w:rPr>
            <w:color w:val="231F20"/>
            <w:spacing w:val="-12"/>
          </w:rPr>
          <w:t>w</w:t>
        </w:r>
        <w:r>
          <w:rPr>
            <w:color w:val="231F20"/>
            <w:w w:val="135"/>
          </w:rPr>
          <w:t>.</w:t>
        </w:r>
        <w:r>
          <w:rPr>
            <w:color w:val="231F20"/>
            <w:spacing w:val="1"/>
            <w:w w:val="99"/>
          </w:rPr>
          <w:t>n</w:t>
        </w:r>
        <w:r>
          <w:rPr>
            <w:color w:val="231F20"/>
            <w:spacing w:val="-2"/>
            <w:w w:val="102"/>
          </w:rPr>
          <w:t>a</w:t>
        </w:r>
        <w:r>
          <w:rPr>
            <w:color w:val="231F20"/>
            <w:spacing w:val="3"/>
          </w:rPr>
          <w:t>d</w:t>
        </w:r>
        <w:r>
          <w:rPr>
            <w:color w:val="231F20"/>
            <w:spacing w:val="3"/>
            <w:w w:val="96"/>
          </w:rPr>
          <w:t>i</w:t>
        </w:r>
        <w:r>
          <w:rPr>
            <w:color w:val="231F20"/>
            <w:spacing w:val="-7"/>
            <w:w w:val="96"/>
          </w:rPr>
          <w:t>r</w:t>
        </w:r>
        <w:r>
          <w:rPr>
            <w:color w:val="231F20"/>
            <w:spacing w:val="-2"/>
            <w:w w:val="135"/>
          </w:rPr>
          <w:t>.</w:t>
        </w:r>
        <w:r>
          <w:rPr>
            <w:color w:val="231F20"/>
            <w:spacing w:val="-1"/>
            <w:w w:val="104"/>
          </w:rPr>
          <w:t>o</w:t>
        </w:r>
        <w:r>
          <w:rPr>
            <w:color w:val="231F20"/>
            <w:w w:val="94"/>
          </w:rPr>
          <w:t>r</w:t>
        </w:r>
        <w:r>
          <w:rPr>
            <w:color w:val="231F20"/>
            <w:spacing w:val="10"/>
            <w:w w:val="101"/>
          </w:rPr>
          <w:t>g</w:t>
        </w:r>
        <w:r>
          <w:rPr>
            <w:color w:val="231F20"/>
            <w:w w:val="56"/>
          </w:rPr>
          <w:t>/</w:t>
        </w:r>
        <w:r>
          <w:rPr>
            <w:color w:val="231F20"/>
            <w:spacing w:val="1"/>
            <w:w w:val="99"/>
          </w:rPr>
          <w:t>n</w:t>
        </w:r>
        <w:r>
          <w:rPr>
            <w:color w:val="231F20"/>
            <w:spacing w:val="-2"/>
            <w:w w:val="102"/>
          </w:rPr>
          <w:t>a</w:t>
        </w:r>
        <w:r>
          <w:rPr>
            <w:color w:val="231F20"/>
            <w:spacing w:val="3"/>
          </w:rPr>
          <w:t>d</w:t>
        </w:r>
        <w:r>
          <w:rPr>
            <w:color w:val="231F20"/>
            <w:spacing w:val="3"/>
            <w:w w:val="96"/>
          </w:rPr>
          <w:t>i</w:t>
        </w:r>
        <w:r>
          <w:rPr>
            <w:color w:val="231F20"/>
            <w:spacing w:val="1"/>
            <w:w w:val="96"/>
          </w:rPr>
          <w:t>r</w:t>
        </w:r>
        <w:r>
          <w:rPr>
            <w:color w:val="231F20"/>
            <w:spacing w:val="-5"/>
            <w:w w:val="56"/>
          </w:rPr>
          <w:t>/</w:t>
        </w:r>
        <w:r>
          <w:rPr>
            <w:color w:val="231F20"/>
            <w:spacing w:val="3"/>
            <w:w w:val="102"/>
          </w:rPr>
          <w:t>a</w:t>
        </w:r>
        <w:r>
          <w:rPr>
            <w:color w:val="231F20"/>
            <w:spacing w:val="-1"/>
            <w:w w:val="94"/>
          </w:rPr>
          <w:t>r</w:t>
        </w:r>
        <w:r>
          <w:rPr>
            <w:color w:val="231F20"/>
          </w:rPr>
          <w:t>c</w:t>
        </w:r>
        <w:r>
          <w:rPr>
            <w:color w:val="231F20"/>
            <w:spacing w:val="3"/>
          </w:rPr>
          <w:t>h</w:t>
        </w:r>
        <w:r>
          <w:rPr>
            <w:color w:val="231F20"/>
            <w:spacing w:val="-2"/>
          </w:rPr>
          <w:t>i</w:t>
        </w:r>
        <w:r>
          <w:rPr>
            <w:color w:val="231F20"/>
            <w:spacing w:val="-3"/>
            <w:w w:val="99"/>
          </w:rPr>
          <w:t>v</w:t>
        </w:r>
        <w:r>
          <w:rPr>
            <w:color w:val="231F20"/>
            <w:w w:val="56"/>
          </w:rPr>
          <w:t>/</w:t>
        </w:r>
      </w:hyperlink>
      <w:r>
        <w:rPr>
          <w:color w:val="231F20"/>
          <w:w w:val="56"/>
        </w:rPr>
        <w:t xml:space="preserve"> </w:t>
      </w:r>
      <w:r>
        <w:rPr>
          <w:color w:val="231F20"/>
          <w:spacing w:val="-4"/>
          <w:w w:val="97"/>
        </w:rPr>
        <w:t>P</w:t>
      </w:r>
      <w:r>
        <w:rPr>
          <w:color w:val="231F20"/>
          <w:spacing w:val="-2"/>
          <w:w w:val="104"/>
        </w:rPr>
        <w:t>o</w:t>
      </w:r>
      <w:r>
        <w:rPr>
          <w:color w:val="231F20"/>
          <w:spacing w:val="2"/>
          <w:w w:val="101"/>
        </w:rPr>
        <w:t>l</w:t>
      </w:r>
      <w:r>
        <w:rPr>
          <w:color w:val="231F20"/>
          <w:spacing w:val="-2"/>
          <w:w w:val="101"/>
        </w:rPr>
        <w:t>i</w:t>
      </w:r>
      <w:r>
        <w:rPr>
          <w:color w:val="231F20"/>
          <w:spacing w:val="2"/>
          <w:w w:val="99"/>
        </w:rPr>
        <w:t>t</w:t>
      </w:r>
      <w:r>
        <w:rPr>
          <w:color w:val="231F20"/>
          <w:w w:val="99"/>
        </w:rPr>
        <w:t>i</w:t>
      </w:r>
      <w:r>
        <w:rPr>
          <w:color w:val="231F20"/>
          <w:spacing w:val="1"/>
          <w:w w:val="90"/>
        </w:rPr>
        <w:t>s</w:t>
      </w:r>
      <w:r>
        <w:rPr>
          <w:color w:val="231F20"/>
        </w:rPr>
        <w:t>c</w:t>
      </w:r>
      <w:r>
        <w:rPr>
          <w:color w:val="231F20"/>
          <w:spacing w:val="-1"/>
        </w:rPr>
        <w:t>h</w:t>
      </w:r>
      <w:r>
        <w:rPr>
          <w:color w:val="231F20"/>
          <w:spacing w:val="2"/>
          <w:w w:val="91"/>
        </w:rPr>
        <w:t>e</w:t>
      </w:r>
      <w:r>
        <w:rPr>
          <w:color w:val="231F20"/>
        </w:rPr>
        <w:t>S</w:t>
      </w:r>
      <w:r>
        <w:rPr>
          <w:color w:val="231F20"/>
          <w:spacing w:val="3"/>
          <w:w w:val="98"/>
        </w:rPr>
        <w:t>t</w:t>
      </w:r>
      <w:r>
        <w:rPr>
          <w:color w:val="231F20"/>
          <w:spacing w:val="-2"/>
          <w:w w:val="94"/>
        </w:rPr>
        <w:t>r</w:t>
      </w:r>
      <w:r>
        <w:rPr>
          <w:color w:val="231F20"/>
          <w:spacing w:val="1"/>
          <w:w w:val="104"/>
        </w:rPr>
        <w:t>o</w:t>
      </w:r>
      <w:r>
        <w:rPr>
          <w:color w:val="231F20"/>
          <w:w w:val="91"/>
        </w:rPr>
        <w:t>e</w:t>
      </w:r>
      <w:r>
        <w:rPr>
          <w:color w:val="231F20"/>
          <w:spacing w:val="-2"/>
          <w:w w:val="99"/>
        </w:rPr>
        <w:t>m</w:t>
      </w:r>
      <w:r>
        <w:rPr>
          <w:color w:val="231F20"/>
          <w:spacing w:val="3"/>
        </w:rPr>
        <w:t>u</w:t>
      </w:r>
      <w:r>
        <w:rPr>
          <w:color w:val="231F20"/>
          <w:w w:val="99"/>
        </w:rPr>
        <w:t>n</w:t>
      </w:r>
      <w:r>
        <w:rPr>
          <w:color w:val="231F20"/>
          <w:spacing w:val="-1"/>
          <w:w w:val="101"/>
        </w:rPr>
        <w:t>g</w:t>
      </w:r>
      <w:r>
        <w:rPr>
          <w:color w:val="231F20"/>
          <w:w w:val="91"/>
        </w:rPr>
        <w:t>e</w:t>
      </w:r>
      <w:r>
        <w:rPr>
          <w:color w:val="231F20"/>
          <w:spacing w:val="8"/>
          <w:w w:val="99"/>
        </w:rPr>
        <w:t>n</w:t>
      </w:r>
      <w:r>
        <w:rPr>
          <w:color w:val="231F20"/>
          <w:spacing w:val="2"/>
          <w:w w:val="78"/>
        </w:rPr>
        <w:t>/</w:t>
      </w:r>
      <w:r>
        <w:rPr>
          <w:color w:val="231F20"/>
          <w:w w:val="78"/>
        </w:rPr>
        <w:t>S</w:t>
      </w:r>
      <w:r>
        <w:rPr>
          <w:color w:val="231F20"/>
          <w:spacing w:val="2"/>
          <w:w w:val="98"/>
        </w:rPr>
        <w:t>t</w:t>
      </w:r>
      <w:r>
        <w:rPr>
          <w:color w:val="231F20"/>
          <w:spacing w:val="-2"/>
          <w:w w:val="102"/>
        </w:rPr>
        <w:t>a</w:t>
      </w:r>
      <w:r>
        <w:rPr>
          <w:color w:val="231F20"/>
          <w:spacing w:val="-1"/>
        </w:rPr>
        <w:t>d</w:t>
      </w:r>
      <w:r>
        <w:rPr>
          <w:color w:val="231F20"/>
          <w:spacing w:val="1"/>
          <w:w w:val="98"/>
        </w:rPr>
        <w:t>t</w:t>
      </w:r>
      <w:r>
        <w:rPr>
          <w:color w:val="231F20"/>
          <w:spacing w:val="3"/>
          <w:w w:val="101"/>
        </w:rPr>
        <w:t>g</w:t>
      </w:r>
      <w:r>
        <w:rPr>
          <w:color w:val="231F20"/>
        </w:rPr>
        <w:t>u</w:t>
      </w:r>
      <w:r>
        <w:rPr>
          <w:color w:val="231F20"/>
          <w:w w:val="91"/>
        </w:rPr>
        <w:t>e</w:t>
      </w:r>
      <w:r>
        <w:rPr>
          <w:color w:val="231F20"/>
          <w:spacing w:val="1"/>
          <w:w w:val="94"/>
        </w:rPr>
        <w:t>r</w:t>
      </w:r>
      <w:r>
        <w:rPr>
          <w:color w:val="231F20"/>
          <w:spacing w:val="2"/>
          <w:w w:val="101"/>
        </w:rPr>
        <w:t>il</w:t>
      </w:r>
      <w:r>
        <w:rPr>
          <w:color w:val="231F20"/>
          <w:w w:val="101"/>
        </w:rPr>
        <w:t>l</w:t>
      </w:r>
      <w:r>
        <w:rPr>
          <w:color w:val="231F20"/>
          <w:spacing w:val="-6"/>
          <w:w w:val="102"/>
        </w:rPr>
        <w:t>a</w:t>
      </w:r>
      <w:r>
        <w:rPr>
          <w:color w:val="231F20"/>
          <w:spacing w:val="-1"/>
        </w:rPr>
        <w:t>+</w:t>
      </w:r>
      <w:r w:rsidR="00C507A5">
        <w:rPr>
          <w:color w:val="231F20"/>
          <w:spacing w:val="8"/>
          <w:w w:val="116"/>
        </w:rPr>
        <w:t>red army faction</w:t>
      </w:r>
      <w:r>
        <w:rPr>
          <w:color w:val="231F20"/>
          <w:spacing w:val="10"/>
          <w:w w:val="56"/>
        </w:rPr>
        <w:t>/</w:t>
      </w:r>
      <w:r w:rsidR="00C507A5">
        <w:rPr>
          <w:color w:val="231F20"/>
          <w:spacing w:val="8"/>
          <w:w w:val="116"/>
        </w:rPr>
        <w:t>red army faction</w:t>
      </w:r>
      <w:r>
        <w:rPr>
          <w:color w:val="231F20"/>
          <w:w w:val="56"/>
        </w:rPr>
        <w:t xml:space="preserve">/ </w:t>
      </w:r>
      <w:r>
        <w:rPr>
          <w:color w:val="231F20"/>
          <w:spacing w:val="-1"/>
          <w:w w:val="101"/>
        </w:rPr>
        <w:t>b</w:t>
      </w:r>
      <w:r>
        <w:rPr>
          <w:color w:val="231F20"/>
          <w:spacing w:val="-3"/>
          <w:w w:val="94"/>
        </w:rPr>
        <w:t>r</w:t>
      </w:r>
      <w:r>
        <w:rPr>
          <w:color w:val="231F20"/>
          <w:spacing w:val="-4"/>
        </w:rPr>
        <w:t>d+</w:t>
      </w:r>
      <w:r>
        <w:rPr>
          <w:color w:val="231F20"/>
          <w:spacing w:val="-1"/>
          <w:w w:val="94"/>
        </w:rPr>
        <w:t>r</w:t>
      </w:r>
      <w:r>
        <w:rPr>
          <w:color w:val="231F20"/>
          <w:spacing w:val="2"/>
          <w:w w:val="102"/>
        </w:rPr>
        <w:t>a</w:t>
      </w:r>
      <w:r>
        <w:rPr>
          <w:color w:val="231F20"/>
          <w:spacing w:val="6"/>
          <w:w w:val="109"/>
        </w:rPr>
        <w:t>f</w:t>
      </w:r>
      <w:r>
        <w:rPr>
          <w:color w:val="231F20"/>
          <w:spacing w:val="2"/>
          <w:w w:val="56"/>
        </w:rPr>
        <w:t>/</w:t>
      </w:r>
      <w:r>
        <w:rPr>
          <w:color w:val="231F20"/>
          <w:spacing w:val="-3"/>
        </w:rPr>
        <w:t>0</w:t>
      </w:r>
      <w:r>
        <w:rPr>
          <w:color w:val="231F20"/>
          <w:spacing w:val="-6"/>
        </w:rPr>
        <w:t>5</w:t>
      </w:r>
      <w:r>
        <w:rPr>
          <w:color w:val="231F20"/>
          <w:spacing w:val="-1"/>
        </w:rPr>
        <w:t>3</w:t>
      </w:r>
      <w:r>
        <w:rPr>
          <w:color w:val="231F20"/>
          <w:w w:val="135"/>
        </w:rPr>
        <w:t>.</w:t>
      </w:r>
      <w:r>
        <w:rPr>
          <w:color w:val="231F20"/>
          <w:spacing w:val="-2"/>
        </w:rPr>
        <w:t>h</w:t>
      </w:r>
      <w:r>
        <w:rPr>
          <w:color w:val="231F20"/>
          <w:spacing w:val="3"/>
          <w:w w:val="98"/>
        </w:rPr>
        <w:t>t</w:t>
      </w:r>
      <w:r>
        <w:rPr>
          <w:color w:val="231F20"/>
          <w:spacing w:val="3"/>
          <w:w w:val="99"/>
        </w:rPr>
        <w:t>m</w:t>
      </w:r>
      <w:r>
        <w:rPr>
          <w:color w:val="231F20"/>
          <w:w w:val="102"/>
        </w:rPr>
        <w:t>l</w:t>
      </w:r>
      <w:r>
        <w:rPr>
          <w:color w:val="231F20"/>
          <w:w w:val="135"/>
        </w:rPr>
        <w:t>.</w:t>
      </w:r>
    </w:p>
    <w:p w14:paraId="321F1419" w14:textId="77777777" w:rsidR="002653E8" w:rsidRPr="00846956" w:rsidRDefault="003115E3">
      <w:pPr>
        <w:pStyle w:val="a3"/>
        <w:spacing w:before="162" w:line="244" w:lineRule="auto"/>
        <w:ind w:left="2461" w:right="1383" w:hanging="1079"/>
        <w:rPr>
          <w:lang w:val="de-DE"/>
        </w:rPr>
      </w:pPr>
      <w:r w:rsidRPr="00846956">
        <w:rPr>
          <w:color w:val="231F20"/>
          <w:w w:val="148"/>
          <w:lang w:val="de-DE"/>
        </w:rPr>
        <w:t>“</w:t>
      </w:r>
      <w:r w:rsidRPr="00846956">
        <w:rPr>
          <w:color w:val="231F20"/>
          <w:w w:val="102"/>
          <w:lang w:val="de-DE"/>
        </w:rPr>
        <w:t>a</w:t>
      </w:r>
      <w:r w:rsidRPr="00846956">
        <w:rPr>
          <w:color w:val="231F20"/>
          <w:lang w:val="de-DE"/>
        </w:rPr>
        <w:t>i-168</w:t>
      </w:r>
      <w:r w:rsidRPr="00846956">
        <w:rPr>
          <w:color w:val="231F20"/>
          <w:w w:val="135"/>
          <w:lang w:val="de-DE"/>
        </w:rPr>
        <w:t>.</w:t>
      </w:r>
      <w:r w:rsidRPr="00846956">
        <w:rPr>
          <w:color w:val="231F20"/>
          <w:w w:val="148"/>
          <w:lang w:val="de-DE"/>
        </w:rPr>
        <w:t>”</w:t>
      </w:r>
      <w:r w:rsidRPr="00846956">
        <w:rPr>
          <w:color w:val="231F20"/>
          <w:lang w:val="de-DE"/>
        </w:rPr>
        <w:t xml:space="preserve"> </w:t>
      </w:r>
      <w:hyperlink r:id="rId561">
        <w:r w:rsidRPr="00846956">
          <w:rPr>
            <w:color w:val="231F20"/>
            <w:lang w:val="de-DE"/>
          </w:rPr>
          <w:t>h</w:t>
        </w:r>
        <w:r w:rsidRPr="00846956">
          <w:rPr>
            <w:color w:val="231F20"/>
            <w:w w:val="98"/>
            <w:lang w:val="de-DE"/>
          </w:rPr>
          <w:t>tt</w:t>
        </w:r>
        <w:r w:rsidRPr="00846956">
          <w:rPr>
            <w:color w:val="231F20"/>
            <w:w w:val="99"/>
            <w:lang w:val="de-DE"/>
          </w:rPr>
          <w:t>p</w:t>
        </w:r>
        <w:r w:rsidRPr="00846956">
          <w:rPr>
            <w:color w:val="231F20"/>
            <w:w w:val="105"/>
            <w:lang w:val="de-DE"/>
          </w:rPr>
          <w:t>:</w:t>
        </w:r>
        <w:r w:rsidRPr="00846956">
          <w:rPr>
            <w:color w:val="231F20"/>
            <w:w w:val="56"/>
            <w:lang w:val="de-DE"/>
          </w:rPr>
          <w:t>//</w:t>
        </w:r>
        <w:r w:rsidRPr="00846956">
          <w:rPr>
            <w:color w:val="231F20"/>
            <w:lang w:val="de-DE"/>
          </w:rPr>
          <w:t>www</w:t>
        </w:r>
        <w:r w:rsidRPr="00846956">
          <w:rPr>
            <w:color w:val="231F20"/>
            <w:w w:val="135"/>
            <w:lang w:val="de-DE"/>
          </w:rPr>
          <w:t>.</w:t>
        </w:r>
        <w:r w:rsidRPr="00846956">
          <w:rPr>
            <w:color w:val="231F20"/>
            <w:w w:val="99"/>
            <w:lang w:val="de-DE"/>
          </w:rPr>
          <w:t>n</w:t>
        </w:r>
        <w:r w:rsidRPr="00846956">
          <w:rPr>
            <w:color w:val="231F20"/>
            <w:w w:val="102"/>
            <w:lang w:val="de-DE"/>
          </w:rPr>
          <w:t>a</w:t>
        </w:r>
        <w:r w:rsidRPr="00846956">
          <w:rPr>
            <w:color w:val="231F20"/>
            <w:lang w:val="de-DE"/>
          </w:rPr>
          <w:t>d</w:t>
        </w:r>
        <w:r w:rsidRPr="00846956">
          <w:rPr>
            <w:color w:val="231F20"/>
            <w:w w:val="96"/>
            <w:lang w:val="de-DE"/>
          </w:rPr>
          <w:t>ir</w:t>
        </w:r>
        <w:r w:rsidRPr="00846956">
          <w:rPr>
            <w:color w:val="231F20"/>
            <w:w w:val="135"/>
            <w:lang w:val="de-DE"/>
          </w:rPr>
          <w:t>.</w:t>
        </w:r>
        <w:r w:rsidRPr="00846956">
          <w:rPr>
            <w:color w:val="231F20"/>
            <w:w w:val="104"/>
            <w:lang w:val="de-DE"/>
          </w:rPr>
          <w:t>o</w:t>
        </w:r>
        <w:r w:rsidRPr="00846956">
          <w:rPr>
            <w:color w:val="231F20"/>
            <w:w w:val="94"/>
            <w:lang w:val="de-DE"/>
          </w:rPr>
          <w:t>r</w:t>
        </w:r>
        <w:r w:rsidRPr="00846956">
          <w:rPr>
            <w:color w:val="231F20"/>
            <w:w w:val="101"/>
            <w:lang w:val="de-DE"/>
          </w:rPr>
          <w:t>g</w:t>
        </w:r>
        <w:r w:rsidRPr="00846956">
          <w:rPr>
            <w:color w:val="231F20"/>
            <w:w w:val="56"/>
            <w:lang w:val="de-DE"/>
          </w:rPr>
          <w:t>/</w:t>
        </w:r>
        <w:r w:rsidRPr="00846956">
          <w:rPr>
            <w:color w:val="231F20"/>
            <w:w w:val="99"/>
            <w:lang w:val="de-DE"/>
          </w:rPr>
          <w:t>n</w:t>
        </w:r>
        <w:r w:rsidRPr="00846956">
          <w:rPr>
            <w:color w:val="231F20"/>
            <w:w w:val="102"/>
            <w:lang w:val="de-DE"/>
          </w:rPr>
          <w:t>a</w:t>
        </w:r>
        <w:r w:rsidRPr="00846956">
          <w:rPr>
            <w:color w:val="231F20"/>
            <w:lang w:val="de-DE"/>
          </w:rPr>
          <w:t>d</w:t>
        </w:r>
        <w:r w:rsidRPr="00846956">
          <w:rPr>
            <w:color w:val="231F20"/>
            <w:w w:val="96"/>
            <w:lang w:val="de-DE"/>
          </w:rPr>
          <w:t>ir</w:t>
        </w:r>
        <w:r w:rsidRPr="00846956">
          <w:rPr>
            <w:color w:val="231F20"/>
            <w:w w:val="56"/>
            <w:lang w:val="de-DE"/>
          </w:rPr>
          <w:t>/</w:t>
        </w:r>
        <w:r w:rsidRPr="00846956">
          <w:rPr>
            <w:color w:val="231F20"/>
            <w:w w:val="99"/>
            <w:lang w:val="de-DE"/>
          </w:rPr>
          <w:t>p</w:t>
        </w:r>
        <w:r w:rsidRPr="00846956">
          <w:rPr>
            <w:color w:val="231F20"/>
            <w:w w:val="91"/>
            <w:lang w:val="de-DE"/>
          </w:rPr>
          <w:t>e</w:t>
        </w:r>
        <w:r w:rsidRPr="00846956">
          <w:rPr>
            <w:color w:val="231F20"/>
            <w:w w:val="94"/>
            <w:lang w:val="de-DE"/>
          </w:rPr>
          <w:t>r</w:t>
        </w:r>
        <w:r w:rsidRPr="00846956">
          <w:rPr>
            <w:color w:val="231F20"/>
            <w:lang w:val="de-DE"/>
          </w:rPr>
          <w:t>i</w:t>
        </w:r>
        <w:r w:rsidRPr="00846956">
          <w:rPr>
            <w:color w:val="231F20"/>
            <w:w w:val="104"/>
            <w:lang w:val="de-DE"/>
          </w:rPr>
          <w:t>o</w:t>
        </w:r>
        <w:r w:rsidRPr="00846956">
          <w:rPr>
            <w:color w:val="231F20"/>
            <w:lang w:val="de-DE"/>
          </w:rPr>
          <w:t>di</w:t>
        </w:r>
        <w:r w:rsidRPr="00846956">
          <w:rPr>
            <w:color w:val="231F20"/>
            <w:w w:val="106"/>
            <w:lang w:val="de-DE"/>
          </w:rPr>
          <w:t>k</w:t>
        </w:r>
        <w:r w:rsidRPr="00846956">
          <w:rPr>
            <w:color w:val="231F20"/>
            <w:w w:val="102"/>
            <w:lang w:val="de-DE"/>
          </w:rPr>
          <w:t>a</w:t>
        </w:r>
        <w:r w:rsidRPr="00846956">
          <w:rPr>
            <w:color w:val="231F20"/>
            <w:w w:val="56"/>
            <w:lang w:val="de-DE"/>
          </w:rPr>
          <w:t>/</w:t>
        </w:r>
        <w:r w:rsidRPr="00846956">
          <w:rPr>
            <w:color w:val="231F20"/>
            <w:w w:val="102"/>
            <w:lang w:val="de-DE"/>
          </w:rPr>
          <w:t>a</w:t>
        </w:r>
        <w:r w:rsidRPr="00846956">
          <w:rPr>
            <w:color w:val="231F20"/>
            <w:w w:val="99"/>
            <w:lang w:val="de-DE"/>
          </w:rPr>
          <w:t>n</w:t>
        </w:r>
        <w:r w:rsidRPr="00846956">
          <w:rPr>
            <w:color w:val="231F20"/>
            <w:w w:val="101"/>
            <w:lang w:val="de-DE"/>
          </w:rPr>
          <w:t>g</w:t>
        </w:r>
        <w:r w:rsidRPr="00846956">
          <w:rPr>
            <w:color w:val="231F20"/>
            <w:w w:val="91"/>
            <w:lang w:val="de-DE"/>
          </w:rPr>
          <w:t>e</w:t>
        </w:r>
        <w:r w:rsidRPr="00846956">
          <w:rPr>
            <w:color w:val="231F20"/>
            <w:lang w:val="de-DE"/>
          </w:rPr>
          <w:t>h</w:t>
        </w:r>
        <w:r w:rsidRPr="00846956">
          <w:rPr>
            <w:color w:val="231F20"/>
            <w:w w:val="104"/>
            <w:lang w:val="de-DE"/>
          </w:rPr>
          <w:t>o</w:t>
        </w:r>
        <w:r w:rsidRPr="00846956">
          <w:rPr>
            <w:color w:val="231F20"/>
            <w:w w:val="91"/>
            <w:lang w:val="de-DE"/>
          </w:rPr>
          <w:t>e</w:t>
        </w:r>
        <w:r w:rsidRPr="00846956">
          <w:rPr>
            <w:color w:val="231F20"/>
            <w:w w:val="94"/>
            <w:lang w:val="de-DE"/>
          </w:rPr>
          <w:t>r</w:t>
        </w:r>
        <w:r w:rsidRPr="00846956">
          <w:rPr>
            <w:color w:val="231F20"/>
            <w:lang w:val="de-DE"/>
          </w:rPr>
          <w:t>i</w:t>
        </w:r>
        <w:r w:rsidRPr="00846956">
          <w:rPr>
            <w:color w:val="231F20"/>
            <w:w w:val="101"/>
            <w:lang w:val="de-DE"/>
          </w:rPr>
          <w:t>g</w:t>
        </w:r>
        <w:r w:rsidRPr="00846956">
          <w:rPr>
            <w:color w:val="231F20"/>
            <w:w w:val="91"/>
            <w:lang w:val="de-DE"/>
          </w:rPr>
          <w:t>e</w:t>
        </w:r>
        <w:r w:rsidRPr="00846956">
          <w:rPr>
            <w:color w:val="231F20"/>
            <w:w w:val="99"/>
            <w:lang w:val="de-DE"/>
          </w:rPr>
          <w:t>n</w:t>
        </w:r>
        <w:r w:rsidRPr="00846956">
          <w:rPr>
            <w:color w:val="231F20"/>
            <w:w w:val="134"/>
            <w:lang w:val="de-DE"/>
          </w:rPr>
          <w:t>_</w:t>
        </w:r>
        <w:r w:rsidRPr="00846956">
          <w:rPr>
            <w:color w:val="231F20"/>
            <w:lang w:val="de-DE"/>
          </w:rPr>
          <w:t>i</w:t>
        </w:r>
        <w:r w:rsidRPr="00846956">
          <w:rPr>
            <w:color w:val="231F20"/>
            <w:w w:val="99"/>
            <w:lang w:val="de-DE"/>
          </w:rPr>
          <w:t>n</w:t>
        </w:r>
        <w:r w:rsidRPr="00846956">
          <w:rPr>
            <w:color w:val="231F20"/>
            <w:w w:val="109"/>
            <w:lang w:val="de-DE"/>
          </w:rPr>
          <w:t>f</w:t>
        </w:r>
        <w:r w:rsidRPr="00846956">
          <w:rPr>
            <w:color w:val="231F20"/>
            <w:w w:val="104"/>
            <w:lang w:val="de-DE"/>
          </w:rPr>
          <w:t>o</w:t>
        </w:r>
        <w:r w:rsidRPr="00846956">
          <w:rPr>
            <w:color w:val="231F20"/>
            <w:w w:val="56"/>
            <w:lang w:val="de-DE"/>
          </w:rPr>
          <w:t>/</w:t>
        </w:r>
      </w:hyperlink>
      <w:r w:rsidRPr="00846956">
        <w:rPr>
          <w:color w:val="231F20"/>
          <w:w w:val="56"/>
          <w:lang w:val="de-DE"/>
        </w:rPr>
        <w:t xml:space="preserve"> </w:t>
      </w:r>
      <w:r w:rsidRPr="00846956">
        <w:rPr>
          <w:color w:val="231F20"/>
          <w:w w:val="105"/>
          <w:lang w:val="de-DE"/>
        </w:rPr>
        <w:t>ai-168.html.</w:t>
      </w:r>
    </w:p>
    <w:p w14:paraId="6D52DB0C" w14:textId="77777777" w:rsidR="002653E8" w:rsidRPr="00846956" w:rsidRDefault="003115E3">
      <w:pPr>
        <w:pStyle w:val="a3"/>
        <w:spacing w:before="162" w:line="244" w:lineRule="auto"/>
        <w:ind w:left="2461" w:hanging="1134"/>
        <w:rPr>
          <w:lang w:val="de-DE"/>
        </w:rPr>
      </w:pPr>
      <w:r w:rsidRPr="00846956">
        <w:rPr>
          <w:color w:val="231F20"/>
          <w:spacing w:val="-18"/>
          <w:w w:val="148"/>
          <w:lang w:val="de-DE"/>
        </w:rPr>
        <w:t>“</w:t>
      </w:r>
      <w:r w:rsidRPr="00846956">
        <w:rPr>
          <w:color w:val="231F20"/>
          <w:spacing w:val="6"/>
          <w:w w:val="115"/>
          <w:lang w:val="de-DE"/>
        </w:rPr>
        <w:t>A</w:t>
      </w:r>
      <w:r w:rsidRPr="00846956">
        <w:rPr>
          <w:color w:val="231F20"/>
          <w:spacing w:val="1"/>
          <w:w w:val="106"/>
          <w:lang w:val="de-DE"/>
        </w:rPr>
        <w:t>k</w:t>
      </w:r>
      <w:r w:rsidRPr="00846956">
        <w:rPr>
          <w:color w:val="231F20"/>
          <w:spacing w:val="2"/>
          <w:w w:val="98"/>
          <w:lang w:val="de-DE"/>
        </w:rPr>
        <w:t>t</w:t>
      </w:r>
      <w:r w:rsidRPr="00846956">
        <w:rPr>
          <w:color w:val="231F20"/>
          <w:spacing w:val="-2"/>
          <w:lang w:val="de-DE"/>
        </w:rPr>
        <w:t>i</w:t>
      </w:r>
      <w:r w:rsidRPr="00846956">
        <w:rPr>
          <w:color w:val="231F20"/>
          <w:spacing w:val="-1"/>
          <w:w w:val="104"/>
          <w:lang w:val="de-DE"/>
        </w:rPr>
        <w:t>o</w:t>
      </w:r>
      <w:r w:rsidRPr="00846956">
        <w:rPr>
          <w:color w:val="231F20"/>
          <w:w w:val="99"/>
          <w:lang w:val="de-DE"/>
        </w:rPr>
        <w:t>n</w:t>
      </w:r>
      <w:r w:rsidRPr="00846956">
        <w:rPr>
          <w:color w:val="231F20"/>
          <w:spacing w:val="10"/>
          <w:lang w:val="de-DE"/>
        </w:rPr>
        <w:t xml:space="preserve"> </w:t>
      </w:r>
      <w:r w:rsidRPr="00846956">
        <w:rPr>
          <w:color w:val="231F20"/>
          <w:spacing w:val="-1"/>
          <w:w w:val="101"/>
          <w:lang w:val="de-DE"/>
        </w:rPr>
        <w:t>g</w:t>
      </w:r>
      <w:r w:rsidRPr="00846956">
        <w:rPr>
          <w:color w:val="231F20"/>
          <w:w w:val="91"/>
          <w:lang w:val="de-DE"/>
        </w:rPr>
        <w:t>e</w:t>
      </w:r>
      <w:r w:rsidRPr="00846956">
        <w:rPr>
          <w:color w:val="231F20"/>
          <w:spacing w:val="-1"/>
          <w:w w:val="101"/>
          <w:lang w:val="de-DE"/>
        </w:rPr>
        <w:t>g</w:t>
      </w:r>
      <w:r w:rsidRPr="00846956">
        <w:rPr>
          <w:color w:val="231F20"/>
          <w:w w:val="91"/>
          <w:lang w:val="de-DE"/>
        </w:rPr>
        <w:t>e</w:t>
      </w:r>
      <w:r w:rsidRPr="00846956">
        <w:rPr>
          <w:color w:val="231F20"/>
          <w:w w:val="99"/>
          <w:lang w:val="de-DE"/>
        </w:rPr>
        <w:t>n</w:t>
      </w:r>
      <w:r w:rsidRPr="00846956">
        <w:rPr>
          <w:color w:val="231F20"/>
          <w:spacing w:val="10"/>
          <w:lang w:val="de-DE"/>
        </w:rPr>
        <w:t xml:space="preserve"> </w:t>
      </w:r>
      <w:r w:rsidRPr="00846956">
        <w:rPr>
          <w:color w:val="231F20"/>
          <w:spacing w:val="1"/>
          <w:lang w:val="de-DE"/>
        </w:rPr>
        <w:t>d</w:t>
      </w:r>
      <w:r w:rsidRPr="00846956">
        <w:rPr>
          <w:color w:val="231F20"/>
          <w:w w:val="102"/>
          <w:lang w:val="de-DE"/>
        </w:rPr>
        <w:t>a</w:t>
      </w:r>
      <w:r w:rsidRPr="00846956">
        <w:rPr>
          <w:color w:val="231F20"/>
          <w:w w:val="90"/>
          <w:lang w:val="de-DE"/>
        </w:rPr>
        <w:t>s</w:t>
      </w:r>
      <w:r w:rsidRPr="00846956">
        <w:rPr>
          <w:color w:val="231F20"/>
          <w:spacing w:val="10"/>
          <w:lang w:val="de-DE"/>
        </w:rPr>
        <w:t xml:space="preserve"> </w:t>
      </w:r>
      <w:r w:rsidRPr="00846956">
        <w:rPr>
          <w:color w:val="231F20"/>
          <w:w w:val="99"/>
          <w:lang w:val="de-DE"/>
        </w:rPr>
        <w:t>B</w:t>
      </w:r>
      <w:r w:rsidRPr="00846956">
        <w:rPr>
          <w:color w:val="231F20"/>
          <w:spacing w:val="3"/>
          <w:lang w:val="de-DE"/>
        </w:rPr>
        <w:t>u</w:t>
      </w:r>
      <w:r w:rsidRPr="00846956">
        <w:rPr>
          <w:color w:val="231F20"/>
          <w:spacing w:val="-1"/>
          <w:w w:val="99"/>
          <w:lang w:val="de-DE"/>
        </w:rPr>
        <w:t>n</w:t>
      </w:r>
      <w:r w:rsidRPr="00846956">
        <w:rPr>
          <w:color w:val="231F20"/>
          <w:lang w:val="de-DE"/>
        </w:rPr>
        <w:t>d</w:t>
      </w:r>
      <w:r w:rsidRPr="00846956">
        <w:rPr>
          <w:color w:val="231F20"/>
          <w:spacing w:val="1"/>
          <w:w w:val="91"/>
          <w:lang w:val="de-DE"/>
        </w:rPr>
        <w:t>e</w:t>
      </w:r>
      <w:r w:rsidRPr="00846956">
        <w:rPr>
          <w:color w:val="231F20"/>
          <w:w w:val="90"/>
          <w:lang w:val="de-DE"/>
        </w:rPr>
        <w:t>s</w:t>
      </w:r>
      <w:r w:rsidRPr="00846956">
        <w:rPr>
          <w:color w:val="231F20"/>
          <w:spacing w:val="-2"/>
          <w:w w:val="99"/>
          <w:lang w:val="de-DE"/>
        </w:rPr>
        <w:t>v</w:t>
      </w:r>
      <w:r w:rsidRPr="00846956">
        <w:rPr>
          <w:color w:val="231F20"/>
          <w:w w:val="92"/>
          <w:lang w:val="de-DE"/>
        </w:rPr>
        <w:t>e</w:t>
      </w:r>
      <w:r w:rsidRPr="00846956">
        <w:rPr>
          <w:color w:val="231F20"/>
          <w:spacing w:val="2"/>
          <w:w w:val="92"/>
          <w:lang w:val="de-DE"/>
        </w:rPr>
        <w:t>r</w:t>
      </w:r>
      <w:r w:rsidRPr="00846956">
        <w:rPr>
          <w:color w:val="231F20"/>
          <w:w w:val="105"/>
          <w:lang w:val="de-DE"/>
        </w:rPr>
        <w:t>fa</w:t>
      </w:r>
      <w:r w:rsidRPr="00846956">
        <w:rPr>
          <w:color w:val="231F20"/>
          <w:spacing w:val="1"/>
          <w:w w:val="90"/>
          <w:lang w:val="de-DE"/>
        </w:rPr>
        <w:t>s</w:t>
      </w:r>
      <w:r w:rsidRPr="00846956">
        <w:rPr>
          <w:color w:val="231F20"/>
          <w:spacing w:val="-1"/>
          <w:w w:val="90"/>
          <w:lang w:val="de-DE"/>
        </w:rPr>
        <w:t>s</w:t>
      </w:r>
      <w:r w:rsidRPr="00846956">
        <w:rPr>
          <w:color w:val="231F20"/>
          <w:spacing w:val="3"/>
          <w:lang w:val="de-DE"/>
        </w:rPr>
        <w:t>u</w:t>
      </w:r>
      <w:r w:rsidRPr="00846956">
        <w:rPr>
          <w:color w:val="231F20"/>
          <w:w w:val="99"/>
          <w:lang w:val="de-DE"/>
        </w:rPr>
        <w:t>n</w:t>
      </w:r>
      <w:r w:rsidRPr="00846956">
        <w:rPr>
          <w:color w:val="231F20"/>
          <w:spacing w:val="1"/>
          <w:w w:val="101"/>
          <w:lang w:val="de-DE"/>
        </w:rPr>
        <w:t>g</w:t>
      </w:r>
      <w:r w:rsidRPr="00846956">
        <w:rPr>
          <w:color w:val="231F20"/>
          <w:w w:val="90"/>
          <w:lang w:val="de-DE"/>
        </w:rPr>
        <w:t>s</w:t>
      </w:r>
      <w:r w:rsidRPr="00846956">
        <w:rPr>
          <w:color w:val="231F20"/>
          <w:spacing w:val="-1"/>
          <w:w w:val="101"/>
          <w:lang w:val="de-DE"/>
        </w:rPr>
        <w:t>g</w:t>
      </w:r>
      <w:r w:rsidRPr="00846956">
        <w:rPr>
          <w:color w:val="231F20"/>
          <w:w w:val="92"/>
          <w:lang w:val="de-DE"/>
        </w:rPr>
        <w:t>e</w:t>
      </w:r>
      <w:r w:rsidRPr="00846956">
        <w:rPr>
          <w:color w:val="231F20"/>
          <w:spacing w:val="1"/>
          <w:w w:val="92"/>
          <w:lang w:val="de-DE"/>
        </w:rPr>
        <w:t>r</w:t>
      </w:r>
      <w:r w:rsidRPr="00846956">
        <w:rPr>
          <w:color w:val="231F20"/>
          <w:lang w:val="de-DE"/>
        </w:rPr>
        <w:t>ic</w:t>
      </w:r>
      <w:r w:rsidRPr="00846956">
        <w:rPr>
          <w:color w:val="231F20"/>
          <w:spacing w:val="-2"/>
          <w:lang w:val="de-DE"/>
        </w:rPr>
        <w:t>h</w:t>
      </w:r>
      <w:r w:rsidRPr="00846956">
        <w:rPr>
          <w:color w:val="231F20"/>
          <w:w w:val="98"/>
          <w:lang w:val="de-DE"/>
        </w:rPr>
        <w:t>t</w:t>
      </w:r>
      <w:r w:rsidRPr="00846956">
        <w:rPr>
          <w:color w:val="231F20"/>
          <w:spacing w:val="10"/>
          <w:lang w:val="de-DE"/>
        </w:rPr>
        <w:t xml:space="preserve"> </w:t>
      </w:r>
      <w:r w:rsidRPr="00846956">
        <w:rPr>
          <w:color w:val="231F20"/>
          <w:spacing w:val="-2"/>
          <w:w w:val="87"/>
          <w:lang w:val="de-DE"/>
        </w:rPr>
        <w:t>(</w:t>
      </w:r>
      <w:r w:rsidRPr="00846956">
        <w:rPr>
          <w:color w:val="231F20"/>
          <w:spacing w:val="3"/>
          <w:w w:val="122"/>
          <w:lang w:val="de-DE"/>
        </w:rPr>
        <w:t>M</w:t>
      </w:r>
      <w:r w:rsidRPr="00846956">
        <w:rPr>
          <w:color w:val="231F20"/>
          <w:spacing w:val="3"/>
          <w:w w:val="102"/>
          <w:lang w:val="de-DE"/>
        </w:rPr>
        <w:t>ä</w:t>
      </w:r>
      <w:r w:rsidRPr="00846956">
        <w:rPr>
          <w:color w:val="231F20"/>
          <w:spacing w:val="1"/>
          <w:w w:val="94"/>
          <w:lang w:val="de-DE"/>
        </w:rPr>
        <w:t>r</w:t>
      </w:r>
      <w:r w:rsidRPr="00846956">
        <w:rPr>
          <w:color w:val="231F20"/>
          <w:w w:val="97"/>
          <w:lang w:val="de-DE"/>
        </w:rPr>
        <w:t>z</w:t>
      </w:r>
      <w:r w:rsidRPr="00846956">
        <w:rPr>
          <w:color w:val="231F20"/>
          <w:spacing w:val="11"/>
          <w:lang w:val="de-DE"/>
        </w:rPr>
        <w:t xml:space="preserve"> </w:t>
      </w:r>
      <w:r w:rsidRPr="00846956">
        <w:rPr>
          <w:color w:val="231F20"/>
          <w:spacing w:val="-12"/>
          <w:lang w:val="de-DE"/>
        </w:rPr>
        <w:t>7</w:t>
      </w:r>
      <w:r w:rsidRPr="00846956">
        <w:rPr>
          <w:color w:val="231F20"/>
          <w:spacing w:val="-14"/>
          <w:lang w:val="de-DE"/>
        </w:rPr>
        <w:t>5</w:t>
      </w:r>
      <w:r w:rsidRPr="00846956">
        <w:rPr>
          <w:color w:val="231F20"/>
          <w:spacing w:val="-4"/>
          <w:w w:val="87"/>
          <w:lang w:val="de-DE"/>
        </w:rPr>
        <w:t>)</w:t>
      </w:r>
      <w:r w:rsidRPr="00846956">
        <w:rPr>
          <w:color w:val="231F20"/>
          <w:spacing w:val="-14"/>
          <w:w w:val="135"/>
          <w:lang w:val="de-DE"/>
        </w:rPr>
        <w:t>.</w:t>
      </w:r>
      <w:r w:rsidRPr="00846956">
        <w:rPr>
          <w:color w:val="231F20"/>
          <w:w w:val="148"/>
          <w:lang w:val="de-DE"/>
        </w:rPr>
        <w:t>”</w:t>
      </w:r>
      <w:r w:rsidRPr="00846956">
        <w:rPr>
          <w:color w:val="231F20"/>
          <w:spacing w:val="10"/>
          <w:lang w:val="de-DE"/>
        </w:rPr>
        <w:t xml:space="preserve"> </w:t>
      </w:r>
      <w:hyperlink r:id="rId562">
        <w:r w:rsidRPr="00846956">
          <w:rPr>
            <w:color w:val="231F20"/>
            <w:spacing w:val="-2"/>
            <w:lang w:val="de-DE"/>
          </w:rPr>
          <w:t>h</w:t>
        </w:r>
        <w:r w:rsidRPr="00846956">
          <w:rPr>
            <w:color w:val="231F20"/>
            <w:spacing w:val="5"/>
            <w:w w:val="98"/>
            <w:lang w:val="de-DE"/>
          </w:rPr>
          <w:t>t</w:t>
        </w:r>
        <w:r w:rsidRPr="00846956">
          <w:rPr>
            <w:color w:val="231F20"/>
            <w:spacing w:val="3"/>
            <w:w w:val="98"/>
            <w:lang w:val="de-DE"/>
          </w:rPr>
          <w:t>t</w:t>
        </w:r>
        <w:r w:rsidRPr="00846956">
          <w:rPr>
            <w:color w:val="231F20"/>
            <w:spacing w:val="-1"/>
            <w:w w:val="99"/>
            <w:lang w:val="de-DE"/>
          </w:rPr>
          <w:t>p</w:t>
        </w:r>
        <w:r w:rsidRPr="00846956">
          <w:rPr>
            <w:color w:val="231F20"/>
            <w:spacing w:val="5"/>
            <w:w w:val="105"/>
            <w:lang w:val="de-DE"/>
          </w:rPr>
          <w:t>:</w:t>
        </w:r>
        <w:r w:rsidRPr="00846956">
          <w:rPr>
            <w:color w:val="231F20"/>
            <w:spacing w:val="-3"/>
            <w:w w:val="56"/>
            <w:lang w:val="de-DE"/>
          </w:rPr>
          <w:t>/</w:t>
        </w:r>
        <w:r w:rsidRPr="00846956">
          <w:rPr>
            <w:color w:val="231F20"/>
            <w:spacing w:val="1"/>
            <w:w w:val="56"/>
            <w:lang w:val="de-DE"/>
          </w:rPr>
          <w:t>/</w:t>
        </w:r>
        <w:r w:rsidRPr="00846956">
          <w:rPr>
            <w:color w:val="231F20"/>
            <w:spacing w:val="6"/>
            <w:lang w:val="de-DE"/>
          </w:rPr>
          <w:t>ww</w:t>
        </w:r>
        <w:r w:rsidRPr="00846956">
          <w:rPr>
            <w:color w:val="231F20"/>
            <w:spacing w:val="-12"/>
            <w:lang w:val="de-DE"/>
          </w:rPr>
          <w:t>w</w:t>
        </w:r>
        <w:r w:rsidRPr="00846956">
          <w:rPr>
            <w:color w:val="231F20"/>
            <w:w w:val="135"/>
            <w:lang w:val="de-DE"/>
          </w:rPr>
          <w:t>.</w:t>
        </w:r>
      </w:hyperlink>
      <w:r w:rsidRPr="00846956">
        <w:rPr>
          <w:color w:val="231F20"/>
          <w:w w:val="135"/>
          <w:lang w:val="de-DE"/>
        </w:rPr>
        <w:t xml:space="preserve"> </w:t>
      </w:r>
      <w:r w:rsidRPr="00846956">
        <w:rPr>
          <w:color w:val="231F20"/>
          <w:spacing w:val="2"/>
          <w:w w:val="109"/>
          <w:lang w:val="de-DE"/>
        </w:rPr>
        <w:t>f</w:t>
      </w:r>
      <w:r w:rsidRPr="00846956">
        <w:rPr>
          <w:color w:val="231F20"/>
          <w:spacing w:val="-1"/>
          <w:w w:val="94"/>
          <w:lang w:val="de-DE"/>
        </w:rPr>
        <w:t>re</w:t>
      </w:r>
      <w:r w:rsidRPr="00846956">
        <w:rPr>
          <w:color w:val="231F20"/>
          <w:spacing w:val="2"/>
          <w:w w:val="94"/>
          <w:lang w:val="de-DE"/>
        </w:rPr>
        <w:t>i</w:t>
      </w:r>
      <w:r w:rsidRPr="00846956">
        <w:rPr>
          <w:color w:val="231F20"/>
          <w:w w:val="102"/>
          <w:lang w:val="de-DE"/>
        </w:rPr>
        <w:t>la</w:t>
      </w:r>
      <w:r w:rsidRPr="00846956">
        <w:rPr>
          <w:color w:val="231F20"/>
          <w:spacing w:val="1"/>
          <w:w w:val="90"/>
          <w:lang w:val="de-DE"/>
        </w:rPr>
        <w:t>s</w:t>
      </w:r>
      <w:r w:rsidRPr="00846956">
        <w:rPr>
          <w:color w:val="231F20"/>
          <w:spacing w:val="-1"/>
          <w:w w:val="96"/>
          <w:lang w:val="de-DE"/>
        </w:rPr>
        <w:t>s</w:t>
      </w:r>
      <w:r w:rsidRPr="00846956">
        <w:rPr>
          <w:color w:val="231F20"/>
          <w:spacing w:val="3"/>
          <w:w w:val="96"/>
          <w:lang w:val="de-DE"/>
        </w:rPr>
        <w:t>u</w:t>
      </w:r>
      <w:r w:rsidRPr="00846956">
        <w:rPr>
          <w:color w:val="231F20"/>
          <w:w w:val="99"/>
          <w:lang w:val="de-DE"/>
        </w:rPr>
        <w:t>n</w:t>
      </w:r>
      <w:r w:rsidRPr="00846956">
        <w:rPr>
          <w:color w:val="231F20"/>
          <w:w w:val="101"/>
          <w:lang w:val="de-DE"/>
        </w:rPr>
        <w:t>g</w:t>
      </w:r>
      <w:r w:rsidRPr="00846956">
        <w:rPr>
          <w:color w:val="231F20"/>
          <w:w w:val="135"/>
          <w:lang w:val="de-DE"/>
        </w:rPr>
        <w:t>.</w:t>
      </w:r>
      <w:r w:rsidRPr="00846956">
        <w:rPr>
          <w:color w:val="231F20"/>
          <w:lang w:val="de-DE"/>
        </w:rPr>
        <w:t>d</w:t>
      </w:r>
      <w:r w:rsidRPr="00846956">
        <w:rPr>
          <w:color w:val="231F20"/>
          <w:spacing w:val="5"/>
          <w:w w:val="91"/>
          <w:lang w:val="de-DE"/>
        </w:rPr>
        <w:t>e</w:t>
      </w:r>
      <w:r w:rsidRPr="00846956">
        <w:rPr>
          <w:color w:val="231F20"/>
          <w:spacing w:val="-5"/>
          <w:w w:val="56"/>
          <w:lang w:val="de-DE"/>
        </w:rPr>
        <w:t>/</w:t>
      </w:r>
      <w:r w:rsidRPr="00846956">
        <w:rPr>
          <w:color w:val="231F20"/>
          <w:spacing w:val="3"/>
          <w:lang w:val="de-DE"/>
        </w:rPr>
        <w:t>d</w:t>
      </w:r>
      <w:r w:rsidRPr="00846956">
        <w:rPr>
          <w:color w:val="231F20"/>
          <w:spacing w:val="-2"/>
          <w:lang w:val="de-DE"/>
        </w:rPr>
        <w:t>i</w:t>
      </w:r>
      <w:r w:rsidRPr="00846956">
        <w:rPr>
          <w:color w:val="231F20"/>
          <w:spacing w:val="-3"/>
          <w:w w:val="99"/>
          <w:lang w:val="de-DE"/>
        </w:rPr>
        <w:t>v</w:t>
      </w:r>
      <w:r w:rsidRPr="00846956">
        <w:rPr>
          <w:color w:val="231F20"/>
          <w:w w:val="56"/>
          <w:lang w:val="de-DE"/>
        </w:rPr>
        <w:t>/</w:t>
      </w:r>
      <w:r w:rsidRPr="00846956">
        <w:rPr>
          <w:color w:val="231F20"/>
          <w:w w:val="98"/>
          <w:lang w:val="de-DE"/>
        </w:rPr>
        <w:t>t</w:t>
      </w:r>
      <w:r w:rsidRPr="00846956">
        <w:rPr>
          <w:color w:val="231F20"/>
          <w:spacing w:val="-1"/>
          <w:w w:val="102"/>
          <w:lang w:val="de-DE"/>
        </w:rPr>
        <w:t>e</w:t>
      </w:r>
      <w:r w:rsidRPr="00846956">
        <w:rPr>
          <w:color w:val="231F20"/>
          <w:spacing w:val="5"/>
          <w:w w:val="102"/>
          <w:lang w:val="de-DE"/>
        </w:rPr>
        <w:t>x</w:t>
      </w:r>
      <w:r w:rsidRPr="00846956">
        <w:rPr>
          <w:color w:val="231F20"/>
          <w:w w:val="98"/>
          <w:lang w:val="de-DE"/>
        </w:rPr>
        <w:t>t</w:t>
      </w:r>
      <w:r w:rsidRPr="00846956">
        <w:rPr>
          <w:color w:val="231F20"/>
          <w:spacing w:val="5"/>
          <w:w w:val="91"/>
          <w:lang w:val="de-DE"/>
        </w:rPr>
        <w:t>e</w:t>
      </w:r>
      <w:r w:rsidRPr="00846956">
        <w:rPr>
          <w:color w:val="231F20"/>
          <w:spacing w:val="-2"/>
          <w:w w:val="56"/>
          <w:lang w:val="de-DE"/>
        </w:rPr>
        <w:t>/</w:t>
      </w:r>
      <w:r w:rsidRPr="00846956">
        <w:rPr>
          <w:color w:val="231F20"/>
          <w:spacing w:val="1"/>
          <w:w w:val="94"/>
          <w:lang w:val="de-DE"/>
        </w:rPr>
        <w:t>r</w:t>
      </w:r>
      <w:r w:rsidRPr="00846956">
        <w:rPr>
          <w:color w:val="231F20"/>
          <w:spacing w:val="6"/>
          <w:w w:val="97"/>
          <w:lang w:val="de-DE"/>
        </w:rPr>
        <w:t>z</w:t>
      </w:r>
      <w:r w:rsidRPr="00846956">
        <w:rPr>
          <w:color w:val="231F20"/>
          <w:spacing w:val="-1"/>
          <w:w w:val="56"/>
          <w:lang w:val="de-DE"/>
        </w:rPr>
        <w:t>/</w:t>
      </w:r>
      <w:r w:rsidRPr="00846956">
        <w:rPr>
          <w:color w:val="231F20"/>
          <w:w w:val="97"/>
          <w:lang w:val="de-DE"/>
        </w:rPr>
        <w:t>z</w:t>
      </w:r>
      <w:r w:rsidRPr="00846956">
        <w:rPr>
          <w:color w:val="231F20"/>
          <w:spacing w:val="-1"/>
          <w:w w:val="104"/>
          <w:lang w:val="de-DE"/>
        </w:rPr>
        <w:t>o</w:t>
      </w:r>
      <w:r w:rsidRPr="00846956">
        <w:rPr>
          <w:color w:val="231F20"/>
          <w:spacing w:val="3"/>
          <w:w w:val="94"/>
          <w:lang w:val="de-DE"/>
        </w:rPr>
        <w:t>r</w:t>
      </w:r>
      <w:r w:rsidRPr="00846956">
        <w:rPr>
          <w:color w:val="231F20"/>
          <w:spacing w:val="8"/>
          <w:w w:val="99"/>
          <w:lang w:val="de-DE"/>
        </w:rPr>
        <w:t>n</w:t>
      </w:r>
      <w:r w:rsidRPr="00846956">
        <w:rPr>
          <w:color w:val="231F20"/>
          <w:spacing w:val="5"/>
          <w:w w:val="56"/>
          <w:lang w:val="de-DE"/>
        </w:rPr>
        <w:t>/</w:t>
      </w:r>
      <w:r w:rsidRPr="00846956">
        <w:rPr>
          <w:color w:val="231F20"/>
          <w:spacing w:val="5"/>
          <w:w w:val="134"/>
          <w:lang w:val="de-DE"/>
        </w:rPr>
        <w:t>Z</w:t>
      </w:r>
      <w:r w:rsidRPr="00846956">
        <w:rPr>
          <w:color w:val="231F20"/>
          <w:spacing w:val="-1"/>
          <w:w w:val="104"/>
          <w:lang w:val="de-DE"/>
        </w:rPr>
        <w:t>o</w:t>
      </w:r>
      <w:r w:rsidRPr="00846956">
        <w:rPr>
          <w:color w:val="231F20"/>
          <w:spacing w:val="3"/>
          <w:w w:val="94"/>
          <w:lang w:val="de-DE"/>
        </w:rPr>
        <w:t>r</w:t>
      </w:r>
      <w:r w:rsidRPr="00846956">
        <w:rPr>
          <w:color w:val="231F20"/>
          <w:spacing w:val="-2"/>
          <w:w w:val="99"/>
          <w:lang w:val="de-DE"/>
        </w:rPr>
        <w:t>n</w:t>
      </w:r>
      <w:r w:rsidRPr="00846956">
        <w:rPr>
          <w:color w:val="231F20"/>
          <w:spacing w:val="-5"/>
          <w:lang w:val="de-DE"/>
        </w:rPr>
        <w:t>1</w:t>
      </w:r>
      <w:r w:rsidRPr="00846956">
        <w:rPr>
          <w:color w:val="231F20"/>
          <w:spacing w:val="1"/>
          <w:lang w:val="de-DE"/>
        </w:rPr>
        <w:t>2</w:t>
      </w:r>
      <w:r w:rsidRPr="00846956">
        <w:rPr>
          <w:color w:val="231F20"/>
          <w:lang w:val="de-DE"/>
        </w:rPr>
        <w:t>i</w:t>
      </w:r>
      <w:r w:rsidRPr="00846956">
        <w:rPr>
          <w:color w:val="231F20"/>
          <w:w w:val="135"/>
          <w:lang w:val="de-DE"/>
        </w:rPr>
        <w:t>.</w:t>
      </w:r>
      <w:r w:rsidRPr="00846956">
        <w:rPr>
          <w:color w:val="231F20"/>
          <w:spacing w:val="-2"/>
          <w:w w:val="99"/>
          <w:lang w:val="de-DE"/>
        </w:rPr>
        <w:t>h</w:t>
      </w:r>
      <w:r w:rsidRPr="00846956">
        <w:rPr>
          <w:color w:val="231F20"/>
          <w:spacing w:val="3"/>
          <w:w w:val="99"/>
          <w:lang w:val="de-DE"/>
        </w:rPr>
        <w:t>t</w:t>
      </w:r>
      <w:r w:rsidRPr="00846956">
        <w:rPr>
          <w:color w:val="231F20"/>
          <w:spacing w:val="1"/>
          <w:w w:val="99"/>
          <w:lang w:val="de-DE"/>
        </w:rPr>
        <w:t>m</w:t>
      </w:r>
      <w:r w:rsidRPr="00846956">
        <w:rPr>
          <w:color w:val="231F20"/>
          <w:w w:val="135"/>
          <w:lang w:val="de-DE"/>
        </w:rPr>
        <w:t>.</w:t>
      </w:r>
    </w:p>
    <w:p w14:paraId="1EAA3EA4" w14:textId="77777777" w:rsidR="002653E8" w:rsidRPr="00846956" w:rsidRDefault="003115E3">
      <w:pPr>
        <w:pStyle w:val="a3"/>
        <w:spacing w:before="161" w:line="244" w:lineRule="auto"/>
        <w:ind w:left="2461" w:right="1580" w:hanging="1135"/>
        <w:rPr>
          <w:lang w:val="de-DE"/>
        </w:rPr>
      </w:pPr>
      <w:r w:rsidRPr="00846956">
        <w:rPr>
          <w:color w:val="231F20"/>
          <w:lang w:val="de-DE"/>
        </w:rPr>
        <w:t xml:space="preserve">“Aktionen gegen ITT Berlin und Nürnberg (November 73).” http:// </w:t>
      </w:r>
      <w:hyperlink r:id="rId563">
        <w:r w:rsidRPr="00846956">
          <w:rPr>
            <w:color w:val="231F20"/>
            <w:lang w:val="de-DE"/>
          </w:rPr>
          <w:t>www</w:t>
        </w:r>
        <w:r w:rsidRPr="00846956">
          <w:rPr>
            <w:color w:val="231F20"/>
            <w:w w:val="135"/>
            <w:lang w:val="de-DE"/>
          </w:rPr>
          <w:t>.</w:t>
        </w:r>
        <w:r w:rsidRPr="00846956">
          <w:rPr>
            <w:color w:val="231F20"/>
            <w:w w:val="109"/>
            <w:lang w:val="de-DE"/>
          </w:rPr>
          <w:t>f</w:t>
        </w:r>
        <w:r w:rsidRPr="00846956">
          <w:rPr>
            <w:color w:val="231F20"/>
            <w:w w:val="94"/>
            <w:lang w:val="de-DE"/>
          </w:rPr>
          <w:t>rei</w:t>
        </w:r>
        <w:r w:rsidRPr="00846956">
          <w:rPr>
            <w:color w:val="231F20"/>
            <w:w w:val="102"/>
            <w:lang w:val="de-DE"/>
          </w:rPr>
          <w:t>la</w:t>
        </w:r>
        <w:r w:rsidRPr="00846956">
          <w:rPr>
            <w:color w:val="231F20"/>
            <w:w w:val="90"/>
            <w:lang w:val="de-DE"/>
          </w:rPr>
          <w:t>s</w:t>
        </w:r>
        <w:r w:rsidRPr="00846956">
          <w:rPr>
            <w:color w:val="231F20"/>
            <w:w w:val="96"/>
            <w:lang w:val="de-DE"/>
          </w:rPr>
          <w:t>su</w:t>
        </w:r>
        <w:r w:rsidRPr="00846956">
          <w:rPr>
            <w:color w:val="231F20"/>
            <w:w w:val="99"/>
            <w:lang w:val="de-DE"/>
          </w:rPr>
          <w:t>n</w:t>
        </w:r>
        <w:r w:rsidRPr="00846956">
          <w:rPr>
            <w:color w:val="231F20"/>
            <w:w w:val="101"/>
            <w:lang w:val="de-DE"/>
          </w:rPr>
          <w:t>g</w:t>
        </w:r>
        <w:r w:rsidRPr="00846956">
          <w:rPr>
            <w:color w:val="231F20"/>
            <w:w w:val="135"/>
            <w:lang w:val="de-DE"/>
          </w:rPr>
          <w:t>.</w:t>
        </w:r>
        <w:r w:rsidRPr="00846956">
          <w:rPr>
            <w:color w:val="231F20"/>
            <w:lang w:val="de-DE"/>
          </w:rPr>
          <w:t>d</w:t>
        </w:r>
        <w:r w:rsidRPr="00846956">
          <w:rPr>
            <w:color w:val="231F20"/>
            <w:w w:val="91"/>
            <w:lang w:val="de-DE"/>
          </w:rPr>
          <w:t>e</w:t>
        </w:r>
        <w:r w:rsidRPr="00846956">
          <w:rPr>
            <w:color w:val="231F20"/>
            <w:w w:val="56"/>
            <w:lang w:val="de-DE"/>
          </w:rPr>
          <w:t>/</w:t>
        </w:r>
        <w:r w:rsidRPr="00846956">
          <w:rPr>
            <w:color w:val="231F20"/>
            <w:lang w:val="de-DE"/>
          </w:rPr>
          <w:t>di</w:t>
        </w:r>
        <w:r w:rsidRPr="00846956">
          <w:rPr>
            <w:color w:val="231F20"/>
            <w:w w:val="99"/>
            <w:lang w:val="de-DE"/>
          </w:rPr>
          <w:t>v</w:t>
        </w:r>
        <w:r w:rsidRPr="00846956">
          <w:rPr>
            <w:color w:val="231F20"/>
            <w:w w:val="56"/>
            <w:lang w:val="de-DE"/>
          </w:rPr>
          <w:t>/</w:t>
        </w:r>
        <w:r w:rsidRPr="00846956">
          <w:rPr>
            <w:color w:val="231F20"/>
            <w:w w:val="98"/>
            <w:lang w:val="de-DE"/>
          </w:rPr>
          <w:t>t</w:t>
        </w:r>
        <w:r w:rsidRPr="00846956">
          <w:rPr>
            <w:color w:val="231F20"/>
            <w:w w:val="102"/>
            <w:lang w:val="de-DE"/>
          </w:rPr>
          <w:t>ex</w:t>
        </w:r>
        <w:r w:rsidRPr="00846956">
          <w:rPr>
            <w:color w:val="231F20"/>
            <w:w w:val="98"/>
            <w:lang w:val="de-DE"/>
          </w:rPr>
          <w:t>t</w:t>
        </w:r>
        <w:r w:rsidRPr="00846956">
          <w:rPr>
            <w:color w:val="231F20"/>
            <w:w w:val="91"/>
            <w:lang w:val="de-DE"/>
          </w:rPr>
          <w:t>e</w:t>
        </w:r>
        <w:r w:rsidRPr="00846956">
          <w:rPr>
            <w:color w:val="231F20"/>
            <w:w w:val="56"/>
            <w:lang w:val="de-DE"/>
          </w:rPr>
          <w:t>/</w:t>
        </w:r>
        <w:r w:rsidRPr="00846956">
          <w:rPr>
            <w:color w:val="231F20"/>
            <w:w w:val="94"/>
            <w:lang w:val="de-DE"/>
          </w:rPr>
          <w:t>r</w:t>
        </w:r>
        <w:r w:rsidRPr="00846956">
          <w:rPr>
            <w:color w:val="231F20"/>
            <w:w w:val="97"/>
            <w:lang w:val="de-DE"/>
          </w:rPr>
          <w:t>z</w:t>
        </w:r>
        <w:r w:rsidRPr="00846956">
          <w:rPr>
            <w:color w:val="231F20"/>
            <w:w w:val="56"/>
            <w:lang w:val="de-DE"/>
          </w:rPr>
          <w:t>/</w:t>
        </w:r>
        <w:r w:rsidRPr="00846956">
          <w:rPr>
            <w:color w:val="231F20"/>
            <w:w w:val="97"/>
            <w:lang w:val="de-DE"/>
          </w:rPr>
          <w:t>z</w:t>
        </w:r>
        <w:r w:rsidRPr="00846956">
          <w:rPr>
            <w:color w:val="231F20"/>
            <w:w w:val="104"/>
            <w:lang w:val="de-DE"/>
          </w:rPr>
          <w:t>o</w:t>
        </w:r>
        <w:r w:rsidRPr="00846956">
          <w:rPr>
            <w:color w:val="231F20"/>
            <w:w w:val="94"/>
            <w:lang w:val="de-DE"/>
          </w:rPr>
          <w:t>r</w:t>
        </w:r>
        <w:r w:rsidRPr="00846956">
          <w:rPr>
            <w:color w:val="231F20"/>
            <w:w w:val="99"/>
            <w:lang w:val="de-DE"/>
          </w:rPr>
          <w:t>n</w:t>
        </w:r>
        <w:r w:rsidRPr="00846956">
          <w:rPr>
            <w:color w:val="231F20"/>
            <w:w w:val="56"/>
            <w:lang w:val="de-DE"/>
          </w:rPr>
          <w:t>/</w:t>
        </w:r>
        <w:r w:rsidRPr="00846956">
          <w:rPr>
            <w:color w:val="231F20"/>
            <w:w w:val="134"/>
            <w:lang w:val="de-DE"/>
          </w:rPr>
          <w:t>Z</w:t>
        </w:r>
        <w:r w:rsidRPr="00846956">
          <w:rPr>
            <w:color w:val="231F20"/>
            <w:w w:val="104"/>
            <w:lang w:val="de-DE"/>
          </w:rPr>
          <w:t>o</w:t>
        </w:r>
        <w:r w:rsidRPr="00846956">
          <w:rPr>
            <w:color w:val="231F20"/>
            <w:w w:val="94"/>
            <w:lang w:val="de-DE"/>
          </w:rPr>
          <w:t>r</w:t>
        </w:r>
        <w:r w:rsidRPr="00846956">
          <w:rPr>
            <w:color w:val="231F20"/>
            <w:w w:val="99"/>
            <w:lang w:val="de-DE"/>
          </w:rPr>
          <w:t>n</w:t>
        </w:r>
        <w:r w:rsidRPr="00846956">
          <w:rPr>
            <w:color w:val="231F20"/>
            <w:lang w:val="de-DE"/>
          </w:rPr>
          <w:t>12</w:t>
        </w:r>
        <w:r w:rsidRPr="00846956">
          <w:rPr>
            <w:color w:val="231F20"/>
            <w:w w:val="135"/>
            <w:lang w:val="de-DE"/>
          </w:rPr>
          <w:t>.</w:t>
        </w:r>
        <w:r w:rsidRPr="00846956">
          <w:rPr>
            <w:color w:val="231F20"/>
            <w:w w:val="99"/>
            <w:lang w:val="de-DE"/>
          </w:rPr>
          <w:t>htm</w:t>
        </w:r>
        <w:r w:rsidRPr="00846956">
          <w:rPr>
            <w:color w:val="231F20"/>
            <w:w w:val="135"/>
            <w:lang w:val="de-DE"/>
          </w:rPr>
          <w:t>.</w:t>
        </w:r>
      </w:hyperlink>
    </w:p>
    <w:p w14:paraId="0431E6FC" w14:textId="77777777" w:rsidR="002653E8" w:rsidRDefault="003115E3">
      <w:pPr>
        <w:pStyle w:val="a3"/>
        <w:spacing w:before="162" w:line="244" w:lineRule="auto"/>
        <w:ind w:left="2461" w:right="1400" w:hanging="1079"/>
      </w:pPr>
      <w:r w:rsidRPr="00846956">
        <w:rPr>
          <w:color w:val="231F20"/>
          <w:lang w:val="de-DE"/>
        </w:rPr>
        <w:t xml:space="preserve">“Die Integration der Bundesrepublik ins westliche Bündnissystem.” </w:t>
      </w:r>
      <w:hyperlink r:id="rId564">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r>
          <w:rPr>
            <w:color w:val="231F20"/>
            <w:w w:val="106"/>
          </w:rPr>
          <w:t>k</w:t>
        </w:r>
        <w:r>
          <w:rPr>
            <w:color w:val="231F20"/>
            <w:w w:val="90"/>
          </w:rPr>
          <w:t>s</w:t>
        </w:r>
        <w:r>
          <w:rPr>
            <w:color w:val="231F20"/>
            <w:w w:val="96"/>
          </w:rPr>
          <w:t>su</w:t>
        </w:r>
        <w:r>
          <w:rPr>
            <w:color w:val="231F20"/>
            <w:w w:val="94"/>
          </w:rPr>
          <w:t>r</w:t>
        </w:r>
        <w:r>
          <w:rPr>
            <w:color w:val="231F20"/>
            <w:w w:val="90"/>
          </w:rPr>
          <w:t>s</w:t>
        </w:r>
        <w:r>
          <w:rPr>
            <w:color w:val="231F20"/>
            <w:w w:val="91"/>
          </w:rPr>
          <w:t>ee</w:t>
        </w:r>
        <w:r>
          <w:rPr>
            <w:color w:val="231F20"/>
            <w:w w:val="135"/>
          </w:rPr>
          <w:t>.</w:t>
        </w:r>
        <w:r>
          <w:rPr>
            <w:color w:val="231F20"/>
          </w:rPr>
          <w:t>ch</w:t>
        </w:r>
        <w:r>
          <w:rPr>
            <w:color w:val="231F20"/>
            <w:w w:val="56"/>
          </w:rPr>
          <w:t>/</w:t>
        </w:r>
        <w:r>
          <w:rPr>
            <w:color w:val="231F20"/>
            <w:w w:val="90"/>
          </w:rPr>
          <w:t>s</w:t>
        </w:r>
        <w:r>
          <w:rPr>
            <w:color w:val="231F20"/>
          </w:rPr>
          <w:t>chu</w:t>
        </w:r>
        <w:r>
          <w:rPr>
            <w:color w:val="231F20"/>
            <w:w w:val="91"/>
          </w:rPr>
          <w:t>e</w:t>
        </w:r>
        <w:r>
          <w:rPr>
            <w:color w:val="231F20"/>
            <w:w w:val="95"/>
          </w:rPr>
          <w:t>le</w:t>
        </w:r>
        <w:r>
          <w:rPr>
            <w:color w:val="231F20"/>
            <w:w w:val="94"/>
          </w:rPr>
          <w:t>r</w:t>
        </w:r>
        <w:r>
          <w:rPr>
            <w:color w:val="231F20"/>
          </w:rPr>
          <w:t>w</w:t>
        </w:r>
        <w:r>
          <w:rPr>
            <w:color w:val="231F20"/>
            <w:w w:val="91"/>
          </w:rPr>
          <w:t>e</w:t>
        </w:r>
        <w:r>
          <w:rPr>
            <w:color w:val="231F20"/>
            <w:w w:val="101"/>
          </w:rPr>
          <w:t>b</w:t>
        </w:r>
        <w:r>
          <w:rPr>
            <w:color w:val="231F20"/>
            <w:w w:val="56"/>
          </w:rPr>
          <w:t>/</w:t>
        </w:r>
        <w:r>
          <w:rPr>
            <w:color w:val="231F20"/>
            <w:w w:val="106"/>
          </w:rPr>
          <w:t>k</w:t>
        </w:r>
        <w:r>
          <w:rPr>
            <w:color w:val="231F20"/>
            <w:w w:val="102"/>
          </w:rPr>
          <w:t>al</w:t>
        </w:r>
        <w:r>
          <w:rPr>
            <w:color w:val="231F20"/>
            <w:w w:val="98"/>
          </w:rPr>
          <w:t>t</w:t>
        </w:r>
        <w:r>
          <w:rPr>
            <w:color w:val="231F20"/>
            <w:w w:val="91"/>
          </w:rPr>
          <w:t>e</w:t>
        </w:r>
        <w:r>
          <w:rPr>
            <w:color w:val="231F20"/>
            <w:w w:val="94"/>
          </w:rPr>
          <w:t>r</w:t>
        </w:r>
        <w:r>
          <w:rPr>
            <w:color w:val="231F20"/>
          </w:rPr>
          <w:t>-</w:t>
        </w:r>
        <w:r>
          <w:rPr>
            <w:color w:val="231F20"/>
            <w:w w:val="106"/>
          </w:rPr>
          <w:t>k</w:t>
        </w:r>
        <w:r>
          <w:rPr>
            <w:color w:val="231F20"/>
            <w:w w:val="94"/>
          </w:rPr>
          <w:t>rie</w:t>
        </w:r>
        <w:r>
          <w:rPr>
            <w:color w:val="231F20"/>
            <w:w w:val="101"/>
          </w:rPr>
          <w:t>g</w:t>
        </w:r>
        <w:r>
          <w:rPr>
            <w:color w:val="231F20"/>
            <w:w w:val="56"/>
          </w:rPr>
          <w:t>/</w:t>
        </w:r>
        <w:r>
          <w:rPr>
            <w:color w:val="231F20"/>
            <w:w w:val="106"/>
          </w:rPr>
          <w:t>kk</w:t>
        </w:r>
        <w:r>
          <w:rPr>
            <w:color w:val="231F20"/>
            <w:w w:val="56"/>
          </w:rPr>
          <w:t>/</w:t>
        </w:r>
      </w:hyperlink>
      <w:r>
        <w:rPr>
          <w:color w:val="231F20"/>
          <w:w w:val="56"/>
        </w:rPr>
        <w:t xml:space="preserve"> </w:t>
      </w:r>
      <w:r>
        <w:rPr>
          <w:color w:val="231F20"/>
        </w:rPr>
        <w:t>integration.htm.</w:t>
      </w:r>
    </w:p>
    <w:p w14:paraId="0976F704" w14:textId="77777777" w:rsidR="002653E8" w:rsidRPr="00846956" w:rsidRDefault="003115E3">
      <w:pPr>
        <w:pStyle w:val="a3"/>
        <w:spacing w:before="163" w:line="244" w:lineRule="auto"/>
        <w:ind w:left="2461" w:right="1145" w:hanging="1134"/>
        <w:rPr>
          <w:lang w:val="de-DE"/>
        </w:rPr>
      </w:pPr>
      <w:r w:rsidRPr="00846956">
        <w:rPr>
          <w:color w:val="231F20"/>
          <w:w w:val="148"/>
          <w:lang w:val="de-DE"/>
        </w:rPr>
        <w:t>“</w:t>
      </w:r>
      <w:r w:rsidRPr="00846956">
        <w:rPr>
          <w:color w:val="231F20"/>
          <w:w w:val="127"/>
          <w:lang w:val="de-DE"/>
        </w:rPr>
        <w:t>G</w:t>
      </w:r>
      <w:r w:rsidRPr="00846956">
        <w:rPr>
          <w:color w:val="231F20"/>
          <w:w w:val="92"/>
          <w:lang w:val="de-DE"/>
        </w:rPr>
        <w:t>er</w:t>
      </w:r>
      <w:r w:rsidRPr="00846956">
        <w:rPr>
          <w:color w:val="231F20"/>
          <w:lang w:val="de-DE"/>
        </w:rPr>
        <w:t xml:space="preserve">d </w:t>
      </w:r>
      <w:r w:rsidRPr="00846956">
        <w:rPr>
          <w:color w:val="231F20"/>
          <w:w w:val="115"/>
          <w:lang w:val="de-DE"/>
        </w:rPr>
        <w:t>A</w:t>
      </w:r>
      <w:r w:rsidRPr="00846956">
        <w:rPr>
          <w:color w:val="231F20"/>
          <w:w w:val="102"/>
          <w:lang w:val="de-DE"/>
        </w:rPr>
        <w:t>l</w:t>
      </w:r>
      <w:r w:rsidRPr="00846956">
        <w:rPr>
          <w:color w:val="231F20"/>
          <w:w w:val="101"/>
          <w:lang w:val="de-DE"/>
        </w:rPr>
        <w:t>b</w:t>
      </w:r>
      <w:r w:rsidRPr="00846956">
        <w:rPr>
          <w:color w:val="231F20"/>
          <w:w w:val="102"/>
          <w:lang w:val="de-DE"/>
        </w:rPr>
        <w:t>a</w:t>
      </w:r>
      <w:r w:rsidRPr="00846956">
        <w:rPr>
          <w:color w:val="231F20"/>
          <w:w w:val="94"/>
          <w:lang w:val="de-DE"/>
        </w:rPr>
        <w:t>r</w:t>
      </w:r>
      <w:r w:rsidRPr="00846956">
        <w:rPr>
          <w:color w:val="231F20"/>
          <w:w w:val="98"/>
          <w:lang w:val="de-DE"/>
        </w:rPr>
        <w:t>t</w:t>
      </w:r>
      <w:r w:rsidRPr="00846956">
        <w:rPr>
          <w:color w:val="231F20"/>
          <w:lang w:val="de-DE"/>
        </w:rPr>
        <w:t>u</w:t>
      </w:r>
      <w:r w:rsidRPr="00846956">
        <w:rPr>
          <w:color w:val="231F20"/>
          <w:w w:val="90"/>
          <w:lang w:val="de-DE"/>
        </w:rPr>
        <w:t>s</w:t>
      </w:r>
      <w:r w:rsidRPr="00846956">
        <w:rPr>
          <w:color w:val="231F20"/>
          <w:lang w:val="de-DE"/>
        </w:rPr>
        <w:t xml:space="preserve"> i</w:t>
      </w:r>
      <w:r w:rsidRPr="00846956">
        <w:rPr>
          <w:color w:val="231F20"/>
          <w:w w:val="90"/>
          <w:lang w:val="de-DE"/>
        </w:rPr>
        <w:t>s</w:t>
      </w:r>
      <w:r w:rsidRPr="00846956">
        <w:rPr>
          <w:color w:val="231F20"/>
          <w:w w:val="98"/>
          <w:lang w:val="de-DE"/>
        </w:rPr>
        <w:t>t</w:t>
      </w:r>
      <w:r w:rsidRPr="00846956">
        <w:rPr>
          <w:color w:val="231F20"/>
          <w:lang w:val="de-DE"/>
        </w:rPr>
        <w:t xml:space="preserve"> </w:t>
      </w:r>
      <w:r w:rsidRPr="00846956">
        <w:rPr>
          <w:color w:val="231F20"/>
          <w:w w:val="98"/>
          <w:lang w:val="de-DE"/>
        </w:rPr>
        <w:t>t</w:t>
      </w:r>
      <w:r w:rsidRPr="00846956">
        <w:rPr>
          <w:color w:val="231F20"/>
          <w:w w:val="104"/>
          <w:lang w:val="de-DE"/>
        </w:rPr>
        <w:t>o</w:t>
      </w:r>
      <w:r w:rsidRPr="00846956">
        <w:rPr>
          <w:color w:val="231F20"/>
          <w:w w:val="98"/>
          <w:lang w:val="de-DE"/>
        </w:rPr>
        <w:t>t</w:t>
      </w:r>
      <w:r w:rsidRPr="00846956">
        <w:rPr>
          <w:color w:val="231F20"/>
          <w:w w:val="135"/>
          <w:lang w:val="de-DE"/>
        </w:rPr>
        <w:t>.</w:t>
      </w:r>
      <w:r w:rsidRPr="00846956">
        <w:rPr>
          <w:color w:val="231F20"/>
          <w:w w:val="148"/>
          <w:lang w:val="de-DE"/>
        </w:rPr>
        <w:t>”</w:t>
      </w:r>
      <w:r w:rsidRPr="00846956">
        <w:rPr>
          <w:color w:val="231F20"/>
          <w:lang w:val="de-DE"/>
        </w:rPr>
        <w:t xml:space="preserve"> </w:t>
      </w:r>
      <w:hyperlink r:id="rId565">
        <w:r w:rsidRPr="00846956">
          <w:rPr>
            <w:color w:val="231F20"/>
            <w:lang w:val="de-DE"/>
          </w:rPr>
          <w:t>h</w:t>
        </w:r>
        <w:r w:rsidRPr="00846956">
          <w:rPr>
            <w:color w:val="231F20"/>
            <w:w w:val="98"/>
            <w:lang w:val="de-DE"/>
          </w:rPr>
          <w:t>tt</w:t>
        </w:r>
        <w:r w:rsidRPr="00846956">
          <w:rPr>
            <w:color w:val="231F20"/>
            <w:w w:val="99"/>
            <w:lang w:val="de-DE"/>
          </w:rPr>
          <w:t>p</w:t>
        </w:r>
        <w:r w:rsidRPr="00846956">
          <w:rPr>
            <w:color w:val="231F20"/>
            <w:w w:val="105"/>
            <w:lang w:val="de-DE"/>
          </w:rPr>
          <w:t>:</w:t>
        </w:r>
        <w:r w:rsidRPr="00846956">
          <w:rPr>
            <w:color w:val="231F20"/>
            <w:w w:val="56"/>
            <w:lang w:val="de-DE"/>
          </w:rPr>
          <w:t>//</w:t>
        </w:r>
        <w:r w:rsidRPr="00846956">
          <w:rPr>
            <w:color w:val="231F20"/>
            <w:lang w:val="de-DE"/>
          </w:rPr>
          <w:t>www</w:t>
        </w:r>
        <w:r w:rsidRPr="00846956">
          <w:rPr>
            <w:color w:val="231F20"/>
            <w:w w:val="135"/>
            <w:lang w:val="de-DE"/>
          </w:rPr>
          <w:t>.</w:t>
        </w:r>
        <w:r w:rsidRPr="00846956">
          <w:rPr>
            <w:color w:val="231F20"/>
            <w:w w:val="109"/>
            <w:lang w:val="de-DE"/>
          </w:rPr>
          <w:t>f</w:t>
        </w:r>
        <w:r w:rsidRPr="00846956">
          <w:rPr>
            <w:color w:val="231F20"/>
            <w:w w:val="94"/>
            <w:lang w:val="de-DE"/>
          </w:rPr>
          <w:t>rei</w:t>
        </w:r>
        <w:r w:rsidRPr="00846956">
          <w:rPr>
            <w:color w:val="231F20"/>
            <w:w w:val="102"/>
            <w:lang w:val="de-DE"/>
          </w:rPr>
          <w:t>la</w:t>
        </w:r>
        <w:r w:rsidRPr="00846956">
          <w:rPr>
            <w:color w:val="231F20"/>
            <w:w w:val="90"/>
            <w:lang w:val="de-DE"/>
          </w:rPr>
          <w:t>s</w:t>
        </w:r>
        <w:r w:rsidRPr="00846956">
          <w:rPr>
            <w:color w:val="231F20"/>
            <w:w w:val="96"/>
            <w:lang w:val="de-DE"/>
          </w:rPr>
          <w:t>su</w:t>
        </w:r>
        <w:r w:rsidRPr="00846956">
          <w:rPr>
            <w:color w:val="231F20"/>
            <w:w w:val="99"/>
            <w:lang w:val="de-DE"/>
          </w:rPr>
          <w:t>n</w:t>
        </w:r>
        <w:r w:rsidRPr="00846956">
          <w:rPr>
            <w:color w:val="231F20"/>
            <w:w w:val="101"/>
            <w:lang w:val="de-DE"/>
          </w:rPr>
          <w:t>g</w:t>
        </w:r>
        <w:r w:rsidRPr="00846956">
          <w:rPr>
            <w:color w:val="231F20"/>
            <w:w w:val="135"/>
            <w:lang w:val="de-DE"/>
          </w:rPr>
          <w:t>.</w:t>
        </w:r>
        <w:r w:rsidRPr="00846956">
          <w:rPr>
            <w:color w:val="231F20"/>
            <w:lang w:val="de-DE"/>
          </w:rPr>
          <w:t>d</w:t>
        </w:r>
        <w:r w:rsidRPr="00846956">
          <w:rPr>
            <w:color w:val="231F20"/>
            <w:w w:val="91"/>
            <w:lang w:val="de-DE"/>
          </w:rPr>
          <w:t>e</w:t>
        </w:r>
        <w:r w:rsidRPr="00846956">
          <w:rPr>
            <w:color w:val="231F20"/>
            <w:w w:val="56"/>
            <w:lang w:val="de-DE"/>
          </w:rPr>
          <w:t>/</w:t>
        </w:r>
        <w:r w:rsidRPr="00846956">
          <w:rPr>
            <w:color w:val="231F20"/>
            <w:lang w:val="de-DE"/>
          </w:rPr>
          <w:t>di</w:t>
        </w:r>
        <w:r w:rsidRPr="00846956">
          <w:rPr>
            <w:color w:val="231F20"/>
            <w:w w:val="99"/>
            <w:lang w:val="de-DE"/>
          </w:rPr>
          <w:t>v</w:t>
        </w:r>
        <w:r w:rsidRPr="00846956">
          <w:rPr>
            <w:color w:val="231F20"/>
            <w:w w:val="56"/>
            <w:lang w:val="de-DE"/>
          </w:rPr>
          <w:t>/</w:t>
        </w:r>
        <w:r w:rsidRPr="00846956">
          <w:rPr>
            <w:color w:val="231F20"/>
            <w:w w:val="98"/>
            <w:lang w:val="de-DE"/>
          </w:rPr>
          <w:t>t</w:t>
        </w:r>
        <w:r w:rsidRPr="00846956">
          <w:rPr>
            <w:color w:val="231F20"/>
            <w:w w:val="102"/>
            <w:lang w:val="de-DE"/>
          </w:rPr>
          <w:t>ex</w:t>
        </w:r>
        <w:r w:rsidRPr="00846956">
          <w:rPr>
            <w:color w:val="231F20"/>
            <w:w w:val="98"/>
            <w:lang w:val="de-DE"/>
          </w:rPr>
          <w:t>t</w:t>
        </w:r>
        <w:r w:rsidRPr="00846956">
          <w:rPr>
            <w:color w:val="231F20"/>
            <w:w w:val="91"/>
            <w:lang w:val="de-DE"/>
          </w:rPr>
          <w:t>e</w:t>
        </w:r>
        <w:r w:rsidRPr="00846956">
          <w:rPr>
            <w:color w:val="231F20"/>
            <w:w w:val="56"/>
            <w:lang w:val="de-DE"/>
          </w:rPr>
          <w:t>/</w:t>
        </w:r>
        <w:r w:rsidRPr="00846956">
          <w:rPr>
            <w:color w:val="231F20"/>
            <w:w w:val="94"/>
            <w:lang w:val="de-DE"/>
          </w:rPr>
          <w:t>r</w:t>
        </w:r>
        <w:r w:rsidRPr="00846956">
          <w:rPr>
            <w:color w:val="231F20"/>
            <w:w w:val="97"/>
            <w:lang w:val="de-DE"/>
          </w:rPr>
          <w:t>z</w:t>
        </w:r>
        <w:r w:rsidRPr="00846956">
          <w:rPr>
            <w:color w:val="231F20"/>
            <w:w w:val="56"/>
            <w:lang w:val="de-DE"/>
          </w:rPr>
          <w:t>/</w:t>
        </w:r>
        <w:r w:rsidRPr="00846956">
          <w:rPr>
            <w:color w:val="231F20"/>
            <w:w w:val="97"/>
            <w:lang w:val="de-DE"/>
          </w:rPr>
          <w:t>z</w:t>
        </w:r>
        <w:r w:rsidRPr="00846956">
          <w:rPr>
            <w:color w:val="231F20"/>
            <w:w w:val="104"/>
            <w:lang w:val="de-DE"/>
          </w:rPr>
          <w:t>o</w:t>
        </w:r>
        <w:r w:rsidRPr="00846956">
          <w:rPr>
            <w:color w:val="231F20"/>
            <w:w w:val="94"/>
            <w:lang w:val="de-DE"/>
          </w:rPr>
          <w:t>r</w:t>
        </w:r>
        <w:r w:rsidRPr="00846956">
          <w:rPr>
            <w:color w:val="231F20"/>
            <w:w w:val="99"/>
            <w:lang w:val="de-DE"/>
          </w:rPr>
          <w:t>n</w:t>
        </w:r>
        <w:r w:rsidRPr="00846956">
          <w:rPr>
            <w:color w:val="231F20"/>
            <w:w w:val="56"/>
            <w:lang w:val="de-DE"/>
          </w:rPr>
          <w:t>/</w:t>
        </w:r>
      </w:hyperlink>
      <w:r w:rsidRPr="00846956">
        <w:rPr>
          <w:color w:val="231F20"/>
          <w:w w:val="56"/>
          <w:lang w:val="de-DE"/>
        </w:rPr>
        <w:t xml:space="preserve"> </w:t>
      </w:r>
      <w:r w:rsidRPr="00846956">
        <w:rPr>
          <w:color w:val="231F20"/>
          <w:w w:val="105"/>
          <w:lang w:val="de-DE"/>
        </w:rPr>
        <w:t>Zorn04.htm.</w:t>
      </w:r>
    </w:p>
    <w:p w14:paraId="33EF0109" w14:textId="77777777" w:rsidR="002653E8" w:rsidRPr="00846956" w:rsidRDefault="002653E8">
      <w:pPr>
        <w:spacing w:line="244" w:lineRule="auto"/>
        <w:rPr>
          <w:lang w:val="de-DE"/>
        </w:rPr>
        <w:sectPr w:rsidR="002653E8" w:rsidRPr="00846956">
          <w:pgSz w:w="8640" w:h="12960"/>
          <w:pgMar w:top="1060" w:right="0" w:bottom="1040" w:left="0" w:header="0" w:footer="850" w:gutter="0"/>
          <w:cols w:space="720"/>
        </w:sectPr>
      </w:pPr>
    </w:p>
    <w:p w14:paraId="73079307" w14:textId="77777777" w:rsidR="002653E8" w:rsidRPr="00846956" w:rsidRDefault="003115E3">
      <w:pPr>
        <w:pStyle w:val="a3"/>
        <w:spacing w:before="70" w:line="244" w:lineRule="auto"/>
        <w:ind w:left="2281" w:right="1580" w:hanging="1134"/>
        <w:rPr>
          <w:lang w:val="de-DE"/>
        </w:rPr>
      </w:pPr>
      <w:r w:rsidRPr="00846956">
        <w:rPr>
          <w:color w:val="231F20"/>
          <w:lang w:val="de-DE"/>
        </w:rPr>
        <w:lastRenderedPageBreak/>
        <w:t>“Handelsgeschäfte mit der ‘Wahrheit’ Kronzeugen als Sonder</w:t>
      </w:r>
      <w:r w:rsidRPr="00846956">
        <w:rPr>
          <w:color w:val="231F20"/>
          <w:w w:val="99"/>
          <w:lang w:val="de-DE"/>
        </w:rPr>
        <w:t>B</w:t>
      </w:r>
      <w:r w:rsidRPr="00846956">
        <w:rPr>
          <w:color w:val="231F20"/>
          <w:w w:val="91"/>
          <w:lang w:val="de-DE"/>
        </w:rPr>
        <w:t>e</w:t>
      </w:r>
      <w:r w:rsidRPr="00846956">
        <w:rPr>
          <w:color w:val="231F20"/>
          <w:lang w:val="de-DE"/>
        </w:rPr>
        <w:t>w</w:t>
      </w:r>
      <w:r w:rsidRPr="00846956">
        <w:rPr>
          <w:color w:val="231F20"/>
          <w:w w:val="91"/>
          <w:lang w:val="de-DE"/>
        </w:rPr>
        <w:t>e</w:t>
      </w:r>
      <w:r w:rsidRPr="00846956">
        <w:rPr>
          <w:color w:val="231F20"/>
          <w:lang w:val="de-DE"/>
        </w:rPr>
        <w:t>i</w:t>
      </w:r>
      <w:r w:rsidRPr="00846956">
        <w:rPr>
          <w:color w:val="231F20"/>
          <w:w w:val="90"/>
          <w:lang w:val="de-DE"/>
        </w:rPr>
        <w:t>s</w:t>
      </w:r>
      <w:r w:rsidRPr="00846956">
        <w:rPr>
          <w:color w:val="231F20"/>
          <w:w w:val="99"/>
          <w:lang w:val="de-DE"/>
        </w:rPr>
        <w:t>m</w:t>
      </w:r>
      <w:r w:rsidRPr="00846956">
        <w:rPr>
          <w:color w:val="231F20"/>
          <w:lang w:val="de-DE"/>
        </w:rPr>
        <w:t>i</w:t>
      </w:r>
      <w:r w:rsidRPr="00846956">
        <w:rPr>
          <w:color w:val="231F20"/>
          <w:w w:val="98"/>
          <w:lang w:val="de-DE"/>
        </w:rPr>
        <w:t>tt</w:t>
      </w:r>
      <w:r w:rsidRPr="00846956">
        <w:rPr>
          <w:color w:val="231F20"/>
          <w:w w:val="91"/>
          <w:lang w:val="de-DE"/>
        </w:rPr>
        <w:t>e</w:t>
      </w:r>
      <w:r w:rsidRPr="00846956">
        <w:rPr>
          <w:color w:val="231F20"/>
          <w:w w:val="102"/>
          <w:lang w:val="de-DE"/>
        </w:rPr>
        <w:t>l</w:t>
      </w:r>
      <w:r w:rsidRPr="00846956">
        <w:rPr>
          <w:color w:val="231F20"/>
          <w:lang w:val="de-DE"/>
        </w:rPr>
        <w:t xml:space="preserve"> d</w:t>
      </w:r>
      <w:r w:rsidRPr="00846956">
        <w:rPr>
          <w:color w:val="231F20"/>
          <w:w w:val="92"/>
          <w:lang w:val="de-DE"/>
        </w:rPr>
        <w:t>er</w:t>
      </w:r>
      <w:r w:rsidRPr="00846956">
        <w:rPr>
          <w:color w:val="231F20"/>
          <w:lang w:val="de-DE"/>
        </w:rPr>
        <w:t xml:space="preserve"> </w:t>
      </w:r>
      <w:r w:rsidRPr="00846956">
        <w:rPr>
          <w:color w:val="231F20"/>
          <w:w w:val="115"/>
          <w:lang w:val="de-DE"/>
        </w:rPr>
        <w:t>A</w:t>
      </w:r>
      <w:r w:rsidRPr="00846956">
        <w:rPr>
          <w:color w:val="231F20"/>
          <w:w w:val="99"/>
          <w:lang w:val="de-DE"/>
        </w:rPr>
        <w:t>n</w:t>
      </w:r>
      <w:r w:rsidRPr="00846956">
        <w:rPr>
          <w:color w:val="231F20"/>
          <w:w w:val="106"/>
          <w:lang w:val="de-DE"/>
        </w:rPr>
        <w:t>k</w:t>
      </w:r>
      <w:r w:rsidRPr="00846956">
        <w:rPr>
          <w:color w:val="231F20"/>
          <w:w w:val="102"/>
          <w:lang w:val="de-DE"/>
        </w:rPr>
        <w:t>la</w:t>
      </w:r>
      <w:r w:rsidRPr="00846956">
        <w:rPr>
          <w:color w:val="231F20"/>
          <w:w w:val="101"/>
          <w:lang w:val="de-DE"/>
        </w:rPr>
        <w:t>g</w:t>
      </w:r>
      <w:r w:rsidRPr="00846956">
        <w:rPr>
          <w:color w:val="231F20"/>
          <w:w w:val="91"/>
          <w:lang w:val="de-DE"/>
        </w:rPr>
        <w:t>e</w:t>
      </w:r>
      <w:r w:rsidRPr="00846956">
        <w:rPr>
          <w:color w:val="231F20"/>
          <w:w w:val="135"/>
          <w:lang w:val="de-DE"/>
        </w:rPr>
        <w:t>.</w:t>
      </w:r>
      <w:r w:rsidRPr="00846956">
        <w:rPr>
          <w:color w:val="231F20"/>
          <w:w w:val="148"/>
          <w:lang w:val="de-DE"/>
        </w:rPr>
        <w:t>”</w:t>
      </w:r>
      <w:r w:rsidRPr="00846956">
        <w:rPr>
          <w:color w:val="231F20"/>
          <w:lang w:val="de-DE"/>
        </w:rPr>
        <w:t xml:space="preserve"> </w:t>
      </w:r>
      <w:hyperlink r:id="rId566">
        <w:r w:rsidRPr="00846956">
          <w:rPr>
            <w:color w:val="231F20"/>
            <w:lang w:val="de-DE"/>
          </w:rPr>
          <w:t>h</w:t>
        </w:r>
        <w:r w:rsidRPr="00846956">
          <w:rPr>
            <w:color w:val="231F20"/>
            <w:w w:val="98"/>
            <w:lang w:val="de-DE"/>
          </w:rPr>
          <w:t>tt</w:t>
        </w:r>
        <w:r w:rsidRPr="00846956">
          <w:rPr>
            <w:color w:val="231F20"/>
            <w:w w:val="99"/>
            <w:lang w:val="de-DE"/>
          </w:rPr>
          <w:t>p</w:t>
        </w:r>
        <w:r w:rsidRPr="00846956">
          <w:rPr>
            <w:color w:val="231F20"/>
            <w:w w:val="105"/>
            <w:lang w:val="de-DE"/>
          </w:rPr>
          <w:t>:</w:t>
        </w:r>
        <w:r w:rsidRPr="00846956">
          <w:rPr>
            <w:color w:val="231F20"/>
            <w:w w:val="56"/>
            <w:lang w:val="de-DE"/>
          </w:rPr>
          <w:t>//</w:t>
        </w:r>
        <w:r w:rsidRPr="00846956">
          <w:rPr>
            <w:color w:val="231F20"/>
            <w:lang w:val="de-DE"/>
          </w:rPr>
          <w:t>www</w:t>
        </w:r>
        <w:r w:rsidRPr="00846956">
          <w:rPr>
            <w:color w:val="231F20"/>
            <w:w w:val="135"/>
            <w:lang w:val="de-DE"/>
          </w:rPr>
          <w:t>.</w:t>
        </w:r>
        <w:r w:rsidRPr="00846956">
          <w:rPr>
            <w:color w:val="231F20"/>
            <w:w w:val="109"/>
            <w:lang w:val="de-DE"/>
          </w:rPr>
          <w:t>f</w:t>
        </w:r>
        <w:r w:rsidRPr="00846956">
          <w:rPr>
            <w:color w:val="231F20"/>
            <w:w w:val="94"/>
            <w:lang w:val="de-DE"/>
          </w:rPr>
          <w:t>rei</w:t>
        </w:r>
        <w:r w:rsidRPr="00846956">
          <w:rPr>
            <w:color w:val="231F20"/>
            <w:w w:val="102"/>
            <w:lang w:val="de-DE"/>
          </w:rPr>
          <w:t>la</w:t>
        </w:r>
        <w:r w:rsidRPr="00846956">
          <w:rPr>
            <w:color w:val="231F20"/>
            <w:w w:val="90"/>
            <w:lang w:val="de-DE"/>
          </w:rPr>
          <w:t>s</w:t>
        </w:r>
        <w:r w:rsidRPr="00846956">
          <w:rPr>
            <w:color w:val="231F20"/>
            <w:w w:val="96"/>
            <w:lang w:val="de-DE"/>
          </w:rPr>
          <w:t>su</w:t>
        </w:r>
        <w:r w:rsidRPr="00846956">
          <w:rPr>
            <w:color w:val="231F20"/>
            <w:w w:val="99"/>
            <w:lang w:val="de-DE"/>
          </w:rPr>
          <w:t>n</w:t>
        </w:r>
        <w:r w:rsidRPr="00846956">
          <w:rPr>
            <w:color w:val="231F20"/>
            <w:w w:val="101"/>
            <w:lang w:val="de-DE"/>
          </w:rPr>
          <w:t>g</w:t>
        </w:r>
        <w:r w:rsidRPr="00846956">
          <w:rPr>
            <w:color w:val="231F20"/>
            <w:w w:val="135"/>
            <w:lang w:val="de-DE"/>
          </w:rPr>
          <w:t>.</w:t>
        </w:r>
        <w:r w:rsidRPr="00846956">
          <w:rPr>
            <w:color w:val="231F20"/>
            <w:lang w:val="de-DE"/>
          </w:rPr>
          <w:t>d</w:t>
        </w:r>
        <w:r w:rsidRPr="00846956">
          <w:rPr>
            <w:color w:val="231F20"/>
            <w:w w:val="91"/>
            <w:lang w:val="de-DE"/>
          </w:rPr>
          <w:t>e</w:t>
        </w:r>
        <w:r w:rsidRPr="00846956">
          <w:rPr>
            <w:color w:val="231F20"/>
            <w:w w:val="56"/>
            <w:lang w:val="de-DE"/>
          </w:rPr>
          <w:t>/</w:t>
        </w:r>
      </w:hyperlink>
      <w:r w:rsidRPr="00846956">
        <w:rPr>
          <w:color w:val="231F20"/>
          <w:w w:val="56"/>
          <w:lang w:val="de-DE"/>
        </w:rPr>
        <w:t xml:space="preserve"> </w:t>
      </w:r>
      <w:r w:rsidRPr="00846956">
        <w:rPr>
          <w:color w:val="231F20"/>
          <w:lang w:val="de-DE"/>
        </w:rPr>
        <w:t>di</w:t>
      </w:r>
      <w:r w:rsidRPr="00846956">
        <w:rPr>
          <w:color w:val="231F20"/>
          <w:w w:val="99"/>
          <w:lang w:val="de-DE"/>
        </w:rPr>
        <w:t>v</w:t>
      </w:r>
      <w:r w:rsidRPr="00846956">
        <w:rPr>
          <w:color w:val="231F20"/>
          <w:w w:val="56"/>
          <w:lang w:val="de-DE"/>
        </w:rPr>
        <w:t>/</w:t>
      </w:r>
      <w:r w:rsidRPr="00846956">
        <w:rPr>
          <w:color w:val="231F20"/>
          <w:w w:val="94"/>
          <w:lang w:val="de-DE"/>
        </w:rPr>
        <w:t>te</w:t>
      </w:r>
      <w:r w:rsidRPr="00846956">
        <w:rPr>
          <w:color w:val="231F20"/>
          <w:w w:val="115"/>
          <w:lang w:val="de-DE"/>
        </w:rPr>
        <w:t>x</w:t>
      </w:r>
      <w:r w:rsidRPr="00846956">
        <w:rPr>
          <w:color w:val="231F20"/>
          <w:w w:val="94"/>
          <w:lang w:val="de-DE"/>
        </w:rPr>
        <w:t>te</w:t>
      </w:r>
      <w:r w:rsidRPr="00846956">
        <w:rPr>
          <w:color w:val="231F20"/>
          <w:w w:val="56"/>
          <w:lang w:val="de-DE"/>
        </w:rPr>
        <w:t>/</w:t>
      </w:r>
      <w:r w:rsidRPr="00846956">
        <w:rPr>
          <w:color w:val="231F20"/>
          <w:w w:val="106"/>
          <w:lang w:val="de-DE"/>
        </w:rPr>
        <w:t>k</w:t>
      </w:r>
      <w:r w:rsidRPr="00846956">
        <w:rPr>
          <w:color w:val="231F20"/>
          <w:w w:val="94"/>
          <w:lang w:val="de-DE"/>
        </w:rPr>
        <w:t>r</w:t>
      </w:r>
      <w:r w:rsidRPr="00846956">
        <w:rPr>
          <w:color w:val="231F20"/>
          <w:w w:val="104"/>
          <w:lang w:val="de-DE"/>
        </w:rPr>
        <w:t>o</w:t>
      </w:r>
      <w:r w:rsidRPr="00846956">
        <w:rPr>
          <w:color w:val="231F20"/>
          <w:w w:val="99"/>
          <w:lang w:val="de-DE"/>
        </w:rPr>
        <w:t>n</w:t>
      </w:r>
      <w:r w:rsidRPr="00846956">
        <w:rPr>
          <w:color w:val="231F20"/>
          <w:w w:val="97"/>
          <w:lang w:val="de-DE"/>
        </w:rPr>
        <w:t>z</w:t>
      </w:r>
      <w:r w:rsidRPr="00846956">
        <w:rPr>
          <w:color w:val="231F20"/>
          <w:w w:val="91"/>
          <w:lang w:val="de-DE"/>
        </w:rPr>
        <w:t>e</w:t>
      </w:r>
      <w:r w:rsidRPr="00846956">
        <w:rPr>
          <w:color w:val="231F20"/>
          <w:lang w:val="de-DE"/>
        </w:rPr>
        <w:t>ug</w:t>
      </w:r>
      <w:r w:rsidRPr="00846956">
        <w:rPr>
          <w:color w:val="231F20"/>
          <w:w w:val="91"/>
          <w:lang w:val="de-DE"/>
        </w:rPr>
        <w:t>e</w:t>
      </w:r>
      <w:r w:rsidRPr="00846956">
        <w:rPr>
          <w:color w:val="231F20"/>
          <w:w w:val="56"/>
          <w:lang w:val="de-DE"/>
        </w:rPr>
        <w:t>/</w:t>
      </w:r>
      <w:r w:rsidRPr="00846956">
        <w:rPr>
          <w:color w:val="231F20"/>
          <w:w w:val="101"/>
          <w:lang w:val="de-DE"/>
        </w:rPr>
        <w:t>g</w:t>
      </w:r>
      <w:r w:rsidRPr="00846956">
        <w:rPr>
          <w:color w:val="231F20"/>
          <w:w w:val="104"/>
          <w:lang w:val="de-DE"/>
        </w:rPr>
        <w:t>o</w:t>
      </w:r>
      <w:r w:rsidRPr="00846956">
        <w:rPr>
          <w:color w:val="231F20"/>
          <w:w w:val="91"/>
          <w:lang w:val="de-DE"/>
        </w:rPr>
        <w:t>e</w:t>
      </w:r>
      <w:r w:rsidRPr="00846956">
        <w:rPr>
          <w:color w:val="231F20"/>
          <w:lang w:val="de-DE"/>
        </w:rPr>
        <w:t>1</w:t>
      </w:r>
      <w:r w:rsidRPr="00846956">
        <w:rPr>
          <w:color w:val="231F20"/>
          <w:w w:val="135"/>
          <w:lang w:val="de-DE"/>
        </w:rPr>
        <w:t>.</w:t>
      </w:r>
      <w:r w:rsidRPr="00846956">
        <w:rPr>
          <w:color w:val="231F20"/>
          <w:w w:val="99"/>
          <w:lang w:val="de-DE"/>
        </w:rPr>
        <w:t>htm</w:t>
      </w:r>
      <w:r w:rsidRPr="00846956">
        <w:rPr>
          <w:color w:val="231F20"/>
          <w:w w:val="135"/>
          <w:lang w:val="de-DE"/>
        </w:rPr>
        <w:t>.</w:t>
      </w:r>
    </w:p>
    <w:p w14:paraId="04A06ECE" w14:textId="77777777" w:rsidR="002653E8" w:rsidRPr="00846956" w:rsidRDefault="003115E3">
      <w:pPr>
        <w:pStyle w:val="a3"/>
        <w:spacing w:before="162"/>
        <w:ind w:left="1147"/>
        <w:rPr>
          <w:lang w:val="de-DE"/>
        </w:rPr>
      </w:pPr>
      <w:r w:rsidRPr="00846956">
        <w:rPr>
          <w:color w:val="231F20"/>
          <w:w w:val="105"/>
          <w:lang w:val="de-DE"/>
        </w:rPr>
        <w:t>“Interview mit der Roten Zora Juni 1984.”</w:t>
      </w:r>
    </w:p>
    <w:p w14:paraId="19C780AC" w14:textId="77777777" w:rsidR="002653E8" w:rsidRPr="00846956" w:rsidRDefault="00000000">
      <w:pPr>
        <w:pStyle w:val="a3"/>
        <w:spacing w:before="6"/>
        <w:ind w:left="2281"/>
        <w:rPr>
          <w:lang w:val="de-DE"/>
        </w:rPr>
      </w:pPr>
      <w:hyperlink r:id="rId567">
        <w:r w:rsidR="003115E3" w:rsidRPr="00846956">
          <w:rPr>
            <w:color w:val="231F20"/>
            <w:spacing w:val="-2"/>
            <w:lang w:val="de-DE"/>
          </w:rPr>
          <w:t>h</w:t>
        </w:r>
        <w:r w:rsidR="003115E3" w:rsidRPr="00846956">
          <w:rPr>
            <w:color w:val="231F20"/>
            <w:spacing w:val="5"/>
            <w:w w:val="98"/>
            <w:lang w:val="de-DE"/>
          </w:rPr>
          <w:t>t</w:t>
        </w:r>
        <w:r w:rsidR="003115E3" w:rsidRPr="00846956">
          <w:rPr>
            <w:color w:val="231F20"/>
            <w:spacing w:val="3"/>
            <w:w w:val="98"/>
            <w:lang w:val="de-DE"/>
          </w:rPr>
          <w:t>t</w:t>
        </w:r>
        <w:r w:rsidR="003115E3" w:rsidRPr="00846956">
          <w:rPr>
            <w:color w:val="231F20"/>
            <w:spacing w:val="-1"/>
            <w:w w:val="99"/>
            <w:lang w:val="de-DE"/>
          </w:rPr>
          <w:t>p</w:t>
        </w:r>
        <w:r w:rsidR="003115E3" w:rsidRPr="00846956">
          <w:rPr>
            <w:color w:val="231F20"/>
            <w:spacing w:val="5"/>
            <w:w w:val="105"/>
            <w:lang w:val="de-DE"/>
          </w:rPr>
          <w:t>:</w:t>
        </w:r>
        <w:r w:rsidR="003115E3" w:rsidRPr="00846956">
          <w:rPr>
            <w:color w:val="231F20"/>
            <w:spacing w:val="-3"/>
            <w:w w:val="56"/>
            <w:lang w:val="de-DE"/>
          </w:rPr>
          <w:t>/</w:t>
        </w:r>
        <w:r w:rsidR="003115E3" w:rsidRPr="00846956">
          <w:rPr>
            <w:color w:val="231F20"/>
            <w:spacing w:val="1"/>
            <w:w w:val="56"/>
            <w:lang w:val="de-DE"/>
          </w:rPr>
          <w:t>/</w:t>
        </w:r>
        <w:r w:rsidR="003115E3" w:rsidRPr="00846956">
          <w:rPr>
            <w:color w:val="231F20"/>
            <w:spacing w:val="6"/>
            <w:lang w:val="de-DE"/>
          </w:rPr>
          <w:t>ww</w:t>
        </w:r>
        <w:r w:rsidR="003115E3" w:rsidRPr="00846956">
          <w:rPr>
            <w:color w:val="231F20"/>
            <w:spacing w:val="-12"/>
            <w:lang w:val="de-DE"/>
          </w:rPr>
          <w:t>w</w:t>
        </w:r>
        <w:r w:rsidR="003115E3" w:rsidRPr="00846956">
          <w:rPr>
            <w:color w:val="231F20"/>
            <w:w w:val="135"/>
            <w:lang w:val="de-DE"/>
          </w:rPr>
          <w:t>.</w:t>
        </w:r>
        <w:r w:rsidR="003115E3" w:rsidRPr="00846956">
          <w:rPr>
            <w:color w:val="231F20"/>
            <w:spacing w:val="2"/>
            <w:w w:val="109"/>
            <w:lang w:val="de-DE"/>
          </w:rPr>
          <w:t>f</w:t>
        </w:r>
        <w:r w:rsidR="003115E3" w:rsidRPr="00846956">
          <w:rPr>
            <w:color w:val="231F20"/>
            <w:spacing w:val="-1"/>
            <w:w w:val="94"/>
            <w:lang w:val="de-DE"/>
          </w:rPr>
          <w:t>re</w:t>
        </w:r>
        <w:r w:rsidR="003115E3" w:rsidRPr="00846956">
          <w:rPr>
            <w:color w:val="231F20"/>
            <w:spacing w:val="2"/>
            <w:w w:val="94"/>
            <w:lang w:val="de-DE"/>
          </w:rPr>
          <w:t>i</w:t>
        </w:r>
        <w:r w:rsidR="003115E3" w:rsidRPr="00846956">
          <w:rPr>
            <w:color w:val="231F20"/>
            <w:w w:val="102"/>
            <w:lang w:val="de-DE"/>
          </w:rPr>
          <w:t>la</w:t>
        </w:r>
        <w:r w:rsidR="003115E3" w:rsidRPr="00846956">
          <w:rPr>
            <w:color w:val="231F20"/>
            <w:spacing w:val="1"/>
            <w:w w:val="90"/>
            <w:lang w:val="de-DE"/>
          </w:rPr>
          <w:t>s</w:t>
        </w:r>
        <w:r w:rsidR="003115E3" w:rsidRPr="00846956">
          <w:rPr>
            <w:color w:val="231F20"/>
            <w:spacing w:val="-1"/>
            <w:w w:val="96"/>
            <w:lang w:val="de-DE"/>
          </w:rPr>
          <w:t>s</w:t>
        </w:r>
        <w:r w:rsidR="003115E3" w:rsidRPr="00846956">
          <w:rPr>
            <w:color w:val="231F20"/>
            <w:spacing w:val="3"/>
            <w:w w:val="96"/>
            <w:lang w:val="de-DE"/>
          </w:rPr>
          <w:t>u</w:t>
        </w:r>
        <w:r w:rsidR="003115E3" w:rsidRPr="00846956">
          <w:rPr>
            <w:color w:val="231F20"/>
            <w:w w:val="99"/>
            <w:lang w:val="de-DE"/>
          </w:rPr>
          <w:t>n</w:t>
        </w:r>
        <w:r w:rsidR="003115E3" w:rsidRPr="00846956">
          <w:rPr>
            <w:color w:val="231F20"/>
            <w:w w:val="101"/>
            <w:lang w:val="de-DE"/>
          </w:rPr>
          <w:t>g</w:t>
        </w:r>
        <w:r w:rsidR="003115E3" w:rsidRPr="00846956">
          <w:rPr>
            <w:color w:val="231F20"/>
            <w:w w:val="135"/>
            <w:lang w:val="de-DE"/>
          </w:rPr>
          <w:t>.</w:t>
        </w:r>
        <w:r w:rsidR="003115E3" w:rsidRPr="00846956">
          <w:rPr>
            <w:color w:val="231F20"/>
            <w:lang w:val="de-DE"/>
          </w:rPr>
          <w:t>d</w:t>
        </w:r>
        <w:r w:rsidR="003115E3" w:rsidRPr="00846956">
          <w:rPr>
            <w:color w:val="231F20"/>
            <w:spacing w:val="5"/>
            <w:w w:val="91"/>
            <w:lang w:val="de-DE"/>
          </w:rPr>
          <w:t>e</w:t>
        </w:r>
        <w:r w:rsidR="003115E3" w:rsidRPr="00846956">
          <w:rPr>
            <w:color w:val="231F20"/>
            <w:spacing w:val="-5"/>
            <w:w w:val="56"/>
            <w:lang w:val="de-DE"/>
          </w:rPr>
          <w:t>/</w:t>
        </w:r>
        <w:r w:rsidR="003115E3" w:rsidRPr="00846956">
          <w:rPr>
            <w:color w:val="231F20"/>
            <w:spacing w:val="3"/>
            <w:lang w:val="de-DE"/>
          </w:rPr>
          <w:t>d</w:t>
        </w:r>
        <w:r w:rsidR="003115E3" w:rsidRPr="00846956">
          <w:rPr>
            <w:color w:val="231F20"/>
            <w:spacing w:val="-2"/>
            <w:lang w:val="de-DE"/>
          </w:rPr>
          <w:t>i</w:t>
        </w:r>
        <w:r w:rsidR="003115E3" w:rsidRPr="00846956">
          <w:rPr>
            <w:color w:val="231F20"/>
            <w:spacing w:val="-3"/>
            <w:w w:val="99"/>
            <w:lang w:val="de-DE"/>
          </w:rPr>
          <w:t>v</w:t>
        </w:r>
        <w:r w:rsidR="003115E3" w:rsidRPr="00846956">
          <w:rPr>
            <w:color w:val="231F20"/>
            <w:w w:val="56"/>
            <w:lang w:val="de-DE"/>
          </w:rPr>
          <w:t>/</w:t>
        </w:r>
        <w:r w:rsidR="003115E3" w:rsidRPr="00846956">
          <w:rPr>
            <w:color w:val="231F20"/>
            <w:w w:val="98"/>
            <w:lang w:val="de-DE"/>
          </w:rPr>
          <w:t>t</w:t>
        </w:r>
        <w:r w:rsidR="003115E3" w:rsidRPr="00846956">
          <w:rPr>
            <w:color w:val="231F20"/>
            <w:spacing w:val="-1"/>
            <w:w w:val="102"/>
            <w:lang w:val="de-DE"/>
          </w:rPr>
          <w:t>e</w:t>
        </w:r>
        <w:r w:rsidR="003115E3" w:rsidRPr="00846956">
          <w:rPr>
            <w:color w:val="231F20"/>
            <w:spacing w:val="5"/>
            <w:w w:val="102"/>
            <w:lang w:val="de-DE"/>
          </w:rPr>
          <w:t>x</w:t>
        </w:r>
        <w:r w:rsidR="003115E3" w:rsidRPr="00846956">
          <w:rPr>
            <w:color w:val="231F20"/>
            <w:w w:val="98"/>
            <w:lang w:val="de-DE"/>
          </w:rPr>
          <w:t>t</w:t>
        </w:r>
        <w:r w:rsidR="003115E3" w:rsidRPr="00846956">
          <w:rPr>
            <w:color w:val="231F20"/>
            <w:spacing w:val="5"/>
            <w:w w:val="91"/>
            <w:lang w:val="de-DE"/>
          </w:rPr>
          <w:t>e</w:t>
        </w:r>
        <w:r w:rsidR="003115E3" w:rsidRPr="00846956">
          <w:rPr>
            <w:color w:val="231F20"/>
            <w:spacing w:val="-2"/>
            <w:w w:val="56"/>
            <w:lang w:val="de-DE"/>
          </w:rPr>
          <w:t>/</w:t>
        </w:r>
        <w:r w:rsidR="003115E3" w:rsidRPr="00846956">
          <w:rPr>
            <w:color w:val="231F20"/>
            <w:spacing w:val="1"/>
            <w:w w:val="94"/>
            <w:lang w:val="de-DE"/>
          </w:rPr>
          <w:t>r</w:t>
        </w:r>
        <w:r w:rsidR="003115E3" w:rsidRPr="00846956">
          <w:rPr>
            <w:color w:val="231F20"/>
            <w:spacing w:val="6"/>
            <w:w w:val="97"/>
            <w:lang w:val="de-DE"/>
          </w:rPr>
          <w:t>z</w:t>
        </w:r>
        <w:r w:rsidR="003115E3" w:rsidRPr="00846956">
          <w:rPr>
            <w:color w:val="231F20"/>
            <w:spacing w:val="-1"/>
            <w:w w:val="56"/>
            <w:lang w:val="de-DE"/>
          </w:rPr>
          <w:t>/</w:t>
        </w:r>
        <w:r w:rsidR="003115E3" w:rsidRPr="00846956">
          <w:rPr>
            <w:color w:val="231F20"/>
            <w:w w:val="97"/>
            <w:lang w:val="de-DE"/>
          </w:rPr>
          <w:t>z</w:t>
        </w:r>
        <w:r w:rsidR="003115E3" w:rsidRPr="00846956">
          <w:rPr>
            <w:color w:val="231F20"/>
            <w:spacing w:val="-1"/>
            <w:w w:val="104"/>
            <w:lang w:val="de-DE"/>
          </w:rPr>
          <w:t>o</w:t>
        </w:r>
        <w:r w:rsidR="003115E3" w:rsidRPr="00846956">
          <w:rPr>
            <w:color w:val="231F20"/>
            <w:spacing w:val="3"/>
            <w:w w:val="94"/>
            <w:lang w:val="de-DE"/>
          </w:rPr>
          <w:t>r</w:t>
        </w:r>
        <w:r w:rsidR="003115E3" w:rsidRPr="00846956">
          <w:rPr>
            <w:color w:val="231F20"/>
            <w:spacing w:val="8"/>
            <w:w w:val="99"/>
            <w:lang w:val="de-DE"/>
          </w:rPr>
          <w:t>n</w:t>
        </w:r>
        <w:r w:rsidR="003115E3" w:rsidRPr="00846956">
          <w:rPr>
            <w:color w:val="231F20"/>
            <w:spacing w:val="5"/>
            <w:w w:val="56"/>
            <w:lang w:val="de-DE"/>
          </w:rPr>
          <w:t>/</w:t>
        </w:r>
        <w:r w:rsidR="003115E3" w:rsidRPr="00846956">
          <w:rPr>
            <w:color w:val="231F20"/>
            <w:spacing w:val="5"/>
            <w:w w:val="134"/>
            <w:lang w:val="de-DE"/>
          </w:rPr>
          <w:t>Z</w:t>
        </w:r>
        <w:r w:rsidR="003115E3" w:rsidRPr="00846956">
          <w:rPr>
            <w:color w:val="231F20"/>
            <w:spacing w:val="-1"/>
            <w:w w:val="104"/>
            <w:lang w:val="de-DE"/>
          </w:rPr>
          <w:t>o</w:t>
        </w:r>
        <w:r w:rsidR="003115E3" w:rsidRPr="00846956">
          <w:rPr>
            <w:color w:val="231F20"/>
            <w:spacing w:val="3"/>
            <w:w w:val="94"/>
            <w:lang w:val="de-DE"/>
          </w:rPr>
          <w:t>r</w:t>
        </w:r>
        <w:r w:rsidR="003115E3" w:rsidRPr="00846956">
          <w:rPr>
            <w:color w:val="231F20"/>
            <w:spacing w:val="-12"/>
            <w:w w:val="99"/>
            <w:lang w:val="de-DE"/>
          </w:rPr>
          <w:t>n</w:t>
        </w:r>
        <w:r w:rsidR="003115E3" w:rsidRPr="00846956">
          <w:rPr>
            <w:color w:val="231F20"/>
            <w:spacing w:val="-7"/>
            <w:lang w:val="de-DE"/>
          </w:rPr>
          <w:t>5</w:t>
        </w:r>
        <w:r w:rsidR="003115E3" w:rsidRPr="00846956">
          <w:rPr>
            <w:color w:val="231F20"/>
            <w:spacing w:val="-3"/>
            <w:lang w:val="de-DE"/>
          </w:rPr>
          <w:t>0</w:t>
        </w:r>
        <w:r w:rsidR="003115E3" w:rsidRPr="00846956">
          <w:rPr>
            <w:color w:val="231F20"/>
            <w:w w:val="135"/>
            <w:lang w:val="de-DE"/>
          </w:rPr>
          <w:t>.</w:t>
        </w:r>
        <w:r w:rsidR="003115E3" w:rsidRPr="00846956">
          <w:rPr>
            <w:color w:val="231F20"/>
            <w:spacing w:val="-2"/>
            <w:w w:val="99"/>
            <w:lang w:val="de-DE"/>
          </w:rPr>
          <w:t>h</w:t>
        </w:r>
        <w:r w:rsidR="003115E3" w:rsidRPr="00846956">
          <w:rPr>
            <w:color w:val="231F20"/>
            <w:spacing w:val="3"/>
            <w:w w:val="99"/>
            <w:lang w:val="de-DE"/>
          </w:rPr>
          <w:t>t</w:t>
        </w:r>
        <w:r w:rsidR="003115E3" w:rsidRPr="00846956">
          <w:rPr>
            <w:color w:val="231F20"/>
            <w:spacing w:val="1"/>
            <w:w w:val="99"/>
            <w:lang w:val="de-DE"/>
          </w:rPr>
          <w:t>m</w:t>
        </w:r>
        <w:r w:rsidR="003115E3" w:rsidRPr="00846956">
          <w:rPr>
            <w:color w:val="231F20"/>
            <w:w w:val="135"/>
            <w:lang w:val="de-DE"/>
          </w:rPr>
          <w:t>.</w:t>
        </w:r>
      </w:hyperlink>
    </w:p>
    <w:p w14:paraId="15A003EE" w14:textId="77777777" w:rsidR="002653E8" w:rsidRPr="00846956" w:rsidRDefault="003115E3">
      <w:pPr>
        <w:pStyle w:val="a3"/>
        <w:spacing w:before="165" w:line="244" w:lineRule="auto"/>
        <w:ind w:left="2281" w:right="1580" w:hanging="1134"/>
        <w:rPr>
          <w:lang w:val="de-DE"/>
        </w:rPr>
      </w:pPr>
      <w:r w:rsidRPr="00846956">
        <w:rPr>
          <w:color w:val="231F20"/>
          <w:w w:val="148"/>
          <w:lang w:val="de-DE"/>
        </w:rPr>
        <w:t>“</w:t>
      </w:r>
      <w:r w:rsidRPr="00846956">
        <w:rPr>
          <w:color w:val="231F20"/>
          <w:spacing w:val="-2"/>
          <w:w w:val="114"/>
          <w:lang w:val="de-DE"/>
        </w:rPr>
        <w:t>K</w:t>
      </w:r>
      <w:r w:rsidRPr="00846956">
        <w:rPr>
          <w:color w:val="231F20"/>
          <w:spacing w:val="3"/>
          <w:lang w:val="de-DE"/>
        </w:rPr>
        <w:t>u</w:t>
      </w:r>
      <w:r w:rsidRPr="00846956">
        <w:rPr>
          <w:color w:val="231F20"/>
          <w:spacing w:val="5"/>
          <w:w w:val="94"/>
          <w:lang w:val="de-DE"/>
        </w:rPr>
        <w:t>r</w:t>
      </w:r>
      <w:r w:rsidRPr="00846956">
        <w:rPr>
          <w:color w:val="231F20"/>
          <w:w w:val="98"/>
          <w:lang w:val="de-DE"/>
        </w:rPr>
        <w:t>t</w:t>
      </w:r>
      <w:r w:rsidRPr="00846956">
        <w:rPr>
          <w:color w:val="231F20"/>
          <w:spacing w:val="10"/>
          <w:lang w:val="de-DE"/>
        </w:rPr>
        <w:t xml:space="preserve"> </w:t>
      </w:r>
      <w:r w:rsidRPr="00846956">
        <w:rPr>
          <w:color w:val="231F20"/>
          <w:spacing w:val="1"/>
          <w:w w:val="127"/>
          <w:lang w:val="de-DE"/>
        </w:rPr>
        <w:t>G</w:t>
      </w:r>
      <w:r w:rsidRPr="00846956">
        <w:rPr>
          <w:color w:val="231F20"/>
          <w:spacing w:val="-2"/>
          <w:w w:val="94"/>
          <w:lang w:val="de-DE"/>
        </w:rPr>
        <w:t>r</w:t>
      </w:r>
      <w:r w:rsidRPr="00846956">
        <w:rPr>
          <w:color w:val="231F20"/>
          <w:spacing w:val="1"/>
          <w:w w:val="104"/>
          <w:lang w:val="de-DE"/>
        </w:rPr>
        <w:t>o</w:t>
      </w:r>
      <w:r w:rsidRPr="00846956">
        <w:rPr>
          <w:color w:val="231F20"/>
          <w:w w:val="91"/>
          <w:lang w:val="de-DE"/>
        </w:rPr>
        <w:t>e</w:t>
      </w:r>
      <w:r w:rsidRPr="00846956">
        <w:rPr>
          <w:color w:val="231F20"/>
          <w:spacing w:val="-1"/>
          <w:w w:val="99"/>
          <w:lang w:val="de-DE"/>
        </w:rPr>
        <w:t>n</w:t>
      </w:r>
      <w:r w:rsidRPr="00846956">
        <w:rPr>
          <w:color w:val="231F20"/>
          <w:w w:val="91"/>
          <w:lang w:val="de-DE"/>
        </w:rPr>
        <w:t>e</w:t>
      </w:r>
      <w:r w:rsidRPr="00846956">
        <w:rPr>
          <w:color w:val="231F20"/>
          <w:spacing w:val="-3"/>
          <w:lang w:val="de-DE"/>
        </w:rPr>
        <w:t>w</w:t>
      </w:r>
      <w:r w:rsidRPr="00846956">
        <w:rPr>
          <w:color w:val="231F20"/>
          <w:spacing w:val="-2"/>
          <w:w w:val="104"/>
          <w:lang w:val="de-DE"/>
        </w:rPr>
        <w:t>o</w:t>
      </w:r>
      <w:r w:rsidRPr="00846956">
        <w:rPr>
          <w:color w:val="231F20"/>
          <w:spacing w:val="-2"/>
          <w:w w:val="102"/>
          <w:lang w:val="de-DE"/>
        </w:rPr>
        <w:t>l</w:t>
      </w:r>
      <w:r w:rsidRPr="00846956">
        <w:rPr>
          <w:color w:val="231F20"/>
          <w:lang w:val="de-DE"/>
        </w:rPr>
        <w:t>d</w:t>
      </w:r>
      <w:r w:rsidRPr="00846956">
        <w:rPr>
          <w:color w:val="231F20"/>
          <w:spacing w:val="-14"/>
          <w:w w:val="135"/>
          <w:lang w:val="de-DE"/>
        </w:rPr>
        <w:t>.</w:t>
      </w:r>
      <w:r w:rsidRPr="00846956">
        <w:rPr>
          <w:color w:val="231F20"/>
          <w:w w:val="148"/>
          <w:lang w:val="de-DE"/>
        </w:rPr>
        <w:t>”</w:t>
      </w:r>
      <w:r w:rsidRPr="00846956">
        <w:rPr>
          <w:color w:val="231F20"/>
          <w:spacing w:val="10"/>
          <w:lang w:val="de-DE"/>
        </w:rPr>
        <w:t xml:space="preserve"> </w:t>
      </w:r>
      <w:hyperlink r:id="rId568">
        <w:r w:rsidRPr="00846956">
          <w:rPr>
            <w:color w:val="231F20"/>
            <w:spacing w:val="-2"/>
            <w:lang w:val="de-DE"/>
          </w:rPr>
          <w:t>h</w:t>
        </w:r>
        <w:r w:rsidRPr="00846956">
          <w:rPr>
            <w:color w:val="231F20"/>
            <w:spacing w:val="5"/>
            <w:w w:val="98"/>
            <w:lang w:val="de-DE"/>
          </w:rPr>
          <w:t>t</w:t>
        </w:r>
        <w:r w:rsidRPr="00846956">
          <w:rPr>
            <w:color w:val="231F20"/>
            <w:spacing w:val="3"/>
            <w:w w:val="98"/>
            <w:lang w:val="de-DE"/>
          </w:rPr>
          <w:t>t</w:t>
        </w:r>
        <w:r w:rsidRPr="00846956">
          <w:rPr>
            <w:color w:val="231F20"/>
            <w:spacing w:val="-1"/>
            <w:w w:val="99"/>
            <w:lang w:val="de-DE"/>
          </w:rPr>
          <w:t>p</w:t>
        </w:r>
        <w:r w:rsidRPr="00846956">
          <w:rPr>
            <w:color w:val="231F20"/>
            <w:spacing w:val="5"/>
            <w:w w:val="105"/>
            <w:lang w:val="de-DE"/>
          </w:rPr>
          <w:t>:</w:t>
        </w:r>
        <w:r w:rsidRPr="00846956">
          <w:rPr>
            <w:color w:val="231F20"/>
            <w:spacing w:val="-3"/>
            <w:w w:val="56"/>
            <w:lang w:val="de-DE"/>
          </w:rPr>
          <w:t>/</w:t>
        </w:r>
        <w:r w:rsidRPr="00846956">
          <w:rPr>
            <w:color w:val="231F20"/>
            <w:spacing w:val="1"/>
            <w:w w:val="56"/>
            <w:lang w:val="de-DE"/>
          </w:rPr>
          <w:t>/</w:t>
        </w:r>
        <w:r w:rsidRPr="00846956">
          <w:rPr>
            <w:color w:val="231F20"/>
            <w:spacing w:val="6"/>
            <w:lang w:val="de-DE"/>
          </w:rPr>
          <w:t>ww</w:t>
        </w:r>
        <w:r w:rsidRPr="00846956">
          <w:rPr>
            <w:color w:val="231F20"/>
            <w:spacing w:val="-12"/>
            <w:lang w:val="de-DE"/>
          </w:rPr>
          <w:t>w</w:t>
        </w:r>
        <w:r w:rsidRPr="00846956">
          <w:rPr>
            <w:color w:val="231F20"/>
            <w:w w:val="135"/>
            <w:lang w:val="de-DE"/>
          </w:rPr>
          <w:t>.</w:t>
        </w:r>
        <w:r w:rsidRPr="00846956">
          <w:rPr>
            <w:color w:val="231F20"/>
            <w:spacing w:val="2"/>
            <w:w w:val="102"/>
            <w:lang w:val="de-DE"/>
          </w:rPr>
          <w:t>l</w:t>
        </w:r>
        <w:r w:rsidRPr="00846956">
          <w:rPr>
            <w:color w:val="231F20"/>
            <w:spacing w:val="-2"/>
            <w:lang w:val="de-DE"/>
          </w:rPr>
          <w:t>i</w:t>
        </w:r>
        <w:r w:rsidRPr="00846956">
          <w:rPr>
            <w:color w:val="231F20"/>
            <w:w w:val="98"/>
            <w:lang w:val="de-DE"/>
          </w:rPr>
          <w:t>t</w:t>
        </w:r>
        <w:r w:rsidRPr="00846956">
          <w:rPr>
            <w:color w:val="231F20"/>
            <w:w w:val="91"/>
            <w:lang w:val="de-DE"/>
          </w:rPr>
          <w:t>e</w:t>
        </w:r>
        <w:r w:rsidRPr="00846956">
          <w:rPr>
            <w:color w:val="231F20"/>
            <w:spacing w:val="-1"/>
            <w:w w:val="98"/>
            <w:lang w:val="de-DE"/>
          </w:rPr>
          <w:t>r</w:t>
        </w:r>
        <w:r w:rsidRPr="00846956">
          <w:rPr>
            <w:color w:val="231F20"/>
            <w:spacing w:val="-2"/>
            <w:w w:val="98"/>
            <w:lang w:val="de-DE"/>
          </w:rPr>
          <w:t>a</w:t>
        </w:r>
        <w:r w:rsidRPr="00846956">
          <w:rPr>
            <w:color w:val="231F20"/>
            <w:spacing w:val="3"/>
            <w:w w:val="98"/>
            <w:lang w:val="de-DE"/>
          </w:rPr>
          <w:t>t</w:t>
        </w:r>
        <w:r w:rsidRPr="00846956">
          <w:rPr>
            <w:color w:val="231F20"/>
            <w:spacing w:val="3"/>
            <w:lang w:val="de-DE"/>
          </w:rPr>
          <w:t>u</w:t>
        </w:r>
        <w:r w:rsidRPr="00846956">
          <w:rPr>
            <w:color w:val="231F20"/>
            <w:spacing w:val="-2"/>
            <w:w w:val="94"/>
            <w:lang w:val="de-DE"/>
          </w:rPr>
          <w:t>r</w:t>
        </w:r>
        <w:r w:rsidRPr="00846956">
          <w:rPr>
            <w:color w:val="231F20"/>
            <w:spacing w:val="1"/>
            <w:lang w:val="de-DE"/>
          </w:rPr>
          <w:t>h</w:t>
        </w:r>
        <w:r w:rsidRPr="00846956">
          <w:rPr>
            <w:color w:val="231F20"/>
            <w:spacing w:val="-4"/>
            <w:w w:val="102"/>
            <w:lang w:val="de-DE"/>
          </w:rPr>
          <w:t>a</w:t>
        </w:r>
        <w:r w:rsidRPr="00846956">
          <w:rPr>
            <w:color w:val="231F20"/>
            <w:spacing w:val="1"/>
            <w:lang w:val="de-DE"/>
          </w:rPr>
          <w:t>u</w:t>
        </w:r>
        <w:r w:rsidRPr="00846956">
          <w:rPr>
            <w:color w:val="231F20"/>
            <w:w w:val="90"/>
            <w:lang w:val="de-DE"/>
          </w:rPr>
          <w:t>s</w:t>
        </w:r>
        <w:r w:rsidRPr="00846956">
          <w:rPr>
            <w:color w:val="231F20"/>
            <w:spacing w:val="1"/>
            <w:w w:val="135"/>
            <w:lang w:val="de-DE"/>
          </w:rPr>
          <w:t>.</w:t>
        </w:r>
        <w:r w:rsidRPr="00846956">
          <w:rPr>
            <w:color w:val="231F20"/>
            <w:spacing w:val="-2"/>
            <w:w w:val="102"/>
            <w:lang w:val="de-DE"/>
          </w:rPr>
          <w:t>a</w:t>
        </w:r>
        <w:r w:rsidRPr="00846956">
          <w:rPr>
            <w:color w:val="231F20"/>
            <w:spacing w:val="7"/>
            <w:w w:val="98"/>
            <w:lang w:val="de-DE"/>
          </w:rPr>
          <w:t>t</w:t>
        </w:r>
        <w:r w:rsidRPr="00846956">
          <w:rPr>
            <w:color w:val="231F20"/>
            <w:spacing w:val="-5"/>
            <w:w w:val="56"/>
            <w:lang w:val="de-DE"/>
          </w:rPr>
          <w:t>/</w:t>
        </w:r>
        <w:r w:rsidRPr="00846956">
          <w:rPr>
            <w:color w:val="231F20"/>
            <w:spacing w:val="-4"/>
            <w:w w:val="102"/>
            <w:lang w:val="de-DE"/>
          </w:rPr>
          <w:t>a</w:t>
        </w:r>
        <w:r w:rsidRPr="00846956">
          <w:rPr>
            <w:color w:val="231F20"/>
            <w:spacing w:val="-2"/>
            <w:lang w:val="de-DE"/>
          </w:rPr>
          <w:t>u</w:t>
        </w:r>
        <w:r w:rsidRPr="00846956">
          <w:rPr>
            <w:color w:val="231F20"/>
            <w:spacing w:val="-2"/>
            <w:w w:val="98"/>
            <w:lang w:val="de-DE"/>
          </w:rPr>
          <w:t>t</w:t>
        </w:r>
        <w:r w:rsidRPr="00846956">
          <w:rPr>
            <w:color w:val="231F20"/>
            <w:spacing w:val="-1"/>
            <w:w w:val="104"/>
            <w:lang w:val="de-DE"/>
          </w:rPr>
          <w:t>o</w:t>
        </w:r>
        <w:r w:rsidRPr="00846956">
          <w:rPr>
            <w:color w:val="231F20"/>
            <w:spacing w:val="-1"/>
            <w:w w:val="92"/>
            <w:lang w:val="de-DE"/>
          </w:rPr>
          <w:t>r</w:t>
        </w:r>
        <w:r w:rsidRPr="00846956">
          <w:rPr>
            <w:color w:val="231F20"/>
            <w:w w:val="92"/>
            <w:lang w:val="de-DE"/>
          </w:rPr>
          <w:t>e</w:t>
        </w:r>
        <w:r w:rsidRPr="00846956">
          <w:rPr>
            <w:color w:val="231F20"/>
            <w:spacing w:val="8"/>
            <w:w w:val="99"/>
            <w:lang w:val="de-DE"/>
          </w:rPr>
          <w:t>n</w:t>
        </w:r>
        <w:r w:rsidRPr="00846956">
          <w:rPr>
            <w:color w:val="231F20"/>
            <w:spacing w:val="10"/>
            <w:w w:val="56"/>
            <w:lang w:val="de-DE"/>
          </w:rPr>
          <w:t>/</w:t>
        </w:r>
        <w:r w:rsidRPr="00846956">
          <w:rPr>
            <w:color w:val="231F20"/>
            <w:w w:val="103"/>
            <w:lang w:val="de-DE"/>
          </w:rPr>
          <w:t>F</w:t>
        </w:r>
        <w:r w:rsidRPr="00846956">
          <w:rPr>
            <w:color w:val="231F20"/>
            <w:spacing w:val="-1"/>
            <w:w w:val="56"/>
            <w:lang w:val="de-DE"/>
          </w:rPr>
          <w:t>/</w:t>
        </w:r>
        <w:r w:rsidRPr="00846956">
          <w:rPr>
            <w:color w:val="231F20"/>
            <w:spacing w:val="2"/>
            <w:w w:val="109"/>
            <w:lang w:val="de-DE"/>
          </w:rPr>
          <w:t>f</w:t>
        </w:r>
        <w:r w:rsidRPr="00846956">
          <w:rPr>
            <w:color w:val="231F20"/>
            <w:spacing w:val="1"/>
            <w:w w:val="94"/>
            <w:lang w:val="de-DE"/>
          </w:rPr>
          <w:t>r</w:t>
        </w:r>
        <w:r w:rsidRPr="00846956">
          <w:rPr>
            <w:color w:val="231F20"/>
            <w:spacing w:val="-1"/>
            <w:w w:val="94"/>
            <w:lang w:val="de-DE"/>
          </w:rPr>
          <w:t>i</w:t>
        </w:r>
        <w:r w:rsidRPr="00846956">
          <w:rPr>
            <w:color w:val="231F20"/>
            <w:w w:val="94"/>
            <w:lang w:val="de-DE"/>
          </w:rPr>
          <w:t>e</w:t>
        </w:r>
        <w:r w:rsidRPr="00846956">
          <w:rPr>
            <w:color w:val="231F20"/>
            <w:spacing w:val="8"/>
            <w:lang w:val="de-DE"/>
          </w:rPr>
          <w:t>d</w:t>
        </w:r>
        <w:r w:rsidRPr="00846956">
          <w:rPr>
            <w:color w:val="231F20"/>
            <w:w w:val="56"/>
            <w:lang w:val="de-DE"/>
          </w:rPr>
          <w:t>/</w:t>
        </w:r>
      </w:hyperlink>
      <w:r w:rsidRPr="00846956">
        <w:rPr>
          <w:color w:val="231F20"/>
          <w:w w:val="56"/>
          <w:lang w:val="de-DE"/>
        </w:rPr>
        <w:t xml:space="preserve"> </w:t>
      </w:r>
      <w:r w:rsidRPr="00846956">
        <w:rPr>
          <w:color w:val="231F20"/>
          <w:spacing w:val="-1"/>
          <w:w w:val="96"/>
          <w:lang w:val="de-DE"/>
        </w:rPr>
        <w:t>g</w:t>
      </w:r>
      <w:r w:rsidRPr="00846956">
        <w:rPr>
          <w:color w:val="231F20"/>
          <w:spacing w:val="1"/>
          <w:w w:val="96"/>
          <w:lang w:val="de-DE"/>
        </w:rPr>
        <w:t>e</w:t>
      </w:r>
      <w:r w:rsidRPr="00846956">
        <w:rPr>
          <w:color w:val="231F20"/>
          <w:spacing w:val="1"/>
          <w:w w:val="90"/>
          <w:lang w:val="de-DE"/>
        </w:rPr>
        <w:t>s</w:t>
      </w:r>
      <w:r w:rsidRPr="00846956">
        <w:rPr>
          <w:color w:val="231F20"/>
          <w:spacing w:val="-1"/>
          <w:w w:val="91"/>
          <w:lang w:val="de-DE"/>
        </w:rPr>
        <w:t>e</w:t>
      </w:r>
      <w:r w:rsidRPr="00846956">
        <w:rPr>
          <w:color w:val="231F20"/>
          <w:spacing w:val="2"/>
          <w:w w:val="102"/>
          <w:lang w:val="de-DE"/>
        </w:rPr>
        <w:t>l</w:t>
      </w:r>
      <w:r w:rsidRPr="00846956">
        <w:rPr>
          <w:color w:val="231F20"/>
          <w:w w:val="102"/>
          <w:lang w:val="de-DE"/>
        </w:rPr>
        <w:t>l</w:t>
      </w:r>
      <w:r w:rsidRPr="00846956">
        <w:rPr>
          <w:color w:val="231F20"/>
          <w:spacing w:val="1"/>
          <w:w w:val="90"/>
          <w:lang w:val="de-DE"/>
        </w:rPr>
        <w:t>s</w:t>
      </w:r>
      <w:r w:rsidRPr="00846956">
        <w:rPr>
          <w:color w:val="231F20"/>
          <w:lang w:val="de-DE"/>
        </w:rPr>
        <w:t>c</w:t>
      </w:r>
      <w:r w:rsidRPr="00846956">
        <w:rPr>
          <w:color w:val="231F20"/>
          <w:spacing w:val="1"/>
          <w:lang w:val="de-DE"/>
        </w:rPr>
        <w:t>h</w:t>
      </w:r>
      <w:r w:rsidRPr="00846956">
        <w:rPr>
          <w:color w:val="231F20"/>
          <w:spacing w:val="2"/>
          <w:w w:val="102"/>
          <w:lang w:val="de-DE"/>
        </w:rPr>
        <w:t>a</w:t>
      </w:r>
      <w:r w:rsidRPr="00846956">
        <w:rPr>
          <w:color w:val="231F20"/>
          <w:spacing w:val="5"/>
          <w:w w:val="109"/>
          <w:lang w:val="de-DE"/>
        </w:rPr>
        <w:t>f</w:t>
      </w:r>
      <w:r w:rsidRPr="00846956">
        <w:rPr>
          <w:color w:val="231F20"/>
          <w:spacing w:val="7"/>
          <w:w w:val="98"/>
          <w:lang w:val="de-DE"/>
        </w:rPr>
        <w:t>t</w:t>
      </w:r>
      <w:r w:rsidRPr="00846956">
        <w:rPr>
          <w:color w:val="231F20"/>
          <w:spacing w:val="-1"/>
          <w:w w:val="56"/>
          <w:lang w:val="de-DE"/>
        </w:rPr>
        <w:t>/</w:t>
      </w:r>
      <w:r w:rsidRPr="00846956">
        <w:rPr>
          <w:color w:val="231F20"/>
          <w:spacing w:val="3"/>
          <w:w w:val="99"/>
          <w:lang w:val="de-DE"/>
        </w:rPr>
        <w:t>m</w:t>
      </w:r>
      <w:r w:rsidRPr="00846956">
        <w:rPr>
          <w:color w:val="231F20"/>
          <w:spacing w:val="-2"/>
          <w:lang w:val="de-DE"/>
        </w:rPr>
        <w:t>i</w:t>
      </w:r>
      <w:r w:rsidRPr="00846956">
        <w:rPr>
          <w:color w:val="231F20"/>
          <w:spacing w:val="1"/>
          <w:w w:val="98"/>
          <w:lang w:val="de-DE"/>
        </w:rPr>
        <w:t>t</w:t>
      </w:r>
      <w:r w:rsidRPr="00846956">
        <w:rPr>
          <w:color w:val="231F20"/>
          <w:spacing w:val="3"/>
          <w:w w:val="101"/>
          <w:lang w:val="de-DE"/>
        </w:rPr>
        <w:t>g</w:t>
      </w:r>
      <w:r w:rsidRPr="00846956">
        <w:rPr>
          <w:color w:val="231F20"/>
          <w:spacing w:val="2"/>
          <w:w w:val="102"/>
          <w:lang w:val="de-DE"/>
        </w:rPr>
        <w:t>l</w:t>
      </w:r>
      <w:r w:rsidRPr="00846956">
        <w:rPr>
          <w:color w:val="231F20"/>
          <w:spacing w:val="-1"/>
          <w:w w:val="94"/>
          <w:lang w:val="de-DE"/>
        </w:rPr>
        <w:t>i</w:t>
      </w:r>
      <w:r w:rsidRPr="00846956">
        <w:rPr>
          <w:color w:val="231F20"/>
          <w:w w:val="94"/>
          <w:lang w:val="de-DE"/>
        </w:rPr>
        <w:t>e</w:t>
      </w:r>
      <w:r w:rsidRPr="00846956">
        <w:rPr>
          <w:color w:val="231F20"/>
          <w:lang w:val="de-DE"/>
        </w:rPr>
        <w:t>d</w:t>
      </w:r>
      <w:r w:rsidRPr="00846956">
        <w:rPr>
          <w:color w:val="231F20"/>
          <w:w w:val="91"/>
          <w:lang w:val="de-DE"/>
        </w:rPr>
        <w:t>e</w:t>
      </w:r>
      <w:r w:rsidRPr="00846956">
        <w:rPr>
          <w:color w:val="231F20"/>
          <w:spacing w:val="1"/>
          <w:w w:val="94"/>
          <w:lang w:val="de-DE"/>
        </w:rPr>
        <w:t>r</w:t>
      </w:r>
      <w:r w:rsidRPr="00846956">
        <w:rPr>
          <w:color w:val="231F20"/>
          <w:spacing w:val="-4"/>
          <w:w w:val="56"/>
          <w:lang w:val="de-DE"/>
        </w:rPr>
        <w:t>/</w:t>
      </w:r>
      <w:r w:rsidRPr="00846956">
        <w:rPr>
          <w:color w:val="231F20"/>
          <w:spacing w:val="5"/>
          <w:w w:val="101"/>
          <w:lang w:val="de-DE"/>
        </w:rPr>
        <w:t>g</w:t>
      </w:r>
      <w:r w:rsidRPr="00846956">
        <w:rPr>
          <w:color w:val="231F20"/>
          <w:spacing w:val="-2"/>
          <w:w w:val="94"/>
          <w:lang w:val="de-DE"/>
        </w:rPr>
        <w:t>r</w:t>
      </w:r>
      <w:r w:rsidRPr="00846956">
        <w:rPr>
          <w:color w:val="231F20"/>
          <w:spacing w:val="1"/>
          <w:w w:val="104"/>
          <w:lang w:val="de-DE"/>
        </w:rPr>
        <w:t>o</w:t>
      </w:r>
      <w:r w:rsidRPr="00846956">
        <w:rPr>
          <w:color w:val="231F20"/>
          <w:w w:val="91"/>
          <w:lang w:val="de-DE"/>
        </w:rPr>
        <w:t>e</w:t>
      </w:r>
      <w:r w:rsidRPr="00846956">
        <w:rPr>
          <w:color w:val="231F20"/>
          <w:spacing w:val="-1"/>
          <w:w w:val="95"/>
          <w:lang w:val="de-DE"/>
        </w:rPr>
        <w:t>n</w:t>
      </w:r>
      <w:r w:rsidRPr="00846956">
        <w:rPr>
          <w:color w:val="231F20"/>
          <w:w w:val="95"/>
          <w:lang w:val="de-DE"/>
        </w:rPr>
        <w:t>e</w:t>
      </w:r>
      <w:r w:rsidRPr="00846956">
        <w:rPr>
          <w:color w:val="231F20"/>
          <w:spacing w:val="-3"/>
          <w:lang w:val="de-DE"/>
        </w:rPr>
        <w:t>w</w:t>
      </w:r>
      <w:r w:rsidRPr="00846956">
        <w:rPr>
          <w:color w:val="231F20"/>
          <w:spacing w:val="-2"/>
          <w:w w:val="104"/>
          <w:lang w:val="de-DE"/>
        </w:rPr>
        <w:t>o</w:t>
      </w:r>
      <w:r w:rsidRPr="00846956">
        <w:rPr>
          <w:color w:val="231F20"/>
          <w:spacing w:val="-2"/>
          <w:w w:val="102"/>
          <w:lang w:val="de-DE"/>
        </w:rPr>
        <w:t>l</w:t>
      </w:r>
      <w:r w:rsidRPr="00846956">
        <w:rPr>
          <w:color w:val="231F20"/>
          <w:spacing w:val="8"/>
          <w:lang w:val="de-DE"/>
        </w:rPr>
        <w:t>d</w:t>
      </w:r>
      <w:r w:rsidRPr="00846956">
        <w:rPr>
          <w:color w:val="231F20"/>
          <w:spacing w:val="-13"/>
          <w:w w:val="56"/>
          <w:lang w:val="de-DE"/>
        </w:rPr>
        <w:t>/</w:t>
      </w:r>
      <w:r w:rsidRPr="00846956">
        <w:rPr>
          <w:color w:val="231F20"/>
          <w:w w:val="135"/>
          <w:lang w:val="de-DE"/>
        </w:rPr>
        <w:t>.</w:t>
      </w:r>
    </w:p>
    <w:p w14:paraId="36C372D7" w14:textId="77777777" w:rsidR="002653E8" w:rsidRDefault="003115E3">
      <w:pPr>
        <w:pStyle w:val="a3"/>
        <w:spacing w:before="162" w:line="244" w:lineRule="auto"/>
        <w:ind w:left="2281" w:right="1580" w:hanging="1135"/>
      </w:pPr>
      <w:r>
        <w:rPr>
          <w:color w:val="231F20"/>
        </w:rPr>
        <w:t xml:space="preserve">“Terrorism 101-Counter-Terrorism Organizations: Germany-GSG-9.” </w:t>
      </w:r>
      <w:hyperlink r:id="rId569">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r>
          <w:rPr>
            <w:color w:val="231F20"/>
            <w:w w:val="98"/>
          </w:rPr>
          <w:t>t</w:t>
        </w:r>
        <w:r>
          <w:rPr>
            <w:color w:val="231F20"/>
            <w:w w:val="91"/>
          </w:rPr>
          <w:t>e</w:t>
        </w:r>
        <w:r>
          <w:rPr>
            <w:color w:val="231F20"/>
            <w:w w:val="94"/>
          </w:rPr>
          <w:t>rr</w:t>
        </w:r>
        <w:r>
          <w:rPr>
            <w:color w:val="231F20"/>
            <w:w w:val="104"/>
          </w:rPr>
          <w:t>o</w:t>
        </w:r>
        <w:r>
          <w:rPr>
            <w:color w:val="231F20"/>
            <w:w w:val="96"/>
          </w:rPr>
          <w:t>ri</w:t>
        </w:r>
        <w:r>
          <w:rPr>
            <w:color w:val="231F20"/>
            <w:w w:val="90"/>
          </w:rPr>
          <w:t>s</w:t>
        </w:r>
        <w:r>
          <w:rPr>
            <w:color w:val="231F20"/>
            <w:w w:val="99"/>
          </w:rPr>
          <w:t>m</w:t>
        </w:r>
        <w:r>
          <w:rPr>
            <w:color w:val="231F20"/>
          </w:rPr>
          <w:t>101</w:t>
        </w:r>
        <w:r>
          <w:rPr>
            <w:color w:val="231F20"/>
            <w:w w:val="135"/>
          </w:rPr>
          <w:t>.</w:t>
        </w:r>
        <w:r>
          <w:rPr>
            <w:color w:val="231F20"/>
            <w:w w:val="104"/>
          </w:rPr>
          <w:t>o</w:t>
        </w:r>
        <w:r>
          <w:rPr>
            <w:color w:val="231F20"/>
            <w:w w:val="94"/>
          </w:rPr>
          <w:t>r</w:t>
        </w:r>
        <w:r>
          <w:rPr>
            <w:color w:val="231F20"/>
            <w:w w:val="101"/>
          </w:rPr>
          <w:t>g</w:t>
        </w:r>
        <w:r>
          <w:rPr>
            <w:color w:val="231F20"/>
            <w:w w:val="56"/>
          </w:rPr>
          <w:t>/</w:t>
        </w:r>
        <w:r>
          <w:rPr>
            <w:color w:val="231F20"/>
          </w:rPr>
          <w:t>c</w:t>
        </w:r>
        <w:r>
          <w:rPr>
            <w:color w:val="231F20"/>
            <w:w w:val="104"/>
          </w:rPr>
          <w:t>o</w:t>
        </w:r>
        <w:r>
          <w:rPr>
            <w:color w:val="231F20"/>
          </w:rPr>
          <w:t>u</w:t>
        </w:r>
        <w:r>
          <w:rPr>
            <w:color w:val="231F20"/>
            <w:w w:val="99"/>
          </w:rPr>
          <w:t>nt</w:t>
        </w:r>
        <w:r>
          <w:rPr>
            <w:color w:val="231F20"/>
            <w:w w:val="91"/>
          </w:rPr>
          <w:t>e</w:t>
        </w:r>
        <w:r>
          <w:rPr>
            <w:color w:val="231F20"/>
            <w:w w:val="94"/>
          </w:rPr>
          <w:t>r</w:t>
        </w:r>
        <w:r>
          <w:rPr>
            <w:color w:val="231F20"/>
            <w:w w:val="56"/>
          </w:rPr>
          <w:t>/</w:t>
        </w:r>
        <w:r>
          <w:rPr>
            <w:color w:val="231F20"/>
            <w:w w:val="127"/>
          </w:rPr>
          <w:t>G</w:t>
        </w:r>
        <w:r>
          <w:rPr>
            <w:color w:val="231F20"/>
            <w:w w:val="91"/>
          </w:rPr>
          <w:t>e</w:t>
        </w:r>
        <w:r>
          <w:rPr>
            <w:color w:val="231F20"/>
            <w:w w:val="94"/>
          </w:rPr>
          <w:t>r</w:t>
        </w:r>
        <w:r>
          <w:rPr>
            <w:color w:val="231F20"/>
            <w:w w:val="99"/>
          </w:rPr>
          <w:t>m</w:t>
        </w:r>
        <w:r>
          <w:rPr>
            <w:color w:val="231F20"/>
            <w:w w:val="102"/>
          </w:rPr>
          <w:t>a</w:t>
        </w:r>
        <w:r>
          <w:rPr>
            <w:color w:val="231F20"/>
            <w:w w:val="99"/>
          </w:rPr>
          <w:t>ny</w:t>
        </w:r>
        <w:r>
          <w:rPr>
            <w:color w:val="231F20"/>
            <w:w w:val="135"/>
          </w:rPr>
          <w:t>.</w:t>
        </w:r>
        <w:r>
          <w:rPr>
            <w:color w:val="231F20"/>
            <w:w w:val="99"/>
          </w:rPr>
          <w:t>htm</w:t>
        </w:r>
        <w:r>
          <w:rPr>
            <w:color w:val="231F20"/>
            <w:w w:val="102"/>
          </w:rPr>
          <w:t>l</w:t>
        </w:r>
        <w:r>
          <w:rPr>
            <w:color w:val="231F20"/>
            <w:w w:val="135"/>
          </w:rPr>
          <w:t>.</w:t>
        </w:r>
      </w:hyperlink>
    </w:p>
    <w:p w14:paraId="0319707C" w14:textId="77777777" w:rsidR="002653E8" w:rsidRDefault="003115E3">
      <w:pPr>
        <w:pStyle w:val="a3"/>
        <w:spacing w:before="162"/>
        <w:ind w:left="1147"/>
      </w:pPr>
      <w:r>
        <w:rPr>
          <w:color w:val="231F20"/>
          <w:w w:val="105"/>
        </w:rPr>
        <w:t>2008-World Journal. untitled.</w:t>
      </w:r>
    </w:p>
    <w:p w14:paraId="01FCF860" w14:textId="77777777" w:rsidR="002653E8" w:rsidRDefault="00000000">
      <w:pPr>
        <w:pStyle w:val="a3"/>
        <w:spacing w:before="5"/>
        <w:ind w:left="2281"/>
      </w:pPr>
      <w:hyperlink r:id="rId570">
        <w:r w:rsidR="003115E3">
          <w:rPr>
            <w:color w:val="231F20"/>
            <w:spacing w:val="-2"/>
          </w:rPr>
          <w:t>h</w:t>
        </w:r>
        <w:r w:rsidR="003115E3">
          <w:rPr>
            <w:color w:val="231F20"/>
            <w:spacing w:val="5"/>
            <w:w w:val="98"/>
          </w:rPr>
          <w:t>t</w:t>
        </w:r>
        <w:r w:rsidR="003115E3">
          <w:rPr>
            <w:color w:val="231F20"/>
            <w:spacing w:val="3"/>
            <w:w w:val="98"/>
          </w:rPr>
          <w:t>t</w:t>
        </w:r>
        <w:r w:rsidR="003115E3">
          <w:rPr>
            <w:color w:val="231F20"/>
            <w:spacing w:val="-1"/>
            <w:w w:val="99"/>
          </w:rPr>
          <w:t>p</w:t>
        </w:r>
        <w:r w:rsidR="003115E3">
          <w:rPr>
            <w:color w:val="231F20"/>
            <w:spacing w:val="5"/>
            <w:w w:val="105"/>
          </w:rPr>
          <w:t>:</w:t>
        </w:r>
        <w:r w:rsidR="003115E3">
          <w:rPr>
            <w:color w:val="231F20"/>
            <w:spacing w:val="-3"/>
            <w:w w:val="56"/>
          </w:rPr>
          <w:t>/</w:t>
        </w:r>
        <w:r w:rsidR="003115E3">
          <w:rPr>
            <w:color w:val="231F20"/>
            <w:spacing w:val="-4"/>
            <w:w w:val="56"/>
          </w:rPr>
          <w:t>/</w:t>
        </w:r>
        <w:r w:rsidR="003115E3">
          <w:rPr>
            <w:color w:val="231F20"/>
            <w:w w:val="90"/>
          </w:rPr>
          <w:t>s</w:t>
        </w:r>
        <w:r w:rsidR="003115E3">
          <w:rPr>
            <w:color w:val="231F20"/>
            <w:spacing w:val="2"/>
            <w:w w:val="104"/>
          </w:rPr>
          <w:t>o</w:t>
        </w:r>
        <w:r w:rsidR="003115E3">
          <w:rPr>
            <w:color w:val="231F20"/>
          </w:rPr>
          <w:t>c</w:t>
        </w:r>
        <w:r w:rsidR="003115E3">
          <w:rPr>
            <w:color w:val="231F20"/>
            <w:spacing w:val="-12"/>
            <w:w w:val="135"/>
          </w:rPr>
          <w:t>.</w:t>
        </w:r>
        <w:r w:rsidR="003115E3">
          <w:rPr>
            <w:color w:val="231F20"/>
            <w:spacing w:val="-3"/>
          </w:rPr>
          <w:t>w</w:t>
        </w:r>
        <w:r w:rsidR="003115E3">
          <w:rPr>
            <w:color w:val="231F20"/>
            <w:spacing w:val="-1"/>
            <w:w w:val="104"/>
          </w:rPr>
          <w:t>o</w:t>
        </w:r>
        <w:r w:rsidR="003115E3">
          <w:rPr>
            <w:color w:val="231F20"/>
            <w:spacing w:val="-3"/>
            <w:w w:val="94"/>
          </w:rPr>
          <w:t>r</w:t>
        </w:r>
        <w:r w:rsidR="003115E3">
          <w:rPr>
            <w:color w:val="231F20"/>
            <w:spacing w:val="-2"/>
            <w:w w:val="102"/>
          </w:rPr>
          <w:t>l</w:t>
        </w:r>
        <w:r w:rsidR="003115E3">
          <w:rPr>
            <w:color w:val="231F20"/>
          </w:rPr>
          <w:t>d-</w:t>
        </w:r>
        <w:r w:rsidR="003115E3">
          <w:rPr>
            <w:color w:val="231F20"/>
            <w:spacing w:val="-2"/>
            <w:w w:val="104"/>
          </w:rPr>
          <w:t>jo</w:t>
        </w:r>
        <w:r w:rsidR="003115E3">
          <w:rPr>
            <w:color w:val="231F20"/>
            <w:spacing w:val="3"/>
          </w:rPr>
          <w:t>u</w:t>
        </w:r>
        <w:r w:rsidR="003115E3">
          <w:rPr>
            <w:color w:val="231F20"/>
            <w:spacing w:val="3"/>
            <w:w w:val="94"/>
          </w:rPr>
          <w:t>r</w:t>
        </w:r>
        <w:r w:rsidR="003115E3">
          <w:rPr>
            <w:color w:val="231F20"/>
            <w:spacing w:val="1"/>
            <w:w w:val="99"/>
          </w:rPr>
          <w:t>n</w:t>
        </w:r>
        <w:r w:rsidR="003115E3">
          <w:rPr>
            <w:color w:val="231F20"/>
            <w:spacing w:val="2"/>
            <w:w w:val="102"/>
          </w:rPr>
          <w:t>a</w:t>
        </w:r>
        <w:r w:rsidR="003115E3">
          <w:rPr>
            <w:color w:val="231F20"/>
            <w:w w:val="102"/>
          </w:rPr>
          <w:t>l</w:t>
        </w:r>
        <w:r w:rsidR="003115E3">
          <w:rPr>
            <w:color w:val="231F20"/>
            <w:w w:val="135"/>
          </w:rPr>
          <w:t>.</w:t>
        </w:r>
        <w:r w:rsidR="003115E3">
          <w:rPr>
            <w:color w:val="231F20"/>
            <w:spacing w:val="-1"/>
            <w:w w:val="99"/>
          </w:rPr>
          <w:t>n</w:t>
        </w:r>
        <w:r w:rsidR="003115E3">
          <w:rPr>
            <w:color w:val="231F20"/>
            <w:spacing w:val="1"/>
            <w:w w:val="91"/>
          </w:rPr>
          <w:t>e</w:t>
        </w:r>
        <w:r w:rsidR="003115E3">
          <w:rPr>
            <w:color w:val="231F20"/>
            <w:spacing w:val="7"/>
            <w:w w:val="98"/>
          </w:rPr>
          <w:t>t</w:t>
        </w:r>
        <w:r w:rsidR="003115E3">
          <w:rPr>
            <w:color w:val="231F20"/>
            <w:spacing w:val="-5"/>
            <w:w w:val="56"/>
          </w:rPr>
          <w:t>/</w:t>
        </w:r>
        <w:r w:rsidR="003115E3">
          <w:rPr>
            <w:color w:val="231F20"/>
            <w:spacing w:val="-9"/>
          </w:rPr>
          <w:t>1</w:t>
        </w:r>
        <w:r w:rsidR="003115E3">
          <w:rPr>
            <w:color w:val="231F20"/>
            <w:spacing w:val="-2"/>
          </w:rPr>
          <w:t>8</w:t>
        </w:r>
        <w:r w:rsidR="003115E3">
          <w:rPr>
            <w:color w:val="231F20"/>
            <w:spacing w:val="1"/>
            <w:w w:val="90"/>
          </w:rPr>
          <w:t>s</w:t>
        </w:r>
        <w:r w:rsidR="003115E3">
          <w:rPr>
            <w:color w:val="231F20"/>
            <w:w w:val="91"/>
          </w:rPr>
          <w:t>e</w:t>
        </w:r>
        <w:r w:rsidR="003115E3">
          <w:rPr>
            <w:color w:val="231F20"/>
            <w:w w:val="99"/>
          </w:rPr>
          <w:t>pt</w:t>
        </w:r>
        <w:r w:rsidR="003115E3">
          <w:rPr>
            <w:color w:val="231F20"/>
            <w:spacing w:val="2"/>
          </w:rPr>
          <w:t>2</w:t>
        </w:r>
        <w:r w:rsidR="003115E3">
          <w:rPr>
            <w:color w:val="231F20"/>
            <w:spacing w:val="5"/>
          </w:rPr>
          <w:t>0</w:t>
        </w:r>
        <w:r w:rsidR="003115E3">
          <w:rPr>
            <w:color w:val="231F20"/>
            <w:spacing w:val="-1"/>
          </w:rPr>
          <w:t>0</w:t>
        </w:r>
        <w:r w:rsidR="003115E3">
          <w:rPr>
            <w:color w:val="231F20"/>
            <w:spacing w:val="-2"/>
          </w:rPr>
          <w:t>8</w:t>
        </w:r>
        <w:r w:rsidR="003115E3">
          <w:rPr>
            <w:color w:val="231F20"/>
            <w:spacing w:val="-1"/>
            <w:w w:val="90"/>
          </w:rPr>
          <w:t>s</w:t>
        </w:r>
        <w:r w:rsidR="003115E3">
          <w:rPr>
            <w:color w:val="231F20"/>
            <w:spacing w:val="-2"/>
            <w:w w:val="99"/>
          </w:rPr>
          <w:t>p</w:t>
        </w:r>
        <w:r w:rsidR="003115E3">
          <w:rPr>
            <w:color w:val="231F20"/>
            <w:spacing w:val="5"/>
            <w:w w:val="99"/>
          </w:rPr>
          <w:t>y</w:t>
        </w:r>
        <w:r w:rsidR="003115E3">
          <w:rPr>
            <w:color w:val="231F20"/>
            <w:spacing w:val="-2"/>
            <w:w w:val="101"/>
          </w:rPr>
          <w:t>w</w:t>
        </w:r>
        <w:r w:rsidR="003115E3">
          <w:rPr>
            <w:color w:val="231F20"/>
            <w:spacing w:val="3"/>
            <w:w w:val="101"/>
          </w:rPr>
          <w:t>a</w:t>
        </w:r>
        <w:r w:rsidR="003115E3">
          <w:rPr>
            <w:color w:val="231F20"/>
            <w:w w:val="94"/>
          </w:rPr>
          <w:t>r</w:t>
        </w:r>
        <w:r w:rsidR="003115E3">
          <w:rPr>
            <w:color w:val="231F20"/>
            <w:spacing w:val="-3"/>
            <w:w w:val="90"/>
          </w:rPr>
          <w:t>s</w:t>
        </w:r>
        <w:r w:rsidR="003115E3">
          <w:rPr>
            <w:color w:val="231F20"/>
          </w:rPr>
          <w:t>2</w:t>
        </w:r>
        <w:r w:rsidR="003115E3">
          <w:rPr>
            <w:color w:val="231F20"/>
            <w:w w:val="135"/>
          </w:rPr>
          <w:t>.</w:t>
        </w:r>
        <w:r w:rsidR="003115E3">
          <w:rPr>
            <w:color w:val="231F20"/>
            <w:spacing w:val="-2"/>
            <w:w w:val="99"/>
          </w:rPr>
          <w:t>h</w:t>
        </w:r>
        <w:r w:rsidR="003115E3">
          <w:rPr>
            <w:color w:val="231F20"/>
            <w:spacing w:val="3"/>
            <w:w w:val="99"/>
          </w:rPr>
          <w:t>tm</w:t>
        </w:r>
        <w:r w:rsidR="003115E3">
          <w:rPr>
            <w:color w:val="231F20"/>
            <w:w w:val="102"/>
          </w:rPr>
          <w:t>l</w:t>
        </w:r>
        <w:r w:rsidR="003115E3">
          <w:rPr>
            <w:color w:val="231F20"/>
            <w:w w:val="135"/>
          </w:rPr>
          <w:t>.</w:t>
        </w:r>
      </w:hyperlink>
    </w:p>
    <w:p w14:paraId="60D13E9C" w14:textId="77777777" w:rsidR="002653E8" w:rsidRDefault="003115E3">
      <w:pPr>
        <w:pStyle w:val="a3"/>
        <w:spacing w:before="166" w:line="244" w:lineRule="auto"/>
        <w:ind w:left="2281" w:right="1479" w:hanging="1134"/>
      </w:pPr>
      <w:r>
        <w:rPr>
          <w:color w:val="231F20"/>
        </w:rPr>
        <w:t xml:space="preserve">Amayreh, Khaled. “Christians, too, suffer the evilness of the </w:t>
      </w:r>
      <w:r>
        <w:rPr>
          <w:color w:val="231F20"/>
          <w:w w:val="104"/>
        </w:rPr>
        <w:t>o</w:t>
      </w:r>
      <w:r>
        <w:rPr>
          <w:color w:val="231F20"/>
        </w:rPr>
        <w:t>ccu</w:t>
      </w:r>
      <w:r>
        <w:rPr>
          <w:color w:val="231F20"/>
          <w:w w:val="99"/>
        </w:rPr>
        <w:t>p</w:t>
      </w:r>
      <w:r>
        <w:rPr>
          <w:color w:val="231F20"/>
          <w:w w:val="102"/>
        </w:rPr>
        <w:t>a</w:t>
      </w:r>
      <w:r>
        <w:rPr>
          <w:color w:val="231F20"/>
          <w:w w:val="98"/>
        </w:rPr>
        <w:t>t</w:t>
      </w:r>
      <w:r>
        <w:rPr>
          <w:color w:val="231F20"/>
        </w:rPr>
        <w:t>i</w:t>
      </w:r>
      <w:r>
        <w:rPr>
          <w:color w:val="231F20"/>
          <w:w w:val="104"/>
        </w:rPr>
        <w:t>o</w:t>
      </w:r>
      <w:r>
        <w:rPr>
          <w:color w:val="231F20"/>
          <w:w w:val="99"/>
        </w:rPr>
        <w:t>n</w:t>
      </w:r>
      <w:r>
        <w:rPr>
          <w:color w:val="231F20"/>
          <w:w w:val="135"/>
        </w:rPr>
        <w:t>.</w:t>
      </w:r>
      <w:r>
        <w:rPr>
          <w:color w:val="231F20"/>
          <w:w w:val="148"/>
        </w:rPr>
        <w:t>”</w:t>
      </w:r>
      <w:r>
        <w:rPr>
          <w:color w:val="231F20"/>
        </w:rPr>
        <w:t xml:space="preserve"> </w:t>
      </w:r>
      <w:r>
        <w:rPr>
          <w:color w:val="231F20"/>
          <w:w w:val="102"/>
        </w:rPr>
        <w:t>a</w:t>
      </w:r>
      <w:r>
        <w:rPr>
          <w:color w:val="231F20"/>
          <w:w w:val="98"/>
        </w:rPr>
        <w:t>t</w:t>
      </w:r>
      <w:r>
        <w:rPr>
          <w:color w:val="231F20"/>
        </w:rPr>
        <w:t xml:space="preserve"> </w:t>
      </w:r>
      <w:hyperlink r:id="rId571">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r>
          <w:rPr>
            <w:color w:val="231F20"/>
            <w:w w:val="98"/>
          </w:rPr>
          <w:t>t</w:t>
        </w:r>
        <w:r>
          <w:rPr>
            <w:color w:val="231F20"/>
          </w:rPr>
          <w:t>h</w:t>
        </w:r>
        <w:r>
          <w:rPr>
            <w:color w:val="231F20"/>
            <w:w w:val="91"/>
          </w:rPr>
          <w:t>e</w:t>
        </w:r>
        <w:r>
          <w:rPr>
            <w:color w:val="231F20"/>
            <w:w w:val="99"/>
          </w:rPr>
          <w:t>p</w:t>
        </w:r>
        <w:r>
          <w:rPr>
            <w:color w:val="231F20"/>
            <w:w w:val="91"/>
          </w:rPr>
          <w:t>e</w:t>
        </w:r>
        <w:r>
          <w:rPr>
            <w:color w:val="231F20"/>
            <w:w w:val="104"/>
          </w:rPr>
          <w:t>o</w:t>
        </w:r>
        <w:r>
          <w:rPr>
            <w:color w:val="231F20"/>
            <w:w w:val="99"/>
          </w:rPr>
          <w:t>p</w:t>
        </w:r>
        <w:r>
          <w:rPr>
            <w:color w:val="231F20"/>
            <w:w w:val="102"/>
          </w:rPr>
          <w:t>l</w:t>
        </w:r>
        <w:r>
          <w:rPr>
            <w:color w:val="231F20"/>
            <w:w w:val="91"/>
          </w:rPr>
          <w:t>e</w:t>
        </w:r>
        <w:r>
          <w:rPr>
            <w:color w:val="231F20"/>
            <w:w w:val="90"/>
          </w:rPr>
          <w:t>s</w:t>
        </w:r>
        <w:r>
          <w:rPr>
            <w:color w:val="231F20"/>
            <w:w w:val="99"/>
          </w:rPr>
          <w:t>v</w:t>
        </w:r>
        <w:r>
          <w:rPr>
            <w:color w:val="231F20"/>
            <w:w w:val="104"/>
          </w:rPr>
          <w:t>o</w:t>
        </w:r>
        <w:r>
          <w:rPr>
            <w:color w:val="231F20"/>
          </w:rPr>
          <w:t>ic</w:t>
        </w:r>
        <w:r>
          <w:rPr>
            <w:color w:val="231F20"/>
            <w:w w:val="91"/>
          </w:rPr>
          <w:t>e</w:t>
        </w:r>
        <w:r>
          <w:rPr>
            <w:color w:val="231F20"/>
            <w:w w:val="135"/>
          </w:rPr>
          <w:t>.</w:t>
        </w:r>
        <w:r>
          <w:rPr>
            <w:color w:val="231F20"/>
            <w:w w:val="104"/>
          </w:rPr>
          <w:t>o</w:t>
        </w:r>
        <w:r>
          <w:rPr>
            <w:color w:val="231F20"/>
            <w:w w:val="94"/>
          </w:rPr>
          <w:t>r</w:t>
        </w:r>
        <w:r>
          <w:rPr>
            <w:color w:val="231F20"/>
            <w:w w:val="101"/>
          </w:rPr>
          <w:t>g</w:t>
        </w:r>
        <w:r>
          <w:rPr>
            <w:color w:val="231F20"/>
            <w:w w:val="56"/>
          </w:rPr>
          <w:t>/</w:t>
        </w:r>
        <w:r>
          <w:rPr>
            <w:color w:val="231F20"/>
          </w:rPr>
          <w:t>c</w:t>
        </w:r>
        <w:r>
          <w:rPr>
            <w:color w:val="231F20"/>
            <w:w w:val="101"/>
          </w:rPr>
          <w:t>g</w:t>
        </w:r>
        <w:r>
          <w:rPr>
            <w:color w:val="231F20"/>
          </w:rPr>
          <w:t>i-</w:t>
        </w:r>
        <w:r>
          <w:rPr>
            <w:color w:val="231F20"/>
            <w:w w:val="101"/>
          </w:rPr>
          <w:t>b</w:t>
        </w:r>
        <w:r>
          <w:rPr>
            <w:color w:val="231F20"/>
          </w:rPr>
          <w:t>i</w:t>
        </w:r>
        <w:r>
          <w:rPr>
            <w:color w:val="231F20"/>
            <w:w w:val="99"/>
          </w:rPr>
          <w:t>n</w:t>
        </w:r>
        <w:r>
          <w:rPr>
            <w:color w:val="231F20"/>
            <w:w w:val="56"/>
          </w:rPr>
          <w:t>/</w:t>
        </w:r>
      </w:hyperlink>
      <w:r>
        <w:rPr>
          <w:color w:val="231F20"/>
          <w:w w:val="56"/>
        </w:rPr>
        <w:t xml:space="preserve"> </w:t>
      </w:r>
      <w:r>
        <w:rPr>
          <w:color w:val="231F20"/>
          <w:w w:val="101"/>
        </w:rPr>
        <w:t>b</w:t>
      </w:r>
      <w:r>
        <w:rPr>
          <w:color w:val="231F20"/>
          <w:w w:val="102"/>
        </w:rPr>
        <w:t>l</w:t>
      </w:r>
      <w:r>
        <w:rPr>
          <w:color w:val="231F20"/>
          <w:w w:val="104"/>
        </w:rPr>
        <w:t>o</w:t>
      </w:r>
      <w:r>
        <w:rPr>
          <w:color w:val="231F20"/>
          <w:w w:val="101"/>
        </w:rPr>
        <w:t>g</w:t>
      </w:r>
      <w:r>
        <w:rPr>
          <w:color w:val="231F20"/>
          <w:w w:val="90"/>
        </w:rPr>
        <w:t>s</w:t>
      </w:r>
      <w:r>
        <w:rPr>
          <w:color w:val="231F20"/>
          <w:w w:val="56"/>
        </w:rPr>
        <w:t>/</w:t>
      </w:r>
      <w:r>
        <w:rPr>
          <w:color w:val="231F20"/>
          <w:w w:val="99"/>
        </w:rPr>
        <w:t>v</w:t>
      </w:r>
      <w:r>
        <w:rPr>
          <w:color w:val="231F20"/>
          <w:w w:val="104"/>
        </w:rPr>
        <w:t>o</w:t>
      </w:r>
      <w:r>
        <w:rPr>
          <w:color w:val="231F20"/>
        </w:rPr>
        <w:t>ic</w:t>
      </w:r>
      <w:r>
        <w:rPr>
          <w:color w:val="231F20"/>
          <w:w w:val="91"/>
        </w:rPr>
        <w:t>e</w:t>
      </w:r>
      <w:r>
        <w:rPr>
          <w:color w:val="231F20"/>
          <w:w w:val="90"/>
        </w:rPr>
        <w:t>s</w:t>
      </w:r>
      <w:r>
        <w:rPr>
          <w:color w:val="231F20"/>
          <w:w w:val="109"/>
        </w:rPr>
        <w:t>.p</w:t>
      </w:r>
      <w:r>
        <w:rPr>
          <w:color w:val="231F20"/>
        </w:rPr>
        <w:t>hp</w:t>
      </w:r>
      <w:r>
        <w:rPr>
          <w:color w:val="231F20"/>
          <w:w w:val="56"/>
        </w:rPr>
        <w:t>/</w:t>
      </w:r>
      <w:r>
        <w:rPr>
          <w:color w:val="231F20"/>
        </w:rPr>
        <w:t>2007</w:t>
      </w:r>
      <w:r>
        <w:rPr>
          <w:color w:val="231F20"/>
          <w:w w:val="56"/>
        </w:rPr>
        <w:t>/</w:t>
      </w:r>
      <w:r>
        <w:rPr>
          <w:color w:val="231F20"/>
        </w:rPr>
        <w:t>12</w:t>
      </w:r>
      <w:r>
        <w:rPr>
          <w:color w:val="231F20"/>
          <w:w w:val="56"/>
        </w:rPr>
        <w:t>/</w:t>
      </w:r>
      <w:r>
        <w:rPr>
          <w:color w:val="231F20"/>
        </w:rPr>
        <w:t>26</w:t>
      </w:r>
      <w:r>
        <w:rPr>
          <w:color w:val="231F20"/>
          <w:w w:val="56"/>
        </w:rPr>
        <w:t>/</w:t>
      </w:r>
      <w:r>
        <w:rPr>
          <w:color w:val="231F20"/>
        </w:rPr>
        <w:t>ch</w:t>
      </w:r>
      <w:r>
        <w:rPr>
          <w:color w:val="231F20"/>
          <w:w w:val="94"/>
        </w:rPr>
        <w:t>r</w:t>
      </w:r>
      <w:r>
        <w:rPr>
          <w:color w:val="231F20"/>
        </w:rPr>
        <w:t>i</w:t>
      </w:r>
      <w:r>
        <w:rPr>
          <w:color w:val="231F20"/>
          <w:w w:val="90"/>
        </w:rPr>
        <w:t>s</w:t>
      </w:r>
      <w:r>
        <w:rPr>
          <w:color w:val="231F20"/>
          <w:w w:val="98"/>
        </w:rPr>
        <w:t>t</w:t>
      </w:r>
      <w:r>
        <w:rPr>
          <w:color w:val="231F20"/>
        </w:rPr>
        <w:t>i</w:t>
      </w:r>
      <w:r>
        <w:rPr>
          <w:color w:val="231F20"/>
          <w:w w:val="102"/>
        </w:rPr>
        <w:t>a</w:t>
      </w:r>
      <w:r>
        <w:rPr>
          <w:color w:val="231F20"/>
          <w:w w:val="99"/>
        </w:rPr>
        <w:t>n</w:t>
      </w:r>
      <w:r>
        <w:rPr>
          <w:color w:val="231F20"/>
          <w:w w:val="90"/>
        </w:rPr>
        <w:t>s</w:t>
      </w:r>
      <w:r>
        <w:rPr>
          <w:color w:val="231F20"/>
          <w:w w:val="134"/>
        </w:rPr>
        <w:t>_</w:t>
      </w:r>
      <w:r>
        <w:rPr>
          <w:color w:val="231F20"/>
          <w:w w:val="98"/>
        </w:rPr>
        <w:t>t</w:t>
      </w:r>
      <w:r>
        <w:rPr>
          <w:color w:val="231F20"/>
          <w:w w:val="104"/>
        </w:rPr>
        <w:t>oo</w:t>
      </w:r>
      <w:r>
        <w:rPr>
          <w:color w:val="231F20"/>
          <w:w w:val="134"/>
        </w:rPr>
        <w:t>_</w:t>
      </w:r>
      <w:r>
        <w:rPr>
          <w:color w:val="231F20"/>
          <w:w w:val="96"/>
        </w:rPr>
        <w:t>su</w:t>
      </w:r>
      <w:r>
        <w:rPr>
          <w:color w:val="231F20"/>
          <w:w w:val="109"/>
        </w:rPr>
        <w:t>ff</w:t>
      </w:r>
      <w:r>
        <w:rPr>
          <w:color w:val="231F20"/>
          <w:w w:val="91"/>
        </w:rPr>
        <w:t>e</w:t>
      </w:r>
      <w:r>
        <w:rPr>
          <w:color w:val="231F20"/>
          <w:w w:val="113"/>
        </w:rPr>
        <w:t>r_</w:t>
      </w:r>
      <w:r>
        <w:rPr>
          <w:color w:val="231F20"/>
          <w:w w:val="98"/>
        </w:rPr>
        <w:t>t</w:t>
      </w:r>
      <w:r>
        <w:rPr>
          <w:color w:val="231F20"/>
          <w:w w:val="96"/>
        </w:rPr>
        <w:t>he</w:t>
      </w:r>
      <w:r>
        <w:rPr>
          <w:color w:val="231F20"/>
          <w:w w:val="134"/>
        </w:rPr>
        <w:t xml:space="preserve">_ </w:t>
      </w:r>
      <w:r>
        <w:rPr>
          <w:color w:val="231F20"/>
        </w:rPr>
        <w:t>evilness_of_th.</w:t>
      </w:r>
    </w:p>
    <w:p w14:paraId="565BDF4D" w14:textId="77777777" w:rsidR="002653E8" w:rsidRDefault="003115E3">
      <w:pPr>
        <w:pStyle w:val="a3"/>
        <w:spacing w:before="163" w:line="244" w:lineRule="auto"/>
        <w:ind w:left="2281" w:right="1772" w:hanging="1134"/>
      </w:pPr>
      <w:r>
        <w:rPr>
          <w:color w:val="231F20"/>
          <w:w w:val="105"/>
        </w:rPr>
        <w:t xml:space="preserve">Arm the Spirit. “A Brief History of the Red Army Faction.” </w:t>
      </w:r>
      <w:hyperlink r:id="rId572">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r>
          <w:rPr>
            <w:color w:val="231F20"/>
          </w:rPr>
          <w:t>h</w:t>
        </w:r>
        <w:r>
          <w:rPr>
            <w:color w:val="231F20"/>
            <w:w w:val="102"/>
          </w:rPr>
          <w:t>a</w:t>
        </w:r>
        <w:r>
          <w:rPr>
            <w:color w:val="231F20"/>
            <w:w w:val="94"/>
          </w:rPr>
          <w:t>r</w:t>
        </w:r>
        <w:r>
          <w:rPr>
            <w:color w:val="231F20"/>
            <w:w w:val="98"/>
          </w:rPr>
          <w:t>t</w:t>
        </w:r>
        <w:r>
          <w:rPr>
            <w:color w:val="231F20"/>
            <w:w w:val="109"/>
          </w:rPr>
          <w:t>f</w:t>
        </w:r>
        <w:r>
          <w:rPr>
            <w:color w:val="231F20"/>
            <w:w w:val="104"/>
          </w:rPr>
          <w:t>o</w:t>
        </w:r>
        <w:r>
          <w:rPr>
            <w:color w:val="231F20"/>
            <w:w w:val="94"/>
          </w:rPr>
          <w:t>r</w:t>
        </w:r>
        <w:r>
          <w:rPr>
            <w:color w:val="231F20"/>
          </w:rPr>
          <w:t>d-hw</w:t>
        </w:r>
        <w:r>
          <w:rPr>
            <w:color w:val="231F20"/>
            <w:w w:val="99"/>
          </w:rPr>
          <w:t>p</w:t>
        </w:r>
        <w:r>
          <w:rPr>
            <w:color w:val="231F20"/>
            <w:w w:val="135"/>
          </w:rPr>
          <w:t>.</w:t>
        </w:r>
        <w:r>
          <w:rPr>
            <w:color w:val="231F20"/>
          </w:rPr>
          <w:t>c</w:t>
        </w:r>
        <w:r>
          <w:rPr>
            <w:color w:val="231F20"/>
            <w:w w:val="104"/>
          </w:rPr>
          <w:t>o</w:t>
        </w:r>
        <w:r>
          <w:rPr>
            <w:color w:val="231F20"/>
            <w:w w:val="99"/>
          </w:rPr>
          <w:t>m</w:t>
        </w:r>
        <w:r>
          <w:rPr>
            <w:color w:val="231F20"/>
            <w:w w:val="56"/>
          </w:rPr>
          <w:t>/</w:t>
        </w:r>
        <w:r>
          <w:rPr>
            <w:color w:val="231F20"/>
            <w:w w:val="102"/>
          </w:rPr>
          <w:t>a</w:t>
        </w:r>
        <w:r>
          <w:rPr>
            <w:color w:val="231F20"/>
            <w:w w:val="94"/>
          </w:rPr>
          <w:t>r</w:t>
        </w:r>
        <w:r>
          <w:rPr>
            <w:color w:val="231F20"/>
          </w:rPr>
          <w:t>chi</w:t>
        </w:r>
        <w:r>
          <w:rPr>
            <w:color w:val="231F20"/>
            <w:w w:val="99"/>
          </w:rPr>
          <w:t>v</w:t>
        </w:r>
        <w:r>
          <w:rPr>
            <w:color w:val="231F20"/>
            <w:w w:val="91"/>
          </w:rPr>
          <w:t>e</w:t>
        </w:r>
        <w:r>
          <w:rPr>
            <w:color w:val="231F20"/>
            <w:w w:val="90"/>
          </w:rPr>
          <w:t>s</w:t>
        </w:r>
        <w:r>
          <w:rPr>
            <w:color w:val="231F20"/>
            <w:w w:val="56"/>
          </w:rPr>
          <w:t>/</w:t>
        </w:r>
        <w:r>
          <w:rPr>
            <w:color w:val="231F20"/>
          </w:rPr>
          <w:t>61</w:t>
        </w:r>
        <w:r>
          <w:rPr>
            <w:color w:val="231F20"/>
            <w:w w:val="56"/>
          </w:rPr>
          <w:t>/</w:t>
        </w:r>
        <w:r>
          <w:rPr>
            <w:color w:val="231F20"/>
          </w:rPr>
          <w:t>191</w:t>
        </w:r>
        <w:r>
          <w:rPr>
            <w:color w:val="231F20"/>
            <w:w w:val="135"/>
          </w:rPr>
          <w:t>.</w:t>
        </w:r>
        <w:r>
          <w:rPr>
            <w:color w:val="231F20"/>
            <w:w w:val="99"/>
          </w:rPr>
          <w:t>htm</w:t>
        </w:r>
        <w:r>
          <w:rPr>
            <w:color w:val="231F20"/>
            <w:w w:val="102"/>
          </w:rPr>
          <w:t>l</w:t>
        </w:r>
        <w:r>
          <w:rPr>
            <w:color w:val="231F20"/>
            <w:w w:val="135"/>
          </w:rPr>
          <w:t>.</w:t>
        </w:r>
      </w:hyperlink>
    </w:p>
    <w:p w14:paraId="1D92701B" w14:textId="77777777" w:rsidR="002653E8" w:rsidRDefault="003115E3">
      <w:pPr>
        <w:pStyle w:val="a3"/>
        <w:spacing w:before="162" w:line="244" w:lineRule="auto"/>
        <w:ind w:left="2281" w:right="1400" w:hanging="1134"/>
      </w:pPr>
      <w:r>
        <w:rPr>
          <w:color w:val="231F20"/>
          <w:w w:val="105"/>
        </w:rPr>
        <w:t xml:space="preserve">Autonome Forum. “A Herstory Of The Revolutionary Cells And Rote Zora—Armed Resistance in West Germany.” http:// </w:t>
      </w:r>
      <w:hyperlink r:id="rId573">
        <w:r>
          <w:rPr>
            <w:color w:val="231F20"/>
          </w:rPr>
          <w:t>www</w:t>
        </w:r>
        <w:r>
          <w:rPr>
            <w:color w:val="231F20"/>
            <w:w w:val="135"/>
          </w:rPr>
          <w:t>.</w:t>
        </w:r>
        <w:r>
          <w:rPr>
            <w:color w:val="231F20"/>
            <w:w w:val="91"/>
          </w:rPr>
          <w:t>e</w:t>
        </w:r>
        <w:r>
          <w:rPr>
            <w:color w:val="231F20"/>
            <w:w w:val="98"/>
          </w:rPr>
          <w:t>t</w:t>
        </w:r>
        <w:r>
          <w:rPr>
            <w:color w:val="231F20"/>
            <w:w w:val="91"/>
          </w:rPr>
          <w:t>e</w:t>
        </w:r>
        <w:r>
          <w:rPr>
            <w:color w:val="231F20"/>
            <w:w w:val="115"/>
          </w:rPr>
          <w:t>x</w:t>
        </w:r>
        <w:r>
          <w:rPr>
            <w:color w:val="231F20"/>
            <w:w w:val="98"/>
          </w:rPr>
          <w:t>t</w:t>
        </w:r>
        <w:r>
          <w:rPr>
            <w:color w:val="231F20"/>
            <w:w w:val="135"/>
          </w:rPr>
          <w:t>.</w:t>
        </w:r>
        <w:r>
          <w:rPr>
            <w:color w:val="231F20"/>
            <w:w w:val="104"/>
          </w:rPr>
          <w:t>o</w:t>
        </w:r>
        <w:r>
          <w:rPr>
            <w:color w:val="231F20"/>
            <w:w w:val="94"/>
          </w:rPr>
          <w:t>r</w:t>
        </w:r>
        <w:r>
          <w:rPr>
            <w:color w:val="231F20"/>
            <w:w w:val="101"/>
          </w:rPr>
          <w:t>g</w:t>
        </w:r>
        <w:r>
          <w:rPr>
            <w:color w:val="231F20"/>
            <w:w w:val="56"/>
          </w:rPr>
          <w:t>/</w:t>
        </w:r>
        <w:r>
          <w:rPr>
            <w:color w:val="231F20"/>
            <w:w w:val="97"/>
          </w:rPr>
          <w:t>P</w:t>
        </w:r>
        <w:r>
          <w:rPr>
            <w:color w:val="231F20"/>
            <w:w w:val="104"/>
          </w:rPr>
          <w:t>o</w:t>
        </w:r>
        <w:r>
          <w:rPr>
            <w:color w:val="231F20"/>
            <w:w w:val="101"/>
          </w:rPr>
          <w:t>li</w:t>
        </w:r>
        <w:r>
          <w:rPr>
            <w:color w:val="231F20"/>
            <w:w w:val="99"/>
          </w:rPr>
          <w:t>ti</w:t>
        </w:r>
        <w:r>
          <w:rPr>
            <w:color w:val="231F20"/>
          </w:rPr>
          <w:t>c</w:t>
        </w:r>
        <w:r>
          <w:rPr>
            <w:color w:val="231F20"/>
            <w:w w:val="90"/>
          </w:rPr>
          <w:t>s</w:t>
        </w:r>
        <w:r>
          <w:rPr>
            <w:color w:val="231F20"/>
            <w:w w:val="56"/>
          </w:rPr>
          <w:t>/</w:t>
        </w:r>
        <w:r>
          <w:rPr>
            <w:color w:val="231F20"/>
            <w:w w:val="115"/>
          </w:rPr>
          <w:t>A</w:t>
        </w:r>
        <w:r>
          <w:rPr>
            <w:color w:val="231F20"/>
          </w:rPr>
          <w:t>u</w:t>
        </w:r>
        <w:r>
          <w:rPr>
            <w:color w:val="231F20"/>
            <w:w w:val="98"/>
          </w:rPr>
          <w:t>t</w:t>
        </w:r>
        <w:r>
          <w:rPr>
            <w:color w:val="231F20"/>
            <w:w w:val="104"/>
          </w:rPr>
          <w:t>o</w:t>
        </w:r>
        <w:r>
          <w:rPr>
            <w:color w:val="231F20"/>
            <w:w w:val="99"/>
          </w:rPr>
          <w:t>n</w:t>
        </w:r>
        <w:r>
          <w:rPr>
            <w:color w:val="231F20"/>
            <w:w w:val="104"/>
          </w:rPr>
          <w:t>o</w:t>
        </w:r>
        <w:r>
          <w:rPr>
            <w:color w:val="231F20"/>
            <w:w w:val="99"/>
          </w:rPr>
          <w:t>m</w:t>
        </w:r>
        <w:r>
          <w:rPr>
            <w:color w:val="231F20"/>
            <w:w w:val="91"/>
          </w:rPr>
          <w:t>e</w:t>
        </w:r>
        <w:r>
          <w:rPr>
            <w:color w:val="231F20"/>
            <w:w w:val="135"/>
          </w:rPr>
          <w:t>.</w:t>
        </w:r>
        <w:r>
          <w:rPr>
            <w:color w:val="231F20"/>
            <w:w w:val="103"/>
          </w:rPr>
          <w:t>F</w:t>
        </w:r>
        <w:r>
          <w:rPr>
            <w:color w:val="231F20"/>
            <w:w w:val="104"/>
          </w:rPr>
          <w:t>o</w:t>
        </w:r>
        <w:r>
          <w:rPr>
            <w:color w:val="231F20"/>
            <w:w w:val="94"/>
          </w:rPr>
          <w:t>r</w:t>
        </w:r>
        <w:r>
          <w:rPr>
            <w:color w:val="231F20"/>
          </w:rPr>
          <w:t>u</w:t>
        </w:r>
        <w:r>
          <w:rPr>
            <w:color w:val="231F20"/>
            <w:w w:val="99"/>
          </w:rPr>
          <w:t>m</w:t>
        </w:r>
        <w:r>
          <w:rPr>
            <w:color w:val="231F20"/>
            <w:w w:val="56"/>
          </w:rPr>
          <w:t>/</w:t>
        </w:r>
        <w:r>
          <w:rPr>
            <w:color w:val="231F20"/>
            <w:w w:val="127"/>
          </w:rPr>
          <w:t>G</w:t>
        </w:r>
        <w:r>
          <w:rPr>
            <w:color w:val="231F20"/>
          </w:rPr>
          <w:t>u</w:t>
        </w:r>
        <w:r>
          <w:rPr>
            <w:color w:val="231F20"/>
            <w:w w:val="91"/>
          </w:rPr>
          <w:t>e</w:t>
        </w:r>
        <w:r>
          <w:rPr>
            <w:color w:val="231F20"/>
            <w:w w:val="94"/>
          </w:rPr>
          <w:t>rr</w:t>
        </w:r>
        <w:r>
          <w:rPr>
            <w:color w:val="231F20"/>
            <w:w w:val="101"/>
          </w:rPr>
          <w:t>ill</w:t>
        </w:r>
        <w:r>
          <w:rPr>
            <w:color w:val="231F20"/>
            <w:w w:val="102"/>
          </w:rPr>
          <w:t>a</w:t>
        </w:r>
        <w:r>
          <w:rPr>
            <w:color w:val="231F20"/>
            <w:w w:val="56"/>
          </w:rPr>
          <w:t>/</w:t>
        </w:r>
      </w:hyperlink>
      <w:r>
        <w:rPr>
          <w:color w:val="231F20"/>
          <w:w w:val="56"/>
        </w:rPr>
        <w:t xml:space="preserve"> </w:t>
      </w:r>
      <w:r>
        <w:rPr>
          <w:color w:val="231F20"/>
          <w:w w:val="106"/>
        </w:rPr>
        <w:t>E</w:t>
      </w:r>
      <w:r>
        <w:rPr>
          <w:color w:val="231F20"/>
        </w:rPr>
        <w:t>u</w:t>
      </w:r>
      <w:r>
        <w:rPr>
          <w:color w:val="231F20"/>
          <w:w w:val="94"/>
        </w:rPr>
        <w:t>r</w:t>
      </w:r>
      <w:r>
        <w:rPr>
          <w:color w:val="231F20"/>
          <w:w w:val="104"/>
        </w:rPr>
        <w:t>o</w:t>
      </w:r>
      <w:r>
        <w:rPr>
          <w:color w:val="231F20"/>
          <w:w w:val="99"/>
        </w:rPr>
        <w:t>p</w:t>
      </w:r>
      <w:r>
        <w:rPr>
          <w:color w:val="231F20"/>
          <w:w w:val="91"/>
        </w:rPr>
        <w:t>e</w:t>
      </w:r>
      <w:r>
        <w:rPr>
          <w:color w:val="231F20"/>
          <w:w w:val="56"/>
        </w:rPr>
        <w:t>/</w:t>
      </w:r>
      <w:r>
        <w:rPr>
          <w:color w:val="231F20"/>
          <w:w w:val="116"/>
        </w:rPr>
        <w:t>R</w:t>
      </w:r>
      <w:r>
        <w:rPr>
          <w:color w:val="231F20"/>
          <w:w w:val="104"/>
        </w:rPr>
        <w:t>o</w:t>
      </w:r>
      <w:r>
        <w:rPr>
          <w:color w:val="231F20"/>
          <w:w w:val="98"/>
        </w:rPr>
        <w:t>t</w:t>
      </w:r>
      <w:r>
        <w:rPr>
          <w:color w:val="231F20"/>
          <w:w w:val="91"/>
        </w:rPr>
        <w:t>e</w:t>
      </w:r>
      <w:r>
        <w:rPr>
          <w:color w:val="231F20"/>
          <w:w w:val="135"/>
        </w:rPr>
        <w:t>.</w:t>
      </w:r>
      <w:r>
        <w:rPr>
          <w:color w:val="231F20"/>
          <w:w w:val="134"/>
        </w:rPr>
        <w:t>Z</w:t>
      </w:r>
      <w:r>
        <w:rPr>
          <w:color w:val="231F20"/>
        </w:rPr>
        <w:t>or</w:t>
      </w:r>
      <w:r>
        <w:rPr>
          <w:color w:val="231F20"/>
          <w:w w:val="102"/>
        </w:rPr>
        <w:t>a</w:t>
      </w:r>
      <w:r>
        <w:rPr>
          <w:color w:val="231F20"/>
          <w:w w:val="83"/>
        </w:rPr>
        <w:t>/m</w:t>
      </w:r>
      <w:r>
        <w:rPr>
          <w:color w:val="231F20"/>
        </w:rPr>
        <w:t>i</w:t>
      </w:r>
      <w:r>
        <w:rPr>
          <w:color w:val="231F20"/>
          <w:w w:val="99"/>
        </w:rPr>
        <w:t>n</w:t>
      </w:r>
      <w:r>
        <w:rPr>
          <w:color w:val="231F20"/>
        </w:rPr>
        <w:t>i-h</w:t>
      </w:r>
      <w:r>
        <w:rPr>
          <w:color w:val="231F20"/>
          <w:w w:val="91"/>
        </w:rPr>
        <w:t>e</w:t>
      </w:r>
      <w:r>
        <w:rPr>
          <w:color w:val="231F20"/>
          <w:w w:val="94"/>
        </w:rPr>
        <w:t>r</w:t>
      </w:r>
      <w:r>
        <w:rPr>
          <w:color w:val="231F20"/>
          <w:w w:val="90"/>
        </w:rPr>
        <w:t>s</w:t>
      </w:r>
      <w:r>
        <w:rPr>
          <w:color w:val="231F20"/>
          <w:w w:val="98"/>
        </w:rPr>
        <w:t>t</w:t>
      </w:r>
      <w:r>
        <w:rPr>
          <w:color w:val="231F20"/>
        </w:rPr>
        <w:t>or</w:t>
      </w:r>
      <w:r>
        <w:rPr>
          <w:color w:val="231F20"/>
          <w:w w:val="99"/>
        </w:rPr>
        <w:t>y</w:t>
      </w:r>
      <w:r>
        <w:rPr>
          <w:color w:val="231F20"/>
          <w:w w:val="135"/>
        </w:rPr>
        <w:t>.</w:t>
      </w:r>
      <w:r>
        <w:rPr>
          <w:color w:val="231F20"/>
        </w:rPr>
        <w:t>1988</w:t>
      </w:r>
      <w:r>
        <w:rPr>
          <w:color w:val="231F20"/>
          <w:w w:val="135"/>
        </w:rPr>
        <w:t>.</w:t>
      </w:r>
    </w:p>
    <w:p w14:paraId="15E37B33" w14:textId="77777777" w:rsidR="002653E8" w:rsidRDefault="003115E3">
      <w:pPr>
        <w:pStyle w:val="a3"/>
        <w:spacing w:before="163" w:line="244" w:lineRule="auto"/>
        <w:ind w:left="2281" w:right="1580" w:hanging="1134"/>
      </w:pPr>
      <w:r>
        <w:rPr>
          <w:color w:val="231F20"/>
        </w:rPr>
        <w:t xml:space="preserve">Bielby, Clare. “‘Bonnie und Kleid’: Female Terrorists and the Hysterical Feminine.” Forum: University of Edinburgh Postgraduate Journal of Culture and Arts no. 2. </w:t>
      </w:r>
      <w:hyperlink r:id="rId574">
        <w:r>
          <w:rPr>
            <w:color w:val="231F20"/>
          </w:rPr>
          <w:t>h</w:t>
        </w:r>
        <w:r>
          <w:rPr>
            <w:color w:val="231F20"/>
            <w:w w:val="98"/>
          </w:rPr>
          <w:t>tt</w:t>
        </w:r>
        <w:r>
          <w:rPr>
            <w:color w:val="231F20"/>
            <w:w w:val="99"/>
          </w:rPr>
          <w:t>p</w:t>
        </w:r>
        <w:r>
          <w:rPr>
            <w:color w:val="231F20"/>
            <w:w w:val="105"/>
          </w:rPr>
          <w:t>:</w:t>
        </w:r>
        <w:r>
          <w:rPr>
            <w:color w:val="231F20"/>
            <w:w w:val="56"/>
          </w:rPr>
          <w:t>//</w:t>
        </w:r>
        <w:r>
          <w:rPr>
            <w:color w:val="231F20"/>
            <w:w w:val="109"/>
          </w:rPr>
          <w:t>f</w:t>
        </w:r>
        <w:r>
          <w:rPr>
            <w:color w:val="231F20"/>
            <w:w w:val="104"/>
          </w:rPr>
          <w:t>o</w:t>
        </w:r>
        <w:r>
          <w:rPr>
            <w:color w:val="231F20"/>
            <w:w w:val="94"/>
          </w:rPr>
          <w:t>r</w:t>
        </w:r>
        <w:r>
          <w:rPr>
            <w:color w:val="231F20"/>
          </w:rPr>
          <w:t>u</w:t>
        </w:r>
        <w:r>
          <w:rPr>
            <w:color w:val="231F20"/>
            <w:w w:val="99"/>
          </w:rPr>
          <w:t>m</w:t>
        </w:r>
        <w:r>
          <w:rPr>
            <w:color w:val="231F20"/>
            <w:w w:val="135"/>
          </w:rPr>
          <w:t>.</w:t>
        </w:r>
        <w:r>
          <w:rPr>
            <w:color w:val="231F20"/>
            <w:w w:val="102"/>
          </w:rPr>
          <w:t>ll</w:t>
        </w:r>
        <w:r>
          <w:rPr>
            <w:color w:val="231F20"/>
          </w:rPr>
          <w:t>c</w:t>
        </w:r>
        <w:r>
          <w:rPr>
            <w:color w:val="231F20"/>
            <w:w w:val="135"/>
          </w:rPr>
          <w:t>.</w:t>
        </w:r>
        <w:r>
          <w:rPr>
            <w:color w:val="231F20"/>
            <w:w w:val="91"/>
          </w:rPr>
          <w:t>e</w:t>
        </w:r>
        <w:r>
          <w:rPr>
            <w:color w:val="231F20"/>
            <w:w w:val="109"/>
          </w:rPr>
          <w:t>d.</w:t>
        </w:r>
        <w:r>
          <w:rPr>
            <w:color w:val="231F20"/>
            <w:w w:val="102"/>
          </w:rPr>
          <w:t>a</w:t>
        </w:r>
        <w:r>
          <w:rPr>
            <w:color w:val="231F20"/>
          </w:rPr>
          <w:t>c</w:t>
        </w:r>
        <w:r>
          <w:rPr>
            <w:color w:val="231F20"/>
            <w:w w:val="135"/>
          </w:rPr>
          <w:t>.</w:t>
        </w:r>
        <w:r>
          <w:rPr>
            <w:color w:val="231F20"/>
          </w:rPr>
          <w:t>u</w:t>
        </w:r>
        <w:r>
          <w:rPr>
            <w:color w:val="231F20"/>
            <w:w w:val="106"/>
          </w:rPr>
          <w:t>k</w:t>
        </w:r>
        <w:r>
          <w:rPr>
            <w:color w:val="231F20"/>
            <w:w w:val="56"/>
          </w:rPr>
          <w:t>/</w:t>
        </w:r>
        <w:r>
          <w:rPr>
            <w:color w:val="231F20"/>
            <w:w w:val="94"/>
          </w:rPr>
          <w:t>is</w:t>
        </w:r>
        <w:r>
          <w:rPr>
            <w:color w:val="231F20"/>
            <w:w w:val="90"/>
          </w:rPr>
          <w:t>s</w:t>
        </w:r>
        <w:r>
          <w:rPr>
            <w:color w:val="231F20"/>
          </w:rPr>
          <w:t>u</w:t>
        </w:r>
        <w:r>
          <w:rPr>
            <w:color w:val="231F20"/>
            <w:w w:val="91"/>
          </w:rPr>
          <w:t>e</w:t>
        </w:r>
        <w:r>
          <w:rPr>
            <w:color w:val="231F20"/>
          </w:rPr>
          <w:t>2</w:t>
        </w:r>
        <w:r>
          <w:rPr>
            <w:color w:val="231F20"/>
            <w:w w:val="56"/>
          </w:rPr>
          <w:t>/</w:t>
        </w:r>
        <w:r>
          <w:rPr>
            <w:color w:val="231F20"/>
            <w:w w:val="101"/>
          </w:rPr>
          <w:t>bi</w:t>
        </w:r>
        <w:r>
          <w:rPr>
            <w:color w:val="231F20"/>
            <w:w w:val="95"/>
          </w:rPr>
          <w:t>el</w:t>
        </w:r>
        <w:r>
          <w:rPr>
            <w:color w:val="231F20"/>
            <w:w w:val="101"/>
          </w:rPr>
          <w:t>b</w:t>
        </w:r>
        <w:r>
          <w:rPr>
            <w:color w:val="231F20"/>
            <w:w w:val="99"/>
          </w:rPr>
          <w:t>y</w:t>
        </w:r>
        <w:r>
          <w:rPr>
            <w:color w:val="231F20"/>
            <w:w w:val="135"/>
          </w:rPr>
          <w:t>.</w:t>
        </w:r>
        <w:r>
          <w:rPr>
            <w:color w:val="231F20"/>
          </w:rPr>
          <w:t>h</w:t>
        </w:r>
        <w:r>
          <w:rPr>
            <w:color w:val="231F20"/>
            <w:w w:val="98"/>
          </w:rPr>
          <w:t>t</w:t>
        </w:r>
        <w:r>
          <w:rPr>
            <w:color w:val="231F20"/>
            <w:w w:val="99"/>
          </w:rPr>
          <w:t>m</w:t>
        </w:r>
        <w:r>
          <w:rPr>
            <w:color w:val="231F20"/>
            <w:w w:val="102"/>
          </w:rPr>
          <w:t>l</w:t>
        </w:r>
        <w:r>
          <w:rPr>
            <w:color w:val="231F20"/>
            <w:w w:val="135"/>
          </w:rPr>
          <w:t>.</w:t>
        </w:r>
      </w:hyperlink>
    </w:p>
    <w:p w14:paraId="52FA20A1" w14:textId="77777777" w:rsidR="002653E8" w:rsidRPr="00846956" w:rsidRDefault="003115E3">
      <w:pPr>
        <w:pStyle w:val="a3"/>
        <w:spacing w:before="163" w:line="244" w:lineRule="auto"/>
        <w:ind w:left="2281" w:right="1580" w:hanging="1134"/>
        <w:rPr>
          <w:lang w:val="de-DE"/>
        </w:rPr>
      </w:pPr>
      <w:r w:rsidRPr="00846956">
        <w:rPr>
          <w:color w:val="231F20"/>
          <w:lang w:val="de-DE"/>
        </w:rPr>
        <w:t>Datenbank des deutschsprachigen Anarchismus. “Agit 883 (Datenbank des deutschsprachigen Anarchismus: Periodika).”</w:t>
      </w:r>
    </w:p>
    <w:p w14:paraId="60C296CE" w14:textId="77777777" w:rsidR="002653E8" w:rsidRPr="00846956" w:rsidRDefault="00000000">
      <w:pPr>
        <w:pStyle w:val="a3"/>
        <w:spacing w:before="3"/>
        <w:ind w:left="2281"/>
        <w:rPr>
          <w:lang w:val="de-DE"/>
        </w:rPr>
      </w:pPr>
      <w:hyperlink r:id="rId575">
        <w:r w:rsidR="003115E3" w:rsidRPr="00846956">
          <w:rPr>
            <w:color w:val="231F20"/>
            <w:spacing w:val="-2"/>
            <w:lang w:val="de-DE"/>
          </w:rPr>
          <w:t>h</w:t>
        </w:r>
        <w:r w:rsidR="003115E3" w:rsidRPr="00846956">
          <w:rPr>
            <w:color w:val="231F20"/>
            <w:spacing w:val="5"/>
            <w:w w:val="98"/>
            <w:lang w:val="de-DE"/>
          </w:rPr>
          <w:t>t</w:t>
        </w:r>
        <w:r w:rsidR="003115E3" w:rsidRPr="00846956">
          <w:rPr>
            <w:color w:val="231F20"/>
            <w:spacing w:val="3"/>
            <w:w w:val="98"/>
            <w:lang w:val="de-DE"/>
          </w:rPr>
          <w:t>t</w:t>
        </w:r>
        <w:r w:rsidR="003115E3" w:rsidRPr="00846956">
          <w:rPr>
            <w:color w:val="231F20"/>
            <w:spacing w:val="-1"/>
            <w:w w:val="99"/>
            <w:lang w:val="de-DE"/>
          </w:rPr>
          <w:t>p</w:t>
        </w:r>
        <w:r w:rsidR="003115E3" w:rsidRPr="00846956">
          <w:rPr>
            <w:color w:val="231F20"/>
            <w:spacing w:val="5"/>
            <w:w w:val="105"/>
            <w:lang w:val="de-DE"/>
          </w:rPr>
          <w:t>:</w:t>
        </w:r>
        <w:r w:rsidR="003115E3" w:rsidRPr="00846956">
          <w:rPr>
            <w:color w:val="231F20"/>
            <w:spacing w:val="-3"/>
            <w:w w:val="56"/>
            <w:lang w:val="de-DE"/>
          </w:rPr>
          <w:t>/</w:t>
        </w:r>
        <w:r w:rsidR="003115E3" w:rsidRPr="00846956">
          <w:rPr>
            <w:color w:val="231F20"/>
            <w:spacing w:val="-1"/>
            <w:w w:val="56"/>
            <w:lang w:val="de-DE"/>
          </w:rPr>
          <w:t>/</w:t>
        </w:r>
        <w:r w:rsidR="003115E3" w:rsidRPr="00846956">
          <w:rPr>
            <w:color w:val="231F20"/>
            <w:spacing w:val="-1"/>
            <w:w w:val="99"/>
            <w:lang w:val="de-DE"/>
          </w:rPr>
          <w:t>p</w:t>
        </w:r>
        <w:r w:rsidR="003115E3" w:rsidRPr="00846956">
          <w:rPr>
            <w:color w:val="231F20"/>
            <w:spacing w:val="-2"/>
            <w:w w:val="94"/>
            <w:lang w:val="de-DE"/>
          </w:rPr>
          <w:t>r</w:t>
        </w:r>
        <w:r w:rsidR="003115E3" w:rsidRPr="00846956">
          <w:rPr>
            <w:color w:val="231F20"/>
            <w:spacing w:val="-2"/>
            <w:w w:val="104"/>
            <w:lang w:val="de-DE"/>
          </w:rPr>
          <w:t>o</w:t>
        </w:r>
        <w:r w:rsidR="003115E3" w:rsidRPr="00846956">
          <w:rPr>
            <w:color w:val="231F20"/>
            <w:spacing w:val="-1"/>
            <w:w w:val="104"/>
            <w:lang w:val="de-DE"/>
          </w:rPr>
          <w:t>j</w:t>
        </w:r>
        <w:r w:rsidR="003115E3" w:rsidRPr="00846956">
          <w:rPr>
            <w:color w:val="231F20"/>
            <w:spacing w:val="-1"/>
            <w:w w:val="91"/>
            <w:lang w:val="de-DE"/>
          </w:rPr>
          <w:t>e</w:t>
        </w:r>
        <w:r w:rsidR="003115E3" w:rsidRPr="00846956">
          <w:rPr>
            <w:color w:val="231F20"/>
            <w:spacing w:val="1"/>
            <w:w w:val="103"/>
            <w:lang w:val="de-DE"/>
          </w:rPr>
          <w:t>k</w:t>
        </w:r>
        <w:r w:rsidR="003115E3" w:rsidRPr="00846956">
          <w:rPr>
            <w:color w:val="231F20"/>
            <w:w w:val="103"/>
            <w:lang w:val="de-DE"/>
          </w:rPr>
          <w:t>t</w:t>
        </w:r>
        <w:r w:rsidR="003115E3" w:rsidRPr="00846956">
          <w:rPr>
            <w:color w:val="231F20"/>
            <w:w w:val="91"/>
            <w:lang w:val="de-DE"/>
          </w:rPr>
          <w:t>e</w:t>
        </w:r>
        <w:r w:rsidR="003115E3" w:rsidRPr="00846956">
          <w:rPr>
            <w:color w:val="231F20"/>
            <w:w w:val="135"/>
            <w:lang w:val="de-DE"/>
          </w:rPr>
          <w:t>.</w:t>
        </w:r>
        <w:r w:rsidR="003115E3" w:rsidRPr="00846956">
          <w:rPr>
            <w:color w:val="231F20"/>
            <w:spacing w:val="2"/>
            <w:w w:val="109"/>
            <w:lang w:val="de-DE"/>
          </w:rPr>
          <w:t>f</w:t>
        </w:r>
        <w:r w:rsidR="003115E3" w:rsidRPr="00846956">
          <w:rPr>
            <w:color w:val="231F20"/>
            <w:spacing w:val="-1"/>
            <w:w w:val="94"/>
            <w:lang w:val="de-DE"/>
          </w:rPr>
          <w:t>r</w:t>
        </w:r>
        <w:r w:rsidR="003115E3" w:rsidRPr="00846956">
          <w:rPr>
            <w:color w:val="231F20"/>
            <w:spacing w:val="1"/>
            <w:w w:val="91"/>
            <w:lang w:val="de-DE"/>
          </w:rPr>
          <w:t>e</w:t>
        </w:r>
        <w:r w:rsidR="003115E3" w:rsidRPr="00846956">
          <w:rPr>
            <w:color w:val="231F20"/>
            <w:w w:val="91"/>
            <w:lang w:val="de-DE"/>
          </w:rPr>
          <w:t>e</w:t>
        </w:r>
        <w:r w:rsidR="003115E3" w:rsidRPr="00846956">
          <w:rPr>
            <w:color w:val="231F20"/>
            <w:w w:val="135"/>
            <w:lang w:val="de-DE"/>
          </w:rPr>
          <w:t>.</w:t>
        </w:r>
        <w:r w:rsidR="003115E3" w:rsidRPr="00846956">
          <w:rPr>
            <w:color w:val="231F20"/>
            <w:lang w:val="de-DE"/>
          </w:rPr>
          <w:t>d</w:t>
        </w:r>
        <w:r w:rsidR="003115E3" w:rsidRPr="00846956">
          <w:rPr>
            <w:color w:val="231F20"/>
            <w:spacing w:val="5"/>
            <w:w w:val="91"/>
            <w:lang w:val="de-DE"/>
          </w:rPr>
          <w:t>e</w:t>
        </w:r>
        <w:r w:rsidR="003115E3" w:rsidRPr="00846956">
          <w:rPr>
            <w:color w:val="231F20"/>
            <w:spacing w:val="-5"/>
            <w:w w:val="56"/>
            <w:lang w:val="de-DE"/>
          </w:rPr>
          <w:t>/</w:t>
        </w:r>
        <w:r w:rsidR="003115E3" w:rsidRPr="00846956">
          <w:rPr>
            <w:color w:val="231F20"/>
            <w:spacing w:val="1"/>
            <w:w w:val="101"/>
            <w:lang w:val="de-DE"/>
          </w:rPr>
          <w:t>d</w:t>
        </w:r>
        <w:r w:rsidR="003115E3" w:rsidRPr="00846956">
          <w:rPr>
            <w:color w:val="231F20"/>
            <w:spacing w:val="-2"/>
            <w:w w:val="101"/>
            <w:lang w:val="de-DE"/>
          </w:rPr>
          <w:t>a</w:t>
        </w:r>
        <w:r w:rsidR="003115E3" w:rsidRPr="00846956">
          <w:rPr>
            <w:color w:val="231F20"/>
            <w:spacing w:val="1"/>
            <w:w w:val="101"/>
            <w:lang w:val="de-DE"/>
          </w:rPr>
          <w:t>d</w:t>
        </w:r>
        <w:r w:rsidR="003115E3" w:rsidRPr="00846956">
          <w:rPr>
            <w:color w:val="231F20"/>
            <w:spacing w:val="7"/>
            <w:w w:val="101"/>
            <w:lang w:val="de-DE"/>
          </w:rPr>
          <w:t>a</w:t>
        </w:r>
        <w:r w:rsidR="003115E3" w:rsidRPr="00846956">
          <w:rPr>
            <w:color w:val="231F20"/>
            <w:spacing w:val="-5"/>
            <w:w w:val="56"/>
            <w:lang w:val="de-DE"/>
          </w:rPr>
          <w:t>/</w:t>
        </w:r>
        <w:r w:rsidR="003115E3" w:rsidRPr="00846956">
          <w:rPr>
            <w:color w:val="231F20"/>
            <w:spacing w:val="1"/>
            <w:w w:val="101"/>
            <w:lang w:val="de-DE"/>
          </w:rPr>
          <w:t>d</w:t>
        </w:r>
        <w:r w:rsidR="003115E3" w:rsidRPr="00846956">
          <w:rPr>
            <w:color w:val="231F20"/>
            <w:spacing w:val="-2"/>
            <w:w w:val="101"/>
            <w:lang w:val="de-DE"/>
          </w:rPr>
          <w:t>a</w:t>
        </w:r>
        <w:r w:rsidR="003115E3" w:rsidRPr="00846956">
          <w:rPr>
            <w:color w:val="231F20"/>
            <w:spacing w:val="1"/>
            <w:w w:val="101"/>
            <w:lang w:val="de-DE"/>
          </w:rPr>
          <w:t>d</w:t>
        </w:r>
        <w:r w:rsidR="003115E3" w:rsidRPr="00846956">
          <w:rPr>
            <w:color w:val="231F20"/>
            <w:spacing w:val="-2"/>
            <w:w w:val="101"/>
            <w:lang w:val="de-DE"/>
          </w:rPr>
          <w:t>a</w:t>
        </w:r>
        <w:r w:rsidR="003115E3" w:rsidRPr="00846956">
          <w:rPr>
            <w:color w:val="231F20"/>
            <w:lang w:val="de-DE"/>
          </w:rPr>
          <w:t>-</w:t>
        </w:r>
        <w:r w:rsidR="003115E3" w:rsidRPr="00846956">
          <w:rPr>
            <w:color w:val="231F20"/>
            <w:spacing w:val="2"/>
            <w:w w:val="99"/>
            <w:lang w:val="de-DE"/>
          </w:rPr>
          <w:t>p</w:t>
        </w:r>
        <w:r w:rsidR="003115E3" w:rsidRPr="00846956">
          <w:rPr>
            <w:color w:val="231F20"/>
            <w:spacing w:val="10"/>
            <w:w w:val="56"/>
            <w:lang w:val="de-DE"/>
          </w:rPr>
          <w:t>/</w:t>
        </w:r>
        <w:r w:rsidR="003115E3" w:rsidRPr="00846956">
          <w:rPr>
            <w:color w:val="231F20"/>
            <w:spacing w:val="-2"/>
            <w:w w:val="97"/>
            <w:lang w:val="de-DE"/>
          </w:rPr>
          <w:t>P</w:t>
        </w:r>
        <w:r w:rsidR="003115E3" w:rsidRPr="00846956">
          <w:rPr>
            <w:color w:val="231F20"/>
            <w:spacing w:val="5"/>
            <w:lang w:val="de-DE"/>
          </w:rPr>
          <w:t>000</w:t>
        </w:r>
        <w:r w:rsidR="003115E3" w:rsidRPr="00846956">
          <w:rPr>
            <w:color w:val="231F20"/>
            <w:spacing w:val="1"/>
            <w:lang w:val="de-DE"/>
          </w:rPr>
          <w:t>0</w:t>
        </w:r>
        <w:r w:rsidR="003115E3" w:rsidRPr="00846956">
          <w:rPr>
            <w:color w:val="231F20"/>
            <w:spacing w:val="-4"/>
            <w:lang w:val="de-DE"/>
          </w:rPr>
          <w:t>92</w:t>
        </w:r>
        <w:r w:rsidR="003115E3" w:rsidRPr="00846956">
          <w:rPr>
            <w:color w:val="231F20"/>
            <w:spacing w:val="-5"/>
            <w:lang w:val="de-DE"/>
          </w:rPr>
          <w:t>1</w:t>
        </w:r>
        <w:r w:rsidR="003115E3" w:rsidRPr="00846956">
          <w:rPr>
            <w:color w:val="231F20"/>
            <w:spacing w:val="5"/>
            <w:w w:val="135"/>
            <w:lang w:val="de-DE"/>
          </w:rPr>
          <w:t>.</w:t>
        </w:r>
        <w:r w:rsidR="003115E3" w:rsidRPr="00846956">
          <w:rPr>
            <w:color w:val="231F20"/>
            <w:spacing w:val="7"/>
            <w:w w:val="121"/>
            <w:lang w:val="de-DE"/>
          </w:rPr>
          <w:t>H</w:t>
        </w:r>
        <w:r w:rsidR="003115E3" w:rsidRPr="00846956">
          <w:rPr>
            <w:color w:val="231F20"/>
            <w:spacing w:val="5"/>
            <w:w w:val="118"/>
            <w:lang w:val="de-DE"/>
          </w:rPr>
          <w:t>T</w:t>
        </w:r>
        <w:r w:rsidR="003115E3" w:rsidRPr="00846956">
          <w:rPr>
            <w:color w:val="231F20"/>
            <w:spacing w:val="3"/>
            <w:w w:val="118"/>
            <w:lang w:val="de-DE"/>
          </w:rPr>
          <w:t>M</w:t>
        </w:r>
        <w:r w:rsidR="003115E3" w:rsidRPr="00846956">
          <w:rPr>
            <w:color w:val="231F20"/>
            <w:w w:val="135"/>
            <w:lang w:val="de-DE"/>
          </w:rPr>
          <w:t>.</w:t>
        </w:r>
      </w:hyperlink>
    </w:p>
    <w:p w14:paraId="24204045" w14:textId="77777777" w:rsidR="002653E8" w:rsidRPr="00846956" w:rsidRDefault="003115E3">
      <w:pPr>
        <w:pStyle w:val="a3"/>
        <w:spacing w:before="165" w:line="244" w:lineRule="auto"/>
        <w:ind w:left="2281" w:right="1335" w:hanging="1134"/>
        <w:rPr>
          <w:lang w:val="de-DE"/>
        </w:rPr>
      </w:pPr>
      <w:r w:rsidRPr="00846956">
        <w:rPr>
          <w:color w:val="231F20"/>
          <w:w w:val="105"/>
          <w:lang w:val="de-DE"/>
        </w:rPr>
        <w:t xml:space="preserve">Elter, Andreas. “Die </w:t>
      </w:r>
      <w:r w:rsidR="00C507A5" w:rsidRPr="00846956">
        <w:rPr>
          <w:color w:val="231F20"/>
          <w:spacing w:val="5"/>
          <w:w w:val="105"/>
          <w:lang w:val="de-DE"/>
        </w:rPr>
        <w:t>red army faction</w:t>
      </w:r>
      <w:r w:rsidRPr="00846956">
        <w:rPr>
          <w:color w:val="231F20"/>
          <w:spacing w:val="5"/>
          <w:w w:val="105"/>
          <w:lang w:val="de-DE"/>
        </w:rPr>
        <w:t xml:space="preserve"> </w:t>
      </w:r>
      <w:r w:rsidRPr="00846956">
        <w:rPr>
          <w:color w:val="231F20"/>
          <w:w w:val="105"/>
          <w:lang w:val="de-DE"/>
        </w:rPr>
        <w:t xml:space="preserve">und die Medien: Ein Fallbeispiel </w:t>
      </w:r>
      <w:r w:rsidRPr="00846956">
        <w:rPr>
          <w:color w:val="231F20"/>
          <w:spacing w:val="1"/>
          <w:w w:val="105"/>
          <w:lang w:val="de-DE"/>
        </w:rPr>
        <w:t xml:space="preserve">für </w:t>
      </w:r>
      <w:r w:rsidRPr="00846956">
        <w:rPr>
          <w:color w:val="231F20"/>
          <w:w w:val="105"/>
          <w:lang w:val="de-DE"/>
        </w:rPr>
        <w:t xml:space="preserve">terroristische Kommunikation, Andreas </w:t>
      </w:r>
      <w:r w:rsidRPr="00846956">
        <w:rPr>
          <w:color w:val="231F20"/>
          <w:spacing w:val="-3"/>
          <w:w w:val="105"/>
          <w:lang w:val="de-DE"/>
        </w:rPr>
        <w:t xml:space="preserve">Elter.” </w:t>
      </w:r>
      <w:r w:rsidRPr="00846956">
        <w:rPr>
          <w:color w:val="231F20"/>
          <w:w w:val="105"/>
          <w:lang w:val="de-DE"/>
        </w:rPr>
        <w:t>Bundeszentrale</w:t>
      </w:r>
      <w:r w:rsidRPr="00846956">
        <w:rPr>
          <w:color w:val="231F20"/>
          <w:spacing w:val="-18"/>
          <w:w w:val="105"/>
          <w:lang w:val="de-DE"/>
        </w:rPr>
        <w:t xml:space="preserve"> </w:t>
      </w:r>
      <w:r w:rsidRPr="00846956">
        <w:rPr>
          <w:color w:val="231F20"/>
          <w:spacing w:val="1"/>
          <w:w w:val="105"/>
          <w:lang w:val="de-DE"/>
        </w:rPr>
        <w:t>für</w:t>
      </w:r>
      <w:r w:rsidRPr="00846956">
        <w:rPr>
          <w:color w:val="231F20"/>
          <w:spacing w:val="-18"/>
          <w:w w:val="105"/>
          <w:lang w:val="de-DE"/>
        </w:rPr>
        <w:t xml:space="preserve"> </w:t>
      </w:r>
      <w:r w:rsidRPr="00846956">
        <w:rPr>
          <w:color w:val="231F20"/>
          <w:w w:val="105"/>
          <w:lang w:val="de-DE"/>
        </w:rPr>
        <w:t>politische</w:t>
      </w:r>
      <w:r w:rsidRPr="00846956">
        <w:rPr>
          <w:color w:val="231F20"/>
          <w:spacing w:val="-18"/>
          <w:w w:val="105"/>
          <w:lang w:val="de-DE"/>
        </w:rPr>
        <w:t xml:space="preserve"> </w:t>
      </w:r>
      <w:r w:rsidRPr="00846956">
        <w:rPr>
          <w:i/>
          <w:color w:val="231F20"/>
          <w:w w:val="105"/>
          <w:lang w:val="de-DE"/>
        </w:rPr>
        <w:t>Bild</w:t>
      </w:r>
      <w:r w:rsidRPr="00846956">
        <w:rPr>
          <w:color w:val="231F20"/>
          <w:w w:val="105"/>
          <w:lang w:val="de-DE"/>
        </w:rPr>
        <w:t>ung</w:t>
      </w:r>
      <w:r w:rsidRPr="00846956">
        <w:rPr>
          <w:color w:val="231F20"/>
          <w:spacing w:val="-18"/>
          <w:w w:val="105"/>
          <w:lang w:val="de-DE"/>
        </w:rPr>
        <w:t xml:space="preserve"> </w:t>
      </w:r>
      <w:r w:rsidRPr="00846956">
        <w:rPr>
          <w:color w:val="231F20"/>
          <w:w w:val="105"/>
          <w:lang w:val="de-DE"/>
        </w:rPr>
        <w:t>(August,</w:t>
      </w:r>
      <w:r w:rsidRPr="00846956">
        <w:rPr>
          <w:color w:val="231F20"/>
          <w:spacing w:val="-18"/>
          <w:w w:val="105"/>
          <w:lang w:val="de-DE"/>
        </w:rPr>
        <w:t xml:space="preserve"> </w:t>
      </w:r>
      <w:r w:rsidRPr="00846956">
        <w:rPr>
          <w:color w:val="231F20"/>
          <w:w w:val="105"/>
          <w:lang w:val="de-DE"/>
        </w:rPr>
        <w:t>20,</w:t>
      </w:r>
      <w:r w:rsidRPr="00846956">
        <w:rPr>
          <w:color w:val="231F20"/>
          <w:spacing w:val="-18"/>
          <w:w w:val="105"/>
          <w:lang w:val="de-DE"/>
        </w:rPr>
        <w:t xml:space="preserve"> </w:t>
      </w:r>
      <w:r w:rsidRPr="00846956">
        <w:rPr>
          <w:color w:val="231F20"/>
          <w:spacing w:val="-3"/>
          <w:w w:val="105"/>
          <w:lang w:val="de-DE"/>
        </w:rPr>
        <w:t xml:space="preserve">2007.) </w:t>
      </w:r>
      <w:hyperlink r:id="rId576">
        <w:r w:rsidRPr="00846956">
          <w:rPr>
            <w:color w:val="231F20"/>
            <w:spacing w:val="-2"/>
            <w:w w:val="99"/>
            <w:lang w:val="de-DE"/>
          </w:rPr>
          <w:t>h</w:t>
        </w:r>
        <w:r w:rsidRPr="00846956">
          <w:rPr>
            <w:color w:val="231F20"/>
            <w:spacing w:val="5"/>
            <w:w w:val="99"/>
            <w:lang w:val="de-DE"/>
          </w:rPr>
          <w:t>t</w:t>
        </w:r>
        <w:r w:rsidRPr="00846956">
          <w:rPr>
            <w:color w:val="231F20"/>
            <w:spacing w:val="3"/>
            <w:w w:val="98"/>
            <w:lang w:val="de-DE"/>
          </w:rPr>
          <w:t>t</w:t>
        </w:r>
        <w:r w:rsidRPr="00846956">
          <w:rPr>
            <w:color w:val="231F20"/>
            <w:spacing w:val="-1"/>
            <w:w w:val="99"/>
            <w:lang w:val="de-DE"/>
          </w:rPr>
          <w:t>p</w:t>
        </w:r>
        <w:r w:rsidRPr="00846956">
          <w:rPr>
            <w:color w:val="231F20"/>
            <w:spacing w:val="5"/>
            <w:w w:val="105"/>
            <w:lang w:val="de-DE"/>
          </w:rPr>
          <w:t>:</w:t>
        </w:r>
        <w:r w:rsidRPr="00846956">
          <w:rPr>
            <w:color w:val="231F20"/>
            <w:spacing w:val="-3"/>
            <w:w w:val="56"/>
            <w:lang w:val="de-DE"/>
          </w:rPr>
          <w:t>/</w:t>
        </w:r>
        <w:r w:rsidRPr="00846956">
          <w:rPr>
            <w:color w:val="231F20"/>
            <w:spacing w:val="1"/>
            <w:w w:val="56"/>
            <w:lang w:val="de-DE"/>
          </w:rPr>
          <w:t>/</w:t>
        </w:r>
        <w:r w:rsidRPr="00846956">
          <w:rPr>
            <w:color w:val="231F20"/>
            <w:spacing w:val="6"/>
            <w:lang w:val="de-DE"/>
          </w:rPr>
          <w:t>ww</w:t>
        </w:r>
        <w:r w:rsidRPr="00846956">
          <w:rPr>
            <w:color w:val="231F20"/>
            <w:spacing w:val="-12"/>
            <w:lang w:val="de-DE"/>
          </w:rPr>
          <w:t>w</w:t>
        </w:r>
        <w:r w:rsidRPr="00846956">
          <w:rPr>
            <w:color w:val="231F20"/>
            <w:spacing w:val="-2"/>
            <w:w w:val="135"/>
            <w:lang w:val="de-DE"/>
          </w:rPr>
          <w:t>.</w:t>
        </w:r>
        <w:r w:rsidRPr="00846956">
          <w:rPr>
            <w:color w:val="231F20"/>
            <w:spacing w:val="-2"/>
            <w:w w:val="101"/>
            <w:lang w:val="de-DE"/>
          </w:rPr>
          <w:t>b</w:t>
        </w:r>
        <w:r w:rsidRPr="00846956">
          <w:rPr>
            <w:color w:val="231F20"/>
            <w:spacing w:val="-2"/>
            <w:lang w:val="de-DE"/>
          </w:rPr>
          <w:t>p</w:t>
        </w:r>
        <w:r w:rsidRPr="00846956">
          <w:rPr>
            <w:color w:val="231F20"/>
            <w:spacing w:val="-3"/>
            <w:lang w:val="de-DE"/>
          </w:rPr>
          <w:t>b</w:t>
        </w:r>
        <w:r w:rsidRPr="00846956">
          <w:rPr>
            <w:color w:val="231F20"/>
            <w:w w:val="135"/>
            <w:lang w:val="de-DE"/>
          </w:rPr>
          <w:t>.</w:t>
        </w:r>
        <w:r w:rsidRPr="00846956">
          <w:rPr>
            <w:color w:val="231F20"/>
            <w:lang w:val="de-DE"/>
          </w:rPr>
          <w:t>d</w:t>
        </w:r>
        <w:r w:rsidRPr="00846956">
          <w:rPr>
            <w:color w:val="231F20"/>
            <w:spacing w:val="5"/>
            <w:w w:val="91"/>
            <w:lang w:val="de-DE"/>
          </w:rPr>
          <w:t>e</w:t>
        </w:r>
        <w:r w:rsidRPr="00846956">
          <w:rPr>
            <w:color w:val="231F20"/>
            <w:w w:val="56"/>
            <w:lang w:val="de-DE"/>
          </w:rPr>
          <w:t>/</w:t>
        </w:r>
        <w:r w:rsidRPr="00846956">
          <w:rPr>
            <w:color w:val="231F20"/>
            <w:spacing w:val="2"/>
            <w:w w:val="98"/>
            <w:lang w:val="de-DE"/>
          </w:rPr>
          <w:t>t</w:t>
        </w:r>
        <w:r w:rsidRPr="00846956">
          <w:rPr>
            <w:color w:val="231F20"/>
            <w:spacing w:val="-1"/>
            <w:lang w:val="de-DE"/>
          </w:rPr>
          <w:t>h</w:t>
        </w:r>
        <w:r w:rsidRPr="00846956">
          <w:rPr>
            <w:color w:val="231F20"/>
            <w:w w:val="91"/>
            <w:lang w:val="de-DE"/>
          </w:rPr>
          <w:t>e</w:t>
        </w:r>
        <w:r w:rsidRPr="00846956">
          <w:rPr>
            <w:color w:val="231F20"/>
            <w:w w:val="99"/>
            <w:lang w:val="de-DE"/>
          </w:rPr>
          <w:t>m</w:t>
        </w:r>
        <w:r w:rsidRPr="00846956">
          <w:rPr>
            <w:color w:val="231F20"/>
            <w:w w:val="91"/>
            <w:lang w:val="de-DE"/>
          </w:rPr>
          <w:t>e</w:t>
        </w:r>
        <w:r w:rsidRPr="00846956">
          <w:rPr>
            <w:color w:val="231F20"/>
            <w:spacing w:val="8"/>
            <w:w w:val="99"/>
            <w:lang w:val="de-DE"/>
          </w:rPr>
          <w:t>n</w:t>
        </w:r>
        <w:r w:rsidRPr="00846956">
          <w:rPr>
            <w:color w:val="231F20"/>
            <w:spacing w:val="10"/>
            <w:w w:val="56"/>
            <w:lang w:val="de-DE"/>
          </w:rPr>
          <w:t>/</w:t>
        </w:r>
        <w:r w:rsidRPr="00846956">
          <w:rPr>
            <w:color w:val="231F20"/>
            <w:spacing w:val="6"/>
            <w:w w:val="160"/>
            <w:lang w:val="de-DE"/>
          </w:rPr>
          <w:t>x</w:t>
        </w:r>
        <w:r w:rsidRPr="00846956">
          <w:rPr>
            <w:color w:val="231F20"/>
            <w:spacing w:val="7"/>
            <w:w w:val="122"/>
            <w:lang w:val="de-DE"/>
          </w:rPr>
          <w:t>N</w:t>
        </w:r>
        <w:r w:rsidRPr="00846956">
          <w:rPr>
            <w:color w:val="231F20"/>
            <w:w w:val="97"/>
            <w:lang w:val="de-DE"/>
          </w:rPr>
          <w:t>P</w:t>
        </w:r>
        <w:r w:rsidRPr="00846956">
          <w:rPr>
            <w:color w:val="231F20"/>
            <w:spacing w:val="-7"/>
            <w:lang w:val="de-DE"/>
          </w:rPr>
          <w:t>7</w:t>
        </w:r>
        <w:r w:rsidRPr="00846956">
          <w:rPr>
            <w:color w:val="231F20"/>
            <w:w w:val="130"/>
            <w:lang w:val="de-DE"/>
          </w:rPr>
          <w:t>Z</w:t>
        </w:r>
        <w:r w:rsidRPr="00846956">
          <w:rPr>
            <w:color w:val="231F20"/>
            <w:spacing w:val="5"/>
            <w:w w:val="130"/>
            <w:lang w:val="de-DE"/>
          </w:rPr>
          <w:t>G</w:t>
        </w:r>
        <w:r w:rsidRPr="00846956">
          <w:rPr>
            <w:color w:val="231F20"/>
            <w:spacing w:val="-1"/>
            <w:w w:val="135"/>
            <w:lang w:val="de-DE"/>
          </w:rPr>
          <w:t>,</w:t>
        </w:r>
        <w:r w:rsidRPr="00846956">
          <w:rPr>
            <w:color w:val="231F20"/>
            <w:lang w:val="de-DE"/>
          </w:rPr>
          <w:t>0</w:t>
        </w:r>
        <w:r w:rsidRPr="00846956">
          <w:rPr>
            <w:color w:val="231F20"/>
            <w:spacing w:val="-1"/>
            <w:w w:val="135"/>
            <w:lang w:val="de-DE"/>
          </w:rPr>
          <w:t>,</w:t>
        </w:r>
        <w:r w:rsidRPr="00846956">
          <w:rPr>
            <w:color w:val="231F20"/>
            <w:lang w:val="de-DE"/>
          </w:rPr>
          <w:t>0</w:t>
        </w:r>
        <w:r w:rsidRPr="00846956">
          <w:rPr>
            <w:color w:val="231F20"/>
            <w:spacing w:val="5"/>
            <w:w w:val="135"/>
            <w:lang w:val="de-DE"/>
          </w:rPr>
          <w:t>,</w:t>
        </w:r>
        <w:r w:rsidRPr="00846956">
          <w:rPr>
            <w:color w:val="231F20"/>
            <w:w w:val="117"/>
            <w:lang w:val="de-DE"/>
          </w:rPr>
          <w:t>D</w:t>
        </w:r>
        <w:r w:rsidRPr="00846956">
          <w:rPr>
            <w:color w:val="231F20"/>
            <w:spacing w:val="-1"/>
            <w:w w:val="94"/>
            <w:lang w:val="de-DE"/>
          </w:rPr>
          <w:t>i</w:t>
        </w:r>
        <w:r w:rsidRPr="00846956">
          <w:rPr>
            <w:color w:val="231F20"/>
            <w:spacing w:val="5"/>
            <w:w w:val="94"/>
            <w:lang w:val="de-DE"/>
          </w:rPr>
          <w:t>e</w:t>
        </w:r>
        <w:r w:rsidRPr="00846956">
          <w:rPr>
            <w:color w:val="231F20"/>
            <w:spacing w:val="10"/>
            <w:w w:val="134"/>
            <w:lang w:val="de-DE"/>
          </w:rPr>
          <w:t>_</w:t>
        </w:r>
        <w:r w:rsidR="00C507A5" w:rsidRPr="00846956">
          <w:rPr>
            <w:color w:val="231F20"/>
            <w:spacing w:val="8"/>
            <w:w w:val="116"/>
            <w:lang w:val="de-DE"/>
          </w:rPr>
          <w:t>red army faction</w:t>
        </w:r>
        <w:r w:rsidRPr="00846956">
          <w:rPr>
            <w:color w:val="231F20"/>
            <w:w w:val="134"/>
            <w:lang w:val="de-DE"/>
          </w:rPr>
          <w:t>_</w:t>
        </w:r>
      </w:hyperlink>
      <w:r w:rsidRPr="00846956">
        <w:rPr>
          <w:color w:val="231F20"/>
          <w:w w:val="134"/>
          <w:lang w:val="de-DE"/>
        </w:rPr>
        <w:t xml:space="preserve"> </w:t>
      </w:r>
      <w:r w:rsidRPr="00846956">
        <w:rPr>
          <w:color w:val="231F20"/>
          <w:w w:val="105"/>
          <w:lang w:val="de-DE"/>
        </w:rPr>
        <w:t>und_die_Medien.html.</w:t>
      </w:r>
    </w:p>
    <w:p w14:paraId="044E4BF8" w14:textId="77777777" w:rsidR="002653E8" w:rsidRPr="00846956" w:rsidRDefault="002653E8">
      <w:pPr>
        <w:spacing w:line="244" w:lineRule="auto"/>
        <w:rPr>
          <w:lang w:val="de-DE"/>
        </w:rPr>
        <w:sectPr w:rsidR="002653E8" w:rsidRPr="00846956">
          <w:pgSz w:w="8640" w:h="12960"/>
          <w:pgMar w:top="1060" w:right="0" w:bottom="1040" w:left="0" w:header="0" w:footer="850" w:gutter="0"/>
          <w:cols w:space="720"/>
        </w:sectPr>
      </w:pPr>
    </w:p>
    <w:p w14:paraId="4AC525B6" w14:textId="77777777" w:rsidR="002653E8" w:rsidRDefault="003115E3">
      <w:pPr>
        <w:pStyle w:val="a3"/>
        <w:spacing w:before="70" w:line="244" w:lineRule="auto"/>
        <w:ind w:left="2461" w:right="1493" w:hanging="1134"/>
      </w:pPr>
      <w:r w:rsidRPr="00846956">
        <w:rPr>
          <w:color w:val="231F20"/>
          <w:w w:val="105"/>
          <w:lang w:val="de-DE"/>
        </w:rPr>
        <w:lastRenderedPageBreak/>
        <w:t xml:space="preserve">Frank Bärmann, Frank. “Nachruf auf Rolf Pohle.” Freie Arbeiterinnenund Arbeiter-Union (March 8, 2004.) </w:t>
      </w:r>
      <w:hyperlink r:id="rId577">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r>
          <w:rPr>
            <w:color w:val="231F20"/>
            <w:w w:val="109"/>
          </w:rPr>
          <w:t>f</w:t>
        </w:r>
        <w:r>
          <w:rPr>
            <w:color w:val="231F20"/>
            <w:w w:val="102"/>
          </w:rPr>
          <w:t>a</w:t>
        </w:r>
        <w:r>
          <w:rPr>
            <w:color w:val="231F20"/>
          </w:rPr>
          <w:t>u</w:t>
        </w:r>
        <w:r>
          <w:rPr>
            <w:color w:val="231F20"/>
            <w:w w:val="135"/>
          </w:rPr>
          <w:t>.</w:t>
        </w:r>
        <w:r>
          <w:rPr>
            <w:color w:val="231F20"/>
            <w:w w:val="104"/>
          </w:rPr>
          <w:t>o</w:t>
        </w:r>
        <w:r>
          <w:rPr>
            <w:color w:val="231F20"/>
            <w:w w:val="94"/>
          </w:rPr>
          <w:t>r</w:t>
        </w:r>
        <w:r>
          <w:rPr>
            <w:color w:val="231F20"/>
            <w:w w:val="101"/>
          </w:rPr>
          <w:t>g</w:t>
        </w:r>
        <w:r>
          <w:rPr>
            <w:color w:val="231F20"/>
            <w:w w:val="79"/>
          </w:rPr>
          <w:t>/a</w:t>
        </w:r>
        <w:r>
          <w:rPr>
            <w:color w:val="231F20"/>
            <w:w w:val="94"/>
          </w:rPr>
          <w:t>r</w:t>
        </w:r>
        <w:r>
          <w:rPr>
            <w:color w:val="231F20"/>
            <w:w w:val="98"/>
          </w:rPr>
          <w:t>t</w:t>
        </w:r>
        <w:r>
          <w:rPr>
            <w:color w:val="231F20"/>
          </w:rPr>
          <w:t>i</w:t>
        </w:r>
        <w:r>
          <w:rPr>
            <w:color w:val="231F20"/>
            <w:w w:val="106"/>
          </w:rPr>
          <w:t>k</w:t>
        </w:r>
        <w:r>
          <w:rPr>
            <w:color w:val="231F20"/>
            <w:w w:val="91"/>
          </w:rPr>
          <w:t>e</w:t>
        </w:r>
        <w:r>
          <w:rPr>
            <w:color w:val="231F20"/>
            <w:w w:val="102"/>
          </w:rPr>
          <w:t>l</w:t>
        </w:r>
        <w:r>
          <w:rPr>
            <w:color w:val="231F20"/>
            <w:w w:val="79"/>
          </w:rPr>
          <w:t>/a</w:t>
        </w:r>
        <w:r>
          <w:rPr>
            <w:color w:val="231F20"/>
            <w:w w:val="94"/>
          </w:rPr>
          <w:t>r</w:t>
        </w:r>
        <w:r>
          <w:rPr>
            <w:color w:val="231F20"/>
            <w:w w:val="98"/>
          </w:rPr>
          <w:t>t</w:t>
        </w:r>
        <w:r>
          <w:rPr>
            <w:color w:val="231F20"/>
            <w:w w:val="134"/>
          </w:rPr>
          <w:t>_</w:t>
        </w:r>
        <w:r>
          <w:rPr>
            <w:color w:val="231F20"/>
          </w:rPr>
          <w:t>040308-182546</w:t>
        </w:r>
        <w:r>
          <w:rPr>
            <w:color w:val="231F20"/>
            <w:w w:val="135"/>
          </w:rPr>
          <w:t>.</w:t>
        </w:r>
      </w:hyperlink>
    </w:p>
    <w:p w14:paraId="08448EF0" w14:textId="77777777" w:rsidR="002653E8" w:rsidRPr="00846956" w:rsidRDefault="003115E3">
      <w:pPr>
        <w:pStyle w:val="a3"/>
        <w:spacing w:before="162" w:line="244" w:lineRule="auto"/>
        <w:ind w:left="2461" w:right="1437" w:hanging="1134"/>
        <w:rPr>
          <w:lang w:val="de-DE"/>
        </w:rPr>
      </w:pPr>
      <w:r>
        <w:rPr>
          <w:color w:val="231F20"/>
          <w:w w:val="105"/>
        </w:rPr>
        <w:t xml:space="preserve">George Jackson Brigade, “you Can Kill a Revolutionary But you Can’t Kill the Revolution.” </w:t>
      </w:r>
      <w:r w:rsidRPr="00846956">
        <w:rPr>
          <w:color w:val="231F20"/>
          <w:w w:val="105"/>
          <w:lang w:val="de-DE"/>
        </w:rPr>
        <w:t xml:space="preserve">November 1, 1977. http:// </w:t>
      </w:r>
      <w:hyperlink r:id="rId578">
        <w:r w:rsidRPr="00846956">
          <w:rPr>
            <w:color w:val="231F20"/>
            <w:lang w:val="de-DE"/>
          </w:rPr>
          <w:t>www</w:t>
        </w:r>
        <w:r w:rsidRPr="00846956">
          <w:rPr>
            <w:color w:val="231F20"/>
            <w:w w:val="135"/>
            <w:lang w:val="de-DE"/>
          </w:rPr>
          <w:t>.</w:t>
        </w:r>
        <w:r w:rsidRPr="00846956">
          <w:rPr>
            <w:color w:val="231F20"/>
            <w:w w:val="101"/>
            <w:lang w:val="de-DE"/>
          </w:rPr>
          <w:t>g</w:t>
        </w:r>
        <w:r w:rsidRPr="00846956">
          <w:rPr>
            <w:color w:val="231F20"/>
            <w:w w:val="104"/>
            <w:lang w:val="de-DE"/>
          </w:rPr>
          <w:t>j</w:t>
        </w:r>
        <w:r w:rsidRPr="00846956">
          <w:rPr>
            <w:color w:val="231F20"/>
            <w:w w:val="101"/>
            <w:lang w:val="de-DE"/>
          </w:rPr>
          <w:t>b</w:t>
        </w:r>
        <w:r w:rsidRPr="00846956">
          <w:rPr>
            <w:color w:val="231F20"/>
            <w:lang w:val="de-DE"/>
          </w:rPr>
          <w:t>i</w:t>
        </w:r>
        <w:r w:rsidRPr="00846956">
          <w:rPr>
            <w:color w:val="231F20"/>
            <w:w w:val="99"/>
            <w:lang w:val="de-DE"/>
          </w:rPr>
          <w:t>p</w:t>
        </w:r>
        <w:r w:rsidRPr="00846956">
          <w:rPr>
            <w:color w:val="231F20"/>
            <w:w w:val="135"/>
            <w:lang w:val="de-DE"/>
          </w:rPr>
          <w:t>.</w:t>
        </w:r>
        <w:r w:rsidRPr="00846956">
          <w:rPr>
            <w:color w:val="231F20"/>
            <w:lang w:val="de-DE"/>
          </w:rPr>
          <w:t>or</w:t>
        </w:r>
        <w:r w:rsidRPr="00846956">
          <w:rPr>
            <w:color w:val="231F20"/>
            <w:w w:val="101"/>
            <w:lang w:val="de-DE"/>
          </w:rPr>
          <w:t>g</w:t>
        </w:r>
        <w:r w:rsidRPr="00846956">
          <w:rPr>
            <w:color w:val="231F20"/>
            <w:w w:val="56"/>
            <w:lang w:val="de-DE"/>
          </w:rPr>
          <w:t>/</w:t>
        </w:r>
        <w:r w:rsidRPr="00846956">
          <w:rPr>
            <w:color w:val="231F20"/>
            <w:lang w:val="de-DE"/>
          </w:rPr>
          <w:t>c</w:t>
        </w:r>
        <w:r w:rsidRPr="00846956">
          <w:rPr>
            <w:color w:val="231F20"/>
            <w:w w:val="101"/>
            <w:lang w:val="de-DE"/>
          </w:rPr>
          <w:t>om</w:t>
        </w:r>
        <w:r w:rsidRPr="00846956">
          <w:rPr>
            <w:color w:val="231F20"/>
            <w:w w:val="99"/>
            <w:lang w:val="de-DE"/>
          </w:rPr>
          <w:t>m</w:t>
        </w:r>
        <w:r w:rsidRPr="00846956">
          <w:rPr>
            <w:color w:val="231F20"/>
            <w:w w:val="134"/>
            <w:lang w:val="de-DE"/>
          </w:rPr>
          <w:t>_</w:t>
        </w:r>
        <w:r w:rsidRPr="00846956">
          <w:rPr>
            <w:color w:val="231F20"/>
            <w:w w:val="98"/>
            <w:lang w:val="de-DE"/>
          </w:rPr>
          <w:t>t</w:t>
        </w:r>
        <w:r w:rsidRPr="00846956">
          <w:rPr>
            <w:color w:val="231F20"/>
            <w:w w:val="91"/>
            <w:lang w:val="de-DE"/>
          </w:rPr>
          <w:t>ee</w:t>
        </w:r>
        <w:r w:rsidRPr="00846956">
          <w:rPr>
            <w:color w:val="231F20"/>
            <w:w w:val="98"/>
            <w:lang w:val="de-DE"/>
          </w:rPr>
          <w:t>t</w:t>
        </w:r>
        <w:r w:rsidRPr="00846956">
          <w:rPr>
            <w:color w:val="231F20"/>
            <w:lang w:val="de-DE"/>
          </w:rPr>
          <w:t>h</w:t>
        </w:r>
        <w:r w:rsidRPr="00846956">
          <w:rPr>
            <w:color w:val="231F20"/>
            <w:w w:val="135"/>
            <w:lang w:val="de-DE"/>
          </w:rPr>
          <w:t>.</w:t>
        </w:r>
        <w:r w:rsidRPr="00846956">
          <w:rPr>
            <w:color w:val="231F20"/>
            <w:lang w:val="de-DE"/>
          </w:rPr>
          <w:t>h</w:t>
        </w:r>
        <w:r w:rsidRPr="00846956">
          <w:rPr>
            <w:color w:val="231F20"/>
            <w:w w:val="98"/>
            <w:lang w:val="de-DE"/>
          </w:rPr>
          <w:t>t</w:t>
        </w:r>
        <w:r w:rsidRPr="00846956">
          <w:rPr>
            <w:color w:val="231F20"/>
            <w:w w:val="99"/>
            <w:lang w:val="de-DE"/>
          </w:rPr>
          <w:t>m</w:t>
        </w:r>
        <w:r w:rsidRPr="00846956">
          <w:rPr>
            <w:color w:val="231F20"/>
            <w:w w:val="135"/>
            <w:lang w:val="de-DE"/>
          </w:rPr>
          <w:t>.</w:t>
        </w:r>
      </w:hyperlink>
    </w:p>
    <w:p w14:paraId="492C3C2B" w14:textId="77777777" w:rsidR="002653E8" w:rsidRPr="00846956" w:rsidRDefault="003115E3">
      <w:pPr>
        <w:pStyle w:val="a3"/>
        <w:spacing w:before="163" w:line="244" w:lineRule="auto"/>
        <w:ind w:left="2461" w:hanging="1134"/>
        <w:rPr>
          <w:lang w:val="de-DE"/>
        </w:rPr>
      </w:pPr>
      <w:r w:rsidRPr="00846956">
        <w:rPr>
          <w:color w:val="231F20"/>
          <w:spacing w:val="3"/>
          <w:w w:val="121"/>
          <w:lang w:val="de-DE"/>
        </w:rPr>
        <w:t>H</w:t>
      </w:r>
      <w:r w:rsidRPr="00846956">
        <w:rPr>
          <w:color w:val="231F20"/>
          <w:spacing w:val="2"/>
          <w:w w:val="102"/>
          <w:lang w:val="de-DE"/>
        </w:rPr>
        <w:t>a</w:t>
      </w:r>
      <w:r w:rsidRPr="00846956">
        <w:rPr>
          <w:color w:val="231F20"/>
          <w:spacing w:val="3"/>
          <w:w w:val="99"/>
          <w:lang w:val="de-DE"/>
        </w:rPr>
        <w:t>n</w:t>
      </w:r>
      <w:r w:rsidRPr="00846956">
        <w:rPr>
          <w:color w:val="231F20"/>
          <w:spacing w:val="-2"/>
          <w:w w:val="99"/>
          <w:lang w:val="de-DE"/>
        </w:rPr>
        <w:t>n</w:t>
      </w:r>
      <w:r w:rsidRPr="00846956">
        <w:rPr>
          <w:color w:val="231F20"/>
          <w:spacing w:val="-3"/>
          <w:w w:val="104"/>
          <w:lang w:val="de-DE"/>
        </w:rPr>
        <w:t>o</w:t>
      </w:r>
      <w:r w:rsidRPr="00846956">
        <w:rPr>
          <w:color w:val="231F20"/>
          <w:spacing w:val="-2"/>
          <w:w w:val="99"/>
          <w:lang w:val="de-DE"/>
        </w:rPr>
        <w:t>v</w:t>
      </w:r>
      <w:r w:rsidRPr="00846956">
        <w:rPr>
          <w:color w:val="231F20"/>
          <w:w w:val="92"/>
          <w:lang w:val="de-DE"/>
        </w:rPr>
        <w:t>e</w:t>
      </w:r>
      <w:r w:rsidRPr="00846956">
        <w:rPr>
          <w:color w:val="231F20"/>
          <w:spacing w:val="-5"/>
          <w:w w:val="92"/>
          <w:lang w:val="de-DE"/>
        </w:rPr>
        <w:t>r</w:t>
      </w:r>
      <w:r w:rsidRPr="00846956">
        <w:rPr>
          <w:color w:val="231F20"/>
          <w:w w:val="135"/>
          <w:lang w:val="de-DE"/>
        </w:rPr>
        <w:t>,</w:t>
      </w:r>
      <w:r w:rsidRPr="00846956">
        <w:rPr>
          <w:color w:val="231F20"/>
          <w:spacing w:val="10"/>
          <w:lang w:val="de-DE"/>
        </w:rPr>
        <w:t xml:space="preserve"> </w:t>
      </w:r>
      <w:r w:rsidRPr="00846956">
        <w:rPr>
          <w:color w:val="231F20"/>
          <w:w w:val="121"/>
          <w:lang w:val="de-DE"/>
        </w:rPr>
        <w:t>H</w:t>
      </w:r>
      <w:r w:rsidRPr="00846956">
        <w:rPr>
          <w:color w:val="231F20"/>
          <w:spacing w:val="-1"/>
          <w:w w:val="91"/>
          <w:lang w:val="de-DE"/>
        </w:rPr>
        <w:t>e</w:t>
      </w:r>
      <w:r w:rsidRPr="00846956">
        <w:rPr>
          <w:color w:val="231F20"/>
          <w:spacing w:val="2"/>
          <w:lang w:val="de-DE"/>
        </w:rPr>
        <w:t>i</w:t>
      </w:r>
      <w:r w:rsidRPr="00846956">
        <w:rPr>
          <w:color w:val="231F20"/>
          <w:spacing w:val="3"/>
          <w:w w:val="99"/>
          <w:lang w:val="de-DE"/>
        </w:rPr>
        <w:t>n</w:t>
      </w:r>
      <w:r w:rsidRPr="00846956">
        <w:rPr>
          <w:color w:val="231F20"/>
          <w:spacing w:val="1"/>
          <w:w w:val="94"/>
          <w:lang w:val="de-DE"/>
        </w:rPr>
        <w:t>r</w:t>
      </w:r>
      <w:r w:rsidRPr="00846956">
        <w:rPr>
          <w:color w:val="231F20"/>
          <w:lang w:val="de-DE"/>
        </w:rPr>
        <w:t>ich</w:t>
      </w:r>
      <w:r w:rsidRPr="00846956">
        <w:rPr>
          <w:color w:val="231F20"/>
          <w:w w:val="135"/>
          <w:lang w:val="de-DE"/>
        </w:rPr>
        <w:t>.</w:t>
      </w:r>
      <w:r w:rsidRPr="00846956">
        <w:rPr>
          <w:color w:val="231F20"/>
          <w:spacing w:val="10"/>
          <w:lang w:val="de-DE"/>
        </w:rPr>
        <w:t xml:space="preserve"> </w:t>
      </w:r>
      <w:r w:rsidRPr="00846956">
        <w:rPr>
          <w:color w:val="231F20"/>
          <w:w w:val="148"/>
          <w:lang w:val="de-DE"/>
        </w:rPr>
        <w:t>“</w:t>
      </w:r>
      <w:r w:rsidRPr="00846956">
        <w:rPr>
          <w:color w:val="231F20"/>
          <w:spacing w:val="-14"/>
          <w:w w:val="112"/>
          <w:lang w:val="de-DE"/>
        </w:rPr>
        <w:t>T</w:t>
      </w:r>
      <w:r w:rsidRPr="00846956">
        <w:rPr>
          <w:color w:val="231F20"/>
          <w:w w:val="92"/>
          <w:lang w:val="de-DE"/>
        </w:rPr>
        <w:t>e</w:t>
      </w:r>
      <w:r w:rsidRPr="00846956">
        <w:rPr>
          <w:color w:val="231F20"/>
          <w:spacing w:val="1"/>
          <w:w w:val="92"/>
          <w:lang w:val="de-DE"/>
        </w:rPr>
        <w:t>r</w:t>
      </w:r>
      <w:r w:rsidRPr="00846956">
        <w:rPr>
          <w:color w:val="231F20"/>
          <w:spacing w:val="-2"/>
          <w:w w:val="94"/>
          <w:lang w:val="de-DE"/>
        </w:rPr>
        <w:t>r</w:t>
      </w:r>
      <w:r w:rsidRPr="00846956">
        <w:rPr>
          <w:color w:val="231F20"/>
          <w:spacing w:val="-1"/>
          <w:w w:val="104"/>
          <w:lang w:val="de-DE"/>
        </w:rPr>
        <w:t>o</w:t>
      </w:r>
      <w:r w:rsidRPr="00846956">
        <w:rPr>
          <w:color w:val="231F20"/>
          <w:w w:val="94"/>
          <w:lang w:val="de-DE"/>
        </w:rPr>
        <w:t>r</w:t>
      </w:r>
      <w:r w:rsidRPr="00846956">
        <w:rPr>
          <w:color w:val="231F20"/>
          <w:spacing w:val="-1"/>
          <w:w w:val="90"/>
          <w:lang w:val="de-DE"/>
        </w:rPr>
        <w:t>s</w:t>
      </w:r>
      <w:r w:rsidRPr="00846956">
        <w:rPr>
          <w:color w:val="231F20"/>
          <w:spacing w:val="-2"/>
          <w:lang w:val="de-DE"/>
        </w:rPr>
        <w:t>i</w:t>
      </w:r>
      <w:r w:rsidRPr="00846956">
        <w:rPr>
          <w:color w:val="231F20"/>
          <w:w w:val="98"/>
          <w:lang w:val="de-DE"/>
        </w:rPr>
        <w:t>t</w:t>
      </w:r>
      <w:r w:rsidRPr="00846956">
        <w:rPr>
          <w:color w:val="231F20"/>
          <w:w w:val="91"/>
          <w:lang w:val="de-DE"/>
        </w:rPr>
        <w:t>e</w:t>
      </w:r>
      <w:r w:rsidRPr="00846956">
        <w:rPr>
          <w:color w:val="231F20"/>
          <w:spacing w:val="-3"/>
          <w:w w:val="99"/>
          <w:lang w:val="de-DE"/>
        </w:rPr>
        <w:t>n</w:t>
      </w:r>
      <w:r w:rsidRPr="00846956">
        <w:rPr>
          <w:color w:val="231F20"/>
          <w:spacing w:val="-1"/>
          <w:w w:val="99"/>
          <w:lang w:val="de-DE"/>
        </w:rPr>
        <w:t>p</w:t>
      </w:r>
      <w:r w:rsidRPr="00846956">
        <w:rPr>
          <w:color w:val="231F20"/>
          <w:spacing w:val="-2"/>
          <w:w w:val="94"/>
          <w:lang w:val="de-DE"/>
        </w:rPr>
        <w:t>r</w:t>
      </w:r>
      <w:r w:rsidRPr="00846956">
        <w:rPr>
          <w:color w:val="231F20"/>
          <w:spacing w:val="-1"/>
          <w:w w:val="104"/>
          <w:lang w:val="de-DE"/>
        </w:rPr>
        <w:t>o</w:t>
      </w:r>
      <w:r w:rsidRPr="00846956">
        <w:rPr>
          <w:color w:val="231F20"/>
          <w:spacing w:val="2"/>
          <w:w w:val="97"/>
          <w:lang w:val="de-DE"/>
        </w:rPr>
        <w:t>z</w:t>
      </w:r>
      <w:r w:rsidRPr="00846956">
        <w:rPr>
          <w:color w:val="231F20"/>
          <w:spacing w:val="1"/>
          <w:w w:val="91"/>
          <w:lang w:val="de-DE"/>
        </w:rPr>
        <w:t>e</w:t>
      </w:r>
      <w:r w:rsidRPr="00846956">
        <w:rPr>
          <w:color w:val="231F20"/>
          <w:spacing w:val="1"/>
          <w:w w:val="90"/>
          <w:lang w:val="de-DE"/>
        </w:rPr>
        <w:t>ss</w:t>
      </w:r>
      <w:r w:rsidRPr="00846956">
        <w:rPr>
          <w:color w:val="231F20"/>
          <w:w w:val="91"/>
          <w:lang w:val="de-DE"/>
        </w:rPr>
        <w:t>e</w:t>
      </w:r>
      <w:r w:rsidRPr="00846956">
        <w:rPr>
          <w:color w:val="231F20"/>
          <w:w w:val="99"/>
          <w:lang w:val="de-DE"/>
        </w:rPr>
        <w:t>n</w:t>
      </w:r>
      <w:r w:rsidRPr="00846956">
        <w:rPr>
          <w:color w:val="231F20"/>
          <w:spacing w:val="-14"/>
          <w:w w:val="135"/>
          <w:lang w:val="de-DE"/>
        </w:rPr>
        <w:t>.</w:t>
      </w:r>
      <w:r w:rsidRPr="00846956">
        <w:rPr>
          <w:color w:val="231F20"/>
          <w:spacing w:val="-6"/>
          <w:w w:val="148"/>
          <w:lang w:val="de-DE"/>
        </w:rPr>
        <w:t>”</w:t>
      </w:r>
      <w:r w:rsidRPr="00846956">
        <w:rPr>
          <w:color w:val="231F20"/>
          <w:spacing w:val="-2"/>
          <w:lang w:val="de-DE"/>
        </w:rPr>
        <w:t>h</w:t>
      </w:r>
      <w:r w:rsidRPr="00846956">
        <w:rPr>
          <w:color w:val="231F20"/>
          <w:spacing w:val="5"/>
          <w:w w:val="98"/>
          <w:lang w:val="de-DE"/>
        </w:rPr>
        <w:t>t</w:t>
      </w:r>
      <w:r w:rsidRPr="00846956">
        <w:rPr>
          <w:color w:val="231F20"/>
          <w:spacing w:val="3"/>
          <w:w w:val="98"/>
          <w:lang w:val="de-DE"/>
        </w:rPr>
        <w:t>t</w:t>
      </w:r>
      <w:r w:rsidRPr="00846956">
        <w:rPr>
          <w:color w:val="231F20"/>
          <w:spacing w:val="-1"/>
          <w:w w:val="99"/>
          <w:lang w:val="de-DE"/>
        </w:rPr>
        <w:t>p</w:t>
      </w:r>
      <w:r w:rsidRPr="00846956">
        <w:rPr>
          <w:color w:val="231F20"/>
          <w:spacing w:val="5"/>
          <w:w w:val="105"/>
          <w:lang w:val="de-DE"/>
        </w:rPr>
        <w:t>:</w:t>
      </w:r>
      <w:r w:rsidRPr="00846956">
        <w:rPr>
          <w:color w:val="231F20"/>
          <w:spacing w:val="-3"/>
          <w:w w:val="56"/>
          <w:lang w:val="de-DE"/>
        </w:rPr>
        <w:t>/</w:t>
      </w:r>
      <w:r w:rsidRPr="00846956">
        <w:rPr>
          <w:color w:val="231F20"/>
          <w:spacing w:val="1"/>
          <w:w w:val="56"/>
          <w:lang w:val="de-DE"/>
        </w:rPr>
        <w:t>/</w:t>
      </w:r>
      <w:r w:rsidRPr="00846956">
        <w:rPr>
          <w:color w:val="231F20"/>
          <w:spacing w:val="6"/>
          <w:lang w:val="de-DE"/>
        </w:rPr>
        <w:t>ww</w:t>
      </w:r>
      <w:r w:rsidRPr="00846956">
        <w:rPr>
          <w:color w:val="231F20"/>
          <w:spacing w:val="-12"/>
          <w:lang w:val="de-DE"/>
        </w:rPr>
        <w:t>w</w:t>
      </w:r>
      <w:r w:rsidRPr="00846956">
        <w:rPr>
          <w:color w:val="231F20"/>
          <w:w w:val="135"/>
          <w:lang w:val="de-DE"/>
        </w:rPr>
        <w:t>.</w:t>
      </w:r>
      <w:r w:rsidRPr="00846956">
        <w:rPr>
          <w:color w:val="231F20"/>
          <w:spacing w:val="2"/>
          <w:w w:val="109"/>
          <w:lang w:val="de-DE"/>
        </w:rPr>
        <w:t>f</w:t>
      </w:r>
      <w:r w:rsidRPr="00846956">
        <w:rPr>
          <w:color w:val="231F20"/>
          <w:spacing w:val="-1"/>
          <w:w w:val="94"/>
          <w:lang w:val="de-DE"/>
        </w:rPr>
        <w:t>r</w:t>
      </w:r>
      <w:r w:rsidRPr="00846956">
        <w:rPr>
          <w:color w:val="231F20"/>
          <w:spacing w:val="-1"/>
          <w:w w:val="91"/>
          <w:lang w:val="de-DE"/>
        </w:rPr>
        <w:t>e</w:t>
      </w:r>
      <w:r w:rsidRPr="00846956">
        <w:rPr>
          <w:color w:val="231F20"/>
          <w:spacing w:val="2"/>
          <w:lang w:val="de-DE"/>
        </w:rPr>
        <w:t>i</w:t>
      </w:r>
      <w:r w:rsidRPr="00846956">
        <w:rPr>
          <w:color w:val="231F20"/>
          <w:w w:val="102"/>
          <w:lang w:val="de-DE"/>
        </w:rPr>
        <w:t>la</w:t>
      </w:r>
      <w:r w:rsidRPr="00846956">
        <w:rPr>
          <w:color w:val="231F20"/>
          <w:spacing w:val="1"/>
          <w:w w:val="90"/>
          <w:lang w:val="de-DE"/>
        </w:rPr>
        <w:t>s</w:t>
      </w:r>
      <w:r w:rsidRPr="00846956">
        <w:rPr>
          <w:color w:val="231F20"/>
          <w:spacing w:val="-1"/>
          <w:w w:val="90"/>
          <w:lang w:val="de-DE"/>
        </w:rPr>
        <w:t>s</w:t>
      </w:r>
      <w:r w:rsidRPr="00846956">
        <w:rPr>
          <w:color w:val="231F20"/>
          <w:spacing w:val="3"/>
          <w:lang w:val="de-DE"/>
        </w:rPr>
        <w:t>u</w:t>
      </w:r>
      <w:r w:rsidRPr="00846956">
        <w:rPr>
          <w:color w:val="231F20"/>
          <w:w w:val="99"/>
          <w:lang w:val="de-DE"/>
        </w:rPr>
        <w:t>n</w:t>
      </w:r>
      <w:r w:rsidRPr="00846956">
        <w:rPr>
          <w:color w:val="231F20"/>
          <w:w w:val="101"/>
          <w:lang w:val="de-DE"/>
        </w:rPr>
        <w:t>g</w:t>
      </w:r>
      <w:r w:rsidRPr="00846956">
        <w:rPr>
          <w:color w:val="231F20"/>
          <w:w w:val="135"/>
          <w:lang w:val="de-DE"/>
        </w:rPr>
        <w:t xml:space="preserve">. </w:t>
      </w:r>
      <w:r w:rsidRPr="00846956">
        <w:rPr>
          <w:color w:val="231F20"/>
          <w:lang w:val="de-DE"/>
        </w:rPr>
        <w:t>d</w:t>
      </w:r>
      <w:r w:rsidRPr="00846956">
        <w:rPr>
          <w:color w:val="231F20"/>
          <w:spacing w:val="5"/>
          <w:w w:val="91"/>
          <w:lang w:val="de-DE"/>
        </w:rPr>
        <w:t>e</w:t>
      </w:r>
      <w:r w:rsidRPr="00846956">
        <w:rPr>
          <w:color w:val="231F20"/>
          <w:spacing w:val="-5"/>
          <w:w w:val="56"/>
          <w:lang w:val="de-DE"/>
        </w:rPr>
        <w:t>/</w:t>
      </w:r>
      <w:r w:rsidRPr="00846956">
        <w:rPr>
          <w:color w:val="231F20"/>
          <w:spacing w:val="3"/>
          <w:lang w:val="de-DE"/>
        </w:rPr>
        <w:t>d</w:t>
      </w:r>
      <w:r w:rsidRPr="00846956">
        <w:rPr>
          <w:color w:val="231F20"/>
          <w:spacing w:val="-2"/>
          <w:lang w:val="de-DE"/>
        </w:rPr>
        <w:t>i</w:t>
      </w:r>
      <w:r w:rsidRPr="00846956">
        <w:rPr>
          <w:color w:val="231F20"/>
          <w:spacing w:val="-3"/>
          <w:w w:val="99"/>
          <w:lang w:val="de-DE"/>
        </w:rPr>
        <w:t>v</w:t>
      </w:r>
      <w:r w:rsidRPr="00846956">
        <w:rPr>
          <w:color w:val="231F20"/>
          <w:w w:val="56"/>
          <w:lang w:val="de-DE"/>
        </w:rPr>
        <w:t>/</w:t>
      </w:r>
      <w:r w:rsidRPr="00846956">
        <w:rPr>
          <w:color w:val="231F20"/>
          <w:w w:val="98"/>
          <w:lang w:val="de-DE"/>
        </w:rPr>
        <w:t>t</w:t>
      </w:r>
      <w:r w:rsidRPr="00846956">
        <w:rPr>
          <w:color w:val="231F20"/>
          <w:spacing w:val="-1"/>
          <w:w w:val="102"/>
          <w:lang w:val="de-DE"/>
        </w:rPr>
        <w:t>e</w:t>
      </w:r>
      <w:r w:rsidRPr="00846956">
        <w:rPr>
          <w:color w:val="231F20"/>
          <w:spacing w:val="5"/>
          <w:w w:val="102"/>
          <w:lang w:val="de-DE"/>
        </w:rPr>
        <w:t>x</w:t>
      </w:r>
      <w:r w:rsidRPr="00846956">
        <w:rPr>
          <w:color w:val="231F20"/>
          <w:w w:val="98"/>
          <w:lang w:val="de-DE"/>
        </w:rPr>
        <w:t>t</w:t>
      </w:r>
      <w:r w:rsidRPr="00846956">
        <w:rPr>
          <w:color w:val="231F20"/>
          <w:spacing w:val="5"/>
          <w:w w:val="91"/>
          <w:lang w:val="de-DE"/>
        </w:rPr>
        <w:t>e</w:t>
      </w:r>
      <w:r w:rsidRPr="00846956">
        <w:rPr>
          <w:color w:val="231F20"/>
          <w:spacing w:val="7"/>
          <w:w w:val="56"/>
          <w:lang w:val="de-DE"/>
        </w:rPr>
        <w:t>/</w:t>
      </w:r>
      <w:r w:rsidRPr="00846956">
        <w:rPr>
          <w:color w:val="231F20"/>
          <w:spacing w:val="3"/>
          <w:w w:val="106"/>
          <w:lang w:val="de-DE"/>
        </w:rPr>
        <w:t>k</w:t>
      </w:r>
      <w:r w:rsidRPr="00846956">
        <w:rPr>
          <w:color w:val="231F20"/>
          <w:spacing w:val="-2"/>
          <w:w w:val="94"/>
          <w:lang w:val="de-DE"/>
        </w:rPr>
        <w:t>r</w:t>
      </w:r>
      <w:r w:rsidRPr="00846956">
        <w:rPr>
          <w:color w:val="231F20"/>
          <w:spacing w:val="-1"/>
          <w:w w:val="104"/>
          <w:lang w:val="de-DE"/>
        </w:rPr>
        <w:t>o</w:t>
      </w:r>
      <w:r w:rsidRPr="00846956">
        <w:rPr>
          <w:color w:val="231F20"/>
          <w:spacing w:val="5"/>
          <w:w w:val="99"/>
          <w:lang w:val="de-DE"/>
        </w:rPr>
        <w:t>n</w:t>
      </w:r>
      <w:r w:rsidRPr="00846956">
        <w:rPr>
          <w:color w:val="231F20"/>
          <w:spacing w:val="2"/>
          <w:w w:val="97"/>
          <w:lang w:val="de-DE"/>
        </w:rPr>
        <w:t>z</w:t>
      </w:r>
      <w:r w:rsidRPr="00846956">
        <w:rPr>
          <w:color w:val="231F20"/>
          <w:spacing w:val="-1"/>
          <w:w w:val="91"/>
          <w:lang w:val="de-DE"/>
        </w:rPr>
        <w:t>e</w:t>
      </w:r>
      <w:r w:rsidRPr="00846956">
        <w:rPr>
          <w:color w:val="231F20"/>
          <w:lang w:val="de-DE"/>
        </w:rPr>
        <w:t>u</w:t>
      </w:r>
      <w:r w:rsidRPr="00846956">
        <w:rPr>
          <w:color w:val="231F20"/>
          <w:spacing w:val="-1"/>
          <w:w w:val="96"/>
          <w:lang w:val="de-DE"/>
        </w:rPr>
        <w:t>g</w:t>
      </w:r>
      <w:r w:rsidRPr="00846956">
        <w:rPr>
          <w:color w:val="231F20"/>
          <w:spacing w:val="5"/>
          <w:w w:val="96"/>
          <w:lang w:val="de-DE"/>
        </w:rPr>
        <w:t>e</w:t>
      </w:r>
      <w:r w:rsidRPr="00846956">
        <w:rPr>
          <w:color w:val="231F20"/>
          <w:spacing w:val="7"/>
          <w:w w:val="56"/>
          <w:lang w:val="de-DE"/>
        </w:rPr>
        <w:t>/</w:t>
      </w:r>
      <w:r w:rsidRPr="00846956">
        <w:rPr>
          <w:color w:val="231F20"/>
          <w:spacing w:val="-1"/>
          <w:w w:val="97"/>
          <w:lang w:val="de-DE"/>
        </w:rPr>
        <w:t>he</w:t>
      </w:r>
      <w:r w:rsidRPr="00846956">
        <w:rPr>
          <w:color w:val="231F20"/>
          <w:spacing w:val="2"/>
          <w:w w:val="97"/>
          <w:lang w:val="de-DE"/>
        </w:rPr>
        <w:t>i</w:t>
      </w:r>
      <w:r w:rsidRPr="00846956">
        <w:rPr>
          <w:color w:val="231F20"/>
          <w:spacing w:val="3"/>
          <w:w w:val="99"/>
          <w:lang w:val="de-DE"/>
        </w:rPr>
        <w:t>n</w:t>
      </w:r>
      <w:r w:rsidRPr="00846956">
        <w:rPr>
          <w:color w:val="231F20"/>
          <w:spacing w:val="1"/>
          <w:lang w:val="de-DE"/>
        </w:rPr>
        <w:t>h</w:t>
      </w:r>
      <w:r w:rsidRPr="00846956">
        <w:rPr>
          <w:color w:val="231F20"/>
          <w:spacing w:val="2"/>
          <w:w w:val="102"/>
          <w:lang w:val="de-DE"/>
        </w:rPr>
        <w:t>a</w:t>
      </w:r>
      <w:r w:rsidRPr="00846956">
        <w:rPr>
          <w:color w:val="231F20"/>
          <w:spacing w:val="-2"/>
          <w:w w:val="99"/>
          <w:lang w:val="de-DE"/>
        </w:rPr>
        <w:t>n</w:t>
      </w:r>
      <w:r w:rsidRPr="00846956">
        <w:rPr>
          <w:color w:val="231F20"/>
          <w:spacing w:val="-5"/>
          <w:lang w:val="de-DE"/>
        </w:rPr>
        <w:t>1</w:t>
      </w:r>
      <w:r w:rsidRPr="00846956">
        <w:rPr>
          <w:color w:val="231F20"/>
          <w:w w:val="135"/>
          <w:lang w:val="de-DE"/>
        </w:rPr>
        <w:t>.</w:t>
      </w:r>
      <w:r w:rsidRPr="00846956">
        <w:rPr>
          <w:color w:val="231F20"/>
          <w:spacing w:val="-2"/>
          <w:w w:val="99"/>
          <w:lang w:val="de-DE"/>
        </w:rPr>
        <w:t>h</w:t>
      </w:r>
      <w:r w:rsidRPr="00846956">
        <w:rPr>
          <w:color w:val="231F20"/>
          <w:spacing w:val="3"/>
          <w:w w:val="99"/>
          <w:lang w:val="de-DE"/>
        </w:rPr>
        <w:t>t</w:t>
      </w:r>
      <w:r w:rsidRPr="00846956">
        <w:rPr>
          <w:color w:val="231F20"/>
          <w:spacing w:val="1"/>
          <w:w w:val="99"/>
          <w:lang w:val="de-DE"/>
        </w:rPr>
        <w:t>m</w:t>
      </w:r>
      <w:r w:rsidRPr="00846956">
        <w:rPr>
          <w:color w:val="231F20"/>
          <w:w w:val="135"/>
          <w:lang w:val="de-DE"/>
        </w:rPr>
        <w:t>.</w:t>
      </w:r>
    </w:p>
    <w:p w14:paraId="410D1331" w14:textId="77777777" w:rsidR="002653E8" w:rsidRPr="00846956" w:rsidRDefault="003115E3">
      <w:pPr>
        <w:pStyle w:val="a3"/>
        <w:spacing w:before="161"/>
        <w:ind w:left="1327"/>
        <w:rPr>
          <w:lang w:val="de-DE"/>
        </w:rPr>
      </w:pPr>
      <w:r w:rsidRPr="00846956">
        <w:rPr>
          <w:color w:val="231F20"/>
          <w:w w:val="105"/>
          <w:lang w:val="de-DE"/>
        </w:rPr>
        <w:t>in bewegung bleiben. “Wer Gewalt sät.”</w:t>
      </w:r>
    </w:p>
    <w:p w14:paraId="2DA602E9" w14:textId="77777777" w:rsidR="002653E8" w:rsidRPr="00846956" w:rsidRDefault="00000000">
      <w:pPr>
        <w:pStyle w:val="a3"/>
        <w:spacing w:before="6"/>
        <w:ind w:left="2461"/>
        <w:rPr>
          <w:lang w:val="de-DE"/>
        </w:rPr>
      </w:pPr>
      <w:hyperlink r:id="rId579">
        <w:r w:rsidR="003115E3" w:rsidRPr="00846956">
          <w:rPr>
            <w:color w:val="231F20"/>
            <w:spacing w:val="-2"/>
            <w:lang w:val="de-DE"/>
          </w:rPr>
          <w:t>h</w:t>
        </w:r>
        <w:r w:rsidR="003115E3" w:rsidRPr="00846956">
          <w:rPr>
            <w:color w:val="231F20"/>
            <w:spacing w:val="5"/>
            <w:w w:val="98"/>
            <w:lang w:val="de-DE"/>
          </w:rPr>
          <w:t>t</w:t>
        </w:r>
        <w:r w:rsidR="003115E3" w:rsidRPr="00846956">
          <w:rPr>
            <w:color w:val="231F20"/>
            <w:spacing w:val="3"/>
            <w:w w:val="98"/>
            <w:lang w:val="de-DE"/>
          </w:rPr>
          <w:t>t</w:t>
        </w:r>
        <w:r w:rsidR="003115E3" w:rsidRPr="00846956">
          <w:rPr>
            <w:color w:val="231F20"/>
            <w:spacing w:val="-1"/>
            <w:w w:val="99"/>
            <w:lang w:val="de-DE"/>
          </w:rPr>
          <w:t>p</w:t>
        </w:r>
        <w:r w:rsidR="003115E3" w:rsidRPr="00846956">
          <w:rPr>
            <w:color w:val="231F20"/>
            <w:spacing w:val="5"/>
            <w:w w:val="105"/>
            <w:lang w:val="de-DE"/>
          </w:rPr>
          <w:t>:</w:t>
        </w:r>
        <w:r w:rsidR="003115E3" w:rsidRPr="00846956">
          <w:rPr>
            <w:color w:val="231F20"/>
            <w:spacing w:val="-3"/>
            <w:w w:val="56"/>
            <w:lang w:val="de-DE"/>
          </w:rPr>
          <w:t>/</w:t>
        </w:r>
        <w:r w:rsidR="003115E3" w:rsidRPr="00846956">
          <w:rPr>
            <w:color w:val="231F20"/>
            <w:spacing w:val="1"/>
            <w:w w:val="56"/>
            <w:lang w:val="de-DE"/>
          </w:rPr>
          <w:t>/</w:t>
        </w:r>
        <w:r w:rsidR="003115E3" w:rsidRPr="00846956">
          <w:rPr>
            <w:color w:val="231F20"/>
            <w:spacing w:val="6"/>
            <w:lang w:val="de-DE"/>
          </w:rPr>
          <w:t>ww</w:t>
        </w:r>
        <w:r w:rsidR="003115E3" w:rsidRPr="00846956">
          <w:rPr>
            <w:color w:val="231F20"/>
            <w:spacing w:val="-12"/>
            <w:lang w:val="de-DE"/>
          </w:rPr>
          <w:t>w</w:t>
        </w:r>
        <w:r w:rsidR="003115E3" w:rsidRPr="00846956">
          <w:rPr>
            <w:color w:val="231F20"/>
            <w:spacing w:val="-2"/>
            <w:w w:val="135"/>
            <w:lang w:val="de-DE"/>
          </w:rPr>
          <w:t>.</w:t>
        </w:r>
        <w:r w:rsidR="003115E3" w:rsidRPr="00846956">
          <w:rPr>
            <w:color w:val="231F20"/>
            <w:spacing w:val="1"/>
            <w:w w:val="101"/>
            <w:lang w:val="de-DE"/>
          </w:rPr>
          <w:t>b</w:t>
        </w:r>
        <w:r w:rsidR="003115E3" w:rsidRPr="00846956">
          <w:rPr>
            <w:color w:val="231F20"/>
            <w:w w:val="91"/>
            <w:lang w:val="de-DE"/>
          </w:rPr>
          <w:t>e</w:t>
        </w:r>
        <w:r w:rsidR="003115E3" w:rsidRPr="00846956">
          <w:rPr>
            <w:color w:val="231F20"/>
            <w:spacing w:val="-2"/>
            <w:lang w:val="de-DE"/>
          </w:rPr>
          <w:t>w</w:t>
        </w:r>
        <w:r w:rsidR="003115E3" w:rsidRPr="00846956">
          <w:rPr>
            <w:color w:val="231F20"/>
            <w:w w:val="91"/>
            <w:lang w:val="de-DE"/>
          </w:rPr>
          <w:t>e</w:t>
        </w:r>
        <w:r w:rsidR="003115E3" w:rsidRPr="00846956">
          <w:rPr>
            <w:color w:val="231F20"/>
            <w:spacing w:val="3"/>
            <w:w w:val="101"/>
            <w:lang w:val="de-DE"/>
          </w:rPr>
          <w:t>g</w:t>
        </w:r>
        <w:r w:rsidR="003115E3" w:rsidRPr="00846956">
          <w:rPr>
            <w:color w:val="231F20"/>
            <w:spacing w:val="3"/>
            <w:lang w:val="de-DE"/>
          </w:rPr>
          <w:t>u</w:t>
        </w:r>
        <w:r w:rsidR="003115E3" w:rsidRPr="00846956">
          <w:rPr>
            <w:color w:val="231F20"/>
            <w:w w:val="99"/>
            <w:lang w:val="de-DE"/>
          </w:rPr>
          <w:t>n</w:t>
        </w:r>
        <w:r w:rsidR="003115E3" w:rsidRPr="00846956">
          <w:rPr>
            <w:color w:val="231F20"/>
            <w:w w:val="101"/>
            <w:lang w:val="de-DE"/>
          </w:rPr>
          <w:t>g</w:t>
        </w:r>
        <w:r w:rsidR="003115E3" w:rsidRPr="00846956">
          <w:rPr>
            <w:color w:val="231F20"/>
            <w:w w:val="135"/>
            <w:lang w:val="de-DE"/>
          </w:rPr>
          <w:t>.</w:t>
        </w:r>
        <w:r w:rsidR="003115E3" w:rsidRPr="00846956">
          <w:rPr>
            <w:color w:val="231F20"/>
            <w:spacing w:val="2"/>
            <w:lang w:val="de-DE"/>
          </w:rPr>
          <w:t>i</w:t>
        </w:r>
        <w:r w:rsidR="003115E3" w:rsidRPr="00846956">
          <w:rPr>
            <w:color w:val="231F20"/>
            <w:spacing w:val="8"/>
            <w:w w:val="99"/>
            <w:lang w:val="de-DE"/>
          </w:rPr>
          <w:t>n</w:t>
        </w:r>
        <w:r w:rsidR="003115E3" w:rsidRPr="00846956">
          <w:rPr>
            <w:color w:val="231F20"/>
            <w:spacing w:val="-1"/>
            <w:w w:val="56"/>
            <w:lang w:val="de-DE"/>
          </w:rPr>
          <w:t>/</w:t>
        </w:r>
        <w:r w:rsidR="003115E3" w:rsidRPr="00846956">
          <w:rPr>
            <w:color w:val="231F20"/>
            <w:spacing w:val="1"/>
            <w:w w:val="99"/>
            <w:lang w:val="de-DE"/>
          </w:rPr>
          <w:t>m</w:t>
        </w:r>
        <w:r w:rsidR="003115E3" w:rsidRPr="00846956">
          <w:rPr>
            <w:color w:val="231F20"/>
            <w:spacing w:val="-2"/>
            <w:w w:val="102"/>
            <w:lang w:val="de-DE"/>
          </w:rPr>
          <w:t>a</w:t>
        </w:r>
        <w:r w:rsidR="003115E3" w:rsidRPr="00846956">
          <w:rPr>
            <w:color w:val="231F20"/>
            <w:w w:val="94"/>
            <w:lang w:val="de-DE"/>
          </w:rPr>
          <w:t>t</w:t>
        </w:r>
        <w:r w:rsidR="003115E3" w:rsidRPr="00846956">
          <w:rPr>
            <w:color w:val="231F20"/>
            <w:spacing w:val="5"/>
            <w:w w:val="94"/>
            <w:lang w:val="de-DE"/>
          </w:rPr>
          <w:t>e</w:t>
        </w:r>
        <w:r w:rsidR="003115E3" w:rsidRPr="00846956">
          <w:rPr>
            <w:color w:val="231F20"/>
            <w:spacing w:val="7"/>
            <w:w w:val="134"/>
            <w:lang w:val="de-DE"/>
          </w:rPr>
          <w:t>_</w:t>
        </w:r>
        <w:r w:rsidR="003115E3" w:rsidRPr="00846956">
          <w:rPr>
            <w:color w:val="231F20"/>
            <w:w w:val="90"/>
            <w:lang w:val="de-DE"/>
          </w:rPr>
          <w:t>s</w:t>
        </w:r>
        <w:r w:rsidR="003115E3" w:rsidRPr="00846956">
          <w:rPr>
            <w:color w:val="231F20"/>
            <w:spacing w:val="-1"/>
            <w:w w:val="102"/>
            <w:lang w:val="de-DE"/>
          </w:rPr>
          <w:t>a</w:t>
        </w:r>
        <w:r w:rsidR="003115E3" w:rsidRPr="00846956">
          <w:rPr>
            <w:color w:val="231F20"/>
            <w:spacing w:val="-1"/>
            <w:w w:val="91"/>
            <w:lang w:val="de-DE"/>
          </w:rPr>
          <w:t>e</w:t>
        </w:r>
        <w:r w:rsidR="003115E3" w:rsidRPr="00846956">
          <w:rPr>
            <w:color w:val="231F20"/>
            <w:spacing w:val="-1"/>
            <w:lang w:val="de-DE"/>
          </w:rPr>
          <w:t>h</w:t>
        </w:r>
        <w:r w:rsidR="003115E3" w:rsidRPr="00846956">
          <w:rPr>
            <w:color w:val="231F20"/>
            <w:w w:val="91"/>
            <w:lang w:val="de-DE"/>
          </w:rPr>
          <w:t>e</w:t>
        </w:r>
        <w:r w:rsidR="003115E3" w:rsidRPr="00846956">
          <w:rPr>
            <w:color w:val="231F20"/>
            <w:w w:val="99"/>
            <w:lang w:val="de-DE"/>
          </w:rPr>
          <w:t>n</w:t>
        </w:r>
        <w:r w:rsidR="003115E3" w:rsidRPr="00846956">
          <w:rPr>
            <w:color w:val="231F20"/>
            <w:w w:val="135"/>
            <w:lang w:val="de-DE"/>
          </w:rPr>
          <w:t>.</w:t>
        </w:r>
        <w:r w:rsidR="003115E3" w:rsidRPr="00846956">
          <w:rPr>
            <w:color w:val="231F20"/>
            <w:spacing w:val="-2"/>
            <w:lang w:val="de-DE"/>
          </w:rPr>
          <w:t>h</w:t>
        </w:r>
        <w:r w:rsidR="003115E3" w:rsidRPr="00846956">
          <w:rPr>
            <w:color w:val="231F20"/>
            <w:spacing w:val="3"/>
            <w:w w:val="98"/>
            <w:lang w:val="de-DE"/>
          </w:rPr>
          <w:t>t</w:t>
        </w:r>
        <w:r w:rsidR="003115E3" w:rsidRPr="00846956">
          <w:rPr>
            <w:color w:val="231F20"/>
            <w:spacing w:val="5"/>
            <w:w w:val="99"/>
            <w:lang w:val="de-DE"/>
          </w:rPr>
          <w:t>m</w:t>
        </w:r>
        <w:r w:rsidR="003115E3" w:rsidRPr="00846956">
          <w:rPr>
            <w:color w:val="231F20"/>
            <w:w w:val="102"/>
            <w:lang w:val="de-DE"/>
          </w:rPr>
          <w:t>l</w:t>
        </w:r>
        <w:r w:rsidR="003115E3" w:rsidRPr="00846956">
          <w:rPr>
            <w:color w:val="231F20"/>
            <w:w w:val="135"/>
            <w:lang w:val="de-DE"/>
          </w:rPr>
          <w:t>.</w:t>
        </w:r>
      </w:hyperlink>
    </w:p>
    <w:p w14:paraId="54CA82C1" w14:textId="77777777" w:rsidR="002653E8" w:rsidRPr="00846956" w:rsidRDefault="003115E3">
      <w:pPr>
        <w:pStyle w:val="a3"/>
        <w:spacing w:before="165"/>
        <w:ind w:left="1327"/>
        <w:rPr>
          <w:lang w:val="de-DE"/>
        </w:rPr>
      </w:pPr>
      <w:r w:rsidRPr="00846956">
        <w:rPr>
          <w:color w:val="231F20"/>
          <w:w w:val="105"/>
          <w:lang w:val="de-DE"/>
        </w:rPr>
        <w:t>L’Avocat de la terreur. “Oliver Schröm : Im Schatten des Schakals.</w:t>
      </w:r>
    </w:p>
    <w:p w14:paraId="78070558" w14:textId="77777777" w:rsidR="002653E8" w:rsidRPr="00846956" w:rsidRDefault="003115E3">
      <w:pPr>
        <w:pStyle w:val="a3"/>
        <w:spacing w:before="6" w:line="244" w:lineRule="auto"/>
        <w:ind w:left="2461" w:right="1145"/>
        <w:rPr>
          <w:lang w:val="de-DE"/>
        </w:rPr>
      </w:pPr>
      <w:r w:rsidRPr="00846956">
        <w:rPr>
          <w:color w:val="231F20"/>
          <w:lang w:val="de-DE"/>
        </w:rPr>
        <w:t xml:space="preserve">Carlos und die Wegbereiter des internationalen </w:t>
      </w:r>
      <w:r w:rsidRPr="00846956">
        <w:rPr>
          <w:color w:val="231F20"/>
          <w:w w:val="112"/>
          <w:lang w:val="de-DE"/>
        </w:rPr>
        <w:t>T</w:t>
      </w:r>
      <w:r w:rsidRPr="00846956">
        <w:rPr>
          <w:color w:val="231F20"/>
          <w:w w:val="92"/>
          <w:lang w:val="de-DE"/>
        </w:rPr>
        <w:t>er</w:t>
      </w:r>
      <w:r w:rsidRPr="00846956">
        <w:rPr>
          <w:color w:val="231F20"/>
          <w:w w:val="94"/>
          <w:lang w:val="de-DE"/>
        </w:rPr>
        <w:t>r</w:t>
      </w:r>
      <w:r w:rsidRPr="00846956">
        <w:rPr>
          <w:color w:val="231F20"/>
          <w:w w:val="104"/>
          <w:lang w:val="de-DE"/>
        </w:rPr>
        <w:t>o</w:t>
      </w:r>
      <w:r w:rsidRPr="00846956">
        <w:rPr>
          <w:color w:val="231F20"/>
          <w:w w:val="94"/>
          <w:lang w:val="de-DE"/>
        </w:rPr>
        <w:t>r</w:t>
      </w:r>
      <w:r w:rsidRPr="00846956">
        <w:rPr>
          <w:color w:val="231F20"/>
          <w:lang w:val="de-DE"/>
        </w:rPr>
        <w:t>i</w:t>
      </w:r>
      <w:r w:rsidRPr="00846956">
        <w:rPr>
          <w:color w:val="231F20"/>
          <w:w w:val="90"/>
          <w:lang w:val="de-DE"/>
        </w:rPr>
        <w:t>s</w:t>
      </w:r>
      <w:r w:rsidRPr="00846956">
        <w:rPr>
          <w:color w:val="231F20"/>
          <w:w w:val="99"/>
          <w:lang w:val="de-DE"/>
        </w:rPr>
        <w:t>m</w:t>
      </w:r>
      <w:r w:rsidRPr="00846956">
        <w:rPr>
          <w:color w:val="231F20"/>
          <w:lang w:val="de-DE"/>
        </w:rPr>
        <w:t>u</w:t>
      </w:r>
      <w:r w:rsidRPr="00846956">
        <w:rPr>
          <w:color w:val="231F20"/>
          <w:w w:val="90"/>
          <w:lang w:val="de-DE"/>
        </w:rPr>
        <w:t>s</w:t>
      </w:r>
      <w:r w:rsidRPr="00846956">
        <w:rPr>
          <w:color w:val="231F20"/>
          <w:w w:val="135"/>
          <w:lang w:val="de-DE"/>
        </w:rPr>
        <w:t>.</w:t>
      </w:r>
      <w:r w:rsidRPr="00846956">
        <w:rPr>
          <w:color w:val="231F20"/>
          <w:w w:val="148"/>
          <w:lang w:val="de-DE"/>
        </w:rPr>
        <w:t>”</w:t>
      </w:r>
      <w:r w:rsidRPr="00846956">
        <w:rPr>
          <w:color w:val="231F20"/>
          <w:lang w:val="de-DE"/>
        </w:rPr>
        <w:t xml:space="preserve"> </w:t>
      </w:r>
      <w:hyperlink r:id="rId580">
        <w:r w:rsidRPr="00846956">
          <w:rPr>
            <w:color w:val="231F20"/>
            <w:lang w:val="de-DE"/>
          </w:rPr>
          <w:t>h</w:t>
        </w:r>
        <w:r w:rsidRPr="00846956">
          <w:rPr>
            <w:color w:val="231F20"/>
            <w:w w:val="98"/>
            <w:lang w:val="de-DE"/>
          </w:rPr>
          <w:t>tt</w:t>
        </w:r>
        <w:r w:rsidRPr="00846956">
          <w:rPr>
            <w:color w:val="231F20"/>
            <w:w w:val="99"/>
            <w:lang w:val="de-DE"/>
          </w:rPr>
          <w:t>p</w:t>
        </w:r>
        <w:r w:rsidRPr="00846956">
          <w:rPr>
            <w:color w:val="231F20"/>
            <w:w w:val="105"/>
            <w:lang w:val="de-DE"/>
          </w:rPr>
          <w:t>:</w:t>
        </w:r>
        <w:r w:rsidRPr="00846956">
          <w:rPr>
            <w:color w:val="231F20"/>
            <w:w w:val="56"/>
            <w:lang w:val="de-DE"/>
          </w:rPr>
          <w:t>//</w:t>
        </w:r>
        <w:r w:rsidRPr="00846956">
          <w:rPr>
            <w:color w:val="231F20"/>
            <w:lang w:val="de-DE"/>
          </w:rPr>
          <w:t>www</w:t>
        </w:r>
        <w:r w:rsidRPr="00846956">
          <w:rPr>
            <w:color w:val="231F20"/>
            <w:w w:val="135"/>
            <w:lang w:val="de-DE"/>
          </w:rPr>
          <w:t>.</w:t>
        </w:r>
        <w:r w:rsidRPr="00846956">
          <w:rPr>
            <w:color w:val="231F20"/>
            <w:w w:val="102"/>
            <w:lang w:val="de-DE"/>
          </w:rPr>
          <w:t>la</w:t>
        </w:r>
        <w:r w:rsidRPr="00846956">
          <w:rPr>
            <w:color w:val="231F20"/>
            <w:w w:val="99"/>
            <w:lang w:val="de-DE"/>
          </w:rPr>
          <w:t>v</w:t>
        </w:r>
        <w:r w:rsidRPr="00846956">
          <w:rPr>
            <w:color w:val="231F20"/>
            <w:w w:val="104"/>
            <w:lang w:val="de-DE"/>
          </w:rPr>
          <w:t>o</w:t>
        </w:r>
        <w:r w:rsidRPr="00846956">
          <w:rPr>
            <w:color w:val="231F20"/>
            <w:lang w:val="de-DE"/>
          </w:rPr>
          <w:t>c</w:t>
        </w:r>
        <w:r w:rsidRPr="00846956">
          <w:rPr>
            <w:color w:val="231F20"/>
            <w:w w:val="102"/>
            <w:lang w:val="de-DE"/>
          </w:rPr>
          <w:t>a</w:t>
        </w:r>
        <w:r w:rsidRPr="00846956">
          <w:rPr>
            <w:color w:val="231F20"/>
            <w:w w:val="98"/>
            <w:lang w:val="de-DE"/>
          </w:rPr>
          <w:t>t</w:t>
        </w:r>
        <w:r w:rsidRPr="00846956">
          <w:rPr>
            <w:color w:val="231F20"/>
            <w:lang w:val="de-DE"/>
          </w:rPr>
          <w:t>d</w:t>
        </w:r>
        <w:r w:rsidRPr="00846956">
          <w:rPr>
            <w:color w:val="231F20"/>
            <w:w w:val="91"/>
            <w:lang w:val="de-DE"/>
          </w:rPr>
          <w:t>e</w:t>
        </w:r>
        <w:r w:rsidRPr="00846956">
          <w:rPr>
            <w:color w:val="231F20"/>
            <w:w w:val="102"/>
            <w:lang w:val="de-DE"/>
          </w:rPr>
          <w:t>la</w:t>
        </w:r>
        <w:r w:rsidRPr="00846956">
          <w:rPr>
            <w:color w:val="231F20"/>
            <w:w w:val="98"/>
            <w:lang w:val="de-DE"/>
          </w:rPr>
          <w:t>t</w:t>
        </w:r>
        <w:r w:rsidRPr="00846956">
          <w:rPr>
            <w:color w:val="231F20"/>
            <w:w w:val="91"/>
            <w:lang w:val="de-DE"/>
          </w:rPr>
          <w:t>e</w:t>
        </w:r>
        <w:r w:rsidRPr="00846956">
          <w:rPr>
            <w:color w:val="231F20"/>
            <w:w w:val="94"/>
            <w:lang w:val="de-DE"/>
          </w:rPr>
          <w:t>rr</w:t>
        </w:r>
        <w:r w:rsidRPr="00846956">
          <w:rPr>
            <w:color w:val="231F20"/>
            <w:w w:val="91"/>
            <w:lang w:val="de-DE"/>
          </w:rPr>
          <w:t>e</w:t>
        </w:r>
        <w:r w:rsidRPr="00846956">
          <w:rPr>
            <w:color w:val="231F20"/>
            <w:lang w:val="de-DE"/>
          </w:rPr>
          <w:t>u</w:t>
        </w:r>
        <w:r w:rsidRPr="00846956">
          <w:rPr>
            <w:color w:val="231F20"/>
            <w:w w:val="94"/>
            <w:lang w:val="de-DE"/>
          </w:rPr>
          <w:t>r</w:t>
        </w:r>
        <w:r w:rsidRPr="00846956">
          <w:rPr>
            <w:color w:val="231F20"/>
            <w:w w:val="135"/>
            <w:lang w:val="de-DE"/>
          </w:rPr>
          <w:t>.</w:t>
        </w:r>
        <w:r w:rsidRPr="00846956">
          <w:rPr>
            <w:color w:val="231F20"/>
            <w:lang w:val="de-DE"/>
          </w:rPr>
          <w:t>c</w:t>
        </w:r>
        <w:r w:rsidRPr="00846956">
          <w:rPr>
            <w:color w:val="231F20"/>
            <w:w w:val="104"/>
            <w:lang w:val="de-DE"/>
          </w:rPr>
          <w:t>o</w:t>
        </w:r>
        <w:r w:rsidRPr="00846956">
          <w:rPr>
            <w:color w:val="231F20"/>
            <w:w w:val="99"/>
            <w:lang w:val="de-DE"/>
          </w:rPr>
          <w:t>m</w:t>
        </w:r>
        <w:r w:rsidRPr="00846956">
          <w:rPr>
            <w:color w:val="231F20"/>
            <w:w w:val="56"/>
            <w:lang w:val="de-DE"/>
          </w:rPr>
          <w:t>/</w:t>
        </w:r>
        <w:r w:rsidRPr="00846956">
          <w:rPr>
            <w:color w:val="231F20"/>
            <w:lang w:val="de-DE"/>
          </w:rPr>
          <w:t>pd</w:t>
        </w:r>
        <w:r w:rsidRPr="00846956">
          <w:rPr>
            <w:color w:val="231F20"/>
            <w:w w:val="109"/>
            <w:lang w:val="de-DE"/>
          </w:rPr>
          <w:t>f</w:t>
        </w:r>
        <w:r w:rsidRPr="00846956">
          <w:rPr>
            <w:color w:val="231F20"/>
            <w:w w:val="56"/>
            <w:lang w:val="de-DE"/>
          </w:rPr>
          <w:t>/</w:t>
        </w:r>
      </w:hyperlink>
      <w:r w:rsidRPr="00846956">
        <w:rPr>
          <w:color w:val="231F20"/>
          <w:w w:val="56"/>
          <w:lang w:val="de-DE"/>
        </w:rPr>
        <w:t xml:space="preserve"> </w:t>
      </w:r>
      <w:r w:rsidRPr="00846956">
        <w:rPr>
          <w:color w:val="231F20"/>
          <w:lang w:val="de-DE"/>
        </w:rPr>
        <w:t>Im%20Schatten%20des%20Schakals.pdf.</w:t>
      </w:r>
    </w:p>
    <w:p w14:paraId="4064FC00" w14:textId="77777777" w:rsidR="002653E8" w:rsidRDefault="003115E3">
      <w:pPr>
        <w:pStyle w:val="a3"/>
        <w:spacing w:before="162" w:line="244" w:lineRule="auto"/>
        <w:ind w:left="2461" w:right="2424" w:hanging="1134"/>
      </w:pPr>
      <w:r w:rsidRPr="00846956">
        <w:rPr>
          <w:color w:val="231F20"/>
          <w:lang w:val="de-DE"/>
        </w:rPr>
        <w:t xml:space="preserve">Linksnet. “Rede zum Angela-Davis-Kongress 1972.” </w:t>
      </w:r>
      <w:hyperlink r:id="rId581">
        <w:r>
          <w:rPr>
            <w:color w:val="231F20"/>
          </w:rPr>
          <w:t>h</w:t>
        </w:r>
        <w:r>
          <w:rPr>
            <w:color w:val="231F20"/>
            <w:w w:val="98"/>
          </w:rPr>
          <w:t>tt</w:t>
        </w:r>
        <w:r>
          <w:rPr>
            <w:color w:val="231F20"/>
            <w:w w:val="101"/>
          </w:rPr>
          <w:t>p:</w:t>
        </w:r>
        <w:r>
          <w:rPr>
            <w:color w:val="231F20"/>
            <w:w w:val="56"/>
          </w:rPr>
          <w:t>//</w:t>
        </w:r>
        <w:r>
          <w:rPr>
            <w:color w:val="231F20"/>
          </w:rPr>
          <w:t>www</w:t>
        </w:r>
        <w:r>
          <w:rPr>
            <w:color w:val="231F20"/>
            <w:w w:val="135"/>
          </w:rPr>
          <w:t>.</w:t>
        </w:r>
        <w:r>
          <w:rPr>
            <w:color w:val="231F20"/>
            <w:w w:val="102"/>
          </w:rPr>
          <w:t>l</w:t>
        </w:r>
        <w:r>
          <w:rPr>
            <w:color w:val="231F20"/>
          </w:rPr>
          <w:t>i</w:t>
        </w:r>
        <w:r>
          <w:rPr>
            <w:color w:val="231F20"/>
            <w:w w:val="99"/>
          </w:rPr>
          <w:t>n</w:t>
        </w:r>
        <w:r>
          <w:rPr>
            <w:color w:val="231F20"/>
            <w:w w:val="106"/>
          </w:rPr>
          <w:t>k</w:t>
        </w:r>
        <w:r>
          <w:rPr>
            <w:color w:val="231F20"/>
            <w:w w:val="90"/>
          </w:rPr>
          <w:t>s</w:t>
        </w:r>
        <w:r>
          <w:rPr>
            <w:color w:val="231F20"/>
            <w:w w:val="99"/>
          </w:rPr>
          <w:t>n</w:t>
        </w:r>
        <w:r>
          <w:rPr>
            <w:color w:val="231F20"/>
            <w:w w:val="91"/>
          </w:rPr>
          <w:t>e</w:t>
        </w:r>
        <w:r>
          <w:rPr>
            <w:color w:val="231F20"/>
            <w:w w:val="98"/>
          </w:rPr>
          <w:t>t</w:t>
        </w:r>
        <w:r>
          <w:rPr>
            <w:color w:val="231F20"/>
            <w:w w:val="135"/>
          </w:rPr>
          <w:t>.</w:t>
        </w:r>
        <w:r>
          <w:rPr>
            <w:color w:val="231F20"/>
          </w:rPr>
          <w:t>d</w:t>
        </w:r>
        <w:r>
          <w:rPr>
            <w:color w:val="231F20"/>
            <w:w w:val="91"/>
          </w:rPr>
          <w:t>e</w:t>
        </w:r>
        <w:r>
          <w:rPr>
            <w:color w:val="231F20"/>
            <w:w w:val="56"/>
          </w:rPr>
          <w:t>/</w:t>
        </w:r>
        <w:r>
          <w:rPr>
            <w:color w:val="231F20"/>
            <w:w w:val="102"/>
          </w:rPr>
          <w:t>a</w:t>
        </w:r>
        <w:r>
          <w:rPr>
            <w:color w:val="231F20"/>
            <w:w w:val="94"/>
          </w:rPr>
          <w:t>r</w:t>
        </w:r>
        <w:r>
          <w:rPr>
            <w:color w:val="231F20"/>
            <w:w w:val="98"/>
          </w:rPr>
          <w:t>t</w:t>
        </w:r>
        <w:r>
          <w:rPr>
            <w:color w:val="231F20"/>
          </w:rPr>
          <w:t>i</w:t>
        </w:r>
        <w:r>
          <w:rPr>
            <w:color w:val="231F20"/>
            <w:w w:val="106"/>
          </w:rPr>
          <w:t>k</w:t>
        </w:r>
        <w:r>
          <w:rPr>
            <w:color w:val="231F20"/>
            <w:w w:val="91"/>
          </w:rPr>
          <w:t>e</w:t>
        </w:r>
        <w:r>
          <w:rPr>
            <w:color w:val="231F20"/>
            <w:w w:val="102"/>
          </w:rPr>
          <w:t>l</w:t>
        </w:r>
        <w:r>
          <w:rPr>
            <w:color w:val="231F20"/>
            <w:w w:val="135"/>
          </w:rPr>
          <w:t>.</w:t>
        </w:r>
        <w:r>
          <w:rPr>
            <w:color w:val="231F20"/>
          </w:rPr>
          <w:t>ph</w:t>
        </w:r>
        <w:r>
          <w:rPr>
            <w:color w:val="231F20"/>
            <w:w w:val="99"/>
          </w:rPr>
          <w:t>p</w:t>
        </w:r>
        <w:r>
          <w:rPr>
            <w:color w:val="231F20"/>
            <w:w w:val="103"/>
          </w:rPr>
          <w:t>?i</w:t>
        </w:r>
        <w:r>
          <w:rPr>
            <w:color w:val="231F20"/>
          </w:rPr>
          <w:t>d=374</w:t>
        </w:r>
        <w:r>
          <w:rPr>
            <w:color w:val="231F20"/>
            <w:w w:val="135"/>
          </w:rPr>
          <w:t>.</w:t>
        </w:r>
      </w:hyperlink>
    </w:p>
    <w:p w14:paraId="7D246FBA" w14:textId="77777777" w:rsidR="002653E8" w:rsidRDefault="003115E3">
      <w:pPr>
        <w:pStyle w:val="a3"/>
        <w:spacing w:before="162" w:line="244" w:lineRule="auto"/>
        <w:ind w:left="2461" w:right="1580" w:hanging="1134"/>
      </w:pPr>
      <w:r>
        <w:rPr>
          <w:color w:val="231F20"/>
        </w:rPr>
        <w:t xml:space="preserve">Freisel, Heike “Schleyer, a German Story.” Litrix.de: German Literature Online. Translated by Philip Schmitz, </w:t>
      </w:r>
      <w:hyperlink r:id="rId582">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r>
          <w:rPr>
            <w:color w:val="231F20"/>
            <w:w w:val="102"/>
          </w:rPr>
          <w:t>l</w:t>
        </w:r>
        <w:r>
          <w:rPr>
            <w:color w:val="231F20"/>
          </w:rPr>
          <w:t>i</w:t>
        </w:r>
        <w:r>
          <w:rPr>
            <w:color w:val="231F20"/>
            <w:w w:val="98"/>
          </w:rPr>
          <w:t>t</w:t>
        </w:r>
        <w:r>
          <w:rPr>
            <w:color w:val="231F20"/>
            <w:w w:val="94"/>
          </w:rPr>
          <w:t>r</w:t>
        </w:r>
        <w:r>
          <w:rPr>
            <w:color w:val="231F20"/>
          </w:rPr>
          <w:t>i</w:t>
        </w:r>
        <w:r>
          <w:rPr>
            <w:color w:val="231F20"/>
            <w:w w:val="115"/>
          </w:rPr>
          <w:t>x</w:t>
        </w:r>
        <w:r>
          <w:rPr>
            <w:color w:val="231F20"/>
            <w:w w:val="135"/>
          </w:rPr>
          <w:t>.</w:t>
        </w:r>
        <w:r>
          <w:rPr>
            <w:color w:val="231F20"/>
            <w:w w:val="95"/>
          </w:rPr>
          <w:t>de</w:t>
        </w:r>
        <w:r>
          <w:rPr>
            <w:color w:val="231F20"/>
            <w:w w:val="56"/>
          </w:rPr>
          <w:t>/</w:t>
        </w:r>
        <w:r>
          <w:rPr>
            <w:color w:val="231F20"/>
            <w:w w:val="101"/>
          </w:rPr>
          <w:t>b</w:t>
        </w:r>
        <w:r>
          <w:rPr>
            <w:color w:val="231F20"/>
            <w:w w:val="96"/>
          </w:rPr>
          <w:t>ue</w:t>
        </w:r>
        <w:r>
          <w:rPr>
            <w:color w:val="231F20"/>
          </w:rPr>
          <w:t>ch</w:t>
        </w:r>
        <w:r>
          <w:rPr>
            <w:color w:val="231F20"/>
            <w:w w:val="91"/>
          </w:rPr>
          <w:t>e</w:t>
        </w:r>
        <w:r>
          <w:rPr>
            <w:color w:val="231F20"/>
            <w:w w:val="94"/>
          </w:rPr>
          <w:t>r</w:t>
        </w:r>
        <w:r>
          <w:rPr>
            <w:color w:val="231F20"/>
            <w:w w:val="56"/>
          </w:rPr>
          <w:t>/</w:t>
        </w:r>
        <w:r>
          <w:rPr>
            <w:color w:val="231F20"/>
            <w:w w:val="90"/>
          </w:rPr>
          <w:t>s</w:t>
        </w:r>
        <w:r>
          <w:rPr>
            <w:color w:val="231F20"/>
            <w:w w:val="102"/>
          </w:rPr>
          <w:t>a</w:t>
        </w:r>
        <w:r>
          <w:rPr>
            <w:color w:val="231F20"/>
          </w:rPr>
          <w:t>ch</w:t>
        </w:r>
        <w:r>
          <w:rPr>
            <w:color w:val="231F20"/>
            <w:w w:val="101"/>
          </w:rPr>
          <w:t>b</w:t>
        </w:r>
        <w:r>
          <w:rPr>
            <w:color w:val="231F20"/>
            <w:w w:val="96"/>
          </w:rPr>
          <w:t>ue</w:t>
        </w:r>
        <w:r>
          <w:rPr>
            <w:color w:val="231F20"/>
          </w:rPr>
          <w:t>ch</w:t>
        </w:r>
        <w:r>
          <w:rPr>
            <w:color w:val="231F20"/>
            <w:w w:val="91"/>
          </w:rPr>
          <w:t>e</w:t>
        </w:r>
        <w:r>
          <w:rPr>
            <w:color w:val="231F20"/>
            <w:w w:val="94"/>
          </w:rPr>
          <w:t>r</w:t>
        </w:r>
        <w:r>
          <w:rPr>
            <w:color w:val="231F20"/>
            <w:w w:val="56"/>
          </w:rPr>
          <w:t>/</w:t>
        </w:r>
        <w:r>
          <w:rPr>
            <w:color w:val="231F20"/>
            <w:w w:val="104"/>
          </w:rPr>
          <w:t>j</w:t>
        </w:r>
        <w:r>
          <w:rPr>
            <w:color w:val="231F20"/>
            <w:w w:val="102"/>
          </w:rPr>
          <w:t>a</w:t>
        </w:r>
        <w:r>
          <w:rPr>
            <w:color w:val="231F20"/>
          </w:rPr>
          <w:t>h</w:t>
        </w:r>
        <w:r>
          <w:rPr>
            <w:color w:val="231F20"/>
            <w:w w:val="94"/>
          </w:rPr>
          <w:t>r</w:t>
        </w:r>
        <w:r>
          <w:rPr>
            <w:color w:val="231F20"/>
            <w:w w:val="56"/>
          </w:rPr>
          <w:t>/</w:t>
        </w:r>
        <w:r>
          <w:rPr>
            <w:color w:val="231F20"/>
          </w:rPr>
          <w:t>2004</w:t>
        </w:r>
        <w:r>
          <w:rPr>
            <w:color w:val="231F20"/>
            <w:w w:val="56"/>
          </w:rPr>
          <w:t>/</w:t>
        </w:r>
      </w:hyperlink>
      <w:r>
        <w:rPr>
          <w:color w:val="231F20"/>
          <w:w w:val="56"/>
        </w:rPr>
        <w:t xml:space="preserve"> </w:t>
      </w:r>
      <w:r>
        <w:rPr>
          <w:color w:val="231F20"/>
          <w:w w:val="90"/>
        </w:rPr>
        <w:t>s</w:t>
      </w:r>
      <w:r>
        <w:rPr>
          <w:color w:val="231F20"/>
        </w:rPr>
        <w:t>ch</w:t>
      </w:r>
      <w:r>
        <w:rPr>
          <w:color w:val="231F20"/>
          <w:w w:val="95"/>
        </w:rPr>
        <w:t>le</w:t>
      </w:r>
      <w:r>
        <w:rPr>
          <w:color w:val="231F20"/>
          <w:w w:val="99"/>
        </w:rPr>
        <w:t>y</w:t>
      </w:r>
      <w:r>
        <w:rPr>
          <w:color w:val="231F20"/>
          <w:w w:val="91"/>
        </w:rPr>
        <w:t>e</w:t>
      </w:r>
      <w:r>
        <w:rPr>
          <w:color w:val="231F20"/>
          <w:w w:val="94"/>
        </w:rPr>
        <w:t>r</w:t>
      </w:r>
      <w:r>
        <w:rPr>
          <w:color w:val="231F20"/>
          <w:w w:val="56"/>
        </w:rPr>
        <w:t>/</w:t>
      </w:r>
      <w:r>
        <w:rPr>
          <w:color w:val="231F20"/>
          <w:w w:val="91"/>
        </w:rPr>
        <w:t>e</w:t>
      </w:r>
      <w:r>
        <w:rPr>
          <w:color w:val="231F20"/>
          <w:w w:val="99"/>
        </w:rPr>
        <w:t>n</w:t>
      </w:r>
      <w:r>
        <w:rPr>
          <w:color w:val="231F20"/>
        </w:rPr>
        <w:t>i</w:t>
      </w:r>
      <w:r>
        <w:rPr>
          <w:color w:val="231F20"/>
          <w:w w:val="99"/>
        </w:rPr>
        <w:t>n</w:t>
      </w:r>
      <w:r>
        <w:rPr>
          <w:color w:val="231F20"/>
        </w:rPr>
        <w:t>d</w:t>
      </w:r>
      <w:r>
        <w:rPr>
          <w:color w:val="231F20"/>
          <w:w w:val="102"/>
        </w:rPr>
        <w:t>ex</w:t>
      </w:r>
      <w:r>
        <w:rPr>
          <w:color w:val="231F20"/>
          <w:w w:val="135"/>
        </w:rPr>
        <w:t>.</w:t>
      </w:r>
      <w:r>
        <w:rPr>
          <w:color w:val="231F20"/>
        </w:rPr>
        <w:t>h</w:t>
      </w:r>
      <w:r>
        <w:rPr>
          <w:color w:val="231F20"/>
          <w:w w:val="98"/>
        </w:rPr>
        <w:t>t</w:t>
      </w:r>
      <w:r>
        <w:rPr>
          <w:color w:val="231F20"/>
          <w:w w:val="99"/>
        </w:rPr>
        <w:t>m</w:t>
      </w:r>
      <w:r>
        <w:rPr>
          <w:color w:val="231F20"/>
          <w:w w:val="135"/>
        </w:rPr>
        <w:t>.</w:t>
      </w:r>
    </w:p>
    <w:p w14:paraId="79DF29B4" w14:textId="77777777" w:rsidR="002653E8" w:rsidRDefault="003115E3">
      <w:pPr>
        <w:pStyle w:val="a3"/>
        <w:spacing w:before="163" w:line="244" w:lineRule="auto"/>
        <w:ind w:left="2461" w:right="1683" w:hanging="1134"/>
      </w:pPr>
      <w:r>
        <w:rPr>
          <w:color w:val="231F20"/>
        </w:rPr>
        <w:t xml:space="preserve">Marxists Internet Archive. “Lenin’s What is to be Done? TradeUnionist Politics and Social Democratic Politics.” </w:t>
      </w:r>
      <w:hyperlink r:id="rId583">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07"/>
          </w:rPr>
          <w:t>.m</w:t>
        </w:r>
        <w:r>
          <w:rPr>
            <w:color w:val="231F20"/>
            <w:w w:val="102"/>
          </w:rPr>
          <w:t>a</w:t>
        </w:r>
        <w:r>
          <w:rPr>
            <w:color w:val="231F20"/>
            <w:w w:val="94"/>
          </w:rPr>
          <w:t>r</w:t>
        </w:r>
        <w:r>
          <w:rPr>
            <w:color w:val="231F20"/>
            <w:w w:val="115"/>
          </w:rPr>
          <w:t>x</w:t>
        </w:r>
        <w:r>
          <w:rPr>
            <w:color w:val="231F20"/>
            <w:w w:val="94"/>
          </w:rPr>
          <w:t>is</w:t>
        </w:r>
        <w:r>
          <w:rPr>
            <w:color w:val="231F20"/>
            <w:w w:val="98"/>
          </w:rPr>
          <w:t>t</w:t>
        </w:r>
        <w:r>
          <w:rPr>
            <w:color w:val="231F20"/>
            <w:w w:val="105"/>
          </w:rPr>
          <w:t>s.</w:t>
        </w:r>
        <w:r>
          <w:rPr>
            <w:color w:val="231F20"/>
            <w:w w:val="104"/>
          </w:rPr>
          <w:t>o</w:t>
        </w:r>
        <w:r>
          <w:rPr>
            <w:color w:val="231F20"/>
            <w:w w:val="97"/>
          </w:rPr>
          <w:t>rg</w:t>
        </w:r>
        <w:r>
          <w:rPr>
            <w:color w:val="231F20"/>
            <w:w w:val="56"/>
          </w:rPr>
          <w:t>/</w:t>
        </w:r>
        <w:r>
          <w:rPr>
            <w:color w:val="231F20"/>
            <w:w w:val="102"/>
          </w:rPr>
          <w:t>a</w:t>
        </w:r>
        <w:r>
          <w:rPr>
            <w:color w:val="231F20"/>
            <w:w w:val="94"/>
          </w:rPr>
          <w:t>r</w:t>
        </w:r>
        <w:r>
          <w:rPr>
            <w:color w:val="231F20"/>
          </w:rPr>
          <w:t>chi</w:t>
        </w:r>
        <w:r>
          <w:rPr>
            <w:color w:val="231F20"/>
            <w:w w:val="99"/>
          </w:rPr>
          <w:t>v</w:t>
        </w:r>
        <w:r>
          <w:rPr>
            <w:color w:val="231F20"/>
            <w:w w:val="91"/>
          </w:rPr>
          <w:t>e</w:t>
        </w:r>
        <w:r>
          <w:rPr>
            <w:color w:val="231F20"/>
            <w:w w:val="56"/>
          </w:rPr>
          <w:t>/</w:t>
        </w:r>
        <w:r>
          <w:rPr>
            <w:color w:val="231F20"/>
            <w:w w:val="102"/>
          </w:rPr>
          <w:t>l</w:t>
        </w:r>
        <w:r>
          <w:rPr>
            <w:color w:val="231F20"/>
            <w:w w:val="91"/>
          </w:rPr>
          <w:t>e</w:t>
        </w:r>
        <w:r>
          <w:rPr>
            <w:color w:val="231F20"/>
            <w:w w:val="99"/>
          </w:rPr>
          <w:t>n</w:t>
        </w:r>
        <w:r>
          <w:rPr>
            <w:color w:val="231F20"/>
          </w:rPr>
          <w:t>i</w:t>
        </w:r>
        <w:r>
          <w:rPr>
            <w:color w:val="231F20"/>
            <w:w w:val="99"/>
          </w:rPr>
          <w:t>n</w:t>
        </w:r>
        <w:r>
          <w:rPr>
            <w:color w:val="231F20"/>
            <w:w w:val="56"/>
          </w:rPr>
          <w:t>/</w:t>
        </w:r>
        <w:r>
          <w:rPr>
            <w:color w:val="231F20"/>
          </w:rPr>
          <w:t>w</w:t>
        </w:r>
        <w:r>
          <w:rPr>
            <w:color w:val="231F20"/>
            <w:w w:val="104"/>
          </w:rPr>
          <w:t>o</w:t>
        </w:r>
        <w:r>
          <w:rPr>
            <w:color w:val="231F20"/>
            <w:w w:val="94"/>
          </w:rPr>
          <w:t>r</w:t>
        </w:r>
        <w:r>
          <w:rPr>
            <w:color w:val="231F20"/>
            <w:w w:val="106"/>
          </w:rPr>
          <w:t>k</w:t>
        </w:r>
        <w:r>
          <w:rPr>
            <w:color w:val="231F20"/>
            <w:w w:val="90"/>
          </w:rPr>
          <w:t>s</w:t>
        </w:r>
        <w:r>
          <w:rPr>
            <w:color w:val="231F20"/>
            <w:w w:val="56"/>
          </w:rPr>
          <w:t>/</w:t>
        </w:r>
        <w:r>
          <w:rPr>
            <w:color w:val="231F20"/>
          </w:rPr>
          <w:t>1901</w:t>
        </w:r>
        <w:r>
          <w:rPr>
            <w:color w:val="231F20"/>
            <w:w w:val="56"/>
          </w:rPr>
          <w:t>/</w:t>
        </w:r>
      </w:hyperlink>
      <w:r>
        <w:rPr>
          <w:color w:val="231F20"/>
          <w:w w:val="56"/>
        </w:rPr>
        <w:t xml:space="preserve"> </w:t>
      </w:r>
      <w:r>
        <w:rPr>
          <w:color w:val="231F20"/>
        </w:rPr>
        <w:t>wi</w:t>
      </w:r>
      <w:r>
        <w:rPr>
          <w:color w:val="231F20"/>
          <w:w w:val="98"/>
        </w:rPr>
        <w:t>t</w:t>
      </w:r>
      <w:r>
        <w:rPr>
          <w:color w:val="231F20"/>
          <w:w w:val="101"/>
        </w:rPr>
        <w:t>b</w:t>
      </w:r>
      <w:r>
        <w:rPr>
          <w:color w:val="231F20"/>
        </w:rPr>
        <w:t>d</w:t>
      </w:r>
      <w:r>
        <w:rPr>
          <w:color w:val="231F20"/>
          <w:w w:val="56"/>
        </w:rPr>
        <w:t>/</w:t>
      </w:r>
      <w:r>
        <w:rPr>
          <w:color w:val="231F20"/>
        </w:rPr>
        <w:t>iii</w:t>
      </w:r>
      <w:r>
        <w:rPr>
          <w:color w:val="231F20"/>
          <w:w w:val="135"/>
        </w:rPr>
        <w:t>.</w:t>
      </w:r>
      <w:r>
        <w:rPr>
          <w:color w:val="231F20"/>
        </w:rPr>
        <w:t>h</w:t>
      </w:r>
      <w:r>
        <w:rPr>
          <w:color w:val="231F20"/>
          <w:w w:val="98"/>
        </w:rPr>
        <w:t>t</w:t>
      </w:r>
      <w:r>
        <w:rPr>
          <w:color w:val="231F20"/>
          <w:w w:val="99"/>
        </w:rPr>
        <w:t>m</w:t>
      </w:r>
      <w:r>
        <w:rPr>
          <w:color w:val="231F20"/>
          <w:w w:val="89"/>
        </w:rPr>
        <w:t>#</w:t>
      </w:r>
      <w:r>
        <w:rPr>
          <w:color w:val="231F20"/>
          <w:w w:val="99"/>
        </w:rPr>
        <w:t>v</w:t>
      </w:r>
      <w:r>
        <w:rPr>
          <w:color w:val="231F20"/>
        </w:rPr>
        <w:t>05</w:t>
      </w:r>
      <w:r>
        <w:rPr>
          <w:color w:val="231F20"/>
          <w:w w:val="96"/>
        </w:rPr>
        <w:t>fl</w:t>
      </w:r>
      <w:r>
        <w:rPr>
          <w:color w:val="231F20"/>
        </w:rPr>
        <w:t>61h-397-</w:t>
      </w:r>
      <w:r>
        <w:rPr>
          <w:color w:val="231F20"/>
          <w:w w:val="119"/>
        </w:rPr>
        <w:t>GU</w:t>
      </w:r>
      <w:r>
        <w:rPr>
          <w:color w:val="231F20"/>
          <w:w w:val="106"/>
        </w:rPr>
        <w:t>E</w:t>
      </w:r>
      <w:r>
        <w:rPr>
          <w:color w:val="231F20"/>
        </w:rPr>
        <w:t>SS</w:t>
      </w:r>
      <w:r>
        <w:rPr>
          <w:color w:val="231F20"/>
          <w:w w:val="135"/>
        </w:rPr>
        <w:t>.</w:t>
      </w:r>
    </w:p>
    <w:p w14:paraId="014FD767" w14:textId="77777777" w:rsidR="002653E8" w:rsidRDefault="003115E3">
      <w:pPr>
        <w:pStyle w:val="a3"/>
        <w:spacing w:before="164" w:line="244" w:lineRule="auto"/>
        <w:ind w:left="2461" w:right="1436" w:hanging="1134"/>
      </w:pPr>
      <w:r>
        <w:rPr>
          <w:color w:val="231F20"/>
          <w:w w:val="105"/>
        </w:rPr>
        <w:t xml:space="preserve">-------------“Minimanual of the Urban Guerilla-Chapter 28.” </w:t>
      </w:r>
      <w:hyperlink r:id="rId584">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07"/>
          </w:rPr>
          <w:t>.m</w:t>
        </w:r>
        <w:r>
          <w:rPr>
            <w:color w:val="231F20"/>
            <w:w w:val="102"/>
          </w:rPr>
          <w:t>a</w:t>
        </w:r>
        <w:r>
          <w:rPr>
            <w:color w:val="231F20"/>
            <w:w w:val="94"/>
          </w:rPr>
          <w:t>r</w:t>
        </w:r>
        <w:r>
          <w:rPr>
            <w:color w:val="231F20"/>
            <w:w w:val="115"/>
          </w:rPr>
          <w:t>x</w:t>
        </w:r>
        <w:r>
          <w:rPr>
            <w:color w:val="231F20"/>
            <w:w w:val="94"/>
          </w:rPr>
          <w:t>is</w:t>
        </w:r>
        <w:r>
          <w:rPr>
            <w:color w:val="231F20"/>
            <w:w w:val="98"/>
          </w:rPr>
          <w:t>t</w:t>
        </w:r>
        <w:r>
          <w:rPr>
            <w:color w:val="231F20"/>
            <w:w w:val="105"/>
          </w:rPr>
          <w:t>s.</w:t>
        </w:r>
        <w:r>
          <w:rPr>
            <w:color w:val="231F20"/>
            <w:w w:val="104"/>
          </w:rPr>
          <w:t>o</w:t>
        </w:r>
        <w:r>
          <w:rPr>
            <w:color w:val="231F20"/>
            <w:w w:val="97"/>
          </w:rPr>
          <w:t>rg</w:t>
        </w:r>
        <w:r>
          <w:rPr>
            <w:color w:val="231F20"/>
            <w:w w:val="56"/>
          </w:rPr>
          <w:t>/</w:t>
        </w:r>
        <w:r>
          <w:rPr>
            <w:color w:val="231F20"/>
            <w:w w:val="102"/>
          </w:rPr>
          <w:t>a</w:t>
        </w:r>
        <w:r>
          <w:rPr>
            <w:color w:val="231F20"/>
            <w:w w:val="94"/>
          </w:rPr>
          <w:t>r</w:t>
        </w:r>
        <w:r>
          <w:rPr>
            <w:color w:val="231F20"/>
          </w:rPr>
          <w:t>chi</w:t>
        </w:r>
        <w:r>
          <w:rPr>
            <w:color w:val="231F20"/>
            <w:w w:val="99"/>
          </w:rPr>
          <w:t>v</w:t>
        </w:r>
        <w:r>
          <w:rPr>
            <w:color w:val="231F20"/>
            <w:w w:val="91"/>
          </w:rPr>
          <w:t>e</w:t>
        </w:r>
        <w:r>
          <w:rPr>
            <w:color w:val="231F20"/>
            <w:w w:val="56"/>
          </w:rPr>
          <w:t>/</w:t>
        </w:r>
        <w:r>
          <w:rPr>
            <w:color w:val="231F20"/>
            <w:w w:val="99"/>
          </w:rPr>
          <w:t>m</w:t>
        </w:r>
        <w:r>
          <w:rPr>
            <w:color w:val="231F20"/>
            <w:w w:val="102"/>
          </w:rPr>
          <w:t>a</w:t>
        </w:r>
        <w:r>
          <w:rPr>
            <w:color w:val="231F20"/>
            <w:w w:val="94"/>
          </w:rPr>
          <w:t>r</w:t>
        </w:r>
        <w:r>
          <w:rPr>
            <w:color w:val="231F20"/>
          </w:rPr>
          <w:t>i</w:t>
        </w:r>
        <w:r>
          <w:rPr>
            <w:color w:val="231F20"/>
            <w:w w:val="101"/>
          </w:rPr>
          <w:t>g</w:t>
        </w:r>
        <w:r>
          <w:rPr>
            <w:color w:val="231F20"/>
          </w:rPr>
          <w:t>h</w:t>
        </w:r>
        <w:r>
          <w:rPr>
            <w:color w:val="231F20"/>
            <w:w w:val="91"/>
          </w:rPr>
          <w:t>e</w:t>
        </w:r>
        <w:r>
          <w:rPr>
            <w:color w:val="231F20"/>
            <w:w w:val="102"/>
          </w:rPr>
          <w:t>lla</w:t>
        </w:r>
        <w:r>
          <w:rPr>
            <w:color w:val="231F20"/>
          </w:rPr>
          <w:t>-</w:t>
        </w:r>
      </w:hyperlink>
      <w:r>
        <w:rPr>
          <w:color w:val="231F20"/>
        </w:rPr>
        <w:t xml:space="preserve"> c</w:t>
      </w:r>
      <w:r>
        <w:rPr>
          <w:color w:val="231F20"/>
          <w:w w:val="102"/>
        </w:rPr>
        <w:t>a</w:t>
      </w:r>
      <w:r>
        <w:rPr>
          <w:color w:val="231F20"/>
          <w:w w:val="97"/>
        </w:rPr>
        <w:t>rl</w:t>
      </w:r>
      <w:r>
        <w:rPr>
          <w:color w:val="231F20"/>
          <w:w w:val="104"/>
        </w:rPr>
        <w:t>o</w:t>
      </w:r>
      <w:r>
        <w:rPr>
          <w:color w:val="231F20"/>
          <w:w w:val="90"/>
        </w:rPr>
        <w:t>s</w:t>
      </w:r>
      <w:r>
        <w:rPr>
          <w:color w:val="231F20"/>
          <w:w w:val="56"/>
        </w:rPr>
        <w:t>/</w:t>
      </w:r>
      <w:r>
        <w:rPr>
          <w:color w:val="231F20"/>
        </w:rPr>
        <w:t>1969</w:t>
      </w:r>
      <w:r>
        <w:rPr>
          <w:color w:val="231F20"/>
          <w:w w:val="56"/>
        </w:rPr>
        <w:t>/</w:t>
      </w:r>
      <w:r>
        <w:rPr>
          <w:color w:val="231F20"/>
        </w:rPr>
        <w:t>06</w:t>
      </w:r>
      <w:r>
        <w:rPr>
          <w:color w:val="231F20"/>
          <w:w w:val="56"/>
        </w:rPr>
        <w:t>/</w:t>
      </w:r>
      <w:r>
        <w:rPr>
          <w:color w:val="231F20"/>
          <w:w w:val="99"/>
        </w:rPr>
        <w:t>m</w:t>
      </w:r>
      <w:r>
        <w:rPr>
          <w:color w:val="231F20"/>
        </w:rPr>
        <w:t>i</w:t>
      </w:r>
      <w:r>
        <w:rPr>
          <w:color w:val="231F20"/>
          <w:w w:val="99"/>
        </w:rPr>
        <w:t>n</w:t>
      </w:r>
      <w:r>
        <w:rPr>
          <w:color w:val="231F20"/>
        </w:rPr>
        <w:t>im</w:t>
      </w:r>
      <w:r>
        <w:rPr>
          <w:color w:val="231F20"/>
          <w:w w:val="102"/>
        </w:rPr>
        <w:t>a</w:t>
      </w:r>
      <w:r>
        <w:rPr>
          <w:color w:val="231F20"/>
          <w:w w:val="99"/>
        </w:rPr>
        <w:t>n</w:t>
      </w:r>
      <w:r>
        <w:rPr>
          <w:color w:val="231F20"/>
        </w:rPr>
        <w:t>u</w:t>
      </w:r>
      <w:r>
        <w:rPr>
          <w:color w:val="231F20"/>
          <w:w w:val="102"/>
        </w:rPr>
        <w:t>al</w:t>
      </w:r>
      <w:r>
        <w:rPr>
          <w:color w:val="231F20"/>
        </w:rPr>
        <w:t>-u</w:t>
      </w:r>
      <w:r>
        <w:rPr>
          <w:color w:val="231F20"/>
          <w:w w:val="94"/>
        </w:rPr>
        <w:t>r</w:t>
      </w:r>
      <w:r>
        <w:rPr>
          <w:color w:val="231F20"/>
          <w:w w:val="101"/>
        </w:rPr>
        <w:t>b</w:t>
      </w:r>
      <w:r>
        <w:rPr>
          <w:color w:val="231F20"/>
          <w:w w:val="102"/>
        </w:rPr>
        <w:t>a</w:t>
      </w:r>
      <w:r>
        <w:rPr>
          <w:color w:val="231F20"/>
          <w:w w:val="99"/>
        </w:rPr>
        <w:t>n</w:t>
      </w:r>
      <w:r>
        <w:rPr>
          <w:color w:val="231F20"/>
        </w:rPr>
        <w:t>-gu</w:t>
      </w:r>
      <w:r>
        <w:rPr>
          <w:color w:val="231F20"/>
          <w:w w:val="91"/>
        </w:rPr>
        <w:t>e</w:t>
      </w:r>
      <w:r>
        <w:rPr>
          <w:color w:val="231F20"/>
          <w:w w:val="94"/>
        </w:rPr>
        <w:t>rr</w:t>
      </w:r>
      <w:r>
        <w:rPr>
          <w:color w:val="231F20"/>
        </w:rPr>
        <w:t>i</w:t>
      </w:r>
      <w:r>
        <w:rPr>
          <w:color w:val="231F20"/>
          <w:w w:val="102"/>
        </w:rPr>
        <w:t>lla</w:t>
      </w:r>
      <w:r>
        <w:rPr>
          <w:color w:val="231F20"/>
          <w:w w:val="56"/>
        </w:rPr>
        <w:t>/</w:t>
      </w:r>
      <w:r>
        <w:rPr>
          <w:color w:val="231F20"/>
        </w:rPr>
        <w:t>ch28</w:t>
      </w:r>
      <w:r>
        <w:rPr>
          <w:color w:val="231F20"/>
          <w:w w:val="135"/>
        </w:rPr>
        <w:t>.</w:t>
      </w:r>
      <w:r>
        <w:rPr>
          <w:color w:val="231F20"/>
          <w:w w:val="99"/>
        </w:rPr>
        <w:t>htm</w:t>
      </w:r>
      <w:r>
        <w:rPr>
          <w:color w:val="231F20"/>
          <w:w w:val="135"/>
        </w:rPr>
        <w:t>.</w:t>
      </w:r>
    </w:p>
    <w:p w14:paraId="6F074B61" w14:textId="77777777" w:rsidR="002653E8" w:rsidRDefault="003115E3">
      <w:pPr>
        <w:pStyle w:val="a3"/>
        <w:spacing w:before="162" w:line="244" w:lineRule="auto"/>
        <w:ind w:left="2461" w:right="1298" w:hanging="1134"/>
      </w:pPr>
      <w:r w:rsidRPr="00846956">
        <w:rPr>
          <w:color w:val="231F20"/>
          <w:lang w:val="de-DE"/>
        </w:rPr>
        <w:t xml:space="preserve">Materialien zur Analyse von Opposition. “USA Black Panther Party (BPP) und Angela Davis Materialien zur Analyse von Opposition, Von Jürgen Schröder, Berlin, 8.8.2005.” </w:t>
      </w:r>
      <w:hyperlink r:id="rId585">
        <w:r>
          <w:rPr>
            <w:color w:val="231F20"/>
            <w:w w:val="99"/>
          </w:rPr>
          <w:t>ht</w:t>
        </w:r>
        <w:r>
          <w:rPr>
            <w:color w:val="231F20"/>
            <w:w w:val="98"/>
          </w:rPr>
          <w:t>t</w:t>
        </w:r>
        <w:r>
          <w:rPr>
            <w:color w:val="231F20"/>
            <w:w w:val="99"/>
          </w:rPr>
          <w:t>p</w:t>
        </w:r>
        <w:r>
          <w:rPr>
            <w:color w:val="231F20"/>
            <w:w w:val="105"/>
          </w:rPr>
          <w:t>:</w:t>
        </w:r>
        <w:r>
          <w:rPr>
            <w:color w:val="231F20"/>
            <w:w w:val="56"/>
          </w:rPr>
          <w:t>//</w:t>
        </w:r>
        <w:r>
          <w:rPr>
            <w:color w:val="231F20"/>
          </w:rPr>
          <w:t>www</w:t>
        </w:r>
        <w:r>
          <w:rPr>
            <w:color w:val="231F20"/>
            <w:w w:val="135"/>
          </w:rPr>
          <w:t>.</w:t>
        </w:r>
        <w:r>
          <w:rPr>
            <w:color w:val="231F20"/>
            <w:w w:val="99"/>
          </w:rPr>
          <w:t>m</w:t>
        </w:r>
        <w:r>
          <w:rPr>
            <w:color w:val="231F20"/>
            <w:w w:val="102"/>
          </w:rPr>
          <w:t>a</w:t>
        </w:r>
        <w:r>
          <w:rPr>
            <w:color w:val="231F20"/>
            <w:w w:val="104"/>
          </w:rPr>
          <w:t>o</w:t>
        </w:r>
        <w:r>
          <w:rPr>
            <w:color w:val="231F20"/>
          </w:rPr>
          <w:t>-</w:t>
        </w:r>
        <w:r>
          <w:rPr>
            <w:color w:val="231F20"/>
            <w:w w:val="99"/>
          </w:rPr>
          <w:t>p</w:t>
        </w:r>
        <w:r>
          <w:rPr>
            <w:color w:val="231F20"/>
            <w:w w:val="94"/>
          </w:rPr>
          <w:t>r</w:t>
        </w:r>
        <w:r>
          <w:rPr>
            <w:color w:val="231F20"/>
            <w:w w:val="104"/>
          </w:rPr>
          <w:t>oj</w:t>
        </w:r>
        <w:r>
          <w:rPr>
            <w:color w:val="231F20"/>
            <w:w w:val="91"/>
          </w:rPr>
          <w:t>e</w:t>
        </w:r>
        <w:r>
          <w:rPr>
            <w:color w:val="231F20"/>
            <w:w w:val="106"/>
          </w:rPr>
          <w:t>k</w:t>
        </w:r>
        <w:r>
          <w:rPr>
            <w:color w:val="231F20"/>
            <w:w w:val="98"/>
          </w:rPr>
          <w:t>t</w:t>
        </w:r>
        <w:r>
          <w:rPr>
            <w:color w:val="231F20"/>
            <w:w w:val="135"/>
          </w:rPr>
          <w:t>.</w:t>
        </w:r>
        <w:r>
          <w:rPr>
            <w:color w:val="231F20"/>
          </w:rPr>
          <w:t>d</w:t>
        </w:r>
        <w:r>
          <w:rPr>
            <w:color w:val="231F20"/>
            <w:w w:val="91"/>
          </w:rPr>
          <w:t>e</w:t>
        </w:r>
        <w:r>
          <w:rPr>
            <w:color w:val="231F20"/>
            <w:w w:val="56"/>
          </w:rPr>
          <w:t>/</w:t>
        </w:r>
        <w:r>
          <w:rPr>
            <w:color w:val="231F20"/>
            <w:w w:val="115"/>
          </w:rPr>
          <w:t>IN</w:t>
        </w:r>
        <w:r>
          <w:rPr>
            <w:color w:val="231F20"/>
            <w:w w:val="112"/>
          </w:rPr>
          <w:t>T</w:t>
        </w:r>
        <w:r>
          <w:rPr>
            <w:color w:val="231F20"/>
            <w:w w:val="56"/>
          </w:rPr>
          <w:t>/</w:t>
        </w:r>
        <w:r>
          <w:rPr>
            <w:color w:val="231F20"/>
            <w:w w:val="119"/>
          </w:rPr>
          <w:t>NA</w:t>
        </w:r>
        <w:r>
          <w:rPr>
            <w:color w:val="231F20"/>
            <w:w w:val="56"/>
          </w:rPr>
          <w:t>/</w:t>
        </w:r>
        <w:r>
          <w:rPr>
            <w:color w:val="231F20"/>
            <w:w w:val="111"/>
          </w:rPr>
          <w:t>U</w:t>
        </w:r>
        <w:r>
          <w:rPr>
            <w:color w:val="231F20"/>
            <w:w w:val="109"/>
          </w:rPr>
          <w:t>SA</w:t>
        </w:r>
        <w:r>
          <w:rPr>
            <w:color w:val="231F20"/>
            <w:w w:val="56"/>
          </w:rPr>
          <w:t>/</w:t>
        </w:r>
        <w:r>
          <w:rPr>
            <w:color w:val="231F20"/>
            <w:w w:val="111"/>
          </w:rPr>
          <w:t>U</w:t>
        </w:r>
        <w:r>
          <w:rPr>
            <w:color w:val="231F20"/>
            <w:w w:val="109"/>
          </w:rPr>
          <w:t>SA</w:t>
        </w:r>
        <w:r>
          <w:rPr>
            <w:color w:val="231F20"/>
            <w:w w:val="134"/>
          </w:rPr>
          <w:t>_</w:t>
        </w:r>
        <w:r>
          <w:rPr>
            <w:color w:val="231F20"/>
            <w:w w:val="99"/>
          </w:rPr>
          <w:t>B</w:t>
        </w:r>
        <w:r>
          <w:rPr>
            <w:color w:val="231F20"/>
            <w:w w:val="102"/>
          </w:rPr>
          <w:t>l</w:t>
        </w:r>
        <w:r>
          <w:rPr>
            <w:color w:val="231F20"/>
            <w:w w:val="101"/>
          </w:rPr>
          <w:t>ac</w:t>
        </w:r>
        <w:r>
          <w:rPr>
            <w:color w:val="231F20"/>
            <w:w w:val="106"/>
          </w:rPr>
          <w:t>k</w:t>
        </w:r>
        <w:r>
          <w:rPr>
            <w:color w:val="231F20"/>
            <w:w w:val="134"/>
          </w:rPr>
          <w:t>_</w:t>
        </w:r>
      </w:hyperlink>
      <w:r>
        <w:rPr>
          <w:color w:val="231F20"/>
          <w:w w:val="134"/>
        </w:rPr>
        <w:t xml:space="preserve"> </w:t>
      </w:r>
      <w:r>
        <w:rPr>
          <w:color w:val="231F20"/>
        </w:rPr>
        <w:t>Panther_Party_und_Angela_Davis.html.</w:t>
      </w:r>
    </w:p>
    <w:p w14:paraId="05E3B497" w14:textId="77777777" w:rsidR="002653E8" w:rsidRDefault="003115E3">
      <w:pPr>
        <w:pStyle w:val="a3"/>
        <w:spacing w:before="165" w:line="244" w:lineRule="auto"/>
        <w:ind w:left="2461" w:right="1260" w:hanging="1134"/>
      </w:pPr>
      <w:r>
        <w:rPr>
          <w:color w:val="231F20"/>
        </w:rPr>
        <w:t xml:space="preserve">MIPT Terrorism Knowledge Base. “Black  September  attacked Business target (Feb. 8, 1972, Federal Republic of </w:t>
      </w:r>
      <w:r>
        <w:rPr>
          <w:color w:val="231F20"/>
          <w:w w:val="127"/>
        </w:rPr>
        <w:t>G</w:t>
      </w:r>
      <w:r>
        <w:rPr>
          <w:color w:val="231F20"/>
          <w:w w:val="92"/>
        </w:rPr>
        <w:t>er</w:t>
      </w:r>
      <w:r>
        <w:rPr>
          <w:color w:val="231F20"/>
          <w:w w:val="99"/>
        </w:rPr>
        <w:t>m</w:t>
      </w:r>
      <w:r>
        <w:rPr>
          <w:color w:val="231F20"/>
          <w:w w:val="102"/>
        </w:rPr>
        <w:t>a</w:t>
      </w:r>
      <w:r>
        <w:rPr>
          <w:color w:val="231F20"/>
          <w:w w:val="99"/>
        </w:rPr>
        <w:t>ny</w:t>
      </w:r>
      <w:r>
        <w:rPr>
          <w:color w:val="231F20"/>
          <w:w w:val="87"/>
        </w:rPr>
        <w:t>)</w:t>
      </w:r>
      <w:r>
        <w:rPr>
          <w:color w:val="231F20"/>
          <w:w w:val="135"/>
        </w:rPr>
        <w:t>.</w:t>
      </w:r>
      <w:r>
        <w:rPr>
          <w:color w:val="231F20"/>
          <w:w w:val="148"/>
        </w:rPr>
        <w:t>”</w:t>
      </w:r>
      <w:r>
        <w:rPr>
          <w:color w:val="231F20"/>
        </w:rPr>
        <w:t xml:space="preserve"> </w:t>
      </w:r>
      <w:hyperlink r:id="rId586">
        <w:r>
          <w:rPr>
            <w:color w:val="231F20"/>
          </w:rPr>
          <w:t>h</w:t>
        </w:r>
        <w:r>
          <w:rPr>
            <w:color w:val="231F20"/>
            <w:w w:val="98"/>
          </w:rPr>
          <w:t>tt</w:t>
        </w:r>
        <w:r>
          <w:rPr>
            <w:color w:val="231F20"/>
            <w:w w:val="101"/>
          </w:rPr>
          <w:t>p:</w:t>
        </w:r>
        <w:r>
          <w:rPr>
            <w:color w:val="231F20"/>
            <w:w w:val="56"/>
          </w:rPr>
          <w:t>//</w:t>
        </w:r>
        <w:r>
          <w:rPr>
            <w:color w:val="231F20"/>
          </w:rPr>
          <w:t>www</w:t>
        </w:r>
        <w:r>
          <w:rPr>
            <w:color w:val="231F20"/>
            <w:w w:val="135"/>
          </w:rPr>
          <w:t>.</w:t>
        </w:r>
        <w:r>
          <w:rPr>
            <w:color w:val="231F20"/>
            <w:w w:val="98"/>
          </w:rPr>
          <w:t>t</w:t>
        </w:r>
        <w:r>
          <w:rPr>
            <w:color w:val="231F20"/>
            <w:w w:val="103"/>
          </w:rPr>
          <w:t>kb</w:t>
        </w:r>
        <w:r>
          <w:rPr>
            <w:color w:val="231F20"/>
            <w:w w:val="135"/>
          </w:rPr>
          <w:t>.</w:t>
        </w:r>
        <w:r>
          <w:rPr>
            <w:color w:val="231F20"/>
            <w:w w:val="104"/>
          </w:rPr>
          <w:t>o</w:t>
        </w:r>
        <w:r>
          <w:rPr>
            <w:color w:val="231F20"/>
            <w:w w:val="94"/>
          </w:rPr>
          <w:t>r</w:t>
        </w:r>
        <w:r>
          <w:rPr>
            <w:color w:val="231F20"/>
            <w:w w:val="101"/>
          </w:rPr>
          <w:t>g</w:t>
        </w:r>
        <w:r>
          <w:rPr>
            <w:color w:val="231F20"/>
            <w:w w:val="56"/>
          </w:rPr>
          <w:t>/</w:t>
        </w:r>
        <w:r>
          <w:rPr>
            <w:color w:val="231F20"/>
            <w:w w:val="102"/>
          </w:rPr>
          <w:t>I</w:t>
        </w:r>
        <w:r>
          <w:rPr>
            <w:color w:val="231F20"/>
            <w:w w:val="99"/>
          </w:rPr>
          <w:t>n</w:t>
        </w:r>
        <w:r>
          <w:rPr>
            <w:color w:val="231F20"/>
          </w:rPr>
          <w:t>cid</w:t>
        </w:r>
        <w:r>
          <w:rPr>
            <w:color w:val="231F20"/>
            <w:w w:val="91"/>
          </w:rPr>
          <w:t>e</w:t>
        </w:r>
        <w:r>
          <w:rPr>
            <w:color w:val="231F20"/>
            <w:w w:val="99"/>
          </w:rPr>
          <w:t>n</w:t>
        </w:r>
        <w:r>
          <w:rPr>
            <w:color w:val="231F20"/>
            <w:w w:val="98"/>
          </w:rPr>
          <w:t>t</w:t>
        </w:r>
        <w:r>
          <w:rPr>
            <w:color w:val="231F20"/>
            <w:w w:val="135"/>
          </w:rPr>
          <w:t>.</w:t>
        </w:r>
        <w:r>
          <w:rPr>
            <w:color w:val="231F20"/>
            <w:w w:val="95"/>
          </w:rPr>
          <w:t>js</w:t>
        </w:r>
        <w:r>
          <w:rPr>
            <w:color w:val="231F20"/>
            <w:w w:val="99"/>
          </w:rPr>
          <w:t>p</w:t>
        </w:r>
        <w:r>
          <w:rPr>
            <w:color w:val="231F20"/>
            <w:w w:val="103"/>
          </w:rPr>
          <w:t>?i</w:t>
        </w:r>
        <w:r>
          <w:rPr>
            <w:color w:val="231F20"/>
            <w:w w:val="99"/>
          </w:rPr>
          <w:t>n</w:t>
        </w:r>
        <w:r>
          <w:rPr>
            <w:color w:val="231F20"/>
          </w:rPr>
          <w:t>c</w:t>
        </w:r>
        <w:r>
          <w:rPr>
            <w:color w:val="231F20"/>
            <w:w w:val="112"/>
          </w:rPr>
          <w:t>ID</w:t>
        </w:r>
        <w:r>
          <w:rPr>
            <w:color w:val="231F20"/>
          </w:rPr>
          <w:t>=790</w:t>
        </w:r>
        <w:r>
          <w:rPr>
            <w:color w:val="231F20"/>
            <w:w w:val="135"/>
          </w:rPr>
          <w:t>.</w:t>
        </w:r>
      </w:hyperlink>
    </w:p>
    <w:p w14:paraId="0B93B689" w14:textId="77777777" w:rsidR="002653E8" w:rsidRDefault="002653E8">
      <w:pPr>
        <w:spacing w:line="244" w:lineRule="auto"/>
        <w:sectPr w:rsidR="002653E8">
          <w:pgSz w:w="8640" w:h="12960"/>
          <w:pgMar w:top="1060" w:right="0" w:bottom="1040" w:left="0" w:header="0" w:footer="850" w:gutter="0"/>
          <w:cols w:space="720"/>
        </w:sectPr>
      </w:pPr>
    </w:p>
    <w:p w14:paraId="3CCE69A8" w14:textId="77777777" w:rsidR="002653E8" w:rsidRDefault="003115E3">
      <w:pPr>
        <w:pStyle w:val="a3"/>
        <w:spacing w:before="70" w:line="244" w:lineRule="auto"/>
        <w:ind w:left="2281" w:right="1457" w:hanging="1134"/>
      </w:pPr>
      <w:r>
        <w:rPr>
          <w:color w:val="231F20"/>
        </w:rPr>
        <w:lastRenderedPageBreak/>
        <w:t xml:space="preserve">Mongrel Media. “Magnolia Pictures </w:t>
      </w:r>
      <w:r>
        <w:rPr>
          <w:color w:val="231F20"/>
          <w:w w:val="110"/>
        </w:rPr>
        <w:t xml:space="preserve">&amp; </w:t>
      </w:r>
      <w:r>
        <w:rPr>
          <w:color w:val="231F20"/>
        </w:rPr>
        <w:t xml:space="preserve">Wild Bunch  </w:t>
      </w:r>
      <w:r>
        <w:rPr>
          <w:color w:val="231F20"/>
          <w:w w:val="95"/>
        </w:rPr>
        <w:t xml:space="preserve">/  </w:t>
      </w:r>
      <w:r>
        <w:rPr>
          <w:color w:val="231F20"/>
        </w:rPr>
        <w:t xml:space="preserve">yalla  Films Present Terror’s Advocate, a Film by Barbet Schroeder.” </w:t>
      </w:r>
      <w:hyperlink r:id="rId587">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r>
          <w:rPr>
            <w:color w:val="231F20"/>
            <w:w w:val="99"/>
          </w:rPr>
          <w:t>m</w:t>
        </w:r>
        <w:r>
          <w:rPr>
            <w:color w:val="231F20"/>
            <w:w w:val="104"/>
          </w:rPr>
          <w:t>o</w:t>
        </w:r>
        <w:r>
          <w:rPr>
            <w:color w:val="231F20"/>
            <w:w w:val="99"/>
          </w:rPr>
          <w:t>n</w:t>
        </w:r>
        <w:r>
          <w:rPr>
            <w:color w:val="231F20"/>
            <w:w w:val="101"/>
          </w:rPr>
          <w:t>g</w:t>
        </w:r>
        <w:r>
          <w:rPr>
            <w:color w:val="231F20"/>
            <w:w w:val="94"/>
          </w:rPr>
          <w:t>r</w:t>
        </w:r>
        <w:r>
          <w:rPr>
            <w:color w:val="231F20"/>
            <w:w w:val="91"/>
          </w:rPr>
          <w:t>e</w:t>
        </w:r>
        <w:r>
          <w:rPr>
            <w:color w:val="231F20"/>
            <w:w w:val="102"/>
          </w:rPr>
          <w:t>l</w:t>
        </w:r>
        <w:r>
          <w:rPr>
            <w:color w:val="231F20"/>
            <w:w w:val="99"/>
          </w:rPr>
          <w:t>m</w:t>
        </w:r>
        <w:r>
          <w:rPr>
            <w:color w:val="231F20"/>
            <w:w w:val="91"/>
          </w:rPr>
          <w:t>e</w:t>
        </w:r>
        <w:r>
          <w:rPr>
            <w:color w:val="231F20"/>
          </w:rPr>
          <w:t>di</w:t>
        </w:r>
        <w:r>
          <w:rPr>
            <w:color w:val="231F20"/>
            <w:w w:val="102"/>
          </w:rPr>
          <w:t>a</w:t>
        </w:r>
        <w:r>
          <w:rPr>
            <w:color w:val="231F20"/>
            <w:w w:val="135"/>
          </w:rPr>
          <w:t>.</w:t>
        </w:r>
        <w:r>
          <w:rPr>
            <w:color w:val="231F20"/>
          </w:rPr>
          <w:t>c</w:t>
        </w:r>
        <w:r>
          <w:rPr>
            <w:color w:val="231F20"/>
            <w:w w:val="101"/>
          </w:rPr>
          <w:t>om</w:t>
        </w:r>
        <w:r>
          <w:rPr>
            <w:color w:val="231F20"/>
            <w:w w:val="56"/>
          </w:rPr>
          <w:t>/</w:t>
        </w:r>
        <w:r>
          <w:rPr>
            <w:color w:val="231F20"/>
            <w:w w:val="97"/>
          </w:rPr>
          <w:t>pr</w:t>
        </w:r>
        <w:r>
          <w:rPr>
            <w:color w:val="231F20"/>
            <w:w w:val="91"/>
          </w:rPr>
          <w:t>e</w:t>
        </w:r>
        <w:r>
          <w:rPr>
            <w:color w:val="231F20"/>
            <w:w w:val="90"/>
          </w:rPr>
          <w:t>ss</w:t>
        </w:r>
        <w:r>
          <w:rPr>
            <w:color w:val="231F20"/>
            <w:w w:val="56"/>
          </w:rPr>
          <w:t>/</w:t>
        </w:r>
        <w:r>
          <w:rPr>
            <w:color w:val="231F20"/>
            <w:w w:val="112"/>
          </w:rPr>
          <w:t>T</w:t>
        </w:r>
        <w:r>
          <w:rPr>
            <w:color w:val="231F20"/>
            <w:w w:val="91"/>
          </w:rPr>
          <w:t>e</w:t>
        </w:r>
        <w:r>
          <w:rPr>
            <w:color w:val="231F20"/>
            <w:w w:val="94"/>
          </w:rPr>
          <w:t>rr</w:t>
        </w:r>
        <w:r>
          <w:rPr>
            <w:color w:val="231F20"/>
          </w:rPr>
          <w:t>or</w:t>
        </w:r>
        <w:r>
          <w:rPr>
            <w:color w:val="231F20"/>
            <w:w w:val="90"/>
          </w:rPr>
          <w:t>s</w:t>
        </w:r>
        <w:r>
          <w:rPr>
            <w:color w:val="231F20"/>
            <w:w w:val="134"/>
          </w:rPr>
          <w:t>_</w:t>
        </w:r>
        <w:r>
          <w:rPr>
            <w:color w:val="231F20"/>
            <w:w w:val="115"/>
          </w:rPr>
          <w:t>A</w:t>
        </w:r>
        <w:r>
          <w:rPr>
            <w:color w:val="231F20"/>
          </w:rPr>
          <w:t>d</w:t>
        </w:r>
        <w:r>
          <w:rPr>
            <w:color w:val="231F20"/>
            <w:w w:val="99"/>
          </w:rPr>
          <w:t>v</w:t>
        </w:r>
        <w:r>
          <w:rPr>
            <w:color w:val="231F20"/>
            <w:w w:val="104"/>
          </w:rPr>
          <w:t>o</w:t>
        </w:r>
        <w:r>
          <w:rPr>
            <w:color w:val="231F20"/>
          </w:rPr>
          <w:t>c</w:t>
        </w:r>
        <w:r>
          <w:rPr>
            <w:color w:val="231F20"/>
            <w:w w:val="102"/>
          </w:rPr>
          <w:t>a</w:t>
        </w:r>
        <w:r>
          <w:rPr>
            <w:color w:val="231F20"/>
            <w:w w:val="98"/>
          </w:rPr>
          <w:t>t</w:t>
        </w:r>
        <w:r>
          <w:rPr>
            <w:color w:val="231F20"/>
            <w:w w:val="91"/>
          </w:rPr>
          <w:t>e</w:t>
        </w:r>
        <w:r>
          <w:rPr>
            <w:color w:val="231F20"/>
            <w:w w:val="56"/>
          </w:rPr>
          <w:t>/</w:t>
        </w:r>
      </w:hyperlink>
      <w:r>
        <w:rPr>
          <w:color w:val="231F20"/>
          <w:w w:val="56"/>
        </w:rPr>
        <w:t xml:space="preserve"> </w:t>
      </w:r>
      <w:r>
        <w:rPr>
          <w:color w:val="231F20"/>
        </w:rPr>
        <w:t>press_kit.pdf.</w:t>
      </w:r>
    </w:p>
    <w:p w14:paraId="55B81B3C" w14:textId="77777777" w:rsidR="002653E8" w:rsidRDefault="003115E3">
      <w:pPr>
        <w:pStyle w:val="a3"/>
        <w:spacing w:before="163" w:line="244" w:lineRule="auto"/>
        <w:ind w:left="2282" w:right="1341" w:hanging="1134"/>
      </w:pPr>
      <w:r>
        <w:rPr>
          <w:color w:val="231F20"/>
          <w:w w:val="122"/>
        </w:rPr>
        <w:t>N</w:t>
      </w:r>
      <w:r>
        <w:rPr>
          <w:color w:val="231F20"/>
          <w:w w:val="104"/>
        </w:rPr>
        <w:t>o</w:t>
      </w:r>
      <w:r>
        <w:rPr>
          <w:color w:val="231F20"/>
          <w:w w:val="101"/>
        </w:rPr>
        <w:t>b</w:t>
      </w:r>
      <w:r>
        <w:rPr>
          <w:color w:val="231F20"/>
          <w:w w:val="91"/>
        </w:rPr>
        <w:t>e</w:t>
      </w:r>
      <w:r>
        <w:rPr>
          <w:color w:val="231F20"/>
          <w:w w:val="102"/>
        </w:rPr>
        <w:t>l</w:t>
      </w:r>
      <w:r>
        <w:rPr>
          <w:color w:val="231F20"/>
        </w:rPr>
        <w:t xml:space="preserve"> </w:t>
      </w:r>
      <w:r>
        <w:rPr>
          <w:color w:val="231F20"/>
          <w:w w:val="103"/>
        </w:rPr>
        <w:t>F</w:t>
      </w:r>
      <w:r>
        <w:rPr>
          <w:color w:val="231F20"/>
          <w:w w:val="104"/>
        </w:rPr>
        <w:t>o</w:t>
      </w:r>
      <w:r>
        <w:rPr>
          <w:color w:val="231F20"/>
        </w:rPr>
        <w:t>u</w:t>
      </w:r>
      <w:r>
        <w:rPr>
          <w:color w:val="231F20"/>
          <w:w w:val="99"/>
        </w:rPr>
        <w:t>n</w:t>
      </w:r>
      <w:r>
        <w:rPr>
          <w:color w:val="231F20"/>
        </w:rPr>
        <w:t>d</w:t>
      </w:r>
      <w:r>
        <w:rPr>
          <w:color w:val="231F20"/>
          <w:w w:val="102"/>
        </w:rPr>
        <w:t>a</w:t>
      </w:r>
      <w:r>
        <w:rPr>
          <w:color w:val="231F20"/>
          <w:w w:val="98"/>
        </w:rPr>
        <w:t>t</w:t>
      </w:r>
      <w:r>
        <w:rPr>
          <w:color w:val="231F20"/>
        </w:rPr>
        <w:t>i</w:t>
      </w:r>
      <w:r>
        <w:rPr>
          <w:color w:val="231F20"/>
          <w:w w:val="104"/>
        </w:rPr>
        <w:t>o</w:t>
      </w:r>
      <w:r>
        <w:rPr>
          <w:color w:val="231F20"/>
          <w:w w:val="99"/>
        </w:rPr>
        <w:t>n</w:t>
      </w:r>
      <w:r>
        <w:rPr>
          <w:color w:val="231F20"/>
          <w:w w:val="135"/>
        </w:rPr>
        <w:t>.</w:t>
      </w:r>
      <w:r>
        <w:rPr>
          <w:color w:val="231F20"/>
        </w:rPr>
        <w:t xml:space="preserve"> </w:t>
      </w:r>
      <w:r>
        <w:rPr>
          <w:color w:val="231F20"/>
          <w:w w:val="148"/>
        </w:rPr>
        <w:t>“</w:t>
      </w:r>
      <w:r>
        <w:rPr>
          <w:color w:val="231F20"/>
        </w:rPr>
        <w:t>S</w:t>
      </w:r>
      <w:r>
        <w:rPr>
          <w:color w:val="231F20"/>
          <w:w w:val="102"/>
        </w:rPr>
        <w:t>a</w:t>
      </w:r>
      <w:r>
        <w:rPr>
          <w:color w:val="231F20"/>
        </w:rPr>
        <w:t>u</w:t>
      </w:r>
      <w:r>
        <w:rPr>
          <w:color w:val="231F20"/>
          <w:w w:val="102"/>
        </w:rPr>
        <w:t>l</w:t>
      </w:r>
      <w:r>
        <w:rPr>
          <w:color w:val="231F20"/>
        </w:rPr>
        <w:t xml:space="preserve"> </w:t>
      </w:r>
      <w:r>
        <w:rPr>
          <w:color w:val="231F20"/>
          <w:w w:val="99"/>
        </w:rPr>
        <w:t>B</w:t>
      </w:r>
      <w:r>
        <w:rPr>
          <w:color w:val="231F20"/>
          <w:w w:val="91"/>
        </w:rPr>
        <w:t>e</w:t>
      </w:r>
      <w:r>
        <w:rPr>
          <w:color w:val="231F20"/>
          <w:w w:val="102"/>
        </w:rPr>
        <w:t>ll</w:t>
      </w:r>
      <w:r>
        <w:rPr>
          <w:color w:val="231F20"/>
          <w:w w:val="104"/>
        </w:rPr>
        <w:t>o</w:t>
      </w:r>
      <w:r>
        <w:rPr>
          <w:color w:val="231F20"/>
        </w:rPr>
        <w:t>w—</w:t>
      </w:r>
      <w:r>
        <w:rPr>
          <w:color w:val="231F20"/>
          <w:w w:val="122"/>
        </w:rPr>
        <w:t>N</w:t>
      </w:r>
      <w:r>
        <w:rPr>
          <w:color w:val="231F20"/>
          <w:w w:val="104"/>
        </w:rPr>
        <w:t>o</w:t>
      </w:r>
      <w:r>
        <w:rPr>
          <w:color w:val="231F20"/>
          <w:w w:val="101"/>
        </w:rPr>
        <w:t>b</w:t>
      </w:r>
      <w:r>
        <w:rPr>
          <w:color w:val="231F20"/>
          <w:w w:val="91"/>
        </w:rPr>
        <w:t>e</w:t>
      </w:r>
      <w:r>
        <w:rPr>
          <w:color w:val="231F20"/>
          <w:w w:val="102"/>
        </w:rPr>
        <w:t>l</w:t>
      </w:r>
      <w:r>
        <w:rPr>
          <w:color w:val="231F20"/>
        </w:rPr>
        <w:t xml:space="preserve"> </w:t>
      </w:r>
      <w:r>
        <w:rPr>
          <w:color w:val="231F20"/>
          <w:w w:val="113"/>
        </w:rPr>
        <w:t>L</w:t>
      </w:r>
      <w:r>
        <w:rPr>
          <w:color w:val="231F20"/>
          <w:w w:val="91"/>
        </w:rPr>
        <w:t>e</w:t>
      </w:r>
      <w:r>
        <w:rPr>
          <w:color w:val="231F20"/>
        </w:rPr>
        <w:t>c</w:t>
      </w:r>
      <w:r>
        <w:rPr>
          <w:color w:val="231F20"/>
          <w:w w:val="98"/>
        </w:rPr>
        <w:t>t</w:t>
      </w:r>
      <w:r>
        <w:rPr>
          <w:color w:val="231F20"/>
        </w:rPr>
        <w:t>u</w:t>
      </w:r>
      <w:r>
        <w:rPr>
          <w:color w:val="231F20"/>
          <w:w w:val="94"/>
        </w:rPr>
        <w:t>r</w:t>
      </w:r>
      <w:r>
        <w:rPr>
          <w:color w:val="231F20"/>
          <w:w w:val="91"/>
        </w:rPr>
        <w:t>e</w:t>
      </w:r>
      <w:r>
        <w:rPr>
          <w:color w:val="231F20"/>
          <w:w w:val="135"/>
        </w:rPr>
        <w:t>.</w:t>
      </w:r>
      <w:r>
        <w:rPr>
          <w:color w:val="231F20"/>
          <w:w w:val="148"/>
        </w:rPr>
        <w:t>”</w:t>
      </w:r>
      <w:r>
        <w:rPr>
          <w:color w:val="231F20"/>
        </w:rPr>
        <w:t xml:space="preserve"> </w:t>
      </w:r>
      <w:hyperlink r:id="rId588">
        <w:r>
          <w:rPr>
            <w:color w:val="231F20"/>
            <w:w w:val="99"/>
          </w:rPr>
          <w:t>ht</w:t>
        </w:r>
        <w:r>
          <w:rPr>
            <w:color w:val="231F20"/>
            <w:w w:val="98"/>
          </w:rPr>
          <w:t>t</w:t>
        </w:r>
        <w:r>
          <w:rPr>
            <w:color w:val="231F20"/>
            <w:w w:val="99"/>
          </w:rPr>
          <w:t>p</w:t>
        </w:r>
        <w:r>
          <w:rPr>
            <w:color w:val="231F20"/>
            <w:w w:val="105"/>
          </w:rPr>
          <w:t>:</w:t>
        </w:r>
        <w:r>
          <w:rPr>
            <w:color w:val="231F20"/>
            <w:w w:val="56"/>
          </w:rPr>
          <w:t>//</w:t>
        </w:r>
        <w:r>
          <w:rPr>
            <w:color w:val="231F20"/>
            <w:w w:val="99"/>
          </w:rPr>
          <w:t>n</w:t>
        </w:r>
        <w:r>
          <w:rPr>
            <w:color w:val="231F20"/>
            <w:w w:val="103"/>
          </w:rPr>
          <w:t>ob</w:t>
        </w:r>
        <w:r>
          <w:rPr>
            <w:color w:val="231F20"/>
            <w:w w:val="91"/>
          </w:rPr>
          <w:t>e</w:t>
        </w:r>
        <w:r>
          <w:rPr>
            <w:color w:val="231F20"/>
            <w:w w:val="102"/>
          </w:rPr>
          <w:t>l</w:t>
        </w:r>
        <w:r>
          <w:rPr>
            <w:color w:val="231F20"/>
            <w:w w:val="99"/>
          </w:rPr>
          <w:t>p</w:t>
        </w:r>
        <w:r>
          <w:rPr>
            <w:color w:val="231F20"/>
            <w:w w:val="94"/>
          </w:rPr>
          <w:t>r</w:t>
        </w:r>
        <w:r>
          <w:rPr>
            <w:color w:val="231F20"/>
          </w:rPr>
          <w:t>i</w:t>
        </w:r>
        <w:r>
          <w:rPr>
            <w:color w:val="231F20"/>
            <w:w w:val="97"/>
          </w:rPr>
          <w:t>z</w:t>
        </w:r>
        <w:r>
          <w:rPr>
            <w:color w:val="231F20"/>
            <w:w w:val="91"/>
          </w:rPr>
          <w:t>e</w:t>
        </w:r>
        <w:r>
          <w:rPr>
            <w:color w:val="231F20"/>
            <w:w w:val="135"/>
          </w:rPr>
          <w:t>.</w:t>
        </w:r>
      </w:hyperlink>
      <w:r>
        <w:rPr>
          <w:color w:val="231F20"/>
          <w:w w:val="135"/>
        </w:rPr>
        <w:t xml:space="preserve"> </w:t>
      </w:r>
      <w:r>
        <w:rPr>
          <w:color w:val="231F20"/>
          <w:w w:val="104"/>
        </w:rPr>
        <w:t>o</w:t>
      </w:r>
      <w:r>
        <w:rPr>
          <w:color w:val="231F20"/>
          <w:w w:val="94"/>
        </w:rPr>
        <w:t>r</w:t>
      </w:r>
      <w:r>
        <w:rPr>
          <w:color w:val="231F20"/>
          <w:w w:val="101"/>
        </w:rPr>
        <w:t>g</w:t>
      </w:r>
      <w:r>
        <w:rPr>
          <w:color w:val="231F20"/>
          <w:w w:val="56"/>
        </w:rPr>
        <w:t>/</w:t>
      </w:r>
      <w:r>
        <w:rPr>
          <w:color w:val="231F20"/>
          <w:w w:val="99"/>
        </w:rPr>
        <w:t>n</w:t>
      </w:r>
      <w:r>
        <w:rPr>
          <w:color w:val="231F20"/>
          <w:w w:val="104"/>
        </w:rPr>
        <w:t>o</w:t>
      </w:r>
      <w:r>
        <w:rPr>
          <w:color w:val="231F20"/>
          <w:w w:val="96"/>
        </w:rPr>
        <w:t>be</w:t>
      </w:r>
      <w:r>
        <w:rPr>
          <w:color w:val="231F20"/>
          <w:w w:val="102"/>
        </w:rPr>
        <w:t>l</w:t>
      </w:r>
      <w:r>
        <w:rPr>
          <w:color w:val="231F20"/>
          <w:w w:val="134"/>
        </w:rPr>
        <w:t>_</w:t>
      </w:r>
      <w:r>
        <w:rPr>
          <w:color w:val="231F20"/>
          <w:w w:val="99"/>
        </w:rPr>
        <w:t>p</w:t>
      </w:r>
      <w:r>
        <w:rPr>
          <w:color w:val="231F20"/>
          <w:w w:val="96"/>
        </w:rPr>
        <w:t>ri</w:t>
      </w:r>
      <w:r>
        <w:rPr>
          <w:color w:val="231F20"/>
          <w:w w:val="97"/>
        </w:rPr>
        <w:t>z</w:t>
      </w:r>
      <w:r>
        <w:rPr>
          <w:color w:val="231F20"/>
          <w:w w:val="90"/>
        </w:rPr>
        <w:t>es</w:t>
      </w:r>
      <w:r>
        <w:rPr>
          <w:color w:val="231F20"/>
          <w:w w:val="56"/>
        </w:rPr>
        <w:t>/</w:t>
      </w:r>
      <w:r>
        <w:rPr>
          <w:color w:val="231F20"/>
          <w:w w:val="102"/>
        </w:rPr>
        <w:t>l</w:t>
      </w:r>
      <w:r>
        <w:rPr>
          <w:color w:val="231F20"/>
        </w:rPr>
        <w:t>i</w:t>
      </w:r>
      <w:r>
        <w:rPr>
          <w:color w:val="231F20"/>
          <w:w w:val="98"/>
        </w:rPr>
        <w:t>t</w:t>
      </w:r>
      <w:r>
        <w:rPr>
          <w:color w:val="231F20"/>
          <w:w w:val="91"/>
        </w:rPr>
        <w:t>e</w:t>
      </w:r>
      <w:r>
        <w:rPr>
          <w:color w:val="231F20"/>
          <w:w w:val="94"/>
        </w:rPr>
        <w:t>r</w:t>
      </w:r>
      <w:r>
        <w:rPr>
          <w:color w:val="231F20"/>
          <w:w w:val="102"/>
        </w:rPr>
        <w:t>a</w:t>
      </w:r>
      <w:r>
        <w:rPr>
          <w:color w:val="231F20"/>
          <w:w w:val="98"/>
        </w:rPr>
        <w:t>t</w:t>
      </w:r>
      <w:r>
        <w:rPr>
          <w:color w:val="231F20"/>
        </w:rPr>
        <w:t>u</w:t>
      </w:r>
      <w:r>
        <w:rPr>
          <w:color w:val="231F20"/>
          <w:w w:val="94"/>
        </w:rPr>
        <w:t>r</w:t>
      </w:r>
      <w:r>
        <w:rPr>
          <w:color w:val="231F20"/>
          <w:w w:val="91"/>
        </w:rPr>
        <w:t>e</w:t>
      </w:r>
      <w:r>
        <w:rPr>
          <w:color w:val="231F20"/>
          <w:w w:val="56"/>
        </w:rPr>
        <w:t>/</w:t>
      </w:r>
      <w:r>
        <w:rPr>
          <w:color w:val="231F20"/>
          <w:w w:val="102"/>
        </w:rPr>
        <w:t>la</w:t>
      </w:r>
      <w:r>
        <w:rPr>
          <w:color w:val="231F20"/>
        </w:rPr>
        <w:t>u</w:t>
      </w:r>
      <w:r>
        <w:rPr>
          <w:color w:val="231F20"/>
          <w:w w:val="94"/>
        </w:rPr>
        <w:t>r</w:t>
      </w:r>
      <w:r>
        <w:rPr>
          <w:color w:val="231F20"/>
          <w:w w:val="91"/>
        </w:rPr>
        <w:t>e</w:t>
      </w:r>
      <w:r>
        <w:rPr>
          <w:color w:val="231F20"/>
          <w:w w:val="102"/>
        </w:rPr>
        <w:t>a</w:t>
      </w:r>
      <w:r>
        <w:rPr>
          <w:color w:val="231F20"/>
          <w:w w:val="98"/>
        </w:rPr>
        <w:t>t</w:t>
      </w:r>
      <w:r>
        <w:rPr>
          <w:color w:val="231F20"/>
          <w:w w:val="90"/>
        </w:rPr>
        <w:t>es</w:t>
      </w:r>
      <w:r>
        <w:rPr>
          <w:color w:val="231F20"/>
          <w:w w:val="56"/>
        </w:rPr>
        <w:t>/</w:t>
      </w:r>
      <w:r>
        <w:rPr>
          <w:color w:val="231F20"/>
        </w:rPr>
        <w:t>1976</w:t>
      </w:r>
      <w:r>
        <w:rPr>
          <w:color w:val="231F20"/>
          <w:w w:val="56"/>
        </w:rPr>
        <w:t>/</w:t>
      </w:r>
      <w:r>
        <w:rPr>
          <w:color w:val="231F20"/>
          <w:w w:val="101"/>
        </w:rPr>
        <w:t>b</w:t>
      </w:r>
      <w:r>
        <w:rPr>
          <w:color w:val="231F20"/>
          <w:w w:val="91"/>
        </w:rPr>
        <w:t>e</w:t>
      </w:r>
      <w:r>
        <w:rPr>
          <w:color w:val="231F20"/>
          <w:w w:val="102"/>
        </w:rPr>
        <w:t>ll</w:t>
      </w:r>
      <w:r>
        <w:rPr>
          <w:color w:val="231F20"/>
          <w:w w:val="104"/>
        </w:rPr>
        <w:t>o</w:t>
      </w:r>
      <w:r>
        <w:rPr>
          <w:color w:val="231F20"/>
        </w:rPr>
        <w:t>w-</w:t>
      </w:r>
      <w:r>
        <w:rPr>
          <w:color w:val="231F20"/>
          <w:w w:val="95"/>
        </w:rPr>
        <w:t>le</w:t>
      </w:r>
      <w:r>
        <w:rPr>
          <w:color w:val="231F20"/>
        </w:rPr>
        <w:t>c</w:t>
      </w:r>
      <w:r>
        <w:rPr>
          <w:color w:val="231F20"/>
          <w:w w:val="98"/>
        </w:rPr>
        <w:t>t</w:t>
      </w:r>
      <w:r>
        <w:rPr>
          <w:color w:val="231F20"/>
        </w:rPr>
        <w:t>u</w:t>
      </w:r>
      <w:r>
        <w:rPr>
          <w:color w:val="231F20"/>
          <w:w w:val="92"/>
        </w:rPr>
        <w:t>re</w:t>
      </w:r>
      <w:r>
        <w:rPr>
          <w:color w:val="231F20"/>
          <w:w w:val="135"/>
        </w:rPr>
        <w:t xml:space="preserve">. </w:t>
      </w:r>
      <w:r>
        <w:rPr>
          <w:color w:val="231F20"/>
        </w:rPr>
        <w:t>html.</w:t>
      </w:r>
    </w:p>
    <w:p w14:paraId="12F9B866" w14:textId="77777777" w:rsidR="002653E8" w:rsidRDefault="003115E3">
      <w:pPr>
        <w:pStyle w:val="a3"/>
        <w:spacing w:before="163"/>
        <w:ind w:left="1148"/>
      </w:pPr>
      <w:r>
        <w:rPr>
          <w:color w:val="231F20"/>
          <w:w w:val="105"/>
        </w:rPr>
        <w:t>Pisano, Vittorfranco S. “Terrorism in Italy.” (March 27, 1978).</w:t>
      </w:r>
    </w:p>
    <w:p w14:paraId="1123CE3D" w14:textId="77777777" w:rsidR="002653E8" w:rsidRDefault="003115E3">
      <w:pPr>
        <w:pStyle w:val="a3"/>
        <w:spacing w:before="5" w:line="244" w:lineRule="auto"/>
        <w:ind w:left="2281" w:right="1580"/>
      </w:pPr>
      <w:r>
        <w:rPr>
          <w:color w:val="231F20"/>
        </w:rPr>
        <w:t xml:space="preserve">Heritage Foundation. </w:t>
      </w:r>
      <w:hyperlink r:id="rId589">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r>
          <w:rPr>
            <w:color w:val="231F20"/>
          </w:rPr>
          <w:t>h</w:t>
        </w:r>
        <w:r>
          <w:rPr>
            <w:color w:val="231F20"/>
            <w:w w:val="91"/>
          </w:rPr>
          <w:t>e</w:t>
        </w:r>
        <w:r>
          <w:rPr>
            <w:color w:val="231F20"/>
            <w:w w:val="94"/>
          </w:rPr>
          <w:t>r</w:t>
        </w:r>
        <w:r>
          <w:rPr>
            <w:color w:val="231F20"/>
          </w:rPr>
          <w:t>i</w:t>
        </w:r>
        <w:r>
          <w:rPr>
            <w:color w:val="231F20"/>
            <w:w w:val="98"/>
          </w:rPr>
          <w:t>t</w:t>
        </w:r>
        <w:r>
          <w:rPr>
            <w:color w:val="231F20"/>
            <w:w w:val="102"/>
          </w:rPr>
          <w:t>a</w:t>
        </w:r>
        <w:r>
          <w:rPr>
            <w:color w:val="231F20"/>
            <w:w w:val="101"/>
          </w:rPr>
          <w:t>g</w:t>
        </w:r>
        <w:r>
          <w:rPr>
            <w:color w:val="231F20"/>
            <w:w w:val="91"/>
          </w:rPr>
          <w:t>e</w:t>
        </w:r>
        <w:r>
          <w:rPr>
            <w:color w:val="231F20"/>
            <w:w w:val="113"/>
          </w:rPr>
          <w:t>.o</w:t>
        </w:r>
        <w:r>
          <w:rPr>
            <w:color w:val="231F20"/>
            <w:w w:val="94"/>
          </w:rPr>
          <w:t>r</w:t>
        </w:r>
        <w:r>
          <w:rPr>
            <w:color w:val="231F20"/>
            <w:w w:val="101"/>
          </w:rPr>
          <w:t>g</w:t>
        </w:r>
        <w:r>
          <w:rPr>
            <w:color w:val="231F20"/>
            <w:w w:val="56"/>
          </w:rPr>
          <w:t>/</w:t>
        </w:r>
        <w:r>
          <w:rPr>
            <w:color w:val="231F20"/>
            <w:w w:val="116"/>
          </w:rPr>
          <w:t>R</w:t>
        </w:r>
        <w:r>
          <w:rPr>
            <w:color w:val="231F20"/>
            <w:w w:val="91"/>
          </w:rPr>
          <w:t>e</w:t>
        </w:r>
        <w:r>
          <w:rPr>
            <w:color w:val="231F20"/>
            <w:w w:val="90"/>
          </w:rPr>
          <w:t>s</w:t>
        </w:r>
        <w:r>
          <w:rPr>
            <w:color w:val="231F20"/>
            <w:w w:val="91"/>
          </w:rPr>
          <w:t>e</w:t>
        </w:r>
        <w:r>
          <w:rPr>
            <w:color w:val="231F20"/>
            <w:w w:val="102"/>
          </w:rPr>
          <w:t>a</w:t>
        </w:r>
        <w:r>
          <w:rPr>
            <w:color w:val="231F20"/>
            <w:w w:val="94"/>
          </w:rPr>
          <w:t>r</w:t>
        </w:r>
        <w:r>
          <w:rPr>
            <w:color w:val="231F20"/>
          </w:rPr>
          <w:t>ch</w:t>
        </w:r>
        <w:r>
          <w:rPr>
            <w:color w:val="231F20"/>
            <w:w w:val="56"/>
          </w:rPr>
          <w:t>/</w:t>
        </w:r>
        <w:r>
          <w:rPr>
            <w:color w:val="231F20"/>
            <w:w w:val="106"/>
          </w:rPr>
          <w:t>E</w:t>
        </w:r>
        <w:r>
          <w:rPr>
            <w:color w:val="231F20"/>
          </w:rPr>
          <w:t>urop</w:t>
        </w:r>
        <w:r>
          <w:rPr>
            <w:color w:val="231F20"/>
            <w:w w:val="91"/>
          </w:rPr>
          <w:t>e</w:t>
        </w:r>
        <w:r>
          <w:rPr>
            <w:color w:val="231F20"/>
            <w:w w:val="56"/>
          </w:rPr>
          <w:t>/</w:t>
        </w:r>
        <w:r>
          <w:rPr>
            <w:color w:val="231F20"/>
            <w:w w:val="101"/>
          </w:rPr>
          <w:t>bg</w:t>
        </w:r>
        <w:r>
          <w:rPr>
            <w:color w:val="231F20"/>
          </w:rPr>
          <w:t>56</w:t>
        </w:r>
        <w:r>
          <w:rPr>
            <w:color w:val="231F20"/>
            <w:w w:val="111"/>
          </w:rPr>
          <w:t>.c</w:t>
        </w:r>
        <w:r>
          <w:rPr>
            <w:color w:val="231F20"/>
            <w:w w:val="109"/>
          </w:rPr>
          <w:t>f</w:t>
        </w:r>
        <w:r>
          <w:rPr>
            <w:color w:val="231F20"/>
            <w:w w:val="99"/>
          </w:rPr>
          <w:t>m</w:t>
        </w:r>
        <w:r>
          <w:rPr>
            <w:color w:val="231F20"/>
            <w:w w:val="135"/>
          </w:rPr>
          <w:t>.</w:t>
        </w:r>
      </w:hyperlink>
    </w:p>
    <w:p w14:paraId="25ABC1F2" w14:textId="77777777" w:rsidR="002653E8" w:rsidRPr="00846956" w:rsidRDefault="003115E3">
      <w:pPr>
        <w:pStyle w:val="a3"/>
        <w:spacing w:before="162" w:line="244" w:lineRule="auto"/>
        <w:ind w:left="2281" w:right="1678" w:hanging="1134"/>
        <w:rPr>
          <w:lang w:val="de-DE"/>
        </w:rPr>
      </w:pPr>
      <w:r w:rsidRPr="00846956">
        <w:rPr>
          <w:color w:val="231F20"/>
          <w:w w:val="105"/>
          <w:lang w:val="de-DE"/>
        </w:rPr>
        <w:t xml:space="preserve">Reinders, Ralf, Klaus Viehmann, and Ronald Fritzsch. “Zu der angeblichen Auflösung der Bewegung 2. Juni im Juni 1980.” in bewegung bleiben. </w:t>
      </w:r>
      <w:hyperlink r:id="rId590">
        <w:r w:rsidRPr="00846956">
          <w:rPr>
            <w:color w:val="231F20"/>
            <w:lang w:val="de-DE"/>
          </w:rPr>
          <w:t>h</w:t>
        </w:r>
        <w:r w:rsidRPr="00846956">
          <w:rPr>
            <w:color w:val="231F20"/>
            <w:w w:val="98"/>
            <w:lang w:val="de-DE"/>
          </w:rPr>
          <w:t>tt</w:t>
        </w:r>
        <w:r w:rsidRPr="00846956">
          <w:rPr>
            <w:color w:val="231F20"/>
            <w:w w:val="99"/>
            <w:lang w:val="de-DE"/>
          </w:rPr>
          <w:t>p</w:t>
        </w:r>
        <w:r w:rsidRPr="00846956">
          <w:rPr>
            <w:color w:val="231F20"/>
            <w:w w:val="105"/>
            <w:lang w:val="de-DE"/>
          </w:rPr>
          <w:t>:</w:t>
        </w:r>
        <w:r w:rsidRPr="00846956">
          <w:rPr>
            <w:color w:val="231F20"/>
            <w:w w:val="56"/>
            <w:lang w:val="de-DE"/>
          </w:rPr>
          <w:t>//</w:t>
        </w:r>
        <w:r w:rsidRPr="00846956">
          <w:rPr>
            <w:color w:val="231F20"/>
            <w:lang w:val="de-DE"/>
          </w:rPr>
          <w:t>www</w:t>
        </w:r>
        <w:r w:rsidRPr="00846956">
          <w:rPr>
            <w:color w:val="231F20"/>
            <w:w w:val="135"/>
            <w:lang w:val="de-DE"/>
          </w:rPr>
          <w:t>.</w:t>
        </w:r>
        <w:r w:rsidRPr="00846956">
          <w:rPr>
            <w:color w:val="231F20"/>
            <w:w w:val="101"/>
            <w:lang w:val="de-DE"/>
          </w:rPr>
          <w:t>b</w:t>
        </w:r>
        <w:r w:rsidRPr="00846956">
          <w:rPr>
            <w:color w:val="231F20"/>
            <w:w w:val="91"/>
            <w:lang w:val="de-DE"/>
          </w:rPr>
          <w:t>e</w:t>
        </w:r>
        <w:r w:rsidRPr="00846956">
          <w:rPr>
            <w:color w:val="231F20"/>
            <w:lang w:val="de-DE"/>
          </w:rPr>
          <w:t>w</w:t>
        </w:r>
        <w:r w:rsidRPr="00846956">
          <w:rPr>
            <w:color w:val="231F20"/>
            <w:w w:val="91"/>
            <w:lang w:val="de-DE"/>
          </w:rPr>
          <w:t>e</w:t>
        </w:r>
        <w:r w:rsidRPr="00846956">
          <w:rPr>
            <w:color w:val="231F20"/>
            <w:w w:val="101"/>
            <w:lang w:val="de-DE"/>
          </w:rPr>
          <w:t>g</w:t>
        </w:r>
        <w:r w:rsidRPr="00846956">
          <w:rPr>
            <w:color w:val="231F20"/>
            <w:lang w:val="de-DE"/>
          </w:rPr>
          <w:t>u</w:t>
        </w:r>
        <w:r w:rsidRPr="00846956">
          <w:rPr>
            <w:color w:val="231F20"/>
            <w:w w:val="99"/>
            <w:lang w:val="de-DE"/>
          </w:rPr>
          <w:t>n</w:t>
        </w:r>
        <w:r w:rsidRPr="00846956">
          <w:rPr>
            <w:color w:val="231F20"/>
            <w:w w:val="101"/>
            <w:lang w:val="de-DE"/>
          </w:rPr>
          <w:t>g</w:t>
        </w:r>
        <w:r w:rsidRPr="00846956">
          <w:rPr>
            <w:color w:val="231F20"/>
            <w:w w:val="135"/>
            <w:lang w:val="de-DE"/>
          </w:rPr>
          <w:t>.</w:t>
        </w:r>
        <w:r w:rsidRPr="00846956">
          <w:rPr>
            <w:color w:val="231F20"/>
            <w:lang w:val="de-DE"/>
          </w:rPr>
          <w:t>i</w:t>
        </w:r>
        <w:r w:rsidRPr="00846956">
          <w:rPr>
            <w:color w:val="231F20"/>
            <w:w w:val="99"/>
            <w:lang w:val="de-DE"/>
          </w:rPr>
          <w:t>n</w:t>
        </w:r>
        <w:r w:rsidRPr="00846956">
          <w:rPr>
            <w:color w:val="231F20"/>
            <w:w w:val="56"/>
            <w:lang w:val="de-DE"/>
          </w:rPr>
          <w:t>/</w:t>
        </w:r>
        <w:r w:rsidRPr="00846956">
          <w:rPr>
            <w:color w:val="231F20"/>
            <w:w w:val="99"/>
            <w:lang w:val="de-DE"/>
          </w:rPr>
          <w:t>m</w:t>
        </w:r>
        <w:r w:rsidRPr="00846956">
          <w:rPr>
            <w:color w:val="231F20"/>
            <w:w w:val="102"/>
            <w:lang w:val="de-DE"/>
          </w:rPr>
          <w:t>a</w:t>
        </w:r>
        <w:r w:rsidRPr="00846956">
          <w:rPr>
            <w:color w:val="231F20"/>
            <w:w w:val="94"/>
            <w:lang w:val="de-DE"/>
          </w:rPr>
          <w:t>te</w:t>
        </w:r>
        <w:r w:rsidRPr="00846956">
          <w:rPr>
            <w:color w:val="231F20"/>
            <w:w w:val="134"/>
            <w:lang w:val="de-DE"/>
          </w:rPr>
          <w:t>_</w:t>
        </w:r>
        <w:r w:rsidRPr="00846956">
          <w:rPr>
            <w:color w:val="231F20"/>
            <w:w w:val="99"/>
            <w:lang w:val="de-DE"/>
          </w:rPr>
          <w:t>n</w:t>
        </w:r>
        <w:r w:rsidRPr="00846956">
          <w:rPr>
            <w:color w:val="231F20"/>
            <w:lang w:val="de-DE"/>
          </w:rPr>
          <w:t>ich</w:t>
        </w:r>
        <w:r w:rsidRPr="00846956">
          <w:rPr>
            <w:color w:val="231F20"/>
            <w:w w:val="98"/>
            <w:lang w:val="de-DE"/>
          </w:rPr>
          <w:t>t</w:t>
        </w:r>
        <w:r w:rsidRPr="00846956">
          <w:rPr>
            <w:color w:val="231F20"/>
            <w:w w:val="102"/>
            <w:lang w:val="de-DE"/>
          </w:rPr>
          <w:t>a</w:t>
        </w:r>
        <w:r w:rsidRPr="00846956">
          <w:rPr>
            <w:color w:val="231F20"/>
            <w:lang w:val="de-DE"/>
          </w:rPr>
          <w:t>uflo</w:t>
        </w:r>
        <w:r w:rsidRPr="00846956">
          <w:rPr>
            <w:color w:val="231F20"/>
            <w:w w:val="91"/>
            <w:lang w:val="de-DE"/>
          </w:rPr>
          <w:t>e</w:t>
        </w:r>
        <w:r w:rsidRPr="00846956">
          <w:rPr>
            <w:color w:val="231F20"/>
            <w:w w:val="90"/>
            <w:lang w:val="de-DE"/>
          </w:rPr>
          <w:t>s</w:t>
        </w:r>
        <w:r w:rsidRPr="00846956">
          <w:rPr>
            <w:color w:val="231F20"/>
            <w:lang w:val="de-DE"/>
          </w:rPr>
          <w:t>u</w:t>
        </w:r>
        <w:r w:rsidRPr="00846956">
          <w:rPr>
            <w:color w:val="231F20"/>
            <w:w w:val="99"/>
            <w:lang w:val="de-DE"/>
          </w:rPr>
          <w:t>n</w:t>
        </w:r>
        <w:r w:rsidRPr="00846956">
          <w:rPr>
            <w:color w:val="231F20"/>
            <w:w w:val="101"/>
            <w:lang w:val="de-DE"/>
          </w:rPr>
          <w:t>g</w:t>
        </w:r>
        <w:r w:rsidRPr="00846956">
          <w:rPr>
            <w:color w:val="231F20"/>
            <w:w w:val="135"/>
            <w:lang w:val="de-DE"/>
          </w:rPr>
          <w:t>.</w:t>
        </w:r>
        <w:r w:rsidRPr="00846956">
          <w:rPr>
            <w:color w:val="231F20"/>
            <w:lang w:val="de-DE"/>
          </w:rPr>
          <w:t>h</w:t>
        </w:r>
        <w:r w:rsidRPr="00846956">
          <w:rPr>
            <w:color w:val="231F20"/>
            <w:w w:val="98"/>
            <w:lang w:val="de-DE"/>
          </w:rPr>
          <w:t>t</w:t>
        </w:r>
        <w:r w:rsidRPr="00846956">
          <w:rPr>
            <w:color w:val="231F20"/>
            <w:w w:val="99"/>
            <w:lang w:val="de-DE"/>
          </w:rPr>
          <w:t>m</w:t>
        </w:r>
        <w:r w:rsidRPr="00846956">
          <w:rPr>
            <w:color w:val="231F20"/>
            <w:w w:val="102"/>
            <w:lang w:val="de-DE"/>
          </w:rPr>
          <w:t>l</w:t>
        </w:r>
        <w:r w:rsidRPr="00846956">
          <w:rPr>
            <w:color w:val="231F20"/>
            <w:w w:val="135"/>
            <w:lang w:val="de-DE"/>
          </w:rPr>
          <w:t>.</w:t>
        </w:r>
      </w:hyperlink>
    </w:p>
    <w:p w14:paraId="493C14D7" w14:textId="77777777" w:rsidR="002653E8" w:rsidRPr="00846956" w:rsidRDefault="003115E3">
      <w:pPr>
        <w:pStyle w:val="a3"/>
        <w:spacing w:before="163" w:line="244" w:lineRule="auto"/>
        <w:ind w:left="2281" w:right="1479" w:hanging="1134"/>
        <w:rPr>
          <w:lang w:val="de-DE"/>
        </w:rPr>
      </w:pPr>
      <w:r w:rsidRPr="00846956">
        <w:rPr>
          <w:color w:val="231F20"/>
          <w:lang w:val="de-DE"/>
        </w:rPr>
        <w:t xml:space="preserve">Rote Hilfe </w:t>
      </w:r>
      <w:r w:rsidRPr="00846956">
        <w:rPr>
          <w:color w:val="231F20"/>
          <w:spacing w:val="-7"/>
          <w:lang w:val="de-DE"/>
        </w:rPr>
        <w:t xml:space="preserve">e.v. </w:t>
      </w:r>
      <w:r w:rsidRPr="00846956">
        <w:rPr>
          <w:color w:val="231F20"/>
          <w:spacing w:val="30"/>
          <w:lang w:val="de-DE"/>
        </w:rPr>
        <w:t xml:space="preserve"> </w:t>
      </w:r>
      <w:r w:rsidRPr="00846956">
        <w:rPr>
          <w:color w:val="231F20"/>
          <w:lang w:val="de-DE"/>
        </w:rPr>
        <w:t xml:space="preserve">“Zwischen  </w:t>
      </w:r>
      <w:r w:rsidR="00C507A5" w:rsidRPr="00846956">
        <w:rPr>
          <w:color w:val="231F20"/>
          <w:lang w:val="de-DE"/>
        </w:rPr>
        <w:t>red army faction</w:t>
      </w:r>
      <w:r w:rsidRPr="00846956">
        <w:rPr>
          <w:color w:val="231F20"/>
          <w:lang w:val="de-DE"/>
        </w:rPr>
        <w:t xml:space="preserve">-Solidarität  und  „linker  Caritas“   </w:t>
      </w:r>
      <w:r w:rsidRPr="00846956">
        <w:rPr>
          <w:color w:val="231F20"/>
          <w:spacing w:val="-4"/>
          <w:lang w:val="de-DE"/>
        </w:rPr>
        <w:t xml:space="preserve">Teil </w:t>
      </w:r>
      <w:r w:rsidRPr="00846956">
        <w:rPr>
          <w:color w:val="231F20"/>
          <w:lang w:val="de-DE"/>
        </w:rPr>
        <w:t>1</w:t>
      </w:r>
      <w:r w:rsidRPr="00846956">
        <w:rPr>
          <w:color w:val="231F20"/>
          <w:spacing w:val="8"/>
          <w:lang w:val="de-DE"/>
        </w:rPr>
        <w:t xml:space="preserve"> </w:t>
      </w:r>
      <w:r w:rsidRPr="00846956">
        <w:rPr>
          <w:color w:val="231F20"/>
          <w:w w:val="95"/>
          <w:lang w:val="de-DE"/>
        </w:rPr>
        <w:t>/</w:t>
      </w:r>
      <w:r w:rsidRPr="00846956">
        <w:rPr>
          <w:color w:val="231F20"/>
          <w:spacing w:val="11"/>
          <w:w w:val="95"/>
          <w:lang w:val="de-DE"/>
        </w:rPr>
        <w:t xml:space="preserve"> </w:t>
      </w:r>
      <w:r w:rsidRPr="00846956">
        <w:rPr>
          <w:color w:val="231F20"/>
          <w:lang w:val="de-DE"/>
        </w:rPr>
        <w:t>1</w:t>
      </w:r>
      <w:r w:rsidRPr="00846956">
        <w:rPr>
          <w:color w:val="231F20"/>
          <w:spacing w:val="8"/>
          <w:lang w:val="de-DE"/>
        </w:rPr>
        <w:t xml:space="preserve"> </w:t>
      </w:r>
      <w:r w:rsidRPr="00846956">
        <w:rPr>
          <w:color w:val="231F20"/>
          <w:w w:val="95"/>
          <w:lang w:val="de-DE"/>
        </w:rPr>
        <w:t>/</w:t>
      </w:r>
      <w:r w:rsidRPr="00846956">
        <w:rPr>
          <w:color w:val="231F20"/>
          <w:spacing w:val="11"/>
          <w:w w:val="95"/>
          <w:lang w:val="de-DE"/>
        </w:rPr>
        <w:t xml:space="preserve"> </w:t>
      </w:r>
      <w:r w:rsidRPr="00846956">
        <w:rPr>
          <w:color w:val="231F20"/>
          <w:lang w:val="de-DE"/>
        </w:rPr>
        <w:t>2007</w:t>
      </w:r>
      <w:r w:rsidRPr="00846956">
        <w:rPr>
          <w:color w:val="231F20"/>
          <w:spacing w:val="8"/>
          <w:lang w:val="de-DE"/>
        </w:rPr>
        <w:t xml:space="preserve"> </w:t>
      </w:r>
      <w:r w:rsidRPr="00846956">
        <w:rPr>
          <w:color w:val="231F20"/>
          <w:w w:val="95"/>
          <w:lang w:val="de-DE"/>
        </w:rPr>
        <w:t>/</w:t>
      </w:r>
      <w:r w:rsidRPr="00846956">
        <w:rPr>
          <w:color w:val="231F20"/>
          <w:spacing w:val="11"/>
          <w:w w:val="95"/>
          <w:lang w:val="de-DE"/>
        </w:rPr>
        <w:t xml:space="preserve"> </w:t>
      </w:r>
      <w:r w:rsidRPr="00846956">
        <w:rPr>
          <w:color w:val="231F20"/>
          <w:lang w:val="de-DE"/>
        </w:rPr>
        <w:t>Die</w:t>
      </w:r>
      <w:r w:rsidRPr="00846956">
        <w:rPr>
          <w:color w:val="231F20"/>
          <w:spacing w:val="8"/>
          <w:lang w:val="de-DE"/>
        </w:rPr>
        <w:t xml:space="preserve"> </w:t>
      </w:r>
      <w:r w:rsidRPr="00846956">
        <w:rPr>
          <w:color w:val="231F20"/>
          <w:lang w:val="de-DE"/>
        </w:rPr>
        <w:t>Rote</w:t>
      </w:r>
      <w:r w:rsidRPr="00846956">
        <w:rPr>
          <w:color w:val="231F20"/>
          <w:spacing w:val="8"/>
          <w:lang w:val="de-DE"/>
        </w:rPr>
        <w:t xml:space="preserve"> </w:t>
      </w:r>
      <w:r w:rsidRPr="00846956">
        <w:rPr>
          <w:color w:val="231F20"/>
          <w:lang w:val="de-DE"/>
        </w:rPr>
        <w:t>Hilfe</w:t>
      </w:r>
      <w:r w:rsidRPr="00846956">
        <w:rPr>
          <w:color w:val="231F20"/>
          <w:spacing w:val="8"/>
          <w:lang w:val="de-DE"/>
        </w:rPr>
        <w:t xml:space="preserve"> </w:t>
      </w:r>
      <w:r w:rsidRPr="00846956">
        <w:rPr>
          <w:color w:val="231F20"/>
          <w:lang w:val="de-DE"/>
        </w:rPr>
        <w:t>Zeitung</w:t>
      </w:r>
      <w:r w:rsidRPr="00846956">
        <w:rPr>
          <w:color w:val="231F20"/>
          <w:spacing w:val="8"/>
          <w:lang w:val="de-DE"/>
        </w:rPr>
        <w:t xml:space="preserve"> </w:t>
      </w:r>
      <w:r w:rsidRPr="00846956">
        <w:rPr>
          <w:color w:val="231F20"/>
          <w:w w:val="95"/>
          <w:lang w:val="de-DE"/>
        </w:rPr>
        <w:t>/</w:t>
      </w:r>
      <w:r w:rsidRPr="00846956">
        <w:rPr>
          <w:color w:val="231F20"/>
          <w:spacing w:val="11"/>
          <w:w w:val="95"/>
          <w:lang w:val="de-DE"/>
        </w:rPr>
        <w:t xml:space="preserve"> </w:t>
      </w:r>
      <w:r w:rsidRPr="00846956">
        <w:rPr>
          <w:color w:val="231F20"/>
          <w:lang w:val="de-DE"/>
        </w:rPr>
        <w:t>Publikationen</w:t>
      </w:r>
    </w:p>
    <w:p w14:paraId="20F8513A" w14:textId="77777777" w:rsidR="002653E8" w:rsidRPr="00846956" w:rsidRDefault="003115E3">
      <w:pPr>
        <w:pStyle w:val="a3"/>
        <w:spacing w:before="2" w:line="244" w:lineRule="auto"/>
        <w:ind w:left="2281" w:right="1580"/>
        <w:rPr>
          <w:lang w:val="de-DE"/>
        </w:rPr>
      </w:pPr>
      <w:r w:rsidRPr="00846956">
        <w:rPr>
          <w:color w:val="231F20"/>
          <w:w w:val="56"/>
          <w:lang w:val="de-DE"/>
        </w:rPr>
        <w:t>/</w:t>
      </w:r>
      <w:r w:rsidRPr="00846956">
        <w:rPr>
          <w:color w:val="231F20"/>
          <w:lang w:val="de-DE"/>
        </w:rPr>
        <w:t xml:space="preserve"> </w:t>
      </w:r>
      <w:r w:rsidRPr="00846956">
        <w:rPr>
          <w:color w:val="231F20"/>
          <w:w w:val="116"/>
          <w:lang w:val="de-DE"/>
        </w:rPr>
        <w:t>R</w:t>
      </w:r>
      <w:r w:rsidRPr="00846956">
        <w:rPr>
          <w:color w:val="231F20"/>
          <w:w w:val="104"/>
          <w:lang w:val="de-DE"/>
        </w:rPr>
        <w:t>o</w:t>
      </w:r>
      <w:r w:rsidRPr="00846956">
        <w:rPr>
          <w:color w:val="231F20"/>
          <w:w w:val="98"/>
          <w:lang w:val="de-DE"/>
        </w:rPr>
        <w:t>t</w:t>
      </w:r>
      <w:r w:rsidRPr="00846956">
        <w:rPr>
          <w:color w:val="231F20"/>
          <w:w w:val="91"/>
          <w:lang w:val="de-DE"/>
        </w:rPr>
        <w:t>e</w:t>
      </w:r>
      <w:r w:rsidRPr="00846956">
        <w:rPr>
          <w:color w:val="231F20"/>
          <w:lang w:val="de-DE"/>
        </w:rPr>
        <w:t xml:space="preserve"> </w:t>
      </w:r>
      <w:r w:rsidRPr="00846956">
        <w:rPr>
          <w:color w:val="231F20"/>
          <w:w w:val="121"/>
          <w:lang w:val="de-DE"/>
        </w:rPr>
        <w:t>H</w:t>
      </w:r>
      <w:r w:rsidRPr="00846956">
        <w:rPr>
          <w:color w:val="231F20"/>
          <w:lang w:val="de-DE"/>
        </w:rPr>
        <w:t>i</w:t>
      </w:r>
      <w:r w:rsidRPr="00846956">
        <w:rPr>
          <w:color w:val="231F20"/>
          <w:w w:val="102"/>
          <w:lang w:val="de-DE"/>
        </w:rPr>
        <w:t>l</w:t>
      </w:r>
      <w:r w:rsidRPr="00846956">
        <w:rPr>
          <w:color w:val="231F20"/>
          <w:w w:val="109"/>
          <w:lang w:val="de-DE"/>
        </w:rPr>
        <w:t>f</w:t>
      </w:r>
      <w:r w:rsidRPr="00846956">
        <w:rPr>
          <w:color w:val="231F20"/>
          <w:w w:val="91"/>
          <w:lang w:val="de-DE"/>
        </w:rPr>
        <w:t>e</w:t>
      </w:r>
      <w:r w:rsidRPr="00846956">
        <w:rPr>
          <w:color w:val="231F20"/>
          <w:lang w:val="de-DE"/>
        </w:rPr>
        <w:t xml:space="preserve"> </w:t>
      </w:r>
      <w:r w:rsidRPr="00846956">
        <w:rPr>
          <w:color w:val="231F20"/>
          <w:w w:val="91"/>
          <w:lang w:val="de-DE"/>
        </w:rPr>
        <w:t>e</w:t>
      </w:r>
      <w:r w:rsidRPr="00846956">
        <w:rPr>
          <w:color w:val="231F20"/>
          <w:w w:val="135"/>
          <w:lang w:val="de-DE"/>
        </w:rPr>
        <w:t>.</w:t>
      </w:r>
      <w:r w:rsidRPr="00846956">
        <w:rPr>
          <w:color w:val="231F20"/>
          <w:w w:val="119"/>
          <w:lang w:val="de-DE"/>
        </w:rPr>
        <w:t>V</w:t>
      </w:r>
      <w:r w:rsidRPr="00846956">
        <w:rPr>
          <w:color w:val="231F20"/>
          <w:w w:val="135"/>
          <w:lang w:val="de-DE"/>
        </w:rPr>
        <w:t>.</w:t>
      </w:r>
      <w:r w:rsidRPr="00846956">
        <w:rPr>
          <w:color w:val="231F20"/>
          <w:lang w:val="de-DE"/>
        </w:rPr>
        <w:t xml:space="preserve"> </w:t>
      </w:r>
      <w:r w:rsidRPr="00846956">
        <w:rPr>
          <w:color w:val="231F20"/>
          <w:w w:val="116"/>
          <w:lang w:val="de-DE"/>
        </w:rPr>
        <w:t>R</w:t>
      </w:r>
      <w:r w:rsidRPr="00846956">
        <w:rPr>
          <w:color w:val="231F20"/>
          <w:w w:val="104"/>
          <w:lang w:val="de-DE"/>
        </w:rPr>
        <w:t>o</w:t>
      </w:r>
      <w:r w:rsidRPr="00846956">
        <w:rPr>
          <w:color w:val="231F20"/>
          <w:w w:val="98"/>
          <w:lang w:val="de-DE"/>
        </w:rPr>
        <w:t>t</w:t>
      </w:r>
      <w:r w:rsidRPr="00846956">
        <w:rPr>
          <w:color w:val="231F20"/>
          <w:w w:val="91"/>
          <w:lang w:val="de-DE"/>
        </w:rPr>
        <w:t>e</w:t>
      </w:r>
      <w:r w:rsidRPr="00846956">
        <w:rPr>
          <w:color w:val="231F20"/>
          <w:lang w:val="de-DE"/>
        </w:rPr>
        <w:t xml:space="preserve"> </w:t>
      </w:r>
      <w:r w:rsidRPr="00846956">
        <w:rPr>
          <w:color w:val="231F20"/>
          <w:w w:val="121"/>
          <w:lang w:val="de-DE"/>
        </w:rPr>
        <w:t>H</w:t>
      </w:r>
      <w:r w:rsidRPr="00846956">
        <w:rPr>
          <w:color w:val="231F20"/>
          <w:lang w:val="de-DE"/>
        </w:rPr>
        <w:t>i</w:t>
      </w:r>
      <w:r w:rsidRPr="00846956">
        <w:rPr>
          <w:color w:val="231F20"/>
          <w:w w:val="102"/>
          <w:lang w:val="de-DE"/>
        </w:rPr>
        <w:t>l</w:t>
      </w:r>
      <w:r w:rsidRPr="00846956">
        <w:rPr>
          <w:color w:val="231F20"/>
          <w:w w:val="109"/>
          <w:lang w:val="de-DE"/>
        </w:rPr>
        <w:t>f</w:t>
      </w:r>
      <w:r w:rsidRPr="00846956">
        <w:rPr>
          <w:color w:val="231F20"/>
          <w:w w:val="91"/>
          <w:lang w:val="de-DE"/>
        </w:rPr>
        <w:t>e</w:t>
      </w:r>
      <w:r w:rsidRPr="00846956">
        <w:rPr>
          <w:color w:val="231F20"/>
          <w:lang w:val="de-DE"/>
        </w:rPr>
        <w:t xml:space="preserve"> </w:t>
      </w:r>
      <w:r w:rsidRPr="00846956">
        <w:rPr>
          <w:color w:val="231F20"/>
          <w:w w:val="91"/>
          <w:lang w:val="de-DE"/>
        </w:rPr>
        <w:t>e</w:t>
      </w:r>
      <w:r w:rsidRPr="00846956">
        <w:rPr>
          <w:color w:val="231F20"/>
          <w:w w:val="135"/>
          <w:lang w:val="de-DE"/>
        </w:rPr>
        <w:t>.</w:t>
      </w:r>
      <w:r w:rsidRPr="00846956">
        <w:rPr>
          <w:color w:val="231F20"/>
          <w:w w:val="119"/>
          <w:lang w:val="de-DE"/>
        </w:rPr>
        <w:t>V</w:t>
      </w:r>
      <w:r w:rsidRPr="00846956">
        <w:rPr>
          <w:color w:val="231F20"/>
          <w:w w:val="135"/>
          <w:lang w:val="de-DE"/>
        </w:rPr>
        <w:t>.</w:t>
      </w:r>
      <w:r w:rsidRPr="00846956">
        <w:rPr>
          <w:color w:val="231F20"/>
          <w:w w:val="148"/>
          <w:lang w:val="de-DE"/>
        </w:rPr>
        <w:t>”</w:t>
      </w:r>
      <w:r w:rsidRPr="00846956">
        <w:rPr>
          <w:color w:val="231F20"/>
          <w:lang w:val="de-DE"/>
        </w:rPr>
        <w:t xml:space="preserve"> h</w:t>
      </w:r>
      <w:r w:rsidRPr="00846956">
        <w:rPr>
          <w:color w:val="231F20"/>
          <w:w w:val="98"/>
          <w:lang w:val="de-DE"/>
        </w:rPr>
        <w:t>t</w:t>
      </w:r>
      <w:r w:rsidRPr="00846956">
        <w:rPr>
          <w:color w:val="231F20"/>
          <w:w w:val="99"/>
          <w:lang w:val="de-DE"/>
        </w:rPr>
        <w:t>tp</w:t>
      </w:r>
      <w:r w:rsidRPr="00846956">
        <w:rPr>
          <w:color w:val="231F20"/>
          <w:w w:val="105"/>
          <w:lang w:val="de-DE"/>
        </w:rPr>
        <w:t>:</w:t>
      </w:r>
      <w:r w:rsidRPr="00846956">
        <w:rPr>
          <w:color w:val="231F20"/>
          <w:w w:val="56"/>
          <w:lang w:val="de-DE"/>
        </w:rPr>
        <w:t>//</w:t>
      </w:r>
      <w:r w:rsidRPr="00846956">
        <w:rPr>
          <w:color w:val="231F20"/>
          <w:lang w:val="de-DE"/>
        </w:rPr>
        <w:t>www</w:t>
      </w:r>
      <w:r w:rsidRPr="00846956">
        <w:rPr>
          <w:color w:val="231F20"/>
          <w:w w:val="135"/>
          <w:lang w:val="de-DE"/>
        </w:rPr>
        <w:t>.</w:t>
      </w:r>
      <w:r w:rsidRPr="00846956">
        <w:rPr>
          <w:color w:val="231F20"/>
          <w:w w:val="94"/>
          <w:lang w:val="de-DE"/>
        </w:rPr>
        <w:t>r</w:t>
      </w:r>
      <w:r w:rsidRPr="00846956">
        <w:rPr>
          <w:color w:val="231F20"/>
          <w:w w:val="104"/>
          <w:lang w:val="de-DE"/>
        </w:rPr>
        <w:t>o</w:t>
      </w:r>
      <w:r w:rsidRPr="00846956">
        <w:rPr>
          <w:color w:val="231F20"/>
          <w:w w:val="98"/>
          <w:lang w:val="de-DE"/>
        </w:rPr>
        <w:t>t</w:t>
      </w:r>
      <w:r w:rsidRPr="00846956">
        <w:rPr>
          <w:color w:val="231F20"/>
          <w:w w:val="91"/>
          <w:lang w:val="de-DE"/>
        </w:rPr>
        <w:t>e</w:t>
      </w:r>
      <w:r w:rsidRPr="00846956">
        <w:rPr>
          <w:color w:val="231F20"/>
          <w:lang w:val="de-DE"/>
        </w:rPr>
        <w:t>h</w:t>
      </w:r>
      <w:r w:rsidRPr="00846956">
        <w:rPr>
          <w:color w:val="231F20"/>
          <w:w w:val="104"/>
          <w:lang w:val="de-DE"/>
        </w:rPr>
        <w:t>ilf</w:t>
      </w:r>
      <w:r w:rsidRPr="00846956">
        <w:rPr>
          <w:color w:val="231F20"/>
          <w:w w:val="91"/>
          <w:lang w:val="de-DE"/>
        </w:rPr>
        <w:t>e</w:t>
      </w:r>
      <w:r w:rsidRPr="00846956">
        <w:rPr>
          <w:color w:val="231F20"/>
          <w:w w:val="135"/>
          <w:lang w:val="de-DE"/>
        </w:rPr>
        <w:t>.</w:t>
      </w:r>
      <w:r w:rsidRPr="00846956">
        <w:rPr>
          <w:color w:val="231F20"/>
          <w:lang w:val="de-DE"/>
        </w:rPr>
        <w:t>d</w:t>
      </w:r>
      <w:r w:rsidRPr="00846956">
        <w:rPr>
          <w:color w:val="231F20"/>
          <w:w w:val="91"/>
          <w:lang w:val="de-DE"/>
        </w:rPr>
        <w:t>e</w:t>
      </w:r>
      <w:r w:rsidRPr="00846956">
        <w:rPr>
          <w:color w:val="231F20"/>
          <w:w w:val="56"/>
          <w:lang w:val="de-DE"/>
        </w:rPr>
        <w:t>/</w:t>
      </w:r>
      <w:r w:rsidRPr="00846956">
        <w:rPr>
          <w:color w:val="231F20"/>
          <w:w w:val="99"/>
          <w:lang w:val="de-DE"/>
        </w:rPr>
        <w:t>p</w:t>
      </w:r>
      <w:r w:rsidRPr="00846956">
        <w:rPr>
          <w:color w:val="231F20"/>
          <w:lang w:val="de-DE"/>
        </w:rPr>
        <w:t>u</w:t>
      </w:r>
      <w:r w:rsidRPr="00846956">
        <w:rPr>
          <w:color w:val="231F20"/>
          <w:w w:val="101"/>
          <w:lang w:val="de-DE"/>
        </w:rPr>
        <w:t>bli</w:t>
      </w:r>
      <w:r w:rsidRPr="00846956">
        <w:rPr>
          <w:color w:val="231F20"/>
          <w:w w:val="106"/>
          <w:lang w:val="de-DE"/>
        </w:rPr>
        <w:t>k</w:t>
      </w:r>
      <w:r w:rsidRPr="00846956">
        <w:rPr>
          <w:color w:val="231F20"/>
          <w:w w:val="102"/>
          <w:lang w:val="de-DE"/>
        </w:rPr>
        <w:t>a</w:t>
      </w:r>
      <w:r w:rsidRPr="00846956">
        <w:rPr>
          <w:color w:val="231F20"/>
          <w:w w:val="99"/>
          <w:lang w:val="de-DE"/>
        </w:rPr>
        <w:t>ti</w:t>
      </w:r>
      <w:r w:rsidRPr="00846956">
        <w:rPr>
          <w:color w:val="231F20"/>
          <w:w w:val="104"/>
          <w:lang w:val="de-DE"/>
        </w:rPr>
        <w:t>o</w:t>
      </w:r>
      <w:r w:rsidRPr="00846956">
        <w:rPr>
          <w:color w:val="231F20"/>
          <w:w w:val="99"/>
          <w:lang w:val="de-DE"/>
        </w:rPr>
        <w:t>n</w:t>
      </w:r>
      <w:r w:rsidRPr="00846956">
        <w:rPr>
          <w:color w:val="231F20"/>
          <w:w w:val="91"/>
          <w:lang w:val="de-DE"/>
        </w:rPr>
        <w:t>e</w:t>
      </w:r>
      <w:r w:rsidRPr="00846956">
        <w:rPr>
          <w:color w:val="231F20"/>
          <w:w w:val="99"/>
          <w:lang w:val="de-DE"/>
        </w:rPr>
        <w:t>n</w:t>
      </w:r>
      <w:r w:rsidRPr="00846956">
        <w:rPr>
          <w:color w:val="231F20"/>
          <w:w w:val="56"/>
          <w:lang w:val="de-DE"/>
        </w:rPr>
        <w:t>/</w:t>
      </w:r>
      <w:r w:rsidRPr="00846956">
        <w:rPr>
          <w:color w:val="231F20"/>
          <w:lang w:val="de-DE"/>
        </w:rPr>
        <w:t>di</w:t>
      </w:r>
      <w:r w:rsidRPr="00846956">
        <w:rPr>
          <w:color w:val="231F20"/>
          <w:w w:val="91"/>
          <w:lang w:val="de-DE"/>
        </w:rPr>
        <w:t>e</w:t>
      </w:r>
      <w:r w:rsidRPr="00846956">
        <w:rPr>
          <w:color w:val="231F20"/>
          <w:w w:val="134"/>
          <w:lang w:val="de-DE"/>
        </w:rPr>
        <w:t>_</w:t>
      </w:r>
      <w:r w:rsidRPr="00846956">
        <w:rPr>
          <w:color w:val="231F20"/>
          <w:w w:val="94"/>
          <w:lang w:val="de-DE"/>
        </w:rPr>
        <w:t>r</w:t>
      </w:r>
      <w:r w:rsidRPr="00846956">
        <w:rPr>
          <w:color w:val="231F20"/>
          <w:w w:val="104"/>
          <w:lang w:val="de-DE"/>
        </w:rPr>
        <w:t>o</w:t>
      </w:r>
      <w:r w:rsidRPr="00846956">
        <w:rPr>
          <w:color w:val="231F20"/>
          <w:w w:val="98"/>
          <w:lang w:val="de-DE"/>
        </w:rPr>
        <w:t>t</w:t>
      </w:r>
      <w:r w:rsidRPr="00846956">
        <w:rPr>
          <w:color w:val="231F20"/>
          <w:w w:val="91"/>
          <w:lang w:val="de-DE"/>
        </w:rPr>
        <w:t>e</w:t>
      </w:r>
      <w:r w:rsidRPr="00846956">
        <w:rPr>
          <w:color w:val="231F20"/>
          <w:w w:val="134"/>
          <w:lang w:val="de-DE"/>
        </w:rPr>
        <w:t>_</w:t>
      </w:r>
      <w:r w:rsidRPr="00846956">
        <w:rPr>
          <w:color w:val="231F20"/>
          <w:lang w:val="de-DE"/>
        </w:rPr>
        <w:t>h</w:t>
      </w:r>
      <w:r w:rsidRPr="00846956">
        <w:rPr>
          <w:color w:val="231F20"/>
          <w:w w:val="104"/>
          <w:lang w:val="de-DE"/>
        </w:rPr>
        <w:t>ilf</w:t>
      </w:r>
      <w:r w:rsidRPr="00846956">
        <w:rPr>
          <w:color w:val="231F20"/>
          <w:w w:val="91"/>
          <w:lang w:val="de-DE"/>
        </w:rPr>
        <w:t>e</w:t>
      </w:r>
      <w:r w:rsidRPr="00846956">
        <w:rPr>
          <w:color w:val="231F20"/>
          <w:w w:val="134"/>
          <w:lang w:val="de-DE"/>
        </w:rPr>
        <w:t>_</w:t>
      </w:r>
      <w:r w:rsidRPr="00846956">
        <w:rPr>
          <w:color w:val="231F20"/>
          <w:w w:val="97"/>
          <w:lang w:val="de-DE"/>
        </w:rPr>
        <w:t>z</w:t>
      </w:r>
      <w:r w:rsidRPr="00846956">
        <w:rPr>
          <w:color w:val="231F20"/>
          <w:w w:val="91"/>
          <w:lang w:val="de-DE"/>
        </w:rPr>
        <w:t>e</w:t>
      </w:r>
      <w:r w:rsidRPr="00846956">
        <w:rPr>
          <w:color w:val="231F20"/>
          <w:lang w:val="de-DE"/>
        </w:rPr>
        <w:t>i</w:t>
      </w:r>
      <w:r w:rsidRPr="00846956">
        <w:rPr>
          <w:color w:val="231F20"/>
          <w:w w:val="98"/>
          <w:lang w:val="de-DE"/>
        </w:rPr>
        <w:t>t</w:t>
      </w:r>
      <w:r w:rsidRPr="00846956">
        <w:rPr>
          <w:color w:val="231F20"/>
          <w:lang w:val="de-DE"/>
        </w:rPr>
        <w:t>u</w:t>
      </w:r>
      <w:r w:rsidRPr="00846956">
        <w:rPr>
          <w:color w:val="231F20"/>
          <w:w w:val="99"/>
          <w:lang w:val="de-DE"/>
        </w:rPr>
        <w:t>n</w:t>
      </w:r>
      <w:r w:rsidRPr="00846956">
        <w:rPr>
          <w:color w:val="231F20"/>
          <w:w w:val="101"/>
          <w:lang w:val="de-DE"/>
        </w:rPr>
        <w:t>g</w:t>
      </w:r>
      <w:r w:rsidRPr="00846956">
        <w:rPr>
          <w:color w:val="231F20"/>
          <w:w w:val="56"/>
          <w:lang w:val="de-DE"/>
        </w:rPr>
        <w:t>/</w:t>
      </w:r>
      <w:r w:rsidRPr="00846956">
        <w:rPr>
          <w:color w:val="231F20"/>
          <w:lang w:val="de-DE"/>
        </w:rPr>
        <w:t>2007</w:t>
      </w:r>
      <w:r w:rsidRPr="00846956">
        <w:rPr>
          <w:color w:val="231F20"/>
          <w:w w:val="56"/>
          <w:lang w:val="de-DE"/>
        </w:rPr>
        <w:t>/</w:t>
      </w:r>
      <w:r w:rsidRPr="00846956">
        <w:rPr>
          <w:color w:val="231F20"/>
          <w:lang w:val="de-DE"/>
        </w:rPr>
        <w:t>1</w:t>
      </w:r>
      <w:r w:rsidRPr="00846956">
        <w:rPr>
          <w:color w:val="231F20"/>
          <w:w w:val="56"/>
          <w:lang w:val="de-DE"/>
        </w:rPr>
        <w:t xml:space="preserve">/ </w:t>
      </w:r>
      <w:r w:rsidRPr="00846956">
        <w:rPr>
          <w:color w:val="231F20"/>
          <w:lang w:val="de-DE"/>
        </w:rPr>
        <w:t>zwischen_raf_solidaritaet_und_linker_caritas_teil_1.</w:t>
      </w:r>
    </w:p>
    <w:p w14:paraId="7150DEBB" w14:textId="77777777" w:rsidR="002653E8" w:rsidRDefault="003115E3">
      <w:pPr>
        <w:pStyle w:val="a3"/>
        <w:spacing w:before="162"/>
        <w:ind w:left="1147"/>
      </w:pPr>
      <w:r>
        <w:rPr>
          <w:color w:val="231F20"/>
          <w:w w:val="105"/>
        </w:rPr>
        <w:t>Sartre, Jean-Paul. “The Slow Death of Andreas Baader.” (1974).</w:t>
      </w:r>
    </w:p>
    <w:p w14:paraId="467DA2C5" w14:textId="77777777" w:rsidR="002653E8" w:rsidRPr="00846956" w:rsidRDefault="003115E3">
      <w:pPr>
        <w:pStyle w:val="a3"/>
        <w:spacing w:before="6" w:line="244" w:lineRule="auto"/>
        <w:ind w:left="2281" w:right="1580"/>
        <w:rPr>
          <w:lang w:val="de-DE"/>
        </w:rPr>
      </w:pPr>
      <w:r>
        <w:rPr>
          <w:color w:val="231F20"/>
        </w:rPr>
        <w:t xml:space="preserve">Translated by Mitch Abidor. Marxists Internet Archive. </w:t>
      </w:r>
      <w:hyperlink r:id="rId591">
        <w:r w:rsidRPr="00846956">
          <w:rPr>
            <w:color w:val="231F20"/>
            <w:lang w:val="de-DE"/>
          </w:rPr>
          <w:t>h</w:t>
        </w:r>
        <w:r w:rsidRPr="00846956">
          <w:rPr>
            <w:color w:val="231F20"/>
            <w:w w:val="98"/>
            <w:lang w:val="de-DE"/>
          </w:rPr>
          <w:t>tt</w:t>
        </w:r>
        <w:r w:rsidRPr="00846956">
          <w:rPr>
            <w:color w:val="231F20"/>
            <w:w w:val="99"/>
            <w:lang w:val="de-DE"/>
          </w:rPr>
          <w:t>p</w:t>
        </w:r>
        <w:r w:rsidRPr="00846956">
          <w:rPr>
            <w:color w:val="231F20"/>
            <w:w w:val="105"/>
            <w:lang w:val="de-DE"/>
          </w:rPr>
          <w:t>:</w:t>
        </w:r>
        <w:r w:rsidRPr="00846956">
          <w:rPr>
            <w:color w:val="231F20"/>
            <w:w w:val="56"/>
            <w:lang w:val="de-DE"/>
          </w:rPr>
          <w:t>//</w:t>
        </w:r>
        <w:r w:rsidRPr="00846956">
          <w:rPr>
            <w:color w:val="231F20"/>
            <w:lang w:val="de-DE"/>
          </w:rPr>
          <w:t>www</w:t>
        </w:r>
        <w:r w:rsidRPr="00846956">
          <w:rPr>
            <w:color w:val="231F20"/>
            <w:w w:val="107"/>
            <w:lang w:val="de-DE"/>
          </w:rPr>
          <w:t>.m</w:t>
        </w:r>
        <w:r w:rsidRPr="00846956">
          <w:rPr>
            <w:color w:val="231F20"/>
            <w:w w:val="102"/>
            <w:lang w:val="de-DE"/>
          </w:rPr>
          <w:t>a</w:t>
        </w:r>
        <w:r w:rsidRPr="00846956">
          <w:rPr>
            <w:color w:val="231F20"/>
            <w:w w:val="94"/>
            <w:lang w:val="de-DE"/>
          </w:rPr>
          <w:t>r</w:t>
        </w:r>
        <w:r w:rsidRPr="00846956">
          <w:rPr>
            <w:color w:val="231F20"/>
            <w:w w:val="115"/>
            <w:lang w:val="de-DE"/>
          </w:rPr>
          <w:t>x</w:t>
        </w:r>
        <w:r w:rsidRPr="00846956">
          <w:rPr>
            <w:color w:val="231F20"/>
            <w:w w:val="94"/>
            <w:lang w:val="de-DE"/>
          </w:rPr>
          <w:t>is</w:t>
        </w:r>
        <w:r w:rsidRPr="00846956">
          <w:rPr>
            <w:color w:val="231F20"/>
            <w:w w:val="98"/>
            <w:lang w:val="de-DE"/>
          </w:rPr>
          <w:t>t</w:t>
        </w:r>
        <w:r w:rsidRPr="00846956">
          <w:rPr>
            <w:color w:val="231F20"/>
            <w:w w:val="105"/>
            <w:lang w:val="de-DE"/>
          </w:rPr>
          <w:t>s.</w:t>
        </w:r>
        <w:r w:rsidRPr="00846956">
          <w:rPr>
            <w:color w:val="231F20"/>
            <w:w w:val="104"/>
            <w:lang w:val="de-DE"/>
          </w:rPr>
          <w:t>o</w:t>
        </w:r>
        <w:r w:rsidRPr="00846956">
          <w:rPr>
            <w:color w:val="231F20"/>
            <w:w w:val="97"/>
            <w:lang w:val="de-DE"/>
          </w:rPr>
          <w:t>rg</w:t>
        </w:r>
        <w:r w:rsidRPr="00846956">
          <w:rPr>
            <w:color w:val="231F20"/>
            <w:w w:val="56"/>
            <w:lang w:val="de-DE"/>
          </w:rPr>
          <w:t>/</w:t>
        </w:r>
        <w:r w:rsidRPr="00846956">
          <w:rPr>
            <w:color w:val="231F20"/>
            <w:w w:val="94"/>
            <w:lang w:val="de-DE"/>
          </w:rPr>
          <w:t>r</w:t>
        </w:r>
        <w:r w:rsidRPr="00846956">
          <w:rPr>
            <w:color w:val="231F20"/>
            <w:w w:val="91"/>
            <w:lang w:val="de-DE"/>
          </w:rPr>
          <w:t>e</w:t>
        </w:r>
        <w:r w:rsidRPr="00846956">
          <w:rPr>
            <w:color w:val="231F20"/>
            <w:w w:val="109"/>
            <w:lang w:val="de-DE"/>
          </w:rPr>
          <w:t>f</w:t>
        </w:r>
        <w:r w:rsidRPr="00846956">
          <w:rPr>
            <w:color w:val="231F20"/>
            <w:w w:val="91"/>
            <w:lang w:val="de-DE"/>
          </w:rPr>
          <w:t>e</w:t>
        </w:r>
        <w:r w:rsidRPr="00846956">
          <w:rPr>
            <w:color w:val="231F20"/>
            <w:w w:val="94"/>
            <w:lang w:val="de-DE"/>
          </w:rPr>
          <w:t>r</w:t>
        </w:r>
        <w:r w:rsidRPr="00846956">
          <w:rPr>
            <w:color w:val="231F20"/>
            <w:w w:val="91"/>
            <w:lang w:val="de-DE"/>
          </w:rPr>
          <w:t>e</w:t>
        </w:r>
        <w:r w:rsidRPr="00846956">
          <w:rPr>
            <w:color w:val="231F20"/>
            <w:w w:val="99"/>
            <w:lang w:val="de-DE"/>
          </w:rPr>
          <w:t>n</w:t>
        </w:r>
        <w:r w:rsidRPr="00846956">
          <w:rPr>
            <w:color w:val="231F20"/>
            <w:lang w:val="de-DE"/>
          </w:rPr>
          <w:t>c</w:t>
        </w:r>
        <w:r w:rsidRPr="00846956">
          <w:rPr>
            <w:color w:val="231F20"/>
            <w:w w:val="91"/>
            <w:lang w:val="de-DE"/>
          </w:rPr>
          <w:t>e</w:t>
        </w:r>
        <w:r w:rsidRPr="00846956">
          <w:rPr>
            <w:color w:val="231F20"/>
            <w:w w:val="56"/>
            <w:lang w:val="de-DE"/>
          </w:rPr>
          <w:t>/</w:t>
        </w:r>
        <w:r w:rsidRPr="00846956">
          <w:rPr>
            <w:color w:val="231F20"/>
            <w:w w:val="102"/>
            <w:lang w:val="de-DE"/>
          </w:rPr>
          <w:t>a</w:t>
        </w:r>
        <w:r w:rsidRPr="00846956">
          <w:rPr>
            <w:color w:val="231F20"/>
            <w:w w:val="94"/>
            <w:lang w:val="de-DE"/>
          </w:rPr>
          <w:t>r</w:t>
        </w:r>
        <w:r w:rsidRPr="00846956">
          <w:rPr>
            <w:color w:val="231F20"/>
            <w:lang w:val="de-DE"/>
          </w:rPr>
          <w:t>chi</w:t>
        </w:r>
        <w:r w:rsidRPr="00846956">
          <w:rPr>
            <w:color w:val="231F20"/>
            <w:w w:val="99"/>
            <w:lang w:val="de-DE"/>
          </w:rPr>
          <w:t>v</w:t>
        </w:r>
        <w:r w:rsidRPr="00846956">
          <w:rPr>
            <w:color w:val="231F20"/>
            <w:w w:val="91"/>
            <w:lang w:val="de-DE"/>
          </w:rPr>
          <w:t>e</w:t>
        </w:r>
        <w:r w:rsidRPr="00846956">
          <w:rPr>
            <w:color w:val="231F20"/>
            <w:w w:val="56"/>
            <w:lang w:val="de-DE"/>
          </w:rPr>
          <w:t>/</w:t>
        </w:r>
        <w:r w:rsidRPr="00846956">
          <w:rPr>
            <w:color w:val="231F20"/>
            <w:w w:val="90"/>
            <w:lang w:val="de-DE"/>
          </w:rPr>
          <w:t>s</w:t>
        </w:r>
        <w:r w:rsidRPr="00846956">
          <w:rPr>
            <w:color w:val="231F20"/>
            <w:w w:val="102"/>
            <w:lang w:val="de-DE"/>
          </w:rPr>
          <w:t>a</w:t>
        </w:r>
        <w:r w:rsidRPr="00846956">
          <w:rPr>
            <w:color w:val="231F20"/>
            <w:w w:val="94"/>
            <w:lang w:val="de-DE"/>
          </w:rPr>
          <w:t>r</w:t>
        </w:r>
        <w:r w:rsidRPr="00846956">
          <w:rPr>
            <w:color w:val="231F20"/>
            <w:w w:val="98"/>
            <w:lang w:val="de-DE"/>
          </w:rPr>
          <w:t>t</w:t>
        </w:r>
        <w:r w:rsidRPr="00846956">
          <w:rPr>
            <w:color w:val="231F20"/>
            <w:w w:val="94"/>
            <w:lang w:val="de-DE"/>
          </w:rPr>
          <w:t>r</w:t>
        </w:r>
        <w:r w:rsidRPr="00846956">
          <w:rPr>
            <w:color w:val="231F20"/>
            <w:w w:val="91"/>
            <w:lang w:val="de-DE"/>
          </w:rPr>
          <w:t>e</w:t>
        </w:r>
        <w:r w:rsidRPr="00846956">
          <w:rPr>
            <w:color w:val="231F20"/>
            <w:w w:val="56"/>
            <w:lang w:val="de-DE"/>
          </w:rPr>
          <w:t>/</w:t>
        </w:r>
        <w:r w:rsidRPr="00846956">
          <w:rPr>
            <w:color w:val="231F20"/>
            <w:lang w:val="de-DE"/>
          </w:rPr>
          <w:t>1974</w:t>
        </w:r>
      </w:hyperlink>
      <w:r w:rsidRPr="00846956">
        <w:rPr>
          <w:color w:val="231F20"/>
          <w:w w:val="56"/>
          <w:lang w:val="de-DE"/>
        </w:rPr>
        <w:t xml:space="preserve">/ </w:t>
      </w:r>
      <w:r w:rsidRPr="00846956">
        <w:rPr>
          <w:color w:val="231F20"/>
          <w:lang w:val="de-DE"/>
        </w:rPr>
        <w:t>baader.htm.</w:t>
      </w:r>
    </w:p>
    <w:p w14:paraId="5CDA3CB3" w14:textId="77777777" w:rsidR="002653E8" w:rsidRPr="00846956" w:rsidRDefault="003115E3">
      <w:pPr>
        <w:pStyle w:val="a3"/>
        <w:spacing w:before="162" w:line="244" w:lineRule="auto"/>
        <w:ind w:left="2281" w:right="1580" w:hanging="1134"/>
        <w:rPr>
          <w:lang w:val="de-DE"/>
        </w:rPr>
      </w:pPr>
      <w:r w:rsidRPr="00846956">
        <w:rPr>
          <w:color w:val="231F20"/>
          <w:w w:val="105"/>
          <w:lang w:val="de-DE"/>
        </w:rPr>
        <w:t>Schulz, Jan-Hendrik. “Zur Geschichte der Roten Armee Fraktion (</w:t>
      </w:r>
      <w:r w:rsidR="00C507A5" w:rsidRPr="00846956">
        <w:rPr>
          <w:color w:val="231F20"/>
          <w:w w:val="105"/>
          <w:lang w:val="de-DE"/>
        </w:rPr>
        <w:t>red army faction</w:t>
      </w:r>
      <w:r w:rsidRPr="00846956">
        <w:rPr>
          <w:color w:val="231F20"/>
          <w:w w:val="105"/>
          <w:lang w:val="de-DE"/>
        </w:rPr>
        <w:t>) und ihrer Kontexte: Eine Chronik, Jan-Hendrik Schulz.” Zeitgeschichte Online. May 2007.</w:t>
      </w:r>
    </w:p>
    <w:p w14:paraId="3B5796C3" w14:textId="77777777" w:rsidR="002653E8" w:rsidRPr="00846956" w:rsidRDefault="00000000">
      <w:pPr>
        <w:pStyle w:val="a3"/>
        <w:spacing w:before="3" w:line="244" w:lineRule="auto"/>
        <w:ind w:left="2282" w:right="1145" w:hanging="1"/>
        <w:rPr>
          <w:lang w:val="de-DE"/>
        </w:rPr>
      </w:pPr>
      <w:hyperlink r:id="rId592">
        <w:r w:rsidR="003115E3" w:rsidRPr="00846956">
          <w:rPr>
            <w:color w:val="231F20"/>
            <w:w w:val="95"/>
            <w:lang w:val="de-DE"/>
          </w:rPr>
          <w:t>http://www.zeithistorische-forschungen.de/site/40208730/</w:t>
        </w:r>
      </w:hyperlink>
      <w:r w:rsidR="003115E3" w:rsidRPr="00846956">
        <w:rPr>
          <w:color w:val="231F20"/>
          <w:w w:val="95"/>
          <w:lang w:val="de-DE"/>
        </w:rPr>
        <w:t xml:space="preserve"> </w:t>
      </w:r>
      <w:r w:rsidR="003115E3" w:rsidRPr="00846956">
        <w:rPr>
          <w:color w:val="231F20"/>
          <w:lang w:val="de-DE"/>
        </w:rPr>
        <w:t>default.aspx.</w:t>
      </w:r>
    </w:p>
    <w:p w14:paraId="2A3F9AB9" w14:textId="77777777" w:rsidR="002653E8" w:rsidRPr="00846956" w:rsidRDefault="003115E3">
      <w:pPr>
        <w:pStyle w:val="a3"/>
        <w:spacing w:before="162" w:line="244" w:lineRule="auto"/>
        <w:ind w:left="2282" w:right="1580" w:hanging="1134"/>
        <w:rPr>
          <w:lang w:val="de-DE"/>
        </w:rPr>
      </w:pPr>
      <w:r w:rsidRPr="00846956">
        <w:rPr>
          <w:color w:val="231F20"/>
          <w:lang w:val="de-DE"/>
        </w:rPr>
        <w:t>S</w:t>
      </w:r>
      <w:r w:rsidRPr="00846956">
        <w:rPr>
          <w:color w:val="231F20"/>
          <w:w w:val="104"/>
          <w:lang w:val="de-DE"/>
        </w:rPr>
        <w:t>o</w:t>
      </w:r>
      <w:r w:rsidRPr="00846956">
        <w:rPr>
          <w:color w:val="231F20"/>
          <w:w w:val="102"/>
          <w:lang w:val="de-DE"/>
        </w:rPr>
        <w:t>l</w:t>
      </w:r>
      <w:r w:rsidRPr="00846956">
        <w:rPr>
          <w:color w:val="231F20"/>
          <w:lang w:val="de-DE"/>
        </w:rPr>
        <w:t>i</w:t>
      </w:r>
      <w:r w:rsidRPr="00846956">
        <w:rPr>
          <w:color w:val="231F20"/>
          <w:w w:val="101"/>
          <w:lang w:val="de-DE"/>
        </w:rPr>
        <w:t>g</w:t>
      </w:r>
      <w:r w:rsidRPr="00846956">
        <w:rPr>
          <w:color w:val="231F20"/>
          <w:w w:val="94"/>
          <w:lang w:val="de-DE"/>
        </w:rPr>
        <w:t>r</w:t>
      </w:r>
      <w:r w:rsidRPr="00846956">
        <w:rPr>
          <w:color w:val="231F20"/>
          <w:lang w:val="de-DE"/>
        </w:rPr>
        <w:t>u</w:t>
      </w:r>
      <w:r w:rsidRPr="00846956">
        <w:rPr>
          <w:color w:val="231F20"/>
          <w:w w:val="99"/>
          <w:lang w:val="de-DE"/>
        </w:rPr>
        <w:t>pp</w:t>
      </w:r>
      <w:r w:rsidRPr="00846956">
        <w:rPr>
          <w:color w:val="231F20"/>
          <w:w w:val="91"/>
          <w:lang w:val="de-DE"/>
        </w:rPr>
        <w:t>e</w:t>
      </w:r>
      <w:r w:rsidRPr="00846956">
        <w:rPr>
          <w:color w:val="231F20"/>
          <w:w w:val="135"/>
          <w:lang w:val="de-DE"/>
        </w:rPr>
        <w:t>,</w:t>
      </w:r>
      <w:r w:rsidRPr="00846956">
        <w:rPr>
          <w:color w:val="231F20"/>
          <w:lang w:val="de-DE"/>
        </w:rPr>
        <w:t xml:space="preserve"> </w:t>
      </w:r>
      <w:r w:rsidRPr="00846956">
        <w:rPr>
          <w:color w:val="231F20"/>
          <w:w w:val="128"/>
          <w:lang w:val="de-DE"/>
        </w:rPr>
        <w:t>C</w:t>
      </w:r>
      <w:r w:rsidRPr="00846956">
        <w:rPr>
          <w:color w:val="231F20"/>
          <w:lang w:val="de-DE"/>
        </w:rPr>
        <w:t>h</w:t>
      </w:r>
      <w:r w:rsidRPr="00846956">
        <w:rPr>
          <w:color w:val="231F20"/>
          <w:w w:val="94"/>
          <w:lang w:val="de-DE"/>
        </w:rPr>
        <w:t>r</w:t>
      </w:r>
      <w:r w:rsidRPr="00846956">
        <w:rPr>
          <w:color w:val="231F20"/>
          <w:lang w:val="de-DE"/>
        </w:rPr>
        <w:t>i</w:t>
      </w:r>
      <w:r w:rsidRPr="00846956">
        <w:rPr>
          <w:color w:val="231F20"/>
          <w:w w:val="90"/>
          <w:lang w:val="de-DE"/>
        </w:rPr>
        <w:t>s</w:t>
      </w:r>
      <w:r w:rsidRPr="00846956">
        <w:rPr>
          <w:color w:val="231F20"/>
          <w:w w:val="98"/>
          <w:lang w:val="de-DE"/>
        </w:rPr>
        <w:t>t</w:t>
      </w:r>
      <w:r w:rsidRPr="00846956">
        <w:rPr>
          <w:color w:val="231F20"/>
          <w:lang w:val="de-DE"/>
        </w:rPr>
        <w:t>i</w:t>
      </w:r>
      <w:r w:rsidRPr="00846956">
        <w:rPr>
          <w:color w:val="231F20"/>
          <w:w w:val="102"/>
          <w:lang w:val="de-DE"/>
        </w:rPr>
        <w:t>a</w:t>
      </w:r>
      <w:r w:rsidRPr="00846956">
        <w:rPr>
          <w:color w:val="231F20"/>
          <w:w w:val="99"/>
          <w:lang w:val="de-DE"/>
        </w:rPr>
        <w:t>n</w:t>
      </w:r>
      <w:r w:rsidRPr="00846956">
        <w:rPr>
          <w:color w:val="231F20"/>
          <w:lang w:val="de-DE"/>
        </w:rPr>
        <w:t xml:space="preserve"> S</w:t>
      </w:r>
      <w:r w:rsidRPr="00846956">
        <w:rPr>
          <w:color w:val="231F20"/>
          <w:w w:val="135"/>
          <w:lang w:val="de-DE"/>
        </w:rPr>
        <w:t>.</w:t>
      </w:r>
      <w:r w:rsidRPr="00846956">
        <w:rPr>
          <w:color w:val="231F20"/>
          <w:lang w:val="de-DE"/>
        </w:rPr>
        <w:t xml:space="preserve"> </w:t>
      </w:r>
      <w:r w:rsidRPr="00846956">
        <w:rPr>
          <w:color w:val="231F20"/>
          <w:w w:val="128"/>
          <w:lang w:val="de-DE"/>
        </w:rPr>
        <w:t>“D</w:t>
      </w:r>
      <w:r w:rsidRPr="00846956">
        <w:rPr>
          <w:color w:val="231F20"/>
          <w:w w:val="92"/>
          <w:lang w:val="de-DE"/>
        </w:rPr>
        <w:t>er</w:t>
      </w:r>
      <w:r w:rsidRPr="00846956">
        <w:rPr>
          <w:color w:val="231F20"/>
          <w:lang w:val="de-DE"/>
        </w:rPr>
        <w:t xml:space="preserve"> </w:t>
      </w:r>
      <w:r w:rsidRPr="00846956">
        <w:rPr>
          <w:i/>
          <w:color w:val="231F20"/>
          <w:w w:val="103"/>
          <w:lang w:val="de-DE"/>
        </w:rPr>
        <w:t>S</w:t>
      </w:r>
      <w:r w:rsidRPr="00846956">
        <w:rPr>
          <w:i/>
          <w:color w:val="231F20"/>
          <w:w w:val="105"/>
          <w:lang w:val="de-DE"/>
        </w:rPr>
        <w:t>p</w:t>
      </w:r>
      <w:r w:rsidRPr="00846956">
        <w:rPr>
          <w:i/>
          <w:color w:val="231F20"/>
          <w:w w:val="102"/>
          <w:lang w:val="de-DE"/>
        </w:rPr>
        <w:t>i</w:t>
      </w:r>
      <w:r w:rsidRPr="00846956">
        <w:rPr>
          <w:i/>
          <w:color w:val="231F20"/>
          <w:w w:val="97"/>
          <w:lang w:val="de-DE"/>
        </w:rPr>
        <w:t>e</w:t>
      </w:r>
      <w:r w:rsidRPr="00846956">
        <w:rPr>
          <w:i/>
          <w:color w:val="231F20"/>
          <w:w w:val="96"/>
          <w:lang w:val="de-DE"/>
        </w:rPr>
        <w:t>ge</w:t>
      </w:r>
      <w:r w:rsidRPr="00846956">
        <w:rPr>
          <w:i/>
          <w:color w:val="231F20"/>
          <w:w w:val="104"/>
          <w:lang w:val="de-DE"/>
        </w:rPr>
        <w:t>l</w:t>
      </w:r>
      <w:r w:rsidRPr="00846956">
        <w:rPr>
          <w:color w:val="231F20"/>
          <w:w w:val="135"/>
          <w:lang w:val="de-DE"/>
        </w:rPr>
        <w:t>,</w:t>
      </w:r>
      <w:r w:rsidRPr="00846956">
        <w:rPr>
          <w:color w:val="231F20"/>
          <w:lang w:val="de-DE"/>
        </w:rPr>
        <w:t xml:space="preserve"> 1975</w:t>
      </w:r>
      <w:r w:rsidRPr="00846956">
        <w:rPr>
          <w:color w:val="231F20"/>
          <w:w w:val="135"/>
          <w:lang w:val="de-DE"/>
        </w:rPr>
        <w:t>,</w:t>
      </w:r>
      <w:r w:rsidRPr="00846956">
        <w:rPr>
          <w:color w:val="231F20"/>
          <w:lang w:val="de-DE"/>
        </w:rPr>
        <w:t xml:space="preserve"> </w:t>
      </w:r>
      <w:r w:rsidRPr="00846956">
        <w:rPr>
          <w:color w:val="231F20"/>
          <w:w w:val="99"/>
          <w:lang w:val="de-DE"/>
        </w:rPr>
        <w:t>B</w:t>
      </w:r>
      <w:r w:rsidRPr="00846956">
        <w:rPr>
          <w:color w:val="231F20"/>
          <w:w w:val="115"/>
          <w:lang w:val="de-DE"/>
        </w:rPr>
        <w:t>AA</w:t>
      </w:r>
      <w:r w:rsidRPr="00846956">
        <w:rPr>
          <w:color w:val="231F20"/>
          <w:w w:val="117"/>
          <w:lang w:val="de-DE"/>
        </w:rPr>
        <w:t>D</w:t>
      </w:r>
      <w:r w:rsidRPr="00846956">
        <w:rPr>
          <w:color w:val="231F20"/>
          <w:w w:val="106"/>
          <w:lang w:val="de-DE"/>
        </w:rPr>
        <w:t>E</w:t>
      </w:r>
      <w:r w:rsidRPr="00846956">
        <w:rPr>
          <w:color w:val="231F20"/>
          <w:w w:val="116"/>
          <w:lang w:val="de-DE"/>
        </w:rPr>
        <w:t>R</w:t>
      </w:r>
      <w:r w:rsidRPr="00846956">
        <w:rPr>
          <w:color w:val="231F20"/>
          <w:w w:val="56"/>
          <w:lang w:val="de-DE"/>
        </w:rPr>
        <w:t>/</w:t>
      </w:r>
      <w:r w:rsidRPr="00846956">
        <w:rPr>
          <w:color w:val="231F20"/>
          <w:w w:val="122"/>
          <w:lang w:val="de-DE"/>
        </w:rPr>
        <w:t>M</w:t>
      </w:r>
      <w:r w:rsidRPr="00846956">
        <w:rPr>
          <w:color w:val="231F20"/>
          <w:w w:val="106"/>
          <w:lang w:val="de-DE"/>
        </w:rPr>
        <w:t>E</w:t>
      </w:r>
      <w:r w:rsidRPr="00846956">
        <w:rPr>
          <w:color w:val="231F20"/>
          <w:w w:val="102"/>
          <w:lang w:val="de-DE"/>
        </w:rPr>
        <w:t>I</w:t>
      </w:r>
      <w:r w:rsidRPr="00846956">
        <w:rPr>
          <w:color w:val="231F20"/>
          <w:w w:val="122"/>
          <w:lang w:val="de-DE"/>
        </w:rPr>
        <w:t>N</w:t>
      </w:r>
      <w:r w:rsidRPr="00846956">
        <w:rPr>
          <w:color w:val="231F20"/>
          <w:w w:val="121"/>
          <w:lang w:val="de-DE"/>
        </w:rPr>
        <w:t>H</w:t>
      </w:r>
      <w:r w:rsidRPr="00846956">
        <w:rPr>
          <w:color w:val="231F20"/>
          <w:w w:val="116"/>
          <w:lang w:val="de-DE"/>
        </w:rPr>
        <w:t xml:space="preserve">OF </w:t>
      </w:r>
      <w:r w:rsidRPr="00846956">
        <w:rPr>
          <w:color w:val="231F20"/>
          <w:w w:val="105"/>
          <w:lang w:val="de-DE"/>
        </w:rPr>
        <w:t xml:space="preserve">Müdes Auge.” </w:t>
      </w:r>
      <w:hyperlink r:id="rId593">
        <w:r w:rsidRPr="00846956">
          <w:rPr>
            <w:color w:val="231F20"/>
            <w:lang w:val="de-DE"/>
          </w:rPr>
          <w:t>h</w:t>
        </w:r>
        <w:r w:rsidRPr="00846956">
          <w:rPr>
            <w:color w:val="231F20"/>
            <w:w w:val="98"/>
            <w:lang w:val="de-DE"/>
          </w:rPr>
          <w:t>tt</w:t>
        </w:r>
        <w:r w:rsidRPr="00846956">
          <w:rPr>
            <w:color w:val="231F20"/>
            <w:w w:val="99"/>
            <w:lang w:val="de-DE"/>
          </w:rPr>
          <w:t>p</w:t>
        </w:r>
        <w:r w:rsidRPr="00846956">
          <w:rPr>
            <w:color w:val="231F20"/>
            <w:w w:val="105"/>
            <w:lang w:val="de-DE"/>
          </w:rPr>
          <w:t>:</w:t>
        </w:r>
        <w:r w:rsidRPr="00846956">
          <w:rPr>
            <w:color w:val="231F20"/>
            <w:w w:val="56"/>
            <w:lang w:val="de-DE"/>
          </w:rPr>
          <w:t>//</w:t>
        </w:r>
        <w:r w:rsidRPr="00846956">
          <w:rPr>
            <w:color w:val="231F20"/>
            <w:lang w:val="de-DE"/>
          </w:rPr>
          <w:t>www36</w:t>
        </w:r>
        <w:r w:rsidRPr="00846956">
          <w:rPr>
            <w:color w:val="231F20"/>
            <w:w w:val="135"/>
            <w:lang w:val="de-DE"/>
          </w:rPr>
          <w:t>.</w:t>
        </w:r>
        <w:r w:rsidRPr="00846956">
          <w:rPr>
            <w:color w:val="231F20"/>
            <w:lang w:val="de-DE"/>
          </w:rPr>
          <w:t>w</w:t>
        </w:r>
        <w:r w:rsidRPr="00846956">
          <w:rPr>
            <w:color w:val="231F20"/>
            <w:w w:val="91"/>
            <w:lang w:val="de-DE"/>
          </w:rPr>
          <w:t>e</w:t>
        </w:r>
        <w:r w:rsidRPr="00846956">
          <w:rPr>
            <w:color w:val="231F20"/>
            <w:w w:val="101"/>
            <w:lang w:val="de-DE"/>
          </w:rPr>
          <w:t>b</w:t>
        </w:r>
        <w:r w:rsidRPr="00846956">
          <w:rPr>
            <w:color w:val="231F20"/>
            <w:w w:val="90"/>
            <w:lang w:val="de-DE"/>
          </w:rPr>
          <w:t>s</w:t>
        </w:r>
        <w:r w:rsidRPr="00846956">
          <w:rPr>
            <w:color w:val="231F20"/>
            <w:w w:val="102"/>
            <w:lang w:val="de-DE"/>
          </w:rPr>
          <w:t>a</w:t>
        </w:r>
        <w:r w:rsidRPr="00846956">
          <w:rPr>
            <w:color w:val="231F20"/>
            <w:w w:val="99"/>
            <w:lang w:val="de-DE"/>
          </w:rPr>
          <w:t>m</w:t>
        </w:r>
        <w:r w:rsidRPr="00846956">
          <w:rPr>
            <w:color w:val="231F20"/>
            <w:w w:val="101"/>
            <w:lang w:val="de-DE"/>
          </w:rPr>
          <w:t>b</w:t>
        </w:r>
        <w:r w:rsidRPr="00846956">
          <w:rPr>
            <w:color w:val="231F20"/>
            <w:w w:val="102"/>
            <w:lang w:val="de-DE"/>
          </w:rPr>
          <w:t>a</w:t>
        </w:r>
        <w:r w:rsidRPr="00846956">
          <w:rPr>
            <w:color w:val="231F20"/>
            <w:w w:val="135"/>
            <w:lang w:val="de-DE"/>
          </w:rPr>
          <w:t>.</w:t>
        </w:r>
        <w:r w:rsidRPr="00846956">
          <w:rPr>
            <w:color w:val="231F20"/>
            <w:lang w:val="de-DE"/>
          </w:rPr>
          <w:t>c</w:t>
        </w:r>
        <w:r w:rsidRPr="00846956">
          <w:rPr>
            <w:color w:val="231F20"/>
            <w:w w:val="104"/>
            <w:lang w:val="de-DE"/>
          </w:rPr>
          <w:t>o</w:t>
        </w:r>
        <w:r w:rsidRPr="00846956">
          <w:rPr>
            <w:color w:val="231F20"/>
            <w:w w:val="99"/>
            <w:lang w:val="de-DE"/>
          </w:rPr>
          <w:t>m</w:t>
        </w:r>
        <w:r w:rsidRPr="00846956">
          <w:rPr>
            <w:color w:val="231F20"/>
            <w:w w:val="56"/>
            <w:lang w:val="de-DE"/>
          </w:rPr>
          <w:t>/</w:t>
        </w:r>
        <w:r w:rsidRPr="00846956">
          <w:rPr>
            <w:color w:val="231F20"/>
            <w:lang w:val="de-DE"/>
          </w:rPr>
          <w:t>S</w:t>
        </w:r>
        <w:r w:rsidRPr="00846956">
          <w:rPr>
            <w:color w:val="231F20"/>
            <w:w w:val="103"/>
            <w:lang w:val="de-DE"/>
          </w:rPr>
          <w:t>ol</w:t>
        </w:r>
        <w:r w:rsidRPr="00846956">
          <w:rPr>
            <w:color w:val="231F20"/>
            <w:lang w:val="de-DE"/>
          </w:rPr>
          <w:t>i</w:t>
        </w:r>
        <w:r w:rsidRPr="00846956">
          <w:rPr>
            <w:color w:val="231F20"/>
            <w:w w:val="101"/>
            <w:lang w:val="de-DE"/>
          </w:rPr>
          <w:t>g</w:t>
        </w:r>
        <w:r w:rsidRPr="00846956">
          <w:rPr>
            <w:color w:val="231F20"/>
            <w:w w:val="94"/>
            <w:lang w:val="de-DE"/>
          </w:rPr>
          <w:t>r</w:t>
        </w:r>
        <w:r w:rsidRPr="00846956">
          <w:rPr>
            <w:color w:val="231F20"/>
            <w:lang w:val="de-DE"/>
          </w:rPr>
          <w:t>u</w:t>
        </w:r>
        <w:r w:rsidRPr="00846956">
          <w:rPr>
            <w:color w:val="231F20"/>
            <w:w w:val="99"/>
            <w:lang w:val="de-DE"/>
          </w:rPr>
          <w:t>pp</w:t>
        </w:r>
        <w:r w:rsidRPr="00846956">
          <w:rPr>
            <w:color w:val="231F20"/>
            <w:w w:val="91"/>
            <w:lang w:val="de-DE"/>
          </w:rPr>
          <w:t>e</w:t>
        </w:r>
        <w:r w:rsidRPr="00846956">
          <w:rPr>
            <w:color w:val="231F20"/>
            <w:w w:val="56"/>
            <w:lang w:val="de-DE"/>
          </w:rPr>
          <w:t>/</w:t>
        </w:r>
        <w:r w:rsidRPr="00846956">
          <w:rPr>
            <w:color w:val="231F20"/>
            <w:lang w:val="de-DE"/>
          </w:rPr>
          <w:t>d</w:t>
        </w:r>
        <w:r w:rsidRPr="00846956">
          <w:rPr>
            <w:color w:val="231F20"/>
            <w:w w:val="102"/>
            <w:lang w:val="de-DE"/>
          </w:rPr>
          <w:t>a</w:t>
        </w:r>
        <w:r w:rsidRPr="00846956">
          <w:rPr>
            <w:color w:val="231F20"/>
            <w:w w:val="98"/>
            <w:lang w:val="de-DE"/>
          </w:rPr>
          <w:t>t</w:t>
        </w:r>
        <w:r w:rsidRPr="00846956">
          <w:rPr>
            <w:color w:val="231F20"/>
            <w:w w:val="102"/>
            <w:lang w:val="de-DE"/>
          </w:rPr>
          <w:t>a</w:t>
        </w:r>
        <w:r w:rsidRPr="00846956">
          <w:rPr>
            <w:color w:val="231F20"/>
            <w:w w:val="56"/>
            <w:lang w:val="de-DE"/>
          </w:rPr>
          <w:t>/</w:t>
        </w:r>
      </w:hyperlink>
      <w:r w:rsidRPr="00846956">
        <w:rPr>
          <w:color w:val="231F20"/>
          <w:w w:val="56"/>
          <w:lang w:val="de-DE"/>
        </w:rPr>
        <w:t xml:space="preserve"> </w:t>
      </w:r>
      <w:r w:rsidRPr="00846956">
        <w:rPr>
          <w:color w:val="231F20"/>
          <w:w w:val="105"/>
          <w:lang w:val="de-DE"/>
        </w:rPr>
        <w:t>spiegel1975.htm.</w:t>
      </w:r>
    </w:p>
    <w:p w14:paraId="651F638D" w14:textId="77777777" w:rsidR="002653E8" w:rsidRPr="00846956" w:rsidRDefault="003115E3">
      <w:pPr>
        <w:pStyle w:val="a3"/>
        <w:spacing w:before="163"/>
        <w:ind w:left="1148"/>
        <w:rPr>
          <w:lang w:val="de-DE"/>
        </w:rPr>
      </w:pPr>
      <w:r w:rsidRPr="00846956">
        <w:rPr>
          <w:color w:val="231F20"/>
          <w:w w:val="111"/>
          <w:lang w:val="de-DE"/>
        </w:rPr>
        <w:t>U</w:t>
      </w:r>
      <w:r w:rsidRPr="00846956">
        <w:rPr>
          <w:color w:val="231F20"/>
          <w:spacing w:val="-2"/>
          <w:w w:val="99"/>
          <w:lang w:val="de-DE"/>
        </w:rPr>
        <w:t>n</w:t>
      </w:r>
      <w:r w:rsidRPr="00846956">
        <w:rPr>
          <w:color w:val="231F20"/>
          <w:spacing w:val="2"/>
          <w:w w:val="98"/>
          <w:lang w:val="de-DE"/>
        </w:rPr>
        <w:t>t</w:t>
      </w:r>
      <w:r w:rsidRPr="00846956">
        <w:rPr>
          <w:color w:val="231F20"/>
          <w:spacing w:val="-2"/>
          <w:lang w:val="de-DE"/>
        </w:rPr>
        <w:t>i</w:t>
      </w:r>
      <w:r w:rsidRPr="00846956">
        <w:rPr>
          <w:color w:val="231F20"/>
          <w:spacing w:val="2"/>
          <w:w w:val="98"/>
          <w:lang w:val="de-DE"/>
        </w:rPr>
        <w:t>t</w:t>
      </w:r>
      <w:r w:rsidRPr="00846956">
        <w:rPr>
          <w:color w:val="231F20"/>
          <w:spacing w:val="-1"/>
          <w:w w:val="102"/>
          <w:lang w:val="de-DE"/>
        </w:rPr>
        <w:t>l</w:t>
      </w:r>
      <w:r w:rsidRPr="00846956">
        <w:rPr>
          <w:color w:val="231F20"/>
          <w:w w:val="91"/>
          <w:lang w:val="de-DE"/>
        </w:rPr>
        <w:t>e</w:t>
      </w:r>
      <w:r w:rsidRPr="00846956">
        <w:rPr>
          <w:color w:val="231F20"/>
          <w:lang w:val="de-DE"/>
        </w:rPr>
        <w:t>d</w:t>
      </w:r>
      <w:r w:rsidRPr="00846956">
        <w:rPr>
          <w:color w:val="231F20"/>
          <w:w w:val="135"/>
          <w:lang w:val="de-DE"/>
        </w:rPr>
        <w:t>.</w:t>
      </w:r>
      <w:r w:rsidRPr="00846956">
        <w:rPr>
          <w:color w:val="231F20"/>
          <w:spacing w:val="10"/>
          <w:lang w:val="de-DE"/>
        </w:rPr>
        <w:t xml:space="preserve"> </w:t>
      </w:r>
      <w:hyperlink r:id="rId594">
        <w:r w:rsidRPr="00846956">
          <w:rPr>
            <w:color w:val="231F20"/>
            <w:spacing w:val="-2"/>
            <w:lang w:val="de-DE"/>
          </w:rPr>
          <w:t>h</w:t>
        </w:r>
        <w:r w:rsidRPr="00846956">
          <w:rPr>
            <w:color w:val="231F20"/>
            <w:spacing w:val="5"/>
            <w:w w:val="98"/>
            <w:lang w:val="de-DE"/>
          </w:rPr>
          <w:t>t</w:t>
        </w:r>
        <w:r w:rsidRPr="00846956">
          <w:rPr>
            <w:color w:val="231F20"/>
            <w:spacing w:val="3"/>
            <w:w w:val="98"/>
            <w:lang w:val="de-DE"/>
          </w:rPr>
          <w:t>t</w:t>
        </w:r>
        <w:r w:rsidRPr="00846956">
          <w:rPr>
            <w:color w:val="231F20"/>
            <w:spacing w:val="-1"/>
            <w:w w:val="99"/>
            <w:lang w:val="de-DE"/>
          </w:rPr>
          <w:t>p</w:t>
        </w:r>
        <w:r w:rsidRPr="00846956">
          <w:rPr>
            <w:color w:val="231F20"/>
            <w:spacing w:val="5"/>
            <w:w w:val="105"/>
            <w:lang w:val="de-DE"/>
          </w:rPr>
          <w:t>:</w:t>
        </w:r>
        <w:r w:rsidRPr="00846956">
          <w:rPr>
            <w:color w:val="231F20"/>
            <w:spacing w:val="-3"/>
            <w:w w:val="56"/>
            <w:lang w:val="de-DE"/>
          </w:rPr>
          <w:t>/</w:t>
        </w:r>
        <w:r w:rsidRPr="00846956">
          <w:rPr>
            <w:color w:val="231F20"/>
            <w:spacing w:val="-4"/>
            <w:w w:val="56"/>
            <w:lang w:val="de-DE"/>
          </w:rPr>
          <w:t>/</w:t>
        </w:r>
        <w:r w:rsidRPr="00846956">
          <w:rPr>
            <w:color w:val="231F20"/>
            <w:w w:val="90"/>
            <w:lang w:val="de-DE"/>
          </w:rPr>
          <w:t>s</w:t>
        </w:r>
        <w:r w:rsidRPr="00846956">
          <w:rPr>
            <w:color w:val="231F20"/>
            <w:spacing w:val="2"/>
            <w:w w:val="104"/>
            <w:lang w:val="de-DE"/>
          </w:rPr>
          <w:t>o</w:t>
        </w:r>
        <w:r w:rsidRPr="00846956">
          <w:rPr>
            <w:color w:val="231F20"/>
            <w:lang w:val="de-DE"/>
          </w:rPr>
          <w:t>c</w:t>
        </w:r>
        <w:r w:rsidRPr="00846956">
          <w:rPr>
            <w:color w:val="231F20"/>
            <w:spacing w:val="-12"/>
            <w:w w:val="135"/>
            <w:lang w:val="de-DE"/>
          </w:rPr>
          <w:t>.</w:t>
        </w:r>
        <w:r w:rsidRPr="00846956">
          <w:rPr>
            <w:color w:val="231F20"/>
            <w:spacing w:val="-3"/>
            <w:lang w:val="de-DE"/>
          </w:rPr>
          <w:t>w</w:t>
        </w:r>
        <w:r w:rsidRPr="00846956">
          <w:rPr>
            <w:color w:val="231F20"/>
            <w:spacing w:val="-1"/>
            <w:w w:val="104"/>
            <w:lang w:val="de-DE"/>
          </w:rPr>
          <w:t>o</w:t>
        </w:r>
        <w:r w:rsidRPr="00846956">
          <w:rPr>
            <w:color w:val="231F20"/>
            <w:spacing w:val="-3"/>
            <w:w w:val="94"/>
            <w:lang w:val="de-DE"/>
          </w:rPr>
          <w:t>r</w:t>
        </w:r>
        <w:r w:rsidRPr="00846956">
          <w:rPr>
            <w:color w:val="231F20"/>
            <w:spacing w:val="-2"/>
            <w:w w:val="102"/>
            <w:lang w:val="de-DE"/>
          </w:rPr>
          <w:t>l</w:t>
        </w:r>
        <w:r w:rsidRPr="00846956">
          <w:rPr>
            <w:color w:val="231F20"/>
            <w:lang w:val="de-DE"/>
          </w:rPr>
          <w:t>d-</w:t>
        </w:r>
        <w:r w:rsidRPr="00846956">
          <w:rPr>
            <w:color w:val="231F20"/>
            <w:spacing w:val="-2"/>
            <w:w w:val="104"/>
            <w:lang w:val="de-DE"/>
          </w:rPr>
          <w:t>jo</w:t>
        </w:r>
        <w:r w:rsidRPr="00846956">
          <w:rPr>
            <w:color w:val="231F20"/>
            <w:spacing w:val="3"/>
            <w:lang w:val="de-DE"/>
          </w:rPr>
          <w:t>u</w:t>
        </w:r>
        <w:r w:rsidRPr="00846956">
          <w:rPr>
            <w:color w:val="231F20"/>
            <w:spacing w:val="3"/>
            <w:w w:val="94"/>
            <w:lang w:val="de-DE"/>
          </w:rPr>
          <w:t>r</w:t>
        </w:r>
        <w:r w:rsidRPr="00846956">
          <w:rPr>
            <w:color w:val="231F20"/>
            <w:spacing w:val="1"/>
            <w:w w:val="99"/>
            <w:lang w:val="de-DE"/>
          </w:rPr>
          <w:t>n</w:t>
        </w:r>
        <w:r w:rsidRPr="00846956">
          <w:rPr>
            <w:color w:val="231F20"/>
            <w:spacing w:val="2"/>
            <w:w w:val="102"/>
            <w:lang w:val="de-DE"/>
          </w:rPr>
          <w:t>a</w:t>
        </w:r>
        <w:r w:rsidRPr="00846956">
          <w:rPr>
            <w:color w:val="231F20"/>
            <w:w w:val="102"/>
            <w:lang w:val="de-DE"/>
          </w:rPr>
          <w:t>l</w:t>
        </w:r>
        <w:r w:rsidRPr="00846956">
          <w:rPr>
            <w:color w:val="231F20"/>
            <w:w w:val="135"/>
            <w:lang w:val="de-DE"/>
          </w:rPr>
          <w:t>.</w:t>
        </w:r>
        <w:r w:rsidRPr="00846956">
          <w:rPr>
            <w:color w:val="231F20"/>
            <w:spacing w:val="-1"/>
            <w:w w:val="99"/>
            <w:lang w:val="de-DE"/>
          </w:rPr>
          <w:t>n</w:t>
        </w:r>
        <w:r w:rsidRPr="00846956">
          <w:rPr>
            <w:color w:val="231F20"/>
            <w:spacing w:val="1"/>
            <w:w w:val="91"/>
            <w:lang w:val="de-DE"/>
          </w:rPr>
          <w:t>e</w:t>
        </w:r>
        <w:r w:rsidRPr="00846956">
          <w:rPr>
            <w:color w:val="231F20"/>
            <w:spacing w:val="7"/>
            <w:w w:val="98"/>
            <w:lang w:val="de-DE"/>
          </w:rPr>
          <w:t>t</w:t>
        </w:r>
        <w:r w:rsidRPr="00846956">
          <w:rPr>
            <w:color w:val="231F20"/>
            <w:spacing w:val="-5"/>
            <w:w w:val="56"/>
            <w:lang w:val="de-DE"/>
          </w:rPr>
          <w:t>/</w:t>
        </w:r>
        <w:r w:rsidRPr="00846956">
          <w:rPr>
            <w:color w:val="231F20"/>
            <w:spacing w:val="-9"/>
            <w:lang w:val="de-DE"/>
          </w:rPr>
          <w:t>1</w:t>
        </w:r>
        <w:r w:rsidRPr="00846956">
          <w:rPr>
            <w:color w:val="231F20"/>
            <w:spacing w:val="-2"/>
            <w:lang w:val="de-DE"/>
          </w:rPr>
          <w:t>8</w:t>
        </w:r>
        <w:r w:rsidRPr="00846956">
          <w:rPr>
            <w:color w:val="231F20"/>
            <w:spacing w:val="1"/>
            <w:w w:val="90"/>
            <w:lang w:val="de-DE"/>
          </w:rPr>
          <w:t>s</w:t>
        </w:r>
        <w:r w:rsidRPr="00846956">
          <w:rPr>
            <w:color w:val="231F20"/>
            <w:w w:val="91"/>
            <w:lang w:val="de-DE"/>
          </w:rPr>
          <w:t>e</w:t>
        </w:r>
        <w:r w:rsidRPr="00846956">
          <w:rPr>
            <w:color w:val="231F20"/>
            <w:w w:val="99"/>
            <w:lang w:val="de-DE"/>
          </w:rPr>
          <w:t>pt</w:t>
        </w:r>
        <w:r w:rsidRPr="00846956">
          <w:rPr>
            <w:color w:val="231F20"/>
            <w:spacing w:val="2"/>
            <w:lang w:val="de-DE"/>
          </w:rPr>
          <w:t>2</w:t>
        </w:r>
        <w:r w:rsidRPr="00846956">
          <w:rPr>
            <w:color w:val="231F20"/>
            <w:spacing w:val="5"/>
            <w:lang w:val="de-DE"/>
          </w:rPr>
          <w:t>0</w:t>
        </w:r>
        <w:r w:rsidRPr="00846956">
          <w:rPr>
            <w:color w:val="231F20"/>
            <w:spacing w:val="-1"/>
            <w:lang w:val="de-DE"/>
          </w:rPr>
          <w:t>0</w:t>
        </w:r>
        <w:r w:rsidRPr="00846956">
          <w:rPr>
            <w:color w:val="231F20"/>
            <w:spacing w:val="-2"/>
            <w:lang w:val="de-DE"/>
          </w:rPr>
          <w:t>8</w:t>
        </w:r>
        <w:r w:rsidRPr="00846956">
          <w:rPr>
            <w:color w:val="231F20"/>
            <w:spacing w:val="-1"/>
            <w:w w:val="90"/>
            <w:lang w:val="de-DE"/>
          </w:rPr>
          <w:t>s</w:t>
        </w:r>
        <w:r w:rsidRPr="00846956">
          <w:rPr>
            <w:color w:val="231F20"/>
            <w:spacing w:val="-2"/>
            <w:w w:val="99"/>
            <w:lang w:val="de-DE"/>
          </w:rPr>
          <w:t>p</w:t>
        </w:r>
        <w:r w:rsidRPr="00846956">
          <w:rPr>
            <w:color w:val="231F20"/>
            <w:spacing w:val="5"/>
            <w:w w:val="99"/>
            <w:lang w:val="de-DE"/>
          </w:rPr>
          <w:t>y</w:t>
        </w:r>
        <w:r w:rsidRPr="00846956">
          <w:rPr>
            <w:color w:val="231F20"/>
            <w:spacing w:val="-2"/>
            <w:w w:val="101"/>
            <w:lang w:val="de-DE"/>
          </w:rPr>
          <w:t>w</w:t>
        </w:r>
        <w:r w:rsidRPr="00846956">
          <w:rPr>
            <w:color w:val="231F20"/>
            <w:spacing w:val="3"/>
            <w:w w:val="101"/>
            <w:lang w:val="de-DE"/>
          </w:rPr>
          <w:t>a</w:t>
        </w:r>
        <w:r w:rsidRPr="00846956">
          <w:rPr>
            <w:color w:val="231F20"/>
            <w:w w:val="94"/>
            <w:lang w:val="de-DE"/>
          </w:rPr>
          <w:t>r</w:t>
        </w:r>
        <w:r w:rsidRPr="00846956">
          <w:rPr>
            <w:color w:val="231F20"/>
            <w:spacing w:val="-3"/>
            <w:w w:val="90"/>
            <w:lang w:val="de-DE"/>
          </w:rPr>
          <w:t>s</w:t>
        </w:r>
        <w:r w:rsidRPr="00846956">
          <w:rPr>
            <w:color w:val="231F20"/>
            <w:lang w:val="de-DE"/>
          </w:rPr>
          <w:t>2</w:t>
        </w:r>
        <w:r w:rsidRPr="00846956">
          <w:rPr>
            <w:color w:val="231F20"/>
            <w:w w:val="135"/>
            <w:lang w:val="de-DE"/>
          </w:rPr>
          <w:t>.</w:t>
        </w:r>
        <w:r w:rsidRPr="00846956">
          <w:rPr>
            <w:color w:val="231F20"/>
            <w:spacing w:val="-2"/>
            <w:w w:val="99"/>
            <w:lang w:val="de-DE"/>
          </w:rPr>
          <w:t>h</w:t>
        </w:r>
        <w:r w:rsidRPr="00846956">
          <w:rPr>
            <w:color w:val="231F20"/>
            <w:spacing w:val="3"/>
            <w:w w:val="99"/>
            <w:lang w:val="de-DE"/>
          </w:rPr>
          <w:t>tm</w:t>
        </w:r>
        <w:r w:rsidRPr="00846956">
          <w:rPr>
            <w:color w:val="231F20"/>
            <w:w w:val="102"/>
            <w:lang w:val="de-DE"/>
          </w:rPr>
          <w:t>l</w:t>
        </w:r>
        <w:r w:rsidRPr="00846956">
          <w:rPr>
            <w:color w:val="231F20"/>
            <w:w w:val="135"/>
            <w:lang w:val="de-DE"/>
          </w:rPr>
          <w:t>.</w:t>
        </w:r>
      </w:hyperlink>
    </w:p>
    <w:p w14:paraId="003B08D8" w14:textId="77777777" w:rsidR="002653E8" w:rsidRPr="00846956" w:rsidRDefault="002653E8">
      <w:pPr>
        <w:rPr>
          <w:lang w:val="de-DE"/>
        </w:rPr>
        <w:sectPr w:rsidR="002653E8" w:rsidRPr="00846956">
          <w:pgSz w:w="8640" w:h="12960"/>
          <w:pgMar w:top="1060" w:right="0" w:bottom="1040" w:left="0" w:header="0" w:footer="850" w:gutter="0"/>
          <w:cols w:space="720"/>
        </w:sectPr>
      </w:pPr>
    </w:p>
    <w:p w14:paraId="73CEFA2B" w14:textId="77777777" w:rsidR="002653E8" w:rsidRDefault="003115E3">
      <w:pPr>
        <w:pStyle w:val="a3"/>
        <w:spacing w:before="70" w:line="244" w:lineRule="auto"/>
        <w:ind w:left="2461" w:right="1520" w:hanging="1134"/>
      </w:pPr>
      <w:r w:rsidRPr="00846956">
        <w:rPr>
          <w:color w:val="231F20"/>
          <w:lang w:val="de-DE"/>
        </w:rPr>
        <w:lastRenderedPageBreak/>
        <w:t xml:space="preserve">Vowinckel, Annette. “Der kurze Weg nach Entebbe oder die Verlängerung der deutschen Geschichte in den Nahen Osten.” </w:t>
      </w:r>
      <w:hyperlink r:id="rId595">
        <w:r>
          <w:rPr>
            <w:color w:val="231F20"/>
          </w:rPr>
          <w:t>http://www.zeithistorische-forschungen.de/</w:t>
        </w:r>
      </w:hyperlink>
      <w:r>
        <w:rPr>
          <w:color w:val="231F20"/>
        </w:rPr>
        <w:t xml:space="preserve"> </w:t>
      </w:r>
      <w:r>
        <w:rPr>
          <w:color w:val="231F20"/>
          <w:w w:val="90"/>
        </w:rPr>
        <w:t>s</w:t>
      </w:r>
      <w:r>
        <w:rPr>
          <w:color w:val="231F20"/>
          <w:w w:val="99"/>
        </w:rPr>
        <w:t>it</w:t>
      </w:r>
      <w:r>
        <w:rPr>
          <w:color w:val="231F20"/>
          <w:w w:val="91"/>
        </w:rPr>
        <w:t>e</w:t>
      </w:r>
      <w:r>
        <w:rPr>
          <w:color w:val="231F20"/>
          <w:w w:val="56"/>
        </w:rPr>
        <w:t>/</w:t>
      </w:r>
      <w:r>
        <w:rPr>
          <w:color w:val="231F20"/>
        </w:rPr>
        <w:t>40208212</w:t>
      </w:r>
      <w:r>
        <w:rPr>
          <w:color w:val="231F20"/>
          <w:w w:val="56"/>
        </w:rPr>
        <w:t>/</w:t>
      </w:r>
      <w:r>
        <w:rPr>
          <w:color w:val="231F20"/>
        </w:rPr>
        <w:t>d</w:t>
      </w:r>
      <w:r>
        <w:rPr>
          <w:color w:val="231F20"/>
          <w:w w:val="91"/>
        </w:rPr>
        <w:t>e</w:t>
      </w:r>
      <w:r>
        <w:rPr>
          <w:color w:val="231F20"/>
          <w:w w:val="109"/>
        </w:rPr>
        <w:t>f</w:t>
      </w:r>
      <w:r>
        <w:rPr>
          <w:color w:val="231F20"/>
          <w:w w:val="102"/>
        </w:rPr>
        <w:t>a</w:t>
      </w:r>
      <w:r>
        <w:rPr>
          <w:color w:val="231F20"/>
        </w:rPr>
        <w:t>u</w:t>
      </w:r>
      <w:r>
        <w:rPr>
          <w:color w:val="231F20"/>
          <w:w w:val="102"/>
        </w:rPr>
        <w:t>l</w:t>
      </w:r>
      <w:r>
        <w:rPr>
          <w:color w:val="231F20"/>
          <w:w w:val="98"/>
        </w:rPr>
        <w:t>t</w:t>
      </w:r>
      <w:r>
        <w:rPr>
          <w:color w:val="231F20"/>
          <w:w w:val="135"/>
        </w:rPr>
        <w:t>.</w:t>
      </w:r>
      <w:r>
        <w:rPr>
          <w:color w:val="231F20"/>
          <w:w w:val="102"/>
        </w:rPr>
        <w:t>a</w:t>
      </w:r>
      <w:r>
        <w:rPr>
          <w:color w:val="231F20"/>
          <w:w w:val="90"/>
        </w:rPr>
        <w:t>s</w:t>
      </w:r>
      <w:r>
        <w:rPr>
          <w:color w:val="231F20"/>
          <w:w w:val="99"/>
        </w:rPr>
        <w:t>p</w:t>
      </w:r>
      <w:r>
        <w:rPr>
          <w:color w:val="231F20"/>
        </w:rPr>
        <w:t>x#p</w:t>
      </w:r>
      <w:r>
        <w:rPr>
          <w:color w:val="231F20"/>
          <w:w w:val="101"/>
        </w:rPr>
        <w:t>g</w:t>
      </w:r>
      <w:r>
        <w:rPr>
          <w:color w:val="231F20"/>
          <w:w w:val="109"/>
        </w:rPr>
        <w:t>f</w:t>
      </w:r>
      <w:r>
        <w:rPr>
          <w:color w:val="231F20"/>
          <w:w w:val="102"/>
        </w:rPr>
        <w:t>I</w:t>
      </w:r>
      <w:r>
        <w:rPr>
          <w:color w:val="231F20"/>
        </w:rPr>
        <w:t>d-1033195</w:t>
      </w:r>
      <w:r>
        <w:rPr>
          <w:color w:val="231F20"/>
          <w:w w:val="102"/>
        </w:rPr>
        <w:t>a</w:t>
      </w:r>
      <w:r>
        <w:rPr>
          <w:color w:val="231F20"/>
          <w:w w:val="135"/>
        </w:rPr>
        <w:t>.</w:t>
      </w:r>
    </w:p>
    <w:p w14:paraId="66602A33" w14:textId="77777777" w:rsidR="002653E8" w:rsidRDefault="002653E8">
      <w:pPr>
        <w:pStyle w:val="a3"/>
        <w:rPr>
          <w:sz w:val="22"/>
        </w:rPr>
      </w:pPr>
    </w:p>
    <w:p w14:paraId="123FC205" w14:textId="77777777" w:rsidR="002653E8" w:rsidRDefault="002653E8">
      <w:pPr>
        <w:pStyle w:val="a3"/>
        <w:rPr>
          <w:sz w:val="22"/>
        </w:rPr>
      </w:pPr>
    </w:p>
    <w:p w14:paraId="3302E4FA" w14:textId="77777777" w:rsidR="002653E8" w:rsidRDefault="002653E8">
      <w:pPr>
        <w:pStyle w:val="a3"/>
        <w:rPr>
          <w:sz w:val="18"/>
        </w:rPr>
      </w:pPr>
    </w:p>
    <w:p w14:paraId="11171647" w14:textId="77777777" w:rsidR="002653E8" w:rsidRDefault="003115E3">
      <w:pPr>
        <w:pStyle w:val="6"/>
      </w:pPr>
      <w:r>
        <w:rPr>
          <w:color w:val="231F20"/>
          <w:w w:val="110"/>
        </w:rPr>
        <w:t xml:space="preserve">o </w:t>
      </w:r>
      <w:r>
        <w:rPr>
          <w:color w:val="231F20"/>
          <w:w w:val="155"/>
        </w:rPr>
        <w:t xml:space="preserve">t </w:t>
      </w:r>
      <w:r>
        <w:rPr>
          <w:color w:val="231F20"/>
          <w:w w:val="110"/>
        </w:rPr>
        <w:t xml:space="preserve">h e </w:t>
      </w:r>
      <w:r>
        <w:rPr>
          <w:color w:val="231F20"/>
          <w:w w:val="155"/>
        </w:rPr>
        <w:t>r</w:t>
      </w:r>
      <w:r>
        <w:rPr>
          <w:color w:val="231F20"/>
          <w:spacing w:val="81"/>
          <w:w w:val="155"/>
        </w:rPr>
        <w:t xml:space="preserve"> </w:t>
      </w:r>
      <w:r>
        <w:rPr>
          <w:color w:val="231F20"/>
          <w:w w:val="110"/>
        </w:rPr>
        <w:t xml:space="preserve">n e w s </w:t>
      </w:r>
      <w:r>
        <w:rPr>
          <w:color w:val="231F20"/>
          <w:spacing w:val="12"/>
          <w:w w:val="110"/>
        </w:rPr>
        <w:t>pa</w:t>
      </w:r>
      <w:r>
        <w:rPr>
          <w:color w:val="231F20"/>
          <w:spacing w:val="11"/>
          <w:w w:val="110"/>
        </w:rPr>
        <w:t xml:space="preserve"> </w:t>
      </w:r>
      <w:r>
        <w:rPr>
          <w:color w:val="231F20"/>
          <w:w w:val="110"/>
        </w:rPr>
        <w:t xml:space="preserve">p e </w:t>
      </w:r>
      <w:r>
        <w:rPr>
          <w:color w:val="231F20"/>
          <w:w w:val="155"/>
        </w:rPr>
        <w:t>r</w:t>
      </w:r>
      <w:r>
        <w:rPr>
          <w:color w:val="231F20"/>
          <w:spacing w:val="-54"/>
          <w:w w:val="155"/>
        </w:rPr>
        <w:t xml:space="preserve"> </w:t>
      </w:r>
      <w:r>
        <w:rPr>
          <w:color w:val="231F20"/>
          <w:w w:val="110"/>
        </w:rPr>
        <w:t xml:space="preserve">s &amp; p e </w:t>
      </w:r>
      <w:r>
        <w:rPr>
          <w:color w:val="231F20"/>
          <w:w w:val="155"/>
        </w:rPr>
        <w:t xml:space="preserve">r </w:t>
      </w:r>
      <w:r>
        <w:rPr>
          <w:color w:val="231F20"/>
          <w:spacing w:val="25"/>
          <w:w w:val="110"/>
        </w:rPr>
        <w:t xml:space="preserve">iodic </w:t>
      </w:r>
      <w:r>
        <w:rPr>
          <w:color w:val="231F20"/>
          <w:w w:val="110"/>
        </w:rPr>
        <w:t xml:space="preserve">a </w:t>
      </w:r>
      <w:r>
        <w:rPr>
          <w:color w:val="231F20"/>
          <w:w w:val="155"/>
        </w:rPr>
        <w:t>l</w:t>
      </w:r>
      <w:r>
        <w:rPr>
          <w:color w:val="231F20"/>
          <w:spacing w:val="-52"/>
          <w:w w:val="155"/>
        </w:rPr>
        <w:t xml:space="preserve"> </w:t>
      </w:r>
      <w:r>
        <w:rPr>
          <w:color w:val="231F20"/>
          <w:w w:val="110"/>
        </w:rPr>
        <w:t>s</w:t>
      </w:r>
    </w:p>
    <w:p w14:paraId="3DBE51E6" w14:textId="77777777" w:rsidR="002653E8" w:rsidRDefault="003115E3">
      <w:pPr>
        <w:pStyle w:val="a3"/>
        <w:spacing w:before="188"/>
        <w:ind w:left="1383"/>
      </w:pPr>
      <w:r>
        <w:rPr>
          <w:color w:val="231F20"/>
          <w:w w:val="105"/>
        </w:rPr>
        <w:t>Ascherson, Neil. “Leftists Disturbed by Violence of Berlin Gunmen.”</w:t>
      </w:r>
    </w:p>
    <w:p w14:paraId="4958AF8F" w14:textId="77777777" w:rsidR="002653E8" w:rsidRDefault="003115E3">
      <w:pPr>
        <w:spacing w:before="5"/>
        <w:ind w:left="2461"/>
        <w:rPr>
          <w:sz w:val="20"/>
        </w:rPr>
      </w:pPr>
      <w:r>
        <w:rPr>
          <w:i/>
          <w:color w:val="231F20"/>
          <w:w w:val="110"/>
          <w:sz w:val="20"/>
        </w:rPr>
        <w:t xml:space="preserve">Winnipeg Free Press, </w:t>
      </w:r>
      <w:r>
        <w:rPr>
          <w:color w:val="231F20"/>
          <w:w w:val="110"/>
          <w:sz w:val="20"/>
        </w:rPr>
        <w:t>July 4, 1970.</w:t>
      </w:r>
    </w:p>
    <w:p w14:paraId="6A53D3F8" w14:textId="77777777" w:rsidR="002653E8" w:rsidRDefault="003115E3">
      <w:pPr>
        <w:spacing w:before="166" w:line="244" w:lineRule="auto"/>
        <w:ind w:left="2461" w:right="1580" w:hanging="1134"/>
        <w:rPr>
          <w:sz w:val="20"/>
        </w:rPr>
      </w:pPr>
      <w:r>
        <w:rPr>
          <w:color w:val="231F20"/>
          <w:w w:val="105"/>
          <w:sz w:val="20"/>
        </w:rPr>
        <w:t xml:space="preserve">Associated Press. “Schleyer Found Dead.” </w:t>
      </w:r>
      <w:r>
        <w:rPr>
          <w:i/>
          <w:color w:val="231F20"/>
          <w:w w:val="105"/>
          <w:sz w:val="20"/>
        </w:rPr>
        <w:t xml:space="preserve">Danville (Virginia) Register, </w:t>
      </w:r>
      <w:r>
        <w:rPr>
          <w:color w:val="231F20"/>
          <w:w w:val="105"/>
          <w:sz w:val="20"/>
        </w:rPr>
        <w:t>October 20, 1977.</w:t>
      </w:r>
    </w:p>
    <w:p w14:paraId="2CF7B4D3" w14:textId="77777777" w:rsidR="002653E8" w:rsidRDefault="003115E3">
      <w:pPr>
        <w:spacing w:before="162" w:line="244" w:lineRule="auto"/>
        <w:ind w:left="2461" w:right="1580" w:hanging="1134"/>
        <w:rPr>
          <w:sz w:val="20"/>
        </w:rPr>
      </w:pPr>
      <w:r>
        <w:rPr>
          <w:color w:val="231F20"/>
          <w:w w:val="105"/>
          <w:sz w:val="20"/>
        </w:rPr>
        <w:t xml:space="preserve">-------------“2 German terrorists given life.” </w:t>
      </w:r>
      <w:r>
        <w:rPr>
          <w:i/>
          <w:color w:val="231F20"/>
          <w:w w:val="105"/>
          <w:sz w:val="20"/>
        </w:rPr>
        <w:t xml:space="preserve">European Stars and Stripes, </w:t>
      </w:r>
      <w:r>
        <w:rPr>
          <w:color w:val="231F20"/>
          <w:w w:val="105"/>
          <w:sz w:val="20"/>
        </w:rPr>
        <w:t>June 3, 1977.</w:t>
      </w:r>
    </w:p>
    <w:p w14:paraId="35E0D36D" w14:textId="77777777" w:rsidR="002653E8" w:rsidRDefault="003115E3">
      <w:pPr>
        <w:spacing w:before="161" w:line="244" w:lineRule="auto"/>
        <w:ind w:left="2462" w:right="1145" w:hanging="1135"/>
        <w:rPr>
          <w:sz w:val="20"/>
        </w:rPr>
      </w:pPr>
      <w:r>
        <w:rPr>
          <w:color w:val="231F20"/>
          <w:w w:val="105"/>
          <w:sz w:val="20"/>
        </w:rPr>
        <w:t xml:space="preserve">-------------“3 Sought In Slaying Of Official.” </w:t>
      </w:r>
      <w:r>
        <w:rPr>
          <w:i/>
          <w:color w:val="231F20"/>
          <w:w w:val="105"/>
          <w:sz w:val="20"/>
        </w:rPr>
        <w:t xml:space="preserve">Press Courier (Oxnard, California), </w:t>
      </w:r>
      <w:r>
        <w:rPr>
          <w:color w:val="231F20"/>
          <w:w w:val="105"/>
          <w:sz w:val="20"/>
        </w:rPr>
        <w:t>April 8, 1977.</w:t>
      </w:r>
    </w:p>
    <w:p w14:paraId="0D1BCF19" w14:textId="77777777" w:rsidR="002653E8" w:rsidRDefault="003115E3">
      <w:pPr>
        <w:spacing w:before="162" w:line="244" w:lineRule="auto"/>
        <w:ind w:left="2462" w:right="1145" w:hanging="1135"/>
        <w:rPr>
          <w:sz w:val="20"/>
        </w:rPr>
      </w:pPr>
      <w:r>
        <w:rPr>
          <w:color w:val="231F20"/>
          <w:w w:val="105"/>
          <w:sz w:val="20"/>
        </w:rPr>
        <w:t xml:space="preserve">-------------“3 terrorist deaths ruled ‘a collective suicide.’” </w:t>
      </w:r>
      <w:r>
        <w:rPr>
          <w:i/>
          <w:color w:val="231F20"/>
          <w:w w:val="105"/>
          <w:sz w:val="20"/>
        </w:rPr>
        <w:t xml:space="preserve">European Stars and Stripes, </w:t>
      </w:r>
      <w:r>
        <w:rPr>
          <w:color w:val="231F20"/>
          <w:w w:val="105"/>
          <w:sz w:val="20"/>
        </w:rPr>
        <w:t>February 25, 1978.</w:t>
      </w:r>
    </w:p>
    <w:p w14:paraId="7EE4A508" w14:textId="77777777" w:rsidR="002653E8" w:rsidRDefault="003115E3">
      <w:pPr>
        <w:spacing w:before="162" w:line="244" w:lineRule="auto"/>
        <w:ind w:left="2462" w:right="1513" w:hanging="1134"/>
        <w:rPr>
          <w:sz w:val="20"/>
        </w:rPr>
      </w:pPr>
      <w:r>
        <w:rPr>
          <w:color w:val="231F20"/>
          <w:w w:val="105"/>
          <w:sz w:val="20"/>
        </w:rPr>
        <w:t xml:space="preserve">-------------“4 get life for attack at embassy.” </w:t>
      </w:r>
      <w:r>
        <w:rPr>
          <w:i/>
          <w:color w:val="231F20"/>
          <w:w w:val="105"/>
          <w:sz w:val="20"/>
        </w:rPr>
        <w:t xml:space="preserve">European Stars and Stripes, </w:t>
      </w:r>
      <w:r>
        <w:rPr>
          <w:color w:val="231F20"/>
          <w:w w:val="105"/>
          <w:sz w:val="20"/>
        </w:rPr>
        <w:t>July 21, 1977.</w:t>
      </w:r>
    </w:p>
    <w:p w14:paraId="249C1187" w14:textId="77777777" w:rsidR="002653E8" w:rsidRDefault="003115E3">
      <w:pPr>
        <w:spacing w:before="161"/>
        <w:ind w:left="1328"/>
        <w:rPr>
          <w:sz w:val="20"/>
        </w:rPr>
      </w:pPr>
      <w:r>
        <w:rPr>
          <w:color w:val="231F20"/>
          <w:w w:val="105"/>
          <w:sz w:val="20"/>
        </w:rPr>
        <w:t xml:space="preserve">-------------“Anarchist Buried.” </w:t>
      </w:r>
      <w:r>
        <w:rPr>
          <w:i/>
          <w:color w:val="231F20"/>
          <w:w w:val="105"/>
          <w:sz w:val="20"/>
        </w:rPr>
        <w:t xml:space="preserve">Waterloo Courier, </w:t>
      </w:r>
      <w:r>
        <w:rPr>
          <w:color w:val="231F20"/>
          <w:w w:val="105"/>
          <w:sz w:val="20"/>
        </w:rPr>
        <w:t>May 16, 1976.</w:t>
      </w:r>
    </w:p>
    <w:p w14:paraId="125937FF" w14:textId="77777777" w:rsidR="002653E8" w:rsidRDefault="003115E3">
      <w:pPr>
        <w:spacing w:before="166" w:line="244" w:lineRule="auto"/>
        <w:ind w:left="2462" w:right="1325" w:hanging="1134"/>
        <w:rPr>
          <w:sz w:val="20"/>
        </w:rPr>
      </w:pPr>
      <w:r>
        <w:rPr>
          <w:color w:val="231F20"/>
          <w:w w:val="105"/>
          <w:sz w:val="20"/>
        </w:rPr>
        <w:t xml:space="preserve">-------------“Baader-Meinhof Armourer Testifies.” </w:t>
      </w:r>
      <w:r>
        <w:rPr>
          <w:i/>
          <w:color w:val="231F20"/>
          <w:w w:val="105"/>
          <w:sz w:val="20"/>
        </w:rPr>
        <w:t xml:space="preserve">European Stars and Stripes, </w:t>
      </w:r>
      <w:r>
        <w:rPr>
          <w:color w:val="231F20"/>
          <w:w w:val="105"/>
          <w:sz w:val="20"/>
        </w:rPr>
        <w:t>January 28, 1976.</w:t>
      </w:r>
    </w:p>
    <w:p w14:paraId="03C5DDD9" w14:textId="77777777" w:rsidR="002653E8" w:rsidRDefault="003115E3">
      <w:pPr>
        <w:spacing w:before="162" w:line="244" w:lineRule="auto"/>
        <w:ind w:left="2462" w:right="1580" w:hanging="1134"/>
        <w:rPr>
          <w:sz w:val="20"/>
        </w:rPr>
      </w:pPr>
      <w:r>
        <w:rPr>
          <w:color w:val="231F20"/>
          <w:w w:val="105"/>
          <w:sz w:val="20"/>
        </w:rPr>
        <w:t xml:space="preserve">-------------“Bay Area Service for Slain Jews.” </w:t>
      </w:r>
      <w:r>
        <w:rPr>
          <w:i/>
          <w:color w:val="231F20"/>
          <w:w w:val="105"/>
          <w:sz w:val="20"/>
        </w:rPr>
        <w:t xml:space="preserve">Daily Review (Hayward, California), </w:t>
      </w:r>
      <w:r>
        <w:rPr>
          <w:color w:val="231F20"/>
          <w:w w:val="105"/>
          <w:sz w:val="20"/>
        </w:rPr>
        <w:t>September 8, 1972.</w:t>
      </w:r>
    </w:p>
    <w:p w14:paraId="58DC87C0" w14:textId="77777777" w:rsidR="002653E8" w:rsidRDefault="003115E3">
      <w:pPr>
        <w:spacing w:before="161" w:line="244" w:lineRule="auto"/>
        <w:ind w:left="2462" w:right="1580" w:hanging="1134"/>
        <w:rPr>
          <w:sz w:val="20"/>
        </w:rPr>
      </w:pPr>
      <w:r>
        <w:rPr>
          <w:color w:val="231F20"/>
          <w:w w:val="105"/>
          <w:sz w:val="20"/>
        </w:rPr>
        <w:t xml:space="preserve">-------------“Berlin Cops, Leftists Clash for 2nd Night.” </w:t>
      </w:r>
      <w:r>
        <w:rPr>
          <w:i/>
          <w:color w:val="231F20"/>
          <w:w w:val="105"/>
          <w:sz w:val="20"/>
        </w:rPr>
        <w:t xml:space="preserve">European Stars and Stripes, </w:t>
      </w:r>
      <w:r>
        <w:rPr>
          <w:color w:val="231F20"/>
          <w:w w:val="105"/>
          <w:sz w:val="20"/>
        </w:rPr>
        <w:t>May 17, 1971.</w:t>
      </w:r>
    </w:p>
    <w:p w14:paraId="1F50BA40" w14:textId="77777777" w:rsidR="002653E8" w:rsidRDefault="003115E3">
      <w:pPr>
        <w:spacing w:before="162" w:line="244" w:lineRule="auto"/>
        <w:ind w:left="2461" w:right="1580" w:hanging="1134"/>
        <w:rPr>
          <w:sz w:val="20"/>
        </w:rPr>
      </w:pPr>
      <w:r>
        <w:rPr>
          <w:color w:val="231F20"/>
          <w:sz w:val="20"/>
        </w:rPr>
        <w:t xml:space="preserve">-------------“Bomb rips ITT subsidiary office in Berlin.” </w:t>
      </w:r>
      <w:r>
        <w:rPr>
          <w:i/>
          <w:color w:val="231F20"/>
          <w:sz w:val="20"/>
        </w:rPr>
        <w:t xml:space="preserve">European Stars and Stripes, </w:t>
      </w:r>
      <w:r>
        <w:rPr>
          <w:color w:val="231F20"/>
          <w:sz w:val="20"/>
        </w:rPr>
        <w:t>November 18, 1973.</w:t>
      </w:r>
    </w:p>
    <w:p w14:paraId="7705F97F" w14:textId="77777777" w:rsidR="002653E8" w:rsidRDefault="003115E3">
      <w:pPr>
        <w:pStyle w:val="a3"/>
        <w:spacing w:before="162"/>
        <w:ind w:left="1327"/>
      </w:pPr>
      <w:r>
        <w:rPr>
          <w:color w:val="231F20"/>
        </w:rPr>
        <w:t>-------------“Bombers Threaten 3 Blasts Friday in Stuttgart Area.”</w:t>
      </w:r>
    </w:p>
    <w:p w14:paraId="3B416B95" w14:textId="77777777" w:rsidR="002653E8" w:rsidRDefault="003115E3">
      <w:pPr>
        <w:spacing w:before="5"/>
        <w:ind w:left="2461"/>
        <w:rPr>
          <w:sz w:val="20"/>
        </w:rPr>
      </w:pPr>
      <w:r>
        <w:rPr>
          <w:i/>
          <w:color w:val="231F20"/>
          <w:w w:val="105"/>
          <w:sz w:val="20"/>
        </w:rPr>
        <w:t xml:space="preserve">European Stars and Stripes, </w:t>
      </w:r>
      <w:r>
        <w:rPr>
          <w:color w:val="231F20"/>
          <w:w w:val="105"/>
          <w:sz w:val="20"/>
        </w:rPr>
        <w:t>May 29, 1972.</w:t>
      </w:r>
    </w:p>
    <w:p w14:paraId="57C90314" w14:textId="77777777" w:rsidR="002653E8" w:rsidRDefault="003115E3">
      <w:pPr>
        <w:spacing w:before="166" w:line="244" w:lineRule="auto"/>
        <w:ind w:left="2461" w:right="1580" w:hanging="1134"/>
        <w:rPr>
          <w:sz w:val="20"/>
        </w:rPr>
      </w:pPr>
      <w:r>
        <w:rPr>
          <w:color w:val="231F20"/>
          <w:w w:val="105"/>
          <w:sz w:val="20"/>
        </w:rPr>
        <w:t xml:space="preserve">-------------“Bombs damage building in Paris.” </w:t>
      </w:r>
      <w:r>
        <w:rPr>
          <w:i/>
          <w:color w:val="231F20"/>
          <w:w w:val="105"/>
          <w:sz w:val="20"/>
        </w:rPr>
        <w:t xml:space="preserve">Press Courier (Oxnard, California), </w:t>
      </w:r>
      <w:r>
        <w:rPr>
          <w:color w:val="231F20"/>
          <w:w w:val="105"/>
          <w:sz w:val="20"/>
        </w:rPr>
        <w:t>May 19, 1976.</w:t>
      </w:r>
    </w:p>
    <w:p w14:paraId="5587E8D6" w14:textId="77777777" w:rsidR="002653E8" w:rsidRDefault="002653E8">
      <w:pPr>
        <w:spacing w:line="244" w:lineRule="auto"/>
        <w:rPr>
          <w:sz w:val="20"/>
        </w:rPr>
        <w:sectPr w:rsidR="002653E8">
          <w:pgSz w:w="8640" w:h="12960"/>
          <w:pgMar w:top="1060" w:right="0" w:bottom="1040" w:left="0" w:header="0" w:footer="850" w:gutter="0"/>
          <w:cols w:space="720"/>
        </w:sectPr>
      </w:pPr>
    </w:p>
    <w:p w14:paraId="59FC3A06" w14:textId="77777777" w:rsidR="002653E8" w:rsidRDefault="003115E3">
      <w:pPr>
        <w:spacing w:before="70" w:line="244" w:lineRule="auto"/>
        <w:ind w:left="2281" w:right="1580" w:hanging="1134"/>
        <w:rPr>
          <w:sz w:val="20"/>
        </w:rPr>
      </w:pPr>
      <w:r>
        <w:rPr>
          <w:color w:val="231F20"/>
          <w:w w:val="105"/>
          <w:sz w:val="20"/>
        </w:rPr>
        <w:lastRenderedPageBreak/>
        <w:t xml:space="preserve">-------------“Bonn fears more violence.” </w:t>
      </w:r>
      <w:r>
        <w:rPr>
          <w:i/>
          <w:color w:val="231F20"/>
          <w:w w:val="105"/>
          <w:sz w:val="20"/>
        </w:rPr>
        <w:t xml:space="preserve">Syracuse (New York) PostStandard, </w:t>
      </w:r>
      <w:r>
        <w:rPr>
          <w:color w:val="231F20"/>
          <w:w w:val="105"/>
          <w:sz w:val="20"/>
        </w:rPr>
        <w:t>Nov. 12, 1974.</w:t>
      </w:r>
    </w:p>
    <w:p w14:paraId="3C4AE1AE" w14:textId="77777777" w:rsidR="002653E8" w:rsidRDefault="003115E3">
      <w:pPr>
        <w:spacing w:before="161" w:line="244" w:lineRule="auto"/>
        <w:ind w:left="2281" w:right="1145" w:hanging="1134"/>
        <w:rPr>
          <w:sz w:val="20"/>
        </w:rPr>
      </w:pPr>
      <w:r>
        <w:rPr>
          <w:color w:val="231F20"/>
          <w:w w:val="105"/>
          <w:sz w:val="20"/>
        </w:rPr>
        <w:t xml:space="preserve">-------------“Bonn: terrorist death was suicide.” </w:t>
      </w:r>
      <w:r>
        <w:rPr>
          <w:i/>
          <w:color w:val="231F20"/>
          <w:w w:val="105"/>
          <w:sz w:val="20"/>
        </w:rPr>
        <w:t xml:space="preserve">Modesto (California) Bee, </w:t>
      </w:r>
      <w:r>
        <w:rPr>
          <w:color w:val="231F20"/>
          <w:w w:val="105"/>
          <w:sz w:val="20"/>
        </w:rPr>
        <w:t>November 14, 1977.</w:t>
      </w:r>
    </w:p>
    <w:p w14:paraId="1FC0A076" w14:textId="77777777" w:rsidR="002653E8" w:rsidRDefault="003115E3">
      <w:pPr>
        <w:spacing w:before="162" w:line="244" w:lineRule="auto"/>
        <w:ind w:left="2282" w:right="1580" w:hanging="1134"/>
        <w:rPr>
          <w:sz w:val="20"/>
        </w:rPr>
      </w:pPr>
      <w:r>
        <w:rPr>
          <w:color w:val="231F20"/>
          <w:w w:val="105"/>
          <w:sz w:val="20"/>
        </w:rPr>
        <w:t xml:space="preserve">-------------“Cohn-Bendit Jailed; Court Brawl Follows.” </w:t>
      </w:r>
      <w:r>
        <w:rPr>
          <w:i/>
          <w:color w:val="231F20"/>
          <w:w w:val="105"/>
          <w:sz w:val="20"/>
        </w:rPr>
        <w:t xml:space="preserve">European Stars and Stripes, </w:t>
      </w:r>
      <w:r>
        <w:rPr>
          <w:color w:val="231F20"/>
          <w:w w:val="105"/>
          <w:sz w:val="20"/>
        </w:rPr>
        <w:t>November 1, 1968.</w:t>
      </w:r>
    </w:p>
    <w:p w14:paraId="3BD896F3" w14:textId="77777777" w:rsidR="002653E8" w:rsidRDefault="003115E3">
      <w:pPr>
        <w:spacing w:before="162"/>
        <w:ind w:left="1147"/>
        <w:rPr>
          <w:i/>
          <w:sz w:val="20"/>
        </w:rPr>
      </w:pPr>
      <w:r>
        <w:rPr>
          <w:color w:val="231F20"/>
          <w:w w:val="110"/>
          <w:sz w:val="20"/>
        </w:rPr>
        <w:t xml:space="preserve">-------------“Deaths: Rolf Pohle.” </w:t>
      </w:r>
      <w:r>
        <w:rPr>
          <w:i/>
          <w:color w:val="231F20"/>
          <w:w w:val="110"/>
          <w:sz w:val="20"/>
        </w:rPr>
        <w:t>Daily Globe (Ironwood, Michigan),</w:t>
      </w:r>
    </w:p>
    <w:p w14:paraId="7F23B813" w14:textId="77777777" w:rsidR="002653E8" w:rsidRDefault="003115E3">
      <w:pPr>
        <w:pStyle w:val="a3"/>
        <w:spacing w:before="5"/>
        <w:ind w:left="2281"/>
      </w:pPr>
      <w:r>
        <w:rPr>
          <w:color w:val="231F20"/>
          <w:w w:val="105"/>
        </w:rPr>
        <w:t>February 10, 2004.</w:t>
      </w:r>
    </w:p>
    <w:p w14:paraId="18599BE7" w14:textId="77777777" w:rsidR="002653E8" w:rsidRDefault="003115E3">
      <w:pPr>
        <w:spacing w:before="166"/>
        <w:ind w:left="1147"/>
        <w:rPr>
          <w:i/>
          <w:sz w:val="20"/>
        </w:rPr>
      </w:pPr>
      <w:r>
        <w:rPr>
          <w:color w:val="231F20"/>
          <w:w w:val="105"/>
          <w:sz w:val="20"/>
        </w:rPr>
        <w:t xml:space="preserve">-------------“Dutch capture German terrorist.” </w:t>
      </w:r>
      <w:r>
        <w:rPr>
          <w:i/>
          <w:color w:val="231F20"/>
          <w:w w:val="105"/>
          <w:sz w:val="20"/>
        </w:rPr>
        <w:t>Lima (Ohio) News,</w:t>
      </w:r>
    </w:p>
    <w:p w14:paraId="40BEAF14" w14:textId="77777777" w:rsidR="002653E8" w:rsidRDefault="003115E3">
      <w:pPr>
        <w:pStyle w:val="a3"/>
        <w:spacing w:before="5"/>
        <w:ind w:left="2281"/>
      </w:pPr>
      <w:r>
        <w:rPr>
          <w:color w:val="231F20"/>
          <w:w w:val="105"/>
        </w:rPr>
        <w:t>September 23, 1977.</w:t>
      </w:r>
    </w:p>
    <w:p w14:paraId="6E4F7B03" w14:textId="77777777" w:rsidR="002653E8" w:rsidRDefault="003115E3">
      <w:pPr>
        <w:pStyle w:val="a3"/>
        <w:spacing w:before="166"/>
        <w:ind w:left="1148"/>
      </w:pPr>
      <w:r>
        <w:rPr>
          <w:color w:val="231F20"/>
        </w:rPr>
        <w:t>-------------“Extremists protest deaths of 3 German prisoners.”</w:t>
      </w:r>
    </w:p>
    <w:p w14:paraId="7A2F1FBE" w14:textId="77777777" w:rsidR="002653E8" w:rsidRDefault="003115E3">
      <w:pPr>
        <w:spacing w:before="5"/>
        <w:ind w:left="2282"/>
        <w:rPr>
          <w:sz w:val="20"/>
        </w:rPr>
      </w:pPr>
      <w:r>
        <w:rPr>
          <w:i/>
          <w:color w:val="231F20"/>
          <w:w w:val="105"/>
          <w:sz w:val="20"/>
        </w:rPr>
        <w:t xml:space="preserve">Amarillo (Texas) Globe Times, </w:t>
      </w:r>
      <w:r>
        <w:rPr>
          <w:color w:val="231F20"/>
          <w:w w:val="105"/>
          <w:sz w:val="20"/>
        </w:rPr>
        <w:t>October 19, 1977.</w:t>
      </w:r>
    </w:p>
    <w:p w14:paraId="7CE1AD63" w14:textId="77777777" w:rsidR="002653E8" w:rsidRDefault="003115E3">
      <w:pPr>
        <w:spacing w:before="166" w:line="244" w:lineRule="auto"/>
        <w:ind w:left="2282" w:right="1848" w:hanging="1134"/>
        <w:rPr>
          <w:sz w:val="20"/>
        </w:rPr>
      </w:pPr>
      <w:r>
        <w:rPr>
          <w:color w:val="231F20"/>
          <w:sz w:val="20"/>
        </w:rPr>
        <w:t xml:space="preserve">-------------“German Draws 10-year term.” </w:t>
      </w:r>
      <w:r>
        <w:rPr>
          <w:i/>
          <w:color w:val="231F20"/>
          <w:sz w:val="20"/>
        </w:rPr>
        <w:t xml:space="preserve">European Stars and Stripes, </w:t>
      </w:r>
      <w:r>
        <w:rPr>
          <w:color w:val="231F20"/>
          <w:sz w:val="20"/>
        </w:rPr>
        <w:t>July 27, 1972.</w:t>
      </w:r>
    </w:p>
    <w:p w14:paraId="78C5A86C" w14:textId="77777777" w:rsidR="002653E8" w:rsidRDefault="003115E3">
      <w:pPr>
        <w:pStyle w:val="a3"/>
        <w:spacing w:before="162"/>
        <w:ind w:left="1148"/>
      </w:pPr>
      <w:r>
        <w:rPr>
          <w:color w:val="231F20"/>
        </w:rPr>
        <w:t>-------------“German Leftists, Police Battle after Paper Raided.”</w:t>
      </w:r>
    </w:p>
    <w:p w14:paraId="51DB2202" w14:textId="77777777" w:rsidR="002653E8" w:rsidRDefault="003115E3">
      <w:pPr>
        <w:spacing w:before="5"/>
        <w:ind w:left="2282"/>
        <w:rPr>
          <w:sz w:val="20"/>
        </w:rPr>
      </w:pPr>
      <w:r>
        <w:rPr>
          <w:i/>
          <w:color w:val="231F20"/>
          <w:w w:val="110"/>
          <w:sz w:val="20"/>
        </w:rPr>
        <w:t xml:space="preserve">Waterloo Courier, </w:t>
      </w:r>
      <w:r>
        <w:rPr>
          <w:color w:val="231F20"/>
          <w:w w:val="110"/>
          <w:sz w:val="20"/>
        </w:rPr>
        <w:t>October 24, 1977.</w:t>
      </w:r>
    </w:p>
    <w:p w14:paraId="5EB47A6B" w14:textId="77777777" w:rsidR="002653E8" w:rsidRDefault="003115E3">
      <w:pPr>
        <w:spacing w:before="166" w:line="244" w:lineRule="auto"/>
        <w:ind w:left="2281" w:right="1145" w:hanging="1134"/>
        <w:rPr>
          <w:sz w:val="20"/>
        </w:rPr>
      </w:pPr>
      <w:r>
        <w:rPr>
          <w:color w:val="231F20"/>
          <w:w w:val="105"/>
          <w:sz w:val="20"/>
        </w:rPr>
        <w:t xml:space="preserve">-------------“German TV Cancels Film Showing Abortion.” </w:t>
      </w:r>
      <w:r>
        <w:rPr>
          <w:i/>
          <w:color w:val="231F20"/>
          <w:w w:val="105"/>
          <w:sz w:val="20"/>
        </w:rPr>
        <w:t xml:space="preserve">European Stars and Stripes, </w:t>
      </w:r>
      <w:r>
        <w:rPr>
          <w:color w:val="231F20"/>
          <w:w w:val="105"/>
          <w:sz w:val="20"/>
        </w:rPr>
        <w:t>March 13, 1974.</w:t>
      </w:r>
    </w:p>
    <w:p w14:paraId="4CC956F4" w14:textId="77777777" w:rsidR="002653E8" w:rsidRDefault="003115E3">
      <w:pPr>
        <w:spacing w:before="161" w:line="244" w:lineRule="auto"/>
        <w:ind w:left="2281" w:right="1580" w:hanging="1134"/>
        <w:rPr>
          <w:sz w:val="20"/>
        </w:rPr>
      </w:pPr>
      <w:r>
        <w:rPr>
          <w:color w:val="231F20"/>
          <w:w w:val="105"/>
          <w:sz w:val="20"/>
        </w:rPr>
        <w:t xml:space="preserve">-------------“Hit Kiesinger; Term Suspended.” </w:t>
      </w:r>
      <w:r>
        <w:rPr>
          <w:i/>
          <w:color w:val="231F20"/>
          <w:w w:val="105"/>
          <w:sz w:val="20"/>
        </w:rPr>
        <w:t xml:space="preserve">European Stars and Stripes, </w:t>
      </w:r>
      <w:r>
        <w:rPr>
          <w:color w:val="231F20"/>
          <w:w w:val="105"/>
          <w:sz w:val="20"/>
        </w:rPr>
        <w:t>August 26, 1969.</w:t>
      </w:r>
    </w:p>
    <w:p w14:paraId="6319A0AF" w14:textId="77777777" w:rsidR="002653E8" w:rsidRDefault="003115E3">
      <w:pPr>
        <w:spacing w:before="162"/>
        <w:ind w:left="1147"/>
        <w:rPr>
          <w:i/>
          <w:sz w:val="20"/>
        </w:rPr>
      </w:pPr>
      <w:r>
        <w:rPr>
          <w:color w:val="231F20"/>
          <w:w w:val="105"/>
          <w:sz w:val="20"/>
        </w:rPr>
        <w:t xml:space="preserve">-------------“Industrialist’s Killers Sought.” </w:t>
      </w:r>
      <w:r>
        <w:rPr>
          <w:i/>
          <w:color w:val="231F20"/>
          <w:w w:val="105"/>
          <w:sz w:val="20"/>
        </w:rPr>
        <w:t>Wisconsin State Journal,</w:t>
      </w:r>
    </w:p>
    <w:p w14:paraId="693655CE" w14:textId="77777777" w:rsidR="002653E8" w:rsidRDefault="003115E3">
      <w:pPr>
        <w:pStyle w:val="a3"/>
        <w:spacing w:before="5"/>
        <w:ind w:left="2281"/>
      </w:pPr>
      <w:r>
        <w:rPr>
          <w:color w:val="231F20"/>
          <w:w w:val="105"/>
        </w:rPr>
        <w:t>October 21, 1977.</w:t>
      </w:r>
    </w:p>
    <w:p w14:paraId="64869FD1" w14:textId="77777777" w:rsidR="002653E8" w:rsidRDefault="003115E3">
      <w:pPr>
        <w:spacing w:before="166" w:line="244" w:lineRule="auto"/>
        <w:ind w:left="2281" w:right="1580" w:hanging="1134"/>
        <w:rPr>
          <w:sz w:val="20"/>
        </w:rPr>
      </w:pPr>
      <w:r>
        <w:rPr>
          <w:color w:val="231F20"/>
          <w:w w:val="105"/>
          <w:sz w:val="20"/>
        </w:rPr>
        <w:t xml:space="preserve">-------------“Kidnaped Berlin Political Figure is Released Freed Unhurt.” </w:t>
      </w:r>
      <w:r>
        <w:rPr>
          <w:i/>
          <w:color w:val="231F20"/>
          <w:w w:val="105"/>
          <w:sz w:val="20"/>
        </w:rPr>
        <w:t xml:space="preserve">Wisconsin State Journal, </w:t>
      </w:r>
      <w:r>
        <w:rPr>
          <w:color w:val="231F20"/>
          <w:w w:val="105"/>
          <w:sz w:val="20"/>
        </w:rPr>
        <w:t>March 5, 1975.</w:t>
      </w:r>
    </w:p>
    <w:p w14:paraId="1BAE08EB" w14:textId="77777777" w:rsidR="002653E8" w:rsidRDefault="003115E3">
      <w:pPr>
        <w:pStyle w:val="a3"/>
        <w:spacing w:before="162"/>
        <w:ind w:left="1148"/>
      </w:pPr>
      <w:r>
        <w:rPr>
          <w:color w:val="231F20"/>
          <w:w w:val="105"/>
        </w:rPr>
        <w:t>-------------“Kidnaped German Boy, 7, Freed After Ransom.”</w:t>
      </w:r>
    </w:p>
    <w:p w14:paraId="7E98D9BD" w14:textId="77777777" w:rsidR="002653E8" w:rsidRDefault="003115E3">
      <w:pPr>
        <w:spacing w:before="5"/>
        <w:ind w:left="2282"/>
        <w:rPr>
          <w:sz w:val="20"/>
        </w:rPr>
      </w:pPr>
      <w:r>
        <w:rPr>
          <w:i/>
          <w:color w:val="231F20"/>
          <w:w w:val="105"/>
          <w:sz w:val="20"/>
        </w:rPr>
        <w:t xml:space="preserve">European Stars and Stripes, </w:t>
      </w:r>
      <w:r>
        <w:rPr>
          <w:color w:val="231F20"/>
          <w:w w:val="105"/>
          <w:sz w:val="20"/>
        </w:rPr>
        <w:t>February 29, 1971.</w:t>
      </w:r>
    </w:p>
    <w:p w14:paraId="48E6149B" w14:textId="77777777" w:rsidR="002653E8" w:rsidRDefault="003115E3">
      <w:pPr>
        <w:spacing w:before="166" w:line="244" w:lineRule="auto"/>
        <w:ind w:left="2282" w:right="2067" w:hanging="1134"/>
        <w:rPr>
          <w:sz w:val="20"/>
        </w:rPr>
      </w:pPr>
      <w:r>
        <w:rPr>
          <w:color w:val="231F20"/>
          <w:sz w:val="20"/>
        </w:rPr>
        <w:t xml:space="preserve">-------------“Lufthansa Airlines Flying Anti-Missile Patterns.” </w:t>
      </w:r>
      <w:r>
        <w:rPr>
          <w:i/>
          <w:color w:val="231F20"/>
          <w:sz w:val="20"/>
        </w:rPr>
        <w:t xml:space="preserve">Florence (South Carolina) Morning News, </w:t>
      </w:r>
      <w:r>
        <w:rPr>
          <w:color w:val="231F20"/>
          <w:sz w:val="20"/>
        </w:rPr>
        <w:t>November 15, 1977.</w:t>
      </w:r>
    </w:p>
    <w:p w14:paraId="3DB15C58" w14:textId="77777777" w:rsidR="002653E8" w:rsidRDefault="003115E3">
      <w:pPr>
        <w:spacing w:before="162" w:line="244" w:lineRule="auto"/>
        <w:ind w:left="2282" w:right="1580" w:hanging="1134"/>
        <w:rPr>
          <w:sz w:val="20"/>
        </w:rPr>
      </w:pPr>
      <w:r>
        <w:rPr>
          <w:color w:val="231F20"/>
          <w:sz w:val="20"/>
        </w:rPr>
        <w:t xml:space="preserve">-------------“Nab murder suspect in Frankfurt.” </w:t>
      </w:r>
      <w:r>
        <w:rPr>
          <w:i/>
          <w:color w:val="231F20"/>
          <w:sz w:val="20"/>
        </w:rPr>
        <w:t xml:space="preserve">Pacific Stars and Stripes, </w:t>
      </w:r>
      <w:r>
        <w:rPr>
          <w:color w:val="231F20"/>
          <w:sz w:val="20"/>
        </w:rPr>
        <w:t>June 12, 1979.</w:t>
      </w:r>
    </w:p>
    <w:p w14:paraId="5830743C" w14:textId="77777777" w:rsidR="002653E8" w:rsidRDefault="002653E8">
      <w:pPr>
        <w:spacing w:line="244" w:lineRule="auto"/>
        <w:rPr>
          <w:sz w:val="20"/>
        </w:rPr>
        <w:sectPr w:rsidR="002653E8">
          <w:pgSz w:w="8640" w:h="12960"/>
          <w:pgMar w:top="1060" w:right="0" w:bottom="1040" w:left="0" w:header="0" w:footer="850" w:gutter="0"/>
          <w:cols w:space="720"/>
        </w:sectPr>
      </w:pPr>
    </w:p>
    <w:p w14:paraId="55E7FA96" w14:textId="77777777" w:rsidR="002653E8" w:rsidRDefault="003115E3">
      <w:pPr>
        <w:spacing w:before="70" w:line="244" w:lineRule="auto"/>
        <w:ind w:left="2461" w:right="1479" w:hanging="1134"/>
        <w:rPr>
          <w:sz w:val="20"/>
        </w:rPr>
      </w:pPr>
      <w:r>
        <w:rPr>
          <w:color w:val="231F20"/>
          <w:w w:val="105"/>
          <w:sz w:val="20"/>
        </w:rPr>
        <w:lastRenderedPageBreak/>
        <w:t xml:space="preserve">-------------“New Blast in Germany.” </w:t>
      </w:r>
      <w:r>
        <w:rPr>
          <w:i/>
          <w:color w:val="231F20"/>
          <w:w w:val="105"/>
          <w:sz w:val="20"/>
        </w:rPr>
        <w:t xml:space="preserve">Syracuse (New York) HeraldJournal, </w:t>
      </w:r>
      <w:r>
        <w:rPr>
          <w:color w:val="231F20"/>
          <w:w w:val="105"/>
          <w:sz w:val="20"/>
        </w:rPr>
        <w:t>January 21, 1985.</w:t>
      </w:r>
    </w:p>
    <w:p w14:paraId="3F852FB3" w14:textId="77777777" w:rsidR="002653E8" w:rsidRDefault="003115E3">
      <w:pPr>
        <w:pStyle w:val="a3"/>
        <w:spacing w:before="161"/>
        <w:ind w:left="1327"/>
      </w:pPr>
      <w:r>
        <w:rPr>
          <w:color w:val="231F20"/>
        </w:rPr>
        <w:t>-------------“New Terror Ring Smashed By Raids in German Cities.”</w:t>
      </w:r>
    </w:p>
    <w:p w14:paraId="7383AC62" w14:textId="77777777" w:rsidR="002653E8" w:rsidRDefault="003115E3">
      <w:pPr>
        <w:spacing w:before="6"/>
        <w:ind w:left="2461"/>
        <w:rPr>
          <w:sz w:val="20"/>
        </w:rPr>
      </w:pPr>
      <w:r>
        <w:rPr>
          <w:i/>
          <w:color w:val="231F20"/>
          <w:w w:val="105"/>
          <w:sz w:val="20"/>
        </w:rPr>
        <w:t xml:space="preserve">European Stars and Stripes, </w:t>
      </w:r>
      <w:r>
        <w:rPr>
          <w:color w:val="231F20"/>
          <w:w w:val="105"/>
          <w:sz w:val="20"/>
        </w:rPr>
        <w:t>February 5, 1974.</w:t>
      </w:r>
    </w:p>
    <w:p w14:paraId="1D791AF3" w14:textId="77777777" w:rsidR="002653E8" w:rsidRDefault="003115E3">
      <w:pPr>
        <w:spacing w:before="165" w:line="244" w:lineRule="auto"/>
        <w:ind w:left="2461" w:right="1580" w:hanging="1134"/>
        <w:rPr>
          <w:sz w:val="20"/>
        </w:rPr>
      </w:pPr>
      <w:r>
        <w:rPr>
          <w:color w:val="231F20"/>
          <w:sz w:val="20"/>
        </w:rPr>
        <w:t xml:space="preserve">-------------“Paper Reports Plot to Kidnap Willy Brandt.” </w:t>
      </w:r>
      <w:r>
        <w:rPr>
          <w:i/>
          <w:color w:val="231F20"/>
          <w:sz w:val="20"/>
        </w:rPr>
        <w:t xml:space="preserve">European Stars and Stripes, </w:t>
      </w:r>
      <w:r>
        <w:rPr>
          <w:color w:val="231F20"/>
          <w:sz w:val="20"/>
        </w:rPr>
        <w:t>February 13, 1971.</w:t>
      </w:r>
    </w:p>
    <w:p w14:paraId="4A0B8CC1" w14:textId="77777777" w:rsidR="002653E8" w:rsidRDefault="003115E3">
      <w:pPr>
        <w:pStyle w:val="a3"/>
        <w:spacing w:before="162"/>
        <w:ind w:left="1327"/>
      </w:pPr>
      <w:r>
        <w:rPr>
          <w:color w:val="231F20"/>
        </w:rPr>
        <w:t>-------------“Police Hunting SS Member’s Son in Kidnapings.”</w:t>
      </w:r>
    </w:p>
    <w:p w14:paraId="3823B5F5" w14:textId="77777777" w:rsidR="002653E8" w:rsidRDefault="003115E3">
      <w:pPr>
        <w:spacing w:before="6"/>
        <w:ind w:left="2461"/>
        <w:rPr>
          <w:sz w:val="20"/>
        </w:rPr>
      </w:pPr>
      <w:r>
        <w:rPr>
          <w:i/>
          <w:color w:val="231F20"/>
          <w:w w:val="105"/>
          <w:sz w:val="20"/>
        </w:rPr>
        <w:t xml:space="preserve">European Stars and Stripes, </w:t>
      </w:r>
      <w:r>
        <w:rPr>
          <w:color w:val="231F20"/>
          <w:w w:val="105"/>
          <w:sz w:val="20"/>
        </w:rPr>
        <w:t>March 2, 1971.</w:t>
      </w:r>
    </w:p>
    <w:p w14:paraId="4D085CC8" w14:textId="77777777" w:rsidR="002653E8" w:rsidRDefault="003115E3">
      <w:pPr>
        <w:spacing w:before="165" w:line="244" w:lineRule="auto"/>
        <w:ind w:left="2461" w:right="1145" w:hanging="1134"/>
        <w:rPr>
          <w:sz w:val="20"/>
        </w:rPr>
      </w:pPr>
      <w:r>
        <w:rPr>
          <w:color w:val="231F20"/>
          <w:w w:val="105"/>
          <w:sz w:val="20"/>
        </w:rPr>
        <w:t xml:space="preserve">-------------“Radical Lawyer’s Office Bombed.” </w:t>
      </w:r>
      <w:r>
        <w:rPr>
          <w:i/>
          <w:color w:val="231F20"/>
          <w:w w:val="105"/>
          <w:sz w:val="20"/>
        </w:rPr>
        <w:t xml:space="preserve">Oakland (California) Tribune, </w:t>
      </w:r>
      <w:r>
        <w:rPr>
          <w:color w:val="231F20"/>
          <w:w w:val="105"/>
          <w:sz w:val="20"/>
        </w:rPr>
        <w:t>August 15, 1977.</w:t>
      </w:r>
    </w:p>
    <w:p w14:paraId="54DC4A42" w14:textId="77777777" w:rsidR="002653E8" w:rsidRDefault="003115E3">
      <w:pPr>
        <w:pStyle w:val="a3"/>
        <w:spacing w:before="162"/>
        <w:ind w:left="1327"/>
      </w:pPr>
      <w:r>
        <w:rPr>
          <w:color w:val="231F20"/>
        </w:rPr>
        <w:t>-------------“Raids in German Cities Smash New Terror Ring.”</w:t>
      </w:r>
    </w:p>
    <w:p w14:paraId="2219AB82" w14:textId="77777777" w:rsidR="002653E8" w:rsidRDefault="003115E3">
      <w:pPr>
        <w:spacing w:before="5"/>
        <w:ind w:left="2461"/>
        <w:rPr>
          <w:sz w:val="20"/>
        </w:rPr>
      </w:pPr>
      <w:r>
        <w:rPr>
          <w:i/>
          <w:color w:val="231F20"/>
          <w:w w:val="105"/>
          <w:sz w:val="20"/>
        </w:rPr>
        <w:t xml:space="preserve">European Stars and Stripes, </w:t>
      </w:r>
      <w:r>
        <w:rPr>
          <w:color w:val="231F20"/>
          <w:w w:val="105"/>
          <w:sz w:val="20"/>
        </w:rPr>
        <w:t>February 5, 1974.</w:t>
      </w:r>
    </w:p>
    <w:p w14:paraId="4DD5526C" w14:textId="77777777" w:rsidR="002653E8" w:rsidRDefault="003115E3">
      <w:pPr>
        <w:spacing w:before="166" w:line="244" w:lineRule="auto"/>
        <w:ind w:left="2461" w:right="1750" w:hanging="1134"/>
        <w:rPr>
          <w:sz w:val="20"/>
        </w:rPr>
      </w:pPr>
      <w:r>
        <w:rPr>
          <w:color w:val="231F20"/>
          <w:w w:val="105"/>
          <w:sz w:val="20"/>
        </w:rPr>
        <w:t xml:space="preserve">-------------“Schleyer No Friend of Socialists, Unions.” </w:t>
      </w:r>
      <w:r>
        <w:rPr>
          <w:i/>
          <w:color w:val="231F20"/>
          <w:w w:val="105"/>
          <w:sz w:val="20"/>
        </w:rPr>
        <w:t xml:space="preserve">Abilene (Texas)-Reporter News, </w:t>
      </w:r>
      <w:r>
        <w:rPr>
          <w:color w:val="231F20"/>
          <w:w w:val="105"/>
          <w:sz w:val="20"/>
        </w:rPr>
        <w:t>October 20, 1977.</w:t>
      </w:r>
    </w:p>
    <w:p w14:paraId="0BC7DBEB" w14:textId="77777777" w:rsidR="002653E8" w:rsidRDefault="003115E3">
      <w:pPr>
        <w:spacing w:before="162" w:line="244" w:lineRule="auto"/>
        <w:ind w:left="2461" w:right="1580" w:hanging="1134"/>
        <w:rPr>
          <w:sz w:val="20"/>
        </w:rPr>
      </w:pPr>
      <w:r>
        <w:rPr>
          <w:color w:val="231F20"/>
          <w:w w:val="105"/>
          <w:sz w:val="20"/>
        </w:rPr>
        <w:t xml:space="preserve">-------------“Student ‘Army’ Battles With Berlin Police.” </w:t>
      </w:r>
      <w:r>
        <w:rPr>
          <w:i/>
          <w:color w:val="231F20"/>
          <w:w w:val="105"/>
          <w:sz w:val="20"/>
        </w:rPr>
        <w:t xml:space="preserve">Fresno (California) Bee, </w:t>
      </w:r>
      <w:r>
        <w:rPr>
          <w:color w:val="231F20"/>
          <w:w w:val="105"/>
          <w:sz w:val="20"/>
        </w:rPr>
        <w:t>November 4, 1968.</w:t>
      </w:r>
    </w:p>
    <w:p w14:paraId="0D4C8251" w14:textId="77777777" w:rsidR="002653E8" w:rsidRDefault="003115E3">
      <w:pPr>
        <w:spacing w:before="161" w:line="244" w:lineRule="auto"/>
        <w:ind w:left="2461" w:right="1580" w:hanging="1134"/>
        <w:rPr>
          <w:sz w:val="20"/>
        </w:rPr>
      </w:pPr>
      <w:r>
        <w:rPr>
          <w:color w:val="231F20"/>
          <w:w w:val="105"/>
          <w:sz w:val="20"/>
        </w:rPr>
        <w:t xml:space="preserve">---------“Terror Suspect Nabbed.” </w:t>
      </w:r>
      <w:r>
        <w:rPr>
          <w:i/>
          <w:color w:val="231F20"/>
          <w:w w:val="105"/>
          <w:sz w:val="20"/>
        </w:rPr>
        <w:t xml:space="preserve">The Times (San Mateo, California), </w:t>
      </w:r>
      <w:r>
        <w:rPr>
          <w:color w:val="231F20"/>
          <w:w w:val="105"/>
          <w:sz w:val="20"/>
        </w:rPr>
        <w:t>August 2, 1977.</w:t>
      </w:r>
    </w:p>
    <w:p w14:paraId="4B301CE4" w14:textId="77777777" w:rsidR="002653E8" w:rsidRDefault="003115E3">
      <w:pPr>
        <w:spacing w:before="162" w:line="244" w:lineRule="auto"/>
        <w:ind w:left="2461" w:right="1580" w:hanging="1134"/>
        <w:rPr>
          <w:sz w:val="20"/>
        </w:rPr>
      </w:pPr>
      <w:r>
        <w:rPr>
          <w:color w:val="231F20"/>
          <w:w w:val="105"/>
          <w:sz w:val="20"/>
        </w:rPr>
        <w:t xml:space="preserve">---------“Terrorist Bomb Racks Train Station.” </w:t>
      </w:r>
      <w:r>
        <w:rPr>
          <w:i/>
          <w:color w:val="231F20"/>
          <w:w w:val="105"/>
          <w:sz w:val="20"/>
        </w:rPr>
        <w:t xml:space="preserve">The Modesto Bee (Modesto, California), </w:t>
      </w:r>
      <w:r>
        <w:rPr>
          <w:color w:val="231F20"/>
          <w:w w:val="105"/>
          <w:sz w:val="20"/>
        </w:rPr>
        <w:t>September 14, 1975.</w:t>
      </w:r>
    </w:p>
    <w:p w14:paraId="0FD12AE7" w14:textId="77777777" w:rsidR="002653E8" w:rsidRDefault="003115E3">
      <w:pPr>
        <w:spacing w:before="162" w:line="244" w:lineRule="auto"/>
        <w:ind w:left="2462" w:right="1145" w:hanging="1134"/>
        <w:rPr>
          <w:sz w:val="20"/>
        </w:rPr>
      </w:pPr>
      <w:r>
        <w:rPr>
          <w:color w:val="231F20"/>
          <w:w w:val="105"/>
          <w:sz w:val="20"/>
        </w:rPr>
        <w:t xml:space="preserve">---------“Terrorist kidnapper jailed for extortion.” </w:t>
      </w:r>
      <w:r>
        <w:rPr>
          <w:i/>
          <w:color w:val="231F20"/>
          <w:w w:val="105"/>
          <w:sz w:val="20"/>
        </w:rPr>
        <w:t xml:space="preserve">European Stars and Stripes, </w:t>
      </w:r>
      <w:r>
        <w:rPr>
          <w:color w:val="231F20"/>
          <w:w w:val="105"/>
          <w:sz w:val="20"/>
        </w:rPr>
        <w:t>March 12, 1978.</w:t>
      </w:r>
    </w:p>
    <w:p w14:paraId="66678BC0" w14:textId="77777777" w:rsidR="002653E8" w:rsidRDefault="003115E3">
      <w:pPr>
        <w:spacing w:before="161" w:line="244" w:lineRule="auto"/>
        <w:ind w:left="2462" w:right="1145" w:hanging="1134"/>
        <w:rPr>
          <w:sz w:val="20"/>
        </w:rPr>
      </w:pPr>
      <w:r>
        <w:rPr>
          <w:color w:val="231F20"/>
          <w:w w:val="105"/>
          <w:sz w:val="20"/>
        </w:rPr>
        <w:t xml:space="preserve">---------“Terrorists Take Child as Hostage.” </w:t>
      </w:r>
      <w:r>
        <w:rPr>
          <w:i/>
          <w:color w:val="231F20"/>
          <w:w w:val="105"/>
          <w:sz w:val="20"/>
        </w:rPr>
        <w:t xml:space="preserve">The Troy Record (Troy, New York), </w:t>
      </w:r>
      <w:r>
        <w:rPr>
          <w:color w:val="231F20"/>
          <w:w w:val="105"/>
          <w:sz w:val="20"/>
        </w:rPr>
        <w:t>February 25, 1971.</w:t>
      </w:r>
    </w:p>
    <w:p w14:paraId="2D69288E" w14:textId="77777777" w:rsidR="002653E8" w:rsidRDefault="003115E3">
      <w:pPr>
        <w:spacing w:before="162" w:line="244" w:lineRule="auto"/>
        <w:ind w:left="2461" w:right="1580" w:hanging="1134"/>
        <w:rPr>
          <w:sz w:val="20"/>
        </w:rPr>
      </w:pPr>
      <w:r>
        <w:rPr>
          <w:color w:val="231F20"/>
          <w:w w:val="105"/>
          <w:sz w:val="20"/>
        </w:rPr>
        <w:t xml:space="preserve">---------“Trial starts in Munich for accused Meinhof-gang munitions supplier.” </w:t>
      </w:r>
      <w:r>
        <w:rPr>
          <w:i/>
          <w:color w:val="231F20"/>
          <w:w w:val="105"/>
          <w:sz w:val="20"/>
        </w:rPr>
        <w:t xml:space="preserve">European Stars and Stripes, </w:t>
      </w:r>
      <w:r>
        <w:rPr>
          <w:color w:val="231F20"/>
          <w:w w:val="105"/>
          <w:sz w:val="20"/>
        </w:rPr>
        <w:t>September 26, 1973.</w:t>
      </w:r>
    </w:p>
    <w:p w14:paraId="3645A754" w14:textId="77777777" w:rsidR="002653E8" w:rsidRPr="00846956" w:rsidRDefault="003115E3">
      <w:pPr>
        <w:spacing w:before="162" w:line="244" w:lineRule="auto"/>
        <w:ind w:left="2461" w:right="1580" w:hanging="1135"/>
        <w:rPr>
          <w:sz w:val="20"/>
          <w:lang w:val="de-DE"/>
        </w:rPr>
      </w:pPr>
      <w:r>
        <w:rPr>
          <w:color w:val="231F20"/>
          <w:w w:val="105"/>
          <w:sz w:val="20"/>
        </w:rPr>
        <w:t xml:space="preserve">---------“W. German ITT Offices Bombed.” </w:t>
      </w:r>
      <w:r w:rsidRPr="00846956">
        <w:rPr>
          <w:i/>
          <w:color w:val="231F20"/>
          <w:w w:val="105"/>
          <w:sz w:val="20"/>
          <w:lang w:val="de-DE"/>
        </w:rPr>
        <w:t xml:space="preserve">Des Moines Register (Des Moines, Iowa), </w:t>
      </w:r>
      <w:r w:rsidRPr="00846956">
        <w:rPr>
          <w:color w:val="231F20"/>
          <w:w w:val="105"/>
          <w:sz w:val="20"/>
          <w:lang w:val="de-DE"/>
        </w:rPr>
        <w:t>November 19, 1973.</w:t>
      </w:r>
    </w:p>
    <w:p w14:paraId="29310FE4" w14:textId="77777777" w:rsidR="002653E8" w:rsidRDefault="003115E3">
      <w:pPr>
        <w:spacing w:before="162" w:line="244" w:lineRule="auto"/>
        <w:ind w:left="2461" w:right="1145" w:hanging="1134"/>
        <w:rPr>
          <w:sz w:val="20"/>
        </w:rPr>
      </w:pPr>
      <w:r>
        <w:rPr>
          <w:color w:val="231F20"/>
          <w:w w:val="105"/>
          <w:sz w:val="20"/>
        </w:rPr>
        <w:t xml:space="preserve">---------“W. Germans fear possible gas attack by terrorists.” </w:t>
      </w:r>
      <w:r>
        <w:rPr>
          <w:i/>
          <w:color w:val="231F20"/>
          <w:w w:val="105"/>
          <w:sz w:val="20"/>
        </w:rPr>
        <w:t xml:space="preserve">Reno Evening Gazette (Reno, Nevada), </w:t>
      </w:r>
      <w:r>
        <w:rPr>
          <w:color w:val="231F20"/>
          <w:w w:val="105"/>
          <w:sz w:val="20"/>
        </w:rPr>
        <w:t>May 16, 1975.</w:t>
      </w:r>
    </w:p>
    <w:p w14:paraId="5A3B7784" w14:textId="77777777" w:rsidR="002653E8" w:rsidRDefault="002653E8">
      <w:pPr>
        <w:spacing w:line="244" w:lineRule="auto"/>
        <w:rPr>
          <w:sz w:val="20"/>
        </w:rPr>
        <w:sectPr w:rsidR="002653E8">
          <w:pgSz w:w="8640" w:h="12960"/>
          <w:pgMar w:top="1060" w:right="0" w:bottom="1040" w:left="0" w:header="0" w:footer="850" w:gutter="0"/>
          <w:cols w:space="720"/>
        </w:sectPr>
      </w:pPr>
    </w:p>
    <w:p w14:paraId="3664ED0D" w14:textId="77777777" w:rsidR="002653E8" w:rsidRDefault="003115E3">
      <w:pPr>
        <w:spacing w:before="70" w:line="244" w:lineRule="auto"/>
        <w:ind w:left="2281" w:right="1580" w:hanging="1134"/>
        <w:rPr>
          <w:sz w:val="20"/>
        </w:rPr>
      </w:pPr>
      <w:r>
        <w:rPr>
          <w:color w:val="231F20"/>
          <w:spacing w:val="3"/>
          <w:w w:val="105"/>
          <w:sz w:val="20"/>
        </w:rPr>
        <w:lastRenderedPageBreak/>
        <w:t>---------</w:t>
      </w:r>
      <w:r>
        <w:rPr>
          <w:color w:val="231F20"/>
          <w:spacing w:val="-5"/>
          <w:w w:val="105"/>
          <w:sz w:val="20"/>
        </w:rPr>
        <w:t xml:space="preserve">“W. </w:t>
      </w:r>
      <w:r>
        <w:rPr>
          <w:color w:val="231F20"/>
          <w:w w:val="105"/>
          <w:sz w:val="20"/>
        </w:rPr>
        <w:t xml:space="preserve">Germans sentence 3 guerrillas to life for bomb deaths.” </w:t>
      </w:r>
      <w:r>
        <w:rPr>
          <w:i/>
          <w:color w:val="231F20"/>
          <w:w w:val="105"/>
          <w:sz w:val="20"/>
        </w:rPr>
        <w:t xml:space="preserve">Tri-City Herald (Pasco, </w:t>
      </w:r>
      <w:r>
        <w:rPr>
          <w:i/>
          <w:color w:val="231F20"/>
          <w:spacing w:val="1"/>
          <w:w w:val="105"/>
          <w:sz w:val="20"/>
        </w:rPr>
        <w:t xml:space="preserve">Kennewick, Richland, </w:t>
      </w:r>
      <w:r>
        <w:rPr>
          <w:i/>
          <w:color w:val="231F20"/>
          <w:w w:val="105"/>
          <w:sz w:val="20"/>
        </w:rPr>
        <w:t xml:space="preserve">Washington), </w:t>
      </w:r>
      <w:r>
        <w:rPr>
          <w:color w:val="231F20"/>
          <w:w w:val="105"/>
          <w:sz w:val="20"/>
        </w:rPr>
        <w:t>April 28,</w:t>
      </w:r>
      <w:r>
        <w:rPr>
          <w:color w:val="231F20"/>
          <w:spacing w:val="25"/>
          <w:w w:val="105"/>
          <w:sz w:val="20"/>
        </w:rPr>
        <w:t xml:space="preserve"> </w:t>
      </w:r>
      <w:r>
        <w:rPr>
          <w:color w:val="231F20"/>
          <w:spacing w:val="-6"/>
          <w:w w:val="105"/>
          <w:sz w:val="20"/>
        </w:rPr>
        <w:t>1977.</w:t>
      </w:r>
    </w:p>
    <w:p w14:paraId="58E6ED5A" w14:textId="77777777" w:rsidR="002653E8" w:rsidRDefault="003115E3">
      <w:pPr>
        <w:spacing w:before="162" w:line="244" w:lineRule="auto"/>
        <w:ind w:left="2281" w:right="1897" w:hanging="1134"/>
        <w:rPr>
          <w:sz w:val="20"/>
        </w:rPr>
      </w:pPr>
      <w:r>
        <w:rPr>
          <w:color w:val="231F20"/>
          <w:w w:val="105"/>
          <w:sz w:val="20"/>
        </w:rPr>
        <w:t xml:space="preserve">---------“West Berlin Publisher is Sentenced.” </w:t>
      </w:r>
      <w:r>
        <w:rPr>
          <w:i/>
          <w:color w:val="231F20"/>
          <w:w w:val="105"/>
          <w:sz w:val="20"/>
        </w:rPr>
        <w:t xml:space="preserve">The Danville Bee (Danville, Va.), </w:t>
      </w:r>
      <w:r>
        <w:rPr>
          <w:color w:val="231F20"/>
          <w:w w:val="105"/>
          <w:sz w:val="20"/>
        </w:rPr>
        <w:t>February 16 1970</w:t>
      </w:r>
    </w:p>
    <w:p w14:paraId="2E2C8989" w14:textId="77777777" w:rsidR="002653E8" w:rsidRDefault="003115E3">
      <w:pPr>
        <w:spacing w:before="162" w:line="244" w:lineRule="auto"/>
        <w:ind w:left="2281" w:right="1580" w:hanging="1134"/>
        <w:rPr>
          <w:sz w:val="20"/>
        </w:rPr>
      </w:pPr>
      <w:r>
        <w:rPr>
          <w:color w:val="231F20"/>
          <w:w w:val="105"/>
          <w:sz w:val="20"/>
        </w:rPr>
        <w:t xml:space="preserve">---------“West German police round up anarchist groups.” </w:t>
      </w:r>
      <w:r>
        <w:rPr>
          <w:i/>
          <w:color w:val="231F20"/>
          <w:w w:val="105"/>
          <w:sz w:val="20"/>
        </w:rPr>
        <w:t xml:space="preserve">Greeley Tribune (Greeley, Colorado), </w:t>
      </w:r>
      <w:r>
        <w:rPr>
          <w:color w:val="231F20"/>
          <w:w w:val="105"/>
          <w:sz w:val="20"/>
        </w:rPr>
        <w:t>November 27, 1974.</w:t>
      </w:r>
    </w:p>
    <w:p w14:paraId="7DA51F90" w14:textId="77777777" w:rsidR="002653E8" w:rsidRDefault="003115E3">
      <w:pPr>
        <w:spacing w:before="162" w:line="244" w:lineRule="auto"/>
        <w:ind w:left="2281" w:right="1580" w:hanging="1134"/>
        <w:rPr>
          <w:sz w:val="20"/>
        </w:rPr>
      </w:pPr>
      <w:r>
        <w:rPr>
          <w:color w:val="231F20"/>
          <w:w w:val="105"/>
          <w:sz w:val="20"/>
        </w:rPr>
        <w:t xml:space="preserve">---------“West German Terrorists Lose Shootout.” </w:t>
      </w:r>
      <w:r>
        <w:rPr>
          <w:i/>
          <w:color w:val="231F20"/>
          <w:w w:val="105"/>
          <w:sz w:val="20"/>
        </w:rPr>
        <w:t xml:space="preserve">The Brainerd Daily (Brainerd, Minnesota), </w:t>
      </w:r>
      <w:r>
        <w:rPr>
          <w:color w:val="231F20"/>
          <w:w w:val="105"/>
          <w:sz w:val="20"/>
        </w:rPr>
        <w:t>November 11, 1970.</w:t>
      </w:r>
    </w:p>
    <w:p w14:paraId="42B8CC80" w14:textId="77777777" w:rsidR="002653E8" w:rsidRDefault="003115E3">
      <w:pPr>
        <w:pStyle w:val="a3"/>
        <w:spacing w:before="161"/>
        <w:ind w:left="1148"/>
      </w:pPr>
      <w:r>
        <w:rPr>
          <w:color w:val="231F20"/>
        </w:rPr>
        <w:t>---------“Wife of seized industrialist pleas for terrorists’ trade.”</w:t>
      </w:r>
    </w:p>
    <w:p w14:paraId="468A27A3" w14:textId="77777777" w:rsidR="002653E8" w:rsidRDefault="003115E3">
      <w:pPr>
        <w:spacing w:before="6"/>
        <w:ind w:left="2282"/>
        <w:rPr>
          <w:sz w:val="20"/>
        </w:rPr>
      </w:pPr>
      <w:r>
        <w:rPr>
          <w:i/>
          <w:color w:val="231F20"/>
          <w:w w:val="105"/>
          <w:sz w:val="20"/>
        </w:rPr>
        <w:t xml:space="preserve">Modesto Bee (Modesto, California), </w:t>
      </w:r>
      <w:r>
        <w:rPr>
          <w:color w:val="231F20"/>
          <w:w w:val="105"/>
          <w:sz w:val="20"/>
        </w:rPr>
        <w:t>September 12, 1977.</w:t>
      </w:r>
    </w:p>
    <w:p w14:paraId="3D1F6996" w14:textId="77777777" w:rsidR="002653E8" w:rsidRDefault="003115E3">
      <w:pPr>
        <w:spacing w:before="165" w:line="244" w:lineRule="auto"/>
        <w:ind w:left="2282" w:right="1513" w:hanging="1134"/>
        <w:rPr>
          <w:sz w:val="20"/>
        </w:rPr>
      </w:pPr>
      <w:r>
        <w:rPr>
          <w:color w:val="231F20"/>
          <w:w w:val="105"/>
          <w:sz w:val="20"/>
        </w:rPr>
        <w:t xml:space="preserve">---------“Woman gets Jail for Slapping Bonn Chief.” </w:t>
      </w:r>
      <w:r>
        <w:rPr>
          <w:i/>
          <w:color w:val="231F20"/>
          <w:w w:val="105"/>
          <w:sz w:val="20"/>
        </w:rPr>
        <w:t xml:space="preserve">The Fresno Bee (Fresno, California), </w:t>
      </w:r>
      <w:r>
        <w:rPr>
          <w:color w:val="231F20"/>
          <w:w w:val="105"/>
          <w:sz w:val="20"/>
        </w:rPr>
        <w:t>November 8, 1968.</w:t>
      </w:r>
    </w:p>
    <w:p w14:paraId="7922835E" w14:textId="77777777" w:rsidR="002653E8" w:rsidRDefault="003115E3">
      <w:pPr>
        <w:spacing w:before="162" w:line="244" w:lineRule="auto"/>
        <w:ind w:left="2282" w:right="1363" w:hanging="1134"/>
        <w:rPr>
          <w:sz w:val="20"/>
        </w:rPr>
      </w:pPr>
      <w:r>
        <w:rPr>
          <w:color w:val="231F20"/>
          <w:w w:val="105"/>
          <w:sz w:val="20"/>
        </w:rPr>
        <w:t xml:space="preserve">---------“Wrong Boy Kidnaped, Released; Ransom Paid.” </w:t>
      </w:r>
      <w:r>
        <w:rPr>
          <w:i/>
          <w:color w:val="231F20"/>
          <w:w w:val="105"/>
          <w:sz w:val="20"/>
        </w:rPr>
        <w:t xml:space="preserve">Panama City News Herald (Panama, Florida), </w:t>
      </w:r>
      <w:r>
        <w:rPr>
          <w:color w:val="231F20"/>
          <w:w w:val="105"/>
          <w:sz w:val="20"/>
        </w:rPr>
        <w:t>February 27, 1971.</w:t>
      </w:r>
    </w:p>
    <w:p w14:paraId="3C16B239" w14:textId="77777777" w:rsidR="002653E8" w:rsidRPr="00846956" w:rsidRDefault="003115E3">
      <w:pPr>
        <w:pStyle w:val="a3"/>
        <w:spacing w:before="162" w:line="244" w:lineRule="auto"/>
        <w:ind w:left="2282" w:right="1381" w:hanging="1134"/>
        <w:jc w:val="both"/>
        <w:rPr>
          <w:lang w:val="de-DE"/>
        </w:rPr>
      </w:pPr>
      <w:r w:rsidRPr="00846956">
        <w:rPr>
          <w:color w:val="231F20"/>
          <w:w w:val="105"/>
          <w:lang w:val="de-DE"/>
        </w:rPr>
        <w:t xml:space="preserve">Augustin, Ron. “Der zweite </w:t>
      </w:r>
      <w:r w:rsidRPr="00846956">
        <w:rPr>
          <w:color w:val="231F20"/>
          <w:spacing w:val="-6"/>
          <w:w w:val="105"/>
          <w:lang w:val="de-DE"/>
        </w:rPr>
        <w:t xml:space="preserve">Tod.” </w:t>
      </w:r>
      <w:r w:rsidRPr="00846956">
        <w:rPr>
          <w:i/>
          <w:color w:val="231F20"/>
          <w:w w:val="105"/>
          <w:lang w:val="de-DE"/>
        </w:rPr>
        <w:t xml:space="preserve">Junge Welt, </w:t>
      </w:r>
      <w:r w:rsidRPr="00846956">
        <w:rPr>
          <w:color w:val="231F20"/>
          <w:w w:val="105"/>
          <w:lang w:val="de-DE"/>
        </w:rPr>
        <w:t xml:space="preserve">Sept. </w:t>
      </w:r>
      <w:r w:rsidRPr="00846956">
        <w:rPr>
          <w:color w:val="231F20"/>
          <w:spacing w:val="-3"/>
          <w:w w:val="105"/>
          <w:lang w:val="de-DE"/>
        </w:rPr>
        <w:t xml:space="preserve">10, </w:t>
      </w:r>
      <w:r w:rsidRPr="00846956">
        <w:rPr>
          <w:color w:val="231F20"/>
          <w:w w:val="105"/>
          <w:lang w:val="de-DE"/>
        </w:rPr>
        <w:t xml:space="preserve">2007. https:// </w:t>
      </w:r>
      <w:r w:rsidRPr="00846956">
        <w:rPr>
          <w:color w:val="231F20"/>
          <w:spacing w:val="6"/>
          <w:lang w:val="de-DE"/>
        </w:rPr>
        <w:t>ww</w:t>
      </w:r>
      <w:r w:rsidRPr="00846956">
        <w:rPr>
          <w:color w:val="231F20"/>
          <w:spacing w:val="-12"/>
          <w:lang w:val="de-DE"/>
        </w:rPr>
        <w:t>w</w:t>
      </w:r>
      <w:r w:rsidRPr="00846956">
        <w:rPr>
          <w:color w:val="231F20"/>
          <w:spacing w:val="-2"/>
          <w:w w:val="135"/>
          <w:lang w:val="de-DE"/>
        </w:rPr>
        <w:t>.</w:t>
      </w:r>
      <w:r w:rsidRPr="00846956">
        <w:rPr>
          <w:color w:val="231F20"/>
          <w:spacing w:val="-4"/>
          <w:w w:val="104"/>
          <w:lang w:val="de-DE"/>
        </w:rPr>
        <w:t>j</w:t>
      </w:r>
      <w:r w:rsidRPr="00846956">
        <w:rPr>
          <w:color w:val="231F20"/>
          <w:spacing w:val="3"/>
          <w:lang w:val="de-DE"/>
        </w:rPr>
        <w:t>u</w:t>
      </w:r>
      <w:r w:rsidRPr="00846956">
        <w:rPr>
          <w:color w:val="231F20"/>
          <w:w w:val="99"/>
          <w:lang w:val="de-DE"/>
        </w:rPr>
        <w:t>n</w:t>
      </w:r>
      <w:r w:rsidRPr="00846956">
        <w:rPr>
          <w:color w:val="231F20"/>
          <w:spacing w:val="-1"/>
          <w:w w:val="96"/>
          <w:lang w:val="de-DE"/>
        </w:rPr>
        <w:t>g</w:t>
      </w:r>
      <w:r w:rsidRPr="00846956">
        <w:rPr>
          <w:color w:val="231F20"/>
          <w:w w:val="96"/>
          <w:lang w:val="de-DE"/>
        </w:rPr>
        <w:t>e</w:t>
      </w:r>
      <w:r w:rsidRPr="00846956">
        <w:rPr>
          <w:color w:val="231F20"/>
          <w:spacing w:val="-2"/>
          <w:lang w:val="de-DE"/>
        </w:rPr>
        <w:t>w</w:t>
      </w:r>
      <w:r w:rsidRPr="00846956">
        <w:rPr>
          <w:color w:val="231F20"/>
          <w:spacing w:val="-1"/>
          <w:w w:val="91"/>
          <w:lang w:val="de-DE"/>
        </w:rPr>
        <w:t>e</w:t>
      </w:r>
      <w:r w:rsidRPr="00846956">
        <w:rPr>
          <w:color w:val="231F20"/>
          <w:spacing w:val="-2"/>
          <w:w w:val="102"/>
          <w:lang w:val="de-DE"/>
        </w:rPr>
        <w:t>l</w:t>
      </w:r>
      <w:r w:rsidRPr="00846956">
        <w:rPr>
          <w:color w:val="231F20"/>
          <w:spacing w:val="1"/>
          <w:w w:val="98"/>
          <w:lang w:val="de-DE"/>
        </w:rPr>
        <w:t>t</w:t>
      </w:r>
      <w:r w:rsidRPr="00846956">
        <w:rPr>
          <w:color w:val="231F20"/>
          <w:w w:val="135"/>
          <w:lang w:val="de-DE"/>
        </w:rPr>
        <w:t>.</w:t>
      </w:r>
      <w:r w:rsidRPr="00846956">
        <w:rPr>
          <w:color w:val="231F20"/>
          <w:lang w:val="de-DE"/>
        </w:rPr>
        <w:t>d</w:t>
      </w:r>
      <w:r w:rsidRPr="00846956">
        <w:rPr>
          <w:color w:val="231F20"/>
          <w:spacing w:val="5"/>
          <w:w w:val="91"/>
          <w:lang w:val="de-DE"/>
        </w:rPr>
        <w:t>e</w:t>
      </w:r>
      <w:r w:rsidRPr="00846956">
        <w:rPr>
          <w:color w:val="231F20"/>
          <w:spacing w:val="6"/>
          <w:w w:val="56"/>
          <w:lang w:val="de-DE"/>
        </w:rPr>
        <w:t>/</w:t>
      </w:r>
      <w:r w:rsidRPr="00846956">
        <w:rPr>
          <w:color w:val="231F20"/>
          <w:spacing w:val="-2"/>
          <w:w w:val="102"/>
          <w:lang w:val="de-DE"/>
        </w:rPr>
        <w:t>l</w:t>
      </w:r>
      <w:r w:rsidRPr="00846956">
        <w:rPr>
          <w:color w:val="231F20"/>
          <w:w w:val="104"/>
          <w:lang w:val="de-DE"/>
        </w:rPr>
        <w:t>o</w:t>
      </w:r>
      <w:r w:rsidRPr="00846956">
        <w:rPr>
          <w:color w:val="231F20"/>
          <w:spacing w:val="3"/>
          <w:w w:val="101"/>
          <w:lang w:val="de-DE"/>
        </w:rPr>
        <w:t>g</w:t>
      </w:r>
      <w:r w:rsidRPr="00846956">
        <w:rPr>
          <w:color w:val="231F20"/>
          <w:spacing w:val="2"/>
          <w:lang w:val="de-DE"/>
        </w:rPr>
        <w:t>i</w:t>
      </w:r>
      <w:r w:rsidRPr="00846956">
        <w:rPr>
          <w:color w:val="231F20"/>
          <w:spacing w:val="5"/>
          <w:w w:val="99"/>
          <w:lang w:val="de-DE"/>
        </w:rPr>
        <w:t>n</w:t>
      </w:r>
      <w:r w:rsidRPr="00846956">
        <w:rPr>
          <w:color w:val="231F20"/>
          <w:spacing w:val="-3"/>
          <w:w w:val="103"/>
          <w:lang w:val="de-DE"/>
        </w:rPr>
        <w:t>F</w:t>
      </w:r>
      <w:r w:rsidRPr="00846956">
        <w:rPr>
          <w:color w:val="231F20"/>
          <w:spacing w:val="2"/>
          <w:w w:val="102"/>
          <w:lang w:val="de-DE"/>
        </w:rPr>
        <w:t>a</w:t>
      </w:r>
      <w:r w:rsidRPr="00846956">
        <w:rPr>
          <w:color w:val="231F20"/>
          <w:spacing w:val="2"/>
          <w:lang w:val="de-DE"/>
        </w:rPr>
        <w:t>i</w:t>
      </w:r>
      <w:r w:rsidRPr="00846956">
        <w:rPr>
          <w:color w:val="231F20"/>
          <w:spacing w:val="-1"/>
          <w:w w:val="95"/>
          <w:lang w:val="de-DE"/>
        </w:rPr>
        <w:t>l</w:t>
      </w:r>
      <w:r w:rsidRPr="00846956">
        <w:rPr>
          <w:color w:val="231F20"/>
          <w:w w:val="95"/>
          <w:lang w:val="de-DE"/>
        </w:rPr>
        <w:t>e</w:t>
      </w:r>
      <w:r w:rsidRPr="00846956">
        <w:rPr>
          <w:color w:val="231F20"/>
          <w:lang w:val="de-DE"/>
        </w:rPr>
        <w:t>d</w:t>
      </w:r>
      <w:r w:rsidRPr="00846956">
        <w:rPr>
          <w:color w:val="231F20"/>
          <w:spacing w:val="-3"/>
          <w:w w:val="135"/>
          <w:lang w:val="de-DE"/>
        </w:rPr>
        <w:t>.</w:t>
      </w:r>
      <w:r w:rsidRPr="00846956">
        <w:rPr>
          <w:color w:val="231F20"/>
          <w:spacing w:val="-1"/>
          <w:w w:val="99"/>
          <w:lang w:val="de-DE"/>
        </w:rPr>
        <w:t>p</w:t>
      </w:r>
      <w:r w:rsidRPr="00846956">
        <w:rPr>
          <w:color w:val="231F20"/>
          <w:spacing w:val="-3"/>
          <w:lang w:val="de-DE"/>
        </w:rPr>
        <w:t>h</w:t>
      </w:r>
      <w:r w:rsidRPr="00846956">
        <w:rPr>
          <w:color w:val="231F20"/>
          <w:spacing w:val="-4"/>
          <w:w w:val="99"/>
          <w:lang w:val="de-DE"/>
        </w:rPr>
        <w:t>p</w:t>
      </w:r>
      <w:r w:rsidRPr="00846956">
        <w:rPr>
          <w:color w:val="231F20"/>
          <w:spacing w:val="-2"/>
          <w:w w:val="105"/>
          <w:lang w:val="de-DE"/>
        </w:rPr>
        <w:t>?</w:t>
      </w:r>
      <w:r w:rsidRPr="00846956">
        <w:rPr>
          <w:color w:val="231F20"/>
          <w:spacing w:val="-1"/>
          <w:w w:val="92"/>
          <w:lang w:val="de-DE"/>
        </w:rPr>
        <w:t>r</w:t>
      </w:r>
      <w:r w:rsidRPr="00846956">
        <w:rPr>
          <w:color w:val="231F20"/>
          <w:w w:val="92"/>
          <w:lang w:val="de-DE"/>
        </w:rPr>
        <w:t>e</w:t>
      </w:r>
      <w:r w:rsidRPr="00846956">
        <w:rPr>
          <w:color w:val="231F20"/>
          <w:spacing w:val="-5"/>
          <w:w w:val="109"/>
          <w:lang w:val="de-DE"/>
        </w:rPr>
        <w:t>f</w:t>
      </w:r>
      <w:r w:rsidRPr="00846956">
        <w:rPr>
          <w:color w:val="231F20"/>
          <w:spacing w:val="5"/>
          <w:lang w:val="de-DE"/>
        </w:rPr>
        <w:t>=</w:t>
      </w:r>
      <w:r w:rsidRPr="00846956">
        <w:rPr>
          <w:color w:val="231F20"/>
          <w:spacing w:val="-5"/>
          <w:w w:val="56"/>
          <w:lang w:val="de-DE"/>
        </w:rPr>
        <w:t>/</w:t>
      </w:r>
      <w:r w:rsidRPr="00846956">
        <w:rPr>
          <w:color w:val="231F20"/>
          <w:spacing w:val="2"/>
          <w:lang w:val="de-DE"/>
        </w:rPr>
        <w:t>2</w:t>
      </w:r>
      <w:r w:rsidRPr="00846956">
        <w:rPr>
          <w:color w:val="231F20"/>
          <w:spacing w:val="5"/>
          <w:lang w:val="de-DE"/>
        </w:rPr>
        <w:t>0</w:t>
      </w:r>
      <w:r w:rsidRPr="00846956">
        <w:rPr>
          <w:color w:val="231F20"/>
          <w:spacing w:val="1"/>
          <w:lang w:val="de-DE"/>
        </w:rPr>
        <w:t>0</w:t>
      </w:r>
      <w:r w:rsidRPr="00846956">
        <w:rPr>
          <w:color w:val="231F20"/>
          <w:spacing w:val="-5"/>
          <w:lang w:val="de-DE"/>
        </w:rPr>
        <w:t>7</w:t>
      </w:r>
      <w:r w:rsidRPr="00846956">
        <w:rPr>
          <w:color w:val="231F20"/>
          <w:spacing w:val="-4"/>
          <w:w w:val="56"/>
          <w:lang w:val="de-DE"/>
        </w:rPr>
        <w:t>/</w:t>
      </w:r>
      <w:r w:rsidRPr="00846956">
        <w:rPr>
          <w:color w:val="231F20"/>
          <w:spacing w:val="1"/>
          <w:lang w:val="de-DE"/>
        </w:rPr>
        <w:t>0</w:t>
      </w:r>
      <w:r w:rsidRPr="00846956">
        <w:rPr>
          <w:color w:val="231F20"/>
          <w:spacing w:val="2"/>
          <w:lang w:val="de-DE"/>
        </w:rPr>
        <w:t>9</w:t>
      </w:r>
      <w:r w:rsidRPr="00846956">
        <w:rPr>
          <w:color w:val="231F20"/>
          <w:spacing w:val="-11"/>
          <w:lang w:val="de-DE"/>
        </w:rPr>
        <w:t>-</w:t>
      </w:r>
      <w:r w:rsidRPr="00846956">
        <w:rPr>
          <w:color w:val="231F20"/>
          <w:spacing w:val="-9"/>
          <w:lang w:val="de-DE"/>
        </w:rPr>
        <w:t>1</w:t>
      </w:r>
      <w:r w:rsidRPr="00846956">
        <w:rPr>
          <w:color w:val="231F20"/>
          <w:spacing w:val="3"/>
          <w:lang w:val="de-DE"/>
        </w:rPr>
        <w:t>0</w:t>
      </w:r>
      <w:r w:rsidRPr="00846956">
        <w:rPr>
          <w:color w:val="231F20"/>
          <w:spacing w:val="-4"/>
          <w:w w:val="56"/>
          <w:lang w:val="de-DE"/>
        </w:rPr>
        <w:t>/</w:t>
      </w:r>
      <w:r w:rsidRPr="00846956">
        <w:rPr>
          <w:color w:val="231F20"/>
          <w:spacing w:val="5"/>
          <w:lang w:val="de-DE"/>
        </w:rPr>
        <w:t>0</w:t>
      </w:r>
      <w:r w:rsidRPr="00846956">
        <w:rPr>
          <w:color w:val="231F20"/>
          <w:lang w:val="de-DE"/>
        </w:rPr>
        <w:t>0</w:t>
      </w:r>
      <w:r w:rsidRPr="00846956">
        <w:rPr>
          <w:color w:val="231F20"/>
          <w:spacing w:val="-3"/>
          <w:lang w:val="de-DE"/>
        </w:rPr>
        <w:t>6</w:t>
      </w:r>
      <w:r w:rsidRPr="00846956">
        <w:rPr>
          <w:color w:val="231F20"/>
          <w:w w:val="135"/>
          <w:lang w:val="de-DE"/>
        </w:rPr>
        <w:t xml:space="preserve">. </w:t>
      </w:r>
      <w:r w:rsidRPr="00846956">
        <w:rPr>
          <w:color w:val="231F20"/>
          <w:w w:val="105"/>
          <w:lang w:val="de-DE"/>
        </w:rPr>
        <w:t>php.</w:t>
      </w:r>
    </w:p>
    <w:p w14:paraId="4DBFFEF6" w14:textId="77777777" w:rsidR="002653E8" w:rsidRDefault="003115E3">
      <w:pPr>
        <w:pStyle w:val="a3"/>
        <w:spacing w:before="162" w:line="244" w:lineRule="auto"/>
        <w:ind w:left="2281" w:hanging="1134"/>
      </w:pPr>
      <w:r>
        <w:rPr>
          <w:i/>
          <w:color w:val="231F20"/>
          <w:w w:val="105"/>
        </w:rPr>
        <w:t xml:space="preserve">BBC News. </w:t>
      </w:r>
      <w:r>
        <w:rPr>
          <w:color w:val="231F20"/>
          <w:w w:val="105"/>
        </w:rPr>
        <w:t xml:space="preserve">“Meinhof Brain Study yields Clues.” November 12, 2002. </w:t>
      </w:r>
      <w:hyperlink r:id="rId596">
        <w:r>
          <w:rPr>
            <w:color w:val="231F20"/>
            <w:w w:val="99"/>
          </w:rPr>
          <w:t>ht</w:t>
        </w:r>
        <w:r>
          <w:rPr>
            <w:color w:val="231F20"/>
            <w:w w:val="98"/>
          </w:rPr>
          <w:t>t</w:t>
        </w:r>
        <w:r>
          <w:rPr>
            <w:color w:val="231F20"/>
            <w:w w:val="99"/>
          </w:rPr>
          <w:t>p</w:t>
        </w:r>
        <w:r>
          <w:rPr>
            <w:color w:val="231F20"/>
            <w:w w:val="105"/>
          </w:rPr>
          <w:t>:</w:t>
        </w:r>
        <w:r>
          <w:rPr>
            <w:color w:val="231F20"/>
            <w:w w:val="56"/>
          </w:rPr>
          <w:t>//</w:t>
        </w:r>
        <w:r>
          <w:rPr>
            <w:color w:val="231F20"/>
            <w:w w:val="99"/>
          </w:rPr>
          <w:t>n</w:t>
        </w:r>
        <w:r>
          <w:rPr>
            <w:color w:val="231F20"/>
            <w:w w:val="91"/>
          </w:rPr>
          <w:t>e</w:t>
        </w:r>
        <w:r>
          <w:rPr>
            <w:color w:val="231F20"/>
          </w:rPr>
          <w:t>w</w:t>
        </w:r>
        <w:r>
          <w:rPr>
            <w:color w:val="231F20"/>
            <w:w w:val="90"/>
          </w:rPr>
          <w:t>s</w:t>
        </w:r>
        <w:r>
          <w:rPr>
            <w:color w:val="231F20"/>
            <w:w w:val="135"/>
          </w:rPr>
          <w:t>.</w:t>
        </w:r>
        <w:r>
          <w:rPr>
            <w:color w:val="231F20"/>
            <w:w w:val="101"/>
          </w:rPr>
          <w:t>bb</w:t>
        </w:r>
        <w:r>
          <w:rPr>
            <w:color w:val="231F20"/>
          </w:rPr>
          <w:t>c</w:t>
        </w:r>
        <w:r>
          <w:rPr>
            <w:color w:val="231F20"/>
            <w:w w:val="135"/>
          </w:rPr>
          <w:t>.</w:t>
        </w:r>
        <w:r>
          <w:rPr>
            <w:color w:val="231F20"/>
          </w:rPr>
          <w:t>c</w:t>
        </w:r>
        <w:r>
          <w:rPr>
            <w:color w:val="231F20"/>
            <w:w w:val="113"/>
          </w:rPr>
          <w:t>o.</w:t>
        </w:r>
        <w:r>
          <w:rPr>
            <w:color w:val="231F20"/>
          </w:rPr>
          <w:t>u</w:t>
        </w:r>
        <w:r>
          <w:rPr>
            <w:color w:val="231F20"/>
            <w:w w:val="106"/>
          </w:rPr>
          <w:t>k</w:t>
        </w:r>
        <w:r>
          <w:rPr>
            <w:color w:val="231F20"/>
            <w:w w:val="56"/>
          </w:rPr>
          <w:t>/</w:t>
        </w:r>
        <w:r>
          <w:rPr>
            <w:color w:val="231F20"/>
          </w:rPr>
          <w:t>1</w:t>
        </w:r>
        <w:r>
          <w:rPr>
            <w:color w:val="231F20"/>
            <w:w w:val="56"/>
          </w:rPr>
          <w:t>/</w:t>
        </w:r>
        <w:r>
          <w:rPr>
            <w:color w:val="231F20"/>
          </w:rPr>
          <w:t>hi</w:t>
        </w:r>
        <w:r>
          <w:rPr>
            <w:color w:val="231F20"/>
            <w:w w:val="56"/>
          </w:rPr>
          <w:t>/</w:t>
        </w:r>
        <w:r>
          <w:rPr>
            <w:color w:val="231F20"/>
          </w:rPr>
          <w:t>w</w:t>
        </w:r>
        <w:r>
          <w:rPr>
            <w:color w:val="231F20"/>
            <w:w w:val="104"/>
          </w:rPr>
          <w:t>o</w:t>
        </w:r>
        <w:r>
          <w:rPr>
            <w:color w:val="231F20"/>
            <w:w w:val="94"/>
          </w:rPr>
          <w:t>r</w:t>
        </w:r>
        <w:r>
          <w:rPr>
            <w:color w:val="231F20"/>
            <w:w w:val="102"/>
          </w:rPr>
          <w:t>l</w:t>
        </w:r>
        <w:r>
          <w:rPr>
            <w:color w:val="231F20"/>
          </w:rPr>
          <w:t>d</w:t>
        </w:r>
        <w:r>
          <w:rPr>
            <w:color w:val="231F20"/>
            <w:w w:val="56"/>
          </w:rPr>
          <w:t>/</w:t>
        </w:r>
        <w:r>
          <w:rPr>
            <w:color w:val="231F20"/>
            <w:w w:val="91"/>
          </w:rPr>
          <w:t>e</w:t>
        </w:r>
        <w:r>
          <w:rPr>
            <w:color w:val="231F20"/>
          </w:rPr>
          <w:t>urop</w:t>
        </w:r>
        <w:r>
          <w:rPr>
            <w:color w:val="231F20"/>
            <w:w w:val="91"/>
          </w:rPr>
          <w:t>e</w:t>
        </w:r>
        <w:r>
          <w:rPr>
            <w:color w:val="231F20"/>
            <w:w w:val="56"/>
          </w:rPr>
          <w:t>/</w:t>
        </w:r>
        <w:r>
          <w:rPr>
            <w:color w:val="231F20"/>
          </w:rPr>
          <w:t>2455647</w:t>
        </w:r>
        <w:r>
          <w:rPr>
            <w:color w:val="231F20"/>
            <w:w w:val="135"/>
          </w:rPr>
          <w:t>.</w:t>
        </w:r>
        <w:r>
          <w:rPr>
            <w:color w:val="231F20"/>
            <w:w w:val="94"/>
          </w:rPr>
          <w:t>st</w:t>
        </w:r>
        <w:r>
          <w:rPr>
            <w:color w:val="231F20"/>
            <w:w w:val="99"/>
          </w:rPr>
          <w:t>m</w:t>
        </w:r>
        <w:r>
          <w:rPr>
            <w:color w:val="231F20"/>
            <w:w w:val="135"/>
          </w:rPr>
          <w:t>.</w:t>
        </w:r>
      </w:hyperlink>
    </w:p>
    <w:p w14:paraId="59A4FD6E" w14:textId="77777777" w:rsidR="002653E8" w:rsidRDefault="003115E3">
      <w:pPr>
        <w:spacing w:before="162" w:line="244" w:lineRule="auto"/>
        <w:ind w:left="2281" w:right="1479" w:hanging="1134"/>
        <w:rPr>
          <w:sz w:val="20"/>
        </w:rPr>
      </w:pPr>
      <w:r>
        <w:rPr>
          <w:color w:val="231F20"/>
          <w:w w:val="105"/>
          <w:sz w:val="20"/>
        </w:rPr>
        <w:t xml:space="preserve">Binder, David (New york Times Service). “‘Republic of West Berlin’ suggested by radical group.” </w:t>
      </w:r>
      <w:r>
        <w:rPr>
          <w:i/>
          <w:color w:val="231F20"/>
          <w:w w:val="105"/>
          <w:sz w:val="20"/>
        </w:rPr>
        <w:t xml:space="preserve">The Charleston Gazette (West Virginia), </w:t>
      </w:r>
      <w:r>
        <w:rPr>
          <w:color w:val="231F20"/>
          <w:w w:val="105"/>
          <w:sz w:val="20"/>
        </w:rPr>
        <w:t>November 7, 1968.</w:t>
      </w:r>
    </w:p>
    <w:p w14:paraId="299B4B8A" w14:textId="77777777" w:rsidR="002653E8" w:rsidRDefault="003115E3">
      <w:pPr>
        <w:pStyle w:val="a3"/>
        <w:spacing w:before="162" w:line="244" w:lineRule="auto"/>
        <w:ind w:left="2281" w:right="1439" w:hanging="1134"/>
        <w:jc w:val="both"/>
      </w:pPr>
      <w:r>
        <w:rPr>
          <w:color w:val="231F20"/>
          <w:w w:val="105"/>
        </w:rPr>
        <w:t xml:space="preserve">Boyles, Roger. “Daughter Defies State Over Ulrike Meinhof’s Brain.” </w:t>
      </w:r>
      <w:r>
        <w:rPr>
          <w:i/>
          <w:color w:val="231F20"/>
          <w:w w:val="116"/>
        </w:rPr>
        <w:t>T</w:t>
      </w:r>
      <w:r>
        <w:rPr>
          <w:i/>
          <w:color w:val="231F20"/>
          <w:w w:val="104"/>
        </w:rPr>
        <w:t>h</w:t>
      </w:r>
      <w:r>
        <w:rPr>
          <w:i/>
          <w:color w:val="231F20"/>
          <w:w w:val="97"/>
        </w:rPr>
        <w:t>e</w:t>
      </w:r>
      <w:r>
        <w:rPr>
          <w:i/>
          <w:color w:val="231F20"/>
        </w:rPr>
        <w:t xml:space="preserve"> </w:t>
      </w:r>
      <w:r>
        <w:rPr>
          <w:i/>
          <w:color w:val="231F20"/>
          <w:w w:val="116"/>
        </w:rPr>
        <w:t>T</w:t>
      </w:r>
      <w:r>
        <w:rPr>
          <w:i/>
          <w:color w:val="231F20"/>
          <w:w w:val="102"/>
        </w:rPr>
        <w:t>i</w:t>
      </w:r>
      <w:r>
        <w:rPr>
          <w:i/>
          <w:color w:val="231F20"/>
          <w:w w:val="104"/>
        </w:rPr>
        <w:t>m</w:t>
      </w:r>
      <w:r>
        <w:rPr>
          <w:i/>
          <w:color w:val="231F20"/>
          <w:w w:val="97"/>
        </w:rPr>
        <w:t>e</w:t>
      </w:r>
      <w:r>
        <w:rPr>
          <w:i/>
          <w:color w:val="231F20"/>
          <w:w w:val="101"/>
        </w:rPr>
        <w:t>s</w:t>
      </w:r>
      <w:r>
        <w:rPr>
          <w:i/>
          <w:color w:val="231F20"/>
          <w:w w:val="139"/>
        </w:rPr>
        <w:t>,</w:t>
      </w:r>
      <w:r>
        <w:rPr>
          <w:i/>
          <w:color w:val="231F20"/>
        </w:rPr>
        <w:t xml:space="preserve"> </w:t>
      </w:r>
      <w:r>
        <w:rPr>
          <w:color w:val="231F20"/>
          <w:w w:val="122"/>
        </w:rPr>
        <w:t>N</w:t>
      </w:r>
      <w:r>
        <w:rPr>
          <w:color w:val="231F20"/>
          <w:w w:val="104"/>
        </w:rPr>
        <w:t>o</w:t>
      </w:r>
      <w:r>
        <w:rPr>
          <w:color w:val="231F20"/>
          <w:w w:val="99"/>
        </w:rPr>
        <w:t>v</w:t>
      </w:r>
      <w:r>
        <w:rPr>
          <w:color w:val="231F20"/>
          <w:w w:val="91"/>
        </w:rPr>
        <w:t>e</w:t>
      </w:r>
      <w:r>
        <w:rPr>
          <w:color w:val="231F20"/>
          <w:w w:val="99"/>
        </w:rPr>
        <w:t>m</w:t>
      </w:r>
      <w:r>
        <w:rPr>
          <w:color w:val="231F20"/>
          <w:w w:val="101"/>
        </w:rPr>
        <w:t>b</w:t>
      </w:r>
      <w:r>
        <w:rPr>
          <w:color w:val="231F20"/>
          <w:w w:val="92"/>
        </w:rPr>
        <w:t>er</w:t>
      </w:r>
      <w:r>
        <w:rPr>
          <w:color w:val="231F20"/>
        </w:rPr>
        <w:t xml:space="preserve"> 9</w:t>
      </w:r>
      <w:r>
        <w:rPr>
          <w:color w:val="231F20"/>
          <w:w w:val="135"/>
        </w:rPr>
        <w:t>,</w:t>
      </w:r>
      <w:r>
        <w:rPr>
          <w:color w:val="231F20"/>
        </w:rPr>
        <w:t xml:space="preserve"> 2002</w:t>
      </w:r>
      <w:r>
        <w:rPr>
          <w:color w:val="231F20"/>
          <w:w w:val="135"/>
        </w:rPr>
        <w:t>.</w:t>
      </w:r>
      <w:r>
        <w:rPr>
          <w:color w:val="231F20"/>
        </w:rPr>
        <w:t xml:space="preserve"> 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r>
        <w:rPr>
          <w:color w:val="231F20"/>
          <w:w w:val="98"/>
        </w:rPr>
        <w:t>t</w:t>
      </w:r>
      <w:r>
        <w:rPr>
          <w:color w:val="231F20"/>
        </w:rPr>
        <w:t>i</w:t>
      </w:r>
      <w:r>
        <w:rPr>
          <w:color w:val="231F20"/>
          <w:w w:val="96"/>
        </w:rPr>
        <w:t>me</w:t>
      </w:r>
      <w:r>
        <w:rPr>
          <w:color w:val="231F20"/>
          <w:w w:val="90"/>
        </w:rPr>
        <w:t>s</w:t>
      </w:r>
      <w:r>
        <w:rPr>
          <w:color w:val="231F20"/>
          <w:w w:val="104"/>
        </w:rPr>
        <w:t>o</w:t>
      </w:r>
      <w:r>
        <w:rPr>
          <w:color w:val="231F20"/>
          <w:w w:val="99"/>
        </w:rPr>
        <w:t>n</w:t>
      </w:r>
      <w:r>
        <w:rPr>
          <w:color w:val="231F20"/>
          <w:w w:val="102"/>
        </w:rPr>
        <w:t>l</w:t>
      </w:r>
      <w:r>
        <w:rPr>
          <w:color w:val="231F20"/>
        </w:rPr>
        <w:t>i</w:t>
      </w:r>
      <w:r>
        <w:rPr>
          <w:color w:val="231F20"/>
          <w:w w:val="99"/>
        </w:rPr>
        <w:t>n</w:t>
      </w:r>
      <w:r>
        <w:rPr>
          <w:color w:val="231F20"/>
          <w:w w:val="91"/>
        </w:rPr>
        <w:t>e</w:t>
      </w:r>
      <w:r>
        <w:rPr>
          <w:color w:val="231F20"/>
          <w:w w:val="135"/>
        </w:rPr>
        <w:t xml:space="preserve">. </w:t>
      </w:r>
      <w:r>
        <w:rPr>
          <w:color w:val="231F20"/>
        </w:rPr>
        <w:t>c</w:t>
      </w:r>
      <w:r>
        <w:rPr>
          <w:color w:val="231F20"/>
          <w:w w:val="104"/>
        </w:rPr>
        <w:t>o</w:t>
      </w:r>
      <w:r>
        <w:rPr>
          <w:color w:val="231F20"/>
          <w:w w:val="135"/>
        </w:rPr>
        <w:t>.</w:t>
      </w:r>
      <w:r>
        <w:rPr>
          <w:color w:val="231F20"/>
        </w:rPr>
        <w:t>u</w:t>
      </w:r>
      <w:r>
        <w:rPr>
          <w:color w:val="231F20"/>
          <w:w w:val="106"/>
        </w:rPr>
        <w:t>k</w:t>
      </w:r>
      <w:r>
        <w:rPr>
          <w:color w:val="231F20"/>
          <w:w w:val="56"/>
        </w:rPr>
        <w:t>/</w:t>
      </w:r>
      <w:r>
        <w:rPr>
          <w:color w:val="231F20"/>
          <w:w w:val="98"/>
        </w:rPr>
        <w:t>t</w:t>
      </w:r>
      <w:r>
        <w:rPr>
          <w:color w:val="231F20"/>
          <w:w w:val="104"/>
        </w:rPr>
        <w:t>o</w:t>
      </w:r>
      <w:r>
        <w:rPr>
          <w:color w:val="231F20"/>
          <w:w w:val="102"/>
        </w:rPr>
        <w:t>l</w:t>
      </w:r>
      <w:r>
        <w:rPr>
          <w:color w:val="231F20"/>
          <w:w w:val="79"/>
        </w:rPr>
        <w:t>/n</w:t>
      </w:r>
      <w:r>
        <w:rPr>
          <w:color w:val="231F20"/>
          <w:w w:val="91"/>
        </w:rPr>
        <w:t>e</w:t>
      </w:r>
      <w:r>
        <w:rPr>
          <w:color w:val="231F20"/>
        </w:rPr>
        <w:t>w</w:t>
      </w:r>
      <w:r>
        <w:rPr>
          <w:color w:val="231F20"/>
          <w:w w:val="90"/>
        </w:rPr>
        <w:t>s</w:t>
      </w:r>
      <w:r>
        <w:rPr>
          <w:color w:val="231F20"/>
          <w:w w:val="56"/>
        </w:rPr>
        <w:t>/</w:t>
      </w:r>
      <w:r>
        <w:rPr>
          <w:color w:val="231F20"/>
        </w:rPr>
        <w:t>w</w:t>
      </w:r>
      <w:r>
        <w:rPr>
          <w:color w:val="231F20"/>
          <w:w w:val="104"/>
        </w:rPr>
        <w:t>o</w:t>
      </w:r>
      <w:r>
        <w:rPr>
          <w:color w:val="231F20"/>
          <w:w w:val="94"/>
        </w:rPr>
        <w:t>r</w:t>
      </w:r>
      <w:r>
        <w:rPr>
          <w:color w:val="231F20"/>
          <w:w w:val="102"/>
        </w:rPr>
        <w:t>l</w:t>
      </w:r>
      <w:r>
        <w:rPr>
          <w:color w:val="231F20"/>
        </w:rPr>
        <w:t>d</w:t>
      </w:r>
      <w:r>
        <w:rPr>
          <w:color w:val="231F20"/>
          <w:w w:val="56"/>
        </w:rPr>
        <w:t>/</w:t>
      </w:r>
      <w:r>
        <w:rPr>
          <w:color w:val="231F20"/>
          <w:w w:val="102"/>
        </w:rPr>
        <w:t>a</w:t>
      </w:r>
      <w:r>
        <w:rPr>
          <w:color w:val="231F20"/>
          <w:w w:val="94"/>
        </w:rPr>
        <w:t>r</w:t>
      </w:r>
      <w:r>
        <w:rPr>
          <w:color w:val="231F20"/>
          <w:w w:val="98"/>
        </w:rPr>
        <w:t>t</w:t>
      </w:r>
      <w:r>
        <w:rPr>
          <w:color w:val="231F20"/>
        </w:rPr>
        <w:t>icl</w:t>
      </w:r>
      <w:r>
        <w:rPr>
          <w:color w:val="231F20"/>
          <w:w w:val="91"/>
        </w:rPr>
        <w:t>e</w:t>
      </w:r>
      <w:r>
        <w:rPr>
          <w:color w:val="231F20"/>
        </w:rPr>
        <w:t>825312</w:t>
      </w:r>
      <w:r>
        <w:rPr>
          <w:color w:val="231F20"/>
          <w:w w:val="104"/>
        </w:rPr>
        <w:t>.e</w:t>
      </w:r>
      <w:r>
        <w:rPr>
          <w:color w:val="231F20"/>
        </w:rPr>
        <w:t>c</w:t>
      </w:r>
      <w:r>
        <w:rPr>
          <w:color w:val="231F20"/>
          <w:w w:val="91"/>
        </w:rPr>
        <w:t>e</w:t>
      </w:r>
    </w:p>
    <w:p w14:paraId="45ADBA29" w14:textId="77777777" w:rsidR="002653E8" w:rsidRPr="00846956" w:rsidRDefault="003115E3">
      <w:pPr>
        <w:spacing w:before="163" w:line="244" w:lineRule="auto"/>
        <w:ind w:left="2282" w:right="2116" w:hanging="1134"/>
        <w:rPr>
          <w:sz w:val="20"/>
          <w:lang w:val="de-DE"/>
        </w:rPr>
      </w:pPr>
      <w:r>
        <w:rPr>
          <w:i/>
          <w:color w:val="231F20"/>
          <w:w w:val="105"/>
          <w:sz w:val="20"/>
        </w:rPr>
        <w:t xml:space="preserve">The Bridgeport (Connecticut) Telegram. </w:t>
      </w:r>
      <w:r>
        <w:rPr>
          <w:color w:val="231F20"/>
          <w:w w:val="105"/>
          <w:sz w:val="20"/>
        </w:rPr>
        <w:t xml:space="preserve">“Large ransom frees Viennese millionaire.” </w:t>
      </w:r>
      <w:r w:rsidRPr="00846956">
        <w:rPr>
          <w:color w:val="231F20"/>
          <w:w w:val="105"/>
          <w:sz w:val="20"/>
          <w:lang w:val="de-DE"/>
        </w:rPr>
        <w:t>November 14, 1977.</w:t>
      </w:r>
    </w:p>
    <w:p w14:paraId="34CB863F" w14:textId="77777777" w:rsidR="002653E8" w:rsidRPr="00846956" w:rsidRDefault="003115E3">
      <w:pPr>
        <w:spacing w:before="162" w:line="244" w:lineRule="auto"/>
        <w:ind w:left="2282" w:right="1971" w:hanging="1134"/>
        <w:rPr>
          <w:sz w:val="20"/>
          <w:lang w:val="de-DE"/>
        </w:rPr>
      </w:pPr>
      <w:r w:rsidRPr="00846956">
        <w:rPr>
          <w:color w:val="231F20"/>
          <w:w w:val="105"/>
          <w:sz w:val="20"/>
          <w:lang w:val="de-DE"/>
        </w:rPr>
        <w:t xml:space="preserve">Busch, Jürgen. “Die letzte Waffe des Anarchisten.” </w:t>
      </w:r>
      <w:r w:rsidRPr="00846956">
        <w:rPr>
          <w:i/>
          <w:color w:val="231F20"/>
          <w:w w:val="105"/>
          <w:sz w:val="20"/>
          <w:lang w:val="de-DE"/>
        </w:rPr>
        <w:t xml:space="preserve">Frankfurter Allgemeine Zeitung, </w:t>
      </w:r>
      <w:r w:rsidRPr="00846956">
        <w:rPr>
          <w:color w:val="231F20"/>
          <w:w w:val="105"/>
          <w:sz w:val="20"/>
          <w:lang w:val="de-DE"/>
        </w:rPr>
        <w:t>November 11, 1974.</w:t>
      </w:r>
    </w:p>
    <w:p w14:paraId="7EE9E012" w14:textId="77777777" w:rsidR="002653E8" w:rsidRDefault="003115E3">
      <w:pPr>
        <w:spacing w:before="161" w:line="244" w:lineRule="auto"/>
        <w:ind w:left="2282" w:right="1580" w:hanging="1134"/>
        <w:rPr>
          <w:sz w:val="20"/>
        </w:rPr>
      </w:pPr>
      <w:r w:rsidRPr="00846956">
        <w:rPr>
          <w:color w:val="231F20"/>
          <w:sz w:val="20"/>
          <w:lang w:val="de-DE"/>
        </w:rPr>
        <w:t xml:space="preserve">---------“Viele Gruppen—viele führende Leute.” </w:t>
      </w:r>
      <w:r>
        <w:rPr>
          <w:i/>
          <w:color w:val="231F20"/>
          <w:sz w:val="20"/>
        </w:rPr>
        <w:t xml:space="preserve">Frankfurter Allgemeine Zeitung, </w:t>
      </w:r>
      <w:r>
        <w:rPr>
          <w:color w:val="231F20"/>
          <w:sz w:val="20"/>
        </w:rPr>
        <w:t>November 14, 1974.</w:t>
      </w:r>
    </w:p>
    <w:p w14:paraId="6D4613CA" w14:textId="77777777" w:rsidR="002653E8" w:rsidRDefault="002653E8">
      <w:pPr>
        <w:spacing w:line="244" w:lineRule="auto"/>
        <w:rPr>
          <w:sz w:val="20"/>
        </w:rPr>
        <w:sectPr w:rsidR="002653E8">
          <w:footerReference w:type="even" r:id="rId597"/>
          <w:footerReference w:type="default" r:id="rId598"/>
          <w:pgSz w:w="8640" w:h="12960"/>
          <w:pgMar w:top="1060" w:right="0" w:bottom="1040" w:left="0" w:header="0" w:footer="850" w:gutter="0"/>
          <w:cols w:space="720"/>
        </w:sectPr>
      </w:pPr>
    </w:p>
    <w:p w14:paraId="347212F6" w14:textId="77777777" w:rsidR="002653E8" w:rsidRDefault="003115E3">
      <w:pPr>
        <w:spacing w:before="70" w:line="244" w:lineRule="auto"/>
        <w:ind w:left="2461" w:right="1325" w:hanging="1134"/>
        <w:rPr>
          <w:sz w:val="20"/>
        </w:rPr>
      </w:pPr>
      <w:r>
        <w:rPr>
          <w:color w:val="231F20"/>
          <w:w w:val="105"/>
          <w:sz w:val="20"/>
        </w:rPr>
        <w:lastRenderedPageBreak/>
        <w:t>Campbell,</w:t>
      </w:r>
      <w:r>
        <w:rPr>
          <w:color w:val="231F20"/>
          <w:spacing w:val="-16"/>
          <w:w w:val="105"/>
          <w:sz w:val="20"/>
        </w:rPr>
        <w:t xml:space="preserve"> </w:t>
      </w:r>
      <w:r>
        <w:rPr>
          <w:color w:val="231F20"/>
          <w:spacing w:val="1"/>
          <w:w w:val="105"/>
          <w:sz w:val="20"/>
        </w:rPr>
        <w:t>Mary</w:t>
      </w:r>
      <w:r>
        <w:rPr>
          <w:color w:val="231F20"/>
          <w:spacing w:val="-16"/>
          <w:w w:val="105"/>
          <w:sz w:val="20"/>
        </w:rPr>
        <w:t xml:space="preserve"> </w:t>
      </w:r>
      <w:r>
        <w:rPr>
          <w:color w:val="231F20"/>
          <w:w w:val="105"/>
          <w:sz w:val="20"/>
        </w:rPr>
        <w:t>(Associated</w:t>
      </w:r>
      <w:r>
        <w:rPr>
          <w:color w:val="231F20"/>
          <w:spacing w:val="-16"/>
          <w:w w:val="105"/>
          <w:sz w:val="20"/>
        </w:rPr>
        <w:t xml:space="preserve"> </w:t>
      </w:r>
      <w:r>
        <w:rPr>
          <w:color w:val="231F20"/>
          <w:w w:val="105"/>
          <w:sz w:val="20"/>
        </w:rPr>
        <w:t>Press).</w:t>
      </w:r>
      <w:r>
        <w:rPr>
          <w:color w:val="231F20"/>
          <w:spacing w:val="-16"/>
          <w:w w:val="105"/>
          <w:sz w:val="20"/>
        </w:rPr>
        <w:t xml:space="preserve"> </w:t>
      </w:r>
      <w:r>
        <w:rPr>
          <w:color w:val="231F20"/>
          <w:w w:val="105"/>
          <w:sz w:val="20"/>
        </w:rPr>
        <w:t>“History’s</w:t>
      </w:r>
      <w:r>
        <w:rPr>
          <w:color w:val="231F20"/>
          <w:spacing w:val="-16"/>
          <w:w w:val="105"/>
          <w:sz w:val="20"/>
        </w:rPr>
        <w:t xml:space="preserve"> </w:t>
      </w:r>
      <w:r>
        <w:rPr>
          <w:color w:val="231F20"/>
          <w:w w:val="105"/>
          <w:sz w:val="20"/>
        </w:rPr>
        <w:t>coldest</w:t>
      </w:r>
      <w:r>
        <w:rPr>
          <w:color w:val="231F20"/>
          <w:spacing w:val="-16"/>
          <w:w w:val="105"/>
          <w:sz w:val="20"/>
        </w:rPr>
        <w:t xml:space="preserve"> </w:t>
      </w:r>
      <w:r>
        <w:rPr>
          <w:color w:val="231F20"/>
          <w:w w:val="105"/>
          <w:sz w:val="20"/>
        </w:rPr>
        <w:t>winter</w:t>
      </w:r>
      <w:r>
        <w:rPr>
          <w:color w:val="231F20"/>
          <w:spacing w:val="-16"/>
          <w:w w:val="105"/>
          <w:sz w:val="20"/>
        </w:rPr>
        <w:t xml:space="preserve"> </w:t>
      </w:r>
      <w:r>
        <w:rPr>
          <w:color w:val="231F20"/>
          <w:w w:val="105"/>
          <w:sz w:val="20"/>
        </w:rPr>
        <w:t xml:space="preserve">wrote top story for </w:t>
      </w:r>
      <w:r>
        <w:rPr>
          <w:color w:val="231F20"/>
          <w:spacing w:val="-8"/>
          <w:w w:val="105"/>
          <w:sz w:val="20"/>
        </w:rPr>
        <w:t xml:space="preserve">’77.” </w:t>
      </w:r>
      <w:r>
        <w:rPr>
          <w:i/>
          <w:color w:val="231F20"/>
          <w:w w:val="105"/>
          <w:sz w:val="20"/>
        </w:rPr>
        <w:t xml:space="preserve">The Lima News </w:t>
      </w:r>
      <w:r>
        <w:rPr>
          <w:i/>
          <w:color w:val="231F20"/>
          <w:spacing w:val="2"/>
          <w:w w:val="105"/>
          <w:sz w:val="20"/>
        </w:rPr>
        <w:t xml:space="preserve">(Lima, </w:t>
      </w:r>
      <w:r>
        <w:rPr>
          <w:i/>
          <w:color w:val="231F20"/>
          <w:w w:val="105"/>
          <w:sz w:val="20"/>
        </w:rPr>
        <w:t xml:space="preserve">Ohio), </w:t>
      </w:r>
      <w:r>
        <w:rPr>
          <w:color w:val="231F20"/>
          <w:w w:val="105"/>
          <w:sz w:val="20"/>
        </w:rPr>
        <w:t xml:space="preserve">December </w:t>
      </w:r>
      <w:r>
        <w:rPr>
          <w:color w:val="231F20"/>
          <w:spacing w:val="-8"/>
          <w:w w:val="105"/>
          <w:sz w:val="20"/>
        </w:rPr>
        <w:t>27,</w:t>
      </w:r>
      <w:r>
        <w:rPr>
          <w:color w:val="231F20"/>
          <w:spacing w:val="15"/>
          <w:w w:val="105"/>
          <w:sz w:val="20"/>
        </w:rPr>
        <w:t xml:space="preserve"> </w:t>
      </w:r>
      <w:r>
        <w:rPr>
          <w:color w:val="231F20"/>
          <w:spacing w:val="-6"/>
          <w:w w:val="105"/>
          <w:sz w:val="20"/>
        </w:rPr>
        <w:t>1977.</w:t>
      </w:r>
    </w:p>
    <w:p w14:paraId="174E3479" w14:textId="77777777" w:rsidR="002653E8" w:rsidRDefault="003115E3">
      <w:pPr>
        <w:pStyle w:val="a3"/>
        <w:spacing w:before="162" w:line="244" w:lineRule="auto"/>
        <w:ind w:left="2461" w:right="1145" w:hanging="1134"/>
      </w:pPr>
      <w:r>
        <w:rPr>
          <w:color w:val="231F20"/>
          <w:w w:val="105"/>
        </w:rPr>
        <w:t xml:space="preserve">Cohen, Roger. “Germany’s Foreign Minister is Pursued by his Firebrand Self,” </w:t>
      </w:r>
      <w:r>
        <w:rPr>
          <w:i/>
          <w:color w:val="231F20"/>
          <w:w w:val="105"/>
        </w:rPr>
        <w:t xml:space="preserve">New York Times, </w:t>
      </w:r>
      <w:r>
        <w:rPr>
          <w:color w:val="231F20"/>
          <w:w w:val="105"/>
        </w:rPr>
        <w:t xml:space="preserve">January 15, 2001. </w:t>
      </w:r>
      <w:hyperlink r:id="rId599">
        <w:r>
          <w:rPr>
            <w:color w:val="231F20"/>
          </w:rPr>
          <w:t>h</w:t>
        </w:r>
        <w:r>
          <w:rPr>
            <w:color w:val="231F20"/>
            <w:w w:val="98"/>
          </w:rPr>
          <w:t>tt</w:t>
        </w:r>
        <w:r>
          <w:rPr>
            <w:color w:val="231F20"/>
            <w:w w:val="99"/>
          </w:rPr>
          <w:t>p</w:t>
        </w:r>
        <w:r>
          <w:rPr>
            <w:color w:val="231F20"/>
            <w:w w:val="105"/>
          </w:rPr>
          <w:t>:</w:t>
        </w:r>
        <w:r>
          <w:rPr>
            <w:color w:val="231F20"/>
            <w:w w:val="56"/>
          </w:rPr>
          <w:t>//</w:t>
        </w:r>
        <w:r>
          <w:rPr>
            <w:color w:val="231F20"/>
            <w:w w:val="101"/>
          </w:rPr>
          <w:t>q</w:t>
        </w:r>
        <w:r>
          <w:rPr>
            <w:color w:val="231F20"/>
          </w:rPr>
          <w:t>u</w:t>
        </w:r>
        <w:r>
          <w:rPr>
            <w:color w:val="231F20"/>
            <w:w w:val="91"/>
          </w:rPr>
          <w:t>e</w:t>
        </w:r>
        <w:r>
          <w:rPr>
            <w:color w:val="231F20"/>
            <w:w w:val="94"/>
          </w:rPr>
          <w:t>r</w:t>
        </w:r>
        <w:r>
          <w:rPr>
            <w:color w:val="231F20"/>
            <w:w w:val="99"/>
          </w:rPr>
          <w:t>y</w:t>
        </w:r>
        <w:r>
          <w:rPr>
            <w:color w:val="231F20"/>
            <w:w w:val="135"/>
          </w:rPr>
          <w:t>.</w:t>
        </w:r>
        <w:r>
          <w:rPr>
            <w:color w:val="231F20"/>
            <w:w w:val="99"/>
          </w:rPr>
          <w:t>ny</w:t>
        </w:r>
        <w:r>
          <w:rPr>
            <w:color w:val="231F20"/>
            <w:w w:val="98"/>
          </w:rPr>
          <w:t>t</w:t>
        </w:r>
        <w:r>
          <w:rPr>
            <w:color w:val="231F20"/>
          </w:rPr>
          <w:t>i</w:t>
        </w:r>
        <w:r>
          <w:rPr>
            <w:color w:val="231F20"/>
            <w:w w:val="99"/>
          </w:rPr>
          <w:t>m</w:t>
        </w:r>
        <w:r>
          <w:rPr>
            <w:color w:val="231F20"/>
            <w:w w:val="91"/>
          </w:rPr>
          <w:t>e</w:t>
        </w:r>
        <w:r>
          <w:rPr>
            <w:color w:val="231F20"/>
            <w:w w:val="90"/>
          </w:rPr>
          <w:t>s</w:t>
        </w:r>
        <w:r>
          <w:rPr>
            <w:color w:val="231F20"/>
            <w:w w:val="108"/>
          </w:rPr>
          <w:t>.co</w:t>
        </w:r>
        <w:r>
          <w:rPr>
            <w:color w:val="231F20"/>
            <w:w w:val="99"/>
          </w:rPr>
          <w:t>m</w:t>
        </w:r>
        <w:r>
          <w:rPr>
            <w:color w:val="231F20"/>
            <w:w w:val="56"/>
          </w:rPr>
          <w:t>/</w:t>
        </w:r>
        <w:r>
          <w:rPr>
            <w:color w:val="231F20"/>
            <w:w w:val="101"/>
          </w:rPr>
          <w:t>g</w:t>
        </w:r>
        <w:r>
          <w:rPr>
            <w:color w:val="231F20"/>
            <w:w w:val="90"/>
          </w:rPr>
          <w:t>s</w:t>
        </w:r>
        <w:r>
          <w:rPr>
            <w:color w:val="231F20"/>
            <w:w w:val="98"/>
          </w:rPr>
          <w:t>t</w:t>
        </w:r>
        <w:r>
          <w:rPr>
            <w:color w:val="231F20"/>
            <w:w w:val="56"/>
          </w:rPr>
          <w:t>/</w:t>
        </w:r>
        <w:r>
          <w:rPr>
            <w:color w:val="231F20"/>
            <w:w w:val="109"/>
          </w:rPr>
          <w:t>f</w:t>
        </w:r>
        <w:r>
          <w:rPr>
            <w:color w:val="231F20"/>
          </w:rPr>
          <w:t>u</w:t>
        </w:r>
        <w:r>
          <w:rPr>
            <w:color w:val="231F20"/>
            <w:w w:val="102"/>
          </w:rPr>
          <w:t>ll</w:t>
        </w:r>
        <w:r>
          <w:rPr>
            <w:color w:val="231F20"/>
            <w:w w:val="99"/>
          </w:rPr>
          <w:t>p</w:t>
        </w:r>
        <w:r>
          <w:rPr>
            <w:color w:val="231F20"/>
            <w:w w:val="101"/>
          </w:rPr>
          <w:t>ag</w:t>
        </w:r>
        <w:r>
          <w:rPr>
            <w:color w:val="231F20"/>
            <w:w w:val="104"/>
          </w:rPr>
          <w:t>e.</w:t>
        </w:r>
        <w:r>
          <w:rPr>
            <w:color w:val="231F20"/>
          </w:rPr>
          <w:t>h</w:t>
        </w:r>
        <w:r>
          <w:rPr>
            <w:color w:val="231F20"/>
            <w:w w:val="98"/>
          </w:rPr>
          <w:t>t</w:t>
        </w:r>
        <w:r>
          <w:rPr>
            <w:color w:val="231F20"/>
            <w:w w:val="99"/>
          </w:rPr>
          <w:t>m</w:t>
        </w:r>
        <w:r>
          <w:rPr>
            <w:color w:val="231F20"/>
            <w:w w:val="102"/>
          </w:rPr>
          <w:t>l</w:t>
        </w:r>
        <w:r>
          <w:rPr>
            <w:color w:val="231F20"/>
            <w:w w:val="105"/>
          </w:rPr>
          <w:t>?</w:t>
        </w:r>
        <w:r>
          <w:rPr>
            <w:color w:val="231F20"/>
            <w:w w:val="94"/>
          </w:rPr>
          <w:t>r</w:t>
        </w:r>
        <w:r>
          <w:rPr>
            <w:color w:val="231F20"/>
            <w:w w:val="91"/>
          </w:rPr>
          <w:t>e</w:t>
        </w:r>
        <w:r>
          <w:rPr>
            <w:color w:val="231F20"/>
            <w:w w:val="90"/>
          </w:rPr>
          <w:t>s</w:t>
        </w:r>
        <w:r>
          <w:rPr>
            <w:color w:val="231F20"/>
          </w:rPr>
          <w:t>=9</w:t>
        </w:r>
        <w:r>
          <w:rPr>
            <w:color w:val="231F20"/>
            <w:w w:val="128"/>
          </w:rPr>
          <w:t>C</w:t>
        </w:r>
        <w:r>
          <w:rPr>
            <w:color w:val="231F20"/>
          </w:rPr>
          <w:t>00</w:t>
        </w:r>
        <w:r>
          <w:rPr>
            <w:color w:val="231F20"/>
            <w:w w:val="106"/>
          </w:rPr>
          <w:t>EE</w:t>
        </w:r>
      </w:hyperlink>
      <w:r>
        <w:rPr>
          <w:color w:val="231F20"/>
          <w:w w:val="106"/>
        </w:rPr>
        <w:t xml:space="preserve"> </w:t>
      </w:r>
      <w:r>
        <w:rPr>
          <w:color w:val="231F20"/>
          <w:w w:val="105"/>
        </w:rPr>
        <w:t>DD123DF936A25752C0A9679C8B63</w:t>
      </w:r>
    </w:p>
    <w:p w14:paraId="2E3FB5EA" w14:textId="77777777" w:rsidR="002653E8" w:rsidRPr="00846956" w:rsidRDefault="003115E3">
      <w:pPr>
        <w:pStyle w:val="a3"/>
        <w:spacing w:before="164" w:line="244" w:lineRule="auto"/>
        <w:ind w:left="2461" w:right="1236" w:hanging="1134"/>
        <w:rPr>
          <w:lang w:val="de-DE"/>
        </w:rPr>
      </w:pPr>
      <w:r>
        <w:rPr>
          <w:color w:val="231F20"/>
          <w:w w:val="105"/>
        </w:rPr>
        <w:t xml:space="preserve">Cohn-Bendit, Daniel. </w:t>
      </w:r>
      <w:r w:rsidRPr="00846956">
        <w:rPr>
          <w:color w:val="231F20"/>
          <w:w w:val="105"/>
          <w:lang w:val="de-DE"/>
        </w:rPr>
        <w:t xml:space="preserve">Interview by Stefan Aust, Gunther Latsch, Georg Mascolo and Gerhard Spörl “Ein Segen für dieses </w:t>
      </w:r>
      <w:r w:rsidRPr="00846956">
        <w:rPr>
          <w:color w:val="231F20"/>
          <w:w w:val="113"/>
          <w:lang w:val="de-DE"/>
        </w:rPr>
        <w:t>L</w:t>
      </w:r>
      <w:r w:rsidRPr="00846956">
        <w:rPr>
          <w:color w:val="231F20"/>
          <w:w w:val="102"/>
          <w:lang w:val="de-DE"/>
        </w:rPr>
        <w:t>a</w:t>
      </w:r>
      <w:r w:rsidRPr="00846956">
        <w:rPr>
          <w:color w:val="231F20"/>
          <w:w w:val="99"/>
          <w:lang w:val="de-DE"/>
        </w:rPr>
        <w:t>n</w:t>
      </w:r>
      <w:r w:rsidRPr="00846956">
        <w:rPr>
          <w:color w:val="231F20"/>
          <w:lang w:val="de-DE"/>
        </w:rPr>
        <w:t>d</w:t>
      </w:r>
      <w:r w:rsidRPr="00846956">
        <w:rPr>
          <w:color w:val="231F20"/>
          <w:w w:val="135"/>
          <w:lang w:val="de-DE"/>
        </w:rPr>
        <w:t>.</w:t>
      </w:r>
      <w:r w:rsidRPr="00846956">
        <w:rPr>
          <w:color w:val="231F20"/>
          <w:w w:val="148"/>
          <w:lang w:val="de-DE"/>
        </w:rPr>
        <w:t>”</w:t>
      </w:r>
      <w:r w:rsidRPr="00846956">
        <w:rPr>
          <w:color w:val="231F20"/>
          <w:lang w:val="de-DE"/>
        </w:rPr>
        <w:t xml:space="preserve"> </w:t>
      </w:r>
      <w:r w:rsidRPr="00846956">
        <w:rPr>
          <w:i/>
          <w:color w:val="231F20"/>
          <w:w w:val="103"/>
          <w:lang w:val="de-DE"/>
        </w:rPr>
        <w:t>S</w:t>
      </w:r>
      <w:r w:rsidRPr="00846956">
        <w:rPr>
          <w:i/>
          <w:color w:val="231F20"/>
          <w:w w:val="105"/>
          <w:lang w:val="de-DE"/>
        </w:rPr>
        <w:t>p</w:t>
      </w:r>
      <w:r w:rsidRPr="00846956">
        <w:rPr>
          <w:i/>
          <w:color w:val="231F20"/>
          <w:w w:val="102"/>
          <w:lang w:val="de-DE"/>
        </w:rPr>
        <w:t>i</w:t>
      </w:r>
      <w:r w:rsidRPr="00846956">
        <w:rPr>
          <w:i/>
          <w:color w:val="231F20"/>
          <w:w w:val="97"/>
          <w:lang w:val="de-DE"/>
        </w:rPr>
        <w:t>e</w:t>
      </w:r>
      <w:r w:rsidRPr="00846956">
        <w:rPr>
          <w:i/>
          <w:color w:val="231F20"/>
          <w:w w:val="96"/>
          <w:lang w:val="de-DE"/>
        </w:rPr>
        <w:t>ge</w:t>
      </w:r>
      <w:r w:rsidRPr="00846956">
        <w:rPr>
          <w:i/>
          <w:color w:val="231F20"/>
          <w:w w:val="104"/>
          <w:lang w:val="de-DE"/>
        </w:rPr>
        <w:t>l</w:t>
      </w:r>
      <w:r w:rsidRPr="00846956">
        <w:rPr>
          <w:i/>
          <w:color w:val="231F20"/>
          <w:w w:val="139"/>
          <w:lang w:val="de-DE"/>
        </w:rPr>
        <w:t>,</w:t>
      </w:r>
      <w:r w:rsidRPr="00846956">
        <w:rPr>
          <w:i/>
          <w:color w:val="231F20"/>
          <w:lang w:val="de-DE"/>
        </w:rPr>
        <w:t xml:space="preserve"> </w:t>
      </w:r>
      <w:r w:rsidRPr="00846956">
        <w:rPr>
          <w:color w:val="231F20"/>
          <w:w w:val="122"/>
          <w:lang w:val="de-DE"/>
        </w:rPr>
        <w:t>M</w:t>
      </w:r>
      <w:r w:rsidRPr="00846956">
        <w:rPr>
          <w:color w:val="231F20"/>
          <w:w w:val="102"/>
          <w:lang w:val="de-DE"/>
        </w:rPr>
        <w:t>a</w:t>
      </w:r>
      <w:r w:rsidRPr="00846956">
        <w:rPr>
          <w:color w:val="231F20"/>
          <w:w w:val="99"/>
          <w:lang w:val="de-DE"/>
        </w:rPr>
        <w:t>y</w:t>
      </w:r>
      <w:r w:rsidRPr="00846956">
        <w:rPr>
          <w:color w:val="231F20"/>
          <w:lang w:val="de-DE"/>
        </w:rPr>
        <w:t xml:space="preserve"> 2001</w:t>
      </w:r>
      <w:r w:rsidRPr="00846956">
        <w:rPr>
          <w:color w:val="231F20"/>
          <w:w w:val="135"/>
          <w:lang w:val="de-DE"/>
        </w:rPr>
        <w:t>.</w:t>
      </w:r>
      <w:r w:rsidRPr="00846956">
        <w:rPr>
          <w:color w:val="231F20"/>
          <w:lang w:val="de-DE"/>
        </w:rPr>
        <w:t xml:space="preserve"> </w:t>
      </w:r>
      <w:hyperlink r:id="rId600">
        <w:r w:rsidRPr="00846956">
          <w:rPr>
            <w:color w:val="231F20"/>
            <w:lang w:val="de-DE"/>
          </w:rPr>
          <w:t>h</w:t>
        </w:r>
        <w:r w:rsidRPr="00846956">
          <w:rPr>
            <w:color w:val="231F20"/>
            <w:w w:val="98"/>
            <w:lang w:val="de-DE"/>
          </w:rPr>
          <w:t>tt</w:t>
        </w:r>
        <w:r w:rsidRPr="00846956">
          <w:rPr>
            <w:color w:val="231F20"/>
            <w:w w:val="99"/>
            <w:lang w:val="de-DE"/>
          </w:rPr>
          <w:t>p</w:t>
        </w:r>
        <w:r w:rsidRPr="00846956">
          <w:rPr>
            <w:color w:val="231F20"/>
            <w:w w:val="105"/>
            <w:lang w:val="de-DE"/>
          </w:rPr>
          <w:t>:</w:t>
        </w:r>
        <w:r w:rsidRPr="00846956">
          <w:rPr>
            <w:color w:val="231F20"/>
            <w:w w:val="56"/>
            <w:lang w:val="de-DE"/>
          </w:rPr>
          <w:t>//</w:t>
        </w:r>
        <w:r w:rsidRPr="00846956">
          <w:rPr>
            <w:color w:val="231F20"/>
            <w:lang w:val="de-DE"/>
          </w:rPr>
          <w:t>wi</w:t>
        </w:r>
        <w:r w:rsidRPr="00846956">
          <w:rPr>
            <w:color w:val="231F20"/>
            <w:w w:val="90"/>
            <w:lang w:val="de-DE"/>
          </w:rPr>
          <w:t>ss</w:t>
        </w:r>
        <w:r w:rsidRPr="00846956">
          <w:rPr>
            <w:color w:val="231F20"/>
            <w:w w:val="91"/>
            <w:lang w:val="de-DE"/>
          </w:rPr>
          <w:t>e</w:t>
        </w:r>
        <w:r w:rsidRPr="00846956">
          <w:rPr>
            <w:color w:val="231F20"/>
            <w:w w:val="99"/>
            <w:lang w:val="de-DE"/>
          </w:rPr>
          <w:t>n</w:t>
        </w:r>
        <w:r w:rsidRPr="00846956">
          <w:rPr>
            <w:color w:val="231F20"/>
            <w:w w:val="135"/>
            <w:lang w:val="de-DE"/>
          </w:rPr>
          <w:t>.</w:t>
        </w:r>
        <w:r w:rsidRPr="00846956">
          <w:rPr>
            <w:color w:val="231F20"/>
            <w:w w:val="90"/>
            <w:lang w:val="de-DE"/>
          </w:rPr>
          <w:t>s</w:t>
        </w:r>
        <w:r w:rsidRPr="00846956">
          <w:rPr>
            <w:color w:val="231F20"/>
            <w:w w:val="99"/>
            <w:lang w:val="de-DE"/>
          </w:rPr>
          <w:t>p</w:t>
        </w:r>
        <w:r w:rsidRPr="00846956">
          <w:rPr>
            <w:color w:val="231F20"/>
            <w:lang w:val="de-DE"/>
          </w:rPr>
          <w:t>i</w:t>
        </w:r>
        <w:r w:rsidRPr="00846956">
          <w:rPr>
            <w:color w:val="231F20"/>
            <w:w w:val="91"/>
            <w:lang w:val="de-DE"/>
          </w:rPr>
          <w:t>e</w:t>
        </w:r>
        <w:r w:rsidRPr="00846956">
          <w:rPr>
            <w:color w:val="231F20"/>
            <w:w w:val="101"/>
            <w:lang w:val="de-DE"/>
          </w:rPr>
          <w:t>g</w:t>
        </w:r>
        <w:r w:rsidRPr="00846956">
          <w:rPr>
            <w:color w:val="231F20"/>
            <w:w w:val="91"/>
            <w:lang w:val="de-DE"/>
          </w:rPr>
          <w:t>e</w:t>
        </w:r>
        <w:r w:rsidRPr="00846956">
          <w:rPr>
            <w:color w:val="231F20"/>
            <w:w w:val="102"/>
            <w:lang w:val="de-DE"/>
          </w:rPr>
          <w:t>l</w:t>
        </w:r>
        <w:r w:rsidRPr="00846956">
          <w:rPr>
            <w:color w:val="231F20"/>
            <w:w w:val="109"/>
            <w:lang w:val="de-DE"/>
          </w:rPr>
          <w:t>.d</w:t>
        </w:r>
        <w:r w:rsidRPr="00846956">
          <w:rPr>
            <w:color w:val="231F20"/>
            <w:w w:val="91"/>
            <w:lang w:val="de-DE"/>
          </w:rPr>
          <w:t>e</w:t>
        </w:r>
        <w:r w:rsidRPr="00846956">
          <w:rPr>
            <w:color w:val="231F20"/>
            <w:w w:val="56"/>
            <w:lang w:val="de-DE"/>
          </w:rPr>
          <w:t>/</w:t>
        </w:r>
      </w:hyperlink>
      <w:r w:rsidRPr="00846956">
        <w:rPr>
          <w:color w:val="231F20"/>
          <w:w w:val="56"/>
          <w:lang w:val="de-DE"/>
        </w:rPr>
        <w:t xml:space="preserve"> </w:t>
      </w:r>
      <w:r w:rsidRPr="00846956">
        <w:rPr>
          <w:color w:val="231F20"/>
          <w:lang w:val="de-DE"/>
        </w:rPr>
        <w:t>wi</w:t>
      </w:r>
      <w:r w:rsidRPr="00846956">
        <w:rPr>
          <w:color w:val="231F20"/>
          <w:w w:val="90"/>
          <w:lang w:val="de-DE"/>
        </w:rPr>
        <w:t>ss</w:t>
      </w:r>
      <w:r w:rsidRPr="00846956">
        <w:rPr>
          <w:color w:val="231F20"/>
          <w:w w:val="91"/>
          <w:lang w:val="de-DE"/>
        </w:rPr>
        <w:t>e</w:t>
      </w:r>
      <w:r w:rsidRPr="00846956">
        <w:rPr>
          <w:color w:val="231F20"/>
          <w:w w:val="99"/>
          <w:lang w:val="de-DE"/>
        </w:rPr>
        <w:t>n</w:t>
      </w:r>
      <w:r w:rsidRPr="00846956">
        <w:rPr>
          <w:color w:val="231F20"/>
          <w:w w:val="56"/>
          <w:lang w:val="de-DE"/>
        </w:rPr>
        <w:t>/</w:t>
      </w:r>
      <w:r w:rsidRPr="00846956">
        <w:rPr>
          <w:color w:val="231F20"/>
          <w:w w:val="103"/>
          <w:lang w:val="de-DE"/>
        </w:rPr>
        <w:t>dok</w:t>
      </w:r>
      <w:r w:rsidRPr="00846956">
        <w:rPr>
          <w:color w:val="231F20"/>
          <w:lang w:val="de-DE"/>
        </w:rPr>
        <w:t>u</w:t>
      </w:r>
      <w:r w:rsidRPr="00846956">
        <w:rPr>
          <w:color w:val="231F20"/>
          <w:w w:val="99"/>
          <w:lang w:val="de-DE"/>
        </w:rPr>
        <w:t>m</w:t>
      </w:r>
      <w:r w:rsidRPr="00846956">
        <w:rPr>
          <w:color w:val="231F20"/>
          <w:w w:val="91"/>
          <w:lang w:val="de-DE"/>
        </w:rPr>
        <w:t>e</w:t>
      </w:r>
      <w:r w:rsidRPr="00846956">
        <w:rPr>
          <w:color w:val="231F20"/>
          <w:w w:val="99"/>
          <w:lang w:val="de-DE"/>
        </w:rPr>
        <w:t>n</w:t>
      </w:r>
      <w:r w:rsidRPr="00846956">
        <w:rPr>
          <w:color w:val="231F20"/>
          <w:w w:val="98"/>
          <w:lang w:val="de-DE"/>
        </w:rPr>
        <w:t>t</w:t>
      </w:r>
      <w:r w:rsidRPr="00846956">
        <w:rPr>
          <w:color w:val="231F20"/>
          <w:w w:val="56"/>
          <w:lang w:val="de-DE"/>
        </w:rPr>
        <w:t>/</w:t>
      </w:r>
      <w:r w:rsidRPr="00846956">
        <w:rPr>
          <w:color w:val="231F20"/>
          <w:w w:val="103"/>
          <w:lang w:val="de-DE"/>
        </w:rPr>
        <w:t>dok</w:t>
      </w:r>
      <w:r w:rsidRPr="00846956">
        <w:rPr>
          <w:color w:val="231F20"/>
          <w:lang w:val="de-DE"/>
        </w:rPr>
        <w:t>u</w:t>
      </w:r>
      <w:r w:rsidRPr="00846956">
        <w:rPr>
          <w:color w:val="231F20"/>
          <w:w w:val="99"/>
          <w:lang w:val="de-DE"/>
        </w:rPr>
        <w:t>m</w:t>
      </w:r>
      <w:r w:rsidRPr="00846956">
        <w:rPr>
          <w:color w:val="231F20"/>
          <w:w w:val="91"/>
          <w:lang w:val="de-DE"/>
        </w:rPr>
        <w:t>e</w:t>
      </w:r>
      <w:r w:rsidRPr="00846956">
        <w:rPr>
          <w:color w:val="231F20"/>
          <w:w w:val="99"/>
          <w:lang w:val="de-DE"/>
        </w:rPr>
        <w:t>n</w:t>
      </w:r>
      <w:r w:rsidRPr="00846956">
        <w:rPr>
          <w:color w:val="231F20"/>
          <w:w w:val="98"/>
          <w:lang w:val="de-DE"/>
        </w:rPr>
        <w:t>t</w:t>
      </w:r>
      <w:r w:rsidRPr="00846956">
        <w:rPr>
          <w:color w:val="231F20"/>
          <w:w w:val="135"/>
          <w:lang w:val="de-DE"/>
        </w:rPr>
        <w:t>.</w:t>
      </w:r>
      <w:r w:rsidRPr="00846956">
        <w:rPr>
          <w:color w:val="231F20"/>
          <w:lang w:val="de-DE"/>
        </w:rPr>
        <w:t>h</w:t>
      </w:r>
      <w:r w:rsidRPr="00846956">
        <w:rPr>
          <w:color w:val="231F20"/>
          <w:w w:val="98"/>
          <w:lang w:val="de-DE"/>
        </w:rPr>
        <w:t>t</w:t>
      </w:r>
      <w:r w:rsidRPr="00846956">
        <w:rPr>
          <w:color w:val="231F20"/>
          <w:w w:val="99"/>
          <w:lang w:val="de-DE"/>
        </w:rPr>
        <w:t>m</w:t>
      </w:r>
      <w:r w:rsidRPr="00846956">
        <w:rPr>
          <w:color w:val="231F20"/>
          <w:w w:val="102"/>
          <w:lang w:val="de-DE"/>
        </w:rPr>
        <w:t>l</w:t>
      </w:r>
      <w:r w:rsidRPr="00846956">
        <w:rPr>
          <w:color w:val="231F20"/>
          <w:w w:val="103"/>
          <w:lang w:val="de-DE"/>
        </w:rPr>
        <w:t>?i</w:t>
      </w:r>
      <w:r w:rsidRPr="00846956">
        <w:rPr>
          <w:color w:val="231F20"/>
          <w:lang w:val="de-DE"/>
        </w:rPr>
        <w:t>d=18370264</w:t>
      </w:r>
    </w:p>
    <w:p w14:paraId="5D328F13" w14:textId="77777777" w:rsidR="002653E8" w:rsidRDefault="003115E3">
      <w:pPr>
        <w:spacing w:before="163" w:line="244" w:lineRule="auto"/>
        <w:ind w:left="2461" w:right="1580" w:hanging="1134"/>
        <w:rPr>
          <w:sz w:val="20"/>
        </w:rPr>
      </w:pPr>
      <w:r>
        <w:rPr>
          <w:i/>
          <w:color w:val="231F20"/>
          <w:w w:val="105"/>
          <w:sz w:val="20"/>
        </w:rPr>
        <w:t xml:space="preserve">The Corpus Christi (Texas) Times. </w:t>
      </w:r>
      <w:r>
        <w:rPr>
          <w:color w:val="231F20"/>
          <w:w w:val="105"/>
          <w:sz w:val="20"/>
        </w:rPr>
        <w:t>“Bombing Seen as Protest.” May 14, 1976.</w:t>
      </w:r>
    </w:p>
    <w:p w14:paraId="77A7A729" w14:textId="77777777" w:rsidR="002653E8" w:rsidRPr="00846956" w:rsidRDefault="003115E3">
      <w:pPr>
        <w:pStyle w:val="a3"/>
        <w:spacing w:before="32" w:line="400" w:lineRule="exact"/>
        <w:ind w:left="1327" w:right="1479"/>
        <w:rPr>
          <w:lang w:val="de-DE"/>
        </w:rPr>
      </w:pPr>
      <w:r>
        <w:rPr>
          <w:color w:val="231F20"/>
          <w:w w:val="105"/>
        </w:rPr>
        <w:t xml:space="preserve">---------“Police building hit by bomb.” </w:t>
      </w:r>
      <w:r w:rsidRPr="00846956">
        <w:rPr>
          <w:color w:val="231F20"/>
          <w:w w:val="105"/>
          <w:lang w:val="de-DE"/>
        </w:rPr>
        <w:t>December 17, 1976. Dellwo, Karl-Heinz. Interview by Axel Vornbäumen. “Ich bin kein</w:t>
      </w:r>
    </w:p>
    <w:p w14:paraId="75C4D93C" w14:textId="77777777" w:rsidR="002653E8" w:rsidRPr="00846956" w:rsidRDefault="003115E3">
      <w:pPr>
        <w:spacing w:line="204" w:lineRule="exact"/>
        <w:ind w:left="2461"/>
        <w:rPr>
          <w:sz w:val="20"/>
          <w:lang w:val="de-DE"/>
        </w:rPr>
      </w:pPr>
      <w:r w:rsidRPr="00846956">
        <w:rPr>
          <w:color w:val="231F20"/>
          <w:spacing w:val="-3"/>
          <w:w w:val="97"/>
          <w:sz w:val="20"/>
          <w:lang w:val="de-DE"/>
        </w:rPr>
        <w:t>P</w:t>
      </w:r>
      <w:r w:rsidRPr="00846956">
        <w:rPr>
          <w:color w:val="231F20"/>
          <w:spacing w:val="2"/>
          <w:w w:val="102"/>
          <w:sz w:val="20"/>
          <w:lang w:val="de-DE"/>
        </w:rPr>
        <w:t>a</w:t>
      </w:r>
      <w:r w:rsidRPr="00846956">
        <w:rPr>
          <w:color w:val="231F20"/>
          <w:spacing w:val="1"/>
          <w:w w:val="98"/>
          <w:sz w:val="20"/>
          <w:lang w:val="de-DE"/>
        </w:rPr>
        <w:t>z</w:t>
      </w:r>
      <w:r w:rsidRPr="00846956">
        <w:rPr>
          <w:color w:val="231F20"/>
          <w:spacing w:val="5"/>
          <w:w w:val="98"/>
          <w:sz w:val="20"/>
          <w:lang w:val="de-DE"/>
        </w:rPr>
        <w:t>i</w:t>
      </w:r>
      <w:r w:rsidRPr="00846956">
        <w:rPr>
          <w:color w:val="231F20"/>
          <w:w w:val="95"/>
          <w:sz w:val="20"/>
          <w:lang w:val="de-DE"/>
        </w:rPr>
        <w:t>f</w:t>
      </w:r>
      <w:r w:rsidRPr="00846956">
        <w:rPr>
          <w:color w:val="231F20"/>
          <w:spacing w:val="3"/>
          <w:w w:val="95"/>
          <w:sz w:val="20"/>
          <w:lang w:val="de-DE"/>
        </w:rPr>
        <w:t>i</w:t>
      </w:r>
      <w:r w:rsidRPr="00846956">
        <w:rPr>
          <w:color w:val="231F20"/>
          <w:w w:val="90"/>
          <w:sz w:val="20"/>
          <w:lang w:val="de-DE"/>
        </w:rPr>
        <w:t>s</w:t>
      </w:r>
      <w:r w:rsidRPr="00846956">
        <w:rPr>
          <w:color w:val="231F20"/>
          <w:spacing w:val="1"/>
          <w:w w:val="112"/>
          <w:sz w:val="20"/>
          <w:lang w:val="de-DE"/>
        </w:rPr>
        <w:t>t</w:t>
      </w:r>
      <w:r w:rsidRPr="00846956">
        <w:rPr>
          <w:color w:val="231F20"/>
          <w:spacing w:val="-14"/>
          <w:w w:val="112"/>
          <w:sz w:val="20"/>
          <w:lang w:val="de-DE"/>
        </w:rPr>
        <w:t>.</w:t>
      </w:r>
      <w:r w:rsidRPr="00846956">
        <w:rPr>
          <w:color w:val="231F20"/>
          <w:w w:val="148"/>
          <w:sz w:val="20"/>
          <w:lang w:val="de-DE"/>
        </w:rPr>
        <w:t>”</w:t>
      </w:r>
      <w:r w:rsidRPr="00846956">
        <w:rPr>
          <w:color w:val="231F20"/>
          <w:spacing w:val="10"/>
          <w:sz w:val="20"/>
          <w:lang w:val="de-DE"/>
        </w:rPr>
        <w:t xml:space="preserve"> </w:t>
      </w:r>
      <w:r w:rsidRPr="00846956">
        <w:rPr>
          <w:i/>
          <w:color w:val="231F20"/>
          <w:spacing w:val="-9"/>
          <w:w w:val="116"/>
          <w:sz w:val="20"/>
          <w:lang w:val="de-DE"/>
        </w:rPr>
        <w:t>T</w:t>
      </w:r>
      <w:r w:rsidRPr="00846956">
        <w:rPr>
          <w:i/>
          <w:color w:val="231F20"/>
          <w:spacing w:val="-1"/>
          <w:w w:val="95"/>
          <w:sz w:val="20"/>
          <w:lang w:val="de-DE"/>
        </w:rPr>
        <w:t>ag</w:t>
      </w:r>
      <w:r w:rsidRPr="00846956">
        <w:rPr>
          <w:i/>
          <w:color w:val="231F20"/>
          <w:spacing w:val="2"/>
          <w:w w:val="97"/>
          <w:sz w:val="20"/>
          <w:lang w:val="de-DE"/>
        </w:rPr>
        <w:t>e</w:t>
      </w:r>
      <w:r w:rsidRPr="00846956">
        <w:rPr>
          <w:i/>
          <w:color w:val="231F20"/>
          <w:spacing w:val="2"/>
          <w:w w:val="101"/>
          <w:sz w:val="20"/>
          <w:lang w:val="de-DE"/>
        </w:rPr>
        <w:t>s</w:t>
      </w:r>
      <w:r w:rsidRPr="00846956">
        <w:rPr>
          <w:i/>
          <w:color w:val="231F20"/>
          <w:w w:val="105"/>
          <w:sz w:val="20"/>
          <w:lang w:val="de-DE"/>
        </w:rPr>
        <w:t>p</w:t>
      </w:r>
      <w:r w:rsidRPr="00846956">
        <w:rPr>
          <w:i/>
          <w:color w:val="231F20"/>
          <w:spacing w:val="2"/>
          <w:w w:val="102"/>
          <w:sz w:val="20"/>
          <w:lang w:val="de-DE"/>
        </w:rPr>
        <w:t>i</w:t>
      </w:r>
      <w:r w:rsidRPr="00846956">
        <w:rPr>
          <w:i/>
          <w:color w:val="231F20"/>
          <w:w w:val="96"/>
          <w:sz w:val="20"/>
          <w:lang w:val="de-DE"/>
        </w:rPr>
        <w:t>e</w:t>
      </w:r>
      <w:r w:rsidRPr="00846956">
        <w:rPr>
          <w:i/>
          <w:color w:val="231F20"/>
          <w:spacing w:val="-1"/>
          <w:w w:val="96"/>
          <w:sz w:val="20"/>
          <w:lang w:val="de-DE"/>
        </w:rPr>
        <w:t>g</w:t>
      </w:r>
      <w:r w:rsidRPr="00846956">
        <w:rPr>
          <w:i/>
          <w:color w:val="231F20"/>
          <w:w w:val="97"/>
          <w:sz w:val="20"/>
          <w:lang w:val="de-DE"/>
        </w:rPr>
        <w:t>e</w:t>
      </w:r>
      <w:r w:rsidRPr="00846956">
        <w:rPr>
          <w:i/>
          <w:color w:val="231F20"/>
          <w:spacing w:val="5"/>
          <w:w w:val="104"/>
          <w:sz w:val="20"/>
          <w:lang w:val="de-DE"/>
        </w:rPr>
        <w:t>l</w:t>
      </w:r>
      <w:r w:rsidRPr="00846956">
        <w:rPr>
          <w:i/>
          <w:color w:val="231F20"/>
          <w:w w:val="139"/>
          <w:sz w:val="20"/>
          <w:lang w:val="de-DE"/>
        </w:rPr>
        <w:t>,</w:t>
      </w:r>
      <w:r w:rsidRPr="00846956">
        <w:rPr>
          <w:i/>
          <w:color w:val="231F20"/>
          <w:spacing w:val="11"/>
          <w:sz w:val="20"/>
          <w:lang w:val="de-DE"/>
        </w:rPr>
        <w:t xml:space="preserve"> </w:t>
      </w:r>
      <w:r w:rsidRPr="00846956">
        <w:rPr>
          <w:color w:val="231F20"/>
          <w:spacing w:val="3"/>
          <w:w w:val="122"/>
          <w:sz w:val="20"/>
          <w:lang w:val="de-DE"/>
        </w:rPr>
        <w:t>M</w:t>
      </w:r>
      <w:r w:rsidRPr="00846956">
        <w:rPr>
          <w:color w:val="231F20"/>
          <w:spacing w:val="3"/>
          <w:w w:val="102"/>
          <w:sz w:val="20"/>
          <w:lang w:val="de-DE"/>
        </w:rPr>
        <w:t>a</w:t>
      </w:r>
      <w:r w:rsidRPr="00846956">
        <w:rPr>
          <w:color w:val="231F20"/>
          <w:spacing w:val="-1"/>
          <w:w w:val="94"/>
          <w:sz w:val="20"/>
          <w:lang w:val="de-DE"/>
        </w:rPr>
        <w:t>r</w:t>
      </w:r>
      <w:r w:rsidRPr="00846956">
        <w:rPr>
          <w:color w:val="231F20"/>
          <w:sz w:val="20"/>
          <w:lang w:val="de-DE"/>
        </w:rPr>
        <w:t>ch</w:t>
      </w:r>
      <w:r w:rsidRPr="00846956">
        <w:rPr>
          <w:color w:val="231F20"/>
          <w:spacing w:val="10"/>
          <w:sz w:val="20"/>
          <w:lang w:val="de-DE"/>
        </w:rPr>
        <w:t xml:space="preserve"> </w:t>
      </w:r>
      <w:r w:rsidRPr="00846956">
        <w:rPr>
          <w:color w:val="231F20"/>
          <w:sz w:val="20"/>
          <w:lang w:val="de-DE"/>
        </w:rPr>
        <w:t>2</w:t>
      </w:r>
      <w:r w:rsidRPr="00846956">
        <w:rPr>
          <w:color w:val="231F20"/>
          <w:spacing w:val="-1"/>
          <w:sz w:val="20"/>
          <w:lang w:val="de-DE"/>
        </w:rPr>
        <w:t>6</w:t>
      </w:r>
      <w:r w:rsidRPr="00846956">
        <w:rPr>
          <w:color w:val="231F20"/>
          <w:w w:val="135"/>
          <w:sz w:val="20"/>
          <w:lang w:val="de-DE"/>
        </w:rPr>
        <w:t>,</w:t>
      </w:r>
      <w:r w:rsidRPr="00846956">
        <w:rPr>
          <w:color w:val="231F20"/>
          <w:spacing w:val="10"/>
          <w:sz w:val="20"/>
          <w:lang w:val="de-DE"/>
        </w:rPr>
        <w:t xml:space="preserve"> </w:t>
      </w:r>
      <w:r w:rsidRPr="00846956">
        <w:rPr>
          <w:color w:val="231F20"/>
          <w:spacing w:val="2"/>
          <w:sz w:val="20"/>
          <w:lang w:val="de-DE"/>
        </w:rPr>
        <w:t>2</w:t>
      </w:r>
      <w:r w:rsidRPr="00846956">
        <w:rPr>
          <w:color w:val="231F20"/>
          <w:spacing w:val="5"/>
          <w:sz w:val="20"/>
          <w:lang w:val="de-DE"/>
        </w:rPr>
        <w:t>0</w:t>
      </w:r>
      <w:r w:rsidRPr="00846956">
        <w:rPr>
          <w:color w:val="231F20"/>
          <w:spacing w:val="1"/>
          <w:sz w:val="20"/>
          <w:lang w:val="de-DE"/>
        </w:rPr>
        <w:t>0</w:t>
      </w:r>
      <w:r w:rsidRPr="00846956">
        <w:rPr>
          <w:color w:val="231F20"/>
          <w:spacing w:val="-17"/>
          <w:sz w:val="20"/>
          <w:lang w:val="de-DE"/>
        </w:rPr>
        <w:t>7</w:t>
      </w:r>
      <w:r w:rsidRPr="00846956">
        <w:rPr>
          <w:color w:val="231F20"/>
          <w:w w:val="135"/>
          <w:sz w:val="20"/>
          <w:lang w:val="de-DE"/>
        </w:rPr>
        <w:t>.</w:t>
      </w:r>
      <w:r w:rsidRPr="00846956">
        <w:rPr>
          <w:color w:val="231F20"/>
          <w:spacing w:val="10"/>
          <w:sz w:val="20"/>
          <w:lang w:val="de-DE"/>
        </w:rPr>
        <w:t xml:space="preserve"> </w:t>
      </w:r>
      <w:hyperlink r:id="rId601">
        <w:r w:rsidRPr="00846956">
          <w:rPr>
            <w:color w:val="231F20"/>
            <w:spacing w:val="-2"/>
            <w:sz w:val="20"/>
            <w:lang w:val="de-DE"/>
          </w:rPr>
          <w:t>h</w:t>
        </w:r>
        <w:r w:rsidRPr="00846956">
          <w:rPr>
            <w:color w:val="231F20"/>
            <w:spacing w:val="5"/>
            <w:w w:val="98"/>
            <w:sz w:val="20"/>
            <w:lang w:val="de-DE"/>
          </w:rPr>
          <w:t>t</w:t>
        </w:r>
        <w:r w:rsidRPr="00846956">
          <w:rPr>
            <w:color w:val="231F20"/>
            <w:spacing w:val="3"/>
            <w:w w:val="98"/>
            <w:sz w:val="20"/>
            <w:lang w:val="de-DE"/>
          </w:rPr>
          <w:t>t</w:t>
        </w:r>
        <w:r w:rsidRPr="00846956">
          <w:rPr>
            <w:color w:val="231F20"/>
            <w:spacing w:val="-1"/>
            <w:w w:val="99"/>
            <w:sz w:val="20"/>
            <w:lang w:val="de-DE"/>
          </w:rPr>
          <w:t>p</w:t>
        </w:r>
        <w:r w:rsidRPr="00846956">
          <w:rPr>
            <w:color w:val="231F20"/>
            <w:spacing w:val="5"/>
            <w:w w:val="105"/>
            <w:sz w:val="20"/>
            <w:lang w:val="de-DE"/>
          </w:rPr>
          <w:t>:</w:t>
        </w:r>
        <w:r w:rsidRPr="00846956">
          <w:rPr>
            <w:color w:val="231F20"/>
            <w:spacing w:val="-3"/>
            <w:w w:val="56"/>
            <w:sz w:val="20"/>
            <w:lang w:val="de-DE"/>
          </w:rPr>
          <w:t>/</w:t>
        </w:r>
        <w:r w:rsidRPr="00846956">
          <w:rPr>
            <w:color w:val="231F20"/>
            <w:spacing w:val="1"/>
            <w:w w:val="56"/>
            <w:sz w:val="20"/>
            <w:lang w:val="de-DE"/>
          </w:rPr>
          <w:t>/</w:t>
        </w:r>
        <w:r w:rsidRPr="00846956">
          <w:rPr>
            <w:color w:val="231F20"/>
            <w:spacing w:val="6"/>
            <w:sz w:val="20"/>
            <w:lang w:val="de-DE"/>
          </w:rPr>
          <w:t>ww</w:t>
        </w:r>
        <w:r w:rsidRPr="00846956">
          <w:rPr>
            <w:color w:val="231F20"/>
            <w:spacing w:val="-12"/>
            <w:sz w:val="20"/>
            <w:lang w:val="de-DE"/>
          </w:rPr>
          <w:t>w</w:t>
        </w:r>
        <w:r w:rsidRPr="00846956">
          <w:rPr>
            <w:color w:val="231F20"/>
            <w:w w:val="135"/>
            <w:sz w:val="20"/>
            <w:lang w:val="de-DE"/>
          </w:rPr>
          <w:t>.</w:t>
        </w:r>
      </w:hyperlink>
    </w:p>
    <w:p w14:paraId="1BCED10E" w14:textId="77777777" w:rsidR="002653E8" w:rsidRPr="00846956" w:rsidRDefault="003115E3">
      <w:pPr>
        <w:pStyle w:val="a3"/>
        <w:spacing w:before="5"/>
        <w:ind w:left="2461"/>
        <w:rPr>
          <w:lang w:val="de-DE"/>
        </w:rPr>
      </w:pPr>
      <w:r w:rsidRPr="00846956">
        <w:rPr>
          <w:color w:val="231F20"/>
          <w:spacing w:val="2"/>
          <w:w w:val="98"/>
          <w:lang w:val="de-DE"/>
        </w:rPr>
        <w:t>t</w:t>
      </w:r>
      <w:r w:rsidRPr="00846956">
        <w:rPr>
          <w:color w:val="231F20"/>
          <w:w w:val="102"/>
          <w:lang w:val="de-DE"/>
        </w:rPr>
        <w:t>a</w:t>
      </w:r>
      <w:r w:rsidRPr="00846956">
        <w:rPr>
          <w:color w:val="231F20"/>
          <w:spacing w:val="-1"/>
          <w:w w:val="101"/>
          <w:lang w:val="de-DE"/>
        </w:rPr>
        <w:t>g</w:t>
      </w:r>
      <w:r w:rsidRPr="00846956">
        <w:rPr>
          <w:color w:val="231F20"/>
          <w:spacing w:val="1"/>
          <w:w w:val="91"/>
          <w:lang w:val="de-DE"/>
        </w:rPr>
        <w:t>e</w:t>
      </w:r>
      <w:r w:rsidRPr="00846956">
        <w:rPr>
          <w:color w:val="231F20"/>
          <w:spacing w:val="1"/>
          <w:w w:val="90"/>
          <w:lang w:val="de-DE"/>
        </w:rPr>
        <w:t>s</w:t>
      </w:r>
      <w:r w:rsidRPr="00846956">
        <w:rPr>
          <w:color w:val="231F20"/>
          <w:spacing w:val="-1"/>
          <w:w w:val="96"/>
          <w:lang w:val="de-DE"/>
        </w:rPr>
        <w:t>spi</w:t>
      </w:r>
      <w:r w:rsidRPr="00846956">
        <w:rPr>
          <w:color w:val="231F20"/>
          <w:w w:val="91"/>
          <w:lang w:val="de-DE"/>
        </w:rPr>
        <w:t>e</w:t>
      </w:r>
      <w:r w:rsidRPr="00846956">
        <w:rPr>
          <w:color w:val="231F20"/>
          <w:spacing w:val="-1"/>
          <w:w w:val="101"/>
          <w:lang w:val="de-DE"/>
        </w:rPr>
        <w:t>g</w:t>
      </w:r>
      <w:r w:rsidRPr="00846956">
        <w:rPr>
          <w:color w:val="231F20"/>
          <w:spacing w:val="-1"/>
          <w:w w:val="95"/>
          <w:lang w:val="de-DE"/>
        </w:rPr>
        <w:t>e</w:t>
      </w:r>
      <w:r w:rsidRPr="00846956">
        <w:rPr>
          <w:color w:val="231F20"/>
          <w:w w:val="95"/>
          <w:lang w:val="de-DE"/>
        </w:rPr>
        <w:t>l</w:t>
      </w:r>
      <w:r w:rsidRPr="00846956">
        <w:rPr>
          <w:color w:val="231F20"/>
          <w:w w:val="135"/>
          <w:lang w:val="de-DE"/>
        </w:rPr>
        <w:t>.</w:t>
      </w:r>
      <w:r w:rsidRPr="00846956">
        <w:rPr>
          <w:color w:val="231F20"/>
          <w:lang w:val="de-DE"/>
        </w:rPr>
        <w:t>d</w:t>
      </w:r>
      <w:r w:rsidRPr="00846956">
        <w:rPr>
          <w:color w:val="231F20"/>
          <w:spacing w:val="5"/>
          <w:w w:val="91"/>
          <w:lang w:val="de-DE"/>
        </w:rPr>
        <w:t>e</w:t>
      </w:r>
      <w:r w:rsidRPr="00846956">
        <w:rPr>
          <w:color w:val="231F20"/>
          <w:spacing w:val="-1"/>
          <w:w w:val="76"/>
          <w:lang w:val="de-DE"/>
        </w:rPr>
        <w:t>/</w:t>
      </w:r>
      <w:r w:rsidRPr="00846956">
        <w:rPr>
          <w:color w:val="231F20"/>
          <w:spacing w:val="2"/>
          <w:w w:val="76"/>
          <w:lang w:val="de-DE"/>
        </w:rPr>
        <w:t>z</w:t>
      </w:r>
      <w:r w:rsidRPr="00846956">
        <w:rPr>
          <w:color w:val="231F20"/>
          <w:spacing w:val="-1"/>
          <w:w w:val="91"/>
          <w:lang w:val="de-DE"/>
        </w:rPr>
        <w:t>e</w:t>
      </w:r>
      <w:r w:rsidRPr="00846956">
        <w:rPr>
          <w:color w:val="231F20"/>
          <w:spacing w:val="-2"/>
          <w:lang w:val="de-DE"/>
        </w:rPr>
        <w:t>i</w:t>
      </w:r>
      <w:r w:rsidRPr="00846956">
        <w:rPr>
          <w:color w:val="231F20"/>
          <w:spacing w:val="3"/>
          <w:w w:val="98"/>
          <w:lang w:val="de-DE"/>
        </w:rPr>
        <w:t>t</w:t>
      </w:r>
      <w:r w:rsidRPr="00846956">
        <w:rPr>
          <w:color w:val="231F20"/>
          <w:spacing w:val="3"/>
          <w:lang w:val="de-DE"/>
        </w:rPr>
        <w:t>u</w:t>
      </w:r>
      <w:r w:rsidRPr="00846956">
        <w:rPr>
          <w:color w:val="231F20"/>
          <w:w w:val="99"/>
          <w:lang w:val="de-DE"/>
        </w:rPr>
        <w:t>n</w:t>
      </w:r>
      <w:r w:rsidRPr="00846956">
        <w:rPr>
          <w:color w:val="231F20"/>
          <w:spacing w:val="10"/>
          <w:w w:val="101"/>
          <w:lang w:val="de-DE"/>
        </w:rPr>
        <w:t>g</w:t>
      </w:r>
      <w:r w:rsidRPr="00846956">
        <w:rPr>
          <w:color w:val="231F20"/>
          <w:spacing w:val="2"/>
          <w:w w:val="56"/>
          <w:lang w:val="de-DE"/>
        </w:rPr>
        <w:t>/</w:t>
      </w:r>
      <w:r w:rsidRPr="00846956">
        <w:rPr>
          <w:color w:val="231F20"/>
          <w:spacing w:val="3"/>
          <w:lang w:val="de-DE"/>
        </w:rPr>
        <w:t>S</w:t>
      </w:r>
      <w:r w:rsidRPr="00846956">
        <w:rPr>
          <w:color w:val="231F20"/>
          <w:spacing w:val="-1"/>
          <w:w w:val="104"/>
          <w:lang w:val="de-DE"/>
        </w:rPr>
        <w:t>o</w:t>
      </w:r>
      <w:r w:rsidRPr="00846956">
        <w:rPr>
          <w:color w:val="231F20"/>
          <w:spacing w:val="3"/>
          <w:w w:val="99"/>
          <w:lang w:val="de-DE"/>
        </w:rPr>
        <w:t>n</w:t>
      </w:r>
      <w:r w:rsidRPr="00846956">
        <w:rPr>
          <w:color w:val="231F20"/>
          <w:spacing w:val="-2"/>
          <w:w w:val="99"/>
          <w:lang w:val="de-DE"/>
        </w:rPr>
        <w:t>n</w:t>
      </w:r>
      <w:r w:rsidRPr="00846956">
        <w:rPr>
          <w:color w:val="231F20"/>
          <w:spacing w:val="2"/>
          <w:w w:val="98"/>
          <w:lang w:val="de-DE"/>
        </w:rPr>
        <w:t>t</w:t>
      </w:r>
      <w:r w:rsidRPr="00846956">
        <w:rPr>
          <w:color w:val="231F20"/>
          <w:w w:val="102"/>
          <w:lang w:val="de-DE"/>
        </w:rPr>
        <w:t>a</w:t>
      </w:r>
      <w:r w:rsidRPr="00846956">
        <w:rPr>
          <w:color w:val="231F20"/>
          <w:spacing w:val="1"/>
          <w:w w:val="101"/>
          <w:lang w:val="de-DE"/>
        </w:rPr>
        <w:t>g</w:t>
      </w:r>
      <w:r w:rsidRPr="00846956">
        <w:rPr>
          <w:color w:val="231F20"/>
          <w:w w:val="105"/>
          <w:lang w:val="de-DE"/>
        </w:rPr>
        <w:t>;</w:t>
      </w:r>
      <w:r w:rsidRPr="00846956">
        <w:rPr>
          <w:color w:val="231F20"/>
          <w:spacing w:val="3"/>
          <w:w w:val="102"/>
          <w:lang w:val="de-DE"/>
        </w:rPr>
        <w:t>a</w:t>
      </w:r>
      <w:r w:rsidRPr="00846956">
        <w:rPr>
          <w:color w:val="231F20"/>
          <w:spacing w:val="5"/>
          <w:w w:val="94"/>
          <w:lang w:val="de-DE"/>
        </w:rPr>
        <w:t>r</w:t>
      </w:r>
      <w:r w:rsidRPr="00846956">
        <w:rPr>
          <w:color w:val="231F20"/>
          <w:w w:val="98"/>
          <w:lang w:val="de-DE"/>
        </w:rPr>
        <w:t>t</w:t>
      </w:r>
      <w:r w:rsidRPr="00846956">
        <w:rPr>
          <w:color w:val="231F20"/>
          <w:spacing w:val="-13"/>
          <w:lang w:val="de-DE"/>
        </w:rPr>
        <w:t>2</w:t>
      </w:r>
      <w:r w:rsidRPr="00846956">
        <w:rPr>
          <w:color w:val="231F20"/>
          <w:spacing w:val="-10"/>
          <w:lang w:val="de-DE"/>
        </w:rPr>
        <w:t>5</w:t>
      </w:r>
      <w:r w:rsidRPr="00846956">
        <w:rPr>
          <w:color w:val="231F20"/>
          <w:spacing w:val="-1"/>
          <w:lang w:val="de-DE"/>
        </w:rPr>
        <w:t>66</w:t>
      </w:r>
      <w:r w:rsidRPr="00846956">
        <w:rPr>
          <w:color w:val="231F20"/>
          <w:w w:val="135"/>
          <w:lang w:val="de-DE"/>
        </w:rPr>
        <w:t>,</w:t>
      </w:r>
      <w:r w:rsidRPr="00846956">
        <w:rPr>
          <w:color w:val="231F20"/>
          <w:spacing w:val="-1"/>
          <w:lang w:val="de-DE"/>
        </w:rPr>
        <w:t>2</w:t>
      </w:r>
      <w:r w:rsidRPr="00846956">
        <w:rPr>
          <w:color w:val="231F20"/>
          <w:spacing w:val="2"/>
          <w:lang w:val="de-DE"/>
        </w:rPr>
        <w:t>2</w:t>
      </w:r>
      <w:r w:rsidRPr="00846956">
        <w:rPr>
          <w:color w:val="231F20"/>
          <w:spacing w:val="-1"/>
          <w:lang w:val="de-DE"/>
        </w:rPr>
        <w:t>0</w:t>
      </w:r>
      <w:r w:rsidRPr="00846956">
        <w:rPr>
          <w:color w:val="231F20"/>
          <w:spacing w:val="-9"/>
          <w:lang w:val="de-DE"/>
        </w:rPr>
        <w:t>8</w:t>
      </w:r>
      <w:r w:rsidRPr="00846956">
        <w:rPr>
          <w:color w:val="231F20"/>
          <w:spacing w:val="-5"/>
          <w:lang w:val="de-DE"/>
        </w:rPr>
        <w:t>1</w:t>
      </w:r>
      <w:r w:rsidRPr="00846956">
        <w:rPr>
          <w:color w:val="231F20"/>
          <w:spacing w:val="-3"/>
          <w:lang w:val="de-DE"/>
        </w:rPr>
        <w:t>7</w:t>
      </w:r>
      <w:r w:rsidRPr="00846956">
        <w:rPr>
          <w:color w:val="231F20"/>
          <w:lang w:val="de-DE"/>
        </w:rPr>
        <w:t>8</w:t>
      </w:r>
    </w:p>
    <w:p w14:paraId="6836BC1B" w14:textId="77777777" w:rsidR="002653E8" w:rsidRPr="00846956" w:rsidRDefault="003115E3">
      <w:pPr>
        <w:pStyle w:val="a3"/>
        <w:spacing w:before="166" w:line="244" w:lineRule="auto"/>
        <w:ind w:left="2461" w:right="1413" w:hanging="1134"/>
        <w:rPr>
          <w:lang w:val="de-DE"/>
        </w:rPr>
      </w:pPr>
      <w:r w:rsidRPr="00846956">
        <w:rPr>
          <w:color w:val="231F20"/>
          <w:w w:val="105"/>
          <w:lang w:val="de-DE"/>
        </w:rPr>
        <w:t>Deutsche</w:t>
      </w:r>
      <w:r w:rsidRPr="00846956">
        <w:rPr>
          <w:color w:val="231F20"/>
          <w:spacing w:val="-17"/>
          <w:w w:val="105"/>
          <w:lang w:val="de-DE"/>
        </w:rPr>
        <w:t xml:space="preserve"> </w:t>
      </w:r>
      <w:r w:rsidRPr="00846956">
        <w:rPr>
          <w:color w:val="231F20"/>
          <w:w w:val="105"/>
          <w:lang w:val="de-DE"/>
        </w:rPr>
        <w:t>Presse</w:t>
      </w:r>
      <w:r w:rsidRPr="00846956">
        <w:rPr>
          <w:color w:val="231F20"/>
          <w:spacing w:val="-17"/>
          <w:w w:val="105"/>
          <w:lang w:val="de-DE"/>
        </w:rPr>
        <w:t xml:space="preserve"> </w:t>
      </w:r>
      <w:r w:rsidRPr="00846956">
        <w:rPr>
          <w:color w:val="231F20"/>
          <w:w w:val="105"/>
          <w:lang w:val="de-DE"/>
        </w:rPr>
        <w:t>Agentur</w:t>
      </w:r>
      <w:r w:rsidRPr="00846956">
        <w:rPr>
          <w:color w:val="231F20"/>
          <w:spacing w:val="-17"/>
          <w:w w:val="105"/>
          <w:lang w:val="de-DE"/>
        </w:rPr>
        <w:t xml:space="preserve"> </w:t>
      </w:r>
      <w:r w:rsidRPr="00846956">
        <w:rPr>
          <w:color w:val="231F20"/>
          <w:w w:val="105"/>
          <w:lang w:val="de-DE"/>
        </w:rPr>
        <w:t>“Soziale</w:t>
      </w:r>
      <w:r w:rsidRPr="00846956">
        <w:rPr>
          <w:color w:val="231F20"/>
          <w:spacing w:val="-17"/>
          <w:w w:val="105"/>
          <w:lang w:val="de-DE"/>
        </w:rPr>
        <w:t xml:space="preserve"> </w:t>
      </w:r>
      <w:r w:rsidRPr="00846956">
        <w:rPr>
          <w:color w:val="231F20"/>
          <w:w w:val="105"/>
          <w:lang w:val="de-DE"/>
        </w:rPr>
        <w:t>Bewegungen</w:t>
      </w:r>
      <w:r w:rsidRPr="00846956">
        <w:rPr>
          <w:color w:val="231F20"/>
          <w:spacing w:val="-17"/>
          <w:w w:val="105"/>
          <w:lang w:val="de-DE"/>
        </w:rPr>
        <w:t xml:space="preserve"> </w:t>
      </w:r>
      <w:r w:rsidRPr="00846956">
        <w:rPr>
          <w:color w:val="231F20"/>
          <w:w w:val="105"/>
          <w:lang w:val="de-DE"/>
        </w:rPr>
        <w:t>Auf</w:t>
      </w:r>
      <w:r w:rsidRPr="00846956">
        <w:rPr>
          <w:color w:val="231F20"/>
          <w:spacing w:val="-17"/>
          <w:w w:val="105"/>
          <w:lang w:val="de-DE"/>
        </w:rPr>
        <w:t xml:space="preserve"> </w:t>
      </w:r>
      <w:r w:rsidRPr="00846956">
        <w:rPr>
          <w:color w:val="231F20"/>
          <w:w w:val="105"/>
          <w:lang w:val="de-DE"/>
        </w:rPr>
        <w:t>zum</w:t>
      </w:r>
      <w:r w:rsidRPr="00846956">
        <w:rPr>
          <w:color w:val="231F20"/>
          <w:spacing w:val="-17"/>
          <w:w w:val="105"/>
          <w:lang w:val="de-DE"/>
        </w:rPr>
        <w:t xml:space="preserve"> </w:t>
      </w:r>
      <w:r w:rsidRPr="00846956">
        <w:rPr>
          <w:color w:val="231F20"/>
          <w:w w:val="105"/>
          <w:lang w:val="de-DE"/>
        </w:rPr>
        <w:t>Strand</w:t>
      </w:r>
      <w:r w:rsidRPr="00846956">
        <w:rPr>
          <w:color w:val="231F20"/>
          <w:spacing w:val="-17"/>
          <w:w w:val="105"/>
          <w:lang w:val="de-DE"/>
        </w:rPr>
        <w:t xml:space="preserve"> </w:t>
      </w:r>
      <w:r w:rsidRPr="00846956">
        <w:rPr>
          <w:color w:val="231F20"/>
          <w:w w:val="105"/>
          <w:lang w:val="de-DE"/>
        </w:rPr>
        <w:t xml:space="preserve">von Tunix!” </w:t>
      </w:r>
      <w:r w:rsidRPr="00846956">
        <w:rPr>
          <w:i/>
          <w:color w:val="231F20"/>
          <w:w w:val="105"/>
          <w:lang w:val="de-DE"/>
        </w:rPr>
        <w:t xml:space="preserve">Spiegel, </w:t>
      </w:r>
      <w:r w:rsidRPr="00846956">
        <w:rPr>
          <w:color w:val="231F20"/>
          <w:w w:val="105"/>
          <w:lang w:val="de-DE"/>
        </w:rPr>
        <w:t xml:space="preserve">January </w:t>
      </w:r>
      <w:r w:rsidRPr="00846956">
        <w:rPr>
          <w:color w:val="231F20"/>
          <w:spacing w:val="-7"/>
          <w:w w:val="105"/>
          <w:lang w:val="de-DE"/>
        </w:rPr>
        <w:t>25,</w:t>
      </w:r>
      <w:r w:rsidRPr="00846956">
        <w:rPr>
          <w:color w:val="231F20"/>
          <w:spacing w:val="-2"/>
          <w:w w:val="105"/>
          <w:lang w:val="de-DE"/>
        </w:rPr>
        <w:t xml:space="preserve"> </w:t>
      </w:r>
      <w:r w:rsidRPr="00846956">
        <w:rPr>
          <w:color w:val="231F20"/>
          <w:w w:val="105"/>
          <w:lang w:val="de-DE"/>
        </w:rPr>
        <w:t>2008.</w:t>
      </w:r>
    </w:p>
    <w:p w14:paraId="16DB5697" w14:textId="77777777" w:rsidR="002653E8" w:rsidRPr="00846956" w:rsidRDefault="003115E3">
      <w:pPr>
        <w:pStyle w:val="a3"/>
        <w:spacing w:before="161" w:line="244" w:lineRule="auto"/>
        <w:ind w:left="2461" w:right="1581" w:hanging="1135"/>
        <w:rPr>
          <w:lang w:val="de-DE"/>
        </w:rPr>
      </w:pPr>
      <w:r w:rsidRPr="00846956">
        <w:rPr>
          <w:color w:val="231F20"/>
          <w:lang w:val="de-DE"/>
        </w:rPr>
        <w:t xml:space="preserve">---------“Stasi soll </w:t>
      </w:r>
      <w:r w:rsidR="00C507A5" w:rsidRPr="00846956">
        <w:rPr>
          <w:color w:val="231F20"/>
          <w:lang w:val="de-DE"/>
        </w:rPr>
        <w:t>red army faction</w:t>
      </w:r>
      <w:r w:rsidRPr="00846956">
        <w:rPr>
          <w:color w:val="231F20"/>
          <w:lang w:val="de-DE"/>
        </w:rPr>
        <w:t xml:space="preserve"> über Razzien informiert haben,” S</w:t>
      </w:r>
      <w:r w:rsidRPr="00846956">
        <w:rPr>
          <w:color w:val="231F20"/>
          <w:w w:val="91"/>
          <w:lang w:val="de-DE"/>
        </w:rPr>
        <w:t>e</w:t>
      </w:r>
      <w:r w:rsidRPr="00846956">
        <w:rPr>
          <w:color w:val="231F20"/>
          <w:w w:val="99"/>
          <w:lang w:val="de-DE"/>
        </w:rPr>
        <w:t>pt</w:t>
      </w:r>
      <w:r w:rsidRPr="00846956">
        <w:rPr>
          <w:color w:val="231F20"/>
          <w:w w:val="91"/>
          <w:lang w:val="de-DE"/>
        </w:rPr>
        <w:t>e</w:t>
      </w:r>
      <w:r w:rsidRPr="00846956">
        <w:rPr>
          <w:color w:val="231F20"/>
          <w:w w:val="99"/>
          <w:lang w:val="de-DE"/>
        </w:rPr>
        <w:t>m</w:t>
      </w:r>
      <w:r w:rsidRPr="00846956">
        <w:rPr>
          <w:color w:val="231F20"/>
          <w:w w:val="101"/>
          <w:lang w:val="de-DE"/>
        </w:rPr>
        <w:t>b</w:t>
      </w:r>
      <w:r w:rsidRPr="00846956">
        <w:rPr>
          <w:color w:val="231F20"/>
          <w:w w:val="92"/>
          <w:lang w:val="de-DE"/>
        </w:rPr>
        <w:t>er</w:t>
      </w:r>
      <w:r w:rsidRPr="00846956">
        <w:rPr>
          <w:color w:val="231F20"/>
          <w:lang w:val="de-DE"/>
        </w:rPr>
        <w:t xml:space="preserve"> 29</w:t>
      </w:r>
      <w:r w:rsidRPr="00846956">
        <w:rPr>
          <w:color w:val="231F20"/>
          <w:w w:val="135"/>
          <w:lang w:val="de-DE"/>
        </w:rPr>
        <w:t>,</w:t>
      </w:r>
      <w:r w:rsidRPr="00846956">
        <w:rPr>
          <w:color w:val="231F20"/>
          <w:lang w:val="de-DE"/>
        </w:rPr>
        <w:t xml:space="preserve"> 2007</w:t>
      </w:r>
      <w:r w:rsidRPr="00846956">
        <w:rPr>
          <w:color w:val="231F20"/>
          <w:w w:val="135"/>
          <w:lang w:val="de-DE"/>
        </w:rPr>
        <w:t>.</w:t>
      </w:r>
      <w:r w:rsidRPr="00846956">
        <w:rPr>
          <w:color w:val="231F20"/>
          <w:lang w:val="de-DE"/>
        </w:rPr>
        <w:t xml:space="preserve"> h</w:t>
      </w:r>
      <w:r w:rsidRPr="00846956">
        <w:rPr>
          <w:color w:val="231F20"/>
          <w:w w:val="98"/>
          <w:lang w:val="de-DE"/>
        </w:rPr>
        <w:t>tt</w:t>
      </w:r>
      <w:r w:rsidRPr="00846956">
        <w:rPr>
          <w:color w:val="231F20"/>
          <w:w w:val="99"/>
          <w:lang w:val="de-DE"/>
        </w:rPr>
        <w:t>p</w:t>
      </w:r>
      <w:r w:rsidRPr="00846956">
        <w:rPr>
          <w:color w:val="231F20"/>
          <w:w w:val="105"/>
          <w:lang w:val="de-DE"/>
        </w:rPr>
        <w:t>:</w:t>
      </w:r>
      <w:r w:rsidRPr="00846956">
        <w:rPr>
          <w:color w:val="231F20"/>
          <w:w w:val="56"/>
          <w:lang w:val="de-DE"/>
        </w:rPr>
        <w:t>//</w:t>
      </w:r>
      <w:r w:rsidRPr="00846956">
        <w:rPr>
          <w:color w:val="231F20"/>
          <w:lang w:val="de-DE"/>
        </w:rPr>
        <w:t>www</w:t>
      </w:r>
      <w:r w:rsidRPr="00846956">
        <w:rPr>
          <w:color w:val="231F20"/>
          <w:w w:val="135"/>
          <w:lang w:val="de-DE"/>
        </w:rPr>
        <w:t>.</w:t>
      </w:r>
      <w:r w:rsidRPr="00846956">
        <w:rPr>
          <w:color w:val="231F20"/>
          <w:w w:val="99"/>
          <w:lang w:val="de-DE"/>
        </w:rPr>
        <w:t>m</w:t>
      </w:r>
      <w:r w:rsidRPr="00846956">
        <w:rPr>
          <w:color w:val="231F20"/>
          <w:w w:val="104"/>
          <w:lang w:val="de-DE"/>
        </w:rPr>
        <w:t>o</w:t>
      </w:r>
      <w:r w:rsidRPr="00846956">
        <w:rPr>
          <w:color w:val="231F20"/>
          <w:w w:val="99"/>
          <w:lang w:val="de-DE"/>
        </w:rPr>
        <w:t>n</w:t>
      </w:r>
      <w:r w:rsidRPr="00846956">
        <w:rPr>
          <w:color w:val="231F20"/>
          <w:w w:val="90"/>
          <w:lang w:val="de-DE"/>
        </w:rPr>
        <w:t>s</w:t>
      </w:r>
      <w:r w:rsidRPr="00846956">
        <w:rPr>
          <w:color w:val="231F20"/>
          <w:w w:val="98"/>
          <w:lang w:val="de-DE"/>
        </w:rPr>
        <w:t>t</w:t>
      </w:r>
      <w:r w:rsidRPr="00846956">
        <w:rPr>
          <w:color w:val="231F20"/>
          <w:w w:val="92"/>
          <w:lang w:val="de-DE"/>
        </w:rPr>
        <w:t>er</w:t>
      </w:r>
      <w:r w:rsidRPr="00846956">
        <w:rPr>
          <w:color w:val="231F20"/>
          <w:w w:val="90"/>
          <w:lang w:val="de-DE"/>
        </w:rPr>
        <w:t>s</w:t>
      </w:r>
      <w:r w:rsidRPr="00846956">
        <w:rPr>
          <w:color w:val="231F20"/>
          <w:w w:val="102"/>
          <w:lang w:val="de-DE"/>
        </w:rPr>
        <w:t>a</w:t>
      </w:r>
      <w:r w:rsidRPr="00846956">
        <w:rPr>
          <w:color w:val="231F20"/>
          <w:w w:val="99"/>
          <w:lang w:val="de-DE"/>
        </w:rPr>
        <w:t>n</w:t>
      </w:r>
      <w:r w:rsidRPr="00846956">
        <w:rPr>
          <w:color w:val="231F20"/>
          <w:lang w:val="de-DE"/>
        </w:rPr>
        <w:t>dc</w:t>
      </w:r>
      <w:r w:rsidRPr="00846956">
        <w:rPr>
          <w:color w:val="231F20"/>
          <w:w w:val="94"/>
          <w:lang w:val="de-DE"/>
        </w:rPr>
        <w:t>r</w:t>
      </w:r>
      <w:r w:rsidRPr="00846956">
        <w:rPr>
          <w:color w:val="231F20"/>
          <w:lang w:val="de-DE"/>
        </w:rPr>
        <w:t>i</w:t>
      </w:r>
      <w:r w:rsidRPr="00846956">
        <w:rPr>
          <w:color w:val="231F20"/>
          <w:w w:val="98"/>
          <w:lang w:val="de-DE"/>
        </w:rPr>
        <w:t>t</w:t>
      </w:r>
      <w:r w:rsidRPr="00846956">
        <w:rPr>
          <w:color w:val="231F20"/>
          <w:lang w:val="de-DE"/>
        </w:rPr>
        <w:t>ic</w:t>
      </w:r>
      <w:r w:rsidRPr="00846956">
        <w:rPr>
          <w:color w:val="231F20"/>
          <w:w w:val="90"/>
          <w:lang w:val="de-DE"/>
        </w:rPr>
        <w:t>s</w:t>
      </w:r>
      <w:r w:rsidRPr="00846956">
        <w:rPr>
          <w:color w:val="231F20"/>
          <w:w w:val="135"/>
          <w:lang w:val="de-DE"/>
        </w:rPr>
        <w:t xml:space="preserve">. </w:t>
      </w:r>
      <w:r w:rsidRPr="00846956">
        <w:rPr>
          <w:color w:val="231F20"/>
          <w:lang w:val="de-DE"/>
        </w:rPr>
        <w:t>d</w:t>
      </w:r>
      <w:r w:rsidRPr="00846956">
        <w:rPr>
          <w:color w:val="231F20"/>
          <w:w w:val="91"/>
          <w:lang w:val="de-DE"/>
        </w:rPr>
        <w:t>e</w:t>
      </w:r>
      <w:r w:rsidRPr="00846956">
        <w:rPr>
          <w:color w:val="231F20"/>
          <w:w w:val="79"/>
          <w:lang w:val="de-DE"/>
        </w:rPr>
        <w:t>/a</w:t>
      </w:r>
      <w:r w:rsidRPr="00846956">
        <w:rPr>
          <w:color w:val="231F20"/>
          <w:w w:val="94"/>
          <w:lang w:val="de-DE"/>
        </w:rPr>
        <w:t>r</w:t>
      </w:r>
      <w:r w:rsidRPr="00846956">
        <w:rPr>
          <w:color w:val="231F20"/>
          <w:w w:val="98"/>
          <w:lang w:val="de-DE"/>
        </w:rPr>
        <w:t>t</w:t>
      </w:r>
      <w:r w:rsidRPr="00846956">
        <w:rPr>
          <w:color w:val="231F20"/>
          <w:lang w:val="de-DE"/>
        </w:rPr>
        <w:t>i</w:t>
      </w:r>
      <w:r w:rsidRPr="00846956">
        <w:rPr>
          <w:color w:val="231F20"/>
          <w:w w:val="106"/>
          <w:lang w:val="de-DE"/>
        </w:rPr>
        <w:t>k</w:t>
      </w:r>
      <w:r w:rsidRPr="00846956">
        <w:rPr>
          <w:color w:val="231F20"/>
          <w:w w:val="91"/>
          <w:lang w:val="de-DE"/>
        </w:rPr>
        <w:t>e</w:t>
      </w:r>
      <w:r w:rsidRPr="00846956">
        <w:rPr>
          <w:color w:val="231F20"/>
          <w:w w:val="102"/>
          <w:lang w:val="de-DE"/>
        </w:rPr>
        <w:t>l</w:t>
      </w:r>
      <w:r w:rsidRPr="00846956">
        <w:rPr>
          <w:color w:val="231F20"/>
          <w:w w:val="56"/>
          <w:lang w:val="de-DE"/>
        </w:rPr>
        <w:t>/</w:t>
      </w:r>
      <w:r w:rsidRPr="00846956">
        <w:rPr>
          <w:color w:val="231F20"/>
          <w:lang w:val="de-DE"/>
        </w:rPr>
        <w:t>200739</w:t>
      </w:r>
      <w:r w:rsidRPr="00846956">
        <w:rPr>
          <w:color w:val="231F20"/>
          <w:w w:val="56"/>
          <w:lang w:val="de-DE"/>
        </w:rPr>
        <w:t>/</w:t>
      </w:r>
      <w:r w:rsidRPr="00846956">
        <w:rPr>
          <w:color w:val="231F20"/>
          <w:w w:val="102"/>
          <w:lang w:val="de-DE"/>
        </w:rPr>
        <w:t>a</w:t>
      </w:r>
      <w:r w:rsidRPr="00846956">
        <w:rPr>
          <w:color w:val="231F20"/>
          <w:w w:val="94"/>
          <w:lang w:val="de-DE"/>
        </w:rPr>
        <w:t>r</w:t>
      </w:r>
      <w:r w:rsidRPr="00846956">
        <w:rPr>
          <w:color w:val="231F20"/>
          <w:w w:val="98"/>
          <w:lang w:val="de-DE"/>
        </w:rPr>
        <w:t>t</w:t>
      </w:r>
      <w:r w:rsidRPr="00846956">
        <w:rPr>
          <w:color w:val="231F20"/>
          <w:lang w:val="de-DE"/>
        </w:rPr>
        <w:t>icl</w:t>
      </w:r>
      <w:r w:rsidRPr="00846956">
        <w:rPr>
          <w:color w:val="231F20"/>
          <w:w w:val="91"/>
          <w:lang w:val="de-DE"/>
        </w:rPr>
        <w:t>e</w:t>
      </w:r>
      <w:r w:rsidRPr="00846956">
        <w:rPr>
          <w:color w:val="231F20"/>
          <w:w w:val="134"/>
          <w:lang w:val="de-DE"/>
        </w:rPr>
        <w:t>_</w:t>
      </w:r>
      <w:r w:rsidRPr="00846956">
        <w:rPr>
          <w:color w:val="231F20"/>
          <w:lang w:val="de-DE"/>
        </w:rPr>
        <w:t>31643</w:t>
      </w:r>
      <w:r w:rsidRPr="00846956">
        <w:rPr>
          <w:color w:val="231F20"/>
          <w:w w:val="109"/>
          <w:lang w:val="de-DE"/>
        </w:rPr>
        <w:t>.p</w:t>
      </w:r>
      <w:r w:rsidRPr="00846956">
        <w:rPr>
          <w:color w:val="231F20"/>
          <w:lang w:val="de-DE"/>
        </w:rPr>
        <w:t>hp</w:t>
      </w:r>
      <w:r w:rsidRPr="00846956">
        <w:rPr>
          <w:color w:val="231F20"/>
          <w:w w:val="56"/>
          <w:lang w:val="de-DE"/>
        </w:rPr>
        <w:t>/</w:t>
      </w:r>
      <w:r w:rsidRPr="00846956">
        <w:rPr>
          <w:i/>
          <w:color w:val="231F20"/>
          <w:w w:val="103"/>
          <w:lang w:val="de-DE"/>
        </w:rPr>
        <w:t>S</w:t>
      </w:r>
      <w:r w:rsidRPr="00846956">
        <w:rPr>
          <w:i/>
          <w:color w:val="231F20"/>
          <w:w w:val="96"/>
          <w:lang w:val="de-DE"/>
        </w:rPr>
        <w:t>t</w:t>
      </w:r>
      <w:r w:rsidRPr="00846956">
        <w:rPr>
          <w:i/>
          <w:color w:val="231F20"/>
          <w:w w:val="95"/>
          <w:lang w:val="de-DE"/>
        </w:rPr>
        <w:t>a</w:t>
      </w:r>
      <w:r w:rsidRPr="00846956">
        <w:rPr>
          <w:i/>
          <w:color w:val="231F20"/>
          <w:w w:val="101"/>
          <w:lang w:val="de-DE"/>
        </w:rPr>
        <w:t>s</w:t>
      </w:r>
      <w:r w:rsidRPr="00846956">
        <w:rPr>
          <w:i/>
          <w:color w:val="231F20"/>
          <w:w w:val="102"/>
          <w:lang w:val="de-DE"/>
        </w:rPr>
        <w:t>i</w:t>
      </w:r>
      <w:r w:rsidRPr="00846956">
        <w:rPr>
          <w:color w:val="231F20"/>
          <w:lang w:val="de-DE"/>
        </w:rPr>
        <w:t>-</w:t>
      </w:r>
      <w:r w:rsidRPr="00846956">
        <w:rPr>
          <w:color w:val="231F20"/>
          <w:w w:val="90"/>
          <w:lang w:val="de-DE"/>
        </w:rPr>
        <w:t>s</w:t>
      </w:r>
      <w:r w:rsidRPr="00846956">
        <w:rPr>
          <w:color w:val="231F20"/>
          <w:w w:val="103"/>
          <w:lang w:val="de-DE"/>
        </w:rPr>
        <w:t>ol</w:t>
      </w:r>
      <w:r w:rsidRPr="00846956">
        <w:rPr>
          <w:color w:val="231F20"/>
          <w:w w:val="102"/>
          <w:lang w:val="de-DE"/>
        </w:rPr>
        <w:t>l</w:t>
      </w:r>
      <w:r w:rsidRPr="00846956">
        <w:rPr>
          <w:color w:val="231F20"/>
          <w:lang w:val="de-DE"/>
        </w:rPr>
        <w:t>-</w:t>
      </w:r>
      <w:r w:rsidR="00C507A5" w:rsidRPr="00846956">
        <w:rPr>
          <w:color w:val="231F20"/>
          <w:w w:val="116"/>
          <w:lang w:val="de-DE"/>
        </w:rPr>
        <w:t>red army faction</w:t>
      </w:r>
      <w:r w:rsidRPr="00846956">
        <w:rPr>
          <w:color w:val="231F20"/>
          <w:lang w:val="de-DE"/>
        </w:rPr>
        <w:t>-</w:t>
      </w:r>
    </w:p>
    <w:p w14:paraId="77959F37" w14:textId="77777777" w:rsidR="002653E8" w:rsidRPr="00846956" w:rsidRDefault="003115E3">
      <w:pPr>
        <w:pStyle w:val="a3"/>
        <w:spacing w:before="3"/>
        <w:ind w:left="2462"/>
        <w:rPr>
          <w:lang w:val="de-DE"/>
        </w:rPr>
      </w:pPr>
      <w:r w:rsidRPr="00846956">
        <w:rPr>
          <w:color w:val="231F20"/>
          <w:w w:val="105"/>
          <w:lang w:val="de-DE"/>
        </w:rPr>
        <w:t>%C3%BCber-Razzien-informiert-haben.</w:t>
      </w:r>
    </w:p>
    <w:p w14:paraId="420A024F" w14:textId="77777777" w:rsidR="002653E8" w:rsidRPr="00846956" w:rsidRDefault="003115E3">
      <w:pPr>
        <w:spacing w:before="165" w:line="244" w:lineRule="auto"/>
        <w:ind w:left="2461" w:right="1580" w:hanging="1134"/>
        <w:rPr>
          <w:sz w:val="20"/>
          <w:lang w:val="de-DE"/>
        </w:rPr>
      </w:pPr>
      <w:r w:rsidRPr="00846956">
        <w:rPr>
          <w:color w:val="231F20"/>
          <w:w w:val="105"/>
          <w:sz w:val="20"/>
          <w:lang w:val="de-DE"/>
        </w:rPr>
        <w:t xml:space="preserve">---------“Wieder Anschlag auf einen Richter.” </w:t>
      </w:r>
      <w:r w:rsidRPr="00846956">
        <w:rPr>
          <w:i/>
          <w:color w:val="231F20"/>
          <w:w w:val="105"/>
          <w:sz w:val="20"/>
          <w:lang w:val="de-DE"/>
        </w:rPr>
        <w:t xml:space="preserve">Frankfurter Allgemeine Zeitung, </w:t>
      </w:r>
      <w:r w:rsidRPr="00846956">
        <w:rPr>
          <w:color w:val="231F20"/>
          <w:w w:val="105"/>
          <w:sz w:val="20"/>
          <w:lang w:val="de-DE"/>
        </w:rPr>
        <w:t>November 21, 1974.</w:t>
      </w:r>
    </w:p>
    <w:p w14:paraId="150757F5" w14:textId="77777777" w:rsidR="002653E8" w:rsidRDefault="003115E3">
      <w:pPr>
        <w:pStyle w:val="a3"/>
        <w:spacing w:before="162" w:line="244" w:lineRule="auto"/>
        <w:ind w:left="2461" w:right="1171" w:hanging="1134"/>
      </w:pPr>
      <w:r w:rsidRPr="00846956">
        <w:rPr>
          <w:i/>
          <w:color w:val="231F20"/>
          <w:w w:val="105"/>
          <w:lang w:val="de-DE"/>
        </w:rPr>
        <w:t xml:space="preserve">Deutsche Welle. </w:t>
      </w:r>
      <w:r>
        <w:rPr>
          <w:color w:val="231F20"/>
          <w:w w:val="105"/>
        </w:rPr>
        <w:t xml:space="preserve">“Journalists Unearth Rare Terrorism Trial Tapes </w:t>
      </w:r>
      <w:r>
        <w:rPr>
          <w:color w:val="231F20"/>
          <w:w w:val="109"/>
        </w:rPr>
        <w:t>f</w:t>
      </w:r>
      <w:r>
        <w:rPr>
          <w:color w:val="231F20"/>
          <w:w w:val="94"/>
        </w:rPr>
        <w:t>r</w:t>
      </w:r>
      <w:r>
        <w:rPr>
          <w:color w:val="231F20"/>
          <w:w w:val="104"/>
        </w:rPr>
        <w:t>o</w:t>
      </w:r>
      <w:r>
        <w:rPr>
          <w:color w:val="231F20"/>
          <w:w w:val="99"/>
        </w:rPr>
        <w:t xml:space="preserve">m </w:t>
      </w:r>
      <w:r>
        <w:rPr>
          <w:color w:val="231F20"/>
        </w:rPr>
        <w:t>1970</w:t>
      </w:r>
      <w:r>
        <w:rPr>
          <w:color w:val="231F20"/>
          <w:w w:val="90"/>
        </w:rPr>
        <w:t>s</w:t>
      </w:r>
      <w:r>
        <w:rPr>
          <w:color w:val="231F20"/>
          <w:w w:val="135"/>
        </w:rPr>
        <w:t>.</w:t>
      </w:r>
      <w:r>
        <w:rPr>
          <w:color w:val="231F20"/>
          <w:w w:val="148"/>
        </w:rPr>
        <w:t>”</w:t>
      </w:r>
      <w:r>
        <w:rPr>
          <w:color w:val="231F20"/>
        </w:rPr>
        <w:t xml:space="preserve"> </w:t>
      </w:r>
      <w:r>
        <w:rPr>
          <w:color w:val="231F20"/>
          <w:w w:val="126"/>
        </w:rPr>
        <w:t>J</w:t>
      </w:r>
      <w:r>
        <w:rPr>
          <w:color w:val="231F20"/>
        </w:rPr>
        <w:t>u</w:t>
      </w:r>
      <w:r>
        <w:rPr>
          <w:color w:val="231F20"/>
          <w:w w:val="102"/>
        </w:rPr>
        <w:t>l</w:t>
      </w:r>
      <w:r>
        <w:rPr>
          <w:color w:val="231F20"/>
          <w:w w:val="99"/>
        </w:rPr>
        <w:t>y</w:t>
      </w:r>
      <w:r>
        <w:rPr>
          <w:color w:val="231F20"/>
        </w:rPr>
        <w:t xml:space="preserve"> 31</w:t>
      </w:r>
      <w:r>
        <w:rPr>
          <w:color w:val="231F20"/>
          <w:w w:val="135"/>
        </w:rPr>
        <w:t>,</w:t>
      </w:r>
      <w:r>
        <w:rPr>
          <w:color w:val="231F20"/>
        </w:rPr>
        <w:t xml:space="preserve"> 2007</w:t>
      </w:r>
      <w:r>
        <w:rPr>
          <w:color w:val="231F20"/>
          <w:w w:val="135"/>
        </w:rPr>
        <w:t>.</w:t>
      </w:r>
      <w:r>
        <w:rPr>
          <w:color w:val="231F20"/>
        </w:rPr>
        <w:t xml:space="preserve"> </w:t>
      </w:r>
      <w:hyperlink r:id="rId602">
        <w:r>
          <w:rPr>
            <w:color w:val="231F20"/>
            <w:w w:val="99"/>
          </w:rPr>
          <w:t>ht</w:t>
        </w:r>
        <w:r>
          <w:rPr>
            <w:color w:val="231F20"/>
            <w:w w:val="98"/>
          </w:rPr>
          <w:t>t</w:t>
        </w:r>
        <w:r>
          <w:rPr>
            <w:color w:val="231F20"/>
            <w:w w:val="99"/>
          </w:rPr>
          <w:t>p</w:t>
        </w:r>
        <w:r>
          <w:rPr>
            <w:color w:val="231F20"/>
            <w:w w:val="105"/>
          </w:rPr>
          <w:t>:</w:t>
        </w:r>
        <w:r>
          <w:rPr>
            <w:color w:val="231F20"/>
            <w:w w:val="56"/>
          </w:rPr>
          <w:t>//</w:t>
        </w:r>
        <w:r>
          <w:rPr>
            <w:color w:val="231F20"/>
          </w:rPr>
          <w:t>www</w:t>
        </w:r>
        <w:r>
          <w:rPr>
            <w:color w:val="231F20"/>
            <w:w w:val="135"/>
          </w:rPr>
          <w:t>.</w:t>
        </w:r>
        <w:r>
          <w:rPr>
            <w:color w:val="231F20"/>
          </w:rPr>
          <w:t>dw-w</w:t>
        </w:r>
        <w:r>
          <w:rPr>
            <w:color w:val="231F20"/>
            <w:w w:val="104"/>
          </w:rPr>
          <w:t>o</w:t>
        </w:r>
        <w:r>
          <w:rPr>
            <w:color w:val="231F20"/>
            <w:w w:val="94"/>
          </w:rPr>
          <w:t>r</w:t>
        </w:r>
        <w:r>
          <w:rPr>
            <w:color w:val="231F20"/>
          </w:rPr>
          <w:t>ld</w:t>
        </w:r>
        <w:r>
          <w:rPr>
            <w:color w:val="231F20"/>
            <w:w w:val="135"/>
          </w:rPr>
          <w:t>.</w:t>
        </w:r>
        <w:r>
          <w:rPr>
            <w:color w:val="231F20"/>
          </w:rPr>
          <w:t>d</w:t>
        </w:r>
        <w:r>
          <w:rPr>
            <w:color w:val="231F20"/>
            <w:w w:val="91"/>
          </w:rPr>
          <w:t>e</w:t>
        </w:r>
        <w:r>
          <w:rPr>
            <w:color w:val="231F20"/>
            <w:w w:val="56"/>
          </w:rPr>
          <w:t>/</w:t>
        </w:r>
        <w:r>
          <w:rPr>
            <w:color w:val="231F20"/>
          </w:rPr>
          <w:t>d</w:t>
        </w:r>
        <w:r>
          <w:rPr>
            <w:color w:val="231F20"/>
            <w:w w:val="83"/>
          </w:rPr>
          <w:t>w/</w:t>
        </w:r>
      </w:hyperlink>
      <w:r>
        <w:rPr>
          <w:color w:val="231F20"/>
          <w:w w:val="83"/>
        </w:rPr>
        <w:t xml:space="preserve"> </w:t>
      </w:r>
      <w:r>
        <w:rPr>
          <w:color w:val="231F20"/>
          <w:w w:val="102"/>
        </w:rPr>
        <w:t>a</w:t>
      </w:r>
      <w:r>
        <w:rPr>
          <w:color w:val="231F20"/>
          <w:w w:val="94"/>
        </w:rPr>
        <w:t>r</w:t>
      </w:r>
      <w:r>
        <w:rPr>
          <w:color w:val="231F20"/>
          <w:w w:val="98"/>
        </w:rPr>
        <w:t>t</w:t>
      </w:r>
      <w:r>
        <w:rPr>
          <w:color w:val="231F20"/>
        </w:rPr>
        <w:t>icl</w:t>
      </w:r>
      <w:r>
        <w:rPr>
          <w:color w:val="231F20"/>
          <w:w w:val="91"/>
        </w:rPr>
        <w:t>e</w:t>
      </w:r>
      <w:r>
        <w:rPr>
          <w:color w:val="231F20"/>
          <w:w w:val="56"/>
        </w:rPr>
        <w:t>/</w:t>
      </w:r>
      <w:r>
        <w:rPr>
          <w:color w:val="231F20"/>
        </w:rPr>
        <w:t>0</w:t>
      </w:r>
      <w:r>
        <w:rPr>
          <w:color w:val="231F20"/>
          <w:w w:val="135"/>
        </w:rPr>
        <w:t>,,</w:t>
      </w:r>
      <w:r>
        <w:rPr>
          <w:color w:val="231F20"/>
        </w:rPr>
        <w:t>2715909</w:t>
      </w:r>
      <w:r>
        <w:rPr>
          <w:color w:val="231F20"/>
          <w:w w:val="135"/>
        </w:rPr>
        <w:t>,</w:t>
      </w:r>
      <w:r>
        <w:rPr>
          <w:color w:val="231F20"/>
        </w:rPr>
        <w:t>00</w:t>
      </w:r>
      <w:r>
        <w:rPr>
          <w:color w:val="231F20"/>
          <w:w w:val="135"/>
        </w:rPr>
        <w:t>.</w:t>
      </w:r>
      <w:r>
        <w:rPr>
          <w:color w:val="231F20"/>
          <w:w w:val="99"/>
        </w:rPr>
        <w:t>htm</w:t>
      </w:r>
      <w:r>
        <w:rPr>
          <w:color w:val="231F20"/>
          <w:w w:val="102"/>
        </w:rPr>
        <w:t>l</w:t>
      </w:r>
      <w:r>
        <w:rPr>
          <w:color w:val="231F20"/>
          <w:w w:val="135"/>
        </w:rPr>
        <w:t>.</w:t>
      </w:r>
    </w:p>
    <w:p w14:paraId="55C621E0" w14:textId="77777777" w:rsidR="002653E8" w:rsidRDefault="003115E3">
      <w:pPr>
        <w:pStyle w:val="a3"/>
        <w:spacing w:before="163" w:line="244" w:lineRule="auto"/>
        <w:ind w:left="2461" w:right="1190" w:hanging="1134"/>
      </w:pPr>
      <w:r>
        <w:rPr>
          <w:color w:val="231F20"/>
        </w:rPr>
        <w:t>---------</w:t>
      </w:r>
      <w:r>
        <w:rPr>
          <w:color w:val="231F20"/>
          <w:w w:val="148"/>
        </w:rPr>
        <w:t>“</w:t>
      </w:r>
      <w:r>
        <w:rPr>
          <w:color w:val="231F20"/>
          <w:w w:val="122"/>
        </w:rPr>
        <w:t>M</w:t>
      </w:r>
      <w:r>
        <w:rPr>
          <w:color w:val="231F20"/>
          <w:w w:val="99"/>
        </w:rPr>
        <w:t>y</w:t>
      </w:r>
      <w:r>
        <w:rPr>
          <w:color w:val="231F20"/>
        </w:rPr>
        <w:t xml:space="preserve"> </w:t>
      </w:r>
      <w:r>
        <w:rPr>
          <w:color w:val="231F20"/>
          <w:w w:val="122"/>
        </w:rPr>
        <w:t>M</w:t>
      </w:r>
      <w:r>
        <w:rPr>
          <w:color w:val="231F20"/>
          <w:w w:val="104"/>
        </w:rPr>
        <w:t>o</w:t>
      </w:r>
      <w:r>
        <w:rPr>
          <w:color w:val="231F20"/>
          <w:w w:val="98"/>
        </w:rPr>
        <w:t>t</w:t>
      </w:r>
      <w:r>
        <w:rPr>
          <w:color w:val="231F20"/>
        </w:rPr>
        <w:t>h</w:t>
      </w:r>
      <w:r>
        <w:rPr>
          <w:color w:val="231F20"/>
          <w:w w:val="92"/>
        </w:rPr>
        <w:t>er</w:t>
      </w:r>
      <w:r>
        <w:rPr>
          <w:color w:val="231F20"/>
          <w:w w:val="135"/>
        </w:rPr>
        <w:t>,</w:t>
      </w:r>
      <w:r>
        <w:rPr>
          <w:color w:val="231F20"/>
        </w:rPr>
        <w:t xml:space="preserve"> </w:t>
      </w:r>
      <w:r>
        <w:rPr>
          <w:color w:val="231F20"/>
          <w:w w:val="112"/>
        </w:rPr>
        <w:t>T</w:t>
      </w:r>
      <w:r>
        <w:rPr>
          <w:color w:val="231F20"/>
        </w:rPr>
        <w:t>h</w:t>
      </w:r>
      <w:r>
        <w:rPr>
          <w:color w:val="231F20"/>
          <w:w w:val="91"/>
        </w:rPr>
        <w:t>e</w:t>
      </w:r>
      <w:r>
        <w:rPr>
          <w:color w:val="231F20"/>
        </w:rPr>
        <w:t xml:space="preserve"> </w:t>
      </w:r>
      <w:r>
        <w:rPr>
          <w:color w:val="231F20"/>
          <w:w w:val="112"/>
        </w:rPr>
        <w:t>T</w:t>
      </w:r>
      <w:r>
        <w:rPr>
          <w:color w:val="231F20"/>
          <w:w w:val="92"/>
        </w:rPr>
        <w:t>er</w:t>
      </w:r>
      <w:r>
        <w:rPr>
          <w:color w:val="231F20"/>
          <w:w w:val="94"/>
        </w:rPr>
        <w:t>r</w:t>
      </w:r>
      <w:r>
        <w:rPr>
          <w:color w:val="231F20"/>
          <w:w w:val="104"/>
        </w:rPr>
        <w:t>o</w:t>
      </w:r>
      <w:r>
        <w:rPr>
          <w:color w:val="231F20"/>
          <w:w w:val="94"/>
        </w:rPr>
        <w:t>r</w:t>
      </w:r>
      <w:r>
        <w:rPr>
          <w:color w:val="231F20"/>
        </w:rPr>
        <w:t>i</w:t>
      </w:r>
      <w:r>
        <w:rPr>
          <w:color w:val="231F20"/>
          <w:w w:val="90"/>
        </w:rPr>
        <w:t>s</w:t>
      </w:r>
      <w:r>
        <w:rPr>
          <w:color w:val="231F20"/>
          <w:w w:val="98"/>
        </w:rPr>
        <w:t>t</w:t>
      </w:r>
      <w:r>
        <w:rPr>
          <w:color w:val="231F20"/>
          <w:w w:val="135"/>
        </w:rPr>
        <w:t>.</w:t>
      </w:r>
      <w:r>
        <w:rPr>
          <w:color w:val="231F20"/>
          <w:w w:val="148"/>
        </w:rPr>
        <w:t>”</w:t>
      </w:r>
      <w:r>
        <w:rPr>
          <w:color w:val="231F20"/>
        </w:rPr>
        <w:t xml:space="preserve"> </w:t>
      </w:r>
      <w:r>
        <w:rPr>
          <w:color w:val="231F20"/>
          <w:w w:val="122"/>
        </w:rPr>
        <w:t>M</w:t>
      </w:r>
      <w:r>
        <w:rPr>
          <w:color w:val="231F20"/>
          <w:w w:val="102"/>
        </w:rPr>
        <w:t>a</w:t>
      </w:r>
      <w:r>
        <w:rPr>
          <w:color w:val="231F20"/>
          <w:w w:val="94"/>
        </w:rPr>
        <w:t>r</w:t>
      </w:r>
      <w:r>
        <w:rPr>
          <w:color w:val="231F20"/>
        </w:rPr>
        <w:t>ch 14</w:t>
      </w:r>
      <w:r>
        <w:rPr>
          <w:color w:val="231F20"/>
          <w:w w:val="135"/>
        </w:rPr>
        <w:t>,</w:t>
      </w:r>
      <w:r>
        <w:rPr>
          <w:color w:val="231F20"/>
        </w:rPr>
        <w:t xml:space="preserve"> 2006</w:t>
      </w:r>
      <w:r>
        <w:rPr>
          <w:color w:val="231F20"/>
          <w:w w:val="135"/>
        </w:rPr>
        <w:t>.</w:t>
      </w:r>
      <w:r>
        <w:rPr>
          <w:color w:val="231F20"/>
        </w:rPr>
        <w:t xml:space="preserve"> </w:t>
      </w:r>
      <w:hyperlink r:id="rId603">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hyperlink>
      <w:r>
        <w:rPr>
          <w:color w:val="231F20"/>
          <w:w w:val="135"/>
        </w:rPr>
        <w:t xml:space="preserve"> </w:t>
      </w:r>
      <w:r>
        <w:rPr>
          <w:color w:val="231F20"/>
        </w:rPr>
        <w:t>dw-w</w:t>
      </w:r>
      <w:r>
        <w:rPr>
          <w:color w:val="231F20"/>
          <w:w w:val="104"/>
        </w:rPr>
        <w:t>o</w:t>
      </w:r>
      <w:r>
        <w:rPr>
          <w:color w:val="231F20"/>
          <w:w w:val="94"/>
        </w:rPr>
        <w:t>r</w:t>
      </w:r>
      <w:r>
        <w:rPr>
          <w:color w:val="231F20"/>
          <w:w w:val="102"/>
        </w:rPr>
        <w:t>l</w:t>
      </w:r>
      <w:r>
        <w:rPr>
          <w:color w:val="231F20"/>
        </w:rPr>
        <w:t>d</w:t>
      </w:r>
      <w:r>
        <w:rPr>
          <w:color w:val="231F20"/>
          <w:w w:val="109"/>
        </w:rPr>
        <w:t>.d</w:t>
      </w:r>
      <w:r>
        <w:rPr>
          <w:color w:val="231F20"/>
          <w:w w:val="91"/>
        </w:rPr>
        <w:t>e</w:t>
      </w:r>
      <w:r>
        <w:rPr>
          <w:color w:val="231F20"/>
          <w:w w:val="56"/>
        </w:rPr>
        <w:t>/</w:t>
      </w:r>
      <w:r>
        <w:rPr>
          <w:color w:val="231F20"/>
          <w:w w:val="99"/>
        </w:rPr>
        <w:t>p</w:t>
      </w:r>
      <w:r>
        <w:rPr>
          <w:color w:val="231F20"/>
          <w:w w:val="104"/>
        </w:rPr>
        <w:t>o</w:t>
      </w:r>
      <w:r>
        <w:rPr>
          <w:color w:val="231F20"/>
          <w:w w:val="99"/>
        </w:rPr>
        <w:t>p</w:t>
      </w:r>
      <w:r>
        <w:rPr>
          <w:color w:val="231F20"/>
        </w:rPr>
        <w:t>u</w:t>
      </w:r>
      <w:r>
        <w:rPr>
          <w:color w:val="231F20"/>
          <w:w w:val="99"/>
        </w:rPr>
        <w:t>p</w:t>
      </w:r>
      <w:r>
        <w:rPr>
          <w:color w:val="231F20"/>
          <w:w w:val="90"/>
        </w:rPr>
        <w:t>s</w:t>
      </w:r>
      <w:r>
        <w:rPr>
          <w:color w:val="231F20"/>
          <w:w w:val="56"/>
        </w:rPr>
        <w:t>/</w:t>
      </w:r>
      <w:r>
        <w:rPr>
          <w:color w:val="231F20"/>
          <w:w w:val="99"/>
        </w:rPr>
        <w:t>p</w:t>
      </w:r>
      <w:r>
        <w:rPr>
          <w:color w:val="231F20"/>
          <w:w w:val="104"/>
        </w:rPr>
        <w:t>o</w:t>
      </w:r>
      <w:r>
        <w:rPr>
          <w:color w:val="231F20"/>
          <w:w w:val="99"/>
        </w:rPr>
        <w:t>p</w:t>
      </w:r>
      <w:r>
        <w:rPr>
          <w:color w:val="231F20"/>
        </w:rPr>
        <w:t>u</w:t>
      </w:r>
      <w:r>
        <w:rPr>
          <w:color w:val="231F20"/>
          <w:w w:val="113"/>
        </w:rPr>
        <w:t>p_</w:t>
      </w:r>
      <w:r>
        <w:rPr>
          <w:color w:val="231F20"/>
          <w:w w:val="99"/>
        </w:rPr>
        <w:t>p</w:t>
      </w:r>
      <w:r>
        <w:rPr>
          <w:color w:val="231F20"/>
          <w:w w:val="94"/>
        </w:rPr>
        <w:t>r</w:t>
      </w:r>
      <w:r>
        <w:rPr>
          <w:color w:val="231F20"/>
        </w:rPr>
        <w:t>i</w:t>
      </w:r>
      <w:r>
        <w:rPr>
          <w:color w:val="231F20"/>
          <w:w w:val="99"/>
        </w:rPr>
        <w:t>n</w:t>
      </w:r>
      <w:r>
        <w:rPr>
          <w:color w:val="231F20"/>
          <w:w w:val="98"/>
        </w:rPr>
        <w:t>t</w:t>
      </w:r>
      <w:r>
        <w:rPr>
          <w:color w:val="231F20"/>
        </w:rPr>
        <w:t>c</w:t>
      </w:r>
      <w:r>
        <w:rPr>
          <w:color w:val="231F20"/>
          <w:w w:val="104"/>
        </w:rPr>
        <w:t>o</w:t>
      </w:r>
      <w:r>
        <w:rPr>
          <w:color w:val="231F20"/>
          <w:w w:val="99"/>
        </w:rPr>
        <w:t>n</w:t>
      </w:r>
      <w:r>
        <w:rPr>
          <w:color w:val="231F20"/>
          <w:w w:val="98"/>
        </w:rPr>
        <w:t>t</w:t>
      </w:r>
      <w:r>
        <w:rPr>
          <w:color w:val="231F20"/>
          <w:w w:val="91"/>
        </w:rPr>
        <w:t>e</w:t>
      </w:r>
      <w:r>
        <w:rPr>
          <w:color w:val="231F20"/>
          <w:w w:val="99"/>
        </w:rPr>
        <w:t>n</w:t>
      </w:r>
      <w:r>
        <w:rPr>
          <w:color w:val="231F20"/>
          <w:w w:val="98"/>
        </w:rPr>
        <w:t>t</w:t>
      </w:r>
      <w:r>
        <w:rPr>
          <w:color w:val="231F20"/>
          <w:w w:val="56"/>
        </w:rPr>
        <w:t>/</w:t>
      </w:r>
      <w:r>
        <w:rPr>
          <w:color w:val="231F20"/>
        </w:rPr>
        <w:t>0</w:t>
      </w:r>
      <w:r>
        <w:rPr>
          <w:color w:val="231F20"/>
          <w:w w:val="135"/>
        </w:rPr>
        <w:t>,,</w:t>
      </w:r>
      <w:r>
        <w:rPr>
          <w:color w:val="231F20"/>
        </w:rPr>
        <w:t>1933629</w:t>
      </w:r>
      <w:r>
        <w:rPr>
          <w:color w:val="231F20"/>
          <w:w w:val="135"/>
        </w:rPr>
        <w:t>,</w:t>
      </w:r>
      <w:r>
        <w:rPr>
          <w:color w:val="231F20"/>
        </w:rPr>
        <w:t>00</w:t>
      </w:r>
      <w:r>
        <w:rPr>
          <w:color w:val="231F20"/>
          <w:w w:val="135"/>
        </w:rPr>
        <w:t xml:space="preserve">. </w:t>
      </w:r>
      <w:r>
        <w:rPr>
          <w:color w:val="231F20"/>
          <w:w w:val="105"/>
        </w:rPr>
        <w:t>html</w:t>
      </w:r>
    </w:p>
    <w:p w14:paraId="2D0E8058" w14:textId="77777777" w:rsidR="002653E8" w:rsidRPr="00846956" w:rsidRDefault="003115E3">
      <w:pPr>
        <w:pStyle w:val="a3"/>
        <w:spacing w:before="162" w:line="244" w:lineRule="auto"/>
        <w:ind w:left="2461" w:right="1147" w:hanging="1135"/>
        <w:rPr>
          <w:lang w:val="de-DE"/>
        </w:rPr>
      </w:pPr>
      <w:r w:rsidRPr="00846956">
        <w:rPr>
          <w:i/>
          <w:color w:val="231F20"/>
          <w:w w:val="105"/>
          <w:lang w:val="de-DE"/>
        </w:rPr>
        <w:t xml:space="preserve">die tageszeitung. </w:t>
      </w:r>
      <w:r w:rsidRPr="00846956">
        <w:rPr>
          <w:color w:val="231F20"/>
          <w:w w:val="105"/>
          <w:lang w:val="de-DE"/>
        </w:rPr>
        <w:t xml:space="preserve">“30 Jahre Deutscher Herbst ‘Die </w:t>
      </w:r>
      <w:r w:rsidR="00C507A5" w:rsidRPr="00846956">
        <w:rPr>
          <w:color w:val="231F20"/>
          <w:w w:val="105"/>
          <w:lang w:val="de-DE"/>
        </w:rPr>
        <w:t>red army faction</w:t>
      </w:r>
      <w:r w:rsidRPr="00846956">
        <w:rPr>
          <w:color w:val="231F20"/>
          <w:w w:val="105"/>
          <w:lang w:val="de-DE"/>
        </w:rPr>
        <w:t xml:space="preserve"> war nicht ganz so schlicht.’” October 17, 2007.</w:t>
      </w:r>
    </w:p>
    <w:p w14:paraId="205E6E03" w14:textId="77777777" w:rsidR="002653E8" w:rsidRPr="00846956" w:rsidRDefault="002653E8">
      <w:pPr>
        <w:spacing w:line="244" w:lineRule="auto"/>
        <w:rPr>
          <w:lang w:val="de-DE"/>
        </w:rPr>
        <w:sectPr w:rsidR="002653E8" w:rsidRPr="00846956">
          <w:pgSz w:w="8640" w:h="12960"/>
          <w:pgMar w:top="1060" w:right="0" w:bottom="1040" w:left="0" w:header="0" w:footer="850" w:gutter="0"/>
          <w:cols w:space="720"/>
        </w:sectPr>
      </w:pPr>
    </w:p>
    <w:p w14:paraId="61AF2BD9" w14:textId="77777777" w:rsidR="002653E8" w:rsidRPr="00846956" w:rsidRDefault="003115E3">
      <w:pPr>
        <w:pStyle w:val="a3"/>
        <w:spacing w:before="70" w:line="244" w:lineRule="auto"/>
        <w:ind w:left="2281" w:right="1533" w:hanging="1134"/>
        <w:rPr>
          <w:lang w:val="de-DE"/>
        </w:rPr>
      </w:pPr>
      <w:r w:rsidRPr="00846956">
        <w:rPr>
          <w:color w:val="231F20"/>
          <w:lang w:val="de-DE"/>
        </w:rPr>
        <w:lastRenderedPageBreak/>
        <w:t xml:space="preserve">Ditfurth, Jutta. Interview by Arno Luik. “Ditfurth über Meinhof: </w:t>
      </w:r>
      <w:r w:rsidRPr="00846956">
        <w:rPr>
          <w:color w:val="231F20"/>
          <w:w w:val="125"/>
          <w:lang w:val="de-DE"/>
        </w:rPr>
        <w:t>‘</w:t>
      </w:r>
      <w:r w:rsidRPr="00846956">
        <w:rPr>
          <w:color w:val="231F20"/>
          <w:lang w:val="de-DE"/>
        </w:rPr>
        <w:t>Si</w:t>
      </w:r>
      <w:r w:rsidRPr="00846956">
        <w:rPr>
          <w:color w:val="231F20"/>
          <w:w w:val="91"/>
          <w:lang w:val="de-DE"/>
        </w:rPr>
        <w:t>e</w:t>
      </w:r>
      <w:r w:rsidRPr="00846956">
        <w:rPr>
          <w:color w:val="231F20"/>
          <w:lang w:val="de-DE"/>
        </w:rPr>
        <w:t xml:space="preserve"> w</w:t>
      </w:r>
      <w:r w:rsidRPr="00846956">
        <w:rPr>
          <w:color w:val="231F20"/>
          <w:w w:val="102"/>
          <w:lang w:val="de-DE"/>
        </w:rPr>
        <w:t>a</w:t>
      </w:r>
      <w:r w:rsidRPr="00846956">
        <w:rPr>
          <w:color w:val="231F20"/>
          <w:w w:val="94"/>
          <w:lang w:val="de-DE"/>
        </w:rPr>
        <w:t>r</w:t>
      </w:r>
      <w:r w:rsidRPr="00846956">
        <w:rPr>
          <w:color w:val="231F20"/>
          <w:lang w:val="de-DE"/>
        </w:rPr>
        <w:t xml:space="preserve"> di</w:t>
      </w:r>
      <w:r w:rsidRPr="00846956">
        <w:rPr>
          <w:color w:val="231F20"/>
          <w:w w:val="91"/>
          <w:lang w:val="de-DE"/>
        </w:rPr>
        <w:t>e</w:t>
      </w:r>
      <w:r w:rsidRPr="00846956">
        <w:rPr>
          <w:color w:val="231F20"/>
          <w:lang w:val="de-DE"/>
        </w:rPr>
        <w:t xml:space="preserve"> </w:t>
      </w:r>
      <w:r w:rsidRPr="00846956">
        <w:rPr>
          <w:color w:val="231F20"/>
          <w:w w:val="101"/>
          <w:lang w:val="de-DE"/>
        </w:rPr>
        <w:t>g</w:t>
      </w:r>
      <w:r w:rsidRPr="00846956">
        <w:rPr>
          <w:color w:val="231F20"/>
          <w:w w:val="94"/>
          <w:lang w:val="de-DE"/>
        </w:rPr>
        <w:t>r</w:t>
      </w:r>
      <w:r w:rsidRPr="00846956">
        <w:rPr>
          <w:color w:val="231F20"/>
          <w:w w:val="104"/>
          <w:lang w:val="de-DE"/>
        </w:rPr>
        <w:t>o</w:t>
      </w:r>
      <w:r w:rsidRPr="00846956">
        <w:rPr>
          <w:color w:val="231F20"/>
          <w:w w:val="91"/>
          <w:lang w:val="de-DE"/>
        </w:rPr>
        <w:t>ße</w:t>
      </w:r>
      <w:r w:rsidRPr="00846956">
        <w:rPr>
          <w:color w:val="231F20"/>
          <w:lang w:val="de-DE"/>
        </w:rPr>
        <w:t xml:space="preserve"> Schw</w:t>
      </w:r>
      <w:r w:rsidRPr="00846956">
        <w:rPr>
          <w:color w:val="231F20"/>
          <w:w w:val="91"/>
          <w:lang w:val="de-DE"/>
        </w:rPr>
        <w:t>e</w:t>
      </w:r>
      <w:r w:rsidRPr="00846956">
        <w:rPr>
          <w:color w:val="231F20"/>
          <w:w w:val="90"/>
          <w:lang w:val="de-DE"/>
        </w:rPr>
        <w:t>s</w:t>
      </w:r>
      <w:r w:rsidRPr="00846956">
        <w:rPr>
          <w:color w:val="231F20"/>
          <w:w w:val="98"/>
          <w:lang w:val="de-DE"/>
        </w:rPr>
        <w:t>t</w:t>
      </w:r>
      <w:r w:rsidRPr="00846956">
        <w:rPr>
          <w:color w:val="231F20"/>
          <w:w w:val="92"/>
          <w:lang w:val="de-DE"/>
        </w:rPr>
        <w:t>er</w:t>
      </w:r>
      <w:r w:rsidRPr="00846956">
        <w:rPr>
          <w:color w:val="231F20"/>
          <w:lang w:val="de-DE"/>
        </w:rPr>
        <w:t xml:space="preserve"> d</w:t>
      </w:r>
      <w:r w:rsidRPr="00846956">
        <w:rPr>
          <w:color w:val="231F20"/>
          <w:w w:val="92"/>
          <w:lang w:val="de-DE"/>
        </w:rPr>
        <w:t>er</w:t>
      </w:r>
      <w:r w:rsidRPr="00846956">
        <w:rPr>
          <w:color w:val="231F20"/>
          <w:lang w:val="de-DE"/>
        </w:rPr>
        <w:t xml:space="preserve"> 68</w:t>
      </w:r>
      <w:r w:rsidRPr="00846956">
        <w:rPr>
          <w:color w:val="231F20"/>
          <w:w w:val="92"/>
          <w:lang w:val="de-DE"/>
        </w:rPr>
        <w:t>er</w:t>
      </w:r>
      <w:r w:rsidRPr="00846956">
        <w:rPr>
          <w:color w:val="231F20"/>
          <w:w w:val="125"/>
          <w:lang w:val="de-DE"/>
        </w:rPr>
        <w:t>’</w:t>
      </w:r>
      <w:r w:rsidRPr="00846956">
        <w:rPr>
          <w:color w:val="231F20"/>
          <w:w w:val="135"/>
          <w:lang w:val="de-DE"/>
        </w:rPr>
        <w:t>.</w:t>
      </w:r>
      <w:r w:rsidRPr="00846956">
        <w:rPr>
          <w:color w:val="231F20"/>
          <w:w w:val="148"/>
          <w:lang w:val="de-DE"/>
        </w:rPr>
        <w:t>”</w:t>
      </w:r>
      <w:r w:rsidRPr="00846956">
        <w:rPr>
          <w:color w:val="231F20"/>
          <w:lang w:val="de-DE"/>
        </w:rPr>
        <w:t xml:space="preserve"> </w:t>
      </w:r>
      <w:r w:rsidRPr="00846956">
        <w:rPr>
          <w:i/>
          <w:color w:val="231F20"/>
          <w:w w:val="103"/>
          <w:lang w:val="de-DE"/>
        </w:rPr>
        <w:t>S</w:t>
      </w:r>
      <w:r w:rsidRPr="00846956">
        <w:rPr>
          <w:i/>
          <w:color w:val="231F20"/>
          <w:w w:val="96"/>
          <w:lang w:val="de-DE"/>
        </w:rPr>
        <w:t>t</w:t>
      </w:r>
      <w:r w:rsidRPr="00846956">
        <w:rPr>
          <w:i/>
          <w:color w:val="231F20"/>
          <w:w w:val="97"/>
          <w:lang w:val="de-DE"/>
        </w:rPr>
        <w:t>e</w:t>
      </w:r>
      <w:r w:rsidRPr="00846956">
        <w:rPr>
          <w:i/>
          <w:color w:val="231F20"/>
          <w:w w:val="95"/>
          <w:lang w:val="de-DE"/>
        </w:rPr>
        <w:t>r</w:t>
      </w:r>
      <w:r w:rsidRPr="00846956">
        <w:rPr>
          <w:i/>
          <w:color w:val="231F20"/>
          <w:w w:val="103"/>
          <w:lang w:val="de-DE"/>
        </w:rPr>
        <w:t>n</w:t>
      </w:r>
      <w:r w:rsidRPr="00846956">
        <w:rPr>
          <w:i/>
          <w:color w:val="231F20"/>
          <w:lang w:val="de-DE"/>
        </w:rPr>
        <w:t xml:space="preserve"> </w:t>
      </w:r>
      <w:r w:rsidRPr="00846956">
        <w:rPr>
          <w:color w:val="231F20"/>
          <w:lang w:val="de-DE"/>
        </w:rPr>
        <w:t>46</w:t>
      </w:r>
      <w:r w:rsidRPr="00846956">
        <w:rPr>
          <w:color w:val="231F20"/>
          <w:w w:val="56"/>
          <w:lang w:val="de-DE"/>
        </w:rPr>
        <w:t>/</w:t>
      </w:r>
      <w:r w:rsidRPr="00846956">
        <w:rPr>
          <w:color w:val="231F20"/>
          <w:lang w:val="de-DE"/>
        </w:rPr>
        <w:t>2007</w:t>
      </w:r>
      <w:r w:rsidRPr="00846956">
        <w:rPr>
          <w:color w:val="231F20"/>
          <w:w w:val="135"/>
          <w:lang w:val="de-DE"/>
        </w:rPr>
        <w:t xml:space="preserve">. </w:t>
      </w:r>
      <w:r w:rsidRPr="00846956">
        <w:rPr>
          <w:color w:val="231F20"/>
          <w:lang w:val="de-DE"/>
        </w:rPr>
        <w:t>h</w:t>
      </w:r>
      <w:r w:rsidRPr="00846956">
        <w:rPr>
          <w:color w:val="231F20"/>
          <w:w w:val="98"/>
          <w:lang w:val="de-DE"/>
        </w:rPr>
        <w:t>t</w:t>
      </w:r>
      <w:r w:rsidRPr="00846956">
        <w:rPr>
          <w:color w:val="231F20"/>
          <w:w w:val="99"/>
          <w:lang w:val="de-DE"/>
        </w:rPr>
        <w:t>tp</w:t>
      </w:r>
      <w:r w:rsidRPr="00846956">
        <w:rPr>
          <w:color w:val="231F20"/>
          <w:w w:val="105"/>
          <w:lang w:val="de-DE"/>
        </w:rPr>
        <w:t>:</w:t>
      </w:r>
      <w:r w:rsidRPr="00846956">
        <w:rPr>
          <w:color w:val="231F20"/>
          <w:w w:val="56"/>
          <w:lang w:val="de-DE"/>
        </w:rPr>
        <w:t>//</w:t>
      </w:r>
      <w:r w:rsidRPr="00846956">
        <w:rPr>
          <w:color w:val="231F20"/>
          <w:lang w:val="de-DE"/>
        </w:rPr>
        <w:t>www</w:t>
      </w:r>
      <w:r w:rsidRPr="00846956">
        <w:rPr>
          <w:color w:val="231F20"/>
          <w:w w:val="135"/>
          <w:lang w:val="de-DE"/>
        </w:rPr>
        <w:t>.</w:t>
      </w:r>
      <w:r w:rsidRPr="00846956">
        <w:rPr>
          <w:color w:val="231F20"/>
          <w:w w:val="90"/>
          <w:lang w:val="de-DE"/>
        </w:rPr>
        <w:t>s</w:t>
      </w:r>
      <w:r w:rsidRPr="00846956">
        <w:rPr>
          <w:color w:val="231F20"/>
          <w:w w:val="98"/>
          <w:lang w:val="de-DE"/>
        </w:rPr>
        <w:t>t</w:t>
      </w:r>
      <w:r w:rsidRPr="00846956">
        <w:rPr>
          <w:color w:val="231F20"/>
          <w:w w:val="91"/>
          <w:lang w:val="de-DE"/>
        </w:rPr>
        <w:t>e</w:t>
      </w:r>
      <w:r w:rsidRPr="00846956">
        <w:rPr>
          <w:color w:val="231F20"/>
          <w:w w:val="97"/>
          <w:lang w:val="de-DE"/>
        </w:rPr>
        <w:t>rn</w:t>
      </w:r>
      <w:r w:rsidRPr="00846956">
        <w:rPr>
          <w:color w:val="231F20"/>
          <w:w w:val="135"/>
          <w:lang w:val="de-DE"/>
        </w:rPr>
        <w:t>.</w:t>
      </w:r>
      <w:r w:rsidRPr="00846956">
        <w:rPr>
          <w:color w:val="231F20"/>
          <w:lang w:val="de-DE"/>
        </w:rPr>
        <w:t>d</w:t>
      </w:r>
      <w:r w:rsidRPr="00846956">
        <w:rPr>
          <w:color w:val="231F20"/>
          <w:w w:val="91"/>
          <w:lang w:val="de-DE"/>
        </w:rPr>
        <w:t>e</w:t>
      </w:r>
      <w:r w:rsidRPr="00846956">
        <w:rPr>
          <w:color w:val="231F20"/>
          <w:w w:val="56"/>
          <w:lang w:val="de-DE"/>
        </w:rPr>
        <w:t>/</w:t>
      </w:r>
      <w:r w:rsidRPr="00846956">
        <w:rPr>
          <w:color w:val="231F20"/>
          <w:w w:val="99"/>
          <w:lang w:val="de-DE"/>
        </w:rPr>
        <w:t>p</w:t>
      </w:r>
      <w:r w:rsidRPr="00846956">
        <w:rPr>
          <w:color w:val="231F20"/>
          <w:w w:val="104"/>
          <w:lang w:val="de-DE"/>
        </w:rPr>
        <w:t>o</w:t>
      </w:r>
      <w:r w:rsidRPr="00846956">
        <w:rPr>
          <w:color w:val="231F20"/>
          <w:w w:val="102"/>
          <w:lang w:val="de-DE"/>
        </w:rPr>
        <w:t>l</w:t>
      </w:r>
      <w:r w:rsidRPr="00846956">
        <w:rPr>
          <w:color w:val="231F20"/>
          <w:lang w:val="de-DE"/>
        </w:rPr>
        <w:t>i</w:t>
      </w:r>
      <w:r w:rsidRPr="00846956">
        <w:rPr>
          <w:color w:val="231F20"/>
          <w:w w:val="98"/>
          <w:lang w:val="de-DE"/>
        </w:rPr>
        <w:t>t</w:t>
      </w:r>
      <w:r w:rsidRPr="00846956">
        <w:rPr>
          <w:color w:val="231F20"/>
          <w:lang w:val="de-DE"/>
        </w:rPr>
        <w:t>i</w:t>
      </w:r>
      <w:r w:rsidRPr="00846956">
        <w:rPr>
          <w:color w:val="231F20"/>
          <w:w w:val="106"/>
          <w:lang w:val="de-DE"/>
        </w:rPr>
        <w:t>k</w:t>
      </w:r>
      <w:r w:rsidRPr="00846956">
        <w:rPr>
          <w:color w:val="231F20"/>
          <w:w w:val="56"/>
          <w:lang w:val="de-DE"/>
        </w:rPr>
        <w:t>/</w:t>
      </w:r>
      <w:r w:rsidRPr="00846956">
        <w:rPr>
          <w:color w:val="231F20"/>
          <w:lang w:val="de-DE"/>
        </w:rPr>
        <w:t>hi</w:t>
      </w:r>
      <w:r w:rsidRPr="00846956">
        <w:rPr>
          <w:color w:val="231F20"/>
          <w:w w:val="90"/>
          <w:lang w:val="de-DE"/>
        </w:rPr>
        <w:t>s</w:t>
      </w:r>
      <w:r w:rsidRPr="00846956">
        <w:rPr>
          <w:color w:val="231F20"/>
          <w:w w:val="98"/>
          <w:lang w:val="de-DE"/>
        </w:rPr>
        <w:t>t</w:t>
      </w:r>
      <w:r w:rsidRPr="00846956">
        <w:rPr>
          <w:color w:val="231F20"/>
          <w:w w:val="104"/>
          <w:lang w:val="de-DE"/>
        </w:rPr>
        <w:t>o</w:t>
      </w:r>
      <w:r w:rsidRPr="00846956">
        <w:rPr>
          <w:color w:val="231F20"/>
          <w:w w:val="94"/>
          <w:lang w:val="de-DE"/>
        </w:rPr>
        <w:t>r</w:t>
      </w:r>
      <w:r w:rsidRPr="00846956">
        <w:rPr>
          <w:color w:val="231F20"/>
          <w:lang w:val="de-DE"/>
        </w:rPr>
        <w:t>i</w:t>
      </w:r>
      <w:r w:rsidRPr="00846956">
        <w:rPr>
          <w:color w:val="231F20"/>
          <w:w w:val="91"/>
          <w:lang w:val="de-DE"/>
        </w:rPr>
        <w:t>e</w:t>
      </w:r>
      <w:r w:rsidRPr="00846956">
        <w:rPr>
          <w:color w:val="231F20"/>
          <w:w w:val="56"/>
          <w:lang w:val="de-DE"/>
        </w:rPr>
        <w:t>/</w:t>
      </w:r>
      <w:r w:rsidRPr="00846956">
        <w:rPr>
          <w:color w:val="231F20"/>
          <w:w w:val="105"/>
          <w:lang w:val="de-DE"/>
        </w:rPr>
        <w:t>:</w:t>
      </w:r>
      <w:r w:rsidRPr="00846956">
        <w:rPr>
          <w:color w:val="231F20"/>
          <w:w w:val="117"/>
          <w:lang w:val="de-DE"/>
        </w:rPr>
        <w:t>D</w:t>
      </w:r>
      <w:r w:rsidRPr="00846956">
        <w:rPr>
          <w:color w:val="231F20"/>
          <w:lang w:val="de-DE"/>
        </w:rPr>
        <w:t>i</w:t>
      </w:r>
      <w:r w:rsidRPr="00846956">
        <w:rPr>
          <w:color w:val="231F20"/>
          <w:w w:val="98"/>
          <w:lang w:val="de-DE"/>
        </w:rPr>
        <w:t>t</w:t>
      </w:r>
      <w:r w:rsidRPr="00846956">
        <w:rPr>
          <w:color w:val="231F20"/>
          <w:w w:val="109"/>
          <w:lang w:val="de-DE"/>
        </w:rPr>
        <w:t>f</w:t>
      </w:r>
      <w:r w:rsidRPr="00846956">
        <w:rPr>
          <w:color w:val="231F20"/>
          <w:lang w:val="de-DE"/>
        </w:rPr>
        <w:t>u</w:t>
      </w:r>
      <w:r w:rsidRPr="00846956">
        <w:rPr>
          <w:color w:val="231F20"/>
          <w:w w:val="94"/>
          <w:lang w:val="de-DE"/>
        </w:rPr>
        <w:t>r</w:t>
      </w:r>
      <w:r w:rsidRPr="00846956">
        <w:rPr>
          <w:color w:val="231F20"/>
          <w:w w:val="98"/>
          <w:lang w:val="de-DE"/>
        </w:rPr>
        <w:t>t</w:t>
      </w:r>
      <w:r w:rsidRPr="00846956">
        <w:rPr>
          <w:color w:val="231F20"/>
          <w:lang w:val="de-DE"/>
        </w:rPr>
        <w:t>h-</w:t>
      </w:r>
      <w:r w:rsidRPr="00846956">
        <w:rPr>
          <w:color w:val="231F20"/>
          <w:w w:val="112"/>
          <w:lang w:val="de-DE"/>
        </w:rPr>
        <w:t>%</w:t>
      </w:r>
      <w:r w:rsidRPr="00846956">
        <w:rPr>
          <w:color w:val="231F20"/>
          <w:w w:val="116"/>
          <w:lang w:val="de-DE"/>
        </w:rPr>
        <w:t>FC</w:t>
      </w:r>
      <w:r w:rsidRPr="00846956">
        <w:rPr>
          <w:color w:val="231F20"/>
          <w:w w:val="101"/>
          <w:lang w:val="de-DE"/>
        </w:rPr>
        <w:t>b</w:t>
      </w:r>
      <w:r w:rsidRPr="00846956">
        <w:rPr>
          <w:color w:val="231F20"/>
          <w:w w:val="92"/>
          <w:lang w:val="de-DE"/>
        </w:rPr>
        <w:t>er</w:t>
      </w:r>
      <w:r w:rsidRPr="00846956">
        <w:rPr>
          <w:color w:val="231F20"/>
          <w:w w:val="122"/>
          <w:lang w:val="de-DE"/>
        </w:rPr>
        <w:t>M</w:t>
      </w:r>
      <w:r w:rsidRPr="00846956">
        <w:rPr>
          <w:color w:val="231F20"/>
          <w:w w:val="91"/>
          <w:lang w:val="de-DE"/>
        </w:rPr>
        <w:t>e</w:t>
      </w:r>
      <w:r w:rsidRPr="00846956">
        <w:rPr>
          <w:color w:val="231F20"/>
          <w:lang w:val="de-DE"/>
        </w:rPr>
        <w:t>i</w:t>
      </w:r>
      <w:r w:rsidRPr="00846956">
        <w:rPr>
          <w:color w:val="231F20"/>
          <w:w w:val="99"/>
          <w:lang w:val="de-DE"/>
        </w:rPr>
        <w:t>n</w:t>
      </w:r>
      <w:r w:rsidRPr="00846956">
        <w:rPr>
          <w:color w:val="231F20"/>
          <w:lang w:val="de-DE"/>
        </w:rPr>
        <w:t>h</w:t>
      </w:r>
      <w:r w:rsidRPr="00846956">
        <w:rPr>
          <w:color w:val="231F20"/>
          <w:w w:val="104"/>
          <w:lang w:val="de-DE"/>
        </w:rPr>
        <w:t>o</w:t>
      </w:r>
      <w:r w:rsidRPr="00846956">
        <w:rPr>
          <w:color w:val="231F20"/>
          <w:w w:val="109"/>
          <w:lang w:val="de-DE"/>
        </w:rPr>
        <w:t>f</w:t>
      </w:r>
      <w:r w:rsidRPr="00846956">
        <w:rPr>
          <w:color w:val="231F20"/>
          <w:lang w:val="de-DE"/>
        </w:rPr>
        <w:t>-Si</w:t>
      </w:r>
      <w:r w:rsidRPr="00846956">
        <w:rPr>
          <w:color w:val="231F20"/>
          <w:w w:val="91"/>
          <w:lang w:val="de-DE"/>
        </w:rPr>
        <w:t>e</w:t>
      </w:r>
      <w:r w:rsidRPr="00846956">
        <w:rPr>
          <w:color w:val="231F20"/>
          <w:lang w:val="de-DE"/>
        </w:rPr>
        <w:t>-Schw</w:t>
      </w:r>
      <w:r w:rsidRPr="00846956">
        <w:rPr>
          <w:color w:val="231F20"/>
          <w:w w:val="91"/>
          <w:lang w:val="de-DE"/>
        </w:rPr>
        <w:t>e</w:t>
      </w:r>
      <w:r w:rsidRPr="00846956">
        <w:rPr>
          <w:color w:val="231F20"/>
          <w:w w:val="90"/>
          <w:lang w:val="de-DE"/>
        </w:rPr>
        <w:t>s</w:t>
      </w:r>
      <w:r w:rsidRPr="00846956">
        <w:rPr>
          <w:color w:val="231F20"/>
          <w:w w:val="98"/>
          <w:lang w:val="de-DE"/>
        </w:rPr>
        <w:t>t</w:t>
      </w:r>
      <w:r w:rsidRPr="00846956">
        <w:rPr>
          <w:color w:val="231F20"/>
          <w:w w:val="91"/>
          <w:lang w:val="de-DE"/>
        </w:rPr>
        <w:t>e</w:t>
      </w:r>
      <w:r w:rsidRPr="00846956">
        <w:rPr>
          <w:color w:val="231F20"/>
          <w:w w:val="94"/>
          <w:lang w:val="de-DE"/>
        </w:rPr>
        <w:t>r</w:t>
      </w:r>
      <w:r w:rsidRPr="00846956">
        <w:rPr>
          <w:color w:val="231F20"/>
          <w:lang w:val="de-DE"/>
        </w:rPr>
        <w:t>-68</w:t>
      </w:r>
      <w:r w:rsidRPr="00846956">
        <w:rPr>
          <w:color w:val="231F20"/>
          <w:w w:val="92"/>
          <w:lang w:val="de-DE"/>
        </w:rPr>
        <w:t>er</w:t>
      </w:r>
      <w:r w:rsidRPr="00846956">
        <w:rPr>
          <w:color w:val="231F20"/>
          <w:w w:val="56"/>
          <w:lang w:val="de-DE"/>
        </w:rPr>
        <w:t>/</w:t>
      </w:r>
      <w:r w:rsidRPr="00846956">
        <w:rPr>
          <w:color w:val="231F20"/>
          <w:lang w:val="de-DE"/>
        </w:rPr>
        <w:t>602814</w:t>
      </w:r>
      <w:r w:rsidRPr="00846956">
        <w:rPr>
          <w:color w:val="231F20"/>
          <w:w w:val="135"/>
          <w:lang w:val="de-DE"/>
        </w:rPr>
        <w:t>.</w:t>
      </w:r>
      <w:r w:rsidRPr="00846956">
        <w:rPr>
          <w:color w:val="231F20"/>
          <w:w w:val="99"/>
          <w:lang w:val="de-DE"/>
        </w:rPr>
        <w:t>htm</w:t>
      </w:r>
      <w:r w:rsidRPr="00846956">
        <w:rPr>
          <w:color w:val="231F20"/>
          <w:w w:val="102"/>
          <w:lang w:val="de-DE"/>
        </w:rPr>
        <w:t>l</w:t>
      </w:r>
    </w:p>
    <w:p w14:paraId="18321DF8" w14:textId="77777777" w:rsidR="002653E8" w:rsidRPr="00846956" w:rsidRDefault="003115E3">
      <w:pPr>
        <w:pStyle w:val="a3"/>
        <w:spacing w:before="163" w:line="244" w:lineRule="auto"/>
        <w:ind w:left="2281" w:right="1513" w:hanging="1134"/>
        <w:rPr>
          <w:lang w:val="de-DE"/>
        </w:rPr>
      </w:pPr>
      <w:r w:rsidRPr="00846956">
        <w:rPr>
          <w:color w:val="231F20"/>
          <w:w w:val="105"/>
          <w:lang w:val="de-DE"/>
        </w:rPr>
        <w:t xml:space="preserve">Ensslin, Christiane and Klaus Jünschke. “Stimmen aus Stammheim: Isolationshaft ist kein Mythos.” </w:t>
      </w:r>
      <w:r w:rsidRPr="00846956">
        <w:rPr>
          <w:i/>
          <w:color w:val="231F20"/>
          <w:w w:val="105"/>
          <w:lang w:val="de-DE"/>
        </w:rPr>
        <w:t xml:space="preserve">Neue Rheinische </w:t>
      </w:r>
      <w:r w:rsidRPr="00846956">
        <w:rPr>
          <w:i/>
          <w:color w:val="231F20"/>
          <w:w w:val="140"/>
          <w:lang w:val="de-DE"/>
        </w:rPr>
        <w:t>Z</w:t>
      </w:r>
      <w:r w:rsidRPr="00846956">
        <w:rPr>
          <w:i/>
          <w:color w:val="231F20"/>
          <w:w w:val="97"/>
          <w:lang w:val="de-DE"/>
        </w:rPr>
        <w:t>e</w:t>
      </w:r>
      <w:r w:rsidRPr="00846956">
        <w:rPr>
          <w:i/>
          <w:color w:val="231F20"/>
          <w:w w:val="102"/>
          <w:lang w:val="de-DE"/>
        </w:rPr>
        <w:t>i</w:t>
      </w:r>
      <w:r w:rsidRPr="00846956">
        <w:rPr>
          <w:i/>
          <w:color w:val="231F20"/>
          <w:w w:val="96"/>
          <w:lang w:val="de-DE"/>
        </w:rPr>
        <w:t>t</w:t>
      </w:r>
      <w:r w:rsidRPr="00846956">
        <w:rPr>
          <w:i/>
          <w:color w:val="231F20"/>
          <w:w w:val="103"/>
          <w:lang w:val="de-DE"/>
        </w:rPr>
        <w:t>u</w:t>
      </w:r>
      <w:r w:rsidRPr="00846956">
        <w:rPr>
          <w:i/>
          <w:color w:val="231F20"/>
          <w:w w:val="99"/>
          <w:lang w:val="de-DE"/>
        </w:rPr>
        <w:t>ng</w:t>
      </w:r>
      <w:r w:rsidRPr="00846956">
        <w:rPr>
          <w:i/>
          <w:color w:val="231F20"/>
          <w:w w:val="139"/>
          <w:lang w:val="de-DE"/>
        </w:rPr>
        <w:t>,</w:t>
      </w:r>
      <w:r w:rsidRPr="00846956">
        <w:rPr>
          <w:i/>
          <w:color w:val="231F20"/>
          <w:lang w:val="de-DE"/>
        </w:rPr>
        <w:t xml:space="preserve"> </w:t>
      </w:r>
      <w:r w:rsidRPr="00846956">
        <w:rPr>
          <w:color w:val="231F20"/>
          <w:w w:val="115"/>
          <w:lang w:val="de-DE"/>
        </w:rPr>
        <w:t>A</w:t>
      </w:r>
      <w:r w:rsidRPr="00846956">
        <w:rPr>
          <w:color w:val="231F20"/>
          <w:lang w:val="de-DE"/>
        </w:rPr>
        <w:t>u</w:t>
      </w:r>
      <w:r w:rsidRPr="00846956">
        <w:rPr>
          <w:color w:val="231F20"/>
          <w:w w:val="101"/>
          <w:lang w:val="de-DE"/>
        </w:rPr>
        <w:t>g</w:t>
      </w:r>
      <w:r w:rsidRPr="00846956">
        <w:rPr>
          <w:color w:val="231F20"/>
          <w:lang w:val="de-DE"/>
        </w:rPr>
        <w:t>u</w:t>
      </w:r>
      <w:r w:rsidRPr="00846956">
        <w:rPr>
          <w:color w:val="231F20"/>
          <w:w w:val="90"/>
          <w:lang w:val="de-DE"/>
        </w:rPr>
        <w:t>s</w:t>
      </w:r>
      <w:r w:rsidRPr="00846956">
        <w:rPr>
          <w:color w:val="231F20"/>
          <w:w w:val="98"/>
          <w:lang w:val="de-DE"/>
        </w:rPr>
        <w:t>t</w:t>
      </w:r>
      <w:r w:rsidRPr="00846956">
        <w:rPr>
          <w:color w:val="231F20"/>
          <w:lang w:val="de-DE"/>
        </w:rPr>
        <w:t xml:space="preserve"> 8</w:t>
      </w:r>
      <w:r w:rsidRPr="00846956">
        <w:rPr>
          <w:color w:val="231F20"/>
          <w:w w:val="135"/>
          <w:lang w:val="de-DE"/>
        </w:rPr>
        <w:t>,</w:t>
      </w:r>
      <w:r w:rsidRPr="00846956">
        <w:rPr>
          <w:color w:val="231F20"/>
          <w:lang w:val="de-DE"/>
        </w:rPr>
        <w:t xml:space="preserve"> 2007</w:t>
      </w:r>
      <w:r w:rsidRPr="00846956">
        <w:rPr>
          <w:color w:val="231F20"/>
          <w:w w:val="135"/>
          <w:lang w:val="de-DE"/>
        </w:rPr>
        <w:t>.</w:t>
      </w:r>
      <w:r w:rsidRPr="00846956">
        <w:rPr>
          <w:color w:val="231F20"/>
          <w:lang w:val="de-DE"/>
        </w:rPr>
        <w:t xml:space="preserve"> </w:t>
      </w:r>
      <w:hyperlink r:id="rId604">
        <w:r w:rsidRPr="00846956">
          <w:rPr>
            <w:color w:val="231F20"/>
            <w:w w:val="99"/>
            <w:lang w:val="de-DE"/>
          </w:rPr>
          <w:t>ht</w:t>
        </w:r>
        <w:r w:rsidRPr="00846956">
          <w:rPr>
            <w:color w:val="231F20"/>
            <w:w w:val="98"/>
            <w:lang w:val="de-DE"/>
          </w:rPr>
          <w:t>t</w:t>
        </w:r>
        <w:r w:rsidRPr="00846956">
          <w:rPr>
            <w:color w:val="231F20"/>
            <w:w w:val="99"/>
            <w:lang w:val="de-DE"/>
          </w:rPr>
          <w:t>p</w:t>
        </w:r>
        <w:r w:rsidRPr="00846956">
          <w:rPr>
            <w:color w:val="231F20"/>
            <w:w w:val="105"/>
            <w:lang w:val="de-DE"/>
          </w:rPr>
          <w:t>:</w:t>
        </w:r>
        <w:r w:rsidRPr="00846956">
          <w:rPr>
            <w:color w:val="231F20"/>
            <w:w w:val="56"/>
            <w:lang w:val="de-DE"/>
          </w:rPr>
          <w:t>//</w:t>
        </w:r>
        <w:r w:rsidRPr="00846956">
          <w:rPr>
            <w:color w:val="231F20"/>
            <w:lang w:val="de-DE"/>
          </w:rPr>
          <w:t>www</w:t>
        </w:r>
        <w:r w:rsidRPr="00846956">
          <w:rPr>
            <w:color w:val="231F20"/>
            <w:w w:val="135"/>
            <w:lang w:val="de-DE"/>
          </w:rPr>
          <w:t>.</w:t>
        </w:r>
        <w:r w:rsidRPr="00846956">
          <w:rPr>
            <w:color w:val="231F20"/>
            <w:w w:val="99"/>
            <w:lang w:val="de-DE"/>
          </w:rPr>
          <w:t>n</w:t>
        </w:r>
        <w:r w:rsidRPr="00846956">
          <w:rPr>
            <w:color w:val="231F20"/>
            <w:w w:val="97"/>
            <w:lang w:val="de-DE"/>
          </w:rPr>
          <w:t>rhz</w:t>
        </w:r>
        <w:r w:rsidRPr="00846956">
          <w:rPr>
            <w:color w:val="231F20"/>
            <w:w w:val="135"/>
            <w:lang w:val="de-DE"/>
          </w:rPr>
          <w:t>.</w:t>
        </w:r>
        <w:r w:rsidRPr="00846956">
          <w:rPr>
            <w:color w:val="231F20"/>
            <w:lang w:val="de-DE"/>
          </w:rPr>
          <w:t>d</w:t>
        </w:r>
        <w:r w:rsidRPr="00846956">
          <w:rPr>
            <w:color w:val="231F20"/>
            <w:w w:val="91"/>
            <w:lang w:val="de-DE"/>
          </w:rPr>
          <w:t>e</w:t>
        </w:r>
        <w:r w:rsidRPr="00846956">
          <w:rPr>
            <w:color w:val="231F20"/>
            <w:w w:val="56"/>
            <w:lang w:val="de-DE"/>
          </w:rPr>
          <w:t>/</w:t>
        </w:r>
        <w:r w:rsidRPr="00846956">
          <w:rPr>
            <w:color w:val="231F20"/>
            <w:w w:val="96"/>
            <w:lang w:val="de-DE"/>
          </w:rPr>
          <w:t>fl</w:t>
        </w:r>
        <w:r w:rsidRPr="00846956">
          <w:rPr>
            <w:color w:val="231F20"/>
            <w:w w:val="99"/>
            <w:lang w:val="de-DE"/>
          </w:rPr>
          <w:t>y</w:t>
        </w:r>
        <w:r w:rsidRPr="00846956">
          <w:rPr>
            <w:color w:val="231F20"/>
            <w:w w:val="91"/>
            <w:lang w:val="de-DE"/>
          </w:rPr>
          <w:t>e</w:t>
        </w:r>
        <w:r w:rsidRPr="00846956">
          <w:rPr>
            <w:color w:val="231F20"/>
            <w:w w:val="94"/>
            <w:lang w:val="de-DE"/>
          </w:rPr>
          <w:t>r</w:t>
        </w:r>
        <w:r w:rsidRPr="00846956">
          <w:rPr>
            <w:color w:val="231F20"/>
            <w:w w:val="56"/>
            <w:lang w:val="de-DE"/>
          </w:rPr>
          <w:t>/</w:t>
        </w:r>
      </w:hyperlink>
      <w:r w:rsidRPr="00846956">
        <w:rPr>
          <w:color w:val="231F20"/>
          <w:w w:val="56"/>
          <w:lang w:val="de-DE"/>
        </w:rPr>
        <w:t xml:space="preserve"> </w:t>
      </w:r>
      <w:r w:rsidRPr="00846956">
        <w:rPr>
          <w:color w:val="231F20"/>
          <w:w w:val="105"/>
          <w:lang w:val="de-DE"/>
        </w:rPr>
        <w:t>beitrag.php?id=11287.</w:t>
      </w:r>
    </w:p>
    <w:p w14:paraId="55B4696A" w14:textId="77777777" w:rsidR="002653E8" w:rsidRDefault="003115E3">
      <w:pPr>
        <w:spacing w:before="163" w:line="244" w:lineRule="auto"/>
        <w:ind w:left="2281" w:right="1580" w:hanging="1134"/>
        <w:rPr>
          <w:sz w:val="20"/>
        </w:rPr>
      </w:pPr>
      <w:r>
        <w:rPr>
          <w:i/>
          <w:color w:val="231F20"/>
          <w:sz w:val="20"/>
        </w:rPr>
        <w:t xml:space="preserve">European Stars and Stripes. </w:t>
      </w:r>
      <w:r>
        <w:rPr>
          <w:color w:val="231F20"/>
          <w:sz w:val="20"/>
        </w:rPr>
        <w:t xml:space="preserve">“General Pearson seeks community help  in solving Frankfurt bombings.” May </w:t>
      </w:r>
      <w:r>
        <w:rPr>
          <w:color w:val="231F20"/>
          <w:spacing w:val="-4"/>
          <w:sz w:val="20"/>
        </w:rPr>
        <w:t>16,</w:t>
      </w:r>
      <w:r>
        <w:rPr>
          <w:color w:val="231F20"/>
          <w:spacing w:val="26"/>
          <w:sz w:val="20"/>
        </w:rPr>
        <w:t xml:space="preserve"> </w:t>
      </w:r>
      <w:r>
        <w:rPr>
          <w:color w:val="231F20"/>
          <w:spacing w:val="-3"/>
          <w:sz w:val="20"/>
        </w:rPr>
        <w:t>1972.</w:t>
      </w:r>
    </w:p>
    <w:p w14:paraId="053CFBCD" w14:textId="77777777" w:rsidR="002653E8" w:rsidRDefault="003115E3">
      <w:pPr>
        <w:spacing w:before="162"/>
        <w:ind w:left="1147"/>
        <w:rPr>
          <w:sz w:val="20"/>
        </w:rPr>
      </w:pPr>
      <w:r>
        <w:rPr>
          <w:i/>
          <w:color w:val="231F20"/>
          <w:w w:val="105"/>
          <w:sz w:val="20"/>
        </w:rPr>
        <w:t>-------------</w:t>
      </w:r>
      <w:r>
        <w:rPr>
          <w:color w:val="231F20"/>
          <w:w w:val="105"/>
          <w:sz w:val="20"/>
        </w:rPr>
        <w:t>“German Facilities Struck by Bombs.” May 13, 1972.</w:t>
      </w:r>
    </w:p>
    <w:p w14:paraId="0F94975B" w14:textId="77777777" w:rsidR="002653E8" w:rsidRDefault="003115E3">
      <w:pPr>
        <w:pStyle w:val="a3"/>
        <w:spacing w:before="166"/>
        <w:ind w:left="1147"/>
      </w:pPr>
      <w:r>
        <w:rPr>
          <w:i/>
          <w:color w:val="231F20"/>
          <w:w w:val="105"/>
        </w:rPr>
        <w:t>----------</w:t>
      </w:r>
      <w:r>
        <w:rPr>
          <w:color w:val="231F20"/>
          <w:w w:val="105"/>
        </w:rPr>
        <w:t>---“German terrorist is hospitalized.” November 14, 1974.</w:t>
      </w:r>
    </w:p>
    <w:p w14:paraId="527F3428" w14:textId="77777777" w:rsidR="002653E8" w:rsidRDefault="003115E3">
      <w:pPr>
        <w:spacing w:before="165"/>
        <w:ind w:left="1147"/>
        <w:rPr>
          <w:sz w:val="20"/>
        </w:rPr>
      </w:pPr>
      <w:r>
        <w:rPr>
          <w:i/>
          <w:color w:val="231F20"/>
          <w:w w:val="105"/>
          <w:sz w:val="20"/>
        </w:rPr>
        <w:t>-------------</w:t>
      </w:r>
      <w:r>
        <w:rPr>
          <w:color w:val="231F20"/>
          <w:w w:val="105"/>
          <w:sz w:val="20"/>
        </w:rPr>
        <w:t>“Hunt for anarchists stepped up.” March 7, 1975.</w:t>
      </w:r>
    </w:p>
    <w:p w14:paraId="7500C1E9" w14:textId="77777777" w:rsidR="002653E8" w:rsidRDefault="003115E3">
      <w:pPr>
        <w:spacing w:before="166"/>
        <w:ind w:left="1147"/>
        <w:rPr>
          <w:sz w:val="20"/>
        </w:rPr>
      </w:pPr>
      <w:r>
        <w:rPr>
          <w:i/>
          <w:color w:val="231F20"/>
          <w:w w:val="105"/>
          <w:sz w:val="20"/>
        </w:rPr>
        <w:t>-------------</w:t>
      </w:r>
      <w:r>
        <w:rPr>
          <w:color w:val="231F20"/>
          <w:w w:val="105"/>
          <w:sz w:val="20"/>
        </w:rPr>
        <w:t>“Meinhof.” November 30, 1974.</w:t>
      </w:r>
    </w:p>
    <w:p w14:paraId="391C109D" w14:textId="77777777" w:rsidR="002653E8" w:rsidRDefault="003115E3">
      <w:pPr>
        <w:pStyle w:val="a3"/>
        <w:spacing w:before="165" w:line="244" w:lineRule="auto"/>
        <w:ind w:left="2281" w:right="1513" w:hanging="1134"/>
      </w:pPr>
      <w:r>
        <w:rPr>
          <w:i/>
          <w:color w:val="231F20"/>
          <w:w w:val="105"/>
        </w:rPr>
        <w:t>----------</w:t>
      </w:r>
      <w:r>
        <w:rPr>
          <w:color w:val="231F20"/>
          <w:w w:val="105"/>
        </w:rPr>
        <w:t>---“Meinhof: Female German Guerrilla Leader gets 8-year term for role in murder plot.” November 30, 1974.</w:t>
      </w:r>
    </w:p>
    <w:p w14:paraId="04B63260" w14:textId="77777777" w:rsidR="002653E8" w:rsidRDefault="003115E3">
      <w:pPr>
        <w:pStyle w:val="a3"/>
        <w:spacing w:before="162"/>
        <w:ind w:left="1147"/>
      </w:pPr>
      <w:r>
        <w:rPr>
          <w:i/>
          <w:color w:val="231F20"/>
          <w:w w:val="105"/>
        </w:rPr>
        <w:t>----------</w:t>
      </w:r>
      <w:r>
        <w:rPr>
          <w:color w:val="231F20"/>
          <w:w w:val="105"/>
        </w:rPr>
        <w:t>---“New Violence Hits Frankfurt.” November 2, 1968.</w:t>
      </w:r>
    </w:p>
    <w:p w14:paraId="5CB75075" w14:textId="77777777" w:rsidR="002653E8" w:rsidRDefault="003115E3">
      <w:pPr>
        <w:pStyle w:val="a3"/>
        <w:spacing w:before="165"/>
        <w:ind w:left="1147"/>
      </w:pPr>
      <w:r>
        <w:rPr>
          <w:color w:val="231F20"/>
          <w:w w:val="105"/>
        </w:rPr>
        <w:t>----------</w:t>
      </w:r>
      <w:r>
        <w:rPr>
          <w:i/>
          <w:color w:val="231F20"/>
          <w:w w:val="105"/>
        </w:rPr>
        <w:t>---</w:t>
      </w:r>
      <w:r>
        <w:rPr>
          <w:color w:val="231F20"/>
          <w:w w:val="105"/>
        </w:rPr>
        <w:t>“Released from Custody.” February 11, 1973</w:t>
      </w:r>
    </w:p>
    <w:p w14:paraId="7F96928F" w14:textId="77777777" w:rsidR="002653E8" w:rsidRDefault="003115E3">
      <w:pPr>
        <w:pStyle w:val="a3"/>
        <w:spacing w:before="166" w:line="244" w:lineRule="auto"/>
        <w:ind w:left="2281" w:right="1513" w:hanging="1134"/>
      </w:pPr>
      <w:r>
        <w:rPr>
          <w:color w:val="231F20"/>
        </w:rPr>
        <w:t xml:space="preserve">Fichter, Tilman. Interview by Philipp Gessler and Stefan Reinecke. “The anti-semitism of the </w:t>
      </w:r>
      <w:r>
        <w:rPr>
          <w:color w:val="231F20"/>
          <w:spacing w:val="-3"/>
        </w:rPr>
        <w:t xml:space="preserve">68ers.” </w:t>
      </w:r>
      <w:r>
        <w:rPr>
          <w:i/>
          <w:color w:val="231F20"/>
        </w:rPr>
        <w:t xml:space="preserve">tageszeitung, </w:t>
      </w:r>
      <w:r>
        <w:rPr>
          <w:color w:val="231F20"/>
        </w:rPr>
        <w:t xml:space="preserve">Oct. </w:t>
      </w:r>
      <w:r>
        <w:rPr>
          <w:color w:val="231F20"/>
          <w:spacing w:val="-5"/>
        </w:rPr>
        <w:t xml:space="preserve">31, </w:t>
      </w:r>
      <w:r>
        <w:rPr>
          <w:color w:val="231F20"/>
          <w:spacing w:val="2"/>
        </w:rPr>
        <w:t>2</w:t>
      </w:r>
      <w:r>
        <w:rPr>
          <w:color w:val="231F20"/>
          <w:spacing w:val="5"/>
        </w:rPr>
        <w:t>0</w:t>
      </w:r>
      <w:r>
        <w:rPr>
          <w:color w:val="231F20"/>
          <w:spacing w:val="-6"/>
        </w:rPr>
        <w:t>0</w:t>
      </w:r>
      <w:r>
        <w:rPr>
          <w:color w:val="231F20"/>
          <w:spacing w:val="-8"/>
        </w:rPr>
        <w:t>5</w:t>
      </w:r>
      <w:r>
        <w:rPr>
          <w:color w:val="231F20"/>
          <w:w w:val="135"/>
        </w:rPr>
        <w:t>.</w:t>
      </w:r>
      <w:r>
        <w:rPr>
          <w:color w:val="231F20"/>
          <w:spacing w:val="10"/>
        </w:rPr>
        <w:t xml:space="preserve"> </w:t>
      </w:r>
      <w:hyperlink r:id="rId605">
        <w:r>
          <w:rPr>
            <w:color w:val="231F20"/>
            <w:spacing w:val="-2"/>
          </w:rPr>
          <w:t>h</w:t>
        </w:r>
        <w:r>
          <w:rPr>
            <w:color w:val="231F20"/>
            <w:spacing w:val="5"/>
            <w:w w:val="98"/>
          </w:rPr>
          <w:t>t</w:t>
        </w:r>
        <w:r>
          <w:rPr>
            <w:color w:val="231F20"/>
            <w:spacing w:val="3"/>
            <w:w w:val="98"/>
          </w:rPr>
          <w:t>t</w:t>
        </w:r>
        <w:r>
          <w:rPr>
            <w:color w:val="231F20"/>
            <w:spacing w:val="-1"/>
            <w:w w:val="99"/>
          </w:rPr>
          <w:t>p</w:t>
        </w:r>
        <w:r>
          <w:rPr>
            <w:color w:val="231F20"/>
            <w:spacing w:val="5"/>
            <w:w w:val="105"/>
          </w:rPr>
          <w:t>:</w:t>
        </w:r>
        <w:r>
          <w:rPr>
            <w:color w:val="231F20"/>
            <w:spacing w:val="-3"/>
            <w:w w:val="56"/>
          </w:rPr>
          <w:t>/</w:t>
        </w:r>
        <w:r>
          <w:rPr>
            <w:color w:val="231F20"/>
            <w:spacing w:val="1"/>
            <w:w w:val="56"/>
          </w:rPr>
          <w:t>/</w:t>
        </w:r>
        <w:r>
          <w:rPr>
            <w:color w:val="231F20"/>
            <w:spacing w:val="6"/>
          </w:rPr>
          <w:t>ww</w:t>
        </w:r>
        <w:r>
          <w:rPr>
            <w:color w:val="231F20"/>
            <w:spacing w:val="-12"/>
          </w:rPr>
          <w:t>w</w:t>
        </w:r>
        <w:r>
          <w:rPr>
            <w:color w:val="231F20"/>
            <w:spacing w:val="1"/>
            <w:w w:val="135"/>
          </w:rPr>
          <w:t>.</w:t>
        </w:r>
        <w:r>
          <w:rPr>
            <w:color w:val="231F20"/>
            <w:spacing w:val="-1"/>
            <w:w w:val="97"/>
          </w:rPr>
          <w:t>si</w:t>
        </w:r>
        <w:r>
          <w:rPr>
            <w:color w:val="231F20"/>
            <w:spacing w:val="3"/>
            <w:w w:val="97"/>
          </w:rPr>
          <w:t>g</w:t>
        </w:r>
        <w:r>
          <w:rPr>
            <w:color w:val="231F20"/>
            <w:spacing w:val="1"/>
            <w:w w:val="99"/>
          </w:rPr>
          <w:t>n</w:t>
        </w:r>
        <w:r>
          <w:rPr>
            <w:color w:val="231F20"/>
            <w:spacing w:val="2"/>
            <w:w w:val="102"/>
          </w:rPr>
          <w:t>a</w:t>
        </w:r>
        <w:r>
          <w:rPr>
            <w:color w:val="231F20"/>
            <w:spacing w:val="-1"/>
            <w:w w:val="99"/>
          </w:rPr>
          <w:t>n</w:t>
        </w:r>
        <w:r>
          <w:rPr>
            <w:color w:val="231F20"/>
            <w:spacing w:val="1"/>
          </w:rPr>
          <w:t>d</w:t>
        </w:r>
        <w:r>
          <w:rPr>
            <w:color w:val="231F20"/>
            <w:spacing w:val="-1"/>
            <w:w w:val="97"/>
          </w:rPr>
          <w:t>si</w:t>
        </w:r>
        <w:r>
          <w:rPr>
            <w:color w:val="231F20"/>
            <w:spacing w:val="3"/>
            <w:w w:val="97"/>
          </w:rPr>
          <w:t>g</w:t>
        </w:r>
        <w:r>
          <w:rPr>
            <w:color w:val="231F20"/>
            <w:spacing w:val="-2"/>
          </w:rPr>
          <w:t>h</w:t>
        </w:r>
        <w:r>
          <w:rPr>
            <w:color w:val="231F20"/>
            <w:spacing w:val="1"/>
            <w:w w:val="98"/>
          </w:rPr>
          <w:t>t</w:t>
        </w:r>
        <w:r>
          <w:rPr>
            <w:color w:val="231F20"/>
            <w:w w:val="135"/>
          </w:rPr>
          <w:t>.</w:t>
        </w:r>
        <w:r>
          <w:rPr>
            <w:color w:val="231F20"/>
          </w:rPr>
          <w:t>c</w:t>
        </w:r>
        <w:r>
          <w:rPr>
            <w:color w:val="231F20"/>
            <w:spacing w:val="-1"/>
            <w:w w:val="104"/>
          </w:rPr>
          <w:t>o</w:t>
        </w:r>
        <w:r>
          <w:rPr>
            <w:color w:val="231F20"/>
            <w:spacing w:val="10"/>
            <w:w w:val="99"/>
          </w:rPr>
          <w:t>m</w:t>
        </w:r>
        <w:r>
          <w:rPr>
            <w:color w:val="231F20"/>
            <w:spacing w:val="-1"/>
            <w:w w:val="56"/>
          </w:rPr>
          <w:t>/</w:t>
        </w:r>
        <w:r>
          <w:rPr>
            <w:color w:val="231F20"/>
            <w:w w:val="109"/>
          </w:rPr>
          <w:t>f</w:t>
        </w:r>
        <w:r>
          <w:rPr>
            <w:color w:val="231F20"/>
            <w:spacing w:val="1"/>
            <w:w w:val="91"/>
          </w:rPr>
          <w:t>e</w:t>
        </w:r>
        <w:r>
          <w:rPr>
            <w:color w:val="231F20"/>
            <w:spacing w:val="-2"/>
            <w:w w:val="102"/>
          </w:rPr>
          <w:t>a</w:t>
        </w:r>
        <w:r>
          <w:rPr>
            <w:color w:val="231F20"/>
            <w:spacing w:val="3"/>
            <w:w w:val="98"/>
          </w:rPr>
          <w:t>t</w:t>
        </w:r>
        <w:r>
          <w:rPr>
            <w:color w:val="231F20"/>
            <w:spacing w:val="3"/>
          </w:rPr>
          <w:t>u</w:t>
        </w:r>
        <w:r>
          <w:rPr>
            <w:color w:val="231F20"/>
            <w:spacing w:val="-1"/>
            <w:w w:val="94"/>
          </w:rPr>
          <w:t>r</w:t>
        </w:r>
        <w:r>
          <w:rPr>
            <w:color w:val="231F20"/>
            <w:spacing w:val="1"/>
            <w:w w:val="91"/>
          </w:rPr>
          <w:t>e</w:t>
        </w:r>
        <w:r>
          <w:rPr>
            <w:color w:val="231F20"/>
            <w:spacing w:val="5"/>
            <w:w w:val="90"/>
          </w:rPr>
          <w:t>s</w:t>
        </w:r>
        <w:r>
          <w:rPr>
            <w:color w:val="231F20"/>
            <w:spacing w:val="-10"/>
            <w:w w:val="56"/>
          </w:rPr>
          <w:t>/</w:t>
        </w:r>
        <w:r>
          <w:rPr>
            <w:color w:val="231F20"/>
            <w:spacing w:val="-10"/>
          </w:rPr>
          <w:t>4</w:t>
        </w:r>
        <w:r>
          <w:rPr>
            <w:color w:val="231F20"/>
            <w:spacing w:val="-3"/>
          </w:rPr>
          <w:t>3</w:t>
        </w:r>
        <w:r>
          <w:rPr>
            <w:color w:val="231F20"/>
            <w:spacing w:val="-1"/>
          </w:rPr>
          <w:t>4</w:t>
        </w:r>
        <w:r>
          <w:rPr>
            <w:color w:val="231F20"/>
            <w:w w:val="135"/>
          </w:rPr>
          <w:t>.</w:t>
        </w:r>
        <w:r>
          <w:rPr>
            <w:color w:val="231F20"/>
            <w:spacing w:val="-2"/>
            <w:w w:val="99"/>
          </w:rPr>
          <w:t>h</w:t>
        </w:r>
        <w:r>
          <w:rPr>
            <w:color w:val="231F20"/>
            <w:spacing w:val="3"/>
            <w:w w:val="99"/>
          </w:rPr>
          <w:t>tm</w:t>
        </w:r>
        <w:r>
          <w:rPr>
            <w:color w:val="231F20"/>
            <w:w w:val="102"/>
          </w:rPr>
          <w:t>l</w:t>
        </w:r>
        <w:r>
          <w:rPr>
            <w:color w:val="231F20"/>
            <w:w w:val="135"/>
          </w:rPr>
          <w:t>.</w:t>
        </w:r>
      </w:hyperlink>
    </w:p>
    <w:p w14:paraId="4E817408" w14:textId="77777777" w:rsidR="002653E8" w:rsidRPr="00846956" w:rsidRDefault="003115E3">
      <w:pPr>
        <w:spacing w:before="162" w:line="244" w:lineRule="auto"/>
        <w:ind w:left="2281" w:right="1580" w:hanging="1134"/>
        <w:rPr>
          <w:sz w:val="20"/>
          <w:lang w:val="de-DE"/>
        </w:rPr>
      </w:pPr>
      <w:r w:rsidRPr="00846956">
        <w:rPr>
          <w:i/>
          <w:color w:val="231F20"/>
          <w:w w:val="105"/>
          <w:sz w:val="20"/>
          <w:lang w:val="de-DE"/>
        </w:rPr>
        <w:t xml:space="preserve">Frankfurter Allgemeine Zeitung. </w:t>
      </w:r>
      <w:r w:rsidRPr="00846956">
        <w:rPr>
          <w:color w:val="231F20"/>
          <w:w w:val="105"/>
          <w:sz w:val="20"/>
          <w:lang w:val="de-DE"/>
        </w:rPr>
        <w:t>“Berliner CDU ruft zu einer Demonstration.” November 16, 1974.</w:t>
      </w:r>
    </w:p>
    <w:p w14:paraId="574D28F4" w14:textId="77777777" w:rsidR="002653E8" w:rsidRPr="00846956" w:rsidRDefault="003115E3">
      <w:pPr>
        <w:pStyle w:val="a3"/>
        <w:spacing w:before="162" w:line="244" w:lineRule="auto"/>
        <w:ind w:left="2281" w:right="1145" w:hanging="1134"/>
        <w:rPr>
          <w:lang w:val="de-DE"/>
        </w:rPr>
      </w:pPr>
      <w:r w:rsidRPr="00846956">
        <w:rPr>
          <w:color w:val="231F20"/>
          <w:w w:val="105"/>
          <w:lang w:val="de-DE"/>
        </w:rPr>
        <w:t>-------------“Bescheidene Mitgleiderzahlen radikaler Organisation.” June 7, 1972.</w:t>
      </w:r>
    </w:p>
    <w:p w14:paraId="4628EE82" w14:textId="77777777" w:rsidR="002653E8" w:rsidRPr="00846956" w:rsidRDefault="003115E3">
      <w:pPr>
        <w:pStyle w:val="a3"/>
        <w:spacing w:before="162" w:line="244" w:lineRule="auto"/>
        <w:ind w:left="2281" w:right="1580" w:hanging="1134"/>
        <w:rPr>
          <w:lang w:val="de-DE"/>
        </w:rPr>
      </w:pPr>
      <w:r w:rsidRPr="00846956">
        <w:rPr>
          <w:color w:val="231F20"/>
          <w:w w:val="105"/>
          <w:lang w:val="de-DE"/>
        </w:rPr>
        <w:t>-------------“Beshuldigungen nach dem Tod von Holger Meins.” November 10, 1974.</w:t>
      </w:r>
    </w:p>
    <w:p w14:paraId="2B52D136" w14:textId="77777777" w:rsidR="002653E8" w:rsidRPr="00846956" w:rsidRDefault="003115E3">
      <w:pPr>
        <w:pStyle w:val="a3"/>
        <w:spacing w:before="161"/>
        <w:ind w:left="1147"/>
        <w:rPr>
          <w:lang w:val="de-DE"/>
        </w:rPr>
      </w:pPr>
      <w:r w:rsidRPr="00846956">
        <w:rPr>
          <w:color w:val="231F20"/>
          <w:w w:val="105"/>
          <w:lang w:val="de-DE"/>
        </w:rPr>
        <w:t>-------------“Die Vollzuganstalt Wittlich.” November 10, 1974.</w:t>
      </w:r>
    </w:p>
    <w:p w14:paraId="2330D23F" w14:textId="77777777" w:rsidR="002653E8" w:rsidRPr="00846956" w:rsidRDefault="003115E3">
      <w:pPr>
        <w:pStyle w:val="a3"/>
        <w:spacing w:before="166" w:line="244" w:lineRule="auto"/>
        <w:ind w:left="2282" w:right="1580" w:hanging="1135"/>
        <w:rPr>
          <w:lang w:val="de-DE"/>
        </w:rPr>
      </w:pPr>
      <w:r w:rsidRPr="00846956">
        <w:rPr>
          <w:color w:val="231F20"/>
          <w:w w:val="105"/>
          <w:lang w:val="de-DE"/>
        </w:rPr>
        <w:t>-------------“DKP verurteilt anarchistische Demonstrationen in Frankfurt.” May 26, 1972.</w:t>
      </w:r>
    </w:p>
    <w:p w14:paraId="22FE7542" w14:textId="77777777" w:rsidR="002653E8" w:rsidRPr="00846956" w:rsidRDefault="003115E3">
      <w:pPr>
        <w:pStyle w:val="a3"/>
        <w:spacing w:before="162" w:line="244" w:lineRule="auto"/>
        <w:ind w:left="2281" w:right="1580" w:hanging="1134"/>
        <w:rPr>
          <w:lang w:val="de-DE"/>
        </w:rPr>
      </w:pPr>
      <w:r w:rsidRPr="00846956">
        <w:rPr>
          <w:color w:val="231F20"/>
          <w:lang w:val="de-DE"/>
        </w:rPr>
        <w:t>-------------“Empörung nach den tödlichen Schüsssen von Berlin.” November 12, 1974.</w:t>
      </w:r>
    </w:p>
    <w:p w14:paraId="16E52B90" w14:textId="77777777" w:rsidR="002653E8" w:rsidRPr="00846956" w:rsidRDefault="002653E8">
      <w:pPr>
        <w:spacing w:line="244" w:lineRule="auto"/>
        <w:rPr>
          <w:lang w:val="de-DE"/>
        </w:rPr>
        <w:sectPr w:rsidR="002653E8" w:rsidRPr="00846956">
          <w:footerReference w:type="even" r:id="rId606"/>
          <w:footerReference w:type="default" r:id="rId607"/>
          <w:pgSz w:w="8640" w:h="12960"/>
          <w:pgMar w:top="1060" w:right="0" w:bottom="1040" w:left="0" w:header="0" w:footer="850" w:gutter="0"/>
          <w:pgNumType w:start="652"/>
          <w:cols w:space="720"/>
        </w:sectPr>
      </w:pPr>
    </w:p>
    <w:p w14:paraId="70C4EAD5" w14:textId="77777777" w:rsidR="002653E8" w:rsidRPr="00846956" w:rsidRDefault="003115E3">
      <w:pPr>
        <w:pStyle w:val="a3"/>
        <w:spacing w:before="70" w:line="244" w:lineRule="auto"/>
        <w:ind w:left="2461" w:right="2448" w:hanging="1134"/>
        <w:rPr>
          <w:lang w:val="de-DE"/>
        </w:rPr>
      </w:pPr>
      <w:r w:rsidRPr="00846956">
        <w:rPr>
          <w:color w:val="231F20"/>
          <w:lang w:val="de-DE"/>
        </w:rPr>
        <w:lastRenderedPageBreak/>
        <w:t>-------------“Erklärung der Kirche gegen Terorismus.” November 29, 1974.</w:t>
      </w:r>
    </w:p>
    <w:p w14:paraId="4D71DE12" w14:textId="77777777" w:rsidR="002653E8" w:rsidRPr="00846956" w:rsidRDefault="003115E3">
      <w:pPr>
        <w:pStyle w:val="a3"/>
        <w:spacing w:before="161"/>
        <w:ind w:left="1328"/>
        <w:rPr>
          <w:lang w:val="de-DE"/>
        </w:rPr>
      </w:pPr>
      <w:r w:rsidRPr="00846956">
        <w:rPr>
          <w:color w:val="231F20"/>
          <w:w w:val="105"/>
          <w:lang w:val="de-DE"/>
        </w:rPr>
        <w:t>-------------“Erst nach Stunden identifiziert.” June 19, 1972.</w:t>
      </w:r>
    </w:p>
    <w:p w14:paraId="24613993" w14:textId="77777777" w:rsidR="002653E8" w:rsidRPr="00846956" w:rsidRDefault="003115E3">
      <w:pPr>
        <w:pStyle w:val="a3"/>
        <w:spacing w:before="166" w:line="244" w:lineRule="auto"/>
        <w:ind w:left="2462" w:right="1580" w:hanging="1134"/>
        <w:rPr>
          <w:lang w:val="de-DE"/>
        </w:rPr>
      </w:pPr>
      <w:r w:rsidRPr="00846956">
        <w:rPr>
          <w:color w:val="231F20"/>
          <w:w w:val="105"/>
          <w:lang w:val="de-DE"/>
        </w:rPr>
        <w:t>-------------“Festnahmen nach Frankfurter Ausschreitungen.” May 15, 1976.</w:t>
      </w:r>
    </w:p>
    <w:p w14:paraId="40EA787F" w14:textId="77777777" w:rsidR="002653E8" w:rsidRPr="00846956" w:rsidRDefault="003115E3">
      <w:pPr>
        <w:pStyle w:val="a3"/>
        <w:spacing w:before="162"/>
        <w:ind w:left="1327"/>
        <w:rPr>
          <w:lang w:val="de-DE"/>
        </w:rPr>
      </w:pPr>
      <w:r w:rsidRPr="00846956">
        <w:rPr>
          <w:color w:val="231F20"/>
          <w:w w:val="105"/>
          <w:lang w:val="de-DE"/>
        </w:rPr>
        <w:t>-------------“Keine Solidarisierung mit Abenteurern.” May 29, 1972.</w:t>
      </w:r>
    </w:p>
    <w:p w14:paraId="7E1D6D89" w14:textId="77777777" w:rsidR="002653E8" w:rsidRPr="00846956" w:rsidRDefault="003115E3">
      <w:pPr>
        <w:pStyle w:val="a3"/>
        <w:spacing w:before="165" w:line="244" w:lineRule="auto"/>
        <w:ind w:left="2461" w:right="1580" w:hanging="1134"/>
        <w:rPr>
          <w:lang w:val="de-DE"/>
        </w:rPr>
      </w:pPr>
      <w:r w:rsidRPr="00846956">
        <w:rPr>
          <w:color w:val="231F20"/>
          <w:lang w:val="de-DE"/>
        </w:rPr>
        <w:t>-------------“Maihofer: ‘Brutale Strategie’ der Baader-MeinhofBande.” November 14, 1974.</w:t>
      </w:r>
    </w:p>
    <w:p w14:paraId="4A0012F6" w14:textId="77777777" w:rsidR="002653E8" w:rsidRPr="00846956" w:rsidRDefault="003115E3">
      <w:pPr>
        <w:pStyle w:val="a3"/>
        <w:spacing w:before="162"/>
        <w:ind w:left="1327"/>
        <w:rPr>
          <w:lang w:val="de-DE"/>
        </w:rPr>
      </w:pPr>
      <w:r w:rsidRPr="00846956">
        <w:rPr>
          <w:color w:val="231F20"/>
          <w:w w:val="105"/>
          <w:lang w:val="de-DE"/>
        </w:rPr>
        <w:t>-------------“Todesfälle eingeplant?” November 14, 1974.</w:t>
      </w:r>
    </w:p>
    <w:p w14:paraId="7FE43A4F" w14:textId="77777777" w:rsidR="002653E8" w:rsidRPr="00846956" w:rsidRDefault="003115E3">
      <w:pPr>
        <w:pStyle w:val="a3"/>
        <w:spacing w:before="165" w:line="244" w:lineRule="auto"/>
        <w:ind w:left="2461" w:right="1325" w:hanging="1134"/>
        <w:rPr>
          <w:lang w:val="de-DE"/>
        </w:rPr>
      </w:pPr>
      <w:r w:rsidRPr="00846956">
        <w:rPr>
          <w:color w:val="231F20"/>
          <w:lang w:val="de-DE"/>
        </w:rPr>
        <w:t>-------------“Verdacht der Unterstützung von Terroristen beunruhigt die Berliner evangelische Kirche.” November 12, 1974.</w:t>
      </w:r>
    </w:p>
    <w:p w14:paraId="719DEBD2" w14:textId="77777777" w:rsidR="002653E8" w:rsidRPr="00846956" w:rsidRDefault="003115E3">
      <w:pPr>
        <w:pStyle w:val="a3"/>
        <w:spacing w:before="162" w:line="244" w:lineRule="auto"/>
        <w:ind w:left="2461" w:right="1580" w:hanging="1134"/>
        <w:rPr>
          <w:lang w:val="de-DE"/>
        </w:rPr>
      </w:pPr>
      <w:r w:rsidRPr="00846956">
        <w:rPr>
          <w:color w:val="231F20"/>
          <w:lang w:val="de-DE"/>
        </w:rPr>
        <w:t>-------------“Verstärkte Sicherheitsmaßnahmen im gesamtem Bundesgebeit.” November 12, 1974.</w:t>
      </w:r>
    </w:p>
    <w:p w14:paraId="526CD2B2" w14:textId="77777777" w:rsidR="002653E8" w:rsidRDefault="003115E3">
      <w:pPr>
        <w:pStyle w:val="a3"/>
        <w:spacing w:before="162" w:line="244" w:lineRule="auto"/>
        <w:ind w:left="2461" w:right="1145" w:hanging="1134"/>
      </w:pPr>
      <w:r w:rsidRPr="00846956">
        <w:rPr>
          <w:color w:val="231F20"/>
          <w:lang w:val="de-DE"/>
        </w:rPr>
        <w:t xml:space="preserve">-------------“Zweihundert Studenten der Freien Universität im Hungerstriek Demonstrationen und Krawalle in Berlin.” </w:t>
      </w:r>
      <w:r>
        <w:rPr>
          <w:color w:val="231F20"/>
        </w:rPr>
        <w:t>November 13, 1974.</w:t>
      </w:r>
    </w:p>
    <w:p w14:paraId="33DBD6CC" w14:textId="77777777" w:rsidR="002653E8" w:rsidRPr="00846956" w:rsidRDefault="003115E3">
      <w:pPr>
        <w:spacing w:before="162" w:line="244" w:lineRule="auto"/>
        <w:ind w:left="2461" w:right="1145" w:hanging="1134"/>
        <w:rPr>
          <w:sz w:val="20"/>
          <w:lang w:val="de-DE"/>
        </w:rPr>
      </w:pPr>
      <w:r>
        <w:rPr>
          <w:i/>
          <w:color w:val="231F20"/>
          <w:w w:val="105"/>
          <w:sz w:val="20"/>
        </w:rPr>
        <w:t xml:space="preserve">The Fresno (California) Bee. </w:t>
      </w:r>
      <w:r>
        <w:rPr>
          <w:color w:val="231F20"/>
          <w:w w:val="105"/>
          <w:sz w:val="20"/>
        </w:rPr>
        <w:t xml:space="preserve">“Plane is Offered Lorenz Kidnappers.” </w:t>
      </w:r>
      <w:r w:rsidRPr="00846956">
        <w:rPr>
          <w:color w:val="231F20"/>
          <w:w w:val="105"/>
          <w:sz w:val="20"/>
          <w:lang w:val="de-DE"/>
        </w:rPr>
        <w:t>February 22, 1975.</w:t>
      </w:r>
    </w:p>
    <w:p w14:paraId="13CC2BAD" w14:textId="77777777" w:rsidR="002653E8" w:rsidRPr="00846956" w:rsidRDefault="003115E3">
      <w:pPr>
        <w:pStyle w:val="a3"/>
        <w:spacing w:before="162" w:line="244" w:lineRule="auto"/>
        <w:ind w:left="2461" w:right="1207" w:hanging="1134"/>
        <w:rPr>
          <w:lang w:val="de-DE"/>
        </w:rPr>
      </w:pPr>
      <w:r w:rsidRPr="00846956">
        <w:rPr>
          <w:color w:val="231F20"/>
          <w:lang w:val="de-DE"/>
        </w:rPr>
        <w:t xml:space="preserve">Goettle, Gabriele. “Die Praxis der Galaxie.” </w:t>
      </w:r>
      <w:r w:rsidRPr="00846956">
        <w:rPr>
          <w:i/>
          <w:color w:val="231F20"/>
          <w:lang w:val="de-DE"/>
        </w:rPr>
        <w:t xml:space="preserve">die tageszeitung, </w:t>
      </w:r>
      <w:r w:rsidRPr="00846956">
        <w:rPr>
          <w:color w:val="231F20"/>
          <w:lang w:val="de-DE"/>
        </w:rPr>
        <w:t>July 28, 2008</w:t>
      </w:r>
      <w:r w:rsidRPr="00846956">
        <w:rPr>
          <w:color w:val="231F20"/>
          <w:w w:val="135"/>
          <w:lang w:val="de-DE"/>
        </w:rPr>
        <w:t>.</w:t>
      </w:r>
      <w:r w:rsidRPr="00846956">
        <w:rPr>
          <w:color w:val="231F20"/>
          <w:lang w:val="de-DE"/>
        </w:rPr>
        <w:t xml:space="preserve"> </w:t>
      </w:r>
      <w:hyperlink r:id="rId608">
        <w:r w:rsidRPr="00846956">
          <w:rPr>
            <w:color w:val="231F20"/>
            <w:lang w:val="de-DE"/>
          </w:rPr>
          <w:t>h</w:t>
        </w:r>
        <w:r w:rsidRPr="00846956">
          <w:rPr>
            <w:color w:val="231F20"/>
            <w:w w:val="98"/>
            <w:lang w:val="de-DE"/>
          </w:rPr>
          <w:t>tt</w:t>
        </w:r>
        <w:r w:rsidRPr="00846956">
          <w:rPr>
            <w:color w:val="231F20"/>
            <w:w w:val="99"/>
            <w:lang w:val="de-DE"/>
          </w:rPr>
          <w:t>p</w:t>
        </w:r>
        <w:r w:rsidRPr="00846956">
          <w:rPr>
            <w:color w:val="231F20"/>
            <w:w w:val="105"/>
            <w:lang w:val="de-DE"/>
          </w:rPr>
          <w:t>:</w:t>
        </w:r>
        <w:r w:rsidRPr="00846956">
          <w:rPr>
            <w:color w:val="231F20"/>
            <w:w w:val="56"/>
            <w:lang w:val="de-DE"/>
          </w:rPr>
          <w:t>//</w:t>
        </w:r>
        <w:r w:rsidRPr="00846956">
          <w:rPr>
            <w:color w:val="231F20"/>
            <w:lang w:val="de-DE"/>
          </w:rPr>
          <w:t>www</w:t>
        </w:r>
        <w:r w:rsidRPr="00846956">
          <w:rPr>
            <w:color w:val="231F20"/>
            <w:w w:val="135"/>
            <w:lang w:val="de-DE"/>
          </w:rPr>
          <w:t>.</w:t>
        </w:r>
        <w:r w:rsidRPr="00846956">
          <w:rPr>
            <w:color w:val="231F20"/>
            <w:w w:val="99"/>
            <w:lang w:val="de-DE"/>
          </w:rPr>
          <w:t>taz</w:t>
        </w:r>
        <w:r w:rsidRPr="00846956">
          <w:rPr>
            <w:color w:val="231F20"/>
            <w:w w:val="135"/>
            <w:lang w:val="de-DE"/>
          </w:rPr>
          <w:t>.</w:t>
        </w:r>
        <w:r w:rsidRPr="00846956">
          <w:rPr>
            <w:color w:val="231F20"/>
            <w:lang w:val="de-DE"/>
          </w:rPr>
          <w:t>d</w:t>
        </w:r>
        <w:r w:rsidRPr="00846956">
          <w:rPr>
            <w:color w:val="231F20"/>
            <w:w w:val="91"/>
            <w:lang w:val="de-DE"/>
          </w:rPr>
          <w:t>e</w:t>
        </w:r>
        <w:r w:rsidRPr="00846956">
          <w:rPr>
            <w:color w:val="231F20"/>
            <w:w w:val="56"/>
            <w:lang w:val="de-DE"/>
          </w:rPr>
          <w:t>/</w:t>
        </w:r>
        <w:r w:rsidRPr="00846956">
          <w:rPr>
            <w:color w:val="231F20"/>
            <w:lang w:val="de-DE"/>
          </w:rPr>
          <w:t>1</w:t>
        </w:r>
        <w:r w:rsidRPr="00846956">
          <w:rPr>
            <w:color w:val="231F20"/>
            <w:w w:val="56"/>
            <w:lang w:val="de-DE"/>
          </w:rPr>
          <w:t>/</w:t>
        </w:r>
        <w:r w:rsidRPr="00846956">
          <w:rPr>
            <w:color w:val="231F20"/>
            <w:w w:val="102"/>
            <w:lang w:val="de-DE"/>
          </w:rPr>
          <w:t>l</w:t>
        </w:r>
        <w:r w:rsidRPr="00846956">
          <w:rPr>
            <w:color w:val="231F20"/>
            <w:w w:val="91"/>
            <w:lang w:val="de-DE"/>
          </w:rPr>
          <w:t>e</w:t>
        </w:r>
        <w:r w:rsidRPr="00846956">
          <w:rPr>
            <w:color w:val="231F20"/>
            <w:w w:val="101"/>
            <w:lang w:val="de-DE"/>
          </w:rPr>
          <w:t>b</w:t>
        </w:r>
        <w:r w:rsidRPr="00846956">
          <w:rPr>
            <w:color w:val="231F20"/>
            <w:w w:val="91"/>
            <w:lang w:val="de-DE"/>
          </w:rPr>
          <w:t>e</w:t>
        </w:r>
        <w:r w:rsidRPr="00846956">
          <w:rPr>
            <w:color w:val="231F20"/>
            <w:w w:val="99"/>
            <w:lang w:val="de-DE"/>
          </w:rPr>
          <w:t>n</w:t>
        </w:r>
        <w:r w:rsidRPr="00846956">
          <w:rPr>
            <w:color w:val="231F20"/>
            <w:w w:val="56"/>
            <w:lang w:val="de-DE"/>
          </w:rPr>
          <w:t>/</w:t>
        </w:r>
        <w:r w:rsidRPr="00846956">
          <w:rPr>
            <w:color w:val="231F20"/>
            <w:w w:val="106"/>
            <w:lang w:val="de-DE"/>
          </w:rPr>
          <w:t>k</w:t>
        </w:r>
        <w:r w:rsidRPr="00846956">
          <w:rPr>
            <w:color w:val="231F20"/>
            <w:w w:val="104"/>
            <w:lang w:val="de-DE"/>
          </w:rPr>
          <w:t>o</w:t>
        </w:r>
        <w:r w:rsidRPr="00846956">
          <w:rPr>
            <w:color w:val="231F20"/>
            <w:w w:val="95"/>
            <w:lang w:val="de-DE"/>
          </w:rPr>
          <w:t>ep</w:t>
        </w:r>
        <w:r w:rsidRPr="00846956">
          <w:rPr>
            <w:color w:val="231F20"/>
            <w:w w:val="98"/>
            <w:lang w:val="de-DE"/>
          </w:rPr>
          <w:t>fe</w:t>
        </w:r>
        <w:r w:rsidRPr="00846956">
          <w:rPr>
            <w:color w:val="231F20"/>
            <w:w w:val="56"/>
            <w:lang w:val="de-DE"/>
          </w:rPr>
          <w:t>/</w:t>
        </w:r>
        <w:r w:rsidRPr="00846956">
          <w:rPr>
            <w:color w:val="231F20"/>
            <w:w w:val="102"/>
            <w:lang w:val="de-DE"/>
          </w:rPr>
          <w:t>a</w:t>
        </w:r>
        <w:r w:rsidRPr="00846956">
          <w:rPr>
            <w:color w:val="231F20"/>
            <w:w w:val="94"/>
            <w:lang w:val="de-DE"/>
          </w:rPr>
          <w:t>r</w:t>
        </w:r>
        <w:r w:rsidRPr="00846956">
          <w:rPr>
            <w:color w:val="231F20"/>
            <w:w w:val="98"/>
            <w:lang w:val="de-DE"/>
          </w:rPr>
          <w:t>t</w:t>
        </w:r>
        <w:r w:rsidRPr="00846956">
          <w:rPr>
            <w:color w:val="231F20"/>
            <w:lang w:val="de-DE"/>
          </w:rPr>
          <w:t>i</w:t>
        </w:r>
        <w:r w:rsidRPr="00846956">
          <w:rPr>
            <w:color w:val="231F20"/>
            <w:w w:val="106"/>
            <w:lang w:val="de-DE"/>
          </w:rPr>
          <w:t>k</w:t>
        </w:r>
        <w:r w:rsidRPr="00846956">
          <w:rPr>
            <w:color w:val="231F20"/>
            <w:w w:val="91"/>
            <w:lang w:val="de-DE"/>
          </w:rPr>
          <w:t>e</w:t>
        </w:r>
        <w:r w:rsidRPr="00846956">
          <w:rPr>
            <w:color w:val="231F20"/>
            <w:w w:val="102"/>
            <w:lang w:val="de-DE"/>
          </w:rPr>
          <w:t>l</w:t>
        </w:r>
        <w:r w:rsidRPr="00846956">
          <w:rPr>
            <w:color w:val="231F20"/>
            <w:w w:val="56"/>
            <w:lang w:val="de-DE"/>
          </w:rPr>
          <w:t>/</w:t>
        </w:r>
        <w:r w:rsidRPr="00846956">
          <w:rPr>
            <w:color w:val="231F20"/>
            <w:lang w:val="de-DE"/>
          </w:rPr>
          <w:t>1</w:t>
        </w:r>
        <w:r w:rsidRPr="00846956">
          <w:rPr>
            <w:color w:val="231F20"/>
            <w:w w:val="79"/>
            <w:lang w:val="de-DE"/>
          </w:rPr>
          <w:t>/d</w:t>
        </w:r>
        <w:r w:rsidRPr="00846956">
          <w:rPr>
            <w:color w:val="231F20"/>
            <w:lang w:val="de-DE"/>
          </w:rPr>
          <w:t>i</w:t>
        </w:r>
        <w:r w:rsidRPr="00846956">
          <w:rPr>
            <w:color w:val="231F20"/>
            <w:w w:val="91"/>
            <w:lang w:val="de-DE"/>
          </w:rPr>
          <w:t>e</w:t>
        </w:r>
        <w:r w:rsidRPr="00846956">
          <w:rPr>
            <w:color w:val="231F20"/>
            <w:lang w:val="de-DE"/>
          </w:rPr>
          <w:t>-</w:t>
        </w:r>
      </w:hyperlink>
      <w:r w:rsidRPr="00846956">
        <w:rPr>
          <w:color w:val="231F20"/>
          <w:lang w:val="de-DE"/>
        </w:rPr>
        <w:t xml:space="preserve"> </w:t>
      </w:r>
      <w:r w:rsidRPr="00846956">
        <w:rPr>
          <w:color w:val="231F20"/>
          <w:w w:val="99"/>
          <w:lang w:val="de-DE"/>
        </w:rPr>
        <w:t>p</w:t>
      </w:r>
      <w:r w:rsidRPr="00846956">
        <w:rPr>
          <w:color w:val="231F20"/>
          <w:w w:val="98"/>
          <w:lang w:val="de-DE"/>
        </w:rPr>
        <w:t>ra</w:t>
      </w:r>
      <w:r w:rsidRPr="00846956">
        <w:rPr>
          <w:color w:val="231F20"/>
          <w:w w:val="115"/>
          <w:lang w:val="de-DE"/>
        </w:rPr>
        <w:t>x</w:t>
      </w:r>
      <w:r w:rsidRPr="00846956">
        <w:rPr>
          <w:color w:val="231F20"/>
          <w:lang w:val="de-DE"/>
        </w:rPr>
        <w:t>i</w:t>
      </w:r>
      <w:r w:rsidRPr="00846956">
        <w:rPr>
          <w:color w:val="231F20"/>
          <w:w w:val="90"/>
          <w:lang w:val="de-DE"/>
        </w:rPr>
        <w:t>s</w:t>
      </w:r>
      <w:r w:rsidRPr="00846956">
        <w:rPr>
          <w:color w:val="231F20"/>
          <w:lang w:val="de-DE"/>
        </w:rPr>
        <w:t>-d</w:t>
      </w:r>
      <w:r w:rsidRPr="00846956">
        <w:rPr>
          <w:color w:val="231F20"/>
          <w:w w:val="91"/>
          <w:lang w:val="de-DE"/>
        </w:rPr>
        <w:t>e</w:t>
      </w:r>
      <w:r w:rsidRPr="00846956">
        <w:rPr>
          <w:color w:val="231F20"/>
          <w:w w:val="94"/>
          <w:lang w:val="de-DE"/>
        </w:rPr>
        <w:t>r</w:t>
      </w:r>
      <w:r w:rsidRPr="00846956">
        <w:rPr>
          <w:color w:val="231F20"/>
          <w:lang w:val="de-DE"/>
        </w:rPr>
        <w:t>-</w:t>
      </w:r>
      <w:r w:rsidRPr="00846956">
        <w:rPr>
          <w:color w:val="231F20"/>
          <w:w w:val="101"/>
          <w:lang w:val="de-DE"/>
        </w:rPr>
        <w:t>g</w:t>
      </w:r>
      <w:r w:rsidRPr="00846956">
        <w:rPr>
          <w:color w:val="231F20"/>
          <w:w w:val="102"/>
          <w:lang w:val="de-DE"/>
        </w:rPr>
        <w:t>ala</w:t>
      </w:r>
      <w:r w:rsidRPr="00846956">
        <w:rPr>
          <w:color w:val="231F20"/>
          <w:w w:val="115"/>
          <w:lang w:val="de-DE"/>
        </w:rPr>
        <w:t>x</w:t>
      </w:r>
      <w:r w:rsidRPr="00846956">
        <w:rPr>
          <w:color w:val="231F20"/>
          <w:w w:val="94"/>
          <w:lang w:val="de-DE"/>
        </w:rPr>
        <w:t>ie</w:t>
      </w:r>
      <w:r w:rsidRPr="00846956">
        <w:rPr>
          <w:color w:val="231F20"/>
          <w:w w:val="56"/>
          <w:lang w:val="de-DE"/>
        </w:rPr>
        <w:t>/</w:t>
      </w:r>
    </w:p>
    <w:p w14:paraId="1AB43DFA" w14:textId="77777777" w:rsidR="002653E8" w:rsidRPr="00846956" w:rsidRDefault="003115E3">
      <w:pPr>
        <w:pStyle w:val="a3"/>
        <w:spacing w:before="162" w:line="244" w:lineRule="auto"/>
        <w:ind w:left="2461" w:right="1325" w:hanging="1134"/>
        <w:rPr>
          <w:lang w:val="de-DE"/>
        </w:rPr>
      </w:pPr>
      <w:r w:rsidRPr="00846956">
        <w:rPr>
          <w:color w:val="231F20"/>
          <w:lang w:val="de-DE"/>
        </w:rPr>
        <w:t xml:space="preserve">Günsche, Karl-Ludwig and Hans Werner Loose. </w:t>
      </w:r>
      <w:r>
        <w:rPr>
          <w:color w:val="231F20"/>
        </w:rPr>
        <w:t xml:space="preserve">“Werner Mauss 40 years of fighting against criminality.” </w:t>
      </w:r>
      <w:r w:rsidRPr="00846956">
        <w:rPr>
          <w:i/>
          <w:color w:val="231F20"/>
          <w:lang w:val="de-DE"/>
        </w:rPr>
        <w:t xml:space="preserve">Die Welt, </w:t>
      </w:r>
      <w:r w:rsidRPr="00846956">
        <w:rPr>
          <w:color w:val="231F20"/>
          <w:lang w:val="de-DE"/>
        </w:rPr>
        <w:t>July 31, 1998</w:t>
      </w:r>
      <w:r w:rsidRPr="00846956">
        <w:rPr>
          <w:color w:val="231F20"/>
          <w:w w:val="135"/>
          <w:lang w:val="de-DE"/>
        </w:rPr>
        <w:t>.</w:t>
      </w:r>
      <w:r w:rsidRPr="00846956">
        <w:rPr>
          <w:color w:val="231F20"/>
          <w:lang w:val="de-DE"/>
        </w:rPr>
        <w:t xml:space="preserve"> </w:t>
      </w:r>
      <w:hyperlink r:id="rId609">
        <w:r w:rsidRPr="00846956">
          <w:rPr>
            <w:color w:val="231F20"/>
            <w:lang w:val="de-DE"/>
          </w:rPr>
          <w:t>h</w:t>
        </w:r>
        <w:r w:rsidRPr="00846956">
          <w:rPr>
            <w:color w:val="231F20"/>
            <w:w w:val="98"/>
            <w:lang w:val="de-DE"/>
          </w:rPr>
          <w:t>t</w:t>
        </w:r>
        <w:r w:rsidRPr="00846956">
          <w:rPr>
            <w:color w:val="231F20"/>
            <w:w w:val="99"/>
            <w:lang w:val="de-DE"/>
          </w:rPr>
          <w:t>tp</w:t>
        </w:r>
        <w:r w:rsidRPr="00846956">
          <w:rPr>
            <w:color w:val="231F20"/>
            <w:w w:val="105"/>
            <w:lang w:val="de-DE"/>
          </w:rPr>
          <w:t>:</w:t>
        </w:r>
        <w:r w:rsidRPr="00846956">
          <w:rPr>
            <w:color w:val="231F20"/>
            <w:w w:val="56"/>
            <w:lang w:val="de-DE"/>
          </w:rPr>
          <w:t>//</w:t>
        </w:r>
        <w:r w:rsidRPr="00846956">
          <w:rPr>
            <w:color w:val="231F20"/>
            <w:lang w:val="de-DE"/>
          </w:rPr>
          <w:t>www</w:t>
        </w:r>
        <w:r w:rsidRPr="00846956">
          <w:rPr>
            <w:color w:val="231F20"/>
            <w:w w:val="135"/>
            <w:lang w:val="de-DE"/>
          </w:rPr>
          <w:t>.</w:t>
        </w:r>
        <w:r w:rsidRPr="00846956">
          <w:rPr>
            <w:color w:val="231F20"/>
            <w:lang w:val="de-DE"/>
          </w:rPr>
          <w:t>w</w:t>
        </w:r>
        <w:r w:rsidRPr="00846956">
          <w:rPr>
            <w:color w:val="231F20"/>
            <w:w w:val="91"/>
            <w:lang w:val="de-DE"/>
          </w:rPr>
          <w:t>e</w:t>
        </w:r>
        <w:r w:rsidRPr="00846956">
          <w:rPr>
            <w:color w:val="231F20"/>
            <w:w w:val="97"/>
            <w:lang w:val="de-DE"/>
          </w:rPr>
          <w:t>rn</w:t>
        </w:r>
        <w:r w:rsidRPr="00846956">
          <w:rPr>
            <w:color w:val="231F20"/>
            <w:w w:val="91"/>
            <w:lang w:val="de-DE"/>
          </w:rPr>
          <w:t>e</w:t>
        </w:r>
        <w:r w:rsidRPr="00846956">
          <w:rPr>
            <w:color w:val="231F20"/>
            <w:w w:val="94"/>
            <w:lang w:val="de-DE"/>
          </w:rPr>
          <w:t>r</w:t>
        </w:r>
        <w:r w:rsidRPr="00846956">
          <w:rPr>
            <w:color w:val="231F20"/>
            <w:lang w:val="de-DE"/>
          </w:rPr>
          <w:t>-</w:t>
        </w:r>
        <w:r w:rsidRPr="00846956">
          <w:rPr>
            <w:color w:val="231F20"/>
            <w:w w:val="99"/>
            <w:lang w:val="de-DE"/>
          </w:rPr>
          <w:t>m</w:t>
        </w:r>
        <w:r w:rsidRPr="00846956">
          <w:rPr>
            <w:color w:val="231F20"/>
            <w:w w:val="102"/>
            <w:lang w:val="de-DE"/>
          </w:rPr>
          <w:t>a</w:t>
        </w:r>
        <w:r w:rsidRPr="00846956">
          <w:rPr>
            <w:color w:val="231F20"/>
            <w:lang w:val="de-DE"/>
          </w:rPr>
          <w:t>u</w:t>
        </w:r>
        <w:r w:rsidRPr="00846956">
          <w:rPr>
            <w:color w:val="231F20"/>
            <w:w w:val="90"/>
            <w:lang w:val="de-DE"/>
          </w:rPr>
          <w:t>ss</w:t>
        </w:r>
        <w:r w:rsidRPr="00846956">
          <w:rPr>
            <w:color w:val="231F20"/>
            <w:w w:val="135"/>
            <w:lang w:val="de-DE"/>
          </w:rPr>
          <w:t>.</w:t>
        </w:r>
        <w:r w:rsidRPr="00846956">
          <w:rPr>
            <w:color w:val="231F20"/>
            <w:lang w:val="de-DE"/>
          </w:rPr>
          <w:t>c</w:t>
        </w:r>
        <w:r w:rsidRPr="00846956">
          <w:rPr>
            <w:color w:val="231F20"/>
            <w:w w:val="104"/>
            <w:lang w:val="de-DE"/>
          </w:rPr>
          <w:t>o</w:t>
        </w:r>
        <w:r w:rsidRPr="00846956">
          <w:rPr>
            <w:color w:val="231F20"/>
            <w:w w:val="99"/>
            <w:lang w:val="de-DE"/>
          </w:rPr>
          <w:t>m</w:t>
        </w:r>
        <w:r w:rsidRPr="00846956">
          <w:rPr>
            <w:color w:val="231F20"/>
            <w:w w:val="56"/>
            <w:lang w:val="de-DE"/>
          </w:rPr>
          <w:t>/</w:t>
        </w:r>
        <w:r w:rsidRPr="00846956">
          <w:rPr>
            <w:color w:val="231F20"/>
            <w:w w:val="99"/>
            <w:lang w:val="de-DE"/>
          </w:rPr>
          <w:t>in</w:t>
        </w:r>
        <w:r w:rsidRPr="00846956">
          <w:rPr>
            <w:color w:val="231F20"/>
            <w:lang w:val="de-DE"/>
          </w:rPr>
          <w:t>d</w:t>
        </w:r>
        <w:r w:rsidRPr="00846956">
          <w:rPr>
            <w:color w:val="231F20"/>
            <w:w w:val="91"/>
            <w:lang w:val="de-DE"/>
          </w:rPr>
          <w:t>e</w:t>
        </w:r>
        <w:r w:rsidRPr="00846956">
          <w:rPr>
            <w:color w:val="231F20"/>
            <w:w w:val="115"/>
            <w:lang w:val="de-DE"/>
          </w:rPr>
          <w:t>x</w:t>
        </w:r>
        <w:r w:rsidRPr="00846956">
          <w:rPr>
            <w:color w:val="231F20"/>
            <w:lang w:val="de-DE"/>
          </w:rPr>
          <w:t>1339</w:t>
        </w:r>
        <w:r w:rsidRPr="00846956">
          <w:rPr>
            <w:color w:val="231F20"/>
            <w:w w:val="135"/>
            <w:lang w:val="de-DE"/>
          </w:rPr>
          <w:t>.</w:t>
        </w:r>
        <w:r w:rsidRPr="00846956">
          <w:rPr>
            <w:color w:val="231F20"/>
            <w:w w:val="99"/>
            <w:lang w:val="de-DE"/>
          </w:rPr>
          <w:t>htm</w:t>
        </w:r>
        <w:r w:rsidRPr="00846956">
          <w:rPr>
            <w:color w:val="231F20"/>
            <w:w w:val="102"/>
            <w:lang w:val="de-DE"/>
          </w:rPr>
          <w:t>l</w:t>
        </w:r>
        <w:r w:rsidRPr="00846956">
          <w:rPr>
            <w:color w:val="231F20"/>
            <w:w w:val="135"/>
            <w:lang w:val="de-DE"/>
          </w:rPr>
          <w:t>.</w:t>
        </w:r>
      </w:hyperlink>
    </w:p>
    <w:p w14:paraId="0FBA6728" w14:textId="77777777" w:rsidR="002653E8" w:rsidRDefault="003115E3">
      <w:pPr>
        <w:pStyle w:val="a3"/>
        <w:spacing w:before="163"/>
        <w:ind w:left="1327"/>
      </w:pPr>
      <w:r>
        <w:rPr>
          <w:color w:val="231F20"/>
          <w:w w:val="105"/>
        </w:rPr>
        <w:t>Haworth, David. “Why German Workers Don’t Ask For Raises.”</w:t>
      </w:r>
    </w:p>
    <w:p w14:paraId="7D141A02" w14:textId="77777777" w:rsidR="002653E8" w:rsidRDefault="003115E3">
      <w:pPr>
        <w:spacing w:before="5"/>
        <w:ind w:left="2461"/>
        <w:rPr>
          <w:sz w:val="20"/>
        </w:rPr>
      </w:pPr>
      <w:r>
        <w:rPr>
          <w:i/>
          <w:color w:val="231F20"/>
          <w:w w:val="105"/>
          <w:sz w:val="20"/>
        </w:rPr>
        <w:t xml:space="preserve">Winnipeg Free Press, </w:t>
      </w:r>
      <w:r>
        <w:rPr>
          <w:color w:val="231F20"/>
          <w:w w:val="105"/>
          <w:sz w:val="20"/>
        </w:rPr>
        <w:t>December 11, 1968.</w:t>
      </w:r>
    </w:p>
    <w:p w14:paraId="0736AC93" w14:textId="77777777" w:rsidR="002653E8" w:rsidRPr="00846956" w:rsidRDefault="003115E3">
      <w:pPr>
        <w:pStyle w:val="a3"/>
        <w:spacing w:before="166" w:line="244" w:lineRule="auto"/>
        <w:ind w:left="2461" w:right="1427" w:hanging="1134"/>
        <w:rPr>
          <w:lang w:val="de-DE"/>
        </w:rPr>
      </w:pPr>
      <w:r>
        <w:rPr>
          <w:color w:val="231F20"/>
        </w:rPr>
        <w:t xml:space="preserve">Henkel, Peter. </w:t>
      </w:r>
      <w:r w:rsidRPr="00846956">
        <w:rPr>
          <w:color w:val="231F20"/>
          <w:lang w:val="de-DE"/>
        </w:rPr>
        <w:t xml:space="preserve">“Milde Urteile für Volker Speitel und Hans-Joachim Dellwo.” </w:t>
      </w:r>
      <w:r w:rsidRPr="00846956">
        <w:rPr>
          <w:i/>
          <w:color w:val="231F20"/>
          <w:lang w:val="de-DE"/>
        </w:rPr>
        <w:t xml:space="preserve">Frankfurter Rundschau, </w:t>
      </w:r>
      <w:r w:rsidRPr="00846956">
        <w:rPr>
          <w:color w:val="231F20"/>
          <w:lang w:val="de-DE"/>
        </w:rPr>
        <w:t xml:space="preserve">December 15, 1978. </w:t>
      </w:r>
      <w:hyperlink r:id="rId610">
        <w:r w:rsidRPr="00846956">
          <w:rPr>
            <w:color w:val="231F20"/>
            <w:lang w:val="de-DE"/>
          </w:rPr>
          <w:t>h</w:t>
        </w:r>
        <w:r w:rsidRPr="00846956">
          <w:rPr>
            <w:color w:val="231F20"/>
            <w:w w:val="98"/>
            <w:lang w:val="de-DE"/>
          </w:rPr>
          <w:t>tt</w:t>
        </w:r>
        <w:r w:rsidRPr="00846956">
          <w:rPr>
            <w:color w:val="231F20"/>
            <w:w w:val="99"/>
            <w:lang w:val="de-DE"/>
          </w:rPr>
          <w:t>p</w:t>
        </w:r>
        <w:r w:rsidRPr="00846956">
          <w:rPr>
            <w:color w:val="231F20"/>
            <w:w w:val="105"/>
            <w:lang w:val="de-DE"/>
          </w:rPr>
          <w:t>:</w:t>
        </w:r>
        <w:r w:rsidRPr="00846956">
          <w:rPr>
            <w:color w:val="231F20"/>
            <w:w w:val="56"/>
            <w:lang w:val="de-DE"/>
          </w:rPr>
          <w:t>//</w:t>
        </w:r>
        <w:r w:rsidRPr="00846956">
          <w:rPr>
            <w:color w:val="231F20"/>
            <w:lang w:val="de-DE"/>
          </w:rPr>
          <w:t>www</w:t>
        </w:r>
        <w:r w:rsidRPr="00846956">
          <w:rPr>
            <w:color w:val="231F20"/>
            <w:w w:val="135"/>
            <w:lang w:val="de-DE"/>
          </w:rPr>
          <w:t>.</w:t>
        </w:r>
        <w:r w:rsidRPr="00846956">
          <w:rPr>
            <w:color w:val="231F20"/>
            <w:w w:val="109"/>
            <w:lang w:val="de-DE"/>
          </w:rPr>
          <w:t>f</w:t>
        </w:r>
        <w:r w:rsidRPr="00846956">
          <w:rPr>
            <w:color w:val="231F20"/>
            <w:w w:val="94"/>
            <w:lang w:val="de-DE"/>
          </w:rPr>
          <w:t>r</w:t>
        </w:r>
        <w:r w:rsidRPr="00846956">
          <w:rPr>
            <w:color w:val="231F20"/>
            <w:lang w:val="de-DE"/>
          </w:rPr>
          <w:t>-</w:t>
        </w:r>
        <w:r w:rsidRPr="00846956">
          <w:rPr>
            <w:color w:val="231F20"/>
            <w:w w:val="104"/>
            <w:lang w:val="de-DE"/>
          </w:rPr>
          <w:t>o</w:t>
        </w:r>
        <w:r w:rsidRPr="00846956">
          <w:rPr>
            <w:color w:val="231F20"/>
            <w:w w:val="99"/>
            <w:lang w:val="de-DE"/>
          </w:rPr>
          <w:t>n</w:t>
        </w:r>
        <w:r w:rsidRPr="00846956">
          <w:rPr>
            <w:color w:val="231F20"/>
            <w:w w:val="101"/>
            <w:lang w:val="de-DE"/>
          </w:rPr>
          <w:t>li</w:t>
        </w:r>
        <w:r w:rsidRPr="00846956">
          <w:rPr>
            <w:color w:val="231F20"/>
            <w:w w:val="99"/>
            <w:lang w:val="de-DE"/>
          </w:rPr>
          <w:t>n</w:t>
        </w:r>
        <w:r w:rsidRPr="00846956">
          <w:rPr>
            <w:color w:val="231F20"/>
            <w:w w:val="91"/>
            <w:lang w:val="de-DE"/>
          </w:rPr>
          <w:t>e</w:t>
        </w:r>
        <w:r w:rsidRPr="00846956">
          <w:rPr>
            <w:color w:val="231F20"/>
            <w:w w:val="135"/>
            <w:lang w:val="de-DE"/>
          </w:rPr>
          <w:t>.</w:t>
        </w:r>
        <w:r w:rsidRPr="00846956">
          <w:rPr>
            <w:color w:val="231F20"/>
            <w:lang w:val="de-DE"/>
          </w:rPr>
          <w:t>d</w:t>
        </w:r>
        <w:r w:rsidRPr="00846956">
          <w:rPr>
            <w:color w:val="231F20"/>
            <w:w w:val="91"/>
            <w:lang w:val="de-DE"/>
          </w:rPr>
          <w:t>e</w:t>
        </w:r>
        <w:r w:rsidRPr="00846956">
          <w:rPr>
            <w:color w:val="231F20"/>
            <w:w w:val="56"/>
            <w:lang w:val="de-DE"/>
          </w:rPr>
          <w:t>/</w:t>
        </w:r>
        <w:r w:rsidRPr="00846956">
          <w:rPr>
            <w:color w:val="231F20"/>
            <w:lang w:val="de-DE"/>
          </w:rPr>
          <w:t>i</w:t>
        </w:r>
        <w:r w:rsidRPr="00846956">
          <w:rPr>
            <w:color w:val="231F20"/>
            <w:w w:val="99"/>
            <w:lang w:val="de-DE"/>
          </w:rPr>
          <w:t>n</w:t>
        </w:r>
        <w:r w:rsidRPr="00846956">
          <w:rPr>
            <w:color w:val="231F20"/>
            <w:w w:val="114"/>
            <w:lang w:val="de-DE"/>
          </w:rPr>
          <w:t>_u</w:t>
        </w:r>
        <w:r w:rsidRPr="00846956">
          <w:rPr>
            <w:color w:val="231F20"/>
            <w:w w:val="99"/>
            <w:lang w:val="de-DE"/>
          </w:rPr>
          <w:t>n</w:t>
        </w:r>
        <w:r w:rsidRPr="00846956">
          <w:rPr>
            <w:color w:val="231F20"/>
            <w:lang w:val="de-DE"/>
          </w:rPr>
          <w:t>d</w:t>
        </w:r>
        <w:r w:rsidRPr="00846956">
          <w:rPr>
            <w:color w:val="231F20"/>
            <w:w w:val="134"/>
            <w:lang w:val="de-DE"/>
          </w:rPr>
          <w:t>_</w:t>
        </w:r>
        <w:r w:rsidRPr="00846956">
          <w:rPr>
            <w:color w:val="231F20"/>
            <w:w w:val="102"/>
            <w:lang w:val="de-DE"/>
          </w:rPr>
          <w:t>a</w:t>
        </w:r>
        <w:r w:rsidRPr="00846956">
          <w:rPr>
            <w:color w:val="231F20"/>
            <w:lang w:val="de-DE"/>
          </w:rPr>
          <w:t>u</w:t>
        </w:r>
        <w:r w:rsidRPr="00846956">
          <w:rPr>
            <w:color w:val="231F20"/>
            <w:w w:val="90"/>
            <w:lang w:val="de-DE"/>
          </w:rPr>
          <w:t>s</w:t>
        </w:r>
        <w:r w:rsidRPr="00846956">
          <w:rPr>
            <w:color w:val="231F20"/>
            <w:w w:val="102"/>
            <w:lang w:val="de-DE"/>
          </w:rPr>
          <w:t>la</w:t>
        </w:r>
        <w:r w:rsidRPr="00846956">
          <w:rPr>
            <w:color w:val="231F20"/>
            <w:w w:val="99"/>
            <w:lang w:val="de-DE"/>
          </w:rPr>
          <w:t>n</w:t>
        </w:r>
        <w:r w:rsidRPr="00846956">
          <w:rPr>
            <w:color w:val="231F20"/>
            <w:lang w:val="de-DE"/>
          </w:rPr>
          <w:t>d</w:t>
        </w:r>
        <w:r w:rsidRPr="00846956">
          <w:rPr>
            <w:color w:val="231F20"/>
            <w:w w:val="56"/>
            <w:lang w:val="de-DE"/>
          </w:rPr>
          <w:t>/</w:t>
        </w:r>
        <w:r w:rsidRPr="00846956">
          <w:rPr>
            <w:color w:val="231F20"/>
            <w:w w:val="99"/>
            <w:lang w:val="de-DE"/>
          </w:rPr>
          <w:t>p</w:t>
        </w:r>
        <w:r w:rsidRPr="00846956">
          <w:rPr>
            <w:color w:val="231F20"/>
            <w:w w:val="104"/>
            <w:lang w:val="de-DE"/>
          </w:rPr>
          <w:t>o</w:t>
        </w:r>
        <w:r w:rsidRPr="00846956">
          <w:rPr>
            <w:color w:val="231F20"/>
            <w:w w:val="101"/>
            <w:lang w:val="de-DE"/>
          </w:rPr>
          <w:t>li</w:t>
        </w:r>
        <w:r w:rsidRPr="00846956">
          <w:rPr>
            <w:color w:val="231F20"/>
            <w:w w:val="99"/>
            <w:lang w:val="de-DE"/>
          </w:rPr>
          <w:t>ti</w:t>
        </w:r>
        <w:r w:rsidRPr="00846956">
          <w:rPr>
            <w:color w:val="231F20"/>
            <w:w w:val="106"/>
            <w:lang w:val="de-DE"/>
          </w:rPr>
          <w:t>k</w:t>
        </w:r>
        <w:r w:rsidRPr="00846956">
          <w:rPr>
            <w:color w:val="231F20"/>
            <w:w w:val="56"/>
            <w:lang w:val="de-DE"/>
          </w:rPr>
          <w:t>/</w:t>
        </w:r>
      </w:hyperlink>
      <w:r w:rsidRPr="00846956">
        <w:rPr>
          <w:color w:val="231F20"/>
          <w:w w:val="56"/>
          <w:lang w:val="de-DE"/>
        </w:rPr>
        <w:t xml:space="preserve"> </w:t>
      </w:r>
      <w:r w:rsidRPr="00846956">
        <w:rPr>
          <w:color w:val="231F20"/>
          <w:w w:val="97"/>
          <w:lang w:val="de-DE"/>
        </w:rPr>
        <w:t>z</w:t>
      </w:r>
      <w:r w:rsidRPr="00846956">
        <w:rPr>
          <w:color w:val="231F20"/>
          <w:w w:val="91"/>
          <w:lang w:val="de-DE"/>
        </w:rPr>
        <w:t>e</w:t>
      </w:r>
      <w:r w:rsidRPr="00846956">
        <w:rPr>
          <w:color w:val="231F20"/>
          <w:lang w:val="de-DE"/>
        </w:rPr>
        <w:t>i</w:t>
      </w:r>
      <w:r w:rsidRPr="00846956">
        <w:rPr>
          <w:color w:val="231F20"/>
          <w:w w:val="98"/>
          <w:lang w:val="de-DE"/>
        </w:rPr>
        <w:t>t</w:t>
      </w:r>
      <w:r w:rsidRPr="00846956">
        <w:rPr>
          <w:color w:val="231F20"/>
          <w:w w:val="101"/>
          <w:lang w:val="de-DE"/>
        </w:rPr>
        <w:t>g</w:t>
      </w:r>
      <w:r w:rsidRPr="00846956">
        <w:rPr>
          <w:color w:val="231F20"/>
          <w:w w:val="91"/>
          <w:lang w:val="de-DE"/>
        </w:rPr>
        <w:t>e</w:t>
      </w:r>
      <w:r w:rsidRPr="00846956">
        <w:rPr>
          <w:color w:val="231F20"/>
          <w:w w:val="90"/>
          <w:lang w:val="de-DE"/>
        </w:rPr>
        <w:t>s</w:t>
      </w:r>
      <w:r w:rsidRPr="00846956">
        <w:rPr>
          <w:color w:val="231F20"/>
          <w:lang w:val="de-DE"/>
        </w:rPr>
        <w:t>chich</w:t>
      </w:r>
      <w:r w:rsidRPr="00846956">
        <w:rPr>
          <w:color w:val="231F20"/>
          <w:w w:val="98"/>
          <w:lang w:val="de-DE"/>
        </w:rPr>
        <w:t>t</w:t>
      </w:r>
      <w:r w:rsidRPr="00846956">
        <w:rPr>
          <w:color w:val="231F20"/>
          <w:w w:val="91"/>
          <w:lang w:val="de-DE"/>
        </w:rPr>
        <w:t>e</w:t>
      </w:r>
      <w:r w:rsidRPr="00846956">
        <w:rPr>
          <w:color w:val="231F20"/>
          <w:w w:val="56"/>
          <w:lang w:val="de-DE"/>
        </w:rPr>
        <w:t>/</w:t>
      </w:r>
      <w:r w:rsidRPr="00846956">
        <w:rPr>
          <w:color w:val="231F20"/>
          <w:w w:val="95"/>
          <w:lang w:val="de-DE"/>
        </w:rPr>
        <w:t>de</w:t>
      </w:r>
      <w:r w:rsidRPr="00846956">
        <w:rPr>
          <w:color w:val="231F20"/>
          <w:w w:val="94"/>
          <w:lang w:val="de-DE"/>
        </w:rPr>
        <w:t>r</w:t>
      </w:r>
      <w:r w:rsidRPr="00846956">
        <w:rPr>
          <w:color w:val="231F20"/>
          <w:w w:val="134"/>
          <w:lang w:val="de-DE"/>
        </w:rPr>
        <w:t>_</w:t>
      </w:r>
      <w:r w:rsidRPr="00846956">
        <w:rPr>
          <w:color w:val="231F20"/>
          <w:w w:val="95"/>
          <w:lang w:val="de-DE"/>
        </w:rPr>
        <w:t>de</w:t>
      </w:r>
      <w:r w:rsidRPr="00846956">
        <w:rPr>
          <w:color w:val="231F20"/>
          <w:lang w:val="de-DE"/>
        </w:rPr>
        <w:t>u</w:t>
      </w:r>
      <w:r w:rsidRPr="00846956">
        <w:rPr>
          <w:color w:val="231F20"/>
          <w:w w:val="98"/>
          <w:lang w:val="de-DE"/>
        </w:rPr>
        <w:t>t</w:t>
      </w:r>
      <w:r w:rsidRPr="00846956">
        <w:rPr>
          <w:color w:val="231F20"/>
          <w:w w:val="90"/>
          <w:lang w:val="de-DE"/>
        </w:rPr>
        <w:t>s</w:t>
      </w:r>
      <w:r w:rsidRPr="00846956">
        <w:rPr>
          <w:color w:val="231F20"/>
          <w:lang w:val="de-DE"/>
        </w:rPr>
        <w:t>ch</w:t>
      </w:r>
      <w:r w:rsidRPr="00846956">
        <w:rPr>
          <w:color w:val="231F20"/>
          <w:w w:val="91"/>
          <w:lang w:val="de-DE"/>
        </w:rPr>
        <w:t>e</w:t>
      </w:r>
      <w:r w:rsidRPr="00846956">
        <w:rPr>
          <w:color w:val="231F20"/>
          <w:w w:val="134"/>
          <w:lang w:val="de-DE"/>
        </w:rPr>
        <w:t>_</w:t>
      </w:r>
      <w:r w:rsidRPr="00846956">
        <w:rPr>
          <w:color w:val="231F20"/>
          <w:lang w:val="de-DE"/>
        </w:rPr>
        <w:t>h</w:t>
      </w:r>
      <w:r w:rsidRPr="00846956">
        <w:rPr>
          <w:color w:val="231F20"/>
          <w:w w:val="91"/>
          <w:lang w:val="de-DE"/>
        </w:rPr>
        <w:t>e</w:t>
      </w:r>
      <w:r w:rsidRPr="00846956">
        <w:rPr>
          <w:color w:val="231F20"/>
          <w:w w:val="94"/>
          <w:lang w:val="de-DE"/>
        </w:rPr>
        <w:t>r</w:t>
      </w:r>
      <w:r w:rsidRPr="00846956">
        <w:rPr>
          <w:color w:val="231F20"/>
          <w:w w:val="101"/>
          <w:lang w:val="de-DE"/>
        </w:rPr>
        <w:t>b</w:t>
      </w:r>
      <w:r w:rsidRPr="00846956">
        <w:rPr>
          <w:color w:val="231F20"/>
          <w:w w:val="90"/>
          <w:lang w:val="de-DE"/>
        </w:rPr>
        <w:t>s</w:t>
      </w:r>
      <w:r w:rsidRPr="00846956">
        <w:rPr>
          <w:color w:val="231F20"/>
          <w:w w:val="98"/>
          <w:lang w:val="de-DE"/>
        </w:rPr>
        <w:t>t</w:t>
      </w:r>
      <w:r w:rsidRPr="00846956">
        <w:rPr>
          <w:color w:val="231F20"/>
          <w:w w:val="56"/>
          <w:lang w:val="de-DE"/>
        </w:rPr>
        <w:t>/</w:t>
      </w:r>
      <w:r w:rsidRPr="00846956">
        <w:rPr>
          <w:color w:val="231F20"/>
          <w:lang w:val="de-DE"/>
        </w:rPr>
        <w:t>d</w:t>
      </w:r>
      <w:r w:rsidRPr="00846956">
        <w:rPr>
          <w:color w:val="231F20"/>
          <w:w w:val="102"/>
          <w:lang w:val="de-DE"/>
        </w:rPr>
        <w:t>a</w:t>
      </w:r>
      <w:r w:rsidRPr="00846956">
        <w:rPr>
          <w:color w:val="231F20"/>
          <w:w w:val="90"/>
          <w:lang w:val="de-DE"/>
        </w:rPr>
        <w:t>s</w:t>
      </w:r>
      <w:r w:rsidRPr="00846956">
        <w:rPr>
          <w:color w:val="231F20"/>
          <w:w w:val="134"/>
          <w:lang w:val="de-DE"/>
        </w:rPr>
        <w:t>_</w:t>
      </w:r>
      <w:r w:rsidRPr="00846956">
        <w:rPr>
          <w:color w:val="231F20"/>
          <w:w w:val="91"/>
          <w:lang w:val="de-DE"/>
        </w:rPr>
        <w:t>e</w:t>
      </w:r>
      <w:r w:rsidRPr="00846956">
        <w:rPr>
          <w:color w:val="231F20"/>
          <w:w w:val="99"/>
          <w:lang w:val="de-DE"/>
        </w:rPr>
        <w:t>n</w:t>
      </w:r>
      <w:r w:rsidRPr="00846956">
        <w:rPr>
          <w:color w:val="231F20"/>
          <w:w w:val="95"/>
          <w:lang w:val="de-DE"/>
        </w:rPr>
        <w:t>de</w:t>
      </w:r>
      <w:r w:rsidRPr="00846956">
        <w:rPr>
          <w:color w:val="231F20"/>
          <w:w w:val="56"/>
          <w:lang w:val="de-DE"/>
        </w:rPr>
        <w:t>/</w:t>
      </w:r>
      <w:r w:rsidRPr="00846956">
        <w:rPr>
          <w:color w:val="231F20"/>
          <w:lang w:val="de-DE"/>
        </w:rPr>
        <w:t>40164</w:t>
      </w:r>
      <w:r w:rsidRPr="00846956">
        <w:rPr>
          <w:color w:val="231F20"/>
          <w:w w:val="134"/>
          <w:lang w:val="de-DE"/>
        </w:rPr>
        <w:t xml:space="preserve">_ </w:t>
      </w:r>
      <w:r w:rsidRPr="00846956">
        <w:rPr>
          <w:color w:val="231F20"/>
          <w:lang w:val="de-DE"/>
        </w:rPr>
        <w:t>Milde-Urteile-fuer-Volker-Speitel-und-Hans-JoachimDellwo.html</w:t>
      </w:r>
    </w:p>
    <w:p w14:paraId="578741F7" w14:textId="77777777" w:rsidR="002653E8" w:rsidRPr="00846956" w:rsidRDefault="002653E8">
      <w:pPr>
        <w:spacing w:line="244" w:lineRule="auto"/>
        <w:rPr>
          <w:lang w:val="de-DE"/>
        </w:rPr>
        <w:sectPr w:rsidR="002653E8" w:rsidRPr="00846956">
          <w:pgSz w:w="8640" w:h="12960"/>
          <w:pgMar w:top="1060" w:right="0" w:bottom="1040" w:left="0" w:header="0" w:footer="850" w:gutter="0"/>
          <w:cols w:space="720"/>
        </w:sectPr>
      </w:pPr>
    </w:p>
    <w:p w14:paraId="7AFA9444" w14:textId="77777777" w:rsidR="002653E8" w:rsidRDefault="003115E3">
      <w:pPr>
        <w:pStyle w:val="a3"/>
        <w:spacing w:before="70" w:line="244" w:lineRule="auto"/>
        <w:ind w:left="2281" w:right="1580" w:hanging="1134"/>
      </w:pPr>
      <w:r>
        <w:rPr>
          <w:i/>
          <w:color w:val="231F20"/>
        </w:rPr>
        <w:lastRenderedPageBreak/>
        <w:t xml:space="preserve">Intelligence. </w:t>
      </w:r>
      <w:r>
        <w:rPr>
          <w:color w:val="231F20"/>
        </w:rPr>
        <w:t xml:space="preserve">“Free Agent ‘Werner Mauss’ Gets Caught.” Dec. 16, 1996. </w:t>
      </w:r>
      <w:hyperlink r:id="rId611">
        <w:r>
          <w:rPr>
            <w:color w:val="231F20"/>
            <w:w w:val="99"/>
          </w:rPr>
          <w:t>ht</w:t>
        </w:r>
        <w:r>
          <w:rPr>
            <w:color w:val="231F20"/>
            <w:w w:val="98"/>
          </w:rPr>
          <w:t>t</w:t>
        </w:r>
        <w:r>
          <w:rPr>
            <w:color w:val="231F20"/>
            <w:w w:val="99"/>
          </w:rPr>
          <w:t>p</w:t>
        </w:r>
        <w:r>
          <w:rPr>
            <w:color w:val="231F20"/>
            <w:w w:val="105"/>
          </w:rPr>
          <w:t>:</w:t>
        </w:r>
        <w:r>
          <w:rPr>
            <w:color w:val="231F20"/>
            <w:w w:val="56"/>
          </w:rPr>
          <w:t>//</w:t>
        </w:r>
        <w:r>
          <w:rPr>
            <w:color w:val="231F20"/>
          </w:rPr>
          <w:t>www</w:t>
        </w:r>
        <w:r>
          <w:rPr>
            <w:color w:val="231F20"/>
            <w:w w:val="135"/>
          </w:rPr>
          <w:t>.</w:t>
        </w:r>
        <w:r>
          <w:rPr>
            <w:color w:val="231F20"/>
            <w:w w:val="101"/>
          </w:rPr>
          <w:t>b</w:t>
        </w:r>
        <w:r>
          <w:rPr>
            <w:color w:val="231F20"/>
          </w:rPr>
          <w:t>ly</w:t>
        </w:r>
        <w:r>
          <w:rPr>
            <w:color w:val="231F20"/>
            <w:w w:val="98"/>
          </w:rPr>
          <w:t>t</w:t>
        </w:r>
        <w:r>
          <w:rPr>
            <w:color w:val="231F20"/>
          </w:rPr>
          <w:t>h</w:t>
        </w:r>
        <w:r>
          <w:rPr>
            <w:color w:val="231F20"/>
            <w:w w:val="91"/>
          </w:rPr>
          <w:t>e</w:t>
        </w:r>
        <w:r>
          <w:rPr>
            <w:color w:val="231F20"/>
            <w:w w:val="135"/>
          </w:rPr>
          <w:t>.</w:t>
        </w:r>
        <w:r>
          <w:rPr>
            <w:color w:val="231F20"/>
            <w:w w:val="104"/>
          </w:rPr>
          <w:t>o</w:t>
        </w:r>
        <w:r>
          <w:rPr>
            <w:color w:val="231F20"/>
            <w:w w:val="94"/>
          </w:rPr>
          <w:t>r</w:t>
        </w:r>
        <w:r>
          <w:rPr>
            <w:color w:val="231F20"/>
            <w:w w:val="101"/>
          </w:rPr>
          <w:t>g</w:t>
        </w:r>
        <w:r>
          <w:rPr>
            <w:color w:val="231F20"/>
            <w:w w:val="56"/>
          </w:rPr>
          <w:t>/</w:t>
        </w:r>
        <w:r>
          <w:rPr>
            <w:color w:val="231F20"/>
            <w:w w:val="102"/>
          </w:rPr>
          <w:t>I</w:t>
        </w:r>
        <w:r>
          <w:rPr>
            <w:color w:val="231F20"/>
            <w:w w:val="99"/>
          </w:rPr>
          <w:t>nt</w:t>
        </w:r>
        <w:r>
          <w:rPr>
            <w:color w:val="231F20"/>
            <w:w w:val="91"/>
          </w:rPr>
          <w:t>e</w:t>
        </w:r>
        <w:r>
          <w:rPr>
            <w:color w:val="231F20"/>
            <w:w w:val="102"/>
          </w:rPr>
          <w:t>ll</w:t>
        </w:r>
        <w:r>
          <w:rPr>
            <w:color w:val="231F20"/>
          </w:rPr>
          <w:t>i</w:t>
        </w:r>
        <w:r>
          <w:rPr>
            <w:color w:val="231F20"/>
            <w:w w:val="101"/>
          </w:rPr>
          <w:t>g</w:t>
        </w:r>
        <w:r>
          <w:rPr>
            <w:color w:val="231F20"/>
            <w:w w:val="91"/>
          </w:rPr>
          <w:t>e</w:t>
        </w:r>
        <w:r>
          <w:rPr>
            <w:color w:val="231F20"/>
            <w:w w:val="99"/>
          </w:rPr>
          <w:t>n</w:t>
        </w:r>
        <w:r>
          <w:rPr>
            <w:color w:val="231F20"/>
          </w:rPr>
          <w:t>c</w:t>
        </w:r>
        <w:r>
          <w:rPr>
            <w:color w:val="231F20"/>
            <w:w w:val="91"/>
          </w:rPr>
          <w:t>e</w:t>
        </w:r>
        <w:r>
          <w:rPr>
            <w:color w:val="231F20"/>
            <w:w w:val="73"/>
          </w:rPr>
          <w:t>/r</w:t>
        </w:r>
        <w:r>
          <w:rPr>
            <w:color w:val="231F20"/>
            <w:w w:val="91"/>
          </w:rPr>
          <w:t>e</w:t>
        </w:r>
        <w:r>
          <w:rPr>
            <w:color w:val="231F20"/>
            <w:w w:val="102"/>
          </w:rPr>
          <w:t>a</w:t>
        </w:r>
        <w:r>
          <w:rPr>
            <w:color w:val="231F20"/>
          </w:rPr>
          <w:t>d</w:t>
        </w:r>
        <w:r>
          <w:rPr>
            <w:color w:val="231F20"/>
            <w:w w:val="99"/>
          </w:rPr>
          <w:t>m</w:t>
        </w:r>
        <w:r>
          <w:rPr>
            <w:color w:val="231F20"/>
            <w:w w:val="91"/>
          </w:rPr>
          <w:t>e</w:t>
        </w:r>
        <w:r>
          <w:rPr>
            <w:color w:val="231F20"/>
            <w:w w:val="56"/>
          </w:rPr>
          <w:t>/</w:t>
        </w:r>
        <w:r>
          <w:rPr>
            <w:color w:val="231F20"/>
          </w:rPr>
          <w:t>50</w:t>
        </w:r>
        <w:r>
          <w:rPr>
            <w:color w:val="231F20"/>
            <w:w w:val="122"/>
          </w:rPr>
          <w:t>M</w:t>
        </w:r>
        <w:r>
          <w:rPr>
            <w:color w:val="231F20"/>
            <w:w w:val="101"/>
          </w:rPr>
          <w:t>au</w:t>
        </w:r>
        <w:r>
          <w:rPr>
            <w:color w:val="231F20"/>
            <w:w w:val="90"/>
          </w:rPr>
          <w:t>s</w:t>
        </w:r>
        <w:r>
          <w:rPr>
            <w:color w:val="231F20"/>
            <w:w w:val="135"/>
          </w:rPr>
          <w:t>.</w:t>
        </w:r>
      </w:hyperlink>
    </w:p>
    <w:p w14:paraId="7A16F859" w14:textId="77777777" w:rsidR="002653E8" w:rsidRDefault="003115E3">
      <w:pPr>
        <w:spacing w:before="161" w:line="244" w:lineRule="auto"/>
        <w:ind w:left="2281" w:right="1580" w:hanging="1134"/>
        <w:rPr>
          <w:sz w:val="20"/>
        </w:rPr>
      </w:pPr>
      <w:r>
        <w:rPr>
          <w:color w:val="231F20"/>
          <w:w w:val="105"/>
          <w:sz w:val="20"/>
        </w:rPr>
        <w:t xml:space="preserve">Jacobson, Philip. “Show Trial.” </w:t>
      </w:r>
      <w:r>
        <w:rPr>
          <w:i/>
          <w:color w:val="231F20"/>
          <w:w w:val="105"/>
          <w:sz w:val="20"/>
        </w:rPr>
        <w:t xml:space="preserve">Sunday Times Magazine, </w:t>
      </w:r>
      <w:r>
        <w:rPr>
          <w:color w:val="231F20"/>
          <w:w w:val="105"/>
          <w:sz w:val="20"/>
        </w:rPr>
        <w:t>Feb. 23, 1975: 12-23.</w:t>
      </w:r>
    </w:p>
    <w:p w14:paraId="5E427414" w14:textId="77777777" w:rsidR="002653E8" w:rsidRDefault="003115E3">
      <w:pPr>
        <w:pStyle w:val="a3"/>
        <w:spacing w:before="162" w:line="244" w:lineRule="auto"/>
        <w:ind w:left="2281" w:right="1580" w:hanging="1134"/>
      </w:pPr>
      <w:r>
        <w:rPr>
          <w:color w:val="231F20"/>
        </w:rPr>
        <w:t xml:space="preserve">Karacs, Imre. “After 25 years Carlos the Jackal gets his revenge.” </w:t>
      </w:r>
      <w:r>
        <w:rPr>
          <w:i/>
          <w:color w:val="231F20"/>
        </w:rPr>
        <w:t xml:space="preserve">The </w:t>
      </w:r>
      <w:r>
        <w:rPr>
          <w:i/>
          <w:color w:val="231F20"/>
          <w:w w:val="89"/>
        </w:rPr>
        <w:t>(</w:t>
      </w:r>
      <w:r>
        <w:rPr>
          <w:i/>
          <w:color w:val="231F20"/>
          <w:w w:val="127"/>
        </w:rPr>
        <w:t>L</w:t>
      </w:r>
      <w:r>
        <w:rPr>
          <w:i/>
          <w:color w:val="231F20"/>
          <w:w w:val="109"/>
        </w:rPr>
        <w:t>o</w:t>
      </w:r>
      <w:r>
        <w:rPr>
          <w:i/>
          <w:color w:val="231F20"/>
          <w:w w:val="103"/>
        </w:rPr>
        <w:t>n</w:t>
      </w:r>
      <w:r>
        <w:rPr>
          <w:i/>
          <w:color w:val="231F20"/>
          <w:w w:val="106"/>
        </w:rPr>
        <w:t>d</w:t>
      </w:r>
      <w:r>
        <w:rPr>
          <w:i/>
          <w:color w:val="231F20"/>
          <w:w w:val="109"/>
        </w:rPr>
        <w:t>o</w:t>
      </w:r>
      <w:r>
        <w:rPr>
          <w:i/>
          <w:color w:val="231F20"/>
          <w:w w:val="103"/>
        </w:rPr>
        <w:t>n</w:t>
      </w:r>
      <w:r>
        <w:rPr>
          <w:i/>
          <w:color w:val="231F20"/>
          <w:w w:val="89"/>
        </w:rPr>
        <w:t>)</w:t>
      </w:r>
      <w:r>
        <w:rPr>
          <w:i/>
          <w:color w:val="231F20"/>
        </w:rPr>
        <w:t xml:space="preserve"> </w:t>
      </w:r>
      <w:r>
        <w:rPr>
          <w:i/>
          <w:color w:val="231F20"/>
          <w:w w:val="121"/>
        </w:rPr>
        <w:t>I</w:t>
      </w:r>
      <w:r>
        <w:rPr>
          <w:i/>
          <w:color w:val="231F20"/>
          <w:w w:val="103"/>
        </w:rPr>
        <w:t>n</w:t>
      </w:r>
      <w:r>
        <w:rPr>
          <w:i/>
          <w:color w:val="231F20"/>
          <w:w w:val="106"/>
        </w:rPr>
        <w:t>d</w:t>
      </w:r>
      <w:r>
        <w:rPr>
          <w:i/>
          <w:color w:val="231F20"/>
          <w:w w:val="97"/>
        </w:rPr>
        <w:t>e</w:t>
      </w:r>
      <w:r>
        <w:rPr>
          <w:i/>
          <w:color w:val="231F20"/>
          <w:w w:val="105"/>
        </w:rPr>
        <w:t>p</w:t>
      </w:r>
      <w:r>
        <w:rPr>
          <w:i/>
          <w:color w:val="231F20"/>
          <w:w w:val="97"/>
        </w:rPr>
        <w:t>e</w:t>
      </w:r>
      <w:r>
        <w:rPr>
          <w:i/>
          <w:color w:val="231F20"/>
          <w:w w:val="103"/>
        </w:rPr>
        <w:t>n</w:t>
      </w:r>
      <w:r>
        <w:rPr>
          <w:i/>
          <w:color w:val="231F20"/>
          <w:w w:val="106"/>
        </w:rPr>
        <w:t>d</w:t>
      </w:r>
      <w:r>
        <w:rPr>
          <w:i/>
          <w:color w:val="231F20"/>
          <w:w w:val="97"/>
        </w:rPr>
        <w:t>e</w:t>
      </w:r>
      <w:r>
        <w:rPr>
          <w:i/>
          <w:color w:val="231F20"/>
          <w:w w:val="103"/>
        </w:rPr>
        <w:t>n</w:t>
      </w:r>
      <w:r>
        <w:rPr>
          <w:i/>
          <w:color w:val="231F20"/>
          <w:w w:val="96"/>
        </w:rPr>
        <w:t>t</w:t>
      </w:r>
      <w:r>
        <w:rPr>
          <w:i/>
          <w:color w:val="231F20"/>
          <w:w w:val="139"/>
        </w:rPr>
        <w:t>,</w:t>
      </w:r>
      <w:r>
        <w:rPr>
          <w:i/>
          <w:color w:val="231F20"/>
        </w:rPr>
        <w:t xml:space="preserve"> </w:t>
      </w:r>
      <w:r>
        <w:rPr>
          <w:color w:val="231F20"/>
          <w:w w:val="127"/>
        </w:rPr>
        <w:t>O</w:t>
      </w:r>
      <w:r>
        <w:rPr>
          <w:color w:val="231F20"/>
        </w:rPr>
        <w:t>c</w:t>
      </w:r>
      <w:r>
        <w:rPr>
          <w:color w:val="231F20"/>
          <w:w w:val="98"/>
        </w:rPr>
        <w:t>t</w:t>
      </w:r>
      <w:r>
        <w:rPr>
          <w:color w:val="231F20"/>
          <w:w w:val="104"/>
        </w:rPr>
        <w:t>o</w:t>
      </w:r>
      <w:r>
        <w:rPr>
          <w:color w:val="231F20"/>
          <w:w w:val="101"/>
        </w:rPr>
        <w:t>b</w:t>
      </w:r>
      <w:r>
        <w:rPr>
          <w:color w:val="231F20"/>
          <w:w w:val="92"/>
        </w:rPr>
        <w:t>er</w:t>
      </w:r>
      <w:r>
        <w:rPr>
          <w:color w:val="231F20"/>
        </w:rPr>
        <w:t xml:space="preserve"> 18</w:t>
      </w:r>
      <w:r>
        <w:rPr>
          <w:color w:val="231F20"/>
          <w:w w:val="135"/>
        </w:rPr>
        <w:t>,</w:t>
      </w:r>
      <w:r>
        <w:rPr>
          <w:color w:val="231F20"/>
        </w:rPr>
        <w:t xml:space="preserve"> 2000</w:t>
      </w:r>
      <w:r>
        <w:rPr>
          <w:color w:val="231F20"/>
          <w:w w:val="135"/>
        </w:rPr>
        <w:t>.</w:t>
      </w:r>
      <w:r>
        <w:rPr>
          <w:color w:val="231F20"/>
        </w:rPr>
        <w:t xml:space="preserve"> </w:t>
      </w:r>
      <w:hyperlink r:id="rId612">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hyperlink>
      <w:r>
        <w:rPr>
          <w:color w:val="231F20"/>
          <w:w w:val="135"/>
        </w:rPr>
        <w:t xml:space="preserve"> </w:t>
      </w:r>
      <w:r>
        <w:rPr>
          <w:color w:val="231F20"/>
        </w:rPr>
        <w:t>i</w:t>
      </w:r>
      <w:r>
        <w:rPr>
          <w:color w:val="231F20"/>
          <w:w w:val="99"/>
        </w:rPr>
        <w:t>n</w:t>
      </w:r>
      <w:r>
        <w:rPr>
          <w:color w:val="231F20"/>
        </w:rPr>
        <w:t>d</w:t>
      </w:r>
      <w:r>
        <w:rPr>
          <w:color w:val="231F20"/>
          <w:w w:val="91"/>
        </w:rPr>
        <w:t>e</w:t>
      </w:r>
      <w:r>
        <w:rPr>
          <w:color w:val="231F20"/>
          <w:w w:val="99"/>
        </w:rPr>
        <w:t>p</w:t>
      </w:r>
      <w:r>
        <w:rPr>
          <w:color w:val="231F20"/>
          <w:w w:val="91"/>
        </w:rPr>
        <w:t>e</w:t>
      </w:r>
      <w:r>
        <w:rPr>
          <w:color w:val="231F20"/>
          <w:w w:val="99"/>
        </w:rPr>
        <w:t>n</w:t>
      </w:r>
      <w:r>
        <w:rPr>
          <w:color w:val="231F20"/>
        </w:rPr>
        <w:t>d</w:t>
      </w:r>
      <w:r>
        <w:rPr>
          <w:color w:val="231F20"/>
          <w:w w:val="91"/>
        </w:rPr>
        <w:t>e</w:t>
      </w:r>
      <w:r>
        <w:rPr>
          <w:color w:val="231F20"/>
          <w:w w:val="99"/>
        </w:rPr>
        <w:t>n</w:t>
      </w:r>
      <w:r>
        <w:rPr>
          <w:color w:val="231F20"/>
          <w:w w:val="98"/>
        </w:rPr>
        <w:t>t</w:t>
      </w:r>
      <w:r>
        <w:rPr>
          <w:color w:val="231F20"/>
          <w:w w:val="108"/>
        </w:rPr>
        <w:t>.co</w:t>
      </w:r>
      <w:r>
        <w:rPr>
          <w:color w:val="231F20"/>
          <w:w w:val="135"/>
        </w:rPr>
        <w:t>.</w:t>
      </w:r>
      <w:r>
        <w:rPr>
          <w:color w:val="231F20"/>
        </w:rPr>
        <w:t>u</w:t>
      </w:r>
      <w:r>
        <w:rPr>
          <w:color w:val="231F20"/>
          <w:w w:val="106"/>
        </w:rPr>
        <w:t>k</w:t>
      </w:r>
      <w:r>
        <w:rPr>
          <w:color w:val="231F20"/>
          <w:w w:val="56"/>
        </w:rPr>
        <w:t>/</w:t>
      </w:r>
      <w:r>
        <w:rPr>
          <w:color w:val="231F20"/>
          <w:w w:val="99"/>
        </w:rPr>
        <w:t>n</w:t>
      </w:r>
      <w:r>
        <w:rPr>
          <w:color w:val="231F20"/>
          <w:w w:val="91"/>
        </w:rPr>
        <w:t>e</w:t>
      </w:r>
      <w:r>
        <w:rPr>
          <w:color w:val="231F20"/>
        </w:rPr>
        <w:t>w</w:t>
      </w:r>
      <w:r>
        <w:rPr>
          <w:color w:val="231F20"/>
          <w:w w:val="90"/>
        </w:rPr>
        <w:t>s</w:t>
      </w:r>
      <w:r>
        <w:rPr>
          <w:color w:val="231F20"/>
          <w:w w:val="56"/>
        </w:rPr>
        <w:t>/</w:t>
      </w:r>
    </w:p>
    <w:p w14:paraId="366C05F2" w14:textId="77777777" w:rsidR="002653E8" w:rsidRDefault="003115E3">
      <w:pPr>
        <w:pStyle w:val="a3"/>
        <w:spacing w:before="3" w:line="244" w:lineRule="auto"/>
        <w:ind w:left="2281" w:right="1623" w:hanging="1"/>
      </w:pPr>
      <w:r>
        <w:rPr>
          <w:color w:val="231F20"/>
          <w:w w:val="95"/>
        </w:rPr>
        <w:t>world/europe/after-25-years-carlos-the-jackal-gets-his</w:t>
      </w:r>
      <w:r>
        <w:rPr>
          <w:color w:val="231F20"/>
        </w:rPr>
        <w:t>revenge-635028.html</w:t>
      </w:r>
    </w:p>
    <w:p w14:paraId="692CF738" w14:textId="77777777" w:rsidR="002653E8" w:rsidRPr="00846956" w:rsidRDefault="003115E3">
      <w:pPr>
        <w:spacing w:before="161"/>
        <w:ind w:left="1147"/>
        <w:rPr>
          <w:i/>
          <w:sz w:val="20"/>
          <w:lang w:val="de-DE"/>
        </w:rPr>
      </w:pPr>
      <w:r w:rsidRPr="00846956">
        <w:rPr>
          <w:color w:val="231F20"/>
          <w:w w:val="105"/>
          <w:sz w:val="20"/>
          <w:lang w:val="de-DE"/>
        </w:rPr>
        <w:t xml:space="preserve">Kätzel, Ute. “Die Mädchen fielen aus ihrer Rolle.” </w:t>
      </w:r>
      <w:r w:rsidRPr="00846956">
        <w:rPr>
          <w:i/>
          <w:color w:val="231F20"/>
          <w:w w:val="105"/>
          <w:sz w:val="20"/>
          <w:lang w:val="de-DE"/>
        </w:rPr>
        <w:t>die tageszeitung,</w:t>
      </w:r>
    </w:p>
    <w:p w14:paraId="7D15052B" w14:textId="77777777" w:rsidR="002653E8" w:rsidRDefault="003115E3">
      <w:pPr>
        <w:pStyle w:val="a3"/>
        <w:spacing w:before="6"/>
        <w:ind w:left="2281"/>
      </w:pPr>
      <w:r>
        <w:rPr>
          <w:color w:val="231F20"/>
          <w:w w:val="105"/>
        </w:rPr>
        <w:t>October 25-26, 1997.</w:t>
      </w:r>
    </w:p>
    <w:p w14:paraId="2A743D0E" w14:textId="77777777" w:rsidR="002653E8" w:rsidRPr="00846956" w:rsidRDefault="003115E3">
      <w:pPr>
        <w:spacing w:before="165" w:line="244" w:lineRule="auto"/>
        <w:ind w:left="2281" w:right="1580" w:hanging="1134"/>
        <w:rPr>
          <w:sz w:val="20"/>
          <w:lang w:val="de-DE"/>
        </w:rPr>
      </w:pPr>
      <w:r>
        <w:rPr>
          <w:i/>
          <w:color w:val="231F20"/>
          <w:w w:val="105"/>
          <w:sz w:val="20"/>
        </w:rPr>
        <w:t xml:space="preserve">The Kingsport (Tennessee) Times. </w:t>
      </w:r>
      <w:r>
        <w:rPr>
          <w:color w:val="231F20"/>
          <w:w w:val="105"/>
          <w:sz w:val="20"/>
        </w:rPr>
        <w:t xml:space="preserve">“West Germans Take Seriously Terrorist Threat on Schmidt.” </w:t>
      </w:r>
      <w:r w:rsidRPr="00846956">
        <w:rPr>
          <w:color w:val="231F20"/>
          <w:w w:val="105"/>
          <w:sz w:val="20"/>
          <w:lang w:val="de-DE"/>
        </w:rPr>
        <w:t>October 22, 1977.</w:t>
      </w:r>
    </w:p>
    <w:p w14:paraId="4857146F" w14:textId="77777777" w:rsidR="002653E8" w:rsidRPr="00846956" w:rsidRDefault="003115E3">
      <w:pPr>
        <w:pStyle w:val="a3"/>
        <w:spacing w:before="162"/>
        <w:ind w:left="1147"/>
        <w:rPr>
          <w:lang w:val="de-DE"/>
        </w:rPr>
      </w:pPr>
      <w:r w:rsidRPr="00846956">
        <w:rPr>
          <w:color w:val="231F20"/>
          <w:w w:val="105"/>
          <w:lang w:val="de-DE"/>
        </w:rPr>
        <w:t>Kirn, Thomas. “Bombendrohungen werden schnell geahndet.”</w:t>
      </w:r>
    </w:p>
    <w:p w14:paraId="4FB7B1B4" w14:textId="77777777" w:rsidR="002653E8" w:rsidRPr="00846956" w:rsidRDefault="003115E3">
      <w:pPr>
        <w:spacing w:before="5"/>
        <w:ind w:left="2281"/>
        <w:rPr>
          <w:sz w:val="20"/>
          <w:lang w:val="de-DE"/>
        </w:rPr>
      </w:pPr>
      <w:r w:rsidRPr="00846956">
        <w:rPr>
          <w:i/>
          <w:color w:val="231F20"/>
          <w:w w:val="110"/>
          <w:sz w:val="20"/>
          <w:lang w:val="de-DE"/>
        </w:rPr>
        <w:t xml:space="preserve">Frankfurter Allgemeine Zeitung, </w:t>
      </w:r>
      <w:r w:rsidRPr="00846956">
        <w:rPr>
          <w:color w:val="231F20"/>
          <w:w w:val="110"/>
          <w:sz w:val="20"/>
          <w:lang w:val="de-DE"/>
        </w:rPr>
        <w:t>June 9, 1972.</w:t>
      </w:r>
    </w:p>
    <w:p w14:paraId="552915E3" w14:textId="77777777" w:rsidR="002653E8" w:rsidRPr="00846956" w:rsidRDefault="003115E3">
      <w:pPr>
        <w:pStyle w:val="a3"/>
        <w:spacing w:before="166"/>
        <w:ind w:left="1147"/>
        <w:rPr>
          <w:i/>
          <w:lang w:val="de-DE"/>
        </w:rPr>
      </w:pPr>
      <w:r w:rsidRPr="00846956">
        <w:rPr>
          <w:color w:val="231F20"/>
          <w:w w:val="105"/>
          <w:lang w:val="de-DE"/>
        </w:rPr>
        <w:t xml:space="preserve">Knobbe, Martin. “Der Ankläger und sein Informant.” </w:t>
      </w:r>
      <w:r w:rsidRPr="00846956">
        <w:rPr>
          <w:i/>
          <w:color w:val="231F20"/>
          <w:w w:val="105"/>
          <w:lang w:val="de-DE"/>
        </w:rPr>
        <w:t>Stern,</w:t>
      </w:r>
    </w:p>
    <w:p w14:paraId="24399AF4" w14:textId="77777777" w:rsidR="002653E8" w:rsidRPr="00846956" w:rsidRDefault="003115E3">
      <w:pPr>
        <w:pStyle w:val="a3"/>
        <w:spacing w:before="6" w:line="244" w:lineRule="auto"/>
        <w:ind w:left="2281" w:right="1358"/>
        <w:rPr>
          <w:lang w:val="de-DE"/>
        </w:rPr>
      </w:pPr>
      <w:r w:rsidRPr="00846956">
        <w:rPr>
          <w:color w:val="231F20"/>
          <w:w w:val="115"/>
          <w:lang w:val="de-DE"/>
        </w:rPr>
        <w:t>A</w:t>
      </w:r>
      <w:r w:rsidRPr="00846956">
        <w:rPr>
          <w:color w:val="231F20"/>
          <w:spacing w:val="-1"/>
          <w:w w:val="99"/>
          <w:lang w:val="de-DE"/>
        </w:rPr>
        <w:t>p</w:t>
      </w:r>
      <w:r w:rsidRPr="00846956">
        <w:rPr>
          <w:color w:val="231F20"/>
          <w:spacing w:val="1"/>
          <w:w w:val="94"/>
          <w:lang w:val="de-DE"/>
        </w:rPr>
        <w:t>r</w:t>
      </w:r>
      <w:r w:rsidRPr="00846956">
        <w:rPr>
          <w:color w:val="231F20"/>
          <w:spacing w:val="2"/>
          <w:lang w:val="de-DE"/>
        </w:rPr>
        <w:t>i</w:t>
      </w:r>
      <w:r w:rsidRPr="00846956">
        <w:rPr>
          <w:color w:val="231F20"/>
          <w:w w:val="102"/>
          <w:lang w:val="de-DE"/>
        </w:rPr>
        <w:t>l</w:t>
      </w:r>
      <w:r w:rsidRPr="00846956">
        <w:rPr>
          <w:color w:val="231F20"/>
          <w:spacing w:val="10"/>
          <w:lang w:val="de-DE"/>
        </w:rPr>
        <w:t xml:space="preserve"> </w:t>
      </w:r>
      <w:r w:rsidRPr="00846956">
        <w:rPr>
          <w:color w:val="231F20"/>
          <w:spacing w:val="-8"/>
          <w:lang w:val="de-DE"/>
        </w:rPr>
        <w:t>2</w:t>
      </w:r>
      <w:r w:rsidRPr="00846956">
        <w:rPr>
          <w:color w:val="231F20"/>
          <w:spacing w:val="-15"/>
          <w:lang w:val="de-DE"/>
        </w:rPr>
        <w:t>7</w:t>
      </w:r>
      <w:r w:rsidRPr="00846956">
        <w:rPr>
          <w:color w:val="231F20"/>
          <w:w w:val="135"/>
          <w:lang w:val="de-DE"/>
        </w:rPr>
        <w:t>,</w:t>
      </w:r>
      <w:r w:rsidRPr="00846956">
        <w:rPr>
          <w:color w:val="231F20"/>
          <w:spacing w:val="10"/>
          <w:lang w:val="de-DE"/>
        </w:rPr>
        <w:t xml:space="preserve"> </w:t>
      </w:r>
      <w:r w:rsidRPr="00846956">
        <w:rPr>
          <w:color w:val="231F20"/>
          <w:spacing w:val="2"/>
          <w:lang w:val="de-DE"/>
        </w:rPr>
        <w:t>2</w:t>
      </w:r>
      <w:r w:rsidRPr="00846956">
        <w:rPr>
          <w:color w:val="231F20"/>
          <w:spacing w:val="5"/>
          <w:lang w:val="de-DE"/>
        </w:rPr>
        <w:t>0</w:t>
      </w:r>
      <w:r w:rsidRPr="00846956">
        <w:rPr>
          <w:color w:val="231F20"/>
          <w:spacing w:val="1"/>
          <w:lang w:val="de-DE"/>
        </w:rPr>
        <w:t>0</w:t>
      </w:r>
      <w:r w:rsidRPr="00846956">
        <w:rPr>
          <w:color w:val="231F20"/>
          <w:spacing w:val="-17"/>
          <w:lang w:val="de-DE"/>
        </w:rPr>
        <w:t>7</w:t>
      </w:r>
      <w:r w:rsidRPr="00846956">
        <w:rPr>
          <w:color w:val="231F20"/>
          <w:w w:val="135"/>
          <w:lang w:val="de-DE"/>
        </w:rPr>
        <w:t>.</w:t>
      </w:r>
      <w:r w:rsidRPr="00846956">
        <w:rPr>
          <w:color w:val="231F20"/>
          <w:spacing w:val="10"/>
          <w:lang w:val="de-DE"/>
        </w:rPr>
        <w:t xml:space="preserve"> </w:t>
      </w:r>
      <w:hyperlink r:id="rId613">
        <w:r w:rsidRPr="00846956">
          <w:rPr>
            <w:color w:val="231F20"/>
            <w:spacing w:val="-2"/>
            <w:lang w:val="de-DE"/>
          </w:rPr>
          <w:t>h</w:t>
        </w:r>
        <w:r w:rsidRPr="00846956">
          <w:rPr>
            <w:color w:val="231F20"/>
            <w:spacing w:val="5"/>
            <w:w w:val="98"/>
            <w:lang w:val="de-DE"/>
          </w:rPr>
          <w:t>t</w:t>
        </w:r>
        <w:r w:rsidRPr="00846956">
          <w:rPr>
            <w:color w:val="231F20"/>
            <w:spacing w:val="3"/>
            <w:w w:val="98"/>
            <w:lang w:val="de-DE"/>
          </w:rPr>
          <w:t>t</w:t>
        </w:r>
        <w:r w:rsidRPr="00846956">
          <w:rPr>
            <w:color w:val="231F20"/>
            <w:spacing w:val="-1"/>
            <w:w w:val="99"/>
            <w:lang w:val="de-DE"/>
          </w:rPr>
          <w:t>p</w:t>
        </w:r>
        <w:r w:rsidRPr="00846956">
          <w:rPr>
            <w:color w:val="231F20"/>
            <w:spacing w:val="5"/>
            <w:w w:val="105"/>
            <w:lang w:val="de-DE"/>
          </w:rPr>
          <w:t>:</w:t>
        </w:r>
        <w:r w:rsidRPr="00846956">
          <w:rPr>
            <w:color w:val="231F20"/>
            <w:spacing w:val="-3"/>
            <w:w w:val="56"/>
            <w:lang w:val="de-DE"/>
          </w:rPr>
          <w:t>/</w:t>
        </w:r>
        <w:r w:rsidRPr="00846956">
          <w:rPr>
            <w:color w:val="231F20"/>
            <w:spacing w:val="1"/>
            <w:w w:val="56"/>
            <w:lang w:val="de-DE"/>
          </w:rPr>
          <w:t>/</w:t>
        </w:r>
        <w:r w:rsidRPr="00846956">
          <w:rPr>
            <w:color w:val="231F20"/>
            <w:spacing w:val="6"/>
            <w:lang w:val="de-DE"/>
          </w:rPr>
          <w:t>ww</w:t>
        </w:r>
        <w:r w:rsidRPr="00846956">
          <w:rPr>
            <w:color w:val="231F20"/>
            <w:spacing w:val="-12"/>
            <w:lang w:val="de-DE"/>
          </w:rPr>
          <w:t>w</w:t>
        </w:r>
        <w:r w:rsidRPr="00846956">
          <w:rPr>
            <w:color w:val="231F20"/>
            <w:spacing w:val="1"/>
            <w:w w:val="135"/>
            <w:lang w:val="de-DE"/>
          </w:rPr>
          <w:t>.</w:t>
        </w:r>
        <w:r w:rsidRPr="00846956">
          <w:rPr>
            <w:color w:val="231F20"/>
            <w:w w:val="90"/>
            <w:lang w:val="de-DE"/>
          </w:rPr>
          <w:t>s</w:t>
        </w:r>
        <w:r w:rsidRPr="00846956">
          <w:rPr>
            <w:color w:val="231F20"/>
            <w:w w:val="98"/>
            <w:lang w:val="de-DE"/>
          </w:rPr>
          <w:t>t</w:t>
        </w:r>
        <w:r w:rsidRPr="00846956">
          <w:rPr>
            <w:color w:val="231F20"/>
            <w:w w:val="92"/>
            <w:lang w:val="de-DE"/>
          </w:rPr>
          <w:t>e</w:t>
        </w:r>
        <w:r w:rsidRPr="00846956">
          <w:rPr>
            <w:color w:val="231F20"/>
            <w:spacing w:val="3"/>
            <w:w w:val="92"/>
            <w:lang w:val="de-DE"/>
          </w:rPr>
          <w:t>r</w:t>
        </w:r>
        <w:r w:rsidRPr="00846956">
          <w:rPr>
            <w:color w:val="231F20"/>
            <w:w w:val="99"/>
            <w:lang w:val="de-DE"/>
          </w:rPr>
          <w:t>n</w:t>
        </w:r>
        <w:r w:rsidRPr="00846956">
          <w:rPr>
            <w:color w:val="231F20"/>
            <w:w w:val="109"/>
            <w:lang w:val="de-DE"/>
          </w:rPr>
          <w:t>.d</w:t>
        </w:r>
        <w:r w:rsidRPr="00846956">
          <w:rPr>
            <w:color w:val="231F20"/>
            <w:spacing w:val="5"/>
            <w:w w:val="91"/>
            <w:lang w:val="de-DE"/>
          </w:rPr>
          <w:t>e</w:t>
        </w:r>
        <w:r w:rsidRPr="00846956">
          <w:rPr>
            <w:color w:val="231F20"/>
            <w:spacing w:val="-1"/>
            <w:w w:val="56"/>
            <w:lang w:val="de-DE"/>
          </w:rPr>
          <w:t>/</w:t>
        </w:r>
        <w:r w:rsidRPr="00846956">
          <w:rPr>
            <w:color w:val="231F20"/>
            <w:w w:val="99"/>
            <w:lang w:val="de-DE"/>
          </w:rPr>
          <w:t>p</w:t>
        </w:r>
        <w:r w:rsidRPr="00846956">
          <w:rPr>
            <w:color w:val="231F20"/>
            <w:spacing w:val="-2"/>
            <w:w w:val="104"/>
            <w:lang w:val="de-DE"/>
          </w:rPr>
          <w:t>o</w:t>
        </w:r>
        <w:r w:rsidRPr="00846956">
          <w:rPr>
            <w:color w:val="231F20"/>
            <w:spacing w:val="2"/>
            <w:w w:val="102"/>
            <w:lang w:val="de-DE"/>
          </w:rPr>
          <w:t>l</w:t>
        </w:r>
        <w:r w:rsidRPr="00846956">
          <w:rPr>
            <w:color w:val="231F20"/>
            <w:spacing w:val="-2"/>
            <w:lang w:val="de-DE"/>
          </w:rPr>
          <w:t>i</w:t>
        </w:r>
        <w:r w:rsidRPr="00846956">
          <w:rPr>
            <w:color w:val="231F20"/>
            <w:spacing w:val="2"/>
            <w:w w:val="98"/>
            <w:lang w:val="de-DE"/>
          </w:rPr>
          <w:t>t</w:t>
        </w:r>
        <w:r w:rsidRPr="00846956">
          <w:rPr>
            <w:color w:val="231F20"/>
            <w:spacing w:val="2"/>
            <w:lang w:val="de-DE"/>
          </w:rPr>
          <w:t>i</w:t>
        </w:r>
        <w:r w:rsidRPr="00846956">
          <w:rPr>
            <w:color w:val="231F20"/>
            <w:spacing w:val="8"/>
            <w:w w:val="106"/>
            <w:lang w:val="de-DE"/>
          </w:rPr>
          <w:t>k</w:t>
        </w:r>
        <w:r w:rsidRPr="00846956">
          <w:rPr>
            <w:color w:val="231F20"/>
            <w:w w:val="56"/>
            <w:lang w:val="de-DE"/>
          </w:rPr>
          <w:t>/</w:t>
        </w:r>
      </w:hyperlink>
      <w:r w:rsidRPr="00846956">
        <w:rPr>
          <w:color w:val="231F20"/>
          <w:w w:val="56"/>
          <w:lang w:val="de-DE"/>
        </w:rPr>
        <w:t xml:space="preserve"> </w:t>
      </w:r>
      <w:r w:rsidRPr="00846956">
        <w:rPr>
          <w:color w:val="231F20"/>
          <w:lang w:val="de-DE"/>
        </w:rPr>
        <w:t>d</w:t>
      </w:r>
      <w:r w:rsidRPr="00846956">
        <w:rPr>
          <w:color w:val="231F20"/>
          <w:spacing w:val="-1"/>
          <w:w w:val="96"/>
          <w:lang w:val="de-DE"/>
        </w:rPr>
        <w:t>e</w:t>
      </w:r>
      <w:r w:rsidRPr="00846956">
        <w:rPr>
          <w:color w:val="231F20"/>
          <w:spacing w:val="-2"/>
          <w:w w:val="96"/>
          <w:lang w:val="de-DE"/>
        </w:rPr>
        <w:t>u</w:t>
      </w:r>
      <w:r w:rsidRPr="00846956">
        <w:rPr>
          <w:color w:val="231F20"/>
          <w:spacing w:val="2"/>
          <w:w w:val="98"/>
          <w:lang w:val="de-DE"/>
        </w:rPr>
        <w:t>t</w:t>
      </w:r>
      <w:r w:rsidRPr="00846956">
        <w:rPr>
          <w:color w:val="231F20"/>
          <w:spacing w:val="1"/>
          <w:w w:val="90"/>
          <w:lang w:val="de-DE"/>
        </w:rPr>
        <w:t>s</w:t>
      </w:r>
      <w:r w:rsidRPr="00846956">
        <w:rPr>
          <w:color w:val="231F20"/>
          <w:lang w:val="de-DE"/>
        </w:rPr>
        <w:t>c</w:t>
      </w:r>
      <w:r w:rsidRPr="00846956">
        <w:rPr>
          <w:color w:val="231F20"/>
          <w:spacing w:val="3"/>
          <w:lang w:val="de-DE"/>
        </w:rPr>
        <w:t>h</w:t>
      </w:r>
      <w:r w:rsidRPr="00846956">
        <w:rPr>
          <w:color w:val="231F20"/>
          <w:w w:val="102"/>
          <w:lang w:val="de-DE"/>
        </w:rPr>
        <w:t>l</w:t>
      </w:r>
      <w:r w:rsidRPr="00846956">
        <w:rPr>
          <w:color w:val="231F20"/>
          <w:spacing w:val="2"/>
          <w:w w:val="102"/>
          <w:lang w:val="de-DE"/>
        </w:rPr>
        <w:t>a</w:t>
      </w:r>
      <w:r w:rsidRPr="00846956">
        <w:rPr>
          <w:color w:val="231F20"/>
          <w:spacing w:val="-1"/>
          <w:w w:val="99"/>
          <w:lang w:val="de-DE"/>
        </w:rPr>
        <w:t>n</w:t>
      </w:r>
      <w:r w:rsidRPr="00846956">
        <w:rPr>
          <w:color w:val="231F20"/>
          <w:spacing w:val="8"/>
          <w:lang w:val="de-DE"/>
        </w:rPr>
        <w:t>d</w:t>
      </w:r>
      <w:r w:rsidRPr="00846956">
        <w:rPr>
          <w:color w:val="231F20"/>
          <w:spacing w:val="-4"/>
          <w:w w:val="56"/>
          <w:lang w:val="de-DE"/>
        </w:rPr>
        <w:t>/</w:t>
      </w:r>
      <w:r w:rsidRPr="00846956">
        <w:rPr>
          <w:color w:val="231F20"/>
          <w:spacing w:val="1"/>
          <w:w w:val="105"/>
          <w:lang w:val="de-DE"/>
        </w:rPr>
        <w:t>:</w:t>
      </w:r>
      <w:r w:rsidRPr="00846956">
        <w:rPr>
          <w:color w:val="231F20"/>
          <w:spacing w:val="3"/>
          <w:w w:val="106"/>
          <w:lang w:val="de-DE"/>
        </w:rPr>
        <w:t>E</w:t>
      </w:r>
      <w:r w:rsidRPr="00846956">
        <w:rPr>
          <w:color w:val="231F20"/>
          <w:spacing w:val="-1"/>
          <w:lang w:val="de-DE"/>
        </w:rPr>
        <w:t>h</w:t>
      </w:r>
      <w:r w:rsidRPr="00846956">
        <w:rPr>
          <w:color w:val="231F20"/>
          <w:w w:val="91"/>
          <w:lang w:val="de-DE"/>
        </w:rPr>
        <w:t>e</w:t>
      </w:r>
      <w:r w:rsidRPr="00846956">
        <w:rPr>
          <w:color w:val="231F20"/>
          <w:spacing w:val="1"/>
          <w:w w:val="99"/>
          <w:lang w:val="de-DE"/>
        </w:rPr>
        <w:t>m</w:t>
      </w:r>
      <w:r w:rsidRPr="00846956">
        <w:rPr>
          <w:color w:val="231F20"/>
          <w:spacing w:val="2"/>
          <w:w w:val="102"/>
          <w:lang w:val="de-DE"/>
        </w:rPr>
        <w:t>al</w:t>
      </w:r>
      <w:r w:rsidRPr="00846956">
        <w:rPr>
          <w:color w:val="231F20"/>
          <w:spacing w:val="-1"/>
          <w:lang w:val="de-DE"/>
        </w:rPr>
        <w:t>ig</w:t>
      </w:r>
      <w:r w:rsidRPr="00846956">
        <w:rPr>
          <w:color w:val="231F20"/>
          <w:w w:val="91"/>
          <w:lang w:val="de-DE"/>
        </w:rPr>
        <w:t>e</w:t>
      </w:r>
      <w:r w:rsidRPr="00846956">
        <w:rPr>
          <w:color w:val="231F20"/>
          <w:spacing w:val="1"/>
          <w:w w:val="94"/>
          <w:lang w:val="de-DE"/>
        </w:rPr>
        <w:t>r</w:t>
      </w:r>
      <w:r w:rsidRPr="00846956">
        <w:rPr>
          <w:color w:val="231F20"/>
          <w:spacing w:val="2"/>
          <w:lang w:val="de-DE"/>
        </w:rPr>
        <w:t>-</w:t>
      </w:r>
      <w:r w:rsidR="00C507A5" w:rsidRPr="00846956">
        <w:rPr>
          <w:color w:val="231F20"/>
          <w:spacing w:val="8"/>
          <w:w w:val="116"/>
          <w:lang w:val="de-DE"/>
        </w:rPr>
        <w:t>red army faction</w:t>
      </w:r>
      <w:r w:rsidRPr="00846956">
        <w:rPr>
          <w:color w:val="231F20"/>
          <w:spacing w:val="3"/>
          <w:lang w:val="de-DE"/>
        </w:rPr>
        <w:t>-</w:t>
      </w:r>
      <w:r w:rsidRPr="00846956">
        <w:rPr>
          <w:color w:val="231F20"/>
          <w:w w:val="121"/>
          <w:lang w:val="de-DE"/>
        </w:rPr>
        <w:t>H</w:t>
      </w:r>
      <w:r w:rsidRPr="00846956">
        <w:rPr>
          <w:color w:val="231F20"/>
          <w:spacing w:val="-1"/>
          <w:w w:val="91"/>
          <w:lang w:val="de-DE"/>
        </w:rPr>
        <w:t>e</w:t>
      </w:r>
      <w:r w:rsidRPr="00846956">
        <w:rPr>
          <w:color w:val="231F20"/>
          <w:spacing w:val="2"/>
          <w:w w:val="102"/>
          <w:lang w:val="de-DE"/>
        </w:rPr>
        <w:t>l</w:t>
      </w:r>
      <w:r w:rsidRPr="00846956">
        <w:rPr>
          <w:color w:val="231F20"/>
          <w:w w:val="109"/>
          <w:lang w:val="de-DE"/>
        </w:rPr>
        <w:t>f</w:t>
      </w:r>
      <w:r w:rsidRPr="00846956">
        <w:rPr>
          <w:color w:val="231F20"/>
          <w:w w:val="91"/>
          <w:lang w:val="de-DE"/>
        </w:rPr>
        <w:t>e</w:t>
      </w:r>
      <w:r w:rsidRPr="00846956">
        <w:rPr>
          <w:color w:val="231F20"/>
          <w:spacing w:val="1"/>
          <w:w w:val="96"/>
          <w:lang w:val="de-DE"/>
        </w:rPr>
        <w:t>r</w:t>
      </w:r>
      <w:r w:rsidRPr="00846956">
        <w:rPr>
          <w:color w:val="231F20"/>
          <w:spacing w:val="5"/>
          <w:w w:val="96"/>
          <w:lang w:val="de-DE"/>
        </w:rPr>
        <w:t>-</w:t>
      </w:r>
      <w:r w:rsidRPr="00846956">
        <w:rPr>
          <w:color w:val="231F20"/>
          <w:spacing w:val="3"/>
          <w:lang w:val="de-DE"/>
        </w:rPr>
        <w:t>-</w:t>
      </w:r>
      <w:r w:rsidRPr="00846956">
        <w:rPr>
          <w:color w:val="231F20"/>
          <w:spacing w:val="1"/>
          <w:w w:val="117"/>
          <w:lang w:val="de-DE"/>
        </w:rPr>
        <w:t>D</w:t>
      </w:r>
      <w:r w:rsidRPr="00846956">
        <w:rPr>
          <w:color w:val="231F20"/>
          <w:w w:val="91"/>
          <w:lang w:val="de-DE"/>
        </w:rPr>
        <w:t>e</w:t>
      </w:r>
      <w:r w:rsidRPr="00846956">
        <w:rPr>
          <w:color w:val="231F20"/>
          <w:spacing w:val="1"/>
          <w:w w:val="96"/>
          <w:lang w:val="de-DE"/>
        </w:rPr>
        <w:t>r</w:t>
      </w:r>
      <w:r w:rsidRPr="00846956">
        <w:rPr>
          <w:color w:val="231F20"/>
          <w:spacing w:val="-1"/>
          <w:w w:val="96"/>
          <w:lang w:val="de-DE"/>
        </w:rPr>
        <w:t>-</w:t>
      </w:r>
      <w:r w:rsidRPr="00846956">
        <w:rPr>
          <w:color w:val="231F20"/>
          <w:spacing w:val="6"/>
          <w:w w:val="115"/>
          <w:lang w:val="de-DE"/>
        </w:rPr>
        <w:t>A</w:t>
      </w:r>
      <w:r w:rsidRPr="00846956">
        <w:rPr>
          <w:color w:val="231F20"/>
          <w:spacing w:val="3"/>
          <w:w w:val="99"/>
          <w:lang w:val="de-DE"/>
        </w:rPr>
        <w:t>n</w:t>
      </w:r>
      <w:r w:rsidRPr="00846956">
        <w:rPr>
          <w:color w:val="231F20"/>
          <w:spacing w:val="3"/>
          <w:w w:val="106"/>
          <w:lang w:val="de-DE"/>
        </w:rPr>
        <w:t>k</w:t>
      </w:r>
      <w:r w:rsidRPr="00846956">
        <w:rPr>
          <w:color w:val="231F20"/>
          <w:spacing w:val="-9"/>
          <w:w w:val="102"/>
          <w:lang w:val="de-DE"/>
        </w:rPr>
        <w:t>l</w:t>
      </w:r>
      <w:r w:rsidRPr="00846956">
        <w:rPr>
          <w:color w:val="231F20"/>
          <w:spacing w:val="-4"/>
          <w:w w:val="112"/>
          <w:lang w:val="de-DE"/>
        </w:rPr>
        <w:t>%</w:t>
      </w:r>
      <w:r w:rsidRPr="00846956">
        <w:rPr>
          <w:color w:val="231F20"/>
          <w:spacing w:val="5"/>
          <w:w w:val="106"/>
          <w:lang w:val="de-DE"/>
        </w:rPr>
        <w:t>E</w:t>
      </w:r>
      <w:r w:rsidRPr="00846956">
        <w:rPr>
          <w:color w:val="231F20"/>
          <w:spacing w:val="-1"/>
          <w:lang w:val="de-DE"/>
        </w:rPr>
        <w:t>4</w:t>
      </w:r>
      <w:r w:rsidRPr="00846956">
        <w:rPr>
          <w:color w:val="231F20"/>
          <w:spacing w:val="-1"/>
          <w:w w:val="96"/>
          <w:lang w:val="de-DE"/>
        </w:rPr>
        <w:t>g</w:t>
      </w:r>
      <w:r w:rsidRPr="00846956">
        <w:rPr>
          <w:color w:val="231F20"/>
          <w:w w:val="96"/>
          <w:lang w:val="de-DE"/>
        </w:rPr>
        <w:t>e</w:t>
      </w:r>
      <w:r w:rsidRPr="00846956">
        <w:rPr>
          <w:color w:val="231F20"/>
          <w:spacing w:val="1"/>
          <w:w w:val="94"/>
          <w:lang w:val="de-DE"/>
        </w:rPr>
        <w:t>r</w:t>
      </w:r>
      <w:r w:rsidRPr="00846956">
        <w:rPr>
          <w:color w:val="231F20"/>
          <w:spacing w:val="5"/>
          <w:w w:val="102"/>
          <w:lang w:val="de-DE"/>
        </w:rPr>
        <w:t>I</w:t>
      </w:r>
      <w:r w:rsidRPr="00846956">
        <w:rPr>
          <w:color w:val="231F20"/>
          <w:spacing w:val="3"/>
          <w:w w:val="99"/>
          <w:lang w:val="de-DE"/>
        </w:rPr>
        <w:t>n</w:t>
      </w:r>
      <w:r w:rsidRPr="00846956">
        <w:rPr>
          <w:color w:val="231F20"/>
          <w:spacing w:val="-2"/>
          <w:w w:val="109"/>
          <w:lang w:val="de-DE"/>
        </w:rPr>
        <w:t>f</w:t>
      </w:r>
      <w:r w:rsidRPr="00846956">
        <w:rPr>
          <w:color w:val="231F20"/>
          <w:spacing w:val="-1"/>
          <w:w w:val="104"/>
          <w:lang w:val="de-DE"/>
        </w:rPr>
        <w:t>o</w:t>
      </w:r>
      <w:r w:rsidRPr="00846956">
        <w:rPr>
          <w:color w:val="231F20"/>
          <w:spacing w:val="2"/>
          <w:w w:val="94"/>
          <w:lang w:val="de-DE"/>
        </w:rPr>
        <w:t>r</w:t>
      </w:r>
      <w:r w:rsidRPr="00846956">
        <w:rPr>
          <w:color w:val="231F20"/>
          <w:spacing w:val="1"/>
          <w:w w:val="99"/>
          <w:lang w:val="de-DE"/>
        </w:rPr>
        <w:t>m</w:t>
      </w:r>
      <w:r w:rsidRPr="00846956">
        <w:rPr>
          <w:color w:val="231F20"/>
          <w:spacing w:val="2"/>
          <w:w w:val="102"/>
          <w:lang w:val="de-DE"/>
        </w:rPr>
        <w:t>a</w:t>
      </w:r>
      <w:r w:rsidRPr="00846956">
        <w:rPr>
          <w:color w:val="231F20"/>
          <w:spacing w:val="-2"/>
          <w:w w:val="99"/>
          <w:lang w:val="de-DE"/>
        </w:rPr>
        <w:t>n</w:t>
      </w:r>
      <w:r w:rsidRPr="00846956">
        <w:rPr>
          <w:color w:val="231F20"/>
          <w:spacing w:val="7"/>
          <w:w w:val="99"/>
          <w:lang w:val="de-DE"/>
        </w:rPr>
        <w:t>t</w:t>
      </w:r>
      <w:r w:rsidRPr="00846956">
        <w:rPr>
          <w:color w:val="231F20"/>
          <w:spacing w:val="-15"/>
          <w:w w:val="56"/>
          <w:lang w:val="de-DE"/>
        </w:rPr>
        <w:t>/</w:t>
      </w:r>
      <w:r w:rsidRPr="00846956">
        <w:rPr>
          <w:color w:val="231F20"/>
          <w:spacing w:val="-8"/>
          <w:lang w:val="de-DE"/>
        </w:rPr>
        <w:t>5</w:t>
      </w:r>
      <w:r w:rsidRPr="00846956">
        <w:rPr>
          <w:color w:val="231F20"/>
          <w:spacing w:val="-5"/>
          <w:lang w:val="de-DE"/>
        </w:rPr>
        <w:t>8</w:t>
      </w:r>
      <w:r w:rsidRPr="00846956">
        <w:rPr>
          <w:color w:val="231F20"/>
          <w:lang w:val="de-DE"/>
        </w:rPr>
        <w:t>8</w:t>
      </w:r>
      <w:r w:rsidRPr="00846956">
        <w:rPr>
          <w:color w:val="231F20"/>
          <w:spacing w:val="-2"/>
          <w:lang w:val="de-DE"/>
        </w:rPr>
        <w:t>0</w:t>
      </w:r>
      <w:r w:rsidRPr="00846956">
        <w:rPr>
          <w:color w:val="231F20"/>
          <w:spacing w:val="2"/>
          <w:lang w:val="de-DE"/>
        </w:rPr>
        <w:t>2</w:t>
      </w:r>
      <w:r w:rsidRPr="00846956">
        <w:rPr>
          <w:color w:val="231F20"/>
          <w:spacing w:val="-3"/>
          <w:lang w:val="de-DE"/>
        </w:rPr>
        <w:t>0</w:t>
      </w:r>
      <w:r w:rsidRPr="00846956">
        <w:rPr>
          <w:color w:val="231F20"/>
          <w:w w:val="135"/>
          <w:lang w:val="de-DE"/>
        </w:rPr>
        <w:t>.</w:t>
      </w:r>
      <w:r w:rsidRPr="00846956">
        <w:rPr>
          <w:color w:val="231F20"/>
          <w:spacing w:val="-2"/>
          <w:w w:val="99"/>
          <w:lang w:val="de-DE"/>
        </w:rPr>
        <w:t>h</w:t>
      </w:r>
      <w:r w:rsidRPr="00846956">
        <w:rPr>
          <w:color w:val="231F20"/>
          <w:spacing w:val="3"/>
          <w:w w:val="99"/>
          <w:lang w:val="de-DE"/>
        </w:rPr>
        <w:t>tm</w:t>
      </w:r>
      <w:r w:rsidRPr="00846956">
        <w:rPr>
          <w:color w:val="231F20"/>
          <w:w w:val="102"/>
          <w:lang w:val="de-DE"/>
        </w:rPr>
        <w:t>l</w:t>
      </w:r>
    </w:p>
    <w:p w14:paraId="50FA5549" w14:textId="77777777" w:rsidR="002653E8" w:rsidRDefault="003115E3">
      <w:pPr>
        <w:spacing w:before="162" w:line="244" w:lineRule="auto"/>
        <w:ind w:left="2282" w:right="1534" w:hanging="1134"/>
        <w:rPr>
          <w:sz w:val="20"/>
        </w:rPr>
      </w:pPr>
      <w:r>
        <w:rPr>
          <w:color w:val="231F20"/>
          <w:w w:val="110"/>
          <w:sz w:val="20"/>
        </w:rPr>
        <w:t xml:space="preserve">Kopinski, Thaddeus. “From barroom brawls to bombings.” </w:t>
      </w:r>
      <w:r>
        <w:rPr>
          <w:i/>
          <w:color w:val="231F20"/>
          <w:w w:val="110"/>
          <w:sz w:val="20"/>
        </w:rPr>
        <w:t xml:space="preserve">Post Herald and Register (Beckley, </w:t>
      </w:r>
      <w:r>
        <w:rPr>
          <w:i/>
          <w:color w:val="231F20"/>
          <w:spacing w:val="-5"/>
          <w:w w:val="110"/>
          <w:sz w:val="20"/>
        </w:rPr>
        <w:t xml:space="preserve">W. </w:t>
      </w:r>
      <w:r>
        <w:rPr>
          <w:i/>
          <w:color w:val="231F20"/>
          <w:w w:val="110"/>
          <w:sz w:val="20"/>
        </w:rPr>
        <w:t xml:space="preserve">Va.), </w:t>
      </w:r>
      <w:r>
        <w:rPr>
          <w:color w:val="231F20"/>
          <w:w w:val="110"/>
          <w:sz w:val="20"/>
        </w:rPr>
        <w:t xml:space="preserve">April </w:t>
      </w:r>
      <w:r>
        <w:rPr>
          <w:color w:val="231F20"/>
          <w:spacing w:val="-8"/>
          <w:w w:val="110"/>
          <w:sz w:val="20"/>
        </w:rPr>
        <w:t xml:space="preserve">27, </w:t>
      </w:r>
      <w:r>
        <w:rPr>
          <w:color w:val="231F20"/>
          <w:spacing w:val="-7"/>
          <w:w w:val="110"/>
          <w:sz w:val="20"/>
        </w:rPr>
        <w:t>1975.</w:t>
      </w:r>
    </w:p>
    <w:p w14:paraId="2EA6B8C6" w14:textId="77777777" w:rsidR="002653E8" w:rsidRDefault="003115E3">
      <w:pPr>
        <w:pStyle w:val="a3"/>
        <w:spacing w:before="162" w:line="244" w:lineRule="auto"/>
        <w:ind w:left="2282" w:right="1580" w:hanging="1135"/>
      </w:pPr>
      <w:r>
        <w:rPr>
          <w:color w:val="231F20"/>
          <w:w w:val="105"/>
        </w:rPr>
        <w:t xml:space="preserve">LA Times—Washington Post Service. “West Germany’s ‘Bonnie and Clyde’ Have Country in an Uproar.” </w:t>
      </w:r>
      <w:r>
        <w:rPr>
          <w:i/>
          <w:color w:val="231F20"/>
          <w:w w:val="105"/>
        </w:rPr>
        <w:t xml:space="preserve">The Lawton Constitution, </w:t>
      </w:r>
      <w:r>
        <w:rPr>
          <w:color w:val="231F20"/>
          <w:w w:val="105"/>
        </w:rPr>
        <w:t>December 3, 1972.</w:t>
      </w:r>
    </w:p>
    <w:p w14:paraId="4D0B42F2" w14:textId="77777777" w:rsidR="002653E8" w:rsidRDefault="003115E3">
      <w:pPr>
        <w:spacing w:before="162" w:line="244" w:lineRule="auto"/>
        <w:ind w:left="2281" w:right="1513" w:hanging="1134"/>
        <w:rPr>
          <w:sz w:val="20"/>
        </w:rPr>
      </w:pPr>
      <w:r>
        <w:rPr>
          <w:color w:val="231F20"/>
          <w:w w:val="105"/>
          <w:sz w:val="20"/>
        </w:rPr>
        <w:t xml:space="preserve">Lams, Dave. “Police Trace Leads in V Corps Blasts.” </w:t>
      </w:r>
      <w:r>
        <w:rPr>
          <w:i/>
          <w:color w:val="231F20"/>
          <w:w w:val="105"/>
          <w:sz w:val="20"/>
        </w:rPr>
        <w:t xml:space="preserve">European Stars and Stripes, </w:t>
      </w:r>
      <w:r>
        <w:rPr>
          <w:color w:val="231F20"/>
          <w:w w:val="105"/>
          <w:sz w:val="20"/>
        </w:rPr>
        <w:t>May 13, 1972.</w:t>
      </w:r>
    </w:p>
    <w:p w14:paraId="44140E89" w14:textId="77777777" w:rsidR="002653E8" w:rsidRDefault="003115E3">
      <w:pPr>
        <w:pStyle w:val="a3"/>
        <w:spacing w:before="162"/>
        <w:ind w:left="1147"/>
      </w:pPr>
      <w:r>
        <w:rPr>
          <w:i/>
          <w:color w:val="231F20"/>
          <w:w w:val="105"/>
        </w:rPr>
        <w:t xml:space="preserve">Libération. </w:t>
      </w:r>
      <w:r>
        <w:rPr>
          <w:color w:val="231F20"/>
          <w:w w:val="105"/>
        </w:rPr>
        <w:t>“1000 croissants pour un avocat.” October 10, 1977.</w:t>
      </w:r>
    </w:p>
    <w:p w14:paraId="507E88B1" w14:textId="77777777" w:rsidR="002653E8" w:rsidRPr="00846956" w:rsidRDefault="003115E3">
      <w:pPr>
        <w:pStyle w:val="a3"/>
        <w:spacing w:line="400" w:lineRule="atLeast"/>
        <w:ind w:left="1147" w:right="1513"/>
        <w:rPr>
          <w:lang w:val="de-DE"/>
        </w:rPr>
      </w:pPr>
      <w:r>
        <w:rPr>
          <w:i/>
          <w:color w:val="231F20"/>
          <w:w w:val="105"/>
        </w:rPr>
        <w:t>-------------</w:t>
      </w:r>
      <w:r>
        <w:rPr>
          <w:color w:val="231F20"/>
          <w:w w:val="105"/>
        </w:rPr>
        <w:t xml:space="preserve">“Klaus Croissant et la raison d’État.” October 10, 1977. </w:t>
      </w:r>
      <w:r>
        <w:rPr>
          <w:i/>
          <w:color w:val="231F20"/>
          <w:w w:val="105"/>
        </w:rPr>
        <w:t xml:space="preserve">Lincoln Star. </w:t>
      </w:r>
      <w:r>
        <w:rPr>
          <w:color w:val="231F20"/>
          <w:w w:val="105"/>
        </w:rPr>
        <w:t xml:space="preserve">“Anarchist’s Death Causes Bombings.” </w:t>
      </w:r>
      <w:r w:rsidRPr="00846956">
        <w:rPr>
          <w:color w:val="231F20"/>
          <w:w w:val="105"/>
          <w:lang w:val="de-DE"/>
        </w:rPr>
        <w:t>May 11, 1976. Lindner, Jan-Eric. “Es begann wie ein Routine-Einsatz dann fielen</w:t>
      </w:r>
    </w:p>
    <w:p w14:paraId="214ECFDC" w14:textId="77777777" w:rsidR="002653E8" w:rsidRPr="00846956" w:rsidRDefault="003115E3">
      <w:pPr>
        <w:spacing w:before="5" w:line="244" w:lineRule="auto"/>
        <w:ind w:left="2281"/>
        <w:rPr>
          <w:sz w:val="20"/>
          <w:lang w:val="de-DE"/>
        </w:rPr>
      </w:pPr>
      <w:r w:rsidRPr="00846956">
        <w:rPr>
          <w:color w:val="231F20"/>
          <w:w w:val="105"/>
          <w:sz w:val="20"/>
          <w:lang w:val="de-DE"/>
        </w:rPr>
        <w:t xml:space="preserve">Schüsse.” </w:t>
      </w:r>
      <w:r w:rsidRPr="00846956">
        <w:rPr>
          <w:i/>
          <w:color w:val="231F20"/>
          <w:w w:val="105"/>
          <w:sz w:val="20"/>
          <w:lang w:val="de-DE"/>
        </w:rPr>
        <w:t xml:space="preserve">Hamburger Abendblatt, </w:t>
      </w:r>
      <w:r w:rsidRPr="00846956">
        <w:rPr>
          <w:color w:val="231F20"/>
          <w:w w:val="105"/>
          <w:sz w:val="20"/>
          <w:lang w:val="de-DE"/>
        </w:rPr>
        <w:t xml:space="preserve">March 3, 2006. http:// </w:t>
      </w:r>
      <w:hyperlink r:id="rId614">
        <w:r w:rsidRPr="00846956">
          <w:rPr>
            <w:color w:val="231F20"/>
            <w:sz w:val="20"/>
            <w:lang w:val="de-DE"/>
          </w:rPr>
          <w:t>www</w:t>
        </w:r>
        <w:r w:rsidRPr="00846956">
          <w:rPr>
            <w:color w:val="231F20"/>
            <w:w w:val="135"/>
            <w:sz w:val="20"/>
            <w:lang w:val="de-DE"/>
          </w:rPr>
          <w:t>.</w:t>
        </w:r>
        <w:r w:rsidRPr="00846956">
          <w:rPr>
            <w:color w:val="231F20"/>
            <w:w w:val="101"/>
            <w:sz w:val="20"/>
            <w:lang w:val="de-DE"/>
          </w:rPr>
          <w:t>ab</w:t>
        </w:r>
        <w:r w:rsidRPr="00846956">
          <w:rPr>
            <w:color w:val="231F20"/>
            <w:w w:val="91"/>
            <w:sz w:val="20"/>
            <w:lang w:val="de-DE"/>
          </w:rPr>
          <w:t>e</w:t>
        </w:r>
        <w:r w:rsidRPr="00846956">
          <w:rPr>
            <w:color w:val="231F20"/>
            <w:w w:val="99"/>
            <w:sz w:val="20"/>
            <w:lang w:val="de-DE"/>
          </w:rPr>
          <w:t>n</w:t>
        </w:r>
        <w:r w:rsidRPr="00846956">
          <w:rPr>
            <w:color w:val="231F20"/>
            <w:sz w:val="20"/>
            <w:lang w:val="de-DE"/>
          </w:rPr>
          <w:t>d</w:t>
        </w:r>
        <w:r w:rsidRPr="00846956">
          <w:rPr>
            <w:color w:val="231F20"/>
            <w:w w:val="101"/>
            <w:sz w:val="20"/>
            <w:lang w:val="de-DE"/>
          </w:rPr>
          <w:t>b</w:t>
        </w:r>
        <w:r w:rsidRPr="00846956">
          <w:rPr>
            <w:color w:val="231F20"/>
            <w:w w:val="102"/>
            <w:sz w:val="20"/>
            <w:lang w:val="de-DE"/>
          </w:rPr>
          <w:t>l</w:t>
        </w:r>
        <w:r w:rsidRPr="00846956">
          <w:rPr>
            <w:color w:val="231F20"/>
            <w:sz w:val="20"/>
            <w:lang w:val="de-DE"/>
          </w:rPr>
          <w:t>at</w:t>
        </w:r>
        <w:r w:rsidRPr="00846956">
          <w:rPr>
            <w:color w:val="231F20"/>
            <w:w w:val="98"/>
            <w:sz w:val="20"/>
            <w:lang w:val="de-DE"/>
          </w:rPr>
          <w:t>t</w:t>
        </w:r>
        <w:r w:rsidRPr="00846956">
          <w:rPr>
            <w:color w:val="231F20"/>
            <w:w w:val="135"/>
            <w:sz w:val="20"/>
            <w:lang w:val="de-DE"/>
          </w:rPr>
          <w:t>.</w:t>
        </w:r>
        <w:r w:rsidRPr="00846956">
          <w:rPr>
            <w:color w:val="231F20"/>
            <w:sz w:val="20"/>
            <w:lang w:val="de-DE"/>
          </w:rPr>
          <w:t>d</w:t>
        </w:r>
        <w:r w:rsidRPr="00846956">
          <w:rPr>
            <w:color w:val="231F20"/>
            <w:w w:val="91"/>
            <w:sz w:val="20"/>
            <w:lang w:val="de-DE"/>
          </w:rPr>
          <w:t>e</w:t>
        </w:r>
        <w:r w:rsidRPr="00846956">
          <w:rPr>
            <w:color w:val="231F20"/>
            <w:w w:val="56"/>
            <w:sz w:val="20"/>
            <w:lang w:val="de-DE"/>
          </w:rPr>
          <w:t>/</w:t>
        </w:r>
        <w:r w:rsidRPr="00846956">
          <w:rPr>
            <w:color w:val="231F20"/>
            <w:sz w:val="20"/>
            <w:lang w:val="de-DE"/>
          </w:rPr>
          <w:t>dat</w:t>
        </w:r>
        <w:r w:rsidRPr="00846956">
          <w:rPr>
            <w:color w:val="231F20"/>
            <w:w w:val="91"/>
            <w:sz w:val="20"/>
            <w:lang w:val="de-DE"/>
          </w:rPr>
          <w:t>e</w:t>
        </w:r>
        <w:r w:rsidRPr="00846956">
          <w:rPr>
            <w:color w:val="231F20"/>
            <w:w w:val="99"/>
            <w:sz w:val="20"/>
            <w:lang w:val="de-DE"/>
          </w:rPr>
          <w:t>n</w:t>
        </w:r>
        <w:r w:rsidRPr="00846956">
          <w:rPr>
            <w:color w:val="231F20"/>
            <w:w w:val="56"/>
            <w:sz w:val="20"/>
            <w:lang w:val="de-DE"/>
          </w:rPr>
          <w:t>/</w:t>
        </w:r>
        <w:r w:rsidRPr="00846956">
          <w:rPr>
            <w:color w:val="231F20"/>
            <w:sz w:val="20"/>
            <w:lang w:val="de-DE"/>
          </w:rPr>
          <w:t>2006</w:t>
        </w:r>
        <w:r w:rsidRPr="00846956">
          <w:rPr>
            <w:color w:val="231F20"/>
            <w:w w:val="56"/>
            <w:sz w:val="20"/>
            <w:lang w:val="de-DE"/>
          </w:rPr>
          <w:t>/</w:t>
        </w:r>
        <w:r w:rsidRPr="00846956">
          <w:rPr>
            <w:color w:val="231F20"/>
            <w:sz w:val="20"/>
            <w:lang w:val="de-DE"/>
          </w:rPr>
          <w:t>03</w:t>
        </w:r>
        <w:r w:rsidRPr="00846956">
          <w:rPr>
            <w:color w:val="231F20"/>
            <w:w w:val="56"/>
            <w:sz w:val="20"/>
            <w:lang w:val="de-DE"/>
          </w:rPr>
          <w:t>/</w:t>
        </w:r>
        <w:r w:rsidRPr="00846956">
          <w:rPr>
            <w:color w:val="231F20"/>
            <w:sz w:val="20"/>
            <w:lang w:val="de-DE"/>
          </w:rPr>
          <w:t>03</w:t>
        </w:r>
        <w:r w:rsidRPr="00846956">
          <w:rPr>
            <w:color w:val="231F20"/>
            <w:w w:val="56"/>
            <w:sz w:val="20"/>
            <w:lang w:val="de-DE"/>
          </w:rPr>
          <w:t>/</w:t>
        </w:r>
        <w:r w:rsidRPr="00846956">
          <w:rPr>
            <w:color w:val="231F20"/>
            <w:sz w:val="20"/>
            <w:lang w:val="de-DE"/>
          </w:rPr>
          <w:t>539507</w:t>
        </w:r>
        <w:r w:rsidRPr="00846956">
          <w:rPr>
            <w:color w:val="231F20"/>
            <w:w w:val="135"/>
            <w:sz w:val="20"/>
            <w:lang w:val="de-DE"/>
          </w:rPr>
          <w:t>.</w:t>
        </w:r>
        <w:r w:rsidRPr="00846956">
          <w:rPr>
            <w:color w:val="231F20"/>
            <w:w w:val="99"/>
            <w:sz w:val="20"/>
            <w:lang w:val="de-DE"/>
          </w:rPr>
          <w:t>htm</w:t>
        </w:r>
        <w:r w:rsidRPr="00846956">
          <w:rPr>
            <w:color w:val="231F20"/>
            <w:w w:val="102"/>
            <w:sz w:val="20"/>
            <w:lang w:val="de-DE"/>
          </w:rPr>
          <w:t>l</w:t>
        </w:r>
      </w:hyperlink>
    </w:p>
    <w:p w14:paraId="6788F16D" w14:textId="77777777" w:rsidR="002653E8" w:rsidRPr="00846956" w:rsidRDefault="002653E8">
      <w:pPr>
        <w:spacing w:line="244" w:lineRule="auto"/>
        <w:rPr>
          <w:sz w:val="20"/>
          <w:lang w:val="de-DE"/>
        </w:rPr>
        <w:sectPr w:rsidR="002653E8" w:rsidRPr="00846956">
          <w:pgSz w:w="8640" w:h="12960"/>
          <w:pgMar w:top="1060" w:right="0" w:bottom="1040" w:left="0" w:header="0" w:footer="850" w:gutter="0"/>
          <w:cols w:space="720"/>
        </w:sectPr>
      </w:pPr>
    </w:p>
    <w:p w14:paraId="0BA2DFE2" w14:textId="77777777" w:rsidR="002653E8" w:rsidRDefault="003115E3">
      <w:pPr>
        <w:spacing w:before="70" w:line="244" w:lineRule="auto"/>
        <w:ind w:left="2462" w:right="1145" w:hanging="1135"/>
        <w:rPr>
          <w:sz w:val="20"/>
        </w:rPr>
      </w:pPr>
      <w:r>
        <w:rPr>
          <w:color w:val="231F20"/>
          <w:w w:val="105"/>
          <w:sz w:val="20"/>
        </w:rPr>
        <w:lastRenderedPageBreak/>
        <w:t xml:space="preserve">Long, Wellington. “Germany has second Rommel.” </w:t>
      </w:r>
      <w:r>
        <w:rPr>
          <w:i/>
          <w:color w:val="231F20"/>
          <w:w w:val="105"/>
          <w:sz w:val="20"/>
        </w:rPr>
        <w:t xml:space="preserve">The Sunday Sun (Lowell, Mass.), </w:t>
      </w:r>
      <w:r>
        <w:rPr>
          <w:color w:val="231F20"/>
          <w:w w:val="105"/>
          <w:sz w:val="20"/>
        </w:rPr>
        <w:t>April 16, 1978.</w:t>
      </w:r>
    </w:p>
    <w:p w14:paraId="02738931" w14:textId="77777777" w:rsidR="002653E8" w:rsidRDefault="003115E3">
      <w:pPr>
        <w:pStyle w:val="a3"/>
        <w:spacing w:before="161" w:line="244" w:lineRule="auto"/>
        <w:ind w:left="2461" w:right="1580" w:hanging="1134"/>
      </w:pPr>
      <w:r>
        <w:rPr>
          <w:color w:val="231F20"/>
        </w:rPr>
        <w:t xml:space="preserve">Malzahn, Claus Christian. “Happy 25th Birthday Greens. What’s </w:t>
      </w:r>
      <w:r>
        <w:rPr>
          <w:color w:val="231F20"/>
          <w:w w:val="98"/>
        </w:rPr>
        <w:t>t</w:t>
      </w:r>
      <w:r>
        <w:rPr>
          <w:color w:val="231F20"/>
        </w:rPr>
        <w:t>h</w:t>
      </w:r>
      <w:r>
        <w:rPr>
          <w:color w:val="231F20"/>
          <w:w w:val="91"/>
        </w:rPr>
        <w:t>e</w:t>
      </w:r>
      <w:r>
        <w:rPr>
          <w:color w:val="231F20"/>
        </w:rPr>
        <w:t xml:space="preserve"> </w:t>
      </w:r>
      <w:r>
        <w:rPr>
          <w:color w:val="231F20"/>
          <w:w w:val="97"/>
        </w:rPr>
        <w:t>P</w:t>
      </w:r>
      <w:r>
        <w:rPr>
          <w:color w:val="231F20"/>
          <w:w w:val="102"/>
        </w:rPr>
        <w:t>la</w:t>
      </w:r>
      <w:r>
        <w:rPr>
          <w:color w:val="231F20"/>
          <w:w w:val="99"/>
        </w:rPr>
        <w:t>n</w:t>
      </w:r>
      <w:r>
        <w:rPr>
          <w:color w:val="231F20"/>
        </w:rPr>
        <w:t xml:space="preserve"> </w:t>
      </w:r>
      <w:r>
        <w:rPr>
          <w:color w:val="231F20"/>
          <w:w w:val="122"/>
        </w:rPr>
        <w:t>N</w:t>
      </w:r>
      <w:r>
        <w:rPr>
          <w:color w:val="231F20"/>
          <w:w w:val="104"/>
        </w:rPr>
        <w:t>o</w:t>
      </w:r>
      <w:r>
        <w:rPr>
          <w:color w:val="231F20"/>
        </w:rPr>
        <w:t>w</w:t>
      </w:r>
      <w:r>
        <w:rPr>
          <w:color w:val="231F20"/>
          <w:w w:val="105"/>
        </w:rPr>
        <w:t>?</w:t>
      </w:r>
      <w:r>
        <w:rPr>
          <w:color w:val="231F20"/>
          <w:w w:val="148"/>
        </w:rPr>
        <w:t>”</w:t>
      </w:r>
      <w:r>
        <w:rPr>
          <w:color w:val="231F20"/>
        </w:rPr>
        <w:t xml:space="preserve"> </w:t>
      </w:r>
      <w:r>
        <w:rPr>
          <w:i/>
          <w:color w:val="231F20"/>
          <w:w w:val="103"/>
        </w:rPr>
        <w:t>S</w:t>
      </w:r>
      <w:r>
        <w:rPr>
          <w:i/>
          <w:color w:val="231F20"/>
          <w:w w:val="105"/>
        </w:rPr>
        <w:t>p</w:t>
      </w:r>
      <w:r>
        <w:rPr>
          <w:i/>
          <w:color w:val="231F20"/>
          <w:w w:val="102"/>
        </w:rPr>
        <w:t>i</w:t>
      </w:r>
      <w:r>
        <w:rPr>
          <w:i/>
          <w:color w:val="231F20"/>
          <w:w w:val="97"/>
        </w:rPr>
        <w:t>e</w:t>
      </w:r>
      <w:r>
        <w:rPr>
          <w:i/>
          <w:color w:val="231F20"/>
          <w:w w:val="96"/>
        </w:rPr>
        <w:t>ge</w:t>
      </w:r>
      <w:r>
        <w:rPr>
          <w:i/>
          <w:color w:val="231F20"/>
          <w:w w:val="104"/>
        </w:rPr>
        <w:t>l</w:t>
      </w:r>
      <w:r>
        <w:rPr>
          <w:i/>
          <w:color w:val="231F20"/>
          <w:w w:val="139"/>
        </w:rPr>
        <w:t>,</w:t>
      </w:r>
      <w:r>
        <w:rPr>
          <w:i/>
          <w:color w:val="231F20"/>
        </w:rPr>
        <w:t xml:space="preserve"> </w:t>
      </w:r>
      <w:r>
        <w:rPr>
          <w:color w:val="231F20"/>
          <w:w w:val="126"/>
        </w:rPr>
        <w:t>J</w:t>
      </w:r>
      <w:r>
        <w:rPr>
          <w:color w:val="231F20"/>
          <w:w w:val="102"/>
        </w:rPr>
        <w:t>a</w:t>
      </w:r>
      <w:r>
        <w:rPr>
          <w:color w:val="231F20"/>
          <w:w w:val="99"/>
        </w:rPr>
        <w:t>n</w:t>
      </w:r>
      <w:r>
        <w:rPr>
          <w:color w:val="231F20"/>
        </w:rPr>
        <w:t>u</w:t>
      </w:r>
      <w:r>
        <w:rPr>
          <w:color w:val="231F20"/>
          <w:w w:val="102"/>
        </w:rPr>
        <w:t>a</w:t>
      </w:r>
      <w:r>
        <w:rPr>
          <w:color w:val="231F20"/>
          <w:w w:val="94"/>
        </w:rPr>
        <w:t>r</w:t>
      </w:r>
      <w:r>
        <w:rPr>
          <w:color w:val="231F20"/>
          <w:w w:val="99"/>
        </w:rPr>
        <w:t>y</w:t>
      </w:r>
      <w:r>
        <w:rPr>
          <w:color w:val="231F20"/>
        </w:rPr>
        <w:t xml:space="preserve"> 13</w:t>
      </w:r>
      <w:r>
        <w:rPr>
          <w:color w:val="231F20"/>
          <w:w w:val="135"/>
        </w:rPr>
        <w:t>,</w:t>
      </w:r>
      <w:r>
        <w:rPr>
          <w:color w:val="231F20"/>
        </w:rPr>
        <w:t xml:space="preserve"> 2005</w:t>
      </w:r>
      <w:r>
        <w:rPr>
          <w:color w:val="231F20"/>
          <w:w w:val="135"/>
        </w:rPr>
        <w:t>.</w:t>
      </w:r>
      <w:r>
        <w:rPr>
          <w:color w:val="231F20"/>
        </w:rPr>
        <w:t xml:space="preserve"> </w:t>
      </w:r>
      <w:hyperlink r:id="rId615">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hyperlink>
      <w:r>
        <w:rPr>
          <w:color w:val="231F20"/>
          <w:w w:val="135"/>
        </w:rPr>
        <w:t xml:space="preserve"> </w:t>
      </w:r>
      <w:r>
        <w:rPr>
          <w:color w:val="231F20"/>
          <w:w w:val="96"/>
        </w:rPr>
        <w:t>spi</w:t>
      </w:r>
      <w:r>
        <w:rPr>
          <w:color w:val="231F20"/>
          <w:w w:val="91"/>
        </w:rPr>
        <w:t>e</w:t>
      </w:r>
      <w:r>
        <w:rPr>
          <w:color w:val="231F20"/>
          <w:w w:val="101"/>
        </w:rPr>
        <w:t>g</w:t>
      </w:r>
      <w:r>
        <w:rPr>
          <w:color w:val="231F20"/>
          <w:w w:val="95"/>
        </w:rPr>
        <w:t>el</w:t>
      </w:r>
      <w:r>
        <w:rPr>
          <w:color w:val="231F20"/>
          <w:w w:val="135"/>
        </w:rPr>
        <w:t>.</w:t>
      </w:r>
      <w:r>
        <w:rPr>
          <w:color w:val="231F20"/>
        </w:rPr>
        <w:t>d</w:t>
      </w:r>
      <w:r>
        <w:rPr>
          <w:color w:val="231F20"/>
          <w:w w:val="91"/>
        </w:rPr>
        <w:t>e</w:t>
      </w:r>
      <w:r>
        <w:rPr>
          <w:color w:val="231F20"/>
          <w:w w:val="56"/>
        </w:rPr>
        <w:t>/</w:t>
      </w:r>
      <w:r>
        <w:rPr>
          <w:color w:val="231F20"/>
        </w:rPr>
        <w:t>i</w:t>
      </w:r>
      <w:r>
        <w:rPr>
          <w:color w:val="231F20"/>
          <w:w w:val="99"/>
        </w:rPr>
        <w:t>n</w:t>
      </w:r>
      <w:r>
        <w:rPr>
          <w:color w:val="231F20"/>
          <w:w w:val="98"/>
        </w:rPr>
        <w:t>t</w:t>
      </w:r>
      <w:r>
        <w:rPr>
          <w:color w:val="231F20"/>
          <w:w w:val="91"/>
        </w:rPr>
        <w:t>e</w:t>
      </w:r>
      <w:r>
        <w:rPr>
          <w:color w:val="231F20"/>
          <w:w w:val="94"/>
        </w:rPr>
        <w:t>r</w:t>
      </w:r>
      <w:r>
        <w:rPr>
          <w:color w:val="231F20"/>
          <w:w w:val="99"/>
        </w:rPr>
        <w:t>n</w:t>
      </w:r>
      <w:r>
        <w:rPr>
          <w:color w:val="231F20"/>
          <w:w w:val="102"/>
        </w:rPr>
        <w:t>a</w:t>
      </w:r>
      <w:r>
        <w:rPr>
          <w:color w:val="231F20"/>
          <w:w w:val="98"/>
        </w:rPr>
        <w:t>t</w:t>
      </w:r>
      <w:r>
        <w:rPr>
          <w:color w:val="231F20"/>
        </w:rPr>
        <w:t>i</w:t>
      </w:r>
      <w:r>
        <w:rPr>
          <w:color w:val="231F20"/>
          <w:w w:val="104"/>
        </w:rPr>
        <w:t>o</w:t>
      </w:r>
      <w:r>
        <w:rPr>
          <w:color w:val="231F20"/>
          <w:w w:val="99"/>
        </w:rPr>
        <w:t>n</w:t>
      </w:r>
      <w:r>
        <w:rPr>
          <w:color w:val="231F20"/>
          <w:w w:val="102"/>
        </w:rPr>
        <w:t>al</w:t>
      </w:r>
      <w:r>
        <w:rPr>
          <w:color w:val="231F20"/>
          <w:w w:val="56"/>
        </w:rPr>
        <w:t>/</w:t>
      </w:r>
      <w:r>
        <w:rPr>
          <w:color w:val="231F20"/>
        </w:rPr>
        <w:t>0</w:t>
      </w:r>
      <w:r>
        <w:rPr>
          <w:color w:val="231F20"/>
          <w:w w:val="135"/>
        </w:rPr>
        <w:t>,</w:t>
      </w:r>
      <w:r>
        <w:rPr>
          <w:color w:val="231F20"/>
        </w:rPr>
        <w:t>1518</w:t>
      </w:r>
      <w:r>
        <w:rPr>
          <w:color w:val="231F20"/>
          <w:w w:val="135"/>
        </w:rPr>
        <w:t>,</w:t>
      </w:r>
      <w:r>
        <w:rPr>
          <w:color w:val="231F20"/>
        </w:rPr>
        <w:t>336623</w:t>
      </w:r>
      <w:r>
        <w:rPr>
          <w:color w:val="231F20"/>
          <w:w w:val="135"/>
        </w:rPr>
        <w:t>,</w:t>
      </w:r>
      <w:r>
        <w:rPr>
          <w:color w:val="231F20"/>
        </w:rPr>
        <w:t>00</w:t>
      </w:r>
      <w:r>
        <w:rPr>
          <w:color w:val="231F20"/>
          <w:w w:val="135"/>
        </w:rPr>
        <w:t>.</w:t>
      </w:r>
      <w:r>
        <w:rPr>
          <w:color w:val="231F20"/>
          <w:w w:val="99"/>
        </w:rPr>
        <w:t>htm</w:t>
      </w:r>
      <w:r>
        <w:rPr>
          <w:color w:val="231F20"/>
          <w:w w:val="102"/>
        </w:rPr>
        <w:t>l</w:t>
      </w:r>
    </w:p>
    <w:p w14:paraId="2562D719" w14:textId="77777777" w:rsidR="002653E8" w:rsidRDefault="003115E3">
      <w:pPr>
        <w:pStyle w:val="a3"/>
        <w:spacing w:before="163"/>
        <w:ind w:left="1327"/>
      </w:pPr>
      <w:r>
        <w:rPr>
          <w:color w:val="231F20"/>
          <w:w w:val="105"/>
        </w:rPr>
        <w:t>McCarty, Patricia (United Press International). “The terrorist war.”</w:t>
      </w:r>
    </w:p>
    <w:p w14:paraId="5BE299B2" w14:textId="77777777" w:rsidR="002653E8" w:rsidRDefault="003115E3">
      <w:pPr>
        <w:spacing w:before="5"/>
        <w:ind w:left="2461"/>
        <w:rPr>
          <w:sz w:val="20"/>
        </w:rPr>
      </w:pPr>
      <w:r>
        <w:rPr>
          <w:i/>
          <w:color w:val="231F20"/>
          <w:w w:val="105"/>
          <w:sz w:val="20"/>
        </w:rPr>
        <w:t xml:space="preserve">European Stars and Stripes, </w:t>
      </w:r>
      <w:r>
        <w:rPr>
          <w:color w:val="231F20"/>
          <w:w w:val="105"/>
          <w:sz w:val="20"/>
        </w:rPr>
        <w:t>August 9, 1973.</w:t>
      </w:r>
    </w:p>
    <w:p w14:paraId="1F2F3AAD" w14:textId="77777777" w:rsidR="002653E8" w:rsidRDefault="003115E3">
      <w:pPr>
        <w:spacing w:before="166" w:line="244" w:lineRule="auto"/>
        <w:ind w:left="2462" w:right="1145" w:hanging="1135"/>
        <w:rPr>
          <w:sz w:val="20"/>
        </w:rPr>
      </w:pPr>
      <w:r>
        <w:rPr>
          <w:color w:val="231F20"/>
          <w:w w:val="122"/>
          <w:sz w:val="20"/>
        </w:rPr>
        <w:t>N</w:t>
      </w:r>
      <w:r>
        <w:rPr>
          <w:color w:val="231F20"/>
          <w:w w:val="106"/>
          <w:sz w:val="20"/>
        </w:rPr>
        <w:t>E</w:t>
      </w:r>
      <w:r>
        <w:rPr>
          <w:color w:val="231F20"/>
          <w:w w:val="115"/>
          <w:sz w:val="20"/>
        </w:rPr>
        <w:t>A</w:t>
      </w:r>
      <w:r>
        <w:rPr>
          <w:color w:val="231F20"/>
          <w:w w:val="56"/>
          <w:sz w:val="20"/>
        </w:rPr>
        <w:t>/</w:t>
      </w:r>
      <w:r>
        <w:rPr>
          <w:color w:val="231F20"/>
          <w:w w:val="113"/>
          <w:sz w:val="20"/>
        </w:rPr>
        <w:t>L</w:t>
      </w:r>
      <w:r>
        <w:rPr>
          <w:color w:val="231F20"/>
          <w:w w:val="104"/>
          <w:sz w:val="20"/>
        </w:rPr>
        <w:t>o</w:t>
      </w:r>
      <w:r>
        <w:rPr>
          <w:color w:val="231F20"/>
          <w:w w:val="99"/>
          <w:sz w:val="20"/>
        </w:rPr>
        <w:t>n</w:t>
      </w:r>
      <w:r>
        <w:rPr>
          <w:color w:val="231F20"/>
          <w:sz w:val="20"/>
        </w:rPr>
        <w:t>d</w:t>
      </w:r>
      <w:r>
        <w:rPr>
          <w:color w:val="231F20"/>
          <w:w w:val="104"/>
          <w:sz w:val="20"/>
        </w:rPr>
        <w:t>o</w:t>
      </w:r>
      <w:r>
        <w:rPr>
          <w:color w:val="231F20"/>
          <w:w w:val="99"/>
          <w:sz w:val="20"/>
        </w:rPr>
        <w:t>n</w:t>
      </w:r>
      <w:r>
        <w:rPr>
          <w:color w:val="231F20"/>
          <w:sz w:val="20"/>
        </w:rPr>
        <w:t xml:space="preserve"> </w:t>
      </w:r>
      <w:r>
        <w:rPr>
          <w:color w:val="231F20"/>
          <w:w w:val="106"/>
          <w:sz w:val="20"/>
        </w:rPr>
        <w:t>E</w:t>
      </w:r>
      <w:r>
        <w:rPr>
          <w:color w:val="231F20"/>
          <w:sz w:val="20"/>
        </w:rPr>
        <w:t>c</w:t>
      </w:r>
      <w:r>
        <w:rPr>
          <w:color w:val="231F20"/>
          <w:w w:val="104"/>
          <w:sz w:val="20"/>
        </w:rPr>
        <w:t>o</w:t>
      </w:r>
      <w:r>
        <w:rPr>
          <w:color w:val="231F20"/>
          <w:w w:val="99"/>
          <w:sz w:val="20"/>
        </w:rPr>
        <w:t>n</w:t>
      </w:r>
      <w:r>
        <w:rPr>
          <w:color w:val="231F20"/>
          <w:w w:val="104"/>
          <w:sz w:val="20"/>
        </w:rPr>
        <w:t>o</w:t>
      </w:r>
      <w:r>
        <w:rPr>
          <w:color w:val="231F20"/>
          <w:w w:val="99"/>
          <w:sz w:val="20"/>
        </w:rPr>
        <w:t>m</w:t>
      </w:r>
      <w:r>
        <w:rPr>
          <w:color w:val="231F20"/>
          <w:sz w:val="20"/>
        </w:rPr>
        <w:t xml:space="preserve">ic </w:t>
      </w:r>
      <w:r>
        <w:rPr>
          <w:color w:val="231F20"/>
          <w:w w:val="122"/>
          <w:sz w:val="20"/>
        </w:rPr>
        <w:t>N</w:t>
      </w:r>
      <w:r>
        <w:rPr>
          <w:color w:val="231F20"/>
          <w:w w:val="91"/>
          <w:sz w:val="20"/>
        </w:rPr>
        <w:t>e</w:t>
      </w:r>
      <w:r>
        <w:rPr>
          <w:color w:val="231F20"/>
          <w:sz w:val="20"/>
        </w:rPr>
        <w:t>w</w:t>
      </w:r>
      <w:r>
        <w:rPr>
          <w:color w:val="231F20"/>
          <w:w w:val="90"/>
          <w:sz w:val="20"/>
        </w:rPr>
        <w:t>s</w:t>
      </w:r>
      <w:r>
        <w:rPr>
          <w:color w:val="231F20"/>
          <w:sz w:val="20"/>
        </w:rPr>
        <w:t xml:space="preserve"> S</w:t>
      </w:r>
      <w:r>
        <w:rPr>
          <w:color w:val="231F20"/>
          <w:w w:val="92"/>
          <w:sz w:val="20"/>
        </w:rPr>
        <w:t>er</w:t>
      </w:r>
      <w:r>
        <w:rPr>
          <w:color w:val="231F20"/>
          <w:w w:val="99"/>
          <w:sz w:val="20"/>
        </w:rPr>
        <w:t>v</w:t>
      </w:r>
      <w:r>
        <w:rPr>
          <w:color w:val="231F20"/>
          <w:sz w:val="20"/>
        </w:rPr>
        <w:t>ic</w:t>
      </w:r>
      <w:r>
        <w:rPr>
          <w:color w:val="231F20"/>
          <w:w w:val="91"/>
          <w:sz w:val="20"/>
        </w:rPr>
        <w:t>e</w:t>
      </w:r>
      <w:r>
        <w:rPr>
          <w:color w:val="231F20"/>
          <w:w w:val="135"/>
          <w:sz w:val="20"/>
        </w:rPr>
        <w:t>.</w:t>
      </w:r>
      <w:r>
        <w:rPr>
          <w:color w:val="231F20"/>
          <w:sz w:val="20"/>
        </w:rPr>
        <w:t xml:space="preserve"> </w:t>
      </w:r>
      <w:r>
        <w:rPr>
          <w:color w:val="231F20"/>
          <w:w w:val="148"/>
          <w:sz w:val="20"/>
        </w:rPr>
        <w:t>“</w:t>
      </w:r>
      <w:r>
        <w:rPr>
          <w:color w:val="231F20"/>
          <w:w w:val="112"/>
          <w:sz w:val="20"/>
        </w:rPr>
        <w:t>T</w:t>
      </w:r>
      <w:r>
        <w:rPr>
          <w:color w:val="231F20"/>
          <w:w w:val="94"/>
          <w:sz w:val="20"/>
        </w:rPr>
        <w:t>r</w:t>
      </w:r>
      <w:r>
        <w:rPr>
          <w:color w:val="231F20"/>
          <w:w w:val="102"/>
          <w:sz w:val="20"/>
        </w:rPr>
        <w:t>a</w:t>
      </w:r>
      <w:r>
        <w:rPr>
          <w:color w:val="231F20"/>
          <w:w w:val="101"/>
          <w:sz w:val="20"/>
        </w:rPr>
        <w:t>g</w:t>
      </w:r>
      <w:r>
        <w:rPr>
          <w:color w:val="231F20"/>
          <w:sz w:val="20"/>
        </w:rPr>
        <w:t xml:space="preserve">ic </w:t>
      </w:r>
      <w:r>
        <w:rPr>
          <w:color w:val="231F20"/>
          <w:w w:val="117"/>
          <w:sz w:val="20"/>
        </w:rPr>
        <w:t>D</w:t>
      </w:r>
      <w:r>
        <w:rPr>
          <w:color w:val="231F20"/>
          <w:w w:val="91"/>
          <w:sz w:val="20"/>
        </w:rPr>
        <w:t>e</w:t>
      </w:r>
      <w:r>
        <w:rPr>
          <w:color w:val="231F20"/>
          <w:w w:val="102"/>
          <w:sz w:val="20"/>
        </w:rPr>
        <w:t>a</w:t>
      </w:r>
      <w:r>
        <w:rPr>
          <w:color w:val="231F20"/>
          <w:w w:val="98"/>
          <w:sz w:val="20"/>
        </w:rPr>
        <w:t>t</w:t>
      </w:r>
      <w:r>
        <w:rPr>
          <w:color w:val="231F20"/>
          <w:sz w:val="20"/>
        </w:rPr>
        <w:t>h i</w:t>
      </w:r>
      <w:r>
        <w:rPr>
          <w:color w:val="231F20"/>
          <w:w w:val="90"/>
          <w:sz w:val="20"/>
        </w:rPr>
        <w:t>s</w:t>
      </w:r>
      <w:r>
        <w:rPr>
          <w:color w:val="231F20"/>
          <w:sz w:val="20"/>
        </w:rPr>
        <w:t xml:space="preserve"> </w:t>
      </w:r>
      <w:r>
        <w:rPr>
          <w:color w:val="231F20"/>
          <w:w w:val="122"/>
          <w:sz w:val="20"/>
        </w:rPr>
        <w:t>M</w:t>
      </w:r>
      <w:r>
        <w:rPr>
          <w:color w:val="231F20"/>
          <w:w w:val="104"/>
          <w:sz w:val="20"/>
        </w:rPr>
        <w:t>o</w:t>
      </w:r>
      <w:r>
        <w:rPr>
          <w:color w:val="231F20"/>
          <w:sz w:val="20"/>
        </w:rPr>
        <w:t>u</w:t>
      </w:r>
      <w:r>
        <w:rPr>
          <w:color w:val="231F20"/>
          <w:w w:val="94"/>
          <w:sz w:val="20"/>
        </w:rPr>
        <w:t>r</w:t>
      </w:r>
      <w:r>
        <w:rPr>
          <w:color w:val="231F20"/>
          <w:w w:val="99"/>
          <w:sz w:val="20"/>
        </w:rPr>
        <w:t>n</w:t>
      </w:r>
      <w:r>
        <w:rPr>
          <w:color w:val="231F20"/>
          <w:w w:val="91"/>
          <w:sz w:val="20"/>
        </w:rPr>
        <w:t>e</w:t>
      </w:r>
      <w:r>
        <w:rPr>
          <w:color w:val="231F20"/>
          <w:sz w:val="20"/>
        </w:rPr>
        <w:t>d</w:t>
      </w:r>
      <w:r>
        <w:rPr>
          <w:color w:val="231F20"/>
          <w:w w:val="135"/>
          <w:sz w:val="20"/>
        </w:rPr>
        <w:t>.</w:t>
      </w:r>
      <w:r>
        <w:rPr>
          <w:color w:val="231F20"/>
          <w:w w:val="148"/>
          <w:sz w:val="20"/>
        </w:rPr>
        <w:t xml:space="preserve">” </w:t>
      </w:r>
      <w:r>
        <w:rPr>
          <w:i/>
          <w:color w:val="231F20"/>
          <w:w w:val="105"/>
          <w:sz w:val="20"/>
        </w:rPr>
        <w:t xml:space="preserve">Uniontown Morning Herald (Uniontown, Pennsylvania), </w:t>
      </w:r>
      <w:r>
        <w:rPr>
          <w:color w:val="231F20"/>
          <w:w w:val="105"/>
          <w:sz w:val="20"/>
        </w:rPr>
        <w:t>May 27, 1976.</w:t>
      </w:r>
    </w:p>
    <w:p w14:paraId="71EABFBC" w14:textId="77777777" w:rsidR="002653E8" w:rsidRDefault="003115E3">
      <w:pPr>
        <w:spacing w:before="162" w:line="244" w:lineRule="auto"/>
        <w:ind w:left="2461" w:right="1580" w:hanging="1134"/>
        <w:rPr>
          <w:sz w:val="20"/>
        </w:rPr>
      </w:pPr>
      <w:r>
        <w:rPr>
          <w:i/>
          <w:color w:val="231F20"/>
          <w:w w:val="105"/>
          <w:sz w:val="20"/>
        </w:rPr>
        <w:t>---------</w:t>
      </w:r>
      <w:r>
        <w:rPr>
          <w:color w:val="231F20"/>
          <w:w w:val="105"/>
          <w:sz w:val="20"/>
        </w:rPr>
        <w:t xml:space="preserve">“Friends Mourn Meinhof’s Tragic Death.” </w:t>
      </w:r>
      <w:r>
        <w:rPr>
          <w:i/>
          <w:color w:val="231F20"/>
          <w:w w:val="105"/>
          <w:sz w:val="20"/>
        </w:rPr>
        <w:t xml:space="preserve">The Pharos Tribune (Logansport, Indiana), </w:t>
      </w:r>
      <w:r>
        <w:rPr>
          <w:color w:val="231F20"/>
          <w:w w:val="105"/>
          <w:sz w:val="20"/>
        </w:rPr>
        <w:t>May 23, 1976.</w:t>
      </w:r>
    </w:p>
    <w:p w14:paraId="55CA74AD" w14:textId="77777777" w:rsidR="002653E8" w:rsidRDefault="003115E3">
      <w:pPr>
        <w:spacing w:before="162" w:line="244" w:lineRule="auto"/>
        <w:ind w:left="2461" w:right="1145" w:hanging="1135"/>
        <w:rPr>
          <w:sz w:val="20"/>
        </w:rPr>
      </w:pPr>
      <w:r>
        <w:rPr>
          <w:i/>
          <w:color w:val="231F20"/>
          <w:w w:val="105"/>
          <w:sz w:val="20"/>
        </w:rPr>
        <w:t xml:space="preserve">News Journal (Mansfield, Ohio). </w:t>
      </w:r>
      <w:r>
        <w:rPr>
          <w:color w:val="231F20"/>
          <w:w w:val="105"/>
          <w:sz w:val="20"/>
        </w:rPr>
        <w:t>“Leftists suspected: Former yemen Premier Killed.” April 11, 1977.</w:t>
      </w:r>
    </w:p>
    <w:p w14:paraId="52EAE18B" w14:textId="77777777" w:rsidR="002653E8" w:rsidRDefault="003115E3">
      <w:pPr>
        <w:pStyle w:val="a3"/>
        <w:spacing w:before="162" w:line="244" w:lineRule="auto"/>
        <w:ind w:left="2462" w:right="1580" w:hanging="1135"/>
      </w:pPr>
      <w:r>
        <w:rPr>
          <w:i/>
          <w:color w:val="231F20"/>
        </w:rPr>
        <w:t xml:space="preserve">Newsweek. </w:t>
      </w:r>
      <w:r>
        <w:rPr>
          <w:color w:val="231F20"/>
        </w:rPr>
        <w:t xml:space="preserve">“The Angela Davis Case.” October 26, 1970: 18-24. </w:t>
      </w:r>
      <w:hyperlink r:id="rId616">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r>
          <w:rPr>
            <w:color w:val="231F20"/>
          </w:rPr>
          <w:t>i</w:t>
        </w:r>
        <w:r>
          <w:rPr>
            <w:color w:val="231F20"/>
            <w:w w:val="98"/>
          </w:rPr>
          <w:t>t</w:t>
        </w:r>
        <w:r>
          <w:rPr>
            <w:color w:val="231F20"/>
            <w:w w:val="90"/>
          </w:rPr>
          <w:t>s</w:t>
        </w:r>
        <w:r>
          <w:rPr>
            <w:color w:val="231F20"/>
            <w:w w:val="102"/>
          </w:rPr>
          <w:t>a</w:t>
        </w:r>
        <w:r>
          <w:rPr>
            <w:color w:val="231F20"/>
            <w:w w:val="103"/>
          </w:rPr>
          <w:t>bo</w:t>
        </w:r>
        <w:r>
          <w:rPr>
            <w:color w:val="231F20"/>
          </w:rPr>
          <w:t>u</w:t>
        </w:r>
        <w:r>
          <w:rPr>
            <w:color w:val="231F20"/>
            <w:w w:val="98"/>
          </w:rPr>
          <w:t>tt</w:t>
        </w:r>
        <w:r>
          <w:rPr>
            <w:color w:val="231F20"/>
          </w:rPr>
          <w:t>i</w:t>
        </w:r>
        <w:r>
          <w:rPr>
            <w:color w:val="231F20"/>
            <w:w w:val="99"/>
          </w:rPr>
          <w:t>m</w:t>
        </w:r>
        <w:r>
          <w:rPr>
            <w:color w:val="231F20"/>
            <w:w w:val="91"/>
          </w:rPr>
          <w:t>e</w:t>
        </w:r>
        <w:r>
          <w:rPr>
            <w:color w:val="231F20"/>
            <w:w w:val="101"/>
          </w:rPr>
          <w:t>b</w:t>
        </w:r>
        <w:r>
          <w:rPr>
            <w:color w:val="231F20"/>
            <w:w w:val="99"/>
          </w:rPr>
          <w:t>pp</w:t>
        </w:r>
        <w:r>
          <w:rPr>
            <w:color w:val="231F20"/>
            <w:w w:val="135"/>
          </w:rPr>
          <w:t>.</w:t>
        </w:r>
        <w:r>
          <w:rPr>
            <w:color w:val="231F20"/>
          </w:rPr>
          <w:t>c</w:t>
        </w:r>
        <w:r>
          <w:rPr>
            <w:color w:val="231F20"/>
            <w:w w:val="104"/>
          </w:rPr>
          <w:t>o</w:t>
        </w:r>
        <w:r>
          <w:rPr>
            <w:color w:val="231F20"/>
            <w:w w:val="99"/>
          </w:rPr>
          <w:t>m</w:t>
        </w:r>
        <w:r>
          <w:rPr>
            <w:color w:val="231F20"/>
            <w:w w:val="56"/>
          </w:rPr>
          <w:t>/</w:t>
        </w:r>
        <w:r>
          <w:rPr>
            <w:color w:val="231F20"/>
            <w:w w:val="122"/>
          </w:rPr>
          <w:t>N</w:t>
        </w:r>
        <w:r>
          <w:rPr>
            <w:color w:val="231F20"/>
            <w:w w:val="91"/>
          </w:rPr>
          <w:t>e</w:t>
        </w:r>
        <w:r>
          <w:rPr>
            <w:color w:val="231F20"/>
          </w:rPr>
          <w:t>w</w:t>
        </w:r>
        <w:r>
          <w:rPr>
            <w:color w:val="231F20"/>
            <w:w w:val="90"/>
          </w:rPr>
          <w:t>s</w:t>
        </w:r>
        <w:r>
          <w:rPr>
            <w:color w:val="231F20"/>
            <w:w w:val="134"/>
          </w:rPr>
          <w:t>_</w:t>
        </w:r>
        <w:r>
          <w:rPr>
            <w:color w:val="231F20"/>
            <w:w w:val="122"/>
          </w:rPr>
          <w:t>M</w:t>
        </w:r>
        <w:r>
          <w:rPr>
            <w:color w:val="231F20"/>
            <w:w w:val="91"/>
          </w:rPr>
          <w:t>e</w:t>
        </w:r>
        <w:r>
          <w:rPr>
            <w:color w:val="231F20"/>
          </w:rPr>
          <w:t>di</w:t>
        </w:r>
        <w:r>
          <w:rPr>
            <w:color w:val="231F20"/>
            <w:w w:val="102"/>
          </w:rPr>
          <w:t>a</w:t>
        </w:r>
        <w:r>
          <w:rPr>
            <w:color w:val="231F20"/>
            <w:w w:val="56"/>
          </w:rPr>
          <w:t>/</w:t>
        </w:r>
        <w:r>
          <w:rPr>
            <w:color w:val="231F20"/>
          </w:rPr>
          <w:t>pd</w:t>
        </w:r>
        <w:r>
          <w:rPr>
            <w:color w:val="231F20"/>
            <w:w w:val="109"/>
          </w:rPr>
          <w:t>f</w:t>
        </w:r>
        <w:r>
          <w:rPr>
            <w:color w:val="231F20"/>
            <w:w w:val="56"/>
          </w:rPr>
          <w:t>/</w:t>
        </w:r>
      </w:hyperlink>
      <w:r>
        <w:rPr>
          <w:color w:val="231F20"/>
          <w:w w:val="56"/>
        </w:rPr>
        <w:t xml:space="preserve"> </w:t>
      </w:r>
      <w:r>
        <w:rPr>
          <w:color w:val="231F20"/>
        </w:rPr>
        <w:t>Angela_Davis.pdf</w:t>
      </w:r>
    </w:p>
    <w:p w14:paraId="17DB8364" w14:textId="77777777" w:rsidR="002653E8" w:rsidRPr="00846956" w:rsidRDefault="003115E3">
      <w:pPr>
        <w:pStyle w:val="a3"/>
        <w:spacing w:before="162" w:line="244" w:lineRule="auto"/>
        <w:ind w:left="2461" w:right="1145" w:hanging="1134"/>
        <w:rPr>
          <w:lang w:val="de-DE"/>
        </w:rPr>
      </w:pPr>
      <w:r w:rsidRPr="00846956">
        <w:rPr>
          <w:color w:val="231F20"/>
          <w:lang w:val="de-DE"/>
        </w:rPr>
        <w:t xml:space="preserve">Peters, Butz. “Landshut-Befreiung: Die </w:t>
      </w:r>
      <w:r w:rsidR="00C507A5" w:rsidRPr="00846956">
        <w:rPr>
          <w:color w:val="231F20"/>
          <w:lang w:val="de-DE"/>
        </w:rPr>
        <w:t>red army faction</w:t>
      </w:r>
      <w:r w:rsidRPr="00846956">
        <w:rPr>
          <w:color w:val="231F20"/>
          <w:lang w:val="de-DE"/>
        </w:rPr>
        <w:t xml:space="preserve"> erleidet ihre größte Niederlage.” </w:t>
      </w:r>
      <w:r w:rsidRPr="00846956">
        <w:rPr>
          <w:i/>
          <w:color w:val="231F20"/>
          <w:lang w:val="de-DE"/>
        </w:rPr>
        <w:t xml:space="preserve">Welt Online, </w:t>
      </w:r>
      <w:r w:rsidRPr="00846956">
        <w:rPr>
          <w:color w:val="231F20"/>
          <w:lang w:val="de-DE"/>
        </w:rPr>
        <w:t xml:space="preserve">October 14, 2007. http:// </w:t>
      </w:r>
      <w:hyperlink r:id="rId617">
        <w:r w:rsidRPr="00846956">
          <w:rPr>
            <w:color w:val="231F20"/>
            <w:lang w:val="de-DE"/>
          </w:rPr>
          <w:t>www</w:t>
        </w:r>
        <w:r w:rsidRPr="00846956">
          <w:rPr>
            <w:color w:val="231F20"/>
            <w:w w:val="135"/>
            <w:lang w:val="de-DE"/>
          </w:rPr>
          <w:t>.</w:t>
        </w:r>
        <w:r w:rsidRPr="00846956">
          <w:rPr>
            <w:color w:val="231F20"/>
            <w:lang w:val="de-DE"/>
          </w:rPr>
          <w:t>w</w:t>
        </w:r>
        <w:r w:rsidRPr="00846956">
          <w:rPr>
            <w:color w:val="231F20"/>
            <w:w w:val="91"/>
            <w:lang w:val="de-DE"/>
          </w:rPr>
          <w:t>e</w:t>
        </w:r>
        <w:r w:rsidRPr="00846956">
          <w:rPr>
            <w:color w:val="231F20"/>
            <w:w w:val="102"/>
            <w:lang w:val="de-DE"/>
          </w:rPr>
          <w:t>l</w:t>
        </w:r>
        <w:r w:rsidRPr="00846956">
          <w:rPr>
            <w:color w:val="231F20"/>
            <w:w w:val="98"/>
            <w:lang w:val="de-DE"/>
          </w:rPr>
          <w:t>t</w:t>
        </w:r>
        <w:r w:rsidRPr="00846956">
          <w:rPr>
            <w:color w:val="231F20"/>
            <w:w w:val="109"/>
            <w:lang w:val="de-DE"/>
          </w:rPr>
          <w:t>.d</w:t>
        </w:r>
        <w:r w:rsidRPr="00846956">
          <w:rPr>
            <w:color w:val="231F20"/>
            <w:w w:val="91"/>
            <w:lang w:val="de-DE"/>
          </w:rPr>
          <w:t>e</w:t>
        </w:r>
        <w:r w:rsidRPr="00846956">
          <w:rPr>
            <w:color w:val="231F20"/>
            <w:w w:val="56"/>
            <w:lang w:val="de-DE"/>
          </w:rPr>
          <w:t>/</w:t>
        </w:r>
        <w:r w:rsidRPr="00846956">
          <w:rPr>
            <w:color w:val="231F20"/>
            <w:w w:val="99"/>
            <w:lang w:val="de-DE"/>
          </w:rPr>
          <w:t>p</w:t>
        </w:r>
        <w:r w:rsidRPr="00846956">
          <w:rPr>
            <w:color w:val="231F20"/>
            <w:w w:val="104"/>
            <w:lang w:val="de-DE"/>
          </w:rPr>
          <w:t>o</w:t>
        </w:r>
        <w:r w:rsidRPr="00846956">
          <w:rPr>
            <w:color w:val="231F20"/>
            <w:w w:val="102"/>
            <w:lang w:val="de-DE"/>
          </w:rPr>
          <w:t>l</w:t>
        </w:r>
        <w:r w:rsidRPr="00846956">
          <w:rPr>
            <w:color w:val="231F20"/>
            <w:lang w:val="de-DE"/>
          </w:rPr>
          <w:t>i</w:t>
        </w:r>
        <w:r w:rsidRPr="00846956">
          <w:rPr>
            <w:color w:val="231F20"/>
            <w:w w:val="98"/>
            <w:lang w:val="de-DE"/>
          </w:rPr>
          <w:t>t</w:t>
        </w:r>
        <w:r w:rsidRPr="00846956">
          <w:rPr>
            <w:color w:val="231F20"/>
            <w:lang w:val="de-DE"/>
          </w:rPr>
          <w:t>i</w:t>
        </w:r>
        <w:r w:rsidRPr="00846956">
          <w:rPr>
            <w:color w:val="231F20"/>
            <w:w w:val="106"/>
            <w:lang w:val="de-DE"/>
          </w:rPr>
          <w:t>k</w:t>
        </w:r>
        <w:r w:rsidRPr="00846956">
          <w:rPr>
            <w:color w:val="231F20"/>
            <w:w w:val="56"/>
            <w:lang w:val="de-DE"/>
          </w:rPr>
          <w:t>/</w:t>
        </w:r>
        <w:r w:rsidRPr="00846956">
          <w:rPr>
            <w:color w:val="231F20"/>
            <w:w w:val="102"/>
            <w:lang w:val="de-DE"/>
          </w:rPr>
          <w:t>a</w:t>
        </w:r>
        <w:r w:rsidRPr="00846956">
          <w:rPr>
            <w:color w:val="231F20"/>
            <w:w w:val="94"/>
            <w:lang w:val="de-DE"/>
          </w:rPr>
          <w:t>r</w:t>
        </w:r>
        <w:r w:rsidRPr="00846956">
          <w:rPr>
            <w:color w:val="231F20"/>
            <w:w w:val="98"/>
            <w:lang w:val="de-DE"/>
          </w:rPr>
          <w:t>t</w:t>
        </w:r>
        <w:r w:rsidRPr="00846956">
          <w:rPr>
            <w:color w:val="231F20"/>
            <w:lang w:val="de-DE"/>
          </w:rPr>
          <w:t>icl</w:t>
        </w:r>
        <w:r w:rsidRPr="00846956">
          <w:rPr>
            <w:color w:val="231F20"/>
            <w:w w:val="91"/>
            <w:lang w:val="de-DE"/>
          </w:rPr>
          <w:t>e</w:t>
        </w:r>
        <w:r w:rsidRPr="00846956">
          <w:rPr>
            <w:color w:val="231F20"/>
            <w:lang w:val="de-DE"/>
          </w:rPr>
          <w:t>1263664</w:t>
        </w:r>
        <w:r w:rsidRPr="00846956">
          <w:rPr>
            <w:color w:val="231F20"/>
            <w:w w:val="56"/>
            <w:lang w:val="de-DE"/>
          </w:rPr>
          <w:t>/</w:t>
        </w:r>
        <w:r w:rsidRPr="00846956">
          <w:rPr>
            <w:color w:val="231F20"/>
            <w:w w:val="117"/>
            <w:lang w:val="de-DE"/>
          </w:rPr>
          <w:t>D</w:t>
        </w:r>
        <w:r w:rsidRPr="00846956">
          <w:rPr>
            <w:color w:val="231F20"/>
            <w:w w:val="94"/>
            <w:lang w:val="de-DE"/>
          </w:rPr>
          <w:t>ie</w:t>
        </w:r>
        <w:r w:rsidRPr="00846956">
          <w:rPr>
            <w:color w:val="231F20"/>
            <w:w w:val="134"/>
            <w:lang w:val="de-DE"/>
          </w:rPr>
          <w:t>_</w:t>
        </w:r>
        <w:r w:rsidR="00C507A5" w:rsidRPr="00846956">
          <w:rPr>
            <w:color w:val="231F20"/>
            <w:w w:val="116"/>
            <w:lang w:val="de-DE"/>
          </w:rPr>
          <w:t>red army faction</w:t>
        </w:r>
        <w:r w:rsidRPr="00846956">
          <w:rPr>
            <w:color w:val="231F20"/>
            <w:w w:val="134"/>
            <w:lang w:val="de-DE"/>
          </w:rPr>
          <w:t>_</w:t>
        </w:r>
        <w:r w:rsidRPr="00846956">
          <w:rPr>
            <w:color w:val="231F20"/>
            <w:w w:val="91"/>
            <w:lang w:val="de-DE"/>
          </w:rPr>
          <w:t>e</w:t>
        </w:r>
        <w:r w:rsidRPr="00846956">
          <w:rPr>
            <w:color w:val="231F20"/>
            <w:w w:val="94"/>
            <w:lang w:val="de-DE"/>
          </w:rPr>
          <w:t>r</w:t>
        </w:r>
        <w:r w:rsidRPr="00846956">
          <w:rPr>
            <w:color w:val="231F20"/>
            <w:w w:val="96"/>
            <w:lang w:val="de-DE"/>
          </w:rPr>
          <w:t>lei</w:t>
        </w:r>
        <w:r w:rsidRPr="00846956">
          <w:rPr>
            <w:color w:val="231F20"/>
            <w:lang w:val="de-DE"/>
          </w:rPr>
          <w:t>d</w:t>
        </w:r>
        <w:r w:rsidRPr="00846956">
          <w:rPr>
            <w:color w:val="231F20"/>
            <w:w w:val="91"/>
            <w:lang w:val="de-DE"/>
          </w:rPr>
          <w:t>e</w:t>
        </w:r>
        <w:r w:rsidRPr="00846956">
          <w:rPr>
            <w:color w:val="231F20"/>
            <w:w w:val="98"/>
            <w:lang w:val="de-DE"/>
          </w:rPr>
          <w:t>t</w:t>
        </w:r>
        <w:r w:rsidRPr="00846956">
          <w:rPr>
            <w:color w:val="231F20"/>
            <w:w w:val="134"/>
            <w:lang w:val="de-DE"/>
          </w:rPr>
          <w:t>_</w:t>
        </w:r>
      </w:hyperlink>
      <w:r w:rsidRPr="00846956">
        <w:rPr>
          <w:color w:val="231F20"/>
          <w:w w:val="134"/>
          <w:lang w:val="de-DE"/>
        </w:rPr>
        <w:t xml:space="preserve"> </w:t>
      </w:r>
      <w:r w:rsidRPr="00846956">
        <w:rPr>
          <w:color w:val="231F20"/>
          <w:lang w:val="de-DE"/>
        </w:rPr>
        <w:t>ihre_groesste_Niederlage.html</w:t>
      </w:r>
    </w:p>
    <w:p w14:paraId="5B4C4A66" w14:textId="77777777" w:rsidR="002653E8" w:rsidRDefault="003115E3">
      <w:pPr>
        <w:spacing w:before="164" w:line="244" w:lineRule="auto"/>
        <w:ind w:left="2461" w:right="1298" w:hanging="1134"/>
        <w:rPr>
          <w:sz w:val="20"/>
        </w:rPr>
      </w:pPr>
      <w:r>
        <w:rPr>
          <w:color w:val="231F20"/>
          <w:w w:val="110"/>
          <w:sz w:val="20"/>
        </w:rPr>
        <w:t>Reuters.</w:t>
      </w:r>
      <w:r>
        <w:rPr>
          <w:color w:val="231F20"/>
          <w:spacing w:val="-20"/>
          <w:w w:val="110"/>
          <w:sz w:val="20"/>
        </w:rPr>
        <w:t xml:space="preserve"> </w:t>
      </w:r>
      <w:r>
        <w:rPr>
          <w:color w:val="231F20"/>
          <w:w w:val="110"/>
          <w:sz w:val="20"/>
        </w:rPr>
        <w:t>“Envoy</w:t>
      </w:r>
      <w:r>
        <w:rPr>
          <w:color w:val="231F20"/>
          <w:spacing w:val="-20"/>
          <w:w w:val="110"/>
          <w:sz w:val="20"/>
        </w:rPr>
        <w:t xml:space="preserve"> </w:t>
      </w:r>
      <w:r>
        <w:rPr>
          <w:color w:val="231F20"/>
          <w:w w:val="110"/>
          <w:sz w:val="20"/>
        </w:rPr>
        <w:t>Gets</w:t>
      </w:r>
      <w:r>
        <w:rPr>
          <w:color w:val="231F20"/>
          <w:spacing w:val="-20"/>
          <w:w w:val="110"/>
          <w:sz w:val="20"/>
        </w:rPr>
        <w:t xml:space="preserve"> </w:t>
      </w:r>
      <w:r>
        <w:rPr>
          <w:color w:val="231F20"/>
          <w:w w:val="110"/>
          <w:sz w:val="20"/>
        </w:rPr>
        <w:t>Kidnap</w:t>
      </w:r>
      <w:r>
        <w:rPr>
          <w:color w:val="231F20"/>
          <w:spacing w:val="-20"/>
          <w:w w:val="110"/>
          <w:sz w:val="20"/>
        </w:rPr>
        <w:t xml:space="preserve"> </w:t>
      </w:r>
      <w:r>
        <w:rPr>
          <w:color w:val="231F20"/>
          <w:w w:val="110"/>
          <w:sz w:val="20"/>
        </w:rPr>
        <w:t>Threat.”</w:t>
      </w:r>
      <w:r>
        <w:rPr>
          <w:color w:val="231F20"/>
          <w:spacing w:val="-20"/>
          <w:w w:val="110"/>
          <w:sz w:val="20"/>
        </w:rPr>
        <w:t xml:space="preserve"> </w:t>
      </w:r>
      <w:r>
        <w:rPr>
          <w:i/>
          <w:color w:val="231F20"/>
          <w:w w:val="110"/>
          <w:sz w:val="20"/>
        </w:rPr>
        <w:t>Winnipeg</w:t>
      </w:r>
      <w:r>
        <w:rPr>
          <w:i/>
          <w:color w:val="231F20"/>
          <w:spacing w:val="-20"/>
          <w:w w:val="110"/>
          <w:sz w:val="20"/>
        </w:rPr>
        <w:t xml:space="preserve"> </w:t>
      </w:r>
      <w:r>
        <w:rPr>
          <w:i/>
          <w:color w:val="231F20"/>
          <w:w w:val="110"/>
          <w:sz w:val="20"/>
        </w:rPr>
        <w:t>Free</w:t>
      </w:r>
      <w:r>
        <w:rPr>
          <w:i/>
          <w:color w:val="231F20"/>
          <w:spacing w:val="-20"/>
          <w:w w:val="110"/>
          <w:sz w:val="20"/>
        </w:rPr>
        <w:t xml:space="preserve"> </w:t>
      </w:r>
      <w:r>
        <w:rPr>
          <w:i/>
          <w:color w:val="231F20"/>
          <w:w w:val="110"/>
          <w:sz w:val="20"/>
        </w:rPr>
        <w:t>Press,</w:t>
      </w:r>
      <w:r>
        <w:rPr>
          <w:i/>
          <w:color w:val="231F20"/>
          <w:spacing w:val="-20"/>
          <w:w w:val="110"/>
          <w:sz w:val="20"/>
        </w:rPr>
        <w:t xml:space="preserve"> </w:t>
      </w:r>
      <w:r>
        <w:rPr>
          <w:color w:val="231F20"/>
          <w:w w:val="110"/>
          <w:sz w:val="20"/>
        </w:rPr>
        <w:t>Jan.</w:t>
      </w:r>
      <w:r>
        <w:rPr>
          <w:color w:val="231F20"/>
          <w:spacing w:val="-20"/>
          <w:w w:val="110"/>
          <w:sz w:val="20"/>
        </w:rPr>
        <w:t xml:space="preserve"> </w:t>
      </w:r>
      <w:r>
        <w:rPr>
          <w:color w:val="231F20"/>
          <w:w w:val="110"/>
          <w:sz w:val="20"/>
        </w:rPr>
        <w:t xml:space="preserve">22, </w:t>
      </w:r>
      <w:r>
        <w:rPr>
          <w:color w:val="231F20"/>
          <w:spacing w:val="-6"/>
          <w:w w:val="110"/>
          <w:sz w:val="20"/>
        </w:rPr>
        <w:t>1977.</w:t>
      </w:r>
    </w:p>
    <w:p w14:paraId="18CF184E" w14:textId="77777777" w:rsidR="002653E8" w:rsidRDefault="003115E3">
      <w:pPr>
        <w:spacing w:before="161"/>
        <w:ind w:left="1327"/>
        <w:rPr>
          <w:i/>
          <w:sz w:val="20"/>
        </w:rPr>
      </w:pPr>
      <w:r>
        <w:rPr>
          <w:i/>
          <w:color w:val="231F20"/>
          <w:w w:val="105"/>
          <w:sz w:val="20"/>
        </w:rPr>
        <w:t>---------</w:t>
      </w:r>
      <w:r>
        <w:rPr>
          <w:color w:val="231F20"/>
          <w:w w:val="105"/>
          <w:sz w:val="20"/>
        </w:rPr>
        <w:t xml:space="preserve">“Suspects shot in gun battle.” </w:t>
      </w:r>
      <w:r>
        <w:rPr>
          <w:i/>
          <w:color w:val="231F20"/>
          <w:w w:val="105"/>
          <w:sz w:val="20"/>
        </w:rPr>
        <w:t>Winnipeg Free Press,</w:t>
      </w:r>
    </w:p>
    <w:p w14:paraId="5BE4155E" w14:textId="77777777" w:rsidR="002653E8" w:rsidRDefault="003115E3">
      <w:pPr>
        <w:pStyle w:val="a3"/>
        <w:spacing w:before="6"/>
        <w:ind w:left="2461"/>
      </w:pPr>
      <w:r>
        <w:rPr>
          <w:color w:val="231F20"/>
          <w:w w:val="110"/>
        </w:rPr>
        <w:t>May 4, 1977.</w:t>
      </w:r>
    </w:p>
    <w:p w14:paraId="5814975B" w14:textId="77777777" w:rsidR="002653E8" w:rsidRDefault="003115E3">
      <w:pPr>
        <w:pStyle w:val="a3"/>
        <w:spacing w:before="165" w:line="244" w:lineRule="auto"/>
        <w:ind w:left="2461" w:right="1580" w:hanging="1134"/>
      </w:pPr>
      <w:r>
        <w:rPr>
          <w:color w:val="231F20"/>
        </w:rPr>
        <w:t xml:space="preserve">Roth, Andrew. “Obituary: Melvin Lasky, Cold Warrior who Edited Encounter Magazine.” </w:t>
      </w:r>
      <w:r>
        <w:rPr>
          <w:i/>
          <w:color w:val="231F20"/>
        </w:rPr>
        <w:t xml:space="preserve">The Manchester Guardian, </w:t>
      </w:r>
      <w:r>
        <w:rPr>
          <w:color w:val="231F20"/>
          <w:w w:val="122"/>
        </w:rPr>
        <w:t>M</w:t>
      </w:r>
      <w:r>
        <w:rPr>
          <w:color w:val="231F20"/>
        </w:rPr>
        <w:t>ay 22</w:t>
      </w:r>
      <w:r>
        <w:rPr>
          <w:color w:val="231F20"/>
          <w:w w:val="135"/>
        </w:rPr>
        <w:t>,</w:t>
      </w:r>
      <w:r>
        <w:rPr>
          <w:color w:val="231F20"/>
        </w:rPr>
        <w:t xml:space="preserve"> 2004</w:t>
      </w:r>
      <w:r>
        <w:rPr>
          <w:color w:val="231F20"/>
          <w:w w:val="135"/>
        </w:rPr>
        <w:t>.</w:t>
      </w:r>
      <w:r>
        <w:rPr>
          <w:color w:val="231F20"/>
        </w:rPr>
        <w:t xml:space="preserve"> </w:t>
      </w:r>
      <w:hyperlink r:id="rId618">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r>
          <w:rPr>
            <w:color w:val="231F20"/>
            <w:w w:val="101"/>
          </w:rPr>
          <w:t>g</w:t>
        </w:r>
        <w:r>
          <w:rPr>
            <w:color w:val="231F20"/>
          </w:rPr>
          <w:t>u</w:t>
        </w:r>
        <w:r>
          <w:rPr>
            <w:color w:val="231F20"/>
            <w:w w:val="102"/>
          </w:rPr>
          <w:t>a</w:t>
        </w:r>
        <w:r>
          <w:rPr>
            <w:color w:val="231F20"/>
            <w:w w:val="94"/>
          </w:rPr>
          <w:t>r</w:t>
        </w:r>
        <w:r>
          <w:rPr>
            <w:color w:val="231F20"/>
          </w:rPr>
          <w:t>di</w:t>
        </w:r>
        <w:r>
          <w:rPr>
            <w:color w:val="231F20"/>
            <w:w w:val="102"/>
          </w:rPr>
          <w:t>a</w:t>
        </w:r>
        <w:r>
          <w:rPr>
            <w:color w:val="231F20"/>
            <w:w w:val="99"/>
          </w:rPr>
          <w:t>n</w:t>
        </w:r>
        <w:r>
          <w:rPr>
            <w:color w:val="231F20"/>
            <w:w w:val="135"/>
          </w:rPr>
          <w:t>.</w:t>
        </w:r>
        <w:r>
          <w:rPr>
            <w:color w:val="231F20"/>
          </w:rPr>
          <w:t>c</w:t>
        </w:r>
        <w:r>
          <w:rPr>
            <w:color w:val="231F20"/>
            <w:w w:val="104"/>
          </w:rPr>
          <w:t>o</w:t>
        </w:r>
        <w:r>
          <w:rPr>
            <w:color w:val="231F20"/>
            <w:w w:val="135"/>
          </w:rPr>
          <w:t>.</w:t>
        </w:r>
        <w:r>
          <w:rPr>
            <w:color w:val="231F20"/>
          </w:rPr>
          <w:t>u</w:t>
        </w:r>
        <w:r>
          <w:rPr>
            <w:color w:val="231F20"/>
            <w:w w:val="106"/>
          </w:rPr>
          <w:t>k</w:t>
        </w:r>
        <w:r>
          <w:rPr>
            <w:color w:val="231F20"/>
            <w:w w:val="79"/>
          </w:rPr>
          <w:t>/n</w:t>
        </w:r>
        <w:r>
          <w:rPr>
            <w:color w:val="231F20"/>
            <w:w w:val="91"/>
          </w:rPr>
          <w:t>e</w:t>
        </w:r>
        <w:r>
          <w:rPr>
            <w:color w:val="231F20"/>
          </w:rPr>
          <w:t>w</w:t>
        </w:r>
        <w:r>
          <w:rPr>
            <w:color w:val="231F20"/>
            <w:w w:val="90"/>
          </w:rPr>
          <w:t>s</w:t>
        </w:r>
        <w:r>
          <w:rPr>
            <w:color w:val="231F20"/>
            <w:w w:val="56"/>
          </w:rPr>
          <w:t>/</w:t>
        </w:r>
        <w:r>
          <w:rPr>
            <w:color w:val="231F20"/>
          </w:rPr>
          <w:t>2004</w:t>
        </w:r>
        <w:r>
          <w:rPr>
            <w:color w:val="231F20"/>
            <w:w w:val="56"/>
          </w:rPr>
          <w:t>/</w:t>
        </w:r>
      </w:hyperlink>
      <w:r>
        <w:rPr>
          <w:color w:val="231F20"/>
          <w:w w:val="56"/>
        </w:rPr>
        <w:t xml:space="preserve"> </w:t>
      </w:r>
      <w:r>
        <w:rPr>
          <w:color w:val="231F20"/>
        </w:rPr>
        <w:t>may/22/guardianobituaries</w:t>
      </w:r>
    </w:p>
    <w:p w14:paraId="28FF6097" w14:textId="77777777" w:rsidR="002653E8" w:rsidRPr="00846956" w:rsidRDefault="003115E3">
      <w:pPr>
        <w:pStyle w:val="a3"/>
        <w:spacing w:before="164" w:line="244" w:lineRule="auto"/>
        <w:ind w:left="2461" w:right="1513" w:hanging="1134"/>
        <w:rPr>
          <w:lang w:val="de-DE"/>
        </w:rPr>
      </w:pPr>
      <w:r w:rsidRPr="00846956">
        <w:rPr>
          <w:color w:val="231F20"/>
          <w:lang w:val="de-DE"/>
        </w:rPr>
        <w:t xml:space="preserve">Sontheimer, Michael. Interview by Rainer Berthold Schossig, “25 Jahre taz.” </w:t>
      </w:r>
      <w:r w:rsidRPr="00846956">
        <w:rPr>
          <w:i/>
          <w:color w:val="231F20"/>
          <w:lang w:val="de-DE"/>
        </w:rPr>
        <w:t xml:space="preserve">Deutschlandradio, </w:t>
      </w:r>
      <w:r w:rsidRPr="00846956">
        <w:rPr>
          <w:color w:val="231F20"/>
          <w:lang w:val="de-DE"/>
        </w:rPr>
        <w:t xml:space="preserve">April 12, 2004, http:// </w:t>
      </w:r>
      <w:hyperlink r:id="rId619">
        <w:r w:rsidRPr="00846956">
          <w:rPr>
            <w:color w:val="231F20"/>
            <w:lang w:val="de-DE"/>
          </w:rPr>
          <w:t>www</w:t>
        </w:r>
        <w:r w:rsidRPr="00846956">
          <w:rPr>
            <w:color w:val="231F20"/>
            <w:w w:val="135"/>
            <w:lang w:val="de-DE"/>
          </w:rPr>
          <w:t>.</w:t>
        </w:r>
        <w:r w:rsidRPr="00846956">
          <w:rPr>
            <w:color w:val="231F20"/>
            <w:lang w:val="de-DE"/>
          </w:rPr>
          <w:t>d</w:t>
        </w:r>
        <w:r w:rsidRPr="00846956">
          <w:rPr>
            <w:color w:val="231F20"/>
            <w:w w:val="94"/>
            <w:lang w:val="de-DE"/>
          </w:rPr>
          <w:t>r</w:t>
        </w:r>
        <w:r w:rsidRPr="00846956">
          <w:rPr>
            <w:color w:val="231F20"/>
            <w:w w:val="102"/>
            <w:lang w:val="de-DE"/>
          </w:rPr>
          <w:t>a</w:t>
        </w:r>
        <w:r w:rsidRPr="00846956">
          <w:rPr>
            <w:color w:val="231F20"/>
            <w:lang w:val="de-DE"/>
          </w:rPr>
          <w:t>d</w:t>
        </w:r>
        <w:r w:rsidRPr="00846956">
          <w:rPr>
            <w:color w:val="231F20"/>
            <w:w w:val="109"/>
            <w:lang w:val="de-DE"/>
          </w:rPr>
          <w:t>io.</w:t>
        </w:r>
        <w:r w:rsidRPr="00846956">
          <w:rPr>
            <w:color w:val="231F20"/>
            <w:lang w:val="de-DE"/>
          </w:rPr>
          <w:t>d</w:t>
        </w:r>
        <w:r w:rsidRPr="00846956">
          <w:rPr>
            <w:color w:val="231F20"/>
            <w:w w:val="91"/>
            <w:lang w:val="de-DE"/>
          </w:rPr>
          <w:t>e</w:t>
        </w:r>
        <w:r w:rsidRPr="00846956">
          <w:rPr>
            <w:color w:val="231F20"/>
            <w:w w:val="56"/>
            <w:lang w:val="de-DE"/>
          </w:rPr>
          <w:t>/</w:t>
        </w:r>
        <w:r w:rsidRPr="00846956">
          <w:rPr>
            <w:color w:val="231F20"/>
            <w:lang w:val="de-DE"/>
          </w:rPr>
          <w:t>d</w:t>
        </w:r>
        <w:r w:rsidRPr="00846956">
          <w:rPr>
            <w:color w:val="231F20"/>
            <w:w w:val="102"/>
            <w:lang w:val="de-DE"/>
          </w:rPr>
          <w:t>l</w:t>
        </w:r>
        <w:r w:rsidRPr="00846956">
          <w:rPr>
            <w:color w:val="231F20"/>
            <w:w w:val="109"/>
            <w:lang w:val="de-DE"/>
          </w:rPr>
          <w:t>f</w:t>
        </w:r>
        <w:r w:rsidRPr="00846956">
          <w:rPr>
            <w:color w:val="231F20"/>
            <w:w w:val="56"/>
            <w:lang w:val="de-DE"/>
          </w:rPr>
          <w:t>/</w:t>
        </w:r>
        <w:r w:rsidRPr="00846956">
          <w:rPr>
            <w:color w:val="231F20"/>
            <w:w w:val="90"/>
            <w:lang w:val="de-DE"/>
          </w:rPr>
          <w:t>s</w:t>
        </w:r>
        <w:r w:rsidRPr="00846956">
          <w:rPr>
            <w:color w:val="231F20"/>
            <w:w w:val="91"/>
            <w:lang w:val="de-DE"/>
          </w:rPr>
          <w:t>e</w:t>
        </w:r>
        <w:r w:rsidRPr="00846956">
          <w:rPr>
            <w:color w:val="231F20"/>
            <w:w w:val="99"/>
            <w:lang w:val="de-DE"/>
          </w:rPr>
          <w:t>n</w:t>
        </w:r>
        <w:r w:rsidRPr="00846956">
          <w:rPr>
            <w:color w:val="231F20"/>
            <w:lang w:val="de-DE"/>
          </w:rPr>
          <w:t>du</w:t>
        </w:r>
        <w:r w:rsidRPr="00846956">
          <w:rPr>
            <w:color w:val="231F20"/>
            <w:w w:val="99"/>
            <w:lang w:val="de-DE"/>
          </w:rPr>
          <w:t>n</w:t>
        </w:r>
        <w:r w:rsidRPr="00846956">
          <w:rPr>
            <w:color w:val="231F20"/>
            <w:w w:val="101"/>
            <w:lang w:val="de-DE"/>
          </w:rPr>
          <w:t>g</w:t>
        </w:r>
        <w:r w:rsidRPr="00846956">
          <w:rPr>
            <w:color w:val="231F20"/>
            <w:w w:val="91"/>
            <w:lang w:val="de-DE"/>
          </w:rPr>
          <w:t>e</w:t>
        </w:r>
        <w:r w:rsidRPr="00846956">
          <w:rPr>
            <w:color w:val="231F20"/>
            <w:w w:val="99"/>
            <w:lang w:val="de-DE"/>
          </w:rPr>
          <w:t>n</w:t>
        </w:r>
        <w:r w:rsidRPr="00846956">
          <w:rPr>
            <w:color w:val="231F20"/>
            <w:w w:val="56"/>
            <w:lang w:val="de-DE"/>
          </w:rPr>
          <w:t>/</w:t>
        </w:r>
        <w:r w:rsidRPr="00846956">
          <w:rPr>
            <w:color w:val="231F20"/>
            <w:lang w:val="de-DE"/>
          </w:rPr>
          <w:t>i</w:t>
        </w:r>
        <w:r w:rsidRPr="00846956">
          <w:rPr>
            <w:color w:val="231F20"/>
            <w:w w:val="99"/>
            <w:lang w:val="de-DE"/>
          </w:rPr>
          <w:t>nt</w:t>
        </w:r>
        <w:r w:rsidRPr="00846956">
          <w:rPr>
            <w:color w:val="231F20"/>
            <w:w w:val="91"/>
            <w:lang w:val="de-DE"/>
          </w:rPr>
          <w:t>e</w:t>
        </w:r>
        <w:r w:rsidRPr="00846956">
          <w:rPr>
            <w:color w:val="231F20"/>
            <w:w w:val="94"/>
            <w:lang w:val="de-DE"/>
          </w:rPr>
          <w:t>r</w:t>
        </w:r>
        <w:r w:rsidRPr="00846956">
          <w:rPr>
            <w:color w:val="231F20"/>
            <w:w w:val="99"/>
            <w:lang w:val="de-DE"/>
          </w:rPr>
          <w:t>v</w:t>
        </w:r>
        <w:r w:rsidRPr="00846956">
          <w:rPr>
            <w:color w:val="231F20"/>
            <w:lang w:val="de-DE"/>
          </w:rPr>
          <w:t>i</w:t>
        </w:r>
        <w:r w:rsidRPr="00846956">
          <w:rPr>
            <w:color w:val="231F20"/>
            <w:w w:val="91"/>
            <w:lang w:val="de-DE"/>
          </w:rPr>
          <w:t>e</w:t>
        </w:r>
        <w:r w:rsidRPr="00846956">
          <w:rPr>
            <w:color w:val="231F20"/>
            <w:lang w:val="de-DE"/>
          </w:rPr>
          <w:t>w</w:t>
        </w:r>
        <w:r w:rsidRPr="00846956">
          <w:rPr>
            <w:color w:val="231F20"/>
            <w:w w:val="134"/>
            <w:lang w:val="de-DE"/>
          </w:rPr>
          <w:t>_</w:t>
        </w:r>
        <w:r w:rsidRPr="00846956">
          <w:rPr>
            <w:color w:val="231F20"/>
            <w:lang w:val="de-DE"/>
          </w:rPr>
          <w:t>d</w:t>
        </w:r>
        <w:r w:rsidRPr="00846956">
          <w:rPr>
            <w:color w:val="231F20"/>
            <w:w w:val="102"/>
            <w:lang w:val="de-DE"/>
          </w:rPr>
          <w:t>l</w:t>
        </w:r>
        <w:r w:rsidRPr="00846956">
          <w:rPr>
            <w:color w:val="231F20"/>
            <w:w w:val="109"/>
            <w:lang w:val="de-DE"/>
          </w:rPr>
          <w:t>f</w:t>
        </w:r>
        <w:r w:rsidRPr="00846956">
          <w:rPr>
            <w:color w:val="231F20"/>
            <w:w w:val="56"/>
            <w:lang w:val="de-DE"/>
          </w:rPr>
          <w:t>/</w:t>
        </w:r>
        <w:r w:rsidRPr="00846956">
          <w:rPr>
            <w:color w:val="231F20"/>
            <w:lang w:val="de-DE"/>
          </w:rPr>
          <w:t>256035</w:t>
        </w:r>
        <w:r w:rsidRPr="00846956">
          <w:rPr>
            <w:color w:val="231F20"/>
            <w:w w:val="56"/>
            <w:lang w:val="de-DE"/>
          </w:rPr>
          <w:t>/</w:t>
        </w:r>
      </w:hyperlink>
    </w:p>
    <w:p w14:paraId="68295539" w14:textId="77777777" w:rsidR="002653E8" w:rsidRPr="00846956" w:rsidRDefault="002653E8">
      <w:pPr>
        <w:spacing w:line="244" w:lineRule="auto"/>
        <w:rPr>
          <w:lang w:val="de-DE"/>
        </w:rPr>
        <w:sectPr w:rsidR="002653E8" w:rsidRPr="00846956">
          <w:pgSz w:w="8640" w:h="12960"/>
          <w:pgMar w:top="1060" w:right="0" w:bottom="1040" w:left="0" w:header="0" w:footer="850" w:gutter="0"/>
          <w:cols w:space="720"/>
        </w:sectPr>
      </w:pPr>
    </w:p>
    <w:p w14:paraId="14B759C8" w14:textId="77777777" w:rsidR="002653E8" w:rsidRPr="00846956" w:rsidRDefault="003115E3">
      <w:pPr>
        <w:pStyle w:val="a3"/>
        <w:spacing w:before="70" w:line="244" w:lineRule="auto"/>
        <w:ind w:left="2281" w:right="1347" w:hanging="1134"/>
        <w:rPr>
          <w:lang w:val="de-DE"/>
        </w:rPr>
      </w:pPr>
      <w:r w:rsidRPr="00846956">
        <w:rPr>
          <w:color w:val="231F20"/>
          <w:lang w:val="de-DE"/>
        </w:rPr>
        <w:lastRenderedPageBreak/>
        <w:t xml:space="preserve">Sontheimer, Michael. “Soziale Bewegungen Auf zum Strand von </w:t>
      </w:r>
      <w:r w:rsidRPr="00846956">
        <w:rPr>
          <w:color w:val="231F20"/>
          <w:w w:val="112"/>
          <w:lang w:val="de-DE"/>
        </w:rPr>
        <w:t>T</w:t>
      </w:r>
      <w:r w:rsidRPr="00846956">
        <w:rPr>
          <w:color w:val="231F20"/>
          <w:lang w:val="de-DE"/>
        </w:rPr>
        <w:t>un</w:t>
      </w:r>
      <w:r w:rsidRPr="00846956">
        <w:rPr>
          <w:color w:val="231F20"/>
          <w:w w:val="109"/>
          <w:lang w:val="de-DE"/>
        </w:rPr>
        <w:t>ix</w:t>
      </w:r>
      <w:r w:rsidRPr="00846956">
        <w:rPr>
          <w:color w:val="231F20"/>
          <w:w w:val="116"/>
          <w:lang w:val="de-DE"/>
        </w:rPr>
        <w:t>!</w:t>
      </w:r>
      <w:r w:rsidRPr="00846956">
        <w:rPr>
          <w:color w:val="231F20"/>
          <w:w w:val="148"/>
          <w:lang w:val="de-DE"/>
        </w:rPr>
        <w:t>”</w:t>
      </w:r>
      <w:r w:rsidRPr="00846956">
        <w:rPr>
          <w:color w:val="231F20"/>
          <w:lang w:val="de-DE"/>
        </w:rPr>
        <w:t xml:space="preserve"> </w:t>
      </w:r>
      <w:r w:rsidRPr="00846956">
        <w:rPr>
          <w:i/>
          <w:color w:val="231F20"/>
          <w:w w:val="103"/>
          <w:lang w:val="de-DE"/>
        </w:rPr>
        <w:t>S</w:t>
      </w:r>
      <w:r w:rsidRPr="00846956">
        <w:rPr>
          <w:i/>
          <w:color w:val="231F20"/>
          <w:w w:val="105"/>
          <w:lang w:val="de-DE"/>
        </w:rPr>
        <w:t>p</w:t>
      </w:r>
      <w:r w:rsidRPr="00846956">
        <w:rPr>
          <w:i/>
          <w:color w:val="231F20"/>
          <w:w w:val="102"/>
          <w:lang w:val="de-DE"/>
        </w:rPr>
        <w:t>i</w:t>
      </w:r>
      <w:r w:rsidRPr="00846956">
        <w:rPr>
          <w:i/>
          <w:color w:val="231F20"/>
          <w:w w:val="97"/>
          <w:lang w:val="de-DE"/>
        </w:rPr>
        <w:t>e</w:t>
      </w:r>
      <w:r w:rsidRPr="00846956">
        <w:rPr>
          <w:i/>
          <w:color w:val="231F20"/>
          <w:w w:val="95"/>
          <w:lang w:val="de-DE"/>
        </w:rPr>
        <w:t>g</w:t>
      </w:r>
      <w:r w:rsidRPr="00846956">
        <w:rPr>
          <w:i/>
          <w:color w:val="231F20"/>
          <w:w w:val="97"/>
          <w:lang w:val="de-DE"/>
        </w:rPr>
        <w:t>e</w:t>
      </w:r>
      <w:r w:rsidRPr="00846956">
        <w:rPr>
          <w:i/>
          <w:color w:val="231F20"/>
          <w:w w:val="104"/>
          <w:lang w:val="de-DE"/>
        </w:rPr>
        <w:t>l</w:t>
      </w:r>
      <w:r w:rsidRPr="00846956">
        <w:rPr>
          <w:i/>
          <w:color w:val="231F20"/>
          <w:w w:val="139"/>
          <w:lang w:val="de-DE"/>
        </w:rPr>
        <w:t>,</w:t>
      </w:r>
      <w:r w:rsidRPr="00846956">
        <w:rPr>
          <w:i/>
          <w:color w:val="231F20"/>
          <w:lang w:val="de-DE"/>
        </w:rPr>
        <w:t xml:space="preserve"> </w:t>
      </w:r>
      <w:r w:rsidRPr="00846956">
        <w:rPr>
          <w:color w:val="231F20"/>
          <w:w w:val="126"/>
          <w:lang w:val="de-DE"/>
        </w:rPr>
        <w:t>J</w:t>
      </w:r>
      <w:r w:rsidRPr="00846956">
        <w:rPr>
          <w:color w:val="231F20"/>
          <w:w w:val="102"/>
          <w:lang w:val="de-DE"/>
        </w:rPr>
        <w:t>a</w:t>
      </w:r>
      <w:r w:rsidRPr="00846956">
        <w:rPr>
          <w:color w:val="231F20"/>
          <w:w w:val="99"/>
          <w:lang w:val="de-DE"/>
        </w:rPr>
        <w:t>n</w:t>
      </w:r>
      <w:r w:rsidRPr="00846956">
        <w:rPr>
          <w:color w:val="231F20"/>
          <w:lang w:val="de-DE"/>
        </w:rPr>
        <w:t>u</w:t>
      </w:r>
      <w:r w:rsidRPr="00846956">
        <w:rPr>
          <w:color w:val="231F20"/>
          <w:w w:val="102"/>
          <w:lang w:val="de-DE"/>
        </w:rPr>
        <w:t>a</w:t>
      </w:r>
      <w:r w:rsidRPr="00846956">
        <w:rPr>
          <w:color w:val="231F20"/>
          <w:w w:val="94"/>
          <w:lang w:val="de-DE"/>
        </w:rPr>
        <w:t>r</w:t>
      </w:r>
      <w:r w:rsidRPr="00846956">
        <w:rPr>
          <w:color w:val="231F20"/>
          <w:w w:val="99"/>
          <w:lang w:val="de-DE"/>
        </w:rPr>
        <w:t>y</w:t>
      </w:r>
      <w:r w:rsidRPr="00846956">
        <w:rPr>
          <w:color w:val="231F20"/>
          <w:lang w:val="de-DE"/>
        </w:rPr>
        <w:t xml:space="preserve"> 25</w:t>
      </w:r>
      <w:r w:rsidRPr="00846956">
        <w:rPr>
          <w:color w:val="231F20"/>
          <w:w w:val="135"/>
          <w:lang w:val="de-DE"/>
        </w:rPr>
        <w:t>,</w:t>
      </w:r>
      <w:r w:rsidRPr="00846956">
        <w:rPr>
          <w:color w:val="231F20"/>
          <w:lang w:val="de-DE"/>
        </w:rPr>
        <w:t xml:space="preserve"> 2008</w:t>
      </w:r>
      <w:r w:rsidRPr="00846956">
        <w:rPr>
          <w:color w:val="231F20"/>
          <w:w w:val="135"/>
          <w:lang w:val="de-DE"/>
        </w:rPr>
        <w:t>.</w:t>
      </w:r>
      <w:r w:rsidRPr="00846956">
        <w:rPr>
          <w:color w:val="231F20"/>
          <w:lang w:val="de-DE"/>
        </w:rPr>
        <w:t xml:space="preserve"> </w:t>
      </w:r>
      <w:hyperlink r:id="rId620">
        <w:r w:rsidRPr="00846956">
          <w:rPr>
            <w:color w:val="231F20"/>
            <w:lang w:val="de-DE"/>
          </w:rPr>
          <w:t>h</w:t>
        </w:r>
        <w:r w:rsidRPr="00846956">
          <w:rPr>
            <w:color w:val="231F20"/>
            <w:w w:val="98"/>
            <w:lang w:val="de-DE"/>
          </w:rPr>
          <w:t>tt</w:t>
        </w:r>
        <w:r w:rsidRPr="00846956">
          <w:rPr>
            <w:color w:val="231F20"/>
            <w:w w:val="99"/>
            <w:lang w:val="de-DE"/>
          </w:rPr>
          <w:t>p</w:t>
        </w:r>
        <w:r w:rsidRPr="00846956">
          <w:rPr>
            <w:color w:val="231F20"/>
            <w:w w:val="105"/>
            <w:lang w:val="de-DE"/>
          </w:rPr>
          <w:t>:</w:t>
        </w:r>
        <w:r w:rsidRPr="00846956">
          <w:rPr>
            <w:color w:val="231F20"/>
            <w:w w:val="56"/>
            <w:lang w:val="de-DE"/>
          </w:rPr>
          <w:t>//</w:t>
        </w:r>
        <w:r w:rsidRPr="00846956">
          <w:rPr>
            <w:color w:val="231F20"/>
            <w:w w:val="91"/>
            <w:lang w:val="de-DE"/>
          </w:rPr>
          <w:t>e</w:t>
        </w:r>
        <w:r w:rsidRPr="00846956">
          <w:rPr>
            <w:color w:val="231F20"/>
            <w:lang w:val="de-DE"/>
          </w:rPr>
          <w:t>i</w:t>
        </w:r>
        <w:r w:rsidRPr="00846956">
          <w:rPr>
            <w:color w:val="231F20"/>
            <w:w w:val="99"/>
            <w:lang w:val="de-DE"/>
          </w:rPr>
          <w:t>n</w:t>
        </w:r>
        <w:r w:rsidRPr="00846956">
          <w:rPr>
            <w:color w:val="231F20"/>
            <w:w w:val="91"/>
            <w:lang w:val="de-DE"/>
          </w:rPr>
          <w:t>e</w:t>
        </w:r>
        <w:r w:rsidRPr="00846956">
          <w:rPr>
            <w:color w:val="231F20"/>
            <w:w w:val="90"/>
            <w:lang w:val="de-DE"/>
          </w:rPr>
          <w:t>s</w:t>
        </w:r>
        <w:r w:rsidRPr="00846956">
          <w:rPr>
            <w:color w:val="231F20"/>
            <w:w w:val="98"/>
            <w:lang w:val="de-DE"/>
          </w:rPr>
          <w:t>t</w:t>
        </w:r>
        <w:r w:rsidRPr="00846956">
          <w:rPr>
            <w:color w:val="231F20"/>
            <w:w w:val="102"/>
            <w:lang w:val="de-DE"/>
          </w:rPr>
          <w:t>a</w:t>
        </w:r>
        <w:r w:rsidRPr="00846956">
          <w:rPr>
            <w:color w:val="231F20"/>
            <w:w w:val="101"/>
            <w:lang w:val="de-DE"/>
          </w:rPr>
          <w:t>g</w:t>
        </w:r>
        <w:r w:rsidRPr="00846956">
          <w:rPr>
            <w:color w:val="231F20"/>
            <w:w w:val="91"/>
            <w:lang w:val="de-DE"/>
          </w:rPr>
          <w:t>e</w:t>
        </w:r>
        <w:r w:rsidRPr="00846956">
          <w:rPr>
            <w:color w:val="231F20"/>
            <w:w w:val="90"/>
            <w:lang w:val="de-DE"/>
          </w:rPr>
          <w:t>s</w:t>
        </w:r>
        <w:r w:rsidRPr="00846956">
          <w:rPr>
            <w:color w:val="231F20"/>
            <w:w w:val="135"/>
            <w:lang w:val="de-DE"/>
          </w:rPr>
          <w:t>.</w:t>
        </w:r>
      </w:hyperlink>
      <w:r w:rsidRPr="00846956">
        <w:rPr>
          <w:color w:val="231F20"/>
          <w:w w:val="135"/>
          <w:lang w:val="de-DE"/>
        </w:rPr>
        <w:t xml:space="preserve"> </w:t>
      </w:r>
      <w:r w:rsidRPr="00846956">
        <w:rPr>
          <w:color w:val="231F20"/>
          <w:w w:val="96"/>
          <w:lang w:val="de-DE"/>
        </w:rPr>
        <w:t>spi</w:t>
      </w:r>
      <w:r w:rsidRPr="00846956">
        <w:rPr>
          <w:color w:val="231F20"/>
          <w:w w:val="91"/>
          <w:lang w:val="de-DE"/>
        </w:rPr>
        <w:t>e</w:t>
      </w:r>
      <w:r w:rsidRPr="00846956">
        <w:rPr>
          <w:color w:val="231F20"/>
          <w:w w:val="101"/>
          <w:lang w:val="de-DE"/>
        </w:rPr>
        <w:t>g</w:t>
      </w:r>
      <w:r w:rsidRPr="00846956">
        <w:rPr>
          <w:color w:val="231F20"/>
          <w:w w:val="95"/>
          <w:lang w:val="de-DE"/>
        </w:rPr>
        <w:t>el</w:t>
      </w:r>
      <w:r w:rsidRPr="00846956">
        <w:rPr>
          <w:color w:val="231F20"/>
          <w:w w:val="135"/>
          <w:lang w:val="de-DE"/>
        </w:rPr>
        <w:t>.</w:t>
      </w:r>
      <w:r w:rsidRPr="00846956">
        <w:rPr>
          <w:color w:val="231F20"/>
          <w:lang w:val="de-DE"/>
        </w:rPr>
        <w:t>d</w:t>
      </w:r>
      <w:r w:rsidRPr="00846956">
        <w:rPr>
          <w:color w:val="231F20"/>
          <w:w w:val="91"/>
          <w:lang w:val="de-DE"/>
        </w:rPr>
        <w:t>e</w:t>
      </w:r>
      <w:r w:rsidRPr="00846956">
        <w:rPr>
          <w:color w:val="231F20"/>
          <w:w w:val="56"/>
          <w:lang w:val="de-DE"/>
        </w:rPr>
        <w:t>/</w:t>
      </w:r>
      <w:r w:rsidRPr="00846956">
        <w:rPr>
          <w:color w:val="231F20"/>
          <w:w w:val="90"/>
          <w:lang w:val="de-DE"/>
        </w:rPr>
        <w:t>s</w:t>
      </w:r>
      <w:r w:rsidRPr="00846956">
        <w:rPr>
          <w:color w:val="231F20"/>
          <w:w w:val="98"/>
          <w:lang w:val="de-DE"/>
        </w:rPr>
        <w:t>t</w:t>
      </w:r>
      <w:r w:rsidRPr="00846956">
        <w:rPr>
          <w:color w:val="231F20"/>
          <w:w w:val="102"/>
          <w:lang w:val="de-DE"/>
        </w:rPr>
        <w:t>a</w:t>
      </w:r>
      <w:r w:rsidRPr="00846956">
        <w:rPr>
          <w:color w:val="231F20"/>
          <w:w w:val="98"/>
          <w:lang w:val="de-DE"/>
        </w:rPr>
        <w:t>t</w:t>
      </w:r>
      <w:r w:rsidRPr="00846956">
        <w:rPr>
          <w:color w:val="231F20"/>
          <w:lang w:val="de-DE"/>
        </w:rPr>
        <w:t>ic</w:t>
      </w:r>
      <w:r w:rsidRPr="00846956">
        <w:rPr>
          <w:color w:val="231F20"/>
          <w:w w:val="56"/>
          <w:lang w:val="de-DE"/>
        </w:rPr>
        <w:t>/</w:t>
      </w:r>
      <w:r w:rsidRPr="00846956">
        <w:rPr>
          <w:color w:val="231F20"/>
          <w:w w:val="102"/>
          <w:lang w:val="de-DE"/>
        </w:rPr>
        <w:t>a</w:t>
      </w:r>
      <w:r w:rsidRPr="00846956">
        <w:rPr>
          <w:color w:val="231F20"/>
          <w:lang w:val="de-DE"/>
        </w:rPr>
        <w:t>u</w:t>
      </w:r>
      <w:r w:rsidRPr="00846956">
        <w:rPr>
          <w:color w:val="231F20"/>
          <w:w w:val="98"/>
          <w:lang w:val="de-DE"/>
        </w:rPr>
        <w:t>t</w:t>
      </w:r>
      <w:r w:rsidRPr="00846956">
        <w:rPr>
          <w:color w:val="231F20"/>
          <w:lang w:val="de-DE"/>
        </w:rPr>
        <w:t>h</w:t>
      </w:r>
      <w:r w:rsidRPr="00846956">
        <w:rPr>
          <w:color w:val="231F20"/>
          <w:w w:val="104"/>
          <w:lang w:val="de-DE"/>
        </w:rPr>
        <w:t>o</w:t>
      </w:r>
      <w:r w:rsidRPr="00846956">
        <w:rPr>
          <w:color w:val="231F20"/>
          <w:w w:val="94"/>
          <w:lang w:val="de-DE"/>
        </w:rPr>
        <w:t>r</w:t>
      </w:r>
      <w:r w:rsidRPr="00846956">
        <w:rPr>
          <w:color w:val="231F20"/>
          <w:w w:val="102"/>
          <w:lang w:val="de-DE"/>
        </w:rPr>
        <w:t>al</w:t>
      </w:r>
      <w:r w:rsidRPr="00846956">
        <w:rPr>
          <w:color w:val="231F20"/>
          <w:w w:val="101"/>
          <w:lang w:val="de-DE"/>
        </w:rPr>
        <w:t>b</w:t>
      </w:r>
      <w:r w:rsidRPr="00846956">
        <w:rPr>
          <w:color w:val="231F20"/>
          <w:lang w:val="de-DE"/>
        </w:rPr>
        <w:t>u</w:t>
      </w:r>
      <w:r w:rsidRPr="00846956">
        <w:rPr>
          <w:color w:val="231F20"/>
          <w:w w:val="99"/>
          <w:lang w:val="de-DE"/>
        </w:rPr>
        <w:t>m</w:t>
      </w:r>
      <w:r w:rsidRPr="00846956">
        <w:rPr>
          <w:color w:val="231F20"/>
          <w:w w:val="101"/>
          <w:lang w:val="de-DE"/>
        </w:rPr>
        <w:t>bac</w:t>
      </w:r>
      <w:r w:rsidRPr="00846956">
        <w:rPr>
          <w:color w:val="231F20"/>
          <w:w w:val="106"/>
          <w:lang w:val="de-DE"/>
        </w:rPr>
        <w:t>k</w:t>
      </w:r>
      <w:r w:rsidRPr="00846956">
        <w:rPr>
          <w:color w:val="231F20"/>
          <w:w w:val="101"/>
          <w:lang w:val="de-DE"/>
        </w:rPr>
        <w:t>g</w:t>
      </w:r>
      <w:r w:rsidRPr="00846956">
        <w:rPr>
          <w:color w:val="231F20"/>
          <w:w w:val="94"/>
          <w:lang w:val="de-DE"/>
        </w:rPr>
        <w:t>r</w:t>
      </w:r>
      <w:r w:rsidRPr="00846956">
        <w:rPr>
          <w:color w:val="231F20"/>
          <w:w w:val="104"/>
          <w:lang w:val="de-DE"/>
        </w:rPr>
        <w:t>o</w:t>
      </w:r>
      <w:r w:rsidRPr="00846956">
        <w:rPr>
          <w:color w:val="231F20"/>
          <w:lang w:val="de-DE"/>
        </w:rPr>
        <w:t>u</w:t>
      </w:r>
      <w:r w:rsidRPr="00846956">
        <w:rPr>
          <w:color w:val="231F20"/>
          <w:w w:val="99"/>
          <w:lang w:val="de-DE"/>
        </w:rPr>
        <w:t>n</w:t>
      </w:r>
      <w:r w:rsidRPr="00846956">
        <w:rPr>
          <w:color w:val="231F20"/>
          <w:lang w:val="de-DE"/>
        </w:rPr>
        <w:t>d</w:t>
      </w:r>
      <w:r w:rsidRPr="00846956">
        <w:rPr>
          <w:color w:val="231F20"/>
          <w:w w:val="56"/>
          <w:lang w:val="de-DE"/>
        </w:rPr>
        <w:t>/</w:t>
      </w:r>
      <w:r w:rsidRPr="00846956">
        <w:rPr>
          <w:color w:val="231F20"/>
          <w:lang w:val="de-DE"/>
        </w:rPr>
        <w:t>1287</w:t>
      </w:r>
      <w:r w:rsidRPr="00846956">
        <w:rPr>
          <w:color w:val="231F20"/>
          <w:w w:val="56"/>
          <w:lang w:val="de-DE"/>
        </w:rPr>
        <w:t>/</w:t>
      </w:r>
      <w:r w:rsidRPr="00846956">
        <w:rPr>
          <w:color w:val="231F20"/>
          <w:w w:val="102"/>
          <w:lang w:val="de-DE"/>
        </w:rPr>
        <w:t>a</w:t>
      </w:r>
      <w:r w:rsidRPr="00846956">
        <w:rPr>
          <w:color w:val="231F20"/>
          <w:lang w:val="de-DE"/>
        </w:rPr>
        <w:t>u</w:t>
      </w:r>
      <w:r w:rsidRPr="00846956">
        <w:rPr>
          <w:color w:val="231F20"/>
          <w:w w:val="109"/>
          <w:lang w:val="de-DE"/>
        </w:rPr>
        <w:t>f</w:t>
      </w:r>
      <w:r w:rsidRPr="00846956">
        <w:rPr>
          <w:color w:val="231F20"/>
          <w:w w:val="114"/>
          <w:lang w:val="de-DE"/>
        </w:rPr>
        <w:t>_z</w:t>
      </w:r>
      <w:r w:rsidRPr="00846956">
        <w:rPr>
          <w:color w:val="231F20"/>
          <w:lang w:val="de-DE"/>
        </w:rPr>
        <w:t>u</w:t>
      </w:r>
      <w:r w:rsidRPr="00846956">
        <w:rPr>
          <w:color w:val="231F20"/>
          <w:w w:val="110"/>
          <w:lang w:val="de-DE"/>
        </w:rPr>
        <w:t xml:space="preserve">m_ </w:t>
      </w:r>
      <w:r w:rsidRPr="00846956">
        <w:rPr>
          <w:color w:val="231F20"/>
          <w:lang w:val="de-DE"/>
        </w:rPr>
        <w:t>strand_von_tunix.html</w:t>
      </w:r>
    </w:p>
    <w:p w14:paraId="58FBFA9D" w14:textId="77777777" w:rsidR="002653E8" w:rsidRPr="00846956" w:rsidRDefault="003115E3">
      <w:pPr>
        <w:pStyle w:val="a3"/>
        <w:spacing w:before="163" w:line="244" w:lineRule="auto"/>
        <w:ind w:left="2281" w:hanging="1134"/>
        <w:rPr>
          <w:lang w:val="de-DE"/>
        </w:rPr>
      </w:pPr>
      <w:r w:rsidRPr="00846956">
        <w:rPr>
          <w:color w:val="231F20"/>
          <w:lang w:val="de-DE"/>
        </w:rPr>
        <w:t>S</w:t>
      </w:r>
      <w:r w:rsidRPr="00846956">
        <w:rPr>
          <w:color w:val="231F20"/>
          <w:w w:val="99"/>
          <w:lang w:val="de-DE"/>
        </w:rPr>
        <w:t>p</w:t>
      </w:r>
      <w:r w:rsidRPr="00846956">
        <w:rPr>
          <w:color w:val="231F20"/>
          <w:spacing w:val="-1"/>
          <w:w w:val="102"/>
          <w:lang w:val="de-DE"/>
        </w:rPr>
        <w:t>a</w:t>
      </w:r>
      <w:r w:rsidRPr="00846956">
        <w:rPr>
          <w:color w:val="231F20"/>
          <w:w w:val="91"/>
          <w:lang w:val="de-DE"/>
        </w:rPr>
        <w:t>e</w:t>
      </w:r>
      <w:r w:rsidRPr="00846956">
        <w:rPr>
          <w:color w:val="231F20"/>
          <w:spacing w:val="1"/>
          <w:w w:val="99"/>
          <w:lang w:val="de-DE"/>
        </w:rPr>
        <w:t>m</w:t>
      </w:r>
      <w:r w:rsidRPr="00846956">
        <w:rPr>
          <w:color w:val="231F20"/>
          <w:spacing w:val="2"/>
          <w:w w:val="102"/>
          <w:lang w:val="de-DE"/>
        </w:rPr>
        <w:t>a</w:t>
      </w:r>
      <w:r w:rsidRPr="00846956">
        <w:rPr>
          <w:color w:val="231F20"/>
          <w:spacing w:val="3"/>
          <w:w w:val="99"/>
          <w:lang w:val="de-DE"/>
        </w:rPr>
        <w:t>n</w:t>
      </w:r>
      <w:r w:rsidRPr="00846956">
        <w:rPr>
          <w:color w:val="231F20"/>
          <w:spacing w:val="2"/>
          <w:w w:val="99"/>
          <w:lang w:val="de-DE"/>
        </w:rPr>
        <w:t>n</w:t>
      </w:r>
      <w:r w:rsidRPr="00846956">
        <w:rPr>
          <w:color w:val="231F20"/>
          <w:w w:val="135"/>
          <w:lang w:val="de-DE"/>
        </w:rPr>
        <w:t>,</w:t>
      </w:r>
      <w:r w:rsidRPr="00846956">
        <w:rPr>
          <w:color w:val="231F20"/>
          <w:spacing w:val="10"/>
          <w:lang w:val="de-DE"/>
        </w:rPr>
        <w:t xml:space="preserve"> </w:t>
      </w:r>
      <w:r w:rsidRPr="00846956">
        <w:rPr>
          <w:color w:val="231F20"/>
          <w:spacing w:val="-2"/>
          <w:w w:val="116"/>
          <w:lang w:val="de-DE"/>
        </w:rPr>
        <w:t>R</w:t>
      </w:r>
      <w:r w:rsidRPr="00846956">
        <w:rPr>
          <w:color w:val="231F20"/>
          <w:spacing w:val="-2"/>
          <w:w w:val="104"/>
          <w:lang w:val="de-DE"/>
        </w:rPr>
        <w:t>o</w:t>
      </w:r>
      <w:r w:rsidRPr="00846956">
        <w:rPr>
          <w:color w:val="231F20"/>
          <w:spacing w:val="1"/>
          <w:w w:val="101"/>
          <w:lang w:val="de-DE"/>
        </w:rPr>
        <w:t>b</w:t>
      </w:r>
      <w:r w:rsidRPr="00846956">
        <w:rPr>
          <w:color w:val="231F20"/>
          <w:w w:val="92"/>
          <w:lang w:val="de-DE"/>
        </w:rPr>
        <w:t>e</w:t>
      </w:r>
      <w:r w:rsidRPr="00846956">
        <w:rPr>
          <w:color w:val="231F20"/>
          <w:spacing w:val="5"/>
          <w:w w:val="92"/>
          <w:lang w:val="de-DE"/>
        </w:rPr>
        <w:t>r</w:t>
      </w:r>
      <w:r w:rsidRPr="00846956">
        <w:rPr>
          <w:color w:val="231F20"/>
          <w:spacing w:val="1"/>
          <w:w w:val="98"/>
          <w:lang w:val="de-DE"/>
        </w:rPr>
        <w:t>t</w:t>
      </w:r>
      <w:r w:rsidRPr="00846956">
        <w:rPr>
          <w:color w:val="231F20"/>
          <w:w w:val="135"/>
          <w:lang w:val="de-DE"/>
        </w:rPr>
        <w:t>.</w:t>
      </w:r>
      <w:r w:rsidRPr="00846956">
        <w:rPr>
          <w:color w:val="231F20"/>
          <w:spacing w:val="10"/>
          <w:lang w:val="de-DE"/>
        </w:rPr>
        <w:t xml:space="preserve"> </w:t>
      </w:r>
      <w:r w:rsidRPr="00846956">
        <w:rPr>
          <w:color w:val="231F20"/>
          <w:w w:val="148"/>
          <w:lang w:val="de-DE"/>
        </w:rPr>
        <w:t>“</w:t>
      </w:r>
      <w:r w:rsidRPr="00846956">
        <w:rPr>
          <w:color w:val="231F20"/>
          <w:spacing w:val="3"/>
          <w:w w:val="114"/>
          <w:lang w:val="de-DE"/>
        </w:rPr>
        <w:t>K</w:t>
      </w:r>
      <w:r w:rsidRPr="00846956">
        <w:rPr>
          <w:color w:val="231F20"/>
          <w:spacing w:val="2"/>
          <w:w w:val="102"/>
          <w:lang w:val="de-DE"/>
        </w:rPr>
        <w:t>a</w:t>
      </w:r>
      <w:r w:rsidRPr="00846956">
        <w:rPr>
          <w:color w:val="231F20"/>
          <w:spacing w:val="3"/>
          <w:w w:val="109"/>
          <w:lang w:val="de-DE"/>
        </w:rPr>
        <w:t>f</w:t>
      </w:r>
      <w:r w:rsidRPr="00846956">
        <w:rPr>
          <w:color w:val="231F20"/>
          <w:w w:val="109"/>
          <w:lang w:val="de-DE"/>
        </w:rPr>
        <w:t>f</w:t>
      </w:r>
      <w:r w:rsidRPr="00846956">
        <w:rPr>
          <w:color w:val="231F20"/>
          <w:spacing w:val="1"/>
          <w:w w:val="91"/>
          <w:lang w:val="de-DE"/>
        </w:rPr>
        <w:t>e</w:t>
      </w:r>
      <w:r w:rsidRPr="00846956">
        <w:rPr>
          <w:color w:val="231F20"/>
          <w:spacing w:val="2"/>
          <w:w w:val="91"/>
          <w:lang w:val="de-DE"/>
        </w:rPr>
        <w:t>e</w:t>
      </w:r>
      <w:r w:rsidRPr="00846956">
        <w:rPr>
          <w:color w:val="231F20"/>
          <w:w w:val="135"/>
          <w:lang w:val="de-DE"/>
        </w:rPr>
        <w:t>,</w:t>
      </w:r>
      <w:r w:rsidRPr="00846956">
        <w:rPr>
          <w:color w:val="231F20"/>
          <w:spacing w:val="10"/>
          <w:lang w:val="de-DE"/>
        </w:rPr>
        <w:t xml:space="preserve"> </w:t>
      </w:r>
      <w:r w:rsidRPr="00846956">
        <w:rPr>
          <w:color w:val="231F20"/>
          <w:spacing w:val="-2"/>
          <w:w w:val="114"/>
          <w:lang w:val="de-DE"/>
        </w:rPr>
        <w:t>K</w:t>
      </w:r>
      <w:r w:rsidRPr="00846956">
        <w:rPr>
          <w:color w:val="231F20"/>
          <w:lang w:val="de-DE"/>
        </w:rPr>
        <w:t>uc</w:t>
      </w:r>
      <w:r w:rsidRPr="00846956">
        <w:rPr>
          <w:color w:val="231F20"/>
          <w:spacing w:val="-1"/>
          <w:lang w:val="de-DE"/>
        </w:rPr>
        <w:t>h</w:t>
      </w:r>
      <w:r w:rsidRPr="00846956">
        <w:rPr>
          <w:color w:val="231F20"/>
          <w:w w:val="91"/>
          <w:lang w:val="de-DE"/>
        </w:rPr>
        <w:t>e</w:t>
      </w:r>
      <w:r w:rsidRPr="00846956">
        <w:rPr>
          <w:color w:val="231F20"/>
          <w:w w:val="99"/>
          <w:lang w:val="de-DE"/>
        </w:rPr>
        <w:t>n</w:t>
      </w:r>
      <w:r w:rsidRPr="00846956">
        <w:rPr>
          <w:color w:val="231F20"/>
          <w:spacing w:val="10"/>
          <w:lang w:val="de-DE"/>
        </w:rPr>
        <w:t xml:space="preserve"> </w:t>
      </w:r>
      <w:r w:rsidRPr="00846956">
        <w:rPr>
          <w:color w:val="231F20"/>
          <w:spacing w:val="3"/>
          <w:lang w:val="de-DE"/>
        </w:rPr>
        <w:t>u</w:t>
      </w:r>
      <w:r w:rsidRPr="00846956">
        <w:rPr>
          <w:color w:val="231F20"/>
          <w:spacing w:val="-1"/>
          <w:w w:val="99"/>
          <w:lang w:val="de-DE"/>
        </w:rPr>
        <w:t>n</w:t>
      </w:r>
      <w:r w:rsidRPr="00846956">
        <w:rPr>
          <w:color w:val="231F20"/>
          <w:lang w:val="de-DE"/>
        </w:rPr>
        <w:t>d</w:t>
      </w:r>
      <w:r w:rsidRPr="00846956">
        <w:rPr>
          <w:color w:val="231F20"/>
          <w:spacing w:val="10"/>
          <w:lang w:val="de-DE"/>
        </w:rPr>
        <w:t xml:space="preserve"> </w:t>
      </w:r>
      <w:r w:rsidRPr="00846956">
        <w:rPr>
          <w:color w:val="231F20"/>
          <w:spacing w:val="-14"/>
          <w:w w:val="112"/>
          <w:lang w:val="de-DE"/>
        </w:rPr>
        <w:t>T</w:t>
      </w:r>
      <w:r w:rsidRPr="00846956">
        <w:rPr>
          <w:color w:val="231F20"/>
          <w:w w:val="92"/>
          <w:lang w:val="de-DE"/>
        </w:rPr>
        <w:t>e</w:t>
      </w:r>
      <w:r w:rsidRPr="00846956">
        <w:rPr>
          <w:color w:val="231F20"/>
          <w:spacing w:val="1"/>
          <w:w w:val="92"/>
          <w:lang w:val="de-DE"/>
        </w:rPr>
        <w:t>r</w:t>
      </w:r>
      <w:r w:rsidRPr="00846956">
        <w:rPr>
          <w:color w:val="231F20"/>
          <w:spacing w:val="-2"/>
          <w:w w:val="94"/>
          <w:lang w:val="de-DE"/>
        </w:rPr>
        <w:t>r</w:t>
      </w:r>
      <w:r w:rsidRPr="00846956">
        <w:rPr>
          <w:color w:val="231F20"/>
          <w:spacing w:val="-1"/>
          <w:w w:val="104"/>
          <w:lang w:val="de-DE"/>
        </w:rPr>
        <w:t>o</w:t>
      </w:r>
      <w:r w:rsidRPr="00846956">
        <w:rPr>
          <w:color w:val="231F20"/>
          <w:spacing w:val="-7"/>
          <w:w w:val="94"/>
          <w:lang w:val="de-DE"/>
        </w:rPr>
        <w:t>r</w:t>
      </w:r>
      <w:r w:rsidRPr="00846956">
        <w:rPr>
          <w:color w:val="231F20"/>
          <w:spacing w:val="-14"/>
          <w:w w:val="135"/>
          <w:lang w:val="de-DE"/>
        </w:rPr>
        <w:t>.</w:t>
      </w:r>
      <w:r w:rsidRPr="00846956">
        <w:rPr>
          <w:color w:val="231F20"/>
          <w:w w:val="148"/>
          <w:lang w:val="de-DE"/>
        </w:rPr>
        <w:t>”</w:t>
      </w:r>
      <w:r w:rsidRPr="00846956">
        <w:rPr>
          <w:color w:val="231F20"/>
          <w:spacing w:val="11"/>
          <w:lang w:val="de-DE"/>
        </w:rPr>
        <w:t xml:space="preserve"> </w:t>
      </w:r>
      <w:r w:rsidRPr="00846956">
        <w:rPr>
          <w:i/>
          <w:color w:val="231F20"/>
          <w:spacing w:val="2"/>
          <w:w w:val="128"/>
          <w:lang w:val="de-DE"/>
        </w:rPr>
        <w:t>D</w:t>
      </w:r>
      <w:r w:rsidRPr="00846956">
        <w:rPr>
          <w:i/>
          <w:color w:val="231F20"/>
          <w:spacing w:val="2"/>
          <w:w w:val="102"/>
          <w:lang w:val="de-DE"/>
        </w:rPr>
        <w:t>i</w:t>
      </w:r>
      <w:r w:rsidRPr="00846956">
        <w:rPr>
          <w:i/>
          <w:color w:val="231F20"/>
          <w:w w:val="97"/>
          <w:lang w:val="de-DE"/>
        </w:rPr>
        <w:t>e</w:t>
      </w:r>
      <w:r w:rsidRPr="00846956">
        <w:rPr>
          <w:i/>
          <w:color w:val="231F20"/>
          <w:spacing w:val="10"/>
          <w:lang w:val="de-DE"/>
        </w:rPr>
        <w:t xml:space="preserve"> </w:t>
      </w:r>
      <w:r w:rsidRPr="00846956">
        <w:rPr>
          <w:i/>
          <w:color w:val="231F20"/>
          <w:spacing w:val="5"/>
          <w:w w:val="140"/>
          <w:lang w:val="de-DE"/>
        </w:rPr>
        <w:t>Z</w:t>
      </w:r>
      <w:r w:rsidRPr="00846956">
        <w:rPr>
          <w:i/>
          <w:color w:val="231F20"/>
          <w:spacing w:val="2"/>
          <w:w w:val="97"/>
          <w:lang w:val="de-DE"/>
        </w:rPr>
        <w:t>e</w:t>
      </w:r>
      <w:r w:rsidRPr="00846956">
        <w:rPr>
          <w:i/>
          <w:color w:val="231F20"/>
          <w:w w:val="102"/>
          <w:lang w:val="de-DE"/>
        </w:rPr>
        <w:t>i</w:t>
      </w:r>
      <w:r w:rsidRPr="00846956">
        <w:rPr>
          <w:i/>
          <w:color w:val="231F20"/>
          <w:spacing w:val="5"/>
          <w:w w:val="96"/>
          <w:lang w:val="de-DE"/>
        </w:rPr>
        <w:t>t</w:t>
      </w:r>
      <w:r w:rsidRPr="00846956">
        <w:rPr>
          <w:i/>
          <w:color w:val="231F20"/>
          <w:w w:val="139"/>
          <w:lang w:val="de-DE"/>
        </w:rPr>
        <w:t>,</w:t>
      </w:r>
      <w:r w:rsidRPr="00846956">
        <w:rPr>
          <w:i/>
          <w:color w:val="231F20"/>
          <w:spacing w:val="10"/>
          <w:lang w:val="de-DE"/>
        </w:rPr>
        <w:t xml:space="preserve"> </w:t>
      </w:r>
      <w:r w:rsidRPr="00846956">
        <w:rPr>
          <w:color w:val="231F20"/>
          <w:spacing w:val="-10"/>
          <w:lang w:val="de-DE"/>
        </w:rPr>
        <w:t>1</w:t>
      </w:r>
      <w:r w:rsidRPr="00846956">
        <w:rPr>
          <w:color w:val="231F20"/>
          <w:lang w:val="de-DE"/>
        </w:rPr>
        <w:t>9</w:t>
      </w:r>
      <w:r w:rsidRPr="00846956">
        <w:rPr>
          <w:color w:val="231F20"/>
          <w:spacing w:val="-5"/>
          <w:w w:val="56"/>
          <w:lang w:val="de-DE"/>
        </w:rPr>
        <w:t>/</w:t>
      </w:r>
      <w:r w:rsidRPr="00846956">
        <w:rPr>
          <w:color w:val="231F20"/>
          <w:spacing w:val="-10"/>
          <w:lang w:val="de-DE"/>
        </w:rPr>
        <w:t>1</w:t>
      </w:r>
      <w:r w:rsidRPr="00846956">
        <w:rPr>
          <w:color w:val="231F20"/>
          <w:spacing w:val="-1"/>
          <w:lang w:val="de-DE"/>
        </w:rPr>
        <w:t>9</w:t>
      </w:r>
      <w:r w:rsidRPr="00846956">
        <w:rPr>
          <w:color w:val="231F20"/>
          <w:spacing w:val="-4"/>
          <w:lang w:val="de-DE"/>
        </w:rPr>
        <w:t>9</w:t>
      </w:r>
      <w:r w:rsidRPr="00846956">
        <w:rPr>
          <w:color w:val="231F20"/>
          <w:spacing w:val="-5"/>
          <w:lang w:val="de-DE"/>
        </w:rPr>
        <w:t>8</w:t>
      </w:r>
      <w:r w:rsidRPr="00846956">
        <w:rPr>
          <w:color w:val="231F20"/>
          <w:w w:val="135"/>
          <w:lang w:val="de-DE"/>
        </w:rPr>
        <w:t xml:space="preserve">. </w:t>
      </w:r>
      <w:hyperlink r:id="rId621">
        <w:r w:rsidRPr="00846956">
          <w:rPr>
            <w:color w:val="231F20"/>
            <w:spacing w:val="-2"/>
            <w:lang w:val="de-DE"/>
          </w:rPr>
          <w:t>h</w:t>
        </w:r>
        <w:r w:rsidRPr="00846956">
          <w:rPr>
            <w:color w:val="231F20"/>
            <w:spacing w:val="5"/>
            <w:w w:val="98"/>
            <w:lang w:val="de-DE"/>
          </w:rPr>
          <w:t>t</w:t>
        </w:r>
        <w:r w:rsidRPr="00846956">
          <w:rPr>
            <w:color w:val="231F20"/>
            <w:spacing w:val="3"/>
            <w:w w:val="98"/>
            <w:lang w:val="de-DE"/>
          </w:rPr>
          <w:t>t</w:t>
        </w:r>
        <w:r w:rsidRPr="00846956">
          <w:rPr>
            <w:color w:val="231F20"/>
            <w:spacing w:val="-1"/>
            <w:w w:val="99"/>
            <w:lang w:val="de-DE"/>
          </w:rPr>
          <w:t>p</w:t>
        </w:r>
        <w:r w:rsidRPr="00846956">
          <w:rPr>
            <w:color w:val="231F20"/>
            <w:spacing w:val="5"/>
            <w:w w:val="105"/>
            <w:lang w:val="de-DE"/>
          </w:rPr>
          <w:t>:</w:t>
        </w:r>
        <w:r w:rsidRPr="00846956">
          <w:rPr>
            <w:color w:val="231F20"/>
            <w:spacing w:val="-3"/>
            <w:w w:val="56"/>
            <w:lang w:val="de-DE"/>
          </w:rPr>
          <w:t>/</w:t>
        </w:r>
        <w:r w:rsidRPr="00846956">
          <w:rPr>
            <w:color w:val="231F20"/>
            <w:spacing w:val="1"/>
            <w:w w:val="56"/>
            <w:lang w:val="de-DE"/>
          </w:rPr>
          <w:t>/</w:t>
        </w:r>
        <w:r w:rsidRPr="00846956">
          <w:rPr>
            <w:color w:val="231F20"/>
            <w:spacing w:val="6"/>
            <w:lang w:val="de-DE"/>
          </w:rPr>
          <w:t>ww</w:t>
        </w:r>
        <w:r w:rsidRPr="00846956">
          <w:rPr>
            <w:color w:val="231F20"/>
            <w:spacing w:val="-12"/>
            <w:w w:val="107"/>
            <w:lang w:val="de-DE"/>
          </w:rPr>
          <w:t>w</w:t>
        </w:r>
        <w:r w:rsidRPr="00846956">
          <w:rPr>
            <w:color w:val="231F20"/>
            <w:w w:val="107"/>
            <w:lang w:val="de-DE"/>
          </w:rPr>
          <w:t>.</w:t>
        </w:r>
        <w:r w:rsidRPr="00846956">
          <w:rPr>
            <w:color w:val="231F20"/>
            <w:spacing w:val="2"/>
            <w:w w:val="97"/>
            <w:lang w:val="de-DE"/>
          </w:rPr>
          <w:t>z</w:t>
        </w:r>
        <w:r w:rsidRPr="00846956">
          <w:rPr>
            <w:color w:val="231F20"/>
            <w:spacing w:val="-1"/>
            <w:w w:val="91"/>
            <w:lang w:val="de-DE"/>
          </w:rPr>
          <w:t>e</w:t>
        </w:r>
        <w:r w:rsidRPr="00846956">
          <w:rPr>
            <w:color w:val="231F20"/>
            <w:spacing w:val="-2"/>
            <w:lang w:val="de-DE"/>
          </w:rPr>
          <w:t>i</w:t>
        </w:r>
        <w:r w:rsidRPr="00846956">
          <w:rPr>
            <w:color w:val="231F20"/>
            <w:spacing w:val="1"/>
            <w:w w:val="98"/>
            <w:lang w:val="de-DE"/>
          </w:rPr>
          <w:t>t</w:t>
        </w:r>
        <w:r w:rsidRPr="00846956">
          <w:rPr>
            <w:color w:val="231F20"/>
            <w:w w:val="135"/>
            <w:lang w:val="de-DE"/>
          </w:rPr>
          <w:t>.</w:t>
        </w:r>
        <w:r w:rsidRPr="00846956">
          <w:rPr>
            <w:color w:val="231F20"/>
            <w:lang w:val="de-DE"/>
          </w:rPr>
          <w:t>d</w:t>
        </w:r>
        <w:r w:rsidRPr="00846956">
          <w:rPr>
            <w:color w:val="231F20"/>
            <w:spacing w:val="5"/>
            <w:w w:val="91"/>
            <w:lang w:val="de-DE"/>
          </w:rPr>
          <w:t>e</w:t>
        </w:r>
        <w:r w:rsidRPr="00846956">
          <w:rPr>
            <w:color w:val="231F20"/>
            <w:spacing w:val="-5"/>
            <w:w w:val="56"/>
            <w:lang w:val="de-DE"/>
          </w:rPr>
          <w:t>/</w:t>
        </w:r>
        <w:r w:rsidRPr="00846956">
          <w:rPr>
            <w:color w:val="231F20"/>
            <w:spacing w:val="-10"/>
            <w:lang w:val="de-DE"/>
          </w:rPr>
          <w:t>1</w:t>
        </w:r>
        <w:r w:rsidRPr="00846956">
          <w:rPr>
            <w:color w:val="231F20"/>
            <w:spacing w:val="-1"/>
            <w:lang w:val="de-DE"/>
          </w:rPr>
          <w:t>9</w:t>
        </w:r>
        <w:r w:rsidRPr="00846956">
          <w:rPr>
            <w:color w:val="231F20"/>
            <w:spacing w:val="-4"/>
            <w:lang w:val="de-DE"/>
          </w:rPr>
          <w:t>9</w:t>
        </w:r>
        <w:r w:rsidRPr="00846956">
          <w:rPr>
            <w:color w:val="231F20"/>
            <w:lang w:val="de-DE"/>
          </w:rPr>
          <w:t>8</w:t>
        </w:r>
        <w:r w:rsidRPr="00846956">
          <w:rPr>
            <w:color w:val="231F20"/>
            <w:spacing w:val="-5"/>
            <w:w w:val="56"/>
            <w:lang w:val="de-DE"/>
          </w:rPr>
          <w:t>/</w:t>
        </w:r>
        <w:r w:rsidRPr="00846956">
          <w:rPr>
            <w:color w:val="231F20"/>
            <w:spacing w:val="-10"/>
            <w:lang w:val="de-DE"/>
          </w:rPr>
          <w:t>1</w:t>
        </w:r>
        <w:r w:rsidRPr="00846956">
          <w:rPr>
            <w:color w:val="231F20"/>
            <w:lang w:val="de-DE"/>
          </w:rPr>
          <w:t>9</w:t>
        </w:r>
        <w:r w:rsidRPr="00846956">
          <w:rPr>
            <w:color w:val="231F20"/>
            <w:spacing w:val="10"/>
            <w:w w:val="56"/>
            <w:lang w:val="de-DE"/>
          </w:rPr>
          <w:t>/</w:t>
        </w:r>
        <w:r w:rsidRPr="00846956">
          <w:rPr>
            <w:color w:val="231F20"/>
            <w:spacing w:val="3"/>
            <w:w w:val="114"/>
            <w:lang w:val="de-DE"/>
          </w:rPr>
          <w:t>K</w:t>
        </w:r>
        <w:r w:rsidRPr="00846956">
          <w:rPr>
            <w:color w:val="231F20"/>
            <w:spacing w:val="2"/>
            <w:w w:val="102"/>
            <w:lang w:val="de-DE"/>
          </w:rPr>
          <w:t>a</w:t>
        </w:r>
        <w:r w:rsidRPr="00846956">
          <w:rPr>
            <w:color w:val="231F20"/>
            <w:spacing w:val="3"/>
            <w:w w:val="109"/>
            <w:lang w:val="de-DE"/>
          </w:rPr>
          <w:t>f</w:t>
        </w:r>
        <w:r w:rsidRPr="00846956">
          <w:rPr>
            <w:color w:val="231F20"/>
            <w:w w:val="109"/>
            <w:lang w:val="de-DE"/>
          </w:rPr>
          <w:t>f</w:t>
        </w:r>
        <w:r w:rsidRPr="00846956">
          <w:rPr>
            <w:color w:val="231F20"/>
            <w:spacing w:val="1"/>
            <w:w w:val="91"/>
            <w:lang w:val="de-DE"/>
          </w:rPr>
          <w:t>e</w:t>
        </w:r>
        <w:r w:rsidRPr="00846956">
          <w:rPr>
            <w:color w:val="231F20"/>
            <w:spacing w:val="5"/>
            <w:w w:val="91"/>
            <w:lang w:val="de-DE"/>
          </w:rPr>
          <w:t>e</w:t>
        </w:r>
        <w:r w:rsidRPr="00846956">
          <w:rPr>
            <w:color w:val="231F20"/>
            <w:spacing w:val="10"/>
            <w:w w:val="134"/>
            <w:lang w:val="de-DE"/>
          </w:rPr>
          <w:t>_</w:t>
        </w:r>
        <w:r w:rsidRPr="00846956">
          <w:rPr>
            <w:color w:val="231F20"/>
            <w:spacing w:val="-2"/>
            <w:w w:val="114"/>
            <w:lang w:val="de-DE"/>
          </w:rPr>
          <w:t>K</w:t>
        </w:r>
        <w:r w:rsidRPr="00846956">
          <w:rPr>
            <w:color w:val="231F20"/>
            <w:lang w:val="de-DE"/>
          </w:rPr>
          <w:t>uc</w:t>
        </w:r>
        <w:r w:rsidRPr="00846956">
          <w:rPr>
            <w:color w:val="231F20"/>
            <w:spacing w:val="-1"/>
            <w:lang w:val="de-DE"/>
          </w:rPr>
          <w:t>h</w:t>
        </w:r>
        <w:r w:rsidRPr="00846956">
          <w:rPr>
            <w:color w:val="231F20"/>
            <w:w w:val="91"/>
            <w:lang w:val="de-DE"/>
          </w:rPr>
          <w:t>e</w:t>
        </w:r>
        <w:r w:rsidRPr="00846956">
          <w:rPr>
            <w:color w:val="231F20"/>
            <w:spacing w:val="6"/>
            <w:w w:val="99"/>
            <w:lang w:val="de-DE"/>
          </w:rPr>
          <w:t>n</w:t>
        </w:r>
        <w:r w:rsidRPr="00846956">
          <w:rPr>
            <w:color w:val="231F20"/>
            <w:spacing w:val="2"/>
            <w:w w:val="134"/>
            <w:lang w:val="de-DE"/>
          </w:rPr>
          <w:t>_</w:t>
        </w:r>
        <w:r w:rsidRPr="00846956">
          <w:rPr>
            <w:color w:val="231F20"/>
            <w:spacing w:val="3"/>
            <w:lang w:val="de-DE"/>
          </w:rPr>
          <w:t>u</w:t>
        </w:r>
        <w:r w:rsidRPr="00846956">
          <w:rPr>
            <w:color w:val="231F20"/>
            <w:spacing w:val="-1"/>
            <w:w w:val="99"/>
            <w:lang w:val="de-DE"/>
          </w:rPr>
          <w:t>n</w:t>
        </w:r>
        <w:r w:rsidRPr="00846956">
          <w:rPr>
            <w:color w:val="231F20"/>
            <w:spacing w:val="6"/>
            <w:lang w:val="de-DE"/>
          </w:rPr>
          <w:t>d</w:t>
        </w:r>
        <w:r w:rsidRPr="00846956">
          <w:rPr>
            <w:color w:val="231F20"/>
            <w:spacing w:val="-7"/>
            <w:w w:val="134"/>
            <w:lang w:val="de-DE"/>
          </w:rPr>
          <w:t>_</w:t>
        </w:r>
        <w:r w:rsidRPr="00846956">
          <w:rPr>
            <w:color w:val="231F20"/>
            <w:spacing w:val="-14"/>
            <w:w w:val="112"/>
            <w:lang w:val="de-DE"/>
          </w:rPr>
          <w:t>T</w:t>
        </w:r>
        <w:r w:rsidRPr="00846956">
          <w:rPr>
            <w:color w:val="231F20"/>
            <w:w w:val="91"/>
            <w:lang w:val="de-DE"/>
          </w:rPr>
          <w:t>e</w:t>
        </w:r>
        <w:r w:rsidRPr="00846956">
          <w:rPr>
            <w:color w:val="231F20"/>
            <w:spacing w:val="1"/>
            <w:w w:val="94"/>
            <w:lang w:val="de-DE"/>
          </w:rPr>
          <w:t>r</w:t>
        </w:r>
        <w:r w:rsidRPr="00846956">
          <w:rPr>
            <w:color w:val="231F20"/>
            <w:spacing w:val="-2"/>
            <w:w w:val="94"/>
            <w:lang w:val="de-DE"/>
          </w:rPr>
          <w:t>r</w:t>
        </w:r>
        <w:r w:rsidRPr="00846956">
          <w:rPr>
            <w:color w:val="231F20"/>
            <w:spacing w:val="-1"/>
            <w:w w:val="104"/>
            <w:lang w:val="de-DE"/>
          </w:rPr>
          <w:t>o</w:t>
        </w:r>
        <w:r w:rsidRPr="00846956">
          <w:rPr>
            <w:color w:val="231F20"/>
            <w:w w:val="94"/>
            <w:lang w:val="de-DE"/>
          </w:rPr>
          <w:t>r</w:t>
        </w:r>
      </w:hyperlink>
    </w:p>
    <w:p w14:paraId="55CA3246" w14:textId="77777777" w:rsidR="002653E8" w:rsidRPr="00846956" w:rsidRDefault="003115E3">
      <w:pPr>
        <w:pStyle w:val="a3"/>
        <w:spacing w:before="162" w:line="244" w:lineRule="auto"/>
        <w:ind w:left="2282" w:right="2090" w:hanging="1135"/>
        <w:rPr>
          <w:lang w:val="de-DE"/>
        </w:rPr>
      </w:pPr>
      <w:r w:rsidRPr="00846956">
        <w:rPr>
          <w:i/>
          <w:color w:val="231F20"/>
          <w:w w:val="105"/>
          <w:lang w:val="de-DE"/>
        </w:rPr>
        <w:t xml:space="preserve">Spiegel. </w:t>
      </w:r>
      <w:r w:rsidRPr="00846956">
        <w:rPr>
          <w:color w:val="231F20"/>
          <w:w w:val="105"/>
          <w:lang w:val="de-DE"/>
        </w:rPr>
        <w:t xml:space="preserve">“Gehirne der toten </w:t>
      </w:r>
      <w:r w:rsidR="00C507A5" w:rsidRPr="00846956">
        <w:rPr>
          <w:color w:val="231F20"/>
          <w:w w:val="105"/>
          <w:lang w:val="de-DE"/>
        </w:rPr>
        <w:t>red army faction</w:t>
      </w:r>
      <w:r w:rsidRPr="00846956">
        <w:rPr>
          <w:color w:val="231F20"/>
          <w:w w:val="105"/>
          <w:lang w:val="de-DE"/>
        </w:rPr>
        <w:t xml:space="preserve">-Terroristen verschwunden.” </w:t>
      </w:r>
      <w:r w:rsidRPr="00846956">
        <w:rPr>
          <w:color w:val="231F20"/>
          <w:w w:val="122"/>
          <w:lang w:val="de-DE"/>
        </w:rPr>
        <w:t>N</w:t>
      </w:r>
      <w:r w:rsidRPr="00846956">
        <w:rPr>
          <w:color w:val="231F20"/>
          <w:w w:val="104"/>
          <w:lang w:val="de-DE"/>
        </w:rPr>
        <w:t>o</w:t>
      </w:r>
      <w:r w:rsidRPr="00846956">
        <w:rPr>
          <w:color w:val="231F20"/>
          <w:w w:val="99"/>
          <w:lang w:val="de-DE"/>
        </w:rPr>
        <w:t>v</w:t>
      </w:r>
      <w:r w:rsidRPr="00846956">
        <w:rPr>
          <w:color w:val="231F20"/>
          <w:w w:val="91"/>
          <w:lang w:val="de-DE"/>
        </w:rPr>
        <w:t>e</w:t>
      </w:r>
      <w:r w:rsidRPr="00846956">
        <w:rPr>
          <w:color w:val="231F20"/>
          <w:w w:val="99"/>
          <w:lang w:val="de-DE"/>
        </w:rPr>
        <w:t>m</w:t>
      </w:r>
      <w:r w:rsidRPr="00846956">
        <w:rPr>
          <w:color w:val="231F20"/>
          <w:w w:val="101"/>
          <w:lang w:val="de-DE"/>
        </w:rPr>
        <w:t>b</w:t>
      </w:r>
      <w:r w:rsidRPr="00846956">
        <w:rPr>
          <w:color w:val="231F20"/>
          <w:w w:val="92"/>
          <w:lang w:val="de-DE"/>
        </w:rPr>
        <w:t>er</w:t>
      </w:r>
      <w:r w:rsidRPr="00846956">
        <w:rPr>
          <w:color w:val="231F20"/>
          <w:lang w:val="de-DE"/>
        </w:rPr>
        <w:t xml:space="preserve"> 16</w:t>
      </w:r>
      <w:r w:rsidRPr="00846956">
        <w:rPr>
          <w:color w:val="231F20"/>
          <w:w w:val="135"/>
          <w:lang w:val="de-DE"/>
        </w:rPr>
        <w:t>,</w:t>
      </w:r>
      <w:r w:rsidRPr="00846956">
        <w:rPr>
          <w:color w:val="231F20"/>
          <w:lang w:val="de-DE"/>
        </w:rPr>
        <w:t xml:space="preserve"> 2002</w:t>
      </w:r>
      <w:r w:rsidRPr="00846956">
        <w:rPr>
          <w:color w:val="231F20"/>
          <w:w w:val="135"/>
          <w:lang w:val="de-DE"/>
        </w:rPr>
        <w:t>.</w:t>
      </w:r>
      <w:r w:rsidRPr="00846956">
        <w:rPr>
          <w:color w:val="231F20"/>
          <w:lang w:val="de-DE"/>
        </w:rPr>
        <w:t xml:space="preserve"> </w:t>
      </w:r>
      <w:hyperlink r:id="rId622">
        <w:r w:rsidRPr="00846956">
          <w:rPr>
            <w:color w:val="231F20"/>
            <w:lang w:val="de-DE"/>
          </w:rPr>
          <w:t>h</w:t>
        </w:r>
        <w:r w:rsidRPr="00846956">
          <w:rPr>
            <w:color w:val="231F20"/>
            <w:w w:val="98"/>
            <w:lang w:val="de-DE"/>
          </w:rPr>
          <w:t>tt</w:t>
        </w:r>
        <w:r w:rsidRPr="00846956">
          <w:rPr>
            <w:color w:val="231F20"/>
            <w:w w:val="99"/>
            <w:lang w:val="de-DE"/>
          </w:rPr>
          <w:t>p</w:t>
        </w:r>
        <w:r w:rsidRPr="00846956">
          <w:rPr>
            <w:color w:val="231F20"/>
            <w:w w:val="105"/>
            <w:lang w:val="de-DE"/>
          </w:rPr>
          <w:t>:</w:t>
        </w:r>
        <w:r w:rsidRPr="00846956">
          <w:rPr>
            <w:color w:val="231F20"/>
            <w:w w:val="56"/>
            <w:lang w:val="de-DE"/>
          </w:rPr>
          <w:t>//</w:t>
        </w:r>
        <w:r w:rsidRPr="00846956">
          <w:rPr>
            <w:color w:val="231F20"/>
            <w:lang w:val="de-DE"/>
          </w:rPr>
          <w:t>www</w:t>
        </w:r>
        <w:r w:rsidRPr="00846956">
          <w:rPr>
            <w:color w:val="231F20"/>
            <w:w w:val="135"/>
            <w:lang w:val="de-DE"/>
          </w:rPr>
          <w:t>.</w:t>
        </w:r>
        <w:r w:rsidRPr="00846956">
          <w:rPr>
            <w:color w:val="231F20"/>
            <w:w w:val="90"/>
            <w:lang w:val="de-DE"/>
          </w:rPr>
          <w:t>s</w:t>
        </w:r>
        <w:r w:rsidRPr="00846956">
          <w:rPr>
            <w:color w:val="231F20"/>
            <w:w w:val="99"/>
            <w:lang w:val="de-DE"/>
          </w:rPr>
          <w:t>p</w:t>
        </w:r>
        <w:r w:rsidRPr="00846956">
          <w:rPr>
            <w:color w:val="231F20"/>
            <w:lang w:val="de-DE"/>
          </w:rPr>
          <w:t>i</w:t>
        </w:r>
        <w:r w:rsidRPr="00846956">
          <w:rPr>
            <w:color w:val="231F20"/>
            <w:w w:val="91"/>
            <w:lang w:val="de-DE"/>
          </w:rPr>
          <w:t>e</w:t>
        </w:r>
        <w:r w:rsidRPr="00846956">
          <w:rPr>
            <w:color w:val="231F20"/>
            <w:w w:val="101"/>
            <w:lang w:val="de-DE"/>
          </w:rPr>
          <w:t>g</w:t>
        </w:r>
        <w:r w:rsidRPr="00846956">
          <w:rPr>
            <w:color w:val="231F20"/>
            <w:w w:val="91"/>
            <w:lang w:val="de-DE"/>
          </w:rPr>
          <w:t>e</w:t>
        </w:r>
        <w:r w:rsidRPr="00846956">
          <w:rPr>
            <w:color w:val="231F20"/>
            <w:w w:val="102"/>
            <w:lang w:val="de-DE"/>
          </w:rPr>
          <w:t>l</w:t>
        </w:r>
        <w:r w:rsidRPr="00846956">
          <w:rPr>
            <w:color w:val="231F20"/>
            <w:w w:val="109"/>
            <w:lang w:val="de-DE"/>
          </w:rPr>
          <w:t>.d</w:t>
        </w:r>
        <w:r w:rsidRPr="00846956">
          <w:rPr>
            <w:color w:val="231F20"/>
            <w:w w:val="91"/>
            <w:lang w:val="de-DE"/>
          </w:rPr>
          <w:t>e</w:t>
        </w:r>
        <w:r w:rsidRPr="00846956">
          <w:rPr>
            <w:color w:val="231F20"/>
            <w:w w:val="56"/>
            <w:lang w:val="de-DE"/>
          </w:rPr>
          <w:t>/</w:t>
        </w:r>
      </w:hyperlink>
      <w:r w:rsidRPr="00846956">
        <w:rPr>
          <w:color w:val="231F20"/>
          <w:w w:val="56"/>
          <w:lang w:val="de-DE"/>
        </w:rPr>
        <w:t xml:space="preserve"> </w:t>
      </w:r>
      <w:r w:rsidRPr="00846956">
        <w:rPr>
          <w:color w:val="231F20"/>
          <w:w w:val="99"/>
          <w:lang w:val="de-DE"/>
        </w:rPr>
        <w:t>p</w:t>
      </w:r>
      <w:r w:rsidRPr="00846956">
        <w:rPr>
          <w:color w:val="231F20"/>
          <w:w w:val="102"/>
          <w:lang w:val="de-DE"/>
        </w:rPr>
        <w:t>ano</w:t>
      </w:r>
      <w:r w:rsidRPr="00846956">
        <w:rPr>
          <w:color w:val="231F20"/>
          <w:w w:val="94"/>
          <w:lang w:val="de-DE"/>
        </w:rPr>
        <w:t>r</w:t>
      </w:r>
      <w:r w:rsidRPr="00846956">
        <w:rPr>
          <w:color w:val="231F20"/>
          <w:w w:val="102"/>
          <w:lang w:val="de-DE"/>
        </w:rPr>
        <w:t>a</w:t>
      </w:r>
      <w:r w:rsidRPr="00846956">
        <w:rPr>
          <w:color w:val="231F20"/>
          <w:w w:val="99"/>
          <w:lang w:val="de-DE"/>
        </w:rPr>
        <w:t>m</w:t>
      </w:r>
      <w:r w:rsidRPr="00846956">
        <w:rPr>
          <w:color w:val="231F20"/>
          <w:w w:val="102"/>
          <w:lang w:val="de-DE"/>
        </w:rPr>
        <w:t>a</w:t>
      </w:r>
      <w:r w:rsidRPr="00846956">
        <w:rPr>
          <w:color w:val="231F20"/>
          <w:w w:val="56"/>
          <w:lang w:val="de-DE"/>
        </w:rPr>
        <w:t>/</w:t>
      </w:r>
      <w:r w:rsidRPr="00846956">
        <w:rPr>
          <w:color w:val="231F20"/>
          <w:lang w:val="de-DE"/>
        </w:rPr>
        <w:t>0</w:t>
      </w:r>
      <w:r w:rsidRPr="00846956">
        <w:rPr>
          <w:color w:val="231F20"/>
          <w:w w:val="135"/>
          <w:lang w:val="de-DE"/>
        </w:rPr>
        <w:t>,</w:t>
      </w:r>
      <w:r w:rsidRPr="00846956">
        <w:rPr>
          <w:color w:val="231F20"/>
          <w:lang w:val="de-DE"/>
        </w:rPr>
        <w:t>1518</w:t>
      </w:r>
      <w:r w:rsidRPr="00846956">
        <w:rPr>
          <w:color w:val="231F20"/>
          <w:w w:val="135"/>
          <w:lang w:val="de-DE"/>
        </w:rPr>
        <w:t>,</w:t>
      </w:r>
      <w:r w:rsidRPr="00846956">
        <w:rPr>
          <w:color w:val="231F20"/>
          <w:lang w:val="de-DE"/>
        </w:rPr>
        <w:t>d</w:t>
      </w:r>
      <w:r w:rsidRPr="00846956">
        <w:rPr>
          <w:color w:val="231F20"/>
          <w:w w:val="94"/>
          <w:lang w:val="de-DE"/>
        </w:rPr>
        <w:t>r</w:t>
      </w:r>
      <w:r w:rsidRPr="00846956">
        <w:rPr>
          <w:color w:val="231F20"/>
          <w:lang w:val="de-DE"/>
        </w:rPr>
        <w:t>uc</w:t>
      </w:r>
      <w:r w:rsidRPr="00846956">
        <w:rPr>
          <w:color w:val="231F20"/>
          <w:w w:val="103"/>
          <w:lang w:val="de-DE"/>
        </w:rPr>
        <w:t>k-</w:t>
      </w:r>
      <w:r w:rsidRPr="00846956">
        <w:rPr>
          <w:color w:val="231F20"/>
          <w:lang w:val="de-DE"/>
        </w:rPr>
        <w:t>223109</w:t>
      </w:r>
      <w:r w:rsidRPr="00846956">
        <w:rPr>
          <w:color w:val="231F20"/>
          <w:w w:val="135"/>
          <w:lang w:val="de-DE"/>
        </w:rPr>
        <w:t>,</w:t>
      </w:r>
      <w:r w:rsidRPr="00846956">
        <w:rPr>
          <w:color w:val="231F20"/>
          <w:lang w:val="de-DE"/>
        </w:rPr>
        <w:t>00</w:t>
      </w:r>
      <w:r w:rsidRPr="00846956">
        <w:rPr>
          <w:color w:val="231F20"/>
          <w:w w:val="135"/>
          <w:lang w:val="de-DE"/>
        </w:rPr>
        <w:t>.</w:t>
      </w:r>
      <w:r w:rsidRPr="00846956">
        <w:rPr>
          <w:color w:val="231F20"/>
          <w:w w:val="99"/>
          <w:lang w:val="de-DE"/>
        </w:rPr>
        <w:t>htm</w:t>
      </w:r>
      <w:r w:rsidRPr="00846956">
        <w:rPr>
          <w:color w:val="231F20"/>
          <w:w w:val="102"/>
          <w:lang w:val="de-DE"/>
        </w:rPr>
        <w:t>l</w:t>
      </w:r>
    </w:p>
    <w:p w14:paraId="48F78E15" w14:textId="77777777" w:rsidR="002653E8" w:rsidRDefault="003115E3">
      <w:pPr>
        <w:pStyle w:val="a3"/>
        <w:spacing w:before="162" w:line="244" w:lineRule="auto"/>
        <w:ind w:left="2281" w:right="1890" w:hanging="1134"/>
      </w:pPr>
      <w:r w:rsidRPr="00846956">
        <w:rPr>
          <w:color w:val="231F20"/>
          <w:w w:val="105"/>
          <w:lang w:val="de-DE"/>
        </w:rPr>
        <w:t xml:space="preserve">Steinbauer, Agnes. “Tod in Stammheim,” </w:t>
      </w:r>
      <w:r w:rsidRPr="00846956">
        <w:rPr>
          <w:i/>
          <w:color w:val="231F20"/>
          <w:w w:val="105"/>
          <w:lang w:val="de-DE"/>
        </w:rPr>
        <w:t xml:space="preserve">Deutschlandradio, </w:t>
      </w:r>
      <w:r w:rsidRPr="00846956">
        <w:rPr>
          <w:color w:val="231F20"/>
          <w:w w:val="122"/>
          <w:lang w:val="de-DE"/>
        </w:rPr>
        <w:t>M</w:t>
      </w:r>
      <w:r w:rsidRPr="00846956">
        <w:rPr>
          <w:color w:val="231F20"/>
          <w:lang w:val="de-DE"/>
        </w:rPr>
        <w:t>ay 9</w:t>
      </w:r>
      <w:r w:rsidRPr="00846956">
        <w:rPr>
          <w:color w:val="231F20"/>
          <w:w w:val="135"/>
          <w:lang w:val="de-DE"/>
        </w:rPr>
        <w:t>,</w:t>
      </w:r>
      <w:r w:rsidRPr="00846956">
        <w:rPr>
          <w:color w:val="231F20"/>
          <w:lang w:val="de-DE"/>
        </w:rPr>
        <w:t xml:space="preserve"> 2006</w:t>
      </w:r>
      <w:r w:rsidRPr="00846956">
        <w:rPr>
          <w:color w:val="231F20"/>
          <w:w w:val="135"/>
          <w:lang w:val="de-DE"/>
        </w:rPr>
        <w:t>.</w:t>
      </w:r>
      <w:r w:rsidRPr="00846956">
        <w:rPr>
          <w:color w:val="231F20"/>
          <w:lang w:val="de-DE"/>
        </w:rPr>
        <w:t xml:space="preserve"> </w:t>
      </w:r>
      <w:hyperlink r:id="rId623">
        <w:r>
          <w:rPr>
            <w:color w:val="231F20"/>
            <w:w w:val="99"/>
          </w:rPr>
          <w:t>ht</w:t>
        </w:r>
        <w:r>
          <w:rPr>
            <w:color w:val="231F20"/>
            <w:w w:val="98"/>
          </w:rPr>
          <w:t>t</w:t>
        </w:r>
        <w:r>
          <w:rPr>
            <w:color w:val="231F20"/>
            <w:w w:val="99"/>
          </w:rPr>
          <w:t>p</w:t>
        </w:r>
        <w:r>
          <w:rPr>
            <w:color w:val="231F20"/>
            <w:w w:val="105"/>
          </w:rPr>
          <w:t>:</w:t>
        </w:r>
        <w:r>
          <w:rPr>
            <w:color w:val="231F20"/>
            <w:w w:val="56"/>
          </w:rPr>
          <w:t>//</w:t>
        </w:r>
        <w:r>
          <w:rPr>
            <w:color w:val="231F20"/>
          </w:rPr>
          <w:t>www</w:t>
        </w:r>
        <w:r>
          <w:rPr>
            <w:color w:val="231F20"/>
            <w:w w:val="135"/>
          </w:rPr>
          <w:t>.</w:t>
        </w:r>
        <w:r>
          <w:rPr>
            <w:color w:val="231F20"/>
          </w:rPr>
          <w:t>d</w:t>
        </w:r>
        <w:r>
          <w:rPr>
            <w:color w:val="231F20"/>
            <w:w w:val="94"/>
          </w:rPr>
          <w:t>r</w:t>
        </w:r>
        <w:r>
          <w:rPr>
            <w:color w:val="231F20"/>
            <w:w w:val="102"/>
          </w:rPr>
          <w:t>a</w:t>
        </w:r>
        <w:r>
          <w:rPr>
            <w:color w:val="231F20"/>
          </w:rPr>
          <w:t>d</w:t>
        </w:r>
        <w:r>
          <w:rPr>
            <w:color w:val="231F20"/>
            <w:w w:val="109"/>
          </w:rPr>
          <w:t>io.</w:t>
        </w:r>
        <w:r>
          <w:rPr>
            <w:color w:val="231F20"/>
          </w:rPr>
          <w:t>d</w:t>
        </w:r>
        <w:r>
          <w:rPr>
            <w:color w:val="231F20"/>
            <w:w w:val="91"/>
          </w:rPr>
          <w:t>e</w:t>
        </w:r>
        <w:r>
          <w:rPr>
            <w:color w:val="231F20"/>
            <w:w w:val="56"/>
          </w:rPr>
          <w:t>/</w:t>
        </w:r>
        <w:r>
          <w:rPr>
            <w:color w:val="231F20"/>
          </w:rPr>
          <w:t>d</w:t>
        </w:r>
        <w:r>
          <w:rPr>
            <w:color w:val="231F20"/>
            <w:w w:val="102"/>
          </w:rPr>
          <w:t>l</w:t>
        </w:r>
        <w:r>
          <w:rPr>
            <w:color w:val="231F20"/>
            <w:w w:val="109"/>
          </w:rPr>
          <w:t>f</w:t>
        </w:r>
        <w:r>
          <w:rPr>
            <w:color w:val="231F20"/>
            <w:w w:val="56"/>
          </w:rPr>
          <w:t>/</w:t>
        </w:r>
        <w:r>
          <w:rPr>
            <w:color w:val="231F20"/>
            <w:w w:val="90"/>
          </w:rPr>
          <w:t>s</w:t>
        </w:r>
        <w:r>
          <w:rPr>
            <w:color w:val="231F20"/>
            <w:w w:val="91"/>
          </w:rPr>
          <w:t>e</w:t>
        </w:r>
        <w:r>
          <w:rPr>
            <w:color w:val="231F20"/>
            <w:w w:val="99"/>
          </w:rPr>
          <w:t>n</w:t>
        </w:r>
        <w:r>
          <w:rPr>
            <w:color w:val="231F20"/>
          </w:rPr>
          <w:t>du</w:t>
        </w:r>
        <w:r>
          <w:rPr>
            <w:color w:val="231F20"/>
            <w:w w:val="99"/>
          </w:rPr>
          <w:t>n</w:t>
        </w:r>
        <w:r>
          <w:rPr>
            <w:color w:val="231F20"/>
            <w:w w:val="101"/>
          </w:rPr>
          <w:t>g</w:t>
        </w:r>
        <w:r>
          <w:rPr>
            <w:color w:val="231F20"/>
            <w:w w:val="91"/>
          </w:rPr>
          <w:t>e</w:t>
        </w:r>
        <w:r>
          <w:rPr>
            <w:color w:val="231F20"/>
            <w:w w:val="99"/>
          </w:rPr>
          <w:t>n</w:t>
        </w:r>
        <w:r>
          <w:rPr>
            <w:color w:val="231F20"/>
            <w:w w:val="56"/>
          </w:rPr>
          <w:t>/</w:t>
        </w:r>
      </w:hyperlink>
      <w:r>
        <w:rPr>
          <w:color w:val="231F20"/>
          <w:w w:val="56"/>
        </w:rPr>
        <w:t xml:space="preserve"> </w:t>
      </w:r>
      <w:r>
        <w:rPr>
          <w:color w:val="231F20"/>
          <w:w w:val="106"/>
        </w:rPr>
        <w:t>k</w:t>
      </w:r>
      <w:r>
        <w:rPr>
          <w:color w:val="231F20"/>
          <w:w w:val="102"/>
        </w:rPr>
        <w:t>al</w:t>
      </w:r>
      <w:r>
        <w:rPr>
          <w:color w:val="231F20"/>
          <w:w w:val="91"/>
        </w:rPr>
        <w:t>e</w:t>
      </w:r>
      <w:r>
        <w:rPr>
          <w:color w:val="231F20"/>
          <w:w w:val="99"/>
        </w:rPr>
        <w:t>n</w:t>
      </w:r>
      <w:r>
        <w:rPr>
          <w:color w:val="231F20"/>
        </w:rPr>
        <w:t>d</w:t>
      </w:r>
      <w:r>
        <w:rPr>
          <w:color w:val="231F20"/>
          <w:w w:val="91"/>
        </w:rPr>
        <w:t>e</w:t>
      </w:r>
      <w:r>
        <w:rPr>
          <w:color w:val="231F20"/>
          <w:w w:val="98"/>
        </w:rPr>
        <w:t>rb</w:t>
      </w:r>
      <w:r>
        <w:rPr>
          <w:color w:val="231F20"/>
          <w:w w:val="102"/>
        </w:rPr>
        <w:t>la</w:t>
      </w:r>
      <w:r>
        <w:rPr>
          <w:color w:val="231F20"/>
          <w:w w:val="98"/>
        </w:rPr>
        <w:t>tt</w:t>
      </w:r>
      <w:r>
        <w:rPr>
          <w:color w:val="231F20"/>
          <w:w w:val="56"/>
        </w:rPr>
        <w:t>/</w:t>
      </w:r>
      <w:r>
        <w:rPr>
          <w:color w:val="231F20"/>
        </w:rPr>
        <w:t>496823</w:t>
      </w:r>
      <w:r>
        <w:rPr>
          <w:color w:val="231F20"/>
          <w:w w:val="56"/>
        </w:rPr>
        <w:t>/</w:t>
      </w:r>
      <w:r>
        <w:rPr>
          <w:color w:val="231F20"/>
          <w:w w:val="135"/>
        </w:rPr>
        <w:t>.</w:t>
      </w:r>
    </w:p>
    <w:p w14:paraId="5C128F9F" w14:textId="77777777" w:rsidR="002653E8" w:rsidRDefault="003115E3">
      <w:pPr>
        <w:spacing w:before="163" w:line="244" w:lineRule="auto"/>
        <w:ind w:left="2281" w:right="1479" w:hanging="1135"/>
        <w:rPr>
          <w:sz w:val="20"/>
        </w:rPr>
      </w:pPr>
      <w:r>
        <w:rPr>
          <w:color w:val="231F20"/>
          <w:w w:val="105"/>
          <w:sz w:val="20"/>
        </w:rPr>
        <w:t xml:space="preserve">Strout, Richard L (TRB From Washington). “Countdown to a Crisis: Is Nuclear Terrorism Next?” </w:t>
      </w:r>
      <w:r>
        <w:rPr>
          <w:i/>
          <w:color w:val="231F20"/>
          <w:w w:val="105"/>
          <w:sz w:val="20"/>
        </w:rPr>
        <w:t xml:space="preserve">The Fresno Bee (Fresno, California), </w:t>
      </w:r>
      <w:r>
        <w:rPr>
          <w:color w:val="231F20"/>
          <w:w w:val="105"/>
          <w:sz w:val="20"/>
        </w:rPr>
        <w:t>October 26, 1977.</w:t>
      </w:r>
    </w:p>
    <w:p w14:paraId="4F1CB85A" w14:textId="77777777" w:rsidR="002653E8" w:rsidRDefault="003115E3">
      <w:pPr>
        <w:spacing w:before="162"/>
        <w:ind w:left="1147"/>
        <w:rPr>
          <w:i/>
          <w:sz w:val="20"/>
        </w:rPr>
      </w:pPr>
      <w:r>
        <w:rPr>
          <w:color w:val="231F20"/>
          <w:w w:val="105"/>
          <w:sz w:val="20"/>
        </w:rPr>
        <w:t xml:space="preserve">Synovec, Dan. “Anarchist gang blamed,” </w:t>
      </w:r>
      <w:r>
        <w:rPr>
          <w:i/>
          <w:color w:val="231F20"/>
          <w:w w:val="105"/>
          <w:sz w:val="20"/>
        </w:rPr>
        <w:t>European Stars and Stripes,</w:t>
      </w:r>
    </w:p>
    <w:p w14:paraId="1BD93CA0" w14:textId="77777777" w:rsidR="002653E8" w:rsidRDefault="003115E3">
      <w:pPr>
        <w:pStyle w:val="a3"/>
        <w:spacing w:before="6"/>
        <w:ind w:left="2281"/>
      </w:pPr>
      <w:r>
        <w:rPr>
          <w:color w:val="231F20"/>
          <w:w w:val="110"/>
        </w:rPr>
        <w:t>May 27, 1972.</w:t>
      </w:r>
    </w:p>
    <w:p w14:paraId="77F77720" w14:textId="77777777" w:rsidR="002653E8" w:rsidRDefault="003115E3">
      <w:pPr>
        <w:spacing w:before="165" w:line="244" w:lineRule="auto"/>
        <w:ind w:left="2281" w:right="1848" w:hanging="1135"/>
        <w:rPr>
          <w:sz w:val="20"/>
        </w:rPr>
      </w:pPr>
      <w:r>
        <w:rPr>
          <w:i/>
          <w:color w:val="231F20"/>
          <w:w w:val="105"/>
          <w:sz w:val="20"/>
        </w:rPr>
        <w:t>---------</w:t>
      </w:r>
      <w:r>
        <w:rPr>
          <w:color w:val="231F20"/>
          <w:w w:val="105"/>
          <w:sz w:val="20"/>
        </w:rPr>
        <w:t xml:space="preserve">“Bombs kill 3 at USAREUR Hq.” </w:t>
      </w:r>
      <w:r>
        <w:rPr>
          <w:i/>
          <w:color w:val="231F20"/>
          <w:w w:val="105"/>
          <w:sz w:val="20"/>
        </w:rPr>
        <w:t xml:space="preserve">European Stars and Stripes, </w:t>
      </w:r>
      <w:r>
        <w:rPr>
          <w:color w:val="231F20"/>
          <w:w w:val="105"/>
          <w:sz w:val="20"/>
        </w:rPr>
        <w:t>May 25, 1972.</w:t>
      </w:r>
    </w:p>
    <w:p w14:paraId="6BA1FEE2" w14:textId="77777777" w:rsidR="002653E8" w:rsidRDefault="003115E3">
      <w:pPr>
        <w:spacing w:before="162" w:line="244" w:lineRule="auto"/>
        <w:ind w:left="2282" w:right="1580" w:hanging="1135"/>
        <w:rPr>
          <w:sz w:val="20"/>
        </w:rPr>
      </w:pPr>
      <w:r>
        <w:rPr>
          <w:i/>
          <w:color w:val="231F20"/>
          <w:w w:val="105"/>
          <w:sz w:val="20"/>
        </w:rPr>
        <w:t>---------</w:t>
      </w:r>
      <w:r>
        <w:rPr>
          <w:color w:val="231F20"/>
          <w:w w:val="105"/>
          <w:sz w:val="20"/>
        </w:rPr>
        <w:t xml:space="preserve">“Security beefed up at U.S. installations.” </w:t>
      </w:r>
      <w:r>
        <w:rPr>
          <w:i/>
          <w:color w:val="231F20"/>
          <w:w w:val="105"/>
          <w:sz w:val="20"/>
        </w:rPr>
        <w:t xml:space="preserve">European Stars and Stripes, </w:t>
      </w:r>
      <w:r>
        <w:rPr>
          <w:color w:val="231F20"/>
          <w:w w:val="105"/>
          <w:sz w:val="20"/>
        </w:rPr>
        <w:t>May 13, 1972.</w:t>
      </w:r>
    </w:p>
    <w:p w14:paraId="40BC1279" w14:textId="77777777" w:rsidR="002653E8" w:rsidRPr="00846956" w:rsidRDefault="003115E3">
      <w:pPr>
        <w:spacing w:before="162" w:line="244" w:lineRule="auto"/>
        <w:ind w:left="2282" w:right="1580" w:hanging="1134"/>
        <w:rPr>
          <w:i/>
          <w:sz w:val="20"/>
          <w:lang w:val="de-DE"/>
        </w:rPr>
      </w:pPr>
      <w:r>
        <w:rPr>
          <w:i/>
          <w:color w:val="231F20"/>
          <w:sz w:val="20"/>
        </w:rPr>
        <w:t>---------</w:t>
      </w:r>
      <w:r>
        <w:rPr>
          <w:color w:val="231F20"/>
          <w:sz w:val="20"/>
        </w:rPr>
        <w:t xml:space="preserve">“Terrorists: odd solidarity prompts aid to the BaaderMeinhof gang.” </w:t>
      </w:r>
      <w:r w:rsidRPr="00846956">
        <w:rPr>
          <w:i/>
          <w:color w:val="231F20"/>
          <w:sz w:val="20"/>
          <w:lang w:val="de-DE"/>
        </w:rPr>
        <w:t>European Stars and Stripes,</w:t>
      </w:r>
    </w:p>
    <w:p w14:paraId="0A1D74DE" w14:textId="77777777" w:rsidR="002653E8" w:rsidRPr="00846956" w:rsidRDefault="003115E3">
      <w:pPr>
        <w:pStyle w:val="a3"/>
        <w:spacing w:before="1"/>
        <w:ind w:left="2282"/>
        <w:rPr>
          <w:lang w:val="de-DE"/>
        </w:rPr>
      </w:pPr>
      <w:r w:rsidRPr="00846956">
        <w:rPr>
          <w:color w:val="231F20"/>
          <w:w w:val="110"/>
          <w:lang w:val="de-DE"/>
        </w:rPr>
        <w:t>June 3, 1972.</w:t>
      </w:r>
    </w:p>
    <w:p w14:paraId="27191203" w14:textId="77777777" w:rsidR="002653E8" w:rsidRPr="00846956" w:rsidRDefault="003115E3">
      <w:pPr>
        <w:pStyle w:val="a3"/>
        <w:spacing w:before="166"/>
        <w:ind w:left="1148"/>
        <w:rPr>
          <w:lang w:val="de-DE"/>
        </w:rPr>
      </w:pPr>
      <w:r w:rsidRPr="00846956">
        <w:rPr>
          <w:color w:val="231F20"/>
          <w:w w:val="105"/>
          <w:lang w:val="de-DE"/>
        </w:rPr>
        <w:t>Tersteegen, Wolfgang. “Mit der Bombe im Handgepäcke.”</w:t>
      </w:r>
    </w:p>
    <w:p w14:paraId="07D4BAC2" w14:textId="77777777" w:rsidR="002653E8" w:rsidRDefault="003115E3">
      <w:pPr>
        <w:spacing w:before="5"/>
        <w:ind w:left="2282"/>
        <w:rPr>
          <w:sz w:val="20"/>
        </w:rPr>
      </w:pPr>
      <w:r>
        <w:rPr>
          <w:i/>
          <w:color w:val="231F20"/>
          <w:w w:val="105"/>
          <w:sz w:val="20"/>
        </w:rPr>
        <w:t xml:space="preserve">Frankfurter Allgemeine Zeitung, </w:t>
      </w:r>
      <w:r>
        <w:rPr>
          <w:color w:val="231F20"/>
          <w:w w:val="105"/>
          <w:sz w:val="20"/>
        </w:rPr>
        <w:t>June 19, 1972.</w:t>
      </w:r>
    </w:p>
    <w:p w14:paraId="070D6AC3" w14:textId="77777777" w:rsidR="002653E8" w:rsidRDefault="003115E3">
      <w:pPr>
        <w:pStyle w:val="a3"/>
        <w:spacing w:before="166"/>
        <w:ind w:left="1148"/>
      </w:pPr>
      <w:r>
        <w:rPr>
          <w:color w:val="231F20"/>
          <w:w w:val="105"/>
        </w:rPr>
        <w:t>Thomson, George (Associated Press). “Berlin police, leftists battle.”</w:t>
      </w:r>
    </w:p>
    <w:p w14:paraId="28C57CDA" w14:textId="77777777" w:rsidR="002653E8" w:rsidRDefault="003115E3">
      <w:pPr>
        <w:spacing w:before="5"/>
        <w:ind w:left="2282"/>
        <w:rPr>
          <w:sz w:val="20"/>
        </w:rPr>
      </w:pPr>
      <w:r>
        <w:rPr>
          <w:i/>
          <w:color w:val="231F20"/>
          <w:w w:val="110"/>
          <w:sz w:val="20"/>
        </w:rPr>
        <w:t xml:space="preserve">The Lowell Sun (Lowell, Mass.), </w:t>
      </w:r>
      <w:r>
        <w:rPr>
          <w:color w:val="231F20"/>
          <w:w w:val="110"/>
          <w:sz w:val="20"/>
        </w:rPr>
        <w:t>November 4, 1968.</w:t>
      </w:r>
    </w:p>
    <w:p w14:paraId="3B539202" w14:textId="77777777" w:rsidR="002653E8" w:rsidRDefault="003115E3">
      <w:pPr>
        <w:pStyle w:val="a3"/>
        <w:spacing w:before="166" w:line="244" w:lineRule="auto"/>
        <w:ind w:left="2281" w:right="1580" w:hanging="1134"/>
      </w:pPr>
      <w:r>
        <w:rPr>
          <w:i/>
          <w:color w:val="231F20"/>
          <w:w w:val="116"/>
        </w:rPr>
        <w:t>T</w:t>
      </w:r>
      <w:r>
        <w:rPr>
          <w:i/>
          <w:color w:val="231F20"/>
          <w:spacing w:val="2"/>
          <w:w w:val="102"/>
        </w:rPr>
        <w:t>i</w:t>
      </w:r>
      <w:r>
        <w:rPr>
          <w:i/>
          <w:color w:val="231F20"/>
          <w:spacing w:val="3"/>
          <w:w w:val="104"/>
        </w:rPr>
        <w:t>m</w:t>
      </w:r>
      <w:r>
        <w:rPr>
          <w:i/>
          <w:color w:val="231F20"/>
          <w:w w:val="97"/>
        </w:rPr>
        <w:t>e</w:t>
      </w:r>
      <w:r>
        <w:rPr>
          <w:i/>
          <w:color w:val="231F20"/>
          <w:spacing w:val="10"/>
        </w:rPr>
        <w:t xml:space="preserve"> </w:t>
      </w:r>
      <w:r>
        <w:rPr>
          <w:i/>
          <w:color w:val="231F20"/>
          <w:spacing w:val="6"/>
          <w:w w:val="119"/>
        </w:rPr>
        <w:t>M</w:t>
      </w:r>
      <w:r>
        <w:rPr>
          <w:i/>
          <w:color w:val="231F20"/>
          <w:spacing w:val="-1"/>
          <w:w w:val="95"/>
        </w:rPr>
        <w:t>ag</w:t>
      </w:r>
      <w:r>
        <w:rPr>
          <w:i/>
          <w:color w:val="231F20"/>
          <w:w w:val="95"/>
        </w:rPr>
        <w:t>a</w:t>
      </w:r>
      <w:r>
        <w:rPr>
          <w:i/>
          <w:color w:val="231F20"/>
          <w:spacing w:val="1"/>
          <w:w w:val="98"/>
        </w:rPr>
        <w:t>z</w:t>
      </w:r>
      <w:r>
        <w:rPr>
          <w:i/>
          <w:color w:val="231F20"/>
          <w:spacing w:val="1"/>
          <w:w w:val="102"/>
        </w:rPr>
        <w:t>i</w:t>
      </w:r>
      <w:r>
        <w:rPr>
          <w:i/>
          <w:color w:val="231F20"/>
          <w:spacing w:val="3"/>
          <w:w w:val="103"/>
        </w:rPr>
        <w:t>n</w:t>
      </w:r>
      <w:r>
        <w:rPr>
          <w:i/>
          <w:color w:val="231F20"/>
          <w:spacing w:val="3"/>
          <w:w w:val="97"/>
        </w:rPr>
        <w:t>e</w:t>
      </w:r>
      <w:r>
        <w:rPr>
          <w:i/>
          <w:color w:val="231F20"/>
          <w:w w:val="139"/>
        </w:rPr>
        <w:t>.</w:t>
      </w:r>
      <w:r>
        <w:rPr>
          <w:i/>
          <w:color w:val="231F20"/>
          <w:spacing w:val="10"/>
        </w:rPr>
        <w:t xml:space="preserve"> </w:t>
      </w:r>
      <w:r>
        <w:rPr>
          <w:color w:val="231F20"/>
          <w:spacing w:val="-1"/>
          <w:w w:val="148"/>
        </w:rPr>
        <w:t>“</w:t>
      </w:r>
      <w:r>
        <w:rPr>
          <w:color w:val="231F20"/>
          <w:spacing w:val="2"/>
          <w:w w:val="99"/>
        </w:rPr>
        <w:t>B</w:t>
      </w:r>
      <w:r>
        <w:rPr>
          <w:color w:val="231F20"/>
          <w:spacing w:val="-2"/>
          <w:w w:val="102"/>
        </w:rPr>
        <w:t>a</w:t>
      </w:r>
      <w:r>
        <w:rPr>
          <w:color w:val="231F20"/>
          <w:spacing w:val="5"/>
          <w:w w:val="98"/>
        </w:rPr>
        <w:t>t</w:t>
      </w:r>
      <w:r>
        <w:rPr>
          <w:color w:val="231F20"/>
          <w:spacing w:val="2"/>
          <w:w w:val="98"/>
        </w:rPr>
        <w:t>t</w:t>
      </w:r>
      <w:r>
        <w:rPr>
          <w:color w:val="231F20"/>
          <w:spacing w:val="-1"/>
          <w:w w:val="102"/>
        </w:rPr>
        <w:t>l</w:t>
      </w:r>
      <w:r>
        <w:rPr>
          <w:color w:val="231F20"/>
          <w:w w:val="91"/>
        </w:rPr>
        <w:t>e</w:t>
      </w:r>
      <w:r>
        <w:rPr>
          <w:color w:val="231F20"/>
          <w:spacing w:val="10"/>
        </w:rPr>
        <w:t xml:space="preserve"> </w:t>
      </w:r>
      <w:r>
        <w:rPr>
          <w:color w:val="231F20"/>
          <w:spacing w:val="-2"/>
          <w:w w:val="104"/>
        </w:rPr>
        <w:t>o</w:t>
      </w:r>
      <w:r>
        <w:rPr>
          <w:color w:val="231F20"/>
          <w:w w:val="109"/>
        </w:rPr>
        <w:t>f</w:t>
      </w:r>
      <w:r>
        <w:rPr>
          <w:color w:val="231F20"/>
          <w:spacing w:val="10"/>
        </w:rPr>
        <w:t xml:space="preserve"> </w:t>
      </w:r>
      <w:r>
        <w:rPr>
          <w:color w:val="231F20"/>
          <w:spacing w:val="5"/>
          <w:w w:val="99"/>
        </w:rPr>
        <w:t>B</w:t>
      </w:r>
      <w:r>
        <w:rPr>
          <w:color w:val="231F20"/>
          <w:w w:val="92"/>
        </w:rPr>
        <w:t>e</w:t>
      </w:r>
      <w:r>
        <w:rPr>
          <w:color w:val="231F20"/>
          <w:spacing w:val="-3"/>
          <w:w w:val="92"/>
        </w:rPr>
        <w:t>r</w:t>
      </w:r>
      <w:r>
        <w:rPr>
          <w:color w:val="231F20"/>
          <w:spacing w:val="2"/>
          <w:w w:val="102"/>
        </w:rPr>
        <w:t>l</w:t>
      </w:r>
      <w:r>
        <w:rPr>
          <w:color w:val="231F20"/>
          <w:spacing w:val="2"/>
        </w:rPr>
        <w:t>i</w:t>
      </w:r>
      <w:r>
        <w:rPr>
          <w:color w:val="231F20"/>
          <w:w w:val="99"/>
        </w:rPr>
        <w:t>n</w:t>
      </w:r>
      <w:r>
        <w:rPr>
          <w:color w:val="231F20"/>
          <w:spacing w:val="-14"/>
          <w:w w:val="135"/>
        </w:rPr>
        <w:t>.</w:t>
      </w:r>
      <w:r>
        <w:rPr>
          <w:color w:val="231F20"/>
          <w:w w:val="148"/>
        </w:rPr>
        <w:t>”</w:t>
      </w:r>
      <w:r>
        <w:rPr>
          <w:color w:val="231F20"/>
          <w:spacing w:val="10"/>
        </w:rPr>
        <w:t xml:space="preserve"> </w:t>
      </w:r>
      <w:r>
        <w:rPr>
          <w:color w:val="231F20"/>
          <w:spacing w:val="-2"/>
          <w:w w:val="126"/>
        </w:rPr>
        <w:t>J</w:t>
      </w:r>
      <w:r>
        <w:rPr>
          <w:color w:val="231F20"/>
          <w:spacing w:val="3"/>
        </w:rPr>
        <w:t>u</w:t>
      </w:r>
      <w:r>
        <w:rPr>
          <w:color w:val="231F20"/>
          <w:spacing w:val="-2"/>
          <w:w w:val="102"/>
        </w:rPr>
        <w:t>l</w:t>
      </w:r>
      <w:r>
        <w:rPr>
          <w:color w:val="231F20"/>
          <w:w w:val="99"/>
        </w:rPr>
        <w:t>y</w:t>
      </w:r>
      <w:r>
        <w:rPr>
          <w:color w:val="231F20"/>
          <w:spacing w:val="10"/>
        </w:rPr>
        <w:t xml:space="preserve"> </w:t>
      </w:r>
      <w:r>
        <w:rPr>
          <w:color w:val="231F20"/>
          <w:spacing w:val="-5"/>
        </w:rPr>
        <w:t>3</w:t>
      </w:r>
      <w:r>
        <w:rPr>
          <w:color w:val="231F20"/>
          <w:w w:val="135"/>
        </w:rPr>
        <w:t>,</w:t>
      </w:r>
      <w:r>
        <w:rPr>
          <w:color w:val="231F20"/>
          <w:spacing w:val="10"/>
        </w:rPr>
        <w:t xml:space="preserve"> </w:t>
      </w:r>
      <w:r>
        <w:rPr>
          <w:color w:val="231F20"/>
          <w:spacing w:val="-10"/>
        </w:rPr>
        <w:t>1</w:t>
      </w:r>
      <w:r>
        <w:rPr>
          <w:color w:val="231F20"/>
          <w:spacing w:val="-1"/>
        </w:rPr>
        <w:t>9</w:t>
      </w:r>
      <w:r>
        <w:rPr>
          <w:color w:val="231F20"/>
          <w:spacing w:val="-4"/>
        </w:rPr>
        <w:t>7</w:t>
      </w:r>
      <w:r>
        <w:rPr>
          <w:color w:val="231F20"/>
        </w:rPr>
        <w:t>2</w:t>
      </w:r>
      <w:r>
        <w:rPr>
          <w:color w:val="231F20"/>
          <w:w w:val="135"/>
        </w:rPr>
        <w:t>.</w:t>
      </w:r>
      <w:r>
        <w:rPr>
          <w:color w:val="231F20"/>
          <w:spacing w:val="10"/>
        </w:rPr>
        <w:t xml:space="preserve"> </w:t>
      </w:r>
      <w:r>
        <w:rPr>
          <w:color w:val="231F20"/>
          <w:spacing w:val="-2"/>
        </w:rPr>
        <w:t>h</w:t>
      </w:r>
      <w:r>
        <w:rPr>
          <w:color w:val="231F20"/>
          <w:spacing w:val="5"/>
          <w:w w:val="98"/>
        </w:rPr>
        <w:t>t</w:t>
      </w:r>
      <w:r>
        <w:rPr>
          <w:color w:val="231F20"/>
          <w:spacing w:val="3"/>
          <w:w w:val="98"/>
        </w:rPr>
        <w:t>t</w:t>
      </w:r>
      <w:r>
        <w:rPr>
          <w:color w:val="231F20"/>
          <w:spacing w:val="-1"/>
          <w:w w:val="99"/>
        </w:rPr>
        <w:t>p</w:t>
      </w:r>
      <w:r>
        <w:rPr>
          <w:color w:val="231F20"/>
          <w:spacing w:val="5"/>
          <w:w w:val="105"/>
        </w:rPr>
        <w:t>:</w:t>
      </w:r>
      <w:r>
        <w:rPr>
          <w:color w:val="231F20"/>
          <w:spacing w:val="-3"/>
          <w:w w:val="56"/>
        </w:rPr>
        <w:t>/</w:t>
      </w:r>
      <w:r>
        <w:rPr>
          <w:color w:val="231F20"/>
          <w:spacing w:val="1"/>
          <w:w w:val="56"/>
        </w:rPr>
        <w:t>/</w:t>
      </w:r>
      <w:r>
        <w:rPr>
          <w:color w:val="231F20"/>
          <w:spacing w:val="6"/>
        </w:rPr>
        <w:t>ww</w:t>
      </w:r>
      <w:r>
        <w:rPr>
          <w:color w:val="231F20"/>
          <w:spacing w:val="-12"/>
        </w:rPr>
        <w:t>w</w:t>
      </w:r>
      <w:r>
        <w:rPr>
          <w:color w:val="231F20"/>
          <w:spacing w:val="-2"/>
          <w:w w:val="135"/>
        </w:rPr>
        <w:t>.</w:t>
      </w:r>
      <w:r>
        <w:rPr>
          <w:color w:val="231F20"/>
          <w:spacing w:val="2"/>
          <w:w w:val="98"/>
        </w:rPr>
        <w:t>t</w:t>
      </w:r>
      <w:r>
        <w:rPr>
          <w:color w:val="231F20"/>
          <w:spacing w:val="3"/>
        </w:rPr>
        <w:t>i</w:t>
      </w:r>
      <w:r>
        <w:rPr>
          <w:color w:val="231F20"/>
          <w:w w:val="99"/>
        </w:rPr>
        <w:t>m</w:t>
      </w:r>
      <w:r>
        <w:rPr>
          <w:color w:val="231F20"/>
          <w:w w:val="91"/>
        </w:rPr>
        <w:t>e</w:t>
      </w:r>
      <w:r>
        <w:rPr>
          <w:color w:val="231F20"/>
          <w:w w:val="135"/>
        </w:rPr>
        <w:t xml:space="preserve">. </w:t>
      </w:r>
      <w:r>
        <w:rPr>
          <w:color w:val="231F20"/>
        </w:rPr>
        <w:t>c</w:t>
      </w:r>
      <w:r>
        <w:rPr>
          <w:color w:val="231F20"/>
          <w:spacing w:val="-1"/>
          <w:w w:val="104"/>
        </w:rPr>
        <w:t>o</w:t>
      </w:r>
      <w:r>
        <w:rPr>
          <w:color w:val="231F20"/>
          <w:spacing w:val="10"/>
          <w:w w:val="99"/>
        </w:rPr>
        <w:t>m</w:t>
      </w:r>
      <w:r>
        <w:rPr>
          <w:color w:val="231F20"/>
          <w:w w:val="56"/>
        </w:rPr>
        <w:t>/</w:t>
      </w:r>
      <w:r>
        <w:rPr>
          <w:color w:val="231F20"/>
          <w:spacing w:val="2"/>
          <w:w w:val="98"/>
        </w:rPr>
        <w:t>t</w:t>
      </w:r>
      <w:r>
        <w:rPr>
          <w:color w:val="231F20"/>
          <w:spacing w:val="3"/>
        </w:rPr>
        <w:t>i</w:t>
      </w:r>
      <w:r>
        <w:rPr>
          <w:color w:val="231F20"/>
          <w:w w:val="99"/>
        </w:rPr>
        <w:t>m</w:t>
      </w:r>
      <w:r>
        <w:rPr>
          <w:color w:val="231F20"/>
          <w:spacing w:val="5"/>
          <w:w w:val="73"/>
        </w:rPr>
        <w:t>e</w:t>
      </w:r>
      <w:r>
        <w:rPr>
          <w:color w:val="231F20"/>
          <w:spacing w:val="-1"/>
          <w:w w:val="73"/>
        </w:rPr>
        <w:t>/</w:t>
      </w:r>
      <w:r>
        <w:rPr>
          <w:color w:val="231F20"/>
          <w:spacing w:val="1"/>
          <w:w w:val="99"/>
        </w:rPr>
        <w:t>m</w:t>
      </w:r>
      <w:r>
        <w:rPr>
          <w:color w:val="231F20"/>
          <w:w w:val="102"/>
        </w:rPr>
        <w:t>a</w:t>
      </w:r>
      <w:r>
        <w:rPr>
          <w:color w:val="231F20"/>
          <w:w w:val="101"/>
        </w:rPr>
        <w:t>g</w:t>
      </w:r>
      <w:r>
        <w:rPr>
          <w:color w:val="231F20"/>
          <w:spacing w:val="2"/>
          <w:w w:val="102"/>
        </w:rPr>
        <w:t>a</w:t>
      </w:r>
      <w:r>
        <w:rPr>
          <w:color w:val="231F20"/>
          <w:spacing w:val="1"/>
          <w:w w:val="97"/>
        </w:rPr>
        <w:t>z</w:t>
      </w:r>
      <w:r>
        <w:rPr>
          <w:color w:val="231F20"/>
          <w:spacing w:val="2"/>
        </w:rPr>
        <w:t>i</w:t>
      </w:r>
      <w:r>
        <w:rPr>
          <w:color w:val="231F20"/>
          <w:spacing w:val="-1"/>
          <w:w w:val="99"/>
        </w:rPr>
        <w:t>n</w:t>
      </w:r>
      <w:r>
        <w:rPr>
          <w:color w:val="231F20"/>
          <w:spacing w:val="5"/>
          <w:w w:val="73"/>
        </w:rPr>
        <w:t>e</w:t>
      </w:r>
      <w:r>
        <w:rPr>
          <w:color w:val="231F20"/>
          <w:spacing w:val="-5"/>
          <w:w w:val="73"/>
        </w:rPr>
        <w:t>/</w:t>
      </w:r>
      <w:r>
        <w:rPr>
          <w:color w:val="231F20"/>
          <w:spacing w:val="3"/>
          <w:w w:val="102"/>
        </w:rPr>
        <w:t>a</w:t>
      </w:r>
      <w:r>
        <w:rPr>
          <w:color w:val="231F20"/>
          <w:spacing w:val="5"/>
          <w:w w:val="94"/>
        </w:rPr>
        <w:t>r</w:t>
      </w:r>
      <w:r>
        <w:rPr>
          <w:color w:val="231F20"/>
          <w:spacing w:val="2"/>
          <w:w w:val="98"/>
        </w:rPr>
        <w:t>t</w:t>
      </w:r>
      <w:r>
        <w:rPr>
          <w:color w:val="231F20"/>
        </w:rPr>
        <w:t>ic</w:t>
      </w:r>
      <w:r>
        <w:rPr>
          <w:color w:val="231F20"/>
          <w:spacing w:val="-1"/>
          <w:w w:val="102"/>
        </w:rPr>
        <w:t>l</w:t>
      </w:r>
      <w:r>
        <w:rPr>
          <w:color w:val="231F20"/>
          <w:spacing w:val="5"/>
          <w:w w:val="73"/>
        </w:rPr>
        <w:t>e</w:t>
      </w:r>
      <w:r>
        <w:rPr>
          <w:color w:val="231F20"/>
          <w:spacing w:val="-4"/>
          <w:w w:val="73"/>
        </w:rPr>
        <w:t>/</w:t>
      </w:r>
      <w:r>
        <w:rPr>
          <w:color w:val="231F20"/>
        </w:rPr>
        <w:t>0</w:t>
      </w:r>
      <w:r>
        <w:rPr>
          <w:color w:val="231F20"/>
          <w:spacing w:val="-6"/>
          <w:w w:val="135"/>
        </w:rPr>
        <w:t>,</w:t>
      </w:r>
      <w:r>
        <w:rPr>
          <w:color w:val="231F20"/>
          <w:spacing w:val="-11"/>
        </w:rPr>
        <w:t>9</w:t>
      </w:r>
      <w:r>
        <w:rPr>
          <w:color w:val="231F20"/>
          <w:spacing w:val="-5"/>
        </w:rPr>
        <w:t>1</w:t>
      </w:r>
      <w:r>
        <w:rPr>
          <w:color w:val="231F20"/>
          <w:spacing w:val="-2"/>
        </w:rPr>
        <w:t>7</w:t>
      </w:r>
      <w:r>
        <w:rPr>
          <w:color w:val="231F20"/>
          <w:spacing w:val="-3"/>
        </w:rPr>
        <w:t>1</w:t>
      </w:r>
      <w:r>
        <w:rPr>
          <w:color w:val="231F20"/>
          <w:spacing w:val="-3"/>
          <w:w w:val="135"/>
        </w:rPr>
        <w:t>,</w:t>
      </w:r>
      <w:r>
        <w:rPr>
          <w:color w:val="231F20"/>
          <w:spacing w:val="-6"/>
        </w:rPr>
        <w:t>8</w:t>
      </w:r>
      <w:r>
        <w:rPr>
          <w:color w:val="231F20"/>
        </w:rPr>
        <w:t>7</w:t>
      </w:r>
      <w:r>
        <w:rPr>
          <w:color w:val="231F20"/>
          <w:spacing w:val="-3"/>
        </w:rPr>
        <w:t>7</w:t>
      </w:r>
      <w:r>
        <w:rPr>
          <w:color w:val="231F20"/>
          <w:spacing w:val="-10"/>
        </w:rPr>
        <w:t>8</w:t>
      </w:r>
      <w:r>
        <w:rPr>
          <w:color w:val="231F20"/>
          <w:spacing w:val="-11"/>
        </w:rPr>
        <w:t>3</w:t>
      </w:r>
      <w:r>
        <w:rPr>
          <w:color w:val="231F20"/>
          <w:spacing w:val="-3"/>
        </w:rPr>
        <w:t>9</w:t>
      </w:r>
      <w:r>
        <w:rPr>
          <w:color w:val="231F20"/>
          <w:spacing w:val="-1"/>
          <w:w w:val="135"/>
        </w:rPr>
        <w:t>,</w:t>
      </w:r>
      <w:r>
        <w:rPr>
          <w:color w:val="231F20"/>
          <w:spacing w:val="5"/>
        </w:rPr>
        <w:t>0</w:t>
      </w:r>
      <w:r>
        <w:rPr>
          <w:color w:val="231F20"/>
          <w:spacing w:val="-3"/>
        </w:rPr>
        <w:t>0</w:t>
      </w:r>
      <w:r>
        <w:rPr>
          <w:color w:val="231F20"/>
          <w:w w:val="135"/>
        </w:rPr>
        <w:t>.</w:t>
      </w:r>
      <w:r>
        <w:rPr>
          <w:color w:val="231F20"/>
          <w:spacing w:val="-2"/>
          <w:w w:val="99"/>
        </w:rPr>
        <w:t>h</w:t>
      </w:r>
      <w:r>
        <w:rPr>
          <w:color w:val="231F20"/>
          <w:spacing w:val="3"/>
          <w:w w:val="99"/>
        </w:rPr>
        <w:t>tm</w:t>
      </w:r>
      <w:r>
        <w:rPr>
          <w:color w:val="231F20"/>
          <w:w w:val="102"/>
        </w:rPr>
        <w:t>l</w:t>
      </w:r>
      <w:r>
        <w:rPr>
          <w:color w:val="231F20"/>
          <w:w w:val="135"/>
        </w:rPr>
        <w:t>.</w:t>
      </w:r>
    </w:p>
    <w:p w14:paraId="10153643" w14:textId="77777777" w:rsidR="002653E8" w:rsidRDefault="003115E3">
      <w:pPr>
        <w:pStyle w:val="a3"/>
        <w:spacing w:before="162" w:line="244" w:lineRule="auto"/>
        <w:ind w:left="2281" w:right="1145" w:hanging="1134"/>
      </w:pPr>
      <w:r>
        <w:rPr>
          <w:i/>
          <w:color w:val="231F20"/>
        </w:rPr>
        <w:t>---------</w:t>
      </w:r>
      <w:r>
        <w:rPr>
          <w:color w:val="231F20"/>
        </w:rPr>
        <w:t xml:space="preserve">“Closing in on an elusive enemy.” October 9, 1978. http:// </w:t>
      </w:r>
      <w:hyperlink r:id="rId624">
        <w:r>
          <w:rPr>
            <w:color w:val="231F20"/>
          </w:rPr>
          <w:t>www</w:t>
        </w:r>
        <w:r>
          <w:rPr>
            <w:color w:val="231F20"/>
            <w:w w:val="135"/>
          </w:rPr>
          <w:t>.</w:t>
        </w:r>
        <w:r>
          <w:rPr>
            <w:color w:val="231F20"/>
            <w:w w:val="98"/>
          </w:rPr>
          <w:t>t</w:t>
        </w:r>
        <w:r>
          <w:rPr>
            <w:color w:val="231F20"/>
          </w:rPr>
          <w:t>i</w:t>
        </w:r>
        <w:r>
          <w:rPr>
            <w:color w:val="231F20"/>
            <w:w w:val="99"/>
          </w:rPr>
          <w:t>m</w:t>
        </w:r>
        <w:r>
          <w:rPr>
            <w:color w:val="231F20"/>
            <w:w w:val="103"/>
          </w:rPr>
          <w:t>e.co</w:t>
        </w:r>
        <w:r>
          <w:rPr>
            <w:color w:val="231F20"/>
            <w:w w:val="99"/>
          </w:rPr>
          <w:t>m</w:t>
        </w:r>
        <w:r>
          <w:rPr>
            <w:color w:val="231F20"/>
            <w:w w:val="56"/>
          </w:rPr>
          <w:t>/</w:t>
        </w:r>
        <w:r>
          <w:rPr>
            <w:color w:val="231F20"/>
            <w:w w:val="98"/>
          </w:rPr>
          <w:t>t</w:t>
        </w:r>
        <w:r>
          <w:rPr>
            <w:color w:val="231F20"/>
          </w:rPr>
          <w:t>i</w:t>
        </w:r>
        <w:r>
          <w:rPr>
            <w:color w:val="231F20"/>
            <w:w w:val="99"/>
          </w:rPr>
          <w:t>m</w:t>
        </w:r>
        <w:r>
          <w:rPr>
            <w:color w:val="231F20"/>
            <w:w w:val="91"/>
          </w:rPr>
          <w:t>e</w:t>
        </w:r>
        <w:r>
          <w:rPr>
            <w:color w:val="231F20"/>
            <w:w w:val="56"/>
          </w:rPr>
          <w:t>/</w:t>
        </w:r>
        <w:r>
          <w:rPr>
            <w:color w:val="231F20"/>
            <w:w w:val="99"/>
          </w:rPr>
          <w:t>m</w:t>
        </w:r>
        <w:r>
          <w:rPr>
            <w:color w:val="231F20"/>
            <w:w w:val="101"/>
          </w:rPr>
          <w:t>ag</w:t>
        </w:r>
        <w:r>
          <w:rPr>
            <w:color w:val="231F20"/>
            <w:w w:val="102"/>
          </w:rPr>
          <w:t>a</w:t>
        </w:r>
        <w:r>
          <w:rPr>
            <w:color w:val="231F20"/>
            <w:w w:val="97"/>
          </w:rPr>
          <w:t>z</w:t>
        </w:r>
        <w:r>
          <w:rPr>
            <w:color w:val="231F20"/>
          </w:rPr>
          <w:t>i</w:t>
        </w:r>
        <w:r>
          <w:rPr>
            <w:color w:val="231F20"/>
            <w:w w:val="99"/>
          </w:rPr>
          <w:t>n</w:t>
        </w:r>
        <w:r>
          <w:rPr>
            <w:color w:val="231F20"/>
            <w:w w:val="91"/>
          </w:rPr>
          <w:t>e</w:t>
        </w:r>
        <w:r>
          <w:rPr>
            <w:color w:val="231F20"/>
            <w:w w:val="56"/>
          </w:rPr>
          <w:t>/</w:t>
        </w:r>
        <w:r>
          <w:rPr>
            <w:color w:val="231F20"/>
            <w:w w:val="102"/>
          </w:rPr>
          <w:t>a</w:t>
        </w:r>
        <w:r>
          <w:rPr>
            <w:color w:val="231F20"/>
            <w:w w:val="94"/>
          </w:rPr>
          <w:t>r</w:t>
        </w:r>
        <w:r>
          <w:rPr>
            <w:color w:val="231F20"/>
            <w:w w:val="98"/>
          </w:rPr>
          <w:t>t</w:t>
        </w:r>
        <w:r>
          <w:rPr>
            <w:color w:val="231F20"/>
          </w:rPr>
          <w:t>ic</w:t>
        </w:r>
        <w:r>
          <w:rPr>
            <w:color w:val="231F20"/>
            <w:w w:val="102"/>
          </w:rPr>
          <w:t>l</w:t>
        </w:r>
        <w:r>
          <w:rPr>
            <w:color w:val="231F20"/>
            <w:w w:val="91"/>
          </w:rPr>
          <w:t>e</w:t>
        </w:r>
        <w:r>
          <w:rPr>
            <w:color w:val="231F20"/>
            <w:w w:val="56"/>
          </w:rPr>
          <w:t>/</w:t>
        </w:r>
        <w:r>
          <w:rPr>
            <w:color w:val="231F20"/>
          </w:rPr>
          <w:t>0</w:t>
        </w:r>
        <w:r>
          <w:rPr>
            <w:color w:val="231F20"/>
            <w:w w:val="135"/>
          </w:rPr>
          <w:t>,</w:t>
        </w:r>
        <w:r>
          <w:rPr>
            <w:color w:val="231F20"/>
          </w:rPr>
          <w:t>9171</w:t>
        </w:r>
        <w:r>
          <w:rPr>
            <w:color w:val="231F20"/>
            <w:w w:val="135"/>
          </w:rPr>
          <w:t>,</w:t>
        </w:r>
        <w:r>
          <w:rPr>
            <w:color w:val="231F20"/>
          </w:rPr>
          <w:t>919863</w:t>
        </w:r>
        <w:r>
          <w:rPr>
            <w:color w:val="231F20"/>
            <w:w w:val="135"/>
          </w:rPr>
          <w:t>,</w:t>
        </w:r>
        <w:r>
          <w:rPr>
            <w:color w:val="231F20"/>
          </w:rPr>
          <w:t>00</w:t>
        </w:r>
        <w:r>
          <w:rPr>
            <w:color w:val="231F20"/>
            <w:w w:val="135"/>
          </w:rPr>
          <w:t>.</w:t>
        </w:r>
      </w:hyperlink>
      <w:r>
        <w:rPr>
          <w:color w:val="231F20"/>
          <w:w w:val="135"/>
        </w:rPr>
        <w:t xml:space="preserve"> </w:t>
      </w:r>
      <w:r>
        <w:rPr>
          <w:color w:val="231F20"/>
        </w:rPr>
        <w:t>html.</w:t>
      </w:r>
    </w:p>
    <w:p w14:paraId="18CF7286" w14:textId="77777777" w:rsidR="002653E8" w:rsidRDefault="002653E8">
      <w:pPr>
        <w:spacing w:line="244" w:lineRule="auto"/>
        <w:sectPr w:rsidR="002653E8">
          <w:pgSz w:w="8640" w:h="12960"/>
          <w:pgMar w:top="1060" w:right="0" w:bottom="1040" w:left="0" w:header="0" w:footer="850" w:gutter="0"/>
          <w:cols w:space="720"/>
        </w:sectPr>
      </w:pPr>
    </w:p>
    <w:p w14:paraId="69692B69" w14:textId="77777777" w:rsidR="002653E8" w:rsidRDefault="003115E3">
      <w:pPr>
        <w:pStyle w:val="a3"/>
        <w:spacing w:before="70" w:line="244" w:lineRule="auto"/>
        <w:ind w:left="2462" w:hanging="1135"/>
      </w:pPr>
      <w:r>
        <w:rPr>
          <w:i/>
          <w:color w:val="231F20"/>
          <w:spacing w:val="10"/>
          <w:w w:val="104"/>
        </w:rPr>
        <w:lastRenderedPageBreak/>
        <w:t>---------</w:t>
      </w:r>
      <w:r>
        <w:rPr>
          <w:color w:val="231F20"/>
          <w:spacing w:val="-3"/>
          <w:w w:val="148"/>
        </w:rPr>
        <w:t>“</w:t>
      </w:r>
      <w:r>
        <w:rPr>
          <w:color w:val="231F20"/>
          <w:spacing w:val="1"/>
          <w:w w:val="127"/>
        </w:rPr>
        <w:t>G</w:t>
      </w:r>
      <w:r>
        <w:rPr>
          <w:color w:val="231F20"/>
        </w:rPr>
        <w:t>u</w:t>
      </w:r>
      <w:r>
        <w:rPr>
          <w:color w:val="231F20"/>
          <w:w w:val="92"/>
        </w:rPr>
        <w:t>e</w:t>
      </w:r>
      <w:r>
        <w:rPr>
          <w:color w:val="231F20"/>
          <w:spacing w:val="1"/>
          <w:w w:val="92"/>
        </w:rPr>
        <w:t>r</w:t>
      </w:r>
      <w:r>
        <w:rPr>
          <w:color w:val="231F20"/>
          <w:spacing w:val="1"/>
          <w:w w:val="94"/>
        </w:rPr>
        <w:t>r</w:t>
      </w:r>
      <w:r>
        <w:rPr>
          <w:color w:val="231F20"/>
          <w:spacing w:val="2"/>
        </w:rPr>
        <w:t>i</w:t>
      </w:r>
      <w:r>
        <w:rPr>
          <w:color w:val="231F20"/>
          <w:spacing w:val="2"/>
          <w:w w:val="102"/>
        </w:rPr>
        <w:t>l</w:t>
      </w:r>
      <w:r>
        <w:rPr>
          <w:color w:val="231F20"/>
          <w:w w:val="102"/>
        </w:rPr>
        <w:t>la</w:t>
      </w:r>
      <w:r>
        <w:rPr>
          <w:color w:val="231F20"/>
          <w:w w:val="90"/>
        </w:rPr>
        <w:t>s</w:t>
      </w:r>
      <w:r>
        <w:rPr>
          <w:color w:val="231F20"/>
          <w:spacing w:val="10"/>
        </w:rPr>
        <w:t xml:space="preserve"> </w:t>
      </w:r>
      <w:r>
        <w:rPr>
          <w:color w:val="231F20"/>
          <w:spacing w:val="-1"/>
          <w:w w:val="104"/>
        </w:rPr>
        <w:t>o</w:t>
      </w:r>
      <w:r>
        <w:rPr>
          <w:color w:val="231F20"/>
          <w:w w:val="99"/>
        </w:rPr>
        <w:t>n</w:t>
      </w:r>
      <w:r>
        <w:rPr>
          <w:color w:val="231F20"/>
          <w:spacing w:val="10"/>
        </w:rPr>
        <w:t xml:space="preserve"> </w:t>
      </w:r>
      <w:r>
        <w:rPr>
          <w:color w:val="231F20"/>
          <w:spacing w:val="-10"/>
          <w:w w:val="112"/>
        </w:rPr>
        <w:t>T</w:t>
      </w:r>
      <w:r>
        <w:rPr>
          <w:color w:val="231F20"/>
          <w:spacing w:val="1"/>
          <w:w w:val="94"/>
        </w:rPr>
        <w:t>r</w:t>
      </w:r>
      <w:r>
        <w:rPr>
          <w:color w:val="231F20"/>
        </w:rPr>
        <w:t>i</w:t>
      </w:r>
      <w:r>
        <w:rPr>
          <w:color w:val="231F20"/>
          <w:spacing w:val="2"/>
          <w:w w:val="102"/>
        </w:rPr>
        <w:t>a</w:t>
      </w:r>
      <w:r>
        <w:rPr>
          <w:color w:val="231F20"/>
          <w:w w:val="102"/>
        </w:rPr>
        <w:t>l</w:t>
      </w:r>
      <w:r>
        <w:rPr>
          <w:color w:val="231F20"/>
          <w:spacing w:val="-14"/>
          <w:w w:val="135"/>
        </w:rPr>
        <w:t>.</w:t>
      </w:r>
      <w:r>
        <w:rPr>
          <w:color w:val="231F20"/>
          <w:w w:val="148"/>
        </w:rPr>
        <w:t>”</w:t>
      </w:r>
      <w:r>
        <w:rPr>
          <w:color w:val="231F20"/>
          <w:spacing w:val="10"/>
        </w:rPr>
        <w:t xml:space="preserve"> </w:t>
      </w:r>
      <w:r>
        <w:rPr>
          <w:color w:val="231F20"/>
          <w:spacing w:val="1"/>
          <w:w w:val="117"/>
        </w:rPr>
        <w:t>D</w:t>
      </w:r>
      <w:r>
        <w:rPr>
          <w:color w:val="231F20"/>
          <w:spacing w:val="1"/>
          <w:w w:val="91"/>
        </w:rPr>
        <w:t>e</w:t>
      </w:r>
      <w:r>
        <w:rPr>
          <w:color w:val="231F20"/>
          <w:spacing w:val="1"/>
        </w:rPr>
        <w:t>c</w:t>
      </w:r>
      <w:r>
        <w:rPr>
          <w:color w:val="231F20"/>
          <w:w w:val="91"/>
        </w:rPr>
        <w:t>e</w:t>
      </w:r>
      <w:r>
        <w:rPr>
          <w:color w:val="231F20"/>
          <w:spacing w:val="-1"/>
          <w:w w:val="99"/>
        </w:rPr>
        <w:t>m</w:t>
      </w:r>
      <w:r>
        <w:rPr>
          <w:color w:val="231F20"/>
          <w:spacing w:val="1"/>
          <w:w w:val="101"/>
        </w:rPr>
        <w:t>b</w:t>
      </w:r>
      <w:r>
        <w:rPr>
          <w:color w:val="231F20"/>
          <w:w w:val="92"/>
        </w:rPr>
        <w:t>er</w:t>
      </w:r>
      <w:r>
        <w:rPr>
          <w:color w:val="231F20"/>
          <w:spacing w:val="11"/>
        </w:rPr>
        <w:t xml:space="preserve"> </w:t>
      </w:r>
      <w:r>
        <w:rPr>
          <w:color w:val="231F20"/>
          <w:spacing w:val="-3"/>
        </w:rPr>
        <w:t>9</w:t>
      </w:r>
      <w:r>
        <w:rPr>
          <w:color w:val="231F20"/>
          <w:w w:val="135"/>
        </w:rPr>
        <w:t>,</w:t>
      </w:r>
      <w:r>
        <w:rPr>
          <w:color w:val="231F20"/>
          <w:spacing w:val="10"/>
        </w:rPr>
        <w:t xml:space="preserve"> </w:t>
      </w:r>
      <w:r>
        <w:rPr>
          <w:color w:val="231F20"/>
          <w:spacing w:val="-10"/>
        </w:rPr>
        <w:t>1</w:t>
      </w:r>
      <w:r>
        <w:rPr>
          <w:color w:val="231F20"/>
          <w:spacing w:val="-1"/>
        </w:rPr>
        <w:t>9</w:t>
      </w:r>
      <w:r>
        <w:rPr>
          <w:color w:val="231F20"/>
          <w:spacing w:val="-16"/>
        </w:rPr>
        <w:t>7</w:t>
      </w:r>
      <w:r>
        <w:rPr>
          <w:color w:val="231F20"/>
          <w:spacing w:val="-1"/>
        </w:rPr>
        <w:t>4</w:t>
      </w:r>
      <w:r>
        <w:rPr>
          <w:color w:val="231F20"/>
          <w:w w:val="135"/>
        </w:rPr>
        <w:t>.</w:t>
      </w:r>
      <w:r>
        <w:rPr>
          <w:color w:val="231F20"/>
          <w:spacing w:val="10"/>
        </w:rPr>
        <w:t xml:space="preserve"> </w:t>
      </w:r>
      <w:r>
        <w:rPr>
          <w:color w:val="231F20"/>
          <w:spacing w:val="-2"/>
        </w:rPr>
        <w:t>h</w:t>
      </w:r>
      <w:r>
        <w:rPr>
          <w:color w:val="231F20"/>
          <w:spacing w:val="5"/>
          <w:w w:val="98"/>
        </w:rPr>
        <w:t>t</w:t>
      </w:r>
      <w:r>
        <w:rPr>
          <w:color w:val="231F20"/>
          <w:spacing w:val="3"/>
          <w:w w:val="98"/>
        </w:rPr>
        <w:t>t</w:t>
      </w:r>
      <w:r>
        <w:rPr>
          <w:color w:val="231F20"/>
          <w:spacing w:val="-1"/>
          <w:w w:val="99"/>
        </w:rPr>
        <w:t>p</w:t>
      </w:r>
      <w:r>
        <w:rPr>
          <w:color w:val="231F20"/>
          <w:spacing w:val="5"/>
          <w:w w:val="105"/>
        </w:rPr>
        <w:t>:</w:t>
      </w:r>
      <w:r>
        <w:rPr>
          <w:color w:val="231F20"/>
          <w:spacing w:val="-3"/>
          <w:w w:val="56"/>
        </w:rPr>
        <w:t>/</w:t>
      </w:r>
      <w:r>
        <w:rPr>
          <w:color w:val="231F20"/>
          <w:spacing w:val="1"/>
          <w:w w:val="56"/>
        </w:rPr>
        <w:t>/</w:t>
      </w:r>
      <w:r>
        <w:rPr>
          <w:color w:val="231F20"/>
          <w:spacing w:val="6"/>
        </w:rPr>
        <w:t>ww</w:t>
      </w:r>
      <w:r>
        <w:rPr>
          <w:color w:val="231F20"/>
          <w:spacing w:val="-12"/>
        </w:rPr>
        <w:t>w</w:t>
      </w:r>
      <w:r>
        <w:rPr>
          <w:color w:val="231F20"/>
          <w:spacing w:val="-2"/>
          <w:w w:val="135"/>
        </w:rPr>
        <w:t>.</w:t>
      </w:r>
      <w:r>
        <w:rPr>
          <w:color w:val="231F20"/>
          <w:spacing w:val="2"/>
          <w:w w:val="98"/>
        </w:rPr>
        <w:t>t</w:t>
      </w:r>
      <w:r>
        <w:rPr>
          <w:color w:val="231F20"/>
          <w:spacing w:val="3"/>
        </w:rPr>
        <w:t>i</w:t>
      </w:r>
      <w:r>
        <w:rPr>
          <w:color w:val="231F20"/>
          <w:w w:val="96"/>
        </w:rPr>
        <w:t>me</w:t>
      </w:r>
      <w:r>
        <w:rPr>
          <w:color w:val="231F20"/>
          <w:w w:val="135"/>
        </w:rPr>
        <w:t xml:space="preserve">. </w:t>
      </w:r>
      <w:r>
        <w:rPr>
          <w:color w:val="231F20"/>
        </w:rPr>
        <w:t>c</w:t>
      </w:r>
      <w:r>
        <w:rPr>
          <w:color w:val="231F20"/>
          <w:spacing w:val="-1"/>
          <w:w w:val="104"/>
        </w:rPr>
        <w:t>o</w:t>
      </w:r>
      <w:r>
        <w:rPr>
          <w:color w:val="231F20"/>
          <w:spacing w:val="10"/>
          <w:w w:val="99"/>
        </w:rPr>
        <w:t>m</w:t>
      </w:r>
      <w:r>
        <w:rPr>
          <w:color w:val="231F20"/>
          <w:w w:val="56"/>
        </w:rPr>
        <w:t>/</w:t>
      </w:r>
      <w:r>
        <w:rPr>
          <w:color w:val="231F20"/>
          <w:spacing w:val="2"/>
          <w:w w:val="98"/>
        </w:rPr>
        <w:t>t</w:t>
      </w:r>
      <w:r>
        <w:rPr>
          <w:color w:val="231F20"/>
          <w:spacing w:val="3"/>
        </w:rPr>
        <w:t>i</w:t>
      </w:r>
      <w:r>
        <w:rPr>
          <w:color w:val="231F20"/>
          <w:w w:val="99"/>
        </w:rPr>
        <w:t>m</w:t>
      </w:r>
      <w:r>
        <w:rPr>
          <w:color w:val="231F20"/>
          <w:spacing w:val="5"/>
          <w:w w:val="73"/>
        </w:rPr>
        <w:t>e</w:t>
      </w:r>
      <w:r>
        <w:rPr>
          <w:color w:val="231F20"/>
          <w:spacing w:val="-1"/>
          <w:w w:val="73"/>
        </w:rPr>
        <w:t>/</w:t>
      </w:r>
      <w:r>
        <w:rPr>
          <w:color w:val="231F20"/>
          <w:spacing w:val="1"/>
          <w:w w:val="99"/>
        </w:rPr>
        <w:t>m</w:t>
      </w:r>
      <w:r>
        <w:rPr>
          <w:color w:val="231F20"/>
          <w:w w:val="102"/>
        </w:rPr>
        <w:t>a</w:t>
      </w:r>
      <w:r>
        <w:rPr>
          <w:color w:val="231F20"/>
          <w:w w:val="101"/>
        </w:rPr>
        <w:t>g</w:t>
      </w:r>
      <w:r>
        <w:rPr>
          <w:color w:val="231F20"/>
          <w:spacing w:val="2"/>
          <w:w w:val="102"/>
        </w:rPr>
        <w:t>a</w:t>
      </w:r>
      <w:r>
        <w:rPr>
          <w:color w:val="231F20"/>
          <w:spacing w:val="1"/>
          <w:w w:val="97"/>
        </w:rPr>
        <w:t>z</w:t>
      </w:r>
      <w:r>
        <w:rPr>
          <w:color w:val="231F20"/>
          <w:spacing w:val="2"/>
        </w:rPr>
        <w:t>i</w:t>
      </w:r>
      <w:r>
        <w:rPr>
          <w:color w:val="231F20"/>
          <w:spacing w:val="-1"/>
          <w:w w:val="99"/>
        </w:rPr>
        <w:t>n</w:t>
      </w:r>
      <w:r>
        <w:rPr>
          <w:color w:val="231F20"/>
          <w:spacing w:val="5"/>
          <w:w w:val="73"/>
        </w:rPr>
        <w:t>e</w:t>
      </w:r>
      <w:r>
        <w:rPr>
          <w:color w:val="231F20"/>
          <w:spacing w:val="-5"/>
          <w:w w:val="73"/>
        </w:rPr>
        <w:t>/</w:t>
      </w:r>
      <w:r>
        <w:rPr>
          <w:color w:val="231F20"/>
          <w:spacing w:val="3"/>
          <w:w w:val="102"/>
        </w:rPr>
        <w:t>a</w:t>
      </w:r>
      <w:r>
        <w:rPr>
          <w:color w:val="231F20"/>
          <w:spacing w:val="5"/>
          <w:w w:val="94"/>
        </w:rPr>
        <w:t>r</w:t>
      </w:r>
      <w:r>
        <w:rPr>
          <w:color w:val="231F20"/>
          <w:spacing w:val="2"/>
          <w:w w:val="98"/>
        </w:rPr>
        <w:t>t</w:t>
      </w:r>
      <w:r>
        <w:rPr>
          <w:color w:val="231F20"/>
        </w:rPr>
        <w:t>ic</w:t>
      </w:r>
      <w:r>
        <w:rPr>
          <w:color w:val="231F20"/>
          <w:spacing w:val="-1"/>
          <w:w w:val="102"/>
        </w:rPr>
        <w:t>l</w:t>
      </w:r>
      <w:r>
        <w:rPr>
          <w:color w:val="231F20"/>
          <w:spacing w:val="5"/>
          <w:w w:val="73"/>
        </w:rPr>
        <w:t>e</w:t>
      </w:r>
      <w:r>
        <w:rPr>
          <w:color w:val="231F20"/>
          <w:spacing w:val="-4"/>
          <w:w w:val="73"/>
        </w:rPr>
        <w:t>/</w:t>
      </w:r>
      <w:r>
        <w:rPr>
          <w:color w:val="231F20"/>
        </w:rPr>
        <w:t>0</w:t>
      </w:r>
      <w:r>
        <w:rPr>
          <w:color w:val="231F20"/>
          <w:spacing w:val="-6"/>
          <w:w w:val="135"/>
        </w:rPr>
        <w:t>,</w:t>
      </w:r>
      <w:r>
        <w:rPr>
          <w:color w:val="231F20"/>
          <w:spacing w:val="-11"/>
        </w:rPr>
        <w:t>9</w:t>
      </w:r>
      <w:r>
        <w:rPr>
          <w:color w:val="231F20"/>
          <w:spacing w:val="-5"/>
        </w:rPr>
        <w:t>1</w:t>
      </w:r>
      <w:r>
        <w:rPr>
          <w:color w:val="231F20"/>
          <w:spacing w:val="-2"/>
        </w:rPr>
        <w:t>7</w:t>
      </w:r>
      <w:r>
        <w:rPr>
          <w:color w:val="231F20"/>
          <w:spacing w:val="-3"/>
        </w:rPr>
        <w:t>1</w:t>
      </w:r>
      <w:r>
        <w:rPr>
          <w:color w:val="231F20"/>
          <w:spacing w:val="-6"/>
          <w:w w:val="135"/>
        </w:rPr>
        <w:t>,</w:t>
      </w:r>
      <w:r>
        <w:rPr>
          <w:color w:val="231F20"/>
        </w:rPr>
        <w:t>9</w:t>
      </w:r>
      <w:r>
        <w:rPr>
          <w:color w:val="231F20"/>
          <w:spacing w:val="-1"/>
        </w:rPr>
        <w:t>0</w:t>
      </w:r>
      <w:r>
        <w:rPr>
          <w:color w:val="231F20"/>
          <w:spacing w:val="-3"/>
        </w:rPr>
        <w:t>89</w:t>
      </w:r>
      <w:r>
        <w:rPr>
          <w:color w:val="231F20"/>
          <w:spacing w:val="-2"/>
        </w:rPr>
        <w:t>6</w:t>
      </w:r>
      <w:r>
        <w:rPr>
          <w:color w:val="231F20"/>
          <w:spacing w:val="-3"/>
        </w:rPr>
        <w:t>8</w:t>
      </w:r>
      <w:r>
        <w:rPr>
          <w:color w:val="231F20"/>
          <w:spacing w:val="-1"/>
          <w:w w:val="135"/>
        </w:rPr>
        <w:t>,</w:t>
      </w:r>
      <w:r>
        <w:rPr>
          <w:color w:val="231F20"/>
          <w:spacing w:val="5"/>
        </w:rPr>
        <w:t>0</w:t>
      </w:r>
      <w:r>
        <w:rPr>
          <w:color w:val="231F20"/>
          <w:spacing w:val="-3"/>
        </w:rPr>
        <w:t>0</w:t>
      </w:r>
      <w:r>
        <w:rPr>
          <w:color w:val="231F20"/>
          <w:w w:val="135"/>
        </w:rPr>
        <w:t>.</w:t>
      </w:r>
      <w:r>
        <w:rPr>
          <w:color w:val="231F20"/>
          <w:spacing w:val="-2"/>
          <w:w w:val="99"/>
        </w:rPr>
        <w:t>h</w:t>
      </w:r>
      <w:r>
        <w:rPr>
          <w:color w:val="231F20"/>
          <w:spacing w:val="3"/>
          <w:w w:val="99"/>
        </w:rPr>
        <w:t>tm</w:t>
      </w:r>
      <w:r>
        <w:rPr>
          <w:color w:val="231F20"/>
          <w:w w:val="102"/>
        </w:rPr>
        <w:t>l</w:t>
      </w:r>
      <w:r>
        <w:rPr>
          <w:color w:val="231F20"/>
          <w:w w:val="135"/>
        </w:rPr>
        <w:t>.</w:t>
      </w:r>
    </w:p>
    <w:p w14:paraId="02B345D9" w14:textId="77777777" w:rsidR="002653E8" w:rsidRDefault="003115E3">
      <w:pPr>
        <w:pStyle w:val="a3"/>
        <w:spacing w:before="161" w:line="244" w:lineRule="auto"/>
        <w:ind w:left="2462" w:right="1145" w:hanging="1134"/>
      </w:pPr>
      <w:r>
        <w:rPr>
          <w:i/>
          <w:color w:val="231F20"/>
          <w:w w:val="105"/>
        </w:rPr>
        <w:t>---------</w:t>
      </w:r>
      <w:r>
        <w:rPr>
          <w:color w:val="231F20"/>
          <w:w w:val="105"/>
        </w:rPr>
        <w:t xml:space="preserve">“Kidnaping in Vienna, Murder in Athens.” January 5, 1976 </w:t>
      </w:r>
      <w:hyperlink r:id="rId625">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r>
          <w:rPr>
            <w:color w:val="231F20"/>
            <w:w w:val="98"/>
          </w:rPr>
          <w:t>t</w:t>
        </w:r>
        <w:r>
          <w:rPr>
            <w:color w:val="231F20"/>
          </w:rPr>
          <w:t>i</w:t>
        </w:r>
        <w:r>
          <w:rPr>
            <w:color w:val="231F20"/>
            <w:w w:val="99"/>
          </w:rPr>
          <w:t>m</w:t>
        </w:r>
        <w:r>
          <w:rPr>
            <w:color w:val="231F20"/>
            <w:w w:val="103"/>
          </w:rPr>
          <w:t>e.co</w:t>
        </w:r>
        <w:r>
          <w:rPr>
            <w:color w:val="231F20"/>
            <w:w w:val="99"/>
          </w:rPr>
          <w:t>m</w:t>
        </w:r>
        <w:r>
          <w:rPr>
            <w:color w:val="231F20"/>
            <w:w w:val="56"/>
          </w:rPr>
          <w:t>/</w:t>
        </w:r>
        <w:r>
          <w:rPr>
            <w:color w:val="231F20"/>
            <w:w w:val="98"/>
          </w:rPr>
          <w:t>t</w:t>
        </w:r>
        <w:r>
          <w:rPr>
            <w:color w:val="231F20"/>
          </w:rPr>
          <w:t>i</w:t>
        </w:r>
        <w:r>
          <w:rPr>
            <w:color w:val="231F20"/>
            <w:w w:val="96"/>
          </w:rPr>
          <w:t>me</w:t>
        </w:r>
        <w:r>
          <w:rPr>
            <w:color w:val="231F20"/>
            <w:w w:val="56"/>
          </w:rPr>
          <w:t>/</w:t>
        </w:r>
        <w:r>
          <w:rPr>
            <w:color w:val="231F20"/>
            <w:w w:val="99"/>
          </w:rPr>
          <w:t>m</w:t>
        </w:r>
        <w:r>
          <w:rPr>
            <w:color w:val="231F20"/>
            <w:w w:val="101"/>
          </w:rPr>
          <w:t>ag</w:t>
        </w:r>
        <w:r>
          <w:rPr>
            <w:color w:val="231F20"/>
            <w:w w:val="102"/>
          </w:rPr>
          <w:t>a</w:t>
        </w:r>
        <w:r>
          <w:rPr>
            <w:color w:val="231F20"/>
            <w:w w:val="97"/>
          </w:rPr>
          <w:t>z</w:t>
        </w:r>
        <w:r>
          <w:rPr>
            <w:color w:val="231F20"/>
          </w:rPr>
          <w:t>i</w:t>
        </w:r>
        <w:r>
          <w:rPr>
            <w:color w:val="231F20"/>
            <w:w w:val="99"/>
          </w:rPr>
          <w:t>n</w:t>
        </w:r>
        <w:r>
          <w:rPr>
            <w:color w:val="231F20"/>
            <w:w w:val="91"/>
          </w:rPr>
          <w:t>e</w:t>
        </w:r>
        <w:r>
          <w:rPr>
            <w:color w:val="231F20"/>
            <w:w w:val="56"/>
          </w:rPr>
          <w:t>/</w:t>
        </w:r>
      </w:hyperlink>
      <w:r>
        <w:rPr>
          <w:color w:val="231F20"/>
          <w:w w:val="56"/>
        </w:rPr>
        <w:t xml:space="preserve"> </w:t>
      </w:r>
      <w:r>
        <w:rPr>
          <w:color w:val="231F20"/>
          <w:w w:val="102"/>
        </w:rPr>
        <w:t>a</w:t>
      </w:r>
      <w:r>
        <w:rPr>
          <w:color w:val="231F20"/>
          <w:w w:val="94"/>
        </w:rPr>
        <w:t>r</w:t>
      </w:r>
      <w:r>
        <w:rPr>
          <w:color w:val="231F20"/>
          <w:w w:val="98"/>
        </w:rPr>
        <w:t>t</w:t>
      </w:r>
      <w:r>
        <w:rPr>
          <w:color w:val="231F20"/>
        </w:rPr>
        <w:t>icl</w:t>
      </w:r>
      <w:r>
        <w:rPr>
          <w:color w:val="231F20"/>
          <w:w w:val="91"/>
        </w:rPr>
        <w:t>e</w:t>
      </w:r>
      <w:r>
        <w:rPr>
          <w:color w:val="231F20"/>
          <w:w w:val="56"/>
        </w:rPr>
        <w:t>/</w:t>
      </w:r>
      <w:r>
        <w:rPr>
          <w:color w:val="231F20"/>
        </w:rPr>
        <w:t>0</w:t>
      </w:r>
      <w:r>
        <w:rPr>
          <w:color w:val="231F20"/>
          <w:w w:val="135"/>
        </w:rPr>
        <w:t>,</w:t>
      </w:r>
      <w:r>
        <w:rPr>
          <w:color w:val="231F20"/>
        </w:rPr>
        <w:t>9171</w:t>
      </w:r>
      <w:r>
        <w:rPr>
          <w:color w:val="231F20"/>
          <w:w w:val="135"/>
        </w:rPr>
        <w:t>,</w:t>
      </w:r>
      <w:r>
        <w:rPr>
          <w:color w:val="231F20"/>
        </w:rPr>
        <w:t>947609</w:t>
      </w:r>
      <w:r>
        <w:rPr>
          <w:color w:val="231F20"/>
          <w:w w:val="135"/>
        </w:rPr>
        <w:t>,</w:t>
      </w:r>
      <w:r>
        <w:rPr>
          <w:color w:val="231F20"/>
        </w:rPr>
        <w:t>00</w:t>
      </w:r>
      <w:r>
        <w:rPr>
          <w:color w:val="231F20"/>
          <w:w w:val="135"/>
        </w:rPr>
        <w:t>.</w:t>
      </w:r>
      <w:r>
        <w:rPr>
          <w:color w:val="231F20"/>
          <w:w w:val="99"/>
        </w:rPr>
        <w:t>htm</w:t>
      </w:r>
      <w:r>
        <w:rPr>
          <w:color w:val="231F20"/>
          <w:w w:val="102"/>
        </w:rPr>
        <w:t>l</w:t>
      </w:r>
      <w:r>
        <w:rPr>
          <w:color w:val="231F20"/>
          <w:w w:val="135"/>
        </w:rPr>
        <w:t>.</w:t>
      </w:r>
    </w:p>
    <w:p w14:paraId="328B3C1F" w14:textId="77777777" w:rsidR="002653E8" w:rsidRDefault="003115E3">
      <w:pPr>
        <w:pStyle w:val="a3"/>
        <w:spacing w:before="163" w:line="244" w:lineRule="auto"/>
        <w:ind w:left="2461" w:right="1848" w:hanging="1134"/>
      </w:pPr>
      <w:r>
        <w:rPr>
          <w:i/>
          <w:color w:val="231F20"/>
          <w:w w:val="105"/>
        </w:rPr>
        <w:t>---------</w:t>
      </w:r>
      <w:r>
        <w:rPr>
          <w:color w:val="231F20"/>
          <w:w w:val="105"/>
        </w:rPr>
        <w:t xml:space="preserve">“The Lorenz Kidnaping: A Rehearsal?” March 17, </w:t>
      </w:r>
      <w:r>
        <w:rPr>
          <w:color w:val="231F20"/>
        </w:rPr>
        <w:t>1975</w:t>
      </w:r>
      <w:r>
        <w:rPr>
          <w:color w:val="231F20"/>
          <w:w w:val="135"/>
        </w:rPr>
        <w:t>.</w:t>
      </w:r>
      <w:r>
        <w:rPr>
          <w:color w:val="231F20"/>
        </w:rPr>
        <w:t xml:space="preserve"> </w:t>
      </w:r>
      <w:hyperlink r:id="rId626">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r>
          <w:rPr>
            <w:color w:val="231F20"/>
            <w:w w:val="98"/>
          </w:rPr>
          <w:t>t</w:t>
        </w:r>
        <w:r>
          <w:rPr>
            <w:color w:val="231F20"/>
          </w:rPr>
          <w:t>i</w:t>
        </w:r>
        <w:r>
          <w:rPr>
            <w:color w:val="231F20"/>
            <w:w w:val="99"/>
          </w:rPr>
          <w:t>m</w:t>
        </w:r>
        <w:r>
          <w:rPr>
            <w:color w:val="231F20"/>
            <w:w w:val="91"/>
          </w:rPr>
          <w:t>e</w:t>
        </w:r>
        <w:r>
          <w:rPr>
            <w:color w:val="231F20"/>
            <w:w w:val="135"/>
          </w:rPr>
          <w:t>.</w:t>
        </w:r>
        <w:r>
          <w:rPr>
            <w:color w:val="231F20"/>
          </w:rPr>
          <w:t>c</w:t>
        </w:r>
        <w:r>
          <w:rPr>
            <w:color w:val="231F20"/>
            <w:w w:val="104"/>
          </w:rPr>
          <w:t>o</w:t>
        </w:r>
        <w:r>
          <w:rPr>
            <w:color w:val="231F20"/>
            <w:w w:val="99"/>
          </w:rPr>
          <w:t>m</w:t>
        </w:r>
        <w:r>
          <w:rPr>
            <w:color w:val="231F20"/>
            <w:w w:val="56"/>
          </w:rPr>
          <w:t>/</w:t>
        </w:r>
        <w:r>
          <w:rPr>
            <w:color w:val="231F20"/>
            <w:w w:val="98"/>
          </w:rPr>
          <w:t>t</w:t>
        </w:r>
        <w:r>
          <w:rPr>
            <w:color w:val="231F20"/>
          </w:rPr>
          <w:t>i</w:t>
        </w:r>
        <w:r>
          <w:rPr>
            <w:color w:val="231F20"/>
            <w:w w:val="99"/>
          </w:rPr>
          <w:t>m</w:t>
        </w:r>
        <w:r>
          <w:rPr>
            <w:color w:val="231F20"/>
            <w:w w:val="91"/>
          </w:rPr>
          <w:t>e</w:t>
        </w:r>
        <w:r>
          <w:rPr>
            <w:color w:val="231F20"/>
            <w:w w:val="56"/>
          </w:rPr>
          <w:t>/</w:t>
        </w:r>
        <w:r>
          <w:rPr>
            <w:color w:val="231F20"/>
            <w:w w:val="99"/>
          </w:rPr>
          <w:t>m</w:t>
        </w:r>
        <w:r>
          <w:rPr>
            <w:color w:val="231F20"/>
            <w:w w:val="102"/>
          </w:rPr>
          <w:t>a</w:t>
        </w:r>
        <w:r>
          <w:rPr>
            <w:color w:val="231F20"/>
            <w:w w:val="101"/>
          </w:rPr>
          <w:t>g</w:t>
        </w:r>
        <w:r>
          <w:rPr>
            <w:color w:val="231F20"/>
            <w:w w:val="102"/>
          </w:rPr>
          <w:t>a</w:t>
        </w:r>
        <w:r>
          <w:rPr>
            <w:color w:val="231F20"/>
            <w:w w:val="97"/>
          </w:rPr>
          <w:t>z</w:t>
        </w:r>
        <w:r>
          <w:rPr>
            <w:color w:val="231F20"/>
          </w:rPr>
          <w:t>i</w:t>
        </w:r>
        <w:r>
          <w:rPr>
            <w:color w:val="231F20"/>
            <w:w w:val="99"/>
          </w:rPr>
          <w:t>n</w:t>
        </w:r>
        <w:r>
          <w:rPr>
            <w:color w:val="231F20"/>
            <w:w w:val="91"/>
          </w:rPr>
          <w:t>e</w:t>
        </w:r>
        <w:r>
          <w:rPr>
            <w:color w:val="231F20"/>
            <w:w w:val="56"/>
          </w:rPr>
          <w:t>/</w:t>
        </w:r>
      </w:hyperlink>
      <w:r>
        <w:rPr>
          <w:color w:val="231F20"/>
          <w:w w:val="56"/>
        </w:rPr>
        <w:t xml:space="preserve"> </w:t>
      </w:r>
      <w:r>
        <w:rPr>
          <w:color w:val="231F20"/>
          <w:w w:val="102"/>
        </w:rPr>
        <w:t>a</w:t>
      </w:r>
      <w:r>
        <w:rPr>
          <w:color w:val="231F20"/>
          <w:w w:val="94"/>
        </w:rPr>
        <w:t>r</w:t>
      </w:r>
      <w:r>
        <w:rPr>
          <w:color w:val="231F20"/>
          <w:w w:val="98"/>
        </w:rPr>
        <w:t>t</w:t>
      </w:r>
      <w:r>
        <w:rPr>
          <w:color w:val="231F20"/>
        </w:rPr>
        <w:t>icl</w:t>
      </w:r>
      <w:r>
        <w:rPr>
          <w:color w:val="231F20"/>
          <w:w w:val="91"/>
        </w:rPr>
        <w:t>e</w:t>
      </w:r>
      <w:r>
        <w:rPr>
          <w:color w:val="231F20"/>
          <w:w w:val="56"/>
        </w:rPr>
        <w:t>/</w:t>
      </w:r>
      <w:r>
        <w:rPr>
          <w:color w:val="231F20"/>
        </w:rPr>
        <w:t>0</w:t>
      </w:r>
      <w:r>
        <w:rPr>
          <w:color w:val="231F20"/>
          <w:w w:val="135"/>
        </w:rPr>
        <w:t>,</w:t>
      </w:r>
      <w:r>
        <w:rPr>
          <w:color w:val="231F20"/>
        </w:rPr>
        <w:t>9171</w:t>
      </w:r>
      <w:r>
        <w:rPr>
          <w:color w:val="231F20"/>
          <w:w w:val="135"/>
        </w:rPr>
        <w:t>,</w:t>
      </w:r>
      <w:r>
        <w:rPr>
          <w:color w:val="231F20"/>
        </w:rPr>
        <w:t>912980</w:t>
      </w:r>
      <w:r>
        <w:rPr>
          <w:color w:val="231F20"/>
          <w:w w:val="135"/>
        </w:rPr>
        <w:t>,</w:t>
      </w:r>
      <w:r>
        <w:rPr>
          <w:color w:val="231F20"/>
        </w:rPr>
        <w:t>00</w:t>
      </w:r>
      <w:r>
        <w:rPr>
          <w:color w:val="231F20"/>
          <w:w w:val="135"/>
        </w:rPr>
        <w:t>.</w:t>
      </w:r>
      <w:r>
        <w:rPr>
          <w:color w:val="231F20"/>
          <w:w w:val="99"/>
        </w:rPr>
        <w:t>htm</w:t>
      </w:r>
      <w:r>
        <w:rPr>
          <w:color w:val="231F20"/>
          <w:w w:val="102"/>
        </w:rPr>
        <w:t>l</w:t>
      </w:r>
    </w:p>
    <w:p w14:paraId="228E4423" w14:textId="77777777" w:rsidR="002653E8" w:rsidRDefault="003115E3">
      <w:pPr>
        <w:pStyle w:val="a3"/>
        <w:spacing w:before="162" w:line="244" w:lineRule="auto"/>
        <w:ind w:left="2461" w:right="1145" w:hanging="1134"/>
      </w:pPr>
      <w:r>
        <w:rPr>
          <w:i/>
          <w:color w:val="231F20"/>
        </w:rPr>
        <w:t>---------</w:t>
      </w:r>
      <w:r>
        <w:rPr>
          <w:color w:val="231F20"/>
        </w:rPr>
        <w:t xml:space="preserve">“Return of Black September.” November 13, 1972. http:// </w:t>
      </w:r>
      <w:hyperlink r:id="rId627">
        <w:r>
          <w:rPr>
            <w:color w:val="231F20"/>
          </w:rPr>
          <w:t>www</w:t>
        </w:r>
        <w:r>
          <w:rPr>
            <w:color w:val="231F20"/>
            <w:w w:val="135"/>
          </w:rPr>
          <w:t>.</w:t>
        </w:r>
        <w:r>
          <w:rPr>
            <w:color w:val="231F20"/>
            <w:w w:val="98"/>
          </w:rPr>
          <w:t>t</w:t>
        </w:r>
        <w:r>
          <w:rPr>
            <w:color w:val="231F20"/>
          </w:rPr>
          <w:t>i</w:t>
        </w:r>
        <w:r>
          <w:rPr>
            <w:color w:val="231F20"/>
            <w:w w:val="99"/>
          </w:rPr>
          <w:t>m</w:t>
        </w:r>
        <w:r>
          <w:rPr>
            <w:color w:val="231F20"/>
            <w:w w:val="103"/>
          </w:rPr>
          <w:t>e.co</w:t>
        </w:r>
        <w:r>
          <w:rPr>
            <w:color w:val="231F20"/>
            <w:w w:val="99"/>
          </w:rPr>
          <w:t>m</w:t>
        </w:r>
        <w:r>
          <w:rPr>
            <w:color w:val="231F20"/>
            <w:w w:val="56"/>
          </w:rPr>
          <w:t>/</w:t>
        </w:r>
        <w:r>
          <w:rPr>
            <w:color w:val="231F20"/>
            <w:w w:val="98"/>
          </w:rPr>
          <w:t>t</w:t>
        </w:r>
        <w:r>
          <w:rPr>
            <w:color w:val="231F20"/>
          </w:rPr>
          <w:t>i</w:t>
        </w:r>
        <w:r>
          <w:rPr>
            <w:color w:val="231F20"/>
            <w:w w:val="99"/>
          </w:rPr>
          <w:t>m</w:t>
        </w:r>
        <w:r>
          <w:rPr>
            <w:color w:val="231F20"/>
            <w:w w:val="91"/>
          </w:rPr>
          <w:t>e</w:t>
        </w:r>
        <w:r>
          <w:rPr>
            <w:color w:val="231F20"/>
            <w:w w:val="56"/>
          </w:rPr>
          <w:t>/</w:t>
        </w:r>
        <w:r>
          <w:rPr>
            <w:color w:val="231F20"/>
            <w:w w:val="99"/>
          </w:rPr>
          <w:t>m</w:t>
        </w:r>
        <w:r>
          <w:rPr>
            <w:color w:val="231F20"/>
            <w:w w:val="101"/>
          </w:rPr>
          <w:t>ag</w:t>
        </w:r>
        <w:r>
          <w:rPr>
            <w:color w:val="231F20"/>
            <w:w w:val="102"/>
          </w:rPr>
          <w:t>a</w:t>
        </w:r>
        <w:r>
          <w:rPr>
            <w:color w:val="231F20"/>
            <w:w w:val="97"/>
          </w:rPr>
          <w:t>z</w:t>
        </w:r>
        <w:r>
          <w:rPr>
            <w:color w:val="231F20"/>
          </w:rPr>
          <w:t>i</w:t>
        </w:r>
        <w:r>
          <w:rPr>
            <w:color w:val="231F20"/>
            <w:w w:val="99"/>
          </w:rPr>
          <w:t>n</w:t>
        </w:r>
        <w:r>
          <w:rPr>
            <w:color w:val="231F20"/>
            <w:w w:val="91"/>
          </w:rPr>
          <w:t>e</w:t>
        </w:r>
        <w:r>
          <w:rPr>
            <w:color w:val="231F20"/>
            <w:w w:val="56"/>
          </w:rPr>
          <w:t>/</w:t>
        </w:r>
        <w:r>
          <w:rPr>
            <w:color w:val="231F20"/>
            <w:w w:val="102"/>
          </w:rPr>
          <w:t>a</w:t>
        </w:r>
        <w:r>
          <w:rPr>
            <w:color w:val="231F20"/>
            <w:w w:val="94"/>
          </w:rPr>
          <w:t>r</w:t>
        </w:r>
        <w:r>
          <w:rPr>
            <w:color w:val="231F20"/>
            <w:w w:val="98"/>
          </w:rPr>
          <w:t>t</w:t>
        </w:r>
        <w:r>
          <w:rPr>
            <w:color w:val="231F20"/>
          </w:rPr>
          <w:t>ic</w:t>
        </w:r>
        <w:r>
          <w:rPr>
            <w:color w:val="231F20"/>
            <w:w w:val="102"/>
          </w:rPr>
          <w:t>l</w:t>
        </w:r>
        <w:r>
          <w:rPr>
            <w:color w:val="231F20"/>
            <w:w w:val="91"/>
          </w:rPr>
          <w:t>e</w:t>
        </w:r>
        <w:r>
          <w:rPr>
            <w:color w:val="231F20"/>
            <w:w w:val="56"/>
          </w:rPr>
          <w:t>/</w:t>
        </w:r>
        <w:r>
          <w:rPr>
            <w:color w:val="231F20"/>
          </w:rPr>
          <w:t>0</w:t>
        </w:r>
        <w:r>
          <w:rPr>
            <w:color w:val="231F20"/>
            <w:w w:val="135"/>
          </w:rPr>
          <w:t>,</w:t>
        </w:r>
        <w:r>
          <w:rPr>
            <w:color w:val="231F20"/>
          </w:rPr>
          <w:t>9171</w:t>
        </w:r>
        <w:r>
          <w:rPr>
            <w:color w:val="231F20"/>
            <w:w w:val="135"/>
          </w:rPr>
          <w:t>,</w:t>
        </w:r>
        <w:r>
          <w:rPr>
            <w:color w:val="231F20"/>
          </w:rPr>
          <w:t>910445</w:t>
        </w:r>
        <w:r>
          <w:rPr>
            <w:color w:val="231F20"/>
            <w:w w:val="135"/>
          </w:rPr>
          <w:t>,</w:t>
        </w:r>
        <w:r>
          <w:rPr>
            <w:color w:val="231F20"/>
          </w:rPr>
          <w:t>00</w:t>
        </w:r>
        <w:r>
          <w:rPr>
            <w:color w:val="231F20"/>
            <w:w w:val="135"/>
          </w:rPr>
          <w:t>.</w:t>
        </w:r>
      </w:hyperlink>
      <w:r>
        <w:rPr>
          <w:color w:val="231F20"/>
          <w:w w:val="135"/>
        </w:rPr>
        <w:t xml:space="preserve"> </w:t>
      </w:r>
      <w:r>
        <w:rPr>
          <w:color w:val="231F20"/>
        </w:rPr>
        <w:t>html</w:t>
      </w:r>
    </w:p>
    <w:p w14:paraId="46D8B926" w14:textId="77777777" w:rsidR="002653E8" w:rsidRDefault="003115E3">
      <w:pPr>
        <w:pStyle w:val="a3"/>
        <w:spacing w:before="163" w:line="244" w:lineRule="auto"/>
        <w:ind w:left="2461" w:hanging="1135"/>
      </w:pPr>
      <w:r>
        <w:rPr>
          <w:color w:val="231F20"/>
        </w:rPr>
        <w:t xml:space="preserve">Tolmein, Oliver. </w:t>
      </w:r>
      <w:r w:rsidRPr="00846956">
        <w:rPr>
          <w:color w:val="231F20"/>
          <w:lang w:val="de-DE"/>
        </w:rPr>
        <w:t xml:space="preserve">“Beharren: Freundfeind.” </w:t>
      </w:r>
      <w:r w:rsidRPr="00846956">
        <w:rPr>
          <w:i/>
          <w:color w:val="231F20"/>
          <w:lang w:val="de-DE"/>
        </w:rPr>
        <w:t xml:space="preserve">Freitag </w:t>
      </w:r>
      <w:r w:rsidRPr="00846956">
        <w:rPr>
          <w:color w:val="231F20"/>
          <w:lang w:val="de-DE"/>
        </w:rPr>
        <w:t xml:space="preserve">17, April 19, 2002. </w:t>
      </w:r>
      <w:hyperlink r:id="rId628">
        <w:r>
          <w:rPr>
            <w:color w:val="231F20"/>
          </w:rPr>
          <w:t>h</w:t>
        </w:r>
        <w:r>
          <w:rPr>
            <w:color w:val="231F20"/>
            <w:w w:val="98"/>
          </w:rPr>
          <w:t>tt</w:t>
        </w:r>
        <w:r>
          <w:rPr>
            <w:color w:val="231F20"/>
            <w:w w:val="99"/>
          </w:rPr>
          <w:t>p</w:t>
        </w:r>
        <w:r>
          <w:rPr>
            <w:color w:val="231F20"/>
            <w:w w:val="105"/>
          </w:rPr>
          <w:t>:</w:t>
        </w:r>
        <w:r>
          <w:rPr>
            <w:color w:val="231F20"/>
            <w:w w:val="56"/>
          </w:rPr>
          <w:t>//</w:t>
        </w:r>
        <w:r>
          <w:rPr>
            <w:color w:val="231F20"/>
          </w:rPr>
          <w:t>www</w:t>
        </w:r>
        <w:r>
          <w:rPr>
            <w:color w:val="231F20"/>
            <w:w w:val="135"/>
          </w:rPr>
          <w:t>.</w:t>
        </w:r>
        <w:r>
          <w:rPr>
            <w:color w:val="231F20"/>
            <w:w w:val="109"/>
          </w:rPr>
          <w:t>f</w:t>
        </w:r>
        <w:r>
          <w:rPr>
            <w:color w:val="231F20"/>
            <w:w w:val="94"/>
          </w:rPr>
          <w:t>rei</w:t>
        </w:r>
        <w:r>
          <w:rPr>
            <w:color w:val="231F20"/>
            <w:w w:val="98"/>
          </w:rPr>
          <w:t>t</w:t>
        </w:r>
        <w:r>
          <w:rPr>
            <w:color w:val="231F20"/>
            <w:w w:val="102"/>
          </w:rPr>
          <w:t>a</w:t>
        </w:r>
        <w:r>
          <w:rPr>
            <w:color w:val="231F20"/>
            <w:w w:val="101"/>
          </w:rPr>
          <w:t>g</w:t>
        </w:r>
        <w:r>
          <w:rPr>
            <w:color w:val="231F20"/>
            <w:w w:val="135"/>
          </w:rPr>
          <w:t>.</w:t>
        </w:r>
        <w:r>
          <w:rPr>
            <w:color w:val="231F20"/>
          </w:rPr>
          <w:t>d</w:t>
        </w:r>
        <w:r>
          <w:rPr>
            <w:color w:val="231F20"/>
            <w:w w:val="91"/>
          </w:rPr>
          <w:t>e</w:t>
        </w:r>
        <w:r>
          <w:rPr>
            <w:color w:val="231F20"/>
            <w:w w:val="56"/>
          </w:rPr>
          <w:t>/</w:t>
        </w:r>
        <w:r>
          <w:rPr>
            <w:color w:val="231F20"/>
          </w:rPr>
          <w:t>2002</w:t>
        </w:r>
        <w:r>
          <w:rPr>
            <w:color w:val="231F20"/>
            <w:w w:val="56"/>
          </w:rPr>
          <w:t>/</w:t>
        </w:r>
        <w:r>
          <w:rPr>
            <w:color w:val="231F20"/>
          </w:rPr>
          <w:t>17</w:t>
        </w:r>
        <w:r>
          <w:rPr>
            <w:color w:val="231F20"/>
            <w:w w:val="56"/>
          </w:rPr>
          <w:t>/</w:t>
        </w:r>
        <w:r>
          <w:rPr>
            <w:color w:val="231F20"/>
          </w:rPr>
          <w:t>02170125</w:t>
        </w:r>
        <w:r>
          <w:rPr>
            <w:color w:val="231F20"/>
            <w:w w:val="109"/>
          </w:rPr>
          <w:t>.p</w:t>
        </w:r>
        <w:r>
          <w:rPr>
            <w:color w:val="231F20"/>
          </w:rPr>
          <w:t>hp</w:t>
        </w:r>
        <w:r>
          <w:rPr>
            <w:color w:val="231F20"/>
            <w:w w:val="135"/>
          </w:rPr>
          <w:t>.</w:t>
        </w:r>
      </w:hyperlink>
    </w:p>
    <w:p w14:paraId="0343B6C2" w14:textId="77777777" w:rsidR="002653E8" w:rsidRDefault="003115E3">
      <w:pPr>
        <w:spacing w:before="162" w:line="244" w:lineRule="auto"/>
        <w:ind w:left="2461" w:right="1078" w:hanging="1134"/>
        <w:rPr>
          <w:sz w:val="20"/>
        </w:rPr>
      </w:pPr>
      <w:r>
        <w:rPr>
          <w:color w:val="231F20"/>
          <w:w w:val="105"/>
          <w:sz w:val="20"/>
        </w:rPr>
        <w:t xml:space="preserve">United Press International. </w:t>
      </w:r>
      <w:r>
        <w:rPr>
          <w:color w:val="231F20"/>
          <w:spacing w:val="-14"/>
          <w:w w:val="105"/>
          <w:sz w:val="20"/>
        </w:rPr>
        <w:t xml:space="preserve">“4 </w:t>
      </w:r>
      <w:r>
        <w:rPr>
          <w:color w:val="231F20"/>
          <w:spacing w:val="-7"/>
          <w:w w:val="105"/>
          <w:sz w:val="20"/>
        </w:rPr>
        <w:t xml:space="preserve">W. </w:t>
      </w:r>
      <w:r>
        <w:rPr>
          <w:color w:val="231F20"/>
          <w:w w:val="105"/>
          <w:sz w:val="20"/>
        </w:rPr>
        <w:t xml:space="preserve">German Terrorists Arrested.” </w:t>
      </w:r>
      <w:r>
        <w:rPr>
          <w:i/>
          <w:color w:val="231F20"/>
          <w:w w:val="105"/>
          <w:sz w:val="20"/>
        </w:rPr>
        <w:t xml:space="preserve">Pacific Stars and Stripes, </w:t>
      </w:r>
      <w:r>
        <w:rPr>
          <w:color w:val="231F20"/>
          <w:w w:val="105"/>
          <w:sz w:val="20"/>
        </w:rPr>
        <w:t xml:space="preserve">May </w:t>
      </w:r>
      <w:r>
        <w:rPr>
          <w:color w:val="231F20"/>
          <w:spacing w:val="-5"/>
          <w:w w:val="105"/>
          <w:sz w:val="20"/>
        </w:rPr>
        <w:t xml:space="preserve">31, </w:t>
      </w:r>
      <w:r>
        <w:rPr>
          <w:color w:val="231F20"/>
          <w:spacing w:val="-4"/>
          <w:w w:val="105"/>
          <w:sz w:val="20"/>
        </w:rPr>
        <w:t>1978.</w:t>
      </w:r>
    </w:p>
    <w:p w14:paraId="57C6DCAF" w14:textId="77777777" w:rsidR="002653E8" w:rsidRDefault="003115E3">
      <w:pPr>
        <w:spacing w:before="161" w:line="244" w:lineRule="auto"/>
        <w:ind w:left="2461" w:right="1145" w:hanging="1134"/>
        <w:rPr>
          <w:sz w:val="20"/>
        </w:rPr>
      </w:pPr>
      <w:r>
        <w:rPr>
          <w:color w:val="231F20"/>
          <w:w w:val="105"/>
          <w:sz w:val="20"/>
        </w:rPr>
        <w:t xml:space="preserve">---------“8 Terrorist gang suspects still sought.” </w:t>
      </w:r>
      <w:r>
        <w:rPr>
          <w:i/>
          <w:color w:val="231F20"/>
          <w:w w:val="105"/>
          <w:sz w:val="20"/>
        </w:rPr>
        <w:t xml:space="preserve">European Stars and Stripes, </w:t>
      </w:r>
      <w:r>
        <w:rPr>
          <w:color w:val="231F20"/>
          <w:w w:val="105"/>
          <w:sz w:val="20"/>
        </w:rPr>
        <w:t>July 10, 1972.</w:t>
      </w:r>
    </w:p>
    <w:p w14:paraId="030D05DD" w14:textId="77777777" w:rsidR="002653E8" w:rsidRDefault="003115E3">
      <w:pPr>
        <w:spacing w:before="162" w:line="244" w:lineRule="auto"/>
        <w:ind w:left="2461" w:right="1580" w:hanging="1134"/>
        <w:rPr>
          <w:sz w:val="20"/>
        </w:rPr>
      </w:pPr>
      <w:r>
        <w:rPr>
          <w:color w:val="231F20"/>
          <w:w w:val="105"/>
          <w:sz w:val="20"/>
        </w:rPr>
        <w:t xml:space="preserve">---------“Army Headquarters Hit by Terrorist Bombs.” </w:t>
      </w:r>
      <w:r>
        <w:rPr>
          <w:i/>
          <w:color w:val="231F20"/>
          <w:w w:val="105"/>
          <w:sz w:val="20"/>
        </w:rPr>
        <w:t xml:space="preserve">Valley Morning Star (Harlingen, Texas), </w:t>
      </w:r>
      <w:r>
        <w:rPr>
          <w:color w:val="231F20"/>
          <w:w w:val="105"/>
          <w:sz w:val="20"/>
        </w:rPr>
        <w:t>June 2, 1976.</w:t>
      </w:r>
    </w:p>
    <w:p w14:paraId="25A6A310" w14:textId="77777777" w:rsidR="002653E8" w:rsidRDefault="003115E3">
      <w:pPr>
        <w:spacing w:before="162" w:line="244" w:lineRule="auto"/>
        <w:ind w:left="2461" w:right="1145" w:hanging="1134"/>
        <w:rPr>
          <w:sz w:val="20"/>
        </w:rPr>
      </w:pPr>
      <w:r>
        <w:rPr>
          <w:color w:val="231F20"/>
          <w:w w:val="105"/>
          <w:sz w:val="20"/>
        </w:rPr>
        <w:t xml:space="preserve">---------“Baader-Meinhof lawyer praises guerillas.” </w:t>
      </w:r>
      <w:r>
        <w:rPr>
          <w:i/>
          <w:color w:val="231F20"/>
          <w:w w:val="105"/>
          <w:sz w:val="20"/>
        </w:rPr>
        <w:t xml:space="preserve">European Stars and Stripes, </w:t>
      </w:r>
      <w:r>
        <w:rPr>
          <w:color w:val="231F20"/>
          <w:w w:val="105"/>
          <w:sz w:val="20"/>
        </w:rPr>
        <w:t>October 10, 1972.</w:t>
      </w:r>
    </w:p>
    <w:p w14:paraId="04CA6400" w14:textId="77777777" w:rsidR="002653E8" w:rsidRDefault="003115E3">
      <w:pPr>
        <w:pStyle w:val="a3"/>
        <w:spacing w:before="161"/>
        <w:ind w:left="1327"/>
      </w:pPr>
      <w:r>
        <w:rPr>
          <w:color w:val="231F20"/>
        </w:rPr>
        <w:t>---------“Captured Gun confirmed as Buback Murder Weapon.”</w:t>
      </w:r>
    </w:p>
    <w:p w14:paraId="636B0D8B" w14:textId="77777777" w:rsidR="002653E8" w:rsidRDefault="003115E3">
      <w:pPr>
        <w:spacing w:before="6"/>
        <w:ind w:left="2461"/>
        <w:rPr>
          <w:sz w:val="20"/>
        </w:rPr>
      </w:pPr>
      <w:r>
        <w:rPr>
          <w:i/>
          <w:color w:val="231F20"/>
          <w:w w:val="105"/>
          <w:sz w:val="20"/>
        </w:rPr>
        <w:t xml:space="preserve">European Stars and Stripes, </w:t>
      </w:r>
      <w:r>
        <w:rPr>
          <w:color w:val="231F20"/>
          <w:w w:val="105"/>
          <w:sz w:val="20"/>
        </w:rPr>
        <w:t>May 5, 1977.</w:t>
      </w:r>
    </w:p>
    <w:p w14:paraId="1CF37A85" w14:textId="77777777" w:rsidR="002653E8" w:rsidRDefault="003115E3">
      <w:pPr>
        <w:spacing w:before="165" w:line="244" w:lineRule="auto"/>
        <w:ind w:left="2461" w:right="1602" w:hanging="1134"/>
        <w:rPr>
          <w:sz w:val="20"/>
        </w:rPr>
      </w:pPr>
      <w:r>
        <w:rPr>
          <w:color w:val="231F20"/>
          <w:spacing w:val="3"/>
          <w:w w:val="110"/>
          <w:sz w:val="20"/>
        </w:rPr>
        <w:t>---------</w:t>
      </w:r>
      <w:r>
        <w:rPr>
          <w:color w:val="231F20"/>
          <w:w w:val="110"/>
          <w:sz w:val="20"/>
        </w:rPr>
        <w:t>“Caransa</w:t>
      </w:r>
      <w:r>
        <w:rPr>
          <w:color w:val="231F20"/>
          <w:spacing w:val="-21"/>
          <w:w w:val="110"/>
          <w:sz w:val="20"/>
        </w:rPr>
        <w:t xml:space="preserve"> </w:t>
      </w:r>
      <w:r>
        <w:rPr>
          <w:color w:val="231F20"/>
          <w:w w:val="110"/>
          <w:sz w:val="20"/>
        </w:rPr>
        <w:t>Released</w:t>
      </w:r>
      <w:r>
        <w:rPr>
          <w:color w:val="231F20"/>
          <w:spacing w:val="-21"/>
          <w:w w:val="110"/>
          <w:sz w:val="20"/>
        </w:rPr>
        <w:t xml:space="preserve"> </w:t>
      </w:r>
      <w:r>
        <w:rPr>
          <w:color w:val="231F20"/>
          <w:w w:val="110"/>
          <w:sz w:val="20"/>
        </w:rPr>
        <w:t>After</w:t>
      </w:r>
      <w:r>
        <w:rPr>
          <w:color w:val="231F20"/>
          <w:spacing w:val="-21"/>
          <w:w w:val="110"/>
          <w:sz w:val="20"/>
        </w:rPr>
        <w:t xml:space="preserve"> </w:t>
      </w:r>
      <w:r>
        <w:rPr>
          <w:color w:val="231F20"/>
          <w:w w:val="110"/>
          <w:sz w:val="20"/>
        </w:rPr>
        <w:t>Ransom</w:t>
      </w:r>
      <w:r>
        <w:rPr>
          <w:color w:val="231F20"/>
          <w:spacing w:val="-21"/>
          <w:w w:val="110"/>
          <w:sz w:val="20"/>
        </w:rPr>
        <w:t xml:space="preserve"> </w:t>
      </w:r>
      <w:r>
        <w:rPr>
          <w:color w:val="231F20"/>
          <w:spacing w:val="-3"/>
          <w:w w:val="110"/>
          <w:sz w:val="20"/>
        </w:rPr>
        <w:t>Paid.”</w:t>
      </w:r>
      <w:r>
        <w:rPr>
          <w:color w:val="231F20"/>
          <w:spacing w:val="-21"/>
          <w:w w:val="110"/>
          <w:sz w:val="20"/>
        </w:rPr>
        <w:t xml:space="preserve"> </w:t>
      </w:r>
      <w:r>
        <w:rPr>
          <w:i/>
          <w:color w:val="231F20"/>
          <w:w w:val="110"/>
          <w:sz w:val="20"/>
        </w:rPr>
        <w:t>The</w:t>
      </w:r>
      <w:r>
        <w:rPr>
          <w:i/>
          <w:color w:val="231F20"/>
          <w:spacing w:val="-21"/>
          <w:w w:val="110"/>
          <w:sz w:val="20"/>
        </w:rPr>
        <w:t xml:space="preserve"> </w:t>
      </w:r>
      <w:r>
        <w:rPr>
          <w:i/>
          <w:color w:val="231F20"/>
          <w:w w:val="110"/>
          <w:sz w:val="20"/>
        </w:rPr>
        <w:t xml:space="preserve">Coshocton Times (Coshocton, Ohio), </w:t>
      </w:r>
      <w:r>
        <w:rPr>
          <w:color w:val="231F20"/>
          <w:w w:val="110"/>
          <w:sz w:val="20"/>
        </w:rPr>
        <w:t>November 2,</w:t>
      </w:r>
      <w:r>
        <w:rPr>
          <w:color w:val="231F20"/>
          <w:spacing w:val="2"/>
          <w:w w:val="110"/>
          <w:sz w:val="20"/>
        </w:rPr>
        <w:t xml:space="preserve"> </w:t>
      </w:r>
      <w:r>
        <w:rPr>
          <w:color w:val="231F20"/>
          <w:spacing w:val="-6"/>
          <w:w w:val="110"/>
          <w:sz w:val="20"/>
        </w:rPr>
        <w:t>1977.</w:t>
      </w:r>
    </w:p>
    <w:p w14:paraId="43AFFECF" w14:textId="77777777" w:rsidR="002653E8" w:rsidRDefault="003115E3">
      <w:pPr>
        <w:spacing w:before="162" w:line="244" w:lineRule="auto"/>
        <w:ind w:left="2461" w:right="1580" w:hanging="1134"/>
        <w:rPr>
          <w:sz w:val="20"/>
        </w:rPr>
      </w:pPr>
      <w:r>
        <w:rPr>
          <w:color w:val="231F20"/>
          <w:w w:val="105"/>
          <w:sz w:val="20"/>
        </w:rPr>
        <w:t xml:space="preserve">---------“Cops ambush terror courier.” </w:t>
      </w:r>
      <w:r>
        <w:rPr>
          <w:i/>
          <w:color w:val="231F20"/>
          <w:w w:val="105"/>
          <w:sz w:val="20"/>
        </w:rPr>
        <w:t xml:space="preserve">Newport Daily News (Newport, Rhode Island), </w:t>
      </w:r>
      <w:r>
        <w:rPr>
          <w:color w:val="231F20"/>
          <w:w w:val="105"/>
          <w:sz w:val="20"/>
        </w:rPr>
        <w:t>September 25, 1978</w:t>
      </w:r>
    </w:p>
    <w:p w14:paraId="51CF1168" w14:textId="77777777" w:rsidR="002653E8" w:rsidRDefault="003115E3">
      <w:pPr>
        <w:spacing w:before="162" w:line="244" w:lineRule="auto"/>
        <w:ind w:left="2461" w:right="1580" w:hanging="1134"/>
        <w:rPr>
          <w:sz w:val="20"/>
        </w:rPr>
      </w:pPr>
      <w:r>
        <w:rPr>
          <w:color w:val="231F20"/>
          <w:w w:val="105"/>
          <w:sz w:val="20"/>
        </w:rPr>
        <w:t xml:space="preserve">---------“Crusade against terrorism urged.” </w:t>
      </w:r>
      <w:r>
        <w:rPr>
          <w:i/>
          <w:color w:val="231F20"/>
          <w:w w:val="105"/>
          <w:sz w:val="20"/>
        </w:rPr>
        <w:t xml:space="preserve">Newport Daily News (Newport, Rhode Island), </w:t>
      </w:r>
      <w:r>
        <w:rPr>
          <w:color w:val="231F20"/>
          <w:w w:val="105"/>
          <w:sz w:val="20"/>
        </w:rPr>
        <w:t>October 25, 1977.</w:t>
      </w:r>
    </w:p>
    <w:p w14:paraId="0FDBA431" w14:textId="77777777" w:rsidR="002653E8" w:rsidRDefault="003115E3">
      <w:pPr>
        <w:spacing w:before="161" w:line="244" w:lineRule="auto"/>
        <w:ind w:left="2461" w:right="1393" w:hanging="1134"/>
        <w:rPr>
          <w:sz w:val="20"/>
        </w:rPr>
      </w:pPr>
      <w:r>
        <w:rPr>
          <w:color w:val="231F20"/>
          <w:spacing w:val="3"/>
          <w:w w:val="105"/>
          <w:sz w:val="20"/>
        </w:rPr>
        <w:t>---------</w:t>
      </w:r>
      <w:r>
        <w:rPr>
          <w:color w:val="231F20"/>
          <w:w w:val="105"/>
          <w:sz w:val="20"/>
        </w:rPr>
        <w:t>“Deaths</w:t>
      </w:r>
      <w:r>
        <w:rPr>
          <w:color w:val="231F20"/>
          <w:spacing w:val="-10"/>
          <w:w w:val="105"/>
          <w:sz w:val="20"/>
        </w:rPr>
        <w:t xml:space="preserve"> </w:t>
      </w:r>
      <w:r>
        <w:rPr>
          <w:color w:val="231F20"/>
          <w:w w:val="105"/>
          <w:sz w:val="20"/>
        </w:rPr>
        <w:t>of</w:t>
      </w:r>
      <w:r>
        <w:rPr>
          <w:color w:val="231F20"/>
          <w:spacing w:val="-10"/>
          <w:w w:val="105"/>
          <w:sz w:val="20"/>
        </w:rPr>
        <w:t xml:space="preserve"> </w:t>
      </w:r>
      <w:r>
        <w:rPr>
          <w:color w:val="231F20"/>
          <w:spacing w:val="-7"/>
          <w:w w:val="105"/>
          <w:sz w:val="20"/>
        </w:rPr>
        <w:t>W.</w:t>
      </w:r>
      <w:r>
        <w:rPr>
          <w:color w:val="231F20"/>
          <w:spacing w:val="-10"/>
          <w:w w:val="105"/>
          <w:sz w:val="20"/>
        </w:rPr>
        <w:t xml:space="preserve"> </w:t>
      </w:r>
      <w:r>
        <w:rPr>
          <w:color w:val="231F20"/>
          <w:w w:val="105"/>
          <w:sz w:val="20"/>
        </w:rPr>
        <w:t>German</w:t>
      </w:r>
      <w:r>
        <w:rPr>
          <w:color w:val="231F20"/>
          <w:spacing w:val="-10"/>
          <w:w w:val="105"/>
          <w:sz w:val="20"/>
        </w:rPr>
        <w:t xml:space="preserve"> </w:t>
      </w:r>
      <w:r>
        <w:rPr>
          <w:color w:val="231F20"/>
          <w:w w:val="105"/>
          <w:sz w:val="20"/>
        </w:rPr>
        <w:t>terrorists</w:t>
      </w:r>
      <w:r>
        <w:rPr>
          <w:color w:val="231F20"/>
          <w:spacing w:val="-10"/>
          <w:w w:val="105"/>
          <w:sz w:val="20"/>
        </w:rPr>
        <w:t xml:space="preserve"> </w:t>
      </w:r>
      <w:r>
        <w:rPr>
          <w:color w:val="231F20"/>
          <w:w w:val="105"/>
          <w:sz w:val="20"/>
        </w:rPr>
        <w:t>protested</w:t>
      </w:r>
      <w:r>
        <w:rPr>
          <w:color w:val="231F20"/>
          <w:spacing w:val="-10"/>
          <w:w w:val="105"/>
          <w:sz w:val="20"/>
        </w:rPr>
        <w:t xml:space="preserve"> </w:t>
      </w:r>
      <w:r>
        <w:rPr>
          <w:color w:val="231F20"/>
          <w:w w:val="105"/>
          <w:sz w:val="20"/>
        </w:rPr>
        <w:t>with</w:t>
      </w:r>
      <w:r>
        <w:rPr>
          <w:color w:val="231F20"/>
          <w:spacing w:val="-10"/>
          <w:w w:val="105"/>
          <w:sz w:val="20"/>
        </w:rPr>
        <w:t xml:space="preserve"> </w:t>
      </w:r>
      <w:r>
        <w:rPr>
          <w:color w:val="231F20"/>
          <w:w w:val="105"/>
          <w:sz w:val="20"/>
        </w:rPr>
        <w:t xml:space="preserve">bombings, student </w:t>
      </w:r>
      <w:r>
        <w:rPr>
          <w:color w:val="231F20"/>
          <w:spacing w:val="-3"/>
          <w:w w:val="105"/>
          <w:sz w:val="20"/>
        </w:rPr>
        <w:t xml:space="preserve">riot.”  </w:t>
      </w:r>
      <w:r>
        <w:rPr>
          <w:i/>
          <w:color w:val="231F20"/>
          <w:w w:val="105"/>
          <w:sz w:val="20"/>
        </w:rPr>
        <w:t xml:space="preserve">Valley  News  (Van  Nuys,  Calif.), </w:t>
      </w:r>
      <w:r>
        <w:rPr>
          <w:color w:val="231F20"/>
          <w:w w:val="105"/>
          <w:sz w:val="20"/>
        </w:rPr>
        <w:t xml:space="preserve">October </w:t>
      </w:r>
      <w:r>
        <w:rPr>
          <w:color w:val="231F20"/>
          <w:spacing w:val="-3"/>
          <w:w w:val="105"/>
          <w:sz w:val="20"/>
        </w:rPr>
        <w:t>21,</w:t>
      </w:r>
      <w:r>
        <w:rPr>
          <w:color w:val="231F20"/>
          <w:spacing w:val="16"/>
          <w:w w:val="105"/>
          <w:sz w:val="20"/>
        </w:rPr>
        <w:t xml:space="preserve"> </w:t>
      </w:r>
      <w:r>
        <w:rPr>
          <w:color w:val="231F20"/>
          <w:spacing w:val="-6"/>
          <w:w w:val="105"/>
          <w:sz w:val="20"/>
        </w:rPr>
        <w:t>1977.</w:t>
      </w:r>
    </w:p>
    <w:p w14:paraId="7836A45E" w14:textId="77777777" w:rsidR="002653E8" w:rsidRDefault="002653E8">
      <w:pPr>
        <w:spacing w:line="244" w:lineRule="auto"/>
        <w:rPr>
          <w:sz w:val="20"/>
        </w:rPr>
        <w:sectPr w:rsidR="002653E8">
          <w:pgSz w:w="8640" w:h="12960"/>
          <w:pgMar w:top="1060" w:right="0" w:bottom="1040" w:left="0" w:header="0" w:footer="850" w:gutter="0"/>
          <w:cols w:space="720"/>
        </w:sectPr>
      </w:pPr>
    </w:p>
    <w:p w14:paraId="634CAFAB" w14:textId="77777777" w:rsidR="002653E8" w:rsidRDefault="003115E3">
      <w:pPr>
        <w:pStyle w:val="a3"/>
        <w:spacing w:before="70"/>
        <w:ind w:left="1147"/>
      </w:pPr>
      <w:r>
        <w:rPr>
          <w:color w:val="231F20"/>
          <w:w w:val="105"/>
        </w:rPr>
        <w:lastRenderedPageBreak/>
        <w:t>---------“Ends French Stay: Member of Gang Turns Self In.”</w:t>
      </w:r>
    </w:p>
    <w:p w14:paraId="0FFC2757" w14:textId="77777777" w:rsidR="002653E8" w:rsidRDefault="003115E3">
      <w:pPr>
        <w:spacing w:before="5"/>
        <w:ind w:left="2281"/>
        <w:rPr>
          <w:sz w:val="20"/>
        </w:rPr>
      </w:pPr>
      <w:r>
        <w:rPr>
          <w:i/>
          <w:color w:val="231F20"/>
          <w:w w:val="105"/>
          <w:sz w:val="20"/>
        </w:rPr>
        <w:t xml:space="preserve">European Stars and Stripes, </w:t>
      </w:r>
      <w:r>
        <w:rPr>
          <w:color w:val="231F20"/>
          <w:w w:val="105"/>
          <w:sz w:val="20"/>
        </w:rPr>
        <w:t>July 1, 1972.</w:t>
      </w:r>
    </w:p>
    <w:p w14:paraId="577DDD84" w14:textId="77777777" w:rsidR="002653E8" w:rsidRDefault="003115E3">
      <w:pPr>
        <w:spacing w:before="166" w:line="244" w:lineRule="auto"/>
        <w:ind w:left="2281" w:right="1580" w:hanging="1134"/>
        <w:rPr>
          <w:sz w:val="20"/>
        </w:rPr>
      </w:pPr>
      <w:r>
        <w:rPr>
          <w:color w:val="231F20"/>
          <w:w w:val="105"/>
          <w:sz w:val="20"/>
        </w:rPr>
        <w:t xml:space="preserve">---------“Explosive device defused in Wiesbaden.” </w:t>
      </w:r>
      <w:r>
        <w:rPr>
          <w:i/>
          <w:color w:val="231F20"/>
          <w:w w:val="105"/>
          <w:sz w:val="20"/>
        </w:rPr>
        <w:t xml:space="preserve">European Stars and Stripes, </w:t>
      </w:r>
      <w:r>
        <w:rPr>
          <w:color w:val="231F20"/>
          <w:w w:val="105"/>
          <w:sz w:val="20"/>
        </w:rPr>
        <w:t>January 26, 1977.</w:t>
      </w:r>
    </w:p>
    <w:p w14:paraId="12A7F18A" w14:textId="77777777" w:rsidR="002653E8" w:rsidRDefault="003115E3">
      <w:pPr>
        <w:spacing w:before="161" w:line="244" w:lineRule="auto"/>
        <w:ind w:left="2282" w:right="1580" w:hanging="1134"/>
        <w:rPr>
          <w:sz w:val="20"/>
        </w:rPr>
      </w:pPr>
      <w:r>
        <w:rPr>
          <w:color w:val="231F20"/>
          <w:w w:val="105"/>
          <w:sz w:val="20"/>
        </w:rPr>
        <w:t xml:space="preserve">---------“Funeral to demonstration.” </w:t>
      </w:r>
      <w:r>
        <w:rPr>
          <w:i/>
          <w:color w:val="231F20"/>
          <w:w w:val="105"/>
          <w:sz w:val="20"/>
        </w:rPr>
        <w:t xml:space="preserve">Playground Daily News (Fort Walton Beach, Florida), </w:t>
      </w:r>
      <w:r>
        <w:rPr>
          <w:color w:val="231F20"/>
          <w:w w:val="105"/>
          <w:sz w:val="20"/>
        </w:rPr>
        <w:t>May 16, 1976.</w:t>
      </w:r>
    </w:p>
    <w:p w14:paraId="4FE9F3C7" w14:textId="77777777" w:rsidR="002653E8" w:rsidRDefault="003115E3">
      <w:pPr>
        <w:spacing w:before="162" w:line="244" w:lineRule="auto"/>
        <w:ind w:left="2282" w:right="1580" w:hanging="1134"/>
        <w:rPr>
          <w:sz w:val="20"/>
        </w:rPr>
      </w:pPr>
      <w:r w:rsidRPr="00846956">
        <w:rPr>
          <w:color w:val="231F20"/>
          <w:w w:val="105"/>
          <w:sz w:val="20"/>
          <w:lang w:val="de-DE"/>
        </w:rPr>
        <w:t xml:space="preserve">---------“Gang Kidnaps Dutch Millionaire.” </w:t>
      </w:r>
      <w:r>
        <w:rPr>
          <w:i/>
          <w:color w:val="231F20"/>
          <w:w w:val="105"/>
          <w:sz w:val="20"/>
        </w:rPr>
        <w:t xml:space="preserve">Kingsport Times News (Kingsport, Tennessee), </w:t>
      </w:r>
      <w:r>
        <w:rPr>
          <w:color w:val="231F20"/>
          <w:w w:val="105"/>
          <w:sz w:val="20"/>
        </w:rPr>
        <w:t>October 29, 1977.</w:t>
      </w:r>
    </w:p>
    <w:p w14:paraId="5D39FF6B" w14:textId="77777777" w:rsidR="002653E8" w:rsidRDefault="003115E3">
      <w:pPr>
        <w:spacing w:before="162" w:line="244" w:lineRule="auto"/>
        <w:ind w:left="2282" w:right="1580" w:hanging="1134"/>
        <w:rPr>
          <w:sz w:val="20"/>
        </w:rPr>
      </w:pPr>
      <w:r>
        <w:rPr>
          <w:color w:val="231F20"/>
          <w:w w:val="105"/>
          <w:sz w:val="20"/>
        </w:rPr>
        <w:t xml:space="preserve">---------“German police hunt Haag helpers.” </w:t>
      </w:r>
      <w:r>
        <w:rPr>
          <w:i/>
          <w:color w:val="231F20"/>
          <w:w w:val="105"/>
          <w:sz w:val="20"/>
        </w:rPr>
        <w:t xml:space="preserve">European Stars and Stripes, </w:t>
      </w:r>
      <w:r>
        <w:rPr>
          <w:color w:val="231F20"/>
          <w:w w:val="105"/>
          <w:sz w:val="20"/>
        </w:rPr>
        <w:t>December 8, 1976.</w:t>
      </w:r>
    </w:p>
    <w:p w14:paraId="15089BD1" w14:textId="77777777" w:rsidR="002653E8" w:rsidRDefault="003115E3">
      <w:pPr>
        <w:spacing w:before="161" w:line="244" w:lineRule="auto"/>
        <w:ind w:left="2282" w:right="1580" w:hanging="1134"/>
        <w:rPr>
          <w:sz w:val="20"/>
        </w:rPr>
      </w:pPr>
      <w:r>
        <w:rPr>
          <w:color w:val="231F20"/>
          <w:w w:val="105"/>
          <w:sz w:val="20"/>
        </w:rPr>
        <w:t xml:space="preserve">---------“German rebel hangs herself.” </w:t>
      </w:r>
      <w:r>
        <w:rPr>
          <w:i/>
          <w:color w:val="231F20"/>
          <w:w w:val="105"/>
          <w:sz w:val="20"/>
        </w:rPr>
        <w:t xml:space="preserve">The Pharos Tribune (Logansport, Indiana), </w:t>
      </w:r>
      <w:r>
        <w:rPr>
          <w:color w:val="231F20"/>
          <w:w w:val="105"/>
          <w:sz w:val="20"/>
        </w:rPr>
        <w:t>May 10, 1976.</w:t>
      </w:r>
    </w:p>
    <w:p w14:paraId="064E62A4" w14:textId="77777777" w:rsidR="002653E8" w:rsidRDefault="003115E3">
      <w:pPr>
        <w:spacing w:before="162" w:line="244" w:lineRule="auto"/>
        <w:ind w:left="2281" w:right="1580" w:hanging="1134"/>
        <w:rPr>
          <w:sz w:val="20"/>
        </w:rPr>
      </w:pPr>
      <w:r>
        <w:rPr>
          <w:color w:val="231F20"/>
          <w:w w:val="105"/>
          <w:sz w:val="20"/>
        </w:rPr>
        <w:t xml:space="preserve">---------“German Terrorist Dies Violent Death in Prison.” </w:t>
      </w:r>
      <w:r>
        <w:rPr>
          <w:i/>
          <w:color w:val="231F20"/>
          <w:w w:val="105"/>
          <w:sz w:val="20"/>
        </w:rPr>
        <w:t xml:space="preserve">The Coshocton Tribune (Coshocton, Ohio), </w:t>
      </w:r>
      <w:r>
        <w:rPr>
          <w:color w:val="231F20"/>
          <w:w w:val="105"/>
          <w:sz w:val="20"/>
        </w:rPr>
        <w:t>May 10, 1976.</w:t>
      </w:r>
    </w:p>
    <w:p w14:paraId="082AEC86" w14:textId="77777777" w:rsidR="002653E8" w:rsidRDefault="003115E3">
      <w:pPr>
        <w:spacing w:before="162" w:line="244" w:lineRule="auto"/>
        <w:ind w:left="2281" w:right="1580" w:hanging="1134"/>
        <w:rPr>
          <w:sz w:val="20"/>
        </w:rPr>
      </w:pPr>
      <w:r>
        <w:rPr>
          <w:color w:val="231F20"/>
          <w:w w:val="105"/>
          <w:sz w:val="20"/>
        </w:rPr>
        <w:t xml:space="preserve">---------“Germans Ask Japan Help tracking killers.” </w:t>
      </w:r>
      <w:r>
        <w:rPr>
          <w:i/>
          <w:color w:val="231F20"/>
          <w:w w:val="105"/>
          <w:sz w:val="20"/>
        </w:rPr>
        <w:t xml:space="preserve">Newport (R.I.) Daily News, </w:t>
      </w:r>
      <w:r>
        <w:rPr>
          <w:color w:val="231F20"/>
          <w:w w:val="105"/>
          <w:sz w:val="20"/>
        </w:rPr>
        <w:t>November 12, 1977.</w:t>
      </w:r>
    </w:p>
    <w:p w14:paraId="71C073F8" w14:textId="77777777" w:rsidR="002653E8" w:rsidRDefault="003115E3">
      <w:pPr>
        <w:spacing w:before="161" w:line="244" w:lineRule="auto"/>
        <w:ind w:left="2281" w:right="1479" w:hanging="1134"/>
        <w:rPr>
          <w:sz w:val="20"/>
        </w:rPr>
      </w:pPr>
      <w:r>
        <w:rPr>
          <w:color w:val="231F20"/>
          <w:w w:val="105"/>
          <w:sz w:val="20"/>
        </w:rPr>
        <w:t xml:space="preserve">---------“Germans seize brother of Buback case suspect.” </w:t>
      </w:r>
      <w:r>
        <w:rPr>
          <w:i/>
          <w:color w:val="231F20"/>
          <w:w w:val="105"/>
          <w:sz w:val="20"/>
        </w:rPr>
        <w:t xml:space="preserve">European Stars and Stripes, </w:t>
      </w:r>
      <w:r>
        <w:rPr>
          <w:color w:val="231F20"/>
          <w:w w:val="105"/>
          <w:sz w:val="20"/>
        </w:rPr>
        <w:t>May 6, 1977.</w:t>
      </w:r>
    </w:p>
    <w:p w14:paraId="7F2DE022" w14:textId="77777777" w:rsidR="002653E8" w:rsidRDefault="003115E3">
      <w:pPr>
        <w:spacing w:before="162" w:line="244" w:lineRule="auto"/>
        <w:ind w:left="2281" w:right="2274" w:hanging="1134"/>
        <w:rPr>
          <w:sz w:val="20"/>
        </w:rPr>
      </w:pPr>
      <w:r>
        <w:rPr>
          <w:color w:val="231F20"/>
          <w:w w:val="105"/>
          <w:sz w:val="20"/>
        </w:rPr>
        <w:t xml:space="preserve">---------“Gunmen kill German judge.” </w:t>
      </w:r>
      <w:r>
        <w:rPr>
          <w:i/>
          <w:color w:val="231F20"/>
          <w:w w:val="105"/>
          <w:sz w:val="20"/>
        </w:rPr>
        <w:t xml:space="preserve">Morning Herald (Hagerstown, Maryland), </w:t>
      </w:r>
      <w:r>
        <w:rPr>
          <w:color w:val="231F20"/>
          <w:w w:val="105"/>
          <w:sz w:val="20"/>
        </w:rPr>
        <w:t>November 11, 1974.</w:t>
      </w:r>
    </w:p>
    <w:p w14:paraId="1DFC800D" w14:textId="77777777" w:rsidR="002653E8" w:rsidRDefault="003115E3">
      <w:pPr>
        <w:spacing w:before="162" w:line="244" w:lineRule="auto"/>
        <w:ind w:left="2281" w:right="1675" w:hanging="1134"/>
        <w:rPr>
          <w:sz w:val="20"/>
        </w:rPr>
      </w:pPr>
      <w:r>
        <w:rPr>
          <w:color w:val="231F20"/>
          <w:w w:val="105"/>
          <w:sz w:val="20"/>
        </w:rPr>
        <w:t xml:space="preserve">---------“Italian Leftists Continue Their Reign of Terror.” </w:t>
      </w:r>
      <w:r>
        <w:rPr>
          <w:i/>
          <w:color w:val="231F20"/>
          <w:w w:val="105"/>
          <w:sz w:val="20"/>
        </w:rPr>
        <w:t xml:space="preserve">El Paso Herald-Post (El Paso, Texas), </w:t>
      </w:r>
      <w:r>
        <w:rPr>
          <w:color w:val="231F20"/>
          <w:w w:val="105"/>
          <w:sz w:val="20"/>
        </w:rPr>
        <w:t>October 26, 1977.</w:t>
      </w:r>
    </w:p>
    <w:p w14:paraId="7AC92466" w14:textId="77777777" w:rsidR="002653E8" w:rsidRDefault="003115E3">
      <w:pPr>
        <w:spacing w:before="161" w:line="244" w:lineRule="auto"/>
        <w:ind w:left="2282" w:right="1145" w:hanging="1134"/>
        <w:rPr>
          <w:sz w:val="20"/>
        </w:rPr>
      </w:pPr>
      <w:r>
        <w:rPr>
          <w:color w:val="231F20"/>
          <w:w w:val="105"/>
          <w:sz w:val="20"/>
        </w:rPr>
        <w:t xml:space="preserve">---------“Italian Radicals Say Suicide Squad Will Kill West German Ambassador.” </w:t>
      </w:r>
      <w:r>
        <w:rPr>
          <w:i/>
          <w:color w:val="231F20"/>
          <w:w w:val="105"/>
          <w:sz w:val="20"/>
        </w:rPr>
        <w:t xml:space="preserve">Galveston Daily News (Galveston, Texas), </w:t>
      </w:r>
      <w:r>
        <w:rPr>
          <w:color w:val="231F20"/>
          <w:w w:val="105"/>
          <w:sz w:val="20"/>
        </w:rPr>
        <w:t>October 26, 1977.</w:t>
      </w:r>
    </w:p>
    <w:p w14:paraId="1186474E" w14:textId="77777777" w:rsidR="002653E8" w:rsidRDefault="003115E3">
      <w:pPr>
        <w:spacing w:before="163" w:line="244" w:lineRule="auto"/>
        <w:ind w:left="2282" w:right="2281" w:hanging="1134"/>
        <w:rPr>
          <w:sz w:val="20"/>
        </w:rPr>
      </w:pPr>
      <w:r>
        <w:rPr>
          <w:color w:val="231F20"/>
          <w:w w:val="105"/>
          <w:sz w:val="20"/>
        </w:rPr>
        <w:t xml:space="preserve">---------“Leftist terrorists vow to foul German economy.” </w:t>
      </w:r>
      <w:r>
        <w:rPr>
          <w:i/>
          <w:color w:val="231F20"/>
          <w:w w:val="110"/>
          <w:sz w:val="20"/>
        </w:rPr>
        <w:t xml:space="preserve">The Coshocton Tribune (Coshocton, Ohio), </w:t>
      </w:r>
      <w:r>
        <w:rPr>
          <w:color w:val="231F20"/>
          <w:w w:val="110"/>
          <w:sz w:val="20"/>
        </w:rPr>
        <w:t>October 22, 1977.</w:t>
      </w:r>
    </w:p>
    <w:p w14:paraId="676A44B0" w14:textId="77777777" w:rsidR="002653E8" w:rsidRDefault="003115E3">
      <w:pPr>
        <w:spacing w:before="163" w:line="244" w:lineRule="auto"/>
        <w:ind w:left="2282" w:right="1145" w:hanging="1134"/>
        <w:rPr>
          <w:sz w:val="20"/>
        </w:rPr>
      </w:pPr>
      <w:r>
        <w:rPr>
          <w:color w:val="231F20"/>
          <w:w w:val="105"/>
          <w:sz w:val="20"/>
        </w:rPr>
        <w:t xml:space="preserve">---------“Leftists Continue Terror Reign.” </w:t>
      </w:r>
      <w:r>
        <w:rPr>
          <w:i/>
          <w:color w:val="231F20"/>
          <w:w w:val="105"/>
          <w:sz w:val="20"/>
        </w:rPr>
        <w:t xml:space="preserve">The Salina-Journal (Salina, Texas), </w:t>
      </w:r>
      <w:r>
        <w:rPr>
          <w:color w:val="231F20"/>
          <w:w w:val="105"/>
          <w:sz w:val="20"/>
        </w:rPr>
        <w:t>October 24, 1977.</w:t>
      </w:r>
    </w:p>
    <w:p w14:paraId="72DA0D78" w14:textId="77777777" w:rsidR="002653E8" w:rsidRDefault="003115E3">
      <w:pPr>
        <w:spacing w:before="161" w:line="244" w:lineRule="auto"/>
        <w:ind w:left="2282" w:right="1580" w:hanging="1134"/>
        <w:rPr>
          <w:sz w:val="20"/>
        </w:rPr>
      </w:pPr>
      <w:r>
        <w:rPr>
          <w:color w:val="231F20"/>
          <w:w w:val="105"/>
          <w:sz w:val="20"/>
        </w:rPr>
        <w:t xml:space="preserve">---------“Meinhof-Al Fatah Ties Described.” </w:t>
      </w:r>
      <w:r>
        <w:rPr>
          <w:i/>
          <w:color w:val="231F20"/>
          <w:w w:val="105"/>
          <w:sz w:val="20"/>
        </w:rPr>
        <w:t xml:space="preserve">European Stars and Stripes, </w:t>
      </w:r>
      <w:r>
        <w:rPr>
          <w:color w:val="231F20"/>
          <w:w w:val="105"/>
          <w:sz w:val="20"/>
        </w:rPr>
        <w:t>October 19, 1972.</w:t>
      </w:r>
    </w:p>
    <w:p w14:paraId="3243A643" w14:textId="77777777" w:rsidR="002653E8" w:rsidRDefault="002653E8">
      <w:pPr>
        <w:spacing w:line="244" w:lineRule="auto"/>
        <w:rPr>
          <w:sz w:val="20"/>
        </w:rPr>
        <w:sectPr w:rsidR="002653E8">
          <w:pgSz w:w="8640" w:h="12960"/>
          <w:pgMar w:top="1060" w:right="0" w:bottom="1040" w:left="0" w:header="0" w:footer="850" w:gutter="0"/>
          <w:cols w:space="720"/>
        </w:sectPr>
      </w:pPr>
    </w:p>
    <w:p w14:paraId="684E20F1" w14:textId="77777777" w:rsidR="002653E8" w:rsidRDefault="003115E3">
      <w:pPr>
        <w:spacing w:before="70" w:line="244" w:lineRule="auto"/>
        <w:ind w:left="2461" w:right="1580" w:hanging="1134"/>
        <w:rPr>
          <w:sz w:val="20"/>
        </w:rPr>
      </w:pPr>
      <w:r>
        <w:rPr>
          <w:color w:val="231F20"/>
          <w:w w:val="105"/>
          <w:sz w:val="20"/>
        </w:rPr>
        <w:lastRenderedPageBreak/>
        <w:t xml:space="preserve">---------“Other Arab guerrilla demand told.” </w:t>
      </w:r>
      <w:r>
        <w:rPr>
          <w:i/>
          <w:color w:val="231F20"/>
          <w:w w:val="105"/>
          <w:sz w:val="20"/>
        </w:rPr>
        <w:t xml:space="preserve">Daily Review (Hayward, California), </w:t>
      </w:r>
      <w:r>
        <w:rPr>
          <w:color w:val="231F20"/>
          <w:w w:val="105"/>
          <w:sz w:val="20"/>
        </w:rPr>
        <w:t>September 8, 1972.</w:t>
      </w:r>
    </w:p>
    <w:p w14:paraId="1852BE21" w14:textId="77777777" w:rsidR="002653E8" w:rsidRDefault="003115E3">
      <w:pPr>
        <w:spacing w:before="161" w:line="244" w:lineRule="auto"/>
        <w:ind w:left="2461" w:right="1145" w:hanging="1134"/>
        <w:rPr>
          <w:sz w:val="20"/>
        </w:rPr>
      </w:pPr>
      <w:r>
        <w:rPr>
          <w:color w:val="231F20"/>
          <w:w w:val="105"/>
          <w:sz w:val="20"/>
        </w:rPr>
        <w:t xml:space="preserve">---------“Paper Says Macleod was a British Spy.” </w:t>
      </w:r>
      <w:r>
        <w:rPr>
          <w:i/>
          <w:color w:val="231F20"/>
          <w:w w:val="105"/>
          <w:sz w:val="20"/>
        </w:rPr>
        <w:t xml:space="preserve">European Stars and Stripes, </w:t>
      </w:r>
      <w:r>
        <w:rPr>
          <w:color w:val="231F20"/>
          <w:w w:val="105"/>
          <w:sz w:val="20"/>
        </w:rPr>
        <w:t>July 3, 1972.</w:t>
      </w:r>
    </w:p>
    <w:p w14:paraId="3954C624" w14:textId="77777777" w:rsidR="002653E8" w:rsidRDefault="003115E3">
      <w:pPr>
        <w:spacing w:before="162"/>
        <w:ind w:left="1327"/>
        <w:rPr>
          <w:i/>
          <w:sz w:val="20"/>
        </w:rPr>
      </w:pPr>
      <w:r>
        <w:rPr>
          <w:color w:val="231F20"/>
          <w:w w:val="105"/>
          <w:sz w:val="20"/>
        </w:rPr>
        <w:t xml:space="preserve">---------“Parting shots.” </w:t>
      </w:r>
      <w:r>
        <w:rPr>
          <w:i/>
          <w:color w:val="231F20"/>
          <w:w w:val="105"/>
          <w:sz w:val="20"/>
        </w:rPr>
        <w:t>European Stars and Stripes,</w:t>
      </w:r>
    </w:p>
    <w:p w14:paraId="044217DE" w14:textId="77777777" w:rsidR="002653E8" w:rsidRDefault="003115E3">
      <w:pPr>
        <w:pStyle w:val="a3"/>
        <w:spacing w:before="6"/>
        <w:ind w:left="2462"/>
      </w:pPr>
      <w:r>
        <w:rPr>
          <w:color w:val="231F20"/>
          <w:w w:val="105"/>
        </w:rPr>
        <w:t>October 4, 1980.</w:t>
      </w:r>
    </w:p>
    <w:p w14:paraId="769A4961" w14:textId="77777777" w:rsidR="002653E8" w:rsidRDefault="003115E3">
      <w:pPr>
        <w:spacing w:before="165" w:line="244" w:lineRule="auto"/>
        <w:ind w:left="2462" w:right="1078" w:hanging="1134"/>
        <w:rPr>
          <w:sz w:val="20"/>
        </w:rPr>
      </w:pPr>
      <w:r>
        <w:rPr>
          <w:color w:val="231F20"/>
          <w:w w:val="105"/>
          <w:sz w:val="20"/>
        </w:rPr>
        <w:t xml:space="preserve">---------“Professor endangered by kidnapper’s threat.” </w:t>
      </w:r>
      <w:r>
        <w:rPr>
          <w:i/>
          <w:color w:val="231F20"/>
          <w:w w:val="105"/>
          <w:sz w:val="20"/>
        </w:rPr>
        <w:t xml:space="preserve">The Dominion Post (Morgantown, W. Va.), </w:t>
      </w:r>
      <w:r>
        <w:rPr>
          <w:color w:val="231F20"/>
          <w:w w:val="105"/>
          <w:sz w:val="20"/>
        </w:rPr>
        <w:t>April 25, 1971.</w:t>
      </w:r>
    </w:p>
    <w:p w14:paraId="17FE151D" w14:textId="77777777" w:rsidR="002653E8" w:rsidRDefault="003115E3">
      <w:pPr>
        <w:spacing w:before="162" w:line="244" w:lineRule="auto"/>
        <w:ind w:left="2462" w:right="1630" w:hanging="1134"/>
        <w:rPr>
          <w:sz w:val="20"/>
        </w:rPr>
      </w:pPr>
      <w:r>
        <w:rPr>
          <w:color w:val="231F20"/>
          <w:spacing w:val="3"/>
          <w:w w:val="110"/>
          <w:sz w:val="20"/>
        </w:rPr>
        <w:t>---------</w:t>
      </w:r>
      <w:r>
        <w:rPr>
          <w:color w:val="231F20"/>
          <w:w w:val="110"/>
          <w:sz w:val="20"/>
        </w:rPr>
        <w:t>“Protests</w:t>
      </w:r>
      <w:r>
        <w:rPr>
          <w:color w:val="231F20"/>
          <w:spacing w:val="-28"/>
          <w:w w:val="110"/>
          <w:sz w:val="20"/>
        </w:rPr>
        <w:t xml:space="preserve"> </w:t>
      </w:r>
      <w:r>
        <w:rPr>
          <w:color w:val="231F20"/>
          <w:w w:val="110"/>
          <w:sz w:val="20"/>
        </w:rPr>
        <w:t>Sweep</w:t>
      </w:r>
      <w:r>
        <w:rPr>
          <w:color w:val="231F20"/>
          <w:spacing w:val="-28"/>
          <w:w w:val="110"/>
          <w:sz w:val="20"/>
        </w:rPr>
        <w:t xml:space="preserve"> </w:t>
      </w:r>
      <w:r>
        <w:rPr>
          <w:color w:val="231F20"/>
          <w:w w:val="110"/>
          <w:sz w:val="20"/>
        </w:rPr>
        <w:t>Three</w:t>
      </w:r>
      <w:r>
        <w:rPr>
          <w:color w:val="231F20"/>
          <w:spacing w:val="-28"/>
          <w:w w:val="110"/>
          <w:sz w:val="20"/>
        </w:rPr>
        <w:t xml:space="preserve"> </w:t>
      </w:r>
      <w:r>
        <w:rPr>
          <w:color w:val="231F20"/>
          <w:w w:val="110"/>
          <w:sz w:val="20"/>
        </w:rPr>
        <w:t>Nations.”</w:t>
      </w:r>
      <w:r>
        <w:rPr>
          <w:color w:val="231F20"/>
          <w:spacing w:val="-28"/>
          <w:w w:val="110"/>
          <w:sz w:val="20"/>
        </w:rPr>
        <w:t xml:space="preserve"> </w:t>
      </w:r>
      <w:r>
        <w:rPr>
          <w:i/>
          <w:color w:val="231F20"/>
          <w:w w:val="110"/>
          <w:sz w:val="20"/>
        </w:rPr>
        <w:t>The</w:t>
      </w:r>
      <w:r>
        <w:rPr>
          <w:i/>
          <w:color w:val="231F20"/>
          <w:spacing w:val="-28"/>
          <w:w w:val="110"/>
          <w:sz w:val="20"/>
        </w:rPr>
        <w:t xml:space="preserve"> </w:t>
      </w:r>
      <w:r>
        <w:rPr>
          <w:i/>
          <w:color w:val="231F20"/>
          <w:w w:val="110"/>
          <w:sz w:val="20"/>
        </w:rPr>
        <w:t>Valley</w:t>
      </w:r>
      <w:r>
        <w:rPr>
          <w:i/>
          <w:color w:val="231F20"/>
          <w:spacing w:val="-28"/>
          <w:w w:val="110"/>
          <w:sz w:val="20"/>
        </w:rPr>
        <w:t xml:space="preserve"> </w:t>
      </w:r>
      <w:r>
        <w:rPr>
          <w:i/>
          <w:color w:val="231F20"/>
          <w:w w:val="110"/>
          <w:sz w:val="20"/>
        </w:rPr>
        <w:t>News</w:t>
      </w:r>
      <w:r>
        <w:rPr>
          <w:i/>
          <w:color w:val="231F20"/>
          <w:spacing w:val="-28"/>
          <w:w w:val="110"/>
          <w:sz w:val="20"/>
        </w:rPr>
        <w:t xml:space="preserve"> </w:t>
      </w:r>
      <w:r>
        <w:rPr>
          <w:i/>
          <w:color w:val="231F20"/>
          <w:w w:val="110"/>
          <w:sz w:val="20"/>
        </w:rPr>
        <w:t xml:space="preserve">(Van Nuys, Calif.), </w:t>
      </w:r>
      <w:r>
        <w:rPr>
          <w:color w:val="231F20"/>
          <w:w w:val="110"/>
          <w:sz w:val="20"/>
        </w:rPr>
        <w:t xml:space="preserve">October </w:t>
      </w:r>
      <w:r>
        <w:rPr>
          <w:color w:val="231F20"/>
          <w:spacing w:val="-8"/>
          <w:w w:val="110"/>
          <w:sz w:val="20"/>
        </w:rPr>
        <w:t>27,</w:t>
      </w:r>
      <w:r>
        <w:rPr>
          <w:color w:val="231F20"/>
          <w:spacing w:val="21"/>
          <w:w w:val="110"/>
          <w:sz w:val="20"/>
        </w:rPr>
        <w:t xml:space="preserve"> </w:t>
      </w:r>
      <w:r>
        <w:rPr>
          <w:color w:val="231F20"/>
          <w:spacing w:val="-6"/>
          <w:w w:val="110"/>
          <w:sz w:val="20"/>
        </w:rPr>
        <w:t>1977.</w:t>
      </w:r>
    </w:p>
    <w:p w14:paraId="097CAB37" w14:textId="77777777" w:rsidR="002653E8" w:rsidRDefault="003115E3">
      <w:pPr>
        <w:spacing w:before="161" w:line="244" w:lineRule="auto"/>
        <w:ind w:left="2462" w:right="1513" w:hanging="1134"/>
        <w:rPr>
          <w:sz w:val="20"/>
        </w:rPr>
      </w:pPr>
      <w:r>
        <w:rPr>
          <w:color w:val="231F20"/>
          <w:w w:val="105"/>
          <w:sz w:val="20"/>
        </w:rPr>
        <w:t xml:space="preserve">---------“Raided Flat is Suspected Anarchist Hq.” </w:t>
      </w:r>
      <w:r>
        <w:rPr>
          <w:i/>
          <w:color w:val="231F20"/>
          <w:w w:val="105"/>
          <w:sz w:val="20"/>
        </w:rPr>
        <w:t xml:space="preserve">European Stars and Stripes, </w:t>
      </w:r>
      <w:r>
        <w:rPr>
          <w:color w:val="231F20"/>
          <w:w w:val="105"/>
          <w:sz w:val="20"/>
        </w:rPr>
        <w:t>October 28, 1971.</w:t>
      </w:r>
    </w:p>
    <w:p w14:paraId="0EC120DE" w14:textId="77777777" w:rsidR="002653E8" w:rsidRDefault="003115E3">
      <w:pPr>
        <w:spacing w:before="162" w:line="244" w:lineRule="auto"/>
        <w:ind w:left="2462" w:right="1325" w:hanging="1134"/>
        <w:rPr>
          <w:sz w:val="20"/>
        </w:rPr>
      </w:pPr>
      <w:r>
        <w:rPr>
          <w:color w:val="231F20"/>
          <w:w w:val="105"/>
          <w:sz w:val="20"/>
        </w:rPr>
        <w:t xml:space="preserve">---------“Suicide Victim Died of Despair—Comrade.” </w:t>
      </w:r>
      <w:r>
        <w:rPr>
          <w:i/>
          <w:color w:val="231F20"/>
          <w:w w:val="105"/>
          <w:sz w:val="20"/>
        </w:rPr>
        <w:t xml:space="preserve">Raleigh Register (Beckley, West Virginia), </w:t>
      </w:r>
      <w:r>
        <w:rPr>
          <w:color w:val="231F20"/>
          <w:w w:val="105"/>
          <w:sz w:val="20"/>
        </w:rPr>
        <w:t>November 14, 1977.</w:t>
      </w:r>
    </w:p>
    <w:p w14:paraId="2216ADDB" w14:textId="77777777" w:rsidR="002653E8" w:rsidRDefault="003115E3">
      <w:pPr>
        <w:spacing w:before="162" w:line="244" w:lineRule="auto"/>
        <w:ind w:left="2462" w:right="1462" w:hanging="1134"/>
        <w:rPr>
          <w:sz w:val="20"/>
        </w:rPr>
      </w:pPr>
      <w:r>
        <w:rPr>
          <w:color w:val="231F20"/>
          <w:spacing w:val="3"/>
          <w:w w:val="110"/>
          <w:sz w:val="20"/>
        </w:rPr>
        <w:t>---------</w:t>
      </w:r>
      <w:r>
        <w:rPr>
          <w:color w:val="231F20"/>
          <w:w w:val="110"/>
          <w:sz w:val="20"/>
        </w:rPr>
        <w:t>“Terrorist</w:t>
      </w:r>
      <w:r>
        <w:rPr>
          <w:color w:val="231F20"/>
          <w:spacing w:val="-22"/>
          <w:w w:val="110"/>
          <w:sz w:val="20"/>
        </w:rPr>
        <w:t xml:space="preserve"> </w:t>
      </w:r>
      <w:r>
        <w:rPr>
          <w:color w:val="231F20"/>
          <w:w w:val="110"/>
          <w:sz w:val="20"/>
        </w:rPr>
        <w:t>Bomb</w:t>
      </w:r>
      <w:r>
        <w:rPr>
          <w:color w:val="231F20"/>
          <w:spacing w:val="-22"/>
          <w:w w:val="110"/>
          <w:sz w:val="20"/>
        </w:rPr>
        <w:t xml:space="preserve"> </w:t>
      </w:r>
      <w:r>
        <w:rPr>
          <w:color w:val="231F20"/>
          <w:w w:val="110"/>
          <w:sz w:val="20"/>
        </w:rPr>
        <w:t>Blasts</w:t>
      </w:r>
      <w:r>
        <w:rPr>
          <w:color w:val="231F20"/>
          <w:spacing w:val="-22"/>
          <w:w w:val="110"/>
          <w:sz w:val="20"/>
        </w:rPr>
        <w:t xml:space="preserve"> </w:t>
      </w:r>
      <w:r>
        <w:rPr>
          <w:color w:val="231F20"/>
          <w:w w:val="110"/>
          <w:sz w:val="20"/>
        </w:rPr>
        <w:t>Building</w:t>
      </w:r>
      <w:r>
        <w:rPr>
          <w:color w:val="231F20"/>
          <w:spacing w:val="-22"/>
          <w:w w:val="110"/>
          <w:sz w:val="20"/>
        </w:rPr>
        <w:t xml:space="preserve"> </w:t>
      </w:r>
      <w:r>
        <w:rPr>
          <w:color w:val="231F20"/>
          <w:w w:val="110"/>
          <w:sz w:val="20"/>
        </w:rPr>
        <w:t>in</w:t>
      </w:r>
      <w:r>
        <w:rPr>
          <w:color w:val="231F20"/>
          <w:spacing w:val="-22"/>
          <w:w w:val="110"/>
          <w:sz w:val="20"/>
        </w:rPr>
        <w:t xml:space="preserve"> </w:t>
      </w:r>
      <w:r>
        <w:rPr>
          <w:color w:val="231F20"/>
          <w:spacing w:val="-7"/>
          <w:w w:val="110"/>
          <w:sz w:val="20"/>
        </w:rPr>
        <w:t>W.</w:t>
      </w:r>
      <w:r>
        <w:rPr>
          <w:color w:val="231F20"/>
          <w:spacing w:val="-22"/>
          <w:w w:val="110"/>
          <w:sz w:val="20"/>
        </w:rPr>
        <w:t xml:space="preserve"> </w:t>
      </w:r>
      <w:r>
        <w:rPr>
          <w:color w:val="231F20"/>
          <w:spacing w:val="-3"/>
          <w:w w:val="110"/>
          <w:sz w:val="20"/>
        </w:rPr>
        <w:t>Germany.”</w:t>
      </w:r>
      <w:r>
        <w:rPr>
          <w:color w:val="231F20"/>
          <w:spacing w:val="-22"/>
          <w:w w:val="110"/>
          <w:sz w:val="20"/>
        </w:rPr>
        <w:t xml:space="preserve"> </w:t>
      </w:r>
      <w:r>
        <w:rPr>
          <w:i/>
          <w:color w:val="231F20"/>
          <w:w w:val="110"/>
          <w:sz w:val="20"/>
        </w:rPr>
        <w:t xml:space="preserve">Ogden </w:t>
      </w:r>
      <w:r>
        <w:rPr>
          <w:i/>
          <w:color w:val="231F20"/>
          <w:spacing w:val="1"/>
          <w:w w:val="110"/>
          <w:sz w:val="20"/>
        </w:rPr>
        <w:t>Standard-Examiner</w:t>
      </w:r>
      <w:r>
        <w:rPr>
          <w:i/>
          <w:color w:val="231F20"/>
          <w:spacing w:val="-29"/>
          <w:w w:val="110"/>
          <w:sz w:val="20"/>
        </w:rPr>
        <w:t xml:space="preserve"> </w:t>
      </w:r>
      <w:r>
        <w:rPr>
          <w:i/>
          <w:color w:val="231F20"/>
          <w:w w:val="110"/>
          <w:sz w:val="20"/>
        </w:rPr>
        <w:t>(Ogden,</w:t>
      </w:r>
      <w:r>
        <w:rPr>
          <w:i/>
          <w:color w:val="231F20"/>
          <w:spacing w:val="-29"/>
          <w:w w:val="110"/>
          <w:sz w:val="20"/>
        </w:rPr>
        <w:t xml:space="preserve"> </w:t>
      </w:r>
      <w:r>
        <w:rPr>
          <w:i/>
          <w:color w:val="231F20"/>
          <w:w w:val="110"/>
          <w:sz w:val="20"/>
        </w:rPr>
        <w:t>Utah),</w:t>
      </w:r>
      <w:r>
        <w:rPr>
          <w:i/>
          <w:color w:val="231F20"/>
          <w:spacing w:val="-29"/>
          <w:w w:val="110"/>
          <w:sz w:val="20"/>
        </w:rPr>
        <w:t xml:space="preserve"> </w:t>
      </w:r>
      <w:r>
        <w:rPr>
          <w:color w:val="231F20"/>
          <w:w w:val="110"/>
          <w:sz w:val="20"/>
        </w:rPr>
        <w:t>October</w:t>
      </w:r>
      <w:r>
        <w:rPr>
          <w:color w:val="231F20"/>
          <w:spacing w:val="-29"/>
          <w:w w:val="110"/>
          <w:sz w:val="20"/>
        </w:rPr>
        <w:t xml:space="preserve"> </w:t>
      </w:r>
      <w:r>
        <w:rPr>
          <w:color w:val="231F20"/>
          <w:spacing w:val="-5"/>
          <w:w w:val="110"/>
          <w:sz w:val="20"/>
        </w:rPr>
        <w:t>31</w:t>
      </w:r>
      <w:r>
        <w:rPr>
          <w:color w:val="231F20"/>
          <w:spacing w:val="-29"/>
          <w:w w:val="110"/>
          <w:sz w:val="20"/>
        </w:rPr>
        <w:t xml:space="preserve"> </w:t>
      </w:r>
      <w:r>
        <w:rPr>
          <w:color w:val="231F20"/>
          <w:spacing w:val="-6"/>
          <w:w w:val="110"/>
          <w:sz w:val="20"/>
        </w:rPr>
        <w:t>1977.</w:t>
      </w:r>
    </w:p>
    <w:p w14:paraId="5B186FCA" w14:textId="77777777" w:rsidR="002653E8" w:rsidRDefault="003115E3">
      <w:pPr>
        <w:spacing w:before="161" w:line="244" w:lineRule="auto"/>
        <w:ind w:left="2462" w:right="1145" w:hanging="1134"/>
        <w:rPr>
          <w:sz w:val="20"/>
        </w:rPr>
      </w:pPr>
      <w:r>
        <w:rPr>
          <w:color w:val="231F20"/>
          <w:w w:val="105"/>
          <w:sz w:val="20"/>
        </w:rPr>
        <w:t xml:space="preserve">---------“Terrorists Bomb German Property.” </w:t>
      </w:r>
      <w:r>
        <w:rPr>
          <w:i/>
          <w:color w:val="231F20"/>
          <w:w w:val="105"/>
          <w:sz w:val="20"/>
        </w:rPr>
        <w:t xml:space="preserve">Ruston Daily Leader (Ruston, Louisiana), </w:t>
      </w:r>
      <w:r>
        <w:rPr>
          <w:color w:val="231F20"/>
          <w:w w:val="105"/>
          <w:sz w:val="20"/>
        </w:rPr>
        <w:t>October 24, 1977.</w:t>
      </w:r>
    </w:p>
    <w:p w14:paraId="5385924A" w14:textId="77777777" w:rsidR="002653E8" w:rsidRDefault="003115E3">
      <w:pPr>
        <w:spacing w:before="162"/>
        <w:ind w:left="1328"/>
        <w:rPr>
          <w:i/>
          <w:sz w:val="20"/>
        </w:rPr>
      </w:pPr>
      <w:r>
        <w:rPr>
          <w:color w:val="231F20"/>
          <w:w w:val="105"/>
          <w:sz w:val="20"/>
        </w:rPr>
        <w:t xml:space="preserve">---------“U.S. Hunts German Terrorists.” </w:t>
      </w:r>
      <w:r>
        <w:rPr>
          <w:i/>
          <w:color w:val="231F20"/>
          <w:w w:val="105"/>
          <w:sz w:val="20"/>
        </w:rPr>
        <w:t>Pacific Stars and Stripes,</w:t>
      </w:r>
    </w:p>
    <w:p w14:paraId="464A0F07" w14:textId="77777777" w:rsidR="002653E8" w:rsidRDefault="003115E3">
      <w:pPr>
        <w:pStyle w:val="a3"/>
        <w:spacing w:before="6"/>
        <w:ind w:left="2462"/>
      </w:pPr>
      <w:r>
        <w:rPr>
          <w:color w:val="231F20"/>
          <w:w w:val="110"/>
        </w:rPr>
        <w:t>July 23, 1978.</w:t>
      </w:r>
    </w:p>
    <w:p w14:paraId="222F59D5" w14:textId="77777777" w:rsidR="002653E8" w:rsidRDefault="003115E3">
      <w:pPr>
        <w:spacing w:before="165" w:line="244" w:lineRule="auto"/>
        <w:ind w:left="2462" w:right="1513" w:hanging="1134"/>
        <w:rPr>
          <w:sz w:val="20"/>
        </w:rPr>
      </w:pPr>
      <w:r>
        <w:rPr>
          <w:color w:val="231F20"/>
          <w:w w:val="105"/>
          <w:sz w:val="20"/>
        </w:rPr>
        <w:t xml:space="preserve">---------“Urban Guerilla Leader Hangs Herself in Cell.” </w:t>
      </w:r>
      <w:r>
        <w:rPr>
          <w:i/>
          <w:color w:val="231F20"/>
          <w:w w:val="105"/>
          <w:sz w:val="20"/>
        </w:rPr>
        <w:t xml:space="preserve">The Daily Review (Hayward, California), </w:t>
      </w:r>
      <w:r>
        <w:rPr>
          <w:color w:val="231F20"/>
          <w:w w:val="105"/>
          <w:sz w:val="20"/>
        </w:rPr>
        <w:t>May 10, 1976.</w:t>
      </w:r>
    </w:p>
    <w:p w14:paraId="0D961580" w14:textId="77777777" w:rsidR="002653E8" w:rsidRDefault="003115E3">
      <w:pPr>
        <w:pStyle w:val="a3"/>
        <w:spacing w:before="162"/>
        <w:ind w:left="1328"/>
      </w:pPr>
      <w:r>
        <w:rPr>
          <w:i/>
          <w:color w:val="231F20"/>
          <w:w w:val="105"/>
        </w:rPr>
        <w:t>---------</w:t>
      </w:r>
      <w:r>
        <w:rPr>
          <w:color w:val="231F20"/>
          <w:w w:val="105"/>
        </w:rPr>
        <w:t>“West W. German Professor Admits Kidnaping Hoax.”</w:t>
      </w:r>
    </w:p>
    <w:p w14:paraId="51C3902A" w14:textId="77777777" w:rsidR="002653E8" w:rsidRDefault="003115E3">
      <w:pPr>
        <w:spacing w:before="5"/>
        <w:ind w:left="2462"/>
        <w:rPr>
          <w:sz w:val="20"/>
        </w:rPr>
      </w:pPr>
      <w:r>
        <w:rPr>
          <w:i/>
          <w:color w:val="231F20"/>
          <w:w w:val="105"/>
          <w:sz w:val="20"/>
        </w:rPr>
        <w:t xml:space="preserve">European Stars and Stripes, </w:t>
      </w:r>
      <w:r>
        <w:rPr>
          <w:color w:val="231F20"/>
          <w:w w:val="105"/>
          <w:sz w:val="20"/>
        </w:rPr>
        <w:t>April 27, 1971.</w:t>
      </w:r>
    </w:p>
    <w:p w14:paraId="567E6BBB" w14:textId="77777777" w:rsidR="002653E8" w:rsidRDefault="003115E3">
      <w:pPr>
        <w:pStyle w:val="a3"/>
        <w:spacing w:before="166" w:line="244" w:lineRule="auto"/>
        <w:ind w:left="2461" w:right="1580" w:hanging="1134"/>
      </w:pPr>
      <w:r>
        <w:rPr>
          <w:color w:val="231F20"/>
          <w:w w:val="105"/>
        </w:rPr>
        <w:t xml:space="preserve">Whitney, Craig R. (New york Times Writer) “Treaty Seen to Block Asylum for Terrorists.” </w:t>
      </w:r>
      <w:r>
        <w:rPr>
          <w:i/>
          <w:color w:val="231F20"/>
          <w:w w:val="105"/>
        </w:rPr>
        <w:t xml:space="preserve">Salt Lake Tribune, </w:t>
      </w:r>
      <w:r>
        <w:rPr>
          <w:color w:val="231F20"/>
          <w:w w:val="105"/>
        </w:rPr>
        <w:t>September 3, 1976.</w:t>
      </w:r>
    </w:p>
    <w:p w14:paraId="4AF7C1EB" w14:textId="77777777" w:rsidR="002653E8" w:rsidRPr="00846956" w:rsidRDefault="003115E3">
      <w:pPr>
        <w:spacing w:before="162"/>
        <w:ind w:left="1327"/>
        <w:rPr>
          <w:sz w:val="20"/>
          <w:lang w:val="de-DE"/>
        </w:rPr>
      </w:pPr>
      <w:r>
        <w:rPr>
          <w:i/>
          <w:color w:val="231F20"/>
          <w:w w:val="105"/>
          <w:sz w:val="20"/>
        </w:rPr>
        <w:t xml:space="preserve">Winnipeg Free Press. </w:t>
      </w:r>
      <w:r>
        <w:rPr>
          <w:color w:val="231F20"/>
          <w:w w:val="105"/>
          <w:sz w:val="20"/>
        </w:rPr>
        <w:t xml:space="preserve">“Uneven contest.” </w:t>
      </w:r>
      <w:r w:rsidRPr="00846956">
        <w:rPr>
          <w:color w:val="231F20"/>
          <w:w w:val="105"/>
          <w:sz w:val="20"/>
          <w:lang w:val="de-DE"/>
        </w:rPr>
        <w:t>May 19, 1976.</w:t>
      </w:r>
    </w:p>
    <w:p w14:paraId="1DD73E2C" w14:textId="77777777" w:rsidR="002653E8" w:rsidRPr="00846956" w:rsidRDefault="003115E3">
      <w:pPr>
        <w:pStyle w:val="a3"/>
        <w:spacing w:before="166" w:line="244" w:lineRule="auto"/>
        <w:ind w:left="2461" w:right="1491" w:hanging="1134"/>
        <w:rPr>
          <w:lang w:val="de-DE"/>
        </w:rPr>
      </w:pPr>
      <w:r w:rsidRPr="00846956">
        <w:rPr>
          <w:color w:val="231F20"/>
          <w:w w:val="105"/>
          <w:lang w:val="de-DE"/>
        </w:rPr>
        <w:t xml:space="preserve">Winters, Peter Jochen. “Die Verquickung in Machenschaften der Meinhof-Bande began mit einer Kirschenbetzung.” </w:t>
      </w:r>
      <w:r w:rsidRPr="00846956">
        <w:rPr>
          <w:i/>
          <w:color w:val="231F20"/>
          <w:w w:val="105"/>
          <w:lang w:val="de-DE"/>
        </w:rPr>
        <w:t xml:space="preserve">Frankfurter Allgemeine Zeitung, </w:t>
      </w:r>
      <w:r w:rsidRPr="00846956">
        <w:rPr>
          <w:color w:val="231F20"/>
          <w:w w:val="105"/>
          <w:lang w:val="de-DE"/>
        </w:rPr>
        <w:t>November 25, 1974.</w:t>
      </w:r>
    </w:p>
    <w:p w14:paraId="6578E3BE" w14:textId="77777777" w:rsidR="002653E8" w:rsidRPr="00846956" w:rsidRDefault="002653E8">
      <w:pPr>
        <w:spacing w:line="244" w:lineRule="auto"/>
        <w:rPr>
          <w:lang w:val="de-DE"/>
        </w:rPr>
        <w:sectPr w:rsidR="002653E8" w:rsidRPr="00846956">
          <w:pgSz w:w="8640" w:h="12960"/>
          <w:pgMar w:top="1060" w:right="0" w:bottom="1040" w:left="0" w:header="0" w:footer="850" w:gutter="0"/>
          <w:cols w:space="720"/>
        </w:sectPr>
      </w:pPr>
    </w:p>
    <w:p w14:paraId="69C5CDFB" w14:textId="77777777" w:rsidR="002653E8" w:rsidRPr="00846956" w:rsidRDefault="003115E3">
      <w:pPr>
        <w:pStyle w:val="a3"/>
        <w:spacing w:before="88"/>
        <w:ind w:left="1147"/>
        <w:rPr>
          <w:lang w:val="de-DE"/>
        </w:rPr>
      </w:pPr>
      <w:r w:rsidRPr="00846956">
        <w:rPr>
          <w:i/>
          <w:color w:val="231F20"/>
          <w:lang w:val="de-DE"/>
        </w:rPr>
        <w:lastRenderedPageBreak/>
        <w:t>---------</w:t>
      </w:r>
      <w:r w:rsidRPr="00846956">
        <w:rPr>
          <w:color w:val="231F20"/>
          <w:lang w:val="de-DE"/>
        </w:rPr>
        <w:t>“Ulrike Meinhof läßt sich nur die Stichwort geben.”</w:t>
      </w:r>
    </w:p>
    <w:p w14:paraId="647C0DD8" w14:textId="77777777" w:rsidR="002653E8" w:rsidRPr="00846956" w:rsidRDefault="003115E3">
      <w:pPr>
        <w:spacing w:before="6"/>
        <w:ind w:left="2281"/>
        <w:rPr>
          <w:sz w:val="20"/>
          <w:lang w:val="de-DE"/>
        </w:rPr>
      </w:pPr>
      <w:r w:rsidRPr="00846956">
        <w:rPr>
          <w:i/>
          <w:color w:val="231F20"/>
          <w:w w:val="105"/>
          <w:sz w:val="20"/>
          <w:lang w:val="de-DE"/>
        </w:rPr>
        <w:t xml:space="preserve">Frankfurter Allgemeine Zeitung, </w:t>
      </w:r>
      <w:r w:rsidRPr="00846956">
        <w:rPr>
          <w:color w:val="231F20"/>
          <w:w w:val="105"/>
          <w:sz w:val="20"/>
          <w:lang w:val="de-DE"/>
        </w:rPr>
        <w:t>December 15,  1972.</w:t>
      </w:r>
    </w:p>
    <w:p w14:paraId="062BF462" w14:textId="77777777" w:rsidR="002653E8" w:rsidRPr="00846956" w:rsidRDefault="003115E3">
      <w:pPr>
        <w:pStyle w:val="a3"/>
        <w:spacing w:before="165"/>
        <w:ind w:left="1147"/>
        <w:rPr>
          <w:lang w:val="de-DE"/>
        </w:rPr>
      </w:pPr>
      <w:r w:rsidRPr="00846956">
        <w:rPr>
          <w:i/>
          <w:color w:val="231F20"/>
          <w:lang w:val="de-DE"/>
        </w:rPr>
        <w:t>---------</w:t>
      </w:r>
      <w:r w:rsidRPr="00846956">
        <w:rPr>
          <w:color w:val="231F20"/>
          <w:lang w:val="de-DE"/>
        </w:rPr>
        <w:t>“Unklarheit über die Rolle der verhafteten Pfarrersfrau.”</w:t>
      </w:r>
    </w:p>
    <w:p w14:paraId="5F4B1011" w14:textId="77777777" w:rsidR="002653E8" w:rsidRDefault="003115E3">
      <w:pPr>
        <w:spacing w:before="6"/>
        <w:ind w:left="2281"/>
        <w:rPr>
          <w:sz w:val="20"/>
        </w:rPr>
      </w:pPr>
      <w:r>
        <w:rPr>
          <w:i/>
          <w:color w:val="231F20"/>
          <w:w w:val="105"/>
          <w:sz w:val="20"/>
        </w:rPr>
        <w:t xml:space="preserve">Frankfurter Allgemeine Zeitung, </w:t>
      </w:r>
      <w:r>
        <w:rPr>
          <w:color w:val="231F20"/>
          <w:w w:val="105"/>
          <w:sz w:val="20"/>
        </w:rPr>
        <w:t>November 23, 1974.</w:t>
      </w:r>
    </w:p>
    <w:p w14:paraId="5DB44C6B" w14:textId="77777777" w:rsidR="002653E8" w:rsidRDefault="003115E3">
      <w:pPr>
        <w:pStyle w:val="a3"/>
        <w:spacing w:before="165" w:line="244" w:lineRule="auto"/>
        <w:ind w:left="2281" w:right="1580" w:hanging="1134"/>
      </w:pPr>
      <w:r>
        <w:rPr>
          <w:color w:val="231F20"/>
        </w:rPr>
        <w:t xml:space="preserve">Wolff, Alexander </w:t>
      </w:r>
      <w:r>
        <w:rPr>
          <w:color w:val="231F20"/>
          <w:spacing w:val="2"/>
        </w:rPr>
        <w:t xml:space="preserve">“Thirty </w:t>
      </w:r>
      <w:r>
        <w:rPr>
          <w:color w:val="231F20"/>
        </w:rPr>
        <w:t xml:space="preserve">years after he helped plan the terror strike, Abu Daoud remains in hiding </w:t>
      </w:r>
      <w:r>
        <w:rPr>
          <w:color w:val="231F20"/>
          <w:spacing w:val="1"/>
        </w:rPr>
        <w:t xml:space="preserve">- </w:t>
      </w:r>
      <w:r>
        <w:rPr>
          <w:color w:val="231F20"/>
        </w:rPr>
        <w:t xml:space="preserve">and  unrepentant.” </w:t>
      </w:r>
      <w:r>
        <w:rPr>
          <w:i/>
          <w:color w:val="231F20"/>
        </w:rPr>
        <w:t xml:space="preserve">Sports Illustrated, </w:t>
      </w:r>
      <w:r>
        <w:rPr>
          <w:color w:val="231F20"/>
        </w:rPr>
        <w:t xml:space="preserve">August 26, 2002. http:// </w:t>
      </w:r>
      <w:r>
        <w:rPr>
          <w:color w:val="231F20"/>
          <w:spacing w:val="-1"/>
          <w:w w:val="90"/>
        </w:rPr>
        <w:t>s</w:t>
      </w:r>
      <w:r>
        <w:rPr>
          <w:color w:val="231F20"/>
          <w:w w:val="102"/>
        </w:rPr>
        <w:t>p</w:t>
      </w:r>
      <w:r>
        <w:rPr>
          <w:color w:val="231F20"/>
          <w:spacing w:val="-1"/>
          <w:w w:val="102"/>
        </w:rPr>
        <w:t>o</w:t>
      </w:r>
      <w:r>
        <w:rPr>
          <w:color w:val="231F20"/>
          <w:spacing w:val="5"/>
          <w:w w:val="94"/>
        </w:rPr>
        <w:t>r</w:t>
      </w:r>
      <w:r>
        <w:rPr>
          <w:color w:val="231F20"/>
          <w:spacing w:val="2"/>
          <w:w w:val="98"/>
        </w:rPr>
        <w:t>t</w:t>
      </w:r>
      <w:r>
        <w:rPr>
          <w:color w:val="231F20"/>
          <w:spacing w:val="-1"/>
          <w:w w:val="90"/>
        </w:rPr>
        <w:t>s</w:t>
      </w:r>
      <w:r>
        <w:rPr>
          <w:color w:val="231F20"/>
          <w:spacing w:val="2"/>
        </w:rPr>
        <w:t>i</w:t>
      </w:r>
      <w:r>
        <w:rPr>
          <w:color w:val="231F20"/>
          <w:spacing w:val="2"/>
          <w:w w:val="102"/>
        </w:rPr>
        <w:t>l</w:t>
      </w:r>
      <w:r>
        <w:rPr>
          <w:color w:val="231F20"/>
          <w:spacing w:val="-4"/>
          <w:w w:val="102"/>
        </w:rPr>
        <w:t>l</w:t>
      </w:r>
      <w:r>
        <w:rPr>
          <w:color w:val="231F20"/>
          <w:spacing w:val="1"/>
        </w:rPr>
        <w:t>u</w:t>
      </w:r>
      <w:r>
        <w:rPr>
          <w:color w:val="231F20"/>
          <w:w w:val="90"/>
        </w:rPr>
        <w:t>s</w:t>
      </w:r>
      <w:r>
        <w:rPr>
          <w:color w:val="231F20"/>
          <w:spacing w:val="3"/>
          <w:w w:val="98"/>
        </w:rPr>
        <w:t>t</w:t>
      </w:r>
      <w:r>
        <w:rPr>
          <w:color w:val="231F20"/>
          <w:spacing w:val="-1"/>
          <w:w w:val="94"/>
        </w:rPr>
        <w:t>r</w:t>
      </w:r>
      <w:r>
        <w:rPr>
          <w:color w:val="231F20"/>
          <w:spacing w:val="-2"/>
          <w:w w:val="102"/>
        </w:rPr>
        <w:t>a</w:t>
      </w:r>
      <w:r>
        <w:rPr>
          <w:color w:val="231F20"/>
          <w:w w:val="98"/>
        </w:rPr>
        <w:t>t</w:t>
      </w:r>
      <w:r>
        <w:rPr>
          <w:color w:val="231F20"/>
          <w:w w:val="91"/>
        </w:rPr>
        <w:t>e</w:t>
      </w:r>
      <w:r>
        <w:rPr>
          <w:color w:val="231F20"/>
          <w:w w:val="109"/>
        </w:rPr>
        <w:t>d.</w:t>
      </w:r>
      <w:r>
        <w:rPr>
          <w:color w:val="231F20"/>
          <w:spacing w:val="1"/>
        </w:rPr>
        <w:t>c</w:t>
      </w:r>
      <w:r>
        <w:rPr>
          <w:color w:val="231F20"/>
          <w:spacing w:val="3"/>
          <w:w w:val="99"/>
        </w:rPr>
        <w:t>n</w:t>
      </w:r>
      <w:r>
        <w:rPr>
          <w:color w:val="231F20"/>
          <w:w w:val="109"/>
        </w:rPr>
        <w:t>n.</w:t>
      </w:r>
      <w:r>
        <w:rPr>
          <w:color w:val="231F20"/>
        </w:rPr>
        <w:t>c</w:t>
      </w:r>
      <w:r>
        <w:rPr>
          <w:color w:val="231F20"/>
          <w:spacing w:val="-1"/>
          <w:w w:val="104"/>
        </w:rPr>
        <w:t>o</w:t>
      </w:r>
      <w:r>
        <w:rPr>
          <w:color w:val="231F20"/>
          <w:spacing w:val="10"/>
          <w:w w:val="99"/>
        </w:rPr>
        <w:t>m</w:t>
      </w:r>
      <w:r>
        <w:rPr>
          <w:color w:val="231F20"/>
          <w:spacing w:val="-4"/>
          <w:w w:val="56"/>
        </w:rPr>
        <w:t>/</w:t>
      </w:r>
      <w:r>
        <w:rPr>
          <w:color w:val="231F20"/>
          <w:spacing w:val="-1"/>
          <w:w w:val="90"/>
        </w:rPr>
        <w:t>s</w:t>
      </w:r>
      <w:r>
        <w:rPr>
          <w:color w:val="231F20"/>
          <w:spacing w:val="5"/>
        </w:rPr>
        <w:t>i</w:t>
      </w:r>
      <w:r>
        <w:rPr>
          <w:color w:val="231F20"/>
          <w:spacing w:val="3"/>
          <w:w w:val="134"/>
        </w:rPr>
        <w:t>_</w:t>
      </w:r>
      <w:r>
        <w:rPr>
          <w:color w:val="231F20"/>
          <w:spacing w:val="-1"/>
          <w:w w:val="104"/>
        </w:rPr>
        <w:t>o</w:t>
      </w:r>
      <w:r>
        <w:rPr>
          <w:color w:val="231F20"/>
          <w:spacing w:val="3"/>
          <w:w w:val="99"/>
        </w:rPr>
        <w:t>n</w:t>
      </w:r>
      <w:r>
        <w:rPr>
          <w:color w:val="231F20"/>
          <w:spacing w:val="2"/>
          <w:w w:val="102"/>
        </w:rPr>
        <w:t>l</w:t>
      </w:r>
      <w:r>
        <w:rPr>
          <w:color w:val="231F20"/>
          <w:spacing w:val="2"/>
        </w:rPr>
        <w:t>i</w:t>
      </w:r>
      <w:r>
        <w:rPr>
          <w:color w:val="231F20"/>
          <w:spacing w:val="-1"/>
          <w:w w:val="99"/>
        </w:rPr>
        <w:t>n</w:t>
      </w:r>
      <w:r>
        <w:rPr>
          <w:color w:val="231F20"/>
          <w:spacing w:val="5"/>
          <w:w w:val="91"/>
        </w:rPr>
        <w:t>e</w:t>
      </w:r>
      <w:r>
        <w:rPr>
          <w:color w:val="231F20"/>
          <w:w w:val="56"/>
        </w:rPr>
        <w:t>/</w:t>
      </w:r>
      <w:r>
        <w:rPr>
          <w:color w:val="231F20"/>
          <w:spacing w:val="-1"/>
          <w:w w:val="99"/>
        </w:rPr>
        <w:t>n</w:t>
      </w:r>
      <w:r>
        <w:rPr>
          <w:color w:val="231F20"/>
          <w:w w:val="91"/>
        </w:rPr>
        <w:t>e</w:t>
      </w:r>
      <w:r>
        <w:rPr>
          <w:color w:val="231F20"/>
        </w:rPr>
        <w:t>w</w:t>
      </w:r>
      <w:r>
        <w:rPr>
          <w:color w:val="231F20"/>
          <w:spacing w:val="5"/>
          <w:w w:val="90"/>
        </w:rPr>
        <w:t>s</w:t>
      </w:r>
      <w:r>
        <w:rPr>
          <w:color w:val="231F20"/>
          <w:spacing w:val="-5"/>
          <w:w w:val="56"/>
        </w:rPr>
        <w:t>/</w:t>
      </w:r>
      <w:r>
        <w:rPr>
          <w:color w:val="231F20"/>
          <w:spacing w:val="2"/>
        </w:rPr>
        <w:t>2</w:t>
      </w:r>
      <w:r>
        <w:rPr>
          <w:color w:val="231F20"/>
          <w:spacing w:val="5"/>
        </w:rPr>
        <w:t>0</w:t>
      </w:r>
      <w:r>
        <w:rPr>
          <w:color w:val="231F20"/>
          <w:spacing w:val="-2"/>
        </w:rPr>
        <w:t>0</w:t>
      </w:r>
      <w:r>
        <w:rPr>
          <w:color w:val="231F20"/>
          <w:spacing w:val="6"/>
        </w:rPr>
        <w:t>2</w:t>
      </w:r>
      <w:r>
        <w:rPr>
          <w:color w:val="231F20"/>
          <w:spacing w:val="-4"/>
          <w:w w:val="56"/>
        </w:rPr>
        <w:t>/</w:t>
      </w:r>
      <w:r>
        <w:rPr>
          <w:color w:val="231F20"/>
          <w:spacing w:val="-1"/>
        </w:rPr>
        <w:t>0</w:t>
      </w:r>
      <w:r>
        <w:rPr>
          <w:color w:val="231F20"/>
        </w:rPr>
        <w:t>8</w:t>
      </w:r>
      <w:r>
        <w:rPr>
          <w:color w:val="231F20"/>
          <w:spacing w:val="-6"/>
          <w:w w:val="56"/>
        </w:rPr>
        <w:t>/</w:t>
      </w:r>
      <w:r>
        <w:rPr>
          <w:color w:val="231F20"/>
          <w:spacing w:val="2"/>
        </w:rPr>
        <w:t>2</w:t>
      </w:r>
      <w:r>
        <w:rPr>
          <w:color w:val="231F20"/>
          <w:spacing w:val="3"/>
        </w:rPr>
        <w:t>0</w:t>
      </w:r>
      <w:r>
        <w:rPr>
          <w:color w:val="231F20"/>
          <w:w w:val="56"/>
        </w:rPr>
        <w:t xml:space="preserve">/ </w:t>
      </w:r>
      <w:r>
        <w:rPr>
          <w:color w:val="231F20"/>
        </w:rPr>
        <w:t>sb2/</w:t>
      </w:r>
    </w:p>
    <w:p w14:paraId="68E48274" w14:textId="77777777" w:rsidR="002653E8" w:rsidRDefault="003115E3">
      <w:pPr>
        <w:pStyle w:val="a3"/>
        <w:spacing w:before="165" w:line="244" w:lineRule="auto"/>
        <w:ind w:left="2281" w:right="1145" w:hanging="1134"/>
      </w:pPr>
      <w:r>
        <w:rPr>
          <w:color w:val="231F20"/>
          <w:w w:val="105"/>
        </w:rPr>
        <w:t>yeoman,</w:t>
      </w:r>
      <w:r>
        <w:rPr>
          <w:color w:val="231F20"/>
          <w:spacing w:val="-15"/>
          <w:w w:val="105"/>
        </w:rPr>
        <w:t xml:space="preserve"> </w:t>
      </w:r>
      <w:r>
        <w:rPr>
          <w:color w:val="231F20"/>
          <w:w w:val="105"/>
        </w:rPr>
        <w:t>Fran</w:t>
      </w:r>
      <w:r>
        <w:rPr>
          <w:color w:val="231F20"/>
          <w:spacing w:val="-15"/>
          <w:w w:val="105"/>
        </w:rPr>
        <w:t xml:space="preserve"> </w:t>
      </w:r>
      <w:r>
        <w:rPr>
          <w:color w:val="231F20"/>
          <w:w w:val="105"/>
        </w:rPr>
        <w:t>“Diplomats</w:t>
      </w:r>
      <w:r>
        <w:rPr>
          <w:color w:val="231F20"/>
          <w:spacing w:val="-15"/>
          <w:w w:val="105"/>
        </w:rPr>
        <w:t xml:space="preserve"> </w:t>
      </w:r>
      <w:r>
        <w:rPr>
          <w:color w:val="231F20"/>
          <w:w w:val="105"/>
        </w:rPr>
        <w:t>suspected</w:t>
      </w:r>
      <w:r>
        <w:rPr>
          <w:color w:val="231F20"/>
          <w:spacing w:val="-15"/>
          <w:w w:val="105"/>
        </w:rPr>
        <w:t xml:space="preserve"> </w:t>
      </w:r>
      <w:r>
        <w:rPr>
          <w:color w:val="231F20"/>
          <w:w w:val="105"/>
        </w:rPr>
        <w:t>Entebbe</w:t>
      </w:r>
      <w:r>
        <w:rPr>
          <w:color w:val="231F20"/>
          <w:spacing w:val="-15"/>
          <w:w w:val="105"/>
        </w:rPr>
        <w:t xml:space="preserve"> </w:t>
      </w:r>
      <w:r>
        <w:rPr>
          <w:color w:val="231F20"/>
          <w:w w:val="105"/>
        </w:rPr>
        <w:t>hijacking</w:t>
      </w:r>
      <w:r>
        <w:rPr>
          <w:color w:val="231F20"/>
          <w:spacing w:val="-15"/>
          <w:w w:val="105"/>
        </w:rPr>
        <w:t xml:space="preserve"> </w:t>
      </w:r>
      <w:r>
        <w:rPr>
          <w:color w:val="231F20"/>
          <w:w w:val="105"/>
        </w:rPr>
        <w:t>was</w:t>
      </w:r>
      <w:r>
        <w:rPr>
          <w:color w:val="231F20"/>
          <w:spacing w:val="-15"/>
          <w:w w:val="105"/>
        </w:rPr>
        <w:t xml:space="preserve"> </w:t>
      </w:r>
      <w:r>
        <w:rPr>
          <w:color w:val="231F20"/>
          <w:w w:val="105"/>
        </w:rPr>
        <w:t>an</w:t>
      </w:r>
      <w:r>
        <w:rPr>
          <w:color w:val="231F20"/>
          <w:spacing w:val="-15"/>
          <w:w w:val="105"/>
        </w:rPr>
        <w:t xml:space="preserve"> </w:t>
      </w:r>
      <w:r>
        <w:rPr>
          <w:color w:val="231F20"/>
          <w:w w:val="105"/>
        </w:rPr>
        <w:t xml:space="preserve">Israeli plot to discredit the </w:t>
      </w:r>
      <w:r>
        <w:rPr>
          <w:color w:val="231F20"/>
          <w:spacing w:val="-4"/>
          <w:w w:val="105"/>
        </w:rPr>
        <w:t xml:space="preserve">PLO.” </w:t>
      </w:r>
      <w:r>
        <w:rPr>
          <w:color w:val="231F20"/>
          <w:w w:val="105"/>
        </w:rPr>
        <w:t xml:space="preserve">Times Online, June 1, 2007. </w:t>
      </w:r>
      <w:hyperlink r:id="rId629">
        <w:r>
          <w:rPr>
            <w:color w:val="231F20"/>
            <w:spacing w:val="-2"/>
            <w:w w:val="99"/>
          </w:rPr>
          <w:t>h</w:t>
        </w:r>
        <w:r>
          <w:rPr>
            <w:color w:val="231F20"/>
            <w:spacing w:val="5"/>
            <w:w w:val="99"/>
          </w:rPr>
          <w:t>t</w:t>
        </w:r>
        <w:r>
          <w:rPr>
            <w:color w:val="231F20"/>
            <w:spacing w:val="3"/>
            <w:w w:val="98"/>
          </w:rPr>
          <w:t>t</w:t>
        </w:r>
        <w:r>
          <w:rPr>
            <w:color w:val="231F20"/>
            <w:spacing w:val="-1"/>
            <w:w w:val="99"/>
          </w:rPr>
          <w:t>p</w:t>
        </w:r>
        <w:r>
          <w:rPr>
            <w:color w:val="231F20"/>
            <w:spacing w:val="5"/>
            <w:w w:val="105"/>
          </w:rPr>
          <w:t>:</w:t>
        </w:r>
        <w:r>
          <w:rPr>
            <w:color w:val="231F20"/>
            <w:spacing w:val="-3"/>
            <w:w w:val="56"/>
          </w:rPr>
          <w:t>/</w:t>
        </w:r>
        <w:r>
          <w:rPr>
            <w:color w:val="231F20"/>
            <w:spacing w:val="1"/>
            <w:w w:val="56"/>
          </w:rPr>
          <w:t>/</w:t>
        </w:r>
        <w:r>
          <w:rPr>
            <w:color w:val="231F20"/>
            <w:spacing w:val="6"/>
          </w:rPr>
          <w:t>ww</w:t>
        </w:r>
        <w:r>
          <w:rPr>
            <w:color w:val="231F20"/>
            <w:spacing w:val="-12"/>
          </w:rPr>
          <w:t>w</w:t>
        </w:r>
        <w:r>
          <w:rPr>
            <w:color w:val="231F20"/>
            <w:spacing w:val="-2"/>
            <w:w w:val="135"/>
          </w:rPr>
          <w:t>.</w:t>
        </w:r>
        <w:r>
          <w:rPr>
            <w:color w:val="231F20"/>
            <w:spacing w:val="2"/>
            <w:w w:val="98"/>
          </w:rPr>
          <w:t>t</w:t>
        </w:r>
        <w:r>
          <w:rPr>
            <w:color w:val="231F20"/>
            <w:spacing w:val="3"/>
          </w:rPr>
          <w:t>i</w:t>
        </w:r>
        <w:r>
          <w:rPr>
            <w:color w:val="231F20"/>
            <w:w w:val="99"/>
          </w:rPr>
          <w:t>m</w:t>
        </w:r>
        <w:r>
          <w:rPr>
            <w:color w:val="231F20"/>
            <w:spacing w:val="1"/>
            <w:w w:val="91"/>
          </w:rPr>
          <w:t>e</w:t>
        </w:r>
        <w:r>
          <w:rPr>
            <w:color w:val="231F20"/>
            <w:w w:val="90"/>
          </w:rPr>
          <w:t>s</w:t>
        </w:r>
        <w:r>
          <w:rPr>
            <w:color w:val="231F20"/>
            <w:spacing w:val="-1"/>
            <w:w w:val="104"/>
          </w:rPr>
          <w:t>o</w:t>
        </w:r>
        <w:r>
          <w:rPr>
            <w:color w:val="231F20"/>
            <w:spacing w:val="3"/>
            <w:w w:val="99"/>
          </w:rPr>
          <w:t>n</w:t>
        </w:r>
        <w:r>
          <w:rPr>
            <w:color w:val="231F20"/>
            <w:spacing w:val="2"/>
            <w:w w:val="102"/>
          </w:rPr>
          <w:t>l</w:t>
        </w:r>
        <w:r>
          <w:rPr>
            <w:color w:val="231F20"/>
            <w:spacing w:val="2"/>
          </w:rPr>
          <w:t>i</w:t>
        </w:r>
        <w:r>
          <w:rPr>
            <w:color w:val="231F20"/>
            <w:spacing w:val="-1"/>
            <w:w w:val="99"/>
          </w:rPr>
          <w:t>n</w:t>
        </w:r>
        <w:r>
          <w:rPr>
            <w:color w:val="231F20"/>
            <w:w w:val="91"/>
          </w:rPr>
          <w:t>e</w:t>
        </w:r>
        <w:r>
          <w:rPr>
            <w:color w:val="231F20"/>
            <w:w w:val="135"/>
          </w:rPr>
          <w:t>.</w:t>
        </w:r>
        <w:r>
          <w:rPr>
            <w:color w:val="231F20"/>
          </w:rPr>
          <w:t>c</w:t>
        </w:r>
        <w:r>
          <w:rPr>
            <w:color w:val="231F20"/>
            <w:spacing w:val="-2"/>
            <w:w w:val="113"/>
          </w:rPr>
          <w:t>o</w:t>
        </w:r>
        <w:r>
          <w:rPr>
            <w:color w:val="231F20"/>
            <w:spacing w:val="-3"/>
            <w:w w:val="113"/>
          </w:rPr>
          <w:t>.</w:t>
        </w:r>
        <w:r>
          <w:rPr>
            <w:color w:val="231F20"/>
            <w:spacing w:val="3"/>
          </w:rPr>
          <w:t>u</w:t>
        </w:r>
        <w:r>
          <w:rPr>
            <w:color w:val="231F20"/>
            <w:spacing w:val="8"/>
            <w:w w:val="106"/>
          </w:rPr>
          <w:t>k</w:t>
        </w:r>
        <w:r>
          <w:rPr>
            <w:color w:val="231F20"/>
            <w:w w:val="56"/>
          </w:rPr>
          <w:t>/</w:t>
        </w:r>
        <w:r>
          <w:rPr>
            <w:color w:val="231F20"/>
            <w:spacing w:val="-2"/>
            <w:w w:val="98"/>
          </w:rPr>
          <w:t>t</w:t>
        </w:r>
        <w:r>
          <w:rPr>
            <w:color w:val="231F20"/>
            <w:spacing w:val="-2"/>
            <w:w w:val="104"/>
          </w:rPr>
          <w:t>o</w:t>
        </w:r>
        <w:r>
          <w:rPr>
            <w:color w:val="231F20"/>
            <w:spacing w:val="8"/>
            <w:w w:val="102"/>
          </w:rPr>
          <w:t>l</w:t>
        </w:r>
        <w:r>
          <w:rPr>
            <w:color w:val="231F20"/>
            <w:w w:val="56"/>
          </w:rPr>
          <w:t>/</w:t>
        </w:r>
        <w:r>
          <w:rPr>
            <w:color w:val="231F20"/>
            <w:spacing w:val="-1"/>
            <w:w w:val="99"/>
          </w:rPr>
          <w:t>n</w:t>
        </w:r>
        <w:r>
          <w:rPr>
            <w:color w:val="231F20"/>
            <w:w w:val="91"/>
          </w:rPr>
          <w:t>e</w:t>
        </w:r>
        <w:r>
          <w:rPr>
            <w:color w:val="231F20"/>
          </w:rPr>
          <w:t>w</w:t>
        </w:r>
        <w:r>
          <w:rPr>
            <w:color w:val="231F20"/>
            <w:spacing w:val="5"/>
            <w:w w:val="90"/>
          </w:rPr>
          <w:t>s</w:t>
        </w:r>
        <w:r>
          <w:rPr>
            <w:color w:val="231F20"/>
            <w:spacing w:val="1"/>
            <w:w w:val="56"/>
          </w:rPr>
          <w:t>/</w:t>
        </w:r>
        <w:r>
          <w:rPr>
            <w:color w:val="231F20"/>
            <w:spacing w:val="-3"/>
          </w:rPr>
          <w:t>w</w:t>
        </w:r>
        <w:r>
          <w:rPr>
            <w:color w:val="231F20"/>
            <w:spacing w:val="-1"/>
            <w:w w:val="104"/>
          </w:rPr>
          <w:t>o</w:t>
        </w:r>
        <w:r>
          <w:rPr>
            <w:color w:val="231F20"/>
            <w:spacing w:val="-3"/>
            <w:w w:val="94"/>
          </w:rPr>
          <w:t>r</w:t>
        </w:r>
        <w:r>
          <w:rPr>
            <w:color w:val="231F20"/>
            <w:spacing w:val="-2"/>
          </w:rPr>
          <w:t>l</w:t>
        </w:r>
        <w:r>
          <w:rPr>
            <w:color w:val="231F20"/>
            <w:spacing w:val="8"/>
          </w:rPr>
          <w:t>d</w:t>
        </w:r>
        <w:r>
          <w:rPr>
            <w:color w:val="231F20"/>
            <w:spacing w:val="-1"/>
            <w:w w:val="56"/>
          </w:rPr>
          <w:t>/</w:t>
        </w:r>
        <w:r>
          <w:rPr>
            <w:color w:val="231F20"/>
            <w:spacing w:val="3"/>
            <w:w w:val="99"/>
          </w:rPr>
          <w:t>m</w:t>
        </w:r>
        <w:r>
          <w:rPr>
            <w:color w:val="231F20"/>
            <w:spacing w:val="-2"/>
          </w:rPr>
          <w:t>i</w:t>
        </w:r>
        <w:r>
          <w:rPr>
            <w:color w:val="231F20"/>
            <w:spacing w:val="-1"/>
          </w:rPr>
          <w:t>d</w:t>
        </w:r>
        <w:r>
          <w:rPr>
            <w:color w:val="231F20"/>
            <w:spacing w:val="3"/>
          </w:rPr>
          <w:t>d</w:t>
        </w:r>
        <w:r>
          <w:rPr>
            <w:color w:val="231F20"/>
            <w:spacing w:val="-1"/>
            <w:w w:val="102"/>
          </w:rPr>
          <w:t>l</w:t>
        </w:r>
        <w:r>
          <w:rPr>
            <w:color w:val="231F20"/>
            <w:spacing w:val="5"/>
            <w:w w:val="91"/>
          </w:rPr>
          <w:t>e</w:t>
        </w:r>
        <w:r>
          <w:rPr>
            <w:color w:val="231F20"/>
            <w:w w:val="134"/>
          </w:rPr>
          <w:t>_</w:t>
        </w:r>
      </w:hyperlink>
      <w:r>
        <w:rPr>
          <w:color w:val="231F20"/>
          <w:w w:val="134"/>
        </w:rPr>
        <w:t xml:space="preserve"> </w:t>
      </w:r>
      <w:r>
        <w:rPr>
          <w:color w:val="231F20"/>
          <w:spacing w:val="1"/>
          <w:w w:val="91"/>
        </w:rPr>
        <w:t>e</w:t>
      </w:r>
      <w:r>
        <w:rPr>
          <w:color w:val="231F20"/>
          <w:w w:val="102"/>
        </w:rPr>
        <w:t>a</w:t>
      </w:r>
      <w:r>
        <w:rPr>
          <w:color w:val="231F20"/>
          <w:w w:val="90"/>
        </w:rPr>
        <w:t>s</w:t>
      </w:r>
      <w:r>
        <w:rPr>
          <w:color w:val="231F20"/>
          <w:spacing w:val="7"/>
          <w:w w:val="98"/>
        </w:rPr>
        <w:t>t</w:t>
      </w:r>
      <w:r>
        <w:rPr>
          <w:color w:val="231F20"/>
          <w:spacing w:val="-5"/>
          <w:w w:val="56"/>
        </w:rPr>
        <w:t>/</w:t>
      </w:r>
      <w:r>
        <w:rPr>
          <w:color w:val="231F20"/>
          <w:spacing w:val="3"/>
          <w:w w:val="102"/>
        </w:rPr>
        <w:t>a</w:t>
      </w:r>
      <w:r>
        <w:rPr>
          <w:color w:val="231F20"/>
          <w:spacing w:val="5"/>
          <w:w w:val="94"/>
        </w:rPr>
        <w:t>r</w:t>
      </w:r>
      <w:r>
        <w:rPr>
          <w:color w:val="231F20"/>
          <w:spacing w:val="2"/>
          <w:w w:val="98"/>
        </w:rPr>
        <w:t>t</w:t>
      </w:r>
      <w:r>
        <w:rPr>
          <w:color w:val="231F20"/>
        </w:rPr>
        <w:t>ic</w:t>
      </w:r>
      <w:r>
        <w:rPr>
          <w:color w:val="231F20"/>
          <w:spacing w:val="-1"/>
        </w:rPr>
        <w:t>l</w:t>
      </w:r>
      <w:r>
        <w:rPr>
          <w:color w:val="231F20"/>
          <w:spacing w:val="-10"/>
          <w:w w:val="91"/>
        </w:rPr>
        <w:t>e</w:t>
      </w:r>
      <w:r>
        <w:rPr>
          <w:color w:val="231F20"/>
          <w:spacing w:val="-10"/>
        </w:rPr>
        <w:t>1</w:t>
      </w:r>
      <w:r>
        <w:rPr>
          <w:color w:val="231F20"/>
          <w:spacing w:val="-1"/>
        </w:rPr>
        <w:t>8</w:t>
      </w:r>
      <w:r>
        <w:rPr>
          <w:color w:val="231F20"/>
        </w:rPr>
        <w:t>6</w:t>
      </w:r>
      <w:r>
        <w:rPr>
          <w:color w:val="231F20"/>
          <w:spacing w:val="-2"/>
        </w:rPr>
        <w:t>7</w:t>
      </w:r>
      <w:r>
        <w:rPr>
          <w:color w:val="231F20"/>
        </w:rPr>
        <w:t>9</w:t>
      </w:r>
      <w:r>
        <w:rPr>
          <w:color w:val="231F20"/>
          <w:spacing w:val="-7"/>
        </w:rPr>
        <w:t>9</w:t>
      </w:r>
      <w:r>
        <w:rPr>
          <w:color w:val="231F20"/>
          <w:spacing w:val="-4"/>
        </w:rPr>
        <w:t>5</w:t>
      </w:r>
      <w:r>
        <w:rPr>
          <w:color w:val="231F20"/>
          <w:w w:val="135"/>
        </w:rPr>
        <w:t>.</w:t>
      </w:r>
      <w:r>
        <w:rPr>
          <w:color w:val="231F20"/>
          <w:spacing w:val="1"/>
          <w:w w:val="91"/>
        </w:rPr>
        <w:t>e</w:t>
      </w:r>
      <w:r>
        <w:rPr>
          <w:color w:val="231F20"/>
          <w:spacing w:val="1"/>
        </w:rPr>
        <w:t>c</w:t>
      </w:r>
      <w:r>
        <w:rPr>
          <w:color w:val="231F20"/>
          <w:w w:val="91"/>
        </w:rPr>
        <w:t>e</w:t>
      </w:r>
    </w:p>
    <w:p w14:paraId="216D9753" w14:textId="77777777" w:rsidR="002653E8" w:rsidRDefault="002653E8">
      <w:pPr>
        <w:spacing w:line="244" w:lineRule="auto"/>
        <w:sectPr w:rsidR="002653E8">
          <w:footerReference w:type="even" r:id="rId630"/>
          <w:footerReference w:type="default" r:id="rId631"/>
          <w:pgSz w:w="8640" w:h="12960"/>
          <w:pgMar w:top="1060" w:right="0" w:bottom="1040" w:left="0" w:header="0" w:footer="850" w:gutter="0"/>
          <w:cols w:space="720"/>
        </w:sectPr>
      </w:pPr>
    </w:p>
    <w:p w14:paraId="0453164F" w14:textId="77777777" w:rsidR="002653E8" w:rsidRDefault="002653E8">
      <w:pPr>
        <w:pStyle w:val="a3"/>
        <w:spacing w:before="7"/>
        <w:rPr>
          <w:sz w:val="10"/>
        </w:rPr>
      </w:pPr>
    </w:p>
    <w:p w14:paraId="028B8F4C" w14:textId="77777777" w:rsidR="002653E8" w:rsidRDefault="00000000">
      <w:pPr>
        <w:pStyle w:val="1"/>
      </w:pPr>
      <w:r>
        <w:rPr>
          <w:noProof w:val="0"/>
        </w:rPr>
        <w:pict w14:anchorId="7E5CFAE3">
          <v:line id="_x0000_s2124" style="position:absolute;left:0;text-align:left;z-index:11728;mso-wrap-distance-left:0;mso-wrap-distance-right:0;mso-position-horizontal-relative:page" from="186.65pt,31.6pt" to="254.35pt,31.6pt" strokecolor="#231f20" strokeweight="3pt">
            <v:stroke dashstyle="longDash"/>
            <w10:wrap type="topAndBottom" anchorx="page"/>
          </v:line>
        </w:pict>
      </w:r>
      <w:bookmarkStart w:id="285" w:name="Index_"/>
      <w:bookmarkStart w:id="286" w:name="_bookmark94"/>
      <w:bookmarkEnd w:id="285"/>
      <w:bookmarkEnd w:id="286"/>
      <w:r w:rsidR="003115E3">
        <w:rPr>
          <w:color w:val="231F20"/>
          <w:w w:val="140"/>
        </w:rPr>
        <w:t>index</w:t>
      </w:r>
    </w:p>
    <w:p w14:paraId="3F050BBC" w14:textId="77777777" w:rsidR="002653E8" w:rsidRDefault="002653E8">
      <w:pPr>
        <w:pStyle w:val="a3"/>
        <w:rPr>
          <w:rFonts w:ascii="Times New Roman"/>
          <w:b/>
        </w:rPr>
      </w:pPr>
    </w:p>
    <w:p w14:paraId="3F9FFCD2" w14:textId="77777777" w:rsidR="002653E8" w:rsidRDefault="002653E8">
      <w:pPr>
        <w:pStyle w:val="a3"/>
        <w:rPr>
          <w:rFonts w:ascii="Times New Roman"/>
          <w:b/>
        </w:rPr>
      </w:pPr>
    </w:p>
    <w:p w14:paraId="77B2E6BE" w14:textId="77777777" w:rsidR="002653E8" w:rsidRDefault="002653E8">
      <w:pPr>
        <w:pStyle w:val="a3"/>
        <w:spacing w:before="5"/>
        <w:rPr>
          <w:rFonts w:ascii="Times New Roman"/>
          <w:b/>
          <w:sz w:val="16"/>
        </w:rPr>
      </w:pPr>
    </w:p>
    <w:p w14:paraId="254AFACA" w14:textId="77777777" w:rsidR="002653E8" w:rsidRDefault="002653E8">
      <w:pPr>
        <w:rPr>
          <w:rFonts w:ascii="Times New Roman"/>
          <w:sz w:val="16"/>
        </w:rPr>
        <w:sectPr w:rsidR="002653E8">
          <w:pgSz w:w="8640" w:h="12960"/>
          <w:pgMar w:top="1220" w:right="0" w:bottom="1040" w:left="0" w:header="0" w:footer="846" w:gutter="0"/>
          <w:cols w:space="720"/>
        </w:sectPr>
      </w:pPr>
    </w:p>
    <w:p w14:paraId="4883E349" w14:textId="77777777" w:rsidR="002653E8" w:rsidRDefault="003115E3">
      <w:pPr>
        <w:spacing w:before="100" w:line="280" w:lineRule="auto"/>
        <w:ind w:left="1327" w:right="181"/>
        <w:rPr>
          <w:sz w:val="16"/>
        </w:rPr>
      </w:pPr>
      <w:r>
        <w:rPr>
          <w:color w:val="231F20"/>
          <w:w w:val="105"/>
          <w:sz w:val="16"/>
        </w:rPr>
        <w:t>2nd of June Movement: See under “S” 30</w:t>
      </w:r>
      <w:r>
        <w:rPr>
          <w:color w:val="231F20"/>
          <w:spacing w:val="-14"/>
          <w:w w:val="105"/>
          <w:sz w:val="16"/>
        </w:rPr>
        <w:t xml:space="preserve"> </w:t>
      </w:r>
      <w:r>
        <w:rPr>
          <w:color w:val="231F20"/>
          <w:w w:val="105"/>
          <w:sz w:val="16"/>
        </w:rPr>
        <w:t>Questions</w:t>
      </w:r>
      <w:r>
        <w:rPr>
          <w:color w:val="231F20"/>
          <w:spacing w:val="-14"/>
          <w:w w:val="105"/>
          <w:sz w:val="16"/>
        </w:rPr>
        <w:t xml:space="preserve"> </w:t>
      </w:r>
      <w:r>
        <w:rPr>
          <w:color w:val="231F20"/>
          <w:w w:val="105"/>
          <w:sz w:val="16"/>
        </w:rPr>
        <w:t>to</w:t>
      </w:r>
      <w:r>
        <w:rPr>
          <w:color w:val="231F20"/>
          <w:spacing w:val="-14"/>
          <w:w w:val="105"/>
          <w:sz w:val="16"/>
        </w:rPr>
        <w:t xml:space="preserve"> </w:t>
      </w:r>
      <w:r>
        <w:rPr>
          <w:color w:val="231F20"/>
          <w:w w:val="105"/>
          <w:sz w:val="16"/>
        </w:rPr>
        <w:t>a</w:t>
      </w:r>
      <w:r>
        <w:rPr>
          <w:color w:val="231F20"/>
          <w:spacing w:val="-17"/>
          <w:w w:val="105"/>
          <w:sz w:val="16"/>
        </w:rPr>
        <w:t xml:space="preserve"> </w:t>
      </w:r>
      <w:r>
        <w:rPr>
          <w:color w:val="231F20"/>
          <w:w w:val="105"/>
          <w:sz w:val="16"/>
        </w:rPr>
        <w:t>Tupamaro:</w:t>
      </w:r>
      <w:r>
        <w:rPr>
          <w:color w:val="231F20"/>
          <w:spacing w:val="-14"/>
          <w:w w:val="105"/>
          <w:sz w:val="16"/>
        </w:rPr>
        <w:t xml:space="preserve"> </w:t>
      </w:r>
      <w:r>
        <w:rPr>
          <w:color w:val="231F20"/>
          <w:w w:val="105"/>
          <w:sz w:val="16"/>
        </w:rPr>
        <w:t>See</w:t>
      </w:r>
      <w:r>
        <w:rPr>
          <w:color w:val="231F20"/>
          <w:spacing w:val="-14"/>
          <w:w w:val="105"/>
          <w:sz w:val="16"/>
        </w:rPr>
        <w:t xml:space="preserve"> </w:t>
      </w:r>
      <w:r>
        <w:rPr>
          <w:color w:val="231F20"/>
          <w:w w:val="105"/>
          <w:sz w:val="16"/>
        </w:rPr>
        <w:t>under</w:t>
      </w:r>
    </w:p>
    <w:p w14:paraId="06B34170" w14:textId="77777777" w:rsidR="002653E8" w:rsidRDefault="003115E3">
      <w:pPr>
        <w:spacing w:before="1"/>
        <w:ind w:left="1451" w:right="2372"/>
        <w:jc w:val="center"/>
        <w:rPr>
          <w:sz w:val="16"/>
        </w:rPr>
      </w:pPr>
      <w:r>
        <w:rPr>
          <w:color w:val="231F20"/>
          <w:w w:val="130"/>
          <w:sz w:val="16"/>
        </w:rPr>
        <w:t>“T”</w:t>
      </w:r>
    </w:p>
    <w:p w14:paraId="25E217F7" w14:textId="77777777" w:rsidR="002653E8" w:rsidRDefault="003115E3">
      <w:pPr>
        <w:spacing w:before="32"/>
        <w:ind w:left="1327"/>
        <w:rPr>
          <w:sz w:val="16"/>
        </w:rPr>
      </w:pPr>
      <w:r>
        <w:rPr>
          <w:color w:val="231F20"/>
          <w:w w:val="110"/>
          <w:sz w:val="16"/>
        </w:rPr>
        <w:t>§88a 348</w:t>
      </w:r>
      <w:r>
        <w:rPr>
          <w:i/>
          <w:color w:val="231F20"/>
          <w:w w:val="110"/>
          <w:sz w:val="16"/>
        </w:rPr>
        <w:t xml:space="preserve">, </w:t>
      </w:r>
      <w:r>
        <w:rPr>
          <w:color w:val="231F20"/>
          <w:w w:val="110"/>
          <w:sz w:val="16"/>
        </w:rPr>
        <w:t>438</w:t>
      </w:r>
      <w:r>
        <w:rPr>
          <w:i/>
          <w:color w:val="231F20"/>
          <w:w w:val="110"/>
          <w:sz w:val="16"/>
        </w:rPr>
        <w:t xml:space="preserve">, </w:t>
      </w:r>
      <w:r>
        <w:rPr>
          <w:color w:val="231F20"/>
          <w:w w:val="110"/>
          <w:sz w:val="16"/>
        </w:rPr>
        <w:t>460</w:t>
      </w:r>
      <w:r>
        <w:rPr>
          <w:i/>
          <w:color w:val="231F20"/>
          <w:w w:val="110"/>
          <w:sz w:val="16"/>
        </w:rPr>
        <w:t xml:space="preserve">, </w:t>
      </w:r>
      <w:r>
        <w:rPr>
          <w:color w:val="231F20"/>
          <w:w w:val="110"/>
          <w:sz w:val="16"/>
        </w:rPr>
        <w:t>508</w:t>
      </w:r>
      <w:r>
        <w:rPr>
          <w:i/>
          <w:color w:val="231F20"/>
          <w:w w:val="110"/>
          <w:sz w:val="16"/>
        </w:rPr>
        <w:t xml:space="preserve">, </w:t>
      </w:r>
      <w:r>
        <w:rPr>
          <w:color w:val="231F20"/>
          <w:w w:val="110"/>
          <w:sz w:val="16"/>
        </w:rPr>
        <w:t>535</w:t>
      </w:r>
      <w:r>
        <w:rPr>
          <w:i/>
          <w:color w:val="231F20"/>
          <w:w w:val="110"/>
          <w:sz w:val="16"/>
        </w:rPr>
        <w:t xml:space="preserve">, </w:t>
      </w:r>
      <w:r>
        <w:rPr>
          <w:color w:val="231F20"/>
          <w:w w:val="110"/>
          <w:sz w:val="16"/>
        </w:rPr>
        <w:t>599</w:t>
      </w:r>
      <w:r>
        <w:rPr>
          <w:i/>
          <w:color w:val="231F20"/>
          <w:w w:val="110"/>
          <w:sz w:val="16"/>
        </w:rPr>
        <w:t xml:space="preserve">, </w:t>
      </w:r>
      <w:r>
        <w:rPr>
          <w:color w:val="231F20"/>
          <w:w w:val="110"/>
          <w:sz w:val="16"/>
        </w:rPr>
        <w:t>602</w:t>
      </w:r>
    </w:p>
    <w:p w14:paraId="6DBE33FF" w14:textId="77777777" w:rsidR="002653E8" w:rsidRDefault="003115E3">
      <w:pPr>
        <w:spacing w:before="32"/>
        <w:ind w:left="1327"/>
        <w:rPr>
          <w:i/>
          <w:sz w:val="16"/>
        </w:rPr>
      </w:pPr>
      <w:r>
        <w:rPr>
          <w:color w:val="231F20"/>
          <w:w w:val="110"/>
          <w:sz w:val="16"/>
        </w:rPr>
        <w:t>§129 38</w:t>
      </w:r>
      <w:r>
        <w:rPr>
          <w:i/>
          <w:color w:val="231F20"/>
          <w:w w:val="110"/>
          <w:sz w:val="16"/>
        </w:rPr>
        <w:t xml:space="preserve">, </w:t>
      </w:r>
      <w:r>
        <w:rPr>
          <w:color w:val="231F20"/>
          <w:w w:val="110"/>
          <w:sz w:val="16"/>
        </w:rPr>
        <w:t>65</w:t>
      </w:r>
      <w:r>
        <w:rPr>
          <w:i/>
          <w:color w:val="231F20"/>
          <w:w w:val="110"/>
          <w:sz w:val="16"/>
        </w:rPr>
        <w:t xml:space="preserve">, </w:t>
      </w:r>
      <w:r>
        <w:rPr>
          <w:color w:val="231F20"/>
          <w:w w:val="110"/>
          <w:sz w:val="16"/>
        </w:rPr>
        <w:t>111</w:t>
      </w:r>
      <w:r>
        <w:rPr>
          <w:i/>
          <w:color w:val="231F20"/>
          <w:w w:val="110"/>
          <w:sz w:val="16"/>
        </w:rPr>
        <w:t xml:space="preserve">, </w:t>
      </w:r>
      <w:r>
        <w:rPr>
          <w:color w:val="231F20"/>
          <w:w w:val="110"/>
          <w:sz w:val="16"/>
        </w:rPr>
        <w:t>147</w:t>
      </w:r>
      <w:r>
        <w:rPr>
          <w:i/>
          <w:color w:val="231F20"/>
          <w:w w:val="110"/>
          <w:sz w:val="16"/>
        </w:rPr>
        <w:t xml:space="preserve">, </w:t>
      </w:r>
      <w:r>
        <w:rPr>
          <w:color w:val="231F20"/>
          <w:w w:val="110"/>
          <w:sz w:val="16"/>
        </w:rPr>
        <w:t>176</w:t>
      </w:r>
      <w:r>
        <w:rPr>
          <w:i/>
          <w:color w:val="231F20"/>
          <w:w w:val="110"/>
          <w:sz w:val="16"/>
        </w:rPr>
        <w:t xml:space="preserve">, </w:t>
      </w:r>
      <w:r>
        <w:rPr>
          <w:color w:val="231F20"/>
          <w:w w:val="110"/>
          <w:sz w:val="16"/>
        </w:rPr>
        <w:t>225</w:t>
      </w:r>
      <w:r>
        <w:rPr>
          <w:i/>
          <w:color w:val="231F20"/>
          <w:w w:val="110"/>
          <w:sz w:val="16"/>
        </w:rPr>
        <w:t xml:space="preserve">, </w:t>
      </w:r>
      <w:r>
        <w:rPr>
          <w:color w:val="231F20"/>
          <w:w w:val="110"/>
          <w:sz w:val="16"/>
        </w:rPr>
        <w:t>242</w:t>
      </w:r>
      <w:r>
        <w:rPr>
          <w:i/>
          <w:color w:val="231F20"/>
          <w:w w:val="110"/>
          <w:sz w:val="16"/>
        </w:rPr>
        <w:t>,</w:t>
      </w:r>
    </w:p>
    <w:p w14:paraId="34DDB29A" w14:textId="77777777" w:rsidR="002653E8" w:rsidRDefault="003115E3">
      <w:pPr>
        <w:spacing w:before="33"/>
        <w:ind w:left="1451" w:right="248"/>
        <w:jc w:val="center"/>
        <w:rPr>
          <w:i/>
          <w:sz w:val="16"/>
        </w:rPr>
      </w:pPr>
      <w:r>
        <w:rPr>
          <w:color w:val="231F20"/>
          <w:w w:val="110"/>
          <w:sz w:val="16"/>
        </w:rPr>
        <w:t>248</w:t>
      </w:r>
      <w:r>
        <w:rPr>
          <w:i/>
          <w:color w:val="231F20"/>
          <w:w w:val="110"/>
          <w:sz w:val="16"/>
        </w:rPr>
        <w:t xml:space="preserve">, </w:t>
      </w:r>
      <w:r>
        <w:rPr>
          <w:color w:val="231F20"/>
          <w:w w:val="110"/>
          <w:sz w:val="16"/>
        </w:rPr>
        <w:t>258</w:t>
      </w:r>
      <w:r>
        <w:rPr>
          <w:i/>
          <w:color w:val="231F20"/>
          <w:w w:val="110"/>
          <w:sz w:val="16"/>
        </w:rPr>
        <w:t xml:space="preserve">, </w:t>
      </w:r>
      <w:r>
        <w:rPr>
          <w:color w:val="231F20"/>
          <w:w w:val="110"/>
          <w:sz w:val="16"/>
        </w:rPr>
        <w:t>266</w:t>
      </w:r>
      <w:r>
        <w:rPr>
          <w:i/>
          <w:color w:val="231F20"/>
          <w:w w:val="110"/>
          <w:sz w:val="16"/>
        </w:rPr>
        <w:t xml:space="preserve">, </w:t>
      </w:r>
      <w:r>
        <w:rPr>
          <w:color w:val="231F20"/>
          <w:w w:val="110"/>
          <w:sz w:val="16"/>
        </w:rPr>
        <w:t>325</w:t>
      </w:r>
      <w:r>
        <w:rPr>
          <w:i/>
          <w:color w:val="231F20"/>
          <w:w w:val="110"/>
          <w:sz w:val="16"/>
        </w:rPr>
        <w:t xml:space="preserve">, </w:t>
      </w:r>
      <w:r>
        <w:rPr>
          <w:color w:val="231F20"/>
          <w:w w:val="110"/>
          <w:sz w:val="16"/>
        </w:rPr>
        <w:t>326</w:t>
      </w:r>
      <w:r>
        <w:rPr>
          <w:i/>
          <w:color w:val="231F20"/>
          <w:w w:val="110"/>
          <w:sz w:val="16"/>
        </w:rPr>
        <w:t xml:space="preserve">, </w:t>
      </w:r>
      <w:r>
        <w:rPr>
          <w:color w:val="231F20"/>
          <w:w w:val="110"/>
          <w:sz w:val="16"/>
        </w:rPr>
        <w:t>344</w:t>
      </w:r>
      <w:r>
        <w:rPr>
          <w:i/>
          <w:color w:val="231F20"/>
          <w:w w:val="110"/>
          <w:sz w:val="16"/>
        </w:rPr>
        <w:t xml:space="preserve">, </w:t>
      </w:r>
      <w:r>
        <w:rPr>
          <w:color w:val="231F20"/>
          <w:w w:val="110"/>
          <w:sz w:val="16"/>
        </w:rPr>
        <w:t>345</w:t>
      </w:r>
      <w:r>
        <w:rPr>
          <w:i/>
          <w:color w:val="231F20"/>
          <w:w w:val="110"/>
          <w:sz w:val="16"/>
        </w:rPr>
        <w:t>,</w:t>
      </w:r>
    </w:p>
    <w:p w14:paraId="38198640" w14:textId="77777777" w:rsidR="002653E8" w:rsidRDefault="003115E3">
      <w:pPr>
        <w:spacing w:before="32"/>
        <w:ind w:left="1527"/>
        <w:rPr>
          <w:sz w:val="16"/>
        </w:rPr>
      </w:pPr>
      <w:r>
        <w:rPr>
          <w:color w:val="231F20"/>
          <w:w w:val="110"/>
          <w:sz w:val="16"/>
        </w:rPr>
        <w:t>346</w:t>
      </w:r>
      <w:r>
        <w:rPr>
          <w:i/>
          <w:color w:val="231F20"/>
          <w:w w:val="110"/>
          <w:sz w:val="16"/>
        </w:rPr>
        <w:t>,</w:t>
      </w:r>
      <w:r>
        <w:rPr>
          <w:i/>
          <w:color w:val="231F20"/>
          <w:spacing w:val="-21"/>
          <w:w w:val="110"/>
          <w:sz w:val="16"/>
        </w:rPr>
        <w:t xml:space="preserve"> </w:t>
      </w:r>
      <w:r>
        <w:rPr>
          <w:color w:val="231F20"/>
          <w:w w:val="110"/>
          <w:sz w:val="16"/>
        </w:rPr>
        <w:t>348</w:t>
      </w:r>
      <w:r>
        <w:rPr>
          <w:i/>
          <w:color w:val="231F20"/>
          <w:w w:val="110"/>
          <w:sz w:val="16"/>
        </w:rPr>
        <w:t>,</w:t>
      </w:r>
      <w:r>
        <w:rPr>
          <w:i/>
          <w:color w:val="231F20"/>
          <w:spacing w:val="-21"/>
          <w:w w:val="110"/>
          <w:sz w:val="16"/>
        </w:rPr>
        <w:t xml:space="preserve"> </w:t>
      </w:r>
      <w:r>
        <w:rPr>
          <w:color w:val="231F20"/>
          <w:w w:val="110"/>
          <w:sz w:val="16"/>
        </w:rPr>
        <w:t>373</w:t>
      </w:r>
      <w:r>
        <w:rPr>
          <w:i/>
          <w:color w:val="231F20"/>
          <w:w w:val="110"/>
          <w:sz w:val="16"/>
        </w:rPr>
        <w:t>,</w:t>
      </w:r>
      <w:r>
        <w:rPr>
          <w:i/>
          <w:color w:val="231F20"/>
          <w:spacing w:val="-21"/>
          <w:w w:val="110"/>
          <w:sz w:val="16"/>
        </w:rPr>
        <w:t xml:space="preserve"> </w:t>
      </w:r>
      <w:r>
        <w:rPr>
          <w:color w:val="231F20"/>
          <w:w w:val="110"/>
          <w:sz w:val="16"/>
        </w:rPr>
        <w:t>374</w:t>
      </w:r>
      <w:r>
        <w:rPr>
          <w:i/>
          <w:color w:val="231F20"/>
          <w:w w:val="110"/>
          <w:sz w:val="16"/>
        </w:rPr>
        <w:t>,</w:t>
      </w:r>
      <w:r>
        <w:rPr>
          <w:i/>
          <w:color w:val="231F20"/>
          <w:spacing w:val="-21"/>
          <w:w w:val="110"/>
          <w:sz w:val="16"/>
        </w:rPr>
        <w:t xml:space="preserve"> </w:t>
      </w:r>
      <w:r>
        <w:rPr>
          <w:color w:val="231F20"/>
          <w:w w:val="110"/>
          <w:sz w:val="16"/>
        </w:rPr>
        <w:t>441</w:t>
      </w:r>
      <w:r>
        <w:rPr>
          <w:i/>
          <w:color w:val="231F20"/>
          <w:w w:val="110"/>
          <w:sz w:val="16"/>
        </w:rPr>
        <w:t>,</w:t>
      </w:r>
      <w:r>
        <w:rPr>
          <w:i/>
          <w:color w:val="231F20"/>
          <w:spacing w:val="-21"/>
          <w:w w:val="110"/>
          <w:sz w:val="16"/>
        </w:rPr>
        <w:t xml:space="preserve"> </w:t>
      </w:r>
      <w:r>
        <w:rPr>
          <w:color w:val="231F20"/>
          <w:w w:val="110"/>
          <w:sz w:val="16"/>
        </w:rPr>
        <w:t>470</w:t>
      </w:r>
      <w:r>
        <w:rPr>
          <w:i/>
          <w:color w:val="231F20"/>
          <w:w w:val="110"/>
          <w:sz w:val="16"/>
        </w:rPr>
        <w:t>,</w:t>
      </w:r>
      <w:r>
        <w:rPr>
          <w:i/>
          <w:color w:val="231F20"/>
          <w:spacing w:val="-21"/>
          <w:w w:val="110"/>
          <w:sz w:val="16"/>
        </w:rPr>
        <w:t xml:space="preserve"> </w:t>
      </w:r>
      <w:r>
        <w:rPr>
          <w:color w:val="231F20"/>
          <w:w w:val="110"/>
          <w:sz w:val="16"/>
        </w:rPr>
        <w:t>473</w:t>
      </w:r>
      <w:r>
        <w:rPr>
          <w:i/>
          <w:color w:val="231F20"/>
          <w:w w:val="110"/>
          <w:sz w:val="16"/>
        </w:rPr>
        <w:t>,</w:t>
      </w:r>
      <w:r>
        <w:rPr>
          <w:i/>
          <w:color w:val="231F20"/>
          <w:spacing w:val="-21"/>
          <w:w w:val="110"/>
          <w:sz w:val="16"/>
        </w:rPr>
        <w:t xml:space="preserve"> </w:t>
      </w:r>
      <w:r>
        <w:rPr>
          <w:color w:val="231F20"/>
          <w:w w:val="110"/>
          <w:sz w:val="16"/>
        </w:rPr>
        <w:t>514</w:t>
      </w:r>
    </w:p>
    <w:p w14:paraId="464029F4" w14:textId="77777777" w:rsidR="002653E8" w:rsidRDefault="003115E3">
      <w:pPr>
        <w:spacing w:before="33"/>
        <w:ind w:left="1327"/>
        <w:rPr>
          <w:i/>
          <w:sz w:val="16"/>
        </w:rPr>
      </w:pPr>
      <w:r>
        <w:rPr>
          <w:color w:val="231F20"/>
          <w:w w:val="110"/>
          <w:sz w:val="16"/>
        </w:rPr>
        <w:t>§129a</w:t>
      </w:r>
      <w:r>
        <w:rPr>
          <w:color w:val="231F20"/>
          <w:spacing w:val="10"/>
          <w:w w:val="110"/>
          <w:sz w:val="16"/>
        </w:rPr>
        <w:t xml:space="preserve"> </w:t>
      </w:r>
      <w:r>
        <w:rPr>
          <w:color w:val="231F20"/>
          <w:w w:val="110"/>
          <w:sz w:val="16"/>
        </w:rPr>
        <w:t>348</w:t>
      </w:r>
      <w:r>
        <w:rPr>
          <w:i/>
          <w:color w:val="231F20"/>
          <w:w w:val="110"/>
          <w:sz w:val="16"/>
        </w:rPr>
        <w:t>,</w:t>
      </w:r>
      <w:r>
        <w:rPr>
          <w:i/>
          <w:color w:val="231F20"/>
          <w:spacing w:val="-18"/>
          <w:w w:val="110"/>
          <w:sz w:val="16"/>
        </w:rPr>
        <w:t xml:space="preserve"> </w:t>
      </w:r>
      <w:r>
        <w:rPr>
          <w:color w:val="231F20"/>
          <w:w w:val="110"/>
          <w:sz w:val="16"/>
        </w:rPr>
        <w:t>475</w:t>
      </w:r>
      <w:r>
        <w:rPr>
          <w:i/>
          <w:color w:val="231F20"/>
          <w:w w:val="110"/>
          <w:sz w:val="16"/>
        </w:rPr>
        <w:t>,</w:t>
      </w:r>
      <w:r>
        <w:rPr>
          <w:i/>
          <w:color w:val="231F20"/>
          <w:spacing w:val="-18"/>
          <w:w w:val="110"/>
          <w:sz w:val="16"/>
        </w:rPr>
        <w:t xml:space="preserve"> </w:t>
      </w:r>
      <w:r>
        <w:rPr>
          <w:color w:val="231F20"/>
          <w:w w:val="110"/>
          <w:sz w:val="16"/>
        </w:rPr>
        <w:t>493</w:t>
      </w:r>
      <w:r>
        <w:rPr>
          <w:i/>
          <w:color w:val="231F20"/>
          <w:w w:val="110"/>
          <w:sz w:val="16"/>
        </w:rPr>
        <w:t>,</w:t>
      </w:r>
      <w:r>
        <w:rPr>
          <w:i/>
          <w:color w:val="231F20"/>
          <w:spacing w:val="-18"/>
          <w:w w:val="110"/>
          <w:sz w:val="16"/>
        </w:rPr>
        <w:t xml:space="preserve"> </w:t>
      </w:r>
      <w:r>
        <w:rPr>
          <w:color w:val="231F20"/>
          <w:w w:val="110"/>
          <w:sz w:val="16"/>
        </w:rPr>
        <w:t>508</w:t>
      </w:r>
      <w:r>
        <w:rPr>
          <w:i/>
          <w:color w:val="231F20"/>
          <w:w w:val="110"/>
          <w:sz w:val="16"/>
        </w:rPr>
        <w:t>,</w:t>
      </w:r>
      <w:r>
        <w:rPr>
          <w:i/>
          <w:color w:val="231F20"/>
          <w:spacing w:val="-18"/>
          <w:w w:val="110"/>
          <w:sz w:val="16"/>
        </w:rPr>
        <w:t xml:space="preserve"> </w:t>
      </w:r>
      <w:r>
        <w:rPr>
          <w:color w:val="231F20"/>
          <w:w w:val="110"/>
          <w:sz w:val="16"/>
        </w:rPr>
        <w:t>535</w:t>
      </w:r>
      <w:r>
        <w:rPr>
          <w:i/>
          <w:color w:val="231F20"/>
          <w:w w:val="110"/>
          <w:sz w:val="16"/>
        </w:rPr>
        <w:t>,</w:t>
      </w:r>
      <w:r>
        <w:rPr>
          <w:i/>
          <w:color w:val="231F20"/>
          <w:spacing w:val="-18"/>
          <w:w w:val="110"/>
          <w:sz w:val="16"/>
        </w:rPr>
        <w:t xml:space="preserve"> </w:t>
      </w:r>
      <w:r>
        <w:rPr>
          <w:color w:val="231F20"/>
          <w:w w:val="110"/>
          <w:sz w:val="16"/>
        </w:rPr>
        <w:t>601</w:t>
      </w:r>
      <w:r>
        <w:rPr>
          <w:i/>
          <w:color w:val="231F20"/>
          <w:w w:val="110"/>
          <w:sz w:val="16"/>
        </w:rPr>
        <w:t>,</w:t>
      </w:r>
      <w:r>
        <w:rPr>
          <w:i/>
          <w:color w:val="231F20"/>
          <w:spacing w:val="-18"/>
          <w:w w:val="110"/>
          <w:sz w:val="16"/>
        </w:rPr>
        <w:t xml:space="preserve"> </w:t>
      </w:r>
      <w:r>
        <w:rPr>
          <w:color w:val="231F20"/>
          <w:w w:val="110"/>
          <w:sz w:val="16"/>
        </w:rPr>
        <w:t>611</w:t>
      </w:r>
      <w:r>
        <w:rPr>
          <w:i/>
          <w:color w:val="231F20"/>
          <w:w w:val="110"/>
          <w:sz w:val="16"/>
        </w:rPr>
        <w:t>,</w:t>
      </w:r>
    </w:p>
    <w:p w14:paraId="26965447" w14:textId="77777777" w:rsidR="002653E8" w:rsidRDefault="003115E3">
      <w:pPr>
        <w:spacing w:before="32"/>
        <w:ind w:left="1451" w:right="2389"/>
        <w:jc w:val="center"/>
        <w:rPr>
          <w:sz w:val="16"/>
        </w:rPr>
      </w:pPr>
      <w:r>
        <w:rPr>
          <w:color w:val="231F20"/>
          <w:sz w:val="16"/>
        </w:rPr>
        <w:t>613</w:t>
      </w:r>
    </w:p>
    <w:p w14:paraId="702BEB13" w14:textId="77777777" w:rsidR="002653E8" w:rsidRDefault="003115E3">
      <w:pPr>
        <w:spacing w:before="33"/>
        <w:ind w:left="1327"/>
        <w:rPr>
          <w:sz w:val="16"/>
        </w:rPr>
      </w:pPr>
      <w:r>
        <w:rPr>
          <w:color w:val="231F20"/>
          <w:sz w:val="16"/>
        </w:rPr>
        <w:t>§130  508</w:t>
      </w:r>
    </w:p>
    <w:p w14:paraId="5FE63C73" w14:textId="77777777" w:rsidR="002653E8" w:rsidRDefault="003115E3">
      <w:pPr>
        <w:spacing w:before="32"/>
        <w:ind w:left="1327"/>
        <w:rPr>
          <w:sz w:val="16"/>
        </w:rPr>
      </w:pPr>
      <w:r>
        <w:rPr>
          <w:color w:val="231F20"/>
          <w:sz w:val="16"/>
        </w:rPr>
        <w:t>§138  345</w:t>
      </w:r>
    </w:p>
    <w:p w14:paraId="1EA9EE0F" w14:textId="77777777" w:rsidR="002653E8" w:rsidRDefault="003115E3">
      <w:pPr>
        <w:spacing w:before="32"/>
        <w:ind w:left="1327"/>
        <w:rPr>
          <w:sz w:val="16"/>
        </w:rPr>
      </w:pPr>
      <w:r>
        <w:rPr>
          <w:color w:val="231F20"/>
          <w:sz w:val="16"/>
        </w:rPr>
        <w:t>§146  345</w:t>
      </w:r>
    </w:p>
    <w:p w14:paraId="781E6699" w14:textId="77777777" w:rsidR="002653E8" w:rsidRDefault="003115E3">
      <w:pPr>
        <w:spacing w:before="33"/>
        <w:ind w:left="1327"/>
        <w:rPr>
          <w:sz w:val="16"/>
        </w:rPr>
      </w:pPr>
      <w:r>
        <w:rPr>
          <w:color w:val="231F20"/>
          <w:sz w:val="16"/>
        </w:rPr>
        <w:t>§148-a 346</w:t>
      </w:r>
    </w:p>
    <w:p w14:paraId="415301C7" w14:textId="77777777" w:rsidR="002653E8" w:rsidRDefault="003115E3">
      <w:pPr>
        <w:spacing w:before="32"/>
        <w:ind w:left="1327"/>
        <w:rPr>
          <w:sz w:val="16"/>
        </w:rPr>
      </w:pPr>
      <w:r>
        <w:rPr>
          <w:color w:val="231F20"/>
          <w:sz w:val="16"/>
        </w:rPr>
        <w:t>§218 445–447</w:t>
      </w:r>
    </w:p>
    <w:p w14:paraId="2878156C" w14:textId="77777777" w:rsidR="002653E8" w:rsidRDefault="003115E3">
      <w:pPr>
        <w:spacing w:before="33"/>
        <w:ind w:left="1327"/>
        <w:rPr>
          <w:sz w:val="16"/>
        </w:rPr>
      </w:pPr>
      <w:r>
        <w:rPr>
          <w:color w:val="231F20"/>
          <w:w w:val="105"/>
          <w:sz w:val="16"/>
        </w:rPr>
        <w:t>§231a-b 301</w:t>
      </w:r>
      <w:r>
        <w:rPr>
          <w:i/>
          <w:color w:val="231F20"/>
          <w:w w:val="105"/>
          <w:sz w:val="16"/>
        </w:rPr>
        <w:t xml:space="preserve">, </w:t>
      </w:r>
      <w:r>
        <w:rPr>
          <w:color w:val="231F20"/>
          <w:w w:val="105"/>
          <w:sz w:val="16"/>
        </w:rPr>
        <w:t>345</w:t>
      </w:r>
      <w:r>
        <w:rPr>
          <w:i/>
          <w:color w:val="231F20"/>
          <w:w w:val="105"/>
          <w:sz w:val="16"/>
        </w:rPr>
        <w:t xml:space="preserve">, </w:t>
      </w:r>
      <w:r>
        <w:rPr>
          <w:color w:val="231F20"/>
          <w:w w:val="105"/>
          <w:sz w:val="16"/>
        </w:rPr>
        <w:t>372</w:t>
      </w:r>
      <w:r>
        <w:rPr>
          <w:i/>
          <w:color w:val="231F20"/>
          <w:w w:val="105"/>
          <w:sz w:val="16"/>
        </w:rPr>
        <w:t xml:space="preserve">, </w:t>
      </w:r>
      <w:r>
        <w:rPr>
          <w:color w:val="231F20"/>
          <w:w w:val="105"/>
          <w:sz w:val="16"/>
        </w:rPr>
        <w:t>417</w:t>
      </w:r>
    </w:p>
    <w:p w14:paraId="21DA99D1" w14:textId="77777777" w:rsidR="002653E8" w:rsidRDefault="003115E3">
      <w:pPr>
        <w:spacing w:before="32"/>
        <w:ind w:left="1327"/>
        <w:rPr>
          <w:sz w:val="16"/>
        </w:rPr>
      </w:pPr>
      <w:r>
        <w:rPr>
          <w:color w:val="231F20"/>
          <w:sz w:val="16"/>
        </w:rPr>
        <w:t>§275a 346</w:t>
      </w:r>
    </w:p>
    <w:p w14:paraId="5A4BA8A3" w14:textId="77777777" w:rsidR="002653E8" w:rsidRDefault="002653E8">
      <w:pPr>
        <w:pStyle w:val="a3"/>
        <w:rPr>
          <w:sz w:val="18"/>
        </w:rPr>
      </w:pPr>
    </w:p>
    <w:p w14:paraId="23915A85" w14:textId="77777777" w:rsidR="002653E8" w:rsidRDefault="002653E8">
      <w:pPr>
        <w:pStyle w:val="a3"/>
        <w:rPr>
          <w:sz w:val="18"/>
        </w:rPr>
      </w:pPr>
    </w:p>
    <w:p w14:paraId="1A4A69F9" w14:textId="77777777" w:rsidR="002653E8" w:rsidRDefault="002653E8">
      <w:pPr>
        <w:pStyle w:val="a3"/>
        <w:rPr>
          <w:sz w:val="18"/>
        </w:rPr>
      </w:pPr>
    </w:p>
    <w:p w14:paraId="33D03E23" w14:textId="77777777" w:rsidR="002653E8" w:rsidRDefault="002653E8">
      <w:pPr>
        <w:pStyle w:val="a3"/>
        <w:spacing w:before="10"/>
        <w:rPr>
          <w:sz w:val="23"/>
        </w:rPr>
      </w:pPr>
    </w:p>
    <w:p w14:paraId="56ECA5E5" w14:textId="77777777" w:rsidR="002653E8" w:rsidRPr="00846956" w:rsidRDefault="003115E3">
      <w:pPr>
        <w:spacing w:line="280" w:lineRule="auto"/>
        <w:ind w:left="1327" w:right="181"/>
        <w:rPr>
          <w:sz w:val="16"/>
          <w:lang w:val="de-DE"/>
        </w:rPr>
      </w:pPr>
      <w:r w:rsidRPr="00846956">
        <w:rPr>
          <w:color w:val="231F20"/>
          <w:sz w:val="16"/>
          <w:lang w:val="de-DE"/>
        </w:rPr>
        <w:t>‘Abdallah, Samer Muhammad 191 Abendroth, Wolfgang 200</w:t>
      </w:r>
    </w:p>
    <w:p w14:paraId="4FA53295" w14:textId="77777777" w:rsidR="002653E8" w:rsidRDefault="003115E3">
      <w:pPr>
        <w:spacing w:before="1" w:line="280" w:lineRule="auto"/>
        <w:ind w:left="1527" w:right="181" w:hanging="200"/>
        <w:rPr>
          <w:sz w:val="16"/>
        </w:rPr>
      </w:pPr>
      <w:r>
        <w:rPr>
          <w:color w:val="231F20"/>
          <w:sz w:val="16"/>
        </w:rPr>
        <w:t xml:space="preserve">Action Directe 619; Elisabeth von Dyck Commando 617; George Jackson Commando 617; relationship to </w:t>
      </w:r>
      <w:r w:rsidR="00C507A5">
        <w:rPr>
          <w:color w:val="231F20"/>
          <w:sz w:val="16"/>
        </w:rPr>
        <w:t>red army faction</w:t>
      </w:r>
      <w:r>
        <w:rPr>
          <w:color w:val="231F20"/>
          <w:sz w:val="16"/>
        </w:rPr>
        <w:t xml:space="preserve"> 616–617</w:t>
      </w:r>
      <w:r>
        <w:rPr>
          <w:i/>
          <w:color w:val="231F20"/>
          <w:sz w:val="16"/>
        </w:rPr>
        <w:t xml:space="preserve">, </w:t>
      </w:r>
      <w:r>
        <w:rPr>
          <w:color w:val="231F20"/>
          <w:sz w:val="16"/>
        </w:rPr>
        <w:t>617</w:t>
      </w:r>
    </w:p>
    <w:p w14:paraId="0F9269A7" w14:textId="77777777" w:rsidR="002653E8" w:rsidRPr="00846956" w:rsidRDefault="003115E3">
      <w:pPr>
        <w:spacing w:before="2"/>
        <w:ind w:left="1327"/>
        <w:rPr>
          <w:sz w:val="16"/>
          <w:lang w:val="de-DE"/>
        </w:rPr>
      </w:pPr>
      <w:r w:rsidRPr="00846956">
        <w:rPr>
          <w:color w:val="231F20"/>
          <w:w w:val="110"/>
          <w:sz w:val="16"/>
          <w:lang w:val="de-DE"/>
        </w:rPr>
        <w:t>Adenauer, Konrad 6</w:t>
      </w:r>
      <w:r w:rsidRPr="00846956">
        <w:rPr>
          <w:i/>
          <w:color w:val="231F20"/>
          <w:w w:val="110"/>
          <w:sz w:val="16"/>
          <w:lang w:val="de-DE"/>
        </w:rPr>
        <w:t xml:space="preserve">, </w:t>
      </w:r>
      <w:r w:rsidRPr="00846956">
        <w:rPr>
          <w:color w:val="231F20"/>
          <w:w w:val="110"/>
          <w:sz w:val="16"/>
          <w:lang w:val="de-DE"/>
        </w:rPr>
        <w:t>41</w:t>
      </w:r>
      <w:r w:rsidRPr="00846956">
        <w:rPr>
          <w:i/>
          <w:color w:val="231F20"/>
          <w:w w:val="110"/>
          <w:sz w:val="16"/>
          <w:lang w:val="de-DE"/>
        </w:rPr>
        <w:t xml:space="preserve">, </w:t>
      </w:r>
      <w:r w:rsidRPr="00846956">
        <w:rPr>
          <w:color w:val="231F20"/>
          <w:w w:val="110"/>
          <w:sz w:val="16"/>
          <w:lang w:val="de-DE"/>
        </w:rPr>
        <w:t>480</w:t>
      </w:r>
      <w:r w:rsidRPr="00846956">
        <w:rPr>
          <w:i/>
          <w:color w:val="231F20"/>
          <w:w w:val="110"/>
          <w:sz w:val="16"/>
          <w:lang w:val="de-DE"/>
        </w:rPr>
        <w:t xml:space="preserve">, </w:t>
      </w:r>
      <w:r w:rsidRPr="00846956">
        <w:rPr>
          <w:color w:val="231F20"/>
          <w:w w:val="110"/>
          <w:sz w:val="16"/>
          <w:lang w:val="de-DE"/>
        </w:rPr>
        <w:t>563</w:t>
      </w:r>
    </w:p>
    <w:p w14:paraId="7EEBF83E" w14:textId="77777777" w:rsidR="002653E8" w:rsidRPr="00846956" w:rsidRDefault="003115E3">
      <w:pPr>
        <w:spacing w:before="32"/>
        <w:ind w:left="1327"/>
        <w:rPr>
          <w:sz w:val="16"/>
          <w:lang w:val="de-DE"/>
        </w:rPr>
      </w:pPr>
      <w:r w:rsidRPr="00846956">
        <w:rPr>
          <w:color w:val="231F20"/>
          <w:w w:val="105"/>
          <w:sz w:val="16"/>
          <w:lang w:val="de-DE"/>
        </w:rPr>
        <w:t>Adorno, Theodor 24</w:t>
      </w:r>
    </w:p>
    <w:p w14:paraId="3D9F54CA" w14:textId="77777777" w:rsidR="002653E8" w:rsidRPr="00846956" w:rsidRDefault="003115E3">
      <w:pPr>
        <w:spacing w:before="33"/>
        <w:ind w:left="1327"/>
        <w:rPr>
          <w:sz w:val="16"/>
          <w:lang w:val="de-DE"/>
        </w:rPr>
      </w:pPr>
      <w:r w:rsidRPr="00846956">
        <w:rPr>
          <w:color w:val="231F20"/>
          <w:sz w:val="16"/>
          <w:lang w:val="de-DE"/>
        </w:rPr>
        <w:t>Agee, Philip 601</w:t>
      </w:r>
    </w:p>
    <w:p w14:paraId="2484A360" w14:textId="77777777" w:rsidR="002653E8" w:rsidRDefault="003115E3">
      <w:pPr>
        <w:spacing w:before="32"/>
        <w:ind w:left="1327"/>
        <w:rPr>
          <w:sz w:val="16"/>
        </w:rPr>
      </w:pPr>
      <w:r>
        <w:rPr>
          <w:color w:val="231F20"/>
          <w:sz w:val="16"/>
        </w:rPr>
        <w:t>Agence France Presse 479</w:t>
      </w:r>
    </w:p>
    <w:p w14:paraId="0F7C5320" w14:textId="77777777" w:rsidR="002653E8" w:rsidRDefault="003115E3">
      <w:pPr>
        <w:spacing w:before="33" w:line="280" w:lineRule="auto"/>
        <w:ind w:left="1527" w:right="55" w:hanging="200"/>
        <w:rPr>
          <w:sz w:val="16"/>
        </w:rPr>
      </w:pPr>
      <w:r>
        <w:rPr>
          <w:i/>
          <w:color w:val="231F20"/>
          <w:w w:val="105"/>
          <w:sz w:val="16"/>
        </w:rPr>
        <w:t xml:space="preserve">Agit 883 </w:t>
      </w:r>
      <w:r>
        <w:rPr>
          <w:color w:val="231F20"/>
          <w:w w:val="105"/>
          <w:sz w:val="16"/>
        </w:rPr>
        <w:t>42</w:t>
      </w:r>
      <w:r>
        <w:rPr>
          <w:i/>
          <w:color w:val="231F20"/>
          <w:w w:val="105"/>
          <w:sz w:val="16"/>
        </w:rPr>
        <w:t xml:space="preserve">, </w:t>
      </w:r>
      <w:r>
        <w:rPr>
          <w:color w:val="231F20"/>
          <w:w w:val="105"/>
          <w:sz w:val="16"/>
        </w:rPr>
        <w:t>46</w:t>
      </w:r>
      <w:r>
        <w:rPr>
          <w:i/>
          <w:color w:val="231F20"/>
          <w:w w:val="105"/>
          <w:sz w:val="16"/>
        </w:rPr>
        <w:t xml:space="preserve">, </w:t>
      </w:r>
      <w:r>
        <w:rPr>
          <w:color w:val="231F20"/>
          <w:w w:val="105"/>
          <w:sz w:val="16"/>
        </w:rPr>
        <w:t>55–56</w:t>
      </w:r>
      <w:r>
        <w:rPr>
          <w:i/>
          <w:color w:val="231F20"/>
          <w:w w:val="105"/>
          <w:sz w:val="16"/>
        </w:rPr>
        <w:t xml:space="preserve">, </w:t>
      </w:r>
      <w:r>
        <w:rPr>
          <w:color w:val="231F20"/>
          <w:w w:val="105"/>
          <w:sz w:val="16"/>
        </w:rPr>
        <w:t xml:space="preserve">65; Build the Red Army letter from the </w:t>
      </w:r>
      <w:r w:rsidR="00C507A5">
        <w:rPr>
          <w:color w:val="231F20"/>
          <w:w w:val="105"/>
          <w:sz w:val="16"/>
        </w:rPr>
        <w:t>red army faction</w:t>
      </w:r>
      <w:r>
        <w:rPr>
          <w:color w:val="231F20"/>
          <w:w w:val="105"/>
          <w:sz w:val="16"/>
        </w:rPr>
        <w:t xml:space="preserve"> 79–82</w:t>
      </w:r>
      <w:r>
        <w:rPr>
          <w:i/>
          <w:color w:val="231F20"/>
          <w:w w:val="105"/>
          <w:sz w:val="16"/>
        </w:rPr>
        <w:t xml:space="preserve">, </w:t>
      </w:r>
      <w:r>
        <w:rPr>
          <w:color w:val="231F20"/>
          <w:w w:val="105"/>
          <w:sz w:val="16"/>
        </w:rPr>
        <w:t>83</w:t>
      </w:r>
      <w:r>
        <w:rPr>
          <w:i/>
          <w:color w:val="231F20"/>
          <w:w w:val="105"/>
          <w:sz w:val="16"/>
        </w:rPr>
        <w:t xml:space="preserve">, </w:t>
      </w:r>
      <w:r>
        <w:rPr>
          <w:color w:val="231F20"/>
          <w:w w:val="105"/>
          <w:sz w:val="16"/>
        </w:rPr>
        <w:t>584</w:t>
      </w:r>
    </w:p>
    <w:p w14:paraId="2F8D9D69" w14:textId="77777777" w:rsidR="002653E8" w:rsidRPr="00846956" w:rsidRDefault="003115E3">
      <w:pPr>
        <w:spacing w:before="1"/>
        <w:ind w:left="1327"/>
        <w:rPr>
          <w:sz w:val="16"/>
          <w:lang w:val="de-DE"/>
        </w:rPr>
      </w:pPr>
      <w:r w:rsidRPr="00846956">
        <w:rPr>
          <w:color w:val="231F20"/>
          <w:sz w:val="16"/>
          <w:lang w:val="de-DE"/>
        </w:rPr>
        <w:t>Agnoli, Johannes 257</w:t>
      </w:r>
    </w:p>
    <w:p w14:paraId="66DC941E" w14:textId="77777777" w:rsidR="002653E8" w:rsidRPr="00846956" w:rsidRDefault="003115E3">
      <w:pPr>
        <w:spacing w:before="33"/>
        <w:ind w:left="1327"/>
        <w:rPr>
          <w:sz w:val="16"/>
          <w:lang w:val="de-DE"/>
        </w:rPr>
      </w:pPr>
      <w:r w:rsidRPr="00846956">
        <w:rPr>
          <w:color w:val="231F20"/>
          <w:w w:val="105"/>
          <w:sz w:val="16"/>
          <w:lang w:val="de-DE"/>
        </w:rPr>
        <w:t>Ahlers, Conrad 579</w:t>
      </w:r>
    </w:p>
    <w:p w14:paraId="372B2DF9" w14:textId="77777777" w:rsidR="002653E8" w:rsidRPr="00846956" w:rsidRDefault="003115E3">
      <w:pPr>
        <w:spacing w:before="32"/>
        <w:ind w:left="1327"/>
        <w:rPr>
          <w:sz w:val="16"/>
          <w:lang w:val="de-DE"/>
        </w:rPr>
      </w:pPr>
      <w:r w:rsidRPr="00846956">
        <w:rPr>
          <w:color w:val="231F20"/>
          <w:sz w:val="16"/>
          <w:lang w:val="de-DE"/>
        </w:rPr>
        <w:t>Aichinger, Ilse 25</w:t>
      </w:r>
    </w:p>
    <w:p w14:paraId="0E8F7297" w14:textId="77777777" w:rsidR="002653E8" w:rsidRPr="00846956" w:rsidRDefault="003115E3">
      <w:pPr>
        <w:spacing w:before="33"/>
        <w:ind w:left="1327"/>
        <w:rPr>
          <w:sz w:val="16"/>
          <w:lang w:val="de-DE"/>
        </w:rPr>
      </w:pPr>
      <w:r w:rsidRPr="00846956">
        <w:rPr>
          <w:color w:val="231F20"/>
          <w:w w:val="105"/>
          <w:sz w:val="16"/>
          <w:lang w:val="de-DE"/>
        </w:rPr>
        <w:t>Akache, Zohair youssef 481</w:t>
      </w:r>
      <w:r w:rsidRPr="00846956">
        <w:rPr>
          <w:i/>
          <w:color w:val="231F20"/>
          <w:w w:val="105"/>
          <w:sz w:val="16"/>
          <w:lang w:val="de-DE"/>
        </w:rPr>
        <w:t xml:space="preserve">, </w:t>
      </w:r>
      <w:r w:rsidRPr="00846956">
        <w:rPr>
          <w:color w:val="231F20"/>
          <w:w w:val="105"/>
          <w:sz w:val="16"/>
          <w:lang w:val="de-DE"/>
        </w:rPr>
        <w:t>485</w:t>
      </w:r>
      <w:r w:rsidRPr="00846956">
        <w:rPr>
          <w:i/>
          <w:color w:val="231F20"/>
          <w:w w:val="105"/>
          <w:sz w:val="16"/>
          <w:lang w:val="de-DE"/>
        </w:rPr>
        <w:t xml:space="preserve">, </w:t>
      </w:r>
      <w:r w:rsidRPr="00846956">
        <w:rPr>
          <w:color w:val="231F20"/>
          <w:w w:val="105"/>
          <w:sz w:val="16"/>
          <w:lang w:val="de-DE"/>
        </w:rPr>
        <w:t>563</w:t>
      </w:r>
    </w:p>
    <w:p w14:paraId="302BC91F" w14:textId="77777777" w:rsidR="002653E8" w:rsidRPr="00846956" w:rsidRDefault="003115E3">
      <w:pPr>
        <w:spacing w:before="32"/>
        <w:ind w:left="1327"/>
        <w:rPr>
          <w:sz w:val="16"/>
          <w:lang w:val="de-DE"/>
        </w:rPr>
      </w:pPr>
      <w:r w:rsidRPr="00846956">
        <w:rPr>
          <w:color w:val="231F20"/>
          <w:sz w:val="16"/>
          <w:lang w:val="de-DE"/>
        </w:rPr>
        <w:t>Aktion 218 446</w:t>
      </w:r>
    </w:p>
    <w:p w14:paraId="1ACF81EE" w14:textId="77777777" w:rsidR="002653E8" w:rsidRPr="00846956" w:rsidRDefault="003115E3">
      <w:pPr>
        <w:spacing w:before="100" w:line="280" w:lineRule="auto"/>
        <w:ind w:left="446" w:right="1622" w:hanging="200"/>
        <w:rPr>
          <w:sz w:val="16"/>
          <w:lang w:val="de-DE"/>
        </w:rPr>
      </w:pPr>
      <w:r w:rsidRPr="00846956">
        <w:rPr>
          <w:lang w:val="de-DE"/>
        </w:rPr>
        <w:br w:type="column"/>
      </w:r>
      <w:r w:rsidRPr="00846956">
        <w:rPr>
          <w:color w:val="231F20"/>
          <w:sz w:val="16"/>
          <w:lang w:val="de-DE"/>
        </w:rPr>
        <w:t>Aktion Winterreise</w:t>
      </w:r>
      <w:r w:rsidRPr="00846956">
        <w:rPr>
          <w:i/>
          <w:color w:val="231F20"/>
          <w:sz w:val="16"/>
          <w:lang w:val="de-DE"/>
        </w:rPr>
        <w:t xml:space="preserve">. See </w:t>
      </w:r>
      <w:r w:rsidRPr="00846956">
        <w:rPr>
          <w:color w:val="231F20"/>
          <w:sz w:val="16"/>
          <w:lang w:val="de-DE"/>
        </w:rPr>
        <w:t>BKA (Bundeskriminalamt): Operation Winter Trip</w:t>
      </w:r>
    </w:p>
    <w:p w14:paraId="25B84EDF" w14:textId="77777777" w:rsidR="002653E8" w:rsidRPr="00846956" w:rsidRDefault="003115E3">
      <w:pPr>
        <w:spacing w:before="1"/>
        <w:ind w:left="246"/>
        <w:rPr>
          <w:sz w:val="16"/>
          <w:lang w:val="de-DE"/>
        </w:rPr>
      </w:pPr>
      <w:r w:rsidRPr="00846956">
        <w:rPr>
          <w:color w:val="231F20"/>
          <w:w w:val="105"/>
          <w:sz w:val="16"/>
          <w:lang w:val="de-DE"/>
        </w:rPr>
        <w:t>Alameh, Hind 485</w:t>
      </w:r>
    </w:p>
    <w:p w14:paraId="2AB67876" w14:textId="77777777" w:rsidR="002653E8" w:rsidRPr="00846956" w:rsidRDefault="003115E3">
      <w:pPr>
        <w:spacing w:before="33"/>
        <w:ind w:left="246"/>
        <w:rPr>
          <w:i/>
          <w:sz w:val="16"/>
          <w:lang w:val="de-DE"/>
        </w:rPr>
      </w:pPr>
      <w:r w:rsidRPr="00846956">
        <w:rPr>
          <w:color w:val="231F20"/>
          <w:w w:val="110"/>
          <w:sz w:val="16"/>
          <w:lang w:val="de-DE"/>
        </w:rPr>
        <w:t>Albertz, Heinrich 34</w:t>
      </w:r>
      <w:r w:rsidRPr="00846956">
        <w:rPr>
          <w:i/>
          <w:color w:val="231F20"/>
          <w:w w:val="110"/>
          <w:sz w:val="16"/>
          <w:lang w:val="de-DE"/>
        </w:rPr>
        <w:t xml:space="preserve">, </w:t>
      </w:r>
      <w:r w:rsidRPr="00846956">
        <w:rPr>
          <w:color w:val="231F20"/>
          <w:w w:val="110"/>
          <w:sz w:val="16"/>
          <w:lang w:val="de-DE"/>
        </w:rPr>
        <w:t>262</w:t>
      </w:r>
      <w:r w:rsidRPr="00846956">
        <w:rPr>
          <w:i/>
          <w:color w:val="231F20"/>
          <w:w w:val="110"/>
          <w:sz w:val="16"/>
          <w:lang w:val="de-DE"/>
        </w:rPr>
        <w:t xml:space="preserve">, </w:t>
      </w:r>
      <w:r w:rsidRPr="00846956">
        <w:rPr>
          <w:color w:val="231F20"/>
          <w:w w:val="110"/>
          <w:sz w:val="16"/>
          <w:lang w:val="de-DE"/>
        </w:rPr>
        <w:t>330</w:t>
      </w:r>
      <w:r w:rsidRPr="00846956">
        <w:rPr>
          <w:i/>
          <w:color w:val="231F20"/>
          <w:w w:val="110"/>
          <w:sz w:val="16"/>
          <w:lang w:val="de-DE"/>
        </w:rPr>
        <w:t xml:space="preserve">, </w:t>
      </w:r>
      <w:r w:rsidRPr="00846956">
        <w:rPr>
          <w:color w:val="231F20"/>
          <w:w w:val="110"/>
          <w:sz w:val="16"/>
          <w:lang w:val="de-DE"/>
        </w:rPr>
        <w:t>532</w:t>
      </w:r>
      <w:r w:rsidRPr="00846956">
        <w:rPr>
          <w:i/>
          <w:color w:val="231F20"/>
          <w:w w:val="110"/>
          <w:sz w:val="16"/>
          <w:lang w:val="de-DE"/>
        </w:rPr>
        <w:t xml:space="preserve">, </w:t>
      </w:r>
      <w:r w:rsidRPr="00846956">
        <w:rPr>
          <w:color w:val="231F20"/>
          <w:w w:val="110"/>
          <w:sz w:val="16"/>
          <w:lang w:val="de-DE"/>
        </w:rPr>
        <w:t>563</w:t>
      </w:r>
      <w:r w:rsidRPr="00846956">
        <w:rPr>
          <w:i/>
          <w:color w:val="231F20"/>
          <w:w w:val="110"/>
          <w:sz w:val="16"/>
          <w:lang w:val="de-DE"/>
        </w:rPr>
        <w:t>,</w:t>
      </w:r>
    </w:p>
    <w:p w14:paraId="35380A3B" w14:textId="77777777" w:rsidR="002653E8" w:rsidRPr="00846956" w:rsidRDefault="003115E3">
      <w:pPr>
        <w:spacing w:before="32"/>
        <w:ind w:left="446"/>
        <w:rPr>
          <w:sz w:val="16"/>
          <w:lang w:val="de-DE"/>
        </w:rPr>
      </w:pPr>
      <w:r w:rsidRPr="00846956">
        <w:rPr>
          <w:color w:val="231F20"/>
          <w:sz w:val="16"/>
          <w:lang w:val="de-DE"/>
        </w:rPr>
        <w:t>596</w:t>
      </w:r>
    </w:p>
    <w:p w14:paraId="41ED3839" w14:textId="77777777" w:rsidR="002653E8" w:rsidRPr="00846956" w:rsidRDefault="003115E3">
      <w:pPr>
        <w:spacing w:before="32"/>
        <w:ind w:left="246"/>
        <w:rPr>
          <w:sz w:val="16"/>
          <w:lang w:val="de-DE"/>
        </w:rPr>
      </w:pPr>
      <w:r w:rsidRPr="00846956">
        <w:rPr>
          <w:color w:val="231F20"/>
          <w:w w:val="105"/>
          <w:sz w:val="16"/>
          <w:lang w:val="de-DE"/>
        </w:rPr>
        <w:t>Albrecht, Susanne 526</w:t>
      </w:r>
      <w:r w:rsidRPr="00846956">
        <w:rPr>
          <w:i/>
          <w:color w:val="231F20"/>
          <w:w w:val="105"/>
          <w:sz w:val="16"/>
          <w:lang w:val="de-DE"/>
        </w:rPr>
        <w:t xml:space="preserve">, </w:t>
      </w:r>
      <w:r w:rsidRPr="00846956">
        <w:rPr>
          <w:color w:val="231F20"/>
          <w:w w:val="105"/>
          <w:sz w:val="16"/>
          <w:lang w:val="de-DE"/>
        </w:rPr>
        <w:t>563</w:t>
      </w:r>
      <w:r w:rsidRPr="00846956">
        <w:rPr>
          <w:i/>
          <w:color w:val="231F20"/>
          <w:w w:val="105"/>
          <w:sz w:val="16"/>
          <w:lang w:val="de-DE"/>
        </w:rPr>
        <w:t xml:space="preserve">, </w:t>
      </w:r>
      <w:r w:rsidRPr="00846956">
        <w:rPr>
          <w:color w:val="231F20"/>
          <w:w w:val="105"/>
          <w:sz w:val="16"/>
          <w:lang w:val="de-DE"/>
        </w:rPr>
        <w:t>612; in the</w:t>
      </w:r>
    </w:p>
    <w:p w14:paraId="4492C4CA" w14:textId="77777777" w:rsidR="002653E8" w:rsidRDefault="003115E3">
      <w:pPr>
        <w:spacing w:before="33"/>
        <w:ind w:left="446"/>
        <w:rPr>
          <w:i/>
          <w:sz w:val="16"/>
        </w:rPr>
      </w:pPr>
      <w:r>
        <w:rPr>
          <w:color w:val="231F20"/>
          <w:w w:val="110"/>
          <w:sz w:val="16"/>
        </w:rPr>
        <w:t>GDR 614</w:t>
      </w:r>
      <w:r>
        <w:rPr>
          <w:i/>
          <w:color w:val="231F20"/>
          <w:w w:val="110"/>
          <w:sz w:val="16"/>
        </w:rPr>
        <w:t xml:space="preserve">, </w:t>
      </w:r>
      <w:r>
        <w:rPr>
          <w:color w:val="231F20"/>
          <w:w w:val="110"/>
          <w:sz w:val="16"/>
        </w:rPr>
        <w:t>620; Hamburg squats 253</w:t>
      </w:r>
      <w:r>
        <w:rPr>
          <w:i/>
          <w:color w:val="231F20"/>
          <w:w w:val="110"/>
          <w:sz w:val="16"/>
        </w:rPr>
        <w:t>,</w:t>
      </w:r>
    </w:p>
    <w:p w14:paraId="4D944A4E" w14:textId="77777777" w:rsidR="002653E8" w:rsidRDefault="003115E3">
      <w:pPr>
        <w:spacing w:before="32"/>
        <w:ind w:left="446"/>
        <w:rPr>
          <w:i/>
          <w:sz w:val="16"/>
        </w:rPr>
      </w:pPr>
      <w:r>
        <w:rPr>
          <w:color w:val="231F20"/>
          <w:sz w:val="16"/>
        </w:rPr>
        <w:t>435; Ponto assassination 474</w:t>
      </w:r>
      <w:r>
        <w:rPr>
          <w:i/>
          <w:color w:val="231F20"/>
          <w:sz w:val="16"/>
        </w:rPr>
        <w:t xml:space="preserve">, </w:t>
      </w:r>
      <w:r>
        <w:rPr>
          <w:color w:val="231F20"/>
          <w:sz w:val="16"/>
        </w:rPr>
        <w:t>494</w:t>
      </w:r>
      <w:r>
        <w:rPr>
          <w:i/>
          <w:color w:val="231F20"/>
          <w:sz w:val="16"/>
        </w:rPr>
        <w:t>,</w:t>
      </w:r>
    </w:p>
    <w:p w14:paraId="4CF372C5" w14:textId="77777777" w:rsidR="002653E8" w:rsidRDefault="003115E3">
      <w:pPr>
        <w:spacing w:before="33"/>
        <w:ind w:left="446"/>
        <w:rPr>
          <w:sz w:val="16"/>
        </w:rPr>
      </w:pPr>
      <w:r>
        <w:rPr>
          <w:color w:val="231F20"/>
          <w:sz w:val="16"/>
        </w:rPr>
        <w:t>606; trial (1991) 621</w:t>
      </w:r>
    </w:p>
    <w:p w14:paraId="3286C0A4" w14:textId="77777777" w:rsidR="002653E8" w:rsidRDefault="003115E3">
      <w:pPr>
        <w:spacing w:before="32"/>
        <w:ind w:left="246"/>
        <w:rPr>
          <w:sz w:val="16"/>
        </w:rPr>
      </w:pPr>
      <w:r>
        <w:rPr>
          <w:color w:val="231F20"/>
          <w:sz w:val="16"/>
        </w:rPr>
        <w:t>Alexa, Peter 611</w:t>
      </w:r>
    </w:p>
    <w:p w14:paraId="76991B95" w14:textId="77777777" w:rsidR="002653E8" w:rsidRDefault="003115E3">
      <w:pPr>
        <w:spacing w:before="33"/>
        <w:ind w:left="246"/>
        <w:rPr>
          <w:sz w:val="16"/>
        </w:rPr>
      </w:pPr>
      <w:r>
        <w:rPr>
          <w:color w:val="231F20"/>
          <w:sz w:val="16"/>
        </w:rPr>
        <w:t>Algeria   209</w:t>
      </w:r>
      <w:r>
        <w:rPr>
          <w:i/>
          <w:color w:val="231F20"/>
          <w:sz w:val="16"/>
        </w:rPr>
        <w:t xml:space="preserve">, </w:t>
      </w:r>
      <w:r>
        <w:rPr>
          <w:color w:val="231F20"/>
          <w:sz w:val="16"/>
        </w:rPr>
        <w:t>212</w:t>
      </w:r>
      <w:r>
        <w:rPr>
          <w:i/>
          <w:color w:val="231F20"/>
          <w:sz w:val="16"/>
        </w:rPr>
        <w:t xml:space="preserve">, </w:t>
      </w:r>
      <w:r>
        <w:rPr>
          <w:color w:val="231F20"/>
          <w:sz w:val="16"/>
        </w:rPr>
        <w:t>480; support for  inde-</w:t>
      </w:r>
    </w:p>
    <w:p w14:paraId="6AC41252" w14:textId="77777777" w:rsidR="002653E8" w:rsidRDefault="003115E3">
      <w:pPr>
        <w:spacing w:before="32"/>
        <w:ind w:left="446"/>
        <w:rPr>
          <w:sz w:val="16"/>
        </w:rPr>
      </w:pPr>
      <w:r>
        <w:rPr>
          <w:color w:val="231F20"/>
          <w:w w:val="105"/>
          <w:sz w:val="16"/>
        </w:rPr>
        <w:t>pendence struggle 23</w:t>
      </w:r>
      <w:r>
        <w:rPr>
          <w:i/>
          <w:color w:val="231F20"/>
          <w:w w:val="105"/>
          <w:sz w:val="16"/>
        </w:rPr>
        <w:t xml:space="preserve">, </w:t>
      </w:r>
      <w:r>
        <w:rPr>
          <w:color w:val="231F20"/>
          <w:w w:val="105"/>
          <w:sz w:val="16"/>
        </w:rPr>
        <w:t>232</w:t>
      </w:r>
      <w:r>
        <w:rPr>
          <w:i/>
          <w:color w:val="231F20"/>
          <w:w w:val="105"/>
          <w:sz w:val="16"/>
        </w:rPr>
        <w:t xml:space="preserve">, </w:t>
      </w:r>
      <w:r>
        <w:rPr>
          <w:color w:val="231F20"/>
          <w:w w:val="105"/>
          <w:sz w:val="16"/>
        </w:rPr>
        <w:t>422</w:t>
      </w:r>
      <w:r>
        <w:rPr>
          <w:i/>
          <w:color w:val="231F20"/>
          <w:w w:val="105"/>
          <w:sz w:val="16"/>
        </w:rPr>
        <w:t xml:space="preserve">, </w:t>
      </w:r>
      <w:r>
        <w:rPr>
          <w:color w:val="231F20"/>
          <w:w w:val="105"/>
          <w:sz w:val="16"/>
        </w:rPr>
        <w:t>480;</w:t>
      </w:r>
    </w:p>
    <w:p w14:paraId="7EFFC2E7" w14:textId="77777777" w:rsidR="002653E8" w:rsidRDefault="003115E3">
      <w:pPr>
        <w:spacing w:before="32"/>
        <w:ind w:left="446"/>
        <w:rPr>
          <w:i/>
          <w:sz w:val="16"/>
        </w:rPr>
      </w:pPr>
      <w:r>
        <w:rPr>
          <w:color w:val="231F20"/>
          <w:w w:val="105"/>
          <w:sz w:val="16"/>
        </w:rPr>
        <w:t>support for PFLP (EO) 439</w:t>
      </w:r>
      <w:r>
        <w:rPr>
          <w:i/>
          <w:color w:val="231F20"/>
          <w:w w:val="105"/>
          <w:sz w:val="16"/>
        </w:rPr>
        <w:t xml:space="preserve">, </w:t>
      </w:r>
      <w:r>
        <w:rPr>
          <w:color w:val="231F20"/>
          <w:w w:val="105"/>
          <w:sz w:val="16"/>
        </w:rPr>
        <w:t>560–561</w:t>
      </w:r>
      <w:r>
        <w:rPr>
          <w:i/>
          <w:color w:val="231F20"/>
          <w:w w:val="105"/>
          <w:sz w:val="16"/>
        </w:rPr>
        <w:t>,</w:t>
      </w:r>
    </w:p>
    <w:p w14:paraId="34E5266F" w14:textId="77777777" w:rsidR="002653E8" w:rsidRDefault="003115E3">
      <w:pPr>
        <w:spacing w:before="33"/>
        <w:ind w:left="446"/>
        <w:rPr>
          <w:sz w:val="16"/>
        </w:rPr>
      </w:pPr>
      <w:r>
        <w:rPr>
          <w:color w:val="231F20"/>
          <w:sz w:val="16"/>
        </w:rPr>
        <w:t>599</w:t>
      </w:r>
    </w:p>
    <w:p w14:paraId="56003662" w14:textId="77777777" w:rsidR="002653E8" w:rsidRDefault="003115E3">
      <w:pPr>
        <w:spacing w:before="32" w:line="280" w:lineRule="auto"/>
        <w:ind w:left="246" w:right="1047"/>
        <w:rPr>
          <w:sz w:val="16"/>
        </w:rPr>
      </w:pPr>
      <w:r>
        <w:rPr>
          <w:color w:val="231F20"/>
          <w:sz w:val="16"/>
        </w:rPr>
        <w:t>Allensbach Institute poll 107–108</w:t>
      </w:r>
      <w:r>
        <w:rPr>
          <w:i/>
          <w:color w:val="231F20"/>
          <w:sz w:val="16"/>
        </w:rPr>
        <w:t xml:space="preserve">, </w:t>
      </w:r>
      <w:r>
        <w:rPr>
          <w:color w:val="231F20"/>
          <w:sz w:val="16"/>
        </w:rPr>
        <w:t>587 Alliance for Free Scholarship</w:t>
      </w:r>
      <w:r>
        <w:rPr>
          <w:i/>
          <w:color w:val="231F20"/>
          <w:sz w:val="16"/>
        </w:rPr>
        <w:t xml:space="preserve">. See </w:t>
      </w:r>
      <w:r>
        <w:rPr>
          <w:color w:val="231F20"/>
          <w:sz w:val="16"/>
        </w:rPr>
        <w:t>Bund</w:t>
      </w:r>
    </w:p>
    <w:p w14:paraId="61332112" w14:textId="77777777" w:rsidR="002653E8" w:rsidRDefault="003115E3">
      <w:pPr>
        <w:spacing w:before="1" w:line="280" w:lineRule="auto"/>
        <w:ind w:left="246" w:right="1901" w:firstLine="200"/>
        <w:rPr>
          <w:sz w:val="16"/>
        </w:rPr>
      </w:pPr>
      <w:r>
        <w:rPr>
          <w:color w:val="231F20"/>
          <w:sz w:val="16"/>
        </w:rPr>
        <w:t>Freiheit de Wissenshaft</w:t>
      </w:r>
      <w:r>
        <w:rPr>
          <w:color w:val="231F20"/>
          <w:w w:val="97"/>
          <w:sz w:val="16"/>
        </w:rPr>
        <w:t xml:space="preserve"> </w:t>
      </w:r>
      <w:r>
        <w:rPr>
          <w:color w:val="231F20"/>
          <w:sz w:val="16"/>
        </w:rPr>
        <w:t>Allied Control Council 8</w:t>
      </w:r>
    </w:p>
    <w:p w14:paraId="018896B8" w14:textId="77777777" w:rsidR="002653E8" w:rsidRDefault="003115E3">
      <w:pPr>
        <w:spacing w:before="1"/>
        <w:ind w:left="246"/>
        <w:rPr>
          <w:i/>
          <w:sz w:val="16"/>
        </w:rPr>
      </w:pPr>
      <w:r>
        <w:rPr>
          <w:color w:val="231F20"/>
          <w:w w:val="110"/>
          <w:sz w:val="16"/>
        </w:rPr>
        <w:t>Allied occupation 19</w:t>
      </w:r>
      <w:r>
        <w:rPr>
          <w:i/>
          <w:color w:val="231F20"/>
          <w:w w:val="110"/>
          <w:sz w:val="16"/>
        </w:rPr>
        <w:t xml:space="preserve">, </w:t>
      </w:r>
      <w:r>
        <w:rPr>
          <w:color w:val="231F20"/>
          <w:w w:val="110"/>
          <w:sz w:val="16"/>
        </w:rPr>
        <w:t>20</w:t>
      </w:r>
      <w:r>
        <w:rPr>
          <w:i/>
          <w:color w:val="231F20"/>
          <w:w w:val="110"/>
          <w:sz w:val="16"/>
        </w:rPr>
        <w:t xml:space="preserve">, </w:t>
      </w:r>
      <w:r>
        <w:rPr>
          <w:color w:val="231F20"/>
          <w:w w:val="110"/>
          <w:sz w:val="16"/>
        </w:rPr>
        <w:t>29</w:t>
      </w:r>
      <w:r>
        <w:rPr>
          <w:i/>
          <w:color w:val="231F20"/>
          <w:w w:val="110"/>
          <w:sz w:val="16"/>
        </w:rPr>
        <w:t xml:space="preserve">, </w:t>
      </w:r>
      <w:r>
        <w:rPr>
          <w:color w:val="231F20"/>
          <w:w w:val="110"/>
          <w:sz w:val="16"/>
        </w:rPr>
        <w:t>309</w:t>
      </w:r>
      <w:r>
        <w:rPr>
          <w:i/>
          <w:color w:val="231F20"/>
          <w:w w:val="110"/>
          <w:sz w:val="16"/>
        </w:rPr>
        <w:t xml:space="preserve">, </w:t>
      </w:r>
      <w:r>
        <w:rPr>
          <w:color w:val="231F20"/>
          <w:w w:val="110"/>
          <w:sz w:val="16"/>
        </w:rPr>
        <w:t>374</w:t>
      </w:r>
      <w:r>
        <w:rPr>
          <w:i/>
          <w:color w:val="231F20"/>
          <w:w w:val="110"/>
          <w:sz w:val="16"/>
        </w:rPr>
        <w:t>,</w:t>
      </w:r>
    </w:p>
    <w:p w14:paraId="700AC8E3" w14:textId="77777777" w:rsidR="002653E8" w:rsidRPr="00846956" w:rsidRDefault="003115E3">
      <w:pPr>
        <w:spacing w:before="33"/>
        <w:ind w:left="446"/>
        <w:rPr>
          <w:sz w:val="16"/>
          <w:lang w:val="de-DE"/>
        </w:rPr>
      </w:pPr>
      <w:r w:rsidRPr="00846956">
        <w:rPr>
          <w:color w:val="231F20"/>
          <w:w w:val="105"/>
          <w:sz w:val="16"/>
          <w:lang w:val="de-DE"/>
        </w:rPr>
        <w:t>413–415</w:t>
      </w:r>
      <w:r w:rsidRPr="00846956">
        <w:rPr>
          <w:i/>
          <w:color w:val="231F20"/>
          <w:w w:val="105"/>
          <w:sz w:val="16"/>
          <w:lang w:val="de-DE"/>
        </w:rPr>
        <w:t xml:space="preserve">, </w:t>
      </w:r>
      <w:r w:rsidRPr="00846956">
        <w:rPr>
          <w:color w:val="231F20"/>
          <w:w w:val="105"/>
          <w:sz w:val="16"/>
          <w:lang w:val="de-DE"/>
        </w:rPr>
        <w:t>425</w:t>
      </w:r>
    </w:p>
    <w:p w14:paraId="68C9A792" w14:textId="77777777" w:rsidR="002653E8" w:rsidRPr="00846956" w:rsidRDefault="003115E3">
      <w:pPr>
        <w:spacing w:before="32"/>
        <w:ind w:left="246"/>
        <w:rPr>
          <w:sz w:val="16"/>
          <w:lang w:val="de-DE"/>
        </w:rPr>
      </w:pPr>
      <w:r w:rsidRPr="00846956">
        <w:rPr>
          <w:color w:val="231F20"/>
          <w:w w:val="105"/>
          <w:sz w:val="16"/>
          <w:lang w:val="de-DE"/>
        </w:rPr>
        <w:t>Allnach, Kay-Werner 325</w:t>
      </w:r>
      <w:r w:rsidRPr="00846956">
        <w:rPr>
          <w:i/>
          <w:color w:val="231F20"/>
          <w:w w:val="105"/>
          <w:sz w:val="16"/>
          <w:lang w:val="de-DE"/>
        </w:rPr>
        <w:t xml:space="preserve">, </w:t>
      </w:r>
      <w:r w:rsidRPr="00846956">
        <w:rPr>
          <w:color w:val="231F20"/>
          <w:w w:val="105"/>
          <w:sz w:val="16"/>
          <w:lang w:val="de-DE"/>
        </w:rPr>
        <w:t>326</w:t>
      </w:r>
      <w:r w:rsidRPr="00846956">
        <w:rPr>
          <w:i/>
          <w:color w:val="231F20"/>
          <w:w w:val="105"/>
          <w:sz w:val="16"/>
          <w:lang w:val="de-DE"/>
        </w:rPr>
        <w:t xml:space="preserve">, </w:t>
      </w:r>
      <w:r w:rsidRPr="00846956">
        <w:rPr>
          <w:color w:val="231F20"/>
          <w:w w:val="105"/>
          <w:sz w:val="16"/>
          <w:lang w:val="de-DE"/>
        </w:rPr>
        <w:t>563</w:t>
      </w:r>
      <w:r w:rsidRPr="00846956">
        <w:rPr>
          <w:i/>
          <w:color w:val="231F20"/>
          <w:w w:val="105"/>
          <w:sz w:val="16"/>
          <w:lang w:val="de-DE"/>
        </w:rPr>
        <w:t xml:space="preserve">, </w:t>
      </w:r>
      <w:r w:rsidRPr="00846956">
        <w:rPr>
          <w:color w:val="231F20"/>
          <w:w w:val="105"/>
          <w:sz w:val="16"/>
          <w:lang w:val="de-DE"/>
        </w:rPr>
        <w:t>594</w:t>
      </w:r>
    </w:p>
    <w:p w14:paraId="1B2E8234" w14:textId="77777777" w:rsidR="002653E8" w:rsidRPr="00846956" w:rsidRDefault="003115E3">
      <w:pPr>
        <w:spacing w:before="33"/>
        <w:ind w:left="246"/>
        <w:rPr>
          <w:sz w:val="16"/>
          <w:lang w:val="de-DE"/>
        </w:rPr>
      </w:pPr>
      <w:r w:rsidRPr="00846956">
        <w:rPr>
          <w:color w:val="231F20"/>
          <w:sz w:val="16"/>
          <w:lang w:val="de-DE"/>
        </w:rPr>
        <w:t>Alternative List 246</w:t>
      </w:r>
    </w:p>
    <w:p w14:paraId="6245C986" w14:textId="77777777" w:rsidR="002653E8" w:rsidRDefault="003115E3">
      <w:pPr>
        <w:spacing w:before="32"/>
        <w:ind w:left="246"/>
        <w:rPr>
          <w:sz w:val="16"/>
        </w:rPr>
      </w:pPr>
      <w:r>
        <w:rPr>
          <w:color w:val="231F20"/>
          <w:sz w:val="16"/>
        </w:rPr>
        <w:t>amnesty (1970) 44</w:t>
      </w:r>
      <w:r>
        <w:rPr>
          <w:i/>
          <w:color w:val="231F20"/>
          <w:sz w:val="16"/>
        </w:rPr>
        <w:t xml:space="preserve">, </w:t>
      </w:r>
      <w:r>
        <w:rPr>
          <w:color w:val="231F20"/>
          <w:sz w:val="16"/>
        </w:rPr>
        <w:t>117</w:t>
      </w:r>
      <w:r>
        <w:rPr>
          <w:i/>
          <w:color w:val="231F20"/>
          <w:sz w:val="16"/>
        </w:rPr>
        <w:t xml:space="preserve">, </w:t>
      </w:r>
      <w:r>
        <w:rPr>
          <w:color w:val="231F20"/>
          <w:sz w:val="16"/>
        </w:rPr>
        <w:t>584; mentioned</w:t>
      </w:r>
    </w:p>
    <w:p w14:paraId="2A510235" w14:textId="77777777" w:rsidR="002653E8" w:rsidRDefault="003115E3">
      <w:pPr>
        <w:spacing w:before="32"/>
        <w:ind w:left="446"/>
        <w:rPr>
          <w:sz w:val="16"/>
        </w:rPr>
      </w:pPr>
      <w:r>
        <w:rPr>
          <w:color w:val="231F20"/>
          <w:w w:val="110"/>
          <w:sz w:val="16"/>
        </w:rPr>
        <w:t xml:space="preserve">by </w:t>
      </w:r>
      <w:r w:rsidR="00C507A5">
        <w:rPr>
          <w:color w:val="231F20"/>
          <w:w w:val="110"/>
          <w:sz w:val="16"/>
        </w:rPr>
        <w:t>red army faction</w:t>
      </w:r>
      <w:r>
        <w:rPr>
          <w:color w:val="231F20"/>
          <w:w w:val="110"/>
          <w:sz w:val="16"/>
        </w:rPr>
        <w:t xml:space="preserve"> 103</w:t>
      </w:r>
      <w:r>
        <w:rPr>
          <w:i/>
          <w:color w:val="231F20"/>
          <w:w w:val="110"/>
          <w:sz w:val="16"/>
        </w:rPr>
        <w:t xml:space="preserve">, </w:t>
      </w:r>
      <w:r>
        <w:rPr>
          <w:color w:val="231F20"/>
          <w:w w:val="110"/>
          <w:sz w:val="16"/>
        </w:rPr>
        <w:t>120</w:t>
      </w:r>
      <w:r>
        <w:rPr>
          <w:i/>
          <w:color w:val="231F20"/>
          <w:w w:val="110"/>
          <w:sz w:val="16"/>
        </w:rPr>
        <w:t xml:space="preserve">, </w:t>
      </w:r>
      <w:r>
        <w:rPr>
          <w:color w:val="231F20"/>
          <w:w w:val="110"/>
          <w:sz w:val="16"/>
        </w:rPr>
        <w:t>148</w:t>
      </w:r>
      <w:r>
        <w:rPr>
          <w:i/>
          <w:color w:val="231F20"/>
          <w:w w:val="110"/>
          <w:sz w:val="16"/>
        </w:rPr>
        <w:t xml:space="preserve">, </w:t>
      </w:r>
      <w:r>
        <w:rPr>
          <w:color w:val="231F20"/>
          <w:w w:val="110"/>
          <w:sz w:val="16"/>
        </w:rPr>
        <w:t>228</w:t>
      </w:r>
    </w:p>
    <w:p w14:paraId="00CE6DA5" w14:textId="77777777" w:rsidR="002653E8" w:rsidRDefault="003115E3">
      <w:pPr>
        <w:spacing w:before="33"/>
        <w:ind w:left="246"/>
        <w:rPr>
          <w:i/>
          <w:sz w:val="16"/>
        </w:rPr>
      </w:pPr>
      <w:r>
        <w:rPr>
          <w:color w:val="231F20"/>
          <w:w w:val="105"/>
          <w:sz w:val="16"/>
        </w:rPr>
        <w:t>Amnesty International 253</w:t>
      </w:r>
      <w:r>
        <w:rPr>
          <w:i/>
          <w:color w:val="231F20"/>
          <w:w w:val="105"/>
          <w:sz w:val="16"/>
        </w:rPr>
        <w:t xml:space="preserve">, </w:t>
      </w:r>
      <w:r>
        <w:rPr>
          <w:color w:val="231F20"/>
          <w:w w:val="105"/>
          <w:sz w:val="16"/>
        </w:rPr>
        <w:t>265</w:t>
      </w:r>
      <w:r>
        <w:rPr>
          <w:i/>
          <w:color w:val="231F20"/>
          <w:w w:val="105"/>
          <w:sz w:val="16"/>
        </w:rPr>
        <w:t xml:space="preserve">, </w:t>
      </w:r>
      <w:r>
        <w:rPr>
          <w:color w:val="231F20"/>
          <w:w w:val="105"/>
          <w:sz w:val="16"/>
        </w:rPr>
        <w:t>471</w:t>
      </w:r>
      <w:r>
        <w:rPr>
          <w:i/>
          <w:color w:val="231F20"/>
          <w:w w:val="105"/>
          <w:sz w:val="16"/>
        </w:rPr>
        <w:t>,</w:t>
      </w:r>
    </w:p>
    <w:p w14:paraId="0A5103E0" w14:textId="77777777" w:rsidR="002653E8" w:rsidRDefault="003115E3">
      <w:pPr>
        <w:spacing w:before="32"/>
        <w:ind w:left="446"/>
        <w:rPr>
          <w:i/>
          <w:sz w:val="16"/>
        </w:rPr>
      </w:pPr>
      <w:r>
        <w:rPr>
          <w:color w:val="231F20"/>
          <w:w w:val="105"/>
          <w:sz w:val="16"/>
        </w:rPr>
        <w:t>476</w:t>
      </w:r>
      <w:r>
        <w:rPr>
          <w:i/>
          <w:color w:val="231F20"/>
          <w:w w:val="105"/>
          <w:sz w:val="16"/>
        </w:rPr>
        <w:t xml:space="preserve">, </w:t>
      </w:r>
      <w:r>
        <w:rPr>
          <w:color w:val="231F20"/>
          <w:w w:val="105"/>
          <w:sz w:val="16"/>
        </w:rPr>
        <w:t xml:space="preserve">607; mentioned by </w:t>
      </w:r>
      <w:r w:rsidR="00C507A5">
        <w:rPr>
          <w:color w:val="231F20"/>
          <w:w w:val="105"/>
          <w:sz w:val="16"/>
        </w:rPr>
        <w:t>red army faction</w:t>
      </w:r>
      <w:r>
        <w:rPr>
          <w:color w:val="231F20"/>
          <w:w w:val="105"/>
          <w:sz w:val="16"/>
        </w:rPr>
        <w:t xml:space="preserve"> 308</w:t>
      </w:r>
      <w:r>
        <w:rPr>
          <w:i/>
          <w:color w:val="231F20"/>
          <w:w w:val="105"/>
          <w:sz w:val="16"/>
        </w:rPr>
        <w:t>,</w:t>
      </w:r>
    </w:p>
    <w:p w14:paraId="610E4CF1" w14:textId="77777777" w:rsidR="002653E8" w:rsidRDefault="003115E3">
      <w:pPr>
        <w:spacing w:before="33"/>
        <w:ind w:left="446"/>
        <w:rPr>
          <w:sz w:val="16"/>
        </w:rPr>
      </w:pPr>
      <w:r>
        <w:rPr>
          <w:color w:val="231F20"/>
          <w:w w:val="105"/>
          <w:sz w:val="16"/>
        </w:rPr>
        <w:t>425</w:t>
      </w:r>
      <w:r>
        <w:rPr>
          <w:i/>
          <w:color w:val="231F20"/>
          <w:w w:val="105"/>
          <w:sz w:val="16"/>
        </w:rPr>
        <w:t xml:space="preserve">, </w:t>
      </w:r>
      <w:r>
        <w:rPr>
          <w:color w:val="231F20"/>
          <w:w w:val="105"/>
          <w:sz w:val="16"/>
        </w:rPr>
        <w:t>495</w:t>
      </w:r>
    </w:p>
    <w:p w14:paraId="7CAA911A" w14:textId="77777777" w:rsidR="002653E8" w:rsidRDefault="003115E3">
      <w:pPr>
        <w:spacing w:before="32" w:line="280" w:lineRule="auto"/>
        <w:ind w:left="446" w:right="1047" w:hanging="200"/>
        <w:rPr>
          <w:i/>
          <w:sz w:val="16"/>
        </w:rPr>
      </w:pPr>
      <w:r>
        <w:rPr>
          <w:color w:val="231F20"/>
          <w:sz w:val="16"/>
        </w:rPr>
        <w:t>anarchists and anarchism 43</w:t>
      </w:r>
      <w:r>
        <w:rPr>
          <w:i/>
          <w:color w:val="231F20"/>
          <w:sz w:val="16"/>
        </w:rPr>
        <w:t xml:space="preserve">, </w:t>
      </w:r>
      <w:r>
        <w:rPr>
          <w:color w:val="231F20"/>
          <w:sz w:val="16"/>
        </w:rPr>
        <w:t>45</w:t>
      </w:r>
      <w:r>
        <w:rPr>
          <w:i/>
          <w:color w:val="231F20"/>
          <w:sz w:val="16"/>
        </w:rPr>
        <w:t xml:space="preserve">, </w:t>
      </w:r>
      <w:r>
        <w:rPr>
          <w:color w:val="231F20"/>
          <w:sz w:val="16"/>
        </w:rPr>
        <w:t>65</w:t>
      </w:r>
      <w:r>
        <w:rPr>
          <w:i/>
          <w:color w:val="231F20"/>
          <w:sz w:val="16"/>
        </w:rPr>
        <w:t xml:space="preserve">, </w:t>
      </w:r>
      <w:r>
        <w:rPr>
          <w:color w:val="231F20"/>
          <w:sz w:val="16"/>
        </w:rPr>
        <w:t>352</w:t>
      </w:r>
      <w:r>
        <w:rPr>
          <w:i/>
          <w:color w:val="231F20"/>
          <w:sz w:val="16"/>
        </w:rPr>
        <w:t xml:space="preserve">, </w:t>
      </w:r>
      <w:r>
        <w:rPr>
          <w:color w:val="231F20"/>
          <w:sz w:val="16"/>
        </w:rPr>
        <w:t>435</w:t>
      </w:r>
      <w:r>
        <w:rPr>
          <w:i/>
          <w:color w:val="231F20"/>
          <w:sz w:val="16"/>
        </w:rPr>
        <w:t xml:space="preserve">, </w:t>
      </w:r>
      <w:r>
        <w:rPr>
          <w:color w:val="231F20"/>
          <w:sz w:val="16"/>
        </w:rPr>
        <w:t>587</w:t>
      </w:r>
      <w:r>
        <w:rPr>
          <w:i/>
          <w:color w:val="231F20"/>
          <w:sz w:val="16"/>
        </w:rPr>
        <w:t xml:space="preserve">. See also </w:t>
      </w:r>
      <w:r>
        <w:rPr>
          <w:color w:val="231F20"/>
          <w:sz w:val="16"/>
        </w:rPr>
        <w:t>2nd of June Movement</w:t>
      </w:r>
      <w:r>
        <w:rPr>
          <w:i/>
          <w:color w:val="231F20"/>
          <w:sz w:val="16"/>
        </w:rPr>
        <w:t xml:space="preserve">; See also </w:t>
      </w:r>
      <w:r>
        <w:rPr>
          <w:color w:val="231F20"/>
          <w:sz w:val="16"/>
        </w:rPr>
        <w:t>Black Aid</w:t>
      </w:r>
      <w:r>
        <w:rPr>
          <w:i/>
          <w:color w:val="231F20"/>
          <w:sz w:val="16"/>
        </w:rPr>
        <w:t xml:space="preserve">; See also </w:t>
      </w:r>
      <w:r w:rsidR="00C507A5">
        <w:rPr>
          <w:color w:val="231F20"/>
          <w:sz w:val="16"/>
        </w:rPr>
        <w:t>red army faction</w:t>
      </w:r>
      <w:r>
        <w:rPr>
          <w:color w:val="231F20"/>
          <w:sz w:val="16"/>
        </w:rPr>
        <w:t xml:space="preserve"> ideas on: anarchism and antiauthoritarianism; as a slander 227</w:t>
      </w:r>
      <w:r>
        <w:rPr>
          <w:i/>
          <w:color w:val="231F20"/>
          <w:sz w:val="16"/>
        </w:rPr>
        <w:t xml:space="preserve">, </w:t>
      </w:r>
      <w:r>
        <w:rPr>
          <w:color w:val="231F20"/>
          <w:sz w:val="16"/>
        </w:rPr>
        <w:t>315–316</w:t>
      </w:r>
      <w:r>
        <w:rPr>
          <w:i/>
          <w:color w:val="231F20"/>
          <w:sz w:val="16"/>
        </w:rPr>
        <w:t>,</w:t>
      </w:r>
    </w:p>
    <w:p w14:paraId="368D88FC" w14:textId="77777777" w:rsidR="002653E8" w:rsidRPr="00846956" w:rsidRDefault="003115E3">
      <w:pPr>
        <w:spacing w:before="3"/>
        <w:ind w:left="446"/>
        <w:rPr>
          <w:sz w:val="16"/>
          <w:lang w:val="de-DE"/>
        </w:rPr>
      </w:pPr>
      <w:r w:rsidRPr="00846956">
        <w:rPr>
          <w:color w:val="231F20"/>
          <w:sz w:val="16"/>
          <w:lang w:val="de-DE"/>
        </w:rPr>
        <w:t>335</w:t>
      </w:r>
    </w:p>
    <w:p w14:paraId="6ECCECCF" w14:textId="77777777" w:rsidR="002653E8" w:rsidRPr="00846956" w:rsidRDefault="003115E3">
      <w:pPr>
        <w:spacing w:before="32"/>
        <w:ind w:left="246"/>
        <w:rPr>
          <w:sz w:val="16"/>
          <w:lang w:val="de-DE"/>
        </w:rPr>
      </w:pPr>
      <w:r w:rsidRPr="00846956">
        <w:rPr>
          <w:i/>
          <w:color w:val="231F20"/>
          <w:w w:val="105"/>
          <w:sz w:val="16"/>
          <w:lang w:val="de-DE"/>
        </w:rPr>
        <w:t xml:space="preserve">Die Andere Zeitung </w:t>
      </w:r>
      <w:r w:rsidRPr="00846956">
        <w:rPr>
          <w:color w:val="231F20"/>
          <w:w w:val="105"/>
          <w:sz w:val="16"/>
          <w:lang w:val="de-DE"/>
        </w:rPr>
        <w:t>10</w:t>
      </w:r>
    </w:p>
    <w:p w14:paraId="46A5A30E" w14:textId="77777777" w:rsidR="002653E8" w:rsidRPr="00846956" w:rsidRDefault="003115E3">
      <w:pPr>
        <w:spacing w:before="33"/>
        <w:ind w:left="246"/>
        <w:rPr>
          <w:sz w:val="16"/>
          <w:lang w:val="de-DE"/>
        </w:rPr>
      </w:pPr>
      <w:r w:rsidRPr="00846956">
        <w:rPr>
          <w:color w:val="231F20"/>
          <w:w w:val="105"/>
          <w:sz w:val="16"/>
          <w:lang w:val="de-DE"/>
        </w:rPr>
        <w:t>Andrawes, Souhaila 485</w:t>
      </w:r>
      <w:r w:rsidRPr="00846956">
        <w:rPr>
          <w:i/>
          <w:color w:val="231F20"/>
          <w:w w:val="105"/>
          <w:sz w:val="16"/>
          <w:lang w:val="de-DE"/>
        </w:rPr>
        <w:t xml:space="preserve">, </w:t>
      </w:r>
      <w:r w:rsidRPr="00846956">
        <w:rPr>
          <w:color w:val="231F20"/>
          <w:w w:val="105"/>
          <w:sz w:val="16"/>
          <w:lang w:val="de-DE"/>
        </w:rPr>
        <w:t>563</w:t>
      </w:r>
      <w:r w:rsidRPr="00846956">
        <w:rPr>
          <w:i/>
          <w:color w:val="231F20"/>
          <w:w w:val="105"/>
          <w:sz w:val="16"/>
          <w:lang w:val="de-DE"/>
        </w:rPr>
        <w:t xml:space="preserve">, </w:t>
      </w:r>
      <w:r w:rsidRPr="00846956">
        <w:rPr>
          <w:color w:val="231F20"/>
          <w:w w:val="105"/>
          <w:sz w:val="16"/>
          <w:lang w:val="de-DE"/>
        </w:rPr>
        <w:t>625</w:t>
      </w:r>
    </w:p>
    <w:p w14:paraId="5B6D329E" w14:textId="77777777" w:rsidR="002653E8" w:rsidRDefault="003115E3">
      <w:pPr>
        <w:spacing w:before="32"/>
        <w:ind w:left="246"/>
        <w:rPr>
          <w:i/>
          <w:sz w:val="16"/>
        </w:rPr>
      </w:pPr>
      <w:r>
        <w:rPr>
          <w:color w:val="231F20"/>
          <w:sz w:val="16"/>
        </w:rPr>
        <w:t>Angela Davis Congress (1972) 199–200</w:t>
      </w:r>
      <w:r>
        <w:rPr>
          <w:i/>
          <w:color w:val="231F20"/>
          <w:sz w:val="16"/>
        </w:rPr>
        <w:t>,</w:t>
      </w:r>
    </w:p>
    <w:p w14:paraId="073BABC6" w14:textId="77777777" w:rsidR="002653E8" w:rsidRDefault="003115E3">
      <w:pPr>
        <w:spacing w:before="33"/>
        <w:ind w:left="446"/>
        <w:rPr>
          <w:sz w:val="16"/>
        </w:rPr>
      </w:pPr>
      <w:r>
        <w:rPr>
          <w:color w:val="231F20"/>
          <w:w w:val="110"/>
          <w:sz w:val="16"/>
        </w:rPr>
        <w:t>218</w:t>
      </w:r>
      <w:r>
        <w:rPr>
          <w:i/>
          <w:color w:val="231F20"/>
          <w:w w:val="110"/>
          <w:sz w:val="16"/>
        </w:rPr>
        <w:t xml:space="preserve">, </w:t>
      </w:r>
      <w:r>
        <w:rPr>
          <w:color w:val="231F20"/>
          <w:w w:val="110"/>
          <w:sz w:val="16"/>
        </w:rPr>
        <w:t>226</w:t>
      </w:r>
      <w:r>
        <w:rPr>
          <w:i/>
          <w:color w:val="231F20"/>
          <w:w w:val="110"/>
          <w:sz w:val="16"/>
        </w:rPr>
        <w:t xml:space="preserve">, </w:t>
      </w:r>
      <w:r>
        <w:rPr>
          <w:color w:val="231F20"/>
          <w:w w:val="110"/>
          <w:sz w:val="16"/>
        </w:rPr>
        <w:t>591</w:t>
      </w:r>
    </w:p>
    <w:p w14:paraId="17396C47" w14:textId="77777777" w:rsidR="002653E8" w:rsidRDefault="003115E3">
      <w:pPr>
        <w:spacing w:before="32"/>
        <w:ind w:left="246"/>
        <w:rPr>
          <w:sz w:val="16"/>
        </w:rPr>
      </w:pPr>
      <w:r>
        <w:rPr>
          <w:color w:val="231F20"/>
          <w:w w:val="105"/>
          <w:sz w:val="16"/>
        </w:rPr>
        <w:t>Angola 11</w:t>
      </w:r>
      <w:r>
        <w:rPr>
          <w:i/>
          <w:color w:val="231F20"/>
          <w:w w:val="105"/>
          <w:sz w:val="16"/>
        </w:rPr>
        <w:t xml:space="preserve">, </w:t>
      </w:r>
      <w:r>
        <w:rPr>
          <w:color w:val="231F20"/>
          <w:w w:val="105"/>
          <w:sz w:val="16"/>
        </w:rPr>
        <w:t>226</w:t>
      </w:r>
    </w:p>
    <w:p w14:paraId="10FB8CC1" w14:textId="77777777" w:rsidR="002653E8" w:rsidRDefault="002653E8">
      <w:pPr>
        <w:rPr>
          <w:sz w:val="16"/>
        </w:rPr>
        <w:sectPr w:rsidR="002653E8">
          <w:type w:val="continuous"/>
          <w:pgSz w:w="8640" w:h="12960"/>
          <w:pgMar w:top="0" w:right="0" w:bottom="0" w:left="0" w:header="720" w:footer="720" w:gutter="0"/>
          <w:cols w:num="2" w:space="720" w:equalWidth="0">
            <w:col w:w="4264" w:space="40"/>
            <w:col w:w="4336"/>
          </w:cols>
        </w:sectPr>
      </w:pPr>
    </w:p>
    <w:p w14:paraId="1D537AFE" w14:textId="77777777" w:rsidR="002653E8" w:rsidRDefault="003115E3">
      <w:pPr>
        <w:spacing w:before="86" w:line="280" w:lineRule="auto"/>
        <w:ind w:left="1347" w:right="80" w:hanging="200"/>
        <w:rPr>
          <w:sz w:val="16"/>
        </w:rPr>
      </w:pPr>
      <w:r>
        <w:rPr>
          <w:color w:val="231F20"/>
          <w:sz w:val="16"/>
        </w:rPr>
        <w:lastRenderedPageBreak/>
        <w:t>anti-Americanism 185</w:t>
      </w:r>
      <w:r>
        <w:rPr>
          <w:i/>
          <w:color w:val="231F20"/>
          <w:sz w:val="16"/>
        </w:rPr>
        <w:t xml:space="preserve">, </w:t>
      </w:r>
      <w:r>
        <w:rPr>
          <w:color w:val="231F20"/>
          <w:sz w:val="16"/>
        </w:rPr>
        <w:t>615</w:t>
      </w:r>
      <w:r>
        <w:rPr>
          <w:i/>
          <w:color w:val="231F20"/>
          <w:sz w:val="16"/>
        </w:rPr>
        <w:t xml:space="preserve">. See also </w:t>
      </w:r>
      <w:r>
        <w:rPr>
          <w:color w:val="231F20"/>
          <w:sz w:val="16"/>
        </w:rPr>
        <w:t>Federal Republic of Germany:  considered a</w:t>
      </w:r>
      <w:r>
        <w:rPr>
          <w:color w:val="231F20"/>
          <w:spacing w:val="8"/>
          <w:sz w:val="16"/>
        </w:rPr>
        <w:t xml:space="preserve"> </w:t>
      </w:r>
      <w:r>
        <w:rPr>
          <w:color w:val="231F20"/>
          <w:sz w:val="16"/>
        </w:rPr>
        <w:t>colony</w:t>
      </w:r>
    </w:p>
    <w:p w14:paraId="26A22290" w14:textId="77777777" w:rsidR="002653E8" w:rsidRDefault="003115E3">
      <w:pPr>
        <w:spacing w:before="2"/>
        <w:ind w:left="1147"/>
        <w:rPr>
          <w:i/>
          <w:sz w:val="16"/>
        </w:rPr>
      </w:pPr>
      <w:r>
        <w:rPr>
          <w:color w:val="231F20"/>
          <w:w w:val="110"/>
          <w:sz w:val="16"/>
        </w:rPr>
        <w:t>antiauthoritarianism 28</w:t>
      </w:r>
      <w:r>
        <w:rPr>
          <w:i/>
          <w:color w:val="231F20"/>
          <w:w w:val="110"/>
          <w:sz w:val="16"/>
        </w:rPr>
        <w:t xml:space="preserve">, </w:t>
      </w:r>
      <w:r>
        <w:rPr>
          <w:color w:val="231F20"/>
          <w:w w:val="110"/>
          <w:sz w:val="16"/>
        </w:rPr>
        <w:t>43</w:t>
      </w:r>
      <w:r>
        <w:rPr>
          <w:i/>
          <w:color w:val="231F20"/>
          <w:w w:val="110"/>
          <w:sz w:val="16"/>
        </w:rPr>
        <w:t xml:space="preserve">, </w:t>
      </w:r>
      <w:r>
        <w:rPr>
          <w:color w:val="231F20"/>
          <w:w w:val="110"/>
          <w:sz w:val="16"/>
        </w:rPr>
        <w:t>46</w:t>
      </w:r>
      <w:r>
        <w:rPr>
          <w:i/>
          <w:color w:val="231F20"/>
          <w:w w:val="110"/>
          <w:sz w:val="16"/>
        </w:rPr>
        <w:t xml:space="preserve">, </w:t>
      </w:r>
      <w:r>
        <w:rPr>
          <w:color w:val="231F20"/>
          <w:w w:val="110"/>
          <w:sz w:val="16"/>
        </w:rPr>
        <w:t>244</w:t>
      </w:r>
      <w:r>
        <w:rPr>
          <w:i/>
          <w:color w:val="231F20"/>
          <w:w w:val="110"/>
          <w:sz w:val="16"/>
        </w:rPr>
        <w:t>,</w:t>
      </w:r>
    </w:p>
    <w:p w14:paraId="3514C24F" w14:textId="77777777" w:rsidR="002653E8" w:rsidRDefault="003115E3">
      <w:pPr>
        <w:spacing w:before="32" w:line="280" w:lineRule="auto"/>
        <w:ind w:left="1347"/>
        <w:rPr>
          <w:sz w:val="16"/>
        </w:rPr>
      </w:pPr>
      <w:r>
        <w:rPr>
          <w:color w:val="231F20"/>
          <w:sz w:val="16"/>
        </w:rPr>
        <w:t>245</w:t>
      </w:r>
      <w:r>
        <w:rPr>
          <w:i/>
          <w:color w:val="231F20"/>
          <w:sz w:val="16"/>
        </w:rPr>
        <w:t xml:space="preserve">, </w:t>
      </w:r>
      <w:r>
        <w:rPr>
          <w:color w:val="231F20"/>
          <w:sz w:val="16"/>
        </w:rPr>
        <w:t>328</w:t>
      </w:r>
      <w:r>
        <w:rPr>
          <w:i/>
          <w:color w:val="231F20"/>
          <w:sz w:val="16"/>
        </w:rPr>
        <w:t xml:space="preserve">, </w:t>
      </w:r>
      <w:r>
        <w:rPr>
          <w:color w:val="231F20"/>
          <w:sz w:val="16"/>
        </w:rPr>
        <w:t>534</w:t>
      </w:r>
      <w:r>
        <w:rPr>
          <w:i/>
          <w:color w:val="231F20"/>
          <w:sz w:val="16"/>
        </w:rPr>
        <w:t xml:space="preserve">, </w:t>
      </w:r>
      <w:r>
        <w:rPr>
          <w:color w:val="231F20"/>
          <w:sz w:val="16"/>
        </w:rPr>
        <w:t>539</w:t>
      </w:r>
      <w:r>
        <w:rPr>
          <w:i/>
          <w:color w:val="231F20"/>
          <w:sz w:val="16"/>
        </w:rPr>
        <w:t xml:space="preserve">. See also </w:t>
      </w:r>
      <w:r w:rsidR="00C507A5">
        <w:rPr>
          <w:color w:val="231F20"/>
          <w:sz w:val="16"/>
        </w:rPr>
        <w:t>red army faction</w:t>
      </w:r>
      <w:r>
        <w:rPr>
          <w:color w:val="231F20"/>
          <w:sz w:val="16"/>
        </w:rPr>
        <w:t xml:space="preserve"> ideas on: anarchism and antiauthoritarianism</w:t>
      </w:r>
      <w:r>
        <w:rPr>
          <w:i/>
          <w:color w:val="231F20"/>
          <w:sz w:val="16"/>
        </w:rPr>
        <w:t xml:space="preserve">; See also </w:t>
      </w:r>
      <w:r>
        <w:rPr>
          <w:color w:val="231F20"/>
          <w:sz w:val="16"/>
        </w:rPr>
        <w:t>anarchists and anarchism</w:t>
      </w:r>
      <w:r>
        <w:rPr>
          <w:i/>
          <w:color w:val="231F20"/>
          <w:sz w:val="16"/>
        </w:rPr>
        <w:t xml:space="preserve">; See also </w:t>
      </w:r>
      <w:r>
        <w:rPr>
          <w:color w:val="231F20"/>
          <w:sz w:val="16"/>
        </w:rPr>
        <w:t>spontis; mentioned by Thorwald Proll 70</w:t>
      </w:r>
      <w:r>
        <w:rPr>
          <w:i/>
          <w:color w:val="231F20"/>
          <w:sz w:val="16"/>
        </w:rPr>
        <w:t xml:space="preserve">, </w:t>
      </w:r>
      <w:r>
        <w:rPr>
          <w:color w:val="231F20"/>
          <w:sz w:val="16"/>
        </w:rPr>
        <w:t>75</w:t>
      </w:r>
      <w:r>
        <w:rPr>
          <w:i/>
          <w:color w:val="231F20"/>
          <w:sz w:val="16"/>
        </w:rPr>
        <w:t xml:space="preserve">, </w:t>
      </w:r>
      <w:r>
        <w:rPr>
          <w:color w:val="231F20"/>
          <w:sz w:val="16"/>
        </w:rPr>
        <w:t>77</w:t>
      </w:r>
    </w:p>
    <w:p w14:paraId="786F1BED" w14:textId="77777777" w:rsidR="002653E8" w:rsidRDefault="003115E3">
      <w:pPr>
        <w:spacing w:before="3" w:line="280" w:lineRule="auto"/>
        <w:ind w:left="1347" w:right="80" w:hanging="200"/>
        <w:rPr>
          <w:sz w:val="16"/>
        </w:rPr>
      </w:pPr>
      <w:r>
        <w:rPr>
          <w:color w:val="231F20"/>
          <w:sz w:val="16"/>
        </w:rPr>
        <w:t>Anti-Capitalist and Anti-Imperialist Resistance in Western Europe Conference (1986) 618</w:t>
      </w:r>
    </w:p>
    <w:p w14:paraId="598F3B06" w14:textId="77777777" w:rsidR="002653E8" w:rsidRDefault="003115E3">
      <w:pPr>
        <w:spacing w:before="2"/>
        <w:ind w:left="1147"/>
        <w:rPr>
          <w:i/>
          <w:sz w:val="16"/>
        </w:rPr>
      </w:pPr>
      <w:r>
        <w:rPr>
          <w:color w:val="231F20"/>
          <w:w w:val="110"/>
          <w:sz w:val="16"/>
        </w:rPr>
        <w:t>anticommunism 33–34</w:t>
      </w:r>
      <w:r>
        <w:rPr>
          <w:i/>
          <w:color w:val="231F20"/>
          <w:w w:val="110"/>
          <w:sz w:val="16"/>
        </w:rPr>
        <w:t xml:space="preserve">, </w:t>
      </w:r>
      <w:r>
        <w:rPr>
          <w:color w:val="231F20"/>
          <w:w w:val="110"/>
          <w:sz w:val="16"/>
        </w:rPr>
        <w:t>36</w:t>
      </w:r>
      <w:r>
        <w:rPr>
          <w:i/>
          <w:color w:val="231F20"/>
          <w:w w:val="110"/>
          <w:sz w:val="16"/>
        </w:rPr>
        <w:t xml:space="preserve">, </w:t>
      </w:r>
      <w:r>
        <w:rPr>
          <w:color w:val="231F20"/>
          <w:w w:val="110"/>
          <w:sz w:val="16"/>
        </w:rPr>
        <w:t>313</w:t>
      </w:r>
      <w:r>
        <w:rPr>
          <w:i/>
          <w:color w:val="231F20"/>
          <w:w w:val="110"/>
          <w:sz w:val="16"/>
        </w:rPr>
        <w:t>,</w:t>
      </w:r>
    </w:p>
    <w:p w14:paraId="66D82C9E" w14:textId="77777777" w:rsidR="002653E8" w:rsidRDefault="003115E3">
      <w:pPr>
        <w:spacing w:before="32" w:line="280" w:lineRule="auto"/>
        <w:ind w:left="1347" w:right="80"/>
        <w:rPr>
          <w:sz w:val="16"/>
        </w:rPr>
      </w:pPr>
      <w:r>
        <w:rPr>
          <w:color w:val="231F20"/>
          <w:sz w:val="16"/>
        </w:rPr>
        <w:t>373–374</w:t>
      </w:r>
      <w:r>
        <w:rPr>
          <w:i/>
          <w:color w:val="231F20"/>
          <w:sz w:val="16"/>
        </w:rPr>
        <w:t xml:space="preserve">, </w:t>
      </w:r>
      <w:r>
        <w:rPr>
          <w:color w:val="231F20"/>
          <w:sz w:val="16"/>
        </w:rPr>
        <w:t>544–547</w:t>
      </w:r>
      <w:r>
        <w:rPr>
          <w:i/>
          <w:color w:val="231F20"/>
          <w:sz w:val="16"/>
        </w:rPr>
        <w:t xml:space="preserve">. See also </w:t>
      </w:r>
      <w:r>
        <w:rPr>
          <w:color w:val="231F20"/>
          <w:sz w:val="16"/>
        </w:rPr>
        <w:t>anarchists and anarchism: as a slander</w:t>
      </w:r>
      <w:r>
        <w:rPr>
          <w:i/>
          <w:color w:val="231F20"/>
          <w:sz w:val="16"/>
        </w:rPr>
        <w:t xml:space="preserve">; See also </w:t>
      </w:r>
      <w:r>
        <w:rPr>
          <w:color w:val="231F20"/>
          <w:sz w:val="16"/>
        </w:rPr>
        <w:t>Springer Press; Adenauer era 6</w:t>
      </w:r>
      <w:r>
        <w:rPr>
          <w:i/>
          <w:color w:val="231F20"/>
          <w:sz w:val="16"/>
        </w:rPr>
        <w:t xml:space="preserve">, </w:t>
      </w:r>
      <w:r>
        <w:rPr>
          <w:color w:val="231F20"/>
          <w:sz w:val="16"/>
        </w:rPr>
        <w:t>8–9</w:t>
      </w:r>
      <w:r>
        <w:rPr>
          <w:i/>
          <w:color w:val="231F20"/>
          <w:sz w:val="16"/>
        </w:rPr>
        <w:t xml:space="preserve">, </w:t>
      </w:r>
      <w:r>
        <w:rPr>
          <w:color w:val="231F20"/>
          <w:sz w:val="16"/>
        </w:rPr>
        <w:t>13–16</w:t>
      </w:r>
      <w:r>
        <w:rPr>
          <w:i/>
          <w:color w:val="231F20"/>
          <w:sz w:val="16"/>
        </w:rPr>
        <w:t xml:space="preserve">, </w:t>
      </w:r>
      <w:r>
        <w:rPr>
          <w:color w:val="231F20"/>
          <w:sz w:val="16"/>
        </w:rPr>
        <w:t>14–15</w:t>
      </w:r>
      <w:r>
        <w:rPr>
          <w:i/>
          <w:color w:val="231F20"/>
          <w:sz w:val="16"/>
        </w:rPr>
        <w:t xml:space="preserve">, </w:t>
      </w:r>
      <w:r>
        <w:rPr>
          <w:color w:val="231F20"/>
          <w:sz w:val="16"/>
        </w:rPr>
        <w:t>16</w:t>
      </w:r>
      <w:r>
        <w:rPr>
          <w:i/>
          <w:color w:val="231F20"/>
          <w:sz w:val="16"/>
        </w:rPr>
        <w:t xml:space="preserve">, </w:t>
      </w:r>
      <w:r>
        <w:rPr>
          <w:color w:val="231F20"/>
          <w:sz w:val="16"/>
        </w:rPr>
        <w:t>21</w:t>
      </w:r>
    </w:p>
    <w:p w14:paraId="0E34A8A1" w14:textId="77777777" w:rsidR="002653E8" w:rsidRDefault="003115E3">
      <w:pPr>
        <w:spacing w:before="2"/>
        <w:ind w:left="1147"/>
        <w:rPr>
          <w:i/>
          <w:sz w:val="16"/>
        </w:rPr>
      </w:pPr>
      <w:r>
        <w:rPr>
          <w:color w:val="231F20"/>
          <w:w w:val="105"/>
          <w:sz w:val="16"/>
        </w:rPr>
        <w:t>antinuclear movement 22–23</w:t>
      </w:r>
      <w:r>
        <w:rPr>
          <w:i/>
          <w:color w:val="231F20"/>
          <w:w w:val="105"/>
          <w:sz w:val="16"/>
        </w:rPr>
        <w:t xml:space="preserve">, </w:t>
      </w:r>
      <w:r>
        <w:rPr>
          <w:color w:val="231F20"/>
          <w:w w:val="105"/>
          <w:sz w:val="16"/>
        </w:rPr>
        <w:t>26</w:t>
      </w:r>
      <w:r>
        <w:rPr>
          <w:i/>
          <w:color w:val="231F20"/>
          <w:w w:val="105"/>
          <w:sz w:val="16"/>
        </w:rPr>
        <w:t>,</w:t>
      </w:r>
    </w:p>
    <w:p w14:paraId="1535EC4D" w14:textId="77777777" w:rsidR="002653E8" w:rsidRDefault="003115E3">
      <w:pPr>
        <w:spacing w:before="33"/>
        <w:ind w:left="1347"/>
        <w:rPr>
          <w:sz w:val="16"/>
        </w:rPr>
      </w:pPr>
      <w:r>
        <w:rPr>
          <w:color w:val="231F20"/>
          <w:w w:val="105"/>
          <w:sz w:val="16"/>
        </w:rPr>
        <w:t>449–451; mentioned by RZ  460</w:t>
      </w:r>
      <w:r>
        <w:rPr>
          <w:i/>
          <w:color w:val="231F20"/>
          <w:w w:val="105"/>
          <w:sz w:val="16"/>
        </w:rPr>
        <w:t xml:space="preserve">, </w:t>
      </w:r>
      <w:r>
        <w:rPr>
          <w:color w:val="231F20"/>
          <w:w w:val="105"/>
          <w:sz w:val="16"/>
        </w:rPr>
        <w:t>462</w:t>
      </w:r>
    </w:p>
    <w:p w14:paraId="50B70835" w14:textId="77777777" w:rsidR="002653E8" w:rsidRDefault="003115E3">
      <w:pPr>
        <w:spacing w:before="32"/>
        <w:ind w:left="1147"/>
        <w:rPr>
          <w:i/>
          <w:sz w:val="16"/>
        </w:rPr>
      </w:pPr>
      <w:r>
        <w:rPr>
          <w:color w:val="231F20"/>
          <w:sz w:val="16"/>
        </w:rPr>
        <w:t>Anti-Repression  Conference  (1976) 442</w:t>
      </w:r>
      <w:r>
        <w:rPr>
          <w:i/>
          <w:color w:val="231F20"/>
          <w:sz w:val="16"/>
        </w:rPr>
        <w:t>,</w:t>
      </w:r>
    </w:p>
    <w:p w14:paraId="18C2C8FA" w14:textId="77777777" w:rsidR="002653E8" w:rsidRDefault="003115E3">
      <w:pPr>
        <w:spacing w:before="32"/>
        <w:ind w:left="1347"/>
        <w:rPr>
          <w:sz w:val="16"/>
        </w:rPr>
      </w:pPr>
      <w:r>
        <w:rPr>
          <w:color w:val="231F20"/>
          <w:sz w:val="16"/>
        </w:rPr>
        <w:t>601</w:t>
      </w:r>
    </w:p>
    <w:p w14:paraId="03A4CBA2" w14:textId="77777777" w:rsidR="002653E8" w:rsidRDefault="003115E3">
      <w:pPr>
        <w:spacing w:before="33" w:line="280" w:lineRule="auto"/>
        <w:ind w:left="1347" w:right="80" w:hanging="200"/>
        <w:rPr>
          <w:sz w:val="16"/>
        </w:rPr>
      </w:pPr>
      <w:r>
        <w:rPr>
          <w:color w:val="231F20"/>
          <w:sz w:val="16"/>
        </w:rPr>
        <w:t>antisemitism 26</w:t>
      </w:r>
      <w:r>
        <w:rPr>
          <w:i/>
          <w:color w:val="231F20"/>
          <w:sz w:val="16"/>
        </w:rPr>
        <w:t xml:space="preserve">, </w:t>
      </w:r>
      <w:r>
        <w:rPr>
          <w:color w:val="231F20"/>
          <w:sz w:val="16"/>
        </w:rPr>
        <w:t>46</w:t>
      </w:r>
      <w:r>
        <w:rPr>
          <w:i/>
          <w:color w:val="231F20"/>
          <w:sz w:val="16"/>
        </w:rPr>
        <w:t xml:space="preserve">, </w:t>
      </w:r>
      <w:r>
        <w:rPr>
          <w:color w:val="231F20"/>
          <w:sz w:val="16"/>
        </w:rPr>
        <w:t>195–196</w:t>
      </w:r>
      <w:r>
        <w:rPr>
          <w:i/>
          <w:color w:val="231F20"/>
          <w:sz w:val="16"/>
        </w:rPr>
        <w:t xml:space="preserve">, </w:t>
      </w:r>
      <w:r>
        <w:rPr>
          <w:color w:val="231F20"/>
          <w:sz w:val="16"/>
        </w:rPr>
        <w:t>553</w:t>
      </w:r>
      <w:r>
        <w:rPr>
          <w:i/>
          <w:color w:val="231F20"/>
          <w:sz w:val="16"/>
        </w:rPr>
        <w:t xml:space="preserve">. See also </w:t>
      </w:r>
      <w:r>
        <w:rPr>
          <w:color w:val="231F20"/>
          <w:sz w:val="16"/>
        </w:rPr>
        <w:t>Meinhof, Ulrike: accusations of antisemitism; selection at Entebbe 440–441</w:t>
      </w:r>
    </w:p>
    <w:p w14:paraId="6424AACA" w14:textId="77777777" w:rsidR="002653E8" w:rsidRDefault="003115E3">
      <w:pPr>
        <w:spacing w:before="2"/>
        <w:ind w:left="1147"/>
        <w:rPr>
          <w:sz w:val="16"/>
        </w:rPr>
      </w:pPr>
      <w:r>
        <w:rPr>
          <w:color w:val="231F20"/>
          <w:sz w:val="16"/>
        </w:rPr>
        <w:t>Anti-Terrorist Brigade 523</w:t>
      </w:r>
    </w:p>
    <w:p w14:paraId="6DB8F646" w14:textId="77777777" w:rsidR="002653E8" w:rsidRDefault="003115E3">
      <w:pPr>
        <w:spacing w:before="32" w:line="280" w:lineRule="auto"/>
        <w:ind w:left="1347" w:right="42" w:hanging="200"/>
        <w:rPr>
          <w:sz w:val="16"/>
        </w:rPr>
      </w:pPr>
      <w:r>
        <w:rPr>
          <w:color w:val="231F20"/>
          <w:w w:val="105"/>
          <w:sz w:val="16"/>
        </w:rPr>
        <w:t>anti-Zionism</w:t>
      </w:r>
      <w:r>
        <w:rPr>
          <w:i/>
          <w:color w:val="231F20"/>
          <w:w w:val="105"/>
          <w:sz w:val="16"/>
        </w:rPr>
        <w:t xml:space="preserve">. See </w:t>
      </w:r>
      <w:r>
        <w:rPr>
          <w:color w:val="231F20"/>
          <w:w w:val="105"/>
          <w:sz w:val="16"/>
        </w:rPr>
        <w:t>Revolutionary Cells: anti-Zionism</w:t>
      </w:r>
      <w:r>
        <w:rPr>
          <w:i/>
          <w:color w:val="231F20"/>
          <w:w w:val="105"/>
          <w:sz w:val="16"/>
        </w:rPr>
        <w:t xml:space="preserve">; See </w:t>
      </w:r>
      <w:r>
        <w:rPr>
          <w:color w:val="231F20"/>
          <w:w w:val="105"/>
          <w:sz w:val="16"/>
        </w:rPr>
        <w:t>APO (Außerparla</w:t>
      </w:r>
      <w:r>
        <w:rPr>
          <w:color w:val="231F20"/>
          <w:sz w:val="16"/>
        </w:rPr>
        <w:t>mentarische Opposition): anti-Zionism</w:t>
      </w:r>
    </w:p>
    <w:p w14:paraId="6BCCD509" w14:textId="77777777" w:rsidR="002653E8" w:rsidRPr="00846956" w:rsidRDefault="003115E3">
      <w:pPr>
        <w:spacing w:before="2" w:line="280" w:lineRule="auto"/>
        <w:ind w:left="1347" w:hanging="200"/>
        <w:rPr>
          <w:i/>
          <w:sz w:val="16"/>
          <w:lang w:val="de-DE"/>
        </w:rPr>
      </w:pPr>
      <w:r w:rsidRPr="00846956">
        <w:rPr>
          <w:color w:val="231F20"/>
          <w:sz w:val="16"/>
          <w:lang w:val="de-DE"/>
        </w:rPr>
        <w:t xml:space="preserve">APO (Außerparlamentarische Opposition) </w:t>
      </w:r>
      <w:r w:rsidRPr="00846956">
        <w:rPr>
          <w:color w:val="231F20"/>
          <w:w w:val="105"/>
          <w:sz w:val="16"/>
          <w:lang w:val="de-DE"/>
        </w:rPr>
        <w:t>29–44</w:t>
      </w:r>
      <w:r w:rsidRPr="00846956">
        <w:rPr>
          <w:i/>
          <w:color w:val="231F20"/>
          <w:w w:val="105"/>
          <w:sz w:val="16"/>
          <w:lang w:val="de-DE"/>
        </w:rPr>
        <w:t xml:space="preserve">, </w:t>
      </w:r>
      <w:r w:rsidRPr="00846956">
        <w:rPr>
          <w:color w:val="231F20"/>
          <w:w w:val="105"/>
          <w:sz w:val="16"/>
          <w:lang w:val="de-DE"/>
        </w:rPr>
        <w:t>97</w:t>
      </w:r>
      <w:r w:rsidRPr="00846956">
        <w:rPr>
          <w:i/>
          <w:color w:val="231F20"/>
          <w:w w:val="105"/>
          <w:sz w:val="16"/>
          <w:lang w:val="de-DE"/>
        </w:rPr>
        <w:t xml:space="preserve">, </w:t>
      </w:r>
      <w:r w:rsidRPr="00846956">
        <w:rPr>
          <w:color w:val="231F20"/>
          <w:w w:val="105"/>
          <w:sz w:val="16"/>
          <w:lang w:val="de-DE"/>
        </w:rPr>
        <w:t>108</w:t>
      </w:r>
      <w:r w:rsidRPr="00846956">
        <w:rPr>
          <w:i/>
          <w:color w:val="231F20"/>
          <w:w w:val="105"/>
          <w:sz w:val="16"/>
          <w:lang w:val="de-DE"/>
        </w:rPr>
        <w:t xml:space="preserve">, </w:t>
      </w:r>
      <w:r w:rsidRPr="00846956">
        <w:rPr>
          <w:color w:val="231F20"/>
          <w:w w:val="105"/>
          <w:sz w:val="16"/>
          <w:lang w:val="de-DE"/>
        </w:rPr>
        <w:t>111</w:t>
      </w:r>
      <w:r w:rsidRPr="00846956">
        <w:rPr>
          <w:i/>
          <w:color w:val="231F20"/>
          <w:w w:val="105"/>
          <w:sz w:val="16"/>
          <w:lang w:val="de-DE"/>
        </w:rPr>
        <w:t xml:space="preserve">, </w:t>
      </w:r>
      <w:r w:rsidRPr="00846956">
        <w:rPr>
          <w:color w:val="231F20"/>
          <w:w w:val="105"/>
          <w:sz w:val="16"/>
          <w:lang w:val="de-DE"/>
        </w:rPr>
        <w:t>168–169</w:t>
      </w:r>
      <w:r w:rsidRPr="00846956">
        <w:rPr>
          <w:i/>
          <w:color w:val="231F20"/>
          <w:w w:val="105"/>
          <w:sz w:val="16"/>
          <w:lang w:val="de-DE"/>
        </w:rPr>
        <w:t xml:space="preserve">, </w:t>
      </w:r>
      <w:r w:rsidRPr="00846956">
        <w:rPr>
          <w:color w:val="231F20"/>
          <w:w w:val="105"/>
          <w:sz w:val="16"/>
          <w:lang w:val="de-DE"/>
        </w:rPr>
        <w:t>200</w:t>
      </w:r>
      <w:r w:rsidRPr="00846956">
        <w:rPr>
          <w:i/>
          <w:color w:val="231F20"/>
          <w:w w:val="105"/>
          <w:sz w:val="16"/>
          <w:lang w:val="de-DE"/>
        </w:rPr>
        <w:t>,</w:t>
      </w:r>
    </w:p>
    <w:p w14:paraId="2C15B2FB" w14:textId="77777777" w:rsidR="002653E8" w:rsidRDefault="003115E3">
      <w:pPr>
        <w:spacing w:before="1" w:line="280" w:lineRule="auto"/>
        <w:ind w:left="1347"/>
        <w:rPr>
          <w:sz w:val="16"/>
        </w:rPr>
      </w:pPr>
      <w:r>
        <w:rPr>
          <w:color w:val="231F20"/>
          <w:sz w:val="16"/>
        </w:rPr>
        <w:t>328</w:t>
      </w:r>
      <w:r>
        <w:rPr>
          <w:i/>
          <w:color w:val="231F20"/>
          <w:sz w:val="16"/>
        </w:rPr>
        <w:t xml:space="preserve">, </w:t>
      </w:r>
      <w:r>
        <w:rPr>
          <w:color w:val="231F20"/>
          <w:sz w:val="16"/>
        </w:rPr>
        <w:t>448</w:t>
      </w:r>
      <w:r>
        <w:rPr>
          <w:i/>
          <w:color w:val="231F20"/>
          <w:sz w:val="16"/>
        </w:rPr>
        <w:t xml:space="preserve">, </w:t>
      </w:r>
      <w:r>
        <w:rPr>
          <w:color w:val="231F20"/>
          <w:sz w:val="16"/>
        </w:rPr>
        <w:t>460</w:t>
      </w:r>
      <w:r>
        <w:rPr>
          <w:i/>
          <w:color w:val="231F20"/>
          <w:sz w:val="16"/>
        </w:rPr>
        <w:t xml:space="preserve">, </w:t>
      </w:r>
      <w:r>
        <w:rPr>
          <w:color w:val="231F20"/>
          <w:sz w:val="16"/>
        </w:rPr>
        <w:t>579</w:t>
      </w:r>
      <w:r>
        <w:rPr>
          <w:i/>
          <w:color w:val="231F20"/>
          <w:sz w:val="16"/>
        </w:rPr>
        <w:t xml:space="preserve">. See also </w:t>
      </w:r>
      <w:r w:rsidR="00C507A5">
        <w:rPr>
          <w:color w:val="231F20"/>
          <w:sz w:val="16"/>
        </w:rPr>
        <w:t>red army faction</w:t>
      </w:r>
      <w:r>
        <w:rPr>
          <w:color w:val="231F20"/>
          <w:sz w:val="16"/>
        </w:rPr>
        <w:t xml:space="preserve"> ideas on: the APO</w:t>
      </w:r>
      <w:r>
        <w:rPr>
          <w:i/>
          <w:color w:val="231F20"/>
          <w:sz w:val="16"/>
        </w:rPr>
        <w:t xml:space="preserve">; See also </w:t>
      </w:r>
      <w:r>
        <w:rPr>
          <w:color w:val="231F20"/>
          <w:sz w:val="16"/>
        </w:rPr>
        <w:t>youth culture (1960s-70s)</w:t>
      </w:r>
      <w:r>
        <w:rPr>
          <w:i/>
          <w:color w:val="231F20"/>
          <w:sz w:val="16"/>
        </w:rPr>
        <w:t xml:space="preserve">; See also </w:t>
      </w:r>
      <w:r>
        <w:rPr>
          <w:color w:val="231F20"/>
          <w:sz w:val="16"/>
        </w:rPr>
        <w:t>protests; anticolonialism 23</w:t>
      </w:r>
      <w:r>
        <w:rPr>
          <w:i/>
          <w:color w:val="231F20"/>
          <w:sz w:val="16"/>
        </w:rPr>
        <w:t xml:space="preserve">, </w:t>
      </w:r>
      <w:r>
        <w:rPr>
          <w:color w:val="231F20"/>
          <w:sz w:val="16"/>
        </w:rPr>
        <w:t>26</w:t>
      </w:r>
      <w:r>
        <w:rPr>
          <w:i/>
          <w:color w:val="231F20"/>
          <w:sz w:val="16"/>
        </w:rPr>
        <w:t xml:space="preserve">, </w:t>
      </w:r>
      <w:r>
        <w:rPr>
          <w:color w:val="231F20"/>
          <w:sz w:val="16"/>
        </w:rPr>
        <w:t>27</w:t>
      </w:r>
      <w:r>
        <w:rPr>
          <w:i/>
          <w:color w:val="231F20"/>
          <w:sz w:val="16"/>
        </w:rPr>
        <w:t xml:space="preserve">, </w:t>
      </w:r>
      <w:r>
        <w:rPr>
          <w:color w:val="231F20"/>
          <w:sz w:val="16"/>
        </w:rPr>
        <w:t>31–32</w:t>
      </w:r>
      <w:r>
        <w:rPr>
          <w:i/>
          <w:color w:val="231F20"/>
          <w:sz w:val="16"/>
        </w:rPr>
        <w:t xml:space="preserve">, </w:t>
      </w:r>
      <w:r>
        <w:rPr>
          <w:color w:val="231F20"/>
          <w:sz w:val="16"/>
        </w:rPr>
        <w:t>34–35; anti-</w:t>
      </w:r>
    </w:p>
    <w:p w14:paraId="578012A3" w14:textId="77777777" w:rsidR="002653E8" w:rsidRDefault="003115E3">
      <w:pPr>
        <w:spacing w:before="2"/>
        <w:ind w:left="1347"/>
        <w:rPr>
          <w:i/>
          <w:sz w:val="16"/>
        </w:rPr>
      </w:pPr>
      <w:r>
        <w:rPr>
          <w:color w:val="231F20"/>
          <w:w w:val="105"/>
          <w:sz w:val="16"/>
        </w:rPr>
        <w:t>Notstandgesetze campaign 38–39</w:t>
      </w:r>
      <w:r>
        <w:rPr>
          <w:i/>
          <w:color w:val="231F20"/>
          <w:w w:val="105"/>
          <w:sz w:val="16"/>
        </w:rPr>
        <w:t xml:space="preserve">, </w:t>
      </w:r>
      <w:r>
        <w:rPr>
          <w:color w:val="231F20"/>
          <w:w w:val="105"/>
          <w:sz w:val="16"/>
        </w:rPr>
        <w:t>90</w:t>
      </w:r>
      <w:r>
        <w:rPr>
          <w:i/>
          <w:color w:val="231F20"/>
          <w:w w:val="105"/>
          <w:sz w:val="16"/>
        </w:rPr>
        <w:t>,</w:t>
      </w:r>
    </w:p>
    <w:p w14:paraId="6757CDAE" w14:textId="77777777" w:rsidR="002653E8" w:rsidRDefault="003115E3">
      <w:pPr>
        <w:spacing w:before="33"/>
        <w:ind w:left="1347"/>
        <w:rPr>
          <w:sz w:val="16"/>
        </w:rPr>
      </w:pPr>
      <w:r>
        <w:rPr>
          <w:color w:val="231F20"/>
          <w:sz w:val="16"/>
        </w:rPr>
        <w:t>226</w:t>
      </w:r>
      <w:r>
        <w:rPr>
          <w:i/>
          <w:color w:val="231F20"/>
          <w:sz w:val="16"/>
        </w:rPr>
        <w:t xml:space="preserve">, </w:t>
      </w:r>
      <w:r>
        <w:rPr>
          <w:color w:val="231F20"/>
          <w:sz w:val="16"/>
        </w:rPr>
        <w:t>579</w:t>
      </w:r>
      <w:r>
        <w:rPr>
          <w:i/>
          <w:color w:val="231F20"/>
          <w:sz w:val="16"/>
        </w:rPr>
        <w:t xml:space="preserve">, </w:t>
      </w:r>
      <w:r>
        <w:rPr>
          <w:color w:val="231F20"/>
          <w:sz w:val="16"/>
        </w:rPr>
        <w:t>582;  anti-Springer campaign</w:t>
      </w:r>
    </w:p>
    <w:p w14:paraId="2E7A7D94" w14:textId="77777777" w:rsidR="002653E8" w:rsidRDefault="003115E3">
      <w:pPr>
        <w:spacing w:before="32"/>
        <w:ind w:left="1347"/>
        <w:rPr>
          <w:i/>
          <w:sz w:val="16"/>
        </w:rPr>
      </w:pPr>
      <w:r>
        <w:rPr>
          <w:color w:val="231F20"/>
          <w:w w:val="110"/>
          <w:sz w:val="16"/>
        </w:rPr>
        <w:t>37</w:t>
      </w:r>
      <w:r>
        <w:rPr>
          <w:i/>
          <w:color w:val="231F20"/>
          <w:w w:val="110"/>
          <w:sz w:val="16"/>
        </w:rPr>
        <w:t xml:space="preserve">, </w:t>
      </w:r>
      <w:r>
        <w:rPr>
          <w:color w:val="231F20"/>
          <w:w w:val="110"/>
          <w:sz w:val="16"/>
        </w:rPr>
        <w:t>90</w:t>
      </w:r>
      <w:r>
        <w:rPr>
          <w:i/>
          <w:color w:val="231F20"/>
          <w:w w:val="110"/>
          <w:sz w:val="16"/>
        </w:rPr>
        <w:t xml:space="preserve">, </w:t>
      </w:r>
      <w:r>
        <w:rPr>
          <w:color w:val="231F20"/>
          <w:w w:val="110"/>
          <w:sz w:val="16"/>
        </w:rPr>
        <w:t>91</w:t>
      </w:r>
      <w:r>
        <w:rPr>
          <w:i/>
          <w:color w:val="231F20"/>
          <w:w w:val="110"/>
          <w:sz w:val="16"/>
        </w:rPr>
        <w:t xml:space="preserve">, </w:t>
      </w:r>
      <w:r>
        <w:rPr>
          <w:color w:val="231F20"/>
          <w:w w:val="110"/>
          <w:sz w:val="16"/>
        </w:rPr>
        <w:t>97</w:t>
      </w:r>
      <w:r>
        <w:rPr>
          <w:i/>
          <w:color w:val="231F20"/>
          <w:w w:val="110"/>
          <w:sz w:val="16"/>
        </w:rPr>
        <w:t xml:space="preserve">, </w:t>
      </w:r>
      <w:r>
        <w:rPr>
          <w:color w:val="231F20"/>
          <w:w w:val="110"/>
          <w:sz w:val="16"/>
        </w:rPr>
        <w:t>147</w:t>
      </w:r>
      <w:r>
        <w:rPr>
          <w:i/>
          <w:color w:val="231F20"/>
          <w:w w:val="110"/>
          <w:sz w:val="16"/>
        </w:rPr>
        <w:t xml:space="preserve">, </w:t>
      </w:r>
      <w:r>
        <w:rPr>
          <w:color w:val="231F20"/>
          <w:w w:val="110"/>
          <w:sz w:val="16"/>
        </w:rPr>
        <w:t>150</w:t>
      </w:r>
      <w:r>
        <w:rPr>
          <w:i/>
          <w:color w:val="231F20"/>
          <w:w w:val="110"/>
          <w:sz w:val="16"/>
        </w:rPr>
        <w:t xml:space="preserve">, </w:t>
      </w:r>
      <w:r>
        <w:rPr>
          <w:color w:val="231F20"/>
          <w:w w:val="110"/>
          <w:sz w:val="16"/>
        </w:rPr>
        <w:t>177</w:t>
      </w:r>
      <w:r>
        <w:rPr>
          <w:i/>
          <w:color w:val="231F20"/>
          <w:w w:val="110"/>
          <w:sz w:val="16"/>
        </w:rPr>
        <w:t xml:space="preserve">, </w:t>
      </w:r>
      <w:r>
        <w:rPr>
          <w:color w:val="231F20"/>
          <w:w w:val="110"/>
          <w:sz w:val="16"/>
        </w:rPr>
        <w:t>180</w:t>
      </w:r>
      <w:r>
        <w:rPr>
          <w:i/>
          <w:color w:val="231F20"/>
          <w:w w:val="110"/>
          <w:sz w:val="16"/>
        </w:rPr>
        <w:t>,</w:t>
      </w:r>
    </w:p>
    <w:p w14:paraId="2C3069CA" w14:textId="77777777" w:rsidR="002653E8" w:rsidRDefault="003115E3">
      <w:pPr>
        <w:spacing w:before="32"/>
        <w:ind w:left="1347"/>
        <w:rPr>
          <w:sz w:val="16"/>
        </w:rPr>
      </w:pPr>
      <w:r>
        <w:rPr>
          <w:color w:val="231F20"/>
          <w:w w:val="105"/>
          <w:sz w:val="16"/>
        </w:rPr>
        <w:t>182</w:t>
      </w:r>
      <w:r>
        <w:rPr>
          <w:i/>
          <w:color w:val="231F20"/>
          <w:w w:val="105"/>
          <w:sz w:val="16"/>
        </w:rPr>
        <w:t xml:space="preserve">, </w:t>
      </w:r>
      <w:r>
        <w:rPr>
          <w:color w:val="231F20"/>
          <w:w w:val="105"/>
          <w:sz w:val="16"/>
        </w:rPr>
        <w:t>226</w:t>
      </w:r>
      <w:r>
        <w:rPr>
          <w:i/>
          <w:color w:val="231F20"/>
          <w:w w:val="105"/>
          <w:sz w:val="16"/>
        </w:rPr>
        <w:t xml:space="preserve">, </w:t>
      </w:r>
      <w:r>
        <w:rPr>
          <w:color w:val="231F20"/>
          <w:w w:val="105"/>
          <w:sz w:val="16"/>
        </w:rPr>
        <w:t>581</w:t>
      </w:r>
      <w:r>
        <w:rPr>
          <w:i/>
          <w:color w:val="231F20"/>
          <w:w w:val="105"/>
          <w:sz w:val="16"/>
        </w:rPr>
        <w:t xml:space="preserve">, </w:t>
      </w:r>
      <w:r>
        <w:rPr>
          <w:color w:val="231F20"/>
          <w:w w:val="105"/>
          <w:sz w:val="16"/>
        </w:rPr>
        <w:t>582</w:t>
      </w:r>
      <w:r>
        <w:rPr>
          <w:i/>
          <w:color w:val="231F20"/>
          <w:w w:val="105"/>
          <w:sz w:val="16"/>
        </w:rPr>
        <w:t xml:space="preserve">, </w:t>
      </w:r>
      <w:r>
        <w:rPr>
          <w:color w:val="231F20"/>
          <w:w w:val="105"/>
          <w:sz w:val="16"/>
        </w:rPr>
        <w:t>583; anti-Vietnam</w:t>
      </w:r>
    </w:p>
    <w:p w14:paraId="585727BF" w14:textId="77777777" w:rsidR="002653E8" w:rsidRDefault="003115E3">
      <w:pPr>
        <w:spacing w:before="33"/>
        <w:ind w:left="1347"/>
        <w:rPr>
          <w:sz w:val="16"/>
        </w:rPr>
      </w:pPr>
      <w:r>
        <w:rPr>
          <w:color w:val="231F20"/>
          <w:w w:val="110"/>
          <w:sz w:val="16"/>
        </w:rPr>
        <w:t>war 35</w:t>
      </w:r>
      <w:r>
        <w:rPr>
          <w:i/>
          <w:color w:val="231F20"/>
          <w:w w:val="110"/>
          <w:sz w:val="16"/>
        </w:rPr>
        <w:t xml:space="preserve">, </w:t>
      </w:r>
      <w:r>
        <w:rPr>
          <w:color w:val="231F20"/>
          <w:w w:val="110"/>
          <w:sz w:val="16"/>
        </w:rPr>
        <w:t>42</w:t>
      </w:r>
      <w:r>
        <w:rPr>
          <w:i/>
          <w:color w:val="231F20"/>
          <w:w w:val="110"/>
          <w:sz w:val="16"/>
        </w:rPr>
        <w:t xml:space="preserve">, </w:t>
      </w:r>
      <w:r>
        <w:rPr>
          <w:color w:val="231F20"/>
          <w:w w:val="110"/>
          <w:sz w:val="16"/>
        </w:rPr>
        <w:t>48</w:t>
      </w:r>
      <w:r>
        <w:rPr>
          <w:i/>
          <w:color w:val="231F20"/>
          <w:w w:val="110"/>
          <w:sz w:val="16"/>
        </w:rPr>
        <w:t xml:space="preserve">, </w:t>
      </w:r>
      <w:r>
        <w:rPr>
          <w:color w:val="231F20"/>
          <w:w w:val="110"/>
          <w:sz w:val="16"/>
        </w:rPr>
        <w:t>579</w:t>
      </w:r>
      <w:r>
        <w:rPr>
          <w:i/>
          <w:color w:val="231F20"/>
          <w:w w:val="110"/>
          <w:sz w:val="16"/>
        </w:rPr>
        <w:t xml:space="preserve">, </w:t>
      </w:r>
      <w:r>
        <w:rPr>
          <w:color w:val="231F20"/>
          <w:w w:val="110"/>
          <w:sz w:val="16"/>
        </w:rPr>
        <w:t>580</w:t>
      </w:r>
      <w:r>
        <w:rPr>
          <w:i/>
          <w:color w:val="231F20"/>
          <w:w w:val="110"/>
          <w:sz w:val="16"/>
        </w:rPr>
        <w:t xml:space="preserve">, </w:t>
      </w:r>
      <w:r>
        <w:rPr>
          <w:color w:val="231F20"/>
          <w:w w:val="110"/>
          <w:sz w:val="16"/>
        </w:rPr>
        <w:t>581; anti-</w:t>
      </w:r>
    </w:p>
    <w:p w14:paraId="229CC186" w14:textId="77777777" w:rsidR="002653E8" w:rsidRDefault="003115E3">
      <w:pPr>
        <w:spacing w:before="32"/>
        <w:ind w:left="1347"/>
        <w:rPr>
          <w:sz w:val="16"/>
        </w:rPr>
      </w:pPr>
      <w:r>
        <w:rPr>
          <w:color w:val="231F20"/>
          <w:w w:val="105"/>
          <w:sz w:val="16"/>
        </w:rPr>
        <w:t>Zionism 34</w:t>
      </w:r>
      <w:r>
        <w:rPr>
          <w:i/>
          <w:color w:val="231F20"/>
          <w:w w:val="105"/>
          <w:sz w:val="16"/>
        </w:rPr>
        <w:t xml:space="preserve">, </w:t>
      </w:r>
      <w:r>
        <w:rPr>
          <w:color w:val="231F20"/>
          <w:w w:val="105"/>
          <w:sz w:val="16"/>
        </w:rPr>
        <w:t>46</w:t>
      </w:r>
      <w:r>
        <w:rPr>
          <w:i/>
          <w:color w:val="231F20"/>
          <w:w w:val="105"/>
          <w:sz w:val="16"/>
        </w:rPr>
        <w:t xml:space="preserve">, </w:t>
      </w:r>
      <w:r>
        <w:rPr>
          <w:color w:val="231F20"/>
          <w:w w:val="105"/>
          <w:sz w:val="16"/>
        </w:rPr>
        <w:t>553</w:t>
      </w:r>
      <w:r>
        <w:rPr>
          <w:i/>
          <w:color w:val="231F20"/>
          <w:w w:val="105"/>
          <w:sz w:val="16"/>
        </w:rPr>
        <w:t xml:space="preserve">, </w:t>
      </w:r>
      <w:r>
        <w:rPr>
          <w:color w:val="231F20"/>
          <w:w w:val="105"/>
          <w:sz w:val="16"/>
        </w:rPr>
        <w:t>581; apprentices’</w:t>
      </w:r>
    </w:p>
    <w:p w14:paraId="72B9042C" w14:textId="77777777" w:rsidR="002653E8" w:rsidRDefault="003115E3">
      <w:pPr>
        <w:spacing w:before="33"/>
        <w:ind w:left="1347"/>
        <w:rPr>
          <w:sz w:val="16"/>
        </w:rPr>
      </w:pPr>
      <w:r>
        <w:rPr>
          <w:color w:val="231F20"/>
          <w:sz w:val="16"/>
        </w:rPr>
        <w:t>collectives 50</w:t>
      </w:r>
      <w:r>
        <w:rPr>
          <w:i/>
          <w:color w:val="231F20"/>
          <w:sz w:val="16"/>
        </w:rPr>
        <w:t xml:space="preserve">, </w:t>
      </w:r>
      <w:r>
        <w:rPr>
          <w:color w:val="231F20"/>
          <w:sz w:val="16"/>
        </w:rPr>
        <w:t>118</w:t>
      </w:r>
      <w:r>
        <w:rPr>
          <w:i/>
          <w:color w:val="231F20"/>
          <w:sz w:val="16"/>
        </w:rPr>
        <w:t xml:space="preserve">, </w:t>
      </w:r>
      <w:r>
        <w:rPr>
          <w:color w:val="231F20"/>
          <w:sz w:val="16"/>
        </w:rPr>
        <w:t>583; Bundeswehr</w:t>
      </w:r>
    </w:p>
    <w:p w14:paraId="3EE20BAA" w14:textId="77777777" w:rsidR="002653E8" w:rsidRDefault="003115E3">
      <w:pPr>
        <w:spacing w:before="32"/>
        <w:ind w:left="1347"/>
        <w:rPr>
          <w:sz w:val="16"/>
        </w:rPr>
      </w:pPr>
      <w:r>
        <w:rPr>
          <w:color w:val="231F20"/>
          <w:sz w:val="16"/>
        </w:rPr>
        <w:t>campaign 90</w:t>
      </w:r>
      <w:r>
        <w:rPr>
          <w:i/>
          <w:color w:val="231F20"/>
          <w:sz w:val="16"/>
        </w:rPr>
        <w:t xml:space="preserve">, </w:t>
      </w:r>
      <w:r>
        <w:rPr>
          <w:color w:val="231F20"/>
          <w:sz w:val="16"/>
        </w:rPr>
        <w:t>91; Carbora Bassa</w:t>
      </w:r>
    </w:p>
    <w:p w14:paraId="00E64005" w14:textId="77777777" w:rsidR="002653E8" w:rsidRDefault="003115E3">
      <w:pPr>
        <w:spacing w:before="33"/>
        <w:ind w:left="1347"/>
        <w:rPr>
          <w:i/>
          <w:sz w:val="16"/>
        </w:rPr>
      </w:pPr>
      <w:r>
        <w:rPr>
          <w:color w:val="231F20"/>
          <w:w w:val="105"/>
          <w:sz w:val="16"/>
        </w:rPr>
        <w:t>campaign 97</w:t>
      </w:r>
      <w:r>
        <w:rPr>
          <w:i/>
          <w:color w:val="231F20"/>
          <w:w w:val="105"/>
          <w:sz w:val="16"/>
        </w:rPr>
        <w:t xml:space="preserve">, </w:t>
      </w:r>
      <w:r>
        <w:rPr>
          <w:color w:val="231F20"/>
          <w:w w:val="105"/>
          <w:sz w:val="16"/>
        </w:rPr>
        <w:t>149; decline 42–44</w:t>
      </w:r>
      <w:r>
        <w:rPr>
          <w:i/>
          <w:color w:val="231F20"/>
          <w:w w:val="105"/>
          <w:sz w:val="16"/>
        </w:rPr>
        <w:t xml:space="preserve">, </w:t>
      </w:r>
      <w:r>
        <w:rPr>
          <w:color w:val="231F20"/>
          <w:w w:val="105"/>
          <w:sz w:val="16"/>
        </w:rPr>
        <w:t>46</w:t>
      </w:r>
      <w:r>
        <w:rPr>
          <w:i/>
          <w:color w:val="231F20"/>
          <w:w w:val="105"/>
          <w:sz w:val="16"/>
        </w:rPr>
        <w:t>,</w:t>
      </w:r>
    </w:p>
    <w:p w14:paraId="1C32A954" w14:textId="77777777" w:rsidR="002653E8" w:rsidRDefault="003115E3">
      <w:pPr>
        <w:spacing w:before="32"/>
        <w:ind w:left="1347"/>
        <w:rPr>
          <w:sz w:val="16"/>
        </w:rPr>
      </w:pPr>
      <w:r>
        <w:rPr>
          <w:color w:val="231F20"/>
          <w:w w:val="105"/>
          <w:sz w:val="16"/>
        </w:rPr>
        <w:t>50</w:t>
      </w:r>
      <w:r>
        <w:rPr>
          <w:i/>
          <w:color w:val="231F20"/>
          <w:w w:val="105"/>
          <w:sz w:val="16"/>
        </w:rPr>
        <w:t xml:space="preserve">, </w:t>
      </w:r>
      <w:r>
        <w:rPr>
          <w:color w:val="231F20"/>
          <w:w w:val="105"/>
          <w:sz w:val="16"/>
        </w:rPr>
        <w:t>433–434</w:t>
      </w:r>
      <w:r>
        <w:rPr>
          <w:i/>
          <w:color w:val="231F20"/>
          <w:w w:val="105"/>
          <w:sz w:val="16"/>
        </w:rPr>
        <w:t xml:space="preserve">, </w:t>
      </w:r>
      <w:r>
        <w:rPr>
          <w:color w:val="231F20"/>
          <w:w w:val="105"/>
          <w:sz w:val="16"/>
        </w:rPr>
        <w:t>435</w:t>
      </w:r>
      <w:r>
        <w:rPr>
          <w:i/>
          <w:color w:val="231F20"/>
          <w:w w:val="105"/>
          <w:sz w:val="16"/>
        </w:rPr>
        <w:t xml:space="preserve">, </w:t>
      </w:r>
      <w:r>
        <w:rPr>
          <w:color w:val="231F20"/>
          <w:w w:val="105"/>
          <w:sz w:val="16"/>
        </w:rPr>
        <w:t>445</w:t>
      </w:r>
      <w:r>
        <w:rPr>
          <w:i/>
          <w:color w:val="231F20"/>
          <w:w w:val="105"/>
          <w:sz w:val="16"/>
        </w:rPr>
        <w:t xml:space="preserve">, </w:t>
      </w:r>
      <w:r>
        <w:rPr>
          <w:color w:val="231F20"/>
          <w:w w:val="105"/>
          <w:sz w:val="16"/>
        </w:rPr>
        <w:t>540; fear of</w:t>
      </w:r>
    </w:p>
    <w:p w14:paraId="5E96C71E" w14:textId="77777777" w:rsidR="002653E8" w:rsidRDefault="003115E3">
      <w:pPr>
        <w:spacing w:before="32"/>
        <w:ind w:left="1347"/>
        <w:rPr>
          <w:sz w:val="16"/>
        </w:rPr>
      </w:pPr>
      <w:r>
        <w:rPr>
          <w:color w:val="231F20"/>
          <w:w w:val="110"/>
          <w:sz w:val="16"/>
        </w:rPr>
        <w:t>fascism 36</w:t>
      </w:r>
      <w:r>
        <w:rPr>
          <w:i/>
          <w:color w:val="231F20"/>
          <w:w w:val="110"/>
          <w:sz w:val="16"/>
        </w:rPr>
        <w:t xml:space="preserve">, </w:t>
      </w:r>
      <w:r>
        <w:rPr>
          <w:color w:val="231F20"/>
          <w:w w:val="110"/>
          <w:sz w:val="16"/>
        </w:rPr>
        <w:t>39; GDR 27</w:t>
      </w:r>
      <w:r>
        <w:rPr>
          <w:i/>
          <w:color w:val="231F20"/>
          <w:w w:val="110"/>
          <w:sz w:val="16"/>
        </w:rPr>
        <w:t xml:space="preserve">, </w:t>
      </w:r>
      <w:r>
        <w:rPr>
          <w:color w:val="231F20"/>
          <w:w w:val="110"/>
          <w:sz w:val="16"/>
        </w:rPr>
        <w:t>28</w:t>
      </w:r>
      <w:r>
        <w:rPr>
          <w:i/>
          <w:color w:val="231F20"/>
          <w:w w:val="110"/>
          <w:sz w:val="16"/>
        </w:rPr>
        <w:t xml:space="preserve">, </w:t>
      </w:r>
      <w:r>
        <w:rPr>
          <w:color w:val="231F20"/>
          <w:w w:val="110"/>
          <w:sz w:val="16"/>
        </w:rPr>
        <w:t>30</w:t>
      </w:r>
      <w:r>
        <w:rPr>
          <w:i/>
          <w:color w:val="231F20"/>
          <w:w w:val="110"/>
          <w:sz w:val="16"/>
        </w:rPr>
        <w:t xml:space="preserve">, </w:t>
      </w:r>
      <w:r>
        <w:rPr>
          <w:color w:val="231F20"/>
          <w:w w:val="110"/>
          <w:sz w:val="16"/>
        </w:rPr>
        <w:t>58;</w:t>
      </w:r>
    </w:p>
    <w:p w14:paraId="5961B9CD" w14:textId="77777777" w:rsidR="002653E8" w:rsidRDefault="003115E3">
      <w:pPr>
        <w:spacing w:before="86"/>
        <w:ind w:left="443"/>
        <w:rPr>
          <w:i/>
          <w:sz w:val="16"/>
        </w:rPr>
      </w:pPr>
      <w:r>
        <w:br w:type="column"/>
      </w:r>
      <w:r>
        <w:rPr>
          <w:color w:val="231F20"/>
          <w:w w:val="110"/>
          <w:sz w:val="16"/>
        </w:rPr>
        <w:t>guerilla 35</w:t>
      </w:r>
      <w:r>
        <w:rPr>
          <w:i/>
          <w:color w:val="231F20"/>
          <w:w w:val="110"/>
          <w:sz w:val="16"/>
        </w:rPr>
        <w:t xml:space="preserve">, </w:t>
      </w:r>
      <w:r>
        <w:rPr>
          <w:color w:val="231F20"/>
          <w:w w:val="110"/>
          <w:sz w:val="16"/>
        </w:rPr>
        <w:t>37–38</w:t>
      </w:r>
      <w:r>
        <w:rPr>
          <w:i/>
          <w:color w:val="231F20"/>
          <w:w w:val="110"/>
          <w:sz w:val="16"/>
        </w:rPr>
        <w:t xml:space="preserve">, </w:t>
      </w:r>
      <w:r>
        <w:rPr>
          <w:color w:val="231F20"/>
          <w:w w:val="110"/>
          <w:sz w:val="16"/>
        </w:rPr>
        <w:t>45–49</w:t>
      </w:r>
      <w:r>
        <w:rPr>
          <w:i/>
          <w:color w:val="231F20"/>
          <w:w w:val="110"/>
          <w:sz w:val="16"/>
        </w:rPr>
        <w:t xml:space="preserve">, </w:t>
      </w:r>
      <w:r>
        <w:rPr>
          <w:color w:val="231F20"/>
          <w:w w:val="110"/>
          <w:sz w:val="16"/>
        </w:rPr>
        <w:t>51</w:t>
      </w:r>
      <w:r>
        <w:rPr>
          <w:i/>
          <w:color w:val="231F20"/>
          <w:w w:val="110"/>
          <w:sz w:val="16"/>
        </w:rPr>
        <w:t xml:space="preserve">, </w:t>
      </w:r>
      <w:r>
        <w:rPr>
          <w:color w:val="231F20"/>
          <w:w w:val="110"/>
          <w:sz w:val="16"/>
        </w:rPr>
        <w:t>65</w:t>
      </w:r>
      <w:r>
        <w:rPr>
          <w:i/>
          <w:color w:val="231F20"/>
          <w:w w:val="110"/>
          <w:sz w:val="16"/>
        </w:rPr>
        <w:t xml:space="preserve">, </w:t>
      </w:r>
      <w:r>
        <w:rPr>
          <w:color w:val="231F20"/>
          <w:w w:val="110"/>
          <w:sz w:val="16"/>
        </w:rPr>
        <w:t>118</w:t>
      </w:r>
      <w:r>
        <w:rPr>
          <w:i/>
          <w:color w:val="231F20"/>
          <w:w w:val="110"/>
          <w:sz w:val="16"/>
        </w:rPr>
        <w:t>,</w:t>
      </w:r>
    </w:p>
    <w:p w14:paraId="1521E536" w14:textId="77777777" w:rsidR="002653E8" w:rsidRDefault="003115E3">
      <w:pPr>
        <w:spacing w:before="33"/>
        <w:ind w:left="443"/>
        <w:rPr>
          <w:i/>
          <w:sz w:val="16"/>
        </w:rPr>
      </w:pPr>
      <w:r>
        <w:rPr>
          <w:color w:val="231F20"/>
          <w:w w:val="105"/>
          <w:sz w:val="16"/>
        </w:rPr>
        <w:t>450</w:t>
      </w:r>
      <w:r>
        <w:rPr>
          <w:i/>
          <w:color w:val="231F20"/>
          <w:w w:val="105"/>
          <w:sz w:val="16"/>
        </w:rPr>
        <w:t xml:space="preserve">, </w:t>
      </w:r>
      <w:r>
        <w:rPr>
          <w:color w:val="231F20"/>
          <w:w w:val="105"/>
          <w:sz w:val="16"/>
        </w:rPr>
        <w:t>581; sexual revolution 25–26</w:t>
      </w:r>
      <w:r>
        <w:rPr>
          <w:i/>
          <w:color w:val="231F20"/>
          <w:w w:val="105"/>
          <w:sz w:val="16"/>
        </w:rPr>
        <w:t xml:space="preserve">, </w:t>
      </w:r>
      <w:r>
        <w:rPr>
          <w:color w:val="231F20"/>
          <w:w w:val="105"/>
          <w:sz w:val="16"/>
        </w:rPr>
        <w:t>44</w:t>
      </w:r>
      <w:r>
        <w:rPr>
          <w:i/>
          <w:color w:val="231F20"/>
          <w:w w:val="105"/>
          <w:sz w:val="16"/>
        </w:rPr>
        <w:t>,</w:t>
      </w:r>
    </w:p>
    <w:p w14:paraId="50630622" w14:textId="77777777" w:rsidR="002653E8" w:rsidRDefault="003115E3">
      <w:pPr>
        <w:spacing w:before="32"/>
        <w:ind w:left="443"/>
        <w:rPr>
          <w:i/>
          <w:sz w:val="16"/>
        </w:rPr>
      </w:pPr>
      <w:r>
        <w:rPr>
          <w:color w:val="231F20"/>
          <w:sz w:val="16"/>
        </w:rPr>
        <w:t>51; West  Berlin   29–30; women   31</w:t>
      </w:r>
      <w:r>
        <w:rPr>
          <w:i/>
          <w:color w:val="231F20"/>
          <w:sz w:val="16"/>
        </w:rPr>
        <w:t xml:space="preserve">, </w:t>
      </w:r>
      <w:r>
        <w:rPr>
          <w:color w:val="231F20"/>
          <w:sz w:val="16"/>
        </w:rPr>
        <w:t>42</w:t>
      </w:r>
      <w:r>
        <w:rPr>
          <w:i/>
          <w:color w:val="231F20"/>
          <w:sz w:val="16"/>
        </w:rPr>
        <w:t>,</w:t>
      </w:r>
    </w:p>
    <w:p w14:paraId="01EF2511" w14:textId="77777777" w:rsidR="002653E8" w:rsidRDefault="003115E3">
      <w:pPr>
        <w:spacing w:before="33"/>
        <w:ind w:left="443"/>
        <w:rPr>
          <w:i/>
          <w:sz w:val="16"/>
        </w:rPr>
      </w:pPr>
      <w:r>
        <w:rPr>
          <w:color w:val="231F20"/>
          <w:sz w:val="16"/>
        </w:rPr>
        <w:t>44</w:t>
      </w:r>
      <w:r>
        <w:rPr>
          <w:i/>
          <w:color w:val="231F20"/>
          <w:sz w:val="16"/>
        </w:rPr>
        <w:t xml:space="preserve">, </w:t>
      </w:r>
      <w:r>
        <w:rPr>
          <w:color w:val="231F20"/>
          <w:sz w:val="16"/>
        </w:rPr>
        <w:t>444–445; and working class 29</w:t>
      </w:r>
      <w:r>
        <w:rPr>
          <w:i/>
          <w:color w:val="231F20"/>
          <w:sz w:val="16"/>
        </w:rPr>
        <w:t>,</w:t>
      </w:r>
    </w:p>
    <w:p w14:paraId="4E6DA111" w14:textId="77777777" w:rsidR="002653E8" w:rsidRDefault="003115E3">
      <w:pPr>
        <w:spacing w:before="32"/>
        <w:ind w:left="443"/>
        <w:rPr>
          <w:sz w:val="16"/>
        </w:rPr>
      </w:pPr>
      <w:r>
        <w:rPr>
          <w:color w:val="231F20"/>
          <w:w w:val="110"/>
          <w:sz w:val="16"/>
        </w:rPr>
        <w:t>37</w:t>
      </w:r>
      <w:r>
        <w:rPr>
          <w:i/>
          <w:color w:val="231F20"/>
          <w:w w:val="110"/>
          <w:sz w:val="16"/>
        </w:rPr>
        <w:t xml:space="preserve">, </w:t>
      </w:r>
      <w:r>
        <w:rPr>
          <w:color w:val="231F20"/>
          <w:w w:val="110"/>
          <w:sz w:val="16"/>
        </w:rPr>
        <w:t>44</w:t>
      </w:r>
    </w:p>
    <w:p w14:paraId="5EC8E33E" w14:textId="77777777" w:rsidR="002653E8" w:rsidRDefault="003115E3">
      <w:pPr>
        <w:spacing w:before="32" w:line="280" w:lineRule="auto"/>
        <w:ind w:left="443" w:right="1525" w:hanging="200"/>
        <w:rPr>
          <w:sz w:val="16"/>
        </w:rPr>
      </w:pPr>
      <w:r>
        <w:rPr>
          <w:color w:val="231F20"/>
          <w:sz w:val="16"/>
        </w:rPr>
        <w:t xml:space="preserve">Arafat, </w:t>
      </w:r>
      <w:r>
        <w:rPr>
          <w:color w:val="231F20"/>
          <w:spacing w:val="-3"/>
          <w:sz w:val="16"/>
        </w:rPr>
        <w:t xml:space="preserve">yassir </w:t>
      </w:r>
      <w:r>
        <w:rPr>
          <w:color w:val="231F20"/>
          <w:sz w:val="16"/>
        </w:rPr>
        <w:t>56</w:t>
      </w:r>
      <w:r>
        <w:rPr>
          <w:i/>
          <w:color w:val="231F20"/>
          <w:sz w:val="16"/>
        </w:rPr>
        <w:t xml:space="preserve">. See also  </w:t>
      </w:r>
      <w:r>
        <w:rPr>
          <w:color w:val="231F20"/>
          <w:sz w:val="16"/>
        </w:rPr>
        <w:t>Fatah</w:t>
      </w:r>
      <w:r>
        <w:rPr>
          <w:i/>
          <w:color w:val="231F20"/>
          <w:sz w:val="16"/>
        </w:rPr>
        <w:t xml:space="preserve">;  See also </w:t>
      </w:r>
      <w:r>
        <w:rPr>
          <w:color w:val="231F20"/>
          <w:sz w:val="16"/>
        </w:rPr>
        <w:t>PLO (Palestine Liberation Organization)</w:t>
      </w:r>
    </w:p>
    <w:p w14:paraId="5BC298BD" w14:textId="77777777" w:rsidR="002653E8" w:rsidRPr="00846956" w:rsidRDefault="003115E3">
      <w:pPr>
        <w:spacing w:before="2"/>
        <w:ind w:left="243"/>
        <w:rPr>
          <w:sz w:val="16"/>
          <w:lang w:val="de-DE"/>
        </w:rPr>
      </w:pPr>
      <w:r w:rsidRPr="00846956">
        <w:rPr>
          <w:color w:val="231F20"/>
          <w:sz w:val="16"/>
          <w:lang w:val="de-DE"/>
        </w:rPr>
        <w:t>Arbeiterbund 434</w:t>
      </w:r>
    </w:p>
    <w:p w14:paraId="536A74FC" w14:textId="77777777" w:rsidR="002653E8" w:rsidRPr="00846956" w:rsidRDefault="003115E3">
      <w:pPr>
        <w:spacing w:before="32"/>
        <w:ind w:left="243"/>
        <w:rPr>
          <w:sz w:val="16"/>
          <w:lang w:val="de-DE"/>
        </w:rPr>
      </w:pPr>
      <w:r w:rsidRPr="00846956">
        <w:rPr>
          <w:i/>
          <w:color w:val="231F20"/>
          <w:w w:val="105"/>
          <w:sz w:val="16"/>
          <w:lang w:val="de-DE"/>
        </w:rPr>
        <w:t xml:space="preserve">Arbeiterkampf </w:t>
      </w:r>
      <w:r w:rsidRPr="00846956">
        <w:rPr>
          <w:color w:val="231F20"/>
          <w:w w:val="105"/>
          <w:sz w:val="16"/>
          <w:lang w:val="de-DE"/>
        </w:rPr>
        <w:t>168</w:t>
      </w:r>
      <w:r w:rsidRPr="00846956">
        <w:rPr>
          <w:i/>
          <w:color w:val="231F20"/>
          <w:w w:val="105"/>
          <w:sz w:val="16"/>
          <w:lang w:val="de-DE"/>
        </w:rPr>
        <w:t xml:space="preserve">, </w:t>
      </w:r>
      <w:r w:rsidRPr="00846956">
        <w:rPr>
          <w:color w:val="231F20"/>
          <w:w w:val="105"/>
          <w:sz w:val="16"/>
          <w:lang w:val="de-DE"/>
        </w:rPr>
        <w:t>516</w:t>
      </w:r>
    </w:p>
    <w:p w14:paraId="3616B7B9" w14:textId="77777777" w:rsidR="002653E8" w:rsidRPr="00846956" w:rsidRDefault="003115E3">
      <w:pPr>
        <w:spacing w:before="33"/>
        <w:ind w:left="243"/>
        <w:rPr>
          <w:sz w:val="16"/>
          <w:lang w:val="de-DE"/>
        </w:rPr>
      </w:pPr>
      <w:r w:rsidRPr="00846956">
        <w:rPr>
          <w:i/>
          <w:color w:val="231F20"/>
          <w:sz w:val="16"/>
          <w:lang w:val="de-DE"/>
        </w:rPr>
        <w:t xml:space="preserve">Arbeiterstimme </w:t>
      </w:r>
      <w:r w:rsidRPr="00846956">
        <w:rPr>
          <w:color w:val="231F20"/>
          <w:sz w:val="16"/>
          <w:lang w:val="de-DE"/>
        </w:rPr>
        <w:t>607</w:t>
      </w:r>
    </w:p>
    <w:p w14:paraId="2092F552" w14:textId="77777777" w:rsidR="002653E8" w:rsidRPr="00846956" w:rsidRDefault="003115E3">
      <w:pPr>
        <w:spacing w:before="32"/>
        <w:ind w:left="243"/>
        <w:rPr>
          <w:sz w:val="16"/>
          <w:lang w:val="de-DE"/>
        </w:rPr>
      </w:pPr>
      <w:r w:rsidRPr="00846956">
        <w:rPr>
          <w:color w:val="231F20"/>
          <w:w w:val="105"/>
          <w:sz w:val="16"/>
          <w:lang w:val="de-DE"/>
        </w:rPr>
        <w:t>Arienti, Carlo 522</w:t>
      </w:r>
    </w:p>
    <w:p w14:paraId="40DA1EB6" w14:textId="77777777" w:rsidR="002653E8" w:rsidRDefault="003115E3">
      <w:pPr>
        <w:spacing w:before="33" w:line="280" w:lineRule="auto"/>
        <w:ind w:left="243" w:right="1525"/>
        <w:rPr>
          <w:sz w:val="16"/>
        </w:rPr>
      </w:pPr>
      <w:r>
        <w:rPr>
          <w:color w:val="231F20"/>
          <w:sz w:val="16"/>
        </w:rPr>
        <w:t>Armut in der Bundesrepublik 143–144 Asdonk, Brigitte 60</w:t>
      </w:r>
      <w:r>
        <w:rPr>
          <w:i/>
          <w:color w:val="231F20"/>
          <w:sz w:val="16"/>
        </w:rPr>
        <w:t xml:space="preserve">, </w:t>
      </w:r>
      <w:r>
        <w:rPr>
          <w:color w:val="231F20"/>
          <w:sz w:val="16"/>
        </w:rPr>
        <w:t>149</w:t>
      </w:r>
      <w:r>
        <w:rPr>
          <w:i/>
          <w:color w:val="231F20"/>
          <w:sz w:val="16"/>
        </w:rPr>
        <w:t xml:space="preserve">, </w:t>
      </w:r>
      <w:r>
        <w:rPr>
          <w:color w:val="231F20"/>
          <w:sz w:val="16"/>
        </w:rPr>
        <w:t>563</w:t>
      </w:r>
      <w:r>
        <w:rPr>
          <w:i/>
          <w:color w:val="231F20"/>
          <w:sz w:val="16"/>
        </w:rPr>
        <w:t xml:space="preserve">, </w:t>
      </w:r>
      <w:r>
        <w:rPr>
          <w:color w:val="231F20"/>
          <w:sz w:val="16"/>
        </w:rPr>
        <w:t>585 Association for the Development of Air</w:t>
      </w:r>
    </w:p>
    <w:p w14:paraId="0AD8F061" w14:textId="77777777" w:rsidR="002653E8" w:rsidRDefault="003115E3">
      <w:pPr>
        <w:spacing w:before="1" w:line="280" w:lineRule="auto"/>
        <w:ind w:left="243" w:right="1943" w:firstLine="200"/>
        <w:rPr>
          <w:sz w:val="16"/>
        </w:rPr>
      </w:pPr>
      <w:r>
        <w:rPr>
          <w:color w:val="231F20"/>
          <w:sz w:val="16"/>
        </w:rPr>
        <w:t>and Space Industries 617 Association Francaise des Juristes</w:t>
      </w:r>
    </w:p>
    <w:p w14:paraId="3F8A7EEC" w14:textId="77777777" w:rsidR="002653E8" w:rsidRDefault="003115E3">
      <w:pPr>
        <w:spacing w:before="1"/>
        <w:ind w:left="443"/>
        <w:rPr>
          <w:sz w:val="16"/>
        </w:rPr>
      </w:pPr>
      <w:r>
        <w:rPr>
          <w:color w:val="231F20"/>
          <w:sz w:val="16"/>
        </w:rPr>
        <w:t>Democrates  526</w:t>
      </w:r>
    </w:p>
    <w:p w14:paraId="3F33FABA" w14:textId="77777777" w:rsidR="002653E8" w:rsidRDefault="003115E3">
      <w:pPr>
        <w:spacing w:before="33"/>
        <w:ind w:left="243"/>
        <w:rPr>
          <w:sz w:val="16"/>
        </w:rPr>
      </w:pPr>
      <w:r>
        <w:rPr>
          <w:color w:val="231F20"/>
          <w:sz w:val="16"/>
        </w:rPr>
        <w:t>Aubron,  Joëlle  619</w:t>
      </w:r>
    </w:p>
    <w:p w14:paraId="482686FD" w14:textId="77777777" w:rsidR="002653E8" w:rsidRDefault="003115E3">
      <w:pPr>
        <w:spacing w:before="32"/>
        <w:ind w:left="243"/>
        <w:rPr>
          <w:sz w:val="16"/>
        </w:rPr>
      </w:pPr>
      <w:r>
        <w:rPr>
          <w:color w:val="231F20"/>
          <w:sz w:val="16"/>
        </w:rPr>
        <w:t>Audran, René 617</w:t>
      </w:r>
    </w:p>
    <w:p w14:paraId="09157473" w14:textId="77777777" w:rsidR="002653E8" w:rsidRDefault="003115E3">
      <w:pPr>
        <w:spacing w:before="33"/>
        <w:ind w:left="243"/>
        <w:rPr>
          <w:sz w:val="16"/>
        </w:rPr>
      </w:pPr>
      <w:r>
        <w:rPr>
          <w:color w:val="231F20"/>
          <w:w w:val="105"/>
          <w:sz w:val="16"/>
        </w:rPr>
        <w:t>Augstein, Rudolph 11</w:t>
      </w:r>
      <w:r>
        <w:rPr>
          <w:i/>
          <w:color w:val="231F20"/>
          <w:w w:val="105"/>
          <w:sz w:val="16"/>
        </w:rPr>
        <w:t xml:space="preserve">, </w:t>
      </w:r>
      <w:r>
        <w:rPr>
          <w:color w:val="231F20"/>
          <w:w w:val="105"/>
          <w:sz w:val="16"/>
        </w:rPr>
        <w:t>232</w:t>
      </w:r>
    </w:p>
    <w:p w14:paraId="17211FC5" w14:textId="77777777" w:rsidR="002653E8" w:rsidRDefault="003115E3">
      <w:pPr>
        <w:spacing w:before="32"/>
        <w:ind w:left="243"/>
        <w:rPr>
          <w:i/>
          <w:sz w:val="16"/>
        </w:rPr>
      </w:pPr>
      <w:r>
        <w:rPr>
          <w:color w:val="231F20"/>
          <w:w w:val="105"/>
          <w:sz w:val="16"/>
        </w:rPr>
        <w:t>Augustin, Ronald 258</w:t>
      </w:r>
      <w:r>
        <w:rPr>
          <w:i/>
          <w:color w:val="231F20"/>
          <w:w w:val="105"/>
          <w:sz w:val="16"/>
        </w:rPr>
        <w:t xml:space="preserve">, </w:t>
      </w:r>
      <w:r>
        <w:rPr>
          <w:color w:val="231F20"/>
          <w:w w:val="105"/>
          <w:sz w:val="16"/>
        </w:rPr>
        <w:t>473</w:t>
      </w:r>
      <w:r>
        <w:rPr>
          <w:i/>
          <w:color w:val="231F20"/>
          <w:w w:val="105"/>
          <w:sz w:val="16"/>
        </w:rPr>
        <w:t xml:space="preserve">, </w:t>
      </w:r>
      <w:r>
        <w:rPr>
          <w:color w:val="231F20"/>
          <w:w w:val="105"/>
          <w:sz w:val="16"/>
        </w:rPr>
        <w:t>512</w:t>
      </w:r>
      <w:r>
        <w:rPr>
          <w:i/>
          <w:color w:val="231F20"/>
          <w:w w:val="105"/>
          <w:sz w:val="16"/>
        </w:rPr>
        <w:t>,</w:t>
      </w:r>
    </w:p>
    <w:p w14:paraId="6CCC80AF" w14:textId="77777777" w:rsidR="002653E8" w:rsidRDefault="003115E3">
      <w:pPr>
        <w:spacing w:before="32"/>
        <w:ind w:left="443"/>
        <w:rPr>
          <w:sz w:val="16"/>
        </w:rPr>
      </w:pPr>
      <w:r>
        <w:rPr>
          <w:color w:val="231F20"/>
          <w:sz w:val="16"/>
        </w:rPr>
        <w:t>563</w:t>
      </w:r>
      <w:r>
        <w:rPr>
          <w:i/>
          <w:color w:val="231F20"/>
          <w:sz w:val="16"/>
        </w:rPr>
        <w:t xml:space="preserve">, </w:t>
      </w:r>
      <w:r>
        <w:rPr>
          <w:color w:val="231F20"/>
          <w:sz w:val="16"/>
        </w:rPr>
        <w:t>593</w:t>
      </w:r>
      <w:r>
        <w:rPr>
          <w:i/>
          <w:color w:val="231F20"/>
          <w:sz w:val="16"/>
        </w:rPr>
        <w:t xml:space="preserve">, </w:t>
      </w:r>
      <w:r>
        <w:rPr>
          <w:color w:val="231F20"/>
          <w:sz w:val="16"/>
        </w:rPr>
        <w:t>628; dead wing 285;</w:t>
      </w:r>
    </w:p>
    <w:p w14:paraId="7C71BBA5" w14:textId="77777777" w:rsidR="002653E8" w:rsidRDefault="003115E3">
      <w:pPr>
        <w:spacing w:before="33" w:line="280" w:lineRule="auto"/>
        <w:ind w:left="443" w:right="1525"/>
        <w:rPr>
          <w:sz w:val="16"/>
        </w:rPr>
      </w:pPr>
      <w:r>
        <w:rPr>
          <w:color w:val="231F20"/>
          <w:sz w:val="16"/>
        </w:rPr>
        <w:t xml:space="preserve">released (1980) 258–259; release demanded 339; water deprivation </w:t>
      </w:r>
      <w:r>
        <w:rPr>
          <w:color w:val="231F20"/>
          <w:w w:val="105"/>
          <w:sz w:val="16"/>
        </w:rPr>
        <w:t>258</w:t>
      </w:r>
      <w:r>
        <w:rPr>
          <w:i/>
          <w:color w:val="231F20"/>
          <w:w w:val="105"/>
          <w:sz w:val="16"/>
        </w:rPr>
        <w:t xml:space="preserve">, </w:t>
      </w:r>
      <w:r>
        <w:rPr>
          <w:color w:val="231F20"/>
          <w:w w:val="105"/>
          <w:sz w:val="16"/>
        </w:rPr>
        <w:t>387; website xviii</w:t>
      </w:r>
      <w:r>
        <w:rPr>
          <w:i/>
          <w:color w:val="231F20"/>
          <w:w w:val="105"/>
          <w:sz w:val="16"/>
        </w:rPr>
        <w:t xml:space="preserve">, </w:t>
      </w:r>
      <w:r>
        <w:rPr>
          <w:color w:val="231F20"/>
          <w:w w:val="105"/>
          <w:sz w:val="16"/>
        </w:rPr>
        <w:t>xx</w:t>
      </w:r>
      <w:r>
        <w:rPr>
          <w:i/>
          <w:color w:val="231F20"/>
          <w:w w:val="105"/>
          <w:sz w:val="16"/>
        </w:rPr>
        <w:t xml:space="preserve">, </w:t>
      </w:r>
      <w:r>
        <w:rPr>
          <w:color w:val="231F20"/>
          <w:w w:val="105"/>
          <w:sz w:val="16"/>
        </w:rPr>
        <w:t>408</w:t>
      </w:r>
    </w:p>
    <w:p w14:paraId="3238B5BC" w14:textId="77777777" w:rsidR="002653E8" w:rsidRPr="00846956" w:rsidRDefault="003115E3">
      <w:pPr>
        <w:spacing w:before="1"/>
        <w:ind w:left="243"/>
        <w:rPr>
          <w:sz w:val="16"/>
          <w:lang w:val="de-DE"/>
        </w:rPr>
      </w:pPr>
      <w:r w:rsidRPr="00846956">
        <w:rPr>
          <w:color w:val="231F20"/>
          <w:sz w:val="16"/>
          <w:lang w:val="de-DE"/>
        </w:rPr>
        <w:t>Auschwitz trials 26–27</w:t>
      </w:r>
    </w:p>
    <w:p w14:paraId="44A0AC76" w14:textId="77777777" w:rsidR="002653E8" w:rsidRPr="00846956" w:rsidRDefault="003115E3">
      <w:pPr>
        <w:spacing w:before="33"/>
        <w:ind w:left="243"/>
        <w:rPr>
          <w:sz w:val="16"/>
          <w:lang w:val="de-DE"/>
        </w:rPr>
      </w:pPr>
      <w:r w:rsidRPr="00846956">
        <w:rPr>
          <w:color w:val="231F20"/>
          <w:sz w:val="16"/>
          <w:lang w:val="de-DE"/>
        </w:rPr>
        <w:t>Australia 210</w:t>
      </w:r>
    </w:p>
    <w:p w14:paraId="6305096D" w14:textId="77777777" w:rsidR="002653E8" w:rsidRDefault="003115E3">
      <w:pPr>
        <w:spacing w:before="32" w:line="280" w:lineRule="auto"/>
        <w:ind w:left="443" w:right="1335" w:hanging="201"/>
        <w:rPr>
          <w:sz w:val="16"/>
        </w:rPr>
      </w:pPr>
      <w:r w:rsidRPr="00846956">
        <w:rPr>
          <w:color w:val="231F20"/>
          <w:sz w:val="16"/>
          <w:lang w:val="de-DE"/>
        </w:rPr>
        <w:t>Austria 455</w:t>
      </w:r>
      <w:r w:rsidRPr="00846956">
        <w:rPr>
          <w:i/>
          <w:color w:val="231F20"/>
          <w:sz w:val="16"/>
          <w:lang w:val="de-DE"/>
        </w:rPr>
        <w:t xml:space="preserve">, </w:t>
      </w:r>
      <w:r w:rsidRPr="00846956">
        <w:rPr>
          <w:color w:val="231F20"/>
          <w:sz w:val="16"/>
          <w:lang w:val="de-DE"/>
        </w:rPr>
        <w:t>603</w:t>
      </w:r>
      <w:r w:rsidRPr="00846956">
        <w:rPr>
          <w:i/>
          <w:color w:val="231F20"/>
          <w:sz w:val="16"/>
          <w:lang w:val="de-DE"/>
        </w:rPr>
        <w:t xml:space="preserve">. </w:t>
      </w:r>
      <w:r>
        <w:rPr>
          <w:i/>
          <w:color w:val="231F20"/>
          <w:sz w:val="16"/>
        </w:rPr>
        <w:t xml:space="preserve">See also </w:t>
      </w:r>
      <w:r>
        <w:rPr>
          <w:color w:val="231F20"/>
          <w:sz w:val="16"/>
        </w:rPr>
        <w:t>Revolutionary Cells: OPEC raid in Vienna (1975)</w:t>
      </w:r>
      <w:r>
        <w:rPr>
          <w:i/>
          <w:color w:val="231F20"/>
          <w:sz w:val="16"/>
        </w:rPr>
        <w:t xml:space="preserve">; See also </w:t>
      </w:r>
      <w:r>
        <w:rPr>
          <w:color w:val="231F20"/>
          <w:sz w:val="16"/>
        </w:rPr>
        <w:t>2nd of June Movement: Palmers kidnapping (1977)</w:t>
      </w:r>
    </w:p>
    <w:p w14:paraId="53477D47" w14:textId="77777777" w:rsidR="002653E8" w:rsidRDefault="003115E3">
      <w:pPr>
        <w:spacing w:before="2"/>
        <w:ind w:left="243"/>
        <w:rPr>
          <w:sz w:val="16"/>
        </w:rPr>
      </w:pPr>
      <w:r>
        <w:rPr>
          <w:color w:val="231F20"/>
          <w:w w:val="105"/>
          <w:sz w:val="16"/>
        </w:rPr>
        <w:t>Aust, Stefan 161</w:t>
      </w:r>
      <w:r>
        <w:rPr>
          <w:i/>
          <w:color w:val="231F20"/>
          <w:w w:val="105"/>
          <w:sz w:val="16"/>
        </w:rPr>
        <w:t xml:space="preserve">, </w:t>
      </w:r>
      <w:r>
        <w:rPr>
          <w:color w:val="231F20"/>
          <w:w w:val="105"/>
          <w:sz w:val="16"/>
        </w:rPr>
        <w:t>563</w:t>
      </w:r>
      <w:r>
        <w:rPr>
          <w:i/>
          <w:color w:val="231F20"/>
          <w:w w:val="105"/>
          <w:sz w:val="16"/>
        </w:rPr>
        <w:t xml:space="preserve">, </w:t>
      </w:r>
      <w:r>
        <w:rPr>
          <w:color w:val="231F20"/>
          <w:w w:val="105"/>
          <w:sz w:val="16"/>
        </w:rPr>
        <w:t>618</w:t>
      </w:r>
      <w:r>
        <w:rPr>
          <w:i/>
          <w:color w:val="231F20"/>
          <w:w w:val="105"/>
          <w:sz w:val="16"/>
        </w:rPr>
        <w:t xml:space="preserve">, </w:t>
      </w:r>
      <w:r>
        <w:rPr>
          <w:color w:val="231F20"/>
          <w:w w:val="105"/>
          <w:sz w:val="16"/>
        </w:rPr>
        <w:t>628; and</w:t>
      </w:r>
    </w:p>
    <w:p w14:paraId="789DEF19" w14:textId="77777777" w:rsidR="002653E8" w:rsidRDefault="003115E3">
      <w:pPr>
        <w:spacing w:before="33" w:line="280" w:lineRule="auto"/>
        <w:ind w:left="443" w:right="1335"/>
        <w:rPr>
          <w:sz w:val="16"/>
        </w:rPr>
      </w:pPr>
      <w:r>
        <w:rPr>
          <w:color w:val="231F20"/>
          <w:sz w:val="16"/>
        </w:rPr>
        <w:t>Meinhof’s daughters 118</w:t>
      </w:r>
      <w:r>
        <w:rPr>
          <w:i/>
          <w:color w:val="231F20"/>
          <w:sz w:val="16"/>
        </w:rPr>
        <w:t xml:space="preserve">, </w:t>
      </w:r>
      <w:r>
        <w:rPr>
          <w:color w:val="231F20"/>
          <w:sz w:val="16"/>
        </w:rPr>
        <w:t>557–558; on Meinhof’s death 383; on Stammheim deaths (1977) 511</w:t>
      </w:r>
      <w:r>
        <w:rPr>
          <w:i/>
          <w:color w:val="231F20"/>
          <w:sz w:val="16"/>
        </w:rPr>
        <w:t xml:space="preserve">, </w:t>
      </w:r>
      <w:r>
        <w:rPr>
          <w:color w:val="231F20"/>
          <w:sz w:val="16"/>
        </w:rPr>
        <w:t>516</w:t>
      </w:r>
    </w:p>
    <w:p w14:paraId="5DEA77E8" w14:textId="77777777" w:rsidR="002653E8" w:rsidRDefault="003115E3">
      <w:pPr>
        <w:spacing w:before="1"/>
        <w:ind w:left="243"/>
        <w:rPr>
          <w:sz w:val="16"/>
        </w:rPr>
      </w:pPr>
      <w:r>
        <w:rPr>
          <w:i/>
          <w:color w:val="231F20"/>
          <w:sz w:val="16"/>
        </w:rPr>
        <w:t xml:space="preserve">Authoritarian Personality </w:t>
      </w:r>
      <w:r>
        <w:rPr>
          <w:color w:val="231F20"/>
          <w:sz w:val="16"/>
        </w:rPr>
        <w:t>84</w:t>
      </w:r>
    </w:p>
    <w:p w14:paraId="0706F9CB" w14:textId="77777777" w:rsidR="002653E8" w:rsidRDefault="003115E3">
      <w:pPr>
        <w:spacing w:before="33"/>
        <w:ind w:left="243"/>
        <w:rPr>
          <w:sz w:val="16"/>
        </w:rPr>
      </w:pPr>
      <w:r>
        <w:rPr>
          <w:color w:val="231F20"/>
          <w:sz w:val="16"/>
        </w:rPr>
        <w:t>autonomists 435</w:t>
      </w:r>
      <w:r>
        <w:rPr>
          <w:i/>
          <w:color w:val="231F20"/>
          <w:sz w:val="16"/>
        </w:rPr>
        <w:t xml:space="preserve">, </w:t>
      </w:r>
      <w:r>
        <w:rPr>
          <w:color w:val="231F20"/>
          <w:sz w:val="16"/>
        </w:rPr>
        <w:t>539–540</w:t>
      </w:r>
    </w:p>
    <w:p w14:paraId="31A9938C" w14:textId="77777777" w:rsidR="002653E8" w:rsidRDefault="003115E3">
      <w:pPr>
        <w:spacing w:before="32"/>
        <w:ind w:left="243"/>
        <w:rPr>
          <w:sz w:val="16"/>
        </w:rPr>
      </w:pPr>
      <w:r>
        <w:rPr>
          <w:color w:val="231F20"/>
          <w:w w:val="105"/>
          <w:sz w:val="16"/>
        </w:rPr>
        <w:t>Azzola, Axel 348</w:t>
      </w:r>
      <w:r>
        <w:rPr>
          <w:i/>
          <w:color w:val="231F20"/>
          <w:w w:val="105"/>
          <w:sz w:val="16"/>
        </w:rPr>
        <w:t xml:space="preserve">, </w:t>
      </w:r>
      <w:r>
        <w:rPr>
          <w:color w:val="231F20"/>
          <w:w w:val="105"/>
          <w:sz w:val="16"/>
        </w:rPr>
        <w:t>382</w:t>
      </w:r>
      <w:r>
        <w:rPr>
          <w:i/>
          <w:color w:val="231F20"/>
          <w:w w:val="105"/>
          <w:sz w:val="16"/>
        </w:rPr>
        <w:t xml:space="preserve">, </w:t>
      </w:r>
      <w:r>
        <w:rPr>
          <w:color w:val="231F20"/>
          <w:w w:val="105"/>
          <w:sz w:val="16"/>
        </w:rPr>
        <w:t>455</w:t>
      </w:r>
      <w:r>
        <w:rPr>
          <w:i/>
          <w:color w:val="231F20"/>
          <w:w w:val="105"/>
          <w:sz w:val="16"/>
        </w:rPr>
        <w:t xml:space="preserve">, </w:t>
      </w:r>
      <w:r>
        <w:rPr>
          <w:color w:val="231F20"/>
          <w:w w:val="105"/>
          <w:sz w:val="16"/>
        </w:rPr>
        <w:t>563</w:t>
      </w:r>
      <w:r>
        <w:rPr>
          <w:i/>
          <w:color w:val="231F20"/>
          <w:w w:val="105"/>
          <w:sz w:val="16"/>
        </w:rPr>
        <w:t xml:space="preserve">, </w:t>
      </w:r>
      <w:r>
        <w:rPr>
          <w:color w:val="231F20"/>
          <w:w w:val="105"/>
          <w:sz w:val="16"/>
        </w:rPr>
        <w:t>600</w:t>
      </w:r>
    </w:p>
    <w:p w14:paraId="518E418B" w14:textId="77777777" w:rsidR="002653E8" w:rsidRDefault="002653E8">
      <w:pPr>
        <w:rPr>
          <w:sz w:val="16"/>
        </w:rPr>
        <w:sectPr w:rsidR="002653E8">
          <w:footerReference w:type="even" r:id="rId632"/>
          <w:footerReference w:type="default" r:id="rId633"/>
          <w:pgSz w:w="8640" w:h="12960"/>
          <w:pgMar w:top="1080" w:right="0" w:bottom="1040" w:left="0" w:header="0" w:footer="846" w:gutter="0"/>
          <w:pgNumType w:start="662"/>
          <w:cols w:num="2" w:space="720" w:equalWidth="0">
            <w:col w:w="4087" w:space="40"/>
            <w:col w:w="4513"/>
          </w:cols>
        </w:sectPr>
      </w:pPr>
    </w:p>
    <w:p w14:paraId="5975499C" w14:textId="77777777" w:rsidR="002653E8" w:rsidRDefault="003115E3">
      <w:pPr>
        <w:spacing w:before="86" w:line="280" w:lineRule="auto"/>
        <w:ind w:left="1527" w:hanging="200"/>
        <w:rPr>
          <w:sz w:val="16"/>
        </w:rPr>
      </w:pPr>
      <w:r>
        <w:rPr>
          <w:color w:val="231F20"/>
          <w:sz w:val="16"/>
        </w:rPr>
        <w:lastRenderedPageBreak/>
        <w:t>Baader, Andreas 563</w:t>
      </w:r>
      <w:r>
        <w:rPr>
          <w:i/>
          <w:color w:val="231F20"/>
          <w:sz w:val="16"/>
        </w:rPr>
        <w:t xml:space="preserve">. See also </w:t>
      </w:r>
      <w:r w:rsidR="00C507A5">
        <w:rPr>
          <w:color w:val="231F20"/>
          <w:sz w:val="16"/>
        </w:rPr>
        <w:t>red army faction</w:t>
      </w:r>
      <w:r>
        <w:rPr>
          <w:color w:val="231F20"/>
          <w:sz w:val="16"/>
        </w:rPr>
        <w:t xml:space="preserve"> (Red Army Faction): Baader library-break (1970)</w:t>
      </w:r>
      <w:r>
        <w:rPr>
          <w:i/>
          <w:color w:val="231F20"/>
          <w:sz w:val="16"/>
        </w:rPr>
        <w:t xml:space="preserve">; See also </w:t>
      </w:r>
      <w:r>
        <w:rPr>
          <w:color w:val="231F20"/>
          <w:sz w:val="16"/>
        </w:rPr>
        <w:t>Stammheim deaths; in APO 30</w:t>
      </w:r>
      <w:r>
        <w:rPr>
          <w:i/>
          <w:color w:val="231F20"/>
          <w:sz w:val="16"/>
        </w:rPr>
        <w:t xml:space="preserve">, </w:t>
      </w:r>
      <w:r>
        <w:rPr>
          <w:color w:val="231F20"/>
          <w:sz w:val="16"/>
        </w:rPr>
        <w:t>55</w:t>
      </w:r>
      <w:r>
        <w:rPr>
          <w:i/>
          <w:color w:val="231F20"/>
          <w:sz w:val="16"/>
        </w:rPr>
        <w:t xml:space="preserve">, </w:t>
      </w:r>
      <w:r>
        <w:rPr>
          <w:color w:val="231F20"/>
          <w:sz w:val="16"/>
        </w:rPr>
        <w:t>581; apprentices collec-</w:t>
      </w:r>
    </w:p>
    <w:p w14:paraId="0395D6E4" w14:textId="77777777" w:rsidR="002653E8" w:rsidRDefault="003115E3">
      <w:pPr>
        <w:spacing w:before="2"/>
        <w:ind w:left="1527"/>
        <w:rPr>
          <w:sz w:val="16"/>
        </w:rPr>
      </w:pPr>
      <w:r>
        <w:rPr>
          <w:color w:val="231F20"/>
          <w:sz w:val="16"/>
        </w:rPr>
        <w:t>tives 50</w:t>
      </w:r>
      <w:r>
        <w:rPr>
          <w:i/>
          <w:color w:val="231F20"/>
          <w:sz w:val="16"/>
        </w:rPr>
        <w:t xml:space="preserve">, </w:t>
      </w:r>
      <w:r>
        <w:rPr>
          <w:color w:val="231F20"/>
          <w:sz w:val="16"/>
        </w:rPr>
        <w:t>527; Ingeborg Barz allega-</w:t>
      </w:r>
    </w:p>
    <w:p w14:paraId="2661ADEA" w14:textId="77777777" w:rsidR="002653E8" w:rsidRDefault="003115E3">
      <w:pPr>
        <w:spacing w:before="33"/>
        <w:ind w:left="1527"/>
        <w:rPr>
          <w:i/>
          <w:sz w:val="16"/>
        </w:rPr>
      </w:pPr>
      <w:r>
        <w:rPr>
          <w:color w:val="231F20"/>
          <w:sz w:val="16"/>
        </w:rPr>
        <w:t>tions   160</w:t>
      </w:r>
      <w:r>
        <w:rPr>
          <w:i/>
          <w:color w:val="231F20"/>
          <w:sz w:val="16"/>
        </w:rPr>
        <w:t xml:space="preserve">, </w:t>
      </w:r>
      <w:r>
        <w:rPr>
          <w:color w:val="231F20"/>
          <w:sz w:val="16"/>
        </w:rPr>
        <w:t>352; captured (1970)  53</w:t>
      </w:r>
      <w:r>
        <w:rPr>
          <w:i/>
          <w:color w:val="231F20"/>
          <w:sz w:val="16"/>
        </w:rPr>
        <w:t>,</w:t>
      </w:r>
    </w:p>
    <w:p w14:paraId="0C59AF9F" w14:textId="77777777" w:rsidR="002653E8" w:rsidRDefault="003115E3">
      <w:pPr>
        <w:spacing w:before="32"/>
        <w:ind w:left="1527"/>
        <w:rPr>
          <w:i/>
          <w:sz w:val="16"/>
        </w:rPr>
      </w:pPr>
      <w:r>
        <w:rPr>
          <w:color w:val="231F20"/>
          <w:w w:val="105"/>
          <w:sz w:val="16"/>
        </w:rPr>
        <w:t>584; captured (1972) 170–171</w:t>
      </w:r>
      <w:r>
        <w:rPr>
          <w:i/>
          <w:color w:val="231F20"/>
          <w:w w:val="105"/>
          <w:sz w:val="16"/>
        </w:rPr>
        <w:t xml:space="preserve">, </w:t>
      </w:r>
      <w:r>
        <w:rPr>
          <w:color w:val="231F20"/>
          <w:w w:val="105"/>
          <w:sz w:val="16"/>
        </w:rPr>
        <w:t>200</w:t>
      </w:r>
      <w:r>
        <w:rPr>
          <w:i/>
          <w:color w:val="231F20"/>
          <w:w w:val="105"/>
          <w:sz w:val="16"/>
        </w:rPr>
        <w:t>,</w:t>
      </w:r>
    </w:p>
    <w:p w14:paraId="67B3106B" w14:textId="77777777" w:rsidR="002653E8" w:rsidRDefault="003115E3">
      <w:pPr>
        <w:spacing w:before="33"/>
        <w:ind w:left="1527"/>
        <w:rPr>
          <w:i/>
          <w:sz w:val="16"/>
        </w:rPr>
      </w:pPr>
      <w:r>
        <w:rPr>
          <w:color w:val="231F20"/>
          <w:sz w:val="16"/>
        </w:rPr>
        <w:t>591; death in Stammheim   485–486</w:t>
      </w:r>
      <w:r>
        <w:rPr>
          <w:i/>
          <w:color w:val="231F20"/>
          <w:sz w:val="16"/>
        </w:rPr>
        <w:t>,</w:t>
      </w:r>
    </w:p>
    <w:p w14:paraId="5B89D8C6" w14:textId="77777777" w:rsidR="002653E8" w:rsidRDefault="003115E3">
      <w:pPr>
        <w:spacing w:before="32" w:line="280" w:lineRule="auto"/>
        <w:ind w:left="1527" w:right="2"/>
        <w:rPr>
          <w:sz w:val="16"/>
        </w:rPr>
      </w:pPr>
      <w:r>
        <w:rPr>
          <w:color w:val="231F20"/>
          <w:sz w:val="16"/>
        </w:rPr>
        <w:t>507</w:t>
      </w:r>
      <w:r>
        <w:rPr>
          <w:i/>
          <w:color w:val="231F20"/>
          <w:sz w:val="16"/>
        </w:rPr>
        <w:t xml:space="preserve">, </w:t>
      </w:r>
      <w:r>
        <w:rPr>
          <w:color w:val="231F20"/>
          <w:sz w:val="16"/>
        </w:rPr>
        <w:t>513–514</w:t>
      </w:r>
      <w:r>
        <w:rPr>
          <w:i/>
          <w:color w:val="231F20"/>
          <w:sz w:val="16"/>
        </w:rPr>
        <w:t xml:space="preserve">, </w:t>
      </w:r>
      <w:r>
        <w:rPr>
          <w:color w:val="231F20"/>
          <w:sz w:val="16"/>
        </w:rPr>
        <w:t>608; force-feeding 250</w:t>
      </w:r>
      <w:r>
        <w:rPr>
          <w:i/>
          <w:color w:val="231F20"/>
          <w:sz w:val="16"/>
        </w:rPr>
        <w:t xml:space="preserve">, </w:t>
      </w:r>
      <w:r>
        <w:rPr>
          <w:color w:val="231F20"/>
          <w:sz w:val="16"/>
        </w:rPr>
        <w:t>259; Frankfurt department stores 48–49</w:t>
      </w:r>
      <w:r>
        <w:rPr>
          <w:i/>
          <w:color w:val="231F20"/>
          <w:sz w:val="16"/>
        </w:rPr>
        <w:t xml:space="preserve">, </w:t>
      </w:r>
      <w:r>
        <w:rPr>
          <w:color w:val="231F20"/>
          <w:sz w:val="16"/>
        </w:rPr>
        <w:t>582–583; hate campaign,  target</w:t>
      </w:r>
    </w:p>
    <w:p w14:paraId="524E0017" w14:textId="77777777" w:rsidR="002653E8" w:rsidRDefault="003115E3">
      <w:pPr>
        <w:spacing w:before="2"/>
        <w:ind w:left="1527"/>
        <w:rPr>
          <w:sz w:val="16"/>
        </w:rPr>
      </w:pPr>
      <w:r>
        <w:rPr>
          <w:color w:val="231F20"/>
          <w:w w:val="105"/>
          <w:sz w:val="16"/>
        </w:rPr>
        <w:t>of  370</w:t>
      </w:r>
      <w:r>
        <w:rPr>
          <w:i/>
          <w:color w:val="231F20"/>
          <w:w w:val="105"/>
          <w:sz w:val="16"/>
        </w:rPr>
        <w:t xml:space="preserve">, </w:t>
      </w:r>
      <w:r>
        <w:rPr>
          <w:color w:val="231F20"/>
          <w:w w:val="105"/>
          <w:sz w:val="16"/>
        </w:rPr>
        <w:t>429</w:t>
      </w:r>
      <w:r>
        <w:rPr>
          <w:i/>
          <w:color w:val="231F20"/>
          <w:w w:val="105"/>
          <w:sz w:val="16"/>
        </w:rPr>
        <w:t xml:space="preserve">, </w:t>
      </w:r>
      <w:r>
        <w:rPr>
          <w:color w:val="231F20"/>
          <w:w w:val="105"/>
          <w:sz w:val="16"/>
        </w:rPr>
        <w:t>430</w:t>
      </w:r>
      <w:r>
        <w:rPr>
          <w:i/>
          <w:color w:val="231F20"/>
          <w:w w:val="105"/>
          <w:sz w:val="16"/>
        </w:rPr>
        <w:t xml:space="preserve">, </w:t>
      </w:r>
      <w:r>
        <w:rPr>
          <w:color w:val="231F20"/>
          <w:w w:val="105"/>
          <w:sz w:val="16"/>
        </w:rPr>
        <w:t>492</w:t>
      </w:r>
      <w:r>
        <w:rPr>
          <w:i/>
          <w:color w:val="231F20"/>
          <w:w w:val="105"/>
          <w:sz w:val="16"/>
        </w:rPr>
        <w:t xml:space="preserve">, </w:t>
      </w:r>
      <w:r>
        <w:rPr>
          <w:color w:val="231F20"/>
          <w:w w:val="105"/>
          <w:sz w:val="16"/>
        </w:rPr>
        <w:t>533</w:t>
      </w:r>
      <w:r>
        <w:rPr>
          <w:i/>
          <w:color w:val="231F20"/>
          <w:w w:val="105"/>
          <w:sz w:val="16"/>
        </w:rPr>
        <w:t xml:space="preserve">, </w:t>
      </w:r>
      <w:r>
        <w:rPr>
          <w:color w:val="231F20"/>
          <w:w w:val="105"/>
          <w:sz w:val="16"/>
        </w:rPr>
        <w:t>628; isola-</w:t>
      </w:r>
    </w:p>
    <w:p w14:paraId="15665C3B" w14:textId="77777777" w:rsidR="002653E8" w:rsidRDefault="003115E3">
      <w:pPr>
        <w:spacing w:before="32"/>
        <w:ind w:left="1527"/>
        <w:rPr>
          <w:sz w:val="16"/>
        </w:rPr>
      </w:pPr>
      <w:r>
        <w:rPr>
          <w:color w:val="231F20"/>
          <w:w w:val="105"/>
          <w:sz w:val="16"/>
        </w:rPr>
        <w:t>tion 238</w:t>
      </w:r>
      <w:r>
        <w:rPr>
          <w:i/>
          <w:color w:val="231F20"/>
          <w:w w:val="105"/>
          <w:sz w:val="16"/>
        </w:rPr>
        <w:t xml:space="preserve">, </w:t>
      </w:r>
      <w:r>
        <w:rPr>
          <w:color w:val="231F20"/>
          <w:w w:val="105"/>
          <w:sz w:val="16"/>
        </w:rPr>
        <w:t>243</w:t>
      </w:r>
      <w:r>
        <w:rPr>
          <w:i/>
          <w:color w:val="231F20"/>
          <w:w w:val="105"/>
          <w:sz w:val="16"/>
        </w:rPr>
        <w:t xml:space="preserve">, </w:t>
      </w:r>
      <w:r>
        <w:rPr>
          <w:color w:val="231F20"/>
          <w:w w:val="105"/>
          <w:sz w:val="16"/>
        </w:rPr>
        <w:t>244</w:t>
      </w:r>
      <w:r>
        <w:rPr>
          <w:i/>
          <w:color w:val="231F20"/>
          <w:w w:val="105"/>
          <w:sz w:val="16"/>
        </w:rPr>
        <w:t xml:space="preserve">, </w:t>
      </w:r>
      <w:r>
        <w:rPr>
          <w:color w:val="231F20"/>
          <w:w w:val="105"/>
          <w:sz w:val="16"/>
        </w:rPr>
        <w:t>548–549; Letter to</w:t>
      </w:r>
    </w:p>
    <w:p w14:paraId="12ED102A" w14:textId="77777777" w:rsidR="002653E8" w:rsidRDefault="003115E3">
      <w:pPr>
        <w:spacing w:before="33"/>
        <w:ind w:left="1527"/>
        <w:rPr>
          <w:sz w:val="16"/>
        </w:rPr>
      </w:pPr>
      <w:r>
        <w:rPr>
          <w:color w:val="231F20"/>
          <w:sz w:val="16"/>
        </w:rPr>
        <w:t>the Press (1971) 120–121; on liberal</w:t>
      </w:r>
    </w:p>
    <w:p w14:paraId="2B91CEBC" w14:textId="77777777" w:rsidR="002653E8" w:rsidRDefault="003115E3">
      <w:pPr>
        <w:spacing w:before="32"/>
        <w:ind w:left="1527"/>
        <w:rPr>
          <w:i/>
          <w:sz w:val="16"/>
        </w:rPr>
      </w:pPr>
      <w:r>
        <w:rPr>
          <w:color w:val="231F20"/>
          <w:w w:val="105"/>
          <w:sz w:val="16"/>
        </w:rPr>
        <w:t>human rights 249</w:t>
      </w:r>
      <w:r>
        <w:rPr>
          <w:i/>
          <w:color w:val="231F20"/>
          <w:w w:val="105"/>
          <w:sz w:val="16"/>
        </w:rPr>
        <w:t xml:space="preserve">, </w:t>
      </w:r>
      <w:r>
        <w:rPr>
          <w:color w:val="231F20"/>
          <w:w w:val="105"/>
          <w:sz w:val="16"/>
        </w:rPr>
        <w:t>319–323</w:t>
      </w:r>
      <w:r>
        <w:rPr>
          <w:i/>
          <w:color w:val="231F20"/>
          <w:w w:val="105"/>
          <w:sz w:val="16"/>
        </w:rPr>
        <w:t>,</w:t>
      </w:r>
      <w:r>
        <w:rPr>
          <w:i/>
          <w:color w:val="231F20"/>
          <w:spacing w:val="-21"/>
          <w:w w:val="105"/>
          <w:sz w:val="16"/>
        </w:rPr>
        <w:t xml:space="preserve"> </w:t>
      </w:r>
      <w:r>
        <w:rPr>
          <w:color w:val="231F20"/>
          <w:w w:val="105"/>
          <w:sz w:val="16"/>
        </w:rPr>
        <w:t>455–456</w:t>
      </w:r>
      <w:r>
        <w:rPr>
          <w:i/>
          <w:color w:val="231F20"/>
          <w:w w:val="105"/>
          <w:sz w:val="16"/>
        </w:rPr>
        <w:t>,</w:t>
      </w:r>
    </w:p>
    <w:p w14:paraId="13B4D3F9" w14:textId="77777777" w:rsidR="002653E8" w:rsidRDefault="003115E3">
      <w:pPr>
        <w:spacing w:before="32"/>
        <w:ind w:left="1527"/>
        <w:rPr>
          <w:i/>
          <w:sz w:val="16"/>
        </w:rPr>
      </w:pPr>
      <w:r>
        <w:rPr>
          <w:color w:val="231F20"/>
          <w:sz w:val="16"/>
        </w:rPr>
        <w:t>467–468; library break-out 54–55</w:t>
      </w:r>
      <w:r>
        <w:rPr>
          <w:i/>
          <w:color w:val="231F20"/>
          <w:sz w:val="16"/>
        </w:rPr>
        <w:t>,</w:t>
      </w:r>
    </w:p>
    <w:p w14:paraId="1B34AA7C" w14:textId="77777777" w:rsidR="002653E8" w:rsidRDefault="003115E3">
      <w:pPr>
        <w:spacing w:before="33"/>
        <w:ind w:left="1527"/>
        <w:rPr>
          <w:i/>
          <w:sz w:val="16"/>
        </w:rPr>
      </w:pPr>
      <w:r>
        <w:rPr>
          <w:color w:val="231F20"/>
          <w:w w:val="105"/>
          <w:sz w:val="16"/>
        </w:rPr>
        <w:t>85–86</w:t>
      </w:r>
      <w:r>
        <w:rPr>
          <w:i/>
          <w:color w:val="231F20"/>
          <w:w w:val="105"/>
          <w:sz w:val="16"/>
        </w:rPr>
        <w:t xml:space="preserve">, </w:t>
      </w:r>
      <w:r>
        <w:rPr>
          <w:color w:val="231F20"/>
          <w:w w:val="105"/>
          <w:sz w:val="16"/>
        </w:rPr>
        <w:t>362; and Ulrike Meinhof 53</w:t>
      </w:r>
      <w:r>
        <w:rPr>
          <w:i/>
          <w:color w:val="231F20"/>
          <w:w w:val="105"/>
          <w:sz w:val="16"/>
        </w:rPr>
        <w:t>,</w:t>
      </w:r>
    </w:p>
    <w:p w14:paraId="4E7D2545" w14:textId="77777777" w:rsidR="002653E8" w:rsidRDefault="003115E3">
      <w:pPr>
        <w:spacing w:before="32" w:line="280" w:lineRule="auto"/>
        <w:ind w:left="1527" w:right="15"/>
        <w:rPr>
          <w:sz w:val="16"/>
        </w:rPr>
      </w:pPr>
      <w:r>
        <w:rPr>
          <w:color w:val="231F20"/>
          <w:sz w:val="16"/>
        </w:rPr>
        <w:t>357</w:t>
      </w:r>
      <w:r>
        <w:rPr>
          <w:i/>
          <w:color w:val="231F20"/>
          <w:sz w:val="16"/>
        </w:rPr>
        <w:t xml:space="preserve">, </w:t>
      </w:r>
      <w:r>
        <w:rPr>
          <w:color w:val="231F20"/>
          <w:sz w:val="16"/>
        </w:rPr>
        <w:t>381</w:t>
      </w:r>
      <w:r>
        <w:rPr>
          <w:i/>
          <w:color w:val="231F20"/>
          <w:sz w:val="16"/>
        </w:rPr>
        <w:t xml:space="preserve">, </w:t>
      </w:r>
      <w:r>
        <w:rPr>
          <w:color w:val="231F20"/>
          <w:sz w:val="16"/>
        </w:rPr>
        <w:t>384</w:t>
      </w:r>
      <w:r>
        <w:rPr>
          <w:i/>
          <w:color w:val="231F20"/>
          <w:sz w:val="16"/>
        </w:rPr>
        <w:t xml:space="preserve">, </w:t>
      </w:r>
      <w:r>
        <w:rPr>
          <w:color w:val="231F20"/>
          <w:sz w:val="16"/>
        </w:rPr>
        <w:t>395; mentioned by others 117</w:t>
      </w:r>
      <w:r>
        <w:rPr>
          <w:i/>
          <w:color w:val="231F20"/>
          <w:sz w:val="16"/>
        </w:rPr>
        <w:t xml:space="preserve">, </w:t>
      </w:r>
      <w:r>
        <w:rPr>
          <w:color w:val="231F20"/>
          <w:sz w:val="16"/>
        </w:rPr>
        <w:t>460; On the Geneva Convention (1977) 467–468; postmortem</w:t>
      </w:r>
    </w:p>
    <w:p w14:paraId="320BBA2F" w14:textId="77777777" w:rsidR="002653E8" w:rsidRDefault="003115E3">
      <w:pPr>
        <w:spacing w:before="2"/>
        <w:ind w:left="1527"/>
        <w:rPr>
          <w:sz w:val="16"/>
        </w:rPr>
      </w:pPr>
      <w:r>
        <w:rPr>
          <w:color w:val="231F20"/>
          <w:sz w:val="16"/>
        </w:rPr>
        <w:t>and  burial   384</w:t>
      </w:r>
      <w:r>
        <w:rPr>
          <w:i/>
          <w:color w:val="231F20"/>
          <w:sz w:val="16"/>
        </w:rPr>
        <w:t xml:space="preserve">, </w:t>
      </w:r>
      <w:r>
        <w:rPr>
          <w:color w:val="231F20"/>
          <w:sz w:val="16"/>
        </w:rPr>
        <w:t>514</w:t>
      </w:r>
      <w:r>
        <w:rPr>
          <w:i/>
          <w:color w:val="231F20"/>
          <w:sz w:val="16"/>
        </w:rPr>
        <w:t xml:space="preserve">, </w:t>
      </w:r>
      <w:r>
        <w:rPr>
          <w:color w:val="231F20"/>
          <w:sz w:val="16"/>
        </w:rPr>
        <w:t>533–534; prison</w:t>
      </w:r>
    </w:p>
    <w:p w14:paraId="06F2690E" w14:textId="77777777" w:rsidR="002653E8" w:rsidRDefault="003115E3">
      <w:pPr>
        <w:spacing w:before="32"/>
        <w:ind w:left="1527"/>
        <w:rPr>
          <w:sz w:val="16"/>
        </w:rPr>
      </w:pPr>
      <w:r>
        <w:rPr>
          <w:color w:val="231F20"/>
          <w:w w:val="105"/>
          <w:sz w:val="16"/>
        </w:rPr>
        <w:t>238</w:t>
      </w:r>
      <w:r>
        <w:rPr>
          <w:i/>
          <w:color w:val="231F20"/>
          <w:w w:val="105"/>
          <w:sz w:val="16"/>
        </w:rPr>
        <w:t xml:space="preserve">, </w:t>
      </w:r>
      <w:r>
        <w:rPr>
          <w:color w:val="231F20"/>
          <w:w w:val="105"/>
          <w:sz w:val="16"/>
        </w:rPr>
        <w:t>250</w:t>
      </w:r>
      <w:r>
        <w:rPr>
          <w:i/>
          <w:color w:val="231F20"/>
          <w:w w:val="105"/>
          <w:sz w:val="16"/>
        </w:rPr>
        <w:t xml:space="preserve">, </w:t>
      </w:r>
      <w:r>
        <w:rPr>
          <w:color w:val="231F20"/>
          <w:w w:val="105"/>
          <w:sz w:val="16"/>
        </w:rPr>
        <w:t>471</w:t>
      </w:r>
      <w:r>
        <w:rPr>
          <w:i/>
          <w:color w:val="231F20"/>
          <w:w w:val="105"/>
          <w:sz w:val="16"/>
        </w:rPr>
        <w:t xml:space="preserve">, </w:t>
      </w:r>
      <w:r>
        <w:rPr>
          <w:color w:val="231F20"/>
          <w:w w:val="105"/>
          <w:sz w:val="16"/>
        </w:rPr>
        <w:t>518</w:t>
      </w:r>
      <w:r>
        <w:rPr>
          <w:i/>
          <w:color w:val="231F20"/>
          <w:w w:val="105"/>
          <w:sz w:val="16"/>
        </w:rPr>
        <w:t xml:space="preserve">, </w:t>
      </w:r>
      <w:r>
        <w:rPr>
          <w:color w:val="231F20"/>
          <w:w w:val="105"/>
          <w:sz w:val="16"/>
        </w:rPr>
        <w:t>592</w:t>
      </w:r>
      <w:r>
        <w:rPr>
          <w:i/>
          <w:color w:val="231F20"/>
          <w:w w:val="105"/>
          <w:sz w:val="16"/>
        </w:rPr>
        <w:t xml:space="preserve">, </w:t>
      </w:r>
      <w:r>
        <w:rPr>
          <w:color w:val="231F20"/>
          <w:w w:val="105"/>
          <w:sz w:val="16"/>
        </w:rPr>
        <w:t>595; release</w:t>
      </w:r>
    </w:p>
    <w:p w14:paraId="1CB4F89B" w14:textId="77777777" w:rsidR="002653E8" w:rsidRDefault="003115E3">
      <w:pPr>
        <w:spacing w:before="33"/>
        <w:ind w:left="1527"/>
        <w:rPr>
          <w:i/>
          <w:sz w:val="16"/>
        </w:rPr>
      </w:pPr>
      <w:r>
        <w:rPr>
          <w:color w:val="231F20"/>
          <w:w w:val="105"/>
          <w:sz w:val="16"/>
        </w:rPr>
        <w:t>demanded 189</w:t>
      </w:r>
      <w:r>
        <w:rPr>
          <w:i/>
          <w:color w:val="231F20"/>
          <w:w w:val="105"/>
          <w:sz w:val="16"/>
        </w:rPr>
        <w:t xml:space="preserve">, </w:t>
      </w:r>
      <w:r>
        <w:rPr>
          <w:color w:val="231F20"/>
          <w:w w:val="105"/>
          <w:sz w:val="16"/>
        </w:rPr>
        <w:t>192</w:t>
      </w:r>
      <w:r>
        <w:rPr>
          <w:i/>
          <w:color w:val="231F20"/>
          <w:w w:val="105"/>
          <w:sz w:val="16"/>
        </w:rPr>
        <w:t xml:space="preserve">, </w:t>
      </w:r>
      <w:r>
        <w:rPr>
          <w:color w:val="231F20"/>
          <w:w w:val="105"/>
          <w:sz w:val="16"/>
        </w:rPr>
        <w:t>328</w:t>
      </w:r>
      <w:r>
        <w:rPr>
          <w:i/>
          <w:color w:val="231F20"/>
          <w:w w:val="105"/>
          <w:sz w:val="16"/>
        </w:rPr>
        <w:t xml:space="preserve">, </w:t>
      </w:r>
      <w:r>
        <w:rPr>
          <w:color w:val="231F20"/>
          <w:w w:val="105"/>
          <w:sz w:val="16"/>
        </w:rPr>
        <w:t>332</w:t>
      </w:r>
      <w:r>
        <w:rPr>
          <w:i/>
          <w:color w:val="231F20"/>
          <w:w w:val="105"/>
          <w:sz w:val="16"/>
        </w:rPr>
        <w:t xml:space="preserve">, </w:t>
      </w:r>
      <w:r>
        <w:rPr>
          <w:color w:val="231F20"/>
          <w:w w:val="105"/>
          <w:sz w:val="16"/>
        </w:rPr>
        <w:t>339</w:t>
      </w:r>
      <w:r>
        <w:rPr>
          <w:i/>
          <w:color w:val="231F20"/>
          <w:w w:val="105"/>
          <w:sz w:val="16"/>
        </w:rPr>
        <w:t>,</w:t>
      </w:r>
    </w:p>
    <w:p w14:paraId="65B226D3" w14:textId="77777777" w:rsidR="002653E8" w:rsidRDefault="003115E3">
      <w:pPr>
        <w:spacing w:before="32"/>
        <w:ind w:left="1527"/>
        <w:rPr>
          <w:i/>
          <w:sz w:val="16"/>
        </w:rPr>
      </w:pPr>
      <w:r>
        <w:rPr>
          <w:color w:val="231F20"/>
          <w:w w:val="105"/>
          <w:sz w:val="16"/>
        </w:rPr>
        <w:t>476</w:t>
      </w:r>
      <w:r>
        <w:rPr>
          <w:i/>
          <w:color w:val="231F20"/>
          <w:w w:val="105"/>
          <w:sz w:val="16"/>
        </w:rPr>
        <w:t xml:space="preserve">, </w:t>
      </w:r>
      <w:r>
        <w:rPr>
          <w:color w:val="231F20"/>
          <w:w w:val="105"/>
          <w:sz w:val="16"/>
        </w:rPr>
        <w:t>498</w:t>
      </w:r>
      <w:r>
        <w:rPr>
          <w:i/>
          <w:color w:val="231F20"/>
          <w:w w:val="105"/>
          <w:sz w:val="16"/>
        </w:rPr>
        <w:t xml:space="preserve">, </w:t>
      </w:r>
      <w:r>
        <w:rPr>
          <w:color w:val="231F20"/>
          <w:w w:val="105"/>
          <w:sz w:val="16"/>
        </w:rPr>
        <w:t xml:space="preserve">505; role in </w:t>
      </w:r>
      <w:r w:rsidR="00C507A5">
        <w:rPr>
          <w:color w:val="231F20"/>
          <w:w w:val="105"/>
          <w:sz w:val="16"/>
        </w:rPr>
        <w:t>red army faction</w:t>
      </w:r>
      <w:r>
        <w:rPr>
          <w:color w:val="231F20"/>
          <w:w w:val="105"/>
          <w:sz w:val="16"/>
        </w:rPr>
        <w:t xml:space="preserve">  54</w:t>
      </w:r>
      <w:r>
        <w:rPr>
          <w:i/>
          <w:color w:val="231F20"/>
          <w:w w:val="105"/>
          <w:sz w:val="16"/>
        </w:rPr>
        <w:t xml:space="preserve">, </w:t>
      </w:r>
      <w:r>
        <w:rPr>
          <w:color w:val="231F20"/>
          <w:w w:val="105"/>
          <w:sz w:val="16"/>
        </w:rPr>
        <w:t>172</w:t>
      </w:r>
      <w:r>
        <w:rPr>
          <w:i/>
          <w:color w:val="231F20"/>
          <w:w w:val="105"/>
          <w:sz w:val="16"/>
        </w:rPr>
        <w:t>,</w:t>
      </w:r>
    </w:p>
    <w:p w14:paraId="7E8868A8" w14:textId="77777777" w:rsidR="002653E8" w:rsidRDefault="003115E3">
      <w:pPr>
        <w:spacing w:before="32"/>
        <w:ind w:left="1527"/>
        <w:rPr>
          <w:i/>
          <w:sz w:val="16"/>
        </w:rPr>
      </w:pPr>
      <w:r>
        <w:rPr>
          <w:color w:val="231F20"/>
          <w:w w:val="105"/>
          <w:sz w:val="16"/>
        </w:rPr>
        <w:t>263</w:t>
      </w:r>
      <w:r>
        <w:rPr>
          <w:i/>
          <w:color w:val="231F20"/>
          <w:w w:val="105"/>
          <w:sz w:val="16"/>
        </w:rPr>
        <w:t xml:space="preserve">, </w:t>
      </w:r>
      <w:r>
        <w:rPr>
          <w:color w:val="231F20"/>
          <w:w w:val="105"/>
          <w:sz w:val="16"/>
        </w:rPr>
        <w:t>332</w:t>
      </w:r>
      <w:r>
        <w:rPr>
          <w:i/>
          <w:color w:val="231F20"/>
          <w:w w:val="105"/>
          <w:sz w:val="16"/>
        </w:rPr>
        <w:t xml:space="preserve">, </w:t>
      </w:r>
      <w:r>
        <w:rPr>
          <w:color w:val="231F20"/>
          <w:w w:val="105"/>
          <w:sz w:val="16"/>
        </w:rPr>
        <w:t>364–365</w:t>
      </w:r>
      <w:r>
        <w:rPr>
          <w:i/>
          <w:color w:val="231F20"/>
          <w:w w:val="105"/>
          <w:sz w:val="16"/>
        </w:rPr>
        <w:t xml:space="preserve">, </w:t>
      </w:r>
      <w:r>
        <w:rPr>
          <w:color w:val="231F20"/>
          <w:w w:val="105"/>
          <w:sz w:val="16"/>
        </w:rPr>
        <w:t>368</w:t>
      </w:r>
      <w:r>
        <w:rPr>
          <w:i/>
          <w:color w:val="231F20"/>
          <w:w w:val="105"/>
          <w:sz w:val="16"/>
        </w:rPr>
        <w:t xml:space="preserve">, </w:t>
      </w:r>
      <w:r>
        <w:rPr>
          <w:color w:val="231F20"/>
          <w:w w:val="105"/>
          <w:sz w:val="16"/>
        </w:rPr>
        <w:t>398–399</w:t>
      </w:r>
      <w:r>
        <w:rPr>
          <w:i/>
          <w:color w:val="231F20"/>
          <w:w w:val="105"/>
          <w:sz w:val="16"/>
        </w:rPr>
        <w:t>,</w:t>
      </w:r>
    </w:p>
    <w:p w14:paraId="5223E679" w14:textId="77777777" w:rsidR="002653E8" w:rsidRDefault="003115E3">
      <w:pPr>
        <w:spacing w:before="33" w:line="280" w:lineRule="auto"/>
        <w:ind w:left="1527" w:right="-8"/>
        <w:rPr>
          <w:sz w:val="16"/>
        </w:rPr>
      </w:pPr>
      <w:r>
        <w:rPr>
          <w:color w:val="231F20"/>
          <w:w w:val="105"/>
          <w:sz w:val="16"/>
        </w:rPr>
        <w:t>429</w:t>
      </w:r>
      <w:r>
        <w:rPr>
          <w:i/>
          <w:color w:val="231F20"/>
          <w:w w:val="105"/>
          <w:sz w:val="16"/>
        </w:rPr>
        <w:t xml:space="preserve">, </w:t>
      </w:r>
      <w:r>
        <w:rPr>
          <w:color w:val="231F20"/>
          <w:w w:val="105"/>
          <w:sz w:val="16"/>
        </w:rPr>
        <w:t xml:space="preserve">482; on </w:t>
      </w:r>
      <w:r>
        <w:rPr>
          <w:color w:val="231F20"/>
          <w:spacing w:val="-5"/>
          <w:w w:val="105"/>
          <w:sz w:val="16"/>
        </w:rPr>
        <w:t xml:space="preserve">SAWIO </w:t>
      </w:r>
      <w:r>
        <w:rPr>
          <w:color w:val="231F20"/>
          <w:w w:val="105"/>
          <w:sz w:val="16"/>
        </w:rPr>
        <w:t>skyjacking (1977, Mogadishu) 483; Spiegel interview (1975) 300</w:t>
      </w:r>
      <w:r>
        <w:rPr>
          <w:i/>
          <w:color w:val="231F20"/>
          <w:w w:val="105"/>
          <w:sz w:val="16"/>
        </w:rPr>
        <w:t xml:space="preserve">, </w:t>
      </w:r>
      <w:r>
        <w:rPr>
          <w:color w:val="231F20"/>
          <w:w w:val="105"/>
          <w:sz w:val="16"/>
        </w:rPr>
        <w:t>596; Stammheim trial</w:t>
      </w:r>
    </w:p>
    <w:p w14:paraId="464D8A19" w14:textId="77777777" w:rsidR="002653E8" w:rsidRDefault="003115E3">
      <w:pPr>
        <w:spacing w:before="2"/>
        <w:ind w:left="1527"/>
        <w:rPr>
          <w:i/>
          <w:sz w:val="16"/>
        </w:rPr>
      </w:pPr>
      <w:r>
        <w:rPr>
          <w:color w:val="231F20"/>
          <w:w w:val="105"/>
          <w:sz w:val="16"/>
        </w:rPr>
        <w:t>300</w:t>
      </w:r>
      <w:r>
        <w:rPr>
          <w:i/>
          <w:color w:val="231F20"/>
          <w:w w:val="105"/>
          <w:sz w:val="16"/>
        </w:rPr>
        <w:t xml:space="preserve">, </w:t>
      </w:r>
      <w:r>
        <w:rPr>
          <w:color w:val="231F20"/>
          <w:w w:val="105"/>
          <w:sz w:val="16"/>
        </w:rPr>
        <w:t>346–347</w:t>
      </w:r>
      <w:r>
        <w:rPr>
          <w:i/>
          <w:color w:val="231F20"/>
          <w:w w:val="105"/>
          <w:sz w:val="16"/>
        </w:rPr>
        <w:t xml:space="preserve">, </w:t>
      </w:r>
      <w:r>
        <w:rPr>
          <w:color w:val="231F20"/>
          <w:w w:val="105"/>
          <w:sz w:val="16"/>
        </w:rPr>
        <w:t>419</w:t>
      </w:r>
      <w:r>
        <w:rPr>
          <w:i/>
          <w:color w:val="231F20"/>
          <w:w w:val="105"/>
          <w:sz w:val="16"/>
        </w:rPr>
        <w:t xml:space="preserve">, </w:t>
      </w:r>
      <w:r>
        <w:rPr>
          <w:color w:val="231F20"/>
          <w:w w:val="105"/>
          <w:sz w:val="16"/>
        </w:rPr>
        <w:t>422</w:t>
      </w:r>
      <w:r>
        <w:rPr>
          <w:i/>
          <w:color w:val="231F20"/>
          <w:w w:val="105"/>
          <w:sz w:val="16"/>
        </w:rPr>
        <w:t xml:space="preserve">, </w:t>
      </w:r>
      <w:r>
        <w:rPr>
          <w:color w:val="231F20"/>
          <w:w w:val="105"/>
          <w:sz w:val="16"/>
        </w:rPr>
        <w:t>597</w:t>
      </w:r>
      <w:r>
        <w:rPr>
          <w:i/>
          <w:color w:val="231F20"/>
          <w:w w:val="105"/>
          <w:sz w:val="16"/>
        </w:rPr>
        <w:t xml:space="preserve">, </w:t>
      </w:r>
      <w:r>
        <w:rPr>
          <w:color w:val="231F20"/>
          <w:w w:val="105"/>
          <w:sz w:val="16"/>
        </w:rPr>
        <w:t>598</w:t>
      </w:r>
      <w:r>
        <w:rPr>
          <w:i/>
          <w:color w:val="231F20"/>
          <w:w w:val="105"/>
          <w:sz w:val="16"/>
        </w:rPr>
        <w:t>,</w:t>
      </w:r>
    </w:p>
    <w:p w14:paraId="27B7A844" w14:textId="77777777" w:rsidR="002653E8" w:rsidRDefault="003115E3">
      <w:pPr>
        <w:spacing w:before="32"/>
        <w:ind w:left="1527"/>
        <w:rPr>
          <w:sz w:val="16"/>
        </w:rPr>
      </w:pPr>
      <w:r>
        <w:rPr>
          <w:color w:val="231F20"/>
          <w:sz w:val="16"/>
        </w:rPr>
        <w:t>604</w:t>
      </w:r>
      <w:r>
        <w:rPr>
          <w:i/>
          <w:color w:val="231F20"/>
          <w:sz w:val="16"/>
        </w:rPr>
        <w:t xml:space="preserve">. See also </w:t>
      </w:r>
      <w:r>
        <w:rPr>
          <w:color w:val="231F20"/>
          <w:sz w:val="16"/>
        </w:rPr>
        <w:t>Stammheim trial (1976-</w:t>
      </w:r>
    </w:p>
    <w:p w14:paraId="4BBF019C" w14:textId="77777777" w:rsidR="002653E8" w:rsidRPr="00846956" w:rsidRDefault="003115E3">
      <w:pPr>
        <w:spacing w:before="32"/>
        <w:ind w:left="1527"/>
        <w:rPr>
          <w:sz w:val="16"/>
          <w:lang w:val="de-DE"/>
        </w:rPr>
      </w:pPr>
      <w:r w:rsidRPr="00846956">
        <w:rPr>
          <w:color w:val="231F20"/>
          <w:w w:val="105"/>
          <w:sz w:val="16"/>
          <w:lang w:val="de-DE"/>
        </w:rPr>
        <w:t>77); underground 50</w:t>
      </w:r>
      <w:r w:rsidRPr="00846956">
        <w:rPr>
          <w:i/>
          <w:color w:val="231F20"/>
          <w:w w:val="105"/>
          <w:sz w:val="16"/>
          <w:lang w:val="de-DE"/>
        </w:rPr>
        <w:t xml:space="preserve">, </w:t>
      </w:r>
      <w:r w:rsidRPr="00846956">
        <w:rPr>
          <w:color w:val="231F20"/>
          <w:w w:val="105"/>
          <w:sz w:val="16"/>
          <w:lang w:val="de-DE"/>
        </w:rPr>
        <w:t>50–51</w:t>
      </w:r>
      <w:r w:rsidRPr="00846956">
        <w:rPr>
          <w:i/>
          <w:color w:val="231F20"/>
          <w:w w:val="105"/>
          <w:sz w:val="16"/>
          <w:lang w:val="de-DE"/>
        </w:rPr>
        <w:t xml:space="preserve">, </w:t>
      </w:r>
      <w:r w:rsidRPr="00846956">
        <w:rPr>
          <w:color w:val="231F20"/>
          <w:w w:val="105"/>
          <w:sz w:val="16"/>
          <w:lang w:val="de-DE"/>
        </w:rPr>
        <w:t>53</w:t>
      </w:r>
      <w:r w:rsidRPr="00846956">
        <w:rPr>
          <w:i/>
          <w:color w:val="231F20"/>
          <w:w w:val="105"/>
          <w:sz w:val="16"/>
          <w:lang w:val="de-DE"/>
        </w:rPr>
        <w:t xml:space="preserve">, </w:t>
      </w:r>
      <w:r w:rsidRPr="00846956">
        <w:rPr>
          <w:color w:val="231F20"/>
          <w:w w:val="105"/>
          <w:sz w:val="16"/>
          <w:lang w:val="de-DE"/>
        </w:rPr>
        <w:t>113;</w:t>
      </w:r>
    </w:p>
    <w:p w14:paraId="79AD8D64" w14:textId="77777777" w:rsidR="002653E8" w:rsidRPr="00846956" w:rsidRDefault="003115E3">
      <w:pPr>
        <w:spacing w:before="33"/>
        <w:ind w:left="1527"/>
        <w:rPr>
          <w:sz w:val="16"/>
          <w:lang w:val="de-DE"/>
        </w:rPr>
      </w:pPr>
      <w:r w:rsidRPr="00846956">
        <w:rPr>
          <w:color w:val="231F20"/>
          <w:sz w:val="16"/>
          <w:lang w:val="de-DE"/>
        </w:rPr>
        <w:t>water deprivation 250</w:t>
      </w:r>
      <w:r w:rsidRPr="00846956">
        <w:rPr>
          <w:i/>
          <w:color w:val="231F20"/>
          <w:sz w:val="16"/>
          <w:lang w:val="de-DE"/>
        </w:rPr>
        <w:t xml:space="preserve">, </w:t>
      </w:r>
      <w:r w:rsidRPr="00846956">
        <w:rPr>
          <w:color w:val="231F20"/>
          <w:sz w:val="16"/>
          <w:lang w:val="de-DE"/>
        </w:rPr>
        <w:t>370</w:t>
      </w:r>
      <w:r w:rsidRPr="00846956">
        <w:rPr>
          <w:i/>
          <w:color w:val="231F20"/>
          <w:sz w:val="16"/>
          <w:lang w:val="de-DE"/>
        </w:rPr>
        <w:t xml:space="preserve">, </w:t>
      </w:r>
      <w:r w:rsidRPr="00846956">
        <w:rPr>
          <w:color w:val="231F20"/>
          <w:sz w:val="16"/>
          <w:lang w:val="de-DE"/>
        </w:rPr>
        <w:t>387</w:t>
      </w:r>
    </w:p>
    <w:p w14:paraId="12163FB9" w14:textId="77777777" w:rsidR="002653E8" w:rsidRPr="00846956" w:rsidRDefault="003115E3">
      <w:pPr>
        <w:spacing w:before="32" w:line="280" w:lineRule="auto"/>
        <w:ind w:left="1527" w:right="234" w:hanging="200"/>
        <w:rPr>
          <w:sz w:val="16"/>
          <w:lang w:val="de-DE"/>
        </w:rPr>
      </w:pPr>
      <w:r w:rsidRPr="00846956">
        <w:rPr>
          <w:i/>
          <w:color w:val="231F20"/>
          <w:w w:val="105"/>
          <w:sz w:val="16"/>
          <w:lang w:val="de-DE"/>
        </w:rPr>
        <w:t xml:space="preserve">Der Baader-Meinhof Komplexe </w:t>
      </w:r>
      <w:r w:rsidRPr="00846956">
        <w:rPr>
          <w:color w:val="231F20"/>
          <w:w w:val="105"/>
          <w:sz w:val="16"/>
          <w:lang w:val="de-DE"/>
        </w:rPr>
        <w:t>(book) 557</w:t>
      </w:r>
      <w:r w:rsidRPr="00846956">
        <w:rPr>
          <w:i/>
          <w:color w:val="231F20"/>
          <w:w w:val="105"/>
          <w:sz w:val="16"/>
          <w:lang w:val="de-DE"/>
        </w:rPr>
        <w:t xml:space="preserve">, </w:t>
      </w:r>
      <w:r w:rsidRPr="00846956">
        <w:rPr>
          <w:color w:val="231F20"/>
          <w:w w:val="105"/>
          <w:sz w:val="16"/>
          <w:lang w:val="de-DE"/>
        </w:rPr>
        <w:t>618</w:t>
      </w:r>
    </w:p>
    <w:p w14:paraId="7A976290" w14:textId="77777777" w:rsidR="002653E8" w:rsidRPr="00846956" w:rsidRDefault="003115E3">
      <w:pPr>
        <w:spacing w:before="1" w:line="280" w:lineRule="auto"/>
        <w:ind w:left="1327"/>
        <w:rPr>
          <w:sz w:val="16"/>
          <w:lang w:val="de-DE"/>
        </w:rPr>
      </w:pPr>
      <w:r w:rsidRPr="00846956">
        <w:rPr>
          <w:i/>
          <w:color w:val="231F20"/>
          <w:w w:val="105"/>
          <w:sz w:val="16"/>
          <w:lang w:val="de-DE"/>
        </w:rPr>
        <w:t xml:space="preserve">Der Baader-Meinhof Komplex </w:t>
      </w:r>
      <w:r w:rsidRPr="00846956">
        <w:rPr>
          <w:color w:val="231F20"/>
          <w:w w:val="105"/>
          <w:sz w:val="16"/>
          <w:lang w:val="de-DE"/>
        </w:rPr>
        <w:t>(film) 628 Bachmann, Josef 36</w:t>
      </w:r>
      <w:r w:rsidRPr="00846956">
        <w:rPr>
          <w:i/>
          <w:color w:val="231F20"/>
          <w:w w:val="105"/>
          <w:sz w:val="16"/>
          <w:lang w:val="de-DE"/>
        </w:rPr>
        <w:t xml:space="preserve">, </w:t>
      </w:r>
      <w:r w:rsidRPr="00846956">
        <w:rPr>
          <w:color w:val="231F20"/>
          <w:w w:val="105"/>
          <w:sz w:val="16"/>
          <w:lang w:val="de-DE"/>
        </w:rPr>
        <w:t>582</w:t>
      </w:r>
    </w:p>
    <w:p w14:paraId="1CAD1DA9" w14:textId="77777777" w:rsidR="002653E8" w:rsidRDefault="003115E3">
      <w:pPr>
        <w:spacing w:before="1" w:line="280" w:lineRule="auto"/>
        <w:ind w:left="1527" w:hanging="200"/>
        <w:rPr>
          <w:i/>
          <w:sz w:val="16"/>
        </w:rPr>
      </w:pPr>
      <w:r w:rsidRPr="00846956">
        <w:rPr>
          <w:color w:val="231F20"/>
          <w:w w:val="105"/>
          <w:sz w:val="16"/>
          <w:lang w:val="de-DE"/>
        </w:rPr>
        <w:t>Bäcker, Hans-Jürgen 58</w:t>
      </w:r>
      <w:r w:rsidRPr="00846956">
        <w:rPr>
          <w:i/>
          <w:color w:val="231F20"/>
          <w:w w:val="105"/>
          <w:sz w:val="16"/>
          <w:lang w:val="de-DE"/>
        </w:rPr>
        <w:t xml:space="preserve">, </w:t>
      </w:r>
      <w:r w:rsidRPr="00846956">
        <w:rPr>
          <w:color w:val="231F20"/>
          <w:w w:val="105"/>
          <w:sz w:val="16"/>
          <w:lang w:val="de-DE"/>
        </w:rPr>
        <w:t>564</w:t>
      </w:r>
      <w:r w:rsidRPr="00846956">
        <w:rPr>
          <w:i/>
          <w:color w:val="231F20"/>
          <w:w w:val="105"/>
          <w:sz w:val="16"/>
          <w:lang w:val="de-DE"/>
        </w:rPr>
        <w:t xml:space="preserve">, </w:t>
      </w:r>
      <w:r w:rsidRPr="00846956">
        <w:rPr>
          <w:color w:val="231F20"/>
          <w:w w:val="105"/>
          <w:sz w:val="16"/>
          <w:lang w:val="de-DE"/>
        </w:rPr>
        <w:t>586</w:t>
      </w:r>
      <w:r w:rsidRPr="00846956">
        <w:rPr>
          <w:i/>
          <w:color w:val="231F20"/>
          <w:w w:val="105"/>
          <w:sz w:val="16"/>
          <w:lang w:val="de-DE"/>
        </w:rPr>
        <w:t xml:space="preserve">. </w:t>
      </w:r>
      <w:r>
        <w:rPr>
          <w:i/>
          <w:color w:val="231F20"/>
          <w:w w:val="105"/>
          <w:sz w:val="16"/>
        </w:rPr>
        <w:t xml:space="preserve">See also </w:t>
      </w:r>
      <w:r w:rsidR="00C507A5">
        <w:rPr>
          <w:color w:val="231F20"/>
          <w:w w:val="105"/>
          <w:sz w:val="16"/>
        </w:rPr>
        <w:t>red army faction</w:t>
      </w:r>
      <w:r>
        <w:rPr>
          <w:color w:val="231F20"/>
          <w:w w:val="105"/>
          <w:sz w:val="16"/>
        </w:rPr>
        <w:t xml:space="preserve"> trials: Bäcker-Mahler-Meinhof (1974); assumed informant 60</w:t>
      </w:r>
      <w:r>
        <w:rPr>
          <w:i/>
          <w:color w:val="231F20"/>
          <w:w w:val="105"/>
          <w:sz w:val="16"/>
        </w:rPr>
        <w:t>,</w:t>
      </w:r>
    </w:p>
    <w:p w14:paraId="38578CE0" w14:textId="77777777" w:rsidR="002653E8" w:rsidRDefault="003115E3">
      <w:pPr>
        <w:spacing w:before="2"/>
        <w:ind w:left="1527"/>
        <w:rPr>
          <w:sz w:val="16"/>
        </w:rPr>
      </w:pPr>
      <w:r>
        <w:rPr>
          <w:color w:val="231F20"/>
          <w:sz w:val="16"/>
        </w:rPr>
        <w:t>161</w:t>
      </w:r>
      <w:r>
        <w:rPr>
          <w:i/>
          <w:color w:val="231F20"/>
          <w:sz w:val="16"/>
        </w:rPr>
        <w:t xml:space="preserve">, </w:t>
      </w:r>
      <w:r>
        <w:rPr>
          <w:color w:val="231F20"/>
          <w:sz w:val="16"/>
        </w:rPr>
        <w:t>585; trial (1974) 255</w:t>
      </w:r>
      <w:r>
        <w:rPr>
          <w:i/>
          <w:color w:val="231F20"/>
          <w:sz w:val="16"/>
        </w:rPr>
        <w:t xml:space="preserve">, </w:t>
      </w:r>
      <w:r>
        <w:rPr>
          <w:color w:val="231F20"/>
          <w:sz w:val="16"/>
        </w:rPr>
        <w:t>594</w:t>
      </w:r>
      <w:r>
        <w:rPr>
          <w:i/>
          <w:color w:val="231F20"/>
          <w:sz w:val="16"/>
        </w:rPr>
        <w:t xml:space="preserve">, </w:t>
      </w:r>
      <w:r>
        <w:rPr>
          <w:color w:val="231F20"/>
          <w:sz w:val="16"/>
        </w:rPr>
        <w:t>595</w:t>
      </w:r>
    </w:p>
    <w:p w14:paraId="11C434DC" w14:textId="77777777" w:rsidR="002653E8" w:rsidRDefault="003115E3">
      <w:pPr>
        <w:spacing w:before="32"/>
        <w:ind w:left="1327"/>
        <w:rPr>
          <w:sz w:val="16"/>
        </w:rPr>
      </w:pPr>
      <w:r>
        <w:rPr>
          <w:color w:val="231F20"/>
          <w:sz w:val="16"/>
        </w:rPr>
        <w:t>Backlund, Sven 339</w:t>
      </w:r>
    </w:p>
    <w:p w14:paraId="2F2C9A57" w14:textId="77777777" w:rsidR="002653E8" w:rsidRDefault="003115E3">
      <w:pPr>
        <w:spacing w:before="33" w:line="280" w:lineRule="auto"/>
        <w:ind w:left="1527" w:hanging="200"/>
        <w:rPr>
          <w:sz w:val="16"/>
        </w:rPr>
      </w:pPr>
      <w:r>
        <w:rPr>
          <w:color w:val="231F20"/>
          <w:sz w:val="16"/>
        </w:rPr>
        <w:t>Baden-Baden Chamber of Commerce and Industry 477</w:t>
      </w:r>
    </w:p>
    <w:p w14:paraId="5D29BAD8" w14:textId="77777777" w:rsidR="002653E8" w:rsidRPr="00846956" w:rsidRDefault="003115E3">
      <w:pPr>
        <w:spacing w:before="1" w:line="280" w:lineRule="auto"/>
        <w:ind w:left="1327" w:right="910"/>
        <w:jc w:val="both"/>
        <w:rPr>
          <w:sz w:val="16"/>
          <w:lang w:val="de-DE"/>
        </w:rPr>
      </w:pPr>
      <w:r w:rsidRPr="00846956">
        <w:rPr>
          <w:color w:val="231F20"/>
          <w:sz w:val="16"/>
          <w:lang w:val="de-DE"/>
        </w:rPr>
        <w:t>Bahr-Jentges, Jutta 512</w:t>
      </w:r>
      <w:r w:rsidRPr="00846956">
        <w:rPr>
          <w:i/>
          <w:color w:val="231F20"/>
          <w:sz w:val="16"/>
          <w:lang w:val="de-DE"/>
        </w:rPr>
        <w:t xml:space="preserve">, </w:t>
      </w:r>
      <w:r w:rsidRPr="00846956">
        <w:rPr>
          <w:color w:val="231F20"/>
          <w:sz w:val="16"/>
          <w:lang w:val="de-DE"/>
        </w:rPr>
        <w:t>519 Bakker Schut, Pieter xx</w:t>
      </w:r>
      <w:r w:rsidRPr="00846956">
        <w:rPr>
          <w:i/>
          <w:color w:val="231F20"/>
          <w:sz w:val="16"/>
          <w:lang w:val="de-DE"/>
        </w:rPr>
        <w:t xml:space="preserve">, </w:t>
      </w:r>
      <w:r w:rsidRPr="00846956">
        <w:rPr>
          <w:color w:val="231F20"/>
          <w:sz w:val="16"/>
          <w:lang w:val="de-DE"/>
        </w:rPr>
        <w:t xml:space="preserve">473 </w:t>
      </w:r>
      <w:r w:rsidRPr="00846956">
        <w:rPr>
          <w:color w:val="231F20"/>
          <w:sz w:val="16"/>
          <w:lang w:val="de-DE"/>
        </w:rPr>
        <w:t>Bakunin, Mikhail 227</w:t>
      </w:r>
    </w:p>
    <w:p w14:paraId="24F1D600" w14:textId="77777777" w:rsidR="002653E8" w:rsidRDefault="003115E3">
      <w:pPr>
        <w:spacing w:before="86"/>
        <w:ind w:left="263"/>
        <w:rPr>
          <w:sz w:val="16"/>
        </w:rPr>
      </w:pPr>
      <w:r w:rsidRPr="006918DA">
        <w:br w:type="column"/>
      </w:r>
      <w:r>
        <w:rPr>
          <w:color w:val="231F20"/>
          <w:sz w:val="16"/>
        </w:rPr>
        <w:lastRenderedPageBreak/>
        <w:t>Barabas, Ingrid 613</w:t>
      </w:r>
    </w:p>
    <w:p w14:paraId="6CAB7632" w14:textId="77777777" w:rsidR="002653E8" w:rsidRDefault="003115E3">
      <w:pPr>
        <w:spacing w:before="33" w:line="280" w:lineRule="auto"/>
        <w:ind w:left="463" w:right="1191" w:hanging="200"/>
        <w:rPr>
          <w:sz w:val="16"/>
        </w:rPr>
      </w:pPr>
      <w:r>
        <w:rPr>
          <w:color w:val="231F20"/>
          <w:sz w:val="16"/>
        </w:rPr>
        <w:t xml:space="preserve">Bar Association Disciplinary Committees </w:t>
      </w:r>
      <w:r>
        <w:rPr>
          <w:color w:val="231F20"/>
          <w:w w:val="105"/>
          <w:sz w:val="16"/>
        </w:rPr>
        <w:t>40</w:t>
      </w:r>
      <w:r>
        <w:rPr>
          <w:i/>
          <w:color w:val="231F20"/>
          <w:w w:val="105"/>
          <w:sz w:val="16"/>
        </w:rPr>
        <w:t xml:space="preserve">, </w:t>
      </w:r>
      <w:r>
        <w:rPr>
          <w:color w:val="231F20"/>
          <w:w w:val="105"/>
          <w:sz w:val="16"/>
        </w:rPr>
        <w:t>312</w:t>
      </w:r>
      <w:r>
        <w:rPr>
          <w:i/>
          <w:color w:val="231F20"/>
          <w:w w:val="105"/>
          <w:sz w:val="16"/>
        </w:rPr>
        <w:t xml:space="preserve">, </w:t>
      </w:r>
      <w:r>
        <w:rPr>
          <w:color w:val="231F20"/>
          <w:w w:val="105"/>
          <w:sz w:val="16"/>
        </w:rPr>
        <w:t>418</w:t>
      </w:r>
      <w:r>
        <w:rPr>
          <w:i/>
          <w:color w:val="231F20"/>
          <w:w w:val="105"/>
          <w:sz w:val="16"/>
        </w:rPr>
        <w:t xml:space="preserve">, </w:t>
      </w:r>
      <w:r>
        <w:rPr>
          <w:color w:val="231F20"/>
          <w:w w:val="105"/>
          <w:sz w:val="16"/>
        </w:rPr>
        <w:t>419</w:t>
      </w:r>
      <w:r>
        <w:rPr>
          <w:i/>
          <w:color w:val="231F20"/>
          <w:w w:val="105"/>
          <w:sz w:val="16"/>
        </w:rPr>
        <w:t xml:space="preserve">, </w:t>
      </w:r>
      <w:r>
        <w:rPr>
          <w:color w:val="231F20"/>
          <w:w w:val="105"/>
          <w:sz w:val="16"/>
        </w:rPr>
        <w:t>420</w:t>
      </w:r>
      <w:r>
        <w:rPr>
          <w:i/>
          <w:color w:val="231F20"/>
          <w:w w:val="105"/>
          <w:sz w:val="16"/>
        </w:rPr>
        <w:t xml:space="preserve">, </w:t>
      </w:r>
      <w:r>
        <w:rPr>
          <w:color w:val="231F20"/>
          <w:w w:val="105"/>
          <w:sz w:val="16"/>
        </w:rPr>
        <w:t>421</w:t>
      </w:r>
    </w:p>
    <w:p w14:paraId="08E23ED9" w14:textId="77777777" w:rsidR="002653E8" w:rsidRDefault="003115E3">
      <w:pPr>
        <w:spacing w:before="1"/>
        <w:ind w:left="263"/>
        <w:rPr>
          <w:sz w:val="16"/>
        </w:rPr>
      </w:pPr>
      <w:r>
        <w:rPr>
          <w:color w:val="231F20"/>
          <w:sz w:val="16"/>
        </w:rPr>
        <w:t>Bartsch, Jürgen 71</w:t>
      </w:r>
    </w:p>
    <w:p w14:paraId="6A91C6D9" w14:textId="77777777" w:rsidR="002653E8" w:rsidRDefault="003115E3">
      <w:pPr>
        <w:spacing w:before="32" w:line="280" w:lineRule="auto"/>
        <w:ind w:left="463" w:right="1191" w:hanging="200"/>
        <w:rPr>
          <w:sz w:val="16"/>
        </w:rPr>
      </w:pPr>
      <w:r>
        <w:rPr>
          <w:color w:val="231F20"/>
          <w:sz w:val="16"/>
        </w:rPr>
        <w:t xml:space="preserve">Barzel, Rainer 88; mentioned by </w:t>
      </w:r>
      <w:r w:rsidR="00C507A5">
        <w:rPr>
          <w:color w:val="231F20"/>
          <w:sz w:val="16"/>
        </w:rPr>
        <w:t>red army faction</w:t>
      </w:r>
      <w:r>
        <w:rPr>
          <w:color w:val="231F20"/>
          <w:sz w:val="16"/>
        </w:rPr>
        <w:t xml:space="preserve"> 88</w:t>
      </w:r>
      <w:r>
        <w:rPr>
          <w:i/>
          <w:color w:val="231F20"/>
          <w:sz w:val="16"/>
        </w:rPr>
        <w:t xml:space="preserve">, </w:t>
      </w:r>
      <w:r>
        <w:rPr>
          <w:color w:val="231F20"/>
          <w:sz w:val="16"/>
        </w:rPr>
        <w:t>101</w:t>
      </w:r>
      <w:r>
        <w:rPr>
          <w:i/>
          <w:color w:val="231F20"/>
          <w:sz w:val="16"/>
        </w:rPr>
        <w:t xml:space="preserve">, </w:t>
      </w:r>
      <w:r>
        <w:rPr>
          <w:color w:val="231F20"/>
          <w:sz w:val="16"/>
        </w:rPr>
        <w:t>104</w:t>
      </w:r>
    </w:p>
    <w:p w14:paraId="75865FA0" w14:textId="77777777" w:rsidR="002653E8" w:rsidRDefault="003115E3">
      <w:pPr>
        <w:spacing w:before="1"/>
        <w:ind w:left="263"/>
        <w:rPr>
          <w:sz w:val="16"/>
        </w:rPr>
      </w:pPr>
      <w:r>
        <w:rPr>
          <w:color w:val="231F20"/>
          <w:sz w:val="16"/>
        </w:rPr>
        <w:t>Barz, Ingeborg 564</w:t>
      </w:r>
      <w:r>
        <w:rPr>
          <w:i/>
          <w:color w:val="231F20"/>
          <w:sz w:val="16"/>
        </w:rPr>
        <w:t xml:space="preserve">, </w:t>
      </w:r>
      <w:r>
        <w:rPr>
          <w:color w:val="231F20"/>
          <w:sz w:val="16"/>
        </w:rPr>
        <w:t>588; allegations of</w:t>
      </w:r>
    </w:p>
    <w:p w14:paraId="3F0F7370" w14:textId="77777777" w:rsidR="002653E8" w:rsidRDefault="003115E3">
      <w:pPr>
        <w:spacing w:before="33"/>
        <w:ind w:left="463"/>
        <w:rPr>
          <w:sz w:val="16"/>
        </w:rPr>
      </w:pPr>
      <w:r>
        <w:rPr>
          <w:color w:val="231F20"/>
          <w:sz w:val="16"/>
        </w:rPr>
        <w:t>murder 160</w:t>
      </w:r>
      <w:r>
        <w:rPr>
          <w:i/>
          <w:color w:val="231F20"/>
          <w:sz w:val="16"/>
        </w:rPr>
        <w:t xml:space="preserve">, </w:t>
      </w:r>
      <w:r>
        <w:rPr>
          <w:color w:val="231F20"/>
          <w:sz w:val="16"/>
        </w:rPr>
        <w:t>352</w:t>
      </w:r>
    </w:p>
    <w:p w14:paraId="4ECC6255" w14:textId="77777777" w:rsidR="002653E8" w:rsidRDefault="003115E3">
      <w:pPr>
        <w:spacing w:before="32"/>
        <w:ind w:left="263"/>
        <w:rPr>
          <w:i/>
          <w:sz w:val="16"/>
        </w:rPr>
      </w:pPr>
      <w:r>
        <w:rPr>
          <w:color w:val="231F20"/>
          <w:w w:val="110"/>
          <w:sz w:val="16"/>
        </w:rPr>
        <w:t>Basic Law 14</w:t>
      </w:r>
      <w:r>
        <w:rPr>
          <w:i/>
          <w:color w:val="231F20"/>
          <w:w w:val="110"/>
          <w:sz w:val="16"/>
        </w:rPr>
        <w:t xml:space="preserve">, </w:t>
      </w:r>
      <w:r>
        <w:rPr>
          <w:color w:val="231F20"/>
          <w:w w:val="110"/>
          <w:sz w:val="16"/>
        </w:rPr>
        <w:t>15</w:t>
      </w:r>
      <w:r>
        <w:rPr>
          <w:i/>
          <w:color w:val="231F20"/>
          <w:w w:val="110"/>
          <w:sz w:val="16"/>
        </w:rPr>
        <w:t xml:space="preserve">, </w:t>
      </w:r>
      <w:r>
        <w:rPr>
          <w:color w:val="231F20"/>
          <w:w w:val="110"/>
          <w:sz w:val="16"/>
        </w:rPr>
        <w:t>38</w:t>
      </w:r>
      <w:r>
        <w:rPr>
          <w:i/>
          <w:color w:val="231F20"/>
          <w:w w:val="110"/>
          <w:sz w:val="16"/>
        </w:rPr>
        <w:t xml:space="preserve">, </w:t>
      </w:r>
      <w:r>
        <w:rPr>
          <w:color w:val="231F20"/>
          <w:w w:val="110"/>
          <w:sz w:val="16"/>
        </w:rPr>
        <w:t>140</w:t>
      </w:r>
      <w:r>
        <w:rPr>
          <w:i/>
          <w:color w:val="231F20"/>
          <w:w w:val="110"/>
          <w:sz w:val="16"/>
        </w:rPr>
        <w:t xml:space="preserve">, </w:t>
      </w:r>
      <w:r>
        <w:rPr>
          <w:color w:val="231F20"/>
          <w:w w:val="110"/>
          <w:sz w:val="16"/>
        </w:rPr>
        <w:t>345</w:t>
      </w:r>
      <w:r>
        <w:rPr>
          <w:i/>
          <w:color w:val="231F20"/>
          <w:w w:val="110"/>
          <w:sz w:val="16"/>
        </w:rPr>
        <w:t xml:space="preserve">, </w:t>
      </w:r>
      <w:r>
        <w:rPr>
          <w:color w:val="231F20"/>
          <w:w w:val="110"/>
          <w:sz w:val="16"/>
        </w:rPr>
        <w:t>372</w:t>
      </w:r>
      <w:r>
        <w:rPr>
          <w:i/>
          <w:color w:val="231F20"/>
          <w:w w:val="110"/>
          <w:sz w:val="16"/>
        </w:rPr>
        <w:t xml:space="preserve">, </w:t>
      </w:r>
      <w:r>
        <w:rPr>
          <w:color w:val="231F20"/>
          <w:w w:val="110"/>
          <w:sz w:val="16"/>
        </w:rPr>
        <w:t>374</w:t>
      </w:r>
      <w:r>
        <w:rPr>
          <w:i/>
          <w:color w:val="231F20"/>
          <w:w w:val="110"/>
          <w:sz w:val="16"/>
        </w:rPr>
        <w:t>,</w:t>
      </w:r>
    </w:p>
    <w:p w14:paraId="11E53E22" w14:textId="77777777" w:rsidR="002653E8" w:rsidRPr="00846956" w:rsidRDefault="003115E3">
      <w:pPr>
        <w:spacing w:before="32"/>
        <w:ind w:left="463"/>
        <w:rPr>
          <w:sz w:val="16"/>
          <w:lang w:val="de-DE"/>
        </w:rPr>
      </w:pPr>
      <w:r w:rsidRPr="00846956">
        <w:rPr>
          <w:color w:val="231F20"/>
          <w:sz w:val="16"/>
          <w:lang w:val="de-DE"/>
        </w:rPr>
        <w:t>601</w:t>
      </w:r>
    </w:p>
    <w:p w14:paraId="228D5D5E" w14:textId="77777777" w:rsidR="002653E8" w:rsidRPr="00846956" w:rsidRDefault="003115E3">
      <w:pPr>
        <w:spacing w:before="33"/>
        <w:ind w:left="263"/>
        <w:rPr>
          <w:sz w:val="16"/>
          <w:lang w:val="de-DE"/>
        </w:rPr>
      </w:pPr>
      <w:r w:rsidRPr="00846956">
        <w:rPr>
          <w:color w:val="231F20"/>
          <w:w w:val="105"/>
          <w:sz w:val="16"/>
          <w:lang w:val="de-DE"/>
        </w:rPr>
        <w:t>Bauer, Karin 26</w:t>
      </w:r>
    </w:p>
    <w:p w14:paraId="2443AFC6" w14:textId="77777777" w:rsidR="002653E8" w:rsidRPr="00846956" w:rsidRDefault="003115E3">
      <w:pPr>
        <w:spacing w:before="32"/>
        <w:ind w:left="263"/>
        <w:rPr>
          <w:sz w:val="16"/>
          <w:lang w:val="de-DE"/>
        </w:rPr>
      </w:pPr>
      <w:r w:rsidRPr="00846956">
        <w:rPr>
          <w:color w:val="231F20"/>
          <w:w w:val="105"/>
          <w:sz w:val="16"/>
          <w:lang w:val="de-DE"/>
        </w:rPr>
        <w:t>Baumann, Michael “Bommi” 564</w:t>
      </w:r>
      <w:r w:rsidRPr="00846956">
        <w:rPr>
          <w:i/>
          <w:color w:val="231F20"/>
          <w:w w:val="105"/>
          <w:sz w:val="16"/>
          <w:lang w:val="de-DE"/>
        </w:rPr>
        <w:t xml:space="preserve">, </w:t>
      </w:r>
      <w:r w:rsidRPr="00846956">
        <w:rPr>
          <w:color w:val="231F20"/>
          <w:w w:val="105"/>
          <w:sz w:val="16"/>
          <w:lang w:val="de-DE"/>
        </w:rPr>
        <w:t>588;</w:t>
      </w:r>
    </w:p>
    <w:p w14:paraId="53BB037D" w14:textId="77777777" w:rsidR="002653E8" w:rsidRDefault="003115E3">
      <w:pPr>
        <w:spacing w:before="33"/>
        <w:ind w:left="463"/>
        <w:rPr>
          <w:sz w:val="16"/>
        </w:rPr>
      </w:pPr>
      <w:r>
        <w:rPr>
          <w:color w:val="231F20"/>
          <w:w w:val="105"/>
          <w:sz w:val="16"/>
        </w:rPr>
        <w:t>the Blues 45</w:t>
      </w:r>
      <w:r>
        <w:rPr>
          <w:i/>
          <w:color w:val="231F20"/>
          <w:w w:val="105"/>
          <w:sz w:val="16"/>
        </w:rPr>
        <w:t xml:space="preserve">, </w:t>
      </w:r>
      <w:r>
        <w:rPr>
          <w:color w:val="231F20"/>
          <w:w w:val="105"/>
          <w:sz w:val="16"/>
        </w:rPr>
        <w:t>46</w:t>
      </w:r>
      <w:r>
        <w:rPr>
          <w:i/>
          <w:color w:val="231F20"/>
          <w:w w:val="105"/>
          <w:sz w:val="16"/>
        </w:rPr>
        <w:t xml:space="preserve">, </w:t>
      </w:r>
      <w:r>
        <w:rPr>
          <w:color w:val="231F20"/>
          <w:w w:val="105"/>
          <w:sz w:val="16"/>
        </w:rPr>
        <w:t>51</w:t>
      </w:r>
      <w:r>
        <w:rPr>
          <w:i/>
          <w:color w:val="231F20"/>
          <w:w w:val="105"/>
          <w:sz w:val="16"/>
        </w:rPr>
        <w:t xml:space="preserve">, </w:t>
      </w:r>
      <w:r>
        <w:rPr>
          <w:color w:val="231F20"/>
          <w:w w:val="105"/>
          <w:sz w:val="16"/>
        </w:rPr>
        <w:t>57</w:t>
      </w:r>
      <w:r>
        <w:rPr>
          <w:i/>
          <w:color w:val="231F20"/>
          <w:w w:val="105"/>
          <w:sz w:val="16"/>
        </w:rPr>
        <w:t xml:space="preserve">, </w:t>
      </w:r>
      <w:r>
        <w:rPr>
          <w:color w:val="231F20"/>
          <w:w w:val="105"/>
          <w:sz w:val="16"/>
        </w:rPr>
        <w:t>581</w:t>
      </w:r>
      <w:r>
        <w:rPr>
          <w:i/>
          <w:color w:val="231F20"/>
          <w:w w:val="105"/>
          <w:sz w:val="16"/>
        </w:rPr>
        <w:t xml:space="preserve">, </w:t>
      </w:r>
      <w:r>
        <w:rPr>
          <w:color w:val="231F20"/>
          <w:w w:val="105"/>
          <w:sz w:val="16"/>
        </w:rPr>
        <w:t>587;</w:t>
      </w:r>
    </w:p>
    <w:p w14:paraId="4881B3F7" w14:textId="77777777" w:rsidR="002653E8" w:rsidRDefault="003115E3">
      <w:pPr>
        <w:spacing w:before="32"/>
        <w:ind w:left="462"/>
        <w:rPr>
          <w:sz w:val="16"/>
        </w:rPr>
      </w:pPr>
      <w:r>
        <w:rPr>
          <w:color w:val="231F20"/>
          <w:sz w:val="16"/>
        </w:rPr>
        <w:t>Easter riots (1968) 36</w:t>
      </w:r>
      <w:r>
        <w:rPr>
          <w:i/>
          <w:color w:val="231F20"/>
          <w:sz w:val="16"/>
        </w:rPr>
        <w:t xml:space="preserve">, </w:t>
      </w:r>
      <w:r>
        <w:rPr>
          <w:color w:val="231F20"/>
          <w:sz w:val="16"/>
        </w:rPr>
        <w:t>37; leaving the</w:t>
      </w:r>
    </w:p>
    <w:p w14:paraId="32E1F79A" w14:textId="77777777" w:rsidR="002653E8" w:rsidRDefault="003115E3">
      <w:pPr>
        <w:spacing w:before="33"/>
        <w:ind w:left="462"/>
        <w:rPr>
          <w:sz w:val="16"/>
        </w:rPr>
      </w:pPr>
      <w:r>
        <w:rPr>
          <w:color w:val="231F20"/>
          <w:w w:val="105"/>
          <w:sz w:val="16"/>
        </w:rPr>
        <w:t>guerilla 110–111</w:t>
      </w:r>
      <w:r>
        <w:rPr>
          <w:i/>
          <w:color w:val="231F20"/>
          <w:w w:val="105"/>
          <w:sz w:val="16"/>
        </w:rPr>
        <w:t xml:space="preserve">, </w:t>
      </w:r>
      <w:r>
        <w:rPr>
          <w:color w:val="231F20"/>
          <w:w w:val="105"/>
          <w:sz w:val="16"/>
        </w:rPr>
        <w:t>201; 2nd of June</w:t>
      </w:r>
    </w:p>
    <w:p w14:paraId="21E4A5DD" w14:textId="77777777" w:rsidR="002653E8" w:rsidRDefault="003115E3">
      <w:pPr>
        <w:spacing w:before="32"/>
        <w:ind w:left="462"/>
        <w:rPr>
          <w:sz w:val="16"/>
        </w:rPr>
      </w:pPr>
      <w:r>
        <w:rPr>
          <w:color w:val="231F20"/>
          <w:w w:val="105"/>
          <w:sz w:val="16"/>
        </w:rPr>
        <w:t>Movement 58</w:t>
      </w:r>
      <w:r>
        <w:rPr>
          <w:i/>
          <w:color w:val="231F20"/>
          <w:w w:val="105"/>
          <w:sz w:val="16"/>
        </w:rPr>
        <w:t xml:space="preserve">, </w:t>
      </w:r>
      <w:r>
        <w:rPr>
          <w:color w:val="231F20"/>
          <w:w w:val="105"/>
          <w:sz w:val="16"/>
        </w:rPr>
        <w:t>110</w:t>
      </w:r>
    </w:p>
    <w:p w14:paraId="5BBBDDBC" w14:textId="77777777" w:rsidR="002653E8" w:rsidRDefault="003115E3">
      <w:pPr>
        <w:spacing w:before="32"/>
        <w:ind w:left="262"/>
        <w:rPr>
          <w:sz w:val="16"/>
        </w:rPr>
      </w:pPr>
      <w:r>
        <w:rPr>
          <w:color w:val="231F20"/>
          <w:sz w:val="16"/>
        </w:rPr>
        <w:t>Baum, Gerhart 613</w:t>
      </w:r>
    </w:p>
    <w:p w14:paraId="513655F4" w14:textId="77777777" w:rsidR="002653E8" w:rsidRDefault="003115E3">
      <w:pPr>
        <w:spacing w:before="33" w:line="280" w:lineRule="auto"/>
        <w:ind w:left="462" w:right="1191" w:hanging="200"/>
        <w:rPr>
          <w:i/>
          <w:sz w:val="16"/>
        </w:rPr>
      </w:pPr>
      <w:r>
        <w:rPr>
          <w:color w:val="231F20"/>
          <w:spacing w:val="-6"/>
          <w:sz w:val="16"/>
        </w:rPr>
        <w:t xml:space="preserve">BAW </w:t>
      </w:r>
      <w:r>
        <w:rPr>
          <w:color w:val="231F20"/>
          <w:sz w:val="16"/>
        </w:rPr>
        <w:t>(Bundesanwaltschaft)  213</w:t>
      </w:r>
      <w:r>
        <w:rPr>
          <w:i/>
          <w:color w:val="231F20"/>
          <w:sz w:val="16"/>
        </w:rPr>
        <w:t xml:space="preserve">,  </w:t>
      </w:r>
      <w:r>
        <w:rPr>
          <w:color w:val="231F20"/>
          <w:sz w:val="16"/>
        </w:rPr>
        <w:t>344</w:t>
      </w:r>
      <w:r>
        <w:rPr>
          <w:i/>
          <w:color w:val="231F20"/>
          <w:sz w:val="16"/>
        </w:rPr>
        <w:t xml:space="preserve">, </w:t>
      </w:r>
      <w:r>
        <w:rPr>
          <w:color w:val="231F20"/>
          <w:sz w:val="16"/>
        </w:rPr>
        <w:t>605</w:t>
      </w:r>
      <w:r>
        <w:rPr>
          <w:i/>
          <w:color w:val="231F20"/>
          <w:sz w:val="16"/>
        </w:rPr>
        <w:t xml:space="preserve">. See also </w:t>
      </w:r>
      <w:r w:rsidR="00C507A5">
        <w:rPr>
          <w:color w:val="231F20"/>
          <w:sz w:val="16"/>
        </w:rPr>
        <w:t>red army faction</w:t>
      </w:r>
      <w:r>
        <w:rPr>
          <w:color w:val="231F20"/>
          <w:sz w:val="16"/>
        </w:rPr>
        <w:t xml:space="preserve">  (Red Army  Faction): attack on the </w:t>
      </w:r>
      <w:r>
        <w:rPr>
          <w:color w:val="231F20"/>
          <w:spacing w:val="-6"/>
          <w:sz w:val="16"/>
        </w:rPr>
        <w:t xml:space="preserve">BAW </w:t>
      </w:r>
      <w:r>
        <w:rPr>
          <w:color w:val="231F20"/>
          <w:sz w:val="16"/>
        </w:rPr>
        <w:t>(1977)</w:t>
      </w:r>
      <w:r>
        <w:rPr>
          <w:i/>
          <w:color w:val="231F20"/>
          <w:sz w:val="16"/>
        </w:rPr>
        <w:t xml:space="preserve">; See also </w:t>
      </w:r>
      <w:r>
        <w:rPr>
          <w:color w:val="231F20"/>
          <w:sz w:val="16"/>
        </w:rPr>
        <w:t xml:space="preserve">psychological warfare: </w:t>
      </w:r>
      <w:r>
        <w:rPr>
          <w:color w:val="231F20"/>
          <w:spacing w:val="-9"/>
          <w:sz w:val="16"/>
        </w:rPr>
        <w:t xml:space="preserve">BAW; </w:t>
      </w:r>
      <w:r>
        <w:rPr>
          <w:color w:val="231F20"/>
          <w:sz w:val="16"/>
        </w:rPr>
        <w:t>attacks on lawyers 341</w:t>
      </w:r>
      <w:r>
        <w:rPr>
          <w:i/>
          <w:color w:val="231F20"/>
          <w:sz w:val="16"/>
        </w:rPr>
        <w:t xml:space="preserve">, </w:t>
      </w:r>
      <w:r>
        <w:rPr>
          <w:color w:val="231F20"/>
          <w:sz w:val="16"/>
        </w:rPr>
        <w:t>345</w:t>
      </w:r>
      <w:r>
        <w:rPr>
          <w:i/>
          <w:color w:val="231F20"/>
          <w:sz w:val="16"/>
        </w:rPr>
        <w:t>,</w:t>
      </w:r>
      <w:r>
        <w:rPr>
          <w:i/>
          <w:color w:val="231F20"/>
          <w:spacing w:val="2"/>
          <w:sz w:val="16"/>
        </w:rPr>
        <w:t xml:space="preserve"> </w:t>
      </w:r>
      <w:r>
        <w:rPr>
          <w:color w:val="231F20"/>
          <w:sz w:val="16"/>
        </w:rPr>
        <w:t>418–421</w:t>
      </w:r>
      <w:r>
        <w:rPr>
          <w:i/>
          <w:color w:val="231F20"/>
          <w:sz w:val="16"/>
        </w:rPr>
        <w:t>,</w:t>
      </w:r>
    </w:p>
    <w:p w14:paraId="2C8C579F" w14:textId="77777777" w:rsidR="002653E8" w:rsidRDefault="003115E3">
      <w:pPr>
        <w:spacing w:before="3"/>
        <w:ind w:left="462"/>
        <w:rPr>
          <w:i/>
          <w:sz w:val="16"/>
        </w:rPr>
      </w:pPr>
      <w:r>
        <w:rPr>
          <w:color w:val="231F20"/>
          <w:sz w:val="16"/>
        </w:rPr>
        <w:t>595; attacks on prisoners 241</w:t>
      </w:r>
      <w:r>
        <w:rPr>
          <w:i/>
          <w:color w:val="231F20"/>
          <w:sz w:val="16"/>
        </w:rPr>
        <w:t>,</w:t>
      </w:r>
    </w:p>
    <w:p w14:paraId="1F0A2A68" w14:textId="77777777" w:rsidR="002653E8" w:rsidRDefault="003115E3">
      <w:pPr>
        <w:spacing w:before="32"/>
        <w:ind w:left="462"/>
        <w:rPr>
          <w:i/>
          <w:sz w:val="16"/>
        </w:rPr>
      </w:pPr>
      <w:r>
        <w:rPr>
          <w:color w:val="231F20"/>
          <w:w w:val="110"/>
          <w:sz w:val="16"/>
        </w:rPr>
        <w:t>285</w:t>
      </w:r>
      <w:r>
        <w:rPr>
          <w:i/>
          <w:color w:val="231F20"/>
          <w:w w:val="110"/>
          <w:sz w:val="16"/>
        </w:rPr>
        <w:t xml:space="preserve">, </w:t>
      </w:r>
      <w:r>
        <w:rPr>
          <w:color w:val="231F20"/>
          <w:w w:val="110"/>
          <w:sz w:val="16"/>
        </w:rPr>
        <w:t>307</w:t>
      </w:r>
      <w:r>
        <w:rPr>
          <w:i/>
          <w:color w:val="231F20"/>
          <w:w w:val="110"/>
          <w:sz w:val="16"/>
        </w:rPr>
        <w:t xml:space="preserve">, </w:t>
      </w:r>
      <w:r>
        <w:rPr>
          <w:color w:val="231F20"/>
          <w:w w:val="110"/>
          <w:sz w:val="16"/>
        </w:rPr>
        <w:t>319</w:t>
      </w:r>
      <w:r>
        <w:rPr>
          <w:i/>
          <w:color w:val="231F20"/>
          <w:w w:val="110"/>
          <w:sz w:val="16"/>
        </w:rPr>
        <w:t xml:space="preserve">, </w:t>
      </w:r>
      <w:r>
        <w:rPr>
          <w:color w:val="231F20"/>
          <w:w w:val="110"/>
          <w:sz w:val="16"/>
        </w:rPr>
        <w:t>381</w:t>
      </w:r>
      <w:r>
        <w:rPr>
          <w:i/>
          <w:color w:val="231F20"/>
          <w:w w:val="110"/>
          <w:sz w:val="16"/>
        </w:rPr>
        <w:t xml:space="preserve">, </w:t>
      </w:r>
      <w:r>
        <w:rPr>
          <w:color w:val="231F20"/>
          <w:w w:val="110"/>
          <w:sz w:val="16"/>
        </w:rPr>
        <w:t>384</w:t>
      </w:r>
      <w:r>
        <w:rPr>
          <w:i/>
          <w:color w:val="231F20"/>
          <w:w w:val="110"/>
          <w:sz w:val="16"/>
        </w:rPr>
        <w:t xml:space="preserve">, </w:t>
      </w:r>
      <w:r>
        <w:rPr>
          <w:color w:val="231F20"/>
          <w:w w:val="110"/>
          <w:sz w:val="16"/>
        </w:rPr>
        <w:t>399</w:t>
      </w:r>
      <w:r>
        <w:rPr>
          <w:i/>
          <w:color w:val="231F20"/>
          <w:w w:val="110"/>
          <w:sz w:val="16"/>
        </w:rPr>
        <w:t xml:space="preserve">, </w:t>
      </w:r>
      <w:r>
        <w:rPr>
          <w:color w:val="231F20"/>
          <w:w w:val="110"/>
          <w:sz w:val="16"/>
        </w:rPr>
        <w:t>408</w:t>
      </w:r>
      <w:r>
        <w:rPr>
          <w:i/>
          <w:color w:val="231F20"/>
          <w:w w:val="110"/>
          <w:sz w:val="16"/>
        </w:rPr>
        <w:t>,</w:t>
      </w:r>
    </w:p>
    <w:p w14:paraId="6409A1BC" w14:textId="77777777" w:rsidR="002653E8" w:rsidRDefault="003115E3">
      <w:pPr>
        <w:spacing w:before="32"/>
        <w:ind w:left="462"/>
        <w:rPr>
          <w:i/>
          <w:sz w:val="16"/>
        </w:rPr>
      </w:pPr>
      <w:r>
        <w:rPr>
          <w:color w:val="231F20"/>
          <w:w w:val="105"/>
          <w:sz w:val="16"/>
        </w:rPr>
        <w:t>410–412</w:t>
      </w:r>
      <w:r>
        <w:rPr>
          <w:i/>
          <w:color w:val="231F20"/>
          <w:w w:val="105"/>
          <w:sz w:val="16"/>
        </w:rPr>
        <w:t xml:space="preserve">, </w:t>
      </w:r>
      <w:r>
        <w:rPr>
          <w:color w:val="231F20"/>
          <w:w w:val="105"/>
          <w:sz w:val="16"/>
        </w:rPr>
        <w:t>415–418</w:t>
      </w:r>
      <w:r>
        <w:rPr>
          <w:i/>
          <w:color w:val="231F20"/>
          <w:w w:val="105"/>
          <w:sz w:val="16"/>
        </w:rPr>
        <w:t xml:space="preserve">, </w:t>
      </w:r>
      <w:r>
        <w:rPr>
          <w:color w:val="231F20"/>
          <w:w w:val="105"/>
          <w:sz w:val="16"/>
        </w:rPr>
        <w:t>475</w:t>
      </w:r>
      <w:r>
        <w:rPr>
          <w:i/>
          <w:color w:val="231F20"/>
          <w:w w:val="105"/>
          <w:sz w:val="16"/>
        </w:rPr>
        <w:t xml:space="preserve">, </w:t>
      </w:r>
      <w:r>
        <w:rPr>
          <w:color w:val="231F20"/>
          <w:w w:val="105"/>
          <w:sz w:val="16"/>
        </w:rPr>
        <w:t>490–492</w:t>
      </w:r>
      <w:r>
        <w:rPr>
          <w:i/>
          <w:color w:val="231F20"/>
          <w:w w:val="105"/>
          <w:sz w:val="16"/>
        </w:rPr>
        <w:t xml:space="preserve">, </w:t>
      </w:r>
      <w:r>
        <w:rPr>
          <w:color w:val="231F20"/>
          <w:w w:val="105"/>
          <w:sz w:val="16"/>
        </w:rPr>
        <w:t>519</w:t>
      </w:r>
      <w:r>
        <w:rPr>
          <w:i/>
          <w:color w:val="231F20"/>
          <w:w w:val="105"/>
          <w:sz w:val="16"/>
        </w:rPr>
        <w:t>,</w:t>
      </w:r>
    </w:p>
    <w:p w14:paraId="608E8DD9" w14:textId="77777777" w:rsidR="002653E8" w:rsidRDefault="003115E3">
      <w:pPr>
        <w:spacing w:before="33"/>
        <w:ind w:left="462"/>
        <w:rPr>
          <w:i/>
          <w:sz w:val="16"/>
        </w:rPr>
      </w:pPr>
      <w:r>
        <w:rPr>
          <w:color w:val="231F20"/>
          <w:w w:val="105"/>
          <w:sz w:val="16"/>
        </w:rPr>
        <w:t>595</w:t>
      </w:r>
      <w:r>
        <w:rPr>
          <w:i/>
          <w:color w:val="231F20"/>
          <w:w w:val="105"/>
          <w:sz w:val="16"/>
        </w:rPr>
        <w:t xml:space="preserve">, </w:t>
      </w:r>
      <w:r>
        <w:rPr>
          <w:color w:val="231F20"/>
          <w:w w:val="105"/>
          <w:sz w:val="16"/>
        </w:rPr>
        <w:t>603</w:t>
      </w:r>
      <w:r>
        <w:rPr>
          <w:i/>
          <w:color w:val="231F20"/>
          <w:w w:val="105"/>
          <w:sz w:val="16"/>
        </w:rPr>
        <w:t xml:space="preserve">, </w:t>
      </w:r>
      <w:r>
        <w:rPr>
          <w:color w:val="231F20"/>
          <w:w w:val="105"/>
          <w:sz w:val="16"/>
        </w:rPr>
        <w:t xml:space="preserve">621; </w:t>
      </w:r>
      <w:r w:rsidR="00C507A5">
        <w:rPr>
          <w:color w:val="231F20"/>
          <w:w w:val="105"/>
          <w:sz w:val="16"/>
        </w:rPr>
        <w:t>red army faction</w:t>
      </w:r>
      <w:r>
        <w:rPr>
          <w:color w:val="231F20"/>
          <w:w w:val="105"/>
          <w:sz w:val="16"/>
        </w:rPr>
        <w:t xml:space="preserve"> trials 290</w:t>
      </w:r>
      <w:r>
        <w:rPr>
          <w:i/>
          <w:color w:val="231F20"/>
          <w:w w:val="105"/>
          <w:sz w:val="16"/>
        </w:rPr>
        <w:t xml:space="preserve">, </w:t>
      </w:r>
      <w:r>
        <w:rPr>
          <w:color w:val="231F20"/>
          <w:w w:val="105"/>
          <w:sz w:val="16"/>
        </w:rPr>
        <w:t>301</w:t>
      </w:r>
      <w:r>
        <w:rPr>
          <w:i/>
          <w:color w:val="231F20"/>
          <w:w w:val="105"/>
          <w:sz w:val="16"/>
        </w:rPr>
        <w:t>,</w:t>
      </w:r>
    </w:p>
    <w:p w14:paraId="57E4B4E4" w14:textId="77777777" w:rsidR="002653E8" w:rsidRDefault="003115E3">
      <w:pPr>
        <w:spacing w:before="32"/>
        <w:ind w:left="462"/>
        <w:rPr>
          <w:i/>
          <w:sz w:val="16"/>
        </w:rPr>
      </w:pPr>
      <w:r>
        <w:rPr>
          <w:color w:val="231F20"/>
          <w:w w:val="110"/>
          <w:sz w:val="16"/>
        </w:rPr>
        <w:t>303</w:t>
      </w:r>
      <w:r>
        <w:rPr>
          <w:i/>
          <w:color w:val="231F20"/>
          <w:w w:val="110"/>
          <w:sz w:val="16"/>
        </w:rPr>
        <w:t xml:space="preserve">, </w:t>
      </w:r>
      <w:r>
        <w:rPr>
          <w:color w:val="231F20"/>
          <w:w w:val="110"/>
          <w:sz w:val="16"/>
        </w:rPr>
        <w:t>312–313</w:t>
      </w:r>
      <w:r>
        <w:rPr>
          <w:i/>
          <w:color w:val="231F20"/>
          <w:w w:val="110"/>
          <w:sz w:val="16"/>
        </w:rPr>
        <w:t xml:space="preserve">, </w:t>
      </w:r>
      <w:r>
        <w:rPr>
          <w:color w:val="231F20"/>
          <w:w w:val="110"/>
          <w:sz w:val="16"/>
        </w:rPr>
        <w:t>319</w:t>
      </w:r>
      <w:r>
        <w:rPr>
          <w:i/>
          <w:color w:val="231F20"/>
          <w:w w:val="110"/>
          <w:sz w:val="16"/>
        </w:rPr>
        <w:t xml:space="preserve">, </w:t>
      </w:r>
      <w:r>
        <w:rPr>
          <w:color w:val="231F20"/>
          <w:w w:val="110"/>
          <w:sz w:val="16"/>
        </w:rPr>
        <w:t>353</w:t>
      </w:r>
      <w:r>
        <w:rPr>
          <w:i/>
          <w:color w:val="231F20"/>
          <w:w w:val="110"/>
          <w:sz w:val="16"/>
        </w:rPr>
        <w:t xml:space="preserve">, </w:t>
      </w:r>
      <w:r>
        <w:rPr>
          <w:color w:val="231F20"/>
          <w:w w:val="110"/>
          <w:sz w:val="16"/>
        </w:rPr>
        <w:t>359</w:t>
      </w:r>
      <w:r>
        <w:rPr>
          <w:i/>
          <w:color w:val="231F20"/>
          <w:w w:val="110"/>
          <w:sz w:val="16"/>
        </w:rPr>
        <w:t xml:space="preserve">, </w:t>
      </w:r>
      <w:r>
        <w:rPr>
          <w:color w:val="231F20"/>
          <w:w w:val="110"/>
          <w:sz w:val="16"/>
        </w:rPr>
        <w:t>373</w:t>
      </w:r>
      <w:r>
        <w:rPr>
          <w:i/>
          <w:color w:val="231F20"/>
          <w:w w:val="110"/>
          <w:sz w:val="16"/>
        </w:rPr>
        <w:t>,</w:t>
      </w:r>
    </w:p>
    <w:p w14:paraId="7BFC80B7" w14:textId="77777777" w:rsidR="002653E8" w:rsidRPr="00846956" w:rsidRDefault="003115E3">
      <w:pPr>
        <w:spacing w:before="33"/>
        <w:ind w:left="462"/>
        <w:rPr>
          <w:sz w:val="16"/>
          <w:lang w:val="de-DE"/>
        </w:rPr>
      </w:pPr>
      <w:r w:rsidRPr="00846956">
        <w:rPr>
          <w:color w:val="231F20"/>
          <w:w w:val="105"/>
          <w:sz w:val="16"/>
          <w:lang w:val="de-DE"/>
        </w:rPr>
        <w:t>374</w:t>
      </w:r>
      <w:r w:rsidRPr="00846956">
        <w:rPr>
          <w:i/>
          <w:color w:val="231F20"/>
          <w:w w:val="105"/>
          <w:sz w:val="16"/>
          <w:lang w:val="de-DE"/>
        </w:rPr>
        <w:t xml:space="preserve">, </w:t>
      </w:r>
      <w:r w:rsidRPr="00846956">
        <w:rPr>
          <w:color w:val="231F20"/>
          <w:w w:val="105"/>
          <w:sz w:val="16"/>
          <w:lang w:val="de-DE"/>
        </w:rPr>
        <w:t>415–416</w:t>
      </w:r>
      <w:r w:rsidRPr="00846956">
        <w:rPr>
          <w:i/>
          <w:color w:val="231F20"/>
          <w:w w:val="105"/>
          <w:sz w:val="16"/>
          <w:lang w:val="de-DE"/>
        </w:rPr>
        <w:t xml:space="preserve">, </w:t>
      </w:r>
      <w:r w:rsidRPr="00846956">
        <w:rPr>
          <w:color w:val="231F20"/>
          <w:w w:val="105"/>
          <w:sz w:val="16"/>
          <w:lang w:val="de-DE"/>
        </w:rPr>
        <w:t>416–421</w:t>
      </w:r>
      <w:r w:rsidRPr="00846956">
        <w:rPr>
          <w:i/>
          <w:color w:val="231F20"/>
          <w:w w:val="105"/>
          <w:sz w:val="16"/>
          <w:lang w:val="de-DE"/>
        </w:rPr>
        <w:t xml:space="preserve">, </w:t>
      </w:r>
      <w:r w:rsidRPr="00846956">
        <w:rPr>
          <w:color w:val="231F20"/>
          <w:w w:val="105"/>
          <w:sz w:val="16"/>
          <w:lang w:val="de-DE"/>
        </w:rPr>
        <w:t>430</w:t>
      </w:r>
      <w:r w:rsidRPr="00846956">
        <w:rPr>
          <w:i/>
          <w:color w:val="231F20"/>
          <w:w w:val="105"/>
          <w:sz w:val="16"/>
          <w:lang w:val="de-DE"/>
        </w:rPr>
        <w:t xml:space="preserve">, </w:t>
      </w:r>
      <w:r w:rsidRPr="00846956">
        <w:rPr>
          <w:color w:val="231F20"/>
          <w:w w:val="105"/>
          <w:sz w:val="16"/>
          <w:lang w:val="de-DE"/>
        </w:rPr>
        <w:t>586</w:t>
      </w:r>
    </w:p>
    <w:p w14:paraId="20E2F048" w14:textId="77777777" w:rsidR="002653E8" w:rsidRPr="00846956" w:rsidRDefault="003115E3">
      <w:pPr>
        <w:spacing w:before="32"/>
        <w:ind w:left="262"/>
        <w:rPr>
          <w:sz w:val="16"/>
          <w:lang w:val="de-DE"/>
        </w:rPr>
      </w:pPr>
      <w:r w:rsidRPr="00846956">
        <w:rPr>
          <w:color w:val="231F20"/>
          <w:sz w:val="16"/>
          <w:lang w:val="de-DE"/>
        </w:rPr>
        <w:t>Bayerischen Rundfunk 139</w:t>
      </w:r>
    </w:p>
    <w:p w14:paraId="3D28C11D" w14:textId="77777777" w:rsidR="002653E8" w:rsidRPr="00846956" w:rsidRDefault="003115E3">
      <w:pPr>
        <w:spacing w:before="32"/>
        <w:ind w:left="262"/>
        <w:rPr>
          <w:sz w:val="16"/>
          <w:lang w:val="de-DE"/>
        </w:rPr>
      </w:pPr>
      <w:r w:rsidRPr="00846956">
        <w:rPr>
          <w:i/>
          <w:color w:val="231F20"/>
          <w:sz w:val="16"/>
          <w:lang w:val="de-DE"/>
        </w:rPr>
        <w:t xml:space="preserve">Bayernkurier </w:t>
      </w:r>
      <w:r w:rsidRPr="00846956">
        <w:rPr>
          <w:color w:val="231F20"/>
          <w:sz w:val="16"/>
          <w:lang w:val="de-DE"/>
        </w:rPr>
        <w:t>535</w:t>
      </w:r>
    </w:p>
    <w:p w14:paraId="5F854FE6" w14:textId="77777777" w:rsidR="002653E8" w:rsidRPr="00846956" w:rsidRDefault="003115E3">
      <w:pPr>
        <w:spacing w:before="33"/>
        <w:ind w:left="262"/>
        <w:rPr>
          <w:sz w:val="16"/>
          <w:lang w:val="de-DE"/>
        </w:rPr>
      </w:pPr>
      <w:r w:rsidRPr="00846956">
        <w:rPr>
          <w:color w:val="231F20"/>
          <w:sz w:val="16"/>
          <w:lang w:val="de-DE"/>
        </w:rPr>
        <w:t>Beauvillard, Michelle 382</w:t>
      </w:r>
    </w:p>
    <w:p w14:paraId="185706A5" w14:textId="77777777" w:rsidR="002653E8" w:rsidRPr="00846956" w:rsidRDefault="003115E3">
      <w:pPr>
        <w:spacing w:before="32"/>
        <w:ind w:left="262"/>
        <w:rPr>
          <w:sz w:val="16"/>
          <w:lang w:val="de-DE"/>
        </w:rPr>
      </w:pPr>
      <w:r w:rsidRPr="00846956">
        <w:rPr>
          <w:color w:val="231F20"/>
          <w:w w:val="105"/>
          <w:sz w:val="16"/>
          <w:lang w:val="de-DE"/>
        </w:rPr>
        <w:t>Beauvoir, Simone de 108</w:t>
      </w:r>
      <w:r w:rsidRPr="00846956">
        <w:rPr>
          <w:i/>
          <w:color w:val="231F20"/>
          <w:w w:val="105"/>
          <w:sz w:val="16"/>
          <w:lang w:val="de-DE"/>
        </w:rPr>
        <w:t xml:space="preserve">, </w:t>
      </w:r>
      <w:r w:rsidRPr="00846956">
        <w:rPr>
          <w:color w:val="231F20"/>
          <w:w w:val="105"/>
          <w:sz w:val="16"/>
          <w:lang w:val="de-DE"/>
        </w:rPr>
        <w:t>388</w:t>
      </w:r>
    </w:p>
    <w:p w14:paraId="5DA6A47B" w14:textId="77777777" w:rsidR="002653E8" w:rsidRPr="00846956" w:rsidRDefault="003115E3">
      <w:pPr>
        <w:spacing w:before="33"/>
        <w:ind w:left="262"/>
        <w:rPr>
          <w:sz w:val="16"/>
          <w:lang w:val="de-DE"/>
        </w:rPr>
      </w:pPr>
      <w:r w:rsidRPr="00846956">
        <w:rPr>
          <w:color w:val="231F20"/>
          <w:sz w:val="16"/>
          <w:lang w:val="de-DE"/>
        </w:rPr>
        <w:t>Bebel, August  197</w:t>
      </w:r>
    </w:p>
    <w:p w14:paraId="5D00F9E5" w14:textId="77777777" w:rsidR="002653E8" w:rsidRPr="00846956" w:rsidRDefault="003115E3">
      <w:pPr>
        <w:spacing w:before="32"/>
        <w:ind w:left="262"/>
        <w:rPr>
          <w:sz w:val="16"/>
          <w:lang w:val="de-DE"/>
        </w:rPr>
      </w:pPr>
      <w:r w:rsidRPr="00846956">
        <w:rPr>
          <w:color w:val="231F20"/>
          <w:sz w:val="16"/>
          <w:lang w:val="de-DE"/>
        </w:rPr>
        <w:t>Becher  (CSU) 533</w:t>
      </w:r>
    </w:p>
    <w:p w14:paraId="097F9FA9" w14:textId="77777777" w:rsidR="002653E8" w:rsidRPr="00846956" w:rsidRDefault="003115E3">
      <w:pPr>
        <w:spacing w:before="33"/>
        <w:ind w:left="262"/>
        <w:rPr>
          <w:sz w:val="16"/>
          <w:lang w:val="de-DE"/>
        </w:rPr>
      </w:pPr>
      <w:r w:rsidRPr="00846956">
        <w:rPr>
          <w:color w:val="231F20"/>
          <w:w w:val="105"/>
          <w:sz w:val="16"/>
          <w:lang w:val="de-DE"/>
        </w:rPr>
        <w:t>Becker, Eberhard 325</w:t>
      </w:r>
      <w:r w:rsidRPr="00846956">
        <w:rPr>
          <w:i/>
          <w:color w:val="231F20"/>
          <w:w w:val="105"/>
          <w:sz w:val="16"/>
          <w:lang w:val="de-DE"/>
        </w:rPr>
        <w:t xml:space="preserve">, </w:t>
      </w:r>
      <w:r w:rsidRPr="00846956">
        <w:rPr>
          <w:color w:val="231F20"/>
          <w:w w:val="105"/>
          <w:sz w:val="16"/>
          <w:lang w:val="de-DE"/>
        </w:rPr>
        <w:t>339</w:t>
      </w:r>
      <w:r w:rsidRPr="00846956">
        <w:rPr>
          <w:i/>
          <w:color w:val="231F20"/>
          <w:w w:val="105"/>
          <w:sz w:val="16"/>
          <w:lang w:val="de-DE"/>
        </w:rPr>
        <w:t xml:space="preserve">, </w:t>
      </w:r>
      <w:r w:rsidRPr="00846956">
        <w:rPr>
          <w:color w:val="231F20"/>
          <w:w w:val="105"/>
          <w:sz w:val="16"/>
          <w:lang w:val="de-DE"/>
        </w:rPr>
        <w:t>564</w:t>
      </w:r>
      <w:r w:rsidRPr="00846956">
        <w:rPr>
          <w:i/>
          <w:color w:val="231F20"/>
          <w:w w:val="105"/>
          <w:sz w:val="16"/>
          <w:lang w:val="de-DE"/>
        </w:rPr>
        <w:t xml:space="preserve">, </w:t>
      </w:r>
      <w:r w:rsidRPr="00846956">
        <w:rPr>
          <w:color w:val="231F20"/>
          <w:w w:val="105"/>
          <w:sz w:val="16"/>
          <w:lang w:val="de-DE"/>
        </w:rPr>
        <w:t>594</w:t>
      </w:r>
    </w:p>
    <w:p w14:paraId="001CC53B" w14:textId="77777777" w:rsidR="002653E8" w:rsidRPr="00846956" w:rsidRDefault="003115E3">
      <w:pPr>
        <w:spacing w:before="32"/>
        <w:ind w:left="262"/>
        <w:rPr>
          <w:sz w:val="16"/>
          <w:lang w:val="de-DE"/>
        </w:rPr>
      </w:pPr>
      <w:r w:rsidRPr="00846956">
        <w:rPr>
          <w:color w:val="231F20"/>
          <w:w w:val="105"/>
          <w:sz w:val="16"/>
          <w:lang w:val="de-DE"/>
        </w:rPr>
        <w:t>Becker, Jillian 161</w:t>
      </w:r>
    </w:p>
    <w:p w14:paraId="6AC709B3" w14:textId="77777777" w:rsidR="002653E8" w:rsidRPr="00846956" w:rsidRDefault="003115E3">
      <w:pPr>
        <w:spacing w:before="32"/>
        <w:ind w:left="262"/>
        <w:rPr>
          <w:sz w:val="16"/>
          <w:lang w:val="de-DE"/>
        </w:rPr>
      </w:pPr>
      <w:r w:rsidRPr="00846956">
        <w:rPr>
          <w:color w:val="231F20"/>
          <w:sz w:val="16"/>
          <w:lang w:val="de-DE"/>
        </w:rPr>
        <w:t>Becker, Marielouise 598</w:t>
      </w:r>
    </w:p>
    <w:p w14:paraId="70CC0ABE" w14:textId="77777777" w:rsidR="002653E8" w:rsidRPr="00846956" w:rsidRDefault="003115E3">
      <w:pPr>
        <w:spacing w:before="33"/>
        <w:ind w:left="262"/>
        <w:rPr>
          <w:sz w:val="16"/>
          <w:lang w:val="de-DE"/>
        </w:rPr>
      </w:pPr>
      <w:r w:rsidRPr="00846956">
        <w:rPr>
          <w:color w:val="231F20"/>
          <w:sz w:val="16"/>
          <w:lang w:val="de-DE"/>
        </w:rPr>
        <w:t>Becker, Verena 564</w:t>
      </w:r>
      <w:r w:rsidRPr="00846956">
        <w:rPr>
          <w:i/>
          <w:color w:val="231F20"/>
          <w:sz w:val="16"/>
          <w:lang w:val="de-DE"/>
        </w:rPr>
        <w:t xml:space="preserve">, </w:t>
      </w:r>
      <w:r w:rsidRPr="00846956">
        <w:rPr>
          <w:color w:val="231F20"/>
          <w:sz w:val="16"/>
          <w:lang w:val="de-DE"/>
        </w:rPr>
        <w:t>609; capture (1977)</w:t>
      </w:r>
    </w:p>
    <w:p w14:paraId="5EC506D8" w14:textId="77777777" w:rsidR="002653E8" w:rsidRPr="00846956" w:rsidRDefault="003115E3">
      <w:pPr>
        <w:spacing w:before="32"/>
        <w:ind w:left="462"/>
        <w:rPr>
          <w:sz w:val="16"/>
          <w:lang w:val="de-DE"/>
        </w:rPr>
      </w:pPr>
      <w:r w:rsidRPr="00846956">
        <w:rPr>
          <w:color w:val="231F20"/>
          <w:sz w:val="16"/>
          <w:lang w:val="de-DE"/>
        </w:rPr>
        <w:t>472–473</w:t>
      </w:r>
      <w:r w:rsidRPr="00846956">
        <w:rPr>
          <w:i/>
          <w:color w:val="231F20"/>
          <w:sz w:val="16"/>
          <w:lang w:val="de-DE"/>
        </w:rPr>
        <w:t xml:space="preserve">, </w:t>
      </w:r>
      <w:r w:rsidRPr="00846956">
        <w:rPr>
          <w:color w:val="231F20"/>
          <w:sz w:val="16"/>
          <w:lang w:val="de-DE"/>
        </w:rPr>
        <w:t>605; freed in Lorenz kidnap-</w:t>
      </w:r>
    </w:p>
    <w:p w14:paraId="47A474FE" w14:textId="77777777" w:rsidR="002653E8" w:rsidRDefault="003115E3">
      <w:pPr>
        <w:spacing w:before="33"/>
        <w:ind w:left="462"/>
        <w:rPr>
          <w:sz w:val="16"/>
        </w:rPr>
      </w:pPr>
      <w:r>
        <w:rPr>
          <w:color w:val="231F20"/>
          <w:w w:val="105"/>
          <w:sz w:val="16"/>
        </w:rPr>
        <w:t>ping 328</w:t>
      </w:r>
      <w:r>
        <w:rPr>
          <w:i/>
          <w:color w:val="231F20"/>
          <w:w w:val="105"/>
          <w:sz w:val="16"/>
        </w:rPr>
        <w:t xml:space="preserve">, </w:t>
      </w:r>
      <w:r>
        <w:rPr>
          <w:color w:val="231F20"/>
          <w:w w:val="105"/>
          <w:sz w:val="16"/>
        </w:rPr>
        <w:t>596; informant 614</w:t>
      </w:r>
      <w:r>
        <w:rPr>
          <w:i/>
          <w:color w:val="231F20"/>
          <w:w w:val="105"/>
          <w:sz w:val="16"/>
        </w:rPr>
        <w:t xml:space="preserve">, </w:t>
      </w:r>
      <w:r>
        <w:rPr>
          <w:color w:val="231F20"/>
          <w:w w:val="105"/>
          <w:sz w:val="16"/>
        </w:rPr>
        <w:t>627;</w:t>
      </w:r>
    </w:p>
    <w:p w14:paraId="0B291D07" w14:textId="77777777" w:rsidR="002653E8" w:rsidRDefault="003115E3">
      <w:pPr>
        <w:spacing w:before="32"/>
        <w:ind w:left="462"/>
        <w:rPr>
          <w:sz w:val="16"/>
        </w:rPr>
      </w:pPr>
      <w:r>
        <w:rPr>
          <w:color w:val="231F20"/>
          <w:sz w:val="16"/>
        </w:rPr>
        <w:t>pardoned (1991) 621; in prison 605;</w:t>
      </w:r>
    </w:p>
    <w:p w14:paraId="434B4679" w14:textId="77777777" w:rsidR="002653E8" w:rsidRDefault="003115E3">
      <w:pPr>
        <w:spacing w:before="33"/>
        <w:ind w:left="462"/>
        <w:rPr>
          <w:sz w:val="16"/>
        </w:rPr>
      </w:pPr>
      <w:r>
        <w:rPr>
          <w:color w:val="231F20"/>
          <w:sz w:val="16"/>
        </w:rPr>
        <w:t>release demanded 498</w:t>
      </w:r>
      <w:r>
        <w:rPr>
          <w:i/>
          <w:color w:val="231F20"/>
          <w:sz w:val="16"/>
        </w:rPr>
        <w:t xml:space="preserve">, </w:t>
      </w:r>
      <w:r>
        <w:rPr>
          <w:color w:val="231F20"/>
          <w:sz w:val="16"/>
        </w:rPr>
        <w:t>505; trial</w:t>
      </w:r>
    </w:p>
    <w:p w14:paraId="39DB5AE3" w14:textId="77777777" w:rsidR="002653E8" w:rsidRDefault="003115E3">
      <w:pPr>
        <w:spacing w:before="32"/>
        <w:ind w:left="462"/>
        <w:rPr>
          <w:sz w:val="16"/>
        </w:rPr>
      </w:pPr>
      <w:r>
        <w:rPr>
          <w:color w:val="231F20"/>
          <w:sz w:val="16"/>
        </w:rPr>
        <w:t>(1977) 609</w:t>
      </w:r>
    </w:p>
    <w:p w14:paraId="2F3A8285" w14:textId="77777777" w:rsidR="002653E8" w:rsidRDefault="003115E3">
      <w:pPr>
        <w:spacing w:before="32"/>
        <w:ind w:left="262"/>
        <w:rPr>
          <w:sz w:val="16"/>
        </w:rPr>
      </w:pPr>
      <w:r>
        <w:rPr>
          <w:color w:val="231F20"/>
          <w:sz w:val="16"/>
        </w:rPr>
        <w:t>Beckurts, Karl Heinz 618</w:t>
      </w:r>
    </w:p>
    <w:p w14:paraId="72ADE9CD" w14:textId="77777777" w:rsidR="002653E8" w:rsidRDefault="003115E3">
      <w:pPr>
        <w:spacing w:before="33"/>
        <w:ind w:left="262"/>
        <w:rPr>
          <w:sz w:val="16"/>
        </w:rPr>
      </w:pPr>
      <w:r>
        <w:rPr>
          <w:color w:val="231F20"/>
          <w:w w:val="105"/>
          <w:sz w:val="16"/>
        </w:rPr>
        <w:t>Beer, Henning 564</w:t>
      </w:r>
      <w:r>
        <w:rPr>
          <w:i/>
          <w:color w:val="231F20"/>
          <w:w w:val="105"/>
          <w:sz w:val="16"/>
        </w:rPr>
        <w:t xml:space="preserve">, </w:t>
      </w:r>
      <w:r>
        <w:rPr>
          <w:color w:val="231F20"/>
          <w:w w:val="105"/>
          <w:sz w:val="16"/>
        </w:rPr>
        <w:t>612</w:t>
      </w:r>
      <w:r>
        <w:rPr>
          <w:i/>
          <w:color w:val="231F20"/>
          <w:w w:val="105"/>
          <w:sz w:val="16"/>
        </w:rPr>
        <w:t xml:space="preserve">, </w:t>
      </w:r>
      <w:r>
        <w:rPr>
          <w:color w:val="231F20"/>
          <w:w w:val="105"/>
          <w:sz w:val="16"/>
        </w:rPr>
        <w:t>614</w:t>
      </w:r>
      <w:r>
        <w:rPr>
          <w:i/>
          <w:color w:val="231F20"/>
          <w:w w:val="105"/>
          <w:sz w:val="16"/>
        </w:rPr>
        <w:t xml:space="preserve">, </w:t>
      </w:r>
      <w:r>
        <w:rPr>
          <w:color w:val="231F20"/>
          <w:w w:val="105"/>
          <w:sz w:val="16"/>
        </w:rPr>
        <w:t>620;</w:t>
      </w:r>
    </w:p>
    <w:p w14:paraId="14EF543D" w14:textId="77777777" w:rsidR="002653E8" w:rsidRDefault="003115E3">
      <w:pPr>
        <w:spacing w:before="32"/>
        <w:ind w:left="462"/>
        <w:rPr>
          <w:sz w:val="16"/>
        </w:rPr>
      </w:pPr>
      <w:r>
        <w:rPr>
          <w:color w:val="231F20"/>
          <w:sz w:val="16"/>
        </w:rPr>
        <w:t>trial (1991) 621</w:t>
      </w:r>
    </w:p>
    <w:p w14:paraId="3C7F57E4" w14:textId="77777777" w:rsidR="002653E8" w:rsidRDefault="002653E8">
      <w:pPr>
        <w:rPr>
          <w:sz w:val="16"/>
        </w:rPr>
        <w:sectPr w:rsidR="002653E8">
          <w:pgSz w:w="8640" w:h="12960"/>
          <w:pgMar w:top="1080" w:right="0" w:bottom="1040" w:left="0" w:header="0" w:footer="846" w:gutter="0"/>
          <w:cols w:num="2" w:space="720" w:equalWidth="0">
            <w:col w:w="4248" w:space="40"/>
            <w:col w:w="4352"/>
          </w:cols>
        </w:sectPr>
      </w:pPr>
    </w:p>
    <w:p w14:paraId="7C5B945A" w14:textId="77777777" w:rsidR="002653E8" w:rsidRDefault="003115E3">
      <w:pPr>
        <w:spacing w:before="86"/>
        <w:ind w:left="1115" w:right="83"/>
        <w:jc w:val="center"/>
        <w:rPr>
          <w:sz w:val="16"/>
        </w:rPr>
      </w:pPr>
      <w:r>
        <w:rPr>
          <w:color w:val="231F20"/>
          <w:w w:val="105"/>
          <w:sz w:val="16"/>
        </w:rPr>
        <w:lastRenderedPageBreak/>
        <w:t>Beer, Wolfgang 339</w:t>
      </w:r>
      <w:r>
        <w:rPr>
          <w:i/>
          <w:color w:val="231F20"/>
          <w:w w:val="105"/>
          <w:sz w:val="16"/>
        </w:rPr>
        <w:t xml:space="preserve">, </w:t>
      </w:r>
      <w:r>
        <w:rPr>
          <w:color w:val="231F20"/>
          <w:w w:val="105"/>
          <w:sz w:val="16"/>
        </w:rPr>
        <w:t>474</w:t>
      </w:r>
      <w:r>
        <w:rPr>
          <w:i/>
          <w:color w:val="231F20"/>
          <w:w w:val="105"/>
          <w:sz w:val="16"/>
        </w:rPr>
        <w:t xml:space="preserve">, </w:t>
      </w:r>
      <w:r>
        <w:rPr>
          <w:color w:val="231F20"/>
          <w:w w:val="105"/>
          <w:sz w:val="16"/>
        </w:rPr>
        <w:t>564</w:t>
      </w:r>
      <w:r>
        <w:rPr>
          <w:i/>
          <w:color w:val="231F20"/>
          <w:w w:val="105"/>
          <w:sz w:val="16"/>
        </w:rPr>
        <w:t xml:space="preserve">, </w:t>
      </w:r>
      <w:r>
        <w:rPr>
          <w:color w:val="231F20"/>
          <w:w w:val="105"/>
          <w:sz w:val="16"/>
        </w:rPr>
        <w:t>605</w:t>
      </w:r>
      <w:r>
        <w:rPr>
          <w:i/>
          <w:color w:val="231F20"/>
          <w:w w:val="105"/>
          <w:sz w:val="16"/>
        </w:rPr>
        <w:t xml:space="preserve">, </w:t>
      </w:r>
      <w:r>
        <w:rPr>
          <w:color w:val="231F20"/>
          <w:w w:val="105"/>
          <w:sz w:val="16"/>
        </w:rPr>
        <w:t>613;</w:t>
      </w:r>
    </w:p>
    <w:p w14:paraId="60572852" w14:textId="77777777" w:rsidR="002653E8" w:rsidRDefault="003115E3">
      <w:pPr>
        <w:spacing w:before="33"/>
        <w:ind w:left="1347"/>
        <w:rPr>
          <w:sz w:val="16"/>
        </w:rPr>
      </w:pPr>
      <w:r>
        <w:rPr>
          <w:color w:val="231F20"/>
          <w:w w:val="105"/>
          <w:sz w:val="16"/>
        </w:rPr>
        <w:t>captured (1974) 325–326</w:t>
      </w:r>
      <w:r>
        <w:rPr>
          <w:i/>
          <w:color w:val="231F20"/>
          <w:w w:val="105"/>
          <w:sz w:val="16"/>
        </w:rPr>
        <w:t xml:space="preserve">, </w:t>
      </w:r>
      <w:r>
        <w:rPr>
          <w:color w:val="231F20"/>
          <w:w w:val="105"/>
          <w:sz w:val="16"/>
        </w:rPr>
        <w:t>594; DPA</w:t>
      </w:r>
    </w:p>
    <w:p w14:paraId="0AB2B3B9" w14:textId="77777777" w:rsidR="002653E8" w:rsidRDefault="003115E3">
      <w:pPr>
        <w:spacing w:before="32"/>
        <w:ind w:left="1347"/>
        <w:rPr>
          <w:sz w:val="16"/>
        </w:rPr>
      </w:pPr>
      <w:r>
        <w:rPr>
          <w:color w:val="231F20"/>
          <w:sz w:val="16"/>
        </w:rPr>
        <w:t>occupation 611; sentenced (1977) 607</w:t>
      </w:r>
    </w:p>
    <w:p w14:paraId="04A58332" w14:textId="77777777" w:rsidR="002653E8" w:rsidRDefault="003115E3">
      <w:pPr>
        <w:spacing w:before="33"/>
        <w:ind w:left="1147"/>
        <w:rPr>
          <w:sz w:val="16"/>
        </w:rPr>
      </w:pPr>
      <w:r>
        <w:rPr>
          <w:color w:val="231F20"/>
          <w:sz w:val="16"/>
        </w:rPr>
        <w:t>Begin, Menachem 503</w:t>
      </w:r>
    </w:p>
    <w:p w14:paraId="5CA6D779" w14:textId="77777777" w:rsidR="002653E8" w:rsidRDefault="003115E3">
      <w:pPr>
        <w:spacing w:before="32"/>
        <w:ind w:left="1147"/>
        <w:rPr>
          <w:sz w:val="16"/>
        </w:rPr>
      </w:pPr>
      <w:r>
        <w:rPr>
          <w:color w:val="231F20"/>
          <w:sz w:val="16"/>
        </w:rPr>
        <w:t>Beitz, Bertold 217</w:t>
      </w:r>
    </w:p>
    <w:p w14:paraId="07A533A6" w14:textId="77777777" w:rsidR="002653E8" w:rsidRDefault="003115E3">
      <w:pPr>
        <w:spacing w:before="32"/>
        <w:ind w:left="1147"/>
        <w:rPr>
          <w:sz w:val="16"/>
        </w:rPr>
      </w:pPr>
      <w:r>
        <w:rPr>
          <w:color w:val="231F20"/>
          <w:sz w:val="16"/>
        </w:rPr>
        <w:t>Bellow, Saul 198</w:t>
      </w:r>
    </w:p>
    <w:p w14:paraId="67BB0FFD" w14:textId="77777777" w:rsidR="002653E8" w:rsidRDefault="003115E3">
      <w:pPr>
        <w:spacing w:before="33"/>
        <w:ind w:left="1147"/>
        <w:rPr>
          <w:sz w:val="16"/>
        </w:rPr>
      </w:pPr>
      <w:r>
        <w:rPr>
          <w:color w:val="231F20"/>
          <w:sz w:val="16"/>
        </w:rPr>
        <w:t>Berberich, Monika 59</w:t>
      </w:r>
      <w:r>
        <w:rPr>
          <w:i/>
          <w:color w:val="231F20"/>
          <w:sz w:val="16"/>
        </w:rPr>
        <w:t xml:space="preserve">, </w:t>
      </w:r>
      <w:r>
        <w:rPr>
          <w:color w:val="231F20"/>
          <w:sz w:val="16"/>
        </w:rPr>
        <w:t>564; captured</w:t>
      </w:r>
    </w:p>
    <w:p w14:paraId="0E614EF4" w14:textId="77777777" w:rsidR="002653E8" w:rsidRDefault="003115E3">
      <w:pPr>
        <w:spacing w:before="32" w:line="280" w:lineRule="auto"/>
        <w:ind w:left="1347" w:right="210"/>
        <w:rPr>
          <w:sz w:val="16"/>
        </w:rPr>
      </w:pPr>
      <w:r>
        <w:rPr>
          <w:color w:val="231F20"/>
          <w:w w:val="105"/>
          <w:sz w:val="16"/>
        </w:rPr>
        <w:t>(1970) 59</w:t>
      </w:r>
      <w:r>
        <w:rPr>
          <w:i/>
          <w:color w:val="231F20"/>
          <w:w w:val="105"/>
          <w:sz w:val="16"/>
        </w:rPr>
        <w:t xml:space="preserve">, </w:t>
      </w:r>
      <w:r>
        <w:rPr>
          <w:color w:val="231F20"/>
          <w:w w:val="105"/>
          <w:sz w:val="16"/>
        </w:rPr>
        <w:t>585; escaped from prison 602; Expulsion of Horst Mahler (1974) 255</w:t>
      </w:r>
      <w:r>
        <w:rPr>
          <w:i/>
          <w:color w:val="231F20"/>
          <w:w w:val="105"/>
          <w:sz w:val="16"/>
        </w:rPr>
        <w:t xml:space="preserve">, </w:t>
      </w:r>
      <w:r>
        <w:rPr>
          <w:color w:val="231F20"/>
          <w:w w:val="105"/>
          <w:sz w:val="16"/>
        </w:rPr>
        <w:t>288–291</w:t>
      </w:r>
      <w:r>
        <w:rPr>
          <w:i/>
          <w:color w:val="231F20"/>
          <w:w w:val="105"/>
          <w:sz w:val="16"/>
        </w:rPr>
        <w:t xml:space="preserve">, </w:t>
      </w:r>
      <w:r>
        <w:rPr>
          <w:color w:val="231F20"/>
          <w:w w:val="105"/>
          <w:sz w:val="16"/>
        </w:rPr>
        <w:t>594;</w:t>
      </w:r>
    </w:p>
    <w:p w14:paraId="461EABA6" w14:textId="77777777" w:rsidR="002653E8" w:rsidRDefault="003115E3">
      <w:pPr>
        <w:spacing w:before="2"/>
        <w:ind w:left="1347"/>
        <w:rPr>
          <w:i/>
          <w:sz w:val="16"/>
        </w:rPr>
      </w:pPr>
      <w:r>
        <w:rPr>
          <w:color w:val="231F20"/>
          <w:w w:val="105"/>
          <w:sz w:val="16"/>
        </w:rPr>
        <w:t>Letter to RZ (1977)  456</w:t>
      </w:r>
      <w:r>
        <w:rPr>
          <w:i/>
          <w:color w:val="231F20"/>
          <w:w w:val="105"/>
          <w:sz w:val="16"/>
        </w:rPr>
        <w:t xml:space="preserve">, </w:t>
      </w:r>
      <w:r>
        <w:rPr>
          <w:color w:val="231F20"/>
          <w:w w:val="105"/>
          <w:sz w:val="16"/>
        </w:rPr>
        <w:t>464–466</w:t>
      </w:r>
      <w:r>
        <w:rPr>
          <w:i/>
          <w:color w:val="231F20"/>
          <w:w w:val="105"/>
          <w:sz w:val="16"/>
        </w:rPr>
        <w:t>,</w:t>
      </w:r>
    </w:p>
    <w:p w14:paraId="21ABE44F" w14:textId="77777777" w:rsidR="002653E8" w:rsidRDefault="003115E3">
      <w:pPr>
        <w:spacing w:before="32" w:line="280" w:lineRule="auto"/>
        <w:ind w:left="1147" w:right="447" w:firstLine="200"/>
        <w:rPr>
          <w:sz w:val="16"/>
        </w:rPr>
      </w:pPr>
      <w:r>
        <w:rPr>
          <w:color w:val="231F20"/>
          <w:sz w:val="16"/>
        </w:rPr>
        <w:t>603; release demanded 339 Berlin Administrative Court 345 Berliner Morgenpost 33</w:t>
      </w:r>
    </w:p>
    <w:p w14:paraId="5A627ED8" w14:textId="77777777" w:rsidR="002653E8" w:rsidRPr="00846956" w:rsidRDefault="003115E3">
      <w:pPr>
        <w:spacing w:before="2"/>
        <w:ind w:left="1147"/>
        <w:rPr>
          <w:sz w:val="16"/>
          <w:lang w:val="de-DE"/>
        </w:rPr>
      </w:pPr>
      <w:r w:rsidRPr="00846956">
        <w:rPr>
          <w:color w:val="231F20"/>
          <w:w w:val="105"/>
          <w:sz w:val="16"/>
          <w:lang w:val="de-DE"/>
        </w:rPr>
        <w:t>Berliner Zeitung 33</w:t>
      </w:r>
      <w:r w:rsidRPr="00846956">
        <w:rPr>
          <w:i/>
          <w:color w:val="231F20"/>
          <w:w w:val="105"/>
          <w:sz w:val="16"/>
          <w:lang w:val="de-DE"/>
        </w:rPr>
        <w:t xml:space="preserve">, </w:t>
      </w:r>
      <w:r w:rsidRPr="00846956">
        <w:rPr>
          <w:color w:val="231F20"/>
          <w:w w:val="105"/>
          <w:sz w:val="16"/>
          <w:lang w:val="de-DE"/>
        </w:rPr>
        <w:t>104</w:t>
      </w:r>
      <w:r w:rsidRPr="00846956">
        <w:rPr>
          <w:i/>
          <w:color w:val="231F20"/>
          <w:w w:val="105"/>
          <w:sz w:val="16"/>
          <w:lang w:val="de-DE"/>
        </w:rPr>
        <w:t xml:space="preserve">, </w:t>
      </w:r>
      <w:r w:rsidRPr="00846956">
        <w:rPr>
          <w:color w:val="231F20"/>
          <w:w w:val="105"/>
          <w:sz w:val="16"/>
          <w:lang w:val="de-DE"/>
        </w:rPr>
        <w:t>127</w:t>
      </w:r>
    </w:p>
    <w:p w14:paraId="0FA8FDA3" w14:textId="77777777" w:rsidR="002653E8" w:rsidRPr="00846956" w:rsidRDefault="003115E3">
      <w:pPr>
        <w:spacing w:before="32"/>
        <w:ind w:left="1147"/>
        <w:rPr>
          <w:sz w:val="16"/>
          <w:lang w:val="de-DE"/>
        </w:rPr>
      </w:pPr>
      <w:r w:rsidRPr="00846956">
        <w:rPr>
          <w:color w:val="231F20"/>
          <w:w w:val="105"/>
          <w:sz w:val="16"/>
          <w:lang w:val="de-DE"/>
        </w:rPr>
        <w:t>Berlin Senate 34</w:t>
      </w:r>
      <w:r w:rsidRPr="00846956">
        <w:rPr>
          <w:i/>
          <w:color w:val="231F20"/>
          <w:w w:val="105"/>
          <w:sz w:val="16"/>
          <w:lang w:val="de-DE"/>
        </w:rPr>
        <w:t xml:space="preserve">, </w:t>
      </w:r>
      <w:r w:rsidRPr="00846956">
        <w:rPr>
          <w:color w:val="231F20"/>
          <w:w w:val="105"/>
          <w:sz w:val="16"/>
          <w:lang w:val="de-DE"/>
        </w:rPr>
        <w:t>36</w:t>
      </w:r>
      <w:r w:rsidRPr="00846956">
        <w:rPr>
          <w:i/>
          <w:color w:val="231F20"/>
          <w:w w:val="105"/>
          <w:sz w:val="16"/>
          <w:lang w:val="de-DE"/>
        </w:rPr>
        <w:t xml:space="preserve">, </w:t>
      </w:r>
      <w:r w:rsidRPr="00846956">
        <w:rPr>
          <w:color w:val="231F20"/>
          <w:w w:val="105"/>
          <w:sz w:val="16"/>
          <w:lang w:val="de-DE"/>
        </w:rPr>
        <w:t>117</w:t>
      </w:r>
      <w:r w:rsidRPr="00846956">
        <w:rPr>
          <w:i/>
          <w:color w:val="231F20"/>
          <w:w w:val="105"/>
          <w:sz w:val="16"/>
          <w:lang w:val="de-DE"/>
        </w:rPr>
        <w:t xml:space="preserve">, </w:t>
      </w:r>
      <w:r w:rsidRPr="00846956">
        <w:rPr>
          <w:color w:val="231F20"/>
          <w:w w:val="105"/>
          <w:sz w:val="16"/>
          <w:lang w:val="de-DE"/>
        </w:rPr>
        <w:t>148</w:t>
      </w:r>
      <w:r w:rsidRPr="00846956">
        <w:rPr>
          <w:i/>
          <w:color w:val="231F20"/>
          <w:w w:val="105"/>
          <w:sz w:val="16"/>
          <w:lang w:val="de-DE"/>
        </w:rPr>
        <w:t xml:space="preserve">, </w:t>
      </w:r>
      <w:r w:rsidRPr="00846956">
        <w:rPr>
          <w:color w:val="231F20"/>
          <w:w w:val="105"/>
          <w:sz w:val="16"/>
          <w:lang w:val="de-DE"/>
        </w:rPr>
        <w:t>581</w:t>
      </w:r>
    </w:p>
    <w:p w14:paraId="61170F89" w14:textId="77777777" w:rsidR="002653E8" w:rsidRPr="00846956" w:rsidRDefault="003115E3">
      <w:pPr>
        <w:spacing w:before="33"/>
        <w:ind w:left="1147"/>
        <w:rPr>
          <w:sz w:val="16"/>
          <w:lang w:val="de-DE"/>
        </w:rPr>
      </w:pPr>
      <w:r w:rsidRPr="00846956">
        <w:rPr>
          <w:color w:val="231F20"/>
          <w:sz w:val="16"/>
          <w:lang w:val="de-DE"/>
        </w:rPr>
        <w:t>Bernstein, Eduard 216</w:t>
      </w:r>
      <w:r w:rsidRPr="00846956">
        <w:rPr>
          <w:i/>
          <w:color w:val="231F20"/>
          <w:sz w:val="16"/>
          <w:lang w:val="de-DE"/>
        </w:rPr>
        <w:t xml:space="preserve">, </w:t>
      </w:r>
      <w:r w:rsidRPr="00846956">
        <w:rPr>
          <w:color w:val="231F20"/>
          <w:sz w:val="16"/>
          <w:lang w:val="de-DE"/>
        </w:rPr>
        <w:t>221</w:t>
      </w:r>
    </w:p>
    <w:p w14:paraId="4CBBD2E2" w14:textId="77777777" w:rsidR="002653E8" w:rsidRDefault="003115E3">
      <w:pPr>
        <w:spacing w:before="32"/>
        <w:ind w:left="1147"/>
        <w:rPr>
          <w:sz w:val="16"/>
        </w:rPr>
      </w:pPr>
      <w:r>
        <w:rPr>
          <w:color w:val="231F20"/>
          <w:sz w:val="16"/>
        </w:rPr>
        <w:t>Berufsverbot 116–117</w:t>
      </w:r>
      <w:r>
        <w:rPr>
          <w:i/>
          <w:color w:val="231F20"/>
          <w:sz w:val="16"/>
        </w:rPr>
        <w:t xml:space="preserve">, </w:t>
      </w:r>
      <w:r>
        <w:rPr>
          <w:color w:val="231F20"/>
          <w:sz w:val="16"/>
        </w:rPr>
        <w:t>589; against</w:t>
      </w:r>
    </w:p>
    <w:p w14:paraId="5C961951" w14:textId="77777777" w:rsidR="002653E8" w:rsidRDefault="003115E3">
      <w:pPr>
        <w:spacing w:before="33"/>
        <w:ind w:left="1347"/>
        <w:rPr>
          <w:i/>
          <w:sz w:val="16"/>
        </w:rPr>
      </w:pPr>
      <w:r>
        <w:rPr>
          <w:color w:val="231F20"/>
          <w:w w:val="105"/>
          <w:sz w:val="16"/>
        </w:rPr>
        <w:t>lawyers</w:t>
      </w:r>
      <w:r>
        <w:rPr>
          <w:color w:val="231F20"/>
          <w:spacing w:val="-11"/>
          <w:w w:val="105"/>
          <w:sz w:val="16"/>
        </w:rPr>
        <w:t xml:space="preserve"> </w:t>
      </w:r>
      <w:r>
        <w:rPr>
          <w:color w:val="231F20"/>
          <w:w w:val="105"/>
          <w:sz w:val="16"/>
        </w:rPr>
        <w:t>and</w:t>
      </w:r>
      <w:r>
        <w:rPr>
          <w:color w:val="231F20"/>
          <w:spacing w:val="-11"/>
          <w:w w:val="105"/>
          <w:sz w:val="16"/>
        </w:rPr>
        <w:t xml:space="preserve"> </w:t>
      </w:r>
      <w:r>
        <w:rPr>
          <w:color w:val="231F20"/>
          <w:w w:val="105"/>
          <w:sz w:val="16"/>
        </w:rPr>
        <w:t>supporters</w:t>
      </w:r>
      <w:r>
        <w:rPr>
          <w:color w:val="231F20"/>
          <w:spacing w:val="15"/>
          <w:w w:val="105"/>
          <w:sz w:val="16"/>
        </w:rPr>
        <w:t xml:space="preserve"> </w:t>
      </w:r>
      <w:r>
        <w:rPr>
          <w:color w:val="231F20"/>
          <w:w w:val="105"/>
          <w:sz w:val="16"/>
        </w:rPr>
        <w:t>344</w:t>
      </w:r>
      <w:r>
        <w:rPr>
          <w:i/>
          <w:color w:val="231F20"/>
          <w:w w:val="105"/>
          <w:sz w:val="16"/>
        </w:rPr>
        <w:t>,</w:t>
      </w:r>
      <w:r>
        <w:rPr>
          <w:i/>
          <w:color w:val="231F20"/>
          <w:spacing w:val="-15"/>
          <w:w w:val="105"/>
          <w:sz w:val="16"/>
        </w:rPr>
        <w:t xml:space="preserve"> </w:t>
      </w:r>
      <w:r>
        <w:rPr>
          <w:color w:val="231F20"/>
          <w:w w:val="105"/>
          <w:sz w:val="16"/>
        </w:rPr>
        <w:t>345</w:t>
      </w:r>
      <w:r>
        <w:rPr>
          <w:i/>
          <w:color w:val="231F20"/>
          <w:w w:val="105"/>
          <w:sz w:val="16"/>
        </w:rPr>
        <w:t>,</w:t>
      </w:r>
      <w:r>
        <w:rPr>
          <w:i/>
          <w:color w:val="231F20"/>
          <w:spacing w:val="-15"/>
          <w:w w:val="105"/>
          <w:sz w:val="16"/>
        </w:rPr>
        <w:t xml:space="preserve"> </w:t>
      </w:r>
      <w:r>
        <w:rPr>
          <w:color w:val="231F20"/>
          <w:w w:val="105"/>
          <w:sz w:val="16"/>
        </w:rPr>
        <w:t>348</w:t>
      </w:r>
      <w:r>
        <w:rPr>
          <w:i/>
          <w:color w:val="231F20"/>
          <w:w w:val="105"/>
          <w:sz w:val="16"/>
        </w:rPr>
        <w:t>,</w:t>
      </w:r>
    </w:p>
    <w:p w14:paraId="055623E0" w14:textId="77777777" w:rsidR="002653E8" w:rsidRDefault="003115E3">
      <w:pPr>
        <w:spacing w:before="32"/>
        <w:ind w:left="1347"/>
        <w:rPr>
          <w:i/>
          <w:sz w:val="16"/>
        </w:rPr>
      </w:pPr>
      <w:r>
        <w:rPr>
          <w:color w:val="231F20"/>
          <w:w w:val="110"/>
          <w:sz w:val="16"/>
        </w:rPr>
        <w:t>418</w:t>
      </w:r>
      <w:r>
        <w:rPr>
          <w:i/>
          <w:color w:val="231F20"/>
          <w:w w:val="110"/>
          <w:sz w:val="16"/>
        </w:rPr>
        <w:t xml:space="preserve">, </w:t>
      </w:r>
      <w:r>
        <w:rPr>
          <w:color w:val="231F20"/>
          <w:w w:val="110"/>
          <w:sz w:val="16"/>
        </w:rPr>
        <w:t>419</w:t>
      </w:r>
      <w:r>
        <w:rPr>
          <w:i/>
          <w:color w:val="231F20"/>
          <w:w w:val="110"/>
          <w:sz w:val="16"/>
        </w:rPr>
        <w:t xml:space="preserve">, </w:t>
      </w:r>
      <w:r>
        <w:rPr>
          <w:color w:val="231F20"/>
          <w:w w:val="110"/>
          <w:sz w:val="16"/>
        </w:rPr>
        <w:t>420</w:t>
      </w:r>
      <w:r>
        <w:rPr>
          <w:i/>
          <w:color w:val="231F20"/>
          <w:w w:val="110"/>
          <w:sz w:val="16"/>
        </w:rPr>
        <w:t xml:space="preserve">, </w:t>
      </w:r>
      <w:r>
        <w:rPr>
          <w:color w:val="231F20"/>
          <w:w w:val="110"/>
          <w:sz w:val="16"/>
        </w:rPr>
        <w:t>423</w:t>
      </w:r>
      <w:r>
        <w:rPr>
          <w:i/>
          <w:color w:val="231F20"/>
          <w:w w:val="110"/>
          <w:sz w:val="16"/>
        </w:rPr>
        <w:t xml:space="preserve">, </w:t>
      </w:r>
      <w:r>
        <w:rPr>
          <w:color w:val="231F20"/>
          <w:w w:val="110"/>
          <w:sz w:val="16"/>
        </w:rPr>
        <w:t>462</w:t>
      </w:r>
      <w:r>
        <w:rPr>
          <w:i/>
          <w:color w:val="231F20"/>
          <w:w w:val="110"/>
          <w:sz w:val="16"/>
        </w:rPr>
        <w:t xml:space="preserve">, </w:t>
      </w:r>
      <w:r>
        <w:rPr>
          <w:color w:val="231F20"/>
          <w:w w:val="110"/>
          <w:sz w:val="16"/>
        </w:rPr>
        <w:t>473</w:t>
      </w:r>
      <w:r>
        <w:rPr>
          <w:i/>
          <w:color w:val="231F20"/>
          <w:w w:val="110"/>
          <w:sz w:val="16"/>
        </w:rPr>
        <w:t xml:space="preserve">, </w:t>
      </w:r>
      <w:r>
        <w:rPr>
          <w:color w:val="231F20"/>
          <w:w w:val="110"/>
          <w:sz w:val="16"/>
        </w:rPr>
        <w:t>529</w:t>
      </w:r>
      <w:r>
        <w:rPr>
          <w:i/>
          <w:color w:val="231F20"/>
          <w:w w:val="110"/>
          <w:sz w:val="16"/>
        </w:rPr>
        <w:t>,</w:t>
      </w:r>
    </w:p>
    <w:p w14:paraId="54AB0DFC" w14:textId="77777777" w:rsidR="002653E8" w:rsidRDefault="003115E3">
      <w:pPr>
        <w:spacing w:before="32"/>
        <w:ind w:left="1347"/>
        <w:rPr>
          <w:sz w:val="16"/>
        </w:rPr>
      </w:pPr>
      <w:r>
        <w:rPr>
          <w:color w:val="231F20"/>
          <w:w w:val="105"/>
          <w:sz w:val="16"/>
        </w:rPr>
        <w:t>598</w:t>
      </w:r>
      <w:r>
        <w:rPr>
          <w:i/>
          <w:color w:val="231F20"/>
          <w:w w:val="105"/>
          <w:sz w:val="16"/>
        </w:rPr>
        <w:t xml:space="preserve">, </w:t>
      </w:r>
      <w:r>
        <w:rPr>
          <w:color w:val="231F20"/>
          <w:w w:val="105"/>
          <w:sz w:val="16"/>
        </w:rPr>
        <w:t>603</w:t>
      </w:r>
      <w:r>
        <w:rPr>
          <w:i/>
          <w:color w:val="231F20"/>
          <w:w w:val="105"/>
          <w:sz w:val="16"/>
        </w:rPr>
        <w:t xml:space="preserve">, </w:t>
      </w:r>
      <w:r>
        <w:rPr>
          <w:color w:val="231F20"/>
          <w:w w:val="105"/>
          <w:sz w:val="16"/>
        </w:rPr>
        <w:t>606</w:t>
      </w:r>
      <w:r>
        <w:rPr>
          <w:i/>
          <w:color w:val="231F20"/>
          <w:w w:val="105"/>
          <w:sz w:val="16"/>
        </w:rPr>
        <w:t xml:space="preserve">, </w:t>
      </w:r>
      <w:r>
        <w:rPr>
          <w:color w:val="231F20"/>
          <w:w w:val="105"/>
          <w:sz w:val="16"/>
        </w:rPr>
        <w:t xml:space="preserve">612; mentioned by </w:t>
      </w:r>
      <w:r w:rsidR="00C507A5">
        <w:rPr>
          <w:color w:val="231F20"/>
          <w:w w:val="105"/>
          <w:sz w:val="16"/>
        </w:rPr>
        <w:t>red army faction</w:t>
      </w:r>
    </w:p>
    <w:p w14:paraId="41444C92" w14:textId="77777777" w:rsidR="002653E8" w:rsidRDefault="003115E3">
      <w:pPr>
        <w:spacing w:before="33"/>
        <w:ind w:left="1347"/>
        <w:rPr>
          <w:sz w:val="16"/>
        </w:rPr>
      </w:pPr>
      <w:r>
        <w:rPr>
          <w:color w:val="231F20"/>
          <w:w w:val="105"/>
          <w:sz w:val="16"/>
        </w:rPr>
        <w:t>229</w:t>
      </w:r>
      <w:r>
        <w:rPr>
          <w:i/>
          <w:color w:val="231F20"/>
          <w:w w:val="105"/>
          <w:sz w:val="16"/>
        </w:rPr>
        <w:t xml:space="preserve">, </w:t>
      </w:r>
      <w:r>
        <w:rPr>
          <w:color w:val="231F20"/>
          <w:w w:val="105"/>
          <w:sz w:val="16"/>
        </w:rPr>
        <w:t>309</w:t>
      </w:r>
      <w:r>
        <w:rPr>
          <w:i/>
          <w:color w:val="231F20"/>
          <w:w w:val="105"/>
          <w:sz w:val="16"/>
        </w:rPr>
        <w:t xml:space="preserve">, </w:t>
      </w:r>
      <w:r>
        <w:rPr>
          <w:color w:val="231F20"/>
          <w:w w:val="105"/>
          <w:sz w:val="16"/>
        </w:rPr>
        <w:t>424–425; opposed 424</w:t>
      </w:r>
      <w:r>
        <w:rPr>
          <w:i/>
          <w:color w:val="231F20"/>
          <w:w w:val="105"/>
          <w:sz w:val="16"/>
        </w:rPr>
        <w:t xml:space="preserve">, </w:t>
      </w:r>
      <w:r>
        <w:rPr>
          <w:color w:val="231F20"/>
          <w:w w:val="105"/>
          <w:sz w:val="16"/>
        </w:rPr>
        <w:t>448</w:t>
      </w:r>
    </w:p>
    <w:p w14:paraId="743A5693" w14:textId="77777777" w:rsidR="002653E8" w:rsidRDefault="003115E3">
      <w:pPr>
        <w:spacing w:before="32"/>
        <w:ind w:left="1147"/>
        <w:rPr>
          <w:i/>
          <w:sz w:val="16"/>
        </w:rPr>
      </w:pPr>
      <w:r>
        <w:rPr>
          <w:color w:val="231F20"/>
          <w:w w:val="110"/>
          <w:sz w:val="16"/>
        </w:rPr>
        <w:t>BGS (Bundesgrenzschutz) 22</w:t>
      </w:r>
      <w:r>
        <w:rPr>
          <w:i/>
          <w:color w:val="231F20"/>
          <w:w w:val="110"/>
          <w:sz w:val="16"/>
        </w:rPr>
        <w:t xml:space="preserve">, </w:t>
      </w:r>
      <w:r>
        <w:rPr>
          <w:color w:val="231F20"/>
          <w:w w:val="110"/>
          <w:sz w:val="16"/>
        </w:rPr>
        <w:t>42</w:t>
      </w:r>
      <w:r>
        <w:rPr>
          <w:i/>
          <w:color w:val="231F20"/>
          <w:w w:val="110"/>
          <w:sz w:val="16"/>
        </w:rPr>
        <w:t xml:space="preserve">, </w:t>
      </w:r>
      <w:r>
        <w:rPr>
          <w:color w:val="231F20"/>
          <w:w w:val="110"/>
          <w:sz w:val="16"/>
        </w:rPr>
        <w:t>193</w:t>
      </w:r>
      <w:r>
        <w:rPr>
          <w:i/>
          <w:color w:val="231F20"/>
          <w:w w:val="110"/>
          <w:sz w:val="16"/>
        </w:rPr>
        <w:t>,</w:t>
      </w:r>
    </w:p>
    <w:p w14:paraId="7D1847ED" w14:textId="77777777" w:rsidR="002653E8" w:rsidRDefault="003115E3">
      <w:pPr>
        <w:spacing w:before="33"/>
        <w:ind w:left="1347"/>
        <w:rPr>
          <w:sz w:val="16"/>
        </w:rPr>
      </w:pPr>
      <w:r>
        <w:rPr>
          <w:color w:val="231F20"/>
          <w:w w:val="105"/>
          <w:sz w:val="16"/>
        </w:rPr>
        <w:t>316</w:t>
      </w:r>
      <w:r>
        <w:rPr>
          <w:i/>
          <w:color w:val="231F20"/>
          <w:w w:val="105"/>
          <w:sz w:val="16"/>
        </w:rPr>
        <w:t xml:space="preserve">, </w:t>
      </w:r>
      <w:r>
        <w:rPr>
          <w:color w:val="231F20"/>
          <w:w w:val="105"/>
          <w:sz w:val="16"/>
        </w:rPr>
        <w:t>359</w:t>
      </w:r>
      <w:r>
        <w:rPr>
          <w:i/>
          <w:color w:val="231F20"/>
          <w:w w:val="105"/>
          <w:sz w:val="16"/>
        </w:rPr>
        <w:t xml:space="preserve">, </w:t>
      </w:r>
      <w:r>
        <w:rPr>
          <w:color w:val="231F20"/>
          <w:w w:val="105"/>
          <w:sz w:val="16"/>
        </w:rPr>
        <w:t>525</w:t>
      </w:r>
      <w:r>
        <w:rPr>
          <w:i/>
          <w:color w:val="231F20"/>
          <w:w w:val="105"/>
          <w:sz w:val="16"/>
        </w:rPr>
        <w:t xml:space="preserve">, </w:t>
      </w:r>
      <w:r>
        <w:rPr>
          <w:color w:val="231F20"/>
          <w:w w:val="105"/>
          <w:sz w:val="16"/>
        </w:rPr>
        <w:t xml:space="preserve">591; mentioned by </w:t>
      </w:r>
      <w:r w:rsidR="00C507A5">
        <w:rPr>
          <w:color w:val="231F20"/>
          <w:w w:val="105"/>
          <w:sz w:val="16"/>
        </w:rPr>
        <w:t>red army faction</w:t>
      </w:r>
    </w:p>
    <w:p w14:paraId="278C391F" w14:textId="77777777" w:rsidR="002653E8" w:rsidRDefault="003115E3">
      <w:pPr>
        <w:spacing w:before="32"/>
        <w:ind w:left="1347"/>
        <w:rPr>
          <w:sz w:val="16"/>
        </w:rPr>
      </w:pPr>
      <w:r>
        <w:rPr>
          <w:color w:val="231F20"/>
          <w:w w:val="110"/>
          <w:sz w:val="16"/>
        </w:rPr>
        <w:t>130</w:t>
      </w:r>
      <w:r>
        <w:rPr>
          <w:i/>
          <w:color w:val="231F20"/>
          <w:w w:val="110"/>
          <w:sz w:val="16"/>
        </w:rPr>
        <w:t xml:space="preserve">, </w:t>
      </w:r>
      <w:r>
        <w:rPr>
          <w:color w:val="231F20"/>
          <w:w w:val="110"/>
          <w:sz w:val="16"/>
        </w:rPr>
        <w:t>139</w:t>
      </w:r>
      <w:r>
        <w:rPr>
          <w:i/>
          <w:color w:val="231F20"/>
          <w:w w:val="110"/>
          <w:sz w:val="16"/>
        </w:rPr>
        <w:t xml:space="preserve">, </w:t>
      </w:r>
      <w:r>
        <w:rPr>
          <w:color w:val="231F20"/>
          <w:w w:val="110"/>
          <w:sz w:val="16"/>
        </w:rPr>
        <w:t>230</w:t>
      </w:r>
    </w:p>
    <w:p w14:paraId="49783500" w14:textId="77777777" w:rsidR="002653E8" w:rsidRDefault="003115E3">
      <w:pPr>
        <w:spacing w:before="32" w:line="280" w:lineRule="auto"/>
        <w:ind w:left="1347" w:right="142" w:hanging="201"/>
        <w:rPr>
          <w:sz w:val="16"/>
        </w:rPr>
      </w:pPr>
      <w:r>
        <w:rPr>
          <w:i/>
          <w:color w:val="231F20"/>
          <w:w w:val="105"/>
          <w:sz w:val="16"/>
        </w:rPr>
        <w:t>Bild Zeitung</w:t>
      </w:r>
      <w:r>
        <w:rPr>
          <w:color w:val="231F20"/>
          <w:w w:val="105"/>
          <w:sz w:val="16"/>
        </w:rPr>
        <w:t xml:space="preserve">; “Bild Fights for you!” </w:t>
      </w:r>
      <w:r>
        <w:rPr>
          <w:color w:val="231F20"/>
          <w:sz w:val="16"/>
        </w:rPr>
        <w:t>150–151</w:t>
      </w:r>
      <w:r>
        <w:rPr>
          <w:i/>
          <w:color w:val="231F20"/>
          <w:sz w:val="16"/>
        </w:rPr>
        <w:t xml:space="preserve">, </w:t>
      </w:r>
      <w:r>
        <w:rPr>
          <w:color w:val="231F20"/>
          <w:sz w:val="16"/>
        </w:rPr>
        <w:t>184;  Dutschke assasination</w:t>
      </w:r>
    </w:p>
    <w:p w14:paraId="23961991" w14:textId="77777777" w:rsidR="002653E8" w:rsidRDefault="003115E3">
      <w:pPr>
        <w:spacing w:before="2"/>
        <w:ind w:left="1347"/>
        <w:rPr>
          <w:sz w:val="16"/>
        </w:rPr>
      </w:pPr>
      <w:r>
        <w:rPr>
          <w:color w:val="231F20"/>
          <w:sz w:val="16"/>
        </w:rPr>
        <w:t>attempt   36</w:t>
      </w:r>
      <w:r>
        <w:rPr>
          <w:i/>
          <w:color w:val="231F20"/>
          <w:sz w:val="16"/>
        </w:rPr>
        <w:t xml:space="preserve">, </w:t>
      </w:r>
      <w:r>
        <w:rPr>
          <w:color w:val="231F20"/>
          <w:sz w:val="16"/>
        </w:rPr>
        <w:t xml:space="preserve">582; mentioned by  </w:t>
      </w:r>
      <w:r w:rsidR="00C507A5">
        <w:rPr>
          <w:color w:val="231F20"/>
          <w:sz w:val="16"/>
        </w:rPr>
        <w:t>red army faction</w:t>
      </w:r>
    </w:p>
    <w:p w14:paraId="505F9DFA" w14:textId="77777777" w:rsidR="002653E8" w:rsidRDefault="003115E3">
      <w:pPr>
        <w:spacing w:before="32"/>
        <w:ind w:left="1347"/>
        <w:rPr>
          <w:i/>
          <w:sz w:val="16"/>
        </w:rPr>
      </w:pPr>
      <w:r>
        <w:rPr>
          <w:color w:val="231F20"/>
          <w:w w:val="110"/>
          <w:sz w:val="16"/>
        </w:rPr>
        <w:t>224</w:t>
      </w:r>
      <w:r>
        <w:rPr>
          <w:i/>
          <w:color w:val="231F20"/>
          <w:w w:val="110"/>
          <w:sz w:val="16"/>
        </w:rPr>
        <w:t xml:space="preserve">, </w:t>
      </w:r>
      <w:r>
        <w:rPr>
          <w:color w:val="231F20"/>
          <w:w w:val="110"/>
          <w:sz w:val="16"/>
        </w:rPr>
        <w:t xml:space="preserve">229; on </w:t>
      </w:r>
      <w:r w:rsidR="00C507A5">
        <w:rPr>
          <w:color w:val="231F20"/>
          <w:w w:val="110"/>
          <w:sz w:val="16"/>
        </w:rPr>
        <w:t>red army faction</w:t>
      </w:r>
      <w:r>
        <w:rPr>
          <w:color w:val="231F20"/>
          <w:w w:val="110"/>
          <w:sz w:val="16"/>
        </w:rPr>
        <w:t xml:space="preserve"> 127</w:t>
      </w:r>
      <w:r>
        <w:rPr>
          <w:i/>
          <w:color w:val="231F20"/>
          <w:w w:val="110"/>
          <w:sz w:val="16"/>
        </w:rPr>
        <w:t xml:space="preserve">, </w:t>
      </w:r>
      <w:r>
        <w:rPr>
          <w:color w:val="231F20"/>
          <w:w w:val="110"/>
          <w:sz w:val="16"/>
        </w:rPr>
        <w:t>316</w:t>
      </w:r>
      <w:r>
        <w:rPr>
          <w:i/>
          <w:color w:val="231F20"/>
          <w:w w:val="110"/>
          <w:sz w:val="16"/>
        </w:rPr>
        <w:t xml:space="preserve">, </w:t>
      </w:r>
      <w:r>
        <w:rPr>
          <w:color w:val="231F20"/>
          <w:w w:val="110"/>
          <w:sz w:val="16"/>
        </w:rPr>
        <w:t>387</w:t>
      </w:r>
      <w:r>
        <w:rPr>
          <w:i/>
          <w:color w:val="231F20"/>
          <w:w w:val="110"/>
          <w:sz w:val="16"/>
        </w:rPr>
        <w:t>,</w:t>
      </w:r>
    </w:p>
    <w:p w14:paraId="7F3C528A" w14:textId="77777777" w:rsidR="002653E8" w:rsidRDefault="003115E3">
      <w:pPr>
        <w:spacing w:before="32"/>
        <w:ind w:left="1347"/>
        <w:rPr>
          <w:i/>
          <w:sz w:val="16"/>
        </w:rPr>
      </w:pPr>
      <w:r>
        <w:rPr>
          <w:color w:val="231F20"/>
          <w:sz w:val="16"/>
        </w:rPr>
        <w:t>413</w:t>
      </w:r>
      <w:r>
        <w:rPr>
          <w:i/>
          <w:color w:val="231F20"/>
          <w:sz w:val="16"/>
        </w:rPr>
        <w:t xml:space="preserve">, </w:t>
      </w:r>
      <w:r>
        <w:rPr>
          <w:color w:val="231F20"/>
          <w:sz w:val="16"/>
        </w:rPr>
        <w:t>627; right-wing propaganda 33</w:t>
      </w:r>
      <w:r>
        <w:rPr>
          <w:i/>
          <w:color w:val="231F20"/>
          <w:sz w:val="16"/>
        </w:rPr>
        <w:t>,</w:t>
      </w:r>
    </w:p>
    <w:p w14:paraId="4837665A" w14:textId="77777777" w:rsidR="002653E8" w:rsidRPr="00846956" w:rsidRDefault="003115E3">
      <w:pPr>
        <w:spacing w:before="33"/>
        <w:ind w:left="1347"/>
        <w:rPr>
          <w:sz w:val="16"/>
          <w:lang w:val="de-DE"/>
        </w:rPr>
      </w:pPr>
      <w:r w:rsidRPr="00846956">
        <w:rPr>
          <w:color w:val="231F20"/>
          <w:w w:val="110"/>
          <w:sz w:val="16"/>
          <w:lang w:val="de-DE"/>
        </w:rPr>
        <w:t>33–34</w:t>
      </w:r>
      <w:r w:rsidRPr="00846956">
        <w:rPr>
          <w:i/>
          <w:color w:val="231F20"/>
          <w:w w:val="110"/>
          <w:sz w:val="16"/>
          <w:lang w:val="de-DE"/>
        </w:rPr>
        <w:t xml:space="preserve">, </w:t>
      </w:r>
      <w:r w:rsidRPr="00846956">
        <w:rPr>
          <w:color w:val="231F20"/>
          <w:w w:val="110"/>
          <w:sz w:val="16"/>
          <w:lang w:val="de-DE"/>
        </w:rPr>
        <w:t>98</w:t>
      </w:r>
      <w:r w:rsidRPr="00846956">
        <w:rPr>
          <w:i/>
          <w:color w:val="231F20"/>
          <w:w w:val="110"/>
          <w:sz w:val="16"/>
          <w:lang w:val="de-DE"/>
        </w:rPr>
        <w:t xml:space="preserve">, </w:t>
      </w:r>
      <w:r w:rsidRPr="00846956">
        <w:rPr>
          <w:color w:val="231F20"/>
          <w:w w:val="110"/>
          <w:sz w:val="16"/>
          <w:lang w:val="de-DE"/>
        </w:rPr>
        <w:t>103</w:t>
      </w:r>
      <w:r w:rsidRPr="00846956">
        <w:rPr>
          <w:i/>
          <w:color w:val="231F20"/>
          <w:w w:val="110"/>
          <w:sz w:val="16"/>
          <w:lang w:val="de-DE"/>
        </w:rPr>
        <w:t xml:space="preserve">, </w:t>
      </w:r>
      <w:r w:rsidRPr="00846956">
        <w:rPr>
          <w:color w:val="231F20"/>
          <w:w w:val="110"/>
          <w:sz w:val="16"/>
          <w:lang w:val="de-DE"/>
        </w:rPr>
        <w:t>104</w:t>
      </w:r>
      <w:r w:rsidRPr="00846956">
        <w:rPr>
          <w:i/>
          <w:color w:val="231F20"/>
          <w:w w:val="110"/>
          <w:sz w:val="16"/>
          <w:lang w:val="de-DE"/>
        </w:rPr>
        <w:t xml:space="preserve">, </w:t>
      </w:r>
      <w:r w:rsidRPr="00846956">
        <w:rPr>
          <w:color w:val="231F20"/>
          <w:w w:val="110"/>
          <w:sz w:val="16"/>
          <w:lang w:val="de-DE"/>
        </w:rPr>
        <w:t>112</w:t>
      </w:r>
      <w:r w:rsidRPr="00846956">
        <w:rPr>
          <w:i/>
          <w:color w:val="231F20"/>
          <w:w w:val="110"/>
          <w:sz w:val="16"/>
          <w:lang w:val="de-DE"/>
        </w:rPr>
        <w:t xml:space="preserve">, </w:t>
      </w:r>
      <w:r w:rsidRPr="00846956">
        <w:rPr>
          <w:color w:val="231F20"/>
          <w:w w:val="110"/>
          <w:sz w:val="16"/>
          <w:lang w:val="de-DE"/>
        </w:rPr>
        <w:t>232</w:t>
      </w:r>
      <w:r w:rsidRPr="00846956">
        <w:rPr>
          <w:i/>
          <w:color w:val="231F20"/>
          <w:w w:val="110"/>
          <w:sz w:val="16"/>
          <w:lang w:val="de-DE"/>
        </w:rPr>
        <w:t xml:space="preserve">, </w:t>
      </w:r>
      <w:r w:rsidRPr="00846956">
        <w:rPr>
          <w:color w:val="231F20"/>
          <w:w w:val="110"/>
          <w:sz w:val="16"/>
          <w:lang w:val="de-DE"/>
        </w:rPr>
        <w:t>235</w:t>
      </w:r>
    </w:p>
    <w:p w14:paraId="105E6C08" w14:textId="77777777" w:rsidR="002653E8" w:rsidRPr="00846956" w:rsidRDefault="003115E3">
      <w:pPr>
        <w:spacing w:before="32"/>
        <w:ind w:left="1147"/>
        <w:rPr>
          <w:sz w:val="16"/>
          <w:lang w:val="de-DE"/>
        </w:rPr>
      </w:pPr>
      <w:r w:rsidRPr="00846956">
        <w:rPr>
          <w:color w:val="231F20"/>
          <w:sz w:val="16"/>
          <w:lang w:val="de-DE"/>
        </w:rPr>
        <w:t>Bismarck Socialist Laws 373</w:t>
      </w:r>
    </w:p>
    <w:p w14:paraId="11632083" w14:textId="77777777" w:rsidR="002653E8" w:rsidRPr="00846956" w:rsidRDefault="003115E3">
      <w:pPr>
        <w:spacing w:before="33"/>
        <w:ind w:left="1147"/>
        <w:rPr>
          <w:i/>
          <w:sz w:val="16"/>
          <w:lang w:val="de-DE"/>
        </w:rPr>
      </w:pPr>
      <w:r w:rsidRPr="00846956">
        <w:rPr>
          <w:color w:val="231F20"/>
          <w:sz w:val="16"/>
          <w:lang w:val="de-DE"/>
        </w:rPr>
        <w:t>BKA  (Bundeskriminalamt)  115–116</w:t>
      </w:r>
      <w:r w:rsidRPr="00846956">
        <w:rPr>
          <w:i/>
          <w:color w:val="231F20"/>
          <w:sz w:val="16"/>
          <w:lang w:val="de-DE"/>
        </w:rPr>
        <w:t>,</w:t>
      </w:r>
    </w:p>
    <w:p w14:paraId="22E2FE82" w14:textId="77777777" w:rsidR="002653E8" w:rsidRDefault="003115E3">
      <w:pPr>
        <w:spacing w:before="32" w:line="280" w:lineRule="auto"/>
        <w:ind w:left="1347"/>
        <w:rPr>
          <w:i/>
          <w:sz w:val="16"/>
        </w:rPr>
      </w:pPr>
      <w:r>
        <w:rPr>
          <w:color w:val="231F20"/>
          <w:w w:val="105"/>
          <w:sz w:val="16"/>
        </w:rPr>
        <w:t>449</w:t>
      </w:r>
      <w:r>
        <w:rPr>
          <w:i/>
          <w:color w:val="231F20"/>
          <w:w w:val="105"/>
          <w:sz w:val="16"/>
        </w:rPr>
        <w:t xml:space="preserve">, </w:t>
      </w:r>
      <w:r>
        <w:rPr>
          <w:color w:val="231F20"/>
          <w:w w:val="105"/>
          <w:sz w:val="16"/>
        </w:rPr>
        <w:t>587</w:t>
      </w:r>
      <w:r>
        <w:rPr>
          <w:i/>
          <w:color w:val="231F20"/>
          <w:w w:val="105"/>
          <w:sz w:val="16"/>
        </w:rPr>
        <w:t xml:space="preserve">, </w:t>
      </w:r>
      <w:r>
        <w:rPr>
          <w:color w:val="231F20"/>
          <w:w w:val="105"/>
          <w:sz w:val="16"/>
        </w:rPr>
        <w:t>604</w:t>
      </w:r>
      <w:r>
        <w:rPr>
          <w:i/>
          <w:color w:val="231F20"/>
          <w:w w:val="105"/>
          <w:sz w:val="16"/>
        </w:rPr>
        <w:t xml:space="preserve">. See also </w:t>
      </w:r>
      <w:r>
        <w:rPr>
          <w:color w:val="231F20"/>
          <w:w w:val="105"/>
          <w:sz w:val="16"/>
        </w:rPr>
        <w:t>Bonn Security Group</w:t>
      </w:r>
      <w:r>
        <w:rPr>
          <w:i/>
          <w:color w:val="231F20"/>
          <w:w w:val="105"/>
          <w:sz w:val="16"/>
        </w:rPr>
        <w:t xml:space="preserve">; See also </w:t>
      </w:r>
      <w:r>
        <w:rPr>
          <w:color w:val="231F20"/>
          <w:w w:val="105"/>
          <w:sz w:val="16"/>
        </w:rPr>
        <w:t>psychological warfare: BKA; attacks on lawyers 313</w:t>
      </w:r>
      <w:r>
        <w:rPr>
          <w:i/>
          <w:color w:val="231F20"/>
          <w:w w:val="105"/>
          <w:sz w:val="16"/>
        </w:rPr>
        <w:t xml:space="preserve">, </w:t>
      </w:r>
      <w:r>
        <w:rPr>
          <w:color w:val="231F20"/>
          <w:w w:val="105"/>
          <w:sz w:val="16"/>
        </w:rPr>
        <w:t>420; Baader-Meinhof Special Commission 116</w:t>
      </w:r>
      <w:r>
        <w:rPr>
          <w:i/>
          <w:color w:val="231F20"/>
          <w:w w:val="105"/>
          <w:sz w:val="16"/>
        </w:rPr>
        <w:t xml:space="preserve">, </w:t>
      </w:r>
      <w:r>
        <w:rPr>
          <w:color w:val="231F20"/>
          <w:w w:val="105"/>
          <w:sz w:val="16"/>
        </w:rPr>
        <w:t xml:space="preserve">588; mentioned by </w:t>
      </w:r>
      <w:r w:rsidR="00C507A5">
        <w:rPr>
          <w:color w:val="231F20"/>
          <w:w w:val="105"/>
          <w:sz w:val="16"/>
        </w:rPr>
        <w:t>red army faction</w:t>
      </w:r>
      <w:r>
        <w:rPr>
          <w:color w:val="231F20"/>
          <w:w w:val="105"/>
          <w:sz w:val="16"/>
        </w:rPr>
        <w:t xml:space="preserve"> 184</w:t>
      </w:r>
      <w:r>
        <w:rPr>
          <w:i/>
          <w:color w:val="231F20"/>
          <w:w w:val="105"/>
          <w:sz w:val="16"/>
        </w:rPr>
        <w:t>,</w:t>
      </w:r>
    </w:p>
    <w:p w14:paraId="794A8E8D" w14:textId="77777777" w:rsidR="002653E8" w:rsidRDefault="003115E3">
      <w:pPr>
        <w:spacing w:before="3"/>
        <w:ind w:left="1347"/>
        <w:rPr>
          <w:sz w:val="16"/>
        </w:rPr>
      </w:pPr>
      <w:r>
        <w:rPr>
          <w:color w:val="231F20"/>
          <w:w w:val="105"/>
          <w:sz w:val="16"/>
        </w:rPr>
        <w:t>309</w:t>
      </w:r>
      <w:r>
        <w:rPr>
          <w:i/>
          <w:color w:val="231F20"/>
          <w:w w:val="105"/>
          <w:sz w:val="16"/>
        </w:rPr>
        <w:t xml:space="preserve">, </w:t>
      </w:r>
      <w:r>
        <w:rPr>
          <w:color w:val="231F20"/>
          <w:w w:val="105"/>
          <w:sz w:val="16"/>
        </w:rPr>
        <w:t>311</w:t>
      </w:r>
      <w:r>
        <w:rPr>
          <w:i/>
          <w:color w:val="231F20"/>
          <w:w w:val="105"/>
          <w:sz w:val="16"/>
        </w:rPr>
        <w:t xml:space="preserve">, </w:t>
      </w:r>
      <w:r>
        <w:rPr>
          <w:color w:val="231F20"/>
          <w:w w:val="105"/>
          <w:sz w:val="16"/>
        </w:rPr>
        <w:t>425</w:t>
      </w:r>
      <w:r>
        <w:rPr>
          <w:i/>
          <w:color w:val="231F20"/>
          <w:w w:val="105"/>
          <w:sz w:val="16"/>
        </w:rPr>
        <w:t xml:space="preserve">, </w:t>
      </w:r>
      <w:r>
        <w:rPr>
          <w:color w:val="231F20"/>
          <w:w w:val="105"/>
          <w:sz w:val="16"/>
        </w:rPr>
        <w:t>431; Operation Cobra</w:t>
      </w:r>
    </w:p>
    <w:p w14:paraId="3C4BA272" w14:textId="77777777" w:rsidR="002653E8" w:rsidRDefault="003115E3">
      <w:pPr>
        <w:spacing w:before="32"/>
        <w:ind w:left="1347"/>
        <w:rPr>
          <w:sz w:val="16"/>
        </w:rPr>
      </w:pPr>
      <w:r>
        <w:rPr>
          <w:color w:val="231F20"/>
          <w:w w:val="105"/>
          <w:sz w:val="16"/>
        </w:rPr>
        <w:t>107</w:t>
      </w:r>
      <w:r>
        <w:rPr>
          <w:i/>
          <w:color w:val="231F20"/>
          <w:w w:val="105"/>
          <w:sz w:val="16"/>
        </w:rPr>
        <w:t xml:space="preserve">, </w:t>
      </w:r>
      <w:r>
        <w:rPr>
          <w:color w:val="231F20"/>
          <w:w w:val="105"/>
          <w:sz w:val="16"/>
        </w:rPr>
        <w:t>587; Operation Washout 591;</w:t>
      </w:r>
    </w:p>
    <w:p w14:paraId="3CA3C68E" w14:textId="77777777" w:rsidR="002653E8" w:rsidRDefault="003115E3">
      <w:pPr>
        <w:spacing w:before="33"/>
        <w:ind w:left="1347"/>
        <w:rPr>
          <w:i/>
          <w:sz w:val="16"/>
        </w:rPr>
      </w:pPr>
      <w:r>
        <w:rPr>
          <w:color w:val="231F20"/>
          <w:w w:val="105"/>
          <w:sz w:val="16"/>
        </w:rPr>
        <w:t>Operation Winter Trip 266–267</w:t>
      </w:r>
      <w:r>
        <w:rPr>
          <w:i/>
          <w:color w:val="231F20"/>
          <w:w w:val="105"/>
          <w:sz w:val="16"/>
        </w:rPr>
        <w:t xml:space="preserve">, </w:t>
      </w:r>
      <w:r>
        <w:rPr>
          <w:color w:val="231F20"/>
          <w:w w:val="105"/>
          <w:sz w:val="16"/>
        </w:rPr>
        <w:t>344</w:t>
      </w:r>
      <w:r>
        <w:rPr>
          <w:i/>
          <w:color w:val="231F20"/>
          <w:w w:val="105"/>
          <w:sz w:val="16"/>
        </w:rPr>
        <w:t>,</w:t>
      </w:r>
    </w:p>
    <w:p w14:paraId="720518F0" w14:textId="77777777" w:rsidR="002653E8" w:rsidRDefault="003115E3">
      <w:pPr>
        <w:spacing w:before="32"/>
        <w:ind w:left="1347"/>
        <w:rPr>
          <w:i/>
          <w:sz w:val="16"/>
        </w:rPr>
      </w:pPr>
      <w:r>
        <w:rPr>
          <w:color w:val="231F20"/>
          <w:w w:val="110"/>
          <w:sz w:val="16"/>
        </w:rPr>
        <w:t>461</w:t>
      </w:r>
      <w:r>
        <w:rPr>
          <w:i/>
          <w:color w:val="231F20"/>
          <w:w w:val="110"/>
          <w:sz w:val="16"/>
        </w:rPr>
        <w:t xml:space="preserve">, </w:t>
      </w:r>
      <w:r>
        <w:rPr>
          <w:color w:val="231F20"/>
          <w:w w:val="110"/>
          <w:sz w:val="16"/>
        </w:rPr>
        <w:t xml:space="preserve">595; </w:t>
      </w:r>
      <w:r w:rsidR="00C507A5">
        <w:rPr>
          <w:color w:val="231F20"/>
          <w:w w:val="110"/>
          <w:sz w:val="16"/>
        </w:rPr>
        <w:t>red army faction</w:t>
      </w:r>
      <w:r>
        <w:rPr>
          <w:color w:val="231F20"/>
          <w:w w:val="110"/>
          <w:sz w:val="16"/>
        </w:rPr>
        <w:t>, hunt for 335</w:t>
      </w:r>
      <w:r>
        <w:rPr>
          <w:i/>
          <w:color w:val="231F20"/>
          <w:w w:val="110"/>
          <w:sz w:val="16"/>
        </w:rPr>
        <w:t xml:space="preserve">, </w:t>
      </w:r>
      <w:r>
        <w:rPr>
          <w:color w:val="231F20"/>
          <w:w w:val="110"/>
          <w:sz w:val="16"/>
        </w:rPr>
        <w:t>369</w:t>
      </w:r>
      <w:r>
        <w:rPr>
          <w:i/>
          <w:color w:val="231F20"/>
          <w:w w:val="110"/>
          <w:sz w:val="16"/>
        </w:rPr>
        <w:t>,</w:t>
      </w:r>
    </w:p>
    <w:p w14:paraId="489AA9D8" w14:textId="77777777" w:rsidR="002653E8" w:rsidRDefault="003115E3">
      <w:pPr>
        <w:spacing w:before="32"/>
        <w:ind w:left="1347"/>
        <w:rPr>
          <w:sz w:val="16"/>
        </w:rPr>
      </w:pPr>
      <w:r>
        <w:rPr>
          <w:color w:val="231F20"/>
          <w:w w:val="105"/>
          <w:sz w:val="16"/>
        </w:rPr>
        <w:t>413</w:t>
      </w:r>
      <w:r>
        <w:rPr>
          <w:i/>
          <w:color w:val="231F20"/>
          <w:w w:val="105"/>
          <w:sz w:val="16"/>
        </w:rPr>
        <w:t xml:space="preserve">, </w:t>
      </w:r>
      <w:r>
        <w:rPr>
          <w:color w:val="231F20"/>
          <w:w w:val="105"/>
          <w:sz w:val="16"/>
        </w:rPr>
        <w:t>531</w:t>
      </w:r>
      <w:r>
        <w:rPr>
          <w:i/>
          <w:color w:val="231F20"/>
          <w:w w:val="105"/>
          <w:sz w:val="16"/>
        </w:rPr>
        <w:t xml:space="preserve">, </w:t>
      </w:r>
      <w:r>
        <w:rPr>
          <w:color w:val="231F20"/>
          <w:w w:val="105"/>
          <w:sz w:val="16"/>
        </w:rPr>
        <w:t>591</w:t>
      </w:r>
      <w:r>
        <w:rPr>
          <w:i/>
          <w:color w:val="231F20"/>
          <w:w w:val="105"/>
          <w:sz w:val="16"/>
        </w:rPr>
        <w:t xml:space="preserve">, </w:t>
      </w:r>
      <w:r>
        <w:rPr>
          <w:color w:val="231F20"/>
          <w:w w:val="105"/>
          <w:sz w:val="16"/>
        </w:rPr>
        <w:t xml:space="preserve">595; </w:t>
      </w:r>
      <w:r w:rsidR="00C507A5">
        <w:rPr>
          <w:color w:val="231F20"/>
          <w:w w:val="105"/>
          <w:sz w:val="16"/>
        </w:rPr>
        <w:t>red army faction</w:t>
      </w:r>
      <w:r>
        <w:rPr>
          <w:color w:val="231F20"/>
          <w:w w:val="105"/>
          <w:sz w:val="16"/>
        </w:rPr>
        <w:t xml:space="preserve"> </w:t>
      </w:r>
      <w:r>
        <w:rPr>
          <w:color w:val="231F20"/>
          <w:w w:val="105"/>
          <w:sz w:val="16"/>
        </w:rPr>
        <w:t>prisoners</w:t>
      </w:r>
    </w:p>
    <w:p w14:paraId="7072AAA4" w14:textId="77777777" w:rsidR="002653E8" w:rsidRDefault="003115E3">
      <w:pPr>
        <w:spacing w:before="33"/>
        <w:ind w:left="1347"/>
        <w:rPr>
          <w:sz w:val="16"/>
        </w:rPr>
      </w:pPr>
      <w:r>
        <w:rPr>
          <w:color w:val="231F20"/>
          <w:w w:val="110"/>
          <w:sz w:val="16"/>
        </w:rPr>
        <w:t>242</w:t>
      </w:r>
      <w:r>
        <w:rPr>
          <w:i/>
          <w:color w:val="231F20"/>
          <w:w w:val="110"/>
          <w:sz w:val="16"/>
        </w:rPr>
        <w:t xml:space="preserve">, </w:t>
      </w:r>
      <w:r>
        <w:rPr>
          <w:color w:val="231F20"/>
          <w:w w:val="110"/>
          <w:sz w:val="16"/>
        </w:rPr>
        <w:t>290</w:t>
      </w:r>
      <w:r>
        <w:rPr>
          <w:i/>
          <w:color w:val="231F20"/>
          <w:w w:val="110"/>
          <w:sz w:val="16"/>
        </w:rPr>
        <w:t xml:space="preserve">, </w:t>
      </w:r>
      <w:r>
        <w:rPr>
          <w:color w:val="231F20"/>
          <w:w w:val="110"/>
          <w:sz w:val="16"/>
        </w:rPr>
        <w:t>304</w:t>
      </w:r>
      <w:r>
        <w:rPr>
          <w:i/>
          <w:color w:val="231F20"/>
          <w:w w:val="110"/>
          <w:sz w:val="16"/>
        </w:rPr>
        <w:t xml:space="preserve">, </w:t>
      </w:r>
      <w:r>
        <w:rPr>
          <w:color w:val="231F20"/>
          <w:w w:val="110"/>
          <w:sz w:val="16"/>
        </w:rPr>
        <w:t>490</w:t>
      </w:r>
      <w:r>
        <w:rPr>
          <w:i/>
          <w:color w:val="231F20"/>
          <w:w w:val="110"/>
          <w:sz w:val="16"/>
        </w:rPr>
        <w:t xml:space="preserve">, </w:t>
      </w:r>
      <w:r>
        <w:rPr>
          <w:color w:val="231F20"/>
          <w:w w:val="110"/>
          <w:sz w:val="16"/>
        </w:rPr>
        <w:t>519</w:t>
      </w:r>
      <w:r>
        <w:rPr>
          <w:i/>
          <w:color w:val="231F20"/>
          <w:w w:val="110"/>
          <w:sz w:val="16"/>
        </w:rPr>
        <w:t xml:space="preserve">, </w:t>
      </w:r>
      <w:r>
        <w:rPr>
          <w:color w:val="231F20"/>
          <w:w w:val="110"/>
          <w:sz w:val="16"/>
        </w:rPr>
        <w:t>593</w:t>
      </w:r>
      <w:r>
        <w:rPr>
          <w:i/>
          <w:color w:val="231F20"/>
          <w:w w:val="110"/>
          <w:sz w:val="16"/>
        </w:rPr>
        <w:t xml:space="preserve">, </w:t>
      </w:r>
      <w:r>
        <w:rPr>
          <w:color w:val="231F20"/>
          <w:w w:val="110"/>
          <w:sz w:val="16"/>
        </w:rPr>
        <w:t>621;</w:t>
      </w:r>
    </w:p>
    <w:p w14:paraId="7A095A59" w14:textId="77777777" w:rsidR="002653E8" w:rsidRDefault="00C507A5">
      <w:pPr>
        <w:spacing w:before="32"/>
        <w:ind w:left="1347"/>
        <w:rPr>
          <w:i/>
          <w:sz w:val="16"/>
        </w:rPr>
      </w:pPr>
      <w:r>
        <w:rPr>
          <w:color w:val="231F20"/>
          <w:w w:val="110"/>
          <w:sz w:val="16"/>
        </w:rPr>
        <w:t>red army faction</w:t>
      </w:r>
      <w:r w:rsidR="003115E3">
        <w:rPr>
          <w:color w:val="231F20"/>
          <w:w w:val="110"/>
          <w:sz w:val="16"/>
        </w:rPr>
        <w:t xml:space="preserve"> trials 121</w:t>
      </w:r>
      <w:r w:rsidR="003115E3">
        <w:rPr>
          <w:i/>
          <w:color w:val="231F20"/>
          <w:w w:val="110"/>
          <w:sz w:val="16"/>
        </w:rPr>
        <w:t xml:space="preserve">, </w:t>
      </w:r>
      <w:r w:rsidR="003115E3">
        <w:rPr>
          <w:color w:val="231F20"/>
          <w:w w:val="110"/>
          <w:sz w:val="16"/>
        </w:rPr>
        <w:t>286</w:t>
      </w:r>
      <w:r w:rsidR="003115E3">
        <w:rPr>
          <w:i/>
          <w:color w:val="231F20"/>
          <w:w w:val="110"/>
          <w:sz w:val="16"/>
        </w:rPr>
        <w:t xml:space="preserve">, </w:t>
      </w:r>
      <w:r w:rsidR="003115E3">
        <w:rPr>
          <w:color w:val="231F20"/>
          <w:w w:val="110"/>
          <w:sz w:val="16"/>
        </w:rPr>
        <w:t>353</w:t>
      </w:r>
      <w:r w:rsidR="003115E3">
        <w:rPr>
          <w:i/>
          <w:color w:val="231F20"/>
          <w:w w:val="110"/>
          <w:sz w:val="16"/>
        </w:rPr>
        <w:t xml:space="preserve">, </w:t>
      </w:r>
      <w:r w:rsidR="003115E3">
        <w:rPr>
          <w:color w:val="231F20"/>
          <w:w w:val="110"/>
          <w:sz w:val="16"/>
        </w:rPr>
        <w:t>359</w:t>
      </w:r>
      <w:r w:rsidR="003115E3">
        <w:rPr>
          <w:i/>
          <w:color w:val="231F20"/>
          <w:w w:val="110"/>
          <w:sz w:val="16"/>
        </w:rPr>
        <w:t xml:space="preserve">, </w:t>
      </w:r>
      <w:r w:rsidR="003115E3">
        <w:rPr>
          <w:color w:val="231F20"/>
          <w:w w:val="110"/>
          <w:sz w:val="16"/>
        </w:rPr>
        <w:t>373</w:t>
      </w:r>
      <w:r w:rsidR="003115E3">
        <w:rPr>
          <w:i/>
          <w:color w:val="231F20"/>
          <w:w w:val="110"/>
          <w:sz w:val="16"/>
        </w:rPr>
        <w:t>,</w:t>
      </w:r>
    </w:p>
    <w:p w14:paraId="53DC0370" w14:textId="77777777" w:rsidR="002653E8" w:rsidRDefault="003115E3">
      <w:pPr>
        <w:spacing w:before="86"/>
        <w:ind w:left="443"/>
        <w:rPr>
          <w:i/>
          <w:sz w:val="16"/>
        </w:rPr>
      </w:pPr>
      <w:r>
        <w:br w:type="column"/>
      </w:r>
      <w:r>
        <w:rPr>
          <w:color w:val="231F20"/>
          <w:sz w:val="16"/>
        </w:rPr>
        <w:lastRenderedPageBreak/>
        <w:t>419</w:t>
      </w:r>
      <w:r>
        <w:rPr>
          <w:i/>
          <w:color w:val="231F20"/>
          <w:sz w:val="16"/>
        </w:rPr>
        <w:t xml:space="preserve">, </w:t>
      </w:r>
      <w:r>
        <w:rPr>
          <w:color w:val="231F20"/>
          <w:sz w:val="16"/>
        </w:rPr>
        <w:t>423; Schleyer kidnapping 499</w:t>
      </w:r>
      <w:r>
        <w:rPr>
          <w:i/>
          <w:color w:val="231F20"/>
          <w:sz w:val="16"/>
        </w:rPr>
        <w:t>,</w:t>
      </w:r>
    </w:p>
    <w:p w14:paraId="3A7CCA50" w14:textId="77777777" w:rsidR="002653E8" w:rsidRDefault="003115E3">
      <w:pPr>
        <w:spacing w:before="33"/>
        <w:ind w:left="443"/>
        <w:rPr>
          <w:sz w:val="16"/>
        </w:rPr>
      </w:pPr>
      <w:r>
        <w:rPr>
          <w:color w:val="231F20"/>
          <w:w w:val="110"/>
          <w:sz w:val="16"/>
        </w:rPr>
        <w:t>500</w:t>
      </w:r>
      <w:r>
        <w:rPr>
          <w:i/>
          <w:color w:val="231F20"/>
          <w:w w:val="110"/>
          <w:sz w:val="16"/>
        </w:rPr>
        <w:t xml:space="preserve">, </w:t>
      </w:r>
      <w:r>
        <w:rPr>
          <w:color w:val="231F20"/>
          <w:w w:val="110"/>
          <w:sz w:val="16"/>
        </w:rPr>
        <w:t>501</w:t>
      </w:r>
      <w:r>
        <w:rPr>
          <w:i/>
          <w:color w:val="231F20"/>
          <w:w w:val="110"/>
          <w:sz w:val="16"/>
        </w:rPr>
        <w:t xml:space="preserve">, </w:t>
      </w:r>
      <w:r>
        <w:rPr>
          <w:color w:val="231F20"/>
          <w:w w:val="110"/>
          <w:sz w:val="16"/>
        </w:rPr>
        <w:t>508</w:t>
      </w:r>
      <w:r>
        <w:rPr>
          <w:i/>
          <w:color w:val="231F20"/>
          <w:w w:val="110"/>
          <w:sz w:val="16"/>
        </w:rPr>
        <w:t xml:space="preserve">, </w:t>
      </w:r>
      <w:r>
        <w:rPr>
          <w:color w:val="231F20"/>
          <w:w w:val="110"/>
          <w:sz w:val="16"/>
        </w:rPr>
        <w:t>607</w:t>
      </w:r>
    </w:p>
    <w:p w14:paraId="606A24BF" w14:textId="77777777" w:rsidR="002653E8" w:rsidRDefault="003115E3">
      <w:pPr>
        <w:spacing w:before="32"/>
        <w:ind w:left="243"/>
        <w:rPr>
          <w:sz w:val="16"/>
        </w:rPr>
      </w:pPr>
      <w:r>
        <w:rPr>
          <w:color w:val="231F20"/>
          <w:w w:val="105"/>
          <w:sz w:val="16"/>
        </w:rPr>
        <w:t>Black Aid 115</w:t>
      </w:r>
      <w:r>
        <w:rPr>
          <w:i/>
          <w:color w:val="231F20"/>
          <w:w w:val="105"/>
          <w:sz w:val="16"/>
        </w:rPr>
        <w:t xml:space="preserve">, </w:t>
      </w:r>
      <w:r>
        <w:rPr>
          <w:color w:val="231F20"/>
          <w:w w:val="105"/>
          <w:sz w:val="16"/>
        </w:rPr>
        <w:t>160</w:t>
      </w:r>
      <w:r>
        <w:rPr>
          <w:i/>
          <w:color w:val="231F20"/>
          <w:w w:val="105"/>
          <w:sz w:val="16"/>
        </w:rPr>
        <w:t xml:space="preserve">, </w:t>
      </w:r>
      <w:r>
        <w:rPr>
          <w:color w:val="231F20"/>
          <w:w w:val="105"/>
          <w:sz w:val="16"/>
        </w:rPr>
        <w:t>352</w:t>
      </w:r>
    </w:p>
    <w:p w14:paraId="63108A60" w14:textId="77777777" w:rsidR="002653E8" w:rsidRDefault="003115E3">
      <w:pPr>
        <w:spacing w:before="33" w:line="280" w:lineRule="auto"/>
        <w:ind w:left="443" w:right="1335" w:hanging="200"/>
        <w:rPr>
          <w:sz w:val="16"/>
        </w:rPr>
      </w:pPr>
      <w:r>
        <w:rPr>
          <w:color w:val="231F20"/>
          <w:sz w:val="16"/>
        </w:rPr>
        <w:t xml:space="preserve">black liberation movement; mentioned by </w:t>
      </w:r>
      <w:r w:rsidR="00C507A5">
        <w:rPr>
          <w:color w:val="231F20"/>
          <w:sz w:val="16"/>
        </w:rPr>
        <w:t>red army faction</w:t>
      </w:r>
      <w:r>
        <w:rPr>
          <w:color w:val="231F20"/>
          <w:sz w:val="16"/>
        </w:rPr>
        <w:t xml:space="preserve"> 94</w:t>
      </w:r>
      <w:r>
        <w:rPr>
          <w:i/>
          <w:color w:val="231F20"/>
          <w:sz w:val="16"/>
        </w:rPr>
        <w:t xml:space="preserve">, </w:t>
      </w:r>
      <w:r>
        <w:rPr>
          <w:color w:val="231F20"/>
          <w:sz w:val="16"/>
        </w:rPr>
        <w:t>100</w:t>
      </w:r>
      <w:r>
        <w:rPr>
          <w:i/>
          <w:color w:val="231F20"/>
          <w:sz w:val="16"/>
        </w:rPr>
        <w:t xml:space="preserve">, </w:t>
      </w:r>
      <w:r>
        <w:rPr>
          <w:color w:val="231F20"/>
          <w:sz w:val="16"/>
        </w:rPr>
        <w:t>104</w:t>
      </w:r>
      <w:r>
        <w:rPr>
          <w:i/>
          <w:color w:val="231F20"/>
          <w:sz w:val="16"/>
        </w:rPr>
        <w:t xml:space="preserve">, </w:t>
      </w:r>
      <w:r>
        <w:rPr>
          <w:color w:val="231F20"/>
          <w:sz w:val="16"/>
        </w:rPr>
        <w:t>407</w:t>
      </w:r>
      <w:r>
        <w:rPr>
          <w:i/>
          <w:color w:val="231F20"/>
          <w:sz w:val="16"/>
        </w:rPr>
        <w:t xml:space="preserve">, </w:t>
      </w:r>
      <w:r>
        <w:rPr>
          <w:color w:val="231F20"/>
          <w:sz w:val="16"/>
        </w:rPr>
        <w:t>418; support</w:t>
      </w:r>
    </w:p>
    <w:p w14:paraId="0C9980A9" w14:textId="77777777" w:rsidR="002653E8" w:rsidRDefault="003115E3">
      <w:pPr>
        <w:spacing w:before="1"/>
        <w:ind w:left="443"/>
        <w:rPr>
          <w:sz w:val="16"/>
        </w:rPr>
      </w:pPr>
      <w:r>
        <w:rPr>
          <w:color w:val="231F20"/>
          <w:w w:val="105"/>
          <w:sz w:val="16"/>
        </w:rPr>
        <w:t>in FRG 199–200</w:t>
      </w:r>
    </w:p>
    <w:p w14:paraId="77E98991" w14:textId="77777777" w:rsidR="002653E8" w:rsidRDefault="003115E3">
      <w:pPr>
        <w:spacing w:before="32"/>
        <w:ind w:left="243"/>
        <w:rPr>
          <w:sz w:val="16"/>
        </w:rPr>
      </w:pPr>
      <w:r>
        <w:rPr>
          <w:color w:val="231F20"/>
          <w:sz w:val="16"/>
        </w:rPr>
        <w:t>Black Panther Party 104</w:t>
      </w:r>
      <w:r>
        <w:rPr>
          <w:i/>
          <w:color w:val="231F20"/>
          <w:sz w:val="16"/>
        </w:rPr>
        <w:t xml:space="preserve">, </w:t>
      </w:r>
      <w:r>
        <w:rPr>
          <w:color w:val="231F20"/>
          <w:sz w:val="16"/>
        </w:rPr>
        <w:t>105</w:t>
      </w:r>
      <w:r>
        <w:rPr>
          <w:i/>
          <w:color w:val="231F20"/>
          <w:sz w:val="16"/>
        </w:rPr>
        <w:t xml:space="preserve">, </w:t>
      </w:r>
      <w:r>
        <w:rPr>
          <w:color w:val="231F20"/>
          <w:sz w:val="16"/>
        </w:rPr>
        <w:t>200</w:t>
      </w:r>
      <w:r>
        <w:rPr>
          <w:i/>
          <w:color w:val="231F20"/>
          <w:sz w:val="16"/>
        </w:rPr>
        <w:t xml:space="preserve">, </w:t>
      </w:r>
      <w:r>
        <w:rPr>
          <w:color w:val="231F20"/>
          <w:sz w:val="16"/>
        </w:rPr>
        <w:t>418</w:t>
      </w:r>
    </w:p>
    <w:p w14:paraId="554F6607" w14:textId="77777777" w:rsidR="002653E8" w:rsidRDefault="003115E3">
      <w:pPr>
        <w:spacing w:before="32"/>
        <w:ind w:left="243"/>
        <w:rPr>
          <w:i/>
          <w:sz w:val="16"/>
        </w:rPr>
      </w:pPr>
      <w:r>
        <w:rPr>
          <w:color w:val="231F20"/>
          <w:w w:val="105"/>
          <w:sz w:val="16"/>
        </w:rPr>
        <w:t>Black September (massacre) 56</w:t>
      </w:r>
      <w:r>
        <w:rPr>
          <w:i/>
          <w:color w:val="231F20"/>
          <w:w w:val="105"/>
          <w:sz w:val="16"/>
        </w:rPr>
        <w:t xml:space="preserve">, </w:t>
      </w:r>
      <w:r>
        <w:rPr>
          <w:color w:val="231F20"/>
          <w:w w:val="105"/>
          <w:sz w:val="16"/>
        </w:rPr>
        <w:t>188</w:t>
      </w:r>
      <w:r>
        <w:rPr>
          <w:i/>
          <w:color w:val="231F20"/>
          <w:w w:val="105"/>
          <w:sz w:val="16"/>
        </w:rPr>
        <w:t xml:space="preserve">, </w:t>
      </w:r>
      <w:r>
        <w:rPr>
          <w:color w:val="231F20"/>
          <w:w w:val="105"/>
          <w:sz w:val="16"/>
        </w:rPr>
        <w:t>558</w:t>
      </w:r>
      <w:r>
        <w:rPr>
          <w:i/>
          <w:color w:val="231F20"/>
          <w:w w:val="105"/>
          <w:sz w:val="16"/>
        </w:rPr>
        <w:t>,</w:t>
      </w:r>
    </w:p>
    <w:p w14:paraId="6209F92D" w14:textId="77777777" w:rsidR="002653E8" w:rsidRDefault="003115E3">
      <w:pPr>
        <w:spacing w:before="33"/>
        <w:ind w:left="443"/>
        <w:rPr>
          <w:sz w:val="16"/>
        </w:rPr>
      </w:pPr>
      <w:r>
        <w:rPr>
          <w:color w:val="231F20"/>
          <w:w w:val="105"/>
          <w:sz w:val="16"/>
        </w:rPr>
        <w:t>559–560</w:t>
      </w:r>
      <w:r>
        <w:rPr>
          <w:i/>
          <w:color w:val="231F20"/>
          <w:w w:val="105"/>
          <w:sz w:val="16"/>
        </w:rPr>
        <w:t xml:space="preserve">, </w:t>
      </w:r>
      <w:r>
        <w:rPr>
          <w:color w:val="231F20"/>
          <w:w w:val="105"/>
          <w:sz w:val="16"/>
        </w:rPr>
        <w:t>584</w:t>
      </w:r>
    </w:p>
    <w:p w14:paraId="33A91CFF" w14:textId="77777777" w:rsidR="002653E8" w:rsidRDefault="003115E3">
      <w:pPr>
        <w:spacing w:before="32" w:line="280" w:lineRule="auto"/>
        <w:ind w:left="443" w:right="1382" w:hanging="200"/>
        <w:rPr>
          <w:sz w:val="16"/>
        </w:rPr>
      </w:pPr>
      <w:r>
        <w:rPr>
          <w:color w:val="231F20"/>
          <w:sz w:val="16"/>
        </w:rPr>
        <w:t>Black September (organization) 56; assassination of Jordanians (1972) 193; Esso Oil pipeline bombing</w:t>
      </w:r>
      <w:r>
        <w:rPr>
          <w:color w:val="231F20"/>
          <w:spacing w:val="18"/>
          <w:sz w:val="16"/>
        </w:rPr>
        <w:t xml:space="preserve"> </w:t>
      </w:r>
      <w:r>
        <w:rPr>
          <w:color w:val="231F20"/>
          <w:sz w:val="16"/>
        </w:rPr>
        <w:t>(1972)</w:t>
      </w:r>
    </w:p>
    <w:p w14:paraId="79CA40D2" w14:textId="77777777" w:rsidR="002653E8" w:rsidRDefault="003115E3">
      <w:pPr>
        <w:spacing w:before="2"/>
        <w:ind w:left="443"/>
        <w:rPr>
          <w:sz w:val="16"/>
        </w:rPr>
      </w:pPr>
      <w:r>
        <w:rPr>
          <w:color w:val="231F20"/>
          <w:sz w:val="16"/>
        </w:rPr>
        <w:t>193; Lufthansa skyjacking (1972)</w:t>
      </w:r>
    </w:p>
    <w:p w14:paraId="5F259E7D" w14:textId="77777777" w:rsidR="002653E8" w:rsidRDefault="003115E3">
      <w:pPr>
        <w:spacing w:before="32"/>
        <w:ind w:left="443"/>
        <w:rPr>
          <w:sz w:val="16"/>
        </w:rPr>
      </w:pPr>
      <w:r>
        <w:rPr>
          <w:color w:val="231F20"/>
          <w:w w:val="105"/>
          <w:sz w:val="16"/>
        </w:rPr>
        <w:t>191</w:t>
      </w:r>
      <w:r>
        <w:rPr>
          <w:i/>
          <w:color w:val="231F20"/>
          <w:w w:val="105"/>
          <w:sz w:val="16"/>
        </w:rPr>
        <w:t xml:space="preserve">, </w:t>
      </w:r>
      <w:r>
        <w:rPr>
          <w:color w:val="231F20"/>
          <w:w w:val="105"/>
          <w:sz w:val="16"/>
        </w:rPr>
        <w:t>592; Munich Olympics hostage-</w:t>
      </w:r>
    </w:p>
    <w:p w14:paraId="413E1852" w14:textId="77777777" w:rsidR="002653E8" w:rsidRDefault="003115E3">
      <w:pPr>
        <w:spacing w:before="33"/>
        <w:ind w:left="443"/>
        <w:rPr>
          <w:i/>
          <w:sz w:val="16"/>
        </w:rPr>
      </w:pPr>
      <w:r>
        <w:rPr>
          <w:color w:val="231F20"/>
          <w:w w:val="105"/>
          <w:sz w:val="16"/>
        </w:rPr>
        <w:t>taking (1972) 187–195</w:t>
      </w:r>
      <w:r>
        <w:rPr>
          <w:i/>
          <w:color w:val="231F20"/>
          <w:w w:val="105"/>
          <w:sz w:val="16"/>
        </w:rPr>
        <w:t xml:space="preserve">, </w:t>
      </w:r>
      <w:r>
        <w:rPr>
          <w:color w:val="231F20"/>
          <w:w w:val="105"/>
          <w:sz w:val="16"/>
        </w:rPr>
        <w:t>204</w:t>
      </w:r>
      <w:r>
        <w:rPr>
          <w:i/>
          <w:color w:val="231F20"/>
          <w:w w:val="105"/>
          <w:sz w:val="16"/>
        </w:rPr>
        <w:t xml:space="preserve">, </w:t>
      </w:r>
      <w:r>
        <w:rPr>
          <w:color w:val="231F20"/>
          <w:w w:val="105"/>
          <w:sz w:val="16"/>
        </w:rPr>
        <w:t>332</w:t>
      </w:r>
      <w:r>
        <w:rPr>
          <w:i/>
          <w:color w:val="231F20"/>
          <w:w w:val="105"/>
          <w:sz w:val="16"/>
        </w:rPr>
        <w:t>,</w:t>
      </w:r>
    </w:p>
    <w:p w14:paraId="0637E5BF" w14:textId="77777777" w:rsidR="002653E8" w:rsidRDefault="003115E3">
      <w:pPr>
        <w:spacing w:before="32" w:line="280" w:lineRule="auto"/>
        <w:ind w:left="443" w:right="1335"/>
        <w:rPr>
          <w:sz w:val="16"/>
        </w:rPr>
      </w:pPr>
      <w:r>
        <w:rPr>
          <w:color w:val="231F20"/>
          <w:sz w:val="16"/>
        </w:rPr>
        <w:t>592; Sabena/Lod airport skyjacking (1972) 188</w:t>
      </w:r>
      <w:r>
        <w:rPr>
          <w:i/>
          <w:color w:val="231F20"/>
          <w:sz w:val="16"/>
        </w:rPr>
        <w:t xml:space="preserve">, </w:t>
      </w:r>
      <w:r>
        <w:rPr>
          <w:color w:val="231F20"/>
          <w:sz w:val="16"/>
        </w:rPr>
        <w:t>231; Strüver Corporation</w:t>
      </w:r>
    </w:p>
    <w:p w14:paraId="29758FB4" w14:textId="77777777" w:rsidR="002653E8" w:rsidRDefault="003115E3">
      <w:pPr>
        <w:spacing w:before="1" w:line="280" w:lineRule="auto"/>
        <w:ind w:left="443" w:right="1418"/>
        <w:jc w:val="both"/>
        <w:rPr>
          <w:sz w:val="16"/>
        </w:rPr>
      </w:pPr>
      <w:r>
        <w:rPr>
          <w:color w:val="231F20"/>
          <w:sz w:val="16"/>
        </w:rPr>
        <w:t>bombing (1972) 193</w:t>
      </w:r>
      <w:r>
        <w:rPr>
          <w:i/>
          <w:color w:val="231F20"/>
          <w:sz w:val="16"/>
        </w:rPr>
        <w:t xml:space="preserve">, </w:t>
      </w:r>
      <w:r>
        <w:rPr>
          <w:color w:val="231F20"/>
          <w:sz w:val="16"/>
        </w:rPr>
        <w:t xml:space="preserve">214; To All the Free People of the World (1972) 204; Khartoum embassy occupation (1973) 192; mentioned by </w:t>
      </w:r>
      <w:r w:rsidR="00C507A5">
        <w:rPr>
          <w:color w:val="231F20"/>
          <w:sz w:val="16"/>
        </w:rPr>
        <w:t>red army faction</w:t>
      </w:r>
      <w:r>
        <w:rPr>
          <w:color w:val="231F20"/>
          <w:sz w:val="16"/>
        </w:rPr>
        <w:t xml:space="preserve"> 206</w:t>
      </w:r>
      <w:r>
        <w:rPr>
          <w:i/>
          <w:color w:val="231F20"/>
          <w:sz w:val="16"/>
        </w:rPr>
        <w:t xml:space="preserve">, </w:t>
      </w:r>
      <w:r>
        <w:rPr>
          <w:color w:val="231F20"/>
          <w:sz w:val="16"/>
        </w:rPr>
        <w:t>219</w:t>
      </w:r>
    </w:p>
    <w:p w14:paraId="1E16B287" w14:textId="77777777" w:rsidR="002653E8" w:rsidRDefault="003115E3">
      <w:pPr>
        <w:spacing w:before="2"/>
        <w:ind w:left="243"/>
        <w:rPr>
          <w:i/>
          <w:sz w:val="16"/>
        </w:rPr>
      </w:pPr>
      <w:r>
        <w:rPr>
          <w:color w:val="231F20"/>
          <w:w w:val="110"/>
          <w:sz w:val="16"/>
        </w:rPr>
        <w:t>Blanqui, Louis-August 87</w:t>
      </w:r>
      <w:r>
        <w:rPr>
          <w:i/>
          <w:color w:val="231F20"/>
          <w:w w:val="110"/>
          <w:sz w:val="16"/>
        </w:rPr>
        <w:t xml:space="preserve">, </w:t>
      </w:r>
      <w:r>
        <w:rPr>
          <w:color w:val="231F20"/>
          <w:w w:val="110"/>
          <w:sz w:val="16"/>
        </w:rPr>
        <w:t>94</w:t>
      </w:r>
      <w:r>
        <w:rPr>
          <w:i/>
          <w:color w:val="231F20"/>
          <w:w w:val="110"/>
          <w:sz w:val="16"/>
        </w:rPr>
        <w:t xml:space="preserve">, </w:t>
      </w:r>
      <w:r>
        <w:rPr>
          <w:color w:val="231F20"/>
          <w:w w:val="110"/>
          <w:sz w:val="16"/>
        </w:rPr>
        <w:t>99</w:t>
      </w:r>
      <w:r>
        <w:rPr>
          <w:i/>
          <w:color w:val="231F20"/>
          <w:w w:val="110"/>
          <w:sz w:val="16"/>
        </w:rPr>
        <w:t xml:space="preserve">, </w:t>
      </w:r>
      <w:r>
        <w:rPr>
          <w:color w:val="231F20"/>
          <w:w w:val="110"/>
          <w:sz w:val="16"/>
        </w:rPr>
        <w:t>227</w:t>
      </w:r>
      <w:r>
        <w:rPr>
          <w:i/>
          <w:color w:val="231F20"/>
          <w:w w:val="110"/>
          <w:sz w:val="16"/>
        </w:rPr>
        <w:t>,</w:t>
      </w:r>
    </w:p>
    <w:p w14:paraId="67CB991E" w14:textId="77777777" w:rsidR="002653E8" w:rsidRDefault="003115E3">
      <w:pPr>
        <w:spacing w:before="33"/>
        <w:ind w:left="443"/>
        <w:rPr>
          <w:sz w:val="16"/>
        </w:rPr>
      </w:pPr>
      <w:r>
        <w:rPr>
          <w:color w:val="231F20"/>
          <w:w w:val="105"/>
          <w:sz w:val="16"/>
        </w:rPr>
        <w:t>311</w:t>
      </w:r>
      <w:r>
        <w:rPr>
          <w:i/>
          <w:color w:val="231F20"/>
          <w:w w:val="105"/>
          <w:sz w:val="16"/>
        </w:rPr>
        <w:t xml:space="preserve">, </w:t>
      </w:r>
      <w:r>
        <w:rPr>
          <w:color w:val="231F20"/>
          <w:w w:val="105"/>
          <w:sz w:val="16"/>
        </w:rPr>
        <w:t>375</w:t>
      </w:r>
    </w:p>
    <w:p w14:paraId="08BDF6F5" w14:textId="77777777" w:rsidR="002653E8" w:rsidRDefault="003115E3">
      <w:pPr>
        <w:spacing w:before="32"/>
        <w:ind w:left="243"/>
        <w:rPr>
          <w:sz w:val="16"/>
        </w:rPr>
      </w:pPr>
      <w:r>
        <w:rPr>
          <w:color w:val="231F20"/>
          <w:w w:val="105"/>
          <w:sz w:val="16"/>
        </w:rPr>
        <w:t>Bloch, Ernst 137</w:t>
      </w:r>
      <w:r>
        <w:rPr>
          <w:i/>
          <w:color w:val="231F20"/>
          <w:w w:val="105"/>
          <w:sz w:val="16"/>
        </w:rPr>
        <w:t xml:space="preserve">, </w:t>
      </w:r>
      <w:r>
        <w:rPr>
          <w:color w:val="231F20"/>
          <w:w w:val="105"/>
          <w:sz w:val="16"/>
        </w:rPr>
        <w:t>265</w:t>
      </w:r>
    </w:p>
    <w:p w14:paraId="7AB7CD6C" w14:textId="77777777" w:rsidR="002653E8" w:rsidRDefault="003115E3">
      <w:pPr>
        <w:spacing w:before="33" w:line="280" w:lineRule="auto"/>
        <w:ind w:left="443" w:right="1335" w:hanging="200"/>
        <w:rPr>
          <w:sz w:val="16"/>
        </w:rPr>
      </w:pPr>
      <w:r>
        <w:rPr>
          <w:color w:val="231F20"/>
          <w:w w:val="105"/>
          <w:sz w:val="16"/>
        </w:rPr>
        <w:t>Blues, the 45–46</w:t>
      </w:r>
      <w:r>
        <w:rPr>
          <w:i/>
          <w:color w:val="231F20"/>
          <w:w w:val="105"/>
          <w:sz w:val="16"/>
        </w:rPr>
        <w:t xml:space="preserve">, </w:t>
      </w:r>
      <w:r>
        <w:rPr>
          <w:color w:val="231F20"/>
          <w:w w:val="105"/>
          <w:sz w:val="16"/>
        </w:rPr>
        <w:t>57</w:t>
      </w:r>
      <w:r>
        <w:rPr>
          <w:i/>
          <w:color w:val="231F20"/>
          <w:w w:val="105"/>
          <w:sz w:val="16"/>
        </w:rPr>
        <w:t xml:space="preserve">, </w:t>
      </w:r>
      <w:r>
        <w:rPr>
          <w:color w:val="231F20"/>
          <w:w w:val="105"/>
          <w:sz w:val="16"/>
        </w:rPr>
        <w:t>587</w:t>
      </w:r>
      <w:r>
        <w:rPr>
          <w:i/>
          <w:color w:val="231F20"/>
          <w:w w:val="105"/>
          <w:sz w:val="16"/>
        </w:rPr>
        <w:t xml:space="preserve">, </w:t>
      </w:r>
      <w:r>
        <w:rPr>
          <w:color w:val="231F20"/>
          <w:w w:val="105"/>
          <w:sz w:val="16"/>
        </w:rPr>
        <w:t xml:space="preserve">588; and </w:t>
      </w:r>
      <w:r w:rsidR="00C507A5">
        <w:rPr>
          <w:color w:val="231F20"/>
          <w:w w:val="105"/>
          <w:sz w:val="16"/>
        </w:rPr>
        <w:t>red army faction</w:t>
      </w:r>
      <w:r>
        <w:rPr>
          <w:color w:val="231F20"/>
          <w:w w:val="105"/>
          <w:sz w:val="16"/>
        </w:rPr>
        <w:t xml:space="preserve"> 46</w:t>
      </w:r>
      <w:r>
        <w:rPr>
          <w:i/>
          <w:color w:val="231F20"/>
          <w:w w:val="105"/>
          <w:sz w:val="16"/>
        </w:rPr>
        <w:t xml:space="preserve">, </w:t>
      </w:r>
      <w:r>
        <w:rPr>
          <w:color w:val="231F20"/>
          <w:w w:val="105"/>
          <w:sz w:val="16"/>
        </w:rPr>
        <w:t>585; and 2nd of June Movement 588</w:t>
      </w:r>
    </w:p>
    <w:p w14:paraId="78509FD1" w14:textId="77777777" w:rsidR="002653E8" w:rsidRPr="00846956" w:rsidRDefault="003115E3">
      <w:pPr>
        <w:spacing w:before="1"/>
        <w:ind w:left="243"/>
        <w:rPr>
          <w:i/>
          <w:sz w:val="16"/>
          <w:lang w:val="de-DE"/>
        </w:rPr>
      </w:pPr>
      <w:r w:rsidRPr="00846956">
        <w:rPr>
          <w:color w:val="231F20"/>
          <w:w w:val="105"/>
          <w:sz w:val="16"/>
          <w:lang w:val="de-DE"/>
        </w:rPr>
        <w:t>BND (Bundesnachrichtendienst) 415</w:t>
      </w:r>
      <w:r w:rsidRPr="00846956">
        <w:rPr>
          <w:i/>
          <w:color w:val="231F20"/>
          <w:w w:val="105"/>
          <w:sz w:val="16"/>
          <w:lang w:val="de-DE"/>
        </w:rPr>
        <w:t>,</w:t>
      </w:r>
    </w:p>
    <w:p w14:paraId="4810113B" w14:textId="77777777" w:rsidR="002653E8" w:rsidRPr="00846956" w:rsidRDefault="003115E3">
      <w:pPr>
        <w:spacing w:before="33"/>
        <w:ind w:left="443"/>
        <w:rPr>
          <w:sz w:val="16"/>
          <w:lang w:val="de-DE"/>
        </w:rPr>
      </w:pPr>
      <w:r w:rsidRPr="00846956">
        <w:rPr>
          <w:color w:val="231F20"/>
          <w:w w:val="105"/>
          <w:sz w:val="16"/>
          <w:lang w:val="de-DE"/>
        </w:rPr>
        <w:t>421</w:t>
      </w:r>
      <w:r w:rsidRPr="00846956">
        <w:rPr>
          <w:i/>
          <w:color w:val="231F20"/>
          <w:w w:val="105"/>
          <w:sz w:val="16"/>
          <w:lang w:val="de-DE"/>
        </w:rPr>
        <w:t xml:space="preserve">, </w:t>
      </w:r>
      <w:r w:rsidRPr="00846956">
        <w:rPr>
          <w:color w:val="231F20"/>
          <w:w w:val="105"/>
          <w:sz w:val="16"/>
          <w:lang w:val="de-DE"/>
        </w:rPr>
        <w:t>519</w:t>
      </w:r>
    </w:p>
    <w:p w14:paraId="2B71EB76" w14:textId="77777777" w:rsidR="002653E8" w:rsidRPr="00846956" w:rsidRDefault="003115E3">
      <w:pPr>
        <w:spacing w:before="32"/>
        <w:ind w:left="243"/>
        <w:rPr>
          <w:sz w:val="16"/>
          <w:lang w:val="de-DE"/>
        </w:rPr>
      </w:pPr>
      <w:r w:rsidRPr="00846956">
        <w:rPr>
          <w:color w:val="231F20"/>
          <w:w w:val="105"/>
          <w:sz w:val="16"/>
          <w:lang w:val="de-DE"/>
        </w:rPr>
        <w:t>Böge, Mathias 611</w:t>
      </w:r>
    </w:p>
    <w:p w14:paraId="4C62DE57" w14:textId="77777777" w:rsidR="002653E8" w:rsidRPr="00846956" w:rsidRDefault="003115E3">
      <w:pPr>
        <w:spacing w:before="32"/>
        <w:ind w:left="243"/>
        <w:rPr>
          <w:sz w:val="16"/>
          <w:lang w:val="de-DE"/>
        </w:rPr>
      </w:pPr>
      <w:r w:rsidRPr="00846956">
        <w:rPr>
          <w:color w:val="231F20"/>
          <w:sz w:val="16"/>
          <w:lang w:val="de-DE"/>
        </w:rPr>
        <w:t>Bogerts, Bernhard 384</w:t>
      </w:r>
    </w:p>
    <w:p w14:paraId="07F88C98" w14:textId="77777777" w:rsidR="002653E8" w:rsidRDefault="003115E3">
      <w:pPr>
        <w:spacing w:before="33"/>
        <w:ind w:left="243"/>
        <w:rPr>
          <w:sz w:val="16"/>
        </w:rPr>
      </w:pPr>
      <w:r>
        <w:rPr>
          <w:color w:val="231F20"/>
          <w:w w:val="105"/>
          <w:sz w:val="16"/>
        </w:rPr>
        <w:t>Böll, Heinrich  25</w:t>
      </w:r>
      <w:r>
        <w:rPr>
          <w:i/>
          <w:color w:val="231F20"/>
          <w:w w:val="105"/>
          <w:sz w:val="16"/>
        </w:rPr>
        <w:t xml:space="preserve">, </w:t>
      </w:r>
      <w:r>
        <w:rPr>
          <w:color w:val="231F20"/>
          <w:w w:val="105"/>
          <w:sz w:val="16"/>
        </w:rPr>
        <w:t>277</w:t>
      </w:r>
      <w:r>
        <w:rPr>
          <w:i/>
          <w:color w:val="231F20"/>
          <w:w w:val="105"/>
          <w:sz w:val="16"/>
        </w:rPr>
        <w:t xml:space="preserve">, </w:t>
      </w:r>
      <w:r>
        <w:rPr>
          <w:color w:val="231F20"/>
          <w:w w:val="105"/>
          <w:sz w:val="16"/>
        </w:rPr>
        <w:t>564; critical</w:t>
      </w:r>
    </w:p>
    <w:p w14:paraId="653666A7" w14:textId="77777777" w:rsidR="002653E8" w:rsidRDefault="003115E3">
      <w:pPr>
        <w:spacing w:before="32"/>
        <w:ind w:left="443"/>
        <w:rPr>
          <w:i/>
          <w:sz w:val="16"/>
        </w:rPr>
      </w:pPr>
      <w:r>
        <w:rPr>
          <w:color w:val="231F20"/>
          <w:w w:val="105"/>
          <w:sz w:val="16"/>
        </w:rPr>
        <w:t>of anti-</w:t>
      </w:r>
      <w:r w:rsidR="00C507A5">
        <w:rPr>
          <w:color w:val="231F20"/>
          <w:w w:val="105"/>
          <w:sz w:val="16"/>
        </w:rPr>
        <w:t>red army faction</w:t>
      </w:r>
      <w:r>
        <w:rPr>
          <w:color w:val="231F20"/>
          <w:w w:val="105"/>
          <w:sz w:val="16"/>
        </w:rPr>
        <w:t xml:space="preserve"> campaign  112</w:t>
      </w:r>
      <w:r>
        <w:rPr>
          <w:i/>
          <w:color w:val="231F20"/>
          <w:w w:val="105"/>
          <w:sz w:val="16"/>
        </w:rPr>
        <w:t xml:space="preserve">, </w:t>
      </w:r>
      <w:r>
        <w:rPr>
          <w:color w:val="231F20"/>
          <w:w w:val="105"/>
          <w:sz w:val="16"/>
        </w:rPr>
        <w:t>151</w:t>
      </w:r>
      <w:r>
        <w:rPr>
          <w:i/>
          <w:color w:val="231F20"/>
          <w:w w:val="105"/>
          <w:sz w:val="16"/>
        </w:rPr>
        <w:t>,</w:t>
      </w:r>
    </w:p>
    <w:p w14:paraId="730D00C9" w14:textId="77777777" w:rsidR="002653E8" w:rsidRDefault="003115E3">
      <w:pPr>
        <w:spacing w:before="33" w:line="280" w:lineRule="auto"/>
        <w:ind w:left="443" w:right="1480"/>
        <w:rPr>
          <w:sz w:val="16"/>
        </w:rPr>
      </w:pPr>
      <w:r>
        <w:rPr>
          <w:color w:val="231F20"/>
          <w:w w:val="105"/>
          <w:sz w:val="16"/>
        </w:rPr>
        <w:t>534</w:t>
      </w:r>
      <w:r>
        <w:rPr>
          <w:i/>
          <w:color w:val="231F20"/>
          <w:w w:val="105"/>
          <w:sz w:val="16"/>
        </w:rPr>
        <w:t xml:space="preserve">, </w:t>
      </w:r>
      <w:r>
        <w:rPr>
          <w:color w:val="231F20"/>
          <w:w w:val="105"/>
          <w:sz w:val="16"/>
        </w:rPr>
        <w:t xml:space="preserve">588; critical of </w:t>
      </w:r>
      <w:r w:rsidR="00C507A5">
        <w:rPr>
          <w:color w:val="231F20"/>
          <w:w w:val="105"/>
          <w:sz w:val="16"/>
        </w:rPr>
        <w:t>red army faction</w:t>
      </w:r>
      <w:r>
        <w:rPr>
          <w:color w:val="231F20"/>
          <w:w w:val="105"/>
          <w:sz w:val="16"/>
        </w:rPr>
        <w:t xml:space="preserve"> 265</w:t>
      </w:r>
      <w:r>
        <w:rPr>
          <w:i/>
          <w:color w:val="231F20"/>
          <w:w w:val="105"/>
          <w:sz w:val="16"/>
        </w:rPr>
        <w:t xml:space="preserve">, </w:t>
      </w:r>
      <w:r>
        <w:rPr>
          <w:color w:val="231F20"/>
          <w:w w:val="105"/>
          <w:sz w:val="16"/>
        </w:rPr>
        <w:t xml:space="preserve">532; criticized by </w:t>
      </w:r>
      <w:r w:rsidR="00C507A5">
        <w:rPr>
          <w:color w:val="231F20"/>
          <w:w w:val="105"/>
          <w:sz w:val="16"/>
        </w:rPr>
        <w:t>red army faction</w:t>
      </w:r>
      <w:r>
        <w:rPr>
          <w:color w:val="231F20"/>
          <w:w w:val="105"/>
          <w:sz w:val="16"/>
        </w:rPr>
        <w:t xml:space="preserve"> 151</w:t>
      </w:r>
      <w:r>
        <w:rPr>
          <w:i/>
          <w:color w:val="231F20"/>
          <w:w w:val="105"/>
          <w:sz w:val="16"/>
        </w:rPr>
        <w:t xml:space="preserve">, </w:t>
      </w:r>
      <w:r>
        <w:rPr>
          <w:color w:val="231F20"/>
          <w:w w:val="105"/>
          <w:sz w:val="16"/>
        </w:rPr>
        <w:t>316; target of harassment 112–113</w:t>
      </w:r>
      <w:r>
        <w:rPr>
          <w:i/>
          <w:color w:val="231F20"/>
          <w:w w:val="105"/>
          <w:sz w:val="16"/>
        </w:rPr>
        <w:t xml:space="preserve">, </w:t>
      </w:r>
      <w:r>
        <w:rPr>
          <w:color w:val="231F20"/>
          <w:w w:val="105"/>
          <w:sz w:val="16"/>
        </w:rPr>
        <w:t>532–533</w:t>
      </w:r>
    </w:p>
    <w:p w14:paraId="54E42358" w14:textId="77777777" w:rsidR="002653E8" w:rsidRPr="00846956" w:rsidRDefault="003115E3">
      <w:pPr>
        <w:spacing w:before="1"/>
        <w:ind w:left="243"/>
        <w:rPr>
          <w:sz w:val="16"/>
          <w:lang w:val="de-DE"/>
        </w:rPr>
      </w:pPr>
      <w:r w:rsidRPr="00846956">
        <w:rPr>
          <w:color w:val="231F20"/>
          <w:w w:val="105"/>
          <w:sz w:val="16"/>
          <w:lang w:val="de-DE"/>
        </w:rPr>
        <w:t>Bölling, Klaus 484–485</w:t>
      </w:r>
      <w:r w:rsidRPr="00846956">
        <w:rPr>
          <w:i/>
          <w:color w:val="231F20"/>
          <w:w w:val="105"/>
          <w:sz w:val="16"/>
          <w:lang w:val="de-DE"/>
        </w:rPr>
        <w:t xml:space="preserve">, </w:t>
      </w:r>
      <w:r w:rsidRPr="00846956">
        <w:rPr>
          <w:color w:val="231F20"/>
          <w:w w:val="105"/>
          <w:sz w:val="16"/>
          <w:lang w:val="de-DE"/>
        </w:rPr>
        <w:t>564</w:t>
      </w:r>
    </w:p>
    <w:p w14:paraId="4F2CB86A" w14:textId="77777777" w:rsidR="002653E8" w:rsidRPr="00846956" w:rsidRDefault="003115E3">
      <w:pPr>
        <w:spacing w:before="33"/>
        <w:ind w:left="243"/>
        <w:rPr>
          <w:sz w:val="16"/>
          <w:lang w:val="de-DE"/>
        </w:rPr>
      </w:pPr>
      <w:r w:rsidRPr="00846956">
        <w:rPr>
          <w:color w:val="231F20"/>
          <w:w w:val="105"/>
          <w:sz w:val="16"/>
          <w:lang w:val="de-DE"/>
        </w:rPr>
        <w:t>Bonner, Clyde 165</w:t>
      </w:r>
    </w:p>
    <w:p w14:paraId="01ABA55C" w14:textId="77777777" w:rsidR="002653E8" w:rsidRDefault="003115E3">
      <w:pPr>
        <w:spacing w:before="32" w:line="280" w:lineRule="auto"/>
        <w:ind w:left="443" w:right="1525" w:hanging="200"/>
        <w:rPr>
          <w:i/>
          <w:sz w:val="16"/>
        </w:rPr>
      </w:pPr>
      <w:r>
        <w:rPr>
          <w:color w:val="231F20"/>
          <w:sz w:val="16"/>
        </w:rPr>
        <w:t>Bonn Security Group 421</w:t>
      </w:r>
      <w:r>
        <w:rPr>
          <w:i/>
          <w:color w:val="231F20"/>
          <w:sz w:val="16"/>
        </w:rPr>
        <w:t xml:space="preserve">. See also </w:t>
      </w:r>
      <w:r>
        <w:rPr>
          <w:color w:val="231F20"/>
          <w:sz w:val="16"/>
        </w:rPr>
        <w:t xml:space="preserve">psychological warfare: Bonn Security Group; </w:t>
      </w:r>
      <w:r w:rsidR="00C507A5">
        <w:rPr>
          <w:color w:val="231F20"/>
          <w:sz w:val="16"/>
        </w:rPr>
        <w:t>red army faction</w:t>
      </w:r>
      <w:r>
        <w:rPr>
          <w:color w:val="231F20"/>
          <w:sz w:val="16"/>
        </w:rPr>
        <w:t xml:space="preserve"> prisoners 260</w:t>
      </w:r>
      <w:r>
        <w:rPr>
          <w:i/>
          <w:color w:val="231F20"/>
          <w:sz w:val="16"/>
        </w:rPr>
        <w:t xml:space="preserve">, </w:t>
      </w:r>
      <w:r>
        <w:rPr>
          <w:color w:val="231F20"/>
          <w:sz w:val="16"/>
        </w:rPr>
        <w:t>285</w:t>
      </w:r>
      <w:r>
        <w:rPr>
          <w:i/>
          <w:color w:val="231F20"/>
          <w:sz w:val="16"/>
        </w:rPr>
        <w:t xml:space="preserve">, </w:t>
      </w:r>
      <w:r>
        <w:rPr>
          <w:color w:val="231F20"/>
          <w:sz w:val="16"/>
        </w:rPr>
        <w:t>304</w:t>
      </w:r>
      <w:r>
        <w:rPr>
          <w:i/>
          <w:color w:val="231F20"/>
          <w:sz w:val="16"/>
        </w:rPr>
        <w:t>,</w:t>
      </w:r>
    </w:p>
    <w:p w14:paraId="30F36EA6" w14:textId="77777777" w:rsidR="002653E8" w:rsidRDefault="003115E3">
      <w:pPr>
        <w:spacing w:before="2"/>
        <w:ind w:left="443"/>
        <w:rPr>
          <w:sz w:val="16"/>
        </w:rPr>
      </w:pPr>
      <w:r>
        <w:rPr>
          <w:color w:val="231F20"/>
          <w:w w:val="105"/>
          <w:sz w:val="16"/>
        </w:rPr>
        <w:t>403</w:t>
      </w:r>
      <w:r>
        <w:rPr>
          <w:i/>
          <w:color w:val="231F20"/>
          <w:w w:val="105"/>
          <w:sz w:val="16"/>
        </w:rPr>
        <w:t xml:space="preserve">, </w:t>
      </w:r>
      <w:r>
        <w:rPr>
          <w:color w:val="231F20"/>
          <w:w w:val="105"/>
          <w:sz w:val="16"/>
        </w:rPr>
        <w:t xml:space="preserve">417; </w:t>
      </w:r>
      <w:r w:rsidR="00C507A5">
        <w:rPr>
          <w:color w:val="231F20"/>
          <w:w w:val="105"/>
          <w:sz w:val="16"/>
        </w:rPr>
        <w:t>red army faction</w:t>
      </w:r>
      <w:r>
        <w:rPr>
          <w:color w:val="231F20"/>
          <w:w w:val="105"/>
          <w:sz w:val="16"/>
        </w:rPr>
        <w:t xml:space="preserve"> trials  154</w:t>
      </w:r>
      <w:r>
        <w:rPr>
          <w:i/>
          <w:color w:val="231F20"/>
          <w:w w:val="105"/>
          <w:sz w:val="16"/>
        </w:rPr>
        <w:t xml:space="preserve">, </w:t>
      </w:r>
      <w:r>
        <w:rPr>
          <w:color w:val="231F20"/>
          <w:w w:val="105"/>
          <w:sz w:val="16"/>
        </w:rPr>
        <w:t>286</w:t>
      </w:r>
      <w:r>
        <w:rPr>
          <w:i/>
          <w:color w:val="231F20"/>
          <w:w w:val="105"/>
          <w:sz w:val="16"/>
        </w:rPr>
        <w:t xml:space="preserve">, </w:t>
      </w:r>
      <w:r>
        <w:rPr>
          <w:color w:val="231F20"/>
          <w:w w:val="105"/>
          <w:sz w:val="16"/>
        </w:rPr>
        <w:t>312</w:t>
      </w:r>
    </w:p>
    <w:p w14:paraId="05E8A0F1" w14:textId="77777777" w:rsidR="002653E8" w:rsidRDefault="003115E3">
      <w:pPr>
        <w:spacing w:before="32" w:line="280" w:lineRule="auto"/>
        <w:ind w:left="443" w:right="1525" w:hanging="200"/>
        <w:rPr>
          <w:sz w:val="16"/>
        </w:rPr>
      </w:pPr>
      <w:r>
        <w:rPr>
          <w:color w:val="231F20"/>
          <w:sz w:val="16"/>
        </w:rPr>
        <w:t xml:space="preserve">Boock, Peter-Jürgen 565; after the </w:t>
      </w:r>
      <w:r w:rsidR="00C507A5">
        <w:rPr>
          <w:color w:val="231F20"/>
          <w:sz w:val="16"/>
        </w:rPr>
        <w:t>red army faction</w:t>
      </w:r>
      <w:r>
        <w:rPr>
          <w:color w:val="231F20"/>
          <w:sz w:val="16"/>
        </w:rPr>
        <w:t xml:space="preserve"> 617</w:t>
      </w:r>
      <w:r>
        <w:rPr>
          <w:i/>
          <w:color w:val="231F20"/>
          <w:sz w:val="16"/>
        </w:rPr>
        <w:t xml:space="preserve">, </w:t>
      </w:r>
      <w:r>
        <w:rPr>
          <w:color w:val="231F20"/>
          <w:sz w:val="16"/>
        </w:rPr>
        <w:t>619</w:t>
      </w:r>
      <w:r>
        <w:rPr>
          <w:i/>
          <w:color w:val="231F20"/>
          <w:sz w:val="16"/>
        </w:rPr>
        <w:t xml:space="preserve">, </w:t>
      </w:r>
      <w:r>
        <w:rPr>
          <w:color w:val="231F20"/>
          <w:sz w:val="16"/>
        </w:rPr>
        <w:t>625</w:t>
      </w:r>
      <w:r>
        <w:rPr>
          <w:i/>
          <w:color w:val="231F20"/>
          <w:sz w:val="16"/>
        </w:rPr>
        <w:t xml:space="preserve">, </w:t>
      </w:r>
      <w:r>
        <w:rPr>
          <w:color w:val="231F20"/>
          <w:sz w:val="16"/>
        </w:rPr>
        <w:t>627; captured (1978,</w:t>
      </w:r>
    </w:p>
    <w:p w14:paraId="4872DE5F" w14:textId="77777777" w:rsidR="002653E8" w:rsidRDefault="003115E3">
      <w:pPr>
        <w:spacing w:before="1"/>
        <w:ind w:left="443"/>
        <w:rPr>
          <w:sz w:val="16"/>
        </w:rPr>
      </w:pPr>
      <w:r>
        <w:rPr>
          <w:color w:val="231F20"/>
          <w:w w:val="105"/>
          <w:sz w:val="16"/>
        </w:rPr>
        <w:t>yugoslavia) 529</w:t>
      </w:r>
      <w:r>
        <w:rPr>
          <w:i/>
          <w:color w:val="231F20"/>
          <w:w w:val="105"/>
          <w:sz w:val="16"/>
        </w:rPr>
        <w:t xml:space="preserve">, </w:t>
      </w:r>
      <w:r>
        <w:rPr>
          <w:color w:val="231F20"/>
          <w:w w:val="105"/>
          <w:sz w:val="16"/>
        </w:rPr>
        <w:t>610</w:t>
      </w:r>
      <w:r>
        <w:rPr>
          <w:i/>
          <w:color w:val="231F20"/>
          <w:w w:val="105"/>
          <w:sz w:val="16"/>
        </w:rPr>
        <w:t xml:space="preserve">, </w:t>
      </w:r>
      <w:r>
        <w:rPr>
          <w:color w:val="231F20"/>
          <w:w w:val="105"/>
          <w:sz w:val="16"/>
        </w:rPr>
        <w:t>611; captured</w:t>
      </w:r>
    </w:p>
    <w:p w14:paraId="79C9AB6A" w14:textId="77777777" w:rsidR="002653E8" w:rsidRDefault="003115E3">
      <w:pPr>
        <w:spacing w:before="33"/>
        <w:ind w:left="443"/>
        <w:rPr>
          <w:sz w:val="16"/>
        </w:rPr>
      </w:pPr>
      <w:r>
        <w:rPr>
          <w:color w:val="231F20"/>
          <w:sz w:val="16"/>
        </w:rPr>
        <w:t>(1980) 613; drug addiction 527</w:t>
      </w:r>
      <w:r>
        <w:rPr>
          <w:i/>
          <w:color w:val="231F20"/>
          <w:sz w:val="16"/>
        </w:rPr>
        <w:t xml:space="preserve">, </w:t>
      </w:r>
      <w:r>
        <w:rPr>
          <w:color w:val="231F20"/>
          <w:sz w:val="16"/>
        </w:rPr>
        <w:t>610;</w:t>
      </w:r>
    </w:p>
    <w:p w14:paraId="48C1F798" w14:textId="77777777" w:rsidR="002653E8" w:rsidRDefault="002653E8">
      <w:pPr>
        <w:rPr>
          <w:sz w:val="16"/>
        </w:rPr>
        <w:sectPr w:rsidR="002653E8">
          <w:pgSz w:w="8640" w:h="12960"/>
          <w:pgMar w:top="1080" w:right="0" w:bottom="1040" w:left="0" w:header="0" w:footer="846" w:gutter="0"/>
          <w:cols w:num="2" w:space="720" w:equalWidth="0">
            <w:col w:w="4087" w:space="40"/>
            <w:col w:w="4513"/>
          </w:cols>
        </w:sectPr>
      </w:pPr>
    </w:p>
    <w:p w14:paraId="5444663F" w14:textId="77777777" w:rsidR="002653E8" w:rsidRDefault="003115E3">
      <w:pPr>
        <w:spacing w:before="86"/>
        <w:ind w:left="1527"/>
        <w:rPr>
          <w:sz w:val="16"/>
        </w:rPr>
      </w:pPr>
      <w:r>
        <w:rPr>
          <w:color w:val="231F20"/>
          <w:w w:val="105"/>
          <w:sz w:val="16"/>
        </w:rPr>
        <w:lastRenderedPageBreak/>
        <w:t xml:space="preserve">and </w:t>
      </w:r>
      <w:r w:rsidR="00C507A5">
        <w:rPr>
          <w:color w:val="231F20"/>
          <w:w w:val="105"/>
          <w:sz w:val="16"/>
        </w:rPr>
        <w:t>red army faction</w:t>
      </w:r>
      <w:r>
        <w:rPr>
          <w:color w:val="231F20"/>
          <w:w w:val="105"/>
          <w:sz w:val="16"/>
        </w:rPr>
        <w:t xml:space="preserve"> 475–476</w:t>
      </w:r>
      <w:r>
        <w:rPr>
          <w:i/>
          <w:color w:val="231F20"/>
          <w:w w:val="105"/>
          <w:sz w:val="16"/>
        </w:rPr>
        <w:t xml:space="preserve">, </w:t>
      </w:r>
      <w:r>
        <w:rPr>
          <w:color w:val="231F20"/>
          <w:w w:val="105"/>
          <w:sz w:val="16"/>
        </w:rPr>
        <w:t>527</w:t>
      </w:r>
      <w:r>
        <w:rPr>
          <w:i/>
          <w:color w:val="231F20"/>
          <w:w w:val="105"/>
          <w:sz w:val="16"/>
        </w:rPr>
        <w:t xml:space="preserve">, </w:t>
      </w:r>
      <w:r>
        <w:rPr>
          <w:color w:val="231F20"/>
          <w:w w:val="105"/>
          <w:sz w:val="16"/>
        </w:rPr>
        <w:t>600</w:t>
      </w:r>
      <w:r>
        <w:rPr>
          <w:i/>
          <w:color w:val="231F20"/>
          <w:w w:val="105"/>
          <w:sz w:val="16"/>
        </w:rPr>
        <w:t xml:space="preserve">, </w:t>
      </w:r>
      <w:r>
        <w:rPr>
          <w:color w:val="231F20"/>
          <w:w w:val="105"/>
          <w:sz w:val="16"/>
        </w:rPr>
        <w:t>612; and</w:t>
      </w:r>
    </w:p>
    <w:p w14:paraId="5F136B88" w14:textId="77777777" w:rsidR="002653E8" w:rsidRDefault="003115E3">
      <w:pPr>
        <w:spacing w:before="33" w:line="280" w:lineRule="auto"/>
        <w:ind w:left="1527" w:right="8"/>
        <w:rPr>
          <w:sz w:val="16"/>
        </w:rPr>
      </w:pPr>
      <w:r>
        <w:rPr>
          <w:color w:val="231F20"/>
          <w:w w:val="105"/>
          <w:sz w:val="16"/>
        </w:rPr>
        <w:t>SAWIO skyjacking (1977, Mogadishu) 482; trial (1984) 616</w:t>
      </w:r>
    </w:p>
    <w:p w14:paraId="071128C9" w14:textId="77777777" w:rsidR="002653E8" w:rsidRDefault="003115E3">
      <w:pPr>
        <w:spacing w:before="1"/>
        <w:ind w:left="1327"/>
        <w:rPr>
          <w:sz w:val="16"/>
        </w:rPr>
      </w:pPr>
      <w:r>
        <w:rPr>
          <w:color w:val="231F20"/>
          <w:sz w:val="16"/>
        </w:rPr>
        <w:t>Boock, Waltraud 475</w:t>
      </w:r>
      <w:r>
        <w:rPr>
          <w:i/>
          <w:color w:val="231F20"/>
          <w:sz w:val="16"/>
        </w:rPr>
        <w:t xml:space="preserve">, </w:t>
      </w:r>
      <w:r>
        <w:rPr>
          <w:color w:val="231F20"/>
          <w:sz w:val="16"/>
        </w:rPr>
        <w:t>565; captured</w:t>
      </w:r>
    </w:p>
    <w:p w14:paraId="38565B78" w14:textId="77777777" w:rsidR="002653E8" w:rsidRDefault="003115E3">
      <w:pPr>
        <w:spacing w:before="32"/>
        <w:ind w:left="1527"/>
        <w:rPr>
          <w:sz w:val="16"/>
        </w:rPr>
      </w:pPr>
      <w:r>
        <w:rPr>
          <w:color w:val="231F20"/>
          <w:sz w:val="16"/>
        </w:rPr>
        <w:t>(1977) 455</w:t>
      </w:r>
      <w:r>
        <w:rPr>
          <w:i/>
          <w:color w:val="231F20"/>
          <w:sz w:val="16"/>
        </w:rPr>
        <w:t xml:space="preserve">, </w:t>
      </w:r>
      <w:r>
        <w:rPr>
          <w:color w:val="231F20"/>
          <w:sz w:val="16"/>
        </w:rPr>
        <w:t>603; prison 604</w:t>
      </w:r>
      <w:r>
        <w:rPr>
          <w:i/>
          <w:color w:val="231F20"/>
          <w:sz w:val="16"/>
        </w:rPr>
        <w:t xml:space="preserve">, </w:t>
      </w:r>
      <w:r>
        <w:rPr>
          <w:color w:val="231F20"/>
          <w:sz w:val="16"/>
        </w:rPr>
        <w:t>606</w:t>
      </w:r>
    </w:p>
    <w:p w14:paraId="63FFEA20" w14:textId="77777777" w:rsidR="002653E8" w:rsidRDefault="003115E3">
      <w:pPr>
        <w:spacing w:before="33"/>
        <w:ind w:left="1327"/>
        <w:rPr>
          <w:sz w:val="16"/>
        </w:rPr>
      </w:pPr>
      <w:r>
        <w:rPr>
          <w:color w:val="231F20"/>
          <w:sz w:val="16"/>
        </w:rPr>
        <w:t>Borgstedde, Simone 611</w:t>
      </w:r>
    </w:p>
    <w:p w14:paraId="6BC5BE2A" w14:textId="77777777" w:rsidR="002653E8" w:rsidRDefault="003115E3">
      <w:pPr>
        <w:spacing w:before="32"/>
        <w:ind w:left="1327"/>
        <w:rPr>
          <w:sz w:val="16"/>
        </w:rPr>
      </w:pPr>
      <w:r>
        <w:rPr>
          <w:color w:val="231F20"/>
          <w:sz w:val="16"/>
        </w:rPr>
        <w:t>Böse, Wilfried 439</w:t>
      </w:r>
      <w:r>
        <w:rPr>
          <w:i/>
          <w:color w:val="231F20"/>
          <w:sz w:val="16"/>
        </w:rPr>
        <w:t xml:space="preserve">, </w:t>
      </w:r>
      <w:r>
        <w:rPr>
          <w:color w:val="231F20"/>
          <w:sz w:val="16"/>
        </w:rPr>
        <w:t>561</w:t>
      </w:r>
      <w:r>
        <w:rPr>
          <w:i/>
          <w:color w:val="231F20"/>
          <w:sz w:val="16"/>
        </w:rPr>
        <w:t xml:space="preserve">, </w:t>
      </w:r>
      <w:r>
        <w:rPr>
          <w:color w:val="231F20"/>
          <w:sz w:val="16"/>
        </w:rPr>
        <w:t>565</w:t>
      </w:r>
    </w:p>
    <w:p w14:paraId="1C1D4AB8" w14:textId="77777777" w:rsidR="002653E8" w:rsidRPr="00846956" w:rsidRDefault="003115E3">
      <w:pPr>
        <w:spacing w:before="32"/>
        <w:ind w:left="1327"/>
        <w:rPr>
          <w:sz w:val="16"/>
          <w:lang w:val="de-DE"/>
        </w:rPr>
      </w:pPr>
      <w:r w:rsidRPr="00846956">
        <w:rPr>
          <w:color w:val="231F20"/>
          <w:sz w:val="16"/>
          <w:lang w:val="de-DE"/>
        </w:rPr>
        <w:t>Bourdet, Claude 382</w:t>
      </w:r>
    </w:p>
    <w:p w14:paraId="2AC83941" w14:textId="77777777" w:rsidR="002653E8" w:rsidRPr="00846956" w:rsidRDefault="003115E3">
      <w:pPr>
        <w:spacing w:before="33"/>
        <w:ind w:left="1327"/>
        <w:rPr>
          <w:sz w:val="16"/>
          <w:lang w:val="de-DE"/>
        </w:rPr>
      </w:pPr>
      <w:r w:rsidRPr="00846956">
        <w:rPr>
          <w:color w:val="231F20"/>
          <w:sz w:val="16"/>
          <w:lang w:val="de-DE"/>
        </w:rPr>
        <w:t>Brändle, Reinhold 565</w:t>
      </w:r>
    </w:p>
    <w:p w14:paraId="5E49463B" w14:textId="77777777" w:rsidR="002653E8" w:rsidRPr="00846956" w:rsidRDefault="003115E3">
      <w:pPr>
        <w:spacing w:before="32"/>
        <w:ind w:left="1327"/>
        <w:rPr>
          <w:sz w:val="16"/>
          <w:lang w:val="de-DE"/>
        </w:rPr>
      </w:pPr>
      <w:r w:rsidRPr="00846956">
        <w:rPr>
          <w:color w:val="231F20"/>
          <w:sz w:val="16"/>
          <w:lang w:val="de-DE"/>
        </w:rPr>
        <w:t>Brandt, Heinz 248–249</w:t>
      </w:r>
    </w:p>
    <w:p w14:paraId="3C183A8C" w14:textId="77777777" w:rsidR="002653E8" w:rsidRDefault="003115E3">
      <w:pPr>
        <w:spacing w:before="33" w:line="280" w:lineRule="auto"/>
        <w:ind w:left="1527" w:right="27" w:hanging="201"/>
        <w:rPr>
          <w:sz w:val="16"/>
        </w:rPr>
      </w:pPr>
      <w:r>
        <w:rPr>
          <w:color w:val="231F20"/>
          <w:sz w:val="16"/>
        </w:rPr>
        <w:t>Brandt, Willy 565</w:t>
      </w:r>
      <w:r>
        <w:rPr>
          <w:i/>
          <w:color w:val="231F20"/>
          <w:sz w:val="16"/>
        </w:rPr>
        <w:t xml:space="preserve">. See also </w:t>
      </w:r>
      <w:r>
        <w:rPr>
          <w:color w:val="231F20"/>
          <w:sz w:val="16"/>
        </w:rPr>
        <w:t>Social-Liberal Brandt-Scheel Government (1969-</w:t>
      </w:r>
    </w:p>
    <w:p w14:paraId="088AE308" w14:textId="77777777" w:rsidR="002653E8" w:rsidRDefault="003115E3">
      <w:pPr>
        <w:spacing w:before="1"/>
        <w:ind w:left="1527"/>
        <w:rPr>
          <w:i/>
          <w:sz w:val="16"/>
        </w:rPr>
      </w:pPr>
      <w:r>
        <w:rPr>
          <w:color w:val="231F20"/>
          <w:w w:val="110"/>
          <w:sz w:val="16"/>
        </w:rPr>
        <w:t>1974); Chancellor 41</w:t>
      </w:r>
      <w:r>
        <w:rPr>
          <w:i/>
          <w:color w:val="231F20"/>
          <w:w w:val="110"/>
          <w:sz w:val="16"/>
        </w:rPr>
        <w:t xml:space="preserve">, </w:t>
      </w:r>
      <w:r>
        <w:rPr>
          <w:color w:val="231F20"/>
          <w:w w:val="110"/>
          <w:sz w:val="16"/>
        </w:rPr>
        <w:t>124</w:t>
      </w:r>
      <w:r>
        <w:rPr>
          <w:i/>
          <w:color w:val="231F20"/>
          <w:w w:val="110"/>
          <w:sz w:val="16"/>
        </w:rPr>
        <w:t xml:space="preserve">, </w:t>
      </w:r>
      <w:r>
        <w:rPr>
          <w:color w:val="231F20"/>
          <w:w w:val="110"/>
          <w:sz w:val="16"/>
        </w:rPr>
        <w:t>131</w:t>
      </w:r>
      <w:r>
        <w:rPr>
          <w:i/>
          <w:color w:val="231F20"/>
          <w:w w:val="110"/>
          <w:sz w:val="16"/>
        </w:rPr>
        <w:t xml:space="preserve">, </w:t>
      </w:r>
      <w:r>
        <w:rPr>
          <w:color w:val="231F20"/>
          <w:w w:val="110"/>
          <w:sz w:val="16"/>
        </w:rPr>
        <w:t>134</w:t>
      </w:r>
      <w:r>
        <w:rPr>
          <w:i/>
          <w:color w:val="231F20"/>
          <w:w w:val="110"/>
          <w:sz w:val="16"/>
        </w:rPr>
        <w:t>,</w:t>
      </w:r>
    </w:p>
    <w:p w14:paraId="53345909" w14:textId="77777777" w:rsidR="002653E8" w:rsidRDefault="003115E3">
      <w:pPr>
        <w:spacing w:before="32" w:line="280" w:lineRule="auto"/>
        <w:ind w:left="1527" w:right="83"/>
        <w:rPr>
          <w:i/>
          <w:sz w:val="16"/>
        </w:rPr>
      </w:pPr>
      <w:r>
        <w:rPr>
          <w:color w:val="231F20"/>
          <w:w w:val="105"/>
          <w:sz w:val="16"/>
        </w:rPr>
        <w:t>540</w:t>
      </w:r>
      <w:r>
        <w:rPr>
          <w:i/>
          <w:color w:val="231F20"/>
          <w:w w:val="105"/>
          <w:sz w:val="16"/>
        </w:rPr>
        <w:t xml:space="preserve">, </w:t>
      </w:r>
      <w:r>
        <w:rPr>
          <w:color w:val="231F20"/>
          <w:w w:val="105"/>
          <w:sz w:val="16"/>
        </w:rPr>
        <w:t>584; attacked by CSU 532; Grand Coalition 29; Guillaume affair 312</w:t>
      </w:r>
      <w:r>
        <w:rPr>
          <w:i/>
          <w:color w:val="231F20"/>
          <w:w w:val="105"/>
          <w:sz w:val="16"/>
        </w:rPr>
        <w:t xml:space="preserve">, </w:t>
      </w:r>
      <w:r>
        <w:rPr>
          <w:color w:val="231F20"/>
          <w:w w:val="105"/>
          <w:sz w:val="16"/>
        </w:rPr>
        <w:t xml:space="preserve">344; mentioned by </w:t>
      </w:r>
      <w:r w:rsidR="00C507A5">
        <w:rPr>
          <w:color w:val="231F20"/>
          <w:w w:val="105"/>
          <w:sz w:val="16"/>
        </w:rPr>
        <w:t>red army faction</w:t>
      </w:r>
      <w:r>
        <w:rPr>
          <w:color w:val="231F20"/>
          <w:w w:val="105"/>
          <w:sz w:val="16"/>
        </w:rPr>
        <w:t xml:space="preserve"> 124</w:t>
      </w:r>
      <w:r>
        <w:rPr>
          <w:i/>
          <w:color w:val="231F20"/>
          <w:w w:val="105"/>
          <w:sz w:val="16"/>
        </w:rPr>
        <w:t>,</w:t>
      </w:r>
    </w:p>
    <w:p w14:paraId="1A4891C7" w14:textId="77777777" w:rsidR="002653E8" w:rsidRDefault="003115E3">
      <w:pPr>
        <w:spacing w:before="2"/>
        <w:ind w:left="1527"/>
        <w:rPr>
          <w:i/>
          <w:sz w:val="16"/>
        </w:rPr>
      </w:pPr>
      <w:r>
        <w:rPr>
          <w:color w:val="231F20"/>
          <w:w w:val="110"/>
          <w:sz w:val="16"/>
        </w:rPr>
        <w:t>131</w:t>
      </w:r>
      <w:r>
        <w:rPr>
          <w:i/>
          <w:color w:val="231F20"/>
          <w:w w:val="110"/>
          <w:sz w:val="16"/>
        </w:rPr>
        <w:t xml:space="preserve">, </w:t>
      </w:r>
      <w:r>
        <w:rPr>
          <w:color w:val="231F20"/>
          <w:w w:val="110"/>
          <w:sz w:val="16"/>
        </w:rPr>
        <w:t>206</w:t>
      </w:r>
      <w:r>
        <w:rPr>
          <w:i/>
          <w:color w:val="231F20"/>
          <w:w w:val="110"/>
          <w:sz w:val="16"/>
        </w:rPr>
        <w:t xml:space="preserve">, </w:t>
      </w:r>
      <w:r>
        <w:rPr>
          <w:color w:val="231F20"/>
          <w:w w:val="110"/>
          <w:sz w:val="16"/>
        </w:rPr>
        <w:t>230</w:t>
      </w:r>
      <w:r>
        <w:rPr>
          <w:i/>
          <w:color w:val="231F20"/>
          <w:w w:val="110"/>
          <w:sz w:val="16"/>
        </w:rPr>
        <w:t xml:space="preserve">, </w:t>
      </w:r>
      <w:r>
        <w:rPr>
          <w:color w:val="231F20"/>
          <w:w w:val="110"/>
          <w:sz w:val="16"/>
        </w:rPr>
        <w:t>231</w:t>
      </w:r>
      <w:r>
        <w:rPr>
          <w:i/>
          <w:color w:val="231F20"/>
          <w:w w:val="110"/>
          <w:sz w:val="16"/>
        </w:rPr>
        <w:t xml:space="preserve">, </w:t>
      </w:r>
      <w:r>
        <w:rPr>
          <w:color w:val="231F20"/>
          <w:w w:val="110"/>
          <w:sz w:val="16"/>
        </w:rPr>
        <w:t>233</w:t>
      </w:r>
      <w:r>
        <w:rPr>
          <w:i/>
          <w:color w:val="231F20"/>
          <w:w w:val="110"/>
          <w:sz w:val="16"/>
        </w:rPr>
        <w:t xml:space="preserve">, </w:t>
      </w:r>
      <w:r>
        <w:rPr>
          <w:color w:val="231F20"/>
          <w:w w:val="110"/>
          <w:sz w:val="16"/>
        </w:rPr>
        <w:t>400</w:t>
      </w:r>
      <w:r>
        <w:rPr>
          <w:i/>
          <w:color w:val="231F20"/>
          <w:w w:val="110"/>
          <w:sz w:val="16"/>
        </w:rPr>
        <w:t xml:space="preserve">, </w:t>
      </w:r>
      <w:r>
        <w:rPr>
          <w:color w:val="231F20"/>
          <w:w w:val="110"/>
          <w:sz w:val="16"/>
        </w:rPr>
        <w:t>415</w:t>
      </w:r>
      <w:r>
        <w:rPr>
          <w:i/>
          <w:color w:val="231F20"/>
          <w:w w:val="110"/>
          <w:sz w:val="16"/>
        </w:rPr>
        <w:t>,</w:t>
      </w:r>
    </w:p>
    <w:p w14:paraId="6D0D3B29" w14:textId="77777777" w:rsidR="002653E8" w:rsidRDefault="003115E3">
      <w:pPr>
        <w:spacing w:before="32"/>
        <w:ind w:left="1527"/>
        <w:rPr>
          <w:sz w:val="16"/>
        </w:rPr>
      </w:pPr>
      <w:r>
        <w:rPr>
          <w:color w:val="231F20"/>
          <w:sz w:val="16"/>
        </w:rPr>
        <w:t xml:space="preserve">600; on the </w:t>
      </w:r>
      <w:r w:rsidR="00C507A5">
        <w:rPr>
          <w:color w:val="231F20"/>
          <w:sz w:val="16"/>
        </w:rPr>
        <w:t>red army faction</w:t>
      </w:r>
      <w:r>
        <w:rPr>
          <w:color w:val="231F20"/>
          <w:sz w:val="16"/>
        </w:rPr>
        <w:t xml:space="preserve">   170</w:t>
      </w:r>
      <w:r>
        <w:rPr>
          <w:i/>
          <w:color w:val="231F20"/>
          <w:sz w:val="16"/>
        </w:rPr>
        <w:t xml:space="preserve">, </w:t>
      </w:r>
      <w:r>
        <w:rPr>
          <w:color w:val="231F20"/>
          <w:sz w:val="16"/>
        </w:rPr>
        <w:t>179;  alleged</w:t>
      </w:r>
    </w:p>
    <w:p w14:paraId="2FA372C1" w14:textId="77777777" w:rsidR="002653E8" w:rsidRDefault="00C507A5">
      <w:pPr>
        <w:spacing w:before="33"/>
        <w:ind w:left="1527"/>
        <w:rPr>
          <w:sz w:val="16"/>
        </w:rPr>
      </w:pPr>
      <w:r>
        <w:rPr>
          <w:color w:val="231F20"/>
          <w:w w:val="105"/>
          <w:sz w:val="16"/>
        </w:rPr>
        <w:t>red army faction</w:t>
      </w:r>
      <w:r w:rsidR="003115E3">
        <w:rPr>
          <w:color w:val="231F20"/>
          <w:w w:val="105"/>
          <w:sz w:val="16"/>
        </w:rPr>
        <w:t xml:space="preserve"> kidnapping plans 61</w:t>
      </w:r>
      <w:r w:rsidR="003115E3">
        <w:rPr>
          <w:i/>
          <w:color w:val="231F20"/>
          <w:w w:val="105"/>
          <w:sz w:val="16"/>
        </w:rPr>
        <w:t xml:space="preserve">, </w:t>
      </w:r>
      <w:r w:rsidR="003115E3">
        <w:rPr>
          <w:color w:val="231F20"/>
          <w:w w:val="105"/>
          <w:sz w:val="16"/>
        </w:rPr>
        <w:t>84</w:t>
      </w:r>
    </w:p>
    <w:p w14:paraId="2C762E75" w14:textId="77777777" w:rsidR="002653E8" w:rsidRDefault="003115E3">
      <w:pPr>
        <w:spacing w:before="32"/>
        <w:ind w:left="1327"/>
        <w:rPr>
          <w:sz w:val="16"/>
        </w:rPr>
      </w:pPr>
      <w:r>
        <w:rPr>
          <w:color w:val="231F20"/>
          <w:sz w:val="16"/>
        </w:rPr>
        <w:t>Braun, Bernhard 565; captured (1972)</w:t>
      </w:r>
    </w:p>
    <w:p w14:paraId="4CE0F7E6" w14:textId="77777777" w:rsidR="002653E8" w:rsidRDefault="003115E3">
      <w:pPr>
        <w:spacing w:before="32"/>
        <w:ind w:left="1527"/>
        <w:rPr>
          <w:sz w:val="16"/>
        </w:rPr>
      </w:pPr>
      <w:r>
        <w:rPr>
          <w:color w:val="231F20"/>
          <w:sz w:val="16"/>
        </w:rPr>
        <w:t>171</w:t>
      </w:r>
      <w:r>
        <w:rPr>
          <w:i/>
          <w:color w:val="231F20"/>
          <w:sz w:val="16"/>
        </w:rPr>
        <w:t xml:space="preserve">, </w:t>
      </w:r>
      <w:r>
        <w:rPr>
          <w:color w:val="231F20"/>
          <w:sz w:val="16"/>
        </w:rPr>
        <w:t>591; release demanded 339; third</w:t>
      </w:r>
    </w:p>
    <w:p w14:paraId="6D9311A3" w14:textId="77777777" w:rsidR="002653E8" w:rsidRPr="00846956" w:rsidRDefault="003115E3">
      <w:pPr>
        <w:spacing w:before="33" w:line="280" w:lineRule="auto"/>
        <w:ind w:left="1327" w:firstLine="200"/>
        <w:rPr>
          <w:sz w:val="16"/>
          <w:lang w:val="de-DE"/>
        </w:rPr>
      </w:pPr>
      <w:r w:rsidRPr="00846956">
        <w:rPr>
          <w:color w:val="231F20"/>
          <w:sz w:val="16"/>
          <w:lang w:val="de-DE"/>
        </w:rPr>
        <w:t>hunger strike (1975-75) 250</w:t>
      </w:r>
      <w:r w:rsidRPr="00846956">
        <w:rPr>
          <w:i/>
          <w:color w:val="231F20"/>
          <w:sz w:val="16"/>
          <w:lang w:val="de-DE"/>
        </w:rPr>
        <w:t xml:space="preserve">, </w:t>
      </w:r>
      <w:r w:rsidRPr="00846956">
        <w:rPr>
          <w:color w:val="231F20"/>
          <w:sz w:val="16"/>
          <w:lang w:val="de-DE"/>
        </w:rPr>
        <w:t>346 Braunmühl, Gerold von 618</w:t>
      </w:r>
    </w:p>
    <w:p w14:paraId="3E188750" w14:textId="77777777" w:rsidR="002653E8" w:rsidRPr="00846956" w:rsidRDefault="003115E3">
      <w:pPr>
        <w:spacing w:before="1"/>
        <w:ind w:left="1327"/>
        <w:rPr>
          <w:sz w:val="16"/>
          <w:lang w:val="de-DE"/>
        </w:rPr>
      </w:pPr>
      <w:r w:rsidRPr="00846956">
        <w:rPr>
          <w:color w:val="231F20"/>
          <w:sz w:val="16"/>
          <w:lang w:val="de-DE"/>
        </w:rPr>
        <w:t>Brazil 131</w:t>
      </w:r>
      <w:r w:rsidRPr="00846956">
        <w:rPr>
          <w:i/>
          <w:color w:val="231F20"/>
          <w:sz w:val="16"/>
          <w:lang w:val="de-DE"/>
        </w:rPr>
        <w:t xml:space="preserve">, </w:t>
      </w:r>
      <w:r w:rsidRPr="00846956">
        <w:rPr>
          <w:color w:val="231F20"/>
          <w:sz w:val="16"/>
          <w:lang w:val="de-DE"/>
        </w:rPr>
        <w:t>143</w:t>
      </w:r>
    </w:p>
    <w:p w14:paraId="4E0BCD85" w14:textId="77777777" w:rsidR="002653E8" w:rsidRPr="00846956" w:rsidRDefault="003115E3">
      <w:pPr>
        <w:spacing w:before="32"/>
        <w:ind w:left="1327"/>
        <w:rPr>
          <w:sz w:val="16"/>
          <w:lang w:val="de-DE"/>
        </w:rPr>
      </w:pPr>
      <w:r w:rsidRPr="00846956">
        <w:rPr>
          <w:color w:val="231F20"/>
          <w:sz w:val="16"/>
          <w:lang w:val="de-DE"/>
        </w:rPr>
        <w:t>Brecht, Bertolt 49</w:t>
      </w:r>
      <w:r w:rsidRPr="00846956">
        <w:rPr>
          <w:i/>
          <w:color w:val="231F20"/>
          <w:sz w:val="16"/>
          <w:lang w:val="de-DE"/>
        </w:rPr>
        <w:t xml:space="preserve">, </w:t>
      </w:r>
      <w:r w:rsidRPr="00846956">
        <w:rPr>
          <w:color w:val="231F20"/>
          <w:sz w:val="16"/>
          <w:lang w:val="de-DE"/>
        </w:rPr>
        <w:t>279</w:t>
      </w:r>
    </w:p>
    <w:p w14:paraId="35D84FC4" w14:textId="77777777" w:rsidR="002653E8" w:rsidRPr="00846956" w:rsidRDefault="003115E3">
      <w:pPr>
        <w:spacing w:before="33"/>
        <w:ind w:left="1327"/>
        <w:rPr>
          <w:sz w:val="16"/>
          <w:lang w:val="de-DE"/>
        </w:rPr>
      </w:pPr>
      <w:r w:rsidRPr="00846956">
        <w:rPr>
          <w:color w:val="231F20"/>
          <w:sz w:val="16"/>
          <w:lang w:val="de-DE"/>
        </w:rPr>
        <w:t>Bremen group 378</w:t>
      </w:r>
    </w:p>
    <w:p w14:paraId="4678F3FC" w14:textId="77777777" w:rsidR="002653E8" w:rsidRDefault="003115E3">
      <w:pPr>
        <w:spacing w:before="32" w:line="280" w:lineRule="auto"/>
        <w:ind w:left="1327" w:right="743"/>
        <w:rPr>
          <w:sz w:val="16"/>
        </w:rPr>
      </w:pPr>
      <w:r>
        <w:rPr>
          <w:color w:val="231F20"/>
          <w:w w:val="105"/>
          <w:sz w:val="16"/>
        </w:rPr>
        <w:t>Bremen Railway Police 314 Brentano, Margharita von 155 Bristol, Becky Jo 617 Brückner, Peter 257</w:t>
      </w:r>
      <w:r>
        <w:rPr>
          <w:i/>
          <w:color w:val="231F20"/>
          <w:w w:val="105"/>
          <w:sz w:val="16"/>
        </w:rPr>
        <w:t xml:space="preserve">, </w:t>
      </w:r>
      <w:r>
        <w:rPr>
          <w:color w:val="231F20"/>
          <w:w w:val="105"/>
          <w:sz w:val="16"/>
        </w:rPr>
        <w:t>460</w:t>
      </w:r>
      <w:r>
        <w:rPr>
          <w:i/>
          <w:color w:val="231F20"/>
          <w:w w:val="105"/>
          <w:sz w:val="16"/>
        </w:rPr>
        <w:t xml:space="preserve">, </w:t>
      </w:r>
      <w:r>
        <w:rPr>
          <w:color w:val="231F20"/>
          <w:w w:val="105"/>
          <w:sz w:val="16"/>
        </w:rPr>
        <w:t>532</w:t>
      </w:r>
    </w:p>
    <w:p w14:paraId="2934E5F6" w14:textId="77777777" w:rsidR="002653E8" w:rsidRDefault="003115E3">
      <w:pPr>
        <w:spacing w:before="2"/>
        <w:ind w:left="1327"/>
        <w:rPr>
          <w:sz w:val="16"/>
        </w:rPr>
      </w:pPr>
      <w:r>
        <w:rPr>
          <w:color w:val="231F20"/>
          <w:sz w:val="16"/>
        </w:rPr>
        <w:t>Brundage, Avery 231</w:t>
      </w:r>
    </w:p>
    <w:p w14:paraId="6D66D8EB" w14:textId="77777777" w:rsidR="002653E8" w:rsidRDefault="003115E3">
      <w:pPr>
        <w:spacing w:before="33" w:line="280" w:lineRule="auto"/>
        <w:ind w:left="1327" w:right="-5"/>
        <w:rPr>
          <w:sz w:val="16"/>
        </w:rPr>
      </w:pPr>
      <w:r>
        <w:rPr>
          <w:color w:val="231F20"/>
          <w:w w:val="105"/>
          <w:sz w:val="16"/>
        </w:rPr>
        <w:t>Buback: In Memoriam 460</w:t>
      </w:r>
      <w:r>
        <w:rPr>
          <w:i/>
          <w:color w:val="231F20"/>
          <w:w w:val="105"/>
          <w:sz w:val="16"/>
        </w:rPr>
        <w:t xml:space="preserve">, </w:t>
      </w:r>
      <w:r>
        <w:rPr>
          <w:color w:val="231F20"/>
          <w:w w:val="105"/>
          <w:sz w:val="16"/>
        </w:rPr>
        <w:t>534–535 Buback, Siegfried 565</w:t>
      </w:r>
      <w:r>
        <w:rPr>
          <w:i/>
          <w:color w:val="231F20"/>
          <w:w w:val="105"/>
          <w:sz w:val="16"/>
        </w:rPr>
        <w:t xml:space="preserve">, </w:t>
      </w:r>
      <w:r>
        <w:rPr>
          <w:color w:val="231F20"/>
          <w:w w:val="105"/>
          <w:sz w:val="16"/>
        </w:rPr>
        <w:t>594</w:t>
      </w:r>
      <w:r>
        <w:rPr>
          <w:i/>
          <w:color w:val="231F20"/>
          <w:w w:val="105"/>
          <w:sz w:val="16"/>
        </w:rPr>
        <w:t xml:space="preserve">. See also </w:t>
      </w:r>
      <w:r>
        <w:rPr>
          <w:color w:val="231F20"/>
          <w:spacing w:val="-6"/>
          <w:w w:val="105"/>
          <w:sz w:val="16"/>
        </w:rPr>
        <w:t>BAW</w:t>
      </w:r>
    </w:p>
    <w:p w14:paraId="1D9CA550" w14:textId="77777777" w:rsidR="002653E8" w:rsidRDefault="003115E3">
      <w:pPr>
        <w:spacing w:before="1" w:line="280" w:lineRule="auto"/>
        <w:ind w:left="1527"/>
        <w:rPr>
          <w:i/>
          <w:sz w:val="16"/>
        </w:rPr>
      </w:pPr>
      <w:r>
        <w:rPr>
          <w:color w:val="231F20"/>
          <w:sz w:val="16"/>
        </w:rPr>
        <w:t>(Bundesanwaltschaft)</w:t>
      </w:r>
      <w:r>
        <w:rPr>
          <w:i/>
          <w:color w:val="231F20"/>
          <w:sz w:val="16"/>
        </w:rPr>
        <w:t xml:space="preserve">; See also </w:t>
      </w:r>
      <w:r w:rsidR="00C507A5">
        <w:rPr>
          <w:color w:val="231F20"/>
          <w:sz w:val="16"/>
        </w:rPr>
        <w:t>red army faction</w:t>
      </w:r>
      <w:r>
        <w:rPr>
          <w:color w:val="231F20"/>
          <w:sz w:val="16"/>
        </w:rPr>
        <w:t xml:space="preserve"> (Red Army Faction): Buback assassination (1977); assassination by </w:t>
      </w:r>
      <w:r w:rsidR="00C507A5">
        <w:rPr>
          <w:color w:val="231F20"/>
          <w:sz w:val="16"/>
        </w:rPr>
        <w:t>red army faction</w:t>
      </w:r>
      <w:r>
        <w:rPr>
          <w:color w:val="231F20"/>
          <w:sz w:val="16"/>
        </w:rPr>
        <w:t xml:space="preserve"> 470–471</w:t>
      </w:r>
      <w:r>
        <w:rPr>
          <w:i/>
          <w:color w:val="231F20"/>
          <w:sz w:val="16"/>
        </w:rPr>
        <w:t xml:space="preserve">, </w:t>
      </w:r>
      <w:r>
        <w:rPr>
          <w:color w:val="231F20"/>
          <w:sz w:val="16"/>
        </w:rPr>
        <w:t>490–492</w:t>
      </w:r>
      <w:r>
        <w:rPr>
          <w:i/>
          <w:color w:val="231F20"/>
          <w:sz w:val="16"/>
        </w:rPr>
        <w:t xml:space="preserve">, </w:t>
      </w:r>
      <w:r>
        <w:rPr>
          <w:color w:val="231F20"/>
          <w:sz w:val="16"/>
        </w:rPr>
        <w:t>534</w:t>
      </w:r>
      <w:r>
        <w:rPr>
          <w:i/>
          <w:color w:val="231F20"/>
          <w:sz w:val="16"/>
        </w:rPr>
        <w:t xml:space="preserve">, </w:t>
      </w:r>
      <w:r>
        <w:rPr>
          <w:color w:val="231F20"/>
          <w:sz w:val="16"/>
        </w:rPr>
        <w:t>604</w:t>
      </w:r>
      <w:r>
        <w:rPr>
          <w:i/>
          <w:color w:val="231F20"/>
          <w:sz w:val="16"/>
        </w:rPr>
        <w:t xml:space="preserve">, </w:t>
      </w:r>
      <w:r>
        <w:rPr>
          <w:color w:val="231F20"/>
          <w:sz w:val="16"/>
        </w:rPr>
        <w:t>615</w:t>
      </w:r>
      <w:r>
        <w:rPr>
          <w:i/>
          <w:color w:val="231F20"/>
          <w:sz w:val="16"/>
        </w:rPr>
        <w:t>,</w:t>
      </w:r>
    </w:p>
    <w:p w14:paraId="1D7E9DF2" w14:textId="77777777" w:rsidR="002653E8" w:rsidRDefault="003115E3">
      <w:pPr>
        <w:spacing w:before="2"/>
        <w:ind w:left="1527"/>
        <w:rPr>
          <w:i/>
          <w:sz w:val="16"/>
        </w:rPr>
      </w:pPr>
      <w:r>
        <w:rPr>
          <w:color w:val="231F20"/>
          <w:sz w:val="16"/>
        </w:rPr>
        <w:t>627; attacks on lawyers   337</w:t>
      </w:r>
      <w:r>
        <w:rPr>
          <w:i/>
          <w:color w:val="231F20"/>
          <w:sz w:val="16"/>
        </w:rPr>
        <w:t xml:space="preserve">, </w:t>
      </w:r>
      <w:r>
        <w:rPr>
          <w:color w:val="231F20"/>
          <w:sz w:val="16"/>
        </w:rPr>
        <w:t>341</w:t>
      </w:r>
      <w:r>
        <w:rPr>
          <w:i/>
          <w:color w:val="231F20"/>
          <w:sz w:val="16"/>
        </w:rPr>
        <w:t>,</w:t>
      </w:r>
    </w:p>
    <w:p w14:paraId="1D7E0304" w14:textId="77777777" w:rsidR="002653E8" w:rsidRDefault="003115E3">
      <w:pPr>
        <w:spacing w:before="32"/>
        <w:ind w:left="1527"/>
        <w:rPr>
          <w:sz w:val="16"/>
        </w:rPr>
      </w:pPr>
      <w:r>
        <w:rPr>
          <w:color w:val="231F20"/>
          <w:w w:val="105"/>
          <w:sz w:val="16"/>
        </w:rPr>
        <w:t>344</w:t>
      </w:r>
      <w:r>
        <w:rPr>
          <w:i/>
          <w:color w:val="231F20"/>
          <w:w w:val="105"/>
          <w:sz w:val="16"/>
        </w:rPr>
        <w:t xml:space="preserve">, </w:t>
      </w:r>
      <w:r>
        <w:rPr>
          <w:color w:val="231F20"/>
          <w:w w:val="105"/>
          <w:sz w:val="16"/>
        </w:rPr>
        <w:t>345</w:t>
      </w:r>
      <w:r>
        <w:rPr>
          <w:i/>
          <w:color w:val="231F20"/>
          <w:w w:val="105"/>
          <w:sz w:val="16"/>
        </w:rPr>
        <w:t xml:space="preserve">, </w:t>
      </w:r>
      <w:r>
        <w:rPr>
          <w:color w:val="231F20"/>
          <w:w w:val="105"/>
          <w:sz w:val="16"/>
        </w:rPr>
        <w:t>346</w:t>
      </w:r>
      <w:r>
        <w:rPr>
          <w:i/>
          <w:color w:val="231F20"/>
          <w:w w:val="105"/>
          <w:sz w:val="16"/>
        </w:rPr>
        <w:t xml:space="preserve">, </w:t>
      </w:r>
      <w:r>
        <w:rPr>
          <w:color w:val="231F20"/>
          <w:w w:val="105"/>
          <w:sz w:val="16"/>
        </w:rPr>
        <w:t>595; attacks on left</w:t>
      </w:r>
    </w:p>
    <w:p w14:paraId="0646697A" w14:textId="77777777" w:rsidR="002653E8" w:rsidRDefault="003115E3">
      <w:pPr>
        <w:spacing w:before="33"/>
        <w:ind w:left="1527"/>
        <w:rPr>
          <w:sz w:val="16"/>
        </w:rPr>
      </w:pPr>
      <w:r>
        <w:rPr>
          <w:color w:val="231F20"/>
          <w:w w:val="105"/>
          <w:sz w:val="16"/>
        </w:rPr>
        <w:t>344–345</w:t>
      </w:r>
      <w:r>
        <w:rPr>
          <w:i/>
          <w:color w:val="231F20"/>
          <w:w w:val="105"/>
          <w:sz w:val="16"/>
        </w:rPr>
        <w:t xml:space="preserve">, </w:t>
      </w:r>
      <w:r>
        <w:rPr>
          <w:color w:val="231F20"/>
          <w:w w:val="105"/>
          <w:sz w:val="16"/>
        </w:rPr>
        <w:t>395</w:t>
      </w:r>
      <w:r>
        <w:rPr>
          <w:i/>
          <w:color w:val="231F20"/>
          <w:w w:val="105"/>
          <w:sz w:val="16"/>
        </w:rPr>
        <w:t xml:space="preserve">, </w:t>
      </w:r>
      <w:r>
        <w:rPr>
          <w:color w:val="231F20"/>
          <w:w w:val="105"/>
          <w:sz w:val="16"/>
        </w:rPr>
        <w:t>461; attacks on prison-</w:t>
      </w:r>
    </w:p>
    <w:p w14:paraId="56492990" w14:textId="77777777" w:rsidR="002653E8" w:rsidRDefault="003115E3">
      <w:pPr>
        <w:spacing w:before="32"/>
        <w:ind w:left="1527"/>
        <w:rPr>
          <w:sz w:val="16"/>
        </w:rPr>
      </w:pPr>
      <w:r>
        <w:rPr>
          <w:color w:val="231F20"/>
          <w:w w:val="105"/>
          <w:sz w:val="16"/>
        </w:rPr>
        <w:t>ers 304</w:t>
      </w:r>
      <w:r>
        <w:rPr>
          <w:i/>
          <w:color w:val="231F20"/>
          <w:w w:val="105"/>
          <w:sz w:val="16"/>
        </w:rPr>
        <w:t xml:space="preserve">, </w:t>
      </w:r>
      <w:r>
        <w:rPr>
          <w:color w:val="231F20"/>
          <w:w w:val="105"/>
          <w:sz w:val="16"/>
        </w:rPr>
        <w:t>306</w:t>
      </w:r>
      <w:r>
        <w:rPr>
          <w:i/>
          <w:color w:val="231F20"/>
          <w:w w:val="105"/>
          <w:sz w:val="16"/>
        </w:rPr>
        <w:t xml:space="preserve">, </w:t>
      </w:r>
      <w:r>
        <w:rPr>
          <w:color w:val="231F20"/>
          <w:w w:val="105"/>
          <w:sz w:val="16"/>
        </w:rPr>
        <w:t>307–308</w:t>
      </w:r>
      <w:r>
        <w:rPr>
          <w:i/>
          <w:color w:val="231F20"/>
          <w:w w:val="105"/>
          <w:sz w:val="16"/>
        </w:rPr>
        <w:t xml:space="preserve">, </w:t>
      </w:r>
      <w:r>
        <w:rPr>
          <w:color w:val="231F20"/>
          <w:w w:val="105"/>
          <w:sz w:val="16"/>
        </w:rPr>
        <w:t>395</w:t>
      </w:r>
      <w:r>
        <w:rPr>
          <w:i/>
          <w:color w:val="231F20"/>
          <w:w w:val="105"/>
          <w:sz w:val="16"/>
        </w:rPr>
        <w:t xml:space="preserve">, </w:t>
      </w:r>
      <w:r>
        <w:rPr>
          <w:color w:val="231F20"/>
          <w:w w:val="105"/>
          <w:sz w:val="16"/>
        </w:rPr>
        <w:t>400</w:t>
      </w:r>
      <w:r>
        <w:rPr>
          <w:i/>
          <w:color w:val="231F20"/>
          <w:w w:val="105"/>
          <w:sz w:val="16"/>
        </w:rPr>
        <w:t xml:space="preserve">, </w:t>
      </w:r>
      <w:r>
        <w:rPr>
          <w:color w:val="231F20"/>
          <w:w w:val="105"/>
          <w:sz w:val="16"/>
        </w:rPr>
        <w:t>422;</w:t>
      </w:r>
    </w:p>
    <w:p w14:paraId="4FCC54A6" w14:textId="77777777" w:rsidR="002653E8" w:rsidRDefault="003115E3">
      <w:pPr>
        <w:spacing w:before="33" w:line="280" w:lineRule="auto"/>
        <w:ind w:left="1327" w:firstLine="200"/>
        <w:rPr>
          <w:sz w:val="16"/>
        </w:rPr>
      </w:pPr>
      <w:r>
        <w:rPr>
          <w:color w:val="231F20"/>
          <w:sz w:val="16"/>
        </w:rPr>
        <w:t>attacks on Ulrike Meinhof 410–411 Bubis, Ignatz 623</w:t>
      </w:r>
    </w:p>
    <w:p w14:paraId="6CD84E40" w14:textId="77777777" w:rsidR="002653E8" w:rsidRPr="00846956" w:rsidRDefault="003115E3">
      <w:pPr>
        <w:spacing w:before="1"/>
        <w:ind w:left="1327"/>
        <w:rPr>
          <w:sz w:val="16"/>
          <w:lang w:val="de-DE"/>
        </w:rPr>
      </w:pPr>
      <w:r w:rsidRPr="00846956">
        <w:rPr>
          <w:color w:val="231F20"/>
          <w:w w:val="105"/>
          <w:sz w:val="16"/>
          <w:lang w:val="de-DE"/>
        </w:rPr>
        <w:t>Bücker, Georg 403</w:t>
      </w:r>
    </w:p>
    <w:p w14:paraId="413EE74F" w14:textId="77777777" w:rsidR="002653E8" w:rsidRPr="00846956" w:rsidRDefault="003115E3">
      <w:pPr>
        <w:spacing w:before="32"/>
        <w:ind w:left="1327"/>
        <w:rPr>
          <w:sz w:val="16"/>
          <w:lang w:val="de-DE"/>
        </w:rPr>
      </w:pPr>
      <w:r w:rsidRPr="00846956">
        <w:rPr>
          <w:color w:val="231F20"/>
          <w:sz w:val="16"/>
          <w:lang w:val="de-DE"/>
        </w:rPr>
        <w:t>Buddenberg, Gerta 165</w:t>
      </w:r>
      <w:r w:rsidRPr="00846956">
        <w:rPr>
          <w:i/>
          <w:color w:val="231F20"/>
          <w:sz w:val="16"/>
          <w:lang w:val="de-DE"/>
        </w:rPr>
        <w:t xml:space="preserve">, </w:t>
      </w:r>
      <w:r w:rsidRPr="00846956">
        <w:rPr>
          <w:color w:val="231F20"/>
          <w:sz w:val="16"/>
          <w:lang w:val="de-DE"/>
        </w:rPr>
        <w:t>590</w:t>
      </w:r>
    </w:p>
    <w:p w14:paraId="253C977E" w14:textId="77777777" w:rsidR="002653E8" w:rsidRPr="00846956" w:rsidRDefault="003115E3">
      <w:pPr>
        <w:spacing w:before="86" w:line="280" w:lineRule="auto"/>
        <w:ind w:left="456" w:right="1185" w:hanging="200"/>
        <w:rPr>
          <w:sz w:val="16"/>
          <w:lang w:val="de-DE"/>
        </w:rPr>
      </w:pPr>
      <w:r w:rsidRPr="00846956">
        <w:rPr>
          <w:lang w:val="de-DE"/>
        </w:rPr>
        <w:br w:type="column"/>
      </w:r>
      <w:r w:rsidRPr="00846956">
        <w:rPr>
          <w:color w:val="231F20"/>
          <w:sz w:val="16"/>
          <w:lang w:val="de-DE"/>
        </w:rPr>
        <w:lastRenderedPageBreak/>
        <w:t>Buddenberg, Wolfgang 565; attempted assassination (1972) 165</w:t>
      </w:r>
      <w:r w:rsidRPr="00846956">
        <w:rPr>
          <w:i/>
          <w:color w:val="231F20"/>
          <w:sz w:val="16"/>
          <w:lang w:val="de-DE"/>
        </w:rPr>
        <w:t xml:space="preserve">, </w:t>
      </w:r>
      <w:r w:rsidRPr="00846956">
        <w:rPr>
          <w:color w:val="231F20"/>
          <w:sz w:val="16"/>
          <w:lang w:val="de-DE"/>
        </w:rPr>
        <w:t>176</w:t>
      </w:r>
      <w:r w:rsidRPr="00846956">
        <w:rPr>
          <w:i/>
          <w:color w:val="231F20"/>
          <w:sz w:val="16"/>
          <w:lang w:val="de-DE"/>
        </w:rPr>
        <w:t xml:space="preserve">, </w:t>
      </w:r>
      <w:r w:rsidRPr="00846956">
        <w:rPr>
          <w:color w:val="231F20"/>
          <w:sz w:val="16"/>
          <w:lang w:val="de-DE"/>
        </w:rPr>
        <w:t>590;</w:t>
      </w:r>
    </w:p>
    <w:p w14:paraId="208C95CA" w14:textId="77777777" w:rsidR="002653E8" w:rsidRPr="00846956" w:rsidRDefault="00C507A5">
      <w:pPr>
        <w:spacing w:before="1" w:line="280" w:lineRule="auto"/>
        <w:ind w:left="256" w:right="1185" w:firstLine="200"/>
        <w:rPr>
          <w:sz w:val="16"/>
          <w:lang w:val="de-DE"/>
        </w:rPr>
      </w:pPr>
      <w:r w:rsidRPr="00846956">
        <w:rPr>
          <w:color w:val="231F20"/>
          <w:w w:val="105"/>
          <w:sz w:val="16"/>
          <w:lang w:val="de-DE"/>
        </w:rPr>
        <w:t>red army faction</w:t>
      </w:r>
      <w:r w:rsidR="003115E3" w:rsidRPr="00846956">
        <w:rPr>
          <w:color w:val="231F20"/>
          <w:w w:val="105"/>
          <w:sz w:val="16"/>
          <w:lang w:val="de-DE"/>
        </w:rPr>
        <w:t xml:space="preserve"> trials 115</w:t>
      </w:r>
      <w:r w:rsidR="003115E3" w:rsidRPr="00846956">
        <w:rPr>
          <w:i/>
          <w:color w:val="231F20"/>
          <w:w w:val="105"/>
          <w:sz w:val="16"/>
          <w:lang w:val="de-DE"/>
        </w:rPr>
        <w:t xml:space="preserve">, </w:t>
      </w:r>
      <w:r w:rsidR="003115E3" w:rsidRPr="00846956">
        <w:rPr>
          <w:color w:val="231F20"/>
          <w:w w:val="105"/>
          <w:sz w:val="16"/>
          <w:lang w:val="de-DE"/>
        </w:rPr>
        <w:t>176</w:t>
      </w:r>
      <w:r w:rsidR="003115E3" w:rsidRPr="00846956">
        <w:rPr>
          <w:i/>
          <w:color w:val="231F20"/>
          <w:w w:val="105"/>
          <w:sz w:val="16"/>
          <w:lang w:val="de-DE"/>
        </w:rPr>
        <w:t xml:space="preserve">, </w:t>
      </w:r>
      <w:r w:rsidR="003115E3" w:rsidRPr="00846956">
        <w:rPr>
          <w:color w:val="231F20"/>
          <w:w w:val="105"/>
          <w:sz w:val="16"/>
          <w:lang w:val="de-DE"/>
        </w:rPr>
        <w:t xml:space="preserve">589 </w:t>
      </w:r>
      <w:r w:rsidR="003115E3" w:rsidRPr="00846956">
        <w:rPr>
          <w:color w:val="231F20"/>
          <w:sz w:val="16"/>
          <w:lang w:val="de-DE"/>
        </w:rPr>
        <w:t>Bundesanwaltschaft</w:t>
      </w:r>
      <w:r w:rsidR="003115E3" w:rsidRPr="00846956">
        <w:rPr>
          <w:i/>
          <w:color w:val="231F20"/>
          <w:sz w:val="16"/>
          <w:lang w:val="de-DE"/>
        </w:rPr>
        <w:t xml:space="preserve">. See </w:t>
      </w:r>
      <w:r w:rsidR="003115E3" w:rsidRPr="00846956">
        <w:rPr>
          <w:color w:val="231F20"/>
          <w:sz w:val="16"/>
          <w:lang w:val="de-DE"/>
        </w:rPr>
        <w:t>BAW (Bundesan-</w:t>
      </w:r>
    </w:p>
    <w:p w14:paraId="4C5B3821" w14:textId="77777777" w:rsidR="002653E8" w:rsidRPr="00846956" w:rsidRDefault="003115E3">
      <w:pPr>
        <w:spacing w:before="1"/>
        <w:ind w:left="456"/>
        <w:rPr>
          <w:sz w:val="16"/>
          <w:lang w:val="de-DE"/>
        </w:rPr>
      </w:pPr>
      <w:r w:rsidRPr="00846956">
        <w:rPr>
          <w:color w:val="231F20"/>
          <w:sz w:val="16"/>
          <w:lang w:val="de-DE"/>
        </w:rPr>
        <w:t>waltschaft)</w:t>
      </w:r>
    </w:p>
    <w:p w14:paraId="62852A58" w14:textId="77777777" w:rsidR="002653E8" w:rsidRPr="00846956" w:rsidRDefault="003115E3">
      <w:pPr>
        <w:spacing w:before="33" w:line="280" w:lineRule="auto"/>
        <w:ind w:left="456" w:right="620" w:hanging="200"/>
        <w:rPr>
          <w:sz w:val="16"/>
          <w:lang w:val="de-DE"/>
        </w:rPr>
      </w:pPr>
      <w:r w:rsidRPr="00846956">
        <w:rPr>
          <w:color w:val="231F20"/>
          <w:sz w:val="16"/>
          <w:lang w:val="de-DE"/>
        </w:rPr>
        <w:t>Bundesgrenzschutz</w:t>
      </w:r>
      <w:r w:rsidRPr="00846956">
        <w:rPr>
          <w:i/>
          <w:color w:val="231F20"/>
          <w:sz w:val="16"/>
          <w:lang w:val="de-DE"/>
        </w:rPr>
        <w:t xml:space="preserve">. See </w:t>
      </w:r>
      <w:r w:rsidRPr="00846956">
        <w:rPr>
          <w:color w:val="231F20"/>
          <w:sz w:val="16"/>
          <w:lang w:val="de-DE"/>
        </w:rPr>
        <w:t>BGS (Bundesgrenzschutz)</w:t>
      </w:r>
    </w:p>
    <w:p w14:paraId="29B66270" w14:textId="77777777" w:rsidR="002653E8" w:rsidRPr="00846956" w:rsidRDefault="003115E3">
      <w:pPr>
        <w:spacing w:before="1" w:line="280" w:lineRule="auto"/>
        <w:ind w:left="456" w:right="1185" w:hanging="201"/>
        <w:rPr>
          <w:sz w:val="16"/>
          <w:lang w:val="de-DE"/>
        </w:rPr>
      </w:pPr>
      <w:r w:rsidRPr="00846956">
        <w:rPr>
          <w:color w:val="231F20"/>
          <w:sz w:val="16"/>
          <w:lang w:val="de-DE"/>
        </w:rPr>
        <w:t>Bundeskriminalamt</w:t>
      </w:r>
      <w:r w:rsidRPr="00846956">
        <w:rPr>
          <w:i/>
          <w:color w:val="231F20"/>
          <w:sz w:val="16"/>
          <w:lang w:val="de-DE"/>
        </w:rPr>
        <w:t xml:space="preserve">. See </w:t>
      </w:r>
      <w:r w:rsidRPr="00846956">
        <w:rPr>
          <w:color w:val="231F20"/>
          <w:sz w:val="16"/>
          <w:lang w:val="de-DE"/>
        </w:rPr>
        <w:t>BKA (Bundeskriminalamt)</w:t>
      </w:r>
    </w:p>
    <w:p w14:paraId="54EB2ED0" w14:textId="77777777" w:rsidR="002653E8" w:rsidRPr="00846956" w:rsidRDefault="003115E3">
      <w:pPr>
        <w:spacing w:before="1" w:line="280" w:lineRule="auto"/>
        <w:ind w:left="456" w:right="1185" w:hanging="200"/>
        <w:rPr>
          <w:sz w:val="16"/>
          <w:lang w:val="de-DE"/>
        </w:rPr>
      </w:pPr>
      <w:r w:rsidRPr="00846956">
        <w:rPr>
          <w:color w:val="231F20"/>
          <w:sz w:val="16"/>
          <w:lang w:val="de-DE"/>
        </w:rPr>
        <w:t>Bundesnachrichtendienst</w:t>
      </w:r>
      <w:r w:rsidRPr="00846956">
        <w:rPr>
          <w:i/>
          <w:color w:val="231F20"/>
          <w:sz w:val="16"/>
          <w:lang w:val="de-DE"/>
        </w:rPr>
        <w:t xml:space="preserve">. See </w:t>
      </w:r>
      <w:r w:rsidRPr="00846956">
        <w:rPr>
          <w:color w:val="231F20"/>
          <w:sz w:val="16"/>
          <w:lang w:val="de-DE"/>
        </w:rPr>
        <w:t>BND (Bundesnachrichtendienst)</w:t>
      </w:r>
    </w:p>
    <w:p w14:paraId="5D6FD061" w14:textId="77777777" w:rsidR="002653E8" w:rsidRPr="00846956" w:rsidRDefault="003115E3">
      <w:pPr>
        <w:spacing w:before="1"/>
        <w:ind w:left="256"/>
        <w:rPr>
          <w:i/>
          <w:sz w:val="16"/>
          <w:lang w:val="de-DE"/>
        </w:rPr>
      </w:pPr>
      <w:r w:rsidRPr="00846956">
        <w:rPr>
          <w:color w:val="231F20"/>
          <w:sz w:val="16"/>
          <w:lang w:val="de-DE"/>
        </w:rPr>
        <w:t>Bundesverband der Deutschen Industrie</w:t>
      </w:r>
      <w:r w:rsidRPr="00846956">
        <w:rPr>
          <w:i/>
          <w:color w:val="231F20"/>
          <w:sz w:val="16"/>
          <w:lang w:val="de-DE"/>
        </w:rPr>
        <w:t>.</w:t>
      </w:r>
    </w:p>
    <w:p w14:paraId="259A0BE1" w14:textId="77777777" w:rsidR="002653E8" w:rsidRPr="005A5C8F" w:rsidRDefault="003115E3">
      <w:pPr>
        <w:spacing w:before="32" w:line="280" w:lineRule="auto"/>
        <w:ind w:left="456" w:right="1185"/>
        <w:rPr>
          <w:sz w:val="16"/>
          <w:lang w:val="de-DE"/>
        </w:rPr>
      </w:pPr>
      <w:r w:rsidRPr="005A5C8F">
        <w:rPr>
          <w:i/>
          <w:color w:val="231F20"/>
          <w:sz w:val="16"/>
          <w:lang w:val="de-DE"/>
        </w:rPr>
        <w:t xml:space="preserve">See </w:t>
      </w:r>
      <w:r w:rsidRPr="005A5C8F">
        <w:rPr>
          <w:color w:val="231F20"/>
          <w:sz w:val="16"/>
          <w:lang w:val="de-DE"/>
        </w:rPr>
        <w:t>Federal Association of German Industrialists</w:t>
      </w:r>
    </w:p>
    <w:p w14:paraId="21C68D22" w14:textId="77777777" w:rsidR="002653E8" w:rsidRDefault="003115E3">
      <w:pPr>
        <w:spacing w:before="1" w:line="280" w:lineRule="auto"/>
        <w:ind w:left="456" w:right="1188" w:hanging="200"/>
        <w:jc w:val="both"/>
        <w:rPr>
          <w:sz w:val="16"/>
        </w:rPr>
      </w:pPr>
      <w:r w:rsidRPr="00846956">
        <w:rPr>
          <w:color w:val="231F20"/>
          <w:sz w:val="16"/>
          <w:lang w:val="de-DE"/>
        </w:rPr>
        <w:t>Bundesvereinigung der Deutschen Arbeitgeberverbände</w:t>
      </w:r>
      <w:r w:rsidRPr="00846956">
        <w:rPr>
          <w:i/>
          <w:color w:val="231F20"/>
          <w:sz w:val="16"/>
          <w:lang w:val="de-DE"/>
        </w:rPr>
        <w:t xml:space="preserve">. </w:t>
      </w:r>
      <w:r>
        <w:rPr>
          <w:i/>
          <w:color w:val="231F20"/>
          <w:sz w:val="16"/>
        </w:rPr>
        <w:t xml:space="preserve">See </w:t>
      </w:r>
      <w:r>
        <w:rPr>
          <w:color w:val="231F20"/>
          <w:sz w:val="16"/>
        </w:rPr>
        <w:t>Federal</w:t>
      </w:r>
      <w:r>
        <w:rPr>
          <w:color w:val="231F20"/>
          <w:spacing w:val="-4"/>
          <w:sz w:val="16"/>
        </w:rPr>
        <w:t xml:space="preserve"> </w:t>
      </w:r>
      <w:r>
        <w:rPr>
          <w:color w:val="231F20"/>
          <w:sz w:val="16"/>
        </w:rPr>
        <w:t>Association of German</w:t>
      </w:r>
      <w:r>
        <w:rPr>
          <w:color w:val="231F20"/>
          <w:spacing w:val="18"/>
          <w:sz w:val="16"/>
        </w:rPr>
        <w:t xml:space="preserve"> </w:t>
      </w:r>
      <w:r>
        <w:rPr>
          <w:color w:val="231F20"/>
          <w:sz w:val="16"/>
        </w:rPr>
        <w:t>Employers</w:t>
      </w:r>
    </w:p>
    <w:p w14:paraId="59211563" w14:textId="77777777" w:rsidR="002653E8" w:rsidRDefault="003115E3">
      <w:pPr>
        <w:spacing w:before="2" w:line="280" w:lineRule="auto"/>
        <w:ind w:left="256" w:right="1185"/>
        <w:rPr>
          <w:sz w:val="16"/>
        </w:rPr>
      </w:pPr>
      <w:r w:rsidRPr="00846956">
        <w:rPr>
          <w:color w:val="231F20"/>
          <w:sz w:val="16"/>
          <w:lang w:val="de-DE"/>
        </w:rPr>
        <w:t>Bund Freiheit de Wissenshaft 155 bürgerinitiativen</w:t>
      </w:r>
      <w:r w:rsidRPr="00846956">
        <w:rPr>
          <w:i/>
          <w:color w:val="231F20"/>
          <w:sz w:val="16"/>
          <w:lang w:val="de-DE"/>
        </w:rPr>
        <w:t xml:space="preserve">. </w:t>
      </w:r>
      <w:r>
        <w:rPr>
          <w:i/>
          <w:color w:val="231F20"/>
          <w:sz w:val="16"/>
        </w:rPr>
        <w:t xml:space="preserve">See </w:t>
      </w:r>
      <w:r>
        <w:rPr>
          <w:color w:val="231F20"/>
          <w:sz w:val="16"/>
        </w:rPr>
        <w:t>citizens’ initiatives Burghardt, Cornelius 258</w:t>
      </w:r>
    </w:p>
    <w:p w14:paraId="653E4E1B" w14:textId="77777777" w:rsidR="002653E8" w:rsidRPr="00846956" w:rsidRDefault="003115E3">
      <w:pPr>
        <w:spacing w:before="2"/>
        <w:ind w:left="256"/>
        <w:rPr>
          <w:sz w:val="16"/>
          <w:lang w:val="de-DE"/>
        </w:rPr>
      </w:pPr>
      <w:r w:rsidRPr="00846956">
        <w:rPr>
          <w:color w:val="231F20"/>
          <w:sz w:val="16"/>
          <w:lang w:val="de-DE"/>
        </w:rPr>
        <w:t>Busche (journalist) 379</w:t>
      </w:r>
    </w:p>
    <w:p w14:paraId="2247452A" w14:textId="77777777" w:rsidR="002653E8" w:rsidRPr="00846956" w:rsidRDefault="003115E3">
      <w:pPr>
        <w:spacing w:before="32"/>
        <w:ind w:left="256"/>
        <w:rPr>
          <w:sz w:val="16"/>
          <w:lang w:val="de-DE"/>
        </w:rPr>
      </w:pPr>
      <w:r w:rsidRPr="00846956">
        <w:rPr>
          <w:color w:val="231F20"/>
          <w:sz w:val="16"/>
          <w:lang w:val="de-DE"/>
        </w:rPr>
        <w:t>Büsch, Wolfgang 34</w:t>
      </w:r>
    </w:p>
    <w:p w14:paraId="2335308E" w14:textId="77777777" w:rsidR="002653E8" w:rsidRPr="00846956" w:rsidRDefault="002653E8">
      <w:pPr>
        <w:pStyle w:val="a3"/>
        <w:rPr>
          <w:sz w:val="18"/>
          <w:lang w:val="de-DE"/>
        </w:rPr>
      </w:pPr>
    </w:p>
    <w:p w14:paraId="4A947853" w14:textId="77777777" w:rsidR="002653E8" w:rsidRPr="00846956" w:rsidRDefault="002653E8">
      <w:pPr>
        <w:pStyle w:val="a3"/>
        <w:rPr>
          <w:sz w:val="18"/>
          <w:lang w:val="de-DE"/>
        </w:rPr>
      </w:pPr>
    </w:p>
    <w:p w14:paraId="3CD8DF98" w14:textId="77777777" w:rsidR="002653E8" w:rsidRPr="00846956" w:rsidRDefault="002653E8">
      <w:pPr>
        <w:pStyle w:val="a3"/>
        <w:rPr>
          <w:sz w:val="18"/>
          <w:lang w:val="de-DE"/>
        </w:rPr>
      </w:pPr>
    </w:p>
    <w:p w14:paraId="6706A315" w14:textId="77777777" w:rsidR="002653E8" w:rsidRPr="00846956" w:rsidRDefault="002653E8">
      <w:pPr>
        <w:pStyle w:val="a3"/>
        <w:spacing w:before="10"/>
        <w:rPr>
          <w:sz w:val="23"/>
          <w:lang w:val="de-DE"/>
        </w:rPr>
      </w:pPr>
    </w:p>
    <w:p w14:paraId="04AB46CE" w14:textId="77777777" w:rsidR="002653E8" w:rsidRDefault="003115E3">
      <w:pPr>
        <w:ind w:left="256"/>
        <w:rPr>
          <w:sz w:val="16"/>
        </w:rPr>
      </w:pPr>
      <w:r>
        <w:rPr>
          <w:color w:val="231F20"/>
          <w:w w:val="105"/>
          <w:sz w:val="16"/>
        </w:rPr>
        <w:t>Caetano, Marcello 594</w:t>
      </w:r>
    </w:p>
    <w:p w14:paraId="39C80F13" w14:textId="77777777" w:rsidR="002653E8" w:rsidRDefault="003115E3">
      <w:pPr>
        <w:spacing w:before="32"/>
        <w:ind w:left="256"/>
        <w:rPr>
          <w:sz w:val="16"/>
        </w:rPr>
      </w:pPr>
      <w:r>
        <w:rPr>
          <w:color w:val="231F20"/>
          <w:w w:val="105"/>
          <w:sz w:val="16"/>
        </w:rPr>
        <w:t>Canada 210</w:t>
      </w:r>
      <w:r>
        <w:rPr>
          <w:i/>
          <w:color w:val="231F20"/>
          <w:w w:val="105"/>
          <w:sz w:val="16"/>
        </w:rPr>
        <w:t xml:space="preserve">, </w:t>
      </w:r>
      <w:r>
        <w:rPr>
          <w:color w:val="231F20"/>
          <w:w w:val="105"/>
          <w:sz w:val="16"/>
        </w:rPr>
        <w:t>469</w:t>
      </w:r>
    </w:p>
    <w:p w14:paraId="4AF71542" w14:textId="77777777" w:rsidR="002653E8" w:rsidRDefault="003115E3">
      <w:pPr>
        <w:spacing w:before="33" w:line="280" w:lineRule="auto"/>
        <w:ind w:left="256" w:right="1726"/>
        <w:rPr>
          <w:sz w:val="16"/>
        </w:rPr>
      </w:pPr>
      <w:r>
        <w:rPr>
          <w:color w:val="231F20"/>
          <w:w w:val="105"/>
          <w:sz w:val="16"/>
        </w:rPr>
        <w:t>Caransa, Maurits 523</w:t>
      </w:r>
      <w:r>
        <w:rPr>
          <w:i/>
          <w:color w:val="231F20"/>
          <w:w w:val="105"/>
          <w:sz w:val="16"/>
        </w:rPr>
        <w:t xml:space="preserve">, </w:t>
      </w:r>
      <w:r>
        <w:rPr>
          <w:color w:val="231F20"/>
          <w:w w:val="105"/>
          <w:sz w:val="16"/>
        </w:rPr>
        <w:t>528 Carlos</w:t>
      </w:r>
      <w:r>
        <w:rPr>
          <w:i/>
          <w:color w:val="231F20"/>
          <w:w w:val="105"/>
          <w:sz w:val="16"/>
        </w:rPr>
        <w:t>.</w:t>
      </w:r>
      <w:r>
        <w:rPr>
          <w:i/>
          <w:color w:val="231F20"/>
          <w:spacing w:val="-13"/>
          <w:w w:val="105"/>
          <w:sz w:val="16"/>
        </w:rPr>
        <w:t xml:space="preserve"> </w:t>
      </w:r>
      <w:r>
        <w:rPr>
          <w:i/>
          <w:color w:val="231F20"/>
          <w:w w:val="105"/>
          <w:sz w:val="16"/>
        </w:rPr>
        <w:t>See</w:t>
      </w:r>
      <w:r>
        <w:rPr>
          <w:i/>
          <w:color w:val="231F20"/>
          <w:spacing w:val="-9"/>
          <w:w w:val="105"/>
          <w:sz w:val="16"/>
        </w:rPr>
        <w:t xml:space="preserve"> </w:t>
      </w:r>
      <w:r>
        <w:rPr>
          <w:color w:val="231F20"/>
          <w:w w:val="105"/>
          <w:sz w:val="16"/>
        </w:rPr>
        <w:t>Ramírez</w:t>
      </w:r>
      <w:r>
        <w:rPr>
          <w:color w:val="231F20"/>
          <w:spacing w:val="-9"/>
          <w:w w:val="105"/>
          <w:sz w:val="16"/>
        </w:rPr>
        <w:t xml:space="preserve"> </w:t>
      </w:r>
      <w:r>
        <w:rPr>
          <w:color w:val="231F20"/>
          <w:w w:val="105"/>
          <w:sz w:val="16"/>
        </w:rPr>
        <w:t>Sánchez,</w:t>
      </w:r>
      <w:r>
        <w:rPr>
          <w:color w:val="231F20"/>
          <w:spacing w:val="-13"/>
          <w:w w:val="105"/>
          <w:sz w:val="16"/>
        </w:rPr>
        <w:t xml:space="preserve"> </w:t>
      </w:r>
      <w:r>
        <w:rPr>
          <w:color w:val="231F20"/>
          <w:w w:val="105"/>
          <w:sz w:val="16"/>
        </w:rPr>
        <w:t>Ilich Carmichael, Stokely</w:t>
      </w:r>
      <w:r>
        <w:rPr>
          <w:color w:val="231F20"/>
          <w:spacing w:val="7"/>
          <w:w w:val="105"/>
          <w:sz w:val="16"/>
        </w:rPr>
        <w:t xml:space="preserve"> </w:t>
      </w:r>
      <w:r>
        <w:rPr>
          <w:color w:val="231F20"/>
          <w:w w:val="105"/>
          <w:sz w:val="16"/>
        </w:rPr>
        <w:t>100</w:t>
      </w:r>
    </w:p>
    <w:p w14:paraId="03F75827" w14:textId="77777777" w:rsidR="002653E8" w:rsidRDefault="003115E3">
      <w:pPr>
        <w:spacing w:before="1"/>
        <w:ind w:left="256"/>
        <w:rPr>
          <w:sz w:val="16"/>
        </w:rPr>
      </w:pPr>
      <w:r>
        <w:rPr>
          <w:color w:val="231F20"/>
          <w:sz w:val="16"/>
        </w:rPr>
        <w:t>Carstens, Karl 306</w:t>
      </w:r>
    </w:p>
    <w:p w14:paraId="42FD751C" w14:textId="77777777" w:rsidR="002653E8" w:rsidRDefault="003115E3">
      <w:pPr>
        <w:spacing w:before="33"/>
        <w:ind w:left="256"/>
        <w:rPr>
          <w:sz w:val="16"/>
        </w:rPr>
      </w:pPr>
      <w:r>
        <w:rPr>
          <w:color w:val="231F20"/>
          <w:sz w:val="16"/>
        </w:rPr>
        <w:t>Casalis, Georges 382</w:t>
      </w:r>
    </w:p>
    <w:p w14:paraId="10827BB5" w14:textId="77777777" w:rsidR="002653E8" w:rsidRDefault="003115E3">
      <w:pPr>
        <w:spacing w:before="32"/>
        <w:ind w:left="256"/>
        <w:rPr>
          <w:sz w:val="16"/>
        </w:rPr>
      </w:pPr>
      <w:r>
        <w:rPr>
          <w:color w:val="231F20"/>
          <w:w w:val="105"/>
          <w:sz w:val="16"/>
        </w:rPr>
        <w:t>Castro, Fidel 153</w:t>
      </w:r>
    </w:p>
    <w:p w14:paraId="78D07BA2" w14:textId="77777777" w:rsidR="002653E8" w:rsidRPr="00846956" w:rsidRDefault="003115E3">
      <w:pPr>
        <w:spacing w:before="33"/>
        <w:ind w:left="256"/>
        <w:rPr>
          <w:sz w:val="16"/>
          <w:lang w:val="de-DE"/>
        </w:rPr>
      </w:pPr>
      <w:r w:rsidRPr="00846956">
        <w:rPr>
          <w:color w:val="231F20"/>
          <w:sz w:val="16"/>
          <w:lang w:val="de-DE"/>
        </w:rPr>
        <w:t>Cavefors,  Bo  319</w:t>
      </w:r>
    </w:p>
    <w:p w14:paraId="7123EE7C" w14:textId="77777777" w:rsidR="002653E8" w:rsidRDefault="003115E3">
      <w:pPr>
        <w:spacing w:before="32" w:line="280" w:lineRule="auto"/>
        <w:ind w:left="456" w:right="1354" w:hanging="200"/>
        <w:rPr>
          <w:sz w:val="16"/>
        </w:rPr>
      </w:pPr>
      <w:r w:rsidRPr="00846956">
        <w:rPr>
          <w:color w:val="231F20"/>
          <w:sz w:val="16"/>
          <w:lang w:val="de-DE"/>
        </w:rPr>
        <w:t>CDU  (Christlich  Demokratisches Union) 6</w:t>
      </w:r>
      <w:r w:rsidRPr="00846956">
        <w:rPr>
          <w:i/>
          <w:color w:val="231F20"/>
          <w:sz w:val="16"/>
          <w:lang w:val="de-DE"/>
        </w:rPr>
        <w:t xml:space="preserve">, </w:t>
      </w:r>
      <w:r w:rsidRPr="00846956">
        <w:rPr>
          <w:color w:val="231F20"/>
          <w:sz w:val="16"/>
          <w:lang w:val="de-DE"/>
        </w:rPr>
        <w:t>615</w:t>
      </w:r>
      <w:r w:rsidRPr="00846956">
        <w:rPr>
          <w:i/>
          <w:color w:val="231F20"/>
          <w:sz w:val="16"/>
          <w:lang w:val="de-DE"/>
        </w:rPr>
        <w:t xml:space="preserve">. </w:t>
      </w:r>
      <w:r>
        <w:rPr>
          <w:i/>
          <w:color w:val="231F20"/>
          <w:sz w:val="16"/>
        </w:rPr>
        <w:t xml:space="preserve">See also </w:t>
      </w:r>
      <w:r>
        <w:rPr>
          <w:color w:val="231F20"/>
          <w:sz w:val="16"/>
        </w:rPr>
        <w:t>Kiesinger, Kurt Georg</w:t>
      </w:r>
      <w:r>
        <w:rPr>
          <w:i/>
          <w:color w:val="231F20"/>
          <w:sz w:val="16"/>
        </w:rPr>
        <w:t xml:space="preserve">; See also </w:t>
      </w:r>
      <w:r>
        <w:rPr>
          <w:color w:val="231F20"/>
          <w:sz w:val="16"/>
        </w:rPr>
        <w:t>Barzel, Rainer</w:t>
      </w:r>
      <w:r>
        <w:rPr>
          <w:i/>
          <w:color w:val="231F20"/>
          <w:sz w:val="16"/>
        </w:rPr>
        <w:t xml:space="preserve">; See also </w:t>
      </w:r>
      <w:r>
        <w:rPr>
          <w:color w:val="231F20"/>
          <w:sz w:val="16"/>
        </w:rPr>
        <w:t>rearmement; opposition to abortion reform 446–447;</w:t>
      </w:r>
      <w:r>
        <w:rPr>
          <w:color w:val="231F20"/>
          <w:spacing w:val="-1"/>
          <w:sz w:val="16"/>
        </w:rPr>
        <w:t xml:space="preserve"> </w:t>
      </w:r>
      <w:r>
        <w:rPr>
          <w:color w:val="231F20"/>
          <w:sz w:val="16"/>
        </w:rPr>
        <w:t>Adenauer</w:t>
      </w:r>
    </w:p>
    <w:p w14:paraId="0A80F5F9" w14:textId="77777777" w:rsidR="002653E8" w:rsidRDefault="003115E3">
      <w:pPr>
        <w:spacing w:before="3"/>
        <w:ind w:left="456"/>
        <w:rPr>
          <w:sz w:val="16"/>
        </w:rPr>
      </w:pPr>
      <w:r>
        <w:rPr>
          <w:color w:val="231F20"/>
          <w:w w:val="105"/>
          <w:sz w:val="16"/>
        </w:rPr>
        <w:t>years 6</w:t>
      </w:r>
      <w:r>
        <w:rPr>
          <w:i/>
          <w:color w:val="231F20"/>
          <w:w w:val="105"/>
          <w:sz w:val="16"/>
        </w:rPr>
        <w:t xml:space="preserve">, </w:t>
      </w:r>
      <w:r>
        <w:rPr>
          <w:color w:val="231F20"/>
          <w:w w:val="105"/>
          <w:sz w:val="16"/>
        </w:rPr>
        <w:t>13</w:t>
      </w:r>
      <w:r>
        <w:rPr>
          <w:i/>
          <w:color w:val="231F20"/>
          <w:w w:val="105"/>
          <w:sz w:val="16"/>
        </w:rPr>
        <w:t xml:space="preserve">, </w:t>
      </w:r>
      <w:r>
        <w:rPr>
          <w:color w:val="231F20"/>
          <w:w w:val="105"/>
          <w:sz w:val="16"/>
        </w:rPr>
        <w:t>14–15</w:t>
      </w:r>
      <w:r>
        <w:rPr>
          <w:i/>
          <w:color w:val="231F20"/>
          <w:w w:val="105"/>
          <w:sz w:val="16"/>
        </w:rPr>
        <w:t xml:space="preserve">, </w:t>
      </w:r>
      <w:r>
        <w:rPr>
          <w:color w:val="231F20"/>
          <w:w w:val="105"/>
          <w:sz w:val="16"/>
        </w:rPr>
        <w:t>19–20</w:t>
      </w:r>
      <w:r>
        <w:rPr>
          <w:i/>
          <w:color w:val="231F20"/>
          <w:w w:val="105"/>
          <w:sz w:val="16"/>
        </w:rPr>
        <w:t xml:space="preserve">, </w:t>
      </w:r>
      <w:r>
        <w:rPr>
          <w:color w:val="231F20"/>
          <w:w w:val="105"/>
          <w:sz w:val="16"/>
        </w:rPr>
        <w:t>20</w:t>
      </w:r>
      <w:r>
        <w:rPr>
          <w:i/>
          <w:color w:val="231F20"/>
          <w:w w:val="105"/>
          <w:sz w:val="16"/>
        </w:rPr>
        <w:t xml:space="preserve">, </w:t>
      </w:r>
      <w:r>
        <w:rPr>
          <w:color w:val="231F20"/>
          <w:w w:val="105"/>
          <w:sz w:val="16"/>
        </w:rPr>
        <w:t>21–22;</w:t>
      </w:r>
    </w:p>
    <w:p w14:paraId="10690CBB" w14:textId="77777777" w:rsidR="002653E8" w:rsidRDefault="003115E3">
      <w:pPr>
        <w:spacing w:before="32" w:line="280" w:lineRule="auto"/>
        <w:ind w:left="456" w:right="1160"/>
        <w:rPr>
          <w:sz w:val="16"/>
        </w:rPr>
      </w:pPr>
      <w:r>
        <w:rPr>
          <w:color w:val="231F20"/>
          <w:sz w:val="16"/>
        </w:rPr>
        <w:t>Ahlener Program 146; anticommunism 14–15</w:t>
      </w:r>
      <w:r>
        <w:rPr>
          <w:i/>
          <w:color w:val="231F20"/>
          <w:sz w:val="16"/>
        </w:rPr>
        <w:t xml:space="preserve">, </w:t>
      </w:r>
      <w:r>
        <w:rPr>
          <w:color w:val="231F20"/>
          <w:sz w:val="16"/>
        </w:rPr>
        <w:t>20–21</w:t>
      </w:r>
      <w:r>
        <w:rPr>
          <w:i/>
          <w:color w:val="231F20"/>
          <w:sz w:val="16"/>
        </w:rPr>
        <w:t xml:space="preserve">,  </w:t>
      </w:r>
      <w:r>
        <w:rPr>
          <w:color w:val="231F20"/>
          <w:sz w:val="16"/>
        </w:rPr>
        <w:t>538;  Grand  Coalition 29</w:t>
      </w:r>
      <w:r>
        <w:rPr>
          <w:i/>
          <w:color w:val="231F20"/>
          <w:sz w:val="16"/>
        </w:rPr>
        <w:t xml:space="preserve">, </w:t>
      </w:r>
      <w:r>
        <w:rPr>
          <w:color w:val="231F20"/>
          <w:sz w:val="16"/>
        </w:rPr>
        <w:t>38</w:t>
      </w:r>
      <w:r>
        <w:rPr>
          <w:i/>
          <w:color w:val="231F20"/>
          <w:sz w:val="16"/>
        </w:rPr>
        <w:t xml:space="preserve">. See also </w:t>
      </w:r>
      <w:r>
        <w:rPr>
          <w:color w:val="231F20"/>
          <w:sz w:val="16"/>
        </w:rPr>
        <w:t>Grand Coalition;</w:t>
      </w:r>
      <w:r>
        <w:rPr>
          <w:color w:val="231F20"/>
          <w:spacing w:val="-13"/>
          <w:sz w:val="16"/>
        </w:rPr>
        <w:t xml:space="preserve"> </w:t>
      </w:r>
      <w:r>
        <w:rPr>
          <w:color w:val="231F20"/>
          <w:sz w:val="16"/>
        </w:rPr>
        <w:t>on</w:t>
      </w:r>
    </w:p>
    <w:p w14:paraId="291A090C" w14:textId="77777777" w:rsidR="002653E8" w:rsidRDefault="002653E8">
      <w:pPr>
        <w:spacing w:line="280" w:lineRule="auto"/>
        <w:rPr>
          <w:sz w:val="16"/>
        </w:rPr>
        <w:sectPr w:rsidR="002653E8">
          <w:pgSz w:w="8640" w:h="12960"/>
          <w:pgMar w:top="1080" w:right="0" w:bottom="1040" w:left="0" w:header="0" w:footer="846" w:gutter="0"/>
          <w:cols w:num="2" w:space="720" w:equalWidth="0">
            <w:col w:w="4254" w:space="40"/>
            <w:col w:w="4346"/>
          </w:cols>
        </w:sectPr>
      </w:pPr>
    </w:p>
    <w:p w14:paraId="66D9E427" w14:textId="77777777" w:rsidR="002653E8" w:rsidRDefault="003115E3">
      <w:pPr>
        <w:spacing w:before="86"/>
        <w:ind w:left="1347"/>
        <w:rPr>
          <w:i/>
          <w:sz w:val="16"/>
        </w:rPr>
      </w:pPr>
      <w:r>
        <w:rPr>
          <w:color w:val="231F20"/>
          <w:w w:val="110"/>
          <w:sz w:val="16"/>
        </w:rPr>
        <w:lastRenderedPageBreak/>
        <w:t>guerilla</w:t>
      </w:r>
      <w:r>
        <w:rPr>
          <w:color w:val="231F20"/>
          <w:spacing w:val="10"/>
          <w:w w:val="110"/>
          <w:sz w:val="16"/>
        </w:rPr>
        <w:t xml:space="preserve"> </w:t>
      </w:r>
      <w:r>
        <w:rPr>
          <w:color w:val="231F20"/>
          <w:w w:val="110"/>
          <w:sz w:val="16"/>
        </w:rPr>
        <w:t>262</w:t>
      </w:r>
      <w:r>
        <w:rPr>
          <w:i/>
          <w:color w:val="231F20"/>
          <w:w w:val="110"/>
          <w:sz w:val="16"/>
        </w:rPr>
        <w:t>,</w:t>
      </w:r>
      <w:r>
        <w:rPr>
          <w:i/>
          <w:color w:val="231F20"/>
          <w:spacing w:val="-18"/>
          <w:w w:val="110"/>
          <w:sz w:val="16"/>
        </w:rPr>
        <w:t xml:space="preserve"> </w:t>
      </w:r>
      <w:r>
        <w:rPr>
          <w:color w:val="231F20"/>
          <w:w w:val="110"/>
          <w:sz w:val="16"/>
        </w:rPr>
        <w:t>305</w:t>
      </w:r>
      <w:r>
        <w:rPr>
          <w:i/>
          <w:color w:val="231F20"/>
          <w:w w:val="110"/>
          <w:sz w:val="16"/>
        </w:rPr>
        <w:t>,</w:t>
      </w:r>
      <w:r>
        <w:rPr>
          <w:i/>
          <w:color w:val="231F20"/>
          <w:spacing w:val="-18"/>
          <w:w w:val="110"/>
          <w:sz w:val="16"/>
        </w:rPr>
        <w:t xml:space="preserve"> </w:t>
      </w:r>
      <w:r>
        <w:rPr>
          <w:color w:val="231F20"/>
          <w:w w:val="110"/>
          <w:sz w:val="16"/>
        </w:rPr>
        <w:t>306</w:t>
      </w:r>
      <w:r>
        <w:rPr>
          <w:i/>
          <w:color w:val="231F20"/>
          <w:w w:val="110"/>
          <w:sz w:val="16"/>
        </w:rPr>
        <w:t>,</w:t>
      </w:r>
      <w:r>
        <w:rPr>
          <w:i/>
          <w:color w:val="231F20"/>
          <w:spacing w:val="-18"/>
          <w:w w:val="110"/>
          <w:sz w:val="16"/>
        </w:rPr>
        <w:t xml:space="preserve"> </w:t>
      </w:r>
      <w:r>
        <w:rPr>
          <w:color w:val="231F20"/>
          <w:w w:val="110"/>
          <w:sz w:val="16"/>
        </w:rPr>
        <w:t>331</w:t>
      </w:r>
      <w:r>
        <w:rPr>
          <w:i/>
          <w:color w:val="231F20"/>
          <w:w w:val="110"/>
          <w:sz w:val="16"/>
        </w:rPr>
        <w:t>,</w:t>
      </w:r>
      <w:r>
        <w:rPr>
          <w:i/>
          <w:color w:val="231F20"/>
          <w:spacing w:val="-18"/>
          <w:w w:val="110"/>
          <w:sz w:val="16"/>
        </w:rPr>
        <w:t xml:space="preserve"> </w:t>
      </w:r>
      <w:r>
        <w:rPr>
          <w:color w:val="231F20"/>
          <w:w w:val="110"/>
          <w:sz w:val="16"/>
        </w:rPr>
        <w:t>344</w:t>
      </w:r>
      <w:r>
        <w:rPr>
          <w:i/>
          <w:color w:val="231F20"/>
          <w:w w:val="110"/>
          <w:sz w:val="16"/>
        </w:rPr>
        <w:t>,</w:t>
      </w:r>
      <w:r>
        <w:rPr>
          <w:i/>
          <w:color w:val="231F20"/>
          <w:spacing w:val="-18"/>
          <w:w w:val="110"/>
          <w:sz w:val="16"/>
        </w:rPr>
        <w:t xml:space="preserve"> </w:t>
      </w:r>
      <w:r>
        <w:rPr>
          <w:color w:val="231F20"/>
          <w:w w:val="110"/>
          <w:sz w:val="16"/>
        </w:rPr>
        <w:t>532</w:t>
      </w:r>
      <w:r>
        <w:rPr>
          <w:i/>
          <w:color w:val="231F20"/>
          <w:w w:val="110"/>
          <w:sz w:val="16"/>
        </w:rPr>
        <w:t>,</w:t>
      </w:r>
    </w:p>
    <w:p w14:paraId="5012A15B" w14:textId="77777777" w:rsidR="002653E8" w:rsidRDefault="003115E3">
      <w:pPr>
        <w:spacing w:before="33"/>
        <w:ind w:left="1347"/>
        <w:rPr>
          <w:i/>
          <w:sz w:val="16"/>
        </w:rPr>
      </w:pPr>
      <w:r>
        <w:rPr>
          <w:color w:val="231F20"/>
          <w:sz w:val="16"/>
        </w:rPr>
        <w:t xml:space="preserve">533–534; mentioned by </w:t>
      </w:r>
      <w:r w:rsidR="00C507A5">
        <w:rPr>
          <w:color w:val="231F20"/>
          <w:sz w:val="16"/>
        </w:rPr>
        <w:t>red army faction</w:t>
      </w:r>
      <w:r>
        <w:rPr>
          <w:color w:val="231F20"/>
          <w:sz w:val="16"/>
        </w:rPr>
        <w:t xml:space="preserve"> 147</w:t>
      </w:r>
      <w:r>
        <w:rPr>
          <w:i/>
          <w:color w:val="231F20"/>
          <w:sz w:val="16"/>
        </w:rPr>
        <w:t>,</w:t>
      </w:r>
    </w:p>
    <w:p w14:paraId="75C4FD31" w14:textId="77777777" w:rsidR="002653E8" w:rsidRDefault="003115E3">
      <w:pPr>
        <w:spacing w:before="32"/>
        <w:ind w:left="1347"/>
        <w:rPr>
          <w:sz w:val="16"/>
        </w:rPr>
      </w:pPr>
      <w:r>
        <w:rPr>
          <w:color w:val="231F20"/>
          <w:w w:val="105"/>
          <w:sz w:val="16"/>
        </w:rPr>
        <w:t>148</w:t>
      </w:r>
      <w:r>
        <w:rPr>
          <w:i/>
          <w:color w:val="231F20"/>
          <w:w w:val="105"/>
          <w:sz w:val="16"/>
        </w:rPr>
        <w:t xml:space="preserve">, </w:t>
      </w:r>
      <w:r>
        <w:rPr>
          <w:color w:val="231F20"/>
          <w:w w:val="105"/>
          <w:sz w:val="16"/>
        </w:rPr>
        <w:t>149</w:t>
      </w:r>
      <w:r>
        <w:rPr>
          <w:i/>
          <w:color w:val="231F20"/>
          <w:w w:val="105"/>
          <w:sz w:val="16"/>
        </w:rPr>
        <w:t xml:space="preserve">, </w:t>
      </w:r>
      <w:r>
        <w:rPr>
          <w:color w:val="231F20"/>
          <w:w w:val="105"/>
          <w:sz w:val="16"/>
        </w:rPr>
        <w:t>229</w:t>
      </w:r>
      <w:r>
        <w:rPr>
          <w:i/>
          <w:color w:val="231F20"/>
          <w:w w:val="105"/>
          <w:sz w:val="16"/>
        </w:rPr>
        <w:t xml:space="preserve">, </w:t>
      </w:r>
      <w:r>
        <w:rPr>
          <w:color w:val="231F20"/>
          <w:w w:val="105"/>
          <w:sz w:val="16"/>
        </w:rPr>
        <w:t>305</w:t>
      </w:r>
      <w:r>
        <w:rPr>
          <w:i/>
          <w:color w:val="231F20"/>
          <w:w w:val="105"/>
          <w:sz w:val="16"/>
        </w:rPr>
        <w:t xml:space="preserve">, </w:t>
      </w:r>
      <w:r>
        <w:rPr>
          <w:color w:val="231F20"/>
          <w:w w:val="105"/>
          <w:sz w:val="16"/>
        </w:rPr>
        <w:t>306; Zionism 552</w:t>
      </w:r>
    </w:p>
    <w:p w14:paraId="2132388A" w14:textId="77777777" w:rsidR="002653E8" w:rsidRDefault="003115E3">
      <w:pPr>
        <w:spacing w:before="33" w:line="280" w:lineRule="auto"/>
        <w:ind w:left="1147" w:right="621"/>
        <w:rPr>
          <w:sz w:val="16"/>
        </w:rPr>
      </w:pPr>
      <w:r>
        <w:rPr>
          <w:color w:val="231F20"/>
          <w:w w:val="105"/>
          <w:sz w:val="16"/>
        </w:rPr>
        <w:t>Central Council of Jews 623 Chase Manhattan Bank 4 Chicago 8 trial 418</w:t>
      </w:r>
    </w:p>
    <w:p w14:paraId="1EAFC3CD" w14:textId="77777777" w:rsidR="002653E8" w:rsidRDefault="003115E3">
      <w:pPr>
        <w:spacing w:before="1"/>
        <w:ind w:left="1147"/>
        <w:rPr>
          <w:sz w:val="16"/>
        </w:rPr>
      </w:pPr>
      <w:r>
        <w:rPr>
          <w:color w:val="231F20"/>
          <w:w w:val="105"/>
          <w:sz w:val="16"/>
        </w:rPr>
        <w:t>Chile 377</w:t>
      </w:r>
      <w:r>
        <w:rPr>
          <w:i/>
          <w:color w:val="231F20"/>
          <w:w w:val="105"/>
          <w:sz w:val="16"/>
        </w:rPr>
        <w:t xml:space="preserve">, </w:t>
      </w:r>
      <w:r>
        <w:rPr>
          <w:color w:val="231F20"/>
          <w:w w:val="105"/>
          <w:sz w:val="16"/>
        </w:rPr>
        <w:t>425</w:t>
      </w:r>
      <w:r>
        <w:rPr>
          <w:i/>
          <w:color w:val="231F20"/>
          <w:w w:val="105"/>
          <w:sz w:val="16"/>
        </w:rPr>
        <w:t xml:space="preserve">, </w:t>
      </w:r>
      <w:r>
        <w:rPr>
          <w:color w:val="231F20"/>
          <w:w w:val="105"/>
          <w:sz w:val="16"/>
        </w:rPr>
        <w:t>436–437</w:t>
      </w:r>
      <w:r>
        <w:rPr>
          <w:i/>
          <w:color w:val="231F20"/>
          <w:w w:val="105"/>
          <w:sz w:val="16"/>
        </w:rPr>
        <w:t xml:space="preserve">, </w:t>
      </w:r>
      <w:r>
        <w:rPr>
          <w:color w:val="231F20"/>
          <w:w w:val="105"/>
          <w:sz w:val="16"/>
        </w:rPr>
        <w:t>503</w:t>
      </w:r>
    </w:p>
    <w:p w14:paraId="57F755C1" w14:textId="77777777" w:rsidR="002653E8" w:rsidRDefault="003115E3">
      <w:pPr>
        <w:spacing w:before="33" w:line="280" w:lineRule="auto"/>
        <w:ind w:left="1347" w:right="131" w:hanging="200"/>
        <w:rPr>
          <w:sz w:val="16"/>
        </w:rPr>
      </w:pPr>
      <w:r>
        <w:rPr>
          <w:color w:val="231F20"/>
          <w:w w:val="105"/>
          <w:sz w:val="16"/>
        </w:rPr>
        <w:t>China (influence on FRG left) 28</w:t>
      </w:r>
      <w:r>
        <w:rPr>
          <w:i/>
          <w:color w:val="231F20"/>
          <w:w w:val="105"/>
          <w:sz w:val="16"/>
        </w:rPr>
        <w:t xml:space="preserve">, </w:t>
      </w:r>
      <w:r>
        <w:rPr>
          <w:color w:val="231F20"/>
          <w:w w:val="105"/>
          <w:sz w:val="16"/>
        </w:rPr>
        <w:t>424</w:t>
      </w:r>
      <w:r>
        <w:rPr>
          <w:i/>
          <w:color w:val="231F20"/>
          <w:w w:val="105"/>
          <w:sz w:val="16"/>
        </w:rPr>
        <w:t xml:space="preserve">, </w:t>
      </w:r>
      <w:r>
        <w:rPr>
          <w:color w:val="231F20"/>
          <w:w w:val="105"/>
          <w:sz w:val="16"/>
        </w:rPr>
        <w:t>434</w:t>
      </w:r>
    </w:p>
    <w:p w14:paraId="46A1B57D" w14:textId="77777777" w:rsidR="002653E8" w:rsidRPr="00846956" w:rsidRDefault="003115E3">
      <w:pPr>
        <w:spacing w:before="1" w:line="280" w:lineRule="auto"/>
        <w:ind w:left="1147" w:right="131"/>
        <w:rPr>
          <w:i/>
          <w:sz w:val="16"/>
          <w:lang w:val="de-DE"/>
        </w:rPr>
      </w:pPr>
      <w:r w:rsidRPr="00846956">
        <w:rPr>
          <w:color w:val="231F20"/>
          <w:sz w:val="16"/>
          <w:lang w:val="de-DE"/>
        </w:rPr>
        <w:t>Christian Democrats (Italy) 522 Christlich Demokratisches Union</w:t>
      </w:r>
      <w:r w:rsidRPr="00846956">
        <w:rPr>
          <w:i/>
          <w:color w:val="231F20"/>
          <w:sz w:val="16"/>
          <w:lang w:val="de-DE"/>
        </w:rPr>
        <w:t>.</w:t>
      </w:r>
    </w:p>
    <w:p w14:paraId="44BC5739" w14:textId="77777777" w:rsidR="002653E8" w:rsidRPr="00846956" w:rsidRDefault="003115E3">
      <w:pPr>
        <w:spacing w:before="1" w:line="280" w:lineRule="auto"/>
        <w:ind w:left="1347" w:hanging="1"/>
        <w:rPr>
          <w:sz w:val="16"/>
          <w:lang w:val="de-DE"/>
        </w:rPr>
      </w:pPr>
      <w:r w:rsidRPr="00846956">
        <w:rPr>
          <w:i/>
          <w:color w:val="231F20"/>
          <w:sz w:val="16"/>
          <w:lang w:val="de-DE"/>
        </w:rPr>
        <w:t xml:space="preserve">See </w:t>
      </w:r>
      <w:r w:rsidRPr="00846956">
        <w:rPr>
          <w:color w:val="231F20"/>
          <w:sz w:val="16"/>
          <w:lang w:val="de-DE"/>
        </w:rPr>
        <w:t>CDU (Christlich Demokratisches Union)</w:t>
      </w:r>
    </w:p>
    <w:p w14:paraId="086B053F" w14:textId="77777777" w:rsidR="002653E8" w:rsidRPr="00846956" w:rsidRDefault="003115E3">
      <w:pPr>
        <w:spacing w:before="1"/>
        <w:ind w:left="1147"/>
        <w:rPr>
          <w:i/>
          <w:sz w:val="16"/>
          <w:lang w:val="de-DE"/>
        </w:rPr>
      </w:pPr>
      <w:r w:rsidRPr="00846956">
        <w:rPr>
          <w:color w:val="231F20"/>
          <w:sz w:val="16"/>
          <w:lang w:val="de-DE"/>
        </w:rPr>
        <w:t>Christlich-Soziale Union in Bayern</w:t>
      </w:r>
      <w:r w:rsidRPr="00846956">
        <w:rPr>
          <w:i/>
          <w:color w:val="231F20"/>
          <w:sz w:val="16"/>
          <w:lang w:val="de-DE"/>
        </w:rPr>
        <w:t>.</w:t>
      </w:r>
    </w:p>
    <w:p w14:paraId="0CB4E5B5" w14:textId="77777777" w:rsidR="002653E8" w:rsidRPr="00846956" w:rsidRDefault="003115E3">
      <w:pPr>
        <w:spacing w:before="32" w:line="280" w:lineRule="auto"/>
        <w:ind w:left="1347"/>
        <w:rPr>
          <w:sz w:val="16"/>
          <w:lang w:val="de-DE"/>
        </w:rPr>
      </w:pPr>
      <w:r w:rsidRPr="00846956">
        <w:rPr>
          <w:i/>
          <w:color w:val="231F20"/>
          <w:sz w:val="16"/>
          <w:lang w:val="de-DE"/>
        </w:rPr>
        <w:t xml:space="preserve">See </w:t>
      </w:r>
      <w:r w:rsidRPr="00846956">
        <w:rPr>
          <w:color w:val="231F20"/>
          <w:sz w:val="16"/>
          <w:lang w:val="de-DE"/>
        </w:rPr>
        <w:t>CSU (Christlich-Soziale Union in Bayern)</w:t>
      </w:r>
    </w:p>
    <w:p w14:paraId="12DCFD7D" w14:textId="77777777" w:rsidR="002653E8" w:rsidRDefault="003115E3">
      <w:pPr>
        <w:spacing w:before="1" w:line="280" w:lineRule="auto"/>
        <w:ind w:left="1347" w:hanging="200"/>
        <w:rPr>
          <w:i/>
          <w:sz w:val="16"/>
        </w:rPr>
      </w:pPr>
      <w:r>
        <w:rPr>
          <w:color w:val="231F20"/>
          <w:w w:val="105"/>
          <w:sz w:val="16"/>
        </w:rPr>
        <w:t>CIA (Central Intelligence Agency)</w:t>
      </w:r>
      <w:r>
        <w:rPr>
          <w:i/>
          <w:color w:val="231F20"/>
          <w:w w:val="105"/>
          <w:sz w:val="16"/>
        </w:rPr>
        <w:t xml:space="preserve">. See also </w:t>
      </w:r>
      <w:r>
        <w:rPr>
          <w:color w:val="231F20"/>
          <w:w w:val="105"/>
          <w:sz w:val="16"/>
        </w:rPr>
        <w:t>Encounter; Chile 436–437; Europe 13; FRG 13</w:t>
      </w:r>
      <w:r>
        <w:rPr>
          <w:i/>
          <w:color w:val="231F20"/>
          <w:w w:val="105"/>
          <w:sz w:val="16"/>
        </w:rPr>
        <w:t xml:space="preserve">, </w:t>
      </w:r>
      <w:r>
        <w:rPr>
          <w:color w:val="231F20"/>
          <w:w w:val="105"/>
          <w:sz w:val="16"/>
        </w:rPr>
        <w:t>349</w:t>
      </w:r>
      <w:r>
        <w:rPr>
          <w:i/>
          <w:color w:val="231F20"/>
          <w:w w:val="105"/>
          <w:sz w:val="16"/>
        </w:rPr>
        <w:t xml:space="preserve">, </w:t>
      </w:r>
      <w:r>
        <w:rPr>
          <w:color w:val="231F20"/>
          <w:w w:val="105"/>
          <w:sz w:val="16"/>
        </w:rPr>
        <w:t>378–379</w:t>
      </w:r>
      <w:r>
        <w:rPr>
          <w:i/>
          <w:color w:val="231F20"/>
          <w:w w:val="105"/>
          <w:sz w:val="16"/>
        </w:rPr>
        <w:t>,</w:t>
      </w:r>
    </w:p>
    <w:p w14:paraId="42F568BF" w14:textId="77777777" w:rsidR="002653E8" w:rsidRDefault="003115E3">
      <w:pPr>
        <w:spacing w:before="2"/>
        <w:ind w:left="1347"/>
        <w:rPr>
          <w:sz w:val="16"/>
        </w:rPr>
      </w:pPr>
      <w:r>
        <w:rPr>
          <w:color w:val="231F20"/>
          <w:w w:val="105"/>
          <w:sz w:val="16"/>
        </w:rPr>
        <w:t>414</w:t>
      </w:r>
      <w:r>
        <w:rPr>
          <w:i/>
          <w:color w:val="231F20"/>
          <w:w w:val="105"/>
          <w:sz w:val="16"/>
        </w:rPr>
        <w:t>,</w:t>
      </w:r>
      <w:r>
        <w:rPr>
          <w:i/>
          <w:color w:val="231F20"/>
          <w:spacing w:val="-10"/>
          <w:w w:val="105"/>
          <w:sz w:val="16"/>
        </w:rPr>
        <w:t xml:space="preserve"> </w:t>
      </w:r>
      <w:r>
        <w:rPr>
          <w:color w:val="231F20"/>
          <w:w w:val="105"/>
          <w:sz w:val="16"/>
        </w:rPr>
        <w:t>415</w:t>
      </w:r>
      <w:r>
        <w:rPr>
          <w:i/>
          <w:color w:val="231F20"/>
          <w:w w:val="105"/>
          <w:sz w:val="16"/>
        </w:rPr>
        <w:t>,</w:t>
      </w:r>
      <w:r>
        <w:rPr>
          <w:i/>
          <w:color w:val="231F20"/>
          <w:spacing w:val="-10"/>
          <w:w w:val="105"/>
          <w:sz w:val="16"/>
        </w:rPr>
        <w:t xml:space="preserve"> </w:t>
      </w:r>
      <w:r>
        <w:rPr>
          <w:color w:val="231F20"/>
          <w:w w:val="105"/>
          <w:sz w:val="16"/>
        </w:rPr>
        <w:t>421</w:t>
      </w:r>
      <w:r>
        <w:rPr>
          <w:i/>
          <w:color w:val="231F20"/>
          <w:w w:val="105"/>
          <w:sz w:val="16"/>
        </w:rPr>
        <w:t>,</w:t>
      </w:r>
      <w:r>
        <w:rPr>
          <w:i/>
          <w:color w:val="231F20"/>
          <w:spacing w:val="-10"/>
          <w:w w:val="105"/>
          <w:sz w:val="16"/>
        </w:rPr>
        <w:t xml:space="preserve"> </w:t>
      </w:r>
      <w:r>
        <w:rPr>
          <w:color w:val="231F20"/>
          <w:w w:val="105"/>
          <w:sz w:val="16"/>
        </w:rPr>
        <w:t>425</w:t>
      </w:r>
      <w:r>
        <w:rPr>
          <w:i/>
          <w:color w:val="231F20"/>
          <w:w w:val="105"/>
          <w:sz w:val="16"/>
        </w:rPr>
        <w:t>,</w:t>
      </w:r>
      <w:r>
        <w:rPr>
          <w:i/>
          <w:color w:val="231F20"/>
          <w:spacing w:val="-10"/>
          <w:w w:val="105"/>
          <w:sz w:val="16"/>
        </w:rPr>
        <w:t xml:space="preserve"> </w:t>
      </w:r>
      <w:r>
        <w:rPr>
          <w:color w:val="231F20"/>
          <w:w w:val="105"/>
          <w:sz w:val="16"/>
        </w:rPr>
        <w:t>601;</w:t>
      </w:r>
      <w:r>
        <w:rPr>
          <w:color w:val="231F20"/>
          <w:spacing w:val="-5"/>
          <w:w w:val="105"/>
          <w:sz w:val="16"/>
        </w:rPr>
        <w:t xml:space="preserve"> </w:t>
      </w:r>
      <w:r>
        <w:rPr>
          <w:color w:val="231F20"/>
          <w:w w:val="105"/>
          <w:sz w:val="16"/>
        </w:rPr>
        <w:t>Informantion-</w:t>
      </w:r>
    </w:p>
    <w:p w14:paraId="5BC03409" w14:textId="77777777" w:rsidR="002653E8" w:rsidRDefault="003115E3">
      <w:pPr>
        <w:spacing w:before="32" w:line="280" w:lineRule="auto"/>
        <w:ind w:left="1347"/>
        <w:rPr>
          <w:sz w:val="16"/>
        </w:rPr>
      </w:pPr>
      <w:r>
        <w:rPr>
          <w:color w:val="231F20"/>
          <w:sz w:val="16"/>
        </w:rPr>
        <w:t xml:space="preserve">sdienst 424; mentioned by </w:t>
      </w:r>
      <w:r w:rsidR="00C507A5">
        <w:rPr>
          <w:color w:val="231F20"/>
          <w:sz w:val="16"/>
        </w:rPr>
        <w:t>red army faction</w:t>
      </w:r>
      <w:r>
        <w:rPr>
          <w:color w:val="231F20"/>
          <w:sz w:val="16"/>
        </w:rPr>
        <w:t xml:space="preserve"> 400; mentioned by SAWIO 504</w:t>
      </w:r>
    </w:p>
    <w:p w14:paraId="77993680" w14:textId="77777777" w:rsidR="002653E8" w:rsidRDefault="003115E3">
      <w:pPr>
        <w:spacing w:before="1"/>
        <w:ind w:left="1147"/>
        <w:rPr>
          <w:sz w:val="16"/>
        </w:rPr>
      </w:pPr>
      <w:r>
        <w:rPr>
          <w:color w:val="231F20"/>
          <w:w w:val="105"/>
          <w:sz w:val="16"/>
        </w:rPr>
        <w:t>Cipriani, Georges 619</w:t>
      </w:r>
    </w:p>
    <w:p w14:paraId="4BCCC8A8" w14:textId="77777777" w:rsidR="002653E8" w:rsidRDefault="003115E3">
      <w:pPr>
        <w:spacing w:before="33"/>
        <w:ind w:left="1147"/>
        <w:rPr>
          <w:i/>
          <w:sz w:val="16"/>
        </w:rPr>
      </w:pPr>
      <w:r>
        <w:rPr>
          <w:color w:val="231F20"/>
          <w:w w:val="105"/>
          <w:sz w:val="16"/>
        </w:rPr>
        <w:t>citizens’ initiatives 444</w:t>
      </w:r>
      <w:r>
        <w:rPr>
          <w:i/>
          <w:color w:val="231F20"/>
          <w:w w:val="105"/>
          <w:sz w:val="16"/>
        </w:rPr>
        <w:t xml:space="preserve">, </w:t>
      </w:r>
      <w:r>
        <w:rPr>
          <w:color w:val="231F20"/>
          <w:w w:val="105"/>
          <w:sz w:val="16"/>
        </w:rPr>
        <w:t>448–450</w:t>
      </w:r>
      <w:r>
        <w:rPr>
          <w:i/>
          <w:color w:val="231F20"/>
          <w:w w:val="105"/>
          <w:sz w:val="16"/>
        </w:rPr>
        <w:t xml:space="preserve">, </w:t>
      </w:r>
      <w:r>
        <w:rPr>
          <w:color w:val="231F20"/>
          <w:w w:val="105"/>
          <w:sz w:val="16"/>
        </w:rPr>
        <w:t>451</w:t>
      </w:r>
      <w:r>
        <w:rPr>
          <w:i/>
          <w:color w:val="231F20"/>
          <w:w w:val="105"/>
          <w:sz w:val="16"/>
        </w:rPr>
        <w:t>,</w:t>
      </w:r>
    </w:p>
    <w:p w14:paraId="0A3AAE20" w14:textId="77777777" w:rsidR="002653E8" w:rsidRDefault="003115E3">
      <w:pPr>
        <w:spacing w:before="32"/>
        <w:ind w:left="1347"/>
        <w:rPr>
          <w:sz w:val="16"/>
        </w:rPr>
      </w:pPr>
      <w:r>
        <w:rPr>
          <w:color w:val="231F20"/>
          <w:sz w:val="16"/>
        </w:rPr>
        <w:t xml:space="preserve">540; mentioned by </w:t>
      </w:r>
      <w:r w:rsidR="00C507A5">
        <w:rPr>
          <w:color w:val="231F20"/>
          <w:sz w:val="16"/>
        </w:rPr>
        <w:t>red army faction</w:t>
      </w:r>
      <w:r>
        <w:rPr>
          <w:color w:val="231F20"/>
          <w:sz w:val="16"/>
        </w:rPr>
        <w:t xml:space="preserve"> 146</w:t>
      </w:r>
      <w:r>
        <w:rPr>
          <w:i/>
          <w:color w:val="231F20"/>
          <w:sz w:val="16"/>
        </w:rPr>
        <w:t xml:space="preserve">, </w:t>
      </w:r>
      <w:r>
        <w:rPr>
          <w:color w:val="231F20"/>
          <w:sz w:val="16"/>
        </w:rPr>
        <w:t>147</w:t>
      </w:r>
      <w:r>
        <w:rPr>
          <w:i/>
          <w:color w:val="231F20"/>
          <w:sz w:val="16"/>
        </w:rPr>
        <w:t xml:space="preserve">, </w:t>
      </w:r>
      <w:r>
        <w:rPr>
          <w:color w:val="231F20"/>
          <w:sz w:val="16"/>
        </w:rPr>
        <w:t>184</w:t>
      </w:r>
    </w:p>
    <w:p w14:paraId="0836B3FB" w14:textId="77777777" w:rsidR="002653E8" w:rsidRDefault="003115E3">
      <w:pPr>
        <w:spacing w:before="33"/>
        <w:ind w:left="1147"/>
        <w:rPr>
          <w:sz w:val="16"/>
        </w:rPr>
      </w:pPr>
      <w:r>
        <w:rPr>
          <w:color w:val="231F20"/>
          <w:sz w:val="16"/>
        </w:rPr>
        <w:t>Clark, Ramsey 597</w:t>
      </w:r>
    </w:p>
    <w:p w14:paraId="35A35A0F" w14:textId="77777777" w:rsidR="002653E8" w:rsidRDefault="003115E3">
      <w:pPr>
        <w:spacing w:before="32"/>
        <w:ind w:left="1147"/>
        <w:rPr>
          <w:sz w:val="16"/>
        </w:rPr>
      </w:pPr>
      <w:r>
        <w:rPr>
          <w:color w:val="231F20"/>
          <w:w w:val="105"/>
          <w:sz w:val="16"/>
        </w:rPr>
        <w:t>Claussen, Detlev 26</w:t>
      </w:r>
      <w:r>
        <w:rPr>
          <w:i/>
          <w:color w:val="231F20"/>
          <w:w w:val="105"/>
          <w:sz w:val="16"/>
        </w:rPr>
        <w:t xml:space="preserve">, </w:t>
      </w:r>
      <w:r>
        <w:rPr>
          <w:color w:val="231F20"/>
          <w:w w:val="105"/>
          <w:sz w:val="16"/>
        </w:rPr>
        <w:t>440</w:t>
      </w:r>
    </w:p>
    <w:p w14:paraId="56C2BBED" w14:textId="77777777" w:rsidR="002653E8" w:rsidRDefault="003115E3">
      <w:pPr>
        <w:spacing w:before="32"/>
        <w:ind w:left="1147"/>
        <w:rPr>
          <w:sz w:val="16"/>
        </w:rPr>
      </w:pPr>
      <w:r>
        <w:rPr>
          <w:color w:val="231F20"/>
          <w:sz w:val="16"/>
        </w:rPr>
        <w:t>Cleaver, Eldridge 105</w:t>
      </w:r>
    </w:p>
    <w:p w14:paraId="07B06212" w14:textId="77777777" w:rsidR="002653E8" w:rsidRDefault="003115E3">
      <w:pPr>
        <w:spacing w:before="33"/>
        <w:ind w:left="1147"/>
        <w:rPr>
          <w:sz w:val="16"/>
        </w:rPr>
      </w:pPr>
      <w:r>
        <w:rPr>
          <w:color w:val="231F20"/>
          <w:sz w:val="16"/>
        </w:rPr>
        <w:t>Clutterbuck, Richard 480</w:t>
      </w:r>
    </w:p>
    <w:p w14:paraId="14AF0064" w14:textId="77777777" w:rsidR="002653E8" w:rsidRDefault="003115E3">
      <w:pPr>
        <w:spacing w:before="32"/>
        <w:ind w:left="1147"/>
        <w:rPr>
          <w:sz w:val="16"/>
        </w:rPr>
      </w:pPr>
      <w:r>
        <w:rPr>
          <w:color w:val="231F20"/>
          <w:w w:val="105"/>
          <w:sz w:val="16"/>
        </w:rPr>
        <w:t>Cohn-Bendit, Daniel 49</w:t>
      </w:r>
      <w:r>
        <w:rPr>
          <w:i/>
          <w:color w:val="231F20"/>
          <w:w w:val="105"/>
          <w:sz w:val="16"/>
        </w:rPr>
        <w:t xml:space="preserve">, </w:t>
      </w:r>
      <w:r>
        <w:rPr>
          <w:color w:val="231F20"/>
          <w:w w:val="105"/>
          <w:sz w:val="16"/>
        </w:rPr>
        <w:t>66</w:t>
      </w:r>
      <w:r>
        <w:rPr>
          <w:i/>
          <w:color w:val="231F20"/>
          <w:w w:val="105"/>
          <w:sz w:val="16"/>
        </w:rPr>
        <w:t xml:space="preserve">, </w:t>
      </w:r>
      <w:r>
        <w:rPr>
          <w:color w:val="231F20"/>
          <w:w w:val="105"/>
          <w:sz w:val="16"/>
        </w:rPr>
        <w:t>435</w:t>
      </w:r>
      <w:r>
        <w:rPr>
          <w:i/>
          <w:color w:val="231F20"/>
          <w:w w:val="105"/>
          <w:sz w:val="16"/>
        </w:rPr>
        <w:t xml:space="preserve">, </w:t>
      </w:r>
      <w:r>
        <w:rPr>
          <w:color w:val="231F20"/>
          <w:w w:val="105"/>
          <w:sz w:val="16"/>
        </w:rPr>
        <w:t>565;</w:t>
      </w:r>
    </w:p>
    <w:p w14:paraId="18AECA7B" w14:textId="77777777" w:rsidR="002653E8" w:rsidRDefault="003115E3">
      <w:pPr>
        <w:spacing w:before="33"/>
        <w:ind w:left="1347"/>
        <w:rPr>
          <w:i/>
          <w:sz w:val="16"/>
        </w:rPr>
      </w:pPr>
      <w:r>
        <w:rPr>
          <w:color w:val="231F20"/>
          <w:w w:val="105"/>
          <w:sz w:val="16"/>
        </w:rPr>
        <w:t>anti-guerilla position 201</w:t>
      </w:r>
      <w:r>
        <w:rPr>
          <w:i/>
          <w:color w:val="231F20"/>
          <w:w w:val="105"/>
          <w:sz w:val="16"/>
        </w:rPr>
        <w:t xml:space="preserve">, </w:t>
      </w:r>
      <w:r>
        <w:rPr>
          <w:color w:val="231F20"/>
          <w:w w:val="105"/>
          <w:sz w:val="16"/>
        </w:rPr>
        <w:t>441</w:t>
      </w:r>
      <w:r>
        <w:rPr>
          <w:i/>
          <w:color w:val="231F20"/>
          <w:w w:val="105"/>
          <w:sz w:val="16"/>
        </w:rPr>
        <w:t xml:space="preserve">, </w:t>
      </w:r>
      <w:r>
        <w:rPr>
          <w:color w:val="231F20"/>
          <w:w w:val="105"/>
          <w:sz w:val="16"/>
        </w:rPr>
        <w:t>442</w:t>
      </w:r>
      <w:r>
        <w:rPr>
          <w:i/>
          <w:color w:val="231F20"/>
          <w:w w:val="105"/>
          <w:sz w:val="16"/>
        </w:rPr>
        <w:t>,</w:t>
      </w:r>
    </w:p>
    <w:p w14:paraId="049A9579" w14:textId="77777777" w:rsidR="002653E8" w:rsidRDefault="003115E3">
      <w:pPr>
        <w:spacing w:before="32" w:line="280" w:lineRule="auto"/>
        <w:ind w:left="1347" w:right="131"/>
        <w:rPr>
          <w:sz w:val="16"/>
        </w:rPr>
      </w:pPr>
      <w:r>
        <w:rPr>
          <w:color w:val="231F20"/>
          <w:sz w:val="16"/>
        </w:rPr>
        <w:t>538; Frankfurt arson trial 49</w:t>
      </w:r>
      <w:r>
        <w:rPr>
          <w:i/>
          <w:color w:val="231F20"/>
          <w:sz w:val="16"/>
        </w:rPr>
        <w:t xml:space="preserve">, </w:t>
      </w:r>
      <w:r>
        <w:rPr>
          <w:color w:val="231F20"/>
          <w:sz w:val="16"/>
        </w:rPr>
        <w:t>583; Green Party 443; on Drenkmann assassination 265; Revolutionary</w:t>
      </w:r>
    </w:p>
    <w:p w14:paraId="3964ECB1" w14:textId="77777777" w:rsidR="002653E8" w:rsidRDefault="003115E3">
      <w:pPr>
        <w:spacing w:before="2"/>
        <w:ind w:left="1347"/>
        <w:rPr>
          <w:sz w:val="16"/>
        </w:rPr>
      </w:pPr>
      <w:r>
        <w:rPr>
          <w:color w:val="231F20"/>
          <w:sz w:val="16"/>
        </w:rPr>
        <w:t>Struggle 265</w:t>
      </w:r>
      <w:r>
        <w:rPr>
          <w:i/>
          <w:color w:val="231F20"/>
          <w:sz w:val="16"/>
        </w:rPr>
        <w:t xml:space="preserve">, </w:t>
      </w:r>
      <w:r>
        <w:rPr>
          <w:color w:val="231F20"/>
          <w:sz w:val="16"/>
        </w:rPr>
        <w:t>436</w:t>
      </w:r>
    </w:p>
    <w:p w14:paraId="6FD922CE" w14:textId="77777777" w:rsidR="002653E8" w:rsidRDefault="003115E3">
      <w:pPr>
        <w:spacing w:before="32" w:line="280" w:lineRule="auto"/>
        <w:ind w:left="1347" w:hanging="201"/>
        <w:rPr>
          <w:sz w:val="16"/>
        </w:rPr>
      </w:pPr>
      <w:r>
        <w:rPr>
          <w:color w:val="231F20"/>
          <w:w w:val="105"/>
          <w:sz w:val="16"/>
        </w:rPr>
        <w:t>Cold War</w:t>
      </w:r>
      <w:r>
        <w:rPr>
          <w:i/>
          <w:color w:val="231F20"/>
          <w:w w:val="105"/>
          <w:sz w:val="16"/>
        </w:rPr>
        <w:t xml:space="preserve">. See </w:t>
      </w:r>
      <w:r>
        <w:rPr>
          <w:color w:val="231F20"/>
          <w:w w:val="105"/>
          <w:sz w:val="16"/>
        </w:rPr>
        <w:t xml:space="preserve">CDU (Christlich </w:t>
      </w:r>
      <w:r>
        <w:rPr>
          <w:color w:val="231F20"/>
          <w:sz w:val="16"/>
        </w:rPr>
        <w:t xml:space="preserve">Demokratisches Union): Adenauer </w:t>
      </w:r>
      <w:r>
        <w:rPr>
          <w:color w:val="231F20"/>
          <w:w w:val="105"/>
          <w:sz w:val="16"/>
        </w:rPr>
        <w:t>years</w:t>
      </w:r>
      <w:r>
        <w:rPr>
          <w:i/>
          <w:color w:val="231F20"/>
          <w:w w:val="105"/>
          <w:sz w:val="16"/>
        </w:rPr>
        <w:t xml:space="preserve">; See </w:t>
      </w:r>
      <w:r>
        <w:rPr>
          <w:color w:val="231F20"/>
          <w:w w:val="105"/>
          <w:sz w:val="16"/>
        </w:rPr>
        <w:t>anticommunism</w:t>
      </w:r>
    </w:p>
    <w:p w14:paraId="7819373D" w14:textId="77777777" w:rsidR="002653E8" w:rsidRDefault="003115E3">
      <w:pPr>
        <w:spacing w:before="2"/>
        <w:ind w:left="1147"/>
        <w:rPr>
          <w:sz w:val="16"/>
        </w:rPr>
      </w:pPr>
      <w:r>
        <w:rPr>
          <w:color w:val="231F20"/>
          <w:sz w:val="16"/>
        </w:rPr>
        <w:t>co-management 10</w:t>
      </w:r>
      <w:r>
        <w:rPr>
          <w:i/>
          <w:color w:val="231F20"/>
          <w:sz w:val="16"/>
        </w:rPr>
        <w:t xml:space="preserve">, </w:t>
      </w:r>
      <w:r>
        <w:rPr>
          <w:color w:val="231F20"/>
          <w:sz w:val="16"/>
        </w:rPr>
        <w:t>20</w:t>
      </w:r>
      <w:r>
        <w:rPr>
          <w:i/>
          <w:color w:val="231F20"/>
          <w:sz w:val="16"/>
        </w:rPr>
        <w:t xml:space="preserve">, </w:t>
      </w:r>
      <w:r>
        <w:rPr>
          <w:color w:val="231F20"/>
          <w:sz w:val="16"/>
        </w:rPr>
        <w:t>583; mentioned</w:t>
      </w:r>
    </w:p>
    <w:p w14:paraId="7A69097B" w14:textId="77777777" w:rsidR="002653E8" w:rsidRDefault="003115E3">
      <w:pPr>
        <w:spacing w:before="32"/>
        <w:ind w:left="1347"/>
        <w:rPr>
          <w:sz w:val="16"/>
        </w:rPr>
      </w:pPr>
      <w:r>
        <w:rPr>
          <w:color w:val="231F20"/>
          <w:w w:val="110"/>
          <w:sz w:val="16"/>
        </w:rPr>
        <w:t xml:space="preserve">by </w:t>
      </w:r>
      <w:r w:rsidR="00C507A5">
        <w:rPr>
          <w:color w:val="231F20"/>
          <w:w w:val="110"/>
          <w:sz w:val="16"/>
        </w:rPr>
        <w:t>red army faction</w:t>
      </w:r>
      <w:r>
        <w:rPr>
          <w:color w:val="231F20"/>
          <w:w w:val="110"/>
          <w:sz w:val="16"/>
        </w:rPr>
        <w:t xml:space="preserve"> 102</w:t>
      </w:r>
      <w:r>
        <w:rPr>
          <w:i/>
          <w:color w:val="231F20"/>
          <w:w w:val="110"/>
          <w:sz w:val="16"/>
        </w:rPr>
        <w:t xml:space="preserve">, </w:t>
      </w:r>
      <w:r>
        <w:rPr>
          <w:color w:val="231F20"/>
          <w:w w:val="110"/>
          <w:sz w:val="16"/>
        </w:rPr>
        <w:t>130</w:t>
      </w:r>
      <w:r>
        <w:rPr>
          <w:i/>
          <w:color w:val="231F20"/>
          <w:w w:val="110"/>
          <w:sz w:val="16"/>
        </w:rPr>
        <w:t xml:space="preserve">, </w:t>
      </w:r>
      <w:r>
        <w:rPr>
          <w:color w:val="231F20"/>
          <w:w w:val="110"/>
          <w:sz w:val="16"/>
        </w:rPr>
        <w:t>223</w:t>
      </w:r>
    </w:p>
    <w:p w14:paraId="2A9DAA4C" w14:textId="77777777" w:rsidR="002653E8" w:rsidRDefault="003115E3">
      <w:pPr>
        <w:spacing w:before="33" w:line="280" w:lineRule="auto"/>
        <w:ind w:left="1347" w:right="131" w:hanging="200"/>
        <w:rPr>
          <w:sz w:val="16"/>
        </w:rPr>
      </w:pPr>
      <w:r>
        <w:rPr>
          <w:color w:val="231F20"/>
          <w:sz w:val="16"/>
        </w:rPr>
        <w:t>Committee for the Immediate Liberation of Klaus Croissant 526</w:t>
      </w:r>
    </w:p>
    <w:p w14:paraId="7D9AEDC3" w14:textId="77777777" w:rsidR="002653E8" w:rsidRDefault="003115E3">
      <w:pPr>
        <w:spacing w:before="1"/>
        <w:ind w:left="1147"/>
        <w:rPr>
          <w:i/>
          <w:sz w:val="16"/>
        </w:rPr>
      </w:pPr>
      <w:r>
        <w:rPr>
          <w:color w:val="231F20"/>
          <w:w w:val="105"/>
          <w:sz w:val="16"/>
        </w:rPr>
        <w:t>Committees Against Torture 245</w:t>
      </w:r>
      <w:r>
        <w:rPr>
          <w:i/>
          <w:color w:val="231F20"/>
          <w:w w:val="105"/>
          <w:sz w:val="16"/>
        </w:rPr>
        <w:t xml:space="preserve">, </w:t>
      </w:r>
      <w:r>
        <w:rPr>
          <w:color w:val="231F20"/>
          <w:w w:val="105"/>
          <w:sz w:val="16"/>
        </w:rPr>
        <w:t>254</w:t>
      </w:r>
      <w:r>
        <w:rPr>
          <w:i/>
          <w:color w:val="231F20"/>
          <w:w w:val="105"/>
          <w:sz w:val="16"/>
        </w:rPr>
        <w:t>,</w:t>
      </w:r>
    </w:p>
    <w:p w14:paraId="3BA04EF8" w14:textId="77777777" w:rsidR="002653E8" w:rsidRDefault="003115E3">
      <w:pPr>
        <w:spacing w:before="32"/>
        <w:ind w:left="1347"/>
        <w:rPr>
          <w:sz w:val="16"/>
        </w:rPr>
      </w:pPr>
      <w:r>
        <w:rPr>
          <w:color w:val="231F20"/>
          <w:w w:val="105"/>
          <w:sz w:val="16"/>
        </w:rPr>
        <w:t>326</w:t>
      </w:r>
      <w:r>
        <w:rPr>
          <w:i/>
          <w:color w:val="231F20"/>
          <w:w w:val="105"/>
          <w:sz w:val="16"/>
        </w:rPr>
        <w:t xml:space="preserve">, </w:t>
      </w:r>
      <w:r>
        <w:rPr>
          <w:color w:val="231F20"/>
          <w:w w:val="105"/>
          <w:sz w:val="16"/>
        </w:rPr>
        <w:t>451</w:t>
      </w:r>
      <w:r>
        <w:rPr>
          <w:i/>
          <w:color w:val="231F20"/>
          <w:w w:val="105"/>
          <w:sz w:val="16"/>
        </w:rPr>
        <w:t xml:space="preserve">, </w:t>
      </w:r>
      <w:r>
        <w:rPr>
          <w:color w:val="231F20"/>
          <w:w w:val="105"/>
          <w:sz w:val="16"/>
        </w:rPr>
        <w:t>514; dissolution 268</w:t>
      </w:r>
      <w:r>
        <w:rPr>
          <w:i/>
          <w:color w:val="231F20"/>
          <w:w w:val="105"/>
          <w:sz w:val="16"/>
        </w:rPr>
        <w:t xml:space="preserve">, </w:t>
      </w:r>
      <w:r>
        <w:rPr>
          <w:color w:val="231F20"/>
          <w:w w:val="105"/>
          <w:sz w:val="16"/>
        </w:rPr>
        <w:t>461;</w:t>
      </w:r>
    </w:p>
    <w:p w14:paraId="10026720" w14:textId="77777777" w:rsidR="002653E8" w:rsidRDefault="003115E3">
      <w:pPr>
        <w:spacing w:before="32"/>
        <w:ind w:left="1347"/>
        <w:rPr>
          <w:sz w:val="16"/>
        </w:rPr>
      </w:pPr>
      <w:r>
        <w:rPr>
          <w:color w:val="231F20"/>
          <w:sz w:val="16"/>
        </w:rPr>
        <w:t>foundation 244–245</w:t>
      </w:r>
      <w:r>
        <w:rPr>
          <w:i/>
          <w:color w:val="231F20"/>
          <w:sz w:val="16"/>
        </w:rPr>
        <w:t xml:space="preserve">, </w:t>
      </w:r>
      <w:r>
        <w:rPr>
          <w:color w:val="231F20"/>
          <w:sz w:val="16"/>
        </w:rPr>
        <w:t>593; guerilla,</w:t>
      </w:r>
    </w:p>
    <w:p w14:paraId="473AE0BC" w14:textId="77777777" w:rsidR="002653E8" w:rsidRDefault="003115E3">
      <w:pPr>
        <w:spacing w:before="33"/>
        <w:ind w:left="1347"/>
        <w:rPr>
          <w:i/>
          <w:sz w:val="16"/>
        </w:rPr>
      </w:pPr>
      <w:r>
        <w:rPr>
          <w:color w:val="231F20"/>
          <w:w w:val="105"/>
          <w:sz w:val="16"/>
        </w:rPr>
        <w:t>passage into 248</w:t>
      </w:r>
      <w:r>
        <w:rPr>
          <w:i/>
          <w:color w:val="231F20"/>
          <w:w w:val="105"/>
          <w:sz w:val="16"/>
        </w:rPr>
        <w:t xml:space="preserve">, </w:t>
      </w:r>
      <w:r>
        <w:rPr>
          <w:color w:val="231F20"/>
          <w:w w:val="105"/>
          <w:sz w:val="16"/>
        </w:rPr>
        <w:t>253</w:t>
      </w:r>
      <w:r>
        <w:rPr>
          <w:i/>
          <w:color w:val="231F20"/>
          <w:w w:val="105"/>
          <w:sz w:val="16"/>
        </w:rPr>
        <w:t xml:space="preserve">, </w:t>
      </w:r>
      <w:r>
        <w:rPr>
          <w:color w:val="231F20"/>
          <w:w w:val="105"/>
          <w:sz w:val="16"/>
        </w:rPr>
        <w:t>268</w:t>
      </w:r>
      <w:r>
        <w:rPr>
          <w:i/>
          <w:color w:val="231F20"/>
          <w:w w:val="105"/>
          <w:sz w:val="16"/>
        </w:rPr>
        <w:t xml:space="preserve">, </w:t>
      </w:r>
      <w:r>
        <w:rPr>
          <w:color w:val="231F20"/>
          <w:w w:val="105"/>
          <w:sz w:val="16"/>
        </w:rPr>
        <w:t>332</w:t>
      </w:r>
      <w:r>
        <w:rPr>
          <w:i/>
          <w:color w:val="231F20"/>
          <w:w w:val="105"/>
          <w:sz w:val="16"/>
        </w:rPr>
        <w:t xml:space="preserve">, </w:t>
      </w:r>
      <w:r>
        <w:rPr>
          <w:color w:val="231F20"/>
          <w:w w:val="105"/>
          <w:sz w:val="16"/>
        </w:rPr>
        <w:t>439</w:t>
      </w:r>
      <w:r>
        <w:rPr>
          <w:i/>
          <w:color w:val="231F20"/>
          <w:w w:val="105"/>
          <w:sz w:val="16"/>
        </w:rPr>
        <w:t>,</w:t>
      </w:r>
    </w:p>
    <w:p w14:paraId="38CC6949" w14:textId="77777777" w:rsidR="002653E8" w:rsidRDefault="003115E3">
      <w:pPr>
        <w:spacing w:before="86"/>
        <w:ind w:left="448"/>
        <w:rPr>
          <w:i/>
          <w:sz w:val="16"/>
        </w:rPr>
      </w:pPr>
      <w:r>
        <w:br w:type="column"/>
      </w:r>
      <w:r>
        <w:rPr>
          <w:color w:val="231F20"/>
          <w:sz w:val="16"/>
        </w:rPr>
        <w:t xml:space="preserve">474;  Info   344;  </w:t>
      </w:r>
      <w:r w:rsidR="00C507A5">
        <w:rPr>
          <w:color w:val="231F20"/>
          <w:sz w:val="16"/>
        </w:rPr>
        <w:t>red army faction</w:t>
      </w:r>
      <w:r>
        <w:rPr>
          <w:color w:val="231F20"/>
          <w:sz w:val="16"/>
        </w:rPr>
        <w:t>’s  politics 245</w:t>
      </w:r>
      <w:r>
        <w:rPr>
          <w:i/>
          <w:color w:val="231F20"/>
          <w:sz w:val="16"/>
        </w:rPr>
        <w:t>,</w:t>
      </w:r>
    </w:p>
    <w:p w14:paraId="14EFD8F5" w14:textId="77777777" w:rsidR="002653E8" w:rsidRDefault="003115E3">
      <w:pPr>
        <w:spacing w:before="33"/>
        <w:ind w:left="448"/>
        <w:rPr>
          <w:sz w:val="16"/>
        </w:rPr>
      </w:pPr>
      <w:r>
        <w:rPr>
          <w:color w:val="231F20"/>
          <w:w w:val="105"/>
          <w:sz w:val="16"/>
        </w:rPr>
        <w:t>248</w:t>
      </w:r>
      <w:r>
        <w:rPr>
          <w:i/>
          <w:color w:val="231F20"/>
          <w:w w:val="105"/>
          <w:sz w:val="16"/>
        </w:rPr>
        <w:t xml:space="preserve">, </w:t>
      </w:r>
      <w:r>
        <w:rPr>
          <w:color w:val="231F20"/>
          <w:w w:val="105"/>
          <w:sz w:val="16"/>
        </w:rPr>
        <w:t>461; Teach-In (May 11, 1974)</w:t>
      </w:r>
    </w:p>
    <w:p w14:paraId="5062F4C3" w14:textId="77777777" w:rsidR="002653E8" w:rsidRDefault="003115E3">
      <w:pPr>
        <w:spacing w:before="32"/>
        <w:ind w:left="448"/>
        <w:rPr>
          <w:sz w:val="16"/>
        </w:rPr>
      </w:pPr>
      <w:r>
        <w:rPr>
          <w:color w:val="231F20"/>
          <w:sz w:val="16"/>
        </w:rPr>
        <w:t>248–249; third hunger strike (1974-75)</w:t>
      </w:r>
    </w:p>
    <w:p w14:paraId="7F54BACC" w14:textId="77777777" w:rsidR="002653E8" w:rsidRDefault="003115E3">
      <w:pPr>
        <w:spacing w:before="33"/>
        <w:ind w:left="448"/>
        <w:rPr>
          <w:sz w:val="16"/>
        </w:rPr>
      </w:pPr>
      <w:r>
        <w:rPr>
          <w:color w:val="231F20"/>
          <w:w w:val="110"/>
          <w:sz w:val="16"/>
        </w:rPr>
        <w:t>253</w:t>
      </w:r>
      <w:r>
        <w:rPr>
          <w:i/>
          <w:color w:val="231F20"/>
          <w:w w:val="110"/>
          <w:sz w:val="16"/>
        </w:rPr>
        <w:t xml:space="preserve">, </w:t>
      </w:r>
      <w:r>
        <w:rPr>
          <w:color w:val="231F20"/>
          <w:w w:val="110"/>
          <w:sz w:val="16"/>
        </w:rPr>
        <w:t>264</w:t>
      </w:r>
      <w:r>
        <w:rPr>
          <w:i/>
          <w:color w:val="231F20"/>
          <w:w w:val="110"/>
          <w:sz w:val="16"/>
        </w:rPr>
        <w:t xml:space="preserve">, </w:t>
      </w:r>
      <w:r>
        <w:rPr>
          <w:color w:val="231F20"/>
          <w:w w:val="110"/>
          <w:sz w:val="16"/>
        </w:rPr>
        <w:t>459</w:t>
      </w:r>
    </w:p>
    <w:p w14:paraId="708F1BC4" w14:textId="77777777" w:rsidR="002653E8" w:rsidRDefault="003115E3">
      <w:pPr>
        <w:spacing w:before="32" w:line="280" w:lineRule="auto"/>
        <w:ind w:left="448" w:right="1621" w:hanging="200"/>
        <w:rPr>
          <w:sz w:val="16"/>
        </w:rPr>
      </w:pPr>
      <w:r>
        <w:rPr>
          <w:color w:val="231F20"/>
          <w:w w:val="105"/>
          <w:sz w:val="16"/>
        </w:rPr>
        <w:t>Common Market</w:t>
      </w:r>
      <w:r>
        <w:rPr>
          <w:i/>
          <w:color w:val="231F20"/>
          <w:w w:val="105"/>
          <w:sz w:val="16"/>
        </w:rPr>
        <w:t xml:space="preserve">. See </w:t>
      </w:r>
      <w:r>
        <w:rPr>
          <w:color w:val="231F20"/>
          <w:w w:val="105"/>
          <w:sz w:val="16"/>
        </w:rPr>
        <w:t>EEC (European Economic Community)</w:t>
      </w:r>
    </w:p>
    <w:p w14:paraId="3D29318E" w14:textId="77777777" w:rsidR="002653E8" w:rsidRDefault="003115E3">
      <w:pPr>
        <w:spacing w:before="1" w:line="280" w:lineRule="auto"/>
        <w:ind w:left="248" w:right="1401"/>
        <w:rPr>
          <w:i/>
          <w:sz w:val="16"/>
        </w:rPr>
      </w:pPr>
      <w:r>
        <w:rPr>
          <w:color w:val="231F20"/>
          <w:sz w:val="16"/>
        </w:rPr>
        <w:t>Confederation of Iranian Students 124 Confédération Syndicale des Avocats 526 Congo 11; and German mercenaries 12</w:t>
      </w:r>
      <w:r>
        <w:rPr>
          <w:i/>
          <w:color w:val="231F20"/>
          <w:sz w:val="16"/>
        </w:rPr>
        <w:t>,</w:t>
      </w:r>
    </w:p>
    <w:p w14:paraId="705ED818" w14:textId="77777777" w:rsidR="002653E8" w:rsidRDefault="003115E3">
      <w:pPr>
        <w:spacing w:before="2"/>
        <w:ind w:left="448"/>
        <w:rPr>
          <w:sz w:val="16"/>
        </w:rPr>
      </w:pPr>
      <w:r>
        <w:rPr>
          <w:color w:val="231F20"/>
          <w:sz w:val="16"/>
        </w:rPr>
        <w:t>27</w:t>
      </w:r>
    </w:p>
    <w:p w14:paraId="019503D0" w14:textId="77777777" w:rsidR="002653E8" w:rsidRDefault="003115E3">
      <w:pPr>
        <w:spacing w:before="32"/>
        <w:ind w:left="248"/>
        <w:rPr>
          <w:i/>
          <w:sz w:val="16"/>
        </w:rPr>
      </w:pPr>
      <w:r>
        <w:rPr>
          <w:color w:val="231F20"/>
          <w:w w:val="105"/>
          <w:sz w:val="16"/>
        </w:rPr>
        <w:t>counterinsurgency 467</w:t>
      </w:r>
      <w:r>
        <w:rPr>
          <w:i/>
          <w:color w:val="231F20"/>
          <w:w w:val="105"/>
          <w:sz w:val="16"/>
        </w:rPr>
        <w:t xml:space="preserve">, </w:t>
      </w:r>
      <w:r>
        <w:rPr>
          <w:color w:val="231F20"/>
          <w:w w:val="105"/>
          <w:sz w:val="16"/>
        </w:rPr>
        <w:t>491</w:t>
      </w:r>
      <w:r>
        <w:rPr>
          <w:i/>
          <w:color w:val="231F20"/>
          <w:w w:val="105"/>
          <w:sz w:val="16"/>
        </w:rPr>
        <w:t>. See</w:t>
      </w:r>
    </w:p>
    <w:p w14:paraId="4CBFF60A" w14:textId="77777777" w:rsidR="002653E8" w:rsidRDefault="003115E3">
      <w:pPr>
        <w:spacing w:before="32" w:line="280" w:lineRule="auto"/>
        <w:ind w:left="448" w:right="1401"/>
        <w:rPr>
          <w:sz w:val="16"/>
        </w:rPr>
      </w:pPr>
      <w:r>
        <w:rPr>
          <w:i/>
          <w:color w:val="231F20"/>
          <w:sz w:val="16"/>
        </w:rPr>
        <w:t xml:space="preserve">also </w:t>
      </w:r>
      <w:r>
        <w:rPr>
          <w:color w:val="231F20"/>
          <w:sz w:val="16"/>
        </w:rPr>
        <w:t>BKA (Bundeskriminalamt)</w:t>
      </w:r>
      <w:r>
        <w:rPr>
          <w:i/>
          <w:color w:val="231F20"/>
          <w:sz w:val="16"/>
        </w:rPr>
        <w:t xml:space="preserve">; See also </w:t>
      </w:r>
      <w:r>
        <w:rPr>
          <w:color w:val="231F20"/>
          <w:sz w:val="16"/>
        </w:rPr>
        <w:t>psychological warfare; and death of Ulrike Meinhof 386–388</w:t>
      </w:r>
    </w:p>
    <w:p w14:paraId="7B4EAF4D" w14:textId="77777777" w:rsidR="002653E8" w:rsidRDefault="003115E3">
      <w:pPr>
        <w:spacing w:before="2" w:line="280" w:lineRule="auto"/>
        <w:ind w:left="248" w:right="1432"/>
        <w:rPr>
          <w:sz w:val="16"/>
        </w:rPr>
      </w:pPr>
      <w:r>
        <w:rPr>
          <w:color w:val="231F20"/>
          <w:sz w:val="16"/>
        </w:rPr>
        <w:t>Court of Appeals, Braunschweig 378 Crisis Management Team; during Lorenz</w:t>
      </w:r>
    </w:p>
    <w:p w14:paraId="14A82831" w14:textId="77777777" w:rsidR="002653E8" w:rsidRDefault="003115E3">
      <w:pPr>
        <w:spacing w:before="1" w:line="280" w:lineRule="auto"/>
        <w:ind w:left="448" w:right="1401"/>
        <w:rPr>
          <w:sz w:val="16"/>
        </w:rPr>
      </w:pPr>
      <w:r>
        <w:rPr>
          <w:color w:val="231F20"/>
          <w:sz w:val="16"/>
        </w:rPr>
        <w:t>kidnapping 333; during Schleyer kidnapping 479</w:t>
      </w:r>
      <w:r>
        <w:rPr>
          <w:i/>
          <w:color w:val="231F20"/>
          <w:sz w:val="16"/>
        </w:rPr>
        <w:t xml:space="preserve">, </w:t>
      </w:r>
      <w:r>
        <w:rPr>
          <w:color w:val="231F20"/>
          <w:sz w:val="16"/>
        </w:rPr>
        <w:t>499</w:t>
      </w:r>
      <w:r>
        <w:rPr>
          <w:i/>
          <w:color w:val="231F20"/>
          <w:sz w:val="16"/>
        </w:rPr>
        <w:t xml:space="preserve">, </w:t>
      </w:r>
      <w:r>
        <w:rPr>
          <w:color w:val="231F20"/>
          <w:sz w:val="16"/>
        </w:rPr>
        <w:t>533</w:t>
      </w:r>
    </w:p>
    <w:p w14:paraId="121AA629" w14:textId="77777777" w:rsidR="002653E8" w:rsidRDefault="003115E3">
      <w:pPr>
        <w:spacing w:before="1"/>
        <w:ind w:left="248"/>
        <w:rPr>
          <w:sz w:val="16"/>
        </w:rPr>
      </w:pPr>
      <w:r>
        <w:rPr>
          <w:color w:val="231F20"/>
          <w:sz w:val="16"/>
        </w:rPr>
        <w:t>Critical University 581</w:t>
      </w:r>
    </w:p>
    <w:p w14:paraId="23653BE0" w14:textId="77777777" w:rsidR="002653E8" w:rsidRDefault="003115E3">
      <w:pPr>
        <w:spacing w:before="33"/>
        <w:ind w:left="248"/>
        <w:rPr>
          <w:i/>
          <w:sz w:val="16"/>
        </w:rPr>
      </w:pPr>
      <w:r>
        <w:rPr>
          <w:color w:val="231F20"/>
          <w:w w:val="105"/>
          <w:sz w:val="16"/>
        </w:rPr>
        <w:t>Croissant, Klaus 245</w:t>
      </w:r>
      <w:r>
        <w:rPr>
          <w:i/>
          <w:color w:val="231F20"/>
          <w:w w:val="105"/>
          <w:sz w:val="16"/>
        </w:rPr>
        <w:t xml:space="preserve">, </w:t>
      </w:r>
      <w:r>
        <w:rPr>
          <w:color w:val="231F20"/>
          <w:w w:val="105"/>
          <w:sz w:val="16"/>
        </w:rPr>
        <w:t>246</w:t>
      </w:r>
      <w:r>
        <w:rPr>
          <w:i/>
          <w:color w:val="231F20"/>
          <w:w w:val="105"/>
          <w:sz w:val="16"/>
        </w:rPr>
        <w:t xml:space="preserve">, </w:t>
      </w:r>
      <w:r>
        <w:rPr>
          <w:color w:val="231F20"/>
          <w:w w:val="105"/>
          <w:sz w:val="16"/>
        </w:rPr>
        <w:t>337</w:t>
      </w:r>
      <w:r>
        <w:rPr>
          <w:i/>
          <w:color w:val="231F20"/>
          <w:w w:val="105"/>
          <w:sz w:val="16"/>
        </w:rPr>
        <w:t xml:space="preserve">, </w:t>
      </w:r>
      <w:r>
        <w:rPr>
          <w:color w:val="231F20"/>
          <w:w w:val="105"/>
          <w:sz w:val="16"/>
        </w:rPr>
        <w:t>528–529</w:t>
      </w:r>
      <w:r>
        <w:rPr>
          <w:i/>
          <w:color w:val="231F20"/>
          <w:w w:val="105"/>
          <w:sz w:val="16"/>
        </w:rPr>
        <w:t>,</w:t>
      </w:r>
    </w:p>
    <w:p w14:paraId="7DB6D710" w14:textId="77777777" w:rsidR="002653E8" w:rsidRDefault="003115E3">
      <w:pPr>
        <w:spacing w:before="32"/>
        <w:ind w:left="448"/>
        <w:rPr>
          <w:i/>
          <w:sz w:val="16"/>
        </w:rPr>
      </w:pPr>
      <w:r>
        <w:rPr>
          <w:color w:val="231F20"/>
          <w:w w:val="105"/>
          <w:sz w:val="16"/>
        </w:rPr>
        <w:t>565</w:t>
      </w:r>
      <w:r>
        <w:rPr>
          <w:i/>
          <w:color w:val="231F20"/>
          <w:w w:val="105"/>
          <w:sz w:val="16"/>
        </w:rPr>
        <w:t xml:space="preserve">, </w:t>
      </w:r>
      <w:r>
        <w:rPr>
          <w:color w:val="231F20"/>
          <w:w w:val="105"/>
          <w:sz w:val="16"/>
        </w:rPr>
        <w:t>601; attacks on 266</w:t>
      </w:r>
      <w:r>
        <w:rPr>
          <w:i/>
          <w:color w:val="231F20"/>
          <w:w w:val="105"/>
          <w:sz w:val="16"/>
        </w:rPr>
        <w:t xml:space="preserve">, </w:t>
      </w:r>
      <w:r>
        <w:rPr>
          <w:color w:val="231F20"/>
          <w:w w:val="105"/>
          <w:sz w:val="16"/>
        </w:rPr>
        <w:t>345</w:t>
      </w:r>
      <w:r>
        <w:rPr>
          <w:i/>
          <w:color w:val="231F20"/>
          <w:w w:val="105"/>
          <w:sz w:val="16"/>
        </w:rPr>
        <w:t xml:space="preserve">, </w:t>
      </w:r>
      <w:r>
        <w:rPr>
          <w:color w:val="231F20"/>
          <w:w w:val="105"/>
          <w:sz w:val="16"/>
        </w:rPr>
        <w:t>419</w:t>
      </w:r>
      <w:r>
        <w:rPr>
          <w:i/>
          <w:color w:val="231F20"/>
          <w:w w:val="105"/>
          <w:sz w:val="16"/>
        </w:rPr>
        <w:t>,</w:t>
      </w:r>
    </w:p>
    <w:p w14:paraId="6A658715" w14:textId="77777777" w:rsidR="002653E8" w:rsidRDefault="003115E3">
      <w:pPr>
        <w:spacing w:before="32"/>
        <w:ind w:left="448"/>
        <w:rPr>
          <w:sz w:val="16"/>
        </w:rPr>
      </w:pPr>
      <w:r>
        <w:rPr>
          <w:color w:val="231F20"/>
          <w:sz w:val="16"/>
        </w:rPr>
        <w:t>473</w:t>
      </w:r>
      <w:r>
        <w:rPr>
          <w:i/>
          <w:color w:val="231F20"/>
          <w:sz w:val="16"/>
        </w:rPr>
        <w:t xml:space="preserve">, </w:t>
      </w:r>
      <w:r>
        <w:rPr>
          <w:color w:val="231F20"/>
          <w:sz w:val="16"/>
        </w:rPr>
        <w:t>595</w:t>
      </w:r>
      <w:r>
        <w:rPr>
          <w:i/>
          <w:color w:val="231F20"/>
          <w:sz w:val="16"/>
        </w:rPr>
        <w:t xml:space="preserve">, </w:t>
      </w:r>
      <w:r>
        <w:rPr>
          <w:color w:val="231F20"/>
          <w:sz w:val="16"/>
        </w:rPr>
        <w:t>598; barred from represent-</w:t>
      </w:r>
    </w:p>
    <w:p w14:paraId="53FC1DA6" w14:textId="77777777" w:rsidR="002653E8" w:rsidRDefault="003115E3">
      <w:pPr>
        <w:spacing w:before="33"/>
        <w:ind w:left="448"/>
        <w:rPr>
          <w:sz w:val="16"/>
        </w:rPr>
      </w:pPr>
      <w:r>
        <w:rPr>
          <w:color w:val="231F20"/>
          <w:sz w:val="16"/>
        </w:rPr>
        <w:t>ing Baader 300</w:t>
      </w:r>
      <w:r>
        <w:rPr>
          <w:i/>
          <w:color w:val="231F20"/>
          <w:sz w:val="16"/>
        </w:rPr>
        <w:t xml:space="preserve">, </w:t>
      </w:r>
      <w:r>
        <w:rPr>
          <w:color w:val="231F20"/>
          <w:sz w:val="16"/>
        </w:rPr>
        <w:t>346</w:t>
      </w:r>
      <w:r>
        <w:rPr>
          <w:i/>
          <w:color w:val="231F20"/>
          <w:sz w:val="16"/>
        </w:rPr>
        <w:t xml:space="preserve">, </w:t>
      </w:r>
      <w:r>
        <w:rPr>
          <w:color w:val="231F20"/>
          <w:sz w:val="16"/>
        </w:rPr>
        <w:t>597; barred from</w:t>
      </w:r>
    </w:p>
    <w:p w14:paraId="0A0A4E29" w14:textId="77777777" w:rsidR="002653E8" w:rsidRDefault="003115E3">
      <w:pPr>
        <w:spacing w:before="32"/>
        <w:ind w:left="448"/>
        <w:rPr>
          <w:sz w:val="16"/>
        </w:rPr>
      </w:pPr>
      <w:r>
        <w:rPr>
          <w:color w:val="231F20"/>
          <w:sz w:val="16"/>
        </w:rPr>
        <w:t>taking political cases 601</w:t>
      </w:r>
      <w:r>
        <w:rPr>
          <w:i/>
          <w:color w:val="231F20"/>
          <w:sz w:val="16"/>
        </w:rPr>
        <w:t xml:space="preserve">, </w:t>
      </w:r>
      <w:r>
        <w:rPr>
          <w:color w:val="231F20"/>
          <w:sz w:val="16"/>
        </w:rPr>
        <w:t>602</w:t>
      </w:r>
      <w:r>
        <w:rPr>
          <w:i/>
          <w:color w:val="231F20"/>
          <w:sz w:val="16"/>
        </w:rPr>
        <w:t xml:space="preserve">, </w:t>
      </w:r>
      <w:r>
        <w:rPr>
          <w:color w:val="231F20"/>
          <w:sz w:val="16"/>
        </w:rPr>
        <w:t>605;</w:t>
      </w:r>
    </w:p>
    <w:p w14:paraId="4865411A" w14:textId="77777777" w:rsidR="002653E8" w:rsidRDefault="003115E3">
      <w:pPr>
        <w:spacing w:before="33"/>
        <w:ind w:left="448"/>
        <w:rPr>
          <w:i/>
          <w:sz w:val="16"/>
        </w:rPr>
      </w:pPr>
      <w:r>
        <w:rPr>
          <w:color w:val="231F20"/>
          <w:sz w:val="16"/>
        </w:rPr>
        <w:t>France, seeks refuge in 473–474</w:t>
      </w:r>
      <w:r>
        <w:rPr>
          <w:i/>
          <w:color w:val="231F20"/>
          <w:sz w:val="16"/>
        </w:rPr>
        <w:t xml:space="preserve">, </w:t>
      </w:r>
      <w:r>
        <w:rPr>
          <w:color w:val="231F20"/>
          <w:sz w:val="16"/>
        </w:rPr>
        <w:t>509</w:t>
      </w:r>
      <w:r>
        <w:rPr>
          <w:i/>
          <w:color w:val="231F20"/>
          <w:sz w:val="16"/>
        </w:rPr>
        <w:t>,</w:t>
      </w:r>
    </w:p>
    <w:p w14:paraId="6F7F63D9" w14:textId="77777777" w:rsidR="002653E8" w:rsidRDefault="003115E3">
      <w:pPr>
        <w:spacing w:before="32"/>
        <w:ind w:left="448"/>
        <w:rPr>
          <w:sz w:val="16"/>
        </w:rPr>
      </w:pPr>
      <w:r>
        <w:rPr>
          <w:color w:val="231F20"/>
          <w:w w:val="105"/>
          <w:sz w:val="16"/>
        </w:rPr>
        <w:t>526</w:t>
      </w:r>
      <w:r>
        <w:rPr>
          <w:i/>
          <w:color w:val="231F20"/>
          <w:w w:val="105"/>
          <w:sz w:val="16"/>
        </w:rPr>
        <w:t xml:space="preserve">, </w:t>
      </w:r>
      <w:r>
        <w:rPr>
          <w:color w:val="231F20"/>
          <w:w w:val="105"/>
          <w:sz w:val="16"/>
        </w:rPr>
        <w:t>609; and Ulrike Meinhof’s death</w:t>
      </w:r>
    </w:p>
    <w:p w14:paraId="05268122" w14:textId="77777777" w:rsidR="002653E8" w:rsidRDefault="003115E3">
      <w:pPr>
        <w:spacing w:before="33"/>
        <w:ind w:left="448"/>
        <w:rPr>
          <w:sz w:val="16"/>
        </w:rPr>
      </w:pPr>
      <w:r>
        <w:rPr>
          <w:color w:val="231F20"/>
          <w:w w:val="105"/>
          <w:sz w:val="16"/>
        </w:rPr>
        <w:t>384</w:t>
      </w:r>
      <w:r>
        <w:rPr>
          <w:i/>
          <w:color w:val="231F20"/>
          <w:w w:val="105"/>
          <w:sz w:val="16"/>
        </w:rPr>
        <w:t xml:space="preserve">, </w:t>
      </w:r>
      <w:r>
        <w:rPr>
          <w:color w:val="231F20"/>
          <w:w w:val="105"/>
          <w:sz w:val="16"/>
        </w:rPr>
        <w:t>386</w:t>
      </w:r>
      <w:r>
        <w:rPr>
          <w:i/>
          <w:color w:val="231F20"/>
          <w:w w:val="105"/>
          <w:sz w:val="16"/>
        </w:rPr>
        <w:t xml:space="preserve">, </w:t>
      </w:r>
      <w:r>
        <w:rPr>
          <w:color w:val="231F20"/>
          <w:w w:val="105"/>
          <w:sz w:val="16"/>
        </w:rPr>
        <w:t>460; prison 509</w:t>
      </w:r>
      <w:r>
        <w:rPr>
          <w:i/>
          <w:color w:val="231F20"/>
          <w:w w:val="105"/>
          <w:sz w:val="16"/>
        </w:rPr>
        <w:t xml:space="preserve">, </w:t>
      </w:r>
      <w:r>
        <w:rPr>
          <w:color w:val="231F20"/>
          <w:w w:val="105"/>
          <w:sz w:val="16"/>
        </w:rPr>
        <w:t>528–529;</w:t>
      </w:r>
    </w:p>
    <w:p w14:paraId="3134AE39" w14:textId="77777777" w:rsidR="002653E8" w:rsidRDefault="003115E3">
      <w:pPr>
        <w:spacing w:before="32"/>
        <w:ind w:left="448"/>
        <w:rPr>
          <w:sz w:val="16"/>
        </w:rPr>
      </w:pPr>
      <w:r>
        <w:rPr>
          <w:color w:val="231F20"/>
          <w:sz w:val="16"/>
        </w:rPr>
        <w:t xml:space="preserve">accused of aiding </w:t>
      </w:r>
      <w:r w:rsidR="00C507A5">
        <w:rPr>
          <w:color w:val="231F20"/>
          <w:sz w:val="16"/>
        </w:rPr>
        <w:t>red army faction</w:t>
      </w:r>
      <w:r>
        <w:rPr>
          <w:color w:val="231F20"/>
          <w:sz w:val="16"/>
        </w:rPr>
        <w:t xml:space="preserve"> 246</w:t>
      </w:r>
      <w:r>
        <w:rPr>
          <w:i/>
          <w:color w:val="231F20"/>
          <w:sz w:val="16"/>
        </w:rPr>
        <w:t xml:space="preserve">, </w:t>
      </w:r>
      <w:r>
        <w:rPr>
          <w:color w:val="231F20"/>
          <w:sz w:val="16"/>
        </w:rPr>
        <w:t>480</w:t>
      </w:r>
      <w:r>
        <w:rPr>
          <w:i/>
          <w:color w:val="231F20"/>
          <w:sz w:val="16"/>
        </w:rPr>
        <w:t xml:space="preserve">, </w:t>
      </w:r>
      <w:r>
        <w:rPr>
          <w:color w:val="231F20"/>
          <w:sz w:val="16"/>
        </w:rPr>
        <w:t>526;</w:t>
      </w:r>
    </w:p>
    <w:p w14:paraId="4D0C9560" w14:textId="77777777" w:rsidR="002653E8" w:rsidRDefault="003115E3">
      <w:pPr>
        <w:spacing w:before="32"/>
        <w:ind w:left="448"/>
        <w:rPr>
          <w:i/>
          <w:sz w:val="16"/>
        </w:rPr>
      </w:pPr>
      <w:r>
        <w:rPr>
          <w:color w:val="231F20"/>
          <w:sz w:val="16"/>
        </w:rPr>
        <w:t>and Stasi 246; trial (1978-79) 610</w:t>
      </w:r>
      <w:r>
        <w:rPr>
          <w:i/>
          <w:color w:val="231F20"/>
          <w:sz w:val="16"/>
        </w:rPr>
        <w:t>,</w:t>
      </w:r>
    </w:p>
    <w:p w14:paraId="76CB6774" w14:textId="77777777" w:rsidR="002653E8" w:rsidRDefault="003115E3">
      <w:pPr>
        <w:spacing w:before="33"/>
        <w:ind w:left="448"/>
        <w:rPr>
          <w:sz w:val="16"/>
        </w:rPr>
      </w:pPr>
      <w:r>
        <w:rPr>
          <w:color w:val="231F20"/>
          <w:sz w:val="16"/>
        </w:rPr>
        <w:t>612; on Winter Trip 267</w:t>
      </w:r>
    </w:p>
    <w:p w14:paraId="744CB656" w14:textId="77777777" w:rsidR="002653E8" w:rsidRPr="00846956" w:rsidRDefault="003115E3">
      <w:pPr>
        <w:spacing w:before="32" w:line="280" w:lineRule="auto"/>
        <w:ind w:left="448" w:right="1260" w:hanging="200"/>
        <w:rPr>
          <w:sz w:val="16"/>
          <w:lang w:val="de-DE"/>
        </w:rPr>
      </w:pPr>
      <w:r w:rsidRPr="00846956">
        <w:rPr>
          <w:color w:val="231F20"/>
          <w:w w:val="105"/>
          <w:sz w:val="16"/>
          <w:lang w:val="de-DE"/>
        </w:rPr>
        <w:t>CSU (Christlich-Soziale Union in Bayern) 6</w:t>
      </w:r>
      <w:r w:rsidRPr="00846956">
        <w:rPr>
          <w:i/>
          <w:color w:val="231F20"/>
          <w:w w:val="105"/>
          <w:sz w:val="16"/>
          <w:lang w:val="de-DE"/>
        </w:rPr>
        <w:t xml:space="preserve">, </w:t>
      </w:r>
      <w:r w:rsidRPr="00846956">
        <w:rPr>
          <w:color w:val="231F20"/>
          <w:w w:val="105"/>
          <w:sz w:val="16"/>
          <w:lang w:val="de-DE"/>
        </w:rPr>
        <w:t>29</w:t>
      </w:r>
      <w:r w:rsidRPr="00846956">
        <w:rPr>
          <w:i/>
          <w:color w:val="231F20"/>
          <w:w w:val="105"/>
          <w:sz w:val="16"/>
          <w:lang w:val="de-DE"/>
        </w:rPr>
        <w:t xml:space="preserve">, </w:t>
      </w:r>
      <w:r w:rsidRPr="00846956">
        <w:rPr>
          <w:color w:val="231F20"/>
          <w:w w:val="105"/>
          <w:sz w:val="16"/>
          <w:lang w:val="de-DE"/>
        </w:rPr>
        <w:t>615</w:t>
      </w:r>
      <w:r w:rsidRPr="00846956">
        <w:rPr>
          <w:i/>
          <w:color w:val="231F20"/>
          <w:w w:val="105"/>
          <w:sz w:val="16"/>
          <w:lang w:val="de-DE"/>
        </w:rPr>
        <w:t xml:space="preserve">. See also </w:t>
      </w:r>
      <w:r w:rsidRPr="00846956">
        <w:rPr>
          <w:color w:val="231F20"/>
          <w:w w:val="105"/>
          <w:sz w:val="16"/>
          <w:lang w:val="de-DE"/>
        </w:rPr>
        <w:t>Strauß, Franz Josef;</w:t>
      </w:r>
    </w:p>
    <w:p w14:paraId="3DFC0258" w14:textId="77777777" w:rsidR="002653E8" w:rsidRDefault="003115E3">
      <w:pPr>
        <w:spacing w:before="1"/>
        <w:ind w:left="448"/>
        <w:rPr>
          <w:sz w:val="16"/>
        </w:rPr>
      </w:pPr>
      <w:r>
        <w:rPr>
          <w:color w:val="231F20"/>
          <w:sz w:val="16"/>
        </w:rPr>
        <w:t>anti-feminism 447</w:t>
      </w:r>
      <w:r>
        <w:rPr>
          <w:i/>
          <w:color w:val="231F20"/>
          <w:sz w:val="16"/>
        </w:rPr>
        <w:t xml:space="preserve">, </w:t>
      </w:r>
      <w:r>
        <w:rPr>
          <w:color w:val="231F20"/>
          <w:sz w:val="16"/>
        </w:rPr>
        <w:t>535; mentioned</w:t>
      </w:r>
    </w:p>
    <w:p w14:paraId="07F2C29D" w14:textId="77777777" w:rsidR="002653E8" w:rsidRDefault="003115E3">
      <w:pPr>
        <w:spacing w:before="33"/>
        <w:ind w:left="448"/>
        <w:rPr>
          <w:i/>
          <w:sz w:val="16"/>
        </w:rPr>
      </w:pPr>
      <w:r>
        <w:rPr>
          <w:color w:val="231F20"/>
          <w:w w:val="105"/>
          <w:sz w:val="16"/>
        </w:rPr>
        <w:t xml:space="preserve">by </w:t>
      </w:r>
      <w:r w:rsidR="00C507A5">
        <w:rPr>
          <w:color w:val="231F20"/>
          <w:w w:val="105"/>
          <w:sz w:val="16"/>
        </w:rPr>
        <w:t>red army faction</w:t>
      </w:r>
      <w:r>
        <w:rPr>
          <w:color w:val="231F20"/>
          <w:w w:val="105"/>
          <w:sz w:val="16"/>
        </w:rPr>
        <w:t xml:space="preserve"> 130</w:t>
      </w:r>
      <w:r>
        <w:rPr>
          <w:i/>
          <w:color w:val="231F20"/>
          <w:w w:val="105"/>
          <w:sz w:val="16"/>
        </w:rPr>
        <w:t xml:space="preserve">, </w:t>
      </w:r>
      <w:r>
        <w:rPr>
          <w:color w:val="231F20"/>
          <w:w w:val="105"/>
          <w:sz w:val="16"/>
        </w:rPr>
        <w:t xml:space="preserve">139; on the </w:t>
      </w:r>
      <w:r w:rsidR="00C507A5">
        <w:rPr>
          <w:color w:val="231F20"/>
          <w:w w:val="105"/>
          <w:sz w:val="16"/>
        </w:rPr>
        <w:t>red army faction</w:t>
      </w:r>
      <w:r>
        <w:rPr>
          <w:color w:val="231F20"/>
          <w:w w:val="105"/>
          <w:sz w:val="16"/>
        </w:rPr>
        <w:t xml:space="preserve"> 532</w:t>
      </w:r>
      <w:r>
        <w:rPr>
          <w:i/>
          <w:color w:val="231F20"/>
          <w:w w:val="105"/>
          <w:sz w:val="16"/>
        </w:rPr>
        <w:t>,</w:t>
      </w:r>
    </w:p>
    <w:p w14:paraId="0720AFF2" w14:textId="77777777" w:rsidR="002653E8" w:rsidRPr="00846956" w:rsidRDefault="003115E3">
      <w:pPr>
        <w:spacing w:before="32"/>
        <w:ind w:left="448"/>
        <w:rPr>
          <w:sz w:val="16"/>
          <w:lang w:val="de-DE"/>
        </w:rPr>
      </w:pPr>
      <w:r w:rsidRPr="00846956">
        <w:rPr>
          <w:color w:val="231F20"/>
          <w:w w:val="105"/>
          <w:sz w:val="16"/>
          <w:lang w:val="de-DE"/>
        </w:rPr>
        <w:t>533</w:t>
      </w:r>
      <w:r w:rsidRPr="00846956">
        <w:rPr>
          <w:i/>
          <w:color w:val="231F20"/>
          <w:w w:val="105"/>
          <w:sz w:val="16"/>
          <w:lang w:val="de-DE"/>
        </w:rPr>
        <w:t xml:space="preserve">, </w:t>
      </w:r>
      <w:r w:rsidRPr="00846956">
        <w:rPr>
          <w:color w:val="231F20"/>
          <w:w w:val="105"/>
          <w:sz w:val="16"/>
          <w:lang w:val="de-DE"/>
        </w:rPr>
        <w:t>535</w:t>
      </w:r>
    </w:p>
    <w:p w14:paraId="0C0A7F27" w14:textId="77777777" w:rsidR="002653E8" w:rsidRPr="00846956" w:rsidRDefault="003115E3">
      <w:pPr>
        <w:spacing w:before="33"/>
        <w:ind w:left="248"/>
        <w:rPr>
          <w:sz w:val="16"/>
          <w:lang w:val="de-DE"/>
        </w:rPr>
      </w:pPr>
      <w:r w:rsidRPr="00846956">
        <w:rPr>
          <w:color w:val="231F20"/>
          <w:w w:val="105"/>
          <w:sz w:val="16"/>
          <w:lang w:val="de-DE"/>
        </w:rPr>
        <w:t>Czechoslovakia 6</w:t>
      </w:r>
      <w:r w:rsidRPr="00846956">
        <w:rPr>
          <w:i/>
          <w:color w:val="231F20"/>
          <w:w w:val="105"/>
          <w:sz w:val="16"/>
          <w:lang w:val="de-DE"/>
        </w:rPr>
        <w:t xml:space="preserve">, </w:t>
      </w:r>
      <w:r w:rsidRPr="00846956">
        <w:rPr>
          <w:color w:val="231F20"/>
          <w:w w:val="105"/>
          <w:sz w:val="16"/>
          <w:lang w:val="de-DE"/>
        </w:rPr>
        <w:t>477</w:t>
      </w:r>
    </w:p>
    <w:p w14:paraId="09BCC367" w14:textId="77777777" w:rsidR="002653E8" w:rsidRPr="00846956" w:rsidRDefault="002653E8">
      <w:pPr>
        <w:pStyle w:val="a3"/>
        <w:rPr>
          <w:sz w:val="18"/>
          <w:lang w:val="de-DE"/>
        </w:rPr>
      </w:pPr>
    </w:p>
    <w:p w14:paraId="29A0FDCB" w14:textId="77777777" w:rsidR="002653E8" w:rsidRPr="00846956" w:rsidRDefault="002653E8">
      <w:pPr>
        <w:pStyle w:val="a3"/>
        <w:rPr>
          <w:sz w:val="18"/>
          <w:lang w:val="de-DE"/>
        </w:rPr>
      </w:pPr>
    </w:p>
    <w:p w14:paraId="20351124" w14:textId="77777777" w:rsidR="002653E8" w:rsidRPr="00846956" w:rsidRDefault="002653E8">
      <w:pPr>
        <w:pStyle w:val="a3"/>
        <w:rPr>
          <w:sz w:val="18"/>
          <w:lang w:val="de-DE"/>
        </w:rPr>
      </w:pPr>
    </w:p>
    <w:p w14:paraId="2EDF54FE" w14:textId="77777777" w:rsidR="002653E8" w:rsidRPr="00846956" w:rsidRDefault="002653E8">
      <w:pPr>
        <w:pStyle w:val="a3"/>
        <w:rPr>
          <w:sz w:val="18"/>
          <w:lang w:val="de-DE"/>
        </w:rPr>
      </w:pPr>
    </w:p>
    <w:p w14:paraId="48CC4F9E" w14:textId="77777777" w:rsidR="002653E8" w:rsidRPr="00846956" w:rsidRDefault="002653E8">
      <w:pPr>
        <w:pStyle w:val="a3"/>
        <w:spacing w:before="6"/>
        <w:rPr>
          <w:sz w:val="24"/>
          <w:lang w:val="de-DE"/>
        </w:rPr>
      </w:pPr>
    </w:p>
    <w:p w14:paraId="611734D7" w14:textId="77777777" w:rsidR="002653E8" w:rsidRPr="00846956" w:rsidRDefault="003115E3">
      <w:pPr>
        <w:spacing w:before="1"/>
        <w:ind w:left="248"/>
        <w:rPr>
          <w:sz w:val="16"/>
          <w:lang w:val="de-DE"/>
        </w:rPr>
      </w:pPr>
      <w:r w:rsidRPr="00846956">
        <w:rPr>
          <w:color w:val="231F20"/>
          <w:sz w:val="16"/>
          <w:lang w:val="de-DE"/>
        </w:rPr>
        <w:t>Daimler-Benz 623</w:t>
      </w:r>
    </w:p>
    <w:p w14:paraId="52531125" w14:textId="77777777" w:rsidR="002653E8" w:rsidRPr="00846956" w:rsidRDefault="003115E3">
      <w:pPr>
        <w:spacing w:before="32"/>
        <w:ind w:left="248"/>
        <w:rPr>
          <w:sz w:val="16"/>
          <w:lang w:val="de-DE"/>
        </w:rPr>
      </w:pPr>
      <w:r w:rsidRPr="00846956">
        <w:rPr>
          <w:color w:val="231F20"/>
          <w:w w:val="105"/>
          <w:sz w:val="16"/>
          <w:lang w:val="de-DE"/>
        </w:rPr>
        <w:t>Daoud, Abu 191</w:t>
      </w:r>
      <w:r w:rsidRPr="00846956">
        <w:rPr>
          <w:i/>
          <w:color w:val="231F20"/>
          <w:w w:val="105"/>
          <w:sz w:val="16"/>
          <w:lang w:val="de-DE"/>
        </w:rPr>
        <w:t xml:space="preserve">, </w:t>
      </w:r>
      <w:r w:rsidRPr="00846956">
        <w:rPr>
          <w:color w:val="231F20"/>
          <w:w w:val="105"/>
          <w:sz w:val="16"/>
          <w:lang w:val="de-DE"/>
        </w:rPr>
        <w:t>194</w:t>
      </w:r>
    </w:p>
    <w:p w14:paraId="57C587A4" w14:textId="77777777" w:rsidR="002653E8" w:rsidRPr="00846956" w:rsidRDefault="003115E3">
      <w:pPr>
        <w:spacing w:before="32" w:line="280" w:lineRule="auto"/>
        <w:ind w:left="248" w:right="2972"/>
        <w:rPr>
          <w:sz w:val="16"/>
          <w:lang w:val="de-DE"/>
        </w:rPr>
      </w:pPr>
      <w:r w:rsidRPr="00846956">
        <w:rPr>
          <w:i/>
          <w:color w:val="231F20"/>
          <w:w w:val="105"/>
          <w:sz w:val="16"/>
          <w:lang w:val="de-DE"/>
        </w:rPr>
        <w:t xml:space="preserve">Das Info </w:t>
      </w:r>
      <w:r w:rsidRPr="00846956">
        <w:rPr>
          <w:color w:val="231F20"/>
          <w:w w:val="105"/>
          <w:sz w:val="16"/>
          <w:lang w:val="de-DE"/>
        </w:rPr>
        <w:t>xx Daume, Willi 231</w:t>
      </w:r>
    </w:p>
    <w:p w14:paraId="4FF17831" w14:textId="77777777" w:rsidR="002653E8" w:rsidRDefault="003115E3">
      <w:pPr>
        <w:spacing w:before="1"/>
        <w:ind w:left="248"/>
        <w:rPr>
          <w:sz w:val="16"/>
        </w:rPr>
      </w:pPr>
      <w:r>
        <w:rPr>
          <w:color w:val="231F20"/>
          <w:sz w:val="16"/>
        </w:rPr>
        <w:t>Davezies, Robert 382</w:t>
      </w:r>
    </w:p>
    <w:p w14:paraId="7D9CD2ED" w14:textId="77777777" w:rsidR="002653E8" w:rsidRDefault="002653E8">
      <w:pPr>
        <w:rPr>
          <w:sz w:val="16"/>
        </w:rPr>
        <w:sectPr w:rsidR="002653E8">
          <w:pgSz w:w="8640" w:h="12960"/>
          <w:pgMar w:top="1080" w:right="0" w:bottom="1040" w:left="0" w:header="0" w:footer="846" w:gutter="0"/>
          <w:cols w:num="2" w:space="720" w:equalWidth="0">
            <w:col w:w="4082" w:space="40"/>
            <w:col w:w="4518"/>
          </w:cols>
        </w:sectPr>
      </w:pPr>
    </w:p>
    <w:p w14:paraId="0454DA38" w14:textId="77777777" w:rsidR="002653E8" w:rsidRDefault="003115E3">
      <w:pPr>
        <w:spacing w:before="86" w:line="280" w:lineRule="auto"/>
        <w:ind w:left="1527" w:hanging="200"/>
        <w:rPr>
          <w:sz w:val="16"/>
        </w:rPr>
      </w:pPr>
      <w:r>
        <w:rPr>
          <w:color w:val="231F20"/>
          <w:sz w:val="16"/>
        </w:rPr>
        <w:lastRenderedPageBreak/>
        <w:t>Davis, Angela 199–200</w:t>
      </w:r>
      <w:r>
        <w:rPr>
          <w:i/>
          <w:color w:val="231F20"/>
          <w:sz w:val="16"/>
        </w:rPr>
        <w:t xml:space="preserve">. See also </w:t>
      </w:r>
      <w:r>
        <w:rPr>
          <w:color w:val="231F20"/>
          <w:sz w:val="16"/>
        </w:rPr>
        <w:t>Angela Davis Congress (1972)</w:t>
      </w:r>
    </w:p>
    <w:p w14:paraId="46443D3B" w14:textId="77777777" w:rsidR="002653E8" w:rsidRDefault="003115E3">
      <w:pPr>
        <w:spacing w:before="1"/>
        <w:ind w:left="1327"/>
        <w:rPr>
          <w:sz w:val="16"/>
        </w:rPr>
      </w:pPr>
      <w:r>
        <w:rPr>
          <w:color w:val="231F20"/>
          <w:w w:val="105"/>
          <w:sz w:val="16"/>
        </w:rPr>
        <w:t>Dayan, Moshe 188</w:t>
      </w:r>
      <w:r>
        <w:rPr>
          <w:i/>
          <w:color w:val="231F20"/>
          <w:w w:val="105"/>
          <w:sz w:val="16"/>
        </w:rPr>
        <w:t xml:space="preserve">, </w:t>
      </w:r>
      <w:r>
        <w:rPr>
          <w:color w:val="231F20"/>
          <w:w w:val="105"/>
          <w:sz w:val="16"/>
        </w:rPr>
        <w:t>552; mentioned by</w:t>
      </w:r>
    </w:p>
    <w:p w14:paraId="42EDE4B0" w14:textId="77777777" w:rsidR="002653E8" w:rsidRDefault="00C507A5">
      <w:pPr>
        <w:spacing w:before="33"/>
        <w:ind w:left="1527"/>
        <w:rPr>
          <w:sz w:val="16"/>
        </w:rPr>
      </w:pPr>
      <w:r>
        <w:rPr>
          <w:color w:val="231F20"/>
          <w:w w:val="110"/>
          <w:sz w:val="16"/>
        </w:rPr>
        <w:t>red army faction</w:t>
      </w:r>
      <w:r w:rsidR="003115E3">
        <w:rPr>
          <w:color w:val="231F20"/>
          <w:w w:val="110"/>
          <w:sz w:val="16"/>
        </w:rPr>
        <w:t xml:space="preserve"> 206</w:t>
      </w:r>
      <w:r w:rsidR="003115E3">
        <w:rPr>
          <w:i/>
          <w:color w:val="231F20"/>
          <w:w w:val="110"/>
          <w:sz w:val="16"/>
        </w:rPr>
        <w:t xml:space="preserve">, </w:t>
      </w:r>
      <w:r w:rsidR="003115E3">
        <w:rPr>
          <w:color w:val="231F20"/>
          <w:w w:val="110"/>
          <w:sz w:val="16"/>
        </w:rPr>
        <w:t>231</w:t>
      </w:r>
    </w:p>
    <w:p w14:paraId="3B6B0F20" w14:textId="77777777" w:rsidR="002653E8" w:rsidRDefault="003115E3">
      <w:pPr>
        <w:spacing w:before="32" w:line="280" w:lineRule="auto"/>
        <w:ind w:left="1527" w:right="86" w:hanging="200"/>
        <w:rPr>
          <w:sz w:val="16"/>
        </w:rPr>
      </w:pPr>
      <w:r>
        <w:rPr>
          <w:i/>
          <w:color w:val="231F20"/>
          <w:w w:val="105"/>
          <w:sz w:val="16"/>
        </w:rPr>
        <w:t>The Death of the KPD: Communism and Anti-Communism in West Germany</w:t>
      </w:r>
      <w:r>
        <w:rPr>
          <w:color w:val="231F20"/>
          <w:w w:val="105"/>
          <w:sz w:val="16"/>
        </w:rPr>
        <w:t>, 1945-1956 17–18</w:t>
      </w:r>
    </w:p>
    <w:p w14:paraId="15301AA4" w14:textId="77777777" w:rsidR="002653E8" w:rsidRDefault="003115E3">
      <w:pPr>
        <w:spacing w:before="2"/>
        <w:ind w:left="1327"/>
        <w:rPr>
          <w:sz w:val="16"/>
        </w:rPr>
      </w:pPr>
      <w:r>
        <w:rPr>
          <w:color w:val="231F20"/>
          <w:sz w:val="16"/>
        </w:rPr>
        <w:t>d’Eaubonne, Françoise 537</w:t>
      </w:r>
    </w:p>
    <w:p w14:paraId="717ABB26" w14:textId="77777777" w:rsidR="002653E8" w:rsidRDefault="003115E3">
      <w:pPr>
        <w:spacing w:before="32"/>
        <w:ind w:left="1327"/>
        <w:rPr>
          <w:sz w:val="16"/>
        </w:rPr>
      </w:pPr>
      <w:r>
        <w:rPr>
          <w:color w:val="231F20"/>
          <w:w w:val="105"/>
          <w:sz w:val="16"/>
        </w:rPr>
        <w:t>Debray, Regis 95</w:t>
      </w:r>
    </w:p>
    <w:p w14:paraId="0C6A9C24" w14:textId="77777777" w:rsidR="002653E8" w:rsidRDefault="003115E3">
      <w:pPr>
        <w:spacing w:before="33" w:line="280" w:lineRule="auto"/>
        <w:ind w:left="1327" w:right="85"/>
        <w:rPr>
          <w:sz w:val="16"/>
        </w:rPr>
      </w:pPr>
      <w:r>
        <w:rPr>
          <w:color w:val="231F20"/>
          <w:w w:val="105"/>
          <w:sz w:val="16"/>
        </w:rPr>
        <w:t>Debus, Sigurd 333</w:t>
      </w:r>
      <w:r>
        <w:rPr>
          <w:i/>
          <w:color w:val="231F20"/>
          <w:w w:val="105"/>
          <w:sz w:val="16"/>
        </w:rPr>
        <w:t xml:space="preserve">, </w:t>
      </w:r>
      <w:r>
        <w:rPr>
          <w:color w:val="231F20"/>
          <w:w w:val="105"/>
          <w:sz w:val="16"/>
        </w:rPr>
        <w:t>339</w:t>
      </w:r>
      <w:r>
        <w:rPr>
          <w:i/>
          <w:color w:val="231F20"/>
          <w:w w:val="105"/>
          <w:sz w:val="16"/>
        </w:rPr>
        <w:t xml:space="preserve">, </w:t>
      </w:r>
      <w:r>
        <w:rPr>
          <w:color w:val="231F20"/>
          <w:w w:val="105"/>
          <w:sz w:val="16"/>
        </w:rPr>
        <w:t>528</w:t>
      </w:r>
      <w:r>
        <w:rPr>
          <w:i/>
          <w:color w:val="231F20"/>
          <w:w w:val="105"/>
          <w:sz w:val="16"/>
        </w:rPr>
        <w:t xml:space="preserve">, </w:t>
      </w:r>
      <w:r>
        <w:rPr>
          <w:color w:val="231F20"/>
          <w:w w:val="105"/>
          <w:sz w:val="16"/>
        </w:rPr>
        <w:t>614 December 21st Movement of the Arabic</w:t>
      </w:r>
    </w:p>
    <w:p w14:paraId="70F4C3F4" w14:textId="77777777" w:rsidR="002653E8" w:rsidRDefault="003115E3">
      <w:pPr>
        <w:spacing w:before="1" w:line="280" w:lineRule="auto"/>
        <w:ind w:left="1327" w:right="1119" w:firstLine="200"/>
        <w:rPr>
          <w:sz w:val="16"/>
        </w:rPr>
      </w:pPr>
      <w:r>
        <w:rPr>
          <w:color w:val="231F20"/>
          <w:w w:val="105"/>
          <w:sz w:val="16"/>
        </w:rPr>
        <w:t>Revolution 439</w:t>
      </w:r>
      <w:r>
        <w:rPr>
          <w:i/>
          <w:color w:val="231F20"/>
          <w:w w:val="105"/>
          <w:sz w:val="16"/>
        </w:rPr>
        <w:t xml:space="preserve">, </w:t>
      </w:r>
      <w:r>
        <w:rPr>
          <w:color w:val="231F20"/>
          <w:w w:val="105"/>
          <w:sz w:val="16"/>
        </w:rPr>
        <w:t>599 De Gaulle, Charles 582</w:t>
      </w:r>
    </w:p>
    <w:p w14:paraId="790E4E4A" w14:textId="77777777" w:rsidR="002653E8" w:rsidRDefault="003115E3">
      <w:pPr>
        <w:spacing w:before="1"/>
        <w:ind w:left="1327"/>
        <w:rPr>
          <w:sz w:val="16"/>
        </w:rPr>
      </w:pPr>
      <w:r>
        <w:rPr>
          <w:color w:val="231F20"/>
          <w:sz w:val="16"/>
        </w:rPr>
        <w:t>Degenhardt (prison doctor) 250</w:t>
      </w:r>
      <w:r>
        <w:rPr>
          <w:i/>
          <w:color w:val="231F20"/>
          <w:sz w:val="16"/>
        </w:rPr>
        <w:t xml:space="preserve">, </w:t>
      </w:r>
      <w:r>
        <w:rPr>
          <w:color w:val="231F20"/>
          <w:sz w:val="16"/>
        </w:rPr>
        <w:t>304</w:t>
      </w:r>
    </w:p>
    <w:p w14:paraId="34DE6764" w14:textId="77777777" w:rsidR="002653E8" w:rsidRPr="00846956" w:rsidRDefault="003115E3">
      <w:pPr>
        <w:spacing w:before="32"/>
        <w:ind w:left="1327"/>
        <w:rPr>
          <w:sz w:val="16"/>
          <w:lang w:val="de-DE"/>
        </w:rPr>
      </w:pPr>
      <w:r w:rsidRPr="00846956">
        <w:rPr>
          <w:color w:val="231F20"/>
          <w:w w:val="105"/>
          <w:sz w:val="16"/>
          <w:lang w:val="de-DE"/>
        </w:rPr>
        <w:t>Dehler, Thomas 15</w:t>
      </w:r>
    </w:p>
    <w:p w14:paraId="53314091" w14:textId="77777777" w:rsidR="002653E8" w:rsidRPr="00846956" w:rsidRDefault="003115E3">
      <w:pPr>
        <w:spacing w:before="33"/>
        <w:ind w:left="1327"/>
        <w:rPr>
          <w:i/>
          <w:sz w:val="16"/>
          <w:lang w:val="de-DE"/>
        </w:rPr>
      </w:pPr>
      <w:r w:rsidRPr="00846956">
        <w:rPr>
          <w:color w:val="231F20"/>
          <w:w w:val="105"/>
          <w:sz w:val="16"/>
          <w:lang w:val="de-DE"/>
        </w:rPr>
        <w:t>Dellwo, Hans-Joachim 514–515</w:t>
      </w:r>
      <w:r w:rsidRPr="00846956">
        <w:rPr>
          <w:i/>
          <w:color w:val="231F20"/>
          <w:w w:val="105"/>
          <w:sz w:val="16"/>
          <w:lang w:val="de-DE"/>
        </w:rPr>
        <w:t xml:space="preserve">, </w:t>
      </w:r>
      <w:r w:rsidRPr="00846956">
        <w:rPr>
          <w:color w:val="231F20"/>
          <w:w w:val="105"/>
          <w:sz w:val="16"/>
          <w:lang w:val="de-DE"/>
        </w:rPr>
        <w:t>566</w:t>
      </w:r>
      <w:r w:rsidRPr="00846956">
        <w:rPr>
          <w:i/>
          <w:color w:val="231F20"/>
          <w:w w:val="105"/>
          <w:sz w:val="16"/>
          <w:lang w:val="de-DE"/>
        </w:rPr>
        <w:t>,</w:t>
      </w:r>
    </w:p>
    <w:p w14:paraId="2386E154" w14:textId="77777777" w:rsidR="002653E8" w:rsidRPr="00846956" w:rsidRDefault="003115E3">
      <w:pPr>
        <w:spacing w:before="32"/>
        <w:ind w:left="1527"/>
        <w:rPr>
          <w:sz w:val="16"/>
          <w:lang w:val="de-DE"/>
        </w:rPr>
      </w:pPr>
      <w:r w:rsidRPr="00846956">
        <w:rPr>
          <w:color w:val="231F20"/>
          <w:w w:val="105"/>
          <w:sz w:val="16"/>
          <w:lang w:val="de-DE"/>
        </w:rPr>
        <w:t>611</w:t>
      </w:r>
      <w:r w:rsidRPr="00846956">
        <w:rPr>
          <w:i/>
          <w:color w:val="231F20"/>
          <w:w w:val="105"/>
          <w:sz w:val="16"/>
          <w:lang w:val="de-DE"/>
        </w:rPr>
        <w:t xml:space="preserve">, </w:t>
      </w:r>
      <w:r w:rsidRPr="00846956">
        <w:rPr>
          <w:color w:val="231F20"/>
          <w:w w:val="105"/>
          <w:sz w:val="16"/>
          <w:lang w:val="de-DE"/>
        </w:rPr>
        <w:t>613</w:t>
      </w:r>
    </w:p>
    <w:p w14:paraId="087F2784" w14:textId="77777777" w:rsidR="002653E8" w:rsidRPr="00846956" w:rsidRDefault="003115E3">
      <w:pPr>
        <w:spacing w:before="32"/>
        <w:ind w:left="1327"/>
        <w:rPr>
          <w:sz w:val="16"/>
          <w:lang w:val="de-DE"/>
        </w:rPr>
      </w:pPr>
      <w:r w:rsidRPr="00846956">
        <w:rPr>
          <w:color w:val="231F20"/>
          <w:w w:val="105"/>
          <w:sz w:val="16"/>
          <w:lang w:val="de-DE"/>
        </w:rPr>
        <w:t>Dellwo, Karl-Heinz 514</w:t>
      </w:r>
      <w:r w:rsidRPr="00846956">
        <w:rPr>
          <w:i/>
          <w:color w:val="231F20"/>
          <w:w w:val="105"/>
          <w:sz w:val="16"/>
          <w:lang w:val="de-DE"/>
        </w:rPr>
        <w:t xml:space="preserve">, </w:t>
      </w:r>
      <w:r w:rsidRPr="00846956">
        <w:rPr>
          <w:color w:val="231F20"/>
          <w:w w:val="105"/>
          <w:sz w:val="16"/>
          <w:lang w:val="de-DE"/>
        </w:rPr>
        <w:t>566</w:t>
      </w:r>
      <w:r w:rsidRPr="00846956">
        <w:rPr>
          <w:i/>
          <w:color w:val="231F20"/>
          <w:w w:val="105"/>
          <w:sz w:val="16"/>
          <w:lang w:val="de-DE"/>
        </w:rPr>
        <w:t xml:space="preserve">, </w:t>
      </w:r>
      <w:r w:rsidRPr="00846956">
        <w:rPr>
          <w:color w:val="231F20"/>
          <w:w w:val="105"/>
          <w:sz w:val="16"/>
          <w:lang w:val="de-DE"/>
        </w:rPr>
        <w:t>623;</w:t>
      </w:r>
    </w:p>
    <w:p w14:paraId="111B97D2" w14:textId="77777777" w:rsidR="002653E8" w:rsidRDefault="003115E3">
      <w:pPr>
        <w:spacing w:before="33"/>
        <w:ind w:left="1527"/>
        <w:rPr>
          <w:i/>
          <w:sz w:val="16"/>
        </w:rPr>
      </w:pPr>
      <w:r>
        <w:rPr>
          <w:color w:val="231F20"/>
          <w:w w:val="105"/>
          <w:sz w:val="16"/>
        </w:rPr>
        <w:t>Committees Against Torture 253</w:t>
      </w:r>
      <w:r>
        <w:rPr>
          <w:i/>
          <w:color w:val="231F20"/>
          <w:w w:val="105"/>
          <w:sz w:val="16"/>
        </w:rPr>
        <w:t xml:space="preserve">, </w:t>
      </w:r>
      <w:r>
        <w:rPr>
          <w:color w:val="231F20"/>
          <w:w w:val="105"/>
          <w:sz w:val="16"/>
        </w:rPr>
        <w:t>254</w:t>
      </w:r>
      <w:r>
        <w:rPr>
          <w:i/>
          <w:color w:val="231F20"/>
          <w:w w:val="105"/>
          <w:sz w:val="16"/>
        </w:rPr>
        <w:t>,</w:t>
      </w:r>
    </w:p>
    <w:p w14:paraId="6A9C14D9" w14:textId="77777777" w:rsidR="002653E8" w:rsidRDefault="003115E3">
      <w:pPr>
        <w:spacing w:before="32"/>
        <w:ind w:left="1527"/>
        <w:rPr>
          <w:sz w:val="16"/>
        </w:rPr>
      </w:pPr>
      <w:r>
        <w:rPr>
          <w:color w:val="231F20"/>
          <w:sz w:val="16"/>
        </w:rPr>
        <w:t>451; Hamburg squats 435; konkret</w:t>
      </w:r>
    </w:p>
    <w:p w14:paraId="00D8C691" w14:textId="77777777" w:rsidR="002653E8" w:rsidRDefault="003115E3">
      <w:pPr>
        <w:spacing w:before="33"/>
        <w:ind w:left="1527"/>
        <w:rPr>
          <w:sz w:val="16"/>
        </w:rPr>
      </w:pPr>
      <w:r>
        <w:rPr>
          <w:color w:val="231F20"/>
          <w:sz w:val="16"/>
        </w:rPr>
        <w:t>interview (1992) 622; on Stammheim</w:t>
      </w:r>
    </w:p>
    <w:p w14:paraId="17465436" w14:textId="77777777" w:rsidR="002653E8" w:rsidRDefault="003115E3">
      <w:pPr>
        <w:spacing w:before="32"/>
        <w:ind w:left="1527"/>
        <w:rPr>
          <w:sz w:val="16"/>
        </w:rPr>
      </w:pPr>
      <w:r>
        <w:rPr>
          <w:color w:val="231F20"/>
          <w:sz w:val="16"/>
        </w:rPr>
        <w:t>deaths 511</w:t>
      </w:r>
      <w:r>
        <w:rPr>
          <w:i/>
          <w:color w:val="231F20"/>
          <w:sz w:val="16"/>
        </w:rPr>
        <w:t xml:space="preserve">, </w:t>
      </w:r>
      <w:r>
        <w:rPr>
          <w:color w:val="231F20"/>
          <w:sz w:val="16"/>
        </w:rPr>
        <w:t>517; prison 605</w:t>
      </w:r>
      <w:r>
        <w:rPr>
          <w:i/>
          <w:color w:val="231F20"/>
          <w:sz w:val="16"/>
        </w:rPr>
        <w:t xml:space="preserve">, </w:t>
      </w:r>
      <w:r>
        <w:rPr>
          <w:color w:val="231F20"/>
          <w:sz w:val="16"/>
        </w:rPr>
        <w:t>611;</w:t>
      </w:r>
    </w:p>
    <w:p w14:paraId="0019638E" w14:textId="77777777" w:rsidR="002653E8" w:rsidRDefault="003115E3">
      <w:pPr>
        <w:spacing w:before="33"/>
        <w:ind w:left="1527"/>
        <w:rPr>
          <w:sz w:val="16"/>
        </w:rPr>
      </w:pPr>
      <w:r>
        <w:rPr>
          <w:color w:val="231F20"/>
          <w:sz w:val="16"/>
        </w:rPr>
        <w:t>released (1995) 624; release demanded</w:t>
      </w:r>
    </w:p>
    <w:p w14:paraId="690CE595" w14:textId="77777777" w:rsidR="002653E8" w:rsidRDefault="003115E3">
      <w:pPr>
        <w:spacing w:before="32"/>
        <w:ind w:left="1527"/>
        <w:rPr>
          <w:sz w:val="16"/>
        </w:rPr>
      </w:pPr>
      <w:r>
        <w:rPr>
          <w:color w:val="231F20"/>
          <w:w w:val="105"/>
          <w:sz w:val="16"/>
        </w:rPr>
        <w:t>498</w:t>
      </w:r>
      <w:r>
        <w:rPr>
          <w:i/>
          <w:color w:val="231F20"/>
          <w:w w:val="105"/>
          <w:sz w:val="16"/>
        </w:rPr>
        <w:t xml:space="preserve">, </w:t>
      </w:r>
      <w:r>
        <w:rPr>
          <w:color w:val="231F20"/>
          <w:w w:val="105"/>
          <w:sz w:val="16"/>
        </w:rPr>
        <w:t>505; on SAWIO skyjacking (1977,</w:t>
      </w:r>
    </w:p>
    <w:p w14:paraId="2ED08705" w14:textId="77777777" w:rsidR="002653E8" w:rsidRDefault="003115E3">
      <w:pPr>
        <w:spacing w:before="32"/>
        <w:ind w:left="1527"/>
        <w:rPr>
          <w:sz w:val="16"/>
        </w:rPr>
      </w:pPr>
      <w:r>
        <w:rPr>
          <w:color w:val="231F20"/>
          <w:w w:val="105"/>
          <w:sz w:val="16"/>
        </w:rPr>
        <w:t>Mogadishu) 483</w:t>
      </w:r>
      <w:r>
        <w:rPr>
          <w:i/>
          <w:color w:val="231F20"/>
          <w:w w:val="105"/>
          <w:sz w:val="16"/>
        </w:rPr>
        <w:t xml:space="preserve">, </w:t>
      </w:r>
      <w:r>
        <w:rPr>
          <w:color w:val="231F20"/>
          <w:w w:val="105"/>
          <w:sz w:val="16"/>
        </w:rPr>
        <w:t>529; Stockholm</w:t>
      </w:r>
    </w:p>
    <w:p w14:paraId="10D89A52" w14:textId="77777777" w:rsidR="002653E8" w:rsidRDefault="003115E3">
      <w:pPr>
        <w:spacing w:before="33"/>
        <w:ind w:left="1527"/>
        <w:rPr>
          <w:sz w:val="16"/>
        </w:rPr>
      </w:pPr>
      <w:r>
        <w:rPr>
          <w:color w:val="231F20"/>
          <w:w w:val="105"/>
          <w:sz w:val="16"/>
        </w:rPr>
        <w:t>Embassy Occupation 334</w:t>
      </w:r>
      <w:r>
        <w:rPr>
          <w:i/>
          <w:color w:val="231F20"/>
          <w:w w:val="105"/>
          <w:sz w:val="16"/>
        </w:rPr>
        <w:t xml:space="preserve">, </w:t>
      </w:r>
      <w:r>
        <w:rPr>
          <w:color w:val="231F20"/>
          <w:w w:val="105"/>
          <w:sz w:val="16"/>
        </w:rPr>
        <w:t>335; trial</w:t>
      </w:r>
    </w:p>
    <w:p w14:paraId="60A4E48C" w14:textId="77777777" w:rsidR="002653E8" w:rsidRDefault="003115E3">
      <w:pPr>
        <w:spacing w:before="32"/>
        <w:ind w:left="1527"/>
        <w:rPr>
          <w:sz w:val="16"/>
        </w:rPr>
      </w:pPr>
      <w:r>
        <w:rPr>
          <w:color w:val="231F20"/>
          <w:sz w:val="16"/>
        </w:rPr>
        <w:t>(1976-77) 600</w:t>
      </w:r>
      <w:r>
        <w:rPr>
          <w:i/>
          <w:color w:val="231F20"/>
          <w:sz w:val="16"/>
        </w:rPr>
        <w:t xml:space="preserve">, </w:t>
      </w:r>
      <w:r>
        <w:rPr>
          <w:color w:val="231F20"/>
          <w:sz w:val="16"/>
        </w:rPr>
        <w:t>606</w:t>
      </w:r>
    </w:p>
    <w:p w14:paraId="30E0C7DF" w14:textId="77777777" w:rsidR="002653E8" w:rsidRDefault="003115E3">
      <w:pPr>
        <w:spacing w:before="33" w:line="280" w:lineRule="auto"/>
        <w:ind w:left="1527" w:hanging="200"/>
        <w:rPr>
          <w:sz w:val="16"/>
        </w:rPr>
      </w:pPr>
      <w:r>
        <w:rPr>
          <w:color w:val="231F20"/>
          <w:sz w:val="16"/>
        </w:rPr>
        <w:t>Democratic and Social Center Party (Portugal) 427</w:t>
      </w:r>
    </w:p>
    <w:p w14:paraId="3A6076E6" w14:textId="77777777" w:rsidR="002653E8" w:rsidRPr="00846956" w:rsidRDefault="003115E3">
      <w:pPr>
        <w:spacing w:before="1" w:line="280" w:lineRule="auto"/>
        <w:ind w:left="1327" w:hanging="1"/>
        <w:rPr>
          <w:sz w:val="16"/>
          <w:lang w:val="de-DE"/>
        </w:rPr>
      </w:pPr>
      <w:r w:rsidRPr="00846956">
        <w:rPr>
          <w:color w:val="231F20"/>
          <w:sz w:val="16"/>
          <w:lang w:val="de-DE"/>
        </w:rPr>
        <w:t>denazification 5–6</w:t>
      </w:r>
      <w:r w:rsidRPr="00846956">
        <w:rPr>
          <w:i/>
          <w:color w:val="231F20"/>
          <w:sz w:val="16"/>
          <w:lang w:val="de-DE"/>
        </w:rPr>
        <w:t xml:space="preserve">. See also </w:t>
      </w:r>
      <w:r w:rsidRPr="00846956">
        <w:rPr>
          <w:color w:val="231F20"/>
          <w:sz w:val="16"/>
          <w:lang w:val="de-DE"/>
        </w:rPr>
        <w:t>Nazis, former Denmark 57</w:t>
      </w:r>
    </w:p>
    <w:p w14:paraId="21BE3AEF" w14:textId="77777777" w:rsidR="002653E8" w:rsidRPr="00846956" w:rsidRDefault="003115E3">
      <w:pPr>
        <w:spacing w:before="1"/>
        <w:ind w:left="1327"/>
        <w:rPr>
          <w:sz w:val="16"/>
          <w:lang w:val="de-DE"/>
        </w:rPr>
      </w:pPr>
      <w:r w:rsidRPr="00846956">
        <w:rPr>
          <w:color w:val="231F20"/>
          <w:sz w:val="16"/>
          <w:lang w:val="de-DE"/>
        </w:rPr>
        <w:t>Destroy Bild 150</w:t>
      </w:r>
    </w:p>
    <w:p w14:paraId="19E7B373" w14:textId="77777777" w:rsidR="002653E8" w:rsidRPr="00846956" w:rsidRDefault="003115E3">
      <w:pPr>
        <w:spacing w:before="32"/>
        <w:ind w:left="1327"/>
        <w:rPr>
          <w:sz w:val="16"/>
          <w:lang w:val="de-DE"/>
        </w:rPr>
      </w:pPr>
      <w:r w:rsidRPr="00846956">
        <w:rPr>
          <w:color w:val="231F20"/>
          <w:sz w:val="16"/>
          <w:lang w:val="de-DE"/>
        </w:rPr>
        <w:t>Deutsche Bank 138</w:t>
      </w:r>
      <w:r w:rsidRPr="00846956">
        <w:rPr>
          <w:i/>
          <w:color w:val="231F20"/>
          <w:sz w:val="16"/>
          <w:lang w:val="de-DE"/>
        </w:rPr>
        <w:t xml:space="preserve">, </w:t>
      </w:r>
      <w:r w:rsidRPr="00846956">
        <w:rPr>
          <w:color w:val="231F20"/>
          <w:sz w:val="16"/>
          <w:lang w:val="de-DE"/>
        </w:rPr>
        <w:t>619</w:t>
      </w:r>
    </w:p>
    <w:p w14:paraId="68DC0756" w14:textId="77777777" w:rsidR="002653E8" w:rsidRPr="00846956" w:rsidRDefault="003115E3">
      <w:pPr>
        <w:spacing w:before="33" w:line="280" w:lineRule="auto"/>
        <w:ind w:left="1327"/>
        <w:rPr>
          <w:sz w:val="16"/>
          <w:lang w:val="de-DE"/>
        </w:rPr>
      </w:pPr>
      <w:r w:rsidRPr="00846956">
        <w:rPr>
          <w:color w:val="231F20"/>
          <w:sz w:val="16"/>
          <w:lang w:val="de-DE"/>
        </w:rPr>
        <w:t>Deutsche Forschungsgesellschaft 285 Deutsche Kommunistische Partei</w:t>
      </w:r>
      <w:r w:rsidRPr="00846956">
        <w:rPr>
          <w:i/>
          <w:color w:val="231F20"/>
          <w:sz w:val="16"/>
          <w:lang w:val="de-DE"/>
        </w:rPr>
        <w:t xml:space="preserve">. See </w:t>
      </w:r>
      <w:r w:rsidRPr="00846956">
        <w:rPr>
          <w:color w:val="231F20"/>
          <w:sz w:val="16"/>
          <w:lang w:val="de-DE"/>
        </w:rPr>
        <w:t>DKP</w:t>
      </w:r>
    </w:p>
    <w:p w14:paraId="5C124FCC" w14:textId="77777777" w:rsidR="002653E8" w:rsidRPr="00846956" w:rsidRDefault="003115E3">
      <w:pPr>
        <w:spacing w:before="1" w:line="280" w:lineRule="auto"/>
        <w:ind w:left="1327" w:firstLine="200"/>
        <w:rPr>
          <w:sz w:val="16"/>
          <w:lang w:val="de-DE"/>
        </w:rPr>
      </w:pPr>
      <w:r w:rsidRPr="00846956">
        <w:rPr>
          <w:color w:val="231F20"/>
          <w:sz w:val="16"/>
          <w:lang w:val="de-DE"/>
        </w:rPr>
        <w:t>(Deutsche Kommunistische Partei) Deutschen Gewerkschaftsbund</w:t>
      </w:r>
      <w:r w:rsidRPr="00846956">
        <w:rPr>
          <w:i/>
          <w:color w:val="231F20"/>
          <w:sz w:val="16"/>
          <w:lang w:val="de-DE"/>
        </w:rPr>
        <w:t xml:space="preserve">. See </w:t>
      </w:r>
      <w:r w:rsidRPr="00846956">
        <w:rPr>
          <w:color w:val="231F20"/>
          <w:sz w:val="16"/>
          <w:lang w:val="de-DE"/>
        </w:rPr>
        <w:t>Ger-</w:t>
      </w:r>
    </w:p>
    <w:p w14:paraId="458C31FB" w14:textId="77777777" w:rsidR="002653E8" w:rsidRPr="00846956" w:rsidRDefault="003115E3">
      <w:pPr>
        <w:spacing w:before="1" w:line="280" w:lineRule="auto"/>
        <w:ind w:left="1327" w:right="477" w:firstLine="200"/>
        <w:rPr>
          <w:sz w:val="16"/>
          <w:lang w:val="de-DE"/>
        </w:rPr>
      </w:pPr>
      <w:r w:rsidRPr="00846956">
        <w:rPr>
          <w:color w:val="231F20"/>
          <w:w w:val="105"/>
          <w:sz w:val="16"/>
          <w:lang w:val="de-DE"/>
        </w:rPr>
        <w:t xml:space="preserve">man Union Association </w:t>
      </w:r>
      <w:r w:rsidRPr="00846956">
        <w:rPr>
          <w:i/>
          <w:color w:val="231F20"/>
          <w:w w:val="105"/>
          <w:sz w:val="16"/>
          <w:lang w:val="de-DE"/>
        </w:rPr>
        <w:t xml:space="preserve">Deutsche Volkszeitung </w:t>
      </w:r>
      <w:r w:rsidRPr="00846956">
        <w:rPr>
          <w:color w:val="231F20"/>
          <w:w w:val="105"/>
          <w:sz w:val="16"/>
          <w:lang w:val="de-DE"/>
        </w:rPr>
        <w:t xml:space="preserve">90 </w:t>
      </w:r>
      <w:r w:rsidRPr="00846956">
        <w:rPr>
          <w:i/>
          <w:color w:val="231F20"/>
          <w:w w:val="105"/>
          <w:sz w:val="16"/>
          <w:lang w:val="de-DE"/>
        </w:rPr>
        <w:t xml:space="preserve">Deutschland im Herbst </w:t>
      </w:r>
      <w:r w:rsidRPr="00846956">
        <w:rPr>
          <w:color w:val="231F20"/>
          <w:w w:val="105"/>
          <w:sz w:val="16"/>
          <w:lang w:val="de-DE"/>
        </w:rPr>
        <w:t>610 Dinnawi, ‘Abd al-Qadir ad191 Ditfurth, Christian von 306 Ditfurth, Jutta 53</w:t>
      </w:r>
      <w:r w:rsidRPr="00846956">
        <w:rPr>
          <w:i/>
          <w:color w:val="231F20"/>
          <w:w w:val="105"/>
          <w:sz w:val="16"/>
          <w:lang w:val="de-DE"/>
        </w:rPr>
        <w:t xml:space="preserve">, </w:t>
      </w:r>
      <w:r w:rsidRPr="00846956">
        <w:rPr>
          <w:color w:val="231F20"/>
          <w:w w:val="105"/>
          <w:sz w:val="16"/>
          <w:lang w:val="de-DE"/>
        </w:rPr>
        <w:t>201</w:t>
      </w:r>
      <w:r w:rsidRPr="00846956">
        <w:rPr>
          <w:i/>
          <w:color w:val="231F20"/>
          <w:w w:val="105"/>
          <w:sz w:val="16"/>
          <w:lang w:val="de-DE"/>
        </w:rPr>
        <w:t xml:space="preserve">, </w:t>
      </w:r>
      <w:r w:rsidRPr="00846956">
        <w:rPr>
          <w:color w:val="231F20"/>
          <w:w w:val="105"/>
          <w:sz w:val="16"/>
          <w:lang w:val="de-DE"/>
        </w:rPr>
        <w:t>393</w:t>
      </w:r>
      <w:r w:rsidRPr="00846956">
        <w:rPr>
          <w:i/>
          <w:color w:val="231F20"/>
          <w:w w:val="105"/>
          <w:sz w:val="16"/>
          <w:lang w:val="de-DE"/>
        </w:rPr>
        <w:t xml:space="preserve">, </w:t>
      </w:r>
      <w:r w:rsidRPr="00846956">
        <w:rPr>
          <w:color w:val="231F20"/>
          <w:w w:val="105"/>
          <w:sz w:val="16"/>
          <w:lang w:val="de-DE"/>
        </w:rPr>
        <w:t>558</w:t>
      </w:r>
    </w:p>
    <w:p w14:paraId="2E66411A" w14:textId="77777777" w:rsidR="002653E8" w:rsidRPr="00846956" w:rsidRDefault="003115E3">
      <w:pPr>
        <w:spacing w:before="3" w:line="280" w:lineRule="auto"/>
        <w:ind w:left="1527" w:hanging="200"/>
        <w:rPr>
          <w:sz w:val="16"/>
          <w:lang w:val="de-DE"/>
        </w:rPr>
      </w:pPr>
      <w:r w:rsidRPr="00846956">
        <w:rPr>
          <w:color w:val="231F20"/>
          <w:sz w:val="16"/>
          <w:lang w:val="de-DE"/>
        </w:rPr>
        <w:t>DKP (Deutsche Kommunistische Partei) 42–43</w:t>
      </w:r>
      <w:r w:rsidRPr="00846956">
        <w:rPr>
          <w:i/>
          <w:color w:val="231F20"/>
          <w:sz w:val="16"/>
          <w:lang w:val="de-DE"/>
        </w:rPr>
        <w:t xml:space="preserve">, </w:t>
      </w:r>
      <w:r w:rsidRPr="00846956">
        <w:rPr>
          <w:color w:val="231F20"/>
          <w:sz w:val="16"/>
          <w:lang w:val="de-DE"/>
        </w:rPr>
        <w:t>140</w:t>
      </w:r>
      <w:r w:rsidRPr="00846956">
        <w:rPr>
          <w:i/>
          <w:color w:val="231F20"/>
          <w:sz w:val="16"/>
          <w:lang w:val="de-DE"/>
        </w:rPr>
        <w:t xml:space="preserve">. See also </w:t>
      </w:r>
      <w:r w:rsidRPr="00846956">
        <w:rPr>
          <w:color w:val="231F20"/>
          <w:sz w:val="16"/>
          <w:lang w:val="de-DE"/>
        </w:rPr>
        <w:t>KPD (Kommunistische Partei Deutschlands) [pro-</w:t>
      </w:r>
    </w:p>
    <w:p w14:paraId="23DC50E6" w14:textId="77777777" w:rsidR="002653E8" w:rsidRDefault="003115E3">
      <w:pPr>
        <w:spacing w:before="86" w:line="280" w:lineRule="auto"/>
        <w:ind w:left="440" w:right="1144"/>
        <w:rPr>
          <w:sz w:val="16"/>
        </w:rPr>
      </w:pPr>
      <w:r w:rsidRPr="006918DA">
        <w:br w:type="column"/>
      </w:r>
      <w:r>
        <w:rPr>
          <w:color w:val="231F20"/>
          <w:sz w:val="16"/>
        </w:rPr>
        <w:t xml:space="preserve">Soviet]; conservatism 169; criticized by </w:t>
      </w:r>
      <w:r w:rsidR="00C507A5">
        <w:rPr>
          <w:color w:val="231F20"/>
          <w:sz w:val="16"/>
        </w:rPr>
        <w:t>red army faction</w:t>
      </w:r>
      <w:r>
        <w:rPr>
          <w:color w:val="231F20"/>
          <w:sz w:val="16"/>
        </w:rPr>
        <w:t xml:space="preserve"> 88</w:t>
      </w:r>
      <w:r>
        <w:rPr>
          <w:i/>
          <w:color w:val="231F20"/>
          <w:sz w:val="16"/>
        </w:rPr>
        <w:t xml:space="preserve">, </w:t>
      </w:r>
      <w:r>
        <w:rPr>
          <w:color w:val="231F20"/>
          <w:sz w:val="16"/>
        </w:rPr>
        <w:t>140</w:t>
      </w:r>
      <w:r>
        <w:rPr>
          <w:i/>
          <w:color w:val="231F20"/>
          <w:sz w:val="16"/>
        </w:rPr>
        <w:t xml:space="preserve">, </w:t>
      </w:r>
      <w:r>
        <w:rPr>
          <w:color w:val="231F20"/>
          <w:sz w:val="16"/>
        </w:rPr>
        <w:t>424; mentioned by the</w:t>
      </w:r>
    </w:p>
    <w:p w14:paraId="561841D9" w14:textId="77777777" w:rsidR="002653E8" w:rsidRDefault="00C507A5">
      <w:pPr>
        <w:spacing w:before="1"/>
        <w:ind w:left="440"/>
        <w:rPr>
          <w:sz w:val="16"/>
        </w:rPr>
      </w:pPr>
      <w:r>
        <w:rPr>
          <w:color w:val="231F20"/>
          <w:w w:val="110"/>
          <w:sz w:val="16"/>
        </w:rPr>
        <w:t>red army faction</w:t>
      </w:r>
      <w:r w:rsidR="003115E3">
        <w:rPr>
          <w:color w:val="231F20"/>
          <w:w w:val="110"/>
          <w:sz w:val="16"/>
        </w:rPr>
        <w:t xml:space="preserve"> 95</w:t>
      </w:r>
      <w:r w:rsidR="003115E3">
        <w:rPr>
          <w:i/>
          <w:color w:val="231F20"/>
          <w:w w:val="110"/>
          <w:sz w:val="16"/>
        </w:rPr>
        <w:t xml:space="preserve">, </w:t>
      </w:r>
      <w:r w:rsidR="003115E3">
        <w:rPr>
          <w:color w:val="231F20"/>
          <w:w w:val="110"/>
          <w:sz w:val="16"/>
        </w:rPr>
        <w:t>130</w:t>
      </w:r>
      <w:r w:rsidR="003115E3">
        <w:rPr>
          <w:i/>
          <w:color w:val="231F20"/>
          <w:w w:val="110"/>
          <w:sz w:val="16"/>
        </w:rPr>
        <w:t xml:space="preserve">, </w:t>
      </w:r>
      <w:r w:rsidR="003115E3">
        <w:rPr>
          <w:color w:val="231F20"/>
          <w:w w:val="110"/>
          <w:sz w:val="16"/>
        </w:rPr>
        <w:t>152</w:t>
      </w:r>
    </w:p>
    <w:p w14:paraId="7BA307CE" w14:textId="77777777" w:rsidR="002653E8" w:rsidRDefault="003115E3">
      <w:pPr>
        <w:spacing w:before="33"/>
        <w:ind w:left="240"/>
        <w:rPr>
          <w:sz w:val="16"/>
        </w:rPr>
      </w:pPr>
      <w:r>
        <w:rPr>
          <w:color w:val="231F20"/>
          <w:sz w:val="16"/>
        </w:rPr>
        <w:t>Dollinger, Fredericke 32</w:t>
      </w:r>
    </w:p>
    <w:p w14:paraId="386F7235" w14:textId="77777777" w:rsidR="002653E8" w:rsidRPr="00846956" w:rsidRDefault="003115E3">
      <w:pPr>
        <w:spacing w:before="32" w:line="280" w:lineRule="auto"/>
        <w:ind w:left="240" w:right="1144"/>
        <w:rPr>
          <w:sz w:val="16"/>
          <w:lang w:val="de-DE"/>
        </w:rPr>
      </w:pPr>
      <w:r w:rsidRPr="00846956">
        <w:rPr>
          <w:color w:val="231F20"/>
          <w:sz w:val="16"/>
          <w:lang w:val="de-DE"/>
        </w:rPr>
        <w:t>DPA (Deutsche Presse Agentur) 608</w:t>
      </w:r>
      <w:r w:rsidRPr="00846956">
        <w:rPr>
          <w:i/>
          <w:color w:val="231F20"/>
          <w:sz w:val="16"/>
          <w:lang w:val="de-DE"/>
        </w:rPr>
        <w:t xml:space="preserve">, </w:t>
      </w:r>
      <w:r w:rsidRPr="00846956">
        <w:rPr>
          <w:color w:val="231F20"/>
          <w:sz w:val="16"/>
          <w:lang w:val="de-DE"/>
        </w:rPr>
        <w:t>611 draft dodgers</w:t>
      </w:r>
      <w:r w:rsidRPr="00846956">
        <w:rPr>
          <w:i/>
          <w:color w:val="231F20"/>
          <w:sz w:val="16"/>
          <w:lang w:val="de-DE"/>
        </w:rPr>
        <w:t xml:space="preserve">. See </w:t>
      </w:r>
      <w:r w:rsidRPr="00846956">
        <w:rPr>
          <w:color w:val="231F20"/>
          <w:sz w:val="16"/>
          <w:lang w:val="de-DE"/>
        </w:rPr>
        <w:t>West Berlin: draft</w:t>
      </w:r>
    </w:p>
    <w:p w14:paraId="267D2536" w14:textId="77777777" w:rsidR="002653E8" w:rsidRPr="00846956" w:rsidRDefault="003115E3">
      <w:pPr>
        <w:spacing w:before="1"/>
        <w:ind w:left="440"/>
        <w:rPr>
          <w:sz w:val="16"/>
          <w:lang w:val="de-DE"/>
        </w:rPr>
      </w:pPr>
      <w:r w:rsidRPr="00846956">
        <w:rPr>
          <w:color w:val="231F20"/>
          <w:sz w:val="16"/>
          <w:lang w:val="de-DE"/>
        </w:rPr>
        <w:t>dodgers</w:t>
      </w:r>
    </w:p>
    <w:p w14:paraId="2A0946CF" w14:textId="77777777" w:rsidR="002653E8" w:rsidRPr="00846956" w:rsidRDefault="003115E3">
      <w:pPr>
        <w:spacing w:before="33"/>
        <w:ind w:left="240"/>
        <w:rPr>
          <w:sz w:val="16"/>
          <w:lang w:val="de-DE"/>
        </w:rPr>
      </w:pPr>
      <w:r w:rsidRPr="00846956">
        <w:rPr>
          <w:color w:val="231F20"/>
          <w:w w:val="105"/>
          <w:sz w:val="16"/>
          <w:lang w:val="de-DE"/>
        </w:rPr>
        <w:t>Dregger, Alfred 229</w:t>
      </w:r>
      <w:r w:rsidRPr="00846956">
        <w:rPr>
          <w:i/>
          <w:color w:val="231F20"/>
          <w:w w:val="105"/>
          <w:sz w:val="16"/>
          <w:lang w:val="de-DE"/>
        </w:rPr>
        <w:t xml:space="preserve">, </w:t>
      </w:r>
      <w:r w:rsidRPr="00846956">
        <w:rPr>
          <w:color w:val="231F20"/>
          <w:w w:val="105"/>
          <w:sz w:val="16"/>
          <w:lang w:val="de-DE"/>
        </w:rPr>
        <w:t>331</w:t>
      </w:r>
      <w:r w:rsidRPr="00846956">
        <w:rPr>
          <w:i/>
          <w:color w:val="231F20"/>
          <w:w w:val="105"/>
          <w:sz w:val="16"/>
          <w:lang w:val="de-DE"/>
        </w:rPr>
        <w:t xml:space="preserve">, </w:t>
      </w:r>
      <w:r w:rsidRPr="00846956">
        <w:rPr>
          <w:color w:val="231F20"/>
          <w:w w:val="105"/>
          <w:sz w:val="16"/>
          <w:lang w:val="de-DE"/>
        </w:rPr>
        <w:t>532</w:t>
      </w:r>
      <w:r w:rsidRPr="00846956">
        <w:rPr>
          <w:i/>
          <w:color w:val="231F20"/>
          <w:w w:val="105"/>
          <w:sz w:val="16"/>
          <w:lang w:val="de-DE"/>
        </w:rPr>
        <w:t xml:space="preserve">, </w:t>
      </w:r>
      <w:r w:rsidRPr="00846956">
        <w:rPr>
          <w:color w:val="231F20"/>
          <w:w w:val="105"/>
          <w:sz w:val="16"/>
          <w:lang w:val="de-DE"/>
        </w:rPr>
        <w:t>566</w:t>
      </w:r>
    </w:p>
    <w:p w14:paraId="40EE43E6" w14:textId="77777777" w:rsidR="002653E8" w:rsidRPr="00846956" w:rsidRDefault="003115E3">
      <w:pPr>
        <w:spacing w:before="32"/>
        <w:ind w:left="240"/>
        <w:rPr>
          <w:sz w:val="16"/>
          <w:lang w:val="de-DE"/>
        </w:rPr>
      </w:pPr>
      <w:r w:rsidRPr="00846956">
        <w:rPr>
          <w:color w:val="231F20"/>
          <w:sz w:val="16"/>
          <w:lang w:val="de-DE"/>
        </w:rPr>
        <w:t>Dreher, Eberhard 243</w:t>
      </w:r>
    </w:p>
    <w:p w14:paraId="0FAF9A16" w14:textId="77777777" w:rsidR="002653E8" w:rsidRDefault="003115E3">
      <w:pPr>
        <w:spacing w:before="32" w:line="280" w:lineRule="auto"/>
        <w:ind w:left="440" w:right="1144" w:hanging="200"/>
        <w:rPr>
          <w:sz w:val="16"/>
        </w:rPr>
      </w:pPr>
      <w:r w:rsidRPr="00846956">
        <w:rPr>
          <w:color w:val="231F20"/>
          <w:w w:val="105"/>
          <w:sz w:val="16"/>
          <w:lang w:val="de-DE"/>
        </w:rPr>
        <w:t>Drenkmann, Günter von 262</w:t>
      </w:r>
      <w:r w:rsidRPr="00846956">
        <w:rPr>
          <w:i/>
          <w:color w:val="231F20"/>
          <w:w w:val="105"/>
          <w:sz w:val="16"/>
          <w:lang w:val="de-DE"/>
        </w:rPr>
        <w:t xml:space="preserve">, </w:t>
      </w:r>
      <w:r w:rsidRPr="00846956">
        <w:rPr>
          <w:color w:val="231F20"/>
          <w:w w:val="105"/>
          <w:sz w:val="16"/>
          <w:lang w:val="de-DE"/>
        </w:rPr>
        <w:t>566</w:t>
      </w:r>
      <w:r w:rsidRPr="00846956">
        <w:rPr>
          <w:i/>
          <w:color w:val="231F20"/>
          <w:w w:val="105"/>
          <w:sz w:val="16"/>
          <w:lang w:val="de-DE"/>
        </w:rPr>
        <w:t xml:space="preserve">, </w:t>
      </w:r>
      <w:r w:rsidRPr="00846956">
        <w:rPr>
          <w:color w:val="231F20"/>
          <w:w w:val="105"/>
          <w:sz w:val="16"/>
          <w:lang w:val="de-DE"/>
        </w:rPr>
        <w:t>595</w:t>
      </w:r>
      <w:r w:rsidRPr="00846956">
        <w:rPr>
          <w:i/>
          <w:color w:val="231F20"/>
          <w:w w:val="105"/>
          <w:sz w:val="16"/>
          <w:lang w:val="de-DE"/>
        </w:rPr>
        <w:t xml:space="preserve">. </w:t>
      </w:r>
      <w:r>
        <w:rPr>
          <w:i/>
          <w:color w:val="231F20"/>
          <w:w w:val="105"/>
          <w:sz w:val="16"/>
        </w:rPr>
        <w:t xml:space="preserve">See also </w:t>
      </w:r>
      <w:r>
        <w:rPr>
          <w:color w:val="231F20"/>
          <w:w w:val="105"/>
          <w:sz w:val="16"/>
        </w:rPr>
        <w:t>2nd of June Movement: Drenkmann assassination (1974)</w:t>
      </w:r>
    </w:p>
    <w:p w14:paraId="5EB6F510" w14:textId="77777777" w:rsidR="002653E8" w:rsidRDefault="003115E3">
      <w:pPr>
        <w:spacing w:before="2"/>
        <w:ind w:left="240"/>
        <w:rPr>
          <w:sz w:val="16"/>
        </w:rPr>
      </w:pPr>
      <w:r>
        <w:rPr>
          <w:color w:val="231F20"/>
          <w:sz w:val="16"/>
        </w:rPr>
        <w:t>Dresdner Bank 606</w:t>
      </w:r>
    </w:p>
    <w:p w14:paraId="2BE4540F" w14:textId="77777777" w:rsidR="002653E8" w:rsidRDefault="003115E3">
      <w:pPr>
        <w:spacing w:before="33" w:line="280" w:lineRule="auto"/>
        <w:ind w:left="440" w:right="1144" w:hanging="200"/>
        <w:rPr>
          <w:sz w:val="16"/>
        </w:rPr>
      </w:pPr>
      <w:r>
        <w:rPr>
          <w:color w:val="231F20"/>
          <w:sz w:val="16"/>
        </w:rPr>
        <w:t>DST (Direction de la Surveillance du Territoire) 504</w:t>
      </w:r>
    </w:p>
    <w:p w14:paraId="717996D7" w14:textId="77777777" w:rsidR="002653E8" w:rsidRPr="00846956" w:rsidRDefault="003115E3">
      <w:pPr>
        <w:spacing w:before="1"/>
        <w:ind w:left="240"/>
        <w:rPr>
          <w:sz w:val="16"/>
          <w:lang w:val="de-DE"/>
        </w:rPr>
      </w:pPr>
      <w:r w:rsidRPr="00846956">
        <w:rPr>
          <w:color w:val="231F20"/>
          <w:w w:val="105"/>
          <w:sz w:val="16"/>
          <w:lang w:val="de-DE"/>
        </w:rPr>
        <w:t>Dubai 484</w:t>
      </w:r>
    </w:p>
    <w:p w14:paraId="609CBCAD" w14:textId="77777777" w:rsidR="002653E8" w:rsidRPr="00846956" w:rsidRDefault="003115E3">
      <w:pPr>
        <w:spacing w:before="32"/>
        <w:ind w:left="240"/>
        <w:rPr>
          <w:sz w:val="16"/>
          <w:lang w:val="de-DE"/>
        </w:rPr>
      </w:pPr>
      <w:r w:rsidRPr="00846956">
        <w:rPr>
          <w:color w:val="231F20"/>
          <w:sz w:val="16"/>
          <w:lang w:val="de-DE"/>
        </w:rPr>
        <w:t>Duensing, Erich 34</w:t>
      </w:r>
    </w:p>
    <w:p w14:paraId="77FF1B60" w14:textId="77777777" w:rsidR="002653E8" w:rsidRPr="00846956" w:rsidRDefault="003115E3">
      <w:pPr>
        <w:spacing w:before="32"/>
        <w:ind w:left="240"/>
        <w:rPr>
          <w:i/>
          <w:sz w:val="16"/>
          <w:lang w:val="de-DE"/>
        </w:rPr>
      </w:pPr>
      <w:r w:rsidRPr="00846956">
        <w:rPr>
          <w:color w:val="231F20"/>
          <w:w w:val="105"/>
          <w:sz w:val="16"/>
          <w:lang w:val="de-DE"/>
        </w:rPr>
        <w:t>Dümlein, Christine 566</w:t>
      </w:r>
      <w:r w:rsidRPr="00846956">
        <w:rPr>
          <w:i/>
          <w:color w:val="231F20"/>
          <w:w w:val="105"/>
          <w:sz w:val="16"/>
          <w:lang w:val="de-DE"/>
        </w:rPr>
        <w:t xml:space="preserve">, </w:t>
      </w:r>
      <w:r w:rsidRPr="00846956">
        <w:rPr>
          <w:color w:val="231F20"/>
          <w:w w:val="105"/>
          <w:sz w:val="16"/>
          <w:lang w:val="de-DE"/>
        </w:rPr>
        <w:t>614</w:t>
      </w:r>
      <w:r w:rsidRPr="00846956">
        <w:rPr>
          <w:i/>
          <w:color w:val="231F20"/>
          <w:w w:val="105"/>
          <w:sz w:val="16"/>
          <w:lang w:val="de-DE"/>
        </w:rPr>
        <w:t xml:space="preserve">, </w:t>
      </w:r>
      <w:r w:rsidRPr="00846956">
        <w:rPr>
          <w:color w:val="231F20"/>
          <w:w w:val="105"/>
          <w:sz w:val="16"/>
          <w:lang w:val="de-DE"/>
        </w:rPr>
        <w:t>620</w:t>
      </w:r>
      <w:r w:rsidRPr="00846956">
        <w:rPr>
          <w:i/>
          <w:color w:val="231F20"/>
          <w:w w:val="105"/>
          <w:sz w:val="16"/>
          <w:lang w:val="de-DE"/>
        </w:rPr>
        <w:t>,</w:t>
      </w:r>
    </w:p>
    <w:p w14:paraId="10CA2C9C" w14:textId="77777777" w:rsidR="002653E8" w:rsidRPr="00846956" w:rsidRDefault="003115E3">
      <w:pPr>
        <w:spacing w:before="33"/>
        <w:ind w:left="440"/>
        <w:rPr>
          <w:sz w:val="16"/>
          <w:lang w:val="de-DE"/>
        </w:rPr>
      </w:pPr>
      <w:r w:rsidRPr="00846956">
        <w:rPr>
          <w:color w:val="231F20"/>
          <w:sz w:val="16"/>
          <w:lang w:val="de-DE"/>
        </w:rPr>
        <w:t>620–621</w:t>
      </w:r>
    </w:p>
    <w:p w14:paraId="371E2487" w14:textId="77777777" w:rsidR="002653E8" w:rsidRPr="00846956" w:rsidRDefault="003115E3">
      <w:pPr>
        <w:spacing w:before="32"/>
        <w:ind w:left="240"/>
        <w:rPr>
          <w:sz w:val="16"/>
          <w:lang w:val="de-DE"/>
        </w:rPr>
      </w:pPr>
      <w:r w:rsidRPr="00846956">
        <w:rPr>
          <w:color w:val="231F20"/>
          <w:sz w:val="16"/>
          <w:lang w:val="de-DE"/>
        </w:rPr>
        <w:t>Dürrenmatt, Friedrich 85</w:t>
      </w:r>
    </w:p>
    <w:p w14:paraId="1A6C304D" w14:textId="77777777" w:rsidR="002653E8" w:rsidRDefault="003115E3">
      <w:pPr>
        <w:spacing w:before="33"/>
        <w:ind w:left="240"/>
        <w:rPr>
          <w:sz w:val="16"/>
        </w:rPr>
      </w:pPr>
      <w:r>
        <w:rPr>
          <w:color w:val="231F20"/>
          <w:w w:val="105"/>
          <w:sz w:val="16"/>
        </w:rPr>
        <w:t>Dutschke, Rudi 137</w:t>
      </w:r>
      <w:r>
        <w:rPr>
          <w:i/>
          <w:color w:val="231F20"/>
          <w:w w:val="105"/>
          <w:sz w:val="16"/>
        </w:rPr>
        <w:t xml:space="preserve">, </w:t>
      </w:r>
      <w:r>
        <w:rPr>
          <w:color w:val="231F20"/>
          <w:w w:val="105"/>
          <w:sz w:val="16"/>
        </w:rPr>
        <w:t>247</w:t>
      </w:r>
      <w:r>
        <w:rPr>
          <w:i/>
          <w:color w:val="231F20"/>
          <w:w w:val="105"/>
          <w:sz w:val="16"/>
        </w:rPr>
        <w:t xml:space="preserve">, </w:t>
      </w:r>
      <w:r>
        <w:rPr>
          <w:color w:val="231F20"/>
          <w:w w:val="105"/>
          <w:sz w:val="16"/>
        </w:rPr>
        <w:t>566; in APO</w:t>
      </w:r>
    </w:p>
    <w:p w14:paraId="4385CAF8" w14:textId="77777777" w:rsidR="002653E8" w:rsidRDefault="003115E3">
      <w:pPr>
        <w:spacing w:before="32"/>
        <w:ind w:left="440"/>
        <w:rPr>
          <w:sz w:val="16"/>
        </w:rPr>
      </w:pPr>
      <w:r>
        <w:rPr>
          <w:color w:val="231F20"/>
          <w:w w:val="105"/>
          <w:sz w:val="16"/>
        </w:rPr>
        <w:t>30</w:t>
      </w:r>
      <w:r>
        <w:rPr>
          <w:i/>
          <w:color w:val="231F20"/>
          <w:w w:val="105"/>
          <w:sz w:val="16"/>
        </w:rPr>
        <w:t xml:space="preserve">, </w:t>
      </w:r>
      <w:r>
        <w:rPr>
          <w:color w:val="231F20"/>
          <w:w w:val="105"/>
          <w:sz w:val="16"/>
        </w:rPr>
        <w:t>35</w:t>
      </w:r>
      <w:r>
        <w:rPr>
          <w:i/>
          <w:color w:val="231F20"/>
          <w:w w:val="105"/>
          <w:sz w:val="16"/>
        </w:rPr>
        <w:t xml:space="preserve">, </w:t>
      </w:r>
      <w:r>
        <w:rPr>
          <w:color w:val="231F20"/>
          <w:w w:val="105"/>
          <w:sz w:val="16"/>
        </w:rPr>
        <w:t>579</w:t>
      </w:r>
      <w:r>
        <w:rPr>
          <w:i/>
          <w:color w:val="231F20"/>
          <w:w w:val="105"/>
          <w:sz w:val="16"/>
        </w:rPr>
        <w:t xml:space="preserve">, </w:t>
      </w:r>
      <w:r>
        <w:rPr>
          <w:color w:val="231F20"/>
          <w:w w:val="105"/>
          <w:sz w:val="16"/>
        </w:rPr>
        <w:t>581; attempted assassina-</w:t>
      </w:r>
    </w:p>
    <w:p w14:paraId="7EC8737E" w14:textId="77777777" w:rsidR="002653E8" w:rsidRDefault="003115E3">
      <w:pPr>
        <w:spacing w:before="33"/>
        <w:ind w:left="440"/>
        <w:rPr>
          <w:i/>
          <w:sz w:val="16"/>
        </w:rPr>
      </w:pPr>
      <w:r>
        <w:rPr>
          <w:color w:val="231F20"/>
          <w:sz w:val="16"/>
        </w:rPr>
        <w:t>tion 36</w:t>
      </w:r>
      <w:r>
        <w:rPr>
          <w:i/>
          <w:color w:val="231F20"/>
          <w:sz w:val="16"/>
        </w:rPr>
        <w:t xml:space="preserve">, </w:t>
      </w:r>
      <w:r>
        <w:rPr>
          <w:color w:val="231F20"/>
          <w:sz w:val="16"/>
        </w:rPr>
        <w:t>226</w:t>
      </w:r>
      <w:r>
        <w:rPr>
          <w:i/>
          <w:color w:val="231F20"/>
          <w:sz w:val="16"/>
        </w:rPr>
        <w:t xml:space="preserve">, </w:t>
      </w:r>
      <w:r>
        <w:rPr>
          <w:color w:val="231F20"/>
          <w:sz w:val="16"/>
        </w:rPr>
        <w:t>582; on guerilla 35</w:t>
      </w:r>
      <w:r>
        <w:rPr>
          <w:i/>
          <w:color w:val="231F20"/>
          <w:sz w:val="16"/>
        </w:rPr>
        <w:t>,</w:t>
      </w:r>
    </w:p>
    <w:p w14:paraId="6B039C16" w14:textId="77777777" w:rsidR="002653E8" w:rsidRDefault="003115E3">
      <w:pPr>
        <w:spacing w:before="32"/>
        <w:ind w:left="440"/>
        <w:rPr>
          <w:sz w:val="16"/>
        </w:rPr>
      </w:pPr>
      <w:r>
        <w:rPr>
          <w:color w:val="231F20"/>
          <w:sz w:val="16"/>
        </w:rPr>
        <w:t>257</w:t>
      </w:r>
      <w:r>
        <w:rPr>
          <w:i/>
          <w:color w:val="231F20"/>
          <w:sz w:val="16"/>
        </w:rPr>
        <w:t xml:space="preserve">, </w:t>
      </w:r>
      <w:r>
        <w:rPr>
          <w:color w:val="231F20"/>
          <w:sz w:val="16"/>
        </w:rPr>
        <w:t>538</w:t>
      </w:r>
      <w:r>
        <w:rPr>
          <w:i/>
          <w:color w:val="231F20"/>
          <w:sz w:val="16"/>
        </w:rPr>
        <w:t xml:space="preserve">, </w:t>
      </w:r>
      <w:r>
        <w:rPr>
          <w:color w:val="231F20"/>
          <w:sz w:val="16"/>
        </w:rPr>
        <w:t>581; long march through the</w:t>
      </w:r>
    </w:p>
    <w:p w14:paraId="0487E6D1" w14:textId="77777777" w:rsidR="002653E8" w:rsidRPr="00846956" w:rsidRDefault="003115E3">
      <w:pPr>
        <w:spacing w:before="32"/>
        <w:ind w:left="440"/>
        <w:rPr>
          <w:sz w:val="16"/>
          <w:lang w:val="de-DE"/>
        </w:rPr>
      </w:pPr>
      <w:r w:rsidRPr="00846956">
        <w:rPr>
          <w:color w:val="231F20"/>
          <w:w w:val="105"/>
          <w:sz w:val="16"/>
          <w:lang w:val="de-DE"/>
        </w:rPr>
        <w:t>institutions 35</w:t>
      </w:r>
      <w:r w:rsidRPr="00846956">
        <w:rPr>
          <w:i/>
          <w:color w:val="231F20"/>
          <w:w w:val="105"/>
          <w:sz w:val="16"/>
          <w:lang w:val="de-DE"/>
        </w:rPr>
        <w:t xml:space="preserve">, </w:t>
      </w:r>
      <w:r w:rsidRPr="00846956">
        <w:rPr>
          <w:color w:val="231F20"/>
          <w:w w:val="105"/>
          <w:sz w:val="16"/>
          <w:lang w:val="de-DE"/>
        </w:rPr>
        <w:t>424; at Holger Meins’</w:t>
      </w:r>
    </w:p>
    <w:p w14:paraId="6CAE85E9" w14:textId="77777777" w:rsidR="002653E8" w:rsidRPr="00846956" w:rsidRDefault="003115E3">
      <w:pPr>
        <w:spacing w:before="33"/>
        <w:ind w:left="440"/>
        <w:rPr>
          <w:sz w:val="16"/>
          <w:lang w:val="de-DE"/>
        </w:rPr>
      </w:pPr>
      <w:r w:rsidRPr="00846956">
        <w:rPr>
          <w:color w:val="231F20"/>
          <w:sz w:val="16"/>
          <w:lang w:val="de-DE"/>
        </w:rPr>
        <w:t>funeral 265</w:t>
      </w:r>
      <w:r w:rsidRPr="00846956">
        <w:rPr>
          <w:i/>
          <w:color w:val="231F20"/>
          <w:sz w:val="16"/>
          <w:lang w:val="de-DE"/>
        </w:rPr>
        <w:t xml:space="preserve">, </w:t>
      </w:r>
      <w:r w:rsidRPr="00846956">
        <w:rPr>
          <w:color w:val="231F20"/>
          <w:sz w:val="16"/>
          <w:lang w:val="de-DE"/>
        </w:rPr>
        <w:t>595</w:t>
      </w:r>
    </w:p>
    <w:p w14:paraId="7E543F5D" w14:textId="77777777" w:rsidR="002653E8" w:rsidRPr="00846956" w:rsidRDefault="003115E3">
      <w:pPr>
        <w:spacing w:before="32"/>
        <w:ind w:left="240"/>
        <w:rPr>
          <w:sz w:val="16"/>
          <w:lang w:val="de-DE"/>
        </w:rPr>
      </w:pPr>
      <w:r w:rsidRPr="00846956">
        <w:rPr>
          <w:color w:val="231F20"/>
          <w:w w:val="105"/>
          <w:sz w:val="16"/>
          <w:lang w:val="de-DE"/>
        </w:rPr>
        <w:t>Dyck, Elisabeth von 482</w:t>
      </w:r>
      <w:r w:rsidRPr="00846956">
        <w:rPr>
          <w:i/>
          <w:color w:val="231F20"/>
          <w:w w:val="105"/>
          <w:sz w:val="16"/>
          <w:lang w:val="de-DE"/>
        </w:rPr>
        <w:t xml:space="preserve">, </w:t>
      </w:r>
      <w:r w:rsidRPr="00846956">
        <w:rPr>
          <w:color w:val="231F20"/>
          <w:w w:val="105"/>
          <w:sz w:val="16"/>
          <w:lang w:val="de-DE"/>
        </w:rPr>
        <w:t>527</w:t>
      </w:r>
      <w:r w:rsidRPr="00846956">
        <w:rPr>
          <w:i/>
          <w:color w:val="231F20"/>
          <w:w w:val="105"/>
          <w:sz w:val="16"/>
          <w:lang w:val="de-DE"/>
        </w:rPr>
        <w:t xml:space="preserve">, </w:t>
      </w:r>
      <w:r w:rsidRPr="00846956">
        <w:rPr>
          <w:color w:val="231F20"/>
          <w:w w:val="105"/>
          <w:sz w:val="16"/>
          <w:lang w:val="de-DE"/>
        </w:rPr>
        <w:t>566</w:t>
      </w:r>
      <w:r w:rsidRPr="00846956">
        <w:rPr>
          <w:i/>
          <w:color w:val="231F20"/>
          <w:w w:val="105"/>
          <w:sz w:val="16"/>
          <w:lang w:val="de-DE"/>
        </w:rPr>
        <w:t xml:space="preserve">, </w:t>
      </w:r>
      <w:r w:rsidRPr="00846956">
        <w:rPr>
          <w:color w:val="231F20"/>
          <w:w w:val="105"/>
          <w:sz w:val="16"/>
          <w:lang w:val="de-DE"/>
        </w:rPr>
        <w:t>606;</w:t>
      </w:r>
    </w:p>
    <w:p w14:paraId="010FDF94" w14:textId="77777777" w:rsidR="002653E8" w:rsidRDefault="003115E3">
      <w:pPr>
        <w:spacing w:before="33"/>
        <w:ind w:left="440"/>
        <w:rPr>
          <w:sz w:val="16"/>
        </w:rPr>
      </w:pPr>
      <w:r>
        <w:rPr>
          <w:color w:val="231F20"/>
          <w:sz w:val="16"/>
        </w:rPr>
        <w:t>arrested (1975) 337</w:t>
      </w:r>
      <w:r>
        <w:rPr>
          <w:i/>
          <w:color w:val="231F20"/>
          <w:sz w:val="16"/>
        </w:rPr>
        <w:t xml:space="preserve">, </w:t>
      </w:r>
      <w:r>
        <w:rPr>
          <w:color w:val="231F20"/>
          <w:sz w:val="16"/>
        </w:rPr>
        <w:t>597; killed by</w:t>
      </w:r>
    </w:p>
    <w:p w14:paraId="5900EFEE" w14:textId="77777777" w:rsidR="002653E8" w:rsidRDefault="003115E3">
      <w:pPr>
        <w:spacing w:before="32"/>
        <w:ind w:left="440"/>
        <w:rPr>
          <w:sz w:val="16"/>
        </w:rPr>
      </w:pPr>
      <w:r>
        <w:rPr>
          <w:color w:val="231F20"/>
          <w:sz w:val="16"/>
        </w:rPr>
        <w:t>police (1979) 612</w:t>
      </w:r>
    </w:p>
    <w:p w14:paraId="14015C06" w14:textId="77777777" w:rsidR="002653E8" w:rsidRDefault="002653E8">
      <w:pPr>
        <w:pStyle w:val="a3"/>
        <w:rPr>
          <w:sz w:val="18"/>
        </w:rPr>
      </w:pPr>
    </w:p>
    <w:p w14:paraId="133419F7" w14:textId="77777777" w:rsidR="002653E8" w:rsidRDefault="002653E8">
      <w:pPr>
        <w:pStyle w:val="a3"/>
        <w:rPr>
          <w:sz w:val="18"/>
        </w:rPr>
      </w:pPr>
    </w:p>
    <w:p w14:paraId="50D4CCA8" w14:textId="77777777" w:rsidR="002653E8" w:rsidRDefault="002653E8">
      <w:pPr>
        <w:pStyle w:val="a3"/>
        <w:rPr>
          <w:sz w:val="18"/>
        </w:rPr>
      </w:pPr>
    </w:p>
    <w:p w14:paraId="0EBC1E27" w14:textId="77777777" w:rsidR="002653E8" w:rsidRDefault="002653E8">
      <w:pPr>
        <w:pStyle w:val="a3"/>
        <w:spacing w:before="10"/>
        <w:rPr>
          <w:sz w:val="23"/>
        </w:rPr>
      </w:pPr>
    </w:p>
    <w:p w14:paraId="61DD7ED4" w14:textId="77777777" w:rsidR="002653E8" w:rsidRDefault="003115E3">
      <w:pPr>
        <w:ind w:left="240"/>
        <w:rPr>
          <w:sz w:val="16"/>
        </w:rPr>
      </w:pPr>
      <w:r>
        <w:rPr>
          <w:color w:val="231F20"/>
          <w:w w:val="105"/>
          <w:sz w:val="16"/>
        </w:rPr>
        <w:t>Easter Marches 23</w:t>
      </w:r>
      <w:r>
        <w:rPr>
          <w:i/>
          <w:color w:val="231F20"/>
          <w:w w:val="105"/>
          <w:sz w:val="16"/>
        </w:rPr>
        <w:t xml:space="preserve">, </w:t>
      </w:r>
      <w:r>
        <w:rPr>
          <w:color w:val="231F20"/>
          <w:w w:val="105"/>
          <w:sz w:val="16"/>
        </w:rPr>
        <w:t>36–37</w:t>
      </w:r>
      <w:r>
        <w:rPr>
          <w:i/>
          <w:color w:val="231F20"/>
          <w:w w:val="105"/>
          <w:sz w:val="16"/>
        </w:rPr>
        <w:t xml:space="preserve">, </w:t>
      </w:r>
      <w:r>
        <w:rPr>
          <w:color w:val="231F20"/>
          <w:w w:val="105"/>
          <w:sz w:val="16"/>
        </w:rPr>
        <w:t>579</w:t>
      </w:r>
      <w:r>
        <w:rPr>
          <w:i/>
          <w:color w:val="231F20"/>
          <w:w w:val="105"/>
          <w:sz w:val="16"/>
        </w:rPr>
        <w:t xml:space="preserve">, </w:t>
      </w:r>
      <w:r>
        <w:rPr>
          <w:color w:val="231F20"/>
          <w:w w:val="105"/>
          <w:sz w:val="16"/>
        </w:rPr>
        <w:t>580;</w:t>
      </w:r>
    </w:p>
    <w:p w14:paraId="095781DB" w14:textId="77777777" w:rsidR="002653E8" w:rsidRDefault="003115E3">
      <w:pPr>
        <w:spacing w:before="32"/>
        <w:ind w:left="440"/>
        <w:rPr>
          <w:sz w:val="16"/>
        </w:rPr>
      </w:pPr>
      <w:r>
        <w:rPr>
          <w:color w:val="231F20"/>
          <w:sz w:val="16"/>
        </w:rPr>
        <w:t xml:space="preserve">mentioned by </w:t>
      </w:r>
      <w:r w:rsidR="00C507A5">
        <w:rPr>
          <w:color w:val="231F20"/>
          <w:sz w:val="16"/>
        </w:rPr>
        <w:t>red army faction</w:t>
      </w:r>
      <w:r>
        <w:rPr>
          <w:color w:val="231F20"/>
          <w:sz w:val="16"/>
        </w:rPr>
        <w:t xml:space="preserve"> 81</w:t>
      </w:r>
      <w:r>
        <w:rPr>
          <w:i/>
          <w:color w:val="231F20"/>
          <w:sz w:val="16"/>
        </w:rPr>
        <w:t xml:space="preserve">, </w:t>
      </w:r>
      <w:r>
        <w:rPr>
          <w:color w:val="231F20"/>
          <w:sz w:val="16"/>
        </w:rPr>
        <w:t>90</w:t>
      </w:r>
    </w:p>
    <w:p w14:paraId="7D1D652E" w14:textId="77777777" w:rsidR="002653E8" w:rsidRDefault="003115E3">
      <w:pPr>
        <w:spacing w:before="33"/>
        <w:ind w:left="240"/>
        <w:rPr>
          <w:sz w:val="16"/>
        </w:rPr>
      </w:pPr>
      <w:r>
        <w:rPr>
          <w:color w:val="231F20"/>
          <w:w w:val="105"/>
          <w:sz w:val="16"/>
        </w:rPr>
        <w:t>Eckardt, Hans 115</w:t>
      </w:r>
    </w:p>
    <w:p w14:paraId="6BBF7F82" w14:textId="77777777" w:rsidR="002653E8" w:rsidRDefault="003115E3">
      <w:pPr>
        <w:spacing w:before="32"/>
        <w:ind w:left="240"/>
        <w:rPr>
          <w:i/>
          <w:sz w:val="16"/>
        </w:rPr>
      </w:pPr>
      <w:r>
        <w:rPr>
          <w:color w:val="231F20"/>
          <w:w w:val="105"/>
          <w:sz w:val="16"/>
        </w:rPr>
        <w:t>Eckes, Christa 566; captured (1972) 325</w:t>
      </w:r>
      <w:r>
        <w:rPr>
          <w:i/>
          <w:color w:val="231F20"/>
          <w:w w:val="105"/>
          <w:sz w:val="16"/>
        </w:rPr>
        <w:t>,</w:t>
      </w:r>
    </w:p>
    <w:p w14:paraId="2C8B8A59" w14:textId="77777777" w:rsidR="002653E8" w:rsidRDefault="003115E3">
      <w:pPr>
        <w:spacing w:before="32"/>
        <w:ind w:left="440"/>
        <w:rPr>
          <w:sz w:val="16"/>
        </w:rPr>
      </w:pPr>
      <w:r>
        <w:rPr>
          <w:color w:val="231F20"/>
          <w:sz w:val="16"/>
        </w:rPr>
        <w:t>594; captured (1984) 616; release</w:t>
      </w:r>
    </w:p>
    <w:p w14:paraId="0047565F" w14:textId="77777777" w:rsidR="002653E8" w:rsidRDefault="003115E3">
      <w:pPr>
        <w:spacing w:before="33"/>
        <w:ind w:left="440"/>
        <w:rPr>
          <w:sz w:val="16"/>
        </w:rPr>
      </w:pPr>
      <w:r>
        <w:rPr>
          <w:color w:val="231F20"/>
          <w:sz w:val="16"/>
        </w:rPr>
        <w:t>demanded 339; sentenced (1977) 607</w:t>
      </w:r>
    </w:p>
    <w:p w14:paraId="4BC92C6A" w14:textId="77777777" w:rsidR="002653E8" w:rsidRDefault="003115E3">
      <w:pPr>
        <w:spacing w:before="32"/>
        <w:ind w:left="240"/>
        <w:rPr>
          <w:sz w:val="16"/>
        </w:rPr>
      </w:pPr>
      <w:r>
        <w:rPr>
          <w:color w:val="231F20"/>
          <w:w w:val="105"/>
          <w:sz w:val="16"/>
        </w:rPr>
        <w:t>Eckhardt, Hans 566</w:t>
      </w:r>
      <w:r>
        <w:rPr>
          <w:i/>
          <w:color w:val="231F20"/>
          <w:w w:val="105"/>
          <w:sz w:val="16"/>
        </w:rPr>
        <w:t xml:space="preserve">, </w:t>
      </w:r>
      <w:r>
        <w:rPr>
          <w:color w:val="231F20"/>
          <w:w w:val="105"/>
          <w:sz w:val="16"/>
        </w:rPr>
        <w:t>589</w:t>
      </w:r>
    </w:p>
    <w:p w14:paraId="7FB9B74C" w14:textId="77777777" w:rsidR="002653E8" w:rsidRDefault="003115E3">
      <w:pPr>
        <w:spacing w:before="33" w:line="280" w:lineRule="auto"/>
        <w:ind w:left="440" w:right="1144" w:hanging="200"/>
        <w:rPr>
          <w:sz w:val="16"/>
        </w:rPr>
      </w:pPr>
      <w:r>
        <w:rPr>
          <w:color w:val="231F20"/>
          <w:w w:val="105"/>
          <w:sz w:val="16"/>
        </w:rPr>
        <w:t>EEC (European Economic Community)</w:t>
      </w:r>
      <w:r>
        <w:rPr>
          <w:color w:val="231F20"/>
          <w:w w:val="102"/>
          <w:sz w:val="16"/>
        </w:rPr>
        <w:t xml:space="preserve"> </w:t>
      </w:r>
      <w:r>
        <w:rPr>
          <w:color w:val="231F20"/>
          <w:w w:val="105"/>
          <w:sz w:val="16"/>
        </w:rPr>
        <w:t>454</w:t>
      </w:r>
      <w:r>
        <w:rPr>
          <w:i/>
          <w:color w:val="231F20"/>
          <w:w w:val="105"/>
          <w:sz w:val="16"/>
        </w:rPr>
        <w:t xml:space="preserve">, </w:t>
      </w:r>
      <w:r>
        <w:rPr>
          <w:color w:val="231F20"/>
          <w:w w:val="105"/>
          <w:sz w:val="16"/>
        </w:rPr>
        <w:t xml:space="preserve">602; mentioned by </w:t>
      </w:r>
      <w:r w:rsidR="00C507A5">
        <w:rPr>
          <w:color w:val="231F20"/>
          <w:w w:val="105"/>
          <w:sz w:val="16"/>
        </w:rPr>
        <w:t>red army faction</w:t>
      </w:r>
      <w:r>
        <w:rPr>
          <w:color w:val="231F20"/>
          <w:w w:val="105"/>
          <w:sz w:val="16"/>
        </w:rPr>
        <w:t xml:space="preserve"> 209–</w:t>
      </w:r>
    </w:p>
    <w:p w14:paraId="12B9D034" w14:textId="77777777" w:rsidR="002653E8" w:rsidRDefault="003115E3">
      <w:pPr>
        <w:spacing w:before="1"/>
        <w:ind w:left="440"/>
        <w:rPr>
          <w:sz w:val="16"/>
        </w:rPr>
      </w:pPr>
      <w:r>
        <w:rPr>
          <w:color w:val="231F20"/>
          <w:w w:val="110"/>
          <w:sz w:val="16"/>
        </w:rPr>
        <w:t>210</w:t>
      </w:r>
      <w:r>
        <w:rPr>
          <w:i/>
          <w:color w:val="231F20"/>
          <w:w w:val="110"/>
          <w:sz w:val="16"/>
        </w:rPr>
        <w:t xml:space="preserve">, </w:t>
      </w:r>
      <w:r>
        <w:rPr>
          <w:color w:val="231F20"/>
          <w:w w:val="110"/>
          <w:sz w:val="16"/>
        </w:rPr>
        <w:t>361</w:t>
      </w:r>
      <w:r>
        <w:rPr>
          <w:i/>
          <w:color w:val="231F20"/>
          <w:w w:val="110"/>
          <w:sz w:val="16"/>
        </w:rPr>
        <w:t xml:space="preserve">, </w:t>
      </w:r>
      <w:r>
        <w:rPr>
          <w:color w:val="231F20"/>
          <w:w w:val="110"/>
          <w:sz w:val="16"/>
        </w:rPr>
        <w:t>379</w:t>
      </w:r>
      <w:r>
        <w:rPr>
          <w:i/>
          <w:color w:val="231F20"/>
          <w:w w:val="110"/>
          <w:sz w:val="16"/>
        </w:rPr>
        <w:t xml:space="preserve">, </w:t>
      </w:r>
      <w:r>
        <w:rPr>
          <w:color w:val="231F20"/>
          <w:w w:val="110"/>
          <w:sz w:val="16"/>
        </w:rPr>
        <w:t>426</w:t>
      </w:r>
    </w:p>
    <w:p w14:paraId="7D751C73" w14:textId="77777777" w:rsidR="002653E8" w:rsidRDefault="003115E3">
      <w:pPr>
        <w:spacing w:before="32" w:line="280" w:lineRule="auto"/>
        <w:ind w:left="440" w:right="1144" w:hanging="200"/>
        <w:rPr>
          <w:sz w:val="16"/>
        </w:rPr>
      </w:pPr>
      <w:r>
        <w:rPr>
          <w:color w:val="231F20"/>
          <w:sz w:val="16"/>
        </w:rPr>
        <w:t>Egypt 551; and Black September Munich operation 189</w:t>
      </w:r>
      <w:r>
        <w:rPr>
          <w:i/>
          <w:color w:val="231F20"/>
          <w:sz w:val="16"/>
        </w:rPr>
        <w:t xml:space="preserve">, </w:t>
      </w:r>
      <w:r>
        <w:rPr>
          <w:color w:val="231F20"/>
          <w:sz w:val="16"/>
        </w:rPr>
        <w:t>231</w:t>
      </w:r>
      <w:r>
        <w:rPr>
          <w:i/>
          <w:color w:val="231F20"/>
          <w:sz w:val="16"/>
        </w:rPr>
        <w:t xml:space="preserve">, </w:t>
      </w:r>
      <w:r>
        <w:rPr>
          <w:color w:val="231F20"/>
          <w:sz w:val="16"/>
        </w:rPr>
        <w:t>233; Six Day War</w:t>
      </w:r>
    </w:p>
    <w:p w14:paraId="10D16583" w14:textId="77777777" w:rsidR="002653E8" w:rsidRPr="00846956" w:rsidRDefault="003115E3">
      <w:pPr>
        <w:spacing w:before="1"/>
        <w:ind w:left="440"/>
        <w:rPr>
          <w:sz w:val="16"/>
          <w:lang w:val="de-DE"/>
        </w:rPr>
      </w:pPr>
      <w:r w:rsidRPr="00846956">
        <w:rPr>
          <w:color w:val="231F20"/>
          <w:w w:val="105"/>
          <w:sz w:val="16"/>
          <w:lang w:val="de-DE"/>
        </w:rPr>
        <w:t>34</w:t>
      </w:r>
      <w:r w:rsidRPr="00846956">
        <w:rPr>
          <w:i/>
          <w:color w:val="231F20"/>
          <w:w w:val="105"/>
          <w:sz w:val="16"/>
          <w:lang w:val="de-DE"/>
        </w:rPr>
        <w:t xml:space="preserve">, </w:t>
      </w:r>
      <w:r w:rsidRPr="00846956">
        <w:rPr>
          <w:color w:val="231F20"/>
          <w:w w:val="105"/>
          <w:sz w:val="16"/>
          <w:lang w:val="de-DE"/>
        </w:rPr>
        <w:t>551–552</w:t>
      </w:r>
      <w:r w:rsidRPr="00846956">
        <w:rPr>
          <w:i/>
          <w:color w:val="231F20"/>
          <w:w w:val="105"/>
          <w:sz w:val="16"/>
          <w:lang w:val="de-DE"/>
        </w:rPr>
        <w:t xml:space="preserve">, </w:t>
      </w:r>
      <w:r w:rsidRPr="00846956">
        <w:rPr>
          <w:color w:val="231F20"/>
          <w:w w:val="105"/>
          <w:sz w:val="16"/>
          <w:lang w:val="de-DE"/>
        </w:rPr>
        <w:t>580–581</w:t>
      </w:r>
    </w:p>
    <w:p w14:paraId="4C2FFE46" w14:textId="77777777" w:rsidR="002653E8" w:rsidRPr="00846956" w:rsidRDefault="002653E8">
      <w:pPr>
        <w:rPr>
          <w:sz w:val="16"/>
          <w:lang w:val="de-DE"/>
        </w:rPr>
        <w:sectPr w:rsidR="002653E8" w:rsidRPr="00846956">
          <w:pgSz w:w="8640" w:h="12960"/>
          <w:pgMar w:top="1080" w:right="0" w:bottom="1040" w:left="0" w:header="0" w:footer="846" w:gutter="0"/>
          <w:cols w:num="2" w:space="720" w:equalWidth="0">
            <w:col w:w="4270" w:space="40"/>
            <w:col w:w="4330"/>
          </w:cols>
        </w:sectPr>
      </w:pPr>
    </w:p>
    <w:p w14:paraId="683A994C" w14:textId="77777777" w:rsidR="002653E8" w:rsidRPr="00846956" w:rsidRDefault="003115E3">
      <w:pPr>
        <w:spacing w:before="86"/>
        <w:ind w:left="1147"/>
        <w:rPr>
          <w:sz w:val="16"/>
          <w:lang w:val="de-DE"/>
        </w:rPr>
      </w:pPr>
      <w:r w:rsidRPr="00846956">
        <w:rPr>
          <w:color w:val="231F20"/>
          <w:w w:val="105"/>
          <w:sz w:val="16"/>
          <w:lang w:val="de-DE"/>
        </w:rPr>
        <w:lastRenderedPageBreak/>
        <w:t>Ehmke, Horst 237</w:t>
      </w:r>
    </w:p>
    <w:p w14:paraId="2B17D898" w14:textId="77777777" w:rsidR="002653E8" w:rsidRPr="00846956" w:rsidRDefault="003115E3">
      <w:pPr>
        <w:spacing w:before="33"/>
        <w:ind w:left="1147"/>
        <w:rPr>
          <w:sz w:val="16"/>
          <w:lang w:val="de-DE"/>
        </w:rPr>
      </w:pPr>
      <w:r w:rsidRPr="00846956">
        <w:rPr>
          <w:color w:val="231F20"/>
          <w:w w:val="105"/>
          <w:sz w:val="16"/>
          <w:lang w:val="de-DE"/>
        </w:rPr>
        <w:t>Eidel, Uli 628</w:t>
      </w:r>
    </w:p>
    <w:p w14:paraId="4CDD0CD8" w14:textId="77777777" w:rsidR="002653E8" w:rsidRDefault="003115E3">
      <w:pPr>
        <w:spacing w:before="32"/>
        <w:ind w:left="1147"/>
        <w:rPr>
          <w:sz w:val="16"/>
        </w:rPr>
      </w:pPr>
      <w:r>
        <w:rPr>
          <w:color w:val="231F20"/>
          <w:sz w:val="16"/>
        </w:rPr>
        <w:t>Eleftherotypia 454</w:t>
      </w:r>
    </w:p>
    <w:p w14:paraId="57429B33" w14:textId="77777777" w:rsidR="002653E8" w:rsidRDefault="003115E3">
      <w:pPr>
        <w:spacing w:before="33"/>
        <w:ind w:left="1147"/>
        <w:rPr>
          <w:sz w:val="16"/>
        </w:rPr>
      </w:pPr>
      <w:r>
        <w:rPr>
          <w:color w:val="231F20"/>
          <w:sz w:val="16"/>
        </w:rPr>
        <w:t>Emergency Powers Act 38–39</w:t>
      </w:r>
      <w:r>
        <w:rPr>
          <w:i/>
          <w:color w:val="231F20"/>
          <w:sz w:val="16"/>
        </w:rPr>
        <w:t xml:space="preserve">, </w:t>
      </w:r>
      <w:r>
        <w:rPr>
          <w:color w:val="231F20"/>
          <w:sz w:val="16"/>
        </w:rPr>
        <w:t>582; men-</w:t>
      </w:r>
    </w:p>
    <w:p w14:paraId="3148E079" w14:textId="77777777" w:rsidR="002653E8" w:rsidRDefault="003115E3">
      <w:pPr>
        <w:spacing w:before="32"/>
        <w:ind w:left="1347"/>
        <w:rPr>
          <w:sz w:val="16"/>
        </w:rPr>
      </w:pPr>
      <w:r>
        <w:rPr>
          <w:color w:val="231F20"/>
          <w:w w:val="105"/>
          <w:sz w:val="16"/>
        </w:rPr>
        <w:t xml:space="preserve">tioned by </w:t>
      </w:r>
      <w:r w:rsidR="00C507A5">
        <w:rPr>
          <w:color w:val="231F20"/>
          <w:w w:val="105"/>
          <w:sz w:val="16"/>
        </w:rPr>
        <w:t>red army faction</w:t>
      </w:r>
      <w:r>
        <w:rPr>
          <w:color w:val="231F20"/>
          <w:w w:val="105"/>
          <w:sz w:val="16"/>
        </w:rPr>
        <w:t xml:space="preserve"> 88</w:t>
      </w:r>
      <w:r>
        <w:rPr>
          <w:i/>
          <w:color w:val="231F20"/>
          <w:w w:val="105"/>
          <w:sz w:val="16"/>
        </w:rPr>
        <w:t xml:space="preserve">, </w:t>
      </w:r>
      <w:r>
        <w:rPr>
          <w:color w:val="231F20"/>
          <w:w w:val="105"/>
          <w:sz w:val="16"/>
        </w:rPr>
        <w:t>97</w:t>
      </w:r>
      <w:r>
        <w:rPr>
          <w:i/>
          <w:color w:val="231F20"/>
          <w:w w:val="105"/>
          <w:sz w:val="16"/>
        </w:rPr>
        <w:t xml:space="preserve">, </w:t>
      </w:r>
      <w:r>
        <w:rPr>
          <w:color w:val="231F20"/>
          <w:w w:val="105"/>
          <w:sz w:val="16"/>
        </w:rPr>
        <w:t>183</w:t>
      </w:r>
      <w:r>
        <w:rPr>
          <w:i/>
          <w:color w:val="231F20"/>
          <w:w w:val="105"/>
          <w:sz w:val="16"/>
        </w:rPr>
        <w:t xml:space="preserve">, </w:t>
      </w:r>
      <w:r>
        <w:rPr>
          <w:color w:val="231F20"/>
          <w:w w:val="105"/>
          <w:sz w:val="16"/>
        </w:rPr>
        <w:t>229</w:t>
      </w:r>
      <w:r>
        <w:rPr>
          <w:i/>
          <w:color w:val="231F20"/>
          <w:w w:val="105"/>
          <w:sz w:val="16"/>
        </w:rPr>
        <w:t xml:space="preserve">, </w:t>
      </w:r>
      <w:r>
        <w:rPr>
          <w:color w:val="231F20"/>
          <w:w w:val="105"/>
          <w:sz w:val="16"/>
        </w:rPr>
        <w:t>309</w:t>
      </w:r>
    </w:p>
    <w:p w14:paraId="53D85FD7" w14:textId="77777777" w:rsidR="002653E8" w:rsidRDefault="003115E3">
      <w:pPr>
        <w:spacing w:before="32"/>
        <w:ind w:left="1147"/>
        <w:rPr>
          <w:sz w:val="16"/>
        </w:rPr>
      </w:pPr>
      <w:r>
        <w:rPr>
          <w:i/>
          <w:color w:val="231F20"/>
          <w:w w:val="105"/>
          <w:sz w:val="16"/>
        </w:rPr>
        <w:t xml:space="preserve">Encounter </w:t>
      </w:r>
      <w:r>
        <w:rPr>
          <w:color w:val="231F20"/>
          <w:w w:val="105"/>
          <w:sz w:val="16"/>
        </w:rPr>
        <w:t>197</w:t>
      </w:r>
      <w:r>
        <w:rPr>
          <w:i/>
          <w:color w:val="231F20"/>
          <w:w w:val="105"/>
          <w:sz w:val="16"/>
        </w:rPr>
        <w:t xml:space="preserve">, </w:t>
      </w:r>
      <w:r>
        <w:rPr>
          <w:color w:val="231F20"/>
          <w:w w:val="105"/>
          <w:sz w:val="16"/>
        </w:rPr>
        <w:t>331</w:t>
      </w:r>
      <w:r>
        <w:rPr>
          <w:i/>
          <w:color w:val="231F20"/>
          <w:w w:val="105"/>
          <w:sz w:val="16"/>
        </w:rPr>
        <w:t xml:space="preserve">, </w:t>
      </w:r>
      <w:r>
        <w:rPr>
          <w:color w:val="231F20"/>
          <w:w w:val="105"/>
          <w:sz w:val="16"/>
        </w:rPr>
        <w:t>544</w:t>
      </w:r>
      <w:r>
        <w:rPr>
          <w:i/>
          <w:color w:val="231F20"/>
          <w:w w:val="105"/>
          <w:sz w:val="16"/>
        </w:rPr>
        <w:t xml:space="preserve">, </w:t>
      </w:r>
      <w:r>
        <w:rPr>
          <w:color w:val="231F20"/>
          <w:w w:val="105"/>
          <w:sz w:val="16"/>
        </w:rPr>
        <w:t>546</w:t>
      </w:r>
    </w:p>
    <w:p w14:paraId="2EE1ABCD" w14:textId="77777777" w:rsidR="002653E8" w:rsidRDefault="003115E3">
      <w:pPr>
        <w:spacing w:before="33"/>
        <w:ind w:left="1147"/>
        <w:rPr>
          <w:sz w:val="16"/>
        </w:rPr>
      </w:pPr>
      <w:r>
        <w:rPr>
          <w:color w:val="231F20"/>
          <w:sz w:val="16"/>
        </w:rPr>
        <w:t>Engels, Friedrich 297</w:t>
      </w:r>
      <w:r>
        <w:rPr>
          <w:i/>
          <w:color w:val="231F20"/>
          <w:sz w:val="16"/>
        </w:rPr>
        <w:t xml:space="preserve">, </w:t>
      </w:r>
      <w:r>
        <w:rPr>
          <w:color w:val="231F20"/>
          <w:sz w:val="16"/>
        </w:rPr>
        <w:t>373</w:t>
      </w:r>
    </w:p>
    <w:p w14:paraId="22889225" w14:textId="77777777" w:rsidR="002653E8" w:rsidRDefault="003115E3">
      <w:pPr>
        <w:spacing w:before="32" w:line="280" w:lineRule="auto"/>
        <w:ind w:left="1347" w:right="131" w:hanging="200"/>
        <w:rPr>
          <w:sz w:val="16"/>
        </w:rPr>
      </w:pPr>
      <w:r>
        <w:rPr>
          <w:color w:val="231F20"/>
          <w:sz w:val="16"/>
        </w:rPr>
        <w:t>England 4</w:t>
      </w:r>
      <w:r>
        <w:rPr>
          <w:i/>
          <w:color w:val="231F20"/>
          <w:sz w:val="16"/>
        </w:rPr>
        <w:t xml:space="preserve">, </w:t>
      </w:r>
      <w:r>
        <w:rPr>
          <w:color w:val="231F20"/>
          <w:sz w:val="16"/>
        </w:rPr>
        <w:t>311; counterinsurgency 193; and IRA 305; Astrid Proll in hiding 240</w:t>
      </w:r>
      <w:r>
        <w:rPr>
          <w:i/>
          <w:color w:val="231F20"/>
          <w:sz w:val="16"/>
        </w:rPr>
        <w:t xml:space="preserve">, </w:t>
      </w:r>
      <w:r>
        <w:rPr>
          <w:color w:val="231F20"/>
          <w:sz w:val="16"/>
        </w:rPr>
        <w:t>529–530</w:t>
      </w:r>
      <w:r>
        <w:rPr>
          <w:i/>
          <w:color w:val="231F20"/>
          <w:sz w:val="16"/>
        </w:rPr>
        <w:t xml:space="preserve">, </w:t>
      </w:r>
      <w:r>
        <w:rPr>
          <w:color w:val="231F20"/>
          <w:sz w:val="16"/>
        </w:rPr>
        <w:t>611; women’s</w:t>
      </w:r>
      <w:r>
        <w:rPr>
          <w:color w:val="231F20"/>
          <w:spacing w:val="-4"/>
          <w:sz w:val="16"/>
        </w:rPr>
        <w:t xml:space="preserve"> </w:t>
      </w:r>
      <w:r>
        <w:rPr>
          <w:color w:val="231F20"/>
          <w:sz w:val="16"/>
        </w:rPr>
        <w:t>move-</w:t>
      </w:r>
    </w:p>
    <w:p w14:paraId="6C5B5188" w14:textId="77777777" w:rsidR="002653E8" w:rsidRDefault="003115E3">
      <w:pPr>
        <w:spacing w:before="2"/>
        <w:ind w:left="1347"/>
        <w:rPr>
          <w:sz w:val="16"/>
        </w:rPr>
      </w:pPr>
      <w:r>
        <w:rPr>
          <w:color w:val="231F20"/>
          <w:w w:val="105"/>
          <w:sz w:val="16"/>
        </w:rPr>
        <w:t>ment 42</w:t>
      </w:r>
      <w:r>
        <w:rPr>
          <w:i/>
          <w:color w:val="231F20"/>
          <w:w w:val="105"/>
          <w:sz w:val="16"/>
        </w:rPr>
        <w:t xml:space="preserve">, </w:t>
      </w:r>
      <w:r>
        <w:rPr>
          <w:color w:val="231F20"/>
          <w:w w:val="105"/>
          <w:sz w:val="16"/>
        </w:rPr>
        <w:t>445</w:t>
      </w:r>
      <w:r>
        <w:rPr>
          <w:i/>
          <w:color w:val="231F20"/>
          <w:w w:val="105"/>
          <w:sz w:val="16"/>
        </w:rPr>
        <w:t xml:space="preserve">, </w:t>
      </w:r>
      <w:r>
        <w:rPr>
          <w:color w:val="231F20"/>
          <w:w w:val="105"/>
          <w:sz w:val="16"/>
        </w:rPr>
        <w:t>529–530</w:t>
      </w:r>
    </w:p>
    <w:p w14:paraId="0653C22D" w14:textId="77777777" w:rsidR="002653E8" w:rsidRDefault="003115E3">
      <w:pPr>
        <w:spacing w:before="32" w:line="280" w:lineRule="auto"/>
        <w:ind w:left="1347" w:right="220" w:hanging="200"/>
        <w:rPr>
          <w:sz w:val="16"/>
        </w:rPr>
      </w:pPr>
      <w:r>
        <w:rPr>
          <w:color w:val="231F20"/>
          <w:sz w:val="16"/>
        </w:rPr>
        <w:t>Ensslin, Gudrun 387</w:t>
      </w:r>
      <w:r>
        <w:rPr>
          <w:i/>
          <w:color w:val="231F20"/>
          <w:sz w:val="16"/>
        </w:rPr>
        <w:t xml:space="preserve">,  </w:t>
      </w:r>
      <w:r>
        <w:rPr>
          <w:color w:val="231F20"/>
          <w:sz w:val="16"/>
        </w:rPr>
        <w:t>483</w:t>
      </w:r>
      <w:r>
        <w:rPr>
          <w:i/>
          <w:color w:val="231F20"/>
          <w:sz w:val="16"/>
        </w:rPr>
        <w:t xml:space="preserve">,  </w:t>
      </w:r>
      <w:r>
        <w:rPr>
          <w:color w:val="231F20"/>
          <w:sz w:val="16"/>
        </w:rPr>
        <w:t>566</w:t>
      </w:r>
      <w:r>
        <w:rPr>
          <w:i/>
          <w:color w:val="231F20"/>
          <w:sz w:val="16"/>
        </w:rPr>
        <w:t xml:space="preserve">.  See also </w:t>
      </w:r>
      <w:r>
        <w:rPr>
          <w:color w:val="231F20"/>
          <w:sz w:val="16"/>
        </w:rPr>
        <w:t>Stammheim deaths; in APO 34</w:t>
      </w:r>
      <w:r>
        <w:rPr>
          <w:i/>
          <w:color w:val="231F20"/>
          <w:sz w:val="16"/>
        </w:rPr>
        <w:t xml:space="preserve">, </w:t>
      </w:r>
      <w:r>
        <w:rPr>
          <w:color w:val="231F20"/>
          <w:sz w:val="16"/>
        </w:rPr>
        <w:t>55; apprentices collectives 50</w:t>
      </w:r>
      <w:r>
        <w:rPr>
          <w:i/>
          <w:color w:val="231F20"/>
          <w:sz w:val="16"/>
        </w:rPr>
        <w:t>,</w:t>
      </w:r>
      <w:r>
        <w:rPr>
          <w:i/>
          <w:color w:val="231F20"/>
          <w:spacing w:val="-10"/>
          <w:sz w:val="16"/>
        </w:rPr>
        <w:t xml:space="preserve"> </w:t>
      </w:r>
      <w:r>
        <w:rPr>
          <w:color w:val="231F20"/>
          <w:sz w:val="16"/>
        </w:rPr>
        <w:t>527;</w:t>
      </w:r>
    </w:p>
    <w:p w14:paraId="564CDDE3" w14:textId="77777777" w:rsidR="002653E8" w:rsidRDefault="003115E3">
      <w:pPr>
        <w:spacing w:before="2"/>
        <w:ind w:left="1347"/>
        <w:rPr>
          <w:sz w:val="16"/>
        </w:rPr>
      </w:pPr>
      <w:r>
        <w:rPr>
          <w:color w:val="231F20"/>
          <w:sz w:val="16"/>
        </w:rPr>
        <w:t>captured (1972) 171</w:t>
      </w:r>
      <w:r>
        <w:rPr>
          <w:i/>
          <w:color w:val="231F20"/>
          <w:sz w:val="16"/>
        </w:rPr>
        <w:t xml:space="preserve">, </w:t>
      </w:r>
      <w:r>
        <w:rPr>
          <w:color w:val="231F20"/>
          <w:sz w:val="16"/>
        </w:rPr>
        <w:t>591; dead wing</w:t>
      </w:r>
    </w:p>
    <w:p w14:paraId="5DE92761" w14:textId="77777777" w:rsidR="002653E8" w:rsidRDefault="003115E3">
      <w:pPr>
        <w:spacing w:before="32"/>
        <w:ind w:left="1347"/>
        <w:rPr>
          <w:i/>
          <w:sz w:val="16"/>
        </w:rPr>
      </w:pPr>
      <w:r>
        <w:rPr>
          <w:color w:val="231F20"/>
          <w:sz w:val="16"/>
        </w:rPr>
        <w:t>412; death in Stammheim 485–486</w:t>
      </w:r>
      <w:r>
        <w:rPr>
          <w:i/>
          <w:color w:val="231F20"/>
          <w:sz w:val="16"/>
        </w:rPr>
        <w:t>,</w:t>
      </w:r>
    </w:p>
    <w:p w14:paraId="54988CE1" w14:textId="77777777" w:rsidR="002653E8" w:rsidRDefault="003115E3">
      <w:pPr>
        <w:spacing w:before="33"/>
        <w:ind w:left="1347"/>
        <w:rPr>
          <w:sz w:val="16"/>
        </w:rPr>
      </w:pPr>
      <w:r>
        <w:rPr>
          <w:color w:val="231F20"/>
          <w:w w:val="105"/>
          <w:sz w:val="16"/>
        </w:rPr>
        <w:t>507</w:t>
      </w:r>
      <w:r>
        <w:rPr>
          <w:i/>
          <w:color w:val="231F20"/>
          <w:w w:val="105"/>
          <w:sz w:val="16"/>
        </w:rPr>
        <w:t xml:space="preserve">, </w:t>
      </w:r>
      <w:r>
        <w:rPr>
          <w:color w:val="231F20"/>
          <w:w w:val="105"/>
          <w:sz w:val="16"/>
        </w:rPr>
        <w:t>513</w:t>
      </w:r>
      <w:r>
        <w:rPr>
          <w:i/>
          <w:color w:val="231F20"/>
          <w:w w:val="105"/>
          <w:sz w:val="16"/>
        </w:rPr>
        <w:t xml:space="preserve">, </w:t>
      </w:r>
      <w:r>
        <w:rPr>
          <w:color w:val="231F20"/>
          <w:w w:val="105"/>
          <w:sz w:val="16"/>
        </w:rPr>
        <w:t>518</w:t>
      </w:r>
      <w:r>
        <w:rPr>
          <w:i/>
          <w:color w:val="231F20"/>
          <w:w w:val="105"/>
          <w:sz w:val="16"/>
        </w:rPr>
        <w:t xml:space="preserve">, </w:t>
      </w:r>
      <w:r>
        <w:rPr>
          <w:color w:val="231F20"/>
          <w:w w:val="105"/>
          <w:sz w:val="16"/>
        </w:rPr>
        <w:t>519</w:t>
      </w:r>
      <w:r>
        <w:rPr>
          <w:i/>
          <w:color w:val="231F20"/>
          <w:w w:val="105"/>
          <w:sz w:val="16"/>
        </w:rPr>
        <w:t xml:space="preserve">, </w:t>
      </w:r>
      <w:r>
        <w:rPr>
          <w:color w:val="231F20"/>
          <w:w w:val="105"/>
          <w:sz w:val="16"/>
        </w:rPr>
        <w:t>608; Frankfurt</w:t>
      </w:r>
    </w:p>
    <w:p w14:paraId="7B616901" w14:textId="77777777" w:rsidR="002653E8" w:rsidRDefault="003115E3">
      <w:pPr>
        <w:spacing w:before="32" w:line="280" w:lineRule="auto"/>
        <w:ind w:left="1347" w:right="131"/>
        <w:rPr>
          <w:sz w:val="16"/>
        </w:rPr>
      </w:pPr>
      <w:r>
        <w:rPr>
          <w:color w:val="231F20"/>
          <w:sz w:val="16"/>
        </w:rPr>
        <w:t>department stores 48–49</w:t>
      </w:r>
      <w:r>
        <w:rPr>
          <w:i/>
          <w:color w:val="231F20"/>
          <w:sz w:val="16"/>
        </w:rPr>
        <w:t xml:space="preserve">, </w:t>
      </w:r>
      <w:r>
        <w:rPr>
          <w:color w:val="231F20"/>
          <w:sz w:val="16"/>
        </w:rPr>
        <w:t>581</w:t>
      </w:r>
      <w:r>
        <w:rPr>
          <w:i/>
          <w:color w:val="231F20"/>
          <w:sz w:val="16"/>
        </w:rPr>
        <w:t xml:space="preserve">, </w:t>
      </w:r>
      <w:r>
        <w:rPr>
          <w:color w:val="231F20"/>
          <w:sz w:val="16"/>
        </w:rPr>
        <w:t>583; library break-out   54; postmortem and burial 384</w:t>
      </w:r>
      <w:r>
        <w:rPr>
          <w:i/>
          <w:color w:val="231F20"/>
          <w:sz w:val="16"/>
        </w:rPr>
        <w:t xml:space="preserve">, </w:t>
      </w:r>
      <w:r>
        <w:rPr>
          <w:color w:val="231F20"/>
          <w:sz w:val="16"/>
        </w:rPr>
        <w:t>515</w:t>
      </w:r>
      <w:r>
        <w:rPr>
          <w:i/>
          <w:color w:val="231F20"/>
          <w:sz w:val="16"/>
        </w:rPr>
        <w:t xml:space="preserve">, </w:t>
      </w:r>
      <w:r>
        <w:rPr>
          <w:color w:val="231F20"/>
          <w:sz w:val="16"/>
        </w:rPr>
        <w:t>533–534;</w:t>
      </w:r>
      <w:r>
        <w:rPr>
          <w:color w:val="231F20"/>
          <w:spacing w:val="-1"/>
          <w:sz w:val="16"/>
        </w:rPr>
        <w:t xml:space="preserve"> </w:t>
      </w:r>
      <w:r>
        <w:rPr>
          <w:color w:val="231F20"/>
          <w:sz w:val="16"/>
        </w:rPr>
        <w:t>prison</w:t>
      </w:r>
    </w:p>
    <w:p w14:paraId="63064053" w14:textId="77777777" w:rsidR="002653E8" w:rsidRDefault="003115E3">
      <w:pPr>
        <w:spacing w:before="2"/>
        <w:ind w:left="1347"/>
        <w:rPr>
          <w:sz w:val="16"/>
        </w:rPr>
      </w:pPr>
      <w:r>
        <w:rPr>
          <w:color w:val="231F20"/>
          <w:w w:val="105"/>
          <w:sz w:val="16"/>
        </w:rPr>
        <w:t>238</w:t>
      </w:r>
      <w:r>
        <w:rPr>
          <w:i/>
          <w:color w:val="231F20"/>
          <w:w w:val="105"/>
          <w:sz w:val="16"/>
        </w:rPr>
        <w:t xml:space="preserve">, </w:t>
      </w:r>
      <w:r>
        <w:rPr>
          <w:color w:val="231F20"/>
          <w:w w:val="105"/>
          <w:sz w:val="16"/>
        </w:rPr>
        <w:t>244</w:t>
      </w:r>
      <w:r>
        <w:rPr>
          <w:i/>
          <w:color w:val="231F20"/>
          <w:w w:val="105"/>
          <w:sz w:val="16"/>
        </w:rPr>
        <w:t xml:space="preserve">, </w:t>
      </w:r>
      <w:r>
        <w:rPr>
          <w:color w:val="231F20"/>
          <w:w w:val="105"/>
          <w:sz w:val="16"/>
        </w:rPr>
        <w:t>471</w:t>
      </w:r>
      <w:r>
        <w:rPr>
          <w:i/>
          <w:color w:val="231F20"/>
          <w:w w:val="105"/>
          <w:sz w:val="16"/>
        </w:rPr>
        <w:t xml:space="preserve">, </w:t>
      </w:r>
      <w:r>
        <w:rPr>
          <w:color w:val="231F20"/>
          <w:w w:val="105"/>
          <w:sz w:val="16"/>
        </w:rPr>
        <w:t>548–549</w:t>
      </w:r>
      <w:r>
        <w:rPr>
          <w:i/>
          <w:color w:val="231F20"/>
          <w:w w:val="105"/>
          <w:sz w:val="16"/>
        </w:rPr>
        <w:t xml:space="preserve">, </w:t>
      </w:r>
      <w:r>
        <w:rPr>
          <w:color w:val="231F20"/>
          <w:w w:val="105"/>
          <w:sz w:val="16"/>
        </w:rPr>
        <w:t>594; release</w:t>
      </w:r>
    </w:p>
    <w:p w14:paraId="01DE9ED3" w14:textId="77777777" w:rsidR="002653E8" w:rsidRDefault="003115E3">
      <w:pPr>
        <w:spacing w:before="32"/>
        <w:ind w:left="1347"/>
        <w:rPr>
          <w:i/>
          <w:sz w:val="16"/>
        </w:rPr>
      </w:pPr>
      <w:r>
        <w:rPr>
          <w:color w:val="231F20"/>
          <w:w w:val="110"/>
          <w:sz w:val="16"/>
        </w:rPr>
        <w:t>demanded 328</w:t>
      </w:r>
      <w:r>
        <w:rPr>
          <w:i/>
          <w:color w:val="231F20"/>
          <w:w w:val="110"/>
          <w:sz w:val="16"/>
        </w:rPr>
        <w:t xml:space="preserve">, </w:t>
      </w:r>
      <w:r>
        <w:rPr>
          <w:color w:val="231F20"/>
          <w:w w:val="110"/>
          <w:sz w:val="16"/>
        </w:rPr>
        <w:t>332</w:t>
      </w:r>
      <w:r>
        <w:rPr>
          <w:i/>
          <w:color w:val="231F20"/>
          <w:w w:val="110"/>
          <w:sz w:val="16"/>
        </w:rPr>
        <w:t xml:space="preserve">, </w:t>
      </w:r>
      <w:r>
        <w:rPr>
          <w:color w:val="231F20"/>
          <w:w w:val="110"/>
          <w:sz w:val="16"/>
        </w:rPr>
        <w:t>339</w:t>
      </w:r>
      <w:r>
        <w:rPr>
          <w:i/>
          <w:color w:val="231F20"/>
          <w:w w:val="110"/>
          <w:sz w:val="16"/>
        </w:rPr>
        <w:t xml:space="preserve">, </w:t>
      </w:r>
      <w:r>
        <w:rPr>
          <w:color w:val="231F20"/>
          <w:w w:val="110"/>
          <w:sz w:val="16"/>
        </w:rPr>
        <w:t>476</w:t>
      </w:r>
      <w:r>
        <w:rPr>
          <w:i/>
          <w:color w:val="231F20"/>
          <w:w w:val="110"/>
          <w:sz w:val="16"/>
        </w:rPr>
        <w:t xml:space="preserve">, </w:t>
      </w:r>
      <w:r>
        <w:rPr>
          <w:color w:val="231F20"/>
          <w:w w:val="110"/>
          <w:sz w:val="16"/>
        </w:rPr>
        <w:t>492</w:t>
      </w:r>
      <w:r>
        <w:rPr>
          <w:i/>
          <w:color w:val="231F20"/>
          <w:w w:val="110"/>
          <w:sz w:val="16"/>
        </w:rPr>
        <w:t>,</w:t>
      </w:r>
    </w:p>
    <w:p w14:paraId="547FC2FE" w14:textId="77777777" w:rsidR="002653E8" w:rsidRDefault="003115E3">
      <w:pPr>
        <w:spacing w:before="33"/>
        <w:ind w:left="1347"/>
        <w:rPr>
          <w:sz w:val="16"/>
        </w:rPr>
      </w:pPr>
      <w:r>
        <w:rPr>
          <w:color w:val="231F20"/>
          <w:sz w:val="16"/>
        </w:rPr>
        <w:t>498</w:t>
      </w:r>
      <w:r>
        <w:rPr>
          <w:i/>
          <w:color w:val="231F20"/>
          <w:sz w:val="16"/>
        </w:rPr>
        <w:t xml:space="preserve">, </w:t>
      </w:r>
      <w:r>
        <w:rPr>
          <w:color w:val="231F20"/>
          <w:sz w:val="16"/>
        </w:rPr>
        <w:t>505; Spiegel interview (1975)</w:t>
      </w:r>
    </w:p>
    <w:p w14:paraId="446868E9" w14:textId="77777777" w:rsidR="002653E8" w:rsidRDefault="003115E3">
      <w:pPr>
        <w:spacing w:before="32" w:line="280" w:lineRule="auto"/>
        <w:ind w:left="1347"/>
        <w:rPr>
          <w:sz w:val="16"/>
        </w:rPr>
      </w:pPr>
      <w:r>
        <w:rPr>
          <w:color w:val="231F20"/>
          <w:sz w:val="16"/>
        </w:rPr>
        <w:t>300</w:t>
      </w:r>
      <w:r>
        <w:rPr>
          <w:i/>
          <w:color w:val="231F20"/>
          <w:sz w:val="16"/>
        </w:rPr>
        <w:t xml:space="preserve">, </w:t>
      </w:r>
      <w:r>
        <w:rPr>
          <w:color w:val="231F20"/>
          <w:sz w:val="16"/>
        </w:rPr>
        <w:t>596; Springer bombing 357</w:t>
      </w:r>
      <w:r>
        <w:rPr>
          <w:i/>
          <w:color w:val="231F20"/>
          <w:sz w:val="16"/>
        </w:rPr>
        <w:t xml:space="preserve">, </w:t>
      </w:r>
      <w:r>
        <w:rPr>
          <w:color w:val="231F20"/>
          <w:sz w:val="16"/>
        </w:rPr>
        <w:t>422; Stammheim trial 604</w:t>
      </w:r>
      <w:r>
        <w:rPr>
          <w:i/>
          <w:color w:val="231F20"/>
          <w:sz w:val="16"/>
        </w:rPr>
        <w:t xml:space="preserve">. See also </w:t>
      </w:r>
      <w:r>
        <w:rPr>
          <w:color w:val="231F20"/>
          <w:sz w:val="16"/>
        </w:rPr>
        <w:t>Stammheim trial (1976-77); Statement Calling Off the Fourth Hunger Strike (1977) 493; underground 53</w:t>
      </w:r>
    </w:p>
    <w:p w14:paraId="748D8CEE" w14:textId="77777777" w:rsidR="002653E8" w:rsidRDefault="003115E3">
      <w:pPr>
        <w:spacing w:before="3"/>
        <w:ind w:left="1147"/>
        <w:rPr>
          <w:sz w:val="16"/>
        </w:rPr>
      </w:pPr>
      <w:r>
        <w:rPr>
          <w:color w:val="231F20"/>
          <w:sz w:val="16"/>
        </w:rPr>
        <w:t>Ensslin, Helmut 518</w:t>
      </w:r>
    </w:p>
    <w:p w14:paraId="756481F1" w14:textId="77777777" w:rsidR="002653E8" w:rsidRDefault="003115E3">
      <w:pPr>
        <w:spacing w:before="32" w:line="280" w:lineRule="auto"/>
        <w:ind w:left="1347" w:hanging="201"/>
        <w:rPr>
          <w:sz w:val="16"/>
        </w:rPr>
      </w:pPr>
      <w:r>
        <w:rPr>
          <w:color w:val="231F20"/>
          <w:sz w:val="16"/>
        </w:rPr>
        <w:t>Entebbe skyjacking</w:t>
      </w:r>
      <w:r>
        <w:rPr>
          <w:i/>
          <w:color w:val="231F20"/>
          <w:sz w:val="16"/>
        </w:rPr>
        <w:t xml:space="preserve">. See </w:t>
      </w:r>
      <w:r>
        <w:rPr>
          <w:color w:val="231F20"/>
          <w:sz w:val="16"/>
        </w:rPr>
        <w:t>skyjackings: Air France/Entebbe (1976)</w:t>
      </w:r>
    </w:p>
    <w:p w14:paraId="2BD9E194" w14:textId="77777777" w:rsidR="002653E8" w:rsidRPr="00846956" w:rsidRDefault="003115E3">
      <w:pPr>
        <w:spacing w:before="1" w:line="280" w:lineRule="auto"/>
        <w:ind w:left="1347" w:hanging="200"/>
        <w:rPr>
          <w:sz w:val="16"/>
          <w:lang w:val="de-DE"/>
        </w:rPr>
      </w:pPr>
      <w:r w:rsidRPr="00846956">
        <w:rPr>
          <w:color w:val="231F20"/>
          <w:sz w:val="16"/>
          <w:lang w:val="de-DE"/>
        </w:rPr>
        <w:t>Eppendorf University Hospital (Hamburg) 239</w:t>
      </w:r>
    </w:p>
    <w:p w14:paraId="60AFBB50" w14:textId="77777777" w:rsidR="002653E8" w:rsidRPr="00846956" w:rsidRDefault="003115E3">
      <w:pPr>
        <w:spacing w:before="1"/>
        <w:ind w:left="1147"/>
        <w:rPr>
          <w:sz w:val="16"/>
          <w:lang w:val="de-DE"/>
        </w:rPr>
      </w:pPr>
      <w:r w:rsidRPr="00846956">
        <w:rPr>
          <w:color w:val="231F20"/>
          <w:w w:val="105"/>
          <w:sz w:val="16"/>
          <w:lang w:val="de-DE"/>
        </w:rPr>
        <w:t>Eppler, Erhard 147</w:t>
      </w:r>
      <w:r w:rsidRPr="00846956">
        <w:rPr>
          <w:i/>
          <w:color w:val="231F20"/>
          <w:w w:val="105"/>
          <w:sz w:val="16"/>
          <w:lang w:val="de-DE"/>
        </w:rPr>
        <w:t xml:space="preserve">, </w:t>
      </w:r>
      <w:r w:rsidRPr="00846956">
        <w:rPr>
          <w:color w:val="231F20"/>
          <w:w w:val="105"/>
          <w:sz w:val="16"/>
          <w:lang w:val="de-DE"/>
        </w:rPr>
        <w:t>233</w:t>
      </w:r>
    </w:p>
    <w:p w14:paraId="50B1D004" w14:textId="77777777" w:rsidR="002653E8" w:rsidRPr="00846956" w:rsidRDefault="003115E3">
      <w:pPr>
        <w:spacing w:before="33"/>
        <w:ind w:left="1147"/>
        <w:rPr>
          <w:sz w:val="16"/>
          <w:lang w:val="de-DE"/>
        </w:rPr>
      </w:pPr>
      <w:r w:rsidRPr="00846956">
        <w:rPr>
          <w:color w:val="231F20"/>
          <w:w w:val="105"/>
          <w:sz w:val="16"/>
          <w:lang w:val="de-DE"/>
        </w:rPr>
        <w:t>Epple, Richard 111</w:t>
      </w:r>
      <w:r w:rsidRPr="00846956">
        <w:rPr>
          <w:i/>
          <w:color w:val="231F20"/>
          <w:w w:val="105"/>
          <w:sz w:val="16"/>
          <w:lang w:val="de-DE"/>
        </w:rPr>
        <w:t xml:space="preserve">, </w:t>
      </w:r>
      <w:r w:rsidRPr="00846956">
        <w:rPr>
          <w:color w:val="231F20"/>
          <w:w w:val="105"/>
          <w:sz w:val="16"/>
          <w:lang w:val="de-DE"/>
        </w:rPr>
        <w:t>175</w:t>
      </w:r>
      <w:r w:rsidRPr="00846956">
        <w:rPr>
          <w:i/>
          <w:color w:val="231F20"/>
          <w:w w:val="105"/>
          <w:sz w:val="16"/>
          <w:lang w:val="de-DE"/>
        </w:rPr>
        <w:t xml:space="preserve">, </w:t>
      </w:r>
      <w:r w:rsidRPr="00846956">
        <w:rPr>
          <w:color w:val="231F20"/>
          <w:w w:val="105"/>
          <w:sz w:val="16"/>
          <w:lang w:val="de-DE"/>
        </w:rPr>
        <w:t>566</w:t>
      </w:r>
      <w:r w:rsidRPr="00846956">
        <w:rPr>
          <w:i/>
          <w:color w:val="231F20"/>
          <w:w w:val="105"/>
          <w:sz w:val="16"/>
          <w:lang w:val="de-DE"/>
        </w:rPr>
        <w:t xml:space="preserve">, </w:t>
      </w:r>
      <w:r w:rsidRPr="00846956">
        <w:rPr>
          <w:color w:val="231F20"/>
          <w:w w:val="105"/>
          <w:sz w:val="16"/>
          <w:lang w:val="de-DE"/>
        </w:rPr>
        <w:t>589</w:t>
      </w:r>
    </w:p>
    <w:p w14:paraId="50860F21" w14:textId="77777777" w:rsidR="002653E8" w:rsidRPr="00846956" w:rsidRDefault="003115E3">
      <w:pPr>
        <w:spacing w:before="32"/>
        <w:ind w:left="1147"/>
        <w:rPr>
          <w:sz w:val="16"/>
          <w:lang w:val="de-DE"/>
        </w:rPr>
      </w:pPr>
      <w:r w:rsidRPr="00846956">
        <w:rPr>
          <w:color w:val="231F20"/>
          <w:sz w:val="16"/>
          <w:lang w:val="de-DE"/>
        </w:rPr>
        <w:t>Eritrea 451</w:t>
      </w:r>
    </w:p>
    <w:p w14:paraId="41FF517C" w14:textId="77777777" w:rsidR="002653E8" w:rsidRPr="00846956" w:rsidRDefault="003115E3">
      <w:pPr>
        <w:spacing w:before="32"/>
        <w:ind w:left="1147"/>
        <w:rPr>
          <w:sz w:val="16"/>
          <w:lang w:val="de-DE"/>
        </w:rPr>
      </w:pPr>
      <w:r w:rsidRPr="00846956">
        <w:rPr>
          <w:color w:val="231F20"/>
          <w:sz w:val="16"/>
          <w:lang w:val="de-DE"/>
        </w:rPr>
        <w:t>Ernst, Barbara 616</w:t>
      </w:r>
    </w:p>
    <w:p w14:paraId="7AE5DC7B" w14:textId="77777777" w:rsidR="002653E8" w:rsidRPr="00846956" w:rsidRDefault="003115E3">
      <w:pPr>
        <w:spacing w:before="33"/>
        <w:ind w:left="1147"/>
        <w:rPr>
          <w:sz w:val="16"/>
          <w:lang w:val="de-DE"/>
        </w:rPr>
      </w:pPr>
      <w:r w:rsidRPr="00846956">
        <w:rPr>
          <w:color w:val="231F20"/>
          <w:sz w:val="16"/>
          <w:lang w:val="de-DE"/>
        </w:rPr>
        <w:t>Eschen, Klaus 595</w:t>
      </w:r>
    </w:p>
    <w:p w14:paraId="5F48641A" w14:textId="77777777" w:rsidR="002653E8" w:rsidRPr="00846956" w:rsidRDefault="003115E3">
      <w:pPr>
        <w:spacing w:before="32"/>
        <w:ind w:left="1147"/>
        <w:rPr>
          <w:sz w:val="16"/>
          <w:lang w:val="de-DE"/>
        </w:rPr>
      </w:pPr>
      <w:r w:rsidRPr="00846956">
        <w:rPr>
          <w:color w:val="231F20"/>
          <w:w w:val="105"/>
          <w:sz w:val="16"/>
          <w:lang w:val="de-DE"/>
        </w:rPr>
        <w:t>ETA (Euskadi Ta Askatasuna) 311</w:t>
      </w:r>
      <w:r w:rsidRPr="00846956">
        <w:rPr>
          <w:i/>
          <w:color w:val="231F20"/>
          <w:w w:val="105"/>
          <w:sz w:val="16"/>
          <w:lang w:val="de-DE"/>
        </w:rPr>
        <w:t xml:space="preserve">, </w:t>
      </w:r>
      <w:r w:rsidRPr="00846956">
        <w:rPr>
          <w:color w:val="231F20"/>
          <w:w w:val="105"/>
          <w:sz w:val="16"/>
          <w:lang w:val="de-DE"/>
        </w:rPr>
        <w:t>489</w:t>
      </w:r>
    </w:p>
    <w:p w14:paraId="77351860" w14:textId="77777777" w:rsidR="002653E8" w:rsidRPr="00846956" w:rsidRDefault="003115E3">
      <w:pPr>
        <w:spacing w:before="33"/>
        <w:ind w:left="1147"/>
        <w:rPr>
          <w:sz w:val="16"/>
          <w:lang w:val="de-DE"/>
        </w:rPr>
      </w:pPr>
      <w:r w:rsidRPr="00846956">
        <w:rPr>
          <w:color w:val="231F20"/>
          <w:sz w:val="16"/>
          <w:lang w:val="de-DE"/>
        </w:rPr>
        <w:t>Ethiopia 451</w:t>
      </w:r>
    </w:p>
    <w:p w14:paraId="4AF52066" w14:textId="77777777" w:rsidR="002653E8" w:rsidRDefault="003115E3">
      <w:pPr>
        <w:spacing w:before="32" w:line="280" w:lineRule="auto"/>
        <w:ind w:left="1347" w:hanging="200"/>
        <w:rPr>
          <w:sz w:val="16"/>
        </w:rPr>
      </w:pPr>
      <w:r>
        <w:rPr>
          <w:color w:val="231F20"/>
          <w:w w:val="105"/>
          <w:sz w:val="16"/>
        </w:rPr>
        <w:t>European Commission of Human Rights 244</w:t>
      </w:r>
      <w:r>
        <w:rPr>
          <w:i/>
          <w:color w:val="231F20"/>
          <w:w w:val="105"/>
          <w:sz w:val="16"/>
        </w:rPr>
        <w:t xml:space="preserve">, </w:t>
      </w:r>
      <w:r>
        <w:rPr>
          <w:color w:val="231F20"/>
          <w:w w:val="105"/>
          <w:sz w:val="16"/>
        </w:rPr>
        <w:t>548–549</w:t>
      </w:r>
    </w:p>
    <w:p w14:paraId="38E8B6E8" w14:textId="77777777" w:rsidR="002653E8" w:rsidRDefault="003115E3">
      <w:pPr>
        <w:spacing w:before="1" w:line="280" w:lineRule="auto"/>
        <w:ind w:left="1347" w:hanging="200"/>
        <w:rPr>
          <w:sz w:val="16"/>
        </w:rPr>
      </w:pPr>
      <w:r>
        <w:rPr>
          <w:color w:val="231F20"/>
          <w:sz w:val="16"/>
        </w:rPr>
        <w:t xml:space="preserve">European Convention on the Suppression </w:t>
      </w:r>
      <w:r>
        <w:rPr>
          <w:color w:val="231F20"/>
          <w:w w:val="105"/>
          <w:sz w:val="16"/>
        </w:rPr>
        <w:t>of Terrorism 454</w:t>
      </w:r>
      <w:r>
        <w:rPr>
          <w:i/>
          <w:color w:val="231F20"/>
          <w:w w:val="105"/>
          <w:sz w:val="16"/>
        </w:rPr>
        <w:t xml:space="preserve">, </w:t>
      </w:r>
      <w:r>
        <w:rPr>
          <w:color w:val="231F20"/>
          <w:w w:val="105"/>
          <w:sz w:val="16"/>
        </w:rPr>
        <w:t>602</w:t>
      </w:r>
      <w:r>
        <w:rPr>
          <w:i/>
          <w:color w:val="231F20"/>
          <w:w w:val="105"/>
          <w:sz w:val="16"/>
        </w:rPr>
        <w:t xml:space="preserve">, </w:t>
      </w:r>
      <w:r>
        <w:rPr>
          <w:color w:val="231F20"/>
          <w:w w:val="105"/>
          <w:sz w:val="16"/>
        </w:rPr>
        <w:t>603</w:t>
      </w:r>
    </w:p>
    <w:p w14:paraId="52BDB18E" w14:textId="77777777" w:rsidR="002653E8" w:rsidRDefault="003115E3">
      <w:pPr>
        <w:spacing w:before="1" w:line="280" w:lineRule="auto"/>
        <w:ind w:left="1347" w:right="-13" w:hanging="200"/>
        <w:rPr>
          <w:sz w:val="16"/>
        </w:rPr>
      </w:pPr>
      <w:r>
        <w:rPr>
          <w:color w:val="231F20"/>
          <w:w w:val="105"/>
          <w:sz w:val="16"/>
        </w:rPr>
        <w:t>European Economic Community</w:t>
      </w:r>
      <w:r>
        <w:rPr>
          <w:i/>
          <w:color w:val="231F20"/>
          <w:w w:val="105"/>
          <w:sz w:val="16"/>
        </w:rPr>
        <w:t>. See</w:t>
      </w:r>
      <w:r>
        <w:rPr>
          <w:i/>
          <w:color w:val="231F20"/>
          <w:spacing w:val="-17"/>
          <w:w w:val="105"/>
          <w:sz w:val="16"/>
        </w:rPr>
        <w:t xml:space="preserve"> </w:t>
      </w:r>
      <w:r>
        <w:rPr>
          <w:color w:val="231F20"/>
          <w:w w:val="105"/>
          <w:sz w:val="16"/>
        </w:rPr>
        <w:t>EEC (European Economic</w:t>
      </w:r>
      <w:r>
        <w:rPr>
          <w:color w:val="231F20"/>
          <w:spacing w:val="-3"/>
          <w:w w:val="105"/>
          <w:sz w:val="16"/>
        </w:rPr>
        <w:t xml:space="preserve"> </w:t>
      </w:r>
      <w:r>
        <w:rPr>
          <w:color w:val="231F20"/>
          <w:w w:val="105"/>
          <w:sz w:val="16"/>
        </w:rPr>
        <w:t>Community)</w:t>
      </w:r>
    </w:p>
    <w:p w14:paraId="5251752B" w14:textId="77777777" w:rsidR="002653E8" w:rsidRDefault="003115E3">
      <w:pPr>
        <w:spacing w:before="86" w:line="280" w:lineRule="auto"/>
        <w:ind w:left="448" w:right="1401" w:hanging="200"/>
        <w:rPr>
          <w:sz w:val="16"/>
        </w:rPr>
      </w:pPr>
      <w:r>
        <w:br w:type="column"/>
      </w:r>
      <w:r>
        <w:rPr>
          <w:color w:val="231F20"/>
          <w:sz w:val="16"/>
        </w:rPr>
        <w:t>European Relief Program</w:t>
      </w:r>
      <w:r>
        <w:rPr>
          <w:i/>
          <w:color w:val="231F20"/>
          <w:sz w:val="16"/>
        </w:rPr>
        <w:t xml:space="preserve">. See </w:t>
      </w:r>
      <w:r>
        <w:rPr>
          <w:color w:val="231F20"/>
          <w:sz w:val="16"/>
        </w:rPr>
        <w:t>Marshall Plan</w:t>
      </w:r>
    </w:p>
    <w:p w14:paraId="1A08D1A2" w14:textId="77777777" w:rsidR="002653E8" w:rsidRDefault="003115E3">
      <w:pPr>
        <w:spacing w:before="1"/>
        <w:ind w:left="248"/>
        <w:rPr>
          <w:sz w:val="16"/>
        </w:rPr>
      </w:pPr>
      <w:r>
        <w:rPr>
          <w:color w:val="231F20"/>
          <w:sz w:val="16"/>
        </w:rPr>
        <w:t>Evangelical Student Association 32</w:t>
      </w:r>
    </w:p>
    <w:p w14:paraId="5F5EF39D" w14:textId="77777777" w:rsidR="002653E8" w:rsidRDefault="003115E3">
      <w:pPr>
        <w:spacing w:before="33"/>
        <w:ind w:left="248"/>
        <w:rPr>
          <w:sz w:val="16"/>
        </w:rPr>
      </w:pPr>
      <w:r>
        <w:rPr>
          <w:i/>
          <w:color w:val="231F20"/>
          <w:sz w:val="16"/>
        </w:rPr>
        <w:t xml:space="preserve">Evening Star </w:t>
      </w:r>
      <w:r>
        <w:rPr>
          <w:color w:val="231F20"/>
          <w:sz w:val="16"/>
        </w:rPr>
        <w:t>12</w:t>
      </w:r>
    </w:p>
    <w:p w14:paraId="58B4BDFA" w14:textId="77777777" w:rsidR="002653E8" w:rsidRDefault="003115E3">
      <w:pPr>
        <w:spacing w:before="32" w:line="280" w:lineRule="auto"/>
        <w:ind w:left="448" w:hanging="200"/>
        <w:rPr>
          <w:sz w:val="16"/>
        </w:rPr>
      </w:pPr>
      <w:r>
        <w:rPr>
          <w:color w:val="231F20"/>
          <w:sz w:val="16"/>
        </w:rPr>
        <w:t>Extra-Parliamentary Opposition</w:t>
      </w:r>
      <w:r>
        <w:rPr>
          <w:i/>
          <w:color w:val="231F20"/>
          <w:sz w:val="16"/>
        </w:rPr>
        <w:t xml:space="preserve">. See </w:t>
      </w:r>
      <w:r>
        <w:rPr>
          <w:color w:val="231F20"/>
          <w:sz w:val="16"/>
        </w:rPr>
        <w:t>APO (Außerparlamentarische Opposition)</w:t>
      </w:r>
    </w:p>
    <w:p w14:paraId="28E907E6" w14:textId="77777777" w:rsidR="002653E8" w:rsidRDefault="002653E8">
      <w:pPr>
        <w:pStyle w:val="a3"/>
        <w:rPr>
          <w:sz w:val="18"/>
        </w:rPr>
      </w:pPr>
    </w:p>
    <w:p w14:paraId="0EE0C17F" w14:textId="77777777" w:rsidR="002653E8" w:rsidRDefault="002653E8">
      <w:pPr>
        <w:pStyle w:val="a3"/>
        <w:rPr>
          <w:sz w:val="18"/>
        </w:rPr>
      </w:pPr>
    </w:p>
    <w:p w14:paraId="5F6BEECA" w14:textId="77777777" w:rsidR="002653E8" w:rsidRDefault="002653E8">
      <w:pPr>
        <w:pStyle w:val="a3"/>
        <w:rPr>
          <w:sz w:val="18"/>
        </w:rPr>
      </w:pPr>
    </w:p>
    <w:p w14:paraId="4AB4AA6D" w14:textId="77777777" w:rsidR="002653E8" w:rsidRDefault="002653E8">
      <w:pPr>
        <w:pStyle w:val="a3"/>
        <w:spacing w:before="2"/>
        <w:rPr>
          <w:sz w:val="21"/>
        </w:rPr>
      </w:pPr>
    </w:p>
    <w:p w14:paraId="0FFAF8C8" w14:textId="77777777" w:rsidR="002653E8" w:rsidRDefault="003115E3">
      <w:pPr>
        <w:ind w:left="248"/>
        <w:rPr>
          <w:sz w:val="16"/>
        </w:rPr>
      </w:pPr>
      <w:r>
        <w:rPr>
          <w:color w:val="231F20"/>
          <w:sz w:val="16"/>
        </w:rPr>
        <w:t>Faisal (king) 329</w:t>
      </w:r>
    </w:p>
    <w:p w14:paraId="2A26DAB0" w14:textId="77777777" w:rsidR="002653E8" w:rsidRDefault="003115E3">
      <w:pPr>
        <w:spacing w:before="32" w:line="280" w:lineRule="auto"/>
        <w:ind w:left="448" w:right="1351" w:hanging="200"/>
        <w:rPr>
          <w:i/>
          <w:sz w:val="16"/>
        </w:rPr>
      </w:pPr>
      <w:r>
        <w:rPr>
          <w:color w:val="231F20"/>
          <w:sz w:val="16"/>
        </w:rPr>
        <w:t>false flag actions 84</w:t>
      </w:r>
      <w:r>
        <w:rPr>
          <w:i/>
          <w:color w:val="231F20"/>
          <w:sz w:val="16"/>
        </w:rPr>
        <w:t xml:space="preserve">, </w:t>
      </w:r>
      <w:r>
        <w:rPr>
          <w:color w:val="231F20"/>
          <w:sz w:val="16"/>
        </w:rPr>
        <w:t>235–236</w:t>
      </w:r>
      <w:r>
        <w:rPr>
          <w:i/>
          <w:color w:val="231F20"/>
          <w:sz w:val="16"/>
        </w:rPr>
        <w:t xml:space="preserve">, </w:t>
      </w:r>
      <w:r>
        <w:rPr>
          <w:color w:val="231F20"/>
          <w:sz w:val="16"/>
        </w:rPr>
        <w:t>470</w:t>
      </w:r>
      <w:r>
        <w:rPr>
          <w:i/>
          <w:color w:val="231F20"/>
          <w:sz w:val="16"/>
        </w:rPr>
        <w:t xml:space="preserve">, </w:t>
      </w:r>
      <w:r>
        <w:rPr>
          <w:color w:val="231F20"/>
          <w:sz w:val="16"/>
        </w:rPr>
        <w:t>604</w:t>
      </w:r>
      <w:r>
        <w:rPr>
          <w:i/>
          <w:color w:val="231F20"/>
          <w:sz w:val="16"/>
        </w:rPr>
        <w:t xml:space="preserve">. See also </w:t>
      </w:r>
      <w:r>
        <w:rPr>
          <w:color w:val="231F20"/>
          <w:sz w:val="16"/>
        </w:rPr>
        <w:t>psychological warfare; Bremen Central Station (1974) 314–315</w:t>
      </w:r>
      <w:r>
        <w:rPr>
          <w:i/>
          <w:color w:val="231F20"/>
          <w:sz w:val="16"/>
        </w:rPr>
        <w:t xml:space="preserve">, </w:t>
      </w:r>
      <w:r>
        <w:rPr>
          <w:color w:val="231F20"/>
          <w:sz w:val="16"/>
        </w:rPr>
        <w:t>349</w:t>
      </w:r>
      <w:r>
        <w:rPr>
          <w:i/>
          <w:color w:val="231F20"/>
          <w:sz w:val="16"/>
        </w:rPr>
        <w:t>,</w:t>
      </w:r>
    </w:p>
    <w:p w14:paraId="2FA05719" w14:textId="77777777" w:rsidR="002653E8" w:rsidRDefault="003115E3">
      <w:pPr>
        <w:spacing w:before="2"/>
        <w:ind w:left="448"/>
        <w:rPr>
          <w:sz w:val="16"/>
        </w:rPr>
      </w:pPr>
      <w:r>
        <w:rPr>
          <w:color w:val="231F20"/>
          <w:w w:val="105"/>
          <w:sz w:val="16"/>
        </w:rPr>
        <w:t>371</w:t>
      </w:r>
      <w:r>
        <w:rPr>
          <w:i/>
          <w:color w:val="231F20"/>
          <w:w w:val="105"/>
          <w:sz w:val="16"/>
        </w:rPr>
        <w:t xml:space="preserve">, </w:t>
      </w:r>
      <w:r>
        <w:rPr>
          <w:color w:val="231F20"/>
          <w:w w:val="105"/>
          <w:sz w:val="16"/>
        </w:rPr>
        <w:t>376</w:t>
      </w:r>
      <w:r>
        <w:rPr>
          <w:i/>
          <w:color w:val="231F20"/>
          <w:w w:val="105"/>
          <w:sz w:val="16"/>
        </w:rPr>
        <w:t xml:space="preserve">, </w:t>
      </w:r>
      <w:r>
        <w:rPr>
          <w:color w:val="231F20"/>
          <w:w w:val="105"/>
          <w:sz w:val="16"/>
        </w:rPr>
        <w:t>595; Celle hole (1978) 528;</w:t>
      </w:r>
    </w:p>
    <w:p w14:paraId="353A26A9" w14:textId="77777777" w:rsidR="002653E8" w:rsidRDefault="003115E3">
      <w:pPr>
        <w:spacing w:before="32"/>
        <w:ind w:left="448"/>
        <w:rPr>
          <w:i/>
          <w:sz w:val="16"/>
        </w:rPr>
      </w:pPr>
      <w:r>
        <w:rPr>
          <w:color w:val="231F20"/>
          <w:w w:val="105"/>
          <w:sz w:val="16"/>
        </w:rPr>
        <w:t>Cologne Central Station (1975) 349</w:t>
      </w:r>
      <w:r>
        <w:rPr>
          <w:i/>
          <w:color w:val="231F20"/>
          <w:w w:val="105"/>
          <w:sz w:val="16"/>
        </w:rPr>
        <w:t>,</w:t>
      </w:r>
    </w:p>
    <w:p w14:paraId="12E9ED4D" w14:textId="77777777" w:rsidR="002653E8" w:rsidRDefault="003115E3">
      <w:pPr>
        <w:spacing w:before="33"/>
        <w:ind w:left="448"/>
        <w:rPr>
          <w:sz w:val="16"/>
        </w:rPr>
      </w:pPr>
      <w:r>
        <w:rPr>
          <w:color w:val="231F20"/>
          <w:w w:val="105"/>
          <w:sz w:val="16"/>
        </w:rPr>
        <w:t>380</w:t>
      </w:r>
      <w:r>
        <w:rPr>
          <w:i/>
          <w:color w:val="231F20"/>
          <w:w w:val="105"/>
          <w:sz w:val="16"/>
        </w:rPr>
        <w:t xml:space="preserve">, </w:t>
      </w:r>
      <w:r>
        <w:rPr>
          <w:color w:val="231F20"/>
          <w:w w:val="105"/>
          <w:sz w:val="16"/>
        </w:rPr>
        <w:t>599; Hamburg Central Station</w:t>
      </w:r>
    </w:p>
    <w:p w14:paraId="33415686" w14:textId="77777777" w:rsidR="002653E8" w:rsidRDefault="003115E3">
      <w:pPr>
        <w:spacing w:before="32"/>
        <w:ind w:left="448"/>
        <w:rPr>
          <w:sz w:val="16"/>
        </w:rPr>
      </w:pPr>
      <w:r>
        <w:rPr>
          <w:color w:val="231F20"/>
          <w:w w:val="105"/>
          <w:sz w:val="16"/>
        </w:rPr>
        <w:t>(1975) 349</w:t>
      </w:r>
      <w:r>
        <w:rPr>
          <w:i/>
          <w:color w:val="231F20"/>
          <w:w w:val="105"/>
          <w:sz w:val="16"/>
        </w:rPr>
        <w:t xml:space="preserve">, </w:t>
      </w:r>
      <w:r>
        <w:rPr>
          <w:color w:val="231F20"/>
          <w:w w:val="105"/>
          <w:sz w:val="16"/>
        </w:rPr>
        <w:t>376</w:t>
      </w:r>
      <w:r>
        <w:rPr>
          <w:i/>
          <w:color w:val="231F20"/>
          <w:w w:val="105"/>
          <w:sz w:val="16"/>
        </w:rPr>
        <w:t xml:space="preserve">, </w:t>
      </w:r>
      <w:r>
        <w:rPr>
          <w:color w:val="231F20"/>
          <w:w w:val="105"/>
          <w:sz w:val="16"/>
        </w:rPr>
        <w:t>378</w:t>
      </w:r>
      <w:r>
        <w:rPr>
          <w:i/>
          <w:color w:val="231F20"/>
          <w:w w:val="105"/>
          <w:sz w:val="16"/>
        </w:rPr>
        <w:t xml:space="preserve">, </w:t>
      </w:r>
      <w:r>
        <w:rPr>
          <w:color w:val="231F20"/>
          <w:w w:val="105"/>
          <w:sz w:val="16"/>
        </w:rPr>
        <w:t>378–379</w:t>
      </w:r>
      <w:r>
        <w:rPr>
          <w:i/>
          <w:color w:val="231F20"/>
          <w:w w:val="105"/>
          <w:sz w:val="16"/>
        </w:rPr>
        <w:t xml:space="preserve">, </w:t>
      </w:r>
      <w:r>
        <w:rPr>
          <w:color w:val="231F20"/>
          <w:w w:val="105"/>
          <w:sz w:val="16"/>
        </w:rPr>
        <w:t>599;</w:t>
      </w:r>
    </w:p>
    <w:p w14:paraId="6CA12B51" w14:textId="77777777" w:rsidR="002653E8" w:rsidRDefault="003115E3">
      <w:pPr>
        <w:spacing w:before="33" w:line="280" w:lineRule="auto"/>
        <w:ind w:left="448" w:right="1468"/>
        <w:rPr>
          <w:sz w:val="16"/>
        </w:rPr>
      </w:pPr>
      <w:r>
        <w:rPr>
          <w:color w:val="231F20"/>
          <w:sz w:val="16"/>
        </w:rPr>
        <w:t>Michael Luhmer kidnapping (1971) 61</w:t>
      </w:r>
      <w:r>
        <w:rPr>
          <w:i/>
          <w:color w:val="231F20"/>
          <w:sz w:val="16"/>
        </w:rPr>
        <w:t xml:space="preserve">, </w:t>
      </w:r>
      <w:r>
        <w:rPr>
          <w:color w:val="231F20"/>
          <w:sz w:val="16"/>
        </w:rPr>
        <w:t>586; Milan bombing (1969) 376; non-existent abduction of children (1975)   488</w:t>
      </w:r>
      <w:r>
        <w:rPr>
          <w:i/>
          <w:color w:val="231F20"/>
          <w:sz w:val="16"/>
        </w:rPr>
        <w:t xml:space="preserve">, </w:t>
      </w:r>
      <w:r>
        <w:rPr>
          <w:color w:val="231F20"/>
          <w:sz w:val="16"/>
        </w:rPr>
        <w:t>604; non-existent attack</w:t>
      </w:r>
    </w:p>
    <w:p w14:paraId="7E07BE0E" w14:textId="77777777" w:rsidR="002653E8" w:rsidRDefault="003115E3">
      <w:pPr>
        <w:spacing w:before="2" w:line="280" w:lineRule="auto"/>
        <w:ind w:left="448" w:right="1325"/>
        <w:rPr>
          <w:sz w:val="16"/>
        </w:rPr>
      </w:pPr>
      <w:r>
        <w:rPr>
          <w:color w:val="231F20"/>
          <w:sz w:val="16"/>
        </w:rPr>
        <w:t>on Munich subway system (1975) 350; non-existent attacks on nuclear power plants (76-77) 488; non-existent contamination of Lake Constance (1975) 488; non-existent kidnapping of Canadian ambassador (1977) 469; nonexistent kidnapping of Willy Brandt (1971)   61</w:t>
      </w:r>
      <w:r>
        <w:rPr>
          <w:i/>
          <w:color w:val="231F20"/>
          <w:sz w:val="16"/>
        </w:rPr>
        <w:t xml:space="preserve">, </w:t>
      </w:r>
      <w:r>
        <w:rPr>
          <w:color w:val="231F20"/>
          <w:sz w:val="16"/>
        </w:rPr>
        <w:t>84; non-existent mustard</w:t>
      </w:r>
    </w:p>
    <w:p w14:paraId="0A131434" w14:textId="77777777" w:rsidR="002653E8" w:rsidRDefault="003115E3">
      <w:pPr>
        <w:spacing w:before="4" w:line="280" w:lineRule="auto"/>
        <w:ind w:left="448" w:right="1382"/>
        <w:jc w:val="both"/>
        <w:rPr>
          <w:i/>
          <w:sz w:val="16"/>
        </w:rPr>
      </w:pPr>
      <w:r>
        <w:rPr>
          <w:color w:val="231F20"/>
          <w:sz w:val="16"/>
        </w:rPr>
        <w:t>gas attack (1975) 350</w:t>
      </w:r>
      <w:r>
        <w:rPr>
          <w:i/>
          <w:color w:val="231F20"/>
          <w:sz w:val="16"/>
        </w:rPr>
        <w:t xml:space="preserve">, </w:t>
      </w:r>
      <w:r>
        <w:rPr>
          <w:color w:val="231F20"/>
          <w:sz w:val="16"/>
        </w:rPr>
        <w:t>488</w:t>
      </w:r>
      <w:r>
        <w:rPr>
          <w:i/>
          <w:color w:val="231F20"/>
          <w:sz w:val="16"/>
        </w:rPr>
        <w:t xml:space="preserve">, </w:t>
      </w:r>
      <w:r>
        <w:rPr>
          <w:color w:val="231F20"/>
          <w:sz w:val="16"/>
        </w:rPr>
        <w:t>598; nonexistent poisoning of drinking water in Baden-Württemberg (1974) 371</w:t>
      </w:r>
      <w:r>
        <w:rPr>
          <w:i/>
          <w:color w:val="231F20"/>
          <w:sz w:val="16"/>
        </w:rPr>
        <w:t xml:space="preserve">, </w:t>
      </w:r>
      <w:r>
        <w:rPr>
          <w:color w:val="231F20"/>
          <w:sz w:val="16"/>
        </w:rPr>
        <w:t>376</w:t>
      </w:r>
      <w:r>
        <w:rPr>
          <w:i/>
          <w:color w:val="231F20"/>
          <w:sz w:val="16"/>
        </w:rPr>
        <w:t>,</w:t>
      </w:r>
    </w:p>
    <w:p w14:paraId="18FABEC6" w14:textId="77777777" w:rsidR="002653E8" w:rsidRDefault="003115E3">
      <w:pPr>
        <w:spacing w:before="2"/>
        <w:ind w:left="448"/>
        <w:rPr>
          <w:sz w:val="16"/>
        </w:rPr>
      </w:pPr>
      <w:r>
        <w:rPr>
          <w:color w:val="231F20"/>
          <w:sz w:val="16"/>
        </w:rPr>
        <w:t>378</w:t>
      </w:r>
      <w:r>
        <w:rPr>
          <w:i/>
          <w:color w:val="231F20"/>
          <w:sz w:val="16"/>
        </w:rPr>
        <w:t xml:space="preserve">, </w:t>
      </w:r>
      <w:r>
        <w:rPr>
          <w:color w:val="231F20"/>
          <w:sz w:val="16"/>
        </w:rPr>
        <w:t>488; non-existent rocket attack</w:t>
      </w:r>
    </w:p>
    <w:p w14:paraId="66756807" w14:textId="77777777" w:rsidR="002653E8" w:rsidRDefault="003115E3">
      <w:pPr>
        <w:spacing w:before="32" w:line="280" w:lineRule="auto"/>
        <w:ind w:left="448" w:right="1401"/>
        <w:rPr>
          <w:i/>
          <w:sz w:val="16"/>
        </w:rPr>
      </w:pPr>
      <w:r>
        <w:rPr>
          <w:color w:val="231F20"/>
          <w:sz w:val="16"/>
        </w:rPr>
        <w:t>on Soccer World Cup (1974) 371</w:t>
      </w:r>
      <w:r>
        <w:rPr>
          <w:i/>
          <w:color w:val="231F20"/>
          <w:sz w:val="16"/>
        </w:rPr>
        <w:t xml:space="preserve">, </w:t>
      </w:r>
      <w:r>
        <w:rPr>
          <w:color w:val="231F20"/>
          <w:sz w:val="16"/>
        </w:rPr>
        <w:t>376</w:t>
      </w:r>
      <w:r>
        <w:rPr>
          <w:i/>
          <w:color w:val="231F20"/>
          <w:sz w:val="16"/>
        </w:rPr>
        <w:t xml:space="preserve">, </w:t>
      </w:r>
      <w:r>
        <w:rPr>
          <w:color w:val="231F20"/>
          <w:sz w:val="16"/>
        </w:rPr>
        <w:t>378; non-existent Stuttgart bombing (1972) 169–170</w:t>
      </w:r>
      <w:r>
        <w:rPr>
          <w:i/>
          <w:color w:val="231F20"/>
          <w:sz w:val="16"/>
        </w:rPr>
        <w:t xml:space="preserve">, </w:t>
      </w:r>
      <w:r>
        <w:rPr>
          <w:color w:val="231F20"/>
          <w:sz w:val="16"/>
        </w:rPr>
        <w:t>179</w:t>
      </w:r>
      <w:r>
        <w:rPr>
          <w:i/>
          <w:color w:val="231F20"/>
          <w:sz w:val="16"/>
        </w:rPr>
        <w:t xml:space="preserve">, </w:t>
      </w:r>
      <w:r>
        <w:rPr>
          <w:color w:val="231F20"/>
          <w:sz w:val="16"/>
        </w:rPr>
        <w:t>181–182</w:t>
      </w:r>
      <w:r>
        <w:rPr>
          <w:i/>
          <w:color w:val="231F20"/>
          <w:sz w:val="16"/>
        </w:rPr>
        <w:t xml:space="preserve">, </w:t>
      </w:r>
      <w:r>
        <w:rPr>
          <w:color w:val="231F20"/>
          <w:sz w:val="16"/>
        </w:rPr>
        <w:t>185</w:t>
      </w:r>
      <w:r>
        <w:rPr>
          <w:i/>
          <w:color w:val="231F20"/>
          <w:sz w:val="16"/>
        </w:rPr>
        <w:t>,</w:t>
      </w:r>
    </w:p>
    <w:p w14:paraId="4124B3ED" w14:textId="77777777" w:rsidR="002653E8" w:rsidRPr="00846956" w:rsidRDefault="003115E3">
      <w:pPr>
        <w:spacing w:before="2"/>
        <w:ind w:left="448"/>
        <w:rPr>
          <w:sz w:val="16"/>
          <w:lang w:val="de-DE"/>
        </w:rPr>
      </w:pPr>
      <w:r w:rsidRPr="00846956">
        <w:rPr>
          <w:color w:val="231F20"/>
          <w:w w:val="105"/>
          <w:sz w:val="16"/>
          <w:lang w:val="de-DE"/>
        </w:rPr>
        <w:t>371</w:t>
      </w:r>
      <w:r w:rsidRPr="00846956">
        <w:rPr>
          <w:i/>
          <w:color w:val="231F20"/>
          <w:w w:val="105"/>
          <w:sz w:val="16"/>
          <w:lang w:val="de-DE"/>
        </w:rPr>
        <w:t xml:space="preserve">, </w:t>
      </w:r>
      <w:r w:rsidRPr="00846956">
        <w:rPr>
          <w:color w:val="231F20"/>
          <w:w w:val="105"/>
          <w:sz w:val="16"/>
          <w:lang w:val="de-DE"/>
        </w:rPr>
        <w:t>376</w:t>
      </w:r>
      <w:r w:rsidRPr="00846956">
        <w:rPr>
          <w:i/>
          <w:color w:val="231F20"/>
          <w:w w:val="105"/>
          <w:sz w:val="16"/>
          <w:lang w:val="de-DE"/>
        </w:rPr>
        <w:t xml:space="preserve">, </w:t>
      </w:r>
      <w:r w:rsidRPr="00846956">
        <w:rPr>
          <w:color w:val="231F20"/>
          <w:w w:val="105"/>
          <w:sz w:val="16"/>
          <w:lang w:val="de-DE"/>
        </w:rPr>
        <w:t>378</w:t>
      </w:r>
      <w:r w:rsidRPr="00846956">
        <w:rPr>
          <w:i/>
          <w:color w:val="231F20"/>
          <w:w w:val="105"/>
          <w:sz w:val="16"/>
          <w:lang w:val="de-DE"/>
        </w:rPr>
        <w:t xml:space="preserve">, </w:t>
      </w:r>
      <w:r w:rsidRPr="00846956">
        <w:rPr>
          <w:color w:val="231F20"/>
          <w:w w:val="105"/>
          <w:sz w:val="16"/>
          <w:lang w:val="de-DE"/>
        </w:rPr>
        <w:t>488</w:t>
      </w:r>
      <w:r w:rsidRPr="00846956">
        <w:rPr>
          <w:i/>
          <w:color w:val="231F20"/>
          <w:w w:val="105"/>
          <w:sz w:val="16"/>
          <w:lang w:val="de-DE"/>
        </w:rPr>
        <w:t xml:space="preserve">, </w:t>
      </w:r>
      <w:r w:rsidRPr="00846956">
        <w:rPr>
          <w:color w:val="231F20"/>
          <w:w w:val="105"/>
          <w:sz w:val="16"/>
          <w:lang w:val="de-DE"/>
        </w:rPr>
        <w:t>590; Nuremberg</w:t>
      </w:r>
    </w:p>
    <w:p w14:paraId="38176DB4" w14:textId="77777777" w:rsidR="002653E8" w:rsidRPr="00846956" w:rsidRDefault="003115E3">
      <w:pPr>
        <w:spacing w:before="32"/>
        <w:ind w:left="448"/>
        <w:rPr>
          <w:sz w:val="16"/>
          <w:lang w:val="de-DE"/>
        </w:rPr>
      </w:pPr>
      <w:r w:rsidRPr="00846956">
        <w:rPr>
          <w:color w:val="231F20"/>
          <w:sz w:val="16"/>
          <w:lang w:val="de-DE"/>
        </w:rPr>
        <w:t>train station (1975) 349</w:t>
      </w:r>
      <w:r w:rsidRPr="00846956">
        <w:rPr>
          <w:i/>
          <w:color w:val="231F20"/>
          <w:sz w:val="16"/>
          <w:lang w:val="de-DE"/>
        </w:rPr>
        <w:t xml:space="preserve">, </w:t>
      </w:r>
      <w:r w:rsidRPr="00846956">
        <w:rPr>
          <w:color w:val="231F20"/>
          <w:sz w:val="16"/>
          <w:lang w:val="de-DE"/>
        </w:rPr>
        <w:t>599; Jürgen</w:t>
      </w:r>
    </w:p>
    <w:p w14:paraId="75D86DBA" w14:textId="77777777" w:rsidR="002653E8" w:rsidRPr="00846956" w:rsidRDefault="003115E3">
      <w:pPr>
        <w:spacing w:before="33"/>
        <w:ind w:left="448"/>
        <w:rPr>
          <w:i/>
          <w:sz w:val="16"/>
          <w:lang w:val="de-DE"/>
        </w:rPr>
      </w:pPr>
      <w:r w:rsidRPr="00846956">
        <w:rPr>
          <w:color w:val="231F20"/>
          <w:sz w:val="16"/>
          <w:lang w:val="de-DE"/>
        </w:rPr>
        <w:t>Rieger kidnapping hoax (1971) 62–63</w:t>
      </w:r>
      <w:r w:rsidRPr="00846956">
        <w:rPr>
          <w:i/>
          <w:color w:val="231F20"/>
          <w:sz w:val="16"/>
          <w:lang w:val="de-DE"/>
        </w:rPr>
        <w:t>,</w:t>
      </w:r>
    </w:p>
    <w:p w14:paraId="0AF66286" w14:textId="77777777" w:rsidR="002653E8" w:rsidRPr="00846956" w:rsidRDefault="003115E3">
      <w:pPr>
        <w:spacing w:before="32"/>
        <w:ind w:left="448"/>
        <w:rPr>
          <w:sz w:val="16"/>
          <w:lang w:val="de-DE"/>
        </w:rPr>
      </w:pPr>
      <w:r w:rsidRPr="00846956">
        <w:rPr>
          <w:color w:val="231F20"/>
          <w:sz w:val="16"/>
          <w:lang w:val="de-DE"/>
        </w:rPr>
        <w:t>586; Weisbaden train station (1977)</w:t>
      </w:r>
    </w:p>
    <w:p w14:paraId="292E5C2A" w14:textId="77777777" w:rsidR="002653E8" w:rsidRPr="00846956" w:rsidRDefault="003115E3">
      <w:pPr>
        <w:spacing w:before="32"/>
        <w:ind w:left="448"/>
        <w:rPr>
          <w:sz w:val="16"/>
          <w:lang w:val="de-DE"/>
        </w:rPr>
      </w:pPr>
      <w:r w:rsidRPr="00846956">
        <w:rPr>
          <w:color w:val="231F20"/>
          <w:sz w:val="16"/>
          <w:lang w:val="de-DE"/>
        </w:rPr>
        <w:t>469</w:t>
      </w:r>
    </w:p>
    <w:p w14:paraId="7292748C" w14:textId="77777777" w:rsidR="002653E8" w:rsidRPr="00846956" w:rsidRDefault="003115E3">
      <w:pPr>
        <w:spacing w:before="33" w:line="280" w:lineRule="auto"/>
        <w:ind w:left="248" w:right="1925"/>
        <w:rPr>
          <w:sz w:val="16"/>
          <w:lang w:val="de-DE"/>
        </w:rPr>
      </w:pPr>
      <w:r w:rsidRPr="00846956">
        <w:rPr>
          <w:color w:val="231F20"/>
          <w:sz w:val="16"/>
          <w:lang w:val="de-DE"/>
        </w:rPr>
        <w:t>Fanon, Frantz 108</w:t>
      </w:r>
      <w:r w:rsidRPr="00846956">
        <w:rPr>
          <w:i/>
          <w:color w:val="231F20"/>
          <w:sz w:val="16"/>
          <w:lang w:val="de-DE"/>
        </w:rPr>
        <w:t xml:space="preserve">, </w:t>
      </w:r>
      <w:r w:rsidRPr="00846956">
        <w:rPr>
          <w:color w:val="231F20"/>
          <w:sz w:val="16"/>
          <w:lang w:val="de-DE"/>
        </w:rPr>
        <w:t>316 Fassbinder, Rainer Werner 610</w:t>
      </w:r>
    </w:p>
    <w:p w14:paraId="778E0F06" w14:textId="77777777" w:rsidR="002653E8" w:rsidRPr="00846956" w:rsidRDefault="002653E8">
      <w:pPr>
        <w:spacing w:line="280" w:lineRule="auto"/>
        <w:rPr>
          <w:sz w:val="16"/>
          <w:lang w:val="de-DE"/>
        </w:rPr>
        <w:sectPr w:rsidR="002653E8" w:rsidRPr="00846956">
          <w:pgSz w:w="8640" w:h="12960"/>
          <w:pgMar w:top="1080" w:right="0" w:bottom="1040" w:left="0" w:header="0" w:footer="846" w:gutter="0"/>
          <w:cols w:num="2" w:space="720" w:equalWidth="0">
            <w:col w:w="4082" w:space="40"/>
            <w:col w:w="4518"/>
          </w:cols>
        </w:sectPr>
      </w:pPr>
    </w:p>
    <w:p w14:paraId="1FE3563D" w14:textId="77777777" w:rsidR="002653E8" w:rsidRDefault="003115E3">
      <w:pPr>
        <w:spacing w:before="86" w:line="280" w:lineRule="auto"/>
        <w:ind w:left="1527" w:right="181" w:hanging="200"/>
        <w:rPr>
          <w:sz w:val="16"/>
        </w:rPr>
      </w:pPr>
      <w:r>
        <w:rPr>
          <w:color w:val="231F20"/>
          <w:sz w:val="16"/>
        </w:rPr>
        <w:lastRenderedPageBreak/>
        <w:t>Fatah 193–194</w:t>
      </w:r>
      <w:r>
        <w:rPr>
          <w:i/>
          <w:color w:val="231F20"/>
          <w:sz w:val="16"/>
        </w:rPr>
        <w:t xml:space="preserve">, </w:t>
      </w:r>
      <w:r>
        <w:rPr>
          <w:color w:val="231F20"/>
          <w:sz w:val="16"/>
        </w:rPr>
        <w:t>557</w:t>
      </w:r>
      <w:r>
        <w:rPr>
          <w:i/>
          <w:color w:val="231F20"/>
          <w:sz w:val="16"/>
        </w:rPr>
        <w:t xml:space="preserve">. See also </w:t>
      </w:r>
      <w:r>
        <w:rPr>
          <w:color w:val="231F20"/>
          <w:sz w:val="16"/>
        </w:rPr>
        <w:t>Black September (organization); and Black September 188</w:t>
      </w:r>
      <w:r>
        <w:rPr>
          <w:i/>
          <w:color w:val="231F20"/>
          <w:sz w:val="16"/>
        </w:rPr>
        <w:t xml:space="preserve">, </w:t>
      </w:r>
      <w:r>
        <w:rPr>
          <w:color w:val="231F20"/>
          <w:sz w:val="16"/>
        </w:rPr>
        <w:t>192; relationship to</w:t>
      </w:r>
    </w:p>
    <w:p w14:paraId="6F701BC7" w14:textId="77777777" w:rsidR="002653E8" w:rsidRPr="00846956" w:rsidRDefault="00C507A5">
      <w:pPr>
        <w:spacing w:before="2"/>
        <w:ind w:left="1527"/>
        <w:rPr>
          <w:sz w:val="16"/>
          <w:lang w:val="de-DE"/>
        </w:rPr>
      </w:pPr>
      <w:r w:rsidRPr="00846956">
        <w:rPr>
          <w:color w:val="231F20"/>
          <w:w w:val="110"/>
          <w:sz w:val="16"/>
          <w:lang w:val="de-DE"/>
        </w:rPr>
        <w:t>red army faction</w:t>
      </w:r>
      <w:r w:rsidR="003115E3" w:rsidRPr="00846956">
        <w:rPr>
          <w:color w:val="231F20"/>
          <w:w w:val="110"/>
          <w:sz w:val="16"/>
          <w:lang w:val="de-DE"/>
        </w:rPr>
        <w:t xml:space="preserve"> 56–57</w:t>
      </w:r>
      <w:r w:rsidR="003115E3" w:rsidRPr="00846956">
        <w:rPr>
          <w:i/>
          <w:color w:val="231F20"/>
          <w:w w:val="110"/>
          <w:sz w:val="16"/>
          <w:lang w:val="de-DE"/>
        </w:rPr>
        <w:t xml:space="preserve">, </w:t>
      </w:r>
      <w:r w:rsidR="003115E3" w:rsidRPr="00846956">
        <w:rPr>
          <w:color w:val="231F20"/>
          <w:w w:val="110"/>
          <w:sz w:val="16"/>
          <w:lang w:val="de-DE"/>
        </w:rPr>
        <w:t>59</w:t>
      </w:r>
      <w:r w:rsidR="003115E3" w:rsidRPr="00846956">
        <w:rPr>
          <w:i/>
          <w:color w:val="231F20"/>
          <w:w w:val="110"/>
          <w:sz w:val="16"/>
          <w:lang w:val="de-DE"/>
        </w:rPr>
        <w:t xml:space="preserve">, </w:t>
      </w:r>
      <w:r w:rsidR="003115E3" w:rsidRPr="00846956">
        <w:rPr>
          <w:color w:val="231F20"/>
          <w:w w:val="110"/>
          <w:sz w:val="16"/>
          <w:lang w:val="de-DE"/>
        </w:rPr>
        <w:t>482</w:t>
      </w:r>
      <w:r w:rsidR="003115E3" w:rsidRPr="00846956">
        <w:rPr>
          <w:i/>
          <w:color w:val="231F20"/>
          <w:w w:val="110"/>
          <w:sz w:val="16"/>
          <w:lang w:val="de-DE"/>
        </w:rPr>
        <w:t xml:space="preserve">, </w:t>
      </w:r>
      <w:r w:rsidR="003115E3" w:rsidRPr="00846956">
        <w:rPr>
          <w:color w:val="231F20"/>
          <w:w w:val="110"/>
          <w:sz w:val="16"/>
          <w:lang w:val="de-DE"/>
        </w:rPr>
        <w:t>583</w:t>
      </w:r>
      <w:r w:rsidR="003115E3" w:rsidRPr="00846956">
        <w:rPr>
          <w:i/>
          <w:color w:val="231F20"/>
          <w:w w:val="110"/>
          <w:sz w:val="16"/>
          <w:lang w:val="de-DE"/>
        </w:rPr>
        <w:t xml:space="preserve">, </w:t>
      </w:r>
      <w:r w:rsidR="003115E3" w:rsidRPr="00846956">
        <w:rPr>
          <w:color w:val="231F20"/>
          <w:w w:val="110"/>
          <w:sz w:val="16"/>
          <w:lang w:val="de-DE"/>
        </w:rPr>
        <w:t>584</w:t>
      </w:r>
    </w:p>
    <w:p w14:paraId="3AE69548" w14:textId="77777777" w:rsidR="002653E8" w:rsidRDefault="003115E3">
      <w:pPr>
        <w:spacing w:before="32" w:line="280" w:lineRule="auto"/>
        <w:ind w:left="1527" w:right="123" w:hanging="200"/>
        <w:rPr>
          <w:sz w:val="16"/>
        </w:rPr>
      </w:pPr>
      <w:r w:rsidRPr="00846956">
        <w:rPr>
          <w:color w:val="231F20"/>
          <w:w w:val="105"/>
          <w:sz w:val="16"/>
          <w:lang w:val="de-DE"/>
        </w:rPr>
        <w:t>FDP (Freie Demokratische Partei) 6</w:t>
      </w:r>
      <w:r w:rsidRPr="00846956">
        <w:rPr>
          <w:i/>
          <w:color w:val="231F20"/>
          <w:w w:val="105"/>
          <w:sz w:val="16"/>
          <w:lang w:val="de-DE"/>
        </w:rPr>
        <w:t xml:space="preserve">, </w:t>
      </w:r>
      <w:r w:rsidRPr="00846956">
        <w:rPr>
          <w:color w:val="231F20"/>
          <w:w w:val="105"/>
          <w:sz w:val="16"/>
          <w:lang w:val="de-DE"/>
        </w:rPr>
        <w:t>41</w:t>
      </w:r>
      <w:r w:rsidRPr="00846956">
        <w:rPr>
          <w:i/>
          <w:color w:val="231F20"/>
          <w:w w:val="105"/>
          <w:sz w:val="16"/>
          <w:lang w:val="de-DE"/>
        </w:rPr>
        <w:t xml:space="preserve">, </w:t>
      </w:r>
      <w:r w:rsidRPr="00846956">
        <w:rPr>
          <w:color w:val="231F20"/>
          <w:w w:val="105"/>
          <w:sz w:val="16"/>
          <w:lang w:val="de-DE"/>
        </w:rPr>
        <w:t>613</w:t>
      </w:r>
      <w:r w:rsidRPr="00846956">
        <w:rPr>
          <w:i/>
          <w:color w:val="231F20"/>
          <w:w w:val="105"/>
          <w:sz w:val="16"/>
          <w:lang w:val="de-DE"/>
        </w:rPr>
        <w:t xml:space="preserve">, </w:t>
      </w:r>
      <w:r w:rsidRPr="00846956">
        <w:rPr>
          <w:color w:val="231F20"/>
          <w:w w:val="105"/>
          <w:sz w:val="16"/>
          <w:lang w:val="de-DE"/>
        </w:rPr>
        <w:t>615</w:t>
      </w:r>
      <w:r w:rsidRPr="00846956">
        <w:rPr>
          <w:i/>
          <w:color w:val="231F20"/>
          <w:w w:val="105"/>
          <w:sz w:val="16"/>
          <w:lang w:val="de-DE"/>
        </w:rPr>
        <w:t xml:space="preserve">. </w:t>
      </w:r>
      <w:r>
        <w:rPr>
          <w:i/>
          <w:color w:val="231F20"/>
          <w:w w:val="105"/>
          <w:sz w:val="16"/>
        </w:rPr>
        <w:t xml:space="preserve">See also </w:t>
      </w:r>
      <w:r>
        <w:rPr>
          <w:color w:val="231F20"/>
          <w:w w:val="105"/>
          <w:sz w:val="16"/>
        </w:rPr>
        <w:t>Social-Liberal</w:t>
      </w:r>
    </w:p>
    <w:p w14:paraId="3AF9CBE4" w14:textId="77777777" w:rsidR="002653E8" w:rsidRDefault="003115E3">
      <w:pPr>
        <w:spacing w:before="1" w:line="280" w:lineRule="auto"/>
        <w:ind w:left="1527"/>
        <w:rPr>
          <w:i/>
          <w:sz w:val="16"/>
        </w:rPr>
      </w:pPr>
      <w:r>
        <w:rPr>
          <w:color w:val="231F20"/>
          <w:sz w:val="16"/>
        </w:rPr>
        <w:t>Brandt-Scheel Government (19691974)</w:t>
      </w:r>
      <w:r>
        <w:rPr>
          <w:i/>
          <w:color w:val="231F20"/>
          <w:sz w:val="16"/>
        </w:rPr>
        <w:t xml:space="preserve">; See also </w:t>
      </w:r>
      <w:r>
        <w:rPr>
          <w:color w:val="231F20"/>
          <w:sz w:val="16"/>
        </w:rPr>
        <w:t>Social-Liberal SchmidtGenscher Government (1974-1982)</w:t>
      </w:r>
      <w:r>
        <w:rPr>
          <w:i/>
          <w:color w:val="231F20"/>
          <w:sz w:val="16"/>
        </w:rPr>
        <w:t>;</w:t>
      </w:r>
    </w:p>
    <w:p w14:paraId="1C0FB06A" w14:textId="77777777" w:rsidR="002653E8" w:rsidRDefault="003115E3">
      <w:pPr>
        <w:spacing w:before="2" w:line="280" w:lineRule="auto"/>
        <w:ind w:left="1527" w:right="512"/>
        <w:rPr>
          <w:sz w:val="16"/>
        </w:rPr>
      </w:pPr>
      <w:r>
        <w:rPr>
          <w:i/>
          <w:color w:val="231F20"/>
          <w:w w:val="105"/>
          <w:sz w:val="16"/>
        </w:rPr>
        <w:t xml:space="preserve">See also </w:t>
      </w:r>
      <w:r>
        <w:rPr>
          <w:color w:val="231F20"/>
          <w:w w:val="105"/>
          <w:sz w:val="16"/>
        </w:rPr>
        <w:t>Maihofer, Werner</w:t>
      </w:r>
      <w:r>
        <w:rPr>
          <w:i/>
          <w:color w:val="231F20"/>
          <w:w w:val="105"/>
          <w:sz w:val="16"/>
        </w:rPr>
        <w:t xml:space="preserve">; See also </w:t>
      </w:r>
      <w:r>
        <w:rPr>
          <w:color w:val="231F20"/>
          <w:w w:val="105"/>
          <w:sz w:val="16"/>
        </w:rPr>
        <w:t>Genscher, Hans-Dietrich</w:t>
      </w:r>
    </w:p>
    <w:p w14:paraId="20EF8A08" w14:textId="77777777" w:rsidR="002653E8" w:rsidRDefault="003115E3">
      <w:pPr>
        <w:spacing w:before="1"/>
        <w:ind w:left="1327"/>
        <w:rPr>
          <w:i/>
          <w:sz w:val="16"/>
        </w:rPr>
      </w:pPr>
      <w:r>
        <w:rPr>
          <w:color w:val="231F20"/>
          <w:sz w:val="16"/>
        </w:rPr>
        <w:t>Federal Administrative Court 101</w:t>
      </w:r>
      <w:r>
        <w:rPr>
          <w:i/>
          <w:color w:val="231F20"/>
          <w:sz w:val="16"/>
        </w:rPr>
        <w:t xml:space="preserve">, </w:t>
      </w:r>
      <w:r>
        <w:rPr>
          <w:color w:val="231F20"/>
          <w:sz w:val="16"/>
        </w:rPr>
        <w:t>102</w:t>
      </w:r>
      <w:r>
        <w:rPr>
          <w:i/>
          <w:color w:val="231F20"/>
          <w:sz w:val="16"/>
        </w:rPr>
        <w:t>,</w:t>
      </w:r>
    </w:p>
    <w:p w14:paraId="208F1F3D" w14:textId="77777777" w:rsidR="002653E8" w:rsidRDefault="003115E3">
      <w:pPr>
        <w:spacing w:before="32"/>
        <w:ind w:left="1527"/>
        <w:rPr>
          <w:sz w:val="16"/>
        </w:rPr>
      </w:pPr>
      <w:r>
        <w:rPr>
          <w:color w:val="231F20"/>
          <w:sz w:val="16"/>
        </w:rPr>
        <w:t>372</w:t>
      </w:r>
    </w:p>
    <w:p w14:paraId="2DAE21D5" w14:textId="77777777" w:rsidR="002653E8" w:rsidRDefault="003115E3">
      <w:pPr>
        <w:spacing w:before="33" w:line="280" w:lineRule="auto"/>
        <w:ind w:left="1527" w:hanging="200"/>
        <w:rPr>
          <w:sz w:val="16"/>
        </w:rPr>
      </w:pPr>
      <w:r>
        <w:rPr>
          <w:color w:val="231F20"/>
          <w:sz w:val="16"/>
        </w:rPr>
        <w:t>Federal Association of German Employers 134</w:t>
      </w:r>
      <w:r>
        <w:rPr>
          <w:i/>
          <w:color w:val="231F20"/>
          <w:sz w:val="16"/>
        </w:rPr>
        <w:t xml:space="preserve">, </w:t>
      </w:r>
      <w:r>
        <w:rPr>
          <w:color w:val="231F20"/>
          <w:sz w:val="16"/>
        </w:rPr>
        <w:t>477</w:t>
      </w:r>
    </w:p>
    <w:p w14:paraId="0C54A47A" w14:textId="77777777" w:rsidR="002653E8" w:rsidRDefault="003115E3">
      <w:pPr>
        <w:spacing w:before="1" w:line="280" w:lineRule="auto"/>
        <w:ind w:left="1527" w:hanging="200"/>
        <w:rPr>
          <w:sz w:val="16"/>
        </w:rPr>
      </w:pPr>
      <w:r>
        <w:rPr>
          <w:color w:val="231F20"/>
          <w:sz w:val="16"/>
        </w:rPr>
        <w:t>Federal Association of German Industrialists 477</w:t>
      </w:r>
    </w:p>
    <w:p w14:paraId="2636835C" w14:textId="77777777" w:rsidR="002653E8" w:rsidRDefault="003115E3">
      <w:pPr>
        <w:spacing w:before="1" w:line="280" w:lineRule="auto"/>
        <w:ind w:left="1527" w:hanging="200"/>
        <w:rPr>
          <w:sz w:val="16"/>
        </w:rPr>
      </w:pPr>
      <w:r>
        <w:rPr>
          <w:color w:val="231F20"/>
          <w:sz w:val="16"/>
        </w:rPr>
        <w:t>Federal Border Guard</w:t>
      </w:r>
      <w:r>
        <w:rPr>
          <w:i/>
          <w:color w:val="231F20"/>
          <w:sz w:val="16"/>
        </w:rPr>
        <w:t xml:space="preserve">. See </w:t>
      </w:r>
      <w:r>
        <w:rPr>
          <w:color w:val="231F20"/>
          <w:sz w:val="16"/>
        </w:rPr>
        <w:t>BGS (Bundesgrenzschutz)</w:t>
      </w:r>
    </w:p>
    <w:p w14:paraId="145A2C41" w14:textId="77777777" w:rsidR="002653E8" w:rsidRDefault="003115E3">
      <w:pPr>
        <w:spacing w:before="1" w:line="280" w:lineRule="auto"/>
        <w:ind w:left="1327" w:right="181"/>
        <w:rPr>
          <w:i/>
          <w:sz w:val="16"/>
        </w:rPr>
      </w:pPr>
      <w:r>
        <w:rPr>
          <w:color w:val="231F20"/>
          <w:w w:val="105"/>
          <w:sz w:val="16"/>
        </w:rPr>
        <w:t>Federal Border Patrol Law 229 Federal Constitutional Court 14</w:t>
      </w:r>
      <w:r>
        <w:rPr>
          <w:i/>
          <w:color w:val="231F20"/>
          <w:w w:val="105"/>
          <w:sz w:val="16"/>
        </w:rPr>
        <w:t xml:space="preserve">, </w:t>
      </w:r>
      <w:r>
        <w:rPr>
          <w:color w:val="231F20"/>
          <w:w w:val="105"/>
          <w:sz w:val="16"/>
        </w:rPr>
        <w:t>248</w:t>
      </w:r>
      <w:r>
        <w:rPr>
          <w:i/>
          <w:color w:val="231F20"/>
          <w:w w:val="105"/>
          <w:sz w:val="16"/>
        </w:rPr>
        <w:t>,</w:t>
      </w:r>
    </w:p>
    <w:p w14:paraId="62606632" w14:textId="77777777" w:rsidR="002653E8" w:rsidRDefault="003115E3">
      <w:pPr>
        <w:spacing w:before="1"/>
        <w:ind w:left="1527"/>
        <w:rPr>
          <w:sz w:val="16"/>
        </w:rPr>
      </w:pPr>
      <w:r>
        <w:rPr>
          <w:color w:val="231F20"/>
          <w:sz w:val="16"/>
        </w:rPr>
        <w:t>597; antiabortion ruling 447; bombed</w:t>
      </w:r>
    </w:p>
    <w:p w14:paraId="273D68ED" w14:textId="77777777" w:rsidR="002653E8" w:rsidRDefault="003115E3">
      <w:pPr>
        <w:spacing w:before="33"/>
        <w:ind w:left="1527"/>
        <w:rPr>
          <w:i/>
          <w:sz w:val="16"/>
        </w:rPr>
      </w:pPr>
      <w:r>
        <w:rPr>
          <w:color w:val="231F20"/>
          <w:w w:val="105"/>
          <w:sz w:val="16"/>
        </w:rPr>
        <w:t>by Women of the RZ   377</w:t>
      </w:r>
      <w:r>
        <w:rPr>
          <w:i/>
          <w:color w:val="231F20"/>
          <w:w w:val="105"/>
          <w:sz w:val="16"/>
        </w:rPr>
        <w:t xml:space="preserve">, </w:t>
      </w:r>
      <w:r>
        <w:rPr>
          <w:color w:val="231F20"/>
          <w:w w:val="105"/>
          <w:sz w:val="16"/>
        </w:rPr>
        <w:t>447</w:t>
      </w:r>
      <w:r>
        <w:rPr>
          <w:i/>
          <w:color w:val="231F20"/>
          <w:w w:val="105"/>
          <w:sz w:val="16"/>
        </w:rPr>
        <w:t xml:space="preserve">, </w:t>
      </w:r>
      <w:r>
        <w:rPr>
          <w:color w:val="231F20"/>
          <w:w w:val="105"/>
          <w:sz w:val="16"/>
        </w:rPr>
        <w:t>460</w:t>
      </w:r>
      <w:r>
        <w:rPr>
          <w:i/>
          <w:color w:val="231F20"/>
          <w:w w:val="105"/>
          <w:sz w:val="16"/>
        </w:rPr>
        <w:t>,</w:t>
      </w:r>
    </w:p>
    <w:p w14:paraId="79EF20FD" w14:textId="77777777" w:rsidR="002653E8" w:rsidRDefault="003115E3">
      <w:pPr>
        <w:spacing w:before="32"/>
        <w:ind w:left="1527"/>
        <w:rPr>
          <w:sz w:val="16"/>
        </w:rPr>
      </w:pPr>
      <w:r>
        <w:rPr>
          <w:color w:val="231F20"/>
          <w:sz w:val="16"/>
        </w:rPr>
        <w:t>462; KPD banned   15; mentioned  by</w:t>
      </w:r>
    </w:p>
    <w:p w14:paraId="65D18265" w14:textId="77777777" w:rsidR="002653E8" w:rsidRDefault="00C507A5">
      <w:pPr>
        <w:spacing w:before="32"/>
        <w:ind w:left="1527"/>
        <w:rPr>
          <w:sz w:val="16"/>
        </w:rPr>
      </w:pPr>
      <w:r>
        <w:rPr>
          <w:color w:val="231F20"/>
          <w:w w:val="110"/>
          <w:sz w:val="16"/>
        </w:rPr>
        <w:t>red army faction</w:t>
      </w:r>
      <w:r w:rsidR="003115E3">
        <w:rPr>
          <w:color w:val="231F20"/>
          <w:w w:val="110"/>
          <w:sz w:val="16"/>
        </w:rPr>
        <w:t xml:space="preserve"> 217</w:t>
      </w:r>
      <w:r w:rsidR="003115E3">
        <w:rPr>
          <w:i/>
          <w:color w:val="231F20"/>
          <w:w w:val="110"/>
          <w:sz w:val="16"/>
        </w:rPr>
        <w:t xml:space="preserve">, </w:t>
      </w:r>
      <w:r w:rsidR="003115E3">
        <w:rPr>
          <w:color w:val="231F20"/>
          <w:w w:val="110"/>
          <w:sz w:val="16"/>
        </w:rPr>
        <w:t>416</w:t>
      </w:r>
      <w:r w:rsidR="003115E3">
        <w:rPr>
          <w:i/>
          <w:color w:val="231F20"/>
          <w:w w:val="110"/>
          <w:sz w:val="16"/>
        </w:rPr>
        <w:t xml:space="preserve">, </w:t>
      </w:r>
      <w:r w:rsidR="003115E3">
        <w:rPr>
          <w:color w:val="231F20"/>
          <w:w w:val="110"/>
          <w:sz w:val="16"/>
        </w:rPr>
        <w:t>424</w:t>
      </w:r>
      <w:r w:rsidR="003115E3">
        <w:rPr>
          <w:i/>
          <w:color w:val="231F20"/>
          <w:w w:val="110"/>
          <w:sz w:val="16"/>
        </w:rPr>
        <w:t xml:space="preserve">, </w:t>
      </w:r>
      <w:r w:rsidR="003115E3">
        <w:rPr>
          <w:color w:val="231F20"/>
          <w:w w:val="110"/>
          <w:sz w:val="16"/>
        </w:rPr>
        <w:t>465</w:t>
      </w:r>
    </w:p>
    <w:p w14:paraId="31843987" w14:textId="77777777" w:rsidR="002653E8" w:rsidRDefault="003115E3">
      <w:pPr>
        <w:spacing w:before="33"/>
        <w:ind w:left="1327"/>
        <w:rPr>
          <w:i/>
          <w:sz w:val="16"/>
        </w:rPr>
      </w:pPr>
      <w:r>
        <w:rPr>
          <w:color w:val="231F20"/>
          <w:sz w:val="16"/>
        </w:rPr>
        <w:t>Federal Criminal Investigation Bureau</w:t>
      </w:r>
      <w:r>
        <w:rPr>
          <w:i/>
          <w:color w:val="231F20"/>
          <w:sz w:val="16"/>
        </w:rPr>
        <w:t>.</w:t>
      </w:r>
    </w:p>
    <w:p w14:paraId="389FCBE8" w14:textId="77777777" w:rsidR="002653E8" w:rsidRDefault="003115E3">
      <w:pPr>
        <w:spacing w:before="32" w:line="280" w:lineRule="auto"/>
        <w:ind w:left="1327" w:right="181" w:firstLine="199"/>
        <w:rPr>
          <w:sz w:val="16"/>
        </w:rPr>
      </w:pPr>
      <w:r>
        <w:rPr>
          <w:i/>
          <w:color w:val="231F20"/>
          <w:sz w:val="16"/>
        </w:rPr>
        <w:t xml:space="preserve">See </w:t>
      </w:r>
      <w:r>
        <w:rPr>
          <w:color w:val="231F20"/>
          <w:sz w:val="16"/>
        </w:rPr>
        <w:t>BKA  (Bundeskriminalamt) Federal Labor Court 137</w:t>
      </w:r>
      <w:r>
        <w:rPr>
          <w:i/>
          <w:color w:val="231F20"/>
          <w:sz w:val="16"/>
        </w:rPr>
        <w:t xml:space="preserve">, </w:t>
      </w:r>
      <w:r>
        <w:rPr>
          <w:color w:val="231F20"/>
          <w:sz w:val="16"/>
        </w:rPr>
        <w:t>141</w:t>
      </w:r>
      <w:r>
        <w:rPr>
          <w:i/>
          <w:color w:val="231F20"/>
          <w:sz w:val="16"/>
        </w:rPr>
        <w:t xml:space="preserve">, </w:t>
      </w:r>
      <w:r>
        <w:rPr>
          <w:color w:val="231F20"/>
          <w:sz w:val="16"/>
        </w:rPr>
        <w:t>184</w:t>
      </w:r>
      <w:r>
        <w:rPr>
          <w:i/>
          <w:color w:val="231F20"/>
          <w:sz w:val="16"/>
        </w:rPr>
        <w:t>,</w:t>
      </w:r>
      <w:r>
        <w:rPr>
          <w:i/>
          <w:color w:val="231F20"/>
          <w:spacing w:val="8"/>
          <w:sz w:val="16"/>
        </w:rPr>
        <w:t xml:space="preserve"> </w:t>
      </w:r>
      <w:r>
        <w:rPr>
          <w:color w:val="231F20"/>
          <w:sz w:val="16"/>
        </w:rPr>
        <w:t>229</w:t>
      </w:r>
    </w:p>
    <w:p w14:paraId="655E5148" w14:textId="77777777" w:rsidR="002653E8" w:rsidRDefault="003115E3">
      <w:pPr>
        <w:spacing w:before="1" w:line="280" w:lineRule="auto"/>
        <w:ind w:left="1527" w:right="6" w:hanging="200"/>
        <w:rPr>
          <w:sz w:val="16"/>
        </w:rPr>
      </w:pPr>
      <w:r>
        <w:rPr>
          <w:color w:val="231F20"/>
          <w:w w:val="105"/>
          <w:sz w:val="16"/>
        </w:rPr>
        <w:t>Federal</w:t>
      </w:r>
      <w:r>
        <w:rPr>
          <w:color w:val="231F20"/>
          <w:spacing w:val="-11"/>
          <w:w w:val="105"/>
          <w:sz w:val="16"/>
        </w:rPr>
        <w:t xml:space="preserve"> </w:t>
      </w:r>
      <w:r>
        <w:rPr>
          <w:color w:val="231F20"/>
          <w:w w:val="105"/>
          <w:sz w:val="16"/>
        </w:rPr>
        <w:t>Minister</w:t>
      </w:r>
      <w:r>
        <w:rPr>
          <w:color w:val="231F20"/>
          <w:spacing w:val="-11"/>
          <w:w w:val="105"/>
          <w:sz w:val="16"/>
        </w:rPr>
        <w:t xml:space="preserve"> </w:t>
      </w:r>
      <w:r>
        <w:rPr>
          <w:color w:val="231F20"/>
          <w:w w:val="105"/>
          <w:sz w:val="16"/>
        </w:rPr>
        <w:t>of</w:t>
      </w:r>
      <w:r>
        <w:rPr>
          <w:color w:val="231F20"/>
          <w:spacing w:val="-11"/>
          <w:w w:val="105"/>
          <w:sz w:val="16"/>
        </w:rPr>
        <w:t xml:space="preserve"> </w:t>
      </w:r>
      <w:r>
        <w:rPr>
          <w:color w:val="231F20"/>
          <w:w w:val="105"/>
          <w:sz w:val="16"/>
        </w:rPr>
        <w:t>the</w:t>
      </w:r>
      <w:r>
        <w:rPr>
          <w:color w:val="231F20"/>
          <w:spacing w:val="-11"/>
          <w:w w:val="105"/>
          <w:sz w:val="16"/>
        </w:rPr>
        <w:t xml:space="preserve"> </w:t>
      </w:r>
      <w:r>
        <w:rPr>
          <w:color w:val="231F20"/>
          <w:w w:val="105"/>
          <w:sz w:val="16"/>
        </w:rPr>
        <w:t>Interior</w:t>
      </w:r>
      <w:r>
        <w:rPr>
          <w:color w:val="231F20"/>
          <w:spacing w:val="15"/>
          <w:w w:val="105"/>
          <w:sz w:val="16"/>
        </w:rPr>
        <w:t xml:space="preserve"> </w:t>
      </w:r>
      <w:r>
        <w:rPr>
          <w:color w:val="231F20"/>
          <w:w w:val="105"/>
          <w:sz w:val="16"/>
        </w:rPr>
        <w:t>193</w:t>
      </w:r>
      <w:r>
        <w:rPr>
          <w:i/>
          <w:color w:val="231F20"/>
          <w:w w:val="105"/>
          <w:sz w:val="16"/>
        </w:rPr>
        <w:t>,</w:t>
      </w:r>
      <w:r>
        <w:rPr>
          <w:i/>
          <w:color w:val="231F20"/>
          <w:spacing w:val="-14"/>
          <w:w w:val="105"/>
          <w:sz w:val="16"/>
        </w:rPr>
        <w:t xml:space="preserve"> </w:t>
      </w:r>
      <w:r>
        <w:rPr>
          <w:color w:val="231F20"/>
          <w:w w:val="105"/>
          <w:sz w:val="16"/>
        </w:rPr>
        <w:t>616; Hans-Dietrich Genscher 60</w:t>
      </w:r>
      <w:r>
        <w:rPr>
          <w:i/>
          <w:color w:val="231F20"/>
          <w:w w:val="105"/>
          <w:sz w:val="16"/>
        </w:rPr>
        <w:t xml:space="preserve">, </w:t>
      </w:r>
      <w:r>
        <w:rPr>
          <w:color w:val="231F20"/>
          <w:w w:val="105"/>
          <w:sz w:val="16"/>
        </w:rPr>
        <w:t>266</w:t>
      </w:r>
      <w:r>
        <w:rPr>
          <w:i/>
          <w:color w:val="231F20"/>
          <w:w w:val="105"/>
          <w:sz w:val="16"/>
        </w:rPr>
        <w:t>,</w:t>
      </w:r>
      <w:r>
        <w:rPr>
          <w:i/>
          <w:color w:val="231F20"/>
          <w:spacing w:val="-28"/>
          <w:w w:val="105"/>
          <w:sz w:val="16"/>
        </w:rPr>
        <w:t xml:space="preserve"> </w:t>
      </w:r>
      <w:r>
        <w:rPr>
          <w:color w:val="231F20"/>
          <w:w w:val="105"/>
          <w:sz w:val="16"/>
        </w:rPr>
        <w:t>585;</w:t>
      </w:r>
    </w:p>
    <w:p w14:paraId="6E61145D" w14:textId="77777777" w:rsidR="002653E8" w:rsidRDefault="003115E3">
      <w:pPr>
        <w:spacing w:before="1" w:line="280" w:lineRule="auto"/>
        <w:ind w:left="1527" w:right="-15"/>
        <w:rPr>
          <w:sz w:val="16"/>
        </w:rPr>
      </w:pPr>
      <w:r>
        <w:rPr>
          <w:color w:val="231F20"/>
          <w:w w:val="105"/>
          <w:sz w:val="16"/>
        </w:rPr>
        <w:t>Werner Maihofer 266</w:t>
      </w:r>
      <w:r>
        <w:rPr>
          <w:i/>
          <w:color w:val="231F20"/>
          <w:w w:val="105"/>
          <w:sz w:val="16"/>
        </w:rPr>
        <w:t xml:space="preserve">, </w:t>
      </w:r>
      <w:r>
        <w:rPr>
          <w:color w:val="231F20"/>
          <w:w w:val="105"/>
          <w:sz w:val="16"/>
        </w:rPr>
        <w:t>474</w:t>
      </w:r>
      <w:r>
        <w:rPr>
          <w:i/>
          <w:color w:val="231F20"/>
          <w:w w:val="105"/>
          <w:sz w:val="16"/>
        </w:rPr>
        <w:t xml:space="preserve">, </w:t>
      </w:r>
      <w:r>
        <w:rPr>
          <w:color w:val="231F20"/>
          <w:w w:val="105"/>
          <w:sz w:val="16"/>
        </w:rPr>
        <w:t xml:space="preserve">598; mentioned by </w:t>
      </w:r>
      <w:r w:rsidR="00C507A5">
        <w:rPr>
          <w:color w:val="231F20"/>
          <w:w w:val="105"/>
          <w:sz w:val="16"/>
        </w:rPr>
        <w:t>red army faction</w:t>
      </w:r>
      <w:r>
        <w:rPr>
          <w:color w:val="231F20"/>
          <w:w w:val="105"/>
          <w:sz w:val="16"/>
        </w:rPr>
        <w:t xml:space="preserve"> 123</w:t>
      </w:r>
      <w:r>
        <w:rPr>
          <w:i/>
          <w:color w:val="231F20"/>
          <w:w w:val="105"/>
          <w:sz w:val="16"/>
        </w:rPr>
        <w:t xml:space="preserve">, </w:t>
      </w:r>
      <w:r>
        <w:rPr>
          <w:color w:val="231F20"/>
          <w:w w:val="105"/>
          <w:sz w:val="16"/>
        </w:rPr>
        <w:t>175; Otto Schily 247; Gerhard Schröder 147; Rudolph</w:t>
      </w:r>
    </w:p>
    <w:p w14:paraId="1D57327E" w14:textId="77777777" w:rsidR="002653E8" w:rsidRDefault="003115E3">
      <w:pPr>
        <w:spacing w:before="2"/>
        <w:ind w:left="1527"/>
        <w:rPr>
          <w:sz w:val="16"/>
        </w:rPr>
      </w:pPr>
      <w:r>
        <w:rPr>
          <w:color w:val="231F20"/>
          <w:sz w:val="16"/>
        </w:rPr>
        <w:t>Seiters 623</w:t>
      </w:r>
    </w:p>
    <w:p w14:paraId="3538C53F" w14:textId="77777777" w:rsidR="002653E8" w:rsidRDefault="003115E3">
      <w:pPr>
        <w:spacing w:before="32" w:line="280" w:lineRule="auto"/>
        <w:ind w:left="1527" w:right="32" w:hanging="200"/>
        <w:rPr>
          <w:sz w:val="16"/>
        </w:rPr>
      </w:pPr>
      <w:r>
        <w:rPr>
          <w:color w:val="231F20"/>
          <w:sz w:val="16"/>
        </w:rPr>
        <w:t xml:space="preserve">Federal Republic of Germany; considered </w:t>
      </w:r>
      <w:r>
        <w:rPr>
          <w:color w:val="231F20"/>
          <w:w w:val="105"/>
          <w:sz w:val="16"/>
        </w:rPr>
        <w:t>a colony 17–18</w:t>
      </w:r>
      <w:r>
        <w:rPr>
          <w:i/>
          <w:color w:val="231F20"/>
          <w:w w:val="105"/>
          <w:sz w:val="16"/>
        </w:rPr>
        <w:t xml:space="preserve">, </w:t>
      </w:r>
      <w:r>
        <w:rPr>
          <w:color w:val="231F20"/>
          <w:w w:val="105"/>
          <w:sz w:val="16"/>
        </w:rPr>
        <w:t>198</w:t>
      </w:r>
      <w:r>
        <w:rPr>
          <w:i/>
          <w:color w:val="231F20"/>
          <w:w w:val="105"/>
          <w:sz w:val="16"/>
        </w:rPr>
        <w:t xml:space="preserve">, </w:t>
      </w:r>
      <w:r>
        <w:rPr>
          <w:color w:val="231F20"/>
          <w:w w:val="105"/>
          <w:sz w:val="16"/>
        </w:rPr>
        <w:t>424</w:t>
      </w:r>
      <w:r>
        <w:rPr>
          <w:i/>
          <w:color w:val="231F20"/>
          <w:w w:val="105"/>
          <w:sz w:val="16"/>
        </w:rPr>
        <w:t xml:space="preserve">, </w:t>
      </w:r>
      <w:r>
        <w:rPr>
          <w:color w:val="231F20"/>
          <w:w w:val="105"/>
          <w:sz w:val="16"/>
        </w:rPr>
        <w:t>434</w:t>
      </w:r>
      <w:r>
        <w:rPr>
          <w:i/>
          <w:color w:val="231F20"/>
          <w:w w:val="105"/>
          <w:sz w:val="16"/>
        </w:rPr>
        <w:t xml:space="preserve">, </w:t>
      </w:r>
      <w:r>
        <w:rPr>
          <w:color w:val="231F20"/>
          <w:w w:val="105"/>
          <w:sz w:val="16"/>
        </w:rPr>
        <w:t>615;</w:t>
      </w:r>
    </w:p>
    <w:p w14:paraId="5DF3C193" w14:textId="77777777" w:rsidR="002653E8" w:rsidRDefault="003115E3">
      <w:pPr>
        <w:spacing w:before="1" w:line="280" w:lineRule="auto"/>
        <w:ind w:left="1527" w:right="29"/>
        <w:rPr>
          <w:sz w:val="16"/>
        </w:rPr>
      </w:pPr>
      <w:r>
        <w:rPr>
          <w:color w:val="231F20"/>
          <w:w w:val="105"/>
          <w:sz w:val="16"/>
        </w:rPr>
        <w:t>“economic miracle” 7–10; foundation 6; sovereignty 11</w:t>
      </w:r>
      <w:r>
        <w:rPr>
          <w:i/>
          <w:color w:val="231F20"/>
          <w:w w:val="105"/>
          <w:sz w:val="16"/>
        </w:rPr>
        <w:t xml:space="preserve">, </w:t>
      </w:r>
      <w:r>
        <w:rPr>
          <w:color w:val="231F20"/>
          <w:w w:val="105"/>
          <w:sz w:val="16"/>
        </w:rPr>
        <w:t>413–415</w:t>
      </w:r>
    </w:p>
    <w:p w14:paraId="6B560D60" w14:textId="77777777" w:rsidR="002653E8" w:rsidRDefault="003115E3">
      <w:pPr>
        <w:spacing w:before="2" w:line="280" w:lineRule="auto"/>
        <w:ind w:left="1527" w:right="181" w:hanging="200"/>
        <w:rPr>
          <w:i/>
          <w:sz w:val="16"/>
        </w:rPr>
      </w:pPr>
      <w:r>
        <w:rPr>
          <w:color w:val="231F20"/>
          <w:sz w:val="16"/>
        </w:rPr>
        <w:t>Federal Republic of Germany—Imperialism 11–13</w:t>
      </w:r>
      <w:r>
        <w:rPr>
          <w:i/>
          <w:color w:val="231F20"/>
          <w:sz w:val="16"/>
        </w:rPr>
        <w:t xml:space="preserve">, </w:t>
      </w:r>
      <w:r>
        <w:rPr>
          <w:color w:val="231F20"/>
          <w:sz w:val="16"/>
        </w:rPr>
        <w:t>89</w:t>
      </w:r>
      <w:r>
        <w:rPr>
          <w:i/>
          <w:color w:val="231F20"/>
          <w:sz w:val="16"/>
        </w:rPr>
        <w:t xml:space="preserve">, </w:t>
      </w:r>
      <w:r>
        <w:rPr>
          <w:color w:val="231F20"/>
          <w:sz w:val="16"/>
        </w:rPr>
        <w:t>130</w:t>
      </w:r>
      <w:r>
        <w:rPr>
          <w:i/>
          <w:color w:val="231F20"/>
          <w:sz w:val="16"/>
        </w:rPr>
        <w:t xml:space="preserve">, </w:t>
      </w:r>
      <w:r>
        <w:rPr>
          <w:color w:val="231F20"/>
          <w:sz w:val="16"/>
        </w:rPr>
        <w:t>308</w:t>
      </w:r>
      <w:r>
        <w:rPr>
          <w:i/>
          <w:color w:val="231F20"/>
          <w:sz w:val="16"/>
        </w:rPr>
        <w:t xml:space="preserve">, </w:t>
      </w:r>
      <w:r>
        <w:rPr>
          <w:color w:val="231F20"/>
          <w:sz w:val="16"/>
        </w:rPr>
        <w:t>413–415</w:t>
      </w:r>
      <w:r>
        <w:rPr>
          <w:i/>
          <w:color w:val="231F20"/>
          <w:sz w:val="16"/>
        </w:rPr>
        <w:t>,</w:t>
      </w:r>
    </w:p>
    <w:p w14:paraId="5F4C0812" w14:textId="77777777" w:rsidR="002653E8" w:rsidRDefault="003115E3">
      <w:pPr>
        <w:spacing w:before="1"/>
        <w:ind w:left="1527"/>
        <w:rPr>
          <w:i/>
          <w:sz w:val="16"/>
        </w:rPr>
      </w:pPr>
      <w:r>
        <w:rPr>
          <w:color w:val="231F20"/>
          <w:w w:val="105"/>
          <w:sz w:val="16"/>
        </w:rPr>
        <w:t>425</w:t>
      </w:r>
      <w:r>
        <w:rPr>
          <w:i/>
          <w:color w:val="231F20"/>
          <w:w w:val="105"/>
          <w:sz w:val="16"/>
        </w:rPr>
        <w:t xml:space="preserve">, </w:t>
      </w:r>
      <w:r>
        <w:rPr>
          <w:color w:val="231F20"/>
          <w:w w:val="105"/>
          <w:sz w:val="16"/>
        </w:rPr>
        <w:t>430</w:t>
      </w:r>
      <w:r>
        <w:rPr>
          <w:i/>
          <w:color w:val="231F20"/>
          <w:w w:val="105"/>
          <w:sz w:val="16"/>
        </w:rPr>
        <w:t xml:space="preserve">, </w:t>
      </w:r>
      <w:r>
        <w:rPr>
          <w:color w:val="231F20"/>
          <w:w w:val="105"/>
          <w:sz w:val="16"/>
        </w:rPr>
        <w:t>503; development aid 12</w:t>
      </w:r>
      <w:r>
        <w:rPr>
          <w:i/>
          <w:color w:val="231F20"/>
          <w:w w:val="105"/>
          <w:sz w:val="16"/>
        </w:rPr>
        <w:t>,</w:t>
      </w:r>
    </w:p>
    <w:p w14:paraId="02DE7F79" w14:textId="77777777" w:rsidR="002653E8" w:rsidRDefault="003115E3">
      <w:pPr>
        <w:spacing w:before="32"/>
        <w:ind w:left="1527"/>
        <w:rPr>
          <w:i/>
          <w:sz w:val="16"/>
        </w:rPr>
      </w:pPr>
      <w:r>
        <w:rPr>
          <w:color w:val="231F20"/>
          <w:w w:val="110"/>
          <w:sz w:val="16"/>
        </w:rPr>
        <w:t>88</w:t>
      </w:r>
      <w:r>
        <w:rPr>
          <w:i/>
          <w:color w:val="231F20"/>
          <w:w w:val="110"/>
          <w:sz w:val="16"/>
        </w:rPr>
        <w:t>,</w:t>
      </w:r>
      <w:r>
        <w:rPr>
          <w:i/>
          <w:color w:val="231F20"/>
          <w:spacing w:val="-16"/>
          <w:w w:val="110"/>
          <w:sz w:val="16"/>
        </w:rPr>
        <w:t xml:space="preserve"> </w:t>
      </w:r>
      <w:r>
        <w:rPr>
          <w:color w:val="231F20"/>
          <w:w w:val="110"/>
          <w:sz w:val="16"/>
        </w:rPr>
        <w:t>125</w:t>
      </w:r>
      <w:r>
        <w:rPr>
          <w:i/>
          <w:color w:val="231F20"/>
          <w:w w:val="110"/>
          <w:sz w:val="16"/>
        </w:rPr>
        <w:t>,</w:t>
      </w:r>
      <w:r>
        <w:rPr>
          <w:i/>
          <w:color w:val="231F20"/>
          <w:spacing w:val="-16"/>
          <w:w w:val="110"/>
          <w:sz w:val="16"/>
        </w:rPr>
        <w:t xml:space="preserve"> </w:t>
      </w:r>
      <w:r>
        <w:rPr>
          <w:color w:val="231F20"/>
          <w:w w:val="110"/>
          <w:sz w:val="16"/>
        </w:rPr>
        <w:t>207</w:t>
      </w:r>
      <w:r>
        <w:rPr>
          <w:i/>
          <w:color w:val="231F20"/>
          <w:w w:val="110"/>
          <w:sz w:val="16"/>
        </w:rPr>
        <w:t>,</w:t>
      </w:r>
      <w:r>
        <w:rPr>
          <w:i/>
          <w:color w:val="231F20"/>
          <w:spacing w:val="-16"/>
          <w:w w:val="110"/>
          <w:sz w:val="16"/>
        </w:rPr>
        <w:t xml:space="preserve"> </w:t>
      </w:r>
      <w:r>
        <w:rPr>
          <w:color w:val="231F20"/>
          <w:w w:val="110"/>
          <w:sz w:val="16"/>
        </w:rPr>
        <w:t>212</w:t>
      </w:r>
      <w:r>
        <w:rPr>
          <w:i/>
          <w:color w:val="231F20"/>
          <w:w w:val="110"/>
          <w:sz w:val="16"/>
        </w:rPr>
        <w:t>,</w:t>
      </w:r>
      <w:r>
        <w:rPr>
          <w:i/>
          <w:color w:val="231F20"/>
          <w:spacing w:val="-16"/>
          <w:w w:val="110"/>
          <w:sz w:val="16"/>
        </w:rPr>
        <w:t xml:space="preserve"> </w:t>
      </w:r>
      <w:r>
        <w:rPr>
          <w:color w:val="231F20"/>
          <w:w w:val="110"/>
          <w:sz w:val="16"/>
        </w:rPr>
        <w:t>232</w:t>
      </w:r>
      <w:r>
        <w:rPr>
          <w:i/>
          <w:color w:val="231F20"/>
          <w:w w:val="110"/>
          <w:sz w:val="16"/>
        </w:rPr>
        <w:t>,</w:t>
      </w:r>
      <w:r>
        <w:rPr>
          <w:i/>
          <w:color w:val="231F20"/>
          <w:spacing w:val="-16"/>
          <w:w w:val="110"/>
          <w:sz w:val="16"/>
        </w:rPr>
        <w:t xml:space="preserve"> </w:t>
      </w:r>
      <w:r>
        <w:rPr>
          <w:color w:val="231F20"/>
          <w:w w:val="110"/>
          <w:sz w:val="16"/>
        </w:rPr>
        <w:t>233</w:t>
      </w:r>
      <w:r>
        <w:rPr>
          <w:i/>
          <w:color w:val="231F20"/>
          <w:w w:val="110"/>
          <w:sz w:val="16"/>
        </w:rPr>
        <w:t>,</w:t>
      </w:r>
      <w:r>
        <w:rPr>
          <w:i/>
          <w:color w:val="231F20"/>
          <w:spacing w:val="-16"/>
          <w:w w:val="110"/>
          <w:sz w:val="16"/>
        </w:rPr>
        <w:t xml:space="preserve"> </w:t>
      </w:r>
      <w:r>
        <w:rPr>
          <w:color w:val="231F20"/>
          <w:w w:val="110"/>
          <w:sz w:val="16"/>
        </w:rPr>
        <w:t>330</w:t>
      </w:r>
      <w:r>
        <w:rPr>
          <w:i/>
          <w:color w:val="231F20"/>
          <w:w w:val="110"/>
          <w:sz w:val="16"/>
        </w:rPr>
        <w:t>,</w:t>
      </w:r>
      <w:r>
        <w:rPr>
          <w:i/>
          <w:color w:val="231F20"/>
          <w:spacing w:val="-16"/>
          <w:w w:val="110"/>
          <w:sz w:val="16"/>
        </w:rPr>
        <w:t xml:space="preserve"> </w:t>
      </w:r>
      <w:r>
        <w:rPr>
          <w:color w:val="231F20"/>
          <w:w w:val="110"/>
          <w:sz w:val="16"/>
        </w:rPr>
        <w:t>332</w:t>
      </w:r>
      <w:r>
        <w:rPr>
          <w:i/>
          <w:color w:val="231F20"/>
          <w:w w:val="110"/>
          <w:sz w:val="16"/>
        </w:rPr>
        <w:t>,</w:t>
      </w:r>
    </w:p>
    <w:p w14:paraId="2CCCEBC5" w14:textId="77777777" w:rsidR="002653E8" w:rsidRDefault="003115E3">
      <w:pPr>
        <w:spacing w:before="32"/>
        <w:ind w:left="1527"/>
        <w:rPr>
          <w:i/>
          <w:sz w:val="16"/>
        </w:rPr>
      </w:pPr>
      <w:r>
        <w:rPr>
          <w:color w:val="231F20"/>
          <w:w w:val="105"/>
          <w:sz w:val="16"/>
        </w:rPr>
        <w:t>503</w:t>
      </w:r>
      <w:r>
        <w:rPr>
          <w:i/>
          <w:color w:val="231F20"/>
          <w:w w:val="105"/>
          <w:sz w:val="16"/>
        </w:rPr>
        <w:t xml:space="preserve">, </w:t>
      </w:r>
      <w:r>
        <w:rPr>
          <w:color w:val="231F20"/>
          <w:w w:val="105"/>
          <w:sz w:val="16"/>
        </w:rPr>
        <w:t>550</w:t>
      </w:r>
      <w:r>
        <w:rPr>
          <w:i/>
          <w:color w:val="231F20"/>
          <w:w w:val="105"/>
          <w:sz w:val="16"/>
        </w:rPr>
        <w:t xml:space="preserve">, </w:t>
      </w:r>
      <w:r>
        <w:rPr>
          <w:color w:val="231F20"/>
          <w:w w:val="105"/>
          <w:sz w:val="16"/>
        </w:rPr>
        <w:t>552; in Europe 207</w:t>
      </w:r>
      <w:r>
        <w:rPr>
          <w:i/>
          <w:color w:val="231F20"/>
          <w:w w:val="105"/>
          <w:sz w:val="16"/>
        </w:rPr>
        <w:t xml:space="preserve">, </w:t>
      </w:r>
      <w:r>
        <w:rPr>
          <w:color w:val="231F20"/>
          <w:w w:val="105"/>
          <w:sz w:val="16"/>
        </w:rPr>
        <w:t>379</w:t>
      </w:r>
      <w:r>
        <w:rPr>
          <w:i/>
          <w:color w:val="231F20"/>
          <w:w w:val="105"/>
          <w:sz w:val="16"/>
        </w:rPr>
        <w:t>,</w:t>
      </w:r>
    </w:p>
    <w:p w14:paraId="4C7DC1DB" w14:textId="77777777" w:rsidR="002653E8" w:rsidRDefault="003115E3">
      <w:pPr>
        <w:spacing w:before="33"/>
        <w:ind w:left="1527"/>
        <w:rPr>
          <w:sz w:val="16"/>
        </w:rPr>
      </w:pPr>
      <w:r>
        <w:rPr>
          <w:color w:val="231F20"/>
          <w:sz w:val="16"/>
        </w:rPr>
        <w:t>426</w:t>
      </w:r>
      <w:r>
        <w:rPr>
          <w:i/>
          <w:color w:val="231F20"/>
          <w:sz w:val="16"/>
        </w:rPr>
        <w:t xml:space="preserve">, </w:t>
      </w:r>
      <w:r>
        <w:rPr>
          <w:color w:val="231F20"/>
          <w:sz w:val="16"/>
        </w:rPr>
        <w:t>454</w:t>
      </w:r>
      <w:r>
        <w:rPr>
          <w:i/>
          <w:color w:val="231F20"/>
          <w:sz w:val="16"/>
        </w:rPr>
        <w:t xml:space="preserve">, </w:t>
      </w:r>
      <w:r>
        <w:rPr>
          <w:color w:val="231F20"/>
          <w:sz w:val="16"/>
        </w:rPr>
        <w:t>503; and Iran 124–128; and</w:t>
      </w:r>
    </w:p>
    <w:p w14:paraId="0F82BE83" w14:textId="77777777" w:rsidR="002653E8" w:rsidRDefault="003115E3">
      <w:pPr>
        <w:spacing w:before="32"/>
        <w:ind w:left="1527"/>
        <w:rPr>
          <w:i/>
          <w:sz w:val="16"/>
        </w:rPr>
      </w:pPr>
      <w:r>
        <w:rPr>
          <w:color w:val="231F20"/>
          <w:w w:val="110"/>
          <w:sz w:val="16"/>
        </w:rPr>
        <w:t>Israel 11</w:t>
      </w:r>
      <w:r>
        <w:rPr>
          <w:i/>
          <w:color w:val="231F20"/>
          <w:w w:val="110"/>
          <w:sz w:val="16"/>
        </w:rPr>
        <w:t xml:space="preserve">, </w:t>
      </w:r>
      <w:r>
        <w:rPr>
          <w:color w:val="231F20"/>
          <w:w w:val="110"/>
          <w:sz w:val="16"/>
        </w:rPr>
        <w:t>177</w:t>
      </w:r>
      <w:r>
        <w:rPr>
          <w:i/>
          <w:color w:val="231F20"/>
          <w:w w:val="110"/>
          <w:sz w:val="16"/>
        </w:rPr>
        <w:t xml:space="preserve">, </w:t>
      </w:r>
      <w:r>
        <w:rPr>
          <w:color w:val="231F20"/>
          <w:w w:val="110"/>
          <w:sz w:val="16"/>
        </w:rPr>
        <w:t>193</w:t>
      </w:r>
      <w:r>
        <w:rPr>
          <w:i/>
          <w:color w:val="231F20"/>
          <w:w w:val="110"/>
          <w:sz w:val="16"/>
        </w:rPr>
        <w:t xml:space="preserve">, </w:t>
      </w:r>
      <w:r>
        <w:rPr>
          <w:color w:val="231F20"/>
          <w:w w:val="110"/>
          <w:sz w:val="16"/>
        </w:rPr>
        <w:t>214</w:t>
      </w:r>
      <w:r>
        <w:rPr>
          <w:i/>
          <w:color w:val="231F20"/>
          <w:w w:val="110"/>
          <w:sz w:val="16"/>
        </w:rPr>
        <w:t xml:space="preserve">, </w:t>
      </w:r>
      <w:r>
        <w:rPr>
          <w:color w:val="231F20"/>
          <w:w w:val="110"/>
          <w:sz w:val="16"/>
        </w:rPr>
        <w:t>503–504</w:t>
      </w:r>
      <w:r>
        <w:rPr>
          <w:i/>
          <w:color w:val="231F20"/>
          <w:w w:val="110"/>
          <w:sz w:val="16"/>
        </w:rPr>
        <w:t>,</w:t>
      </w:r>
    </w:p>
    <w:p w14:paraId="25D353CD" w14:textId="77777777" w:rsidR="002653E8" w:rsidRDefault="003115E3">
      <w:pPr>
        <w:spacing w:before="86"/>
        <w:ind w:left="472"/>
        <w:rPr>
          <w:i/>
          <w:sz w:val="16"/>
        </w:rPr>
      </w:pPr>
      <w:r>
        <w:br w:type="column"/>
      </w:r>
      <w:r>
        <w:rPr>
          <w:color w:val="231F20"/>
          <w:w w:val="105"/>
          <w:sz w:val="16"/>
        </w:rPr>
        <w:t>550–553; military aid 12</w:t>
      </w:r>
      <w:r>
        <w:rPr>
          <w:i/>
          <w:color w:val="231F20"/>
          <w:w w:val="105"/>
          <w:sz w:val="16"/>
        </w:rPr>
        <w:t xml:space="preserve">, </w:t>
      </w:r>
      <w:r>
        <w:rPr>
          <w:color w:val="231F20"/>
          <w:w w:val="105"/>
          <w:sz w:val="16"/>
        </w:rPr>
        <w:t>97</w:t>
      </w:r>
      <w:r>
        <w:rPr>
          <w:i/>
          <w:color w:val="231F20"/>
          <w:w w:val="105"/>
          <w:sz w:val="16"/>
        </w:rPr>
        <w:t xml:space="preserve">, </w:t>
      </w:r>
      <w:r>
        <w:rPr>
          <w:color w:val="231F20"/>
          <w:w w:val="105"/>
          <w:sz w:val="16"/>
        </w:rPr>
        <w:t>131</w:t>
      </w:r>
      <w:r>
        <w:rPr>
          <w:i/>
          <w:color w:val="231F20"/>
          <w:w w:val="105"/>
          <w:sz w:val="16"/>
        </w:rPr>
        <w:t>,</w:t>
      </w:r>
    </w:p>
    <w:p w14:paraId="37429965" w14:textId="77777777" w:rsidR="002653E8" w:rsidRDefault="003115E3">
      <w:pPr>
        <w:spacing w:before="33"/>
        <w:ind w:left="472"/>
        <w:rPr>
          <w:i/>
          <w:sz w:val="16"/>
        </w:rPr>
      </w:pPr>
      <w:r>
        <w:rPr>
          <w:color w:val="231F20"/>
          <w:w w:val="105"/>
          <w:sz w:val="16"/>
        </w:rPr>
        <w:t>212</w:t>
      </w:r>
      <w:r>
        <w:rPr>
          <w:i/>
          <w:color w:val="231F20"/>
          <w:w w:val="105"/>
          <w:sz w:val="16"/>
        </w:rPr>
        <w:t xml:space="preserve">, </w:t>
      </w:r>
      <w:r>
        <w:rPr>
          <w:color w:val="231F20"/>
          <w:w w:val="105"/>
          <w:sz w:val="16"/>
        </w:rPr>
        <w:t>503</w:t>
      </w:r>
      <w:r>
        <w:rPr>
          <w:i/>
          <w:color w:val="231F20"/>
          <w:w w:val="105"/>
          <w:sz w:val="16"/>
        </w:rPr>
        <w:t xml:space="preserve">, </w:t>
      </w:r>
      <w:r>
        <w:rPr>
          <w:color w:val="231F20"/>
          <w:w w:val="105"/>
          <w:sz w:val="16"/>
        </w:rPr>
        <w:t>550–552; Vietnam War 11</w:t>
      </w:r>
      <w:r>
        <w:rPr>
          <w:i/>
          <w:color w:val="231F20"/>
          <w:w w:val="105"/>
          <w:sz w:val="16"/>
        </w:rPr>
        <w:t>,</w:t>
      </w:r>
    </w:p>
    <w:p w14:paraId="11037AD5" w14:textId="77777777" w:rsidR="002653E8" w:rsidRDefault="003115E3">
      <w:pPr>
        <w:spacing w:before="32"/>
        <w:ind w:left="472"/>
        <w:rPr>
          <w:sz w:val="16"/>
        </w:rPr>
      </w:pPr>
      <w:r>
        <w:rPr>
          <w:color w:val="231F20"/>
          <w:w w:val="110"/>
          <w:sz w:val="16"/>
        </w:rPr>
        <w:t>414</w:t>
      </w:r>
      <w:r>
        <w:rPr>
          <w:i/>
          <w:color w:val="231F20"/>
          <w:w w:val="110"/>
          <w:sz w:val="16"/>
        </w:rPr>
        <w:t xml:space="preserve">, </w:t>
      </w:r>
      <w:r>
        <w:rPr>
          <w:color w:val="231F20"/>
          <w:w w:val="110"/>
          <w:sz w:val="16"/>
        </w:rPr>
        <w:t>430</w:t>
      </w:r>
      <w:r>
        <w:rPr>
          <w:i/>
          <w:color w:val="231F20"/>
          <w:w w:val="110"/>
          <w:sz w:val="16"/>
        </w:rPr>
        <w:t xml:space="preserve">, </w:t>
      </w:r>
      <w:r>
        <w:rPr>
          <w:color w:val="231F20"/>
          <w:w w:val="110"/>
          <w:sz w:val="16"/>
        </w:rPr>
        <w:t>601</w:t>
      </w:r>
    </w:p>
    <w:p w14:paraId="4D8BE743" w14:textId="77777777" w:rsidR="002653E8" w:rsidRDefault="003115E3">
      <w:pPr>
        <w:spacing w:before="33" w:line="280" w:lineRule="auto"/>
        <w:ind w:left="472" w:right="1197" w:hanging="200"/>
        <w:rPr>
          <w:sz w:val="16"/>
        </w:rPr>
      </w:pPr>
      <w:r>
        <w:rPr>
          <w:color w:val="231F20"/>
          <w:sz w:val="16"/>
        </w:rPr>
        <w:t>Federal Supreme Court 627; force-feeding 259; mentioned in passing 101; neurological abuse of Ulrike Meinhof 241</w:t>
      </w:r>
      <w:r>
        <w:rPr>
          <w:i/>
          <w:color w:val="231F20"/>
          <w:sz w:val="16"/>
        </w:rPr>
        <w:t xml:space="preserve">, </w:t>
      </w:r>
      <w:r>
        <w:rPr>
          <w:color w:val="231F20"/>
          <w:sz w:val="16"/>
        </w:rPr>
        <w:t>319</w:t>
      </w:r>
      <w:r>
        <w:rPr>
          <w:i/>
          <w:color w:val="231F20"/>
          <w:sz w:val="16"/>
        </w:rPr>
        <w:t xml:space="preserve">, </w:t>
      </w:r>
      <w:r>
        <w:rPr>
          <w:color w:val="231F20"/>
          <w:sz w:val="16"/>
        </w:rPr>
        <w:t xml:space="preserve">593; </w:t>
      </w:r>
      <w:r w:rsidR="00C507A5">
        <w:rPr>
          <w:color w:val="231F20"/>
          <w:sz w:val="16"/>
        </w:rPr>
        <w:t>red army faction</w:t>
      </w:r>
      <w:r>
        <w:rPr>
          <w:color w:val="231F20"/>
          <w:sz w:val="16"/>
        </w:rPr>
        <w:t xml:space="preserve"> trials 176; seizing</w:t>
      </w:r>
    </w:p>
    <w:p w14:paraId="0B33E3CA" w14:textId="77777777" w:rsidR="002653E8" w:rsidRDefault="003115E3">
      <w:pPr>
        <w:spacing w:before="2" w:line="280" w:lineRule="auto"/>
        <w:ind w:left="472" w:right="1350"/>
        <w:jc w:val="both"/>
        <w:rPr>
          <w:sz w:val="16"/>
        </w:rPr>
      </w:pPr>
      <w:r>
        <w:rPr>
          <w:color w:val="231F20"/>
          <w:sz w:val="16"/>
        </w:rPr>
        <w:t>legal correspondence 344–345</w:t>
      </w:r>
      <w:r>
        <w:rPr>
          <w:i/>
          <w:color w:val="231F20"/>
          <w:sz w:val="16"/>
        </w:rPr>
        <w:t xml:space="preserve">, </w:t>
      </w:r>
      <w:r>
        <w:rPr>
          <w:color w:val="231F20"/>
          <w:sz w:val="16"/>
        </w:rPr>
        <w:t>596; trials proceeding without defendants 372</w:t>
      </w:r>
      <w:r>
        <w:rPr>
          <w:i/>
          <w:color w:val="231F20"/>
          <w:sz w:val="16"/>
        </w:rPr>
        <w:t xml:space="preserve">, </w:t>
      </w:r>
      <w:r>
        <w:rPr>
          <w:color w:val="231F20"/>
          <w:sz w:val="16"/>
        </w:rPr>
        <w:t>417</w:t>
      </w:r>
    </w:p>
    <w:p w14:paraId="60B665D1" w14:textId="77777777" w:rsidR="002653E8" w:rsidRDefault="003115E3">
      <w:pPr>
        <w:spacing w:before="1"/>
        <w:ind w:left="272"/>
        <w:rPr>
          <w:sz w:val="16"/>
        </w:rPr>
      </w:pPr>
      <w:r>
        <w:rPr>
          <w:color w:val="231F20"/>
          <w:sz w:val="16"/>
        </w:rPr>
        <w:t>Federation of Trade Unions 36</w:t>
      </w:r>
      <w:r>
        <w:rPr>
          <w:i/>
          <w:color w:val="231F20"/>
          <w:sz w:val="16"/>
        </w:rPr>
        <w:t xml:space="preserve">, </w:t>
      </w:r>
      <w:r>
        <w:rPr>
          <w:color w:val="231F20"/>
          <w:sz w:val="16"/>
        </w:rPr>
        <w:t>552</w:t>
      </w:r>
      <w:r>
        <w:rPr>
          <w:i/>
          <w:color w:val="231F20"/>
          <w:sz w:val="16"/>
        </w:rPr>
        <w:t xml:space="preserve">, </w:t>
      </w:r>
      <w:r>
        <w:rPr>
          <w:color w:val="231F20"/>
          <w:sz w:val="16"/>
        </w:rPr>
        <w:t>581</w:t>
      </w:r>
    </w:p>
    <w:p w14:paraId="506CEDEC" w14:textId="77777777" w:rsidR="002653E8" w:rsidRDefault="003115E3">
      <w:pPr>
        <w:spacing w:before="33"/>
        <w:ind w:left="272"/>
        <w:rPr>
          <w:sz w:val="16"/>
        </w:rPr>
      </w:pPr>
      <w:r>
        <w:rPr>
          <w:color w:val="231F20"/>
          <w:sz w:val="16"/>
        </w:rPr>
        <w:t>Feigenwinter, Gunhild 446</w:t>
      </w:r>
    </w:p>
    <w:p w14:paraId="7DF05F42" w14:textId="77777777" w:rsidR="002653E8" w:rsidRPr="00846956" w:rsidRDefault="003115E3">
      <w:pPr>
        <w:spacing w:before="32"/>
        <w:ind w:left="272"/>
        <w:rPr>
          <w:sz w:val="16"/>
          <w:lang w:val="de-DE"/>
        </w:rPr>
      </w:pPr>
      <w:r w:rsidRPr="00846956">
        <w:rPr>
          <w:color w:val="231F20"/>
          <w:w w:val="105"/>
          <w:sz w:val="16"/>
          <w:lang w:val="de-DE"/>
        </w:rPr>
        <w:t>Filbinger, Hans 181</w:t>
      </w:r>
      <w:r w:rsidRPr="00846956">
        <w:rPr>
          <w:i/>
          <w:color w:val="231F20"/>
          <w:w w:val="105"/>
          <w:sz w:val="16"/>
          <w:lang w:val="de-DE"/>
        </w:rPr>
        <w:t xml:space="preserve">, </w:t>
      </w:r>
      <w:r w:rsidRPr="00846956">
        <w:rPr>
          <w:color w:val="231F20"/>
          <w:w w:val="105"/>
          <w:sz w:val="16"/>
          <w:lang w:val="de-DE"/>
        </w:rPr>
        <w:t>532</w:t>
      </w:r>
      <w:r w:rsidRPr="00846956">
        <w:rPr>
          <w:i/>
          <w:color w:val="231F20"/>
          <w:w w:val="105"/>
          <w:sz w:val="16"/>
          <w:lang w:val="de-DE"/>
        </w:rPr>
        <w:t xml:space="preserve">, </w:t>
      </w:r>
      <w:r w:rsidRPr="00846956">
        <w:rPr>
          <w:color w:val="231F20"/>
          <w:w w:val="105"/>
          <w:sz w:val="16"/>
          <w:lang w:val="de-DE"/>
        </w:rPr>
        <w:t>567</w:t>
      </w:r>
    </w:p>
    <w:p w14:paraId="09834FBB" w14:textId="77777777" w:rsidR="002653E8" w:rsidRPr="00846956" w:rsidRDefault="003115E3">
      <w:pPr>
        <w:spacing w:before="33"/>
        <w:ind w:left="272"/>
        <w:rPr>
          <w:sz w:val="16"/>
          <w:lang w:val="de-DE"/>
        </w:rPr>
      </w:pPr>
      <w:r w:rsidRPr="00846956">
        <w:rPr>
          <w:color w:val="231F20"/>
          <w:w w:val="105"/>
          <w:sz w:val="16"/>
          <w:lang w:val="de-DE"/>
        </w:rPr>
        <w:t>Fink, Heinrich 626</w:t>
      </w:r>
    </w:p>
    <w:p w14:paraId="0D966A04" w14:textId="77777777" w:rsidR="002653E8" w:rsidRPr="00846956" w:rsidRDefault="003115E3">
      <w:pPr>
        <w:spacing w:before="32"/>
        <w:ind w:left="272"/>
        <w:rPr>
          <w:sz w:val="16"/>
          <w:lang w:val="de-DE"/>
        </w:rPr>
      </w:pPr>
      <w:r w:rsidRPr="00846956">
        <w:rPr>
          <w:color w:val="231F20"/>
          <w:w w:val="105"/>
          <w:sz w:val="16"/>
          <w:lang w:val="de-DE"/>
        </w:rPr>
        <w:t>Firma Agit-Druck 525</w:t>
      </w:r>
      <w:r w:rsidRPr="00846956">
        <w:rPr>
          <w:i/>
          <w:color w:val="231F20"/>
          <w:w w:val="105"/>
          <w:sz w:val="16"/>
          <w:lang w:val="de-DE"/>
        </w:rPr>
        <w:t xml:space="preserve">, </w:t>
      </w:r>
      <w:r w:rsidRPr="00846956">
        <w:rPr>
          <w:color w:val="231F20"/>
          <w:w w:val="105"/>
          <w:sz w:val="16"/>
          <w:lang w:val="de-DE"/>
        </w:rPr>
        <w:t>608</w:t>
      </w:r>
    </w:p>
    <w:p w14:paraId="5E6DCDF4" w14:textId="77777777" w:rsidR="002653E8" w:rsidRDefault="003115E3">
      <w:pPr>
        <w:spacing w:before="32"/>
        <w:ind w:left="272"/>
        <w:rPr>
          <w:sz w:val="16"/>
        </w:rPr>
      </w:pPr>
      <w:r>
        <w:rPr>
          <w:color w:val="231F20"/>
          <w:sz w:val="16"/>
        </w:rPr>
        <w:t>First International 373</w:t>
      </w:r>
    </w:p>
    <w:p w14:paraId="3582F3D1" w14:textId="77777777" w:rsidR="002653E8" w:rsidRDefault="003115E3">
      <w:pPr>
        <w:spacing w:before="33" w:line="280" w:lineRule="auto"/>
        <w:ind w:left="472" w:right="1197" w:hanging="200"/>
        <w:rPr>
          <w:sz w:val="16"/>
        </w:rPr>
      </w:pPr>
      <w:r>
        <w:rPr>
          <w:color w:val="231F20"/>
          <w:sz w:val="16"/>
        </w:rPr>
        <w:t>Fischer, Joschka 567; anti-guerilla position 201</w:t>
      </w:r>
      <w:r>
        <w:rPr>
          <w:i/>
          <w:color w:val="231F20"/>
          <w:sz w:val="16"/>
        </w:rPr>
        <w:t xml:space="preserve">, </w:t>
      </w:r>
      <w:r>
        <w:rPr>
          <w:color w:val="231F20"/>
          <w:sz w:val="16"/>
        </w:rPr>
        <w:t>441–443</w:t>
      </w:r>
      <w:r>
        <w:rPr>
          <w:i/>
          <w:color w:val="231F20"/>
          <w:sz w:val="16"/>
        </w:rPr>
        <w:t xml:space="preserve">, </w:t>
      </w:r>
      <w:r>
        <w:rPr>
          <w:color w:val="231F20"/>
          <w:sz w:val="16"/>
        </w:rPr>
        <w:t>538</w:t>
      </w:r>
      <w:r>
        <w:rPr>
          <w:i/>
          <w:color w:val="231F20"/>
          <w:sz w:val="16"/>
        </w:rPr>
        <w:t xml:space="preserve">, </w:t>
      </w:r>
      <w:r>
        <w:rPr>
          <w:color w:val="231F20"/>
          <w:sz w:val="16"/>
        </w:rPr>
        <w:t>601; Green</w:t>
      </w:r>
    </w:p>
    <w:p w14:paraId="7BD05B29" w14:textId="77777777" w:rsidR="002653E8" w:rsidRDefault="003115E3">
      <w:pPr>
        <w:spacing w:before="1"/>
        <w:ind w:left="472"/>
        <w:rPr>
          <w:sz w:val="16"/>
        </w:rPr>
      </w:pPr>
      <w:r>
        <w:rPr>
          <w:color w:val="231F20"/>
          <w:sz w:val="16"/>
        </w:rPr>
        <w:t>Party 443</w:t>
      </w:r>
      <w:r>
        <w:rPr>
          <w:i/>
          <w:color w:val="231F20"/>
          <w:sz w:val="16"/>
        </w:rPr>
        <w:t xml:space="preserve">, </w:t>
      </w:r>
      <w:r>
        <w:rPr>
          <w:color w:val="231F20"/>
          <w:sz w:val="16"/>
        </w:rPr>
        <w:t>626; Putz Group 442</w:t>
      </w:r>
      <w:r>
        <w:rPr>
          <w:i/>
          <w:color w:val="231F20"/>
          <w:sz w:val="16"/>
        </w:rPr>
        <w:t xml:space="preserve">, </w:t>
      </w:r>
      <w:r>
        <w:rPr>
          <w:color w:val="231F20"/>
          <w:sz w:val="16"/>
        </w:rPr>
        <w:t>443;</w:t>
      </w:r>
    </w:p>
    <w:p w14:paraId="0346239E" w14:textId="77777777" w:rsidR="002653E8" w:rsidRDefault="003115E3">
      <w:pPr>
        <w:spacing w:before="32"/>
        <w:ind w:left="472"/>
        <w:rPr>
          <w:sz w:val="16"/>
        </w:rPr>
      </w:pPr>
      <w:r>
        <w:rPr>
          <w:color w:val="231F20"/>
          <w:sz w:val="16"/>
        </w:rPr>
        <w:t>Revolutionary Struggle 436</w:t>
      </w:r>
    </w:p>
    <w:p w14:paraId="34D11148" w14:textId="77777777" w:rsidR="002653E8" w:rsidRPr="00846956" w:rsidRDefault="003115E3">
      <w:pPr>
        <w:spacing w:before="33"/>
        <w:ind w:left="272"/>
        <w:rPr>
          <w:sz w:val="16"/>
          <w:lang w:val="de-DE"/>
        </w:rPr>
      </w:pPr>
      <w:r w:rsidRPr="00846956">
        <w:rPr>
          <w:i/>
          <w:color w:val="231F20"/>
          <w:w w:val="105"/>
          <w:sz w:val="16"/>
          <w:lang w:val="de-DE"/>
        </w:rPr>
        <w:t xml:space="preserve">Floß der Medusa </w:t>
      </w:r>
      <w:r w:rsidRPr="00846956">
        <w:rPr>
          <w:color w:val="231F20"/>
          <w:w w:val="105"/>
          <w:sz w:val="16"/>
          <w:lang w:val="de-DE"/>
        </w:rPr>
        <w:t>247</w:t>
      </w:r>
    </w:p>
    <w:p w14:paraId="5390C96E" w14:textId="77777777" w:rsidR="002653E8" w:rsidRPr="00846956" w:rsidRDefault="003115E3">
      <w:pPr>
        <w:spacing w:before="32"/>
        <w:ind w:left="272"/>
        <w:rPr>
          <w:sz w:val="16"/>
          <w:lang w:val="de-DE"/>
        </w:rPr>
      </w:pPr>
      <w:r w:rsidRPr="00846956">
        <w:rPr>
          <w:color w:val="231F20"/>
          <w:w w:val="105"/>
          <w:sz w:val="16"/>
          <w:lang w:val="de-DE"/>
        </w:rPr>
        <w:t>Folkerts, Knut 567</w:t>
      </w:r>
      <w:r w:rsidRPr="00846956">
        <w:rPr>
          <w:i/>
          <w:color w:val="231F20"/>
          <w:w w:val="105"/>
          <w:sz w:val="16"/>
          <w:lang w:val="de-DE"/>
        </w:rPr>
        <w:t xml:space="preserve">, </w:t>
      </w:r>
      <w:r w:rsidRPr="00846956">
        <w:rPr>
          <w:color w:val="231F20"/>
          <w:w w:val="105"/>
          <w:sz w:val="16"/>
          <w:lang w:val="de-DE"/>
        </w:rPr>
        <w:t>605</w:t>
      </w:r>
      <w:r w:rsidRPr="00846956">
        <w:rPr>
          <w:i/>
          <w:color w:val="231F20"/>
          <w:w w:val="105"/>
          <w:sz w:val="16"/>
          <w:lang w:val="de-DE"/>
        </w:rPr>
        <w:t xml:space="preserve">, </w:t>
      </w:r>
      <w:r w:rsidRPr="00846956">
        <w:rPr>
          <w:color w:val="231F20"/>
          <w:w w:val="105"/>
          <w:sz w:val="16"/>
          <w:lang w:val="de-DE"/>
        </w:rPr>
        <w:t>623; Boock’s</w:t>
      </w:r>
    </w:p>
    <w:p w14:paraId="748C5C5F" w14:textId="77777777" w:rsidR="002653E8" w:rsidRDefault="003115E3">
      <w:pPr>
        <w:spacing w:before="33"/>
        <w:ind w:left="472"/>
        <w:rPr>
          <w:sz w:val="16"/>
        </w:rPr>
      </w:pPr>
      <w:r>
        <w:rPr>
          <w:color w:val="231F20"/>
          <w:sz w:val="16"/>
        </w:rPr>
        <w:t>Lies (1988)  527; Buback assassina-</w:t>
      </w:r>
    </w:p>
    <w:p w14:paraId="47C0996E" w14:textId="77777777" w:rsidR="002653E8" w:rsidRDefault="003115E3">
      <w:pPr>
        <w:spacing w:before="32"/>
        <w:ind w:left="472"/>
        <w:rPr>
          <w:sz w:val="16"/>
        </w:rPr>
      </w:pPr>
      <w:r>
        <w:rPr>
          <w:color w:val="231F20"/>
          <w:w w:val="105"/>
          <w:sz w:val="16"/>
        </w:rPr>
        <w:t>tion 470–471</w:t>
      </w:r>
      <w:r>
        <w:rPr>
          <w:i/>
          <w:color w:val="231F20"/>
          <w:w w:val="105"/>
          <w:sz w:val="16"/>
        </w:rPr>
        <w:t xml:space="preserve">, </w:t>
      </w:r>
      <w:r>
        <w:rPr>
          <w:color w:val="231F20"/>
          <w:w w:val="105"/>
          <w:sz w:val="16"/>
        </w:rPr>
        <w:t>471</w:t>
      </w:r>
      <w:r>
        <w:rPr>
          <w:i/>
          <w:color w:val="231F20"/>
          <w:w w:val="105"/>
          <w:sz w:val="16"/>
        </w:rPr>
        <w:t xml:space="preserve">, </w:t>
      </w:r>
      <w:r>
        <w:rPr>
          <w:color w:val="231F20"/>
          <w:w w:val="105"/>
          <w:sz w:val="16"/>
        </w:rPr>
        <w:t>627; captured</w:t>
      </w:r>
    </w:p>
    <w:p w14:paraId="42CAE09C" w14:textId="77777777" w:rsidR="002653E8" w:rsidRDefault="003115E3">
      <w:pPr>
        <w:spacing w:before="32"/>
        <w:ind w:left="472"/>
        <w:rPr>
          <w:sz w:val="16"/>
        </w:rPr>
      </w:pPr>
      <w:r>
        <w:rPr>
          <w:color w:val="231F20"/>
          <w:sz w:val="16"/>
        </w:rPr>
        <w:t>(1977) 480</w:t>
      </w:r>
      <w:r>
        <w:rPr>
          <w:i/>
          <w:color w:val="231F20"/>
          <w:sz w:val="16"/>
        </w:rPr>
        <w:t xml:space="preserve">, </w:t>
      </w:r>
      <w:r>
        <w:rPr>
          <w:color w:val="231F20"/>
          <w:sz w:val="16"/>
        </w:rPr>
        <w:t>607; Committees Against</w:t>
      </w:r>
    </w:p>
    <w:p w14:paraId="7C179DBB" w14:textId="77777777" w:rsidR="002653E8" w:rsidRDefault="003115E3">
      <w:pPr>
        <w:spacing w:before="33"/>
        <w:ind w:left="472"/>
        <w:rPr>
          <w:sz w:val="16"/>
        </w:rPr>
      </w:pPr>
      <w:r>
        <w:rPr>
          <w:color w:val="231F20"/>
          <w:sz w:val="16"/>
        </w:rPr>
        <w:t>Torture   253; konkret interview (1992)</w:t>
      </w:r>
    </w:p>
    <w:p w14:paraId="310AFFB4" w14:textId="77777777" w:rsidR="002653E8" w:rsidRDefault="003115E3">
      <w:pPr>
        <w:spacing w:before="32"/>
        <w:ind w:left="472"/>
        <w:rPr>
          <w:sz w:val="16"/>
        </w:rPr>
      </w:pPr>
      <w:r>
        <w:rPr>
          <w:color w:val="231F20"/>
          <w:sz w:val="16"/>
        </w:rPr>
        <w:t>622; prison  523; released (1995)  625;</w:t>
      </w:r>
    </w:p>
    <w:p w14:paraId="0E005E1B" w14:textId="77777777" w:rsidR="002653E8" w:rsidRDefault="003115E3">
      <w:pPr>
        <w:spacing w:before="33"/>
        <w:ind w:left="472"/>
        <w:rPr>
          <w:sz w:val="16"/>
        </w:rPr>
      </w:pPr>
      <w:r>
        <w:rPr>
          <w:color w:val="231F20"/>
          <w:sz w:val="16"/>
        </w:rPr>
        <w:t>trial (1977, Holland)   609; trial  (1980,</w:t>
      </w:r>
    </w:p>
    <w:p w14:paraId="3F26F0C0" w14:textId="77777777" w:rsidR="002653E8" w:rsidRPr="00846956" w:rsidRDefault="003115E3">
      <w:pPr>
        <w:spacing w:before="32"/>
        <w:ind w:left="472"/>
        <w:rPr>
          <w:sz w:val="16"/>
          <w:lang w:val="de-DE"/>
        </w:rPr>
      </w:pPr>
      <w:r w:rsidRPr="00846956">
        <w:rPr>
          <w:color w:val="231F20"/>
          <w:w w:val="110"/>
          <w:sz w:val="16"/>
          <w:lang w:val="de-DE"/>
        </w:rPr>
        <w:t>FRG) 613</w:t>
      </w:r>
    </w:p>
    <w:p w14:paraId="53EEBF67" w14:textId="77777777" w:rsidR="002653E8" w:rsidRPr="00846956" w:rsidRDefault="003115E3">
      <w:pPr>
        <w:spacing w:before="32"/>
        <w:ind w:left="272"/>
        <w:rPr>
          <w:sz w:val="16"/>
          <w:lang w:val="de-DE"/>
        </w:rPr>
      </w:pPr>
      <w:r w:rsidRPr="00846956">
        <w:rPr>
          <w:color w:val="231F20"/>
          <w:w w:val="105"/>
          <w:sz w:val="16"/>
          <w:lang w:val="de-DE"/>
        </w:rPr>
        <w:t>Folkerts, Uwe 472–473</w:t>
      </w:r>
      <w:r w:rsidRPr="00846956">
        <w:rPr>
          <w:i/>
          <w:color w:val="231F20"/>
          <w:w w:val="105"/>
          <w:sz w:val="16"/>
          <w:lang w:val="de-DE"/>
        </w:rPr>
        <w:t xml:space="preserve">, </w:t>
      </w:r>
      <w:r w:rsidRPr="00846956">
        <w:rPr>
          <w:color w:val="231F20"/>
          <w:w w:val="105"/>
          <w:sz w:val="16"/>
          <w:lang w:val="de-DE"/>
        </w:rPr>
        <w:t>567</w:t>
      </w:r>
      <w:r w:rsidRPr="00846956">
        <w:rPr>
          <w:i/>
          <w:color w:val="231F20"/>
          <w:w w:val="105"/>
          <w:sz w:val="16"/>
          <w:lang w:val="de-DE"/>
        </w:rPr>
        <w:t xml:space="preserve">, </w:t>
      </w:r>
      <w:r w:rsidRPr="00846956">
        <w:rPr>
          <w:color w:val="231F20"/>
          <w:w w:val="105"/>
          <w:sz w:val="16"/>
          <w:lang w:val="de-DE"/>
        </w:rPr>
        <w:t>605</w:t>
      </w:r>
    </w:p>
    <w:p w14:paraId="0931C177" w14:textId="77777777" w:rsidR="002653E8" w:rsidRPr="00846956" w:rsidRDefault="003115E3">
      <w:pPr>
        <w:spacing w:before="33"/>
        <w:ind w:left="272"/>
        <w:rPr>
          <w:sz w:val="16"/>
          <w:lang w:val="de-DE"/>
        </w:rPr>
      </w:pPr>
      <w:r w:rsidRPr="00846956">
        <w:rPr>
          <w:color w:val="231F20"/>
          <w:sz w:val="16"/>
          <w:lang w:val="de-DE"/>
        </w:rPr>
        <w:t>Ford 4</w:t>
      </w:r>
    </w:p>
    <w:p w14:paraId="54D7AD0C" w14:textId="77777777" w:rsidR="002653E8" w:rsidRDefault="003115E3">
      <w:pPr>
        <w:spacing w:before="32"/>
        <w:ind w:left="272"/>
        <w:rPr>
          <w:sz w:val="16"/>
        </w:rPr>
      </w:pPr>
      <w:r>
        <w:rPr>
          <w:color w:val="231F20"/>
          <w:w w:val="105"/>
          <w:sz w:val="16"/>
        </w:rPr>
        <w:t>Foreigners Act 42</w:t>
      </w:r>
      <w:r>
        <w:rPr>
          <w:i/>
          <w:color w:val="231F20"/>
          <w:w w:val="105"/>
          <w:sz w:val="16"/>
        </w:rPr>
        <w:t xml:space="preserve">, </w:t>
      </w:r>
      <w:r>
        <w:rPr>
          <w:color w:val="231F20"/>
          <w:w w:val="105"/>
          <w:sz w:val="16"/>
        </w:rPr>
        <w:t>124</w:t>
      </w:r>
      <w:r>
        <w:rPr>
          <w:i/>
          <w:color w:val="231F20"/>
          <w:w w:val="105"/>
          <w:sz w:val="16"/>
        </w:rPr>
        <w:t xml:space="preserve">, </w:t>
      </w:r>
      <w:r>
        <w:rPr>
          <w:color w:val="231F20"/>
          <w:w w:val="105"/>
          <w:sz w:val="16"/>
        </w:rPr>
        <w:t>140</w:t>
      </w:r>
      <w:r>
        <w:rPr>
          <w:i/>
          <w:color w:val="231F20"/>
          <w:w w:val="105"/>
          <w:sz w:val="16"/>
        </w:rPr>
        <w:t xml:space="preserve">, </w:t>
      </w:r>
      <w:r>
        <w:rPr>
          <w:color w:val="231F20"/>
          <w:w w:val="105"/>
          <w:sz w:val="16"/>
        </w:rPr>
        <w:t>149</w:t>
      </w:r>
      <w:r>
        <w:rPr>
          <w:i/>
          <w:color w:val="231F20"/>
          <w:w w:val="105"/>
          <w:sz w:val="16"/>
        </w:rPr>
        <w:t xml:space="preserve">, </w:t>
      </w:r>
      <w:r>
        <w:rPr>
          <w:color w:val="231F20"/>
          <w:w w:val="105"/>
          <w:sz w:val="16"/>
        </w:rPr>
        <w:t>183</w:t>
      </w:r>
    </w:p>
    <w:p w14:paraId="711695C0" w14:textId="77777777" w:rsidR="002653E8" w:rsidRDefault="003115E3">
      <w:pPr>
        <w:spacing w:before="33"/>
        <w:ind w:left="272"/>
        <w:rPr>
          <w:sz w:val="16"/>
        </w:rPr>
      </w:pPr>
      <w:r>
        <w:rPr>
          <w:color w:val="231F20"/>
          <w:w w:val="105"/>
          <w:sz w:val="16"/>
        </w:rPr>
        <w:t>Foucault, Michel 526</w:t>
      </w:r>
    </w:p>
    <w:p w14:paraId="0A7BD247" w14:textId="77777777" w:rsidR="002653E8" w:rsidRDefault="003115E3">
      <w:pPr>
        <w:spacing w:before="32" w:line="280" w:lineRule="auto"/>
        <w:ind w:left="472" w:right="1197" w:hanging="200"/>
        <w:rPr>
          <w:sz w:val="16"/>
        </w:rPr>
      </w:pPr>
      <w:r>
        <w:rPr>
          <w:color w:val="231F20"/>
          <w:w w:val="105"/>
          <w:sz w:val="16"/>
        </w:rPr>
        <w:t>France 4</w:t>
      </w:r>
      <w:r>
        <w:rPr>
          <w:i/>
          <w:color w:val="231F20"/>
          <w:w w:val="105"/>
          <w:sz w:val="16"/>
        </w:rPr>
        <w:t xml:space="preserve">, </w:t>
      </w:r>
      <w:r>
        <w:rPr>
          <w:color w:val="231F20"/>
          <w:w w:val="105"/>
          <w:sz w:val="16"/>
        </w:rPr>
        <w:t>440</w:t>
      </w:r>
      <w:r>
        <w:rPr>
          <w:i/>
          <w:color w:val="231F20"/>
          <w:w w:val="105"/>
          <w:sz w:val="16"/>
        </w:rPr>
        <w:t xml:space="preserve">. See also </w:t>
      </w:r>
      <w:r>
        <w:rPr>
          <w:color w:val="231F20"/>
          <w:w w:val="105"/>
          <w:sz w:val="16"/>
        </w:rPr>
        <w:t>Action Directe; and Algeria 23</w:t>
      </w:r>
      <w:r>
        <w:rPr>
          <w:i/>
          <w:color w:val="231F20"/>
          <w:w w:val="105"/>
          <w:sz w:val="16"/>
        </w:rPr>
        <w:t xml:space="preserve">, </w:t>
      </w:r>
      <w:r>
        <w:rPr>
          <w:color w:val="231F20"/>
          <w:w w:val="105"/>
          <w:sz w:val="16"/>
        </w:rPr>
        <w:t>480; asylum for Klaus Croissant 473</w:t>
      </w:r>
      <w:r>
        <w:rPr>
          <w:i/>
          <w:color w:val="231F20"/>
          <w:w w:val="105"/>
          <w:sz w:val="16"/>
        </w:rPr>
        <w:t xml:space="preserve">, </w:t>
      </w:r>
      <w:r>
        <w:rPr>
          <w:color w:val="231F20"/>
          <w:w w:val="105"/>
          <w:sz w:val="16"/>
        </w:rPr>
        <w:t>526</w:t>
      </w:r>
      <w:r>
        <w:rPr>
          <w:i/>
          <w:color w:val="231F20"/>
          <w:w w:val="105"/>
          <w:sz w:val="16"/>
        </w:rPr>
        <w:t xml:space="preserve">, </w:t>
      </w:r>
      <w:r>
        <w:rPr>
          <w:color w:val="231F20"/>
          <w:w w:val="105"/>
          <w:sz w:val="16"/>
        </w:rPr>
        <w:t>605</w:t>
      </w:r>
      <w:r>
        <w:rPr>
          <w:i/>
          <w:color w:val="231F20"/>
          <w:w w:val="105"/>
          <w:sz w:val="16"/>
        </w:rPr>
        <w:t xml:space="preserve">, </w:t>
      </w:r>
      <w:r>
        <w:rPr>
          <w:color w:val="231F20"/>
          <w:w w:val="105"/>
          <w:sz w:val="16"/>
        </w:rPr>
        <w:t>608; radical</w:t>
      </w:r>
    </w:p>
    <w:p w14:paraId="4B3E9415" w14:textId="77777777" w:rsidR="002653E8" w:rsidRDefault="003115E3">
      <w:pPr>
        <w:spacing w:before="2"/>
        <w:ind w:left="472"/>
        <w:rPr>
          <w:i/>
          <w:sz w:val="16"/>
        </w:rPr>
      </w:pPr>
      <w:r>
        <w:rPr>
          <w:color w:val="231F20"/>
          <w:w w:val="105"/>
          <w:sz w:val="16"/>
        </w:rPr>
        <w:t>left 57</w:t>
      </w:r>
      <w:r>
        <w:rPr>
          <w:i/>
          <w:color w:val="231F20"/>
          <w:w w:val="105"/>
          <w:sz w:val="16"/>
        </w:rPr>
        <w:t xml:space="preserve">, </w:t>
      </w:r>
      <w:r>
        <w:rPr>
          <w:color w:val="231F20"/>
          <w:w w:val="105"/>
          <w:sz w:val="16"/>
        </w:rPr>
        <w:t xml:space="preserve">522–523; and </w:t>
      </w:r>
      <w:r w:rsidR="00C507A5">
        <w:rPr>
          <w:color w:val="231F20"/>
          <w:w w:val="105"/>
          <w:sz w:val="16"/>
        </w:rPr>
        <w:t>red army faction</w:t>
      </w:r>
      <w:r>
        <w:rPr>
          <w:color w:val="231F20"/>
          <w:w w:val="105"/>
          <w:sz w:val="16"/>
        </w:rPr>
        <w:t xml:space="preserve"> 50</w:t>
      </w:r>
      <w:r>
        <w:rPr>
          <w:i/>
          <w:color w:val="231F20"/>
          <w:w w:val="105"/>
          <w:sz w:val="16"/>
        </w:rPr>
        <w:t xml:space="preserve">, </w:t>
      </w:r>
      <w:r>
        <w:rPr>
          <w:color w:val="231F20"/>
          <w:w w:val="105"/>
          <w:sz w:val="16"/>
        </w:rPr>
        <w:t>388</w:t>
      </w:r>
      <w:r>
        <w:rPr>
          <w:i/>
          <w:color w:val="231F20"/>
          <w:w w:val="105"/>
          <w:sz w:val="16"/>
        </w:rPr>
        <w:t>,</w:t>
      </w:r>
    </w:p>
    <w:p w14:paraId="3AC3BC80" w14:textId="77777777" w:rsidR="002653E8" w:rsidRPr="00846956" w:rsidRDefault="003115E3">
      <w:pPr>
        <w:spacing w:before="32"/>
        <w:ind w:left="472"/>
        <w:rPr>
          <w:i/>
          <w:sz w:val="16"/>
          <w:lang w:val="de-DE"/>
        </w:rPr>
      </w:pPr>
      <w:r w:rsidRPr="00846956">
        <w:rPr>
          <w:color w:val="231F20"/>
          <w:w w:val="105"/>
          <w:sz w:val="16"/>
          <w:lang w:val="de-DE"/>
        </w:rPr>
        <w:t>501</w:t>
      </w:r>
      <w:r w:rsidRPr="00846956">
        <w:rPr>
          <w:i/>
          <w:color w:val="231F20"/>
          <w:w w:val="105"/>
          <w:sz w:val="16"/>
          <w:lang w:val="de-DE"/>
        </w:rPr>
        <w:t xml:space="preserve">, </w:t>
      </w:r>
      <w:r w:rsidRPr="00846956">
        <w:rPr>
          <w:color w:val="231F20"/>
          <w:w w:val="105"/>
          <w:sz w:val="16"/>
          <w:lang w:val="de-DE"/>
        </w:rPr>
        <w:t>613</w:t>
      </w:r>
      <w:r w:rsidRPr="00846956">
        <w:rPr>
          <w:i/>
          <w:color w:val="231F20"/>
          <w:w w:val="105"/>
          <w:sz w:val="16"/>
          <w:lang w:val="de-DE"/>
        </w:rPr>
        <w:t xml:space="preserve">, </w:t>
      </w:r>
      <w:r w:rsidRPr="00846956">
        <w:rPr>
          <w:color w:val="231F20"/>
          <w:w w:val="105"/>
          <w:sz w:val="16"/>
          <w:lang w:val="de-DE"/>
        </w:rPr>
        <w:t>614; women’s movement 42</w:t>
      </w:r>
      <w:r w:rsidRPr="00846956">
        <w:rPr>
          <w:i/>
          <w:color w:val="231F20"/>
          <w:w w:val="105"/>
          <w:sz w:val="16"/>
          <w:lang w:val="de-DE"/>
        </w:rPr>
        <w:t>,</w:t>
      </w:r>
    </w:p>
    <w:p w14:paraId="0223504C" w14:textId="77777777" w:rsidR="002653E8" w:rsidRPr="00846956" w:rsidRDefault="003115E3">
      <w:pPr>
        <w:spacing w:before="33"/>
        <w:ind w:left="472"/>
        <w:rPr>
          <w:sz w:val="16"/>
          <w:lang w:val="de-DE"/>
        </w:rPr>
      </w:pPr>
      <w:r w:rsidRPr="00846956">
        <w:rPr>
          <w:color w:val="231F20"/>
          <w:w w:val="105"/>
          <w:sz w:val="16"/>
          <w:lang w:val="de-DE"/>
        </w:rPr>
        <w:t>446</w:t>
      </w:r>
      <w:r w:rsidRPr="00846956">
        <w:rPr>
          <w:i/>
          <w:color w:val="231F20"/>
          <w:w w:val="105"/>
          <w:sz w:val="16"/>
          <w:lang w:val="de-DE"/>
        </w:rPr>
        <w:t xml:space="preserve">, </w:t>
      </w:r>
      <w:r w:rsidRPr="00846956">
        <w:rPr>
          <w:color w:val="231F20"/>
          <w:w w:val="105"/>
          <w:sz w:val="16"/>
          <w:lang w:val="de-DE"/>
        </w:rPr>
        <w:t>537</w:t>
      </w:r>
    </w:p>
    <w:p w14:paraId="1FCC2643" w14:textId="77777777" w:rsidR="002653E8" w:rsidRPr="00846956" w:rsidRDefault="003115E3">
      <w:pPr>
        <w:spacing w:before="32"/>
        <w:ind w:left="272"/>
        <w:rPr>
          <w:sz w:val="16"/>
          <w:lang w:val="de-DE"/>
        </w:rPr>
      </w:pPr>
      <w:r w:rsidRPr="00846956">
        <w:rPr>
          <w:color w:val="231F20"/>
          <w:sz w:val="16"/>
          <w:lang w:val="de-DE"/>
        </w:rPr>
        <w:t>Franco, Francisco 179</w:t>
      </w:r>
    </w:p>
    <w:p w14:paraId="75E4AA16" w14:textId="77777777" w:rsidR="002653E8" w:rsidRPr="00846956" w:rsidRDefault="003115E3">
      <w:pPr>
        <w:spacing w:before="32" w:line="280" w:lineRule="auto"/>
        <w:ind w:left="472" w:right="1218" w:hanging="200"/>
        <w:rPr>
          <w:sz w:val="16"/>
          <w:lang w:val="de-DE"/>
        </w:rPr>
      </w:pPr>
      <w:r w:rsidRPr="00846956">
        <w:rPr>
          <w:i/>
          <w:color w:val="231F20"/>
          <w:w w:val="105"/>
          <w:sz w:val="16"/>
          <w:lang w:val="de-DE"/>
        </w:rPr>
        <w:t xml:space="preserve">Frankfurter Allgemeine Zeitung </w:t>
      </w:r>
      <w:r w:rsidRPr="00846956">
        <w:rPr>
          <w:color w:val="231F20"/>
          <w:w w:val="105"/>
          <w:sz w:val="16"/>
          <w:lang w:val="de-DE"/>
        </w:rPr>
        <w:t>379</w:t>
      </w:r>
      <w:r w:rsidRPr="00846956">
        <w:rPr>
          <w:i/>
          <w:color w:val="231F20"/>
          <w:w w:val="105"/>
          <w:sz w:val="16"/>
          <w:lang w:val="de-DE"/>
        </w:rPr>
        <w:t xml:space="preserve">, </w:t>
      </w:r>
      <w:r w:rsidRPr="00846956">
        <w:rPr>
          <w:color w:val="231F20"/>
          <w:w w:val="105"/>
          <w:sz w:val="16"/>
          <w:lang w:val="de-DE"/>
        </w:rPr>
        <w:t>413;</w:t>
      </w:r>
      <w:r w:rsidRPr="00846956">
        <w:rPr>
          <w:color w:val="231F20"/>
          <w:spacing w:val="-14"/>
          <w:w w:val="105"/>
          <w:sz w:val="16"/>
          <w:lang w:val="de-DE"/>
        </w:rPr>
        <w:t xml:space="preserve"> </w:t>
      </w:r>
      <w:r w:rsidRPr="00846956">
        <w:rPr>
          <w:color w:val="231F20"/>
          <w:w w:val="105"/>
          <w:sz w:val="16"/>
          <w:lang w:val="de-DE"/>
        </w:rPr>
        <w:t>“Ulrike</w:t>
      </w:r>
      <w:r w:rsidRPr="00846956">
        <w:rPr>
          <w:color w:val="231F20"/>
          <w:spacing w:val="-5"/>
          <w:w w:val="105"/>
          <w:sz w:val="16"/>
          <w:lang w:val="de-DE"/>
        </w:rPr>
        <w:t xml:space="preserve"> </w:t>
      </w:r>
      <w:r w:rsidRPr="00846956">
        <w:rPr>
          <w:color w:val="231F20"/>
          <w:w w:val="105"/>
          <w:sz w:val="16"/>
          <w:lang w:val="de-DE"/>
        </w:rPr>
        <w:t>Meinhof</w:t>
      </w:r>
      <w:r w:rsidRPr="00846956">
        <w:rPr>
          <w:color w:val="231F20"/>
          <w:spacing w:val="-5"/>
          <w:w w:val="105"/>
          <w:sz w:val="16"/>
          <w:lang w:val="de-DE"/>
        </w:rPr>
        <w:t xml:space="preserve"> </w:t>
      </w:r>
      <w:r w:rsidRPr="00846956">
        <w:rPr>
          <w:color w:val="231F20"/>
          <w:w w:val="105"/>
          <w:sz w:val="16"/>
          <w:lang w:val="de-DE"/>
        </w:rPr>
        <w:t>läßt</w:t>
      </w:r>
      <w:r w:rsidRPr="00846956">
        <w:rPr>
          <w:color w:val="231F20"/>
          <w:spacing w:val="-5"/>
          <w:w w:val="105"/>
          <w:sz w:val="16"/>
          <w:lang w:val="de-DE"/>
        </w:rPr>
        <w:t xml:space="preserve"> </w:t>
      </w:r>
      <w:r w:rsidRPr="00846956">
        <w:rPr>
          <w:color w:val="231F20"/>
          <w:w w:val="105"/>
          <w:sz w:val="16"/>
          <w:lang w:val="de-DE"/>
        </w:rPr>
        <w:t>sich</w:t>
      </w:r>
      <w:r w:rsidRPr="00846956">
        <w:rPr>
          <w:color w:val="231F20"/>
          <w:spacing w:val="-5"/>
          <w:w w:val="105"/>
          <w:sz w:val="16"/>
          <w:lang w:val="de-DE"/>
        </w:rPr>
        <w:t xml:space="preserve"> </w:t>
      </w:r>
      <w:r w:rsidRPr="00846956">
        <w:rPr>
          <w:color w:val="231F20"/>
          <w:w w:val="105"/>
          <w:sz w:val="16"/>
          <w:lang w:val="de-DE"/>
        </w:rPr>
        <w:t>nur</w:t>
      </w:r>
      <w:r w:rsidRPr="00846956">
        <w:rPr>
          <w:color w:val="231F20"/>
          <w:spacing w:val="-5"/>
          <w:w w:val="105"/>
          <w:sz w:val="16"/>
          <w:lang w:val="de-DE"/>
        </w:rPr>
        <w:t xml:space="preserve"> </w:t>
      </w:r>
      <w:r w:rsidRPr="00846956">
        <w:rPr>
          <w:color w:val="231F20"/>
          <w:w w:val="105"/>
          <w:sz w:val="16"/>
          <w:lang w:val="de-DE"/>
        </w:rPr>
        <w:t>die Stichwort geben” 196</w:t>
      </w:r>
      <w:r w:rsidRPr="00846956">
        <w:rPr>
          <w:i/>
          <w:color w:val="231F20"/>
          <w:w w:val="105"/>
          <w:sz w:val="16"/>
          <w:lang w:val="de-DE"/>
        </w:rPr>
        <w:t xml:space="preserve">, </w:t>
      </w:r>
      <w:r w:rsidRPr="00846956">
        <w:rPr>
          <w:color w:val="231F20"/>
          <w:w w:val="105"/>
          <w:sz w:val="16"/>
          <w:lang w:val="de-DE"/>
        </w:rPr>
        <w:t>197</w:t>
      </w:r>
      <w:r w:rsidRPr="00846956">
        <w:rPr>
          <w:i/>
          <w:color w:val="231F20"/>
          <w:w w:val="105"/>
          <w:sz w:val="16"/>
          <w:lang w:val="de-DE"/>
        </w:rPr>
        <w:t>,</w:t>
      </w:r>
      <w:r w:rsidRPr="00846956">
        <w:rPr>
          <w:i/>
          <w:color w:val="231F20"/>
          <w:spacing w:val="-3"/>
          <w:w w:val="105"/>
          <w:sz w:val="16"/>
          <w:lang w:val="de-DE"/>
        </w:rPr>
        <w:t xml:space="preserve"> </w:t>
      </w:r>
      <w:r w:rsidRPr="00846956">
        <w:rPr>
          <w:color w:val="231F20"/>
          <w:w w:val="105"/>
          <w:sz w:val="16"/>
          <w:lang w:val="de-DE"/>
        </w:rPr>
        <w:t>544–547</w:t>
      </w:r>
    </w:p>
    <w:p w14:paraId="605E055A" w14:textId="77777777" w:rsidR="002653E8" w:rsidRPr="00846956" w:rsidRDefault="003115E3">
      <w:pPr>
        <w:spacing w:before="2" w:line="280" w:lineRule="auto"/>
        <w:ind w:left="272" w:right="1256"/>
        <w:rPr>
          <w:sz w:val="16"/>
          <w:lang w:val="de-DE"/>
        </w:rPr>
      </w:pPr>
      <w:r w:rsidRPr="00846956">
        <w:rPr>
          <w:i/>
          <w:color w:val="231F20"/>
          <w:sz w:val="16"/>
          <w:lang w:val="de-DE"/>
        </w:rPr>
        <w:t xml:space="preserve">Frankfurter Rundschau </w:t>
      </w:r>
      <w:r w:rsidRPr="00846956">
        <w:rPr>
          <w:color w:val="231F20"/>
          <w:sz w:val="16"/>
          <w:lang w:val="de-DE"/>
        </w:rPr>
        <w:t>179</w:t>
      </w:r>
      <w:r w:rsidRPr="00846956">
        <w:rPr>
          <w:i/>
          <w:color w:val="231F20"/>
          <w:sz w:val="16"/>
          <w:lang w:val="de-DE"/>
        </w:rPr>
        <w:t xml:space="preserve">, </w:t>
      </w:r>
      <w:r w:rsidRPr="00846956">
        <w:rPr>
          <w:color w:val="231F20"/>
          <w:sz w:val="16"/>
          <w:lang w:val="de-DE"/>
        </w:rPr>
        <w:t>379 Frankfurt Legal Collective 250</w:t>
      </w:r>
    </w:p>
    <w:p w14:paraId="1200352D" w14:textId="77777777" w:rsidR="002653E8" w:rsidRPr="00846956" w:rsidRDefault="002653E8">
      <w:pPr>
        <w:spacing w:line="280" w:lineRule="auto"/>
        <w:rPr>
          <w:sz w:val="16"/>
          <w:lang w:val="de-DE"/>
        </w:rPr>
        <w:sectPr w:rsidR="002653E8" w:rsidRPr="00846956">
          <w:pgSz w:w="8640" w:h="12960"/>
          <w:pgMar w:top="1080" w:right="0" w:bottom="1040" w:left="0" w:header="0" w:footer="846" w:gutter="0"/>
          <w:cols w:num="2" w:space="720" w:equalWidth="0">
            <w:col w:w="4238" w:space="40"/>
            <w:col w:w="4362"/>
          </w:cols>
        </w:sectPr>
      </w:pPr>
    </w:p>
    <w:p w14:paraId="2D04ACE8" w14:textId="77777777" w:rsidR="002653E8" w:rsidRDefault="003115E3">
      <w:pPr>
        <w:spacing w:before="86"/>
        <w:ind w:left="1147"/>
        <w:rPr>
          <w:sz w:val="16"/>
        </w:rPr>
      </w:pPr>
      <w:r>
        <w:rPr>
          <w:color w:val="231F20"/>
          <w:w w:val="105"/>
          <w:sz w:val="16"/>
        </w:rPr>
        <w:lastRenderedPageBreak/>
        <w:t>Frankfurt School 24</w:t>
      </w:r>
      <w:r>
        <w:rPr>
          <w:i/>
          <w:color w:val="231F20"/>
          <w:w w:val="105"/>
          <w:sz w:val="16"/>
        </w:rPr>
        <w:t xml:space="preserve">, </w:t>
      </w:r>
      <w:r>
        <w:rPr>
          <w:color w:val="231F20"/>
          <w:w w:val="105"/>
          <w:sz w:val="16"/>
        </w:rPr>
        <w:t>26</w:t>
      </w:r>
      <w:r>
        <w:rPr>
          <w:i/>
          <w:color w:val="231F20"/>
          <w:w w:val="105"/>
          <w:sz w:val="16"/>
        </w:rPr>
        <w:t xml:space="preserve">, </w:t>
      </w:r>
      <w:r>
        <w:rPr>
          <w:color w:val="231F20"/>
          <w:w w:val="105"/>
          <w:sz w:val="16"/>
        </w:rPr>
        <w:t>200</w:t>
      </w:r>
      <w:r>
        <w:rPr>
          <w:i/>
          <w:color w:val="231F20"/>
          <w:w w:val="105"/>
          <w:sz w:val="16"/>
        </w:rPr>
        <w:t xml:space="preserve">, </w:t>
      </w:r>
      <w:r>
        <w:rPr>
          <w:color w:val="231F20"/>
          <w:w w:val="105"/>
          <w:sz w:val="16"/>
        </w:rPr>
        <w:t>460</w:t>
      </w:r>
      <w:r>
        <w:rPr>
          <w:i/>
          <w:color w:val="231F20"/>
          <w:w w:val="105"/>
          <w:sz w:val="16"/>
        </w:rPr>
        <w:t xml:space="preserve">, </w:t>
      </w:r>
      <w:r>
        <w:rPr>
          <w:color w:val="231F20"/>
          <w:w w:val="105"/>
          <w:sz w:val="16"/>
        </w:rPr>
        <w:t>532;</w:t>
      </w:r>
    </w:p>
    <w:p w14:paraId="276A048B" w14:textId="77777777" w:rsidR="002653E8" w:rsidRDefault="003115E3">
      <w:pPr>
        <w:spacing w:before="33"/>
        <w:ind w:left="1347"/>
        <w:rPr>
          <w:i/>
          <w:sz w:val="16"/>
        </w:rPr>
      </w:pPr>
      <w:r>
        <w:rPr>
          <w:color w:val="231F20"/>
          <w:w w:val="105"/>
          <w:sz w:val="16"/>
        </w:rPr>
        <w:t>influence on New Left 25</w:t>
      </w:r>
      <w:r>
        <w:rPr>
          <w:i/>
          <w:color w:val="231F20"/>
          <w:w w:val="105"/>
          <w:sz w:val="16"/>
        </w:rPr>
        <w:t xml:space="preserve">, </w:t>
      </w:r>
      <w:r>
        <w:rPr>
          <w:color w:val="231F20"/>
          <w:w w:val="105"/>
          <w:sz w:val="16"/>
        </w:rPr>
        <w:t>30</w:t>
      </w:r>
      <w:r>
        <w:rPr>
          <w:i/>
          <w:color w:val="231F20"/>
          <w:w w:val="105"/>
          <w:sz w:val="16"/>
        </w:rPr>
        <w:t xml:space="preserve">, </w:t>
      </w:r>
      <w:r>
        <w:rPr>
          <w:color w:val="231F20"/>
          <w:w w:val="105"/>
          <w:sz w:val="16"/>
        </w:rPr>
        <w:t>46</w:t>
      </w:r>
      <w:r>
        <w:rPr>
          <w:i/>
          <w:color w:val="231F20"/>
          <w:w w:val="105"/>
          <w:sz w:val="16"/>
        </w:rPr>
        <w:t xml:space="preserve">, </w:t>
      </w:r>
      <w:r>
        <w:rPr>
          <w:color w:val="231F20"/>
          <w:w w:val="105"/>
          <w:sz w:val="16"/>
        </w:rPr>
        <w:t>108</w:t>
      </w:r>
      <w:r>
        <w:rPr>
          <w:i/>
          <w:color w:val="231F20"/>
          <w:w w:val="105"/>
          <w:sz w:val="16"/>
        </w:rPr>
        <w:t>,</w:t>
      </w:r>
    </w:p>
    <w:p w14:paraId="293D0E2E" w14:textId="77777777" w:rsidR="002653E8" w:rsidRDefault="003115E3">
      <w:pPr>
        <w:spacing w:before="32"/>
        <w:ind w:left="1347"/>
        <w:rPr>
          <w:sz w:val="16"/>
        </w:rPr>
      </w:pPr>
      <w:r>
        <w:rPr>
          <w:color w:val="231F20"/>
          <w:sz w:val="16"/>
        </w:rPr>
        <w:t>118</w:t>
      </w:r>
    </w:p>
    <w:p w14:paraId="2655D1B4" w14:textId="77777777" w:rsidR="002653E8" w:rsidRDefault="003115E3">
      <w:pPr>
        <w:spacing w:before="33"/>
        <w:ind w:left="1147"/>
        <w:rPr>
          <w:sz w:val="16"/>
        </w:rPr>
      </w:pPr>
      <w:r>
        <w:rPr>
          <w:color w:val="231F20"/>
          <w:w w:val="105"/>
          <w:sz w:val="16"/>
        </w:rPr>
        <w:t>Frankfurt University 39</w:t>
      </w:r>
      <w:r>
        <w:rPr>
          <w:i/>
          <w:color w:val="231F20"/>
          <w:w w:val="105"/>
          <w:sz w:val="16"/>
        </w:rPr>
        <w:t xml:space="preserve">, </w:t>
      </w:r>
      <w:r>
        <w:rPr>
          <w:color w:val="231F20"/>
          <w:w w:val="105"/>
          <w:sz w:val="16"/>
        </w:rPr>
        <w:t>168</w:t>
      </w:r>
      <w:r>
        <w:rPr>
          <w:i/>
          <w:color w:val="231F20"/>
          <w:w w:val="105"/>
          <w:sz w:val="16"/>
        </w:rPr>
        <w:t xml:space="preserve">, </w:t>
      </w:r>
      <w:r>
        <w:rPr>
          <w:color w:val="231F20"/>
          <w:w w:val="105"/>
          <w:sz w:val="16"/>
        </w:rPr>
        <w:t>264</w:t>
      </w:r>
      <w:r>
        <w:rPr>
          <w:i/>
          <w:color w:val="231F20"/>
          <w:w w:val="105"/>
          <w:sz w:val="16"/>
        </w:rPr>
        <w:t xml:space="preserve">, </w:t>
      </w:r>
      <w:r>
        <w:rPr>
          <w:color w:val="231F20"/>
          <w:w w:val="105"/>
          <w:sz w:val="16"/>
        </w:rPr>
        <w:t>582</w:t>
      </w:r>
    </w:p>
    <w:p w14:paraId="455ABBCF" w14:textId="77777777" w:rsidR="002653E8" w:rsidRDefault="003115E3">
      <w:pPr>
        <w:spacing w:before="32" w:line="280" w:lineRule="auto"/>
        <w:ind w:left="1147" w:right="234" w:hanging="1"/>
        <w:rPr>
          <w:sz w:val="16"/>
        </w:rPr>
      </w:pPr>
      <w:r>
        <w:rPr>
          <w:color w:val="231F20"/>
          <w:sz w:val="16"/>
        </w:rPr>
        <w:t>Frankfurt Women’s Center 445</w:t>
      </w:r>
      <w:r>
        <w:rPr>
          <w:i/>
          <w:color w:val="231F20"/>
          <w:sz w:val="16"/>
        </w:rPr>
        <w:t xml:space="preserve">, </w:t>
      </w:r>
      <w:r>
        <w:rPr>
          <w:color w:val="231F20"/>
          <w:sz w:val="16"/>
        </w:rPr>
        <w:t>535 Free German youth 21</w:t>
      </w:r>
    </w:p>
    <w:p w14:paraId="44E3D0BC" w14:textId="77777777" w:rsidR="002653E8" w:rsidRDefault="003115E3">
      <w:pPr>
        <w:spacing w:before="1" w:line="280" w:lineRule="auto"/>
        <w:ind w:left="1347" w:hanging="200"/>
        <w:rPr>
          <w:sz w:val="16"/>
        </w:rPr>
      </w:pPr>
      <w:r>
        <w:rPr>
          <w:color w:val="231F20"/>
          <w:sz w:val="16"/>
        </w:rPr>
        <w:t>Free University of Berlin 155</w:t>
      </w:r>
      <w:r>
        <w:rPr>
          <w:i/>
          <w:color w:val="231F20"/>
          <w:sz w:val="16"/>
        </w:rPr>
        <w:t xml:space="preserve">, </w:t>
      </w:r>
      <w:r>
        <w:rPr>
          <w:color w:val="231F20"/>
          <w:sz w:val="16"/>
        </w:rPr>
        <w:t>243; Ernest Mandel 117</w:t>
      </w:r>
      <w:r>
        <w:rPr>
          <w:i/>
          <w:color w:val="231F20"/>
          <w:sz w:val="16"/>
        </w:rPr>
        <w:t xml:space="preserve">, </w:t>
      </w:r>
      <w:r>
        <w:rPr>
          <w:color w:val="231F20"/>
          <w:sz w:val="16"/>
        </w:rPr>
        <w:t>130</w:t>
      </w:r>
      <w:r>
        <w:rPr>
          <w:i/>
          <w:color w:val="231F20"/>
          <w:sz w:val="16"/>
        </w:rPr>
        <w:t xml:space="preserve">, </w:t>
      </w:r>
      <w:r>
        <w:rPr>
          <w:color w:val="231F20"/>
          <w:sz w:val="16"/>
        </w:rPr>
        <w:t>140; student activ-</w:t>
      </w:r>
    </w:p>
    <w:p w14:paraId="72CBA2A5" w14:textId="77777777" w:rsidR="002653E8" w:rsidRPr="00846956" w:rsidRDefault="003115E3">
      <w:pPr>
        <w:spacing w:before="1"/>
        <w:ind w:left="1347"/>
        <w:rPr>
          <w:sz w:val="16"/>
          <w:lang w:val="de-DE"/>
        </w:rPr>
      </w:pPr>
      <w:r w:rsidRPr="00846956">
        <w:rPr>
          <w:color w:val="231F20"/>
          <w:w w:val="105"/>
          <w:sz w:val="16"/>
          <w:lang w:val="de-DE"/>
        </w:rPr>
        <w:t>ism 40</w:t>
      </w:r>
      <w:r w:rsidRPr="00846956">
        <w:rPr>
          <w:i/>
          <w:color w:val="231F20"/>
          <w:w w:val="105"/>
          <w:sz w:val="16"/>
          <w:lang w:val="de-DE"/>
        </w:rPr>
        <w:t xml:space="preserve">, </w:t>
      </w:r>
      <w:r w:rsidRPr="00846956">
        <w:rPr>
          <w:color w:val="231F20"/>
          <w:w w:val="105"/>
          <w:sz w:val="16"/>
          <w:lang w:val="de-DE"/>
        </w:rPr>
        <w:t>140</w:t>
      </w:r>
      <w:r w:rsidRPr="00846956">
        <w:rPr>
          <w:i/>
          <w:color w:val="231F20"/>
          <w:w w:val="105"/>
          <w:sz w:val="16"/>
          <w:lang w:val="de-DE"/>
        </w:rPr>
        <w:t xml:space="preserve">, </w:t>
      </w:r>
      <w:r w:rsidRPr="00846956">
        <w:rPr>
          <w:color w:val="231F20"/>
          <w:w w:val="105"/>
          <w:sz w:val="16"/>
          <w:lang w:val="de-DE"/>
        </w:rPr>
        <w:t>580</w:t>
      </w:r>
      <w:r w:rsidRPr="00846956">
        <w:rPr>
          <w:i/>
          <w:color w:val="231F20"/>
          <w:w w:val="105"/>
          <w:sz w:val="16"/>
          <w:lang w:val="de-DE"/>
        </w:rPr>
        <w:t xml:space="preserve">, </w:t>
      </w:r>
      <w:r w:rsidRPr="00846956">
        <w:rPr>
          <w:color w:val="231F20"/>
          <w:w w:val="105"/>
          <w:sz w:val="16"/>
          <w:lang w:val="de-DE"/>
        </w:rPr>
        <w:t>582</w:t>
      </w:r>
    </w:p>
    <w:p w14:paraId="092B98CB" w14:textId="77777777" w:rsidR="002653E8" w:rsidRPr="00846956" w:rsidRDefault="003115E3">
      <w:pPr>
        <w:spacing w:before="32" w:line="280" w:lineRule="auto"/>
        <w:ind w:left="1347" w:right="234" w:hanging="201"/>
        <w:rPr>
          <w:sz w:val="16"/>
          <w:lang w:val="de-DE"/>
        </w:rPr>
      </w:pPr>
      <w:r w:rsidRPr="00846956">
        <w:rPr>
          <w:color w:val="231F20"/>
          <w:sz w:val="16"/>
          <w:lang w:val="de-DE"/>
        </w:rPr>
        <w:t>Freie Demokratische Partei</w:t>
      </w:r>
      <w:r w:rsidRPr="00846956">
        <w:rPr>
          <w:i/>
          <w:color w:val="231F20"/>
          <w:sz w:val="16"/>
          <w:lang w:val="de-DE"/>
        </w:rPr>
        <w:t xml:space="preserve">. See </w:t>
      </w:r>
      <w:r w:rsidRPr="00846956">
        <w:rPr>
          <w:color w:val="231F20"/>
          <w:sz w:val="16"/>
          <w:lang w:val="de-DE"/>
        </w:rPr>
        <w:t>FDP (Freie Demokratische Partei)</w:t>
      </w:r>
    </w:p>
    <w:p w14:paraId="6891592B" w14:textId="77777777" w:rsidR="002653E8" w:rsidRDefault="003115E3">
      <w:pPr>
        <w:spacing w:before="2"/>
        <w:ind w:left="1147"/>
        <w:rPr>
          <w:sz w:val="16"/>
        </w:rPr>
      </w:pPr>
      <w:r>
        <w:rPr>
          <w:color w:val="231F20"/>
          <w:sz w:val="16"/>
        </w:rPr>
        <w:t>Freikorps   67</w:t>
      </w:r>
      <w:r>
        <w:rPr>
          <w:i/>
          <w:color w:val="231F20"/>
          <w:sz w:val="16"/>
        </w:rPr>
        <w:t xml:space="preserve">, </w:t>
      </w:r>
      <w:r>
        <w:rPr>
          <w:color w:val="231F20"/>
          <w:sz w:val="16"/>
        </w:rPr>
        <w:t>84</w:t>
      </w:r>
    </w:p>
    <w:p w14:paraId="2B16B405" w14:textId="77777777" w:rsidR="002653E8" w:rsidRDefault="003115E3">
      <w:pPr>
        <w:spacing w:before="32" w:line="280" w:lineRule="auto"/>
        <w:ind w:left="1147" w:right="894"/>
        <w:rPr>
          <w:sz w:val="16"/>
        </w:rPr>
      </w:pPr>
      <w:r>
        <w:rPr>
          <w:color w:val="231F20"/>
          <w:sz w:val="16"/>
        </w:rPr>
        <w:t>Frey (prison doctor) 304 Frey, Stefan 616</w:t>
      </w:r>
    </w:p>
    <w:p w14:paraId="2104DECA" w14:textId="77777777" w:rsidR="002653E8" w:rsidRDefault="003115E3">
      <w:pPr>
        <w:spacing w:before="1"/>
        <w:ind w:left="1147"/>
        <w:rPr>
          <w:sz w:val="16"/>
        </w:rPr>
      </w:pPr>
      <w:r>
        <w:rPr>
          <w:color w:val="231F20"/>
          <w:w w:val="105"/>
          <w:sz w:val="16"/>
        </w:rPr>
        <w:t>Fried, Erich 25</w:t>
      </w:r>
      <w:r>
        <w:rPr>
          <w:i/>
          <w:color w:val="231F20"/>
          <w:w w:val="105"/>
          <w:sz w:val="16"/>
        </w:rPr>
        <w:t xml:space="preserve">, </w:t>
      </w:r>
      <w:r>
        <w:rPr>
          <w:color w:val="231F20"/>
          <w:w w:val="105"/>
          <w:sz w:val="16"/>
        </w:rPr>
        <w:t>247</w:t>
      </w:r>
      <w:r>
        <w:rPr>
          <w:i/>
          <w:color w:val="231F20"/>
          <w:w w:val="105"/>
          <w:sz w:val="16"/>
        </w:rPr>
        <w:t xml:space="preserve">, </w:t>
      </w:r>
      <w:r>
        <w:rPr>
          <w:color w:val="231F20"/>
          <w:w w:val="105"/>
          <w:sz w:val="16"/>
        </w:rPr>
        <w:t>265</w:t>
      </w:r>
      <w:r>
        <w:rPr>
          <w:i/>
          <w:color w:val="231F20"/>
          <w:w w:val="105"/>
          <w:sz w:val="16"/>
        </w:rPr>
        <w:t xml:space="preserve">, </w:t>
      </w:r>
      <w:r>
        <w:rPr>
          <w:color w:val="231F20"/>
          <w:w w:val="105"/>
          <w:sz w:val="16"/>
        </w:rPr>
        <w:t>388</w:t>
      </w:r>
      <w:r>
        <w:rPr>
          <w:i/>
          <w:color w:val="231F20"/>
          <w:w w:val="105"/>
          <w:sz w:val="16"/>
        </w:rPr>
        <w:t xml:space="preserve">, </w:t>
      </w:r>
      <w:r>
        <w:rPr>
          <w:color w:val="231F20"/>
          <w:w w:val="105"/>
          <w:sz w:val="16"/>
        </w:rPr>
        <w:t>530</w:t>
      </w:r>
      <w:r>
        <w:rPr>
          <w:i/>
          <w:color w:val="231F20"/>
          <w:w w:val="105"/>
          <w:sz w:val="16"/>
        </w:rPr>
        <w:t xml:space="preserve">, </w:t>
      </w:r>
      <w:r>
        <w:rPr>
          <w:color w:val="231F20"/>
          <w:w w:val="105"/>
          <w:sz w:val="16"/>
        </w:rPr>
        <w:t>567</w:t>
      </w:r>
    </w:p>
    <w:p w14:paraId="52E39CFC" w14:textId="77777777" w:rsidR="002653E8" w:rsidRDefault="003115E3">
      <w:pPr>
        <w:spacing w:before="32" w:line="280" w:lineRule="auto"/>
        <w:ind w:left="1347" w:right="234" w:hanging="200"/>
        <w:rPr>
          <w:sz w:val="16"/>
        </w:rPr>
      </w:pPr>
      <w:r>
        <w:rPr>
          <w:color w:val="231F20"/>
          <w:sz w:val="16"/>
        </w:rPr>
        <w:t xml:space="preserve">Friedrich, Ralf Baptist; arrested (1990) </w:t>
      </w:r>
      <w:r>
        <w:rPr>
          <w:color w:val="231F20"/>
          <w:w w:val="105"/>
          <w:sz w:val="16"/>
        </w:rPr>
        <w:t>620; in the GDR 614; trial (1992)</w:t>
      </w:r>
    </w:p>
    <w:p w14:paraId="010A52D5" w14:textId="77777777" w:rsidR="002653E8" w:rsidRDefault="003115E3">
      <w:pPr>
        <w:spacing w:before="2"/>
        <w:ind w:left="1347"/>
        <w:rPr>
          <w:sz w:val="16"/>
        </w:rPr>
      </w:pPr>
      <w:r>
        <w:rPr>
          <w:color w:val="231F20"/>
          <w:sz w:val="16"/>
        </w:rPr>
        <w:t>622</w:t>
      </w:r>
    </w:p>
    <w:p w14:paraId="04185C58" w14:textId="77777777" w:rsidR="002653E8" w:rsidRDefault="003115E3">
      <w:pPr>
        <w:spacing w:before="32" w:line="280" w:lineRule="auto"/>
        <w:ind w:left="1147" w:right="600"/>
        <w:rPr>
          <w:sz w:val="16"/>
        </w:rPr>
      </w:pPr>
      <w:r>
        <w:rPr>
          <w:color w:val="231F20"/>
          <w:sz w:val="16"/>
        </w:rPr>
        <w:t>Friends of Astrid Proll 530 Friends of the 2nd of June 601 Fritzsch, Ronald 52</w:t>
      </w:r>
      <w:r>
        <w:rPr>
          <w:i/>
          <w:color w:val="231F20"/>
          <w:sz w:val="16"/>
        </w:rPr>
        <w:t xml:space="preserve">, </w:t>
      </w:r>
      <w:r>
        <w:rPr>
          <w:color w:val="231F20"/>
          <w:sz w:val="16"/>
        </w:rPr>
        <w:t>328</w:t>
      </w:r>
    </w:p>
    <w:p w14:paraId="359B60D4" w14:textId="77777777" w:rsidR="002653E8" w:rsidRDefault="003115E3">
      <w:pPr>
        <w:spacing w:before="2"/>
        <w:ind w:left="1147"/>
        <w:rPr>
          <w:sz w:val="16"/>
        </w:rPr>
      </w:pPr>
      <w:r>
        <w:rPr>
          <w:color w:val="231F20"/>
          <w:sz w:val="16"/>
        </w:rPr>
        <w:t>Fromm, Erich 24</w:t>
      </w:r>
    </w:p>
    <w:p w14:paraId="24DE8795" w14:textId="77777777" w:rsidR="002653E8" w:rsidRDefault="003115E3">
      <w:pPr>
        <w:spacing w:before="32" w:line="280" w:lineRule="auto"/>
        <w:ind w:left="1347" w:right="234" w:hanging="200"/>
        <w:rPr>
          <w:sz w:val="16"/>
        </w:rPr>
      </w:pPr>
      <w:r>
        <w:rPr>
          <w:color w:val="231F20"/>
          <w:sz w:val="16"/>
        </w:rPr>
        <w:t>Front for the Liberation of Occupied South yemen 330</w:t>
      </w:r>
    </w:p>
    <w:p w14:paraId="08041C33" w14:textId="77777777" w:rsidR="002653E8" w:rsidRPr="00846956" w:rsidRDefault="003115E3">
      <w:pPr>
        <w:spacing w:before="1"/>
        <w:ind w:left="1147"/>
        <w:rPr>
          <w:sz w:val="16"/>
          <w:lang w:val="de-DE"/>
        </w:rPr>
      </w:pPr>
      <w:r w:rsidRPr="00846956">
        <w:rPr>
          <w:color w:val="231F20"/>
          <w:sz w:val="16"/>
          <w:lang w:val="de-DE"/>
        </w:rPr>
        <w:t>Frühschoppen 533</w:t>
      </w:r>
    </w:p>
    <w:p w14:paraId="20BA856E" w14:textId="77777777" w:rsidR="002653E8" w:rsidRPr="00846956" w:rsidRDefault="002653E8">
      <w:pPr>
        <w:pStyle w:val="a3"/>
        <w:rPr>
          <w:sz w:val="18"/>
          <w:lang w:val="de-DE"/>
        </w:rPr>
      </w:pPr>
    </w:p>
    <w:p w14:paraId="2E9D8994" w14:textId="77777777" w:rsidR="002653E8" w:rsidRPr="00846956" w:rsidRDefault="002653E8">
      <w:pPr>
        <w:pStyle w:val="a3"/>
        <w:rPr>
          <w:sz w:val="18"/>
          <w:lang w:val="de-DE"/>
        </w:rPr>
      </w:pPr>
    </w:p>
    <w:p w14:paraId="6CB3CA94" w14:textId="77777777" w:rsidR="002653E8" w:rsidRPr="00846956" w:rsidRDefault="002653E8">
      <w:pPr>
        <w:pStyle w:val="a3"/>
        <w:rPr>
          <w:sz w:val="18"/>
          <w:lang w:val="de-DE"/>
        </w:rPr>
      </w:pPr>
    </w:p>
    <w:p w14:paraId="486F8B79" w14:textId="77777777" w:rsidR="002653E8" w:rsidRPr="00846956" w:rsidRDefault="002653E8">
      <w:pPr>
        <w:pStyle w:val="a3"/>
        <w:spacing w:before="10"/>
        <w:rPr>
          <w:sz w:val="23"/>
          <w:lang w:val="de-DE"/>
        </w:rPr>
      </w:pPr>
    </w:p>
    <w:p w14:paraId="7A467699" w14:textId="77777777" w:rsidR="002653E8" w:rsidRPr="00846956" w:rsidRDefault="003115E3">
      <w:pPr>
        <w:ind w:left="1147"/>
        <w:rPr>
          <w:sz w:val="16"/>
          <w:lang w:val="de-DE"/>
        </w:rPr>
      </w:pPr>
      <w:r w:rsidRPr="00846956">
        <w:rPr>
          <w:color w:val="231F20"/>
          <w:w w:val="105"/>
          <w:sz w:val="16"/>
          <w:lang w:val="de-DE"/>
        </w:rPr>
        <w:t>Gäng, Peter 444</w:t>
      </w:r>
    </w:p>
    <w:p w14:paraId="7C40BD05" w14:textId="77777777" w:rsidR="002653E8" w:rsidRPr="00846956" w:rsidRDefault="003115E3">
      <w:pPr>
        <w:spacing w:before="32" w:line="280" w:lineRule="auto"/>
        <w:ind w:left="1147" w:right="894"/>
        <w:rPr>
          <w:sz w:val="16"/>
          <w:lang w:val="de-DE"/>
        </w:rPr>
      </w:pPr>
      <w:r w:rsidRPr="00846956">
        <w:rPr>
          <w:color w:val="231F20"/>
          <w:sz w:val="16"/>
          <w:lang w:val="de-DE"/>
        </w:rPr>
        <w:t>Garstka, Hans Jürgen 531 Garweg, Burkhard 626</w:t>
      </w:r>
    </w:p>
    <w:p w14:paraId="5AA06951" w14:textId="77777777" w:rsidR="002653E8" w:rsidRDefault="003115E3">
      <w:pPr>
        <w:spacing w:before="1"/>
        <w:ind w:left="1147"/>
        <w:rPr>
          <w:sz w:val="16"/>
        </w:rPr>
      </w:pPr>
      <w:r>
        <w:rPr>
          <w:color w:val="231F20"/>
          <w:sz w:val="16"/>
        </w:rPr>
        <w:t>Gauche Prolétarienne 104</w:t>
      </w:r>
    </w:p>
    <w:p w14:paraId="56F5360B" w14:textId="77777777" w:rsidR="002653E8" w:rsidRDefault="003115E3">
      <w:pPr>
        <w:spacing w:before="33"/>
        <w:ind w:left="1147"/>
        <w:rPr>
          <w:sz w:val="16"/>
        </w:rPr>
      </w:pPr>
      <w:r>
        <w:rPr>
          <w:color w:val="231F20"/>
          <w:w w:val="105"/>
          <w:sz w:val="16"/>
        </w:rPr>
        <w:t>General Motors 4</w:t>
      </w:r>
    </w:p>
    <w:p w14:paraId="18273A3C" w14:textId="77777777" w:rsidR="002653E8" w:rsidRDefault="003115E3">
      <w:pPr>
        <w:spacing w:before="32" w:line="280" w:lineRule="auto"/>
        <w:ind w:left="1347" w:right="234" w:hanging="200"/>
        <w:rPr>
          <w:sz w:val="16"/>
        </w:rPr>
      </w:pPr>
      <w:r>
        <w:rPr>
          <w:color w:val="231F20"/>
          <w:sz w:val="16"/>
        </w:rPr>
        <w:t>General Union of Palestinian Students 194</w:t>
      </w:r>
      <w:r>
        <w:rPr>
          <w:i/>
          <w:color w:val="231F20"/>
          <w:sz w:val="16"/>
        </w:rPr>
        <w:t xml:space="preserve">, </w:t>
      </w:r>
      <w:r>
        <w:rPr>
          <w:color w:val="231F20"/>
          <w:sz w:val="16"/>
        </w:rPr>
        <w:t>592</w:t>
      </w:r>
    </w:p>
    <w:p w14:paraId="33F1DB67" w14:textId="77777777" w:rsidR="002653E8" w:rsidRDefault="003115E3">
      <w:pPr>
        <w:spacing w:before="1" w:line="280" w:lineRule="auto"/>
        <w:ind w:left="1347" w:right="234" w:hanging="200"/>
        <w:rPr>
          <w:sz w:val="16"/>
        </w:rPr>
      </w:pPr>
      <w:r>
        <w:rPr>
          <w:color w:val="231F20"/>
          <w:sz w:val="16"/>
        </w:rPr>
        <w:t>General Union of Palestinian Workers 194</w:t>
      </w:r>
      <w:r>
        <w:rPr>
          <w:i/>
          <w:color w:val="231F20"/>
          <w:sz w:val="16"/>
        </w:rPr>
        <w:t xml:space="preserve">, </w:t>
      </w:r>
      <w:r>
        <w:rPr>
          <w:color w:val="231F20"/>
          <w:sz w:val="16"/>
        </w:rPr>
        <w:t>592</w:t>
      </w:r>
    </w:p>
    <w:p w14:paraId="607ABC75" w14:textId="77777777" w:rsidR="002653E8" w:rsidRDefault="003115E3">
      <w:pPr>
        <w:spacing w:before="1" w:line="280" w:lineRule="auto"/>
        <w:ind w:left="1147" w:right="339"/>
        <w:rPr>
          <w:i/>
          <w:sz w:val="16"/>
        </w:rPr>
      </w:pPr>
      <w:r>
        <w:rPr>
          <w:color w:val="231F20"/>
          <w:w w:val="105"/>
          <w:sz w:val="16"/>
        </w:rPr>
        <w:t>Geneva Convention 554–556 Geneva Convention (strategy) 420</w:t>
      </w:r>
      <w:r>
        <w:rPr>
          <w:i/>
          <w:color w:val="231F20"/>
          <w:w w:val="105"/>
          <w:sz w:val="16"/>
        </w:rPr>
        <w:t>,</w:t>
      </w:r>
    </w:p>
    <w:p w14:paraId="5F9CBDA0" w14:textId="77777777" w:rsidR="002653E8" w:rsidRDefault="003115E3">
      <w:pPr>
        <w:spacing w:before="1"/>
        <w:ind w:left="1347"/>
        <w:rPr>
          <w:sz w:val="16"/>
        </w:rPr>
      </w:pPr>
      <w:r>
        <w:rPr>
          <w:color w:val="231F20"/>
          <w:w w:val="105"/>
          <w:sz w:val="16"/>
        </w:rPr>
        <w:t>455–456</w:t>
      </w:r>
      <w:r>
        <w:rPr>
          <w:i/>
          <w:color w:val="231F20"/>
          <w:w w:val="105"/>
          <w:sz w:val="16"/>
        </w:rPr>
        <w:t>,</w:t>
      </w:r>
      <w:r>
        <w:rPr>
          <w:i/>
          <w:color w:val="231F20"/>
          <w:spacing w:val="-17"/>
          <w:w w:val="105"/>
          <w:sz w:val="16"/>
        </w:rPr>
        <w:t xml:space="preserve"> </w:t>
      </w:r>
      <w:r>
        <w:rPr>
          <w:color w:val="231F20"/>
          <w:w w:val="105"/>
          <w:sz w:val="16"/>
        </w:rPr>
        <w:t>470</w:t>
      </w:r>
      <w:r>
        <w:rPr>
          <w:i/>
          <w:color w:val="231F20"/>
          <w:w w:val="105"/>
          <w:sz w:val="16"/>
        </w:rPr>
        <w:t>,</w:t>
      </w:r>
      <w:r>
        <w:rPr>
          <w:i/>
          <w:color w:val="231F20"/>
          <w:spacing w:val="-17"/>
          <w:w w:val="105"/>
          <w:sz w:val="16"/>
        </w:rPr>
        <w:t xml:space="preserve"> </w:t>
      </w:r>
      <w:r>
        <w:rPr>
          <w:color w:val="231F20"/>
          <w:w w:val="105"/>
          <w:sz w:val="16"/>
        </w:rPr>
        <w:t>600;</w:t>
      </w:r>
      <w:r>
        <w:rPr>
          <w:color w:val="231F20"/>
          <w:spacing w:val="-17"/>
          <w:w w:val="105"/>
          <w:sz w:val="16"/>
        </w:rPr>
        <w:t xml:space="preserve"> </w:t>
      </w:r>
      <w:r>
        <w:rPr>
          <w:color w:val="231F20"/>
          <w:w w:val="105"/>
          <w:sz w:val="16"/>
        </w:rPr>
        <w:t>Andreas</w:t>
      </w:r>
      <w:r>
        <w:rPr>
          <w:color w:val="231F20"/>
          <w:spacing w:val="-14"/>
          <w:w w:val="105"/>
          <w:sz w:val="16"/>
        </w:rPr>
        <w:t xml:space="preserve"> </w:t>
      </w:r>
      <w:r>
        <w:rPr>
          <w:color w:val="231F20"/>
          <w:w w:val="105"/>
          <w:sz w:val="16"/>
        </w:rPr>
        <w:t>Baader</w:t>
      </w:r>
      <w:r>
        <w:rPr>
          <w:color w:val="231F20"/>
          <w:spacing w:val="-14"/>
          <w:w w:val="105"/>
          <w:sz w:val="16"/>
        </w:rPr>
        <w:t xml:space="preserve"> </w:t>
      </w:r>
      <w:r>
        <w:rPr>
          <w:color w:val="231F20"/>
          <w:w w:val="105"/>
          <w:sz w:val="16"/>
        </w:rPr>
        <w:t>on</w:t>
      </w:r>
    </w:p>
    <w:p w14:paraId="1B239D43" w14:textId="77777777" w:rsidR="002653E8" w:rsidRDefault="003115E3">
      <w:pPr>
        <w:spacing w:before="33"/>
        <w:ind w:left="1347"/>
        <w:rPr>
          <w:sz w:val="16"/>
        </w:rPr>
      </w:pPr>
      <w:r>
        <w:rPr>
          <w:color w:val="231F20"/>
          <w:sz w:val="16"/>
        </w:rPr>
        <w:t>467–468; criticized 461</w:t>
      </w:r>
      <w:r>
        <w:rPr>
          <w:i/>
          <w:color w:val="231F20"/>
          <w:sz w:val="16"/>
        </w:rPr>
        <w:t xml:space="preserve">, </w:t>
      </w:r>
      <w:r>
        <w:rPr>
          <w:color w:val="231F20"/>
          <w:sz w:val="16"/>
        </w:rPr>
        <w:t>463; demand</w:t>
      </w:r>
    </w:p>
    <w:p w14:paraId="4054C9AA" w14:textId="77777777" w:rsidR="002653E8" w:rsidRDefault="003115E3">
      <w:pPr>
        <w:spacing w:before="32"/>
        <w:ind w:left="1347"/>
        <w:rPr>
          <w:i/>
          <w:sz w:val="16"/>
        </w:rPr>
      </w:pPr>
      <w:r>
        <w:rPr>
          <w:color w:val="231F20"/>
          <w:w w:val="110"/>
          <w:sz w:val="16"/>
        </w:rPr>
        <w:t>176</w:t>
      </w:r>
      <w:r>
        <w:rPr>
          <w:i/>
          <w:color w:val="231F20"/>
          <w:w w:val="110"/>
          <w:sz w:val="16"/>
        </w:rPr>
        <w:t xml:space="preserve">, </w:t>
      </w:r>
      <w:r>
        <w:rPr>
          <w:color w:val="231F20"/>
          <w:w w:val="110"/>
          <w:sz w:val="16"/>
        </w:rPr>
        <w:t>404</w:t>
      </w:r>
      <w:r>
        <w:rPr>
          <w:i/>
          <w:color w:val="231F20"/>
          <w:w w:val="110"/>
          <w:sz w:val="16"/>
        </w:rPr>
        <w:t xml:space="preserve">, </w:t>
      </w:r>
      <w:r>
        <w:rPr>
          <w:color w:val="231F20"/>
          <w:w w:val="110"/>
          <w:sz w:val="16"/>
        </w:rPr>
        <w:t>431</w:t>
      </w:r>
      <w:r>
        <w:rPr>
          <w:i/>
          <w:color w:val="231F20"/>
          <w:w w:val="110"/>
          <w:sz w:val="16"/>
        </w:rPr>
        <w:t xml:space="preserve">, </w:t>
      </w:r>
      <w:r>
        <w:rPr>
          <w:color w:val="231F20"/>
          <w:w w:val="110"/>
          <w:sz w:val="16"/>
        </w:rPr>
        <w:t>471</w:t>
      </w:r>
      <w:r>
        <w:rPr>
          <w:i/>
          <w:color w:val="231F20"/>
          <w:w w:val="110"/>
          <w:sz w:val="16"/>
        </w:rPr>
        <w:t xml:space="preserve">, </w:t>
      </w:r>
      <w:r>
        <w:rPr>
          <w:color w:val="231F20"/>
          <w:w w:val="110"/>
          <w:sz w:val="16"/>
        </w:rPr>
        <w:t>487</w:t>
      </w:r>
      <w:r>
        <w:rPr>
          <w:i/>
          <w:color w:val="231F20"/>
          <w:w w:val="110"/>
          <w:sz w:val="16"/>
        </w:rPr>
        <w:t xml:space="preserve">, </w:t>
      </w:r>
      <w:r>
        <w:rPr>
          <w:color w:val="231F20"/>
          <w:w w:val="110"/>
          <w:sz w:val="16"/>
        </w:rPr>
        <w:t>604</w:t>
      </w:r>
      <w:r>
        <w:rPr>
          <w:i/>
          <w:color w:val="231F20"/>
          <w:w w:val="110"/>
          <w:sz w:val="16"/>
        </w:rPr>
        <w:t xml:space="preserve">, </w:t>
      </w:r>
      <w:r>
        <w:rPr>
          <w:color w:val="231F20"/>
          <w:w w:val="110"/>
          <w:sz w:val="16"/>
        </w:rPr>
        <w:t>606</w:t>
      </w:r>
      <w:r>
        <w:rPr>
          <w:i/>
          <w:color w:val="231F20"/>
          <w:w w:val="110"/>
          <w:sz w:val="16"/>
        </w:rPr>
        <w:t>,</w:t>
      </w:r>
    </w:p>
    <w:p w14:paraId="0FC94CB0" w14:textId="77777777" w:rsidR="002653E8" w:rsidRDefault="003115E3">
      <w:pPr>
        <w:spacing w:before="33"/>
        <w:ind w:left="1347"/>
        <w:rPr>
          <w:sz w:val="16"/>
        </w:rPr>
      </w:pPr>
      <w:r>
        <w:rPr>
          <w:color w:val="231F20"/>
          <w:w w:val="105"/>
          <w:sz w:val="16"/>
        </w:rPr>
        <w:t>610</w:t>
      </w:r>
      <w:r>
        <w:rPr>
          <w:i/>
          <w:color w:val="231F20"/>
          <w:w w:val="105"/>
          <w:sz w:val="16"/>
        </w:rPr>
        <w:t xml:space="preserve">, </w:t>
      </w:r>
      <w:r>
        <w:rPr>
          <w:color w:val="231F20"/>
          <w:w w:val="105"/>
          <w:sz w:val="16"/>
        </w:rPr>
        <w:t>612</w:t>
      </w:r>
    </w:p>
    <w:p w14:paraId="388FABD1" w14:textId="77777777" w:rsidR="002653E8" w:rsidRDefault="003115E3">
      <w:pPr>
        <w:spacing w:before="32"/>
        <w:ind w:left="1147"/>
        <w:rPr>
          <w:i/>
          <w:sz w:val="16"/>
        </w:rPr>
      </w:pPr>
      <w:r>
        <w:rPr>
          <w:color w:val="231F20"/>
          <w:w w:val="105"/>
          <w:sz w:val="16"/>
        </w:rPr>
        <w:t>Genscher, Hans-Dietrich 110</w:t>
      </w:r>
      <w:r>
        <w:rPr>
          <w:i/>
          <w:color w:val="231F20"/>
          <w:w w:val="105"/>
          <w:sz w:val="16"/>
        </w:rPr>
        <w:t xml:space="preserve">, </w:t>
      </w:r>
      <w:r>
        <w:rPr>
          <w:color w:val="231F20"/>
          <w:w w:val="105"/>
          <w:sz w:val="16"/>
        </w:rPr>
        <w:t>231</w:t>
      </w:r>
      <w:r>
        <w:rPr>
          <w:i/>
          <w:color w:val="231F20"/>
          <w:w w:val="105"/>
          <w:sz w:val="16"/>
        </w:rPr>
        <w:t xml:space="preserve">, </w:t>
      </w:r>
      <w:r>
        <w:rPr>
          <w:color w:val="231F20"/>
          <w:w w:val="105"/>
          <w:sz w:val="16"/>
        </w:rPr>
        <w:t>266</w:t>
      </w:r>
      <w:r>
        <w:rPr>
          <w:i/>
          <w:color w:val="231F20"/>
          <w:w w:val="105"/>
          <w:sz w:val="16"/>
        </w:rPr>
        <w:t>,</w:t>
      </w:r>
    </w:p>
    <w:p w14:paraId="7ABF4D62" w14:textId="77777777" w:rsidR="002653E8" w:rsidRDefault="003115E3">
      <w:pPr>
        <w:spacing w:before="32"/>
        <w:ind w:left="1347"/>
        <w:rPr>
          <w:sz w:val="16"/>
        </w:rPr>
      </w:pPr>
      <w:r>
        <w:rPr>
          <w:color w:val="231F20"/>
          <w:sz w:val="16"/>
        </w:rPr>
        <w:t>567</w:t>
      </w:r>
      <w:r>
        <w:rPr>
          <w:i/>
          <w:color w:val="231F20"/>
          <w:sz w:val="16"/>
        </w:rPr>
        <w:t xml:space="preserve">. See also </w:t>
      </w:r>
      <w:r>
        <w:rPr>
          <w:color w:val="231F20"/>
          <w:sz w:val="16"/>
        </w:rPr>
        <w:t>Federal Minister of</w:t>
      </w:r>
    </w:p>
    <w:p w14:paraId="1808AE5A" w14:textId="77777777" w:rsidR="002653E8" w:rsidRDefault="003115E3">
      <w:pPr>
        <w:spacing w:before="86" w:line="280" w:lineRule="auto"/>
        <w:ind w:left="469" w:right="1659"/>
        <w:rPr>
          <w:sz w:val="16"/>
        </w:rPr>
      </w:pPr>
      <w:r>
        <w:br w:type="column"/>
      </w:r>
      <w:r>
        <w:rPr>
          <w:color w:val="231F20"/>
          <w:sz w:val="16"/>
        </w:rPr>
        <w:t>the Interior</w:t>
      </w:r>
      <w:r>
        <w:rPr>
          <w:i/>
          <w:color w:val="231F20"/>
          <w:sz w:val="16"/>
        </w:rPr>
        <w:t xml:space="preserve">; See also </w:t>
      </w:r>
      <w:r>
        <w:rPr>
          <w:color w:val="231F20"/>
          <w:sz w:val="16"/>
        </w:rPr>
        <w:t>Social-Liberal Schmidt-Genscher Government</w:t>
      </w:r>
    </w:p>
    <w:p w14:paraId="20156F04" w14:textId="77777777" w:rsidR="002653E8" w:rsidRDefault="003115E3">
      <w:pPr>
        <w:spacing w:before="1"/>
        <w:ind w:left="469"/>
        <w:jc w:val="both"/>
        <w:rPr>
          <w:sz w:val="16"/>
        </w:rPr>
      </w:pPr>
      <w:r>
        <w:rPr>
          <w:color w:val="231F20"/>
          <w:sz w:val="16"/>
        </w:rPr>
        <w:t>(1974-1982); Lorenz kidnapping 330;</w:t>
      </w:r>
    </w:p>
    <w:p w14:paraId="7150A865" w14:textId="77777777" w:rsidR="002653E8" w:rsidRDefault="003115E3">
      <w:pPr>
        <w:spacing w:before="33"/>
        <w:ind w:left="469"/>
        <w:jc w:val="both"/>
        <w:rPr>
          <w:i/>
          <w:sz w:val="16"/>
        </w:rPr>
      </w:pPr>
      <w:r>
        <w:rPr>
          <w:color w:val="231F20"/>
          <w:w w:val="105"/>
          <w:sz w:val="16"/>
        </w:rPr>
        <w:t xml:space="preserve">mentioned by </w:t>
      </w:r>
      <w:r w:rsidR="00C507A5">
        <w:rPr>
          <w:color w:val="231F20"/>
          <w:w w:val="105"/>
          <w:sz w:val="16"/>
        </w:rPr>
        <w:t>red army faction</w:t>
      </w:r>
      <w:r>
        <w:rPr>
          <w:color w:val="231F20"/>
          <w:w w:val="105"/>
          <w:sz w:val="16"/>
        </w:rPr>
        <w:t xml:space="preserve">  141</w:t>
      </w:r>
      <w:r>
        <w:rPr>
          <w:i/>
          <w:color w:val="231F20"/>
          <w:w w:val="105"/>
          <w:sz w:val="16"/>
        </w:rPr>
        <w:t xml:space="preserve">, </w:t>
      </w:r>
      <w:r>
        <w:rPr>
          <w:color w:val="231F20"/>
          <w:w w:val="105"/>
          <w:sz w:val="16"/>
        </w:rPr>
        <w:t>183</w:t>
      </w:r>
      <w:r>
        <w:rPr>
          <w:i/>
          <w:color w:val="231F20"/>
          <w:w w:val="105"/>
          <w:sz w:val="16"/>
        </w:rPr>
        <w:t xml:space="preserve">, </w:t>
      </w:r>
      <w:r>
        <w:rPr>
          <w:color w:val="231F20"/>
          <w:w w:val="105"/>
          <w:sz w:val="16"/>
        </w:rPr>
        <w:t>206</w:t>
      </w:r>
      <w:r>
        <w:rPr>
          <w:i/>
          <w:color w:val="231F20"/>
          <w:w w:val="105"/>
          <w:sz w:val="16"/>
        </w:rPr>
        <w:t>,</w:t>
      </w:r>
    </w:p>
    <w:p w14:paraId="3E591085" w14:textId="77777777" w:rsidR="002653E8" w:rsidRDefault="003115E3">
      <w:pPr>
        <w:spacing w:before="32"/>
        <w:ind w:left="469"/>
        <w:jc w:val="both"/>
        <w:rPr>
          <w:sz w:val="16"/>
        </w:rPr>
      </w:pPr>
      <w:r>
        <w:rPr>
          <w:color w:val="231F20"/>
          <w:sz w:val="16"/>
        </w:rPr>
        <w:t>229</w:t>
      </w:r>
      <w:r>
        <w:rPr>
          <w:i/>
          <w:color w:val="231F20"/>
          <w:sz w:val="16"/>
        </w:rPr>
        <w:t xml:space="preserve">, </w:t>
      </w:r>
      <w:r>
        <w:rPr>
          <w:color w:val="231F20"/>
          <w:sz w:val="16"/>
        </w:rPr>
        <w:t>231</w:t>
      </w:r>
      <w:r>
        <w:rPr>
          <w:i/>
          <w:color w:val="231F20"/>
          <w:sz w:val="16"/>
        </w:rPr>
        <w:t xml:space="preserve">, </w:t>
      </w:r>
      <w:r>
        <w:rPr>
          <w:color w:val="231F20"/>
          <w:sz w:val="16"/>
        </w:rPr>
        <w:t>233; offered self as Black</w:t>
      </w:r>
    </w:p>
    <w:p w14:paraId="79DB9275" w14:textId="77777777" w:rsidR="002653E8" w:rsidRDefault="003115E3">
      <w:pPr>
        <w:spacing w:before="33"/>
        <w:ind w:left="469"/>
        <w:jc w:val="both"/>
        <w:rPr>
          <w:sz w:val="16"/>
        </w:rPr>
      </w:pPr>
      <w:r>
        <w:rPr>
          <w:color w:val="231F20"/>
          <w:sz w:val="16"/>
        </w:rPr>
        <w:t>September hostage 188</w:t>
      </w:r>
      <w:r>
        <w:rPr>
          <w:i/>
          <w:color w:val="231F20"/>
          <w:sz w:val="16"/>
        </w:rPr>
        <w:t xml:space="preserve">, </w:t>
      </w:r>
      <w:r>
        <w:rPr>
          <w:color w:val="231F20"/>
          <w:sz w:val="16"/>
        </w:rPr>
        <w:t>214; on the</w:t>
      </w:r>
    </w:p>
    <w:p w14:paraId="778E9207" w14:textId="77777777" w:rsidR="002653E8" w:rsidRDefault="00C507A5">
      <w:pPr>
        <w:spacing w:before="32"/>
        <w:ind w:left="469"/>
        <w:jc w:val="both"/>
        <w:rPr>
          <w:sz w:val="16"/>
        </w:rPr>
      </w:pPr>
      <w:r>
        <w:rPr>
          <w:color w:val="231F20"/>
          <w:w w:val="110"/>
          <w:sz w:val="16"/>
        </w:rPr>
        <w:t>red army faction</w:t>
      </w:r>
      <w:r w:rsidR="003115E3">
        <w:rPr>
          <w:color w:val="231F20"/>
          <w:w w:val="110"/>
          <w:sz w:val="16"/>
        </w:rPr>
        <w:t xml:space="preserve"> 60</w:t>
      </w:r>
      <w:r w:rsidR="003115E3">
        <w:rPr>
          <w:i/>
          <w:color w:val="231F20"/>
          <w:w w:val="110"/>
          <w:sz w:val="16"/>
        </w:rPr>
        <w:t xml:space="preserve">, </w:t>
      </w:r>
      <w:r w:rsidR="003115E3">
        <w:rPr>
          <w:color w:val="231F20"/>
          <w:w w:val="110"/>
          <w:sz w:val="16"/>
        </w:rPr>
        <w:t>170</w:t>
      </w:r>
      <w:r w:rsidR="003115E3">
        <w:rPr>
          <w:i/>
          <w:color w:val="231F20"/>
          <w:w w:val="110"/>
          <w:sz w:val="16"/>
        </w:rPr>
        <w:t xml:space="preserve">, </w:t>
      </w:r>
      <w:r w:rsidR="003115E3">
        <w:rPr>
          <w:color w:val="231F20"/>
          <w:w w:val="110"/>
          <w:sz w:val="16"/>
        </w:rPr>
        <w:t>344</w:t>
      </w:r>
      <w:r w:rsidR="003115E3">
        <w:rPr>
          <w:i/>
          <w:color w:val="231F20"/>
          <w:w w:val="110"/>
          <w:sz w:val="16"/>
        </w:rPr>
        <w:t xml:space="preserve">, </w:t>
      </w:r>
      <w:r w:rsidR="003115E3">
        <w:rPr>
          <w:color w:val="231F20"/>
          <w:w w:val="110"/>
          <w:sz w:val="16"/>
        </w:rPr>
        <w:t>585</w:t>
      </w:r>
    </w:p>
    <w:p w14:paraId="33851CBE" w14:textId="77777777" w:rsidR="002653E8" w:rsidRDefault="003115E3">
      <w:pPr>
        <w:spacing w:before="32"/>
        <w:ind w:left="269"/>
        <w:rPr>
          <w:sz w:val="16"/>
        </w:rPr>
      </w:pPr>
      <w:r>
        <w:rPr>
          <w:color w:val="231F20"/>
          <w:sz w:val="16"/>
        </w:rPr>
        <w:t>George Jackson Brigade 524</w:t>
      </w:r>
    </w:p>
    <w:p w14:paraId="14AC64CA" w14:textId="77777777" w:rsidR="002653E8" w:rsidRDefault="003115E3">
      <w:pPr>
        <w:spacing w:before="33" w:line="280" w:lineRule="auto"/>
        <w:ind w:left="269" w:right="1003"/>
        <w:rPr>
          <w:sz w:val="16"/>
        </w:rPr>
      </w:pPr>
      <w:r>
        <w:rPr>
          <w:color w:val="231F20"/>
          <w:w w:val="105"/>
          <w:sz w:val="16"/>
        </w:rPr>
        <w:t>Georg von Rauch House 110</w:t>
      </w:r>
      <w:r>
        <w:rPr>
          <w:i/>
          <w:color w:val="231F20"/>
          <w:w w:val="105"/>
          <w:sz w:val="16"/>
        </w:rPr>
        <w:t xml:space="preserve">, </w:t>
      </w:r>
      <w:r>
        <w:rPr>
          <w:color w:val="231F20"/>
          <w:w w:val="105"/>
          <w:sz w:val="16"/>
        </w:rPr>
        <w:t>148</w:t>
      </w:r>
      <w:r>
        <w:rPr>
          <w:i/>
          <w:color w:val="231F20"/>
          <w:w w:val="105"/>
          <w:sz w:val="16"/>
        </w:rPr>
        <w:t xml:space="preserve">, </w:t>
      </w:r>
      <w:r>
        <w:rPr>
          <w:color w:val="231F20"/>
          <w:w w:val="105"/>
          <w:sz w:val="16"/>
        </w:rPr>
        <w:t>588 German Democratic Republic (East</w:t>
      </w:r>
    </w:p>
    <w:p w14:paraId="34A362F7" w14:textId="77777777" w:rsidR="002653E8" w:rsidRDefault="003115E3">
      <w:pPr>
        <w:spacing w:before="1"/>
        <w:ind w:left="469"/>
        <w:rPr>
          <w:i/>
          <w:sz w:val="16"/>
        </w:rPr>
      </w:pPr>
      <w:r>
        <w:rPr>
          <w:color w:val="231F20"/>
          <w:w w:val="110"/>
          <w:sz w:val="16"/>
        </w:rPr>
        <w:t>Germany) 4</w:t>
      </w:r>
      <w:r>
        <w:rPr>
          <w:i/>
          <w:color w:val="231F20"/>
          <w:w w:val="110"/>
          <w:sz w:val="16"/>
        </w:rPr>
        <w:t xml:space="preserve">, </w:t>
      </w:r>
      <w:r>
        <w:rPr>
          <w:color w:val="231F20"/>
          <w:w w:val="110"/>
          <w:sz w:val="16"/>
        </w:rPr>
        <w:t>12</w:t>
      </w:r>
      <w:r>
        <w:rPr>
          <w:i/>
          <w:color w:val="231F20"/>
          <w:w w:val="110"/>
          <w:sz w:val="16"/>
        </w:rPr>
        <w:t xml:space="preserve">, </w:t>
      </w:r>
      <w:r>
        <w:rPr>
          <w:color w:val="231F20"/>
          <w:w w:val="110"/>
          <w:sz w:val="16"/>
        </w:rPr>
        <w:t>18</w:t>
      </w:r>
      <w:r>
        <w:rPr>
          <w:i/>
          <w:color w:val="231F20"/>
          <w:w w:val="110"/>
          <w:sz w:val="16"/>
        </w:rPr>
        <w:t xml:space="preserve">, </w:t>
      </w:r>
      <w:r>
        <w:rPr>
          <w:color w:val="231F20"/>
          <w:w w:val="110"/>
          <w:sz w:val="16"/>
        </w:rPr>
        <w:t>25</w:t>
      </w:r>
      <w:r>
        <w:rPr>
          <w:i/>
          <w:color w:val="231F20"/>
          <w:w w:val="110"/>
          <w:sz w:val="16"/>
        </w:rPr>
        <w:t xml:space="preserve">, </w:t>
      </w:r>
      <w:r>
        <w:rPr>
          <w:color w:val="231F20"/>
          <w:w w:val="110"/>
          <w:sz w:val="16"/>
        </w:rPr>
        <w:t>29</w:t>
      </w:r>
      <w:r>
        <w:rPr>
          <w:i/>
          <w:color w:val="231F20"/>
          <w:w w:val="110"/>
          <w:sz w:val="16"/>
        </w:rPr>
        <w:t xml:space="preserve">, </w:t>
      </w:r>
      <w:r>
        <w:rPr>
          <w:color w:val="231F20"/>
          <w:w w:val="110"/>
          <w:sz w:val="16"/>
        </w:rPr>
        <w:t>551</w:t>
      </w:r>
      <w:r>
        <w:rPr>
          <w:i/>
          <w:color w:val="231F20"/>
          <w:w w:val="110"/>
          <w:sz w:val="16"/>
        </w:rPr>
        <w:t xml:space="preserve">, </w:t>
      </w:r>
      <w:r>
        <w:rPr>
          <w:color w:val="231F20"/>
          <w:w w:val="110"/>
          <w:sz w:val="16"/>
        </w:rPr>
        <w:t>561</w:t>
      </w:r>
      <w:r>
        <w:rPr>
          <w:i/>
          <w:color w:val="231F20"/>
          <w:w w:val="110"/>
          <w:sz w:val="16"/>
        </w:rPr>
        <w:t>,</w:t>
      </w:r>
    </w:p>
    <w:p w14:paraId="7B185F70" w14:textId="77777777" w:rsidR="002653E8" w:rsidRDefault="003115E3">
      <w:pPr>
        <w:spacing w:before="32" w:line="280" w:lineRule="auto"/>
        <w:ind w:left="469" w:right="1361"/>
        <w:jc w:val="both"/>
        <w:rPr>
          <w:i/>
          <w:sz w:val="16"/>
        </w:rPr>
      </w:pPr>
      <w:r>
        <w:rPr>
          <w:color w:val="231F20"/>
          <w:w w:val="105"/>
          <w:sz w:val="16"/>
        </w:rPr>
        <w:t>620</w:t>
      </w:r>
      <w:r>
        <w:rPr>
          <w:i/>
          <w:color w:val="231F20"/>
          <w:w w:val="105"/>
          <w:sz w:val="16"/>
        </w:rPr>
        <w:t xml:space="preserve">. See also </w:t>
      </w:r>
      <w:r>
        <w:rPr>
          <w:color w:val="231F20"/>
          <w:w w:val="105"/>
          <w:sz w:val="16"/>
        </w:rPr>
        <w:t>APO (Außerparlamentarische Opposition): GDR; and konkret 26</w:t>
      </w:r>
      <w:r>
        <w:rPr>
          <w:i/>
          <w:color w:val="231F20"/>
          <w:w w:val="105"/>
          <w:sz w:val="16"/>
        </w:rPr>
        <w:t xml:space="preserve">, </w:t>
      </w:r>
      <w:r>
        <w:rPr>
          <w:color w:val="231F20"/>
          <w:w w:val="105"/>
          <w:sz w:val="16"/>
        </w:rPr>
        <w:t xml:space="preserve">28; and KPD 17–18; and </w:t>
      </w:r>
      <w:r w:rsidR="00C507A5">
        <w:rPr>
          <w:color w:val="231F20"/>
          <w:w w:val="105"/>
          <w:sz w:val="16"/>
        </w:rPr>
        <w:t>red army faction</w:t>
      </w:r>
      <w:r>
        <w:rPr>
          <w:color w:val="231F20"/>
          <w:w w:val="105"/>
          <w:sz w:val="16"/>
        </w:rPr>
        <w:t xml:space="preserve"> 58</w:t>
      </w:r>
      <w:r>
        <w:rPr>
          <w:i/>
          <w:color w:val="231F20"/>
          <w:w w:val="105"/>
          <w:sz w:val="16"/>
        </w:rPr>
        <w:t>,</w:t>
      </w:r>
    </w:p>
    <w:p w14:paraId="7112575A" w14:textId="77777777" w:rsidR="002653E8" w:rsidRDefault="003115E3">
      <w:pPr>
        <w:spacing w:before="2"/>
        <w:ind w:left="469"/>
        <w:rPr>
          <w:sz w:val="16"/>
        </w:rPr>
      </w:pPr>
      <w:r>
        <w:rPr>
          <w:color w:val="231F20"/>
          <w:w w:val="110"/>
          <w:sz w:val="16"/>
        </w:rPr>
        <w:t>59</w:t>
      </w:r>
      <w:r>
        <w:rPr>
          <w:i/>
          <w:color w:val="231F20"/>
          <w:w w:val="110"/>
          <w:sz w:val="16"/>
        </w:rPr>
        <w:t xml:space="preserve">, </w:t>
      </w:r>
      <w:r>
        <w:rPr>
          <w:color w:val="231F20"/>
          <w:w w:val="110"/>
          <w:sz w:val="16"/>
        </w:rPr>
        <w:t>485</w:t>
      </w:r>
      <w:r>
        <w:rPr>
          <w:i/>
          <w:color w:val="231F20"/>
          <w:w w:val="110"/>
          <w:sz w:val="16"/>
        </w:rPr>
        <w:t xml:space="preserve">, </w:t>
      </w:r>
      <w:r>
        <w:rPr>
          <w:color w:val="231F20"/>
          <w:w w:val="110"/>
          <w:sz w:val="16"/>
        </w:rPr>
        <w:t>558</w:t>
      </w:r>
      <w:r>
        <w:rPr>
          <w:i/>
          <w:color w:val="231F20"/>
          <w:w w:val="110"/>
          <w:sz w:val="16"/>
        </w:rPr>
        <w:t xml:space="preserve">, </w:t>
      </w:r>
      <w:r>
        <w:rPr>
          <w:color w:val="231F20"/>
          <w:w w:val="110"/>
          <w:sz w:val="16"/>
        </w:rPr>
        <w:t>614</w:t>
      </w:r>
      <w:r>
        <w:rPr>
          <w:i/>
          <w:color w:val="231F20"/>
          <w:w w:val="110"/>
          <w:sz w:val="16"/>
        </w:rPr>
        <w:t xml:space="preserve">, </w:t>
      </w:r>
      <w:r>
        <w:rPr>
          <w:color w:val="231F20"/>
          <w:w w:val="110"/>
          <w:sz w:val="16"/>
        </w:rPr>
        <w:t>619–620</w:t>
      </w:r>
    </w:p>
    <w:p w14:paraId="67AE07B6" w14:textId="77777777" w:rsidR="002653E8" w:rsidRDefault="003115E3">
      <w:pPr>
        <w:spacing w:before="32" w:line="280" w:lineRule="auto"/>
        <w:ind w:left="269" w:right="2059"/>
        <w:rPr>
          <w:sz w:val="16"/>
        </w:rPr>
      </w:pPr>
      <w:r>
        <w:rPr>
          <w:color w:val="231F20"/>
          <w:sz w:val="16"/>
        </w:rPr>
        <w:t xml:space="preserve">German Peace Union  90 German Union Association 415 Giáp, </w:t>
      </w:r>
      <w:r>
        <w:rPr>
          <w:color w:val="231F20"/>
          <w:spacing w:val="-7"/>
          <w:sz w:val="16"/>
        </w:rPr>
        <w:t xml:space="preserve">Võ </w:t>
      </w:r>
      <w:r>
        <w:rPr>
          <w:color w:val="231F20"/>
          <w:sz w:val="16"/>
        </w:rPr>
        <w:t>Nguyên 153</w:t>
      </w:r>
      <w:r>
        <w:rPr>
          <w:i/>
          <w:color w:val="231F20"/>
          <w:sz w:val="16"/>
        </w:rPr>
        <w:t>,</w:t>
      </w:r>
      <w:r>
        <w:rPr>
          <w:i/>
          <w:color w:val="231F20"/>
          <w:spacing w:val="6"/>
          <w:sz w:val="16"/>
        </w:rPr>
        <w:t xml:space="preserve"> </w:t>
      </w:r>
      <w:r>
        <w:rPr>
          <w:color w:val="231F20"/>
          <w:sz w:val="16"/>
        </w:rPr>
        <w:t>316</w:t>
      </w:r>
    </w:p>
    <w:p w14:paraId="1A6AC03D" w14:textId="77777777" w:rsidR="002653E8" w:rsidRPr="00846956" w:rsidRDefault="003115E3">
      <w:pPr>
        <w:spacing w:before="2"/>
        <w:ind w:left="269"/>
        <w:rPr>
          <w:sz w:val="16"/>
          <w:lang w:val="de-DE"/>
        </w:rPr>
      </w:pPr>
      <w:r w:rsidRPr="00846956">
        <w:rPr>
          <w:color w:val="231F20"/>
          <w:w w:val="105"/>
          <w:sz w:val="16"/>
          <w:lang w:val="de-DE"/>
        </w:rPr>
        <w:t>Gnädinger, Fritz-Joachim 267</w:t>
      </w:r>
      <w:r w:rsidRPr="00846956">
        <w:rPr>
          <w:i/>
          <w:color w:val="231F20"/>
          <w:w w:val="105"/>
          <w:sz w:val="16"/>
          <w:lang w:val="de-DE"/>
        </w:rPr>
        <w:t xml:space="preserve">, </w:t>
      </w:r>
      <w:r w:rsidRPr="00846956">
        <w:rPr>
          <w:color w:val="231F20"/>
          <w:w w:val="105"/>
          <w:sz w:val="16"/>
          <w:lang w:val="de-DE"/>
        </w:rPr>
        <w:t>567</w:t>
      </w:r>
    </w:p>
    <w:p w14:paraId="0C5DA5F3" w14:textId="77777777" w:rsidR="002653E8" w:rsidRPr="00846956" w:rsidRDefault="003115E3">
      <w:pPr>
        <w:spacing w:before="32"/>
        <w:ind w:left="269"/>
        <w:rPr>
          <w:sz w:val="16"/>
          <w:lang w:val="de-DE"/>
        </w:rPr>
      </w:pPr>
      <w:r w:rsidRPr="00846956">
        <w:rPr>
          <w:color w:val="231F20"/>
          <w:w w:val="105"/>
          <w:sz w:val="16"/>
          <w:lang w:val="de-DE"/>
        </w:rPr>
        <w:t>Göbel, Wolfgang 470</w:t>
      </w:r>
      <w:r w:rsidRPr="00846956">
        <w:rPr>
          <w:i/>
          <w:color w:val="231F20"/>
          <w:w w:val="105"/>
          <w:sz w:val="16"/>
          <w:lang w:val="de-DE"/>
        </w:rPr>
        <w:t xml:space="preserve">, </w:t>
      </w:r>
      <w:r w:rsidRPr="00846956">
        <w:rPr>
          <w:color w:val="231F20"/>
          <w:w w:val="105"/>
          <w:sz w:val="16"/>
          <w:lang w:val="de-DE"/>
        </w:rPr>
        <w:t>567</w:t>
      </w:r>
      <w:r w:rsidRPr="00846956">
        <w:rPr>
          <w:i/>
          <w:color w:val="231F20"/>
          <w:w w:val="105"/>
          <w:sz w:val="16"/>
          <w:lang w:val="de-DE"/>
        </w:rPr>
        <w:t xml:space="preserve">, </w:t>
      </w:r>
      <w:r w:rsidRPr="00846956">
        <w:rPr>
          <w:color w:val="231F20"/>
          <w:w w:val="105"/>
          <w:sz w:val="16"/>
          <w:lang w:val="de-DE"/>
        </w:rPr>
        <w:t>604</w:t>
      </w:r>
    </w:p>
    <w:p w14:paraId="7FB4212F" w14:textId="77777777" w:rsidR="002653E8" w:rsidRDefault="003115E3">
      <w:pPr>
        <w:spacing w:before="33"/>
        <w:ind w:left="269"/>
        <w:rPr>
          <w:sz w:val="16"/>
        </w:rPr>
      </w:pPr>
      <w:r>
        <w:rPr>
          <w:color w:val="231F20"/>
          <w:w w:val="105"/>
          <w:sz w:val="16"/>
        </w:rPr>
        <w:t>Goder, Angelica 621</w:t>
      </w:r>
    </w:p>
    <w:p w14:paraId="3C69F3F9" w14:textId="77777777" w:rsidR="002653E8" w:rsidRDefault="003115E3">
      <w:pPr>
        <w:spacing w:before="32"/>
        <w:ind w:left="269"/>
        <w:rPr>
          <w:sz w:val="16"/>
        </w:rPr>
      </w:pPr>
      <w:r>
        <w:rPr>
          <w:color w:val="231F20"/>
          <w:w w:val="105"/>
          <w:sz w:val="16"/>
        </w:rPr>
        <w:t>Goemans, Johannes 530</w:t>
      </w:r>
      <w:r>
        <w:rPr>
          <w:i/>
          <w:color w:val="231F20"/>
          <w:w w:val="105"/>
          <w:sz w:val="16"/>
        </w:rPr>
        <w:t xml:space="preserve">, </w:t>
      </w:r>
      <w:r>
        <w:rPr>
          <w:color w:val="231F20"/>
          <w:w w:val="105"/>
          <w:sz w:val="16"/>
        </w:rPr>
        <w:t>567</w:t>
      </w:r>
      <w:r>
        <w:rPr>
          <w:i/>
          <w:color w:val="231F20"/>
          <w:w w:val="105"/>
          <w:sz w:val="16"/>
        </w:rPr>
        <w:t xml:space="preserve">, </w:t>
      </w:r>
      <w:r>
        <w:rPr>
          <w:color w:val="231F20"/>
          <w:w w:val="105"/>
          <w:sz w:val="16"/>
        </w:rPr>
        <w:t>611</w:t>
      </w:r>
    </w:p>
    <w:p w14:paraId="47C16083" w14:textId="77777777" w:rsidR="002653E8" w:rsidRDefault="003115E3">
      <w:pPr>
        <w:spacing w:before="33"/>
        <w:ind w:left="269"/>
        <w:rPr>
          <w:sz w:val="16"/>
        </w:rPr>
      </w:pPr>
      <w:r>
        <w:rPr>
          <w:color w:val="231F20"/>
          <w:sz w:val="16"/>
        </w:rPr>
        <w:t>Goergens, Irene 567; captured (1970)</w:t>
      </w:r>
    </w:p>
    <w:p w14:paraId="60A05F40" w14:textId="77777777" w:rsidR="002653E8" w:rsidRDefault="003115E3">
      <w:pPr>
        <w:spacing w:before="32"/>
        <w:ind w:left="469"/>
        <w:jc w:val="both"/>
        <w:rPr>
          <w:sz w:val="16"/>
        </w:rPr>
      </w:pPr>
      <w:r>
        <w:rPr>
          <w:color w:val="231F20"/>
          <w:sz w:val="16"/>
        </w:rPr>
        <w:t>60</w:t>
      </w:r>
      <w:r>
        <w:rPr>
          <w:i/>
          <w:color w:val="231F20"/>
          <w:sz w:val="16"/>
        </w:rPr>
        <w:t xml:space="preserve">, </w:t>
      </w:r>
      <w:r>
        <w:rPr>
          <w:color w:val="231F20"/>
          <w:sz w:val="16"/>
        </w:rPr>
        <w:t>585; library break-out 54; reform</w:t>
      </w:r>
    </w:p>
    <w:p w14:paraId="0372F60B" w14:textId="77777777" w:rsidR="002653E8" w:rsidRDefault="003115E3">
      <w:pPr>
        <w:spacing w:before="32"/>
        <w:ind w:left="469"/>
        <w:jc w:val="both"/>
        <w:rPr>
          <w:sz w:val="16"/>
        </w:rPr>
      </w:pPr>
      <w:r>
        <w:rPr>
          <w:color w:val="231F20"/>
          <w:sz w:val="16"/>
        </w:rPr>
        <w:t>school 54; released (1977) 64</w:t>
      </w:r>
      <w:r>
        <w:rPr>
          <w:i/>
          <w:color w:val="231F20"/>
          <w:sz w:val="16"/>
        </w:rPr>
        <w:t xml:space="preserve">, </w:t>
      </w:r>
      <w:r>
        <w:rPr>
          <w:color w:val="231F20"/>
          <w:sz w:val="16"/>
        </w:rPr>
        <w:t>605;</w:t>
      </w:r>
    </w:p>
    <w:p w14:paraId="6C55A4AA" w14:textId="77777777" w:rsidR="002653E8" w:rsidRPr="00846956" w:rsidRDefault="003115E3">
      <w:pPr>
        <w:spacing w:before="33"/>
        <w:ind w:left="469"/>
        <w:jc w:val="both"/>
        <w:rPr>
          <w:sz w:val="16"/>
          <w:lang w:val="de-DE"/>
        </w:rPr>
      </w:pPr>
      <w:r w:rsidRPr="00846956">
        <w:rPr>
          <w:color w:val="231F20"/>
          <w:sz w:val="16"/>
          <w:lang w:val="de-DE"/>
        </w:rPr>
        <w:t>trial (1971) 60–62</w:t>
      </w:r>
      <w:r w:rsidRPr="00846956">
        <w:rPr>
          <w:i/>
          <w:color w:val="231F20"/>
          <w:sz w:val="16"/>
          <w:lang w:val="de-DE"/>
        </w:rPr>
        <w:t xml:space="preserve">, </w:t>
      </w:r>
      <w:r w:rsidRPr="00846956">
        <w:rPr>
          <w:color w:val="231F20"/>
          <w:sz w:val="16"/>
          <w:lang w:val="de-DE"/>
        </w:rPr>
        <w:t>64</w:t>
      </w:r>
      <w:r w:rsidRPr="00846956">
        <w:rPr>
          <w:i/>
          <w:color w:val="231F20"/>
          <w:sz w:val="16"/>
          <w:lang w:val="de-DE"/>
        </w:rPr>
        <w:t xml:space="preserve">, </w:t>
      </w:r>
      <w:r w:rsidRPr="00846956">
        <w:rPr>
          <w:color w:val="231F20"/>
          <w:sz w:val="16"/>
          <w:lang w:val="de-DE"/>
        </w:rPr>
        <w:t>586</w:t>
      </w:r>
    </w:p>
    <w:p w14:paraId="2C9AEF17" w14:textId="77777777" w:rsidR="002653E8" w:rsidRPr="00846956" w:rsidRDefault="003115E3">
      <w:pPr>
        <w:spacing w:before="32"/>
        <w:ind w:left="269"/>
        <w:rPr>
          <w:sz w:val="16"/>
          <w:lang w:val="de-DE"/>
        </w:rPr>
      </w:pPr>
      <w:r w:rsidRPr="00846956">
        <w:rPr>
          <w:color w:val="231F20"/>
          <w:w w:val="105"/>
          <w:sz w:val="16"/>
          <w:lang w:val="de-DE"/>
        </w:rPr>
        <w:t>Gollwitzer, Helmut 532</w:t>
      </w:r>
    </w:p>
    <w:p w14:paraId="4ED31D65" w14:textId="77777777" w:rsidR="002653E8" w:rsidRPr="00846956" w:rsidRDefault="003115E3">
      <w:pPr>
        <w:spacing w:before="33"/>
        <w:ind w:left="269"/>
        <w:rPr>
          <w:sz w:val="16"/>
          <w:lang w:val="de-DE"/>
        </w:rPr>
      </w:pPr>
      <w:r w:rsidRPr="00846956">
        <w:rPr>
          <w:color w:val="231F20"/>
          <w:w w:val="105"/>
          <w:sz w:val="16"/>
          <w:lang w:val="de-DE"/>
        </w:rPr>
        <w:t>Götte (psychiatrist) 319</w:t>
      </w:r>
      <w:r w:rsidRPr="00846956">
        <w:rPr>
          <w:i/>
          <w:color w:val="231F20"/>
          <w:w w:val="105"/>
          <w:sz w:val="16"/>
          <w:lang w:val="de-DE"/>
        </w:rPr>
        <w:t xml:space="preserve">, </w:t>
      </w:r>
      <w:r w:rsidRPr="00846956">
        <w:rPr>
          <w:color w:val="231F20"/>
          <w:w w:val="105"/>
          <w:sz w:val="16"/>
          <w:lang w:val="de-DE"/>
        </w:rPr>
        <w:t>410</w:t>
      </w:r>
    </w:p>
    <w:p w14:paraId="141B95F1" w14:textId="77777777" w:rsidR="002653E8" w:rsidRDefault="003115E3">
      <w:pPr>
        <w:spacing w:before="32"/>
        <w:ind w:left="269"/>
        <w:rPr>
          <w:sz w:val="16"/>
        </w:rPr>
      </w:pPr>
      <w:r>
        <w:rPr>
          <w:color w:val="231F20"/>
          <w:w w:val="105"/>
          <w:sz w:val="16"/>
        </w:rPr>
        <w:t>Graefer, Edelgard 161–162</w:t>
      </w:r>
      <w:r>
        <w:rPr>
          <w:i/>
          <w:color w:val="231F20"/>
          <w:w w:val="105"/>
          <w:sz w:val="16"/>
        </w:rPr>
        <w:t xml:space="preserve">, </w:t>
      </w:r>
      <w:r>
        <w:rPr>
          <w:color w:val="231F20"/>
          <w:w w:val="105"/>
          <w:sz w:val="16"/>
        </w:rPr>
        <w:t>357</w:t>
      </w:r>
    </w:p>
    <w:p w14:paraId="015407C3" w14:textId="77777777" w:rsidR="002653E8" w:rsidRDefault="003115E3">
      <w:pPr>
        <w:spacing w:before="33"/>
        <w:ind w:left="269"/>
        <w:rPr>
          <w:sz w:val="16"/>
        </w:rPr>
      </w:pPr>
      <w:r>
        <w:rPr>
          <w:color w:val="231F20"/>
          <w:w w:val="105"/>
          <w:sz w:val="16"/>
        </w:rPr>
        <w:t>Gramsci, Antonio 399</w:t>
      </w:r>
      <w:r>
        <w:rPr>
          <w:i/>
          <w:color w:val="231F20"/>
          <w:w w:val="105"/>
          <w:sz w:val="16"/>
        </w:rPr>
        <w:t xml:space="preserve">, </w:t>
      </w:r>
      <w:r>
        <w:rPr>
          <w:color w:val="231F20"/>
          <w:w w:val="105"/>
          <w:sz w:val="16"/>
        </w:rPr>
        <w:t>400</w:t>
      </w:r>
    </w:p>
    <w:p w14:paraId="0FBA62B7" w14:textId="77777777" w:rsidR="002653E8" w:rsidRDefault="003115E3">
      <w:pPr>
        <w:spacing w:before="32"/>
        <w:ind w:left="269"/>
        <w:rPr>
          <w:sz w:val="16"/>
        </w:rPr>
      </w:pPr>
      <w:r>
        <w:rPr>
          <w:color w:val="231F20"/>
          <w:w w:val="105"/>
          <w:sz w:val="16"/>
        </w:rPr>
        <w:t>Grams, Wolfgang 616</w:t>
      </w:r>
      <w:r>
        <w:rPr>
          <w:i/>
          <w:color w:val="231F20"/>
          <w:w w:val="105"/>
          <w:sz w:val="16"/>
        </w:rPr>
        <w:t xml:space="preserve">, </w:t>
      </w:r>
      <w:r>
        <w:rPr>
          <w:color w:val="231F20"/>
          <w:w w:val="105"/>
          <w:sz w:val="16"/>
        </w:rPr>
        <w:t>621</w:t>
      </w:r>
      <w:r>
        <w:rPr>
          <w:i/>
          <w:color w:val="231F20"/>
          <w:w w:val="105"/>
          <w:sz w:val="16"/>
        </w:rPr>
        <w:t xml:space="preserve">, </w:t>
      </w:r>
      <w:r>
        <w:rPr>
          <w:color w:val="231F20"/>
          <w:w w:val="105"/>
          <w:sz w:val="16"/>
        </w:rPr>
        <w:t>623</w:t>
      </w:r>
    </w:p>
    <w:p w14:paraId="7C69B3A9" w14:textId="77777777" w:rsidR="002653E8" w:rsidRDefault="003115E3">
      <w:pPr>
        <w:spacing w:before="32"/>
        <w:ind w:left="269"/>
        <w:rPr>
          <w:i/>
          <w:sz w:val="16"/>
        </w:rPr>
      </w:pPr>
      <w:r>
        <w:rPr>
          <w:color w:val="231F20"/>
          <w:w w:val="110"/>
          <w:sz w:val="16"/>
        </w:rPr>
        <w:t>Grand Coalition 29</w:t>
      </w:r>
      <w:r>
        <w:rPr>
          <w:i/>
          <w:color w:val="231F20"/>
          <w:w w:val="110"/>
          <w:sz w:val="16"/>
        </w:rPr>
        <w:t xml:space="preserve">, </w:t>
      </w:r>
      <w:r>
        <w:rPr>
          <w:color w:val="231F20"/>
          <w:w w:val="110"/>
          <w:sz w:val="16"/>
        </w:rPr>
        <w:t>38</w:t>
      </w:r>
      <w:r>
        <w:rPr>
          <w:i/>
          <w:color w:val="231F20"/>
          <w:w w:val="110"/>
          <w:sz w:val="16"/>
        </w:rPr>
        <w:t xml:space="preserve">, </w:t>
      </w:r>
      <w:r>
        <w:rPr>
          <w:color w:val="231F20"/>
          <w:w w:val="110"/>
          <w:sz w:val="16"/>
        </w:rPr>
        <w:t>39</w:t>
      </w:r>
      <w:r>
        <w:rPr>
          <w:i/>
          <w:color w:val="231F20"/>
          <w:w w:val="110"/>
          <w:sz w:val="16"/>
        </w:rPr>
        <w:t xml:space="preserve">, </w:t>
      </w:r>
      <w:r>
        <w:rPr>
          <w:color w:val="231F20"/>
          <w:w w:val="110"/>
          <w:sz w:val="16"/>
        </w:rPr>
        <w:t>41</w:t>
      </w:r>
      <w:r>
        <w:rPr>
          <w:i/>
          <w:color w:val="231F20"/>
          <w:w w:val="110"/>
          <w:sz w:val="16"/>
        </w:rPr>
        <w:t xml:space="preserve">, </w:t>
      </w:r>
      <w:r>
        <w:rPr>
          <w:color w:val="231F20"/>
          <w:w w:val="110"/>
          <w:sz w:val="16"/>
        </w:rPr>
        <w:t>88</w:t>
      </w:r>
      <w:r>
        <w:rPr>
          <w:i/>
          <w:color w:val="231F20"/>
          <w:w w:val="110"/>
          <w:sz w:val="16"/>
        </w:rPr>
        <w:t xml:space="preserve">, </w:t>
      </w:r>
      <w:r>
        <w:rPr>
          <w:color w:val="231F20"/>
          <w:w w:val="110"/>
          <w:sz w:val="16"/>
        </w:rPr>
        <w:t>226</w:t>
      </w:r>
      <w:r>
        <w:rPr>
          <w:i/>
          <w:color w:val="231F20"/>
          <w:w w:val="110"/>
          <w:sz w:val="16"/>
        </w:rPr>
        <w:t>,</w:t>
      </w:r>
    </w:p>
    <w:p w14:paraId="7E1E540A" w14:textId="77777777" w:rsidR="002653E8" w:rsidRDefault="003115E3">
      <w:pPr>
        <w:spacing w:before="33"/>
        <w:ind w:left="469"/>
        <w:jc w:val="both"/>
        <w:rPr>
          <w:sz w:val="16"/>
        </w:rPr>
      </w:pPr>
      <w:r>
        <w:rPr>
          <w:color w:val="231F20"/>
          <w:w w:val="105"/>
          <w:sz w:val="16"/>
        </w:rPr>
        <w:t>414</w:t>
      </w:r>
      <w:r>
        <w:rPr>
          <w:i/>
          <w:color w:val="231F20"/>
          <w:w w:val="105"/>
          <w:sz w:val="16"/>
        </w:rPr>
        <w:t xml:space="preserve">, </w:t>
      </w:r>
      <w:r>
        <w:rPr>
          <w:color w:val="231F20"/>
          <w:w w:val="105"/>
          <w:sz w:val="16"/>
        </w:rPr>
        <w:t>579</w:t>
      </w:r>
    </w:p>
    <w:p w14:paraId="6C8AEC9B" w14:textId="77777777" w:rsidR="002653E8" w:rsidRDefault="003115E3">
      <w:pPr>
        <w:spacing w:before="32"/>
        <w:ind w:left="269"/>
        <w:rPr>
          <w:sz w:val="16"/>
        </w:rPr>
      </w:pPr>
      <w:r>
        <w:rPr>
          <w:color w:val="231F20"/>
          <w:w w:val="105"/>
          <w:sz w:val="16"/>
        </w:rPr>
        <w:t>Grashof, Manfred 60</w:t>
      </w:r>
      <w:r>
        <w:rPr>
          <w:i/>
          <w:color w:val="231F20"/>
          <w:w w:val="105"/>
          <w:sz w:val="16"/>
        </w:rPr>
        <w:t xml:space="preserve">, </w:t>
      </w:r>
      <w:r>
        <w:rPr>
          <w:color w:val="231F20"/>
          <w:w w:val="105"/>
          <w:sz w:val="16"/>
        </w:rPr>
        <w:t>296</w:t>
      </w:r>
      <w:r>
        <w:rPr>
          <w:i/>
          <w:color w:val="231F20"/>
          <w:w w:val="105"/>
          <w:sz w:val="16"/>
        </w:rPr>
        <w:t xml:space="preserve">, </w:t>
      </w:r>
      <w:r>
        <w:rPr>
          <w:color w:val="231F20"/>
          <w:w w:val="105"/>
          <w:sz w:val="16"/>
        </w:rPr>
        <w:t>320</w:t>
      </w:r>
      <w:r>
        <w:rPr>
          <w:i/>
          <w:color w:val="231F20"/>
          <w:w w:val="105"/>
          <w:sz w:val="16"/>
        </w:rPr>
        <w:t xml:space="preserve">, </w:t>
      </w:r>
      <w:r>
        <w:rPr>
          <w:color w:val="231F20"/>
          <w:w w:val="105"/>
          <w:sz w:val="16"/>
        </w:rPr>
        <w:t>567; cap-</w:t>
      </w:r>
    </w:p>
    <w:p w14:paraId="28A3E295" w14:textId="77777777" w:rsidR="002653E8" w:rsidRDefault="003115E3">
      <w:pPr>
        <w:spacing w:before="33"/>
        <w:ind w:left="469"/>
        <w:jc w:val="both"/>
        <w:rPr>
          <w:sz w:val="16"/>
        </w:rPr>
      </w:pPr>
      <w:r>
        <w:rPr>
          <w:color w:val="231F20"/>
          <w:sz w:val="16"/>
        </w:rPr>
        <w:t>tured (1972) 114–115</w:t>
      </w:r>
      <w:r>
        <w:rPr>
          <w:i/>
          <w:color w:val="231F20"/>
          <w:sz w:val="16"/>
        </w:rPr>
        <w:t xml:space="preserve">, </w:t>
      </w:r>
      <w:r>
        <w:rPr>
          <w:color w:val="231F20"/>
          <w:sz w:val="16"/>
        </w:rPr>
        <w:t>589; pardoned</w:t>
      </w:r>
    </w:p>
    <w:p w14:paraId="323833BD" w14:textId="77777777" w:rsidR="002653E8" w:rsidRDefault="003115E3">
      <w:pPr>
        <w:spacing w:before="32"/>
        <w:ind w:left="469"/>
        <w:jc w:val="both"/>
        <w:rPr>
          <w:sz w:val="16"/>
        </w:rPr>
      </w:pPr>
      <w:r>
        <w:rPr>
          <w:color w:val="231F20"/>
          <w:sz w:val="16"/>
        </w:rPr>
        <w:t>(1988) 619; release demanded 339;</w:t>
      </w:r>
    </w:p>
    <w:p w14:paraId="3125A9AF" w14:textId="77777777" w:rsidR="002653E8" w:rsidRDefault="003115E3">
      <w:pPr>
        <w:spacing w:before="33"/>
        <w:ind w:left="469"/>
        <w:jc w:val="both"/>
        <w:rPr>
          <w:sz w:val="16"/>
        </w:rPr>
      </w:pPr>
      <w:r>
        <w:rPr>
          <w:color w:val="231F20"/>
          <w:sz w:val="16"/>
        </w:rPr>
        <w:t>trial (1975-77)   598</w:t>
      </w:r>
      <w:r>
        <w:rPr>
          <w:i/>
          <w:color w:val="231F20"/>
          <w:sz w:val="16"/>
        </w:rPr>
        <w:t xml:space="preserve">, </w:t>
      </w:r>
      <w:r>
        <w:rPr>
          <w:color w:val="231F20"/>
          <w:sz w:val="16"/>
        </w:rPr>
        <w:t>605</w:t>
      </w:r>
    </w:p>
    <w:p w14:paraId="0CEB781E" w14:textId="77777777" w:rsidR="002653E8" w:rsidRDefault="003115E3">
      <w:pPr>
        <w:spacing w:before="32"/>
        <w:ind w:left="269"/>
        <w:rPr>
          <w:sz w:val="16"/>
        </w:rPr>
      </w:pPr>
      <w:r>
        <w:rPr>
          <w:color w:val="231F20"/>
          <w:w w:val="105"/>
          <w:sz w:val="16"/>
        </w:rPr>
        <w:t>Grass, Günter  25</w:t>
      </w:r>
      <w:r>
        <w:rPr>
          <w:i/>
          <w:color w:val="231F20"/>
          <w:w w:val="105"/>
          <w:sz w:val="16"/>
        </w:rPr>
        <w:t xml:space="preserve">, </w:t>
      </w:r>
      <w:r>
        <w:rPr>
          <w:color w:val="231F20"/>
          <w:w w:val="105"/>
          <w:sz w:val="16"/>
        </w:rPr>
        <w:t>103</w:t>
      </w:r>
      <w:r>
        <w:rPr>
          <w:i/>
          <w:color w:val="231F20"/>
          <w:w w:val="105"/>
          <w:sz w:val="16"/>
        </w:rPr>
        <w:t xml:space="preserve">, </w:t>
      </w:r>
      <w:r>
        <w:rPr>
          <w:color w:val="231F20"/>
          <w:w w:val="105"/>
          <w:sz w:val="16"/>
        </w:rPr>
        <w:t>532</w:t>
      </w:r>
    </w:p>
    <w:p w14:paraId="406BCCB2" w14:textId="77777777" w:rsidR="002653E8" w:rsidRDefault="003115E3">
      <w:pPr>
        <w:spacing w:before="32"/>
        <w:ind w:left="269"/>
        <w:rPr>
          <w:sz w:val="16"/>
        </w:rPr>
      </w:pPr>
      <w:r>
        <w:rPr>
          <w:color w:val="231F20"/>
          <w:w w:val="105"/>
          <w:sz w:val="16"/>
        </w:rPr>
        <w:t>Greece; dictatorship 125</w:t>
      </w:r>
      <w:r>
        <w:rPr>
          <w:i/>
          <w:color w:val="231F20"/>
          <w:w w:val="105"/>
          <w:sz w:val="16"/>
        </w:rPr>
        <w:t xml:space="preserve">, </w:t>
      </w:r>
      <w:r>
        <w:rPr>
          <w:color w:val="231F20"/>
          <w:w w:val="105"/>
          <w:sz w:val="16"/>
        </w:rPr>
        <w:t>183</w:t>
      </w:r>
      <w:r>
        <w:rPr>
          <w:i/>
          <w:color w:val="231F20"/>
          <w:w w:val="105"/>
          <w:sz w:val="16"/>
        </w:rPr>
        <w:t xml:space="preserve">, </w:t>
      </w:r>
      <w:r>
        <w:rPr>
          <w:color w:val="231F20"/>
          <w:w w:val="105"/>
          <w:sz w:val="16"/>
        </w:rPr>
        <w:t>580</w:t>
      </w:r>
      <w:r>
        <w:rPr>
          <w:i/>
          <w:color w:val="231F20"/>
          <w:w w:val="105"/>
          <w:sz w:val="16"/>
        </w:rPr>
        <w:t xml:space="preserve">, </w:t>
      </w:r>
      <w:r>
        <w:rPr>
          <w:color w:val="231F20"/>
          <w:w w:val="105"/>
          <w:sz w:val="16"/>
        </w:rPr>
        <w:t>594;</w:t>
      </w:r>
    </w:p>
    <w:p w14:paraId="0298B28B" w14:textId="77777777" w:rsidR="002653E8" w:rsidRDefault="003115E3">
      <w:pPr>
        <w:spacing w:before="33"/>
        <w:ind w:left="469"/>
        <w:jc w:val="both"/>
        <w:rPr>
          <w:sz w:val="16"/>
        </w:rPr>
      </w:pPr>
      <w:r>
        <w:rPr>
          <w:color w:val="231F20"/>
          <w:w w:val="105"/>
          <w:sz w:val="16"/>
        </w:rPr>
        <w:t>and Rolf Pohle 453–454</w:t>
      </w:r>
      <w:r>
        <w:rPr>
          <w:i/>
          <w:color w:val="231F20"/>
          <w:w w:val="105"/>
          <w:sz w:val="16"/>
        </w:rPr>
        <w:t xml:space="preserve">, </w:t>
      </w:r>
      <w:r>
        <w:rPr>
          <w:color w:val="231F20"/>
          <w:w w:val="105"/>
          <w:sz w:val="16"/>
        </w:rPr>
        <w:t>602; radical</w:t>
      </w:r>
    </w:p>
    <w:p w14:paraId="370624DC" w14:textId="77777777" w:rsidR="002653E8" w:rsidRDefault="003115E3">
      <w:pPr>
        <w:spacing w:before="32"/>
        <w:ind w:left="469"/>
        <w:jc w:val="both"/>
        <w:rPr>
          <w:sz w:val="16"/>
        </w:rPr>
      </w:pPr>
      <w:r>
        <w:rPr>
          <w:color w:val="231F20"/>
          <w:sz w:val="16"/>
        </w:rPr>
        <w:t>left 523</w:t>
      </w:r>
    </w:p>
    <w:p w14:paraId="01C0E5C4" w14:textId="77777777" w:rsidR="002653E8" w:rsidRDefault="003115E3">
      <w:pPr>
        <w:spacing w:before="33" w:line="280" w:lineRule="auto"/>
        <w:ind w:left="469" w:right="1596" w:hanging="200"/>
        <w:rPr>
          <w:sz w:val="16"/>
        </w:rPr>
      </w:pPr>
      <w:r>
        <w:rPr>
          <w:color w:val="231F20"/>
          <w:sz w:val="16"/>
        </w:rPr>
        <w:t>Green Party 227</w:t>
      </w:r>
      <w:r>
        <w:rPr>
          <w:i/>
          <w:color w:val="231F20"/>
          <w:sz w:val="16"/>
        </w:rPr>
        <w:t xml:space="preserve">, </w:t>
      </w:r>
      <w:r>
        <w:rPr>
          <w:color w:val="231F20"/>
          <w:sz w:val="16"/>
        </w:rPr>
        <w:t>246</w:t>
      </w:r>
      <w:r>
        <w:rPr>
          <w:i/>
          <w:color w:val="231F20"/>
          <w:sz w:val="16"/>
        </w:rPr>
        <w:t xml:space="preserve">, </w:t>
      </w:r>
      <w:r>
        <w:rPr>
          <w:color w:val="231F20"/>
          <w:sz w:val="16"/>
        </w:rPr>
        <w:t>247</w:t>
      </w:r>
      <w:r>
        <w:rPr>
          <w:i/>
          <w:color w:val="231F20"/>
          <w:sz w:val="16"/>
        </w:rPr>
        <w:t xml:space="preserve">, </w:t>
      </w:r>
      <w:r>
        <w:rPr>
          <w:color w:val="231F20"/>
          <w:sz w:val="16"/>
        </w:rPr>
        <w:t>625; and K-groups 538; and undogmatic left 443</w:t>
      </w:r>
      <w:r>
        <w:rPr>
          <w:i/>
          <w:color w:val="231F20"/>
          <w:sz w:val="16"/>
        </w:rPr>
        <w:t xml:space="preserve">, </w:t>
      </w:r>
      <w:r>
        <w:rPr>
          <w:color w:val="231F20"/>
          <w:sz w:val="16"/>
        </w:rPr>
        <w:t>525</w:t>
      </w:r>
      <w:r>
        <w:rPr>
          <w:i/>
          <w:color w:val="231F20"/>
          <w:sz w:val="16"/>
        </w:rPr>
        <w:t xml:space="preserve">, </w:t>
      </w:r>
      <w:r>
        <w:rPr>
          <w:color w:val="231F20"/>
          <w:sz w:val="16"/>
        </w:rPr>
        <w:t>540</w:t>
      </w:r>
    </w:p>
    <w:p w14:paraId="603B5283" w14:textId="77777777" w:rsidR="002653E8" w:rsidRDefault="003115E3">
      <w:pPr>
        <w:spacing w:before="1"/>
        <w:ind w:left="269"/>
        <w:rPr>
          <w:sz w:val="16"/>
        </w:rPr>
      </w:pPr>
      <w:r>
        <w:rPr>
          <w:color w:val="231F20"/>
          <w:sz w:val="16"/>
        </w:rPr>
        <w:t>Griebel, Walter 71</w:t>
      </w:r>
    </w:p>
    <w:p w14:paraId="5ED96247" w14:textId="77777777" w:rsidR="002653E8" w:rsidRDefault="002653E8">
      <w:pPr>
        <w:rPr>
          <w:sz w:val="16"/>
        </w:rPr>
        <w:sectPr w:rsidR="002653E8">
          <w:footerReference w:type="even" r:id="rId634"/>
          <w:footerReference w:type="default" r:id="rId635"/>
          <w:pgSz w:w="8640" w:h="12960"/>
          <w:pgMar w:top="1080" w:right="0" w:bottom="1040" w:left="0" w:header="0" w:footer="846" w:gutter="0"/>
          <w:cols w:num="2" w:space="720" w:equalWidth="0">
            <w:col w:w="4061" w:space="40"/>
            <w:col w:w="4539"/>
          </w:cols>
        </w:sectPr>
      </w:pPr>
    </w:p>
    <w:p w14:paraId="549C23D8" w14:textId="77777777" w:rsidR="002653E8" w:rsidRDefault="003115E3">
      <w:pPr>
        <w:spacing w:before="86"/>
        <w:ind w:left="1327"/>
        <w:rPr>
          <w:sz w:val="16"/>
        </w:rPr>
      </w:pPr>
      <w:r>
        <w:rPr>
          <w:color w:val="231F20"/>
          <w:w w:val="105"/>
          <w:sz w:val="16"/>
        </w:rPr>
        <w:lastRenderedPageBreak/>
        <w:t>Groenewold, Kurt 247</w:t>
      </w:r>
      <w:r>
        <w:rPr>
          <w:i/>
          <w:color w:val="231F20"/>
          <w:w w:val="105"/>
          <w:sz w:val="16"/>
        </w:rPr>
        <w:t xml:space="preserve">, </w:t>
      </w:r>
      <w:r>
        <w:rPr>
          <w:color w:val="231F20"/>
          <w:w w:val="105"/>
          <w:sz w:val="16"/>
        </w:rPr>
        <w:t>325</w:t>
      </w:r>
      <w:r>
        <w:rPr>
          <w:i/>
          <w:color w:val="231F20"/>
          <w:w w:val="105"/>
          <w:sz w:val="16"/>
        </w:rPr>
        <w:t xml:space="preserve">, </w:t>
      </w:r>
      <w:r>
        <w:rPr>
          <w:color w:val="231F20"/>
          <w:w w:val="105"/>
          <w:sz w:val="16"/>
        </w:rPr>
        <w:t>567; attacks</w:t>
      </w:r>
    </w:p>
    <w:p w14:paraId="0517FE72" w14:textId="77777777" w:rsidR="002653E8" w:rsidRDefault="003115E3">
      <w:pPr>
        <w:spacing w:before="33"/>
        <w:ind w:left="1527"/>
        <w:rPr>
          <w:i/>
          <w:sz w:val="16"/>
        </w:rPr>
      </w:pPr>
      <w:r>
        <w:rPr>
          <w:color w:val="231F20"/>
          <w:w w:val="110"/>
          <w:sz w:val="16"/>
        </w:rPr>
        <w:t>on</w:t>
      </w:r>
      <w:r>
        <w:rPr>
          <w:color w:val="231F20"/>
          <w:spacing w:val="13"/>
          <w:w w:val="110"/>
          <w:sz w:val="16"/>
        </w:rPr>
        <w:t xml:space="preserve"> </w:t>
      </w:r>
      <w:r>
        <w:rPr>
          <w:color w:val="231F20"/>
          <w:w w:val="110"/>
          <w:sz w:val="16"/>
        </w:rPr>
        <w:t>266</w:t>
      </w:r>
      <w:r>
        <w:rPr>
          <w:i/>
          <w:color w:val="231F20"/>
          <w:w w:val="110"/>
          <w:sz w:val="16"/>
        </w:rPr>
        <w:t>,</w:t>
      </w:r>
      <w:r>
        <w:rPr>
          <w:i/>
          <w:color w:val="231F20"/>
          <w:spacing w:val="-16"/>
          <w:w w:val="110"/>
          <w:sz w:val="16"/>
        </w:rPr>
        <w:t xml:space="preserve"> </w:t>
      </w:r>
      <w:r>
        <w:rPr>
          <w:color w:val="231F20"/>
          <w:w w:val="110"/>
          <w:sz w:val="16"/>
        </w:rPr>
        <w:t>344</w:t>
      </w:r>
      <w:r>
        <w:rPr>
          <w:i/>
          <w:color w:val="231F20"/>
          <w:w w:val="110"/>
          <w:sz w:val="16"/>
        </w:rPr>
        <w:t>,</w:t>
      </w:r>
      <w:r>
        <w:rPr>
          <w:i/>
          <w:color w:val="231F20"/>
          <w:spacing w:val="-16"/>
          <w:w w:val="110"/>
          <w:sz w:val="16"/>
        </w:rPr>
        <w:t xml:space="preserve"> </w:t>
      </w:r>
      <w:r>
        <w:rPr>
          <w:color w:val="231F20"/>
          <w:w w:val="110"/>
          <w:sz w:val="16"/>
        </w:rPr>
        <w:t>346</w:t>
      </w:r>
      <w:r>
        <w:rPr>
          <w:i/>
          <w:color w:val="231F20"/>
          <w:w w:val="110"/>
          <w:sz w:val="16"/>
        </w:rPr>
        <w:t>,</w:t>
      </w:r>
      <w:r>
        <w:rPr>
          <w:i/>
          <w:color w:val="231F20"/>
          <w:spacing w:val="-16"/>
          <w:w w:val="110"/>
          <w:sz w:val="16"/>
        </w:rPr>
        <w:t xml:space="preserve"> </w:t>
      </w:r>
      <w:r>
        <w:rPr>
          <w:color w:val="231F20"/>
          <w:w w:val="110"/>
          <w:sz w:val="16"/>
        </w:rPr>
        <w:t>348</w:t>
      </w:r>
      <w:r>
        <w:rPr>
          <w:i/>
          <w:color w:val="231F20"/>
          <w:w w:val="110"/>
          <w:sz w:val="16"/>
        </w:rPr>
        <w:t>,</w:t>
      </w:r>
      <w:r>
        <w:rPr>
          <w:i/>
          <w:color w:val="231F20"/>
          <w:spacing w:val="-16"/>
          <w:w w:val="110"/>
          <w:sz w:val="16"/>
        </w:rPr>
        <w:t xml:space="preserve"> </w:t>
      </w:r>
      <w:r>
        <w:rPr>
          <w:color w:val="231F20"/>
          <w:w w:val="110"/>
          <w:sz w:val="16"/>
        </w:rPr>
        <w:t>595</w:t>
      </w:r>
      <w:r>
        <w:rPr>
          <w:i/>
          <w:color w:val="231F20"/>
          <w:w w:val="110"/>
          <w:sz w:val="16"/>
        </w:rPr>
        <w:t>,</w:t>
      </w:r>
      <w:r>
        <w:rPr>
          <w:i/>
          <w:color w:val="231F20"/>
          <w:spacing w:val="-16"/>
          <w:w w:val="110"/>
          <w:sz w:val="16"/>
        </w:rPr>
        <w:t xml:space="preserve"> </w:t>
      </w:r>
      <w:r>
        <w:rPr>
          <w:color w:val="231F20"/>
          <w:w w:val="110"/>
          <w:sz w:val="16"/>
        </w:rPr>
        <w:t>597</w:t>
      </w:r>
      <w:r>
        <w:rPr>
          <w:i/>
          <w:color w:val="231F20"/>
          <w:w w:val="110"/>
          <w:sz w:val="16"/>
        </w:rPr>
        <w:t>,</w:t>
      </w:r>
      <w:r>
        <w:rPr>
          <w:i/>
          <w:color w:val="231F20"/>
          <w:spacing w:val="-16"/>
          <w:w w:val="110"/>
          <w:sz w:val="16"/>
        </w:rPr>
        <w:t xml:space="preserve"> </w:t>
      </w:r>
      <w:r>
        <w:rPr>
          <w:color w:val="231F20"/>
          <w:w w:val="110"/>
          <w:sz w:val="16"/>
        </w:rPr>
        <w:t>598</w:t>
      </w:r>
      <w:r>
        <w:rPr>
          <w:i/>
          <w:color w:val="231F20"/>
          <w:w w:val="110"/>
          <w:sz w:val="16"/>
        </w:rPr>
        <w:t>,</w:t>
      </w:r>
    </w:p>
    <w:p w14:paraId="04892140" w14:textId="77777777" w:rsidR="002653E8" w:rsidRDefault="003115E3">
      <w:pPr>
        <w:spacing w:before="32"/>
        <w:ind w:left="1527"/>
        <w:rPr>
          <w:sz w:val="16"/>
        </w:rPr>
      </w:pPr>
      <w:r>
        <w:rPr>
          <w:color w:val="231F20"/>
          <w:sz w:val="16"/>
        </w:rPr>
        <w:t xml:space="preserve">606;  Committees Against </w:t>
      </w:r>
      <w:r>
        <w:rPr>
          <w:color w:val="231F20"/>
          <w:spacing w:val="-3"/>
          <w:sz w:val="16"/>
        </w:rPr>
        <w:t xml:space="preserve">Torture   </w:t>
      </w:r>
      <w:r>
        <w:rPr>
          <w:color w:val="231F20"/>
          <w:sz w:val="16"/>
        </w:rPr>
        <w:t>245;</w:t>
      </w:r>
    </w:p>
    <w:p w14:paraId="1BCD52D1" w14:textId="77777777" w:rsidR="002653E8" w:rsidRDefault="003115E3">
      <w:pPr>
        <w:spacing w:before="33"/>
        <w:ind w:left="1527"/>
        <w:rPr>
          <w:sz w:val="16"/>
        </w:rPr>
      </w:pPr>
      <w:r>
        <w:rPr>
          <w:color w:val="231F20"/>
          <w:sz w:val="16"/>
        </w:rPr>
        <w:t>trial (1978) 609</w:t>
      </w:r>
      <w:r>
        <w:rPr>
          <w:i/>
          <w:color w:val="231F20"/>
          <w:sz w:val="16"/>
        </w:rPr>
        <w:t xml:space="preserve">, </w:t>
      </w:r>
      <w:r>
        <w:rPr>
          <w:color w:val="231F20"/>
          <w:sz w:val="16"/>
        </w:rPr>
        <w:t>611</w:t>
      </w:r>
    </w:p>
    <w:p w14:paraId="2EEEE91A" w14:textId="77777777" w:rsidR="002653E8" w:rsidRDefault="003115E3">
      <w:pPr>
        <w:spacing w:before="32"/>
        <w:ind w:left="1327"/>
        <w:rPr>
          <w:sz w:val="16"/>
        </w:rPr>
      </w:pPr>
      <w:r>
        <w:rPr>
          <w:color w:val="231F20"/>
          <w:w w:val="105"/>
          <w:sz w:val="16"/>
        </w:rPr>
        <w:t>Groppler, Eckhard 618</w:t>
      </w:r>
    </w:p>
    <w:p w14:paraId="1E7167BC" w14:textId="77777777" w:rsidR="002653E8" w:rsidRPr="00846956" w:rsidRDefault="003115E3">
      <w:pPr>
        <w:spacing w:before="32"/>
        <w:ind w:left="1327"/>
        <w:rPr>
          <w:sz w:val="16"/>
          <w:lang w:val="de-DE"/>
        </w:rPr>
      </w:pPr>
      <w:r w:rsidRPr="00846956">
        <w:rPr>
          <w:color w:val="231F20"/>
          <w:sz w:val="16"/>
          <w:lang w:val="de-DE"/>
        </w:rPr>
        <w:t>Grosser,  Karl-Friedrich  621</w:t>
      </w:r>
    </w:p>
    <w:p w14:paraId="7FA5503D" w14:textId="77777777" w:rsidR="002653E8" w:rsidRDefault="003115E3">
      <w:pPr>
        <w:spacing w:before="33" w:line="280" w:lineRule="auto"/>
        <w:ind w:left="1327" w:right="987"/>
        <w:rPr>
          <w:sz w:val="16"/>
        </w:rPr>
      </w:pPr>
      <w:r w:rsidRPr="00846956">
        <w:rPr>
          <w:color w:val="231F20"/>
          <w:w w:val="105"/>
          <w:sz w:val="16"/>
          <w:lang w:val="de-DE"/>
        </w:rPr>
        <w:t>Gross, Jan 239 Grundgesetz</w:t>
      </w:r>
      <w:r w:rsidRPr="00846956">
        <w:rPr>
          <w:i/>
          <w:color w:val="231F20"/>
          <w:w w:val="105"/>
          <w:sz w:val="16"/>
          <w:lang w:val="de-DE"/>
        </w:rPr>
        <w:t>.</w:t>
      </w:r>
      <w:r w:rsidRPr="00846956">
        <w:rPr>
          <w:i/>
          <w:color w:val="231F20"/>
          <w:spacing w:val="-19"/>
          <w:w w:val="105"/>
          <w:sz w:val="16"/>
          <w:lang w:val="de-DE"/>
        </w:rPr>
        <w:t xml:space="preserve"> </w:t>
      </w:r>
      <w:r>
        <w:rPr>
          <w:i/>
          <w:color w:val="231F20"/>
          <w:w w:val="105"/>
          <w:sz w:val="16"/>
        </w:rPr>
        <w:t>See</w:t>
      </w:r>
      <w:r>
        <w:rPr>
          <w:i/>
          <w:color w:val="231F20"/>
          <w:spacing w:val="-16"/>
          <w:w w:val="105"/>
          <w:sz w:val="16"/>
        </w:rPr>
        <w:t xml:space="preserve"> </w:t>
      </w:r>
      <w:r>
        <w:rPr>
          <w:color w:val="231F20"/>
          <w:w w:val="105"/>
          <w:sz w:val="16"/>
        </w:rPr>
        <w:t>Basic</w:t>
      </w:r>
      <w:r>
        <w:rPr>
          <w:color w:val="231F20"/>
          <w:spacing w:val="-16"/>
          <w:w w:val="105"/>
          <w:sz w:val="16"/>
        </w:rPr>
        <w:t xml:space="preserve"> </w:t>
      </w:r>
      <w:r>
        <w:rPr>
          <w:color w:val="231F20"/>
          <w:w w:val="105"/>
          <w:sz w:val="16"/>
        </w:rPr>
        <w:t>Law</w:t>
      </w:r>
    </w:p>
    <w:p w14:paraId="0404362A" w14:textId="77777777" w:rsidR="002653E8" w:rsidRDefault="003115E3">
      <w:pPr>
        <w:spacing w:before="1"/>
        <w:ind w:left="1327"/>
        <w:rPr>
          <w:sz w:val="16"/>
        </w:rPr>
      </w:pPr>
      <w:r>
        <w:rPr>
          <w:color w:val="231F20"/>
          <w:w w:val="105"/>
          <w:sz w:val="16"/>
        </w:rPr>
        <w:t>Grundmann, Wolfgang 352</w:t>
      </w:r>
      <w:r>
        <w:rPr>
          <w:i/>
          <w:color w:val="231F20"/>
          <w:w w:val="105"/>
          <w:sz w:val="16"/>
        </w:rPr>
        <w:t xml:space="preserve">, </w:t>
      </w:r>
      <w:r>
        <w:rPr>
          <w:color w:val="231F20"/>
          <w:w w:val="105"/>
          <w:sz w:val="16"/>
        </w:rPr>
        <w:t>567;</w:t>
      </w:r>
    </w:p>
    <w:p w14:paraId="309EA26E" w14:textId="77777777" w:rsidR="002653E8" w:rsidRDefault="003115E3">
      <w:pPr>
        <w:spacing w:before="32" w:line="280" w:lineRule="auto"/>
        <w:ind w:left="1527" w:right="22"/>
        <w:rPr>
          <w:sz w:val="16"/>
        </w:rPr>
      </w:pPr>
      <w:r>
        <w:rPr>
          <w:color w:val="231F20"/>
          <w:sz w:val="16"/>
        </w:rPr>
        <w:t>captured (1972) 114–115</w:t>
      </w:r>
      <w:r>
        <w:rPr>
          <w:i/>
          <w:color w:val="231F20"/>
          <w:sz w:val="16"/>
        </w:rPr>
        <w:t xml:space="preserve">, </w:t>
      </w:r>
      <w:r>
        <w:rPr>
          <w:color w:val="231F20"/>
          <w:sz w:val="16"/>
        </w:rPr>
        <w:t>589; Kaiserslautern bank robbery 588; trial (1975-77) 598</w:t>
      </w:r>
      <w:r>
        <w:rPr>
          <w:i/>
          <w:color w:val="231F20"/>
          <w:sz w:val="16"/>
        </w:rPr>
        <w:t xml:space="preserve">, </w:t>
      </w:r>
      <w:r>
        <w:rPr>
          <w:color w:val="231F20"/>
          <w:sz w:val="16"/>
        </w:rPr>
        <w:t>605</w:t>
      </w:r>
    </w:p>
    <w:p w14:paraId="50CA2024" w14:textId="77777777" w:rsidR="002653E8" w:rsidRPr="00846956" w:rsidRDefault="003115E3">
      <w:pPr>
        <w:spacing w:before="2"/>
        <w:ind w:left="1327"/>
        <w:rPr>
          <w:i/>
          <w:sz w:val="16"/>
          <w:lang w:val="de-DE"/>
        </w:rPr>
      </w:pPr>
      <w:r w:rsidRPr="00846956">
        <w:rPr>
          <w:color w:val="231F20"/>
          <w:w w:val="105"/>
          <w:sz w:val="16"/>
          <w:lang w:val="de-DE"/>
        </w:rPr>
        <w:t>Gruppe 47 24–25</w:t>
      </w:r>
      <w:r w:rsidRPr="00846956">
        <w:rPr>
          <w:i/>
          <w:color w:val="231F20"/>
          <w:w w:val="105"/>
          <w:sz w:val="16"/>
          <w:lang w:val="de-DE"/>
        </w:rPr>
        <w:t xml:space="preserve">, </w:t>
      </w:r>
      <w:r w:rsidRPr="00846956">
        <w:rPr>
          <w:color w:val="231F20"/>
          <w:w w:val="105"/>
          <w:sz w:val="16"/>
          <w:lang w:val="de-DE"/>
        </w:rPr>
        <w:t>103</w:t>
      </w:r>
      <w:r w:rsidRPr="00846956">
        <w:rPr>
          <w:i/>
          <w:color w:val="231F20"/>
          <w:w w:val="105"/>
          <w:sz w:val="16"/>
          <w:lang w:val="de-DE"/>
        </w:rPr>
        <w:t xml:space="preserve">, </w:t>
      </w:r>
      <w:r w:rsidRPr="00846956">
        <w:rPr>
          <w:color w:val="231F20"/>
          <w:w w:val="105"/>
          <w:sz w:val="16"/>
          <w:lang w:val="de-DE"/>
        </w:rPr>
        <w:t>112</w:t>
      </w:r>
      <w:r w:rsidRPr="00846956">
        <w:rPr>
          <w:i/>
          <w:color w:val="231F20"/>
          <w:w w:val="105"/>
          <w:sz w:val="16"/>
          <w:lang w:val="de-DE"/>
        </w:rPr>
        <w:t xml:space="preserve">, </w:t>
      </w:r>
      <w:r w:rsidRPr="00846956">
        <w:rPr>
          <w:color w:val="231F20"/>
          <w:w w:val="105"/>
          <w:sz w:val="16"/>
          <w:lang w:val="de-DE"/>
        </w:rPr>
        <w:t>265</w:t>
      </w:r>
      <w:r w:rsidRPr="00846956">
        <w:rPr>
          <w:i/>
          <w:color w:val="231F20"/>
          <w:w w:val="105"/>
          <w:sz w:val="16"/>
          <w:lang w:val="de-DE"/>
        </w:rPr>
        <w:t xml:space="preserve">, </w:t>
      </w:r>
      <w:r w:rsidRPr="00846956">
        <w:rPr>
          <w:color w:val="231F20"/>
          <w:w w:val="105"/>
          <w:sz w:val="16"/>
          <w:lang w:val="de-DE"/>
        </w:rPr>
        <w:t>421</w:t>
      </w:r>
      <w:r w:rsidRPr="00846956">
        <w:rPr>
          <w:i/>
          <w:color w:val="231F20"/>
          <w:w w:val="105"/>
          <w:sz w:val="16"/>
          <w:lang w:val="de-DE"/>
        </w:rPr>
        <w:t>,</w:t>
      </w:r>
    </w:p>
    <w:p w14:paraId="753FD82C" w14:textId="77777777" w:rsidR="002653E8" w:rsidRPr="00846956" w:rsidRDefault="003115E3">
      <w:pPr>
        <w:spacing w:before="32"/>
        <w:ind w:left="1527"/>
        <w:rPr>
          <w:sz w:val="16"/>
          <w:lang w:val="de-DE"/>
        </w:rPr>
      </w:pPr>
      <w:r w:rsidRPr="00846956">
        <w:rPr>
          <w:color w:val="231F20"/>
          <w:sz w:val="16"/>
          <w:lang w:val="de-DE"/>
        </w:rPr>
        <w:t>530</w:t>
      </w:r>
    </w:p>
    <w:p w14:paraId="2D54FAAF" w14:textId="77777777" w:rsidR="002653E8" w:rsidRPr="00846956" w:rsidRDefault="003115E3">
      <w:pPr>
        <w:spacing w:before="33"/>
        <w:ind w:left="1327"/>
        <w:rPr>
          <w:sz w:val="16"/>
          <w:lang w:val="de-DE"/>
        </w:rPr>
      </w:pPr>
      <w:r w:rsidRPr="00846956">
        <w:rPr>
          <w:color w:val="231F20"/>
          <w:w w:val="105"/>
          <w:sz w:val="16"/>
          <w:lang w:val="de-DE"/>
        </w:rPr>
        <w:t>Grustadt, Eric 567</w:t>
      </w:r>
      <w:r w:rsidRPr="00846956">
        <w:rPr>
          <w:i/>
          <w:color w:val="231F20"/>
          <w:w w:val="105"/>
          <w:sz w:val="16"/>
          <w:lang w:val="de-DE"/>
        </w:rPr>
        <w:t xml:space="preserve">, </w:t>
      </w:r>
      <w:r w:rsidRPr="00846956">
        <w:rPr>
          <w:color w:val="231F20"/>
          <w:w w:val="105"/>
          <w:sz w:val="16"/>
          <w:lang w:val="de-DE"/>
        </w:rPr>
        <w:t>585</w:t>
      </w:r>
    </w:p>
    <w:p w14:paraId="3021D83A" w14:textId="77777777" w:rsidR="002653E8" w:rsidRPr="00846956" w:rsidRDefault="003115E3">
      <w:pPr>
        <w:spacing w:before="32"/>
        <w:ind w:left="1327"/>
        <w:rPr>
          <w:sz w:val="16"/>
          <w:lang w:val="de-DE"/>
        </w:rPr>
      </w:pPr>
      <w:r w:rsidRPr="00846956">
        <w:rPr>
          <w:color w:val="231F20"/>
          <w:sz w:val="16"/>
          <w:lang w:val="de-DE"/>
        </w:rPr>
        <w:t>GSG-9  (Grenzschutzgruppe  9)   193</w:t>
      </w:r>
      <w:r w:rsidRPr="00846956">
        <w:rPr>
          <w:i/>
          <w:color w:val="231F20"/>
          <w:sz w:val="16"/>
          <w:lang w:val="de-DE"/>
        </w:rPr>
        <w:t xml:space="preserve">, </w:t>
      </w:r>
      <w:r w:rsidRPr="00846956">
        <w:rPr>
          <w:color w:val="231F20"/>
          <w:sz w:val="16"/>
          <w:lang w:val="de-DE"/>
        </w:rPr>
        <w:t>623;</w:t>
      </w:r>
    </w:p>
    <w:p w14:paraId="1D70FBF2" w14:textId="77777777" w:rsidR="002653E8" w:rsidRDefault="003115E3">
      <w:pPr>
        <w:spacing w:before="33"/>
        <w:ind w:left="1527"/>
        <w:rPr>
          <w:sz w:val="16"/>
        </w:rPr>
      </w:pPr>
      <w:r>
        <w:rPr>
          <w:color w:val="231F20"/>
          <w:w w:val="105"/>
          <w:sz w:val="16"/>
        </w:rPr>
        <w:t>origin  193</w:t>
      </w:r>
      <w:r>
        <w:rPr>
          <w:i/>
          <w:color w:val="231F20"/>
          <w:w w:val="105"/>
          <w:sz w:val="16"/>
        </w:rPr>
        <w:t xml:space="preserve">, </w:t>
      </w:r>
      <w:r>
        <w:rPr>
          <w:color w:val="231F20"/>
          <w:w w:val="105"/>
          <w:sz w:val="16"/>
        </w:rPr>
        <w:t>592; and SAWIO skyjack-</w:t>
      </w:r>
    </w:p>
    <w:p w14:paraId="127E2259" w14:textId="77777777" w:rsidR="002653E8" w:rsidRDefault="003115E3">
      <w:pPr>
        <w:spacing w:before="32"/>
        <w:ind w:left="1527"/>
        <w:rPr>
          <w:sz w:val="16"/>
        </w:rPr>
      </w:pPr>
      <w:r>
        <w:rPr>
          <w:color w:val="231F20"/>
          <w:sz w:val="16"/>
        </w:rPr>
        <w:t>ing  (1977, Mogadishu)   484–485</w:t>
      </w:r>
      <w:r>
        <w:rPr>
          <w:i/>
          <w:color w:val="231F20"/>
          <w:sz w:val="16"/>
        </w:rPr>
        <w:t xml:space="preserve">, </w:t>
      </w:r>
      <w:r>
        <w:rPr>
          <w:color w:val="231F20"/>
          <w:sz w:val="16"/>
        </w:rPr>
        <w:t>608</w:t>
      </w:r>
    </w:p>
    <w:p w14:paraId="0BF862FD" w14:textId="77777777" w:rsidR="002653E8" w:rsidRDefault="003115E3">
      <w:pPr>
        <w:spacing w:before="32"/>
        <w:ind w:left="1327"/>
        <w:rPr>
          <w:sz w:val="16"/>
        </w:rPr>
      </w:pPr>
      <w:r>
        <w:rPr>
          <w:color w:val="231F20"/>
          <w:w w:val="105"/>
          <w:sz w:val="16"/>
        </w:rPr>
        <w:t>Guevara, Che 153</w:t>
      </w:r>
      <w:r>
        <w:rPr>
          <w:i/>
          <w:color w:val="231F20"/>
          <w:w w:val="105"/>
          <w:sz w:val="16"/>
        </w:rPr>
        <w:t xml:space="preserve">, </w:t>
      </w:r>
      <w:r>
        <w:rPr>
          <w:color w:val="231F20"/>
          <w:w w:val="105"/>
          <w:sz w:val="16"/>
        </w:rPr>
        <w:t>247</w:t>
      </w:r>
      <w:r>
        <w:rPr>
          <w:i/>
          <w:color w:val="231F20"/>
          <w:w w:val="105"/>
          <w:sz w:val="16"/>
        </w:rPr>
        <w:t xml:space="preserve">, </w:t>
      </w:r>
      <w:r>
        <w:rPr>
          <w:color w:val="231F20"/>
          <w:w w:val="105"/>
          <w:sz w:val="16"/>
        </w:rPr>
        <w:t>311</w:t>
      </w:r>
      <w:r>
        <w:rPr>
          <w:i/>
          <w:color w:val="231F20"/>
          <w:w w:val="105"/>
          <w:sz w:val="16"/>
        </w:rPr>
        <w:t xml:space="preserve">, </w:t>
      </w:r>
      <w:r>
        <w:rPr>
          <w:color w:val="231F20"/>
          <w:w w:val="105"/>
          <w:sz w:val="16"/>
        </w:rPr>
        <w:t>316</w:t>
      </w:r>
    </w:p>
    <w:p w14:paraId="52FA2F4B" w14:textId="77777777" w:rsidR="002653E8" w:rsidRDefault="003115E3">
      <w:pPr>
        <w:spacing w:before="33"/>
        <w:ind w:left="1327"/>
        <w:rPr>
          <w:sz w:val="16"/>
        </w:rPr>
      </w:pPr>
      <w:r>
        <w:rPr>
          <w:color w:val="231F20"/>
          <w:w w:val="105"/>
          <w:sz w:val="16"/>
        </w:rPr>
        <w:t>Guillaume affair 312</w:t>
      </w:r>
      <w:r>
        <w:rPr>
          <w:i/>
          <w:color w:val="231F20"/>
          <w:w w:val="105"/>
          <w:sz w:val="16"/>
        </w:rPr>
        <w:t xml:space="preserve">, </w:t>
      </w:r>
      <w:r>
        <w:rPr>
          <w:color w:val="231F20"/>
          <w:w w:val="105"/>
          <w:sz w:val="16"/>
        </w:rPr>
        <w:t>344</w:t>
      </w:r>
      <w:r>
        <w:rPr>
          <w:i/>
          <w:color w:val="231F20"/>
          <w:w w:val="105"/>
          <w:sz w:val="16"/>
        </w:rPr>
        <w:t xml:space="preserve">, </w:t>
      </w:r>
      <w:r>
        <w:rPr>
          <w:color w:val="231F20"/>
          <w:w w:val="105"/>
          <w:sz w:val="16"/>
        </w:rPr>
        <w:t>433</w:t>
      </w:r>
      <w:r>
        <w:rPr>
          <w:i/>
          <w:color w:val="231F20"/>
          <w:w w:val="105"/>
          <w:sz w:val="16"/>
        </w:rPr>
        <w:t xml:space="preserve">, </w:t>
      </w:r>
      <w:r>
        <w:rPr>
          <w:color w:val="231F20"/>
          <w:w w:val="105"/>
          <w:sz w:val="16"/>
        </w:rPr>
        <w:t>594</w:t>
      </w:r>
    </w:p>
    <w:p w14:paraId="62F5309A" w14:textId="77777777" w:rsidR="002653E8" w:rsidRDefault="003115E3">
      <w:pPr>
        <w:spacing w:before="32"/>
        <w:ind w:left="1327"/>
        <w:rPr>
          <w:sz w:val="16"/>
        </w:rPr>
      </w:pPr>
      <w:r>
        <w:rPr>
          <w:color w:val="231F20"/>
          <w:w w:val="105"/>
          <w:sz w:val="16"/>
        </w:rPr>
        <w:t>Guillaume, Günter 312</w:t>
      </w:r>
    </w:p>
    <w:p w14:paraId="73567469" w14:textId="77777777" w:rsidR="002653E8" w:rsidRDefault="003115E3">
      <w:pPr>
        <w:spacing w:before="33"/>
        <w:ind w:left="1327"/>
        <w:rPr>
          <w:sz w:val="16"/>
        </w:rPr>
      </w:pPr>
      <w:r>
        <w:rPr>
          <w:color w:val="231F20"/>
          <w:w w:val="105"/>
          <w:sz w:val="16"/>
        </w:rPr>
        <w:t>Gulf War 620</w:t>
      </w:r>
    </w:p>
    <w:p w14:paraId="56BCD2A2" w14:textId="77777777" w:rsidR="002653E8" w:rsidRDefault="002653E8">
      <w:pPr>
        <w:pStyle w:val="a3"/>
        <w:rPr>
          <w:sz w:val="18"/>
        </w:rPr>
      </w:pPr>
    </w:p>
    <w:p w14:paraId="24E97FAC" w14:textId="77777777" w:rsidR="002653E8" w:rsidRDefault="002653E8">
      <w:pPr>
        <w:pStyle w:val="a3"/>
        <w:rPr>
          <w:sz w:val="18"/>
        </w:rPr>
      </w:pPr>
    </w:p>
    <w:p w14:paraId="2CD3B5C3" w14:textId="77777777" w:rsidR="002653E8" w:rsidRDefault="002653E8">
      <w:pPr>
        <w:pStyle w:val="a3"/>
        <w:rPr>
          <w:sz w:val="18"/>
        </w:rPr>
      </w:pPr>
    </w:p>
    <w:p w14:paraId="50F0D03B" w14:textId="77777777" w:rsidR="002653E8" w:rsidRDefault="002653E8">
      <w:pPr>
        <w:pStyle w:val="a3"/>
        <w:spacing w:before="9"/>
        <w:rPr>
          <w:sz w:val="23"/>
        </w:rPr>
      </w:pPr>
    </w:p>
    <w:p w14:paraId="417151D5" w14:textId="77777777" w:rsidR="002653E8" w:rsidRDefault="003115E3">
      <w:pPr>
        <w:ind w:left="1327"/>
        <w:rPr>
          <w:sz w:val="16"/>
        </w:rPr>
      </w:pPr>
      <w:r>
        <w:rPr>
          <w:color w:val="231F20"/>
          <w:w w:val="105"/>
          <w:sz w:val="16"/>
        </w:rPr>
        <w:t>Haag, Siegfried 247</w:t>
      </w:r>
      <w:r>
        <w:rPr>
          <w:i/>
          <w:color w:val="231F20"/>
          <w:w w:val="105"/>
          <w:sz w:val="16"/>
        </w:rPr>
        <w:t xml:space="preserve">, </w:t>
      </w:r>
      <w:r>
        <w:rPr>
          <w:color w:val="231F20"/>
          <w:w w:val="105"/>
          <w:sz w:val="16"/>
        </w:rPr>
        <w:t>379</w:t>
      </w:r>
      <w:r>
        <w:rPr>
          <w:i/>
          <w:color w:val="231F20"/>
          <w:w w:val="105"/>
          <w:sz w:val="16"/>
        </w:rPr>
        <w:t xml:space="preserve">, </w:t>
      </w:r>
      <w:r>
        <w:rPr>
          <w:color w:val="231F20"/>
          <w:w w:val="105"/>
          <w:sz w:val="16"/>
        </w:rPr>
        <w:t>568; arrested</w:t>
      </w:r>
    </w:p>
    <w:p w14:paraId="335D2F86" w14:textId="77777777" w:rsidR="002653E8" w:rsidRDefault="003115E3">
      <w:pPr>
        <w:spacing w:before="33"/>
        <w:ind w:left="1527"/>
        <w:rPr>
          <w:i/>
          <w:sz w:val="16"/>
        </w:rPr>
      </w:pPr>
      <w:r>
        <w:rPr>
          <w:color w:val="231F20"/>
          <w:sz w:val="16"/>
        </w:rPr>
        <w:t>(1975) 337</w:t>
      </w:r>
      <w:r>
        <w:rPr>
          <w:i/>
          <w:color w:val="231F20"/>
          <w:sz w:val="16"/>
        </w:rPr>
        <w:t xml:space="preserve">, </w:t>
      </w:r>
      <w:r>
        <w:rPr>
          <w:color w:val="231F20"/>
          <w:sz w:val="16"/>
        </w:rPr>
        <w:t>598; attacks on 266</w:t>
      </w:r>
      <w:r>
        <w:rPr>
          <w:i/>
          <w:color w:val="231F20"/>
          <w:sz w:val="16"/>
        </w:rPr>
        <w:t xml:space="preserve">, </w:t>
      </w:r>
      <w:r>
        <w:rPr>
          <w:color w:val="231F20"/>
          <w:sz w:val="16"/>
        </w:rPr>
        <w:t>341</w:t>
      </w:r>
      <w:r>
        <w:rPr>
          <w:i/>
          <w:color w:val="231F20"/>
          <w:sz w:val="16"/>
        </w:rPr>
        <w:t>,</w:t>
      </w:r>
    </w:p>
    <w:p w14:paraId="18F4E4AD" w14:textId="77777777" w:rsidR="002653E8" w:rsidRDefault="003115E3">
      <w:pPr>
        <w:spacing w:before="32"/>
        <w:ind w:left="1527"/>
        <w:rPr>
          <w:i/>
          <w:sz w:val="16"/>
        </w:rPr>
      </w:pPr>
      <w:r>
        <w:rPr>
          <w:color w:val="231F20"/>
          <w:w w:val="105"/>
          <w:sz w:val="16"/>
        </w:rPr>
        <w:t>419</w:t>
      </w:r>
      <w:r>
        <w:rPr>
          <w:i/>
          <w:color w:val="231F20"/>
          <w:w w:val="105"/>
          <w:sz w:val="16"/>
        </w:rPr>
        <w:t xml:space="preserve">, </w:t>
      </w:r>
      <w:r>
        <w:rPr>
          <w:color w:val="231F20"/>
          <w:w w:val="105"/>
          <w:sz w:val="16"/>
        </w:rPr>
        <w:t>597; captured (1976) 454–455</w:t>
      </w:r>
      <w:r>
        <w:rPr>
          <w:i/>
          <w:color w:val="231F20"/>
          <w:w w:val="105"/>
          <w:sz w:val="16"/>
        </w:rPr>
        <w:t>,</w:t>
      </w:r>
    </w:p>
    <w:p w14:paraId="05F56EC8" w14:textId="77777777" w:rsidR="002653E8" w:rsidRDefault="003115E3">
      <w:pPr>
        <w:spacing w:before="33" w:line="280" w:lineRule="auto"/>
        <w:ind w:left="1527" w:right="46"/>
        <w:rPr>
          <w:sz w:val="16"/>
        </w:rPr>
      </w:pPr>
      <w:r>
        <w:rPr>
          <w:color w:val="231F20"/>
          <w:sz w:val="16"/>
        </w:rPr>
        <w:t xml:space="preserve">602; Committees Against </w:t>
      </w:r>
      <w:r>
        <w:rPr>
          <w:color w:val="231F20"/>
          <w:spacing w:val="-3"/>
          <w:sz w:val="16"/>
        </w:rPr>
        <w:t xml:space="preserve">Torture </w:t>
      </w:r>
      <w:r>
        <w:rPr>
          <w:color w:val="231F20"/>
          <w:sz w:val="16"/>
        </w:rPr>
        <w:t>245; and  Holger  Meins  260–261;  and PFLP (EO) 482; Stockholm Embassy Occupation 337; trial (1979)</w:t>
      </w:r>
      <w:r>
        <w:rPr>
          <w:color w:val="231F20"/>
          <w:spacing w:val="-3"/>
          <w:sz w:val="16"/>
        </w:rPr>
        <w:t xml:space="preserve"> </w:t>
      </w:r>
      <w:r>
        <w:rPr>
          <w:color w:val="231F20"/>
          <w:sz w:val="16"/>
        </w:rPr>
        <w:t>612;</w:t>
      </w:r>
    </w:p>
    <w:p w14:paraId="33A7AF65" w14:textId="77777777" w:rsidR="002653E8" w:rsidRDefault="003115E3">
      <w:pPr>
        <w:spacing w:before="2"/>
        <w:ind w:left="1527"/>
        <w:rPr>
          <w:sz w:val="16"/>
        </w:rPr>
      </w:pPr>
      <w:r>
        <w:rPr>
          <w:color w:val="231F20"/>
          <w:sz w:val="16"/>
        </w:rPr>
        <w:t>underground (1975-76) 337</w:t>
      </w:r>
      <w:r>
        <w:rPr>
          <w:i/>
          <w:color w:val="231F20"/>
          <w:sz w:val="16"/>
        </w:rPr>
        <w:t xml:space="preserve">, </w:t>
      </w:r>
      <w:r>
        <w:rPr>
          <w:color w:val="231F20"/>
          <w:sz w:val="16"/>
        </w:rPr>
        <w:t>341</w:t>
      </w:r>
      <w:r>
        <w:rPr>
          <w:i/>
          <w:color w:val="231F20"/>
          <w:sz w:val="16"/>
        </w:rPr>
        <w:t xml:space="preserve">, </w:t>
      </w:r>
      <w:r>
        <w:rPr>
          <w:color w:val="231F20"/>
          <w:sz w:val="16"/>
        </w:rPr>
        <w:t>597</w:t>
      </w:r>
    </w:p>
    <w:p w14:paraId="43008D22" w14:textId="77777777" w:rsidR="002653E8" w:rsidRDefault="003115E3">
      <w:pPr>
        <w:spacing w:before="32"/>
        <w:ind w:left="1327"/>
        <w:rPr>
          <w:sz w:val="16"/>
        </w:rPr>
      </w:pPr>
      <w:r>
        <w:rPr>
          <w:color w:val="231F20"/>
          <w:w w:val="105"/>
          <w:sz w:val="16"/>
        </w:rPr>
        <w:t>Habash, George 232</w:t>
      </w:r>
      <w:r>
        <w:rPr>
          <w:i/>
          <w:color w:val="231F20"/>
          <w:w w:val="105"/>
          <w:sz w:val="16"/>
        </w:rPr>
        <w:t xml:space="preserve">, </w:t>
      </w:r>
      <w:r>
        <w:rPr>
          <w:color w:val="231F20"/>
          <w:w w:val="105"/>
          <w:sz w:val="16"/>
        </w:rPr>
        <w:t>559</w:t>
      </w:r>
      <w:r>
        <w:rPr>
          <w:i/>
          <w:color w:val="231F20"/>
          <w:w w:val="105"/>
          <w:sz w:val="16"/>
        </w:rPr>
        <w:t xml:space="preserve">, </w:t>
      </w:r>
      <w:r>
        <w:rPr>
          <w:color w:val="231F20"/>
          <w:w w:val="105"/>
          <w:sz w:val="16"/>
        </w:rPr>
        <w:t>560</w:t>
      </w:r>
    </w:p>
    <w:p w14:paraId="07332A38" w14:textId="77777777" w:rsidR="002653E8" w:rsidRDefault="003115E3">
      <w:pPr>
        <w:spacing w:before="33" w:line="280" w:lineRule="auto"/>
        <w:ind w:left="1527" w:right="106" w:hanging="200"/>
        <w:jc w:val="both"/>
        <w:rPr>
          <w:sz w:val="16"/>
        </w:rPr>
      </w:pPr>
      <w:r>
        <w:rPr>
          <w:color w:val="231F20"/>
          <w:w w:val="105"/>
          <w:sz w:val="16"/>
        </w:rPr>
        <w:t>Habermas, Jürgen 24</w:t>
      </w:r>
      <w:r>
        <w:rPr>
          <w:i/>
          <w:color w:val="231F20"/>
          <w:w w:val="105"/>
          <w:sz w:val="16"/>
        </w:rPr>
        <w:t xml:space="preserve">, </w:t>
      </w:r>
      <w:r>
        <w:rPr>
          <w:color w:val="231F20"/>
          <w:w w:val="105"/>
          <w:sz w:val="16"/>
        </w:rPr>
        <w:t>199</w:t>
      </w:r>
      <w:r>
        <w:rPr>
          <w:i/>
          <w:color w:val="231F20"/>
          <w:w w:val="105"/>
          <w:sz w:val="16"/>
        </w:rPr>
        <w:t xml:space="preserve">, </w:t>
      </w:r>
      <w:r>
        <w:rPr>
          <w:color w:val="231F20"/>
          <w:w w:val="105"/>
          <w:sz w:val="16"/>
        </w:rPr>
        <w:t>579;</w:t>
      </w:r>
      <w:r>
        <w:rPr>
          <w:color w:val="231F20"/>
          <w:spacing w:val="-22"/>
          <w:w w:val="105"/>
          <w:sz w:val="16"/>
        </w:rPr>
        <w:t xml:space="preserve"> </w:t>
      </w:r>
      <w:r>
        <w:rPr>
          <w:color w:val="231F20"/>
          <w:w w:val="105"/>
          <w:sz w:val="16"/>
        </w:rPr>
        <w:t xml:space="preserve">accuses APO of “left-wing fascism” 25; mentioned by </w:t>
      </w:r>
      <w:r w:rsidR="00C507A5">
        <w:rPr>
          <w:color w:val="231F20"/>
          <w:w w:val="105"/>
          <w:sz w:val="16"/>
        </w:rPr>
        <w:t>red army faction</w:t>
      </w:r>
      <w:r>
        <w:rPr>
          <w:color w:val="231F20"/>
          <w:spacing w:val="25"/>
          <w:w w:val="105"/>
          <w:sz w:val="16"/>
        </w:rPr>
        <w:t xml:space="preserve"> </w:t>
      </w:r>
      <w:r>
        <w:rPr>
          <w:color w:val="231F20"/>
          <w:w w:val="105"/>
          <w:sz w:val="16"/>
        </w:rPr>
        <w:t>397</w:t>
      </w:r>
    </w:p>
    <w:p w14:paraId="50E76A27" w14:textId="77777777" w:rsidR="002653E8" w:rsidRDefault="003115E3">
      <w:pPr>
        <w:spacing w:before="1"/>
        <w:ind w:left="1327"/>
        <w:rPr>
          <w:i/>
          <w:sz w:val="16"/>
        </w:rPr>
      </w:pPr>
      <w:r>
        <w:rPr>
          <w:color w:val="231F20"/>
          <w:w w:val="105"/>
          <w:sz w:val="16"/>
        </w:rPr>
        <w:t>Haddad, Waddi 438</w:t>
      </w:r>
      <w:r>
        <w:rPr>
          <w:i/>
          <w:color w:val="231F20"/>
          <w:w w:val="105"/>
          <w:sz w:val="16"/>
        </w:rPr>
        <w:t xml:space="preserve">, </w:t>
      </w:r>
      <w:r>
        <w:rPr>
          <w:color w:val="231F20"/>
          <w:w w:val="105"/>
          <w:sz w:val="16"/>
        </w:rPr>
        <w:t>439</w:t>
      </w:r>
      <w:r>
        <w:rPr>
          <w:i/>
          <w:color w:val="231F20"/>
          <w:w w:val="105"/>
          <w:sz w:val="16"/>
        </w:rPr>
        <w:t xml:space="preserve">, </w:t>
      </w:r>
      <w:r>
        <w:rPr>
          <w:color w:val="231F20"/>
          <w:w w:val="105"/>
          <w:sz w:val="16"/>
        </w:rPr>
        <w:t>481–482</w:t>
      </w:r>
      <w:r>
        <w:rPr>
          <w:i/>
          <w:color w:val="231F20"/>
          <w:w w:val="105"/>
          <w:sz w:val="16"/>
        </w:rPr>
        <w:t>,</w:t>
      </w:r>
    </w:p>
    <w:p w14:paraId="58E042C4" w14:textId="77777777" w:rsidR="002653E8" w:rsidRDefault="003115E3">
      <w:pPr>
        <w:spacing w:before="33"/>
        <w:ind w:left="1527"/>
        <w:rPr>
          <w:sz w:val="16"/>
        </w:rPr>
      </w:pPr>
      <w:r>
        <w:rPr>
          <w:color w:val="231F20"/>
          <w:w w:val="105"/>
          <w:sz w:val="16"/>
        </w:rPr>
        <w:t>559–561</w:t>
      </w:r>
      <w:r>
        <w:rPr>
          <w:i/>
          <w:color w:val="231F20"/>
          <w:w w:val="105"/>
          <w:sz w:val="16"/>
        </w:rPr>
        <w:t xml:space="preserve">, </w:t>
      </w:r>
      <w:r>
        <w:rPr>
          <w:color w:val="231F20"/>
          <w:w w:val="105"/>
          <w:sz w:val="16"/>
        </w:rPr>
        <w:t>568</w:t>
      </w:r>
    </w:p>
    <w:p w14:paraId="2E6E48EC" w14:textId="77777777" w:rsidR="002653E8" w:rsidRDefault="003115E3">
      <w:pPr>
        <w:spacing w:before="32" w:line="280" w:lineRule="auto"/>
        <w:ind w:left="1327" w:right="487"/>
        <w:rPr>
          <w:sz w:val="16"/>
        </w:rPr>
      </w:pPr>
      <w:r>
        <w:rPr>
          <w:color w:val="231F20"/>
          <w:w w:val="105"/>
          <w:sz w:val="16"/>
        </w:rPr>
        <w:t>Haig, Alexander 612</w:t>
      </w:r>
      <w:r>
        <w:rPr>
          <w:i/>
          <w:color w:val="231F20"/>
          <w:w w:val="105"/>
          <w:sz w:val="16"/>
        </w:rPr>
        <w:t xml:space="preserve">, </w:t>
      </w:r>
      <w:r>
        <w:rPr>
          <w:color w:val="231F20"/>
          <w:w w:val="105"/>
          <w:sz w:val="16"/>
        </w:rPr>
        <w:t>624 Hammami, Abdullah Ali Al 481</w:t>
      </w:r>
    </w:p>
    <w:p w14:paraId="57F058E7" w14:textId="77777777" w:rsidR="002653E8" w:rsidRDefault="003115E3">
      <w:pPr>
        <w:spacing w:before="1"/>
        <w:ind w:left="1327"/>
        <w:rPr>
          <w:i/>
          <w:sz w:val="16"/>
        </w:rPr>
      </w:pPr>
      <w:r>
        <w:rPr>
          <w:color w:val="231F20"/>
          <w:w w:val="105"/>
          <w:sz w:val="16"/>
        </w:rPr>
        <w:t>Hammerschmidt, Katharina 161</w:t>
      </w:r>
      <w:r>
        <w:rPr>
          <w:i/>
          <w:color w:val="231F20"/>
          <w:w w:val="105"/>
          <w:sz w:val="16"/>
        </w:rPr>
        <w:t xml:space="preserve">, </w:t>
      </w:r>
      <w:r>
        <w:rPr>
          <w:color w:val="231F20"/>
          <w:w w:val="105"/>
          <w:sz w:val="16"/>
        </w:rPr>
        <w:t>171</w:t>
      </w:r>
      <w:r>
        <w:rPr>
          <w:i/>
          <w:color w:val="231F20"/>
          <w:w w:val="105"/>
          <w:sz w:val="16"/>
        </w:rPr>
        <w:t>,</w:t>
      </w:r>
    </w:p>
    <w:p w14:paraId="3A8F8796" w14:textId="77777777" w:rsidR="002653E8" w:rsidRDefault="003115E3">
      <w:pPr>
        <w:spacing w:before="33"/>
        <w:ind w:left="1527"/>
        <w:rPr>
          <w:sz w:val="16"/>
        </w:rPr>
      </w:pPr>
      <w:r>
        <w:rPr>
          <w:color w:val="231F20"/>
          <w:sz w:val="16"/>
        </w:rPr>
        <w:t>250</w:t>
      </w:r>
      <w:r>
        <w:rPr>
          <w:i/>
          <w:color w:val="231F20"/>
          <w:sz w:val="16"/>
        </w:rPr>
        <w:t xml:space="preserve">, </w:t>
      </w:r>
      <w:r>
        <w:rPr>
          <w:color w:val="231F20"/>
          <w:sz w:val="16"/>
        </w:rPr>
        <w:t>568</w:t>
      </w:r>
      <w:r>
        <w:rPr>
          <w:i/>
          <w:color w:val="231F20"/>
          <w:sz w:val="16"/>
        </w:rPr>
        <w:t xml:space="preserve">, </w:t>
      </w:r>
      <w:r>
        <w:rPr>
          <w:color w:val="231F20"/>
          <w:sz w:val="16"/>
        </w:rPr>
        <w:t>591; cancer in prison  and</w:t>
      </w:r>
    </w:p>
    <w:p w14:paraId="2F514E06" w14:textId="77777777" w:rsidR="002653E8" w:rsidRDefault="003115E3">
      <w:pPr>
        <w:spacing w:before="32"/>
        <w:ind w:left="1527"/>
        <w:rPr>
          <w:sz w:val="16"/>
        </w:rPr>
      </w:pPr>
      <w:r>
        <w:rPr>
          <w:color w:val="231F20"/>
          <w:w w:val="105"/>
          <w:sz w:val="16"/>
        </w:rPr>
        <w:t>death 250</w:t>
      </w:r>
      <w:r>
        <w:rPr>
          <w:i/>
          <w:color w:val="231F20"/>
          <w:w w:val="105"/>
          <w:sz w:val="16"/>
        </w:rPr>
        <w:t xml:space="preserve">, </w:t>
      </w:r>
      <w:r>
        <w:rPr>
          <w:color w:val="231F20"/>
          <w:w w:val="105"/>
          <w:sz w:val="16"/>
        </w:rPr>
        <w:t>252–253</w:t>
      </w:r>
      <w:r>
        <w:rPr>
          <w:i/>
          <w:color w:val="231F20"/>
          <w:w w:val="105"/>
          <w:sz w:val="16"/>
        </w:rPr>
        <w:t xml:space="preserve">, </w:t>
      </w:r>
      <w:r>
        <w:rPr>
          <w:color w:val="231F20"/>
          <w:w w:val="105"/>
          <w:sz w:val="16"/>
        </w:rPr>
        <w:t>593</w:t>
      </w:r>
      <w:r>
        <w:rPr>
          <w:i/>
          <w:color w:val="231F20"/>
          <w:w w:val="105"/>
          <w:sz w:val="16"/>
        </w:rPr>
        <w:t xml:space="preserve">, </w:t>
      </w:r>
      <w:r>
        <w:rPr>
          <w:color w:val="231F20"/>
          <w:w w:val="105"/>
          <w:sz w:val="16"/>
        </w:rPr>
        <w:t>598; death</w:t>
      </w:r>
    </w:p>
    <w:p w14:paraId="5D2B0F6C" w14:textId="77777777" w:rsidR="002653E8" w:rsidRDefault="003115E3">
      <w:pPr>
        <w:spacing w:before="32"/>
        <w:ind w:left="1527"/>
        <w:rPr>
          <w:sz w:val="16"/>
        </w:rPr>
      </w:pPr>
      <w:r>
        <w:rPr>
          <w:color w:val="231F20"/>
          <w:sz w:val="16"/>
        </w:rPr>
        <w:t xml:space="preserve">mentioned by </w:t>
      </w:r>
      <w:r w:rsidR="00C507A5">
        <w:rPr>
          <w:color w:val="231F20"/>
          <w:sz w:val="16"/>
        </w:rPr>
        <w:t>red army faction</w:t>
      </w:r>
      <w:r>
        <w:rPr>
          <w:color w:val="231F20"/>
          <w:sz w:val="16"/>
        </w:rPr>
        <w:t xml:space="preserve"> 428</w:t>
      </w:r>
      <w:r>
        <w:rPr>
          <w:i/>
          <w:color w:val="231F20"/>
          <w:sz w:val="16"/>
        </w:rPr>
        <w:t xml:space="preserve">, </w:t>
      </w:r>
      <w:r>
        <w:rPr>
          <w:color w:val="231F20"/>
          <w:sz w:val="16"/>
        </w:rPr>
        <w:t>465</w:t>
      </w:r>
    </w:p>
    <w:p w14:paraId="57FB9ADE" w14:textId="77777777" w:rsidR="002653E8" w:rsidRPr="00846956" w:rsidRDefault="003115E3">
      <w:pPr>
        <w:spacing w:before="86"/>
        <w:ind w:left="263"/>
        <w:rPr>
          <w:sz w:val="16"/>
          <w:lang w:val="de-DE"/>
        </w:rPr>
      </w:pPr>
      <w:r w:rsidRPr="006918DA">
        <w:rPr>
          <w:lang w:val="de-DE"/>
        </w:rPr>
        <w:br w:type="column"/>
      </w:r>
      <w:r w:rsidRPr="00846956">
        <w:rPr>
          <w:color w:val="231F20"/>
          <w:w w:val="105"/>
          <w:sz w:val="16"/>
          <w:lang w:val="de-DE"/>
        </w:rPr>
        <w:t>Hand Grenade Law 55</w:t>
      </w:r>
      <w:r w:rsidRPr="00846956">
        <w:rPr>
          <w:i/>
          <w:color w:val="231F20"/>
          <w:w w:val="105"/>
          <w:sz w:val="16"/>
          <w:lang w:val="de-DE"/>
        </w:rPr>
        <w:t xml:space="preserve">, </w:t>
      </w:r>
      <w:r w:rsidRPr="00846956">
        <w:rPr>
          <w:color w:val="231F20"/>
          <w:w w:val="105"/>
          <w:sz w:val="16"/>
          <w:lang w:val="de-DE"/>
        </w:rPr>
        <w:t>80</w:t>
      </w:r>
      <w:r w:rsidRPr="00846956">
        <w:rPr>
          <w:i/>
          <w:color w:val="231F20"/>
          <w:w w:val="105"/>
          <w:sz w:val="16"/>
          <w:lang w:val="de-DE"/>
        </w:rPr>
        <w:t xml:space="preserve">, </w:t>
      </w:r>
      <w:r w:rsidRPr="00846956">
        <w:rPr>
          <w:color w:val="231F20"/>
          <w:w w:val="105"/>
          <w:sz w:val="16"/>
          <w:lang w:val="de-DE"/>
        </w:rPr>
        <w:t>97</w:t>
      </w:r>
      <w:r w:rsidRPr="00846956">
        <w:rPr>
          <w:i/>
          <w:color w:val="231F20"/>
          <w:w w:val="105"/>
          <w:sz w:val="16"/>
          <w:lang w:val="de-DE"/>
        </w:rPr>
        <w:t xml:space="preserve">, </w:t>
      </w:r>
      <w:r w:rsidRPr="00846956">
        <w:rPr>
          <w:color w:val="231F20"/>
          <w:w w:val="105"/>
          <w:sz w:val="16"/>
          <w:lang w:val="de-DE"/>
        </w:rPr>
        <w:t>584</w:t>
      </w:r>
    </w:p>
    <w:p w14:paraId="6A71216B" w14:textId="77777777" w:rsidR="002653E8" w:rsidRPr="00846956" w:rsidRDefault="003115E3">
      <w:pPr>
        <w:spacing w:before="33"/>
        <w:ind w:left="263"/>
        <w:rPr>
          <w:sz w:val="16"/>
          <w:lang w:val="de-DE"/>
        </w:rPr>
      </w:pPr>
      <w:r w:rsidRPr="00846956">
        <w:rPr>
          <w:color w:val="231F20"/>
          <w:w w:val="105"/>
          <w:sz w:val="16"/>
          <w:lang w:val="de-DE"/>
        </w:rPr>
        <w:t>Hansen, Hans-Wilhelm 529</w:t>
      </w:r>
      <w:r w:rsidRPr="00846956">
        <w:rPr>
          <w:i/>
          <w:color w:val="231F20"/>
          <w:w w:val="105"/>
          <w:sz w:val="16"/>
          <w:lang w:val="de-DE"/>
        </w:rPr>
        <w:t xml:space="preserve">, </w:t>
      </w:r>
      <w:r w:rsidRPr="00846956">
        <w:rPr>
          <w:color w:val="231F20"/>
          <w:w w:val="105"/>
          <w:sz w:val="16"/>
          <w:lang w:val="de-DE"/>
        </w:rPr>
        <w:t>568</w:t>
      </w:r>
      <w:r w:rsidRPr="00846956">
        <w:rPr>
          <w:i/>
          <w:color w:val="231F20"/>
          <w:w w:val="105"/>
          <w:sz w:val="16"/>
          <w:lang w:val="de-DE"/>
        </w:rPr>
        <w:t xml:space="preserve">, </w:t>
      </w:r>
      <w:r w:rsidRPr="00846956">
        <w:rPr>
          <w:color w:val="231F20"/>
          <w:w w:val="105"/>
          <w:sz w:val="16"/>
          <w:lang w:val="de-DE"/>
        </w:rPr>
        <w:t>611</w:t>
      </w:r>
    </w:p>
    <w:p w14:paraId="111BFFDC" w14:textId="77777777" w:rsidR="002653E8" w:rsidRPr="00846956" w:rsidRDefault="003115E3">
      <w:pPr>
        <w:spacing w:before="32"/>
        <w:ind w:left="263"/>
        <w:rPr>
          <w:sz w:val="16"/>
          <w:lang w:val="de-DE"/>
        </w:rPr>
      </w:pPr>
      <w:r w:rsidRPr="00846956">
        <w:rPr>
          <w:color w:val="231F20"/>
          <w:w w:val="105"/>
          <w:sz w:val="16"/>
          <w:lang w:val="de-DE"/>
        </w:rPr>
        <w:t>Happe, Manuela  624</w:t>
      </w:r>
    </w:p>
    <w:p w14:paraId="7A33434E" w14:textId="77777777" w:rsidR="002653E8" w:rsidRPr="00846956" w:rsidRDefault="003115E3">
      <w:pPr>
        <w:spacing w:before="33"/>
        <w:ind w:left="263"/>
        <w:rPr>
          <w:sz w:val="16"/>
          <w:lang w:val="de-DE"/>
        </w:rPr>
      </w:pPr>
      <w:r w:rsidRPr="00846956">
        <w:rPr>
          <w:color w:val="231F20"/>
          <w:w w:val="110"/>
          <w:sz w:val="16"/>
          <w:lang w:val="de-DE"/>
        </w:rPr>
        <w:t>Harb, Nabil 485</w:t>
      </w:r>
      <w:r w:rsidRPr="00846956">
        <w:rPr>
          <w:i/>
          <w:color w:val="231F20"/>
          <w:w w:val="110"/>
          <w:sz w:val="16"/>
          <w:lang w:val="de-DE"/>
        </w:rPr>
        <w:t xml:space="preserve">, </w:t>
      </w:r>
      <w:r w:rsidRPr="00846956">
        <w:rPr>
          <w:color w:val="231F20"/>
          <w:w w:val="110"/>
          <w:sz w:val="16"/>
          <w:lang w:val="de-DE"/>
        </w:rPr>
        <w:t>568</w:t>
      </w:r>
    </w:p>
    <w:p w14:paraId="1BAA03DF" w14:textId="77777777" w:rsidR="002653E8" w:rsidRPr="00846956" w:rsidRDefault="003115E3">
      <w:pPr>
        <w:spacing w:before="32"/>
        <w:ind w:left="263"/>
        <w:rPr>
          <w:sz w:val="16"/>
          <w:lang w:val="de-DE"/>
        </w:rPr>
      </w:pPr>
      <w:r w:rsidRPr="00846956">
        <w:rPr>
          <w:color w:val="231F20"/>
          <w:w w:val="105"/>
          <w:sz w:val="16"/>
          <w:lang w:val="de-DE"/>
        </w:rPr>
        <w:t>Harich, Wolfgang 227</w:t>
      </w:r>
    </w:p>
    <w:p w14:paraId="6463314A" w14:textId="77777777" w:rsidR="002653E8" w:rsidRPr="00846956" w:rsidRDefault="003115E3">
      <w:pPr>
        <w:spacing w:before="32"/>
        <w:ind w:left="263"/>
        <w:rPr>
          <w:sz w:val="16"/>
          <w:lang w:val="de-DE"/>
        </w:rPr>
      </w:pPr>
      <w:r w:rsidRPr="00846956">
        <w:rPr>
          <w:color w:val="231F20"/>
          <w:w w:val="105"/>
          <w:sz w:val="16"/>
          <w:lang w:val="de-DE"/>
        </w:rPr>
        <w:t>Harms, Monika  627</w:t>
      </w:r>
    </w:p>
    <w:p w14:paraId="4C66D553" w14:textId="77777777" w:rsidR="002653E8" w:rsidRPr="00846956" w:rsidRDefault="003115E3">
      <w:pPr>
        <w:spacing w:before="33"/>
        <w:ind w:left="263"/>
        <w:rPr>
          <w:sz w:val="16"/>
          <w:lang w:val="de-DE"/>
        </w:rPr>
      </w:pPr>
      <w:r w:rsidRPr="00846956">
        <w:rPr>
          <w:color w:val="231F20"/>
          <w:w w:val="105"/>
          <w:sz w:val="16"/>
          <w:lang w:val="de-DE"/>
        </w:rPr>
        <w:t>Hauff, Reinhard  618</w:t>
      </w:r>
    </w:p>
    <w:p w14:paraId="2012AB25" w14:textId="77777777" w:rsidR="002653E8" w:rsidRDefault="003115E3">
      <w:pPr>
        <w:spacing w:before="32"/>
        <w:ind w:left="263"/>
        <w:rPr>
          <w:sz w:val="16"/>
        </w:rPr>
      </w:pPr>
      <w:r>
        <w:rPr>
          <w:color w:val="231F20"/>
          <w:sz w:val="16"/>
        </w:rPr>
        <w:t>Haule, Eva 620</w:t>
      </w:r>
      <w:r>
        <w:rPr>
          <w:i/>
          <w:color w:val="231F20"/>
          <w:sz w:val="16"/>
        </w:rPr>
        <w:t xml:space="preserve">, </w:t>
      </w:r>
      <w:r>
        <w:rPr>
          <w:color w:val="231F20"/>
          <w:sz w:val="16"/>
        </w:rPr>
        <w:t>627; prison 624; split in</w:t>
      </w:r>
    </w:p>
    <w:p w14:paraId="073C63B1" w14:textId="77777777" w:rsidR="002653E8" w:rsidRDefault="003115E3">
      <w:pPr>
        <w:spacing w:before="33"/>
        <w:ind w:left="463"/>
        <w:rPr>
          <w:sz w:val="16"/>
        </w:rPr>
      </w:pPr>
      <w:r>
        <w:rPr>
          <w:color w:val="231F20"/>
          <w:sz w:val="16"/>
        </w:rPr>
        <w:t xml:space="preserve">the </w:t>
      </w:r>
      <w:r w:rsidR="00C507A5">
        <w:rPr>
          <w:color w:val="231F20"/>
          <w:sz w:val="16"/>
        </w:rPr>
        <w:t>red army faction</w:t>
      </w:r>
      <w:r>
        <w:rPr>
          <w:color w:val="231F20"/>
          <w:sz w:val="16"/>
        </w:rPr>
        <w:t xml:space="preserve"> 623; trial (1994) 624</w:t>
      </w:r>
    </w:p>
    <w:p w14:paraId="32C92816" w14:textId="77777777" w:rsidR="002653E8" w:rsidRDefault="003115E3">
      <w:pPr>
        <w:spacing w:before="32"/>
        <w:ind w:left="263"/>
        <w:rPr>
          <w:sz w:val="16"/>
        </w:rPr>
      </w:pPr>
      <w:r>
        <w:rPr>
          <w:color w:val="231F20"/>
          <w:sz w:val="16"/>
        </w:rPr>
        <w:t>Häuserrat 264</w:t>
      </w:r>
    </w:p>
    <w:p w14:paraId="6A13A2F7" w14:textId="77777777" w:rsidR="002653E8" w:rsidRDefault="003115E3">
      <w:pPr>
        <w:spacing w:before="32" w:line="280" w:lineRule="auto"/>
        <w:ind w:left="463" w:right="1297" w:hanging="200"/>
        <w:rPr>
          <w:sz w:val="16"/>
        </w:rPr>
      </w:pPr>
      <w:r>
        <w:rPr>
          <w:color w:val="231F20"/>
          <w:sz w:val="16"/>
        </w:rPr>
        <w:t>Hausner, Siegfried 250</w:t>
      </w:r>
      <w:r>
        <w:rPr>
          <w:i/>
          <w:color w:val="231F20"/>
          <w:sz w:val="16"/>
        </w:rPr>
        <w:t xml:space="preserve">, </w:t>
      </w:r>
      <w:r>
        <w:rPr>
          <w:color w:val="231F20"/>
          <w:sz w:val="16"/>
        </w:rPr>
        <w:t>356–357</w:t>
      </w:r>
      <w:r>
        <w:rPr>
          <w:i/>
          <w:color w:val="231F20"/>
          <w:sz w:val="16"/>
        </w:rPr>
        <w:t xml:space="preserve">, </w:t>
      </w:r>
      <w:r>
        <w:rPr>
          <w:color w:val="231F20"/>
          <w:sz w:val="16"/>
        </w:rPr>
        <w:t>568; autopsy 386; death in Stammheim 334</w:t>
      </w:r>
      <w:r>
        <w:rPr>
          <w:i/>
          <w:color w:val="231F20"/>
          <w:sz w:val="16"/>
        </w:rPr>
        <w:t xml:space="preserve">, </w:t>
      </w:r>
      <w:r>
        <w:rPr>
          <w:color w:val="231F20"/>
          <w:sz w:val="16"/>
        </w:rPr>
        <w:t>429</w:t>
      </w:r>
      <w:r>
        <w:rPr>
          <w:i/>
          <w:color w:val="231F20"/>
          <w:sz w:val="16"/>
        </w:rPr>
        <w:t xml:space="preserve">, </w:t>
      </w:r>
      <w:r>
        <w:rPr>
          <w:color w:val="231F20"/>
          <w:sz w:val="16"/>
        </w:rPr>
        <w:t>597; death mentioned by</w:t>
      </w:r>
    </w:p>
    <w:p w14:paraId="0E5FC8CE" w14:textId="77777777" w:rsidR="002653E8" w:rsidRDefault="00C507A5">
      <w:pPr>
        <w:spacing w:before="2"/>
        <w:ind w:left="463"/>
        <w:rPr>
          <w:i/>
          <w:sz w:val="16"/>
        </w:rPr>
      </w:pPr>
      <w:r>
        <w:rPr>
          <w:color w:val="231F20"/>
          <w:w w:val="110"/>
          <w:sz w:val="16"/>
        </w:rPr>
        <w:t>red army faction</w:t>
      </w:r>
      <w:r w:rsidR="003115E3">
        <w:rPr>
          <w:color w:val="231F20"/>
          <w:w w:val="110"/>
          <w:sz w:val="16"/>
        </w:rPr>
        <w:t xml:space="preserve"> 341</w:t>
      </w:r>
      <w:r w:rsidR="003115E3">
        <w:rPr>
          <w:i/>
          <w:color w:val="231F20"/>
          <w:w w:val="110"/>
          <w:sz w:val="16"/>
        </w:rPr>
        <w:t xml:space="preserve">, </w:t>
      </w:r>
      <w:r w:rsidR="003115E3">
        <w:rPr>
          <w:color w:val="231F20"/>
          <w:w w:val="110"/>
          <w:sz w:val="16"/>
        </w:rPr>
        <w:t>387</w:t>
      </w:r>
      <w:r w:rsidR="003115E3">
        <w:rPr>
          <w:i/>
          <w:color w:val="231F20"/>
          <w:w w:val="110"/>
          <w:sz w:val="16"/>
        </w:rPr>
        <w:t xml:space="preserve">, </w:t>
      </w:r>
      <w:r w:rsidR="003115E3">
        <w:rPr>
          <w:color w:val="231F20"/>
          <w:w w:val="110"/>
          <w:sz w:val="16"/>
        </w:rPr>
        <w:t>395</w:t>
      </w:r>
      <w:r w:rsidR="003115E3">
        <w:rPr>
          <w:i/>
          <w:color w:val="231F20"/>
          <w:w w:val="110"/>
          <w:sz w:val="16"/>
        </w:rPr>
        <w:t xml:space="preserve">, </w:t>
      </w:r>
      <w:r w:rsidR="003115E3">
        <w:rPr>
          <w:color w:val="231F20"/>
          <w:w w:val="110"/>
          <w:sz w:val="16"/>
        </w:rPr>
        <w:t>408</w:t>
      </w:r>
      <w:r w:rsidR="003115E3">
        <w:rPr>
          <w:i/>
          <w:color w:val="231F20"/>
          <w:w w:val="110"/>
          <w:sz w:val="16"/>
        </w:rPr>
        <w:t xml:space="preserve">, </w:t>
      </w:r>
      <w:r w:rsidR="003115E3">
        <w:rPr>
          <w:color w:val="231F20"/>
          <w:w w:val="110"/>
          <w:sz w:val="16"/>
        </w:rPr>
        <w:t>428</w:t>
      </w:r>
      <w:r w:rsidR="003115E3">
        <w:rPr>
          <w:i/>
          <w:color w:val="231F20"/>
          <w:w w:val="110"/>
          <w:sz w:val="16"/>
        </w:rPr>
        <w:t xml:space="preserve">, </w:t>
      </w:r>
      <w:r w:rsidR="003115E3">
        <w:rPr>
          <w:color w:val="231F20"/>
          <w:w w:val="110"/>
          <w:sz w:val="16"/>
        </w:rPr>
        <w:t>465</w:t>
      </w:r>
      <w:r w:rsidR="003115E3">
        <w:rPr>
          <w:i/>
          <w:color w:val="231F20"/>
          <w:w w:val="110"/>
          <w:sz w:val="16"/>
        </w:rPr>
        <w:t>,</w:t>
      </w:r>
    </w:p>
    <w:p w14:paraId="0BA74FF8" w14:textId="77777777" w:rsidR="002653E8" w:rsidRDefault="003115E3">
      <w:pPr>
        <w:spacing w:before="32"/>
        <w:ind w:left="463"/>
        <w:rPr>
          <w:sz w:val="16"/>
        </w:rPr>
      </w:pPr>
      <w:r>
        <w:rPr>
          <w:color w:val="231F20"/>
          <w:sz w:val="16"/>
        </w:rPr>
        <w:t>490</w:t>
      </w:r>
      <w:r>
        <w:rPr>
          <w:i/>
          <w:color w:val="231F20"/>
          <w:sz w:val="16"/>
        </w:rPr>
        <w:t xml:space="preserve">, </w:t>
      </w:r>
      <w:r>
        <w:rPr>
          <w:color w:val="231F20"/>
          <w:sz w:val="16"/>
        </w:rPr>
        <w:t>496; demand for  international</w:t>
      </w:r>
    </w:p>
    <w:p w14:paraId="2CB39B5C" w14:textId="77777777" w:rsidR="002653E8" w:rsidRDefault="003115E3">
      <w:pPr>
        <w:spacing w:before="33"/>
        <w:ind w:left="463"/>
        <w:rPr>
          <w:sz w:val="16"/>
        </w:rPr>
      </w:pPr>
      <w:r>
        <w:rPr>
          <w:color w:val="231F20"/>
          <w:sz w:val="16"/>
        </w:rPr>
        <w:t>investigation   470</w:t>
      </w:r>
      <w:r>
        <w:rPr>
          <w:i/>
          <w:color w:val="231F20"/>
          <w:sz w:val="16"/>
        </w:rPr>
        <w:t xml:space="preserve">, </w:t>
      </w:r>
      <w:r>
        <w:rPr>
          <w:color w:val="231F20"/>
          <w:sz w:val="16"/>
        </w:rPr>
        <w:t>487</w:t>
      </w:r>
      <w:r>
        <w:rPr>
          <w:i/>
          <w:color w:val="231F20"/>
          <w:sz w:val="16"/>
        </w:rPr>
        <w:t xml:space="preserve">, </w:t>
      </w:r>
      <w:r>
        <w:rPr>
          <w:color w:val="231F20"/>
          <w:sz w:val="16"/>
        </w:rPr>
        <w:t>604; Stock-</w:t>
      </w:r>
    </w:p>
    <w:p w14:paraId="015BF018" w14:textId="77777777" w:rsidR="002653E8" w:rsidRDefault="003115E3">
      <w:pPr>
        <w:spacing w:before="32"/>
        <w:ind w:left="463"/>
        <w:rPr>
          <w:sz w:val="16"/>
        </w:rPr>
      </w:pPr>
      <w:r>
        <w:rPr>
          <w:color w:val="231F20"/>
          <w:w w:val="105"/>
          <w:sz w:val="16"/>
        </w:rPr>
        <w:t>holm Embassy Occupation 334</w:t>
      </w:r>
      <w:r>
        <w:rPr>
          <w:i/>
          <w:color w:val="231F20"/>
          <w:w w:val="105"/>
          <w:sz w:val="16"/>
        </w:rPr>
        <w:t xml:space="preserve">, </w:t>
      </w:r>
      <w:r>
        <w:rPr>
          <w:color w:val="231F20"/>
          <w:w w:val="105"/>
          <w:sz w:val="16"/>
        </w:rPr>
        <w:t>597</w:t>
      </w:r>
    </w:p>
    <w:p w14:paraId="3F1669C3" w14:textId="77777777" w:rsidR="002653E8" w:rsidRDefault="003115E3">
      <w:pPr>
        <w:spacing w:before="33"/>
        <w:ind w:left="263"/>
        <w:rPr>
          <w:sz w:val="16"/>
        </w:rPr>
      </w:pPr>
      <w:r>
        <w:rPr>
          <w:color w:val="231F20"/>
          <w:w w:val="105"/>
          <w:sz w:val="16"/>
        </w:rPr>
        <w:t>Heikal, Muhammad 551</w:t>
      </w:r>
    </w:p>
    <w:p w14:paraId="59E43BA6" w14:textId="77777777" w:rsidR="002653E8" w:rsidRDefault="003115E3">
      <w:pPr>
        <w:spacing w:before="32" w:line="280" w:lineRule="auto"/>
        <w:ind w:left="463" w:right="1146" w:hanging="200"/>
        <w:rPr>
          <w:i/>
          <w:sz w:val="16"/>
        </w:rPr>
      </w:pPr>
      <w:r>
        <w:rPr>
          <w:color w:val="231F20"/>
          <w:sz w:val="16"/>
        </w:rPr>
        <w:t>Heinemann,  Gustav  41</w:t>
      </w:r>
      <w:r>
        <w:rPr>
          <w:i/>
          <w:color w:val="231F20"/>
          <w:sz w:val="16"/>
        </w:rPr>
        <w:t xml:space="preserve">,  </w:t>
      </w:r>
      <w:r>
        <w:rPr>
          <w:color w:val="231F20"/>
          <w:sz w:val="16"/>
        </w:rPr>
        <w:t>568</w:t>
      </w:r>
      <w:r>
        <w:rPr>
          <w:i/>
          <w:color w:val="231F20"/>
          <w:sz w:val="16"/>
        </w:rPr>
        <w:t xml:space="preserve">,  </w:t>
      </w:r>
      <w:r>
        <w:rPr>
          <w:color w:val="231F20"/>
          <w:sz w:val="16"/>
        </w:rPr>
        <w:t>584</w:t>
      </w:r>
      <w:r>
        <w:rPr>
          <w:i/>
          <w:color w:val="231F20"/>
          <w:sz w:val="16"/>
        </w:rPr>
        <w:t xml:space="preserve">.  See also </w:t>
      </w:r>
      <w:r>
        <w:rPr>
          <w:color w:val="231F20"/>
          <w:sz w:val="16"/>
        </w:rPr>
        <w:t>Grand Coalition</w:t>
      </w:r>
      <w:r>
        <w:rPr>
          <w:i/>
          <w:color w:val="231F20"/>
          <w:sz w:val="16"/>
        </w:rPr>
        <w:t xml:space="preserve">; See also </w:t>
      </w:r>
      <w:r>
        <w:rPr>
          <w:color w:val="231F20"/>
          <w:sz w:val="16"/>
        </w:rPr>
        <w:t xml:space="preserve">SocialLiberal Brandt-Scheel Government (1969-1974); mentioned by Thorwald Proll 70; mentioned by </w:t>
      </w:r>
      <w:r w:rsidR="00C507A5">
        <w:rPr>
          <w:color w:val="231F20"/>
          <w:sz w:val="16"/>
        </w:rPr>
        <w:t>red army faction</w:t>
      </w:r>
      <w:r>
        <w:rPr>
          <w:color w:val="231F20"/>
          <w:sz w:val="16"/>
        </w:rPr>
        <w:t xml:space="preserve"> 149</w:t>
      </w:r>
      <w:r>
        <w:rPr>
          <w:i/>
          <w:color w:val="231F20"/>
          <w:sz w:val="16"/>
        </w:rPr>
        <w:t>,</w:t>
      </w:r>
      <w:r>
        <w:rPr>
          <w:i/>
          <w:color w:val="231F20"/>
          <w:spacing w:val="15"/>
          <w:sz w:val="16"/>
        </w:rPr>
        <w:t xml:space="preserve"> </w:t>
      </w:r>
      <w:r>
        <w:rPr>
          <w:color w:val="231F20"/>
          <w:sz w:val="16"/>
        </w:rPr>
        <w:t>232</w:t>
      </w:r>
      <w:r>
        <w:rPr>
          <w:i/>
          <w:color w:val="231F20"/>
          <w:sz w:val="16"/>
        </w:rPr>
        <w:t>,</w:t>
      </w:r>
    </w:p>
    <w:p w14:paraId="23D1447F" w14:textId="77777777" w:rsidR="002653E8" w:rsidRDefault="003115E3">
      <w:pPr>
        <w:spacing w:before="3"/>
        <w:ind w:left="463"/>
        <w:rPr>
          <w:sz w:val="16"/>
        </w:rPr>
      </w:pPr>
      <w:r>
        <w:rPr>
          <w:color w:val="231F20"/>
          <w:sz w:val="16"/>
        </w:rPr>
        <w:t>306–307; president  41</w:t>
      </w:r>
    </w:p>
    <w:p w14:paraId="2E3D72E9" w14:textId="77777777" w:rsidR="002653E8" w:rsidRDefault="003115E3">
      <w:pPr>
        <w:spacing w:before="32"/>
        <w:ind w:left="263"/>
        <w:rPr>
          <w:sz w:val="16"/>
        </w:rPr>
      </w:pPr>
      <w:r>
        <w:rPr>
          <w:color w:val="231F20"/>
          <w:sz w:val="16"/>
        </w:rPr>
        <w:t>Heinemann  Initiative 306</w:t>
      </w:r>
    </w:p>
    <w:p w14:paraId="066E2605" w14:textId="77777777" w:rsidR="002653E8" w:rsidRDefault="003115E3">
      <w:pPr>
        <w:spacing w:before="33"/>
        <w:ind w:left="263"/>
        <w:rPr>
          <w:sz w:val="16"/>
        </w:rPr>
      </w:pPr>
      <w:r>
        <w:rPr>
          <w:color w:val="231F20"/>
          <w:w w:val="105"/>
          <w:sz w:val="16"/>
        </w:rPr>
        <w:t>Heissler, Rolf 568</w:t>
      </w:r>
      <w:r>
        <w:rPr>
          <w:i/>
          <w:color w:val="231F20"/>
          <w:w w:val="105"/>
          <w:sz w:val="16"/>
        </w:rPr>
        <w:t xml:space="preserve">, </w:t>
      </w:r>
      <w:r>
        <w:rPr>
          <w:color w:val="231F20"/>
          <w:w w:val="105"/>
          <w:sz w:val="16"/>
        </w:rPr>
        <w:t>626; Boock’s Lies</w:t>
      </w:r>
    </w:p>
    <w:p w14:paraId="4AB54B55" w14:textId="77777777" w:rsidR="002653E8" w:rsidRDefault="003115E3">
      <w:pPr>
        <w:spacing w:before="32"/>
        <w:ind w:left="463"/>
        <w:rPr>
          <w:i/>
          <w:sz w:val="16"/>
        </w:rPr>
      </w:pPr>
      <w:r>
        <w:rPr>
          <w:color w:val="231F20"/>
          <w:sz w:val="16"/>
        </w:rPr>
        <w:t>(1988)   527; captured (1971) 64</w:t>
      </w:r>
      <w:r>
        <w:rPr>
          <w:i/>
          <w:color w:val="231F20"/>
          <w:sz w:val="16"/>
        </w:rPr>
        <w:t>,</w:t>
      </w:r>
    </w:p>
    <w:p w14:paraId="2817DA97" w14:textId="77777777" w:rsidR="002653E8" w:rsidRDefault="003115E3">
      <w:pPr>
        <w:spacing w:before="33"/>
        <w:ind w:left="463"/>
        <w:rPr>
          <w:sz w:val="16"/>
        </w:rPr>
      </w:pPr>
      <w:r>
        <w:rPr>
          <w:color w:val="231F20"/>
          <w:sz w:val="16"/>
        </w:rPr>
        <w:t>586; captured (1979) 530–531</w:t>
      </w:r>
      <w:r>
        <w:rPr>
          <w:i/>
          <w:color w:val="231F20"/>
          <w:sz w:val="16"/>
        </w:rPr>
        <w:t xml:space="preserve">, </w:t>
      </w:r>
      <w:r>
        <w:rPr>
          <w:color w:val="231F20"/>
          <w:sz w:val="16"/>
        </w:rPr>
        <w:t>612;</w:t>
      </w:r>
    </w:p>
    <w:p w14:paraId="36299D1C" w14:textId="77777777" w:rsidR="002653E8" w:rsidRDefault="003115E3">
      <w:pPr>
        <w:spacing w:before="32" w:line="280" w:lineRule="auto"/>
        <w:ind w:left="463" w:right="1106"/>
        <w:rPr>
          <w:sz w:val="16"/>
        </w:rPr>
      </w:pPr>
      <w:r>
        <w:rPr>
          <w:color w:val="231F20"/>
          <w:sz w:val="16"/>
        </w:rPr>
        <w:t>freed in Lorenz kidnapping 328</w:t>
      </w:r>
      <w:r>
        <w:rPr>
          <w:i/>
          <w:color w:val="231F20"/>
          <w:sz w:val="16"/>
        </w:rPr>
        <w:t xml:space="preserve">, </w:t>
      </w:r>
      <w:r>
        <w:rPr>
          <w:color w:val="231F20"/>
          <w:sz w:val="16"/>
        </w:rPr>
        <w:t>596; isolation 301; killings at Dutch border (1978) 530</w:t>
      </w:r>
      <w:r>
        <w:rPr>
          <w:i/>
          <w:color w:val="231F20"/>
          <w:sz w:val="16"/>
        </w:rPr>
        <w:t xml:space="preserve">, </w:t>
      </w:r>
      <w:r>
        <w:rPr>
          <w:color w:val="231F20"/>
          <w:sz w:val="16"/>
        </w:rPr>
        <w:t>611; prison 624; Schleyer kidnapping 526</w:t>
      </w:r>
      <w:r>
        <w:rPr>
          <w:i/>
          <w:color w:val="231F20"/>
          <w:sz w:val="16"/>
        </w:rPr>
        <w:t xml:space="preserve">, </w:t>
      </w:r>
      <w:r>
        <w:rPr>
          <w:color w:val="231F20"/>
          <w:sz w:val="16"/>
        </w:rPr>
        <w:t xml:space="preserve">627; split in the </w:t>
      </w:r>
      <w:r w:rsidR="00C507A5">
        <w:rPr>
          <w:color w:val="231F20"/>
          <w:sz w:val="16"/>
        </w:rPr>
        <w:t>red army faction</w:t>
      </w:r>
      <w:r>
        <w:rPr>
          <w:color w:val="231F20"/>
          <w:sz w:val="16"/>
        </w:rPr>
        <w:t xml:space="preserve"> 623; trial (1982) 615; Tupamaros West</w:t>
      </w:r>
    </w:p>
    <w:p w14:paraId="757D153C" w14:textId="77777777" w:rsidR="002653E8" w:rsidRPr="00846956" w:rsidRDefault="003115E3">
      <w:pPr>
        <w:spacing w:before="3"/>
        <w:ind w:left="463"/>
        <w:rPr>
          <w:sz w:val="16"/>
          <w:lang w:val="de-DE"/>
        </w:rPr>
      </w:pPr>
      <w:r w:rsidRPr="00846956">
        <w:rPr>
          <w:color w:val="231F20"/>
          <w:sz w:val="16"/>
          <w:lang w:val="de-DE"/>
        </w:rPr>
        <w:t>Berlin 64</w:t>
      </w:r>
    </w:p>
    <w:p w14:paraId="5AA4855F" w14:textId="77777777" w:rsidR="002653E8" w:rsidRPr="00846956" w:rsidRDefault="003115E3">
      <w:pPr>
        <w:spacing w:before="32"/>
        <w:ind w:left="263"/>
        <w:rPr>
          <w:sz w:val="16"/>
          <w:lang w:val="de-DE"/>
        </w:rPr>
      </w:pPr>
      <w:r w:rsidRPr="00846956">
        <w:rPr>
          <w:color w:val="231F20"/>
          <w:w w:val="105"/>
          <w:sz w:val="16"/>
          <w:lang w:val="de-DE"/>
        </w:rPr>
        <w:t>Helbing, Monika 568</w:t>
      </w:r>
      <w:r w:rsidRPr="00846956">
        <w:rPr>
          <w:i/>
          <w:color w:val="231F20"/>
          <w:w w:val="105"/>
          <w:sz w:val="16"/>
          <w:lang w:val="de-DE"/>
        </w:rPr>
        <w:t xml:space="preserve">, </w:t>
      </w:r>
      <w:r w:rsidRPr="00846956">
        <w:rPr>
          <w:color w:val="231F20"/>
          <w:w w:val="105"/>
          <w:sz w:val="16"/>
          <w:lang w:val="de-DE"/>
        </w:rPr>
        <w:t>614</w:t>
      </w:r>
      <w:r w:rsidRPr="00846956">
        <w:rPr>
          <w:i/>
          <w:color w:val="231F20"/>
          <w:w w:val="105"/>
          <w:sz w:val="16"/>
          <w:lang w:val="de-DE"/>
        </w:rPr>
        <w:t xml:space="preserve">, </w:t>
      </w:r>
      <w:r w:rsidRPr="00846956">
        <w:rPr>
          <w:color w:val="231F20"/>
          <w:w w:val="105"/>
          <w:sz w:val="16"/>
          <w:lang w:val="de-DE"/>
        </w:rPr>
        <w:t>620</w:t>
      </w:r>
      <w:r w:rsidRPr="00846956">
        <w:rPr>
          <w:i/>
          <w:color w:val="231F20"/>
          <w:w w:val="105"/>
          <w:sz w:val="16"/>
          <w:lang w:val="de-DE"/>
        </w:rPr>
        <w:t xml:space="preserve">, </w:t>
      </w:r>
      <w:r w:rsidRPr="00846956">
        <w:rPr>
          <w:color w:val="231F20"/>
          <w:w w:val="105"/>
          <w:sz w:val="16"/>
          <w:lang w:val="de-DE"/>
        </w:rPr>
        <w:t>621</w:t>
      </w:r>
    </w:p>
    <w:p w14:paraId="749D80F9" w14:textId="77777777" w:rsidR="002653E8" w:rsidRPr="00846956" w:rsidRDefault="003115E3">
      <w:pPr>
        <w:spacing w:before="32"/>
        <w:ind w:left="263"/>
        <w:rPr>
          <w:i/>
          <w:sz w:val="16"/>
          <w:lang w:val="de-DE"/>
        </w:rPr>
      </w:pPr>
      <w:r w:rsidRPr="00846956">
        <w:rPr>
          <w:color w:val="231F20"/>
          <w:w w:val="105"/>
          <w:sz w:val="16"/>
          <w:lang w:val="de-DE"/>
        </w:rPr>
        <w:t>Heldmann, Hans-Heinz 516</w:t>
      </w:r>
      <w:r w:rsidRPr="00846956">
        <w:rPr>
          <w:i/>
          <w:color w:val="231F20"/>
          <w:w w:val="105"/>
          <w:sz w:val="16"/>
          <w:lang w:val="de-DE"/>
        </w:rPr>
        <w:t xml:space="preserve">, </w:t>
      </w:r>
      <w:r w:rsidRPr="00846956">
        <w:rPr>
          <w:color w:val="231F20"/>
          <w:w w:val="105"/>
          <w:sz w:val="16"/>
          <w:lang w:val="de-DE"/>
        </w:rPr>
        <w:t>568</w:t>
      </w:r>
      <w:r w:rsidRPr="00846956">
        <w:rPr>
          <w:i/>
          <w:color w:val="231F20"/>
          <w:w w:val="105"/>
          <w:sz w:val="16"/>
          <w:lang w:val="de-DE"/>
        </w:rPr>
        <w:t xml:space="preserve">, </w:t>
      </w:r>
      <w:r w:rsidRPr="00846956">
        <w:rPr>
          <w:color w:val="231F20"/>
          <w:w w:val="105"/>
          <w:sz w:val="16"/>
          <w:lang w:val="de-DE"/>
        </w:rPr>
        <w:t>604</w:t>
      </w:r>
      <w:r w:rsidRPr="00846956">
        <w:rPr>
          <w:i/>
          <w:color w:val="231F20"/>
          <w:w w:val="105"/>
          <w:sz w:val="16"/>
          <w:lang w:val="de-DE"/>
        </w:rPr>
        <w:t>,</w:t>
      </w:r>
    </w:p>
    <w:p w14:paraId="5969CD23" w14:textId="77777777" w:rsidR="002653E8" w:rsidRPr="00846956" w:rsidRDefault="003115E3">
      <w:pPr>
        <w:spacing w:before="33"/>
        <w:ind w:left="463"/>
        <w:rPr>
          <w:sz w:val="16"/>
          <w:lang w:val="de-DE"/>
        </w:rPr>
      </w:pPr>
      <w:r w:rsidRPr="00846956">
        <w:rPr>
          <w:color w:val="231F20"/>
          <w:sz w:val="16"/>
          <w:lang w:val="de-DE"/>
        </w:rPr>
        <w:t>608</w:t>
      </w:r>
    </w:p>
    <w:p w14:paraId="4AEF9B25" w14:textId="77777777" w:rsidR="002653E8" w:rsidRPr="00846956" w:rsidRDefault="003115E3">
      <w:pPr>
        <w:spacing w:before="32"/>
        <w:ind w:left="263"/>
        <w:rPr>
          <w:sz w:val="16"/>
          <w:lang w:val="de-DE"/>
        </w:rPr>
      </w:pPr>
      <w:r w:rsidRPr="00846956">
        <w:rPr>
          <w:color w:val="231F20"/>
          <w:sz w:val="16"/>
          <w:lang w:val="de-DE"/>
        </w:rPr>
        <w:t>Henck (prison psychiatrist) 319</w:t>
      </w:r>
      <w:r w:rsidRPr="00846956">
        <w:rPr>
          <w:i/>
          <w:color w:val="231F20"/>
          <w:sz w:val="16"/>
          <w:lang w:val="de-DE"/>
        </w:rPr>
        <w:t xml:space="preserve">, </w:t>
      </w:r>
      <w:r w:rsidRPr="00846956">
        <w:rPr>
          <w:color w:val="231F20"/>
          <w:sz w:val="16"/>
          <w:lang w:val="de-DE"/>
        </w:rPr>
        <w:t>384</w:t>
      </w:r>
    </w:p>
    <w:p w14:paraId="651FB5B4" w14:textId="77777777" w:rsidR="002653E8" w:rsidRPr="00846956" w:rsidRDefault="003115E3">
      <w:pPr>
        <w:spacing w:before="33"/>
        <w:ind w:left="263"/>
        <w:rPr>
          <w:sz w:val="16"/>
          <w:lang w:val="de-DE"/>
        </w:rPr>
      </w:pPr>
      <w:r w:rsidRPr="00846956">
        <w:rPr>
          <w:color w:val="231F20"/>
          <w:sz w:val="16"/>
          <w:lang w:val="de-DE"/>
        </w:rPr>
        <w:t>Henze, Hans-Werner 247</w:t>
      </w:r>
    </w:p>
    <w:p w14:paraId="0C8A9D60" w14:textId="77777777" w:rsidR="002653E8" w:rsidRPr="00846956" w:rsidRDefault="003115E3">
      <w:pPr>
        <w:spacing w:before="32" w:line="280" w:lineRule="auto"/>
        <w:ind w:left="463" w:right="1390" w:hanging="200"/>
        <w:jc w:val="both"/>
        <w:rPr>
          <w:sz w:val="16"/>
          <w:lang w:val="de-DE"/>
        </w:rPr>
      </w:pPr>
      <w:r w:rsidRPr="00846956">
        <w:rPr>
          <w:color w:val="231F20"/>
          <w:w w:val="105"/>
          <w:sz w:val="16"/>
          <w:lang w:val="de-DE"/>
        </w:rPr>
        <w:t>Herold, Horst 115</w:t>
      </w:r>
      <w:r w:rsidRPr="00846956">
        <w:rPr>
          <w:i/>
          <w:color w:val="231F20"/>
          <w:w w:val="105"/>
          <w:sz w:val="16"/>
          <w:lang w:val="de-DE"/>
        </w:rPr>
        <w:t xml:space="preserve">, </w:t>
      </w:r>
      <w:r w:rsidRPr="00846956">
        <w:rPr>
          <w:color w:val="231F20"/>
          <w:w w:val="105"/>
          <w:sz w:val="16"/>
          <w:lang w:val="de-DE"/>
        </w:rPr>
        <w:t>412</w:t>
      </w:r>
      <w:r w:rsidRPr="00846956">
        <w:rPr>
          <w:i/>
          <w:color w:val="231F20"/>
          <w:w w:val="105"/>
          <w:sz w:val="16"/>
          <w:lang w:val="de-DE"/>
        </w:rPr>
        <w:t xml:space="preserve">, </w:t>
      </w:r>
      <w:r w:rsidRPr="00846956">
        <w:rPr>
          <w:color w:val="231F20"/>
          <w:w w:val="105"/>
          <w:sz w:val="16"/>
          <w:lang w:val="de-DE"/>
        </w:rPr>
        <w:t>569</w:t>
      </w:r>
      <w:r w:rsidRPr="00846956">
        <w:rPr>
          <w:i/>
          <w:color w:val="231F20"/>
          <w:w w:val="105"/>
          <w:sz w:val="16"/>
          <w:lang w:val="de-DE"/>
        </w:rPr>
        <w:t xml:space="preserve">, </w:t>
      </w:r>
      <w:r w:rsidRPr="00846956">
        <w:rPr>
          <w:color w:val="231F20"/>
          <w:w w:val="105"/>
          <w:sz w:val="16"/>
          <w:lang w:val="de-DE"/>
        </w:rPr>
        <w:t>587</w:t>
      </w:r>
      <w:r w:rsidRPr="00846956">
        <w:rPr>
          <w:i/>
          <w:color w:val="231F20"/>
          <w:w w:val="105"/>
          <w:sz w:val="16"/>
          <w:lang w:val="de-DE"/>
        </w:rPr>
        <w:t xml:space="preserve">. See </w:t>
      </w:r>
      <w:r w:rsidRPr="00846956">
        <w:rPr>
          <w:i/>
          <w:color w:val="231F20"/>
          <w:sz w:val="16"/>
          <w:lang w:val="de-DE"/>
        </w:rPr>
        <w:t xml:space="preserve">also </w:t>
      </w:r>
      <w:r w:rsidRPr="00846956">
        <w:rPr>
          <w:color w:val="231F20"/>
          <w:sz w:val="16"/>
          <w:lang w:val="de-DE"/>
        </w:rPr>
        <w:t xml:space="preserve">BKA (Bundeskriminalamt); and </w:t>
      </w:r>
      <w:r w:rsidR="00C507A5" w:rsidRPr="00846956">
        <w:rPr>
          <w:color w:val="231F20"/>
          <w:w w:val="105"/>
          <w:sz w:val="16"/>
          <w:lang w:val="de-DE"/>
        </w:rPr>
        <w:t>red army faction</w:t>
      </w:r>
      <w:r w:rsidRPr="00846956">
        <w:rPr>
          <w:color w:val="231F20"/>
          <w:w w:val="105"/>
          <w:sz w:val="16"/>
          <w:lang w:val="de-DE"/>
        </w:rPr>
        <w:t xml:space="preserve"> 116</w:t>
      </w:r>
      <w:r w:rsidRPr="00846956">
        <w:rPr>
          <w:i/>
          <w:color w:val="231F20"/>
          <w:w w:val="105"/>
          <w:sz w:val="16"/>
          <w:lang w:val="de-DE"/>
        </w:rPr>
        <w:t xml:space="preserve">, </w:t>
      </w:r>
      <w:r w:rsidRPr="00846956">
        <w:rPr>
          <w:color w:val="231F20"/>
          <w:w w:val="105"/>
          <w:sz w:val="16"/>
          <w:lang w:val="de-DE"/>
        </w:rPr>
        <w:t>395</w:t>
      </w:r>
      <w:r w:rsidRPr="00846956">
        <w:rPr>
          <w:i/>
          <w:color w:val="231F20"/>
          <w:w w:val="105"/>
          <w:sz w:val="16"/>
          <w:lang w:val="de-DE"/>
        </w:rPr>
        <w:t xml:space="preserve">, </w:t>
      </w:r>
      <w:r w:rsidRPr="00846956">
        <w:rPr>
          <w:color w:val="231F20"/>
          <w:w w:val="105"/>
          <w:sz w:val="16"/>
          <w:lang w:val="de-DE"/>
        </w:rPr>
        <w:t>604</w:t>
      </w:r>
    </w:p>
    <w:p w14:paraId="3CC41D54" w14:textId="77777777" w:rsidR="002653E8" w:rsidRPr="00846956" w:rsidRDefault="003115E3">
      <w:pPr>
        <w:spacing w:before="2"/>
        <w:ind w:left="263"/>
        <w:rPr>
          <w:sz w:val="16"/>
          <w:lang w:val="de-DE"/>
        </w:rPr>
      </w:pPr>
      <w:r w:rsidRPr="00846956">
        <w:rPr>
          <w:color w:val="231F20"/>
          <w:sz w:val="16"/>
          <w:lang w:val="de-DE"/>
        </w:rPr>
        <w:t>Herrhausen, Alfred 619</w:t>
      </w:r>
    </w:p>
    <w:p w14:paraId="4AA5F4DC" w14:textId="77777777" w:rsidR="002653E8" w:rsidRPr="00846956" w:rsidRDefault="003115E3">
      <w:pPr>
        <w:spacing w:before="32"/>
        <w:ind w:left="263"/>
        <w:rPr>
          <w:sz w:val="16"/>
          <w:lang w:val="de-DE"/>
        </w:rPr>
      </w:pPr>
      <w:r w:rsidRPr="00846956">
        <w:rPr>
          <w:color w:val="231F20"/>
          <w:w w:val="105"/>
          <w:sz w:val="16"/>
          <w:lang w:val="de-DE"/>
        </w:rPr>
        <w:t>Herzog, Roman 625</w:t>
      </w:r>
    </w:p>
    <w:p w14:paraId="5BAF717D" w14:textId="77777777" w:rsidR="002653E8" w:rsidRDefault="003115E3">
      <w:pPr>
        <w:spacing w:before="33"/>
        <w:ind w:left="263"/>
        <w:rPr>
          <w:sz w:val="16"/>
        </w:rPr>
      </w:pPr>
      <w:r>
        <w:rPr>
          <w:color w:val="231F20"/>
          <w:sz w:val="16"/>
        </w:rPr>
        <w:t>Hessian Criminal Bureau 314</w:t>
      </w:r>
    </w:p>
    <w:p w14:paraId="74A1B2E1" w14:textId="77777777" w:rsidR="002653E8" w:rsidRDefault="003115E3">
      <w:pPr>
        <w:spacing w:before="32"/>
        <w:ind w:left="263"/>
        <w:rPr>
          <w:sz w:val="16"/>
        </w:rPr>
      </w:pPr>
      <w:r>
        <w:rPr>
          <w:i/>
          <w:color w:val="231F20"/>
          <w:w w:val="105"/>
          <w:sz w:val="16"/>
        </w:rPr>
        <w:t xml:space="preserve">Het Parool </w:t>
      </w:r>
      <w:r>
        <w:rPr>
          <w:color w:val="231F20"/>
          <w:w w:val="105"/>
          <w:sz w:val="16"/>
        </w:rPr>
        <w:t>523</w:t>
      </w:r>
    </w:p>
    <w:p w14:paraId="7A586635" w14:textId="77777777" w:rsidR="002653E8" w:rsidRDefault="002653E8">
      <w:pPr>
        <w:rPr>
          <w:sz w:val="16"/>
        </w:rPr>
        <w:sectPr w:rsidR="002653E8">
          <w:pgSz w:w="8640" w:h="12960"/>
          <w:pgMar w:top="1080" w:right="0" w:bottom="1040" w:left="0" w:header="0" w:footer="846" w:gutter="0"/>
          <w:cols w:num="2" w:space="720" w:equalWidth="0">
            <w:col w:w="4247" w:space="40"/>
            <w:col w:w="4353"/>
          </w:cols>
        </w:sectPr>
      </w:pPr>
    </w:p>
    <w:p w14:paraId="2C5604DA" w14:textId="77777777" w:rsidR="002653E8" w:rsidRDefault="003115E3">
      <w:pPr>
        <w:spacing w:before="86" w:line="280" w:lineRule="auto"/>
        <w:ind w:left="1147" w:right="1207"/>
        <w:rPr>
          <w:sz w:val="16"/>
        </w:rPr>
      </w:pPr>
      <w:r>
        <w:rPr>
          <w:color w:val="231F20"/>
          <w:w w:val="105"/>
          <w:sz w:val="16"/>
        </w:rPr>
        <w:lastRenderedPageBreak/>
        <w:t>Hexel-Hepp Group 615 Hijri, Fatima al 481</w:t>
      </w:r>
    </w:p>
    <w:p w14:paraId="7B04F3F0" w14:textId="77777777" w:rsidR="002653E8" w:rsidRPr="00846956" w:rsidRDefault="003115E3">
      <w:pPr>
        <w:spacing w:before="1" w:line="280" w:lineRule="auto"/>
        <w:ind w:left="1147" w:right="447"/>
        <w:rPr>
          <w:sz w:val="16"/>
          <w:lang w:val="de-DE"/>
        </w:rPr>
      </w:pPr>
      <w:r w:rsidRPr="00846956">
        <w:rPr>
          <w:color w:val="231F20"/>
          <w:w w:val="105"/>
          <w:sz w:val="16"/>
          <w:lang w:val="de-DE"/>
        </w:rPr>
        <w:t xml:space="preserve">Hijri, Qadi Abdullah Amhen al 481 </w:t>
      </w:r>
      <w:r w:rsidRPr="00846956">
        <w:rPr>
          <w:i/>
          <w:color w:val="231F20"/>
          <w:w w:val="105"/>
          <w:sz w:val="16"/>
          <w:lang w:val="de-DE"/>
        </w:rPr>
        <w:t xml:space="preserve">Hilfeleistung im Arbeitskampf </w:t>
      </w:r>
      <w:r w:rsidRPr="00846956">
        <w:rPr>
          <w:color w:val="231F20"/>
          <w:w w:val="105"/>
          <w:sz w:val="16"/>
          <w:lang w:val="de-DE"/>
        </w:rPr>
        <w:t>138 Hillegaart, Heinz 333</w:t>
      </w:r>
      <w:r w:rsidRPr="00846956">
        <w:rPr>
          <w:i/>
          <w:color w:val="231F20"/>
          <w:w w:val="105"/>
          <w:sz w:val="16"/>
          <w:lang w:val="de-DE"/>
        </w:rPr>
        <w:t xml:space="preserve">, </w:t>
      </w:r>
      <w:r w:rsidRPr="00846956">
        <w:rPr>
          <w:color w:val="231F20"/>
          <w:w w:val="105"/>
          <w:sz w:val="16"/>
          <w:lang w:val="de-DE"/>
        </w:rPr>
        <w:t xml:space="preserve">569 </w:t>
      </w:r>
      <w:r w:rsidRPr="00846956">
        <w:rPr>
          <w:i/>
          <w:color w:val="231F20"/>
          <w:w w:val="105"/>
          <w:sz w:val="16"/>
          <w:lang w:val="de-DE"/>
        </w:rPr>
        <w:t xml:space="preserve">Hinterhöfe der Nation </w:t>
      </w:r>
      <w:r w:rsidRPr="00846956">
        <w:rPr>
          <w:color w:val="231F20"/>
          <w:w w:val="105"/>
          <w:sz w:val="16"/>
          <w:lang w:val="de-DE"/>
        </w:rPr>
        <w:t>145</w:t>
      </w:r>
    </w:p>
    <w:p w14:paraId="080F28BD" w14:textId="77777777" w:rsidR="002653E8" w:rsidRDefault="003115E3">
      <w:pPr>
        <w:spacing w:before="2"/>
        <w:ind w:left="1147"/>
        <w:rPr>
          <w:sz w:val="16"/>
        </w:rPr>
      </w:pPr>
      <w:r>
        <w:rPr>
          <w:color w:val="231F20"/>
          <w:w w:val="105"/>
          <w:sz w:val="16"/>
        </w:rPr>
        <w:t>historiography 393–394</w:t>
      </w:r>
      <w:r>
        <w:rPr>
          <w:i/>
          <w:color w:val="231F20"/>
          <w:w w:val="105"/>
          <w:sz w:val="16"/>
        </w:rPr>
        <w:t xml:space="preserve">, </w:t>
      </w:r>
      <w:r>
        <w:rPr>
          <w:color w:val="231F20"/>
          <w:w w:val="105"/>
          <w:sz w:val="16"/>
        </w:rPr>
        <w:t>469</w:t>
      </w:r>
      <w:r>
        <w:rPr>
          <w:i/>
          <w:color w:val="231F20"/>
          <w:w w:val="105"/>
          <w:sz w:val="16"/>
        </w:rPr>
        <w:t xml:space="preserve">, </w:t>
      </w:r>
      <w:r>
        <w:rPr>
          <w:color w:val="231F20"/>
          <w:w w:val="105"/>
          <w:sz w:val="16"/>
        </w:rPr>
        <w:t>512–513</w:t>
      </w:r>
    </w:p>
    <w:p w14:paraId="489A9986" w14:textId="77777777" w:rsidR="002653E8" w:rsidRDefault="003115E3">
      <w:pPr>
        <w:spacing w:before="33"/>
        <w:ind w:left="1147"/>
        <w:rPr>
          <w:sz w:val="16"/>
        </w:rPr>
      </w:pPr>
      <w:r>
        <w:rPr>
          <w:color w:val="231F20"/>
          <w:w w:val="105"/>
          <w:sz w:val="16"/>
        </w:rPr>
        <w:t>Hitler, Adolf 67</w:t>
      </w:r>
    </w:p>
    <w:p w14:paraId="6E0092BA" w14:textId="77777777" w:rsidR="002653E8" w:rsidRDefault="003115E3">
      <w:pPr>
        <w:spacing w:before="32" w:line="280" w:lineRule="auto"/>
        <w:ind w:left="1347" w:right="1" w:hanging="200"/>
        <w:rPr>
          <w:sz w:val="16"/>
        </w:rPr>
      </w:pPr>
      <w:r>
        <w:rPr>
          <w:i/>
          <w:color w:val="231F20"/>
          <w:w w:val="105"/>
          <w:sz w:val="16"/>
        </w:rPr>
        <w:t xml:space="preserve">Hitler’s Children: The Story of the BaaderMeinhof Gang </w:t>
      </w:r>
      <w:r>
        <w:rPr>
          <w:color w:val="231F20"/>
          <w:w w:val="105"/>
          <w:sz w:val="16"/>
        </w:rPr>
        <w:t>108</w:t>
      </w:r>
    </w:p>
    <w:p w14:paraId="2709DCBD" w14:textId="77777777" w:rsidR="002653E8" w:rsidRPr="00846956" w:rsidRDefault="003115E3">
      <w:pPr>
        <w:spacing w:before="1" w:line="280" w:lineRule="auto"/>
        <w:ind w:left="1147" w:right="1207"/>
        <w:rPr>
          <w:sz w:val="16"/>
          <w:lang w:val="de-DE"/>
        </w:rPr>
      </w:pPr>
      <w:r w:rsidRPr="00846956">
        <w:rPr>
          <w:color w:val="231F20"/>
          <w:w w:val="105"/>
          <w:sz w:val="16"/>
          <w:lang w:val="de-DE"/>
        </w:rPr>
        <w:t>Ho Chi Minh 402 Hockenos, Paul 24</w:t>
      </w:r>
      <w:r w:rsidRPr="00846956">
        <w:rPr>
          <w:i/>
          <w:color w:val="231F20"/>
          <w:w w:val="105"/>
          <w:sz w:val="16"/>
          <w:lang w:val="de-DE"/>
        </w:rPr>
        <w:t xml:space="preserve">, </w:t>
      </w:r>
      <w:r w:rsidRPr="00846956">
        <w:rPr>
          <w:color w:val="231F20"/>
          <w:w w:val="105"/>
          <w:sz w:val="16"/>
          <w:lang w:val="de-DE"/>
        </w:rPr>
        <w:t>394</w:t>
      </w:r>
    </w:p>
    <w:p w14:paraId="4065F92E" w14:textId="77777777" w:rsidR="002653E8" w:rsidRPr="00846956" w:rsidRDefault="003115E3">
      <w:pPr>
        <w:spacing w:before="1"/>
        <w:ind w:left="1147"/>
        <w:rPr>
          <w:sz w:val="16"/>
          <w:lang w:val="de-DE"/>
        </w:rPr>
      </w:pPr>
      <w:r w:rsidRPr="00846956">
        <w:rPr>
          <w:color w:val="231F20"/>
          <w:w w:val="105"/>
          <w:sz w:val="16"/>
          <w:lang w:val="de-DE"/>
        </w:rPr>
        <w:t>Hoff, Dierk 352–353</w:t>
      </w:r>
      <w:r w:rsidRPr="00846956">
        <w:rPr>
          <w:i/>
          <w:color w:val="231F20"/>
          <w:w w:val="105"/>
          <w:sz w:val="16"/>
          <w:lang w:val="de-DE"/>
        </w:rPr>
        <w:t xml:space="preserve">, </w:t>
      </w:r>
      <w:r w:rsidRPr="00846956">
        <w:rPr>
          <w:color w:val="231F20"/>
          <w:w w:val="105"/>
          <w:sz w:val="16"/>
          <w:lang w:val="de-DE"/>
        </w:rPr>
        <w:t>422–423</w:t>
      </w:r>
      <w:r w:rsidRPr="00846956">
        <w:rPr>
          <w:i/>
          <w:color w:val="231F20"/>
          <w:w w:val="105"/>
          <w:sz w:val="16"/>
          <w:lang w:val="de-DE"/>
        </w:rPr>
        <w:t xml:space="preserve">, </w:t>
      </w:r>
      <w:r w:rsidRPr="00846956">
        <w:rPr>
          <w:color w:val="231F20"/>
          <w:w w:val="105"/>
          <w:sz w:val="16"/>
          <w:lang w:val="de-DE"/>
        </w:rPr>
        <w:t>569</w:t>
      </w:r>
    </w:p>
    <w:p w14:paraId="23152E3B" w14:textId="77777777" w:rsidR="002653E8" w:rsidRPr="00846956" w:rsidRDefault="003115E3">
      <w:pPr>
        <w:spacing w:before="33"/>
        <w:ind w:left="1147"/>
        <w:rPr>
          <w:sz w:val="16"/>
          <w:lang w:val="de-DE"/>
        </w:rPr>
      </w:pPr>
      <w:r w:rsidRPr="00846956">
        <w:rPr>
          <w:color w:val="231F20"/>
          <w:w w:val="105"/>
          <w:sz w:val="16"/>
          <w:lang w:val="de-DE"/>
        </w:rPr>
        <w:t>Hofmann, Sieglinde 569</w:t>
      </w:r>
      <w:r w:rsidRPr="00846956">
        <w:rPr>
          <w:i/>
          <w:color w:val="231F20"/>
          <w:w w:val="105"/>
          <w:sz w:val="16"/>
          <w:lang w:val="de-DE"/>
        </w:rPr>
        <w:t xml:space="preserve">, </w:t>
      </w:r>
      <w:r w:rsidRPr="00846956">
        <w:rPr>
          <w:color w:val="231F20"/>
          <w:w w:val="105"/>
          <w:sz w:val="16"/>
          <w:lang w:val="de-DE"/>
        </w:rPr>
        <w:t>612; Boock’s</w:t>
      </w:r>
    </w:p>
    <w:p w14:paraId="7E9B6313" w14:textId="77777777" w:rsidR="002653E8" w:rsidRDefault="003115E3">
      <w:pPr>
        <w:spacing w:before="32"/>
        <w:ind w:left="1347"/>
        <w:rPr>
          <w:sz w:val="16"/>
        </w:rPr>
      </w:pPr>
      <w:r>
        <w:rPr>
          <w:color w:val="231F20"/>
          <w:sz w:val="16"/>
        </w:rPr>
        <w:t>Lies (1988) 527; captured (1978,</w:t>
      </w:r>
    </w:p>
    <w:p w14:paraId="2A34C158" w14:textId="77777777" w:rsidR="002653E8" w:rsidRDefault="003115E3">
      <w:pPr>
        <w:spacing w:before="33"/>
        <w:ind w:left="1347"/>
        <w:rPr>
          <w:sz w:val="16"/>
        </w:rPr>
      </w:pPr>
      <w:r>
        <w:rPr>
          <w:color w:val="231F20"/>
          <w:w w:val="105"/>
          <w:sz w:val="16"/>
        </w:rPr>
        <w:t>yugoslavia) 529</w:t>
      </w:r>
      <w:r>
        <w:rPr>
          <w:i/>
          <w:color w:val="231F20"/>
          <w:w w:val="105"/>
          <w:sz w:val="16"/>
        </w:rPr>
        <w:t xml:space="preserve">, </w:t>
      </w:r>
      <w:r>
        <w:rPr>
          <w:color w:val="231F20"/>
          <w:w w:val="105"/>
          <w:sz w:val="16"/>
        </w:rPr>
        <w:t>610</w:t>
      </w:r>
      <w:r>
        <w:rPr>
          <w:i/>
          <w:color w:val="231F20"/>
          <w:w w:val="105"/>
          <w:sz w:val="16"/>
        </w:rPr>
        <w:t xml:space="preserve">, </w:t>
      </w:r>
      <w:r>
        <w:rPr>
          <w:color w:val="231F20"/>
          <w:w w:val="105"/>
          <w:sz w:val="16"/>
        </w:rPr>
        <w:t>611; captured</w:t>
      </w:r>
    </w:p>
    <w:p w14:paraId="44EA271C" w14:textId="77777777" w:rsidR="002653E8" w:rsidRDefault="003115E3">
      <w:pPr>
        <w:spacing w:before="32" w:line="280" w:lineRule="auto"/>
        <w:ind w:left="1347" w:right="80"/>
        <w:rPr>
          <w:sz w:val="16"/>
        </w:rPr>
      </w:pPr>
      <w:r>
        <w:rPr>
          <w:color w:val="231F20"/>
          <w:sz w:val="16"/>
        </w:rPr>
        <w:t xml:space="preserve">in Paris (1980) 613; prison 624; released (1999) 626; split in the </w:t>
      </w:r>
      <w:r w:rsidR="00C507A5">
        <w:rPr>
          <w:color w:val="231F20"/>
          <w:sz w:val="16"/>
        </w:rPr>
        <w:t>red army faction</w:t>
      </w:r>
      <w:r>
        <w:rPr>
          <w:color w:val="231F20"/>
          <w:sz w:val="16"/>
        </w:rPr>
        <w:t xml:space="preserve"> 623; trial (1982) 615; trial (1995)</w:t>
      </w:r>
    </w:p>
    <w:p w14:paraId="65EB245A" w14:textId="77777777" w:rsidR="002653E8" w:rsidRDefault="003115E3">
      <w:pPr>
        <w:spacing w:before="2"/>
        <w:ind w:left="1347"/>
        <w:rPr>
          <w:sz w:val="16"/>
        </w:rPr>
      </w:pPr>
      <w:r>
        <w:rPr>
          <w:color w:val="231F20"/>
          <w:w w:val="105"/>
          <w:sz w:val="16"/>
        </w:rPr>
        <w:t>620</w:t>
      </w:r>
      <w:r>
        <w:rPr>
          <w:i/>
          <w:color w:val="231F20"/>
          <w:w w:val="105"/>
          <w:sz w:val="16"/>
        </w:rPr>
        <w:t xml:space="preserve">, </w:t>
      </w:r>
      <w:r>
        <w:rPr>
          <w:color w:val="231F20"/>
          <w:w w:val="105"/>
          <w:sz w:val="16"/>
        </w:rPr>
        <w:t>625</w:t>
      </w:r>
    </w:p>
    <w:p w14:paraId="08DE7FF8" w14:textId="77777777" w:rsidR="002653E8" w:rsidRDefault="003115E3">
      <w:pPr>
        <w:spacing w:before="32"/>
        <w:ind w:left="1147"/>
        <w:rPr>
          <w:sz w:val="16"/>
        </w:rPr>
      </w:pPr>
      <w:r>
        <w:rPr>
          <w:color w:val="231F20"/>
          <w:w w:val="105"/>
          <w:sz w:val="16"/>
        </w:rPr>
        <w:t>Hofmeier, Barbel 621</w:t>
      </w:r>
    </w:p>
    <w:p w14:paraId="5ADFF674" w14:textId="77777777" w:rsidR="002653E8" w:rsidRDefault="003115E3">
      <w:pPr>
        <w:spacing w:before="33"/>
        <w:ind w:left="1147"/>
        <w:rPr>
          <w:sz w:val="16"/>
        </w:rPr>
      </w:pPr>
      <w:r>
        <w:rPr>
          <w:color w:val="231F20"/>
          <w:w w:val="105"/>
          <w:sz w:val="16"/>
        </w:rPr>
        <w:t>Hogefeld, Birgit 616</w:t>
      </w:r>
      <w:r>
        <w:rPr>
          <w:i/>
          <w:color w:val="231F20"/>
          <w:w w:val="105"/>
          <w:sz w:val="16"/>
        </w:rPr>
        <w:t xml:space="preserve">, </w:t>
      </w:r>
      <w:r>
        <w:rPr>
          <w:color w:val="231F20"/>
          <w:w w:val="105"/>
          <w:sz w:val="16"/>
        </w:rPr>
        <w:t>623</w:t>
      </w:r>
      <w:r>
        <w:rPr>
          <w:i/>
          <w:color w:val="231F20"/>
          <w:w w:val="105"/>
          <w:sz w:val="16"/>
        </w:rPr>
        <w:t xml:space="preserve">, </w:t>
      </w:r>
      <w:r>
        <w:rPr>
          <w:color w:val="231F20"/>
          <w:w w:val="105"/>
          <w:sz w:val="16"/>
        </w:rPr>
        <w:t>625; prison</w:t>
      </w:r>
    </w:p>
    <w:p w14:paraId="5CFEA42B" w14:textId="77777777" w:rsidR="002653E8" w:rsidRDefault="003115E3">
      <w:pPr>
        <w:spacing w:before="32"/>
        <w:ind w:left="1347"/>
        <w:rPr>
          <w:sz w:val="16"/>
        </w:rPr>
      </w:pPr>
      <w:r>
        <w:rPr>
          <w:color w:val="231F20"/>
          <w:sz w:val="16"/>
        </w:rPr>
        <w:t>624</w:t>
      </w:r>
      <w:r>
        <w:rPr>
          <w:i/>
          <w:color w:val="231F20"/>
          <w:sz w:val="16"/>
        </w:rPr>
        <w:t xml:space="preserve">, </w:t>
      </w:r>
      <w:r>
        <w:rPr>
          <w:color w:val="231F20"/>
          <w:sz w:val="16"/>
        </w:rPr>
        <w:t>628; release denied 627</w:t>
      </w:r>
    </w:p>
    <w:p w14:paraId="2FECF245" w14:textId="77777777" w:rsidR="002653E8" w:rsidRDefault="003115E3">
      <w:pPr>
        <w:spacing w:before="32"/>
        <w:ind w:left="1147"/>
        <w:rPr>
          <w:sz w:val="16"/>
        </w:rPr>
      </w:pPr>
      <w:r>
        <w:rPr>
          <w:color w:val="231F20"/>
          <w:w w:val="105"/>
          <w:sz w:val="16"/>
        </w:rPr>
        <w:t>Holland 445</w:t>
      </w:r>
      <w:r>
        <w:rPr>
          <w:i/>
          <w:color w:val="231F20"/>
          <w:w w:val="105"/>
          <w:sz w:val="16"/>
        </w:rPr>
        <w:t xml:space="preserve">, </w:t>
      </w:r>
      <w:r>
        <w:rPr>
          <w:color w:val="231F20"/>
          <w:w w:val="105"/>
          <w:sz w:val="16"/>
        </w:rPr>
        <w:t>473; Maurits Caransa kid-</w:t>
      </w:r>
    </w:p>
    <w:p w14:paraId="30170314" w14:textId="77777777" w:rsidR="002653E8" w:rsidRDefault="003115E3">
      <w:pPr>
        <w:spacing w:before="33"/>
        <w:ind w:left="1347"/>
        <w:rPr>
          <w:i/>
          <w:sz w:val="16"/>
        </w:rPr>
      </w:pPr>
      <w:r>
        <w:rPr>
          <w:color w:val="231F20"/>
          <w:w w:val="105"/>
          <w:sz w:val="16"/>
        </w:rPr>
        <w:t xml:space="preserve">napping  523; and </w:t>
      </w:r>
      <w:r w:rsidR="00C507A5">
        <w:rPr>
          <w:color w:val="231F20"/>
          <w:w w:val="105"/>
          <w:sz w:val="16"/>
        </w:rPr>
        <w:t>red army faction</w:t>
      </w:r>
      <w:r>
        <w:rPr>
          <w:color w:val="231F20"/>
          <w:w w:val="105"/>
          <w:sz w:val="16"/>
        </w:rPr>
        <w:t xml:space="preserve">  480</w:t>
      </w:r>
      <w:r>
        <w:rPr>
          <w:i/>
          <w:color w:val="231F20"/>
          <w:w w:val="105"/>
          <w:sz w:val="16"/>
        </w:rPr>
        <w:t xml:space="preserve">, </w:t>
      </w:r>
      <w:r>
        <w:rPr>
          <w:color w:val="231F20"/>
          <w:w w:val="105"/>
          <w:sz w:val="16"/>
        </w:rPr>
        <w:t>501</w:t>
      </w:r>
      <w:r>
        <w:rPr>
          <w:i/>
          <w:color w:val="231F20"/>
          <w:w w:val="105"/>
          <w:sz w:val="16"/>
        </w:rPr>
        <w:t xml:space="preserve">, </w:t>
      </w:r>
      <w:r>
        <w:rPr>
          <w:color w:val="231F20"/>
          <w:w w:val="105"/>
          <w:sz w:val="16"/>
        </w:rPr>
        <w:t>530</w:t>
      </w:r>
      <w:r>
        <w:rPr>
          <w:i/>
          <w:color w:val="231F20"/>
          <w:w w:val="105"/>
          <w:sz w:val="16"/>
        </w:rPr>
        <w:t>,</w:t>
      </w:r>
    </w:p>
    <w:p w14:paraId="7DDDF113" w14:textId="77777777" w:rsidR="002653E8" w:rsidRDefault="003115E3">
      <w:pPr>
        <w:spacing w:before="32"/>
        <w:ind w:left="1347"/>
        <w:rPr>
          <w:sz w:val="16"/>
        </w:rPr>
      </w:pPr>
      <w:r>
        <w:rPr>
          <w:color w:val="231F20"/>
          <w:w w:val="105"/>
          <w:sz w:val="16"/>
        </w:rPr>
        <w:t>593</w:t>
      </w:r>
      <w:r>
        <w:rPr>
          <w:i/>
          <w:color w:val="231F20"/>
          <w:w w:val="105"/>
          <w:sz w:val="16"/>
        </w:rPr>
        <w:t xml:space="preserve">, </w:t>
      </w:r>
      <w:r>
        <w:rPr>
          <w:color w:val="231F20"/>
          <w:w w:val="105"/>
          <w:sz w:val="16"/>
        </w:rPr>
        <w:t>607</w:t>
      </w:r>
      <w:r>
        <w:rPr>
          <w:i/>
          <w:color w:val="231F20"/>
          <w:w w:val="105"/>
          <w:sz w:val="16"/>
        </w:rPr>
        <w:t xml:space="preserve">, </w:t>
      </w:r>
      <w:r>
        <w:rPr>
          <w:color w:val="231F20"/>
          <w:w w:val="105"/>
          <w:sz w:val="16"/>
        </w:rPr>
        <w:t>609</w:t>
      </w:r>
      <w:r>
        <w:rPr>
          <w:i/>
          <w:color w:val="231F20"/>
          <w:w w:val="105"/>
          <w:sz w:val="16"/>
        </w:rPr>
        <w:t xml:space="preserve">, </w:t>
      </w:r>
      <w:r>
        <w:rPr>
          <w:color w:val="231F20"/>
          <w:w w:val="105"/>
          <w:sz w:val="16"/>
        </w:rPr>
        <w:t xml:space="preserve">611; and </w:t>
      </w:r>
      <w:r w:rsidR="00C507A5">
        <w:rPr>
          <w:color w:val="231F20"/>
          <w:w w:val="105"/>
          <w:sz w:val="16"/>
        </w:rPr>
        <w:t>red army faction</w:t>
      </w:r>
      <w:r>
        <w:rPr>
          <w:color w:val="231F20"/>
          <w:w w:val="105"/>
          <w:sz w:val="16"/>
        </w:rPr>
        <w:t xml:space="preserve"> prisoners</w:t>
      </w:r>
    </w:p>
    <w:p w14:paraId="46766BCD" w14:textId="77777777" w:rsidR="002653E8" w:rsidRDefault="003115E3">
      <w:pPr>
        <w:spacing w:before="33"/>
        <w:ind w:left="1347"/>
        <w:rPr>
          <w:sz w:val="16"/>
        </w:rPr>
      </w:pPr>
      <w:r>
        <w:rPr>
          <w:color w:val="231F20"/>
          <w:w w:val="105"/>
          <w:sz w:val="16"/>
        </w:rPr>
        <w:t>609</w:t>
      </w:r>
      <w:r>
        <w:rPr>
          <w:i/>
          <w:color w:val="231F20"/>
          <w:w w:val="105"/>
          <w:sz w:val="16"/>
        </w:rPr>
        <w:t xml:space="preserve">, </w:t>
      </w:r>
      <w:r>
        <w:rPr>
          <w:color w:val="231F20"/>
          <w:w w:val="105"/>
          <w:sz w:val="16"/>
        </w:rPr>
        <w:t>610</w:t>
      </w:r>
    </w:p>
    <w:p w14:paraId="481261BA" w14:textId="77777777" w:rsidR="002653E8" w:rsidRPr="00846956" w:rsidRDefault="003115E3">
      <w:pPr>
        <w:spacing w:before="32"/>
        <w:ind w:left="1147"/>
        <w:rPr>
          <w:i/>
          <w:sz w:val="16"/>
          <w:lang w:val="de-DE"/>
        </w:rPr>
      </w:pPr>
      <w:r w:rsidRPr="00846956">
        <w:rPr>
          <w:color w:val="231F20"/>
          <w:w w:val="110"/>
          <w:sz w:val="16"/>
          <w:lang w:val="de-DE"/>
        </w:rPr>
        <w:t>Holocaust</w:t>
      </w:r>
      <w:r w:rsidRPr="00846956">
        <w:rPr>
          <w:color w:val="231F20"/>
          <w:spacing w:val="-9"/>
          <w:w w:val="110"/>
          <w:sz w:val="16"/>
          <w:lang w:val="de-DE"/>
        </w:rPr>
        <w:t xml:space="preserve"> </w:t>
      </w:r>
      <w:r w:rsidRPr="00846956">
        <w:rPr>
          <w:color w:val="231F20"/>
          <w:w w:val="110"/>
          <w:sz w:val="16"/>
          <w:lang w:val="de-DE"/>
        </w:rPr>
        <w:t>3</w:t>
      </w:r>
      <w:r w:rsidRPr="00846956">
        <w:rPr>
          <w:i/>
          <w:color w:val="231F20"/>
          <w:w w:val="110"/>
          <w:sz w:val="16"/>
          <w:lang w:val="de-DE"/>
        </w:rPr>
        <w:t>,</w:t>
      </w:r>
      <w:r w:rsidRPr="00846956">
        <w:rPr>
          <w:i/>
          <w:color w:val="231F20"/>
          <w:spacing w:val="-26"/>
          <w:w w:val="110"/>
          <w:sz w:val="16"/>
          <w:lang w:val="de-DE"/>
        </w:rPr>
        <w:t xml:space="preserve"> </w:t>
      </w:r>
      <w:r w:rsidRPr="00846956">
        <w:rPr>
          <w:color w:val="231F20"/>
          <w:w w:val="110"/>
          <w:sz w:val="16"/>
          <w:lang w:val="de-DE"/>
        </w:rPr>
        <w:t>27</w:t>
      </w:r>
      <w:r w:rsidRPr="00846956">
        <w:rPr>
          <w:i/>
          <w:color w:val="231F20"/>
          <w:w w:val="110"/>
          <w:sz w:val="16"/>
          <w:lang w:val="de-DE"/>
        </w:rPr>
        <w:t>,</w:t>
      </w:r>
      <w:r w:rsidRPr="00846956">
        <w:rPr>
          <w:i/>
          <w:color w:val="231F20"/>
          <w:spacing w:val="-26"/>
          <w:w w:val="110"/>
          <w:sz w:val="16"/>
          <w:lang w:val="de-DE"/>
        </w:rPr>
        <w:t xml:space="preserve"> </w:t>
      </w:r>
      <w:r w:rsidRPr="00846956">
        <w:rPr>
          <w:color w:val="231F20"/>
          <w:w w:val="110"/>
          <w:sz w:val="16"/>
          <w:lang w:val="de-DE"/>
        </w:rPr>
        <w:t>196–197</w:t>
      </w:r>
      <w:r w:rsidRPr="00846956">
        <w:rPr>
          <w:i/>
          <w:color w:val="231F20"/>
          <w:w w:val="110"/>
          <w:sz w:val="16"/>
          <w:lang w:val="de-DE"/>
        </w:rPr>
        <w:t>,</w:t>
      </w:r>
      <w:r w:rsidRPr="00846956">
        <w:rPr>
          <w:i/>
          <w:color w:val="231F20"/>
          <w:spacing w:val="-26"/>
          <w:w w:val="110"/>
          <w:sz w:val="16"/>
          <w:lang w:val="de-DE"/>
        </w:rPr>
        <w:t xml:space="preserve"> </w:t>
      </w:r>
      <w:r w:rsidRPr="00846956">
        <w:rPr>
          <w:color w:val="231F20"/>
          <w:w w:val="110"/>
          <w:sz w:val="16"/>
          <w:lang w:val="de-DE"/>
        </w:rPr>
        <w:t>544–547</w:t>
      </w:r>
      <w:r w:rsidRPr="00846956">
        <w:rPr>
          <w:i/>
          <w:color w:val="231F20"/>
          <w:w w:val="110"/>
          <w:sz w:val="16"/>
          <w:lang w:val="de-DE"/>
        </w:rPr>
        <w:t>,</w:t>
      </w:r>
      <w:r w:rsidRPr="00846956">
        <w:rPr>
          <w:i/>
          <w:color w:val="231F20"/>
          <w:spacing w:val="-26"/>
          <w:w w:val="110"/>
          <w:sz w:val="16"/>
          <w:lang w:val="de-DE"/>
        </w:rPr>
        <w:t xml:space="preserve"> </w:t>
      </w:r>
      <w:r w:rsidRPr="00846956">
        <w:rPr>
          <w:color w:val="231F20"/>
          <w:w w:val="110"/>
          <w:sz w:val="16"/>
          <w:lang w:val="de-DE"/>
        </w:rPr>
        <w:t>550</w:t>
      </w:r>
      <w:r w:rsidRPr="00846956">
        <w:rPr>
          <w:i/>
          <w:color w:val="231F20"/>
          <w:w w:val="110"/>
          <w:sz w:val="16"/>
          <w:lang w:val="de-DE"/>
        </w:rPr>
        <w:t>,</w:t>
      </w:r>
    </w:p>
    <w:p w14:paraId="043BF6A3" w14:textId="77777777" w:rsidR="002653E8" w:rsidRPr="00846956" w:rsidRDefault="003115E3">
      <w:pPr>
        <w:spacing w:before="33"/>
        <w:ind w:left="1347"/>
        <w:rPr>
          <w:sz w:val="16"/>
          <w:lang w:val="de-DE"/>
        </w:rPr>
      </w:pPr>
      <w:r w:rsidRPr="00846956">
        <w:rPr>
          <w:color w:val="231F20"/>
          <w:sz w:val="16"/>
          <w:lang w:val="de-DE"/>
        </w:rPr>
        <w:t>551</w:t>
      </w:r>
    </w:p>
    <w:p w14:paraId="0B718B6F" w14:textId="77777777" w:rsidR="002653E8" w:rsidRPr="00846956" w:rsidRDefault="003115E3">
      <w:pPr>
        <w:spacing w:before="32"/>
        <w:ind w:left="1147"/>
        <w:rPr>
          <w:sz w:val="16"/>
          <w:lang w:val="de-DE"/>
        </w:rPr>
      </w:pPr>
      <w:r w:rsidRPr="00846956">
        <w:rPr>
          <w:color w:val="231F20"/>
          <w:w w:val="105"/>
          <w:sz w:val="16"/>
          <w:lang w:val="de-DE"/>
        </w:rPr>
        <w:t>Homann, Peter 155</w:t>
      </w:r>
      <w:r w:rsidRPr="00846956">
        <w:rPr>
          <w:i/>
          <w:color w:val="231F20"/>
          <w:w w:val="105"/>
          <w:sz w:val="16"/>
          <w:lang w:val="de-DE"/>
        </w:rPr>
        <w:t xml:space="preserve">, </w:t>
      </w:r>
      <w:r w:rsidRPr="00846956">
        <w:rPr>
          <w:color w:val="231F20"/>
          <w:w w:val="105"/>
          <w:sz w:val="16"/>
          <w:lang w:val="de-DE"/>
        </w:rPr>
        <w:t>161</w:t>
      </w:r>
      <w:r w:rsidRPr="00846956">
        <w:rPr>
          <w:i/>
          <w:color w:val="231F20"/>
          <w:w w:val="105"/>
          <w:sz w:val="16"/>
          <w:lang w:val="de-DE"/>
        </w:rPr>
        <w:t xml:space="preserve">, </w:t>
      </w:r>
      <w:r w:rsidRPr="00846956">
        <w:rPr>
          <w:color w:val="231F20"/>
          <w:w w:val="105"/>
          <w:sz w:val="16"/>
          <w:lang w:val="de-DE"/>
        </w:rPr>
        <w:t>569; and Mein-</w:t>
      </w:r>
    </w:p>
    <w:p w14:paraId="1DFEC7FD" w14:textId="77777777" w:rsidR="002653E8" w:rsidRDefault="003115E3">
      <w:pPr>
        <w:spacing w:before="32" w:line="280" w:lineRule="auto"/>
        <w:ind w:left="1347" w:right="80"/>
        <w:rPr>
          <w:sz w:val="16"/>
        </w:rPr>
      </w:pPr>
      <w:r>
        <w:rPr>
          <w:color w:val="231F20"/>
          <w:sz w:val="16"/>
        </w:rPr>
        <w:t>hof’s daughters 118–119</w:t>
      </w:r>
      <w:r>
        <w:rPr>
          <w:i/>
          <w:color w:val="231F20"/>
          <w:sz w:val="16"/>
        </w:rPr>
        <w:t xml:space="preserve">, </w:t>
      </w:r>
      <w:r>
        <w:rPr>
          <w:color w:val="231F20"/>
          <w:sz w:val="16"/>
        </w:rPr>
        <w:t xml:space="preserve">557–558; mentioned by </w:t>
      </w:r>
      <w:r w:rsidR="00C507A5">
        <w:rPr>
          <w:color w:val="231F20"/>
          <w:sz w:val="16"/>
        </w:rPr>
        <w:t>red army faction</w:t>
      </w:r>
      <w:r>
        <w:rPr>
          <w:color w:val="231F20"/>
          <w:sz w:val="16"/>
        </w:rPr>
        <w:t xml:space="preserve"> 155</w:t>
      </w:r>
    </w:p>
    <w:p w14:paraId="524B0442" w14:textId="77777777" w:rsidR="002653E8" w:rsidRDefault="003115E3">
      <w:pPr>
        <w:spacing w:before="1"/>
        <w:ind w:left="1147"/>
        <w:rPr>
          <w:sz w:val="16"/>
        </w:rPr>
      </w:pPr>
      <w:r>
        <w:rPr>
          <w:color w:val="231F20"/>
          <w:w w:val="105"/>
          <w:sz w:val="16"/>
        </w:rPr>
        <w:t>Hoppe, Werner 405</w:t>
      </w:r>
      <w:r>
        <w:rPr>
          <w:i/>
          <w:color w:val="231F20"/>
          <w:w w:val="105"/>
          <w:sz w:val="16"/>
        </w:rPr>
        <w:t xml:space="preserve">, </w:t>
      </w:r>
      <w:r>
        <w:rPr>
          <w:color w:val="231F20"/>
          <w:w w:val="105"/>
          <w:sz w:val="16"/>
        </w:rPr>
        <w:t>569</w:t>
      </w:r>
      <w:r>
        <w:rPr>
          <w:i/>
          <w:color w:val="231F20"/>
          <w:w w:val="105"/>
          <w:sz w:val="16"/>
        </w:rPr>
        <w:t xml:space="preserve">, </w:t>
      </w:r>
      <w:r>
        <w:rPr>
          <w:color w:val="231F20"/>
          <w:w w:val="105"/>
          <w:sz w:val="16"/>
        </w:rPr>
        <w:t>612; captured</w:t>
      </w:r>
    </w:p>
    <w:p w14:paraId="22EF3F88" w14:textId="77777777" w:rsidR="002653E8" w:rsidRDefault="003115E3">
      <w:pPr>
        <w:spacing w:before="33"/>
        <w:ind w:left="1347"/>
        <w:rPr>
          <w:i/>
          <w:sz w:val="16"/>
        </w:rPr>
      </w:pPr>
      <w:r>
        <w:rPr>
          <w:color w:val="231F20"/>
          <w:w w:val="105"/>
          <w:sz w:val="16"/>
        </w:rPr>
        <w:t>(1971) 107</w:t>
      </w:r>
      <w:r>
        <w:rPr>
          <w:i/>
          <w:color w:val="231F20"/>
          <w:w w:val="105"/>
          <w:sz w:val="16"/>
        </w:rPr>
        <w:t xml:space="preserve">, </w:t>
      </w:r>
      <w:r>
        <w:rPr>
          <w:color w:val="231F20"/>
          <w:w w:val="105"/>
          <w:sz w:val="16"/>
        </w:rPr>
        <w:t>587; isolation 301</w:t>
      </w:r>
      <w:r>
        <w:rPr>
          <w:i/>
          <w:color w:val="231F20"/>
          <w:w w:val="105"/>
          <w:sz w:val="16"/>
        </w:rPr>
        <w:t xml:space="preserve">, </w:t>
      </w:r>
      <w:r>
        <w:rPr>
          <w:color w:val="231F20"/>
          <w:w w:val="105"/>
          <w:sz w:val="16"/>
        </w:rPr>
        <w:t>611</w:t>
      </w:r>
      <w:r>
        <w:rPr>
          <w:i/>
          <w:color w:val="231F20"/>
          <w:w w:val="105"/>
          <w:sz w:val="16"/>
        </w:rPr>
        <w:t>,</w:t>
      </w:r>
    </w:p>
    <w:p w14:paraId="4F64F8EE" w14:textId="77777777" w:rsidR="002653E8" w:rsidRDefault="003115E3">
      <w:pPr>
        <w:spacing w:before="32"/>
        <w:ind w:left="1347"/>
        <w:rPr>
          <w:i/>
          <w:sz w:val="16"/>
        </w:rPr>
      </w:pPr>
      <w:r>
        <w:rPr>
          <w:color w:val="231F20"/>
          <w:w w:val="105"/>
          <w:sz w:val="16"/>
        </w:rPr>
        <w:t>612; release demanded 339</w:t>
      </w:r>
      <w:r>
        <w:rPr>
          <w:i/>
          <w:color w:val="231F20"/>
          <w:w w:val="105"/>
          <w:sz w:val="16"/>
        </w:rPr>
        <w:t xml:space="preserve">, </w:t>
      </w:r>
      <w:r>
        <w:rPr>
          <w:color w:val="231F20"/>
          <w:w w:val="105"/>
          <w:sz w:val="16"/>
        </w:rPr>
        <w:t>440</w:t>
      </w:r>
      <w:r>
        <w:rPr>
          <w:i/>
          <w:color w:val="231F20"/>
          <w:w w:val="105"/>
          <w:sz w:val="16"/>
        </w:rPr>
        <w:t xml:space="preserve">, </w:t>
      </w:r>
      <w:r>
        <w:rPr>
          <w:color w:val="231F20"/>
          <w:w w:val="105"/>
          <w:sz w:val="16"/>
        </w:rPr>
        <w:t>498</w:t>
      </w:r>
      <w:r>
        <w:rPr>
          <w:i/>
          <w:color w:val="231F20"/>
          <w:w w:val="105"/>
          <w:sz w:val="16"/>
        </w:rPr>
        <w:t>,</w:t>
      </w:r>
    </w:p>
    <w:p w14:paraId="6FAEA8F6" w14:textId="77777777" w:rsidR="002653E8" w:rsidRPr="00846956" w:rsidRDefault="003115E3">
      <w:pPr>
        <w:spacing w:before="33"/>
        <w:ind w:left="1347"/>
        <w:rPr>
          <w:sz w:val="16"/>
          <w:lang w:val="de-DE"/>
        </w:rPr>
      </w:pPr>
      <w:r w:rsidRPr="00846956">
        <w:rPr>
          <w:color w:val="231F20"/>
          <w:sz w:val="16"/>
          <w:lang w:val="de-DE"/>
        </w:rPr>
        <w:t>505; in Stammheim 474</w:t>
      </w:r>
      <w:r w:rsidRPr="00846956">
        <w:rPr>
          <w:i/>
          <w:color w:val="231F20"/>
          <w:sz w:val="16"/>
          <w:lang w:val="de-DE"/>
        </w:rPr>
        <w:t xml:space="preserve">, </w:t>
      </w:r>
      <w:r w:rsidRPr="00846956">
        <w:rPr>
          <w:color w:val="231F20"/>
          <w:sz w:val="16"/>
          <w:lang w:val="de-DE"/>
        </w:rPr>
        <w:t>605; trial</w:t>
      </w:r>
    </w:p>
    <w:p w14:paraId="1A94D1CB" w14:textId="77777777" w:rsidR="002653E8" w:rsidRPr="00846956" w:rsidRDefault="003115E3">
      <w:pPr>
        <w:spacing w:before="32"/>
        <w:ind w:left="1347"/>
        <w:rPr>
          <w:sz w:val="16"/>
          <w:lang w:val="de-DE"/>
        </w:rPr>
      </w:pPr>
      <w:r w:rsidRPr="00846956">
        <w:rPr>
          <w:color w:val="231F20"/>
          <w:sz w:val="16"/>
          <w:lang w:val="de-DE"/>
        </w:rPr>
        <w:t>(1972) 592</w:t>
      </w:r>
    </w:p>
    <w:p w14:paraId="5A4105ED" w14:textId="77777777" w:rsidR="002653E8" w:rsidRPr="00846956" w:rsidRDefault="003115E3">
      <w:pPr>
        <w:spacing w:before="33" w:line="280" w:lineRule="auto"/>
        <w:ind w:left="1147" w:right="447"/>
        <w:rPr>
          <w:sz w:val="16"/>
          <w:lang w:val="de-DE"/>
        </w:rPr>
      </w:pPr>
      <w:r w:rsidRPr="00846956">
        <w:rPr>
          <w:color w:val="231F20"/>
          <w:w w:val="105"/>
          <w:sz w:val="16"/>
          <w:lang w:val="de-DE"/>
        </w:rPr>
        <w:t>Horchem, Hans Josef 386 Horkheimer, Max 24</w:t>
      </w:r>
    </w:p>
    <w:p w14:paraId="0B8D433F" w14:textId="77777777" w:rsidR="002653E8" w:rsidRDefault="003115E3">
      <w:pPr>
        <w:spacing w:before="1"/>
        <w:ind w:left="1147"/>
        <w:rPr>
          <w:sz w:val="16"/>
        </w:rPr>
      </w:pPr>
      <w:r>
        <w:rPr>
          <w:color w:val="231F20"/>
          <w:w w:val="105"/>
          <w:sz w:val="16"/>
        </w:rPr>
        <w:t>Housing Coucil 264</w:t>
      </w:r>
    </w:p>
    <w:p w14:paraId="45597BD0" w14:textId="77777777" w:rsidR="002653E8" w:rsidRDefault="003115E3">
      <w:pPr>
        <w:spacing w:before="32"/>
        <w:ind w:left="1147"/>
        <w:rPr>
          <w:sz w:val="16"/>
        </w:rPr>
      </w:pPr>
      <w:r>
        <w:rPr>
          <w:color w:val="231F20"/>
          <w:w w:val="105"/>
          <w:sz w:val="16"/>
        </w:rPr>
        <w:t>Howeida, Amir Abbas 125</w:t>
      </w:r>
      <w:r>
        <w:rPr>
          <w:i/>
          <w:color w:val="231F20"/>
          <w:w w:val="105"/>
          <w:sz w:val="16"/>
        </w:rPr>
        <w:t xml:space="preserve">, </w:t>
      </w:r>
      <w:r>
        <w:rPr>
          <w:color w:val="231F20"/>
          <w:w w:val="105"/>
          <w:sz w:val="16"/>
        </w:rPr>
        <w:t>127</w:t>
      </w:r>
      <w:r>
        <w:rPr>
          <w:i/>
          <w:color w:val="231F20"/>
          <w:w w:val="105"/>
          <w:sz w:val="16"/>
        </w:rPr>
        <w:t xml:space="preserve">, </w:t>
      </w:r>
      <w:r>
        <w:rPr>
          <w:color w:val="231F20"/>
          <w:w w:val="105"/>
          <w:sz w:val="16"/>
        </w:rPr>
        <w:t>179</w:t>
      </w:r>
    </w:p>
    <w:p w14:paraId="14EFAFAF" w14:textId="77777777" w:rsidR="002653E8" w:rsidRPr="00846956" w:rsidRDefault="003115E3">
      <w:pPr>
        <w:spacing w:before="32"/>
        <w:ind w:left="1147"/>
        <w:rPr>
          <w:sz w:val="16"/>
          <w:lang w:val="de-DE"/>
        </w:rPr>
      </w:pPr>
      <w:r w:rsidRPr="00846956">
        <w:rPr>
          <w:color w:val="231F20"/>
          <w:w w:val="105"/>
          <w:sz w:val="16"/>
          <w:lang w:val="de-DE"/>
        </w:rPr>
        <w:t>Huber, Wolfgang 108</w:t>
      </w:r>
    </w:p>
    <w:p w14:paraId="4A338D3D" w14:textId="77777777" w:rsidR="002653E8" w:rsidRPr="00846956" w:rsidRDefault="003115E3">
      <w:pPr>
        <w:spacing w:before="33"/>
        <w:ind w:left="1147"/>
        <w:rPr>
          <w:sz w:val="16"/>
          <w:lang w:val="de-DE"/>
        </w:rPr>
      </w:pPr>
      <w:r w:rsidRPr="00846956">
        <w:rPr>
          <w:i/>
          <w:color w:val="231F20"/>
          <w:w w:val="105"/>
          <w:sz w:val="16"/>
          <w:lang w:val="de-DE"/>
        </w:rPr>
        <w:t xml:space="preserve">l’Humanité </w:t>
      </w:r>
      <w:r w:rsidRPr="00846956">
        <w:rPr>
          <w:color w:val="231F20"/>
          <w:w w:val="105"/>
          <w:sz w:val="16"/>
          <w:lang w:val="de-DE"/>
        </w:rPr>
        <w:t>402</w:t>
      </w:r>
    </w:p>
    <w:p w14:paraId="36BE2DA2" w14:textId="77777777" w:rsidR="002653E8" w:rsidRPr="00846956" w:rsidRDefault="003115E3">
      <w:pPr>
        <w:spacing w:before="32"/>
        <w:ind w:left="1147"/>
        <w:rPr>
          <w:sz w:val="16"/>
          <w:lang w:val="de-DE"/>
        </w:rPr>
      </w:pPr>
      <w:r w:rsidRPr="00846956">
        <w:rPr>
          <w:color w:val="231F20"/>
          <w:w w:val="105"/>
          <w:sz w:val="16"/>
          <w:lang w:val="de-DE"/>
        </w:rPr>
        <w:t>Humphrey, Hubert 580</w:t>
      </w:r>
    </w:p>
    <w:p w14:paraId="38E97CD7" w14:textId="77777777" w:rsidR="002653E8" w:rsidRDefault="003115E3">
      <w:pPr>
        <w:spacing w:before="33" w:line="280" w:lineRule="auto"/>
        <w:ind w:left="1147" w:right="210" w:hanging="1"/>
        <w:rPr>
          <w:sz w:val="16"/>
        </w:rPr>
      </w:pPr>
      <w:r>
        <w:rPr>
          <w:color w:val="231F20"/>
          <w:sz w:val="16"/>
        </w:rPr>
        <w:t>Hussein (king) 56</w:t>
      </w:r>
      <w:r>
        <w:rPr>
          <w:i/>
          <w:color w:val="231F20"/>
          <w:sz w:val="16"/>
        </w:rPr>
        <w:t xml:space="preserve">. See also </w:t>
      </w:r>
      <w:r>
        <w:rPr>
          <w:color w:val="231F20"/>
          <w:sz w:val="16"/>
        </w:rPr>
        <w:t>Jordan Hutter (prison doctor) 260</w:t>
      </w:r>
      <w:r>
        <w:rPr>
          <w:i/>
          <w:color w:val="231F20"/>
          <w:sz w:val="16"/>
        </w:rPr>
        <w:t xml:space="preserve">, </w:t>
      </w:r>
      <w:r>
        <w:rPr>
          <w:color w:val="231F20"/>
          <w:sz w:val="16"/>
        </w:rPr>
        <w:t>304–305</w:t>
      </w:r>
    </w:p>
    <w:p w14:paraId="7067078A" w14:textId="77777777" w:rsidR="002653E8" w:rsidRPr="00846956" w:rsidRDefault="003115E3">
      <w:pPr>
        <w:spacing w:before="86"/>
        <w:ind w:left="243"/>
        <w:rPr>
          <w:sz w:val="16"/>
          <w:lang w:val="de-DE"/>
        </w:rPr>
      </w:pPr>
      <w:r w:rsidRPr="006918DA">
        <w:rPr>
          <w:lang w:val="de-DE"/>
        </w:rPr>
        <w:br w:type="column"/>
      </w:r>
      <w:r w:rsidRPr="00846956">
        <w:rPr>
          <w:color w:val="231F20"/>
          <w:w w:val="110"/>
          <w:sz w:val="16"/>
          <w:lang w:val="de-DE"/>
        </w:rPr>
        <w:t>IG Chemie 134</w:t>
      </w:r>
      <w:r w:rsidRPr="00846956">
        <w:rPr>
          <w:i/>
          <w:color w:val="231F20"/>
          <w:w w:val="110"/>
          <w:sz w:val="16"/>
          <w:lang w:val="de-DE"/>
        </w:rPr>
        <w:t xml:space="preserve">, </w:t>
      </w:r>
      <w:r w:rsidRPr="00846956">
        <w:rPr>
          <w:color w:val="231F20"/>
          <w:w w:val="110"/>
          <w:sz w:val="16"/>
          <w:lang w:val="de-DE"/>
        </w:rPr>
        <w:t>135</w:t>
      </w:r>
      <w:r w:rsidRPr="00846956">
        <w:rPr>
          <w:i/>
          <w:color w:val="231F20"/>
          <w:w w:val="110"/>
          <w:sz w:val="16"/>
          <w:lang w:val="de-DE"/>
        </w:rPr>
        <w:t xml:space="preserve">, </w:t>
      </w:r>
      <w:r w:rsidRPr="00846956">
        <w:rPr>
          <w:color w:val="231F20"/>
          <w:w w:val="110"/>
          <w:sz w:val="16"/>
          <w:lang w:val="de-DE"/>
        </w:rPr>
        <w:t>136</w:t>
      </w:r>
      <w:r w:rsidRPr="00846956">
        <w:rPr>
          <w:i/>
          <w:color w:val="231F20"/>
          <w:w w:val="110"/>
          <w:sz w:val="16"/>
          <w:lang w:val="de-DE"/>
        </w:rPr>
        <w:t xml:space="preserve">, </w:t>
      </w:r>
      <w:r w:rsidRPr="00846956">
        <w:rPr>
          <w:color w:val="231F20"/>
          <w:w w:val="110"/>
          <w:sz w:val="16"/>
          <w:lang w:val="de-DE"/>
        </w:rPr>
        <w:t>137</w:t>
      </w:r>
      <w:r w:rsidRPr="00846956">
        <w:rPr>
          <w:i/>
          <w:color w:val="231F20"/>
          <w:w w:val="110"/>
          <w:sz w:val="16"/>
          <w:lang w:val="de-DE"/>
        </w:rPr>
        <w:t xml:space="preserve">, </w:t>
      </w:r>
      <w:r w:rsidRPr="00846956">
        <w:rPr>
          <w:color w:val="231F20"/>
          <w:w w:val="110"/>
          <w:sz w:val="16"/>
          <w:lang w:val="de-DE"/>
        </w:rPr>
        <w:t>138</w:t>
      </w:r>
    </w:p>
    <w:p w14:paraId="3B992541" w14:textId="77777777" w:rsidR="002653E8" w:rsidRPr="00846956" w:rsidRDefault="003115E3">
      <w:pPr>
        <w:spacing w:before="33"/>
        <w:ind w:left="243"/>
        <w:rPr>
          <w:sz w:val="16"/>
          <w:lang w:val="de-DE"/>
        </w:rPr>
      </w:pPr>
      <w:r w:rsidRPr="00846956">
        <w:rPr>
          <w:color w:val="231F20"/>
          <w:w w:val="110"/>
          <w:sz w:val="16"/>
          <w:lang w:val="de-DE"/>
        </w:rPr>
        <w:t>IG Metall 22</w:t>
      </w:r>
      <w:r w:rsidRPr="00846956">
        <w:rPr>
          <w:i/>
          <w:color w:val="231F20"/>
          <w:w w:val="110"/>
          <w:sz w:val="16"/>
          <w:lang w:val="de-DE"/>
        </w:rPr>
        <w:t xml:space="preserve">, </w:t>
      </w:r>
      <w:r w:rsidRPr="00846956">
        <w:rPr>
          <w:color w:val="231F20"/>
          <w:w w:val="110"/>
          <w:sz w:val="16"/>
          <w:lang w:val="de-DE"/>
        </w:rPr>
        <w:t>136</w:t>
      </w:r>
      <w:r w:rsidRPr="00846956">
        <w:rPr>
          <w:i/>
          <w:color w:val="231F20"/>
          <w:w w:val="110"/>
          <w:sz w:val="16"/>
          <w:lang w:val="de-DE"/>
        </w:rPr>
        <w:t xml:space="preserve">, </w:t>
      </w:r>
      <w:r w:rsidRPr="00846956">
        <w:rPr>
          <w:color w:val="231F20"/>
          <w:w w:val="110"/>
          <w:sz w:val="16"/>
          <w:lang w:val="de-DE"/>
        </w:rPr>
        <w:t>248</w:t>
      </w:r>
    </w:p>
    <w:p w14:paraId="7D370CA5" w14:textId="77777777" w:rsidR="002653E8" w:rsidRPr="00846956" w:rsidRDefault="003115E3">
      <w:pPr>
        <w:spacing w:before="32"/>
        <w:ind w:left="243"/>
        <w:rPr>
          <w:sz w:val="16"/>
          <w:lang w:val="de-DE"/>
        </w:rPr>
      </w:pPr>
      <w:r w:rsidRPr="00846956">
        <w:rPr>
          <w:color w:val="231F20"/>
          <w:w w:val="110"/>
          <w:sz w:val="16"/>
          <w:lang w:val="de-DE"/>
        </w:rPr>
        <w:t>Il Manifesto 87</w:t>
      </w:r>
      <w:r w:rsidRPr="00846956">
        <w:rPr>
          <w:i/>
          <w:color w:val="231F20"/>
          <w:w w:val="110"/>
          <w:sz w:val="16"/>
          <w:lang w:val="de-DE"/>
        </w:rPr>
        <w:t xml:space="preserve">, </w:t>
      </w:r>
      <w:r w:rsidRPr="00846956">
        <w:rPr>
          <w:color w:val="231F20"/>
          <w:w w:val="110"/>
          <w:sz w:val="16"/>
          <w:lang w:val="de-DE"/>
        </w:rPr>
        <w:t>89</w:t>
      </w:r>
      <w:r w:rsidRPr="00846956">
        <w:rPr>
          <w:i/>
          <w:color w:val="231F20"/>
          <w:w w:val="110"/>
          <w:sz w:val="16"/>
          <w:lang w:val="de-DE"/>
        </w:rPr>
        <w:t xml:space="preserve">, </w:t>
      </w:r>
      <w:r w:rsidRPr="00846956">
        <w:rPr>
          <w:color w:val="231F20"/>
          <w:w w:val="110"/>
          <w:sz w:val="16"/>
          <w:lang w:val="de-DE"/>
        </w:rPr>
        <w:t>91</w:t>
      </w:r>
      <w:r w:rsidRPr="00846956">
        <w:rPr>
          <w:i/>
          <w:color w:val="231F20"/>
          <w:w w:val="110"/>
          <w:sz w:val="16"/>
          <w:lang w:val="de-DE"/>
        </w:rPr>
        <w:t xml:space="preserve">, </w:t>
      </w:r>
      <w:r w:rsidRPr="00846956">
        <w:rPr>
          <w:color w:val="231F20"/>
          <w:w w:val="110"/>
          <w:sz w:val="16"/>
          <w:lang w:val="de-DE"/>
        </w:rPr>
        <w:t>100</w:t>
      </w:r>
    </w:p>
    <w:p w14:paraId="43ED1492" w14:textId="77777777" w:rsidR="002653E8" w:rsidRDefault="003115E3">
      <w:pPr>
        <w:spacing w:before="33"/>
        <w:ind w:left="243"/>
        <w:rPr>
          <w:sz w:val="16"/>
        </w:rPr>
      </w:pPr>
      <w:r>
        <w:rPr>
          <w:color w:val="231F20"/>
          <w:sz w:val="16"/>
        </w:rPr>
        <w:t>IMF World Economic Summit (1992) 622</w:t>
      </w:r>
    </w:p>
    <w:p w14:paraId="793AFDFA" w14:textId="77777777" w:rsidR="002653E8" w:rsidRDefault="003115E3">
      <w:pPr>
        <w:spacing w:before="32" w:line="280" w:lineRule="auto"/>
        <w:ind w:left="443" w:right="1335" w:hanging="200"/>
        <w:rPr>
          <w:sz w:val="16"/>
        </w:rPr>
      </w:pPr>
      <w:r>
        <w:rPr>
          <w:color w:val="231F20"/>
          <w:w w:val="105"/>
          <w:sz w:val="16"/>
        </w:rPr>
        <w:t>immigrant workers 9</w:t>
      </w:r>
      <w:r>
        <w:rPr>
          <w:i/>
          <w:color w:val="231F20"/>
          <w:w w:val="105"/>
          <w:sz w:val="16"/>
        </w:rPr>
        <w:t xml:space="preserve">, </w:t>
      </w:r>
      <w:r>
        <w:rPr>
          <w:color w:val="231F20"/>
          <w:w w:val="105"/>
          <w:sz w:val="16"/>
        </w:rPr>
        <w:t>10</w:t>
      </w:r>
      <w:r>
        <w:rPr>
          <w:i/>
          <w:color w:val="231F20"/>
          <w:w w:val="105"/>
          <w:sz w:val="16"/>
        </w:rPr>
        <w:t xml:space="preserve">, </w:t>
      </w:r>
      <w:r>
        <w:rPr>
          <w:color w:val="231F20"/>
          <w:w w:val="105"/>
          <w:sz w:val="16"/>
        </w:rPr>
        <w:t>29</w:t>
      </w:r>
      <w:r>
        <w:rPr>
          <w:i/>
          <w:color w:val="231F20"/>
          <w:w w:val="105"/>
          <w:sz w:val="16"/>
        </w:rPr>
        <w:t xml:space="preserve">, </w:t>
      </w:r>
      <w:r>
        <w:rPr>
          <w:color w:val="231F20"/>
          <w:w w:val="105"/>
          <w:sz w:val="16"/>
        </w:rPr>
        <w:t>118</w:t>
      </w:r>
      <w:r>
        <w:rPr>
          <w:i/>
          <w:color w:val="231F20"/>
          <w:w w:val="105"/>
          <w:sz w:val="16"/>
        </w:rPr>
        <w:t>. See also</w:t>
      </w:r>
      <w:r>
        <w:rPr>
          <w:i/>
          <w:color w:val="231F20"/>
          <w:spacing w:val="-12"/>
          <w:w w:val="105"/>
          <w:sz w:val="16"/>
        </w:rPr>
        <w:t xml:space="preserve"> </w:t>
      </w:r>
      <w:r>
        <w:rPr>
          <w:color w:val="231F20"/>
          <w:w w:val="105"/>
          <w:sz w:val="16"/>
        </w:rPr>
        <w:t>Foreigners</w:t>
      </w:r>
      <w:r>
        <w:rPr>
          <w:color w:val="231F20"/>
          <w:spacing w:val="-16"/>
          <w:w w:val="105"/>
          <w:sz w:val="16"/>
        </w:rPr>
        <w:t xml:space="preserve"> </w:t>
      </w:r>
      <w:r>
        <w:rPr>
          <w:color w:val="231F20"/>
          <w:w w:val="105"/>
          <w:sz w:val="16"/>
        </w:rPr>
        <w:t>Act;</w:t>
      </w:r>
      <w:r>
        <w:rPr>
          <w:color w:val="231F20"/>
          <w:spacing w:val="-12"/>
          <w:w w:val="105"/>
          <w:sz w:val="16"/>
        </w:rPr>
        <w:t xml:space="preserve"> </w:t>
      </w:r>
      <w:r>
        <w:rPr>
          <w:color w:val="231F20"/>
          <w:w w:val="105"/>
          <w:sz w:val="16"/>
        </w:rPr>
        <w:t>mentioned</w:t>
      </w:r>
      <w:r>
        <w:rPr>
          <w:color w:val="231F20"/>
          <w:spacing w:val="-12"/>
          <w:w w:val="105"/>
          <w:sz w:val="16"/>
        </w:rPr>
        <w:t xml:space="preserve"> </w:t>
      </w:r>
      <w:r>
        <w:rPr>
          <w:color w:val="231F20"/>
          <w:w w:val="105"/>
          <w:sz w:val="16"/>
        </w:rPr>
        <w:t>by</w:t>
      </w:r>
      <w:r>
        <w:rPr>
          <w:color w:val="231F20"/>
          <w:spacing w:val="-12"/>
          <w:w w:val="105"/>
          <w:sz w:val="16"/>
        </w:rPr>
        <w:t xml:space="preserve"> </w:t>
      </w:r>
      <w:r w:rsidR="00C507A5">
        <w:rPr>
          <w:color w:val="231F20"/>
          <w:w w:val="105"/>
          <w:sz w:val="16"/>
        </w:rPr>
        <w:t>red army faction</w:t>
      </w:r>
      <w:r>
        <w:rPr>
          <w:color w:val="231F20"/>
          <w:w w:val="105"/>
          <w:sz w:val="16"/>
        </w:rPr>
        <w:t xml:space="preserve"> 125</w:t>
      </w:r>
      <w:r>
        <w:rPr>
          <w:i/>
          <w:color w:val="231F20"/>
          <w:w w:val="105"/>
          <w:sz w:val="16"/>
        </w:rPr>
        <w:t>,</w:t>
      </w:r>
      <w:r>
        <w:rPr>
          <w:i/>
          <w:color w:val="231F20"/>
          <w:spacing w:val="-8"/>
          <w:w w:val="105"/>
          <w:sz w:val="16"/>
        </w:rPr>
        <w:t xml:space="preserve"> </w:t>
      </w:r>
      <w:r>
        <w:rPr>
          <w:color w:val="231F20"/>
          <w:w w:val="105"/>
          <w:sz w:val="16"/>
        </w:rPr>
        <w:t>140</w:t>
      </w:r>
      <w:r>
        <w:rPr>
          <w:i/>
          <w:color w:val="231F20"/>
          <w:w w:val="105"/>
          <w:sz w:val="16"/>
        </w:rPr>
        <w:t>,</w:t>
      </w:r>
      <w:r>
        <w:rPr>
          <w:i/>
          <w:color w:val="231F20"/>
          <w:spacing w:val="-8"/>
          <w:w w:val="105"/>
          <w:sz w:val="16"/>
        </w:rPr>
        <w:t xml:space="preserve"> </w:t>
      </w:r>
      <w:r>
        <w:rPr>
          <w:color w:val="231F20"/>
          <w:w w:val="105"/>
          <w:sz w:val="16"/>
        </w:rPr>
        <w:t>150</w:t>
      </w:r>
      <w:r>
        <w:rPr>
          <w:i/>
          <w:color w:val="231F20"/>
          <w:w w:val="105"/>
          <w:sz w:val="16"/>
        </w:rPr>
        <w:t>,</w:t>
      </w:r>
      <w:r>
        <w:rPr>
          <w:i/>
          <w:color w:val="231F20"/>
          <w:spacing w:val="-8"/>
          <w:w w:val="105"/>
          <w:sz w:val="16"/>
        </w:rPr>
        <w:t xml:space="preserve"> </w:t>
      </w:r>
      <w:r>
        <w:rPr>
          <w:color w:val="231F20"/>
          <w:w w:val="105"/>
          <w:sz w:val="16"/>
        </w:rPr>
        <w:t>175</w:t>
      </w:r>
      <w:r>
        <w:rPr>
          <w:i/>
          <w:color w:val="231F20"/>
          <w:w w:val="105"/>
          <w:sz w:val="16"/>
        </w:rPr>
        <w:t>,</w:t>
      </w:r>
      <w:r>
        <w:rPr>
          <w:i/>
          <w:color w:val="231F20"/>
          <w:spacing w:val="-8"/>
          <w:w w:val="105"/>
          <w:sz w:val="16"/>
        </w:rPr>
        <w:t xml:space="preserve"> </w:t>
      </w:r>
      <w:r>
        <w:rPr>
          <w:color w:val="231F20"/>
          <w:w w:val="105"/>
          <w:sz w:val="16"/>
        </w:rPr>
        <w:t>229</w:t>
      </w:r>
      <w:r>
        <w:rPr>
          <w:i/>
          <w:color w:val="231F20"/>
          <w:w w:val="105"/>
          <w:sz w:val="16"/>
        </w:rPr>
        <w:t>,</w:t>
      </w:r>
      <w:r>
        <w:rPr>
          <w:i/>
          <w:color w:val="231F20"/>
          <w:spacing w:val="-8"/>
          <w:w w:val="105"/>
          <w:sz w:val="16"/>
        </w:rPr>
        <w:t xml:space="preserve"> </w:t>
      </w:r>
      <w:r>
        <w:rPr>
          <w:color w:val="231F20"/>
          <w:w w:val="105"/>
          <w:sz w:val="16"/>
        </w:rPr>
        <w:t>361;</w:t>
      </w:r>
      <w:r>
        <w:rPr>
          <w:color w:val="231F20"/>
          <w:spacing w:val="-4"/>
          <w:w w:val="105"/>
          <w:sz w:val="16"/>
        </w:rPr>
        <w:t xml:space="preserve"> </w:t>
      </w:r>
      <w:r>
        <w:rPr>
          <w:color w:val="231F20"/>
          <w:w w:val="105"/>
          <w:sz w:val="16"/>
        </w:rPr>
        <w:t>Palestin-</w:t>
      </w:r>
    </w:p>
    <w:p w14:paraId="672E50F6" w14:textId="77777777" w:rsidR="002653E8" w:rsidRDefault="003115E3">
      <w:pPr>
        <w:spacing w:before="2"/>
        <w:ind w:left="443"/>
        <w:rPr>
          <w:sz w:val="16"/>
        </w:rPr>
      </w:pPr>
      <w:r>
        <w:rPr>
          <w:color w:val="231F20"/>
          <w:sz w:val="16"/>
        </w:rPr>
        <w:t>ians 193–194</w:t>
      </w:r>
      <w:r>
        <w:rPr>
          <w:i/>
          <w:color w:val="231F20"/>
          <w:sz w:val="16"/>
        </w:rPr>
        <w:t xml:space="preserve">, </w:t>
      </w:r>
      <w:r>
        <w:rPr>
          <w:color w:val="231F20"/>
          <w:sz w:val="16"/>
        </w:rPr>
        <w:t>229</w:t>
      </w:r>
    </w:p>
    <w:p w14:paraId="76E4D1FE" w14:textId="77777777" w:rsidR="002653E8" w:rsidRDefault="003115E3">
      <w:pPr>
        <w:spacing w:before="32" w:line="280" w:lineRule="auto"/>
        <w:ind w:left="443" w:right="1335" w:hanging="200"/>
        <w:rPr>
          <w:sz w:val="16"/>
        </w:rPr>
      </w:pPr>
      <w:r>
        <w:rPr>
          <w:color w:val="231F20"/>
          <w:sz w:val="16"/>
        </w:rPr>
        <w:t>imperialism</w:t>
      </w:r>
      <w:r>
        <w:rPr>
          <w:i/>
          <w:color w:val="231F20"/>
          <w:sz w:val="16"/>
        </w:rPr>
        <w:t xml:space="preserve">. See </w:t>
      </w:r>
      <w:r>
        <w:rPr>
          <w:color w:val="231F20"/>
          <w:sz w:val="16"/>
        </w:rPr>
        <w:t>Federal Republic of Germany—Imperialism</w:t>
      </w:r>
      <w:r>
        <w:rPr>
          <w:i/>
          <w:color w:val="231F20"/>
          <w:sz w:val="16"/>
        </w:rPr>
        <w:t xml:space="preserve">; See </w:t>
      </w:r>
      <w:r w:rsidR="00C507A5">
        <w:rPr>
          <w:color w:val="231F20"/>
          <w:sz w:val="16"/>
        </w:rPr>
        <w:t>red army faction</w:t>
      </w:r>
      <w:r>
        <w:rPr>
          <w:color w:val="231F20"/>
          <w:sz w:val="16"/>
        </w:rPr>
        <w:t xml:space="preserve"> ideas on: imperialism</w:t>
      </w:r>
    </w:p>
    <w:p w14:paraId="4358FB4E" w14:textId="77777777" w:rsidR="002653E8" w:rsidRDefault="003115E3">
      <w:pPr>
        <w:spacing w:before="2"/>
        <w:ind w:left="243"/>
        <w:rPr>
          <w:sz w:val="16"/>
        </w:rPr>
      </w:pPr>
      <w:r>
        <w:rPr>
          <w:i/>
          <w:color w:val="231F20"/>
          <w:sz w:val="16"/>
        </w:rPr>
        <w:t xml:space="preserve">Info </w:t>
      </w:r>
      <w:r>
        <w:rPr>
          <w:color w:val="231F20"/>
          <w:sz w:val="16"/>
        </w:rPr>
        <w:t>344; described by prisoners 347;</w:t>
      </w:r>
    </w:p>
    <w:p w14:paraId="47ADA6E4" w14:textId="77777777" w:rsidR="002653E8" w:rsidRDefault="003115E3">
      <w:pPr>
        <w:spacing w:before="32"/>
        <w:ind w:left="443"/>
        <w:rPr>
          <w:i/>
          <w:sz w:val="16"/>
        </w:rPr>
      </w:pPr>
      <w:r>
        <w:rPr>
          <w:color w:val="231F20"/>
          <w:sz w:val="16"/>
        </w:rPr>
        <w:t>excuse to attack lawyers 267</w:t>
      </w:r>
      <w:r>
        <w:rPr>
          <w:i/>
          <w:color w:val="231F20"/>
          <w:sz w:val="16"/>
        </w:rPr>
        <w:t xml:space="preserve">, </w:t>
      </w:r>
      <w:r>
        <w:rPr>
          <w:color w:val="231F20"/>
          <w:sz w:val="16"/>
        </w:rPr>
        <w:t>344</w:t>
      </w:r>
      <w:r>
        <w:rPr>
          <w:i/>
          <w:color w:val="231F20"/>
          <w:sz w:val="16"/>
        </w:rPr>
        <w:t>,</w:t>
      </w:r>
    </w:p>
    <w:p w14:paraId="6BE86493" w14:textId="77777777" w:rsidR="002653E8" w:rsidRDefault="003115E3">
      <w:pPr>
        <w:spacing w:before="32"/>
        <w:ind w:left="443"/>
        <w:rPr>
          <w:sz w:val="16"/>
        </w:rPr>
      </w:pPr>
      <w:r>
        <w:rPr>
          <w:color w:val="231F20"/>
          <w:w w:val="110"/>
          <w:sz w:val="16"/>
        </w:rPr>
        <w:t>346</w:t>
      </w:r>
      <w:r>
        <w:rPr>
          <w:i/>
          <w:color w:val="231F20"/>
          <w:w w:val="110"/>
          <w:sz w:val="16"/>
        </w:rPr>
        <w:t xml:space="preserve">, </w:t>
      </w:r>
      <w:r>
        <w:rPr>
          <w:color w:val="231F20"/>
          <w:w w:val="110"/>
          <w:sz w:val="16"/>
        </w:rPr>
        <w:t>595</w:t>
      </w:r>
      <w:r>
        <w:rPr>
          <w:i/>
          <w:color w:val="231F20"/>
          <w:w w:val="110"/>
          <w:sz w:val="16"/>
        </w:rPr>
        <w:t xml:space="preserve">, </w:t>
      </w:r>
      <w:r>
        <w:rPr>
          <w:color w:val="231F20"/>
          <w:w w:val="110"/>
          <w:sz w:val="16"/>
        </w:rPr>
        <w:t>597</w:t>
      </w:r>
      <w:r>
        <w:rPr>
          <w:i/>
          <w:color w:val="231F20"/>
          <w:w w:val="110"/>
          <w:sz w:val="16"/>
        </w:rPr>
        <w:t xml:space="preserve">, </w:t>
      </w:r>
      <w:r>
        <w:rPr>
          <w:color w:val="231F20"/>
          <w:w w:val="110"/>
          <w:sz w:val="16"/>
        </w:rPr>
        <w:t>598</w:t>
      </w:r>
      <w:r>
        <w:rPr>
          <w:i/>
          <w:color w:val="231F20"/>
          <w:w w:val="110"/>
          <w:sz w:val="16"/>
        </w:rPr>
        <w:t xml:space="preserve">, </w:t>
      </w:r>
      <w:r>
        <w:rPr>
          <w:color w:val="231F20"/>
          <w:w w:val="110"/>
          <w:sz w:val="16"/>
        </w:rPr>
        <w:t>609</w:t>
      </w:r>
    </w:p>
    <w:p w14:paraId="4D673CE2" w14:textId="77777777" w:rsidR="002653E8" w:rsidRDefault="003115E3">
      <w:pPr>
        <w:spacing w:before="33"/>
        <w:ind w:left="243"/>
        <w:rPr>
          <w:i/>
          <w:sz w:val="16"/>
        </w:rPr>
      </w:pPr>
      <w:r>
        <w:rPr>
          <w:i/>
          <w:color w:val="231F20"/>
          <w:w w:val="110"/>
          <w:sz w:val="16"/>
        </w:rPr>
        <w:t xml:space="preserve">Info-BUG </w:t>
      </w:r>
      <w:r>
        <w:rPr>
          <w:color w:val="231F20"/>
          <w:w w:val="110"/>
          <w:sz w:val="16"/>
        </w:rPr>
        <w:t>435</w:t>
      </w:r>
      <w:r>
        <w:rPr>
          <w:i/>
          <w:color w:val="231F20"/>
          <w:w w:val="110"/>
          <w:sz w:val="16"/>
        </w:rPr>
        <w:t xml:space="preserve">, </w:t>
      </w:r>
      <w:r>
        <w:rPr>
          <w:color w:val="231F20"/>
          <w:w w:val="110"/>
          <w:sz w:val="16"/>
        </w:rPr>
        <w:t>539; banned (1977) 525</w:t>
      </w:r>
      <w:r>
        <w:rPr>
          <w:i/>
          <w:color w:val="231F20"/>
          <w:w w:val="110"/>
          <w:sz w:val="16"/>
        </w:rPr>
        <w:t>,</w:t>
      </w:r>
    </w:p>
    <w:p w14:paraId="0C979015" w14:textId="77777777" w:rsidR="002653E8" w:rsidRDefault="003115E3">
      <w:pPr>
        <w:spacing w:before="32"/>
        <w:ind w:left="443"/>
        <w:rPr>
          <w:i/>
          <w:sz w:val="16"/>
        </w:rPr>
      </w:pPr>
      <w:r>
        <w:rPr>
          <w:color w:val="231F20"/>
          <w:w w:val="105"/>
          <w:sz w:val="16"/>
        </w:rPr>
        <w:t>608; RZ-</w:t>
      </w:r>
      <w:r w:rsidR="00C507A5">
        <w:rPr>
          <w:color w:val="231F20"/>
          <w:w w:val="105"/>
          <w:sz w:val="16"/>
        </w:rPr>
        <w:t>red army faction</w:t>
      </w:r>
      <w:r>
        <w:rPr>
          <w:color w:val="231F20"/>
          <w:w w:val="105"/>
          <w:sz w:val="16"/>
        </w:rPr>
        <w:t xml:space="preserve"> debate (1976-77) 456</w:t>
      </w:r>
      <w:r>
        <w:rPr>
          <w:i/>
          <w:color w:val="231F20"/>
          <w:w w:val="105"/>
          <w:sz w:val="16"/>
        </w:rPr>
        <w:t>,</w:t>
      </w:r>
    </w:p>
    <w:p w14:paraId="2D7F3146" w14:textId="77777777" w:rsidR="002653E8" w:rsidRPr="00846956" w:rsidRDefault="003115E3">
      <w:pPr>
        <w:spacing w:before="33"/>
        <w:ind w:left="443"/>
        <w:rPr>
          <w:sz w:val="16"/>
          <w:lang w:val="de-DE"/>
        </w:rPr>
      </w:pPr>
      <w:r w:rsidRPr="00846956">
        <w:rPr>
          <w:color w:val="231F20"/>
          <w:w w:val="105"/>
          <w:sz w:val="16"/>
          <w:lang w:val="de-DE"/>
        </w:rPr>
        <w:t>457–463</w:t>
      </w:r>
      <w:r w:rsidRPr="00846956">
        <w:rPr>
          <w:i/>
          <w:color w:val="231F20"/>
          <w:w w:val="105"/>
          <w:sz w:val="16"/>
          <w:lang w:val="de-DE"/>
        </w:rPr>
        <w:t xml:space="preserve">, </w:t>
      </w:r>
      <w:r w:rsidRPr="00846956">
        <w:rPr>
          <w:color w:val="231F20"/>
          <w:w w:val="105"/>
          <w:sz w:val="16"/>
          <w:lang w:val="de-DE"/>
        </w:rPr>
        <w:t>461</w:t>
      </w:r>
      <w:r w:rsidRPr="00846956">
        <w:rPr>
          <w:i/>
          <w:color w:val="231F20"/>
          <w:w w:val="105"/>
          <w:sz w:val="16"/>
          <w:lang w:val="de-DE"/>
        </w:rPr>
        <w:t xml:space="preserve">, </w:t>
      </w:r>
      <w:r w:rsidRPr="00846956">
        <w:rPr>
          <w:color w:val="231F20"/>
          <w:w w:val="105"/>
          <w:sz w:val="16"/>
          <w:lang w:val="de-DE"/>
        </w:rPr>
        <w:t>464</w:t>
      </w:r>
      <w:r w:rsidRPr="00846956">
        <w:rPr>
          <w:i/>
          <w:color w:val="231F20"/>
          <w:w w:val="105"/>
          <w:sz w:val="16"/>
          <w:lang w:val="de-DE"/>
        </w:rPr>
        <w:t xml:space="preserve">, </w:t>
      </w:r>
      <w:r w:rsidRPr="00846956">
        <w:rPr>
          <w:color w:val="231F20"/>
          <w:w w:val="105"/>
          <w:sz w:val="16"/>
          <w:lang w:val="de-DE"/>
        </w:rPr>
        <w:t>469</w:t>
      </w:r>
    </w:p>
    <w:p w14:paraId="03921463" w14:textId="77777777" w:rsidR="002653E8" w:rsidRPr="00846956" w:rsidRDefault="003115E3">
      <w:pPr>
        <w:spacing w:before="32"/>
        <w:ind w:left="243"/>
        <w:rPr>
          <w:i/>
          <w:sz w:val="16"/>
          <w:lang w:val="de-DE"/>
        </w:rPr>
      </w:pPr>
      <w:r w:rsidRPr="00846956">
        <w:rPr>
          <w:color w:val="231F20"/>
          <w:w w:val="105"/>
          <w:sz w:val="16"/>
          <w:lang w:val="de-DE"/>
        </w:rPr>
        <w:t>informants 85</w:t>
      </w:r>
      <w:r w:rsidRPr="00846956">
        <w:rPr>
          <w:i/>
          <w:color w:val="231F20"/>
          <w:w w:val="105"/>
          <w:sz w:val="16"/>
          <w:lang w:val="de-DE"/>
        </w:rPr>
        <w:t xml:space="preserve">, </w:t>
      </w:r>
      <w:r w:rsidRPr="00846956">
        <w:rPr>
          <w:color w:val="231F20"/>
          <w:w w:val="105"/>
          <w:sz w:val="16"/>
          <w:lang w:val="de-DE"/>
        </w:rPr>
        <w:t>155–156</w:t>
      </w:r>
      <w:r w:rsidRPr="00846956">
        <w:rPr>
          <w:i/>
          <w:color w:val="231F20"/>
          <w:w w:val="105"/>
          <w:sz w:val="16"/>
          <w:lang w:val="de-DE"/>
        </w:rPr>
        <w:t xml:space="preserve">, </w:t>
      </w:r>
      <w:r w:rsidRPr="00846956">
        <w:rPr>
          <w:color w:val="231F20"/>
          <w:w w:val="105"/>
          <w:sz w:val="16"/>
          <w:lang w:val="de-DE"/>
        </w:rPr>
        <w:t>160–161</w:t>
      </w:r>
      <w:r w:rsidRPr="00846956">
        <w:rPr>
          <w:i/>
          <w:color w:val="231F20"/>
          <w:w w:val="105"/>
          <w:sz w:val="16"/>
          <w:lang w:val="de-DE"/>
        </w:rPr>
        <w:t>,</w:t>
      </w:r>
    </w:p>
    <w:p w14:paraId="1624D829" w14:textId="77777777" w:rsidR="002653E8" w:rsidRPr="00846956" w:rsidRDefault="003115E3">
      <w:pPr>
        <w:spacing w:before="33" w:line="280" w:lineRule="auto"/>
        <w:ind w:left="443" w:right="1586"/>
        <w:rPr>
          <w:sz w:val="16"/>
          <w:lang w:val="de-DE"/>
        </w:rPr>
      </w:pPr>
      <w:r w:rsidRPr="00846956">
        <w:rPr>
          <w:color w:val="231F20"/>
          <w:w w:val="105"/>
          <w:sz w:val="16"/>
          <w:lang w:val="de-DE"/>
        </w:rPr>
        <w:t>417–418</w:t>
      </w:r>
      <w:r w:rsidRPr="00846956">
        <w:rPr>
          <w:i/>
          <w:color w:val="231F20"/>
          <w:w w:val="105"/>
          <w:sz w:val="16"/>
          <w:lang w:val="de-DE"/>
        </w:rPr>
        <w:t xml:space="preserve">, </w:t>
      </w:r>
      <w:r w:rsidRPr="00846956">
        <w:rPr>
          <w:color w:val="231F20"/>
          <w:w w:val="105"/>
          <w:sz w:val="16"/>
          <w:lang w:val="de-DE"/>
        </w:rPr>
        <w:t>467</w:t>
      </w:r>
      <w:r w:rsidRPr="00846956">
        <w:rPr>
          <w:i/>
          <w:color w:val="231F20"/>
          <w:w w:val="105"/>
          <w:sz w:val="16"/>
          <w:lang w:val="de-DE"/>
        </w:rPr>
        <w:t xml:space="preserve">. See also </w:t>
      </w:r>
      <w:r w:rsidRPr="00846956">
        <w:rPr>
          <w:color w:val="231F20"/>
          <w:w w:val="105"/>
          <w:sz w:val="16"/>
          <w:lang w:val="de-DE"/>
        </w:rPr>
        <w:t>Ruhland, Karl-Heinz</w:t>
      </w:r>
      <w:r w:rsidRPr="00846956">
        <w:rPr>
          <w:i/>
          <w:color w:val="231F20"/>
          <w:w w:val="105"/>
          <w:sz w:val="16"/>
          <w:lang w:val="de-DE"/>
        </w:rPr>
        <w:t xml:space="preserve">; See also </w:t>
      </w:r>
      <w:r w:rsidRPr="00846956">
        <w:rPr>
          <w:color w:val="231F20"/>
          <w:w w:val="105"/>
          <w:sz w:val="16"/>
          <w:lang w:val="de-DE"/>
        </w:rPr>
        <w:t>Urbach, Peter;</w:t>
      </w:r>
      <w:r w:rsidRPr="00846956">
        <w:rPr>
          <w:color w:val="231F20"/>
          <w:w w:val="95"/>
          <w:sz w:val="16"/>
          <w:lang w:val="de-DE"/>
        </w:rPr>
        <w:t xml:space="preserve"> </w:t>
      </w:r>
      <w:r w:rsidRPr="00846956">
        <w:rPr>
          <w:color w:val="231F20"/>
          <w:w w:val="105"/>
          <w:sz w:val="16"/>
          <w:lang w:val="de-DE"/>
        </w:rPr>
        <w:t>Hans-Jürgen Bäcker 60</w:t>
      </w:r>
      <w:r w:rsidRPr="00846956">
        <w:rPr>
          <w:i/>
          <w:color w:val="231F20"/>
          <w:w w:val="105"/>
          <w:sz w:val="16"/>
          <w:lang w:val="de-DE"/>
        </w:rPr>
        <w:t xml:space="preserve">, </w:t>
      </w:r>
      <w:r w:rsidRPr="00846956">
        <w:rPr>
          <w:color w:val="231F20"/>
          <w:w w:val="105"/>
          <w:sz w:val="16"/>
          <w:lang w:val="de-DE"/>
        </w:rPr>
        <w:t>161</w:t>
      </w:r>
      <w:r w:rsidRPr="00846956">
        <w:rPr>
          <w:i/>
          <w:color w:val="231F20"/>
          <w:w w:val="105"/>
          <w:sz w:val="16"/>
          <w:lang w:val="de-DE"/>
        </w:rPr>
        <w:t xml:space="preserve">, </w:t>
      </w:r>
      <w:r w:rsidRPr="00846956">
        <w:rPr>
          <w:color w:val="231F20"/>
          <w:w w:val="105"/>
          <w:sz w:val="16"/>
          <w:lang w:val="de-DE"/>
        </w:rPr>
        <w:t>585;</w:t>
      </w:r>
    </w:p>
    <w:p w14:paraId="1E85473B" w14:textId="77777777" w:rsidR="002653E8" w:rsidRPr="00846956" w:rsidRDefault="003115E3">
      <w:pPr>
        <w:spacing w:before="1"/>
        <w:ind w:left="443"/>
        <w:rPr>
          <w:sz w:val="16"/>
          <w:lang w:val="de-DE"/>
        </w:rPr>
      </w:pPr>
      <w:r w:rsidRPr="00846956">
        <w:rPr>
          <w:color w:val="231F20"/>
          <w:sz w:val="16"/>
          <w:lang w:val="de-DE"/>
        </w:rPr>
        <w:t>Verena Becker 614</w:t>
      </w:r>
      <w:r w:rsidRPr="00846956">
        <w:rPr>
          <w:i/>
          <w:color w:val="231F20"/>
          <w:sz w:val="16"/>
          <w:lang w:val="de-DE"/>
        </w:rPr>
        <w:t xml:space="preserve">, </w:t>
      </w:r>
      <w:r w:rsidRPr="00846956">
        <w:rPr>
          <w:color w:val="231F20"/>
          <w:sz w:val="16"/>
          <w:lang w:val="de-DE"/>
        </w:rPr>
        <w:t>621</w:t>
      </w:r>
      <w:r w:rsidRPr="00846956">
        <w:rPr>
          <w:i/>
          <w:color w:val="231F20"/>
          <w:sz w:val="16"/>
          <w:lang w:val="de-DE"/>
        </w:rPr>
        <w:t xml:space="preserve">, </w:t>
      </w:r>
      <w:r w:rsidRPr="00846956">
        <w:rPr>
          <w:color w:val="231F20"/>
          <w:sz w:val="16"/>
          <w:lang w:val="de-DE"/>
        </w:rPr>
        <w:t>627; Peter-</w:t>
      </w:r>
    </w:p>
    <w:p w14:paraId="7A0A6DF5" w14:textId="77777777" w:rsidR="002653E8" w:rsidRDefault="003115E3">
      <w:pPr>
        <w:spacing w:before="33"/>
        <w:ind w:left="443"/>
        <w:rPr>
          <w:sz w:val="16"/>
        </w:rPr>
      </w:pPr>
      <w:r>
        <w:rPr>
          <w:color w:val="231F20"/>
          <w:w w:val="105"/>
          <w:sz w:val="16"/>
        </w:rPr>
        <w:t>Jürgen Boock 527</w:t>
      </w:r>
      <w:r>
        <w:rPr>
          <w:i/>
          <w:color w:val="231F20"/>
          <w:w w:val="105"/>
          <w:sz w:val="16"/>
        </w:rPr>
        <w:t xml:space="preserve">, </w:t>
      </w:r>
      <w:r>
        <w:rPr>
          <w:color w:val="231F20"/>
          <w:w w:val="105"/>
          <w:sz w:val="16"/>
        </w:rPr>
        <w:t>627; GDR arrestees</w:t>
      </w:r>
    </w:p>
    <w:p w14:paraId="7D2953CD" w14:textId="77777777" w:rsidR="002653E8" w:rsidRPr="00846956" w:rsidRDefault="003115E3">
      <w:pPr>
        <w:spacing w:before="32" w:line="280" w:lineRule="auto"/>
        <w:ind w:left="443" w:right="1335"/>
        <w:rPr>
          <w:sz w:val="16"/>
          <w:lang w:val="de-DE"/>
        </w:rPr>
      </w:pPr>
      <w:r w:rsidRPr="00846956">
        <w:rPr>
          <w:color w:val="231F20"/>
          <w:sz w:val="16"/>
          <w:lang w:val="de-DE"/>
        </w:rPr>
        <w:t>620</w:t>
      </w:r>
      <w:r w:rsidRPr="00846956">
        <w:rPr>
          <w:i/>
          <w:color w:val="231F20"/>
          <w:sz w:val="16"/>
          <w:lang w:val="de-DE"/>
        </w:rPr>
        <w:t xml:space="preserve">, </w:t>
      </w:r>
      <w:r w:rsidRPr="00846956">
        <w:rPr>
          <w:color w:val="231F20"/>
          <w:sz w:val="16"/>
          <w:lang w:val="de-DE"/>
        </w:rPr>
        <w:t>625; Edelgard Graefer 161–162; Dierk Hoff 422–423; Peter Homann 154–155</w:t>
      </w:r>
      <w:r w:rsidRPr="00846956">
        <w:rPr>
          <w:i/>
          <w:color w:val="231F20"/>
          <w:sz w:val="16"/>
          <w:lang w:val="de-DE"/>
        </w:rPr>
        <w:t xml:space="preserve">, </w:t>
      </w:r>
      <w:r w:rsidRPr="00846956">
        <w:rPr>
          <w:color w:val="231F20"/>
          <w:sz w:val="16"/>
          <w:lang w:val="de-DE"/>
        </w:rPr>
        <w:t>161; Klaus Steinmetz 623</w:t>
      </w:r>
    </w:p>
    <w:p w14:paraId="3580CCCB" w14:textId="77777777" w:rsidR="002653E8" w:rsidRDefault="003115E3">
      <w:pPr>
        <w:spacing w:before="2"/>
        <w:ind w:left="243"/>
        <w:rPr>
          <w:i/>
          <w:sz w:val="16"/>
        </w:rPr>
      </w:pPr>
      <w:r>
        <w:rPr>
          <w:i/>
          <w:color w:val="231F20"/>
          <w:w w:val="105"/>
          <w:sz w:val="16"/>
        </w:rPr>
        <w:t xml:space="preserve">Informationsdienst </w:t>
      </w:r>
      <w:r>
        <w:rPr>
          <w:color w:val="231F20"/>
          <w:w w:val="105"/>
          <w:sz w:val="16"/>
        </w:rPr>
        <w:t>298–299</w:t>
      </w:r>
      <w:r>
        <w:rPr>
          <w:i/>
          <w:color w:val="231F20"/>
          <w:w w:val="105"/>
          <w:sz w:val="16"/>
        </w:rPr>
        <w:t xml:space="preserve">, </w:t>
      </w:r>
      <w:r>
        <w:rPr>
          <w:color w:val="231F20"/>
          <w:w w:val="105"/>
          <w:sz w:val="16"/>
        </w:rPr>
        <w:t>424</w:t>
      </w:r>
      <w:r>
        <w:rPr>
          <w:i/>
          <w:color w:val="231F20"/>
          <w:w w:val="105"/>
          <w:sz w:val="16"/>
        </w:rPr>
        <w:t xml:space="preserve">, </w:t>
      </w:r>
      <w:r>
        <w:rPr>
          <w:color w:val="231F20"/>
          <w:w w:val="105"/>
          <w:sz w:val="16"/>
        </w:rPr>
        <w:t>460</w:t>
      </w:r>
      <w:r>
        <w:rPr>
          <w:i/>
          <w:color w:val="231F20"/>
          <w:w w:val="105"/>
          <w:sz w:val="16"/>
        </w:rPr>
        <w:t>,</w:t>
      </w:r>
    </w:p>
    <w:p w14:paraId="293D6230" w14:textId="77777777" w:rsidR="002653E8" w:rsidRDefault="003115E3">
      <w:pPr>
        <w:spacing w:before="32"/>
        <w:ind w:left="443"/>
        <w:rPr>
          <w:sz w:val="16"/>
        </w:rPr>
      </w:pPr>
      <w:r>
        <w:rPr>
          <w:color w:val="231F20"/>
          <w:sz w:val="16"/>
        </w:rPr>
        <w:t>464</w:t>
      </w:r>
    </w:p>
    <w:p w14:paraId="32EC8821" w14:textId="77777777" w:rsidR="002653E8" w:rsidRDefault="003115E3">
      <w:pPr>
        <w:spacing w:before="32" w:line="280" w:lineRule="auto"/>
        <w:ind w:left="243" w:right="1350"/>
        <w:rPr>
          <w:sz w:val="16"/>
        </w:rPr>
      </w:pPr>
      <w:r>
        <w:rPr>
          <w:color w:val="231F20"/>
          <w:sz w:val="16"/>
        </w:rPr>
        <w:t>Institute for the Study of Conflict 467 Institute of Forensic Psychiatry at the Free</w:t>
      </w:r>
    </w:p>
    <w:p w14:paraId="372F38C6" w14:textId="77777777" w:rsidR="002653E8" w:rsidRDefault="003115E3">
      <w:pPr>
        <w:spacing w:before="1"/>
        <w:ind w:left="443"/>
        <w:rPr>
          <w:sz w:val="16"/>
        </w:rPr>
      </w:pPr>
      <w:r>
        <w:rPr>
          <w:color w:val="231F20"/>
          <w:sz w:val="16"/>
        </w:rPr>
        <w:t>University of Berlin 243</w:t>
      </w:r>
    </w:p>
    <w:p w14:paraId="29A1D527" w14:textId="77777777" w:rsidR="002653E8" w:rsidRDefault="003115E3">
      <w:pPr>
        <w:spacing w:before="33" w:line="280" w:lineRule="auto"/>
        <w:ind w:left="443" w:right="1335" w:hanging="200"/>
        <w:rPr>
          <w:sz w:val="16"/>
        </w:rPr>
      </w:pPr>
      <w:r>
        <w:rPr>
          <w:color w:val="231F20"/>
          <w:sz w:val="16"/>
        </w:rPr>
        <w:t>Interior Ministers Conference; Berufsverbot 116</w:t>
      </w:r>
      <w:r>
        <w:rPr>
          <w:i/>
          <w:color w:val="231F20"/>
          <w:sz w:val="16"/>
        </w:rPr>
        <w:t xml:space="preserve">, </w:t>
      </w:r>
      <w:r>
        <w:rPr>
          <w:color w:val="231F20"/>
          <w:sz w:val="16"/>
        </w:rPr>
        <w:t>589; chemical workers strike</w:t>
      </w:r>
    </w:p>
    <w:p w14:paraId="407B0F1C" w14:textId="77777777" w:rsidR="002653E8" w:rsidRPr="00846956" w:rsidRDefault="003115E3">
      <w:pPr>
        <w:spacing w:before="1"/>
        <w:ind w:left="443"/>
        <w:rPr>
          <w:sz w:val="16"/>
          <w:lang w:val="de-DE"/>
        </w:rPr>
      </w:pPr>
      <w:r w:rsidRPr="00846956">
        <w:rPr>
          <w:color w:val="231F20"/>
          <w:w w:val="105"/>
          <w:sz w:val="16"/>
          <w:lang w:val="de-DE"/>
        </w:rPr>
        <w:t>134; Drenkmann killing  265; GSG-9</w:t>
      </w:r>
    </w:p>
    <w:p w14:paraId="4BFF8C1F" w14:textId="77777777" w:rsidR="002653E8" w:rsidRPr="00846956" w:rsidRDefault="003115E3">
      <w:pPr>
        <w:spacing w:before="32"/>
        <w:ind w:left="443"/>
        <w:rPr>
          <w:sz w:val="16"/>
          <w:lang w:val="de-DE"/>
        </w:rPr>
      </w:pPr>
      <w:r w:rsidRPr="00846956">
        <w:rPr>
          <w:color w:val="231F20"/>
          <w:sz w:val="16"/>
          <w:lang w:val="de-DE"/>
        </w:rPr>
        <w:t>592; police killings   123</w:t>
      </w:r>
      <w:r w:rsidRPr="00846956">
        <w:rPr>
          <w:i/>
          <w:color w:val="231F20"/>
          <w:sz w:val="16"/>
          <w:lang w:val="de-DE"/>
        </w:rPr>
        <w:t xml:space="preserve">, </w:t>
      </w:r>
      <w:r w:rsidRPr="00846956">
        <w:rPr>
          <w:color w:val="231F20"/>
          <w:sz w:val="16"/>
          <w:lang w:val="de-DE"/>
        </w:rPr>
        <w:t>601; Verfas-</w:t>
      </w:r>
    </w:p>
    <w:p w14:paraId="25AF7122" w14:textId="77777777" w:rsidR="002653E8" w:rsidRPr="00846956" w:rsidRDefault="003115E3">
      <w:pPr>
        <w:spacing w:before="33"/>
        <w:ind w:left="443"/>
        <w:rPr>
          <w:sz w:val="16"/>
          <w:lang w:val="de-DE"/>
        </w:rPr>
      </w:pPr>
      <w:r w:rsidRPr="00846956">
        <w:rPr>
          <w:color w:val="231F20"/>
          <w:sz w:val="16"/>
          <w:lang w:val="de-DE"/>
        </w:rPr>
        <w:t>sungsschutz 425</w:t>
      </w:r>
    </w:p>
    <w:p w14:paraId="5693E018" w14:textId="77777777" w:rsidR="002653E8" w:rsidRDefault="003115E3">
      <w:pPr>
        <w:spacing w:before="32" w:line="280" w:lineRule="auto"/>
        <w:ind w:left="443" w:right="1525" w:hanging="200"/>
        <w:rPr>
          <w:sz w:val="16"/>
        </w:rPr>
      </w:pPr>
      <w:r>
        <w:rPr>
          <w:color w:val="231F20"/>
          <w:sz w:val="16"/>
        </w:rPr>
        <w:t>International Congress on Vietnam 35</w:t>
      </w:r>
      <w:r>
        <w:rPr>
          <w:i/>
          <w:color w:val="231F20"/>
          <w:sz w:val="16"/>
        </w:rPr>
        <w:t xml:space="preserve">, </w:t>
      </w:r>
      <w:r>
        <w:rPr>
          <w:color w:val="231F20"/>
          <w:sz w:val="16"/>
        </w:rPr>
        <w:t>581</w:t>
      </w:r>
    </w:p>
    <w:p w14:paraId="0208E226" w14:textId="77777777" w:rsidR="002653E8" w:rsidRDefault="003115E3">
      <w:pPr>
        <w:spacing w:before="1" w:line="280" w:lineRule="auto"/>
        <w:ind w:left="443" w:right="1335" w:hanging="200"/>
        <w:rPr>
          <w:sz w:val="16"/>
        </w:rPr>
      </w:pPr>
      <w:r>
        <w:rPr>
          <w:color w:val="231F20"/>
          <w:sz w:val="16"/>
        </w:rPr>
        <w:t>International Federation of Human Rights 498</w:t>
      </w:r>
    </w:p>
    <w:p w14:paraId="29D86EB9" w14:textId="77777777" w:rsidR="002653E8" w:rsidRDefault="003115E3">
      <w:pPr>
        <w:spacing w:before="1" w:line="280" w:lineRule="auto"/>
        <w:ind w:left="443" w:right="1335" w:hanging="200"/>
        <w:rPr>
          <w:sz w:val="16"/>
        </w:rPr>
      </w:pPr>
      <w:r>
        <w:rPr>
          <w:color w:val="231F20"/>
          <w:sz w:val="16"/>
        </w:rPr>
        <w:t>International Investigatory Commission into the Death of Ulrike Meinhof 382–384</w:t>
      </w:r>
      <w:r>
        <w:rPr>
          <w:i/>
          <w:color w:val="231F20"/>
          <w:sz w:val="16"/>
        </w:rPr>
        <w:t xml:space="preserve">, </w:t>
      </w:r>
      <w:r>
        <w:rPr>
          <w:color w:val="231F20"/>
          <w:sz w:val="16"/>
        </w:rPr>
        <w:t>386–388</w:t>
      </w:r>
      <w:r>
        <w:rPr>
          <w:i/>
          <w:color w:val="231F20"/>
          <w:sz w:val="16"/>
        </w:rPr>
        <w:t xml:space="preserve">, </w:t>
      </w:r>
      <w:r>
        <w:rPr>
          <w:color w:val="231F20"/>
          <w:sz w:val="16"/>
        </w:rPr>
        <w:t>519</w:t>
      </w:r>
      <w:r>
        <w:rPr>
          <w:i/>
          <w:color w:val="231F20"/>
          <w:sz w:val="16"/>
        </w:rPr>
        <w:t xml:space="preserve">, </w:t>
      </w:r>
      <w:r>
        <w:rPr>
          <w:color w:val="231F20"/>
          <w:sz w:val="16"/>
        </w:rPr>
        <w:t>600</w:t>
      </w:r>
      <w:r>
        <w:rPr>
          <w:i/>
          <w:color w:val="231F20"/>
          <w:sz w:val="16"/>
        </w:rPr>
        <w:t xml:space="preserve">, </w:t>
      </w:r>
      <w:r>
        <w:rPr>
          <w:color w:val="231F20"/>
          <w:sz w:val="16"/>
        </w:rPr>
        <w:t>602</w:t>
      </w:r>
      <w:r>
        <w:rPr>
          <w:i/>
          <w:color w:val="231F20"/>
          <w:sz w:val="16"/>
        </w:rPr>
        <w:t xml:space="preserve">, </w:t>
      </w:r>
      <w:r>
        <w:rPr>
          <w:color w:val="231F20"/>
          <w:sz w:val="16"/>
        </w:rPr>
        <w:t>611</w:t>
      </w:r>
    </w:p>
    <w:p w14:paraId="6F1C7B69" w14:textId="77777777" w:rsidR="002653E8" w:rsidRDefault="003115E3">
      <w:pPr>
        <w:spacing w:before="2" w:line="280" w:lineRule="auto"/>
        <w:ind w:left="443" w:right="1335" w:hanging="200"/>
        <w:rPr>
          <w:sz w:val="16"/>
        </w:rPr>
      </w:pPr>
      <w:r>
        <w:rPr>
          <w:color w:val="231F20"/>
          <w:w w:val="105"/>
          <w:sz w:val="16"/>
        </w:rPr>
        <w:t>International Olympic Committee 189</w:t>
      </w:r>
      <w:r>
        <w:rPr>
          <w:i/>
          <w:color w:val="231F20"/>
          <w:w w:val="105"/>
          <w:sz w:val="16"/>
        </w:rPr>
        <w:t xml:space="preserve">, </w:t>
      </w:r>
      <w:r>
        <w:rPr>
          <w:color w:val="231F20"/>
          <w:w w:val="105"/>
          <w:sz w:val="16"/>
        </w:rPr>
        <w:t>217</w:t>
      </w:r>
      <w:r>
        <w:rPr>
          <w:i/>
          <w:color w:val="231F20"/>
          <w:w w:val="105"/>
          <w:sz w:val="16"/>
        </w:rPr>
        <w:t xml:space="preserve">, </w:t>
      </w:r>
      <w:r>
        <w:rPr>
          <w:color w:val="231F20"/>
          <w:w w:val="105"/>
          <w:sz w:val="16"/>
        </w:rPr>
        <w:t>235</w:t>
      </w:r>
    </w:p>
    <w:p w14:paraId="32B75193" w14:textId="77777777" w:rsidR="002653E8" w:rsidRDefault="003115E3">
      <w:pPr>
        <w:spacing w:before="1"/>
        <w:ind w:left="243"/>
        <w:rPr>
          <w:sz w:val="16"/>
        </w:rPr>
      </w:pPr>
      <w:r>
        <w:rPr>
          <w:color w:val="231F20"/>
          <w:sz w:val="16"/>
        </w:rPr>
        <w:t>International Red Cross 431</w:t>
      </w:r>
    </w:p>
    <w:p w14:paraId="3DC13391" w14:textId="77777777" w:rsidR="002653E8" w:rsidRDefault="002653E8">
      <w:pPr>
        <w:rPr>
          <w:sz w:val="16"/>
        </w:rPr>
        <w:sectPr w:rsidR="002653E8">
          <w:footerReference w:type="even" r:id="rId636"/>
          <w:footerReference w:type="default" r:id="rId637"/>
          <w:pgSz w:w="8640" w:h="12960"/>
          <w:pgMar w:top="1080" w:right="0" w:bottom="1040" w:left="0" w:header="0" w:footer="846" w:gutter="0"/>
          <w:pgNumType w:start="672"/>
          <w:cols w:num="2" w:space="720" w:equalWidth="0">
            <w:col w:w="4087" w:space="40"/>
            <w:col w:w="4513"/>
          </w:cols>
        </w:sectPr>
      </w:pPr>
    </w:p>
    <w:p w14:paraId="37E4203C" w14:textId="77777777" w:rsidR="002653E8" w:rsidRDefault="003115E3">
      <w:pPr>
        <w:spacing w:before="86"/>
        <w:ind w:left="1327"/>
        <w:rPr>
          <w:sz w:val="16"/>
        </w:rPr>
      </w:pPr>
      <w:r>
        <w:rPr>
          <w:color w:val="231F20"/>
          <w:sz w:val="16"/>
        </w:rPr>
        <w:lastRenderedPageBreak/>
        <w:t>Interpol 597</w:t>
      </w:r>
    </w:p>
    <w:p w14:paraId="45B5807A" w14:textId="77777777" w:rsidR="002653E8" w:rsidRDefault="003115E3">
      <w:pPr>
        <w:spacing w:before="33" w:line="280" w:lineRule="auto"/>
        <w:ind w:left="1527" w:right="104" w:hanging="200"/>
        <w:rPr>
          <w:sz w:val="16"/>
        </w:rPr>
      </w:pPr>
      <w:r>
        <w:rPr>
          <w:color w:val="231F20"/>
          <w:sz w:val="16"/>
        </w:rPr>
        <w:t>IRA (Irish Republican Army) 305</w:t>
      </w:r>
      <w:r>
        <w:rPr>
          <w:i/>
          <w:color w:val="231F20"/>
          <w:sz w:val="16"/>
        </w:rPr>
        <w:t xml:space="preserve">, </w:t>
      </w:r>
      <w:r>
        <w:rPr>
          <w:color w:val="231F20"/>
          <w:sz w:val="16"/>
        </w:rPr>
        <w:t>311</w:t>
      </w:r>
      <w:r>
        <w:rPr>
          <w:i/>
          <w:color w:val="231F20"/>
          <w:sz w:val="16"/>
        </w:rPr>
        <w:t xml:space="preserve">, </w:t>
      </w:r>
      <w:r>
        <w:rPr>
          <w:color w:val="231F20"/>
          <w:sz w:val="16"/>
        </w:rPr>
        <w:t>376; Portlaoise prison hunger strike 488–489</w:t>
      </w:r>
    </w:p>
    <w:p w14:paraId="5F0EAAA0" w14:textId="77777777" w:rsidR="002653E8" w:rsidRDefault="003115E3">
      <w:pPr>
        <w:spacing w:before="1"/>
        <w:ind w:left="1327"/>
        <w:rPr>
          <w:i/>
          <w:sz w:val="16"/>
        </w:rPr>
      </w:pPr>
      <w:r>
        <w:rPr>
          <w:color w:val="231F20"/>
          <w:w w:val="105"/>
          <w:sz w:val="16"/>
        </w:rPr>
        <w:t>Iran 369</w:t>
      </w:r>
      <w:r>
        <w:rPr>
          <w:i/>
          <w:color w:val="231F20"/>
          <w:w w:val="105"/>
          <w:sz w:val="16"/>
        </w:rPr>
        <w:t xml:space="preserve">, </w:t>
      </w:r>
      <w:r>
        <w:rPr>
          <w:color w:val="231F20"/>
          <w:w w:val="105"/>
          <w:sz w:val="16"/>
        </w:rPr>
        <w:t>439; and FRG 124–125</w:t>
      </w:r>
      <w:r>
        <w:rPr>
          <w:i/>
          <w:color w:val="231F20"/>
          <w:w w:val="105"/>
          <w:sz w:val="16"/>
        </w:rPr>
        <w:t>,</w:t>
      </w:r>
    </w:p>
    <w:p w14:paraId="50B4A1F4" w14:textId="77777777" w:rsidR="002653E8" w:rsidRDefault="003115E3">
      <w:pPr>
        <w:spacing w:before="33"/>
        <w:ind w:left="1527"/>
        <w:rPr>
          <w:i/>
          <w:sz w:val="16"/>
        </w:rPr>
      </w:pPr>
      <w:r>
        <w:rPr>
          <w:color w:val="231F20"/>
          <w:w w:val="105"/>
          <w:sz w:val="16"/>
        </w:rPr>
        <w:t>125–126</w:t>
      </w:r>
      <w:r>
        <w:rPr>
          <w:i/>
          <w:color w:val="231F20"/>
          <w:w w:val="105"/>
          <w:sz w:val="16"/>
        </w:rPr>
        <w:t xml:space="preserve">, </w:t>
      </w:r>
      <w:r>
        <w:rPr>
          <w:color w:val="231F20"/>
          <w:w w:val="105"/>
          <w:sz w:val="16"/>
        </w:rPr>
        <w:t>131; and imperialism 31</w:t>
      </w:r>
      <w:r>
        <w:rPr>
          <w:i/>
          <w:color w:val="231F20"/>
          <w:w w:val="105"/>
          <w:sz w:val="16"/>
        </w:rPr>
        <w:t>,</w:t>
      </w:r>
    </w:p>
    <w:p w14:paraId="3CB5E1B6" w14:textId="77777777" w:rsidR="002653E8" w:rsidRDefault="003115E3">
      <w:pPr>
        <w:spacing w:before="32"/>
        <w:ind w:left="1527"/>
        <w:rPr>
          <w:sz w:val="16"/>
        </w:rPr>
      </w:pPr>
      <w:r>
        <w:rPr>
          <w:color w:val="231F20"/>
          <w:sz w:val="16"/>
        </w:rPr>
        <w:t>210</w:t>
      </w:r>
      <w:r>
        <w:rPr>
          <w:i/>
          <w:color w:val="231F20"/>
          <w:sz w:val="16"/>
        </w:rPr>
        <w:t xml:space="preserve">, </w:t>
      </w:r>
      <w:r>
        <w:rPr>
          <w:color w:val="231F20"/>
          <w:sz w:val="16"/>
        </w:rPr>
        <w:t>211</w:t>
      </w:r>
      <w:r>
        <w:rPr>
          <w:i/>
          <w:color w:val="231F20"/>
          <w:sz w:val="16"/>
        </w:rPr>
        <w:t xml:space="preserve">, </w:t>
      </w:r>
      <w:r>
        <w:rPr>
          <w:color w:val="231F20"/>
          <w:sz w:val="16"/>
        </w:rPr>
        <w:t>212; mentioned in  passing</w:t>
      </w:r>
    </w:p>
    <w:p w14:paraId="28A0D551" w14:textId="77777777" w:rsidR="002653E8" w:rsidRDefault="003115E3">
      <w:pPr>
        <w:spacing w:before="33"/>
        <w:ind w:left="1527"/>
        <w:rPr>
          <w:sz w:val="16"/>
        </w:rPr>
      </w:pPr>
      <w:r>
        <w:rPr>
          <w:color w:val="231F20"/>
          <w:w w:val="110"/>
          <w:sz w:val="16"/>
        </w:rPr>
        <w:t>149</w:t>
      </w:r>
      <w:r>
        <w:rPr>
          <w:i/>
          <w:color w:val="231F20"/>
          <w:w w:val="110"/>
          <w:sz w:val="16"/>
        </w:rPr>
        <w:t xml:space="preserve">, </w:t>
      </w:r>
      <w:r>
        <w:rPr>
          <w:color w:val="231F20"/>
          <w:w w:val="110"/>
          <w:sz w:val="16"/>
        </w:rPr>
        <w:t>183</w:t>
      </w:r>
      <w:r>
        <w:rPr>
          <w:i/>
          <w:color w:val="231F20"/>
          <w:w w:val="110"/>
          <w:sz w:val="16"/>
        </w:rPr>
        <w:t xml:space="preserve">, </w:t>
      </w:r>
      <w:r>
        <w:rPr>
          <w:color w:val="231F20"/>
          <w:w w:val="110"/>
          <w:sz w:val="16"/>
        </w:rPr>
        <w:t>213</w:t>
      </w:r>
    </w:p>
    <w:p w14:paraId="3D2441DE" w14:textId="77777777" w:rsidR="002653E8" w:rsidRDefault="003115E3">
      <w:pPr>
        <w:spacing w:before="32"/>
        <w:ind w:left="1327"/>
        <w:rPr>
          <w:i/>
          <w:sz w:val="16"/>
        </w:rPr>
      </w:pPr>
      <w:r>
        <w:rPr>
          <w:color w:val="231F20"/>
          <w:w w:val="105"/>
          <w:sz w:val="16"/>
        </w:rPr>
        <w:t>Iraq 209</w:t>
      </w:r>
      <w:r>
        <w:rPr>
          <w:i/>
          <w:color w:val="231F20"/>
          <w:w w:val="105"/>
          <w:sz w:val="16"/>
        </w:rPr>
        <w:t xml:space="preserve">, </w:t>
      </w:r>
      <w:r>
        <w:rPr>
          <w:color w:val="231F20"/>
          <w:w w:val="105"/>
          <w:sz w:val="16"/>
        </w:rPr>
        <w:t>620; and Waddi Haddad 482</w:t>
      </w:r>
      <w:r>
        <w:rPr>
          <w:i/>
          <w:color w:val="231F20"/>
          <w:w w:val="105"/>
          <w:sz w:val="16"/>
        </w:rPr>
        <w:t>,</w:t>
      </w:r>
    </w:p>
    <w:p w14:paraId="32FFB964" w14:textId="77777777" w:rsidR="002653E8" w:rsidRDefault="003115E3">
      <w:pPr>
        <w:spacing w:before="32"/>
        <w:ind w:left="1527"/>
        <w:rPr>
          <w:sz w:val="16"/>
        </w:rPr>
      </w:pPr>
      <w:r>
        <w:rPr>
          <w:color w:val="231F20"/>
          <w:w w:val="110"/>
          <w:sz w:val="16"/>
        </w:rPr>
        <w:t>560</w:t>
      </w:r>
      <w:r>
        <w:rPr>
          <w:i/>
          <w:color w:val="231F20"/>
          <w:w w:val="110"/>
          <w:sz w:val="16"/>
        </w:rPr>
        <w:t xml:space="preserve">, </w:t>
      </w:r>
      <w:r>
        <w:rPr>
          <w:color w:val="231F20"/>
          <w:w w:val="110"/>
          <w:sz w:val="16"/>
        </w:rPr>
        <w:t xml:space="preserve">561; and </w:t>
      </w:r>
      <w:r w:rsidR="00C507A5">
        <w:rPr>
          <w:color w:val="231F20"/>
          <w:w w:val="110"/>
          <w:sz w:val="16"/>
        </w:rPr>
        <w:t>red army faction</w:t>
      </w:r>
      <w:r>
        <w:rPr>
          <w:color w:val="231F20"/>
          <w:w w:val="110"/>
          <w:sz w:val="16"/>
        </w:rPr>
        <w:t xml:space="preserve"> 480</w:t>
      </w:r>
      <w:r>
        <w:rPr>
          <w:i/>
          <w:color w:val="231F20"/>
          <w:w w:val="110"/>
          <w:sz w:val="16"/>
        </w:rPr>
        <w:t xml:space="preserve">, </w:t>
      </w:r>
      <w:r>
        <w:rPr>
          <w:color w:val="231F20"/>
          <w:w w:val="110"/>
          <w:sz w:val="16"/>
        </w:rPr>
        <w:t>527</w:t>
      </w:r>
    </w:p>
    <w:p w14:paraId="1777FFB5" w14:textId="77777777" w:rsidR="002653E8" w:rsidRDefault="003115E3">
      <w:pPr>
        <w:spacing w:before="33"/>
        <w:ind w:left="1327"/>
        <w:rPr>
          <w:sz w:val="16"/>
        </w:rPr>
      </w:pPr>
      <w:r>
        <w:rPr>
          <w:color w:val="231F20"/>
          <w:sz w:val="16"/>
        </w:rPr>
        <w:t>Ireland 489</w:t>
      </w:r>
    </w:p>
    <w:p w14:paraId="71997614" w14:textId="77777777" w:rsidR="002653E8" w:rsidRDefault="003115E3">
      <w:pPr>
        <w:spacing w:before="32" w:line="280" w:lineRule="auto"/>
        <w:ind w:left="1527" w:hanging="201"/>
        <w:rPr>
          <w:sz w:val="16"/>
        </w:rPr>
      </w:pPr>
      <w:r>
        <w:rPr>
          <w:color w:val="231F20"/>
          <w:sz w:val="16"/>
        </w:rPr>
        <w:t>Irish Republican Army</w:t>
      </w:r>
      <w:r>
        <w:rPr>
          <w:i/>
          <w:color w:val="231F20"/>
          <w:sz w:val="16"/>
        </w:rPr>
        <w:t xml:space="preserve">. See </w:t>
      </w:r>
      <w:r>
        <w:rPr>
          <w:color w:val="231F20"/>
          <w:sz w:val="16"/>
        </w:rPr>
        <w:t>IRA (Irish Republican Army)</w:t>
      </w:r>
    </w:p>
    <w:p w14:paraId="2753C75E" w14:textId="77777777" w:rsidR="002653E8" w:rsidRDefault="003115E3">
      <w:pPr>
        <w:spacing w:before="1"/>
        <w:ind w:left="1327"/>
        <w:rPr>
          <w:sz w:val="16"/>
        </w:rPr>
      </w:pPr>
      <w:r>
        <w:rPr>
          <w:color w:val="231F20"/>
          <w:sz w:val="16"/>
        </w:rPr>
        <w:t>Ismirili, yousef 599</w:t>
      </w:r>
    </w:p>
    <w:p w14:paraId="54141C6A" w14:textId="77777777" w:rsidR="002653E8" w:rsidRDefault="003115E3">
      <w:pPr>
        <w:spacing w:before="33" w:line="280" w:lineRule="auto"/>
        <w:ind w:left="1527" w:right="104" w:hanging="200"/>
        <w:rPr>
          <w:sz w:val="16"/>
        </w:rPr>
      </w:pPr>
      <w:r>
        <w:rPr>
          <w:color w:val="231F20"/>
          <w:w w:val="105"/>
          <w:sz w:val="16"/>
        </w:rPr>
        <w:t>isolation torture</w:t>
      </w:r>
      <w:r>
        <w:rPr>
          <w:i/>
          <w:color w:val="231F20"/>
          <w:w w:val="105"/>
          <w:sz w:val="16"/>
        </w:rPr>
        <w:t xml:space="preserve">. See also </w:t>
      </w:r>
      <w:r>
        <w:rPr>
          <w:color w:val="231F20"/>
          <w:w w:val="105"/>
          <w:sz w:val="16"/>
        </w:rPr>
        <w:t xml:space="preserve">prison conditions: as “extermination”; applied to </w:t>
      </w:r>
      <w:r w:rsidR="00C507A5">
        <w:rPr>
          <w:color w:val="231F20"/>
          <w:w w:val="105"/>
          <w:sz w:val="16"/>
        </w:rPr>
        <w:t>red army faction</w:t>
      </w:r>
      <w:r>
        <w:rPr>
          <w:color w:val="231F20"/>
          <w:w w:val="105"/>
          <w:sz w:val="16"/>
        </w:rPr>
        <w:t xml:space="preserve"> prisoners 238</w:t>
      </w:r>
      <w:r>
        <w:rPr>
          <w:i/>
          <w:color w:val="231F20"/>
          <w:w w:val="105"/>
          <w:sz w:val="16"/>
        </w:rPr>
        <w:t xml:space="preserve">, </w:t>
      </w:r>
      <w:r>
        <w:rPr>
          <w:color w:val="231F20"/>
          <w:w w:val="105"/>
          <w:sz w:val="16"/>
        </w:rPr>
        <w:t>252</w:t>
      </w:r>
      <w:r>
        <w:rPr>
          <w:i/>
          <w:color w:val="231F20"/>
          <w:w w:val="105"/>
          <w:sz w:val="16"/>
        </w:rPr>
        <w:t xml:space="preserve">, </w:t>
      </w:r>
      <w:r>
        <w:rPr>
          <w:color w:val="231F20"/>
          <w:w w:val="105"/>
          <w:sz w:val="16"/>
        </w:rPr>
        <w:t>428</w:t>
      </w:r>
      <w:r>
        <w:rPr>
          <w:i/>
          <w:color w:val="231F20"/>
          <w:w w:val="105"/>
          <w:sz w:val="16"/>
        </w:rPr>
        <w:t xml:space="preserve">, </w:t>
      </w:r>
      <w:r>
        <w:rPr>
          <w:color w:val="231F20"/>
          <w:w w:val="105"/>
          <w:sz w:val="16"/>
        </w:rPr>
        <w:t>520; as</w:t>
      </w:r>
    </w:p>
    <w:p w14:paraId="22930259" w14:textId="77777777" w:rsidR="002653E8" w:rsidRDefault="003115E3">
      <w:pPr>
        <w:spacing w:before="1"/>
        <w:ind w:left="1527"/>
        <w:rPr>
          <w:sz w:val="16"/>
        </w:rPr>
      </w:pPr>
      <w:r>
        <w:rPr>
          <w:color w:val="231F20"/>
          <w:sz w:val="16"/>
        </w:rPr>
        <w:t>experienced by victims   242–243</w:t>
      </w:r>
      <w:r>
        <w:rPr>
          <w:i/>
          <w:color w:val="231F20"/>
          <w:sz w:val="16"/>
        </w:rPr>
        <w:t xml:space="preserve">, </w:t>
      </w:r>
      <w:r>
        <w:rPr>
          <w:color w:val="231F20"/>
          <w:sz w:val="16"/>
        </w:rPr>
        <w:t>249;</w:t>
      </w:r>
    </w:p>
    <w:p w14:paraId="7CCDE320" w14:textId="77777777" w:rsidR="002653E8" w:rsidRDefault="003115E3">
      <w:pPr>
        <w:spacing w:before="33"/>
        <w:ind w:left="1527"/>
        <w:rPr>
          <w:i/>
          <w:sz w:val="16"/>
        </w:rPr>
      </w:pPr>
      <w:r>
        <w:rPr>
          <w:color w:val="231F20"/>
          <w:w w:val="105"/>
          <w:sz w:val="16"/>
        </w:rPr>
        <w:t xml:space="preserve">discussed by </w:t>
      </w:r>
      <w:r w:rsidR="00C507A5">
        <w:rPr>
          <w:color w:val="231F20"/>
          <w:w w:val="105"/>
          <w:sz w:val="16"/>
        </w:rPr>
        <w:t>red army faction</w:t>
      </w:r>
      <w:r>
        <w:rPr>
          <w:color w:val="231F20"/>
          <w:w w:val="105"/>
          <w:sz w:val="16"/>
        </w:rPr>
        <w:t xml:space="preserve"> 249</w:t>
      </w:r>
      <w:r>
        <w:rPr>
          <w:i/>
          <w:color w:val="231F20"/>
          <w:w w:val="105"/>
          <w:sz w:val="16"/>
        </w:rPr>
        <w:t xml:space="preserve">, </w:t>
      </w:r>
      <w:r>
        <w:rPr>
          <w:color w:val="231F20"/>
          <w:w w:val="105"/>
          <w:sz w:val="16"/>
        </w:rPr>
        <w:t>281</w:t>
      </w:r>
      <w:r>
        <w:rPr>
          <w:i/>
          <w:color w:val="231F20"/>
          <w:w w:val="105"/>
          <w:sz w:val="16"/>
        </w:rPr>
        <w:t xml:space="preserve">, </w:t>
      </w:r>
      <w:r>
        <w:rPr>
          <w:color w:val="231F20"/>
          <w:w w:val="105"/>
          <w:sz w:val="16"/>
        </w:rPr>
        <w:t>286–287</w:t>
      </w:r>
      <w:r>
        <w:rPr>
          <w:i/>
          <w:color w:val="231F20"/>
          <w:w w:val="105"/>
          <w:sz w:val="16"/>
        </w:rPr>
        <w:t>,</w:t>
      </w:r>
    </w:p>
    <w:p w14:paraId="018F37D1" w14:textId="77777777" w:rsidR="002653E8" w:rsidRDefault="003115E3">
      <w:pPr>
        <w:spacing w:before="32"/>
        <w:ind w:left="1527"/>
        <w:rPr>
          <w:sz w:val="16"/>
        </w:rPr>
      </w:pPr>
      <w:r>
        <w:rPr>
          <w:color w:val="231F20"/>
          <w:w w:val="105"/>
          <w:sz w:val="16"/>
        </w:rPr>
        <w:t>300–302</w:t>
      </w:r>
      <w:r>
        <w:rPr>
          <w:i/>
          <w:color w:val="231F20"/>
          <w:w w:val="105"/>
          <w:sz w:val="16"/>
        </w:rPr>
        <w:t xml:space="preserve">, </w:t>
      </w:r>
      <w:r>
        <w:rPr>
          <w:color w:val="231F20"/>
          <w:w w:val="105"/>
          <w:sz w:val="16"/>
        </w:rPr>
        <w:t>320–323</w:t>
      </w:r>
      <w:r>
        <w:rPr>
          <w:i/>
          <w:color w:val="231F20"/>
          <w:w w:val="105"/>
          <w:sz w:val="16"/>
        </w:rPr>
        <w:t xml:space="preserve">, </w:t>
      </w:r>
      <w:r>
        <w:rPr>
          <w:color w:val="231F20"/>
          <w:w w:val="105"/>
          <w:sz w:val="16"/>
        </w:rPr>
        <w:t>401–402</w:t>
      </w:r>
      <w:r>
        <w:rPr>
          <w:i/>
          <w:color w:val="231F20"/>
          <w:w w:val="105"/>
          <w:sz w:val="16"/>
        </w:rPr>
        <w:t xml:space="preserve">, </w:t>
      </w:r>
      <w:r>
        <w:rPr>
          <w:color w:val="231F20"/>
          <w:w w:val="105"/>
          <w:sz w:val="16"/>
        </w:rPr>
        <w:t>403;</w:t>
      </w:r>
    </w:p>
    <w:p w14:paraId="6E5D03B2" w14:textId="77777777" w:rsidR="002653E8" w:rsidRDefault="003115E3">
      <w:pPr>
        <w:spacing w:before="33"/>
        <w:ind w:left="1527"/>
        <w:rPr>
          <w:i/>
          <w:sz w:val="16"/>
        </w:rPr>
      </w:pPr>
      <w:r>
        <w:rPr>
          <w:color w:val="231F20"/>
          <w:w w:val="105"/>
          <w:sz w:val="16"/>
        </w:rPr>
        <w:t>health effects 244</w:t>
      </w:r>
      <w:r>
        <w:rPr>
          <w:i/>
          <w:color w:val="231F20"/>
          <w:w w:val="105"/>
          <w:sz w:val="16"/>
        </w:rPr>
        <w:t xml:space="preserve">, </w:t>
      </w:r>
      <w:r>
        <w:rPr>
          <w:color w:val="231F20"/>
          <w:w w:val="105"/>
          <w:sz w:val="16"/>
        </w:rPr>
        <w:t>267</w:t>
      </w:r>
      <w:r>
        <w:rPr>
          <w:i/>
          <w:color w:val="231F20"/>
          <w:w w:val="105"/>
          <w:sz w:val="16"/>
        </w:rPr>
        <w:t xml:space="preserve">, </w:t>
      </w:r>
      <w:r>
        <w:rPr>
          <w:color w:val="231F20"/>
          <w:w w:val="105"/>
          <w:sz w:val="16"/>
        </w:rPr>
        <w:t>345</w:t>
      </w:r>
      <w:r>
        <w:rPr>
          <w:i/>
          <w:color w:val="231F20"/>
          <w:w w:val="105"/>
          <w:sz w:val="16"/>
        </w:rPr>
        <w:t xml:space="preserve">, </w:t>
      </w:r>
      <w:r>
        <w:rPr>
          <w:color w:val="231F20"/>
          <w:w w:val="105"/>
          <w:sz w:val="16"/>
        </w:rPr>
        <w:t>417</w:t>
      </w:r>
      <w:r>
        <w:rPr>
          <w:i/>
          <w:color w:val="231F20"/>
          <w:w w:val="105"/>
          <w:sz w:val="16"/>
        </w:rPr>
        <w:t>,</w:t>
      </w:r>
    </w:p>
    <w:p w14:paraId="0163BB68" w14:textId="77777777" w:rsidR="002653E8" w:rsidRDefault="003115E3">
      <w:pPr>
        <w:spacing w:before="32"/>
        <w:ind w:left="1527"/>
        <w:rPr>
          <w:sz w:val="16"/>
        </w:rPr>
      </w:pPr>
      <w:r>
        <w:rPr>
          <w:color w:val="231F20"/>
          <w:sz w:val="16"/>
        </w:rPr>
        <w:t>548–549; methods   241–242</w:t>
      </w:r>
      <w:r>
        <w:rPr>
          <w:i/>
          <w:color w:val="231F20"/>
          <w:sz w:val="16"/>
        </w:rPr>
        <w:t xml:space="preserve">, </w:t>
      </w:r>
      <w:r>
        <w:rPr>
          <w:color w:val="231F20"/>
          <w:sz w:val="16"/>
        </w:rPr>
        <w:t>515;</w:t>
      </w:r>
    </w:p>
    <w:p w14:paraId="6A192779" w14:textId="77777777" w:rsidR="002653E8" w:rsidRDefault="003115E3">
      <w:pPr>
        <w:spacing w:before="32"/>
        <w:ind w:left="1527"/>
        <w:rPr>
          <w:i/>
          <w:sz w:val="16"/>
        </w:rPr>
      </w:pPr>
      <w:r>
        <w:rPr>
          <w:color w:val="231F20"/>
          <w:w w:val="105"/>
          <w:sz w:val="16"/>
        </w:rPr>
        <w:t>resistance to 286–287</w:t>
      </w:r>
      <w:r>
        <w:rPr>
          <w:i/>
          <w:color w:val="231F20"/>
          <w:w w:val="105"/>
          <w:sz w:val="16"/>
        </w:rPr>
        <w:t xml:space="preserve">, </w:t>
      </w:r>
      <w:r>
        <w:rPr>
          <w:color w:val="231F20"/>
          <w:w w:val="105"/>
          <w:sz w:val="16"/>
        </w:rPr>
        <w:t>344</w:t>
      </w:r>
      <w:r>
        <w:rPr>
          <w:i/>
          <w:color w:val="231F20"/>
          <w:w w:val="105"/>
          <w:sz w:val="16"/>
        </w:rPr>
        <w:t xml:space="preserve">, </w:t>
      </w:r>
      <w:r>
        <w:rPr>
          <w:color w:val="231F20"/>
          <w:w w:val="105"/>
          <w:sz w:val="16"/>
        </w:rPr>
        <w:t>347</w:t>
      </w:r>
      <w:r>
        <w:rPr>
          <w:i/>
          <w:color w:val="231F20"/>
          <w:w w:val="105"/>
          <w:sz w:val="16"/>
        </w:rPr>
        <w:t xml:space="preserve">, </w:t>
      </w:r>
      <w:r>
        <w:rPr>
          <w:color w:val="231F20"/>
          <w:w w:val="105"/>
          <w:sz w:val="16"/>
        </w:rPr>
        <w:t>370</w:t>
      </w:r>
      <w:r>
        <w:rPr>
          <w:i/>
          <w:color w:val="231F20"/>
          <w:w w:val="105"/>
          <w:sz w:val="16"/>
        </w:rPr>
        <w:t>,</w:t>
      </w:r>
    </w:p>
    <w:p w14:paraId="620C2A9E" w14:textId="77777777" w:rsidR="002653E8" w:rsidRDefault="003115E3">
      <w:pPr>
        <w:spacing w:before="33"/>
        <w:ind w:left="1527"/>
        <w:rPr>
          <w:i/>
          <w:sz w:val="16"/>
        </w:rPr>
      </w:pPr>
      <w:r>
        <w:rPr>
          <w:color w:val="231F20"/>
          <w:w w:val="105"/>
          <w:sz w:val="16"/>
        </w:rPr>
        <w:t>401–402</w:t>
      </w:r>
      <w:r>
        <w:rPr>
          <w:i/>
          <w:color w:val="231F20"/>
          <w:w w:val="105"/>
          <w:sz w:val="16"/>
        </w:rPr>
        <w:t xml:space="preserve">, </w:t>
      </w:r>
      <w:r>
        <w:rPr>
          <w:color w:val="231F20"/>
          <w:w w:val="105"/>
          <w:sz w:val="16"/>
        </w:rPr>
        <w:t>403–404</w:t>
      </w:r>
      <w:r>
        <w:rPr>
          <w:i/>
          <w:color w:val="231F20"/>
          <w:w w:val="105"/>
          <w:sz w:val="16"/>
        </w:rPr>
        <w:t xml:space="preserve">, </w:t>
      </w:r>
      <w:r>
        <w:rPr>
          <w:color w:val="231F20"/>
          <w:w w:val="105"/>
          <w:sz w:val="16"/>
        </w:rPr>
        <w:t>487</w:t>
      </w:r>
      <w:r>
        <w:rPr>
          <w:i/>
          <w:color w:val="231F20"/>
          <w:w w:val="105"/>
          <w:sz w:val="16"/>
        </w:rPr>
        <w:t xml:space="preserve">, </w:t>
      </w:r>
      <w:r>
        <w:rPr>
          <w:color w:val="231F20"/>
          <w:w w:val="105"/>
          <w:sz w:val="16"/>
        </w:rPr>
        <w:t>493</w:t>
      </w:r>
      <w:r>
        <w:rPr>
          <w:i/>
          <w:color w:val="231F20"/>
          <w:w w:val="105"/>
          <w:sz w:val="16"/>
        </w:rPr>
        <w:t xml:space="preserve">, </w:t>
      </w:r>
      <w:r>
        <w:rPr>
          <w:color w:val="231F20"/>
          <w:w w:val="105"/>
          <w:sz w:val="16"/>
        </w:rPr>
        <w:t>497</w:t>
      </w:r>
      <w:r>
        <w:rPr>
          <w:i/>
          <w:color w:val="231F20"/>
          <w:w w:val="105"/>
          <w:sz w:val="16"/>
        </w:rPr>
        <w:t>,</w:t>
      </w:r>
    </w:p>
    <w:p w14:paraId="07CBD6A7" w14:textId="77777777" w:rsidR="002653E8" w:rsidRDefault="003115E3">
      <w:pPr>
        <w:spacing w:before="32"/>
        <w:ind w:left="1527"/>
        <w:rPr>
          <w:sz w:val="16"/>
        </w:rPr>
      </w:pPr>
      <w:r>
        <w:rPr>
          <w:color w:val="231F20"/>
          <w:sz w:val="16"/>
        </w:rPr>
        <w:t>604</w:t>
      </w:r>
      <w:r>
        <w:rPr>
          <w:i/>
          <w:color w:val="231F20"/>
          <w:sz w:val="16"/>
        </w:rPr>
        <w:t xml:space="preserve">, </w:t>
      </w:r>
      <w:r>
        <w:rPr>
          <w:color w:val="231F20"/>
          <w:sz w:val="16"/>
        </w:rPr>
        <w:t>610</w:t>
      </w:r>
      <w:r>
        <w:rPr>
          <w:i/>
          <w:color w:val="231F20"/>
          <w:sz w:val="16"/>
        </w:rPr>
        <w:t xml:space="preserve">, </w:t>
      </w:r>
      <w:r>
        <w:rPr>
          <w:color w:val="231F20"/>
          <w:sz w:val="16"/>
        </w:rPr>
        <w:t>614; sensory deprivation</w:t>
      </w:r>
    </w:p>
    <w:p w14:paraId="31F683AF" w14:textId="77777777" w:rsidR="002653E8" w:rsidRDefault="003115E3">
      <w:pPr>
        <w:spacing w:before="33"/>
        <w:ind w:left="1527"/>
        <w:rPr>
          <w:i/>
          <w:sz w:val="16"/>
        </w:rPr>
      </w:pPr>
      <w:r>
        <w:rPr>
          <w:color w:val="231F20"/>
          <w:w w:val="105"/>
          <w:sz w:val="16"/>
        </w:rPr>
        <w:t>238–240</w:t>
      </w:r>
      <w:r>
        <w:rPr>
          <w:i/>
          <w:color w:val="231F20"/>
          <w:w w:val="105"/>
          <w:sz w:val="16"/>
        </w:rPr>
        <w:t xml:space="preserve">, </w:t>
      </w:r>
      <w:r>
        <w:rPr>
          <w:color w:val="231F20"/>
          <w:w w:val="105"/>
          <w:sz w:val="16"/>
        </w:rPr>
        <w:t>249</w:t>
      </w:r>
      <w:r>
        <w:rPr>
          <w:i/>
          <w:color w:val="231F20"/>
          <w:w w:val="105"/>
          <w:sz w:val="16"/>
        </w:rPr>
        <w:t xml:space="preserve">, </w:t>
      </w:r>
      <w:r>
        <w:rPr>
          <w:color w:val="231F20"/>
          <w:w w:val="105"/>
          <w:sz w:val="16"/>
        </w:rPr>
        <w:t>271–273</w:t>
      </w:r>
      <w:r>
        <w:rPr>
          <w:i/>
          <w:color w:val="231F20"/>
          <w:w w:val="105"/>
          <w:sz w:val="16"/>
        </w:rPr>
        <w:t xml:space="preserve">, </w:t>
      </w:r>
      <w:r>
        <w:rPr>
          <w:color w:val="231F20"/>
          <w:w w:val="105"/>
          <w:sz w:val="16"/>
        </w:rPr>
        <w:t>285</w:t>
      </w:r>
      <w:r>
        <w:rPr>
          <w:i/>
          <w:color w:val="231F20"/>
          <w:w w:val="105"/>
          <w:sz w:val="16"/>
        </w:rPr>
        <w:t xml:space="preserve">, </w:t>
      </w:r>
      <w:r>
        <w:rPr>
          <w:color w:val="231F20"/>
          <w:w w:val="105"/>
          <w:sz w:val="16"/>
        </w:rPr>
        <w:t>302</w:t>
      </w:r>
      <w:r>
        <w:rPr>
          <w:i/>
          <w:color w:val="231F20"/>
          <w:w w:val="105"/>
          <w:sz w:val="16"/>
        </w:rPr>
        <w:t>,</w:t>
      </w:r>
    </w:p>
    <w:p w14:paraId="5926A132" w14:textId="77777777" w:rsidR="002653E8" w:rsidRDefault="003115E3">
      <w:pPr>
        <w:spacing w:before="32"/>
        <w:ind w:left="1527"/>
        <w:rPr>
          <w:sz w:val="16"/>
        </w:rPr>
      </w:pPr>
      <w:r>
        <w:rPr>
          <w:color w:val="231F20"/>
          <w:w w:val="110"/>
          <w:sz w:val="16"/>
        </w:rPr>
        <w:t>319</w:t>
      </w:r>
      <w:r>
        <w:rPr>
          <w:i/>
          <w:color w:val="231F20"/>
          <w:w w:val="110"/>
          <w:sz w:val="16"/>
        </w:rPr>
        <w:t xml:space="preserve">, </w:t>
      </w:r>
      <w:r>
        <w:rPr>
          <w:color w:val="231F20"/>
          <w:w w:val="110"/>
          <w:sz w:val="16"/>
        </w:rPr>
        <w:t>410</w:t>
      </w:r>
      <w:r>
        <w:rPr>
          <w:i/>
          <w:color w:val="231F20"/>
          <w:w w:val="110"/>
          <w:sz w:val="16"/>
        </w:rPr>
        <w:t xml:space="preserve">, </w:t>
      </w:r>
      <w:r>
        <w:rPr>
          <w:color w:val="231F20"/>
          <w:w w:val="110"/>
          <w:sz w:val="16"/>
        </w:rPr>
        <w:t>428</w:t>
      </w:r>
      <w:r>
        <w:rPr>
          <w:i/>
          <w:color w:val="231F20"/>
          <w:w w:val="110"/>
          <w:sz w:val="16"/>
        </w:rPr>
        <w:t xml:space="preserve">, </w:t>
      </w:r>
      <w:r>
        <w:rPr>
          <w:color w:val="231F20"/>
          <w:w w:val="110"/>
          <w:sz w:val="16"/>
        </w:rPr>
        <w:t>491</w:t>
      </w:r>
      <w:r>
        <w:rPr>
          <w:i/>
          <w:color w:val="231F20"/>
          <w:w w:val="110"/>
          <w:sz w:val="16"/>
        </w:rPr>
        <w:t xml:space="preserve">, </w:t>
      </w:r>
      <w:r>
        <w:rPr>
          <w:color w:val="231F20"/>
          <w:w w:val="110"/>
          <w:sz w:val="16"/>
        </w:rPr>
        <w:t>605</w:t>
      </w:r>
    </w:p>
    <w:p w14:paraId="3A02E616" w14:textId="77777777" w:rsidR="002653E8" w:rsidRDefault="003115E3">
      <w:pPr>
        <w:spacing w:before="33" w:line="280" w:lineRule="auto"/>
        <w:ind w:left="1527" w:right="35" w:hanging="200"/>
        <w:rPr>
          <w:i/>
          <w:sz w:val="16"/>
        </w:rPr>
      </w:pPr>
      <w:r>
        <w:rPr>
          <w:color w:val="231F20"/>
          <w:sz w:val="16"/>
        </w:rPr>
        <w:t>Israel 439</w:t>
      </w:r>
      <w:r>
        <w:rPr>
          <w:i/>
          <w:color w:val="231F20"/>
          <w:sz w:val="16"/>
        </w:rPr>
        <w:t xml:space="preserve">, </w:t>
      </w:r>
      <w:r>
        <w:rPr>
          <w:color w:val="231F20"/>
          <w:sz w:val="16"/>
        </w:rPr>
        <w:t>440</w:t>
      </w:r>
      <w:r>
        <w:rPr>
          <w:i/>
          <w:color w:val="231F20"/>
          <w:sz w:val="16"/>
        </w:rPr>
        <w:t xml:space="preserve">. See also </w:t>
      </w:r>
      <w:r>
        <w:rPr>
          <w:color w:val="231F20"/>
          <w:sz w:val="16"/>
        </w:rPr>
        <w:t>Federal Republic of Germany—Imperialism: and Israel</w:t>
      </w:r>
      <w:r>
        <w:rPr>
          <w:i/>
          <w:color w:val="231F20"/>
          <w:sz w:val="16"/>
        </w:rPr>
        <w:t xml:space="preserve">; See also </w:t>
      </w:r>
      <w:r>
        <w:rPr>
          <w:color w:val="231F20"/>
          <w:sz w:val="16"/>
        </w:rPr>
        <w:t>New Left: Anti-Zionism</w:t>
      </w:r>
      <w:r>
        <w:rPr>
          <w:i/>
          <w:color w:val="231F20"/>
          <w:sz w:val="16"/>
        </w:rPr>
        <w:t xml:space="preserve">; See also </w:t>
      </w:r>
      <w:r>
        <w:rPr>
          <w:color w:val="231F20"/>
          <w:sz w:val="16"/>
        </w:rPr>
        <w:t>undogmatic left: Anti-Zionism</w:t>
      </w:r>
      <w:r>
        <w:rPr>
          <w:i/>
          <w:color w:val="231F20"/>
          <w:sz w:val="16"/>
        </w:rPr>
        <w:t xml:space="preserve">; See also </w:t>
      </w:r>
      <w:r>
        <w:rPr>
          <w:color w:val="231F20"/>
          <w:sz w:val="16"/>
        </w:rPr>
        <w:t>Revolutionary Cells: anti-Zionism</w:t>
      </w:r>
      <w:r>
        <w:rPr>
          <w:i/>
          <w:color w:val="231F20"/>
          <w:sz w:val="16"/>
        </w:rPr>
        <w:t xml:space="preserve">; See also </w:t>
      </w:r>
      <w:r>
        <w:rPr>
          <w:color w:val="231F20"/>
          <w:sz w:val="16"/>
        </w:rPr>
        <w:t xml:space="preserve">Zionism; and Entebbe 440; mentioned by Black September 204; mentioned by </w:t>
      </w:r>
      <w:r w:rsidR="00C507A5">
        <w:rPr>
          <w:color w:val="231F20"/>
          <w:sz w:val="16"/>
        </w:rPr>
        <w:t>red army faction</w:t>
      </w:r>
      <w:r>
        <w:rPr>
          <w:color w:val="231F20"/>
          <w:sz w:val="16"/>
        </w:rPr>
        <w:t xml:space="preserve"> 206</w:t>
      </w:r>
      <w:r>
        <w:rPr>
          <w:i/>
          <w:color w:val="231F20"/>
          <w:sz w:val="16"/>
        </w:rPr>
        <w:t xml:space="preserve">, </w:t>
      </w:r>
      <w:r>
        <w:rPr>
          <w:color w:val="231F20"/>
          <w:sz w:val="16"/>
        </w:rPr>
        <w:t>214</w:t>
      </w:r>
      <w:r>
        <w:rPr>
          <w:i/>
          <w:color w:val="231F20"/>
          <w:sz w:val="16"/>
        </w:rPr>
        <w:t xml:space="preserve">, </w:t>
      </w:r>
      <w:r>
        <w:rPr>
          <w:color w:val="231F20"/>
          <w:sz w:val="16"/>
        </w:rPr>
        <w:t>228</w:t>
      </w:r>
      <w:r>
        <w:rPr>
          <w:i/>
          <w:color w:val="231F20"/>
          <w:sz w:val="16"/>
        </w:rPr>
        <w:t>,</w:t>
      </w:r>
    </w:p>
    <w:p w14:paraId="1C41BB8D" w14:textId="77777777" w:rsidR="002653E8" w:rsidRDefault="003115E3">
      <w:pPr>
        <w:spacing w:before="4" w:line="280" w:lineRule="auto"/>
        <w:ind w:left="1527" w:right="20"/>
        <w:rPr>
          <w:sz w:val="16"/>
        </w:rPr>
      </w:pPr>
      <w:r>
        <w:rPr>
          <w:color w:val="231F20"/>
          <w:w w:val="105"/>
          <w:sz w:val="16"/>
        </w:rPr>
        <w:t>229</w:t>
      </w:r>
      <w:r>
        <w:rPr>
          <w:i/>
          <w:color w:val="231F20"/>
          <w:w w:val="105"/>
          <w:sz w:val="16"/>
        </w:rPr>
        <w:t xml:space="preserve">, </w:t>
      </w:r>
      <w:r>
        <w:rPr>
          <w:color w:val="231F20"/>
          <w:w w:val="105"/>
          <w:sz w:val="16"/>
        </w:rPr>
        <w:t>231–232; Mossad 561; reaction to Munich Olympics 191–192; considered “Nazi” 215</w:t>
      </w:r>
      <w:r>
        <w:rPr>
          <w:i/>
          <w:color w:val="231F20"/>
          <w:w w:val="105"/>
          <w:sz w:val="16"/>
        </w:rPr>
        <w:t xml:space="preserve">, </w:t>
      </w:r>
      <w:r>
        <w:rPr>
          <w:color w:val="231F20"/>
          <w:w w:val="105"/>
          <w:sz w:val="16"/>
        </w:rPr>
        <w:t>231</w:t>
      </w:r>
      <w:r>
        <w:rPr>
          <w:i/>
          <w:color w:val="231F20"/>
          <w:w w:val="105"/>
          <w:sz w:val="16"/>
        </w:rPr>
        <w:t xml:space="preserve">, </w:t>
      </w:r>
      <w:r>
        <w:rPr>
          <w:color w:val="231F20"/>
          <w:w w:val="105"/>
          <w:sz w:val="16"/>
        </w:rPr>
        <w:t>504; Palestinian</w:t>
      </w:r>
    </w:p>
    <w:p w14:paraId="20C4D6BB" w14:textId="77777777" w:rsidR="002653E8" w:rsidRDefault="003115E3">
      <w:pPr>
        <w:spacing w:before="1"/>
        <w:ind w:left="1527"/>
        <w:rPr>
          <w:sz w:val="16"/>
        </w:rPr>
      </w:pPr>
      <w:r>
        <w:rPr>
          <w:color w:val="231F20"/>
          <w:sz w:val="16"/>
        </w:rPr>
        <w:t>prisoners’ hunger strike (1977) 488;</w:t>
      </w:r>
    </w:p>
    <w:p w14:paraId="3A6E9ADA" w14:textId="77777777" w:rsidR="002653E8" w:rsidRDefault="003115E3">
      <w:pPr>
        <w:spacing w:before="33"/>
        <w:ind w:left="1527"/>
        <w:rPr>
          <w:sz w:val="16"/>
        </w:rPr>
      </w:pPr>
      <w:r>
        <w:rPr>
          <w:color w:val="231F20"/>
          <w:w w:val="105"/>
          <w:sz w:val="16"/>
        </w:rPr>
        <w:t>Six Day War   34</w:t>
      </w:r>
      <w:r>
        <w:rPr>
          <w:i/>
          <w:color w:val="231F20"/>
          <w:w w:val="105"/>
          <w:sz w:val="16"/>
        </w:rPr>
        <w:t xml:space="preserve">, </w:t>
      </w:r>
      <w:r>
        <w:rPr>
          <w:color w:val="231F20"/>
          <w:w w:val="105"/>
          <w:sz w:val="16"/>
        </w:rPr>
        <w:t>56</w:t>
      </w:r>
      <w:r>
        <w:rPr>
          <w:i/>
          <w:color w:val="231F20"/>
          <w:w w:val="105"/>
          <w:sz w:val="16"/>
        </w:rPr>
        <w:t xml:space="preserve">, </w:t>
      </w:r>
      <w:r>
        <w:rPr>
          <w:color w:val="231F20"/>
          <w:w w:val="105"/>
          <w:sz w:val="16"/>
        </w:rPr>
        <w:t>580–581; yom</w:t>
      </w:r>
    </w:p>
    <w:p w14:paraId="40376BA5" w14:textId="77777777" w:rsidR="002653E8" w:rsidRDefault="003115E3">
      <w:pPr>
        <w:spacing w:before="32"/>
        <w:ind w:left="1527"/>
        <w:rPr>
          <w:sz w:val="16"/>
        </w:rPr>
      </w:pPr>
      <w:r>
        <w:rPr>
          <w:color w:val="231F20"/>
          <w:sz w:val="16"/>
        </w:rPr>
        <w:t>Kippur War   199</w:t>
      </w:r>
    </w:p>
    <w:p w14:paraId="2929799A" w14:textId="77777777" w:rsidR="002653E8" w:rsidRDefault="003115E3">
      <w:pPr>
        <w:spacing w:before="33"/>
        <w:ind w:left="1327"/>
        <w:rPr>
          <w:sz w:val="16"/>
        </w:rPr>
      </w:pPr>
      <w:r>
        <w:rPr>
          <w:color w:val="231F20"/>
          <w:sz w:val="16"/>
        </w:rPr>
        <w:t>Israel, Joachim   382</w:t>
      </w:r>
    </w:p>
    <w:p w14:paraId="372AC88F" w14:textId="77777777" w:rsidR="002653E8" w:rsidRDefault="003115E3">
      <w:pPr>
        <w:spacing w:before="32"/>
        <w:ind w:left="1327"/>
        <w:rPr>
          <w:sz w:val="16"/>
        </w:rPr>
      </w:pPr>
      <w:r>
        <w:rPr>
          <w:color w:val="231F20"/>
          <w:sz w:val="16"/>
        </w:rPr>
        <w:t>Italy 87</w:t>
      </w:r>
      <w:r>
        <w:rPr>
          <w:i/>
          <w:color w:val="231F20"/>
          <w:sz w:val="16"/>
        </w:rPr>
        <w:t xml:space="preserve">, </w:t>
      </w:r>
      <w:r>
        <w:rPr>
          <w:color w:val="231F20"/>
          <w:sz w:val="16"/>
        </w:rPr>
        <w:t>254</w:t>
      </w:r>
      <w:r>
        <w:rPr>
          <w:i/>
          <w:color w:val="231F20"/>
          <w:sz w:val="16"/>
        </w:rPr>
        <w:t xml:space="preserve">, </w:t>
      </w:r>
      <w:r>
        <w:rPr>
          <w:color w:val="231F20"/>
          <w:sz w:val="16"/>
        </w:rPr>
        <w:t>435</w:t>
      </w:r>
      <w:r>
        <w:rPr>
          <w:i/>
          <w:color w:val="231F20"/>
          <w:sz w:val="16"/>
        </w:rPr>
        <w:t xml:space="preserve">, </w:t>
      </w:r>
      <w:r>
        <w:rPr>
          <w:color w:val="231F20"/>
          <w:sz w:val="16"/>
        </w:rPr>
        <w:t>508; mentioned by</w:t>
      </w:r>
    </w:p>
    <w:p w14:paraId="7F5CF7F4" w14:textId="77777777" w:rsidR="002653E8" w:rsidRDefault="00C507A5">
      <w:pPr>
        <w:spacing w:before="33"/>
        <w:ind w:left="1527"/>
        <w:rPr>
          <w:i/>
          <w:sz w:val="16"/>
        </w:rPr>
      </w:pPr>
      <w:r>
        <w:rPr>
          <w:color w:val="231F20"/>
          <w:w w:val="110"/>
          <w:sz w:val="16"/>
        </w:rPr>
        <w:t>red army faction</w:t>
      </w:r>
      <w:r w:rsidR="003115E3">
        <w:rPr>
          <w:color w:val="231F20"/>
          <w:w w:val="110"/>
          <w:sz w:val="16"/>
        </w:rPr>
        <w:t xml:space="preserve"> 311</w:t>
      </w:r>
      <w:r w:rsidR="003115E3">
        <w:rPr>
          <w:i/>
          <w:color w:val="231F20"/>
          <w:w w:val="110"/>
          <w:sz w:val="16"/>
        </w:rPr>
        <w:t xml:space="preserve">, </w:t>
      </w:r>
      <w:r w:rsidR="003115E3">
        <w:rPr>
          <w:color w:val="231F20"/>
          <w:w w:val="110"/>
          <w:sz w:val="16"/>
        </w:rPr>
        <w:t xml:space="preserve">360; and </w:t>
      </w:r>
      <w:r>
        <w:rPr>
          <w:color w:val="231F20"/>
          <w:w w:val="110"/>
          <w:sz w:val="16"/>
        </w:rPr>
        <w:t xml:space="preserve">red </w:t>
      </w:r>
      <w:r>
        <w:rPr>
          <w:color w:val="231F20"/>
          <w:w w:val="110"/>
          <w:sz w:val="16"/>
        </w:rPr>
        <w:t>army faction</w:t>
      </w:r>
      <w:r w:rsidR="003115E3">
        <w:rPr>
          <w:color w:val="231F20"/>
          <w:w w:val="110"/>
          <w:sz w:val="16"/>
        </w:rPr>
        <w:t xml:space="preserve"> 50</w:t>
      </w:r>
      <w:r w:rsidR="003115E3">
        <w:rPr>
          <w:i/>
          <w:color w:val="231F20"/>
          <w:w w:val="110"/>
          <w:sz w:val="16"/>
        </w:rPr>
        <w:t xml:space="preserve">, </w:t>
      </w:r>
      <w:r w:rsidR="003115E3">
        <w:rPr>
          <w:color w:val="231F20"/>
          <w:w w:val="110"/>
          <w:sz w:val="16"/>
        </w:rPr>
        <w:t>389</w:t>
      </w:r>
      <w:r w:rsidR="003115E3">
        <w:rPr>
          <w:i/>
          <w:color w:val="231F20"/>
          <w:w w:val="110"/>
          <w:sz w:val="16"/>
        </w:rPr>
        <w:t xml:space="preserve">, </w:t>
      </w:r>
      <w:r w:rsidR="003115E3">
        <w:rPr>
          <w:color w:val="231F20"/>
          <w:w w:val="110"/>
          <w:sz w:val="16"/>
        </w:rPr>
        <w:t>413</w:t>
      </w:r>
      <w:r w:rsidR="003115E3">
        <w:rPr>
          <w:i/>
          <w:color w:val="231F20"/>
          <w:w w:val="110"/>
          <w:sz w:val="16"/>
        </w:rPr>
        <w:t>,</w:t>
      </w:r>
    </w:p>
    <w:p w14:paraId="2CA13BF6" w14:textId="77777777" w:rsidR="002653E8" w:rsidRDefault="003115E3">
      <w:pPr>
        <w:spacing w:before="32"/>
        <w:ind w:left="1527"/>
        <w:rPr>
          <w:sz w:val="16"/>
        </w:rPr>
      </w:pPr>
      <w:r>
        <w:rPr>
          <w:color w:val="231F20"/>
          <w:w w:val="105"/>
          <w:sz w:val="16"/>
        </w:rPr>
        <w:t>521–522</w:t>
      </w:r>
      <w:r>
        <w:rPr>
          <w:i/>
          <w:color w:val="231F20"/>
          <w:w w:val="105"/>
          <w:sz w:val="16"/>
        </w:rPr>
        <w:t xml:space="preserve">, </w:t>
      </w:r>
      <w:r>
        <w:rPr>
          <w:color w:val="231F20"/>
          <w:w w:val="105"/>
          <w:sz w:val="16"/>
        </w:rPr>
        <w:t>524</w:t>
      </w:r>
      <w:r>
        <w:rPr>
          <w:i/>
          <w:color w:val="231F20"/>
          <w:w w:val="105"/>
          <w:sz w:val="16"/>
        </w:rPr>
        <w:t xml:space="preserve">, </w:t>
      </w:r>
      <w:r>
        <w:rPr>
          <w:color w:val="231F20"/>
          <w:w w:val="105"/>
          <w:sz w:val="16"/>
        </w:rPr>
        <w:t>529</w:t>
      </w:r>
      <w:r>
        <w:rPr>
          <w:i/>
          <w:color w:val="231F20"/>
          <w:w w:val="105"/>
          <w:sz w:val="16"/>
        </w:rPr>
        <w:t xml:space="preserve">, </w:t>
      </w:r>
      <w:r>
        <w:rPr>
          <w:color w:val="231F20"/>
          <w:w w:val="105"/>
          <w:sz w:val="16"/>
        </w:rPr>
        <w:t>619; strategy of</w:t>
      </w:r>
    </w:p>
    <w:p w14:paraId="40860AA2" w14:textId="77777777" w:rsidR="002653E8" w:rsidRDefault="003115E3">
      <w:pPr>
        <w:spacing w:before="32"/>
        <w:ind w:left="1527"/>
        <w:rPr>
          <w:sz w:val="16"/>
        </w:rPr>
      </w:pPr>
      <w:r>
        <w:rPr>
          <w:color w:val="231F20"/>
          <w:sz w:val="16"/>
        </w:rPr>
        <w:t>tension 62</w:t>
      </w:r>
      <w:r>
        <w:rPr>
          <w:i/>
          <w:color w:val="231F20"/>
          <w:sz w:val="16"/>
        </w:rPr>
        <w:t xml:space="preserve">, </w:t>
      </w:r>
      <w:r>
        <w:rPr>
          <w:color w:val="231F20"/>
          <w:sz w:val="16"/>
        </w:rPr>
        <w:t>349</w:t>
      </w:r>
    </w:p>
    <w:p w14:paraId="7152C084" w14:textId="77777777" w:rsidR="002653E8" w:rsidRDefault="003115E3">
      <w:pPr>
        <w:spacing w:before="86"/>
        <w:ind w:left="234"/>
        <w:rPr>
          <w:sz w:val="16"/>
        </w:rPr>
      </w:pPr>
      <w:r>
        <w:br w:type="column"/>
      </w:r>
      <w:r>
        <w:rPr>
          <w:color w:val="231F20"/>
          <w:w w:val="105"/>
          <w:sz w:val="16"/>
        </w:rPr>
        <w:lastRenderedPageBreak/>
        <w:t>Jackson, George 407</w:t>
      </w:r>
    </w:p>
    <w:p w14:paraId="0EB075BA" w14:textId="77777777" w:rsidR="002653E8" w:rsidRDefault="003115E3">
      <w:pPr>
        <w:spacing w:before="33"/>
        <w:ind w:left="234"/>
        <w:rPr>
          <w:sz w:val="16"/>
        </w:rPr>
      </w:pPr>
      <w:r>
        <w:rPr>
          <w:color w:val="231F20"/>
          <w:w w:val="105"/>
          <w:sz w:val="16"/>
        </w:rPr>
        <w:t>Jakobsmeier, Ingrid 611</w:t>
      </w:r>
      <w:r>
        <w:rPr>
          <w:i/>
          <w:color w:val="231F20"/>
          <w:w w:val="105"/>
          <w:sz w:val="16"/>
        </w:rPr>
        <w:t xml:space="preserve">, </w:t>
      </w:r>
      <w:r>
        <w:rPr>
          <w:color w:val="231F20"/>
          <w:w w:val="105"/>
          <w:sz w:val="16"/>
        </w:rPr>
        <w:t>616</w:t>
      </w:r>
      <w:r>
        <w:rPr>
          <w:i/>
          <w:color w:val="231F20"/>
          <w:w w:val="105"/>
          <w:sz w:val="16"/>
        </w:rPr>
        <w:t xml:space="preserve">, </w:t>
      </w:r>
      <w:r>
        <w:rPr>
          <w:color w:val="231F20"/>
          <w:w w:val="105"/>
          <w:sz w:val="16"/>
        </w:rPr>
        <w:t>623</w:t>
      </w:r>
    </w:p>
    <w:p w14:paraId="22A11818" w14:textId="77777777" w:rsidR="002653E8" w:rsidRDefault="003115E3">
      <w:pPr>
        <w:spacing w:before="32"/>
        <w:ind w:left="234"/>
        <w:rPr>
          <w:sz w:val="16"/>
        </w:rPr>
      </w:pPr>
      <w:r>
        <w:rPr>
          <w:color w:val="231F20"/>
          <w:sz w:val="16"/>
        </w:rPr>
        <w:t>James, Daniel 178</w:t>
      </w:r>
    </w:p>
    <w:p w14:paraId="19261B0D" w14:textId="77777777" w:rsidR="002653E8" w:rsidRDefault="003115E3">
      <w:pPr>
        <w:spacing w:before="33"/>
        <w:ind w:left="234"/>
        <w:rPr>
          <w:sz w:val="16"/>
        </w:rPr>
      </w:pPr>
      <w:r>
        <w:rPr>
          <w:color w:val="231F20"/>
          <w:sz w:val="16"/>
        </w:rPr>
        <w:t>Jansen, Ali 59</w:t>
      </w:r>
      <w:r>
        <w:rPr>
          <w:i/>
          <w:color w:val="231F20"/>
          <w:sz w:val="16"/>
        </w:rPr>
        <w:t xml:space="preserve">, </w:t>
      </w:r>
      <w:r>
        <w:rPr>
          <w:color w:val="231F20"/>
          <w:sz w:val="16"/>
        </w:rPr>
        <w:t>113</w:t>
      </w:r>
      <w:r>
        <w:rPr>
          <w:i/>
          <w:color w:val="231F20"/>
          <w:sz w:val="16"/>
        </w:rPr>
        <w:t xml:space="preserve">, </w:t>
      </w:r>
      <w:r>
        <w:rPr>
          <w:color w:val="231F20"/>
          <w:sz w:val="16"/>
        </w:rPr>
        <w:t>569; captured (1970)</w:t>
      </w:r>
    </w:p>
    <w:p w14:paraId="65E87C64" w14:textId="77777777" w:rsidR="002653E8" w:rsidRDefault="003115E3">
      <w:pPr>
        <w:spacing w:before="32"/>
        <w:ind w:left="434"/>
        <w:rPr>
          <w:sz w:val="16"/>
        </w:rPr>
      </w:pPr>
      <w:r>
        <w:rPr>
          <w:color w:val="231F20"/>
          <w:sz w:val="16"/>
        </w:rPr>
        <w:t>60</w:t>
      </w:r>
      <w:r>
        <w:rPr>
          <w:i/>
          <w:color w:val="231F20"/>
          <w:sz w:val="16"/>
        </w:rPr>
        <w:t xml:space="preserve">, </w:t>
      </w:r>
      <w:r>
        <w:rPr>
          <w:color w:val="231F20"/>
          <w:sz w:val="16"/>
        </w:rPr>
        <w:t>86</w:t>
      </w:r>
      <w:r>
        <w:rPr>
          <w:i/>
          <w:color w:val="231F20"/>
          <w:sz w:val="16"/>
        </w:rPr>
        <w:t xml:space="preserve">, </w:t>
      </w:r>
      <w:r>
        <w:rPr>
          <w:color w:val="231F20"/>
          <w:sz w:val="16"/>
        </w:rPr>
        <w:t>585; release demanded   339;</w:t>
      </w:r>
    </w:p>
    <w:p w14:paraId="22F8EAC9" w14:textId="77777777" w:rsidR="002653E8" w:rsidRDefault="003115E3">
      <w:pPr>
        <w:spacing w:before="32"/>
        <w:ind w:left="434"/>
        <w:rPr>
          <w:sz w:val="16"/>
        </w:rPr>
      </w:pPr>
      <w:r>
        <w:rPr>
          <w:color w:val="231F20"/>
          <w:sz w:val="16"/>
        </w:rPr>
        <w:t>trial (1973)  593; water deprivation</w:t>
      </w:r>
    </w:p>
    <w:p w14:paraId="4253EE6C" w14:textId="77777777" w:rsidR="002653E8" w:rsidRDefault="003115E3">
      <w:pPr>
        <w:spacing w:before="33"/>
        <w:ind w:left="434"/>
        <w:rPr>
          <w:sz w:val="16"/>
        </w:rPr>
      </w:pPr>
      <w:r>
        <w:rPr>
          <w:color w:val="231F20"/>
          <w:w w:val="105"/>
          <w:sz w:val="16"/>
        </w:rPr>
        <w:t>258</w:t>
      </w:r>
      <w:r>
        <w:rPr>
          <w:i/>
          <w:color w:val="231F20"/>
          <w:w w:val="105"/>
          <w:sz w:val="16"/>
        </w:rPr>
        <w:t xml:space="preserve">, </w:t>
      </w:r>
      <w:r>
        <w:rPr>
          <w:color w:val="231F20"/>
          <w:w w:val="105"/>
          <w:sz w:val="16"/>
        </w:rPr>
        <w:t>387</w:t>
      </w:r>
    </w:p>
    <w:p w14:paraId="28EE7110" w14:textId="77777777" w:rsidR="002653E8" w:rsidRDefault="003115E3">
      <w:pPr>
        <w:spacing w:before="32"/>
        <w:ind w:left="234"/>
        <w:rPr>
          <w:sz w:val="16"/>
        </w:rPr>
      </w:pPr>
      <w:r>
        <w:rPr>
          <w:color w:val="231F20"/>
          <w:w w:val="105"/>
          <w:sz w:val="16"/>
        </w:rPr>
        <w:t>Japan 207</w:t>
      </w:r>
      <w:r>
        <w:rPr>
          <w:i/>
          <w:color w:val="231F20"/>
          <w:w w:val="105"/>
          <w:sz w:val="16"/>
        </w:rPr>
        <w:t xml:space="preserve">, </w:t>
      </w:r>
      <w:r>
        <w:rPr>
          <w:color w:val="231F20"/>
          <w:w w:val="105"/>
          <w:sz w:val="16"/>
        </w:rPr>
        <w:t>526</w:t>
      </w:r>
    </w:p>
    <w:p w14:paraId="5E7445C2" w14:textId="77777777" w:rsidR="002653E8" w:rsidRDefault="003115E3">
      <w:pPr>
        <w:spacing w:before="33"/>
        <w:ind w:left="234"/>
        <w:rPr>
          <w:sz w:val="16"/>
        </w:rPr>
      </w:pPr>
      <w:r>
        <w:rPr>
          <w:color w:val="231F20"/>
          <w:w w:val="105"/>
          <w:sz w:val="16"/>
        </w:rPr>
        <w:t>Jarosch, Klaus 383</w:t>
      </w:r>
    </w:p>
    <w:p w14:paraId="2DA5003D" w14:textId="77777777" w:rsidR="002653E8" w:rsidRDefault="003115E3">
      <w:pPr>
        <w:spacing w:before="32"/>
        <w:ind w:left="234"/>
        <w:rPr>
          <w:sz w:val="16"/>
        </w:rPr>
      </w:pPr>
      <w:r>
        <w:rPr>
          <w:color w:val="231F20"/>
          <w:w w:val="105"/>
          <w:sz w:val="16"/>
        </w:rPr>
        <w:t>Jendrian, Günter 569</w:t>
      </w:r>
      <w:r>
        <w:rPr>
          <w:i/>
          <w:color w:val="231F20"/>
          <w:w w:val="105"/>
          <w:sz w:val="16"/>
        </w:rPr>
        <w:t xml:space="preserve">, </w:t>
      </w:r>
      <w:r>
        <w:rPr>
          <w:color w:val="231F20"/>
          <w:w w:val="105"/>
          <w:sz w:val="16"/>
        </w:rPr>
        <w:t>594</w:t>
      </w:r>
    </w:p>
    <w:p w14:paraId="2E06F90E" w14:textId="77777777" w:rsidR="002653E8" w:rsidRDefault="003115E3">
      <w:pPr>
        <w:spacing w:before="32"/>
        <w:ind w:left="234"/>
        <w:rPr>
          <w:sz w:val="16"/>
        </w:rPr>
      </w:pPr>
      <w:r>
        <w:rPr>
          <w:color w:val="231F20"/>
          <w:sz w:val="16"/>
        </w:rPr>
        <w:t>Jeunes Avocats 526</w:t>
      </w:r>
    </w:p>
    <w:p w14:paraId="5C8D6035" w14:textId="77777777" w:rsidR="002653E8" w:rsidRDefault="003115E3">
      <w:pPr>
        <w:spacing w:before="33" w:line="280" w:lineRule="auto"/>
        <w:ind w:left="434" w:right="1408" w:hanging="200"/>
        <w:rPr>
          <w:sz w:val="16"/>
        </w:rPr>
      </w:pPr>
      <w:r>
        <w:rPr>
          <w:color w:val="231F20"/>
          <w:w w:val="105"/>
          <w:sz w:val="16"/>
        </w:rPr>
        <w:t>Jishshi, Sammar ‘Adnan ‘abd al-Ghani al191</w:t>
      </w:r>
    </w:p>
    <w:p w14:paraId="36B0AE17" w14:textId="77777777" w:rsidR="002653E8" w:rsidRPr="00846956" w:rsidRDefault="003115E3">
      <w:pPr>
        <w:spacing w:before="1"/>
        <w:ind w:left="234"/>
        <w:rPr>
          <w:sz w:val="16"/>
          <w:lang w:val="de-DE"/>
        </w:rPr>
      </w:pPr>
      <w:r w:rsidRPr="00846956">
        <w:rPr>
          <w:color w:val="231F20"/>
          <w:w w:val="105"/>
          <w:sz w:val="16"/>
          <w:lang w:val="de-DE"/>
        </w:rPr>
        <w:t>Jochimsen, Luc 145</w:t>
      </w:r>
    </w:p>
    <w:p w14:paraId="33138438" w14:textId="77777777" w:rsidR="002653E8" w:rsidRDefault="003115E3">
      <w:pPr>
        <w:spacing w:before="32" w:line="280" w:lineRule="auto"/>
        <w:ind w:left="234" w:right="949"/>
        <w:rPr>
          <w:sz w:val="16"/>
        </w:rPr>
      </w:pPr>
      <w:r w:rsidRPr="00846956">
        <w:rPr>
          <w:color w:val="231F20"/>
          <w:w w:val="105"/>
          <w:sz w:val="16"/>
          <w:lang w:val="de-DE"/>
        </w:rPr>
        <w:t>Jong, Dirk “Dionysius” de 530</w:t>
      </w:r>
      <w:r w:rsidRPr="00846956">
        <w:rPr>
          <w:i/>
          <w:color w:val="231F20"/>
          <w:w w:val="105"/>
          <w:sz w:val="16"/>
          <w:lang w:val="de-DE"/>
        </w:rPr>
        <w:t xml:space="preserve">, </w:t>
      </w:r>
      <w:r w:rsidRPr="00846956">
        <w:rPr>
          <w:color w:val="231F20"/>
          <w:w w:val="105"/>
          <w:sz w:val="16"/>
          <w:lang w:val="de-DE"/>
        </w:rPr>
        <w:t>569</w:t>
      </w:r>
      <w:r w:rsidRPr="00846956">
        <w:rPr>
          <w:i/>
          <w:color w:val="231F20"/>
          <w:w w:val="105"/>
          <w:sz w:val="16"/>
          <w:lang w:val="de-DE"/>
        </w:rPr>
        <w:t xml:space="preserve">, </w:t>
      </w:r>
      <w:r w:rsidRPr="00846956">
        <w:rPr>
          <w:color w:val="231F20"/>
          <w:w w:val="105"/>
          <w:sz w:val="16"/>
          <w:lang w:val="de-DE"/>
        </w:rPr>
        <w:t>611 Jordan 557</w:t>
      </w:r>
      <w:r w:rsidRPr="00846956">
        <w:rPr>
          <w:i/>
          <w:color w:val="231F20"/>
          <w:w w:val="105"/>
          <w:sz w:val="16"/>
          <w:lang w:val="de-DE"/>
        </w:rPr>
        <w:t xml:space="preserve">, </w:t>
      </w:r>
      <w:r w:rsidRPr="00846956">
        <w:rPr>
          <w:color w:val="231F20"/>
          <w:w w:val="105"/>
          <w:sz w:val="16"/>
          <w:lang w:val="de-DE"/>
        </w:rPr>
        <w:t>558</w:t>
      </w:r>
      <w:r w:rsidRPr="00846956">
        <w:rPr>
          <w:i/>
          <w:color w:val="231F20"/>
          <w:w w:val="105"/>
          <w:sz w:val="16"/>
          <w:lang w:val="de-DE"/>
        </w:rPr>
        <w:t xml:space="preserve">. </w:t>
      </w:r>
      <w:r>
        <w:rPr>
          <w:i/>
          <w:color w:val="231F20"/>
          <w:w w:val="105"/>
          <w:sz w:val="16"/>
        </w:rPr>
        <w:t xml:space="preserve">See also </w:t>
      </w:r>
      <w:r>
        <w:rPr>
          <w:color w:val="231F20"/>
          <w:w w:val="105"/>
          <w:sz w:val="16"/>
        </w:rPr>
        <w:t>Black Sep-</w:t>
      </w:r>
    </w:p>
    <w:p w14:paraId="0EC42659" w14:textId="77777777" w:rsidR="002653E8" w:rsidRDefault="003115E3">
      <w:pPr>
        <w:spacing w:before="1" w:line="280" w:lineRule="auto"/>
        <w:ind w:left="434" w:right="1311"/>
        <w:rPr>
          <w:sz w:val="16"/>
        </w:rPr>
      </w:pPr>
      <w:r>
        <w:rPr>
          <w:color w:val="231F20"/>
          <w:sz w:val="16"/>
        </w:rPr>
        <w:t>tember (massacre); Black September,</w:t>
      </w:r>
      <w:r>
        <w:rPr>
          <w:color w:val="231F20"/>
          <w:w w:val="135"/>
          <w:sz w:val="16"/>
        </w:rPr>
        <w:t xml:space="preserve"> </w:t>
      </w:r>
      <w:r>
        <w:rPr>
          <w:color w:val="231F20"/>
          <w:sz w:val="16"/>
        </w:rPr>
        <w:t>targeted by 188</w:t>
      </w:r>
      <w:r>
        <w:rPr>
          <w:i/>
          <w:color w:val="231F20"/>
          <w:sz w:val="16"/>
        </w:rPr>
        <w:t xml:space="preserve">, </w:t>
      </w:r>
      <w:r>
        <w:rPr>
          <w:color w:val="231F20"/>
          <w:sz w:val="16"/>
        </w:rPr>
        <w:t>193; rear base</w:t>
      </w:r>
    </w:p>
    <w:p w14:paraId="15FFDB2F" w14:textId="77777777" w:rsidR="002653E8" w:rsidRDefault="003115E3">
      <w:pPr>
        <w:spacing w:before="2"/>
        <w:ind w:left="434"/>
        <w:rPr>
          <w:i/>
          <w:sz w:val="16"/>
        </w:rPr>
      </w:pPr>
      <w:r>
        <w:rPr>
          <w:color w:val="231F20"/>
          <w:w w:val="105"/>
          <w:sz w:val="16"/>
        </w:rPr>
        <w:t>area 56–57</w:t>
      </w:r>
      <w:r>
        <w:rPr>
          <w:i/>
          <w:color w:val="231F20"/>
          <w:w w:val="105"/>
          <w:sz w:val="16"/>
        </w:rPr>
        <w:t xml:space="preserve">, </w:t>
      </w:r>
      <w:r>
        <w:rPr>
          <w:color w:val="231F20"/>
          <w:w w:val="105"/>
          <w:sz w:val="16"/>
        </w:rPr>
        <w:t>583; Six Day War 34</w:t>
      </w:r>
      <w:r>
        <w:rPr>
          <w:i/>
          <w:color w:val="231F20"/>
          <w:w w:val="105"/>
          <w:sz w:val="16"/>
        </w:rPr>
        <w:t>,</w:t>
      </w:r>
    </w:p>
    <w:p w14:paraId="13884C0E" w14:textId="77777777" w:rsidR="002653E8" w:rsidRPr="00846956" w:rsidRDefault="003115E3">
      <w:pPr>
        <w:spacing w:before="32"/>
        <w:ind w:left="434"/>
        <w:rPr>
          <w:sz w:val="16"/>
          <w:lang w:val="de-DE"/>
        </w:rPr>
      </w:pPr>
      <w:r w:rsidRPr="00846956">
        <w:rPr>
          <w:color w:val="231F20"/>
          <w:w w:val="105"/>
          <w:sz w:val="16"/>
          <w:lang w:val="de-DE"/>
        </w:rPr>
        <w:t>551–552</w:t>
      </w:r>
      <w:r w:rsidRPr="00846956">
        <w:rPr>
          <w:i/>
          <w:color w:val="231F20"/>
          <w:w w:val="105"/>
          <w:sz w:val="16"/>
          <w:lang w:val="de-DE"/>
        </w:rPr>
        <w:t xml:space="preserve">, </w:t>
      </w:r>
      <w:r w:rsidRPr="00846956">
        <w:rPr>
          <w:color w:val="231F20"/>
          <w:w w:val="105"/>
          <w:sz w:val="16"/>
          <w:lang w:val="de-DE"/>
        </w:rPr>
        <w:t>581</w:t>
      </w:r>
    </w:p>
    <w:p w14:paraId="6EDA6E7A" w14:textId="77777777" w:rsidR="002653E8" w:rsidRPr="00846956" w:rsidRDefault="003115E3">
      <w:pPr>
        <w:spacing w:before="32"/>
        <w:ind w:left="234"/>
        <w:rPr>
          <w:sz w:val="16"/>
          <w:lang w:val="de-DE"/>
        </w:rPr>
      </w:pPr>
      <w:r w:rsidRPr="00846956">
        <w:rPr>
          <w:color w:val="231F20"/>
          <w:sz w:val="16"/>
          <w:lang w:val="de-DE"/>
        </w:rPr>
        <w:t>Juliana (queen) 523</w:t>
      </w:r>
    </w:p>
    <w:p w14:paraId="4CCD43C4" w14:textId="77777777" w:rsidR="002653E8" w:rsidRPr="00846956" w:rsidRDefault="003115E3">
      <w:pPr>
        <w:spacing w:before="33"/>
        <w:ind w:left="234"/>
        <w:rPr>
          <w:sz w:val="16"/>
          <w:lang w:val="de-DE"/>
        </w:rPr>
      </w:pPr>
      <w:r w:rsidRPr="00846956">
        <w:rPr>
          <w:i/>
          <w:color w:val="231F20"/>
          <w:sz w:val="16"/>
          <w:lang w:val="de-DE"/>
        </w:rPr>
        <w:t xml:space="preserve">junge Welt </w:t>
      </w:r>
      <w:r w:rsidRPr="00846956">
        <w:rPr>
          <w:color w:val="231F20"/>
          <w:sz w:val="16"/>
          <w:lang w:val="de-DE"/>
        </w:rPr>
        <w:t>625</w:t>
      </w:r>
    </w:p>
    <w:p w14:paraId="79ADA35F" w14:textId="77777777" w:rsidR="002653E8" w:rsidRDefault="003115E3">
      <w:pPr>
        <w:spacing w:before="32"/>
        <w:ind w:left="234"/>
        <w:rPr>
          <w:sz w:val="16"/>
        </w:rPr>
      </w:pPr>
      <w:r>
        <w:rPr>
          <w:color w:val="231F20"/>
          <w:sz w:val="16"/>
        </w:rPr>
        <w:t>Jünschke, Klaus 569; captured (1972)</w:t>
      </w:r>
    </w:p>
    <w:p w14:paraId="1561664E" w14:textId="77777777" w:rsidR="002653E8" w:rsidRDefault="003115E3">
      <w:pPr>
        <w:spacing w:before="33"/>
        <w:ind w:left="434"/>
        <w:rPr>
          <w:sz w:val="16"/>
        </w:rPr>
      </w:pPr>
      <w:r>
        <w:rPr>
          <w:color w:val="231F20"/>
          <w:sz w:val="16"/>
        </w:rPr>
        <w:t>172</w:t>
      </w:r>
      <w:r>
        <w:rPr>
          <w:i/>
          <w:color w:val="231F20"/>
          <w:sz w:val="16"/>
        </w:rPr>
        <w:t xml:space="preserve">, </w:t>
      </w:r>
      <w:r>
        <w:rPr>
          <w:color w:val="231F20"/>
          <w:sz w:val="16"/>
        </w:rPr>
        <w:t>591; Kaiserslautern bank robbery</w:t>
      </w:r>
    </w:p>
    <w:p w14:paraId="549E7C4D" w14:textId="77777777" w:rsidR="002653E8" w:rsidRDefault="003115E3">
      <w:pPr>
        <w:spacing w:before="32"/>
        <w:ind w:left="434"/>
        <w:rPr>
          <w:sz w:val="16"/>
        </w:rPr>
      </w:pPr>
      <w:r>
        <w:rPr>
          <w:color w:val="231F20"/>
          <w:sz w:val="16"/>
        </w:rPr>
        <w:t>588; pardoned (1988) 619; release</w:t>
      </w:r>
    </w:p>
    <w:p w14:paraId="5F137821" w14:textId="77777777" w:rsidR="002653E8" w:rsidRDefault="003115E3">
      <w:pPr>
        <w:spacing w:before="32"/>
        <w:ind w:left="434"/>
        <w:rPr>
          <w:i/>
          <w:sz w:val="16"/>
        </w:rPr>
      </w:pPr>
      <w:r>
        <w:rPr>
          <w:color w:val="231F20"/>
          <w:sz w:val="16"/>
        </w:rPr>
        <w:t>demanded 339; trial (1975-77) 598</w:t>
      </w:r>
      <w:r>
        <w:rPr>
          <w:i/>
          <w:color w:val="231F20"/>
          <w:sz w:val="16"/>
        </w:rPr>
        <w:t>,</w:t>
      </w:r>
    </w:p>
    <w:p w14:paraId="08F461E2" w14:textId="77777777" w:rsidR="002653E8" w:rsidRDefault="003115E3">
      <w:pPr>
        <w:spacing w:before="33"/>
        <w:ind w:left="434"/>
        <w:rPr>
          <w:sz w:val="16"/>
        </w:rPr>
      </w:pPr>
      <w:r>
        <w:rPr>
          <w:color w:val="231F20"/>
          <w:sz w:val="16"/>
        </w:rPr>
        <w:t>605</w:t>
      </w:r>
    </w:p>
    <w:p w14:paraId="225BD10D" w14:textId="77777777" w:rsidR="002653E8" w:rsidRDefault="003115E3">
      <w:pPr>
        <w:spacing w:before="32"/>
        <w:ind w:left="234"/>
        <w:rPr>
          <w:sz w:val="16"/>
        </w:rPr>
      </w:pPr>
      <w:r>
        <w:rPr>
          <w:color w:val="231F20"/>
          <w:sz w:val="16"/>
        </w:rPr>
        <w:t>Jusos 256</w:t>
      </w:r>
      <w:r>
        <w:rPr>
          <w:i/>
          <w:color w:val="231F20"/>
          <w:sz w:val="16"/>
        </w:rPr>
        <w:t xml:space="preserve">, </w:t>
      </w:r>
      <w:r>
        <w:rPr>
          <w:color w:val="231F20"/>
          <w:sz w:val="16"/>
        </w:rPr>
        <w:t>444</w:t>
      </w:r>
      <w:r>
        <w:rPr>
          <w:i/>
          <w:color w:val="231F20"/>
          <w:sz w:val="16"/>
        </w:rPr>
        <w:t xml:space="preserve">, </w:t>
      </w:r>
      <w:r>
        <w:rPr>
          <w:color w:val="231F20"/>
          <w:sz w:val="16"/>
        </w:rPr>
        <w:t xml:space="preserve">625; mentioned by </w:t>
      </w:r>
      <w:r w:rsidR="00C507A5">
        <w:rPr>
          <w:color w:val="231F20"/>
          <w:sz w:val="16"/>
        </w:rPr>
        <w:t>red army faction</w:t>
      </w:r>
    </w:p>
    <w:p w14:paraId="376FB12C" w14:textId="77777777" w:rsidR="002653E8" w:rsidRPr="00846956" w:rsidRDefault="003115E3">
      <w:pPr>
        <w:spacing w:before="33"/>
        <w:ind w:left="434"/>
        <w:rPr>
          <w:sz w:val="16"/>
          <w:lang w:val="de-DE"/>
        </w:rPr>
      </w:pPr>
      <w:r w:rsidRPr="00846956">
        <w:rPr>
          <w:color w:val="231F20"/>
          <w:w w:val="110"/>
          <w:sz w:val="16"/>
          <w:lang w:val="de-DE"/>
        </w:rPr>
        <w:t>102</w:t>
      </w:r>
      <w:r w:rsidRPr="00846956">
        <w:rPr>
          <w:i/>
          <w:color w:val="231F20"/>
          <w:w w:val="110"/>
          <w:sz w:val="16"/>
          <w:lang w:val="de-DE"/>
        </w:rPr>
        <w:t xml:space="preserve">, </w:t>
      </w:r>
      <w:r w:rsidRPr="00846956">
        <w:rPr>
          <w:color w:val="231F20"/>
          <w:w w:val="110"/>
          <w:sz w:val="16"/>
          <w:lang w:val="de-DE"/>
        </w:rPr>
        <w:t>147</w:t>
      </w:r>
      <w:r w:rsidRPr="00846956">
        <w:rPr>
          <w:i/>
          <w:color w:val="231F20"/>
          <w:w w:val="110"/>
          <w:sz w:val="16"/>
          <w:lang w:val="de-DE"/>
        </w:rPr>
        <w:t xml:space="preserve">, </w:t>
      </w:r>
      <w:r w:rsidRPr="00846956">
        <w:rPr>
          <w:color w:val="231F20"/>
          <w:w w:val="110"/>
          <w:sz w:val="16"/>
          <w:lang w:val="de-DE"/>
        </w:rPr>
        <w:t>148</w:t>
      </w:r>
    </w:p>
    <w:p w14:paraId="52ECA978" w14:textId="77777777" w:rsidR="002653E8" w:rsidRPr="00846956" w:rsidRDefault="002653E8">
      <w:pPr>
        <w:pStyle w:val="a3"/>
        <w:rPr>
          <w:sz w:val="18"/>
          <w:lang w:val="de-DE"/>
        </w:rPr>
      </w:pPr>
    </w:p>
    <w:p w14:paraId="5C2E3B2E" w14:textId="77777777" w:rsidR="002653E8" w:rsidRPr="00846956" w:rsidRDefault="002653E8">
      <w:pPr>
        <w:pStyle w:val="a3"/>
        <w:rPr>
          <w:sz w:val="18"/>
          <w:lang w:val="de-DE"/>
        </w:rPr>
      </w:pPr>
    </w:p>
    <w:p w14:paraId="74A144B3" w14:textId="77777777" w:rsidR="002653E8" w:rsidRPr="00846956" w:rsidRDefault="002653E8">
      <w:pPr>
        <w:pStyle w:val="a3"/>
        <w:rPr>
          <w:sz w:val="18"/>
          <w:lang w:val="de-DE"/>
        </w:rPr>
      </w:pPr>
    </w:p>
    <w:p w14:paraId="69D583EE" w14:textId="77777777" w:rsidR="002653E8" w:rsidRPr="00846956" w:rsidRDefault="002653E8">
      <w:pPr>
        <w:pStyle w:val="a3"/>
        <w:rPr>
          <w:sz w:val="18"/>
          <w:lang w:val="de-DE"/>
        </w:rPr>
      </w:pPr>
    </w:p>
    <w:p w14:paraId="3F3339DF" w14:textId="77777777" w:rsidR="002653E8" w:rsidRPr="00846956" w:rsidRDefault="002653E8">
      <w:pPr>
        <w:pStyle w:val="a3"/>
        <w:rPr>
          <w:sz w:val="18"/>
          <w:lang w:val="de-DE"/>
        </w:rPr>
      </w:pPr>
    </w:p>
    <w:p w14:paraId="2B3FF5E2" w14:textId="77777777" w:rsidR="002653E8" w:rsidRPr="00846956" w:rsidRDefault="002653E8">
      <w:pPr>
        <w:pStyle w:val="a3"/>
        <w:spacing w:before="4"/>
        <w:rPr>
          <w:sz w:val="25"/>
          <w:lang w:val="de-DE"/>
        </w:rPr>
      </w:pPr>
    </w:p>
    <w:p w14:paraId="4FC898B9" w14:textId="77777777" w:rsidR="002653E8" w:rsidRPr="00846956" w:rsidRDefault="003115E3">
      <w:pPr>
        <w:ind w:left="234"/>
        <w:rPr>
          <w:sz w:val="16"/>
          <w:lang w:val="de-DE"/>
        </w:rPr>
      </w:pPr>
      <w:r w:rsidRPr="00846956">
        <w:rPr>
          <w:color w:val="231F20"/>
          <w:w w:val="105"/>
          <w:sz w:val="16"/>
          <w:lang w:val="de-DE"/>
        </w:rPr>
        <w:t>K.1</w:t>
      </w:r>
      <w:r w:rsidRPr="00846956">
        <w:rPr>
          <w:i/>
          <w:color w:val="231F20"/>
          <w:w w:val="105"/>
          <w:sz w:val="16"/>
          <w:lang w:val="de-DE"/>
        </w:rPr>
        <w:t xml:space="preserve">. See </w:t>
      </w:r>
      <w:r w:rsidRPr="00846956">
        <w:rPr>
          <w:color w:val="231F20"/>
          <w:w w:val="105"/>
          <w:sz w:val="16"/>
          <w:lang w:val="de-DE"/>
        </w:rPr>
        <w:t>Kommune 1</w:t>
      </w:r>
    </w:p>
    <w:p w14:paraId="5D97BED5" w14:textId="77777777" w:rsidR="002653E8" w:rsidRPr="00846956" w:rsidRDefault="003115E3">
      <w:pPr>
        <w:spacing w:before="32"/>
        <w:ind w:left="234"/>
        <w:rPr>
          <w:sz w:val="16"/>
          <w:lang w:val="de-DE"/>
        </w:rPr>
      </w:pPr>
      <w:r w:rsidRPr="00846956">
        <w:rPr>
          <w:color w:val="231F20"/>
          <w:w w:val="105"/>
          <w:sz w:val="16"/>
          <w:lang w:val="de-DE"/>
        </w:rPr>
        <w:t>Kamp-Munruchow, Karin 613</w:t>
      </w:r>
    </w:p>
    <w:p w14:paraId="2180D21D" w14:textId="77777777" w:rsidR="002653E8" w:rsidRPr="00846956" w:rsidRDefault="003115E3">
      <w:pPr>
        <w:spacing w:before="33"/>
        <w:ind w:left="234"/>
        <w:rPr>
          <w:sz w:val="16"/>
          <w:lang w:val="de-DE"/>
        </w:rPr>
      </w:pPr>
      <w:r w:rsidRPr="00846956">
        <w:rPr>
          <w:color w:val="231F20"/>
          <w:sz w:val="16"/>
          <w:lang w:val="de-DE"/>
        </w:rPr>
        <w:t>Kanelakis, Panayotis 382</w:t>
      </w:r>
    </w:p>
    <w:p w14:paraId="6609691E" w14:textId="77777777" w:rsidR="002653E8" w:rsidRPr="00846956" w:rsidRDefault="003115E3">
      <w:pPr>
        <w:spacing w:before="32"/>
        <w:ind w:left="234"/>
        <w:rPr>
          <w:sz w:val="16"/>
          <w:lang w:val="de-DE"/>
        </w:rPr>
      </w:pPr>
      <w:r w:rsidRPr="00846956">
        <w:rPr>
          <w:color w:val="231F20"/>
          <w:sz w:val="16"/>
          <w:lang w:val="de-DE"/>
        </w:rPr>
        <w:t>Kappel (judge) 72</w:t>
      </w:r>
    </w:p>
    <w:p w14:paraId="121281C9" w14:textId="77777777" w:rsidR="002653E8" w:rsidRPr="00846956" w:rsidRDefault="003115E3">
      <w:pPr>
        <w:spacing w:before="33" w:line="280" w:lineRule="auto"/>
        <w:ind w:left="234" w:right="1491"/>
        <w:rPr>
          <w:sz w:val="16"/>
          <w:lang w:val="de-DE"/>
        </w:rPr>
      </w:pPr>
      <w:r w:rsidRPr="00846956">
        <w:rPr>
          <w:i/>
          <w:color w:val="231F20"/>
          <w:w w:val="105"/>
          <w:sz w:val="16"/>
          <w:lang w:val="de-DE"/>
        </w:rPr>
        <w:t xml:space="preserve">Karlek med forhinder </w:t>
      </w:r>
      <w:r w:rsidRPr="00846956">
        <w:rPr>
          <w:color w:val="231F20"/>
          <w:w w:val="105"/>
          <w:sz w:val="16"/>
          <w:lang w:val="de-DE"/>
        </w:rPr>
        <w:t>319 Katsiaficas, Georgy 117</w:t>
      </w:r>
    </w:p>
    <w:p w14:paraId="6B09C659" w14:textId="77777777" w:rsidR="002653E8" w:rsidRPr="00846956" w:rsidRDefault="003115E3">
      <w:pPr>
        <w:spacing w:before="1"/>
        <w:ind w:left="234"/>
        <w:rPr>
          <w:sz w:val="16"/>
          <w:lang w:val="de-DE"/>
        </w:rPr>
      </w:pPr>
      <w:r w:rsidRPr="00846956">
        <w:rPr>
          <w:color w:val="231F20"/>
          <w:w w:val="105"/>
          <w:sz w:val="16"/>
          <w:lang w:val="de-DE"/>
        </w:rPr>
        <w:t>Kaufholz, Henrik 382</w:t>
      </w:r>
    </w:p>
    <w:p w14:paraId="710B255D" w14:textId="77777777" w:rsidR="002653E8" w:rsidRPr="00846956" w:rsidRDefault="003115E3">
      <w:pPr>
        <w:spacing w:before="32" w:line="280" w:lineRule="auto"/>
        <w:ind w:left="234" w:right="1491"/>
        <w:rPr>
          <w:sz w:val="16"/>
          <w:lang w:val="de-DE"/>
        </w:rPr>
      </w:pPr>
      <w:r w:rsidRPr="00846956">
        <w:rPr>
          <w:color w:val="231F20"/>
          <w:sz w:val="16"/>
          <w:lang w:val="de-DE"/>
        </w:rPr>
        <w:t>Kaul (federal prosecutor) 381 Kautsky, Karl 364</w:t>
      </w:r>
    </w:p>
    <w:p w14:paraId="53A54351" w14:textId="77777777" w:rsidR="002653E8" w:rsidRPr="00846956" w:rsidRDefault="003115E3">
      <w:pPr>
        <w:spacing w:before="1"/>
        <w:ind w:left="234"/>
        <w:rPr>
          <w:i/>
          <w:sz w:val="16"/>
          <w:lang w:val="de-DE"/>
        </w:rPr>
      </w:pPr>
      <w:r w:rsidRPr="00846956">
        <w:rPr>
          <w:color w:val="231F20"/>
          <w:sz w:val="16"/>
          <w:lang w:val="de-DE"/>
        </w:rPr>
        <w:t>KB (Kommunistischer Bund) 168</w:t>
      </w:r>
      <w:r w:rsidRPr="00846956">
        <w:rPr>
          <w:i/>
          <w:color w:val="231F20"/>
          <w:sz w:val="16"/>
          <w:lang w:val="de-DE"/>
        </w:rPr>
        <w:t xml:space="preserve">, </w:t>
      </w:r>
      <w:r w:rsidRPr="00846956">
        <w:rPr>
          <w:color w:val="231F20"/>
          <w:sz w:val="16"/>
          <w:lang w:val="de-DE"/>
        </w:rPr>
        <w:t>183</w:t>
      </w:r>
      <w:r w:rsidRPr="00846956">
        <w:rPr>
          <w:i/>
          <w:color w:val="231F20"/>
          <w:sz w:val="16"/>
          <w:lang w:val="de-DE"/>
        </w:rPr>
        <w:t>,</w:t>
      </w:r>
    </w:p>
    <w:p w14:paraId="06144EE0" w14:textId="77777777" w:rsidR="002653E8" w:rsidRPr="00846956" w:rsidRDefault="003115E3">
      <w:pPr>
        <w:spacing w:before="33"/>
        <w:ind w:left="434"/>
        <w:rPr>
          <w:sz w:val="16"/>
          <w:lang w:val="de-DE"/>
        </w:rPr>
      </w:pPr>
      <w:r w:rsidRPr="00846956">
        <w:rPr>
          <w:color w:val="231F20"/>
          <w:w w:val="105"/>
          <w:sz w:val="16"/>
          <w:lang w:val="de-DE"/>
        </w:rPr>
        <w:t>516</w:t>
      </w:r>
      <w:r w:rsidRPr="00846956">
        <w:rPr>
          <w:i/>
          <w:color w:val="231F20"/>
          <w:w w:val="105"/>
          <w:sz w:val="16"/>
          <w:lang w:val="de-DE"/>
        </w:rPr>
        <w:t xml:space="preserve">. See also </w:t>
      </w:r>
      <w:r w:rsidRPr="00846956">
        <w:rPr>
          <w:color w:val="231F20"/>
          <w:w w:val="105"/>
          <w:sz w:val="16"/>
          <w:lang w:val="de-DE"/>
        </w:rPr>
        <w:t>K-groups</w:t>
      </w:r>
    </w:p>
    <w:p w14:paraId="54228FAF" w14:textId="77777777" w:rsidR="002653E8" w:rsidRPr="00846956" w:rsidRDefault="002653E8">
      <w:pPr>
        <w:rPr>
          <w:sz w:val="16"/>
          <w:lang w:val="de-DE"/>
        </w:rPr>
        <w:sectPr w:rsidR="002653E8" w:rsidRPr="00846956">
          <w:pgSz w:w="8640" w:h="12960"/>
          <w:pgMar w:top="1080" w:right="0" w:bottom="1040" w:left="0" w:header="0" w:footer="846" w:gutter="0"/>
          <w:cols w:num="2" w:space="720" w:equalWidth="0">
            <w:col w:w="4276" w:space="40"/>
            <w:col w:w="4324"/>
          </w:cols>
        </w:sectPr>
      </w:pPr>
    </w:p>
    <w:p w14:paraId="4CEF2223" w14:textId="77777777" w:rsidR="002653E8" w:rsidRPr="00846956" w:rsidRDefault="003115E3">
      <w:pPr>
        <w:spacing w:before="86" w:line="280" w:lineRule="auto"/>
        <w:ind w:left="1347" w:right="139" w:hanging="200"/>
        <w:rPr>
          <w:sz w:val="16"/>
          <w:lang w:val="de-DE"/>
        </w:rPr>
      </w:pPr>
      <w:r w:rsidRPr="00846956">
        <w:rPr>
          <w:color w:val="231F20"/>
          <w:sz w:val="16"/>
          <w:lang w:val="de-DE"/>
        </w:rPr>
        <w:lastRenderedPageBreak/>
        <w:t>KBW (Kommunistischer Bund Westdeutschland) 434</w:t>
      </w:r>
      <w:r w:rsidRPr="00846956">
        <w:rPr>
          <w:i/>
          <w:color w:val="231F20"/>
          <w:sz w:val="16"/>
          <w:lang w:val="de-DE"/>
        </w:rPr>
        <w:t xml:space="preserve">, </w:t>
      </w:r>
      <w:r w:rsidRPr="00846956">
        <w:rPr>
          <w:color w:val="231F20"/>
          <w:sz w:val="16"/>
          <w:lang w:val="de-DE"/>
        </w:rPr>
        <w:t>514</w:t>
      </w:r>
      <w:r w:rsidRPr="00846956">
        <w:rPr>
          <w:i/>
          <w:color w:val="231F20"/>
          <w:sz w:val="16"/>
          <w:lang w:val="de-DE"/>
        </w:rPr>
        <w:t xml:space="preserve">, </w:t>
      </w:r>
      <w:r w:rsidRPr="00846956">
        <w:rPr>
          <w:color w:val="231F20"/>
          <w:sz w:val="16"/>
          <w:lang w:val="de-DE"/>
        </w:rPr>
        <w:t>607; Stammheim trial 424; threat to ban 538</w:t>
      </w:r>
      <w:r w:rsidRPr="00846956">
        <w:rPr>
          <w:i/>
          <w:color w:val="231F20"/>
          <w:sz w:val="16"/>
          <w:lang w:val="de-DE"/>
        </w:rPr>
        <w:t xml:space="preserve">, </w:t>
      </w:r>
      <w:r w:rsidRPr="00846956">
        <w:rPr>
          <w:color w:val="231F20"/>
          <w:sz w:val="16"/>
          <w:lang w:val="de-DE"/>
        </w:rPr>
        <w:t>608</w:t>
      </w:r>
    </w:p>
    <w:p w14:paraId="0CFD7255" w14:textId="77777777" w:rsidR="002653E8" w:rsidRPr="00846956" w:rsidRDefault="003115E3">
      <w:pPr>
        <w:spacing w:before="2"/>
        <w:ind w:left="1147"/>
        <w:rPr>
          <w:sz w:val="16"/>
          <w:lang w:val="de-DE"/>
        </w:rPr>
      </w:pPr>
      <w:r w:rsidRPr="00846956">
        <w:rPr>
          <w:color w:val="231F20"/>
          <w:sz w:val="16"/>
          <w:lang w:val="de-DE"/>
        </w:rPr>
        <w:t>Kent State killings 153</w:t>
      </w:r>
      <w:r w:rsidRPr="00846956">
        <w:rPr>
          <w:i/>
          <w:color w:val="231F20"/>
          <w:sz w:val="16"/>
          <w:lang w:val="de-DE"/>
        </w:rPr>
        <w:t xml:space="preserve">, </w:t>
      </w:r>
      <w:r w:rsidRPr="00846956">
        <w:rPr>
          <w:color w:val="231F20"/>
          <w:sz w:val="16"/>
          <w:lang w:val="de-DE"/>
        </w:rPr>
        <w:t>207</w:t>
      </w:r>
    </w:p>
    <w:p w14:paraId="7217E3A5" w14:textId="77777777" w:rsidR="002653E8" w:rsidRPr="00846956" w:rsidRDefault="003115E3">
      <w:pPr>
        <w:spacing w:before="33"/>
        <w:ind w:left="1147"/>
        <w:rPr>
          <w:sz w:val="16"/>
          <w:lang w:val="de-DE"/>
        </w:rPr>
      </w:pPr>
      <w:r w:rsidRPr="00846956">
        <w:rPr>
          <w:color w:val="231F20"/>
          <w:sz w:val="16"/>
          <w:lang w:val="de-DE"/>
        </w:rPr>
        <w:t>Kenya 440</w:t>
      </w:r>
    </w:p>
    <w:p w14:paraId="198516B2" w14:textId="77777777" w:rsidR="002653E8" w:rsidRPr="00846956" w:rsidRDefault="003115E3">
      <w:pPr>
        <w:spacing w:before="32"/>
        <w:ind w:left="1147"/>
        <w:rPr>
          <w:sz w:val="16"/>
          <w:lang w:val="de-DE"/>
        </w:rPr>
      </w:pPr>
      <w:r w:rsidRPr="00846956">
        <w:rPr>
          <w:color w:val="231F20"/>
          <w:w w:val="110"/>
          <w:sz w:val="16"/>
          <w:lang w:val="de-DE"/>
        </w:rPr>
        <w:t>KGB 560</w:t>
      </w:r>
    </w:p>
    <w:p w14:paraId="21C477EB" w14:textId="77777777" w:rsidR="002653E8" w:rsidRPr="00846956" w:rsidRDefault="003115E3">
      <w:pPr>
        <w:spacing w:before="33"/>
        <w:ind w:left="1147"/>
        <w:rPr>
          <w:i/>
          <w:sz w:val="16"/>
          <w:lang w:val="de-DE"/>
        </w:rPr>
      </w:pPr>
      <w:r w:rsidRPr="00846956">
        <w:rPr>
          <w:color w:val="231F20"/>
          <w:w w:val="110"/>
          <w:sz w:val="16"/>
          <w:lang w:val="de-DE"/>
        </w:rPr>
        <w:t>K-groups 42–43</w:t>
      </w:r>
      <w:r w:rsidRPr="00846956">
        <w:rPr>
          <w:i/>
          <w:color w:val="231F20"/>
          <w:w w:val="110"/>
          <w:sz w:val="16"/>
          <w:lang w:val="de-DE"/>
        </w:rPr>
        <w:t xml:space="preserve">, </w:t>
      </w:r>
      <w:r w:rsidRPr="00846956">
        <w:rPr>
          <w:color w:val="231F20"/>
          <w:w w:val="110"/>
          <w:sz w:val="16"/>
          <w:lang w:val="de-DE"/>
        </w:rPr>
        <w:t>118</w:t>
      </w:r>
      <w:r w:rsidRPr="00846956">
        <w:rPr>
          <w:i/>
          <w:color w:val="231F20"/>
          <w:w w:val="110"/>
          <w:sz w:val="16"/>
          <w:lang w:val="de-DE"/>
        </w:rPr>
        <w:t xml:space="preserve">, </w:t>
      </w:r>
      <w:r w:rsidRPr="00846956">
        <w:rPr>
          <w:color w:val="231F20"/>
          <w:w w:val="110"/>
          <w:sz w:val="16"/>
          <w:lang w:val="de-DE"/>
        </w:rPr>
        <w:t>434</w:t>
      </w:r>
      <w:r w:rsidRPr="00846956">
        <w:rPr>
          <w:i/>
          <w:color w:val="231F20"/>
          <w:w w:val="110"/>
          <w:sz w:val="16"/>
          <w:lang w:val="de-DE"/>
        </w:rPr>
        <w:t xml:space="preserve">, </w:t>
      </w:r>
      <w:r w:rsidRPr="00846956">
        <w:rPr>
          <w:color w:val="231F20"/>
          <w:w w:val="110"/>
          <w:sz w:val="16"/>
          <w:lang w:val="de-DE"/>
        </w:rPr>
        <w:t>538</w:t>
      </w:r>
      <w:r w:rsidRPr="00846956">
        <w:rPr>
          <w:i/>
          <w:color w:val="231F20"/>
          <w:w w:val="110"/>
          <w:sz w:val="16"/>
          <w:lang w:val="de-DE"/>
        </w:rPr>
        <w:t xml:space="preserve">, </w:t>
      </w:r>
      <w:r w:rsidRPr="00846956">
        <w:rPr>
          <w:color w:val="231F20"/>
          <w:w w:val="110"/>
          <w:sz w:val="16"/>
          <w:lang w:val="de-DE"/>
        </w:rPr>
        <w:t>553</w:t>
      </w:r>
      <w:r w:rsidRPr="00846956">
        <w:rPr>
          <w:i/>
          <w:color w:val="231F20"/>
          <w:w w:val="110"/>
          <w:sz w:val="16"/>
          <w:lang w:val="de-DE"/>
        </w:rPr>
        <w:t>,</w:t>
      </w:r>
    </w:p>
    <w:p w14:paraId="09393044" w14:textId="77777777" w:rsidR="002653E8" w:rsidRPr="00846956" w:rsidRDefault="003115E3">
      <w:pPr>
        <w:spacing w:before="32" w:line="280" w:lineRule="auto"/>
        <w:ind w:left="1347" w:right="42" w:hanging="1"/>
        <w:rPr>
          <w:sz w:val="16"/>
          <w:lang w:val="de-DE"/>
        </w:rPr>
      </w:pPr>
      <w:r w:rsidRPr="00846956">
        <w:rPr>
          <w:color w:val="231F20"/>
          <w:sz w:val="16"/>
          <w:lang w:val="de-DE"/>
        </w:rPr>
        <w:t>608</w:t>
      </w:r>
      <w:r w:rsidRPr="00846956">
        <w:rPr>
          <w:i/>
          <w:color w:val="231F20"/>
          <w:sz w:val="16"/>
          <w:lang w:val="de-DE"/>
        </w:rPr>
        <w:t xml:space="preserve">. See also </w:t>
      </w:r>
      <w:r w:rsidRPr="00846956">
        <w:rPr>
          <w:color w:val="231F20"/>
          <w:sz w:val="16"/>
          <w:lang w:val="de-DE"/>
        </w:rPr>
        <w:t>KB (Kommunistischer Bund)</w:t>
      </w:r>
      <w:r w:rsidRPr="00846956">
        <w:rPr>
          <w:i/>
          <w:color w:val="231F20"/>
          <w:sz w:val="16"/>
          <w:lang w:val="de-DE"/>
        </w:rPr>
        <w:t xml:space="preserve">; See also </w:t>
      </w:r>
      <w:r w:rsidRPr="00846956">
        <w:rPr>
          <w:color w:val="231F20"/>
          <w:sz w:val="16"/>
          <w:lang w:val="de-DE"/>
        </w:rPr>
        <w:t>KPD (Kommunistische Partei Deutschlands) [Maoist]</w:t>
      </w:r>
      <w:r w:rsidRPr="00846956">
        <w:rPr>
          <w:i/>
          <w:color w:val="231F20"/>
          <w:sz w:val="16"/>
          <w:lang w:val="de-DE"/>
        </w:rPr>
        <w:t xml:space="preserve">;  See also </w:t>
      </w:r>
      <w:r w:rsidRPr="00846956">
        <w:rPr>
          <w:color w:val="231F20"/>
          <w:sz w:val="16"/>
          <w:lang w:val="de-DE"/>
        </w:rPr>
        <w:t>KPD/ML (Kommunistische Partei Deutschland/Marxisten-Leninisten); and antinuclear movement 450</w:t>
      </w:r>
      <w:r w:rsidRPr="00846956">
        <w:rPr>
          <w:i/>
          <w:color w:val="231F20"/>
          <w:sz w:val="16"/>
          <w:lang w:val="de-DE"/>
        </w:rPr>
        <w:t>,</w:t>
      </w:r>
      <w:r w:rsidRPr="00846956">
        <w:rPr>
          <w:i/>
          <w:color w:val="231F20"/>
          <w:spacing w:val="3"/>
          <w:sz w:val="16"/>
          <w:lang w:val="de-DE"/>
        </w:rPr>
        <w:t xml:space="preserve"> </w:t>
      </w:r>
      <w:r w:rsidRPr="00846956">
        <w:rPr>
          <w:color w:val="231F20"/>
          <w:sz w:val="16"/>
          <w:lang w:val="de-DE"/>
        </w:rPr>
        <w:t>538;</w:t>
      </w:r>
    </w:p>
    <w:p w14:paraId="71FD5586" w14:textId="77777777" w:rsidR="002653E8" w:rsidRDefault="003115E3">
      <w:pPr>
        <w:spacing w:before="3" w:line="280" w:lineRule="auto"/>
        <w:ind w:left="1347"/>
        <w:rPr>
          <w:i/>
          <w:sz w:val="16"/>
        </w:rPr>
      </w:pPr>
      <w:r>
        <w:rPr>
          <w:color w:val="231F20"/>
          <w:sz w:val="16"/>
        </w:rPr>
        <w:t xml:space="preserve">antisemitism 198; attitude towards the </w:t>
      </w:r>
      <w:r w:rsidR="00C507A5">
        <w:rPr>
          <w:color w:val="231F20"/>
          <w:w w:val="105"/>
          <w:sz w:val="16"/>
        </w:rPr>
        <w:t>red army faction</w:t>
      </w:r>
      <w:r>
        <w:rPr>
          <w:color w:val="231F20"/>
          <w:w w:val="105"/>
          <w:sz w:val="16"/>
        </w:rPr>
        <w:t xml:space="preserve"> 168</w:t>
      </w:r>
      <w:r>
        <w:rPr>
          <w:i/>
          <w:color w:val="231F20"/>
          <w:w w:val="105"/>
          <w:sz w:val="16"/>
        </w:rPr>
        <w:t xml:space="preserve">, </w:t>
      </w:r>
      <w:r>
        <w:rPr>
          <w:color w:val="231F20"/>
          <w:w w:val="105"/>
          <w:sz w:val="16"/>
        </w:rPr>
        <w:t>245</w:t>
      </w:r>
      <w:r>
        <w:rPr>
          <w:i/>
          <w:color w:val="231F20"/>
          <w:w w:val="105"/>
          <w:sz w:val="16"/>
        </w:rPr>
        <w:t xml:space="preserve">, </w:t>
      </w:r>
      <w:r>
        <w:rPr>
          <w:color w:val="231F20"/>
          <w:w w:val="105"/>
          <w:sz w:val="16"/>
        </w:rPr>
        <w:t>255</w:t>
      </w:r>
      <w:r>
        <w:rPr>
          <w:i/>
          <w:color w:val="231F20"/>
          <w:w w:val="105"/>
          <w:sz w:val="16"/>
        </w:rPr>
        <w:t xml:space="preserve">, </w:t>
      </w:r>
      <w:r>
        <w:rPr>
          <w:color w:val="231F20"/>
          <w:w w:val="105"/>
          <w:sz w:val="16"/>
        </w:rPr>
        <w:t>258</w:t>
      </w:r>
      <w:r>
        <w:rPr>
          <w:i/>
          <w:color w:val="231F20"/>
          <w:w w:val="105"/>
          <w:sz w:val="16"/>
        </w:rPr>
        <w:t xml:space="preserve">, </w:t>
      </w:r>
      <w:r>
        <w:rPr>
          <w:color w:val="231F20"/>
          <w:w w:val="105"/>
          <w:sz w:val="16"/>
        </w:rPr>
        <w:t>263</w:t>
      </w:r>
      <w:r>
        <w:rPr>
          <w:i/>
          <w:color w:val="231F20"/>
          <w:w w:val="105"/>
          <w:sz w:val="16"/>
        </w:rPr>
        <w:t xml:space="preserve">, </w:t>
      </w:r>
      <w:r>
        <w:rPr>
          <w:color w:val="231F20"/>
          <w:w w:val="105"/>
          <w:sz w:val="16"/>
        </w:rPr>
        <w:t>326</w:t>
      </w:r>
      <w:r>
        <w:rPr>
          <w:i/>
          <w:color w:val="231F20"/>
          <w:w w:val="105"/>
          <w:sz w:val="16"/>
        </w:rPr>
        <w:t>,</w:t>
      </w:r>
    </w:p>
    <w:p w14:paraId="1EC6F80F" w14:textId="77777777" w:rsidR="002653E8" w:rsidRPr="00846956" w:rsidRDefault="003115E3">
      <w:pPr>
        <w:spacing w:before="1"/>
        <w:ind w:left="1347"/>
        <w:rPr>
          <w:sz w:val="16"/>
          <w:lang w:val="de-DE"/>
        </w:rPr>
      </w:pPr>
      <w:r w:rsidRPr="00846956">
        <w:rPr>
          <w:color w:val="231F20"/>
          <w:w w:val="110"/>
          <w:sz w:val="16"/>
          <w:lang w:val="de-DE"/>
        </w:rPr>
        <w:t>328</w:t>
      </w:r>
      <w:r w:rsidRPr="00846956">
        <w:rPr>
          <w:i/>
          <w:color w:val="231F20"/>
          <w:w w:val="110"/>
          <w:sz w:val="16"/>
          <w:lang w:val="de-DE"/>
        </w:rPr>
        <w:t xml:space="preserve">, </w:t>
      </w:r>
      <w:r w:rsidRPr="00846956">
        <w:rPr>
          <w:color w:val="231F20"/>
          <w:w w:val="110"/>
          <w:sz w:val="16"/>
          <w:lang w:val="de-DE"/>
        </w:rPr>
        <w:t>388</w:t>
      </w:r>
      <w:r w:rsidRPr="00846956">
        <w:rPr>
          <w:i/>
          <w:color w:val="231F20"/>
          <w:w w:val="110"/>
          <w:sz w:val="16"/>
          <w:lang w:val="de-DE"/>
        </w:rPr>
        <w:t xml:space="preserve">, </w:t>
      </w:r>
      <w:r w:rsidRPr="00846956">
        <w:rPr>
          <w:color w:val="231F20"/>
          <w:w w:val="110"/>
          <w:sz w:val="16"/>
          <w:lang w:val="de-DE"/>
        </w:rPr>
        <w:t>424</w:t>
      </w:r>
      <w:r w:rsidRPr="00846956">
        <w:rPr>
          <w:i/>
          <w:color w:val="231F20"/>
          <w:w w:val="110"/>
          <w:sz w:val="16"/>
          <w:lang w:val="de-DE"/>
        </w:rPr>
        <w:t xml:space="preserve">, </w:t>
      </w:r>
      <w:r w:rsidRPr="00846956">
        <w:rPr>
          <w:color w:val="231F20"/>
          <w:w w:val="110"/>
          <w:sz w:val="16"/>
          <w:lang w:val="de-DE"/>
        </w:rPr>
        <w:t>434</w:t>
      </w:r>
    </w:p>
    <w:p w14:paraId="52270D06" w14:textId="77777777" w:rsidR="002653E8" w:rsidRPr="00846956" w:rsidRDefault="003115E3">
      <w:pPr>
        <w:spacing w:before="33"/>
        <w:ind w:left="1147"/>
        <w:rPr>
          <w:sz w:val="16"/>
          <w:lang w:val="de-DE"/>
        </w:rPr>
      </w:pPr>
      <w:r w:rsidRPr="00846956">
        <w:rPr>
          <w:color w:val="231F20"/>
          <w:sz w:val="16"/>
          <w:lang w:val="de-DE"/>
        </w:rPr>
        <w:t>Khalifi (guard) 599</w:t>
      </w:r>
    </w:p>
    <w:p w14:paraId="3F2B7426" w14:textId="77777777" w:rsidR="002653E8" w:rsidRDefault="003115E3">
      <w:pPr>
        <w:spacing w:before="32" w:line="280" w:lineRule="auto"/>
        <w:ind w:left="1347" w:right="139" w:hanging="200"/>
        <w:rPr>
          <w:sz w:val="16"/>
        </w:rPr>
      </w:pPr>
      <w:r w:rsidRPr="00846956">
        <w:rPr>
          <w:color w:val="231F20"/>
          <w:w w:val="105"/>
          <w:sz w:val="16"/>
          <w:lang w:val="de-DE"/>
        </w:rPr>
        <w:t>Kiesinger, Kurt Georg 29</w:t>
      </w:r>
      <w:r w:rsidRPr="00846956">
        <w:rPr>
          <w:i/>
          <w:color w:val="231F20"/>
          <w:w w:val="105"/>
          <w:sz w:val="16"/>
          <w:lang w:val="de-DE"/>
        </w:rPr>
        <w:t xml:space="preserve">, </w:t>
      </w:r>
      <w:r w:rsidRPr="00846956">
        <w:rPr>
          <w:color w:val="231F20"/>
          <w:w w:val="105"/>
          <w:sz w:val="16"/>
          <w:lang w:val="de-DE"/>
        </w:rPr>
        <w:t>41</w:t>
      </w:r>
      <w:r w:rsidRPr="00846956">
        <w:rPr>
          <w:i/>
          <w:color w:val="231F20"/>
          <w:w w:val="105"/>
          <w:sz w:val="16"/>
          <w:lang w:val="de-DE"/>
        </w:rPr>
        <w:t xml:space="preserve">, </w:t>
      </w:r>
      <w:r w:rsidRPr="00846956">
        <w:rPr>
          <w:color w:val="231F20"/>
          <w:w w:val="105"/>
          <w:sz w:val="16"/>
          <w:lang w:val="de-DE"/>
        </w:rPr>
        <w:t>552</w:t>
      </w:r>
      <w:r w:rsidRPr="00846956">
        <w:rPr>
          <w:i/>
          <w:color w:val="231F20"/>
          <w:w w:val="105"/>
          <w:sz w:val="16"/>
          <w:lang w:val="de-DE"/>
        </w:rPr>
        <w:t xml:space="preserve">, </w:t>
      </w:r>
      <w:r w:rsidRPr="00846956">
        <w:rPr>
          <w:color w:val="231F20"/>
          <w:w w:val="105"/>
          <w:sz w:val="16"/>
          <w:lang w:val="de-DE"/>
        </w:rPr>
        <w:t>569</w:t>
      </w:r>
      <w:r w:rsidRPr="00846956">
        <w:rPr>
          <w:i/>
          <w:color w:val="231F20"/>
          <w:w w:val="105"/>
          <w:sz w:val="16"/>
          <w:lang w:val="de-DE"/>
        </w:rPr>
        <w:t xml:space="preserve">, </w:t>
      </w:r>
      <w:r w:rsidRPr="00846956">
        <w:rPr>
          <w:color w:val="231F20"/>
          <w:w w:val="105"/>
          <w:sz w:val="16"/>
          <w:lang w:val="de-DE"/>
        </w:rPr>
        <w:t>600</w:t>
      </w:r>
      <w:r w:rsidRPr="00846956">
        <w:rPr>
          <w:i/>
          <w:color w:val="231F20"/>
          <w:w w:val="105"/>
          <w:sz w:val="16"/>
          <w:lang w:val="de-DE"/>
        </w:rPr>
        <w:t xml:space="preserve">. </w:t>
      </w:r>
      <w:r>
        <w:rPr>
          <w:i/>
          <w:color w:val="231F20"/>
          <w:w w:val="105"/>
          <w:sz w:val="16"/>
        </w:rPr>
        <w:t xml:space="preserve">See also </w:t>
      </w:r>
      <w:r>
        <w:rPr>
          <w:color w:val="231F20"/>
          <w:w w:val="105"/>
          <w:sz w:val="16"/>
        </w:rPr>
        <w:t>Grand Coalition</w:t>
      </w:r>
    </w:p>
    <w:p w14:paraId="0113AEE6" w14:textId="77777777" w:rsidR="002653E8" w:rsidRDefault="003115E3">
      <w:pPr>
        <w:spacing w:before="1" w:line="280" w:lineRule="auto"/>
        <w:ind w:left="1147" w:right="1157"/>
        <w:rPr>
          <w:sz w:val="16"/>
        </w:rPr>
      </w:pPr>
      <w:r>
        <w:rPr>
          <w:color w:val="231F20"/>
          <w:sz w:val="16"/>
        </w:rPr>
        <w:t>Kilgore Commission 5 Kim Il Sung 151</w:t>
      </w:r>
    </w:p>
    <w:p w14:paraId="6B295FE7" w14:textId="77777777" w:rsidR="002653E8" w:rsidRDefault="003115E3">
      <w:pPr>
        <w:spacing w:before="1"/>
        <w:ind w:left="1147"/>
        <w:rPr>
          <w:sz w:val="16"/>
        </w:rPr>
      </w:pPr>
      <w:r>
        <w:rPr>
          <w:color w:val="231F20"/>
          <w:w w:val="105"/>
          <w:sz w:val="16"/>
        </w:rPr>
        <w:t>King, Martin Luther 36</w:t>
      </w:r>
      <w:r>
        <w:rPr>
          <w:i/>
          <w:color w:val="231F20"/>
          <w:w w:val="105"/>
          <w:sz w:val="16"/>
        </w:rPr>
        <w:t xml:space="preserve">, </w:t>
      </w:r>
      <w:r>
        <w:rPr>
          <w:color w:val="231F20"/>
          <w:w w:val="105"/>
          <w:sz w:val="16"/>
        </w:rPr>
        <w:t>582</w:t>
      </w:r>
    </w:p>
    <w:p w14:paraId="2D512385" w14:textId="77777777" w:rsidR="002653E8" w:rsidRDefault="003115E3">
      <w:pPr>
        <w:spacing w:before="33"/>
        <w:ind w:left="1147"/>
        <w:rPr>
          <w:sz w:val="16"/>
        </w:rPr>
      </w:pPr>
      <w:r>
        <w:rPr>
          <w:color w:val="231F20"/>
          <w:sz w:val="16"/>
        </w:rPr>
        <w:t>Kinkel Initiative 621</w:t>
      </w:r>
    </w:p>
    <w:p w14:paraId="1CCC7B69" w14:textId="77777777" w:rsidR="002653E8" w:rsidRDefault="003115E3">
      <w:pPr>
        <w:spacing w:before="32"/>
        <w:ind w:left="1147"/>
        <w:rPr>
          <w:i/>
          <w:sz w:val="16"/>
        </w:rPr>
      </w:pPr>
      <w:r>
        <w:rPr>
          <w:color w:val="231F20"/>
          <w:w w:val="110"/>
          <w:sz w:val="16"/>
        </w:rPr>
        <w:t>Klar, Christian 526</w:t>
      </w:r>
      <w:r>
        <w:rPr>
          <w:i/>
          <w:color w:val="231F20"/>
          <w:w w:val="110"/>
          <w:sz w:val="16"/>
        </w:rPr>
        <w:t xml:space="preserve">, </w:t>
      </w:r>
      <w:r>
        <w:rPr>
          <w:color w:val="231F20"/>
          <w:w w:val="110"/>
          <w:sz w:val="16"/>
        </w:rPr>
        <w:t>569</w:t>
      </w:r>
      <w:r>
        <w:rPr>
          <w:i/>
          <w:color w:val="231F20"/>
          <w:w w:val="110"/>
          <w:sz w:val="16"/>
        </w:rPr>
        <w:t xml:space="preserve">, </w:t>
      </w:r>
      <w:r>
        <w:rPr>
          <w:color w:val="231F20"/>
          <w:w w:val="110"/>
          <w:sz w:val="16"/>
        </w:rPr>
        <w:t>612</w:t>
      </w:r>
      <w:r>
        <w:rPr>
          <w:i/>
          <w:color w:val="231F20"/>
          <w:w w:val="110"/>
          <w:sz w:val="16"/>
        </w:rPr>
        <w:t xml:space="preserve">, </w:t>
      </w:r>
      <w:r>
        <w:rPr>
          <w:color w:val="231F20"/>
          <w:w w:val="110"/>
          <w:sz w:val="16"/>
        </w:rPr>
        <w:t>615</w:t>
      </w:r>
      <w:r>
        <w:rPr>
          <w:i/>
          <w:color w:val="231F20"/>
          <w:w w:val="110"/>
          <w:sz w:val="16"/>
        </w:rPr>
        <w:t xml:space="preserve">, </w:t>
      </w:r>
      <w:r>
        <w:rPr>
          <w:color w:val="231F20"/>
          <w:w w:val="110"/>
          <w:sz w:val="16"/>
        </w:rPr>
        <w:t>626</w:t>
      </w:r>
      <w:r>
        <w:rPr>
          <w:i/>
          <w:color w:val="231F20"/>
          <w:w w:val="110"/>
          <w:sz w:val="16"/>
        </w:rPr>
        <w:t>,</w:t>
      </w:r>
    </w:p>
    <w:p w14:paraId="6BA739AB" w14:textId="77777777" w:rsidR="002653E8" w:rsidRDefault="003115E3">
      <w:pPr>
        <w:spacing w:before="33"/>
        <w:ind w:left="1347"/>
        <w:rPr>
          <w:sz w:val="16"/>
        </w:rPr>
      </w:pPr>
      <w:r>
        <w:rPr>
          <w:color w:val="231F20"/>
          <w:sz w:val="16"/>
        </w:rPr>
        <w:t>627; Boock’s Lies (1988) 527; Buback</w:t>
      </w:r>
    </w:p>
    <w:p w14:paraId="095C3CC0" w14:textId="77777777" w:rsidR="002653E8" w:rsidRDefault="003115E3">
      <w:pPr>
        <w:spacing w:before="32"/>
        <w:ind w:left="1347"/>
        <w:rPr>
          <w:sz w:val="16"/>
        </w:rPr>
      </w:pPr>
      <w:r>
        <w:rPr>
          <w:color w:val="231F20"/>
          <w:sz w:val="16"/>
        </w:rPr>
        <w:t>assassination 470; captured (1982)</w:t>
      </w:r>
    </w:p>
    <w:p w14:paraId="32934D52" w14:textId="77777777" w:rsidR="002653E8" w:rsidRDefault="003115E3">
      <w:pPr>
        <w:spacing w:before="32"/>
        <w:ind w:left="1347"/>
        <w:rPr>
          <w:sz w:val="16"/>
        </w:rPr>
      </w:pPr>
      <w:r>
        <w:rPr>
          <w:color w:val="231F20"/>
          <w:sz w:val="16"/>
        </w:rPr>
        <w:t>615; Committees Against Torture 253;</w:t>
      </w:r>
    </w:p>
    <w:p w14:paraId="580A05C6" w14:textId="77777777" w:rsidR="002653E8" w:rsidRDefault="003115E3">
      <w:pPr>
        <w:spacing w:before="33" w:line="280" w:lineRule="auto"/>
        <w:ind w:left="1347" w:right="139"/>
        <w:rPr>
          <w:sz w:val="16"/>
        </w:rPr>
      </w:pPr>
      <w:r>
        <w:rPr>
          <w:color w:val="231F20"/>
          <w:sz w:val="16"/>
        </w:rPr>
        <w:t xml:space="preserve">prison 624; released (2008) 628; release denied 627; split in the </w:t>
      </w:r>
      <w:r w:rsidR="00C507A5">
        <w:rPr>
          <w:color w:val="231F20"/>
          <w:sz w:val="16"/>
        </w:rPr>
        <w:t>red army faction</w:t>
      </w:r>
      <w:r>
        <w:rPr>
          <w:color w:val="231F20"/>
          <w:sz w:val="16"/>
        </w:rPr>
        <w:t xml:space="preserve"> 623; Statement Regarding 77 533;</w:t>
      </w:r>
    </w:p>
    <w:p w14:paraId="138C659C" w14:textId="77777777" w:rsidR="002653E8" w:rsidRPr="00846956" w:rsidRDefault="003115E3">
      <w:pPr>
        <w:spacing w:before="1"/>
        <w:ind w:left="1347"/>
        <w:rPr>
          <w:sz w:val="16"/>
          <w:lang w:val="de-DE"/>
        </w:rPr>
      </w:pPr>
      <w:r w:rsidRPr="00846956">
        <w:rPr>
          <w:color w:val="231F20"/>
          <w:w w:val="105"/>
          <w:sz w:val="16"/>
          <w:lang w:val="de-DE"/>
        </w:rPr>
        <w:t>trials 617</w:t>
      </w:r>
      <w:r w:rsidRPr="00846956">
        <w:rPr>
          <w:i/>
          <w:color w:val="231F20"/>
          <w:w w:val="105"/>
          <w:sz w:val="16"/>
          <w:lang w:val="de-DE"/>
        </w:rPr>
        <w:t xml:space="preserve">, </w:t>
      </w:r>
      <w:r w:rsidRPr="00846956">
        <w:rPr>
          <w:color w:val="231F20"/>
          <w:w w:val="105"/>
          <w:sz w:val="16"/>
          <w:lang w:val="de-DE"/>
        </w:rPr>
        <w:t>620</w:t>
      </w:r>
      <w:r w:rsidRPr="00846956">
        <w:rPr>
          <w:i/>
          <w:color w:val="231F20"/>
          <w:w w:val="105"/>
          <w:sz w:val="16"/>
          <w:lang w:val="de-DE"/>
        </w:rPr>
        <w:t xml:space="preserve">, </w:t>
      </w:r>
      <w:r w:rsidRPr="00846956">
        <w:rPr>
          <w:color w:val="231F20"/>
          <w:w w:val="105"/>
          <w:sz w:val="16"/>
          <w:lang w:val="de-DE"/>
        </w:rPr>
        <w:t>623; Zurich bank rob-</w:t>
      </w:r>
    </w:p>
    <w:p w14:paraId="0C22BBA3" w14:textId="77777777" w:rsidR="002653E8" w:rsidRPr="00846956" w:rsidRDefault="003115E3">
      <w:pPr>
        <w:spacing w:before="33"/>
        <w:ind w:left="1347"/>
        <w:rPr>
          <w:sz w:val="16"/>
          <w:lang w:val="de-DE"/>
        </w:rPr>
      </w:pPr>
      <w:r w:rsidRPr="00846956">
        <w:rPr>
          <w:color w:val="231F20"/>
          <w:sz w:val="16"/>
          <w:lang w:val="de-DE"/>
        </w:rPr>
        <w:t>bery (1979)  612</w:t>
      </w:r>
    </w:p>
    <w:p w14:paraId="2B8504E7" w14:textId="77777777" w:rsidR="002653E8" w:rsidRPr="00846956" w:rsidRDefault="003115E3">
      <w:pPr>
        <w:spacing w:before="32"/>
        <w:ind w:left="1147"/>
        <w:rPr>
          <w:sz w:val="16"/>
          <w:lang w:val="de-DE"/>
        </w:rPr>
      </w:pPr>
      <w:r w:rsidRPr="00846956">
        <w:rPr>
          <w:color w:val="231F20"/>
          <w:sz w:val="16"/>
          <w:lang w:val="de-DE"/>
        </w:rPr>
        <w:t>Klarsfeld, Beate  41</w:t>
      </w:r>
    </w:p>
    <w:p w14:paraId="2919DD99" w14:textId="77777777" w:rsidR="002653E8" w:rsidRPr="00846956" w:rsidRDefault="003115E3">
      <w:pPr>
        <w:spacing w:before="33"/>
        <w:ind w:left="1147"/>
        <w:rPr>
          <w:sz w:val="16"/>
          <w:lang w:val="de-DE"/>
        </w:rPr>
      </w:pPr>
      <w:r w:rsidRPr="00846956">
        <w:rPr>
          <w:i/>
          <w:color w:val="231F20"/>
          <w:w w:val="105"/>
          <w:sz w:val="16"/>
          <w:lang w:val="de-DE"/>
        </w:rPr>
        <w:t xml:space="preserve">Klau Mich </w:t>
      </w:r>
      <w:r w:rsidRPr="00846956">
        <w:rPr>
          <w:color w:val="231F20"/>
          <w:w w:val="105"/>
          <w:sz w:val="16"/>
          <w:lang w:val="de-DE"/>
        </w:rPr>
        <w:t>75</w:t>
      </w:r>
    </w:p>
    <w:p w14:paraId="6056FB97" w14:textId="77777777" w:rsidR="002653E8" w:rsidRPr="00846956" w:rsidRDefault="003115E3">
      <w:pPr>
        <w:spacing w:before="32"/>
        <w:ind w:left="1147"/>
        <w:rPr>
          <w:sz w:val="16"/>
          <w:lang w:val="de-DE"/>
        </w:rPr>
      </w:pPr>
      <w:r w:rsidRPr="00846956">
        <w:rPr>
          <w:color w:val="231F20"/>
          <w:sz w:val="16"/>
          <w:lang w:val="de-DE"/>
        </w:rPr>
        <w:t>Klee, August 72–73</w:t>
      </w:r>
    </w:p>
    <w:p w14:paraId="03FEB4DD" w14:textId="77777777" w:rsidR="002653E8" w:rsidRDefault="003115E3">
      <w:pPr>
        <w:spacing w:before="33"/>
        <w:ind w:left="1147"/>
        <w:rPr>
          <w:sz w:val="16"/>
        </w:rPr>
      </w:pPr>
      <w:r>
        <w:rPr>
          <w:color w:val="231F20"/>
          <w:w w:val="105"/>
          <w:sz w:val="16"/>
        </w:rPr>
        <w:t>Klein, Hans-Joachim 201</w:t>
      </w:r>
      <w:r>
        <w:rPr>
          <w:i/>
          <w:color w:val="231F20"/>
          <w:w w:val="105"/>
          <w:sz w:val="16"/>
        </w:rPr>
        <w:t xml:space="preserve">, </w:t>
      </w:r>
      <w:r>
        <w:rPr>
          <w:color w:val="231F20"/>
          <w:w w:val="105"/>
          <w:sz w:val="16"/>
        </w:rPr>
        <w:t>439</w:t>
      </w:r>
      <w:r>
        <w:rPr>
          <w:i/>
          <w:color w:val="231F20"/>
          <w:w w:val="105"/>
          <w:sz w:val="16"/>
        </w:rPr>
        <w:t xml:space="preserve">, </w:t>
      </w:r>
      <w:r>
        <w:rPr>
          <w:color w:val="231F20"/>
          <w:w w:val="105"/>
          <w:sz w:val="16"/>
        </w:rPr>
        <w:t>569;</w:t>
      </w:r>
    </w:p>
    <w:p w14:paraId="5D6D3011" w14:textId="77777777" w:rsidR="002653E8" w:rsidRDefault="003115E3">
      <w:pPr>
        <w:spacing w:before="32"/>
        <w:ind w:left="1347"/>
        <w:rPr>
          <w:sz w:val="16"/>
        </w:rPr>
      </w:pPr>
      <w:r>
        <w:rPr>
          <w:color w:val="231F20"/>
          <w:w w:val="105"/>
          <w:sz w:val="16"/>
        </w:rPr>
        <w:t>OPEC raid (1975) 438–439</w:t>
      </w:r>
      <w:r>
        <w:rPr>
          <w:i/>
          <w:color w:val="231F20"/>
          <w:w w:val="105"/>
          <w:sz w:val="16"/>
        </w:rPr>
        <w:t xml:space="preserve">, </w:t>
      </w:r>
      <w:r>
        <w:rPr>
          <w:color w:val="231F20"/>
          <w:w w:val="105"/>
          <w:sz w:val="16"/>
        </w:rPr>
        <w:t>599; Putz</w:t>
      </w:r>
    </w:p>
    <w:p w14:paraId="40D9D557" w14:textId="77777777" w:rsidR="002653E8" w:rsidRPr="00846956" w:rsidRDefault="003115E3">
      <w:pPr>
        <w:spacing w:before="32"/>
        <w:ind w:left="1347"/>
        <w:rPr>
          <w:sz w:val="16"/>
          <w:lang w:val="de-DE"/>
        </w:rPr>
      </w:pPr>
      <w:r w:rsidRPr="00846956">
        <w:rPr>
          <w:color w:val="231F20"/>
          <w:w w:val="105"/>
          <w:sz w:val="16"/>
          <w:lang w:val="de-DE"/>
        </w:rPr>
        <w:t>Group 436</w:t>
      </w:r>
    </w:p>
    <w:p w14:paraId="7FDA4A49" w14:textId="77777777" w:rsidR="002653E8" w:rsidRPr="00846956" w:rsidRDefault="003115E3">
      <w:pPr>
        <w:spacing w:before="33"/>
        <w:ind w:left="1147"/>
        <w:rPr>
          <w:sz w:val="16"/>
          <w:lang w:val="de-DE"/>
        </w:rPr>
      </w:pPr>
      <w:r w:rsidRPr="00846956">
        <w:rPr>
          <w:color w:val="231F20"/>
          <w:w w:val="105"/>
          <w:sz w:val="16"/>
          <w:lang w:val="de-DE"/>
        </w:rPr>
        <w:t>Klett, Arnulf 181</w:t>
      </w:r>
    </w:p>
    <w:p w14:paraId="7460D0FF" w14:textId="77777777" w:rsidR="002653E8" w:rsidRPr="00846956" w:rsidRDefault="003115E3">
      <w:pPr>
        <w:spacing w:before="32"/>
        <w:ind w:left="1147"/>
        <w:rPr>
          <w:sz w:val="16"/>
          <w:lang w:val="de-DE"/>
        </w:rPr>
      </w:pPr>
      <w:r w:rsidRPr="00846956">
        <w:rPr>
          <w:color w:val="231F20"/>
          <w:sz w:val="16"/>
          <w:lang w:val="de-DE"/>
        </w:rPr>
        <w:t>Klette, Daniela 626</w:t>
      </w:r>
    </w:p>
    <w:p w14:paraId="413EB7DB" w14:textId="77777777" w:rsidR="002653E8" w:rsidRPr="00846956" w:rsidRDefault="003115E3">
      <w:pPr>
        <w:spacing w:before="33"/>
        <w:ind w:left="1147"/>
        <w:rPr>
          <w:sz w:val="16"/>
          <w:lang w:val="de-DE"/>
        </w:rPr>
      </w:pPr>
      <w:r w:rsidRPr="00846956">
        <w:rPr>
          <w:color w:val="231F20"/>
          <w:sz w:val="16"/>
          <w:lang w:val="de-DE"/>
        </w:rPr>
        <w:t>Kletzhändler, Edith 613</w:t>
      </w:r>
    </w:p>
    <w:p w14:paraId="1E2011B8" w14:textId="77777777" w:rsidR="002653E8" w:rsidRDefault="003115E3">
      <w:pPr>
        <w:spacing w:before="32"/>
        <w:ind w:left="1147"/>
        <w:rPr>
          <w:sz w:val="16"/>
        </w:rPr>
      </w:pPr>
      <w:r>
        <w:rPr>
          <w:color w:val="231F20"/>
          <w:w w:val="105"/>
          <w:sz w:val="16"/>
        </w:rPr>
        <w:t>Kluge, Alexander 25</w:t>
      </w:r>
      <w:r>
        <w:rPr>
          <w:i/>
          <w:color w:val="231F20"/>
          <w:w w:val="105"/>
          <w:sz w:val="16"/>
        </w:rPr>
        <w:t xml:space="preserve">, </w:t>
      </w:r>
      <w:r>
        <w:rPr>
          <w:color w:val="231F20"/>
          <w:w w:val="105"/>
          <w:sz w:val="16"/>
        </w:rPr>
        <w:t>421</w:t>
      </w:r>
      <w:r>
        <w:rPr>
          <w:i/>
          <w:color w:val="231F20"/>
          <w:w w:val="105"/>
          <w:sz w:val="16"/>
        </w:rPr>
        <w:t xml:space="preserve">, </w:t>
      </w:r>
      <w:r>
        <w:rPr>
          <w:color w:val="231F20"/>
          <w:w w:val="105"/>
          <w:sz w:val="16"/>
        </w:rPr>
        <w:t>610</w:t>
      </w:r>
    </w:p>
    <w:p w14:paraId="4F548C6B" w14:textId="77777777" w:rsidR="002653E8" w:rsidRDefault="003115E3">
      <w:pPr>
        <w:spacing w:before="33"/>
        <w:ind w:left="1147"/>
        <w:rPr>
          <w:sz w:val="16"/>
        </w:rPr>
      </w:pPr>
      <w:r>
        <w:rPr>
          <w:color w:val="231F20"/>
          <w:w w:val="105"/>
          <w:sz w:val="16"/>
        </w:rPr>
        <w:t>Klump, Andrea 619</w:t>
      </w:r>
      <w:r>
        <w:rPr>
          <w:i/>
          <w:color w:val="231F20"/>
          <w:w w:val="105"/>
          <w:sz w:val="16"/>
        </w:rPr>
        <w:t xml:space="preserve">, </w:t>
      </w:r>
      <w:r>
        <w:rPr>
          <w:color w:val="231F20"/>
          <w:w w:val="105"/>
          <w:sz w:val="16"/>
        </w:rPr>
        <w:t>621</w:t>
      </w:r>
      <w:r>
        <w:rPr>
          <w:i/>
          <w:color w:val="231F20"/>
          <w:w w:val="105"/>
          <w:sz w:val="16"/>
        </w:rPr>
        <w:t xml:space="preserve">, </w:t>
      </w:r>
      <w:r>
        <w:rPr>
          <w:color w:val="231F20"/>
          <w:w w:val="105"/>
          <w:sz w:val="16"/>
        </w:rPr>
        <w:t>626</w:t>
      </w:r>
    </w:p>
    <w:p w14:paraId="799BD722" w14:textId="77777777" w:rsidR="002653E8" w:rsidRDefault="003115E3">
      <w:pPr>
        <w:spacing w:before="32"/>
        <w:ind w:left="1147"/>
        <w:rPr>
          <w:sz w:val="16"/>
        </w:rPr>
      </w:pPr>
      <w:r>
        <w:rPr>
          <w:color w:val="231F20"/>
          <w:w w:val="105"/>
          <w:sz w:val="16"/>
        </w:rPr>
        <w:t>Kluth, Christian 621</w:t>
      </w:r>
    </w:p>
    <w:p w14:paraId="6A9933A0" w14:textId="77777777" w:rsidR="002653E8" w:rsidRPr="00846956" w:rsidRDefault="003115E3">
      <w:pPr>
        <w:spacing w:before="32"/>
        <w:ind w:left="1147"/>
        <w:rPr>
          <w:sz w:val="16"/>
          <w:lang w:val="de-DE"/>
        </w:rPr>
      </w:pPr>
      <w:r w:rsidRPr="00846956">
        <w:rPr>
          <w:color w:val="231F20"/>
          <w:w w:val="105"/>
          <w:sz w:val="16"/>
          <w:lang w:val="de-DE"/>
        </w:rPr>
        <w:t>Knoblich (judge) 241</w:t>
      </w:r>
      <w:r w:rsidRPr="00846956">
        <w:rPr>
          <w:i/>
          <w:color w:val="231F20"/>
          <w:w w:val="105"/>
          <w:sz w:val="16"/>
          <w:lang w:val="de-DE"/>
        </w:rPr>
        <w:t xml:space="preserve">, </w:t>
      </w:r>
      <w:r w:rsidRPr="00846956">
        <w:rPr>
          <w:color w:val="231F20"/>
          <w:w w:val="105"/>
          <w:sz w:val="16"/>
          <w:lang w:val="de-DE"/>
        </w:rPr>
        <w:t>593</w:t>
      </w:r>
    </w:p>
    <w:p w14:paraId="125E8022" w14:textId="77777777" w:rsidR="002653E8" w:rsidRPr="00846956" w:rsidRDefault="003115E3">
      <w:pPr>
        <w:spacing w:before="86"/>
        <w:ind w:left="270"/>
        <w:rPr>
          <w:sz w:val="16"/>
          <w:lang w:val="de-DE"/>
        </w:rPr>
      </w:pPr>
      <w:r w:rsidRPr="00846956">
        <w:rPr>
          <w:lang w:val="de-DE"/>
        </w:rPr>
        <w:br w:type="column"/>
      </w:r>
      <w:r w:rsidRPr="00846956">
        <w:rPr>
          <w:color w:val="231F20"/>
          <w:sz w:val="16"/>
          <w:lang w:val="de-DE"/>
        </w:rPr>
        <w:t>Knodler-Bunte, Eberhard 27</w:t>
      </w:r>
    </w:p>
    <w:p w14:paraId="4E664742" w14:textId="77777777" w:rsidR="002653E8" w:rsidRPr="00846956" w:rsidRDefault="003115E3">
      <w:pPr>
        <w:spacing w:before="33"/>
        <w:ind w:left="270"/>
        <w:rPr>
          <w:sz w:val="16"/>
          <w:lang w:val="de-DE"/>
        </w:rPr>
      </w:pPr>
      <w:r w:rsidRPr="00846956">
        <w:rPr>
          <w:color w:val="231F20"/>
          <w:w w:val="105"/>
          <w:sz w:val="16"/>
          <w:lang w:val="de-DE"/>
        </w:rPr>
        <w:t>Knoll, Michael 529</w:t>
      </w:r>
      <w:r w:rsidRPr="00846956">
        <w:rPr>
          <w:i/>
          <w:color w:val="231F20"/>
          <w:w w:val="105"/>
          <w:sz w:val="16"/>
          <w:lang w:val="de-DE"/>
        </w:rPr>
        <w:t xml:space="preserve">, </w:t>
      </w:r>
      <w:r w:rsidRPr="00846956">
        <w:rPr>
          <w:color w:val="231F20"/>
          <w:w w:val="105"/>
          <w:sz w:val="16"/>
          <w:lang w:val="de-DE"/>
        </w:rPr>
        <w:t>570</w:t>
      </w:r>
      <w:r w:rsidRPr="00846956">
        <w:rPr>
          <w:i/>
          <w:color w:val="231F20"/>
          <w:w w:val="105"/>
          <w:sz w:val="16"/>
          <w:lang w:val="de-DE"/>
        </w:rPr>
        <w:t xml:space="preserve">, </w:t>
      </w:r>
      <w:r w:rsidRPr="00846956">
        <w:rPr>
          <w:color w:val="231F20"/>
          <w:w w:val="105"/>
          <w:sz w:val="16"/>
          <w:lang w:val="de-DE"/>
        </w:rPr>
        <w:t>611</w:t>
      </w:r>
    </w:p>
    <w:p w14:paraId="44C87D94" w14:textId="77777777" w:rsidR="002653E8" w:rsidRPr="00846956" w:rsidRDefault="003115E3">
      <w:pPr>
        <w:spacing w:before="32"/>
        <w:ind w:left="270"/>
        <w:rPr>
          <w:sz w:val="16"/>
          <w:lang w:val="de-DE"/>
        </w:rPr>
      </w:pPr>
      <w:r w:rsidRPr="00846956">
        <w:rPr>
          <w:color w:val="231F20"/>
          <w:sz w:val="16"/>
          <w:lang w:val="de-DE"/>
        </w:rPr>
        <w:t>Knutz, Siegfried 301</w:t>
      </w:r>
    </w:p>
    <w:p w14:paraId="5A865EFF" w14:textId="77777777" w:rsidR="002653E8" w:rsidRPr="00846956" w:rsidRDefault="003115E3">
      <w:pPr>
        <w:spacing w:before="33"/>
        <w:ind w:left="270"/>
        <w:rPr>
          <w:sz w:val="16"/>
          <w:lang w:val="de-DE"/>
        </w:rPr>
      </w:pPr>
      <w:r w:rsidRPr="00846956">
        <w:rPr>
          <w:color w:val="231F20"/>
          <w:w w:val="105"/>
          <w:sz w:val="16"/>
          <w:lang w:val="de-DE"/>
        </w:rPr>
        <w:t>Köhler, Horst 627</w:t>
      </w:r>
    </w:p>
    <w:p w14:paraId="6FF73A5F" w14:textId="77777777" w:rsidR="002653E8" w:rsidRPr="00846956" w:rsidRDefault="003115E3">
      <w:pPr>
        <w:spacing w:before="32"/>
        <w:ind w:left="270"/>
        <w:rPr>
          <w:sz w:val="16"/>
          <w:lang w:val="de-DE"/>
        </w:rPr>
      </w:pPr>
      <w:r w:rsidRPr="00846956">
        <w:rPr>
          <w:color w:val="231F20"/>
          <w:w w:val="105"/>
          <w:sz w:val="16"/>
          <w:lang w:val="de-DE"/>
        </w:rPr>
        <w:t>Kohl, Helmut 344</w:t>
      </w:r>
      <w:r w:rsidRPr="00846956">
        <w:rPr>
          <w:i/>
          <w:color w:val="231F20"/>
          <w:w w:val="105"/>
          <w:sz w:val="16"/>
          <w:lang w:val="de-DE"/>
        </w:rPr>
        <w:t xml:space="preserve">, </w:t>
      </w:r>
      <w:r w:rsidRPr="00846956">
        <w:rPr>
          <w:color w:val="231F20"/>
          <w:w w:val="105"/>
          <w:sz w:val="16"/>
          <w:lang w:val="de-DE"/>
        </w:rPr>
        <w:t>615</w:t>
      </w:r>
      <w:r w:rsidRPr="00846956">
        <w:rPr>
          <w:i/>
          <w:color w:val="231F20"/>
          <w:w w:val="105"/>
          <w:sz w:val="16"/>
          <w:lang w:val="de-DE"/>
        </w:rPr>
        <w:t xml:space="preserve">, </w:t>
      </w:r>
      <w:r w:rsidRPr="00846956">
        <w:rPr>
          <w:color w:val="231F20"/>
          <w:w w:val="105"/>
          <w:sz w:val="16"/>
          <w:lang w:val="de-DE"/>
        </w:rPr>
        <w:t>621</w:t>
      </w:r>
    </w:p>
    <w:p w14:paraId="7A873144" w14:textId="77777777" w:rsidR="002653E8" w:rsidRDefault="003115E3">
      <w:pPr>
        <w:spacing w:before="32" w:line="280" w:lineRule="auto"/>
        <w:ind w:left="470" w:right="1361" w:hanging="200"/>
        <w:rPr>
          <w:sz w:val="16"/>
        </w:rPr>
      </w:pPr>
      <w:r w:rsidRPr="00846956">
        <w:rPr>
          <w:color w:val="231F20"/>
          <w:sz w:val="16"/>
          <w:lang w:val="de-DE"/>
        </w:rPr>
        <w:t>Komitees gegen Folter</w:t>
      </w:r>
      <w:r w:rsidRPr="00846956">
        <w:rPr>
          <w:i/>
          <w:color w:val="231F20"/>
          <w:sz w:val="16"/>
          <w:lang w:val="de-DE"/>
        </w:rPr>
        <w:t xml:space="preserve">. </w:t>
      </w:r>
      <w:r>
        <w:rPr>
          <w:i/>
          <w:color w:val="231F20"/>
          <w:sz w:val="16"/>
        </w:rPr>
        <w:t xml:space="preserve">See </w:t>
      </w:r>
      <w:r>
        <w:rPr>
          <w:color w:val="231F20"/>
          <w:sz w:val="16"/>
        </w:rPr>
        <w:t>Committees Against Torture</w:t>
      </w:r>
    </w:p>
    <w:p w14:paraId="2F79E721" w14:textId="77777777" w:rsidR="002653E8" w:rsidRDefault="003115E3">
      <w:pPr>
        <w:spacing w:before="1"/>
        <w:ind w:left="270"/>
        <w:rPr>
          <w:i/>
          <w:sz w:val="16"/>
        </w:rPr>
      </w:pPr>
      <w:r>
        <w:rPr>
          <w:color w:val="231F20"/>
          <w:w w:val="110"/>
          <w:sz w:val="16"/>
        </w:rPr>
        <w:t>Kommune 1 31</w:t>
      </w:r>
      <w:r>
        <w:rPr>
          <w:i/>
          <w:color w:val="231F20"/>
          <w:w w:val="110"/>
          <w:sz w:val="16"/>
        </w:rPr>
        <w:t xml:space="preserve">, </w:t>
      </w:r>
      <w:r>
        <w:rPr>
          <w:color w:val="231F20"/>
          <w:w w:val="110"/>
          <w:sz w:val="16"/>
        </w:rPr>
        <w:t>45</w:t>
      </w:r>
      <w:r>
        <w:rPr>
          <w:i/>
          <w:color w:val="231F20"/>
          <w:w w:val="110"/>
          <w:sz w:val="16"/>
        </w:rPr>
        <w:t xml:space="preserve">, </w:t>
      </w:r>
      <w:r>
        <w:rPr>
          <w:color w:val="231F20"/>
          <w:w w:val="110"/>
          <w:sz w:val="16"/>
        </w:rPr>
        <w:t>49</w:t>
      </w:r>
      <w:r>
        <w:rPr>
          <w:i/>
          <w:color w:val="231F20"/>
          <w:w w:val="110"/>
          <w:sz w:val="16"/>
        </w:rPr>
        <w:t xml:space="preserve">, </w:t>
      </w:r>
      <w:r>
        <w:rPr>
          <w:color w:val="231F20"/>
          <w:w w:val="110"/>
          <w:sz w:val="16"/>
        </w:rPr>
        <w:t>53</w:t>
      </w:r>
      <w:r>
        <w:rPr>
          <w:i/>
          <w:color w:val="231F20"/>
          <w:w w:val="110"/>
          <w:sz w:val="16"/>
        </w:rPr>
        <w:t xml:space="preserve">, </w:t>
      </w:r>
      <w:r>
        <w:rPr>
          <w:color w:val="231F20"/>
          <w:w w:val="110"/>
          <w:sz w:val="16"/>
        </w:rPr>
        <w:t>237</w:t>
      </w:r>
      <w:r>
        <w:rPr>
          <w:i/>
          <w:color w:val="231F20"/>
          <w:w w:val="110"/>
          <w:sz w:val="16"/>
        </w:rPr>
        <w:t xml:space="preserve">, </w:t>
      </w:r>
      <w:r>
        <w:rPr>
          <w:color w:val="231F20"/>
          <w:w w:val="110"/>
          <w:sz w:val="16"/>
        </w:rPr>
        <w:t>580</w:t>
      </w:r>
      <w:r>
        <w:rPr>
          <w:i/>
          <w:color w:val="231F20"/>
          <w:w w:val="110"/>
          <w:sz w:val="16"/>
        </w:rPr>
        <w:t>,</w:t>
      </w:r>
    </w:p>
    <w:p w14:paraId="72A4A657" w14:textId="77777777" w:rsidR="002653E8" w:rsidRDefault="003115E3">
      <w:pPr>
        <w:spacing w:before="33"/>
        <w:ind w:left="470"/>
        <w:rPr>
          <w:i/>
          <w:sz w:val="16"/>
        </w:rPr>
      </w:pPr>
      <w:r>
        <w:rPr>
          <w:color w:val="231F20"/>
          <w:w w:val="105"/>
          <w:sz w:val="16"/>
        </w:rPr>
        <w:t>583; mentioned by Thorwald Proll 69</w:t>
      </w:r>
      <w:r>
        <w:rPr>
          <w:i/>
          <w:color w:val="231F20"/>
          <w:w w:val="105"/>
          <w:sz w:val="16"/>
        </w:rPr>
        <w:t>,</w:t>
      </w:r>
    </w:p>
    <w:p w14:paraId="318E5124" w14:textId="77777777" w:rsidR="002653E8" w:rsidRDefault="003115E3">
      <w:pPr>
        <w:spacing w:before="32"/>
        <w:ind w:left="470"/>
        <w:rPr>
          <w:sz w:val="16"/>
        </w:rPr>
      </w:pPr>
      <w:r>
        <w:rPr>
          <w:color w:val="231F20"/>
          <w:sz w:val="16"/>
        </w:rPr>
        <w:t>75; sexual politics 51</w:t>
      </w:r>
    </w:p>
    <w:p w14:paraId="3BCB9D88" w14:textId="77777777" w:rsidR="002653E8" w:rsidRPr="00846956" w:rsidRDefault="003115E3">
      <w:pPr>
        <w:spacing w:before="33"/>
        <w:ind w:left="270"/>
        <w:rPr>
          <w:sz w:val="16"/>
          <w:lang w:val="de-DE"/>
        </w:rPr>
      </w:pPr>
      <w:r w:rsidRPr="00846956">
        <w:rPr>
          <w:color w:val="231F20"/>
          <w:sz w:val="16"/>
          <w:lang w:val="de-DE"/>
        </w:rPr>
        <w:t>Kommune 2 59</w:t>
      </w:r>
    </w:p>
    <w:p w14:paraId="0D6740E0" w14:textId="77777777" w:rsidR="002653E8" w:rsidRPr="00846956" w:rsidRDefault="003115E3">
      <w:pPr>
        <w:spacing w:before="32"/>
        <w:ind w:left="270"/>
        <w:rPr>
          <w:sz w:val="16"/>
          <w:lang w:val="de-DE"/>
        </w:rPr>
      </w:pPr>
      <w:r w:rsidRPr="00846956">
        <w:rPr>
          <w:i/>
          <w:color w:val="231F20"/>
          <w:w w:val="105"/>
          <w:sz w:val="16"/>
          <w:lang w:val="de-DE"/>
        </w:rPr>
        <w:t xml:space="preserve">Kommunistische Volkszeitung </w:t>
      </w:r>
      <w:r w:rsidRPr="00846956">
        <w:rPr>
          <w:color w:val="231F20"/>
          <w:w w:val="105"/>
          <w:sz w:val="16"/>
          <w:lang w:val="de-DE"/>
        </w:rPr>
        <w:t>434</w:t>
      </w:r>
      <w:r w:rsidRPr="00846956">
        <w:rPr>
          <w:i/>
          <w:color w:val="231F20"/>
          <w:w w:val="105"/>
          <w:sz w:val="16"/>
          <w:lang w:val="de-DE"/>
        </w:rPr>
        <w:t xml:space="preserve">, </w:t>
      </w:r>
      <w:r w:rsidRPr="00846956">
        <w:rPr>
          <w:color w:val="231F20"/>
          <w:w w:val="105"/>
          <w:sz w:val="16"/>
          <w:lang w:val="de-DE"/>
        </w:rPr>
        <w:t>514</w:t>
      </w:r>
    </w:p>
    <w:p w14:paraId="4D309C61" w14:textId="77777777" w:rsidR="002653E8" w:rsidRPr="00846956" w:rsidRDefault="003115E3">
      <w:pPr>
        <w:spacing w:before="33"/>
        <w:ind w:left="270"/>
        <w:rPr>
          <w:sz w:val="16"/>
          <w:lang w:val="de-DE"/>
        </w:rPr>
      </w:pPr>
      <w:r w:rsidRPr="00846956">
        <w:rPr>
          <w:color w:val="231F20"/>
          <w:sz w:val="16"/>
          <w:lang w:val="de-DE"/>
        </w:rPr>
        <w:t>Konieczny, Hans-Peter 591</w:t>
      </w:r>
    </w:p>
    <w:p w14:paraId="5CEC0842" w14:textId="77777777" w:rsidR="002653E8" w:rsidRPr="00846956" w:rsidRDefault="003115E3">
      <w:pPr>
        <w:spacing w:before="32"/>
        <w:ind w:left="270"/>
        <w:rPr>
          <w:sz w:val="16"/>
          <w:lang w:val="de-DE"/>
        </w:rPr>
      </w:pPr>
      <w:r w:rsidRPr="00846956">
        <w:rPr>
          <w:i/>
          <w:color w:val="231F20"/>
          <w:w w:val="110"/>
          <w:sz w:val="16"/>
          <w:lang w:val="de-DE"/>
        </w:rPr>
        <w:t xml:space="preserve">konkret </w:t>
      </w:r>
      <w:r w:rsidRPr="00846956">
        <w:rPr>
          <w:color w:val="231F20"/>
          <w:w w:val="110"/>
          <w:sz w:val="16"/>
          <w:lang w:val="de-DE"/>
        </w:rPr>
        <w:t>26</w:t>
      </w:r>
      <w:r w:rsidRPr="00846956">
        <w:rPr>
          <w:i/>
          <w:color w:val="231F20"/>
          <w:w w:val="110"/>
          <w:sz w:val="16"/>
          <w:lang w:val="de-DE"/>
        </w:rPr>
        <w:t xml:space="preserve">, </w:t>
      </w:r>
      <w:r w:rsidRPr="00846956">
        <w:rPr>
          <w:color w:val="231F20"/>
          <w:w w:val="110"/>
          <w:sz w:val="16"/>
          <w:lang w:val="de-DE"/>
        </w:rPr>
        <w:t>28</w:t>
      </w:r>
      <w:r w:rsidRPr="00846956">
        <w:rPr>
          <w:i/>
          <w:color w:val="231F20"/>
          <w:w w:val="110"/>
          <w:sz w:val="16"/>
          <w:lang w:val="de-DE"/>
        </w:rPr>
        <w:t xml:space="preserve">, </w:t>
      </w:r>
      <w:r w:rsidRPr="00846956">
        <w:rPr>
          <w:color w:val="231F20"/>
          <w:w w:val="110"/>
          <w:sz w:val="16"/>
          <w:lang w:val="de-DE"/>
        </w:rPr>
        <w:t>557</w:t>
      </w:r>
      <w:r w:rsidRPr="00846956">
        <w:rPr>
          <w:i/>
          <w:color w:val="231F20"/>
          <w:w w:val="110"/>
          <w:sz w:val="16"/>
          <w:lang w:val="de-DE"/>
        </w:rPr>
        <w:t xml:space="preserve">, </w:t>
      </w:r>
      <w:r w:rsidRPr="00846956">
        <w:rPr>
          <w:color w:val="231F20"/>
          <w:w w:val="110"/>
          <w:sz w:val="16"/>
          <w:lang w:val="de-DE"/>
        </w:rPr>
        <w:t>583</w:t>
      </w:r>
      <w:r w:rsidRPr="00846956">
        <w:rPr>
          <w:i/>
          <w:color w:val="231F20"/>
          <w:w w:val="110"/>
          <w:sz w:val="16"/>
          <w:lang w:val="de-DE"/>
        </w:rPr>
        <w:t xml:space="preserve">, </w:t>
      </w:r>
      <w:r w:rsidRPr="00846956">
        <w:rPr>
          <w:color w:val="231F20"/>
          <w:w w:val="110"/>
          <w:sz w:val="16"/>
          <w:lang w:val="de-DE"/>
        </w:rPr>
        <w:t>622; and KPD</w:t>
      </w:r>
    </w:p>
    <w:p w14:paraId="6605AFB4" w14:textId="77777777" w:rsidR="002653E8" w:rsidRPr="00846956" w:rsidRDefault="003115E3">
      <w:pPr>
        <w:spacing w:before="32"/>
        <w:ind w:left="470"/>
        <w:rPr>
          <w:i/>
          <w:sz w:val="16"/>
          <w:lang w:val="de-DE"/>
        </w:rPr>
      </w:pPr>
      <w:r w:rsidRPr="00846956">
        <w:rPr>
          <w:color w:val="231F20"/>
          <w:w w:val="110"/>
          <w:sz w:val="16"/>
          <w:lang w:val="de-DE"/>
        </w:rPr>
        <w:t>26</w:t>
      </w:r>
      <w:r w:rsidRPr="00846956">
        <w:rPr>
          <w:i/>
          <w:color w:val="231F20"/>
          <w:w w:val="110"/>
          <w:sz w:val="16"/>
          <w:lang w:val="de-DE"/>
        </w:rPr>
        <w:t xml:space="preserve">, </w:t>
      </w:r>
      <w:r w:rsidRPr="00846956">
        <w:rPr>
          <w:color w:val="231F20"/>
          <w:w w:val="110"/>
          <w:sz w:val="16"/>
          <w:lang w:val="de-DE"/>
        </w:rPr>
        <w:t>28; Meinhof’s columns 32</w:t>
      </w:r>
      <w:r w:rsidRPr="00846956">
        <w:rPr>
          <w:i/>
          <w:color w:val="231F20"/>
          <w:w w:val="110"/>
          <w:sz w:val="16"/>
          <w:lang w:val="de-DE"/>
        </w:rPr>
        <w:t xml:space="preserve">, </w:t>
      </w:r>
      <w:r w:rsidRPr="00846956">
        <w:rPr>
          <w:color w:val="231F20"/>
          <w:w w:val="110"/>
          <w:sz w:val="16"/>
          <w:lang w:val="de-DE"/>
        </w:rPr>
        <w:t>38</w:t>
      </w:r>
      <w:r w:rsidRPr="00846956">
        <w:rPr>
          <w:i/>
          <w:color w:val="231F20"/>
          <w:w w:val="110"/>
          <w:sz w:val="16"/>
          <w:lang w:val="de-DE"/>
        </w:rPr>
        <w:t xml:space="preserve">, </w:t>
      </w:r>
      <w:r w:rsidRPr="00846956">
        <w:rPr>
          <w:color w:val="231F20"/>
          <w:w w:val="110"/>
          <w:sz w:val="16"/>
          <w:lang w:val="de-DE"/>
        </w:rPr>
        <w:t>41</w:t>
      </w:r>
      <w:r w:rsidRPr="00846956">
        <w:rPr>
          <w:i/>
          <w:color w:val="231F20"/>
          <w:w w:val="110"/>
          <w:sz w:val="16"/>
          <w:lang w:val="de-DE"/>
        </w:rPr>
        <w:t>,</w:t>
      </w:r>
    </w:p>
    <w:p w14:paraId="03328388" w14:textId="77777777" w:rsidR="002653E8" w:rsidRDefault="003115E3">
      <w:pPr>
        <w:spacing w:before="33"/>
        <w:ind w:left="470"/>
        <w:rPr>
          <w:sz w:val="16"/>
        </w:rPr>
      </w:pPr>
      <w:r>
        <w:rPr>
          <w:color w:val="231F20"/>
          <w:w w:val="105"/>
          <w:sz w:val="16"/>
        </w:rPr>
        <w:t>48–49</w:t>
      </w:r>
      <w:r>
        <w:rPr>
          <w:i/>
          <w:color w:val="231F20"/>
          <w:w w:val="105"/>
          <w:sz w:val="16"/>
        </w:rPr>
        <w:t xml:space="preserve">, </w:t>
      </w:r>
      <w:r>
        <w:rPr>
          <w:color w:val="231F20"/>
          <w:w w:val="105"/>
          <w:sz w:val="16"/>
        </w:rPr>
        <w:t>53</w:t>
      </w:r>
      <w:r>
        <w:rPr>
          <w:i/>
          <w:color w:val="231F20"/>
          <w:w w:val="105"/>
          <w:sz w:val="16"/>
        </w:rPr>
        <w:t xml:space="preserve">, </w:t>
      </w:r>
      <w:r>
        <w:rPr>
          <w:color w:val="231F20"/>
          <w:w w:val="105"/>
          <w:sz w:val="16"/>
        </w:rPr>
        <w:t xml:space="preserve">582; mentioned by </w:t>
      </w:r>
      <w:r w:rsidR="00C507A5">
        <w:rPr>
          <w:color w:val="231F20"/>
          <w:w w:val="105"/>
          <w:sz w:val="16"/>
        </w:rPr>
        <w:t>red army faction</w:t>
      </w:r>
    </w:p>
    <w:p w14:paraId="43ECA48A" w14:textId="77777777" w:rsidR="002653E8" w:rsidRDefault="003115E3">
      <w:pPr>
        <w:spacing w:before="32"/>
        <w:ind w:left="470"/>
        <w:rPr>
          <w:sz w:val="16"/>
        </w:rPr>
      </w:pPr>
      <w:r>
        <w:rPr>
          <w:color w:val="231F20"/>
          <w:w w:val="110"/>
          <w:sz w:val="16"/>
        </w:rPr>
        <w:t>84</w:t>
      </w:r>
      <w:r>
        <w:rPr>
          <w:i/>
          <w:color w:val="231F20"/>
          <w:w w:val="110"/>
          <w:sz w:val="16"/>
        </w:rPr>
        <w:t xml:space="preserve">, </w:t>
      </w:r>
      <w:r>
        <w:rPr>
          <w:color w:val="231F20"/>
          <w:w w:val="110"/>
          <w:sz w:val="16"/>
        </w:rPr>
        <w:t>155</w:t>
      </w:r>
    </w:p>
    <w:p w14:paraId="68711B73" w14:textId="77777777" w:rsidR="002653E8" w:rsidRDefault="003115E3">
      <w:pPr>
        <w:spacing w:before="33" w:line="280" w:lineRule="auto"/>
        <w:ind w:left="470" w:right="1361" w:hanging="200"/>
        <w:rPr>
          <w:sz w:val="16"/>
        </w:rPr>
      </w:pPr>
      <w:r>
        <w:rPr>
          <w:color w:val="231F20"/>
          <w:sz w:val="16"/>
        </w:rPr>
        <w:t>Kontaktsperre</w:t>
      </w:r>
      <w:r>
        <w:rPr>
          <w:i/>
          <w:color w:val="231F20"/>
          <w:sz w:val="16"/>
        </w:rPr>
        <w:t xml:space="preserve">. See </w:t>
      </w:r>
      <w:r>
        <w:rPr>
          <w:color w:val="231F20"/>
          <w:sz w:val="16"/>
        </w:rPr>
        <w:t>prison conditions: Contact Ban</w:t>
      </w:r>
    </w:p>
    <w:p w14:paraId="5636E909" w14:textId="77777777" w:rsidR="002653E8" w:rsidRPr="00846956" w:rsidRDefault="003115E3">
      <w:pPr>
        <w:spacing w:before="1" w:line="280" w:lineRule="auto"/>
        <w:ind w:left="470" w:right="1603" w:hanging="200"/>
        <w:rPr>
          <w:sz w:val="16"/>
          <w:lang w:val="de-DE"/>
        </w:rPr>
      </w:pPr>
      <w:r w:rsidRPr="00846956">
        <w:rPr>
          <w:color w:val="231F20"/>
          <w:sz w:val="16"/>
          <w:lang w:val="de-DE"/>
        </w:rPr>
        <w:t>KPD/AO (Kommunistische Partei Deutschlands/Aufbauorganisation)</w:t>
      </w:r>
      <w:r w:rsidRPr="00846956">
        <w:rPr>
          <w:i/>
          <w:color w:val="231F20"/>
          <w:sz w:val="16"/>
          <w:lang w:val="de-DE"/>
        </w:rPr>
        <w:t xml:space="preserve">. See </w:t>
      </w:r>
      <w:r w:rsidRPr="00846956">
        <w:rPr>
          <w:color w:val="231F20"/>
          <w:sz w:val="16"/>
          <w:lang w:val="de-DE"/>
        </w:rPr>
        <w:t>KPD (Kommunistische Partei Deutschlands) [Maoist]</w:t>
      </w:r>
    </w:p>
    <w:p w14:paraId="1396EB71" w14:textId="77777777" w:rsidR="002653E8" w:rsidRPr="00846956" w:rsidRDefault="003115E3">
      <w:pPr>
        <w:spacing w:before="2" w:line="280" w:lineRule="auto"/>
        <w:ind w:left="470" w:right="1603" w:hanging="200"/>
        <w:rPr>
          <w:sz w:val="16"/>
          <w:lang w:val="de-DE"/>
        </w:rPr>
      </w:pPr>
      <w:r w:rsidRPr="00846956">
        <w:rPr>
          <w:color w:val="231F20"/>
          <w:sz w:val="16"/>
          <w:lang w:val="de-DE"/>
        </w:rPr>
        <w:t>KPD (Kommunistische Partei Deutschlands) [Maoist]  245</w:t>
      </w:r>
      <w:r w:rsidRPr="00846956">
        <w:rPr>
          <w:i/>
          <w:color w:val="231F20"/>
          <w:sz w:val="16"/>
          <w:lang w:val="de-DE"/>
        </w:rPr>
        <w:t xml:space="preserve">. See also </w:t>
      </w:r>
      <w:r w:rsidRPr="00846956">
        <w:rPr>
          <w:color w:val="231F20"/>
          <w:spacing w:val="-3"/>
          <w:sz w:val="16"/>
          <w:lang w:val="de-DE"/>
        </w:rPr>
        <w:t xml:space="preserve">KSV </w:t>
      </w:r>
      <w:r w:rsidRPr="00846956">
        <w:rPr>
          <w:color w:val="231F20"/>
          <w:sz w:val="16"/>
          <w:lang w:val="de-DE"/>
        </w:rPr>
        <w:t>(Kommunistische</w:t>
      </w:r>
      <w:r w:rsidRPr="00846956">
        <w:rPr>
          <w:color w:val="231F20"/>
          <w:spacing w:val="-14"/>
          <w:sz w:val="16"/>
          <w:lang w:val="de-DE"/>
        </w:rPr>
        <w:t xml:space="preserve"> </w:t>
      </w:r>
      <w:r w:rsidRPr="00846956">
        <w:rPr>
          <w:color w:val="231F20"/>
          <w:sz w:val="16"/>
          <w:lang w:val="de-DE"/>
        </w:rPr>
        <w:t>Student-</w:t>
      </w:r>
    </w:p>
    <w:p w14:paraId="1FD31A7B" w14:textId="77777777" w:rsidR="002653E8" w:rsidRDefault="003115E3">
      <w:pPr>
        <w:spacing w:before="1"/>
        <w:ind w:left="470"/>
        <w:rPr>
          <w:sz w:val="16"/>
        </w:rPr>
      </w:pPr>
      <w:r>
        <w:rPr>
          <w:color w:val="231F20"/>
          <w:sz w:val="16"/>
        </w:rPr>
        <w:t xml:space="preserve">verband); criticized by </w:t>
      </w:r>
      <w:r w:rsidR="00C507A5">
        <w:rPr>
          <w:color w:val="231F20"/>
          <w:sz w:val="16"/>
        </w:rPr>
        <w:t>red army faction</w:t>
      </w:r>
      <w:r>
        <w:rPr>
          <w:color w:val="231F20"/>
          <w:sz w:val="16"/>
        </w:rPr>
        <w:t xml:space="preserve"> 289</w:t>
      </w:r>
      <w:r>
        <w:rPr>
          <w:i/>
          <w:color w:val="231F20"/>
          <w:sz w:val="16"/>
        </w:rPr>
        <w:t xml:space="preserve">, </w:t>
      </w:r>
      <w:r>
        <w:rPr>
          <w:color w:val="231F20"/>
          <w:sz w:val="16"/>
        </w:rPr>
        <w:t>424;</w:t>
      </w:r>
    </w:p>
    <w:p w14:paraId="00AB9EA7" w14:textId="77777777" w:rsidR="002653E8" w:rsidRDefault="003115E3">
      <w:pPr>
        <w:spacing w:before="33" w:line="280" w:lineRule="auto"/>
        <w:ind w:left="470" w:right="1361"/>
        <w:rPr>
          <w:sz w:val="16"/>
        </w:rPr>
      </w:pPr>
      <w:r>
        <w:rPr>
          <w:color w:val="231F20"/>
          <w:w w:val="105"/>
          <w:sz w:val="16"/>
        </w:rPr>
        <w:t>Horst Mahler 255</w:t>
      </w:r>
      <w:r>
        <w:rPr>
          <w:i/>
          <w:color w:val="231F20"/>
          <w:w w:val="105"/>
          <w:sz w:val="16"/>
        </w:rPr>
        <w:t xml:space="preserve">, </w:t>
      </w:r>
      <w:r>
        <w:rPr>
          <w:color w:val="231F20"/>
          <w:w w:val="105"/>
          <w:sz w:val="16"/>
        </w:rPr>
        <w:t>256</w:t>
      </w:r>
      <w:r>
        <w:rPr>
          <w:i/>
          <w:color w:val="231F20"/>
          <w:w w:val="105"/>
          <w:sz w:val="16"/>
        </w:rPr>
        <w:t xml:space="preserve">, </w:t>
      </w:r>
      <w:r>
        <w:rPr>
          <w:color w:val="231F20"/>
          <w:w w:val="105"/>
          <w:sz w:val="16"/>
        </w:rPr>
        <w:t>328</w:t>
      </w:r>
      <w:r>
        <w:rPr>
          <w:i/>
          <w:color w:val="231F20"/>
          <w:w w:val="105"/>
          <w:sz w:val="16"/>
        </w:rPr>
        <w:t xml:space="preserve">, </w:t>
      </w:r>
      <w:r>
        <w:rPr>
          <w:color w:val="231F20"/>
          <w:w w:val="105"/>
          <w:sz w:val="16"/>
        </w:rPr>
        <w:t>594; threat to ban 538</w:t>
      </w:r>
    </w:p>
    <w:p w14:paraId="52F22876" w14:textId="77777777" w:rsidR="002653E8" w:rsidRPr="00846956" w:rsidRDefault="003115E3">
      <w:pPr>
        <w:spacing w:before="1" w:line="280" w:lineRule="auto"/>
        <w:ind w:left="470" w:right="1361" w:hanging="200"/>
        <w:rPr>
          <w:sz w:val="16"/>
          <w:lang w:val="de-DE"/>
        </w:rPr>
      </w:pPr>
      <w:r w:rsidRPr="00846956">
        <w:rPr>
          <w:color w:val="231F20"/>
          <w:sz w:val="16"/>
          <w:lang w:val="de-DE"/>
        </w:rPr>
        <w:t>KPD (Kommunistische Partei Deutschlands) [pro-Soviet] 15</w:t>
      </w:r>
      <w:r w:rsidRPr="00846956">
        <w:rPr>
          <w:i/>
          <w:color w:val="231F20"/>
          <w:sz w:val="16"/>
          <w:lang w:val="de-DE"/>
        </w:rPr>
        <w:t xml:space="preserve">, </w:t>
      </w:r>
      <w:r w:rsidRPr="00846956">
        <w:rPr>
          <w:color w:val="231F20"/>
          <w:sz w:val="16"/>
          <w:lang w:val="de-DE"/>
        </w:rPr>
        <w:t>17–18;</w:t>
      </w:r>
    </w:p>
    <w:p w14:paraId="2F070EC3" w14:textId="77777777" w:rsidR="002653E8" w:rsidRDefault="003115E3">
      <w:pPr>
        <w:spacing w:before="1"/>
        <w:ind w:left="470"/>
        <w:rPr>
          <w:sz w:val="16"/>
        </w:rPr>
      </w:pPr>
      <w:r>
        <w:rPr>
          <w:color w:val="231F20"/>
          <w:sz w:val="16"/>
        </w:rPr>
        <w:t>anti-rearmement movement 20–21;</w:t>
      </w:r>
    </w:p>
    <w:p w14:paraId="3CCE1041" w14:textId="77777777" w:rsidR="002653E8" w:rsidRDefault="003115E3">
      <w:pPr>
        <w:spacing w:before="32" w:line="280" w:lineRule="auto"/>
        <w:ind w:left="470" w:right="1361" w:hanging="1"/>
        <w:rPr>
          <w:sz w:val="16"/>
        </w:rPr>
      </w:pPr>
      <w:r>
        <w:rPr>
          <w:color w:val="231F20"/>
          <w:sz w:val="16"/>
        </w:rPr>
        <w:t>as DKP 42</w:t>
      </w:r>
      <w:r>
        <w:rPr>
          <w:i/>
          <w:color w:val="231F20"/>
          <w:sz w:val="16"/>
        </w:rPr>
        <w:t xml:space="preserve">, </w:t>
      </w:r>
      <w:r>
        <w:rPr>
          <w:color w:val="231F20"/>
          <w:sz w:val="16"/>
        </w:rPr>
        <w:t>88</w:t>
      </w:r>
      <w:r>
        <w:rPr>
          <w:i/>
          <w:color w:val="231F20"/>
          <w:sz w:val="16"/>
        </w:rPr>
        <w:t xml:space="preserve">, </w:t>
      </w:r>
      <w:r>
        <w:rPr>
          <w:color w:val="231F20"/>
          <w:sz w:val="16"/>
        </w:rPr>
        <w:t>102</w:t>
      </w:r>
      <w:r>
        <w:rPr>
          <w:i/>
          <w:color w:val="231F20"/>
          <w:sz w:val="16"/>
        </w:rPr>
        <w:t xml:space="preserve">. See also </w:t>
      </w:r>
      <w:r>
        <w:rPr>
          <w:color w:val="231F20"/>
          <w:sz w:val="16"/>
        </w:rPr>
        <w:t xml:space="preserve">DKP (Deutsche Kommunistische Partei); banning of 15–16; criticized by </w:t>
      </w:r>
      <w:r w:rsidR="00C507A5">
        <w:rPr>
          <w:color w:val="231F20"/>
          <w:sz w:val="16"/>
        </w:rPr>
        <w:t>red army faction</w:t>
      </w:r>
      <w:r>
        <w:rPr>
          <w:color w:val="231F20"/>
          <w:sz w:val="16"/>
        </w:rPr>
        <w:t xml:space="preserve"> 225</w:t>
      </w:r>
      <w:r>
        <w:rPr>
          <w:i/>
          <w:color w:val="231F20"/>
          <w:sz w:val="16"/>
        </w:rPr>
        <w:t xml:space="preserve">, </w:t>
      </w:r>
      <w:r>
        <w:rPr>
          <w:color w:val="231F20"/>
          <w:sz w:val="16"/>
        </w:rPr>
        <w:t>228</w:t>
      </w:r>
      <w:r>
        <w:rPr>
          <w:i/>
          <w:color w:val="231F20"/>
          <w:sz w:val="16"/>
        </w:rPr>
        <w:t xml:space="preserve">, </w:t>
      </w:r>
      <w:r>
        <w:rPr>
          <w:color w:val="231F20"/>
          <w:sz w:val="16"/>
        </w:rPr>
        <w:t>309</w:t>
      </w:r>
      <w:r>
        <w:rPr>
          <w:i/>
          <w:color w:val="231F20"/>
          <w:sz w:val="16"/>
        </w:rPr>
        <w:t xml:space="preserve">, </w:t>
      </w:r>
      <w:r>
        <w:rPr>
          <w:color w:val="231F20"/>
          <w:sz w:val="16"/>
        </w:rPr>
        <w:t>424; konkret 26</w:t>
      </w:r>
      <w:r>
        <w:rPr>
          <w:i/>
          <w:color w:val="231F20"/>
          <w:sz w:val="16"/>
        </w:rPr>
        <w:t xml:space="preserve">, </w:t>
      </w:r>
      <w:r>
        <w:rPr>
          <w:color w:val="231F20"/>
          <w:sz w:val="16"/>
        </w:rPr>
        <w:t>28</w:t>
      </w:r>
    </w:p>
    <w:p w14:paraId="4852570B" w14:textId="77777777" w:rsidR="002653E8" w:rsidRDefault="003115E3">
      <w:pPr>
        <w:spacing w:before="3" w:line="280" w:lineRule="auto"/>
        <w:ind w:left="470" w:right="1622" w:hanging="200"/>
        <w:rPr>
          <w:sz w:val="16"/>
        </w:rPr>
      </w:pPr>
      <w:r>
        <w:rPr>
          <w:color w:val="231F20"/>
          <w:sz w:val="16"/>
        </w:rPr>
        <w:t xml:space="preserve">KPD/ML (Kommunistische Partei </w:t>
      </w:r>
      <w:r>
        <w:rPr>
          <w:color w:val="231F20"/>
          <w:w w:val="95"/>
          <w:sz w:val="16"/>
        </w:rPr>
        <w:t xml:space="preserve">Deutschland/Marxisten-Leninisten) </w:t>
      </w:r>
      <w:r>
        <w:rPr>
          <w:color w:val="231F20"/>
          <w:sz w:val="16"/>
        </w:rPr>
        <w:t xml:space="preserve">42; criticized by </w:t>
      </w:r>
      <w:r w:rsidR="00C507A5">
        <w:rPr>
          <w:color w:val="231F20"/>
          <w:sz w:val="16"/>
        </w:rPr>
        <w:t>red army faction</w:t>
      </w:r>
      <w:r>
        <w:rPr>
          <w:color w:val="231F20"/>
          <w:sz w:val="16"/>
        </w:rPr>
        <w:t xml:space="preserve">   424;  support</w:t>
      </w:r>
    </w:p>
    <w:p w14:paraId="19E21B23" w14:textId="77777777" w:rsidR="002653E8" w:rsidRDefault="003115E3">
      <w:pPr>
        <w:spacing w:before="1"/>
        <w:ind w:left="470"/>
        <w:rPr>
          <w:i/>
          <w:sz w:val="16"/>
        </w:rPr>
      </w:pPr>
      <w:r>
        <w:rPr>
          <w:color w:val="231F20"/>
          <w:w w:val="105"/>
          <w:sz w:val="16"/>
        </w:rPr>
        <w:t>for prisoners 245</w:t>
      </w:r>
      <w:r>
        <w:rPr>
          <w:i/>
          <w:color w:val="231F20"/>
          <w:w w:val="105"/>
          <w:sz w:val="16"/>
        </w:rPr>
        <w:t xml:space="preserve">, </w:t>
      </w:r>
      <w:r>
        <w:rPr>
          <w:color w:val="231F20"/>
          <w:w w:val="105"/>
          <w:sz w:val="16"/>
        </w:rPr>
        <w:t>258</w:t>
      </w:r>
      <w:r>
        <w:rPr>
          <w:i/>
          <w:color w:val="231F20"/>
          <w:w w:val="105"/>
          <w:sz w:val="16"/>
        </w:rPr>
        <w:t xml:space="preserve">, </w:t>
      </w:r>
      <w:r>
        <w:rPr>
          <w:color w:val="231F20"/>
          <w:w w:val="105"/>
          <w:sz w:val="16"/>
        </w:rPr>
        <w:t>263</w:t>
      </w:r>
      <w:r>
        <w:rPr>
          <w:i/>
          <w:color w:val="231F20"/>
          <w:w w:val="105"/>
          <w:sz w:val="16"/>
        </w:rPr>
        <w:t xml:space="preserve">, </w:t>
      </w:r>
      <w:r>
        <w:rPr>
          <w:color w:val="231F20"/>
          <w:w w:val="105"/>
          <w:sz w:val="16"/>
        </w:rPr>
        <w:t>326</w:t>
      </w:r>
      <w:r>
        <w:rPr>
          <w:i/>
          <w:color w:val="231F20"/>
          <w:w w:val="105"/>
          <w:sz w:val="16"/>
        </w:rPr>
        <w:t xml:space="preserve">, </w:t>
      </w:r>
      <w:r>
        <w:rPr>
          <w:color w:val="231F20"/>
          <w:w w:val="105"/>
          <w:sz w:val="16"/>
        </w:rPr>
        <w:t>434</w:t>
      </w:r>
      <w:r>
        <w:rPr>
          <w:i/>
          <w:color w:val="231F20"/>
          <w:w w:val="105"/>
          <w:sz w:val="16"/>
        </w:rPr>
        <w:t>,</w:t>
      </w:r>
    </w:p>
    <w:p w14:paraId="1237D4E6" w14:textId="77777777" w:rsidR="002653E8" w:rsidRDefault="003115E3">
      <w:pPr>
        <w:spacing w:before="33"/>
        <w:ind w:left="470"/>
        <w:rPr>
          <w:sz w:val="16"/>
        </w:rPr>
      </w:pPr>
      <w:r>
        <w:rPr>
          <w:color w:val="231F20"/>
          <w:sz w:val="16"/>
        </w:rPr>
        <w:t>459; threat to ban 538</w:t>
      </w:r>
      <w:r>
        <w:rPr>
          <w:i/>
          <w:color w:val="231F20"/>
          <w:sz w:val="16"/>
        </w:rPr>
        <w:t xml:space="preserve">, </w:t>
      </w:r>
      <w:r>
        <w:rPr>
          <w:color w:val="231F20"/>
          <w:sz w:val="16"/>
        </w:rPr>
        <w:t>608</w:t>
      </w:r>
    </w:p>
    <w:p w14:paraId="02EF4477" w14:textId="77777777" w:rsidR="002653E8" w:rsidRDefault="003115E3">
      <w:pPr>
        <w:spacing w:before="32"/>
        <w:ind w:left="270"/>
        <w:rPr>
          <w:sz w:val="16"/>
        </w:rPr>
      </w:pPr>
      <w:r>
        <w:rPr>
          <w:color w:val="231F20"/>
          <w:w w:val="105"/>
          <w:sz w:val="16"/>
        </w:rPr>
        <w:t>Krabbe, Friederike 526</w:t>
      </w:r>
      <w:r>
        <w:rPr>
          <w:i/>
          <w:color w:val="231F20"/>
          <w:w w:val="105"/>
          <w:sz w:val="16"/>
        </w:rPr>
        <w:t xml:space="preserve">, </w:t>
      </w:r>
      <w:r>
        <w:rPr>
          <w:color w:val="231F20"/>
          <w:w w:val="105"/>
          <w:sz w:val="16"/>
        </w:rPr>
        <w:t>570</w:t>
      </w:r>
    </w:p>
    <w:p w14:paraId="30223298" w14:textId="77777777" w:rsidR="002653E8" w:rsidRDefault="002653E8">
      <w:pPr>
        <w:rPr>
          <w:sz w:val="16"/>
        </w:rPr>
        <w:sectPr w:rsidR="002653E8">
          <w:pgSz w:w="8640" w:h="12960"/>
          <w:pgMar w:top="1080" w:right="0" w:bottom="1040" w:left="0" w:header="0" w:footer="846" w:gutter="0"/>
          <w:cols w:num="2" w:space="720" w:equalWidth="0">
            <w:col w:w="4060" w:space="40"/>
            <w:col w:w="4540"/>
          </w:cols>
        </w:sectPr>
      </w:pPr>
    </w:p>
    <w:p w14:paraId="2AFBAEE4" w14:textId="77777777" w:rsidR="002653E8" w:rsidRDefault="003115E3">
      <w:pPr>
        <w:spacing w:before="86"/>
        <w:ind w:left="1327"/>
        <w:rPr>
          <w:i/>
          <w:sz w:val="16"/>
        </w:rPr>
      </w:pPr>
      <w:r>
        <w:rPr>
          <w:color w:val="231F20"/>
          <w:w w:val="105"/>
          <w:sz w:val="16"/>
        </w:rPr>
        <w:lastRenderedPageBreak/>
        <w:t>Krabbe, Hanna 400</w:t>
      </w:r>
      <w:r>
        <w:rPr>
          <w:i/>
          <w:color w:val="231F20"/>
          <w:w w:val="105"/>
          <w:sz w:val="16"/>
        </w:rPr>
        <w:t xml:space="preserve">, </w:t>
      </w:r>
      <w:r>
        <w:rPr>
          <w:color w:val="231F20"/>
          <w:w w:val="105"/>
          <w:sz w:val="16"/>
        </w:rPr>
        <w:t>570; prison 605</w:t>
      </w:r>
      <w:r>
        <w:rPr>
          <w:i/>
          <w:color w:val="231F20"/>
          <w:w w:val="105"/>
          <w:sz w:val="16"/>
        </w:rPr>
        <w:t>,</w:t>
      </w:r>
    </w:p>
    <w:p w14:paraId="147117C1" w14:textId="77777777" w:rsidR="002653E8" w:rsidRDefault="003115E3">
      <w:pPr>
        <w:spacing w:before="33" w:line="280" w:lineRule="auto"/>
        <w:ind w:left="1527"/>
        <w:rPr>
          <w:sz w:val="16"/>
        </w:rPr>
      </w:pPr>
      <w:r>
        <w:rPr>
          <w:color w:val="231F20"/>
          <w:sz w:val="16"/>
        </w:rPr>
        <w:t>624; released (1996) 625; release demanded 498</w:t>
      </w:r>
      <w:r>
        <w:rPr>
          <w:i/>
          <w:color w:val="231F20"/>
          <w:sz w:val="16"/>
        </w:rPr>
        <w:t xml:space="preserve">, </w:t>
      </w:r>
      <w:r>
        <w:rPr>
          <w:color w:val="231F20"/>
          <w:sz w:val="16"/>
        </w:rPr>
        <w:t xml:space="preserve">505; split in the </w:t>
      </w:r>
      <w:r w:rsidR="00C507A5">
        <w:rPr>
          <w:color w:val="231F20"/>
          <w:sz w:val="16"/>
        </w:rPr>
        <w:t>red army faction</w:t>
      </w:r>
      <w:r>
        <w:rPr>
          <w:color w:val="231F20"/>
          <w:sz w:val="16"/>
        </w:rPr>
        <w:t xml:space="preserve"> 623; Stockholm Embassy Occupation 334; trial (1976-77) 600</w:t>
      </w:r>
      <w:r>
        <w:rPr>
          <w:i/>
          <w:color w:val="231F20"/>
          <w:sz w:val="16"/>
        </w:rPr>
        <w:t xml:space="preserve">, </w:t>
      </w:r>
      <w:r>
        <w:rPr>
          <w:color w:val="231F20"/>
          <w:sz w:val="16"/>
        </w:rPr>
        <w:t>606</w:t>
      </w:r>
    </w:p>
    <w:p w14:paraId="51A9000F" w14:textId="77777777" w:rsidR="002653E8" w:rsidRDefault="003115E3">
      <w:pPr>
        <w:spacing w:before="2" w:line="280" w:lineRule="auto"/>
        <w:ind w:left="1527" w:right="-14" w:hanging="200"/>
        <w:rPr>
          <w:sz w:val="16"/>
        </w:rPr>
      </w:pPr>
      <w:r>
        <w:rPr>
          <w:color w:val="231F20"/>
          <w:w w:val="105"/>
          <w:sz w:val="16"/>
        </w:rPr>
        <w:t>Krahl, Hans-Jürgen 30</w:t>
      </w:r>
      <w:r>
        <w:rPr>
          <w:i/>
          <w:color w:val="231F20"/>
          <w:w w:val="105"/>
          <w:sz w:val="16"/>
        </w:rPr>
        <w:t xml:space="preserve">, </w:t>
      </w:r>
      <w:r>
        <w:rPr>
          <w:color w:val="231F20"/>
          <w:w w:val="105"/>
          <w:sz w:val="16"/>
        </w:rPr>
        <w:t>570; on Emergency Powers Act 39; on guerilla 35</w:t>
      </w:r>
      <w:r>
        <w:rPr>
          <w:i/>
          <w:color w:val="231F20"/>
          <w:w w:val="105"/>
          <w:sz w:val="16"/>
        </w:rPr>
        <w:t xml:space="preserve">, </w:t>
      </w:r>
      <w:r>
        <w:rPr>
          <w:color w:val="231F20"/>
          <w:w w:val="105"/>
          <w:sz w:val="16"/>
        </w:rPr>
        <w:t>581;</w:t>
      </w:r>
      <w:r>
        <w:rPr>
          <w:color w:val="231F20"/>
          <w:spacing w:val="-16"/>
          <w:w w:val="105"/>
          <w:sz w:val="16"/>
        </w:rPr>
        <w:t xml:space="preserve"> </w:t>
      </w:r>
      <w:r>
        <w:rPr>
          <w:color w:val="231F20"/>
          <w:w w:val="105"/>
          <w:sz w:val="16"/>
        </w:rPr>
        <w:t>refuses</w:t>
      </w:r>
      <w:r>
        <w:rPr>
          <w:color w:val="231F20"/>
          <w:spacing w:val="-16"/>
          <w:w w:val="105"/>
          <w:sz w:val="16"/>
        </w:rPr>
        <w:t xml:space="preserve"> </w:t>
      </w:r>
      <w:r>
        <w:rPr>
          <w:color w:val="231F20"/>
          <w:w w:val="105"/>
          <w:sz w:val="16"/>
        </w:rPr>
        <w:t>to</w:t>
      </w:r>
      <w:r>
        <w:rPr>
          <w:color w:val="231F20"/>
          <w:spacing w:val="-16"/>
          <w:w w:val="105"/>
          <w:sz w:val="16"/>
        </w:rPr>
        <w:t xml:space="preserve"> </w:t>
      </w:r>
      <w:r>
        <w:rPr>
          <w:color w:val="231F20"/>
          <w:w w:val="105"/>
          <w:sz w:val="16"/>
        </w:rPr>
        <w:t>address</w:t>
      </w:r>
      <w:r>
        <w:rPr>
          <w:color w:val="231F20"/>
          <w:spacing w:val="-16"/>
          <w:w w:val="105"/>
          <w:sz w:val="16"/>
        </w:rPr>
        <w:t xml:space="preserve"> </w:t>
      </w:r>
      <w:r>
        <w:rPr>
          <w:color w:val="231F20"/>
          <w:w w:val="105"/>
          <w:sz w:val="16"/>
        </w:rPr>
        <w:t>sexism</w:t>
      </w:r>
      <w:r>
        <w:rPr>
          <w:color w:val="231F20"/>
          <w:spacing w:val="5"/>
          <w:w w:val="105"/>
          <w:sz w:val="16"/>
        </w:rPr>
        <w:t xml:space="preserve"> </w:t>
      </w:r>
      <w:r>
        <w:rPr>
          <w:color w:val="231F20"/>
          <w:w w:val="105"/>
          <w:sz w:val="16"/>
        </w:rPr>
        <w:t>42</w:t>
      </w:r>
      <w:r>
        <w:rPr>
          <w:i/>
          <w:color w:val="231F20"/>
          <w:w w:val="105"/>
          <w:sz w:val="16"/>
        </w:rPr>
        <w:t>,</w:t>
      </w:r>
      <w:r>
        <w:rPr>
          <w:i/>
          <w:color w:val="231F20"/>
          <w:spacing w:val="-19"/>
          <w:w w:val="105"/>
          <w:sz w:val="16"/>
        </w:rPr>
        <w:t xml:space="preserve"> </w:t>
      </w:r>
      <w:r>
        <w:rPr>
          <w:color w:val="231F20"/>
          <w:w w:val="105"/>
          <w:sz w:val="16"/>
        </w:rPr>
        <w:t>582; targeted by Broad’s Council</w:t>
      </w:r>
      <w:r>
        <w:rPr>
          <w:color w:val="231F20"/>
          <w:spacing w:val="5"/>
          <w:w w:val="105"/>
          <w:sz w:val="16"/>
        </w:rPr>
        <w:t xml:space="preserve"> </w:t>
      </w:r>
      <w:r>
        <w:rPr>
          <w:color w:val="231F20"/>
          <w:w w:val="105"/>
          <w:sz w:val="16"/>
        </w:rPr>
        <w:t>444</w:t>
      </w:r>
    </w:p>
    <w:p w14:paraId="5B741B16" w14:textId="77777777" w:rsidR="002653E8" w:rsidRPr="00846956" w:rsidRDefault="003115E3">
      <w:pPr>
        <w:spacing w:before="2"/>
        <w:ind w:left="1327"/>
        <w:rPr>
          <w:sz w:val="16"/>
          <w:lang w:val="de-DE"/>
        </w:rPr>
      </w:pPr>
      <w:r w:rsidRPr="00846956">
        <w:rPr>
          <w:color w:val="231F20"/>
          <w:w w:val="105"/>
          <w:sz w:val="16"/>
          <w:lang w:val="de-DE"/>
        </w:rPr>
        <w:t>Kranenburg, Arie 480</w:t>
      </w:r>
      <w:r w:rsidRPr="00846956">
        <w:rPr>
          <w:i/>
          <w:color w:val="231F20"/>
          <w:w w:val="105"/>
          <w:sz w:val="16"/>
          <w:lang w:val="de-DE"/>
        </w:rPr>
        <w:t xml:space="preserve">, </w:t>
      </w:r>
      <w:r w:rsidRPr="00846956">
        <w:rPr>
          <w:color w:val="231F20"/>
          <w:w w:val="105"/>
          <w:sz w:val="16"/>
          <w:lang w:val="de-DE"/>
        </w:rPr>
        <w:t>570</w:t>
      </w:r>
      <w:r w:rsidRPr="00846956">
        <w:rPr>
          <w:i/>
          <w:color w:val="231F20"/>
          <w:w w:val="105"/>
          <w:sz w:val="16"/>
          <w:lang w:val="de-DE"/>
        </w:rPr>
        <w:t xml:space="preserve">, </w:t>
      </w:r>
      <w:r w:rsidRPr="00846956">
        <w:rPr>
          <w:color w:val="231F20"/>
          <w:w w:val="105"/>
          <w:sz w:val="16"/>
          <w:lang w:val="de-DE"/>
        </w:rPr>
        <w:t>607</w:t>
      </w:r>
    </w:p>
    <w:p w14:paraId="103FFA74" w14:textId="77777777" w:rsidR="002653E8" w:rsidRPr="00846956" w:rsidRDefault="003115E3">
      <w:pPr>
        <w:spacing w:before="32"/>
        <w:ind w:left="1327"/>
        <w:rPr>
          <w:sz w:val="16"/>
          <w:lang w:val="de-DE"/>
        </w:rPr>
      </w:pPr>
      <w:r w:rsidRPr="00846956">
        <w:rPr>
          <w:color w:val="231F20"/>
          <w:sz w:val="16"/>
          <w:lang w:val="de-DE"/>
        </w:rPr>
        <w:t>Krause, Walter 181</w:t>
      </w:r>
    </w:p>
    <w:p w14:paraId="0177F75B" w14:textId="77777777" w:rsidR="002653E8" w:rsidRPr="00846956" w:rsidRDefault="003115E3">
      <w:pPr>
        <w:spacing w:before="33"/>
        <w:ind w:left="1327"/>
        <w:rPr>
          <w:sz w:val="16"/>
          <w:lang w:val="de-DE"/>
        </w:rPr>
      </w:pPr>
      <w:r w:rsidRPr="00846956">
        <w:rPr>
          <w:color w:val="231F20"/>
          <w:w w:val="105"/>
          <w:sz w:val="16"/>
          <w:lang w:val="de-DE"/>
        </w:rPr>
        <w:t>Kraushaar, Wolfgang 443</w:t>
      </w:r>
    </w:p>
    <w:p w14:paraId="72590EE9" w14:textId="77777777" w:rsidR="002653E8" w:rsidRPr="00846956" w:rsidRDefault="003115E3">
      <w:pPr>
        <w:spacing w:before="32" w:line="280" w:lineRule="auto"/>
        <w:ind w:left="1327" w:right="103" w:hanging="1"/>
        <w:rPr>
          <w:sz w:val="16"/>
          <w:lang w:val="de-DE"/>
        </w:rPr>
      </w:pPr>
      <w:r w:rsidRPr="00846956">
        <w:rPr>
          <w:color w:val="231F20"/>
          <w:sz w:val="16"/>
          <w:lang w:val="de-DE"/>
        </w:rPr>
        <w:t>Krisenstab</w:t>
      </w:r>
      <w:r w:rsidRPr="00846956">
        <w:rPr>
          <w:i/>
          <w:color w:val="231F20"/>
          <w:sz w:val="16"/>
          <w:lang w:val="de-DE"/>
        </w:rPr>
        <w:t xml:space="preserve">. See </w:t>
      </w:r>
      <w:r w:rsidRPr="00846956">
        <w:rPr>
          <w:color w:val="231F20"/>
          <w:sz w:val="16"/>
          <w:lang w:val="de-DE"/>
        </w:rPr>
        <w:t>Crisis Management Team Kröcher-Tiedemann, Gabriele 328</w:t>
      </w:r>
      <w:r w:rsidRPr="00846956">
        <w:rPr>
          <w:i/>
          <w:color w:val="231F20"/>
          <w:sz w:val="16"/>
          <w:lang w:val="de-DE"/>
        </w:rPr>
        <w:t xml:space="preserve">, </w:t>
      </w:r>
      <w:r w:rsidRPr="00846956">
        <w:rPr>
          <w:color w:val="231F20"/>
          <w:sz w:val="16"/>
          <w:lang w:val="de-DE"/>
        </w:rPr>
        <w:t>570;</w:t>
      </w:r>
    </w:p>
    <w:p w14:paraId="5D9DEAF8" w14:textId="77777777" w:rsidR="002653E8" w:rsidRDefault="003115E3">
      <w:pPr>
        <w:spacing w:before="1"/>
        <w:ind w:left="1527"/>
        <w:rPr>
          <w:sz w:val="16"/>
        </w:rPr>
      </w:pPr>
      <w:r>
        <w:rPr>
          <w:color w:val="231F20"/>
          <w:sz w:val="16"/>
        </w:rPr>
        <w:t>freed in Lorenz kidnapping   328</w:t>
      </w:r>
      <w:r>
        <w:rPr>
          <w:i/>
          <w:color w:val="231F20"/>
          <w:sz w:val="16"/>
        </w:rPr>
        <w:t xml:space="preserve">, </w:t>
      </w:r>
      <w:r>
        <w:rPr>
          <w:color w:val="231F20"/>
          <w:sz w:val="16"/>
        </w:rPr>
        <w:t>596;</w:t>
      </w:r>
    </w:p>
    <w:p w14:paraId="0E4C07E2" w14:textId="77777777" w:rsidR="002653E8" w:rsidRDefault="003115E3">
      <w:pPr>
        <w:spacing w:before="33"/>
        <w:ind w:left="1527"/>
        <w:rPr>
          <w:sz w:val="16"/>
        </w:rPr>
      </w:pPr>
      <w:r>
        <w:rPr>
          <w:color w:val="231F20"/>
          <w:w w:val="105"/>
          <w:sz w:val="16"/>
        </w:rPr>
        <w:t>OPEC raid (1975) 438–439</w:t>
      </w:r>
      <w:r>
        <w:rPr>
          <w:i/>
          <w:color w:val="231F20"/>
          <w:w w:val="105"/>
          <w:sz w:val="16"/>
        </w:rPr>
        <w:t xml:space="preserve">, </w:t>
      </w:r>
      <w:r>
        <w:rPr>
          <w:color w:val="231F20"/>
          <w:w w:val="105"/>
          <w:sz w:val="16"/>
        </w:rPr>
        <w:t>599</w:t>
      </w:r>
    </w:p>
    <w:p w14:paraId="15D73023" w14:textId="77777777" w:rsidR="002653E8" w:rsidRDefault="003115E3">
      <w:pPr>
        <w:spacing w:before="32"/>
        <w:ind w:left="1327"/>
        <w:rPr>
          <w:sz w:val="16"/>
        </w:rPr>
      </w:pPr>
      <w:r>
        <w:rPr>
          <w:color w:val="231F20"/>
          <w:sz w:val="16"/>
        </w:rPr>
        <w:t>Kropotkin, Peter 227</w:t>
      </w:r>
    </w:p>
    <w:p w14:paraId="7B5E69AE" w14:textId="77777777" w:rsidR="002653E8" w:rsidRDefault="003115E3">
      <w:pPr>
        <w:spacing w:before="33"/>
        <w:ind w:left="1327"/>
        <w:rPr>
          <w:sz w:val="16"/>
        </w:rPr>
      </w:pPr>
      <w:r>
        <w:rPr>
          <w:color w:val="231F20"/>
          <w:sz w:val="16"/>
        </w:rPr>
        <w:t>Krumm (journalist) 379</w:t>
      </w:r>
    </w:p>
    <w:p w14:paraId="7009368A" w14:textId="77777777" w:rsidR="002653E8" w:rsidRDefault="003115E3">
      <w:pPr>
        <w:spacing w:before="32" w:line="280" w:lineRule="auto"/>
        <w:ind w:left="1527" w:hanging="200"/>
        <w:rPr>
          <w:sz w:val="16"/>
        </w:rPr>
      </w:pPr>
      <w:r>
        <w:rPr>
          <w:color w:val="231F20"/>
          <w:sz w:val="16"/>
        </w:rPr>
        <w:t xml:space="preserve">KSV (Kommunistische Studentverband); criticized by </w:t>
      </w:r>
      <w:r w:rsidR="00C507A5">
        <w:rPr>
          <w:color w:val="231F20"/>
          <w:sz w:val="16"/>
        </w:rPr>
        <w:t>red army faction</w:t>
      </w:r>
      <w:r>
        <w:rPr>
          <w:color w:val="231F20"/>
          <w:sz w:val="16"/>
        </w:rPr>
        <w:t xml:space="preserve"> 183</w:t>
      </w:r>
      <w:r>
        <w:rPr>
          <w:i/>
          <w:color w:val="231F20"/>
          <w:sz w:val="16"/>
        </w:rPr>
        <w:t xml:space="preserve">, </w:t>
      </w:r>
      <w:r>
        <w:rPr>
          <w:color w:val="231F20"/>
          <w:sz w:val="16"/>
        </w:rPr>
        <w:t>185</w:t>
      </w:r>
      <w:r>
        <w:rPr>
          <w:i/>
          <w:color w:val="231F20"/>
          <w:sz w:val="16"/>
        </w:rPr>
        <w:t xml:space="preserve">, </w:t>
      </w:r>
      <w:r>
        <w:rPr>
          <w:color w:val="231F20"/>
          <w:sz w:val="16"/>
        </w:rPr>
        <w:t>406; criti-</w:t>
      </w:r>
    </w:p>
    <w:p w14:paraId="2C7E2F90" w14:textId="77777777" w:rsidR="002653E8" w:rsidRDefault="003115E3">
      <w:pPr>
        <w:spacing w:before="1"/>
        <w:ind w:left="1492" w:right="1663"/>
        <w:jc w:val="center"/>
        <w:rPr>
          <w:sz w:val="16"/>
        </w:rPr>
      </w:pPr>
      <w:r>
        <w:rPr>
          <w:color w:val="231F20"/>
          <w:w w:val="105"/>
          <w:sz w:val="16"/>
        </w:rPr>
        <w:t xml:space="preserve">cizes </w:t>
      </w:r>
      <w:r w:rsidR="00C507A5">
        <w:rPr>
          <w:color w:val="231F20"/>
          <w:w w:val="105"/>
          <w:sz w:val="16"/>
        </w:rPr>
        <w:t>red army faction</w:t>
      </w:r>
      <w:r>
        <w:rPr>
          <w:color w:val="231F20"/>
          <w:w w:val="105"/>
          <w:sz w:val="16"/>
        </w:rPr>
        <w:t xml:space="preserve">  168</w:t>
      </w:r>
    </w:p>
    <w:p w14:paraId="7FF382A6" w14:textId="77777777" w:rsidR="002653E8" w:rsidRDefault="003115E3">
      <w:pPr>
        <w:spacing w:before="32"/>
        <w:ind w:left="1327"/>
        <w:rPr>
          <w:sz w:val="16"/>
        </w:rPr>
      </w:pPr>
      <w:r>
        <w:rPr>
          <w:color w:val="231F20"/>
          <w:sz w:val="16"/>
        </w:rPr>
        <w:t>Kuby, Christine   570; Boock’s Lies  (1988)</w:t>
      </w:r>
    </w:p>
    <w:p w14:paraId="3BE80441" w14:textId="77777777" w:rsidR="002653E8" w:rsidRDefault="003115E3">
      <w:pPr>
        <w:spacing w:before="33"/>
        <w:ind w:left="1527"/>
        <w:rPr>
          <w:sz w:val="16"/>
        </w:rPr>
      </w:pPr>
      <w:r>
        <w:rPr>
          <w:color w:val="231F20"/>
          <w:sz w:val="16"/>
        </w:rPr>
        <w:t>527; captured (1978)   528</w:t>
      </w:r>
      <w:r>
        <w:rPr>
          <w:i/>
          <w:color w:val="231F20"/>
          <w:sz w:val="16"/>
        </w:rPr>
        <w:t xml:space="preserve">, </w:t>
      </w:r>
      <w:r>
        <w:rPr>
          <w:color w:val="231F20"/>
          <w:sz w:val="16"/>
        </w:rPr>
        <w:t>610; prison</w:t>
      </w:r>
    </w:p>
    <w:p w14:paraId="4EF80575" w14:textId="77777777" w:rsidR="002653E8" w:rsidRDefault="003115E3">
      <w:pPr>
        <w:spacing w:before="32"/>
        <w:ind w:left="1527"/>
        <w:rPr>
          <w:sz w:val="16"/>
        </w:rPr>
      </w:pPr>
      <w:r>
        <w:rPr>
          <w:color w:val="231F20"/>
          <w:sz w:val="16"/>
        </w:rPr>
        <w:t>624; released (1995) 624; split in the</w:t>
      </w:r>
    </w:p>
    <w:p w14:paraId="1BF63D29" w14:textId="77777777" w:rsidR="002653E8" w:rsidRDefault="00C507A5">
      <w:pPr>
        <w:spacing w:before="33"/>
        <w:ind w:left="1527"/>
        <w:rPr>
          <w:sz w:val="16"/>
        </w:rPr>
      </w:pPr>
      <w:r>
        <w:rPr>
          <w:color w:val="231F20"/>
          <w:sz w:val="16"/>
        </w:rPr>
        <w:t>red army faction</w:t>
      </w:r>
      <w:r w:rsidR="003115E3">
        <w:rPr>
          <w:color w:val="231F20"/>
          <w:sz w:val="16"/>
        </w:rPr>
        <w:t xml:space="preserve"> 623; trial (1979) 612</w:t>
      </w:r>
    </w:p>
    <w:p w14:paraId="509517B3" w14:textId="77777777" w:rsidR="002653E8" w:rsidRDefault="003115E3">
      <w:pPr>
        <w:spacing w:before="32"/>
        <w:ind w:left="1327"/>
        <w:rPr>
          <w:sz w:val="16"/>
        </w:rPr>
      </w:pPr>
      <w:r>
        <w:rPr>
          <w:color w:val="231F20"/>
          <w:sz w:val="16"/>
        </w:rPr>
        <w:t>Kuchnert (journalist) 379</w:t>
      </w:r>
    </w:p>
    <w:p w14:paraId="02BB04A6" w14:textId="77777777" w:rsidR="002653E8" w:rsidRPr="00846956" w:rsidRDefault="003115E3">
      <w:pPr>
        <w:spacing w:before="33"/>
        <w:ind w:left="1327"/>
        <w:rPr>
          <w:sz w:val="16"/>
          <w:lang w:val="de-DE"/>
        </w:rPr>
      </w:pPr>
      <w:r w:rsidRPr="00846956">
        <w:rPr>
          <w:color w:val="231F20"/>
          <w:w w:val="105"/>
          <w:sz w:val="16"/>
          <w:lang w:val="de-DE"/>
        </w:rPr>
        <w:t>Kuhlmann, Brigitte 439</w:t>
      </w:r>
      <w:r w:rsidRPr="00846956">
        <w:rPr>
          <w:i/>
          <w:color w:val="231F20"/>
          <w:w w:val="105"/>
          <w:sz w:val="16"/>
          <w:lang w:val="de-DE"/>
        </w:rPr>
        <w:t xml:space="preserve">, </w:t>
      </w:r>
      <w:r w:rsidRPr="00846956">
        <w:rPr>
          <w:color w:val="231F20"/>
          <w:w w:val="105"/>
          <w:sz w:val="16"/>
          <w:lang w:val="de-DE"/>
        </w:rPr>
        <w:t>561</w:t>
      </w:r>
      <w:r w:rsidRPr="00846956">
        <w:rPr>
          <w:i/>
          <w:color w:val="231F20"/>
          <w:w w:val="105"/>
          <w:sz w:val="16"/>
          <w:lang w:val="de-DE"/>
        </w:rPr>
        <w:t xml:space="preserve">, </w:t>
      </w:r>
      <w:r w:rsidRPr="00846956">
        <w:rPr>
          <w:color w:val="231F20"/>
          <w:w w:val="105"/>
          <w:sz w:val="16"/>
          <w:lang w:val="de-DE"/>
        </w:rPr>
        <w:t>570</w:t>
      </w:r>
    </w:p>
    <w:p w14:paraId="5BAE06E1" w14:textId="77777777" w:rsidR="002653E8" w:rsidRPr="00846956" w:rsidRDefault="003115E3">
      <w:pPr>
        <w:spacing w:before="32"/>
        <w:ind w:left="1327"/>
        <w:rPr>
          <w:sz w:val="16"/>
          <w:lang w:val="de-DE"/>
        </w:rPr>
      </w:pPr>
      <w:r w:rsidRPr="00846956">
        <w:rPr>
          <w:color w:val="231F20"/>
          <w:w w:val="105"/>
          <w:sz w:val="16"/>
          <w:lang w:val="de-DE"/>
        </w:rPr>
        <w:t>Kühn, Heinz 117</w:t>
      </w:r>
      <w:r w:rsidRPr="00846956">
        <w:rPr>
          <w:i/>
          <w:color w:val="231F20"/>
          <w:w w:val="105"/>
          <w:sz w:val="16"/>
          <w:lang w:val="de-DE"/>
        </w:rPr>
        <w:t xml:space="preserve">, </w:t>
      </w:r>
      <w:r w:rsidRPr="00846956">
        <w:rPr>
          <w:color w:val="231F20"/>
          <w:w w:val="105"/>
          <w:sz w:val="16"/>
          <w:lang w:val="de-DE"/>
        </w:rPr>
        <w:t>533</w:t>
      </w:r>
      <w:r w:rsidRPr="00846956">
        <w:rPr>
          <w:i/>
          <w:color w:val="231F20"/>
          <w:w w:val="105"/>
          <w:sz w:val="16"/>
          <w:lang w:val="de-DE"/>
        </w:rPr>
        <w:t xml:space="preserve">, </w:t>
      </w:r>
      <w:r w:rsidRPr="00846956">
        <w:rPr>
          <w:color w:val="231F20"/>
          <w:w w:val="105"/>
          <w:sz w:val="16"/>
          <w:lang w:val="de-DE"/>
        </w:rPr>
        <w:t>607</w:t>
      </w:r>
    </w:p>
    <w:p w14:paraId="3E4AD6E2" w14:textId="77777777" w:rsidR="002653E8" w:rsidRPr="00846956" w:rsidRDefault="003115E3">
      <w:pPr>
        <w:spacing w:before="32"/>
        <w:ind w:left="1327"/>
        <w:rPr>
          <w:sz w:val="16"/>
          <w:lang w:val="de-DE"/>
        </w:rPr>
      </w:pPr>
      <w:r w:rsidRPr="00846956">
        <w:rPr>
          <w:color w:val="231F20"/>
          <w:sz w:val="16"/>
          <w:lang w:val="de-DE"/>
        </w:rPr>
        <w:t>Kunstler, William 597</w:t>
      </w:r>
    </w:p>
    <w:p w14:paraId="58227138" w14:textId="77777777" w:rsidR="002653E8" w:rsidRPr="00846956" w:rsidRDefault="003115E3">
      <w:pPr>
        <w:spacing w:before="33"/>
        <w:ind w:left="1327"/>
        <w:rPr>
          <w:sz w:val="16"/>
          <w:lang w:val="de-DE"/>
        </w:rPr>
      </w:pPr>
      <w:r w:rsidRPr="00846956">
        <w:rPr>
          <w:color w:val="231F20"/>
          <w:sz w:val="16"/>
          <w:lang w:val="de-DE"/>
        </w:rPr>
        <w:t>Kunzelmann, Dieter 570</w:t>
      </w:r>
      <w:r w:rsidRPr="00846956">
        <w:rPr>
          <w:i/>
          <w:color w:val="231F20"/>
          <w:sz w:val="16"/>
          <w:lang w:val="de-DE"/>
        </w:rPr>
        <w:t xml:space="preserve">, </w:t>
      </w:r>
      <w:r w:rsidRPr="00846956">
        <w:rPr>
          <w:color w:val="231F20"/>
          <w:sz w:val="16"/>
          <w:lang w:val="de-DE"/>
        </w:rPr>
        <w:t>583; on Baader</w:t>
      </w:r>
    </w:p>
    <w:p w14:paraId="3C5E585F" w14:textId="77777777" w:rsidR="002653E8" w:rsidRDefault="003115E3">
      <w:pPr>
        <w:spacing w:before="32" w:line="280" w:lineRule="auto"/>
        <w:ind w:left="1527"/>
        <w:rPr>
          <w:sz w:val="16"/>
        </w:rPr>
      </w:pPr>
      <w:r>
        <w:rPr>
          <w:color w:val="231F20"/>
          <w:sz w:val="16"/>
        </w:rPr>
        <w:t>51; on prison conditions 237; targeted by Broad’s Council 444</w:t>
      </w:r>
    </w:p>
    <w:p w14:paraId="0A7104FD" w14:textId="77777777" w:rsidR="002653E8" w:rsidRDefault="003115E3">
      <w:pPr>
        <w:spacing w:before="1"/>
        <w:ind w:left="1327"/>
        <w:rPr>
          <w:sz w:val="16"/>
        </w:rPr>
      </w:pPr>
      <w:r>
        <w:rPr>
          <w:color w:val="231F20"/>
          <w:sz w:val="16"/>
        </w:rPr>
        <w:t>Kurds 212</w:t>
      </w:r>
    </w:p>
    <w:p w14:paraId="2CD91489" w14:textId="77777777" w:rsidR="002653E8" w:rsidRDefault="003115E3">
      <w:pPr>
        <w:spacing w:before="33" w:line="280" w:lineRule="auto"/>
        <w:ind w:left="1527" w:hanging="200"/>
        <w:rPr>
          <w:i/>
          <w:sz w:val="16"/>
        </w:rPr>
      </w:pPr>
      <w:r>
        <w:rPr>
          <w:color w:val="231F20"/>
          <w:w w:val="105"/>
          <w:sz w:val="16"/>
        </w:rPr>
        <w:t xml:space="preserve">Kurras, Karl-Heinz 570; mentioned by Baumann 36; mentioned by </w:t>
      </w:r>
      <w:r w:rsidR="00C507A5">
        <w:rPr>
          <w:color w:val="231F20"/>
          <w:w w:val="105"/>
          <w:sz w:val="16"/>
        </w:rPr>
        <w:t>red army faction</w:t>
      </w:r>
      <w:r>
        <w:rPr>
          <w:color w:val="231F20"/>
          <w:w w:val="105"/>
          <w:sz w:val="16"/>
        </w:rPr>
        <w:t xml:space="preserve"> 98</w:t>
      </w:r>
      <w:r>
        <w:rPr>
          <w:i/>
          <w:color w:val="231F20"/>
          <w:w w:val="105"/>
          <w:sz w:val="16"/>
        </w:rPr>
        <w:t>,</w:t>
      </w:r>
    </w:p>
    <w:p w14:paraId="1EF58F35" w14:textId="77777777" w:rsidR="002653E8" w:rsidRDefault="003115E3">
      <w:pPr>
        <w:spacing w:before="1"/>
        <w:ind w:left="1527"/>
        <w:rPr>
          <w:i/>
          <w:sz w:val="16"/>
        </w:rPr>
      </w:pPr>
      <w:r>
        <w:rPr>
          <w:color w:val="231F20"/>
          <w:w w:val="105"/>
          <w:sz w:val="16"/>
        </w:rPr>
        <w:t>226; murdered Benno Ohnesorg 32</w:t>
      </w:r>
      <w:r>
        <w:rPr>
          <w:i/>
          <w:color w:val="231F20"/>
          <w:w w:val="105"/>
          <w:sz w:val="16"/>
        </w:rPr>
        <w:t>,</w:t>
      </w:r>
    </w:p>
    <w:p w14:paraId="4D83AA03" w14:textId="77777777" w:rsidR="002653E8" w:rsidRDefault="003115E3">
      <w:pPr>
        <w:spacing w:before="32"/>
        <w:ind w:left="997" w:right="1680"/>
        <w:jc w:val="center"/>
        <w:rPr>
          <w:sz w:val="16"/>
        </w:rPr>
      </w:pPr>
      <w:r>
        <w:rPr>
          <w:color w:val="231F20"/>
          <w:w w:val="110"/>
          <w:sz w:val="16"/>
        </w:rPr>
        <w:t>33</w:t>
      </w:r>
      <w:r>
        <w:rPr>
          <w:i/>
          <w:color w:val="231F20"/>
          <w:w w:val="110"/>
          <w:sz w:val="16"/>
        </w:rPr>
        <w:t xml:space="preserve">, </w:t>
      </w:r>
      <w:r>
        <w:rPr>
          <w:color w:val="231F20"/>
          <w:w w:val="110"/>
          <w:sz w:val="16"/>
        </w:rPr>
        <w:t>580</w:t>
      </w:r>
    </w:p>
    <w:p w14:paraId="4F1E130D" w14:textId="77777777" w:rsidR="002653E8" w:rsidRDefault="003115E3">
      <w:pPr>
        <w:spacing w:before="33"/>
        <w:ind w:left="1327"/>
        <w:rPr>
          <w:sz w:val="16"/>
        </w:rPr>
      </w:pPr>
      <w:r>
        <w:rPr>
          <w:color w:val="231F20"/>
          <w:w w:val="105"/>
          <w:sz w:val="16"/>
        </w:rPr>
        <w:t>Kuwait 209</w:t>
      </w:r>
      <w:r>
        <w:rPr>
          <w:i/>
          <w:color w:val="231F20"/>
          <w:w w:val="105"/>
          <w:sz w:val="16"/>
        </w:rPr>
        <w:t xml:space="preserve">, </w:t>
      </w:r>
      <w:r>
        <w:rPr>
          <w:color w:val="231F20"/>
          <w:w w:val="105"/>
          <w:sz w:val="16"/>
        </w:rPr>
        <w:t>210</w:t>
      </w:r>
      <w:r>
        <w:rPr>
          <w:i/>
          <w:color w:val="231F20"/>
          <w:w w:val="105"/>
          <w:sz w:val="16"/>
        </w:rPr>
        <w:t xml:space="preserve">, </w:t>
      </w:r>
      <w:r>
        <w:rPr>
          <w:color w:val="231F20"/>
          <w:w w:val="105"/>
          <w:sz w:val="16"/>
        </w:rPr>
        <w:t>620</w:t>
      </w:r>
    </w:p>
    <w:p w14:paraId="4FCDAB05" w14:textId="77777777" w:rsidR="002653E8" w:rsidRDefault="002653E8">
      <w:pPr>
        <w:pStyle w:val="a3"/>
        <w:rPr>
          <w:sz w:val="18"/>
        </w:rPr>
      </w:pPr>
    </w:p>
    <w:p w14:paraId="2026BBBB" w14:textId="77777777" w:rsidR="002653E8" w:rsidRDefault="002653E8">
      <w:pPr>
        <w:pStyle w:val="a3"/>
        <w:rPr>
          <w:sz w:val="18"/>
        </w:rPr>
      </w:pPr>
    </w:p>
    <w:p w14:paraId="08FCB168" w14:textId="77777777" w:rsidR="002653E8" w:rsidRDefault="002653E8">
      <w:pPr>
        <w:pStyle w:val="a3"/>
        <w:rPr>
          <w:sz w:val="18"/>
        </w:rPr>
      </w:pPr>
    </w:p>
    <w:p w14:paraId="612E864C" w14:textId="77777777" w:rsidR="002653E8" w:rsidRDefault="002653E8">
      <w:pPr>
        <w:pStyle w:val="a3"/>
        <w:spacing w:before="9"/>
        <w:rPr>
          <w:sz w:val="23"/>
        </w:rPr>
      </w:pPr>
    </w:p>
    <w:p w14:paraId="50E2EF32" w14:textId="77777777" w:rsidR="002653E8" w:rsidRDefault="003115E3">
      <w:pPr>
        <w:ind w:left="1327"/>
        <w:rPr>
          <w:sz w:val="16"/>
        </w:rPr>
      </w:pPr>
      <w:r>
        <w:rPr>
          <w:color w:val="231F20"/>
          <w:sz w:val="16"/>
        </w:rPr>
        <w:t>labor aristocracy 201–202</w:t>
      </w:r>
    </w:p>
    <w:p w14:paraId="2CFF25FC" w14:textId="77777777" w:rsidR="002653E8" w:rsidRDefault="003115E3">
      <w:pPr>
        <w:spacing w:before="33" w:line="280" w:lineRule="auto"/>
        <w:ind w:left="1527" w:right="178" w:hanging="200"/>
        <w:rPr>
          <w:sz w:val="16"/>
        </w:rPr>
      </w:pPr>
      <w:r>
        <w:rPr>
          <w:color w:val="231F20"/>
          <w:w w:val="105"/>
          <w:sz w:val="16"/>
        </w:rPr>
        <w:t>Land Minister of the Interior 103</w:t>
      </w:r>
      <w:r>
        <w:rPr>
          <w:i/>
          <w:color w:val="231F20"/>
          <w:w w:val="105"/>
          <w:sz w:val="16"/>
        </w:rPr>
        <w:t xml:space="preserve">, </w:t>
      </w:r>
      <w:r>
        <w:rPr>
          <w:color w:val="231F20"/>
          <w:w w:val="105"/>
          <w:sz w:val="16"/>
        </w:rPr>
        <w:t>181</w:t>
      </w:r>
      <w:r>
        <w:rPr>
          <w:i/>
          <w:color w:val="231F20"/>
          <w:w w:val="105"/>
          <w:sz w:val="16"/>
        </w:rPr>
        <w:t xml:space="preserve">, </w:t>
      </w:r>
      <w:r>
        <w:rPr>
          <w:color w:val="231F20"/>
          <w:w w:val="105"/>
          <w:sz w:val="16"/>
        </w:rPr>
        <w:t>190</w:t>
      </w:r>
    </w:p>
    <w:p w14:paraId="5360FFB3" w14:textId="77777777" w:rsidR="002653E8" w:rsidRPr="00846956" w:rsidRDefault="003115E3">
      <w:pPr>
        <w:spacing w:before="1"/>
        <w:ind w:left="1327"/>
        <w:rPr>
          <w:sz w:val="16"/>
          <w:lang w:val="de-DE"/>
        </w:rPr>
      </w:pPr>
      <w:r w:rsidRPr="00846956">
        <w:rPr>
          <w:color w:val="231F20"/>
          <w:w w:val="105"/>
          <w:sz w:val="16"/>
          <w:lang w:val="de-DE"/>
        </w:rPr>
        <w:t>Langhans, Rainer 30</w:t>
      </w:r>
      <w:r w:rsidRPr="00846956">
        <w:rPr>
          <w:i/>
          <w:color w:val="231F20"/>
          <w:w w:val="105"/>
          <w:sz w:val="16"/>
          <w:lang w:val="de-DE"/>
        </w:rPr>
        <w:t xml:space="preserve">, </w:t>
      </w:r>
      <w:r w:rsidRPr="00846956">
        <w:rPr>
          <w:color w:val="231F20"/>
          <w:w w:val="105"/>
          <w:sz w:val="16"/>
          <w:lang w:val="de-DE"/>
        </w:rPr>
        <w:t>31</w:t>
      </w:r>
      <w:r w:rsidRPr="00846956">
        <w:rPr>
          <w:i/>
          <w:color w:val="231F20"/>
          <w:w w:val="105"/>
          <w:sz w:val="16"/>
          <w:lang w:val="de-DE"/>
        </w:rPr>
        <w:t xml:space="preserve">, </w:t>
      </w:r>
      <w:r w:rsidRPr="00846956">
        <w:rPr>
          <w:color w:val="231F20"/>
          <w:w w:val="105"/>
          <w:sz w:val="16"/>
          <w:lang w:val="de-DE"/>
        </w:rPr>
        <w:t>571</w:t>
      </w:r>
      <w:r w:rsidRPr="00846956">
        <w:rPr>
          <w:i/>
          <w:color w:val="231F20"/>
          <w:w w:val="105"/>
          <w:sz w:val="16"/>
          <w:lang w:val="de-DE"/>
        </w:rPr>
        <w:t xml:space="preserve">, </w:t>
      </w:r>
      <w:r w:rsidRPr="00846956">
        <w:rPr>
          <w:color w:val="231F20"/>
          <w:w w:val="105"/>
          <w:sz w:val="16"/>
          <w:lang w:val="de-DE"/>
        </w:rPr>
        <w:t>580</w:t>
      </w:r>
      <w:r w:rsidRPr="00846956">
        <w:rPr>
          <w:i/>
          <w:color w:val="231F20"/>
          <w:w w:val="105"/>
          <w:sz w:val="16"/>
          <w:lang w:val="de-DE"/>
        </w:rPr>
        <w:t xml:space="preserve">, </w:t>
      </w:r>
      <w:r w:rsidRPr="00846956">
        <w:rPr>
          <w:color w:val="231F20"/>
          <w:w w:val="105"/>
          <w:sz w:val="16"/>
          <w:lang w:val="de-DE"/>
        </w:rPr>
        <w:t>583</w:t>
      </w:r>
    </w:p>
    <w:p w14:paraId="4B3E56FC" w14:textId="77777777" w:rsidR="002653E8" w:rsidRPr="00846956" w:rsidRDefault="003115E3">
      <w:pPr>
        <w:spacing w:before="86"/>
        <w:ind w:left="240"/>
        <w:rPr>
          <w:sz w:val="16"/>
          <w:lang w:val="de-DE"/>
        </w:rPr>
      </w:pPr>
      <w:r w:rsidRPr="00846956">
        <w:rPr>
          <w:lang w:val="de-DE"/>
        </w:rPr>
        <w:br w:type="column"/>
      </w:r>
      <w:r w:rsidRPr="00846956">
        <w:rPr>
          <w:color w:val="231F20"/>
          <w:w w:val="105"/>
          <w:sz w:val="16"/>
          <w:lang w:val="de-DE"/>
        </w:rPr>
        <w:lastRenderedPageBreak/>
        <w:t>Lang, Jörg 527</w:t>
      </w:r>
      <w:r w:rsidRPr="00846956">
        <w:rPr>
          <w:i/>
          <w:color w:val="231F20"/>
          <w:w w:val="105"/>
          <w:sz w:val="16"/>
          <w:lang w:val="de-DE"/>
        </w:rPr>
        <w:t xml:space="preserve">, </w:t>
      </w:r>
      <w:r w:rsidRPr="00846956">
        <w:rPr>
          <w:color w:val="231F20"/>
          <w:w w:val="105"/>
          <w:sz w:val="16"/>
          <w:lang w:val="de-DE"/>
        </w:rPr>
        <w:t>570</w:t>
      </w:r>
      <w:r w:rsidRPr="00846956">
        <w:rPr>
          <w:i/>
          <w:color w:val="231F20"/>
          <w:w w:val="105"/>
          <w:sz w:val="16"/>
          <w:lang w:val="de-DE"/>
        </w:rPr>
        <w:t xml:space="preserve">, </w:t>
      </w:r>
      <w:r w:rsidRPr="00846956">
        <w:rPr>
          <w:color w:val="231F20"/>
          <w:w w:val="105"/>
          <w:sz w:val="16"/>
          <w:lang w:val="de-DE"/>
        </w:rPr>
        <w:t>592</w:t>
      </w:r>
    </w:p>
    <w:p w14:paraId="319BDD09" w14:textId="77777777" w:rsidR="002653E8" w:rsidRPr="00846956" w:rsidRDefault="003115E3">
      <w:pPr>
        <w:spacing w:before="33"/>
        <w:ind w:left="240"/>
        <w:rPr>
          <w:sz w:val="16"/>
          <w:lang w:val="de-DE"/>
        </w:rPr>
      </w:pPr>
      <w:r w:rsidRPr="00846956">
        <w:rPr>
          <w:color w:val="231F20"/>
          <w:w w:val="105"/>
          <w:sz w:val="16"/>
          <w:lang w:val="de-DE"/>
        </w:rPr>
        <w:t>Langner, Klaus Jürgen 348</w:t>
      </w:r>
      <w:r w:rsidRPr="00846956">
        <w:rPr>
          <w:i/>
          <w:color w:val="231F20"/>
          <w:w w:val="105"/>
          <w:sz w:val="16"/>
          <w:lang w:val="de-DE"/>
        </w:rPr>
        <w:t xml:space="preserve">, </w:t>
      </w:r>
      <w:r w:rsidRPr="00846956">
        <w:rPr>
          <w:color w:val="231F20"/>
          <w:w w:val="105"/>
          <w:sz w:val="16"/>
          <w:lang w:val="de-DE"/>
        </w:rPr>
        <w:t>571</w:t>
      </w:r>
      <w:r w:rsidRPr="00846956">
        <w:rPr>
          <w:i/>
          <w:color w:val="231F20"/>
          <w:w w:val="105"/>
          <w:sz w:val="16"/>
          <w:lang w:val="de-DE"/>
        </w:rPr>
        <w:t xml:space="preserve">, </w:t>
      </w:r>
      <w:r w:rsidRPr="00846956">
        <w:rPr>
          <w:color w:val="231F20"/>
          <w:w w:val="105"/>
          <w:sz w:val="16"/>
          <w:lang w:val="de-DE"/>
        </w:rPr>
        <w:t>601</w:t>
      </w:r>
    </w:p>
    <w:p w14:paraId="437B73CB" w14:textId="77777777" w:rsidR="002653E8" w:rsidRDefault="003115E3">
      <w:pPr>
        <w:spacing w:before="32"/>
        <w:ind w:left="240"/>
        <w:rPr>
          <w:sz w:val="16"/>
        </w:rPr>
      </w:pPr>
      <w:r>
        <w:rPr>
          <w:color w:val="231F20"/>
          <w:sz w:val="16"/>
        </w:rPr>
        <w:t>Laubacher, Jürgen 603</w:t>
      </w:r>
    </w:p>
    <w:p w14:paraId="7215FE32" w14:textId="77777777" w:rsidR="002653E8" w:rsidRDefault="003115E3">
      <w:pPr>
        <w:spacing w:before="33"/>
        <w:ind w:left="240"/>
        <w:rPr>
          <w:i/>
          <w:sz w:val="16"/>
        </w:rPr>
      </w:pPr>
      <w:r>
        <w:rPr>
          <w:color w:val="231F20"/>
          <w:w w:val="105"/>
          <w:sz w:val="16"/>
        </w:rPr>
        <w:t>lawyers, attacks on 248</w:t>
      </w:r>
      <w:r>
        <w:rPr>
          <w:i/>
          <w:color w:val="231F20"/>
          <w:w w:val="105"/>
          <w:sz w:val="16"/>
        </w:rPr>
        <w:t xml:space="preserve">, </w:t>
      </w:r>
      <w:r>
        <w:rPr>
          <w:color w:val="231F20"/>
          <w:w w:val="105"/>
          <w:sz w:val="16"/>
        </w:rPr>
        <w:t>267</w:t>
      </w:r>
      <w:r>
        <w:rPr>
          <w:i/>
          <w:color w:val="231F20"/>
          <w:w w:val="105"/>
          <w:sz w:val="16"/>
        </w:rPr>
        <w:t xml:space="preserve">, </w:t>
      </w:r>
      <w:r>
        <w:rPr>
          <w:color w:val="231F20"/>
          <w:w w:val="105"/>
          <w:sz w:val="16"/>
        </w:rPr>
        <w:t>345–346</w:t>
      </w:r>
      <w:r>
        <w:rPr>
          <w:i/>
          <w:color w:val="231F20"/>
          <w:w w:val="105"/>
          <w:sz w:val="16"/>
        </w:rPr>
        <w:t>,</w:t>
      </w:r>
    </w:p>
    <w:p w14:paraId="50C5C0FE" w14:textId="77777777" w:rsidR="002653E8" w:rsidRDefault="003115E3">
      <w:pPr>
        <w:spacing w:before="32" w:line="280" w:lineRule="auto"/>
        <w:ind w:left="440" w:right="1144"/>
        <w:rPr>
          <w:sz w:val="16"/>
        </w:rPr>
      </w:pPr>
      <w:r>
        <w:rPr>
          <w:color w:val="231F20"/>
          <w:w w:val="105"/>
          <w:sz w:val="16"/>
        </w:rPr>
        <w:t>595</w:t>
      </w:r>
      <w:r>
        <w:rPr>
          <w:i/>
          <w:color w:val="231F20"/>
          <w:w w:val="105"/>
          <w:sz w:val="16"/>
        </w:rPr>
        <w:t>,</w:t>
      </w:r>
      <w:r>
        <w:rPr>
          <w:i/>
          <w:color w:val="231F20"/>
          <w:spacing w:val="-9"/>
          <w:w w:val="105"/>
          <w:sz w:val="16"/>
        </w:rPr>
        <w:t xml:space="preserve"> </w:t>
      </w:r>
      <w:r>
        <w:rPr>
          <w:color w:val="231F20"/>
          <w:w w:val="105"/>
          <w:sz w:val="16"/>
        </w:rPr>
        <w:t>603</w:t>
      </w:r>
      <w:r>
        <w:rPr>
          <w:i/>
          <w:color w:val="231F20"/>
          <w:w w:val="105"/>
          <w:sz w:val="16"/>
        </w:rPr>
        <w:t>,</w:t>
      </w:r>
      <w:r>
        <w:rPr>
          <w:i/>
          <w:color w:val="231F20"/>
          <w:spacing w:val="-9"/>
          <w:w w:val="105"/>
          <w:sz w:val="16"/>
        </w:rPr>
        <w:t xml:space="preserve"> </w:t>
      </w:r>
      <w:r>
        <w:rPr>
          <w:color w:val="231F20"/>
          <w:w w:val="105"/>
          <w:sz w:val="16"/>
        </w:rPr>
        <w:t>611</w:t>
      </w:r>
      <w:r>
        <w:rPr>
          <w:i/>
          <w:color w:val="231F20"/>
          <w:w w:val="105"/>
          <w:sz w:val="16"/>
        </w:rPr>
        <w:t>.</w:t>
      </w:r>
      <w:r>
        <w:rPr>
          <w:i/>
          <w:color w:val="231F20"/>
          <w:spacing w:val="-9"/>
          <w:w w:val="105"/>
          <w:sz w:val="16"/>
        </w:rPr>
        <w:t xml:space="preserve"> </w:t>
      </w:r>
      <w:r>
        <w:rPr>
          <w:i/>
          <w:color w:val="231F20"/>
          <w:w w:val="105"/>
          <w:sz w:val="16"/>
        </w:rPr>
        <w:t>See</w:t>
      </w:r>
      <w:r>
        <w:rPr>
          <w:i/>
          <w:color w:val="231F20"/>
          <w:spacing w:val="-4"/>
          <w:w w:val="105"/>
          <w:sz w:val="16"/>
        </w:rPr>
        <w:t xml:space="preserve"> </w:t>
      </w:r>
      <w:r>
        <w:rPr>
          <w:i/>
          <w:color w:val="231F20"/>
          <w:w w:val="105"/>
          <w:sz w:val="16"/>
        </w:rPr>
        <w:t>also</w:t>
      </w:r>
      <w:r>
        <w:rPr>
          <w:i/>
          <w:color w:val="231F20"/>
          <w:spacing w:val="-4"/>
          <w:w w:val="105"/>
          <w:sz w:val="16"/>
        </w:rPr>
        <w:t xml:space="preserve"> </w:t>
      </w:r>
      <w:r>
        <w:rPr>
          <w:color w:val="231F20"/>
          <w:w w:val="105"/>
          <w:sz w:val="16"/>
        </w:rPr>
        <w:t>Bar</w:t>
      </w:r>
      <w:r>
        <w:rPr>
          <w:color w:val="231F20"/>
          <w:spacing w:val="-9"/>
          <w:w w:val="105"/>
          <w:sz w:val="16"/>
        </w:rPr>
        <w:t xml:space="preserve"> </w:t>
      </w:r>
      <w:r>
        <w:rPr>
          <w:color w:val="231F20"/>
          <w:w w:val="105"/>
          <w:sz w:val="16"/>
        </w:rPr>
        <w:t>Association Disciplinary</w:t>
      </w:r>
      <w:r>
        <w:rPr>
          <w:color w:val="231F20"/>
          <w:spacing w:val="-10"/>
          <w:w w:val="105"/>
          <w:sz w:val="16"/>
        </w:rPr>
        <w:t xml:space="preserve"> </w:t>
      </w:r>
      <w:r>
        <w:rPr>
          <w:color w:val="231F20"/>
          <w:w w:val="105"/>
          <w:sz w:val="16"/>
        </w:rPr>
        <w:t>Committees</w:t>
      </w:r>
      <w:r>
        <w:rPr>
          <w:i/>
          <w:color w:val="231F20"/>
          <w:w w:val="105"/>
          <w:sz w:val="16"/>
        </w:rPr>
        <w:t>;</w:t>
      </w:r>
      <w:r>
        <w:rPr>
          <w:i/>
          <w:color w:val="231F20"/>
          <w:spacing w:val="-10"/>
          <w:w w:val="105"/>
          <w:sz w:val="16"/>
        </w:rPr>
        <w:t xml:space="preserve"> </w:t>
      </w:r>
      <w:r>
        <w:rPr>
          <w:i/>
          <w:color w:val="231F20"/>
          <w:w w:val="105"/>
          <w:sz w:val="16"/>
        </w:rPr>
        <w:t>See</w:t>
      </w:r>
      <w:r>
        <w:rPr>
          <w:i/>
          <w:color w:val="231F20"/>
          <w:spacing w:val="-10"/>
          <w:w w:val="105"/>
          <w:sz w:val="16"/>
        </w:rPr>
        <w:t xml:space="preserve"> </w:t>
      </w:r>
      <w:r>
        <w:rPr>
          <w:i/>
          <w:color w:val="231F20"/>
          <w:w w:val="105"/>
          <w:sz w:val="16"/>
        </w:rPr>
        <w:t>also</w:t>
      </w:r>
      <w:r>
        <w:rPr>
          <w:i/>
          <w:color w:val="231F20"/>
          <w:spacing w:val="-10"/>
          <w:w w:val="105"/>
          <w:sz w:val="16"/>
        </w:rPr>
        <w:t xml:space="preserve"> </w:t>
      </w:r>
      <w:r>
        <w:rPr>
          <w:color w:val="231F20"/>
          <w:w w:val="105"/>
          <w:sz w:val="16"/>
        </w:rPr>
        <w:t>Mül</w:t>
      </w:r>
      <w:r>
        <w:rPr>
          <w:color w:val="231F20"/>
          <w:spacing w:val="-5"/>
          <w:w w:val="105"/>
          <w:sz w:val="16"/>
        </w:rPr>
        <w:t xml:space="preserve">ler, </w:t>
      </w:r>
      <w:r>
        <w:rPr>
          <w:color w:val="231F20"/>
          <w:w w:val="105"/>
          <w:sz w:val="16"/>
        </w:rPr>
        <w:t>Arndt</w:t>
      </w:r>
      <w:r>
        <w:rPr>
          <w:i/>
          <w:color w:val="231F20"/>
          <w:w w:val="105"/>
          <w:sz w:val="16"/>
        </w:rPr>
        <w:t xml:space="preserve">; See also </w:t>
      </w:r>
      <w:r>
        <w:rPr>
          <w:color w:val="231F20"/>
          <w:w w:val="105"/>
          <w:sz w:val="16"/>
        </w:rPr>
        <w:t>Croissant, Klaus</w:t>
      </w:r>
      <w:r>
        <w:rPr>
          <w:i/>
          <w:color w:val="231F20"/>
          <w:w w:val="105"/>
          <w:sz w:val="16"/>
        </w:rPr>
        <w:t xml:space="preserve">; See also </w:t>
      </w:r>
      <w:r>
        <w:rPr>
          <w:color w:val="231F20"/>
          <w:w w:val="105"/>
          <w:sz w:val="16"/>
        </w:rPr>
        <w:t>Groenewold, Kurt: attacks on</w:t>
      </w:r>
      <w:r>
        <w:rPr>
          <w:i/>
          <w:color w:val="231F20"/>
          <w:w w:val="105"/>
          <w:sz w:val="16"/>
        </w:rPr>
        <w:t xml:space="preserve">; See also </w:t>
      </w:r>
      <w:r>
        <w:rPr>
          <w:color w:val="231F20"/>
          <w:spacing w:val="-3"/>
          <w:w w:val="105"/>
          <w:sz w:val="16"/>
        </w:rPr>
        <w:t xml:space="preserve">Schily, </w:t>
      </w:r>
      <w:r>
        <w:rPr>
          <w:color w:val="231F20"/>
          <w:w w:val="105"/>
          <w:sz w:val="16"/>
        </w:rPr>
        <w:t>Otto</w:t>
      </w:r>
      <w:r>
        <w:rPr>
          <w:i/>
          <w:color w:val="231F20"/>
          <w:w w:val="105"/>
          <w:sz w:val="16"/>
        </w:rPr>
        <w:t xml:space="preserve">; See also </w:t>
      </w:r>
      <w:r>
        <w:rPr>
          <w:color w:val="231F20"/>
          <w:w w:val="105"/>
          <w:sz w:val="16"/>
        </w:rPr>
        <w:t>Newerla, Armin</w:t>
      </w:r>
      <w:r>
        <w:rPr>
          <w:i/>
          <w:color w:val="231F20"/>
          <w:w w:val="105"/>
          <w:sz w:val="16"/>
        </w:rPr>
        <w:t xml:space="preserve">; See also </w:t>
      </w:r>
      <w:r>
        <w:rPr>
          <w:color w:val="231F20"/>
          <w:w w:val="105"/>
          <w:sz w:val="16"/>
        </w:rPr>
        <w:t>Ströbele, Hans-Christian</w:t>
      </w:r>
      <w:r>
        <w:rPr>
          <w:i/>
          <w:color w:val="231F20"/>
          <w:w w:val="105"/>
          <w:sz w:val="16"/>
        </w:rPr>
        <w:t xml:space="preserve">; See also </w:t>
      </w:r>
      <w:r>
        <w:rPr>
          <w:color w:val="231F20"/>
          <w:spacing w:val="-3"/>
          <w:w w:val="105"/>
          <w:sz w:val="16"/>
        </w:rPr>
        <w:t xml:space="preserve">Langner, </w:t>
      </w:r>
      <w:r>
        <w:rPr>
          <w:color w:val="231F20"/>
          <w:w w:val="105"/>
          <w:sz w:val="16"/>
        </w:rPr>
        <w:t>Klaus Jürgen</w:t>
      </w:r>
      <w:r>
        <w:rPr>
          <w:i/>
          <w:color w:val="231F20"/>
          <w:w w:val="105"/>
          <w:sz w:val="16"/>
        </w:rPr>
        <w:t xml:space="preserve">; See also </w:t>
      </w:r>
      <w:r>
        <w:rPr>
          <w:color w:val="231F20"/>
          <w:w w:val="105"/>
          <w:sz w:val="16"/>
        </w:rPr>
        <w:t>Lang, Jörg</w:t>
      </w:r>
      <w:r>
        <w:rPr>
          <w:i/>
          <w:color w:val="231F20"/>
          <w:w w:val="105"/>
          <w:sz w:val="16"/>
        </w:rPr>
        <w:t xml:space="preserve">; See also </w:t>
      </w:r>
      <w:r>
        <w:rPr>
          <w:color w:val="231F20"/>
          <w:w w:val="105"/>
          <w:sz w:val="16"/>
        </w:rPr>
        <w:t xml:space="preserve">Haag, Siegfried: attacks on; mentioned by </w:t>
      </w:r>
      <w:r w:rsidR="00C507A5">
        <w:rPr>
          <w:color w:val="231F20"/>
          <w:w w:val="105"/>
          <w:sz w:val="16"/>
        </w:rPr>
        <w:t>red army faction</w:t>
      </w:r>
      <w:r>
        <w:rPr>
          <w:color w:val="231F20"/>
          <w:w w:val="105"/>
          <w:sz w:val="16"/>
        </w:rPr>
        <w:t xml:space="preserve"> 286</w:t>
      </w:r>
      <w:r>
        <w:rPr>
          <w:i/>
          <w:color w:val="231F20"/>
          <w:w w:val="105"/>
          <w:sz w:val="16"/>
        </w:rPr>
        <w:t xml:space="preserve">, </w:t>
      </w:r>
      <w:r>
        <w:rPr>
          <w:color w:val="231F20"/>
          <w:w w:val="105"/>
          <w:sz w:val="16"/>
        </w:rPr>
        <w:t>303</w:t>
      </w:r>
      <w:r>
        <w:rPr>
          <w:i/>
          <w:color w:val="231F20"/>
          <w:w w:val="105"/>
          <w:sz w:val="16"/>
        </w:rPr>
        <w:t xml:space="preserve">, </w:t>
      </w:r>
      <w:r>
        <w:rPr>
          <w:color w:val="231F20"/>
          <w:w w:val="105"/>
          <w:sz w:val="16"/>
        </w:rPr>
        <w:t>312–313</w:t>
      </w:r>
      <w:r>
        <w:rPr>
          <w:i/>
          <w:color w:val="231F20"/>
          <w:w w:val="105"/>
          <w:sz w:val="16"/>
        </w:rPr>
        <w:t>,</w:t>
      </w:r>
      <w:r>
        <w:rPr>
          <w:i/>
          <w:color w:val="231F20"/>
          <w:spacing w:val="6"/>
          <w:w w:val="105"/>
          <w:sz w:val="16"/>
        </w:rPr>
        <w:t xml:space="preserve"> </w:t>
      </w:r>
      <w:r>
        <w:rPr>
          <w:color w:val="231F20"/>
          <w:w w:val="105"/>
          <w:sz w:val="16"/>
        </w:rPr>
        <w:t>418–420</w:t>
      </w:r>
    </w:p>
    <w:p w14:paraId="4D89C1CA" w14:textId="77777777" w:rsidR="002653E8" w:rsidRDefault="003115E3">
      <w:pPr>
        <w:spacing w:before="5"/>
        <w:ind w:left="240"/>
        <w:rPr>
          <w:sz w:val="16"/>
        </w:rPr>
      </w:pPr>
      <w:r>
        <w:rPr>
          <w:color w:val="231F20"/>
          <w:sz w:val="16"/>
        </w:rPr>
        <w:t>Lebanon 191</w:t>
      </w:r>
      <w:r>
        <w:rPr>
          <w:i/>
          <w:color w:val="231F20"/>
          <w:sz w:val="16"/>
        </w:rPr>
        <w:t xml:space="preserve">, </w:t>
      </w:r>
      <w:r>
        <w:rPr>
          <w:color w:val="231F20"/>
          <w:sz w:val="16"/>
        </w:rPr>
        <w:t>191–192; mentioned by</w:t>
      </w:r>
    </w:p>
    <w:p w14:paraId="38DC4357" w14:textId="77777777" w:rsidR="002653E8" w:rsidRDefault="00C507A5">
      <w:pPr>
        <w:spacing w:before="33"/>
        <w:ind w:left="440"/>
        <w:rPr>
          <w:sz w:val="16"/>
        </w:rPr>
      </w:pPr>
      <w:r>
        <w:rPr>
          <w:color w:val="231F20"/>
          <w:sz w:val="16"/>
        </w:rPr>
        <w:t>red army faction</w:t>
      </w:r>
      <w:r w:rsidR="003115E3">
        <w:rPr>
          <w:color w:val="231F20"/>
          <w:sz w:val="16"/>
        </w:rPr>
        <w:t xml:space="preserve"> 226; rear base area 57</w:t>
      </w:r>
    </w:p>
    <w:p w14:paraId="75103C17" w14:textId="77777777" w:rsidR="002653E8" w:rsidRDefault="003115E3">
      <w:pPr>
        <w:spacing w:before="32"/>
        <w:ind w:left="240"/>
        <w:rPr>
          <w:sz w:val="16"/>
        </w:rPr>
      </w:pPr>
      <w:r>
        <w:rPr>
          <w:color w:val="231F20"/>
          <w:w w:val="105"/>
          <w:sz w:val="16"/>
        </w:rPr>
        <w:t>Le Duan 364</w:t>
      </w:r>
    </w:p>
    <w:p w14:paraId="0ADE363F" w14:textId="77777777" w:rsidR="002653E8" w:rsidRDefault="003115E3">
      <w:pPr>
        <w:spacing w:before="33"/>
        <w:ind w:left="240"/>
        <w:rPr>
          <w:sz w:val="16"/>
        </w:rPr>
      </w:pPr>
      <w:r>
        <w:rPr>
          <w:color w:val="231F20"/>
          <w:sz w:val="16"/>
        </w:rPr>
        <w:t>Leicht (journalist) 379</w:t>
      </w:r>
    </w:p>
    <w:p w14:paraId="09D3B3FB" w14:textId="77777777" w:rsidR="002653E8" w:rsidRDefault="003115E3">
      <w:pPr>
        <w:spacing w:before="32" w:line="280" w:lineRule="auto"/>
        <w:ind w:left="440" w:right="1238" w:hanging="200"/>
        <w:rPr>
          <w:sz w:val="16"/>
        </w:rPr>
      </w:pPr>
      <w:r>
        <w:rPr>
          <w:color w:val="231F20"/>
          <w:w w:val="105"/>
          <w:sz w:val="16"/>
        </w:rPr>
        <w:t>Lenin 207</w:t>
      </w:r>
      <w:r>
        <w:rPr>
          <w:i/>
          <w:color w:val="231F20"/>
          <w:w w:val="105"/>
          <w:sz w:val="16"/>
        </w:rPr>
        <w:t xml:space="preserve">, </w:t>
      </w:r>
      <w:r>
        <w:rPr>
          <w:color w:val="231F20"/>
          <w:w w:val="105"/>
          <w:sz w:val="16"/>
        </w:rPr>
        <w:t>221</w:t>
      </w:r>
      <w:r>
        <w:rPr>
          <w:i/>
          <w:color w:val="231F20"/>
          <w:w w:val="105"/>
          <w:sz w:val="16"/>
        </w:rPr>
        <w:t xml:space="preserve">, </w:t>
      </w:r>
      <w:r>
        <w:rPr>
          <w:color w:val="231F20"/>
          <w:w w:val="105"/>
          <w:sz w:val="16"/>
        </w:rPr>
        <w:t>311</w:t>
      </w:r>
      <w:r>
        <w:rPr>
          <w:i/>
          <w:color w:val="231F20"/>
          <w:w w:val="105"/>
          <w:sz w:val="16"/>
        </w:rPr>
        <w:t xml:space="preserve">, </w:t>
      </w:r>
      <w:r>
        <w:rPr>
          <w:color w:val="231F20"/>
          <w:w w:val="105"/>
          <w:sz w:val="16"/>
        </w:rPr>
        <w:t xml:space="preserve">316; </w:t>
      </w:r>
      <w:r>
        <w:rPr>
          <w:i/>
          <w:color w:val="231F20"/>
          <w:w w:val="105"/>
          <w:sz w:val="16"/>
        </w:rPr>
        <w:t xml:space="preserve">Imperialism and the Split in Socialism </w:t>
      </w:r>
      <w:r>
        <w:rPr>
          <w:color w:val="231F20"/>
          <w:w w:val="105"/>
          <w:sz w:val="16"/>
        </w:rPr>
        <w:t xml:space="preserve">364; </w:t>
      </w:r>
      <w:r>
        <w:rPr>
          <w:i/>
          <w:color w:val="231F20"/>
          <w:w w:val="105"/>
          <w:sz w:val="16"/>
        </w:rPr>
        <w:t xml:space="preserve">The State and Revolution </w:t>
      </w:r>
      <w:r>
        <w:rPr>
          <w:color w:val="231F20"/>
          <w:w w:val="105"/>
          <w:sz w:val="16"/>
        </w:rPr>
        <w:t xml:space="preserve">316; </w:t>
      </w:r>
      <w:r>
        <w:rPr>
          <w:i/>
          <w:color w:val="231F20"/>
          <w:w w:val="105"/>
          <w:sz w:val="16"/>
        </w:rPr>
        <w:t xml:space="preserve">What Is to Be Done </w:t>
      </w:r>
      <w:r>
        <w:rPr>
          <w:color w:val="231F20"/>
          <w:w w:val="105"/>
          <w:sz w:val="16"/>
        </w:rPr>
        <w:t>92–93</w:t>
      </w:r>
    </w:p>
    <w:p w14:paraId="19AC544A" w14:textId="77777777" w:rsidR="002653E8" w:rsidRDefault="003115E3">
      <w:pPr>
        <w:spacing w:before="2"/>
        <w:ind w:left="240"/>
        <w:rPr>
          <w:sz w:val="16"/>
        </w:rPr>
      </w:pPr>
      <w:r>
        <w:rPr>
          <w:i/>
          <w:color w:val="231F20"/>
          <w:sz w:val="16"/>
        </w:rPr>
        <w:t xml:space="preserve">le nouvel Observateur </w:t>
      </w:r>
      <w:r>
        <w:rPr>
          <w:color w:val="231F20"/>
          <w:sz w:val="16"/>
        </w:rPr>
        <w:t>446</w:t>
      </w:r>
    </w:p>
    <w:p w14:paraId="032A65E4" w14:textId="77777777" w:rsidR="002653E8" w:rsidRDefault="003115E3">
      <w:pPr>
        <w:spacing w:before="33"/>
        <w:ind w:left="240"/>
        <w:rPr>
          <w:i/>
          <w:sz w:val="16"/>
        </w:rPr>
      </w:pPr>
      <w:r>
        <w:rPr>
          <w:color w:val="231F20"/>
          <w:w w:val="105"/>
          <w:sz w:val="16"/>
        </w:rPr>
        <w:t>Lex Baader-Meinhof 267–268</w:t>
      </w:r>
      <w:r>
        <w:rPr>
          <w:i/>
          <w:color w:val="231F20"/>
          <w:w w:val="105"/>
          <w:sz w:val="16"/>
        </w:rPr>
        <w:t xml:space="preserve">, </w:t>
      </w:r>
      <w:r>
        <w:rPr>
          <w:color w:val="231F20"/>
          <w:w w:val="105"/>
          <w:sz w:val="16"/>
        </w:rPr>
        <w:t>309</w:t>
      </w:r>
      <w:r>
        <w:rPr>
          <w:i/>
          <w:color w:val="231F20"/>
          <w:w w:val="105"/>
          <w:sz w:val="16"/>
        </w:rPr>
        <w:t xml:space="preserve">, </w:t>
      </w:r>
      <w:r>
        <w:rPr>
          <w:color w:val="231F20"/>
          <w:w w:val="105"/>
          <w:sz w:val="16"/>
        </w:rPr>
        <w:t>319</w:t>
      </w:r>
      <w:r>
        <w:rPr>
          <w:i/>
          <w:color w:val="231F20"/>
          <w:w w:val="105"/>
          <w:sz w:val="16"/>
        </w:rPr>
        <w:t>,</w:t>
      </w:r>
    </w:p>
    <w:p w14:paraId="0C93887D" w14:textId="77777777" w:rsidR="002653E8" w:rsidRDefault="003115E3">
      <w:pPr>
        <w:spacing w:before="32"/>
        <w:ind w:left="440"/>
        <w:rPr>
          <w:i/>
          <w:sz w:val="16"/>
        </w:rPr>
      </w:pPr>
      <w:r>
        <w:rPr>
          <w:color w:val="231F20"/>
          <w:w w:val="105"/>
          <w:sz w:val="16"/>
        </w:rPr>
        <w:t>345–346</w:t>
      </w:r>
      <w:r>
        <w:rPr>
          <w:i/>
          <w:color w:val="231F20"/>
          <w:w w:val="105"/>
          <w:sz w:val="16"/>
        </w:rPr>
        <w:t xml:space="preserve">, </w:t>
      </w:r>
      <w:r>
        <w:rPr>
          <w:color w:val="231F20"/>
          <w:w w:val="105"/>
          <w:sz w:val="16"/>
        </w:rPr>
        <w:t>596</w:t>
      </w:r>
      <w:r>
        <w:rPr>
          <w:i/>
          <w:color w:val="231F20"/>
          <w:w w:val="105"/>
          <w:sz w:val="16"/>
        </w:rPr>
        <w:t xml:space="preserve">, </w:t>
      </w:r>
      <w:r>
        <w:rPr>
          <w:color w:val="231F20"/>
          <w:w w:val="105"/>
          <w:sz w:val="16"/>
        </w:rPr>
        <w:t>597</w:t>
      </w:r>
      <w:r>
        <w:rPr>
          <w:i/>
          <w:color w:val="231F20"/>
          <w:w w:val="105"/>
          <w:sz w:val="16"/>
        </w:rPr>
        <w:t xml:space="preserve">. See also </w:t>
      </w:r>
      <w:r>
        <w:rPr>
          <w:color w:val="231F20"/>
          <w:w w:val="105"/>
          <w:sz w:val="16"/>
        </w:rPr>
        <w:t>§138</w:t>
      </w:r>
      <w:r>
        <w:rPr>
          <w:i/>
          <w:color w:val="231F20"/>
          <w:w w:val="105"/>
          <w:sz w:val="16"/>
        </w:rPr>
        <w:t>;</w:t>
      </w:r>
    </w:p>
    <w:p w14:paraId="12E7E0C8" w14:textId="77777777" w:rsidR="002653E8" w:rsidRDefault="003115E3">
      <w:pPr>
        <w:spacing w:before="32" w:line="280" w:lineRule="auto"/>
        <w:ind w:left="440" w:right="1376"/>
        <w:rPr>
          <w:sz w:val="16"/>
        </w:rPr>
      </w:pPr>
      <w:r>
        <w:rPr>
          <w:i/>
          <w:color w:val="231F20"/>
          <w:sz w:val="16"/>
        </w:rPr>
        <w:t xml:space="preserve">See also </w:t>
      </w:r>
      <w:r>
        <w:rPr>
          <w:color w:val="231F20"/>
          <w:sz w:val="16"/>
        </w:rPr>
        <w:t>§146</w:t>
      </w:r>
      <w:r>
        <w:rPr>
          <w:i/>
          <w:color w:val="231F20"/>
          <w:sz w:val="16"/>
        </w:rPr>
        <w:t xml:space="preserve">; See also </w:t>
      </w:r>
      <w:r>
        <w:rPr>
          <w:color w:val="231F20"/>
          <w:sz w:val="16"/>
        </w:rPr>
        <w:t>§231a-b</w:t>
      </w:r>
      <w:r>
        <w:rPr>
          <w:i/>
          <w:color w:val="231F20"/>
          <w:sz w:val="16"/>
        </w:rPr>
        <w:t xml:space="preserve">; See also </w:t>
      </w:r>
      <w:r>
        <w:rPr>
          <w:color w:val="231F20"/>
          <w:sz w:val="16"/>
        </w:rPr>
        <w:t>§148-a</w:t>
      </w:r>
      <w:r>
        <w:rPr>
          <w:i/>
          <w:color w:val="231F20"/>
          <w:sz w:val="16"/>
        </w:rPr>
        <w:t xml:space="preserve">; See also </w:t>
      </w:r>
      <w:r>
        <w:rPr>
          <w:color w:val="231F20"/>
          <w:sz w:val="16"/>
        </w:rPr>
        <w:t>§275a</w:t>
      </w:r>
    </w:p>
    <w:p w14:paraId="64A71A0F" w14:textId="77777777" w:rsidR="002653E8" w:rsidRDefault="003115E3">
      <w:pPr>
        <w:spacing w:before="1"/>
        <w:ind w:left="240"/>
        <w:rPr>
          <w:sz w:val="16"/>
        </w:rPr>
      </w:pPr>
      <w:r>
        <w:rPr>
          <w:i/>
          <w:color w:val="231F20"/>
          <w:sz w:val="16"/>
        </w:rPr>
        <w:t xml:space="preserve">Libération </w:t>
      </w:r>
      <w:r>
        <w:rPr>
          <w:color w:val="231F20"/>
          <w:sz w:val="16"/>
        </w:rPr>
        <w:t>522</w:t>
      </w:r>
    </w:p>
    <w:p w14:paraId="799F91FE" w14:textId="77777777" w:rsidR="002653E8" w:rsidRDefault="003115E3">
      <w:pPr>
        <w:spacing w:before="33" w:line="280" w:lineRule="auto"/>
        <w:ind w:left="440" w:right="1144" w:hanging="200"/>
        <w:rPr>
          <w:sz w:val="16"/>
        </w:rPr>
      </w:pPr>
      <w:r>
        <w:rPr>
          <w:color w:val="231F20"/>
          <w:sz w:val="16"/>
        </w:rPr>
        <w:t>Libya 195</w:t>
      </w:r>
      <w:r>
        <w:rPr>
          <w:i/>
          <w:color w:val="231F20"/>
          <w:sz w:val="16"/>
        </w:rPr>
        <w:t xml:space="preserve">, </w:t>
      </w:r>
      <w:r>
        <w:rPr>
          <w:color w:val="231F20"/>
          <w:sz w:val="16"/>
        </w:rPr>
        <w:t xml:space="preserve">480; mentioned by </w:t>
      </w:r>
      <w:r w:rsidR="00C507A5">
        <w:rPr>
          <w:color w:val="231F20"/>
          <w:sz w:val="16"/>
        </w:rPr>
        <w:t>red army faction</w:t>
      </w:r>
      <w:r>
        <w:rPr>
          <w:color w:val="231F20"/>
          <w:sz w:val="16"/>
        </w:rPr>
        <w:t xml:space="preserve"> 209; support for PFLP (EO) 560</w:t>
      </w:r>
    </w:p>
    <w:p w14:paraId="79B0AC04" w14:textId="77777777" w:rsidR="002653E8" w:rsidRDefault="003115E3">
      <w:pPr>
        <w:spacing w:before="1"/>
        <w:ind w:left="240"/>
        <w:rPr>
          <w:sz w:val="16"/>
        </w:rPr>
      </w:pPr>
      <w:r>
        <w:rPr>
          <w:color w:val="231F20"/>
          <w:w w:val="105"/>
          <w:sz w:val="16"/>
        </w:rPr>
        <w:t>Liebknecht, Karl 67</w:t>
      </w:r>
      <w:r>
        <w:rPr>
          <w:i/>
          <w:color w:val="231F20"/>
          <w:w w:val="105"/>
          <w:sz w:val="16"/>
        </w:rPr>
        <w:t xml:space="preserve">, </w:t>
      </w:r>
      <w:r>
        <w:rPr>
          <w:color w:val="231F20"/>
          <w:w w:val="105"/>
          <w:sz w:val="16"/>
        </w:rPr>
        <w:t>216</w:t>
      </w:r>
    </w:p>
    <w:p w14:paraId="09C40147" w14:textId="77777777" w:rsidR="002653E8" w:rsidRDefault="003115E3">
      <w:pPr>
        <w:spacing w:before="32"/>
        <w:ind w:left="240"/>
        <w:rPr>
          <w:sz w:val="16"/>
        </w:rPr>
      </w:pPr>
      <w:r>
        <w:rPr>
          <w:color w:val="231F20"/>
          <w:w w:val="105"/>
          <w:sz w:val="16"/>
        </w:rPr>
        <w:t>Lin Biao 310</w:t>
      </w:r>
    </w:p>
    <w:p w14:paraId="3F71C2F4" w14:textId="77777777" w:rsidR="002653E8" w:rsidRDefault="003115E3">
      <w:pPr>
        <w:spacing w:before="33"/>
        <w:ind w:left="240"/>
        <w:rPr>
          <w:sz w:val="16"/>
        </w:rPr>
      </w:pPr>
      <w:r>
        <w:rPr>
          <w:color w:val="231F20"/>
          <w:w w:val="105"/>
          <w:sz w:val="16"/>
        </w:rPr>
        <w:t>Linke, Georg 54</w:t>
      </w:r>
      <w:r>
        <w:rPr>
          <w:i/>
          <w:color w:val="231F20"/>
          <w:w w:val="105"/>
          <w:sz w:val="16"/>
        </w:rPr>
        <w:t xml:space="preserve">, </w:t>
      </w:r>
      <w:r>
        <w:rPr>
          <w:color w:val="231F20"/>
          <w:w w:val="105"/>
          <w:sz w:val="16"/>
        </w:rPr>
        <w:t>571</w:t>
      </w:r>
      <w:r>
        <w:rPr>
          <w:i/>
          <w:color w:val="231F20"/>
          <w:w w:val="105"/>
          <w:sz w:val="16"/>
        </w:rPr>
        <w:t xml:space="preserve">, </w:t>
      </w:r>
      <w:r>
        <w:rPr>
          <w:color w:val="231F20"/>
          <w:w w:val="105"/>
          <w:sz w:val="16"/>
        </w:rPr>
        <w:t>584; mentioned by</w:t>
      </w:r>
    </w:p>
    <w:p w14:paraId="0A50F365" w14:textId="77777777" w:rsidR="002653E8" w:rsidRDefault="00C507A5">
      <w:pPr>
        <w:spacing w:before="32"/>
        <w:ind w:left="440"/>
        <w:rPr>
          <w:sz w:val="16"/>
        </w:rPr>
      </w:pPr>
      <w:r>
        <w:rPr>
          <w:color w:val="231F20"/>
          <w:w w:val="110"/>
          <w:sz w:val="16"/>
        </w:rPr>
        <w:t>red army faction</w:t>
      </w:r>
      <w:r w:rsidR="003115E3">
        <w:rPr>
          <w:color w:val="231F20"/>
          <w:w w:val="110"/>
          <w:sz w:val="16"/>
        </w:rPr>
        <w:t xml:space="preserve"> 80</w:t>
      </w:r>
      <w:r w:rsidR="003115E3">
        <w:rPr>
          <w:i/>
          <w:color w:val="231F20"/>
          <w:w w:val="110"/>
          <w:sz w:val="16"/>
        </w:rPr>
        <w:t xml:space="preserve">, </w:t>
      </w:r>
      <w:r w:rsidR="003115E3">
        <w:rPr>
          <w:color w:val="231F20"/>
          <w:w w:val="110"/>
          <w:sz w:val="16"/>
        </w:rPr>
        <w:t>85–86</w:t>
      </w:r>
    </w:p>
    <w:p w14:paraId="5E961A9E" w14:textId="77777777" w:rsidR="002653E8" w:rsidRDefault="003115E3">
      <w:pPr>
        <w:spacing w:before="33"/>
        <w:ind w:left="240"/>
        <w:rPr>
          <w:sz w:val="16"/>
        </w:rPr>
      </w:pPr>
      <w:r>
        <w:rPr>
          <w:color w:val="231F20"/>
          <w:sz w:val="16"/>
        </w:rPr>
        <w:t>Liszt, Franz von 69</w:t>
      </w:r>
    </w:p>
    <w:p w14:paraId="3F8810B1" w14:textId="77777777" w:rsidR="002653E8" w:rsidRDefault="003115E3">
      <w:pPr>
        <w:spacing w:before="32" w:line="280" w:lineRule="auto"/>
        <w:ind w:left="440" w:right="1144" w:hanging="201"/>
        <w:rPr>
          <w:sz w:val="16"/>
        </w:rPr>
      </w:pPr>
      <w:r>
        <w:rPr>
          <w:color w:val="231F20"/>
          <w:sz w:val="16"/>
        </w:rPr>
        <w:t>Lod airport skyjacking</w:t>
      </w:r>
      <w:r>
        <w:rPr>
          <w:i/>
          <w:color w:val="231F20"/>
          <w:sz w:val="16"/>
        </w:rPr>
        <w:t xml:space="preserve">. See </w:t>
      </w:r>
      <w:r>
        <w:rPr>
          <w:color w:val="231F20"/>
          <w:sz w:val="16"/>
        </w:rPr>
        <w:t>skyjackings: Sabena/Lod airport (1972)</w:t>
      </w:r>
    </w:p>
    <w:p w14:paraId="61F5225A" w14:textId="77777777" w:rsidR="002653E8" w:rsidRDefault="003115E3">
      <w:pPr>
        <w:spacing w:before="1" w:line="280" w:lineRule="auto"/>
        <w:ind w:left="240" w:right="1516"/>
        <w:rPr>
          <w:sz w:val="16"/>
        </w:rPr>
      </w:pPr>
      <w:r>
        <w:rPr>
          <w:color w:val="231F20"/>
          <w:sz w:val="16"/>
        </w:rPr>
        <w:t>Lodt (inspector for security) 403 Loew (neurosurgeon) 319</w:t>
      </w:r>
      <w:r>
        <w:rPr>
          <w:i/>
          <w:color w:val="231F20"/>
          <w:sz w:val="16"/>
        </w:rPr>
        <w:t xml:space="preserve">, </w:t>
      </w:r>
      <w:r>
        <w:rPr>
          <w:color w:val="231F20"/>
          <w:sz w:val="16"/>
        </w:rPr>
        <w:t>411</w:t>
      </w:r>
    </w:p>
    <w:p w14:paraId="1433BE8D" w14:textId="77777777" w:rsidR="002653E8" w:rsidRDefault="003115E3">
      <w:pPr>
        <w:spacing w:before="1" w:line="280" w:lineRule="auto"/>
        <w:ind w:left="440" w:right="1186" w:hanging="200"/>
        <w:jc w:val="both"/>
        <w:rPr>
          <w:sz w:val="16"/>
        </w:rPr>
      </w:pPr>
      <w:r>
        <w:rPr>
          <w:color w:val="231F20"/>
          <w:w w:val="105"/>
          <w:sz w:val="16"/>
        </w:rPr>
        <w:t>Lorenz, Peter 328</w:t>
      </w:r>
      <w:r>
        <w:rPr>
          <w:i/>
          <w:color w:val="231F20"/>
          <w:w w:val="105"/>
          <w:sz w:val="16"/>
        </w:rPr>
        <w:t xml:space="preserve">, </w:t>
      </w:r>
      <w:r>
        <w:rPr>
          <w:color w:val="231F20"/>
          <w:w w:val="105"/>
          <w:sz w:val="16"/>
        </w:rPr>
        <w:t>571</w:t>
      </w:r>
      <w:r>
        <w:rPr>
          <w:i/>
          <w:color w:val="231F20"/>
          <w:w w:val="105"/>
          <w:sz w:val="16"/>
        </w:rPr>
        <w:t xml:space="preserve">, </w:t>
      </w:r>
      <w:r>
        <w:rPr>
          <w:color w:val="231F20"/>
          <w:w w:val="105"/>
          <w:sz w:val="16"/>
        </w:rPr>
        <w:t>596</w:t>
      </w:r>
      <w:r>
        <w:rPr>
          <w:i/>
          <w:color w:val="231F20"/>
          <w:w w:val="105"/>
          <w:sz w:val="16"/>
        </w:rPr>
        <w:t>. See also</w:t>
      </w:r>
      <w:r>
        <w:rPr>
          <w:i/>
          <w:color w:val="231F20"/>
          <w:spacing w:val="-14"/>
          <w:w w:val="105"/>
          <w:sz w:val="16"/>
        </w:rPr>
        <w:t xml:space="preserve"> </w:t>
      </w:r>
      <w:r>
        <w:rPr>
          <w:color w:val="231F20"/>
          <w:w w:val="105"/>
          <w:sz w:val="16"/>
        </w:rPr>
        <w:t>2nd of</w:t>
      </w:r>
      <w:r>
        <w:rPr>
          <w:color w:val="231F20"/>
          <w:spacing w:val="-11"/>
          <w:w w:val="105"/>
          <w:sz w:val="16"/>
        </w:rPr>
        <w:t xml:space="preserve"> </w:t>
      </w:r>
      <w:r>
        <w:rPr>
          <w:color w:val="231F20"/>
          <w:w w:val="105"/>
          <w:sz w:val="16"/>
        </w:rPr>
        <w:t>June</w:t>
      </w:r>
      <w:r>
        <w:rPr>
          <w:color w:val="231F20"/>
          <w:spacing w:val="-11"/>
          <w:w w:val="105"/>
          <w:sz w:val="16"/>
        </w:rPr>
        <w:t xml:space="preserve"> </w:t>
      </w:r>
      <w:r>
        <w:rPr>
          <w:color w:val="231F20"/>
          <w:w w:val="105"/>
          <w:sz w:val="16"/>
        </w:rPr>
        <w:t>Movement:</w:t>
      </w:r>
      <w:r>
        <w:rPr>
          <w:color w:val="231F20"/>
          <w:spacing w:val="-11"/>
          <w:w w:val="105"/>
          <w:sz w:val="16"/>
        </w:rPr>
        <w:t xml:space="preserve"> </w:t>
      </w:r>
      <w:r>
        <w:rPr>
          <w:color w:val="231F20"/>
          <w:w w:val="105"/>
          <w:sz w:val="16"/>
        </w:rPr>
        <w:t>Lorenz</w:t>
      </w:r>
      <w:r>
        <w:rPr>
          <w:color w:val="231F20"/>
          <w:spacing w:val="-11"/>
          <w:w w:val="105"/>
          <w:sz w:val="16"/>
        </w:rPr>
        <w:t xml:space="preserve"> </w:t>
      </w:r>
      <w:r>
        <w:rPr>
          <w:color w:val="231F20"/>
          <w:w w:val="105"/>
          <w:sz w:val="16"/>
        </w:rPr>
        <w:t>kidnapping (1975)</w:t>
      </w:r>
    </w:p>
    <w:p w14:paraId="2021D142" w14:textId="77777777" w:rsidR="002653E8" w:rsidRDefault="003115E3">
      <w:pPr>
        <w:spacing w:before="2"/>
        <w:ind w:left="240"/>
        <w:rPr>
          <w:sz w:val="16"/>
        </w:rPr>
      </w:pPr>
      <w:r>
        <w:rPr>
          <w:i/>
          <w:color w:val="231F20"/>
          <w:w w:val="105"/>
          <w:sz w:val="16"/>
        </w:rPr>
        <w:t xml:space="preserve">Lotta Continua </w:t>
      </w:r>
      <w:r>
        <w:rPr>
          <w:color w:val="231F20"/>
          <w:w w:val="105"/>
          <w:sz w:val="16"/>
        </w:rPr>
        <w:t>518</w:t>
      </w:r>
    </w:p>
    <w:p w14:paraId="4C65A6FE" w14:textId="77777777" w:rsidR="002653E8" w:rsidRDefault="003115E3">
      <w:pPr>
        <w:spacing w:before="32"/>
        <w:ind w:left="240"/>
        <w:rPr>
          <w:i/>
          <w:sz w:val="16"/>
        </w:rPr>
      </w:pPr>
      <w:r>
        <w:rPr>
          <w:color w:val="231F20"/>
          <w:w w:val="105"/>
          <w:sz w:val="16"/>
        </w:rPr>
        <w:t>Lotze, Werner 611</w:t>
      </w:r>
      <w:r>
        <w:rPr>
          <w:i/>
          <w:color w:val="231F20"/>
          <w:w w:val="105"/>
          <w:sz w:val="16"/>
        </w:rPr>
        <w:t xml:space="preserve">, </w:t>
      </w:r>
      <w:r>
        <w:rPr>
          <w:color w:val="231F20"/>
          <w:w w:val="105"/>
          <w:sz w:val="16"/>
        </w:rPr>
        <w:t>612</w:t>
      </w:r>
      <w:r>
        <w:rPr>
          <w:i/>
          <w:color w:val="231F20"/>
          <w:w w:val="105"/>
          <w:sz w:val="16"/>
        </w:rPr>
        <w:t xml:space="preserve">, </w:t>
      </w:r>
      <w:r>
        <w:rPr>
          <w:color w:val="231F20"/>
          <w:w w:val="105"/>
          <w:sz w:val="16"/>
        </w:rPr>
        <w:t>614</w:t>
      </w:r>
      <w:r>
        <w:rPr>
          <w:i/>
          <w:color w:val="231F20"/>
          <w:w w:val="105"/>
          <w:sz w:val="16"/>
        </w:rPr>
        <w:t xml:space="preserve">, </w:t>
      </w:r>
      <w:r>
        <w:rPr>
          <w:color w:val="231F20"/>
          <w:w w:val="105"/>
          <w:sz w:val="16"/>
        </w:rPr>
        <w:t>620</w:t>
      </w:r>
      <w:r>
        <w:rPr>
          <w:i/>
          <w:color w:val="231F20"/>
          <w:w w:val="105"/>
          <w:sz w:val="16"/>
        </w:rPr>
        <w:t xml:space="preserve">, </w:t>
      </w:r>
      <w:r>
        <w:rPr>
          <w:color w:val="231F20"/>
          <w:w w:val="105"/>
          <w:sz w:val="16"/>
        </w:rPr>
        <w:t>621</w:t>
      </w:r>
      <w:r>
        <w:rPr>
          <w:i/>
          <w:color w:val="231F20"/>
          <w:w w:val="105"/>
          <w:sz w:val="16"/>
        </w:rPr>
        <w:t>,</w:t>
      </w:r>
    </w:p>
    <w:p w14:paraId="72C44C31" w14:textId="77777777" w:rsidR="002653E8" w:rsidRDefault="003115E3">
      <w:pPr>
        <w:spacing w:before="33"/>
        <w:ind w:left="440"/>
        <w:rPr>
          <w:sz w:val="16"/>
        </w:rPr>
      </w:pPr>
      <w:r>
        <w:rPr>
          <w:color w:val="231F20"/>
          <w:sz w:val="16"/>
        </w:rPr>
        <w:t>624</w:t>
      </w:r>
    </w:p>
    <w:p w14:paraId="6FABDF8C" w14:textId="77777777" w:rsidR="002653E8" w:rsidRDefault="003115E3">
      <w:pPr>
        <w:spacing w:before="32"/>
        <w:ind w:left="240"/>
        <w:rPr>
          <w:sz w:val="16"/>
        </w:rPr>
      </w:pPr>
      <w:r>
        <w:rPr>
          <w:color w:val="231F20"/>
          <w:w w:val="105"/>
          <w:sz w:val="16"/>
        </w:rPr>
        <w:t>Löwenthal, Gerhard 140</w:t>
      </w:r>
      <w:r>
        <w:rPr>
          <w:i/>
          <w:color w:val="231F20"/>
          <w:w w:val="105"/>
          <w:sz w:val="16"/>
        </w:rPr>
        <w:t xml:space="preserve">, </w:t>
      </w:r>
      <w:r>
        <w:rPr>
          <w:color w:val="231F20"/>
          <w:w w:val="105"/>
          <w:sz w:val="16"/>
        </w:rPr>
        <w:t>229</w:t>
      </w:r>
    </w:p>
    <w:p w14:paraId="2FABDF7E" w14:textId="77777777" w:rsidR="002653E8" w:rsidRDefault="002653E8">
      <w:pPr>
        <w:rPr>
          <w:sz w:val="16"/>
        </w:rPr>
        <w:sectPr w:rsidR="002653E8">
          <w:pgSz w:w="8640" w:h="12960"/>
          <w:pgMar w:top="1080" w:right="0" w:bottom="1040" w:left="0" w:header="0" w:footer="846" w:gutter="0"/>
          <w:cols w:num="2" w:space="720" w:equalWidth="0">
            <w:col w:w="4270" w:space="40"/>
            <w:col w:w="4330"/>
          </w:cols>
        </w:sectPr>
      </w:pPr>
    </w:p>
    <w:p w14:paraId="6FA9B252" w14:textId="77777777" w:rsidR="002653E8" w:rsidRDefault="003115E3">
      <w:pPr>
        <w:spacing w:before="86" w:line="280" w:lineRule="auto"/>
        <w:ind w:left="1147"/>
        <w:rPr>
          <w:sz w:val="16"/>
        </w:rPr>
      </w:pPr>
      <w:r>
        <w:rPr>
          <w:color w:val="231F20"/>
          <w:sz w:val="16"/>
        </w:rPr>
        <w:lastRenderedPageBreak/>
        <w:t>Lufthansa 524</w:t>
      </w:r>
      <w:r>
        <w:rPr>
          <w:i/>
          <w:color w:val="231F20"/>
          <w:sz w:val="16"/>
        </w:rPr>
        <w:t xml:space="preserve">. See also </w:t>
      </w:r>
      <w:r>
        <w:rPr>
          <w:color w:val="231F20"/>
          <w:sz w:val="16"/>
        </w:rPr>
        <w:t>skyjackings Luhmer, Michael 61</w:t>
      </w:r>
      <w:r>
        <w:rPr>
          <w:i/>
          <w:color w:val="231F20"/>
          <w:sz w:val="16"/>
        </w:rPr>
        <w:t xml:space="preserve">, </w:t>
      </w:r>
      <w:r>
        <w:rPr>
          <w:color w:val="231F20"/>
          <w:sz w:val="16"/>
        </w:rPr>
        <w:t>586</w:t>
      </w:r>
    </w:p>
    <w:p w14:paraId="5C2AF3EA" w14:textId="77777777" w:rsidR="002653E8" w:rsidRDefault="003115E3">
      <w:pPr>
        <w:spacing w:before="1"/>
        <w:ind w:left="1147"/>
        <w:rPr>
          <w:sz w:val="16"/>
        </w:rPr>
      </w:pPr>
      <w:r>
        <w:rPr>
          <w:color w:val="231F20"/>
          <w:w w:val="105"/>
          <w:sz w:val="16"/>
        </w:rPr>
        <w:t>Lukacs, George 94</w:t>
      </w:r>
    </w:p>
    <w:p w14:paraId="76DC4939" w14:textId="77777777" w:rsidR="002653E8" w:rsidRDefault="003115E3">
      <w:pPr>
        <w:spacing w:before="33"/>
        <w:ind w:left="1147"/>
        <w:rPr>
          <w:sz w:val="16"/>
        </w:rPr>
      </w:pPr>
      <w:r>
        <w:rPr>
          <w:color w:val="231F20"/>
          <w:w w:val="105"/>
          <w:sz w:val="16"/>
        </w:rPr>
        <w:t>Lumumba, Patrice 11</w:t>
      </w:r>
      <w:r>
        <w:rPr>
          <w:i/>
          <w:color w:val="231F20"/>
          <w:w w:val="105"/>
          <w:sz w:val="16"/>
        </w:rPr>
        <w:t xml:space="preserve">, </w:t>
      </w:r>
      <w:r>
        <w:rPr>
          <w:color w:val="231F20"/>
          <w:w w:val="105"/>
          <w:sz w:val="16"/>
        </w:rPr>
        <w:t>27</w:t>
      </w:r>
    </w:p>
    <w:p w14:paraId="7BF1FB27" w14:textId="77777777" w:rsidR="002653E8" w:rsidRDefault="003115E3">
      <w:pPr>
        <w:spacing w:before="32"/>
        <w:ind w:left="1147"/>
        <w:rPr>
          <w:sz w:val="16"/>
        </w:rPr>
      </w:pPr>
      <w:r>
        <w:rPr>
          <w:color w:val="231F20"/>
          <w:sz w:val="16"/>
        </w:rPr>
        <w:t>Lutheran Church 257–258</w:t>
      </w:r>
    </w:p>
    <w:p w14:paraId="0D3CF34B" w14:textId="77777777" w:rsidR="002653E8" w:rsidRPr="00846956" w:rsidRDefault="003115E3">
      <w:pPr>
        <w:spacing w:before="33"/>
        <w:ind w:left="1147"/>
        <w:rPr>
          <w:sz w:val="16"/>
          <w:lang w:val="de-DE"/>
        </w:rPr>
      </w:pPr>
      <w:r w:rsidRPr="00846956">
        <w:rPr>
          <w:color w:val="231F20"/>
          <w:w w:val="105"/>
          <w:sz w:val="16"/>
          <w:lang w:val="de-DE"/>
        </w:rPr>
        <w:t>Luther, Angela 571</w:t>
      </w:r>
      <w:r w:rsidRPr="00846956">
        <w:rPr>
          <w:i/>
          <w:color w:val="231F20"/>
          <w:w w:val="105"/>
          <w:sz w:val="16"/>
          <w:lang w:val="de-DE"/>
        </w:rPr>
        <w:t xml:space="preserve">, </w:t>
      </w:r>
      <w:r w:rsidRPr="00846956">
        <w:rPr>
          <w:color w:val="231F20"/>
          <w:w w:val="105"/>
          <w:sz w:val="16"/>
          <w:lang w:val="de-DE"/>
        </w:rPr>
        <w:t>587</w:t>
      </w:r>
      <w:r w:rsidRPr="00846956">
        <w:rPr>
          <w:i/>
          <w:color w:val="231F20"/>
          <w:w w:val="105"/>
          <w:sz w:val="16"/>
          <w:lang w:val="de-DE"/>
        </w:rPr>
        <w:t xml:space="preserve">, </w:t>
      </w:r>
      <w:r w:rsidRPr="00846956">
        <w:rPr>
          <w:color w:val="231F20"/>
          <w:w w:val="105"/>
          <w:sz w:val="16"/>
          <w:lang w:val="de-DE"/>
        </w:rPr>
        <w:t>596</w:t>
      </w:r>
    </w:p>
    <w:p w14:paraId="764E3BEA" w14:textId="77777777" w:rsidR="002653E8" w:rsidRPr="00846956" w:rsidRDefault="003115E3">
      <w:pPr>
        <w:spacing w:before="32"/>
        <w:ind w:left="1147"/>
        <w:rPr>
          <w:sz w:val="16"/>
          <w:lang w:val="de-DE"/>
        </w:rPr>
      </w:pPr>
      <w:r w:rsidRPr="00846956">
        <w:rPr>
          <w:color w:val="231F20"/>
          <w:w w:val="105"/>
          <w:sz w:val="16"/>
          <w:lang w:val="de-DE"/>
        </w:rPr>
        <w:t>Luther, Ulrich 301</w:t>
      </w:r>
    </w:p>
    <w:p w14:paraId="325D7EA3" w14:textId="77777777" w:rsidR="002653E8" w:rsidRPr="00846956" w:rsidRDefault="003115E3">
      <w:pPr>
        <w:spacing w:before="32"/>
        <w:ind w:left="1147"/>
        <w:rPr>
          <w:sz w:val="16"/>
          <w:lang w:val="de-DE"/>
        </w:rPr>
      </w:pPr>
      <w:r w:rsidRPr="00846956">
        <w:rPr>
          <w:color w:val="231F20"/>
          <w:sz w:val="16"/>
          <w:lang w:val="de-DE"/>
        </w:rPr>
        <w:t>Luxembourg Agreement (1952) 550</w:t>
      </w:r>
    </w:p>
    <w:p w14:paraId="47D00C28" w14:textId="77777777" w:rsidR="002653E8" w:rsidRPr="00846956" w:rsidRDefault="003115E3">
      <w:pPr>
        <w:spacing w:before="33"/>
        <w:ind w:left="1147"/>
        <w:rPr>
          <w:sz w:val="16"/>
          <w:lang w:val="de-DE"/>
        </w:rPr>
      </w:pPr>
      <w:r w:rsidRPr="00846956">
        <w:rPr>
          <w:color w:val="231F20"/>
          <w:w w:val="105"/>
          <w:sz w:val="16"/>
          <w:lang w:val="de-DE"/>
        </w:rPr>
        <w:t>Luxemburg, Rosa 67</w:t>
      </w:r>
      <w:r w:rsidRPr="00846956">
        <w:rPr>
          <w:i/>
          <w:color w:val="231F20"/>
          <w:w w:val="105"/>
          <w:sz w:val="16"/>
          <w:lang w:val="de-DE"/>
        </w:rPr>
        <w:t xml:space="preserve">, </w:t>
      </w:r>
      <w:r w:rsidRPr="00846956">
        <w:rPr>
          <w:color w:val="231F20"/>
          <w:w w:val="105"/>
          <w:sz w:val="16"/>
          <w:lang w:val="de-DE"/>
        </w:rPr>
        <w:t>216</w:t>
      </w:r>
      <w:r w:rsidRPr="00846956">
        <w:rPr>
          <w:i/>
          <w:color w:val="231F20"/>
          <w:w w:val="105"/>
          <w:sz w:val="16"/>
          <w:lang w:val="de-DE"/>
        </w:rPr>
        <w:t xml:space="preserve">, </w:t>
      </w:r>
      <w:r w:rsidRPr="00846956">
        <w:rPr>
          <w:color w:val="231F20"/>
          <w:w w:val="105"/>
          <w:sz w:val="16"/>
          <w:lang w:val="de-DE"/>
        </w:rPr>
        <w:t>221</w:t>
      </w:r>
    </w:p>
    <w:p w14:paraId="136F2550" w14:textId="77777777" w:rsidR="002653E8" w:rsidRPr="00846956" w:rsidRDefault="002653E8">
      <w:pPr>
        <w:pStyle w:val="a3"/>
        <w:rPr>
          <w:sz w:val="18"/>
          <w:lang w:val="de-DE"/>
        </w:rPr>
      </w:pPr>
    </w:p>
    <w:p w14:paraId="29F72C2E" w14:textId="77777777" w:rsidR="002653E8" w:rsidRPr="00846956" w:rsidRDefault="002653E8">
      <w:pPr>
        <w:pStyle w:val="a3"/>
        <w:rPr>
          <w:sz w:val="18"/>
          <w:lang w:val="de-DE"/>
        </w:rPr>
      </w:pPr>
    </w:p>
    <w:p w14:paraId="0A66AA72" w14:textId="77777777" w:rsidR="002653E8" w:rsidRPr="00846956" w:rsidRDefault="002653E8">
      <w:pPr>
        <w:pStyle w:val="a3"/>
        <w:rPr>
          <w:sz w:val="18"/>
          <w:lang w:val="de-DE"/>
        </w:rPr>
      </w:pPr>
    </w:p>
    <w:p w14:paraId="1FA580B4" w14:textId="77777777" w:rsidR="002653E8" w:rsidRPr="00846956" w:rsidRDefault="002653E8">
      <w:pPr>
        <w:pStyle w:val="a3"/>
        <w:spacing w:before="9"/>
        <w:rPr>
          <w:sz w:val="23"/>
          <w:lang w:val="de-DE"/>
        </w:rPr>
      </w:pPr>
    </w:p>
    <w:p w14:paraId="2B473017" w14:textId="77777777" w:rsidR="002653E8" w:rsidRDefault="003115E3">
      <w:pPr>
        <w:spacing w:before="1" w:line="280" w:lineRule="auto"/>
        <w:ind w:left="1347" w:hanging="200"/>
        <w:jc w:val="both"/>
        <w:rPr>
          <w:i/>
          <w:sz w:val="16"/>
        </w:rPr>
      </w:pPr>
      <w:r>
        <w:rPr>
          <w:color w:val="231F20"/>
          <w:spacing w:val="-3"/>
          <w:w w:val="105"/>
          <w:sz w:val="16"/>
        </w:rPr>
        <w:t xml:space="preserve">Mahler, </w:t>
      </w:r>
      <w:r>
        <w:rPr>
          <w:color w:val="231F20"/>
          <w:w w:val="105"/>
          <w:sz w:val="16"/>
        </w:rPr>
        <w:t>Horst 238</w:t>
      </w:r>
      <w:r>
        <w:rPr>
          <w:i/>
          <w:color w:val="231F20"/>
          <w:w w:val="105"/>
          <w:sz w:val="16"/>
        </w:rPr>
        <w:t xml:space="preserve">, </w:t>
      </w:r>
      <w:r>
        <w:rPr>
          <w:color w:val="231F20"/>
          <w:w w:val="105"/>
          <w:sz w:val="16"/>
        </w:rPr>
        <w:t>571</w:t>
      </w:r>
      <w:r>
        <w:rPr>
          <w:i/>
          <w:color w:val="231F20"/>
          <w:w w:val="105"/>
          <w:sz w:val="16"/>
        </w:rPr>
        <w:t xml:space="preserve">. See also Regarding the Armed Struggle in </w:t>
      </w:r>
      <w:r>
        <w:rPr>
          <w:i/>
          <w:color w:val="231F20"/>
          <w:spacing w:val="-3"/>
          <w:w w:val="105"/>
          <w:sz w:val="16"/>
        </w:rPr>
        <w:t>West</w:t>
      </w:r>
      <w:r>
        <w:rPr>
          <w:i/>
          <w:color w:val="231F20"/>
          <w:spacing w:val="-18"/>
          <w:w w:val="105"/>
          <w:sz w:val="16"/>
        </w:rPr>
        <w:t xml:space="preserve"> </w:t>
      </w:r>
      <w:r>
        <w:rPr>
          <w:i/>
          <w:color w:val="231F20"/>
          <w:w w:val="105"/>
          <w:sz w:val="16"/>
        </w:rPr>
        <w:t>Europe</w:t>
      </w:r>
      <w:r>
        <w:rPr>
          <w:color w:val="231F20"/>
          <w:w w:val="105"/>
          <w:sz w:val="16"/>
        </w:rPr>
        <w:t xml:space="preserve">; after the </w:t>
      </w:r>
      <w:r w:rsidR="00C507A5">
        <w:rPr>
          <w:color w:val="231F20"/>
          <w:w w:val="105"/>
          <w:sz w:val="16"/>
        </w:rPr>
        <w:t>red army faction</w:t>
      </w:r>
      <w:r>
        <w:rPr>
          <w:color w:val="231F20"/>
          <w:w w:val="105"/>
          <w:sz w:val="16"/>
        </w:rPr>
        <w:t xml:space="preserve"> 256</w:t>
      </w:r>
      <w:r>
        <w:rPr>
          <w:i/>
          <w:color w:val="231F20"/>
          <w:w w:val="105"/>
          <w:sz w:val="16"/>
        </w:rPr>
        <w:t xml:space="preserve">, </w:t>
      </w:r>
      <w:r>
        <w:rPr>
          <w:color w:val="231F20"/>
          <w:w w:val="105"/>
          <w:sz w:val="16"/>
        </w:rPr>
        <w:t>613; in APO</w:t>
      </w:r>
      <w:r>
        <w:rPr>
          <w:color w:val="231F20"/>
          <w:spacing w:val="10"/>
          <w:w w:val="105"/>
          <w:sz w:val="16"/>
        </w:rPr>
        <w:t xml:space="preserve"> </w:t>
      </w:r>
      <w:r>
        <w:rPr>
          <w:color w:val="231F20"/>
          <w:w w:val="105"/>
          <w:sz w:val="16"/>
        </w:rPr>
        <w:t>39</w:t>
      </w:r>
      <w:r>
        <w:rPr>
          <w:i/>
          <w:color w:val="231F20"/>
          <w:w w:val="105"/>
          <w:sz w:val="16"/>
        </w:rPr>
        <w:t>,</w:t>
      </w:r>
    </w:p>
    <w:p w14:paraId="650CACC2" w14:textId="77777777" w:rsidR="002653E8" w:rsidRDefault="003115E3">
      <w:pPr>
        <w:spacing w:before="1"/>
        <w:ind w:left="1347"/>
        <w:rPr>
          <w:sz w:val="16"/>
        </w:rPr>
      </w:pPr>
      <w:r>
        <w:rPr>
          <w:color w:val="231F20"/>
          <w:w w:val="110"/>
          <w:sz w:val="16"/>
        </w:rPr>
        <w:t>55</w:t>
      </w:r>
      <w:r>
        <w:rPr>
          <w:i/>
          <w:color w:val="231F20"/>
          <w:w w:val="110"/>
          <w:sz w:val="16"/>
        </w:rPr>
        <w:t>,</w:t>
      </w:r>
      <w:r>
        <w:rPr>
          <w:i/>
          <w:color w:val="231F20"/>
          <w:spacing w:val="-23"/>
          <w:w w:val="110"/>
          <w:sz w:val="16"/>
        </w:rPr>
        <w:t xml:space="preserve"> </w:t>
      </w:r>
      <w:r>
        <w:rPr>
          <w:color w:val="231F20"/>
          <w:w w:val="110"/>
          <w:sz w:val="16"/>
        </w:rPr>
        <w:t>115</w:t>
      </w:r>
      <w:r>
        <w:rPr>
          <w:i/>
          <w:color w:val="231F20"/>
          <w:w w:val="110"/>
          <w:sz w:val="16"/>
        </w:rPr>
        <w:t>,</w:t>
      </w:r>
      <w:r>
        <w:rPr>
          <w:i/>
          <w:color w:val="231F20"/>
          <w:spacing w:val="-23"/>
          <w:w w:val="110"/>
          <w:sz w:val="16"/>
        </w:rPr>
        <w:t xml:space="preserve"> </w:t>
      </w:r>
      <w:r>
        <w:rPr>
          <w:color w:val="231F20"/>
          <w:w w:val="110"/>
          <w:sz w:val="16"/>
        </w:rPr>
        <w:t>246</w:t>
      </w:r>
      <w:r>
        <w:rPr>
          <w:i/>
          <w:color w:val="231F20"/>
          <w:w w:val="110"/>
          <w:sz w:val="16"/>
        </w:rPr>
        <w:t>,</w:t>
      </w:r>
      <w:r>
        <w:rPr>
          <w:i/>
          <w:color w:val="231F20"/>
          <w:spacing w:val="-23"/>
          <w:w w:val="110"/>
          <w:sz w:val="16"/>
        </w:rPr>
        <w:t xml:space="preserve"> </w:t>
      </w:r>
      <w:r>
        <w:rPr>
          <w:color w:val="231F20"/>
          <w:w w:val="110"/>
          <w:sz w:val="16"/>
        </w:rPr>
        <w:t>580</w:t>
      </w:r>
      <w:r>
        <w:rPr>
          <w:i/>
          <w:color w:val="231F20"/>
          <w:w w:val="110"/>
          <w:sz w:val="16"/>
        </w:rPr>
        <w:t>,</w:t>
      </w:r>
      <w:r>
        <w:rPr>
          <w:i/>
          <w:color w:val="231F20"/>
          <w:spacing w:val="-23"/>
          <w:w w:val="110"/>
          <w:sz w:val="16"/>
        </w:rPr>
        <w:t xml:space="preserve"> </w:t>
      </w:r>
      <w:r>
        <w:rPr>
          <w:color w:val="231F20"/>
          <w:w w:val="110"/>
          <w:sz w:val="16"/>
        </w:rPr>
        <w:t>583;</w:t>
      </w:r>
      <w:r>
        <w:rPr>
          <w:color w:val="231F20"/>
          <w:spacing w:val="-20"/>
          <w:w w:val="110"/>
          <w:sz w:val="16"/>
        </w:rPr>
        <w:t xml:space="preserve"> </w:t>
      </w:r>
      <w:r>
        <w:rPr>
          <w:color w:val="231F20"/>
          <w:w w:val="110"/>
          <w:sz w:val="16"/>
        </w:rPr>
        <w:t>on</w:t>
      </w:r>
      <w:r>
        <w:rPr>
          <w:color w:val="231F20"/>
          <w:spacing w:val="-20"/>
          <w:w w:val="110"/>
          <w:sz w:val="16"/>
        </w:rPr>
        <w:t xml:space="preserve"> </w:t>
      </w:r>
      <w:r>
        <w:rPr>
          <w:color w:val="231F20"/>
          <w:w w:val="110"/>
          <w:sz w:val="16"/>
        </w:rPr>
        <w:t>Black</w:t>
      </w:r>
      <w:r>
        <w:rPr>
          <w:color w:val="231F20"/>
          <w:spacing w:val="-20"/>
          <w:w w:val="110"/>
          <w:sz w:val="16"/>
        </w:rPr>
        <w:t xml:space="preserve"> </w:t>
      </w:r>
      <w:r>
        <w:rPr>
          <w:color w:val="231F20"/>
          <w:w w:val="110"/>
          <w:sz w:val="16"/>
        </w:rPr>
        <w:t>Sep-</w:t>
      </w:r>
    </w:p>
    <w:p w14:paraId="324C767A" w14:textId="77777777" w:rsidR="002653E8" w:rsidRDefault="003115E3">
      <w:pPr>
        <w:spacing w:before="33"/>
        <w:ind w:left="1347"/>
        <w:rPr>
          <w:sz w:val="16"/>
        </w:rPr>
      </w:pPr>
      <w:r>
        <w:rPr>
          <w:color w:val="231F20"/>
          <w:w w:val="105"/>
          <w:sz w:val="16"/>
        </w:rPr>
        <w:t>tember 187–188</w:t>
      </w:r>
      <w:r>
        <w:rPr>
          <w:i/>
          <w:color w:val="231F20"/>
          <w:w w:val="105"/>
          <w:sz w:val="16"/>
        </w:rPr>
        <w:t xml:space="preserve">, </w:t>
      </w:r>
      <w:r>
        <w:rPr>
          <w:color w:val="231F20"/>
          <w:w w:val="105"/>
          <w:sz w:val="16"/>
        </w:rPr>
        <w:t>196</w:t>
      </w:r>
      <w:r>
        <w:rPr>
          <w:i/>
          <w:color w:val="231F20"/>
          <w:w w:val="105"/>
          <w:sz w:val="16"/>
        </w:rPr>
        <w:t xml:space="preserve">, </w:t>
      </w:r>
      <w:r>
        <w:rPr>
          <w:color w:val="231F20"/>
          <w:w w:val="105"/>
          <w:sz w:val="16"/>
        </w:rPr>
        <w:t>214; captured</w:t>
      </w:r>
    </w:p>
    <w:p w14:paraId="3A6A04A8" w14:textId="77777777" w:rsidR="002653E8" w:rsidRDefault="003115E3">
      <w:pPr>
        <w:spacing w:before="32" w:line="280" w:lineRule="auto"/>
        <w:ind w:left="1347"/>
        <w:rPr>
          <w:sz w:val="16"/>
        </w:rPr>
      </w:pPr>
      <w:r>
        <w:rPr>
          <w:color w:val="231F20"/>
          <w:sz w:val="16"/>
        </w:rPr>
        <w:t>(1970) 59</w:t>
      </w:r>
      <w:r>
        <w:rPr>
          <w:i/>
          <w:color w:val="231F20"/>
          <w:sz w:val="16"/>
        </w:rPr>
        <w:t xml:space="preserve">, </w:t>
      </w:r>
      <w:r>
        <w:rPr>
          <w:color w:val="231F20"/>
          <w:sz w:val="16"/>
        </w:rPr>
        <w:t>585; Frankfurt department store trial 49; and KPD (Maoist)</w:t>
      </w:r>
    </w:p>
    <w:p w14:paraId="10416ECF" w14:textId="77777777" w:rsidR="002653E8" w:rsidRDefault="003115E3">
      <w:pPr>
        <w:spacing w:before="1"/>
        <w:ind w:left="1347"/>
        <w:rPr>
          <w:sz w:val="16"/>
        </w:rPr>
      </w:pPr>
      <w:r>
        <w:rPr>
          <w:color w:val="231F20"/>
          <w:sz w:val="16"/>
        </w:rPr>
        <w:t>255</w:t>
      </w:r>
      <w:r>
        <w:rPr>
          <w:i/>
          <w:color w:val="231F20"/>
          <w:sz w:val="16"/>
        </w:rPr>
        <w:t xml:space="preserve">, </w:t>
      </w:r>
      <w:r>
        <w:rPr>
          <w:color w:val="231F20"/>
          <w:sz w:val="16"/>
        </w:rPr>
        <w:t xml:space="preserve">328; KPD 256; leaving the </w:t>
      </w:r>
      <w:r w:rsidR="00C507A5">
        <w:rPr>
          <w:color w:val="231F20"/>
          <w:sz w:val="16"/>
        </w:rPr>
        <w:t>red army faction</w:t>
      </w:r>
    </w:p>
    <w:p w14:paraId="3944C381" w14:textId="77777777" w:rsidR="002653E8" w:rsidRDefault="003115E3">
      <w:pPr>
        <w:spacing w:before="32"/>
        <w:ind w:left="1347"/>
        <w:rPr>
          <w:sz w:val="16"/>
        </w:rPr>
      </w:pPr>
      <w:r>
        <w:rPr>
          <w:color w:val="231F20"/>
          <w:w w:val="105"/>
          <w:sz w:val="16"/>
        </w:rPr>
        <w:t>254–257</w:t>
      </w:r>
      <w:r>
        <w:rPr>
          <w:i/>
          <w:color w:val="231F20"/>
          <w:w w:val="105"/>
          <w:sz w:val="16"/>
        </w:rPr>
        <w:t xml:space="preserve">, </w:t>
      </w:r>
      <w:r>
        <w:rPr>
          <w:color w:val="231F20"/>
          <w:w w:val="105"/>
          <w:sz w:val="16"/>
        </w:rPr>
        <w:t>288–291</w:t>
      </w:r>
      <w:r>
        <w:rPr>
          <w:i/>
          <w:color w:val="231F20"/>
          <w:w w:val="105"/>
          <w:sz w:val="16"/>
        </w:rPr>
        <w:t xml:space="preserve">, </w:t>
      </w:r>
      <w:r>
        <w:rPr>
          <w:color w:val="231F20"/>
          <w:w w:val="105"/>
          <w:sz w:val="16"/>
        </w:rPr>
        <w:t>594; Lorenz kid-</w:t>
      </w:r>
    </w:p>
    <w:p w14:paraId="1E0D1092" w14:textId="77777777" w:rsidR="002653E8" w:rsidRDefault="003115E3">
      <w:pPr>
        <w:spacing w:before="33"/>
        <w:ind w:left="1347"/>
        <w:rPr>
          <w:sz w:val="16"/>
        </w:rPr>
      </w:pPr>
      <w:r>
        <w:rPr>
          <w:color w:val="231F20"/>
          <w:sz w:val="16"/>
        </w:rPr>
        <w:t>napping 328</w:t>
      </w:r>
      <w:r>
        <w:rPr>
          <w:i/>
          <w:color w:val="231F20"/>
          <w:sz w:val="16"/>
        </w:rPr>
        <w:t xml:space="preserve">, </w:t>
      </w:r>
      <w:r>
        <w:rPr>
          <w:color w:val="231F20"/>
          <w:sz w:val="16"/>
        </w:rPr>
        <w:t xml:space="preserve">596; mentioned by </w:t>
      </w:r>
      <w:r w:rsidR="00C507A5">
        <w:rPr>
          <w:color w:val="231F20"/>
          <w:sz w:val="16"/>
        </w:rPr>
        <w:t>red army faction</w:t>
      </w:r>
    </w:p>
    <w:p w14:paraId="7641694F" w14:textId="77777777" w:rsidR="002653E8" w:rsidRDefault="003115E3">
      <w:pPr>
        <w:spacing w:before="32"/>
        <w:ind w:left="1347"/>
        <w:rPr>
          <w:sz w:val="16"/>
        </w:rPr>
      </w:pPr>
      <w:r>
        <w:rPr>
          <w:color w:val="231F20"/>
          <w:w w:val="105"/>
          <w:sz w:val="16"/>
        </w:rPr>
        <w:t>149</w:t>
      </w:r>
      <w:r>
        <w:rPr>
          <w:i/>
          <w:color w:val="231F20"/>
          <w:w w:val="105"/>
          <w:sz w:val="16"/>
        </w:rPr>
        <w:t xml:space="preserve">, </w:t>
      </w:r>
      <w:r>
        <w:rPr>
          <w:color w:val="231F20"/>
          <w:w w:val="105"/>
          <w:sz w:val="16"/>
        </w:rPr>
        <w:t>154; postcard from Jordan 57;</w:t>
      </w:r>
    </w:p>
    <w:p w14:paraId="4671E559" w14:textId="77777777" w:rsidR="002653E8" w:rsidRDefault="003115E3">
      <w:pPr>
        <w:spacing w:before="33"/>
        <w:ind w:left="1347"/>
        <w:rPr>
          <w:i/>
          <w:sz w:val="16"/>
        </w:rPr>
      </w:pPr>
      <w:r>
        <w:rPr>
          <w:color w:val="231F20"/>
          <w:w w:val="105"/>
          <w:sz w:val="16"/>
        </w:rPr>
        <w:t xml:space="preserve">and </w:t>
      </w:r>
      <w:r w:rsidR="00C507A5">
        <w:rPr>
          <w:color w:val="231F20"/>
          <w:w w:val="105"/>
          <w:sz w:val="16"/>
        </w:rPr>
        <w:t>red army faction</w:t>
      </w:r>
      <w:r>
        <w:rPr>
          <w:color w:val="231F20"/>
          <w:w w:val="105"/>
          <w:sz w:val="16"/>
        </w:rPr>
        <w:t xml:space="preserve">  50</w:t>
      </w:r>
      <w:r>
        <w:rPr>
          <w:i/>
          <w:color w:val="231F20"/>
          <w:w w:val="105"/>
          <w:sz w:val="16"/>
        </w:rPr>
        <w:t xml:space="preserve">, </w:t>
      </w:r>
      <w:r>
        <w:rPr>
          <w:color w:val="231F20"/>
          <w:w w:val="105"/>
          <w:sz w:val="16"/>
        </w:rPr>
        <w:t>54</w:t>
      </w:r>
      <w:r>
        <w:rPr>
          <w:i/>
          <w:color w:val="231F20"/>
          <w:w w:val="105"/>
          <w:sz w:val="16"/>
        </w:rPr>
        <w:t xml:space="preserve">, </w:t>
      </w:r>
      <w:r>
        <w:rPr>
          <w:color w:val="231F20"/>
          <w:w w:val="105"/>
          <w:sz w:val="16"/>
        </w:rPr>
        <w:t>161; trials  60–62</w:t>
      </w:r>
      <w:r>
        <w:rPr>
          <w:i/>
          <w:color w:val="231F20"/>
          <w:w w:val="105"/>
          <w:sz w:val="16"/>
        </w:rPr>
        <w:t>,</w:t>
      </w:r>
    </w:p>
    <w:p w14:paraId="1A7865AB" w14:textId="77777777" w:rsidR="002653E8" w:rsidRDefault="003115E3">
      <w:pPr>
        <w:spacing w:before="32"/>
        <w:ind w:left="1347"/>
        <w:rPr>
          <w:i/>
          <w:sz w:val="16"/>
        </w:rPr>
      </w:pPr>
      <w:r>
        <w:rPr>
          <w:color w:val="231F20"/>
          <w:w w:val="110"/>
          <w:sz w:val="16"/>
        </w:rPr>
        <w:t>64</w:t>
      </w:r>
      <w:r>
        <w:rPr>
          <w:i/>
          <w:color w:val="231F20"/>
          <w:w w:val="110"/>
          <w:sz w:val="16"/>
        </w:rPr>
        <w:t>,</w:t>
      </w:r>
      <w:r>
        <w:rPr>
          <w:i/>
          <w:color w:val="231F20"/>
          <w:spacing w:val="-19"/>
          <w:w w:val="110"/>
          <w:sz w:val="16"/>
        </w:rPr>
        <w:t xml:space="preserve"> </w:t>
      </w:r>
      <w:r>
        <w:rPr>
          <w:color w:val="231F20"/>
          <w:w w:val="110"/>
          <w:sz w:val="16"/>
        </w:rPr>
        <w:t>113</w:t>
      </w:r>
      <w:r>
        <w:rPr>
          <w:i/>
          <w:color w:val="231F20"/>
          <w:w w:val="110"/>
          <w:sz w:val="16"/>
        </w:rPr>
        <w:t>,</w:t>
      </w:r>
      <w:r>
        <w:rPr>
          <w:i/>
          <w:color w:val="231F20"/>
          <w:spacing w:val="-19"/>
          <w:w w:val="110"/>
          <w:sz w:val="16"/>
        </w:rPr>
        <w:t xml:space="preserve"> </w:t>
      </w:r>
      <w:r>
        <w:rPr>
          <w:color w:val="231F20"/>
          <w:w w:val="110"/>
          <w:sz w:val="16"/>
        </w:rPr>
        <w:t>187–188</w:t>
      </w:r>
      <w:r>
        <w:rPr>
          <w:i/>
          <w:color w:val="231F20"/>
          <w:w w:val="110"/>
          <w:sz w:val="16"/>
        </w:rPr>
        <w:t>,</w:t>
      </w:r>
      <w:r>
        <w:rPr>
          <w:i/>
          <w:color w:val="231F20"/>
          <w:spacing w:val="-19"/>
          <w:w w:val="110"/>
          <w:sz w:val="16"/>
        </w:rPr>
        <w:t xml:space="preserve"> </w:t>
      </w:r>
      <w:r>
        <w:rPr>
          <w:color w:val="231F20"/>
          <w:w w:val="110"/>
          <w:sz w:val="16"/>
        </w:rPr>
        <w:t>586</w:t>
      </w:r>
      <w:r>
        <w:rPr>
          <w:i/>
          <w:color w:val="231F20"/>
          <w:w w:val="110"/>
          <w:sz w:val="16"/>
        </w:rPr>
        <w:t>,</w:t>
      </w:r>
      <w:r>
        <w:rPr>
          <w:i/>
          <w:color w:val="231F20"/>
          <w:spacing w:val="-19"/>
          <w:w w:val="110"/>
          <w:sz w:val="16"/>
        </w:rPr>
        <w:t xml:space="preserve"> </w:t>
      </w:r>
      <w:r>
        <w:rPr>
          <w:color w:val="231F20"/>
          <w:w w:val="110"/>
          <w:sz w:val="16"/>
        </w:rPr>
        <w:t>589</w:t>
      </w:r>
      <w:r>
        <w:rPr>
          <w:i/>
          <w:color w:val="231F20"/>
          <w:w w:val="110"/>
          <w:sz w:val="16"/>
        </w:rPr>
        <w:t>,</w:t>
      </w:r>
      <w:r>
        <w:rPr>
          <w:i/>
          <w:color w:val="231F20"/>
          <w:spacing w:val="-19"/>
          <w:w w:val="110"/>
          <w:sz w:val="16"/>
        </w:rPr>
        <w:t xml:space="preserve"> </w:t>
      </w:r>
      <w:r>
        <w:rPr>
          <w:color w:val="231F20"/>
          <w:w w:val="110"/>
          <w:sz w:val="16"/>
        </w:rPr>
        <w:t>592</w:t>
      </w:r>
      <w:r>
        <w:rPr>
          <w:i/>
          <w:color w:val="231F20"/>
          <w:w w:val="110"/>
          <w:sz w:val="16"/>
        </w:rPr>
        <w:t>,</w:t>
      </w:r>
      <w:r>
        <w:rPr>
          <w:i/>
          <w:color w:val="231F20"/>
          <w:spacing w:val="-19"/>
          <w:w w:val="110"/>
          <w:sz w:val="16"/>
        </w:rPr>
        <w:t xml:space="preserve"> </w:t>
      </w:r>
      <w:r>
        <w:rPr>
          <w:color w:val="231F20"/>
          <w:w w:val="110"/>
          <w:sz w:val="16"/>
        </w:rPr>
        <w:t>594</w:t>
      </w:r>
      <w:r>
        <w:rPr>
          <w:i/>
          <w:color w:val="231F20"/>
          <w:w w:val="110"/>
          <w:sz w:val="16"/>
        </w:rPr>
        <w:t>,</w:t>
      </w:r>
    </w:p>
    <w:p w14:paraId="17E11EE6" w14:textId="77777777" w:rsidR="002653E8" w:rsidRDefault="003115E3">
      <w:pPr>
        <w:spacing w:before="33"/>
        <w:ind w:left="1347"/>
        <w:rPr>
          <w:sz w:val="16"/>
        </w:rPr>
      </w:pPr>
      <w:r>
        <w:rPr>
          <w:color w:val="231F20"/>
          <w:sz w:val="16"/>
        </w:rPr>
        <w:t>595</w:t>
      </w:r>
    </w:p>
    <w:p w14:paraId="326B25DD" w14:textId="77777777" w:rsidR="002653E8" w:rsidRDefault="003115E3">
      <w:pPr>
        <w:spacing w:before="32"/>
        <w:ind w:left="1147"/>
        <w:rPr>
          <w:sz w:val="16"/>
        </w:rPr>
      </w:pPr>
      <w:r>
        <w:rPr>
          <w:color w:val="231F20"/>
          <w:w w:val="105"/>
          <w:sz w:val="16"/>
        </w:rPr>
        <w:t>Maier-Witt, Silke 526</w:t>
      </w:r>
      <w:r>
        <w:rPr>
          <w:i/>
          <w:color w:val="231F20"/>
          <w:w w:val="105"/>
          <w:sz w:val="16"/>
        </w:rPr>
        <w:t xml:space="preserve">, </w:t>
      </w:r>
      <w:r>
        <w:rPr>
          <w:color w:val="231F20"/>
          <w:w w:val="105"/>
          <w:sz w:val="16"/>
        </w:rPr>
        <w:t>571</w:t>
      </w:r>
      <w:r>
        <w:rPr>
          <w:i/>
          <w:color w:val="231F20"/>
          <w:w w:val="105"/>
          <w:sz w:val="16"/>
        </w:rPr>
        <w:t xml:space="preserve">, </w:t>
      </w:r>
      <w:r>
        <w:rPr>
          <w:color w:val="231F20"/>
          <w:w w:val="105"/>
          <w:sz w:val="16"/>
        </w:rPr>
        <w:t>612; arrested</w:t>
      </w:r>
    </w:p>
    <w:p w14:paraId="53984DA0" w14:textId="77777777" w:rsidR="002653E8" w:rsidRDefault="003115E3">
      <w:pPr>
        <w:spacing w:before="32"/>
        <w:ind w:left="1347"/>
        <w:rPr>
          <w:sz w:val="16"/>
        </w:rPr>
      </w:pPr>
      <w:r>
        <w:rPr>
          <w:color w:val="231F20"/>
          <w:w w:val="105"/>
          <w:sz w:val="16"/>
        </w:rPr>
        <w:t>(1990) 620; in the GDR 614; Ham-</w:t>
      </w:r>
    </w:p>
    <w:p w14:paraId="14E6D1C3" w14:textId="77777777" w:rsidR="002653E8" w:rsidRDefault="003115E3">
      <w:pPr>
        <w:spacing w:before="33" w:line="280" w:lineRule="auto"/>
        <w:ind w:left="1347"/>
        <w:rPr>
          <w:sz w:val="16"/>
        </w:rPr>
      </w:pPr>
      <w:r>
        <w:rPr>
          <w:color w:val="231F20"/>
          <w:sz w:val="16"/>
        </w:rPr>
        <w:t>burg squats 435; Ponto assassination 474</w:t>
      </w:r>
      <w:r>
        <w:rPr>
          <w:i/>
          <w:color w:val="231F20"/>
          <w:sz w:val="16"/>
        </w:rPr>
        <w:t xml:space="preserve">, </w:t>
      </w:r>
      <w:r>
        <w:rPr>
          <w:color w:val="231F20"/>
          <w:sz w:val="16"/>
        </w:rPr>
        <w:t>606; trial (1991) 621</w:t>
      </w:r>
    </w:p>
    <w:p w14:paraId="7609E91F" w14:textId="77777777" w:rsidR="002653E8" w:rsidRDefault="003115E3">
      <w:pPr>
        <w:spacing w:before="1" w:line="280" w:lineRule="auto"/>
        <w:ind w:left="1347" w:hanging="200"/>
        <w:rPr>
          <w:sz w:val="16"/>
        </w:rPr>
      </w:pPr>
      <w:r>
        <w:rPr>
          <w:color w:val="231F20"/>
          <w:w w:val="105"/>
          <w:sz w:val="16"/>
        </w:rPr>
        <w:t>Maihofer, Werner 266</w:t>
      </w:r>
      <w:r>
        <w:rPr>
          <w:i/>
          <w:color w:val="231F20"/>
          <w:w w:val="105"/>
          <w:sz w:val="16"/>
        </w:rPr>
        <w:t xml:space="preserve">, </w:t>
      </w:r>
      <w:r>
        <w:rPr>
          <w:color w:val="231F20"/>
          <w:w w:val="105"/>
          <w:sz w:val="16"/>
        </w:rPr>
        <w:t>474</w:t>
      </w:r>
      <w:r>
        <w:rPr>
          <w:i/>
          <w:color w:val="231F20"/>
          <w:w w:val="105"/>
          <w:sz w:val="16"/>
        </w:rPr>
        <w:t xml:space="preserve">, </w:t>
      </w:r>
      <w:r>
        <w:rPr>
          <w:color w:val="231F20"/>
          <w:w w:val="105"/>
          <w:sz w:val="16"/>
        </w:rPr>
        <w:t>571</w:t>
      </w:r>
      <w:r>
        <w:rPr>
          <w:i/>
          <w:color w:val="231F20"/>
          <w:w w:val="105"/>
          <w:sz w:val="16"/>
        </w:rPr>
        <w:t xml:space="preserve">, </w:t>
      </w:r>
      <w:r>
        <w:rPr>
          <w:color w:val="231F20"/>
          <w:w w:val="105"/>
          <w:sz w:val="16"/>
        </w:rPr>
        <w:t xml:space="preserve">598; mentioned by </w:t>
      </w:r>
      <w:r w:rsidR="00C507A5">
        <w:rPr>
          <w:color w:val="231F20"/>
          <w:w w:val="105"/>
          <w:sz w:val="16"/>
        </w:rPr>
        <w:t>red army faction</w:t>
      </w:r>
      <w:r>
        <w:rPr>
          <w:color w:val="231F20"/>
          <w:w w:val="105"/>
          <w:sz w:val="16"/>
        </w:rPr>
        <w:t xml:space="preserve"> 468</w:t>
      </w:r>
    </w:p>
    <w:p w14:paraId="75414ECF" w14:textId="77777777" w:rsidR="002653E8" w:rsidRDefault="003115E3">
      <w:pPr>
        <w:spacing w:before="1" w:line="280" w:lineRule="auto"/>
        <w:ind w:left="1147"/>
        <w:rPr>
          <w:sz w:val="16"/>
        </w:rPr>
      </w:pPr>
      <w:r>
        <w:rPr>
          <w:i/>
          <w:color w:val="231F20"/>
          <w:w w:val="105"/>
          <w:sz w:val="16"/>
        </w:rPr>
        <w:t xml:space="preserve">Mainzer Baader Meinhof Report </w:t>
      </w:r>
      <w:r>
        <w:rPr>
          <w:color w:val="231F20"/>
          <w:w w:val="105"/>
          <w:sz w:val="16"/>
        </w:rPr>
        <w:t>232 Major, Patrick 17</w:t>
      </w:r>
    </w:p>
    <w:p w14:paraId="65794179" w14:textId="77777777" w:rsidR="002653E8" w:rsidRDefault="003115E3">
      <w:pPr>
        <w:spacing w:before="1"/>
        <w:ind w:left="1147"/>
        <w:rPr>
          <w:sz w:val="16"/>
        </w:rPr>
      </w:pPr>
      <w:r>
        <w:rPr>
          <w:color w:val="231F20"/>
          <w:sz w:val="16"/>
        </w:rPr>
        <w:t>Mäker,  Peter  588</w:t>
      </w:r>
    </w:p>
    <w:p w14:paraId="77D1BCE9" w14:textId="77777777" w:rsidR="002653E8" w:rsidRDefault="003115E3">
      <w:pPr>
        <w:spacing w:before="32"/>
        <w:ind w:left="1147"/>
        <w:rPr>
          <w:sz w:val="16"/>
        </w:rPr>
      </w:pPr>
      <w:r>
        <w:rPr>
          <w:color w:val="231F20"/>
          <w:w w:val="105"/>
          <w:sz w:val="16"/>
        </w:rPr>
        <w:t>Makhno, Nestor 227</w:t>
      </w:r>
    </w:p>
    <w:p w14:paraId="44491D72" w14:textId="77777777" w:rsidR="002653E8" w:rsidRDefault="003115E3">
      <w:pPr>
        <w:spacing w:before="33"/>
        <w:ind w:left="1147"/>
        <w:rPr>
          <w:sz w:val="16"/>
        </w:rPr>
      </w:pPr>
      <w:r>
        <w:rPr>
          <w:color w:val="231F20"/>
          <w:w w:val="105"/>
          <w:sz w:val="16"/>
        </w:rPr>
        <w:t>Mandel, Ernest 117</w:t>
      </w:r>
      <w:r>
        <w:rPr>
          <w:i/>
          <w:color w:val="231F20"/>
          <w:w w:val="105"/>
          <w:sz w:val="16"/>
        </w:rPr>
        <w:t xml:space="preserve">, </w:t>
      </w:r>
      <w:r>
        <w:rPr>
          <w:color w:val="231F20"/>
          <w:w w:val="105"/>
          <w:sz w:val="16"/>
        </w:rPr>
        <w:t>155</w:t>
      </w:r>
    </w:p>
    <w:p w14:paraId="43FB8058" w14:textId="77777777" w:rsidR="002653E8" w:rsidRDefault="003115E3">
      <w:pPr>
        <w:spacing w:before="32"/>
        <w:ind w:left="1147"/>
        <w:rPr>
          <w:sz w:val="16"/>
        </w:rPr>
      </w:pPr>
      <w:r>
        <w:rPr>
          <w:color w:val="231F20"/>
          <w:w w:val="110"/>
          <w:sz w:val="16"/>
        </w:rPr>
        <w:t>Mao tse Tung 83</w:t>
      </w:r>
      <w:r>
        <w:rPr>
          <w:i/>
          <w:color w:val="231F20"/>
          <w:w w:val="110"/>
          <w:sz w:val="16"/>
        </w:rPr>
        <w:t xml:space="preserve">, </w:t>
      </w:r>
      <w:r>
        <w:rPr>
          <w:color w:val="231F20"/>
          <w:w w:val="110"/>
          <w:sz w:val="16"/>
        </w:rPr>
        <w:t>122</w:t>
      </w:r>
      <w:r>
        <w:rPr>
          <w:i/>
          <w:color w:val="231F20"/>
          <w:w w:val="110"/>
          <w:sz w:val="16"/>
        </w:rPr>
        <w:t xml:space="preserve">, </w:t>
      </w:r>
      <w:r>
        <w:rPr>
          <w:color w:val="231F20"/>
          <w:w w:val="110"/>
          <w:sz w:val="16"/>
        </w:rPr>
        <w:t>153</w:t>
      </w:r>
      <w:r>
        <w:rPr>
          <w:i/>
          <w:color w:val="231F20"/>
          <w:w w:val="110"/>
          <w:sz w:val="16"/>
        </w:rPr>
        <w:t xml:space="preserve">, </w:t>
      </w:r>
      <w:r>
        <w:rPr>
          <w:color w:val="231F20"/>
          <w:w w:val="110"/>
          <w:sz w:val="16"/>
        </w:rPr>
        <w:t>178</w:t>
      </w:r>
      <w:r>
        <w:rPr>
          <w:i/>
          <w:color w:val="231F20"/>
          <w:w w:val="110"/>
          <w:sz w:val="16"/>
        </w:rPr>
        <w:t xml:space="preserve">, </w:t>
      </w:r>
      <w:r>
        <w:rPr>
          <w:color w:val="231F20"/>
          <w:w w:val="110"/>
          <w:sz w:val="16"/>
        </w:rPr>
        <w:t>218;</w:t>
      </w:r>
    </w:p>
    <w:p w14:paraId="22779952" w14:textId="77777777" w:rsidR="002653E8" w:rsidRDefault="003115E3">
      <w:pPr>
        <w:spacing w:before="33" w:line="280" w:lineRule="auto"/>
        <w:ind w:left="1347" w:right="32"/>
        <w:rPr>
          <w:i/>
          <w:sz w:val="16"/>
        </w:rPr>
      </w:pPr>
      <w:r>
        <w:rPr>
          <w:i/>
          <w:color w:val="231F20"/>
          <w:sz w:val="16"/>
        </w:rPr>
        <w:t xml:space="preserve">Analysis of the Classes  in  Chinese Society </w:t>
      </w:r>
      <w:r>
        <w:rPr>
          <w:color w:val="231F20"/>
          <w:sz w:val="16"/>
        </w:rPr>
        <w:t xml:space="preserve">94; on contradictions 159; mentioned by Baumann 45; mentioned by </w:t>
      </w:r>
      <w:r w:rsidR="00C507A5">
        <w:rPr>
          <w:color w:val="231F20"/>
          <w:sz w:val="16"/>
        </w:rPr>
        <w:t>red army faction</w:t>
      </w:r>
      <w:r>
        <w:rPr>
          <w:color w:val="231F20"/>
          <w:sz w:val="16"/>
        </w:rPr>
        <w:t xml:space="preserve"> 297</w:t>
      </w:r>
      <w:r>
        <w:rPr>
          <w:i/>
          <w:color w:val="231F20"/>
          <w:sz w:val="16"/>
        </w:rPr>
        <w:t xml:space="preserve">, </w:t>
      </w:r>
      <w:r>
        <w:rPr>
          <w:color w:val="231F20"/>
          <w:sz w:val="16"/>
        </w:rPr>
        <w:t xml:space="preserve">316; </w:t>
      </w:r>
      <w:r>
        <w:rPr>
          <w:i/>
          <w:color w:val="231F20"/>
          <w:sz w:val="16"/>
        </w:rPr>
        <w:t xml:space="preserve">On Practice </w:t>
      </w:r>
      <w:r>
        <w:rPr>
          <w:color w:val="231F20"/>
          <w:sz w:val="16"/>
        </w:rPr>
        <w:t xml:space="preserve">92; </w:t>
      </w:r>
      <w:r>
        <w:rPr>
          <w:i/>
          <w:color w:val="231F20"/>
          <w:sz w:val="16"/>
        </w:rPr>
        <w:t>Quotations from Chairman</w:t>
      </w:r>
      <w:r>
        <w:rPr>
          <w:i/>
          <w:color w:val="231F20"/>
          <w:spacing w:val="-13"/>
          <w:sz w:val="16"/>
        </w:rPr>
        <w:t xml:space="preserve"> </w:t>
      </w:r>
      <w:r>
        <w:rPr>
          <w:i/>
          <w:color w:val="231F20"/>
          <w:sz w:val="16"/>
        </w:rPr>
        <w:t>Mao</w:t>
      </w:r>
    </w:p>
    <w:p w14:paraId="6141A119" w14:textId="77777777" w:rsidR="002653E8" w:rsidRDefault="003115E3">
      <w:pPr>
        <w:spacing w:before="2"/>
        <w:ind w:left="1347"/>
        <w:rPr>
          <w:sz w:val="16"/>
        </w:rPr>
      </w:pPr>
      <w:r>
        <w:rPr>
          <w:i/>
          <w:color w:val="231F20"/>
          <w:sz w:val="16"/>
        </w:rPr>
        <w:t xml:space="preserve">Tse Tung </w:t>
      </w:r>
      <w:r>
        <w:rPr>
          <w:color w:val="231F20"/>
          <w:sz w:val="16"/>
        </w:rPr>
        <w:t>96; “the stones they have</w:t>
      </w:r>
    </w:p>
    <w:p w14:paraId="2DCE32C5" w14:textId="77777777" w:rsidR="002653E8" w:rsidRDefault="003115E3">
      <w:pPr>
        <w:spacing w:before="86"/>
        <w:ind w:left="446"/>
        <w:rPr>
          <w:sz w:val="16"/>
        </w:rPr>
      </w:pPr>
      <w:r>
        <w:br w:type="column"/>
      </w:r>
      <w:r>
        <w:rPr>
          <w:color w:val="231F20"/>
          <w:w w:val="110"/>
          <w:sz w:val="16"/>
        </w:rPr>
        <w:lastRenderedPageBreak/>
        <w:t>thrown...” 121</w:t>
      </w:r>
      <w:r>
        <w:rPr>
          <w:i/>
          <w:color w:val="231F20"/>
          <w:w w:val="110"/>
          <w:sz w:val="16"/>
        </w:rPr>
        <w:t xml:space="preserve">, </w:t>
      </w:r>
      <w:r>
        <w:rPr>
          <w:color w:val="231F20"/>
          <w:w w:val="110"/>
          <w:sz w:val="16"/>
        </w:rPr>
        <w:t>205</w:t>
      </w:r>
      <w:r>
        <w:rPr>
          <w:i/>
          <w:color w:val="231F20"/>
          <w:w w:val="110"/>
          <w:sz w:val="16"/>
        </w:rPr>
        <w:t xml:space="preserve">, </w:t>
      </w:r>
      <w:r>
        <w:rPr>
          <w:color w:val="231F20"/>
          <w:w w:val="110"/>
          <w:sz w:val="16"/>
        </w:rPr>
        <w:t>236</w:t>
      </w:r>
      <w:r>
        <w:rPr>
          <w:i/>
          <w:color w:val="231F20"/>
          <w:w w:val="110"/>
          <w:sz w:val="16"/>
        </w:rPr>
        <w:t xml:space="preserve">, </w:t>
      </w:r>
      <w:r>
        <w:rPr>
          <w:color w:val="231F20"/>
          <w:w w:val="110"/>
          <w:sz w:val="16"/>
        </w:rPr>
        <w:t>286</w:t>
      </w:r>
      <w:r>
        <w:rPr>
          <w:i/>
          <w:color w:val="231F20"/>
          <w:w w:val="110"/>
          <w:sz w:val="16"/>
        </w:rPr>
        <w:t xml:space="preserve">, </w:t>
      </w:r>
      <w:r>
        <w:rPr>
          <w:color w:val="231F20"/>
          <w:w w:val="110"/>
          <w:sz w:val="16"/>
        </w:rPr>
        <w:t>370;</w:t>
      </w:r>
    </w:p>
    <w:p w14:paraId="5A7E7E9D" w14:textId="77777777" w:rsidR="002653E8" w:rsidRDefault="003115E3">
      <w:pPr>
        <w:spacing w:before="33" w:line="280" w:lineRule="auto"/>
        <w:ind w:left="446" w:right="1292"/>
        <w:rPr>
          <w:sz w:val="16"/>
        </w:rPr>
      </w:pPr>
      <w:r>
        <w:rPr>
          <w:color w:val="231F20"/>
          <w:w w:val="105"/>
          <w:sz w:val="16"/>
        </w:rPr>
        <w:t>“Whoever is not afraid of being drawn and quartered...” 99</w:t>
      </w:r>
      <w:r>
        <w:rPr>
          <w:i/>
          <w:color w:val="231F20"/>
          <w:w w:val="105"/>
          <w:sz w:val="16"/>
        </w:rPr>
        <w:t xml:space="preserve">, </w:t>
      </w:r>
      <w:r>
        <w:rPr>
          <w:color w:val="231F20"/>
          <w:w w:val="105"/>
          <w:sz w:val="16"/>
        </w:rPr>
        <w:t>493</w:t>
      </w:r>
    </w:p>
    <w:p w14:paraId="41CC3F14" w14:textId="77777777" w:rsidR="002653E8" w:rsidRDefault="003115E3">
      <w:pPr>
        <w:spacing w:before="1"/>
        <w:ind w:left="246"/>
        <w:rPr>
          <w:sz w:val="16"/>
        </w:rPr>
      </w:pPr>
      <w:r>
        <w:rPr>
          <w:color w:val="231F20"/>
          <w:w w:val="105"/>
          <w:sz w:val="16"/>
        </w:rPr>
        <w:t>Marcisz, Heinz 571</w:t>
      </w:r>
    </w:p>
    <w:p w14:paraId="539CA746" w14:textId="77777777" w:rsidR="002653E8" w:rsidRDefault="003115E3">
      <w:pPr>
        <w:spacing w:before="32" w:line="280" w:lineRule="auto"/>
        <w:ind w:left="446" w:right="1292" w:hanging="200"/>
        <w:rPr>
          <w:sz w:val="16"/>
        </w:rPr>
      </w:pPr>
      <w:r>
        <w:rPr>
          <w:color w:val="231F20"/>
          <w:w w:val="105"/>
          <w:sz w:val="16"/>
        </w:rPr>
        <w:t>Marcuse, Herbert 24</w:t>
      </w:r>
      <w:r>
        <w:rPr>
          <w:i/>
          <w:color w:val="231F20"/>
          <w:w w:val="105"/>
          <w:sz w:val="16"/>
        </w:rPr>
        <w:t xml:space="preserve">, </w:t>
      </w:r>
      <w:r>
        <w:rPr>
          <w:color w:val="231F20"/>
          <w:w w:val="105"/>
          <w:sz w:val="16"/>
        </w:rPr>
        <w:t>35</w:t>
      </w:r>
      <w:r>
        <w:rPr>
          <w:i/>
          <w:color w:val="231F20"/>
          <w:w w:val="105"/>
          <w:sz w:val="16"/>
        </w:rPr>
        <w:t xml:space="preserve">, </w:t>
      </w:r>
      <w:r>
        <w:rPr>
          <w:color w:val="231F20"/>
          <w:w w:val="105"/>
          <w:sz w:val="16"/>
        </w:rPr>
        <w:t>200</w:t>
      </w:r>
      <w:r>
        <w:rPr>
          <w:i/>
          <w:color w:val="231F20"/>
          <w:w w:val="105"/>
          <w:sz w:val="16"/>
        </w:rPr>
        <w:t xml:space="preserve">, </w:t>
      </w:r>
      <w:r>
        <w:rPr>
          <w:color w:val="231F20"/>
          <w:w w:val="105"/>
          <w:sz w:val="16"/>
        </w:rPr>
        <w:t>538</w:t>
      </w:r>
      <w:r>
        <w:rPr>
          <w:i/>
          <w:color w:val="231F20"/>
          <w:w w:val="105"/>
          <w:sz w:val="16"/>
        </w:rPr>
        <w:t xml:space="preserve">, </w:t>
      </w:r>
      <w:r>
        <w:rPr>
          <w:color w:val="231F20"/>
          <w:w w:val="105"/>
          <w:sz w:val="16"/>
        </w:rPr>
        <w:t xml:space="preserve">579; mentioned by </w:t>
      </w:r>
      <w:r w:rsidR="00C507A5">
        <w:rPr>
          <w:color w:val="231F20"/>
          <w:w w:val="105"/>
          <w:sz w:val="16"/>
        </w:rPr>
        <w:t>red army faction</w:t>
      </w:r>
      <w:r>
        <w:rPr>
          <w:color w:val="231F20"/>
          <w:w w:val="105"/>
          <w:sz w:val="16"/>
        </w:rPr>
        <w:t xml:space="preserve"> 89</w:t>
      </w:r>
    </w:p>
    <w:p w14:paraId="3BCA0D6F" w14:textId="77777777" w:rsidR="002653E8" w:rsidRDefault="003115E3">
      <w:pPr>
        <w:spacing w:before="1" w:line="280" w:lineRule="auto"/>
        <w:ind w:left="446" w:right="1566" w:hanging="200"/>
        <w:jc w:val="both"/>
        <w:rPr>
          <w:sz w:val="16"/>
        </w:rPr>
      </w:pPr>
      <w:r>
        <w:rPr>
          <w:color w:val="231F20"/>
          <w:w w:val="105"/>
          <w:sz w:val="16"/>
        </w:rPr>
        <w:t>Marighella, Carlos 98</w:t>
      </w:r>
      <w:r>
        <w:rPr>
          <w:i/>
          <w:color w:val="231F20"/>
          <w:w w:val="105"/>
          <w:sz w:val="16"/>
        </w:rPr>
        <w:t xml:space="preserve">, </w:t>
      </w:r>
      <w:r>
        <w:rPr>
          <w:color w:val="231F20"/>
          <w:w w:val="105"/>
          <w:sz w:val="16"/>
        </w:rPr>
        <w:t xml:space="preserve">194–195; mentioned by </w:t>
      </w:r>
      <w:r w:rsidR="00C507A5">
        <w:rPr>
          <w:color w:val="231F20"/>
          <w:w w:val="105"/>
          <w:sz w:val="16"/>
        </w:rPr>
        <w:t>red army faction</w:t>
      </w:r>
      <w:r>
        <w:rPr>
          <w:color w:val="231F20"/>
          <w:w w:val="105"/>
          <w:sz w:val="16"/>
        </w:rPr>
        <w:t xml:space="preserve"> 143</w:t>
      </w:r>
      <w:r>
        <w:rPr>
          <w:i/>
          <w:color w:val="231F20"/>
          <w:w w:val="105"/>
          <w:sz w:val="16"/>
        </w:rPr>
        <w:t xml:space="preserve">, </w:t>
      </w:r>
      <w:r>
        <w:rPr>
          <w:color w:val="231F20"/>
          <w:w w:val="105"/>
          <w:sz w:val="16"/>
        </w:rPr>
        <w:t xml:space="preserve">153; quoted by </w:t>
      </w:r>
      <w:r w:rsidR="00C507A5">
        <w:rPr>
          <w:color w:val="231F20"/>
          <w:w w:val="105"/>
          <w:sz w:val="16"/>
        </w:rPr>
        <w:t>red army faction</w:t>
      </w:r>
      <w:r>
        <w:rPr>
          <w:color w:val="231F20"/>
          <w:w w:val="105"/>
          <w:sz w:val="16"/>
        </w:rPr>
        <w:t xml:space="preserve"> 120</w:t>
      </w:r>
      <w:r>
        <w:rPr>
          <w:i/>
          <w:color w:val="231F20"/>
          <w:w w:val="105"/>
          <w:sz w:val="16"/>
        </w:rPr>
        <w:t xml:space="preserve">, </w:t>
      </w:r>
      <w:r>
        <w:rPr>
          <w:color w:val="231F20"/>
          <w:w w:val="105"/>
          <w:sz w:val="16"/>
        </w:rPr>
        <w:t>369</w:t>
      </w:r>
    </w:p>
    <w:p w14:paraId="51722F78" w14:textId="77777777" w:rsidR="002653E8" w:rsidRDefault="003115E3">
      <w:pPr>
        <w:spacing w:before="2" w:line="280" w:lineRule="auto"/>
        <w:ind w:left="246" w:right="2161"/>
        <w:rPr>
          <w:sz w:val="16"/>
        </w:rPr>
      </w:pPr>
      <w:r>
        <w:rPr>
          <w:color w:val="231F20"/>
          <w:w w:val="105"/>
          <w:sz w:val="16"/>
        </w:rPr>
        <w:t>Marshall, George C. 5 Marshall Plan 5–9</w:t>
      </w:r>
      <w:r>
        <w:rPr>
          <w:i/>
          <w:color w:val="231F20"/>
          <w:w w:val="105"/>
          <w:sz w:val="16"/>
        </w:rPr>
        <w:t xml:space="preserve">, </w:t>
      </w:r>
      <w:r>
        <w:rPr>
          <w:color w:val="231F20"/>
          <w:w w:val="105"/>
          <w:sz w:val="16"/>
        </w:rPr>
        <w:t>11</w:t>
      </w:r>
      <w:r>
        <w:rPr>
          <w:i/>
          <w:color w:val="231F20"/>
          <w:w w:val="105"/>
          <w:sz w:val="16"/>
        </w:rPr>
        <w:t xml:space="preserve">, </w:t>
      </w:r>
      <w:r>
        <w:rPr>
          <w:color w:val="231F20"/>
          <w:w w:val="105"/>
          <w:sz w:val="16"/>
        </w:rPr>
        <w:t>20</w:t>
      </w:r>
    </w:p>
    <w:p w14:paraId="2493E7C3" w14:textId="77777777" w:rsidR="002653E8" w:rsidRDefault="003115E3">
      <w:pPr>
        <w:spacing w:before="1"/>
        <w:ind w:left="246"/>
        <w:rPr>
          <w:sz w:val="16"/>
        </w:rPr>
      </w:pPr>
      <w:r>
        <w:rPr>
          <w:color w:val="231F20"/>
          <w:w w:val="110"/>
          <w:sz w:val="16"/>
        </w:rPr>
        <w:t>Martin, Ludwig 169</w:t>
      </w:r>
      <w:r>
        <w:rPr>
          <w:i/>
          <w:color w:val="231F20"/>
          <w:w w:val="110"/>
          <w:sz w:val="16"/>
        </w:rPr>
        <w:t xml:space="preserve">, </w:t>
      </w:r>
      <w:r>
        <w:rPr>
          <w:color w:val="231F20"/>
          <w:w w:val="110"/>
          <w:sz w:val="16"/>
        </w:rPr>
        <w:t>244</w:t>
      </w:r>
      <w:r>
        <w:rPr>
          <w:i/>
          <w:color w:val="231F20"/>
          <w:w w:val="110"/>
          <w:sz w:val="16"/>
        </w:rPr>
        <w:t xml:space="preserve">, </w:t>
      </w:r>
      <w:r>
        <w:rPr>
          <w:color w:val="231F20"/>
          <w:w w:val="110"/>
          <w:sz w:val="16"/>
        </w:rPr>
        <w:t>344</w:t>
      </w:r>
      <w:r>
        <w:rPr>
          <w:i/>
          <w:color w:val="231F20"/>
          <w:w w:val="110"/>
          <w:sz w:val="16"/>
        </w:rPr>
        <w:t xml:space="preserve">, </w:t>
      </w:r>
      <w:r>
        <w:rPr>
          <w:color w:val="231F20"/>
          <w:w w:val="110"/>
          <w:sz w:val="16"/>
        </w:rPr>
        <w:t>571</w:t>
      </w:r>
      <w:r>
        <w:rPr>
          <w:i/>
          <w:color w:val="231F20"/>
          <w:w w:val="110"/>
          <w:sz w:val="16"/>
        </w:rPr>
        <w:t xml:space="preserve">, </w:t>
      </w:r>
      <w:r>
        <w:rPr>
          <w:color w:val="231F20"/>
          <w:w w:val="110"/>
          <w:sz w:val="16"/>
        </w:rPr>
        <w:t>594;</w:t>
      </w:r>
    </w:p>
    <w:p w14:paraId="592EDD29" w14:textId="77777777" w:rsidR="002653E8" w:rsidRDefault="003115E3">
      <w:pPr>
        <w:spacing w:before="32" w:line="280" w:lineRule="auto"/>
        <w:ind w:left="246" w:right="1778" w:firstLine="200"/>
        <w:rPr>
          <w:i/>
          <w:sz w:val="16"/>
        </w:rPr>
      </w:pPr>
      <w:r>
        <w:rPr>
          <w:color w:val="231F20"/>
          <w:w w:val="105"/>
          <w:sz w:val="16"/>
        </w:rPr>
        <w:t xml:space="preserve">mentioned by </w:t>
      </w:r>
      <w:r w:rsidR="00C507A5">
        <w:rPr>
          <w:color w:val="231F20"/>
          <w:w w:val="105"/>
          <w:sz w:val="16"/>
        </w:rPr>
        <w:t>red army faction</w:t>
      </w:r>
      <w:r>
        <w:rPr>
          <w:color w:val="231F20"/>
          <w:w w:val="105"/>
          <w:sz w:val="16"/>
        </w:rPr>
        <w:t xml:space="preserve"> 124</w:t>
      </w:r>
      <w:r>
        <w:rPr>
          <w:i/>
          <w:color w:val="231F20"/>
          <w:w w:val="105"/>
          <w:sz w:val="16"/>
        </w:rPr>
        <w:t xml:space="preserve">, </w:t>
      </w:r>
      <w:r>
        <w:rPr>
          <w:color w:val="231F20"/>
          <w:w w:val="105"/>
          <w:sz w:val="16"/>
        </w:rPr>
        <w:t>278 Martyr Halimeh Commando</w:t>
      </w:r>
      <w:r>
        <w:rPr>
          <w:i/>
          <w:color w:val="231F20"/>
          <w:w w:val="105"/>
          <w:sz w:val="16"/>
        </w:rPr>
        <w:t>.</w:t>
      </w:r>
    </w:p>
    <w:p w14:paraId="75E74602" w14:textId="77777777" w:rsidR="002653E8" w:rsidRDefault="003115E3">
      <w:pPr>
        <w:spacing w:before="1" w:line="280" w:lineRule="auto"/>
        <w:ind w:left="446" w:right="1569" w:hanging="1"/>
        <w:rPr>
          <w:sz w:val="16"/>
        </w:rPr>
      </w:pPr>
      <w:r>
        <w:rPr>
          <w:i/>
          <w:color w:val="231F20"/>
          <w:sz w:val="16"/>
        </w:rPr>
        <w:t xml:space="preserve">See </w:t>
      </w:r>
      <w:r>
        <w:rPr>
          <w:color w:val="231F20"/>
          <w:sz w:val="16"/>
        </w:rPr>
        <w:t>PFLP (EO) [Popular Front  for the Liberation of Palestine (External Operations)]</w:t>
      </w:r>
    </w:p>
    <w:p w14:paraId="4475ABF1" w14:textId="77777777" w:rsidR="002653E8" w:rsidRDefault="003115E3">
      <w:pPr>
        <w:spacing w:before="2"/>
        <w:ind w:left="246"/>
        <w:rPr>
          <w:i/>
          <w:sz w:val="16"/>
        </w:rPr>
      </w:pPr>
      <w:r>
        <w:rPr>
          <w:color w:val="231F20"/>
          <w:w w:val="105"/>
          <w:sz w:val="16"/>
        </w:rPr>
        <w:t>Marxism-Leninism 202</w:t>
      </w:r>
      <w:r>
        <w:rPr>
          <w:i/>
          <w:color w:val="231F20"/>
          <w:w w:val="105"/>
          <w:sz w:val="16"/>
        </w:rPr>
        <w:t>. See</w:t>
      </w:r>
    </w:p>
    <w:p w14:paraId="71522812" w14:textId="77777777" w:rsidR="002653E8" w:rsidRDefault="003115E3">
      <w:pPr>
        <w:spacing w:before="32" w:line="280" w:lineRule="auto"/>
        <w:ind w:left="446" w:right="1453"/>
        <w:rPr>
          <w:sz w:val="16"/>
        </w:rPr>
      </w:pPr>
      <w:r>
        <w:rPr>
          <w:i/>
          <w:color w:val="231F20"/>
          <w:sz w:val="16"/>
        </w:rPr>
        <w:t xml:space="preserve">also </w:t>
      </w:r>
      <w:r>
        <w:rPr>
          <w:color w:val="231F20"/>
          <w:sz w:val="16"/>
        </w:rPr>
        <w:t>K-groups</w:t>
      </w:r>
      <w:r>
        <w:rPr>
          <w:i/>
          <w:color w:val="231F20"/>
          <w:sz w:val="16"/>
        </w:rPr>
        <w:t xml:space="preserve">; See also </w:t>
      </w:r>
      <w:r w:rsidR="00C507A5">
        <w:rPr>
          <w:color w:val="231F20"/>
          <w:sz w:val="16"/>
        </w:rPr>
        <w:t>red army faction</w:t>
      </w:r>
      <w:r>
        <w:rPr>
          <w:color w:val="231F20"/>
          <w:sz w:val="16"/>
        </w:rPr>
        <w:t xml:space="preserve"> ideas on: Marxism-Leninism</w:t>
      </w:r>
    </w:p>
    <w:p w14:paraId="77D82D7A" w14:textId="77777777" w:rsidR="002653E8" w:rsidRDefault="003115E3">
      <w:pPr>
        <w:spacing w:before="1"/>
        <w:ind w:left="246"/>
        <w:rPr>
          <w:sz w:val="16"/>
        </w:rPr>
      </w:pPr>
      <w:r>
        <w:rPr>
          <w:color w:val="231F20"/>
          <w:w w:val="110"/>
          <w:sz w:val="16"/>
        </w:rPr>
        <w:t>Marx, Karl 222</w:t>
      </w:r>
      <w:r>
        <w:rPr>
          <w:i/>
          <w:color w:val="231F20"/>
          <w:w w:val="110"/>
          <w:sz w:val="16"/>
        </w:rPr>
        <w:t xml:space="preserve">, </w:t>
      </w:r>
      <w:r>
        <w:rPr>
          <w:color w:val="231F20"/>
          <w:w w:val="110"/>
          <w:sz w:val="16"/>
        </w:rPr>
        <w:t>280</w:t>
      </w:r>
      <w:r>
        <w:rPr>
          <w:i/>
          <w:color w:val="231F20"/>
          <w:w w:val="110"/>
          <w:sz w:val="16"/>
        </w:rPr>
        <w:t xml:space="preserve">, </w:t>
      </w:r>
      <w:r>
        <w:rPr>
          <w:color w:val="231F20"/>
          <w:w w:val="110"/>
          <w:sz w:val="16"/>
        </w:rPr>
        <w:t>360</w:t>
      </w:r>
      <w:r>
        <w:rPr>
          <w:i/>
          <w:color w:val="231F20"/>
          <w:w w:val="110"/>
          <w:sz w:val="16"/>
        </w:rPr>
        <w:t xml:space="preserve">, </w:t>
      </w:r>
      <w:r>
        <w:rPr>
          <w:color w:val="231F20"/>
          <w:w w:val="110"/>
          <w:sz w:val="16"/>
        </w:rPr>
        <w:t>367</w:t>
      </w:r>
      <w:r>
        <w:rPr>
          <w:i/>
          <w:color w:val="231F20"/>
          <w:w w:val="110"/>
          <w:sz w:val="16"/>
        </w:rPr>
        <w:t xml:space="preserve">, </w:t>
      </w:r>
      <w:r>
        <w:rPr>
          <w:color w:val="231F20"/>
          <w:w w:val="110"/>
          <w:sz w:val="16"/>
        </w:rPr>
        <w:t>373;</w:t>
      </w:r>
    </w:p>
    <w:p w14:paraId="3B5593BD" w14:textId="77777777" w:rsidR="002653E8" w:rsidRDefault="003115E3">
      <w:pPr>
        <w:spacing w:before="33"/>
        <w:ind w:left="446"/>
        <w:rPr>
          <w:i/>
          <w:sz w:val="16"/>
        </w:rPr>
      </w:pPr>
      <w:r>
        <w:rPr>
          <w:i/>
          <w:color w:val="231F20"/>
          <w:w w:val="105"/>
          <w:sz w:val="16"/>
        </w:rPr>
        <w:t xml:space="preserve">Capital </w:t>
      </w:r>
      <w:r>
        <w:rPr>
          <w:color w:val="231F20"/>
          <w:w w:val="105"/>
          <w:sz w:val="16"/>
        </w:rPr>
        <w:t>208</w:t>
      </w:r>
      <w:r>
        <w:rPr>
          <w:i/>
          <w:color w:val="231F20"/>
          <w:w w:val="105"/>
          <w:sz w:val="16"/>
        </w:rPr>
        <w:t xml:space="preserve">, </w:t>
      </w:r>
      <w:r>
        <w:rPr>
          <w:color w:val="231F20"/>
          <w:w w:val="105"/>
          <w:sz w:val="16"/>
        </w:rPr>
        <w:t xml:space="preserve">215; </w:t>
      </w:r>
      <w:r>
        <w:rPr>
          <w:i/>
          <w:color w:val="231F20"/>
          <w:w w:val="105"/>
          <w:sz w:val="16"/>
        </w:rPr>
        <w:t>The Class Strug-</w:t>
      </w:r>
    </w:p>
    <w:p w14:paraId="5D117B39" w14:textId="77777777" w:rsidR="002653E8" w:rsidRDefault="003115E3">
      <w:pPr>
        <w:spacing w:before="32" w:line="280" w:lineRule="auto"/>
        <w:ind w:left="446" w:right="1713"/>
        <w:jc w:val="both"/>
        <w:rPr>
          <w:sz w:val="16"/>
        </w:rPr>
      </w:pPr>
      <w:r>
        <w:rPr>
          <w:i/>
          <w:color w:val="231F20"/>
          <w:sz w:val="16"/>
        </w:rPr>
        <w:t xml:space="preserve">gles in France </w:t>
      </w:r>
      <w:r>
        <w:rPr>
          <w:color w:val="231F20"/>
          <w:sz w:val="16"/>
        </w:rPr>
        <w:t>317</w:t>
      </w:r>
      <w:r>
        <w:rPr>
          <w:i/>
          <w:color w:val="231F20"/>
          <w:sz w:val="16"/>
        </w:rPr>
        <w:t xml:space="preserve">, </w:t>
      </w:r>
      <w:r>
        <w:rPr>
          <w:color w:val="231F20"/>
          <w:sz w:val="16"/>
        </w:rPr>
        <w:t>369</w:t>
      </w:r>
      <w:r>
        <w:rPr>
          <w:i/>
          <w:color w:val="231F20"/>
          <w:sz w:val="16"/>
        </w:rPr>
        <w:t xml:space="preserve">, </w:t>
      </w:r>
      <w:r>
        <w:rPr>
          <w:color w:val="231F20"/>
          <w:sz w:val="16"/>
        </w:rPr>
        <w:t xml:space="preserve">379; </w:t>
      </w:r>
      <w:r>
        <w:rPr>
          <w:i/>
          <w:color w:val="231F20"/>
          <w:sz w:val="16"/>
        </w:rPr>
        <w:t xml:space="preserve">The Eighteenth Brumaire of Napoleon Bonaparte </w:t>
      </w:r>
      <w:r>
        <w:rPr>
          <w:color w:val="231F20"/>
          <w:sz w:val="16"/>
        </w:rPr>
        <w:t>205; Grundrisse 321</w:t>
      </w:r>
    </w:p>
    <w:p w14:paraId="02B11114" w14:textId="77777777" w:rsidR="002653E8" w:rsidRDefault="003115E3">
      <w:pPr>
        <w:spacing w:before="2" w:line="280" w:lineRule="auto"/>
        <w:ind w:left="246" w:right="1778"/>
        <w:rPr>
          <w:sz w:val="16"/>
        </w:rPr>
      </w:pPr>
      <w:r>
        <w:rPr>
          <w:i/>
          <w:color w:val="231F20"/>
          <w:w w:val="105"/>
          <w:sz w:val="16"/>
        </w:rPr>
        <w:t xml:space="preserve">The Mass Psychology of Fascism </w:t>
      </w:r>
      <w:r>
        <w:rPr>
          <w:color w:val="231F20"/>
          <w:w w:val="105"/>
          <w:sz w:val="16"/>
        </w:rPr>
        <w:t>84 Mauss, Werner 453</w:t>
      </w:r>
    </w:p>
    <w:p w14:paraId="5DE8D7CC" w14:textId="77777777" w:rsidR="002653E8" w:rsidRDefault="003115E3">
      <w:pPr>
        <w:spacing w:before="1"/>
        <w:ind w:left="246"/>
        <w:rPr>
          <w:sz w:val="16"/>
        </w:rPr>
      </w:pPr>
      <w:r>
        <w:rPr>
          <w:color w:val="231F20"/>
          <w:w w:val="105"/>
          <w:sz w:val="16"/>
        </w:rPr>
        <w:t>Mayer, Roland 454</w:t>
      </w:r>
      <w:r>
        <w:rPr>
          <w:i/>
          <w:color w:val="231F20"/>
          <w:w w:val="105"/>
          <w:sz w:val="16"/>
        </w:rPr>
        <w:t xml:space="preserve">, </w:t>
      </w:r>
      <w:r>
        <w:rPr>
          <w:color w:val="231F20"/>
          <w:w w:val="105"/>
          <w:sz w:val="16"/>
        </w:rPr>
        <w:t>571</w:t>
      </w:r>
      <w:r>
        <w:rPr>
          <w:i/>
          <w:color w:val="231F20"/>
          <w:w w:val="105"/>
          <w:sz w:val="16"/>
        </w:rPr>
        <w:t xml:space="preserve">, </w:t>
      </w:r>
      <w:r>
        <w:rPr>
          <w:color w:val="231F20"/>
          <w:w w:val="105"/>
          <w:sz w:val="16"/>
        </w:rPr>
        <w:t>602; Boock’s</w:t>
      </w:r>
    </w:p>
    <w:p w14:paraId="48AB9B68" w14:textId="77777777" w:rsidR="002653E8" w:rsidRDefault="003115E3">
      <w:pPr>
        <w:spacing w:before="32"/>
        <w:ind w:left="446"/>
        <w:rPr>
          <w:sz w:val="16"/>
        </w:rPr>
      </w:pPr>
      <w:r>
        <w:rPr>
          <w:color w:val="231F20"/>
          <w:sz w:val="16"/>
        </w:rPr>
        <w:t>Lies (1988) 527; trial (1979) 612</w:t>
      </w:r>
    </w:p>
    <w:p w14:paraId="7A75BDA5" w14:textId="77777777" w:rsidR="002653E8" w:rsidRDefault="003115E3">
      <w:pPr>
        <w:spacing w:before="33"/>
        <w:ind w:left="246"/>
        <w:rPr>
          <w:sz w:val="16"/>
        </w:rPr>
      </w:pPr>
      <w:r>
        <w:rPr>
          <w:color w:val="231F20"/>
          <w:w w:val="105"/>
          <w:sz w:val="16"/>
        </w:rPr>
        <w:t>McGovern, Eugene 206</w:t>
      </w:r>
      <w:r>
        <w:rPr>
          <w:i/>
          <w:color w:val="231F20"/>
          <w:w w:val="105"/>
          <w:sz w:val="16"/>
        </w:rPr>
        <w:t xml:space="preserve">, </w:t>
      </w:r>
      <w:r>
        <w:rPr>
          <w:color w:val="231F20"/>
          <w:w w:val="105"/>
          <w:sz w:val="16"/>
        </w:rPr>
        <w:t>207</w:t>
      </w:r>
      <w:r>
        <w:rPr>
          <w:i/>
          <w:color w:val="231F20"/>
          <w:w w:val="105"/>
          <w:sz w:val="16"/>
        </w:rPr>
        <w:t xml:space="preserve">, </w:t>
      </w:r>
      <w:r>
        <w:rPr>
          <w:color w:val="231F20"/>
          <w:w w:val="105"/>
          <w:sz w:val="16"/>
        </w:rPr>
        <w:t>213</w:t>
      </w:r>
    </w:p>
    <w:p w14:paraId="11F94D1E" w14:textId="77777777" w:rsidR="002653E8" w:rsidRDefault="003115E3">
      <w:pPr>
        <w:spacing w:before="32"/>
        <w:ind w:left="246"/>
        <w:rPr>
          <w:sz w:val="16"/>
        </w:rPr>
      </w:pPr>
      <w:r>
        <w:rPr>
          <w:color w:val="231F20"/>
          <w:w w:val="105"/>
          <w:sz w:val="16"/>
        </w:rPr>
        <w:t>McGuffin, John 382</w:t>
      </w:r>
    </w:p>
    <w:p w14:paraId="24103A36" w14:textId="77777777" w:rsidR="002653E8" w:rsidRDefault="003115E3">
      <w:pPr>
        <w:spacing w:before="33"/>
        <w:ind w:left="246"/>
        <w:rPr>
          <w:sz w:val="16"/>
        </w:rPr>
      </w:pPr>
      <w:r>
        <w:rPr>
          <w:color w:val="231F20"/>
          <w:w w:val="110"/>
          <w:sz w:val="16"/>
        </w:rPr>
        <w:t>McLeod, Ian 111</w:t>
      </w:r>
      <w:r>
        <w:rPr>
          <w:i/>
          <w:color w:val="231F20"/>
          <w:w w:val="110"/>
          <w:sz w:val="16"/>
        </w:rPr>
        <w:t xml:space="preserve">, </w:t>
      </w:r>
      <w:r>
        <w:rPr>
          <w:color w:val="231F20"/>
          <w:w w:val="110"/>
          <w:sz w:val="16"/>
        </w:rPr>
        <w:t>233</w:t>
      </w:r>
      <w:r>
        <w:rPr>
          <w:i/>
          <w:color w:val="231F20"/>
          <w:w w:val="110"/>
          <w:sz w:val="16"/>
        </w:rPr>
        <w:t xml:space="preserve">, </w:t>
      </w:r>
      <w:r>
        <w:rPr>
          <w:color w:val="231F20"/>
          <w:w w:val="110"/>
          <w:sz w:val="16"/>
        </w:rPr>
        <w:t>571</w:t>
      </w:r>
      <w:r>
        <w:rPr>
          <w:i/>
          <w:color w:val="231F20"/>
          <w:w w:val="110"/>
          <w:sz w:val="16"/>
        </w:rPr>
        <w:t xml:space="preserve">, </w:t>
      </w:r>
      <w:r>
        <w:rPr>
          <w:color w:val="231F20"/>
          <w:w w:val="110"/>
          <w:sz w:val="16"/>
        </w:rPr>
        <w:t>591</w:t>
      </w:r>
    </w:p>
    <w:p w14:paraId="1D95F9F1" w14:textId="77777777" w:rsidR="002653E8" w:rsidRDefault="003115E3">
      <w:pPr>
        <w:spacing w:before="32" w:line="280" w:lineRule="auto"/>
        <w:ind w:left="446" w:right="1569" w:hanging="200"/>
        <w:rPr>
          <w:sz w:val="16"/>
        </w:rPr>
      </w:pPr>
      <w:r>
        <w:rPr>
          <w:color w:val="231F20"/>
          <w:w w:val="105"/>
          <w:sz w:val="16"/>
        </w:rPr>
        <w:t>Meinhof, Ulrike 112</w:t>
      </w:r>
      <w:r>
        <w:rPr>
          <w:i/>
          <w:color w:val="231F20"/>
          <w:w w:val="105"/>
          <w:sz w:val="16"/>
        </w:rPr>
        <w:t xml:space="preserve">, </w:t>
      </w:r>
      <w:r>
        <w:rPr>
          <w:color w:val="231F20"/>
          <w:w w:val="105"/>
          <w:sz w:val="16"/>
        </w:rPr>
        <w:t>270</w:t>
      </w:r>
      <w:r>
        <w:rPr>
          <w:i/>
          <w:color w:val="231F20"/>
          <w:w w:val="105"/>
          <w:sz w:val="16"/>
        </w:rPr>
        <w:t xml:space="preserve">, </w:t>
      </w:r>
      <w:r>
        <w:rPr>
          <w:color w:val="231F20"/>
          <w:w w:val="105"/>
          <w:sz w:val="16"/>
        </w:rPr>
        <w:t>571</w:t>
      </w:r>
      <w:r>
        <w:rPr>
          <w:i/>
          <w:color w:val="231F20"/>
          <w:w w:val="105"/>
          <w:sz w:val="16"/>
        </w:rPr>
        <w:t xml:space="preserve">, </w:t>
      </w:r>
      <w:r>
        <w:rPr>
          <w:color w:val="231F20"/>
          <w:w w:val="105"/>
          <w:sz w:val="16"/>
        </w:rPr>
        <w:t>594</w:t>
      </w:r>
      <w:r>
        <w:rPr>
          <w:i/>
          <w:color w:val="231F20"/>
          <w:w w:val="105"/>
          <w:sz w:val="16"/>
        </w:rPr>
        <w:t xml:space="preserve">. See also </w:t>
      </w:r>
      <w:r>
        <w:rPr>
          <w:color w:val="231F20"/>
          <w:w w:val="105"/>
          <w:sz w:val="16"/>
        </w:rPr>
        <w:t>Meinhof, Ulrike—death in</w:t>
      </w:r>
    </w:p>
    <w:p w14:paraId="1DA2619A" w14:textId="77777777" w:rsidR="002653E8" w:rsidRDefault="003115E3">
      <w:pPr>
        <w:spacing w:before="1"/>
        <w:ind w:left="446"/>
        <w:rPr>
          <w:sz w:val="16"/>
        </w:rPr>
      </w:pPr>
      <w:r>
        <w:rPr>
          <w:color w:val="231F20"/>
          <w:sz w:val="16"/>
        </w:rPr>
        <w:t>Stammheim; Agit 883 55; accusations</w:t>
      </w:r>
    </w:p>
    <w:p w14:paraId="79871C9F" w14:textId="77777777" w:rsidR="002653E8" w:rsidRDefault="003115E3">
      <w:pPr>
        <w:spacing w:before="33"/>
        <w:ind w:left="446"/>
        <w:rPr>
          <w:sz w:val="16"/>
        </w:rPr>
      </w:pPr>
      <w:r>
        <w:rPr>
          <w:color w:val="231F20"/>
          <w:sz w:val="16"/>
        </w:rPr>
        <w:t>of antisemitism 196–199</w:t>
      </w:r>
      <w:r>
        <w:rPr>
          <w:i/>
          <w:color w:val="231F20"/>
          <w:sz w:val="16"/>
        </w:rPr>
        <w:t xml:space="preserve">, </w:t>
      </w:r>
      <w:r>
        <w:rPr>
          <w:color w:val="231F20"/>
          <w:sz w:val="16"/>
        </w:rPr>
        <w:t>544–547;</w:t>
      </w:r>
    </w:p>
    <w:p w14:paraId="4F61EB22" w14:textId="77777777" w:rsidR="002653E8" w:rsidRDefault="003115E3">
      <w:pPr>
        <w:spacing w:before="32"/>
        <w:ind w:left="446"/>
        <w:rPr>
          <w:i/>
          <w:sz w:val="16"/>
        </w:rPr>
      </w:pPr>
      <w:r>
        <w:rPr>
          <w:color w:val="231F20"/>
          <w:w w:val="105"/>
          <w:sz w:val="16"/>
        </w:rPr>
        <w:t>and Andreas Baader 50</w:t>
      </w:r>
      <w:r>
        <w:rPr>
          <w:i/>
          <w:color w:val="231F20"/>
          <w:w w:val="105"/>
          <w:sz w:val="16"/>
        </w:rPr>
        <w:t xml:space="preserve">, </w:t>
      </w:r>
      <w:r>
        <w:rPr>
          <w:color w:val="231F20"/>
          <w:w w:val="105"/>
          <w:sz w:val="16"/>
        </w:rPr>
        <w:t>53</w:t>
      </w:r>
      <w:r>
        <w:rPr>
          <w:i/>
          <w:color w:val="231F20"/>
          <w:w w:val="105"/>
          <w:sz w:val="16"/>
        </w:rPr>
        <w:t xml:space="preserve">, </w:t>
      </w:r>
      <w:r>
        <w:rPr>
          <w:color w:val="231F20"/>
          <w:w w:val="105"/>
          <w:sz w:val="16"/>
        </w:rPr>
        <w:t>381</w:t>
      </w:r>
      <w:r>
        <w:rPr>
          <w:i/>
          <w:color w:val="231F20"/>
          <w:w w:val="105"/>
          <w:sz w:val="16"/>
        </w:rPr>
        <w:t xml:space="preserve">, </w:t>
      </w:r>
      <w:r>
        <w:rPr>
          <w:color w:val="231F20"/>
          <w:w w:val="105"/>
          <w:sz w:val="16"/>
        </w:rPr>
        <w:t>384</w:t>
      </w:r>
      <w:r>
        <w:rPr>
          <w:i/>
          <w:color w:val="231F20"/>
          <w:w w:val="105"/>
          <w:sz w:val="16"/>
        </w:rPr>
        <w:t>,</w:t>
      </w:r>
    </w:p>
    <w:p w14:paraId="7A865C6D" w14:textId="77777777" w:rsidR="002653E8" w:rsidRDefault="003115E3">
      <w:pPr>
        <w:spacing w:before="32"/>
        <w:ind w:left="446"/>
        <w:rPr>
          <w:i/>
          <w:sz w:val="16"/>
        </w:rPr>
      </w:pPr>
      <w:r>
        <w:rPr>
          <w:color w:val="231F20"/>
          <w:sz w:val="16"/>
        </w:rPr>
        <w:t>395; Black September (1972) 187</w:t>
      </w:r>
      <w:r>
        <w:rPr>
          <w:i/>
          <w:color w:val="231F20"/>
          <w:sz w:val="16"/>
        </w:rPr>
        <w:t>,</w:t>
      </w:r>
    </w:p>
    <w:p w14:paraId="0F94C314" w14:textId="77777777" w:rsidR="002653E8" w:rsidRDefault="003115E3">
      <w:pPr>
        <w:spacing w:before="33"/>
        <w:ind w:left="446"/>
        <w:rPr>
          <w:i/>
          <w:sz w:val="16"/>
        </w:rPr>
      </w:pPr>
      <w:r>
        <w:rPr>
          <w:color w:val="231F20"/>
          <w:sz w:val="16"/>
        </w:rPr>
        <w:t>187–190; captured (1972) 171</w:t>
      </w:r>
      <w:r>
        <w:rPr>
          <w:i/>
          <w:color w:val="231F20"/>
          <w:sz w:val="16"/>
        </w:rPr>
        <w:t xml:space="preserve">, </w:t>
      </w:r>
      <w:r>
        <w:rPr>
          <w:color w:val="231F20"/>
          <w:sz w:val="16"/>
        </w:rPr>
        <w:t>201</w:t>
      </w:r>
      <w:r>
        <w:rPr>
          <w:i/>
          <w:color w:val="231F20"/>
          <w:sz w:val="16"/>
        </w:rPr>
        <w:t>,</w:t>
      </w:r>
    </w:p>
    <w:p w14:paraId="590C84F2" w14:textId="77777777" w:rsidR="002653E8" w:rsidRDefault="003115E3">
      <w:pPr>
        <w:spacing w:before="32"/>
        <w:ind w:left="446"/>
        <w:rPr>
          <w:i/>
          <w:sz w:val="16"/>
        </w:rPr>
      </w:pPr>
      <w:r>
        <w:rPr>
          <w:color w:val="231F20"/>
          <w:w w:val="105"/>
          <w:sz w:val="16"/>
        </w:rPr>
        <w:t>591; daughters 48</w:t>
      </w:r>
      <w:r>
        <w:rPr>
          <w:i/>
          <w:color w:val="231F20"/>
          <w:w w:val="105"/>
          <w:sz w:val="16"/>
        </w:rPr>
        <w:t xml:space="preserve">, </w:t>
      </w:r>
      <w:r>
        <w:rPr>
          <w:color w:val="231F20"/>
          <w:w w:val="105"/>
          <w:sz w:val="16"/>
        </w:rPr>
        <w:t>58</w:t>
      </w:r>
      <w:r>
        <w:rPr>
          <w:i/>
          <w:color w:val="231F20"/>
          <w:w w:val="105"/>
          <w:sz w:val="16"/>
        </w:rPr>
        <w:t xml:space="preserve">, </w:t>
      </w:r>
      <w:r>
        <w:rPr>
          <w:color w:val="231F20"/>
          <w:w w:val="105"/>
          <w:sz w:val="16"/>
        </w:rPr>
        <w:t>118–119</w:t>
      </w:r>
      <w:r>
        <w:rPr>
          <w:i/>
          <w:color w:val="231F20"/>
          <w:w w:val="105"/>
          <w:sz w:val="16"/>
        </w:rPr>
        <w:t xml:space="preserve">, </w:t>
      </w:r>
      <w:r>
        <w:rPr>
          <w:color w:val="231F20"/>
          <w:w w:val="105"/>
          <w:sz w:val="16"/>
        </w:rPr>
        <w:t>384</w:t>
      </w:r>
      <w:r>
        <w:rPr>
          <w:i/>
          <w:color w:val="231F20"/>
          <w:w w:val="105"/>
          <w:sz w:val="16"/>
        </w:rPr>
        <w:t>,</w:t>
      </w:r>
    </w:p>
    <w:p w14:paraId="505517F9" w14:textId="77777777" w:rsidR="002653E8" w:rsidRDefault="003115E3">
      <w:pPr>
        <w:spacing w:before="33" w:line="280" w:lineRule="auto"/>
        <w:ind w:left="446" w:right="1292"/>
        <w:rPr>
          <w:i/>
          <w:sz w:val="16"/>
        </w:rPr>
      </w:pPr>
      <w:r>
        <w:rPr>
          <w:color w:val="231F20"/>
          <w:w w:val="105"/>
          <w:sz w:val="16"/>
        </w:rPr>
        <w:t>557–558</w:t>
      </w:r>
      <w:r>
        <w:rPr>
          <w:i/>
          <w:color w:val="231F20"/>
          <w:w w:val="105"/>
          <w:sz w:val="16"/>
        </w:rPr>
        <w:t xml:space="preserve">. See also </w:t>
      </w:r>
      <w:r>
        <w:rPr>
          <w:color w:val="231F20"/>
          <w:w w:val="105"/>
          <w:sz w:val="16"/>
        </w:rPr>
        <w:t>Röhl, Bettina</w:t>
      </w:r>
      <w:r>
        <w:rPr>
          <w:i/>
          <w:color w:val="231F20"/>
          <w:w w:val="105"/>
          <w:sz w:val="16"/>
        </w:rPr>
        <w:t xml:space="preserve">; </w:t>
      </w:r>
      <w:r>
        <w:rPr>
          <w:i/>
          <w:color w:val="231F20"/>
          <w:w w:val="105"/>
          <w:sz w:val="16"/>
        </w:rPr>
        <w:t xml:space="preserve">See also </w:t>
      </w:r>
      <w:r>
        <w:rPr>
          <w:color w:val="231F20"/>
          <w:w w:val="105"/>
          <w:sz w:val="16"/>
        </w:rPr>
        <w:t>Röhl, Anja; dead wing 238</w:t>
      </w:r>
      <w:r>
        <w:rPr>
          <w:i/>
          <w:color w:val="231F20"/>
          <w:w w:val="105"/>
          <w:sz w:val="16"/>
        </w:rPr>
        <w:t xml:space="preserve">, </w:t>
      </w:r>
      <w:r>
        <w:rPr>
          <w:color w:val="231F20"/>
          <w:w w:val="105"/>
          <w:sz w:val="16"/>
        </w:rPr>
        <w:t>239</w:t>
      </w:r>
      <w:r>
        <w:rPr>
          <w:i/>
          <w:color w:val="231F20"/>
          <w:w w:val="105"/>
          <w:sz w:val="16"/>
        </w:rPr>
        <w:t xml:space="preserve">, </w:t>
      </w:r>
      <w:r>
        <w:rPr>
          <w:color w:val="231F20"/>
          <w:w w:val="105"/>
          <w:sz w:val="16"/>
        </w:rPr>
        <w:t>240</w:t>
      </w:r>
      <w:r>
        <w:rPr>
          <w:i/>
          <w:color w:val="231F20"/>
          <w:w w:val="105"/>
          <w:sz w:val="16"/>
        </w:rPr>
        <w:t xml:space="preserve">, </w:t>
      </w:r>
      <w:r>
        <w:rPr>
          <w:color w:val="231F20"/>
          <w:w w:val="105"/>
          <w:sz w:val="16"/>
        </w:rPr>
        <w:t>244</w:t>
      </w:r>
      <w:r>
        <w:rPr>
          <w:i/>
          <w:color w:val="231F20"/>
          <w:w w:val="105"/>
          <w:sz w:val="16"/>
        </w:rPr>
        <w:t xml:space="preserve">, </w:t>
      </w:r>
      <w:r>
        <w:rPr>
          <w:color w:val="231F20"/>
          <w:w w:val="105"/>
          <w:sz w:val="16"/>
        </w:rPr>
        <w:t>271–273</w:t>
      </w:r>
      <w:r>
        <w:rPr>
          <w:i/>
          <w:color w:val="231F20"/>
          <w:w w:val="105"/>
          <w:sz w:val="16"/>
        </w:rPr>
        <w:t xml:space="preserve">, </w:t>
      </w:r>
      <w:r>
        <w:rPr>
          <w:color w:val="231F20"/>
          <w:w w:val="105"/>
          <w:sz w:val="16"/>
        </w:rPr>
        <w:t>302</w:t>
      </w:r>
      <w:r>
        <w:rPr>
          <w:i/>
          <w:color w:val="231F20"/>
          <w:w w:val="105"/>
          <w:sz w:val="16"/>
        </w:rPr>
        <w:t xml:space="preserve">, </w:t>
      </w:r>
      <w:r>
        <w:rPr>
          <w:color w:val="231F20"/>
          <w:w w:val="105"/>
          <w:sz w:val="16"/>
        </w:rPr>
        <w:t>319</w:t>
      </w:r>
      <w:r>
        <w:rPr>
          <w:i/>
          <w:color w:val="231F20"/>
          <w:w w:val="105"/>
          <w:sz w:val="16"/>
        </w:rPr>
        <w:t xml:space="preserve">, </w:t>
      </w:r>
      <w:r>
        <w:rPr>
          <w:color w:val="231F20"/>
          <w:w w:val="105"/>
          <w:sz w:val="16"/>
        </w:rPr>
        <w:t>410</w:t>
      </w:r>
      <w:r>
        <w:rPr>
          <w:i/>
          <w:color w:val="231F20"/>
          <w:w w:val="105"/>
          <w:sz w:val="16"/>
        </w:rPr>
        <w:t>,</w:t>
      </w:r>
    </w:p>
    <w:p w14:paraId="6B85800C" w14:textId="77777777" w:rsidR="002653E8" w:rsidRDefault="003115E3">
      <w:pPr>
        <w:spacing w:before="1"/>
        <w:ind w:left="446"/>
        <w:rPr>
          <w:sz w:val="16"/>
        </w:rPr>
      </w:pPr>
      <w:r>
        <w:rPr>
          <w:color w:val="231F20"/>
          <w:w w:val="105"/>
          <w:sz w:val="16"/>
        </w:rPr>
        <w:t>412</w:t>
      </w:r>
      <w:r>
        <w:rPr>
          <w:i/>
          <w:color w:val="231F20"/>
          <w:w w:val="105"/>
          <w:sz w:val="16"/>
        </w:rPr>
        <w:t xml:space="preserve">, </w:t>
      </w:r>
      <w:r>
        <w:rPr>
          <w:color w:val="231F20"/>
          <w:w w:val="105"/>
          <w:sz w:val="16"/>
        </w:rPr>
        <w:t>429</w:t>
      </w:r>
      <w:r>
        <w:rPr>
          <w:i/>
          <w:color w:val="231F20"/>
          <w:w w:val="105"/>
          <w:sz w:val="16"/>
        </w:rPr>
        <w:t xml:space="preserve">, </w:t>
      </w:r>
      <w:r>
        <w:rPr>
          <w:color w:val="231F20"/>
          <w:w w:val="105"/>
          <w:sz w:val="16"/>
        </w:rPr>
        <w:t>491</w:t>
      </w:r>
      <w:r>
        <w:rPr>
          <w:i/>
          <w:color w:val="231F20"/>
          <w:w w:val="105"/>
          <w:sz w:val="16"/>
        </w:rPr>
        <w:t xml:space="preserve">, </w:t>
      </w:r>
      <w:r>
        <w:rPr>
          <w:color w:val="231F20"/>
          <w:w w:val="105"/>
          <w:sz w:val="16"/>
        </w:rPr>
        <w:t>591</w:t>
      </w:r>
      <w:r>
        <w:rPr>
          <w:i/>
          <w:color w:val="231F20"/>
          <w:w w:val="105"/>
          <w:sz w:val="16"/>
        </w:rPr>
        <w:t xml:space="preserve">, </w:t>
      </w:r>
      <w:r>
        <w:rPr>
          <w:color w:val="231F20"/>
          <w:w w:val="105"/>
          <w:sz w:val="16"/>
        </w:rPr>
        <w:t>593; and Gudrun</w:t>
      </w:r>
    </w:p>
    <w:p w14:paraId="7B8E4F55" w14:textId="77777777" w:rsidR="002653E8" w:rsidRDefault="003115E3">
      <w:pPr>
        <w:spacing w:before="33"/>
        <w:ind w:left="446"/>
        <w:rPr>
          <w:sz w:val="16"/>
        </w:rPr>
      </w:pPr>
      <w:r>
        <w:rPr>
          <w:color w:val="231F20"/>
          <w:sz w:val="16"/>
        </w:rPr>
        <w:t>Ensslin   48</w:t>
      </w:r>
      <w:r>
        <w:rPr>
          <w:i/>
          <w:color w:val="231F20"/>
          <w:sz w:val="16"/>
        </w:rPr>
        <w:t xml:space="preserve">, </w:t>
      </w:r>
      <w:r>
        <w:rPr>
          <w:color w:val="231F20"/>
          <w:sz w:val="16"/>
        </w:rPr>
        <w:t>50</w:t>
      </w:r>
      <w:r>
        <w:rPr>
          <w:i/>
          <w:color w:val="231F20"/>
          <w:sz w:val="16"/>
        </w:rPr>
        <w:t xml:space="preserve">, </w:t>
      </w:r>
      <w:r>
        <w:rPr>
          <w:color w:val="231F20"/>
          <w:sz w:val="16"/>
        </w:rPr>
        <w:t>53;  Fragment Regard-</w:t>
      </w:r>
    </w:p>
    <w:p w14:paraId="1D865D34" w14:textId="77777777" w:rsidR="002653E8" w:rsidRDefault="003115E3">
      <w:pPr>
        <w:spacing w:before="32"/>
        <w:ind w:left="446"/>
        <w:rPr>
          <w:sz w:val="16"/>
        </w:rPr>
      </w:pPr>
      <w:r>
        <w:rPr>
          <w:color w:val="231F20"/>
          <w:sz w:val="16"/>
        </w:rPr>
        <w:t>ing Structure (1976) 397–399; and</w:t>
      </w:r>
    </w:p>
    <w:p w14:paraId="46B247F7" w14:textId="77777777" w:rsidR="002653E8" w:rsidRDefault="002653E8">
      <w:pPr>
        <w:rPr>
          <w:sz w:val="16"/>
        </w:rPr>
        <w:sectPr w:rsidR="002653E8">
          <w:pgSz w:w="8640" w:h="12960"/>
          <w:pgMar w:top="1080" w:right="0" w:bottom="1040" w:left="0" w:header="0" w:footer="846" w:gutter="0"/>
          <w:cols w:num="2" w:space="720" w:equalWidth="0">
            <w:col w:w="4084" w:space="40"/>
            <w:col w:w="4516"/>
          </w:cols>
        </w:sectPr>
      </w:pPr>
    </w:p>
    <w:p w14:paraId="407FB1C9" w14:textId="77777777" w:rsidR="002653E8" w:rsidRDefault="003115E3">
      <w:pPr>
        <w:spacing w:before="86" w:line="280" w:lineRule="auto"/>
        <w:ind w:left="1527"/>
        <w:rPr>
          <w:i/>
          <w:sz w:val="16"/>
        </w:rPr>
      </w:pPr>
      <w:r>
        <w:rPr>
          <w:color w:val="231F20"/>
          <w:w w:val="105"/>
          <w:sz w:val="16"/>
        </w:rPr>
        <w:lastRenderedPageBreak/>
        <w:t xml:space="preserve">Kurt Groenewold 247; and Gustav Heinemann 41; </w:t>
      </w:r>
      <w:r>
        <w:rPr>
          <w:i/>
          <w:color w:val="231F20"/>
          <w:w w:val="105"/>
          <w:sz w:val="16"/>
        </w:rPr>
        <w:t xml:space="preserve">konkret </w:t>
      </w:r>
      <w:r>
        <w:rPr>
          <w:color w:val="231F20"/>
          <w:w w:val="105"/>
          <w:sz w:val="16"/>
        </w:rPr>
        <w:t>26</w:t>
      </w:r>
      <w:r>
        <w:rPr>
          <w:i/>
          <w:color w:val="231F20"/>
          <w:w w:val="105"/>
          <w:sz w:val="16"/>
        </w:rPr>
        <w:t xml:space="preserve">, </w:t>
      </w:r>
      <w:r>
        <w:rPr>
          <w:color w:val="231F20"/>
          <w:w w:val="105"/>
          <w:sz w:val="16"/>
        </w:rPr>
        <w:t>28</w:t>
      </w:r>
      <w:r>
        <w:rPr>
          <w:i/>
          <w:color w:val="231F20"/>
          <w:w w:val="105"/>
          <w:sz w:val="16"/>
        </w:rPr>
        <w:t>,</w:t>
      </w:r>
    </w:p>
    <w:p w14:paraId="7DD44ACD" w14:textId="77777777" w:rsidR="002653E8" w:rsidRDefault="003115E3">
      <w:pPr>
        <w:spacing w:before="1"/>
        <w:ind w:left="1527"/>
        <w:rPr>
          <w:i/>
          <w:sz w:val="16"/>
        </w:rPr>
      </w:pPr>
      <w:r>
        <w:rPr>
          <w:color w:val="231F20"/>
          <w:w w:val="105"/>
          <w:sz w:val="16"/>
        </w:rPr>
        <w:t xml:space="preserve">557; </w:t>
      </w:r>
      <w:r>
        <w:rPr>
          <w:i/>
          <w:color w:val="231F20"/>
          <w:w w:val="105"/>
          <w:sz w:val="16"/>
        </w:rPr>
        <w:t xml:space="preserve">konkret </w:t>
      </w:r>
      <w:r>
        <w:rPr>
          <w:color w:val="231F20"/>
          <w:w w:val="105"/>
          <w:sz w:val="16"/>
        </w:rPr>
        <w:t>columns 32</w:t>
      </w:r>
      <w:r>
        <w:rPr>
          <w:i/>
          <w:color w:val="231F20"/>
          <w:w w:val="105"/>
          <w:sz w:val="16"/>
        </w:rPr>
        <w:t xml:space="preserve">, </w:t>
      </w:r>
      <w:r>
        <w:rPr>
          <w:color w:val="231F20"/>
          <w:w w:val="105"/>
          <w:sz w:val="16"/>
        </w:rPr>
        <w:t>37–38</w:t>
      </w:r>
      <w:r>
        <w:rPr>
          <w:i/>
          <w:color w:val="231F20"/>
          <w:w w:val="105"/>
          <w:sz w:val="16"/>
        </w:rPr>
        <w:t xml:space="preserve">, </w:t>
      </w:r>
      <w:r>
        <w:rPr>
          <w:color w:val="231F20"/>
          <w:w w:val="105"/>
          <w:sz w:val="16"/>
        </w:rPr>
        <w:t>41</w:t>
      </w:r>
      <w:r>
        <w:rPr>
          <w:i/>
          <w:color w:val="231F20"/>
          <w:w w:val="105"/>
          <w:sz w:val="16"/>
        </w:rPr>
        <w:t>,</w:t>
      </w:r>
    </w:p>
    <w:p w14:paraId="5446920F" w14:textId="77777777" w:rsidR="002653E8" w:rsidRDefault="003115E3">
      <w:pPr>
        <w:spacing w:before="33"/>
        <w:ind w:left="1527"/>
        <w:rPr>
          <w:i/>
          <w:sz w:val="16"/>
        </w:rPr>
      </w:pPr>
      <w:r>
        <w:rPr>
          <w:color w:val="231F20"/>
          <w:w w:val="105"/>
          <w:sz w:val="16"/>
        </w:rPr>
        <w:t>48–49</w:t>
      </w:r>
      <w:r>
        <w:rPr>
          <w:i/>
          <w:color w:val="231F20"/>
          <w:w w:val="105"/>
          <w:sz w:val="16"/>
        </w:rPr>
        <w:t xml:space="preserve">, </w:t>
      </w:r>
      <w:r>
        <w:rPr>
          <w:color w:val="231F20"/>
          <w:w w:val="105"/>
          <w:sz w:val="16"/>
        </w:rPr>
        <w:t>582; and KPD (1959-64) 26</w:t>
      </w:r>
      <w:r>
        <w:rPr>
          <w:i/>
          <w:color w:val="231F20"/>
          <w:w w:val="105"/>
          <w:sz w:val="16"/>
        </w:rPr>
        <w:t>,</w:t>
      </w:r>
    </w:p>
    <w:p w14:paraId="325E1F65" w14:textId="77777777" w:rsidR="002653E8" w:rsidRDefault="003115E3">
      <w:pPr>
        <w:spacing w:before="32" w:line="280" w:lineRule="auto"/>
        <w:ind w:left="1527"/>
        <w:rPr>
          <w:sz w:val="16"/>
        </w:rPr>
      </w:pPr>
      <w:r>
        <w:rPr>
          <w:color w:val="231F20"/>
          <w:sz w:val="16"/>
        </w:rPr>
        <w:t>28</w:t>
      </w:r>
      <w:r>
        <w:rPr>
          <w:i/>
          <w:color w:val="231F20"/>
          <w:sz w:val="16"/>
        </w:rPr>
        <w:t xml:space="preserve">, </w:t>
      </w:r>
      <w:r>
        <w:rPr>
          <w:color w:val="231F20"/>
          <w:sz w:val="16"/>
        </w:rPr>
        <w:t>424; Letter to the Prisoners in Hamburg (1976) 405–407; library</w:t>
      </w:r>
    </w:p>
    <w:p w14:paraId="5FE72647" w14:textId="77777777" w:rsidR="002653E8" w:rsidRDefault="003115E3">
      <w:pPr>
        <w:spacing w:before="1"/>
        <w:ind w:left="1527"/>
        <w:rPr>
          <w:sz w:val="16"/>
        </w:rPr>
      </w:pPr>
      <w:r>
        <w:rPr>
          <w:color w:val="231F20"/>
          <w:sz w:val="16"/>
        </w:rPr>
        <w:t>break-out   54</w:t>
      </w:r>
      <w:r>
        <w:rPr>
          <w:i/>
          <w:color w:val="231F20"/>
          <w:sz w:val="16"/>
        </w:rPr>
        <w:t xml:space="preserve">, </w:t>
      </w:r>
      <w:r>
        <w:rPr>
          <w:color w:val="231F20"/>
          <w:sz w:val="16"/>
        </w:rPr>
        <w:t>55</w:t>
      </w:r>
      <w:r>
        <w:rPr>
          <w:i/>
          <w:color w:val="231F20"/>
          <w:sz w:val="16"/>
        </w:rPr>
        <w:t xml:space="preserve">, </w:t>
      </w:r>
      <w:r>
        <w:rPr>
          <w:color w:val="231F20"/>
          <w:sz w:val="16"/>
        </w:rPr>
        <w:t>584;  mentioned by</w:t>
      </w:r>
    </w:p>
    <w:p w14:paraId="41B461A9" w14:textId="77777777" w:rsidR="002653E8" w:rsidRDefault="003115E3">
      <w:pPr>
        <w:spacing w:before="33"/>
        <w:ind w:left="1527"/>
        <w:rPr>
          <w:sz w:val="16"/>
        </w:rPr>
      </w:pPr>
      <w:r>
        <w:rPr>
          <w:color w:val="231F20"/>
          <w:sz w:val="16"/>
        </w:rPr>
        <w:t>the  state   117</w:t>
      </w:r>
      <w:r>
        <w:rPr>
          <w:i/>
          <w:color w:val="231F20"/>
          <w:sz w:val="16"/>
        </w:rPr>
        <w:t xml:space="preserve">, </w:t>
      </w:r>
      <w:r>
        <w:rPr>
          <w:color w:val="231F20"/>
          <w:sz w:val="16"/>
        </w:rPr>
        <w:t>172</w:t>
      </w:r>
      <w:r>
        <w:rPr>
          <w:i/>
          <w:color w:val="231F20"/>
          <w:sz w:val="16"/>
        </w:rPr>
        <w:t xml:space="preserve">, </w:t>
      </w:r>
      <w:r>
        <w:rPr>
          <w:color w:val="231F20"/>
          <w:sz w:val="16"/>
        </w:rPr>
        <w:t>386; neurological</w:t>
      </w:r>
    </w:p>
    <w:p w14:paraId="40137180" w14:textId="77777777" w:rsidR="002653E8" w:rsidRDefault="003115E3">
      <w:pPr>
        <w:spacing w:before="32"/>
        <w:ind w:left="1527"/>
        <w:rPr>
          <w:i/>
          <w:sz w:val="16"/>
        </w:rPr>
      </w:pPr>
      <w:r>
        <w:rPr>
          <w:color w:val="231F20"/>
          <w:w w:val="105"/>
          <w:sz w:val="16"/>
        </w:rPr>
        <w:t>abuse 241</w:t>
      </w:r>
      <w:r>
        <w:rPr>
          <w:i/>
          <w:color w:val="231F20"/>
          <w:w w:val="105"/>
          <w:sz w:val="16"/>
        </w:rPr>
        <w:t xml:space="preserve">, </w:t>
      </w:r>
      <w:r>
        <w:rPr>
          <w:color w:val="231F20"/>
          <w:w w:val="105"/>
          <w:sz w:val="16"/>
        </w:rPr>
        <w:t>319</w:t>
      </w:r>
      <w:r>
        <w:rPr>
          <w:i/>
          <w:color w:val="231F20"/>
          <w:w w:val="105"/>
          <w:sz w:val="16"/>
        </w:rPr>
        <w:t xml:space="preserve">, </w:t>
      </w:r>
      <w:r>
        <w:rPr>
          <w:color w:val="231F20"/>
          <w:w w:val="105"/>
          <w:sz w:val="16"/>
        </w:rPr>
        <w:t>322</w:t>
      </w:r>
      <w:r>
        <w:rPr>
          <w:i/>
          <w:color w:val="231F20"/>
          <w:w w:val="105"/>
          <w:sz w:val="16"/>
        </w:rPr>
        <w:t xml:space="preserve">, </w:t>
      </w:r>
      <w:r>
        <w:rPr>
          <w:color w:val="231F20"/>
          <w:w w:val="105"/>
          <w:sz w:val="16"/>
        </w:rPr>
        <w:t>384</w:t>
      </w:r>
      <w:r>
        <w:rPr>
          <w:i/>
          <w:color w:val="231F20"/>
          <w:w w:val="105"/>
          <w:sz w:val="16"/>
        </w:rPr>
        <w:t xml:space="preserve">, </w:t>
      </w:r>
      <w:r>
        <w:rPr>
          <w:color w:val="231F20"/>
          <w:w w:val="105"/>
          <w:sz w:val="16"/>
        </w:rPr>
        <w:t>409–412</w:t>
      </w:r>
      <w:r>
        <w:rPr>
          <w:i/>
          <w:color w:val="231F20"/>
          <w:w w:val="105"/>
          <w:sz w:val="16"/>
        </w:rPr>
        <w:t>,</w:t>
      </w:r>
    </w:p>
    <w:p w14:paraId="44F624ED" w14:textId="77777777" w:rsidR="002653E8" w:rsidRDefault="003115E3">
      <w:pPr>
        <w:spacing w:before="32"/>
        <w:ind w:left="1527"/>
        <w:rPr>
          <w:sz w:val="16"/>
        </w:rPr>
      </w:pPr>
      <w:r>
        <w:rPr>
          <w:color w:val="231F20"/>
          <w:sz w:val="16"/>
        </w:rPr>
        <w:t>490</w:t>
      </w:r>
      <w:r>
        <w:rPr>
          <w:i/>
          <w:color w:val="231F20"/>
          <w:sz w:val="16"/>
        </w:rPr>
        <w:t xml:space="preserve">, </w:t>
      </w:r>
      <w:r>
        <w:rPr>
          <w:color w:val="231F20"/>
          <w:sz w:val="16"/>
        </w:rPr>
        <w:t>593;  On  the  Dead Wing (1972-</w:t>
      </w:r>
    </w:p>
    <w:p w14:paraId="31F36161" w14:textId="77777777" w:rsidR="002653E8" w:rsidRDefault="003115E3">
      <w:pPr>
        <w:spacing w:before="33" w:line="280" w:lineRule="auto"/>
        <w:ind w:left="1527" w:right="39"/>
        <w:rPr>
          <w:sz w:val="16"/>
        </w:rPr>
      </w:pPr>
      <w:r>
        <w:rPr>
          <w:color w:val="231F20"/>
          <w:sz w:val="16"/>
        </w:rPr>
        <w:t>73) 271–273; psychological warfare 413; and Jan-Carl Raspe 59</w:t>
      </w:r>
      <w:r>
        <w:rPr>
          <w:i/>
          <w:color w:val="231F20"/>
          <w:sz w:val="16"/>
        </w:rPr>
        <w:t xml:space="preserve">, </w:t>
      </w:r>
      <w:r>
        <w:rPr>
          <w:color w:val="231F20"/>
          <w:sz w:val="16"/>
        </w:rPr>
        <w:t>395–396; Regarding the Liberation of Andreas Baader (1974) 359–370; release demanded  189</w:t>
      </w:r>
      <w:r>
        <w:rPr>
          <w:i/>
          <w:color w:val="231F20"/>
          <w:sz w:val="16"/>
        </w:rPr>
        <w:t xml:space="preserve">, </w:t>
      </w:r>
      <w:r>
        <w:rPr>
          <w:color w:val="231F20"/>
          <w:sz w:val="16"/>
        </w:rPr>
        <w:t>192</w:t>
      </w:r>
      <w:r>
        <w:rPr>
          <w:i/>
          <w:color w:val="231F20"/>
          <w:sz w:val="16"/>
        </w:rPr>
        <w:t xml:space="preserve">, </w:t>
      </w:r>
      <w:r>
        <w:rPr>
          <w:color w:val="231F20"/>
          <w:sz w:val="16"/>
        </w:rPr>
        <w:t>328</w:t>
      </w:r>
      <w:r>
        <w:rPr>
          <w:i/>
          <w:color w:val="231F20"/>
          <w:sz w:val="16"/>
        </w:rPr>
        <w:t xml:space="preserve">, </w:t>
      </w:r>
      <w:r>
        <w:rPr>
          <w:color w:val="231F20"/>
          <w:sz w:val="16"/>
        </w:rPr>
        <w:t>332</w:t>
      </w:r>
      <w:r>
        <w:rPr>
          <w:i/>
          <w:color w:val="231F20"/>
          <w:sz w:val="16"/>
        </w:rPr>
        <w:t xml:space="preserve">, </w:t>
      </w:r>
      <w:r>
        <w:rPr>
          <w:color w:val="231F20"/>
          <w:sz w:val="16"/>
        </w:rPr>
        <w:t>339; and Klaus  Rainer  Röhl  26</w:t>
      </w:r>
      <w:r>
        <w:rPr>
          <w:i/>
          <w:color w:val="231F20"/>
          <w:sz w:val="16"/>
        </w:rPr>
        <w:t xml:space="preserve">, </w:t>
      </w:r>
      <w:r>
        <w:rPr>
          <w:color w:val="231F20"/>
          <w:sz w:val="16"/>
        </w:rPr>
        <w:t>48</w:t>
      </w:r>
      <w:r>
        <w:rPr>
          <w:i/>
          <w:color w:val="231F20"/>
          <w:sz w:val="16"/>
        </w:rPr>
        <w:t xml:space="preserve">, </w:t>
      </w:r>
      <w:r>
        <w:rPr>
          <w:color w:val="231F20"/>
          <w:sz w:val="16"/>
        </w:rPr>
        <w:t>583; role in the left 53</w:t>
      </w:r>
      <w:r>
        <w:rPr>
          <w:i/>
          <w:color w:val="231F20"/>
          <w:sz w:val="16"/>
        </w:rPr>
        <w:t xml:space="preserve">, </w:t>
      </w:r>
      <w:r>
        <w:rPr>
          <w:color w:val="231F20"/>
          <w:sz w:val="16"/>
        </w:rPr>
        <w:t>388</w:t>
      </w:r>
      <w:r>
        <w:rPr>
          <w:i/>
          <w:color w:val="231F20"/>
          <w:sz w:val="16"/>
        </w:rPr>
        <w:t xml:space="preserve">, </w:t>
      </w:r>
      <w:r>
        <w:rPr>
          <w:color w:val="231F20"/>
          <w:sz w:val="16"/>
        </w:rPr>
        <w:t>390</w:t>
      </w:r>
      <w:r>
        <w:rPr>
          <w:i/>
          <w:color w:val="231F20"/>
          <w:sz w:val="16"/>
        </w:rPr>
        <w:t xml:space="preserve">, </w:t>
      </w:r>
      <w:r>
        <w:rPr>
          <w:color w:val="231F20"/>
          <w:sz w:val="16"/>
        </w:rPr>
        <w:t>395</w:t>
      </w:r>
      <w:r>
        <w:rPr>
          <w:i/>
          <w:color w:val="231F20"/>
          <w:sz w:val="16"/>
        </w:rPr>
        <w:t xml:space="preserve">, </w:t>
      </w:r>
      <w:r>
        <w:rPr>
          <w:color w:val="231F20"/>
          <w:sz w:val="16"/>
        </w:rPr>
        <w:t xml:space="preserve">429; </w:t>
      </w:r>
      <w:r>
        <w:rPr>
          <w:i/>
          <w:color w:val="231F20"/>
          <w:sz w:val="16"/>
        </w:rPr>
        <w:t xml:space="preserve">Spiegel </w:t>
      </w:r>
      <w:r>
        <w:rPr>
          <w:color w:val="231F20"/>
          <w:sz w:val="16"/>
        </w:rPr>
        <w:t>interview (1975) 300</w:t>
      </w:r>
      <w:r>
        <w:rPr>
          <w:i/>
          <w:color w:val="231F20"/>
          <w:sz w:val="16"/>
        </w:rPr>
        <w:t xml:space="preserve">, </w:t>
      </w:r>
      <w:r>
        <w:rPr>
          <w:color w:val="231F20"/>
          <w:sz w:val="16"/>
        </w:rPr>
        <w:t>596; Springer bombing 357–358</w:t>
      </w:r>
      <w:r>
        <w:rPr>
          <w:i/>
          <w:color w:val="231F20"/>
          <w:sz w:val="16"/>
        </w:rPr>
        <w:t xml:space="preserve">, </w:t>
      </w:r>
      <w:r>
        <w:rPr>
          <w:color w:val="231F20"/>
          <w:sz w:val="16"/>
        </w:rPr>
        <w:t>422–423; Stammheim trial 388</w:t>
      </w:r>
      <w:r>
        <w:rPr>
          <w:i/>
          <w:color w:val="231F20"/>
          <w:sz w:val="16"/>
        </w:rPr>
        <w:t xml:space="preserve">, </w:t>
      </w:r>
      <w:r>
        <w:rPr>
          <w:color w:val="231F20"/>
          <w:sz w:val="16"/>
        </w:rPr>
        <w:t>455</w:t>
      </w:r>
      <w:r>
        <w:rPr>
          <w:i/>
          <w:color w:val="231F20"/>
          <w:sz w:val="16"/>
        </w:rPr>
        <w:t xml:space="preserve">, </w:t>
      </w:r>
      <w:r>
        <w:rPr>
          <w:color w:val="231F20"/>
          <w:sz w:val="16"/>
        </w:rPr>
        <w:t>598</w:t>
      </w:r>
      <w:r>
        <w:rPr>
          <w:i/>
          <w:color w:val="231F20"/>
          <w:sz w:val="16"/>
        </w:rPr>
        <w:t xml:space="preserve">, </w:t>
      </w:r>
      <w:r>
        <w:rPr>
          <w:color w:val="231F20"/>
          <w:sz w:val="16"/>
        </w:rPr>
        <w:t>600</w:t>
      </w:r>
      <w:r>
        <w:rPr>
          <w:i/>
          <w:color w:val="231F20"/>
          <w:sz w:val="16"/>
        </w:rPr>
        <w:t xml:space="preserve">. See also </w:t>
      </w:r>
      <w:r>
        <w:rPr>
          <w:color w:val="231F20"/>
          <w:sz w:val="16"/>
        </w:rPr>
        <w:t>Stammheim trial (1976-77); Statement to the Red Aid Teach-In (1972) 169</w:t>
      </w:r>
      <w:r>
        <w:rPr>
          <w:i/>
          <w:color w:val="231F20"/>
          <w:sz w:val="16"/>
        </w:rPr>
        <w:t xml:space="preserve">, </w:t>
      </w:r>
      <w:r>
        <w:rPr>
          <w:color w:val="231F20"/>
          <w:sz w:val="16"/>
        </w:rPr>
        <w:t>200</w:t>
      </w:r>
      <w:r>
        <w:rPr>
          <w:i/>
          <w:color w:val="231F20"/>
          <w:sz w:val="16"/>
        </w:rPr>
        <w:t xml:space="preserve">, </w:t>
      </w:r>
      <w:r>
        <w:rPr>
          <w:color w:val="231F20"/>
          <w:sz w:val="16"/>
        </w:rPr>
        <w:t>591; sued by Franz Josef Strauß (1961) 41; third hunger strike (1974-75) 253</w:t>
      </w:r>
      <w:r>
        <w:rPr>
          <w:i/>
          <w:color w:val="231F20"/>
          <w:sz w:val="16"/>
        </w:rPr>
        <w:t xml:space="preserve">, </w:t>
      </w:r>
      <w:r>
        <w:rPr>
          <w:color w:val="231F20"/>
          <w:sz w:val="16"/>
        </w:rPr>
        <w:t>594; trial (1974) 255</w:t>
      </w:r>
      <w:r>
        <w:rPr>
          <w:i/>
          <w:color w:val="231F20"/>
          <w:sz w:val="16"/>
        </w:rPr>
        <w:t xml:space="preserve">, </w:t>
      </w:r>
      <w:r>
        <w:rPr>
          <w:color w:val="231F20"/>
          <w:sz w:val="16"/>
        </w:rPr>
        <w:t xml:space="preserve">595; </w:t>
      </w:r>
      <w:r>
        <w:rPr>
          <w:color w:val="231F20"/>
          <w:spacing w:val="-5"/>
          <w:sz w:val="16"/>
        </w:rPr>
        <w:t xml:space="preserve">Two </w:t>
      </w:r>
      <w:r>
        <w:rPr>
          <w:color w:val="231F20"/>
          <w:sz w:val="16"/>
        </w:rPr>
        <w:t>Letters  to  Hanna Krabbe (1976) 400–402; underground 258</w:t>
      </w:r>
      <w:r>
        <w:rPr>
          <w:i/>
          <w:color w:val="231F20"/>
          <w:sz w:val="16"/>
        </w:rPr>
        <w:t xml:space="preserve">, </w:t>
      </w:r>
      <w:r>
        <w:rPr>
          <w:color w:val="231F20"/>
          <w:sz w:val="16"/>
        </w:rPr>
        <w:t>413</w:t>
      </w:r>
      <w:r>
        <w:rPr>
          <w:i/>
          <w:color w:val="231F20"/>
          <w:sz w:val="16"/>
        </w:rPr>
        <w:t>,</w:t>
      </w:r>
      <w:r>
        <w:rPr>
          <w:i/>
          <w:color w:val="231F20"/>
          <w:spacing w:val="6"/>
          <w:sz w:val="16"/>
        </w:rPr>
        <w:t xml:space="preserve"> </w:t>
      </w:r>
      <w:r>
        <w:rPr>
          <w:color w:val="231F20"/>
          <w:sz w:val="16"/>
        </w:rPr>
        <w:t>585</w:t>
      </w:r>
    </w:p>
    <w:p w14:paraId="60EB9270" w14:textId="77777777" w:rsidR="002653E8" w:rsidRDefault="003115E3">
      <w:pPr>
        <w:spacing w:before="10" w:line="280" w:lineRule="auto"/>
        <w:ind w:left="1527" w:right="44" w:hanging="200"/>
        <w:rPr>
          <w:sz w:val="16"/>
        </w:rPr>
      </w:pPr>
      <w:r w:rsidRPr="00846956">
        <w:rPr>
          <w:color w:val="231F20"/>
          <w:sz w:val="16"/>
          <w:lang w:val="de-DE"/>
        </w:rPr>
        <w:t>Meinhof, Ulrike—death in Stammheim 381–387</w:t>
      </w:r>
      <w:r w:rsidRPr="00846956">
        <w:rPr>
          <w:i/>
          <w:color w:val="231F20"/>
          <w:sz w:val="16"/>
          <w:lang w:val="de-DE"/>
        </w:rPr>
        <w:t xml:space="preserve">, </w:t>
      </w:r>
      <w:r w:rsidRPr="00846956">
        <w:rPr>
          <w:color w:val="231F20"/>
          <w:sz w:val="16"/>
          <w:lang w:val="de-DE"/>
        </w:rPr>
        <w:t>600</w:t>
      </w:r>
      <w:r w:rsidRPr="00846956">
        <w:rPr>
          <w:i/>
          <w:color w:val="231F20"/>
          <w:sz w:val="16"/>
          <w:lang w:val="de-DE"/>
        </w:rPr>
        <w:t xml:space="preserve">, </w:t>
      </w:r>
      <w:r w:rsidRPr="00846956">
        <w:rPr>
          <w:color w:val="231F20"/>
          <w:sz w:val="16"/>
          <w:lang w:val="de-DE"/>
        </w:rPr>
        <w:t>611</w:t>
      </w:r>
      <w:r w:rsidRPr="00846956">
        <w:rPr>
          <w:i/>
          <w:color w:val="231F20"/>
          <w:sz w:val="16"/>
          <w:lang w:val="de-DE"/>
        </w:rPr>
        <w:t xml:space="preserve">. </w:t>
      </w:r>
      <w:r>
        <w:rPr>
          <w:i/>
          <w:color w:val="231F20"/>
          <w:sz w:val="16"/>
        </w:rPr>
        <w:t xml:space="preserve">See also </w:t>
      </w:r>
      <w:r>
        <w:rPr>
          <w:color w:val="231F20"/>
          <w:sz w:val="16"/>
        </w:rPr>
        <w:t>protests: death of Ulrike Meinhof (1976)</w:t>
      </w:r>
      <w:r>
        <w:rPr>
          <w:i/>
          <w:color w:val="231F20"/>
          <w:sz w:val="16"/>
        </w:rPr>
        <w:t xml:space="preserve">; See also </w:t>
      </w:r>
      <w:r>
        <w:rPr>
          <w:color w:val="231F20"/>
          <w:sz w:val="16"/>
        </w:rPr>
        <w:t>International Investigatory Commission into the Death of Ulrike Meinhof</w:t>
      </w:r>
      <w:r>
        <w:rPr>
          <w:i/>
          <w:color w:val="231F20"/>
          <w:sz w:val="16"/>
        </w:rPr>
        <w:t xml:space="preserve">; See also  </w:t>
      </w:r>
      <w:r>
        <w:rPr>
          <w:color w:val="231F20"/>
          <w:sz w:val="16"/>
        </w:rPr>
        <w:t>Meinhof,  Ulrike—death in Stammheim: psychological warfare; demand for international investigation 470</w:t>
      </w:r>
      <w:r>
        <w:rPr>
          <w:i/>
          <w:color w:val="231F20"/>
          <w:sz w:val="16"/>
        </w:rPr>
        <w:t xml:space="preserve">, </w:t>
      </w:r>
      <w:r>
        <w:rPr>
          <w:color w:val="231F20"/>
          <w:sz w:val="16"/>
        </w:rPr>
        <w:t>487</w:t>
      </w:r>
      <w:r>
        <w:rPr>
          <w:i/>
          <w:color w:val="231F20"/>
          <w:sz w:val="16"/>
        </w:rPr>
        <w:t xml:space="preserve">, </w:t>
      </w:r>
      <w:r>
        <w:rPr>
          <w:color w:val="231F20"/>
          <w:sz w:val="16"/>
        </w:rPr>
        <w:t>604; “estate” 460;</w:t>
      </w:r>
      <w:r>
        <w:rPr>
          <w:color w:val="231F20"/>
          <w:spacing w:val="22"/>
          <w:sz w:val="16"/>
        </w:rPr>
        <w:t xml:space="preserve"> </w:t>
      </w:r>
      <w:r>
        <w:rPr>
          <w:color w:val="231F20"/>
          <w:sz w:val="16"/>
        </w:rPr>
        <w:t>funeral</w:t>
      </w:r>
    </w:p>
    <w:p w14:paraId="485DC879" w14:textId="77777777" w:rsidR="002653E8" w:rsidRDefault="003115E3">
      <w:pPr>
        <w:spacing w:before="4" w:line="280" w:lineRule="auto"/>
        <w:ind w:left="1527" w:right="75"/>
        <w:rPr>
          <w:sz w:val="16"/>
        </w:rPr>
      </w:pPr>
      <w:r>
        <w:rPr>
          <w:color w:val="231F20"/>
          <w:sz w:val="16"/>
        </w:rPr>
        <w:t>389</w:t>
      </w:r>
      <w:r>
        <w:rPr>
          <w:i/>
          <w:color w:val="231F20"/>
          <w:sz w:val="16"/>
        </w:rPr>
        <w:t xml:space="preserve">, </w:t>
      </w:r>
      <w:r>
        <w:rPr>
          <w:color w:val="231F20"/>
          <w:sz w:val="16"/>
        </w:rPr>
        <w:t>460; historiography 393–394; Jan-Carl Raspe: On the Murder of Ulrike Meinhof (1977) 395–396; psy-</w:t>
      </w:r>
    </w:p>
    <w:p w14:paraId="50E0B87A" w14:textId="77777777" w:rsidR="002653E8" w:rsidRDefault="003115E3">
      <w:pPr>
        <w:spacing w:before="2"/>
        <w:ind w:left="1527"/>
        <w:rPr>
          <w:i/>
          <w:sz w:val="16"/>
        </w:rPr>
      </w:pPr>
      <w:r>
        <w:rPr>
          <w:color w:val="231F20"/>
          <w:w w:val="105"/>
          <w:sz w:val="16"/>
        </w:rPr>
        <w:t>chological warfare 358</w:t>
      </w:r>
      <w:r>
        <w:rPr>
          <w:i/>
          <w:color w:val="231F20"/>
          <w:w w:val="105"/>
          <w:sz w:val="16"/>
        </w:rPr>
        <w:t xml:space="preserve">, </w:t>
      </w:r>
      <w:r>
        <w:rPr>
          <w:color w:val="231F20"/>
          <w:w w:val="105"/>
          <w:sz w:val="16"/>
        </w:rPr>
        <w:t>381</w:t>
      </w:r>
      <w:r>
        <w:rPr>
          <w:i/>
          <w:color w:val="231F20"/>
          <w:w w:val="105"/>
          <w:sz w:val="16"/>
        </w:rPr>
        <w:t>,</w:t>
      </w:r>
      <w:r>
        <w:rPr>
          <w:i/>
          <w:color w:val="231F20"/>
          <w:spacing w:val="-10"/>
          <w:w w:val="105"/>
          <w:sz w:val="16"/>
        </w:rPr>
        <w:t xml:space="preserve"> </w:t>
      </w:r>
      <w:r>
        <w:rPr>
          <w:color w:val="231F20"/>
          <w:w w:val="105"/>
          <w:sz w:val="16"/>
        </w:rPr>
        <w:t>386–387</w:t>
      </w:r>
      <w:r>
        <w:rPr>
          <w:i/>
          <w:color w:val="231F20"/>
          <w:w w:val="105"/>
          <w:sz w:val="16"/>
        </w:rPr>
        <w:t>,</w:t>
      </w:r>
    </w:p>
    <w:p w14:paraId="5811F716" w14:textId="77777777" w:rsidR="002653E8" w:rsidRDefault="003115E3">
      <w:pPr>
        <w:spacing w:before="32"/>
        <w:ind w:left="1527"/>
        <w:rPr>
          <w:i/>
          <w:sz w:val="16"/>
        </w:rPr>
      </w:pPr>
      <w:r>
        <w:rPr>
          <w:color w:val="231F20"/>
          <w:w w:val="110"/>
          <w:sz w:val="16"/>
        </w:rPr>
        <w:t>391–392</w:t>
      </w:r>
      <w:r>
        <w:rPr>
          <w:i/>
          <w:color w:val="231F20"/>
          <w:w w:val="110"/>
          <w:sz w:val="16"/>
        </w:rPr>
        <w:t xml:space="preserve">, </w:t>
      </w:r>
      <w:r>
        <w:rPr>
          <w:color w:val="231F20"/>
          <w:w w:val="110"/>
          <w:sz w:val="16"/>
        </w:rPr>
        <w:t>396</w:t>
      </w:r>
      <w:r>
        <w:rPr>
          <w:i/>
          <w:color w:val="231F20"/>
          <w:w w:val="110"/>
          <w:sz w:val="16"/>
        </w:rPr>
        <w:t xml:space="preserve">, </w:t>
      </w:r>
      <w:r>
        <w:rPr>
          <w:color w:val="231F20"/>
          <w:w w:val="110"/>
          <w:sz w:val="16"/>
        </w:rPr>
        <w:t>412–413</w:t>
      </w:r>
      <w:r>
        <w:rPr>
          <w:i/>
          <w:color w:val="231F20"/>
          <w:w w:val="110"/>
          <w:sz w:val="16"/>
        </w:rPr>
        <w:t xml:space="preserve">, </w:t>
      </w:r>
      <w:r>
        <w:rPr>
          <w:color w:val="231F20"/>
          <w:w w:val="110"/>
          <w:sz w:val="16"/>
        </w:rPr>
        <w:t>413</w:t>
      </w:r>
      <w:r>
        <w:rPr>
          <w:i/>
          <w:color w:val="231F20"/>
          <w:w w:val="110"/>
          <w:sz w:val="16"/>
        </w:rPr>
        <w:t xml:space="preserve">, </w:t>
      </w:r>
      <w:r>
        <w:rPr>
          <w:color w:val="231F20"/>
          <w:w w:val="110"/>
          <w:sz w:val="16"/>
        </w:rPr>
        <w:t>430</w:t>
      </w:r>
      <w:r>
        <w:rPr>
          <w:i/>
          <w:color w:val="231F20"/>
          <w:w w:val="110"/>
          <w:sz w:val="16"/>
        </w:rPr>
        <w:t>,</w:t>
      </w:r>
    </w:p>
    <w:p w14:paraId="4440EDDE" w14:textId="77777777" w:rsidR="002653E8" w:rsidRDefault="003115E3">
      <w:pPr>
        <w:spacing w:before="33"/>
        <w:ind w:left="1527"/>
        <w:rPr>
          <w:i/>
          <w:sz w:val="16"/>
        </w:rPr>
      </w:pPr>
      <w:r>
        <w:rPr>
          <w:color w:val="231F20"/>
          <w:w w:val="105"/>
          <w:sz w:val="16"/>
        </w:rPr>
        <w:t xml:space="preserve">491; discussed by the </w:t>
      </w:r>
      <w:r w:rsidR="00C507A5">
        <w:rPr>
          <w:color w:val="231F20"/>
          <w:w w:val="105"/>
          <w:sz w:val="16"/>
        </w:rPr>
        <w:t>red army faction</w:t>
      </w:r>
      <w:r>
        <w:rPr>
          <w:color w:val="231F20"/>
          <w:w w:val="105"/>
          <w:sz w:val="16"/>
        </w:rPr>
        <w:t xml:space="preserve"> 395–396</w:t>
      </w:r>
      <w:r>
        <w:rPr>
          <w:i/>
          <w:color w:val="231F20"/>
          <w:w w:val="105"/>
          <w:sz w:val="16"/>
        </w:rPr>
        <w:t>,</w:t>
      </w:r>
    </w:p>
    <w:p w14:paraId="09F2468D" w14:textId="77777777" w:rsidR="002653E8" w:rsidRDefault="003115E3">
      <w:pPr>
        <w:spacing w:before="32"/>
        <w:ind w:left="1527"/>
        <w:rPr>
          <w:sz w:val="16"/>
        </w:rPr>
      </w:pPr>
      <w:r>
        <w:rPr>
          <w:color w:val="231F20"/>
          <w:w w:val="105"/>
          <w:sz w:val="16"/>
        </w:rPr>
        <w:t>408–409</w:t>
      </w:r>
      <w:r>
        <w:rPr>
          <w:i/>
          <w:color w:val="231F20"/>
          <w:w w:val="105"/>
          <w:sz w:val="16"/>
        </w:rPr>
        <w:t xml:space="preserve">, </w:t>
      </w:r>
      <w:r>
        <w:rPr>
          <w:color w:val="231F20"/>
          <w:w w:val="105"/>
          <w:sz w:val="16"/>
        </w:rPr>
        <w:t>412–413</w:t>
      </w:r>
      <w:r>
        <w:rPr>
          <w:i/>
          <w:color w:val="231F20"/>
          <w:w w:val="105"/>
          <w:sz w:val="16"/>
        </w:rPr>
        <w:t xml:space="preserve">, </w:t>
      </w:r>
      <w:r>
        <w:rPr>
          <w:color w:val="231F20"/>
          <w:w w:val="105"/>
          <w:sz w:val="16"/>
        </w:rPr>
        <w:t>416</w:t>
      </w:r>
      <w:r>
        <w:rPr>
          <w:i/>
          <w:color w:val="231F20"/>
          <w:w w:val="105"/>
          <w:sz w:val="16"/>
        </w:rPr>
        <w:t xml:space="preserve">, </w:t>
      </w:r>
      <w:r>
        <w:rPr>
          <w:color w:val="231F20"/>
          <w:w w:val="105"/>
          <w:sz w:val="16"/>
        </w:rPr>
        <w:t>490–491;</w:t>
      </w:r>
    </w:p>
    <w:p w14:paraId="2E894E17" w14:textId="77777777" w:rsidR="002653E8" w:rsidRDefault="003115E3">
      <w:pPr>
        <w:spacing w:before="33"/>
        <w:ind w:left="1527"/>
        <w:rPr>
          <w:i/>
          <w:sz w:val="16"/>
        </w:rPr>
      </w:pPr>
      <w:r>
        <w:rPr>
          <w:color w:val="231F20"/>
          <w:w w:val="105"/>
          <w:sz w:val="16"/>
        </w:rPr>
        <w:t xml:space="preserve">mentioned by </w:t>
      </w:r>
      <w:r w:rsidR="00C507A5">
        <w:rPr>
          <w:color w:val="231F20"/>
          <w:w w:val="105"/>
          <w:sz w:val="16"/>
        </w:rPr>
        <w:t>red army faction</w:t>
      </w:r>
      <w:r>
        <w:rPr>
          <w:color w:val="231F20"/>
          <w:w w:val="105"/>
          <w:sz w:val="16"/>
        </w:rPr>
        <w:t xml:space="preserve">  428</w:t>
      </w:r>
      <w:r>
        <w:rPr>
          <w:i/>
          <w:color w:val="231F20"/>
          <w:w w:val="105"/>
          <w:sz w:val="16"/>
        </w:rPr>
        <w:t xml:space="preserve">, </w:t>
      </w:r>
      <w:r>
        <w:rPr>
          <w:color w:val="231F20"/>
          <w:w w:val="105"/>
          <w:sz w:val="16"/>
        </w:rPr>
        <w:t>428–429</w:t>
      </w:r>
      <w:r>
        <w:rPr>
          <w:i/>
          <w:color w:val="231F20"/>
          <w:w w:val="105"/>
          <w:sz w:val="16"/>
        </w:rPr>
        <w:t>,</w:t>
      </w:r>
    </w:p>
    <w:p w14:paraId="64858B0A" w14:textId="77777777" w:rsidR="002653E8" w:rsidRDefault="003115E3">
      <w:pPr>
        <w:spacing w:before="32"/>
        <w:ind w:left="1527"/>
        <w:rPr>
          <w:sz w:val="16"/>
        </w:rPr>
      </w:pPr>
      <w:r>
        <w:rPr>
          <w:color w:val="231F20"/>
          <w:sz w:val="16"/>
        </w:rPr>
        <w:t>465</w:t>
      </w:r>
      <w:r>
        <w:rPr>
          <w:i/>
          <w:color w:val="231F20"/>
          <w:sz w:val="16"/>
        </w:rPr>
        <w:t xml:space="preserve">, </w:t>
      </w:r>
      <w:r>
        <w:rPr>
          <w:color w:val="231F20"/>
          <w:sz w:val="16"/>
        </w:rPr>
        <w:t>496; rape 382–383</w:t>
      </w:r>
    </w:p>
    <w:p w14:paraId="7233F1CB" w14:textId="77777777" w:rsidR="002653E8" w:rsidRDefault="003115E3">
      <w:pPr>
        <w:spacing w:before="86" w:line="280" w:lineRule="auto"/>
        <w:ind w:left="454" w:right="1192" w:hanging="200"/>
        <w:rPr>
          <w:sz w:val="16"/>
        </w:rPr>
      </w:pPr>
      <w:r>
        <w:br w:type="column"/>
      </w:r>
      <w:r>
        <w:rPr>
          <w:color w:val="231F20"/>
          <w:w w:val="105"/>
          <w:sz w:val="16"/>
        </w:rPr>
        <w:t>Meins, Holger 238</w:t>
      </w:r>
      <w:r>
        <w:rPr>
          <w:i/>
          <w:color w:val="231F20"/>
          <w:w w:val="105"/>
          <w:sz w:val="16"/>
        </w:rPr>
        <w:t xml:space="preserve">, </w:t>
      </w:r>
      <w:r>
        <w:rPr>
          <w:color w:val="231F20"/>
          <w:w w:val="105"/>
          <w:sz w:val="16"/>
        </w:rPr>
        <w:t>572</w:t>
      </w:r>
      <w:r>
        <w:rPr>
          <w:i/>
          <w:color w:val="231F20"/>
          <w:w w:val="105"/>
          <w:sz w:val="16"/>
        </w:rPr>
        <w:t xml:space="preserve">. See also </w:t>
      </w:r>
      <w:r>
        <w:rPr>
          <w:color w:val="231F20"/>
          <w:w w:val="105"/>
          <w:sz w:val="16"/>
        </w:rPr>
        <w:t>Meins, Holger—death in Cologne-Wittlich; Agit 883  46</w:t>
      </w:r>
      <w:r>
        <w:rPr>
          <w:i/>
          <w:color w:val="231F20"/>
          <w:w w:val="105"/>
          <w:sz w:val="16"/>
        </w:rPr>
        <w:t xml:space="preserve">, </w:t>
      </w:r>
      <w:r>
        <w:rPr>
          <w:color w:val="231F20"/>
          <w:w w:val="105"/>
          <w:sz w:val="16"/>
        </w:rPr>
        <w:t>55; in APO  31; captured</w:t>
      </w:r>
    </w:p>
    <w:p w14:paraId="4DCFFFEB" w14:textId="77777777" w:rsidR="002653E8" w:rsidRDefault="003115E3">
      <w:pPr>
        <w:spacing w:before="2"/>
        <w:ind w:left="454"/>
        <w:rPr>
          <w:sz w:val="16"/>
        </w:rPr>
      </w:pPr>
      <w:r>
        <w:rPr>
          <w:color w:val="231F20"/>
          <w:w w:val="105"/>
          <w:sz w:val="16"/>
        </w:rPr>
        <w:t>(1972) 170</w:t>
      </w:r>
      <w:r>
        <w:rPr>
          <w:i/>
          <w:color w:val="231F20"/>
          <w:w w:val="105"/>
          <w:sz w:val="16"/>
        </w:rPr>
        <w:t xml:space="preserve">, </w:t>
      </w:r>
      <w:r>
        <w:rPr>
          <w:color w:val="231F20"/>
          <w:w w:val="105"/>
          <w:sz w:val="16"/>
        </w:rPr>
        <w:t>171</w:t>
      </w:r>
      <w:r>
        <w:rPr>
          <w:i/>
          <w:color w:val="231F20"/>
          <w:w w:val="105"/>
          <w:sz w:val="16"/>
        </w:rPr>
        <w:t xml:space="preserve">, </w:t>
      </w:r>
      <w:r>
        <w:rPr>
          <w:color w:val="231F20"/>
          <w:w w:val="105"/>
          <w:sz w:val="16"/>
        </w:rPr>
        <w:t>200</w:t>
      </w:r>
      <w:r>
        <w:rPr>
          <w:i/>
          <w:color w:val="231F20"/>
          <w:w w:val="105"/>
          <w:sz w:val="16"/>
        </w:rPr>
        <w:t xml:space="preserve">, </w:t>
      </w:r>
      <w:r>
        <w:rPr>
          <w:color w:val="231F20"/>
          <w:w w:val="105"/>
          <w:sz w:val="16"/>
        </w:rPr>
        <w:t>591; force-feed-</w:t>
      </w:r>
    </w:p>
    <w:p w14:paraId="3F99A7EC" w14:textId="77777777" w:rsidR="002653E8" w:rsidRDefault="003115E3">
      <w:pPr>
        <w:spacing w:before="32"/>
        <w:ind w:left="454"/>
        <w:rPr>
          <w:sz w:val="16"/>
        </w:rPr>
      </w:pPr>
      <w:r>
        <w:rPr>
          <w:color w:val="231F20"/>
          <w:w w:val="105"/>
          <w:sz w:val="16"/>
        </w:rPr>
        <w:t>ing 259</w:t>
      </w:r>
      <w:r>
        <w:rPr>
          <w:i/>
          <w:color w:val="231F20"/>
          <w:w w:val="105"/>
          <w:sz w:val="16"/>
        </w:rPr>
        <w:t xml:space="preserve">, </w:t>
      </w:r>
      <w:r>
        <w:rPr>
          <w:color w:val="231F20"/>
          <w:w w:val="105"/>
          <w:sz w:val="16"/>
        </w:rPr>
        <w:t>259–260</w:t>
      </w:r>
      <w:r>
        <w:rPr>
          <w:i/>
          <w:color w:val="231F20"/>
          <w:w w:val="105"/>
          <w:sz w:val="16"/>
        </w:rPr>
        <w:t xml:space="preserve">, </w:t>
      </w:r>
      <w:r>
        <w:rPr>
          <w:color w:val="231F20"/>
          <w:w w:val="105"/>
          <w:sz w:val="16"/>
        </w:rPr>
        <w:t>292–295; isolation</w:t>
      </w:r>
    </w:p>
    <w:p w14:paraId="04CBE281" w14:textId="77777777" w:rsidR="002653E8" w:rsidRDefault="003115E3">
      <w:pPr>
        <w:spacing w:before="33"/>
        <w:ind w:left="454"/>
        <w:rPr>
          <w:i/>
          <w:sz w:val="16"/>
        </w:rPr>
      </w:pPr>
      <w:r>
        <w:rPr>
          <w:color w:val="231F20"/>
          <w:sz w:val="16"/>
        </w:rPr>
        <w:t>238; Last Letter (1974) 296–299</w:t>
      </w:r>
      <w:r>
        <w:rPr>
          <w:i/>
          <w:color w:val="231F20"/>
          <w:sz w:val="16"/>
        </w:rPr>
        <w:t>,</w:t>
      </w:r>
    </w:p>
    <w:p w14:paraId="1CBD1335" w14:textId="77777777" w:rsidR="002653E8" w:rsidRDefault="003115E3">
      <w:pPr>
        <w:spacing w:before="32"/>
        <w:ind w:left="454"/>
        <w:rPr>
          <w:i/>
          <w:sz w:val="16"/>
        </w:rPr>
      </w:pPr>
      <w:r>
        <w:rPr>
          <w:color w:val="231F20"/>
          <w:w w:val="105"/>
          <w:sz w:val="16"/>
        </w:rPr>
        <w:t>483; Molotov Cocktail film 150</w:t>
      </w:r>
      <w:r>
        <w:rPr>
          <w:i/>
          <w:color w:val="231F20"/>
          <w:w w:val="105"/>
          <w:sz w:val="16"/>
        </w:rPr>
        <w:t>,</w:t>
      </w:r>
    </w:p>
    <w:p w14:paraId="1C968F67" w14:textId="77777777" w:rsidR="002653E8" w:rsidRDefault="003115E3">
      <w:pPr>
        <w:spacing w:before="33"/>
        <w:ind w:left="454"/>
        <w:rPr>
          <w:sz w:val="16"/>
        </w:rPr>
      </w:pPr>
      <w:r>
        <w:rPr>
          <w:color w:val="231F20"/>
          <w:sz w:val="16"/>
        </w:rPr>
        <w:t>581; Report on Force-Feeding (1974)</w:t>
      </w:r>
    </w:p>
    <w:p w14:paraId="57083044" w14:textId="77777777" w:rsidR="002653E8" w:rsidRDefault="003115E3">
      <w:pPr>
        <w:spacing w:before="32"/>
        <w:ind w:left="454"/>
        <w:rPr>
          <w:i/>
          <w:sz w:val="16"/>
        </w:rPr>
      </w:pPr>
      <w:r>
        <w:rPr>
          <w:color w:val="231F20"/>
          <w:w w:val="105"/>
          <w:sz w:val="16"/>
        </w:rPr>
        <w:t>292–295; underground 59</w:t>
      </w:r>
      <w:r>
        <w:rPr>
          <w:i/>
          <w:color w:val="231F20"/>
          <w:w w:val="105"/>
          <w:sz w:val="16"/>
        </w:rPr>
        <w:t xml:space="preserve">, </w:t>
      </w:r>
      <w:r>
        <w:rPr>
          <w:color w:val="231F20"/>
          <w:w w:val="105"/>
          <w:sz w:val="16"/>
        </w:rPr>
        <w:t>353</w:t>
      </w:r>
      <w:r>
        <w:rPr>
          <w:i/>
          <w:color w:val="231F20"/>
          <w:w w:val="105"/>
          <w:sz w:val="16"/>
        </w:rPr>
        <w:t xml:space="preserve">, </w:t>
      </w:r>
      <w:r>
        <w:rPr>
          <w:color w:val="231F20"/>
          <w:w w:val="105"/>
          <w:sz w:val="16"/>
        </w:rPr>
        <w:t>585</w:t>
      </w:r>
      <w:r>
        <w:rPr>
          <w:i/>
          <w:color w:val="231F20"/>
          <w:w w:val="105"/>
          <w:sz w:val="16"/>
        </w:rPr>
        <w:t>,</w:t>
      </w:r>
    </w:p>
    <w:p w14:paraId="70309657" w14:textId="77777777" w:rsidR="002653E8" w:rsidRDefault="003115E3">
      <w:pPr>
        <w:spacing w:before="32"/>
        <w:ind w:left="454"/>
        <w:rPr>
          <w:sz w:val="16"/>
        </w:rPr>
      </w:pPr>
      <w:r>
        <w:rPr>
          <w:color w:val="231F20"/>
          <w:sz w:val="16"/>
        </w:rPr>
        <w:t>587</w:t>
      </w:r>
    </w:p>
    <w:p w14:paraId="13046831" w14:textId="77777777" w:rsidR="002653E8" w:rsidRDefault="003115E3">
      <w:pPr>
        <w:spacing w:before="33" w:line="280" w:lineRule="auto"/>
        <w:ind w:left="454" w:right="1078" w:hanging="200"/>
        <w:rPr>
          <w:sz w:val="16"/>
        </w:rPr>
      </w:pPr>
      <w:r>
        <w:rPr>
          <w:color w:val="231F20"/>
          <w:w w:val="105"/>
          <w:sz w:val="16"/>
        </w:rPr>
        <w:t>Meins, Holger—death in Cologne-Wittlich 260–261</w:t>
      </w:r>
      <w:r>
        <w:rPr>
          <w:i/>
          <w:color w:val="231F20"/>
          <w:w w:val="105"/>
          <w:sz w:val="16"/>
        </w:rPr>
        <w:t xml:space="preserve">, </w:t>
      </w:r>
      <w:r>
        <w:rPr>
          <w:color w:val="231F20"/>
          <w:w w:val="105"/>
          <w:sz w:val="16"/>
        </w:rPr>
        <w:t>595</w:t>
      </w:r>
      <w:r>
        <w:rPr>
          <w:i/>
          <w:color w:val="231F20"/>
          <w:w w:val="105"/>
          <w:sz w:val="16"/>
        </w:rPr>
        <w:t xml:space="preserve">. See also </w:t>
      </w:r>
      <w:r>
        <w:rPr>
          <w:color w:val="231F20"/>
          <w:w w:val="105"/>
          <w:sz w:val="16"/>
        </w:rPr>
        <w:t>protests: death of Holger Meins (1974); demand for international investigation 487</w:t>
      </w:r>
      <w:r>
        <w:rPr>
          <w:i/>
          <w:color w:val="231F20"/>
          <w:w w:val="105"/>
          <w:sz w:val="16"/>
        </w:rPr>
        <w:t xml:space="preserve">, </w:t>
      </w:r>
      <w:r>
        <w:rPr>
          <w:color w:val="231F20"/>
          <w:w w:val="105"/>
          <w:sz w:val="16"/>
        </w:rPr>
        <w:t>604; effect on prisoners supporters 262</w:t>
      </w:r>
      <w:r>
        <w:rPr>
          <w:i/>
          <w:color w:val="231F20"/>
          <w:w w:val="105"/>
          <w:sz w:val="16"/>
        </w:rPr>
        <w:t xml:space="preserve">, </w:t>
      </w:r>
      <w:r>
        <w:rPr>
          <w:color w:val="231F20"/>
          <w:w w:val="105"/>
          <w:sz w:val="16"/>
        </w:rPr>
        <w:t>332</w:t>
      </w:r>
      <w:r>
        <w:rPr>
          <w:i/>
          <w:color w:val="231F20"/>
          <w:w w:val="105"/>
          <w:sz w:val="16"/>
        </w:rPr>
        <w:t xml:space="preserve">, </w:t>
      </w:r>
      <w:r>
        <w:rPr>
          <w:color w:val="231F20"/>
          <w:w w:val="105"/>
          <w:sz w:val="16"/>
        </w:rPr>
        <w:t>345</w:t>
      </w:r>
      <w:r>
        <w:rPr>
          <w:i/>
          <w:color w:val="231F20"/>
          <w:w w:val="105"/>
          <w:sz w:val="16"/>
        </w:rPr>
        <w:t xml:space="preserve">, </w:t>
      </w:r>
      <w:r>
        <w:rPr>
          <w:color w:val="231F20"/>
          <w:w w:val="105"/>
          <w:sz w:val="16"/>
        </w:rPr>
        <w:t>439; psychological warfare</w:t>
      </w:r>
    </w:p>
    <w:p w14:paraId="2B1DD886" w14:textId="77777777" w:rsidR="002653E8" w:rsidRDefault="003115E3">
      <w:pPr>
        <w:spacing w:before="3"/>
        <w:ind w:left="454"/>
        <w:rPr>
          <w:i/>
          <w:sz w:val="16"/>
        </w:rPr>
      </w:pPr>
      <w:r>
        <w:rPr>
          <w:color w:val="231F20"/>
          <w:w w:val="105"/>
          <w:sz w:val="16"/>
        </w:rPr>
        <w:t xml:space="preserve">263; discussed by </w:t>
      </w:r>
      <w:r w:rsidR="00C507A5">
        <w:rPr>
          <w:color w:val="231F20"/>
          <w:w w:val="105"/>
          <w:sz w:val="16"/>
        </w:rPr>
        <w:t>red army faction</w:t>
      </w:r>
      <w:r>
        <w:rPr>
          <w:color w:val="231F20"/>
          <w:w w:val="105"/>
          <w:sz w:val="16"/>
        </w:rPr>
        <w:t xml:space="preserve"> 303–305</w:t>
      </w:r>
      <w:r>
        <w:rPr>
          <w:i/>
          <w:color w:val="231F20"/>
          <w:w w:val="105"/>
          <w:sz w:val="16"/>
        </w:rPr>
        <w:t xml:space="preserve">, </w:t>
      </w:r>
      <w:r>
        <w:rPr>
          <w:color w:val="231F20"/>
          <w:w w:val="105"/>
          <w:sz w:val="16"/>
        </w:rPr>
        <w:t>304</w:t>
      </w:r>
      <w:r>
        <w:rPr>
          <w:i/>
          <w:color w:val="231F20"/>
          <w:w w:val="105"/>
          <w:sz w:val="16"/>
        </w:rPr>
        <w:t>,</w:t>
      </w:r>
    </w:p>
    <w:p w14:paraId="3308536A" w14:textId="77777777" w:rsidR="002653E8" w:rsidRDefault="003115E3">
      <w:pPr>
        <w:spacing w:before="32"/>
        <w:ind w:left="454"/>
        <w:rPr>
          <w:i/>
          <w:sz w:val="16"/>
        </w:rPr>
      </w:pPr>
      <w:r>
        <w:rPr>
          <w:color w:val="231F20"/>
          <w:w w:val="105"/>
          <w:sz w:val="16"/>
        </w:rPr>
        <w:t>307</w:t>
      </w:r>
      <w:r>
        <w:rPr>
          <w:i/>
          <w:color w:val="231F20"/>
          <w:w w:val="105"/>
          <w:sz w:val="16"/>
        </w:rPr>
        <w:t xml:space="preserve">, </w:t>
      </w:r>
      <w:r>
        <w:rPr>
          <w:color w:val="231F20"/>
          <w:w w:val="105"/>
          <w:sz w:val="16"/>
        </w:rPr>
        <w:t xml:space="preserve">429; mentioned by </w:t>
      </w:r>
      <w:r w:rsidR="00C507A5">
        <w:rPr>
          <w:color w:val="231F20"/>
          <w:w w:val="105"/>
          <w:sz w:val="16"/>
        </w:rPr>
        <w:t>red army faction</w:t>
      </w:r>
      <w:r>
        <w:rPr>
          <w:color w:val="231F20"/>
          <w:w w:val="105"/>
          <w:sz w:val="16"/>
        </w:rPr>
        <w:t xml:space="preserve"> 341</w:t>
      </w:r>
      <w:r>
        <w:rPr>
          <w:i/>
          <w:color w:val="231F20"/>
          <w:w w:val="105"/>
          <w:sz w:val="16"/>
        </w:rPr>
        <w:t>,</w:t>
      </w:r>
    </w:p>
    <w:p w14:paraId="6174CEF7" w14:textId="77777777" w:rsidR="002653E8" w:rsidRDefault="003115E3">
      <w:pPr>
        <w:spacing w:before="33"/>
        <w:ind w:left="454"/>
        <w:rPr>
          <w:sz w:val="16"/>
        </w:rPr>
      </w:pPr>
      <w:r>
        <w:rPr>
          <w:color w:val="231F20"/>
          <w:w w:val="110"/>
          <w:sz w:val="16"/>
        </w:rPr>
        <w:t>395</w:t>
      </w:r>
      <w:r>
        <w:rPr>
          <w:i/>
          <w:color w:val="231F20"/>
          <w:w w:val="110"/>
          <w:sz w:val="16"/>
        </w:rPr>
        <w:t xml:space="preserve">, </w:t>
      </w:r>
      <w:r>
        <w:rPr>
          <w:color w:val="231F20"/>
          <w:w w:val="110"/>
          <w:sz w:val="16"/>
        </w:rPr>
        <w:t>408</w:t>
      </w:r>
      <w:r>
        <w:rPr>
          <w:i/>
          <w:color w:val="231F20"/>
          <w:w w:val="110"/>
          <w:sz w:val="16"/>
        </w:rPr>
        <w:t xml:space="preserve">, </w:t>
      </w:r>
      <w:r>
        <w:rPr>
          <w:color w:val="231F20"/>
          <w:w w:val="110"/>
          <w:sz w:val="16"/>
        </w:rPr>
        <w:t>428</w:t>
      </w:r>
      <w:r>
        <w:rPr>
          <w:i/>
          <w:color w:val="231F20"/>
          <w:w w:val="110"/>
          <w:sz w:val="16"/>
        </w:rPr>
        <w:t xml:space="preserve">, </w:t>
      </w:r>
      <w:r>
        <w:rPr>
          <w:color w:val="231F20"/>
          <w:w w:val="110"/>
          <w:sz w:val="16"/>
        </w:rPr>
        <w:t>465</w:t>
      </w:r>
      <w:r>
        <w:rPr>
          <w:i/>
          <w:color w:val="231F20"/>
          <w:w w:val="110"/>
          <w:sz w:val="16"/>
        </w:rPr>
        <w:t xml:space="preserve">, </w:t>
      </w:r>
      <w:r>
        <w:rPr>
          <w:color w:val="231F20"/>
          <w:w w:val="110"/>
          <w:sz w:val="16"/>
        </w:rPr>
        <w:t>470</w:t>
      </w:r>
      <w:r>
        <w:rPr>
          <w:i/>
          <w:color w:val="231F20"/>
          <w:w w:val="110"/>
          <w:sz w:val="16"/>
        </w:rPr>
        <w:t xml:space="preserve">, </w:t>
      </w:r>
      <w:r>
        <w:rPr>
          <w:color w:val="231F20"/>
          <w:w w:val="110"/>
          <w:sz w:val="16"/>
        </w:rPr>
        <w:t>490</w:t>
      </w:r>
      <w:r>
        <w:rPr>
          <w:i/>
          <w:color w:val="231F20"/>
          <w:w w:val="110"/>
          <w:sz w:val="16"/>
        </w:rPr>
        <w:t xml:space="preserve">, </w:t>
      </w:r>
      <w:r>
        <w:rPr>
          <w:color w:val="231F20"/>
          <w:w w:val="110"/>
          <w:sz w:val="16"/>
        </w:rPr>
        <w:t>496</w:t>
      </w:r>
    </w:p>
    <w:p w14:paraId="5934C22E" w14:textId="77777777" w:rsidR="002653E8" w:rsidRDefault="003115E3">
      <w:pPr>
        <w:spacing w:before="32" w:line="280" w:lineRule="auto"/>
        <w:ind w:left="454" w:right="1254" w:hanging="200"/>
        <w:rPr>
          <w:sz w:val="16"/>
        </w:rPr>
      </w:pPr>
      <w:r>
        <w:rPr>
          <w:color w:val="231F20"/>
          <w:w w:val="105"/>
          <w:sz w:val="16"/>
        </w:rPr>
        <w:t xml:space="preserve">Meir, Golda 189; mentioned by </w:t>
      </w:r>
      <w:r w:rsidR="00C507A5">
        <w:rPr>
          <w:color w:val="231F20"/>
          <w:w w:val="105"/>
          <w:sz w:val="16"/>
        </w:rPr>
        <w:t>red army faction</w:t>
      </w:r>
      <w:r>
        <w:rPr>
          <w:color w:val="231F20"/>
          <w:w w:val="105"/>
          <w:sz w:val="16"/>
        </w:rPr>
        <w:t xml:space="preserve"> 206</w:t>
      </w:r>
      <w:r>
        <w:rPr>
          <w:i/>
          <w:color w:val="231F20"/>
          <w:w w:val="105"/>
          <w:sz w:val="16"/>
        </w:rPr>
        <w:t xml:space="preserve">, </w:t>
      </w:r>
      <w:r>
        <w:rPr>
          <w:color w:val="231F20"/>
          <w:w w:val="105"/>
          <w:sz w:val="16"/>
        </w:rPr>
        <w:t>231</w:t>
      </w:r>
    </w:p>
    <w:p w14:paraId="580A407E" w14:textId="77777777" w:rsidR="002653E8" w:rsidRDefault="003115E3">
      <w:pPr>
        <w:spacing w:before="1"/>
        <w:ind w:left="254"/>
        <w:rPr>
          <w:sz w:val="16"/>
        </w:rPr>
      </w:pPr>
      <w:r>
        <w:rPr>
          <w:color w:val="231F20"/>
          <w:w w:val="105"/>
          <w:sz w:val="16"/>
        </w:rPr>
        <w:t>Ménigon, Nathalie 619</w:t>
      </w:r>
    </w:p>
    <w:p w14:paraId="1C58FD30" w14:textId="77777777" w:rsidR="002653E8" w:rsidRDefault="003115E3">
      <w:pPr>
        <w:spacing w:before="33" w:line="280" w:lineRule="auto"/>
        <w:ind w:left="454" w:right="1254" w:hanging="200"/>
        <w:rPr>
          <w:sz w:val="16"/>
        </w:rPr>
      </w:pPr>
      <w:r>
        <w:rPr>
          <w:color w:val="231F20"/>
          <w:sz w:val="16"/>
        </w:rPr>
        <w:t xml:space="preserve">Merck, Bruno 190; mentioned by </w:t>
      </w:r>
      <w:r w:rsidR="00C507A5">
        <w:rPr>
          <w:color w:val="231F20"/>
          <w:sz w:val="16"/>
        </w:rPr>
        <w:t>red army faction</w:t>
      </w:r>
      <w:r>
        <w:rPr>
          <w:color w:val="231F20"/>
          <w:sz w:val="16"/>
        </w:rPr>
        <w:t xml:space="preserve"> 231</w:t>
      </w:r>
      <w:r>
        <w:rPr>
          <w:i/>
          <w:color w:val="231F20"/>
          <w:sz w:val="16"/>
        </w:rPr>
        <w:t xml:space="preserve">, </w:t>
      </w:r>
      <w:r>
        <w:rPr>
          <w:color w:val="231F20"/>
          <w:sz w:val="16"/>
        </w:rPr>
        <w:t>233</w:t>
      </w:r>
    </w:p>
    <w:p w14:paraId="1CF5E4FE" w14:textId="77777777" w:rsidR="002653E8" w:rsidRDefault="003115E3">
      <w:pPr>
        <w:spacing w:before="1"/>
        <w:ind w:left="254"/>
        <w:rPr>
          <w:sz w:val="16"/>
        </w:rPr>
      </w:pPr>
      <w:r>
        <w:rPr>
          <w:color w:val="231F20"/>
          <w:w w:val="105"/>
          <w:sz w:val="16"/>
        </w:rPr>
        <w:t>Metzger, Rudolph 586</w:t>
      </w:r>
    </w:p>
    <w:p w14:paraId="205EB3D9" w14:textId="77777777" w:rsidR="002653E8" w:rsidRDefault="003115E3">
      <w:pPr>
        <w:spacing w:before="32"/>
        <w:ind w:left="254"/>
        <w:rPr>
          <w:sz w:val="16"/>
        </w:rPr>
      </w:pPr>
      <w:r>
        <w:rPr>
          <w:color w:val="231F20"/>
          <w:w w:val="105"/>
          <w:sz w:val="16"/>
        </w:rPr>
        <w:t>Meyer, Hans-Joachim 382</w:t>
      </w:r>
      <w:r>
        <w:rPr>
          <w:i/>
          <w:color w:val="231F20"/>
          <w:w w:val="105"/>
          <w:sz w:val="16"/>
        </w:rPr>
        <w:t xml:space="preserve">, </w:t>
      </w:r>
      <w:r>
        <w:rPr>
          <w:color w:val="231F20"/>
          <w:w w:val="105"/>
          <w:sz w:val="16"/>
        </w:rPr>
        <w:t>383</w:t>
      </w:r>
    </w:p>
    <w:p w14:paraId="6C2661EC" w14:textId="77777777" w:rsidR="002653E8" w:rsidRDefault="003115E3">
      <w:pPr>
        <w:spacing w:before="33"/>
        <w:ind w:left="254"/>
        <w:rPr>
          <w:sz w:val="16"/>
        </w:rPr>
      </w:pPr>
      <w:r>
        <w:rPr>
          <w:color w:val="231F20"/>
          <w:w w:val="105"/>
          <w:sz w:val="16"/>
        </w:rPr>
        <w:t>Meyer, Horst 619</w:t>
      </w:r>
      <w:r>
        <w:rPr>
          <w:i/>
          <w:color w:val="231F20"/>
          <w:w w:val="105"/>
          <w:sz w:val="16"/>
        </w:rPr>
        <w:t xml:space="preserve">, </w:t>
      </w:r>
      <w:r>
        <w:rPr>
          <w:color w:val="231F20"/>
          <w:w w:val="105"/>
          <w:sz w:val="16"/>
        </w:rPr>
        <w:t>621</w:t>
      </w:r>
      <w:r>
        <w:rPr>
          <w:i/>
          <w:color w:val="231F20"/>
          <w:w w:val="105"/>
          <w:sz w:val="16"/>
        </w:rPr>
        <w:t xml:space="preserve">, </w:t>
      </w:r>
      <w:r>
        <w:rPr>
          <w:color w:val="231F20"/>
          <w:w w:val="105"/>
          <w:sz w:val="16"/>
        </w:rPr>
        <w:t>626</w:t>
      </w:r>
    </w:p>
    <w:p w14:paraId="17878FA0" w14:textId="77777777" w:rsidR="002653E8" w:rsidRDefault="003115E3">
      <w:pPr>
        <w:spacing w:before="32"/>
        <w:ind w:left="254"/>
        <w:rPr>
          <w:sz w:val="16"/>
        </w:rPr>
      </w:pPr>
      <w:r>
        <w:rPr>
          <w:color w:val="231F20"/>
          <w:w w:val="105"/>
          <w:sz w:val="16"/>
        </w:rPr>
        <w:t>Meyer, Till 242</w:t>
      </w:r>
      <w:r>
        <w:rPr>
          <w:i/>
          <w:color w:val="231F20"/>
          <w:w w:val="105"/>
          <w:sz w:val="16"/>
        </w:rPr>
        <w:t xml:space="preserve">, </w:t>
      </w:r>
      <w:r>
        <w:rPr>
          <w:color w:val="231F20"/>
          <w:w w:val="105"/>
          <w:sz w:val="16"/>
        </w:rPr>
        <w:t>254</w:t>
      </w:r>
      <w:r>
        <w:rPr>
          <w:i/>
          <w:color w:val="231F20"/>
          <w:w w:val="105"/>
          <w:sz w:val="16"/>
        </w:rPr>
        <w:t xml:space="preserve">, </w:t>
      </w:r>
      <w:r>
        <w:rPr>
          <w:color w:val="231F20"/>
          <w:w w:val="105"/>
          <w:sz w:val="16"/>
        </w:rPr>
        <w:t>572</w:t>
      </w:r>
    </w:p>
    <w:p w14:paraId="469DAE63" w14:textId="77777777" w:rsidR="002653E8" w:rsidRDefault="003115E3">
      <w:pPr>
        <w:spacing w:before="33"/>
        <w:ind w:left="254"/>
        <w:rPr>
          <w:sz w:val="16"/>
        </w:rPr>
      </w:pPr>
      <w:r>
        <w:rPr>
          <w:color w:val="231F20"/>
          <w:w w:val="105"/>
          <w:sz w:val="16"/>
        </w:rPr>
        <w:t>Milberg, Peter 273</w:t>
      </w:r>
    </w:p>
    <w:p w14:paraId="2A37EDD3" w14:textId="77777777" w:rsidR="002653E8" w:rsidRDefault="003115E3">
      <w:pPr>
        <w:spacing w:before="32" w:line="280" w:lineRule="auto"/>
        <w:ind w:left="254" w:right="1502"/>
        <w:rPr>
          <w:i/>
          <w:sz w:val="16"/>
        </w:rPr>
      </w:pPr>
      <w:r>
        <w:rPr>
          <w:color w:val="231F20"/>
          <w:w w:val="105"/>
          <w:sz w:val="16"/>
        </w:rPr>
        <w:t>Militant Black Panther Aunties 51 military bases, U.S. 11–13</w:t>
      </w:r>
      <w:r>
        <w:rPr>
          <w:i/>
          <w:color w:val="231F20"/>
          <w:w w:val="105"/>
          <w:sz w:val="16"/>
        </w:rPr>
        <w:t xml:space="preserve">, </w:t>
      </w:r>
      <w:r>
        <w:rPr>
          <w:color w:val="231F20"/>
          <w:w w:val="105"/>
          <w:sz w:val="16"/>
        </w:rPr>
        <w:t>316</w:t>
      </w:r>
      <w:r>
        <w:rPr>
          <w:i/>
          <w:color w:val="231F20"/>
          <w:w w:val="105"/>
          <w:sz w:val="16"/>
        </w:rPr>
        <w:t xml:space="preserve">, </w:t>
      </w:r>
      <w:r>
        <w:rPr>
          <w:color w:val="231F20"/>
          <w:w w:val="105"/>
          <w:sz w:val="16"/>
        </w:rPr>
        <w:t>367</w:t>
      </w:r>
      <w:r>
        <w:rPr>
          <w:i/>
          <w:color w:val="231F20"/>
          <w:w w:val="105"/>
          <w:sz w:val="16"/>
        </w:rPr>
        <w:t>,</w:t>
      </w:r>
    </w:p>
    <w:p w14:paraId="3EAB73AC" w14:textId="77777777" w:rsidR="002653E8" w:rsidRDefault="003115E3">
      <w:pPr>
        <w:spacing w:before="1" w:line="280" w:lineRule="auto"/>
        <w:ind w:left="454" w:right="1106"/>
        <w:rPr>
          <w:sz w:val="16"/>
        </w:rPr>
      </w:pPr>
      <w:r>
        <w:rPr>
          <w:color w:val="231F20"/>
          <w:w w:val="105"/>
          <w:sz w:val="16"/>
        </w:rPr>
        <w:t>414</w:t>
      </w:r>
      <w:r>
        <w:rPr>
          <w:i/>
          <w:color w:val="231F20"/>
          <w:w w:val="105"/>
          <w:sz w:val="16"/>
        </w:rPr>
        <w:t xml:space="preserve">. See also </w:t>
      </w:r>
      <w:r w:rsidR="00C507A5">
        <w:rPr>
          <w:color w:val="231F20"/>
          <w:w w:val="105"/>
          <w:sz w:val="16"/>
        </w:rPr>
        <w:t>red army faction</w:t>
      </w:r>
      <w:r>
        <w:rPr>
          <w:color w:val="231F20"/>
          <w:w w:val="105"/>
          <w:sz w:val="16"/>
        </w:rPr>
        <w:t xml:space="preserve"> (Red Army Faction): attack on U.S. Army V Corps (1972)</w:t>
      </w:r>
      <w:r>
        <w:rPr>
          <w:i/>
          <w:color w:val="231F20"/>
          <w:w w:val="105"/>
          <w:sz w:val="16"/>
        </w:rPr>
        <w:t xml:space="preserve">; See also </w:t>
      </w:r>
      <w:r w:rsidR="00C507A5">
        <w:rPr>
          <w:color w:val="231F20"/>
          <w:w w:val="105"/>
          <w:sz w:val="16"/>
        </w:rPr>
        <w:t>red army faction</w:t>
      </w:r>
      <w:r>
        <w:rPr>
          <w:color w:val="231F20"/>
          <w:w w:val="105"/>
          <w:sz w:val="16"/>
        </w:rPr>
        <w:t xml:space="preserve"> (Red Army Faction): attack on USAREUR in Heidelberg (1972)</w:t>
      </w:r>
      <w:r>
        <w:rPr>
          <w:i/>
          <w:color w:val="231F20"/>
          <w:w w:val="105"/>
          <w:sz w:val="16"/>
        </w:rPr>
        <w:t xml:space="preserve">; See also </w:t>
      </w:r>
      <w:r w:rsidR="00C507A5">
        <w:rPr>
          <w:color w:val="231F20"/>
          <w:w w:val="105"/>
          <w:sz w:val="16"/>
        </w:rPr>
        <w:t>red army faction</w:t>
      </w:r>
      <w:r>
        <w:rPr>
          <w:color w:val="231F20"/>
          <w:w w:val="105"/>
          <w:sz w:val="16"/>
        </w:rPr>
        <w:t xml:space="preserve"> (Red Army Faction): attack on U.S. Air Force in Ramstein (1981)</w:t>
      </w:r>
      <w:r>
        <w:rPr>
          <w:i/>
          <w:color w:val="231F20"/>
          <w:w w:val="105"/>
          <w:sz w:val="16"/>
        </w:rPr>
        <w:t xml:space="preserve">; See also </w:t>
      </w:r>
      <w:r w:rsidR="00C507A5">
        <w:rPr>
          <w:color w:val="231F20"/>
          <w:w w:val="105"/>
          <w:sz w:val="16"/>
        </w:rPr>
        <w:t>red army faction</w:t>
      </w:r>
      <w:r>
        <w:rPr>
          <w:color w:val="231F20"/>
          <w:w w:val="105"/>
          <w:sz w:val="16"/>
        </w:rPr>
        <w:t xml:space="preserve"> (Red Army Faction): attempted bombing of SHAPE School (1984)</w:t>
      </w:r>
      <w:r>
        <w:rPr>
          <w:i/>
          <w:color w:val="231F20"/>
          <w:w w:val="105"/>
          <w:sz w:val="16"/>
        </w:rPr>
        <w:t xml:space="preserve">; See also </w:t>
      </w:r>
      <w:r w:rsidR="00C507A5">
        <w:rPr>
          <w:color w:val="231F20"/>
          <w:w w:val="105"/>
          <w:sz w:val="16"/>
        </w:rPr>
        <w:t>red army faction</w:t>
      </w:r>
      <w:r>
        <w:rPr>
          <w:color w:val="231F20"/>
          <w:w w:val="105"/>
          <w:sz w:val="16"/>
        </w:rPr>
        <w:t xml:space="preserve"> (Red Army Faction): Rhein-Main Air Base bombing (1985)</w:t>
      </w:r>
    </w:p>
    <w:p w14:paraId="528153EB" w14:textId="77777777" w:rsidR="002653E8" w:rsidRDefault="003115E3">
      <w:pPr>
        <w:spacing w:before="6" w:line="280" w:lineRule="auto"/>
        <w:ind w:left="454" w:right="1192" w:hanging="200"/>
        <w:rPr>
          <w:sz w:val="16"/>
        </w:rPr>
      </w:pPr>
      <w:r>
        <w:rPr>
          <w:color w:val="231F20"/>
          <w:sz w:val="16"/>
        </w:rPr>
        <w:t>Military Counter-Intelligence Service 415</w:t>
      </w:r>
      <w:r>
        <w:rPr>
          <w:i/>
          <w:color w:val="231F20"/>
          <w:sz w:val="16"/>
        </w:rPr>
        <w:t xml:space="preserve">, </w:t>
      </w:r>
      <w:r>
        <w:rPr>
          <w:color w:val="231F20"/>
          <w:sz w:val="16"/>
        </w:rPr>
        <w:t>421</w:t>
      </w:r>
    </w:p>
    <w:p w14:paraId="467D2E52" w14:textId="77777777" w:rsidR="002653E8" w:rsidRDefault="003115E3">
      <w:pPr>
        <w:spacing w:before="1"/>
        <w:ind w:left="254"/>
        <w:rPr>
          <w:i/>
          <w:sz w:val="16"/>
        </w:rPr>
      </w:pPr>
      <w:r>
        <w:rPr>
          <w:i/>
          <w:color w:val="231F20"/>
          <w:w w:val="105"/>
          <w:sz w:val="16"/>
        </w:rPr>
        <w:t>Minimanual of the Urban Guerilla.</w:t>
      </w:r>
    </w:p>
    <w:p w14:paraId="4B66D25C" w14:textId="77777777" w:rsidR="002653E8" w:rsidRDefault="003115E3">
      <w:pPr>
        <w:spacing w:before="32"/>
        <w:ind w:left="454"/>
        <w:rPr>
          <w:sz w:val="16"/>
        </w:rPr>
      </w:pPr>
      <w:r>
        <w:rPr>
          <w:i/>
          <w:color w:val="231F20"/>
          <w:w w:val="105"/>
          <w:sz w:val="16"/>
        </w:rPr>
        <w:t xml:space="preserve">See </w:t>
      </w:r>
      <w:r>
        <w:rPr>
          <w:color w:val="231F20"/>
          <w:w w:val="105"/>
          <w:sz w:val="16"/>
        </w:rPr>
        <w:t>Marighella, Carlos</w:t>
      </w:r>
    </w:p>
    <w:p w14:paraId="42A0F3B4" w14:textId="77777777" w:rsidR="002653E8" w:rsidRDefault="002653E8">
      <w:pPr>
        <w:rPr>
          <w:sz w:val="16"/>
        </w:rPr>
        <w:sectPr w:rsidR="002653E8">
          <w:pgSz w:w="8640" w:h="12960"/>
          <w:pgMar w:top="1080" w:right="0" w:bottom="1040" w:left="0" w:header="0" w:footer="846" w:gutter="0"/>
          <w:cols w:num="2" w:space="720" w:equalWidth="0">
            <w:col w:w="4256" w:space="40"/>
            <w:col w:w="4344"/>
          </w:cols>
        </w:sectPr>
      </w:pPr>
    </w:p>
    <w:p w14:paraId="33B229E4" w14:textId="77777777" w:rsidR="002653E8" w:rsidRDefault="003115E3">
      <w:pPr>
        <w:spacing w:before="86" w:line="280" w:lineRule="auto"/>
        <w:ind w:left="1347" w:right="156" w:hanging="200"/>
        <w:rPr>
          <w:sz w:val="16"/>
        </w:rPr>
      </w:pPr>
      <w:r>
        <w:rPr>
          <w:color w:val="231F20"/>
          <w:sz w:val="16"/>
        </w:rPr>
        <w:lastRenderedPageBreak/>
        <w:t>Minister of the Interior</w:t>
      </w:r>
      <w:r>
        <w:rPr>
          <w:i/>
          <w:color w:val="231F20"/>
          <w:sz w:val="16"/>
        </w:rPr>
        <w:t xml:space="preserve">. See </w:t>
      </w:r>
      <w:r>
        <w:rPr>
          <w:color w:val="231F20"/>
          <w:sz w:val="16"/>
        </w:rPr>
        <w:t>Federal Minister of the Interior</w:t>
      </w:r>
      <w:r>
        <w:rPr>
          <w:i/>
          <w:color w:val="231F20"/>
          <w:sz w:val="16"/>
        </w:rPr>
        <w:t xml:space="preserve">; See </w:t>
      </w:r>
      <w:r>
        <w:rPr>
          <w:color w:val="231F20"/>
          <w:sz w:val="16"/>
        </w:rPr>
        <w:t>Interior Ministers Conference</w:t>
      </w:r>
    </w:p>
    <w:p w14:paraId="54FDE013" w14:textId="77777777" w:rsidR="002653E8" w:rsidRDefault="003115E3">
      <w:pPr>
        <w:spacing w:before="2" w:line="280" w:lineRule="auto"/>
        <w:ind w:left="1147" w:right="156"/>
        <w:rPr>
          <w:sz w:val="16"/>
        </w:rPr>
      </w:pPr>
      <w:r w:rsidRPr="00846956">
        <w:rPr>
          <w:i/>
          <w:color w:val="231F20"/>
          <w:w w:val="105"/>
          <w:sz w:val="16"/>
          <w:lang w:val="de-DE"/>
        </w:rPr>
        <w:t xml:space="preserve">Der Minister und der Terrorist </w:t>
      </w:r>
      <w:r w:rsidRPr="00846956">
        <w:rPr>
          <w:color w:val="231F20"/>
          <w:w w:val="105"/>
          <w:sz w:val="16"/>
          <w:lang w:val="de-DE"/>
        </w:rPr>
        <w:t>613 Mirbach, Andreas von 333</w:t>
      </w:r>
      <w:r w:rsidRPr="00846956">
        <w:rPr>
          <w:i/>
          <w:color w:val="231F20"/>
          <w:w w:val="105"/>
          <w:sz w:val="16"/>
          <w:lang w:val="de-DE"/>
        </w:rPr>
        <w:t xml:space="preserve">, </w:t>
      </w:r>
      <w:r w:rsidRPr="00846956">
        <w:rPr>
          <w:color w:val="231F20"/>
          <w:w w:val="105"/>
          <w:sz w:val="16"/>
          <w:lang w:val="de-DE"/>
        </w:rPr>
        <w:t>340</w:t>
      </w:r>
      <w:r w:rsidRPr="00846956">
        <w:rPr>
          <w:i/>
          <w:color w:val="231F20"/>
          <w:w w:val="105"/>
          <w:sz w:val="16"/>
          <w:lang w:val="de-DE"/>
        </w:rPr>
        <w:t xml:space="preserve">, </w:t>
      </w:r>
      <w:r w:rsidRPr="00846956">
        <w:rPr>
          <w:color w:val="231F20"/>
          <w:w w:val="105"/>
          <w:sz w:val="16"/>
          <w:lang w:val="de-DE"/>
        </w:rPr>
        <w:t xml:space="preserve">572 </w:t>
      </w:r>
      <w:r w:rsidRPr="00846956">
        <w:rPr>
          <w:color w:val="231F20"/>
          <w:sz w:val="16"/>
          <w:lang w:val="de-DE"/>
        </w:rPr>
        <w:t>Mitbestimmung</w:t>
      </w:r>
      <w:r w:rsidRPr="00846956">
        <w:rPr>
          <w:i/>
          <w:color w:val="231F20"/>
          <w:sz w:val="16"/>
          <w:lang w:val="de-DE"/>
        </w:rPr>
        <w:t xml:space="preserve">. </w:t>
      </w:r>
      <w:r>
        <w:rPr>
          <w:i/>
          <w:color w:val="231F20"/>
          <w:sz w:val="16"/>
        </w:rPr>
        <w:t xml:space="preserve">See </w:t>
      </w:r>
      <w:r>
        <w:rPr>
          <w:color w:val="231F20"/>
          <w:sz w:val="16"/>
        </w:rPr>
        <w:t xml:space="preserve">co-management </w:t>
      </w:r>
      <w:r>
        <w:rPr>
          <w:i/>
          <w:color w:val="231F20"/>
          <w:w w:val="105"/>
          <w:sz w:val="16"/>
        </w:rPr>
        <w:t xml:space="preserve">mob </w:t>
      </w:r>
      <w:r>
        <w:rPr>
          <w:color w:val="231F20"/>
          <w:w w:val="105"/>
          <w:sz w:val="16"/>
        </w:rPr>
        <w:t>475</w:t>
      </w:r>
    </w:p>
    <w:p w14:paraId="2A8A2759" w14:textId="77777777" w:rsidR="002653E8" w:rsidRDefault="003115E3">
      <w:pPr>
        <w:spacing w:before="2"/>
        <w:ind w:left="1147"/>
        <w:rPr>
          <w:i/>
          <w:sz w:val="16"/>
        </w:rPr>
      </w:pPr>
      <w:r>
        <w:rPr>
          <w:color w:val="231F20"/>
          <w:w w:val="105"/>
          <w:sz w:val="16"/>
        </w:rPr>
        <w:t>Mobiles Einsatz Kommando 333</w:t>
      </w:r>
      <w:r>
        <w:rPr>
          <w:i/>
          <w:color w:val="231F20"/>
          <w:w w:val="105"/>
          <w:sz w:val="16"/>
        </w:rPr>
        <w:t xml:space="preserve">, </w:t>
      </w:r>
      <w:r>
        <w:rPr>
          <w:color w:val="231F20"/>
          <w:w w:val="105"/>
          <w:sz w:val="16"/>
        </w:rPr>
        <w:t>429</w:t>
      </w:r>
      <w:r>
        <w:rPr>
          <w:i/>
          <w:color w:val="231F20"/>
          <w:w w:val="105"/>
          <w:sz w:val="16"/>
        </w:rPr>
        <w:t>,</w:t>
      </w:r>
    </w:p>
    <w:p w14:paraId="11145122" w14:textId="77777777" w:rsidR="002653E8" w:rsidRDefault="003115E3">
      <w:pPr>
        <w:spacing w:before="32"/>
        <w:ind w:left="1347"/>
        <w:rPr>
          <w:sz w:val="16"/>
        </w:rPr>
      </w:pPr>
      <w:r>
        <w:rPr>
          <w:color w:val="231F20"/>
          <w:sz w:val="16"/>
        </w:rPr>
        <w:t>490</w:t>
      </w:r>
    </w:p>
    <w:p w14:paraId="537949FC" w14:textId="77777777" w:rsidR="002653E8" w:rsidRDefault="003115E3">
      <w:pPr>
        <w:spacing w:before="33" w:line="280" w:lineRule="auto"/>
        <w:ind w:left="1347" w:right="156" w:hanging="200"/>
        <w:rPr>
          <w:sz w:val="16"/>
        </w:rPr>
      </w:pPr>
      <w:r>
        <w:rPr>
          <w:color w:val="231F20"/>
          <w:sz w:val="16"/>
        </w:rPr>
        <w:t>Mogadishu skyjacking</w:t>
      </w:r>
      <w:r>
        <w:rPr>
          <w:i/>
          <w:color w:val="231F20"/>
          <w:sz w:val="16"/>
        </w:rPr>
        <w:t xml:space="preserve">. See </w:t>
      </w:r>
      <w:r>
        <w:rPr>
          <w:color w:val="231F20"/>
          <w:sz w:val="16"/>
        </w:rPr>
        <w:t>skyjackings: Lufthansa/Mogadishu (1977)</w:t>
      </w:r>
    </w:p>
    <w:p w14:paraId="6F183112" w14:textId="77777777" w:rsidR="002653E8" w:rsidRDefault="003115E3">
      <w:pPr>
        <w:spacing w:before="1"/>
        <w:ind w:left="1147"/>
        <w:rPr>
          <w:sz w:val="16"/>
        </w:rPr>
      </w:pPr>
      <w:r>
        <w:rPr>
          <w:color w:val="231F20"/>
          <w:w w:val="105"/>
          <w:sz w:val="16"/>
        </w:rPr>
        <w:t>Mohnhaupt, Brigitte 526</w:t>
      </w:r>
      <w:r>
        <w:rPr>
          <w:i/>
          <w:color w:val="231F20"/>
          <w:w w:val="105"/>
          <w:sz w:val="16"/>
        </w:rPr>
        <w:t xml:space="preserve">, </w:t>
      </w:r>
      <w:r>
        <w:rPr>
          <w:color w:val="231F20"/>
          <w:w w:val="105"/>
          <w:sz w:val="16"/>
        </w:rPr>
        <w:t>572</w:t>
      </w:r>
      <w:r>
        <w:rPr>
          <w:i/>
          <w:color w:val="231F20"/>
          <w:w w:val="105"/>
          <w:sz w:val="16"/>
        </w:rPr>
        <w:t xml:space="preserve">, </w:t>
      </w:r>
      <w:r>
        <w:rPr>
          <w:color w:val="231F20"/>
          <w:w w:val="105"/>
          <w:sz w:val="16"/>
        </w:rPr>
        <w:t>612;</w:t>
      </w:r>
    </w:p>
    <w:p w14:paraId="0E1F684B" w14:textId="77777777" w:rsidR="002653E8" w:rsidRDefault="003115E3">
      <w:pPr>
        <w:spacing w:before="32"/>
        <w:ind w:left="1347"/>
        <w:rPr>
          <w:sz w:val="16"/>
        </w:rPr>
      </w:pPr>
      <w:r>
        <w:rPr>
          <w:color w:val="231F20"/>
          <w:sz w:val="16"/>
        </w:rPr>
        <w:t>Boock’s lies (1988) 527; Buback</w:t>
      </w:r>
    </w:p>
    <w:p w14:paraId="65F0B652" w14:textId="77777777" w:rsidR="002653E8" w:rsidRDefault="003115E3">
      <w:pPr>
        <w:spacing w:before="33"/>
        <w:ind w:left="1347"/>
        <w:rPr>
          <w:sz w:val="16"/>
        </w:rPr>
      </w:pPr>
      <w:r>
        <w:rPr>
          <w:color w:val="231F20"/>
          <w:sz w:val="16"/>
        </w:rPr>
        <w:t>assassination 627; captured (1972)</w:t>
      </w:r>
    </w:p>
    <w:p w14:paraId="5E8F6704" w14:textId="77777777" w:rsidR="002653E8" w:rsidRDefault="003115E3">
      <w:pPr>
        <w:spacing w:before="32"/>
        <w:ind w:left="1347"/>
        <w:rPr>
          <w:i/>
          <w:sz w:val="16"/>
        </w:rPr>
      </w:pPr>
      <w:r>
        <w:rPr>
          <w:color w:val="231F20"/>
          <w:w w:val="105"/>
          <w:sz w:val="16"/>
        </w:rPr>
        <w:t>171; captured (1978, yugoslavia)</w:t>
      </w:r>
      <w:r>
        <w:rPr>
          <w:color w:val="231F20"/>
          <w:spacing w:val="-19"/>
          <w:w w:val="105"/>
          <w:sz w:val="16"/>
        </w:rPr>
        <w:t xml:space="preserve"> </w:t>
      </w:r>
      <w:r>
        <w:rPr>
          <w:color w:val="231F20"/>
          <w:w w:val="105"/>
          <w:sz w:val="16"/>
        </w:rPr>
        <w:t>529</w:t>
      </w:r>
      <w:r>
        <w:rPr>
          <w:i/>
          <w:color w:val="231F20"/>
          <w:w w:val="105"/>
          <w:sz w:val="16"/>
        </w:rPr>
        <w:t>,</w:t>
      </w:r>
    </w:p>
    <w:p w14:paraId="3E6FEEA0" w14:textId="77777777" w:rsidR="002653E8" w:rsidRDefault="003115E3">
      <w:pPr>
        <w:spacing w:before="33" w:line="280" w:lineRule="auto"/>
        <w:ind w:left="1347" w:right="156"/>
        <w:rPr>
          <w:sz w:val="16"/>
        </w:rPr>
      </w:pPr>
      <w:r>
        <w:rPr>
          <w:color w:val="231F20"/>
          <w:sz w:val="16"/>
        </w:rPr>
        <w:t>610</w:t>
      </w:r>
      <w:r>
        <w:rPr>
          <w:i/>
          <w:color w:val="231F20"/>
          <w:sz w:val="16"/>
        </w:rPr>
        <w:t xml:space="preserve">, </w:t>
      </w:r>
      <w:r>
        <w:rPr>
          <w:color w:val="231F20"/>
          <w:sz w:val="16"/>
        </w:rPr>
        <w:t>611; captured (1982) 615; decision to procure drugs  527; firefight in Holland 480</w:t>
      </w:r>
      <w:r>
        <w:rPr>
          <w:i/>
          <w:color w:val="231F20"/>
          <w:sz w:val="16"/>
        </w:rPr>
        <w:t xml:space="preserve">, </w:t>
      </w:r>
      <w:r>
        <w:rPr>
          <w:color w:val="231F20"/>
          <w:sz w:val="16"/>
        </w:rPr>
        <w:t>607; lawyers</w:t>
      </w:r>
      <w:r>
        <w:rPr>
          <w:color w:val="231F20"/>
          <w:spacing w:val="12"/>
          <w:sz w:val="16"/>
        </w:rPr>
        <w:t xml:space="preserve"> </w:t>
      </w:r>
      <w:r>
        <w:rPr>
          <w:color w:val="231F20"/>
          <w:sz w:val="16"/>
        </w:rPr>
        <w:t>603;</w:t>
      </w:r>
    </w:p>
    <w:p w14:paraId="672258B9" w14:textId="77777777" w:rsidR="002653E8" w:rsidRDefault="003115E3">
      <w:pPr>
        <w:spacing w:before="1"/>
        <w:ind w:left="1347"/>
        <w:rPr>
          <w:sz w:val="16"/>
        </w:rPr>
      </w:pPr>
      <w:r>
        <w:rPr>
          <w:color w:val="231F20"/>
          <w:sz w:val="16"/>
        </w:rPr>
        <w:t>prison  624; released (1977)  470</w:t>
      </w:r>
      <w:r>
        <w:rPr>
          <w:i/>
          <w:color w:val="231F20"/>
          <w:sz w:val="16"/>
        </w:rPr>
        <w:t xml:space="preserve">, </w:t>
      </w:r>
      <w:r>
        <w:rPr>
          <w:color w:val="231F20"/>
          <w:sz w:val="16"/>
        </w:rPr>
        <w:t>603;</w:t>
      </w:r>
    </w:p>
    <w:p w14:paraId="2BB2A0ED" w14:textId="77777777" w:rsidR="002653E8" w:rsidRDefault="003115E3">
      <w:pPr>
        <w:spacing w:before="33"/>
        <w:ind w:left="1347"/>
        <w:rPr>
          <w:sz w:val="16"/>
        </w:rPr>
      </w:pPr>
      <w:r>
        <w:rPr>
          <w:color w:val="231F20"/>
          <w:sz w:val="16"/>
        </w:rPr>
        <w:t>released (2007) 627; release demanded</w:t>
      </w:r>
    </w:p>
    <w:p w14:paraId="7ED47744" w14:textId="77777777" w:rsidR="002653E8" w:rsidRDefault="003115E3">
      <w:pPr>
        <w:spacing w:before="32" w:line="280" w:lineRule="auto"/>
        <w:ind w:left="1347" w:right="51"/>
        <w:rPr>
          <w:i/>
          <w:sz w:val="16"/>
        </w:rPr>
      </w:pPr>
      <w:r>
        <w:rPr>
          <w:color w:val="231F20"/>
          <w:w w:val="105"/>
          <w:sz w:val="16"/>
        </w:rPr>
        <w:t xml:space="preserve">339; and </w:t>
      </w:r>
      <w:r>
        <w:rPr>
          <w:color w:val="231F20"/>
          <w:spacing w:val="-5"/>
          <w:w w:val="105"/>
          <w:sz w:val="16"/>
        </w:rPr>
        <w:t xml:space="preserve">SAWIO </w:t>
      </w:r>
      <w:r>
        <w:rPr>
          <w:color w:val="231F20"/>
          <w:w w:val="105"/>
          <w:sz w:val="16"/>
        </w:rPr>
        <w:t xml:space="preserve">skyjacking (1977, Mogadishu) 482; split in the </w:t>
      </w:r>
      <w:r w:rsidR="00C507A5">
        <w:rPr>
          <w:color w:val="231F20"/>
          <w:w w:val="105"/>
          <w:sz w:val="16"/>
        </w:rPr>
        <w:t>red army faction</w:t>
      </w:r>
      <w:r>
        <w:rPr>
          <w:color w:val="231F20"/>
          <w:w w:val="105"/>
          <w:sz w:val="16"/>
        </w:rPr>
        <w:t xml:space="preserve"> 623;</w:t>
      </w:r>
      <w:r>
        <w:rPr>
          <w:color w:val="231F20"/>
          <w:spacing w:val="-21"/>
          <w:w w:val="105"/>
          <w:sz w:val="16"/>
        </w:rPr>
        <w:t xml:space="preserve"> </w:t>
      </w:r>
      <w:r>
        <w:rPr>
          <w:color w:val="231F20"/>
          <w:w w:val="105"/>
          <w:sz w:val="16"/>
        </w:rPr>
        <w:t>testimony</w:t>
      </w:r>
      <w:r>
        <w:rPr>
          <w:color w:val="231F20"/>
          <w:spacing w:val="-21"/>
          <w:w w:val="105"/>
          <w:sz w:val="16"/>
        </w:rPr>
        <w:t xml:space="preserve"> </w:t>
      </w:r>
      <w:r>
        <w:rPr>
          <w:color w:val="231F20"/>
          <w:w w:val="105"/>
          <w:sz w:val="16"/>
        </w:rPr>
        <w:t>at</w:t>
      </w:r>
      <w:r>
        <w:rPr>
          <w:color w:val="231F20"/>
          <w:spacing w:val="-21"/>
          <w:w w:val="105"/>
          <w:sz w:val="16"/>
        </w:rPr>
        <w:t xml:space="preserve"> </w:t>
      </w:r>
      <w:r>
        <w:rPr>
          <w:color w:val="231F20"/>
          <w:w w:val="105"/>
          <w:sz w:val="16"/>
        </w:rPr>
        <w:t>the</w:t>
      </w:r>
      <w:r>
        <w:rPr>
          <w:color w:val="231F20"/>
          <w:spacing w:val="-21"/>
          <w:w w:val="105"/>
          <w:sz w:val="16"/>
        </w:rPr>
        <w:t xml:space="preserve"> </w:t>
      </w:r>
      <w:r>
        <w:rPr>
          <w:color w:val="231F20"/>
          <w:w w:val="105"/>
          <w:sz w:val="16"/>
        </w:rPr>
        <w:t>Stammheim</w:t>
      </w:r>
      <w:r>
        <w:rPr>
          <w:color w:val="231F20"/>
          <w:spacing w:val="-21"/>
          <w:w w:val="105"/>
          <w:sz w:val="16"/>
        </w:rPr>
        <w:t xml:space="preserve"> </w:t>
      </w:r>
      <w:r>
        <w:rPr>
          <w:color w:val="231F20"/>
          <w:w w:val="105"/>
          <w:sz w:val="16"/>
        </w:rPr>
        <w:t>trial</w:t>
      </w:r>
      <w:r>
        <w:rPr>
          <w:color w:val="231F20"/>
          <w:w w:val="99"/>
          <w:sz w:val="16"/>
        </w:rPr>
        <w:t xml:space="preserve"> </w:t>
      </w:r>
      <w:r>
        <w:rPr>
          <w:color w:val="231F20"/>
          <w:w w:val="105"/>
          <w:sz w:val="16"/>
        </w:rPr>
        <w:t>(1976) 161–162</w:t>
      </w:r>
      <w:r>
        <w:rPr>
          <w:i/>
          <w:color w:val="231F20"/>
          <w:w w:val="105"/>
          <w:sz w:val="16"/>
        </w:rPr>
        <w:t xml:space="preserve">, </w:t>
      </w:r>
      <w:r>
        <w:rPr>
          <w:color w:val="231F20"/>
          <w:w w:val="105"/>
          <w:sz w:val="16"/>
        </w:rPr>
        <w:t>163</w:t>
      </w:r>
      <w:r>
        <w:rPr>
          <w:i/>
          <w:color w:val="231F20"/>
          <w:w w:val="105"/>
          <w:sz w:val="16"/>
        </w:rPr>
        <w:t xml:space="preserve">, </w:t>
      </w:r>
      <w:r>
        <w:rPr>
          <w:color w:val="231F20"/>
          <w:w w:val="105"/>
          <w:sz w:val="16"/>
        </w:rPr>
        <w:t>172</w:t>
      </w:r>
      <w:r>
        <w:rPr>
          <w:i/>
          <w:color w:val="231F20"/>
          <w:w w:val="105"/>
          <w:sz w:val="16"/>
        </w:rPr>
        <w:t xml:space="preserve">, </w:t>
      </w:r>
      <w:r>
        <w:rPr>
          <w:color w:val="231F20"/>
          <w:w w:val="105"/>
          <w:sz w:val="16"/>
        </w:rPr>
        <w:t>347</w:t>
      </w:r>
      <w:r>
        <w:rPr>
          <w:i/>
          <w:color w:val="231F20"/>
          <w:w w:val="105"/>
          <w:sz w:val="16"/>
        </w:rPr>
        <w:t>,</w:t>
      </w:r>
      <w:r>
        <w:rPr>
          <w:i/>
          <w:color w:val="231F20"/>
          <w:spacing w:val="6"/>
          <w:w w:val="105"/>
          <w:sz w:val="16"/>
        </w:rPr>
        <w:t xml:space="preserve"> </w:t>
      </w:r>
      <w:r>
        <w:rPr>
          <w:color w:val="231F20"/>
          <w:w w:val="105"/>
          <w:sz w:val="16"/>
        </w:rPr>
        <w:t>352</w:t>
      </w:r>
      <w:r>
        <w:rPr>
          <w:i/>
          <w:color w:val="231F20"/>
          <w:w w:val="105"/>
          <w:sz w:val="16"/>
        </w:rPr>
        <w:t>,</w:t>
      </w:r>
    </w:p>
    <w:p w14:paraId="37F05D5F" w14:textId="77777777" w:rsidR="002653E8" w:rsidRDefault="003115E3">
      <w:pPr>
        <w:spacing w:before="2"/>
        <w:ind w:left="1347"/>
        <w:rPr>
          <w:sz w:val="16"/>
        </w:rPr>
      </w:pPr>
      <w:r>
        <w:rPr>
          <w:color w:val="231F20"/>
          <w:w w:val="105"/>
          <w:sz w:val="16"/>
        </w:rPr>
        <w:t>355–358</w:t>
      </w:r>
      <w:r>
        <w:rPr>
          <w:i/>
          <w:color w:val="231F20"/>
          <w:w w:val="105"/>
          <w:sz w:val="16"/>
        </w:rPr>
        <w:t xml:space="preserve">, </w:t>
      </w:r>
      <w:r>
        <w:rPr>
          <w:color w:val="231F20"/>
          <w:w w:val="105"/>
          <w:sz w:val="16"/>
        </w:rPr>
        <w:t>458</w:t>
      </w:r>
      <w:r>
        <w:rPr>
          <w:i/>
          <w:color w:val="231F20"/>
          <w:w w:val="105"/>
          <w:sz w:val="16"/>
        </w:rPr>
        <w:t xml:space="preserve">, </w:t>
      </w:r>
      <w:r>
        <w:rPr>
          <w:color w:val="231F20"/>
          <w:w w:val="105"/>
          <w:sz w:val="16"/>
        </w:rPr>
        <w:t>602; trial (1985) 617;</w:t>
      </w:r>
    </w:p>
    <w:p w14:paraId="1B3ACE1F" w14:textId="77777777" w:rsidR="002653E8" w:rsidRDefault="003115E3">
      <w:pPr>
        <w:spacing w:before="33"/>
        <w:ind w:left="1347"/>
        <w:rPr>
          <w:sz w:val="16"/>
        </w:rPr>
      </w:pPr>
      <w:r>
        <w:rPr>
          <w:color w:val="231F20"/>
          <w:sz w:val="16"/>
        </w:rPr>
        <w:t>Tupamaros Munich 64</w:t>
      </w:r>
    </w:p>
    <w:p w14:paraId="3A022F1D" w14:textId="77777777" w:rsidR="002653E8" w:rsidRDefault="003115E3">
      <w:pPr>
        <w:spacing w:before="32"/>
        <w:ind w:left="1147"/>
        <w:rPr>
          <w:sz w:val="16"/>
        </w:rPr>
      </w:pPr>
      <w:r>
        <w:rPr>
          <w:color w:val="231F20"/>
          <w:spacing w:val="-3"/>
          <w:w w:val="110"/>
          <w:sz w:val="16"/>
        </w:rPr>
        <w:t>Möller,</w:t>
      </w:r>
      <w:r>
        <w:rPr>
          <w:color w:val="231F20"/>
          <w:spacing w:val="-21"/>
          <w:w w:val="110"/>
          <w:sz w:val="16"/>
        </w:rPr>
        <w:t xml:space="preserve"> </w:t>
      </w:r>
      <w:r>
        <w:rPr>
          <w:color w:val="231F20"/>
          <w:w w:val="110"/>
          <w:sz w:val="16"/>
        </w:rPr>
        <w:t>Irmgard</w:t>
      </w:r>
      <w:r>
        <w:rPr>
          <w:color w:val="231F20"/>
          <w:spacing w:val="2"/>
          <w:w w:val="110"/>
          <w:sz w:val="16"/>
        </w:rPr>
        <w:t xml:space="preserve"> </w:t>
      </w:r>
      <w:r>
        <w:rPr>
          <w:color w:val="231F20"/>
          <w:w w:val="110"/>
          <w:sz w:val="16"/>
        </w:rPr>
        <w:t>519</w:t>
      </w:r>
      <w:r>
        <w:rPr>
          <w:i/>
          <w:color w:val="231F20"/>
          <w:w w:val="110"/>
          <w:sz w:val="16"/>
        </w:rPr>
        <w:t>,</w:t>
      </w:r>
      <w:r>
        <w:rPr>
          <w:i/>
          <w:color w:val="231F20"/>
          <w:spacing w:val="-21"/>
          <w:w w:val="110"/>
          <w:sz w:val="16"/>
        </w:rPr>
        <w:t xml:space="preserve"> </w:t>
      </w:r>
      <w:r>
        <w:rPr>
          <w:color w:val="231F20"/>
          <w:w w:val="110"/>
          <w:sz w:val="16"/>
        </w:rPr>
        <w:t>538</w:t>
      </w:r>
      <w:r>
        <w:rPr>
          <w:i/>
          <w:color w:val="231F20"/>
          <w:w w:val="110"/>
          <w:sz w:val="16"/>
        </w:rPr>
        <w:t>,</w:t>
      </w:r>
      <w:r>
        <w:rPr>
          <w:i/>
          <w:color w:val="231F20"/>
          <w:spacing w:val="-21"/>
          <w:w w:val="110"/>
          <w:sz w:val="16"/>
        </w:rPr>
        <w:t xml:space="preserve"> </w:t>
      </w:r>
      <w:r>
        <w:rPr>
          <w:color w:val="231F20"/>
          <w:w w:val="110"/>
          <w:sz w:val="16"/>
        </w:rPr>
        <w:t>572</w:t>
      </w:r>
      <w:r>
        <w:rPr>
          <w:i/>
          <w:color w:val="231F20"/>
          <w:w w:val="110"/>
          <w:sz w:val="16"/>
        </w:rPr>
        <w:t>,</w:t>
      </w:r>
      <w:r>
        <w:rPr>
          <w:i/>
          <w:color w:val="231F20"/>
          <w:spacing w:val="-21"/>
          <w:w w:val="110"/>
          <w:sz w:val="16"/>
        </w:rPr>
        <w:t xml:space="preserve"> </w:t>
      </w:r>
      <w:r>
        <w:rPr>
          <w:color w:val="231F20"/>
          <w:w w:val="110"/>
          <w:sz w:val="16"/>
        </w:rPr>
        <w:t>609</w:t>
      </w:r>
      <w:r>
        <w:rPr>
          <w:i/>
          <w:color w:val="231F20"/>
          <w:w w:val="110"/>
          <w:sz w:val="16"/>
        </w:rPr>
        <w:t>,</w:t>
      </w:r>
      <w:r>
        <w:rPr>
          <w:i/>
          <w:color w:val="231F20"/>
          <w:spacing w:val="-21"/>
          <w:w w:val="110"/>
          <w:sz w:val="16"/>
        </w:rPr>
        <w:t xml:space="preserve"> </w:t>
      </w:r>
      <w:r>
        <w:rPr>
          <w:color w:val="231F20"/>
          <w:w w:val="110"/>
          <w:sz w:val="16"/>
        </w:rPr>
        <w:t>622;</w:t>
      </w:r>
    </w:p>
    <w:p w14:paraId="00D639B1" w14:textId="77777777" w:rsidR="002653E8" w:rsidRDefault="003115E3">
      <w:pPr>
        <w:spacing w:before="32"/>
        <w:ind w:left="1347"/>
        <w:rPr>
          <w:sz w:val="16"/>
        </w:rPr>
      </w:pPr>
      <w:r>
        <w:rPr>
          <w:color w:val="231F20"/>
          <w:sz w:val="16"/>
        </w:rPr>
        <w:t>captured (1972) 172</w:t>
      </w:r>
      <w:r>
        <w:rPr>
          <w:i/>
          <w:color w:val="231F20"/>
          <w:sz w:val="16"/>
        </w:rPr>
        <w:t xml:space="preserve">, </w:t>
      </w:r>
      <w:r>
        <w:rPr>
          <w:color w:val="231F20"/>
          <w:sz w:val="16"/>
        </w:rPr>
        <w:t>592; in prison</w:t>
      </w:r>
    </w:p>
    <w:p w14:paraId="356FD9B9" w14:textId="77777777" w:rsidR="002653E8" w:rsidRDefault="003115E3">
      <w:pPr>
        <w:spacing w:before="33"/>
        <w:ind w:left="1347"/>
        <w:rPr>
          <w:i/>
          <w:sz w:val="16"/>
        </w:rPr>
      </w:pPr>
      <w:r>
        <w:rPr>
          <w:color w:val="231F20"/>
          <w:w w:val="105"/>
          <w:sz w:val="16"/>
        </w:rPr>
        <w:t>471</w:t>
      </w:r>
      <w:r>
        <w:rPr>
          <w:i/>
          <w:color w:val="231F20"/>
          <w:w w:val="105"/>
          <w:sz w:val="16"/>
        </w:rPr>
        <w:t xml:space="preserve">, </w:t>
      </w:r>
      <w:r>
        <w:rPr>
          <w:color w:val="231F20"/>
          <w:w w:val="105"/>
          <w:sz w:val="16"/>
        </w:rPr>
        <w:t>516</w:t>
      </w:r>
      <w:r>
        <w:rPr>
          <w:i/>
          <w:color w:val="231F20"/>
          <w:w w:val="105"/>
          <w:sz w:val="16"/>
        </w:rPr>
        <w:t xml:space="preserve">, </w:t>
      </w:r>
      <w:r>
        <w:rPr>
          <w:color w:val="231F20"/>
          <w:w w:val="105"/>
          <w:sz w:val="16"/>
        </w:rPr>
        <w:t>624; release demanded 339</w:t>
      </w:r>
      <w:r>
        <w:rPr>
          <w:i/>
          <w:color w:val="231F20"/>
          <w:w w:val="105"/>
          <w:sz w:val="16"/>
        </w:rPr>
        <w:t>,</w:t>
      </w:r>
    </w:p>
    <w:p w14:paraId="1F005E4F" w14:textId="77777777" w:rsidR="002653E8" w:rsidRDefault="003115E3">
      <w:pPr>
        <w:spacing w:before="32"/>
        <w:ind w:left="1347"/>
        <w:rPr>
          <w:sz w:val="16"/>
        </w:rPr>
      </w:pPr>
      <w:r>
        <w:rPr>
          <w:color w:val="231F20"/>
          <w:sz w:val="16"/>
        </w:rPr>
        <w:t>498</w:t>
      </w:r>
      <w:r>
        <w:rPr>
          <w:i/>
          <w:color w:val="231F20"/>
          <w:sz w:val="16"/>
        </w:rPr>
        <w:t xml:space="preserve">, </w:t>
      </w:r>
      <w:r>
        <w:rPr>
          <w:color w:val="231F20"/>
          <w:sz w:val="16"/>
        </w:rPr>
        <w:t xml:space="preserve">505; split in the </w:t>
      </w:r>
      <w:r w:rsidR="00C507A5">
        <w:rPr>
          <w:color w:val="231F20"/>
          <w:sz w:val="16"/>
        </w:rPr>
        <w:t>red army faction</w:t>
      </w:r>
      <w:r>
        <w:rPr>
          <w:color w:val="231F20"/>
          <w:sz w:val="16"/>
        </w:rPr>
        <w:t xml:space="preserve">  623; Stam-</w:t>
      </w:r>
    </w:p>
    <w:p w14:paraId="6C2EC24E" w14:textId="77777777" w:rsidR="002653E8" w:rsidRDefault="003115E3">
      <w:pPr>
        <w:spacing w:before="33"/>
        <w:ind w:left="1347"/>
        <w:rPr>
          <w:i/>
          <w:sz w:val="16"/>
        </w:rPr>
      </w:pPr>
      <w:r>
        <w:rPr>
          <w:color w:val="231F20"/>
          <w:w w:val="105"/>
          <w:sz w:val="16"/>
        </w:rPr>
        <w:t>mheim, almost killed in 485</w:t>
      </w:r>
      <w:r>
        <w:rPr>
          <w:i/>
          <w:color w:val="231F20"/>
          <w:w w:val="105"/>
          <w:sz w:val="16"/>
        </w:rPr>
        <w:t xml:space="preserve">, </w:t>
      </w:r>
      <w:r>
        <w:rPr>
          <w:color w:val="231F20"/>
          <w:w w:val="105"/>
          <w:sz w:val="16"/>
        </w:rPr>
        <w:t>507</w:t>
      </w:r>
      <w:r>
        <w:rPr>
          <w:i/>
          <w:color w:val="231F20"/>
          <w:w w:val="105"/>
          <w:sz w:val="16"/>
        </w:rPr>
        <w:t>,</w:t>
      </w:r>
      <w:r>
        <w:rPr>
          <w:i/>
          <w:color w:val="231F20"/>
          <w:spacing w:val="-4"/>
          <w:w w:val="105"/>
          <w:sz w:val="16"/>
        </w:rPr>
        <w:t xml:space="preserve"> </w:t>
      </w:r>
      <w:r>
        <w:rPr>
          <w:color w:val="231F20"/>
          <w:w w:val="105"/>
          <w:sz w:val="16"/>
        </w:rPr>
        <w:t>512</w:t>
      </w:r>
      <w:r>
        <w:rPr>
          <w:i/>
          <w:color w:val="231F20"/>
          <w:w w:val="105"/>
          <w:sz w:val="16"/>
        </w:rPr>
        <w:t>,</w:t>
      </w:r>
    </w:p>
    <w:p w14:paraId="58E120B9" w14:textId="77777777" w:rsidR="002653E8" w:rsidRDefault="003115E3">
      <w:pPr>
        <w:spacing w:before="32"/>
        <w:ind w:left="1347"/>
        <w:rPr>
          <w:sz w:val="16"/>
        </w:rPr>
      </w:pPr>
      <w:r>
        <w:rPr>
          <w:color w:val="231F20"/>
          <w:sz w:val="16"/>
        </w:rPr>
        <w:t>513</w:t>
      </w:r>
      <w:r>
        <w:rPr>
          <w:i/>
          <w:color w:val="231F20"/>
          <w:sz w:val="16"/>
        </w:rPr>
        <w:t xml:space="preserve">, </w:t>
      </w:r>
      <w:r>
        <w:rPr>
          <w:color w:val="231F20"/>
          <w:sz w:val="16"/>
        </w:rPr>
        <w:t>517</w:t>
      </w:r>
      <w:r>
        <w:rPr>
          <w:i/>
          <w:color w:val="231F20"/>
          <w:sz w:val="16"/>
        </w:rPr>
        <w:t xml:space="preserve">, </w:t>
      </w:r>
      <w:r>
        <w:rPr>
          <w:color w:val="231F20"/>
          <w:sz w:val="16"/>
        </w:rPr>
        <w:t>608; trial (1976) 600; trial</w:t>
      </w:r>
    </w:p>
    <w:p w14:paraId="4FB132BF" w14:textId="77777777" w:rsidR="002653E8" w:rsidRDefault="003115E3">
      <w:pPr>
        <w:spacing w:before="33"/>
        <w:ind w:left="1347"/>
        <w:rPr>
          <w:sz w:val="16"/>
        </w:rPr>
      </w:pPr>
      <w:r>
        <w:rPr>
          <w:color w:val="231F20"/>
          <w:sz w:val="16"/>
        </w:rPr>
        <w:t>(1979) 612</w:t>
      </w:r>
    </w:p>
    <w:p w14:paraId="5BF4A58C" w14:textId="77777777" w:rsidR="002653E8" w:rsidRDefault="003115E3">
      <w:pPr>
        <w:spacing w:before="32"/>
        <w:ind w:left="1147"/>
        <w:rPr>
          <w:sz w:val="16"/>
        </w:rPr>
      </w:pPr>
      <w:r>
        <w:rPr>
          <w:color w:val="231F20"/>
          <w:w w:val="105"/>
          <w:sz w:val="16"/>
        </w:rPr>
        <w:t>Molotov Cocktail Meeting 150</w:t>
      </w:r>
      <w:r>
        <w:rPr>
          <w:i/>
          <w:color w:val="231F20"/>
          <w:w w:val="105"/>
          <w:sz w:val="16"/>
        </w:rPr>
        <w:t xml:space="preserve">, </w:t>
      </w:r>
      <w:r>
        <w:rPr>
          <w:color w:val="231F20"/>
          <w:w w:val="105"/>
          <w:sz w:val="16"/>
        </w:rPr>
        <w:t>581</w:t>
      </w:r>
    </w:p>
    <w:p w14:paraId="537FD5BB" w14:textId="77777777" w:rsidR="002653E8" w:rsidRDefault="003115E3">
      <w:pPr>
        <w:spacing w:before="32" w:line="280" w:lineRule="auto"/>
        <w:ind w:left="1347" w:right="52" w:hanging="201"/>
        <w:rPr>
          <w:sz w:val="16"/>
        </w:rPr>
      </w:pPr>
      <w:r>
        <w:rPr>
          <w:i/>
          <w:color w:val="231F20"/>
          <w:w w:val="105"/>
          <w:sz w:val="16"/>
        </w:rPr>
        <w:t xml:space="preserve">Le Monde Diplomatique. See </w:t>
      </w:r>
      <w:r w:rsidR="00C507A5">
        <w:rPr>
          <w:color w:val="231F20"/>
          <w:w w:val="105"/>
          <w:sz w:val="16"/>
        </w:rPr>
        <w:t>red army faction</w:t>
      </w:r>
      <w:r>
        <w:rPr>
          <w:color w:val="231F20"/>
          <w:w w:val="105"/>
          <w:sz w:val="16"/>
        </w:rPr>
        <w:t xml:space="preserve"> documents: Interview with </w:t>
      </w:r>
      <w:r>
        <w:rPr>
          <w:i/>
          <w:color w:val="231F20"/>
          <w:w w:val="105"/>
          <w:sz w:val="16"/>
        </w:rPr>
        <w:t xml:space="preserve">Le Monde Diplomatique </w:t>
      </w:r>
      <w:r>
        <w:rPr>
          <w:color w:val="231F20"/>
          <w:w w:val="105"/>
          <w:sz w:val="16"/>
        </w:rPr>
        <w:t>(1976)</w:t>
      </w:r>
    </w:p>
    <w:p w14:paraId="6A375A05" w14:textId="77777777" w:rsidR="002653E8" w:rsidRDefault="003115E3">
      <w:pPr>
        <w:spacing w:before="2"/>
        <w:ind w:left="1147"/>
        <w:rPr>
          <w:sz w:val="16"/>
        </w:rPr>
      </w:pPr>
      <w:r>
        <w:rPr>
          <w:color w:val="231F20"/>
          <w:w w:val="105"/>
          <w:sz w:val="16"/>
        </w:rPr>
        <w:t>Morocco 212</w:t>
      </w:r>
    </w:p>
    <w:p w14:paraId="68857204" w14:textId="77777777" w:rsidR="002653E8" w:rsidRDefault="003115E3">
      <w:pPr>
        <w:spacing w:before="32"/>
        <w:ind w:left="1147"/>
        <w:rPr>
          <w:sz w:val="16"/>
        </w:rPr>
      </w:pPr>
      <w:r>
        <w:rPr>
          <w:color w:val="231F20"/>
          <w:sz w:val="16"/>
        </w:rPr>
        <w:t>Moscow and Warsaw Treaties 147</w:t>
      </w:r>
      <w:r>
        <w:rPr>
          <w:i/>
          <w:color w:val="231F20"/>
          <w:sz w:val="16"/>
        </w:rPr>
        <w:t xml:space="preserve">, </w:t>
      </w:r>
      <w:r>
        <w:rPr>
          <w:color w:val="231F20"/>
          <w:sz w:val="16"/>
        </w:rPr>
        <w:t>228</w:t>
      </w:r>
    </w:p>
    <w:p w14:paraId="6273FB7D" w14:textId="77777777" w:rsidR="002653E8" w:rsidRDefault="003115E3">
      <w:pPr>
        <w:spacing w:before="33"/>
        <w:ind w:left="1147"/>
        <w:rPr>
          <w:sz w:val="16"/>
        </w:rPr>
      </w:pPr>
      <w:r>
        <w:rPr>
          <w:color w:val="231F20"/>
          <w:w w:val="105"/>
          <w:sz w:val="16"/>
        </w:rPr>
        <w:t>Mossad 481</w:t>
      </w:r>
      <w:r>
        <w:rPr>
          <w:i/>
          <w:color w:val="231F20"/>
          <w:w w:val="105"/>
          <w:sz w:val="16"/>
        </w:rPr>
        <w:t xml:space="preserve">, </w:t>
      </w:r>
      <w:r>
        <w:rPr>
          <w:color w:val="231F20"/>
          <w:w w:val="105"/>
          <w:sz w:val="16"/>
        </w:rPr>
        <w:t>504</w:t>
      </w:r>
      <w:r>
        <w:rPr>
          <w:i/>
          <w:color w:val="231F20"/>
          <w:w w:val="105"/>
          <w:sz w:val="16"/>
        </w:rPr>
        <w:t xml:space="preserve">, </w:t>
      </w:r>
      <w:r>
        <w:rPr>
          <w:color w:val="231F20"/>
          <w:w w:val="105"/>
          <w:sz w:val="16"/>
        </w:rPr>
        <w:t>561</w:t>
      </w:r>
    </w:p>
    <w:p w14:paraId="1683C3CD" w14:textId="77777777" w:rsidR="002653E8" w:rsidRDefault="003115E3">
      <w:pPr>
        <w:spacing w:before="32"/>
        <w:ind w:left="1147"/>
        <w:rPr>
          <w:sz w:val="16"/>
        </w:rPr>
      </w:pPr>
      <w:r>
        <w:rPr>
          <w:color w:val="231F20"/>
          <w:w w:val="105"/>
          <w:sz w:val="16"/>
        </w:rPr>
        <w:t>Mossadegh, Mohammed 211</w:t>
      </w:r>
    </w:p>
    <w:p w14:paraId="57FB5DB2" w14:textId="77777777" w:rsidR="002653E8" w:rsidRDefault="003115E3">
      <w:pPr>
        <w:spacing w:before="33"/>
        <w:ind w:left="1147"/>
        <w:rPr>
          <w:sz w:val="16"/>
        </w:rPr>
      </w:pPr>
      <w:r>
        <w:rPr>
          <w:color w:val="231F20"/>
          <w:sz w:val="16"/>
        </w:rPr>
        <w:t>Most, Johannes 227</w:t>
      </w:r>
    </w:p>
    <w:p w14:paraId="614667C7" w14:textId="77777777" w:rsidR="002653E8" w:rsidRDefault="003115E3">
      <w:pPr>
        <w:spacing w:before="32" w:line="280" w:lineRule="auto"/>
        <w:ind w:left="1147"/>
        <w:rPr>
          <w:sz w:val="16"/>
        </w:rPr>
      </w:pPr>
      <w:r>
        <w:rPr>
          <w:color w:val="231F20"/>
          <w:sz w:val="16"/>
        </w:rPr>
        <w:t>Mouvement d’action judicaire 526 Movement for the Freedom of Jerusalem</w:t>
      </w:r>
    </w:p>
    <w:p w14:paraId="65082FA2" w14:textId="77777777" w:rsidR="002653E8" w:rsidRDefault="003115E3">
      <w:pPr>
        <w:spacing w:before="1"/>
        <w:ind w:left="1347"/>
        <w:rPr>
          <w:sz w:val="16"/>
        </w:rPr>
      </w:pPr>
      <w:r>
        <w:rPr>
          <w:color w:val="231F20"/>
          <w:sz w:val="16"/>
        </w:rPr>
        <w:t>621</w:t>
      </w:r>
    </w:p>
    <w:p w14:paraId="06183ABD" w14:textId="77777777" w:rsidR="002653E8" w:rsidRDefault="003115E3">
      <w:pPr>
        <w:spacing w:before="33"/>
        <w:ind w:left="1147"/>
        <w:rPr>
          <w:sz w:val="16"/>
        </w:rPr>
      </w:pPr>
      <w:r>
        <w:rPr>
          <w:color w:val="231F20"/>
          <w:w w:val="105"/>
          <w:sz w:val="16"/>
        </w:rPr>
        <w:t>Mozambique 11</w:t>
      </w:r>
      <w:r>
        <w:rPr>
          <w:i/>
          <w:color w:val="231F20"/>
          <w:w w:val="105"/>
          <w:sz w:val="16"/>
        </w:rPr>
        <w:t xml:space="preserve">, </w:t>
      </w:r>
      <w:r>
        <w:rPr>
          <w:color w:val="231F20"/>
          <w:w w:val="105"/>
          <w:sz w:val="16"/>
        </w:rPr>
        <w:t>149</w:t>
      </w:r>
      <w:r>
        <w:rPr>
          <w:i/>
          <w:color w:val="231F20"/>
          <w:w w:val="105"/>
          <w:sz w:val="16"/>
        </w:rPr>
        <w:t xml:space="preserve">, </w:t>
      </w:r>
      <w:r>
        <w:rPr>
          <w:color w:val="231F20"/>
          <w:w w:val="105"/>
          <w:sz w:val="16"/>
        </w:rPr>
        <w:t>226</w:t>
      </w:r>
    </w:p>
    <w:p w14:paraId="6A9212D0" w14:textId="77777777" w:rsidR="002653E8" w:rsidRDefault="003115E3">
      <w:pPr>
        <w:spacing w:before="86"/>
        <w:ind w:left="261"/>
        <w:rPr>
          <w:sz w:val="16"/>
        </w:rPr>
      </w:pPr>
      <w:r>
        <w:br w:type="column"/>
      </w:r>
      <w:r>
        <w:rPr>
          <w:color w:val="231F20"/>
          <w:w w:val="105"/>
          <w:sz w:val="16"/>
        </w:rPr>
        <w:t>Muhammed, Mahdi 481</w:t>
      </w:r>
    </w:p>
    <w:p w14:paraId="00E8B193" w14:textId="77777777" w:rsidR="002653E8" w:rsidRDefault="003115E3">
      <w:pPr>
        <w:spacing w:before="33"/>
        <w:ind w:left="261"/>
        <w:rPr>
          <w:sz w:val="16"/>
        </w:rPr>
      </w:pPr>
      <w:r>
        <w:rPr>
          <w:color w:val="231F20"/>
          <w:sz w:val="16"/>
        </w:rPr>
        <w:t>Müller, Arndt 572; arrested (1977)</w:t>
      </w:r>
    </w:p>
    <w:p w14:paraId="79F0F91D" w14:textId="77777777" w:rsidR="002653E8" w:rsidRDefault="003115E3">
      <w:pPr>
        <w:spacing w:before="32"/>
        <w:ind w:left="461"/>
        <w:rPr>
          <w:sz w:val="16"/>
        </w:rPr>
      </w:pPr>
      <w:r>
        <w:rPr>
          <w:color w:val="231F20"/>
          <w:sz w:val="16"/>
        </w:rPr>
        <w:t>480–481</w:t>
      </w:r>
      <w:r>
        <w:rPr>
          <w:i/>
          <w:color w:val="231F20"/>
          <w:sz w:val="16"/>
        </w:rPr>
        <w:t xml:space="preserve">, </w:t>
      </w:r>
      <w:r>
        <w:rPr>
          <w:color w:val="231F20"/>
          <w:sz w:val="16"/>
        </w:rPr>
        <w:t>607; charged with attempted</w:t>
      </w:r>
    </w:p>
    <w:p w14:paraId="2C91CDE4" w14:textId="77777777" w:rsidR="002653E8" w:rsidRDefault="003115E3">
      <w:pPr>
        <w:spacing w:before="33"/>
        <w:ind w:left="461"/>
        <w:rPr>
          <w:sz w:val="16"/>
        </w:rPr>
      </w:pPr>
      <w:r>
        <w:rPr>
          <w:color w:val="231F20"/>
          <w:sz w:val="16"/>
        </w:rPr>
        <w:t>murder 473; offices bombed 475</w:t>
      </w:r>
      <w:r>
        <w:rPr>
          <w:i/>
          <w:color w:val="231F20"/>
          <w:sz w:val="16"/>
        </w:rPr>
        <w:t xml:space="preserve">, </w:t>
      </w:r>
      <w:r>
        <w:rPr>
          <w:color w:val="231F20"/>
          <w:sz w:val="16"/>
        </w:rPr>
        <w:t>606;</w:t>
      </w:r>
    </w:p>
    <w:p w14:paraId="709468AF" w14:textId="77777777" w:rsidR="002653E8" w:rsidRDefault="003115E3">
      <w:pPr>
        <w:spacing w:before="32"/>
        <w:ind w:left="461"/>
        <w:rPr>
          <w:sz w:val="16"/>
        </w:rPr>
      </w:pPr>
      <w:r>
        <w:rPr>
          <w:color w:val="231F20"/>
          <w:sz w:val="16"/>
        </w:rPr>
        <w:t>trial (1980) 515</w:t>
      </w:r>
      <w:r>
        <w:rPr>
          <w:i/>
          <w:color w:val="231F20"/>
          <w:sz w:val="16"/>
        </w:rPr>
        <w:t xml:space="preserve">, </w:t>
      </w:r>
      <w:r>
        <w:rPr>
          <w:color w:val="231F20"/>
          <w:sz w:val="16"/>
        </w:rPr>
        <w:t>613</w:t>
      </w:r>
    </w:p>
    <w:p w14:paraId="0880FF02" w14:textId="77777777" w:rsidR="002653E8" w:rsidRDefault="003115E3">
      <w:pPr>
        <w:spacing w:before="32"/>
        <w:ind w:left="261"/>
        <w:rPr>
          <w:sz w:val="16"/>
        </w:rPr>
      </w:pPr>
      <w:r>
        <w:rPr>
          <w:color w:val="231F20"/>
          <w:sz w:val="16"/>
        </w:rPr>
        <w:t>Müller, Gerhard   572;  captured (1972)</w:t>
      </w:r>
    </w:p>
    <w:p w14:paraId="57C3A5E6" w14:textId="77777777" w:rsidR="002653E8" w:rsidRPr="00846956" w:rsidRDefault="003115E3">
      <w:pPr>
        <w:spacing w:before="33"/>
        <w:ind w:left="461"/>
        <w:rPr>
          <w:i/>
          <w:sz w:val="16"/>
          <w:lang w:val="de-DE"/>
        </w:rPr>
      </w:pPr>
      <w:r w:rsidRPr="00846956">
        <w:rPr>
          <w:color w:val="231F20"/>
          <w:w w:val="105"/>
          <w:sz w:val="16"/>
          <w:lang w:val="de-DE"/>
        </w:rPr>
        <w:t>171</w:t>
      </w:r>
      <w:r w:rsidRPr="00846956">
        <w:rPr>
          <w:i/>
          <w:color w:val="231F20"/>
          <w:w w:val="105"/>
          <w:sz w:val="16"/>
          <w:lang w:val="de-DE"/>
        </w:rPr>
        <w:t xml:space="preserve">, </w:t>
      </w:r>
      <w:r w:rsidRPr="00846956">
        <w:rPr>
          <w:color w:val="231F20"/>
          <w:w w:val="105"/>
          <w:sz w:val="16"/>
          <w:lang w:val="de-DE"/>
        </w:rPr>
        <w:t>201</w:t>
      </w:r>
      <w:r w:rsidRPr="00846956">
        <w:rPr>
          <w:i/>
          <w:color w:val="231F20"/>
          <w:w w:val="105"/>
          <w:sz w:val="16"/>
          <w:lang w:val="de-DE"/>
        </w:rPr>
        <w:t xml:space="preserve">, </w:t>
      </w:r>
      <w:r w:rsidRPr="00846956">
        <w:rPr>
          <w:color w:val="231F20"/>
          <w:w w:val="105"/>
          <w:sz w:val="16"/>
          <w:lang w:val="de-DE"/>
        </w:rPr>
        <w:t>591; informant 351–352</w:t>
      </w:r>
      <w:r w:rsidRPr="00846956">
        <w:rPr>
          <w:i/>
          <w:color w:val="231F20"/>
          <w:w w:val="105"/>
          <w:sz w:val="16"/>
          <w:lang w:val="de-DE"/>
        </w:rPr>
        <w:t>,</w:t>
      </w:r>
    </w:p>
    <w:p w14:paraId="07C04EE9" w14:textId="77777777" w:rsidR="002653E8" w:rsidRPr="00846956" w:rsidRDefault="003115E3">
      <w:pPr>
        <w:spacing w:before="32"/>
        <w:ind w:left="461"/>
        <w:rPr>
          <w:sz w:val="16"/>
          <w:lang w:val="de-DE"/>
        </w:rPr>
      </w:pPr>
      <w:r w:rsidRPr="00846956">
        <w:rPr>
          <w:color w:val="231F20"/>
          <w:w w:val="105"/>
          <w:sz w:val="16"/>
          <w:lang w:val="de-DE"/>
        </w:rPr>
        <w:t>465–466</w:t>
      </w:r>
      <w:r w:rsidRPr="00846956">
        <w:rPr>
          <w:i/>
          <w:color w:val="231F20"/>
          <w:w w:val="105"/>
          <w:sz w:val="16"/>
          <w:lang w:val="de-DE"/>
        </w:rPr>
        <w:t xml:space="preserve">, </w:t>
      </w:r>
      <w:r w:rsidRPr="00846956">
        <w:rPr>
          <w:color w:val="231F20"/>
          <w:w w:val="105"/>
          <w:sz w:val="16"/>
          <w:lang w:val="de-DE"/>
        </w:rPr>
        <w:t>588</w:t>
      </w:r>
      <w:r w:rsidRPr="00846956">
        <w:rPr>
          <w:i/>
          <w:color w:val="231F20"/>
          <w:w w:val="105"/>
          <w:sz w:val="16"/>
          <w:lang w:val="de-DE"/>
        </w:rPr>
        <w:t xml:space="preserve">, </w:t>
      </w:r>
      <w:r w:rsidRPr="00846956">
        <w:rPr>
          <w:color w:val="231F20"/>
          <w:w w:val="105"/>
          <w:sz w:val="16"/>
          <w:lang w:val="de-DE"/>
        </w:rPr>
        <w:t>600; isolation 352;</w:t>
      </w:r>
    </w:p>
    <w:p w14:paraId="779FF8C3" w14:textId="77777777" w:rsidR="002653E8" w:rsidRPr="00846956" w:rsidRDefault="003115E3">
      <w:pPr>
        <w:spacing w:before="33"/>
        <w:ind w:left="461"/>
        <w:rPr>
          <w:sz w:val="16"/>
          <w:lang w:val="de-DE"/>
        </w:rPr>
      </w:pPr>
      <w:r w:rsidRPr="00846956">
        <w:rPr>
          <w:color w:val="231F20"/>
          <w:w w:val="105"/>
          <w:sz w:val="16"/>
          <w:lang w:val="de-DE"/>
        </w:rPr>
        <w:t>Norbert Schmid 108–110</w:t>
      </w:r>
      <w:r w:rsidRPr="00846956">
        <w:rPr>
          <w:i/>
          <w:color w:val="231F20"/>
          <w:w w:val="105"/>
          <w:sz w:val="16"/>
          <w:lang w:val="de-DE"/>
        </w:rPr>
        <w:t xml:space="preserve">, </w:t>
      </w:r>
      <w:r w:rsidRPr="00846956">
        <w:rPr>
          <w:color w:val="231F20"/>
          <w:w w:val="105"/>
          <w:sz w:val="16"/>
          <w:lang w:val="de-DE"/>
        </w:rPr>
        <w:t>588; SPK</w:t>
      </w:r>
    </w:p>
    <w:p w14:paraId="4F1752EA" w14:textId="77777777" w:rsidR="002653E8" w:rsidRDefault="003115E3">
      <w:pPr>
        <w:spacing w:before="32"/>
        <w:ind w:left="461"/>
        <w:rPr>
          <w:i/>
          <w:sz w:val="16"/>
        </w:rPr>
      </w:pPr>
      <w:r>
        <w:rPr>
          <w:color w:val="231F20"/>
          <w:w w:val="105"/>
          <w:sz w:val="16"/>
        </w:rPr>
        <w:t>108; testimony refuted 356–357</w:t>
      </w:r>
      <w:r>
        <w:rPr>
          <w:i/>
          <w:color w:val="231F20"/>
          <w:w w:val="105"/>
          <w:sz w:val="16"/>
        </w:rPr>
        <w:t xml:space="preserve">, </w:t>
      </w:r>
      <w:r>
        <w:rPr>
          <w:color w:val="231F20"/>
          <w:w w:val="105"/>
          <w:sz w:val="16"/>
        </w:rPr>
        <w:t>458</w:t>
      </w:r>
      <w:r>
        <w:rPr>
          <w:i/>
          <w:color w:val="231F20"/>
          <w:w w:val="105"/>
          <w:sz w:val="16"/>
        </w:rPr>
        <w:t>,</w:t>
      </w:r>
    </w:p>
    <w:p w14:paraId="4CD4C16F" w14:textId="77777777" w:rsidR="002653E8" w:rsidRDefault="003115E3">
      <w:pPr>
        <w:spacing w:before="32"/>
        <w:ind w:left="461"/>
        <w:rPr>
          <w:sz w:val="16"/>
        </w:rPr>
      </w:pPr>
      <w:r>
        <w:rPr>
          <w:color w:val="231F20"/>
          <w:sz w:val="16"/>
        </w:rPr>
        <w:t>602</w:t>
      </w:r>
    </w:p>
    <w:p w14:paraId="190DA4C8" w14:textId="77777777" w:rsidR="002653E8" w:rsidRDefault="003115E3">
      <w:pPr>
        <w:spacing w:before="33"/>
        <w:ind w:left="261"/>
        <w:rPr>
          <w:sz w:val="16"/>
        </w:rPr>
      </w:pPr>
      <w:r>
        <w:rPr>
          <w:color w:val="231F20"/>
          <w:w w:val="105"/>
          <w:sz w:val="16"/>
        </w:rPr>
        <w:t>Müller, Herman-Josef 404</w:t>
      </w:r>
    </w:p>
    <w:p w14:paraId="3B773DE2" w14:textId="77777777" w:rsidR="002653E8" w:rsidRDefault="003115E3">
      <w:pPr>
        <w:spacing w:before="32"/>
        <w:ind w:left="261"/>
        <w:rPr>
          <w:sz w:val="16"/>
        </w:rPr>
      </w:pPr>
      <w:r>
        <w:rPr>
          <w:color w:val="231F20"/>
          <w:sz w:val="16"/>
        </w:rPr>
        <w:t>Müller, Philipp 21</w:t>
      </w:r>
    </w:p>
    <w:p w14:paraId="688DEDE7" w14:textId="77777777" w:rsidR="002653E8" w:rsidRDefault="003115E3">
      <w:pPr>
        <w:spacing w:before="33" w:line="280" w:lineRule="auto"/>
        <w:ind w:left="461" w:right="1363" w:hanging="200"/>
        <w:rPr>
          <w:sz w:val="16"/>
        </w:rPr>
      </w:pPr>
      <w:r>
        <w:rPr>
          <w:color w:val="231F20"/>
          <w:sz w:val="16"/>
        </w:rPr>
        <w:t>Munich Board for the Emergency Facing Democracy 38</w:t>
      </w:r>
    </w:p>
    <w:p w14:paraId="27EC98DA" w14:textId="77777777" w:rsidR="002653E8" w:rsidRDefault="003115E3">
      <w:pPr>
        <w:spacing w:before="1"/>
        <w:ind w:left="261"/>
        <w:rPr>
          <w:i/>
          <w:sz w:val="16"/>
        </w:rPr>
      </w:pPr>
      <w:r>
        <w:rPr>
          <w:color w:val="231F20"/>
          <w:w w:val="105"/>
          <w:sz w:val="16"/>
        </w:rPr>
        <w:t>Munich Olympic Games (1972) 188–189</w:t>
      </w:r>
      <w:r>
        <w:rPr>
          <w:i/>
          <w:color w:val="231F20"/>
          <w:w w:val="105"/>
          <w:sz w:val="16"/>
        </w:rPr>
        <w:t>.</w:t>
      </w:r>
    </w:p>
    <w:p w14:paraId="3AB0A62F" w14:textId="77777777" w:rsidR="002653E8" w:rsidRDefault="003115E3">
      <w:pPr>
        <w:spacing w:before="32" w:line="280" w:lineRule="auto"/>
        <w:ind w:left="461" w:right="1363"/>
        <w:rPr>
          <w:sz w:val="16"/>
        </w:rPr>
      </w:pPr>
      <w:r>
        <w:rPr>
          <w:i/>
          <w:color w:val="231F20"/>
          <w:sz w:val="16"/>
        </w:rPr>
        <w:t xml:space="preserve">See also </w:t>
      </w:r>
      <w:r>
        <w:rPr>
          <w:color w:val="231F20"/>
          <w:sz w:val="16"/>
        </w:rPr>
        <w:t>Black September (organization): Munich Olympics hostage-taking (1972)</w:t>
      </w:r>
    </w:p>
    <w:p w14:paraId="25E41B63" w14:textId="77777777" w:rsidR="002653E8" w:rsidRDefault="003115E3">
      <w:pPr>
        <w:spacing w:before="2"/>
        <w:ind w:left="261"/>
        <w:rPr>
          <w:sz w:val="16"/>
        </w:rPr>
      </w:pPr>
      <w:r>
        <w:rPr>
          <w:color w:val="231F20"/>
          <w:sz w:val="16"/>
        </w:rPr>
        <w:t>Munich Tupamaros 64</w:t>
      </w:r>
    </w:p>
    <w:p w14:paraId="3AFB754A" w14:textId="77777777" w:rsidR="002653E8" w:rsidRDefault="002653E8">
      <w:pPr>
        <w:pStyle w:val="a3"/>
        <w:rPr>
          <w:sz w:val="18"/>
        </w:rPr>
      </w:pPr>
    </w:p>
    <w:p w14:paraId="5BCF66EE" w14:textId="77777777" w:rsidR="002653E8" w:rsidRDefault="002653E8">
      <w:pPr>
        <w:pStyle w:val="a3"/>
        <w:rPr>
          <w:sz w:val="18"/>
        </w:rPr>
      </w:pPr>
    </w:p>
    <w:p w14:paraId="3EACAA81" w14:textId="77777777" w:rsidR="002653E8" w:rsidRDefault="002653E8">
      <w:pPr>
        <w:pStyle w:val="a3"/>
        <w:rPr>
          <w:sz w:val="18"/>
        </w:rPr>
      </w:pPr>
    </w:p>
    <w:p w14:paraId="0115DBE0" w14:textId="77777777" w:rsidR="002653E8" w:rsidRDefault="002653E8">
      <w:pPr>
        <w:pStyle w:val="a3"/>
        <w:spacing w:before="9"/>
        <w:rPr>
          <w:sz w:val="23"/>
        </w:rPr>
      </w:pPr>
    </w:p>
    <w:p w14:paraId="3EA0DF04" w14:textId="77777777" w:rsidR="002653E8" w:rsidRDefault="003115E3">
      <w:pPr>
        <w:spacing w:before="1"/>
        <w:ind w:left="261"/>
        <w:rPr>
          <w:sz w:val="16"/>
        </w:rPr>
      </w:pPr>
      <w:r>
        <w:rPr>
          <w:color w:val="231F20"/>
          <w:w w:val="105"/>
          <w:sz w:val="16"/>
        </w:rPr>
        <w:t>Nannen, Henri 232</w:t>
      </w:r>
    </w:p>
    <w:p w14:paraId="3C987099" w14:textId="77777777" w:rsidR="002653E8" w:rsidRDefault="003115E3">
      <w:pPr>
        <w:spacing w:before="32" w:line="280" w:lineRule="auto"/>
        <w:ind w:left="461" w:right="1363" w:hanging="200"/>
        <w:rPr>
          <w:sz w:val="16"/>
        </w:rPr>
      </w:pPr>
      <w:r>
        <w:rPr>
          <w:color w:val="231F20"/>
          <w:sz w:val="16"/>
        </w:rPr>
        <w:t>National Liberation Front (South yemen) 330</w:t>
      </w:r>
    </w:p>
    <w:p w14:paraId="3F248236" w14:textId="77777777" w:rsidR="002653E8" w:rsidRDefault="003115E3">
      <w:pPr>
        <w:spacing w:before="1" w:line="280" w:lineRule="auto"/>
        <w:ind w:left="261" w:right="1363"/>
        <w:rPr>
          <w:sz w:val="16"/>
        </w:rPr>
      </w:pPr>
      <w:r>
        <w:rPr>
          <w:color w:val="231F20"/>
          <w:sz w:val="16"/>
        </w:rPr>
        <w:t>National Security Agency 163</w:t>
      </w:r>
      <w:r>
        <w:rPr>
          <w:i/>
          <w:color w:val="231F20"/>
          <w:sz w:val="16"/>
        </w:rPr>
        <w:t xml:space="preserve">, </w:t>
      </w:r>
      <w:r>
        <w:rPr>
          <w:color w:val="231F20"/>
          <w:sz w:val="16"/>
        </w:rPr>
        <w:t>601 National Women’s Conference (1972)</w:t>
      </w:r>
    </w:p>
    <w:p w14:paraId="76A42948" w14:textId="77777777" w:rsidR="002653E8" w:rsidRDefault="003115E3">
      <w:pPr>
        <w:spacing w:before="1"/>
        <w:ind w:left="461"/>
        <w:rPr>
          <w:sz w:val="16"/>
        </w:rPr>
      </w:pPr>
      <w:r>
        <w:rPr>
          <w:color w:val="231F20"/>
          <w:sz w:val="16"/>
        </w:rPr>
        <w:t>446</w:t>
      </w:r>
    </w:p>
    <w:p w14:paraId="12D09CEE" w14:textId="77777777" w:rsidR="002653E8" w:rsidRDefault="003115E3">
      <w:pPr>
        <w:spacing w:before="33" w:line="280" w:lineRule="auto"/>
        <w:ind w:left="461" w:right="1296" w:hanging="200"/>
        <w:rPr>
          <w:sz w:val="16"/>
        </w:rPr>
      </w:pPr>
      <w:r>
        <w:rPr>
          <w:color w:val="231F20"/>
          <w:w w:val="105"/>
          <w:sz w:val="16"/>
        </w:rPr>
        <w:t>NATO (North Atlantic Treaty Organization) 443</w:t>
      </w:r>
      <w:r>
        <w:rPr>
          <w:i/>
          <w:color w:val="231F20"/>
          <w:w w:val="105"/>
          <w:sz w:val="16"/>
        </w:rPr>
        <w:t xml:space="preserve">, </w:t>
      </w:r>
      <w:r>
        <w:rPr>
          <w:color w:val="231F20"/>
          <w:w w:val="105"/>
          <w:sz w:val="16"/>
        </w:rPr>
        <w:t>552; and counterinsurgency</w:t>
      </w:r>
    </w:p>
    <w:p w14:paraId="68210DFB" w14:textId="77777777" w:rsidR="002653E8" w:rsidRDefault="003115E3">
      <w:pPr>
        <w:spacing w:before="1"/>
        <w:ind w:left="461"/>
        <w:rPr>
          <w:i/>
          <w:sz w:val="16"/>
        </w:rPr>
      </w:pPr>
      <w:r>
        <w:rPr>
          <w:color w:val="231F20"/>
          <w:w w:val="110"/>
          <w:sz w:val="16"/>
        </w:rPr>
        <w:t>62</w:t>
      </w:r>
      <w:r>
        <w:rPr>
          <w:i/>
          <w:color w:val="231F20"/>
          <w:w w:val="110"/>
          <w:sz w:val="16"/>
        </w:rPr>
        <w:t xml:space="preserve">, </w:t>
      </w:r>
      <w:r>
        <w:rPr>
          <w:color w:val="231F20"/>
          <w:w w:val="110"/>
          <w:sz w:val="16"/>
        </w:rPr>
        <w:t>376</w:t>
      </w:r>
      <w:r>
        <w:rPr>
          <w:i/>
          <w:color w:val="231F20"/>
          <w:w w:val="110"/>
          <w:sz w:val="16"/>
        </w:rPr>
        <w:t xml:space="preserve">, </w:t>
      </w:r>
      <w:r>
        <w:rPr>
          <w:color w:val="231F20"/>
          <w:w w:val="110"/>
          <w:sz w:val="16"/>
        </w:rPr>
        <w:t>490</w:t>
      </w:r>
      <w:r>
        <w:rPr>
          <w:i/>
          <w:color w:val="231F20"/>
          <w:w w:val="110"/>
          <w:sz w:val="16"/>
        </w:rPr>
        <w:t xml:space="preserve">, </w:t>
      </w:r>
      <w:r>
        <w:rPr>
          <w:color w:val="231F20"/>
          <w:w w:val="110"/>
          <w:sz w:val="16"/>
        </w:rPr>
        <w:t>491; and FRG 11</w:t>
      </w:r>
      <w:r>
        <w:rPr>
          <w:i/>
          <w:color w:val="231F20"/>
          <w:w w:val="110"/>
          <w:sz w:val="16"/>
        </w:rPr>
        <w:t xml:space="preserve">, </w:t>
      </w:r>
      <w:r>
        <w:rPr>
          <w:color w:val="231F20"/>
          <w:w w:val="110"/>
          <w:sz w:val="16"/>
        </w:rPr>
        <w:t>15</w:t>
      </w:r>
      <w:r>
        <w:rPr>
          <w:i/>
          <w:color w:val="231F20"/>
          <w:w w:val="110"/>
          <w:sz w:val="16"/>
        </w:rPr>
        <w:t>,</w:t>
      </w:r>
    </w:p>
    <w:p w14:paraId="572246E0" w14:textId="77777777" w:rsidR="002653E8" w:rsidRDefault="003115E3">
      <w:pPr>
        <w:spacing w:before="32"/>
        <w:ind w:left="461"/>
        <w:rPr>
          <w:sz w:val="16"/>
        </w:rPr>
      </w:pPr>
      <w:r>
        <w:rPr>
          <w:color w:val="231F20"/>
          <w:w w:val="105"/>
          <w:sz w:val="16"/>
        </w:rPr>
        <w:t>212; Greek coup 580; and GSG-9</w:t>
      </w:r>
    </w:p>
    <w:p w14:paraId="5905E068" w14:textId="77777777" w:rsidR="002653E8" w:rsidRDefault="003115E3">
      <w:pPr>
        <w:spacing w:before="32"/>
        <w:ind w:left="461"/>
        <w:rPr>
          <w:i/>
          <w:sz w:val="16"/>
        </w:rPr>
      </w:pPr>
      <w:r>
        <w:rPr>
          <w:color w:val="231F20"/>
          <w:w w:val="105"/>
          <w:sz w:val="16"/>
        </w:rPr>
        <w:t xml:space="preserve">193; mentioned by </w:t>
      </w:r>
      <w:r w:rsidR="00C507A5">
        <w:rPr>
          <w:color w:val="231F20"/>
          <w:w w:val="105"/>
          <w:sz w:val="16"/>
        </w:rPr>
        <w:t>red army faction</w:t>
      </w:r>
      <w:r>
        <w:rPr>
          <w:color w:val="231F20"/>
          <w:w w:val="105"/>
          <w:sz w:val="16"/>
        </w:rPr>
        <w:t xml:space="preserve"> 91</w:t>
      </w:r>
      <w:r>
        <w:rPr>
          <w:i/>
          <w:color w:val="231F20"/>
          <w:w w:val="105"/>
          <w:sz w:val="16"/>
        </w:rPr>
        <w:t xml:space="preserve">, </w:t>
      </w:r>
      <w:r>
        <w:rPr>
          <w:color w:val="231F20"/>
          <w:w w:val="105"/>
          <w:sz w:val="16"/>
        </w:rPr>
        <w:t>212</w:t>
      </w:r>
      <w:r>
        <w:rPr>
          <w:i/>
          <w:color w:val="231F20"/>
          <w:w w:val="105"/>
          <w:sz w:val="16"/>
        </w:rPr>
        <w:t xml:space="preserve">, </w:t>
      </w:r>
      <w:r>
        <w:rPr>
          <w:color w:val="231F20"/>
          <w:w w:val="105"/>
          <w:sz w:val="16"/>
        </w:rPr>
        <w:t>308</w:t>
      </w:r>
      <w:r>
        <w:rPr>
          <w:i/>
          <w:color w:val="231F20"/>
          <w:w w:val="105"/>
          <w:sz w:val="16"/>
        </w:rPr>
        <w:t>,</w:t>
      </w:r>
    </w:p>
    <w:p w14:paraId="517ED83C" w14:textId="77777777" w:rsidR="002653E8" w:rsidRDefault="003115E3">
      <w:pPr>
        <w:spacing w:before="33"/>
        <w:ind w:left="461"/>
        <w:rPr>
          <w:sz w:val="16"/>
        </w:rPr>
      </w:pPr>
      <w:r>
        <w:rPr>
          <w:color w:val="231F20"/>
          <w:w w:val="110"/>
          <w:sz w:val="16"/>
        </w:rPr>
        <w:t>316</w:t>
      </w:r>
      <w:r>
        <w:rPr>
          <w:i/>
          <w:color w:val="231F20"/>
          <w:w w:val="110"/>
          <w:sz w:val="16"/>
        </w:rPr>
        <w:t xml:space="preserve">, </w:t>
      </w:r>
      <w:r>
        <w:rPr>
          <w:color w:val="231F20"/>
          <w:w w:val="110"/>
          <w:sz w:val="16"/>
        </w:rPr>
        <w:t>359</w:t>
      </w:r>
      <w:r>
        <w:rPr>
          <w:i/>
          <w:color w:val="231F20"/>
          <w:w w:val="110"/>
          <w:sz w:val="16"/>
        </w:rPr>
        <w:t xml:space="preserve">, </w:t>
      </w:r>
      <w:r>
        <w:rPr>
          <w:color w:val="231F20"/>
          <w:w w:val="110"/>
          <w:sz w:val="16"/>
        </w:rPr>
        <w:t>360</w:t>
      </w:r>
      <w:r>
        <w:rPr>
          <w:i/>
          <w:color w:val="231F20"/>
          <w:w w:val="110"/>
          <w:sz w:val="16"/>
        </w:rPr>
        <w:t xml:space="preserve">, </w:t>
      </w:r>
      <w:r>
        <w:rPr>
          <w:color w:val="231F20"/>
          <w:w w:val="110"/>
          <w:sz w:val="16"/>
        </w:rPr>
        <w:t>379</w:t>
      </w:r>
      <w:r>
        <w:rPr>
          <w:i/>
          <w:color w:val="231F20"/>
          <w:w w:val="110"/>
          <w:sz w:val="16"/>
        </w:rPr>
        <w:t xml:space="preserve">, </w:t>
      </w:r>
      <w:r>
        <w:rPr>
          <w:color w:val="231F20"/>
          <w:w w:val="110"/>
          <w:sz w:val="16"/>
        </w:rPr>
        <w:t>424</w:t>
      </w:r>
      <w:r>
        <w:rPr>
          <w:i/>
          <w:color w:val="231F20"/>
          <w:w w:val="110"/>
          <w:sz w:val="16"/>
        </w:rPr>
        <w:t xml:space="preserve">, </w:t>
      </w:r>
      <w:r>
        <w:rPr>
          <w:color w:val="231F20"/>
          <w:w w:val="110"/>
          <w:sz w:val="16"/>
        </w:rPr>
        <w:t xml:space="preserve">491; </w:t>
      </w:r>
      <w:r w:rsidR="00C507A5">
        <w:rPr>
          <w:color w:val="231F20"/>
          <w:w w:val="110"/>
          <w:sz w:val="16"/>
        </w:rPr>
        <w:t>red army faction</w:t>
      </w:r>
    </w:p>
    <w:p w14:paraId="0A3A6991" w14:textId="77777777" w:rsidR="002653E8" w:rsidRDefault="003115E3">
      <w:pPr>
        <w:spacing w:before="32" w:line="280" w:lineRule="auto"/>
        <w:ind w:left="461" w:right="1488"/>
        <w:rPr>
          <w:sz w:val="16"/>
        </w:rPr>
      </w:pPr>
      <w:r>
        <w:rPr>
          <w:color w:val="231F20"/>
          <w:sz w:val="16"/>
        </w:rPr>
        <w:t xml:space="preserve">attempted assassination of Alexander Haig (1979) 612; </w:t>
      </w:r>
      <w:r w:rsidR="00C507A5">
        <w:rPr>
          <w:color w:val="231F20"/>
          <w:sz w:val="16"/>
        </w:rPr>
        <w:t>red army faction</w:t>
      </w:r>
      <w:r>
        <w:rPr>
          <w:color w:val="231F20"/>
          <w:sz w:val="16"/>
        </w:rPr>
        <w:t xml:space="preserve"> attempted</w:t>
      </w:r>
    </w:p>
    <w:p w14:paraId="7DF08523" w14:textId="77777777" w:rsidR="002653E8" w:rsidRDefault="003115E3">
      <w:pPr>
        <w:spacing w:before="1" w:line="280" w:lineRule="auto"/>
        <w:ind w:left="261" w:right="1363" w:firstLine="200"/>
        <w:rPr>
          <w:i/>
          <w:sz w:val="16"/>
        </w:rPr>
      </w:pPr>
      <w:r>
        <w:rPr>
          <w:color w:val="231F20"/>
          <w:sz w:val="16"/>
        </w:rPr>
        <w:t>bombing of SHAPE School (1984) 616 Nazis</w:t>
      </w:r>
      <w:r>
        <w:rPr>
          <w:i/>
          <w:color w:val="231F20"/>
          <w:sz w:val="16"/>
        </w:rPr>
        <w:t xml:space="preserve">. See </w:t>
      </w:r>
      <w:r>
        <w:rPr>
          <w:color w:val="231F20"/>
          <w:sz w:val="16"/>
        </w:rPr>
        <w:t>Third Reich</w:t>
      </w:r>
      <w:r>
        <w:rPr>
          <w:i/>
          <w:color w:val="231F20"/>
          <w:sz w:val="16"/>
        </w:rPr>
        <w:t xml:space="preserve">; See </w:t>
      </w:r>
      <w:r>
        <w:rPr>
          <w:color w:val="231F20"/>
          <w:sz w:val="16"/>
        </w:rPr>
        <w:t>Nazis, former Nazis, former 26–27</w:t>
      </w:r>
      <w:r>
        <w:rPr>
          <w:i/>
          <w:color w:val="231F20"/>
          <w:sz w:val="16"/>
        </w:rPr>
        <w:t xml:space="preserve">, </w:t>
      </w:r>
      <w:r>
        <w:rPr>
          <w:color w:val="231F20"/>
          <w:sz w:val="16"/>
        </w:rPr>
        <w:t>29</w:t>
      </w:r>
      <w:r>
        <w:rPr>
          <w:i/>
          <w:color w:val="231F20"/>
          <w:sz w:val="16"/>
        </w:rPr>
        <w:t xml:space="preserve">, </w:t>
      </w:r>
      <w:r>
        <w:rPr>
          <w:color w:val="231F20"/>
          <w:sz w:val="16"/>
        </w:rPr>
        <w:t>41</w:t>
      </w:r>
      <w:r>
        <w:rPr>
          <w:i/>
          <w:color w:val="231F20"/>
          <w:sz w:val="16"/>
        </w:rPr>
        <w:t xml:space="preserve">, </w:t>
      </w:r>
      <w:r>
        <w:rPr>
          <w:color w:val="231F20"/>
          <w:sz w:val="16"/>
        </w:rPr>
        <w:t>61</w:t>
      </w:r>
      <w:r>
        <w:rPr>
          <w:i/>
          <w:color w:val="231F20"/>
          <w:sz w:val="16"/>
        </w:rPr>
        <w:t xml:space="preserve">, </w:t>
      </w:r>
      <w:r>
        <w:rPr>
          <w:color w:val="231F20"/>
          <w:sz w:val="16"/>
        </w:rPr>
        <w:t>77</w:t>
      </w:r>
      <w:r>
        <w:rPr>
          <w:i/>
          <w:color w:val="231F20"/>
          <w:sz w:val="16"/>
        </w:rPr>
        <w:t>,</w:t>
      </w:r>
    </w:p>
    <w:p w14:paraId="0F308907" w14:textId="77777777" w:rsidR="002653E8" w:rsidRDefault="003115E3">
      <w:pPr>
        <w:spacing w:before="2"/>
        <w:ind w:left="461"/>
        <w:rPr>
          <w:i/>
          <w:sz w:val="16"/>
        </w:rPr>
      </w:pPr>
      <w:r>
        <w:rPr>
          <w:color w:val="231F20"/>
          <w:w w:val="110"/>
          <w:sz w:val="16"/>
        </w:rPr>
        <w:t>116</w:t>
      </w:r>
      <w:r>
        <w:rPr>
          <w:i/>
          <w:color w:val="231F20"/>
          <w:w w:val="110"/>
          <w:sz w:val="16"/>
        </w:rPr>
        <w:t xml:space="preserve">, </w:t>
      </w:r>
      <w:r>
        <w:rPr>
          <w:color w:val="231F20"/>
          <w:w w:val="110"/>
          <w:sz w:val="16"/>
        </w:rPr>
        <w:t>306</w:t>
      </w:r>
      <w:r>
        <w:rPr>
          <w:i/>
          <w:color w:val="231F20"/>
          <w:w w:val="110"/>
          <w:sz w:val="16"/>
        </w:rPr>
        <w:t xml:space="preserve">, </w:t>
      </w:r>
      <w:r>
        <w:rPr>
          <w:color w:val="231F20"/>
          <w:w w:val="110"/>
          <w:sz w:val="16"/>
        </w:rPr>
        <w:t>477</w:t>
      </w:r>
      <w:r>
        <w:rPr>
          <w:i/>
          <w:color w:val="231F20"/>
          <w:w w:val="110"/>
          <w:sz w:val="16"/>
        </w:rPr>
        <w:t xml:space="preserve">, </w:t>
      </w:r>
      <w:r>
        <w:rPr>
          <w:color w:val="231F20"/>
          <w:w w:val="110"/>
          <w:sz w:val="16"/>
        </w:rPr>
        <w:t>483</w:t>
      </w:r>
      <w:r>
        <w:rPr>
          <w:i/>
          <w:color w:val="231F20"/>
          <w:w w:val="110"/>
          <w:sz w:val="16"/>
        </w:rPr>
        <w:t xml:space="preserve">, </w:t>
      </w:r>
      <w:r>
        <w:rPr>
          <w:color w:val="231F20"/>
          <w:w w:val="110"/>
          <w:sz w:val="16"/>
        </w:rPr>
        <w:t>532</w:t>
      </w:r>
      <w:r>
        <w:rPr>
          <w:i/>
          <w:color w:val="231F20"/>
          <w:w w:val="110"/>
          <w:sz w:val="16"/>
        </w:rPr>
        <w:t xml:space="preserve">, </w:t>
      </w:r>
      <w:r>
        <w:rPr>
          <w:color w:val="231F20"/>
          <w:w w:val="110"/>
          <w:sz w:val="16"/>
        </w:rPr>
        <w:t>552</w:t>
      </w:r>
      <w:r>
        <w:rPr>
          <w:i/>
          <w:color w:val="231F20"/>
          <w:w w:val="110"/>
          <w:sz w:val="16"/>
        </w:rPr>
        <w:t>. See</w:t>
      </w:r>
    </w:p>
    <w:p w14:paraId="54058804" w14:textId="77777777" w:rsidR="002653E8" w:rsidRDefault="003115E3">
      <w:pPr>
        <w:spacing w:before="32" w:line="280" w:lineRule="auto"/>
        <w:ind w:left="461" w:right="1351"/>
        <w:rPr>
          <w:sz w:val="16"/>
        </w:rPr>
      </w:pPr>
      <w:r>
        <w:rPr>
          <w:i/>
          <w:color w:val="231F20"/>
          <w:w w:val="105"/>
          <w:sz w:val="16"/>
        </w:rPr>
        <w:t xml:space="preserve">also </w:t>
      </w:r>
      <w:r>
        <w:rPr>
          <w:color w:val="231F20"/>
          <w:w w:val="105"/>
          <w:sz w:val="16"/>
        </w:rPr>
        <w:t>denazification; and CIA 13; Hanns Martin Schleyer 477</w:t>
      </w:r>
      <w:r>
        <w:rPr>
          <w:i/>
          <w:color w:val="231F20"/>
          <w:w w:val="105"/>
          <w:sz w:val="16"/>
        </w:rPr>
        <w:t xml:space="preserve">, </w:t>
      </w:r>
      <w:r>
        <w:rPr>
          <w:color w:val="231F20"/>
          <w:w w:val="105"/>
          <w:sz w:val="16"/>
        </w:rPr>
        <w:t>607;</w:t>
      </w:r>
      <w:r>
        <w:rPr>
          <w:color w:val="231F20"/>
          <w:spacing w:val="-4"/>
          <w:w w:val="105"/>
          <w:sz w:val="16"/>
        </w:rPr>
        <w:t xml:space="preserve"> </w:t>
      </w:r>
      <w:r>
        <w:rPr>
          <w:color w:val="231F20"/>
          <w:w w:val="105"/>
          <w:sz w:val="16"/>
        </w:rPr>
        <w:t>KPD</w:t>
      </w:r>
    </w:p>
    <w:p w14:paraId="733FDD50" w14:textId="77777777" w:rsidR="002653E8" w:rsidRDefault="003115E3">
      <w:pPr>
        <w:spacing w:before="1"/>
        <w:ind w:left="461"/>
        <w:rPr>
          <w:sz w:val="16"/>
        </w:rPr>
      </w:pPr>
      <w:r>
        <w:rPr>
          <w:color w:val="231F20"/>
          <w:sz w:val="16"/>
        </w:rPr>
        <w:t>courts 18; as mercenaries 12</w:t>
      </w:r>
    </w:p>
    <w:p w14:paraId="741A3A6C" w14:textId="77777777" w:rsidR="002653E8" w:rsidRDefault="003115E3">
      <w:pPr>
        <w:spacing w:before="33"/>
        <w:ind w:left="261"/>
        <w:rPr>
          <w:sz w:val="16"/>
        </w:rPr>
      </w:pPr>
      <w:r>
        <w:rPr>
          <w:color w:val="231F20"/>
          <w:sz w:val="16"/>
        </w:rPr>
        <w:t>Neckermann, Josef 225</w:t>
      </w:r>
    </w:p>
    <w:p w14:paraId="2D4044E3" w14:textId="77777777" w:rsidR="002653E8" w:rsidRDefault="002653E8">
      <w:pPr>
        <w:rPr>
          <w:sz w:val="16"/>
        </w:rPr>
        <w:sectPr w:rsidR="002653E8">
          <w:pgSz w:w="8640" w:h="12960"/>
          <w:pgMar w:top="1080" w:right="0" w:bottom="1040" w:left="0" w:header="0" w:footer="846" w:gutter="0"/>
          <w:cols w:num="2" w:space="720" w:equalWidth="0">
            <w:col w:w="4069" w:space="40"/>
            <w:col w:w="4531"/>
          </w:cols>
        </w:sectPr>
      </w:pPr>
    </w:p>
    <w:p w14:paraId="159F717D" w14:textId="77777777" w:rsidR="002653E8" w:rsidRDefault="003115E3">
      <w:pPr>
        <w:spacing w:before="86" w:line="280" w:lineRule="auto"/>
        <w:ind w:left="1527" w:hanging="200"/>
        <w:rPr>
          <w:sz w:val="16"/>
        </w:rPr>
      </w:pPr>
      <w:r>
        <w:rPr>
          <w:color w:val="231F20"/>
          <w:sz w:val="16"/>
        </w:rPr>
        <w:lastRenderedPageBreak/>
        <w:t>Negt, Oskar 572; anti-guerilla position 200–201</w:t>
      </w:r>
      <w:r>
        <w:rPr>
          <w:i/>
          <w:color w:val="231F20"/>
          <w:sz w:val="16"/>
        </w:rPr>
        <w:t xml:space="preserve">, </w:t>
      </w:r>
      <w:r>
        <w:rPr>
          <w:color w:val="231F20"/>
          <w:sz w:val="16"/>
        </w:rPr>
        <w:t xml:space="preserve">591; excoriated by </w:t>
      </w:r>
      <w:r w:rsidR="00C507A5">
        <w:rPr>
          <w:color w:val="231F20"/>
          <w:sz w:val="16"/>
        </w:rPr>
        <w:t>red army faction</w:t>
      </w:r>
    </w:p>
    <w:p w14:paraId="20D184A8" w14:textId="77777777" w:rsidR="002653E8" w:rsidRDefault="003115E3">
      <w:pPr>
        <w:spacing w:before="1"/>
        <w:ind w:left="1527"/>
        <w:rPr>
          <w:sz w:val="16"/>
        </w:rPr>
      </w:pPr>
      <w:r>
        <w:rPr>
          <w:color w:val="231F20"/>
          <w:sz w:val="16"/>
        </w:rPr>
        <w:t>187</w:t>
      </w:r>
      <w:r>
        <w:rPr>
          <w:i/>
          <w:color w:val="231F20"/>
          <w:sz w:val="16"/>
        </w:rPr>
        <w:t xml:space="preserve">, </w:t>
      </w:r>
      <w:r>
        <w:rPr>
          <w:color w:val="231F20"/>
          <w:sz w:val="16"/>
        </w:rPr>
        <w:t>216–222</w:t>
      </w:r>
      <w:r>
        <w:rPr>
          <w:i/>
          <w:color w:val="231F20"/>
          <w:sz w:val="16"/>
        </w:rPr>
        <w:t xml:space="preserve">, </w:t>
      </w:r>
      <w:r>
        <w:rPr>
          <w:color w:val="231F20"/>
          <w:sz w:val="16"/>
        </w:rPr>
        <w:t>226; undogmatic left</w:t>
      </w:r>
    </w:p>
    <w:p w14:paraId="20DAD602" w14:textId="77777777" w:rsidR="002653E8" w:rsidRDefault="003115E3">
      <w:pPr>
        <w:spacing w:before="33"/>
        <w:ind w:left="1527"/>
        <w:rPr>
          <w:sz w:val="16"/>
        </w:rPr>
      </w:pPr>
      <w:r>
        <w:rPr>
          <w:color w:val="231F20"/>
          <w:w w:val="105"/>
          <w:sz w:val="16"/>
        </w:rPr>
        <w:t>199–200</w:t>
      </w:r>
      <w:r>
        <w:rPr>
          <w:i/>
          <w:color w:val="231F20"/>
          <w:w w:val="105"/>
          <w:sz w:val="16"/>
        </w:rPr>
        <w:t xml:space="preserve">, </w:t>
      </w:r>
      <w:r>
        <w:rPr>
          <w:color w:val="231F20"/>
          <w:w w:val="105"/>
          <w:sz w:val="16"/>
        </w:rPr>
        <w:t>579</w:t>
      </w:r>
    </w:p>
    <w:p w14:paraId="0650CE51" w14:textId="77777777" w:rsidR="002653E8" w:rsidRDefault="003115E3">
      <w:pPr>
        <w:spacing w:before="32" w:line="280" w:lineRule="auto"/>
        <w:ind w:left="1527" w:hanging="200"/>
        <w:rPr>
          <w:sz w:val="16"/>
        </w:rPr>
      </w:pPr>
      <w:r>
        <w:rPr>
          <w:color w:val="231F20"/>
          <w:sz w:val="16"/>
        </w:rPr>
        <w:t>neofascists 20</w:t>
      </w:r>
      <w:r>
        <w:rPr>
          <w:i/>
          <w:color w:val="231F20"/>
          <w:sz w:val="16"/>
        </w:rPr>
        <w:t xml:space="preserve">, </w:t>
      </w:r>
      <w:r>
        <w:rPr>
          <w:color w:val="231F20"/>
          <w:sz w:val="16"/>
        </w:rPr>
        <w:t>256; possible role in falseflag attacks 63</w:t>
      </w:r>
      <w:r>
        <w:rPr>
          <w:i/>
          <w:color w:val="231F20"/>
          <w:sz w:val="16"/>
        </w:rPr>
        <w:t xml:space="preserve">, </w:t>
      </w:r>
      <w:r>
        <w:rPr>
          <w:color w:val="231F20"/>
          <w:sz w:val="16"/>
        </w:rPr>
        <w:t>349</w:t>
      </w:r>
      <w:r>
        <w:rPr>
          <w:i/>
          <w:color w:val="231F20"/>
          <w:sz w:val="16"/>
        </w:rPr>
        <w:t xml:space="preserve">, </w:t>
      </w:r>
      <w:r>
        <w:rPr>
          <w:color w:val="231F20"/>
          <w:sz w:val="16"/>
        </w:rPr>
        <w:t>376</w:t>
      </w:r>
      <w:r>
        <w:rPr>
          <w:i/>
          <w:color w:val="231F20"/>
          <w:sz w:val="16"/>
        </w:rPr>
        <w:t xml:space="preserve">, </w:t>
      </w:r>
      <w:r>
        <w:rPr>
          <w:color w:val="231F20"/>
          <w:sz w:val="16"/>
        </w:rPr>
        <w:t>380</w:t>
      </w:r>
    </w:p>
    <w:p w14:paraId="6507A6C1" w14:textId="77777777" w:rsidR="002653E8" w:rsidRPr="00846956" w:rsidRDefault="003115E3">
      <w:pPr>
        <w:spacing w:before="1" w:line="280" w:lineRule="auto"/>
        <w:ind w:left="1327" w:right="1136" w:hanging="1"/>
        <w:rPr>
          <w:sz w:val="16"/>
          <w:lang w:val="de-DE"/>
        </w:rPr>
      </w:pPr>
      <w:r w:rsidRPr="00846956">
        <w:rPr>
          <w:color w:val="231F20"/>
          <w:sz w:val="16"/>
          <w:lang w:val="de-DE"/>
        </w:rPr>
        <w:t>neo-nazis</w:t>
      </w:r>
      <w:r w:rsidRPr="00846956">
        <w:rPr>
          <w:i/>
          <w:color w:val="231F20"/>
          <w:sz w:val="16"/>
          <w:lang w:val="de-DE"/>
        </w:rPr>
        <w:t xml:space="preserve">. See </w:t>
      </w:r>
      <w:r w:rsidRPr="00846956">
        <w:rPr>
          <w:color w:val="231F20"/>
          <w:sz w:val="16"/>
          <w:lang w:val="de-DE"/>
        </w:rPr>
        <w:t>neofascists Neubauer, Kurt 81</w:t>
      </w:r>
    </w:p>
    <w:p w14:paraId="71953631" w14:textId="77777777" w:rsidR="002653E8" w:rsidRPr="00846956" w:rsidRDefault="003115E3">
      <w:pPr>
        <w:spacing w:before="1"/>
        <w:ind w:left="1327"/>
        <w:rPr>
          <w:sz w:val="16"/>
          <w:lang w:val="de-DE"/>
        </w:rPr>
      </w:pPr>
      <w:r w:rsidRPr="00846956">
        <w:rPr>
          <w:color w:val="231F20"/>
          <w:w w:val="105"/>
          <w:sz w:val="16"/>
          <w:lang w:val="de-DE"/>
        </w:rPr>
        <w:t>Neusel, Hans 620</w:t>
      </w:r>
    </w:p>
    <w:p w14:paraId="044CEE37" w14:textId="77777777" w:rsidR="002653E8" w:rsidRDefault="003115E3">
      <w:pPr>
        <w:spacing w:before="33" w:line="280" w:lineRule="auto"/>
        <w:ind w:left="1527" w:hanging="200"/>
        <w:rPr>
          <w:sz w:val="16"/>
        </w:rPr>
      </w:pPr>
      <w:r>
        <w:rPr>
          <w:color w:val="231F20"/>
          <w:sz w:val="16"/>
        </w:rPr>
        <w:t xml:space="preserve">Newerla, Armin 572; charged with attempted murder 473; charged with supporting </w:t>
      </w:r>
      <w:r w:rsidR="00C507A5">
        <w:rPr>
          <w:color w:val="231F20"/>
          <w:sz w:val="16"/>
        </w:rPr>
        <w:t>red army faction</w:t>
      </w:r>
      <w:r>
        <w:rPr>
          <w:color w:val="231F20"/>
          <w:sz w:val="16"/>
        </w:rPr>
        <w:t xml:space="preserve"> 475</w:t>
      </w:r>
      <w:r>
        <w:rPr>
          <w:i/>
          <w:color w:val="231F20"/>
          <w:sz w:val="16"/>
        </w:rPr>
        <w:t xml:space="preserve">, </w:t>
      </w:r>
      <w:r>
        <w:rPr>
          <w:color w:val="231F20"/>
          <w:sz w:val="16"/>
        </w:rPr>
        <w:t>479</w:t>
      </w:r>
      <w:r>
        <w:rPr>
          <w:i/>
          <w:color w:val="231F20"/>
          <w:sz w:val="16"/>
        </w:rPr>
        <w:t xml:space="preserve">, </w:t>
      </w:r>
      <w:r>
        <w:rPr>
          <w:color w:val="231F20"/>
          <w:sz w:val="16"/>
        </w:rPr>
        <w:t>480–481;</w:t>
      </w:r>
    </w:p>
    <w:p w14:paraId="165B6390" w14:textId="77777777" w:rsidR="002653E8" w:rsidRDefault="003115E3">
      <w:pPr>
        <w:spacing w:before="1"/>
        <w:ind w:left="1527"/>
        <w:rPr>
          <w:sz w:val="16"/>
        </w:rPr>
      </w:pPr>
      <w:r>
        <w:rPr>
          <w:color w:val="231F20"/>
          <w:sz w:val="16"/>
        </w:rPr>
        <w:t>offices bombed 475</w:t>
      </w:r>
      <w:r>
        <w:rPr>
          <w:i/>
          <w:color w:val="231F20"/>
          <w:sz w:val="16"/>
        </w:rPr>
        <w:t xml:space="preserve">, </w:t>
      </w:r>
      <w:r>
        <w:rPr>
          <w:color w:val="231F20"/>
          <w:sz w:val="16"/>
        </w:rPr>
        <w:t>606; trial (1980)</w:t>
      </w:r>
    </w:p>
    <w:p w14:paraId="4B074BE6" w14:textId="77777777" w:rsidR="002653E8" w:rsidRDefault="003115E3">
      <w:pPr>
        <w:spacing w:before="33"/>
        <w:ind w:left="1527"/>
        <w:rPr>
          <w:sz w:val="16"/>
        </w:rPr>
      </w:pPr>
      <w:r>
        <w:rPr>
          <w:color w:val="231F20"/>
          <w:w w:val="105"/>
          <w:sz w:val="16"/>
        </w:rPr>
        <w:t>515</w:t>
      </w:r>
      <w:r>
        <w:rPr>
          <w:i/>
          <w:color w:val="231F20"/>
          <w:w w:val="105"/>
          <w:sz w:val="16"/>
        </w:rPr>
        <w:t xml:space="preserve">, </w:t>
      </w:r>
      <w:r>
        <w:rPr>
          <w:color w:val="231F20"/>
          <w:w w:val="105"/>
          <w:sz w:val="16"/>
        </w:rPr>
        <w:t>613</w:t>
      </w:r>
    </w:p>
    <w:p w14:paraId="71F7A66B" w14:textId="77777777" w:rsidR="002653E8" w:rsidRDefault="003115E3">
      <w:pPr>
        <w:spacing w:before="32"/>
        <w:ind w:left="1327"/>
        <w:rPr>
          <w:sz w:val="16"/>
        </w:rPr>
      </w:pPr>
      <w:r>
        <w:rPr>
          <w:i/>
          <w:color w:val="231F20"/>
          <w:w w:val="105"/>
          <w:sz w:val="16"/>
        </w:rPr>
        <w:t xml:space="preserve">New German Critique </w:t>
      </w:r>
      <w:r>
        <w:rPr>
          <w:color w:val="231F20"/>
          <w:w w:val="105"/>
          <w:sz w:val="16"/>
        </w:rPr>
        <w:t>199</w:t>
      </w:r>
    </w:p>
    <w:p w14:paraId="44B85E57" w14:textId="77777777" w:rsidR="002653E8" w:rsidRDefault="003115E3">
      <w:pPr>
        <w:spacing w:before="33" w:line="280" w:lineRule="auto"/>
        <w:ind w:left="1527" w:hanging="200"/>
        <w:rPr>
          <w:sz w:val="16"/>
        </w:rPr>
      </w:pPr>
      <w:r>
        <w:rPr>
          <w:color w:val="231F20"/>
          <w:sz w:val="16"/>
        </w:rPr>
        <w:t>New Left</w:t>
      </w:r>
      <w:r>
        <w:rPr>
          <w:i/>
          <w:color w:val="231F20"/>
          <w:sz w:val="16"/>
        </w:rPr>
        <w:t xml:space="preserve">. See </w:t>
      </w:r>
      <w:r>
        <w:rPr>
          <w:color w:val="231F20"/>
          <w:sz w:val="16"/>
        </w:rPr>
        <w:t>APO (Außerparlamentarische Opposition)</w:t>
      </w:r>
      <w:r>
        <w:rPr>
          <w:i/>
          <w:color w:val="231F20"/>
          <w:sz w:val="16"/>
        </w:rPr>
        <w:t xml:space="preserve">; See </w:t>
      </w:r>
      <w:r>
        <w:rPr>
          <w:color w:val="231F20"/>
          <w:sz w:val="16"/>
        </w:rPr>
        <w:t>New Left, international</w:t>
      </w:r>
      <w:r>
        <w:rPr>
          <w:i/>
          <w:color w:val="231F20"/>
          <w:sz w:val="16"/>
        </w:rPr>
        <w:t xml:space="preserve">; See </w:t>
      </w:r>
      <w:r>
        <w:rPr>
          <w:color w:val="231F20"/>
          <w:sz w:val="16"/>
        </w:rPr>
        <w:t>undogmatic left</w:t>
      </w:r>
    </w:p>
    <w:p w14:paraId="70081907" w14:textId="77777777" w:rsidR="002653E8" w:rsidRDefault="003115E3">
      <w:pPr>
        <w:spacing w:before="1"/>
        <w:ind w:left="1327"/>
        <w:rPr>
          <w:sz w:val="16"/>
        </w:rPr>
      </w:pPr>
      <w:r>
        <w:rPr>
          <w:color w:val="231F20"/>
          <w:sz w:val="16"/>
        </w:rPr>
        <w:t>New Left, international 87</w:t>
      </w:r>
      <w:r>
        <w:rPr>
          <w:i/>
          <w:color w:val="231F20"/>
          <w:sz w:val="16"/>
        </w:rPr>
        <w:t xml:space="preserve">, </w:t>
      </w:r>
      <w:r>
        <w:rPr>
          <w:color w:val="231F20"/>
          <w:sz w:val="16"/>
        </w:rPr>
        <w:t>108</w:t>
      </w:r>
    </w:p>
    <w:p w14:paraId="01B51131" w14:textId="77777777" w:rsidR="002653E8" w:rsidRDefault="003115E3">
      <w:pPr>
        <w:spacing w:before="33"/>
        <w:ind w:left="1327"/>
        <w:rPr>
          <w:sz w:val="16"/>
        </w:rPr>
      </w:pPr>
      <w:r>
        <w:rPr>
          <w:color w:val="231F20"/>
          <w:w w:val="105"/>
          <w:sz w:val="16"/>
        </w:rPr>
        <w:t>Newrzella, Michael 623</w:t>
      </w:r>
    </w:p>
    <w:p w14:paraId="1A612ACB" w14:textId="77777777" w:rsidR="002653E8" w:rsidRDefault="003115E3">
      <w:pPr>
        <w:spacing w:before="32"/>
        <w:ind w:left="1327"/>
        <w:rPr>
          <w:i/>
          <w:sz w:val="16"/>
        </w:rPr>
      </w:pPr>
      <w:r>
        <w:rPr>
          <w:color w:val="231F20"/>
          <w:w w:val="105"/>
          <w:sz w:val="16"/>
        </w:rPr>
        <w:t>news media 349–350</w:t>
      </w:r>
      <w:r>
        <w:rPr>
          <w:i/>
          <w:color w:val="231F20"/>
          <w:w w:val="105"/>
          <w:sz w:val="16"/>
        </w:rPr>
        <w:t xml:space="preserve">, </w:t>
      </w:r>
      <w:r>
        <w:rPr>
          <w:color w:val="231F20"/>
          <w:w w:val="105"/>
          <w:sz w:val="16"/>
        </w:rPr>
        <w:t>469</w:t>
      </w:r>
      <w:r>
        <w:rPr>
          <w:i/>
          <w:color w:val="231F20"/>
          <w:w w:val="105"/>
          <w:sz w:val="16"/>
        </w:rPr>
        <w:t>. See</w:t>
      </w:r>
    </w:p>
    <w:p w14:paraId="1CB364C0" w14:textId="77777777" w:rsidR="002653E8" w:rsidRDefault="003115E3">
      <w:pPr>
        <w:spacing w:before="32" w:line="280" w:lineRule="auto"/>
        <w:ind w:left="1527" w:right="115"/>
        <w:rPr>
          <w:i/>
          <w:sz w:val="16"/>
        </w:rPr>
      </w:pPr>
      <w:r>
        <w:rPr>
          <w:i/>
          <w:color w:val="231F20"/>
          <w:sz w:val="16"/>
        </w:rPr>
        <w:t xml:space="preserve">also </w:t>
      </w:r>
      <w:r>
        <w:rPr>
          <w:color w:val="231F20"/>
          <w:sz w:val="16"/>
        </w:rPr>
        <w:t>Springer Press</w:t>
      </w:r>
      <w:r>
        <w:rPr>
          <w:i/>
          <w:color w:val="231F20"/>
          <w:sz w:val="16"/>
        </w:rPr>
        <w:t xml:space="preserve">; See also  </w:t>
      </w:r>
      <w:r>
        <w:rPr>
          <w:color w:val="231F20"/>
          <w:sz w:val="16"/>
        </w:rPr>
        <w:t>§88a</w:t>
      </w:r>
      <w:r>
        <w:rPr>
          <w:i/>
          <w:color w:val="231F20"/>
          <w:sz w:val="16"/>
        </w:rPr>
        <w:t xml:space="preserve">; See also </w:t>
      </w:r>
      <w:r>
        <w:rPr>
          <w:color w:val="231F20"/>
          <w:sz w:val="16"/>
        </w:rPr>
        <w:t>psychological warfare</w:t>
      </w:r>
      <w:r>
        <w:rPr>
          <w:i/>
          <w:color w:val="231F20"/>
          <w:sz w:val="16"/>
        </w:rPr>
        <w:t>; See also Spiegel</w:t>
      </w:r>
      <w:r>
        <w:rPr>
          <w:color w:val="231F20"/>
          <w:sz w:val="16"/>
        </w:rPr>
        <w:t xml:space="preserve">; Lorenz kidnapping 331; mentioned by </w:t>
      </w:r>
      <w:r w:rsidR="00C507A5">
        <w:rPr>
          <w:color w:val="231F20"/>
          <w:sz w:val="16"/>
        </w:rPr>
        <w:t>red army faction</w:t>
      </w:r>
      <w:r>
        <w:rPr>
          <w:color w:val="231F20"/>
          <w:sz w:val="16"/>
        </w:rPr>
        <w:t xml:space="preserve"> 98–99</w:t>
      </w:r>
      <w:r>
        <w:rPr>
          <w:i/>
          <w:color w:val="231F20"/>
          <w:sz w:val="16"/>
        </w:rPr>
        <w:t xml:space="preserve">, </w:t>
      </w:r>
      <w:r>
        <w:rPr>
          <w:color w:val="231F20"/>
          <w:sz w:val="16"/>
        </w:rPr>
        <w:t>101</w:t>
      </w:r>
      <w:r>
        <w:rPr>
          <w:i/>
          <w:color w:val="231F20"/>
          <w:sz w:val="16"/>
        </w:rPr>
        <w:t>,</w:t>
      </w:r>
      <w:r>
        <w:rPr>
          <w:i/>
          <w:color w:val="231F20"/>
          <w:spacing w:val="-4"/>
          <w:sz w:val="16"/>
        </w:rPr>
        <w:t xml:space="preserve"> </w:t>
      </w:r>
      <w:r>
        <w:rPr>
          <w:color w:val="231F20"/>
          <w:sz w:val="16"/>
        </w:rPr>
        <w:t>154</w:t>
      </w:r>
      <w:r>
        <w:rPr>
          <w:i/>
          <w:color w:val="231F20"/>
          <w:sz w:val="16"/>
        </w:rPr>
        <w:t>,</w:t>
      </w:r>
    </w:p>
    <w:p w14:paraId="292CCA4E" w14:textId="77777777" w:rsidR="002653E8" w:rsidRDefault="003115E3">
      <w:pPr>
        <w:spacing w:before="3"/>
        <w:ind w:left="1527"/>
        <w:rPr>
          <w:i/>
          <w:sz w:val="16"/>
        </w:rPr>
      </w:pPr>
      <w:r>
        <w:rPr>
          <w:color w:val="231F20"/>
          <w:w w:val="110"/>
          <w:sz w:val="16"/>
        </w:rPr>
        <w:t>179–180</w:t>
      </w:r>
      <w:r>
        <w:rPr>
          <w:i/>
          <w:color w:val="231F20"/>
          <w:w w:val="110"/>
          <w:sz w:val="16"/>
        </w:rPr>
        <w:t xml:space="preserve">, </w:t>
      </w:r>
      <w:r>
        <w:rPr>
          <w:color w:val="231F20"/>
          <w:w w:val="110"/>
          <w:sz w:val="16"/>
        </w:rPr>
        <w:t>181–182</w:t>
      </w:r>
      <w:r>
        <w:rPr>
          <w:i/>
          <w:color w:val="231F20"/>
          <w:w w:val="110"/>
          <w:sz w:val="16"/>
        </w:rPr>
        <w:t xml:space="preserve">, </w:t>
      </w:r>
      <w:r>
        <w:rPr>
          <w:color w:val="231F20"/>
          <w:w w:val="110"/>
          <w:sz w:val="16"/>
        </w:rPr>
        <w:t>307</w:t>
      </w:r>
      <w:r>
        <w:rPr>
          <w:i/>
          <w:color w:val="231F20"/>
          <w:w w:val="110"/>
          <w:sz w:val="16"/>
        </w:rPr>
        <w:t xml:space="preserve">, </w:t>
      </w:r>
      <w:r>
        <w:rPr>
          <w:color w:val="231F20"/>
          <w:w w:val="110"/>
          <w:sz w:val="16"/>
        </w:rPr>
        <w:t>314</w:t>
      </w:r>
      <w:r>
        <w:rPr>
          <w:i/>
          <w:color w:val="231F20"/>
          <w:w w:val="110"/>
          <w:sz w:val="16"/>
        </w:rPr>
        <w:t xml:space="preserve">, </w:t>
      </w:r>
      <w:r>
        <w:rPr>
          <w:color w:val="231F20"/>
          <w:w w:val="110"/>
          <w:sz w:val="16"/>
        </w:rPr>
        <w:t>341</w:t>
      </w:r>
      <w:r>
        <w:rPr>
          <w:i/>
          <w:color w:val="231F20"/>
          <w:w w:val="110"/>
          <w:sz w:val="16"/>
        </w:rPr>
        <w:t>,</w:t>
      </w:r>
    </w:p>
    <w:p w14:paraId="3659E0C9" w14:textId="77777777" w:rsidR="002653E8" w:rsidRDefault="003115E3">
      <w:pPr>
        <w:spacing w:before="32"/>
        <w:ind w:left="1527"/>
        <w:rPr>
          <w:sz w:val="16"/>
        </w:rPr>
      </w:pPr>
      <w:r>
        <w:rPr>
          <w:color w:val="231F20"/>
          <w:sz w:val="16"/>
        </w:rPr>
        <w:t>379</w:t>
      </w:r>
      <w:r>
        <w:rPr>
          <w:i/>
          <w:color w:val="231F20"/>
          <w:sz w:val="16"/>
        </w:rPr>
        <w:t xml:space="preserve">, </w:t>
      </w:r>
      <w:r>
        <w:rPr>
          <w:color w:val="231F20"/>
          <w:sz w:val="16"/>
        </w:rPr>
        <w:t>421–422; Schleyer kidnapping</w:t>
      </w:r>
    </w:p>
    <w:p w14:paraId="31115FAE" w14:textId="77777777" w:rsidR="002653E8" w:rsidRDefault="003115E3">
      <w:pPr>
        <w:spacing w:before="32"/>
        <w:ind w:left="1527"/>
        <w:rPr>
          <w:sz w:val="16"/>
        </w:rPr>
      </w:pPr>
      <w:r>
        <w:rPr>
          <w:color w:val="231F20"/>
          <w:w w:val="105"/>
          <w:sz w:val="16"/>
        </w:rPr>
        <w:t>478</w:t>
      </w:r>
      <w:r>
        <w:rPr>
          <w:i/>
          <w:color w:val="231F20"/>
          <w:w w:val="105"/>
          <w:sz w:val="16"/>
        </w:rPr>
        <w:t xml:space="preserve">, </w:t>
      </w:r>
      <w:r>
        <w:rPr>
          <w:color w:val="231F20"/>
          <w:w w:val="105"/>
          <w:sz w:val="16"/>
        </w:rPr>
        <w:t>479</w:t>
      </w:r>
      <w:r>
        <w:rPr>
          <w:i/>
          <w:color w:val="231F20"/>
          <w:w w:val="105"/>
          <w:sz w:val="16"/>
        </w:rPr>
        <w:t xml:space="preserve">, </w:t>
      </w:r>
      <w:r>
        <w:rPr>
          <w:color w:val="231F20"/>
          <w:w w:val="105"/>
          <w:sz w:val="16"/>
        </w:rPr>
        <w:t>480</w:t>
      </w:r>
      <w:r>
        <w:rPr>
          <w:i/>
          <w:color w:val="231F20"/>
          <w:w w:val="105"/>
          <w:sz w:val="16"/>
        </w:rPr>
        <w:t xml:space="preserve">, </w:t>
      </w:r>
      <w:r>
        <w:rPr>
          <w:color w:val="231F20"/>
          <w:w w:val="105"/>
          <w:sz w:val="16"/>
        </w:rPr>
        <w:t>498</w:t>
      </w:r>
      <w:r>
        <w:rPr>
          <w:i/>
          <w:color w:val="231F20"/>
          <w:w w:val="105"/>
          <w:sz w:val="16"/>
        </w:rPr>
        <w:t xml:space="preserve">, </w:t>
      </w:r>
      <w:r>
        <w:rPr>
          <w:color w:val="231F20"/>
          <w:w w:val="105"/>
          <w:sz w:val="16"/>
        </w:rPr>
        <w:t>499; Stockholm</w:t>
      </w:r>
    </w:p>
    <w:p w14:paraId="029055D4" w14:textId="77777777" w:rsidR="002653E8" w:rsidRDefault="003115E3">
      <w:pPr>
        <w:spacing w:before="33" w:line="280" w:lineRule="auto"/>
        <w:ind w:left="1527"/>
        <w:rPr>
          <w:sz w:val="16"/>
        </w:rPr>
      </w:pPr>
      <w:r>
        <w:rPr>
          <w:color w:val="231F20"/>
          <w:sz w:val="16"/>
        </w:rPr>
        <w:t>Embassy occupation 339–340; use by guerilla 65</w:t>
      </w:r>
      <w:r>
        <w:rPr>
          <w:i/>
          <w:color w:val="231F20"/>
          <w:sz w:val="16"/>
        </w:rPr>
        <w:t xml:space="preserve">, </w:t>
      </w:r>
      <w:r>
        <w:rPr>
          <w:color w:val="231F20"/>
          <w:sz w:val="16"/>
        </w:rPr>
        <w:t>461</w:t>
      </w:r>
      <w:r>
        <w:rPr>
          <w:i/>
          <w:color w:val="231F20"/>
          <w:sz w:val="16"/>
        </w:rPr>
        <w:t xml:space="preserve">, </w:t>
      </w:r>
      <w:r>
        <w:rPr>
          <w:color w:val="231F20"/>
          <w:sz w:val="16"/>
        </w:rPr>
        <w:t>590</w:t>
      </w:r>
    </w:p>
    <w:p w14:paraId="763961A8" w14:textId="77777777" w:rsidR="002653E8" w:rsidRDefault="003115E3">
      <w:pPr>
        <w:spacing w:before="1" w:line="280" w:lineRule="auto"/>
        <w:ind w:left="1327" w:right="472"/>
        <w:rPr>
          <w:sz w:val="16"/>
        </w:rPr>
      </w:pPr>
      <w:r>
        <w:rPr>
          <w:i/>
          <w:color w:val="231F20"/>
          <w:w w:val="105"/>
          <w:sz w:val="16"/>
        </w:rPr>
        <w:t xml:space="preserve">New Traffic Regulations </w:t>
      </w:r>
      <w:r>
        <w:rPr>
          <w:color w:val="231F20"/>
          <w:w w:val="105"/>
          <w:sz w:val="16"/>
        </w:rPr>
        <w:t>64 Nicolai, Regine 613</w:t>
      </w:r>
    </w:p>
    <w:p w14:paraId="12645A5B" w14:textId="77777777" w:rsidR="002653E8" w:rsidRPr="00846956" w:rsidRDefault="003115E3">
      <w:pPr>
        <w:spacing w:before="1"/>
        <w:ind w:left="1327"/>
        <w:rPr>
          <w:sz w:val="16"/>
          <w:lang w:val="de-DE"/>
        </w:rPr>
      </w:pPr>
      <w:r w:rsidRPr="00846956">
        <w:rPr>
          <w:color w:val="231F20"/>
          <w:sz w:val="16"/>
          <w:lang w:val="de-DE"/>
        </w:rPr>
        <w:t>Niekisch, Ernst 67</w:t>
      </w:r>
    </w:p>
    <w:p w14:paraId="2EEB03E4" w14:textId="77777777" w:rsidR="002653E8" w:rsidRPr="00846956" w:rsidRDefault="003115E3">
      <w:pPr>
        <w:spacing w:before="32"/>
        <w:ind w:left="1327"/>
        <w:rPr>
          <w:sz w:val="16"/>
          <w:lang w:val="de-DE"/>
        </w:rPr>
      </w:pPr>
      <w:r w:rsidRPr="00846956">
        <w:rPr>
          <w:color w:val="231F20"/>
          <w:w w:val="105"/>
          <w:sz w:val="16"/>
          <w:lang w:val="de-DE"/>
        </w:rPr>
        <w:t>Niemöller, Martin 478</w:t>
      </w:r>
      <w:r w:rsidRPr="00846956">
        <w:rPr>
          <w:i/>
          <w:color w:val="231F20"/>
          <w:w w:val="105"/>
          <w:sz w:val="16"/>
          <w:lang w:val="de-DE"/>
        </w:rPr>
        <w:t xml:space="preserve">, </w:t>
      </w:r>
      <w:r w:rsidRPr="00846956">
        <w:rPr>
          <w:color w:val="231F20"/>
          <w:w w:val="105"/>
          <w:sz w:val="16"/>
          <w:lang w:val="de-DE"/>
        </w:rPr>
        <w:t>498</w:t>
      </w:r>
      <w:r w:rsidRPr="00846956">
        <w:rPr>
          <w:i/>
          <w:color w:val="231F20"/>
          <w:w w:val="105"/>
          <w:sz w:val="16"/>
          <w:lang w:val="de-DE"/>
        </w:rPr>
        <w:t xml:space="preserve">, </w:t>
      </w:r>
      <w:r w:rsidRPr="00846956">
        <w:rPr>
          <w:color w:val="231F20"/>
          <w:w w:val="105"/>
          <w:sz w:val="16"/>
          <w:lang w:val="de-DE"/>
        </w:rPr>
        <w:t>502</w:t>
      </w:r>
    </w:p>
    <w:p w14:paraId="09010977" w14:textId="77777777" w:rsidR="002653E8" w:rsidRPr="00846956" w:rsidRDefault="003115E3">
      <w:pPr>
        <w:spacing w:before="33"/>
        <w:ind w:left="1327"/>
        <w:rPr>
          <w:sz w:val="16"/>
          <w:lang w:val="de-DE"/>
        </w:rPr>
      </w:pPr>
      <w:r w:rsidRPr="00846956">
        <w:rPr>
          <w:color w:val="231F20"/>
          <w:w w:val="110"/>
          <w:sz w:val="16"/>
          <w:lang w:val="de-DE"/>
        </w:rPr>
        <w:t>Nixon, Richard 206</w:t>
      </w:r>
      <w:r w:rsidRPr="00846956">
        <w:rPr>
          <w:i/>
          <w:color w:val="231F20"/>
          <w:w w:val="110"/>
          <w:sz w:val="16"/>
          <w:lang w:val="de-DE"/>
        </w:rPr>
        <w:t xml:space="preserve">, </w:t>
      </w:r>
      <w:r w:rsidRPr="00846956">
        <w:rPr>
          <w:color w:val="231F20"/>
          <w:w w:val="110"/>
          <w:sz w:val="16"/>
          <w:lang w:val="de-DE"/>
        </w:rPr>
        <w:t>583</w:t>
      </w:r>
      <w:r w:rsidRPr="00846956">
        <w:rPr>
          <w:i/>
          <w:color w:val="231F20"/>
          <w:w w:val="110"/>
          <w:sz w:val="16"/>
          <w:lang w:val="de-DE"/>
        </w:rPr>
        <w:t xml:space="preserve">, </w:t>
      </w:r>
      <w:r w:rsidRPr="00846956">
        <w:rPr>
          <w:color w:val="231F20"/>
          <w:w w:val="110"/>
          <w:sz w:val="16"/>
          <w:lang w:val="de-DE"/>
        </w:rPr>
        <w:t>600</w:t>
      </w:r>
    </w:p>
    <w:p w14:paraId="07D4C039" w14:textId="77777777" w:rsidR="002653E8" w:rsidRDefault="003115E3">
      <w:pPr>
        <w:spacing w:before="32"/>
        <w:ind w:left="1327"/>
        <w:rPr>
          <w:sz w:val="16"/>
        </w:rPr>
      </w:pPr>
      <w:r>
        <w:rPr>
          <w:color w:val="231F20"/>
          <w:w w:val="105"/>
          <w:sz w:val="16"/>
        </w:rPr>
        <w:t>Nollau, Günther 535</w:t>
      </w:r>
    </w:p>
    <w:p w14:paraId="07DF01B5" w14:textId="77777777" w:rsidR="002653E8" w:rsidRDefault="003115E3">
      <w:pPr>
        <w:spacing w:before="33" w:line="280" w:lineRule="auto"/>
        <w:ind w:left="1327" w:right="323"/>
        <w:rPr>
          <w:i/>
          <w:sz w:val="16"/>
        </w:rPr>
      </w:pPr>
      <w:r>
        <w:rPr>
          <w:color w:val="231F20"/>
          <w:w w:val="105"/>
          <w:sz w:val="16"/>
        </w:rPr>
        <w:t>Norddeutschen Rundfunk 277 North Atlantic Treaty Organization</w:t>
      </w:r>
      <w:r>
        <w:rPr>
          <w:i/>
          <w:color w:val="231F20"/>
          <w:w w:val="105"/>
          <w:sz w:val="16"/>
        </w:rPr>
        <w:t>.</w:t>
      </w:r>
    </w:p>
    <w:p w14:paraId="11513CAC" w14:textId="77777777" w:rsidR="002653E8" w:rsidRDefault="003115E3">
      <w:pPr>
        <w:spacing w:before="1" w:line="280" w:lineRule="auto"/>
        <w:ind w:left="1527" w:right="341"/>
        <w:rPr>
          <w:sz w:val="16"/>
        </w:rPr>
      </w:pPr>
      <w:r>
        <w:rPr>
          <w:i/>
          <w:color w:val="231F20"/>
          <w:w w:val="105"/>
          <w:sz w:val="16"/>
        </w:rPr>
        <w:t xml:space="preserve">See </w:t>
      </w:r>
      <w:r>
        <w:rPr>
          <w:color w:val="231F20"/>
          <w:w w:val="105"/>
          <w:sz w:val="16"/>
        </w:rPr>
        <w:t>NATO (North Atlantic Treaty Organization)</w:t>
      </w:r>
    </w:p>
    <w:p w14:paraId="749143A2" w14:textId="77777777" w:rsidR="002653E8" w:rsidRDefault="003115E3">
      <w:pPr>
        <w:spacing w:before="1"/>
        <w:ind w:left="1327"/>
        <w:rPr>
          <w:sz w:val="16"/>
        </w:rPr>
      </w:pPr>
      <w:r>
        <w:rPr>
          <w:color w:val="231F20"/>
          <w:w w:val="105"/>
          <w:sz w:val="16"/>
        </w:rPr>
        <w:t>North yemen 330</w:t>
      </w:r>
      <w:r>
        <w:rPr>
          <w:i/>
          <w:color w:val="231F20"/>
          <w:w w:val="105"/>
          <w:sz w:val="16"/>
        </w:rPr>
        <w:t xml:space="preserve">, </w:t>
      </w:r>
      <w:r>
        <w:rPr>
          <w:color w:val="231F20"/>
          <w:w w:val="105"/>
          <w:sz w:val="16"/>
        </w:rPr>
        <w:t>481</w:t>
      </w:r>
    </w:p>
    <w:p w14:paraId="03DCA40D" w14:textId="77777777" w:rsidR="002653E8" w:rsidRDefault="003115E3">
      <w:pPr>
        <w:spacing w:before="32"/>
        <w:ind w:left="1327"/>
        <w:rPr>
          <w:sz w:val="16"/>
        </w:rPr>
      </w:pPr>
      <w:r>
        <w:rPr>
          <w:color w:val="231F20"/>
          <w:w w:val="105"/>
          <w:sz w:val="16"/>
        </w:rPr>
        <w:t>Norway 563</w:t>
      </w:r>
      <w:r>
        <w:rPr>
          <w:i/>
          <w:color w:val="231F20"/>
          <w:w w:val="105"/>
          <w:sz w:val="16"/>
        </w:rPr>
        <w:t xml:space="preserve">, </w:t>
      </w:r>
      <w:r>
        <w:rPr>
          <w:color w:val="231F20"/>
          <w:w w:val="105"/>
          <w:sz w:val="16"/>
        </w:rPr>
        <w:t>625</w:t>
      </w:r>
    </w:p>
    <w:p w14:paraId="428E467D" w14:textId="77777777" w:rsidR="002653E8" w:rsidRDefault="003115E3">
      <w:pPr>
        <w:spacing w:before="33"/>
        <w:ind w:left="1327"/>
        <w:rPr>
          <w:sz w:val="16"/>
        </w:rPr>
      </w:pPr>
      <w:r>
        <w:rPr>
          <w:color w:val="231F20"/>
          <w:w w:val="105"/>
          <w:sz w:val="16"/>
        </w:rPr>
        <w:t>Noske, Gustav 216</w:t>
      </w:r>
    </w:p>
    <w:p w14:paraId="6732F2FD" w14:textId="77777777" w:rsidR="002653E8" w:rsidRDefault="003115E3">
      <w:pPr>
        <w:spacing w:before="86" w:line="280" w:lineRule="auto"/>
        <w:ind w:left="489" w:right="1134" w:hanging="200"/>
        <w:rPr>
          <w:sz w:val="16"/>
        </w:rPr>
      </w:pPr>
      <w:r>
        <w:br w:type="column"/>
      </w:r>
      <w:r>
        <w:rPr>
          <w:color w:val="231F20"/>
          <w:sz w:val="16"/>
        </w:rPr>
        <w:t>Notstandgesetze</w:t>
      </w:r>
      <w:r>
        <w:rPr>
          <w:i/>
          <w:color w:val="231F20"/>
          <w:sz w:val="16"/>
        </w:rPr>
        <w:t xml:space="preserve">. See also </w:t>
      </w:r>
      <w:r>
        <w:rPr>
          <w:color w:val="231F20"/>
          <w:sz w:val="16"/>
        </w:rPr>
        <w:t>Emergency Powers Act</w:t>
      </w:r>
      <w:r>
        <w:rPr>
          <w:i/>
          <w:color w:val="231F20"/>
          <w:sz w:val="16"/>
        </w:rPr>
        <w:t xml:space="preserve">; See also </w:t>
      </w:r>
      <w:r>
        <w:rPr>
          <w:color w:val="231F20"/>
          <w:sz w:val="16"/>
        </w:rPr>
        <w:t>APO (Außerparlamentarische Opposition): anti-Notstandgesetze campaign</w:t>
      </w:r>
    </w:p>
    <w:p w14:paraId="28A0BBFD" w14:textId="77777777" w:rsidR="002653E8" w:rsidRDefault="002653E8">
      <w:pPr>
        <w:pStyle w:val="a3"/>
        <w:rPr>
          <w:sz w:val="18"/>
        </w:rPr>
      </w:pPr>
    </w:p>
    <w:p w14:paraId="395897DA" w14:textId="77777777" w:rsidR="002653E8" w:rsidRDefault="002653E8">
      <w:pPr>
        <w:pStyle w:val="a3"/>
        <w:rPr>
          <w:sz w:val="18"/>
        </w:rPr>
      </w:pPr>
    </w:p>
    <w:p w14:paraId="16C64FDA" w14:textId="77777777" w:rsidR="002653E8" w:rsidRDefault="002653E8">
      <w:pPr>
        <w:pStyle w:val="a3"/>
        <w:rPr>
          <w:sz w:val="18"/>
        </w:rPr>
      </w:pPr>
    </w:p>
    <w:p w14:paraId="50F226E0" w14:textId="77777777" w:rsidR="002653E8" w:rsidRDefault="002653E8">
      <w:pPr>
        <w:pStyle w:val="a3"/>
        <w:spacing w:before="2"/>
        <w:rPr>
          <w:sz w:val="16"/>
        </w:rPr>
      </w:pPr>
    </w:p>
    <w:p w14:paraId="74CA408E" w14:textId="77777777" w:rsidR="002653E8" w:rsidRDefault="003115E3">
      <w:pPr>
        <w:spacing w:line="280" w:lineRule="auto"/>
        <w:ind w:left="289" w:right="1156" w:hanging="65"/>
        <w:jc w:val="center"/>
        <w:rPr>
          <w:sz w:val="16"/>
        </w:rPr>
      </w:pPr>
      <w:r w:rsidRPr="00846956">
        <w:rPr>
          <w:color w:val="231F20"/>
          <w:sz w:val="16"/>
          <w:lang w:val="de-DE"/>
        </w:rPr>
        <w:t>Oberwinder, Michael 381</w:t>
      </w:r>
      <w:r w:rsidRPr="00846956">
        <w:rPr>
          <w:i/>
          <w:color w:val="231F20"/>
          <w:sz w:val="16"/>
          <w:lang w:val="de-DE"/>
        </w:rPr>
        <w:t xml:space="preserve">, </w:t>
      </w:r>
      <w:r w:rsidRPr="00846956">
        <w:rPr>
          <w:color w:val="231F20"/>
          <w:sz w:val="16"/>
          <w:lang w:val="de-DE"/>
        </w:rPr>
        <w:t>383</w:t>
      </w:r>
      <w:r w:rsidRPr="00846956">
        <w:rPr>
          <w:i/>
          <w:color w:val="231F20"/>
          <w:sz w:val="16"/>
          <w:lang w:val="de-DE"/>
        </w:rPr>
        <w:t xml:space="preserve">, </w:t>
      </w:r>
      <w:r w:rsidRPr="00846956">
        <w:rPr>
          <w:color w:val="231F20"/>
          <w:sz w:val="16"/>
          <w:lang w:val="de-DE"/>
        </w:rPr>
        <w:t>386</w:t>
      </w:r>
      <w:r w:rsidRPr="00846956">
        <w:rPr>
          <w:i/>
          <w:color w:val="231F20"/>
          <w:sz w:val="16"/>
          <w:lang w:val="de-DE"/>
        </w:rPr>
        <w:t xml:space="preserve">, </w:t>
      </w:r>
      <w:r w:rsidRPr="00846956">
        <w:rPr>
          <w:color w:val="231F20"/>
          <w:sz w:val="16"/>
          <w:lang w:val="de-DE"/>
        </w:rPr>
        <w:t>572 Oestereicher (Amnesty International) 308 Ohnesorg, Benno</w:t>
      </w:r>
      <w:r w:rsidRPr="00846956">
        <w:rPr>
          <w:i/>
          <w:color w:val="231F20"/>
          <w:sz w:val="16"/>
          <w:lang w:val="de-DE"/>
        </w:rPr>
        <w:t xml:space="preserve">. </w:t>
      </w:r>
      <w:r>
        <w:rPr>
          <w:i/>
          <w:color w:val="231F20"/>
          <w:sz w:val="16"/>
        </w:rPr>
        <w:t xml:space="preserve">See also </w:t>
      </w:r>
      <w:r>
        <w:rPr>
          <w:color w:val="231F20"/>
          <w:sz w:val="16"/>
        </w:rPr>
        <w:t>protests: shooting of Benno Ohnesorg (1967); com-</w:t>
      </w:r>
    </w:p>
    <w:p w14:paraId="0E1B77FB" w14:textId="77777777" w:rsidR="002653E8" w:rsidRDefault="003115E3">
      <w:pPr>
        <w:spacing w:before="2"/>
        <w:ind w:left="489"/>
        <w:rPr>
          <w:sz w:val="16"/>
        </w:rPr>
      </w:pPr>
      <w:r>
        <w:rPr>
          <w:color w:val="231F20"/>
          <w:sz w:val="16"/>
        </w:rPr>
        <w:t>memorated 46</w:t>
      </w:r>
      <w:r>
        <w:rPr>
          <w:i/>
          <w:color w:val="231F20"/>
          <w:sz w:val="16"/>
        </w:rPr>
        <w:t xml:space="preserve">, </w:t>
      </w:r>
      <w:r>
        <w:rPr>
          <w:color w:val="231F20"/>
          <w:sz w:val="16"/>
        </w:rPr>
        <w:t>170; murdered (1967)</w:t>
      </w:r>
    </w:p>
    <w:p w14:paraId="4ED69D58" w14:textId="77777777" w:rsidR="002653E8" w:rsidRDefault="003115E3">
      <w:pPr>
        <w:spacing w:before="32"/>
        <w:ind w:left="489"/>
        <w:rPr>
          <w:sz w:val="16"/>
        </w:rPr>
      </w:pPr>
      <w:r>
        <w:rPr>
          <w:color w:val="231F20"/>
          <w:w w:val="110"/>
          <w:sz w:val="16"/>
        </w:rPr>
        <w:t>32</w:t>
      </w:r>
      <w:r>
        <w:rPr>
          <w:i/>
          <w:color w:val="231F20"/>
          <w:w w:val="110"/>
          <w:sz w:val="16"/>
        </w:rPr>
        <w:t xml:space="preserve">, </w:t>
      </w:r>
      <w:r>
        <w:rPr>
          <w:color w:val="231F20"/>
          <w:w w:val="110"/>
          <w:sz w:val="16"/>
        </w:rPr>
        <w:t>572</w:t>
      </w:r>
      <w:r>
        <w:rPr>
          <w:i/>
          <w:color w:val="231F20"/>
          <w:w w:val="110"/>
          <w:sz w:val="16"/>
        </w:rPr>
        <w:t xml:space="preserve">, </w:t>
      </w:r>
      <w:r>
        <w:rPr>
          <w:color w:val="231F20"/>
          <w:w w:val="110"/>
          <w:sz w:val="16"/>
        </w:rPr>
        <w:t>580</w:t>
      </w:r>
    </w:p>
    <w:p w14:paraId="1A5F058C" w14:textId="77777777" w:rsidR="002653E8" w:rsidRDefault="003115E3">
      <w:pPr>
        <w:spacing w:before="33" w:line="280" w:lineRule="auto"/>
        <w:ind w:left="489" w:right="1134" w:hanging="200"/>
        <w:rPr>
          <w:sz w:val="16"/>
        </w:rPr>
      </w:pPr>
      <w:r>
        <w:rPr>
          <w:color w:val="231F20"/>
          <w:w w:val="105"/>
          <w:sz w:val="16"/>
        </w:rPr>
        <w:t>OMGUS (Office of Military Government, United States) 6</w:t>
      </w:r>
    </w:p>
    <w:p w14:paraId="4A6497C3" w14:textId="77777777" w:rsidR="002653E8" w:rsidRDefault="003115E3">
      <w:pPr>
        <w:spacing w:before="1" w:line="280" w:lineRule="auto"/>
        <w:ind w:left="489" w:right="1312" w:hanging="200"/>
        <w:rPr>
          <w:sz w:val="16"/>
        </w:rPr>
      </w:pPr>
      <w:r>
        <w:rPr>
          <w:color w:val="231F20"/>
          <w:w w:val="105"/>
          <w:sz w:val="16"/>
        </w:rPr>
        <w:t>OPEC (Organization of Petroleum Exporting Countries) 199</w:t>
      </w:r>
      <w:r>
        <w:rPr>
          <w:i/>
          <w:color w:val="231F20"/>
          <w:w w:val="105"/>
          <w:sz w:val="16"/>
        </w:rPr>
        <w:t xml:space="preserve">, </w:t>
      </w:r>
      <w:r>
        <w:rPr>
          <w:color w:val="231F20"/>
          <w:w w:val="105"/>
          <w:sz w:val="16"/>
        </w:rPr>
        <w:t>439</w:t>
      </w:r>
      <w:r>
        <w:rPr>
          <w:i/>
          <w:color w:val="231F20"/>
          <w:w w:val="105"/>
          <w:sz w:val="16"/>
        </w:rPr>
        <w:t xml:space="preserve">, </w:t>
      </w:r>
      <w:r>
        <w:rPr>
          <w:color w:val="231F20"/>
          <w:w w:val="105"/>
          <w:sz w:val="16"/>
        </w:rPr>
        <w:t>449</w:t>
      </w:r>
      <w:r>
        <w:rPr>
          <w:i/>
          <w:color w:val="231F20"/>
          <w:w w:val="105"/>
          <w:sz w:val="16"/>
        </w:rPr>
        <w:t xml:space="preserve">. See also </w:t>
      </w:r>
      <w:r>
        <w:rPr>
          <w:color w:val="231F20"/>
          <w:w w:val="105"/>
          <w:sz w:val="16"/>
        </w:rPr>
        <w:t>Revolutionary Cells: OPEC raid in Vienna (1975)</w:t>
      </w:r>
    </w:p>
    <w:p w14:paraId="101EEDC2" w14:textId="77777777" w:rsidR="002653E8" w:rsidRPr="00846956" w:rsidRDefault="003115E3">
      <w:pPr>
        <w:spacing w:before="2" w:line="280" w:lineRule="auto"/>
        <w:ind w:left="289" w:right="1622"/>
        <w:rPr>
          <w:sz w:val="16"/>
          <w:lang w:val="de-DE"/>
        </w:rPr>
      </w:pPr>
      <w:r>
        <w:rPr>
          <w:color w:val="231F20"/>
          <w:w w:val="105"/>
          <w:sz w:val="16"/>
        </w:rPr>
        <w:t>Operation Plan 101-1 13 Operation Winter Trip</w:t>
      </w:r>
      <w:r>
        <w:rPr>
          <w:i/>
          <w:color w:val="231F20"/>
          <w:w w:val="105"/>
          <w:sz w:val="16"/>
        </w:rPr>
        <w:t xml:space="preserve">. </w:t>
      </w:r>
      <w:r w:rsidRPr="00846956">
        <w:rPr>
          <w:i/>
          <w:color w:val="231F20"/>
          <w:w w:val="105"/>
          <w:sz w:val="16"/>
          <w:lang w:val="de-DE"/>
        </w:rPr>
        <w:t xml:space="preserve">See </w:t>
      </w:r>
      <w:r w:rsidRPr="00846956">
        <w:rPr>
          <w:color w:val="231F20"/>
          <w:w w:val="105"/>
          <w:sz w:val="16"/>
          <w:lang w:val="de-DE"/>
        </w:rPr>
        <w:t>BKA</w:t>
      </w:r>
    </w:p>
    <w:p w14:paraId="0D93DDC2" w14:textId="77777777" w:rsidR="002653E8" w:rsidRPr="00846956" w:rsidRDefault="003115E3">
      <w:pPr>
        <w:spacing w:before="1" w:line="280" w:lineRule="auto"/>
        <w:ind w:left="489" w:right="1622"/>
        <w:rPr>
          <w:sz w:val="16"/>
          <w:lang w:val="de-DE"/>
        </w:rPr>
      </w:pPr>
      <w:r w:rsidRPr="00846956">
        <w:rPr>
          <w:color w:val="231F20"/>
          <w:sz w:val="16"/>
          <w:lang w:val="de-DE"/>
        </w:rPr>
        <w:t>(Bundeskriminalamt): Operation Winter Trip</w:t>
      </w:r>
    </w:p>
    <w:p w14:paraId="7CAF0A61" w14:textId="77777777" w:rsidR="002653E8" w:rsidRDefault="003115E3">
      <w:pPr>
        <w:spacing w:before="1" w:line="280" w:lineRule="auto"/>
        <w:ind w:left="489" w:right="1134" w:hanging="200"/>
        <w:rPr>
          <w:sz w:val="16"/>
        </w:rPr>
      </w:pPr>
      <w:r>
        <w:rPr>
          <w:color w:val="231F20"/>
          <w:sz w:val="16"/>
        </w:rPr>
        <w:t>OPFG (Organization of the People’s Fedayeen Guerillas) 616</w:t>
      </w:r>
    </w:p>
    <w:p w14:paraId="622E2033" w14:textId="77777777" w:rsidR="002653E8" w:rsidRDefault="003115E3">
      <w:pPr>
        <w:spacing w:before="1"/>
        <w:ind w:left="289"/>
        <w:rPr>
          <w:i/>
          <w:sz w:val="16"/>
        </w:rPr>
      </w:pPr>
      <w:r>
        <w:rPr>
          <w:color w:val="231F20"/>
          <w:w w:val="105"/>
          <w:sz w:val="16"/>
        </w:rPr>
        <w:t>Ostpolitik 42</w:t>
      </w:r>
      <w:r>
        <w:rPr>
          <w:i/>
          <w:color w:val="231F20"/>
          <w:w w:val="105"/>
          <w:sz w:val="16"/>
        </w:rPr>
        <w:t xml:space="preserve">, </w:t>
      </w:r>
      <w:r>
        <w:rPr>
          <w:color w:val="231F20"/>
          <w:w w:val="105"/>
          <w:sz w:val="16"/>
        </w:rPr>
        <w:t xml:space="preserve">44; mentioned by </w:t>
      </w:r>
      <w:r w:rsidR="00C507A5">
        <w:rPr>
          <w:color w:val="231F20"/>
          <w:w w:val="105"/>
          <w:sz w:val="16"/>
        </w:rPr>
        <w:t>red army faction</w:t>
      </w:r>
      <w:r>
        <w:rPr>
          <w:color w:val="231F20"/>
          <w:w w:val="105"/>
          <w:sz w:val="16"/>
        </w:rPr>
        <w:t xml:space="preserve"> 88</w:t>
      </w:r>
      <w:r>
        <w:rPr>
          <w:i/>
          <w:color w:val="231F20"/>
          <w:w w:val="105"/>
          <w:sz w:val="16"/>
        </w:rPr>
        <w:t>,</w:t>
      </w:r>
    </w:p>
    <w:p w14:paraId="1E963333" w14:textId="77777777" w:rsidR="002653E8" w:rsidRDefault="003115E3">
      <w:pPr>
        <w:spacing w:before="33"/>
        <w:ind w:left="489"/>
        <w:rPr>
          <w:sz w:val="16"/>
        </w:rPr>
      </w:pPr>
      <w:r>
        <w:rPr>
          <w:color w:val="231F20"/>
          <w:w w:val="110"/>
          <w:sz w:val="16"/>
        </w:rPr>
        <w:t>104</w:t>
      </w:r>
      <w:r>
        <w:rPr>
          <w:i/>
          <w:color w:val="231F20"/>
          <w:w w:val="110"/>
          <w:sz w:val="16"/>
        </w:rPr>
        <w:t xml:space="preserve">, </w:t>
      </w:r>
      <w:r>
        <w:rPr>
          <w:color w:val="231F20"/>
          <w:w w:val="110"/>
          <w:sz w:val="16"/>
        </w:rPr>
        <w:t>147</w:t>
      </w:r>
      <w:r>
        <w:rPr>
          <w:i/>
          <w:color w:val="231F20"/>
          <w:w w:val="110"/>
          <w:sz w:val="16"/>
        </w:rPr>
        <w:t xml:space="preserve">, </w:t>
      </w:r>
      <w:r>
        <w:rPr>
          <w:color w:val="231F20"/>
          <w:w w:val="110"/>
          <w:sz w:val="16"/>
        </w:rPr>
        <w:t>148</w:t>
      </w:r>
      <w:r>
        <w:rPr>
          <w:i/>
          <w:color w:val="231F20"/>
          <w:w w:val="110"/>
          <w:sz w:val="16"/>
        </w:rPr>
        <w:t xml:space="preserve">, </w:t>
      </w:r>
      <w:r>
        <w:rPr>
          <w:color w:val="231F20"/>
          <w:w w:val="110"/>
          <w:sz w:val="16"/>
        </w:rPr>
        <w:t>228</w:t>
      </w:r>
    </w:p>
    <w:p w14:paraId="0336E9DF" w14:textId="77777777" w:rsidR="002653E8" w:rsidRDefault="002653E8">
      <w:pPr>
        <w:pStyle w:val="a3"/>
        <w:rPr>
          <w:sz w:val="18"/>
        </w:rPr>
      </w:pPr>
    </w:p>
    <w:p w14:paraId="6CB6C848" w14:textId="77777777" w:rsidR="002653E8" w:rsidRDefault="002653E8">
      <w:pPr>
        <w:pStyle w:val="a3"/>
        <w:rPr>
          <w:sz w:val="18"/>
        </w:rPr>
      </w:pPr>
    </w:p>
    <w:p w14:paraId="3B2E5BCF" w14:textId="77777777" w:rsidR="002653E8" w:rsidRDefault="002653E8">
      <w:pPr>
        <w:pStyle w:val="a3"/>
        <w:rPr>
          <w:sz w:val="18"/>
        </w:rPr>
      </w:pPr>
    </w:p>
    <w:p w14:paraId="7C84E318" w14:textId="77777777" w:rsidR="002653E8" w:rsidRDefault="002653E8">
      <w:pPr>
        <w:pStyle w:val="a3"/>
        <w:spacing w:before="8"/>
        <w:rPr>
          <w:sz w:val="18"/>
        </w:rPr>
      </w:pPr>
    </w:p>
    <w:p w14:paraId="11091A30" w14:textId="77777777" w:rsidR="002653E8" w:rsidRDefault="003115E3">
      <w:pPr>
        <w:ind w:left="289"/>
        <w:rPr>
          <w:i/>
          <w:sz w:val="16"/>
        </w:rPr>
      </w:pPr>
      <w:r>
        <w:rPr>
          <w:color w:val="231F20"/>
          <w:w w:val="105"/>
          <w:sz w:val="16"/>
        </w:rPr>
        <w:t>Palestine and Palestinians 34</w:t>
      </w:r>
      <w:r>
        <w:rPr>
          <w:i/>
          <w:color w:val="231F20"/>
          <w:w w:val="105"/>
          <w:sz w:val="16"/>
        </w:rPr>
        <w:t xml:space="preserve">, </w:t>
      </w:r>
      <w:r>
        <w:rPr>
          <w:color w:val="231F20"/>
          <w:w w:val="105"/>
          <w:sz w:val="16"/>
        </w:rPr>
        <w:t>189</w:t>
      </w:r>
      <w:r>
        <w:rPr>
          <w:i/>
          <w:color w:val="231F20"/>
          <w:w w:val="105"/>
          <w:sz w:val="16"/>
        </w:rPr>
        <w:t xml:space="preserve">, </w:t>
      </w:r>
      <w:r>
        <w:rPr>
          <w:color w:val="231F20"/>
          <w:w w:val="105"/>
          <w:sz w:val="16"/>
        </w:rPr>
        <w:t>194</w:t>
      </w:r>
      <w:r>
        <w:rPr>
          <w:i/>
          <w:color w:val="231F20"/>
          <w:w w:val="105"/>
          <w:sz w:val="16"/>
        </w:rPr>
        <w:t>,</w:t>
      </w:r>
    </w:p>
    <w:p w14:paraId="253E70B1" w14:textId="77777777" w:rsidR="002653E8" w:rsidRDefault="003115E3">
      <w:pPr>
        <w:spacing w:before="32" w:line="280" w:lineRule="auto"/>
        <w:ind w:left="489" w:right="1134"/>
        <w:rPr>
          <w:sz w:val="16"/>
        </w:rPr>
      </w:pPr>
      <w:r>
        <w:rPr>
          <w:color w:val="231F20"/>
          <w:sz w:val="16"/>
        </w:rPr>
        <w:t>552</w:t>
      </w:r>
      <w:r>
        <w:rPr>
          <w:i/>
          <w:color w:val="231F20"/>
          <w:sz w:val="16"/>
        </w:rPr>
        <w:t xml:space="preserve">. See also </w:t>
      </w:r>
      <w:r>
        <w:rPr>
          <w:color w:val="231F20"/>
          <w:sz w:val="16"/>
        </w:rPr>
        <w:t>Fatah</w:t>
      </w:r>
      <w:r>
        <w:rPr>
          <w:i/>
          <w:color w:val="231F20"/>
          <w:sz w:val="16"/>
        </w:rPr>
        <w:t xml:space="preserve">; See also </w:t>
      </w:r>
      <w:r>
        <w:rPr>
          <w:color w:val="231F20"/>
          <w:sz w:val="16"/>
        </w:rPr>
        <w:t>Black September (massacre)</w:t>
      </w:r>
      <w:r>
        <w:rPr>
          <w:i/>
          <w:color w:val="231F20"/>
          <w:sz w:val="16"/>
        </w:rPr>
        <w:t xml:space="preserve">; See also </w:t>
      </w:r>
      <w:r>
        <w:rPr>
          <w:color w:val="231F20"/>
          <w:sz w:val="16"/>
        </w:rPr>
        <w:t>Black September (organization)</w:t>
      </w:r>
      <w:r>
        <w:rPr>
          <w:i/>
          <w:color w:val="231F20"/>
          <w:sz w:val="16"/>
        </w:rPr>
        <w:t xml:space="preserve">; See also </w:t>
      </w:r>
      <w:r>
        <w:rPr>
          <w:color w:val="231F20"/>
          <w:sz w:val="16"/>
        </w:rPr>
        <w:t>PLO (Palestine Liberation Organiza-</w:t>
      </w:r>
    </w:p>
    <w:p w14:paraId="6775F431" w14:textId="77777777" w:rsidR="002653E8" w:rsidRDefault="003115E3">
      <w:pPr>
        <w:spacing w:before="2" w:line="280" w:lineRule="auto"/>
        <w:ind w:left="489" w:right="1389"/>
        <w:rPr>
          <w:sz w:val="16"/>
        </w:rPr>
      </w:pPr>
      <w:r>
        <w:rPr>
          <w:color w:val="231F20"/>
          <w:sz w:val="16"/>
        </w:rPr>
        <w:t>tion)</w:t>
      </w:r>
      <w:r>
        <w:rPr>
          <w:i/>
          <w:color w:val="231F20"/>
          <w:sz w:val="16"/>
        </w:rPr>
        <w:t xml:space="preserve">; See also </w:t>
      </w:r>
      <w:r>
        <w:rPr>
          <w:color w:val="231F20"/>
          <w:sz w:val="16"/>
        </w:rPr>
        <w:t>PFLP (Popular Front for the Liberation of Palestine)</w:t>
      </w:r>
      <w:r>
        <w:rPr>
          <w:i/>
          <w:color w:val="231F20"/>
          <w:sz w:val="16"/>
        </w:rPr>
        <w:t xml:space="preserve">; See also </w:t>
      </w:r>
      <w:r>
        <w:rPr>
          <w:color w:val="231F20"/>
          <w:sz w:val="16"/>
        </w:rPr>
        <w:t>PFLP (EO) [Popular Front for the Liberation of Palestine (External</w:t>
      </w:r>
    </w:p>
    <w:p w14:paraId="3325D6FD" w14:textId="77777777" w:rsidR="002653E8" w:rsidRDefault="003115E3">
      <w:pPr>
        <w:spacing w:before="3" w:line="280" w:lineRule="auto"/>
        <w:ind w:left="489" w:right="1134"/>
        <w:rPr>
          <w:i/>
          <w:sz w:val="16"/>
        </w:rPr>
      </w:pPr>
      <w:r>
        <w:rPr>
          <w:color w:val="231F20"/>
          <w:sz w:val="16"/>
        </w:rPr>
        <w:t>Operations)]; in Jordan 56; mentioned by guerilla 94</w:t>
      </w:r>
      <w:r>
        <w:rPr>
          <w:i/>
          <w:color w:val="231F20"/>
          <w:sz w:val="16"/>
        </w:rPr>
        <w:t xml:space="preserve">, </w:t>
      </w:r>
      <w:r>
        <w:rPr>
          <w:color w:val="231F20"/>
          <w:sz w:val="16"/>
        </w:rPr>
        <w:t>177</w:t>
      </w:r>
      <w:r>
        <w:rPr>
          <w:i/>
          <w:color w:val="231F20"/>
          <w:sz w:val="16"/>
        </w:rPr>
        <w:t xml:space="preserve">, </w:t>
      </w:r>
      <w:r>
        <w:rPr>
          <w:color w:val="231F20"/>
          <w:sz w:val="16"/>
        </w:rPr>
        <w:t>183</w:t>
      </w:r>
      <w:r>
        <w:rPr>
          <w:i/>
          <w:color w:val="231F20"/>
          <w:sz w:val="16"/>
        </w:rPr>
        <w:t xml:space="preserve">, </w:t>
      </w:r>
      <w:r>
        <w:rPr>
          <w:color w:val="231F20"/>
          <w:sz w:val="16"/>
        </w:rPr>
        <w:t>206</w:t>
      </w:r>
      <w:r>
        <w:rPr>
          <w:i/>
          <w:color w:val="231F20"/>
          <w:sz w:val="16"/>
        </w:rPr>
        <w:t xml:space="preserve">, </w:t>
      </w:r>
      <w:r>
        <w:rPr>
          <w:color w:val="231F20"/>
          <w:sz w:val="16"/>
        </w:rPr>
        <w:t>209</w:t>
      </w:r>
      <w:r>
        <w:rPr>
          <w:i/>
          <w:color w:val="231F20"/>
          <w:sz w:val="16"/>
        </w:rPr>
        <w:t>,</w:t>
      </w:r>
    </w:p>
    <w:p w14:paraId="4DB583EC" w14:textId="77777777" w:rsidR="002653E8" w:rsidRDefault="003115E3">
      <w:pPr>
        <w:spacing w:before="1"/>
        <w:ind w:left="489"/>
        <w:rPr>
          <w:sz w:val="16"/>
        </w:rPr>
      </w:pPr>
      <w:r>
        <w:rPr>
          <w:color w:val="231F20"/>
          <w:w w:val="105"/>
          <w:sz w:val="16"/>
        </w:rPr>
        <w:t>213</w:t>
      </w:r>
      <w:r>
        <w:rPr>
          <w:i/>
          <w:color w:val="231F20"/>
          <w:w w:val="105"/>
          <w:sz w:val="16"/>
        </w:rPr>
        <w:t xml:space="preserve">, </w:t>
      </w:r>
      <w:r>
        <w:rPr>
          <w:color w:val="231F20"/>
          <w:w w:val="105"/>
          <w:sz w:val="16"/>
        </w:rPr>
        <w:t>226</w:t>
      </w:r>
      <w:r>
        <w:rPr>
          <w:i/>
          <w:color w:val="231F20"/>
          <w:w w:val="105"/>
          <w:sz w:val="16"/>
        </w:rPr>
        <w:t xml:space="preserve">, </w:t>
      </w:r>
      <w:r>
        <w:rPr>
          <w:color w:val="231F20"/>
          <w:w w:val="105"/>
          <w:sz w:val="16"/>
        </w:rPr>
        <w:t>229</w:t>
      </w:r>
      <w:r>
        <w:rPr>
          <w:i/>
          <w:color w:val="231F20"/>
          <w:w w:val="105"/>
          <w:sz w:val="16"/>
        </w:rPr>
        <w:t xml:space="preserve">, </w:t>
      </w:r>
      <w:r>
        <w:rPr>
          <w:color w:val="231F20"/>
          <w:w w:val="105"/>
          <w:sz w:val="16"/>
        </w:rPr>
        <w:t>231–232</w:t>
      </w:r>
      <w:r>
        <w:rPr>
          <w:i/>
          <w:color w:val="231F20"/>
          <w:w w:val="105"/>
          <w:sz w:val="16"/>
        </w:rPr>
        <w:t xml:space="preserve">, </w:t>
      </w:r>
      <w:r>
        <w:rPr>
          <w:color w:val="231F20"/>
          <w:w w:val="105"/>
          <w:sz w:val="16"/>
        </w:rPr>
        <w:t>235</w:t>
      </w:r>
      <w:r>
        <w:rPr>
          <w:i/>
          <w:color w:val="231F20"/>
          <w:w w:val="105"/>
          <w:sz w:val="16"/>
        </w:rPr>
        <w:t xml:space="preserve">, </w:t>
      </w:r>
      <w:r>
        <w:rPr>
          <w:color w:val="231F20"/>
          <w:w w:val="105"/>
          <w:sz w:val="16"/>
        </w:rPr>
        <w:t>377;</w:t>
      </w:r>
    </w:p>
    <w:p w14:paraId="4792D0AC" w14:textId="77777777" w:rsidR="002653E8" w:rsidRDefault="003115E3">
      <w:pPr>
        <w:spacing w:before="32"/>
        <w:ind w:left="489"/>
        <w:rPr>
          <w:i/>
          <w:sz w:val="16"/>
        </w:rPr>
      </w:pPr>
      <w:r>
        <w:rPr>
          <w:color w:val="231F20"/>
          <w:w w:val="105"/>
          <w:sz w:val="16"/>
        </w:rPr>
        <w:t xml:space="preserve">resistance movement and </w:t>
      </w:r>
      <w:r w:rsidR="00C507A5">
        <w:rPr>
          <w:color w:val="231F20"/>
          <w:w w:val="105"/>
          <w:sz w:val="16"/>
        </w:rPr>
        <w:t>red army faction</w:t>
      </w:r>
      <w:r>
        <w:rPr>
          <w:color w:val="231F20"/>
          <w:w w:val="105"/>
          <w:sz w:val="16"/>
        </w:rPr>
        <w:t xml:space="preserve"> 56</w:t>
      </w:r>
      <w:r>
        <w:rPr>
          <w:i/>
          <w:color w:val="231F20"/>
          <w:w w:val="105"/>
          <w:sz w:val="16"/>
        </w:rPr>
        <w:t xml:space="preserve">, </w:t>
      </w:r>
      <w:r>
        <w:rPr>
          <w:color w:val="231F20"/>
          <w:w w:val="105"/>
          <w:sz w:val="16"/>
        </w:rPr>
        <w:t>57</w:t>
      </w:r>
      <w:r>
        <w:rPr>
          <w:i/>
          <w:color w:val="231F20"/>
          <w:w w:val="105"/>
          <w:sz w:val="16"/>
        </w:rPr>
        <w:t>,</w:t>
      </w:r>
    </w:p>
    <w:p w14:paraId="665C2B73" w14:textId="77777777" w:rsidR="002653E8" w:rsidRDefault="003115E3">
      <w:pPr>
        <w:spacing w:before="32"/>
        <w:ind w:left="489"/>
        <w:rPr>
          <w:sz w:val="16"/>
        </w:rPr>
      </w:pPr>
      <w:r>
        <w:rPr>
          <w:color w:val="231F20"/>
          <w:w w:val="105"/>
          <w:sz w:val="16"/>
        </w:rPr>
        <w:t>59; Six Day War 581</w:t>
      </w:r>
    </w:p>
    <w:p w14:paraId="78FBDA3A" w14:textId="77777777" w:rsidR="002653E8" w:rsidRDefault="002653E8">
      <w:pPr>
        <w:rPr>
          <w:sz w:val="16"/>
        </w:rPr>
        <w:sectPr w:rsidR="002653E8">
          <w:pgSz w:w="8640" w:h="12960"/>
          <w:pgMar w:top="1080" w:right="0" w:bottom="1040" w:left="0" w:header="0" w:footer="846" w:gutter="0"/>
          <w:cols w:num="2" w:space="720" w:equalWidth="0">
            <w:col w:w="4221" w:space="40"/>
            <w:col w:w="4379"/>
          </w:cols>
        </w:sectPr>
      </w:pPr>
    </w:p>
    <w:p w14:paraId="70EFE225" w14:textId="77777777" w:rsidR="002653E8" w:rsidRDefault="003115E3">
      <w:pPr>
        <w:spacing w:before="86"/>
        <w:ind w:left="1147"/>
        <w:rPr>
          <w:i/>
          <w:sz w:val="16"/>
        </w:rPr>
      </w:pPr>
      <w:r>
        <w:rPr>
          <w:color w:val="231F20"/>
          <w:sz w:val="16"/>
        </w:rPr>
        <w:lastRenderedPageBreak/>
        <w:t>Palestine Liberation Organization</w:t>
      </w:r>
      <w:r>
        <w:rPr>
          <w:i/>
          <w:color w:val="231F20"/>
          <w:sz w:val="16"/>
        </w:rPr>
        <w:t>.</w:t>
      </w:r>
    </w:p>
    <w:p w14:paraId="3DC3A80B" w14:textId="77777777" w:rsidR="002653E8" w:rsidRDefault="003115E3">
      <w:pPr>
        <w:spacing w:before="33" w:line="280" w:lineRule="auto"/>
        <w:ind w:left="1347"/>
        <w:rPr>
          <w:sz w:val="16"/>
        </w:rPr>
      </w:pPr>
      <w:r>
        <w:rPr>
          <w:i/>
          <w:color w:val="231F20"/>
          <w:sz w:val="16"/>
        </w:rPr>
        <w:t xml:space="preserve">See </w:t>
      </w:r>
      <w:r>
        <w:rPr>
          <w:color w:val="231F20"/>
          <w:sz w:val="16"/>
        </w:rPr>
        <w:t>PLO (Palestine Liberation Organization)</w:t>
      </w:r>
    </w:p>
    <w:p w14:paraId="1612788D" w14:textId="77777777" w:rsidR="002653E8" w:rsidRPr="00846956" w:rsidRDefault="003115E3">
      <w:pPr>
        <w:spacing w:before="1"/>
        <w:ind w:left="1147"/>
        <w:rPr>
          <w:sz w:val="16"/>
          <w:lang w:val="de-DE"/>
        </w:rPr>
      </w:pPr>
      <w:r w:rsidRPr="00846956">
        <w:rPr>
          <w:color w:val="231F20"/>
          <w:w w:val="105"/>
          <w:sz w:val="16"/>
          <w:lang w:val="de-DE"/>
        </w:rPr>
        <w:t>Palme, Olaf 427</w:t>
      </w:r>
    </w:p>
    <w:p w14:paraId="5DA788CC" w14:textId="77777777" w:rsidR="002653E8" w:rsidRPr="00846956" w:rsidRDefault="003115E3">
      <w:pPr>
        <w:spacing w:before="32" w:line="280" w:lineRule="auto"/>
        <w:ind w:left="1347" w:right="196" w:hanging="200"/>
        <w:jc w:val="both"/>
        <w:rPr>
          <w:sz w:val="16"/>
          <w:lang w:val="de-DE"/>
        </w:rPr>
      </w:pPr>
      <w:r w:rsidRPr="00846956">
        <w:rPr>
          <w:color w:val="231F20"/>
          <w:sz w:val="16"/>
          <w:lang w:val="de-DE"/>
        </w:rPr>
        <w:t>Partei des Demokratischen Sozialismus</w:t>
      </w:r>
      <w:r w:rsidRPr="00846956">
        <w:rPr>
          <w:i/>
          <w:color w:val="231F20"/>
          <w:sz w:val="16"/>
          <w:lang w:val="de-DE"/>
        </w:rPr>
        <w:t xml:space="preserve">. See </w:t>
      </w:r>
      <w:r w:rsidRPr="00846956">
        <w:rPr>
          <w:color w:val="231F20"/>
          <w:sz w:val="16"/>
          <w:lang w:val="de-DE"/>
        </w:rPr>
        <w:t>PDS (Partei des Demokratischen Sozialismus)</w:t>
      </w:r>
    </w:p>
    <w:p w14:paraId="7F37D033" w14:textId="77777777" w:rsidR="002653E8" w:rsidRPr="00846956" w:rsidRDefault="003115E3">
      <w:pPr>
        <w:spacing w:before="2"/>
        <w:ind w:left="1147"/>
        <w:rPr>
          <w:sz w:val="16"/>
          <w:lang w:val="de-DE"/>
        </w:rPr>
      </w:pPr>
      <w:r w:rsidRPr="00846956">
        <w:rPr>
          <w:color w:val="231F20"/>
          <w:sz w:val="16"/>
          <w:lang w:val="de-DE"/>
        </w:rPr>
        <w:t>Patakos, Stylianos   179</w:t>
      </w:r>
    </w:p>
    <w:p w14:paraId="1B3B296B" w14:textId="77777777" w:rsidR="002653E8" w:rsidRPr="00846956" w:rsidRDefault="003115E3">
      <w:pPr>
        <w:spacing w:before="32"/>
        <w:ind w:left="1147"/>
        <w:rPr>
          <w:sz w:val="16"/>
          <w:lang w:val="de-DE"/>
        </w:rPr>
      </w:pPr>
      <w:r w:rsidRPr="00846956">
        <w:rPr>
          <w:color w:val="231F20"/>
          <w:sz w:val="16"/>
          <w:lang w:val="de-DE"/>
        </w:rPr>
        <w:t>Paule, Diane   197–198</w:t>
      </w:r>
    </w:p>
    <w:p w14:paraId="47B0AF22" w14:textId="77777777" w:rsidR="002653E8" w:rsidRDefault="003115E3">
      <w:pPr>
        <w:spacing w:before="33"/>
        <w:ind w:left="1147"/>
        <w:rPr>
          <w:i/>
          <w:sz w:val="16"/>
        </w:rPr>
      </w:pPr>
      <w:r>
        <w:rPr>
          <w:color w:val="231F20"/>
          <w:w w:val="110"/>
          <w:sz w:val="16"/>
        </w:rPr>
        <w:t>Payot, Denis 478</w:t>
      </w:r>
      <w:r>
        <w:rPr>
          <w:i/>
          <w:color w:val="231F20"/>
          <w:w w:val="110"/>
          <w:sz w:val="16"/>
        </w:rPr>
        <w:t xml:space="preserve">, </w:t>
      </w:r>
      <w:r>
        <w:rPr>
          <w:color w:val="231F20"/>
          <w:w w:val="110"/>
          <w:sz w:val="16"/>
        </w:rPr>
        <w:t>479</w:t>
      </w:r>
      <w:r>
        <w:rPr>
          <w:i/>
          <w:color w:val="231F20"/>
          <w:w w:val="110"/>
          <w:sz w:val="16"/>
        </w:rPr>
        <w:t xml:space="preserve">, </w:t>
      </w:r>
      <w:r>
        <w:rPr>
          <w:color w:val="231F20"/>
          <w:w w:val="110"/>
          <w:sz w:val="16"/>
        </w:rPr>
        <w:t>483</w:t>
      </w:r>
      <w:r>
        <w:rPr>
          <w:i/>
          <w:color w:val="231F20"/>
          <w:w w:val="110"/>
          <w:sz w:val="16"/>
        </w:rPr>
        <w:t xml:space="preserve">, </w:t>
      </w:r>
      <w:r>
        <w:rPr>
          <w:color w:val="231F20"/>
          <w:w w:val="110"/>
          <w:sz w:val="16"/>
        </w:rPr>
        <w:t>484</w:t>
      </w:r>
      <w:r>
        <w:rPr>
          <w:i/>
          <w:color w:val="231F20"/>
          <w:w w:val="110"/>
          <w:sz w:val="16"/>
        </w:rPr>
        <w:t xml:space="preserve">, </w:t>
      </w:r>
      <w:r>
        <w:rPr>
          <w:color w:val="231F20"/>
          <w:w w:val="110"/>
          <w:sz w:val="16"/>
        </w:rPr>
        <w:t>572</w:t>
      </w:r>
      <w:r>
        <w:rPr>
          <w:i/>
          <w:color w:val="231F20"/>
          <w:w w:val="110"/>
          <w:sz w:val="16"/>
        </w:rPr>
        <w:t>,</w:t>
      </w:r>
    </w:p>
    <w:p w14:paraId="603B8D35" w14:textId="77777777" w:rsidR="002653E8" w:rsidRDefault="003115E3">
      <w:pPr>
        <w:spacing w:before="32"/>
        <w:ind w:left="1347"/>
        <w:rPr>
          <w:i/>
          <w:sz w:val="16"/>
        </w:rPr>
      </w:pPr>
      <w:r>
        <w:rPr>
          <w:color w:val="231F20"/>
          <w:w w:val="105"/>
          <w:sz w:val="16"/>
        </w:rPr>
        <w:t xml:space="preserve">607; mentioned by </w:t>
      </w:r>
      <w:r w:rsidR="00C507A5">
        <w:rPr>
          <w:color w:val="231F20"/>
          <w:w w:val="105"/>
          <w:sz w:val="16"/>
        </w:rPr>
        <w:t>red army faction</w:t>
      </w:r>
      <w:r>
        <w:rPr>
          <w:color w:val="231F20"/>
          <w:w w:val="105"/>
          <w:sz w:val="16"/>
        </w:rPr>
        <w:t xml:space="preserve"> 498</w:t>
      </w:r>
      <w:r>
        <w:rPr>
          <w:i/>
          <w:color w:val="231F20"/>
          <w:w w:val="105"/>
          <w:sz w:val="16"/>
        </w:rPr>
        <w:t xml:space="preserve">, </w:t>
      </w:r>
      <w:r>
        <w:rPr>
          <w:color w:val="231F20"/>
          <w:w w:val="105"/>
          <w:sz w:val="16"/>
        </w:rPr>
        <w:t>500</w:t>
      </w:r>
      <w:r>
        <w:rPr>
          <w:i/>
          <w:color w:val="231F20"/>
          <w:w w:val="105"/>
          <w:sz w:val="16"/>
        </w:rPr>
        <w:t>,</w:t>
      </w:r>
    </w:p>
    <w:p w14:paraId="67A50CA2" w14:textId="77777777" w:rsidR="002653E8" w:rsidRPr="00846956" w:rsidRDefault="003115E3">
      <w:pPr>
        <w:spacing w:before="32"/>
        <w:ind w:left="1347"/>
        <w:rPr>
          <w:sz w:val="16"/>
          <w:lang w:val="de-DE"/>
        </w:rPr>
      </w:pPr>
      <w:r w:rsidRPr="00846956">
        <w:rPr>
          <w:color w:val="231F20"/>
          <w:w w:val="105"/>
          <w:sz w:val="16"/>
          <w:lang w:val="de-DE"/>
        </w:rPr>
        <w:t>501</w:t>
      </w:r>
      <w:r w:rsidRPr="00846956">
        <w:rPr>
          <w:i/>
          <w:color w:val="231F20"/>
          <w:w w:val="105"/>
          <w:sz w:val="16"/>
          <w:lang w:val="de-DE"/>
        </w:rPr>
        <w:t xml:space="preserve">, </w:t>
      </w:r>
      <w:r w:rsidRPr="00846956">
        <w:rPr>
          <w:color w:val="231F20"/>
          <w:w w:val="105"/>
          <w:sz w:val="16"/>
          <w:lang w:val="de-DE"/>
        </w:rPr>
        <w:t>502</w:t>
      </w:r>
    </w:p>
    <w:p w14:paraId="41E28FA6" w14:textId="77777777" w:rsidR="002653E8" w:rsidRPr="00846956" w:rsidRDefault="003115E3">
      <w:pPr>
        <w:spacing w:before="33" w:line="280" w:lineRule="auto"/>
        <w:ind w:left="1347" w:hanging="200"/>
        <w:rPr>
          <w:sz w:val="16"/>
          <w:lang w:val="de-DE"/>
        </w:rPr>
      </w:pPr>
      <w:r w:rsidRPr="00846956">
        <w:rPr>
          <w:color w:val="231F20"/>
          <w:sz w:val="16"/>
          <w:lang w:val="de-DE"/>
        </w:rPr>
        <w:t>PDS (Partei des Demokratischen Sozialismus) 145</w:t>
      </w:r>
      <w:r w:rsidRPr="00846956">
        <w:rPr>
          <w:i/>
          <w:color w:val="231F20"/>
          <w:sz w:val="16"/>
          <w:lang w:val="de-DE"/>
        </w:rPr>
        <w:t xml:space="preserve">, </w:t>
      </w:r>
      <w:r w:rsidRPr="00846956">
        <w:rPr>
          <w:color w:val="231F20"/>
          <w:sz w:val="16"/>
          <w:lang w:val="de-DE"/>
        </w:rPr>
        <w:t>246</w:t>
      </w:r>
    </w:p>
    <w:p w14:paraId="2BADA341" w14:textId="77777777" w:rsidR="002653E8" w:rsidRDefault="003115E3">
      <w:pPr>
        <w:spacing w:before="1"/>
        <w:ind w:left="1147"/>
        <w:rPr>
          <w:sz w:val="16"/>
        </w:rPr>
      </w:pPr>
      <w:r>
        <w:rPr>
          <w:color w:val="231F20"/>
          <w:sz w:val="16"/>
        </w:rPr>
        <w:t>peace movement 450</w:t>
      </w:r>
      <w:r>
        <w:rPr>
          <w:i/>
          <w:color w:val="231F20"/>
          <w:sz w:val="16"/>
        </w:rPr>
        <w:t xml:space="preserve">, </w:t>
      </w:r>
      <w:r>
        <w:rPr>
          <w:color w:val="231F20"/>
          <w:sz w:val="16"/>
        </w:rPr>
        <w:t>614</w:t>
      </w:r>
    </w:p>
    <w:p w14:paraId="3F5CC72F" w14:textId="77777777" w:rsidR="002653E8" w:rsidRDefault="003115E3">
      <w:pPr>
        <w:spacing w:before="32"/>
        <w:ind w:left="1147"/>
        <w:rPr>
          <w:sz w:val="16"/>
        </w:rPr>
      </w:pPr>
      <w:r>
        <w:rPr>
          <w:color w:val="231F20"/>
          <w:sz w:val="16"/>
        </w:rPr>
        <w:t>Pearson, Williard 164</w:t>
      </w:r>
    </w:p>
    <w:p w14:paraId="6552365B" w14:textId="77777777" w:rsidR="002653E8" w:rsidRDefault="003115E3">
      <w:pPr>
        <w:spacing w:before="33"/>
        <w:ind w:left="1147"/>
        <w:rPr>
          <w:sz w:val="16"/>
        </w:rPr>
      </w:pPr>
      <w:r>
        <w:rPr>
          <w:color w:val="231F20"/>
          <w:sz w:val="16"/>
        </w:rPr>
        <w:t>Peck, Charles 165</w:t>
      </w:r>
    </w:p>
    <w:p w14:paraId="1DFC2A8F" w14:textId="77777777" w:rsidR="002653E8" w:rsidRDefault="003115E3">
      <w:pPr>
        <w:spacing w:before="32"/>
        <w:ind w:left="1147"/>
        <w:rPr>
          <w:sz w:val="16"/>
        </w:rPr>
      </w:pPr>
      <w:r>
        <w:rPr>
          <w:color w:val="231F20"/>
          <w:sz w:val="16"/>
        </w:rPr>
        <w:t>Peck, Winslow 601</w:t>
      </w:r>
    </w:p>
    <w:p w14:paraId="6DF98032" w14:textId="77777777" w:rsidR="002653E8" w:rsidRDefault="003115E3">
      <w:pPr>
        <w:spacing w:before="33"/>
        <w:ind w:left="1147"/>
        <w:rPr>
          <w:sz w:val="16"/>
        </w:rPr>
      </w:pPr>
      <w:r>
        <w:rPr>
          <w:color w:val="231F20"/>
          <w:sz w:val="16"/>
        </w:rPr>
        <w:t>Peiffer, Jürgen 384</w:t>
      </w:r>
    </w:p>
    <w:p w14:paraId="17B7EC9C" w14:textId="77777777" w:rsidR="002653E8" w:rsidRDefault="003115E3">
      <w:pPr>
        <w:spacing w:before="32"/>
        <w:ind w:left="1147"/>
        <w:rPr>
          <w:sz w:val="16"/>
        </w:rPr>
      </w:pPr>
      <w:r>
        <w:rPr>
          <w:color w:val="231F20"/>
          <w:w w:val="110"/>
          <w:sz w:val="16"/>
        </w:rPr>
        <w:t>PEN Club 265</w:t>
      </w:r>
      <w:r>
        <w:rPr>
          <w:i/>
          <w:color w:val="231F20"/>
          <w:w w:val="110"/>
          <w:sz w:val="16"/>
        </w:rPr>
        <w:t xml:space="preserve">, </w:t>
      </w:r>
      <w:r>
        <w:rPr>
          <w:color w:val="231F20"/>
          <w:w w:val="110"/>
          <w:sz w:val="16"/>
        </w:rPr>
        <w:t>277</w:t>
      </w:r>
    </w:p>
    <w:p w14:paraId="05FCECA0" w14:textId="77777777" w:rsidR="002653E8" w:rsidRDefault="003115E3">
      <w:pPr>
        <w:spacing w:before="32" w:line="280" w:lineRule="auto"/>
        <w:ind w:left="1347" w:hanging="200"/>
        <w:rPr>
          <w:sz w:val="16"/>
        </w:rPr>
      </w:pPr>
      <w:r>
        <w:rPr>
          <w:color w:val="231F20"/>
          <w:sz w:val="16"/>
        </w:rPr>
        <w:t>People’s Democratic Republic of yemen 329</w:t>
      </w:r>
      <w:r>
        <w:rPr>
          <w:i/>
          <w:color w:val="231F20"/>
          <w:sz w:val="16"/>
        </w:rPr>
        <w:t xml:space="preserve">, </w:t>
      </w:r>
      <w:r>
        <w:rPr>
          <w:color w:val="231F20"/>
          <w:sz w:val="16"/>
        </w:rPr>
        <w:t>330</w:t>
      </w:r>
      <w:r>
        <w:rPr>
          <w:i/>
          <w:color w:val="231F20"/>
          <w:sz w:val="16"/>
        </w:rPr>
        <w:t xml:space="preserve">, </w:t>
      </w:r>
      <w:r>
        <w:rPr>
          <w:color w:val="231F20"/>
          <w:sz w:val="16"/>
        </w:rPr>
        <w:t>481; and Lorenz kidnapping</w:t>
      </w:r>
    </w:p>
    <w:p w14:paraId="530E6255" w14:textId="77777777" w:rsidR="002653E8" w:rsidRDefault="003115E3">
      <w:pPr>
        <w:spacing w:before="2"/>
        <w:ind w:left="1347"/>
        <w:rPr>
          <w:sz w:val="16"/>
        </w:rPr>
      </w:pPr>
      <w:r>
        <w:rPr>
          <w:color w:val="231F20"/>
          <w:w w:val="105"/>
          <w:sz w:val="16"/>
        </w:rPr>
        <w:t>329–330</w:t>
      </w:r>
      <w:r>
        <w:rPr>
          <w:i/>
          <w:color w:val="231F20"/>
          <w:w w:val="105"/>
          <w:sz w:val="16"/>
        </w:rPr>
        <w:t>,</w:t>
      </w:r>
      <w:r>
        <w:rPr>
          <w:i/>
          <w:color w:val="231F20"/>
          <w:spacing w:val="-13"/>
          <w:w w:val="105"/>
          <w:sz w:val="16"/>
        </w:rPr>
        <w:t xml:space="preserve"> </w:t>
      </w:r>
      <w:r>
        <w:rPr>
          <w:color w:val="231F20"/>
          <w:w w:val="105"/>
          <w:sz w:val="16"/>
        </w:rPr>
        <w:t>332</w:t>
      </w:r>
      <w:r>
        <w:rPr>
          <w:i/>
          <w:color w:val="231F20"/>
          <w:w w:val="105"/>
          <w:sz w:val="16"/>
        </w:rPr>
        <w:t>,</w:t>
      </w:r>
      <w:r>
        <w:rPr>
          <w:i/>
          <w:color w:val="231F20"/>
          <w:spacing w:val="-13"/>
          <w:w w:val="105"/>
          <w:sz w:val="16"/>
        </w:rPr>
        <w:t xml:space="preserve"> </w:t>
      </w:r>
      <w:r>
        <w:rPr>
          <w:color w:val="231F20"/>
          <w:w w:val="105"/>
          <w:sz w:val="16"/>
        </w:rPr>
        <w:t>596;</w:t>
      </w:r>
      <w:r>
        <w:rPr>
          <w:color w:val="231F20"/>
          <w:spacing w:val="-9"/>
          <w:w w:val="105"/>
          <w:sz w:val="16"/>
        </w:rPr>
        <w:t xml:space="preserve"> </w:t>
      </w:r>
      <w:r>
        <w:rPr>
          <w:color w:val="231F20"/>
          <w:w w:val="105"/>
          <w:sz w:val="16"/>
        </w:rPr>
        <w:t>and</w:t>
      </w:r>
      <w:r>
        <w:rPr>
          <w:color w:val="231F20"/>
          <w:spacing w:val="-9"/>
          <w:w w:val="105"/>
          <w:sz w:val="16"/>
        </w:rPr>
        <w:t xml:space="preserve"> </w:t>
      </w:r>
      <w:r>
        <w:rPr>
          <w:color w:val="231F20"/>
          <w:w w:val="105"/>
          <w:sz w:val="16"/>
        </w:rPr>
        <w:t>Lufthansa</w:t>
      </w:r>
      <w:r>
        <w:rPr>
          <w:color w:val="231F20"/>
          <w:spacing w:val="-9"/>
          <w:w w:val="105"/>
          <w:sz w:val="16"/>
        </w:rPr>
        <w:t xml:space="preserve"> </w:t>
      </w:r>
      <w:r>
        <w:rPr>
          <w:color w:val="231F20"/>
          <w:w w:val="105"/>
          <w:sz w:val="16"/>
        </w:rPr>
        <w:t>sky-</w:t>
      </w:r>
    </w:p>
    <w:p w14:paraId="69DF3729" w14:textId="77777777" w:rsidR="002653E8" w:rsidRDefault="003115E3">
      <w:pPr>
        <w:spacing w:before="32"/>
        <w:ind w:left="1347"/>
        <w:rPr>
          <w:sz w:val="16"/>
        </w:rPr>
      </w:pPr>
      <w:r>
        <w:rPr>
          <w:color w:val="231F20"/>
          <w:w w:val="105"/>
          <w:sz w:val="16"/>
        </w:rPr>
        <w:t>jacking 480</w:t>
      </w:r>
      <w:r>
        <w:rPr>
          <w:i/>
          <w:color w:val="231F20"/>
          <w:w w:val="105"/>
          <w:sz w:val="16"/>
        </w:rPr>
        <w:t xml:space="preserve">, </w:t>
      </w:r>
      <w:r>
        <w:rPr>
          <w:color w:val="231F20"/>
          <w:w w:val="105"/>
          <w:sz w:val="16"/>
        </w:rPr>
        <w:t>484</w:t>
      </w:r>
      <w:r>
        <w:rPr>
          <w:i/>
          <w:color w:val="231F20"/>
          <w:w w:val="105"/>
          <w:sz w:val="16"/>
        </w:rPr>
        <w:t xml:space="preserve">, </w:t>
      </w:r>
      <w:r>
        <w:rPr>
          <w:color w:val="231F20"/>
          <w:w w:val="105"/>
          <w:sz w:val="16"/>
        </w:rPr>
        <w:t>484–485</w:t>
      </w:r>
      <w:r>
        <w:rPr>
          <w:i/>
          <w:color w:val="231F20"/>
          <w:w w:val="105"/>
          <w:sz w:val="16"/>
        </w:rPr>
        <w:t xml:space="preserve">, </w:t>
      </w:r>
      <w:r>
        <w:rPr>
          <w:color w:val="231F20"/>
          <w:w w:val="105"/>
          <w:sz w:val="16"/>
        </w:rPr>
        <w:t>505; and</w:t>
      </w:r>
    </w:p>
    <w:p w14:paraId="33540965" w14:textId="77777777" w:rsidR="002653E8" w:rsidRDefault="003115E3">
      <w:pPr>
        <w:spacing w:before="32"/>
        <w:ind w:left="1347"/>
        <w:rPr>
          <w:sz w:val="16"/>
        </w:rPr>
      </w:pPr>
      <w:r>
        <w:rPr>
          <w:color w:val="231F20"/>
          <w:w w:val="105"/>
          <w:sz w:val="16"/>
        </w:rPr>
        <w:t>PFLP (EO) 438</w:t>
      </w:r>
      <w:r>
        <w:rPr>
          <w:i/>
          <w:color w:val="231F20"/>
          <w:w w:val="105"/>
          <w:sz w:val="16"/>
        </w:rPr>
        <w:t xml:space="preserve">, </w:t>
      </w:r>
      <w:r>
        <w:rPr>
          <w:color w:val="231F20"/>
          <w:w w:val="105"/>
          <w:sz w:val="16"/>
        </w:rPr>
        <w:t>482</w:t>
      </w:r>
      <w:r>
        <w:rPr>
          <w:i/>
          <w:color w:val="231F20"/>
          <w:w w:val="105"/>
          <w:sz w:val="16"/>
        </w:rPr>
        <w:t xml:space="preserve">, </w:t>
      </w:r>
      <w:r>
        <w:rPr>
          <w:color w:val="231F20"/>
          <w:w w:val="105"/>
          <w:sz w:val="16"/>
        </w:rPr>
        <w:t>560; rear base</w:t>
      </w:r>
    </w:p>
    <w:p w14:paraId="39F937F1" w14:textId="77777777" w:rsidR="002653E8" w:rsidRDefault="003115E3">
      <w:pPr>
        <w:spacing w:before="33"/>
        <w:ind w:left="1347"/>
        <w:rPr>
          <w:sz w:val="16"/>
        </w:rPr>
      </w:pPr>
      <w:r>
        <w:rPr>
          <w:color w:val="231F20"/>
          <w:w w:val="105"/>
          <w:sz w:val="16"/>
        </w:rPr>
        <w:t xml:space="preserve">area for </w:t>
      </w:r>
      <w:r w:rsidR="00C507A5">
        <w:rPr>
          <w:color w:val="231F20"/>
          <w:w w:val="105"/>
          <w:sz w:val="16"/>
        </w:rPr>
        <w:t>red army faction</w:t>
      </w:r>
      <w:r>
        <w:rPr>
          <w:color w:val="231F20"/>
          <w:w w:val="105"/>
          <w:sz w:val="16"/>
        </w:rPr>
        <w:t xml:space="preserve"> 57</w:t>
      </w:r>
      <w:r>
        <w:rPr>
          <w:i/>
          <w:color w:val="231F20"/>
          <w:w w:val="105"/>
          <w:sz w:val="16"/>
        </w:rPr>
        <w:t xml:space="preserve">, </w:t>
      </w:r>
      <w:r>
        <w:rPr>
          <w:color w:val="231F20"/>
          <w:w w:val="105"/>
          <w:sz w:val="16"/>
        </w:rPr>
        <w:t>482</w:t>
      </w:r>
      <w:r>
        <w:rPr>
          <w:i/>
          <w:color w:val="231F20"/>
          <w:w w:val="105"/>
          <w:sz w:val="16"/>
        </w:rPr>
        <w:t xml:space="preserve">, </w:t>
      </w:r>
      <w:r>
        <w:rPr>
          <w:color w:val="231F20"/>
          <w:w w:val="105"/>
          <w:sz w:val="16"/>
        </w:rPr>
        <w:t>527</w:t>
      </w:r>
      <w:r>
        <w:rPr>
          <w:i/>
          <w:color w:val="231F20"/>
          <w:w w:val="105"/>
          <w:sz w:val="16"/>
        </w:rPr>
        <w:t xml:space="preserve">, </w:t>
      </w:r>
      <w:r>
        <w:rPr>
          <w:color w:val="231F20"/>
          <w:w w:val="105"/>
          <w:sz w:val="16"/>
        </w:rPr>
        <w:t>612</w:t>
      </w:r>
    </w:p>
    <w:p w14:paraId="28E3E0A2" w14:textId="77777777" w:rsidR="002653E8" w:rsidRDefault="003115E3">
      <w:pPr>
        <w:spacing w:before="32"/>
        <w:ind w:left="1147"/>
        <w:rPr>
          <w:sz w:val="16"/>
        </w:rPr>
      </w:pPr>
      <w:r>
        <w:rPr>
          <w:color w:val="231F20"/>
          <w:sz w:val="16"/>
        </w:rPr>
        <w:t>Persia</w:t>
      </w:r>
      <w:r>
        <w:rPr>
          <w:i/>
          <w:color w:val="231F20"/>
          <w:sz w:val="16"/>
        </w:rPr>
        <w:t xml:space="preserve">. See </w:t>
      </w:r>
      <w:r>
        <w:rPr>
          <w:color w:val="231F20"/>
          <w:sz w:val="16"/>
        </w:rPr>
        <w:t>Iran</w:t>
      </w:r>
    </w:p>
    <w:p w14:paraId="492D76A6" w14:textId="77777777" w:rsidR="002653E8" w:rsidRDefault="003115E3">
      <w:pPr>
        <w:spacing w:before="33"/>
        <w:ind w:left="1147"/>
        <w:rPr>
          <w:sz w:val="16"/>
        </w:rPr>
      </w:pPr>
      <w:r>
        <w:rPr>
          <w:i/>
          <w:color w:val="231F20"/>
          <w:w w:val="105"/>
          <w:sz w:val="16"/>
        </w:rPr>
        <w:t xml:space="preserve">Pflasterstrand </w:t>
      </w:r>
      <w:r>
        <w:rPr>
          <w:color w:val="231F20"/>
          <w:w w:val="105"/>
          <w:sz w:val="16"/>
        </w:rPr>
        <w:t>435</w:t>
      </w:r>
      <w:r>
        <w:rPr>
          <w:i/>
          <w:color w:val="231F20"/>
          <w:w w:val="105"/>
          <w:sz w:val="16"/>
        </w:rPr>
        <w:t xml:space="preserve">, </w:t>
      </w:r>
      <w:r>
        <w:rPr>
          <w:color w:val="231F20"/>
          <w:w w:val="105"/>
          <w:sz w:val="16"/>
        </w:rPr>
        <w:t>443</w:t>
      </w:r>
      <w:r>
        <w:rPr>
          <w:i/>
          <w:color w:val="231F20"/>
          <w:w w:val="105"/>
          <w:sz w:val="16"/>
        </w:rPr>
        <w:t xml:space="preserve">, </w:t>
      </w:r>
      <w:r>
        <w:rPr>
          <w:color w:val="231F20"/>
          <w:w w:val="105"/>
          <w:sz w:val="16"/>
        </w:rPr>
        <w:t>456</w:t>
      </w:r>
    </w:p>
    <w:p w14:paraId="702DA94D" w14:textId="77777777" w:rsidR="002653E8" w:rsidRDefault="003115E3">
      <w:pPr>
        <w:spacing w:before="32" w:line="280" w:lineRule="auto"/>
        <w:ind w:left="1347" w:right="111" w:hanging="200"/>
        <w:rPr>
          <w:sz w:val="16"/>
        </w:rPr>
      </w:pPr>
      <w:r>
        <w:rPr>
          <w:color w:val="231F20"/>
          <w:sz w:val="16"/>
        </w:rPr>
        <w:t>PFLP (Popular Front for  the  Liberation of Palestine) 232; Dawson’s Field skyjackings (1970) 56</w:t>
      </w:r>
      <w:r>
        <w:rPr>
          <w:i/>
          <w:color w:val="231F20"/>
          <w:sz w:val="16"/>
        </w:rPr>
        <w:t xml:space="preserve">, </w:t>
      </w:r>
      <w:r>
        <w:rPr>
          <w:color w:val="231F20"/>
          <w:sz w:val="16"/>
        </w:rPr>
        <w:t>559–560</w:t>
      </w:r>
      <w:r>
        <w:rPr>
          <w:i/>
          <w:color w:val="231F20"/>
          <w:sz w:val="16"/>
        </w:rPr>
        <w:t>,</w:t>
      </w:r>
      <w:r>
        <w:rPr>
          <w:i/>
          <w:color w:val="231F20"/>
          <w:spacing w:val="-19"/>
          <w:sz w:val="16"/>
        </w:rPr>
        <w:t xml:space="preserve"> </w:t>
      </w:r>
      <w:r>
        <w:rPr>
          <w:color w:val="231F20"/>
          <w:sz w:val="16"/>
        </w:rPr>
        <w:t>584;</w:t>
      </w:r>
    </w:p>
    <w:p w14:paraId="22C4D780" w14:textId="77777777" w:rsidR="002653E8" w:rsidRDefault="003115E3">
      <w:pPr>
        <w:spacing w:before="2"/>
        <w:ind w:left="1347"/>
        <w:rPr>
          <w:sz w:val="16"/>
        </w:rPr>
      </w:pPr>
      <w:r>
        <w:rPr>
          <w:color w:val="231F20"/>
          <w:w w:val="105"/>
          <w:sz w:val="16"/>
        </w:rPr>
        <w:t>and PFLP (EO) 559</w:t>
      </w:r>
      <w:r>
        <w:rPr>
          <w:i/>
          <w:color w:val="231F20"/>
          <w:w w:val="105"/>
          <w:sz w:val="16"/>
        </w:rPr>
        <w:t xml:space="preserve">, </w:t>
      </w:r>
      <w:r>
        <w:rPr>
          <w:color w:val="231F20"/>
          <w:w w:val="105"/>
          <w:sz w:val="16"/>
        </w:rPr>
        <w:t>560</w:t>
      </w:r>
      <w:r>
        <w:rPr>
          <w:i/>
          <w:color w:val="231F20"/>
          <w:w w:val="105"/>
          <w:sz w:val="16"/>
        </w:rPr>
        <w:t xml:space="preserve">, </w:t>
      </w:r>
      <w:r>
        <w:rPr>
          <w:color w:val="231F20"/>
          <w:w w:val="105"/>
          <w:sz w:val="16"/>
        </w:rPr>
        <w:t>561; and</w:t>
      </w:r>
    </w:p>
    <w:p w14:paraId="748C0BF5" w14:textId="77777777" w:rsidR="002653E8" w:rsidRDefault="00C507A5">
      <w:pPr>
        <w:spacing w:before="32"/>
        <w:ind w:left="1347"/>
        <w:rPr>
          <w:sz w:val="16"/>
        </w:rPr>
      </w:pPr>
      <w:r>
        <w:rPr>
          <w:color w:val="231F20"/>
          <w:w w:val="110"/>
          <w:sz w:val="16"/>
        </w:rPr>
        <w:t>red army faction</w:t>
      </w:r>
      <w:r w:rsidR="003115E3">
        <w:rPr>
          <w:color w:val="231F20"/>
          <w:w w:val="110"/>
          <w:sz w:val="16"/>
        </w:rPr>
        <w:t xml:space="preserve"> 482</w:t>
      </w:r>
    </w:p>
    <w:p w14:paraId="3BB3BAA1" w14:textId="77777777" w:rsidR="002653E8" w:rsidRDefault="003115E3">
      <w:pPr>
        <w:spacing w:before="33" w:line="280" w:lineRule="auto"/>
        <w:ind w:left="1347" w:hanging="200"/>
        <w:rPr>
          <w:i/>
          <w:sz w:val="16"/>
        </w:rPr>
      </w:pPr>
      <w:r>
        <w:rPr>
          <w:color w:val="231F20"/>
          <w:sz w:val="16"/>
        </w:rPr>
        <w:t>PFLP (EO) [Popular Front for the Liberation of Palestine (External Operations)] 559–561</w:t>
      </w:r>
      <w:r>
        <w:rPr>
          <w:i/>
          <w:color w:val="231F20"/>
          <w:sz w:val="16"/>
        </w:rPr>
        <w:t xml:space="preserve">. See </w:t>
      </w:r>
      <w:r>
        <w:rPr>
          <w:color w:val="231F20"/>
          <w:sz w:val="16"/>
        </w:rPr>
        <w:t>PFLP (Popular Front for the Liberation of Palestine); Air France skyjacking (1976, Entebbe) 439–440; and Carlos 438–439; Lufthansa skyjacking (1977, Mogadishu) 481–485</w:t>
      </w:r>
      <w:r>
        <w:rPr>
          <w:i/>
          <w:color w:val="231F20"/>
          <w:sz w:val="16"/>
        </w:rPr>
        <w:t>,</w:t>
      </w:r>
    </w:p>
    <w:p w14:paraId="790B7971" w14:textId="77777777" w:rsidR="002653E8" w:rsidRDefault="003115E3">
      <w:pPr>
        <w:spacing w:before="3"/>
        <w:ind w:left="1347"/>
        <w:rPr>
          <w:sz w:val="16"/>
        </w:rPr>
      </w:pPr>
      <w:r>
        <w:rPr>
          <w:color w:val="231F20"/>
          <w:w w:val="105"/>
          <w:sz w:val="16"/>
        </w:rPr>
        <w:t>502</w:t>
      </w:r>
      <w:r>
        <w:rPr>
          <w:i/>
          <w:color w:val="231F20"/>
          <w:w w:val="105"/>
          <w:sz w:val="16"/>
        </w:rPr>
        <w:t xml:space="preserve">, </w:t>
      </w:r>
      <w:r>
        <w:rPr>
          <w:color w:val="231F20"/>
          <w:w w:val="105"/>
          <w:sz w:val="16"/>
        </w:rPr>
        <w:t>503–504</w:t>
      </w:r>
      <w:r>
        <w:rPr>
          <w:i/>
          <w:color w:val="231F20"/>
          <w:w w:val="105"/>
          <w:sz w:val="16"/>
        </w:rPr>
        <w:t xml:space="preserve">, </w:t>
      </w:r>
      <w:r>
        <w:rPr>
          <w:color w:val="231F20"/>
          <w:w w:val="105"/>
          <w:sz w:val="16"/>
        </w:rPr>
        <w:t>505–506</w:t>
      </w:r>
      <w:r>
        <w:rPr>
          <w:i/>
          <w:color w:val="231F20"/>
          <w:w w:val="105"/>
          <w:sz w:val="16"/>
        </w:rPr>
        <w:t xml:space="preserve">, </w:t>
      </w:r>
      <w:r>
        <w:rPr>
          <w:color w:val="231F20"/>
          <w:w w:val="105"/>
          <w:sz w:val="16"/>
        </w:rPr>
        <w:t>608</w:t>
      </w:r>
      <w:r>
        <w:rPr>
          <w:i/>
          <w:color w:val="231F20"/>
          <w:w w:val="105"/>
          <w:sz w:val="16"/>
        </w:rPr>
        <w:t xml:space="preserve">, </w:t>
      </w:r>
      <w:r>
        <w:rPr>
          <w:color w:val="231F20"/>
          <w:w w:val="105"/>
          <w:sz w:val="16"/>
        </w:rPr>
        <w:t>625;</w:t>
      </w:r>
    </w:p>
    <w:p w14:paraId="483EE4C7" w14:textId="77777777" w:rsidR="002653E8" w:rsidRDefault="003115E3">
      <w:pPr>
        <w:spacing w:before="33"/>
        <w:ind w:left="1347"/>
        <w:rPr>
          <w:sz w:val="16"/>
        </w:rPr>
      </w:pPr>
      <w:r>
        <w:rPr>
          <w:color w:val="231F20"/>
          <w:sz w:val="16"/>
        </w:rPr>
        <w:t>OPEC raid (1975)   438–439; origin  in</w:t>
      </w:r>
    </w:p>
    <w:p w14:paraId="2FDB8288" w14:textId="77777777" w:rsidR="002653E8" w:rsidRDefault="003115E3">
      <w:pPr>
        <w:spacing w:before="32"/>
        <w:ind w:left="1347"/>
        <w:rPr>
          <w:sz w:val="16"/>
        </w:rPr>
      </w:pPr>
      <w:r>
        <w:rPr>
          <w:color w:val="231F20"/>
          <w:w w:val="105"/>
          <w:sz w:val="16"/>
        </w:rPr>
        <w:t>PFLP 559–560</w:t>
      </w:r>
      <w:r>
        <w:rPr>
          <w:i/>
          <w:color w:val="231F20"/>
          <w:w w:val="105"/>
          <w:sz w:val="16"/>
        </w:rPr>
        <w:t xml:space="preserve">, </w:t>
      </w:r>
      <w:r>
        <w:rPr>
          <w:color w:val="231F20"/>
          <w:w w:val="105"/>
          <w:sz w:val="16"/>
        </w:rPr>
        <w:t>585; and Revolution-</w:t>
      </w:r>
    </w:p>
    <w:p w14:paraId="132B65E3" w14:textId="77777777" w:rsidR="002653E8" w:rsidRDefault="003115E3">
      <w:pPr>
        <w:spacing w:before="33"/>
        <w:ind w:left="1347"/>
        <w:rPr>
          <w:sz w:val="16"/>
        </w:rPr>
      </w:pPr>
      <w:r>
        <w:rPr>
          <w:color w:val="231F20"/>
          <w:sz w:val="16"/>
        </w:rPr>
        <w:t>ary Cells 438–440</w:t>
      </w:r>
      <w:r>
        <w:rPr>
          <w:i/>
          <w:color w:val="231F20"/>
          <w:sz w:val="16"/>
        </w:rPr>
        <w:t xml:space="preserve">, </w:t>
      </w:r>
      <w:r>
        <w:rPr>
          <w:color w:val="231F20"/>
          <w:sz w:val="16"/>
        </w:rPr>
        <w:t>561</w:t>
      </w:r>
    </w:p>
    <w:p w14:paraId="02F07E13" w14:textId="77777777" w:rsidR="002653E8" w:rsidRDefault="003115E3">
      <w:pPr>
        <w:spacing w:before="32"/>
        <w:ind w:left="1147"/>
        <w:rPr>
          <w:sz w:val="16"/>
        </w:rPr>
      </w:pPr>
      <w:r>
        <w:rPr>
          <w:color w:val="231F20"/>
          <w:sz w:val="16"/>
        </w:rPr>
        <w:t>Pieler, Roland 573</w:t>
      </w:r>
    </w:p>
    <w:p w14:paraId="5F2152C0" w14:textId="77777777" w:rsidR="002653E8" w:rsidRDefault="003115E3">
      <w:pPr>
        <w:spacing w:before="32"/>
        <w:ind w:left="1147"/>
        <w:rPr>
          <w:sz w:val="16"/>
        </w:rPr>
      </w:pPr>
      <w:r>
        <w:rPr>
          <w:color w:val="231F20"/>
          <w:sz w:val="16"/>
        </w:rPr>
        <w:t>Pimental, Edward 617–618</w:t>
      </w:r>
    </w:p>
    <w:p w14:paraId="1C708445" w14:textId="77777777" w:rsidR="002653E8" w:rsidRDefault="003115E3">
      <w:pPr>
        <w:spacing w:before="86" w:line="280" w:lineRule="auto"/>
        <w:ind w:left="254" w:right="1439"/>
        <w:rPr>
          <w:sz w:val="16"/>
        </w:rPr>
      </w:pPr>
      <w:r>
        <w:br w:type="column"/>
      </w:r>
      <w:r>
        <w:rPr>
          <w:color w:val="231F20"/>
          <w:w w:val="105"/>
          <w:sz w:val="16"/>
        </w:rPr>
        <w:t>Plambeck, Juliane 527</w:t>
      </w:r>
      <w:r>
        <w:rPr>
          <w:i/>
          <w:color w:val="231F20"/>
          <w:w w:val="105"/>
          <w:sz w:val="16"/>
        </w:rPr>
        <w:t xml:space="preserve">, </w:t>
      </w:r>
      <w:r>
        <w:rPr>
          <w:color w:val="231F20"/>
          <w:w w:val="105"/>
          <w:sz w:val="16"/>
        </w:rPr>
        <w:t>573</w:t>
      </w:r>
      <w:r>
        <w:rPr>
          <w:i/>
          <w:color w:val="231F20"/>
          <w:w w:val="105"/>
          <w:sz w:val="16"/>
        </w:rPr>
        <w:t xml:space="preserve">, </w:t>
      </w:r>
      <w:r>
        <w:rPr>
          <w:color w:val="231F20"/>
          <w:w w:val="105"/>
          <w:sz w:val="16"/>
        </w:rPr>
        <w:t>602</w:t>
      </w:r>
      <w:r>
        <w:rPr>
          <w:i/>
          <w:color w:val="231F20"/>
          <w:w w:val="105"/>
          <w:sz w:val="16"/>
        </w:rPr>
        <w:t xml:space="preserve">, </w:t>
      </w:r>
      <w:r>
        <w:rPr>
          <w:color w:val="231F20"/>
          <w:w w:val="105"/>
          <w:sz w:val="16"/>
        </w:rPr>
        <w:t xml:space="preserve">613 </w:t>
      </w:r>
      <w:r>
        <w:rPr>
          <w:color w:val="231F20"/>
          <w:sz w:val="16"/>
        </w:rPr>
        <w:t>PLO (Palestine Liberation Organization)</w:t>
      </w:r>
    </w:p>
    <w:p w14:paraId="238F007E" w14:textId="77777777" w:rsidR="002653E8" w:rsidRDefault="003115E3">
      <w:pPr>
        <w:spacing w:before="1" w:line="280" w:lineRule="auto"/>
        <w:ind w:left="454" w:right="1356"/>
        <w:jc w:val="both"/>
        <w:rPr>
          <w:sz w:val="16"/>
        </w:rPr>
      </w:pPr>
      <w:r>
        <w:rPr>
          <w:color w:val="231F20"/>
          <w:sz w:val="16"/>
        </w:rPr>
        <w:t>192</w:t>
      </w:r>
      <w:r>
        <w:rPr>
          <w:i/>
          <w:color w:val="231F20"/>
          <w:sz w:val="16"/>
        </w:rPr>
        <w:t xml:space="preserve">, </w:t>
      </w:r>
      <w:r>
        <w:rPr>
          <w:color w:val="231F20"/>
          <w:sz w:val="16"/>
        </w:rPr>
        <w:t>439</w:t>
      </w:r>
      <w:r>
        <w:rPr>
          <w:i/>
          <w:color w:val="231F20"/>
          <w:sz w:val="16"/>
        </w:rPr>
        <w:t xml:space="preserve">, </w:t>
      </w:r>
      <w:r>
        <w:rPr>
          <w:color w:val="231F20"/>
          <w:sz w:val="16"/>
        </w:rPr>
        <w:t>583</w:t>
      </w:r>
      <w:r>
        <w:rPr>
          <w:i/>
          <w:color w:val="231F20"/>
          <w:sz w:val="16"/>
        </w:rPr>
        <w:t xml:space="preserve">, </w:t>
      </w:r>
      <w:r>
        <w:rPr>
          <w:color w:val="231F20"/>
          <w:sz w:val="16"/>
        </w:rPr>
        <w:t>584</w:t>
      </w:r>
      <w:r>
        <w:rPr>
          <w:i/>
          <w:color w:val="231F20"/>
          <w:sz w:val="16"/>
        </w:rPr>
        <w:t xml:space="preserve">. See also </w:t>
      </w:r>
      <w:r>
        <w:rPr>
          <w:color w:val="231F20"/>
          <w:sz w:val="16"/>
        </w:rPr>
        <w:t>Fatah</w:t>
      </w:r>
      <w:r>
        <w:rPr>
          <w:i/>
          <w:color w:val="231F20"/>
          <w:sz w:val="16"/>
        </w:rPr>
        <w:t xml:space="preserve">; See also </w:t>
      </w:r>
      <w:r>
        <w:rPr>
          <w:color w:val="231F20"/>
          <w:sz w:val="16"/>
        </w:rPr>
        <w:t>Black September (organization); in Jordan (1967-70) 56</w:t>
      </w:r>
      <w:r>
        <w:rPr>
          <w:i/>
          <w:color w:val="231F20"/>
          <w:sz w:val="16"/>
        </w:rPr>
        <w:t xml:space="preserve">, </w:t>
      </w:r>
      <w:r>
        <w:rPr>
          <w:color w:val="231F20"/>
          <w:sz w:val="16"/>
        </w:rPr>
        <w:t>56–57</w:t>
      </w:r>
    </w:p>
    <w:p w14:paraId="4012A8CE" w14:textId="77777777" w:rsidR="002653E8" w:rsidRPr="00846956" w:rsidRDefault="003115E3">
      <w:pPr>
        <w:spacing w:before="2"/>
        <w:ind w:left="254"/>
        <w:rPr>
          <w:sz w:val="16"/>
          <w:lang w:val="de-DE"/>
        </w:rPr>
      </w:pPr>
      <w:r w:rsidRPr="00846956">
        <w:rPr>
          <w:color w:val="231F20"/>
          <w:sz w:val="16"/>
          <w:lang w:val="de-DE"/>
        </w:rPr>
        <w:t>Plottnitz, Rupert von 598</w:t>
      </w:r>
    </w:p>
    <w:p w14:paraId="26E2C82B" w14:textId="77777777" w:rsidR="002653E8" w:rsidRPr="00846956" w:rsidRDefault="003115E3">
      <w:pPr>
        <w:spacing w:before="32"/>
        <w:ind w:left="254"/>
        <w:rPr>
          <w:sz w:val="16"/>
          <w:lang w:val="de-DE"/>
        </w:rPr>
      </w:pPr>
      <w:r w:rsidRPr="00846956">
        <w:rPr>
          <w:color w:val="231F20"/>
          <w:w w:val="105"/>
          <w:sz w:val="16"/>
          <w:lang w:val="de-DE"/>
        </w:rPr>
        <w:t>Pohle, Rolf 573; in APO 38</w:t>
      </w:r>
      <w:r w:rsidRPr="00846956">
        <w:rPr>
          <w:i/>
          <w:color w:val="231F20"/>
          <w:w w:val="105"/>
          <w:sz w:val="16"/>
          <w:lang w:val="de-DE"/>
        </w:rPr>
        <w:t xml:space="preserve">, </w:t>
      </w:r>
      <w:r w:rsidRPr="00846956">
        <w:rPr>
          <w:color w:val="231F20"/>
          <w:w w:val="105"/>
          <w:sz w:val="16"/>
          <w:lang w:val="de-DE"/>
        </w:rPr>
        <w:t>111;</w:t>
      </w:r>
    </w:p>
    <w:p w14:paraId="6525F196" w14:textId="77777777" w:rsidR="002653E8" w:rsidRDefault="003115E3">
      <w:pPr>
        <w:spacing w:before="33"/>
        <w:ind w:left="454"/>
        <w:jc w:val="both"/>
        <w:rPr>
          <w:sz w:val="16"/>
        </w:rPr>
      </w:pPr>
      <w:r>
        <w:rPr>
          <w:color w:val="231F20"/>
          <w:sz w:val="16"/>
        </w:rPr>
        <w:t>arrested (1972) 111</w:t>
      </w:r>
      <w:r>
        <w:rPr>
          <w:i/>
          <w:color w:val="231F20"/>
          <w:sz w:val="16"/>
        </w:rPr>
        <w:t xml:space="preserve">, </w:t>
      </w:r>
      <w:r>
        <w:rPr>
          <w:color w:val="231F20"/>
          <w:sz w:val="16"/>
        </w:rPr>
        <w:t>588; captured</w:t>
      </w:r>
    </w:p>
    <w:p w14:paraId="7BB1EAC5" w14:textId="77777777" w:rsidR="002653E8" w:rsidRDefault="003115E3">
      <w:pPr>
        <w:spacing w:before="32"/>
        <w:ind w:left="454"/>
        <w:jc w:val="both"/>
        <w:rPr>
          <w:sz w:val="16"/>
        </w:rPr>
      </w:pPr>
      <w:r>
        <w:rPr>
          <w:color w:val="231F20"/>
          <w:sz w:val="16"/>
        </w:rPr>
        <w:t>(1976) 453</w:t>
      </w:r>
      <w:r>
        <w:rPr>
          <w:i/>
          <w:color w:val="231F20"/>
          <w:sz w:val="16"/>
        </w:rPr>
        <w:t xml:space="preserve">, </w:t>
      </w:r>
      <w:r>
        <w:rPr>
          <w:color w:val="231F20"/>
          <w:sz w:val="16"/>
        </w:rPr>
        <w:t>602; extradition from</w:t>
      </w:r>
    </w:p>
    <w:p w14:paraId="73887B41" w14:textId="77777777" w:rsidR="002653E8" w:rsidRDefault="003115E3">
      <w:pPr>
        <w:spacing w:before="33"/>
        <w:ind w:left="454"/>
        <w:jc w:val="both"/>
        <w:rPr>
          <w:sz w:val="16"/>
        </w:rPr>
      </w:pPr>
      <w:r>
        <w:rPr>
          <w:color w:val="231F20"/>
          <w:sz w:val="16"/>
        </w:rPr>
        <w:t>Greece 454</w:t>
      </w:r>
      <w:r>
        <w:rPr>
          <w:i/>
          <w:color w:val="231F20"/>
          <w:sz w:val="16"/>
        </w:rPr>
        <w:t xml:space="preserve">, </w:t>
      </w:r>
      <w:r>
        <w:rPr>
          <w:color w:val="231F20"/>
          <w:sz w:val="16"/>
        </w:rPr>
        <w:t>602; freed in Lorenz</w:t>
      </w:r>
    </w:p>
    <w:p w14:paraId="55ED57D6" w14:textId="77777777" w:rsidR="002653E8" w:rsidRDefault="003115E3">
      <w:pPr>
        <w:spacing w:before="32"/>
        <w:ind w:left="454"/>
        <w:jc w:val="both"/>
        <w:rPr>
          <w:sz w:val="16"/>
        </w:rPr>
      </w:pPr>
      <w:r>
        <w:rPr>
          <w:color w:val="231F20"/>
          <w:sz w:val="16"/>
        </w:rPr>
        <w:t>kidnapping   328</w:t>
      </w:r>
      <w:r>
        <w:rPr>
          <w:i/>
          <w:color w:val="231F20"/>
          <w:sz w:val="16"/>
        </w:rPr>
        <w:t xml:space="preserve">, </w:t>
      </w:r>
      <w:r>
        <w:rPr>
          <w:color w:val="231F20"/>
          <w:sz w:val="16"/>
        </w:rPr>
        <w:t>596; released (1982)</w:t>
      </w:r>
    </w:p>
    <w:p w14:paraId="0D4F83E3" w14:textId="77777777" w:rsidR="002653E8" w:rsidRDefault="003115E3">
      <w:pPr>
        <w:spacing w:before="32"/>
        <w:ind w:left="454"/>
        <w:jc w:val="both"/>
        <w:rPr>
          <w:sz w:val="16"/>
        </w:rPr>
      </w:pPr>
      <w:r>
        <w:rPr>
          <w:color w:val="231F20"/>
          <w:sz w:val="16"/>
        </w:rPr>
        <w:t>454; scare campaign   350; trial (1973)</w:t>
      </w:r>
    </w:p>
    <w:p w14:paraId="3E835875" w14:textId="77777777" w:rsidR="002653E8" w:rsidRDefault="003115E3">
      <w:pPr>
        <w:spacing w:before="33"/>
        <w:ind w:left="454"/>
        <w:jc w:val="both"/>
        <w:rPr>
          <w:sz w:val="16"/>
        </w:rPr>
      </w:pPr>
      <w:r>
        <w:rPr>
          <w:color w:val="231F20"/>
          <w:sz w:val="16"/>
        </w:rPr>
        <w:t>111; trial (1977) 454</w:t>
      </w:r>
      <w:r>
        <w:rPr>
          <w:i/>
          <w:color w:val="231F20"/>
          <w:sz w:val="16"/>
        </w:rPr>
        <w:t xml:space="preserve">, </w:t>
      </w:r>
      <w:r>
        <w:rPr>
          <w:color w:val="231F20"/>
          <w:sz w:val="16"/>
        </w:rPr>
        <w:t>608</w:t>
      </w:r>
    </w:p>
    <w:p w14:paraId="4FE554CC" w14:textId="77777777" w:rsidR="002653E8" w:rsidRDefault="003115E3">
      <w:pPr>
        <w:spacing w:before="32"/>
        <w:ind w:left="254"/>
        <w:rPr>
          <w:sz w:val="16"/>
        </w:rPr>
      </w:pPr>
      <w:r>
        <w:rPr>
          <w:color w:val="231F20"/>
          <w:w w:val="105"/>
          <w:sz w:val="16"/>
        </w:rPr>
        <w:t>Pohl, Helmut 108</w:t>
      </w:r>
      <w:r>
        <w:rPr>
          <w:i/>
          <w:color w:val="231F20"/>
          <w:w w:val="105"/>
          <w:sz w:val="16"/>
        </w:rPr>
        <w:t xml:space="preserve">, </w:t>
      </w:r>
      <w:r>
        <w:rPr>
          <w:color w:val="231F20"/>
          <w:w w:val="105"/>
          <w:sz w:val="16"/>
        </w:rPr>
        <w:t>573; captured (1974)</w:t>
      </w:r>
    </w:p>
    <w:p w14:paraId="2BF2FD36" w14:textId="77777777" w:rsidR="002653E8" w:rsidRDefault="003115E3">
      <w:pPr>
        <w:spacing w:before="33"/>
        <w:ind w:left="454"/>
        <w:jc w:val="both"/>
        <w:rPr>
          <w:sz w:val="16"/>
        </w:rPr>
      </w:pPr>
      <w:r>
        <w:rPr>
          <w:color w:val="231F20"/>
          <w:sz w:val="16"/>
        </w:rPr>
        <w:t>325–326</w:t>
      </w:r>
      <w:r>
        <w:rPr>
          <w:i/>
          <w:color w:val="231F20"/>
          <w:sz w:val="16"/>
        </w:rPr>
        <w:t xml:space="preserve">, </w:t>
      </w:r>
      <w:r>
        <w:rPr>
          <w:color w:val="231F20"/>
          <w:sz w:val="16"/>
        </w:rPr>
        <w:t>594; captured (1984)   616;</w:t>
      </w:r>
    </w:p>
    <w:p w14:paraId="23E8D80F" w14:textId="77777777" w:rsidR="002653E8" w:rsidRDefault="003115E3">
      <w:pPr>
        <w:spacing w:before="32"/>
        <w:ind w:left="454"/>
        <w:jc w:val="both"/>
        <w:rPr>
          <w:sz w:val="16"/>
        </w:rPr>
      </w:pPr>
      <w:r>
        <w:rPr>
          <w:color w:val="231F20"/>
          <w:sz w:val="16"/>
        </w:rPr>
        <w:t>isolation   242</w:t>
      </w:r>
      <w:r>
        <w:rPr>
          <w:i/>
          <w:color w:val="231F20"/>
          <w:sz w:val="16"/>
        </w:rPr>
        <w:t xml:space="preserve">, </w:t>
      </w:r>
      <w:r>
        <w:rPr>
          <w:color w:val="231F20"/>
          <w:sz w:val="16"/>
        </w:rPr>
        <w:t>301; pardoned (1998)</w:t>
      </w:r>
    </w:p>
    <w:p w14:paraId="36B59051" w14:textId="77777777" w:rsidR="002653E8" w:rsidRDefault="003115E3">
      <w:pPr>
        <w:spacing w:before="33"/>
        <w:ind w:left="454"/>
        <w:jc w:val="both"/>
        <w:rPr>
          <w:sz w:val="16"/>
        </w:rPr>
      </w:pPr>
      <w:r>
        <w:rPr>
          <w:color w:val="231F20"/>
          <w:w w:val="105"/>
          <w:sz w:val="16"/>
        </w:rPr>
        <w:t>625; prison 474</w:t>
      </w:r>
      <w:r>
        <w:rPr>
          <w:i/>
          <w:color w:val="231F20"/>
          <w:w w:val="105"/>
          <w:sz w:val="16"/>
        </w:rPr>
        <w:t xml:space="preserve">, </w:t>
      </w:r>
      <w:r>
        <w:rPr>
          <w:color w:val="231F20"/>
          <w:w w:val="105"/>
          <w:sz w:val="16"/>
        </w:rPr>
        <w:t>516</w:t>
      </w:r>
      <w:r>
        <w:rPr>
          <w:i/>
          <w:color w:val="231F20"/>
          <w:w w:val="105"/>
          <w:sz w:val="16"/>
        </w:rPr>
        <w:t xml:space="preserve">, </w:t>
      </w:r>
      <w:r>
        <w:rPr>
          <w:color w:val="231F20"/>
          <w:w w:val="105"/>
          <w:sz w:val="16"/>
        </w:rPr>
        <w:t>605</w:t>
      </w:r>
      <w:r>
        <w:rPr>
          <w:i/>
          <w:color w:val="231F20"/>
          <w:w w:val="105"/>
          <w:sz w:val="16"/>
        </w:rPr>
        <w:t xml:space="preserve">, </w:t>
      </w:r>
      <w:r>
        <w:rPr>
          <w:color w:val="231F20"/>
          <w:w w:val="105"/>
          <w:sz w:val="16"/>
        </w:rPr>
        <w:t>624;</w:t>
      </w:r>
    </w:p>
    <w:p w14:paraId="6E6E373C" w14:textId="77777777" w:rsidR="002653E8" w:rsidRDefault="003115E3">
      <w:pPr>
        <w:spacing w:before="32" w:line="280" w:lineRule="auto"/>
        <w:ind w:left="454" w:right="1545"/>
        <w:rPr>
          <w:sz w:val="16"/>
        </w:rPr>
      </w:pPr>
      <w:r>
        <w:rPr>
          <w:color w:val="231F20"/>
          <w:sz w:val="16"/>
        </w:rPr>
        <w:t xml:space="preserve">release demanded 339; split in the </w:t>
      </w:r>
      <w:r w:rsidR="00C507A5">
        <w:rPr>
          <w:color w:val="231F20"/>
          <w:sz w:val="16"/>
        </w:rPr>
        <w:t>red army faction</w:t>
      </w:r>
      <w:r>
        <w:rPr>
          <w:color w:val="231F20"/>
          <w:sz w:val="16"/>
        </w:rPr>
        <w:t xml:space="preserve"> 623; trial (1977) 607</w:t>
      </w:r>
    </w:p>
    <w:p w14:paraId="1549E166" w14:textId="77777777" w:rsidR="002653E8" w:rsidRDefault="003115E3">
      <w:pPr>
        <w:spacing w:before="1"/>
        <w:ind w:left="254"/>
        <w:rPr>
          <w:i/>
          <w:sz w:val="16"/>
        </w:rPr>
      </w:pPr>
      <w:r>
        <w:rPr>
          <w:color w:val="231F20"/>
          <w:w w:val="105"/>
          <w:sz w:val="16"/>
        </w:rPr>
        <w:t>Ponto, Jürgen 474</w:t>
      </w:r>
      <w:r>
        <w:rPr>
          <w:i/>
          <w:color w:val="231F20"/>
          <w:w w:val="105"/>
          <w:sz w:val="16"/>
        </w:rPr>
        <w:t xml:space="preserve">, </w:t>
      </w:r>
      <w:r>
        <w:rPr>
          <w:color w:val="231F20"/>
          <w:w w:val="105"/>
          <w:sz w:val="16"/>
        </w:rPr>
        <w:t>573</w:t>
      </w:r>
      <w:r>
        <w:rPr>
          <w:i/>
          <w:color w:val="231F20"/>
          <w:w w:val="105"/>
          <w:sz w:val="16"/>
        </w:rPr>
        <w:t xml:space="preserve">, </w:t>
      </w:r>
      <w:r>
        <w:rPr>
          <w:color w:val="231F20"/>
          <w:w w:val="105"/>
          <w:sz w:val="16"/>
        </w:rPr>
        <w:t>606</w:t>
      </w:r>
      <w:r>
        <w:rPr>
          <w:i/>
          <w:color w:val="231F20"/>
          <w:w w:val="105"/>
          <w:sz w:val="16"/>
        </w:rPr>
        <w:t>. See</w:t>
      </w:r>
    </w:p>
    <w:p w14:paraId="4E58CF69" w14:textId="77777777" w:rsidR="002653E8" w:rsidRDefault="003115E3">
      <w:pPr>
        <w:spacing w:before="32" w:line="280" w:lineRule="auto"/>
        <w:ind w:left="454" w:right="1507"/>
        <w:jc w:val="both"/>
        <w:rPr>
          <w:sz w:val="16"/>
        </w:rPr>
      </w:pPr>
      <w:r>
        <w:rPr>
          <w:i/>
          <w:color w:val="231F20"/>
          <w:sz w:val="16"/>
        </w:rPr>
        <w:t xml:space="preserve">also </w:t>
      </w:r>
      <w:r w:rsidR="00C507A5">
        <w:rPr>
          <w:color w:val="231F20"/>
          <w:sz w:val="16"/>
        </w:rPr>
        <w:t>red army faction</w:t>
      </w:r>
      <w:r>
        <w:rPr>
          <w:color w:val="231F20"/>
          <w:sz w:val="16"/>
        </w:rPr>
        <w:t xml:space="preserve"> (Red Army Faction): Ponto assassination (1977); </w:t>
      </w:r>
      <w:r w:rsidR="00C507A5">
        <w:rPr>
          <w:color w:val="231F20"/>
          <w:sz w:val="16"/>
        </w:rPr>
        <w:t>red army faction</w:t>
      </w:r>
      <w:r>
        <w:rPr>
          <w:color w:val="231F20"/>
          <w:sz w:val="16"/>
        </w:rPr>
        <w:t xml:space="preserve"> communiqué 494</w:t>
      </w:r>
    </w:p>
    <w:p w14:paraId="4019C251" w14:textId="77777777" w:rsidR="002653E8" w:rsidRDefault="003115E3">
      <w:pPr>
        <w:spacing w:before="2"/>
        <w:ind w:left="254"/>
        <w:rPr>
          <w:sz w:val="16"/>
        </w:rPr>
      </w:pPr>
      <w:r>
        <w:rPr>
          <w:color w:val="231F20"/>
          <w:sz w:val="16"/>
        </w:rPr>
        <w:t>Portugal 311; in Africa 11</w:t>
      </w:r>
      <w:r>
        <w:rPr>
          <w:i/>
          <w:color w:val="231F20"/>
          <w:sz w:val="16"/>
        </w:rPr>
        <w:t xml:space="preserve">, </w:t>
      </w:r>
      <w:r>
        <w:rPr>
          <w:color w:val="231F20"/>
          <w:sz w:val="16"/>
        </w:rPr>
        <w:t>149</w:t>
      </w:r>
      <w:r>
        <w:rPr>
          <w:i/>
          <w:color w:val="231F20"/>
          <w:sz w:val="16"/>
        </w:rPr>
        <w:t xml:space="preserve">, </w:t>
      </w:r>
      <w:r>
        <w:rPr>
          <w:color w:val="231F20"/>
          <w:sz w:val="16"/>
        </w:rPr>
        <w:t>166;</w:t>
      </w:r>
    </w:p>
    <w:p w14:paraId="374068BB" w14:textId="77777777" w:rsidR="002653E8" w:rsidRDefault="003115E3">
      <w:pPr>
        <w:spacing w:before="32"/>
        <w:ind w:left="454"/>
        <w:rPr>
          <w:sz w:val="16"/>
        </w:rPr>
      </w:pPr>
      <w:r>
        <w:rPr>
          <w:color w:val="231F20"/>
          <w:w w:val="105"/>
          <w:sz w:val="16"/>
        </w:rPr>
        <w:t>Carnation revolution (1974) 427</w:t>
      </w:r>
      <w:r>
        <w:rPr>
          <w:i/>
          <w:color w:val="231F20"/>
          <w:w w:val="105"/>
          <w:sz w:val="16"/>
        </w:rPr>
        <w:t xml:space="preserve">, </w:t>
      </w:r>
      <w:r>
        <w:rPr>
          <w:color w:val="231F20"/>
          <w:w w:val="105"/>
          <w:sz w:val="16"/>
        </w:rPr>
        <w:t>594;</w:t>
      </w:r>
    </w:p>
    <w:p w14:paraId="3CFE9677" w14:textId="77777777" w:rsidR="002653E8" w:rsidRDefault="003115E3">
      <w:pPr>
        <w:spacing w:before="33"/>
        <w:ind w:left="454"/>
        <w:rPr>
          <w:sz w:val="16"/>
        </w:rPr>
      </w:pPr>
      <w:r>
        <w:rPr>
          <w:color w:val="231F20"/>
          <w:w w:val="110"/>
          <w:sz w:val="16"/>
        </w:rPr>
        <w:t>and FRG 11</w:t>
      </w:r>
      <w:r>
        <w:rPr>
          <w:i/>
          <w:color w:val="231F20"/>
          <w:w w:val="110"/>
          <w:sz w:val="16"/>
        </w:rPr>
        <w:t xml:space="preserve">, </w:t>
      </w:r>
      <w:r>
        <w:rPr>
          <w:color w:val="231F20"/>
          <w:w w:val="110"/>
          <w:sz w:val="16"/>
        </w:rPr>
        <w:t>131</w:t>
      </w:r>
      <w:r>
        <w:rPr>
          <w:i/>
          <w:color w:val="231F20"/>
          <w:w w:val="110"/>
          <w:sz w:val="16"/>
        </w:rPr>
        <w:t xml:space="preserve">, </w:t>
      </w:r>
      <w:r>
        <w:rPr>
          <w:color w:val="231F20"/>
          <w:w w:val="110"/>
          <w:sz w:val="16"/>
        </w:rPr>
        <w:t>166</w:t>
      </w:r>
    </w:p>
    <w:p w14:paraId="0DDF267B" w14:textId="77777777" w:rsidR="002653E8" w:rsidRDefault="003115E3">
      <w:pPr>
        <w:spacing w:before="32" w:line="280" w:lineRule="auto"/>
        <w:ind w:left="254" w:right="1819"/>
        <w:rPr>
          <w:sz w:val="16"/>
        </w:rPr>
      </w:pPr>
      <w:r>
        <w:rPr>
          <w:color w:val="231F20"/>
          <w:sz w:val="16"/>
        </w:rPr>
        <w:t>Portuguese Socialist Party 427 Posser, Diether 149</w:t>
      </w:r>
      <w:r>
        <w:rPr>
          <w:i/>
          <w:color w:val="231F20"/>
          <w:sz w:val="16"/>
        </w:rPr>
        <w:t xml:space="preserve">, </w:t>
      </w:r>
      <w:r>
        <w:rPr>
          <w:color w:val="231F20"/>
          <w:sz w:val="16"/>
        </w:rPr>
        <w:t>303</w:t>
      </w:r>
      <w:r>
        <w:rPr>
          <w:i/>
          <w:color w:val="231F20"/>
          <w:sz w:val="16"/>
        </w:rPr>
        <w:t xml:space="preserve">, </w:t>
      </w:r>
      <w:r>
        <w:rPr>
          <w:color w:val="231F20"/>
          <w:sz w:val="16"/>
        </w:rPr>
        <w:t>322</w:t>
      </w:r>
    </w:p>
    <w:p w14:paraId="44D3E897" w14:textId="77777777" w:rsidR="002653E8" w:rsidRDefault="003115E3">
      <w:pPr>
        <w:spacing w:before="1"/>
        <w:ind w:left="254"/>
        <w:rPr>
          <w:sz w:val="16"/>
        </w:rPr>
      </w:pPr>
      <w:r>
        <w:rPr>
          <w:color w:val="231F20"/>
          <w:w w:val="105"/>
          <w:sz w:val="16"/>
        </w:rPr>
        <w:t>Poulantzas, Nicos 46</w:t>
      </w:r>
      <w:r>
        <w:rPr>
          <w:i/>
          <w:color w:val="231F20"/>
          <w:w w:val="105"/>
          <w:sz w:val="16"/>
        </w:rPr>
        <w:t xml:space="preserve">, </w:t>
      </w:r>
      <w:r>
        <w:rPr>
          <w:color w:val="231F20"/>
          <w:w w:val="105"/>
          <w:sz w:val="16"/>
        </w:rPr>
        <w:t>406</w:t>
      </w:r>
    </w:p>
    <w:p w14:paraId="108ED3A2" w14:textId="77777777" w:rsidR="002653E8" w:rsidRDefault="003115E3">
      <w:pPr>
        <w:spacing w:before="33"/>
        <w:ind w:left="254"/>
        <w:rPr>
          <w:sz w:val="16"/>
        </w:rPr>
      </w:pPr>
      <w:r>
        <w:rPr>
          <w:color w:val="231F20"/>
          <w:sz w:val="16"/>
        </w:rPr>
        <w:t>Preiss, Rosemarie 608</w:t>
      </w:r>
    </w:p>
    <w:p w14:paraId="52599B1C" w14:textId="77777777" w:rsidR="002653E8" w:rsidRDefault="003115E3">
      <w:pPr>
        <w:spacing w:before="32" w:line="280" w:lineRule="auto"/>
        <w:ind w:left="454" w:right="1819" w:hanging="200"/>
        <w:rPr>
          <w:sz w:val="16"/>
        </w:rPr>
      </w:pPr>
      <w:r>
        <w:rPr>
          <w:color w:val="231F20"/>
          <w:sz w:val="16"/>
        </w:rPr>
        <w:t>Prinzing, Theodor 319</w:t>
      </w:r>
      <w:r>
        <w:rPr>
          <w:i/>
          <w:color w:val="231F20"/>
          <w:sz w:val="16"/>
        </w:rPr>
        <w:t xml:space="preserve">, </w:t>
      </w:r>
      <w:r>
        <w:rPr>
          <w:color w:val="231F20"/>
          <w:sz w:val="16"/>
        </w:rPr>
        <w:t>573</w:t>
      </w:r>
      <w:r>
        <w:rPr>
          <w:i/>
          <w:color w:val="231F20"/>
          <w:sz w:val="16"/>
        </w:rPr>
        <w:t xml:space="preserve">. See also </w:t>
      </w:r>
      <w:r>
        <w:rPr>
          <w:color w:val="231F20"/>
          <w:sz w:val="16"/>
        </w:rPr>
        <w:t>Stammheim trial</w:t>
      </w:r>
      <w:r>
        <w:rPr>
          <w:color w:val="231F20"/>
          <w:spacing w:val="15"/>
          <w:sz w:val="16"/>
        </w:rPr>
        <w:t xml:space="preserve"> </w:t>
      </w:r>
      <w:r>
        <w:rPr>
          <w:color w:val="231F20"/>
          <w:sz w:val="16"/>
        </w:rPr>
        <w:t>(1976-77);</w:t>
      </w:r>
    </w:p>
    <w:p w14:paraId="52A04FEC" w14:textId="77777777" w:rsidR="002653E8" w:rsidRDefault="003115E3">
      <w:pPr>
        <w:spacing w:before="1"/>
        <w:ind w:left="454"/>
        <w:rPr>
          <w:sz w:val="16"/>
        </w:rPr>
      </w:pPr>
      <w:r>
        <w:rPr>
          <w:color w:val="231F20"/>
          <w:sz w:val="16"/>
        </w:rPr>
        <w:t>attacks on lawyers 345–346</w:t>
      </w:r>
      <w:r>
        <w:rPr>
          <w:i/>
          <w:color w:val="231F20"/>
          <w:sz w:val="16"/>
        </w:rPr>
        <w:t xml:space="preserve">, </w:t>
      </w:r>
      <w:r>
        <w:rPr>
          <w:color w:val="231F20"/>
          <w:sz w:val="16"/>
        </w:rPr>
        <w:t>596;</w:t>
      </w:r>
    </w:p>
    <w:p w14:paraId="6B26E6E6" w14:textId="77777777" w:rsidR="002653E8" w:rsidRDefault="003115E3">
      <w:pPr>
        <w:spacing w:before="33"/>
        <w:ind w:left="454"/>
        <w:rPr>
          <w:sz w:val="16"/>
        </w:rPr>
      </w:pPr>
      <w:r>
        <w:rPr>
          <w:color w:val="231F20"/>
          <w:sz w:val="16"/>
        </w:rPr>
        <w:t>caught leaking documents 353</w:t>
      </w:r>
      <w:r>
        <w:rPr>
          <w:i/>
          <w:color w:val="231F20"/>
          <w:sz w:val="16"/>
        </w:rPr>
        <w:t xml:space="preserve">, </w:t>
      </w:r>
      <w:r>
        <w:rPr>
          <w:color w:val="231F20"/>
          <w:sz w:val="16"/>
        </w:rPr>
        <w:t>603;</w:t>
      </w:r>
    </w:p>
    <w:p w14:paraId="4E750169" w14:textId="77777777" w:rsidR="002653E8" w:rsidRDefault="003115E3">
      <w:pPr>
        <w:spacing w:before="32"/>
        <w:ind w:left="454"/>
        <w:rPr>
          <w:i/>
          <w:sz w:val="16"/>
        </w:rPr>
      </w:pPr>
      <w:r>
        <w:rPr>
          <w:color w:val="231F20"/>
          <w:w w:val="105"/>
          <w:sz w:val="16"/>
        </w:rPr>
        <w:t xml:space="preserve">mentioned by </w:t>
      </w:r>
      <w:r w:rsidR="00C507A5">
        <w:rPr>
          <w:color w:val="231F20"/>
          <w:w w:val="105"/>
          <w:sz w:val="16"/>
        </w:rPr>
        <w:t>red army faction</w:t>
      </w:r>
      <w:r>
        <w:rPr>
          <w:color w:val="231F20"/>
          <w:w w:val="105"/>
          <w:sz w:val="16"/>
        </w:rPr>
        <w:t xml:space="preserve"> 372</w:t>
      </w:r>
      <w:r>
        <w:rPr>
          <w:i/>
          <w:color w:val="231F20"/>
          <w:w w:val="105"/>
          <w:sz w:val="16"/>
        </w:rPr>
        <w:t xml:space="preserve">, </w:t>
      </w:r>
      <w:r>
        <w:rPr>
          <w:color w:val="231F20"/>
          <w:w w:val="105"/>
          <w:sz w:val="16"/>
        </w:rPr>
        <w:t>374</w:t>
      </w:r>
      <w:r>
        <w:rPr>
          <w:i/>
          <w:color w:val="231F20"/>
          <w:w w:val="105"/>
          <w:sz w:val="16"/>
        </w:rPr>
        <w:t xml:space="preserve">, </w:t>
      </w:r>
      <w:r>
        <w:rPr>
          <w:color w:val="231F20"/>
          <w:w w:val="105"/>
          <w:sz w:val="16"/>
        </w:rPr>
        <w:t>418</w:t>
      </w:r>
      <w:r>
        <w:rPr>
          <w:i/>
          <w:color w:val="231F20"/>
          <w:w w:val="105"/>
          <w:sz w:val="16"/>
        </w:rPr>
        <w:t>,</w:t>
      </w:r>
    </w:p>
    <w:p w14:paraId="79C3FCB9" w14:textId="77777777" w:rsidR="002653E8" w:rsidRDefault="003115E3">
      <w:pPr>
        <w:spacing w:before="33" w:line="280" w:lineRule="auto"/>
        <w:ind w:left="454" w:right="1439"/>
        <w:rPr>
          <w:sz w:val="16"/>
        </w:rPr>
      </w:pPr>
      <w:r>
        <w:rPr>
          <w:color w:val="231F20"/>
          <w:sz w:val="16"/>
        </w:rPr>
        <w:t>423</w:t>
      </w:r>
      <w:r>
        <w:rPr>
          <w:i/>
          <w:color w:val="231F20"/>
          <w:sz w:val="16"/>
        </w:rPr>
        <w:t xml:space="preserve">, </w:t>
      </w:r>
      <w:r>
        <w:rPr>
          <w:color w:val="231F20"/>
          <w:sz w:val="16"/>
        </w:rPr>
        <w:t>431; mentioned by RZ 458; rules in favor of force-feeding</w:t>
      </w:r>
      <w:r>
        <w:rPr>
          <w:color w:val="231F20"/>
          <w:spacing w:val="10"/>
          <w:sz w:val="16"/>
        </w:rPr>
        <w:t xml:space="preserve"> </w:t>
      </w:r>
      <w:r>
        <w:rPr>
          <w:color w:val="231F20"/>
          <w:sz w:val="16"/>
        </w:rPr>
        <w:t>259</w:t>
      </w:r>
    </w:p>
    <w:p w14:paraId="6EC32E67" w14:textId="77777777" w:rsidR="002653E8" w:rsidRDefault="003115E3">
      <w:pPr>
        <w:spacing w:before="1" w:line="280" w:lineRule="auto"/>
        <w:ind w:left="454" w:right="1442" w:hanging="200"/>
        <w:rPr>
          <w:sz w:val="16"/>
        </w:rPr>
      </w:pPr>
      <w:r>
        <w:rPr>
          <w:color w:val="231F20"/>
          <w:w w:val="105"/>
          <w:sz w:val="16"/>
        </w:rPr>
        <w:t>prison conditions 237</w:t>
      </w:r>
      <w:r>
        <w:rPr>
          <w:i/>
          <w:color w:val="231F20"/>
          <w:w w:val="105"/>
          <w:sz w:val="16"/>
        </w:rPr>
        <w:t xml:space="preserve">, </w:t>
      </w:r>
      <w:r>
        <w:rPr>
          <w:color w:val="231F20"/>
          <w:w w:val="105"/>
          <w:sz w:val="16"/>
        </w:rPr>
        <w:t>467</w:t>
      </w:r>
      <w:r>
        <w:rPr>
          <w:i/>
          <w:color w:val="231F20"/>
          <w:w w:val="105"/>
          <w:sz w:val="16"/>
        </w:rPr>
        <w:t>. See also</w:t>
      </w:r>
      <w:r>
        <w:rPr>
          <w:i/>
          <w:color w:val="231F20"/>
          <w:spacing w:val="-24"/>
          <w:w w:val="105"/>
          <w:sz w:val="16"/>
        </w:rPr>
        <w:t xml:space="preserve"> </w:t>
      </w:r>
      <w:r>
        <w:rPr>
          <w:color w:val="231F20"/>
          <w:w w:val="105"/>
          <w:sz w:val="16"/>
        </w:rPr>
        <w:t>isolation torture; Contact Ban  479</w:t>
      </w:r>
      <w:r>
        <w:rPr>
          <w:i/>
          <w:color w:val="231F20"/>
          <w:w w:val="105"/>
          <w:sz w:val="16"/>
        </w:rPr>
        <w:t xml:space="preserve">, </w:t>
      </w:r>
      <w:r>
        <w:rPr>
          <w:color w:val="231F20"/>
          <w:w w:val="105"/>
          <w:sz w:val="16"/>
        </w:rPr>
        <w:t>480</w:t>
      </w:r>
      <w:r>
        <w:rPr>
          <w:i/>
          <w:color w:val="231F20"/>
          <w:w w:val="105"/>
          <w:sz w:val="16"/>
        </w:rPr>
        <w:t xml:space="preserve">, </w:t>
      </w:r>
      <w:r>
        <w:rPr>
          <w:color w:val="231F20"/>
          <w:w w:val="105"/>
          <w:sz w:val="16"/>
        </w:rPr>
        <w:t>485</w:t>
      </w:r>
      <w:r>
        <w:rPr>
          <w:i/>
          <w:color w:val="231F20"/>
          <w:w w:val="105"/>
          <w:sz w:val="16"/>
        </w:rPr>
        <w:t xml:space="preserve">, </w:t>
      </w:r>
      <w:r>
        <w:rPr>
          <w:color w:val="231F20"/>
          <w:w w:val="105"/>
          <w:sz w:val="16"/>
        </w:rPr>
        <w:t>514</w:t>
      </w:r>
      <w:r>
        <w:rPr>
          <w:i/>
          <w:color w:val="231F20"/>
          <w:w w:val="105"/>
          <w:sz w:val="16"/>
        </w:rPr>
        <w:t xml:space="preserve">, </w:t>
      </w:r>
      <w:r>
        <w:rPr>
          <w:color w:val="231F20"/>
          <w:w w:val="105"/>
          <w:sz w:val="16"/>
        </w:rPr>
        <w:t>597</w:t>
      </w:r>
      <w:r>
        <w:rPr>
          <w:i/>
          <w:color w:val="231F20"/>
          <w:w w:val="105"/>
          <w:sz w:val="16"/>
        </w:rPr>
        <w:t xml:space="preserve">, </w:t>
      </w:r>
      <w:r>
        <w:rPr>
          <w:color w:val="231F20"/>
          <w:w w:val="105"/>
          <w:sz w:val="16"/>
        </w:rPr>
        <w:t>604</w:t>
      </w:r>
      <w:r>
        <w:rPr>
          <w:i/>
          <w:color w:val="231F20"/>
          <w:w w:val="105"/>
          <w:sz w:val="16"/>
        </w:rPr>
        <w:t xml:space="preserve">, </w:t>
      </w:r>
      <w:r>
        <w:rPr>
          <w:color w:val="231F20"/>
          <w:w w:val="105"/>
          <w:sz w:val="16"/>
        </w:rPr>
        <w:t>606</w:t>
      </w:r>
      <w:r>
        <w:rPr>
          <w:i/>
          <w:color w:val="231F20"/>
          <w:w w:val="105"/>
          <w:sz w:val="16"/>
        </w:rPr>
        <w:t xml:space="preserve">, </w:t>
      </w:r>
      <w:r>
        <w:rPr>
          <w:color w:val="231F20"/>
          <w:w w:val="105"/>
          <w:sz w:val="16"/>
        </w:rPr>
        <w:t>609;</w:t>
      </w:r>
      <w:r>
        <w:rPr>
          <w:color w:val="231F20"/>
          <w:spacing w:val="-17"/>
          <w:w w:val="105"/>
          <w:sz w:val="16"/>
        </w:rPr>
        <w:t xml:space="preserve"> </w:t>
      </w:r>
      <w:r>
        <w:rPr>
          <w:color w:val="231F20"/>
          <w:w w:val="105"/>
          <w:sz w:val="16"/>
        </w:rPr>
        <w:t>as</w:t>
      </w:r>
    </w:p>
    <w:p w14:paraId="50D82685" w14:textId="77777777" w:rsidR="002653E8" w:rsidRDefault="003115E3">
      <w:pPr>
        <w:spacing w:before="1"/>
        <w:ind w:left="454"/>
        <w:jc w:val="both"/>
        <w:rPr>
          <w:i/>
          <w:sz w:val="16"/>
        </w:rPr>
      </w:pPr>
      <w:r>
        <w:rPr>
          <w:color w:val="231F20"/>
          <w:w w:val="110"/>
          <w:sz w:val="16"/>
        </w:rPr>
        <w:t>“extermination” 264</w:t>
      </w:r>
      <w:r>
        <w:rPr>
          <w:i/>
          <w:color w:val="231F20"/>
          <w:w w:val="110"/>
          <w:sz w:val="16"/>
        </w:rPr>
        <w:t xml:space="preserve">, </w:t>
      </w:r>
      <w:r>
        <w:rPr>
          <w:color w:val="231F20"/>
          <w:w w:val="110"/>
          <w:sz w:val="16"/>
        </w:rPr>
        <w:t>275</w:t>
      </w:r>
      <w:r>
        <w:rPr>
          <w:i/>
          <w:color w:val="231F20"/>
          <w:w w:val="110"/>
          <w:sz w:val="16"/>
        </w:rPr>
        <w:t xml:space="preserve">, </w:t>
      </w:r>
      <w:r>
        <w:rPr>
          <w:color w:val="231F20"/>
          <w:w w:val="110"/>
          <w:sz w:val="16"/>
        </w:rPr>
        <w:t>276</w:t>
      </w:r>
      <w:r>
        <w:rPr>
          <w:i/>
          <w:color w:val="231F20"/>
          <w:w w:val="110"/>
          <w:sz w:val="16"/>
        </w:rPr>
        <w:t xml:space="preserve">, </w:t>
      </w:r>
      <w:r>
        <w:rPr>
          <w:color w:val="231F20"/>
          <w:w w:val="110"/>
          <w:sz w:val="16"/>
        </w:rPr>
        <w:t>285</w:t>
      </w:r>
      <w:r>
        <w:rPr>
          <w:i/>
          <w:color w:val="231F20"/>
          <w:w w:val="110"/>
          <w:sz w:val="16"/>
        </w:rPr>
        <w:t>,</w:t>
      </w:r>
    </w:p>
    <w:p w14:paraId="0F4A94F6" w14:textId="77777777" w:rsidR="002653E8" w:rsidRDefault="003115E3">
      <w:pPr>
        <w:spacing w:before="33"/>
        <w:ind w:left="454"/>
        <w:jc w:val="both"/>
        <w:rPr>
          <w:i/>
          <w:sz w:val="16"/>
        </w:rPr>
      </w:pPr>
      <w:r>
        <w:rPr>
          <w:color w:val="231F20"/>
          <w:w w:val="110"/>
          <w:sz w:val="16"/>
        </w:rPr>
        <w:t>300</w:t>
      </w:r>
      <w:r>
        <w:rPr>
          <w:i/>
          <w:color w:val="231F20"/>
          <w:w w:val="110"/>
          <w:sz w:val="16"/>
        </w:rPr>
        <w:t xml:space="preserve">, </w:t>
      </w:r>
      <w:r>
        <w:rPr>
          <w:color w:val="231F20"/>
          <w:w w:val="110"/>
          <w:sz w:val="16"/>
        </w:rPr>
        <w:t>303</w:t>
      </w:r>
      <w:r>
        <w:rPr>
          <w:i/>
          <w:color w:val="231F20"/>
          <w:w w:val="110"/>
          <w:sz w:val="16"/>
        </w:rPr>
        <w:t xml:space="preserve">, </w:t>
      </w:r>
      <w:r>
        <w:rPr>
          <w:color w:val="231F20"/>
          <w:w w:val="110"/>
          <w:sz w:val="16"/>
        </w:rPr>
        <w:t>313</w:t>
      </w:r>
      <w:r>
        <w:rPr>
          <w:i/>
          <w:color w:val="231F20"/>
          <w:w w:val="110"/>
          <w:sz w:val="16"/>
        </w:rPr>
        <w:t xml:space="preserve">, </w:t>
      </w:r>
      <w:r>
        <w:rPr>
          <w:color w:val="231F20"/>
          <w:w w:val="110"/>
          <w:sz w:val="16"/>
        </w:rPr>
        <w:t>370</w:t>
      </w:r>
      <w:r>
        <w:rPr>
          <w:i/>
          <w:color w:val="231F20"/>
          <w:w w:val="110"/>
          <w:sz w:val="16"/>
        </w:rPr>
        <w:t xml:space="preserve">, </w:t>
      </w:r>
      <w:r>
        <w:rPr>
          <w:color w:val="231F20"/>
          <w:w w:val="110"/>
          <w:sz w:val="16"/>
        </w:rPr>
        <w:t>395</w:t>
      </w:r>
      <w:r>
        <w:rPr>
          <w:i/>
          <w:color w:val="231F20"/>
          <w:w w:val="110"/>
          <w:sz w:val="16"/>
        </w:rPr>
        <w:t xml:space="preserve">, </w:t>
      </w:r>
      <w:r>
        <w:rPr>
          <w:color w:val="231F20"/>
          <w:w w:val="110"/>
          <w:sz w:val="16"/>
        </w:rPr>
        <w:t>403</w:t>
      </w:r>
      <w:r>
        <w:rPr>
          <w:i/>
          <w:color w:val="231F20"/>
          <w:w w:val="110"/>
          <w:sz w:val="16"/>
        </w:rPr>
        <w:t xml:space="preserve">, </w:t>
      </w:r>
      <w:r>
        <w:rPr>
          <w:color w:val="231F20"/>
          <w:w w:val="110"/>
          <w:sz w:val="16"/>
        </w:rPr>
        <w:t>410</w:t>
      </w:r>
      <w:r>
        <w:rPr>
          <w:i/>
          <w:color w:val="231F20"/>
          <w:w w:val="110"/>
          <w:sz w:val="16"/>
        </w:rPr>
        <w:t>,</w:t>
      </w:r>
    </w:p>
    <w:p w14:paraId="3B415046" w14:textId="77777777" w:rsidR="002653E8" w:rsidRDefault="003115E3">
      <w:pPr>
        <w:spacing w:before="32"/>
        <w:ind w:left="454"/>
        <w:jc w:val="both"/>
        <w:rPr>
          <w:sz w:val="16"/>
        </w:rPr>
      </w:pPr>
      <w:r>
        <w:rPr>
          <w:color w:val="231F20"/>
          <w:w w:val="105"/>
          <w:sz w:val="16"/>
        </w:rPr>
        <w:t>412</w:t>
      </w:r>
      <w:r>
        <w:rPr>
          <w:i/>
          <w:color w:val="231F20"/>
          <w:w w:val="105"/>
          <w:sz w:val="16"/>
        </w:rPr>
        <w:t xml:space="preserve">, </w:t>
      </w:r>
      <w:r>
        <w:rPr>
          <w:color w:val="231F20"/>
          <w:w w:val="105"/>
          <w:sz w:val="16"/>
        </w:rPr>
        <w:t>417</w:t>
      </w:r>
      <w:r>
        <w:rPr>
          <w:i/>
          <w:color w:val="231F20"/>
          <w:w w:val="105"/>
          <w:sz w:val="16"/>
        </w:rPr>
        <w:t xml:space="preserve">, </w:t>
      </w:r>
      <w:r>
        <w:rPr>
          <w:color w:val="231F20"/>
          <w:w w:val="105"/>
          <w:sz w:val="16"/>
        </w:rPr>
        <w:t>431</w:t>
      </w:r>
      <w:r>
        <w:rPr>
          <w:i/>
          <w:color w:val="231F20"/>
          <w:w w:val="105"/>
          <w:sz w:val="16"/>
        </w:rPr>
        <w:t xml:space="preserve">, </w:t>
      </w:r>
      <w:r>
        <w:rPr>
          <w:color w:val="231F20"/>
          <w:w w:val="105"/>
          <w:sz w:val="16"/>
        </w:rPr>
        <w:t>491; forced drugging</w:t>
      </w:r>
    </w:p>
    <w:p w14:paraId="53B15C07" w14:textId="77777777" w:rsidR="002653E8" w:rsidRDefault="003115E3">
      <w:pPr>
        <w:spacing w:before="33"/>
        <w:ind w:left="454"/>
        <w:jc w:val="both"/>
        <w:rPr>
          <w:sz w:val="16"/>
        </w:rPr>
      </w:pPr>
      <w:r>
        <w:rPr>
          <w:color w:val="231F20"/>
          <w:w w:val="105"/>
          <w:sz w:val="16"/>
        </w:rPr>
        <w:t>114</w:t>
      </w:r>
      <w:r>
        <w:rPr>
          <w:i/>
          <w:color w:val="231F20"/>
          <w:w w:val="105"/>
          <w:sz w:val="16"/>
        </w:rPr>
        <w:t xml:space="preserve">, </w:t>
      </w:r>
      <w:r>
        <w:rPr>
          <w:color w:val="231F20"/>
          <w:w w:val="105"/>
          <w:sz w:val="16"/>
        </w:rPr>
        <w:t>286</w:t>
      </w:r>
      <w:r>
        <w:rPr>
          <w:i/>
          <w:color w:val="231F20"/>
          <w:w w:val="105"/>
          <w:sz w:val="16"/>
        </w:rPr>
        <w:t xml:space="preserve">, </w:t>
      </w:r>
      <w:r>
        <w:rPr>
          <w:color w:val="231F20"/>
          <w:w w:val="105"/>
          <w:sz w:val="16"/>
        </w:rPr>
        <w:t>302</w:t>
      </w:r>
      <w:r>
        <w:rPr>
          <w:i/>
          <w:color w:val="231F20"/>
          <w:w w:val="105"/>
          <w:sz w:val="16"/>
        </w:rPr>
        <w:t xml:space="preserve">, </w:t>
      </w:r>
      <w:r>
        <w:rPr>
          <w:color w:val="231F20"/>
          <w:w w:val="105"/>
          <w:sz w:val="16"/>
        </w:rPr>
        <w:t>428</w:t>
      </w:r>
      <w:r>
        <w:rPr>
          <w:i/>
          <w:color w:val="231F20"/>
          <w:w w:val="105"/>
          <w:sz w:val="16"/>
        </w:rPr>
        <w:t xml:space="preserve">, </w:t>
      </w:r>
      <w:r>
        <w:rPr>
          <w:color w:val="231F20"/>
          <w:w w:val="105"/>
          <w:sz w:val="16"/>
        </w:rPr>
        <w:t>493; force-feeding</w:t>
      </w:r>
    </w:p>
    <w:p w14:paraId="56246723" w14:textId="77777777" w:rsidR="002653E8" w:rsidRDefault="003115E3">
      <w:pPr>
        <w:spacing w:before="32"/>
        <w:ind w:left="454"/>
        <w:jc w:val="both"/>
        <w:rPr>
          <w:i/>
          <w:sz w:val="16"/>
        </w:rPr>
      </w:pPr>
      <w:r>
        <w:rPr>
          <w:color w:val="231F20"/>
          <w:w w:val="105"/>
          <w:sz w:val="16"/>
        </w:rPr>
        <w:t>250</w:t>
      </w:r>
      <w:r>
        <w:rPr>
          <w:i/>
          <w:color w:val="231F20"/>
          <w:w w:val="105"/>
          <w:sz w:val="16"/>
        </w:rPr>
        <w:t xml:space="preserve">, </w:t>
      </w:r>
      <w:r>
        <w:rPr>
          <w:color w:val="231F20"/>
          <w:w w:val="105"/>
          <w:sz w:val="16"/>
        </w:rPr>
        <w:t>259–260</w:t>
      </w:r>
      <w:r>
        <w:rPr>
          <w:i/>
          <w:color w:val="231F20"/>
          <w:w w:val="105"/>
          <w:sz w:val="16"/>
        </w:rPr>
        <w:t xml:space="preserve">, </w:t>
      </w:r>
      <w:r>
        <w:rPr>
          <w:color w:val="231F20"/>
          <w:w w:val="105"/>
          <w:sz w:val="16"/>
        </w:rPr>
        <w:t>292–295</w:t>
      </w:r>
      <w:r>
        <w:rPr>
          <w:i/>
          <w:color w:val="231F20"/>
          <w:w w:val="105"/>
          <w:sz w:val="16"/>
        </w:rPr>
        <w:t xml:space="preserve">, </w:t>
      </w:r>
      <w:r>
        <w:rPr>
          <w:color w:val="231F20"/>
          <w:w w:val="105"/>
          <w:sz w:val="16"/>
        </w:rPr>
        <w:t>303–305</w:t>
      </w:r>
      <w:r>
        <w:rPr>
          <w:i/>
          <w:color w:val="231F20"/>
          <w:w w:val="105"/>
          <w:sz w:val="16"/>
        </w:rPr>
        <w:t xml:space="preserve">, </w:t>
      </w:r>
      <w:r>
        <w:rPr>
          <w:color w:val="231F20"/>
          <w:w w:val="105"/>
          <w:sz w:val="16"/>
        </w:rPr>
        <w:t>475</w:t>
      </w:r>
      <w:r>
        <w:rPr>
          <w:i/>
          <w:color w:val="231F20"/>
          <w:w w:val="105"/>
          <w:sz w:val="16"/>
        </w:rPr>
        <w:t>,</w:t>
      </w:r>
    </w:p>
    <w:p w14:paraId="4D958773" w14:textId="77777777" w:rsidR="002653E8" w:rsidRDefault="003115E3">
      <w:pPr>
        <w:spacing w:before="32"/>
        <w:ind w:left="454"/>
        <w:jc w:val="both"/>
        <w:rPr>
          <w:i/>
          <w:sz w:val="16"/>
        </w:rPr>
      </w:pPr>
      <w:r>
        <w:rPr>
          <w:color w:val="231F20"/>
          <w:sz w:val="16"/>
        </w:rPr>
        <w:t>614; medical abuse/neglect 114</w:t>
      </w:r>
      <w:r>
        <w:rPr>
          <w:i/>
          <w:color w:val="231F20"/>
          <w:sz w:val="16"/>
        </w:rPr>
        <w:t xml:space="preserve">, </w:t>
      </w:r>
      <w:r>
        <w:rPr>
          <w:color w:val="231F20"/>
          <w:sz w:val="16"/>
        </w:rPr>
        <w:t>250</w:t>
      </w:r>
      <w:r>
        <w:rPr>
          <w:i/>
          <w:color w:val="231F20"/>
          <w:sz w:val="16"/>
        </w:rPr>
        <w:t>,</w:t>
      </w:r>
    </w:p>
    <w:p w14:paraId="7C7A2988" w14:textId="77777777" w:rsidR="002653E8" w:rsidRDefault="002653E8">
      <w:pPr>
        <w:jc w:val="both"/>
        <w:rPr>
          <w:sz w:val="16"/>
        </w:rPr>
        <w:sectPr w:rsidR="002653E8">
          <w:footerReference w:type="even" r:id="rId638"/>
          <w:footerReference w:type="default" r:id="rId639"/>
          <w:pgSz w:w="8640" w:h="12960"/>
          <w:pgMar w:top="1080" w:right="0" w:bottom="1040" w:left="0" w:header="0" w:footer="846" w:gutter="0"/>
          <w:cols w:num="2" w:space="720" w:equalWidth="0">
            <w:col w:w="4076" w:space="40"/>
            <w:col w:w="4524"/>
          </w:cols>
        </w:sectPr>
      </w:pPr>
    </w:p>
    <w:p w14:paraId="75982FAD" w14:textId="77777777" w:rsidR="002653E8" w:rsidRDefault="003115E3">
      <w:pPr>
        <w:spacing w:before="86"/>
        <w:ind w:left="1527"/>
        <w:rPr>
          <w:i/>
          <w:sz w:val="16"/>
        </w:rPr>
      </w:pPr>
      <w:r>
        <w:rPr>
          <w:color w:val="231F20"/>
          <w:w w:val="105"/>
          <w:sz w:val="16"/>
        </w:rPr>
        <w:lastRenderedPageBreak/>
        <w:t>252–253</w:t>
      </w:r>
      <w:r>
        <w:rPr>
          <w:i/>
          <w:color w:val="231F20"/>
          <w:w w:val="105"/>
          <w:sz w:val="16"/>
        </w:rPr>
        <w:t>,</w:t>
      </w:r>
      <w:r>
        <w:rPr>
          <w:i/>
          <w:color w:val="231F20"/>
          <w:spacing w:val="-14"/>
          <w:w w:val="105"/>
          <w:sz w:val="16"/>
        </w:rPr>
        <w:t xml:space="preserve"> </w:t>
      </w:r>
      <w:r>
        <w:rPr>
          <w:color w:val="231F20"/>
          <w:w w:val="105"/>
          <w:sz w:val="16"/>
        </w:rPr>
        <w:t>260</w:t>
      </w:r>
      <w:r>
        <w:rPr>
          <w:i/>
          <w:color w:val="231F20"/>
          <w:w w:val="105"/>
          <w:sz w:val="16"/>
        </w:rPr>
        <w:t>,</w:t>
      </w:r>
      <w:r>
        <w:rPr>
          <w:i/>
          <w:color w:val="231F20"/>
          <w:spacing w:val="-14"/>
          <w:w w:val="105"/>
          <w:sz w:val="16"/>
        </w:rPr>
        <w:t xml:space="preserve"> </w:t>
      </w:r>
      <w:r>
        <w:rPr>
          <w:color w:val="231F20"/>
          <w:w w:val="105"/>
          <w:sz w:val="16"/>
        </w:rPr>
        <w:t>292–295</w:t>
      </w:r>
      <w:r>
        <w:rPr>
          <w:i/>
          <w:color w:val="231F20"/>
          <w:w w:val="105"/>
          <w:sz w:val="16"/>
        </w:rPr>
        <w:t>,</w:t>
      </w:r>
      <w:r>
        <w:rPr>
          <w:i/>
          <w:color w:val="231F20"/>
          <w:spacing w:val="-14"/>
          <w:w w:val="105"/>
          <w:sz w:val="16"/>
        </w:rPr>
        <w:t xml:space="preserve"> </w:t>
      </w:r>
      <w:r>
        <w:rPr>
          <w:color w:val="231F20"/>
          <w:w w:val="105"/>
          <w:sz w:val="16"/>
        </w:rPr>
        <w:t>304</w:t>
      </w:r>
      <w:r>
        <w:rPr>
          <w:i/>
          <w:color w:val="231F20"/>
          <w:w w:val="105"/>
          <w:sz w:val="16"/>
        </w:rPr>
        <w:t>,</w:t>
      </w:r>
      <w:r>
        <w:rPr>
          <w:i/>
          <w:color w:val="231F20"/>
          <w:spacing w:val="-14"/>
          <w:w w:val="105"/>
          <w:sz w:val="16"/>
        </w:rPr>
        <w:t xml:space="preserve"> </w:t>
      </w:r>
      <w:r>
        <w:rPr>
          <w:color w:val="231F20"/>
          <w:w w:val="105"/>
          <w:sz w:val="16"/>
        </w:rPr>
        <w:t>334–335</w:t>
      </w:r>
      <w:r>
        <w:rPr>
          <w:i/>
          <w:color w:val="231F20"/>
          <w:w w:val="105"/>
          <w:sz w:val="16"/>
        </w:rPr>
        <w:t>,</w:t>
      </w:r>
    </w:p>
    <w:p w14:paraId="6A6A07FD" w14:textId="77777777" w:rsidR="002653E8" w:rsidRDefault="003115E3">
      <w:pPr>
        <w:spacing w:before="33" w:line="280" w:lineRule="auto"/>
        <w:ind w:left="1527"/>
        <w:rPr>
          <w:i/>
          <w:sz w:val="16"/>
        </w:rPr>
      </w:pPr>
      <w:r>
        <w:rPr>
          <w:color w:val="231F20"/>
          <w:sz w:val="16"/>
        </w:rPr>
        <w:t>370</w:t>
      </w:r>
      <w:r>
        <w:rPr>
          <w:i/>
          <w:color w:val="231F20"/>
          <w:sz w:val="16"/>
        </w:rPr>
        <w:t xml:space="preserve">, </w:t>
      </w:r>
      <w:r>
        <w:rPr>
          <w:color w:val="231F20"/>
          <w:sz w:val="16"/>
        </w:rPr>
        <w:t>387</w:t>
      </w:r>
      <w:r>
        <w:rPr>
          <w:i/>
          <w:color w:val="231F20"/>
          <w:sz w:val="16"/>
        </w:rPr>
        <w:t xml:space="preserve">, </w:t>
      </w:r>
      <w:r>
        <w:rPr>
          <w:color w:val="231F20"/>
          <w:sz w:val="16"/>
        </w:rPr>
        <w:t>493; mentioned by Thorwald Proll 72–77; neurosurgery and psychiatry 241</w:t>
      </w:r>
      <w:r>
        <w:rPr>
          <w:i/>
          <w:color w:val="231F20"/>
          <w:sz w:val="16"/>
        </w:rPr>
        <w:t xml:space="preserve">, </w:t>
      </w:r>
      <w:r>
        <w:rPr>
          <w:color w:val="231F20"/>
          <w:sz w:val="16"/>
        </w:rPr>
        <w:t>242</w:t>
      </w:r>
      <w:r>
        <w:rPr>
          <w:i/>
          <w:color w:val="231F20"/>
          <w:sz w:val="16"/>
        </w:rPr>
        <w:t xml:space="preserve">, </w:t>
      </w:r>
      <w:r>
        <w:rPr>
          <w:color w:val="231F20"/>
          <w:sz w:val="16"/>
        </w:rPr>
        <w:t>276</w:t>
      </w:r>
      <w:r>
        <w:rPr>
          <w:i/>
          <w:color w:val="231F20"/>
          <w:sz w:val="16"/>
        </w:rPr>
        <w:t xml:space="preserve">, </w:t>
      </w:r>
      <w:r>
        <w:rPr>
          <w:color w:val="231F20"/>
          <w:sz w:val="16"/>
        </w:rPr>
        <w:t>280</w:t>
      </w:r>
      <w:r>
        <w:rPr>
          <w:i/>
          <w:color w:val="231F20"/>
          <w:sz w:val="16"/>
        </w:rPr>
        <w:t xml:space="preserve">, </w:t>
      </w:r>
      <w:r>
        <w:rPr>
          <w:color w:val="231F20"/>
          <w:sz w:val="16"/>
        </w:rPr>
        <w:t>282</w:t>
      </w:r>
      <w:r>
        <w:rPr>
          <w:i/>
          <w:color w:val="231F20"/>
          <w:sz w:val="16"/>
        </w:rPr>
        <w:t xml:space="preserve">, </w:t>
      </w:r>
      <w:r>
        <w:rPr>
          <w:color w:val="231F20"/>
          <w:sz w:val="16"/>
        </w:rPr>
        <w:t>286</w:t>
      </w:r>
      <w:r>
        <w:rPr>
          <w:i/>
          <w:color w:val="231F20"/>
          <w:sz w:val="16"/>
        </w:rPr>
        <w:t>,</w:t>
      </w:r>
    </w:p>
    <w:p w14:paraId="00C176C4" w14:textId="77777777" w:rsidR="002653E8" w:rsidRDefault="003115E3">
      <w:pPr>
        <w:spacing w:before="1"/>
        <w:ind w:left="1527"/>
        <w:rPr>
          <w:sz w:val="16"/>
        </w:rPr>
      </w:pPr>
      <w:r>
        <w:rPr>
          <w:color w:val="231F20"/>
          <w:w w:val="105"/>
          <w:sz w:val="16"/>
        </w:rPr>
        <w:t>301</w:t>
      </w:r>
      <w:r>
        <w:rPr>
          <w:i/>
          <w:color w:val="231F20"/>
          <w:w w:val="105"/>
          <w:sz w:val="16"/>
        </w:rPr>
        <w:t xml:space="preserve">, </w:t>
      </w:r>
      <w:r>
        <w:rPr>
          <w:color w:val="231F20"/>
          <w:w w:val="105"/>
          <w:sz w:val="16"/>
        </w:rPr>
        <w:t>306</w:t>
      </w:r>
      <w:r>
        <w:rPr>
          <w:i/>
          <w:color w:val="231F20"/>
          <w:w w:val="105"/>
          <w:sz w:val="16"/>
        </w:rPr>
        <w:t xml:space="preserve">, </w:t>
      </w:r>
      <w:r>
        <w:rPr>
          <w:color w:val="231F20"/>
          <w:w w:val="105"/>
          <w:sz w:val="16"/>
        </w:rPr>
        <w:t>319</w:t>
      </w:r>
      <w:r>
        <w:rPr>
          <w:i/>
          <w:color w:val="231F20"/>
          <w:w w:val="105"/>
          <w:sz w:val="16"/>
        </w:rPr>
        <w:t xml:space="preserve">, </w:t>
      </w:r>
      <w:r>
        <w:rPr>
          <w:color w:val="231F20"/>
          <w:w w:val="105"/>
          <w:sz w:val="16"/>
        </w:rPr>
        <w:t>403</w:t>
      </w:r>
      <w:r>
        <w:rPr>
          <w:i/>
          <w:color w:val="231F20"/>
          <w:w w:val="105"/>
          <w:sz w:val="16"/>
        </w:rPr>
        <w:t xml:space="preserve">, </w:t>
      </w:r>
      <w:r>
        <w:rPr>
          <w:color w:val="231F20"/>
          <w:w w:val="105"/>
          <w:sz w:val="16"/>
        </w:rPr>
        <w:t>410–412</w:t>
      </w:r>
      <w:r>
        <w:rPr>
          <w:i/>
          <w:color w:val="231F20"/>
          <w:w w:val="105"/>
          <w:sz w:val="16"/>
        </w:rPr>
        <w:t xml:space="preserve">, </w:t>
      </w:r>
      <w:r>
        <w:rPr>
          <w:color w:val="231F20"/>
          <w:w w:val="105"/>
          <w:sz w:val="16"/>
        </w:rPr>
        <w:t>490;</w:t>
      </w:r>
    </w:p>
    <w:p w14:paraId="18F5E85D" w14:textId="77777777" w:rsidR="002653E8" w:rsidRDefault="003115E3">
      <w:pPr>
        <w:spacing w:before="33" w:line="280" w:lineRule="auto"/>
        <w:ind w:left="1527"/>
        <w:rPr>
          <w:i/>
          <w:sz w:val="16"/>
        </w:rPr>
      </w:pPr>
      <w:r>
        <w:rPr>
          <w:color w:val="231F20"/>
          <w:sz w:val="16"/>
        </w:rPr>
        <w:t>24-Point Program 242; United States 239; water deprivation 250</w:t>
      </w:r>
      <w:r>
        <w:rPr>
          <w:i/>
          <w:color w:val="231F20"/>
          <w:sz w:val="16"/>
        </w:rPr>
        <w:t xml:space="preserve">, </w:t>
      </w:r>
      <w:r>
        <w:rPr>
          <w:color w:val="231F20"/>
          <w:sz w:val="16"/>
        </w:rPr>
        <w:t>258–259</w:t>
      </w:r>
      <w:r>
        <w:rPr>
          <w:i/>
          <w:color w:val="231F20"/>
          <w:sz w:val="16"/>
        </w:rPr>
        <w:t>,</w:t>
      </w:r>
    </w:p>
    <w:p w14:paraId="2CE0033E" w14:textId="77777777" w:rsidR="002653E8" w:rsidRDefault="003115E3">
      <w:pPr>
        <w:spacing w:before="1"/>
        <w:ind w:left="1527"/>
        <w:rPr>
          <w:sz w:val="16"/>
        </w:rPr>
      </w:pPr>
      <w:r>
        <w:rPr>
          <w:color w:val="231F20"/>
          <w:w w:val="110"/>
          <w:sz w:val="16"/>
        </w:rPr>
        <w:t>259</w:t>
      </w:r>
      <w:r>
        <w:rPr>
          <w:i/>
          <w:color w:val="231F20"/>
          <w:w w:val="110"/>
          <w:sz w:val="16"/>
        </w:rPr>
        <w:t xml:space="preserve">, </w:t>
      </w:r>
      <w:r>
        <w:rPr>
          <w:color w:val="231F20"/>
          <w:w w:val="110"/>
          <w:sz w:val="16"/>
        </w:rPr>
        <w:t>285</w:t>
      </w:r>
      <w:r>
        <w:rPr>
          <w:i/>
          <w:color w:val="231F20"/>
          <w:w w:val="110"/>
          <w:sz w:val="16"/>
        </w:rPr>
        <w:t xml:space="preserve">, </w:t>
      </w:r>
      <w:r>
        <w:rPr>
          <w:color w:val="231F20"/>
          <w:w w:val="110"/>
          <w:sz w:val="16"/>
        </w:rPr>
        <w:t>304</w:t>
      </w:r>
      <w:r>
        <w:rPr>
          <w:i/>
          <w:color w:val="231F20"/>
          <w:w w:val="110"/>
          <w:sz w:val="16"/>
        </w:rPr>
        <w:t xml:space="preserve">, </w:t>
      </w:r>
      <w:r>
        <w:rPr>
          <w:color w:val="231F20"/>
          <w:w w:val="110"/>
          <w:sz w:val="16"/>
        </w:rPr>
        <w:t>370</w:t>
      </w:r>
      <w:r>
        <w:rPr>
          <w:i/>
          <w:color w:val="231F20"/>
          <w:w w:val="110"/>
          <w:sz w:val="16"/>
        </w:rPr>
        <w:t xml:space="preserve">, </w:t>
      </w:r>
      <w:r>
        <w:rPr>
          <w:color w:val="231F20"/>
          <w:w w:val="110"/>
          <w:sz w:val="16"/>
        </w:rPr>
        <w:t>387</w:t>
      </w:r>
      <w:r>
        <w:rPr>
          <w:i/>
          <w:color w:val="231F20"/>
          <w:w w:val="110"/>
          <w:sz w:val="16"/>
        </w:rPr>
        <w:t xml:space="preserve">, </w:t>
      </w:r>
      <w:r>
        <w:rPr>
          <w:color w:val="231F20"/>
          <w:w w:val="110"/>
          <w:sz w:val="16"/>
        </w:rPr>
        <w:t>428</w:t>
      </w:r>
    </w:p>
    <w:p w14:paraId="28E91D21" w14:textId="77777777" w:rsidR="002653E8" w:rsidRDefault="003115E3">
      <w:pPr>
        <w:spacing w:before="32" w:line="280" w:lineRule="auto"/>
        <w:ind w:left="1527" w:right="251" w:hanging="201"/>
        <w:rPr>
          <w:sz w:val="16"/>
        </w:rPr>
      </w:pPr>
      <w:r>
        <w:rPr>
          <w:color w:val="231F20"/>
          <w:sz w:val="16"/>
        </w:rPr>
        <w:t>prisons</w:t>
      </w:r>
      <w:r>
        <w:rPr>
          <w:i/>
          <w:color w:val="231F20"/>
          <w:sz w:val="16"/>
        </w:rPr>
        <w:t xml:space="preserve">. See also </w:t>
      </w:r>
      <w:r>
        <w:rPr>
          <w:color w:val="231F20"/>
          <w:sz w:val="16"/>
        </w:rPr>
        <w:t>Stammheim deaths</w:t>
      </w:r>
      <w:r>
        <w:rPr>
          <w:i/>
          <w:color w:val="231F20"/>
          <w:sz w:val="16"/>
        </w:rPr>
        <w:t xml:space="preserve">; See also </w:t>
      </w:r>
      <w:r>
        <w:rPr>
          <w:color w:val="231F20"/>
          <w:sz w:val="16"/>
        </w:rPr>
        <w:t>Meinhof, Ulrike—death in</w:t>
      </w:r>
    </w:p>
    <w:p w14:paraId="120F54A5" w14:textId="77777777" w:rsidR="002653E8" w:rsidRDefault="003115E3">
      <w:pPr>
        <w:spacing w:before="1" w:line="280" w:lineRule="auto"/>
        <w:ind w:left="1527"/>
        <w:rPr>
          <w:i/>
          <w:sz w:val="16"/>
        </w:rPr>
      </w:pPr>
      <w:r>
        <w:rPr>
          <w:color w:val="231F20"/>
          <w:sz w:val="16"/>
        </w:rPr>
        <w:t>Stammheim</w:t>
      </w:r>
      <w:r>
        <w:rPr>
          <w:i/>
          <w:color w:val="231F20"/>
          <w:sz w:val="16"/>
        </w:rPr>
        <w:t xml:space="preserve">; See also </w:t>
      </w:r>
      <w:r>
        <w:rPr>
          <w:color w:val="231F20"/>
          <w:sz w:val="16"/>
        </w:rPr>
        <w:t>Meins, Holger— death in Cologne-Wittlich</w:t>
      </w:r>
      <w:r>
        <w:rPr>
          <w:i/>
          <w:color w:val="231F20"/>
          <w:sz w:val="16"/>
        </w:rPr>
        <w:t>; See</w:t>
      </w:r>
    </w:p>
    <w:p w14:paraId="712EEB02" w14:textId="77777777" w:rsidR="002653E8" w:rsidRDefault="003115E3">
      <w:pPr>
        <w:spacing w:before="1" w:line="280" w:lineRule="auto"/>
        <w:ind w:left="1527" w:right="164"/>
        <w:rPr>
          <w:i/>
          <w:sz w:val="16"/>
        </w:rPr>
      </w:pPr>
      <w:r>
        <w:rPr>
          <w:i/>
          <w:color w:val="231F20"/>
          <w:sz w:val="16"/>
        </w:rPr>
        <w:t xml:space="preserve">also </w:t>
      </w:r>
      <w:r>
        <w:rPr>
          <w:color w:val="231F20"/>
          <w:sz w:val="16"/>
        </w:rPr>
        <w:t>prison conditions; Aichach 487; Baden-Rastatt 238; Berlin 286</w:t>
      </w:r>
      <w:r>
        <w:rPr>
          <w:i/>
          <w:color w:val="231F20"/>
          <w:sz w:val="16"/>
        </w:rPr>
        <w:t xml:space="preserve">, </w:t>
      </w:r>
      <w:r>
        <w:rPr>
          <w:color w:val="231F20"/>
          <w:sz w:val="16"/>
        </w:rPr>
        <w:t>487; Berlin-Lehrter Strasse 285; BerlinMoabit   285</w:t>
      </w:r>
      <w:r>
        <w:rPr>
          <w:i/>
          <w:color w:val="231F20"/>
          <w:sz w:val="16"/>
        </w:rPr>
        <w:t xml:space="preserve">, </w:t>
      </w:r>
      <w:r>
        <w:rPr>
          <w:color w:val="231F20"/>
          <w:sz w:val="16"/>
        </w:rPr>
        <w:t>286;  Berlin-Tegel  285</w:t>
      </w:r>
      <w:r>
        <w:rPr>
          <w:i/>
          <w:color w:val="231F20"/>
          <w:sz w:val="16"/>
        </w:rPr>
        <w:t>,</w:t>
      </w:r>
    </w:p>
    <w:p w14:paraId="2FFAA29A" w14:textId="77777777" w:rsidR="002653E8" w:rsidRDefault="003115E3">
      <w:pPr>
        <w:spacing w:before="2"/>
        <w:ind w:left="1527"/>
        <w:rPr>
          <w:i/>
          <w:sz w:val="16"/>
        </w:rPr>
      </w:pPr>
      <w:r>
        <w:rPr>
          <w:color w:val="231F20"/>
          <w:sz w:val="16"/>
        </w:rPr>
        <w:t>302;  Bruchsal   285</w:t>
      </w:r>
      <w:r>
        <w:rPr>
          <w:i/>
          <w:color w:val="231F20"/>
          <w:sz w:val="16"/>
        </w:rPr>
        <w:t xml:space="preserve">, </w:t>
      </w:r>
      <w:r>
        <w:rPr>
          <w:color w:val="231F20"/>
          <w:sz w:val="16"/>
        </w:rPr>
        <w:t>302;  Celle 528</w:t>
      </w:r>
      <w:r>
        <w:rPr>
          <w:i/>
          <w:color w:val="231F20"/>
          <w:sz w:val="16"/>
        </w:rPr>
        <w:t>,</w:t>
      </w:r>
    </w:p>
    <w:p w14:paraId="3D3CBB59" w14:textId="77777777" w:rsidR="002653E8" w:rsidRDefault="003115E3">
      <w:pPr>
        <w:spacing w:before="33"/>
        <w:ind w:left="1527"/>
        <w:rPr>
          <w:sz w:val="16"/>
        </w:rPr>
      </w:pPr>
      <w:r>
        <w:rPr>
          <w:color w:val="231F20"/>
          <w:w w:val="105"/>
          <w:sz w:val="16"/>
        </w:rPr>
        <w:t>622</w:t>
      </w:r>
      <w:r>
        <w:rPr>
          <w:i/>
          <w:color w:val="231F20"/>
          <w:w w:val="105"/>
          <w:sz w:val="16"/>
        </w:rPr>
        <w:t xml:space="preserve">, </w:t>
      </w:r>
      <w:r>
        <w:rPr>
          <w:color w:val="231F20"/>
          <w:w w:val="105"/>
          <w:sz w:val="16"/>
        </w:rPr>
        <w:t>623; Cologne 238</w:t>
      </w:r>
      <w:r>
        <w:rPr>
          <w:i/>
          <w:color w:val="231F20"/>
          <w:w w:val="105"/>
          <w:sz w:val="16"/>
        </w:rPr>
        <w:t xml:space="preserve">, </w:t>
      </w:r>
      <w:r>
        <w:rPr>
          <w:color w:val="231F20"/>
          <w:w w:val="105"/>
          <w:sz w:val="16"/>
        </w:rPr>
        <w:t>285</w:t>
      </w:r>
      <w:r>
        <w:rPr>
          <w:i/>
          <w:color w:val="231F20"/>
          <w:w w:val="105"/>
          <w:sz w:val="16"/>
        </w:rPr>
        <w:t xml:space="preserve">, </w:t>
      </w:r>
      <w:r>
        <w:rPr>
          <w:color w:val="231F20"/>
          <w:w w:val="105"/>
          <w:sz w:val="16"/>
        </w:rPr>
        <w:t>487;</w:t>
      </w:r>
    </w:p>
    <w:p w14:paraId="5DEC1128" w14:textId="77777777" w:rsidR="002653E8" w:rsidRDefault="003115E3">
      <w:pPr>
        <w:spacing w:before="32"/>
        <w:ind w:left="1527"/>
        <w:rPr>
          <w:i/>
          <w:sz w:val="16"/>
        </w:rPr>
      </w:pPr>
      <w:r>
        <w:rPr>
          <w:color w:val="231F20"/>
          <w:w w:val="105"/>
          <w:sz w:val="16"/>
        </w:rPr>
        <w:t>Cologne-Ossendorf 238</w:t>
      </w:r>
      <w:r>
        <w:rPr>
          <w:i/>
          <w:color w:val="231F20"/>
          <w:w w:val="105"/>
          <w:sz w:val="16"/>
        </w:rPr>
        <w:t xml:space="preserve">, </w:t>
      </w:r>
      <w:r>
        <w:rPr>
          <w:color w:val="231F20"/>
          <w:w w:val="105"/>
          <w:sz w:val="16"/>
        </w:rPr>
        <w:t>240</w:t>
      </w:r>
      <w:r>
        <w:rPr>
          <w:i/>
          <w:color w:val="231F20"/>
          <w:w w:val="105"/>
          <w:sz w:val="16"/>
        </w:rPr>
        <w:t xml:space="preserve">, </w:t>
      </w:r>
      <w:r>
        <w:rPr>
          <w:color w:val="231F20"/>
          <w:w w:val="105"/>
          <w:sz w:val="16"/>
        </w:rPr>
        <w:t>286</w:t>
      </w:r>
      <w:r>
        <w:rPr>
          <w:i/>
          <w:color w:val="231F20"/>
          <w:w w:val="105"/>
          <w:sz w:val="16"/>
        </w:rPr>
        <w:t>,</w:t>
      </w:r>
    </w:p>
    <w:p w14:paraId="445B24D7" w14:textId="77777777" w:rsidR="002653E8" w:rsidRPr="00846956" w:rsidRDefault="003115E3">
      <w:pPr>
        <w:spacing w:before="33"/>
        <w:ind w:left="1527"/>
        <w:rPr>
          <w:sz w:val="16"/>
          <w:lang w:val="de-DE"/>
        </w:rPr>
      </w:pPr>
      <w:r w:rsidRPr="00846956">
        <w:rPr>
          <w:color w:val="231F20"/>
          <w:w w:val="105"/>
          <w:sz w:val="16"/>
          <w:lang w:val="de-DE"/>
        </w:rPr>
        <w:t>403</w:t>
      </w:r>
      <w:r w:rsidRPr="00846956">
        <w:rPr>
          <w:i/>
          <w:color w:val="231F20"/>
          <w:w w:val="105"/>
          <w:sz w:val="16"/>
          <w:lang w:val="de-DE"/>
        </w:rPr>
        <w:t xml:space="preserve">, </w:t>
      </w:r>
      <w:r w:rsidRPr="00846956">
        <w:rPr>
          <w:color w:val="231F20"/>
          <w:w w:val="105"/>
          <w:sz w:val="16"/>
          <w:lang w:val="de-DE"/>
        </w:rPr>
        <w:t>591</w:t>
      </w:r>
      <w:r w:rsidRPr="00846956">
        <w:rPr>
          <w:i/>
          <w:color w:val="231F20"/>
          <w:w w:val="105"/>
          <w:sz w:val="16"/>
          <w:lang w:val="de-DE"/>
        </w:rPr>
        <w:t xml:space="preserve">, </w:t>
      </w:r>
      <w:r w:rsidRPr="00846956">
        <w:rPr>
          <w:color w:val="231F20"/>
          <w:w w:val="105"/>
          <w:sz w:val="16"/>
          <w:lang w:val="de-DE"/>
        </w:rPr>
        <w:t>594; Cologne-Wittlich 238;</w:t>
      </w:r>
    </w:p>
    <w:p w14:paraId="77A128DD" w14:textId="77777777" w:rsidR="002653E8" w:rsidRPr="00846956" w:rsidRDefault="003115E3">
      <w:pPr>
        <w:spacing w:before="32"/>
        <w:ind w:left="1527"/>
        <w:rPr>
          <w:i/>
          <w:sz w:val="16"/>
          <w:lang w:val="de-DE"/>
        </w:rPr>
      </w:pPr>
      <w:r w:rsidRPr="00846956">
        <w:rPr>
          <w:color w:val="231F20"/>
          <w:w w:val="105"/>
          <w:sz w:val="16"/>
          <w:lang w:val="de-DE"/>
        </w:rPr>
        <w:t>Düsseldorf-Schwalmstadt 238</w:t>
      </w:r>
      <w:r w:rsidRPr="00846956">
        <w:rPr>
          <w:i/>
          <w:color w:val="231F20"/>
          <w:w w:val="105"/>
          <w:sz w:val="16"/>
          <w:lang w:val="de-DE"/>
        </w:rPr>
        <w:t xml:space="preserve">, </w:t>
      </w:r>
      <w:r w:rsidRPr="00846956">
        <w:rPr>
          <w:color w:val="231F20"/>
          <w:w w:val="105"/>
          <w:sz w:val="16"/>
          <w:lang w:val="de-DE"/>
        </w:rPr>
        <w:t>304</w:t>
      </w:r>
      <w:r w:rsidRPr="00846956">
        <w:rPr>
          <w:i/>
          <w:color w:val="231F20"/>
          <w:w w:val="105"/>
          <w:sz w:val="16"/>
          <w:lang w:val="de-DE"/>
        </w:rPr>
        <w:t>,</w:t>
      </w:r>
    </w:p>
    <w:p w14:paraId="7CA9A18A" w14:textId="77777777" w:rsidR="002653E8" w:rsidRPr="00846956" w:rsidRDefault="003115E3">
      <w:pPr>
        <w:spacing w:before="33"/>
        <w:ind w:left="1527"/>
        <w:rPr>
          <w:sz w:val="16"/>
          <w:lang w:val="de-DE"/>
        </w:rPr>
      </w:pPr>
      <w:r w:rsidRPr="00846956">
        <w:rPr>
          <w:color w:val="231F20"/>
          <w:sz w:val="16"/>
          <w:lang w:val="de-DE"/>
        </w:rPr>
        <w:t>370;  Essen   238</w:t>
      </w:r>
      <w:r w:rsidRPr="00846956">
        <w:rPr>
          <w:i/>
          <w:color w:val="231F20"/>
          <w:sz w:val="16"/>
          <w:lang w:val="de-DE"/>
        </w:rPr>
        <w:t xml:space="preserve">, </w:t>
      </w:r>
      <w:r w:rsidRPr="00846956">
        <w:rPr>
          <w:color w:val="231F20"/>
          <w:sz w:val="16"/>
          <w:lang w:val="de-DE"/>
        </w:rPr>
        <w:t>285</w:t>
      </w:r>
      <w:r w:rsidRPr="00846956">
        <w:rPr>
          <w:i/>
          <w:color w:val="231F20"/>
          <w:sz w:val="16"/>
          <w:lang w:val="de-DE"/>
        </w:rPr>
        <w:t xml:space="preserve">, </w:t>
      </w:r>
      <w:r w:rsidRPr="00846956">
        <w:rPr>
          <w:color w:val="231F20"/>
          <w:sz w:val="16"/>
          <w:lang w:val="de-DE"/>
        </w:rPr>
        <w:t>487; Frank-</w:t>
      </w:r>
    </w:p>
    <w:p w14:paraId="12A723B2" w14:textId="77777777" w:rsidR="002653E8" w:rsidRPr="00846956" w:rsidRDefault="003115E3">
      <w:pPr>
        <w:spacing w:before="32"/>
        <w:ind w:left="1527"/>
        <w:rPr>
          <w:sz w:val="16"/>
          <w:lang w:val="de-DE"/>
        </w:rPr>
      </w:pPr>
      <w:r w:rsidRPr="00846956">
        <w:rPr>
          <w:color w:val="231F20"/>
          <w:w w:val="105"/>
          <w:sz w:val="16"/>
          <w:lang w:val="de-DE"/>
        </w:rPr>
        <w:t>furt-Preungesheim 273</w:t>
      </w:r>
      <w:r w:rsidRPr="00846956">
        <w:rPr>
          <w:i/>
          <w:color w:val="231F20"/>
          <w:w w:val="105"/>
          <w:sz w:val="16"/>
          <w:lang w:val="de-DE"/>
        </w:rPr>
        <w:t xml:space="preserve">, </w:t>
      </w:r>
      <w:r w:rsidRPr="00846956">
        <w:rPr>
          <w:color w:val="231F20"/>
          <w:w w:val="105"/>
          <w:sz w:val="16"/>
          <w:lang w:val="de-DE"/>
        </w:rPr>
        <w:t>275</w:t>
      </w:r>
      <w:r w:rsidRPr="00846956">
        <w:rPr>
          <w:i/>
          <w:color w:val="231F20"/>
          <w:w w:val="105"/>
          <w:sz w:val="16"/>
          <w:lang w:val="de-DE"/>
        </w:rPr>
        <w:t xml:space="preserve">, </w:t>
      </w:r>
      <w:r w:rsidRPr="00846956">
        <w:rPr>
          <w:color w:val="231F20"/>
          <w:w w:val="105"/>
          <w:sz w:val="16"/>
          <w:lang w:val="de-DE"/>
        </w:rPr>
        <w:t>285;</w:t>
      </w:r>
    </w:p>
    <w:p w14:paraId="3111212E" w14:textId="77777777" w:rsidR="002653E8" w:rsidRPr="00846956" w:rsidRDefault="003115E3">
      <w:pPr>
        <w:spacing w:before="32"/>
        <w:ind w:left="1527"/>
        <w:rPr>
          <w:i/>
          <w:sz w:val="16"/>
          <w:lang w:val="de-DE"/>
        </w:rPr>
      </w:pPr>
      <w:r w:rsidRPr="00846956">
        <w:rPr>
          <w:color w:val="231F20"/>
          <w:sz w:val="16"/>
          <w:lang w:val="de-DE"/>
        </w:rPr>
        <w:t>Fuhlsbüttel   285;  Hamburg   238</w:t>
      </w:r>
      <w:r w:rsidRPr="00846956">
        <w:rPr>
          <w:i/>
          <w:color w:val="231F20"/>
          <w:sz w:val="16"/>
          <w:lang w:val="de-DE"/>
        </w:rPr>
        <w:t xml:space="preserve">, </w:t>
      </w:r>
      <w:r w:rsidRPr="00846956">
        <w:rPr>
          <w:color w:val="231F20"/>
          <w:sz w:val="16"/>
          <w:lang w:val="de-DE"/>
        </w:rPr>
        <w:t>286</w:t>
      </w:r>
      <w:r w:rsidRPr="00846956">
        <w:rPr>
          <w:i/>
          <w:color w:val="231F20"/>
          <w:sz w:val="16"/>
          <w:lang w:val="de-DE"/>
        </w:rPr>
        <w:t>,</w:t>
      </w:r>
    </w:p>
    <w:p w14:paraId="7932C06B" w14:textId="77777777" w:rsidR="002653E8" w:rsidRPr="00846956" w:rsidRDefault="003115E3">
      <w:pPr>
        <w:spacing w:before="33" w:line="280" w:lineRule="auto"/>
        <w:ind w:left="1527"/>
        <w:rPr>
          <w:sz w:val="16"/>
          <w:lang w:val="de-DE"/>
        </w:rPr>
      </w:pPr>
      <w:r w:rsidRPr="00846956">
        <w:rPr>
          <w:color w:val="231F20"/>
          <w:sz w:val="16"/>
          <w:lang w:val="de-DE"/>
        </w:rPr>
        <w:t>487; Hamburg-Holstenglacis 493; Hamburg remand centre 285; Hannover   285</w:t>
      </w:r>
      <w:r w:rsidRPr="00846956">
        <w:rPr>
          <w:i/>
          <w:color w:val="231F20"/>
          <w:sz w:val="16"/>
          <w:lang w:val="de-DE"/>
        </w:rPr>
        <w:t xml:space="preserve">, </w:t>
      </w:r>
      <w:r w:rsidRPr="00846956">
        <w:rPr>
          <w:color w:val="231F20"/>
          <w:sz w:val="16"/>
          <w:lang w:val="de-DE"/>
        </w:rPr>
        <w:t>302; Hessen   601; Hessen-</w:t>
      </w:r>
    </w:p>
    <w:p w14:paraId="2B0CB97D" w14:textId="77777777" w:rsidR="002653E8" w:rsidRPr="00846956" w:rsidRDefault="003115E3">
      <w:pPr>
        <w:spacing w:before="1" w:line="280" w:lineRule="auto"/>
        <w:ind w:left="1527" w:right="140"/>
        <w:jc w:val="both"/>
        <w:rPr>
          <w:sz w:val="16"/>
          <w:lang w:val="de-DE"/>
        </w:rPr>
      </w:pPr>
      <w:r w:rsidRPr="00846956">
        <w:rPr>
          <w:color w:val="231F20"/>
          <w:sz w:val="16"/>
          <w:lang w:val="de-DE"/>
        </w:rPr>
        <w:t>Ziegenhain 250; Kaiserslautern 487; Lehrter Women’s Prison 602; Lübeck 286; Mannheim 285; Munich-Stade-</w:t>
      </w:r>
    </w:p>
    <w:p w14:paraId="2234CA8D" w14:textId="77777777" w:rsidR="002653E8" w:rsidRPr="00846956" w:rsidRDefault="003115E3">
      <w:pPr>
        <w:spacing w:before="2"/>
        <w:ind w:left="1527"/>
        <w:rPr>
          <w:sz w:val="16"/>
          <w:lang w:val="de-DE"/>
        </w:rPr>
      </w:pPr>
      <w:r w:rsidRPr="00846956">
        <w:rPr>
          <w:color w:val="231F20"/>
          <w:sz w:val="16"/>
          <w:lang w:val="de-DE"/>
        </w:rPr>
        <w:t>heim 520; Plötzensee 81; Stammheim</w:t>
      </w:r>
    </w:p>
    <w:p w14:paraId="5E4B4A67" w14:textId="77777777" w:rsidR="002653E8" w:rsidRPr="00846956" w:rsidRDefault="003115E3">
      <w:pPr>
        <w:spacing w:before="32"/>
        <w:ind w:left="1527"/>
        <w:rPr>
          <w:i/>
          <w:sz w:val="16"/>
          <w:lang w:val="de-DE"/>
        </w:rPr>
      </w:pPr>
      <w:r w:rsidRPr="00846956">
        <w:rPr>
          <w:color w:val="231F20"/>
          <w:w w:val="110"/>
          <w:sz w:val="16"/>
          <w:lang w:val="de-DE"/>
        </w:rPr>
        <w:t>471–472</w:t>
      </w:r>
      <w:r w:rsidRPr="00846956">
        <w:rPr>
          <w:i/>
          <w:color w:val="231F20"/>
          <w:w w:val="110"/>
          <w:sz w:val="16"/>
          <w:lang w:val="de-DE"/>
        </w:rPr>
        <w:t xml:space="preserve">, </w:t>
      </w:r>
      <w:r w:rsidRPr="00846956">
        <w:rPr>
          <w:color w:val="231F20"/>
          <w:w w:val="110"/>
          <w:sz w:val="16"/>
          <w:lang w:val="de-DE"/>
        </w:rPr>
        <w:t>474</w:t>
      </w:r>
      <w:r w:rsidRPr="00846956">
        <w:rPr>
          <w:i/>
          <w:color w:val="231F20"/>
          <w:w w:val="110"/>
          <w:sz w:val="16"/>
          <w:lang w:val="de-DE"/>
        </w:rPr>
        <w:t xml:space="preserve">, </w:t>
      </w:r>
      <w:r w:rsidRPr="00846956">
        <w:rPr>
          <w:color w:val="231F20"/>
          <w:w w:val="110"/>
          <w:sz w:val="16"/>
          <w:lang w:val="de-DE"/>
        </w:rPr>
        <w:t>487</w:t>
      </w:r>
      <w:r w:rsidRPr="00846956">
        <w:rPr>
          <w:i/>
          <w:color w:val="231F20"/>
          <w:w w:val="110"/>
          <w:sz w:val="16"/>
          <w:lang w:val="de-DE"/>
        </w:rPr>
        <w:t xml:space="preserve">, </w:t>
      </w:r>
      <w:r w:rsidRPr="00846956">
        <w:rPr>
          <w:color w:val="231F20"/>
          <w:w w:val="110"/>
          <w:sz w:val="16"/>
          <w:lang w:val="de-DE"/>
        </w:rPr>
        <w:t>493</w:t>
      </w:r>
      <w:r w:rsidRPr="00846956">
        <w:rPr>
          <w:i/>
          <w:color w:val="231F20"/>
          <w:w w:val="110"/>
          <w:sz w:val="16"/>
          <w:lang w:val="de-DE"/>
        </w:rPr>
        <w:t xml:space="preserve">, </w:t>
      </w:r>
      <w:r w:rsidRPr="00846956">
        <w:rPr>
          <w:color w:val="231F20"/>
          <w:w w:val="110"/>
          <w:sz w:val="16"/>
          <w:lang w:val="de-DE"/>
        </w:rPr>
        <w:t>509</w:t>
      </w:r>
      <w:r w:rsidRPr="00846956">
        <w:rPr>
          <w:i/>
          <w:color w:val="231F20"/>
          <w:w w:val="110"/>
          <w:sz w:val="16"/>
          <w:lang w:val="de-DE"/>
        </w:rPr>
        <w:t xml:space="preserve">, </w:t>
      </w:r>
      <w:r w:rsidRPr="00846956">
        <w:rPr>
          <w:color w:val="231F20"/>
          <w:w w:val="110"/>
          <w:sz w:val="16"/>
          <w:lang w:val="de-DE"/>
        </w:rPr>
        <w:t>594</w:t>
      </w:r>
      <w:r w:rsidRPr="00846956">
        <w:rPr>
          <w:i/>
          <w:color w:val="231F20"/>
          <w:w w:val="110"/>
          <w:sz w:val="16"/>
          <w:lang w:val="de-DE"/>
        </w:rPr>
        <w:t>,</w:t>
      </w:r>
    </w:p>
    <w:p w14:paraId="097240B1" w14:textId="77777777" w:rsidR="002653E8" w:rsidRPr="00846956" w:rsidRDefault="003115E3">
      <w:pPr>
        <w:spacing w:before="33"/>
        <w:ind w:left="1527"/>
        <w:rPr>
          <w:sz w:val="16"/>
          <w:lang w:val="de-DE"/>
        </w:rPr>
      </w:pPr>
      <w:r w:rsidRPr="00846956">
        <w:rPr>
          <w:color w:val="231F20"/>
          <w:w w:val="105"/>
          <w:sz w:val="16"/>
          <w:lang w:val="de-DE"/>
        </w:rPr>
        <w:t>604</w:t>
      </w:r>
      <w:r w:rsidRPr="00846956">
        <w:rPr>
          <w:i/>
          <w:color w:val="231F20"/>
          <w:w w:val="105"/>
          <w:sz w:val="16"/>
          <w:lang w:val="de-DE"/>
        </w:rPr>
        <w:t xml:space="preserve">, </w:t>
      </w:r>
      <w:r w:rsidRPr="00846956">
        <w:rPr>
          <w:color w:val="231F20"/>
          <w:w w:val="105"/>
          <w:sz w:val="16"/>
          <w:lang w:val="de-DE"/>
        </w:rPr>
        <w:t>605</w:t>
      </w:r>
      <w:r w:rsidRPr="00846956">
        <w:rPr>
          <w:i/>
          <w:color w:val="231F20"/>
          <w:w w:val="105"/>
          <w:sz w:val="16"/>
          <w:lang w:val="de-DE"/>
        </w:rPr>
        <w:t xml:space="preserve">, </w:t>
      </w:r>
      <w:r w:rsidRPr="00846956">
        <w:rPr>
          <w:color w:val="231F20"/>
          <w:w w:val="105"/>
          <w:sz w:val="16"/>
          <w:lang w:val="de-DE"/>
        </w:rPr>
        <w:t>606</w:t>
      </w:r>
      <w:r w:rsidRPr="00846956">
        <w:rPr>
          <w:i/>
          <w:color w:val="231F20"/>
          <w:w w:val="105"/>
          <w:sz w:val="16"/>
          <w:lang w:val="de-DE"/>
        </w:rPr>
        <w:t xml:space="preserve">, </w:t>
      </w:r>
      <w:r w:rsidRPr="00846956">
        <w:rPr>
          <w:color w:val="231F20"/>
          <w:w w:val="105"/>
          <w:sz w:val="16"/>
          <w:lang w:val="de-DE"/>
        </w:rPr>
        <w:t>609</w:t>
      </w:r>
      <w:r w:rsidRPr="00846956">
        <w:rPr>
          <w:i/>
          <w:color w:val="231F20"/>
          <w:w w:val="105"/>
          <w:sz w:val="16"/>
          <w:lang w:val="de-DE"/>
        </w:rPr>
        <w:t xml:space="preserve">, </w:t>
      </w:r>
      <w:r w:rsidRPr="00846956">
        <w:rPr>
          <w:color w:val="231F20"/>
          <w:w w:val="105"/>
          <w:sz w:val="16"/>
          <w:lang w:val="de-DE"/>
        </w:rPr>
        <w:t>613; Straub-</w:t>
      </w:r>
    </w:p>
    <w:p w14:paraId="7F286FA8" w14:textId="77777777" w:rsidR="002653E8" w:rsidRPr="00846956" w:rsidRDefault="003115E3">
      <w:pPr>
        <w:spacing w:before="32" w:line="280" w:lineRule="auto"/>
        <w:ind w:left="1527" w:right="86"/>
        <w:rPr>
          <w:sz w:val="16"/>
          <w:lang w:val="de-DE"/>
        </w:rPr>
      </w:pPr>
      <w:r w:rsidRPr="00846956">
        <w:rPr>
          <w:color w:val="231F20"/>
          <w:w w:val="105"/>
          <w:sz w:val="16"/>
          <w:lang w:val="de-DE"/>
        </w:rPr>
        <w:t>ing 285</w:t>
      </w:r>
      <w:r w:rsidRPr="00846956">
        <w:rPr>
          <w:i/>
          <w:color w:val="231F20"/>
          <w:w w:val="105"/>
          <w:sz w:val="16"/>
          <w:lang w:val="de-DE"/>
        </w:rPr>
        <w:t xml:space="preserve">, </w:t>
      </w:r>
      <w:r w:rsidRPr="00846956">
        <w:rPr>
          <w:color w:val="231F20"/>
          <w:w w:val="105"/>
          <w:sz w:val="16"/>
          <w:lang w:val="de-DE"/>
        </w:rPr>
        <w:t>302</w:t>
      </w:r>
      <w:r w:rsidRPr="00846956">
        <w:rPr>
          <w:i/>
          <w:color w:val="231F20"/>
          <w:w w:val="105"/>
          <w:sz w:val="16"/>
          <w:lang w:val="de-DE"/>
        </w:rPr>
        <w:t xml:space="preserve">, </w:t>
      </w:r>
      <w:r w:rsidRPr="00846956">
        <w:rPr>
          <w:color w:val="231F20"/>
          <w:w w:val="105"/>
          <w:sz w:val="16"/>
          <w:lang w:val="de-DE"/>
        </w:rPr>
        <w:t>487; Stuttgart 286; West Berlin-Moabit 238; West Berlin Women’s Prison 250; Zweibrücken 302</w:t>
      </w:r>
      <w:r w:rsidRPr="00846956">
        <w:rPr>
          <w:i/>
          <w:color w:val="231F20"/>
          <w:w w:val="105"/>
          <w:sz w:val="16"/>
          <w:lang w:val="de-DE"/>
        </w:rPr>
        <w:t xml:space="preserve">, </w:t>
      </w:r>
      <w:r w:rsidRPr="00846956">
        <w:rPr>
          <w:color w:val="231F20"/>
          <w:w w:val="105"/>
          <w:sz w:val="16"/>
          <w:lang w:val="de-DE"/>
        </w:rPr>
        <w:t>304</w:t>
      </w:r>
      <w:r w:rsidRPr="00846956">
        <w:rPr>
          <w:i/>
          <w:color w:val="231F20"/>
          <w:w w:val="105"/>
          <w:sz w:val="16"/>
          <w:lang w:val="de-DE"/>
        </w:rPr>
        <w:t xml:space="preserve">, </w:t>
      </w:r>
      <w:r w:rsidRPr="00846956">
        <w:rPr>
          <w:color w:val="231F20"/>
          <w:w w:val="105"/>
          <w:sz w:val="16"/>
          <w:lang w:val="de-DE"/>
        </w:rPr>
        <w:t>320</w:t>
      </w:r>
    </w:p>
    <w:p w14:paraId="4D508A6C" w14:textId="77777777" w:rsidR="002653E8" w:rsidRDefault="003115E3">
      <w:pPr>
        <w:spacing w:before="2"/>
        <w:ind w:left="1336" w:right="114"/>
        <w:jc w:val="center"/>
        <w:rPr>
          <w:sz w:val="16"/>
        </w:rPr>
      </w:pPr>
      <w:r>
        <w:rPr>
          <w:color w:val="231F20"/>
          <w:sz w:val="16"/>
        </w:rPr>
        <w:t>Proll, Astrid 573; alleged firefight (1971)</w:t>
      </w:r>
    </w:p>
    <w:p w14:paraId="25DB3DF5" w14:textId="77777777" w:rsidR="002653E8" w:rsidRDefault="003115E3">
      <w:pPr>
        <w:spacing w:before="33"/>
        <w:ind w:left="1527"/>
        <w:rPr>
          <w:i/>
          <w:sz w:val="16"/>
        </w:rPr>
      </w:pPr>
      <w:r>
        <w:rPr>
          <w:color w:val="231F20"/>
          <w:w w:val="105"/>
          <w:sz w:val="16"/>
        </w:rPr>
        <w:t>60</w:t>
      </w:r>
      <w:r>
        <w:rPr>
          <w:i/>
          <w:color w:val="231F20"/>
          <w:w w:val="105"/>
          <w:sz w:val="16"/>
        </w:rPr>
        <w:t xml:space="preserve">, </w:t>
      </w:r>
      <w:r>
        <w:rPr>
          <w:color w:val="231F20"/>
          <w:w w:val="105"/>
          <w:sz w:val="16"/>
        </w:rPr>
        <w:t>86</w:t>
      </w:r>
      <w:r>
        <w:rPr>
          <w:i/>
          <w:color w:val="231F20"/>
          <w:w w:val="105"/>
          <w:sz w:val="16"/>
        </w:rPr>
        <w:t xml:space="preserve">, </w:t>
      </w:r>
      <w:r>
        <w:rPr>
          <w:color w:val="231F20"/>
          <w:w w:val="105"/>
          <w:sz w:val="16"/>
        </w:rPr>
        <w:t xml:space="preserve">586; before </w:t>
      </w:r>
      <w:r w:rsidR="00C507A5">
        <w:rPr>
          <w:color w:val="231F20"/>
          <w:w w:val="105"/>
          <w:sz w:val="16"/>
        </w:rPr>
        <w:t>red army faction</w:t>
      </w:r>
      <w:r>
        <w:rPr>
          <w:color w:val="231F20"/>
          <w:w w:val="105"/>
          <w:sz w:val="16"/>
        </w:rPr>
        <w:t xml:space="preserve"> 48</w:t>
      </w:r>
      <w:r>
        <w:rPr>
          <w:i/>
          <w:color w:val="231F20"/>
          <w:w w:val="105"/>
          <w:sz w:val="16"/>
        </w:rPr>
        <w:t xml:space="preserve">, </w:t>
      </w:r>
      <w:r>
        <w:rPr>
          <w:color w:val="231F20"/>
          <w:w w:val="105"/>
          <w:sz w:val="16"/>
        </w:rPr>
        <w:t>50</w:t>
      </w:r>
      <w:r>
        <w:rPr>
          <w:i/>
          <w:color w:val="231F20"/>
          <w:w w:val="105"/>
          <w:sz w:val="16"/>
        </w:rPr>
        <w:t>,</w:t>
      </w:r>
    </w:p>
    <w:p w14:paraId="66E4A8FB" w14:textId="77777777" w:rsidR="002653E8" w:rsidRDefault="003115E3">
      <w:pPr>
        <w:spacing w:before="32"/>
        <w:ind w:left="1527"/>
        <w:rPr>
          <w:sz w:val="16"/>
        </w:rPr>
      </w:pPr>
      <w:r>
        <w:rPr>
          <w:color w:val="231F20"/>
          <w:sz w:val="16"/>
        </w:rPr>
        <w:t>51</w:t>
      </w:r>
      <w:r>
        <w:rPr>
          <w:i/>
          <w:color w:val="231F20"/>
          <w:sz w:val="16"/>
        </w:rPr>
        <w:t xml:space="preserve">, </w:t>
      </w:r>
      <w:r>
        <w:rPr>
          <w:color w:val="231F20"/>
          <w:sz w:val="16"/>
        </w:rPr>
        <w:t>581; captured (1971) 64</w:t>
      </w:r>
      <w:r>
        <w:rPr>
          <w:i/>
          <w:color w:val="231F20"/>
          <w:sz w:val="16"/>
        </w:rPr>
        <w:t xml:space="preserve">, </w:t>
      </w:r>
      <w:r>
        <w:rPr>
          <w:color w:val="231F20"/>
          <w:sz w:val="16"/>
        </w:rPr>
        <w:t>586;</w:t>
      </w:r>
    </w:p>
    <w:p w14:paraId="6D33A23D" w14:textId="77777777" w:rsidR="002653E8" w:rsidRDefault="003115E3">
      <w:pPr>
        <w:spacing w:before="33"/>
        <w:ind w:left="1527"/>
        <w:rPr>
          <w:sz w:val="16"/>
        </w:rPr>
      </w:pPr>
      <w:r>
        <w:rPr>
          <w:color w:val="231F20"/>
          <w:sz w:val="16"/>
        </w:rPr>
        <w:t>captured (1978)   529</w:t>
      </w:r>
      <w:r>
        <w:rPr>
          <w:i/>
          <w:color w:val="231F20"/>
          <w:sz w:val="16"/>
        </w:rPr>
        <w:t xml:space="preserve">, </w:t>
      </w:r>
      <w:r>
        <w:rPr>
          <w:color w:val="231F20"/>
          <w:sz w:val="16"/>
        </w:rPr>
        <w:t>611; dead wing</w:t>
      </w:r>
    </w:p>
    <w:p w14:paraId="70E3DE11" w14:textId="77777777" w:rsidR="002653E8" w:rsidRDefault="003115E3">
      <w:pPr>
        <w:spacing w:before="32"/>
        <w:ind w:left="1527"/>
        <w:rPr>
          <w:sz w:val="16"/>
        </w:rPr>
      </w:pPr>
      <w:r>
        <w:rPr>
          <w:color w:val="231F20"/>
          <w:w w:val="105"/>
          <w:sz w:val="16"/>
        </w:rPr>
        <w:t>238</w:t>
      </w:r>
      <w:r>
        <w:rPr>
          <w:i/>
          <w:color w:val="231F20"/>
          <w:w w:val="105"/>
          <w:sz w:val="16"/>
        </w:rPr>
        <w:t xml:space="preserve">, </w:t>
      </w:r>
      <w:r>
        <w:rPr>
          <w:color w:val="231F20"/>
          <w:w w:val="105"/>
          <w:sz w:val="16"/>
        </w:rPr>
        <w:t>239–240</w:t>
      </w:r>
      <w:r>
        <w:rPr>
          <w:i/>
          <w:color w:val="231F20"/>
          <w:w w:val="105"/>
          <w:sz w:val="16"/>
        </w:rPr>
        <w:t xml:space="preserve">, </w:t>
      </w:r>
      <w:r>
        <w:rPr>
          <w:color w:val="231F20"/>
          <w:w w:val="105"/>
          <w:sz w:val="16"/>
        </w:rPr>
        <w:t>302</w:t>
      </w:r>
      <w:r>
        <w:rPr>
          <w:i/>
          <w:color w:val="231F20"/>
          <w:w w:val="105"/>
          <w:sz w:val="16"/>
        </w:rPr>
        <w:t xml:space="preserve">, </w:t>
      </w:r>
      <w:r>
        <w:rPr>
          <w:color w:val="231F20"/>
          <w:w w:val="105"/>
          <w:sz w:val="16"/>
        </w:rPr>
        <w:t>410</w:t>
      </w:r>
      <w:r>
        <w:rPr>
          <w:i/>
          <w:color w:val="231F20"/>
          <w:w w:val="105"/>
          <w:sz w:val="16"/>
        </w:rPr>
        <w:t xml:space="preserve">, </w:t>
      </w:r>
      <w:r>
        <w:rPr>
          <w:color w:val="231F20"/>
          <w:w w:val="105"/>
          <w:sz w:val="16"/>
        </w:rPr>
        <w:t>588; escapes</w:t>
      </w:r>
    </w:p>
    <w:p w14:paraId="70CB1F32" w14:textId="77777777" w:rsidR="002653E8" w:rsidRDefault="003115E3">
      <w:pPr>
        <w:spacing w:before="33"/>
        <w:ind w:left="1527"/>
        <w:rPr>
          <w:i/>
          <w:sz w:val="16"/>
        </w:rPr>
      </w:pPr>
      <w:r>
        <w:rPr>
          <w:color w:val="231F20"/>
          <w:w w:val="105"/>
          <w:sz w:val="16"/>
        </w:rPr>
        <w:t>to England (1974-8) 240</w:t>
      </w:r>
      <w:r>
        <w:rPr>
          <w:i/>
          <w:color w:val="231F20"/>
          <w:w w:val="105"/>
          <w:sz w:val="16"/>
        </w:rPr>
        <w:t xml:space="preserve">, </w:t>
      </w:r>
      <w:r>
        <w:rPr>
          <w:color w:val="231F20"/>
          <w:w w:val="105"/>
          <w:sz w:val="16"/>
        </w:rPr>
        <w:t>529–530</w:t>
      </w:r>
      <w:r>
        <w:rPr>
          <w:i/>
          <w:color w:val="231F20"/>
          <w:w w:val="105"/>
          <w:sz w:val="16"/>
        </w:rPr>
        <w:t>,</w:t>
      </w:r>
    </w:p>
    <w:p w14:paraId="3B78A618" w14:textId="77777777" w:rsidR="002653E8" w:rsidRDefault="003115E3">
      <w:pPr>
        <w:spacing w:before="32"/>
        <w:ind w:left="1527"/>
        <w:rPr>
          <w:sz w:val="16"/>
        </w:rPr>
      </w:pPr>
      <w:r>
        <w:rPr>
          <w:color w:val="231F20"/>
          <w:sz w:val="16"/>
        </w:rPr>
        <w:t xml:space="preserve">594; library break-out 55; in </w:t>
      </w:r>
      <w:r w:rsidR="00C507A5">
        <w:rPr>
          <w:color w:val="231F20"/>
          <w:sz w:val="16"/>
        </w:rPr>
        <w:t>red army faction</w:t>
      </w:r>
    </w:p>
    <w:p w14:paraId="1E88B3F9" w14:textId="77777777" w:rsidR="002653E8" w:rsidRDefault="003115E3">
      <w:pPr>
        <w:spacing w:before="32"/>
        <w:ind w:left="1527"/>
        <w:rPr>
          <w:sz w:val="16"/>
        </w:rPr>
      </w:pPr>
      <w:r>
        <w:rPr>
          <w:color w:val="231F20"/>
          <w:sz w:val="16"/>
        </w:rPr>
        <w:t>161</w:t>
      </w:r>
      <w:r>
        <w:rPr>
          <w:i/>
          <w:color w:val="231F20"/>
          <w:sz w:val="16"/>
        </w:rPr>
        <w:t xml:space="preserve">, </w:t>
      </w:r>
      <w:r>
        <w:rPr>
          <w:color w:val="231F20"/>
          <w:sz w:val="16"/>
        </w:rPr>
        <w:t>585; trials 113</w:t>
      </w:r>
      <w:r>
        <w:rPr>
          <w:i/>
          <w:color w:val="231F20"/>
          <w:sz w:val="16"/>
        </w:rPr>
        <w:t xml:space="preserve">, </w:t>
      </w:r>
      <w:r>
        <w:rPr>
          <w:color w:val="231F20"/>
          <w:sz w:val="16"/>
        </w:rPr>
        <w:t>613</w:t>
      </w:r>
    </w:p>
    <w:p w14:paraId="7D6D1558" w14:textId="77777777" w:rsidR="002653E8" w:rsidRDefault="003115E3">
      <w:pPr>
        <w:spacing w:before="86"/>
        <w:ind w:left="234"/>
        <w:rPr>
          <w:sz w:val="16"/>
        </w:rPr>
      </w:pPr>
      <w:r>
        <w:br w:type="column"/>
      </w:r>
      <w:r>
        <w:rPr>
          <w:color w:val="231F20"/>
          <w:w w:val="105"/>
          <w:sz w:val="16"/>
        </w:rPr>
        <w:t>Proll, Thorwald  50</w:t>
      </w:r>
      <w:r>
        <w:rPr>
          <w:i/>
          <w:color w:val="231F20"/>
          <w:w w:val="105"/>
          <w:sz w:val="16"/>
        </w:rPr>
        <w:t xml:space="preserve">, </w:t>
      </w:r>
      <w:r>
        <w:rPr>
          <w:color w:val="231F20"/>
          <w:w w:val="105"/>
          <w:sz w:val="16"/>
        </w:rPr>
        <w:t>573; Closing trial</w:t>
      </w:r>
    </w:p>
    <w:p w14:paraId="5CD8D285" w14:textId="77777777" w:rsidR="002653E8" w:rsidRDefault="003115E3">
      <w:pPr>
        <w:spacing w:before="33"/>
        <w:ind w:left="434"/>
        <w:rPr>
          <w:sz w:val="16"/>
        </w:rPr>
      </w:pPr>
      <w:r>
        <w:rPr>
          <w:color w:val="231F20"/>
          <w:sz w:val="16"/>
        </w:rPr>
        <w:t>statement (1968)  66–78; Frankfurt</w:t>
      </w:r>
    </w:p>
    <w:p w14:paraId="05111468" w14:textId="77777777" w:rsidR="002653E8" w:rsidRDefault="003115E3">
      <w:pPr>
        <w:spacing w:before="32" w:line="280" w:lineRule="auto"/>
        <w:ind w:left="234" w:right="1400" w:firstLine="200"/>
        <w:jc w:val="both"/>
        <w:rPr>
          <w:sz w:val="16"/>
        </w:rPr>
      </w:pPr>
      <w:r>
        <w:rPr>
          <w:color w:val="231F20"/>
          <w:sz w:val="16"/>
        </w:rPr>
        <w:t>department stores 48–49</w:t>
      </w:r>
      <w:r>
        <w:rPr>
          <w:i/>
          <w:color w:val="231F20"/>
          <w:sz w:val="16"/>
        </w:rPr>
        <w:t xml:space="preserve">, </w:t>
      </w:r>
      <w:r>
        <w:rPr>
          <w:color w:val="231F20"/>
          <w:sz w:val="16"/>
        </w:rPr>
        <w:t>582</w:t>
      </w:r>
      <w:r>
        <w:rPr>
          <w:i/>
          <w:color w:val="231F20"/>
          <w:sz w:val="16"/>
        </w:rPr>
        <w:t xml:space="preserve">, </w:t>
      </w:r>
      <w:r>
        <w:rPr>
          <w:color w:val="231F20"/>
          <w:sz w:val="16"/>
        </w:rPr>
        <w:t>583 propaganda</w:t>
      </w:r>
      <w:r>
        <w:rPr>
          <w:i/>
          <w:color w:val="231F20"/>
          <w:sz w:val="16"/>
        </w:rPr>
        <w:t xml:space="preserve">. See </w:t>
      </w:r>
      <w:r>
        <w:rPr>
          <w:color w:val="231F20"/>
          <w:sz w:val="16"/>
        </w:rPr>
        <w:t>psychological warfare Protestants 20</w:t>
      </w:r>
      <w:r>
        <w:rPr>
          <w:i/>
          <w:color w:val="231F20"/>
          <w:sz w:val="16"/>
        </w:rPr>
        <w:t xml:space="preserve">, </w:t>
      </w:r>
      <w:r>
        <w:rPr>
          <w:color w:val="231F20"/>
          <w:sz w:val="16"/>
        </w:rPr>
        <w:t>257–258</w:t>
      </w:r>
    </w:p>
    <w:p w14:paraId="7B489652" w14:textId="77777777" w:rsidR="002653E8" w:rsidRDefault="003115E3">
      <w:pPr>
        <w:spacing w:before="2"/>
        <w:ind w:left="233" w:right="1241"/>
        <w:jc w:val="center"/>
        <w:rPr>
          <w:sz w:val="16"/>
        </w:rPr>
      </w:pPr>
      <w:r>
        <w:rPr>
          <w:color w:val="231F20"/>
          <w:sz w:val="16"/>
        </w:rPr>
        <w:t>protests; peace (1952) 21; nuclear weap-</w:t>
      </w:r>
    </w:p>
    <w:p w14:paraId="2ABBBF00" w14:textId="77777777" w:rsidR="002653E8" w:rsidRDefault="003115E3">
      <w:pPr>
        <w:spacing w:before="32"/>
        <w:ind w:left="434"/>
        <w:rPr>
          <w:sz w:val="16"/>
        </w:rPr>
      </w:pPr>
      <w:r>
        <w:rPr>
          <w:color w:val="231F20"/>
          <w:sz w:val="16"/>
        </w:rPr>
        <w:t>ons (1956) 22–23; Moise Tschombe</w:t>
      </w:r>
    </w:p>
    <w:p w14:paraId="7F9B3C89" w14:textId="77777777" w:rsidR="002653E8" w:rsidRDefault="003115E3">
      <w:pPr>
        <w:spacing w:before="33"/>
        <w:ind w:left="434"/>
        <w:rPr>
          <w:sz w:val="16"/>
        </w:rPr>
      </w:pPr>
      <w:r>
        <w:rPr>
          <w:color w:val="231F20"/>
          <w:sz w:val="16"/>
        </w:rPr>
        <w:t>(1964)   27–28</w:t>
      </w:r>
      <w:r>
        <w:rPr>
          <w:i/>
          <w:color w:val="231F20"/>
          <w:sz w:val="16"/>
        </w:rPr>
        <w:t xml:space="preserve">, </w:t>
      </w:r>
      <w:r>
        <w:rPr>
          <w:color w:val="231F20"/>
          <w:sz w:val="16"/>
        </w:rPr>
        <w:t>579; Vietnam War</w:t>
      </w:r>
    </w:p>
    <w:p w14:paraId="016E564C" w14:textId="77777777" w:rsidR="002653E8" w:rsidRDefault="003115E3">
      <w:pPr>
        <w:spacing w:before="32"/>
        <w:ind w:left="434"/>
        <w:rPr>
          <w:sz w:val="16"/>
        </w:rPr>
      </w:pPr>
      <w:r>
        <w:rPr>
          <w:color w:val="231F20"/>
          <w:w w:val="105"/>
          <w:sz w:val="16"/>
        </w:rPr>
        <w:t>(1964-) 35–36</w:t>
      </w:r>
      <w:r>
        <w:rPr>
          <w:i/>
          <w:color w:val="231F20"/>
          <w:w w:val="105"/>
          <w:sz w:val="16"/>
        </w:rPr>
        <w:t xml:space="preserve">, </w:t>
      </w:r>
      <w:r>
        <w:rPr>
          <w:color w:val="231F20"/>
          <w:w w:val="105"/>
          <w:sz w:val="16"/>
        </w:rPr>
        <w:t>579</w:t>
      </w:r>
      <w:r>
        <w:rPr>
          <w:i/>
          <w:color w:val="231F20"/>
          <w:w w:val="105"/>
          <w:sz w:val="16"/>
        </w:rPr>
        <w:t xml:space="preserve">, </w:t>
      </w:r>
      <w:r>
        <w:rPr>
          <w:color w:val="231F20"/>
          <w:w w:val="105"/>
          <w:sz w:val="16"/>
        </w:rPr>
        <w:t>581; Shah of</w:t>
      </w:r>
    </w:p>
    <w:p w14:paraId="00F16546" w14:textId="77777777" w:rsidR="002653E8" w:rsidRDefault="003115E3">
      <w:pPr>
        <w:spacing w:before="32"/>
        <w:ind w:left="434"/>
        <w:rPr>
          <w:sz w:val="16"/>
        </w:rPr>
      </w:pPr>
      <w:r>
        <w:rPr>
          <w:color w:val="231F20"/>
          <w:sz w:val="16"/>
        </w:rPr>
        <w:t>Iran (1967)   31–32</w:t>
      </w:r>
      <w:r>
        <w:rPr>
          <w:i/>
          <w:color w:val="231F20"/>
          <w:sz w:val="16"/>
        </w:rPr>
        <w:t xml:space="preserve">, </w:t>
      </w:r>
      <w:r>
        <w:rPr>
          <w:color w:val="231F20"/>
          <w:sz w:val="16"/>
        </w:rPr>
        <w:t>226; shooting</w:t>
      </w:r>
    </w:p>
    <w:p w14:paraId="47C6E2BB" w14:textId="77777777" w:rsidR="002653E8" w:rsidRDefault="003115E3">
      <w:pPr>
        <w:spacing w:before="33"/>
        <w:ind w:left="434"/>
        <w:rPr>
          <w:i/>
          <w:sz w:val="16"/>
        </w:rPr>
      </w:pPr>
      <w:r>
        <w:rPr>
          <w:color w:val="231F20"/>
          <w:sz w:val="16"/>
        </w:rPr>
        <w:t>of Benno Ohnesorg (1967) 33–34</w:t>
      </w:r>
      <w:r>
        <w:rPr>
          <w:i/>
          <w:color w:val="231F20"/>
          <w:sz w:val="16"/>
        </w:rPr>
        <w:t>,</w:t>
      </w:r>
    </w:p>
    <w:p w14:paraId="33F4FD08" w14:textId="77777777" w:rsidR="002653E8" w:rsidRDefault="003115E3">
      <w:pPr>
        <w:spacing w:before="32"/>
        <w:ind w:left="434"/>
        <w:rPr>
          <w:sz w:val="16"/>
        </w:rPr>
      </w:pPr>
      <w:r>
        <w:rPr>
          <w:color w:val="231F20"/>
          <w:sz w:val="16"/>
        </w:rPr>
        <w:t>580; anticommunist (1968)   36</w:t>
      </w:r>
      <w:r>
        <w:rPr>
          <w:i/>
          <w:color w:val="231F20"/>
          <w:sz w:val="16"/>
        </w:rPr>
        <w:t xml:space="preserve">, </w:t>
      </w:r>
      <w:r>
        <w:rPr>
          <w:color w:val="231F20"/>
          <w:sz w:val="16"/>
        </w:rPr>
        <w:t>581;</w:t>
      </w:r>
    </w:p>
    <w:p w14:paraId="589BE602" w14:textId="77777777" w:rsidR="002653E8" w:rsidRDefault="003115E3">
      <w:pPr>
        <w:spacing w:before="33" w:line="280" w:lineRule="auto"/>
        <w:ind w:left="434" w:right="1362"/>
        <w:jc w:val="both"/>
        <w:rPr>
          <w:sz w:val="16"/>
        </w:rPr>
      </w:pPr>
      <w:r>
        <w:rPr>
          <w:color w:val="231F20"/>
          <w:sz w:val="16"/>
        </w:rPr>
        <w:t>anti-Notstandgesetze (1968) 38–39; attempted assassination of Dutschke (1968)   36–37</w:t>
      </w:r>
      <w:r>
        <w:rPr>
          <w:i/>
          <w:color w:val="231F20"/>
          <w:sz w:val="16"/>
        </w:rPr>
        <w:t xml:space="preserve">, </w:t>
      </w:r>
      <w:r>
        <w:rPr>
          <w:color w:val="231F20"/>
          <w:sz w:val="16"/>
        </w:rPr>
        <w:t>111</w:t>
      </w:r>
      <w:r>
        <w:rPr>
          <w:i/>
          <w:color w:val="231F20"/>
          <w:sz w:val="16"/>
        </w:rPr>
        <w:t xml:space="preserve">, </w:t>
      </w:r>
      <w:r>
        <w:rPr>
          <w:color w:val="231F20"/>
          <w:sz w:val="16"/>
        </w:rPr>
        <w:t>207</w:t>
      </w:r>
      <w:r>
        <w:rPr>
          <w:i/>
          <w:color w:val="231F20"/>
          <w:sz w:val="16"/>
        </w:rPr>
        <w:t xml:space="preserve">, </w:t>
      </w:r>
      <w:r>
        <w:rPr>
          <w:color w:val="231F20"/>
          <w:sz w:val="16"/>
        </w:rPr>
        <w:t>307; Battle</w:t>
      </w:r>
    </w:p>
    <w:p w14:paraId="6FD3CD37" w14:textId="77777777" w:rsidR="002653E8" w:rsidRDefault="003115E3">
      <w:pPr>
        <w:spacing w:before="1"/>
        <w:ind w:left="434"/>
        <w:rPr>
          <w:sz w:val="16"/>
        </w:rPr>
      </w:pPr>
      <w:r>
        <w:rPr>
          <w:color w:val="231F20"/>
          <w:sz w:val="16"/>
        </w:rPr>
        <w:t>of Tegeler Weg  (1968)   40</w:t>
      </w:r>
      <w:r>
        <w:rPr>
          <w:i/>
          <w:color w:val="231F20"/>
          <w:sz w:val="16"/>
        </w:rPr>
        <w:t xml:space="preserve">, </w:t>
      </w:r>
      <w:r>
        <w:rPr>
          <w:color w:val="231F20"/>
          <w:sz w:val="16"/>
        </w:rPr>
        <w:t>288</w:t>
      </w:r>
      <w:r>
        <w:rPr>
          <w:i/>
          <w:color w:val="231F20"/>
          <w:sz w:val="16"/>
        </w:rPr>
        <w:t xml:space="preserve">, </w:t>
      </w:r>
      <w:r>
        <w:rPr>
          <w:color w:val="231F20"/>
          <w:sz w:val="16"/>
        </w:rPr>
        <w:t>583;</w:t>
      </w:r>
    </w:p>
    <w:p w14:paraId="2B74A5CD" w14:textId="77777777" w:rsidR="002653E8" w:rsidRDefault="003115E3">
      <w:pPr>
        <w:spacing w:before="33"/>
        <w:ind w:left="434"/>
        <w:rPr>
          <w:sz w:val="16"/>
        </w:rPr>
      </w:pPr>
      <w:r>
        <w:rPr>
          <w:color w:val="231F20"/>
          <w:sz w:val="16"/>
        </w:rPr>
        <w:t>Nixon (1969) 583; shooting of Georg</w:t>
      </w:r>
    </w:p>
    <w:p w14:paraId="350975D3" w14:textId="77777777" w:rsidR="002653E8" w:rsidRDefault="003115E3">
      <w:pPr>
        <w:spacing w:before="32"/>
        <w:ind w:left="434"/>
        <w:rPr>
          <w:sz w:val="16"/>
        </w:rPr>
      </w:pPr>
      <w:r>
        <w:rPr>
          <w:color w:val="231F20"/>
          <w:w w:val="105"/>
          <w:sz w:val="16"/>
        </w:rPr>
        <w:t>von Rauch (1971) 110</w:t>
      </w:r>
      <w:r>
        <w:rPr>
          <w:i/>
          <w:color w:val="231F20"/>
          <w:w w:val="105"/>
          <w:sz w:val="16"/>
        </w:rPr>
        <w:t xml:space="preserve">, </w:t>
      </w:r>
      <w:r>
        <w:rPr>
          <w:color w:val="231F20"/>
          <w:w w:val="105"/>
          <w:sz w:val="16"/>
        </w:rPr>
        <w:t>588; for</w:t>
      </w:r>
    </w:p>
    <w:p w14:paraId="46F9FD03" w14:textId="77777777" w:rsidR="002653E8" w:rsidRDefault="003115E3">
      <w:pPr>
        <w:spacing w:before="33"/>
        <w:ind w:left="434"/>
        <w:rPr>
          <w:sz w:val="16"/>
        </w:rPr>
      </w:pPr>
      <w:r>
        <w:rPr>
          <w:color w:val="231F20"/>
          <w:sz w:val="16"/>
        </w:rPr>
        <w:t>abortion rights (1974)  446; death</w:t>
      </w:r>
    </w:p>
    <w:p w14:paraId="7F6C425D" w14:textId="77777777" w:rsidR="002653E8" w:rsidRDefault="003115E3">
      <w:pPr>
        <w:spacing w:before="32"/>
        <w:ind w:left="434"/>
        <w:rPr>
          <w:i/>
          <w:sz w:val="16"/>
        </w:rPr>
      </w:pPr>
      <w:r>
        <w:rPr>
          <w:color w:val="231F20"/>
          <w:w w:val="105"/>
          <w:sz w:val="16"/>
        </w:rPr>
        <w:t>of Holger Meins (1974) 261–262</w:t>
      </w:r>
      <w:r>
        <w:rPr>
          <w:i/>
          <w:color w:val="231F20"/>
          <w:w w:val="105"/>
          <w:sz w:val="16"/>
        </w:rPr>
        <w:t>,</w:t>
      </w:r>
    </w:p>
    <w:p w14:paraId="773AE7A9" w14:textId="77777777" w:rsidR="002653E8" w:rsidRDefault="003115E3">
      <w:pPr>
        <w:spacing w:before="32"/>
        <w:ind w:left="434"/>
        <w:rPr>
          <w:sz w:val="16"/>
        </w:rPr>
      </w:pPr>
      <w:r>
        <w:rPr>
          <w:color w:val="231F20"/>
          <w:w w:val="105"/>
          <w:sz w:val="16"/>
        </w:rPr>
        <w:t>263–265</w:t>
      </w:r>
      <w:r>
        <w:rPr>
          <w:i/>
          <w:color w:val="231F20"/>
          <w:w w:val="105"/>
          <w:sz w:val="16"/>
        </w:rPr>
        <w:t xml:space="preserve">, </w:t>
      </w:r>
      <w:r>
        <w:rPr>
          <w:color w:val="231F20"/>
          <w:w w:val="105"/>
          <w:sz w:val="16"/>
        </w:rPr>
        <w:t>344</w:t>
      </w:r>
      <w:r>
        <w:rPr>
          <w:i/>
          <w:color w:val="231F20"/>
          <w:w w:val="105"/>
          <w:sz w:val="16"/>
        </w:rPr>
        <w:t xml:space="preserve">, </w:t>
      </w:r>
      <w:r>
        <w:rPr>
          <w:color w:val="231F20"/>
          <w:w w:val="105"/>
          <w:sz w:val="16"/>
        </w:rPr>
        <w:t>416</w:t>
      </w:r>
      <w:r>
        <w:rPr>
          <w:i/>
          <w:color w:val="231F20"/>
          <w:w w:val="105"/>
          <w:sz w:val="16"/>
        </w:rPr>
        <w:t xml:space="preserve">, </w:t>
      </w:r>
      <w:r>
        <w:rPr>
          <w:color w:val="231F20"/>
          <w:w w:val="105"/>
          <w:sz w:val="16"/>
        </w:rPr>
        <w:t>459</w:t>
      </w:r>
      <w:r>
        <w:rPr>
          <w:i/>
          <w:color w:val="231F20"/>
          <w:w w:val="105"/>
          <w:sz w:val="16"/>
        </w:rPr>
        <w:t xml:space="preserve">, </w:t>
      </w:r>
      <w:r>
        <w:rPr>
          <w:color w:val="231F20"/>
          <w:w w:val="105"/>
          <w:sz w:val="16"/>
        </w:rPr>
        <w:t>595; Wyhl</w:t>
      </w:r>
    </w:p>
    <w:p w14:paraId="29D64498" w14:textId="77777777" w:rsidR="002653E8" w:rsidRDefault="003115E3">
      <w:pPr>
        <w:spacing w:before="33"/>
        <w:ind w:left="434"/>
        <w:rPr>
          <w:sz w:val="16"/>
        </w:rPr>
      </w:pPr>
      <w:r>
        <w:rPr>
          <w:color w:val="231F20"/>
          <w:sz w:val="16"/>
        </w:rPr>
        <w:t>(1975) 449</w:t>
      </w:r>
      <w:r>
        <w:rPr>
          <w:i/>
          <w:color w:val="231F20"/>
          <w:sz w:val="16"/>
        </w:rPr>
        <w:t xml:space="preserve">, </w:t>
      </w:r>
      <w:r>
        <w:rPr>
          <w:color w:val="231F20"/>
          <w:sz w:val="16"/>
        </w:rPr>
        <w:t>450; death of Ulrike</w:t>
      </w:r>
    </w:p>
    <w:p w14:paraId="1C123AFC" w14:textId="77777777" w:rsidR="002653E8" w:rsidRDefault="003115E3">
      <w:pPr>
        <w:spacing w:before="32"/>
        <w:ind w:left="434"/>
        <w:rPr>
          <w:i/>
          <w:sz w:val="16"/>
        </w:rPr>
      </w:pPr>
      <w:r>
        <w:rPr>
          <w:color w:val="231F20"/>
          <w:w w:val="105"/>
          <w:sz w:val="16"/>
        </w:rPr>
        <w:t>Meinhof (1976) 388–391</w:t>
      </w:r>
      <w:r>
        <w:rPr>
          <w:i/>
          <w:color w:val="231F20"/>
          <w:w w:val="105"/>
          <w:sz w:val="16"/>
        </w:rPr>
        <w:t xml:space="preserve">, </w:t>
      </w:r>
      <w:r>
        <w:rPr>
          <w:color w:val="231F20"/>
          <w:w w:val="105"/>
          <w:sz w:val="16"/>
        </w:rPr>
        <w:t>441</w:t>
      </w:r>
      <w:r>
        <w:rPr>
          <w:i/>
          <w:color w:val="231F20"/>
          <w:w w:val="105"/>
          <w:sz w:val="16"/>
        </w:rPr>
        <w:t xml:space="preserve">, </w:t>
      </w:r>
      <w:r>
        <w:rPr>
          <w:color w:val="231F20"/>
          <w:w w:val="105"/>
          <w:sz w:val="16"/>
        </w:rPr>
        <w:t>442</w:t>
      </w:r>
      <w:r>
        <w:rPr>
          <w:i/>
          <w:color w:val="231F20"/>
          <w:w w:val="105"/>
          <w:sz w:val="16"/>
        </w:rPr>
        <w:t>,</w:t>
      </w:r>
    </w:p>
    <w:p w14:paraId="026D9F21" w14:textId="77777777" w:rsidR="002653E8" w:rsidRDefault="003115E3">
      <w:pPr>
        <w:spacing w:before="33"/>
        <w:ind w:left="434"/>
        <w:rPr>
          <w:sz w:val="16"/>
        </w:rPr>
      </w:pPr>
      <w:r>
        <w:rPr>
          <w:color w:val="231F20"/>
          <w:sz w:val="16"/>
        </w:rPr>
        <w:t>600</w:t>
      </w:r>
      <w:r>
        <w:rPr>
          <w:i/>
          <w:color w:val="231F20"/>
          <w:sz w:val="16"/>
        </w:rPr>
        <w:t xml:space="preserve">, </w:t>
      </w:r>
      <w:r>
        <w:rPr>
          <w:color w:val="231F20"/>
          <w:sz w:val="16"/>
        </w:rPr>
        <w:t>601; anti-communist ban (1977)</w:t>
      </w:r>
    </w:p>
    <w:p w14:paraId="427E76B3" w14:textId="77777777" w:rsidR="002653E8" w:rsidRDefault="003115E3">
      <w:pPr>
        <w:spacing w:before="32"/>
        <w:ind w:left="434"/>
        <w:rPr>
          <w:sz w:val="16"/>
        </w:rPr>
      </w:pPr>
      <w:r>
        <w:rPr>
          <w:color w:val="231F20"/>
          <w:sz w:val="16"/>
        </w:rPr>
        <w:t>538</w:t>
      </w:r>
      <w:r>
        <w:rPr>
          <w:i/>
          <w:color w:val="231F20"/>
          <w:sz w:val="16"/>
        </w:rPr>
        <w:t xml:space="preserve">, </w:t>
      </w:r>
      <w:r>
        <w:rPr>
          <w:color w:val="231F20"/>
          <w:sz w:val="16"/>
        </w:rPr>
        <w:t>608; Stammheim deaths (1977)</w:t>
      </w:r>
    </w:p>
    <w:p w14:paraId="089C9656" w14:textId="77777777" w:rsidR="002653E8" w:rsidRDefault="003115E3">
      <w:pPr>
        <w:spacing w:before="32"/>
        <w:ind w:left="434"/>
        <w:rPr>
          <w:sz w:val="16"/>
        </w:rPr>
      </w:pPr>
      <w:r>
        <w:rPr>
          <w:color w:val="231F20"/>
          <w:sz w:val="16"/>
        </w:rPr>
        <w:t>521–524; peace (1981)   614; IMF</w:t>
      </w:r>
    </w:p>
    <w:p w14:paraId="7A401B88" w14:textId="77777777" w:rsidR="002653E8" w:rsidRDefault="003115E3">
      <w:pPr>
        <w:spacing w:before="33" w:line="280" w:lineRule="auto"/>
        <w:ind w:left="234" w:right="949" w:firstLine="200"/>
        <w:rPr>
          <w:i/>
          <w:sz w:val="16"/>
        </w:rPr>
      </w:pPr>
      <w:r>
        <w:rPr>
          <w:color w:val="231F20"/>
          <w:sz w:val="16"/>
        </w:rPr>
        <w:t>World Economic Summit (1992) 622 Psychiatric Clinic in Magdeburg 384 psychological warfare 61</w:t>
      </w:r>
      <w:r>
        <w:rPr>
          <w:i/>
          <w:color w:val="231F20"/>
          <w:sz w:val="16"/>
        </w:rPr>
        <w:t xml:space="preserve">, </w:t>
      </w:r>
      <w:r>
        <w:rPr>
          <w:color w:val="231F20"/>
          <w:sz w:val="16"/>
        </w:rPr>
        <w:t>237–238</w:t>
      </w:r>
      <w:r>
        <w:rPr>
          <w:i/>
          <w:color w:val="231F20"/>
          <w:sz w:val="16"/>
        </w:rPr>
        <w:t>,</w:t>
      </w:r>
    </w:p>
    <w:p w14:paraId="086D3CC0" w14:textId="77777777" w:rsidR="002653E8" w:rsidRDefault="003115E3">
      <w:pPr>
        <w:spacing w:before="1" w:line="280" w:lineRule="auto"/>
        <w:ind w:left="434" w:right="949"/>
        <w:rPr>
          <w:i/>
          <w:sz w:val="16"/>
        </w:rPr>
      </w:pPr>
      <w:r>
        <w:rPr>
          <w:color w:val="231F20"/>
          <w:sz w:val="16"/>
        </w:rPr>
        <w:t>429</w:t>
      </w:r>
      <w:r>
        <w:rPr>
          <w:i/>
          <w:color w:val="231F20"/>
          <w:sz w:val="16"/>
        </w:rPr>
        <w:t xml:space="preserve">, </w:t>
      </w:r>
      <w:r>
        <w:rPr>
          <w:color w:val="231F20"/>
          <w:sz w:val="16"/>
        </w:rPr>
        <w:t>461</w:t>
      </w:r>
      <w:r>
        <w:rPr>
          <w:i/>
          <w:color w:val="231F20"/>
          <w:sz w:val="16"/>
        </w:rPr>
        <w:t xml:space="preserve">, </w:t>
      </w:r>
      <w:r>
        <w:rPr>
          <w:color w:val="231F20"/>
          <w:sz w:val="16"/>
        </w:rPr>
        <w:t>464–466</w:t>
      </w:r>
      <w:r>
        <w:rPr>
          <w:i/>
          <w:color w:val="231F20"/>
          <w:sz w:val="16"/>
        </w:rPr>
        <w:t xml:space="preserve">. See also </w:t>
      </w:r>
      <w:r>
        <w:rPr>
          <w:color w:val="231F20"/>
          <w:sz w:val="16"/>
        </w:rPr>
        <w:t>false flag actions</w:t>
      </w:r>
      <w:r>
        <w:rPr>
          <w:i/>
          <w:color w:val="231F20"/>
          <w:sz w:val="16"/>
        </w:rPr>
        <w:t xml:space="preserve">; See </w:t>
      </w:r>
      <w:r>
        <w:rPr>
          <w:color w:val="231F20"/>
          <w:sz w:val="16"/>
        </w:rPr>
        <w:t>Baader, Andreas: hate campaign, target of</w:t>
      </w:r>
      <w:r>
        <w:rPr>
          <w:i/>
          <w:color w:val="231F20"/>
          <w:sz w:val="16"/>
        </w:rPr>
        <w:t xml:space="preserve">; See </w:t>
      </w:r>
      <w:r>
        <w:rPr>
          <w:color w:val="231F20"/>
          <w:sz w:val="16"/>
        </w:rPr>
        <w:t>Meinhof, Ulrike— death in Stammheim: psychological warfare</w:t>
      </w:r>
      <w:r>
        <w:rPr>
          <w:i/>
          <w:color w:val="231F20"/>
          <w:sz w:val="16"/>
        </w:rPr>
        <w:t xml:space="preserve">; See also </w:t>
      </w:r>
      <w:r>
        <w:rPr>
          <w:color w:val="231F20"/>
          <w:sz w:val="16"/>
        </w:rPr>
        <w:t>news media; anarchist smear 315–316; BAW 379</w:t>
      </w:r>
      <w:r>
        <w:rPr>
          <w:i/>
          <w:color w:val="231F20"/>
          <w:sz w:val="16"/>
        </w:rPr>
        <w:t xml:space="preserve">, </w:t>
      </w:r>
      <w:r>
        <w:rPr>
          <w:color w:val="231F20"/>
          <w:sz w:val="16"/>
        </w:rPr>
        <w:t>381</w:t>
      </w:r>
      <w:r>
        <w:rPr>
          <w:i/>
          <w:color w:val="231F20"/>
          <w:sz w:val="16"/>
        </w:rPr>
        <w:t xml:space="preserve">, </w:t>
      </w:r>
      <w:r>
        <w:rPr>
          <w:color w:val="231F20"/>
          <w:sz w:val="16"/>
        </w:rPr>
        <w:t>398</w:t>
      </w:r>
      <w:r>
        <w:rPr>
          <w:i/>
          <w:color w:val="231F20"/>
          <w:sz w:val="16"/>
        </w:rPr>
        <w:t>,</w:t>
      </w:r>
    </w:p>
    <w:p w14:paraId="61C04D77" w14:textId="77777777" w:rsidR="002653E8" w:rsidRDefault="003115E3">
      <w:pPr>
        <w:spacing w:before="4"/>
        <w:ind w:left="434"/>
        <w:rPr>
          <w:i/>
          <w:sz w:val="16"/>
        </w:rPr>
      </w:pPr>
      <w:r>
        <w:rPr>
          <w:color w:val="231F20"/>
          <w:w w:val="105"/>
          <w:sz w:val="16"/>
        </w:rPr>
        <w:t>400</w:t>
      </w:r>
      <w:r>
        <w:rPr>
          <w:i/>
          <w:color w:val="231F20"/>
          <w:w w:val="105"/>
          <w:sz w:val="16"/>
        </w:rPr>
        <w:t xml:space="preserve">, </w:t>
      </w:r>
      <w:r>
        <w:rPr>
          <w:color w:val="231F20"/>
          <w:w w:val="105"/>
          <w:sz w:val="16"/>
        </w:rPr>
        <w:t>412</w:t>
      </w:r>
      <w:r>
        <w:rPr>
          <w:i/>
          <w:color w:val="231F20"/>
          <w:w w:val="105"/>
          <w:sz w:val="16"/>
        </w:rPr>
        <w:t xml:space="preserve">, </w:t>
      </w:r>
      <w:r>
        <w:rPr>
          <w:color w:val="231F20"/>
          <w:w w:val="105"/>
          <w:sz w:val="16"/>
        </w:rPr>
        <w:t>422–423</w:t>
      </w:r>
      <w:r>
        <w:rPr>
          <w:i/>
          <w:color w:val="231F20"/>
          <w:w w:val="105"/>
          <w:sz w:val="16"/>
        </w:rPr>
        <w:t xml:space="preserve">, </w:t>
      </w:r>
      <w:r>
        <w:rPr>
          <w:color w:val="231F20"/>
          <w:w w:val="105"/>
          <w:sz w:val="16"/>
        </w:rPr>
        <w:t>430; BKA  232</w:t>
      </w:r>
      <w:r>
        <w:rPr>
          <w:i/>
          <w:color w:val="231F20"/>
          <w:w w:val="105"/>
          <w:sz w:val="16"/>
        </w:rPr>
        <w:t>,</w:t>
      </w:r>
    </w:p>
    <w:p w14:paraId="2968C585" w14:textId="77777777" w:rsidR="002653E8" w:rsidRDefault="003115E3">
      <w:pPr>
        <w:spacing w:before="32"/>
        <w:ind w:left="434"/>
        <w:rPr>
          <w:sz w:val="16"/>
        </w:rPr>
      </w:pPr>
      <w:r>
        <w:rPr>
          <w:color w:val="231F20"/>
          <w:w w:val="110"/>
          <w:sz w:val="16"/>
        </w:rPr>
        <w:t>290</w:t>
      </w:r>
      <w:r>
        <w:rPr>
          <w:i/>
          <w:color w:val="231F20"/>
          <w:w w:val="110"/>
          <w:sz w:val="16"/>
        </w:rPr>
        <w:t xml:space="preserve">, </w:t>
      </w:r>
      <w:r>
        <w:rPr>
          <w:color w:val="231F20"/>
          <w:w w:val="110"/>
          <w:sz w:val="16"/>
        </w:rPr>
        <w:t>304</w:t>
      </w:r>
      <w:r>
        <w:rPr>
          <w:i/>
          <w:color w:val="231F20"/>
          <w:w w:val="110"/>
          <w:sz w:val="16"/>
        </w:rPr>
        <w:t xml:space="preserve">, </w:t>
      </w:r>
      <w:r>
        <w:rPr>
          <w:color w:val="231F20"/>
          <w:w w:val="110"/>
          <w:sz w:val="16"/>
        </w:rPr>
        <w:t>350</w:t>
      </w:r>
      <w:r>
        <w:rPr>
          <w:i/>
          <w:color w:val="231F20"/>
          <w:w w:val="110"/>
          <w:sz w:val="16"/>
        </w:rPr>
        <w:t xml:space="preserve">, </w:t>
      </w:r>
      <w:r>
        <w:rPr>
          <w:color w:val="231F20"/>
          <w:w w:val="110"/>
          <w:sz w:val="16"/>
        </w:rPr>
        <w:t>379</w:t>
      </w:r>
      <w:r>
        <w:rPr>
          <w:i/>
          <w:color w:val="231F20"/>
          <w:w w:val="110"/>
          <w:sz w:val="16"/>
        </w:rPr>
        <w:t xml:space="preserve">, </w:t>
      </w:r>
      <w:r>
        <w:rPr>
          <w:color w:val="231F20"/>
          <w:w w:val="110"/>
          <w:sz w:val="16"/>
        </w:rPr>
        <w:t>400</w:t>
      </w:r>
      <w:r>
        <w:rPr>
          <w:i/>
          <w:color w:val="231F20"/>
          <w:w w:val="110"/>
          <w:sz w:val="16"/>
        </w:rPr>
        <w:t xml:space="preserve">, </w:t>
      </w:r>
      <w:r>
        <w:rPr>
          <w:color w:val="231F20"/>
          <w:w w:val="110"/>
          <w:sz w:val="16"/>
        </w:rPr>
        <w:t>412; Bonn</w:t>
      </w:r>
    </w:p>
    <w:p w14:paraId="336E3963" w14:textId="77777777" w:rsidR="002653E8" w:rsidRDefault="003115E3">
      <w:pPr>
        <w:spacing w:before="33"/>
        <w:ind w:left="434"/>
        <w:rPr>
          <w:sz w:val="16"/>
        </w:rPr>
      </w:pPr>
      <w:r>
        <w:rPr>
          <w:color w:val="231F20"/>
          <w:w w:val="105"/>
          <w:sz w:val="16"/>
        </w:rPr>
        <w:t>Security Group 232</w:t>
      </w:r>
      <w:r>
        <w:rPr>
          <w:i/>
          <w:color w:val="231F20"/>
          <w:w w:val="105"/>
          <w:sz w:val="16"/>
        </w:rPr>
        <w:t xml:space="preserve">, </w:t>
      </w:r>
      <w:r>
        <w:rPr>
          <w:color w:val="231F20"/>
          <w:w w:val="105"/>
          <w:sz w:val="16"/>
        </w:rPr>
        <w:t>286</w:t>
      </w:r>
      <w:r>
        <w:rPr>
          <w:i/>
          <w:color w:val="231F20"/>
          <w:w w:val="105"/>
          <w:sz w:val="16"/>
        </w:rPr>
        <w:t xml:space="preserve">, </w:t>
      </w:r>
      <w:r>
        <w:rPr>
          <w:color w:val="231F20"/>
          <w:w w:val="105"/>
          <w:sz w:val="16"/>
        </w:rPr>
        <w:t>290; former</w:t>
      </w:r>
    </w:p>
    <w:p w14:paraId="269C5C0A" w14:textId="77777777" w:rsidR="002653E8" w:rsidRDefault="003115E3">
      <w:pPr>
        <w:spacing w:before="32"/>
        <w:ind w:left="434"/>
        <w:rPr>
          <w:sz w:val="16"/>
        </w:rPr>
      </w:pPr>
      <w:r>
        <w:rPr>
          <w:color w:val="231F20"/>
          <w:w w:val="105"/>
          <w:sz w:val="16"/>
        </w:rPr>
        <w:t>guerillas 113</w:t>
      </w:r>
      <w:r>
        <w:rPr>
          <w:i/>
          <w:color w:val="231F20"/>
          <w:w w:val="105"/>
          <w:sz w:val="16"/>
        </w:rPr>
        <w:t xml:space="preserve">, </w:t>
      </w:r>
      <w:r>
        <w:rPr>
          <w:color w:val="231F20"/>
          <w:w w:val="105"/>
          <w:sz w:val="16"/>
        </w:rPr>
        <w:t>154–155</w:t>
      </w:r>
      <w:r>
        <w:rPr>
          <w:i/>
          <w:color w:val="231F20"/>
          <w:w w:val="105"/>
          <w:sz w:val="16"/>
        </w:rPr>
        <w:t xml:space="preserve">, </w:t>
      </w:r>
      <w:r>
        <w:rPr>
          <w:color w:val="231F20"/>
          <w:w w:val="105"/>
          <w:sz w:val="16"/>
        </w:rPr>
        <w:t>263</w:t>
      </w:r>
      <w:r>
        <w:rPr>
          <w:i/>
          <w:color w:val="231F20"/>
          <w:w w:val="105"/>
          <w:sz w:val="16"/>
        </w:rPr>
        <w:t xml:space="preserve">, </w:t>
      </w:r>
      <w:r>
        <w:rPr>
          <w:color w:val="231F20"/>
          <w:w w:val="105"/>
          <w:sz w:val="16"/>
        </w:rPr>
        <w:t>352;</w:t>
      </w:r>
    </w:p>
    <w:p w14:paraId="5783B3A3" w14:textId="77777777" w:rsidR="002653E8" w:rsidRDefault="003115E3">
      <w:pPr>
        <w:spacing w:before="32"/>
        <w:ind w:left="434"/>
        <w:rPr>
          <w:i/>
          <w:sz w:val="16"/>
        </w:rPr>
      </w:pPr>
      <w:r>
        <w:rPr>
          <w:color w:val="231F20"/>
          <w:w w:val="105"/>
          <w:sz w:val="16"/>
        </w:rPr>
        <w:t>Ulrike Meinhof on 354</w:t>
      </w:r>
      <w:r>
        <w:rPr>
          <w:i/>
          <w:color w:val="231F20"/>
          <w:w w:val="105"/>
          <w:sz w:val="16"/>
        </w:rPr>
        <w:t xml:space="preserve">, </w:t>
      </w:r>
      <w:r>
        <w:rPr>
          <w:color w:val="231F20"/>
          <w:w w:val="105"/>
          <w:sz w:val="16"/>
        </w:rPr>
        <w:t>359</w:t>
      </w:r>
      <w:r>
        <w:rPr>
          <w:i/>
          <w:color w:val="231F20"/>
          <w:w w:val="105"/>
          <w:sz w:val="16"/>
        </w:rPr>
        <w:t xml:space="preserve">, </w:t>
      </w:r>
      <w:r>
        <w:rPr>
          <w:color w:val="231F20"/>
          <w:w w:val="105"/>
          <w:sz w:val="16"/>
        </w:rPr>
        <w:t>365–366</w:t>
      </w:r>
      <w:r>
        <w:rPr>
          <w:i/>
          <w:color w:val="231F20"/>
          <w:w w:val="105"/>
          <w:sz w:val="16"/>
        </w:rPr>
        <w:t>,</w:t>
      </w:r>
    </w:p>
    <w:p w14:paraId="728F6368" w14:textId="77777777" w:rsidR="002653E8" w:rsidRDefault="003115E3">
      <w:pPr>
        <w:spacing w:before="33"/>
        <w:ind w:left="434"/>
        <w:rPr>
          <w:i/>
          <w:sz w:val="16"/>
        </w:rPr>
      </w:pPr>
      <w:r>
        <w:rPr>
          <w:color w:val="231F20"/>
          <w:w w:val="105"/>
          <w:sz w:val="16"/>
        </w:rPr>
        <w:t xml:space="preserve">367–368; use of </w:t>
      </w:r>
      <w:r w:rsidR="00C507A5">
        <w:rPr>
          <w:color w:val="231F20"/>
          <w:w w:val="105"/>
          <w:sz w:val="16"/>
        </w:rPr>
        <w:t>red army faction</w:t>
      </w:r>
      <w:r>
        <w:rPr>
          <w:color w:val="231F20"/>
          <w:w w:val="105"/>
          <w:sz w:val="16"/>
        </w:rPr>
        <w:t xml:space="preserve"> 117</w:t>
      </w:r>
      <w:r>
        <w:rPr>
          <w:i/>
          <w:color w:val="231F20"/>
          <w:w w:val="105"/>
          <w:sz w:val="16"/>
        </w:rPr>
        <w:t xml:space="preserve">, </w:t>
      </w:r>
      <w:r>
        <w:rPr>
          <w:color w:val="231F20"/>
          <w:w w:val="105"/>
          <w:sz w:val="16"/>
        </w:rPr>
        <w:t>140–141</w:t>
      </w:r>
      <w:r>
        <w:rPr>
          <w:i/>
          <w:color w:val="231F20"/>
          <w:w w:val="105"/>
          <w:sz w:val="16"/>
        </w:rPr>
        <w:t>,</w:t>
      </w:r>
    </w:p>
    <w:p w14:paraId="01E57BE7" w14:textId="77777777" w:rsidR="002653E8" w:rsidRDefault="003115E3">
      <w:pPr>
        <w:spacing w:before="32"/>
        <w:ind w:left="434"/>
        <w:rPr>
          <w:sz w:val="16"/>
        </w:rPr>
      </w:pPr>
      <w:r>
        <w:rPr>
          <w:color w:val="231F20"/>
          <w:w w:val="105"/>
          <w:sz w:val="16"/>
        </w:rPr>
        <w:t>142</w:t>
      </w:r>
      <w:r>
        <w:rPr>
          <w:i/>
          <w:color w:val="231F20"/>
          <w:w w:val="105"/>
          <w:sz w:val="16"/>
        </w:rPr>
        <w:t xml:space="preserve">, </w:t>
      </w:r>
      <w:r>
        <w:rPr>
          <w:color w:val="231F20"/>
          <w:w w:val="105"/>
          <w:sz w:val="16"/>
        </w:rPr>
        <w:t>233</w:t>
      </w:r>
    </w:p>
    <w:p w14:paraId="5BCF0EC7" w14:textId="77777777" w:rsidR="002653E8" w:rsidRDefault="003115E3">
      <w:pPr>
        <w:spacing w:before="33" w:line="280" w:lineRule="auto"/>
        <w:ind w:left="434" w:right="949" w:hanging="200"/>
        <w:rPr>
          <w:sz w:val="16"/>
        </w:rPr>
      </w:pPr>
      <w:r>
        <w:rPr>
          <w:color w:val="231F20"/>
          <w:sz w:val="16"/>
        </w:rPr>
        <w:t>Public Service, Transport, and Communication Union 22</w:t>
      </w:r>
      <w:r>
        <w:rPr>
          <w:i/>
          <w:color w:val="231F20"/>
          <w:sz w:val="16"/>
        </w:rPr>
        <w:t xml:space="preserve">, </w:t>
      </w:r>
      <w:r>
        <w:rPr>
          <w:color w:val="231F20"/>
          <w:sz w:val="16"/>
        </w:rPr>
        <w:t>169</w:t>
      </w:r>
    </w:p>
    <w:p w14:paraId="3176DB89" w14:textId="77777777" w:rsidR="002653E8" w:rsidRDefault="002653E8">
      <w:pPr>
        <w:spacing w:line="280" w:lineRule="auto"/>
        <w:rPr>
          <w:sz w:val="16"/>
        </w:rPr>
        <w:sectPr w:rsidR="002653E8">
          <w:pgSz w:w="8640" w:h="12960"/>
          <w:pgMar w:top="1080" w:right="0" w:bottom="1040" w:left="0" w:header="0" w:footer="846" w:gutter="0"/>
          <w:cols w:num="2" w:space="720" w:equalWidth="0">
            <w:col w:w="4276" w:space="40"/>
            <w:col w:w="4324"/>
          </w:cols>
        </w:sectPr>
      </w:pPr>
    </w:p>
    <w:p w14:paraId="37D0EF30" w14:textId="77777777" w:rsidR="002653E8" w:rsidRDefault="003115E3">
      <w:pPr>
        <w:spacing w:before="86" w:line="280" w:lineRule="auto"/>
        <w:ind w:left="1347" w:hanging="200"/>
        <w:rPr>
          <w:sz w:val="16"/>
        </w:rPr>
      </w:pPr>
      <w:r>
        <w:rPr>
          <w:color w:val="231F20"/>
          <w:w w:val="105"/>
          <w:sz w:val="16"/>
        </w:rPr>
        <w:lastRenderedPageBreak/>
        <w:t>Puttick, Anna 594</w:t>
      </w:r>
      <w:r>
        <w:rPr>
          <w:i/>
          <w:color w:val="231F20"/>
          <w:w w:val="105"/>
          <w:sz w:val="16"/>
        </w:rPr>
        <w:t xml:space="preserve">, </w:t>
      </w:r>
      <w:r>
        <w:rPr>
          <w:color w:val="231F20"/>
          <w:w w:val="105"/>
          <w:sz w:val="16"/>
        </w:rPr>
        <w:t>611</w:t>
      </w:r>
      <w:r>
        <w:rPr>
          <w:i/>
          <w:color w:val="231F20"/>
          <w:w w:val="105"/>
          <w:sz w:val="16"/>
        </w:rPr>
        <w:t xml:space="preserve">. See also </w:t>
      </w:r>
      <w:r>
        <w:rPr>
          <w:color w:val="231F20"/>
          <w:w w:val="105"/>
          <w:sz w:val="16"/>
        </w:rPr>
        <w:t>Proll, Astrid</w:t>
      </w:r>
    </w:p>
    <w:p w14:paraId="6574C4CD" w14:textId="77777777" w:rsidR="002653E8" w:rsidRDefault="003115E3">
      <w:pPr>
        <w:spacing w:before="1"/>
        <w:ind w:left="1147"/>
        <w:rPr>
          <w:sz w:val="16"/>
        </w:rPr>
      </w:pPr>
      <w:r>
        <w:rPr>
          <w:color w:val="231F20"/>
          <w:w w:val="105"/>
          <w:sz w:val="16"/>
        </w:rPr>
        <w:t>Putz Group 436</w:t>
      </w:r>
      <w:r>
        <w:rPr>
          <w:i/>
          <w:color w:val="231F20"/>
          <w:w w:val="105"/>
          <w:sz w:val="16"/>
        </w:rPr>
        <w:t xml:space="preserve">, </w:t>
      </w:r>
      <w:r>
        <w:rPr>
          <w:color w:val="231F20"/>
          <w:w w:val="105"/>
          <w:sz w:val="16"/>
        </w:rPr>
        <w:t>439</w:t>
      </w:r>
      <w:r>
        <w:rPr>
          <w:i/>
          <w:color w:val="231F20"/>
          <w:w w:val="105"/>
          <w:sz w:val="16"/>
        </w:rPr>
        <w:t xml:space="preserve">, </w:t>
      </w:r>
      <w:r>
        <w:rPr>
          <w:color w:val="231F20"/>
          <w:w w:val="105"/>
          <w:sz w:val="16"/>
        </w:rPr>
        <w:t>442</w:t>
      </w:r>
      <w:r>
        <w:rPr>
          <w:i/>
          <w:color w:val="231F20"/>
          <w:w w:val="105"/>
          <w:sz w:val="16"/>
        </w:rPr>
        <w:t xml:space="preserve">, </w:t>
      </w:r>
      <w:r>
        <w:rPr>
          <w:color w:val="231F20"/>
          <w:w w:val="105"/>
          <w:sz w:val="16"/>
        </w:rPr>
        <w:t>443</w:t>
      </w:r>
    </w:p>
    <w:p w14:paraId="4BAEC76F" w14:textId="77777777" w:rsidR="002653E8" w:rsidRDefault="003115E3">
      <w:pPr>
        <w:spacing w:before="33"/>
        <w:ind w:left="1147"/>
        <w:rPr>
          <w:sz w:val="16"/>
        </w:rPr>
      </w:pPr>
      <w:r>
        <w:rPr>
          <w:color w:val="231F20"/>
          <w:sz w:val="16"/>
        </w:rPr>
        <w:t>Puyan, Amir Parviz 369</w:t>
      </w:r>
    </w:p>
    <w:p w14:paraId="0B25DACC" w14:textId="77777777" w:rsidR="002653E8" w:rsidRDefault="002653E8">
      <w:pPr>
        <w:pStyle w:val="a3"/>
        <w:rPr>
          <w:sz w:val="18"/>
        </w:rPr>
      </w:pPr>
    </w:p>
    <w:p w14:paraId="4647860C" w14:textId="77777777" w:rsidR="002653E8" w:rsidRDefault="002653E8">
      <w:pPr>
        <w:pStyle w:val="a3"/>
        <w:rPr>
          <w:sz w:val="18"/>
        </w:rPr>
      </w:pPr>
    </w:p>
    <w:p w14:paraId="40EE4E34" w14:textId="77777777" w:rsidR="002653E8" w:rsidRDefault="002653E8">
      <w:pPr>
        <w:pStyle w:val="a3"/>
        <w:rPr>
          <w:sz w:val="18"/>
        </w:rPr>
      </w:pPr>
    </w:p>
    <w:p w14:paraId="113B048C" w14:textId="77777777" w:rsidR="002653E8" w:rsidRDefault="002653E8">
      <w:pPr>
        <w:pStyle w:val="a3"/>
        <w:spacing w:before="9"/>
        <w:rPr>
          <w:sz w:val="23"/>
        </w:rPr>
      </w:pPr>
    </w:p>
    <w:p w14:paraId="202A38AA" w14:textId="77777777" w:rsidR="002653E8" w:rsidRPr="00846956" w:rsidRDefault="003115E3">
      <w:pPr>
        <w:ind w:left="1147"/>
        <w:rPr>
          <w:sz w:val="16"/>
          <w:lang w:val="de-DE"/>
        </w:rPr>
      </w:pPr>
      <w:r w:rsidRPr="00846956">
        <w:rPr>
          <w:color w:val="231F20"/>
          <w:w w:val="105"/>
          <w:sz w:val="16"/>
          <w:lang w:val="de-DE"/>
        </w:rPr>
        <w:t>Quante, Wolfgang 333</w:t>
      </w:r>
      <w:r w:rsidRPr="00846956">
        <w:rPr>
          <w:i/>
          <w:color w:val="231F20"/>
          <w:w w:val="105"/>
          <w:sz w:val="16"/>
          <w:lang w:val="de-DE"/>
        </w:rPr>
        <w:t xml:space="preserve">, </w:t>
      </w:r>
      <w:r w:rsidRPr="00846956">
        <w:rPr>
          <w:color w:val="231F20"/>
          <w:w w:val="105"/>
          <w:sz w:val="16"/>
          <w:lang w:val="de-DE"/>
        </w:rPr>
        <w:t>339</w:t>
      </w:r>
    </w:p>
    <w:p w14:paraId="0ECCA861" w14:textId="77777777" w:rsidR="002653E8" w:rsidRPr="00846956" w:rsidRDefault="003115E3">
      <w:pPr>
        <w:spacing w:before="33"/>
        <w:ind w:left="1147"/>
        <w:rPr>
          <w:sz w:val="16"/>
          <w:lang w:val="de-DE"/>
        </w:rPr>
      </w:pPr>
      <w:r w:rsidRPr="00846956">
        <w:rPr>
          <w:i/>
          <w:color w:val="231F20"/>
          <w:w w:val="110"/>
          <w:sz w:val="16"/>
          <w:lang w:val="de-DE"/>
        </w:rPr>
        <w:t xml:space="preserve">Quick </w:t>
      </w:r>
      <w:r w:rsidRPr="00846956">
        <w:rPr>
          <w:color w:val="231F20"/>
          <w:w w:val="110"/>
          <w:sz w:val="16"/>
          <w:lang w:val="de-DE"/>
        </w:rPr>
        <w:t>587</w:t>
      </w:r>
    </w:p>
    <w:p w14:paraId="5C6443D0" w14:textId="77777777" w:rsidR="002653E8" w:rsidRPr="00846956" w:rsidRDefault="002653E8">
      <w:pPr>
        <w:pStyle w:val="a3"/>
        <w:rPr>
          <w:sz w:val="18"/>
          <w:lang w:val="de-DE"/>
        </w:rPr>
      </w:pPr>
    </w:p>
    <w:p w14:paraId="0D8A73B5" w14:textId="77777777" w:rsidR="002653E8" w:rsidRPr="00846956" w:rsidRDefault="002653E8">
      <w:pPr>
        <w:pStyle w:val="a3"/>
        <w:rPr>
          <w:sz w:val="18"/>
          <w:lang w:val="de-DE"/>
        </w:rPr>
      </w:pPr>
    </w:p>
    <w:p w14:paraId="1385A4DF" w14:textId="77777777" w:rsidR="002653E8" w:rsidRPr="00846956" w:rsidRDefault="002653E8">
      <w:pPr>
        <w:pStyle w:val="a3"/>
        <w:rPr>
          <w:sz w:val="18"/>
          <w:lang w:val="de-DE"/>
        </w:rPr>
      </w:pPr>
    </w:p>
    <w:p w14:paraId="0912C8BF" w14:textId="77777777" w:rsidR="002653E8" w:rsidRPr="00846956" w:rsidRDefault="002653E8">
      <w:pPr>
        <w:pStyle w:val="a3"/>
        <w:spacing w:before="9"/>
        <w:rPr>
          <w:sz w:val="23"/>
          <w:lang w:val="de-DE"/>
        </w:rPr>
      </w:pPr>
    </w:p>
    <w:p w14:paraId="30ABF0AC" w14:textId="77777777" w:rsidR="002653E8" w:rsidRPr="00846956" w:rsidRDefault="003115E3">
      <w:pPr>
        <w:spacing w:before="1"/>
        <w:ind w:left="1147"/>
        <w:rPr>
          <w:sz w:val="16"/>
          <w:lang w:val="de-DE"/>
        </w:rPr>
      </w:pPr>
      <w:r w:rsidRPr="00846956">
        <w:rPr>
          <w:color w:val="231F20"/>
          <w:w w:val="105"/>
          <w:sz w:val="16"/>
          <w:lang w:val="de-DE"/>
        </w:rPr>
        <w:t>Rabehl, Bernd 30</w:t>
      </w:r>
      <w:r w:rsidRPr="00846956">
        <w:rPr>
          <w:i/>
          <w:color w:val="231F20"/>
          <w:w w:val="105"/>
          <w:sz w:val="16"/>
          <w:lang w:val="de-DE"/>
        </w:rPr>
        <w:t xml:space="preserve">, </w:t>
      </w:r>
      <w:r w:rsidRPr="00846956">
        <w:rPr>
          <w:color w:val="231F20"/>
          <w:w w:val="105"/>
          <w:sz w:val="16"/>
          <w:lang w:val="de-DE"/>
        </w:rPr>
        <w:t>444</w:t>
      </w:r>
      <w:r w:rsidRPr="00846956">
        <w:rPr>
          <w:i/>
          <w:color w:val="231F20"/>
          <w:w w:val="105"/>
          <w:sz w:val="16"/>
          <w:lang w:val="de-DE"/>
        </w:rPr>
        <w:t xml:space="preserve">, </w:t>
      </w:r>
      <w:r w:rsidRPr="00846956">
        <w:rPr>
          <w:color w:val="231F20"/>
          <w:w w:val="105"/>
          <w:sz w:val="16"/>
          <w:lang w:val="de-DE"/>
        </w:rPr>
        <w:t>573</w:t>
      </w:r>
    </w:p>
    <w:p w14:paraId="4F3CD38B" w14:textId="77777777" w:rsidR="002653E8" w:rsidRDefault="00C507A5">
      <w:pPr>
        <w:spacing w:before="32" w:line="280" w:lineRule="auto"/>
        <w:ind w:left="1347" w:hanging="200"/>
        <w:rPr>
          <w:i/>
          <w:sz w:val="16"/>
        </w:rPr>
      </w:pPr>
      <w:r>
        <w:rPr>
          <w:color w:val="231F20"/>
          <w:w w:val="105"/>
          <w:sz w:val="16"/>
        </w:rPr>
        <w:t>red army faction</w:t>
      </w:r>
      <w:r w:rsidR="003115E3">
        <w:rPr>
          <w:color w:val="231F20"/>
          <w:w w:val="105"/>
          <w:sz w:val="16"/>
        </w:rPr>
        <w:t xml:space="preserve"> Commandos; Andreas Baader Commando 612; Ciro Rizatto Commando 620; George Jackson Commando 617; Gudrun Ensslin Commando 614; Holger Meins Commando 332</w:t>
      </w:r>
      <w:r w:rsidR="003115E3">
        <w:rPr>
          <w:i/>
          <w:color w:val="231F20"/>
          <w:w w:val="105"/>
          <w:sz w:val="16"/>
        </w:rPr>
        <w:t xml:space="preserve">, </w:t>
      </w:r>
      <w:r w:rsidR="003115E3">
        <w:rPr>
          <w:color w:val="231F20"/>
          <w:w w:val="105"/>
          <w:sz w:val="16"/>
        </w:rPr>
        <w:t>336</w:t>
      </w:r>
      <w:r w:rsidR="003115E3">
        <w:rPr>
          <w:i/>
          <w:color w:val="231F20"/>
          <w:w w:val="105"/>
          <w:sz w:val="16"/>
        </w:rPr>
        <w:t>,</w:t>
      </w:r>
    </w:p>
    <w:p w14:paraId="6B8C6C43" w14:textId="77777777" w:rsidR="002653E8" w:rsidRDefault="003115E3">
      <w:pPr>
        <w:spacing w:before="3"/>
        <w:ind w:left="1347"/>
        <w:rPr>
          <w:i/>
          <w:sz w:val="16"/>
        </w:rPr>
      </w:pPr>
      <w:r>
        <w:rPr>
          <w:color w:val="231F20"/>
          <w:w w:val="105"/>
          <w:sz w:val="16"/>
        </w:rPr>
        <w:t>337</w:t>
      </w:r>
      <w:r>
        <w:rPr>
          <w:i/>
          <w:color w:val="231F20"/>
          <w:w w:val="105"/>
          <w:sz w:val="16"/>
        </w:rPr>
        <w:t xml:space="preserve">, </w:t>
      </w:r>
      <w:r>
        <w:rPr>
          <w:color w:val="231F20"/>
          <w:w w:val="105"/>
          <w:sz w:val="16"/>
        </w:rPr>
        <w:t>339–340</w:t>
      </w:r>
      <w:r>
        <w:rPr>
          <w:i/>
          <w:color w:val="231F20"/>
          <w:w w:val="105"/>
          <w:sz w:val="16"/>
        </w:rPr>
        <w:t xml:space="preserve">, </w:t>
      </w:r>
      <w:r>
        <w:rPr>
          <w:color w:val="231F20"/>
          <w:w w:val="105"/>
          <w:sz w:val="16"/>
        </w:rPr>
        <w:t>357</w:t>
      </w:r>
      <w:r>
        <w:rPr>
          <w:i/>
          <w:color w:val="231F20"/>
          <w:w w:val="105"/>
          <w:sz w:val="16"/>
        </w:rPr>
        <w:t xml:space="preserve">, </w:t>
      </w:r>
      <w:r>
        <w:rPr>
          <w:color w:val="231F20"/>
          <w:w w:val="105"/>
          <w:sz w:val="16"/>
        </w:rPr>
        <w:t>404</w:t>
      </w:r>
      <w:r>
        <w:rPr>
          <w:i/>
          <w:color w:val="231F20"/>
          <w:w w:val="105"/>
          <w:sz w:val="16"/>
        </w:rPr>
        <w:t xml:space="preserve">, </w:t>
      </w:r>
      <w:r>
        <w:rPr>
          <w:color w:val="231F20"/>
          <w:w w:val="105"/>
          <w:sz w:val="16"/>
        </w:rPr>
        <w:t>435</w:t>
      </w:r>
      <w:r>
        <w:rPr>
          <w:i/>
          <w:color w:val="231F20"/>
          <w:w w:val="105"/>
          <w:sz w:val="16"/>
        </w:rPr>
        <w:t xml:space="preserve">, </w:t>
      </w:r>
      <w:r>
        <w:rPr>
          <w:color w:val="231F20"/>
          <w:w w:val="105"/>
          <w:sz w:val="16"/>
        </w:rPr>
        <w:t>474</w:t>
      </w:r>
      <w:r>
        <w:rPr>
          <w:i/>
          <w:color w:val="231F20"/>
          <w:w w:val="105"/>
          <w:sz w:val="16"/>
        </w:rPr>
        <w:t>,</w:t>
      </w:r>
    </w:p>
    <w:p w14:paraId="05222E58" w14:textId="77777777" w:rsidR="002653E8" w:rsidRDefault="003115E3">
      <w:pPr>
        <w:spacing w:before="32" w:line="280" w:lineRule="auto"/>
        <w:ind w:left="1347" w:right="28"/>
        <w:rPr>
          <w:sz w:val="16"/>
        </w:rPr>
      </w:pPr>
      <w:r>
        <w:rPr>
          <w:color w:val="231F20"/>
          <w:w w:val="105"/>
          <w:sz w:val="16"/>
        </w:rPr>
        <w:t>488</w:t>
      </w:r>
      <w:r>
        <w:rPr>
          <w:i/>
          <w:color w:val="231F20"/>
          <w:w w:val="105"/>
          <w:sz w:val="16"/>
        </w:rPr>
        <w:t xml:space="preserve">, </w:t>
      </w:r>
      <w:r>
        <w:rPr>
          <w:color w:val="231F20"/>
          <w:w w:val="105"/>
          <w:sz w:val="16"/>
        </w:rPr>
        <w:t>517</w:t>
      </w:r>
      <w:r>
        <w:rPr>
          <w:i/>
          <w:color w:val="231F20"/>
          <w:w w:val="105"/>
          <w:sz w:val="16"/>
        </w:rPr>
        <w:t xml:space="preserve">, </w:t>
      </w:r>
      <w:r>
        <w:rPr>
          <w:color w:val="231F20"/>
          <w:w w:val="105"/>
          <w:sz w:val="16"/>
        </w:rPr>
        <w:t>597; Ingrid Schubert Commando 618; Jan-Carl Raspe Commando 616; José Manuel Sévillano Commando 620; July 15th Commando 165</w:t>
      </w:r>
      <w:r>
        <w:rPr>
          <w:i/>
          <w:color w:val="231F20"/>
          <w:w w:val="105"/>
          <w:sz w:val="16"/>
        </w:rPr>
        <w:t xml:space="preserve">, </w:t>
      </w:r>
      <w:r>
        <w:rPr>
          <w:color w:val="231F20"/>
          <w:w w:val="105"/>
          <w:sz w:val="16"/>
        </w:rPr>
        <w:t>178</w:t>
      </w:r>
      <w:r>
        <w:rPr>
          <w:i/>
          <w:color w:val="231F20"/>
          <w:w w:val="105"/>
          <w:sz w:val="16"/>
        </w:rPr>
        <w:t xml:space="preserve">, </w:t>
      </w:r>
      <w:r>
        <w:rPr>
          <w:color w:val="231F20"/>
          <w:w w:val="105"/>
          <w:sz w:val="16"/>
        </w:rPr>
        <w:t>180</w:t>
      </w:r>
      <w:r>
        <w:rPr>
          <w:i/>
          <w:color w:val="231F20"/>
          <w:w w:val="105"/>
          <w:sz w:val="16"/>
        </w:rPr>
        <w:t xml:space="preserve">, </w:t>
      </w:r>
      <w:r>
        <w:rPr>
          <w:color w:val="231F20"/>
          <w:w w:val="105"/>
          <w:sz w:val="16"/>
        </w:rPr>
        <w:t>590; Katharina Hammerschmidt Commando 623; Khaled Aker Commando 619; Manfred Grashof Commando 165</w:t>
      </w:r>
      <w:r>
        <w:rPr>
          <w:i/>
          <w:color w:val="231F20"/>
          <w:w w:val="105"/>
          <w:sz w:val="16"/>
        </w:rPr>
        <w:t xml:space="preserve">, </w:t>
      </w:r>
      <w:r>
        <w:rPr>
          <w:color w:val="231F20"/>
          <w:w w:val="105"/>
          <w:sz w:val="16"/>
        </w:rPr>
        <w:t>176</w:t>
      </w:r>
      <w:r>
        <w:rPr>
          <w:i/>
          <w:color w:val="231F20"/>
          <w:w w:val="105"/>
          <w:sz w:val="16"/>
        </w:rPr>
        <w:t xml:space="preserve">, </w:t>
      </w:r>
      <w:r>
        <w:rPr>
          <w:color w:val="231F20"/>
          <w:w w:val="105"/>
          <w:sz w:val="16"/>
        </w:rPr>
        <w:t>590; Mara Cagol Commando</w:t>
      </w:r>
    </w:p>
    <w:p w14:paraId="0B589DF2" w14:textId="77777777" w:rsidR="002653E8" w:rsidRDefault="003115E3">
      <w:pPr>
        <w:spacing w:before="5"/>
        <w:ind w:left="1347"/>
        <w:rPr>
          <w:sz w:val="16"/>
        </w:rPr>
      </w:pPr>
      <w:r>
        <w:rPr>
          <w:color w:val="231F20"/>
          <w:w w:val="105"/>
          <w:sz w:val="16"/>
        </w:rPr>
        <w:t>618; Patsy O’Hara Commando 617;</w:t>
      </w:r>
    </w:p>
    <w:p w14:paraId="61AFF453" w14:textId="77777777" w:rsidR="002653E8" w:rsidRDefault="003115E3">
      <w:pPr>
        <w:spacing w:before="32"/>
        <w:ind w:left="1347"/>
        <w:rPr>
          <w:i/>
          <w:sz w:val="16"/>
        </w:rPr>
      </w:pPr>
      <w:r>
        <w:rPr>
          <w:color w:val="231F20"/>
          <w:w w:val="105"/>
          <w:sz w:val="16"/>
        </w:rPr>
        <w:t>Petra Schelm Commando 163</w:t>
      </w:r>
      <w:r>
        <w:rPr>
          <w:i/>
          <w:color w:val="231F20"/>
          <w:w w:val="105"/>
          <w:sz w:val="16"/>
        </w:rPr>
        <w:t xml:space="preserve">, </w:t>
      </w:r>
      <w:r>
        <w:rPr>
          <w:color w:val="231F20"/>
          <w:w w:val="105"/>
          <w:sz w:val="16"/>
        </w:rPr>
        <w:t>174</w:t>
      </w:r>
      <w:r>
        <w:rPr>
          <w:i/>
          <w:color w:val="231F20"/>
          <w:w w:val="105"/>
          <w:sz w:val="16"/>
        </w:rPr>
        <w:t>,</w:t>
      </w:r>
    </w:p>
    <w:p w14:paraId="363D02D3" w14:textId="77777777" w:rsidR="002653E8" w:rsidRDefault="003115E3">
      <w:pPr>
        <w:spacing w:before="33"/>
        <w:ind w:left="1347"/>
        <w:rPr>
          <w:i/>
          <w:sz w:val="16"/>
        </w:rPr>
      </w:pPr>
      <w:r>
        <w:rPr>
          <w:color w:val="231F20"/>
          <w:w w:val="105"/>
          <w:sz w:val="16"/>
        </w:rPr>
        <w:t>590; 2nd of June Commando  165</w:t>
      </w:r>
      <w:r>
        <w:rPr>
          <w:i/>
          <w:color w:val="231F20"/>
          <w:w w:val="105"/>
          <w:sz w:val="16"/>
        </w:rPr>
        <w:t>,</w:t>
      </w:r>
    </w:p>
    <w:p w14:paraId="5DA216FE" w14:textId="77777777" w:rsidR="002653E8" w:rsidRDefault="003115E3">
      <w:pPr>
        <w:spacing w:before="32"/>
        <w:ind w:left="1347"/>
        <w:rPr>
          <w:sz w:val="16"/>
        </w:rPr>
      </w:pPr>
      <w:r>
        <w:rPr>
          <w:color w:val="231F20"/>
          <w:w w:val="105"/>
          <w:sz w:val="16"/>
        </w:rPr>
        <w:t>177</w:t>
      </w:r>
      <w:r>
        <w:rPr>
          <w:i/>
          <w:color w:val="231F20"/>
          <w:w w:val="105"/>
          <w:sz w:val="16"/>
        </w:rPr>
        <w:t xml:space="preserve">, </w:t>
      </w:r>
      <w:r>
        <w:rPr>
          <w:color w:val="231F20"/>
          <w:w w:val="105"/>
          <w:sz w:val="16"/>
        </w:rPr>
        <w:t>179</w:t>
      </w:r>
      <w:r>
        <w:rPr>
          <w:i/>
          <w:color w:val="231F20"/>
          <w:w w:val="105"/>
          <w:sz w:val="16"/>
        </w:rPr>
        <w:t xml:space="preserve">, </w:t>
      </w:r>
      <w:r>
        <w:rPr>
          <w:color w:val="231F20"/>
          <w:w w:val="105"/>
          <w:sz w:val="16"/>
        </w:rPr>
        <w:t>180</w:t>
      </w:r>
      <w:r>
        <w:rPr>
          <w:i/>
          <w:color w:val="231F20"/>
          <w:w w:val="105"/>
          <w:sz w:val="16"/>
        </w:rPr>
        <w:t xml:space="preserve">, </w:t>
      </w:r>
      <w:r>
        <w:rPr>
          <w:color w:val="231F20"/>
          <w:w w:val="105"/>
          <w:sz w:val="16"/>
        </w:rPr>
        <w:t>590; Siegfried Haus-</w:t>
      </w:r>
    </w:p>
    <w:p w14:paraId="2E58ECE9" w14:textId="77777777" w:rsidR="002653E8" w:rsidRDefault="003115E3">
      <w:pPr>
        <w:spacing w:before="33"/>
        <w:ind w:left="1347"/>
        <w:rPr>
          <w:i/>
          <w:sz w:val="16"/>
        </w:rPr>
      </w:pPr>
      <w:r>
        <w:rPr>
          <w:color w:val="231F20"/>
          <w:w w:val="105"/>
          <w:sz w:val="16"/>
        </w:rPr>
        <w:t>ner Commando 476–486</w:t>
      </w:r>
      <w:r>
        <w:rPr>
          <w:i/>
          <w:color w:val="231F20"/>
          <w:w w:val="105"/>
          <w:sz w:val="16"/>
        </w:rPr>
        <w:t xml:space="preserve">, </w:t>
      </w:r>
      <w:r>
        <w:rPr>
          <w:color w:val="231F20"/>
          <w:w w:val="105"/>
          <w:sz w:val="16"/>
        </w:rPr>
        <w:t>498–502</w:t>
      </w:r>
      <w:r>
        <w:rPr>
          <w:i/>
          <w:color w:val="231F20"/>
          <w:w w:val="105"/>
          <w:sz w:val="16"/>
        </w:rPr>
        <w:t>,</w:t>
      </w:r>
    </w:p>
    <w:p w14:paraId="248569EF" w14:textId="77777777" w:rsidR="002653E8" w:rsidRDefault="003115E3">
      <w:pPr>
        <w:spacing w:before="32" w:line="280" w:lineRule="auto"/>
        <w:ind w:left="1347"/>
        <w:rPr>
          <w:sz w:val="16"/>
        </w:rPr>
      </w:pPr>
      <w:r>
        <w:rPr>
          <w:color w:val="231F20"/>
          <w:w w:val="105"/>
          <w:sz w:val="16"/>
        </w:rPr>
        <w:t>503</w:t>
      </w:r>
      <w:r>
        <w:rPr>
          <w:i/>
          <w:color w:val="231F20"/>
          <w:w w:val="105"/>
          <w:sz w:val="16"/>
        </w:rPr>
        <w:t xml:space="preserve">, </w:t>
      </w:r>
      <w:r>
        <w:rPr>
          <w:color w:val="231F20"/>
          <w:w w:val="105"/>
          <w:sz w:val="16"/>
        </w:rPr>
        <w:t>507</w:t>
      </w:r>
      <w:r>
        <w:rPr>
          <w:i/>
          <w:color w:val="231F20"/>
          <w:w w:val="105"/>
          <w:sz w:val="16"/>
        </w:rPr>
        <w:t xml:space="preserve">, </w:t>
      </w:r>
      <w:r>
        <w:rPr>
          <w:color w:val="231F20"/>
          <w:w w:val="105"/>
          <w:sz w:val="16"/>
        </w:rPr>
        <w:t>607; Sigurd Debus Commando 614; Thomas Weissbecker Commando 164</w:t>
      </w:r>
      <w:r>
        <w:rPr>
          <w:i/>
          <w:color w:val="231F20"/>
          <w:w w:val="105"/>
          <w:sz w:val="16"/>
        </w:rPr>
        <w:t xml:space="preserve">, </w:t>
      </w:r>
      <w:r>
        <w:rPr>
          <w:color w:val="231F20"/>
          <w:w w:val="105"/>
          <w:sz w:val="16"/>
        </w:rPr>
        <w:t>175</w:t>
      </w:r>
      <w:r>
        <w:rPr>
          <w:i/>
          <w:color w:val="231F20"/>
          <w:w w:val="105"/>
          <w:sz w:val="16"/>
        </w:rPr>
        <w:t xml:space="preserve">, </w:t>
      </w:r>
      <w:r>
        <w:rPr>
          <w:color w:val="231F20"/>
          <w:w w:val="105"/>
          <w:sz w:val="16"/>
        </w:rPr>
        <w:t>179</w:t>
      </w:r>
      <w:r>
        <w:rPr>
          <w:i/>
          <w:color w:val="231F20"/>
          <w:w w:val="105"/>
          <w:sz w:val="16"/>
        </w:rPr>
        <w:t xml:space="preserve">, </w:t>
      </w:r>
      <w:r>
        <w:rPr>
          <w:color w:val="231F20"/>
          <w:w w:val="105"/>
          <w:sz w:val="16"/>
        </w:rPr>
        <w:t>180</w:t>
      </w:r>
      <w:r>
        <w:rPr>
          <w:i/>
          <w:color w:val="231F20"/>
          <w:w w:val="105"/>
          <w:sz w:val="16"/>
        </w:rPr>
        <w:t xml:space="preserve">, </w:t>
      </w:r>
      <w:r>
        <w:rPr>
          <w:color w:val="231F20"/>
          <w:w w:val="105"/>
          <w:sz w:val="16"/>
        </w:rPr>
        <w:t>590;</w:t>
      </w:r>
    </w:p>
    <w:p w14:paraId="2D3DADA6" w14:textId="77777777" w:rsidR="002653E8" w:rsidRDefault="003115E3">
      <w:pPr>
        <w:spacing w:before="2" w:line="280" w:lineRule="auto"/>
        <w:ind w:left="1347"/>
        <w:rPr>
          <w:i/>
          <w:sz w:val="16"/>
        </w:rPr>
      </w:pPr>
      <w:r>
        <w:rPr>
          <w:color w:val="231F20"/>
          <w:w w:val="105"/>
          <w:sz w:val="16"/>
        </w:rPr>
        <w:t>Ulrich Wessel Commando 621; Ulrike Meinhof Commando 470</w:t>
      </w:r>
      <w:r>
        <w:rPr>
          <w:i/>
          <w:color w:val="231F20"/>
          <w:w w:val="105"/>
          <w:sz w:val="16"/>
        </w:rPr>
        <w:t xml:space="preserve">, </w:t>
      </w:r>
      <w:r>
        <w:rPr>
          <w:color w:val="231F20"/>
          <w:w w:val="105"/>
          <w:sz w:val="16"/>
        </w:rPr>
        <w:t>490–492</w:t>
      </w:r>
      <w:r>
        <w:rPr>
          <w:i/>
          <w:color w:val="231F20"/>
          <w:w w:val="105"/>
          <w:sz w:val="16"/>
        </w:rPr>
        <w:t>,</w:t>
      </w:r>
    </w:p>
    <w:p w14:paraId="323B7925" w14:textId="77777777" w:rsidR="002653E8" w:rsidRDefault="003115E3">
      <w:pPr>
        <w:spacing w:before="1" w:line="280" w:lineRule="auto"/>
        <w:ind w:left="1347"/>
        <w:rPr>
          <w:sz w:val="16"/>
        </w:rPr>
      </w:pPr>
      <w:r>
        <w:rPr>
          <w:color w:val="231F20"/>
          <w:sz w:val="16"/>
        </w:rPr>
        <w:t>604; Vincenzo Spano Commando 620; Wolfgang Beer Commando 619</w:t>
      </w:r>
    </w:p>
    <w:p w14:paraId="2EA350FE" w14:textId="77777777" w:rsidR="002653E8" w:rsidRDefault="00C507A5">
      <w:pPr>
        <w:spacing w:before="1" w:line="280" w:lineRule="auto"/>
        <w:ind w:left="1347" w:right="28" w:hanging="200"/>
        <w:rPr>
          <w:sz w:val="16"/>
        </w:rPr>
      </w:pPr>
      <w:r>
        <w:rPr>
          <w:color w:val="231F20"/>
          <w:sz w:val="16"/>
        </w:rPr>
        <w:t>red army faction</w:t>
      </w:r>
      <w:r w:rsidR="003115E3">
        <w:rPr>
          <w:color w:val="231F20"/>
          <w:sz w:val="16"/>
        </w:rPr>
        <w:t xml:space="preserve"> documents 319</w:t>
      </w:r>
      <w:r w:rsidR="003115E3">
        <w:rPr>
          <w:i/>
          <w:color w:val="231F20"/>
          <w:sz w:val="16"/>
        </w:rPr>
        <w:t>. See also Regarding the Armed Struggle in West Europe</w:t>
      </w:r>
      <w:r w:rsidR="003115E3">
        <w:rPr>
          <w:color w:val="231F20"/>
          <w:sz w:val="16"/>
        </w:rPr>
        <w:t>; Acktionspapier (1984) 616; August</w:t>
      </w:r>
    </w:p>
    <w:p w14:paraId="4A66DDDD" w14:textId="77777777" w:rsidR="002653E8" w:rsidRDefault="003115E3">
      <w:pPr>
        <w:spacing w:before="1"/>
        <w:ind w:left="1347"/>
        <w:rPr>
          <w:sz w:val="16"/>
        </w:rPr>
      </w:pPr>
      <w:r>
        <w:rPr>
          <w:color w:val="231F20"/>
          <w:sz w:val="16"/>
        </w:rPr>
        <w:t>Paper (1992) 622; The Black Septem-</w:t>
      </w:r>
    </w:p>
    <w:p w14:paraId="675A4CF6" w14:textId="77777777" w:rsidR="002653E8" w:rsidRDefault="003115E3">
      <w:pPr>
        <w:spacing w:before="86"/>
        <w:ind w:left="464"/>
        <w:rPr>
          <w:i/>
          <w:sz w:val="16"/>
        </w:rPr>
      </w:pPr>
      <w:r>
        <w:br w:type="column"/>
      </w:r>
      <w:r>
        <w:rPr>
          <w:color w:val="231F20"/>
          <w:w w:val="105"/>
          <w:sz w:val="16"/>
        </w:rPr>
        <w:lastRenderedPageBreak/>
        <w:t>ber Action in Munich (1972) 187</w:t>
      </w:r>
      <w:r>
        <w:rPr>
          <w:i/>
          <w:color w:val="231F20"/>
          <w:w w:val="105"/>
          <w:sz w:val="16"/>
        </w:rPr>
        <w:t xml:space="preserve">, </w:t>
      </w:r>
      <w:r>
        <w:rPr>
          <w:color w:val="231F20"/>
          <w:w w:val="105"/>
          <w:sz w:val="16"/>
        </w:rPr>
        <w:t>195</w:t>
      </w:r>
      <w:r>
        <w:rPr>
          <w:i/>
          <w:color w:val="231F20"/>
          <w:w w:val="105"/>
          <w:sz w:val="16"/>
        </w:rPr>
        <w:t>,</w:t>
      </w:r>
    </w:p>
    <w:p w14:paraId="0E4765DE" w14:textId="77777777" w:rsidR="002653E8" w:rsidRDefault="003115E3">
      <w:pPr>
        <w:spacing w:before="33"/>
        <w:ind w:left="464"/>
        <w:rPr>
          <w:sz w:val="16"/>
        </w:rPr>
      </w:pPr>
      <w:r>
        <w:rPr>
          <w:color w:val="231F20"/>
          <w:w w:val="105"/>
          <w:sz w:val="16"/>
        </w:rPr>
        <w:t>199</w:t>
      </w:r>
      <w:r>
        <w:rPr>
          <w:i/>
          <w:color w:val="231F20"/>
          <w:w w:val="105"/>
          <w:sz w:val="16"/>
        </w:rPr>
        <w:t xml:space="preserve">, </w:t>
      </w:r>
      <w:r>
        <w:rPr>
          <w:color w:val="231F20"/>
          <w:w w:val="105"/>
          <w:sz w:val="16"/>
        </w:rPr>
        <w:t>201–203</w:t>
      </w:r>
      <w:r>
        <w:rPr>
          <w:i/>
          <w:color w:val="231F20"/>
          <w:w w:val="105"/>
          <w:sz w:val="16"/>
        </w:rPr>
        <w:t xml:space="preserve">, </w:t>
      </w:r>
      <w:r>
        <w:rPr>
          <w:color w:val="231F20"/>
          <w:w w:val="105"/>
          <w:sz w:val="16"/>
        </w:rPr>
        <w:t>205–236</w:t>
      </w:r>
      <w:r>
        <w:rPr>
          <w:i/>
          <w:color w:val="231F20"/>
          <w:w w:val="105"/>
          <w:sz w:val="16"/>
        </w:rPr>
        <w:t xml:space="preserve">, </w:t>
      </w:r>
      <w:r>
        <w:rPr>
          <w:color w:val="231F20"/>
          <w:w w:val="105"/>
          <w:sz w:val="16"/>
        </w:rPr>
        <w:t>337</w:t>
      </w:r>
      <w:r>
        <w:rPr>
          <w:i/>
          <w:color w:val="231F20"/>
          <w:w w:val="105"/>
          <w:sz w:val="16"/>
        </w:rPr>
        <w:t xml:space="preserve">, </w:t>
      </w:r>
      <w:r>
        <w:rPr>
          <w:color w:val="231F20"/>
          <w:w w:val="105"/>
          <w:sz w:val="16"/>
        </w:rPr>
        <w:t>592;</w:t>
      </w:r>
    </w:p>
    <w:p w14:paraId="641BA9B9" w14:textId="77777777" w:rsidR="002653E8" w:rsidRDefault="003115E3">
      <w:pPr>
        <w:spacing w:before="32"/>
        <w:ind w:left="464"/>
        <w:rPr>
          <w:sz w:val="16"/>
        </w:rPr>
      </w:pPr>
      <w:r>
        <w:rPr>
          <w:color w:val="231F20"/>
          <w:sz w:val="16"/>
        </w:rPr>
        <w:t>Boock’s Lies (1988)   527; Build the</w:t>
      </w:r>
    </w:p>
    <w:p w14:paraId="144B0144" w14:textId="77777777" w:rsidR="002653E8" w:rsidRDefault="003115E3">
      <w:pPr>
        <w:spacing w:before="33"/>
        <w:ind w:left="464"/>
        <w:rPr>
          <w:sz w:val="16"/>
        </w:rPr>
      </w:pPr>
      <w:r>
        <w:rPr>
          <w:color w:val="231F20"/>
          <w:sz w:val="16"/>
        </w:rPr>
        <w:t>Red Army  (1970)   79–82</w:t>
      </w:r>
      <w:r>
        <w:rPr>
          <w:i/>
          <w:color w:val="231F20"/>
          <w:sz w:val="16"/>
        </w:rPr>
        <w:t xml:space="preserve">, </w:t>
      </w:r>
      <w:r>
        <w:rPr>
          <w:color w:val="231F20"/>
          <w:sz w:val="16"/>
        </w:rPr>
        <w:t>584; Build</w:t>
      </w:r>
    </w:p>
    <w:p w14:paraId="1C7C4620" w14:textId="77777777" w:rsidR="002653E8" w:rsidRDefault="003115E3">
      <w:pPr>
        <w:spacing w:before="32"/>
        <w:ind w:left="464"/>
        <w:rPr>
          <w:sz w:val="16"/>
        </w:rPr>
      </w:pPr>
      <w:r>
        <w:rPr>
          <w:color w:val="231F20"/>
          <w:sz w:val="16"/>
        </w:rPr>
        <w:t>the Revolutionary Front (1986)   618;</w:t>
      </w:r>
    </w:p>
    <w:p w14:paraId="669B0AD8" w14:textId="77777777" w:rsidR="002653E8" w:rsidRDefault="003115E3">
      <w:pPr>
        <w:spacing w:before="32" w:line="280" w:lineRule="auto"/>
        <w:ind w:left="464" w:right="1495"/>
        <w:rPr>
          <w:sz w:val="16"/>
        </w:rPr>
      </w:pPr>
      <w:r>
        <w:rPr>
          <w:color w:val="231F20"/>
          <w:sz w:val="16"/>
        </w:rPr>
        <w:t>Ceasefire Statement (1992) 622; The Expulsion of Horst Mahler (1974) 255</w:t>
      </w:r>
      <w:r>
        <w:rPr>
          <w:i/>
          <w:color w:val="231F20"/>
          <w:sz w:val="16"/>
        </w:rPr>
        <w:t xml:space="preserve">, </w:t>
      </w:r>
      <w:r>
        <w:rPr>
          <w:color w:val="231F20"/>
          <w:sz w:val="16"/>
        </w:rPr>
        <w:t>257</w:t>
      </w:r>
      <w:r>
        <w:rPr>
          <w:i/>
          <w:color w:val="231F20"/>
          <w:sz w:val="16"/>
        </w:rPr>
        <w:t xml:space="preserve">, </w:t>
      </w:r>
      <w:r>
        <w:rPr>
          <w:color w:val="231F20"/>
          <w:sz w:val="16"/>
        </w:rPr>
        <w:t>288–291; For the Unity</w:t>
      </w:r>
    </w:p>
    <w:p w14:paraId="64FBFCC6" w14:textId="77777777" w:rsidR="002653E8" w:rsidRDefault="003115E3">
      <w:pPr>
        <w:spacing w:before="2" w:line="280" w:lineRule="auto"/>
        <w:ind w:left="464" w:right="1490"/>
        <w:rPr>
          <w:i/>
          <w:sz w:val="16"/>
        </w:rPr>
      </w:pPr>
      <w:r>
        <w:rPr>
          <w:color w:val="231F20"/>
          <w:sz w:val="16"/>
        </w:rPr>
        <w:t>of Revolutionaries in West Europe (1985) 617; For the Victory of the People of Vietnam (1972) 174</w:t>
      </w:r>
      <w:r>
        <w:rPr>
          <w:i/>
          <w:color w:val="231F20"/>
          <w:sz w:val="16"/>
        </w:rPr>
        <w:t xml:space="preserve">, </w:t>
      </w:r>
      <w:r>
        <w:rPr>
          <w:color w:val="231F20"/>
          <w:sz w:val="16"/>
        </w:rPr>
        <w:t>590; The Guerilla, The Resistance, and the Anti-Imperialist Front (1982) 478</w:t>
      </w:r>
      <w:r>
        <w:rPr>
          <w:i/>
          <w:color w:val="231F20"/>
          <w:sz w:val="16"/>
        </w:rPr>
        <w:t>,</w:t>
      </w:r>
    </w:p>
    <w:p w14:paraId="321D1EE2" w14:textId="77777777" w:rsidR="002653E8" w:rsidRDefault="003115E3">
      <w:pPr>
        <w:spacing w:before="3"/>
        <w:ind w:left="464"/>
        <w:rPr>
          <w:sz w:val="16"/>
        </w:rPr>
      </w:pPr>
      <w:r>
        <w:rPr>
          <w:color w:val="231F20"/>
          <w:sz w:val="16"/>
        </w:rPr>
        <w:t>615–616</w:t>
      </w:r>
      <w:r>
        <w:rPr>
          <w:i/>
          <w:color w:val="231F20"/>
          <w:sz w:val="16"/>
        </w:rPr>
        <w:t xml:space="preserve">, </w:t>
      </w:r>
      <w:r>
        <w:rPr>
          <w:color w:val="231F20"/>
          <w:sz w:val="16"/>
        </w:rPr>
        <w:t>622; Interview with Le</w:t>
      </w:r>
    </w:p>
    <w:p w14:paraId="22368D9C" w14:textId="77777777" w:rsidR="002653E8" w:rsidRDefault="003115E3">
      <w:pPr>
        <w:spacing w:before="32"/>
        <w:ind w:left="464"/>
        <w:rPr>
          <w:i/>
          <w:sz w:val="16"/>
        </w:rPr>
      </w:pPr>
      <w:r>
        <w:rPr>
          <w:color w:val="231F20"/>
          <w:w w:val="105"/>
          <w:sz w:val="16"/>
        </w:rPr>
        <w:t>Monde Diplomatique (1976) 392</w:t>
      </w:r>
      <w:r>
        <w:rPr>
          <w:i/>
          <w:color w:val="231F20"/>
          <w:w w:val="105"/>
          <w:sz w:val="16"/>
        </w:rPr>
        <w:t>,</w:t>
      </w:r>
    </w:p>
    <w:p w14:paraId="21E3546B" w14:textId="77777777" w:rsidR="002653E8" w:rsidRDefault="003115E3">
      <w:pPr>
        <w:spacing w:before="32"/>
        <w:ind w:left="464"/>
        <w:rPr>
          <w:sz w:val="16"/>
        </w:rPr>
      </w:pPr>
      <w:r>
        <w:rPr>
          <w:color w:val="231F20"/>
          <w:sz w:val="16"/>
        </w:rPr>
        <w:t>408–432</w:t>
      </w:r>
      <w:r>
        <w:rPr>
          <w:i/>
          <w:color w:val="231F20"/>
          <w:sz w:val="16"/>
        </w:rPr>
        <w:t xml:space="preserve">, </w:t>
      </w:r>
      <w:r>
        <w:rPr>
          <w:color w:val="231F20"/>
          <w:sz w:val="16"/>
        </w:rPr>
        <w:t>602; June paper (1992)</w:t>
      </w:r>
    </w:p>
    <w:p w14:paraId="292A4FEF" w14:textId="77777777" w:rsidR="002653E8" w:rsidRDefault="003115E3">
      <w:pPr>
        <w:spacing w:before="33" w:line="280" w:lineRule="auto"/>
        <w:ind w:left="464" w:right="1495"/>
        <w:rPr>
          <w:i/>
          <w:sz w:val="16"/>
        </w:rPr>
      </w:pPr>
      <w:r>
        <w:rPr>
          <w:color w:val="231F20"/>
          <w:sz w:val="16"/>
        </w:rPr>
        <w:t xml:space="preserve">622; Letter from the </w:t>
      </w:r>
      <w:r w:rsidR="00C507A5">
        <w:rPr>
          <w:color w:val="231F20"/>
          <w:sz w:val="16"/>
        </w:rPr>
        <w:t>red army faction</w:t>
      </w:r>
      <w:r>
        <w:rPr>
          <w:color w:val="231F20"/>
          <w:sz w:val="16"/>
        </w:rPr>
        <w:t xml:space="preserve"> to the </w:t>
      </w:r>
      <w:r w:rsidR="00C507A5">
        <w:rPr>
          <w:color w:val="231F20"/>
          <w:sz w:val="16"/>
        </w:rPr>
        <w:t>red army faction</w:t>
      </w:r>
      <w:r>
        <w:rPr>
          <w:color w:val="231F20"/>
          <w:sz w:val="16"/>
        </w:rPr>
        <w:t xml:space="preserve"> Prisoners (1975) 327</w:t>
      </w:r>
      <w:r>
        <w:rPr>
          <w:i/>
          <w:color w:val="231F20"/>
          <w:sz w:val="16"/>
        </w:rPr>
        <w:t xml:space="preserve">, </w:t>
      </w:r>
      <w:r>
        <w:rPr>
          <w:color w:val="231F20"/>
          <w:sz w:val="16"/>
        </w:rPr>
        <w:t>332</w:t>
      </w:r>
      <w:r>
        <w:rPr>
          <w:i/>
          <w:color w:val="231F20"/>
          <w:sz w:val="16"/>
        </w:rPr>
        <w:t xml:space="preserve">, </w:t>
      </w:r>
      <w:r>
        <w:rPr>
          <w:color w:val="231F20"/>
          <w:sz w:val="16"/>
        </w:rPr>
        <w:t>338</w:t>
      </w:r>
      <w:r>
        <w:rPr>
          <w:i/>
          <w:color w:val="231F20"/>
          <w:sz w:val="16"/>
        </w:rPr>
        <w:t>,</w:t>
      </w:r>
    </w:p>
    <w:p w14:paraId="57494D1A" w14:textId="77777777" w:rsidR="002653E8" w:rsidRDefault="003115E3">
      <w:pPr>
        <w:spacing w:before="1"/>
        <w:ind w:left="464"/>
        <w:rPr>
          <w:sz w:val="16"/>
        </w:rPr>
      </w:pPr>
      <w:r>
        <w:rPr>
          <w:color w:val="231F20"/>
          <w:w w:val="105"/>
          <w:sz w:val="16"/>
        </w:rPr>
        <w:t>416–417</w:t>
      </w:r>
      <w:r>
        <w:rPr>
          <w:i/>
          <w:color w:val="231F20"/>
          <w:w w:val="105"/>
          <w:sz w:val="16"/>
        </w:rPr>
        <w:t xml:space="preserve">, </w:t>
      </w:r>
      <w:r>
        <w:rPr>
          <w:color w:val="231F20"/>
          <w:w w:val="105"/>
          <w:sz w:val="16"/>
        </w:rPr>
        <w:t>596; No Bomb in Munich</w:t>
      </w:r>
    </w:p>
    <w:p w14:paraId="321FD103" w14:textId="77777777" w:rsidR="002653E8" w:rsidRDefault="003115E3">
      <w:pPr>
        <w:spacing w:before="32" w:line="280" w:lineRule="auto"/>
        <w:ind w:left="464" w:right="1433"/>
        <w:rPr>
          <w:sz w:val="16"/>
        </w:rPr>
      </w:pPr>
      <w:r>
        <w:rPr>
          <w:color w:val="231F20"/>
          <w:sz w:val="16"/>
        </w:rPr>
        <w:t>Central Station (1975) 349</w:t>
      </w:r>
      <w:r>
        <w:rPr>
          <w:i/>
          <w:color w:val="231F20"/>
          <w:sz w:val="16"/>
        </w:rPr>
        <w:t xml:space="preserve">, </w:t>
      </w:r>
      <w:r>
        <w:rPr>
          <w:color w:val="231F20"/>
          <w:sz w:val="16"/>
        </w:rPr>
        <w:t>376–377; Provisional Program of Struggle for the Political Rights of Imprisoned Workers (1974) 257</w:t>
      </w:r>
      <w:r>
        <w:rPr>
          <w:i/>
          <w:color w:val="231F20"/>
          <w:sz w:val="16"/>
        </w:rPr>
        <w:t xml:space="preserve">, </w:t>
      </w:r>
      <w:r>
        <w:rPr>
          <w:color w:val="231F20"/>
          <w:sz w:val="16"/>
        </w:rPr>
        <w:t>279–284</w:t>
      </w:r>
      <w:r>
        <w:rPr>
          <w:i/>
          <w:color w:val="231F20"/>
          <w:sz w:val="16"/>
        </w:rPr>
        <w:t xml:space="preserve">, </w:t>
      </w:r>
      <w:r>
        <w:rPr>
          <w:color w:val="231F20"/>
          <w:sz w:val="16"/>
        </w:rPr>
        <w:t>594;</w:t>
      </w:r>
    </w:p>
    <w:p w14:paraId="09A22F84" w14:textId="77777777" w:rsidR="002653E8" w:rsidRDefault="003115E3">
      <w:pPr>
        <w:spacing w:before="3" w:line="280" w:lineRule="auto"/>
        <w:ind w:left="464" w:right="1326"/>
        <w:rPr>
          <w:i/>
          <w:sz w:val="16"/>
        </w:rPr>
      </w:pPr>
      <w:r>
        <w:rPr>
          <w:color w:val="231F20"/>
          <w:sz w:val="16"/>
        </w:rPr>
        <w:t>Regarding the Fascist Bomb Threats Against Stuttgart (1972) 181–182; Second Hunger Strike Statement (1973) 274–278; Serve the People: The Urban Guerilla and Class Struggle (1972) 117–119</w:t>
      </w:r>
      <w:r>
        <w:rPr>
          <w:i/>
          <w:color w:val="231F20"/>
          <w:sz w:val="16"/>
        </w:rPr>
        <w:t xml:space="preserve">, </w:t>
      </w:r>
      <w:r>
        <w:rPr>
          <w:color w:val="231F20"/>
          <w:sz w:val="16"/>
        </w:rPr>
        <w:t>122–159</w:t>
      </w:r>
      <w:r>
        <w:rPr>
          <w:i/>
          <w:color w:val="231F20"/>
          <w:sz w:val="16"/>
        </w:rPr>
        <w:t xml:space="preserve">, </w:t>
      </w:r>
      <w:r>
        <w:rPr>
          <w:color w:val="231F20"/>
          <w:sz w:val="16"/>
        </w:rPr>
        <w:t>160</w:t>
      </w:r>
      <w:r>
        <w:rPr>
          <w:i/>
          <w:color w:val="231F20"/>
          <w:sz w:val="16"/>
        </w:rPr>
        <w:t xml:space="preserve">, </w:t>
      </w:r>
      <w:r>
        <w:rPr>
          <w:color w:val="231F20"/>
          <w:sz w:val="16"/>
        </w:rPr>
        <w:t>202</w:t>
      </w:r>
      <w:r>
        <w:rPr>
          <w:i/>
          <w:color w:val="231F20"/>
          <w:sz w:val="16"/>
        </w:rPr>
        <w:t xml:space="preserve">, </w:t>
      </w:r>
      <w:r>
        <w:rPr>
          <w:color w:val="231F20"/>
          <w:sz w:val="16"/>
        </w:rPr>
        <w:t>337</w:t>
      </w:r>
      <w:r>
        <w:rPr>
          <w:i/>
          <w:color w:val="231F20"/>
          <w:sz w:val="16"/>
        </w:rPr>
        <w:t>,</w:t>
      </w:r>
    </w:p>
    <w:p w14:paraId="2E05A31C" w14:textId="77777777" w:rsidR="002653E8" w:rsidRDefault="003115E3">
      <w:pPr>
        <w:spacing w:before="3" w:line="280" w:lineRule="auto"/>
        <w:ind w:left="464" w:right="1326"/>
        <w:rPr>
          <w:sz w:val="16"/>
        </w:rPr>
      </w:pPr>
      <w:r>
        <w:rPr>
          <w:color w:val="231F20"/>
          <w:sz w:val="16"/>
        </w:rPr>
        <w:t>589; Statement to the Red Aid Teach-In (1972) 169</w:t>
      </w:r>
      <w:r>
        <w:rPr>
          <w:i/>
          <w:color w:val="231F20"/>
          <w:sz w:val="16"/>
        </w:rPr>
        <w:t xml:space="preserve">, </w:t>
      </w:r>
      <w:r>
        <w:rPr>
          <w:color w:val="231F20"/>
          <w:sz w:val="16"/>
        </w:rPr>
        <w:t>183–185; Third Hunger</w:t>
      </w:r>
    </w:p>
    <w:p w14:paraId="294F3FF1" w14:textId="77777777" w:rsidR="002653E8" w:rsidRDefault="003115E3">
      <w:pPr>
        <w:spacing w:before="1" w:line="280" w:lineRule="auto"/>
        <w:ind w:left="464" w:right="1412"/>
        <w:jc w:val="both"/>
        <w:rPr>
          <w:sz w:val="16"/>
        </w:rPr>
      </w:pPr>
      <w:r>
        <w:rPr>
          <w:color w:val="231F20"/>
          <w:sz w:val="16"/>
        </w:rPr>
        <w:t xml:space="preserve">Strike statement (1974) 285–287; </w:t>
      </w:r>
      <w:r>
        <w:rPr>
          <w:color w:val="231F20"/>
          <w:spacing w:val="-8"/>
          <w:sz w:val="16"/>
        </w:rPr>
        <w:t xml:space="preserve">To </w:t>
      </w:r>
      <w:r>
        <w:rPr>
          <w:color w:val="231F20"/>
          <w:sz w:val="16"/>
        </w:rPr>
        <w:t xml:space="preserve">the News Editors of the </w:t>
      </w:r>
      <w:r>
        <w:rPr>
          <w:color w:val="231F20"/>
          <w:spacing w:val="-3"/>
          <w:sz w:val="16"/>
        </w:rPr>
        <w:t xml:space="preserve">West </w:t>
      </w:r>
      <w:r>
        <w:rPr>
          <w:color w:val="231F20"/>
          <w:sz w:val="16"/>
        </w:rPr>
        <w:t>German Press (1972)   179</w:t>
      </w:r>
      <w:r>
        <w:rPr>
          <w:i/>
          <w:color w:val="231F20"/>
          <w:sz w:val="16"/>
        </w:rPr>
        <w:t xml:space="preserve">, </w:t>
      </w:r>
      <w:r>
        <w:rPr>
          <w:color w:val="231F20"/>
          <w:sz w:val="16"/>
        </w:rPr>
        <w:t xml:space="preserve">590; </w:t>
      </w:r>
      <w:r>
        <w:rPr>
          <w:color w:val="231F20"/>
          <w:spacing w:val="-8"/>
          <w:sz w:val="16"/>
        </w:rPr>
        <w:t xml:space="preserve">To  </w:t>
      </w:r>
      <w:r>
        <w:rPr>
          <w:color w:val="231F20"/>
          <w:sz w:val="16"/>
        </w:rPr>
        <w:t>Those Who</w:t>
      </w:r>
    </w:p>
    <w:p w14:paraId="6054C110" w14:textId="77777777" w:rsidR="002653E8" w:rsidRDefault="003115E3">
      <w:pPr>
        <w:spacing w:before="1" w:line="280" w:lineRule="auto"/>
        <w:ind w:left="464" w:right="1402"/>
        <w:rPr>
          <w:sz w:val="16"/>
        </w:rPr>
      </w:pPr>
      <w:r>
        <w:rPr>
          <w:color w:val="231F20"/>
          <w:sz w:val="16"/>
        </w:rPr>
        <w:t>Struggle Alongside Us (1985)  618; The Urban Guerilla Concept  (1971) 65</w:t>
      </w:r>
      <w:r>
        <w:rPr>
          <w:i/>
          <w:color w:val="231F20"/>
          <w:sz w:val="16"/>
        </w:rPr>
        <w:t xml:space="preserve">, </w:t>
      </w:r>
      <w:r>
        <w:rPr>
          <w:color w:val="231F20"/>
          <w:sz w:val="16"/>
        </w:rPr>
        <w:t>83–105</w:t>
      </w:r>
      <w:r>
        <w:rPr>
          <w:i/>
          <w:color w:val="231F20"/>
          <w:sz w:val="16"/>
        </w:rPr>
        <w:t xml:space="preserve">, </w:t>
      </w:r>
      <w:r>
        <w:rPr>
          <w:color w:val="231F20"/>
          <w:sz w:val="16"/>
        </w:rPr>
        <w:t>107</w:t>
      </w:r>
      <w:r>
        <w:rPr>
          <w:i/>
          <w:color w:val="231F20"/>
          <w:sz w:val="16"/>
        </w:rPr>
        <w:t xml:space="preserve">, </w:t>
      </w:r>
      <w:r>
        <w:rPr>
          <w:color w:val="231F20"/>
          <w:sz w:val="16"/>
        </w:rPr>
        <w:t>337</w:t>
      </w:r>
      <w:r>
        <w:rPr>
          <w:i/>
          <w:color w:val="231F20"/>
          <w:sz w:val="16"/>
        </w:rPr>
        <w:t xml:space="preserve">, </w:t>
      </w:r>
      <w:r>
        <w:rPr>
          <w:color w:val="231F20"/>
          <w:sz w:val="16"/>
        </w:rPr>
        <w:t xml:space="preserve">586; </w:t>
      </w:r>
      <w:r>
        <w:rPr>
          <w:color w:val="231F20"/>
          <w:spacing w:val="27"/>
          <w:sz w:val="16"/>
        </w:rPr>
        <w:t xml:space="preserve"> </w:t>
      </w:r>
      <w:r>
        <w:rPr>
          <w:color w:val="231F20"/>
          <w:sz w:val="16"/>
        </w:rPr>
        <w:t>The  Urban</w:t>
      </w:r>
    </w:p>
    <w:p w14:paraId="2E7F6BB7" w14:textId="77777777" w:rsidR="002653E8" w:rsidRDefault="003115E3">
      <w:pPr>
        <w:spacing w:before="2" w:line="280" w:lineRule="auto"/>
        <w:ind w:left="464" w:right="1674"/>
        <w:rPr>
          <w:sz w:val="16"/>
        </w:rPr>
      </w:pPr>
      <w:r>
        <w:rPr>
          <w:color w:val="231F20"/>
          <w:w w:val="105"/>
          <w:sz w:val="16"/>
        </w:rPr>
        <w:t xml:space="preserve">Guerilla in the Form of the </w:t>
      </w:r>
      <w:r w:rsidR="00C507A5">
        <w:rPr>
          <w:color w:val="231F20"/>
          <w:w w:val="105"/>
          <w:sz w:val="16"/>
        </w:rPr>
        <w:t>red army faction</w:t>
      </w:r>
      <w:r>
        <w:rPr>
          <w:color w:val="231F20"/>
          <w:w w:val="105"/>
          <w:sz w:val="16"/>
        </w:rPr>
        <w:t xml:space="preserve"> is Now History (1998) 625</w:t>
      </w:r>
    </w:p>
    <w:p w14:paraId="69540A58" w14:textId="77777777" w:rsidR="002653E8" w:rsidRDefault="00C507A5">
      <w:pPr>
        <w:spacing w:before="1" w:line="280" w:lineRule="auto"/>
        <w:ind w:left="464" w:right="1433" w:hanging="200"/>
        <w:rPr>
          <w:i/>
          <w:sz w:val="16"/>
        </w:rPr>
      </w:pPr>
      <w:r>
        <w:rPr>
          <w:color w:val="231F20"/>
          <w:sz w:val="16"/>
        </w:rPr>
        <w:t>red army faction</w:t>
      </w:r>
      <w:r w:rsidR="003115E3">
        <w:rPr>
          <w:color w:val="231F20"/>
          <w:sz w:val="16"/>
        </w:rPr>
        <w:t xml:space="preserve"> ideas on; anarchism and antiauthoritarianism 91</w:t>
      </w:r>
      <w:r w:rsidR="003115E3">
        <w:rPr>
          <w:i/>
          <w:color w:val="231F20"/>
          <w:sz w:val="16"/>
        </w:rPr>
        <w:t xml:space="preserve">, </w:t>
      </w:r>
      <w:r w:rsidR="003115E3">
        <w:rPr>
          <w:color w:val="231F20"/>
          <w:sz w:val="16"/>
        </w:rPr>
        <w:t>100–101</w:t>
      </w:r>
      <w:r w:rsidR="003115E3">
        <w:rPr>
          <w:i/>
          <w:color w:val="231F20"/>
          <w:sz w:val="16"/>
        </w:rPr>
        <w:t xml:space="preserve">, </w:t>
      </w:r>
      <w:r w:rsidR="003115E3">
        <w:rPr>
          <w:color w:val="231F20"/>
          <w:sz w:val="16"/>
        </w:rPr>
        <w:t>226–227</w:t>
      </w:r>
      <w:r w:rsidR="003115E3">
        <w:rPr>
          <w:i/>
          <w:color w:val="231F20"/>
          <w:sz w:val="16"/>
        </w:rPr>
        <w:t>,</w:t>
      </w:r>
    </w:p>
    <w:p w14:paraId="581DBB04" w14:textId="77777777" w:rsidR="002653E8" w:rsidRDefault="003115E3">
      <w:pPr>
        <w:spacing w:before="1"/>
        <w:ind w:left="464"/>
        <w:rPr>
          <w:i/>
          <w:sz w:val="16"/>
        </w:rPr>
      </w:pPr>
      <w:r>
        <w:rPr>
          <w:color w:val="231F20"/>
          <w:sz w:val="16"/>
        </w:rPr>
        <w:t>227–228; anti-imperialism 142–143</w:t>
      </w:r>
      <w:r>
        <w:rPr>
          <w:i/>
          <w:color w:val="231F20"/>
          <w:sz w:val="16"/>
        </w:rPr>
        <w:t>,</w:t>
      </w:r>
    </w:p>
    <w:p w14:paraId="079C7B9F" w14:textId="77777777" w:rsidR="002653E8" w:rsidRDefault="003115E3">
      <w:pPr>
        <w:spacing w:before="33"/>
        <w:ind w:left="464"/>
        <w:rPr>
          <w:i/>
          <w:sz w:val="16"/>
        </w:rPr>
      </w:pPr>
      <w:r>
        <w:rPr>
          <w:color w:val="231F20"/>
          <w:w w:val="105"/>
          <w:sz w:val="16"/>
        </w:rPr>
        <w:t>201–203</w:t>
      </w:r>
      <w:r>
        <w:rPr>
          <w:i/>
          <w:color w:val="231F20"/>
          <w:w w:val="105"/>
          <w:sz w:val="16"/>
        </w:rPr>
        <w:t xml:space="preserve">, </w:t>
      </w:r>
      <w:r>
        <w:rPr>
          <w:color w:val="231F20"/>
          <w:w w:val="105"/>
          <w:sz w:val="16"/>
        </w:rPr>
        <w:t>205–206</w:t>
      </w:r>
      <w:r>
        <w:rPr>
          <w:i/>
          <w:color w:val="231F20"/>
          <w:w w:val="105"/>
          <w:sz w:val="16"/>
        </w:rPr>
        <w:t xml:space="preserve">, </w:t>
      </w:r>
      <w:r>
        <w:rPr>
          <w:color w:val="231F20"/>
          <w:w w:val="105"/>
          <w:sz w:val="16"/>
        </w:rPr>
        <w:t>308</w:t>
      </w:r>
      <w:r>
        <w:rPr>
          <w:i/>
          <w:color w:val="231F20"/>
          <w:w w:val="105"/>
          <w:sz w:val="16"/>
        </w:rPr>
        <w:t xml:space="preserve">, </w:t>
      </w:r>
      <w:r>
        <w:rPr>
          <w:color w:val="231F20"/>
          <w:w w:val="105"/>
          <w:sz w:val="16"/>
        </w:rPr>
        <w:t>312</w:t>
      </w:r>
      <w:r>
        <w:rPr>
          <w:i/>
          <w:color w:val="231F20"/>
          <w:w w:val="105"/>
          <w:sz w:val="16"/>
        </w:rPr>
        <w:t xml:space="preserve">, </w:t>
      </w:r>
      <w:r>
        <w:rPr>
          <w:color w:val="231F20"/>
          <w:w w:val="105"/>
          <w:sz w:val="16"/>
        </w:rPr>
        <w:t>359–360</w:t>
      </w:r>
      <w:r>
        <w:rPr>
          <w:i/>
          <w:color w:val="231F20"/>
          <w:w w:val="105"/>
          <w:sz w:val="16"/>
        </w:rPr>
        <w:t>,</w:t>
      </w:r>
    </w:p>
    <w:p w14:paraId="193F3D35" w14:textId="77777777" w:rsidR="002653E8" w:rsidRDefault="003115E3">
      <w:pPr>
        <w:spacing w:before="32"/>
        <w:ind w:left="463"/>
        <w:rPr>
          <w:sz w:val="16"/>
        </w:rPr>
      </w:pPr>
      <w:r>
        <w:rPr>
          <w:color w:val="231F20"/>
          <w:sz w:val="16"/>
        </w:rPr>
        <w:t>451; antisemitism 225</w:t>
      </w:r>
      <w:r>
        <w:rPr>
          <w:i/>
          <w:color w:val="231F20"/>
          <w:sz w:val="16"/>
        </w:rPr>
        <w:t xml:space="preserve">, </w:t>
      </w:r>
      <w:r>
        <w:rPr>
          <w:color w:val="231F20"/>
          <w:sz w:val="16"/>
        </w:rPr>
        <w:t>544–547;</w:t>
      </w:r>
    </w:p>
    <w:p w14:paraId="2A1BE7CE" w14:textId="77777777" w:rsidR="002653E8" w:rsidRDefault="003115E3">
      <w:pPr>
        <w:spacing w:before="32"/>
        <w:ind w:left="463"/>
        <w:rPr>
          <w:i/>
          <w:sz w:val="16"/>
        </w:rPr>
      </w:pPr>
      <w:r>
        <w:rPr>
          <w:color w:val="231F20"/>
          <w:w w:val="110"/>
          <w:sz w:val="16"/>
        </w:rPr>
        <w:t>the APO 88</w:t>
      </w:r>
      <w:r>
        <w:rPr>
          <w:i/>
          <w:color w:val="231F20"/>
          <w:w w:val="110"/>
          <w:sz w:val="16"/>
        </w:rPr>
        <w:t xml:space="preserve">, </w:t>
      </w:r>
      <w:r>
        <w:rPr>
          <w:color w:val="231F20"/>
          <w:w w:val="110"/>
          <w:sz w:val="16"/>
        </w:rPr>
        <w:t>89–92</w:t>
      </w:r>
      <w:r>
        <w:rPr>
          <w:i/>
          <w:color w:val="231F20"/>
          <w:w w:val="110"/>
          <w:sz w:val="16"/>
        </w:rPr>
        <w:t xml:space="preserve">, </w:t>
      </w:r>
      <w:r>
        <w:rPr>
          <w:color w:val="231F20"/>
          <w:w w:val="110"/>
          <w:sz w:val="16"/>
        </w:rPr>
        <w:t>126–127</w:t>
      </w:r>
      <w:r>
        <w:rPr>
          <w:i/>
          <w:color w:val="231F20"/>
          <w:w w:val="110"/>
          <w:sz w:val="16"/>
        </w:rPr>
        <w:t xml:space="preserve">, </w:t>
      </w:r>
      <w:r>
        <w:rPr>
          <w:color w:val="231F20"/>
          <w:w w:val="110"/>
          <w:sz w:val="16"/>
        </w:rPr>
        <w:t>147</w:t>
      </w:r>
      <w:r>
        <w:rPr>
          <w:i/>
          <w:color w:val="231F20"/>
          <w:w w:val="110"/>
          <w:sz w:val="16"/>
        </w:rPr>
        <w:t>,</w:t>
      </w:r>
    </w:p>
    <w:p w14:paraId="0B98A39B" w14:textId="77777777" w:rsidR="002653E8" w:rsidRDefault="003115E3">
      <w:pPr>
        <w:spacing w:before="33"/>
        <w:ind w:left="463"/>
        <w:rPr>
          <w:sz w:val="16"/>
        </w:rPr>
      </w:pPr>
      <w:r>
        <w:rPr>
          <w:color w:val="231F20"/>
          <w:w w:val="105"/>
          <w:sz w:val="16"/>
        </w:rPr>
        <w:t>226–227</w:t>
      </w:r>
      <w:r>
        <w:rPr>
          <w:i/>
          <w:color w:val="231F20"/>
          <w:w w:val="105"/>
          <w:sz w:val="16"/>
        </w:rPr>
        <w:t xml:space="preserve">, </w:t>
      </w:r>
      <w:r>
        <w:rPr>
          <w:color w:val="231F20"/>
          <w:w w:val="105"/>
          <w:sz w:val="16"/>
        </w:rPr>
        <w:t>406</w:t>
      </w:r>
      <w:r>
        <w:rPr>
          <w:i/>
          <w:color w:val="231F20"/>
          <w:w w:val="105"/>
          <w:sz w:val="16"/>
        </w:rPr>
        <w:t xml:space="preserve">, </w:t>
      </w:r>
      <w:r>
        <w:rPr>
          <w:color w:val="231F20"/>
          <w:w w:val="105"/>
          <w:sz w:val="16"/>
        </w:rPr>
        <w:t>430–431</w:t>
      </w:r>
      <w:r>
        <w:rPr>
          <w:i/>
          <w:color w:val="231F20"/>
          <w:w w:val="105"/>
          <w:sz w:val="16"/>
        </w:rPr>
        <w:t xml:space="preserve">, </w:t>
      </w:r>
      <w:r>
        <w:rPr>
          <w:color w:val="231F20"/>
          <w:w w:val="105"/>
          <w:sz w:val="16"/>
        </w:rPr>
        <w:t>431–432;</w:t>
      </w:r>
    </w:p>
    <w:p w14:paraId="79C915A5" w14:textId="77777777" w:rsidR="002653E8" w:rsidRDefault="002653E8">
      <w:pPr>
        <w:rPr>
          <w:sz w:val="16"/>
        </w:rPr>
        <w:sectPr w:rsidR="002653E8">
          <w:footerReference w:type="even" r:id="rId640"/>
          <w:footerReference w:type="default" r:id="rId641"/>
          <w:pgSz w:w="8640" w:h="12960"/>
          <w:pgMar w:top="1080" w:right="0" w:bottom="1040" w:left="0" w:header="0" w:footer="846" w:gutter="0"/>
          <w:pgNumType w:start="682"/>
          <w:cols w:num="2" w:space="720" w:equalWidth="0">
            <w:col w:w="4066" w:space="40"/>
            <w:col w:w="4534"/>
          </w:cols>
        </w:sectPr>
      </w:pPr>
    </w:p>
    <w:p w14:paraId="32505ED1" w14:textId="77777777" w:rsidR="002653E8" w:rsidRDefault="003115E3">
      <w:pPr>
        <w:spacing w:before="86" w:line="280" w:lineRule="auto"/>
        <w:ind w:left="1527" w:right="72"/>
        <w:rPr>
          <w:i/>
          <w:sz w:val="16"/>
        </w:rPr>
      </w:pPr>
      <w:r>
        <w:rPr>
          <w:color w:val="231F20"/>
          <w:w w:val="105"/>
          <w:sz w:val="16"/>
        </w:rPr>
        <w:lastRenderedPageBreak/>
        <w:t>bringing</w:t>
      </w:r>
      <w:r>
        <w:rPr>
          <w:color w:val="231F20"/>
          <w:spacing w:val="-20"/>
          <w:w w:val="105"/>
          <w:sz w:val="16"/>
        </w:rPr>
        <w:t xml:space="preserve"> </w:t>
      </w:r>
      <w:r>
        <w:rPr>
          <w:color w:val="231F20"/>
          <w:w w:val="105"/>
          <w:sz w:val="16"/>
        </w:rPr>
        <w:t>out</w:t>
      </w:r>
      <w:r>
        <w:rPr>
          <w:color w:val="231F20"/>
          <w:spacing w:val="-20"/>
          <w:w w:val="105"/>
          <w:sz w:val="16"/>
        </w:rPr>
        <w:t xml:space="preserve"> </w:t>
      </w:r>
      <w:r>
        <w:rPr>
          <w:color w:val="231F20"/>
          <w:w w:val="105"/>
          <w:sz w:val="16"/>
        </w:rPr>
        <w:t>the</w:t>
      </w:r>
      <w:r>
        <w:rPr>
          <w:color w:val="231F20"/>
          <w:spacing w:val="-20"/>
          <w:w w:val="105"/>
          <w:sz w:val="16"/>
        </w:rPr>
        <w:t xml:space="preserve"> </w:t>
      </w:r>
      <w:r>
        <w:rPr>
          <w:color w:val="231F20"/>
          <w:w w:val="105"/>
          <w:sz w:val="16"/>
        </w:rPr>
        <w:t>violence</w:t>
      </w:r>
      <w:r>
        <w:rPr>
          <w:color w:val="231F20"/>
          <w:spacing w:val="-20"/>
          <w:w w:val="105"/>
          <w:sz w:val="16"/>
        </w:rPr>
        <w:t xml:space="preserve"> </w:t>
      </w:r>
      <w:r>
        <w:rPr>
          <w:color w:val="231F20"/>
          <w:w w:val="105"/>
          <w:sz w:val="16"/>
        </w:rPr>
        <w:t>in</w:t>
      </w:r>
      <w:r>
        <w:rPr>
          <w:color w:val="231F20"/>
          <w:spacing w:val="-20"/>
          <w:w w:val="105"/>
          <w:sz w:val="16"/>
        </w:rPr>
        <w:t xml:space="preserve"> </w:t>
      </w:r>
      <w:r>
        <w:rPr>
          <w:color w:val="231F20"/>
          <w:w w:val="105"/>
          <w:sz w:val="16"/>
        </w:rPr>
        <w:t>the</w:t>
      </w:r>
      <w:r>
        <w:rPr>
          <w:color w:val="231F20"/>
          <w:spacing w:val="-20"/>
          <w:w w:val="105"/>
          <w:sz w:val="16"/>
        </w:rPr>
        <w:t xml:space="preserve"> </w:t>
      </w:r>
      <w:r>
        <w:rPr>
          <w:color w:val="231F20"/>
          <w:w w:val="105"/>
          <w:sz w:val="16"/>
        </w:rPr>
        <w:t>system 234–235</w:t>
      </w:r>
      <w:r>
        <w:rPr>
          <w:i/>
          <w:color w:val="231F20"/>
          <w:w w:val="105"/>
          <w:sz w:val="16"/>
        </w:rPr>
        <w:t xml:space="preserve">, </w:t>
      </w:r>
      <w:r>
        <w:rPr>
          <w:color w:val="231F20"/>
          <w:w w:val="105"/>
          <w:sz w:val="16"/>
        </w:rPr>
        <w:t>310</w:t>
      </w:r>
      <w:r>
        <w:rPr>
          <w:i/>
          <w:color w:val="231F20"/>
          <w:w w:val="105"/>
          <w:sz w:val="16"/>
        </w:rPr>
        <w:t xml:space="preserve">, </w:t>
      </w:r>
      <w:r>
        <w:rPr>
          <w:color w:val="231F20"/>
          <w:w w:val="105"/>
          <w:sz w:val="16"/>
        </w:rPr>
        <w:t>317</w:t>
      </w:r>
      <w:r>
        <w:rPr>
          <w:i/>
          <w:color w:val="231F20"/>
          <w:w w:val="105"/>
          <w:sz w:val="16"/>
        </w:rPr>
        <w:t xml:space="preserve">, </w:t>
      </w:r>
      <w:r>
        <w:rPr>
          <w:color w:val="231F20"/>
          <w:w w:val="105"/>
          <w:sz w:val="16"/>
        </w:rPr>
        <w:t>326</w:t>
      </w:r>
      <w:r>
        <w:rPr>
          <w:i/>
          <w:color w:val="231F20"/>
          <w:w w:val="105"/>
          <w:sz w:val="16"/>
        </w:rPr>
        <w:t>,</w:t>
      </w:r>
      <w:r>
        <w:rPr>
          <w:i/>
          <w:color w:val="231F20"/>
          <w:spacing w:val="-10"/>
          <w:w w:val="105"/>
          <w:sz w:val="16"/>
        </w:rPr>
        <w:t xml:space="preserve"> </w:t>
      </w:r>
      <w:r>
        <w:rPr>
          <w:color w:val="231F20"/>
          <w:w w:val="105"/>
          <w:sz w:val="16"/>
        </w:rPr>
        <w:t>368–369</w:t>
      </w:r>
      <w:r>
        <w:rPr>
          <w:i/>
          <w:color w:val="231F20"/>
          <w:w w:val="105"/>
          <w:sz w:val="16"/>
        </w:rPr>
        <w:t>,</w:t>
      </w:r>
    </w:p>
    <w:p w14:paraId="505245C7" w14:textId="77777777" w:rsidR="002653E8" w:rsidRDefault="003115E3">
      <w:pPr>
        <w:spacing w:before="1"/>
        <w:ind w:left="1527"/>
        <w:rPr>
          <w:sz w:val="16"/>
        </w:rPr>
      </w:pPr>
      <w:r>
        <w:rPr>
          <w:color w:val="231F20"/>
          <w:sz w:val="16"/>
        </w:rPr>
        <w:t>427–428</w:t>
      </w:r>
      <w:r>
        <w:rPr>
          <w:i/>
          <w:color w:val="231F20"/>
          <w:sz w:val="16"/>
        </w:rPr>
        <w:t xml:space="preserve">, </w:t>
      </w:r>
      <w:r>
        <w:rPr>
          <w:color w:val="231F20"/>
          <w:sz w:val="16"/>
        </w:rPr>
        <w:t>467–468; car accidents</w:t>
      </w:r>
    </w:p>
    <w:p w14:paraId="7F4BB290" w14:textId="77777777" w:rsidR="002653E8" w:rsidRDefault="003115E3">
      <w:pPr>
        <w:spacing w:before="33"/>
        <w:ind w:left="1527"/>
        <w:rPr>
          <w:i/>
          <w:sz w:val="16"/>
        </w:rPr>
      </w:pPr>
      <w:r>
        <w:rPr>
          <w:color w:val="231F20"/>
          <w:w w:val="105"/>
          <w:sz w:val="16"/>
        </w:rPr>
        <w:t>123</w:t>
      </w:r>
      <w:r>
        <w:rPr>
          <w:i/>
          <w:color w:val="231F20"/>
          <w:w w:val="105"/>
          <w:sz w:val="16"/>
        </w:rPr>
        <w:t xml:space="preserve">, </w:t>
      </w:r>
      <w:r>
        <w:rPr>
          <w:color w:val="231F20"/>
          <w:w w:val="105"/>
          <w:sz w:val="16"/>
        </w:rPr>
        <w:t>146</w:t>
      </w:r>
      <w:r>
        <w:rPr>
          <w:i/>
          <w:color w:val="231F20"/>
          <w:w w:val="105"/>
          <w:sz w:val="16"/>
        </w:rPr>
        <w:t xml:space="preserve">, </w:t>
      </w:r>
      <w:r>
        <w:rPr>
          <w:color w:val="231F20"/>
          <w:w w:val="105"/>
          <w:sz w:val="16"/>
        </w:rPr>
        <w:t>211; child abuse  71</w:t>
      </w:r>
      <w:r>
        <w:rPr>
          <w:i/>
          <w:color w:val="231F20"/>
          <w:w w:val="105"/>
          <w:sz w:val="16"/>
        </w:rPr>
        <w:t xml:space="preserve">, </w:t>
      </w:r>
      <w:r>
        <w:rPr>
          <w:color w:val="231F20"/>
          <w:w w:val="105"/>
          <w:sz w:val="16"/>
        </w:rPr>
        <w:t>123</w:t>
      </w:r>
      <w:r>
        <w:rPr>
          <w:i/>
          <w:color w:val="231F20"/>
          <w:w w:val="105"/>
          <w:sz w:val="16"/>
        </w:rPr>
        <w:t>,</w:t>
      </w:r>
    </w:p>
    <w:p w14:paraId="160E4543" w14:textId="77777777" w:rsidR="002653E8" w:rsidRDefault="003115E3">
      <w:pPr>
        <w:spacing w:before="32"/>
        <w:ind w:left="1527"/>
        <w:rPr>
          <w:sz w:val="16"/>
        </w:rPr>
      </w:pPr>
      <w:r>
        <w:rPr>
          <w:color w:val="231F20"/>
          <w:sz w:val="16"/>
        </w:rPr>
        <w:t>145</w:t>
      </w:r>
      <w:r>
        <w:rPr>
          <w:i/>
          <w:color w:val="231F20"/>
          <w:sz w:val="16"/>
        </w:rPr>
        <w:t xml:space="preserve">, </w:t>
      </w:r>
      <w:r>
        <w:rPr>
          <w:color w:val="231F20"/>
          <w:sz w:val="16"/>
        </w:rPr>
        <w:t>366; “class for itself”/class base</w:t>
      </w:r>
    </w:p>
    <w:p w14:paraId="3C83D410" w14:textId="77777777" w:rsidR="002653E8" w:rsidRDefault="003115E3">
      <w:pPr>
        <w:spacing w:before="33"/>
        <w:ind w:left="1527"/>
        <w:rPr>
          <w:sz w:val="16"/>
        </w:rPr>
      </w:pPr>
      <w:r>
        <w:rPr>
          <w:color w:val="231F20"/>
          <w:w w:val="105"/>
          <w:sz w:val="16"/>
        </w:rPr>
        <w:t>79–82</w:t>
      </w:r>
      <w:r>
        <w:rPr>
          <w:i/>
          <w:color w:val="231F20"/>
          <w:w w:val="105"/>
          <w:sz w:val="16"/>
        </w:rPr>
        <w:t xml:space="preserve">, </w:t>
      </w:r>
      <w:r>
        <w:rPr>
          <w:color w:val="231F20"/>
          <w:w w:val="105"/>
          <w:sz w:val="16"/>
        </w:rPr>
        <w:t>95</w:t>
      </w:r>
      <w:r>
        <w:rPr>
          <w:i/>
          <w:color w:val="231F20"/>
          <w:w w:val="105"/>
          <w:sz w:val="16"/>
        </w:rPr>
        <w:t xml:space="preserve">, </w:t>
      </w:r>
      <w:r>
        <w:rPr>
          <w:color w:val="231F20"/>
          <w:w w:val="105"/>
          <w:sz w:val="16"/>
        </w:rPr>
        <w:t>183</w:t>
      </w:r>
      <w:r>
        <w:rPr>
          <w:i/>
          <w:color w:val="231F20"/>
          <w:w w:val="105"/>
          <w:sz w:val="16"/>
        </w:rPr>
        <w:t xml:space="preserve">, </w:t>
      </w:r>
      <w:r>
        <w:rPr>
          <w:color w:val="231F20"/>
          <w:w w:val="105"/>
          <w:sz w:val="16"/>
        </w:rPr>
        <w:t>274–275</w:t>
      </w:r>
      <w:r>
        <w:rPr>
          <w:i/>
          <w:color w:val="231F20"/>
          <w:w w:val="105"/>
          <w:sz w:val="16"/>
        </w:rPr>
        <w:t xml:space="preserve">, </w:t>
      </w:r>
      <w:r>
        <w:rPr>
          <w:color w:val="231F20"/>
          <w:w w:val="105"/>
          <w:sz w:val="16"/>
        </w:rPr>
        <w:t>405–406;</w:t>
      </w:r>
    </w:p>
    <w:p w14:paraId="286B308C" w14:textId="77777777" w:rsidR="002653E8" w:rsidRDefault="003115E3">
      <w:pPr>
        <w:spacing w:before="32"/>
        <w:ind w:left="1527"/>
        <w:rPr>
          <w:i/>
          <w:sz w:val="16"/>
        </w:rPr>
      </w:pPr>
      <w:r>
        <w:rPr>
          <w:color w:val="231F20"/>
          <w:w w:val="105"/>
          <w:sz w:val="16"/>
        </w:rPr>
        <w:t>consciousness</w:t>
      </w:r>
      <w:r>
        <w:rPr>
          <w:color w:val="231F20"/>
          <w:spacing w:val="10"/>
          <w:w w:val="105"/>
          <w:sz w:val="16"/>
        </w:rPr>
        <w:t xml:space="preserve"> </w:t>
      </w:r>
      <w:r>
        <w:rPr>
          <w:color w:val="231F20"/>
          <w:w w:val="105"/>
          <w:sz w:val="16"/>
        </w:rPr>
        <w:t>222–224</w:t>
      </w:r>
      <w:r>
        <w:rPr>
          <w:i/>
          <w:color w:val="231F20"/>
          <w:w w:val="105"/>
          <w:sz w:val="16"/>
        </w:rPr>
        <w:t>,</w:t>
      </w:r>
      <w:r>
        <w:rPr>
          <w:i/>
          <w:color w:val="231F20"/>
          <w:spacing w:val="-17"/>
          <w:w w:val="105"/>
          <w:sz w:val="16"/>
        </w:rPr>
        <w:t xml:space="preserve"> </w:t>
      </w:r>
      <w:r>
        <w:rPr>
          <w:color w:val="231F20"/>
          <w:w w:val="105"/>
          <w:sz w:val="16"/>
        </w:rPr>
        <w:t>235,</w:t>
      </w:r>
      <w:r>
        <w:rPr>
          <w:color w:val="231F20"/>
          <w:spacing w:val="-17"/>
          <w:w w:val="105"/>
          <w:sz w:val="16"/>
        </w:rPr>
        <w:t xml:space="preserve"> </w:t>
      </w:r>
      <w:r>
        <w:rPr>
          <w:color w:val="231F20"/>
          <w:w w:val="105"/>
          <w:sz w:val="16"/>
        </w:rPr>
        <w:t>274</w:t>
      </w:r>
      <w:r>
        <w:rPr>
          <w:i/>
          <w:color w:val="231F20"/>
          <w:w w:val="105"/>
          <w:sz w:val="16"/>
        </w:rPr>
        <w:t>,</w:t>
      </w:r>
      <w:r>
        <w:rPr>
          <w:i/>
          <w:color w:val="231F20"/>
          <w:spacing w:val="-17"/>
          <w:w w:val="105"/>
          <w:sz w:val="16"/>
        </w:rPr>
        <w:t xml:space="preserve"> </w:t>
      </w:r>
      <w:r>
        <w:rPr>
          <w:color w:val="231F20"/>
          <w:w w:val="105"/>
          <w:sz w:val="16"/>
        </w:rPr>
        <w:t>310</w:t>
      </w:r>
      <w:r>
        <w:rPr>
          <w:i/>
          <w:color w:val="231F20"/>
          <w:w w:val="105"/>
          <w:sz w:val="16"/>
        </w:rPr>
        <w:t>,</w:t>
      </w:r>
    </w:p>
    <w:p w14:paraId="33323052" w14:textId="77777777" w:rsidR="002653E8" w:rsidRDefault="003115E3">
      <w:pPr>
        <w:spacing w:before="32"/>
        <w:ind w:left="1528"/>
        <w:rPr>
          <w:i/>
          <w:sz w:val="16"/>
        </w:rPr>
      </w:pPr>
      <w:r>
        <w:rPr>
          <w:color w:val="231F20"/>
          <w:w w:val="105"/>
          <w:sz w:val="16"/>
        </w:rPr>
        <w:t>317–318</w:t>
      </w:r>
      <w:r>
        <w:rPr>
          <w:i/>
          <w:color w:val="231F20"/>
          <w:w w:val="105"/>
          <w:sz w:val="16"/>
        </w:rPr>
        <w:t xml:space="preserve">, </w:t>
      </w:r>
      <w:r>
        <w:rPr>
          <w:color w:val="231F20"/>
          <w:w w:val="105"/>
          <w:sz w:val="16"/>
        </w:rPr>
        <w:t>400; consumer society 202</w:t>
      </w:r>
      <w:r>
        <w:rPr>
          <w:i/>
          <w:color w:val="231F20"/>
          <w:w w:val="105"/>
          <w:sz w:val="16"/>
        </w:rPr>
        <w:t>,</w:t>
      </w:r>
    </w:p>
    <w:p w14:paraId="27747BE1" w14:textId="77777777" w:rsidR="002653E8" w:rsidRDefault="003115E3">
      <w:pPr>
        <w:spacing w:before="33"/>
        <w:ind w:left="1528"/>
        <w:rPr>
          <w:sz w:val="16"/>
        </w:rPr>
      </w:pPr>
      <w:r>
        <w:rPr>
          <w:color w:val="231F20"/>
          <w:sz w:val="16"/>
        </w:rPr>
        <w:t>320</w:t>
      </w:r>
      <w:r>
        <w:rPr>
          <w:i/>
          <w:color w:val="231F20"/>
          <w:sz w:val="16"/>
        </w:rPr>
        <w:t xml:space="preserve">, </w:t>
      </w:r>
      <w:r>
        <w:rPr>
          <w:color w:val="231F20"/>
          <w:sz w:val="16"/>
        </w:rPr>
        <w:t>362</w:t>
      </w:r>
      <w:r>
        <w:rPr>
          <w:i/>
          <w:color w:val="231F20"/>
          <w:sz w:val="16"/>
        </w:rPr>
        <w:t xml:space="preserve">, </w:t>
      </w:r>
      <w:r>
        <w:rPr>
          <w:color w:val="231F20"/>
          <w:sz w:val="16"/>
        </w:rPr>
        <w:t>363</w:t>
      </w:r>
      <w:r>
        <w:rPr>
          <w:i/>
          <w:color w:val="231F20"/>
          <w:sz w:val="16"/>
        </w:rPr>
        <w:t xml:space="preserve">, </w:t>
      </w:r>
      <w:r>
        <w:rPr>
          <w:color w:val="231F20"/>
          <w:sz w:val="16"/>
        </w:rPr>
        <w:t>401; fascist drift/new</w:t>
      </w:r>
    </w:p>
    <w:p w14:paraId="3AC12228" w14:textId="77777777" w:rsidR="002653E8" w:rsidRDefault="003115E3">
      <w:pPr>
        <w:spacing w:before="32"/>
        <w:ind w:left="1528"/>
        <w:rPr>
          <w:i/>
          <w:sz w:val="16"/>
        </w:rPr>
      </w:pPr>
      <w:r>
        <w:rPr>
          <w:color w:val="231F20"/>
          <w:w w:val="105"/>
          <w:sz w:val="16"/>
        </w:rPr>
        <w:t>fascism 104</w:t>
      </w:r>
      <w:r>
        <w:rPr>
          <w:i/>
          <w:color w:val="231F20"/>
          <w:w w:val="105"/>
          <w:sz w:val="16"/>
        </w:rPr>
        <w:t xml:space="preserve">, </w:t>
      </w:r>
      <w:r>
        <w:rPr>
          <w:color w:val="231F20"/>
          <w:w w:val="105"/>
          <w:sz w:val="16"/>
        </w:rPr>
        <w:t>139–141</w:t>
      </w:r>
      <w:r>
        <w:rPr>
          <w:i/>
          <w:color w:val="231F20"/>
          <w:w w:val="105"/>
          <w:sz w:val="16"/>
        </w:rPr>
        <w:t xml:space="preserve">, </w:t>
      </w:r>
      <w:r>
        <w:rPr>
          <w:color w:val="231F20"/>
          <w:w w:val="105"/>
          <w:sz w:val="16"/>
        </w:rPr>
        <w:t>214</w:t>
      </w:r>
      <w:r>
        <w:rPr>
          <w:i/>
          <w:color w:val="231F20"/>
          <w:w w:val="105"/>
          <w:sz w:val="16"/>
        </w:rPr>
        <w:t xml:space="preserve">, </w:t>
      </w:r>
      <w:r>
        <w:rPr>
          <w:color w:val="231F20"/>
          <w:w w:val="105"/>
          <w:sz w:val="16"/>
        </w:rPr>
        <w:t>224</w:t>
      </w:r>
      <w:r>
        <w:rPr>
          <w:i/>
          <w:color w:val="231F20"/>
          <w:w w:val="105"/>
          <w:sz w:val="16"/>
        </w:rPr>
        <w:t xml:space="preserve">, </w:t>
      </w:r>
      <w:r>
        <w:rPr>
          <w:color w:val="231F20"/>
          <w:w w:val="105"/>
          <w:sz w:val="16"/>
        </w:rPr>
        <w:t>305</w:t>
      </w:r>
      <w:r>
        <w:rPr>
          <w:i/>
          <w:color w:val="231F20"/>
          <w:w w:val="105"/>
          <w:sz w:val="16"/>
        </w:rPr>
        <w:t>,</w:t>
      </w:r>
    </w:p>
    <w:p w14:paraId="1E4833F2" w14:textId="77777777" w:rsidR="002653E8" w:rsidRDefault="003115E3">
      <w:pPr>
        <w:spacing w:before="33"/>
        <w:ind w:left="1527"/>
        <w:rPr>
          <w:i/>
          <w:sz w:val="16"/>
        </w:rPr>
      </w:pPr>
      <w:r>
        <w:rPr>
          <w:color w:val="231F20"/>
          <w:w w:val="110"/>
          <w:sz w:val="16"/>
        </w:rPr>
        <w:t>309</w:t>
      </w:r>
      <w:r>
        <w:rPr>
          <w:i/>
          <w:color w:val="231F20"/>
          <w:w w:val="110"/>
          <w:sz w:val="16"/>
        </w:rPr>
        <w:t xml:space="preserve">, </w:t>
      </w:r>
      <w:r>
        <w:rPr>
          <w:color w:val="231F20"/>
          <w:w w:val="110"/>
          <w:sz w:val="16"/>
        </w:rPr>
        <w:t>374</w:t>
      </w:r>
      <w:r>
        <w:rPr>
          <w:i/>
          <w:color w:val="231F20"/>
          <w:w w:val="110"/>
          <w:sz w:val="16"/>
        </w:rPr>
        <w:t xml:space="preserve">, </w:t>
      </w:r>
      <w:r>
        <w:rPr>
          <w:color w:val="231F20"/>
          <w:w w:val="110"/>
          <w:sz w:val="16"/>
        </w:rPr>
        <w:t>419</w:t>
      </w:r>
      <w:r>
        <w:rPr>
          <w:i/>
          <w:color w:val="231F20"/>
          <w:w w:val="110"/>
          <w:sz w:val="16"/>
        </w:rPr>
        <w:t xml:space="preserve">, </w:t>
      </w:r>
      <w:r>
        <w:rPr>
          <w:color w:val="231F20"/>
          <w:w w:val="110"/>
          <w:sz w:val="16"/>
        </w:rPr>
        <w:t>425</w:t>
      </w:r>
      <w:r>
        <w:rPr>
          <w:i/>
          <w:color w:val="231F20"/>
          <w:w w:val="110"/>
          <w:sz w:val="16"/>
        </w:rPr>
        <w:t xml:space="preserve">, </w:t>
      </w:r>
      <w:r>
        <w:rPr>
          <w:color w:val="231F20"/>
          <w:w w:val="110"/>
          <w:sz w:val="16"/>
        </w:rPr>
        <w:t>426–427</w:t>
      </w:r>
      <w:r>
        <w:rPr>
          <w:i/>
          <w:color w:val="231F20"/>
          <w:w w:val="110"/>
          <w:sz w:val="16"/>
        </w:rPr>
        <w:t xml:space="preserve">, </w:t>
      </w:r>
      <w:r>
        <w:rPr>
          <w:color w:val="231F20"/>
          <w:w w:val="110"/>
          <w:sz w:val="16"/>
        </w:rPr>
        <w:t>427</w:t>
      </w:r>
      <w:r>
        <w:rPr>
          <w:i/>
          <w:color w:val="231F20"/>
          <w:w w:val="110"/>
          <w:sz w:val="16"/>
        </w:rPr>
        <w:t>,</w:t>
      </w:r>
    </w:p>
    <w:p w14:paraId="52FD9578" w14:textId="77777777" w:rsidR="002653E8" w:rsidRDefault="003115E3">
      <w:pPr>
        <w:spacing w:before="32" w:line="280" w:lineRule="auto"/>
        <w:ind w:left="1527"/>
        <w:rPr>
          <w:sz w:val="16"/>
        </w:rPr>
      </w:pPr>
      <w:r>
        <w:rPr>
          <w:color w:val="231F20"/>
          <w:sz w:val="16"/>
        </w:rPr>
        <w:t>456</w:t>
      </w:r>
      <w:r>
        <w:rPr>
          <w:i/>
          <w:color w:val="231F20"/>
          <w:sz w:val="16"/>
        </w:rPr>
        <w:t xml:space="preserve">, </w:t>
      </w:r>
      <w:r>
        <w:rPr>
          <w:color w:val="231F20"/>
          <w:sz w:val="16"/>
        </w:rPr>
        <w:t>497; the Federal Republic of Germany 308–309</w:t>
      </w:r>
      <w:r>
        <w:rPr>
          <w:i/>
          <w:color w:val="231F20"/>
          <w:sz w:val="16"/>
        </w:rPr>
        <w:t xml:space="preserve">, </w:t>
      </w:r>
      <w:r>
        <w:rPr>
          <w:color w:val="231F20"/>
          <w:sz w:val="16"/>
        </w:rPr>
        <w:t>413–415</w:t>
      </w:r>
      <w:r>
        <w:rPr>
          <w:i/>
          <w:color w:val="231F20"/>
          <w:sz w:val="16"/>
        </w:rPr>
        <w:t xml:space="preserve">, </w:t>
      </w:r>
      <w:r>
        <w:rPr>
          <w:color w:val="231F20"/>
          <w:sz w:val="16"/>
        </w:rPr>
        <w:t>430–431;</w:t>
      </w:r>
    </w:p>
    <w:p w14:paraId="655BEC2A" w14:textId="77777777" w:rsidR="002653E8" w:rsidRDefault="003115E3">
      <w:pPr>
        <w:spacing w:before="1"/>
        <w:ind w:left="1527"/>
        <w:rPr>
          <w:i/>
          <w:sz w:val="16"/>
        </w:rPr>
      </w:pPr>
      <w:r>
        <w:rPr>
          <w:color w:val="231F20"/>
          <w:w w:val="105"/>
          <w:sz w:val="16"/>
        </w:rPr>
        <w:t>imperialism 88–89</w:t>
      </w:r>
      <w:r>
        <w:rPr>
          <w:i/>
          <w:color w:val="231F20"/>
          <w:w w:val="105"/>
          <w:sz w:val="16"/>
        </w:rPr>
        <w:t xml:space="preserve">, </w:t>
      </w:r>
      <w:r>
        <w:rPr>
          <w:color w:val="231F20"/>
          <w:w w:val="105"/>
          <w:sz w:val="16"/>
        </w:rPr>
        <w:t>124–128</w:t>
      </w:r>
      <w:r>
        <w:rPr>
          <w:i/>
          <w:color w:val="231F20"/>
          <w:w w:val="105"/>
          <w:sz w:val="16"/>
        </w:rPr>
        <w:t>,</w:t>
      </w:r>
    </w:p>
    <w:p w14:paraId="128003B8" w14:textId="77777777" w:rsidR="002653E8" w:rsidRDefault="003115E3">
      <w:pPr>
        <w:spacing w:before="33"/>
        <w:ind w:left="1527"/>
        <w:rPr>
          <w:i/>
          <w:sz w:val="16"/>
        </w:rPr>
      </w:pPr>
      <w:r>
        <w:rPr>
          <w:color w:val="231F20"/>
          <w:w w:val="105"/>
          <w:sz w:val="16"/>
        </w:rPr>
        <w:t>206–210</w:t>
      </w:r>
      <w:r>
        <w:rPr>
          <w:i/>
          <w:color w:val="231F20"/>
          <w:w w:val="105"/>
          <w:sz w:val="16"/>
        </w:rPr>
        <w:t>,</w:t>
      </w:r>
      <w:r>
        <w:rPr>
          <w:i/>
          <w:color w:val="231F20"/>
          <w:spacing w:val="-14"/>
          <w:w w:val="105"/>
          <w:sz w:val="16"/>
        </w:rPr>
        <w:t xml:space="preserve"> </w:t>
      </w:r>
      <w:r>
        <w:rPr>
          <w:color w:val="231F20"/>
          <w:w w:val="105"/>
          <w:sz w:val="16"/>
        </w:rPr>
        <w:t>211–214</w:t>
      </w:r>
      <w:r>
        <w:rPr>
          <w:i/>
          <w:color w:val="231F20"/>
          <w:w w:val="105"/>
          <w:sz w:val="16"/>
        </w:rPr>
        <w:t>,</w:t>
      </w:r>
      <w:r>
        <w:rPr>
          <w:i/>
          <w:color w:val="231F20"/>
          <w:spacing w:val="-14"/>
          <w:w w:val="105"/>
          <w:sz w:val="16"/>
        </w:rPr>
        <w:t xml:space="preserve"> </w:t>
      </w:r>
      <w:r>
        <w:rPr>
          <w:color w:val="231F20"/>
          <w:w w:val="105"/>
          <w:sz w:val="16"/>
        </w:rPr>
        <w:t>215</w:t>
      </w:r>
      <w:r>
        <w:rPr>
          <w:i/>
          <w:color w:val="231F20"/>
          <w:w w:val="105"/>
          <w:sz w:val="16"/>
        </w:rPr>
        <w:t>,</w:t>
      </w:r>
      <w:r>
        <w:rPr>
          <w:i/>
          <w:color w:val="231F20"/>
          <w:spacing w:val="-14"/>
          <w:w w:val="105"/>
          <w:sz w:val="16"/>
        </w:rPr>
        <w:t xml:space="preserve"> </w:t>
      </w:r>
      <w:r>
        <w:rPr>
          <w:color w:val="231F20"/>
          <w:w w:val="105"/>
          <w:sz w:val="16"/>
        </w:rPr>
        <w:t>280–281</w:t>
      </w:r>
      <w:r>
        <w:rPr>
          <w:i/>
          <w:color w:val="231F20"/>
          <w:w w:val="105"/>
          <w:sz w:val="16"/>
        </w:rPr>
        <w:t>,</w:t>
      </w:r>
      <w:r>
        <w:rPr>
          <w:i/>
          <w:color w:val="231F20"/>
          <w:spacing w:val="-14"/>
          <w:w w:val="105"/>
          <w:sz w:val="16"/>
        </w:rPr>
        <w:t xml:space="preserve"> </w:t>
      </w:r>
      <w:r>
        <w:rPr>
          <w:color w:val="231F20"/>
          <w:w w:val="105"/>
          <w:sz w:val="16"/>
        </w:rPr>
        <w:t>315</w:t>
      </w:r>
      <w:r>
        <w:rPr>
          <w:i/>
          <w:color w:val="231F20"/>
          <w:w w:val="105"/>
          <w:sz w:val="16"/>
        </w:rPr>
        <w:t>,</w:t>
      </w:r>
    </w:p>
    <w:p w14:paraId="541B5201" w14:textId="77777777" w:rsidR="002653E8" w:rsidRDefault="003115E3">
      <w:pPr>
        <w:spacing w:before="32"/>
        <w:ind w:left="1527"/>
        <w:rPr>
          <w:i/>
          <w:sz w:val="16"/>
        </w:rPr>
      </w:pPr>
      <w:r>
        <w:rPr>
          <w:color w:val="231F20"/>
          <w:w w:val="105"/>
          <w:sz w:val="16"/>
        </w:rPr>
        <w:t>426; labor aristocracy 202</w:t>
      </w:r>
      <w:r>
        <w:rPr>
          <w:i/>
          <w:color w:val="231F20"/>
          <w:w w:val="105"/>
          <w:sz w:val="16"/>
        </w:rPr>
        <w:t xml:space="preserve">, </w:t>
      </w:r>
      <w:r>
        <w:rPr>
          <w:color w:val="231F20"/>
          <w:w w:val="105"/>
          <w:sz w:val="16"/>
        </w:rPr>
        <w:t>207</w:t>
      </w:r>
      <w:r>
        <w:rPr>
          <w:i/>
          <w:color w:val="231F20"/>
          <w:w w:val="105"/>
          <w:sz w:val="16"/>
        </w:rPr>
        <w:t xml:space="preserve">, </w:t>
      </w:r>
      <w:r>
        <w:rPr>
          <w:color w:val="231F20"/>
          <w:w w:val="105"/>
          <w:sz w:val="16"/>
        </w:rPr>
        <w:t>216</w:t>
      </w:r>
      <w:r>
        <w:rPr>
          <w:i/>
          <w:color w:val="231F20"/>
          <w:w w:val="105"/>
          <w:sz w:val="16"/>
        </w:rPr>
        <w:t>,</w:t>
      </w:r>
    </w:p>
    <w:p w14:paraId="3725D7FD" w14:textId="77777777" w:rsidR="002653E8" w:rsidRDefault="003115E3">
      <w:pPr>
        <w:spacing w:before="32"/>
        <w:ind w:left="1527"/>
        <w:rPr>
          <w:sz w:val="16"/>
        </w:rPr>
      </w:pPr>
      <w:r>
        <w:rPr>
          <w:color w:val="231F20"/>
          <w:sz w:val="16"/>
        </w:rPr>
        <w:t>222</w:t>
      </w:r>
      <w:r>
        <w:rPr>
          <w:i/>
          <w:color w:val="231F20"/>
          <w:sz w:val="16"/>
        </w:rPr>
        <w:t xml:space="preserve">, </w:t>
      </w:r>
      <w:r>
        <w:rPr>
          <w:color w:val="231F20"/>
          <w:sz w:val="16"/>
        </w:rPr>
        <w:t>318</w:t>
      </w:r>
      <w:r>
        <w:rPr>
          <w:i/>
          <w:color w:val="231F20"/>
          <w:sz w:val="16"/>
        </w:rPr>
        <w:t xml:space="preserve">, </w:t>
      </w:r>
      <w:r>
        <w:rPr>
          <w:color w:val="231F20"/>
          <w:sz w:val="16"/>
        </w:rPr>
        <w:t>434; liberal human rights</w:t>
      </w:r>
    </w:p>
    <w:p w14:paraId="41DBE6C4" w14:textId="77777777" w:rsidR="002653E8" w:rsidRDefault="003115E3">
      <w:pPr>
        <w:spacing w:before="33"/>
        <w:ind w:left="1527"/>
        <w:rPr>
          <w:i/>
          <w:sz w:val="16"/>
        </w:rPr>
      </w:pPr>
      <w:r>
        <w:rPr>
          <w:color w:val="231F20"/>
          <w:w w:val="110"/>
          <w:sz w:val="16"/>
        </w:rPr>
        <w:t>229–230</w:t>
      </w:r>
      <w:r>
        <w:rPr>
          <w:i/>
          <w:color w:val="231F20"/>
          <w:w w:val="110"/>
          <w:sz w:val="16"/>
        </w:rPr>
        <w:t xml:space="preserve">, </w:t>
      </w:r>
      <w:r>
        <w:rPr>
          <w:color w:val="231F20"/>
          <w:w w:val="110"/>
          <w:sz w:val="16"/>
        </w:rPr>
        <w:t>249</w:t>
      </w:r>
      <w:r>
        <w:rPr>
          <w:i/>
          <w:color w:val="231F20"/>
          <w:w w:val="110"/>
          <w:sz w:val="16"/>
        </w:rPr>
        <w:t xml:space="preserve">, </w:t>
      </w:r>
      <w:r>
        <w:rPr>
          <w:color w:val="231F20"/>
          <w:w w:val="110"/>
          <w:sz w:val="16"/>
        </w:rPr>
        <w:t>320</w:t>
      </w:r>
      <w:r>
        <w:rPr>
          <w:i/>
          <w:color w:val="231F20"/>
          <w:w w:val="110"/>
          <w:sz w:val="16"/>
        </w:rPr>
        <w:t xml:space="preserve">, </w:t>
      </w:r>
      <w:r>
        <w:rPr>
          <w:color w:val="231F20"/>
          <w:w w:val="110"/>
          <w:sz w:val="16"/>
        </w:rPr>
        <w:t>373–374</w:t>
      </w:r>
      <w:r>
        <w:rPr>
          <w:i/>
          <w:color w:val="231F20"/>
          <w:w w:val="110"/>
          <w:sz w:val="16"/>
        </w:rPr>
        <w:t xml:space="preserve">, </w:t>
      </w:r>
      <w:r>
        <w:rPr>
          <w:color w:val="231F20"/>
          <w:w w:val="110"/>
          <w:sz w:val="16"/>
        </w:rPr>
        <w:t>424</w:t>
      </w:r>
      <w:r>
        <w:rPr>
          <w:i/>
          <w:color w:val="231F20"/>
          <w:w w:val="110"/>
          <w:sz w:val="16"/>
        </w:rPr>
        <w:t>,</w:t>
      </w:r>
    </w:p>
    <w:p w14:paraId="2C30CF96" w14:textId="77777777" w:rsidR="002653E8" w:rsidRDefault="003115E3">
      <w:pPr>
        <w:spacing w:before="32" w:line="280" w:lineRule="auto"/>
        <w:ind w:left="1527" w:right="79" w:hanging="1"/>
        <w:rPr>
          <w:sz w:val="16"/>
        </w:rPr>
      </w:pPr>
      <w:r>
        <w:rPr>
          <w:color w:val="231F20"/>
          <w:w w:val="105"/>
          <w:sz w:val="16"/>
        </w:rPr>
        <w:t>424–425</w:t>
      </w:r>
      <w:r>
        <w:rPr>
          <w:i/>
          <w:color w:val="231F20"/>
          <w:w w:val="105"/>
          <w:sz w:val="16"/>
        </w:rPr>
        <w:t xml:space="preserve">, </w:t>
      </w:r>
      <w:r>
        <w:rPr>
          <w:color w:val="231F20"/>
          <w:w w:val="105"/>
          <w:sz w:val="16"/>
        </w:rPr>
        <w:t>451; long march through the institutions 152; Marxism-Leninism 90</w:t>
      </w:r>
      <w:r>
        <w:rPr>
          <w:i/>
          <w:color w:val="231F20"/>
          <w:w w:val="105"/>
          <w:sz w:val="16"/>
        </w:rPr>
        <w:t xml:space="preserve">, </w:t>
      </w:r>
      <w:r>
        <w:rPr>
          <w:color w:val="231F20"/>
          <w:w w:val="105"/>
          <w:sz w:val="16"/>
        </w:rPr>
        <w:t>92</w:t>
      </w:r>
      <w:r>
        <w:rPr>
          <w:i/>
          <w:color w:val="231F20"/>
          <w:w w:val="105"/>
          <w:sz w:val="16"/>
        </w:rPr>
        <w:t xml:space="preserve">, </w:t>
      </w:r>
      <w:r>
        <w:rPr>
          <w:color w:val="231F20"/>
          <w:w w:val="105"/>
          <w:sz w:val="16"/>
        </w:rPr>
        <w:t>315–316; metropolitan</w:t>
      </w:r>
    </w:p>
    <w:p w14:paraId="679873EC" w14:textId="77777777" w:rsidR="002653E8" w:rsidRDefault="003115E3">
      <w:pPr>
        <w:spacing w:before="2"/>
        <w:ind w:left="1527"/>
        <w:rPr>
          <w:i/>
          <w:sz w:val="16"/>
        </w:rPr>
      </w:pPr>
      <w:r>
        <w:rPr>
          <w:color w:val="231F20"/>
          <w:sz w:val="16"/>
        </w:rPr>
        <w:t>chauvinism/opportunism  126</w:t>
      </w:r>
      <w:r>
        <w:rPr>
          <w:i/>
          <w:color w:val="231F20"/>
          <w:sz w:val="16"/>
        </w:rPr>
        <w:t xml:space="preserve">, </w:t>
      </w:r>
      <w:r>
        <w:rPr>
          <w:color w:val="231F20"/>
          <w:sz w:val="16"/>
        </w:rPr>
        <w:t>141</w:t>
      </w:r>
      <w:r>
        <w:rPr>
          <w:i/>
          <w:color w:val="231F20"/>
          <w:sz w:val="16"/>
        </w:rPr>
        <w:t>,</w:t>
      </w:r>
    </w:p>
    <w:p w14:paraId="5EA41B0B" w14:textId="77777777" w:rsidR="002653E8" w:rsidRDefault="003115E3">
      <w:pPr>
        <w:spacing w:before="32"/>
        <w:ind w:left="1527"/>
        <w:rPr>
          <w:sz w:val="16"/>
        </w:rPr>
      </w:pPr>
      <w:r>
        <w:rPr>
          <w:color w:val="231F20"/>
          <w:w w:val="105"/>
          <w:sz w:val="16"/>
        </w:rPr>
        <w:t>215–221</w:t>
      </w:r>
      <w:r>
        <w:rPr>
          <w:i/>
          <w:color w:val="231F20"/>
          <w:w w:val="105"/>
          <w:sz w:val="16"/>
        </w:rPr>
        <w:t xml:space="preserve">, </w:t>
      </w:r>
      <w:r>
        <w:rPr>
          <w:color w:val="231F20"/>
          <w:w w:val="105"/>
          <w:sz w:val="16"/>
        </w:rPr>
        <w:t>226</w:t>
      </w:r>
      <w:r>
        <w:rPr>
          <w:i/>
          <w:color w:val="231F20"/>
          <w:w w:val="105"/>
          <w:sz w:val="16"/>
        </w:rPr>
        <w:t xml:space="preserve">, </w:t>
      </w:r>
      <w:r>
        <w:rPr>
          <w:color w:val="231F20"/>
          <w:w w:val="105"/>
          <w:sz w:val="16"/>
        </w:rPr>
        <w:t>318</w:t>
      </w:r>
      <w:r>
        <w:rPr>
          <w:i/>
          <w:color w:val="231F20"/>
          <w:w w:val="105"/>
          <w:sz w:val="16"/>
        </w:rPr>
        <w:t xml:space="preserve">, </w:t>
      </w:r>
      <w:r>
        <w:rPr>
          <w:color w:val="231F20"/>
          <w:w w:val="105"/>
          <w:sz w:val="16"/>
        </w:rPr>
        <w:t>424–425; nation-</w:t>
      </w:r>
    </w:p>
    <w:p w14:paraId="58AE6DEE" w14:textId="77777777" w:rsidR="002653E8" w:rsidRDefault="003115E3">
      <w:pPr>
        <w:spacing w:before="33"/>
        <w:ind w:left="1527"/>
        <w:rPr>
          <w:sz w:val="16"/>
        </w:rPr>
      </w:pPr>
      <w:r>
        <w:rPr>
          <w:color w:val="231F20"/>
          <w:w w:val="105"/>
          <w:sz w:val="16"/>
        </w:rPr>
        <w:t>state perspective 126</w:t>
      </w:r>
      <w:r>
        <w:rPr>
          <w:i/>
          <w:color w:val="231F20"/>
          <w:w w:val="105"/>
          <w:sz w:val="16"/>
        </w:rPr>
        <w:t xml:space="preserve">, </w:t>
      </w:r>
      <w:r>
        <w:rPr>
          <w:color w:val="231F20"/>
          <w:w w:val="105"/>
          <w:sz w:val="16"/>
        </w:rPr>
        <w:t>139</w:t>
      </w:r>
      <w:r>
        <w:rPr>
          <w:i/>
          <w:color w:val="231F20"/>
          <w:w w:val="105"/>
          <w:sz w:val="16"/>
        </w:rPr>
        <w:t xml:space="preserve">, </w:t>
      </w:r>
      <w:r>
        <w:rPr>
          <w:color w:val="231F20"/>
          <w:w w:val="105"/>
          <w:sz w:val="16"/>
        </w:rPr>
        <w:t>226</w:t>
      </w:r>
      <w:r>
        <w:rPr>
          <w:i/>
          <w:color w:val="231F20"/>
          <w:w w:val="105"/>
          <w:sz w:val="16"/>
        </w:rPr>
        <w:t xml:space="preserve">, </w:t>
      </w:r>
      <w:r>
        <w:rPr>
          <w:color w:val="231F20"/>
          <w:w w:val="105"/>
          <w:sz w:val="16"/>
        </w:rPr>
        <w:t>360;</w:t>
      </w:r>
    </w:p>
    <w:p w14:paraId="36BC23BF" w14:textId="77777777" w:rsidR="002653E8" w:rsidRDefault="003115E3">
      <w:pPr>
        <w:spacing w:before="32"/>
        <w:ind w:left="1527"/>
        <w:rPr>
          <w:i/>
          <w:sz w:val="16"/>
        </w:rPr>
      </w:pPr>
      <w:r>
        <w:rPr>
          <w:color w:val="231F20"/>
          <w:w w:val="105"/>
          <w:sz w:val="16"/>
        </w:rPr>
        <w:t>necessity of armed struggle 81</w:t>
      </w:r>
      <w:r>
        <w:rPr>
          <w:i/>
          <w:color w:val="231F20"/>
          <w:w w:val="105"/>
          <w:sz w:val="16"/>
        </w:rPr>
        <w:t xml:space="preserve">, </w:t>
      </w:r>
      <w:r>
        <w:rPr>
          <w:color w:val="231F20"/>
          <w:w w:val="105"/>
          <w:sz w:val="16"/>
        </w:rPr>
        <w:t>93</w:t>
      </w:r>
      <w:r>
        <w:rPr>
          <w:i/>
          <w:color w:val="231F20"/>
          <w:w w:val="105"/>
          <w:sz w:val="16"/>
        </w:rPr>
        <w:t>,</w:t>
      </w:r>
    </w:p>
    <w:p w14:paraId="6AB41985" w14:textId="77777777" w:rsidR="002653E8" w:rsidRDefault="003115E3">
      <w:pPr>
        <w:spacing w:before="33"/>
        <w:ind w:left="1527"/>
        <w:rPr>
          <w:i/>
          <w:sz w:val="16"/>
        </w:rPr>
      </w:pPr>
      <w:r>
        <w:rPr>
          <w:color w:val="231F20"/>
          <w:w w:val="110"/>
          <w:sz w:val="16"/>
        </w:rPr>
        <w:t>95–96</w:t>
      </w:r>
      <w:r>
        <w:rPr>
          <w:i/>
          <w:color w:val="231F20"/>
          <w:w w:val="110"/>
          <w:sz w:val="16"/>
        </w:rPr>
        <w:t>,</w:t>
      </w:r>
      <w:r>
        <w:rPr>
          <w:i/>
          <w:color w:val="231F20"/>
          <w:spacing w:val="-22"/>
          <w:w w:val="110"/>
          <w:sz w:val="16"/>
        </w:rPr>
        <w:t xml:space="preserve"> </w:t>
      </w:r>
      <w:r>
        <w:rPr>
          <w:color w:val="231F20"/>
          <w:w w:val="110"/>
          <w:sz w:val="16"/>
        </w:rPr>
        <w:t>96–98</w:t>
      </w:r>
      <w:r>
        <w:rPr>
          <w:i/>
          <w:color w:val="231F20"/>
          <w:w w:val="110"/>
          <w:sz w:val="16"/>
        </w:rPr>
        <w:t>,</w:t>
      </w:r>
      <w:r>
        <w:rPr>
          <w:i/>
          <w:color w:val="231F20"/>
          <w:spacing w:val="-22"/>
          <w:w w:val="110"/>
          <w:sz w:val="16"/>
        </w:rPr>
        <w:t xml:space="preserve"> </w:t>
      </w:r>
      <w:r>
        <w:rPr>
          <w:color w:val="231F20"/>
          <w:w w:val="110"/>
          <w:sz w:val="16"/>
        </w:rPr>
        <w:t>99</w:t>
      </w:r>
      <w:r>
        <w:rPr>
          <w:i/>
          <w:color w:val="231F20"/>
          <w:w w:val="110"/>
          <w:sz w:val="16"/>
        </w:rPr>
        <w:t>,</w:t>
      </w:r>
      <w:r>
        <w:rPr>
          <w:i/>
          <w:color w:val="231F20"/>
          <w:spacing w:val="-22"/>
          <w:w w:val="110"/>
          <w:sz w:val="16"/>
        </w:rPr>
        <w:t xml:space="preserve"> </w:t>
      </w:r>
      <w:r>
        <w:rPr>
          <w:color w:val="231F20"/>
          <w:w w:val="110"/>
          <w:sz w:val="16"/>
        </w:rPr>
        <w:t>122</w:t>
      </w:r>
      <w:r>
        <w:rPr>
          <w:i/>
          <w:color w:val="231F20"/>
          <w:w w:val="110"/>
          <w:sz w:val="16"/>
        </w:rPr>
        <w:t>,</w:t>
      </w:r>
      <w:r>
        <w:rPr>
          <w:i/>
          <w:color w:val="231F20"/>
          <w:spacing w:val="-22"/>
          <w:w w:val="110"/>
          <w:sz w:val="16"/>
        </w:rPr>
        <w:t xml:space="preserve"> </w:t>
      </w:r>
      <w:r>
        <w:rPr>
          <w:color w:val="231F20"/>
          <w:w w:val="110"/>
          <w:sz w:val="16"/>
        </w:rPr>
        <w:t>141–142</w:t>
      </w:r>
      <w:r>
        <w:rPr>
          <w:i/>
          <w:color w:val="231F20"/>
          <w:w w:val="110"/>
          <w:sz w:val="16"/>
        </w:rPr>
        <w:t>,</w:t>
      </w:r>
      <w:r>
        <w:rPr>
          <w:i/>
          <w:color w:val="231F20"/>
          <w:spacing w:val="-22"/>
          <w:w w:val="110"/>
          <w:sz w:val="16"/>
        </w:rPr>
        <w:t xml:space="preserve"> </w:t>
      </w:r>
      <w:r>
        <w:rPr>
          <w:color w:val="231F20"/>
          <w:w w:val="110"/>
          <w:sz w:val="16"/>
        </w:rPr>
        <w:t>152</w:t>
      </w:r>
      <w:r>
        <w:rPr>
          <w:i/>
          <w:color w:val="231F20"/>
          <w:w w:val="110"/>
          <w:sz w:val="16"/>
        </w:rPr>
        <w:t>,</w:t>
      </w:r>
    </w:p>
    <w:p w14:paraId="1A43F9EE" w14:textId="77777777" w:rsidR="002653E8" w:rsidRDefault="003115E3">
      <w:pPr>
        <w:spacing w:before="32"/>
        <w:ind w:left="1527"/>
        <w:rPr>
          <w:i/>
          <w:sz w:val="16"/>
        </w:rPr>
      </w:pPr>
      <w:r>
        <w:rPr>
          <w:color w:val="231F20"/>
          <w:w w:val="105"/>
          <w:sz w:val="16"/>
        </w:rPr>
        <w:t>185</w:t>
      </w:r>
      <w:r>
        <w:rPr>
          <w:i/>
          <w:color w:val="231F20"/>
          <w:w w:val="105"/>
          <w:sz w:val="16"/>
        </w:rPr>
        <w:t xml:space="preserve">, </w:t>
      </w:r>
      <w:r>
        <w:rPr>
          <w:color w:val="231F20"/>
          <w:w w:val="105"/>
          <w:sz w:val="16"/>
        </w:rPr>
        <w:t>311; old antifascists 88</w:t>
      </w:r>
      <w:r>
        <w:rPr>
          <w:i/>
          <w:color w:val="231F20"/>
          <w:w w:val="105"/>
          <w:sz w:val="16"/>
        </w:rPr>
        <w:t>,</w:t>
      </w:r>
      <w:r>
        <w:rPr>
          <w:i/>
          <w:color w:val="231F20"/>
          <w:spacing w:val="-11"/>
          <w:w w:val="105"/>
          <w:sz w:val="16"/>
        </w:rPr>
        <w:t xml:space="preserve"> </w:t>
      </w:r>
      <w:r>
        <w:rPr>
          <w:color w:val="231F20"/>
          <w:w w:val="105"/>
          <w:sz w:val="16"/>
        </w:rPr>
        <w:t>225–226</w:t>
      </w:r>
      <w:r>
        <w:rPr>
          <w:i/>
          <w:color w:val="231F20"/>
          <w:w w:val="105"/>
          <w:sz w:val="16"/>
        </w:rPr>
        <w:t>,</w:t>
      </w:r>
    </w:p>
    <w:p w14:paraId="3CD7E78B" w14:textId="77777777" w:rsidR="002653E8" w:rsidRDefault="003115E3">
      <w:pPr>
        <w:spacing w:before="32"/>
        <w:ind w:left="1527"/>
        <w:rPr>
          <w:sz w:val="16"/>
        </w:rPr>
      </w:pPr>
      <w:r>
        <w:rPr>
          <w:color w:val="231F20"/>
          <w:sz w:val="16"/>
        </w:rPr>
        <w:t>228; old left   90–91; radical subjectiv-</w:t>
      </w:r>
    </w:p>
    <w:p w14:paraId="41DA8F4C" w14:textId="77777777" w:rsidR="002653E8" w:rsidRDefault="003115E3">
      <w:pPr>
        <w:spacing w:before="33"/>
        <w:ind w:left="1527"/>
        <w:rPr>
          <w:i/>
          <w:sz w:val="16"/>
        </w:rPr>
      </w:pPr>
      <w:r>
        <w:rPr>
          <w:color w:val="231F20"/>
          <w:w w:val="105"/>
          <w:sz w:val="16"/>
        </w:rPr>
        <w:t>ity 100–101</w:t>
      </w:r>
      <w:r>
        <w:rPr>
          <w:i/>
          <w:color w:val="231F20"/>
          <w:w w:val="105"/>
          <w:sz w:val="16"/>
        </w:rPr>
        <w:t xml:space="preserve">, </w:t>
      </w:r>
      <w:r>
        <w:rPr>
          <w:color w:val="231F20"/>
          <w:w w:val="105"/>
          <w:sz w:val="16"/>
        </w:rPr>
        <w:t>202</w:t>
      </w:r>
      <w:r>
        <w:rPr>
          <w:i/>
          <w:color w:val="231F20"/>
          <w:w w:val="105"/>
          <w:sz w:val="16"/>
        </w:rPr>
        <w:t xml:space="preserve">, </w:t>
      </w:r>
      <w:r>
        <w:rPr>
          <w:color w:val="231F20"/>
          <w:w w:val="105"/>
          <w:sz w:val="16"/>
        </w:rPr>
        <w:t>219</w:t>
      </w:r>
      <w:r>
        <w:rPr>
          <w:i/>
          <w:color w:val="231F20"/>
          <w:w w:val="105"/>
          <w:sz w:val="16"/>
        </w:rPr>
        <w:t xml:space="preserve">, </w:t>
      </w:r>
      <w:r>
        <w:rPr>
          <w:color w:val="231F20"/>
          <w:w w:val="105"/>
          <w:sz w:val="16"/>
        </w:rPr>
        <w:t>296–298</w:t>
      </w:r>
      <w:r>
        <w:rPr>
          <w:i/>
          <w:color w:val="231F20"/>
          <w:w w:val="105"/>
          <w:sz w:val="16"/>
        </w:rPr>
        <w:t xml:space="preserve">, </w:t>
      </w:r>
      <w:r>
        <w:rPr>
          <w:color w:val="231F20"/>
          <w:w w:val="105"/>
          <w:sz w:val="16"/>
        </w:rPr>
        <w:t>310</w:t>
      </w:r>
      <w:r>
        <w:rPr>
          <w:i/>
          <w:color w:val="231F20"/>
          <w:w w:val="105"/>
          <w:sz w:val="16"/>
        </w:rPr>
        <w:t>,</w:t>
      </w:r>
    </w:p>
    <w:p w14:paraId="78B81B3E" w14:textId="77777777" w:rsidR="002653E8" w:rsidRDefault="003115E3">
      <w:pPr>
        <w:spacing w:before="32"/>
        <w:ind w:left="1527"/>
        <w:rPr>
          <w:sz w:val="16"/>
        </w:rPr>
      </w:pPr>
      <w:r>
        <w:rPr>
          <w:color w:val="231F20"/>
          <w:w w:val="105"/>
          <w:sz w:val="16"/>
        </w:rPr>
        <w:t>362–363</w:t>
      </w:r>
      <w:r>
        <w:rPr>
          <w:i/>
          <w:color w:val="231F20"/>
          <w:w w:val="105"/>
          <w:sz w:val="16"/>
        </w:rPr>
        <w:t xml:space="preserve">, </w:t>
      </w:r>
      <w:r>
        <w:rPr>
          <w:color w:val="231F20"/>
          <w:w w:val="105"/>
          <w:sz w:val="16"/>
        </w:rPr>
        <w:t>366–367</w:t>
      </w:r>
      <w:r>
        <w:rPr>
          <w:i/>
          <w:color w:val="231F20"/>
          <w:w w:val="105"/>
          <w:sz w:val="16"/>
        </w:rPr>
        <w:t xml:space="preserve">, </w:t>
      </w:r>
      <w:r>
        <w:rPr>
          <w:color w:val="231F20"/>
          <w:w w:val="105"/>
          <w:sz w:val="16"/>
        </w:rPr>
        <w:t>397</w:t>
      </w:r>
      <w:r>
        <w:rPr>
          <w:i/>
          <w:color w:val="231F20"/>
          <w:w w:val="105"/>
          <w:sz w:val="16"/>
        </w:rPr>
        <w:t xml:space="preserve">, </w:t>
      </w:r>
      <w:r>
        <w:rPr>
          <w:color w:val="231F20"/>
          <w:w w:val="105"/>
          <w:sz w:val="16"/>
        </w:rPr>
        <w:t>399; reform-</w:t>
      </w:r>
    </w:p>
    <w:p w14:paraId="49FA020C" w14:textId="77777777" w:rsidR="002653E8" w:rsidRDefault="003115E3">
      <w:pPr>
        <w:spacing w:before="33"/>
        <w:ind w:left="1527"/>
        <w:rPr>
          <w:sz w:val="16"/>
        </w:rPr>
      </w:pPr>
      <w:r>
        <w:rPr>
          <w:color w:val="231F20"/>
          <w:w w:val="105"/>
          <w:sz w:val="16"/>
        </w:rPr>
        <w:t>ism 102</w:t>
      </w:r>
      <w:r>
        <w:rPr>
          <w:i/>
          <w:color w:val="231F20"/>
          <w:w w:val="105"/>
          <w:sz w:val="16"/>
        </w:rPr>
        <w:t xml:space="preserve">, </w:t>
      </w:r>
      <w:r>
        <w:rPr>
          <w:color w:val="231F20"/>
          <w:w w:val="105"/>
          <w:sz w:val="16"/>
        </w:rPr>
        <w:t>148–149</w:t>
      </w:r>
      <w:r>
        <w:rPr>
          <w:i/>
          <w:color w:val="231F20"/>
          <w:w w:val="105"/>
          <w:sz w:val="16"/>
        </w:rPr>
        <w:t xml:space="preserve">, </w:t>
      </w:r>
      <w:r>
        <w:rPr>
          <w:color w:val="231F20"/>
          <w:w w:val="105"/>
          <w:sz w:val="16"/>
        </w:rPr>
        <w:t>282–283; “the</w:t>
      </w:r>
    </w:p>
    <w:p w14:paraId="172D6F30" w14:textId="77777777" w:rsidR="002653E8" w:rsidRDefault="003115E3">
      <w:pPr>
        <w:spacing w:before="32" w:line="280" w:lineRule="auto"/>
        <w:ind w:left="1527" w:right="161"/>
        <w:jc w:val="both"/>
        <w:rPr>
          <w:i/>
          <w:sz w:val="16"/>
        </w:rPr>
      </w:pPr>
      <w:r>
        <w:rPr>
          <w:color w:val="231F20"/>
          <w:w w:val="105"/>
          <w:sz w:val="16"/>
        </w:rPr>
        <w:t>right-wing bugaboo” 229–230</w:t>
      </w:r>
      <w:r>
        <w:rPr>
          <w:i/>
          <w:color w:val="231F20"/>
          <w:w w:val="105"/>
          <w:sz w:val="16"/>
        </w:rPr>
        <w:t xml:space="preserve">, </w:t>
      </w:r>
      <w:r>
        <w:rPr>
          <w:color w:val="231F20"/>
          <w:w w:val="105"/>
          <w:sz w:val="16"/>
        </w:rPr>
        <w:t>230; the</w:t>
      </w:r>
      <w:r>
        <w:rPr>
          <w:color w:val="231F20"/>
          <w:spacing w:val="-15"/>
          <w:w w:val="105"/>
          <w:sz w:val="16"/>
        </w:rPr>
        <w:t xml:space="preserve"> </w:t>
      </w:r>
      <w:r>
        <w:rPr>
          <w:color w:val="231F20"/>
          <w:w w:val="105"/>
          <w:sz w:val="16"/>
        </w:rPr>
        <w:t>“ripeness”</w:t>
      </w:r>
      <w:r>
        <w:rPr>
          <w:color w:val="231F20"/>
          <w:spacing w:val="-15"/>
          <w:w w:val="105"/>
          <w:sz w:val="16"/>
        </w:rPr>
        <w:t xml:space="preserve"> </w:t>
      </w:r>
      <w:r>
        <w:rPr>
          <w:color w:val="231F20"/>
          <w:w w:val="105"/>
          <w:sz w:val="16"/>
        </w:rPr>
        <w:t>of</w:t>
      </w:r>
      <w:r>
        <w:rPr>
          <w:color w:val="231F20"/>
          <w:spacing w:val="-7"/>
          <w:w w:val="105"/>
          <w:sz w:val="16"/>
        </w:rPr>
        <w:t xml:space="preserve"> </w:t>
      </w:r>
      <w:r>
        <w:rPr>
          <w:color w:val="231F20"/>
          <w:w w:val="105"/>
          <w:sz w:val="16"/>
        </w:rPr>
        <w:t>the</w:t>
      </w:r>
      <w:r>
        <w:rPr>
          <w:color w:val="231F20"/>
          <w:spacing w:val="-7"/>
          <w:w w:val="105"/>
          <w:sz w:val="16"/>
        </w:rPr>
        <w:t xml:space="preserve"> </w:t>
      </w:r>
      <w:r>
        <w:rPr>
          <w:color w:val="231F20"/>
          <w:w w:val="105"/>
          <w:sz w:val="16"/>
        </w:rPr>
        <w:t>masses</w:t>
      </w:r>
      <w:r>
        <w:rPr>
          <w:color w:val="231F20"/>
          <w:spacing w:val="22"/>
          <w:w w:val="105"/>
          <w:sz w:val="16"/>
        </w:rPr>
        <w:t xml:space="preserve"> </w:t>
      </w:r>
      <w:r>
        <w:rPr>
          <w:color w:val="231F20"/>
          <w:w w:val="105"/>
          <w:sz w:val="16"/>
        </w:rPr>
        <w:t>96</w:t>
      </w:r>
      <w:r>
        <w:rPr>
          <w:i/>
          <w:color w:val="231F20"/>
          <w:w w:val="105"/>
          <w:sz w:val="16"/>
        </w:rPr>
        <w:t>,</w:t>
      </w:r>
      <w:r>
        <w:rPr>
          <w:i/>
          <w:color w:val="231F20"/>
          <w:spacing w:val="-11"/>
          <w:w w:val="105"/>
          <w:sz w:val="16"/>
        </w:rPr>
        <w:t xml:space="preserve"> </w:t>
      </w:r>
      <w:r>
        <w:rPr>
          <w:color w:val="231F20"/>
          <w:w w:val="105"/>
          <w:sz w:val="16"/>
        </w:rPr>
        <w:t>141</w:t>
      </w:r>
      <w:r>
        <w:rPr>
          <w:i/>
          <w:color w:val="231F20"/>
          <w:w w:val="105"/>
          <w:sz w:val="16"/>
        </w:rPr>
        <w:t xml:space="preserve">, </w:t>
      </w:r>
      <w:r>
        <w:rPr>
          <w:color w:val="231F20"/>
          <w:w w:val="105"/>
          <w:sz w:val="16"/>
        </w:rPr>
        <w:t>141–142</w:t>
      </w:r>
      <w:r>
        <w:rPr>
          <w:i/>
          <w:color w:val="231F20"/>
          <w:w w:val="105"/>
          <w:sz w:val="16"/>
        </w:rPr>
        <w:t xml:space="preserve">, </w:t>
      </w:r>
      <w:r>
        <w:rPr>
          <w:color w:val="231F20"/>
          <w:w w:val="105"/>
          <w:sz w:val="16"/>
        </w:rPr>
        <w:t>151–152</w:t>
      </w:r>
      <w:r>
        <w:rPr>
          <w:i/>
          <w:color w:val="231F20"/>
          <w:w w:val="105"/>
          <w:sz w:val="16"/>
        </w:rPr>
        <w:t xml:space="preserve">, </w:t>
      </w:r>
      <w:r>
        <w:rPr>
          <w:color w:val="231F20"/>
          <w:w w:val="105"/>
          <w:sz w:val="16"/>
        </w:rPr>
        <w:t>183–185</w:t>
      </w:r>
      <w:r>
        <w:rPr>
          <w:i/>
          <w:color w:val="231F20"/>
          <w:w w:val="105"/>
          <w:sz w:val="16"/>
        </w:rPr>
        <w:t>,</w:t>
      </w:r>
      <w:r>
        <w:rPr>
          <w:i/>
          <w:color w:val="231F20"/>
          <w:spacing w:val="-17"/>
          <w:w w:val="105"/>
          <w:sz w:val="16"/>
        </w:rPr>
        <w:t xml:space="preserve"> </w:t>
      </w:r>
      <w:r>
        <w:rPr>
          <w:color w:val="231F20"/>
          <w:w w:val="105"/>
          <w:sz w:val="16"/>
        </w:rPr>
        <w:t>279</w:t>
      </w:r>
      <w:r>
        <w:rPr>
          <w:i/>
          <w:color w:val="231F20"/>
          <w:w w:val="105"/>
          <w:sz w:val="16"/>
        </w:rPr>
        <w:t>,</w:t>
      </w:r>
    </w:p>
    <w:p w14:paraId="450F3C56" w14:textId="77777777" w:rsidR="002653E8" w:rsidRDefault="003115E3">
      <w:pPr>
        <w:spacing w:before="2" w:line="280" w:lineRule="auto"/>
        <w:ind w:left="1527"/>
        <w:rPr>
          <w:i/>
          <w:sz w:val="16"/>
        </w:rPr>
      </w:pPr>
      <w:r>
        <w:rPr>
          <w:color w:val="231F20"/>
          <w:w w:val="105"/>
          <w:sz w:val="16"/>
        </w:rPr>
        <w:t>281; role of guerilla in metropole 81</w:t>
      </w:r>
      <w:r>
        <w:rPr>
          <w:i/>
          <w:color w:val="231F20"/>
          <w:w w:val="105"/>
          <w:sz w:val="16"/>
        </w:rPr>
        <w:t xml:space="preserve">, </w:t>
      </w:r>
      <w:r>
        <w:rPr>
          <w:color w:val="231F20"/>
          <w:w w:val="105"/>
          <w:sz w:val="16"/>
        </w:rPr>
        <w:t>97</w:t>
      </w:r>
      <w:r>
        <w:rPr>
          <w:i/>
          <w:color w:val="231F20"/>
          <w:w w:val="105"/>
          <w:sz w:val="16"/>
        </w:rPr>
        <w:t xml:space="preserve">, </w:t>
      </w:r>
      <w:r>
        <w:rPr>
          <w:color w:val="231F20"/>
          <w:w w:val="105"/>
          <w:sz w:val="16"/>
        </w:rPr>
        <w:t>127</w:t>
      </w:r>
      <w:r>
        <w:rPr>
          <w:i/>
          <w:color w:val="231F20"/>
          <w:w w:val="105"/>
          <w:sz w:val="16"/>
        </w:rPr>
        <w:t xml:space="preserve">, </w:t>
      </w:r>
      <w:r>
        <w:rPr>
          <w:color w:val="231F20"/>
          <w:w w:val="105"/>
          <w:sz w:val="16"/>
        </w:rPr>
        <w:t>141</w:t>
      </w:r>
      <w:r>
        <w:rPr>
          <w:i/>
          <w:color w:val="231F20"/>
          <w:w w:val="105"/>
          <w:sz w:val="16"/>
        </w:rPr>
        <w:t xml:space="preserve">, </w:t>
      </w:r>
      <w:r>
        <w:rPr>
          <w:color w:val="231F20"/>
          <w:w w:val="105"/>
          <w:sz w:val="16"/>
        </w:rPr>
        <w:t>142–143</w:t>
      </w:r>
      <w:r>
        <w:rPr>
          <w:i/>
          <w:color w:val="231F20"/>
          <w:w w:val="105"/>
          <w:sz w:val="16"/>
        </w:rPr>
        <w:t xml:space="preserve">, </w:t>
      </w:r>
      <w:r>
        <w:rPr>
          <w:color w:val="231F20"/>
          <w:w w:val="105"/>
          <w:sz w:val="16"/>
        </w:rPr>
        <w:t>151–153</w:t>
      </w:r>
      <w:r>
        <w:rPr>
          <w:i/>
          <w:color w:val="231F20"/>
          <w:w w:val="105"/>
          <w:sz w:val="16"/>
        </w:rPr>
        <w:t xml:space="preserve">, </w:t>
      </w:r>
      <w:r>
        <w:rPr>
          <w:color w:val="231F20"/>
          <w:w w:val="105"/>
          <w:sz w:val="16"/>
        </w:rPr>
        <w:t>308</w:t>
      </w:r>
      <w:r>
        <w:rPr>
          <w:i/>
          <w:color w:val="231F20"/>
          <w:w w:val="105"/>
          <w:sz w:val="16"/>
        </w:rPr>
        <w:t>,</w:t>
      </w:r>
    </w:p>
    <w:p w14:paraId="748A760C" w14:textId="77777777" w:rsidR="002653E8" w:rsidRDefault="003115E3">
      <w:pPr>
        <w:spacing w:before="1"/>
        <w:ind w:left="1527"/>
        <w:rPr>
          <w:sz w:val="16"/>
        </w:rPr>
      </w:pPr>
      <w:r>
        <w:rPr>
          <w:color w:val="231F20"/>
          <w:w w:val="105"/>
          <w:sz w:val="16"/>
        </w:rPr>
        <w:t>311</w:t>
      </w:r>
      <w:r>
        <w:rPr>
          <w:i/>
          <w:color w:val="231F20"/>
          <w:w w:val="105"/>
          <w:sz w:val="16"/>
        </w:rPr>
        <w:t xml:space="preserve">, </w:t>
      </w:r>
      <w:r>
        <w:rPr>
          <w:color w:val="231F20"/>
          <w:w w:val="105"/>
          <w:sz w:val="16"/>
        </w:rPr>
        <w:t>315</w:t>
      </w:r>
      <w:r>
        <w:rPr>
          <w:i/>
          <w:color w:val="231F20"/>
          <w:w w:val="105"/>
          <w:sz w:val="16"/>
        </w:rPr>
        <w:t xml:space="preserve">, </w:t>
      </w:r>
      <w:r>
        <w:rPr>
          <w:color w:val="231F20"/>
          <w:w w:val="105"/>
          <w:sz w:val="16"/>
        </w:rPr>
        <w:t>362</w:t>
      </w:r>
      <w:r>
        <w:rPr>
          <w:i/>
          <w:color w:val="231F20"/>
          <w:w w:val="105"/>
          <w:sz w:val="16"/>
        </w:rPr>
        <w:t xml:space="preserve">, </w:t>
      </w:r>
      <w:r>
        <w:rPr>
          <w:color w:val="231F20"/>
          <w:w w:val="105"/>
          <w:sz w:val="16"/>
        </w:rPr>
        <w:t>427; social democracy</w:t>
      </w:r>
    </w:p>
    <w:p w14:paraId="7EDF9D25" w14:textId="77777777" w:rsidR="002653E8" w:rsidRDefault="003115E3">
      <w:pPr>
        <w:spacing w:before="32"/>
        <w:ind w:left="1527"/>
        <w:rPr>
          <w:i/>
          <w:sz w:val="16"/>
        </w:rPr>
      </w:pPr>
      <w:r>
        <w:rPr>
          <w:color w:val="231F20"/>
          <w:w w:val="110"/>
          <w:sz w:val="16"/>
        </w:rPr>
        <w:t>148–149</w:t>
      </w:r>
      <w:r>
        <w:rPr>
          <w:i/>
          <w:color w:val="231F20"/>
          <w:w w:val="110"/>
          <w:sz w:val="16"/>
        </w:rPr>
        <w:t xml:space="preserve">, </w:t>
      </w:r>
      <w:r>
        <w:rPr>
          <w:color w:val="231F20"/>
          <w:w w:val="110"/>
          <w:sz w:val="16"/>
        </w:rPr>
        <w:t>229–230</w:t>
      </w:r>
      <w:r>
        <w:rPr>
          <w:i/>
          <w:color w:val="231F20"/>
          <w:w w:val="110"/>
          <w:sz w:val="16"/>
        </w:rPr>
        <w:t xml:space="preserve">, </w:t>
      </w:r>
      <w:r>
        <w:rPr>
          <w:color w:val="231F20"/>
          <w:w w:val="110"/>
          <w:sz w:val="16"/>
        </w:rPr>
        <w:t>305</w:t>
      </w:r>
      <w:r>
        <w:rPr>
          <w:i/>
          <w:color w:val="231F20"/>
          <w:w w:val="110"/>
          <w:sz w:val="16"/>
        </w:rPr>
        <w:t xml:space="preserve">, </w:t>
      </w:r>
      <w:r>
        <w:rPr>
          <w:color w:val="231F20"/>
          <w:w w:val="110"/>
          <w:sz w:val="16"/>
        </w:rPr>
        <w:t>415</w:t>
      </w:r>
      <w:r>
        <w:rPr>
          <w:i/>
          <w:color w:val="231F20"/>
          <w:w w:val="110"/>
          <w:sz w:val="16"/>
        </w:rPr>
        <w:t xml:space="preserve">, </w:t>
      </w:r>
      <w:r>
        <w:rPr>
          <w:color w:val="231F20"/>
          <w:w w:val="110"/>
          <w:sz w:val="16"/>
        </w:rPr>
        <w:t>426</w:t>
      </w:r>
      <w:r>
        <w:rPr>
          <w:i/>
          <w:color w:val="231F20"/>
          <w:w w:val="110"/>
          <w:sz w:val="16"/>
        </w:rPr>
        <w:t>,</w:t>
      </w:r>
    </w:p>
    <w:p w14:paraId="639C9F22" w14:textId="77777777" w:rsidR="002653E8" w:rsidRDefault="003115E3">
      <w:pPr>
        <w:spacing w:before="33"/>
        <w:ind w:left="1527"/>
        <w:rPr>
          <w:i/>
          <w:sz w:val="16"/>
        </w:rPr>
      </w:pPr>
      <w:r>
        <w:rPr>
          <w:color w:val="231F20"/>
          <w:w w:val="105"/>
          <w:sz w:val="16"/>
        </w:rPr>
        <w:t>427</w:t>
      </w:r>
      <w:r>
        <w:rPr>
          <w:i/>
          <w:color w:val="231F20"/>
          <w:w w:val="105"/>
          <w:sz w:val="16"/>
        </w:rPr>
        <w:t xml:space="preserve">, </w:t>
      </w:r>
      <w:r>
        <w:rPr>
          <w:color w:val="231F20"/>
          <w:w w:val="105"/>
          <w:sz w:val="16"/>
        </w:rPr>
        <w:t>428</w:t>
      </w:r>
      <w:r>
        <w:rPr>
          <w:i/>
          <w:color w:val="231F20"/>
          <w:w w:val="105"/>
          <w:sz w:val="16"/>
        </w:rPr>
        <w:t xml:space="preserve">, </w:t>
      </w:r>
      <w:r>
        <w:rPr>
          <w:color w:val="231F20"/>
          <w:w w:val="105"/>
          <w:sz w:val="16"/>
        </w:rPr>
        <w:t>431; solidarity 158–159</w:t>
      </w:r>
      <w:r>
        <w:rPr>
          <w:i/>
          <w:color w:val="231F20"/>
          <w:w w:val="105"/>
          <w:sz w:val="16"/>
        </w:rPr>
        <w:t>,</w:t>
      </w:r>
    </w:p>
    <w:p w14:paraId="0A91BD96" w14:textId="77777777" w:rsidR="002653E8" w:rsidRDefault="003115E3">
      <w:pPr>
        <w:spacing w:before="32"/>
        <w:ind w:left="1527"/>
        <w:rPr>
          <w:i/>
          <w:sz w:val="16"/>
        </w:rPr>
      </w:pPr>
      <w:r>
        <w:rPr>
          <w:color w:val="231F20"/>
          <w:w w:val="105"/>
          <w:sz w:val="16"/>
        </w:rPr>
        <w:t>216</w:t>
      </w:r>
      <w:r>
        <w:rPr>
          <w:i/>
          <w:color w:val="231F20"/>
          <w:w w:val="105"/>
          <w:sz w:val="16"/>
        </w:rPr>
        <w:t xml:space="preserve">, </w:t>
      </w:r>
      <w:r>
        <w:rPr>
          <w:color w:val="231F20"/>
          <w:w w:val="105"/>
          <w:sz w:val="16"/>
        </w:rPr>
        <w:t>217; Soviet Union  88</w:t>
      </w:r>
      <w:r>
        <w:rPr>
          <w:i/>
          <w:color w:val="231F20"/>
          <w:w w:val="105"/>
          <w:sz w:val="16"/>
        </w:rPr>
        <w:t xml:space="preserve">, </w:t>
      </w:r>
      <w:r>
        <w:rPr>
          <w:color w:val="231F20"/>
          <w:w w:val="105"/>
          <w:sz w:val="16"/>
        </w:rPr>
        <w:t>228–229</w:t>
      </w:r>
      <w:r>
        <w:rPr>
          <w:i/>
          <w:color w:val="231F20"/>
          <w:w w:val="105"/>
          <w:sz w:val="16"/>
        </w:rPr>
        <w:t>,</w:t>
      </w:r>
    </w:p>
    <w:p w14:paraId="1422DBFE" w14:textId="77777777" w:rsidR="002653E8" w:rsidRDefault="003115E3">
      <w:pPr>
        <w:spacing w:before="32"/>
        <w:ind w:left="1527"/>
        <w:rPr>
          <w:sz w:val="16"/>
        </w:rPr>
      </w:pPr>
      <w:r>
        <w:rPr>
          <w:color w:val="231F20"/>
          <w:sz w:val="16"/>
        </w:rPr>
        <w:t>309</w:t>
      </w:r>
      <w:r>
        <w:rPr>
          <w:i/>
          <w:color w:val="231F20"/>
          <w:sz w:val="16"/>
        </w:rPr>
        <w:t xml:space="preserve">, </w:t>
      </w:r>
      <w:r>
        <w:rPr>
          <w:color w:val="231F20"/>
          <w:sz w:val="16"/>
        </w:rPr>
        <w:t>405–406;  spontaneity   122</w:t>
      </w:r>
      <w:r>
        <w:rPr>
          <w:i/>
          <w:color w:val="231F20"/>
          <w:sz w:val="16"/>
        </w:rPr>
        <w:t xml:space="preserve">, </w:t>
      </w:r>
      <w:r>
        <w:rPr>
          <w:color w:val="231F20"/>
          <w:sz w:val="16"/>
        </w:rPr>
        <w:t>152;</w:t>
      </w:r>
    </w:p>
    <w:p w14:paraId="185E511A" w14:textId="77777777" w:rsidR="002653E8" w:rsidRDefault="003115E3">
      <w:pPr>
        <w:spacing w:before="33"/>
        <w:ind w:left="1527"/>
        <w:rPr>
          <w:i/>
          <w:sz w:val="16"/>
        </w:rPr>
      </w:pPr>
      <w:r>
        <w:rPr>
          <w:color w:val="231F20"/>
          <w:sz w:val="16"/>
        </w:rPr>
        <w:t>Third World as vanguard 222</w:t>
      </w:r>
      <w:r>
        <w:rPr>
          <w:i/>
          <w:color w:val="231F20"/>
          <w:sz w:val="16"/>
        </w:rPr>
        <w:t xml:space="preserve">, </w:t>
      </w:r>
      <w:r>
        <w:rPr>
          <w:color w:val="231F20"/>
          <w:sz w:val="16"/>
        </w:rPr>
        <w:t>223</w:t>
      </w:r>
      <w:r>
        <w:rPr>
          <w:i/>
          <w:color w:val="231F20"/>
          <w:sz w:val="16"/>
        </w:rPr>
        <w:t>,</w:t>
      </w:r>
    </w:p>
    <w:p w14:paraId="755A2444" w14:textId="77777777" w:rsidR="002653E8" w:rsidRDefault="003115E3">
      <w:pPr>
        <w:spacing w:before="32" w:line="280" w:lineRule="auto"/>
        <w:ind w:left="1527" w:right="25"/>
        <w:rPr>
          <w:i/>
          <w:sz w:val="16"/>
        </w:rPr>
      </w:pPr>
      <w:r>
        <w:rPr>
          <w:color w:val="231F20"/>
          <w:w w:val="105"/>
          <w:sz w:val="16"/>
        </w:rPr>
        <w:t>226</w:t>
      </w:r>
      <w:r>
        <w:rPr>
          <w:i/>
          <w:color w:val="231F20"/>
          <w:w w:val="105"/>
          <w:sz w:val="16"/>
        </w:rPr>
        <w:t xml:space="preserve">, </w:t>
      </w:r>
      <w:r>
        <w:rPr>
          <w:color w:val="231F20"/>
          <w:w w:val="105"/>
          <w:sz w:val="16"/>
        </w:rPr>
        <w:t xml:space="preserve">309–310; Third World liberation </w:t>
      </w:r>
      <w:r>
        <w:rPr>
          <w:color w:val="231F20"/>
          <w:sz w:val="16"/>
        </w:rPr>
        <w:t xml:space="preserve">framework within which they operated </w:t>
      </w:r>
      <w:r>
        <w:rPr>
          <w:color w:val="231F20"/>
          <w:w w:val="105"/>
          <w:sz w:val="16"/>
        </w:rPr>
        <w:t>142–143</w:t>
      </w:r>
      <w:r>
        <w:rPr>
          <w:i/>
          <w:color w:val="231F20"/>
          <w:w w:val="105"/>
          <w:sz w:val="16"/>
        </w:rPr>
        <w:t xml:space="preserve">, </w:t>
      </w:r>
      <w:r>
        <w:rPr>
          <w:color w:val="231F20"/>
          <w:w w:val="105"/>
          <w:sz w:val="16"/>
        </w:rPr>
        <w:t>174</w:t>
      </w:r>
      <w:r>
        <w:rPr>
          <w:i/>
          <w:color w:val="231F20"/>
          <w:w w:val="105"/>
          <w:sz w:val="16"/>
        </w:rPr>
        <w:t xml:space="preserve">, </w:t>
      </w:r>
      <w:r>
        <w:rPr>
          <w:color w:val="231F20"/>
          <w:w w:val="105"/>
          <w:sz w:val="16"/>
        </w:rPr>
        <w:t>178</w:t>
      </w:r>
      <w:r>
        <w:rPr>
          <w:i/>
          <w:color w:val="231F20"/>
          <w:w w:val="105"/>
          <w:sz w:val="16"/>
        </w:rPr>
        <w:t xml:space="preserve">, </w:t>
      </w:r>
      <w:r>
        <w:rPr>
          <w:color w:val="231F20"/>
          <w:w w:val="105"/>
          <w:sz w:val="16"/>
        </w:rPr>
        <w:t>215–216</w:t>
      </w:r>
      <w:r>
        <w:rPr>
          <w:i/>
          <w:color w:val="231F20"/>
          <w:w w:val="105"/>
          <w:sz w:val="16"/>
        </w:rPr>
        <w:t xml:space="preserve">, </w:t>
      </w:r>
      <w:r>
        <w:rPr>
          <w:color w:val="231F20"/>
          <w:w w:val="105"/>
          <w:sz w:val="16"/>
        </w:rPr>
        <w:t>218</w:t>
      </w:r>
      <w:r>
        <w:rPr>
          <w:i/>
          <w:color w:val="231F20"/>
          <w:w w:val="105"/>
          <w:sz w:val="16"/>
        </w:rPr>
        <w:t>,</w:t>
      </w:r>
    </w:p>
    <w:p w14:paraId="1E2E2C08" w14:textId="77777777" w:rsidR="002653E8" w:rsidRDefault="003115E3">
      <w:pPr>
        <w:spacing w:before="2"/>
        <w:ind w:left="1527"/>
        <w:rPr>
          <w:i/>
          <w:sz w:val="16"/>
        </w:rPr>
      </w:pPr>
      <w:r>
        <w:rPr>
          <w:color w:val="231F20"/>
          <w:w w:val="105"/>
          <w:sz w:val="16"/>
        </w:rPr>
        <w:t>311</w:t>
      </w:r>
      <w:r>
        <w:rPr>
          <w:i/>
          <w:color w:val="231F20"/>
          <w:w w:val="105"/>
          <w:sz w:val="16"/>
        </w:rPr>
        <w:t xml:space="preserve">, </w:t>
      </w:r>
      <w:r>
        <w:rPr>
          <w:color w:val="231F20"/>
          <w:w w:val="105"/>
          <w:sz w:val="16"/>
        </w:rPr>
        <w:t>315</w:t>
      </w:r>
      <w:r>
        <w:rPr>
          <w:i/>
          <w:color w:val="231F20"/>
          <w:w w:val="105"/>
          <w:sz w:val="16"/>
        </w:rPr>
        <w:t xml:space="preserve">, </w:t>
      </w:r>
      <w:r>
        <w:rPr>
          <w:color w:val="231F20"/>
          <w:w w:val="105"/>
          <w:sz w:val="16"/>
        </w:rPr>
        <w:t>318</w:t>
      </w:r>
      <w:r>
        <w:rPr>
          <w:i/>
          <w:color w:val="231F20"/>
          <w:w w:val="105"/>
          <w:sz w:val="16"/>
        </w:rPr>
        <w:t xml:space="preserve">, </w:t>
      </w:r>
      <w:r>
        <w:rPr>
          <w:color w:val="231F20"/>
          <w:w w:val="105"/>
          <w:sz w:val="16"/>
        </w:rPr>
        <w:t>360–361</w:t>
      </w:r>
      <w:r>
        <w:rPr>
          <w:i/>
          <w:color w:val="231F20"/>
          <w:w w:val="105"/>
          <w:sz w:val="16"/>
        </w:rPr>
        <w:t xml:space="preserve">, </w:t>
      </w:r>
      <w:r>
        <w:rPr>
          <w:color w:val="231F20"/>
          <w:w w:val="105"/>
          <w:sz w:val="16"/>
        </w:rPr>
        <w:t>430</w:t>
      </w:r>
      <w:r>
        <w:rPr>
          <w:i/>
          <w:color w:val="231F20"/>
          <w:w w:val="105"/>
          <w:sz w:val="16"/>
        </w:rPr>
        <w:t xml:space="preserve">, </w:t>
      </w:r>
      <w:r>
        <w:rPr>
          <w:color w:val="231F20"/>
          <w:w w:val="105"/>
          <w:sz w:val="16"/>
        </w:rPr>
        <w:t>456</w:t>
      </w:r>
      <w:r>
        <w:rPr>
          <w:i/>
          <w:color w:val="231F20"/>
          <w:w w:val="105"/>
          <w:sz w:val="16"/>
        </w:rPr>
        <w:t>,</w:t>
      </w:r>
    </w:p>
    <w:p w14:paraId="6C5BF4F6" w14:textId="77777777" w:rsidR="002653E8" w:rsidRDefault="003115E3">
      <w:pPr>
        <w:spacing w:before="86"/>
        <w:ind w:left="433"/>
        <w:rPr>
          <w:i/>
          <w:sz w:val="16"/>
        </w:rPr>
      </w:pPr>
      <w:r>
        <w:br w:type="column"/>
      </w:r>
      <w:r>
        <w:rPr>
          <w:color w:val="231F20"/>
          <w:w w:val="110"/>
          <w:sz w:val="16"/>
        </w:rPr>
        <w:t>482–483; vanguard 93</w:t>
      </w:r>
      <w:r>
        <w:rPr>
          <w:i/>
          <w:color w:val="231F20"/>
          <w:w w:val="110"/>
          <w:sz w:val="16"/>
        </w:rPr>
        <w:t xml:space="preserve">, </w:t>
      </w:r>
      <w:r>
        <w:rPr>
          <w:color w:val="231F20"/>
          <w:w w:val="110"/>
          <w:sz w:val="16"/>
        </w:rPr>
        <w:t>94</w:t>
      </w:r>
      <w:r>
        <w:rPr>
          <w:i/>
          <w:color w:val="231F20"/>
          <w:w w:val="110"/>
          <w:sz w:val="16"/>
        </w:rPr>
        <w:t xml:space="preserve">, </w:t>
      </w:r>
      <w:r>
        <w:rPr>
          <w:color w:val="231F20"/>
          <w:w w:val="110"/>
          <w:sz w:val="16"/>
        </w:rPr>
        <w:t>122</w:t>
      </w:r>
      <w:r>
        <w:rPr>
          <w:i/>
          <w:color w:val="231F20"/>
          <w:w w:val="110"/>
          <w:sz w:val="16"/>
        </w:rPr>
        <w:t xml:space="preserve">, </w:t>
      </w:r>
      <w:r>
        <w:rPr>
          <w:color w:val="231F20"/>
          <w:w w:val="110"/>
          <w:sz w:val="16"/>
        </w:rPr>
        <w:t>218</w:t>
      </w:r>
      <w:r>
        <w:rPr>
          <w:i/>
          <w:color w:val="231F20"/>
          <w:w w:val="110"/>
          <w:sz w:val="16"/>
        </w:rPr>
        <w:t>,</w:t>
      </w:r>
    </w:p>
    <w:p w14:paraId="1ED17B34" w14:textId="77777777" w:rsidR="002653E8" w:rsidRDefault="003115E3">
      <w:pPr>
        <w:spacing w:before="33"/>
        <w:ind w:left="433"/>
        <w:rPr>
          <w:i/>
          <w:sz w:val="16"/>
        </w:rPr>
      </w:pPr>
      <w:r>
        <w:rPr>
          <w:color w:val="231F20"/>
          <w:w w:val="105"/>
          <w:sz w:val="16"/>
        </w:rPr>
        <w:t>368; Vietnam War 185</w:t>
      </w:r>
      <w:r>
        <w:rPr>
          <w:i/>
          <w:color w:val="231F20"/>
          <w:w w:val="105"/>
          <w:sz w:val="16"/>
        </w:rPr>
        <w:t xml:space="preserve">, </w:t>
      </w:r>
      <w:r>
        <w:rPr>
          <w:color w:val="231F20"/>
          <w:w w:val="105"/>
          <w:sz w:val="16"/>
        </w:rPr>
        <w:t>420</w:t>
      </w:r>
      <w:r>
        <w:rPr>
          <w:i/>
          <w:color w:val="231F20"/>
          <w:w w:val="105"/>
          <w:sz w:val="16"/>
        </w:rPr>
        <w:t xml:space="preserve">, </w:t>
      </w:r>
      <w:r>
        <w:rPr>
          <w:color w:val="231F20"/>
          <w:w w:val="105"/>
          <w:sz w:val="16"/>
        </w:rPr>
        <w:t>430–431</w:t>
      </w:r>
      <w:r>
        <w:rPr>
          <w:i/>
          <w:color w:val="231F20"/>
          <w:w w:val="105"/>
          <w:sz w:val="16"/>
        </w:rPr>
        <w:t>,</w:t>
      </w:r>
    </w:p>
    <w:p w14:paraId="65703ADA" w14:textId="77777777" w:rsidR="002653E8" w:rsidRDefault="003115E3">
      <w:pPr>
        <w:spacing w:before="32"/>
        <w:ind w:left="433"/>
        <w:rPr>
          <w:i/>
          <w:sz w:val="16"/>
        </w:rPr>
      </w:pPr>
      <w:r>
        <w:rPr>
          <w:color w:val="231F20"/>
          <w:w w:val="105"/>
          <w:sz w:val="16"/>
        </w:rPr>
        <w:t>455</w:t>
      </w:r>
      <w:r>
        <w:rPr>
          <w:i/>
          <w:color w:val="231F20"/>
          <w:w w:val="105"/>
          <w:sz w:val="16"/>
        </w:rPr>
        <w:t xml:space="preserve">, </w:t>
      </w:r>
      <w:r>
        <w:rPr>
          <w:color w:val="231F20"/>
          <w:w w:val="105"/>
          <w:sz w:val="16"/>
        </w:rPr>
        <w:t>491</w:t>
      </w:r>
      <w:r>
        <w:rPr>
          <w:i/>
          <w:color w:val="231F20"/>
          <w:w w:val="105"/>
          <w:sz w:val="16"/>
        </w:rPr>
        <w:t xml:space="preserve">, </w:t>
      </w:r>
      <w:r>
        <w:rPr>
          <w:color w:val="231F20"/>
          <w:w w:val="105"/>
          <w:sz w:val="16"/>
        </w:rPr>
        <w:t>600; working class 128–139</w:t>
      </w:r>
      <w:r>
        <w:rPr>
          <w:i/>
          <w:color w:val="231F20"/>
          <w:w w:val="105"/>
          <w:sz w:val="16"/>
        </w:rPr>
        <w:t>,</w:t>
      </w:r>
    </w:p>
    <w:p w14:paraId="1D8EA98B" w14:textId="77777777" w:rsidR="002653E8" w:rsidRDefault="003115E3">
      <w:pPr>
        <w:spacing w:before="33"/>
        <w:ind w:left="433"/>
        <w:rPr>
          <w:sz w:val="16"/>
        </w:rPr>
      </w:pPr>
      <w:r>
        <w:rPr>
          <w:color w:val="231F20"/>
          <w:sz w:val="16"/>
        </w:rPr>
        <w:t>142–147</w:t>
      </w:r>
    </w:p>
    <w:p w14:paraId="050B0600" w14:textId="77777777" w:rsidR="002653E8" w:rsidRDefault="00C507A5">
      <w:pPr>
        <w:spacing w:before="32" w:line="280" w:lineRule="auto"/>
        <w:ind w:left="433" w:right="1149" w:hanging="200"/>
        <w:rPr>
          <w:sz w:val="16"/>
        </w:rPr>
      </w:pPr>
      <w:r>
        <w:rPr>
          <w:color w:val="231F20"/>
          <w:sz w:val="16"/>
        </w:rPr>
        <w:t>red army faction</w:t>
      </w:r>
      <w:r w:rsidR="003115E3">
        <w:rPr>
          <w:color w:val="231F20"/>
          <w:sz w:val="16"/>
        </w:rPr>
        <w:t xml:space="preserve"> prisoners 269</w:t>
      </w:r>
      <w:r w:rsidR="003115E3">
        <w:rPr>
          <w:i/>
          <w:color w:val="231F20"/>
          <w:sz w:val="16"/>
        </w:rPr>
        <w:t xml:space="preserve">, </w:t>
      </w:r>
      <w:r w:rsidR="003115E3">
        <w:rPr>
          <w:color w:val="231F20"/>
          <w:sz w:val="16"/>
        </w:rPr>
        <w:t>326</w:t>
      </w:r>
      <w:r w:rsidR="003115E3">
        <w:rPr>
          <w:i/>
          <w:color w:val="231F20"/>
          <w:sz w:val="16"/>
        </w:rPr>
        <w:t xml:space="preserve">. See also </w:t>
      </w:r>
      <w:r w:rsidR="003115E3">
        <w:rPr>
          <w:color w:val="231F20"/>
          <w:sz w:val="16"/>
        </w:rPr>
        <w:t>Geneva Convention (strategy)</w:t>
      </w:r>
      <w:r w:rsidR="003115E3">
        <w:rPr>
          <w:i/>
          <w:color w:val="231F20"/>
          <w:sz w:val="16"/>
        </w:rPr>
        <w:t xml:space="preserve">; See also  </w:t>
      </w:r>
      <w:r w:rsidR="003115E3">
        <w:rPr>
          <w:color w:val="231F20"/>
          <w:sz w:val="16"/>
        </w:rPr>
        <w:t>Info</w:t>
      </w:r>
      <w:r w:rsidR="003115E3">
        <w:rPr>
          <w:i/>
          <w:color w:val="231F20"/>
          <w:sz w:val="16"/>
        </w:rPr>
        <w:t xml:space="preserve">; See also </w:t>
      </w:r>
      <w:r w:rsidR="003115E3">
        <w:rPr>
          <w:color w:val="231F20"/>
          <w:sz w:val="16"/>
        </w:rPr>
        <w:t>prison conditions</w:t>
      </w:r>
      <w:r w:rsidR="003115E3">
        <w:rPr>
          <w:i/>
          <w:color w:val="231F20"/>
          <w:sz w:val="16"/>
        </w:rPr>
        <w:t xml:space="preserve">; See also </w:t>
      </w:r>
      <w:r w:rsidR="003115E3">
        <w:rPr>
          <w:color w:val="231F20"/>
          <w:sz w:val="16"/>
        </w:rPr>
        <w:t>isolation torture; first hunger strike</w:t>
      </w:r>
      <w:r w:rsidR="003115E3">
        <w:rPr>
          <w:color w:val="231F20"/>
          <w:spacing w:val="-10"/>
          <w:sz w:val="16"/>
        </w:rPr>
        <w:t xml:space="preserve"> </w:t>
      </w:r>
      <w:r w:rsidR="003115E3">
        <w:rPr>
          <w:color w:val="231F20"/>
          <w:sz w:val="16"/>
        </w:rPr>
        <w:t>(1973) 244</w:t>
      </w:r>
      <w:r w:rsidR="003115E3">
        <w:rPr>
          <w:i/>
          <w:color w:val="231F20"/>
          <w:sz w:val="16"/>
        </w:rPr>
        <w:t xml:space="preserve">, </w:t>
      </w:r>
      <w:r w:rsidR="003115E3">
        <w:rPr>
          <w:color w:val="231F20"/>
          <w:sz w:val="16"/>
        </w:rPr>
        <w:t>277</w:t>
      </w:r>
      <w:r w:rsidR="003115E3">
        <w:rPr>
          <w:i/>
          <w:color w:val="231F20"/>
          <w:sz w:val="16"/>
        </w:rPr>
        <w:t xml:space="preserve">, </w:t>
      </w:r>
      <w:r w:rsidR="003115E3">
        <w:rPr>
          <w:color w:val="231F20"/>
          <w:sz w:val="16"/>
        </w:rPr>
        <w:t>592; second hunger</w:t>
      </w:r>
      <w:r w:rsidR="003115E3">
        <w:rPr>
          <w:color w:val="231F20"/>
          <w:spacing w:val="31"/>
          <w:sz w:val="16"/>
        </w:rPr>
        <w:t xml:space="preserve"> </w:t>
      </w:r>
      <w:r w:rsidR="003115E3">
        <w:rPr>
          <w:color w:val="231F20"/>
          <w:sz w:val="16"/>
        </w:rPr>
        <w:t>strike</w:t>
      </w:r>
    </w:p>
    <w:p w14:paraId="12F1F2F0" w14:textId="77777777" w:rsidR="002653E8" w:rsidRDefault="003115E3">
      <w:pPr>
        <w:spacing w:before="3"/>
        <w:ind w:left="433"/>
        <w:rPr>
          <w:sz w:val="16"/>
        </w:rPr>
      </w:pPr>
      <w:r>
        <w:rPr>
          <w:color w:val="231F20"/>
          <w:w w:val="105"/>
          <w:sz w:val="16"/>
        </w:rPr>
        <w:t>(1973) 248</w:t>
      </w:r>
      <w:r>
        <w:rPr>
          <w:i/>
          <w:color w:val="231F20"/>
          <w:w w:val="105"/>
          <w:sz w:val="16"/>
        </w:rPr>
        <w:t xml:space="preserve">, </w:t>
      </w:r>
      <w:r>
        <w:rPr>
          <w:color w:val="231F20"/>
          <w:w w:val="105"/>
          <w:sz w:val="16"/>
        </w:rPr>
        <w:t>250</w:t>
      </w:r>
      <w:r>
        <w:rPr>
          <w:i/>
          <w:color w:val="231F20"/>
          <w:w w:val="105"/>
          <w:sz w:val="16"/>
        </w:rPr>
        <w:t xml:space="preserve">, </w:t>
      </w:r>
      <w:r>
        <w:rPr>
          <w:color w:val="231F20"/>
          <w:w w:val="105"/>
          <w:sz w:val="16"/>
        </w:rPr>
        <w:t>274–278</w:t>
      </w:r>
      <w:r>
        <w:rPr>
          <w:i/>
          <w:color w:val="231F20"/>
          <w:w w:val="105"/>
          <w:sz w:val="16"/>
        </w:rPr>
        <w:t xml:space="preserve">, </w:t>
      </w:r>
      <w:r>
        <w:rPr>
          <w:color w:val="231F20"/>
          <w:w w:val="105"/>
          <w:sz w:val="16"/>
        </w:rPr>
        <w:t>370</w:t>
      </w:r>
      <w:r>
        <w:rPr>
          <w:i/>
          <w:color w:val="231F20"/>
          <w:w w:val="105"/>
          <w:sz w:val="16"/>
        </w:rPr>
        <w:t xml:space="preserve">, </w:t>
      </w:r>
      <w:r>
        <w:rPr>
          <w:color w:val="231F20"/>
          <w:w w:val="105"/>
          <w:sz w:val="16"/>
        </w:rPr>
        <w:t>593;</w:t>
      </w:r>
    </w:p>
    <w:p w14:paraId="670198DB" w14:textId="77777777" w:rsidR="002653E8" w:rsidRDefault="003115E3">
      <w:pPr>
        <w:spacing w:before="32"/>
        <w:ind w:left="433"/>
        <w:rPr>
          <w:i/>
          <w:sz w:val="16"/>
        </w:rPr>
      </w:pPr>
      <w:r>
        <w:rPr>
          <w:color w:val="231F20"/>
          <w:sz w:val="16"/>
        </w:rPr>
        <w:t>third hunger strike (1974-5) 253–255</w:t>
      </w:r>
      <w:r>
        <w:rPr>
          <w:i/>
          <w:color w:val="231F20"/>
          <w:sz w:val="16"/>
        </w:rPr>
        <w:t>,</w:t>
      </w:r>
    </w:p>
    <w:p w14:paraId="43520830" w14:textId="77777777" w:rsidR="002653E8" w:rsidRDefault="003115E3">
      <w:pPr>
        <w:spacing w:before="32"/>
        <w:ind w:left="433"/>
        <w:rPr>
          <w:i/>
          <w:sz w:val="16"/>
        </w:rPr>
      </w:pPr>
      <w:r>
        <w:rPr>
          <w:color w:val="231F20"/>
          <w:w w:val="105"/>
          <w:sz w:val="16"/>
        </w:rPr>
        <w:t>257–265</w:t>
      </w:r>
      <w:r>
        <w:rPr>
          <w:i/>
          <w:color w:val="231F20"/>
          <w:w w:val="105"/>
          <w:sz w:val="16"/>
        </w:rPr>
        <w:t xml:space="preserve">, </w:t>
      </w:r>
      <w:r>
        <w:rPr>
          <w:color w:val="231F20"/>
          <w:w w:val="105"/>
          <w:sz w:val="16"/>
        </w:rPr>
        <w:t>285–287</w:t>
      </w:r>
      <w:r>
        <w:rPr>
          <w:i/>
          <w:color w:val="231F20"/>
          <w:w w:val="105"/>
          <w:sz w:val="16"/>
        </w:rPr>
        <w:t xml:space="preserve">, </w:t>
      </w:r>
      <w:r>
        <w:rPr>
          <w:color w:val="231F20"/>
          <w:w w:val="105"/>
          <w:sz w:val="16"/>
        </w:rPr>
        <w:t>290</w:t>
      </w:r>
      <w:r>
        <w:rPr>
          <w:i/>
          <w:color w:val="231F20"/>
          <w:w w:val="105"/>
          <w:sz w:val="16"/>
        </w:rPr>
        <w:t xml:space="preserve">, </w:t>
      </w:r>
      <w:r>
        <w:rPr>
          <w:color w:val="231F20"/>
          <w:w w:val="105"/>
          <w:sz w:val="16"/>
        </w:rPr>
        <w:t>296–299</w:t>
      </w:r>
      <w:r>
        <w:rPr>
          <w:i/>
          <w:color w:val="231F20"/>
          <w:w w:val="105"/>
          <w:sz w:val="16"/>
        </w:rPr>
        <w:t>,</w:t>
      </w:r>
    </w:p>
    <w:p w14:paraId="3D10F23A" w14:textId="77777777" w:rsidR="002653E8" w:rsidRDefault="003115E3">
      <w:pPr>
        <w:spacing w:before="33"/>
        <w:ind w:left="433"/>
        <w:rPr>
          <w:i/>
          <w:sz w:val="16"/>
        </w:rPr>
      </w:pPr>
      <w:r>
        <w:rPr>
          <w:color w:val="231F20"/>
          <w:w w:val="105"/>
          <w:sz w:val="16"/>
        </w:rPr>
        <w:t>303–305</w:t>
      </w:r>
      <w:r>
        <w:rPr>
          <w:i/>
          <w:color w:val="231F20"/>
          <w:w w:val="105"/>
          <w:sz w:val="16"/>
        </w:rPr>
        <w:t xml:space="preserve">, </w:t>
      </w:r>
      <w:r>
        <w:rPr>
          <w:color w:val="231F20"/>
          <w:w w:val="105"/>
          <w:sz w:val="16"/>
        </w:rPr>
        <w:t>306–308</w:t>
      </w:r>
      <w:r>
        <w:rPr>
          <w:i/>
          <w:color w:val="231F20"/>
          <w:w w:val="105"/>
          <w:sz w:val="16"/>
        </w:rPr>
        <w:t xml:space="preserve">, </w:t>
      </w:r>
      <w:r>
        <w:rPr>
          <w:color w:val="231F20"/>
          <w:w w:val="105"/>
          <w:sz w:val="16"/>
        </w:rPr>
        <w:t>327</w:t>
      </w:r>
      <w:r>
        <w:rPr>
          <w:i/>
          <w:color w:val="231F20"/>
          <w:w w:val="105"/>
          <w:sz w:val="16"/>
        </w:rPr>
        <w:t xml:space="preserve">, </w:t>
      </w:r>
      <w:r>
        <w:rPr>
          <w:color w:val="231F20"/>
          <w:w w:val="105"/>
          <w:sz w:val="16"/>
        </w:rPr>
        <w:t>338</w:t>
      </w:r>
      <w:r>
        <w:rPr>
          <w:i/>
          <w:color w:val="231F20"/>
          <w:w w:val="105"/>
          <w:sz w:val="16"/>
        </w:rPr>
        <w:t xml:space="preserve">, </w:t>
      </w:r>
      <w:r>
        <w:rPr>
          <w:color w:val="231F20"/>
          <w:w w:val="105"/>
          <w:sz w:val="16"/>
        </w:rPr>
        <w:t>344</w:t>
      </w:r>
      <w:r>
        <w:rPr>
          <w:i/>
          <w:color w:val="231F20"/>
          <w:w w:val="105"/>
          <w:sz w:val="16"/>
        </w:rPr>
        <w:t>,</w:t>
      </w:r>
    </w:p>
    <w:p w14:paraId="4E297E46" w14:textId="77777777" w:rsidR="002653E8" w:rsidRDefault="003115E3">
      <w:pPr>
        <w:spacing w:before="32"/>
        <w:ind w:left="433"/>
        <w:rPr>
          <w:i/>
          <w:sz w:val="16"/>
        </w:rPr>
      </w:pPr>
      <w:r>
        <w:rPr>
          <w:color w:val="231F20"/>
          <w:w w:val="105"/>
          <w:sz w:val="16"/>
        </w:rPr>
        <w:t>345</w:t>
      </w:r>
      <w:r>
        <w:rPr>
          <w:i/>
          <w:color w:val="231F20"/>
          <w:w w:val="105"/>
          <w:sz w:val="16"/>
        </w:rPr>
        <w:t xml:space="preserve">, </w:t>
      </w:r>
      <w:r>
        <w:rPr>
          <w:color w:val="231F20"/>
          <w:w w:val="105"/>
          <w:sz w:val="16"/>
        </w:rPr>
        <w:t>346</w:t>
      </w:r>
      <w:r>
        <w:rPr>
          <w:i/>
          <w:color w:val="231F20"/>
          <w:w w:val="105"/>
          <w:sz w:val="16"/>
        </w:rPr>
        <w:t xml:space="preserve">, </w:t>
      </w:r>
      <w:r>
        <w:rPr>
          <w:color w:val="231F20"/>
          <w:w w:val="105"/>
          <w:sz w:val="16"/>
        </w:rPr>
        <w:t>352</w:t>
      </w:r>
      <w:r>
        <w:rPr>
          <w:i/>
          <w:color w:val="231F20"/>
          <w:w w:val="105"/>
          <w:sz w:val="16"/>
        </w:rPr>
        <w:t xml:space="preserve">, </w:t>
      </w:r>
      <w:r>
        <w:rPr>
          <w:color w:val="231F20"/>
          <w:w w:val="105"/>
          <w:sz w:val="16"/>
        </w:rPr>
        <w:t>416–417</w:t>
      </w:r>
      <w:r>
        <w:rPr>
          <w:i/>
          <w:color w:val="231F20"/>
          <w:w w:val="105"/>
          <w:sz w:val="16"/>
        </w:rPr>
        <w:t xml:space="preserve">, </w:t>
      </w:r>
      <w:r>
        <w:rPr>
          <w:color w:val="231F20"/>
          <w:w w:val="105"/>
          <w:sz w:val="16"/>
        </w:rPr>
        <w:t>429</w:t>
      </w:r>
      <w:r>
        <w:rPr>
          <w:i/>
          <w:color w:val="231F20"/>
          <w:w w:val="105"/>
          <w:sz w:val="16"/>
        </w:rPr>
        <w:t xml:space="preserve">, </w:t>
      </w:r>
      <w:r>
        <w:rPr>
          <w:color w:val="231F20"/>
          <w:w w:val="105"/>
          <w:sz w:val="16"/>
        </w:rPr>
        <w:t>434</w:t>
      </w:r>
      <w:r>
        <w:rPr>
          <w:i/>
          <w:color w:val="231F20"/>
          <w:w w:val="105"/>
          <w:sz w:val="16"/>
        </w:rPr>
        <w:t>,</w:t>
      </w:r>
    </w:p>
    <w:p w14:paraId="28DE3027" w14:textId="77777777" w:rsidR="002653E8" w:rsidRDefault="003115E3">
      <w:pPr>
        <w:spacing w:before="33"/>
        <w:ind w:left="433"/>
        <w:rPr>
          <w:sz w:val="16"/>
        </w:rPr>
      </w:pPr>
      <w:r>
        <w:rPr>
          <w:color w:val="231F20"/>
          <w:sz w:val="16"/>
        </w:rPr>
        <w:t>459</w:t>
      </w:r>
      <w:r>
        <w:rPr>
          <w:i/>
          <w:color w:val="231F20"/>
          <w:sz w:val="16"/>
        </w:rPr>
        <w:t xml:space="preserve">, </w:t>
      </w:r>
      <w:r>
        <w:rPr>
          <w:color w:val="231F20"/>
          <w:sz w:val="16"/>
        </w:rPr>
        <w:t>594</w:t>
      </w:r>
      <w:r>
        <w:rPr>
          <w:i/>
          <w:color w:val="231F20"/>
          <w:sz w:val="16"/>
        </w:rPr>
        <w:t xml:space="preserve">, </w:t>
      </w:r>
      <w:r>
        <w:rPr>
          <w:color w:val="231F20"/>
          <w:sz w:val="16"/>
        </w:rPr>
        <w:t>596; fourth hunger  strike</w:t>
      </w:r>
    </w:p>
    <w:p w14:paraId="6EEA1125" w14:textId="77777777" w:rsidR="002653E8" w:rsidRDefault="003115E3">
      <w:pPr>
        <w:spacing w:before="32"/>
        <w:ind w:left="433"/>
        <w:rPr>
          <w:sz w:val="16"/>
        </w:rPr>
      </w:pPr>
      <w:r>
        <w:rPr>
          <w:color w:val="231F20"/>
          <w:w w:val="105"/>
          <w:sz w:val="16"/>
        </w:rPr>
        <w:t>(1977) 455</w:t>
      </w:r>
      <w:r>
        <w:rPr>
          <w:i/>
          <w:color w:val="231F20"/>
          <w:w w:val="105"/>
          <w:sz w:val="16"/>
        </w:rPr>
        <w:t xml:space="preserve">, </w:t>
      </w:r>
      <w:r>
        <w:rPr>
          <w:color w:val="231F20"/>
          <w:w w:val="105"/>
          <w:sz w:val="16"/>
        </w:rPr>
        <w:t>457</w:t>
      </w:r>
      <w:r>
        <w:rPr>
          <w:i/>
          <w:color w:val="231F20"/>
          <w:w w:val="105"/>
          <w:sz w:val="16"/>
        </w:rPr>
        <w:t xml:space="preserve">, </w:t>
      </w:r>
      <w:r>
        <w:rPr>
          <w:color w:val="231F20"/>
          <w:w w:val="105"/>
          <w:sz w:val="16"/>
        </w:rPr>
        <w:t>463</w:t>
      </w:r>
      <w:r>
        <w:rPr>
          <w:i/>
          <w:color w:val="231F20"/>
          <w:w w:val="105"/>
          <w:sz w:val="16"/>
        </w:rPr>
        <w:t xml:space="preserve">, </w:t>
      </w:r>
      <w:r>
        <w:rPr>
          <w:color w:val="231F20"/>
          <w:w w:val="105"/>
          <w:sz w:val="16"/>
        </w:rPr>
        <w:t>470</w:t>
      </w:r>
      <w:r>
        <w:rPr>
          <w:i/>
          <w:color w:val="231F20"/>
          <w:w w:val="105"/>
          <w:sz w:val="16"/>
        </w:rPr>
        <w:t xml:space="preserve">, </w:t>
      </w:r>
      <w:r>
        <w:rPr>
          <w:color w:val="231F20"/>
          <w:w w:val="105"/>
          <w:sz w:val="16"/>
        </w:rPr>
        <w:t>471</w:t>
      </w:r>
      <w:r>
        <w:rPr>
          <w:i/>
          <w:color w:val="231F20"/>
          <w:w w:val="105"/>
          <w:sz w:val="16"/>
        </w:rPr>
        <w:t xml:space="preserve">, </w:t>
      </w:r>
      <w:r>
        <w:rPr>
          <w:color w:val="231F20"/>
          <w:w w:val="105"/>
          <w:sz w:val="16"/>
        </w:rPr>
        <w:t>487–</w:t>
      </w:r>
    </w:p>
    <w:p w14:paraId="24A0B580" w14:textId="77777777" w:rsidR="002653E8" w:rsidRDefault="003115E3">
      <w:pPr>
        <w:spacing w:before="33"/>
        <w:ind w:left="433"/>
        <w:rPr>
          <w:sz w:val="16"/>
        </w:rPr>
      </w:pPr>
      <w:r>
        <w:rPr>
          <w:color w:val="231F20"/>
          <w:sz w:val="16"/>
        </w:rPr>
        <w:t>489</w:t>
      </w:r>
      <w:r>
        <w:rPr>
          <w:i/>
          <w:color w:val="231F20"/>
          <w:sz w:val="16"/>
        </w:rPr>
        <w:t xml:space="preserve">, </w:t>
      </w:r>
      <w:r>
        <w:rPr>
          <w:color w:val="231F20"/>
          <w:sz w:val="16"/>
        </w:rPr>
        <w:t>492</w:t>
      </w:r>
      <w:r>
        <w:rPr>
          <w:i/>
          <w:color w:val="231F20"/>
          <w:sz w:val="16"/>
        </w:rPr>
        <w:t xml:space="preserve">, </w:t>
      </w:r>
      <w:r>
        <w:rPr>
          <w:color w:val="231F20"/>
          <w:sz w:val="16"/>
        </w:rPr>
        <w:t>493</w:t>
      </w:r>
      <w:r>
        <w:rPr>
          <w:i/>
          <w:color w:val="231F20"/>
          <w:sz w:val="16"/>
        </w:rPr>
        <w:t xml:space="preserve">, </w:t>
      </w:r>
      <w:r>
        <w:rPr>
          <w:color w:val="231F20"/>
          <w:sz w:val="16"/>
        </w:rPr>
        <w:t>604;  fifth  hunger strike</w:t>
      </w:r>
    </w:p>
    <w:p w14:paraId="445FA91F" w14:textId="77777777" w:rsidR="002653E8" w:rsidRDefault="003115E3">
      <w:pPr>
        <w:spacing w:before="32"/>
        <w:ind w:left="433"/>
        <w:rPr>
          <w:sz w:val="16"/>
        </w:rPr>
      </w:pPr>
      <w:r>
        <w:rPr>
          <w:color w:val="231F20"/>
          <w:w w:val="105"/>
          <w:sz w:val="16"/>
        </w:rPr>
        <w:t>(1977) 475</w:t>
      </w:r>
      <w:r>
        <w:rPr>
          <w:i/>
          <w:color w:val="231F20"/>
          <w:w w:val="105"/>
          <w:sz w:val="16"/>
        </w:rPr>
        <w:t xml:space="preserve">, </w:t>
      </w:r>
      <w:r>
        <w:rPr>
          <w:color w:val="231F20"/>
          <w:w w:val="105"/>
          <w:sz w:val="16"/>
        </w:rPr>
        <w:t>476</w:t>
      </w:r>
      <w:r>
        <w:rPr>
          <w:i/>
          <w:color w:val="231F20"/>
          <w:w w:val="105"/>
          <w:sz w:val="16"/>
        </w:rPr>
        <w:t xml:space="preserve">, </w:t>
      </w:r>
      <w:r>
        <w:rPr>
          <w:color w:val="231F20"/>
          <w:w w:val="105"/>
          <w:sz w:val="16"/>
        </w:rPr>
        <w:t>495</w:t>
      </w:r>
      <w:r>
        <w:rPr>
          <w:i/>
          <w:color w:val="231F20"/>
          <w:w w:val="105"/>
          <w:sz w:val="16"/>
        </w:rPr>
        <w:t xml:space="preserve">, </w:t>
      </w:r>
      <w:r>
        <w:rPr>
          <w:color w:val="231F20"/>
          <w:w w:val="105"/>
          <w:sz w:val="16"/>
        </w:rPr>
        <w:t>496–497</w:t>
      </w:r>
      <w:r>
        <w:rPr>
          <w:i/>
          <w:color w:val="231F20"/>
          <w:w w:val="105"/>
          <w:sz w:val="16"/>
        </w:rPr>
        <w:t xml:space="preserve">, </w:t>
      </w:r>
      <w:r>
        <w:rPr>
          <w:color w:val="231F20"/>
          <w:w w:val="105"/>
          <w:sz w:val="16"/>
        </w:rPr>
        <w:t>606;</w:t>
      </w:r>
    </w:p>
    <w:p w14:paraId="24E7D7E4" w14:textId="77777777" w:rsidR="002653E8" w:rsidRDefault="003115E3">
      <w:pPr>
        <w:spacing w:before="32"/>
        <w:ind w:left="433"/>
        <w:rPr>
          <w:sz w:val="16"/>
        </w:rPr>
      </w:pPr>
      <w:r>
        <w:rPr>
          <w:color w:val="231F20"/>
          <w:sz w:val="16"/>
        </w:rPr>
        <w:t>sixth hunger strike (1978) 528</w:t>
      </w:r>
      <w:r>
        <w:rPr>
          <w:i/>
          <w:color w:val="231F20"/>
          <w:sz w:val="16"/>
        </w:rPr>
        <w:t xml:space="preserve">, </w:t>
      </w:r>
      <w:r>
        <w:rPr>
          <w:color w:val="231F20"/>
          <w:sz w:val="16"/>
        </w:rPr>
        <w:t>610;</w:t>
      </w:r>
    </w:p>
    <w:p w14:paraId="6D520032" w14:textId="77777777" w:rsidR="002653E8" w:rsidRDefault="003115E3">
      <w:pPr>
        <w:spacing w:before="33"/>
        <w:ind w:left="433"/>
        <w:rPr>
          <w:sz w:val="16"/>
        </w:rPr>
      </w:pPr>
      <w:r>
        <w:rPr>
          <w:color w:val="231F20"/>
          <w:sz w:val="16"/>
        </w:rPr>
        <w:t>seventh hunger strike (1979)  530</w:t>
      </w:r>
      <w:r>
        <w:rPr>
          <w:i/>
          <w:color w:val="231F20"/>
          <w:sz w:val="16"/>
        </w:rPr>
        <w:t xml:space="preserve">, </w:t>
      </w:r>
      <w:r>
        <w:rPr>
          <w:color w:val="231F20"/>
          <w:sz w:val="16"/>
        </w:rPr>
        <w:t>612;</w:t>
      </w:r>
    </w:p>
    <w:p w14:paraId="7DDE6B1B" w14:textId="77777777" w:rsidR="002653E8" w:rsidRDefault="003115E3">
      <w:pPr>
        <w:spacing w:before="32"/>
        <w:ind w:left="433"/>
        <w:rPr>
          <w:sz w:val="16"/>
        </w:rPr>
      </w:pPr>
      <w:r>
        <w:rPr>
          <w:color w:val="231F20"/>
          <w:sz w:val="16"/>
        </w:rPr>
        <w:t>eighth hunger strike (1981)  614; ninth</w:t>
      </w:r>
    </w:p>
    <w:p w14:paraId="58BFEF35" w14:textId="77777777" w:rsidR="002653E8" w:rsidRDefault="003115E3">
      <w:pPr>
        <w:spacing w:before="33"/>
        <w:ind w:left="433"/>
        <w:rPr>
          <w:sz w:val="16"/>
        </w:rPr>
      </w:pPr>
      <w:r>
        <w:rPr>
          <w:color w:val="231F20"/>
          <w:sz w:val="16"/>
        </w:rPr>
        <w:t>hunger strike (1984-5)  616</w:t>
      </w:r>
      <w:r>
        <w:rPr>
          <w:i/>
          <w:color w:val="231F20"/>
          <w:sz w:val="16"/>
        </w:rPr>
        <w:t xml:space="preserve">, </w:t>
      </w:r>
      <w:r>
        <w:rPr>
          <w:color w:val="231F20"/>
          <w:sz w:val="16"/>
        </w:rPr>
        <w:t>617; tenth</w:t>
      </w:r>
    </w:p>
    <w:p w14:paraId="56489C98" w14:textId="77777777" w:rsidR="002653E8" w:rsidRDefault="003115E3">
      <w:pPr>
        <w:spacing w:before="32"/>
        <w:ind w:left="433"/>
        <w:rPr>
          <w:sz w:val="16"/>
        </w:rPr>
      </w:pPr>
      <w:r>
        <w:rPr>
          <w:color w:val="231F20"/>
          <w:sz w:val="16"/>
        </w:rPr>
        <w:t>hunger strike (1989) 619; eleventh</w:t>
      </w:r>
    </w:p>
    <w:p w14:paraId="3AAC52FA" w14:textId="77777777" w:rsidR="002653E8" w:rsidRDefault="003115E3">
      <w:pPr>
        <w:spacing w:before="33"/>
        <w:ind w:left="433"/>
        <w:rPr>
          <w:sz w:val="16"/>
        </w:rPr>
      </w:pPr>
      <w:r>
        <w:rPr>
          <w:color w:val="231F20"/>
          <w:sz w:val="16"/>
        </w:rPr>
        <w:t>hunger strike (1994) 624; association</w:t>
      </w:r>
    </w:p>
    <w:p w14:paraId="7FF81FE7" w14:textId="77777777" w:rsidR="002653E8" w:rsidRDefault="003115E3">
      <w:pPr>
        <w:spacing w:before="32"/>
        <w:ind w:left="433"/>
        <w:rPr>
          <w:i/>
          <w:sz w:val="16"/>
        </w:rPr>
      </w:pPr>
      <w:r>
        <w:rPr>
          <w:color w:val="231F20"/>
          <w:w w:val="110"/>
          <w:sz w:val="16"/>
        </w:rPr>
        <w:t>254</w:t>
      </w:r>
      <w:r>
        <w:rPr>
          <w:i/>
          <w:color w:val="231F20"/>
          <w:w w:val="110"/>
          <w:sz w:val="16"/>
        </w:rPr>
        <w:t xml:space="preserve">, </w:t>
      </w:r>
      <w:r>
        <w:rPr>
          <w:color w:val="231F20"/>
          <w:w w:val="110"/>
          <w:sz w:val="16"/>
        </w:rPr>
        <w:t>455</w:t>
      </w:r>
      <w:r>
        <w:rPr>
          <w:i/>
          <w:color w:val="231F20"/>
          <w:w w:val="110"/>
          <w:sz w:val="16"/>
        </w:rPr>
        <w:t xml:space="preserve">, </w:t>
      </w:r>
      <w:r>
        <w:rPr>
          <w:color w:val="231F20"/>
          <w:w w:val="110"/>
          <w:sz w:val="16"/>
        </w:rPr>
        <w:t>470</w:t>
      </w:r>
      <w:r>
        <w:rPr>
          <w:i/>
          <w:color w:val="231F20"/>
          <w:w w:val="110"/>
          <w:sz w:val="16"/>
        </w:rPr>
        <w:t xml:space="preserve">, </w:t>
      </w:r>
      <w:r>
        <w:rPr>
          <w:color w:val="231F20"/>
          <w:w w:val="110"/>
          <w:sz w:val="16"/>
        </w:rPr>
        <w:t>471–472</w:t>
      </w:r>
      <w:r>
        <w:rPr>
          <w:i/>
          <w:color w:val="231F20"/>
          <w:w w:val="110"/>
          <w:sz w:val="16"/>
        </w:rPr>
        <w:t xml:space="preserve">, </w:t>
      </w:r>
      <w:r>
        <w:rPr>
          <w:color w:val="231F20"/>
          <w:w w:val="110"/>
          <w:sz w:val="16"/>
        </w:rPr>
        <w:t>473</w:t>
      </w:r>
      <w:r>
        <w:rPr>
          <w:i/>
          <w:color w:val="231F20"/>
          <w:w w:val="110"/>
          <w:sz w:val="16"/>
        </w:rPr>
        <w:t xml:space="preserve">, </w:t>
      </w:r>
      <w:r>
        <w:rPr>
          <w:color w:val="231F20"/>
          <w:w w:val="110"/>
          <w:sz w:val="16"/>
        </w:rPr>
        <w:t>487</w:t>
      </w:r>
      <w:r>
        <w:rPr>
          <w:i/>
          <w:color w:val="231F20"/>
          <w:w w:val="110"/>
          <w:sz w:val="16"/>
        </w:rPr>
        <w:t>,</w:t>
      </w:r>
    </w:p>
    <w:p w14:paraId="6CECCE03" w14:textId="77777777" w:rsidR="002653E8" w:rsidRDefault="003115E3">
      <w:pPr>
        <w:spacing w:before="32"/>
        <w:ind w:left="433"/>
        <w:rPr>
          <w:sz w:val="16"/>
        </w:rPr>
      </w:pPr>
      <w:r>
        <w:rPr>
          <w:color w:val="231F20"/>
          <w:w w:val="105"/>
          <w:sz w:val="16"/>
        </w:rPr>
        <w:t>493</w:t>
      </w:r>
      <w:r>
        <w:rPr>
          <w:i/>
          <w:color w:val="231F20"/>
          <w:w w:val="105"/>
          <w:sz w:val="16"/>
        </w:rPr>
        <w:t xml:space="preserve">, </w:t>
      </w:r>
      <w:r>
        <w:rPr>
          <w:color w:val="231F20"/>
          <w:w w:val="105"/>
          <w:sz w:val="16"/>
        </w:rPr>
        <w:t>496</w:t>
      </w:r>
      <w:r>
        <w:rPr>
          <w:i/>
          <w:color w:val="231F20"/>
          <w:w w:val="105"/>
          <w:sz w:val="16"/>
        </w:rPr>
        <w:t xml:space="preserve">, </w:t>
      </w:r>
      <w:r>
        <w:rPr>
          <w:color w:val="231F20"/>
          <w:w w:val="105"/>
          <w:sz w:val="16"/>
        </w:rPr>
        <w:t>528</w:t>
      </w:r>
      <w:r>
        <w:rPr>
          <w:i/>
          <w:color w:val="231F20"/>
          <w:w w:val="105"/>
          <w:sz w:val="16"/>
        </w:rPr>
        <w:t xml:space="preserve">, </w:t>
      </w:r>
      <w:r>
        <w:rPr>
          <w:color w:val="231F20"/>
          <w:w w:val="105"/>
          <w:sz w:val="16"/>
        </w:rPr>
        <w:t>604</w:t>
      </w:r>
      <w:r>
        <w:rPr>
          <w:i/>
          <w:color w:val="231F20"/>
          <w:w w:val="105"/>
          <w:sz w:val="16"/>
        </w:rPr>
        <w:t xml:space="preserve">, </w:t>
      </w:r>
      <w:r>
        <w:rPr>
          <w:color w:val="231F20"/>
          <w:w w:val="105"/>
          <w:sz w:val="16"/>
        </w:rPr>
        <w:t>610</w:t>
      </w:r>
      <w:r>
        <w:rPr>
          <w:i/>
          <w:color w:val="231F20"/>
          <w:w w:val="105"/>
          <w:sz w:val="16"/>
        </w:rPr>
        <w:t xml:space="preserve">, </w:t>
      </w:r>
      <w:r>
        <w:rPr>
          <w:color w:val="231F20"/>
          <w:w w:val="105"/>
          <w:sz w:val="16"/>
        </w:rPr>
        <w:t>614; asso-</w:t>
      </w:r>
    </w:p>
    <w:p w14:paraId="53A834E9" w14:textId="77777777" w:rsidR="002653E8" w:rsidRDefault="003115E3">
      <w:pPr>
        <w:spacing w:before="33" w:line="280" w:lineRule="auto"/>
        <w:ind w:left="433" w:right="1220"/>
        <w:rPr>
          <w:sz w:val="16"/>
        </w:rPr>
      </w:pPr>
      <w:r>
        <w:rPr>
          <w:color w:val="231F20"/>
          <w:sz w:val="16"/>
        </w:rPr>
        <w:t>ciation versus integration 253–254</w:t>
      </w:r>
      <w:r>
        <w:rPr>
          <w:i/>
          <w:color w:val="231F20"/>
          <w:sz w:val="16"/>
        </w:rPr>
        <w:t xml:space="preserve">, </w:t>
      </w:r>
      <w:r>
        <w:rPr>
          <w:color w:val="231F20"/>
          <w:sz w:val="16"/>
        </w:rPr>
        <w:t>255</w:t>
      </w:r>
      <w:r>
        <w:rPr>
          <w:i/>
          <w:color w:val="231F20"/>
          <w:sz w:val="16"/>
        </w:rPr>
        <w:t xml:space="preserve">, </w:t>
      </w:r>
      <w:r>
        <w:rPr>
          <w:color w:val="231F20"/>
          <w:sz w:val="16"/>
        </w:rPr>
        <w:t>257</w:t>
      </w:r>
      <w:r>
        <w:rPr>
          <w:i/>
          <w:color w:val="231F20"/>
          <w:sz w:val="16"/>
        </w:rPr>
        <w:t xml:space="preserve">, </w:t>
      </w:r>
      <w:r>
        <w:rPr>
          <w:color w:val="231F20"/>
          <w:sz w:val="16"/>
        </w:rPr>
        <w:t>263</w:t>
      </w:r>
      <w:r>
        <w:rPr>
          <w:i/>
          <w:color w:val="231F20"/>
          <w:sz w:val="16"/>
        </w:rPr>
        <w:t xml:space="preserve">, </w:t>
      </w:r>
      <w:r>
        <w:rPr>
          <w:color w:val="231F20"/>
          <w:sz w:val="16"/>
        </w:rPr>
        <w:t>281</w:t>
      </w:r>
      <w:r>
        <w:rPr>
          <w:i/>
          <w:color w:val="231F20"/>
          <w:sz w:val="16"/>
        </w:rPr>
        <w:t xml:space="preserve">, </w:t>
      </w:r>
      <w:r>
        <w:rPr>
          <w:color w:val="231F20"/>
          <w:sz w:val="16"/>
        </w:rPr>
        <w:t>594; bugged cells</w:t>
      </w:r>
    </w:p>
    <w:p w14:paraId="7702B72B" w14:textId="77777777" w:rsidR="002653E8" w:rsidRDefault="003115E3">
      <w:pPr>
        <w:spacing w:before="1"/>
        <w:ind w:left="433"/>
        <w:rPr>
          <w:sz w:val="16"/>
        </w:rPr>
      </w:pPr>
      <w:r>
        <w:rPr>
          <w:color w:val="231F20"/>
          <w:w w:val="105"/>
          <w:sz w:val="16"/>
        </w:rPr>
        <w:t>516–517</w:t>
      </w:r>
      <w:r>
        <w:rPr>
          <w:i/>
          <w:color w:val="231F20"/>
          <w:w w:val="105"/>
          <w:sz w:val="16"/>
        </w:rPr>
        <w:t xml:space="preserve">, </w:t>
      </w:r>
      <w:r>
        <w:rPr>
          <w:color w:val="231F20"/>
          <w:w w:val="105"/>
          <w:sz w:val="16"/>
        </w:rPr>
        <w:t>596</w:t>
      </w:r>
      <w:r>
        <w:rPr>
          <w:i/>
          <w:color w:val="231F20"/>
          <w:w w:val="105"/>
          <w:sz w:val="16"/>
        </w:rPr>
        <w:t xml:space="preserve">, </w:t>
      </w:r>
      <w:r>
        <w:rPr>
          <w:color w:val="231F20"/>
          <w:w w:val="105"/>
          <w:sz w:val="16"/>
        </w:rPr>
        <w:t>597</w:t>
      </w:r>
      <w:r>
        <w:rPr>
          <w:i/>
          <w:color w:val="231F20"/>
          <w:w w:val="105"/>
          <w:sz w:val="16"/>
        </w:rPr>
        <w:t xml:space="preserve">, </w:t>
      </w:r>
      <w:r>
        <w:rPr>
          <w:color w:val="231F20"/>
          <w:w w:val="105"/>
          <w:sz w:val="16"/>
        </w:rPr>
        <w:t>598</w:t>
      </w:r>
      <w:r>
        <w:rPr>
          <w:i/>
          <w:color w:val="231F20"/>
          <w:w w:val="105"/>
          <w:sz w:val="16"/>
        </w:rPr>
        <w:t xml:space="preserve">, </w:t>
      </w:r>
      <w:r>
        <w:rPr>
          <w:color w:val="231F20"/>
          <w:w w:val="105"/>
          <w:sz w:val="16"/>
        </w:rPr>
        <w:t>604; Celle</w:t>
      </w:r>
    </w:p>
    <w:p w14:paraId="3E39D55F" w14:textId="77777777" w:rsidR="002653E8" w:rsidRDefault="003115E3">
      <w:pPr>
        <w:spacing w:before="32"/>
        <w:ind w:left="433"/>
        <w:rPr>
          <w:i/>
          <w:sz w:val="16"/>
        </w:rPr>
      </w:pPr>
      <w:r>
        <w:rPr>
          <w:color w:val="231F20"/>
          <w:sz w:val="16"/>
        </w:rPr>
        <w:t>prisoners   622</w:t>
      </w:r>
      <w:r>
        <w:rPr>
          <w:i/>
          <w:color w:val="231F20"/>
          <w:sz w:val="16"/>
        </w:rPr>
        <w:t xml:space="preserve">, </w:t>
      </w:r>
      <w:r>
        <w:rPr>
          <w:color w:val="231F20"/>
          <w:sz w:val="16"/>
        </w:rPr>
        <w:t>623; cell raids  267</w:t>
      </w:r>
      <w:r>
        <w:rPr>
          <w:i/>
          <w:color w:val="231F20"/>
          <w:sz w:val="16"/>
        </w:rPr>
        <w:t>,</w:t>
      </w:r>
    </w:p>
    <w:p w14:paraId="4BBB74F4" w14:textId="77777777" w:rsidR="002653E8" w:rsidRDefault="003115E3">
      <w:pPr>
        <w:spacing w:before="33"/>
        <w:ind w:left="433"/>
        <w:rPr>
          <w:sz w:val="16"/>
        </w:rPr>
      </w:pPr>
      <w:r>
        <w:rPr>
          <w:color w:val="231F20"/>
          <w:sz w:val="16"/>
        </w:rPr>
        <w:t>286</w:t>
      </w:r>
      <w:r>
        <w:rPr>
          <w:i/>
          <w:color w:val="231F20"/>
          <w:sz w:val="16"/>
        </w:rPr>
        <w:t xml:space="preserve">, </w:t>
      </w:r>
      <w:r>
        <w:rPr>
          <w:color w:val="231F20"/>
          <w:sz w:val="16"/>
        </w:rPr>
        <w:t>419</w:t>
      </w:r>
      <w:r>
        <w:rPr>
          <w:i/>
          <w:color w:val="231F20"/>
          <w:sz w:val="16"/>
        </w:rPr>
        <w:t xml:space="preserve">, </w:t>
      </w:r>
      <w:r>
        <w:rPr>
          <w:color w:val="231F20"/>
          <w:sz w:val="16"/>
        </w:rPr>
        <w:t>593; harassment of relatives</w:t>
      </w:r>
    </w:p>
    <w:p w14:paraId="71828D81" w14:textId="77777777" w:rsidR="002653E8" w:rsidRDefault="003115E3">
      <w:pPr>
        <w:spacing w:before="32"/>
        <w:ind w:left="433"/>
        <w:rPr>
          <w:sz w:val="16"/>
        </w:rPr>
      </w:pPr>
      <w:r>
        <w:rPr>
          <w:color w:val="231F20"/>
          <w:sz w:val="16"/>
        </w:rPr>
        <w:t>267</w:t>
      </w:r>
      <w:r>
        <w:rPr>
          <w:i/>
          <w:color w:val="231F20"/>
          <w:sz w:val="16"/>
        </w:rPr>
        <w:t xml:space="preserve">, </w:t>
      </w:r>
      <w:r>
        <w:rPr>
          <w:color w:val="231F20"/>
          <w:sz w:val="16"/>
        </w:rPr>
        <w:t>286</w:t>
      </w:r>
      <w:r>
        <w:rPr>
          <w:i/>
          <w:color w:val="231F20"/>
          <w:sz w:val="16"/>
        </w:rPr>
        <w:t xml:space="preserve">, </w:t>
      </w:r>
      <w:r>
        <w:rPr>
          <w:color w:val="231F20"/>
          <w:sz w:val="16"/>
        </w:rPr>
        <w:t>303; inspiring people to join</w:t>
      </w:r>
    </w:p>
    <w:p w14:paraId="387B780A" w14:textId="77777777" w:rsidR="002653E8" w:rsidRDefault="003115E3">
      <w:pPr>
        <w:spacing w:before="33"/>
        <w:ind w:left="433"/>
        <w:rPr>
          <w:i/>
          <w:sz w:val="16"/>
        </w:rPr>
      </w:pPr>
      <w:r>
        <w:rPr>
          <w:color w:val="231F20"/>
          <w:w w:val="110"/>
          <w:sz w:val="16"/>
        </w:rPr>
        <w:t xml:space="preserve">the </w:t>
      </w:r>
      <w:r w:rsidR="00C507A5">
        <w:rPr>
          <w:color w:val="231F20"/>
          <w:w w:val="110"/>
          <w:sz w:val="16"/>
        </w:rPr>
        <w:t>red army faction</w:t>
      </w:r>
      <w:r>
        <w:rPr>
          <w:color w:val="231F20"/>
          <w:w w:val="110"/>
          <w:sz w:val="16"/>
        </w:rPr>
        <w:t xml:space="preserve"> 248</w:t>
      </w:r>
      <w:r>
        <w:rPr>
          <w:i/>
          <w:color w:val="231F20"/>
          <w:w w:val="110"/>
          <w:sz w:val="16"/>
        </w:rPr>
        <w:t xml:space="preserve">, </w:t>
      </w:r>
      <w:r>
        <w:rPr>
          <w:color w:val="231F20"/>
          <w:w w:val="110"/>
          <w:sz w:val="16"/>
        </w:rPr>
        <w:t>327</w:t>
      </w:r>
      <w:r>
        <w:rPr>
          <w:i/>
          <w:color w:val="231F20"/>
          <w:w w:val="110"/>
          <w:sz w:val="16"/>
        </w:rPr>
        <w:t xml:space="preserve">, </w:t>
      </w:r>
      <w:r>
        <w:rPr>
          <w:color w:val="231F20"/>
          <w:w w:val="110"/>
          <w:sz w:val="16"/>
        </w:rPr>
        <w:t>336–337</w:t>
      </w:r>
      <w:r>
        <w:rPr>
          <w:i/>
          <w:color w:val="231F20"/>
          <w:w w:val="110"/>
          <w:sz w:val="16"/>
        </w:rPr>
        <w:t xml:space="preserve">, </w:t>
      </w:r>
      <w:r>
        <w:rPr>
          <w:color w:val="231F20"/>
          <w:w w:val="110"/>
          <w:sz w:val="16"/>
        </w:rPr>
        <w:t>451</w:t>
      </w:r>
      <w:r>
        <w:rPr>
          <w:i/>
          <w:color w:val="231F20"/>
          <w:w w:val="110"/>
          <w:sz w:val="16"/>
        </w:rPr>
        <w:t xml:space="preserve">, </w:t>
      </w:r>
      <w:r>
        <w:rPr>
          <w:color w:val="231F20"/>
          <w:w w:val="110"/>
          <w:sz w:val="16"/>
        </w:rPr>
        <w:t>470</w:t>
      </w:r>
      <w:r>
        <w:rPr>
          <w:i/>
          <w:color w:val="231F20"/>
          <w:w w:val="110"/>
          <w:sz w:val="16"/>
        </w:rPr>
        <w:t>,</w:t>
      </w:r>
    </w:p>
    <w:p w14:paraId="73B8D9F1" w14:textId="77777777" w:rsidR="002653E8" w:rsidRDefault="003115E3">
      <w:pPr>
        <w:spacing w:before="32" w:line="280" w:lineRule="auto"/>
        <w:ind w:left="233" w:right="1362" w:firstLine="42"/>
        <w:jc w:val="center"/>
        <w:rPr>
          <w:i/>
          <w:sz w:val="16"/>
        </w:rPr>
      </w:pPr>
      <w:r>
        <w:rPr>
          <w:color w:val="231F20"/>
          <w:w w:val="105"/>
          <w:sz w:val="16"/>
        </w:rPr>
        <w:t>508; Lorenz kidnapping 328</w:t>
      </w:r>
      <w:r>
        <w:rPr>
          <w:i/>
          <w:color w:val="231F20"/>
          <w:w w:val="105"/>
          <w:sz w:val="16"/>
        </w:rPr>
        <w:t xml:space="preserve">, </w:t>
      </w:r>
      <w:r>
        <w:rPr>
          <w:color w:val="231F20"/>
          <w:w w:val="105"/>
          <w:sz w:val="16"/>
        </w:rPr>
        <w:t>330 “</w:t>
      </w:r>
      <w:r w:rsidR="00C507A5">
        <w:rPr>
          <w:color w:val="231F20"/>
          <w:w w:val="105"/>
          <w:sz w:val="16"/>
        </w:rPr>
        <w:t>red army faction</w:t>
      </w:r>
      <w:r>
        <w:rPr>
          <w:color w:val="231F20"/>
          <w:w w:val="105"/>
          <w:sz w:val="16"/>
        </w:rPr>
        <w:t xml:space="preserve">” Ralf Reinders Commando 349 </w:t>
      </w:r>
      <w:r w:rsidR="00C507A5">
        <w:rPr>
          <w:color w:val="231F20"/>
          <w:w w:val="105"/>
          <w:sz w:val="16"/>
        </w:rPr>
        <w:t>red army faction</w:t>
      </w:r>
      <w:r>
        <w:rPr>
          <w:color w:val="231F20"/>
          <w:w w:val="105"/>
          <w:sz w:val="16"/>
        </w:rPr>
        <w:t xml:space="preserve"> (Red Army Faction)</w:t>
      </w:r>
      <w:r>
        <w:rPr>
          <w:i/>
          <w:color w:val="231F20"/>
          <w:w w:val="105"/>
          <w:sz w:val="16"/>
        </w:rPr>
        <w:t xml:space="preserve">. See also </w:t>
      </w:r>
      <w:r w:rsidR="00C507A5">
        <w:rPr>
          <w:color w:val="231F20"/>
          <w:w w:val="105"/>
          <w:sz w:val="16"/>
        </w:rPr>
        <w:t>red army faction</w:t>
      </w:r>
      <w:r>
        <w:rPr>
          <w:color w:val="231F20"/>
          <w:w w:val="112"/>
          <w:sz w:val="16"/>
        </w:rPr>
        <w:t xml:space="preserve"> </w:t>
      </w:r>
      <w:r>
        <w:rPr>
          <w:color w:val="231F20"/>
          <w:w w:val="105"/>
          <w:sz w:val="16"/>
        </w:rPr>
        <w:t>Commandos</w:t>
      </w:r>
      <w:r>
        <w:rPr>
          <w:i/>
          <w:color w:val="231F20"/>
          <w:w w:val="105"/>
          <w:sz w:val="16"/>
        </w:rPr>
        <w:t xml:space="preserve">; See also </w:t>
      </w:r>
      <w:r w:rsidR="00C507A5">
        <w:rPr>
          <w:color w:val="231F20"/>
          <w:w w:val="105"/>
          <w:sz w:val="16"/>
        </w:rPr>
        <w:t>red army faction</w:t>
      </w:r>
      <w:r>
        <w:rPr>
          <w:color w:val="231F20"/>
          <w:w w:val="105"/>
          <w:sz w:val="16"/>
        </w:rPr>
        <w:t xml:space="preserve"> documents</w:t>
      </w:r>
      <w:r>
        <w:rPr>
          <w:i/>
          <w:color w:val="231F20"/>
          <w:w w:val="105"/>
          <w:sz w:val="16"/>
        </w:rPr>
        <w:t xml:space="preserve">; See also </w:t>
      </w:r>
      <w:r w:rsidR="00C507A5">
        <w:rPr>
          <w:color w:val="231F20"/>
          <w:w w:val="105"/>
          <w:sz w:val="16"/>
        </w:rPr>
        <w:t>red army faction</w:t>
      </w:r>
      <w:r>
        <w:rPr>
          <w:color w:val="231F20"/>
          <w:w w:val="105"/>
          <w:sz w:val="16"/>
        </w:rPr>
        <w:t xml:space="preserve"> ideas on; </w:t>
      </w:r>
      <w:r>
        <w:rPr>
          <w:i/>
          <w:color w:val="231F20"/>
          <w:w w:val="105"/>
          <w:sz w:val="16"/>
        </w:rPr>
        <w:t>See</w:t>
      </w:r>
    </w:p>
    <w:p w14:paraId="158DE93D" w14:textId="77777777" w:rsidR="002653E8" w:rsidRDefault="003115E3">
      <w:pPr>
        <w:spacing w:before="3" w:line="280" w:lineRule="auto"/>
        <w:ind w:left="433" w:right="1300" w:hanging="1"/>
        <w:rPr>
          <w:i/>
          <w:sz w:val="16"/>
        </w:rPr>
      </w:pPr>
      <w:r>
        <w:rPr>
          <w:i/>
          <w:color w:val="231F20"/>
          <w:sz w:val="16"/>
        </w:rPr>
        <w:t xml:space="preserve">also </w:t>
      </w:r>
      <w:r w:rsidR="00C507A5">
        <w:rPr>
          <w:color w:val="231F20"/>
          <w:sz w:val="16"/>
        </w:rPr>
        <w:t>red army faction</w:t>
      </w:r>
      <w:r>
        <w:rPr>
          <w:color w:val="231F20"/>
          <w:sz w:val="16"/>
        </w:rPr>
        <w:t xml:space="preserve"> prisoners</w:t>
      </w:r>
      <w:r>
        <w:rPr>
          <w:i/>
          <w:color w:val="231F20"/>
          <w:sz w:val="16"/>
        </w:rPr>
        <w:t xml:space="preserve">; See also </w:t>
      </w:r>
      <w:r>
        <w:rPr>
          <w:color w:val="231F20"/>
          <w:sz w:val="16"/>
        </w:rPr>
        <w:t>support scene</w:t>
      </w:r>
      <w:r>
        <w:rPr>
          <w:i/>
          <w:color w:val="231F20"/>
          <w:sz w:val="16"/>
        </w:rPr>
        <w:t xml:space="preserve">; See also </w:t>
      </w:r>
      <w:r>
        <w:rPr>
          <w:color w:val="231F20"/>
          <w:sz w:val="16"/>
        </w:rPr>
        <w:t xml:space="preserve">SPK (Socialistiches Patientenkollektiv); activities prior to the </w:t>
      </w:r>
      <w:r w:rsidR="00C507A5">
        <w:rPr>
          <w:color w:val="231F20"/>
          <w:sz w:val="16"/>
        </w:rPr>
        <w:t>red army faction</w:t>
      </w:r>
      <w:r>
        <w:rPr>
          <w:color w:val="231F20"/>
          <w:sz w:val="16"/>
        </w:rPr>
        <w:t xml:space="preserve"> 46–56; Frankfurt department store bombings (1968) 46</w:t>
      </w:r>
      <w:r>
        <w:rPr>
          <w:i/>
          <w:color w:val="231F20"/>
          <w:sz w:val="16"/>
        </w:rPr>
        <w:t>,</w:t>
      </w:r>
    </w:p>
    <w:p w14:paraId="00399837" w14:textId="77777777" w:rsidR="002653E8" w:rsidRDefault="003115E3">
      <w:pPr>
        <w:spacing w:before="2"/>
        <w:ind w:left="433"/>
        <w:rPr>
          <w:sz w:val="16"/>
        </w:rPr>
      </w:pPr>
      <w:r>
        <w:rPr>
          <w:color w:val="231F20"/>
          <w:w w:val="105"/>
          <w:sz w:val="16"/>
        </w:rPr>
        <w:t>48–49</w:t>
      </w:r>
      <w:r>
        <w:rPr>
          <w:i/>
          <w:color w:val="231F20"/>
          <w:w w:val="105"/>
          <w:sz w:val="16"/>
        </w:rPr>
        <w:t xml:space="preserve">, </w:t>
      </w:r>
      <w:r>
        <w:rPr>
          <w:color w:val="231F20"/>
          <w:w w:val="105"/>
          <w:sz w:val="16"/>
        </w:rPr>
        <w:t>66–78</w:t>
      </w:r>
      <w:r>
        <w:rPr>
          <w:i/>
          <w:color w:val="231F20"/>
          <w:w w:val="105"/>
          <w:sz w:val="16"/>
        </w:rPr>
        <w:t xml:space="preserve">, </w:t>
      </w:r>
      <w:r>
        <w:rPr>
          <w:color w:val="231F20"/>
          <w:w w:val="105"/>
          <w:sz w:val="16"/>
        </w:rPr>
        <w:t>581</w:t>
      </w:r>
      <w:r>
        <w:rPr>
          <w:i/>
          <w:color w:val="231F20"/>
          <w:w w:val="105"/>
          <w:sz w:val="16"/>
        </w:rPr>
        <w:t xml:space="preserve">, </w:t>
      </w:r>
      <w:r>
        <w:rPr>
          <w:color w:val="231F20"/>
          <w:w w:val="105"/>
          <w:sz w:val="16"/>
        </w:rPr>
        <w:t>583; activities May</w:t>
      </w:r>
    </w:p>
    <w:p w14:paraId="3C911B4C" w14:textId="77777777" w:rsidR="002653E8" w:rsidRDefault="003115E3">
      <w:pPr>
        <w:spacing w:before="33"/>
        <w:ind w:left="433"/>
        <w:rPr>
          <w:i/>
          <w:sz w:val="16"/>
        </w:rPr>
      </w:pPr>
      <w:r>
        <w:rPr>
          <w:color w:val="231F20"/>
          <w:w w:val="105"/>
          <w:sz w:val="16"/>
        </w:rPr>
        <w:t>1970 to May 1972  59–60</w:t>
      </w:r>
      <w:r>
        <w:rPr>
          <w:i/>
          <w:color w:val="231F20"/>
          <w:w w:val="105"/>
          <w:sz w:val="16"/>
        </w:rPr>
        <w:t xml:space="preserve">, </w:t>
      </w:r>
      <w:r>
        <w:rPr>
          <w:color w:val="231F20"/>
          <w:w w:val="105"/>
          <w:sz w:val="16"/>
        </w:rPr>
        <w:t>64–65</w:t>
      </w:r>
      <w:r>
        <w:rPr>
          <w:i/>
          <w:color w:val="231F20"/>
          <w:w w:val="105"/>
          <w:sz w:val="16"/>
        </w:rPr>
        <w:t>,</w:t>
      </w:r>
    </w:p>
    <w:p w14:paraId="25D0F79F" w14:textId="77777777" w:rsidR="002653E8" w:rsidRPr="00846956" w:rsidRDefault="003115E3">
      <w:pPr>
        <w:spacing w:before="32"/>
        <w:ind w:left="433"/>
        <w:rPr>
          <w:i/>
          <w:sz w:val="16"/>
          <w:lang w:val="de-DE"/>
        </w:rPr>
      </w:pPr>
      <w:r w:rsidRPr="00846956">
        <w:rPr>
          <w:color w:val="231F20"/>
          <w:w w:val="105"/>
          <w:sz w:val="16"/>
          <w:lang w:val="de-DE"/>
        </w:rPr>
        <w:lastRenderedPageBreak/>
        <w:t>107–108</w:t>
      </w:r>
      <w:r w:rsidRPr="00846956">
        <w:rPr>
          <w:i/>
          <w:color w:val="231F20"/>
          <w:w w:val="105"/>
          <w:sz w:val="16"/>
          <w:lang w:val="de-DE"/>
        </w:rPr>
        <w:t xml:space="preserve">, </w:t>
      </w:r>
      <w:r w:rsidRPr="00846956">
        <w:rPr>
          <w:color w:val="231F20"/>
          <w:w w:val="105"/>
          <w:sz w:val="16"/>
          <w:lang w:val="de-DE"/>
        </w:rPr>
        <w:t>108–110</w:t>
      </w:r>
      <w:r w:rsidRPr="00846956">
        <w:rPr>
          <w:i/>
          <w:color w:val="231F20"/>
          <w:w w:val="105"/>
          <w:sz w:val="16"/>
          <w:lang w:val="de-DE"/>
        </w:rPr>
        <w:t xml:space="preserve">, </w:t>
      </w:r>
      <w:r w:rsidRPr="00846956">
        <w:rPr>
          <w:color w:val="231F20"/>
          <w:w w:val="105"/>
          <w:sz w:val="16"/>
          <w:lang w:val="de-DE"/>
        </w:rPr>
        <w:t>110</w:t>
      </w:r>
      <w:r w:rsidRPr="00846956">
        <w:rPr>
          <w:i/>
          <w:color w:val="231F20"/>
          <w:w w:val="105"/>
          <w:sz w:val="16"/>
          <w:lang w:val="de-DE"/>
        </w:rPr>
        <w:t xml:space="preserve">, </w:t>
      </w:r>
      <w:r w:rsidRPr="00846956">
        <w:rPr>
          <w:color w:val="231F20"/>
          <w:w w:val="105"/>
          <w:sz w:val="16"/>
          <w:lang w:val="de-DE"/>
        </w:rPr>
        <w:t>111–112</w:t>
      </w:r>
      <w:r w:rsidRPr="00846956">
        <w:rPr>
          <w:i/>
          <w:color w:val="231F20"/>
          <w:w w:val="105"/>
          <w:sz w:val="16"/>
          <w:lang w:val="de-DE"/>
        </w:rPr>
        <w:t>,</w:t>
      </w:r>
    </w:p>
    <w:p w14:paraId="5CB85BC9" w14:textId="77777777" w:rsidR="002653E8" w:rsidRPr="00846956" w:rsidRDefault="002653E8">
      <w:pPr>
        <w:rPr>
          <w:sz w:val="16"/>
          <w:lang w:val="de-DE"/>
        </w:rPr>
        <w:sectPr w:rsidR="002653E8" w:rsidRPr="00846956">
          <w:pgSz w:w="8640" w:h="12960"/>
          <w:pgMar w:top="1080" w:right="0" w:bottom="1040" w:left="0" w:header="0" w:footer="846" w:gutter="0"/>
          <w:cols w:num="2" w:space="720" w:equalWidth="0">
            <w:col w:w="4277" w:space="40"/>
            <w:col w:w="4323"/>
          </w:cols>
        </w:sectPr>
      </w:pPr>
    </w:p>
    <w:p w14:paraId="27A623BC" w14:textId="77777777" w:rsidR="002653E8" w:rsidRPr="00846956" w:rsidRDefault="003115E3">
      <w:pPr>
        <w:spacing w:before="86"/>
        <w:ind w:left="1347"/>
        <w:rPr>
          <w:i/>
          <w:sz w:val="16"/>
          <w:lang w:val="de-DE"/>
        </w:rPr>
      </w:pPr>
      <w:r w:rsidRPr="00846956">
        <w:rPr>
          <w:color w:val="231F20"/>
          <w:w w:val="105"/>
          <w:sz w:val="16"/>
          <w:lang w:val="de-DE"/>
        </w:rPr>
        <w:lastRenderedPageBreak/>
        <w:t>113–115</w:t>
      </w:r>
      <w:r w:rsidRPr="00846956">
        <w:rPr>
          <w:i/>
          <w:color w:val="231F20"/>
          <w:w w:val="105"/>
          <w:sz w:val="16"/>
          <w:lang w:val="de-DE"/>
        </w:rPr>
        <w:t xml:space="preserve">, </w:t>
      </w:r>
      <w:r w:rsidRPr="00846956">
        <w:rPr>
          <w:color w:val="231F20"/>
          <w:w w:val="105"/>
          <w:sz w:val="16"/>
          <w:lang w:val="de-DE"/>
        </w:rPr>
        <w:t>117–118</w:t>
      </w:r>
      <w:r w:rsidRPr="00846956">
        <w:rPr>
          <w:i/>
          <w:color w:val="231F20"/>
          <w:w w:val="105"/>
          <w:sz w:val="16"/>
          <w:lang w:val="de-DE"/>
        </w:rPr>
        <w:t xml:space="preserve">, </w:t>
      </w:r>
      <w:r w:rsidRPr="00846956">
        <w:rPr>
          <w:color w:val="231F20"/>
          <w:w w:val="105"/>
          <w:sz w:val="16"/>
          <w:lang w:val="de-DE"/>
        </w:rPr>
        <w:t>160</w:t>
      </w:r>
      <w:r w:rsidRPr="00846956">
        <w:rPr>
          <w:i/>
          <w:color w:val="231F20"/>
          <w:w w:val="105"/>
          <w:sz w:val="16"/>
          <w:lang w:val="de-DE"/>
        </w:rPr>
        <w:t xml:space="preserve">, </w:t>
      </w:r>
      <w:r w:rsidRPr="00846956">
        <w:rPr>
          <w:color w:val="231F20"/>
          <w:w w:val="105"/>
          <w:sz w:val="16"/>
          <w:lang w:val="de-DE"/>
        </w:rPr>
        <w:t>161–162</w:t>
      </w:r>
      <w:r w:rsidRPr="00846956">
        <w:rPr>
          <w:i/>
          <w:color w:val="231F20"/>
          <w:w w:val="105"/>
          <w:sz w:val="16"/>
          <w:lang w:val="de-DE"/>
        </w:rPr>
        <w:t>,</w:t>
      </w:r>
    </w:p>
    <w:p w14:paraId="2BB5A47C" w14:textId="77777777" w:rsidR="002653E8" w:rsidRPr="00846956" w:rsidRDefault="003115E3">
      <w:pPr>
        <w:spacing w:before="33"/>
        <w:ind w:left="1347"/>
        <w:rPr>
          <w:sz w:val="16"/>
          <w:lang w:val="de-DE"/>
        </w:rPr>
      </w:pPr>
      <w:r w:rsidRPr="00846956">
        <w:rPr>
          <w:color w:val="231F20"/>
          <w:w w:val="105"/>
          <w:sz w:val="16"/>
          <w:lang w:val="de-DE"/>
        </w:rPr>
        <w:t>584</w:t>
      </w:r>
      <w:r w:rsidRPr="00846956">
        <w:rPr>
          <w:i/>
          <w:color w:val="231F20"/>
          <w:w w:val="105"/>
          <w:sz w:val="16"/>
          <w:lang w:val="de-DE"/>
        </w:rPr>
        <w:t xml:space="preserve">, </w:t>
      </w:r>
      <w:r w:rsidRPr="00846956">
        <w:rPr>
          <w:color w:val="231F20"/>
          <w:w w:val="105"/>
          <w:sz w:val="16"/>
          <w:lang w:val="de-DE"/>
        </w:rPr>
        <w:t>585</w:t>
      </w:r>
      <w:r w:rsidRPr="00846956">
        <w:rPr>
          <w:i/>
          <w:color w:val="231F20"/>
          <w:w w:val="105"/>
          <w:sz w:val="16"/>
          <w:lang w:val="de-DE"/>
        </w:rPr>
        <w:t xml:space="preserve">, </w:t>
      </w:r>
      <w:r w:rsidRPr="00846956">
        <w:rPr>
          <w:color w:val="231F20"/>
          <w:w w:val="105"/>
          <w:sz w:val="16"/>
          <w:lang w:val="de-DE"/>
        </w:rPr>
        <w:t>586</w:t>
      </w:r>
      <w:r w:rsidRPr="00846956">
        <w:rPr>
          <w:i/>
          <w:color w:val="231F20"/>
          <w:w w:val="105"/>
          <w:sz w:val="16"/>
          <w:lang w:val="de-DE"/>
        </w:rPr>
        <w:t xml:space="preserve">, </w:t>
      </w:r>
      <w:r w:rsidRPr="00846956">
        <w:rPr>
          <w:color w:val="231F20"/>
          <w:w w:val="105"/>
          <w:sz w:val="16"/>
          <w:lang w:val="de-DE"/>
        </w:rPr>
        <w:t>587</w:t>
      </w:r>
      <w:r w:rsidRPr="00846956">
        <w:rPr>
          <w:i/>
          <w:color w:val="231F20"/>
          <w:w w:val="105"/>
          <w:sz w:val="16"/>
          <w:lang w:val="de-DE"/>
        </w:rPr>
        <w:t xml:space="preserve">, </w:t>
      </w:r>
      <w:r w:rsidRPr="00846956">
        <w:rPr>
          <w:color w:val="231F20"/>
          <w:w w:val="105"/>
          <w:sz w:val="16"/>
          <w:lang w:val="de-DE"/>
        </w:rPr>
        <w:t>588</w:t>
      </w:r>
      <w:r w:rsidRPr="00846956">
        <w:rPr>
          <w:i/>
          <w:color w:val="231F20"/>
          <w:w w:val="105"/>
          <w:sz w:val="16"/>
          <w:lang w:val="de-DE"/>
        </w:rPr>
        <w:t xml:space="preserve">, </w:t>
      </w:r>
      <w:r w:rsidRPr="00846956">
        <w:rPr>
          <w:color w:val="231F20"/>
          <w:w w:val="105"/>
          <w:sz w:val="16"/>
          <w:lang w:val="de-DE"/>
        </w:rPr>
        <w:t>589; Baader</w:t>
      </w:r>
    </w:p>
    <w:p w14:paraId="727403EF" w14:textId="77777777" w:rsidR="002653E8" w:rsidRDefault="003115E3">
      <w:pPr>
        <w:spacing w:before="32"/>
        <w:ind w:left="1347"/>
        <w:rPr>
          <w:i/>
          <w:sz w:val="16"/>
        </w:rPr>
      </w:pPr>
      <w:r>
        <w:rPr>
          <w:color w:val="231F20"/>
          <w:sz w:val="16"/>
        </w:rPr>
        <w:t>library-break (1970)   54–55</w:t>
      </w:r>
      <w:r>
        <w:rPr>
          <w:i/>
          <w:color w:val="231F20"/>
          <w:sz w:val="16"/>
        </w:rPr>
        <w:t xml:space="preserve">, </w:t>
      </w:r>
      <w:r>
        <w:rPr>
          <w:color w:val="231F20"/>
          <w:sz w:val="16"/>
        </w:rPr>
        <w:t>60–61</w:t>
      </w:r>
      <w:r>
        <w:rPr>
          <w:i/>
          <w:color w:val="231F20"/>
          <w:sz w:val="16"/>
        </w:rPr>
        <w:t>,</w:t>
      </w:r>
    </w:p>
    <w:p w14:paraId="67C7CE53" w14:textId="77777777" w:rsidR="002653E8" w:rsidRDefault="003115E3">
      <w:pPr>
        <w:spacing w:before="33"/>
        <w:ind w:left="1347"/>
        <w:rPr>
          <w:i/>
          <w:sz w:val="16"/>
        </w:rPr>
      </w:pPr>
      <w:r>
        <w:rPr>
          <w:color w:val="231F20"/>
          <w:w w:val="110"/>
          <w:sz w:val="16"/>
        </w:rPr>
        <w:t>79</w:t>
      </w:r>
      <w:r>
        <w:rPr>
          <w:i/>
          <w:color w:val="231F20"/>
          <w:w w:val="110"/>
          <w:sz w:val="16"/>
        </w:rPr>
        <w:t xml:space="preserve">, </w:t>
      </w:r>
      <w:r>
        <w:rPr>
          <w:color w:val="231F20"/>
          <w:w w:val="110"/>
          <w:sz w:val="16"/>
        </w:rPr>
        <w:t>85–86</w:t>
      </w:r>
      <w:r>
        <w:rPr>
          <w:i/>
          <w:color w:val="231F20"/>
          <w:w w:val="110"/>
          <w:sz w:val="16"/>
        </w:rPr>
        <w:t xml:space="preserve">, </w:t>
      </w:r>
      <w:r>
        <w:rPr>
          <w:color w:val="231F20"/>
          <w:w w:val="110"/>
          <w:sz w:val="16"/>
        </w:rPr>
        <w:t>362</w:t>
      </w:r>
      <w:r>
        <w:rPr>
          <w:i/>
          <w:color w:val="231F20"/>
          <w:w w:val="110"/>
          <w:sz w:val="16"/>
        </w:rPr>
        <w:t xml:space="preserve">, </w:t>
      </w:r>
      <w:r>
        <w:rPr>
          <w:color w:val="231F20"/>
          <w:w w:val="110"/>
          <w:sz w:val="16"/>
        </w:rPr>
        <w:t>584</w:t>
      </w:r>
      <w:r>
        <w:rPr>
          <w:i/>
          <w:color w:val="231F20"/>
          <w:w w:val="110"/>
          <w:sz w:val="16"/>
        </w:rPr>
        <w:t xml:space="preserve">, </w:t>
      </w:r>
      <w:r>
        <w:rPr>
          <w:color w:val="231F20"/>
          <w:w w:val="110"/>
          <w:sz w:val="16"/>
        </w:rPr>
        <w:t>586</w:t>
      </w:r>
      <w:r>
        <w:rPr>
          <w:i/>
          <w:color w:val="231F20"/>
          <w:w w:val="110"/>
          <w:sz w:val="16"/>
        </w:rPr>
        <w:t xml:space="preserve">, </w:t>
      </w:r>
      <w:r>
        <w:rPr>
          <w:color w:val="231F20"/>
          <w:w w:val="110"/>
          <w:sz w:val="16"/>
        </w:rPr>
        <w:t>589</w:t>
      </w:r>
      <w:r>
        <w:rPr>
          <w:i/>
          <w:color w:val="231F20"/>
          <w:w w:val="110"/>
          <w:sz w:val="16"/>
        </w:rPr>
        <w:t xml:space="preserve">, </w:t>
      </w:r>
      <w:r>
        <w:rPr>
          <w:color w:val="231F20"/>
          <w:w w:val="110"/>
          <w:sz w:val="16"/>
        </w:rPr>
        <w:t>594</w:t>
      </w:r>
      <w:r>
        <w:rPr>
          <w:i/>
          <w:color w:val="231F20"/>
          <w:w w:val="110"/>
          <w:sz w:val="16"/>
        </w:rPr>
        <w:t>,</w:t>
      </w:r>
    </w:p>
    <w:p w14:paraId="77433292" w14:textId="77777777" w:rsidR="002653E8" w:rsidRDefault="003115E3">
      <w:pPr>
        <w:spacing w:before="32"/>
        <w:ind w:left="1347"/>
        <w:rPr>
          <w:i/>
          <w:sz w:val="16"/>
        </w:rPr>
      </w:pPr>
      <w:r>
        <w:rPr>
          <w:color w:val="231F20"/>
          <w:w w:val="105"/>
          <w:sz w:val="16"/>
        </w:rPr>
        <w:t>595; trip to Jordan (1970) 56</w:t>
      </w:r>
      <w:r>
        <w:rPr>
          <w:i/>
          <w:color w:val="231F20"/>
          <w:w w:val="105"/>
          <w:sz w:val="16"/>
        </w:rPr>
        <w:t xml:space="preserve">, </w:t>
      </w:r>
      <w:r>
        <w:rPr>
          <w:color w:val="231F20"/>
          <w:w w:val="105"/>
          <w:sz w:val="16"/>
        </w:rPr>
        <w:t>57</w:t>
      </w:r>
      <w:r>
        <w:rPr>
          <w:i/>
          <w:color w:val="231F20"/>
          <w:w w:val="105"/>
          <w:sz w:val="16"/>
        </w:rPr>
        <w:t xml:space="preserve">, </w:t>
      </w:r>
      <w:r>
        <w:rPr>
          <w:color w:val="231F20"/>
          <w:w w:val="105"/>
          <w:sz w:val="16"/>
        </w:rPr>
        <w:t>84</w:t>
      </w:r>
      <w:r>
        <w:rPr>
          <w:i/>
          <w:color w:val="231F20"/>
          <w:w w:val="105"/>
          <w:sz w:val="16"/>
        </w:rPr>
        <w:t>,</w:t>
      </w:r>
    </w:p>
    <w:p w14:paraId="67F804DF" w14:textId="77777777" w:rsidR="002653E8" w:rsidRDefault="003115E3">
      <w:pPr>
        <w:spacing w:before="32"/>
        <w:ind w:left="1347"/>
        <w:rPr>
          <w:sz w:val="16"/>
        </w:rPr>
      </w:pPr>
      <w:r>
        <w:rPr>
          <w:color w:val="231F20"/>
          <w:sz w:val="16"/>
        </w:rPr>
        <w:t>118</w:t>
      </w:r>
      <w:r>
        <w:rPr>
          <w:i/>
          <w:color w:val="231F20"/>
          <w:sz w:val="16"/>
        </w:rPr>
        <w:t xml:space="preserve">, </w:t>
      </w:r>
      <w:r>
        <w:rPr>
          <w:color w:val="231F20"/>
          <w:sz w:val="16"/>
        </w:rPr>
        <w:t>120</w:t>
      </w:r>
      <w:r>
        <w:rPr>
          <w:i/>
          <w:color w:val="231F20"/>
          <w:sz w:val="16"/>
        </w:rPr>
        <w:t xml:space="preserve">, </w:t>
      </w:r>
      <w:r>
        <w:rPr>
          <w:color w:val="231F20"/>
          <w:sz w:val="16"/>
        </w:rPr>
        <w:t>557</w:t>
      </w:r>
      <w:r>
        <w:rPr>
          <w:i/>
          <w:color w:val="231F20"/>
          <w:sz w:val="16"/>
        </w:rPr>
        <w:t xml:space="preserve">, </w:t>
      </w:r>
      <w:r>
        <w:rPr>
          <w:color w:val="231F20"/>
          <w:sz w:val="16"/>
        </w:rPr>
        <w:t>584; triple coup bank</w:t>
      </w:r>
    </w:p>
    <w:p w14:paraId="30DFC657" w14:textId="77777777" w:rsidR="002653E8" w:rsidRDefault="003115E3">
      <w:pPr>
        <w:spacing w:before="33"/>
        <w:ind w:left="1347"/>
        <w:rPr>
          <w:sz w:val="16"/>
        </w:rPr>
      </w:pPr>
      <w:r>
        <w:rPr>
          <w:color w:val="231F20"/>
          <w:sz w:val="16"/>
        </w:rPr>
        <w:t>robberies (1970) 59</w:t>
      </w:r>
      <w:r>
        <w:rPr>
          <w:i/>
          <w:color w:val="231F20"/>
          <w:sz w:val="16"/>
        </w:rPr>
        <w:t xml:space="preserve">, </w:t>
      </w:r>
      <w:r>
        <w:rPr>
          <w:color w:val="231F20"/>
          <w:sz w:val="16"/>
        </w:rPr>
        <w:t>585; Kaiserslau-</w:t>
      </w:r>
    </w:p>
    <w:p w14:paraId="13C8BD97" w14:textId="77777777" w:rsidR="002653E8" w:rsidRDefault="003115E3">
      <w:pPr>
        <w:spacing w:before="32" w:line="280" w:lineRule="auto"/>
        <w:ind w:left="1347" w:right="277"/>
        <w:rPr>
          <w:sz w:val="16"/>
        </w:rPr>
      </w:pPr>
      <w:r>
        <w:rPr>
          <w:color w:val="231F20"/>
          <w:sz w:val="16"/>
        </w:rPr>
        <w:t>tern bank robbery (1971) 112</w:t>
      </w:r>
      <w:r>
        <w:rPr>
          <w:i/>
          <w:color w:val="231F20"/>
          <w:sz w:val="16"/>
        </w:rPr>
        <w:t xml:space="preserve">, </w:t>
      </w:r>
      <w:r>
        <w:rPr>
          <w:color w:val="231F20"/>
          <w:sz w:val="16"/>
        </w:rPr>
        <w:t>352</w:t>
      </w:r>
      <w:r>
        <w:rPr>
          <w:i/>
          <w:color w:val="231F20"/>
          <w:sz w:val="16"/>
        </w:rPr>
        <w:t xml:space="preserve">, </w:t>
      </w:r>
      <w:r>
        <w:rPr>
          <w:color w:val="231F20"/>
          <w:sz w:val="16"/>
        </w:rPr>
        <w:t>588; Ludwigshafen bank robbery (1972)   589; May Offensive (1972)</w:t>
      </w:r>
    </w:p>
    <w:p w14:paraId="171E165C" w14:textId="77777777" w:rsidR="002653E8" w:rsidRDefault="003115E3">
      <w:pPr>
        <w:spacing w:before="2"/>
        <w:ind w:left="1347"/>
        <w:rPr>
          <w:i/>
          <w:sz w:val="16"/>
        </w:rPr>
      </w:pPr>
      <w:r>
        <w:rPr>
          <w:color w:val="231F20"/>
          <w:w w:val="105"/>
          <w:sz w:val="16"/>
        </w:rPr>
        <w:t>163–167</w:t>
      </w:r>
      <w:r>
        <w:rPr>
          <w:i/>
          <w:color w:val="231F20"/>
          <w:w w:val="105"/>
          <w:sz w:val="16"/>
        </w:rPr>
        <w:t xml:space="preserve">, </w:t>
      </w:r>
      <w:r>
        <w:rPr>
          <w:color w:val="231F20"/>
          <w:w w:val="105"/>
          <w:sz w:val="16"/>
        </w:rPr>
        <w:t>169</w:t>
      </w:r>
      <w:r>
        <w:rPr>
          <w:i/>
          <w:color w:val="231F20"/>
          <w:w w:val="105"/>
          <w:sz w:val="16"/>
        </w:rPr>
        <w:t xml:space="preserve">, </w:t>
      </w:r>
      <w:r>
        <w:rPr>
          <w:color w:val="231F20"/>
          <w:w w:val="105"/>
          <w:sz w:val="16"/>
        </w:rPr>
        <w:t>172</w:t>
      </w:r>
      <w:r>
        <w:rPr>
          <w:i/>
          <w:color w:val="231F20"/>
          <w:w w:val="105"/>
          <w:sz w:val="16"/>
        </w:rPr>
        <w:t xml:space="preserve">, </w:t>
      </w:r>
      <w:r>
        <w:rPr>
          <w:color w:val="231F20"/>
          <w:w w:val="105"/>
          <w:sz w:val="16"/>
        </w:rPr>
        <w:t>200</w:t>
      </w:r>
      <w:r>
        <w:rPr>
          <w:i/>
          <w:color w:val="231F20"/>
          <w:w w:val="105"/>
          <w:sz w:val="16"/>
        </w:rPr>
        <w:t xml:space="preserve">, </w:t>
      </w:r>
      <w:r>
        <w:rPr>
          <w:color w:val="231F20"/>
          <w:w w:val="105"/>
          <w:sz w:val="16"/>
        </w:rPr>
        <w:t>357–358</w:t>
      </w:r>
      <w:r>
        <w:rPr>
          <w:i/>
          <w:color w:val="231F20"/>
          <w:w w:val="105"/>
          <w:sz w:val="16"/>
        </w:rPr>
        <w:t>,</w:t>
      </w:r>
    </w:p>
    <w:p w14:paraId="784C8C5A" w14:textId="77777777" w:rsidR="002653E8" w:rsidRDefault="003115E3">
      <w:pPr>
        <w:spacing w:before="32" w:line="280" w:lineRule="auto"/>
        <w:ind w:left="1347"/>
        <w:rPr>
          <w:i/>
          <w:sz w:val="16"/>
        </w:rPr>
      </w:pPr>
      <w:r>
        <w:rPr>
          <w:color w:val="231F20"/>
          <w:w w:val="105"/>
          <w:sz w:val="16"/>
        </w:rPr>
        <w:t>591</w:t>
      </w:r>
      <w:r>
        <w:rPr>
          <w:i/>
          <w:color w:val="231F20"/>
          <w:w w:val="105"/>
          <w:sz w:val="16"/>
        </w:rPr>
        <w:t xml:space="preserve">, </w:t>
      </w:r>
      <w:r>
        <w:rPr>
          <w:color w:val="231F20"/>
          <w:w w:val="105"/>
          <w:sz w:val="16"/>
        </w:rPr>
        <w:t>612; attack on U.S. Army V Corps (1972) 163–164</w:t>
      </w:r>
      <w:r>
        <w:rPr>
          <w:i/>
          <w:color w:val="231F20"/>
          <w:w w:val="105"/>
          <w:sz w:val="16"/>
        </w:rPr>
        <w:t xml:space="preserve">, </w:t>
      </w:r>
      <w:r>
        <w:rPr>
          <w:color w:val="231F20"/>
          <w:w w:val="105"/>
          <w:sz w:val="16"/>
        </w:rPr>
        <w:t>166</w:t>
      </w:r>
      <w:r>
        <w:rPr>
          <w:i/>
          <w:color w:val="231F20"/>
          <w:w w:val="105"/>
          <w:sz w:val="16"/>
        </w:rPr>
        <w:t xml:space="preserve">, </w:t>
      </w:r>
      <w:r>
        <w:rPr>
          <w:color w:val="231F20"/>
          <w:w w:val="105"/>
          <w:sz w:val="16"/>
        </w:rPr>
        <w:t>174</w:t>
      </w:r>
      <w:r>
        <w:rPr>
          <w:i/>
          <w:color w:val="231F20"/>
          <w:w w:val="105"/>
          <w:sz w:val="16"/>
        </w:rPr>
        <w:t xml:space="preserve">, </w:t>
      </w:r>
      <w:r>
        <w:rPr>
          <w:color w:val="231F20"/>
          <w:w w:val="105"/>
          <w:sz w:val="16"/>
        </w:rPr>
        <w:t>315</w:t>
      </w:r>
      <w:r>
        <w:rPr>
          <w:i/>
          <w:color w:val="231F20"/>
          <w:w w:val="105"/>
          <w:sz w:val="16"/>
        </w:rPr>
        <w:t xml:space="preserve">, </w:t>
      </w:r>
      <w:r>
        <w:rPr>
          <w:color w:val="231F20"/>
          <w:w w:val="105"/>
          <w:sz w:val="16"/>
        </w:rPr>
        <w:t>491</w:t>
      </w:r>
      <w:r>
        <w:rPr>
          <w:i/>
          <w:color w:val="231F20"/>
          <w:w w:val="105"/>
          <w:sz w:val="16"/>
        </w:rPr>
        <w:t>,</w:t>
      </w:r>
    </w:p>
    <w:p w14:paraId="2BB15D18" w14:textId="77777777" w:rsidR="002653E8" w:rsidRDefault="003115E3">
      <w:pPr>
        <w:spacing w:before="1" w:line="280" w:lineRule="auto"/>
        <w:ind w:left="1347"/>
        <w:rPr>
          <w:sz w:val="16"/>
        </w:rPr>
      </w:pPr>
      <w:r>
        <w:rPr>
          <w:color w:val="231F20"/>
          <w:sz w:val="16"/>
        </w:rPr>
        <w:t>590; attacks in Augsburg and Munich (1972) 164</w:t>
      </w:r>
      <w:r>
        <w:rPr>
          <w:i/>
          <w:color w:val="231F20"/>
          <w:sz w:val="16"/>
        </w:rPr>
        <w:t xml:space="preserve">, </w:t>
      </w:r>
      <w:r>
        <w:rPr>
          <w:color w:val="231F20"/>
          <w:sz w:val="16"/>
        </w:rPr>
        <w:t>175</w:t>
      </w:r>
      <w:r>
        <w:rPr>
          <w:i/>
          <w:color w:val="231F20"/>
          <w:sz w:val="16"/>
        </w:rPr>
        <w:t xml:space="preserve">, </w:t>
      </w:r>
      <w:r>
        <w:rPr>
          <w:color w:val="231F20"/>
          <w:sz w:val="16"/>
        </w:rPr>
        <w:t>179; attempted Bud-</w:t>
      </w:r>
    </w:p>
    <w:p w14:paraId="4E4D3A0F" w14:textId="77777777" w:rsidR="002653E8" w:rsidRDefault="003115E3">
      <w:pPr>
        <w:spacing w:before="1"/>
        <w:ind w:left="1347"/>
        <w:rPr>
          <w:i/>
          <w:sz w:val="16"/>
        </w:rPr>
      </w:pPr>
      <w:r>
        <w:rPr>
          <w:color w:val="231F20"/>
          <w:sz w:val="16"/>
        </w:rPr>
        <w:t>denberg assassination (1972) 165</w:t>
      </w:r>
      <w:r>
        <w:rPr>
          <w:i/>
          <w:color w:val="231F20"/>
          <w:sz w:val="16"/>
        </w:rPr>
        <w:t xml:space="preserve">, </w:t>
      </w:r>
      <w:r>
        <w:rPr>
          <w:color w:val="231F20"/>
          <w:sz w:val="16"/>
        </w:rPr>
        <w:t>166</w:t>
      </w:r>
      <w:r>
        <w:rPr>
          <w:i/>
          <w:color w:val="231F20"/>
          <w:sz w:val="16"/>
        </w:rPr>
        <w:t>,</w:t>
      </w:r>
    </w:p>
    <w:p w14:paraId="03B93136" w14:textId="77777777" w:rsidR="002653E8" w:rsidRDefault="003115E3">
      <w:pPr>
        <w:spacing w:before="33"/>
        <w:ind w:left="1347"/>
        <w:rPr>
          <w:sz w:val="16"/>
        </w:rPr>
      </w:pPr>
      <w:r>
        <w:rPr>
          <w:color w:val="231F20"/>
          <w:sz w:val="16"/>
        </w:rPr>
        <w:t>176</w:t>
      </w:r>
      <w:r>
        <w:rPr>
          <w:i/>
          <w:color w:val="231F20"/>
          <w:sz w:val="16"/>
        </w:rPr>
        <w:t xml:space="preserve">, </w:t>
      </w:r>
      <w:r>
        <w:rPr>
          <w:color w:val="231F20"/>
          <w:sz w:val="16"/>
        </w:rPr>
        <w:t>590; attack on Springer  Building</w:t>
      </w:r>
    </w:p>
    <w:p w14:paraId="72A19D56" w14:textId="77777777" w:rsidR="002653E8" w:rsidRDefault="003115E3">
      <w:pPr>
        <w:spacing w:before="32"/>
        <w:ind w:left="1347"/>
        <w:rPr>
          <w:i/>
          <w:sz w:val="16"/>
        </w:rPr>
      </w:pPr>
      <w:r>
        <w:rPr>
          <w:color w:val="231F20"/>
          <w:w w:val="110"/>
          <w:sz w:val="16"/>
        </w:rPr>
        <w:t>(1972) 165</w:t>
      </w:r>
      <w:r>
        <w:rPr>
          <w:i/>
          <w:color w:val="231F20"/>
          <w:w w:val="110"/>
          <w:sz w:val="16"/>
        </w:rPr>
        <w:t xml:space="preserve">, </w:t>
      </w:r>
      <w:r>
        <w:rPr>
          <w:color w:val="231F20"/>
          <w:w w:val="110"/>
          <w:sz w:val="16"/>
        </w:rPr>
        <w:t>168</w:t>
      </w:r>
      <w:r>
        <w:rPr>
          <w:i/>
          <w:color w:val="231F20"/>
          <w:w w:val="110"/>
          <w:sz w:val="16"/>
        </w:rPr>
        <w:t xml:space="preserve">, </w:t>
      </w:r>
      <w:r>
        <w:rPr>
          <w:color w:val="231F20"/>
          <w:w w:val="110"/>
          <w:sz w:val="16"/>
        </w:rPr>
        <w:t>177</w:t>
      </w:r>
      <w:r>
        <w:rPr>
          <w:i/>
          <w:color w:val="231F20"/>
          <w:w w:val="110"/>
          <w:sz w:val="16"/>
        </w:rPr>
        <w:t xml:space="preserve">, </w:t>
      </w:r>
      <w:r>
        <w:rPr>
          <w:color w:val="231F20"/>
          <w:w w:val="110"/>
          <w:sz w:val="16"/>
        </w:rPr>
        <w:t>179</w:t>
      </w:r>
      <w:r>
        <w:rPr>
          <w:i/>
          <w:color w:val="231F20"/>
          <w:w w:val="110"/>
          <w:sz w:val="16"/>
        </w:rPr>
        <w:t xml:space="preserve">, </w:t>
      </w:r>
      <w:r>
        <w:rPr>
          <w:color w:val="231F20"/>
          <w:w w:val="110"/>
          <w:sz w:val="16"/>
        </w:rPr>
        <w:t>183</w:t>
      </w:r>
      <w:r>
        <w:rPr>
          <w:i/>
          <w:color w:val="231F20"/>
          <w:w w:val="110"/>
          <w:sz w:val="16"/>
        </w:rPr>
        <w:t xml:space="preserve">, </w:t>
      </w:r>
      <w:r>
        <w:rPr>
          <w:color w:val="231F20"/>
          <w:w w:val="110"/>
          <w:sz w:val="16"/>
        </w:rPr>
        <w:t>326</w:t>
      </w:r>
      <w:r>
        <w:rPr>
          <w:i/>
          <w:color w:val="231F20"/>
          <w:w w:val="110"/>
          <w:sz w:val="16"/>
        </w:rPr>
        <w:t>,</w:t>
      </w:r>
    </w:p>
    <w:p w14:paraId="3D1DD957" w14:textId="77777777" w:rsidR="002653E8" w:rsidRDefault="003115E3">
      <w:pPr>
        <w:spacing w:before="33"/>
        <w:ind w:left="1347"/>
        <w:rPr>
          <w:sz w:val="16"/>
        </w:rPr>
      </w:pPr>
      <w:r>
        <w:rPr>
          <w:color w:val="231F20"/>
          <w:w w:val="105"/>
          <w:sz w:val="16"/>
        </w:rPr>
        <w:t>357–358</w:t>
      </w:r>
      <w:r>
        <w:rPr>
          <w:i/>
          <w:color w:val="231F20"/>
          <w:w w:val="105"/>
          <w:sz w:val="16"/>
        </w:rPr>
        <w:t xml:space="preserve">, </w:t>
      </w:r>
      <w:r>
        <w:rPr>
          <w:color w:val="231F20"/>
          <w:w w:val="105"/>
          <w:sz w:val="16"/>
        </w:rPr>
        <w:t>392</w:t>
      </w:r>
      <w:r>
        <w:rPr>
          <w:i/>
          <w:color w:val="231F20"/>
          <w:w w:val="105"/>
          <w:sz w:val="16"/>
        </w:rPr>
        <w:t xml:space="preserve">, </w:t>
      </w:r>
      <w:r>
        <w:rPr>
          <w:color w:val="231F20"/>
          <w:w w:val="105"/>
          <w:sz w:val="16"/>
        </w:rPr>
        <w:t>422</w:t>
      </w:r>
      <w:r>
        <w:rPr>
          <w:i/>
          <w:color w:val="231F20"/>
          <w:w w:val="105"/>
          <w:sz w:val="16"/>
        </w:rPr>
        <w:t xml:space="preserve">, </w:t>
      </w:r>
      <w:r>
        <w:rPr>
          <w:color w:val="231F20"/>
          <w:w w:val="105"/>
          <w:sz w:val="16"/>
        </w:rPr>
        <w:t>590; attack on</w:t>
      </w:r>
    </w:p>
    <w:p w14:paraId="3D27A411" w14:textId="77777777" w:rsidR="002653E8" w:rsidRDefault="003115E3">
      <w:pPr>
        <w:spacing w:before="32"/>
        <w:ind w:left="1347"/>
        <w:rPr>
          <w:sz w:val="16"/>
        </w:rPr>
      </w:pPr>
      <w:r>
        <w:rPr>
          <w:color w:val="231F20"/>
          <w:sz w:val="16"/>
        </w:rPr>
        <w:t>USAREUR  in  Heidelberg  (1972)  165–</w:t>
      </w:r>
    </w:p>
    <w:p w14:paraId="34CDE243" w14:textId="77777777" w:rsidR="002653E8" w:rsidRDefault="003115E3">
      <w:pPr>
        <w:spacing w:before="32"/>
        <w:ind w:left="1347"/>
        <w:rPr>
          <w:sz w:val="16"/>
        </w:rPr>
      </w:pPr>
      <w:r>
        <w:rPr>
          <w:color w:val="231F20"/>
          <w:sz w:val="16"/>
        </w:rPr>
        <w:t>166</w:t>
      </w:r>
      <w:r>
        <w:rPr>
          <w:i/>
          <w:color w:val="231F20"/>
          <w:sz w:val="16"/>
        </w:rPr>
        <w:t xml:space="preserve">, </w:t>
      </w:r>
      <w:r>
        <w:rPr>
          <w:color w:val="231F20"/>
          <w:sz w:val="16"/>
        </w:rPr>
        <w:t>178</w:t>
      </w:r>
      <w:r>
        <w:rPr>
          <w:i/>
          <w:color w:val="231F20"/>
          <w:sz w:val="16"/>
        </w:rPr>
        <w:t xml:space="preserve">, </w:t>
      </w:r>
      <w:r>
        <w:rPr>
          <w:color w:val="231F20"/>
          <w:sz w:val="16"/>
        </w:rPr>
        <w:t>315</w:t>
      </w:r>
      <w:r>
        <w:rPr>
          <w:i/>
          <w:color w:val="231F20"/>
          <w:sz w:val="16"/>
        </w:rPr>
        <w:t xml:space="preserve">, </w:t>
      </w:r>
      <w:r>
        <w:rPr>
          <w:color w:val="231F20"/>
          <w:sz w:val="16"/>
        </w:rPr>
        <w:t>491</w:t>
      </w:r>
      <w:r>
        <w:rPr>
          <w:i/>
          <w:color w:val="231F20"/>
          <w:sz w:val="16"/>
        </w:rPr>
        <w:t xml:space="preserve">, </w:t>
      </w:r>
      <w:r>
        <w:rPr>
          <w:color w:val="231F20"/>
          <w:sz w:val="16"/>
        </w:rPr>
        <w:t>590; arrests (June/</w:t>
      </w:r>
    </w:p>
    <w:p w14:paraId="596E061F" w14:textId="77777777" w:rsidR="002653E8" w:rsidRDefault="003115E3">
      <w:pPr>
        <w:spacing w:before="33"/>
        <w:ind w:left="1347"/>
        <w:rPr>
          <w:sz w:val="16"/>
        </w:rPr>
      </w:pPr>
      <w:r>
        <w:rPr>
          <w:color w:val="231F20"/>
          <w:sz w:val="16"/>
        </w:rPr>
        <w:t>July 1972) 170–172</w:t>
      </w:r>
      <w:r>
        <w:rPr>
          <w:i/>
          <w:color w:val="231F20"/>
          <w:sz w:val="16"/>
        </w:rPr>
        <w:t xml:space="preserve">, </w:t>
      </w:r>
      <w:r>
        <w:rPr>
          <w:color w:val="231F20"/>
          <w:sz w:val="16"/>
        </w:rPr>
        <w:t>591; activities</w:t>
      </w:r>
    </w:p>
    <w:p w14:paraId="6CEDAEAC" w14:textId="77777777" w:rsidR="002653E8" w:rsidRDefault="003115E3">
      <w:pPr>
        <w:spacing w:before="32"/>
        <w:ind w:left="1347"/>
        <w:rPr>
          <w:sz w:val="16"/>
        </w:rPr>
      </w:pPr>
      <w:r>
        <w:rPr>
          <w:color w:val="231F20"/>
          <w:sz w:val="16"/>
        </w:rPr>
        <w:t>1972-1974 325</w:t>
      </w:r>
      <w:r>
        <w:rPr>
          <w:i/>
          <w:color w:val="231F20"/>
          <w:sz w:val="16"/>
        </w:rPr>
        <w:t xml:space="preserve">, </w:t>
      </w:r>
      <w:r>
        <w:rPr>
          <w:color w:val="231F20"/>
          <w:sz w:val="16"/>
        </w:rPr>
        <w:t>593; arrests (February</w:t>
      </w:r>
    </w:p>
    <w:p w14:paraId="7552ED66" w14:textId="77777777" w:rsidR="002653E8" w:rsidRDefault="003115E3">
      <w:pPr>
        <w:spacing w:before="33"/>
        <w:ind w:left="1347"/>
        <w:rPr>
          <w:sz w:val="16"/>
        </w:rPr>
      </w:pPr>
      <w:r>
        <w:rPr>
          <w:color w:val="231F20"/>
          <w:w w:val="105"/>
          <w:sz w:val="16"/>
        </w:rPr>
        <w:t>4, 1974) 325–326</w:t>
      </w:r>
      <w:r>
        <w:rPr>
          <w:i/>
          <w:color w:val="231F20"/>
          <w:w w:val="105"/>
          <w:sz w:val="16"/>
        </w:rPr>
        <w:t xml:space="preserve">, </w:t>
      </w:r>
      <w:r>
        <w:rPr>
          <w:color w:val="231F20"/>
          <w:w w:val="105"/>
          <w:sz w:val="16"/>
        </w:rPr>
        <w:t>332</w:t>
      </w:r>
      <w:r>
        <w:rPr>
          <w:i/>
          <w:color w:val="231F20"/>
          <w:w w:val="105"/>
          <w:sz w:val="16"/>
        </w:rPr>
        <w:t xml:space="preserve">, </w:t>
      </w:r>
      <w:r>
        <w:rPr>
          <w:color w:val="231F20"/>
          <w:w w:val="105"/>
          <w:sz w:val="16"/>
        </w:rPr>
        <w:t>594; activities</w:t>
      </w:r>
    </w:p>
    <w:p w14:paraId="096A5812" w14:textId="77777777" w:rsidR="002653E8" w:rsidRDefault="003115E3">
      <w:pPr>
        <w:spacing w:before="32"/>
        <w:ind w:left="1347"/>
        <w:rPr>
          <w:i/>
          <w:sz w:val="16"/>
        </w:rPr>
      </w:pPr>
      <w:r>
        <w:rPr>
          <w:color w:val="231F20"/>
          <w:w w:val="105"/>
          <w:sz w:val="16"/>
        </w:rPr>
        <w:t>in 1975 268</w:t>
      </w:r>
      <w:r>
        <w:rPr>
          <w:i/>
          <w:color w:val="231F20"/>
          <w:w w:val="105"/>
          <w:sz w:val="16"/>
        </w:rPr>
        <w:t xml:space="preserve">, </w:t>
      </w:r>
      <w:r>
        <w:rPr>
          <w:color w:val="231F20"/>
          <w:w w:val="105"/>
          <w:sz w:val="16"/>
        </w:rPr>
        <w:t>332–335</w:t>
      </w:r>
      <w:r>
        <w:rPr>
          <w:i/>
          <w:color w:val="231F20"/>
          <w:w w:val="105"/>
          <w:sz w:val="16"/>
        </w:rPr>
        <w:t xml:space="preserve">, </w:t>
      </w:r>
      <w:r>
        <w:rPr>
          <w:color w:val="231F20"/>
          <w:w w:val="105"/>
          <w:sz w:val="16"/>
        </w:rPr>
        <w:t>336–337</w:t>
      </w:r>
      <w:r>
        <w:rPr>
          <w:i/>
          <w:color w:val="231F20"/>
          <w:w w:val="105"/>
          <w:sz w:val="16"/>
        </w:rPr>
        <w:t xml:space="preserve">, </w:t>
      </w:r>
      <w:r>
        <w:rPr>
          <w:color w:val="231F20"/>
          <w:w w:val="105"/>
          <w:sz w:val="16"/>
        </w:rPr>
        <w:t>596</w:t>
      </w:r>
      <w:r>
        <w:rPr>
          <w:i/>
          <w:color w:val="231F20"/>
          <w:w w:val="105"/>
          <w:sz w:val="16"/>
        </w:rPr>
        <w:t>,</w:t>
      </w:r>
    </w:p>
    <w:p w14:paraId="4FC16150" w14:textId="77777777" w:rsidR="002653E8" w:rsidRDefault="003115E3">
      <w:pPr>
        <w:spacing w:before="33" w:line="280" w:lineRule="auto"/>
        <w:ind w:left="1347"/>
        <w:rPr>
          <w:i/>
          <w:sz w:val="16"/>
        </w:rPr>
      </w:pPr>
      <w:r>
        <w:rPr>
          <w:color w:val="231F20"/>
          <w:w w:val="105"/>
          <w:sz w:val="16"/>
        </w:rPr>
        <w:t>597; Stockholm Embassy Occupation (1975) 332–336</w:t>
      </w:r>
      <w:r>
        <w:rPr>
          <w:i/>
          <w:color w:val="231F20"/>
          <w:w w:val="105"/>
          <w:sz w:val="16"/>
        </w:rPr>
        <w:t xml:space="preserve">, </w:t>
      </w:r>
      <w:r>
        <w:rPr>
          <w:color w:val="231F20"/>
          <w:w w:val="105"/>
          <w:sz w:val="16"/>
        </w:rPr>
        <w:t>339–340</w:t>
      </w:r>
      <w:r>
        <w:rPr>
          <w:i/>
          <w:color w:val="231F20"/>
          <w:w w:val="105"/>
          <w:sz w:val="16"/>
        </w:rPr>
        <w:t xml:space="preserve">, </w:t>
      </w:r>
      <w:r>
        <w:rPr>
          <w:color w:val="231F20"/>
          <w:w w:val="105"/>
          <w:sz w:val="16"/>
        </w:rPr>
        <w:t>429</w:t>
      </w:r>
      <w:r>
        <w:rPr>
          <w:i/>
          <w:color w:val="231F20"/>
          <w:w w:val="105"/>
          <w:sz w:val="16"/>
        </w:rPr>
        <w:t xml:space="preserve">, </w:t>
      </w:r>
      <w:r>
        <w:rPr>
          <w:color w:val="231F20"/>
          <w:w w:val="105"/>
          <w:sz w:val="16"/>
        </w:rPr>
        <w:t>455</w:t>
      </w:r>
      <w:r>
        <w:rPr>
          <w:i/>
          <w:color w:val="231F20"/>
          <w:w w:val="105"/>
          <w:sz w:val="16"/>
        </w:rPr>
        <w:t>,</w:t>
      </w:r>
    </w:p>
    <w:p w14:paraId="48BF0B6F" w14:textId="77777777" w:rsidR="002653E8" w:rsidRDefault="003115E3">
      <w:pPr>
        <w:spacing w:before="1"/>
        <w:ind w:left="1347"/>
        <w:rPr>
          <w:i/>
          <w:sz w:val="16"/>
        </w:rPr>
      </w:pPr>
      <w:r>
        <w:rPr>
          <w:color w:val="231F20"/>
          <w:w w:val="110"/>
          <w:sz w:val="16"/>
        </w:rPr>
        <w:t>458</w:t>
      </w:r>
      <w:r>
        <w:rPr>
          <w:i/>
          <w:color w:val="231F20"/>
          <w:w w:val="110"/>
          <w:sz w:val="16"/>
        </w:rPr>
        <w:t xml:space="preserve">, </w:t>
      </w:r>
      <w:r>
        <w:rPr>
          <w:color w:val="231F20"/>
          <w:w w:val="110"/>
          <w:sz w:val="16"/>
        </w:rPr>
        <w:t>462</w:t>
      </w:r>
      <w:r>
        <w:rPr>
          <w:i/>
          <w:color w:val="231F20"/>
          <w:w w:val="110"/>
          <w:sz w:val="16"/>
        </w:rPr>
        <w:t xml:space="preserve">, </w:t>
      </w:r>
      <w:r>
        <w:rPr>
          <w:color w:val="231F20"/>
          <w:w w:val="110"/>
          <w:sz w:val="16"/>
        </w:rPr>
        <w:t>474</w:t>
      </w:r>
      <w:r>
        <w:rPr>
          <w:i/>
          <w:color w:val="231F20"/>
          <w:w w:val="110"/>
          <w:sz w:val="16"/>
        </w:rPr>
        <w:t xml:space="preserve">, </w:t>
      </w:r>
      <w:r>
        <w:rPr>
          <w:color w:val="231F20"/>
          <w:w w:val="110"/>
          <w:sz w:val="16"/>
        </w:rPr>
        <w:t>479</w:t>
      </w:r>
      <w:r>
        <w:rPr>
          <w:i/>
          <w:color w:val="231F20"/>
          <w:w w:val="110"/>
          <w:sz w:val="16"/>
        </w:rPr>
        <w:t xml:space="preserve">, </w:t>
      </w:r>
      <w:r>
        <w:rPr>
          <w:color w:val="231F20"/>
          <w:w w:val="110"/>
          <w:sz w:val="16"/>
        </w:rPr>
        <w:t>488</w:t>
      </w:r>
      <w:r>
        <w:rPr>
          <w:i/>
          <w:color w:val="231F20"/>
          <w:w w:val="110"/>
          <w:sz w:val="16"/>
        </w:rPr>
        <w:t xml:space="preserve">, </w:t>
      </w:r>
      <w:r>
        <w:rPr>
          <w:color w:val="231F20"/>
          <w:w w:val="110"/>
          <w:sz w:val="16"/>
        </w:rPr>
        <w:t>490</w:t>
      </w:r>
      <w:r>
        <w:rPr>
          <w:i/>
          <w:color w:val="231F20"/>
          <w:w w:val="110"/>
          <w:sz w:val="16"/>
        </w:rPr>
        <w:t xml:space="preserve">, </w:t>
      </w:r>
      <w:r>
        <w:rPr>
          <w:color w:val="231F20"/>
          <w:w w:val="110"/>
          <w:sz w:val="16"/>
        </w:rPr>
        <w:t>499</w:t>
      </w:r>
      <w:r>
        <w:rPr>
          <w:i/>
          <w:color w:val="231F20"/>
          <w:w w:val="110"/>
          <w:sz w:val="16"/>
        </w:rPr>
        <w:t>,</w:t>
      </w:r>
    </w:p>
    <w:p w14:paraId="64268534" w14:textId="77777777" w:rsidR="002653E8" w:rsidRDefault="003115E3">
      <w:pPr>
        <w:spacing w:before="32"/>
        <w:ind w:left="1347"/>
        <w:rPr>
          <w:sz w:val="16"/>
        </w:rPr>
      </w:pPr>
      <w:r>
        <w:rPr>
          <w:color w:val="231F20"/>
          <w:w w:val="105"/>
          <w:sz w:val="16"/>
        </w:rPr>
        <w:t>597</w:t>
      </w:r>
      <w:r>
        <w:rPr>
          <w:i/>
          <w:color w:val="231F20"/>
          <w:w w:val="105"/>
          <w:sz w:val="16"/>
        </w:rPr>
        <w:t xml:space="preserve">, </w:t>
      </w:r>
      <w:r>
        <w:rPr>
          <w:color w:val="231F20"/>
          <w:w w:val="105"/>
          <w:sz w:val="16"/>
        </w:rPr>
        <w:t>598</w:t>
      </w:r>
      <w:r>
        <w:rPr>
          <w:i/>
          <w:color w:val="231F20"/>
          <w:w w:val="105"/>
          <w:sz w:val="16"/>
        </w:rPr>
        <w:t xml:space="preserve">, </w:t>
      </w:r>
      <w:r>
        <w:rPr>
          <w:color w:val="231F20"/>
          <w:w w:val="105"/>
          <w:sz w:val="16"/>
        </w:rPr>
        <w:t>604</w:t>
      </w:r>
      <w:r>
        <w:rPr>
          <w:i/>
          <w:color w:val="231F20"/>
          <w:w w:val="105"/>
          <w:sz w:val="16"/>
        </w:rPr>
        <w:t xml:space="preserve">, </w:t>
      </w:r>
      <w:r>
        <w:rPr>
          <w:color w:val="231F20"/>
          <w:w w:val="105"/>
          <w:sz w:val="16"/>
        </w:rPr>
        <w:t>606; activities 1975-</w:t>
      </w:r>
    </w:p>
    <w:p w14:paraId="34D0FA9A" w14:textId="77777777" w:rsidR="002653E8" w:rsidRDefault="003115E3">
      <w:pPr>
        <w:spacing w:before="32"/>
        <w:ind w:left="1347"/>
        <w:rPr>
          <w:i/>
          <w:sz w:val="16"/>
        </w:rPr>
      </w:pPr>
      <w:r>
        <w:rPr>
          <w:color w:val="231F20"/>
          <w:w w:val="105"/>
          <w:sz w:val="16"/>
        </w:rPr>
        <w:t>6 337</w:t>
      </w:r>
      <w:r>
        <w:rPr>
          <w:i/>
          <w:color w:val="231F20"/>
          <w:w w:val="105"/>
          <w:sz w:val="16"/>
        </w:rPr>
        <w:t xml:space="preserve">, </w:t>
      </w:r>
      <w:r>
        <w:rPr>
          <w:color w:val="231F20"/>
          <w:w w:val="105"/>
          <w:sz w:val="16"/>
        </w:rPr>
        <w:t>349</w:t>
      </w:r>
      <w:r>
        <w:rPr>
          <w:i/>
          <w:color w:val="231F20"/>
          <w:w w:val="105"/>
          <w:sz w:val="16"/>
        </w:rPr>
        <w:t xml:space="preserve">, </w:t>
      </w:r>
      <w:r>
        <w:rPr>
          <w:color w:val="231F20"/>
          <w:w w:val="105"/>
          <w:sz w:val="16"/>
        </w:rPr>
        <w:t>450–452</w:t>
      </w:r>
      <w:r>
        <w:rPr>
          <w:i/>
          <w:color w:val="231F20"/>
          <w:w w:val="105"/>
          <w:sz w:val="16"/>
        </w:rPr>
        <w:t xml:space="preserve">, </w:t>
      </w:r>
      <w:r>
        <w:rPr>
          <w:color w:val="231F20"/>
          <w:w w:val="105"/>
          <w:sz w:val="16"/>
        </w:rPr>
        <w:t>453–455</w:t>
      </w:r>
      <w:r>
        <w:rPr>
          <w:i/>
          <w:color w:val="231F20"/>
          <w:w w:val="105"/>
          <w:sz w:val="16"/>
        </w:rPr>
        <w:t xml:space="preserve">, </w:t>
      </w:r>
      <w:r>
        <w:rPr>
          <w:color w:val="231F20"/>
          <w:w w:val="105"/>
          <w:sz w:val="16"/>
        </w:rPr>
        <w:t>597</w:t>
      </w:r>
      <w:r>
        <w:rPr>
          <w:i/>
          <w:color w:val="231F20"/>
          <w:w w:val="105"/>
          <w:sz w:val="16"/>
        </w:rPr>
        <w:t>,</w:t>
      </w:r>
    </w:p>
    <w:p w14:paraId="502AB033" w14:textId="77777777" w:rsidR="002653E8" w:rsidRDefault="003115E3">
      <w:pPr>
        <w:spacing w:before="33"/>
        <w:ind w:left="1347"/>
        <w:rPr>
          <w:i/>
          <w:sz w:val="16"/>
        </w:rPr>
      </w:pPr>
      <w:r>
        <w:rPr>
          <w:color w:val="231F20"/>
          <w:w w:val="105"/>
          <w:sz w:val="16"/>
        </w:rPr>
        <w:t>598</w:t>
      </w:r>
      <w:r>
        <w:rPr>
          <w:i/>
          <w:color w:val="231F20"/>
          <w:w w:val="105"/>
          <w:sz w:val="16"/>
        </w:rPr>
        <w:t xml:space="preserve">, </w:t>
      </w:r>
      <w:r>
        <w:rPr>
          <w:color w:val="231F20"/>
          <w:w w:val="105"/>
          <w:sz w:val="16"/>
        </w:rPr>
        <w:t>600</w:t>
      </w:r>
      <w:r>
        <w:rPr>
          <w:i/>
          <w:color w:val="231F20"/>
          <w:w w:val="105"/>
          <w:sz w:val="16"/>
        </w:rPr>
        <w:t xml:space="preserve">, </w:t>
      </w:r>
      <w:r>
        <w:rPr>
          <w:color w:val="231F20"/>
          <w:w w:val="105"/>
          <w:sz w:val="16"/>
        </w:rPr>
        <w:t>602; 1977 offensive 469</w:t>
      </w:r>
      <w:r>
        <w:rPr>
          <w:i/>
          <w:color w:val="231F20"/>
          <w:w w:val="105"/>
          <w:sz w:val="16"/>
        </w:rPr>
        <w:t>,</w:t>
      </w:r>
    </w:p>
    <w:p w14:paraId="10B66E98" w14:textId="77777777" w:rsidR="002653E8" w:rsidRDefault="003115E3">
      <w:pPr>
        <w:spacing w:before="32"/>
        <w:ind w:left="1347"/>
        <w:rPr>
          <w:i/>
          <w:sz w:val="16"/>
        </w:rPr>
      </w:pPr>
      <w:r>
        <w:rPr>
          <w:color w:val="231F20"/>
          <w:w w:val="105"/>
          <w:sz w:val="16"/>
        </w:rPr>
        <w:t>470–471</w:t>
      </w:r>
      <w:r>
        <w:rPr>
          <w:i/>
          <w:color w:val="231F20"/>
          <w:w w:val="105"/>
          <w:sz w:val="16"/>
        </w:rPr>
        <w:t xml:space="preserve">, </w:t>
      </w:r>
      <w:r>
        <w:rPr>
          <w:color w:val="231F20"/>
          <w:w w:val="105"/>
          <w:sz w:val="16"/>
        </w:rPr>
        <w:t>472</w:t>
      </w:r>
      <w:r>
        <w:rPr>
          <w:i/>
          <w:color w:val="231F20"/>
          <w:w w:val="105"/>
          <w:sz w:val="16"/>
        </w:rPr>
        <w:t xml:space="preserve">, </w:t>
      </w:r>
      <w:r>
        <w:rPr>
          <w:color w:val="231F20"/>
          <w:w w:val="105"/>
          <w:sz w:val="16"/>
        </w:rPr>
        <w:t>474</w:t>
      </w:r>
      <w:r>
        <w:rPr>
          <w:i/>
          <w:color w:val="231F20"/>
          <w:w w:val="105"/>
          <w:sz w:val="16"/>
        </w:rPr>
        <w:t xml:space="preserve">, </w:t>
      </w:r>
      <w:r>
        <w:rPr>
          <w:color w:val="231F20"/>
          <w:w w:val="105"/>
          <w:sz w:val="16"/>
        </w:rPr>
        <w:t>475–478</w:t>
      </w:r>
      <w:r>
        <w:rPr>
          <w:i/>
          <w:color w:val="231F20"/>
          <w:w w:val="105"/>
          <w:sz w:val="16"/>
        </w:rPr>
        <w:t xml:space="preserve">, </w:t>
      </w:r>
      <w:r>
        <w:rPr>
          <w:color w:val="231F20"/>
          <w:w w:val="105"/>
          <w:sz w:val="16"/>
        </w:rPr>
        <w:t>479</w:t>
      </w:r>
      <w:r>
        <w:rPr>
          <w:i/>
          <w:color w:val="231F20"/>
          <w:w w:val="105"/>
          <w:sz w:val="16"/>
        </w:rPr>
        <w:t>,</w:t>
      </w:r>
    </w:p>
    <w:p w14:paraId="41BD7D6F" w14:textId="77777777" w:rsidR="002653E8" w:rsidRDefault="003115E3">
      <w:pPr>
        <w:spacing w:before="33"/>
        <w:ind w:left="1347"/>
        <w:rPr>
          <w:sz w:val="16"/>
        </w:rPr>
      </w:pPr>
      <w:r>
        <w:rPr>
          <w:color w:val="231F20"/>
          <w:w w:val="105"/>
          <w:sz w:val="16"/>
        </w:rPr>
        <w:t>481–486</w:t>
      </w:r>
      <w:r>
        <w:rPr>
          <w:i/>
          <w:color w:val="231F20"/>
          <w:w w:val="105"/>
          <w:sz w:val="16"/>
        </w:rPr>
        <w:t xml:space="preserve">, </w:t>
      </w:r>
      <w:r>
        <w:rPr>
          <w:color w:val="231F20"/>
          <w:w w:val="105"/>
          <w:sz w:val="16"/>
        </w:rPr>
        <w:t>604</w:t>
      </w:r>
      <w:r>
        <w:rPr>
          <w:i/>
          <w:color w:val="231F20"/>
          <w:w w:val="105"/>
          <w:sz w:val="16"/>
        </w:rPr>
        <w:t xml:space="preserve">, </w:t>
      </w:r>
      <w:r>
        <w:rPr>
          <w:color w:val="231F20"/>
          <w:w w:val="105"/>
          <w:sz w:val="16"/>
        </w:rPr>
        <w:t>605</w:t>
      </w:r>
      <w:r>
        <w:rPr>
          <w:i/>
          <w:color w:val="231F20"/>
          <w:w w:val="105"/>
          <w:sz w:val="16"/>
        </w:rPr>
        <w:t xml:space="preserve">, </w:t>
      </w:r>
      <w:r>
        <w:rPr>
          <w:color w:val="231F20"/>
          <w:w w:val="105"/>
          <w:sz w:val="16"/>
        </w:rPr>
        <w:t>607</w:t>
      </w:r>
      <w:r>
        <w:rPr>
          <w:i/>
          <w:color w:val="231F20"/>
          <w:w w:val="105"/>
          <w:sz w:val="16"/>
        </w:rPr>
        <w:t xml:space="preserve">, </w:t>
      </w:r>
      <w:r>
        <w:rPr>
          <w:color w:val="231F20"/>
          <w:w w:val="105"/>
          <w:sz w:val="16"/>
        </w:rPr>
        <w:t>608</w:t>
      </w:r>
      <w:r>
        <w:rPr>
          <w:i/>
          <w:color w:val="231F20"/>
          <w:w w:val="105"/>
          <w:sz w:val="16"/>
        </w:rPr>
        <w:t xml:space="preserve">, </w:t>
      </w:r>
      <w:r>
        <w:rPr>
          <w:color w:val="231F20"/>
          <w:w w:val="105"/>
          <w:sz w:val="16"/>
        </w:rPr>
        <w:t>617;</w:t>
      </w:r>
    </w:p>
    <w:p w14:paraId="1D81D85A" w14:textId="77777777" w:rsidR="002653E8" w:rsidRDefault="003115E3">
      <w:pPr>
        <w:spacing w:before="32"/>
        <w:ind w:left="1347"/>
        <w:rPr>
          <w:i/>
          <w:sz w:val="16"/>
        </w:rPr>
      </w:pPr>
      <w:r>
        <w:rPr>
          <w:color w:val="231F20"/>
          <w:sz w:val="16"/>
        </w:rPr>
        <w:t>Buback assassination (1977) 470–471</w:t>
      </w:r>
      <w:r>
        <w:rPr>
          <w:i/>
          <w:color w:val="231F20"/>
          <w:sz w:val="16"/>
        </w:rPr>
        <w:t>,</w:t>
      </w:r>
    </w:p>
    <w:p w14:paraId="1955C40C" w14:textId="77777777" w:rsidR="002653E8" w:rsidRDefault="003115E3">
      <w:pPr>
        <w:spacing w:before="33"/>
        <w:ind w:left="1347"/>
        <w:rPr>
          <w:sz w:val="16"/>
        </w:rPr>
      </w:pPr>
      <w:r>
        <w:rPr>
          <w:color w:val="231F20"/>
          <w:w w:val="105"/>
          <w:sz w:val="16"/>
        </w:rPr>
        <w:t>473</w:t>
      </w:r>
      <w:r>
        <w:rPr>
          <w:i/>
          <w:color w:val="231F20"/>
          <w:w w:val="105"/>
          <w:sz w:val="16"/>
        </w:rPr>
        <w:t xml:space="preserve">, </w:t>
      </w:r>
      <w:r>
        <w:rPr>
          <w:color w:val="231F20"/>
          <w:w w:val="105"/>
          <w:sz w:val="16"/>
        </w:rPr>
        <w:t>490–492</w:t>
      </w:r>
      <w:r>
        <w:rPr>
          <w:i/>
          <w:color w:val="231F20"/>
          <w:w w:val="105"/>
          <w:sz w:val="16"/>
        </w:rPr>
        <w:t xml:space="preserve">, </w:t>
      </w:r>
      <w:r>
        <w:rPr>
          <w:color w:val="231F20"/>
          <w:w w:val="105"/>
          <w:sz w:val="16"/>
        </w:rPr>
        <w:t>604</w:t>
      </w:r>
      <w:r>
        <w:rPr>
          <w:i/>
          <w:color w:val="231F20"/>
          <w:w w:val="105"/>
          <w:sz w:val="16"/>
        </w:rPr>
        <w:t xml:space="preserve">, </w:t>
      </w:r>
      <w:r>
        <w:rPr>
          <w:color w:val="231F20"/>
          <w:w w:val="105"/>
          <w:sz w:val="16"/>
        </w:rPr>
        <w:t>615</w:t>
      </w:r>
      <w:r>
        <w:rPr>
          <w:i/>
          <w:color w:val="231F20"/>
          <w:w w:val="105"/>
          <w:sz w:val="16"/>
        </w:rPr>
        <w:t xml:space="preserve">, </w:t>
      </w:r>
      <w:r>
        <w:rPr>
          <w:color w:val="231F20"/>
          <w:w w:val="105"/>
          <w:sz w:val="16"/>
        </w:rPr>
        <w:t>627; Ponto</w:t>
      </w:r>
    </w:p>
    <w:p w14:paraId="0A4EC18D" w14:textId="77777777" w:rsidR="002653E8" w:rsidRDefault="003115E3">
      <w:pPr>
        <w:spacing w:before="32"/>
        <w:ind w:left="1347"/>
        <w:rPr>
          <w:i/>
          <w:sz w:val="16"/>
        </w:rPr>
      </w:pPr>
      <w:r>
        <w:rPr>
          <w:color w:val="231F20"/>
          <w:w w:val="105"/>
          <w:sz w:val="16"/>
        </w:rPr>
        <w:t>assassination (1977) 474</w:t>
      </w:r>
      <w:r>
        <w:rPr>
          <w:i/>
          <w:color w:val="231F20"/>
          <w:w w:val="105"/>
          <w:sz w:val="16"/>
        </w:rPr>
        <w:t xml:space="preserve">, </w:t>
      </w:r>
      <w:r>
        <w:rPr>
          <w:color w:val="231F20"/>
          <w:w w:val="105"/>
          <w:sz w:val="16"/>
        </w:rPr>
        <w:t>476</w:t>
      </w:r>
      <w:r>
        <w:rPr>
          <w:i/>
          <w:color w:val="231F20"/>
          <w:w w:val="105"/>
          <w:sz w:val="16"/>
        </w:rPr>
        <w:t xml:space="preserve">, </w:t>
      </w:r>
      <w:r>
        <w:rPr>
          <w:color w:val="231F20"/>
          <w:w w:val="105"/>
          <w:sz w:val="16"/>
        </w:rPr>
        <w:t>478</w:t>
      </w:r>
      <w:r>
        <w:rPr>
          <w:i/>
          <w:color w:val="231F20"/>
          <w:w w:val="105"/>
          <w:sz w:val="16"/>
        </w:rPr>
        <w:t>,</w:t>
      </w:r>
    </w:p>
    <w:p w14:paraId="0A63F2C0" w14:textId="77777777" w:rsidR="002653E8" w:rsidRDefault="003115E3">
      <w:pPr>
        <w:spacing w:before="32"/>
        <w:ind w:left="1347"/>
        <w:rPr>
          <w:sz w:val="16"/>
        </w:rPr>
      </w:pPr>
      <w:r>
        <w:rPr>
          <w:color w:val="231F20"/>
          <w:w w:val="105"/>
          <w:sz w:val="16"/>
        </w:rPr>
        <w:t>494</w:t>
      </w:r>
      <w:r>
        <w:rPr>
          <w:i/>
          <w:color w:val="231F20"/>
          <w:w w:val="105"/>
          <w:sz w:val="16"/>
        </w:rPr>
        <w:t xml:space="preserve">, </w:t>
      </w:r>
      <w:r>
        <w:rPr>
          <w:color w:val="231F20"/>
          <w:w w:val="105"/>
          <w:sz w:val="16"/>
        </w:rPr>
        <w:t>495</w:t>
      </w:r>
      <w:r>
        <w:rPr>
          <w:i/>
          <w:color w:val="231F20"/>
          <w:w w:val="105"/>
          <w:sz w:val="16"/>
        </w:rPr>
        <w:t xml:space="preserve">, </w:t>
      </w:r>
      <w:r>
        <w:rPr>
          <w:color w:val="231F20"/>
          <w:w w:val="105"/>
          <w:sz w:val="16"/>
        </w:rPr>
        <w:t>615; attack on the BAW</w:t>
      </w:r>
    </w:p>
    <w:p w14:paraId="37646FE4" w14:textId="77777777" w:rsidR="002653E8" w:rsidRDefault="003115E3">
      <w:pPr>
        <w:spacing w:before="33"/>
        <w:ind w:left="1347"/>
        <w:rPr>
          <w:i/>
          <w:sz w:val="16"/>
        </w:rPr>
      </w:pPr>
      <w:r>
        <w:rPr>
          <w:color w:val="231F20"/>
          <w:w w:val="105"/>
          <w:sz w:val="16"/>
        </w:rPr>
        <w:t>(1977) 475–476</w:t>
      </w:r>
      <w:r>
        <w:rPr>
          <w:i/>
          <w:color w:val="231F20"/>
          <w:w w:val="105"/>
          <w:sz w:val="16"/>
        </w:rPr>
        <w:t xml:space="preserve">, </w:t>
      </w:r>
      <w:r>
        <w:rPr>
          <w:color w:val="231F20"/>
          <w:w w:val="105"/>
          <w:sz w:val="16"/>
        </w:rPr>
        <w:t>495</w:t>
      </w:r>
      <w:r>
        <w:rPr>
          <w:i/>
          <w:color w:val="231F20"/>
          <w:w w:val="105"/>
          <w:sz w:val="16"/>
        </w:rPr>
        <w:t xml:space="preserve">, </w:t>
      </w:r>
      <w:r>
        <w:rPr>
          <w:color w:val="231F20"/>
          <w:w w:val="105"/>
          <w:sz w:val="16"/>
        </w:rPr>
        <w:t>496–497</w:t>
      </w:r>
      <w:r>
        <w:rPr>
          <w:i/>
          <w:color w:val="231F20"/>
          <w:w w:val="105"/>
          <w:sz w:val="16"/>
        </w:rPr>
        <w:t>,</w:t>
      </w:r>
    </w:p>
    <w:p w14:paraId="232543E3" w14:textId="77777777" w:rsidR="002653E8" w:rsidRDefault="003115E3">
      <w:pPr>
        <w:spacing w:before="32" w:line="280" w:lineRule="auto"/>
        <w:ind w:left="1347"/>
        <w:rPr>
          <w:i/>
          <w:sz w:val="16"/>
        </w:rPr>
      </w:pPr>
      <w:r>
        <w:rPr>
          <w:color w:val="231F20"/>
          <w:sz w:val="16"/>
        </w:rPr>
        <w:t>607; kidnapping of Hanns Martin Schleyer (1977) 476–481</w:t>
      </w:r>
      <w:r>
        <w:rPr>
          <w:i/>
          <w:color w:val="231F20"/>
          <w:sz w:val="16"/>
        </w:rPr>
        <w:t xml:space="preserve">, </w:t>
      </w:r>
      <w:r>
        <w:rPr>
          <w:color w:val="231F20"/>
          <w:sz w:val="16"/>
        </w:rPr>
        <w:t>484</w:t>
      </w:r>
      <w:r>
        <w:rPr>
          <w:i/>
          <w:color w:val="231F20"/>
          <w:sz w:val="16"/>
        </w:rPr>
        <w:t xml:space="preserve">, </w:t>
      </w:r>
      <w:r>
        <w:rPr>
          <w:color w:val="231F20"/>
          <w:sz w:val="16"/>
        </w:rPr>
        <w:t>486</w:t>
      </w:r>
      <w:r>
        <w:rPr>
          <w:i/>
          <w:color w:val="231F20"/>
          <w:sz w:val="16"/>
        </w:rPr>
        <w:t>,</w:t>
      </w:r>
    </w:p>
    <w:p w14:paraId="67AA2EEF" w14:textId="77777777" w:rsidR="002653E8" w:rsidRDefault="003115E3">
      <w:pPr>
        <w:spacing w:before="1"/>
        <w:ind w:left="1347"/>
        <w:rPr>
          <w:i/>
          <w:sz w:val="16"/>
        </w:rPr>
      </w:pPr>
      <w:r>
        <w:rPr>
          <w:color w:val="231F20"/>
          <w:w w:val="105"/>
          <w:sz w:val="16"/>
        </w:rPr>
        <w:t>498–502</w:t>
      </w:r>
      <w:r>
        <w:rPr>
          <w:i/>
          <w:color w:val="231F20"/>
          <w:w w:val="105"/>
          <w:sz w:val="16"/>
        </w:rPr>
        <w:t xml:space="preserve">, </w:t>
      </w:r>
      <w:r>
        <w:rPr>
          <w:color w:val="231F20"/>
          <w:w w:val="105"/>
          <w:sz w:val="16"/>
        </w:rPr>
        <w:t>607</w:t>
      </w:r>
      <w:r>
        <w:rPr>
          <w:i/>
          <w:color w:val="231F20"/>
          <w:w w:val="105"/>
          <w:sz w:val="16"/>
        </w:rPr>
        <w:t xml:space="preserve">, </w:t>
      </w:r>
      <w:r>
        <w:rPr>
          <w:color w:val="231F20"/>
          <w:w w:val="105"/>
          <w:sz w:val="16"/>
        </w:rPr>
        <w:t>608</w:t>
      </w:r>
      <w:r>
        <w:rPr>
          <w:i/>
          <w:color w:val="231F20"/>
          <w:w w:val="105"/>
          <w:sz w:val="16"/>
        </w:rPr>
        <w:t xml:space="preserve">, </w:t>
      </w:r>
      <w:r>
        <w:rPr>
          <w:color w:val="231F20"/>
          <w:w w:val="105"/>
          <w:sz w:val="16"/>
        </w:rPr>
        <w:t>610</w:t>
      </w:r>
      <w:r>
        <w:rPr>
          <w:i/>
          <w:color w:val="231F20"/>
          <w:w w:val="105"/>
          <w:sz w:val="16"/>
        </w:rPr>
        <w:t xml:space="preserve">, </w:t>
      </w:r>
      <w:r>
        <w:rPr>
          <w:color w:val="231F20"/>
          <w:w w:val="105"/>
          <w:sz w:val="16"/>
        </w:rPr>
        <w:t>614</w:t>
      </w:r>
      <w:r>
        <w:rPr>
          <w:i/>
          <w:color w:val="231F20"/>
          <w:w w:val="105"/>
          <w:sz w:val="16"/>
        </w:rPr>
        <w:t xml:space="preserve">, </w:t>
      </w:r>
      <w:r>
        <w:rPr>
          <w:color w:val="231F20"/>
          <w:w w:val="105"/>
          <w:sz w:val="16"/>
        </w:rPr>
        <w:t>617</w:t>
      </w:r>
      <w:r>
        <w:rPr>
          <w:i/>
          <w:color w:val="231F20"/>
          <w:w w:val="105"/>
          <w:sz w:val="16"/>
        </w:rPr>
        <w:t>,</w:t>
      </w:r>
    </w:p>
    <w:p w14:paraId="06D76E01" w14:textId="77777777" w:rsidR="002653E8" w:rsidRDefault="003115E3">
      <w:pPr>
        <w:spacing w:before="33"/>
        <w:ind w:left="1347"/>
        <w:rPr>
          <w:sz w:val="16"/>
        </w:rPr>
      </w:pPr>
      <w:r>
        <w:rPr>
          <w:color w:val="231F20"/>
          <w:sz w:val="16"/>
        </w:rPr>
        <w:t>625</w:t>
      </w:r>
      <w:r>
        <w:rPr>
          <w:i/>
          <w:color w:val="231F20"/>
          <w:sz w:val="16"/>
        </w:rPr>
        <w:t xml:space="preserve">, </w:t>
      </w:r>
      <w:r>
        <w:rPr>
          <w:color w:val="231F20"/>
          <w:sz w:val="16"/>
        </w:rPr>
        <w:t>627; activities after the Stam-</w:t>
      </w:r>
    </w:p>
    <w:p w14:paraId="11A3D46A" w14:textId="77777777" w:rsidR="002653E8" w:rsidRDefault="003115E3">
      <w:pPr>
        <w:spacing w:before="32"/>
        <w:ind w:left="1347"/>
        <w:rPr>
          <w:i/>
          <w:sz w:val="16"/>
        </w:rPr>
      </w:pPr>
      <w:r>
        <w:rPr>
          <w:color w:val="231F20"/>
          <w:w w:val="105"/>
          <w:sz w:val="16"/>
        </w:rPr>
        <w:t>mheim deaths 526–531</w:t>
      </w:r>
      <w:r>
        <w:rPr>
          <w:i/>
          <w:color w:val="231F20"/>
          <w:w w:val="105"/>
          <w:sz w:val="16"/>
        </w:rPr>
        <w:t xml:space="preserve">, </w:t>
      </w:r>
      <w:r>
        <w:rPr>
          <w:color w:val="231F20"/>
          <w:w w:val="105"/>
          <w:sz w:val="16"/>
        </w:rPr>
        <w:t>541</w:t>
      </w:r>
      <w:r>
        <w:rPr>
          <w:i/>
          <w:color w:val="231F20"/>
          <w:w w:val="105"/>
          <w:sz w:val="16"/>
        </w:rPr>
        <w:t xml:space="preserve">, </w:t>
      </w:r>
      <w:r>
        <w:rPr>
          <w:color w:val="231F20"/>
          <w:w w:val="105"/>
          <w:sz w:val="16"/>
        </w:rPr>
        <w:t>609</w:t>
      </w:r>
      <w:r>
        <w:rPr>
          <w:i/>
          <w:color w:val="231F20"/>
          <w:w w:val="105"/>
          <w:sz w:val="16"/>
        </w:rPr>
        <w:t>,</w:t>
      </w:r>
    </w:p>
    <w:p w14:paraId="551894E3" w14:textId="77777777" w:rsidR="002653E8" w:rsidRDefault="003115E3">
      <w:pPr>
        <w:spacing w:before="33"/>
        <w:ind w:left="1347"/>
        <w:rPr>
          <w:i/>
          <w:sz w:val="16"/>
        </w:rPr>
      </w:pPr>
      <w:r>
        <w:rPr>
          <w:color w:val="231F20"/>
          <w:w w:val="110"/>
          <w:sz w:val="16"/>
        </w:rPr>
        <w:t>611</w:t>
      </w:r>
      <w:r>
        <w:rPr>
          <w:i/>
          <w:color w:val="231F20"/>
          <w:w w:val="110"/>
          <w:sz w:val="16"/>
        </w:rPr>
        <w:t xml:space="preserve">, </w:t>
      </w:r>
      <w:r>
        <w:rPr>
          <w:color w:val="231F20"/>
          <w:w w:val="110"/>
          <w:sz w:val="16"/>
        </w:rPr>
        <w:t>612</w:t>
      </w:r>
      <w:r>
        <w:rPr>
          <w:i/>
          <w:color w:val="231F20"/>
          <w:w w:val="110"/>
          <w:sz w:val="16"/>
        </w:rPr>
        <w:t xml:space="preserve">, </w:t>
      </w:r>
      <w:r>
        <w:rPr>
          <w:color w:val="231F20"/>
          <w:w w:val="110"/>
          <w:sz w:val="16"/>
        </w:rPr>
        <w:t>613</w:t>
      </w:r>
      <w:r>
        <w:rPr>
          <w:i/>
          <w:color w:val="231F20"/>
          <w:w w:val="110"/>
          <w:sz w:val="16"/>
        </w:rPr>
        <w:t xml:space="preserve">, </w:t>
      </w:r>
      <w:r>
        <w:rPr>
          <w:color w:val="231F20"/>
          <w:w w:val="110"/>
          <w:sz w:val="16"/>
        </w:rPr>
        <w:t>614</w:t>
      </w:r>
      <w:r>
        <w:rPr>
          <w:i/>
          <w:color w:val="231F20"/>
          <w:w w:val="110"/>
          <w:sz w:val="16"/>
        </w:rPr>
        <w:t xml:space="preserve">, </w:t>
      </w:r>
      <w:r>
        <w:rPr>
          <w:color w:val="231F20"/>
          <w:w w:val="110"/>
          <w:sz w:val="16"/>
        </w:rPr>
        <w:t>615</w:t>
      </w:r>
      <w:r>
        <w:rPr>
          <w:i/>
          <w:color w:val="231F20"/>
          <w:w w:val="110"/>
          <w:sz w:val="16"/>
        </w:rPr>
        <w:t xml:space="preserve">, </w:t>
      </w:r>
      <w:r>
        <w:rPr>
          <w:color w:val="231F20"/>
          <w:w w:val="110"/>
          <w:sz w:val="16"/>
        </w:rPr>
        <w:t>616</w:t>
      </w:r>
      <w:r>
        <w:rPr>
          <w:i/>
          <w:color w:val="231F20"/>
          <w:w w:val="110"/>
          <w:sz w:val="16"/>
        </w:rPr>
        <w:t xml:space="preserve">, </w:t>
      </w:r>
      <w:r>
        <w:rPr>
          <w:color w:val="231F20"/>
          <w:w w:val="110"/>
          <w:sz w:val="16"/>
        </w:rPr>
        <w:t>617</w:t>
      </w:r>
      <w:r>
        <w:rPr>
          <w:i/>
          <w:color w:val="231F20"/>
          <w:w w:val="110"/>
          <w:sz w:val="16"/>
        </w:rPr>
        <w:t>,</w:t>
      </w:r>
    </w:p>
    <w:p w14:paraId="2B14B304" w14:textId="77777777" w:rsidR="002653E8" w:rsidRDefault="003115E3">
      <w:pPr>
        <w:spacing w:before="32"/>
        <w:ind w:left="1347"/>
        <w:rPr>
          <w:sz w:val="16"/>
        </w:rPr>
      </w:pPr>
      <w:r>
        <w:rPr>
          <w:color w:val="231F20"/>
          <w:w w:val="110"/>
          <w:sz w:val="16"/>
        </w:rPr>
        <w:t>618</w:t>
      </w:r>
      <w:r>
        <w:rPr>
          <w:i/>
          <w:color w:val="231F20"/>
          <w:w w:val="110"/>
          <w:sz w:val="16"/>
        </w:rPr>
        <w:t>,</w:t>
      </w:r>
      <w:r>
        <w:rPr>
          <w:i/>
          <w:color w:val="231F20"/>
          <w:spacing w:val="-17"/>
          <w:w w:val="110"/>
          <w:sz w:val="16"/>
        </w:rPr>
        <w:t xml:space="preserve"> </w:t>
      </w:r>
      <w:r>
        <w:rPr>
          <w:color w:val="231F20"/>
          <w:w w:val="110"/>
          <w:sz w:val="16"/>
        </w:rPr>
        <w:t>619</w:t>
      </w:r>
      <w:r>
        <w:rPr>
          <w:i/>
          <w:color w:val="231F20"/>
          <w:w w:val="110"/>
          <w:sz w:val="16"/>
        </w:rPr>
        <w:t>,</w:t>
      </w:r>
      <w:r>
        <w:rPr>
          <w:i/>
          <w:color w:val="231F20"/>
          <w:spacing w:val="-17"/>
          <w:w w:val="110"/>
          <w:sz w:val="16"/>
        </w:rPr>
        <w:t xml:space="preserve"> </w:t>
      </w:r>
      <w:r>
        <w:rPr>
          <w:color w:val="231F20"/>
          <w:w w:val="110"/>
          <w:sz w:val="16"/>
        </w:rPr>
        <w:t>621</w:t>
      </w:r>
      <w:r>
        <w:rPr>
          <w:i/>
          <w:color w:val="231F20"/>
          <w:w w:val="110"/>
          <w:sz w:val="16"/>
        </w:rPr>
        <w:t>,</w:t>
      </w:r>
      <w:r>
        <w:rPr>
          <w:i/>
          <w:color w:val="231F20"/>
          <w:spacing w:val="-17"/>
          <w:w w:val="110"/>
          <w:sz w:val="16"/>
        </w:rPr>
        <w:t xml:space="preserve"> </w:t>
      </w:r>
      <w:r>
        <w:rPr>
          <w:color w:val="231F20"/>
          <w:w w:val="110"/>
          <w:sz w:val="16"/>
        </w:rPr>
        <w:t>623</w:t>
      </w:r>
      <w:r>
        <w:rPr>
          <w:i/>
          <w:color w:val="231F20"/>
          <w:w w:val="110"/>
          <w:sz w:val="16"/>
        </w:rPr>
        <w:t>,</w:t>
      </w:r>
      <w:r>
        <w:rPr>
          <w:i/>
          <w:color w:val="231F20"/>
          <w:spacing w:val="-17"/>
          <w:w w:val="110"/>
          <w:sz w:val="16"/>
        </w:rPr>
        <w:t xml:space="preserve"> </w:t>
      </w:r>
      <w:r>
        <w:rPr>
          <w:color w:val="231F20"/>
          <w:w w:val="110"/>
          <w:sz w:val="16"/>
        </w:rPr>
        <w:t>626;</w:t>
      </w:r>
      <w:r>
        <w:rPr>
          <w:color w:val="231F20"/>
          <w:spacing w:val="-14"/>
          <w:w w:val="110"/>
          <w:sz w:val="16"/>
        </w:rPr>
        <w:t xml:space="preserve"> </w:t>
      </w:r>
      <w:r>
        <w:rPr>
          <w:color w:val="231F20"/>
          <w:w w:val="110"/>
          <w:sz w:val="16"/>
        </w:rPr>
        <w:t>attack</w:t>
      </w:r>
      <w:r>
        <w:rPr>
          <w:color w:val="231F20"/>
          <w:spacing w:val="-14"/>
          <w:w w:val="110"/>
          <w:sz w:val="16"/>
        </w:rPr>
        <w:t xml:space="preserve"> </w:t>
      </w:r>
      <w:r>
        <w:rPr>
          <w:color w:val="231F20"/>
          <w:w w:val="110"/>
          <w:sz w:val="16"/>
        </w:rPr>
        <w:t>on</w:t>
      </w:r>
      <w:r>
        <w:rPr>
          <w:color w:val="231F20"/>
          <w:spacing w:val="-14"/>
          <w:w w:val="110"/>
          <w:sz w:val="16"/>
        </w:rPr>
        <w:t xml:space="preserve"> </w:t>
      </w:r>
      <w:r>
        <w:rPr>
          <w:color w:val="231F20"/>
          <w:w w:val="110"/>
          <w:sz w:val="16"/>
        </w:rPr>
        <w:t>U.S.</w:t>
      </w:r>
    </w:p>
    <w:p w14:paraId="54245F2B" w14:textId="77777777" w:rsidR="002653E8" w:rsidRDefault="003115E3">
      <w:pPr>
        <w:spacing w:before="32"/>
        <w:ind w:left="1347"/>
        <w:rPr>
          <w:sz w:val="16"/>
        </w:rPr>
      </w:pPr>
      <w:r>
        <w:rPr>
          <w:color w:val="231F20"/>
          <w:sz w:val="16"/>
        </w:rPr>
        <w:t>Air Force in Ramstein (1981) 614;</w:t>
      </w:r>
    </w:p>
    <w:p w14:paraId="1263CFBD" w14:textId="77777777" w:rsidR="002653E8" w:rsidRDefault="003115E3">
      <w:pPr>
        <w:spacing w:before="86" w:line="280" w:lineRule="auto"/>
        <w:ind w:left="434" w:right="1412"/>
        <w:rPr>
          <w:sz w:val="16"/>
        </w:rPr>
      </w:pPr>
      <w:r>
        <w:br w:type="column"/>
      </w:r>
      <w:r>
        <w:rPr>
          <w:color w:val="231F20"/>
          <w:sz w:val="16"/>
        </w:rPr>
        <w:t>attempted assasination of U.S. General Frederick Kroesen (1981) 614</w:t>
      </w:r>
      <w:r>
        <w:rPr>
          <w:i/>
          <w:color w:val="231F20"/>
          <w:sz w:val="16"/>
        </w:rPr>
        <w:t xml:space="preserve">, </w:t>
      </w:r>
      <w:r>
        <w:rPr>
          <w:color w:val="231F20"/>
          <w:sz w:val="16"/>
        </w:rPr>
        <w:t>624; attempted bombing of SHAPE School (1984) 616; Zimmerman assassina-</w:t>
      </w:r>
    </w:p>
    <w:p w14:paraId="1A253458" w14:textId="77777777" w:rsidR="002653E8" w:rsidRDefault="003115E3">
      <w:pPr>
        <w:spacing w:before="2"/>
        <w:ind w:left="434"/>
        <w:rPr>
          <w:sz w:val="16"/>
        </w:rPr>
      </w:pPr>
      <w:r>
        <w:rPr>
          <w:color w:val="231F20"/>
          <w:sz w:val="16"/>
        </w:rPr>
        <w:t>tion (1985) 617; Rhein-Main Air Base</w:t>
      </w:r>
    </w:p>
    <w:p w14:paraId="2055CDAA" w14:textId="77777777" w:rsidR="002653E8" w:rsidRDefault="003115E3">
      <w:pPr>
        <w:spacing w:before="33"/>
        <w:ind w:left="434"/>
        <w:rPr>
          <w:sz w:val="16"/>
        </w:rPr>
      </w:pPr>
      <w:r>
        <w:rPr>
          <w:color w:val="231F20"/>
          <w:sz w:val="16"/>
        </w:rPr>
        <w:t>bombing (1985) 617–618; Beckurts</w:t>
      </w:r>
    </w:p>
    <w:p w14:paraId="16BFC75B" w14:textId="77777777" w:rsidR="002653E8" w:rsidRDefault="003115E3">
      <w:pPr>
        <w:spacing w:before="32"/>
        <w:ind w:left="434"/>
        <w:rPr>
          <w:sz w:val="16"/>
        </w:rPr>
      </w:pPr>
      <w:r>
        <w:rPr>
          <w:color w:val="231F20"/>
          <w:sz w:val="16"/>
        </w:rPr>
        <w:t>assassination (1986) 618; Braunmühl</w:t>
      </w:r>
    </w:p>
    <w:p w14:paraId="564FA44E" w14:textId="77777777" w:rsidR="002653E8" w:rsidRDefault="003115E3">
      <w:pPr>
        <w:spacing w:before="33"/>
        <w:ind w:left="434"/>
        <w:rPr>
          <w:sz w:val="16"/>
        </w:rPr>
      </w:pPr>
      <w:r>
        <w:rPr>
          <w:color w:val="231F20"/>
          <w:sz w:val="16"/>
        </w:rPr>
        <w:t>assassination (1986)  618; attempted</w:t>
      </w:r>
    </w:p>
    <w:p w14:paraId="485F31A8" w14:textId="77777777" w:rsidR="002653E8" w:rsidRDefault="003115E3">
      <w:pPr>
        <w:spacing w:before="32"/>
        <w:ind w:left="434"/>
        <w:rPr>
          <w:sz w:val="16"/>
        </w:rPr>
      </w:pPr>
      <w:r>
        <w:rPr>
          <w:color w:val="231F20"/>
          <w:sz w:val="16"/>
        </w:rPr>
        <w:t>Tietmeyer assassination (1988) 619;</w:t>
      </w:r>
    </w:p>
    <w:p w14:paraId="0700D466" w14:textId="77777777" w:rsidR="002653E8" w:rsidRDefault="003115E3">
      <w:pPr>
        <w:spacing w:before="32" w:line="280" w:lineRule="auto"/>
        <w:ind w:left="434" w:right="1547"/>
        <w:rPr>
          <w:sz w:val="16"/>
        </w:rPr>
      </w:pPr>
      <w:r>
        <w:rPr>
          <w:color w:val="231F20"/>
          <w:sz w:val="16"/>
        </w:rPr>
        <w:t>Herrhausen assassination (1989) 619; attempted Neusel assassination</w:t>
      </w:r>
    </w:p>
    <w:p w14:paraId="45E102C7" w14:textId="77777777" w:rsidR="002653E8" w:rsidRDefault="003115E3">
      <w:pPr>
        <w:spacing w:before="2"/>
        <w:ind w:left="434"/>
        <w:rPr>
          <w:i/>
          <w:sz w:val="16"/>
        </w:rPr>
      </w:pPr>
      <w:r>
        <w:rPr>
          <w:color w:val="231F20"/>
          <w:sz w:val="16"/>
        </w:rPr>
        <w:t>(1990)   620; GDR arrests (1990)   620</w:t>
      </w:r>
      <w:r>
        <w:rPr>
          <w:i/>
          <w:color w:val="231F20"/>
          <w:sz w:val="16"/>
        </w:rPr>
        <w:t>,</w:t>
      </w:r>
    </w:p>
    <w:p w14:paraId="64346F32" w14:textId="77777777" w:rsidR="002653E8" w:rsidRDefault="003115E3">
      <w:pPr>
        <w:spacing w:before="32" w:line="280" w:lineRule="auto"/>
        <w:ind w:left="434" w:right="1412"/>
        <w:rPr>
          <w:sz w:val="16"/>
        </w:rPr>
      </w:pPr>
      <w:r>
        <w:rPr>
          <w:color w:val="231F20"/>
          <w:sz w:val="16"/>
        </w:rPr>
        <w:t>621; machinegunning U.S. Embassy (1991)  620; Rohwedder assassination</w:t>
      </w:r>
    </w:p>
    <w:p w14:paraId="4A9AC860" w14:textId="77777777" w:rsidR="002653E8" w:rsidRDefault="003115E3">
      <w:pPr>
        <w:spacing w:before="1"/>
        <w:ind w:left="434"/>
        <w:rPr>
          <w:sz w:val="16"/>
        </w:rPr>
      </w:pPr>
      <w:r>
        <w:rPr>
          <w:color w:val="231F20"/>
          <w:sz w:val="16"/>
        </w:rPr>
        <w:t>(1991) 621; bombing High Security</w:t>
      </w:r>
    </w:p>
    <w:p w14:paraId="2F05E457" w14:textId="77777777" w:rsidR="002653E8" w:rsidRDefault="003115E3">
      <w:pPr>
        <w:spacing w:before="32"/>
        <w:ind w:left="434"/>
        <w:rPr>
          <w:sz w:val="16"/>
        </w:rPr>
      </w:pPr>
      <w:r>
        <w:rPr>
          <w:color w:val="231F20"/>
          <w:sz w:val="16"/>
        </w:rPr>
        <w:t>Darmstadt prison (1993) 623; split</w:t>
      </w:r>
    </w:p>
    <w:p w14:paraId="1015B2CD" w14:textId="77777777" w:rsidR="002653E8" w:rsidRDefault="003115E3">
      <w:pPr>
        <w:spacing w:before="33"/>
        <w:ind w:left="434"/>
        <w:rPr>
          <w:sz w:val="16"/>
        </w:rPr>
      </w:pPr>
      <w:r>
        <w:rPr>
          <w:color w:val="231F20"/>
          <w:sz w:val="16"/>
        </w:rPr>
        <w:t xml:space="preserve">in the </w:t>
      </w:r>
      <w:r w:rsidR="00C507A5">
        <w:rPr>
          <w:color w:val="231F20"/>
          <w:sz w:val="16"/>
        </w:rPr>
        <w:t>red army faction</w:t>
      </w:r>
      <w:r>
        <w:rPr>
          <w:color w:val="231F20"/>
          <w:sz w:val="16"/>
        </w:rPr>
        <w:t xml:space="preserve"> (1993) 623</w:t>
      </w:r>
      <w:r>
        <w:rPr>
          <w:i/>
          <w:color w:val="231F20"/>
          <w:sz w:val="16"/>
        </w:rPr>
        <w:t xml:space="preserve">, </w:t>
      </w:r>
      <w:r>
        <w:rPr>
          <w:color w:val="231F20"/>
          <w:sz w:val="16"/>
        </w:rPr>
        <w:t>625; dissolu-</w:t>
      </w:r>
    </w:p>
    <w:p w14:paraId="2B792A1B" w14:textId="77777777" w:rsidR="002653E8" w:rsidRDefault="003115E3">
      <w:pPr>
        <w:spacing w:before="32"/>
        <w:ind w:left="434"/>
        <w:rPr>
          <w:sz w:val="16"/>
        </w:rPr>
      </w:pPr>
      <w:r>
        <w:rPr>
          <w:color w:val="231F20"/>
          <w:sz w:val="16"/>
        </w:rPr>
        <w:t>tion (1998) 625; attitude towards</w:t>
      </w:r>
    </w:p>
    <w:p w14:paraId="62511A29" w14:textId="77777777" w:rsidR="002653E8" w:rsidRDefault="003115E3">
      <w:pPr>
        <w:spacing w:before="33"/>
        <w:ind w:left="434"/>
        <w:rPr>
          <w:i/>
          <w:sz w:val="16"/>
        </w:rPr>
      </w:pPr>
      <w:r>
        <w:rPr>
          <w:color w:val="231F20"/>
          <w:w w:val="105"/>
          <w:sz w:val="16"/>
        </w:rPr>
        <w:t>anarchists 87</w:t>
      </w:r>
      <w:r>
        <w:rPr>
          <w:i/>
          <w:color w:val="231F20"/>
          <w:w w:val="105"/>
          <w:sz w:val="16"/>
        </w:rPr>
        <w:t xml:space="preserve">, </w:t>
      </w:r>
      <w:r>
        <w:rPr>
          <w:color w:val="231F20"/>
          <w:w w:val="105"/>
          <w:sz w:val="16"/>
        </w:rPr>
        <w:t>92</w:t>
      </w:r>
      <w:r>
        <w:rPr>
          <w:i/>
          <w:color w:val="231F20"/>
          <w:w w:val="105"/>
          <w:sz w:val="16"/>
        </w:rPr>
        <w:t xml:space="preserve">, </w:t>
      </w:r>
      <w:r>
        <w:rPr>
          <w:color w:val="231F20"/>
          <w:w w:val="105"/>
          <w:sz w:val="16"/>
        </w:rPr>
        <w:t>96–97</w:t>
      </w:r>
      <w:r>
        <w:rPr>
          <w:i/>
          <w:color w:val="231F20"/>
          <w:w w:val="105"/>
          <w:sz w:val="16"/>
        </w:rPr>
        <w:t xml:space="preserve">, </w:t>
      </w:r>
      <w:r>
        <w:rPr>
          <w:color w:val="231F20"/>
          <w:w w:val="105"/>
          <w:sz w:val="16"/>
        </w:rPr>
        <w:t>100–101</w:t>
      </w:r>
      <w:r>
        <w:rPr>
          <w:i/>
          <w:color w:val="231F20"/>
          <w:w w:val="105"/>
          <w:sz w:val="16"/>
        </w:rPr>
        <w:t>,</w:t>
      </w:r>
    </w:p>
    <w:p w14:paraId="5C657441" w14:textId="77777777" w:rsidR="002653E8" w:rsidRDefault="003115E3">
      <w:pPr>
        <w:spacing w:before="32"/>
        <w:ind w:left="434"/>
        <w:rPr>
          <w:sz w:val="16"/>
        </w:rPr>
      </w:pPr>
      <w:r>
        <w:rPr>
          <w:color w:val="231F20"/>
          <w:sz w:val="16"/>
        </w:rPr>
        <w:t>227–228</w:t>
      </w:r>
      <w:r>
        <w:rPr>
          <w:i/>
          <w:color w:val="231F20"/>
          <w:sz w:val="16"/>
        </w:rPr>
        <w:t xml:space="preserve">, </w:t>
      </w:r>
      <w:r>
        <w:rPr>
          <w:color w:val="231F20"/>
          <w:sz w:val="16"/>
        </w:rPr>
        <w:t>315–316; and Action Directe</w:t>
      </w:r>
    </w:p>
    <w:p w14:paraId="3B29C7E4" w14:textId="77777777" w:rsidR="002653E8" w:rsidRDefault="003115E3">
      <w:pPr>
        <w:spacing w:before="33"/>
        <w:ind w:left="434"/>
        <w:rPr>
          <w:sz w:val="16"/>
        </w:rPr>
      </w:pPr>
      <w:r>
        <w:rPr>
          <w:color w:val="231F20"/>
          <w:sz w:val="16"/>
        </w:rPr>
        <w:t>616–617; and Black September 188;</w:t>
      </w:r>
    </w:p>
    <w:p w14:paraId="4CE64D58" w14:textId="77777777" w:rsidR="002653E8" w:rsidRDefault="003115E3">
      <w:pPr>
        <w:spacing w:before="32" w:line="280" w:lineRule="auto"/>
        <w:ind w:left="434" w:right="1547"/>
        <w:rPr>
          <w:sz w:val="16"/>
        </w:rPr>
      </w:pPr>
      <w:r>
        <w:rPr>
          <w:color w:val="231F20"/>
          <w:sz w:val="16"/>
        </w:rPr>
        <w:t>and GDR 58–59</w:t>
      </w:r>
      <w:r>
        <w:rPr>
          <w:i/>
          <w:color w:val="231F20"/>
          <w:sz w:val="16"/>
        </w:rPr>
        <w:t xml:space="preserve">, </w:t>
      </w:r>
      <w:r>
        <w:rPr>
          <w:color w:val="231F20"/>
          <w:sz w:val="16"/>
        </w:rPr>
        <w:t>614</w:t>
      </w:r>
      <w:r>
        <w:rPr>
          <w:i/>
          <w:color w:val="231F20"/>
          <w:sz w:val="16"/>
        </w:rPr>
        <w:t xml:space="preserve">, </w:t>
      </w:r>
      <w:r>
        <w:rPr>
          <w:color w:val="231F20"/>
          <w:sz w:val="16"/>
        </w:rPr>
        <w:t>620; and Red Brigades 619; and Revolutionary Cells 457–463</w:t>
      </w:r>
      <w:r>
        <w:rPr>
          <w:i/>
          <w:color w:val="231F20"/>
          <w:sz w:val="16"/>
        </w:rPr>
        <w:t xml:space="preserve">, </w:t>
      </w:r>
      <w:r>
        <w:rPr>
          <w:color w:val="231F20"/>
          <w:sz w:val="16"/>
        </w:rPr>
        <w:t>464–466</w:t>
      </w:r>
      <w:r>
        <w:rPr>
          <w:i/>
          <w:color w:val="231F20"/>
          <w:sz w:val="16"/>
        </w:rPr>
        <w:t xml:space="preserve">, </w:t>
      </w:r>
      <w:r>
        <w:rPr>
          <w:color w:val="231F20"/>
          <w:sz w:val="16"/>
        </w:rPr>
        <w:t>482; and</w:t>
      </w:r>
    </w:p>
    <w:p w14:paraId="3A3208CD" w14:textId="77777777" w:rsidR="002653E8" w:rsidRDefault="003115E3">
      <w:pPr>
        <w:spacing w:before="2" w:line="280" w:lineRule="auto"/>
        <w:ind w:left="434" w:right="1332"/>
        <w:rPr>
          <w:sz w:val="16"/>
        </w:rPr>
      </w:pPr>
      <w:r>
        <w:rPr>
          <w:color w:val="231F20"/>
          <w:w w:val="105"/>
          <w:sz w:val="16"/>
        </w:rPr>
        <w:t>Roaming Hash Rebels 50–52</w:t>
      </w:r>
      <w:r>
        <w:rPr>
          <w:i/>
          <w:color w:val="231F20"/>
          <w:w w:val="105"/>
          <w:sz w:val="16"/>
        </w:rPr>
        <w:t xml:space="preserve">, </w:t>
      </w:r>
      <w:r>
        <w:rPr>
          <w:color w:val="231F20"/>
          <w:w w:val="105"/>
          <w:sz w:val="16"/>
        </w:rPr>
        <w:t>59</w:t>
      </w:r>
      <w:r>
        <w:rPr>
          <w:i/>
          <w:color w:val="231F20"/>
          <w:w w:val="105"/>
          <w:sz w:val="16"/>
        </w:rPr>
        <w:t xml:space="preserve">, </w:t>
      </w:r>
      <w:r>
        <w:rPr>
          <w:color w:val="231F20"/>
          <w:w w:val="105"/>
          <w:sz w:val="16"/>
        </w:rPr>
        <w:t>587; and 2nd of June Movement 51–52</w:t>
      </w:r>
      <w:r>
        <w:rPr>
          <w:i/>
          <w:color w:val="231F20"/>
          <w:w w:val="105"/>
          <w:sz w:val="16"/>
        </w:rPr>
        <w:t xml:space="preserve">, </w:t>
      </w:r>
      <w:r>
        <w:rPr>
          <w:color w:val="231F20"/>
          <w:w w:val="105"/>
          <w:sz w:val="16"/>
        </w:rPr>
        <w:t>264</w:t>
      </w:r>
      <w:r>
        <w:rPr>
          <w:i/>
          <w:color w:val="231F20"/>
          <w:w w:val="105"/>
          <w:sz w:val="16"/>
        </w:rPr>
        <w:t xml:space="preserve">, </w:t>
      </w:r>
      <w:r>
        <w:rPr>
          <w:color w:val="231F20"/>
          <w:w w:val="105"/>
          <w:sz w:val="16"/>
        </w:rPr>
        <w:t>313–314</w:t>
      </w:r>
      <w:r>
        <w:rPr>
          <w:i/>
          <w:color w:val="231F20"/>
          <w:w w:val="105"/>
          <w:sz w:val="16"/>
        </w:rPr>
        <w:t xml:space="preserve">, </w:t>
      </w:r>
      <w:r>
        <w:rPr>
          <w:color w:val="231F20"/>
          <w:w w:val="105"/>
          <w:sz w:val="16"/>
        </w:rPr>
        <w:t>609</w:t>
      </w:r>
      <w:r>
        <w:rPr>
          <w:i/>
          <w:color w:val="231F20"/>
          <w:w w:val="105"/>
          <w:sz w:val="16"/>
        </w:rPr>
        <w:t xml:space="preserve">, </w:t>
      </w:r>
      <w:r>
        <w:rPr>
          <w:color w:val="231F20"/>
          <w:w w:val="105"/>
          <w:sz w:val="16"/>
        </w:rPr>
        <w:t>613; and spontis</w:t>
      </w:r>
    </w:p>
    <w:p w14:paraId="2C888687" w14:textId="77777777" w:rsidR="002653E8" w:rsidRDefault="003115E3">
      <w:pPr>
        <w:spacing w:before="1"/>
        <w:ind w:left="434"/>
        <w:rPr>
          <w:i/>
          <w:sz w:val="16"/>
        </w:rPr>
      </w:pPr>
      <w:r>
        <w:rPr>
          <w:color w:val="231F20"/>
          <w:sz w:val="16"/>
        </w:rPr>
        <w:t>464–465; and the left   108</w:t>
      </w:r>
      <w:r>
        <w:rPr>
          <w:i/>
          <w:color w:val="231F20"/>
          <w:sz w:val="16"/>
        </w:rPr>
        <w:t xml:space="preserve">,  </w:t>
      </w:r>
      <w:r>
        <w:rPr>
          <w:color w:val="231F20"/>
          <w:sz w:val="16"/>
        </w:rPr>
        <w:t>166–169</w:t>
      </w:r>
      <w:r>
        <w:rPr>
          <w:i/>
          <w:color w:val="231F20"/>
          <w:sz w:val="16"/>
        </w:rPr>
        <w:t>,</w:t>
      </w:r>
    </w:p>
    <w:p w14:paraId="0C9DABA8" w14:textId="77777777" w:rsidR="002653E8" w:rsidRDefault="003115E3">
      <w:pPr>
        <w:spacing w:before="33"/>
        <w:ind w:left="434"/>
        <w:rPr>
          <w:i/>
          <w:sz w:val="16"/>
        </w:rPr>
      </w:pPr>
      <w:r>
        <w:rPr>
          <w:color w:val="231F20"/>
          <w:w w:val="105"/>
          <w:sz w:val="16"/>
        </w:rPr>
        <w:t>200–201</w:t>
      </w:r>
      <w:r>
        <w:rPr>
          <w:i/>
          <w:color w:val="231F20"/>
          <w:w w:val="105"/>
          <w:sz w:val="16"/>
        </w:rPr>
        <w:t xml:space="preserve">, </w:t>
      </w:r>
      <w:r>
        <w:rPr>
          <w:color w:val="231F20"/>
          <w:w w:val="105"/>
          <w:sz w:val="16"/>
        </w:rPr>
        <w:t>244</w:t>
      </w:r>
      <w:r>
        <w:rPr>
          <w:i/>
          <w:color w:val="231F20"/>
          <w:w w:val="105"/>
          <w:sz w:val="16"/>
        </w:rPr>
        <w:t xml:space="preserve">, </w:t>
      </w:r>
      <w:r>
        <w:rPr>
          <w:color w:val="231F20"/>
          <w:w w:val="105"/>
          <w:sz w:val="16"/>
        </w:rPr>
        <w:t>264–265</w:t>
      </w:r>
      <w:r>
        <w:rPr>
          <w:i/>
          <w:color w:val="231F20"/>
          <w:w w:val="105"/>
          <w:sz w:val="16"/>
        </w:rPr>
        <w:t xml:space="preserve">, </w:t>
      </w:r>
      <w:r>
        <w:rPr>
          <w:color w:val="231F20"/>
          <w:w w:val="105"/>
          <w:sz w:val="16"/>
        </w:rPr>
        <w:t>326</w:t>
      </w:r>
      <w:r>
        <w:rPr>
          <w:i/>
          <w:color w:val="231F20"/>
          <w:w w:val="105"/>
          <w:sz w:val="16"/>
        </w:rPr>
        <w:t xml:space="preserve">, </w:t>
      </w:r>
      <w:r>
        <w:rPr>
          <w:color w:val="231F20"/>
          <w:w w:val="105"/>
          <w:sz w:val="16"/>
        </w:rPr>
        <w:t>450–452</w:t>
      </w:r>
      <w:r>
        <w:rPr>
          <w:i/>
          <w:color w:val="231F20"/>
          <w:w w:val="105"/>
          <w:sz w:val="16"/>
        </w:rPr>
        <w:t>,</w:t>
      </w:r>
    </w:p>
    <w:p w14:paraId="17CF11DE" w14:textId="77777777" w:rsidR="002653E8" w:rsidRDefault="003115E3">
      <w:pPr>
        <w:spacing w:before="32"/>
        <w:ind w:left="434"/>
        <w:rPr>
          <w:i/>
          <w:sz w:val="16"/>
        </w:rPr>
      </w:pPr>
      <w:r>
        <w:rPr>
          <w:color w:val="231F20"/>
          <w:w w:val="110"/>
          <w:sz w:val="16"/>
        </w:rPr>
        <w:t>457–458</w:t>
      </w:r>
      <w:r>
        <w:rPr>
          <w:i/>
          <w:color w:val="231F20"/>
          <w:w w:val="110"/>
          <w:sz w:val="16"/>
        </w:rPr>
        <w:t xml:space="preserve">, </w:t>
      </w:r>
      <w:r>
        <w:rPr>
          <w:color w:val="231F20"/>
          <w:w w:val="110"/>
          <w:sz w:val="16"/>
        </w:rPr>
        <w:t>483</w:t>
      </w:r>
      <w:r>
        <w:rPr>
          <w:i/>
          <w:color w:val="231F20"/>
          <w:w w:val="110"/>
          <w:sz w:val="16"/>
        </w:rPr>
        <w:t xml:space="preserve">, </w:t>
      </w:r>
      <w:r>
        <w:rPr>
          <w:color w:val="231F20"/>
          <w:w w:val="110"/>
          <w:sz w:val="16"/>
        </w:rPr>
        <w:t>540–541</w:t>
      </w:r>
      <w:r>
        <w:rPr>
          <w:i/>
          <w:color w:val="231F20"/>
          <w:w w:val="110"/>
          <w:sz w:val="16"/>
        </w:rPr>
        <w:t xml:space="preserve">, </w:t>
      </w:r>
      <w:r>
        <w:rPr>
          <w:color w:val="231F20"/>
          <w:w w:val="110"/>
          <w:sz w:val="16"/>
        </w:rPr>
        <w:t>615</w:t>
      </w:r>
      <w:r>
        <w:rPr>
          <w:i/>
          <w:color w:val="231F20"/>
          <w:w w:val="110"/>
          <w:sz w:val="16"/>
        </w:rPr>
        <w:t xml:space="preserve">, </w:t>
      </w:r>
      <w:r>
        <w:rPr>
          <w:color w:val="231F20"/>
          <w:w w:val="110"/>
          <w:sz w:val="16"/>
        </w:rPr>
        <w:t>616</w:t>
      </w:r>
      <w:r>
        <w:rPr>
          <w:i/>
          <w:color w:val="231F20"/>
          <w:w w:val="110"/>
          <w:sz w:val="16"/>
        </w:rPr>
        <w:t>,</w:t>
      </w:r>
    </w:p>
    <w:p w14:paraId="7DED3036" w14:textId="77777777" w:rsidR="002653E8" w:rsidRDefault="003115E3">
      <w:pPr>
        <w:spacing w:before="32" w:line="280" w:lineRule="auto"/>
        <w:ind w:left="434" w:right="1332"/>
        <w:rPr>
          <w:sz w:val="16"/>
        </w:rPr>
      </w:pPr>
      <w:r>
        <w:rPr>
          <w:color w:val="231F20"/>
          <w:sz w:val="16"/>
        </w:rPr>
        <w:t>618</w:t>
      </w:r>
      <w:r>
        <w:rPr>
          <w:i/>
          <w:color w:val="231F20"/>
          <w:sz w:val="16"/>
        </w:rPr>
        <w:t xml:space="preserve">, </w:t>
      </w:r>
      <w:r>
        <w:rPr>
          <w:color w:val="231F20"/>
          <w:sz w:val="16"/>
        </w:rPr>
        <w:t>622;  and Tupamaros  64</w:t>
      </w:r>
      <w:r>
        <w:rPr>
          <w:i/>
          <w:color w:val="231F20"/>
          <w:sz w:val="16"/>
        </w:rPr>
        <w:t xml:space="preserve">, </w:t>
      </w:r>
      <w:r>
        <w:rPr>
          <w:color w:val="231F20"/>
          <w:sz w:val="16"/>
        </w:rPr>
        <w:t>157</w:t>
      </w:r>
      <w:r>
        <w:rPr>
          <w:i/>
          <w:color w:val="231F20"/>
          <w:sz w:val="16"/>
        </w:rPr>
        <w:t xml:space="preserve">, </w:t>
      </w:r>
      <w:r>
        <w:rPr>
          <w:color w:val="231F20"/>
          <w:sz w:val="16"/>
        </w:rPr>
        <w:t>587; and women’s liberation movement 447–448</w:t>
      </w:r>
      <w:r>
        <w:rPr>
          <w:i/>
          <w:color w:val="231F20"/>
          <w:sz w:val="16"/>
        </w:rPr>
        <w:t xml:space="preserve">, </w:t>
      </w:r>
      <w:r>
        <w:rPr>
          <w:color w:val="231F20"/>
          <w:sz w:val="16"/>
        </w:rPr>
        <w:t>536–538;</w:t>
      </w:r>
      <w:r>
        <w:rPr>
          <w:color w:val="231F20"/>
          <w:spacing w:val="10"/>
          <w:sz w:val="16"/>
        </w:rPr>
        <w:t xml:space="preserve"> </w:t>
      </w:r>
      <w:r>
        <w:rPr>
          <w:color w:val="231F20"/>
          <w:sz w:val="16"/>
        </w:rPr>
        <w:t>Anti-Imperialist</w:t>
      </w:r>
    </w:p>
    <w:p w14:paraId="0F5F7B29" w14:textId="77777777" w:rsidR="002653E8" w:rsidRDefault="003115E3">
      <w:pPr>
        <w:spacing w:before="2"/>
        <w:ind w:left="434"/>
        <w:rPr>
          <w:sz w:val="16"/>
        </w:rPr>
      </w:pPr>
      <w:r>
        <w:rPr>
          <w:color w:val="231F20"/>
          <w:sz w:val="16"/>
        </w:rPr>
        <w:t>Front 615–618</w:t>
      </w:r>
      <w:r>
        <w:rPr>
          <w:i/>
          <w:color w:val="231F20"/>
          <w:sz w:val="16"/>
        </w:rPr>
        <w:t xml:space="preserve">, </w:t>
      </w:r>
      <w:r>
        <w:rPr>
          <w:color w:val="231F20"/>
          <w:sz w:val="16"/>
        </w:rPr>
        <w:t>622; bank robberies</w:t>
      </w:r>
    </w:p>
    <w:p w14:paraId="5D048AF7" w14:textId="77777777" w:rsidR="002653E8" w:rsidRDefault="003115E3">
      <w:pPr>
        <w:spacing w:before="32"/>
        <w:ind w:left="434"/>
        <w:rPr>
          <w:sz w:val="16"/>
        </w:rPr>
      </w:pPr>
      <w:r>
        <w:rPr>
          <w:color w:val="231F20"/>
          <w:w w:val="105"/>
          <w:sz w:val="16"/>
        </w:rPr>
        <w:t>100</w:t>
      </w:r>
      <w:r>
        <w:rPr>
          <w:i/>
          <w:color w:val="231F20"/>
          <w:w w:val="105"/>
          <w:sz w:val="16"/>
        </w:rPr>
        <w:t xml:space="preserve">, </w:t>
      </w:r>
      <w:r>
        <w:rPr>
          <w:color w:val="231F20"/>
          <w:w w:val="105"/>
          <w:sz w:val="16"/>
        </w:rPr>
        <w:t>157; “generations” 336; attitude</w:t>
      </w:r>
    </w:p>
    <w:p w14:paraId="125412FB" w14:textId="77777777" w:rsidR="002653E8" w:rsidRDefault="003115E3">
      <w:pPr>
        <w:spacing w:before="33"/>
        <w:ind w:left="434"/>
        <w:rPr>
          <w:i/>
          <w:sz w:val="16"/>
        </w:rPr>
      </w:pPr>
      <w:r>
        <w:rPr>
          <w:color w:val="231F20"/>
          <w:w w:val="105"/>
          <w:sz w:val="16"/>
        </w:rPr>
        <w:t>towards K-groups 92–96</w:t>
      </w:r>
      <w:r>
        <w:rPr>
          <w:i/>
          <w:color w:val="231F20"/>
          <w:w w:val="105"/>
          <w:sz w:val="16"/>
        </w:rPr>
        <w:t xml:space="preserve">, </w:t>
      </w:r>
      <w:r>
        <w:rPr>
          <w:color w:val="231F20"/>
          <w:w w:val="105"/>
          <w:sz w:val="16"/>
        </w:rPr>
        <w:t>101</w:t>
      </w:r>
      <w:r>
        <w:rPr>
          <w:i/>
          <w:color w:val="231F20"/>
          <w:w w:val="105"/>
          <w:sz w:val="16"/>
        </w:rPr>
        <w:t xml:space="preserve">, </w:t>
      </w:r>
      <w:r>
        <w:rPr>
          <w:color w:val="231F20"/>
          <w:w w:val="105"/>
          <w:sz w:val="16"/>
        </w:rPr>
        <w:t>183</w:t>
      </w:r>
      <w:r>
        <w:rPr>
          <w:i/>
          <w:color w:val="231F20"/>
          <w:w w:val="105"/>
          <w:sz w:val="16"/>
        </w:rPr>
        <w:t>,</w:t>
      </w:r>
    </w:p>
    <w:p w14:paraId="3E68D437" w14:textId="77777777" w:rsidR="002653E8" w:rsidRDefault="003115E3">
      <w:pPr>
        <w:spacing w:before="32"/>
        <w:ind w:left="434"/>
        <w:rPr>
          <w:sz w:val="16"/>
        </w:rPr>
      </w:pPr>
      <w:r>
        <w:rPr>
          <w:color w:val="231F20"/>
          <w:w w:val="110"/>
          <w:sz w:val="16"/>
        </w:rPr>
        <w:t>226</w:t>
      </w:r>
      <w:r>
        <w:rPr>
          <w:i/>
          <w:color w:val="231F20"/>
          <w:w w:val="110"/>
          <w:sz w:val="16"/>
        </w:rPr>
        <w:t xml:space="preserve">, </w:t>
      </w:r>
      <w:r>
        <w:rPr>
          <w:color w:val="231F20"/>
          <w:w w:val="110"/>
          <w:sz w:val="16"/>
        </w:rPr>
        <w:t>228</w:t>
      </w:r>
      <w:r>
        <w:rPr>
          <w:i/>
          <w:color w:val="231F20"/>
          <w:w w:val="110"/>
          <w:sz w:val="16"/>
        </w:rPr>
        <w:t xml:space="preserve">, </w:t>
      </w:r>
      <w:r>
        <w:rPr>
          <w:color w:val="231F20"/>
          <w:w w:val="110"/>
          <w:sz w:val="16"/>
        </w:rPr>
        <w:t>289</w:t>
      </w:r>
      <w:r>
        <w:rPr>
          <w:i/>
          <w:color w:val="231F20"/>
          <w:w w:val="110"/>
          <w:sz w:val="16"/>
        </w:rPr>
        <w:t xml:space="preserve">, </w:t>
      </w:r>
      <w:r>
        <w:rPr>
          <w:color w:val="231F20"/>
          <w:w w:val="110"/>
          <w:sz w:val="16"/>
        </w:rPr>
        <w:t>316</w:t>
      </w:r>
      <w:r>
        <w:rPr>
          <w:i/>
          <w:color w:val="231F20"/>
          <w:w w:val="110"/>
          <w:sz w:val="16"/>
        </w:rPr>
        <w:t xml:space="preserve">, </w:t>
      </w:r>
      <w:r>
        <w:rPr>
          <w:color w:val="231F20"/>
          <w:w w:val="110"/>
          <w:sz w:val="16"/>
        </w:rPr>
        <w:t>361</w:t>
      </w:r>
      <w:r>
        <w:rPr>
          <w:i/>
          <w:color w:val="231F20"/>
          <w:w w:val="110"/>
          <w:sz w:val="16"/>
        </w:rPr>
        <w:t xml:space="preserve">, </w:t>
      </w:r>
      <w:r>
        <w:rPr>
          <w:color w:val="231F20"/>
          <w:w w:val="110"/>
          <w:sz w:val="16"/>
        </w:rPr>
        <w:t>406</w:t>
      </w:r>
      <w:r>
        <w:rPr>
          <w:i/>
          <w:color w:val="231F20"/>
          <w:w w:val="110"/>
          <w:sz w:val="16"/>
        </w:rPr>
        <w:t xml:space="preserve">, </w:t>
      </w:r>
      <w:r>
        <w:rPr>
          <w:color w:val="231F20"/>
          <w:w w:val="110"/>
          <w:sz w:val="16"/>
        </w:rPr>
        <w:t>424;</w:t>
      </w:r>
    </w:p>
    <w:p w14:paraId="56A22230" w14:textId="77777777" w:rsidR="002653E8" w:rsidRDefault="003115E3">
      <w:pPr>
        <w:spacing w:before="33" w:line="280" w:lineRule="auto"/>
        <w:ind w:left="434" w:right="1412"/>
        <w:rPr>
          <w:i/>
          <w:sz w:val="16"/>
        </w:rPr>
      </w:pPr>
      <w:r>
        <w:rPr>
          <w:color w:val="231F20"/>
          <w:sz w:val="16"/>
        </w:rPr>
        <w:t>leaving the group 160–162</w:t>
      </w:r>
      <w:r>
        <w:rPr>
          <w:i/>
          <w:color w:val="231F20"/>
          <w:sz w:val="16"/>
        </w:rPr>
        <w:t xml:space="preserve">, </w:t>
      </w:r>
      <w:r>
        <w:rPr>
          <w:color w:val="231F20"/>
          <w:sz w:val="16"/>
        </w:rPr>
        <w:t>288–291</w:t>
      </w:r>
      <w:r>
        <w:rPr>
          <w:i/>
          <w:color w:val="231F20"/>
          <w:sz w:val="16"/>
        </w:rPr>
        <w:t xml:space="preserve">, </w:t>
      </w:r>
      <w:r>
        <w:rPr>
          <w:color w:val="231F20"/>
          <w:sz w:val="16"/>
        </w:rPr>
        <w:t>355–357; public opinion polls 107–108</w:t>
      </w:r>
      <w:r>
        <w:rPr>
          <w:i/>
          <w:color w:val="231F20"/>
          <w:sz w:val="16"/>
        </w:rPr>
        <w:t xml:space="preserve">, </w:t>
      </w:r>
      <w:r>
        <w:rPr>
          <w:color w:val="231F20"/>
          <w:sz w:val="16"/>
        </w:rPr>
        <w:t>317; structure 98</w:t>
      </w:r>
      <w:r>
        <w:rPr>
          <w:i/>
          <w:color w:val="231F20"/>
          <w:sz w:val="16"/>
        </w:rPr>
        <w:t xml:space="preserve">, </w:t>
      </w:r>
      <w:r>
        <w:rPr>
          <w:color w:val="231F20"/>
          <w:sz w:val="16"/>
        </w:rPr>
        <w:t>158</w:t>
      </w:r>
      <w:r>
        <w:rPr>
          <w:i/>
          <w:color w:val="231F20"/>
          <w:sz w:val="16"/>
        </w:rPr>
        <w:t xml:space="preserve">, </w:t>
      </w:r>
      <w:r>
        <w:rPr>
          <w:color w:val="231F20"/>
          <w:sz w:val="16"/>
        </w:rPr>
        <w:t>160</w:t>
      </w:r>
      <w:r>
        <w:rPr>
          <w:i/>
          <w:color w:val="231F20"/>
          <w:sz w:val="16"/>
        </w:rPr>
        <w:t>,</w:t>
      </w:r>
    </w:p>
    <w:p w14:paraId="25066DF8" w14:textId="77777777" w:rsidR="002653E8" w:rsidRDefault="003115E3">
      <w:pPr>
        <w:spacing w:before="1"/>
        <w:ind w:left="434"/>
        <w:rPr>
          <w:sz w:val="16"/>
        </w:rPr>
      </w:pPr>
      <w:r>
        <w:rPr>
          <w:color w:val="231F20"/>
          <w:w w:val="110"/>
          <w:sz w:val="16"/>
        </w:rPr>
        <w:t>172</w:t>
      </w:r>
      <w:r>
        <w:rPr>
          <w:i/>
          <w:color w:val="231F20"/>
          <w:w w:val="110"/>
          <w:sz w:val="16"/>
        </w:rPr>
        <w:t xml:space="preserve">, </w:t>
      </w:r>
      <w:r>
        <w:rPr>
          <w:color w:val="231F20"/>
          <w:w w:val="110"/>
          <w:sz w:val="16"/>
        </w:rPr>
        <w:t>288</w:t>
      </w:r>
      <w:r>
        <w:rPr>
          <w:i/>
          <w:color w:val="231F20"/>
          <w:w w:val="110"/>
          <w:sz w:val="16"/>
        </w:rPr>
        <w:t xml:space="preserve">, </w:t>
      </w:r>
      <w:r>
        <w:rPr>
          <w:color w:val="231F20"/>
          <w:w w:val="110"/>
          <w:sz w:val="16"/>
        </w:rPr>
        <w:t>365</w:t>
      </w:r>
      <w:r>
        <w:rPr>
          <w:i/>
          <w:color w:val="231F20"/>
          <w:w w:val="110"/>
          <w:sz w:val="16"/>
        </w:rPr>
        <w:t xml:space="preserve">, </w:t>
      </w:r>
      <w:r>
        <w:rPr>
          <w:color w:val="231F20"/>
          <w:w w:val="110"/>
          <w:sz w:val="16"/>
        </w:rPr>
        <w:t>397–398</w:t>
      </w:r>
    </w:p>
    <w:p w14:paraId="02B59778" w14:textId="77777777" w:rsidR="002653E8" w:rsidRDefault="00C507A5">
      <w:pPr>
        <w:spacing w:before="33"/>
        <w:ind w:left="234"/>
        <w:rPr>
          <w:sz w:val="16"/>
        </w:rPr>
      </w:pPr>
      <w:r>
        <w:rPr>
          <w:color w:val="231F20"/>
          <w:sz w:val="16"/>
        </w:rPr>
        <w:t>red army faction</w:t>
      </w:r>
      <w:r w:rsidR="003115E3">
        <w:rPr>
          <w:color w:val="231F20"/>
          <w:sz w:val="16"/>
        </w:rPr>
        <w:t xml:space="preserve"> trials; Albrecht (1991) 621;</w:t>
      </w:r>
    </w:p>
    <w:p w14:paraId="0B8077F1" w14:textId="77777777" w:rsidR="002653E8" w:rsidRPr="00846956" w:rsidRDefault="003115E3">
      <w:pPr>
        <w:spacing w:before="32" w:line="280" w:lineRule="auto"/>
        <w:ind w:left="434" w:right="1371"/>
        <w:rPr>
          <w:sz w:val="16"/>
          <w:lang w:val="de-DE"/>
        </w:rPr>
      </w:pPr>
      <w:r w:rsidRPr="00846956">
        <w:rPr>
          <w:color w:val="231F20"/>
          <w:sz w:val="16"/>
          <w:lang w:val="de-DE"/>
        </w:rPr>
        <w:t>Baader-Ensslin-Meinhof-Meins-Raspe (1976-77)</w:t>
      </w:r>
      <w:r w:rsidRPr="00846956">
        <w:rPr>
          <w:i/>
          <w:color w:val="231F20"/>
          <w:sz w:val="16"/>
          <w:lang w:val="de-DE"/>
        </w:rPr>
        <w:t xml:space="preserve">. See </w:t>
      </w:r>
      <w:r w:rsidRPr="00846956">
        <w:rPr>
          <w:color w:val="231F20"/>
          <w:sz w:val="16"/>
          <w:lang w:val="de-DE"/>
        </w:rPr>
        <w:t>Stammheim trial (1976-</w:t>
      </w:r>
    </w:p>
    <w:p w14:paraId="5A860582" w14:textId="77777777" w:rsidR="002653E8" w:rsidRPr="00846956" w:rsidRDefault="003115E3">
      <w:pPr>
        <w:spacing w:before="1"/>
        <w:ind w:left="434"/>
        <w:rPr>
          <w:sz w:val="16"/>
          <w:lang w:val="de-DE"/>
        </w:rPr>
      </w:pPr>
      <w:r w:rsidRPr="00846956">
        <w:rPr>
          <w:color w:val="231F20"/>
          <w:sz w:val="16"/>
          <w:lang w:val="de-DE"/>
        </w:rPr>
        <w:t>77); Baader-Ensslin-Proll-Söhnlein</w:t>
      </w:r>
    </w:p>
    <w:p w14:paraId="628E3C75" w14:textId="77777777" w:rsidR="002653E8" w:rsidRPr="00846956" w:rsidRDefault="003115E3">
      <w:pPr>
        <w:spacing w:before="33"/>
        <w:ind w:left="434"/>
        <w:rPr>
          <w:i/>
          <w:sz w:val="16"/>
          <w:lang w:val="de-DE"/>
        </w:rPr>
      </w:pPr>
      <w:r w:rsidRPr="00846956">
        <w:rPr>
          <w:color w:val="231F20"/>
          <w:w w:val="105"/>
          <w:sz w:val="16"/>
          <w:lang w:val="de-DE"/>
        </w:rPr>
        <w:t>(1968-69) 48–49</w:t>
      </w:r>
      <w:r w:rsidRPr="00846956">
        <w:rPr>
          <w:i/>
          <w:color w:val="231F20"/>
          <w:w w:val="105"/>
          <w:sz w:val="16"/>
          <w:lang w:val="de-DE"/>
        </w:rPr>
        <w:t xml:space="preserve">, </w:t>
      </w:r>
      <w:r w:rsidRPr="00846956">
        <w:rPr>
          <w:color w:val="231F20"/>
          <w:w w:val="105"/>
          <w:sz w:val="16"/>
          <w:lang w:val="de-DE"/>
        </w:rPr>
        <w:t>50</w:t>
      </w:r>
      <w:r w:rsidRPr="00846956">
        <w:rPr>
          <w:i/>
          <w:color w:val="231F20"/>
          <w:w w:val="105"/>
          <w:sz w:val="16"/>
          <w:lang w:val="de-DE"/>
        </w:rPr>
        <w:t xml:space="preserve">, </w:t>
      </w:r>
      <w:r w:rsidRPr="00846956">
        <w:rPr>
          <w:color w:val="231F20"/>
          <w:w w:val="105"/>
          <w:sz w:val="16"/>
          <w:lang w:val="de-DE"/>
        </w:rPr>
        <w:t>66–78</w:t>
      </w:r>
      <w:r w:rsidRPr="00846956">
        <w:rPr>
          <w:i/>
          <w:color w:val="231F20"/>
          <w:w w:val="105"/>
          <w:sz w:val="16"/>
          <w:lang w:val="de-DE"/>
        </w:rPr>
        <w:t xml:space="preserve">, </w:t>
      </w:r>
      <w:r w:rsidRPr="00846956">
        <w:rPr>
          <w:color w:val="231F20"/>
          <w:w w:val="105"/>
          <w:sz w:val="16"/>
          <w:lang w:val="de-DE"/>
        </w:rPr>
        <w:t>430–432</w:t>
      </w:r>
      <w:r w:rsidRPr="00846956">
        <w:rPr>
          <w:i/>
          <w:color w:val="231F20"/>
          <w:w w:val="105"/>
          <w:sz w:val="16"/>
          <w:lang w:val="de-DE"/>
        </w:rPr>
        <w:t>,</w:t>
      </w:r>
    </w:p>
    <w:p w14:paraId="05B2492C" w14:textId="77777777" w:rsidR="002653E8" w:rsidRPr="00846956" w:rsidRDefault="002653E8">
      <w:pPr>
        <w:rPr>
          <w:sz w:val="16"/>
          <w:lang w:val="de-DE"/>
        </w:rPr>
        <w:sectPr w:rsidR="002653E8" w:rsidRPr="00846956">
          <w:pgSz w:w="8640" w:h="12960"/>
          <w:pgMar w:top="1080" w:right="0" w:bottom="1040" w:left="0" w:header="0" w:footer="846" w:gutter="0"/>
          <w:cols w:num="2" w:space="720" w:equalWidth="0">
            <w:col w:w="4096" w:space="40"/>
            <w:col w:w="4504"/>
          </w:cols>
        </w:sectPr>
      </w:pPr>
    </w:p>
    <w:p w14:paraId="23ADC958" w14:textId="77777777" w:rsidR="002653E8" w:rsidRPr="00846956" w:rsidRDefault="003115E3">
      <w:pPr>
        <w:spacing w:before="86"/>
        <w:ind w:left="1527"/>
        <w:rPr>
          <w:sz w:val="16"/>
          <w:lang w:val="de-DE"/>
        </w:rPr>
      </w:pPr>
      <w:r w:rsidRPr="00846956">
        <w:rPr>
          <w:color w:val="231F20"/>
          <w:sz w:val="16"/>
          <w:lang w:val="de-DE"/>
        </w:rPr>
        <w:lastRenderedPageBreak/>
        <w:t>583–584; Bäcker-Mahler-Meinhof</w:t>
      </w:r>
    </w:p>
    <w:p w14:paraId="5D11FCD3" w14:textId="77777777" w:rsidR="002653E8" w:rsidRPr="00846956" w:rsidRDefault="003115E3">
      <w:pPr>
        <w:spacing w:before="33"/>
        <w:ind w:left="1527"/>
        <w:rPr>
          <w:i/>
          <w:sz w:val="16"/>
          <w:lang w:val="de-DE"/>
        </w:rPr>
      </w:pPr>
      <w:r w:rsidRPr="00846956">
        <w:rPr>
          <w:color w:val="231F20"/>
          <w:w w:val="105"/>
          <w:sz w:val="16"/>
          <w:lang w:val="de-DE"/>
        </w:rPr>
        <w:t>(1974) 255</w:t>
      </w:r>
      <w:r w:rsidRPr="00846956">
        <w:rPr>
          <w:i/>
          <w:color w:val="231F20"/>
          <w:w w:val="105"/>
          <w:sz w:val="16"/>
          <w:lang w:val="de-DE"/>
        </w:rPr>
        <w:t xml:space="preserve">, </w:t>
      </w:r>
      <w:r w:rsidRPr="00846956">
        <w:rPr>
          <w:color w:val="231F20"/>
          <w:w w:val="105"/>
          <w:sz w:val="16"/>
          <w:lang w:val="de-DE"/>
        </w:rPr>
        <w:t>288</w:t>
      </w:r>
      <w:r w:rsidRPr="00846956">
        <w:rPr>
          <w:i/>
          <w:color w:val="231F20"/>
          <w:w w:val="105"/>
          <w:sz w:val="16"/>
          <w:lang w:val="de-DE"/>
        </w:rPr>
        <w:t xml:space="preserve">, </w:t>
      </w:r>
      <w:r w:rsidRPr="00846956">
        <w:rPr>
          <w:color w:val="231F20"/>
          <w:w w:val="105"/>
          <w:sz w:val="16"/>
          <w:lang w:val="de-DE"/>
        </w:rPr>
        <w:t>328</w:t>
      </w:r>
      <w:r w:rsidRPr="00846956">
        <w:rPr>
          <w:i/>
          <w:color w:val="231F20"/>
          <w:w w:val="105"/>
          <w:sz w:val="16"/>
          <w:lang w:val="de-DE"/>
        </w:rPr>
        <w:t xml:space="preserve">, </w:t>
      </w:r>
      <w:r w:rsidRPr="00846956">
        <w:rPr>
          <w:color w:val="231F20"/>
          <w:w w:val="105"/>
          <w:sz w:val="16"/>
          <w:lang w:val="de-DE"/>
        </w:rPr>
        <w:t>354</w:t>
      </w:r>
      <w:r w:rsidRPr="00846956">
        <w:rPr>
          <w:i/>
          <w:color w:val="231F20"/>
          <w:w w:val="105"/>
          <w:sz w:val="16"/>
          <w:lang w:val="de-DE"/>
        </w:rPr>
        <w:t xml:space="preserve">, </w:t>
      </w:r>
      <w:r w:rsidRPr="00846956">
        <w:rPr>
          <w:color w:val="231F20"/>
          <w:w w:val="105"/>
          <w:sz w:val="16"/>
          <w:lang w:val="de-DE"/>
        </w:rPr>
        <w:t>359–370</w:t>
      </w:r>
      <w:r w:rsidRPr="00846956">
        <w:rPr>
          <w:i/>
          <w:color w:val="231F20"/>
          <w:w w:val="105"/>
          <w:sz w:val="16"/>
          <w:lang w:val="de-DE"/>
        </w:rPr>
        <w:t>,</w:t>
      </w:r>
    </w:p>
    <w:p w14:paraId="161D0BEA" w14:textId="77777777" w:rsidR="002653E8" w:rsidRPr="00846956" w:rsidRDefault="003115E3">
      <w:pPr>
        <w:spacing w:before="32"/>
        <w:ind w:left="1527"/>
        <w:rPr>
          <w:sz w:val="16"/>
          <w:lang w:val="de-DE"/>
        </w:rPr>
      </w:pPr>
      <w:r w:rsidRPr="00846956">
        <w:rPr>
          <w:color w:val="231F20"/>
          <w:sz w:val="16"/>
          <w:lang w:val="de-DE"/>
        </w:rPr>
        <w:t>390</w:t>
      </w:r>
      <w:r w:rsidRPr="00846956">
        <w:rPr>
          <w:i/>
          <w:color w:val="231F20"/>
          <w:sz w:val="16"/>
          <w:lang w:val="de-DE"/>
        </w:rPr>
        <w:t xml:space="preserve">, </w:t>
      </w:r>
      <w:r w:rsidRPr="00846956">
        <w:rPr>
          <w:color w:val="231F20"/>
          <w:sz w:val="16"/>
          <w:lang w:val="de-DE"/>
        </w:rPr>
        <w:t>594</w:t>
      </w:r>
      <w:r w:rsidRPr="00846956">
        <w:rPr>
          <w:i/>
          <w:color w:val="231F20"/>
          <w:sz w:val="16"/>
          <w:lang w:val="de-DE"/>
        </w:rPr>
        <w:t xml:space="preserve">, </w:t>
      </w:r>
      <w:r w:rsidRPr="00846956">
        <w:rPr>
          <w:color w:val="231F20"/>
          <w:sz w:val="16"/>
          <w:lang w:val="de-DE"/>
        </w:rPr>
        <w:t>595; Becker (1977) 609;</w:t>
      </w:r>
    </w:p>
    <w:p w14:paraId="735EBAA4" w14:textId="77777777" w:rsidR="002653E8" w:rsidRPr="00846956" w:rsidRDefault="003115E3">
      <w:pPr>
        <w:spacing w:before="33"/>
        <w:ind w:left="1527"/>
        <w:rPr>
          <w:sz w:val="16"/>
          <w:lang w:val="de-DE"/>
        </w:rPr>
      </w:pPr>
      <w:r w:rsidRPr="00846956">
        <w:rPr>
          <w:color w:val="231F20"/>
          <w:sz w:val="16"/>
          <w:lang w:val="de-DE"/>
        </w:rPr>
        <w:t>Beer (1991) 621; Beer-Eckes-Pohl</w:t>
      </w:r>
    </w:p>
    <w:p w14:paraId="142B0CFB" w14:textId="77777777" w:rsidR="002653E8" w:rsidRPr="00846956" w:rsidRDefault="003115E3">
      <w:pPr>
        <w:spacing w:before="32"/>
        <w:ind w:left="1527"/>
        <w:rPr>
          <w:sz w:val="16"/>
          <w:lang w:val="de-DE"/>
        </w:rPr>
      </w:pPr>
      <w:r w:rsidRPr="00846956">
        <w:rPr>
          <w:color w:val="231F20"/>
          <w:sz w:val="16"/>
          <w:lang w:val="de-DE"/>
        </w:rPr>
        <w:t>(1977) 607; Boock (1984) 616;</w:t>
      </w:r>
    </w:p>
    <w:p w14:paraId="529DC622" w14:textId="77777777" w:rsidR="002653E8" w:rsidRPr="00846956" w:rsidRDefault="003115E3">
      <w:pPr>
        <w:spacing w:before="32"/>
        <w:ind w:left="1527"/>
        <w:rPr>
          <w:sz w:val="16"/>
          <w:lang w:val="de-DE"/>
        </w:rPr>
      </w:pPr>
      <w:r w:rsidRPr="00846956">
        <w:rPr>
          <w:color w:val="231F20"/>
          <w:sz w:val="16"/>
          <w:lang w:val="de-DE"/>
        </w:rPr>
        <w:t>Dellwo-Krabbe-Rössner-Taufer (1976-</w:t>
      </w:r>
    </w:p>
    <w:p w14:paraId="09C6F519" w14:textId="77777777" w:rsidR="002653E8" w:rsidRPr="00846956" w:rsidRDefault="003115E3">
      <w:pPr>
        <w:spacing w:before="33"/>
        <w:ind w:left="1527"/>
        <w:rPr>
          <w:sz w:val="16"/>
          <w:lang w:val="de-DE"/>
        </w:rPr>
      </w:pPr>
      <w:r w:rsidRPr="00846956">
        <w:rPr>
          <w:color w:val="231F20"/>
          <w:w w:val="105"/>
          <w:sz w:val="16"/>
          <w:lang w:val="de-DE"/>
        </w:rPr>
        <w:t>77) 335</w:t>
      </w:r>
      <w:r w:rsidRPr="00846956">
        <w:rPr>
          <w:i/>
          <w:color w:val="231F20"/>
          <w:w w:val="105"/>
          <w:sz w:val="16"/>
          <w:lang w:val="de-DE"/>
        </w:rPr>
        <w:t xml:space="preserve">, </w:t>
      </w:r>
      <w:r w:rsidRPr="00846956">
        <w:rPr>
          <w:color w:val="231F20"/>
          <w:w w:val="105"/>
          <w:sz w:val="16"/>
          <w:lang w:val="de-DE"/>
        </w:rPr>
        <w:t>400</w:t>
      </w:r>
      <w:r w:rsidRPr="00846956">
        <w:rPr>
          <w:i/>
          <w:color w:val="231F20"/>
          <w:w w:val="105"/>
          <w:sz w:val="16"/>
          <w:lang w:val="de-DE"/>
        </w:rPr>
        <w:t xml:space="preserve">, </w:t>
      </w:r>
      <w:r w:rsidRPr="00846956">
        <w:rPr>
          <w:color w:val="231F20"/>
          <w:w w:val="105"/>
          <w:sz w:val="16"/>
          <w:lang w:val="de-DE"/>
        </w:rPr>
        <w:t>404</w:t>
      </w:r>
      <w:r w:rsidRPr="00846956">
        <w:rPr>
          <w:i/>
          <w:color w:val="231F20"/>
          <w:w w:val="105"/>
          <w:sz w:val="16"/>
          <w:lang w:val="de-DE"/>
        </w:rPr>
        <w:t xml:space="preserve">, </w:t>
      </w:r>
      <w:r w:rsidRPr="00846956">
        <w:rPr>
          <w:color w:val="231F20"/>
          <w:w w:val="105"/>
          <w:sz w:val="16"/>
          <w:lang w:val="de-DE"/>
        </w:rPr>
        <w:t>491</w:t>
      </w:r>
      <w:r w:rsidRPr="00846956">
        <w:rPr>
          <w:i/>
          <w:color w:val="231F20"/>
          <w:w w:val="105"/>
          <w:sz w:val="16"/>
          <w:lang w:val="de-DE"/>
        </w:rPr>
        <w:t xml:space="preserve">, </w:t>
      </w:r>
      <w:r w:rsidRPr="00846956">
        <w:rPr>
          <w:color w:val="231F20"/>
          <w:w w:val="105"/>
          <w:sz w:val="16"/>
          <w:lang w:val="de-DE"/>
        </w:rPr>
        <w:t>600</w:t>
      </w:r>
      <w:r w:rsidRPr="00846956">
        <w:rPr>
          <w:i/>
          <w:color w:val="231F20"/>
          <w:w w:val="105"/>
          <w:sz w:val="16"/>
          <w:lang w:val="de-DE"/>
        </w:rPr>
        <w:t xml:space="preserve">, </w:t>
      </w:r>
      <w:r w:rsidRPr="00846956">
        <w:rPr>
          <w:color w:val="231F20"/>
          <w:w w:val="105"/>
          <w:sz w:val="16"/>
          <w:lang w:val="de-DE"/>
        </w:rPr>
        <w:t>606;</w:t>
      </w:r>
    </w:p>
    <w:p w14:paraId="30B58564" w14:textId="77777777" w:rsidR="002653E8" w:rsidRPr="00846956" w:rsidRDefault="003115E3">
      <w:pPr>
        <w:spacing w:before="32"/>
        <w:ind w:left="1527"/>
        <w:rPr>
          <w:sz w:val="16"/>
          <w:lang w:val="de-DE"/>
        </w:rPr>
      </w:pPr>
      <w:r w:rsidRPr="00846956">
        <w:rPr>
          <w:color w:val="231F20"/>
          <w:sz w:val="16"/>
          <w:lang w:val="de-DE"/>
        </w:rPr>
        <w:t>Folkerts (1977) 609; Folkerts (1980)</w:t>
      </w:r>
    </w:p>
    <w:p w14:paraId="3ECB27D8" w14:textId="77777777" w:rsidR="002653E8" w:rsidRPr="00846956" w:rsidRDefault="003115E3">
      <w:pPr>
        <w:spacing w:before="33"/>
        <w:ind w:left="1527"/>
        <w:rPr>
          <w:sz w:val="16"/>
          <w:lang w:val="de-DE"/>
        </w:rPr>
      </w:pPr>
      <w:r w:rsidRPr="00846956">
        <w:rPr>
          <w:color w:val="231F20"/>
          <w:sz w:val="16"/>
          <w:lang w:val="de-DE"/>
        </w:rPr>
        <w:t>613; Friedrich-Sternebeck (1992)  622;</w:t>
      </w:r>
    </w:p>
    <w:p w14:paraId="12C44D22" w14:textId="77777777" w:rsidR="002653E8" w:rsidRPr="00846956" w:rsidRDefault="003115E3">
      <w:pPr>
        <w:spacing w:before="32"/>
        <w:ind w:left="1527"/>
        <w:rPr>
          <w:i/>
          <w:sz w:val="16"/>
          <w:lang w:val="de-DE"/>
        </w:rPr>
      </w:pPr>
      <w:r w:rsidRPr="00846956">
        <w:rPr>
          <w:color w:val="231F20"/>
          <w:sz w:val="16"/>
          <w:lang w:val="de-DE"/>
        </w:rPr>
        <w:t>Grundmann-Jünschke  (1975-77)  302</w:t>
      </w:r>
      <w:r w:rsidRPr="00846956">
        <w:rPr>
          <w:i/>
          <w:color w:val="231F20"/>
          <w:sz w:val="16"/>
          <w:lang w:val="de-DE"/>
        </w:rPr>
        <w:t>,</w:t>
      </w:r>
    </w:p>
    <w:p w14:paraId="0FCFC5A8" w14:textId="77777777" w:rsidR="002653E8" w:rsidRPr="00846956" w:rsidRDefault="003115E3">
      <w:pPr>
        <w:spacing w:before="32"/>
        <w:ind w:left="1527"/>
        <w:rPr>
          <w:sz w:val="16"/>
          <w:lang w:val="de-DE"/>
        </w:rPr>
      </w:pPr>
      <w:r w:rsidRPr="00846956">
        <w:rPr>
          <w:color w:val="231F20"/>
          <w:w w:val="105"/>
          <w:sz w:val="16"/>
          <w:lang w:val="de-DE"/>
        </w:rPr>
        <w:t>430</w:t>
      </w:r>
      <w:r w:rsidRPr="00846956">
        <w:rPr>
          <w:i/>
          <w:color w:val="231F20"/>
          <w:w w:val="105"/>
          <w:sz w:val="16"/>
          <w:lang w:val="de-DE"/>
        </w:rPr>
        <w:t xml:space="preserve">, </w:t>
      </w:r>
      <w:r w:rsidRPr="00846956">
        <w:rPr>
          <w:color w:val="231F20"/>
          <w:w w:val="105"/>
          <w:sz w:val="16"/>
          <w:lang w:val="de-DE"/>
        </w:rPr>
        <w:t>598</w:t>
      </w:r>
      <w:r w:rsidRPr="00846956">
        <w:rPr>
          <w:i/>
          <w:color w:val="231F20"/>
          <w:w w:val="105"/>
          <w:sz w:val="16"/>
          <w:lang w:val="de-DE"/>
        </w:rPr>
        <w:t xml:space="preserve">, </w:t>
      </w:r>
      <w:r w:rsidRPr="00846956">
        <w:rPr>
          <w:color w:val="231F20"/>
          <w:w w:val="105"/>
          <w:sz w:val="16"/>
          <w:lang w:val="de-DE"/>
        </w:rPr>
        <w:t>605; Haag-Mayer (1979)</w:t>
      </w:r>
    </w:p>
    <w:p w14:paraId="30DE6944" w14:textId="77777777" w:rsidR="002653E8" w:rsidRPr="00846956" w:rsidRDefault="003115E3">
      <w:pPr>
        <w:spacing w:before="33"/>
        <w:ind w:left="1527"/>
        <w:rPr>
          <w:sz w:val="16"/>
          <w:lang w:val="de-DE"/>
        </w:rPr>
      </w:pPr>
      <w:r w:rsidRPr="00846956">
        <w:rPr>
          <w:color w:val="231F20"/>
          <w:sz w:val="16"/>
          <w:lang w:val="de-DE"/>
        </w:rPr>
        <w:t>612; Haule (1994) 624; Heissler</w:t>
      </w:r>
    </w:p>
    <w:p w14:paraId="5F79281F" w14:textId="77777777" w:rsidR="002653E8" w:rsidRPr="00846956" w:rsidRDefault="003115E3">
      <w:pPr>
        <w:spacing w:before="32"/>
        <w:ind w:left="1527"/>
        <w:rPr>
          <w:sz w:val="16"/>
          <w:lang w:val="de-DE"/>
        </w:rPr>
      </w:pPr>
      <w:r w:rsidRPr="00846956">
        <w:rPr>
          <w:color w:val="231F20"/>
          <w:sz w:val="16"/>
          <w:lang w:val="de-DE"/>
        </w:rPr>
        <w:t>(1982) 615; Helbing (1992) 621;</w:t>
      </w:r>
    </w:p>
    <w:p w14:paraId="460525F9" w14:textId="77777777" w:rsidR="002653E8" w:rsidRPr="00846956" w:rsidRDefault="003115E3">
      <w:pPr>
        <w:spacing w:before="33"/>
        <w:ind w:left="1527"/>
        <w:rPr>
          <w:sz w:val="16"/>
          <w:lang w:val="de-DE"/>
        </w:rPr>
      </w:pPr>
      <w:r w:rsidRPr="00846956">
        <w:rPr>
          <w:color w:val="231F20"/>
          <w:w w:val="105"/>
          <w:sz w:val="16"/>
          <w:lang w:val="de-DE"/>
        </w:rPr>
        <w:t>Hofmann (1982) 615; Hofmann</w:t>
      </w:r>
    </w:p>
    <w:p w14:paraId="4E8E8CD6" w14:textId="77777777" w:rsidR="002653E8" w:rsidRPr="00846956" w:rsidRDefault="003115E3">
      <w:pPr>
        <w:spacing w:before="32"/>
        <w:ind w:left="1527"/>
        <w:rPr>
          <w:sz w:val="16"/>
          <w:lang w:val="de-DE"/>
        </w:rPr>
      </w:pPr>
      <w:r w:rsidRPr="00846956">
        <w:rPr>
          <w:color w:val="231F20"/>
          <w:sz w:val="16"/>
          <w:lang w:val="de-DE"/>
        </w:rPr>
        <w:t>(1995) 625; Jakobsmeier (1993) 623;</w:t>
      </w:r>
    </w:p>
    <w:p w14:paraId="4DBDBD3E" w14:textId="77777777" w:rsidR="002653E8" w:rsidRPr="00846956" w:rsidRDefault="003115E3">
      <w:pPr>
        <w:spacing w:before="33"/>
        <w:ind w:left="1527"/>
        <w:rPr>
          <w:sz w:val="16"/>
          <w:lang w:val="de-DE"/>
        </w:rPr>
      </w:pPr>
      <w:r w:rsidRPr="00846956">
        <w:rPr>
          <w:color w:val="231F20"/>
          <w:w w:val="105"/>
          <w:sz w:val="16"/>
          <w:lang w:val="de-DE"/>
        </w:rPr>
        <w:t>Klar (1992) 623; Klar-Mohnhaupt</w:t>
      </w:r>
    </w:p>
    <w:p w14:paraId="0311C2A7" w14:textId="77777777" w:rsidR="002653E8" w:rsidRPr="00846956" w:rsidRDefault="003115E3">
      <w:pPr>
        <w:spacing w:before="32"/>
        <w:ind w:left="1527"/>
        <w:rPr>
          <w:sz w:val="16"/>
          <w:lang w:val="de-DE"/>
        </w:rPr>
      </w:pPr>
      <w:r w:rsidRPr="00846956">
        <w:rPr>
          <w:color w:val="231F20"/>
          <w:sz w:val="16"/>
          <w:lang w:val="de-DE"/>
        </w:rPr>
        <w:t>(1985) 617; Kuby (1979) 612; Lotze</w:t>
      </w:r>
    </w:p>
    <w:p w14:paraId="5B652CF3" w14:textId="77777777" w:rsidR="002653E8" w:rsidRPr="00846956" w:rsidRDefault="003115E3">
      <w:pPr>
        <w:spacing w:before="32"/>
        <w:ind w:left="1527"/>
        <w:rPr>
          <w:sz w:val="16"/>
          <w:lang w:val="de-DE"/>
        </w:rPr>
      </w:pPr>
      <w:r w:rsidRPr="00846956">
        <w:rPr>
          <w:color w:val="231F20"/>
          <w:sz w:val="16"/>
          <w:lang w:val="de-DE"/>
        </w:rPr>
        <w:t>(1992) 621; Mahler, Schubert, Goer-</w:t>
      </w:r>
    </w:p>
    <w:p w14:paraId="537A4D88" w14:textId="77777777" w:rsidR="002653E8" w:rsidRPr="00846956" w:rsidRDefault="003115E3">
      <w:pPr>
        <w:spacing w:before="33"/>
        <w:ind w:left="1527"/>
        <w:rPr>
          <w:sz w:val="16"/>
          <w:lang w:val="de-DE"/>
        </w:rPr>
      </w:pPr>
      <w:r w:rsidRPr="00846956">
        <w:rPr>
          <w:color w:val="231F20"/>
          <w:w w:val="105"/>
          <w:sz w:val="16"/>
          <w:lang w:val="de-DE"/>
        </w:rPr>
        <w:t>gens (1971) 60–61</w:t>
      </w:r>
      <w:r w:rsidRPr="00846956">
        <w:rPr>
          <w:i/>
          <w:color w:val="231F20"/>
          <w:w w:val="105"/>
          <w:sz w:val="16"/>
          <w:lang w:val="de-DE"/>
        </w:rPr>
        <w:t xml:space="preserve">, </w:t>
      </w:r>
      <w:r w:rsidRPr="00846956">
        <w:rPr>
          <w:color w:val="231F20"/>
          <w:w w:val="105"/>
          <w:sz w:val="16"/>
          <w:lang w:val="de-DE"/>
        </w:rPr>
        <w:t>63</w:t>
      </w:r>
      <w:r w:rsidRPr="00846956">
        <w:rPr>
          <w:i/>
          <w:color w:val="231F20"/>
          <w:w w:val="105"/>
          <w:sz w:val="16"/>
          <w:lang w:val="de-DE"/>
        </w:rPr>
        <w:t xml:space="preserve">, </w:t>
      </w:r>
      <w:r w:rsidRPr="00846956">
        <w:rPr>
          <w:color w:val="231F20"/>
          <w:w w:val="105"/>
          <w:sz w:val="16"/>
          <w:lang w:val="de-DE"/>
        </w:rPr>
        <w:t>64</w:t>
      </w:r>
      <w:r w:rsidRPr="00846956">
        <w:rPr>
          <w:i/>
          <w:color w:val="231F20"/>
          <w:w w:val="105"/>
          <w:sz w:val="16"/>
          <w:lang w:val="de-DE"/>
        </w:rPr>
        <w:t xml:space="preserve">, </w:t>
      </w:r>
      <w:r w:rsidRPr="00846956">
        <w:rPr>
          <w:color w:val="231F20"/>
          <w:w w:val="105"/>
          <w:sz w:val="16"/>
          <w:lang w:val="de-DE"/>
        </w:rPr>
        <w:t>586</w:t>
      </w:r>
      <w:r w:rsidRPr="00846956">
        <w:rPr>
          <w:i/>
          <w:color w:val="231F20"/>
          <w:w w:val="105"/>
          <w:sz w:val="16"/>
          <w:lang w:val="de-DE"/>
        </w:rPr>
        <w:t xml:space="preserve">, </w:t>
      </w:r>
      <w:r w:rsidRPr="00846956">
        <w:rPr>
          <w:color w:val="231F20"/>
          <w:w w:val="105"/>
          <w:sz w:val="16"/>
          <w:lang w:val="de-DE"/>
        </w:rPr>
        <w:t>589;</w:t>
      </w:r>
    </w:p>
    <w:p w14:paraId="15FD306D" w14:textId="77777777" w:rsidR="002653E8" w:rsidRPr="00846956" w:rsidRDefault="003115E3">
      <w:pPr>
        <w:spacing w:before="32"/>
        <w:ind w:left="1527"/>
        <w:rPr>
          <w:sz w:val="16"/>
          <w:lang w:val="de-DE"/>
        </w:rPr>
      </w:pPr>
      <w:r w:rsidRPr="00846956">
        <w:rPr>
          <w:color w:val="231F20"/>
          <w:sz w:val="16"/>
          <w:lang w:val="de-DE"/>
        </w:rPr>
        <w:t>Möller (1976) 600; Möller (1979)</w:t>
      </w:r>
    </w:p>
    <w:p w14:paraId="2D378D28" w14:textId="77777777" w:rsidR="002653E8" w:rsidRPr="00846956" w:rsidRDefault="003115E3">
      <w:pPr>
        <w:spacing w:before="33"/>
        <w:ind w:left="1527"/>
        <w:rPr>
          <w:sz w:val="16"/>
          <w:lang w:val="de-DE"/>
        </w:rPr>
      </w:pPr>
      <w:r w:rsidRPr="00846956">
        <w:rPr>
          <w:color w:val="231F20"/>
          <w:sz w:val="16"/>
          <w:lang w:val="de-DE"/>
        </w:rPr>
        <w:t>612; Pohle (1973) 111; Pohle (1977)</w:t>
      </w:r>
    </w:p>
    <w:p w14:paraId="472EFCEA" w14:textId="77777777" w:rsidR="002653E8" w:rsidRPr="00846956" w:rsidRDefault="003115E3">
      <w:pPr>
        <w:spacing w:before="32"/>
        <w:ind w:left="1527"/>
        <w:rPr>
          <w:sz w:val="16"/>
          <w:lang w:val="de-DE"/>
        </w:rPr>
      </w:pPr>
      <w:r w:rsidRPr="00846956">
        <w:rPr>
          <w:color w:val="231F20"/>
          <w:sz w:val="16"/>
          <w:lang w:val="de-DE"/>
        </w:rPr>
        <w:t>608; Proll (1973) 240; Proll (1980)</w:t>
      </w:r>
    </w:p>
    <w:p w14:paraId="70A97E7D" w14:textId="77777777" w:rsidR="002653E8" w:rsidRPr="00846956" w:rsidRDefault="003115E3">
      <w:pPr>
        <w:spacing w:before="33"/>
        <w:ind w:left="1527"/>
        <w:rPr>
          <w:sz w:val="16"/>
          <w:lang w:val="de-DE"/>
        </w:rPr>
      </w:pPr>
      <w:r w:rsidRPr="00846956">
        <w:rPr>
          <w:color w:val="231F20"/>
          <w:sz w:val="16"/>
          <w:lang w:val="de-DE"/>
        </w:rPr>
        <w:t>613; Schulz (1985) 617; Schulz (1995)</w:t>
      </w:r>
    </w:p>
    <w:p w14:paraId="31666750" w14:textId="77777777" w:rsidR="002653E8" w:rsidRPr="00846956" w:rsidRDefault="003115E3">
      <w:pPr>
        <w:spacing w:before="32"/>
        <w:ind w:left="1527"/>
        <w:rPr>
          <w:sz w:val="16"/>
          <w:lang w:val="de-DE"/>
        </w:rPr>
      </w:pPr>
      <w:r w:rsidRPr="00846956">
        <w:rPr>
          <w:color w:val="231F20"/>
          <w:sz w:val="16"/>
          <w:lang w:val="de-DE"/>
        </w:rPr>
        <w:t>624; Sonnenberg (1979) 610; Viett</w:t>
      </w:r>
    </w:p>
    <w:p w14:paraId="4096431A" w14:textId="77777777" w:rsidR="002653E8" w:rsidRPr="00846956" w:rsidRDefault="003115E3">
      <w:pPr>
        <w:spacing w:before="32"/>
        <w:ind w:left="1527"/>
        <w:rPr>
          <w:sz w:val="16"/>
          <w:lang w:val="de-DE"/>
        </w:rPr>
      </w:pPr>
      <w:r w:rsidRPr="00846956">
        <w:rPr>
          <w:color w:val="231F20"/>
          <w:sz w:val="16"/>
          <w:lang w:val="de-DE"/>
        </w:rPr>
        <w:t>(1992) 622; Wackernagel-Schneider</w:t>
      </w:r>
    </w:p>
    <w:p w14:paraId="5F990A85" w14:textId="77777777" w:rsidR="002653E8" w:rsidRPr="00846956" w:rsidRDefault="003115E3">
      <w:pPr>
        <w:spacing w:before="33"/>
        <w:ind w:left="1527"/>
        <w:rPr>
          <w:sz w:val="16"/>
          <w:lang w:val="de-DE"/>
        </w:rPr>
      </w:pPr>
      <w:r w:rsidRPr="00846956">
        <w:rPr>
          <w:color w:val="231F20"/>
          <w:sz w:val="16"/>
          <w:lang w:val="de-DE"/>
        </w:rPr>
        <w:t>(1980) 613; Wagner (1980) 613;</w:t>
      </w:r>
    </w:p>
    <w:p w14:paraId="0D357480" w14:textId="77777777" w:rsidR="002653E8" w:rsidRPr="00846956" w:rsidRDefault="003115E3">
      <w:pPr>
        <w:spacing w:before="32"/>
        <w:ind w:left="1527"/>
        <w:rPr>
          <w:sz w:val="16"/>
          <w:lang w:val="de-DE"/>
        </w:rPr>
      </w:pPr>
      <w:r w:rsidRPr="00846956">
        <w:rPr>
          <w:color w:val="231F20"/>
          <w:sz w:val="16"/>
          <w:lang w:val="de-DE"/>
        </w:rPr>
        <w:t>Wagner (1993) 624; Wannersdorfer</w:t>
      </w:r>
    </w:p>
    <w:p w14:paraId="56C3005B" w14:textId="77777777" w:rsidR="002653E8" w:rsidRPr="00846956" w:rsidRDefault="003115E3">
      <w:pPr>
        <w:spacing w:before="33"/>
        <w:ind w:left="1527"/>
        <w:rPr>
          <w:sz w:val="16"/>
          <w:lang w:val="de-DE"/>
        </w:rPr>
      </w:pPr>
      <w:r w:rsidRPr="00846956">
        <w:rPr>
          <w:color w:val="231F20"/>
          <w:sz w:val="16"/>
          <w:lang w:val="de-DE"/>
        </w:rPr>
        <w:t>(1985) 618; Wisniewski (1981) 614;</w:t>
      </w:r>
    </w:p>
    <w:p w14:paraId="11F18332" w14:textId="77777777" w:rsidR="002653E8" w:rsidRPr="00846956" w:rsidRDefault="003115E3">
      <w:pPr>
        <w:spacing w:before="32"/>
        <w:ind w:left="1527"/>
        <w:rPr>
          <w:sz w:val="16"/>
          <w:lang w:val="de-DE"/>
        </w:rPr>
      </w:pPr>
      <w:r w:rsidRPr="00846956">
        <w:rPr>
          <w:color w:val="231F20"/>
          <w:sz w:val="16"/>
          <w:lang w:val="de-DE"/>
        </w:rPr>
        <w:t>Wisniewski (1993) 623</w:t>
      </w:r>
    </w:p>
    <w:p w14:paraId="7942CA5C" w14:textId="77777777" w:rsidR="002653E8" w:rsidRPr="00846956" w:rsidRDefault="003115E3">
      <w:pPr>
        <w:spacing w:before="32"/>
        <w:ind w:left="1301" w:right="222"/>
        <w:jc w:val="center"/>
        <w:rPr>
          <w:i/>
          <w:sz w:val="16"/>
          <w:lang w:val="de-DE"/>
        </w:rPr>
      </w:pPr>
      <w:r w:rsidRPr="00846956">
        <w:rPr>
          <w:color w:val="231F20"/>
          <w:w w:val="105"/>
          <w:sz w:val="16"/>
          <w:lang w:val="de-DE"/>
        </w:rPr>
        <w:t>Ramírez Sánchez, Ilich 438–439</w:t>
      </w:r>
      <w:r w:rsidRPr="00846956">
        <w:rPr>
          <w:i/>
          <w:color w:val="231F20"/>
          <w:w w:val="105"/>
          <w:sz w:val="16"/>
          <w:lang w:val="de-DE"/>
        </w:rPr>
        <w:t xml:space="preserve">, </w:t>
      </w:r>
      <w:r w:rsidRPr="00846956">
        <w:rPr>
          <w:color w:val="231F20"/>
          <w:w w:val="105"/>
          <w:sz w:val="16"/>
          <w:lang w:val="de-DE"/>
        </w:rPr>
        <w:t>561</w:t>
      </w:r>
      <w:r w:rsidRPr="00846956">
        <w:rPr>
          <w:i/>
          <w:color w:val="231F20"/>
          <w:w w:val="105"/>
          <w:sz w:val="16"/>
          <w:lang w:val="de-DE"/>
        </w:rPr>
        <w:t>,</w:t>
      </w:r>
    </w:p>
    <w:p w14:paraId="125A2A47" w14:textId="77777777" w:rsidR="002653E8" w:rsidRDefault="003115E3">
      <w:pPr>
        <w:spacing w:before="33"/>
        <w:ind w:left="1527"/>
        <w:rPr>
          <w:sz w:val="16"/>
        </w:rPr>
      </w:pPr>
      <w:r>
        <w:rPr>
          <w:color w:val="231F20"/>
          <w:w w:val="105"/>
          <w:sz w:val="16"/>
        </w:rPr>
        <w:t>565</w:t>
      </w:r>
      <w:r>
        <w:rPr>
          <w:i/>
          <w:color w:val="231F20"/>
          <w:w w:val="105"/>
          <w:sz w:val="16"/>
        </w:rPr>
        <w:t xml:space="preserve">, </w:t>
      </w:r>
      <w:r>
        <w:rPr>
          <w:color w:val="231F20"/>
          <w:w w:val="105"/>
          <w:sz w:val="16"/>
        </w:rPr>
        <w:t>599</w:t>
      </w:r>
    </w:p>
    <w:p w14:paraId="2814AD34" w14:textId="77777777" w:rsidR="002653E8" w:rsidRDefault="003115E3">
      <w:pPr>
        <w:spacing w:before="32"/>
        <w:ind w:left="1327"/>
        <w:rPr>
          <w:sz w:val="16"/>
        </w:rPr>
      </w:pPr>
      <w:r>
        <w:rPr>
          <w:color w:val="231F20"/>
          <w:sz w:val="16"/>
        </w:rPr>
        <w:t>Rasch, Wilfried 243</w:t>
      </w:r>
    </w:p>
    <w:p w14:paraId="3C455B57" w14:textId="77777777" w:rsidR="002653E8" w:rsidRDefault="003115E3">
      <w:pPr>
        <w:spacing w:before="33" w:line="280" w:lineRule="auto"/>
        <w:ind w:left="1327"/>
        <w:rPr>
          <w:sz w:val="16"/>
        </w:rPr>
      </w:pPr>
      <w:r>
        <w:rPr>
          <w:color w:val="231F20"/>
          <w:w w:val="105"/>
          <w:sz w:val="16"/>
        </w:rPr>
        <w:t>Rashid, Hussein Muhammed al 481 Raspe, Jan-Carl 512</w:t>
      </w:r>
      <w:r>
        <w:rPr>
          <w:i/>
          <w:color w:val="231F20"/>
          <w:w w:val="105"/>
          <w:sz w:val="16"/>
        </w:rPr>
        <w:t xml:space="preserve">, </w:t>
      </w:r>
      <w:r>
        <w:rPr>
          <w:color w:val="231F20"/>
          <w:w w:val="105"/>
          <w:sz w:val="16"/>
        </w:rPr>
        <w:t>573</w:t>
      </w:r>
      <w:r>
        <w:rPr>
          <w:i/>
          <w:color w:val="231F20"/>
          <w:w w:val="105"/>
          <w:sz w:val="16"/>
        </w:rPr>
        <w:t xml:space="preserve">. See also </w:t>
      </w:r>
      <w:r>
        <w:rPr>
          <w:color w:val="231F20"/>
          <w:w w:val="105"/>
          <w:sz w:val="16"/>
        </w:rPr>
        <w:t>Stam-</w:t>
      </w:r>
    </w:p>
    <w:p w14:paraId="4BCDDBF7" w14:textId="77777777" w:rsidR="002653E8" w:rsidRDefault="003115E3">
      <w:pPr>
        <w:spacing w:before="1" w:line="280" w:lineRule="auto"/>
        <w:ind w:left="1527" w:right="236"/>
        <w:rPr>
          <w:sz w:val="16"/>
        </w:rPr>
      </w:pPr>
      <w:r>
        <w:rPr>
          <w:color w:val="231F20"/>
          <w:sz w:val="16"/>
        </w:rPr>
        <w:t>mheim deaths; captured (1972) 170</w:t>
      </w:r>
      <w:r>
        <w:rPr>
          <w:i/>
          <w:color w:val="231F20"/>
          <w:sz w:val="16"/>
        </w:rPr>
        <w:t xml:space="preserve">, </w:t>
      </w:r>
      <w:r>
        <w:rPr>
          <w:color w:val="231F20"/>
          <w:sz w:val="16"/>
        </w:rPr>
        <w:t>200</w:t>
      </w:r>
      <w:r>
        <w:rPr>
          <w:i/>
          <w:color w:val="231F20"/>
          <w:sz w:val="16"/>
        </w:rPr>
        <w:t xml:space="preserve">, </w:t>
      </w:r>
      <w:r>
        <w:rPr>
          <w:color w:val="231F20"/>
          <w:sz w:val="16"/>
        </w:rPr>
        <w:t>591; death in</w:t>
      </w:r>
      <w:r>
        <w:rPr>
          <w:color w:val="231F20"/>
          <w:spacing w:val="-18"/>
          <w:sz w:val="16"/>
        </w:rPr>
        <w:t xml:space="preserve"> </w:t>
      </w:r>
      <w:r>
        <w:rPr>
          <w:color w:val="231F20"/>
          <w:sz w:val="16"/>
        </w:rPr>
        <w:t>Stammheim</w:t>
      </w:r>
    </w:p>
    <w:p w14:paraId="337C77E2" w14:textId="77777777" w:rsidR="002653E8" w:rsidRDefault="003115E3">
      <w:pPr>
        <w:spacing w:before="1" w:line="280" w:lineRule="auto"/>
        <w:ind w:left="1527" w:right="60"/>
        <w:rPr>
          <w:sz w:val="16"/>
        </w:rPr>
      </w:pPr>
      <w:r>
        <w:rPr>
          <w:color w:val="231F20"/>
          <w:sz w:val="16"/>
        </w:rPr>
        <w:t>485–486</w:t>
      </w:r>
      <w:r>
        <w:rPr>
          <w:i/>
          <w:color w:val="231F20"/>
          <w:sz w:val="16"/>
        </w:rPr>
        <w:t xml:space="preserve">, </w:t>
      </w:r>
      <w:r>
        <w:rPr>
          <w:color w:val="231F20"/>
          <w:sz w:val="16"/>
        </w:rPr>
        <w:t>507</w:t>
      </w:r>
      <w:r>
        <w:rPr>
          <w:i/>
          <w:color w:val="231F20"/>
          <w:sz w:val="16"/>
        </w:rPr>
        <w:t xml:space="preserve">,  </w:t>
      </w:r>
      <w:r>
        <w:rPr>
          <w:color w:val="231F20"/>
          <w:sz w:val="16"/>
        </w:rPr>
        <w:t>608;  force-feeding 259;</w:t>
      </w:r>
      <w:r>
        <w:rPr>
          <w:color w:val="231F20"/>
          <w:spacing w:val="15"/>
          <w:sz w:val="16"/>
        </w:rPr>
        <w:t xml:space="preserve"> </w:t>
      </w:r>
      <w:r>
        <w:rPr>
          <w:color w:val="231F20"/>
          <w:sz w:val="16"/>
        </w:rPr>
        <w:t xml:space="preserve">isolation </w:t>
      </w:r>
      <w:r>
        <w:rPr>
          <w:color w:val="231F20"/>
          <w:spacing w:val="33"/>
          <w:sz w:val="16"/>
        </w:rPr>
        <w:t xml:space="preserve"> </w:t>
      </w:r>
      <w:r>
        <w:rPr>
          <w:color w:val="231F20"/>
          <w:sz w:val="16"/>
        </w:rPr>
        <w:t>244;</w:t>
      </w:r>
      <w:r>
        <w:rPr>
          <w:color w:val="231F20"/>
          <w:spacing w:val="15"/>
          <w:sz w:val="16"/>
        </w:rPr>
        <w:t xml:space="preserve"> </w:t>
      </w:r>
      <w:r>
        <w:rPr>
          <w:color w:val="231F20"/>
          <w:sz w:val="16"/>
        </w:rPr>
        <w:t>On</w:t>
      </w:r>
      <w:r>
        <w:rPr>
          <w:color w:val="231F20"/>
          <w:spacing w:val="15"/>
          <w:sz w:val="16"/>
        </w:rPr>
        <w:t xml:space="preserve"> </w:t>
      </w:r>
      <w:r>
        <w:rPr>
          <w:color w:val="231F20"/>
          <w:sz w:val="16"/>
        </w:rPr>
        <w:t>the</w:t>
      </w:r>
      <w:r>
        <w:rPr>
          <w:color w:val="231F20"/>
          <w:spacing w:val="15"/>
          <w:sz w:val="16"/>
        </w:rPr>
        <w:t xml:space="preserve"> </w:t>
      </w:r>
      <w:r>
        <w:rPr>
          <w:color w:val="231F20"/>
          <w:sz w:val="16"/>
        </w:rPr>
        <w:t>Murder</w:t>
      </w:r>
      <w:r>
        <w:rPr>
          <w:color w:val="231F20"/>
          <w:spacing w:val="15"/>
          <w:sz w:val="16"/>
        </w:rPr>
        <w:t xml:space="preserve"> </w:t>
      </w:r>
      <w:r>
        <w:rPr>
          <w:color w:val="231F20"/>
          <w:sz w:val="16"/>
        </w:rPr>
        <w:t>of</w:t>
      </w:r>
    </w:p>
    <w:p w14:paraId="490FFB2F" w14:textId="77777777" w:rsidR="002653E8" w:rsidRDefault="003115E3">
      <w:pPr>
        <w:spacing w:before="1"/>
        <w:ind w:left="1527"/>
        <w:rPr>
          <w:i/>
          <w:sz w:val="16"/>
        </w:rPr>
      </w:pPr>
      <w:r>
        <w:rPr>
          <w:color w:val="231F20"/>
          <w:w w:val="105"/>
          <w:sz w:val="16"/>
        </w:rPr>
        <w:t>Ulrike Meinhof (1976) 391</w:t>
      </w:r>
      <w:r>
        <w:rPr>
          <w:i/>
          <w:color w:val="231F20"/>
          <w:w w:val="105"/>
          <w:sz w:val="16"/>
        </w:rPr>
        <w:t xml:space="preserve">, </w:t>
      </w:r>
      <w:r>
        <w:rPr>
          <w:color w:val="231F20"/>
          <w:w w:val="105"/>
          <w:sz w:val="16"/>
        </w:rPr>
        <w:t>395–396</w:t>
      </w:r>
      <w:r>
        <w:rPr>
          <w:i/>
          <w:color w:val="231F20"/>
          <w:w w:val="105"/>
          <w:sz w:val="16"/>
        </w:rPr>
        <w:t>,</w:t>
      </w:r>
    </w:p>
    <w:p w14:paraId="05240B00" w14:textId="77777777" w:rsidR="002653E8" w:rsidRDefault="003115E3">
      <w:pPr>
        <w:spacing w:before="32" w:line="280" w:lineRule="auto"/>
        <w:ind w:left="1527"/>
        <w:rPr>
          <w:i/>
          <w:sz w:val="16"/>
        </w:rPr>
      </w:pPr>
      <w:r>
        <w:rPr>
          <w:color w:val="231F20"/>
          <w:sz w:val="16"/>
        </w:rPr>
        <w:t>600; postmortem and burial 384</w:t>
      </w:r>
      <w:r>
        <w:rPr>
          <w:i/>
          <w:color w:val="231F20"/>
          <w:sz w:val="16"/>
        </w:rPr>
        <w:t xml:space="preserve">, </w:t>
      </w:r>
      <w:r>
        <w:rPr>
          <w:color w:val="231F20"/>
          <w:sz w:val="16"/>
        </w:rPr>
        <w:t>533–534; preface to Fragment Regarding Structure (1976) 397; prison 238</w:t>
      </w:r>
      <w:r>
        <w:rPr>
          <w:i/>
          <w:color w:val="231F20"/>
          <w:sz w:val="16"/>
        </w:rPr>
        <w:t>,</w:t>
      </w:r>
    </w:p>
    <w:p w14:paraId="52C6B912" w14:textId="77777777" w:rsidR="002653E8" w:rsidRDefault="003115E3">
      <w:pPr>
        <w:spacing w:before="2"/>
        <w:ind w:left="1527"/>
        <w:rPr>
          <w:sz w:val="16"/>
        </w:rPr>
      </w:pPr>
      <w:r>
        <w:rPr>
          <w:color w:val="231F20"/>
          <w:w w:val="105"/>
          <w:sz w:val="16"/>
        </w:rPr>
        <w:t>286</w:t>
      </w:r>
      <w:r>
        <w:rPr>
          <w:i/>
          <w:color w:val="231F20"/>
          <w:w w:val="105"/>
          <w:sz w:val="16"/>
        </w:rPr>
        <w:t xml:space="preserve">, </w:t>
      </w:r>
      <w:r>
        <w:rPr>
          <w:color w:val="231F20"/>
          <w:w w:val="105"/>
          <w:sz w:val="16"/>
        </w:rPr>
        <w:t>471</w:t>
      </w:r>
      <w:r>
        <w:rPr>
          <w:i/>
          <w:color w:val="231F20"/>
          <w:w w:val="105"/>
          <w:sz w:val="16"/>
        </w:rPr>
        <w:t xml:space="preserve">, </w:t>
      </w:r>
      <w:r>
        <w:rPr>
          <w:color w:val="231F20"/>
          <w:w w:val="105"/>
          <w:sz w:val="16"/>
        </w:rPr>
        <w:t xml:space="preserve">548–549; joins </w:t>
      </w:r>
      <w:r w:rsidR="00C507A5">
        <w:rPr>
          <w:color w:val="231F20"/>
          <w:w w:val="105"/>
          <w:sz w:val="16"/>
        </w:rPr>
        <w:t>red army faction</w:t>
      </w:r>
      <w:r>
        <w:rPr>
          <w:color w:val="231F20"/>
          <w:w w:val="105"/>
          <w:sz w:val="16"/>
        </w:rPr>
        <w:t xml:space="preserve"> 59;</w:t>
      </w:r>
    </w:p>
    <w:p w14:paraId="2CB6B89D" w14:textId="77777777" w:rsidR="002653E8" w:rsidRDefault="003115E3">
      <w:pPr>
        <w:spacing w:before="32"/>
        <w:ind w:left="1527"/>
        <w:rPr>
          <w:i/>
          <w:sz w:val="16"/>
        </w:rPr>
      </w:pPr>
      <w:r>
        <w:rPr>
          <w:color w:val="231F20"/>
          <w:w w:val="105"/>
          <w:sz w:val="16"/>
        </w:rPr>
        <w:t>release demanded 328</w:t>
      </w:r>
      <w:r>
        <w:rPr>
          <w:i/>
          <w:color w:val="231F20"/>
          <w:w w:val="105"/>
          <w:sz w:val="16"/>
        </w:rPr>
        <w:t xml:space="preserve">, </w:t>
      </w:r>
      <w:r>
        <w:rPr>
          <w:color w:val="231F20"/>
          <w:w w:val="105"/>
          <w:sz w:val="16"/>
        </w:rPr>
        <w:t>332</w:t>
      </w:r>
      <w:r>
        <w:rPr>
          <w:i/>
          <w:color w:val="231F20"/>
          <w:w w:val="105"/>
          <w:sz w:val="16"/>
        </w:rPr>
        <w:t xml:space="preserve">, </w:t>
      </w:r>
      <w:r>
        <w:rPr>
          <w:color w:val="231F20"/>
          <w:w w:val="105"/>
          <w:sz w:val="16"/>
        </w:rPr>
        <w:t>339</w:t>
      </w:r>
      <w:r>
        <w:rPr>
          <w:i/>
          <w:color w:val="231F20"/>
          <w:w w:val="105"/>
          <w:sz w:val="16"/>
        </w:rPr>
        <w:t>,</w:t>
      </w:r>
      <w:r>
        <w:rPr>
          <w:i/>
          <w:color w:val="231F20"/>
          <w:spacing w:val="-29"/>
          <w:w w:val="105"/>
          <w:sz w:val="16"/>
        </w:rPr>
        <w:t xml:space="preserve"> </w:t>
      </w:r>
      <w:r>
        <w:rPr>
          <w:color w:val="231F20"/>
          <w:w w:val="105"/>
          <w:sz w:val="16"/>
        </w:rPr>
        <w:t>440</w:t>
      </w:r>
      <w:r>
        <w:rPr>
          <w:i/>
          <w:color w:val="231F20"/>
          <w:w w:val="105"/>
          <w:sz w:val="16"/>
        </w:rPr>
        <w:t>,</w:t>
      </w:r>
    </w:p>
    <w:p w14:paraId="78D5270A" w14:textId="77777777" w:rsidR="002653E8" w:rsidRDefault="003115E3">
      <w:pPr>
        <w:spacing w:before="33"/>
        <w:ind w:left="1527"/>
        <w:rPr>
          <w:sz w:val="16"/>
        </w:rPr>
      </w:pPr>
      <w:r>
        <w:rPr>
          <w:color w:val="231F20"/>
          <w:w w:val="105"/>
          <w:sz w:val="16"/>
        </w:rPr>
        <w:t>476</w:t>
      </w:r>
      <w:r>
        <w:rPr>
          <w:i/>
          <w:color w:val="231F20"/>
          <w:w w:val="105"/>
          <w:sz w:val="16"/>
        </w:rPr>
        <w:t xml:space="preserve">, </w:t>
      </w:r>
      <w:r>
        <w:rPr>
          <w:color w:val="231F20"/>
          <w:w w:val="105"/>
          <w:sz w:val="16"/>
        </w:rPr>
        <w:t>492</w:t>
      </w:r>
      <w:r>
        <w:rPr>
          <w:i/>
          <w:color w:val="231F20"/>
          <w:w w:val="105"/>
          <w:sz w:val="16"/>
        </w:rPr>
        <w:t xml:space="preserve">, </w:t>
      </w:r>
      <w:r>
        <w:rPr>
          <w:color w:val="231F20"/>
          <w:w w:val="105"/>
          <w:sz w:val="16"/>
        </w:rPr>
        <w:t>498</w:t>
      </w:r>
      <w:r>
        <w:rPr>
          <w:i/>
          <w:color w:val="231F20"/>
          <w:w w:val="105"/>
          <w:sz w:val="16"/>
        </w:rPr>
        <w:t xml:space="preserve">, </w:t>
      </w:r>
      <w:r>
        <w:rPr>
          <w:color w:val="231F20"/>
          <w:w w:val="105"/>
          <w:sz w:val="16"/>
        </w:rPr>
        <w:t>505; Spiegel interview</w:t>
      </w:r>
    </w:p>
    <w:p w14:paraId="244799D4" w14:textId="77777777" w:rsidR="002653E8" w:rsidRDefault="003115E3">
      <w:pPr>
        <w:spacing w:before="32"/>
        <w:ind w:left="1527"/>
        <w:rPr>
          <w:sz w:val="16"/>
        </w:rPr>
      </w:pPr>
      <w:r>
        <w:rPr>
          <w:color w:val="231F20"/>
          <w:sz w:val="16"/>
        </w:rPr>
        <w:t>(1975) 300</w:t>
      </w:r>
      <w:r>
        <w:rPr>
          <w:i/>
          <w:color w:val="231F20"/>
          <w:sz w:val="16"/>
        </w:rPr>
        <w:t xml:space="preserve">, </w:t>
      </w:r>
      <w:r>
        <w:rPr>
          <w:color w:val="231F20"/>
          <w:sz w:val="16"/>
        </w:rPr>
        <w:t>596; Stammheim trial</w:t>
      </w:r>
    </w:p>
    <w:p w14:paraId="69E522C5" w14:textId="77777777" w:rsidR="002653E8" w:rsidRDefault="003115E3">
      <w:pPr>
        <w:spacing w:before="86" w:line="280" w:lineRule="auto"/>
        <w:ind w:left="478" w:right="1221"/>
        <w:rPr>
          <w:sz w:val="16"/>
        </w:rPr>
      </w:pPr>
      <w:r>
        <w:br w:type="column"/>
      </w:r>
      <w:r>
        <w:rPr>
          <w:color w:val="231F20"/>
          <w:sz w:val="16"/>
        </w:rPr>
        <w:t>420</w:t>
      </w:r>
      <w:r>
        <w:rPr>
          <w:i/>
          <w:color w:val="231F20"/>
          <w:sz w:val="16"/>
        </w:rPr>
        <w:t xml:space="preserve">, </w:t>
      </w:r>
      <w:r>
        <w:rPr>
          <w:color w:val="231F20"/>
          <w:sz w:val="16"/>
        </w:rPr>
        <w:t>604</w:t>
      </w:r>
      <w:r>
        <w:rPr>
          <w:i/>
          <w:color w:val="231F20"/>
          <w:sz w:val="16"/>
        </w:rPr>
        <w:t xml:space="preserve">. See also </w:t>
      </w:r>
      <w:r>
        <w:rPr>
          <w:color w:val="231F20"/>
          <w:sz w:val="16"/>
        </w:rPr>
        <w:t>Stammheim trial (1976-77); Statement Breaking Off the Fifth Hunger Strike (1977) 476</w:t>
      </w:r>
      <w:r>
        <w:rPr>
          <w:i/>
          <w:color w:val="231F20"/>
          <w:sz w:val="16"/>
        </w:rPr>
        <w:t xml:space="preserve">, </w:t>
      </w:r>
      <w:r>
        <w:rPr>
          <w:color w:val="231F20"/>
          <w:sz w:val="16"/>
        </w:rPr>
        <w:t>495</w:t>
      </w:r>
    </w:p>
    <w:p w14:paraId="1673C7B8" w14:textId="77777777" w:rsidR="002653E8" w:rsidRDefault="003115E3">
      <w:pPr>
        <w:spacing w:before="2"/>
        <w:ind w:left="278"/>
        <w:rPr>
          <w:i/>
          <w:sz w:val="16"/>
        </w:rPr>
      </w:pPr>
      <w:r>
        <w:rPr>
          <w:color w:val="231F20"/>
          <w:w w:val="105"/>
          <w:sz w:val="16"/>
        </w:rPr>
        <w:t>Rauch, Georg von   110</w:t>
      </w:r>
      <w:r>
        <w:rPr>
          <w:i/>
          <w:color w:val="231F20"/>
          <w:w w:val="105"/>
          <w:sz w:val="16"/>
        </w:rPr>
        <w:t xml:space="preserve">, </w:t>
      </w:r>
      <w:r>
        <w:rPr>
          <w:color w:val="231F20"/>
          <w:w w:val="105"/>
          <w:sz w:val="16"/>
        </w:rPr>
        <w:t>574</w:t>
      </w:r>
      <w:r>
        <w:rPr>
          <w:i/>
          <w:color w:val="231F20"/>
          <w:w w:val="105"/>
          <w:sz w:val="16"/>
        </w:rPr>
        <w:t xml:space="preserve">, </w:t>
      </w:r>
      <w:r>
        <w:rPr>
          <w:color w:val="231F20"/>
          <w:w w:val="105"/>
          <w:sz w:val="16"/>
        </w:rPr>
        <w:t>581</w:t>
      </w:r>
      <w:r>
        <w:rPr>
          <w:i/>
          <w:color w:val="231F20"/>
          <w:w w:val="105"/>
          <w:sz w:val="16"/>
        </w:rPr>
        <w:t xml:space="preserve">, </w:t>
      </w:r>
      <w:r>
        <w:rPr>
          <w:color w:val="231F20"/>
          <w:w w:val="105"/>
          <w:sz w:val="16"/>
        </w:rPr>
        <w:t>587</w:t>
      </w:r>
      <w:r>
        <w:rPr>
          <w:i/>
          <w:color w:val="231F20"/>
          <w:w w:val="105"/>
          <w:sz w:val="16"/>
        </w:rPr>
        <w:t>,</w:t>
      </w:r>
    </w:p>
    <w:p w14:paraId="72C1A3C0" w14:textId="77777777" w:rsidR="002653E8" w:rsidRDefault="003115E3">
      <w:pPr>
        <w:spacing w:before="32"/>
        <w:ind w:left="478"/>
        <w:rPr>
          <w:i/>
          <w:sz w:val="16"/>
        </w:rPr>
      </w:pPr>
      <w:r>
        <w:rPr>
          <w:color w:val="231F20"/>
          <w:sz w:val="16"/>
        </w:rPr>
        <w:t xml:space="preserve">588; death mentioned by  </w:t>
      </w:r>
      <w:r w:rsidR="00C507A5">
        <w:rPr>
          <w:color w:val="231F20"/>
          <w:sz w:val="16"/>
        </w:rPr>
        <w:t>red army faction</w:t>
      </w:r>
      <w:r>
        <w:rPr>
          <w:color w:val="231F20"/>
          <w:sz w:val="16"/>
        </w:rPr>
        <w:t xml:space="preserve">   123</w:t>
      </w:r>
      <w:r>
        <w:rPr>
          <w:i/>
          <w:color w:val="231F20"/>
          <w:sz w:val="16"/>
        </w:rPr>
        <w:t>,</w:t>
      </w:r>
    </w:p>
    <w:p w14:paraId="09B3E8A6" w14:textId="77777777" w:rsidR="002653E8" w:rsidRDefault="003115E3">
      <w:pPr>
        <w:spacing w:before="33"/>
        <w:ind w:left="478"/>
        <w:rPr>
          <w:sz w:val="16"/>
        </w:rPr>
      </w:pPr>
      <w:r>
        <w:rPr>
          <w:color w:val="231F20"/>
          <w:sz w:val="16"/>
        </w:rPr>
        <w:t>148</w:t>
      </w:r>
      <w:r>
        <w:rPr>
          <w:i/>
          <w:color w:val="231F20"/>
          <w:sz w:val="16"/>
        </w:rPr>
        <w:t xml:space="preserve">, </w:t>
      </w:r>
      <w:r>
        <w:rPr>
          <w:color w:val="231F20"/>
          <w:sz w:val="16"/>
        </w:rPr>
        <w:t>183</w:t>
      </w:r>
      <w:r>
        <w:rPr>
          <w:i/>
          <w:color w:val="231F20"/>
          <w:sz w:val="16"/>
        </w:rPr>
        <w:t xml:space="preserve">, </w:t>
      </w:r>
      <w:r>
        <w:rPr>
          <w:color w:val="231F20"/>
          <w:sz w:val="16"/>
        </w:rPr>
        <w:t>233; Erich Fried on 247;</w:t>
      </w:r>
    </w:p>
    <w:p w14:paraId="55F0F15C" w14:textId="77777777" w:rsidR="002653E8" w:rsidRDefault="003115E3">
      <w:pPr>
        <w:spacing w:before="32"/>
        <w:ind w:left="478"/>
        <w:rPr>
          <w:i/>
          <w:sz w:val="16"/>
        </w:rPr>
      </w:pPr>
      <w:r>
        <w:rPr>
          <w:color w:val="231F20"/>
          <w:sz w:val="16"/>
        </w:rPr>
        <w:t>killed by police (1971) 110–111</w:t>
      </w:r>
      <w:r>
        <w:rPr>
          <w:i/>
          <w:color w:val="231F20"/>
          <w:sz w:val="16"/>
        </w:rPr>
        <w:t>,</w:t>
      </w:r>
    </w:p>
    <w:p w14:paraId="17683416" w14:textId="77777777" w:rsidR="002653E8" w:rsidRPr="00846956" w:rsidRDefault="003115E3">
      <w:pPr>
        <w:spacing w:before="33"/>
        <w:ind w:left="478"/>
        <w:rPr>
          <w:sz w:val="16"/>
          <w:lang w:val="de-DE"/>
        </w:rPr>
      </w:pPr>
      <w:r w:rsidRPr="00846956">
        <w:rPr>
          <w:color w:val="231F20"/>
          <w:sz w:val="16"/>
          <w:lang w:val="de-DE"/>
        </w:rPr>
        <w:t>588–589</w:t>
      </w:r>
    </w:p>
    <w:p w14:paraId="13A2E56B" w14:textId="77777777" w:rsidR="002653E8" w:rsidRPr="00846956" w:rsidRDefault="003115E3">
      <w:pPr>
        <w:spacing w:before="32"/>
        <w:ind w:left="278"/>
        <w:rPr>
          <w:sz w:val="16"/>
          <w:lang w:val="de-DE"/>
        </w:rPr>
      </w:pPr>
      <w:r w:rsidRPr="00846956">
        <w:rPr>
          <w:color w:val="231F20"/>
          <w:sz w:val="16"/>
          <w:lang w:val="de-DE"/>
        </w:rPr>
        <w:t>Rau, Johannes 626</w:t>
      </w:r>
    </w:p>
    <w:p w14:paraId="6B4800E7" w14:textId="77777777" w:rsidR="002653E8" w:rsidRPr="00846956" w:rsidRDefault="003115E3">
      <w:pPr>
        <w:spacing w:before="32"/>
        <w:ind w:left="278"/>
        <w:rPr>
          <w:sz w:val="16"/>
          <w:lang w:val="de-DE"/>
        </w:rPr>
      </w:pPr>
      <w:r w:rsidRPr="00846956">
        <w:rPr>
          <w:color w:val="231F20"/>
          <w:sz w:val="16"/>
          <w:lang w:val="de-DE"/>
        </w:rPr>
        <w:t>Rauschke (pathologist) 334</w:t>
      </w:r>
      <w:r w:rsidRPr="00846956">
        <w:rPr>
          <w:i/>
          <w:color w:val="231F20"/>
          <w:sz w:val="16"/>
          <w:lang w:val="de-DE"/>
        </w:rPr>
        <w:t xml:space="preserve">, </w:t>
      </w:r>
      <w:r w:rsidRPr="00846956">
        <w:rPr>
          <w:color w:val="231F20"/>
          <w:sz w:val="16"/>
          <w:lang w:val="de-DE"/>
        </w:rPr>
        <w:t>384</w:t>
      </w:r>
      <w:r w:rsidRPr="00846956">
        <w:rPr>
          <w:i/>
          <w:color w:val="231F20"/>
          <w:sz w:val="16"/>
          <w:lang w:val="de-DE"/>
        </w:rPr>
        <w:t xml:space="preserve">, </w:t>
      </w:r>
      <w:r w:rsidRPr="00846956">
        <w:rPr>
          <w:color w:val="231F20"/>
          <w:sz w:val="16"/>
          <w:lang w:val="de-DE"/>
        </w:rPr>
        <w:t>386</w:t>
      </w:r>
    </w:p>
    <w:p w14:paraId="44577F40" w14:textId="77777777" w:rsidR="002653E8" w:rsidRDefault="003115E3">
      <w:pPr>
        <w:spacing w:before="33"/>
        <w:ind w:left="278"/>
        <w:rPr>
          <w:sz w:val="16"/>
        </w:rPr>
      </w:pPr>
      <w:r>
        <w:rPr>
          <w:color w:val="231F20"/>
          <w:w w:val="110"/>
          <w:sz w:val="16"/>
        </w:rPr>
        <w:t>Ray, Michele 54</w:t>
      </w:r>
      <w:r>
        <w:rPr>
          <w:i/>
          <w:color w:val="231F20"/>
          <w:w w:val="110"/>
          <w:sz w:val="16"/>
        </w:rPr>
        <w:t xml:space="preserve">, </w:t>
      </w:r>
      <w:r>
        <w:rPr>
          <w:color w:val="231F20"/>
          <w:w w:val="110"/>
          <w:sz w:val="16"/>
        </w:rPr>
        <w:t>83</w:t>
      </w:r>
    </w:p>
    <w:p w14:paraId="6BB9924A" w14:textId="77777777" w:rsidR="002653E8" w:rsidRDefault="003115E3">
      <w:pPr>
        <w:spacing w:before="32"/>
        <w:ind w:left="278"/>
        <w:rPr>
          <w:sz w:val="16"/>
        </w:rPr>
      </w:pPr>
      <w:r>
        <w:rPr>
          <w:color w:val="231F20"/>
          <w:sz w:val="16"/>
        </w:rPr>
        <w:t>rear base areas 56</w:t>
      </w:r>
      <w:r>
        <w:rPr>
          <w:i/>
          <w:color w:val="231F20"/>
          <w:sz w:val="16"/>
        </w:rPr>
        <w:t xml:space="preserve">, </w:t>
      </w:r>
      <w:r>
        <w:rPr>
          <w:color w:val="231F20"/>
          <w:sz w:val="16"/>
        </w:rPr>
        <w:t>57</w:t>
      </w:r>
    </w:p>
    <w:p w14:paraId="492E0B22" w14:textId="77777777" w:rsidR="002653E8" w:rsidRDefault="003115E3">
      <w:pPr>
        <w:spacing w:before="33"/>
        <w:ind w:left="278"/>
        <w:rPr>
          <w:sz w:val="16"/>
        </w:rPr>
      </w:pPr>
      <w:r>
        <w:rPr>
          <w:color w:val="231F20"/>
          <w:sz w:val="16"/>
        </w:rPr>
        <w:t>rearmement 20</w:t>
      </w:r>
      <w:r>
        <w:rPr>
          <w:i/>
          <w:color w:val="231F20"/>
          <w:sz w:val="16"/>
        </w:rPr>
        <w:t xml:space="preserve">, </w:t>
      </w:r>
      <w:r>
        <w:rPr>
          <w:color w:val="231F20"/>
          <w:sz w:val="16"/>
        </w:rPr>
        <w:t>22; movement against</w:t>
      </w:r>
    </w:p>
    <w:p w14:paraId="066DE0B6" w14:textId="77777777" w:rsidR="002653E8" w:rsidRDefault="003115E3">
      <w:pPr>
        <w:spacing w:before="32"/>
        <w:ind w:left="478"/>
        <w:rPr>
          <w:sz w:val="16"/>
        </w:rPr>
      </w:pPr>
      <w:r>
        <w:rPr>
          <w:color w:val="231F20"/>
          <w:w w:val="105"/>
          <w:sz w:val="16"/>
        </w:rPr>
        <w:t>20–22</w:t>
      </w:r>
      <w:r>
        <w:rPr>
          <w:i/>
          <w:color w:val="231F20"/>
          <w:w w:val="105"/>
          <w:sz w:val="16"/>
        </w:rPr>
        <w:t xml:space="preserve">, </w:t>
      </w:r>
      <w:r>
        <w:rPr>
          <w:color w:val="231F20"/>
          <w:w w:val="105"/>
          <w:sz w:val="16"/>
        </w:rPr>
        <w:t>23</w:t>
      </w:r>
    </w:p>
    <w:p w14:paraId="405252ED" w14:textId="77777777" w:rsidR="002653E8" w:rsidRDefault="003115E3">
      <w:pPr>
        <w:spacing w:before="32"/>
        <w:ind w:left="278"/>
        <w:rPr>
          <w:sz w:val="16"/>
        </w:rPr>
      </w:pPr>
      <w:r>
        <w:rPr>
          <w:color w:val="231F20"/>
          <w:w w:val="105"/>
          <w:sz w:val="16"/>
        </w:rPr>
        <w:t>Rebmann, Kurt 475–476</w:t>
      </w:r>
      <w:r>
        <w:rPr>
          <w:i/>
          <w:color w:val="231F20"/>
          <w:w w:val="105"/>
          <w:sz w:val="16"/>
        </w:rPr>
        <w:t xml:space="preserve">, </w:t>
      </w:r>
      <w:r>
        <w:rPr>
          <w:color w:val="231F20"/>
          <w:w w:val="105"/>
          <w:sz w:val="16"/>
        </w:rPr>
        <w:t>574</w:t>
      </w:r>
      <w:r>
        <w:rPr>
          <w:i/>
          <w:color w:val="231F20"/>
          <w:w w:val="105"/>
          <w:sz w:val="16"/>
        </w:rPr>
        <w:t xml:space="preserve">, </w:t>
      </w:r>
      <w:r>
        <w:rPr>
          <w:color w:val="231F20"/>
          <w:w w:val="105"/>
          <w:sz w:val="16"/>
        </w:rPr>
        <w:t>605; men-</w:t>
      </w:r>
    </w:p>
    <w:p w14:paraId="31441967" w14:textId="77777777" w:rsidR="002653E8" w:rsidRDefault="003115E3">
      <w:pPr>
        <w:spacing w:before="33"/>
        <w:ind w:left="478"/>
        <w:rPr>
          <w:sz w:val="16"/>
        </w:rPr>
      </w:pPr>
      <w:r>
        <w:rPr>
          <w:color w:val="231F20"/>
          <w:w w:val="105"/>
          <w:sz w:val="16"/>
        </w:rPr>
        <w:t xml:space="preserve">tioned by </w:t>
      </w:r>
      <w:r w:rsidR="00C507A5">
        <w:rPr>
          <w:color w:val="231F20"/>
          <w:w w:val="105"/>
          <w:sz w:val="16"/>
        </w:rPr>
        <w:t>red army faction</w:t>
      </w:r>
      <w:r>
        <w:rPr>
          <w:color w:val="231F20"/>
          <w:w w:val="105"/>
          <w:sz w:val="16"/>
        </w:rPr>
        <w:t xml:space="preserve">  495</w:t>
      </w:r>
      <w:r>
        <w:rPr>
          <w:i/>
          <w:color w:val="231F20"/>
          <w:w w:val="105"/>
          <w:sz w:val="16"/>
        </w:rPr>
        <w:t xml:space="preserve">, </w:t>
      </w:r>
      <w:r>
        <w:rPr>
          <w:color w:val="231F20"/>
          <w:w w:val="105"/>
          <w:sz w:val="16"/>
        </w:rPr>
        <w:t>496</w:t>
      </w:r>
      <w:r>
        <w:rPr>
          <w:i/>
          <w:color w:val="231F20"/>
          <w:w w:val="105"/>
          <w:sz w:val="16"/>
        </w:rPr>
        <w:t xml:space="preserve">, </w:t>
      </w:r>
      <w:r>
        <w:rPr>
          <w:color w:val="231F20"/>
          <w:w w:val="105"/>
          <w:sz w:val="16"/>
        </w:rPr>
        <w:t>533</w:t>
      </w:r>
    </w:p>
    <w:p w14:paraId="1C8F4CF3" w14:textId="77777777" w:rsidR="002653E8" w:rsidRDefault="003115E3">
      <w:pPr>
        <w:spacing w:before="32"/>
        <w:ind w:left="278"/>
        <w:rPr>
          <w:sz w:val="16"/>
        </w:rPr>
      </w:pPr>
      <w:r>
        <w:rPr>
          <w:color w:val="231F20"/>
          <w:sz w:val="16"/>
        </w:rPr>
        <w:t>recession (1966-67)  28–29</w:t>
      </w:r>
      <w:r>
        <w:rPr>
          <w:i/>
          <w:color w:val="231F20"/>
          <w:sz w:val="16"/>
        </w:rPr>
        <w:t xml:space="preserve">, </w:t>
      </w:r>
      <w:r>
        <w:rPr>
          <w:color w:val="231F20"/>
          <w:sz w:val="16"/>
        </w:rPr>
        <w:t>126</w:t>
      </w:r>
    </w:p>
    <w:p w14:paraId="4087D986" w14:textId="77777777" w:rsidR="002653E8" w:rsidRDefault="003115E3">
      <w:pPr>
        <w:spacing w:before="33"/>
        <w:ind w:left="278"/>
        <w:rPr>
          <w:sz w:val="16"/>
        </w:rPr>
      </w:pPr>
      <w:r>
        <w:rPr>
          <w:color w:val="231F20"/>
          <w:w w:val="105"/>
          <w:sz w:val="16"/>
        </w:rPr>
        <w:t>Red Aid 107</w:t>
      </w:r>
      <w:r>
        <w:rPr>
          <w:i/>
          <w:color w:val="231F20"/>
          <w:w w:val="105"/>
          <w:sz w:val="16"/>
        </w:rPr>
        <w:t xml:space="preserve">, </w:t>
      </w:r>
      <w:r>
        <w:rPr>
          <w:color w:val="231F20"/>
          <w:w w:val="105"/>
          <w:sz w:val="16"/>
        </w:rPr>
        <w:t>168–169</w:t>
      </w:r>
      <w:r>
        <w:rPr>
          <w:i/>
          <w:color w:val="231F20"/>
          <w:w w:val="105"/>
          <w:sz w:val="16"/>
        </w:rPr>
        <w:t xml:space="preserve">, </w:t>
      </w:r>
      <w:r>
        <w:rPr>
          <w:color w:val="231F20"/>
          <w:w w:val="105"/>
          <w:sz w:val="16"/>
        </w:rPr>
        <w:t>245</w:t>
      </w:r>
      <w:r>
        <w:rPr>
          <w:i/>
          <w:color w:val="231F20"/>
          <w:w w:val="105"/>
          <w:sz w:val="16"/>
        </w:rPr>
        <w:t xml:space="preserve">, </w:t>
      </w:r>
      <w:r>
        <w:rPr>
          <w:color w:val="231F20"/>
          <w:w w:val="105"/>
          <w:sz w:val="16"/>
        </w:rPr>
        <w:t>267</w:t>
      </w:r>
      <w:r>
        <w:rPr>
          <w:i/>
          <w:color w:val="231F20"/>
          <w:w w:val="105"/>
          <w:sz w:val="16"/>
        </w:rPr>
        <w:t xml:space="preserve">, </w:t>
      </w:r>
      <w:r>
        <w:rPr>
          <w:color w:val="231F20"/>
          <w:w w:val="105"/>
          <w:sz w:val="16"/>
        </w:rPr>
        <w:t>474;</w:t>
      </w:r>
    </w:p>
    <w:p w14:paraId="36B0BBF4" w14:textId="77777777" w:rsidR="002653E8" w:rsidRDefault="003115E3">
      <w:pPr>
        <w:spacing w:before="32" w:line="280" w:lineRule="auto"/>
        <w:ind w:left="478" w:right="1111"/>
        <w:rPr>
          <w:sz w:val="16"/>
        </w:rPr>
      </w:pPr>
      <w:r>
        <w:rPr>
          <w:color w:val="231F20"/>
          <w:sz w:val="16"/>
        </w:rPr>
        <w:t xml:space="preserve">criticized by Baader 249; support for </w:t>
      </w:r>
      <w:r w:rsidR="00C507A5">
        <w:rPr>
          <w:color w:val="231F20"/>
          <w:sz w:val="16"/>
        </w:rPr>
        <w:t>red army faction</w:t>
      </w:r>
      <w:r>
        <w:rPr>
          <w:color w:val="231F20"/>
          <w:sz w:val="16"/>
        </w:rPr>
        <w:t xml:space="preserve"> prisoners 241</w:t>
      </w:r>
      <w:r>
        <w:rPr>
          <w:i/>
          <w:color w:val="231F20"/>
          <w:sz w:val="16"/>
        </w:rPr>
        <w:t xml:space="preserve">, </w:t>
      </w:r>
      <w:r>
        <w:rPr>
          <w:color w:val="231F20"/>
          <w:sz w:val="16"/>
        </w:rPr>
        <w:t>244; Teach-In Against State Repression (Frankfurt, 1972) 168–169</w:t>
      </w:r>
      <w:r>
        <w:rPr>
          <w:i/>
          <w:color w:val="231F20"/>
          <w:sz w:val="16"/>
        </w:rPr>
        <w:t xml:space="preserve">, </w:t>
      </w:r>
      <w:r>
        <w:rPr>
          <w:color w:val="231F20"/>
          <w:sz w:val="16"/>
        </w:rPr>
        <w:t>200</w:t>
      </w:r>
      <w:r>
        <w:rPr>
          <w:i/>
          <w:color w:val="231F20"/>
          <w:sz w:val="16"/>
        </w:rPr>
        <w:t xml:space="preserve">, </w:t>
      </w:r>
      <w:r>
        <w:rPr>
          <w:color w:val="231F20"/>
          <w:sz w:val="16"/>
        </w:rPr>
        <w:t>591; during third</w:t>
      </w:r>
    </w:p>
    <w:p w14:paraId="3527440D" w14:textId="77777777" w:rsidR="002653E8" w:rsidRDefault="003115E3">
      <w:pPr>
        <w:spacing w:before="2"/>
        <w:ind w:left="478"/>
        <w:rPr>
          <w:sz w:val="16"/>
        </w:rPr>
      </w:pPr>
      <w:r>
        <w:rPr>
          <w:color w:val="231F20"/>
          <w:sz w:val="16"/>
        </w:rPr>
        <w:t>hunger strike (1974-75) 263</w:t>
      </w:r>
      <w:r>
        <w:rPr>
          <w:i/>
          <w:color w:val="231F20"/>
          <w:sz w:val="16"/>
        </w:rPr>
        <w:t xml:space="preserve">, </w:t>
      </w:r>
      <w:r>
        <w:rPr>
          <w:color w:val="231F20"/>
          <w:sz w:val="16"/>
        </w:rPr>
        <w:t>264</w:t>
      </w:r>
    </w:p>
    <w:p w14:paraId="3E6A7A58" w14:textId="77777777" w:rsidR="002653E8" w:rsidRDefault="003115E3">
      <w:pPr>
        <w:spacing w:before="33"/>
        <w:ind w:left="278"/>
        <w:rPr>
          <w:sz w:val="16"/>
        </w:rPr>
      </w:pPr>
      <w:r>
        <w:rPr>
          <w:color w:val="231F20"/>
          <w:w w:val="110"/>
          <w:sz w:val="16"/>
        </w:rPr>
        <w:t>Red Aid e.v. 245</w:t>
      </w:r>
      <w:r>
        <w:rPr>
          <w:i/>
          <w:color w:val="231F20"/>
          <w:w w:val="110"/>
          <w:sz w:val="16"/>
        </w:rPr>
        <w:t xml:space="preserve">, </w:t>
      </w:r>
      <w:r>
        <w:rPr>
          <w:color w:val="231F20"/>
          <w:w w:val="110"/>
          <w:sz w:val="16"/>
        </w:rPr>
        <w:t>255</w:t>
      </w:r>
      <w:r>
        <w:rPr>
          <w:i/>
          <w:color w:val="231F20"/>
          <w:w w:val="110"/>
          <w:sz w:val="16"/>
        </w:rPr>
        <w:t xml:space="preserve">, </w:t>
      </w:r>
      <w:r>
        <w:rPr>
          <w:color w:val="231F20"/>
          <w:w w:val="110"/>
          <w:sz w:val="16"/>
        </w:rPr>
        <w:t>289</w:t>
      </w:r>
    </w:p>
    <w:p w14:paraId="15E450B9" w14:textId="77777777" w:rsidR="002653E8" w:rsidRDefault="003115E3">
      <w:pPr>
        <w:spacing w:before="32" w:line="280" w:lineRule="auto"/>
        <w:ind w:left="478" w:right="1363" w:hanging="200"/>
        <w:rPr>
          <w:sz w:val="16"/>
        </w:rPr>
      </w:pPr>
      <w:r>
        <w:rPr>
          <w:color w:val="231F20"/>
          <w:w w:val="105"/>
          <w:sz w:val="16"/>
        </w:rPr>
        <w:t>Red</w:t>
      </w:r>
      <w:r>
        <w:rPr>
          <w:color w:val="231F20"/>
          <w:spacing w:val="-20"/>
          <w:w w:val="105"/>
          <w:sz w:val="16"/>
        </w:rPr>
        <w:t xml:space="preserve"> </w:t>
      </w:r>
      <w:r>
        <w:rPr>
          <w:color w:val="231F20"/>
          <w:w w:val="105"/>
          <w:sz w:val="16"/>
        </w:rPr>
        <w:t>Aid</w:t>
      </w:r>
      <w:r>
        <w:rPr>
          <w:color w:val="231F20"/>
          <w:spacing w:val="-17"/>
          <w:w w:val="105"/>
          <w:sz w:val="16"/>
        </w:rPr>
        <w:t xml:space="preserve"> </w:t>
      </w:r>
      <w:r>
        <w:rPr>
          <w:color w:val="231F20"/>
          <w:w w:val="105"/>
          <w:sz w:val="16"/>
        </w:rPr>
        <w:t>registered</w:t>
      </w:r>
      <w:r>
        <w:rPr>
          <w:color w:val="231F20"/>
          <w:spacing w:val="-17"/>
          <w:w w:val="105"/>
          <w:sz w:val="16"/>
        </w:rPr>
        <w:t xml:space="preserve"> </w:t>
      </w:r>
      <w:r>
        <w:rPr>
          <w:color w:val="231F20"/>
          <w:w w:val="105"/>
          <w:sz w:val="16"/>
        </w:rPr>
        <w:t>association</w:t>
      </w:r>
      <w:r>
        <w:rPr>
          <w:i/>
          <w:color w:val="231F20"/>
          <w:w w:val="105"/>
          <w:sz w:val="16"/>
        </w:rPr>
        <w:t>.</w:t>
      </w:r>
      <w:r>
        <w:rPr>
          <w:i/>
          <w:color w:val="231F20"/>
          <w:spacing w:val="-20"/>
          <w:w w:val="105"/>
          <w:sz w:val="16"/>
        </w:rPr>
        <w:t xml:space="preserve"> </w:t>
      </w:r>
      <w:r>
        <w:rPr>
          <w:i/>
          <w:color w:val="231F20"/>
          <w:w w:val="105"/>
          <w:sz w:val="16"/>
        </w:rPr>
        <w:t>See</w:t>
      </w:r>
      <w:r>
        <w:rPr>
          <w:i/>
          <w:color w:val="231F20"/>
          <w:spacing w:val="-17"/>
          <w:w w:val="105"/>
          <w:sz w:val="16"/>
        </w:rPr>
        <w:t xml:space="preserve"> </w:t>
      </w:r>
      <w:r>
        <w:rPr>
          <w:color w:val="231F20"/>
          <w:w w:val="105"/>
          <w:sz w:val="16"/>
        </w:rPr>
        <w:t>Red</w:t>
      </w:r>
      <w:r>
        <w:rPr>
          <w:color w:val="231F20"/>
          <w:w w:val="103"/>
          <w:sz w:val="16"/>
        </w:rPr>
        <w:t xml:space="preserve"> </w:t>
      </w:r>
      <w:r>
        <w:rPr>
          <w:color w:val="231F20"/>
          <w:w w:val="105"/>
          <w:sz w:val="16"/>
        </w:rPr>
        <w:t>Aid</w:t>
      </w:r>
      <w:r>
        <w:rPr>
          <w:color w:val="231F20"/>
          <w:spacing w:val="6"/>
          <w:w w:val="105"/>
          <w:sz w:val="16"/>
        </w:rPr>
        <w:t xml:space="preserve"> </w:t>
      </w:r>
      <w:r>
        <w:rPr>
          <w:color w:val="231F20"/>
          <w:spacing w:val="-4"/>
          <w:w w:val="105"/>
          <w:sz w:val="16"/>
        </w:rPr>
        <w:t>e.v.</w:t>
      </w:r>
    </w:p>
    <w:p w14:paraId="72F97902" w14:textId="77777777" w:rsidR="002653E8" w:rsidRDefault="003115E3">
      <w:pPr>
        <w:spacing w:before="1" w:line="280" w:lineRule="auto"/>
        <w:ind w:left="478" w:right="1223" w:hanging="200"/>
        <w:rPr>
          <w:sz w:val="16"/>
        </w:rPr>
      </w:pPr>
      <w:r>
        <w:rPr>
          <w:color w:val="231F20"/>
          <w:sz w:val="16"/>
        </w:rPr>
        <w:t>Red Aid/West Berlin Prisoners’ Collective 461</w:t>
      </w:r>
      <w:r>
        <w:rPr>
          <w:i/>
          <w:color w:val="231F20"/>
          <w:sz w:val="16"/>
        </w:rPr>
        <w:t xml:space="preserve">, </w:t>
      </w:r>
      <w:r>
        <w:rPr>
          <w:color w:val="231F20"/>
          <w:sz w:val="16"/>
        </w:rPr>
        <w:t>464</w:t>
      </w:r>
    </w:p>
    <w:p w14:paraId="67A43D95" w14:textId="77777777" w:rsidR="002653E8" w:rsidRDefault="003115E3">
      <w:pPr>
        <w:spacing w:before="1"/>
        <w:ind w:left="278"/>
        <w:rPr>
          <w:i/>
          <w:sz w:val="16"/>
        </w:rPr>
      </w:pPr>
      <w:r>
        <w:rPr>
          <w:color w:val="231F20"/>
          <w:sz w:val="16"/>
        </w:rPr>
        <w:t>Red Brigades 360</w:t>
      </w:r>
      <w:r>
        <w:rPr>
          <w:i/>
          <w:color w:val="231F20"/>
          <w:sz w:val="16"/>
        </w:rPr>
        <w:t xml:space="preserve">, </w:t>
      </w:r>
      <w:r>
        <w:rPr>
          <w:color w:val="231F20"/>
          <w:sz w:val="16"/>
        </w:rPr>
        <w:t xml:space="preserve">619; and </w:t>
      </w:r>
      <w:r w:rsidR="00C507A5">
        <w:rPr>
          <w:color w:val="231F20"/>
          <w:sz w:val="16"/>
        </w:rPr>
        <w:t>red army faction</w:t>
      </w:r>
      <w:r>
        <w:rPr>
          <w:color w:val="231F20"/>
          <w:sz w:val="16"/>
        </w:rPr>
        <w:t xml:space="preserve"> 522</w:t>
      </w:r>
      <w:r>
        <w:rPr>
          <w:i/>
          <w:color w:val="231F20"/>
          <w:sz w:val="16"/>
        </w:rPr>
        <w:t>,</w:t>
      </w:r>
    </w:p>
    <w:p w14:paraId="22DB60B6" w14:textId="77777777" w:rsidR="002653E8" w:rsidRDefault="003115E3">
      <w:pPr>
        <w:spacing w:before="33"/>
        <w:ind w:left="478"/>
        <w:rPr>
          <w:sz w:val="16"/>
        </w:rPr>
      </w:pPr>
      <w:r>
        <w:rPr>
          <w:color w:val="231F20"/>
          <w:sz w:val="16"/>
        </w:rPr>
        <w:t>619</w:t>
      </w:r>
    </w:p>
    <w:p w14:paraId="5519E8F4" w14:textId="77777777" w:rsidR="002653E8" w:rsidRDefault="003115E3">
      <w:pPr>
        <w:spacing w:before="32"/>
        <w:ind w:left="278"/>
        <w:rPr>
          <w:sz w:val="16"/>
        </w:rPr>
      </w:pPr>
      <w:r>
        <w:rPr>
          <w:color w:val="231F20"/>
          <w:sz w:val="16"/>
        </w:rPr>
        <w:t>Reer (columnist) 103</w:t>
      </w:r>
    </w:p>
    <w:p w14:paraId="5E0AB361" w14:textId="77777777" w:rsidR="002653E8" w:rsidRDefault="003115E3">
      <w:pPr>
        <w:spacing w:before="33" w:line="280" w:lineRule="auto"/>
        <w:ind w:left="478" w:right="1383" w:hanging="200"/>
        <w:rPr>
          <w:sz w:val="16"/>
        </w:rPr>
      </w:pPr>
      <w:r>
        <w:rPr>
          <w:i/>
          <w:color w:val="231F20"/>
          <w:w w:val="105"/>
          <w:sz w:val="16"/>
        </w:rPr>
        <w:t xml:space="preserve">Regarding the Armed Struggle in West Europe </w:t>
      </w:r>
      <w:r>
        <w:rPr>
          <w:color w:val="231F20"/>
          <w:w w:val="105"/>
          <w:sz w:val="16"/>
        </w:rPr>
        <w:t>xix</w:t>
      </w:r>
      <w:r>
        <w:rPr>
          <w:i/>
          <w:color w:val="231F20"/>
          <w:w w:val="105"/>
          <w:sz w:val="16"/>
        </w:rPr>
        <w:t xml:space="preserve">, </w:t>
      </w:r>
      <w:r>
        <w:rPr>
          <w:color w:val="231F20"/>
          <w:w w:val="105"/>
          <w:sz w:val="16"/>
        </w:rPr>
        <w:t>64–65</w:t>
      </w:r>
      <w:r>
        <w:rPr>
          <w:i/>
          <w:color w:val="231F20"/>
          <w:w w:val="105"/>
          <w:sz w:val="16"/>
        </w:rPr>
        <w:t xml:space="preserve">, </w:t>
      </w:r>
      <w:r>
        <w:rPr>
          <w:color w:val="231F20"/>
          <w:w w:val="105"/>
          <w:sz w:val="16"/>
        </w:rPr>
        <w:t>289</w:t>
      </w:r>
      <w:r>
        <w:rPr>
          <w:i/>
          <w:color w:val="231F20"/>
          <w:w w:val="105"/>
          <w:sz w:val="16"/>
        </w:rPr>
        <w:t xml:space="preserve">, </w:t>
      </w:r>
      <w:r>
        <w:rPr>
          <w:color w:val="231F20"/>
          <w:w w:val="105"/>
          <w:sz w:val="16"/>
        </w:rPr>
        <w:t>586</w:t>
      </w:r>
      <w:r>
        <w:rPr>
          <w:i/>
          <w:color w:val="231F20"/>
          <w:w w:val="105"/>
          <w:sz w:val="16"/>
        </w:rPr>
        <w:t xml:space="preserve">, </w:t>
      </w:r>
      <w:r>
        <w:rPr>
          <w:color w:val="231F20"/>
          <w:w w:val="105"/>
          <w:sz w:val="16"/>
        </w:rPr>
        <w:t>587</w:t>
      </w:r>
    </w:p>
    <w:p w14:paraId="5B9068CD" w14:textId="77777777" w:rsidR="002653E8" w:rsidRDefault="003115E3">
      <w:pPr>
        <w:spacing w:before="1"/>
        <w:ind w:left="278"/>
        <w:rPr>
          <w:sz w:val="16"/>
        </w:rPr>
      </w:pPr>
      <w:r>
        <w:rPr>
          <w:color w:val="231F20"/>
          <w:w w:val="105"/>
          <w:sz w:val="16"/>
        </w:rPr>
        <w:t>Reiche, Annerose 332</w:t>
      </w:r>
      <w:r>
        <w:rPr>
          <w:i/>
          <w:color w:val="231F20"/>
          <w:w w:val="105"/>
          <w:sz w:val="16"/>
        </w:rPr>
        <w:t xml:space="preserve">, </w:t>
      </w:r>
      <w:r>
        <w:rPr>
          <w:color w:val="231F20"/>
          <w:w w:val="105"/>
          <w:sz w:val="16"/>
        </w:rPr>
        <w:t>339</w:t>
      </w:r>
    </w:p>
    <w:p w14:paraId="4E117523" w14:textId="77777777" w:rsidR="002653E8" w:rsidRDefault="003115E3">
      <w:pPr>
        <w:spacing w:before="32"/>
        <w:ind w:left="278"/>
        <w:rPr>
          <w:sz w:val="16"/>
        </w:rPr>
      </w:pPr>
      <w:r>
        <w:rPr>
          <w:color w:val="231F20"/>
          <w:sz w:val="16"/>
        </w:rPr>
        <w:t>Reiche, Reimut 444</w:t>
      </w:r>
    </w:p>
    <w:p w14:paraId="0EC79270" w14:textId="77777777" w:rsidR="002653E8" w:rsidRDefault="003115E3">
      <w:pPr>
        <w:spacing w:before="32" w:line="280" w:lineRule="auto"/>
        <w:ind w:left="278" w:right="1221"/>
        <w:rPr>
          <w:sz w:val="16"/>
        </w:rPr>
      </w:pPr>
      <w:r>
        <w:rPr>
          <w:color w:val="231F20"/>
          <w:w w:val="105"/>
          <w:sz w:val="16"/>
        </w:rPr>
        <w:t>Reinders, Ralf 52</w:t>
      </w:r>
      <w:r>
        <w:rPr>
          <w:i/>
          <w:color w:val="231F20"/>
          <w:w w:val="105"/>
          <w:sz w:val="16"/>
        </w:rPr>
        <w:t xml:space="preserve">, </w:t>
      </w:r>
      <w:r>
        <w:rPr>
          <w:color w:val="231F20"/>
          <w:w w:val="105"/>
          <w:sz w:val="16"/>
        </w:rPr>
        <w:t>328</w:t>
      </w:r>
      <w:r>
        <w:rPr>
          <w:i/>
          <w:color w:val="231F20"/>
          <w:w w:val="105"/>
          <w:sz w:val="16"/>
        </w:rPr>
        <w:t xml:space="preserve">, </w:t>
      </w:r>
      <w:r>
        <w:rPr>
          <w:color w:val="231F20"/>
          <w:w w:val="105"/>
          <w:sz w:val="16"/>
        </w:rPr>
        <w:t>349</w:t>
      </w:r>
      <w:r>
        <w:rPr>
          <w:i/>
          <w:color w:val="231F20"/>
          <w:w w:val="105"/>
          <w:sz w:val="16"/>
        </w:rPr>
        <w:t xml:space="preserve">, </w:t>
      </w:r>
      <w:r>
        <w:rPr>
          <w:color w:val="231F20"/>
          <w:w w:val="105"/>
          <w:sz w:val="16"/>
        </w:rPr>
        <w:t>440</w:t>
      </w:r>
      <w:r>
        <w:rPr>
          <w:i/>
          <w:color w:val="231F20"/>
          <w:w w:val="105"/>
          <w:sz w:val="16"/>
        </w:rPr>
        <w:t xml:space="preserve">, </w:t>
      </w:r>
      <w:r>
        <w:rPr>
          <w:color w:val="231F20"/>
          <w:w w:val="105"/>
          <w:sz w:val="16"/>
        </w:rPr>
        <w:t xml:space="preserve">574 </w:t>
      </w:r>
      <w:r>
        <w:rPr>
          <w:i/>
          <w:color w:val="231F20"/>
          <w:w w:val="105"/>
          <w:sz w:val="16"/>
        </w:rPr>
        <w:t xml:space="preserve">Report Mainz </w:t>
      </w:r>
      <w:r>
        <w:rPr>
          <w:color w:val="231F20"/>
          <w:w w:val="105"/>
          <w:sz w:val="16"/>
        </w:rPr>
        <w:t>(television) 627 Republican Clubs 31</w:t>
      </w:r>
      <w:r>
        <w:rPr>
          <w:i/>
          <w:color w:val="231F20"/>
          <w:w w:val="105"/>
          <w:sz w:val="16"/>
        </w:rPr>
        <w:t xml:space="preserve">, </w:t>
      </w:r>
      <w:r>
        <w:rPr>
          <w:color w:val="231F20"/>
          <w:w w:val="105"/>
          <w:sz w:val="16"/>
        </w:rPr>
        <w:t>39</w:t>
      </w:r>
      <w:r>
        <w:rPr>
          <w:i/>
          <w:color w:val="231F20"/>
          <w:w w:val="105"/>
          <w:sz w:val="16"/>
        </w:rPr>
        <w:t xml:space="preserve">, </w:t>
      </w:r>
      <w:r>
        <w:rPr>
          <w:color w:val="231F20"/>
          <w:w w:val="105"/>
          <w:sz w:val="16"/>
        </w:rPr>
        <w:t>226</w:t>
      </w:r>
      <w:r>
        <w:rPr>
          <w:i/>
          <w:color w:val="231F20"/>
          <w:w w:val="105"/>
          <w:sz w:val="16"/>
        </w:rPr>
        <w:t xml:space="preserve">, </w:t>
      </w:r>
      <w:r>
        <w:rPr>
          <w:color w:val="231F20"/>
          <w:w w:val="105"/>
          <w:sz w:val="16"/>
        </w:rPr>
        <w:t>580 Republic of yemen 330</w:t>
      </w:r>
    </w:p>
    <w:p w14:paraId="19499A8C" w14:textId="77777777" w:rsidR="002653E8" w:rsidRDefault="003115E3">
      <w:pPr>
        <w:spacing w:before="3"/>
        <w:ind w:left="278"/>
        <w:rPr>
          <w:sz w:val="16"/>
        </w:rPr>
      </w:pPr>
      <w:r>
        <w:rPr>
          <w:color w:val="231F20"/>
          <w:sz w:val="16"/>
        </w:rPr>
        <w:t>Reuter, Edzard 623</w:t>
      </w:r>
    </w:p>
    <w:p w14:paraId="37BAA7C1" w14:textId="77777777" w:rsidR="002653E8" w:rsidRDefault="003115E3">
      <w:pPr>
        <w:spacing w:before="32" w:line="280" w:lineRule="auto"/>
        <w:ind w:left="478" w:right="1221" w:hanging="201"/>
        <w:rPr>
          <w:sz w:val="16"/>
        </w:rPr>
      </w:pPr>
      <w:r>
        <w:rPr>
          <w:color w:val="231F20"/>
          <w:sz w:val="16"/>
        </w:rPr>
        <w:t>Revolutionärer Kampf</w:t>
      </w:r>
      <w:r>
        <w:rPr>
          <w:i/>
          <w:color w:val="231F20"/>
          <w:sz w:val="16"/>
        </w:rPr>
        <w:t xml:space="preserve">. See </w:t>
      </w:r>
      <w:r>
        <w:rPr>
          <w:color w:val="231F20"/>
          <w:sz w:val="16"/>
        </w:rPr>
        <w:t>Revolutionary Struggle</w:t>
      </w:r>
    </w:p>
    <w:p w14:paraId="0EC2681D" w14:textId="77777777" w:rsidR="002653E8" w:rsidRDefault="003115E3">
      <w:pPr>
        <w:spacing w:before="1"/>
        <w:ind w:left="278"/>
        <w:rPr>
          <w:sz w:val="16"/>
        </w:rPr>
      </w:pPr>
      <w:r>
        <w:rPr>
          <w:i/>
          <w:color w:val="231F20"/>
          <w:w w:val="105"/>
          <w:sz w:val="16"/>
        </w:rPr>
        <w:t xml:space="preserve">Revolutionärer Zorn </w:t>
      </w:r>
      <w:r>
        <w:rPr>
          <w:color w:val="231F20"/>
          <w:w w:val="105"/>
          <w:sz w:val="16"/>
        </w:rPr>
        <w:t>438</w:t>
      </w:r>
    </w:p>
    <w:p w14:paraId="5320E192" w14:textId="77777777" w:rsidR="002653E8" w:rsidRDefault="003115E3">
      <w:pPr>
        <w:spacing w:before="33"/>
        <w:ind w:left="278"/>
        <w:rPr>
          <w:i/>
          <w:sz w:val="16"/>
        </w:rPr>
      </w:pPr>
      <w:r>
        <w:rPr>
          <w:color w:val="231F20"/>
          <w:w w:val="105"/>
          <w:sz w:val="16"/>
        </w:rPr>
        <w:t>Revolutionary Cells 377</w:t>
      </w:r>
      <w:r>
        <w:rPr>
          <w:i/>
          <w:color w:val="231F20"/>
          <w:w w:val="105"/>
          <w:sz w:val="16"/>
        </w:rPr>
        <w:t xml:space="preserve">, </w:t>
      </w:r>
      <w:r>
        <w:rPr>
          <w:color w:val="231F20"/>
          <w:w w:val="105"/>
          <w:sz w:val="16"/>
        </w:rPr>
        <w:t>436–441</w:t>
      </w:r>
      <w:r>
        <w:rPr>
          <w:i/>
          <w:color w:val="231F20"/>
          <w:w w:val="105"/>
          <w:sz w:val="16"/>
        </w:rPr>
        <w:t xml:space="preserve">, </w:t>
      </w:r>
      <w:r>
        <w:rPr>
          <w:color w:val="231F20"/>
          <w:w w:val="105"/>
          <w:sz w:val="16"/>
        </w:rPr>
        <w:t>451</w:t>
      </w:r>
      <w:r>
        <w:rPr>
          <w:i/>
          <w:color w:val="231F20"/>
          <w:w w:val="105"/>
          <w:sz w:val="16"/>
        </w:rPr>
        <w:t>,</w:t>
      </w:r>
    </w:p>
    <w:p w14:paraId="2F7A915B" w14:textId="77777777" w:rsidR="002653E8" w:rsidRDefault="003115E3">
      <w:pPr>
        <w:spacing w:before="32" w:line="280" w:lineRule="auto"/>
        <w:ind w:left="478" w:right="1309"/>
        <w:rPr>
          <w:sz w:val="16"/>
        </w:rPr>
      </w:pPr>
      <w:r>
        <w:rPr>
          <w:color w:val="231F20"/>
          <w:w w:val="105"/>
          <w:sz w:val="16"/>
        </w:rPr>
        <w:t>540</w:t>
      </w:r>
      <w:r>
        <w:rPr>
          <w:i/>
          <w:color w:val="231F20"/>
          <w:w w:val="105"/>
          <w:sz w:val="16"/>
        </w:rPr>
        <w:t xml:space="preserve">. See also </w:t>
      </w:r>
      <w:r>
        <w:rPr>
          <w:color w:val="231F20"/>
          <w:w w:val="105"/>
          <w:sz w:val="16"/>
        </w:rPr>
        <w:t>Rote Zora; attacks on ITT (1973) 436–437</w:t>
      </w:r>
      <w:r>
        <w:rPr>
          <w:i/>
          <w:color w:val="231F20"/>
          <w:w w:val="105"/>
          <w:sz w:val="16"/>
        </w:rPr>
        <w:t xml:space="preserve">, </w:t>
      </w:r>
      <w:r>
        <w:rPr>
          <w:color w:val="231F20"/>
          <w:w w:val="105"/>
          <w:sz w:val="16"/>
        </w:rPr>
        <w:t>460; attack on</w:t>
      </w:r>
    </w:p>
    <w:p w14:paraId="0C271871" w14:textId="77777777" w:rsidR="002653E8" w:rsidRDefault="002653E8">
      <w:pPr>
        <w:spacing w:line="280" w:lineRule="auto"/>
        <w:rPr>
          <w:sz w:val="16"/>
        </w:rPr>
        <w:sectPr w:rsidR="002653E8">
          <w:pgSz w:w="8640" w:h="12960"/>
          <w:pgMar w:top="1080" w:right="0" w:bottom="1040" w:left="0" w:header="0" w:footer="846" w:gutter="0"/>
          <w:cols w:num="2" w:space="720" w:equalWidth="0">
            <w:col w:w="4232" w:space="40"/>
            <w:col w:w="4368"/>
          </w:cols>
        </w:sectPr>
      </w:pPr>
    </w:p>
    <w:p w14:paraId="52E16C5C" w14:textId="77777777" w:rsidR="002653E8" w:rsidRDefault="003115E3">
      <w:pPr>
        <w:spacing w:before="86" w:line="280" w:lineRule="auto"/>
        <w:ind w:left="1347" w:right="144"/>
        <w:rPr>
          <w:sz w:val="16"/>
        </w:rPr>
      </w:pPr>
      <w:r>
        <w:rPr>
          <w:color w:val="231F20"/>
          <w:w w:val="105"/>
          <w:sz w:val="16"/>
        </w:rPr>
        <w:lastRenderedPageBreak/>
        <w:t>Federal Constitutional Court (1974)</w:t>
      </w:r>
      <w:r>
        <w:rPr>
          <w:color w:val="231F20"/>
          <w:w w:val="97"/>
          <w:sz w:val="16"/>
        </w:rPr>
        <w:t xml:space="preserve"> </w:t>
      </w:r>
      <w:r>
        <w:rPr>
          <w:color w:val="231F20"/>
          <w:w w:val="105"/>
          <w:sz w:val="16"/>
        </w:rPr>
        <w:t>377</w:t>
      </w:r>
      <w:r>
        <w:rPr>
          <w:i/>
          <w:color w:val="231F20"/>
          <w:w w:val="105"/>
          <w:sz w:val="16"/>
        </w:rPr>
        <w:t xml:space="preserve">, </w:t>
      </w:r>
      <w:r>
        <w:rPr>
          <w:color w:val="231F20"/>
          <w:w w:val="105"/>
          <w:sz w:val="16"/>
        </w:rPr>
        <w:t>447</w:t>
      </w:r>
      <w:r>
        <w:rPr>
          <w:i/>
          <w:color w:val="231F20"/>
          <w:w w:val="105"/>
          <w:sz w:val="16"/>
        </w:rPr>
        <w:t xml:space="preserve">, </w:t>
      </w:r>
      <w:r>
        <w:rPr>
          <w:color w:val="231F20"/>
          <w:w w:val="105"/>
          <w:sz w:val="16"/>
        </w:rPr>
        <w:t>460</w:t>
      </w:r>
      <w:r>
        <w:rPr>
          <w:i/>
          <w:color w:val="231F20"/>
          <w:w w:val="105"/>
          <w:sz w:val="16"/>
        </w:rPr>
        <w:t xml:space="preserve">, </w:t>
      </w:r>
      <w:r>
        <w:rPr>
          <w:color w:val="231F20"/>
          <w:w w:val="105"/>
          <w:sz w:val="16"/>
        </w:rPr>
        <w:t>462; OPEC raid in</w:t>
      </w:r>
    </w:p>
    <w:p w14:paraId="2D06DFF0" w14:textId="77777777" w:rsidR="002653E8" w:rsidRDefault="003115E3">
      <w:pPr>
        <w:spacing w:before="1"/>
        <w:ind w:left="1347"/>
        <w:rPr>
          <w:i/>
          <w:sz w:val="16"/>
        </w:rPr>
      </w:pPr>
      <w:r>
        <w:rPr>
          <w:color w:val="231F20"/>
          <w:w w:val="105"/>
          <w:sz w:val="16"/>
        </w:rPr>
        <w:t>Vienna (1975) 438–439</w:t>
      </w:r>
      <w:r>
        <w:rPr>
          <w:i/>
          <w:color w:val="231F20"/>
          <w:w w:val="105"/>
          <w:sz w:val="16"/>
        </w:rPr>
        <w:t xml:space="preserve">, </w:t>
      </w:r>
      <w:r>
        <w:rPr>
          <w:color w:val="231F20"/>
          <w:w w:val="105"/>
          <w:sz w:val="16"/>
        </w:rPr>
        <w:t>455</w:t>
      </w:r>
      <w:r>
        <w:rPr>
          <w:i/>
          <w:color w:val="231F20"/>
          <w:w w:val="105"/>
          <w:sz w:val="16"/>
        </w:rPr>
        <w:t xml:space="preserve">, </w:t>
      </w:r>
      <w:r>
        <w:rPr>
          <w:color w:val="231F20"/>
          <w:w w:val="105"/>
          <w:sz w:val="16"/>
        </w:rPr>
        <w:t>481</w:t>
      </w:r>
      <w:r>
        <w:rPr>
          <w:i/>
          <w:color w:val="231F20"/>
          <w:w w:val="105"/>
          <w:sz w:val="16"/>
        </w:rPr>
        <w:t>,</w:t>
      </w:r>
    </w:p>
    <w:p w14:paraId="7BC9BDD8" w14:textId="77777777" w:rsidR="002653E8" w:rsidRDefault="003115E3">
      <w:pPr>
        <w:spacing w:before="33"/>
        <w:ind w:left="1347"/>
        <w:rPr>
          <w:sz w:val="16"/>
        </w:rPr>
      </w:pPr>
      <w:r>
        <w:rPr>
          <w:color w:val="231F20"/>
          <w:sz w:val="16"/>
        </w:rPr>
        <w:t>559</w:t>
      </w:r>
      <w:r>
        <w:rPr>
          <w:i/>
          <w:color w:val="231F20"/>
          <w:sz w:val="16"/>
        </w:rPr>
        <w:t xml:space="preserve">, </w:t>
      </w:r>
      <w:r>
        <w:rPr>
          <w:color w:val="231F20"/>
          <w:sz w:val="16"/>
        </w:rPr>
        <w:t>599; Air France skyjacking (1976,</w:t>
      </w:r>
    </w:p>
    <w:p w14:paraId="05850880" w14:textId="77777777" w:rsidR="002653E8" w:rsidRDefault="003115E3">
      <w:pPr>
        <w:spacing w:before="32"/>
        <w:ind w:left="1347"/>
        <w:rPr>
          <w:i/>
          <w:sz w:val="16"/>
        </w:rPr>
      </w:pPr>
      <w:r>
        <w:rPr>
          <w:color w:val="231F20"/>
          <w:w w:val="105"/>
          <w:sz w:val="16"/>
        </w:rPr>
        <w:t>Entebbe) 439–441</w:t>
      </w:r>
      <w:r>
        <w:rPr>
          <w:i/>
          <w:color w:val="231F20"/>
          <w:w w:val="105"/>
          <w:sz w:val="16"/>
        </w:rPr>
        <w:t xml:space="preserve">, </w:t>
      </w:r>
      <w:r>
        <w:rPr>
          <w:color w:val="231F20"/>
          <w:w w:val="105"/>
          <w:sz w:val="16"/>
        </w:rPr>
        <w:t>442</w:t>
      </w:r>
      <w:r>
        <w:rPr>
          <w:i/>
          <w:color w:val="231F20"/>
          <w:w w:val="105"/>
          <w:sz w:val="16"/>
        </w:rPr>
        <w:t xml:space="preserve">, </w:t>
      </w:r>
      <w:r>
        <w:rPr>
          <w:color w:val="231F20"/>
          <w:w w:val="105"/>
          <w:sz w:val="16"/>
        </w:rPr>
        <w:t>481</w:t>
      </w:r>
      <w:r>
        <w:rPr>
          <w:i/>
          <w:color w:val="231F20"/>
          <w:w w:val="105"/>
          <w:sz w:val="16"/>
        </w:rPr>
        <w:t xml:space="preserve">, </w:t>
      </w:r>
      <w:r>
        <w:rPr>
          <w:color w:val="231F20"/>
          <w:w w:val="105"/>
          <w:sz w:val="16"/>
        </w:rPr>
        <w:t>504</w:t>
      </w:r>
      <w:r>
        <w:rPr>
          <w:i/>
          <w:color w:val="231F20"/>
          <w:w w:val="105"/>
          <w:sz w:val="16"/>
        </w:rPr>
        <w:t>,</w:t>
      </w:r>
    </w:p>
    <w:p w14:paraId="5BA3C1E2" w14:textId="77777777" w:rsidR="002653E8" w:rsidRDefault="003115E3">
      <w:pPr>
        <w:spacing w:before="33" w:line="280" w:lineRule="auto"/>
        <w:ind w:left="1347"/>
        <w:rPr>
          <w:sz w:val="16"/>
        </w:rPr>
      </w:pPr>
      <w:r>
        <w:rPr>
          <w:color w:val="231F20"/>
          <w:w w:val="105"/>
          <w:sz w:val="16"/>
        </w:rPr>
        <w:t>559; attack on U.S. Army in Frankfurt (1976) 391</w:t>
      </w:r>
      <w:r>
        <w:rPr>
          <w:i/>
          <w:color w:val="231F20"/>
          <w:w w:val="105"/>
          <w:sz w:val="16"/>
        </w:rPr>
        <w:t xml:space="preserve">, </w:t>
      </w:r>
      <w:r>
        <w:rPr>
          <w:color w:val="231F20"/>
          <w:w w:val="105"/>
          <w:sz w:val="16"/>
        </w:rPr>
        <w:t>430</w:t>
      </w:r>
      <w:r>
        <w:rPr>
          <w:i/>
          <w:color w:val="231F20"/>
          <w:w w:val="105"/>
          <w:sz w:val="16"/>
        </w:rPr>
        <w:t xml:space="preserve">, </w:t>
      </w:r>
      <w:r>
        <w:rPr>
          <w:color w:val="231F20"/>
          <w:w w:val="105"/>
          <w:sz w:val="16"/>
        </w:rPr>
        <w:t>601; anti-Zionism</w:t>
      </w:r>
    </w:p>
    <w:p w14:paraId="3451DB76" w14:textId="77777777" w:rsidR="002653E8" w:rsidRDefault="003115E3">
      <w:pPr>
        <w:spacing w:before="1"/>
        <w:ind w:left="1347"/>
        <w:rPr>
          <w:sz w:val="16"/>
        </w:rPr>
      </w:pPr>
      <w:r>
        <w:rPr>
          <w:color w:val="231F20"/>
          <w:sz w:val="16"/>
        </w:rPr>
        <w:t>437</w:t>
      </w:r>
      <w:r>
        <w:rPr>
          <w:i/>
          <w:color w:val="231F20"/>
          <w:sz w:val="16"/>
        </w:rPr>
        <w:t xml:space="preserve">, </w:t>
      </w:r>
      <w:r>
        <w:rPr>
          <w:color w:val="231F20"/>
          <w:sz w:val="16"/>
        </w:rPr>
        <w:t>561; denouncing reactionary</w:t>
      </w:r>
    </w:p>
    <w:p w14:paraId="435D07F9" w14:textId="77777777" w:rsidR="002653E8" w:rsidRDefault="003115E3">
      <w:pPr>
        <w:spacing w:before="32"/>
        <w:ind w:left="1347"/>
        <w:rPr>
          <w:sz w:val="16"/>
        </w:rPr>
      </w:pPr>
      <w:r>
        <w:rPr>
          <w:color w:val="231F20"/>
          <w:w w:val="105"/>
          <w:sz w:val="16"/>
        </w:rPr>
        <w:t>attacks 349</w:t>
      </w:r>
      <w:r>
        <w:rPr>
          <w:i/>
          <w:color w:val="231F20"/>
          <w:w w:val="105"/>
          <w:sz w:val="16"/>
        </w:rPr>
        <w:t xml:space="preserve">, </w:t>
      </w:r>
      <w:r>
        <w:rPr>
          <w:color w:val="231F20"/>
          <w:w w:val="105"/>
          <w:sz w:val="16"/>
        </w:rPr>
        <w:t>376–377</w:t>
      </w:r>
      <w:r>
        <w:rPr>
          <w:i/>
          <w:color w:val="231F20"/>
          <w:w w:val="105"/>
          <w:sz w:val="16"/>
        </w:rPr>
        <w:t xml:space="preserve">, </w:t>
      </w:r>
      <w:r>
        <w:rPr>
          <w:color w:val="231F20"/>
          <w:w w:val="105"/>
          <w:sz w:val="16"/>
        </w:rPr>
        <w:t>380</w:t>
      </w:r>
      <w:r>
        <w:rPr>
          <w:i/>
          <w:color w:val="231F20"/>
          <w:w w:val="105"/>
          <w:sz w:val="16"/>
        </w:rPr>
        <w:t xml:space="preserve">, </w:t>
      </w:r>
      <w:r>
        <w:rPr>
          <w:color w:val="231F20"/>
          <w:w w:val="105"/>
          <w:sz w:val="16"/>
        </w:rPr>
        <w:t>599</w:t>
      </w:r>
      <w:r>
        <w:rPr>
          <w:i/>
          <w:color w:val="231F20"/>
          <w:w w:val="105"/>
          <w:sz w:val="16"/>
        </w:rPr>
        <w:t xml:space="preserve">, </w:t>
      </w:r>
      <w:r>
        <w:rPr>
          <w:color w:val="231F20"/>
          <w:w w:val="105"/>
          <w:sz w:val="16"/>
        </w:rPr>
        <w:t>615;</w:t>
      </w:r>
    </w:p>
    <w:p w14:paraId="6307A795" w14:textId="77777777" w:rsidR="002653E8" w:rsidRDefault="003115E3">
      <w:pPr>
        <w:spacing w:before="32"/>
        <w:ind w:left="1347"/>
        <w:rPr>
          <w:sz w:val="16"/>
        </w:rPr>
      </w:pPr>
      <w:r>
        <w:rPr>
          <w:color w:val="231F20"/>
          <w:sz w:val="16"/>
        </w:rPr>
        <w:t>forged public transit passes   460</w:t>
      </w:r>
      <w:r>
        <w:rPr>
          <w:i/>
          <w:color w:val="231F20"/>
          <w:sz w:val="16"/>
        </w:rPr>
        <w:t xml:space="preserve">, </w:t>
      </w:r>
      <w:r>
        <w:rPr>
          <w:color w:val="231F20"/>
          <w:sz w:val="16"/>
        </w:rPr>
        <w:t>462;</w:t>
      </w:r>
    </w:p>
    <w:p w14:paraId="37B4EDF3" w14:textId="77777777" w:rsidR="002653E8" w:rsidRDefault="003115E3">
      <w:pPr>
        <w:spacing w:before="33"/>
        <w:ind w:left="1347"/>
        <w:rPr>
          <w:sz w:val="16"/>
        </w:rPr>
      </w:pPr>
      <w:r>
        <w:rPr>
          <w:color w:val="231F20"/>
          <w:sz w:val="16"/>
        </w:rPr>
        <w:t>international wing 438–441</w:t>
      </w:r>
      <w:r>
        <w:rPr>
          <w:i/>
          <w:color w:val="231F20"/>
          <w:sz w:val="16"/>
        </w:rPr>
        <w:t xml:space="preserve">, </w:t>
      </w:r>
      <w:r>
        <w:rPr>
          <w:color w:val="231F20"/>
          <w:sz w:val="16"/>
        </w:rPr>
        <w:t>482</w:t>
      </w:r>
      <w:r>
        <w:rPr>
          <w:i/>
          <w:color w:val="231F20"/>
          <w:sz w:val="16"/>
        </w:rPr>
        <w:t xml:space="preserve">, </w:t>
      </w:r>
      <w:r>
        <w:rPr>
          <w:color w:val="231F20"/>
          <w:sz w:val="16"/>
        </w:rPr>
        <w:t>561;</w:t>
      </w:r>
    </w:p>
    <w:p w14:paraId="33194F8E" w14:textId="77777777" w:rsidR="002653E8" w:rsidRDefault="003115E3">
      <w:pPr>
        <w:spacing w:before="32"/>
        <w:ind w:left="1347"/>
        <w:rPr>
          <w:i/>
          <w:sz w:val="16"/>
        </w:rPr>
      </w:pPr>
      <w:r>
        <w:rPr>
          <w:color w:val="231F20"/>
          <w:w w:val="105"/>
          <w:sz w:val="16"/>
        </w:rPr>
        <w:t xml:space="preserve">and </w:t>
      </w:r>
      <w:r w:rsidR="00C507A5">
        <w:rPr>
          <w:color w:val="231F20"/>
          <w:w w:val="105"/>
          <w:sz w:val="16"/>
        </w:rPr>
        <w:t>red army faction</w:t>
      </w:r>
      <w:r>
        <w:rPr>
          <w:color w:val="231F20"/>
          <w:w w:val="105"/>
          <w:sz w:val="16"/>
        </w:rPr>
        <w:t xml:space="preserve"> 168</w:t>
      </w:r>
      <w:r>
        <w:rPr>
          <w:i/>
          <w:color w:val="231F20"/>
          <w:w w:val="105"/>
          <w:sz w:val="16"/>
        </w:rPr>
        <w:t xml:space="preserve">, </w:t>
      </w:r>
      <w:r>
        <w:rPr>
          <w:color w:val="231F20"/>
          <w:w w:val="105"/>
          <w:sz w:val="16"/>
        </w:rPr>
        <w:t>349</w:t>
      </w:r>
      <w:r>
        <w:rPr>
          <w:i/>
          <w:color w:val="231F20"/>
          <w:w w:val="105"/>
          <w:sz w:val="16"/>
        </w:rPr>
        <w:t xml:space="preserve">, </w:t>
      </w:r>
      <w:r>
        <w:rPr>
          <w:color w:val="231F20"/>
          <w:w w:val="105"/>
          <w:sz w:val="16"/>
        </w:rPr>
        <w:t>376–377</w:t>
      </w:r>
      <w:r>
        <w:rPr>
          <w:i/>
          <w:color w:val="231F20"/>
          <w:w w:val="105"/>
          <w:sz w:val="16"/>
        </w:rPr>
        <w:t xml:space="preserve">, </w:t>
      </w:r>
      <w:r>
        <w:rPr>
          <w:color w:val="231F20"/>
          <w:w w:val="105"/>
          <w:sz w:val="16"/>
        </w:rPr>
        <w:t>380</w:t>
      </w:r>
      <w:r>
        <w:rPr>
          <w:i/>
          <w:color w:val="231F20"/>
          <w:w w:val="105"/>
          <w:sz w:val="16"/>
        </w:rPr>
        <w:t>,</w:t>
      </w:r>
    </w:p>
    <w:p w14:paraId="6D0DD0FA" w14:textId="77777777" w:rsidR="002653E8" w:rsidRDefault="003115E3">
      <w:pPr>
        <w:spacing w:before="33" w:line="280" w:lineRule="auto"/>
        <w:ind w:left="1347"/>
        <w:rPr>
          <w:sz w:val="16"/>
        </w:rPr>
      </w:pPr>
      <w:r>
        <w:rPr>
          <w:color w:val="231F20"/>
          <w:w w:val="105"/>
          <w:sz w:val="16"/>
        </w:rPr>
        <w:t xml:space="preserve">458; RZ letter to the </w:t>
      </w:r>
      <w:r w:rsidR="00C507A5">
        <w:rPr>
          <w:color w:val="231F20"/>
          <w:w w:val="105"/>
          <w:sz w:val="16"/>
        </w:rPr>
        <w:t>red army faction</w:t>
      </w:r>
      <w:r>
        <w:rPr>
          <w:color w:val="231F20"/>
          <w:w w:val="105"/>
          <w:sz w:val="16"/>
        </w:rPr>
        <w:t xml:space="preserve"> Comrades (1976) 456</w:t>
      </w:r>
      <w:r>
        <w:rPr>
          <w:i/>
          <w:color w:val="231F20"/>
          <w:w w:val="105"/>
          <w:sz w:val="16"/>
        </w:rPr>
        <w:t xml:space="preserve">, </w:t>
      </w:r>
      <w:r>
        <w:rPr>
          <w:color w:val="231F20"/>
          <w:w w:val="105"/>
          <w:sz w:val="16"/>
        </w:rPr>
        <w:t>457–463</w:t>
      </w:r>
      <w:r>
        <w:rPr>
          <w:i/>
          <w:color w:val="231F20"/>
          <w:w w:val="105"/>
          <w:sz w:val="16"/>
        </w:rPr>
        <w:t xml:space="preserve">, </w:t>
      </w:r>
      <w:r>
        <w:rPr>
          <w:color w:val="231F20"/>
          <w:w w:val="105"/>
          <w:sz w:val="16"/>
        </w:rPr>
        <w:t>602; Women of</w:t>
      </w:r>
    </w:p>
    <w:p w14:paraId="4616F138" w14:textId="77777777" w:rsidR="002653E8" w:rsidRDefault="003115E3">
      <w:pPr>
        <w:spacing w:before="1"/>
        <w:ind w:left="1347"/>
        <w:rPr>
          <w:sz w:val="16"/>
        </w:rPr>
      </w:pPr>
      <w:r>
        <w:rPr>
          <w:color w:val="231F20"/>
          <w:sz w:val="16"/>
        </w:rPr>
        <w:t>the Revolutionary Cells 438</w:t>
      </w:r>
      <w:r>
        <w:rPr>
          <w:i/>
          <w:color w:val="231F20"/>
          <w:sz w:val="16"/>
        </w:rPr>
        <w:t xml:space="preserve">, </w:t>
      </w:r>
      <w:r>
        <w:rPr>
          <w:color w:val="231F20"/>
          <w:sz w:val="16"/>
        </w:rPr>
        <w:t>447</w:t>
      </w:r>
    </w:p>
    <w:p w14:paraId="7930C87B" w14:textId="77777777" w:rsidR="002653E8" w:rsidRDefault="003115E3">
      <w:pPr>
        <w:spacing w:before="32" w:line="280" w:lineRule="auto"/>
        <w:ind w:left="1347" w:right="164" w:hanging="200"/>
        <w:rPr>
          <w:sz w:val="16"/>
        </w:rPr>
      </w:pPr>
      <w:r>
        <w:rPr>
          <w:color w:val="231F20"/>
          <w:w w:val="105"/>
          <w:sz w:val="16"/>
        </w:rPr>
        <w:t>Revolutionary Struggle 264</w:t>
      </w:r>
      <w:r>
        <w:rPr>
          <w:i/>
          <w:color w:val="231F20"/>
          <w:w w:val="105"/>
          <w:sz w:val="16"/>
        </w:rPr>
        <w:t xml:space="preserve">, </w:t>
      </w:r>
      <w:r>
        <w:rPr>
          <w:color w:val="231F20"/>
          <w:w w:val="105"/>
          <w:sz w:val="16"/>
        </w:rPr>
        <w:t>265</w:t>
      </w:r>
      <w:r>
        <w:rPr>
          <w:i/>
          <w:color w:val="231F20"/>
          <w:w w:val="105"/>
          <w:sz w:val="16"/>
        </w:rPr>
        <w:t xml:space="preserve">, </w:t>
      </w:r>
      <w:r>
        <w:rPr>
          <w:color w:val="231F20"/>
          <w:w w:val="105"/>
          <w:sz w:val="16"/>
        </w:rPr>
        <w:t>436; Mass-Militancy vs. the Guerilla 436</w:t>
      </w:r>
      <w:r>
        <w:rPr>
          <w:i/>
          <w:color w:val="231F20"/>
          <w:w w:val="105"/>
          <w:sz w:val="16"/>
        </w:rPr>
        <w:t xml:space="preserve">, </w:t>
      </w:r>
      <w:r>
        <w:rPr>
          <w:color w:val="231F20"/>
          <w:w w:val="105"/>
          <w:sz w:val="16"/>
        </w:rPr>
        <w:t>441</w:t>
      </w:r>
    </w:p>
    <w:p w14:paraId="5F882066" w14:textId="77777777" w:rsidR="002653E8" w:rsidRDefault="003115E3">
      <w:pPr>
        <w:spacing w:before="2"/>
        <w:ind w:left="1147"/>
        <w:rPr>
          <w:sz w:val="16"/>
        </w:rPr>
      </w:pPr>
      <w:r>
        <w:rPr>
          <w:color w:val="231F20"/>
          <w:sz w:val="16"/>
        </w:rPr>
        <w:t>Rhodesia 503</w:t>
      </w:r>
    </w:p>
    <w:p w14:paraId="044FE3DE" w14:textId="77777777" w:rsidR="002653E8" w:rsidRDefault="003115E3">
      <w:pPr>
        <w:spacing w:before="32"/>
        <w:ind w:left="1147"/>
        <w:rPr>
          <w:sz w:val="16"/>
        </w:rPr>
      </w:pPr>
      <w:r>
        <w:rPr>
          <w:color w:val="231F20"/>
          <w:w w:val="105"/>
          <w:sz w:val="16"/>
        </w:rPr>
        <w:t>Ridder, Dorothea 30</w:t>
      </w:r>
    </w:p>
    <w:p w14:paraId="07E563F7" w14:textId="77777777" w:rsidR="002653E8" w:rsidRDefault="003115E3">
      <w:pPr>
        <w:spacing w:before="33"/>
        <w:ind w:left="1147"/>
        <w:rPr>
          <w:sz w:val="16"/>
        </w:rPr>
      </w:pPr>
      <w:r>
        <w:rPr>
          <w:color w:val="231F20"/>
          <w:sz w:val="16"/>
        </w:rPr>
        <w:t>Rieber (journalist) 379</w:t>
      </w:r>
    </w:p>
    <w:p w14:paraId="0638A392" w14:textId="77777777" w:rsidR="002653E8" w:rsidRDefault="003115E3">
      <w:pPr>
        <w:spacing w:before="32"/>
        <w:ind w:left="1147"/>
        <w:rPr>
          <w:sz w:val="16"/>
        </w:rPr>
      </w:pPr>
      <w:r>
        <w:rPr>
          <w:color w:val="231F20"/>
          <w:w w:val="105"/>
          <w:sz w:val="16"/>
        </w:rPr>
        <w:t>Rieck, Horst 587</w:t>
      </w:r>
    </w:p>
    <w:p w14:paraId="45E7CB4A" w14:textId="77777777" w:rsidR="002653E8" w:rsidRDefault="003115E3">
      <w:pPr>
        <w:spacing w:before="33"/>
        <w:ind w:left="1147"/>
        <w:rPr>
          <w:sz w:val="16"/>
        </w:rPr>
      </w:pPr>
      <w:r>
        <w:rPr>
          <w:color w:val="231F20"/>
          <w:sz w:val="16"/>
        </w:rPr>
        <w:t>Riedel, Helmut 598</w:t>
      </w:r>
    </w:p>
    <w:p w14:paraId="686EB903" w14:textId="77777777" w:rsidR="002653E8" w:rsidRDefault="003115E3">
      <w:pPr>
        <w:spacing w:before="32" w:line="280" w:lineRule="auto"/>
        <w:ind w:left="1147" w:right="1207"/>
        <w:rPr>
          <w:sz w:val="16"/>
        </w:rPr>
      </w:pPr>
      <w:r>
        <w:rPr>
          <w:color w:val="231F20"/>
          <w:w w:val="105"/>
          <w:sz w:val="16"/>
        </w:rPr>
        <w:t>Rieger, Jürgen 63</w:t>
      </w:r>
      <w:r>
        <w:rPr>
          <w:i/>
          <w:color w:val="231F20"/>
          <w:w w:val="105"/>
          <w:sz w:val="16"/>
        </w:rPr>
        <w:t xml:space="preserve">, </w:t>
      </w:r>
      <w:r>
        <w:rPr>
          <w:color w:val="231F20"/>
          <w:w w:val="105"/>
          <w:sz w:val="16"/>
        </w:rPr>
        <w:t>586 Rifai, Zaid el 188 Rinnelt, Timo 70</w:t>
      </w:r>
    </w:p>
    <w:p w14:paraId="7ABC8DD7" w14:textId="77777777" w:rsidR="002653E8" w:rsidRDefault="003115E3">
      <w:pPr>
        <w:spacing w:before="2"/>
        <w:ind w:left="1147"/>
        <w:rPr>
          <w:sz w:val="16"/>
        </w:rPr>
      </w:pPr>
      <w:r>
        <w:rPr>
          <w:color w:val="231F20"/>
          <w:w w:val="105"/>
          <w:sz w:val="16"/>
        </w:rPr>
        <w:t>Roaming Hash Rebels  45–46</w:t>
      </w:r>
      <w:r>
        <w:rPr>
          <w:i/>
          <w:color w:val="231F20"/>
          <w:w w:val="105"/>
          <w:sz w:val="16"/>
        </w:rPr>
        <w:t xml:space="preserve">, </w:t>
      </w:r>
      <w:r>
        <w:rPr>
          <w:color w:val="231F20"/>
          <w:w w:val="105"/>
          <w:sz w:val="16"/>
        </w:rPr>
        <w:t>57</w:t>
      </w:r>
      <w:r>
        <w:rPr>
          <w:i/>
          <w:color w:val="231F20"/>
          <w:w w:val="105"/>
          <w:sz w:val="16"/>
        </w:rPr>
        <w:t xml:space="preserve">, </w:t>
      </w:r>
      <w:r>
        <w:rPr>
          <w:color w:val="231F20"/>
          <w:w w:val="105"/>
          <w:sz w:val="16"/>
        </w:rPr>
        <w:t>157;</w:t>
      </w:r>
    </w:p>
    <w:p w14:paraId="2E9A6492" w14:textId="77777777" w:rsidR="002653E8" w:rsidRDefault="003115E3">
      <w:pPr>
        <w:spacing w:before="32"/>
        <w:ind w:left="1347"/>
        <w:rPr>
          <w:sz w:val="16"/>
        </w:rPr>
      </w:pPr>
      <w:r>
        <w:rPr>
          <w:color w:val="231F20"/>
          <w:w w:val="105"/>
          <w:sz w:val="16"/>
        </w:rPr>
        <w:t xml:space="preserve">and </w:t>
      </w:r>
      <w:r w:rsidR="00C507A5">
        <w:rPr>
          <w:color w:val="231F20"/>
          <w:w w:val="105"/>
          <w:sz w:val="16"/>
        </w:rPr>
        <w:t>red army faction</w:t>
      </w:r>
      <w:r>
        <w:rPr>
          <w:color w:val="231F20"/>
          <w:w w:val="105"/>
          <w:sz w:val="16"/>
        </w:rPr>
        <w:t xml:space="preserve">   50–52</w:t>
      </w:r>
      <w:r>
        <w:rPr>
          <w:i/>
          <w:color w:val="231F20"/>
          <w:w w:val="105"/>
          <w:sz w:val="16"/>
        </w:rPr>
        <w:t xml:space="preserve">, </w:t>
      </w:r>
      <w:r>
        <w:rPr>
          <w:color w:val="231F20"/>
          <w:w w:val="105"/>
          <w:sz w:val="16"/>
        </w:rPr>
        <w:t>59</w:t>
      </w:r>
      <w:r>
        <w:rPr>
          <w:i/>
          <w:color w:val="231F20"/>
          <w:w w:val="105"/>
          <w:sz w:val="16"/>
        </w:rPr>
        <w:t xml:space="preserve">, </w:t>
      </w:r>
      <w:r>
        <w:rPr>
          <w:color w:val="231F20"/>
          <w:w w:val="105"/>
          <w:sz w:val="16"/>
        </w:rPr>
        <w:t>107</w:t>
      </w:r>
      <w:r>
        <w:rPr>
          <w:i/>
          <w:color w:val="231F20"/>
          <w:w w:val="105"/>
          <w:sz w:val="16"/>
        </w:rPr>
        <w:t xml:space="preserve">, </w:t>
      </w:r>
      <w:r>
        <w:rPr>
          <w:color w:val="231F20"/>
          <w:w w:val="105"/>
          <w:sz w:val="16"/>
        </w:rPr>
        <w:t>114</w:t>
      </w:r>
      <w:r>
        <w:rPr>
          <w:i/>
          <w:color w:val="231F20"/>
          <w:w w:val="105"/>
          <w:sz w:val="16"/>
        </w:rPr>
        <w:t xml:space="preserve">, </w:t>
      </w:r>
      <w:r>
        <w:rPr>
          <w:color w:val="231F20"/>
          <w:w w:val="105"/>
          <w:sz w:val="16"/>
        </w:rPr>
        <w:t>585;</w:t>
      </w:r>
    </w:p>
    <w:p w14:paraId="74110B6E" w14:textId="77777777" w:rsidR="002653E8" w:rsidRDefault="003115E3">
      <w:pPr>
        <w:spacing w:before="32" w:line="280" w:lineRule="auto"/>
        <w:ind w:left="1347" w:right="21"/>
        <w:rPr>
          <w:i/>
          <w:sz w:val="16"/>
        </w:rPr>
      </w:pPr>
      <w:r>
        <w:rPr>
          <w:color w:val="231F20"/>
          <w:w w:val="105"/>
          <w:sz w:val="16"/>
        </w:rPr>
        <w:t>and 2nd of June Movement 46</w:t>
      </w:r>
      <w:r>
        <w:rPr>
          <w:i/>
          <w:color w:val="231F20"/>
          <w:w w:val="105"/>
          <w:sz w:val="16"/>
        </w:rPr>
        <w:t xml:space="preserve">, </w:t>
      </w:r>
      <w:r>
        <w:rPr>
          <w:color w:val="231F20"/>
          <w:w w:val="105"/>
          <w:sz w:val="16"/>
        </w:rPr>
        <w:t>588; triple coup bank robberies (1970) 59</w:t>
      </w:r>
      <w:r>
        <w:rPr>
          <w:i/>
          <w:color w:val="231F20"/>
          <w:w w:val="105"/>
          <w:sz w:val="16"/>
        </w:rPr>
        <w:t>,</w:t>
      </w:r>
    </w:p>
    <w:p w14:paraId="4CF0655C" w14:textId="77777777" w:rsidR="002653E8" w:rsidRPr="00846956" w:rsidRDefault="003115E3">
      <w:pPr>
        <w:spacing w:before="1"/>
        <w:ind w:left="1347"/>
        <w:rPr>
          <w:sz w:val="16"/>
          <w:lang w:val="de-DE"/>
        </w:rPr>
      </w:pPr>
      <w:r w:rsidRPr="00846956">
        <w:rPr>
          <w:color w:val="231F20"/>
          <w:sz w:val="16"/>
          <w:lang w:val="de-DE"/>
        </w:rPr>
        <w:t>585</w:t>
      </w:r>
    </w:p>
    <w:p w14:paraId="3D6D5190" w14:textId="77777777" w:rsidR="002653E8" w:rsidRPr="00846956" w:rsidRDefault="003115E3">
      <w:pPr>
        <w:spacing w:before="33"/>
        <w:ind w:left="1147"/>
        <w:rPr>
          <w:sz w:val="16"/>
          <w:lang w:val="de-DE"/>
        </w:rPr>
      </w:pPr>
      <w:r w:rsidRPr="00846956">
        <w:rPr>
          <w:color w:val="231F20"/>
          <w:w w:val="105"/>
          <w:sz w:val="16"/>
          <w:lang w:val="de-DE"/>
        </w:rPr>
        <w:t>Rodewald, Fritz 171</w:t>
      </w:r>
      <w:r w:rsidRPr="00846956">
        <w:rPr>
          <w:i/>
          <w:color w:val="231F20"/>
          <w:w w:val="105"/>
          <w:sz w:val="16"/>
          <w:lang w:val="de-DE"/>
        </w:rPr>
        <w:t xml:space="preserve">, </w:t>
      </w:r>
      <w:r w:rsidRPr="00846956">
        <w:rPr>
          <w:color w:val="231F20"/>
          <w:w w:val="105"/>
          <w:sz w:val="16"/>
          <w:lang w:val="de-DE"/>
        </w:rPr>
        <w:t>201</w:t>
      </w:r>
    </w:p>
    <w:p w14:paraId="25DEE4AB" w14:textId="77777777" w:rsidR="002653E8" w:rsidRPr="00846956" w:rsidRDefault="003115E3">
      <w:pPr>
        <w:spacing w:before="32"/>
        <w:ind w:left="1147"/>
        <w:rPr>
          <w:sz w:val="16"/>
          <w:lang w:val="de-DE"/>
        </w:rPr>
      </w:pPr>
      <w:r w:rsidRPr="00846956">
        <w:rPr>
          <w:color w:val="231F20"/>
          <w:w w:val="105"/>
          <w:sz w:val="16"/>
          <w:lang w:val="de-DE"/>
        </w:rPr>
        <w:t>Röhl, Anja 386</w:t>
      </w:r>
    </w:p>
    <w:p w14:paraId="72F7486A" w14:textId="77777777" w:rsidR="002653E8" w:rsidRDefault="003115E3">
      <w:pPr>
        <w:spacing w:before="33" w:line="280" w:lineRule="auto"/>
        <w:ind w:left="1347" w:right="447" w:hanging="200"/>
        <w:rPr>
          <w:sz w:val="16"/>
        </w:rPr>
      </w:pPr>
      <w:r w:rsidRPr="00846956">
        <w:rPr>
          <w:color w:val="231F20"/>
          <w:w w:val="105"/>
          <w:sz w:val="16"/>
          <w:lang w:val="de-DE"/>
        </w:rPr>
        <w:t>Röhl, Bettina 443</w:t>
      </w:r>
      <w:r w:rsidRPr="00846956">
        <w:rPr>
          <w:i/>
          <w:color w:val="231F20"/>
          <w:w w:val="105"/>
          <w:sz w:val="16"/>
          <w:lang w:val="de-DE"/>
        </w:rPr>
        <w:t xml:space="preserve">, </w:t>
      </w:r>
      <w:r w:rsidRPr="00846956">
        <w:rPr>
          <w:color w:val="231F20"/>
          <w:w w:val="105"/>
          <w:sz w:val="16"/>
          <w:lang w:val="de-DE"/>
        </w:rPr>
        <w:t>557–558</w:t>
      </w:r>
      <w:r w:rsidRPr="00846956">
        <w:rPr>
          <w:i/>
          <w:color w:val="231F20"/>
          <w:w w:val="105"/>
          <w:sz w:val="16"/>
          <w:lang w:val="de-DE"/>
        </w:rPr>
        <w:t xml:space="preserve">. </w:t>
      </w:r>
      <w:r>
        <w:rPr>
          <w:i/>
          <w:color w:val="231F20"/>
          <w:w w:val="105"/>
          <w:sz w:val="16"/>
        </w:rPr>
        <w:t xml:space="preserve">See also </w:t>
      </w:r>
      <w:r>
        <w:rPr>
          <w:color w:val="231F20"/>
          <w:w w:val="105"/>
          <w:sz w:val="16"/>
        </w:rPr>
        <w:t>Meinhof, Ulrike: daughters</w:t>
      </w:r>
    </w:p>
    <w:p w14:paraId="13A1F19D" w14:textId="77777777" w:rsidR="002653E8" w:rsidRDefault="003115E3">
      <w:pPr>
        <w:spacing w:before="1"/>
        <w:ind w:left="1147"/>
        <w:rPr>
          <w:i/>
          <w:sz w:val="16"/>
        </w:rPr>
      </w:pPr>
      <w:r>
        <w:rPr>
          <w:color w:val="231F20"/>
          <w:sz w:val="16"/>
        </w:rPr>
        <w:t>Röhl, Klaus Rainer 574; daughters 118</w:t>
      </w:r>
      <w:r>
        <w:rPr>
          <w:i/>
          <w:color w:val="231F20"/>
          <w:sz w:val="16"/>
        </w:rPr>
        <w:t>,</w:t>
      </w:r>
    </w:p>
    <w:p w14:paraId="46BEC51D" w14:textId="77777777" w:rsidR="002653E8" w:rsidRPr="00846956" w:rsidRDefault="003115E3">
      <w:pPr>
        <w:spacing w:before="32" w:line="280" w:lineRule="auto"/>
        <w:ind w:left="1347"/>
        <w:rPr>
          <w:sz w:val="16"/>
          <w:lang w:val="de-DE"/>
        </w:rPr>
      </w:pPr>
      <w:r w:rsidRPr="00846956">
        <w:rPr>
          <w:color w:val="231F20"/>
          <w:w w:val="105"/>
          <w:sz w:val="16"/>
          <w:lang w:val="de-DE"/>
        </w:rPr>
        <w:t>557</w:t>
      </w:r>
      <w:r w:rsidRPr="00846956">
        <w:rPr>
          <w:i/>
          <w:color w:val="231F20"/>
          <w:w w:val="105"/>
          <w:sz w:val="16"/>
          <w:lang w:val="de-DE"/>
        </w:rPr>
        <w:t xml:space="preserve">. See also </w:t>
      </w:r>
      <w:r w:rsidRPr="00846956">
        <w:rPr>
          <w:color w:val="231F20"/>
          <w:w w:val="105"/>
          <w:sz w:val="16"/>
          <w:lang w:val="de-DE"/>
        </w:rPr>
        <w:t>Röhl, Anja</w:t>
      </w:r>
      <w:r w:rsidRPr="00846956">
        <w:rPr>
          <w:i/>
          <w:color w:val="231F20"/>
          <w:w w:val="105"/>
          <w:sz w:val="16"/>
          <w:lang w:val="de-DE"/>
        </w:rPr>
        <w:t xml:space="preserve">; See also </w:t>
      </w:r>
      <w:r w:rsidRPr="00846956">
        <w:rPr>
          <w:color w:val="231F20"/>
          <w:w w:val="105"/>
          <w:sz w:val="16"/>
          <w:lang w:val="de-DE"/>
        </w:rPr>
        <w:t>Röhl, Bettina; konkret 26</w:t>
      </w:r>
      <w:r w:rsidRPr="00846956">
        <w:rPr>
          <w:i/>
          <w:color w:val="231F20"/>
          <w:w w:val="105"/>
          <w:sz w:val="16"/>
          <w:lang w:val="de-DE"/>
        </w:rPr>
        <w:t xml:space="preserve">, </w:t>
      </w:r>
      <w:r w:rsidRPr="00846956">
        <w:rPr>
          <w:color w:val="231F20"/>
          <w:w w:val="105"/>
          <w:sz w:val="16"/>
          <w:lang w:val="de-DE"/>
        </w:rPr>
        <w:t>28; and KPD 28; Ulrike Meinhof 26</w:t>
      </w:r>
      <w:r w:rsidRPr="00846956">
        <w:rPr>
          <w:i/>
          <w:color w:val="231F20"/>
          <w:w w:val="105"/>
          <w:sz w:val="16"/>
          <w:lang w:val="de-DE"/>
        </w:rPr>
        <w:t xml:space="preserve">, </w:t>
      </w:r>
      <w:r w:rsidRPr="00846956">
        <w:rPr>
          <w:color w:val="231F20"/>
          <w:w w:val="105"/>
          <w:sz w:val="16"/>
          <w:lang w:val="de-DE"/>
        </w:rPr>
        <w:t>48</w:t>
      </w:r>
      <w:r w:rsidRPr="00846956">
        <w:rPr>
          <w:i/>
          <w:color w:val="231F20"/>
          <w:w w:val="105"/>
          <w:sz w:val="16"/>
          <w:lang w:val="de-DE"/>
        </w:rPr>
        <w:t xml:space="preserve">, </w:t>
      </w:r>
      <w:r w:rsidRPr="00846956">
        <w:rPr>
          <w:color w:val="231F20"/>
          <w:w w:val="105"/>
          <w:sz w:val="16"/>
          <w:lang w:val="de-DE"/>
        </w:rPr>
        <w:t>247</w:t>
      </w:r>
      <w:r w:rsidRPr="00846956">
        <w:rPr>
          <w:i/>
          <w:color w:val="231F20"/>
          <w:w w:val="105"/>
          <w:sz w:val="16"/>
          <w:lang w:val="de-DE"/>
        </w:rPr>
        <w:t xml:space="preserve">, </w:t>
      </w:r>
      <w:r w:rsidRPr="00846956">
        <w:rPr>
          <w:color w:val="231F20"/>
          <w:w w:val="105"/>
          <w:sz w:val="16"/>
          <w:lang w:val="de-DE"/>
        </w:rPr>
        <w:t>583</w:t>
      </w:r>
    </w:p>
    <w:p w14:paraId="1F9CC267" w14:textId="77777777" w:rsidR="002653E8" w:rsidRPr="00846956" w:rsidRDefault="003115E3">
      <w:pPr>
        <w:spacing w:before="2"/>
        <w:ind w:left="1147"/>
        <w:rPr>
          <w:sz w:val="16"/>
          <w:lang w:val="de-DE"/>
        </w:rPr>
      </w:pPr>
      <w:r w:rsidRPr="00846956">
        <w:rPr>
          <w:color w:val="231F20"/>
          <w:sz w:val="16"/>
          <w:lang w:val="de-DE"/>
        </w:rPr>
        <w:t>Rohwedder, Karsten 621</w:t>
      </w:r>
    </w:p>
    <w:p w14:paraId="5BDAAD3A" w14:textId="77777777" w:rsidR="002653E8" w:rsidRDefault="003115E3">
      <w:pPr>
        <w:spacing w:before="32"/>
        <w:ind w:left="1147"/>
        <w:rPr>
          <w:sz w:val="16"/>
        </w:rPr>
      </w:pPr>
      <w:r>
        <w:rPr>
          <w:color w:val="231F20"/>
          <w:w w:val="105"/>
          <w:sz w:val="16"/>
        </w:rPr>
        <w:t>Roll, Carmen 250</w:t>
      </w:r>
      <w:r>
        <w:rPr>
          <w:i/>
          <w:color w:val="231F20"/>
          <w:w w:val="105"/>
          <w:sz w:val="16"/>
        </w:rPr>
        <w:t xml:space="preserve">, </w:t>
      </w:r>
      <w:r>
        <w:rPr>
          <w:color w:val="231F20"/>
          <w:w w:val="105"/>
          <w:sz w:val="16"/>
        </w:rPr>
        <w:t>574; captured (1972)</w:t>
      </w:r>
    </w:p>
    <w:p w14:paraId="6F3472AB" w14:textId="77777777" w:rsidR="002653E8" w:rsidRDefault="003115E3">
      <w:pPr>
        <w:spacing w:before="33"/>
        <w:ind w:left="1347"/>
        <w:rPr>
          <w:sz w:val="16"/>
        </w:rPr>
      </w:pPr>
      <w:r>
        <w:rPr>
          <w:color w:val="231F20"/>
          <w:sz w:val="16"/>
        </w:rPr>
        <w:t>114</w:t>
      </w:r>
      <w:r>
        <w:rPr>
          <w:i/>
          <w:color w:val="231F20"/>
          <w:sz w:val="16"/>
        </w:rPr>
        <w:t xml:space="preserve">, </w:t>
      </w:r>
      <w:r>
        <w:rPr>
          <w:color w:val="231F20"/>
          <w:sz w:val="16"/>
        </w:rPr>
        <w:t>589; drugged 114</w:t>
      </w:r>
      <w:r>
        <w:rPr>
          <w:i/>
          <w:color w:val="231F20"/>
          <w:sz w:val="16"/>
        </w:rPr>
        <w:t xml:space="preserve">, </w:t>
      </w:r>
      <w:r>
        <w:rPr>
          <w:color w:val="231F20"/>
          <w:sz w:val="16"/>
        </w:rPr>
        <w:t>176; release</w:t>
      </w:r>
    </w:p>
    <w:p w14:paraId="4A1FF9D7" w14:textId="77777777" w:rsidR="002653E8" w:rsidRDefault="003115E3">
      <w:pPr>
        <w:spacing w:before="32"/>
        <w:ind w:left="1347"/>
        <w:rPr>
          <w:sz w:val="16"/>
        </w:rPr>
      </w:pPr>
      <w:r>
        <w:rPr>
          <w:color w:val="231F20"/>
          <w:sz w:val="16"/>
        </w:rPr>
        <w:t>demanded 339</w:t>
      </w:r>
    </w:p>
    <w:p w14:paraId="47C0805A" w14:textId="77777777" w:rsidR="002653E8" w:rsidRPr="00846956" w:rsidRDefault="003115E3">
      <w:pPr>
        <w:spacing w:before="33"/>
        <w:ind w:left="1147"/>
        <w:rPr>
          <w:sz w:val="16"/>
          <w:lang w:val="de-DE"/>
        </w:rPr>
      </w:pPr>
      <w:r w:rsidRPr="00846956">
        <w:rPr>
          <w:color w:val="231F20"/>
          <w:w w:val="105"/>
          <w:sz w:val="16"/>
          <w:lang w:val="de-DE"/>
        </w:rPr>
        <w:t>Rollnick, Gabriele 602</w:t>
      </w:r>
    </w:p>
    <w:p w14:paraId="3F08CEF8" w14:textId="77777777" w:rsidR="002653E8" w:rsidRPr="00846956" w:rsidRDefault="003115E3">
      <w:pPr>
        <w:spacing w:before="32"/>
        <w:ind w:left="1147"/>
        <w:rPr>
          <w:sz w:val="16"/>
          <w:lang w:val="de-DE"/>
        </w:rPr>
      </w:pPr>
      <w:r w:rsidRPr="00846956">
        <w:rPr>
          <w:color w:val="231F20"/>
          <w:w w:val="105"/>
          <w:sz w:val="16"/>
          <w:lang w:val="de-DE"/>
        </w:rPr>
        <w:t>Rommel, Manfred 533–534</w:t>
      </w:r>
    </w:p>
    <w:p w14:paraId="4FF8C481" w14:textId="77777777" w:rsidR="002653E8" w:rsidRPr="00846956" w:rsidRDefault="003115E3">
      <w:pPr>
        <w:spacing w:before="32"/>
        <w:ind w:left="1147"/>
        <w:rPr>
          <w:sz w:val="16"/>
          <w:lang w:val="de-DE"/>
        </w:rPr>
      </w:pPr>
      <w:r w:rsidRPr="00846956">
        <w:rPr>
          <w:color w:val="231F20"/>
          <w:sz w:val="16"/>
          <w:lang w:val="de-DE"/>
        </w:rPr>
        <w:t>Rosa Luxemburg Conference (2007) 626</w:t>
      </w:r>
    </w:p>
    <w:p w14:paraId="15975C7C" w14:textId="77777777" w:rsidR="002653E8" w:rsidRPr="00846956" w:rsidRDefault="003115E3">
      <w:pPr>
        <w:spacing w:before="86"/>
        <w:ind w:left="243"/>
        <w:rPr>
          <w:sz w:val="16"/>
          <w:lang w:val="de-DE"/>
        </w:rPr>
      </w:pPr>
      <w:r w:rsidRPr="00846956">
        <w:rPr>
          <w:lang w:val="de-DE"/>
        </w:rPr>
        <w:br w:type="column"/>
      </w:r>
      <w:r w:rsidRPr="00846956">
        <w:rPr>
          <w:color w:val="231F20"/>
          <w:sz w:val="16"/>
          <w:lang w:val="de-DE"/>
        </w:rPr>
        <w:t>Rosenberg, Ludwig 415</w:t>
      </w:r>
    </w:p>
    <w:p w14:paraId="6AC3CFCB" w14:textId="77777777" w:rsidR="002653E8" w:rsidRPr="00846956" w:rsidRDefault="003115E3">
      <w:pPr>
        <w:spacing w:before="33"/>
        <w:ind w:left="243"/>
        <w:rPr>
          <w:sz w:val="16"/>
          <w:lang w:val="de-DE"/>
        </w:rPr>
      </w:pPr>
      <w:r w:rsidRPr="00846956">
        <w:rPr>
          <w:color w:val="231F20"/>
          <w:w w:val="105"/>
          <w:sz w:val="16"/>
          <w:lang w:val="de-DE"/>
        </w:rPr>
        <w:t>Rössner, Bernd 404</w:t>
      </w:r>
      <w:r w:rsidRPr="00846956">
        <w:rPr>
          <w:i/>
          <w:color w:val="231F20"/>
          <w:w w:val="105"/>
          <w:sz w:val="16"/>
          <w:lang w:val="de-DE"/>
        </w:rPr>
        <w:t xml:space="preserve">, </w:t>
      </w:r>
      <w:r w:rsidRPr="00846956">
        <w:rPr>
          <w:color w:val="231F20"/>
          <w:w w:val="105"/>
          <w:sz w:val="16"/>
          <w:lang w:val="de-DE"/>
        </w:rPr>
        <w:t>574</w:t>
      </w:r>
      <w:r w:rsidRPr="00846956">
        <w:rPr>
          <w:i/>
          <w:color w:val="231F20"/>
          <w:w w:val="105"/>
          <w:sz w:val="16"/>
          <w:lang w:val="de-DE"/>
        </w:rPr>
        <w:t xml:space="preserve">, </w:t>
      </w:r>
      <w:r w:rsidRPr="00846956">
        <w:rPr>
          <w:color w:val="231F20"/>
          <w:w w:val="105"/>
          <w:sz w:val="16"/>
          <w:lang w:val="de-DE"/>
        </w:rPr>
        <w:t>622; Hamburg</w:t>
      </w:r>
    </w:p>
    <w:p w14:paraId="75079B46" w14:textId="77777777" w:rsidR="002653E8" w:rsidRDefault="003115E3">
      <w:pPr>
        <w:spacing w:before="32"/>
        <w:ind w:left="443"/>
        <w:rPr>
          <w:sz w:val="16"/>
        </w:rPr>
      </w:pPr>
      <w:r>
        <w:rPr>
          <w:color w:val="231F20"/>
          <w:sz w:val="16"/>
        </w:rPr>
        <w:t>squats 435; pardoned (1994) 624;</w:t>
      </w:r>
    </w:p>
    <w:p w14:paraId="3FDCC849" w14:textId="77777777" w:rsidR="002653E8" w:rsidRDefault="003115E3">
      <w:pPr>
        <w:spacing w:before="33"/>
        <w:ind w:left="443"/>
        <w:rPr>
          <w:sz w:val="16"/>
        </w:rPr>
      </w:pPr>
      <w:r>
        <w:rPr>
          <w:color w:val="231F20"/>
          <w:sz w:val="16"/>
        </w:rPr>
        <w:t>prison 605; released (1992) 621;</w:t>
      </w:r>
    </w:p>
    <w:p w14:paraId="13FC7C1A" w14:textId="77777777" w:rsidR="002653E8" w:rsidRDefault="003115E3">
      <w:pPr>
        <w:spacing w:before="32" w:line="280" w:lineRule="auto"/>
        <w:ind w:left="443" w:right="1439"/>
        <w:rPr>
          <w:sz w:val="16"/>
        </w:rPr>
      </w:pPr>
      <w:r>
        <w:rPr>
          <w:color w:val="231F20"/>
          <w:w w:val="105"/>
          <w:sz w:val="16"/>
        </w:rPr>
        <w:t>release demanded 498</w:t>
      </w:r>
      <w:r>
        <w:rPr>
          <w:i/>
          <w:color w:val="231F20"/>
          <w:w w:val="105"/>
          <w:sz w:val="16"/>
        </w:rPr>
        <w:t xml:space="preserve">, </w:t>
      </w:r>
      <w:r>
        <w:rPr>
          <w:color w:val="231F20"/>
          <w:w w:val="105"/>
          <w:sz w:val="16"/>
        </w:rPr>
        <w:t>505; Stockholm Embassy Occupation 334; trial (1976-77) 600</w:t>
      </w:r>
      <w:r>
        <w:rPr>
          <w:i/>
          <w:color w:val="231F20"/>
          <w:w w:val="105"/>
          <w:sz w:val="16"/>
        </w:rPr>
        <w:t xml:space="preserve">, </w:t>
      </w:r>
      <w:r>
        <w:rPr>
          <w:color w:val="231F20"/>
          <w:w w:val="105"/>
          <w:sz w:val="16"/>
        </w:rPr>
        <w:t>606</w:t>
      </w:r>
    </w:p>
    <w:p w14:paraId="5831B448" w14:textId="77777777" w:rsidR="002653E8" w:rsidRDefault="003115E3">
      <w:pPr>
        <w:spacing w:before="2"/>
        <w:ind w:left="243"/>
        <w:rPr>
          <w:sz w:val="16"/>
        </w:rPr>
      </w:pPr>
      <w:r>
        <w:rPr>
          <w:color w:val="231F20"/>
          <w:sz w:val="16"/>
        </w:rPr>
        <w:t>Rotbuch 587</w:t>
      </w:r>
    </w:p>
    <w:p w14:paraId="05DE08E6" w14:textId="77777777" w:rsidR="002653E8" w:rsidRDefault="003115E3">
      <w:pPr>
        <w:spacing w:before="32"/>
        <w:ind w:left="243"/>
        <w:rPr>
          <w:sz w:val="16"/>
        </w:rPr>
      </w:pPr>
      <w:r>
        <w:rPr>
          <w:color w:val="231F20"/>
          <w:sz w:val="16"/>
        </w:rPr>
        <w:t>Rote Ruhr Armee 588</w:t>
      </w:r>
    </w:p>
    <w:p w14:paraId="320811C2" w14:textId="77777777" w:rsidR="002653E8" w:rsidRDefault="003115E3">
      <w:pPr>
        <w:spacing w:before="32"/>
        <w:ind w:left="243"/>
        <w:rPr>
          <w:sz w:val="16"/>
        </w:rPr>
      </w:pPr>
      <w:r>
        <w:rPr>
          <w:color w:val="231F20"/>
          <w:w w:val="105"/>
          <w:sz w:val="16"/>
        </w:rPr>
        <w:t>Rote Zora 438</w:t>
      </w:r>
      <w:r>
        <w:rPr>
          <w:i/>
          <w:color w:val="231F20"/>
          <w:w w:val="105"/>
          <w:sz w:val="16"/>
        </w:rPr>
        <w:t xml:space="preserve">, </w:t>
      </w:r>
      <w:r>
        <w:rPr>
          <w:color w:val="231F20"/>
          <w:w w:val="105"/>
          <w:sz w:val="16"/>
        </w:rPr>
        <w:t>447</w:t>
      </w:r>
      <w:r>
        <w:rPr>
          <w:i/>
          <w:color w:val="231F20"/>
          <w:w w:val="105"/>
          <w:sz w:val="16"/>
        </w:rPr>
        <w:t xml:space="preserve">, </w:t>
      </w:r>
      <w:r>
        <w:rPr>
          <w:color w:val="231F20"/>
          <w:w w:val="105"/>
          <w:sz w:val="16"/>
        </w:rPr>
        <w:t>540; attack on Fed-</w:t>
      </w:r>
    </w:p>
    <w:p w14:paraId="7A9E0DC6" w14:textId="77777777" w:rsidR="002653E8" w:rsidRDefault="003115E3">
      <w:pPr>
        <w:spacing w:before="33"/>
        <w:ind w:left="443"/>
        <w:rPr>
          <w:sz w:val="16"/>
        </w:rPr>
      </w:pPr>
      <w:r>
        <w:rPr>
          <w:color w:val="231F20"/>
          <w:sz w:val="16"/>
        </w:rPr>
        <w:t>eral Doctors’ Association (1977) 438</w:t>
      </w:r>
    </w:p>
    <w:p w14:paraId="1C835E04" w14:textId="77777777" w:rsidR="002653E8" w:rsidRDefault="003115E3">
      <w:pPr>
        <w:spacing w:before="32" w:line="280" w:lineRule="auto"/>
        <w:ind w:left="243" w:right="2709"/>
        <w:rPr>
          <w:sz w:val="16"/>
        </w:rPr>
      </w:pPr>
      <w:r>
        <w:rPr>
          <w:color w:val="231F20"/>
          <w:w w:val="105"/>
          <w:sz w:val="16"/>
        </w:rPr>
        <w:t>Roth, Jürgen 143 Roth, Karl Heinz 29</w:t>
      </w:r>
    </w:p>
    <w:p w14:paraId="76BA874E" w14:textId="77777777" w:rsidR="002653E8" w:rsidRPr="00846956" w:rsidRDefault="003115E3">
      <w:pPr>
        <w:spacing w:before="1"/>
        <w:ind w:left="243"/>
        <w:rPr>
          <w:sz w:val="16"/>
          <w:lang w:val="de-DE"/>
        </w:rPr>
      </w:pPr>
      <w:r w:rsidRPr="00846956">
        <w:rPr>
          <w:color w:val="231F20"/>
          <w:w w:val="105"/>
          <w:sz w:val="16"/>
          <w:lang w:val="de-DE"/>
        </w:rPr>
        <w:t>Rouillan, Jean-Marc 619</w:t>
      </w:r>
    </w:p>
    <w:p w14:paraId="6CE5C2F4" w14:textId="77777777" w:rsidR="002653E8" w:rsidRPr="00846956" w:rsidRDefault="003115E3">
      <w:pPr>
        <w:spacing w:before="33"/>
        <w:ind w:left="243"/>
        <w:rPr>
          <w:sz w:val="16"/>
          <w:lang w:val="de-DE"/>
        </w:rPr>
      </w:pPr>
      <w:r w:rsidRPr="00846956">
        <w:rPr>
          <w:color w:val="231F20"/>
          <w:sz w:val="16"/>
          <w:lang w:val="de-DE"/>
        </w:rPr>
        <w:t>Rowohlt 143</w:t>
      </w:r>
    </w:p>
    <w:p w14:paraId="45750227" w14:textId="77777777" w:rsidR="002653E8" w:rsidRPr="00846956" w:rsidRDefault="003115E3">
      <w:pPr>
        <w:spacing w:before="32"/>
        <w:ind w:left="243"/>
        <w:rPr>
          <w:sz w:val="16"/>
          <w:lang w:val="de-DE"/>
        </w:rPr>
      </w:pPr>
      <w:r w:rsidRPr="00846956">
        <w:rPr>
          <w:color w:val="231F20"/>
          <w:sz w:val="16"/>
          <w:lang w:val="de-DE"/>
        </w:rPr>
        <w:t>Rubin, Berthold 586</w:t>
      </w:r>
    </w:p>
    <w:p w14:paraId="34E06138" w14:textId="77777777" w:rsidR="002653E8" w:rsidRPr="00846956" w:rsidRDefault="003115E3">
      <w:pPr>
        <w:spacing w:before="33"/>
        <w:ind w:left="243"/>
        <w:rPr>
          <w:sz w:val="16"/>
          <w:lang w:val="de-DE"/>
        </w:rPr>
      </w:pPr>
      <w:r w:rsidRPr="00846956">
        <w:rPr>
          <w:color w:val="231F20"/>
          <w:sz w:val="16"/>
          <w:lang w:val="de-DE"/>
        </w:rPr>
        <w:t>Ruf, Friedrich 587</w:t>
      </w:r>
    </w:p>
    <w:p w14:paraId="1EFE6D06" w14:textId="77777777" w:rsidR="002653E8" w:rsidRPr="00846956" w:rsidRDefault="003115E3">
      <w:pPr>
        <w:spacing w:before="32"/>
        <w:ind w:left="243"/>
        <w:rPr>
          <w:sz w:val="16"/>
          <w:lang w:val="de-DE"/>
        </w:rPr>
      </w:pPr>
      <w:r w:rsidRPr="00846956">
        <w:rPr>
          <w:color w:val="231F20"/>
          <w:w w:val="105"/>
          <w:sz w:val="16"/>
          <w:lang w:val="de-DE"/>
        </w:rPr>
        <w:t>Ruf, Helmut 587</w:t>
      </w:r>
    </w:p>
    <w:p w14:paraId="21A94431" w14:textId="77777777" w:rsidR="002653E8" w:rsidRPr="00846956" w:rsidRDefault="003115E3">
      <w:pPr>
        <w:spacing w:before="32" w:line="280" w:lineRule="auto"/>
        <w:ind w:left="443" w:right="1525" w:hanging="200"/>
        <w:rPr>
          <w:i/>
          <w:sz w:val="16"/>
          <w:lang w:val="de-DE"/>
        </w:rPr>
      </w:pPr>
      <w:r w:rsidRPr="00846956">
        <w:rPr>
          <w:color w:val="231F20"/>
          <w:w w:val="105"/>
          <w:sz w:val="16"/>
          <w:lang w:val="de-DE"/>
        </w:rPr>
        <w:t>Ruhland, Karl-Heinz 574; captured (1970) 60</w:t>
      </w:r>
      <w:r w:rsidRPr="00846956">
        <w:rPr>
          <w:i/>
          <w:color w:val="231F20"/>
          <w:w w:val="105"/>
          <w:sz w:val="16"/>
          <w:lang w:val="de-DE"/>
        </w:rPr>
        <w:t xml:space="preserve">, </w:t>
      </w:r>
      <w:r w:rsidRPr="00846956">
        <w:rPr>
          <w:color w:val="231F20"/>
          <w:w w:val="105"/>
          <w:sz w:val="16"/>
          <w:lang w:val="de-DE"/>
        </w:rPr>
        <w:t>585; informant 60</w:t>
      </w:r>
      <w:r w:rsidRPr="00846956">
        <w:rPr>
          <w:i/>
          <w:color w:val="231F20"/>
          <w:w w:val="105"/>
          <w:sz w:val="16"/>
          <w:lang w:val="de-DE"/>
        </w:rPr>
        <w:t xml:space="preserve">, </w:t>
      </w:r>
      <w:r w:rsidRPr="00846956">
        <w:rPr>
          <w:color w:val="231F20"/>
          <w:w w:val="105"/>
          <w:sz w:val="16"/>
          <w:lang w:val="de-DE"/>
        </w:rPr>
        <w:t>113</w:t>
      </w:r>
      <w:r w:rsidRPr="00846956">
        <w:rPr>
          <w:i/>
          <w:color w:val="231F20"/>
          <w:w w:val="105"/>
          <w:sz w:val="16"/>
          <w:lang w:val="de-DE"/>
        </w:rPr>
        <w:t>,</w:t>
      </w:r>
    </w:p>
    <w:p w14:paraId="75A9CA70" w14:textId="77777777" w:rsidR="002653E8" w:rsidRDefault="003115E3">
      <w:pPr>
        <w:spacing w:before="1"/>
        <w:ind w:left="443"/>
        <w:rPr>
          <w:sz w:val="16"/>
        </w:rPr>
      </w:pPr>
      <w:r>
        <w:rPr>
          <w:color w:val="231F20"/>
          <w:w w:val="105"/>
          <w:sz w:val="16"/>
        </w:rPr>
        <w:t>161</w:t>
      </w:r>
      <w:r>
        <w:rPr>
          <w:i/>
          <w:color w:val="231F20"/>
          <w:w w:val="105"/>
          <w:sz w:val="16"/>
        </w:rPr>
        <w:t xml:space="preserve">, </w:t>
      </w:r>
      <w:r>
        <w:rPr>
          <w:color w:val="231F20"/>
          <w:w w:val="105"/>
          <w:sz w:val="16"/>
        </w:rPr>
        <w:t>460</w:t>
      </w:r>
      <w:r>
        <w:rPr>
          <w:i/>
          <w:color w:val="231F20"/>
          <w:w w:val="105"/>
          <w:sz w:val="16"/>
        </w:rPr>
        <w:t xml:space="preserve">, </w:t>
      </w:r>
      <w:r>
        <w:rPr>
          <w:color w:val="231F20"/>
          <w:w w:val="105"/>
          <w:sz w:val="16"/>
        </w:rPr>
        <w:t xml:space="preserve">530; mentioned by </w:t>
      </w:r>
      <w:r w:rsidR="00C507A5">
        <w:rPr>
          <w:color w:val="231F20"/>
          <w:w w:val="105"/>
          <w:sz w:val="16"/>
        </w:rPr>
        <w:t>red army faction</w:t>
      </w:r>
    </w:p>
    <w:p w14:paraId="0DC82533" w14:textId="77777777" w:rsidR="002653E8" w:rsidRDefault="003115E3">
      <w:pPr>
        <w:spacing w:before="33"/>
        <w:ind w:left="443"/>
        <w:rPr>
          <w:sz w:val="16"/>
        </w:rPr>
      </w:pPr>
      <w:r>
        <w:rPr>
          <w:color w:val="231F20"/>
          <w:w w:val="105"/>
          <w:sz w:val="16"/>
        </w:rPr>
        <w:t>120</w:t>
      </w:r>
      <w:r>
        <w:rPr>
          <w:i/>
          <w:color w:val="231F20"/>
          <w:w w:val="105"/>
          <w:sz w:val="16"/>
        </w:rPr>
        <w:t xml:space="preserve">, </w:t>
      </w:r>
      <w:r>
        <w:rPr>
          <w:color w:val="231F20"/>
          <w:w w:val="105"/>
          <w:sz w:val="16"/>
        </w:rPr>
        <w:t>154</w:t>
      </w:r>
      <w:r>
        <w:rPr>
          <w:i/>
          <w:color w:val="231F20"/>
          <w:w w:val="105"/>
          <w:sz w:val="16"/>
        </w:rPr>
        <w:t xml:space="preserve">, </w:t>
      </w:r>
      <w:r>
        <w:rPr>
          <w:color w:val="231F20"/>
          <w:w w:val="105"/>
          <w:sz w:val="16"/>
        </w:rPr>
        <w:t>155</w:t>
      </w:r>
      <w:r>
        <w:rPr>
          <w:i/>
          <w:color w:val="231F20"/>
          <w:w w:val="105"/>
          <w:sz w:val="16"/>
        </w:rPr>
        <w:t xml:space="preserve">, </w:t>
      </w:r>
      <w:r>
        <w:rPr>
          <w:color w:val="231F20"/>
          <w:w w:val="105"/>
          <w:sz w:val="16"/>
        </w:rPr>
        <w:t>158; pardoned 307;</w:t>
      </w:r>
    </w:p>
    <w:p w14:paraId="5247C867" w14:textId="77777777" w:rsidR="002653E8" w:rsidRDefault="003115E3">
      <w:pPr>
        <w:spacing w:before="32"/>
        <w:ind w:left="443"/>
        <w:rPr>
          <w:sz w:val="16"/>
        </w:rPr>
      </w:pPr>
      <w:r>
        <w:rPr>
          <w:color w:val="231F20"/>
          <w:sz w:val="16"/>
        </w:rPr>
        <w:t>trial (1972) 113</w:t>
      </w:r>
      <w:r>
        <w:rPr>
          <w:i/>
          <w:color w:val="231F20"/>
          <w:sz w:val="16"/>
        </w:rPr>
        <w:t xml:space="preserve">, </w:t>
      </w:r>
      <w:r>
        <w:rPr>
          <w:color w:val="231F20"/>
          <w:sz w:val="16"/>
        </w:rPr>
        <w:t>589; use in psycho-</w:t>
      </w:r>
    </w:p>
    <w:p w14:paraId="26DFFE12" w14:textId="77777777" w:rsidR="002653E8" w:rsidRDefault="003115E3">
      <w:pPr>
        <w:spacing w:before="33"/>
        <w:ind w:left="443"/>
        <w:rPr>
          <w:sz w:val="16"/>
        </w:rPr>
      </w:pPr>
      <w:r>
        <w:rPr>
          <w:color w:val="231F20"/>
          <w:w w:val="105"/>
          <w:sz w:val="16"/>
        </w:rPr>
        <w:t>logical warfare 113</w:t>
      </w:r>
      <w:r>
        <w:rPr>
          <w:i/>
          <w:color w:val="231F20"/>
          <w:w w:val="105"/>
          <w:sz w:val="16"/>
        </w:rPr>
        <w:t xml:space="preserve">, </w:t>
      </w:r>
      <w:r>
        <w:rPr>
          <w:color w:val="231F20"/>
          <w:w w:val="105"/>
          <w:sz w:val="16"/>
        </w:rPr>
        <w:t>118</w:t>
      </w:r>
      <w:r>
        <w:rPr>
          <w:i/>
          <w:color w:val="231F20"/>
          <w:w w:val="105"/>
          <w:sz w:val="16"/>
        </w:rPr>
        <w:t xml:space="preserve">, </w:t>
      </w:r>
      <w:r>
        <w:rPr>
          <w:color w:val="231F20"/>
          <w:w w:val="105"/>
          <w:sz w:val="16"/>
        </w:rPr>
        <w:t>158</w:t>
      </w:r>
      <w:r>
        <w:rPr>
          <w:i/>
          <w:color w:val="231F20"/>
          <w:w w:val="105"/>
          <w:sz w:val="16"/>
        </w:rPr>
        <w:t xml:space="preserve">, </w:t>
      </w:r>
      <w:r>
        <w:rPr>
          <w:color w:val="231F20"/>
          <w:w w:val="105"/>
          <w:sz w:val="16"/>
        </w:rPr>
        <w:t>351</w:t>
      </w:r>
    </w:p>
    <w:p w14:paraId="7A22CC88" w14:textId="77777777" w:rsidR="002653E8" w:rsidRDefault="003115E3">
      <w:pPr>
        <w:spacing w:before="32"/>
        <w:ind w:left="243"/>
        <w:rPr>
          <w:sz w:val="16"/>
        </w:rPr>
      </w:pPr>
      <w:r>
        <w:rPr>
          <w:color w:val="231F20"/>
          <w:w w:val="105"/>
          <w:sz w:val="16"/>
        </w:rPr>
        <w:t>Runau, Heinz 219</w:t>
      </w:r>
    </w:p>
    <w:p w14:paraId="240D6F00" w14:textId="77777777" w:rsidR="002653E8" w:rsidRDefault="002653E8">
      <w:pPr>
        <w:pStyle w:val="a3"/>
        <w:rPr>
          <w:sz w:val="18"/>
        </w:rPr>
      </w:pPr>
    </w:p>
    <w:p w14:paraId="32681490" w14:textId="77777777" w:rsidR="002653E8" w:rsidRDefault="002653E8">
      <w:pPr>
        <w:pStyle w:val="a3"/>
        <w:rPr>
          <w:sz w:val="18"/>
        </w:rPr>
      </w:pPr>
    </w:p>
    <w:p w14:paraId="5DE9AFAD" w14:textId="77777777" w:rsidR="002653E8" w:rsidRDefault="002653E8">
      <w:pPr>
        <w:pStyle w:val="a3"/>
        <w:rPr>
          <w:sz w:val="18"/>
        </w:rPr>
      </w:pPr>
    </w:p>
    <w:p w14:paraId="6905781B" w14:textId="77777777" w:rsidR="002653E8" w:rsidRDefault="002653E8">
      <w:pPr>
        <w:pStyle w:val="a3"/>
        <w:spacing w:before="10"/>
        <w:rPr>
          <w:sz w:val="23"/>
        </w:rPr>
      </w:pPr>
    </w:p>
    <w:p w14:paraId="11DD921B" w14:textId="77777777" w:rsidR="002653E8" w:rsidRDefault="003115E3">
      <w:pPr>
        <w:spacing w:line="280" w:lineRule="auto"/>
        <w:ind w:left="443" w:right="1335" w:hanging="200"/>
        <w:rPr>
          <w:sz w:val="16"/>
        </w:rPr>
      </w:pPr>
      <w:r>
        <w:rPr>
          <w:color w:val="231F20"/>
          <w:sz w:val="16"/>
        </w:rPr>
        <w:t>Salazar (dictator) 179</w:t>
      </w:r>
      <w:r>
        <w:rPr>
          <w:i/>
          <w:color w:val="231F20"/>
          <w:sz w:val="16"/>
        </w:rPr>
        <w:t xml:space="preserve">, </w:t>
      </w:r>
      <w:r>
        <w:rPr>
          <w:color w:val="231F20"/>
          <w:sz w:val="16"/>
        </w:rPr>
        <w:t>427</w:t>
      </w:r>
      <w:r>
        <w:rPr>
          <w:i/>
          <w:color w:val="231F20"/>
          <w:sz w:val="16"/>
        </w:rPr>
        <w:t xml:space="preserve">. See also </w:t>
      </w:r>
      <w:r>
        <w:rPr>
          <w:color w:val="231F20"/>
          <w:sz w:val="16"/>
        </w:rPr>
        <w:t>Portugal</w:t>
      </w:r>
    </w:p>
    <w:p w14:paraId="7C3AD7AB" w14:textId="77777777" w:rsidR="002653E8" w:rsidRDefault="003115E3">
      <w:pPr>
        <w:spacing w:before="1"/>
        <w:ind w:left="243"/>
        <w:rPr>
          <w:sz w:val="16"/>
        </w:rPr>
      </w:pPr>
      <w:r>
        <w:rPr>
          <w:color w:val="231F20"/>
          <w:sz w:val="16"/>
        </w:rPr>
        <w:t>Sanders, Heike 582</w:t>
      </w:r>
    </w:p>
    <w:p w14:paraId="7870AE5C" w14:textId="77777777" w:rsidR="002653E8" w:rsidRDefault="003115E3">
      <w:pPr>
        <w:spacing w:before="32"/>
        <w:ind w:left="243"/>
        <w:rPr>
          <w:sz w:val="16"/>
        </w:rPr>
      </w:pPr>
      <w:r>
        <w:rPr>
          <w:color w:val="231F20"/>
          <w:sz w:val="16"/>
        </w:rPr>
        <w:t>Santiago de Chile conference (1972) 210</w:t>
      </w:r>
    </w:p>
    <w:p w14:paraId="15DDE75A" w14:textId="77777777" w:rsidR="002653E8" w:rsidRDefault="003115E3">
      <w:pPr>
        <w:spacing w:before="33" w:line="280" w:lineRule="auto"/>
        <w:ind w:left="243" w:right="1335"/>
        <w:rPr>
          <w:sz w:val="16"/>
        </w:rPr>
      </w:pPr>
      <w:r>
        <w:rPr>
          <w:color w:val="231F20"/>
          <w:sz w:val="16"/>
        </w:rPr>
        <w:t>Sartre, Jean-Paul 108</w:t>
      </w:r>
      <w:r>
        <w:rPr>
          <w:i/>
          <w:color w:val="231F20"/>
          <w:sz w:val="16"/>
        </w:rPr>
        <w:t xml:space="preserve">, </w:t>
      </w:r>
      <w:r>
        <w:rPr>
          <w:color w:val="231F20"/>
          <w:sz w:val="16"/>
        </w:rPr>
        <w:t>388</w:t>
      </w:r>
      <w:r>
        <w:rPr>
          <w:i/>
          <w:color w:val="231F20"/>
          <w:sz w:val="16"/>
        </w:rPr>
        <w:t xml:space="preserve">, </w:t>
      </w:r>
      <w:r>
        <w:rPr>
          <w:color w:val="231F20"/>
          <w:sz w:val="16"/>
        </w:rPr>
        <w:t>459</w:t>
      </w:r>
      <w:r>
        <w:rPr>
          <w:i/>
          <w:color w:val="231F20"/>
          <w:sz w:val="16"/>
        </w:rPr>
        <w:t xml:space="preserve">, </w:t>
      </w:r>
      <w:r>
        <w:rPr>
          <w:color w:val="231F20"/>
          <w:sz w:val="16"/>
        </w:rPr>
        <w:t>526</w:t>
      </w:r>
      <w:r>
        <w:rPr>
          <w:i/>
          <w:color w:val="231F20"/>
          <w:sz w:val="16"/>
        </w:rPr>
        <w:t xml:space="preserve">, </w:t>
      </w:r>
      <w:r>
        <w:rPr>
          <w:color w:val="231F20"/>
          <w:sz w:val="16"/>
        </w:rPr>
        <w:t>595 SAS (Special Air Service) 193</w:t>
      </w:r>
    </w:p>
    <w:p w14:paraId="7D0118C5" w14:textId="77777777" w:rsidR="002653E8" w:rsidRDefault="003115E3">
      <w:pPr>
        <w:spacing w:before="1"/>
        <w:ind w:left="243"/>
        <w:rPr>
          <w:sz w:val="16"/>
        </w:rPr>
      </w:pPr>
      <w:r>
        <w:rPr>
          <w:color w:val="231F20"/>
          <w:w w:val="105"/>
          <w:sz w:val="16"/>
        </w:rPr>
        <w:t>Saudi Arabia 209</w:t>
      </w:r>
      <w:r>
        <w:rPr>
          <w:i/>
          <w:color w:val="231F20"/>
          <w:w w:val="105"/>
          <w:sz w:val="16"/>
        </w:rPr>
        <w:t xml:space="preserve">, </w:t>
      </w:r>
      <w:r>
        <w:rPr>
          <w:color w:val="231F20"/>
          <w:w w:val="105"/>
          <w:sz w:val="16"/>
        </w:rPr>
        <w:t>439</w:t>
      </w:r>
      <w:r>
        <w:rPr>
          <w:i/>
          <w:color w:val="231F20"/>
          <w:w w:val="105"/>
          <w:sz w:val="16"/>
        </w:rPr>
        <w:t xml:space="preserve">, </w:t>
      </w:r>
      <w:r>
        <w:rPr>
          <w:color w:val="231F20"/>
          <w:w w:val="105"/>
          <w:sz w:val="16"/>
        </w:rPr>
        <w:t>484</w:t>
      </w:r>
    </w:p>
    <w:p w14:paraId="2E203CCC" w14:textId="77777777" w:rsidR="002653E8" w:rsidRDefault="003115E3">
      <w:pPr>
        <w:spacing w:before="32"/>
        <w:ind w:left="243"/>
        <w:rPr>
          <w:sz w:val="16"/>
        </w:rPr>
      </w:pPr>
      <w:r>
        <w:rPr>
          <w:color w:val="231F20"/>
          <w:w w:val="110"/>
          <w:sz w:val="16"/>
        </w:rPr>
        <w:t>SAVAK 32</w:t>
      </w:r>
    </w:p>
    <w:p w14:paraId="25C92212" w14:textId="77777777" w:rsidR="002653E8" w:rsidRDefault="003115E3">
      <w:pPr>
        <w:spacing w:before="33"/>
        <w:ind w:left="243"/>
        <w:rPr>
          <w:sz w:val="16"/>
        </w:rPr>
      </w:pPr>
      <w:r>
        <w:rPr>
          <w:color w:val="231F20"/>
          <w:sz w:val="16"/>
        </w:rPr>
        <w:t>Sayeret Mat’kal 193</w:t>
      </w:r>
    </w:p>
    <w:p w14:paraId="302CDCB7" w14:textId="77777777" w:rsidR="002653E8" w:rsidRPr="00846956" w:rsidRDefault="003115E3">
      <w:pPr>
        <w:spacing w:before="32"/>
        <w:ind w:left="243"/>
        <w:rPr>
          <w:sz w:val="16"/>
          <w:lang w:val="de-DE"/>
        </w:rPr>
      </w:pPr>
      <w:r w:rsidRPr="00846956">
        <w:rPr>
          <w:color w:val="231F20"/>
          <w:sz w:val="16"/>
          <w:lang w:val="de-DE"/>
        </w:rPr>
        <w:t>Scarton, Frank 617</w:t>
      </w:r>
    </w:p>
    <w:p w14:paraId="441C1998" w14:textId="77777777" w:rsidR="002653E8" w:rsidRPr="00846956" w:rsidRDefault="003115E3">
      <w:pPr>
        <w:spacing w:before="33"/>
        <w:ind w:left="243"/>
        <w:rPr>
          <w:sz w:val="16"/>
          <w:lang w:val="de-DE"/>
        </w:rPr>
      </w:pPr>
      <w:r w:rsidRPr="00846956">
        <w:rPr>
          <w:color w:val="231F20"/>
          <w:sz w:val="16"/>
          <w:lang w:val="de-DE"/>
        </w:rPr>
        <w:t>Schaap, William 597</w:t>
      </w:r>
    </w:p>
    <w:p w14:paraId="050EB024" w14:textId="77777777" w:rsidR="002653E8" w:rsidRPr="00846956" w:rsidRDefault="003115E3">
      <w:pPr>
        <w:spacing w:before="32"/>
        <w:ind w:left="243"/>
        <w:rPr>
          <w:sz w:val="16"/>
          <w:lang w:val="de-DE"/>
        </w:rPr>
      </w:pPr>
      <w:r w:rsidRPr="00846956">
        <w:rPr>
          <w:color w:val="231F20"/>
          <w:w w:val="105"/>
          <w:sz w:val="16"/>
          <w:lang w:val="de-DE"/>
        </w:rPr>
        <w:t>Scharf, Kurt 459</w:t>
      </w:r>
      <w:r w:rsidRPr="00846956">
        <w:rPr>
          <w:i/>
          <w:color w:val="231F20"/>
          <w:w w:val="105"/>
          <w:sz w:val="16"/>
          <w:lang w:val="de-DE"/>
        </w:rPr>
        <w:t xml:space="preserve">, </w:t>
      </w:r>
      <w:r w:rsidRPr="00846956">
        <w:rPr>
          <w:color w:val="231F20"/>
          <w:w w:val="105"/>
          <w:sz w:val="16"/>
          <w:lang w:val="de-DE"/>
        </w:rPr>
        <w:t>532</w:t>
      </w:r>
    </w:p>
    <w:p w14:paraId="1F881957" w14:textId="77777777" w:rsidR="002653E8" w:rsidRDefault="003115E3">
      <w:pPr>
        <w:spacing w:before="32"/>
        <w:ind w:left="243"/>
        <w:rPr>
          <w:sz w:val="16"/>
        </w:rPr>
      </w:pPr>
      <w:r>
        <w:rPr>
          <w:color w:val="231F20"/>
          <w:sz w:val="16"/>
        </w:rPr>
        <w:t>Schauer, Helmut 444</w:t>
      </w:r>
    </w:p>
    <w:p w14:paraId="4340E44A" w14:textId="77777777" w:rsidR="002653E8" w:rsidRDefault="003115E3">
      <w:pPr>
        <w:spacing w:before="33" w:line="280" w:lineRule="auto"/>
        <w:ind w:left="443" w:right="1801" w:hanging="200"/>
        <w:rPr>
          <w:sz w:val="16"/>
        </w:rPr>
      </w:pPr>
      <w:r>
        <w:rPr>
          <w:color w:val="231F20"/>
          <w:sz w:val="16"/>
        </w:rPr>
        <w:t xml:space="preserve">Scheel, </w:t>
      </w:r>
      <w:r>
        <w:rPr>
          <w:color w:val="231F20"/>
          <w:spacing w:val="-3"/>
          <w:sz w:val="16"/>
        </w:rPr>
        <w:t xml:space="preserve">Walter   </w:t>
      </w:r>
      <w:r>
        <w:rPr>
          <w:color w:val="231F20"/>
          <w:sz w:val="16"/>
        </w:rPr>
        <w:t>41</w:t>
      </w:r>
      <w:r>
        <w:rPr>
          <w:i/>
          <w:color w:val="231F20"/>
          <w:sz w:val="16"/>
        </w:rPr>
        <w:t xml:space="preserve">, </w:t>
      </w:r>
      <w:r>
        <w:rPr>
          <w:color w:val="231F20"/>
          <w:sz w:val="16"/>
        </w:rPr>
        <w:t>574</w:t>
      </w:r>
      <w:r>
        <w:rPr>
          <w:i/>
          <w:color w:val="231F20"/>
          <w:sz w:val="16"/>
        </w:rPr>
        <w:t xml:space="preserve">, </w:t>
      </w:r>
      <w:r>
        <w:rPr>
          <w:color w:val="231F20"/>
          <w:sz w:val="16"/>
        </w:rPr>
        <w:t>584</w:t>
      </w:r>
      <w:r>
        <w:rPr>
          <w:i/>
          <w:color w:val="231F20"/>
          <w:sz w:val="16"/>
        </w:rPr>
        <w:t xml:space="preserve">. See also </w:t>
      </w:r>
      <w:r>
        <w:rPr>
          <w:color w:val="231F20"/>
          <w:sz w:val="16"/>
        </w:rPr>
        <w:t>Social-Liberal</w:t>
      </w:r>
      <w:r>
        <w:rPr>
          <w:color w:val="231F20"/>
          <w:spacing w:val="-12"/>
          <w:sz w:val="16"/>
        </w:rPr>
        <w:t xml:space="preserve"> </w:t>
      </w:r>
      <w:r>
        <w:rPr>
          <w:color w:val="231F20"/>
          <w:sz w:val="16"/>
        </w:rPr>
        <w:t>Brandt-Scheel</w:t>
      </w:r>
    </w:p>
    <w:p w14:paraId="2B82C1E0" w14:textId="77777777" w:rsidR="002653E8" w:rsidRDefault="003115E3">
      <w:pPr>
        <w:spacing w:before="1"/>
        <w:ind w:left="443"/>
        <w:rPr>
          <w:sz w:val="16"/>
        </w:rPr>
      </w:pPr>
      <w:r>
        <w:rPr>
          <w:color w:val="231F20"/>
          <w:sz w:val="16"/>
        </w:rPr>
        <w:t>Government (1969-1974); mentioned</w:t>
      </w:r>
    </w:p>
    <w:p w14:paraId="525483CB" w14:textId="77777777" w:rsidR="002653E8" w:rsidRDefault="003115E3">
      <w:pPr>
        <w:spacing w:before="32"/>
        <w:ind w:left="443"/>
        <w:rPr>
          <w:sz w:val="16"/>
        </w:rPr>
      </w:pPr>
      <w:r>
        <w:rPr>
          <w:color w:val="231F20"/>
          <w:sz w:val="16"/>
        </w:rPr>
        <w:t xml:space="preserve">by </w:t>
      </w:r>
      <w:r w:rsidR="00C507A5">
        <w:rPr>
          <w:color w:val="231F20"/>
          <w:sz w:val="16"/>
        </w:rPr>
        <w:t>red army faction</w:t>
      </w:r>
      <w:r>
        <w:rPr>
          <w:color w:val="231F20"/>
          <w:sz w:val="16"/>
        </w:rPr>
        <w:t xml:space="preserve"> 131</w:t>
      </w:r>
      <w:r>
        <w:rPr>
          <w:i/>
          <w:color w:val="231F20"/>
          <w:sz w:val="16"/>
        </w:rPr>
        <w:t xml:space="preserve">, </w:t>
      </w:r>
      <w:r>
        <w:rPr>
          <w:color w:val="231F20"/>
          <w:sz w:val="16"/>
        </w:rPr>
        <w:t>232</w:t>
      </w:r>
      <w:r>
        <w:rPr>
          <w:i/>
          <w:color w:val="231F20"/>
          <w:sz w:val="16"/>
        </w:rPr>
        <w:t xml:space="preserve">, </w:t>
      </w:r>
      <w:r>
        <w:rPr>
          <w:color w:val="231F20"/>
          <w:sz w:val="16"/>
        </w:rPr>
        <w:t>600; speech at</w:t>
      </w:r>
    </w:p>
    <w:p w14:paraId="0F50DF49" w14:textId="77777777" w:rsidR="002653E8" w:rsidRDefault="002653E8">
      <w:pPr>
        <w:rPr>
          <w:sz w:val="16"/>
        </w:rPr>
        <w:sectPr w:rsidR="002653E8">
          <w:pgSz w:w="8640" w:h="12960"/>
          <w:pgMar w:top="1080" w:right="0" w:bottom="1040" w:left="0" w:header="0" w:footer="846" w:gutter="0"/>
          <w:cols w:num="2" w:space="720" w:equalWidth="0">
            <w:col w:w="4087" w:space="40"/>
            <w:col w:w="4513"/>
          </w:cols>
        </w:sectPr>
      </w:pPr>
    </w:p>
    <w:p w14:paraId="2C92B383" w14:textId="77777777" w:rsidR="002653E8" w:rsidRDefault="003115E3">
      <w:pPr>
        <w:spacing w:before="86"/>
        <w:ind w:left="1527"/>
        <w:rPr>
          <w:sz w:val="16"/>
        </w:rPr>
      </w:pPr>
      <w:r>
        <w:rPr>
          <w:color w:val="231F20"/>
          <w:sz w:val="16"/>
        </w:rPr>
        <w:lastRenderedPageBreak/>
        <w:t>Schleyer’s funeral 525</w:t>
      </w:r>
    </w:p>
    <w:p w14:paraId="12FD60B7" w14:textId="77777777" w:rsidR="002653E8" w:rsidRDefault="003115E3">
      <w:pPr>
        <w:spacing w:before="33"/>
        <w:ind w:left="1327"/>
        <w:rPr>
          <w:sz w:val="16"/>
        </w:rPr>
      </w:pPr>
      <w:r>
        <w:rPr>
          <w:color w:val="231F20"/>
          <w:sz w:val="16"/>
        </w:rPr>
        <w:t>Schelm, Petra 107</w:t>
      </w:r>
      <w:r>
        <w:rPr>
          <w:i/>
          <w:color w:val="231F20"/>
          <w:sz w:val="16"/>
        </w:rPr>
        <w:t xml:space="preserve">, </w:t>
      </w:r>
      <w:r>
        <w:rPr>
          <w:color w:val="231F20"/>
          <w:sz w:val="16"/>
        </w:rPr>
        <w:t>115</w:t>
      </w:r>
      <w:r>
        <w:rPr>
          <w:i/>
          <w:color w:val="231F20"/>
          <w:sz w:val="16"/>
        </w:rPr>
        <w:t xml:space="preserve">, </w:t>
      </w:r>
      <w:r>
        <w:rPr>
          <w:color w:val="231F20"/>
          <w:sz w:val="16"/>
        </w:rPr>
        <w:t>574; death men-</w:t>
      </w:r>
    </w:p>
    <w:p w14:paraId="1D7401D5" w14:textId="77777777" w:rsidR="002653E8" w:rsidRDefault="003115E3">
      <w:pPr>
        <w:spacing w:before="32"/>
        <w:ind w:left="1527"/>
        <w:rPr>
          <w:i/>
          <w:sz w:val="16"/>
        </w:rPr>
      </w:pPr>
      <w:r>
        <w:rPr>
          <w:color w:val="231F20"/>
          <w:w w:val="105"/>
          <w:sz w:val="16"/>
        </w:rPr>
        <w:t xml:space="preserve">tioned by </w:t>
      </w:r>
      <w:r w:rsidR="00C507A5">
        <w:rPr>
          <w:color w:val="231F20"/>
          <w:w w:val="105"/>
          <w:sz w:val="16"/>
        </w:rPr>
        <w:t>red army faction</w:t>
      </w:r>
      <w:r>
        <w:rPr>
          <w:color w:val="231F20"/>
          <w:w w:val="105"/>
          <w:sz w:val="16"/>
        </w:rPr>
        <w:t xml:space="preserve"> 123</w:t>
      </w:r>
      <w:r>
        <w:rPr>
          <w:i/>
          <w:color w:val="231F20"/>
          <w:w w:val="105"/>
          <w:sz w:val="16"/>
        </w:rPr>
        <w:t xml:space="preserve">, </w:t>
      </w:r>
      <w:r>
        <w:rPr>
          <w:color w:val="231F20"/>
          <w:w w:val="105"/>
          <w:sz w:val="16"/>
        </w:rPr>
        <w:t>165</w:t>
      </w:r>
      <w:r>
        <w:rPr>
          <w:i/>
          <w:color w:val="231F20"/>
          <w:w w:val="105"/>
          <w:sz w:val="16"/>
        </w:rPr>
        <w:t xml:space="preserve">, </w:t>
      </w:r>
      <w:r>
        <w:rPr>
          <w:color w:val="231F20"/>
          <w:w w:val="105"/>
          <w:sz w:val="16"/>
        </w:rPr>
        <w:t>183</w:t>
      </w:r>
      <w:r>
        <w:rPr>
          <w:i/>
          <w:color w:val="231F20"/>
          <w:w w:val="105"/>
          <w:sz w:val="16"/>
        </w:rPr>
        <w:t xml:space="preserve">, </w:t>
      </w:r>
      <w:r>
        <w:rPr>
          <w:color w:val="231F20"/>
          <w:w w:val="105"/>
          <w:sz w:val="16"/>
        </w:rPr>
        <w:t>233</w:t>
      </w:r>
      <w:r>
        <w:rPr>
          <w:i/>
          <w:color w:val="231F20"/>
          <w:w w:val="105"/>
          <w:sz w:val="16"/>
        </w:rPr>
        <w:t>,</w:t>
      </w:r>
    </w:p>
    <w:p w14:paraId="06770872" w14:textId="77777777" w:rsidR="002653E8" w:rsidRDefault="003115E3">
      <w:pPr>
        <w:spacing w:before="33" w:line="280" w:lineRule="auto"/>
        <w:ind w:left="1327" w:firstLine="200"/>
        <w:rPr>
          <w:sz w:val="16"/>
        </w:rPr>
      </w:pPr>
      <w:r>
        <w:rPr>
          <w:color w:val="231F20"/>
          <w:w w:val="105"/>
          <w:sz w:val="16"/>
        </w:rPr>
        <w:t>589; killed by police (1971) 107</w:t>
      </w:r>
      <w:r>
        <w:rPr>
          <w:i/>
          <w:color w:val="231F20"/>
          <w:w w:val="105"/>
          <w:sz w:val="16"/>
        </w:rPr>
        <w:t xml:space="preserve">, </w:t>
      </w:r>
      <w:r>
        <w:rPr>
          <w:color w:val="231F20"/>
          <w:w w:val="105"/>
          <w:sz w:val="16"/>
        </w:rPr>
        <w:t>587 Schiller, Karl 29</w:t>
      </w:r>
      <w:r>
        <w:rPr>
          <w:i/>
          <w:color w:val="231F20"/>
          <w:w w:val="105"/>
          <w:sz w:val="16"/>
        </w:rPr>
        <w:t xml:space="preserve">, </w:t>
      </w:r>
      <w:r>
        <w:rPr>
          <w:color w:val="231F20"/>
          <w:w w:val="105"/>
          <w:sz w:val="16"/>
        </w:rPr>
        <w:t>574</w:t>
      </w:r>
      <w:r>
        <w:rPr>
          <w:i/>
          <w:color w:val="231F20"/>
          <w:w w:val="105"/>
          <w:sz w:val="16"/>
        </w:rPr>
        <w:t xml:space="preserve">. See also </w:t>
      </w:r>
      <w:r>
        <w:rPr>
          <w:color w:val="231F20"/>
          <w:w w:val="105"/>
          <w:sz w:val="16"/>
        </w:rPr>
        <w:t>Grand</w:t>
      </w:r>
    </w:p>
    <w:p w14:paraId="1F8BBC82" w14:textId="77777777" w:rsidR="002653E8" w:rsidRDefault="003115E3">
      <w:pPr>
        <w:spacing w:before="1" w:line="280" w:lineRule="auto"/>
        <w:ind w:left="1527" w:right="51"/>
        <w:rPr>
          <w:sz w:val="16"/>
        </w:rPr>
      </w:pPr>
      <w:r>
        <w:rPr>
          <w:color w:val="231F20"/>
          <w:w w:val="105"/>
          <w:sz w:val="16"/>
        </w:rPr>
        <w:t xml:space="preserve">Coalition; mentioned by </w:t>
      </w:r>
      <w:r w:rsidR="00C507A5">
        <w:rPr>
          <w:color w:val="231F20"/>
          <w:w w:val="105"/>
          <w:sz w:val="16"/>
        </w:rPr>
        <w:t>red army faction</w:t>
      </w:r>
      <w:r>
        <w:rPr>
          <w:color w:val="231F20"/>
          <w:w w:val="105"/>
          <w:sz w:val="16"/>
        </w:rPr>
        <w:t xml:space="preserve"> 102</w:t>
      </w:r>
      <w:r>
        <w:rPr>
          <w:i/>
          <w:color w:val="231F20"/>
          <w:w w:val="105"/>
          <w:sz w:val="16"/>
        </w:rPr>
        <w:t xml:space="preserve">, </w:t>
      </w:r>
      <w:r>
        <w:rPr>
          <w:color w:val="231F20"/>
          <w:w w:val="105"/>
          <w:sz w:val="16"/>
        </w:rPr>
        <w:t>134</w:t>
      </w:r>
    </w:p>
    <w:p w14:paraId="4ECB7874" w14:textId="77777777" w:rsidR="002653E8" w:rsidRDefault="003115E3">
      <w:pPr>
        <w:spacing w:before="1"/>
        <w:ind w:left="1327"/>
        <w:rPr>
          <w:sz w:val="16"/>
        </w:rPr>
      </w:pPr>
      <w:r>
        <w:rPr>
          <w:color w:val="231F20"/>
          <w:sz w:val="16"/>
        </w:rPr>
        <w:t>Schiller, Margrit 574; captured (1971)</w:t>
      </w:r>
    </w:p>
    <w:p w14:paraId="6ED8E0F1" w14:textId="77777777" w:rsidR="002653E8" w:rsidRDefault="003115E3">
      <w:pPr>
        <w:spacing w:before="32"/>
        <w:ind w:left="1527"/>
        <w:rPr>
          <w:sz w:val="16"/>
        </w:rPr>
      </w:pPr>
      <w:r>
        <w:rPr>
          <w:color w:val="231F20"/>
          <w:sz w:val="16"/>
        </w:rPr>
        <w:t>108</w:t>
      </w:r>
      <w:r>
        <w:rPr>
          <w:i/>
          <w:color w:val="231F20"/>
          <w:sz w:val="16"/>
        </w:rPr>
        <w:t xml:space="preserve">, </w:t>
      </w:r>
      <w:r>
        <w:rPr>
          <w:color w:val="231F20"/>
          <w:sz w:val="16"/>
        </w:rPr>
        <w:t>110</w:t>
      </w:r>
      <w:r>
        <w:rPr>
          <w:i/>
          <w:color w:val="231F20"/>
          <w:sz w:val="16"/>
        </w:rPr>
        <w:t xml:space="preserve">, </w:t>
      </w:r>
      <w:r>
        <w:rPr>
          <w:color w:val="231F20"/>
          <w:sz w:val="16"/>
        </w:rPr>
        <w:t>588; captured (1974)</w:t>
      </w:r>
    </w:p>
    <w:p w14:paraId="113A5F7C" w14:textId="77777777" w:rsidR="002653E8" w:rsidRDefault="003115E3">
      <w:pPr>
        <w:spacing w:before="32"/>
        <w:ind w:left="1527"/>
        <w:rPr>
          <w:sz w:val="16"/>
        </w:rPr>
      </w:pPr>
      <w:r>
        <w:rPr>
          <w:color w:val="231F20"/>
          <w:sz w:val="16"/>
        </w:rPr>
        <w:t>325–326</w:t>
      </w:r>
      <w:r>
        <w:rPr>
          <w:i/>
          <w:color w:val="231F20"/>
          <w:sz w:val="16"/>
        </w:rPr>
        <w:t xml:space="preserve">, </w:t>
      </w:r>
      <w:r>
        <w:rPr>
          <w:color w:val="231F20"/>
          <w:sz w:val="16"/>
        </w:rPr>
        <w:t>594; force-feeding 259;</w:t>
      </w:r>
    </w:p>
    <w:p w14:paraId="076DDB1D" w14:textId="77777777" w:rsidR="002653E8" w:rsidRDefault="003115E3">
      <w:pPr>
        <w:spacing w:before="33" w:line="280" w:lineRule="auto"/>
        <w:ind w:left="1527"/>
        <w:rPr>
          <w:sz w:val="16"/>
        </w:rPr>
      </w:pPr>
      <w:r>
        <w:rPr>
          <w:color w:val="231F20"/>
          <w:sz w:val="16"/>
        </w:rPr>
        <w:t>lawyer’s offices bombed 348</w:t>
      </w:r>
      <w:r>
        <w:rPr>
          <w:i/>
          <w:color w:val="231F20"/>
          <w:sz w:val="16"/>
        </w:rPr>
        <w:t xml:space="preserve">, </w:t>
      </w:r>
      <w:r>
        <w:rPr>
          <w:color w:val="231F20"/>
          <w:sz w:val="16"/>
        </w:rPr>
        <w:t>601; release demanded 339; underground (before Oct. 1971) 108</w:t>
      </w:r>
      <w:r>
        <w:rPr>
          <w:i/>
          <w:color w:val="231F20"/>
          <w:sz w:val="16"/>
        </w:rPr>
        <w:t xml:space="preserve">, </w:t>
      </w:r>
      <w:r>
        <w:rPr>
          <w:color w:val="231F20"/>
          <w:sz w:val="16"/>
        </w:rPr>
        <w:t>587; returns</w:t>
      </w:r>
    </w:p>
    <w:p w14:paraId="1C7B8A74" w14:textId="77777777" w:rsidR="002653E8" w:rsidRDefault="003115E3">
      <w:pPr>
        <w:spacing w:before="2"/>
        <w:ind w:left="1527"/>
        <w:rPr>
          <w:sz w:val="16"/>
        </w:rPr>
      </w:pPr>
      <w:r>
        <w:rPr>
          <w:color w:val="231F20"/>
          <w:sz w:val="16"/>
        </w:rPr>
        <w:t>underground (1973) 110</w:t>
      </w:r>
      <w:r>
        <w:rPr>
          <w:i/>
          <w:color w:val="231F20"/>
          <w:sz w:val="16"/>
        </w:rPr>
        <w:t xml:space="preserve">, </w:t>
      </w:r>
      <w:r>
        <w:rPr>
          <w:color w:val="231F20"/>
          <w:sz w:val="16"/>
        </w:rPr>
        <w:t>593</w:t>
      </w:r>
    </w:p>
    <w:p w14:paraId="4A7B5058" w14:textId="77777777" w:rsidR="002653E8" w:rsidRDefault="003115E3">
      <w:pPr>
        <w:spacing w:before="32"/>
        <w:ind w:left="1327"/>
        <w:rPr>
          <w:sz w:val="16"/>
        </w:rPr>
      </w:pPr>
      <w:r>
        <w:rPr>
          <w:color w:val="231F20"/>
          <w:w w:val="105"/>
          <w:sz w:val="16"/>
        </w:rPr>
        <w:t>Schily, Otto 246</w:t>
      </w:r>
      <w:r>
        <w:rPr>
          <w:i/>
          <w:color w:val="231F20"/>
          <w:w w:val="105"/>
          <w:sz w:val="16"/>
        </w:rPr>
        <w:t xml:space="preserve">, </w:t>
      </w:r>
      <w:r>
        <w:rPr>
          <w:color w:val="231F20"/>
          <w:w w:val="105"/>
          <w:sz w:val="16"/>
        </w:rPr>
        <w:t>247</w:t>
      </w:r>
      <w:r>
        <w:rPr>
          <w:i/>
          <w:color w:val="231F20"/>
          <w:w w:val="105"/>
          <w:sz w:val="16"/>
        </w:rPr>
        <w:t xml:space="preserve">, </w:t>
      </w:r>
      <w:r>
        <w:rPr>
          <w:color w:val="231F20"/>
          <w:w w:val="105"/>
          <w:sz w:val="16"/>
        </w:rPr>
        <w:t>575; attacks on</w:t>
      </w:r>
    </w:p>
    <w:p w14:paraId="77C60F64" w14:textId="77777777" w:rsidR="002653E8" w:rsidRDefault="003115E3">
      <w:pPr>
        <w:spacing w:before="32" w:line="280" w:lineRule="auto"/>
        <w:ind w:left="1527" w:right="51"/>
        <w:rPr>
          <w:sz w:val="16"/>
        </w:rPr>
      </w:pPr>
      <w:r>
        <w:rPr>
          <w:color w:val="231F20"/>
          <w:sz w:val="16"/>
        </w:rPr>
        <w:t>266; criticized by Baader 249</w:t>
      </w:r>
      <w:r>
        <w:rPr>
          <w:i/>
          <w:color w:val="231F20"/>
          <w:sz w:val="16"/>
        </w:rPr>
        <w:t xml:space="preserve">, </w:t>
      </w:r>
      <w:r>
        <w:rPr>
          <w:color w:val="231F20"/>
          <w:sz w:val="16"/>
        </w:rPr>
        <w:t xml:space="preserve">320; on Buback assassination 470; Committees Against </w:t>
      </w:r>
      <w:r>
        <w:rPr>
          <w:color w:val="231F20"/>
          <w:spacing w:val="-3"/>
          <w:sz w:val="16"/>
        </w:rPr>
        <w:t xml:space="preserve">Torture </w:t>
      </w:r>
      <w:r>
        <w:rPr>
          <w:color w:val="231F20"/>
          <w:sz w:val="16"/>
        </w:rPr>
        <w:t>245; Green Party 247; convinces Katharina Hammerschmidt to surrender 171</w:t>
      </w:r>
      <w:r>
        <w:rPr>
          <w:i/>
          <w:color w:val="231F20"/>
          <w:sz w:val="16"/>
        </w:rPr>
        <w:t xml:space="preserve">, </w:t>
      </w:r>
      <w:r>
        <w:rPr>
          <w:color w:val="231F20"/>
          <w:sz w:val="16"/>
        </w:rPr>
        <w:t>591; on Meinhof’s death 382; Minister of the Interior (1998) 247</w:t>
      </w:r>
      <w:r>
        <w:rPr>
          <w:i/>
          <w:color w:val="231F20"/>
          <w:sz w:val="16"/>
        </w:rPr>
        <w:t xml:space="preserve">, </w:t>
      </w:r>
      <w:r>
        <w:rPr>
          <w:color w:val="231F20"/>
          <w:sz w:val="16"/>
        </w:rPr>
        <w:t>626; prevented from attending Ruhland’s trial 154; SDP 247; on Stammheim deaths</w:t>
      </w:r>
      <w:r>
        <w:rPr>
          <w:color w:val="231F20"/>
          <w:spacing w:val="2"/>
          <w:sz w:val="16"/>
        </w:rPr>
        <w:t xml:space="preserve"> </w:t>
      </w:r>
      <w:r>
        <w:rPr>
          <w:color w:val="231F20"/>
          <w:sz w:val="16"/>
        </w:rPr>
        <w:t>608;</w:t>
      </w:r>
    </w:p>
    <w:p w14:paraId="04495DDA" w14:textId="77777777" w:rsidR="002653E8" w:rsidRPr="00846956" w:rsidRDefault="003115E3">
      <w:pPr>
        <w:spacing w:before="5"/>
        <w:ind w:left="1527"/>
        <w:rPr>
          <w:i/>
          <w:sz w:val="16"/>
          <w:lang w:val="de-DE"/>
        </w:rPr>
      </w:pPr>
      <w:r w:rsidRPr="00846956">
        <w:rPr>
          <w:color w:val="231F20"/>
          <w:w w:val="105"/>
          <w:sz w:val="16"/>
          <w:lang w:val="de-DE"/>
        </w:rPr>
        <w:t>Stammheim trial 345</w:t>
      </w:r>
      <w:r w:rsidRPr="00846956">
        <w:rPr>
          <w:i/>
          <w:color w:val="231F20"/>
          <w:w w:val="105"/>
          <w:sz w:val="16"/>
          <w:lang w:val="de-DE"/>
        </w:rPr>
        <w:t xml:space="preserve">, </w:t>
      </w:r>
      <w:r w:rsidRPr="00846956">
        <w:rPr>
          <w:color w:val="231F20"/>
          <w:w w:val="105"/>
          <w:sz w:val="16"/>
          <w:lang w:val="de-DE"/>
        </w:rPr>
        <w:t>353</w:t>
      </w:r>
      <w:r w:rsidRPr="00846956">
        <w:rPr>
          <w:i/>
          <w:color w:val="231F20"/>
          <w:w w:val="105"/>
          <w:sz w:val="16"/>
          <w:lang w:val="de-DE"/>
        </w:rPr>
        <w:t xml:space="preserve">, </w:t>
      </w:r>
      <w:r w:rsidRPr="00846956">
        <w:rPr>
          <w:color w:val="231F20"/>
          <w:w w:val="105"/>
          <w:sz w:val="16"/>
          <w:lang w:val="de-DE"/>
        </w:rPr>
        <w:t>598</w:t>
      </w:r>
      <w:r w:rsidRPr="00846956">
        <w:rPr>
          <w:i/>
          <w:color w:val="231F20"/>
          <w:w w:val="105"/>
          <w:sz w:val="16"/>
          <w:lang w:val="de-DE"/>
        </w:rPr>
        <w:t xml:space="preserve">, </w:t>
      </w:r>
      <w:r w:rsidRPr="00846956">
        <w:rPr>
          <w:color w:val="231F20"/>
          <w:w w:val="105"/>
          <w:sz w:val="16"/>
          <w:lang w:val="de-DE"/>
        </w:rPr>
        <w:t>603</w:t>
      </w:r>
      <w:r w:rsidRPr="00846956">
        <w:rPr>
          <w:i/>
          <w:color w:val="231F20"/>
          <w:w w:val="105"/>
          <w:sz w:val="16"/>
          <w:lang w:val="de-DE"/>
        </w:rPr>
        <w:t>,</w:t>
      </w:r>
    </w:p>
    <w:p w14:paraId="0DA224AD" w14:textId="77777777" w:rsidR="002653E8" w:rsidRPr="00846956" w:rsidRDefault="003115E3">
      <w:pPr>
        <w:spacing w:before="33"/>
        <w:ind w:left="1527"/>
        <w:rPr>
          <w:sz w:val="16"/>
          <w:lang w:val="de-DE"/>
        </w:rPr>
      </w:pPr>
      <w:r w:rsidRPr="00846956">
        <w:rPr>
          <w:color w:val="231F20"/>
          <w:sz w:val="16"/>
          <w:lang w:val="de-DE"/>
        </w:rPr>
        <w:t>604</w:t>
      </w:r>
    </w:p>
    <w:p w14:paraId="2065C855" w14:textId="77777777" w:rsidR="002653E8" w:rsidRPr="00846956" w:rsidRDefault="003115E3">
      <w:pPr>
        <w:spacing w:before="32"/>
        <w:ind w:left="1327"/>
        <w:rPr>
          <w:sz w:val="16"/>
          <w:lang w:val="de-DE"/>
        </w:rPr>
      </w:pPr>
      <w:r w:rsidRPr="00846956">
        <w:rPr>
          <w:color w:val="231F20"/>
          <w:sz w:val="16"/>
          <w:lang w:val="de-DE"/>
        </w:rPr>
        <w:t>Schleyer, Eberhard 608</w:t>
      </w:r>
    </w:p>
    <w:p w14:paraId="7BC3234A" w14:textId="77777777" w:rsidR="002653E8" w:rsidRDefault="003115E3">
      <w:pPr>
        <w:spacing w:before="32" w:line="280" w:lineRule="auto"/>
        <w:ind w:left="1527" w:right="105" w:hanging="200"/>
        <w:rPr>
          <w:sz w:val="16"/>
        </w:rPr>
      </w:pPr>
      <w:r w:rsidRPr="00846956">
        <w:rPr>
          <w:color w:val="231F20"/>
          <w:sz w:val="16"/>
          <w:lang w:val="de-DE"/>
        </w:rPr>
        <w:t>Schleyer, Hanns Martin 477</w:t>
      </w:r>
      <w:r w:rsidRPr="00846956">
        <w:rPr>
          <w:i/>
          <w:color w:val="231F20"/>
          <w:sz w:val="16"/>
          <w:lang w:val="de-DE"/>
        </w:rPr>
        <w:t xml:space="preserve">, </w:t>
      </w:r>
      <w:r w:rsidRPr="00846956">
        <w:rPr>
          <w:color w:val="231F20"/>
          <w:sz w:val="16"/>
          <w:lang w:val="de-DE"/>
        </w:rPr>
        <w:t>575</w:t>
      </w:r>
      <w:r w:rsidRPr="00846956">
        <w:rPr>
          <w:i/>
          <w:color w:val="231F20"/>
          <w:sz w:val="16"/>
          <w:lang w:val="de-DE"/>
        </w:rPr>
        <w:t xml:space="preserve">, </w:t>
      </w:r>
      <w:r w:rsidRPr="00846956">
        <w:rPr>
          <w:color w:val="231F20"/>
          <w:sz w:val="16"/>
          <w:lang w:val="de-DE"/>
        </w:rPr>
        <w:t>610</w:t>
      </w:r>
      <w:r w:rsidRPr="00846956">
        <w:rPr>
          <w:i/>
          <w:color w:val="231F20"/>
          <w:sz w:val="16"/>
          <w:lang w:val="de-DE"/>
        </w:rPr>
        <w:t xml:space="preserve">. </w:t>
      </w:r>
      <w:r>
        <w:rPr>
          <w:i/>
          <w:color w:val="231F20"/>
          <w:sz w:val="16"/>
        </w:rPr>
        <w:t xml:space="preserve">See also </w:t>
      </w:r>
      <w:r w:rsidR="00C507A5">
        <w:rPr>
          <w:color w:val="231F20"/>
          <w:sz w:val="16"/>
        </w:rPr>
        <w:t>red army faction</w:t>
      </w:r>
      <w:r>
        <w:rPr>
          <w:color w:val="231F20"/>
          <w:sz w:val="16"/>
        </w:rPr>
        <w:t xml:space="preserve"> (Red Army Faction): kidnapping of Hanns Martin Schleyer (1977); executed 486</w:t>
      </w:r>
      <w:r>
        <w:rPr>
          <w:i/>
          <w:color w:val="231F20"/>
          <w:sz w:val="16"/>
        </w:rPr>
        <w:t xml:space="preserve">, </w:t>
      </w:r>
      <w:r>
        <w:rPr>
          <w:color w:val="231F20"/>
          <w:sz w:val="16"/>
        </w:rPr>
        <w:t>507</w:t>
      </w:r>
      <w:r>
        <w:rPr>
          <w:i/>
          <w:color w:val="231F20"/>
          <w:sz w:val="16"/>
        </w:rPr>
        <w:t xml:space="preserve">, </w:t>
      </w:r>
      <w:r>
        <w:rPr>
          <w:color w:val="231F20"/>
          <w:sz w:val="16"/>
        </w:rPr>
        <w:t>608;</w:t>
      </w:r>
    </w:p>
    <w:p w14:paraId="082DD9DA" w14:textId="77777777" w:rsidR="002653E8" w:rsidRDefault="003115E3">
      <w:pPr>
        <w:spacing w:before="3"/>
        <w:ind w:left="1527"/>
        <w:rPr>
          <w:sz w:val="16"/>
        </w:rPr>
      </w:pPr>
      <w:r>
        <w:rPr>
          <w:color w:val="231F20"/>
          <w:sz w:val="16"/>
        </w:rPr>
        <w:t>family 485; funeral 525; kidnapped</w:t>
      </w:r>
    </w:p>
    <w:p w14:paraId="620B3F5C" w14:textId="77777777" w:rsidR="002653E8" w:rsidRDefault="003115E3">
      <w:pPr>
        <w:spacing w:before="32"/>
        <w:ind w:left="1527"/>
        <w:rPr>
          <w:sz w:val="16"/>
        </w:rPr>
      </w:pPr>
      <w:r>
        <w:rPr>
          <w:color w:val="231F20"/>
          <w:w w:val="105"/>
          <w:sz w:val="16"/>
        </w:rPr>
        <w:t>476–477</w:t>
      </w:r>
      <w:r>
        <w:rPr>
          <w:i/>
          <w:color w:val="231F20"/>
          <w:w w:val="105"/>
          <w:sz w:val="16"/>
        </w:rPr>
        <w:t xml:space="preserve">, </w:t>
      </w:r>
      <w:r>
        <w:rPr>
          <w:color w:val="231F20"/>
          <w:w w:val="105"/>
          <w:sz w:val="16"/>
        </w:rPr>
        <w:t>478</w:t>
      </w:r>
      <w:r>
        <w:rPr>
          <w:i/>
          <w:color w:val="231F20"/>
          <w:w w:val="105"/>
          <w:sz w:val="16"/>
        </w:rPr>
        <w:t xml:space="preserve">, </w:t>
      </w:r>
      <w:r>
        <w:rPr>
          <w:color w:val="231F20"/>
          <w:w w:val="105"/>
          <w:sz w:val="16"/>
        </w:rPr>
        <w:t>508</w:t>
      </w:r>
      <w:r>
        <w:rPr>
          <w:i/>
          <w:color w:val="231F20"/>
          <w:w w:val="105"/>
          <w:sz w:val="16"/>
        </w:rPr>
        <w:t xml:space="preserve">, </w:t>
      </w:r>
      <w:r>
        <w:rPr>
          <w:color w:val="231F20"/>
          <w:w w:val="105"/>
          <w:sz w:val="16"/>
        </w:rPr>
        <w:t>532</w:t>
      </w:r>
      <w:r>
        <w:rPr>
          <w:i/>
          <w:color w:val="231F20"/>
          <w:w w:val="105"/>
          <w:sz w:val="16"/>
        </w:rPr>
        <w:t xml:space="preserve">, </w:t>
      </w:r>
      <w:r>
        <w:rPr>
          <w:color w:val="231F20"/>
          <w:w w:val="105"/>
          <w:sz w:val="16"/>
        </w:rPr>
        <w:t>533</w:t>
      </w:r>
      <w:r>
        <w:rPr>
          <w:i/>
          <w:color w:val="231F20"/>
          <w:w w:val="105"/>
          <w:sz w:val="16"/>
        </w:rPr>
        <w:t xml:space="preserve">, </w:t>
      </w:r>
      <w:r>
        <w:rPr>
          <w:color w:val="231F20"/>
          <w:w w:val="105"/>
          <w:sz w:val="16"/>
        </w:rPr>
        <w:t>607; let-</w:t>
      </w:r>
    </w:p>
    <w:p w14:paraId="648A8AFB" w14:textId="77777777" w:rsidR="002653E8" w:rsidRDefault="003115E3">
      <w:pPr>
        <w:spacing w:before="32" w:line="280" w:lineRule="auto"/>
        <w:ind w:left="1527"/>
        <w:rPr>
          <w:sz w:val="16"/>
        </w:rPr>
      </w:pPr>
      <w:r>
        <w:rPr>
          <w:color w:val="231F20"/>
          <w:sz w:val="16"/>
        </w:rPr>
        <w:t xml:space="preserve">ters while held captive 481; mentioned by George Jackson Brigade 524; mentioned by </w:t>
      </w:r>
      <w:r w:rsidR="00C507A5">
        <w:rPr>
          <w:color w:val="231F20"/>
          <w:sz w:val="16"/>
        </w:rPr>
        <w:t>red army faction</w:t>
      </w:r>
      <w:r>
        <w:rPr>
          <w:color w:val="231F20"/>
          <w:sz w:val="16"/>
        </w:rPr>
        <w:t xml:space="preserve"> 478</w:t>
      </w:r>
      <w:r>
        <w:rPr>
          <w:i/>
          <w:color w:val="231F20"/>
          <w:sz w:val="16"/>
        </w:rPr>
        <w:t xml:space="preserve">, </w:t>
      </w:r>
      <w:r>
        <w:rPr>
          <w:color w:val="231F20"/>
          <w:sz w:val="16"/>
        </w:rPr>
        <w:t>498–502; mentioned by SAWIO 505; videotape while held captive 484</w:t>
      </w:r>
    </w:p>
    <w:p w14:paraId="3202A1DE" w14:textId="77777777" w:rsidR="002653E8" w:rsidRPr="00846956" w:rsidRDefault="003115E3">
      <w:pPr>
        <w:spacing w:before="3"/>
        <w:ind w:left="1327"/>
        <w:rPr>
          <w:sz w:val="16"/>
          <w:lang w:val="de-DE"/>
        </w:rPr>
      </w:pPr>
      <w:r w:rsidRPr="00846956">
        <w:rPr>
          <w:color w:val="231F20"/>
          <w:sz w:val="16"/>
          <w:lang w:val="de-DE"/>
        </w:rPr>
        <w:t>Schlöndorff, Volker 610</w:t>
      </w:r>
    </w:p>
    <w:p w14:paraId="2A087D98" w14:textId="77777777" w:rsidR="002653E8" w:rsidRPr="00846956" w:rsidRDefault="003115E3">
      <w:pPr>
        <w:spacing w:before="32"/>
        <w:ind w:left="1327"/>
        <w:rPr>
          <w:i/>
          <w:sz w:val="16"/>
          <w:lang w:val="de-DE"/>
        </w:rPr>
      </w:pPr>
      <w:r w:rsidRPr="00846956">
        <w:rPr>
          <w:color w:val="231F20"/>
          <w:w w:val="105"/>
          <w:sz w:val="16"/>
          <w:lang w:val="de-DE"/>
        </w:rPr>
        <w:t>Schmid, Norbert 110</w:t>
      </w:r>
      <w:r w:rsidRPr="00846956">
        <w:rPr>
          <w:i/>
          <w:color w:val="231F20"/>
          <w:w w:val="105"/>
          <w:sz w:val="16"/>
          <w:lang w:val="de-DE"/>
        </w:rPr>
        <w:t xml:space="preserve">, </w:t>
      </w:r>
      <w:r w:rsidRPr="00846956">
        <w:rPr>
          <w:color w:val="231F20"/>
          <w:w w:val="105"/>
          <w:sz w:val="16"/>
          <w:lang w:val="de-DE"/>
        </w:rPr>
        <w:t>172</w:t>
      </w:r>
      <w:r w:rsidRPr="00846956">
        <w:rPr>
          <w:i/>
          <w:color w:val="231F20"/>
          <w:w w:val="105"/>
          <w:sz w:val="16"/>
          <w:lang w:val="de-DE"/>
        </w:rPr>
        <w:t xml:space="preserve">, </w:t>
      </w:r>
      <w:r w:rsidRPr="00846956">
        <w:rPr>
          <w:color w:val="231F20"/>
          <w:w w:val="105"/>
          <w:sz w:val="16"/>
          <w:lang w:val="de-DE"/>
        </w:rPr>
        <w:t>352</w:t>
      </w:r>
      <w:r w:rsidRPr="00846956">
        <w:rPr>
          <w:i/>
          <w:color w:val="231F20"/>
          <w:w w:val="105"/>
          <w:sz w:val="16"/>
          <w:lang w:val="de-DE"/>
        </w:rPr>
        <w:t xml:space="preserve">, </w:t>
      </w:r>
      <w:r w:rsidRPr="00846956">
        <w:rPr>
          <w:color w:val="231F20"/>
          <w:w w:val="105"/>
          <w:sz w:val="16"/>
          <w:lang w:val="de-DE"/>
        </w:rPr>
        <w:t>575</w:t>
      </w:r>
      <w:r w:rsidRPr="00846956">
        <w:rPr>
          <w:i/>
          <w:color w:val="231F20"/>
          <w:w w:val="105"/>
          <w:sz w:val="16"/>
          <w:lang w:val="de-DE"/>
        </w:rPr>
        <w:t>,</w:t>
      </w:r>
    </w:p>
    <w:p w14:paraId="22C6EFAF" w14:textId="77777777" w:rsidR="002653E8" w:rsidRPr="00846956" w:rsidRDefault="003115E3">
      <w:pPr>
        <w:spacing w:before="33"/>
        <w:ind w:left="1527"/>
        <w:rPr>
          <w:sz w:val="16"/>
          <w:lang w:val="de-DE"/>
        </w:rPr>
      </w:pPr>
      <w:r w:rsidRPr="00846956">
        <w:rPr>
          <w:color w:val="231F20"/>
          <w:w w:val="105"/>
          <w:sz w:val="16"/>
          <w:lang w:val="de-DE"/>
        </w:rPr>
        <w:t>588</w:t>
      </w:r>
      <w:r w:rsidRPr="00846956">
        <w:rPr>
          <w:i/>
          <w:color w:val="231F20"/>
          <w:w w:val="105"/>
          <w:sz w:val="16"/>
          <w:lang w:val="de-DE"/>
        </w:rPr>
        <w:t xml:space="preserve">, </w:t>
      </w:r>
      <w:r w:rsidRPr="00846956">
        <w:rPr>
          <w:color w:val="231F20"/>
          <w:w w:val="105"/>
          <w:sz w:val="16"/>
          <w:lang w:val="de-DE"/>
        </w:rPr>
        <w:t>600</w:t>
      </w:r>
    </w:p>
    <w:p w14:paraId="44E5E0A5" w14:textId="77777777" w:rsidR="002653E8" w:rsidRDefault="003115E3">
      <w:pPr>
        <w:spacing w:before="32"/>
        <w:ind w:left="1327"/>
        <w:rPr>
          <w:i/>
          <w:sz w:val="16"/>
        </w:rPr>
      </w:pPr>
      <w:r w:rsidRPr="00846956">
        <w:rPr>
          <w:color w:val="231F20"/>
          <w:w w:val="105"/>
          <w:sz w:val="16"/>
          <w:lang w:val="de-DE"/>
        </w:rPr>
        <w:t>Schmidt, Helmut 575</w:t>
      </w:r>
      <w:r w:rsidRPr="00846956">
        <w:rPr>
          <w:i/>
          <w:color w:val="231F20"/>
          <w:w w:val="105"/>
          <w:sz w:val="16"/>
          <w:lang w:val="de-DE"/>
        </w:rPr>
        <w:t xml:space="preserve">, </w:t>
      </w:r>
      <w:r w:rsidRPr="00846956">
        <w:rPr>
          <w:color w:val="231F20"/>
          <w:w w:val="105"/>
          <w:sz w:val="16"/>
          <w:lang w:val="de-DE"/>
        </w:rPr>
        <w:t>627</w:t>
      </w:r>
      <w:r w:rsidRPr="00846956">
        <w:rPr>
          <w:i/>
          <w:color w:val="231F20"/>
          <w:w w:val="105"/>
          <w:sz w:val="16"/>
          <w:lang w:val="de-DE"/>
        </w:rPr>
        <w:t xml:space="preserve">. </w:t>
      </w:r>
      <w:r>
        <w:rPr>
          <w:i/>
          <w:color w:val="231F20"/>
          <w:w w:val="105"/>
          <w:sz w:val="16"/>
        </w:rPr>
        <w:t>See</w:t>
      </w:r>
    </w:p>
    <w:p w14:paraId="41E7EC23" w14:textId="77777777" w:rsidR="002653E8" w:rsidRDefault="003115E3">
      <w:pPr>
        <w:spacing w:before="33" w:line="280" w:lineRule="auto"/>
        <w:ind w:left="1527"/>
        <w:rPr>
          <w:sz w:val="16"/>
        </w:rPr>
      </w:pPr>
      <w:r>
        <w:rPr>
          <w:i/>
          <w:color w:val="231F20"/>
          <w:sz w:val="16"/>
        </w:rPr>
        <w:t xml:space="preserve">also </w:t>
      </w:r>
      <w:r>
        <w:rPr>
          <w:color w:val="231F20"/>
          <w:sz w:val="16"/>
        </w:rPr>
        <w:t>Social-Liberal Schmidt-Genscher Government (1974-1982); on Buback 491; Chancellor 344; on Lorenz kidnapping 331; lurch to the right</w:t>
      </w:r>
    </w:p>
    <w:p w14:paraId="795ADE84" w14:textId="77777777" w:rsidR="002653E8" w:rsidRDefault="003115E3">
      <w:pPr>
        <w:spacing w:before="86"/>
        <w:ind w:left="470"/>
        <w:rPr>
          <w:i/>
          <w:sz w:val="16"/>
        </w:rPr>
      </w:pPr>
      <w:r>
        <w:br w:type="column"/>
      </w:r>
      <w:r>
        <w:rPr>
          <w:color w:val="231F20"/>
          <w:w w:val="105"/>
          <w:sz w:val="16"/>
        </w:rPr>
        <w:t>525</w:t>
      </w:r>
      <w:r>
        <w:rPr>
          <w:i/>
          <w:color w:val="231F20"/>
          <w:w w:val="105"/>
          <w:sz w:val="16"/>
        </w:rPr>
        <w:t xml:space="preserve">, </w:t>
      </w:r>
      <w:r>
        <w:rPr>
          <w:color w:val="231F20"/>
          <w:w w:val="105"/>
          <w:sz w:val="16"/>
        </w:rPr>
        <w:t xml:space="preserve">540; mentioned by </w:t>
      </w:r>
      <w:r w:rsidR="00C507A5">
        <w:rPr>
          <w:color w:val="231F20"/>
          <w:w w:val="105"/>
          <w:sz w:val="16"/>
        </w:rPr>
        <w:t>red army faction</w:t>
      </w:r>
      <w:r>
        <w:rPr>
          <w:color w:val="231F20"/>
          <w:w w:val="105"/>
          <w:sz w:val="16"/>
        </w:rPr>
        <w:t xml:space="preserve"> 228</w:t>
      </w:r>
      <w:r>
        <w:rPr>
          <w:i/>
          <w:color w:val="231F20"/>
          <w:w w:val="105"/>
          <w:sz w:val="16"/>
        </w:rPr>
        <w:t>,</w:t>
      </w:r>
    </w:p>
    <w:p w14:paraId="2E176C0F" w14:textId="77777777" w:rsidR="002653E8" w:rsidRDefault="003115E3">
      <w:pPr>
        <w:spacing w:before="33"/>
        <w:ind w:left="470"/>
        <w:rPr>
          <w:i/>
          <w:sz w:val="16"/>
        </w:rPr>
      </w:pPr>
      <w:r>
        <w:rPr>
          <w:color w:val="231F20"/>
          <w:w w:val="110"/>
          <w:sz w:val="16"/>
        </w:rPr>
        <w:t>312</w:t>
      </w:r>
      <w:r>
        <w:rPr>
          <w:i/>
          <w:color w:val="231F20"/>
          <w:w w:val="110"/>
          <w:sz w:val="16"/>
        </w:rPr>
        <w:t xml:space="preserve">, </w:t>
      </w:r>
      <w:r>
        <w:rPr>
          <w:color w:val="231F20"/>
          <w:w w:val="110"/>
          <w:sz w:val="16"/>
        </w:rPr>
        <w:t>372</w:t>
      </w:r>
      <w:r>
        <w:rPr>
          <w:i/>
          <w:color w:val="231F20"/>
          <w:w w:val="110"/>
          <w:sz w:val="16"/>
        </w:rPr>
        <w:t xml:space="preserve">, </w:t>
      </w:r>
      <w:r>
        <w:rPr>
          <w:color w:val="231F20"/>
          <w:w w:val="110"/>
          <w:sz w:val="16"/>
        </w:rPr>
        <w:t>416</w:t>
      </w:r>
      <w:r>
        <w:rPr>
          <w:i/>
          <w:color w:val="231F20"/>
          <w:w w:val="110"/>
          <w:sz w:val="16"/>
        </w:rPr>
        <w:t xml:space="preserve">, </w:t>
      </w:r>
      <w:r>
        <w:rPr>
          <w:color w:val="231F20"/>
          <w:w w:val="110"/>
          <w:sz w:val="16"/>
        </w:rPr>
        <w:t>491</w:t>
      </w:r>
      <w:r>
        <w:rPr>
          <w:i/>
          <w:color w:val="231F20"/>
          <w:w w:val="110"/>
          <w:sz w:val="16"/>
        </w:rPr>
        <w:t xml:space="preserve">, </w:t>
      </w:r>
      <w:r>
        <w:rPr>
          <w:color w:val="231F20"/>
          <w:w w:val="110"/>
          <w:sz w:val="16"/>
        </w:rPr>
        <w:t>499</w:t>
      </w:r>
      <w:r>
        <w:rPr>
          <w:i/>
          <w:color w:val="231F20"/>
          <w:w w:val="110"/>
          <w:sz w:val="16"/>
        </w:rPr>
        <w:t xml:space="preserve">, </w:t>
      </w:r>
      <w:r>
        <w:rPr>
          <w:color w:val="231F20"/>
          <w:w w:val="110"/>
          <w:sz w:val="16"/>
        </w:rPr>
        <w:t>501</w:t>
      </w:r>
      <w:r>
        <w:rPr>
          <w:i/>
          <w:color w:val="231F20"/>
          <w:w w:val="110"/>
          <w:sz w:val="16"/>
        </w:rPr>
        <w:t xml:space="preserve">, </w:t>
      </w:r>
      <w:r>
        <w:rPr>
          <w:color w:val="231F20"/>
          <w:w w:val="110"/>
          <w:sz w:val="16"/>
        </w:rPr>
        <w:t>507</w:t>
      </w:r>
      <w:r>
        <w:rPr>
          <w:i/>
          <w:color w:val="231F20"/>
          <w:w w:val="110"/>
          <w:sz w:val="16"/>
        </w:rPr>
        <w:t>,</w:t>
      </w:r>
    </w:p>
    <w:p w14:paraId="539949E6" w14:textId="77777777" w:rsidR="002653E8" w:rsidRDefault="003115E3">
      <w:pPr>
        <w:spacing w:before="32"/>
        <w:ind w:left="470"/>
        <w:rPr>
          <w:sz w:val="16"/>
        </w:rPr>
      </w:pPr>
      <w:r>
        <w:rPr>
          <w:color w:val="231F20"/>
          <w:sz w:val="16"/>
        </w:rPr>
        <w:t>600; New year’s speech (1975) 312;</w:t>
      </w:r>
    </w:p>
    <w:p w14:paraId="3AB4DD36" w14:textId="77777777" w:rsidR="002653E8" w:rsidRDefault="003115E3">
      <w:pPr>
        <w:spacing w:before="33" w:line="280" w:lineRule="auto"/>
        <w:ind w:left="470" w:right="1214"/>
        <w:rPr>
          <w:sz w:val="16"/>
        </w:rPr>
      </w:pPr>
      <w:r>
        <w:rPr>
          <w:color w:val="231F20"/>
          <w:sz w:val="16"/>
        </w:rPr>
        <w:t>Schleyer kidnapping (1977) 480; SDS 23; Stockholm Embassy Occupation (1975) 333</w:t>
      </w:r>
      <w:r>
        <w:rPr>
          <w:i/>
          <w:color w:val="231F20"/>
          <w:sz w:val="16"/>
        </w:rPr>
        <w:t xml:space="preserve">, </w:t>
      </w:r>
      <w:r>
        <w:rPr>
          <w:color w:val="231F20"/>
          <w:sz w:val="16"/>
        </w:rPr>
        <w:t>335</w:t>
      </w:r>
    </w:p>
    <w:p w14:paraId="47974698" w14:textId="77777777" w:rsidR="002653E8" w:rsidRPr="00846956" w:rsidRDefault="003115E3">
      <w:pPr>
        <w:spacing w:before="1"/>
        <w:ind w:left="270"/>
        <w:rPr>
          <w:sz w:val="16"/>
          <w:lang w:val="de-DE"/>
        </w:rPr>
      </w:pPr>
      <w:r w:rsidRPr="00846956">
        <w:rPr>
          <w:color w:val="231F20"/>
          <w:sz w:val="16"/>
          <w:lang w:val="de-DE"/>
        </w:rPr>
        <w:t>Schmidt, Olivier 453</w:t>
      </w:r>
    </w:p>
    <w:p w14:paraId="117C173A" w14:textId="77777777" w:rsidR="002653E8" w:rsidRPr="00846956" w:rsidRDefault="003115E3">
      <w:pPr>
        <w:spacing w:before="33"/>
        <w:ind w:left="270"/>
        <w:rPr>
          <w:sz w:val="16"/>
          <w:lang w:val="de-DE"/>
        </w:rPr>
      </w:pPr>
      <w:r w:rsidRPr="00846956">
        <w:rPr>
          <w:color w:val="231F20"/>
          <w:w w:val="105"/>
          <w:sz w:val="16"/>
          <w:lang w:val="de-DE"/>
        </w:rPr>
        <w:t>Schmitz, Sabine 473</w:t>
      </w:r>
      <w:r w:rsidRPr="00846956">
        <w:rPr>
          <w:i/>
          <w:color w:val="231F20"/>
          <w:w w:val="105"/>
          <w:sz w:val="16"/>
          <w:lang w:val="de-DE"/>
        </w:rPr>
        <w:t xml:space="preserve">, </w:t>
      </w:r>
      <w:r w:rsidRPr="00846956">
        <w:rPr>
          <w:color w:val="231F20"/>
          <w:w w:val="105"/>
          <w:sz w:val="16"/>
          <w:lang w:val="de-DE"/>
        </w:rPr>
        <w:t>575</w:t>
      </w:r>
      <w:r w:rsidRPr="00846956">
        <w:rPr>
          <w:i/>
          <w:color w:val="231F20"/>
          <w:w w:val="105"/>
          <w:sz w:val="16"/>
          <w:lang w:val="de-DE"/>
        </w:rPr>
        <w:t xml:space="preserve">, </w:t>
      </w:r>
      <w:r w:rsidRPr="00846956">
        <w:rPr>
          <w:color w:val="231F20"/>
          <w:w w:val="105"/>
          <w:sz w:val="16"/>
          <w:lang w:val="de-DE"/>
        </w:rPr>
        <w:t>605</w:t>
      </w:r>
    </w:p>
    <w:p w14:paraId="6093D606" w14:textId="77777777" w:rsidR="002653E8" w:rsidRPr="00846956" w:rsidRDefault="003115E3">
      <w:pPr>
        <w:spacing w:before="32"/>
        <w:ind w:left="270"/>
        <w:rPr>
          <w:sz w:val="16"/>
          <w:lang w:val="de-DE"/>
        </w:rPr>
      </w:pPr>
      <w:r w:rsidRPr="00846956">
        <w:rPr>
          <w:color w:val="231F20"/>
          <w:sz w:val="16"/>
          <w:lang w:val="de-DE"/>
        </w:rPr>
        <w:t>Schnabel, Ernst 247</w:t>
      </w:r>
    </w:p>
    <w:p w14:paraId="228688BC" w14:textId="77777777" w:rsidR="002653E8" w:rsidRPr="00846956" w:rsidRDefault="003115E3">
      <w:pPr>
        <w:spacing w:before="32"/>
        <w:ind w:left="270"/>
        <w:rPr>
          <w:sz w:val="16"/>
          <w:lang w:val="de-DE"/>
        </w:rPr>
      </w:pPr>
      <w:r w:rsidRPr="00846956">
        <w:rPr>
          <w:color w:val="231F20"/>
          <w:w w:val="105"/>
          <w:sz w:val="16"/>
          <w:lang w:val="de-DE"/>
        </w:rPr>
        <w:t>Schneider, Gerd 527–528</w:t>
      </w:r>
      <w:r w:rsidRPr="00846956">
        <w:rPr>
          <w:i/>
          <w:color w:val="231F20"/>
          <w:w w:val="105"/>
          <w:sz w:val="16"/>
          <w:lang w:val="de-DE"/>
        </w:rPr>
        <w:t xml:space="preserve">, </w:t>
      </w:r>
      <w:r w:rsidRPr="00846956">
        <w:rPr>
          <w:color w:val="231F20"/>
          <w:w w:val="105"/>
          <w:sz w:val="16"/>
          <w:lang w:val="de-DE"/>
        </w:rPr>
        <w:t>575</w:t>
      </w:r>
      <w:r w:rsidRPr="00846956">
        <w:rPr>
          <w:i/>
          <w:color w:val="231F20"/>
          <w:w w:val="105"/>
          <w:sz w:val="16"/>
          <w:lang w:val="de-DE"/>
        </w:rPr>
        <w:t xml:space="preserve">, </w:t>
      </w:r>
      <w:r w:rsidRPr="00846956">
        <w:rPr>
          <w:color w:val="231F20"/>
          <w:w w:val="105"/>
          <w:sz w:val="16"/>
          <w:lang w:val="de-DE"/>
        </w:rPr>
        <w:t>609</w:t>
      </w:r>
      <w:r w:rsidRPr="00846956">
        <w:rPr>
          <w:i/>
          <w:color w:val="231F20"/>
          <w:w w:val="105"/>
          <w:sz w:val="16"/>
          <w:lang w:val="de-DE"/>
        </w:rPr>
        <w:t xml:space="preserve">, </w:t>
      </w:r>
      <w:r w:rsidRPr="00846956">
        <w:rPr>
          <w:color w:val="231F20"/>
          <w:w w:val="105"/>
          <w:sz w:val="16"/>
          <w:lang w:val="de-DE"/>
        </w:rPr>
        <w:t>613</w:t>
      </w:r>
    </w:p>
    <w:p w14:paraId="1E3864FF" w14:textId="77777777" w:rsidR="002653E8" w:rsidRPr="00846956" w:rsidRDefault="003115E3">
      <w:pPr>
        <w:spacing w:before="33"/>
        <w:ind w:left="270"/>
        <w:rPr>
          <w:sz w:val="16"/>
          <w:lang w:val="de-DE"/>
        </w:rPr>
      </w:pPr>
      <w:r w:rsidRPr="00846956">
        <w:rPr>
          <w:color w:val="231F20"/>
          <w:w w:val="110"/>
          <w:sz w:val="16"/>
          <w:lang w:val="de-DE"/>
        </w:rPr>
        <w:t>Scholze, Uli 59</w:t>
      </w:r>
      <w:r w:rsidRPr="00846956">
        <w:rPr>
          <w:i/>
          <w:color w:val="231F20"/>
          <w:w w:val="110"/>
          <w:sz w:val="16"/>
          <w:lang w:val="de-DE"/>
        </w:rPr>
        <w:t xml:space="preserve">, </w:t>
      </w:r>
      <w:r w:rsidRPr="00846956">
        <w:rPr>
          <w:color w:val="231F20"/>
          <w:w w:val="110"/>
          <w:sz w:val="16"/>
          <w:lang w:val="de-DE"/>
        </w:rPr>
        <w:t>60</w:t>
      </w:r>
      <w:r w:rsidRPr="00846956">
        <w:rPr>
          <w:i/>
          <w:color w:val="231F20"/>
          <w:w w:val="110"/>
          <w:sz w:val="16"/>
          <w:lang w:val="de-DE"/>
        </w:rPr>
        <w:t xml:space="preserve">, </w:t>
      </w:r>
      <w:r w:rsidRPr="00846956">
        <w:rPr>
          <w:color w:val="231F20"/>
          <w:w w:val="110"/>
          <w:sz w:val="16"/>
          <w:lang w:val="de-DE"/>
        </w:rPr>
        <w:t>575</w:t>
      </w:r>
      <w:r w:rsidRPr="00846956">
        <w:rPr>
          <w:i/>
          <w:color w:val="231F20"/>
          <w:w w:val="110"/>
          <w:sz w:val="16"/>
          <w:lang w:val="de-DE"/>
        </w:rPr>
        <w:t xml:space="preserve">, </w:t>
      </w:r>
      <w:r w:rsidRPr="00846956">
        <w:rPr>
          <w:color w:val="231F20"/>
          <w:w w:val="110"/>
          <w:sz w:val="16"/>
          <w:lang w:val="de-DE"/>
        </w:rPr>
        <w:t>585</w:t>
      </w:r>
    </w:p>
    <w:p w14:paraId="74875629" w14:textId="77777777" w:rsidR="002653E8" w:rsidRPr="00846956" w:rsidRDefault="003115E3">
      <w:pPr>
        <w:spacing w:before="32"/>
        <w:ind w:left="270"/>
        <w:rPr>
          <w:sz w:val="16"/>
          <w:lang w:val="de-DE"/>
        </w:rPr>
      </w:pPr>
      <w:r w:rsidRPr="00846956">
        <w:rPr>
          <w:color w:val="231F20"/>
          <w:sz w:val="16"/>
          <w:lang w:val="de-DE"/>
        </w:rPr>
        <w:t>Scholz, Rupert 627</w:t>
      </w:r>
    </w:p>
    <w:p w14:paraId="070166B2" w14:textId="77777777" w:rsidR="002653E8" w:rsidRPr="00846956" w:rsidRDefault="003115E3">
      <w:pPr>
        <w:spacing w:before="33"/>
        <w:ind w:left="270"/>
        <w:rPr>
          <w:sz w:val="16"/>
          <w:lang w:val="de-DE"/>
        </w:rPr>
      </w:pPr>
      <w:r w:rsidRPr="00846956">
        <w:rPr>
          <w:color w:val="231F20"/>
          <w:w w:val="105"/>
          <w:sz w:val="16"/>
          <w:lang w:val="de-DE"/>
        </w:rPr>
        <w:t>Schoner, Herbert 112</w:t>
      </w:r>
      <w:r w:rsidRPr="00846956">
        <w:rPr>
          <w:i/>
          <w:color w:val="231F20"/>
          <w:w w:val="105"/>
          <w:sz w:val="16"/>
          <w:lang w:val="de-DE"/>
        </w:rPr>
        <w:t xml:space="preserve">, </w:t>
      </w:r>
      <w:r w:rsidRPr="00846956">
        <w:rPr>
          <w:color w:val="231F20"/>
          <w:w w:val="105"/>
          <w:sz w:val="16"/>
          <w:lang w:val="de-DE"/>
        </w:rPr>
        <w:t>172</w:t>
      </w:r>
      <w:r w:rsidRPr="00846956">
        <w:rPr>
          <w:i/>
          <w:color w:val="231F20"/>
          <w:w w:val="105"/>
          <w:sz w:val="16"/>
          <w:lang w:val="de-DE"/>
        </w:rPr>
        <w:t xml:space="preserve">, </w:t>
      </w:r>
      <w:r w:rsidRPr="00846956">
        <w:rPr>
          <w:color w:val="231F20"/>
          <w:w w:val="105"/>
          <w:sz w:val="16"/>
          <w:lang w:val="de-DE"/>
        </w:rPr>
        <w:t>352</w:t>
      </w:r>
      <w:r w:rsidRPr="00846956">
        <w:rPr>
          <w:i/>
          <w:color w:val="231F20"/>
          <w:w w:val="105"/>
          <w:sz w:val="16"/>
          <w:lang w:val="de-DE"/>
        </w:rPr>
        <w:t xml:space="preserve">, </w:t>
      </w:r>
      <w:r w:rsidRPr="00846956">
        <w:rPr>
          <w:color w:val="231F20"/>
          <w:w w:val="105"/>
          <w:sz w:val="16"/>
          <w:lang w:val="de-DE"/>
        </w:rPr>
        <w:t>588</w:t>
      </w:r>
    </w:p>
    <w:p w14:paraId="5BCD819F" w14:textId="77777777" w:rsidR="002653E8" w:rsidRPr="00846956" w:rsidRDefault="003115E3">
      <w:pPr>
        <w:spacing w:before="32" w:line="280" w:lineRule="auto"/>
        <w:ind w:left="270" w:right="1515"/>
        <w:rPr>
          <w:sz w:val="16"/>
          <w:lang w:val="de-DE"/>
        </w:rPr>
      </w:pPr>
      <w:r w:rsidRPr="00846956">
        <w:rPr>
          <w:color w:val="231F20"/>
          <w:sz w:val="16"/>
          <w:lang w:val="de-DE"/>
        </w:rPr>
        <w:t>Schreiber, Manfred 231</w:t>
      </w:r>
      <w:r w:rsidRPr="00846956">
        <w:rPr>
          <w:i/>
          <w:color w:val="231F20"/>
          <w:sz w:val="16"/>
          <w:lang w:val="de-DE"/>
        </w:rPr>
        <w:t xml:space="preserve">, </w:t>
      </w:r>
      <w:r w:rsidRPr="00846956">
        <w:rPr>
          <w:color w:val="231F20"/>
          <w:sz w:val="16"/>
          <w:lang w:val="de-DE"/>
        </w:rPr>
        <w:t>233 Schröder, Gerhard (CDU) 147 Schröder, Gerhard (SPD) 256</w:t>
      </w:r>
      <w:r w:rsidRPr="00846956">
        <w:rPr>
          <w:i/>
          <w:color w:val="231F20"/>
          <w:sz w:val="16"/>
          <w:lang w:val="de-DE"/>
        </w:rPr>
        <w:t xml:space="preserve">, </w:t>
      </w:r>
      <w:r w:rsidRPr="00846956">
        <w:rPr>
          <w:color w:val="231F20"/>
          <w:sz w:val="16"/>
          <w:lang w:val="de-DE"/>
        </w:rPr>
        <w:t>625</w:t>
      </w:r>
    </w:p>
    <w:p w14:paraId="75F28B1F" w14:textId="77777777" w:rsidR="002653E8" w:rsidRDefault="003115E3">
      <w:pPr>
        <w:spacing w:before="2"/>
        <w:ind w:left="270"/>
        <w:rPr>
          <w:sz w:val="16"/>
        </w:rPr>
      </w:pPr>
      <w:r>
        <w:rPr>
          <w:color w:val="231F20"/>
          <w:sz w:val="16"/>
        </w:rPr>
        <w:t>Schrübbers, Hubert 116</w:t>
      </w:r>
    </w:p>
    <w:p w14:paraId="74D026B5" w14:textId="77777777" w:rsidR="002653E8" w:rsidRDefault="003115E3">
      <w:pPr>
        <w:spacing w:before="32"/>
        <w:ind w:left="270"/>
        <w:rPr>
          <w:sz w:val="16"/>
        </w:rPr>
      </w:pPr>
      <w:r>
        <w:rPr>
          <w:color w:val="231F20"/>
          <w:sz w:val="16"/>
        </w:rPr>
        <w:t>Schubert, Ingrid 54</w:t>
      </w:r>
      <w:r>
        <w:rPr>
          <w:i/>
          <w:color w:val="231F20"/>
          <w:sz w:val="16"/>
        </w:rPr>
        <w:t xml:space="preserve">, </w:t>
      </w:r>
      <w:r>
        <w:rPr>
          <w:color w:val="231F20"/>
          <w:sz w:val="16"/>
        </w:rPr>
        <w:t>575; captured (1970)</w:t>
      </w:r>
    </w:p>
    <w:p w14:paraId="7069F718" w14:textId="77777777" w:rsidR="002653E8" w:rsidRDefault="003115E3">
      <w:pPr>
        <w:spacing w:before="33"/>
        <w:ind w:left="470"/>
        <w:rPr>
          <w:sz w:val="16"/>
        </w:rPr>
      </w:pPr>
      <w:r>
        <w:rPr>
          <w:color w:val="231F20"/>
          <w:w w:val="105"/>
          <w:sz w:val="16"/>
        </w:rPr>
        <w:t>59</w:t>
      </w:r>
      <w:r>
        <w:rPr>
          <w:i/>
          <w:color w:val="231F20"/>
          <w:w w:val="105"/>
          <w:sz w:val="16"/>
        </w:rPr>
        <w:t xml:space="preserve">, </w:t>
      </w:r>
      <w:r>
        <w:rPr>
          <w:color w:val="231F20"/>
          <w:w w:val="105"/>
          <w:sz w:val="16"/>
        </w:rPr>
        <w:t>59–60</w:t>
      </w:r>
      <w:r>
        <w:rPr>
          <w:i/>
          <w:color w:val="231F20"/>
          <w:w w:val="105"/>
          <w:sz w:val="16"/>
        </w:rPr>
        <w:t xml:space="preserve">, </w:t>
      </w:r>
      <w:r>
        <w:rPr>
          <w:color w:val="231F20"/>
          <w:w w:val="105"/>
          <w:sz w:val="16"/>
        </w:rPr>
        <w:t>585; death in Munich-Sta-</w:t>
      </w:r>
    </w:p>
    <w:p w14:paraId="2C3951F9" w14:textId="77777777" w:rsidR="002653E8" w:rsidRDefault="003115E3">
      <w:pPr>
        <w:spacing w:before="32" w:line="280" w:lineRule="auto"/>
        <w:ind w:left="470" w:right="1214"/>
        <w:rPr>
          <w:i/>
          <w:sz w:val="16"/>
        </w:rPr>
      </w:pPr>
      <w:r>
        <w:rPr>
          <w:color w:val="231F20"/>
          <w:sz w:val="16"/>
        </w:rPr>
        <w:t>deheim (1977) 520</w:t>
      </w:r>
      <w:r>
        <w:rPr>
          <w:i/>
          <w:color w:val="231F20"/>
          <w:sz w:val="16"/>
        </w:rPr>
        <w:t xml:space="preserve">, </w:t>
      </w:r>
      <w:r>
        <w:rPr>
          <w:color w:val="231F20"/>
          <w:sz w:val="16"/>
        </w:rPr>
        <w:t>528</w:t>
      </w:r>
      <w:r>
        <w:rPr>
          <w:i/>
          <w:color w:val="231F20"/>
          <w:sz w:val="16"/>
        </w:rPr>
        <w:t xml:space="preserve">, </w:t>
      </w:r>
      <w:r>
        <w:rPr>
          <w:color w:val="231F20"/>
          <w:sz w:val="16"/>
        </w:rPr>
        <w:t>609; library break-out 54; on  Meinhof’s  death 383; release demanded 339</w:t>
      </w:r>
      <w:r>
        <w:rPr>
          <w:i/>
          <w:color w:val="231F20"/>
          <w:sz w:val="16"/>
        </w:rPr>
        <w:t xml:space="preserve">, </w:t>
      </w:r>
      <w:r>
        <w:rPr>
          <w:color w:val="231F20"/>
          <w:sz w:val="16"/>
        </w:rPr>
        <w:t>440</w:t>
      </w:r>
      <w:r>
        <w:rPr>
          <w:i/>
          <w:color w:val="231F20"/>
          <w:sz w:val="16"/>
        </w:rPr>
        <w:t>,</w:t>
      </w:r>
      <w:r>
        <w:rPr>
          <w:i/>
          <w:color w:val="231F20"/>
          <w:spacing w:val="10"/>
          <w:sz w:val="16"/>
        </w:rPr>
        <w:t xml:space="preserve"> </w:t>
      </w:r>
      <w:r>
        <w:rPr>
          <w:color w:val="231F20"/>
          <w:sz w:val="16"/>
        </w:rPr>
        <w:t>498</w:t>
      </w:r>
      <w:r>
        <w:rPr>
          <w:i/>
          <w:color w:val="231F20"/>
          <w:sz w:val="16"/>
        </w:rPr>
        <w:t>,</w:t>
      </w:r>
    </w:p>
    <w:p w14:paraId="2E0A99D8" w14:textId="77777777" w:rsidR="002653E8" w:rsidRDefault="003115E3">
      <w:pPr>
        <w:spacing w:before="2"/>
        <w:ind w:left="470"/>
        <w:rPr>
          <w:sz w:val="16"/>
        </w:rPr>
      </w:pPr>
      <w:r>
        <w:rPr>
          <w:color w:val="231F20"/>
          <w:sz w:val="16"/>
        </w:rPr>
        <w:t>505; trial (1971) 60–62</w:t>
      </w:r>
      <w:r>
        <w:rPr>
          <w:i/>
          <w:color w:val="231F20"/>
          <w:sz w:val="16"/>
        </w:rPr>
        <w:t xml:space="preserve">, </w:t>
      </w:r>
      <w:r>
        <w:rPr>
          <w:color w:val="231F20"/>
          <w:sz w:val="16"/>
        </w:rPr>
        <w:t>64</w:t>
      </w:r>
      <w:r>
        <w:rPr>
          <w:i/>
          <w:color w:val="231F20"/>
          <w:sz w:val="16"/>
        </w:rPr>
        <w:t xml:space="preserve">, </w:t>
      </w:r>
      <w:r>
        <w:rPr>
          <w:color w:val="231F20"/>
          <w:sz w:val="16"/>
        </w:rPr>
        <w:t>586</w:t>
      </w:r>
    </w:p>
    <w:p w14:paraId="67BCCBE2" w14:textId="77777777" w:rsidR="002653E8" w:rsidRDefault="003115E3">
      <w:pPr>
        <w:spacing w:before="32"/>
        <w:ind w:left="270"/>
        <w:rPr>
          <w:sz w:val="16"/>
        </w:rPr>
      </w:pPr>
      <w:r>
        <w:rPr>
          <w:color w:val="231F20"/>
          <w:w w:val="105"/>
          <w:sz w:val="16"/>
        </w:rPr>
        <w:t>Schulz, Adelheid 526-527</w:t>
      </w:r>
      <w:r>
        <w:rPr>
          <w:i/>
          <w:color w:val="231F20"/>
          <w:w w:val="105"/>
          <w:sz w:val="16"/>
        </w:rPr>
        <w:t xml:space="preserve">, </w:t>
      </w:r>
      <w:r>
        <w:rPr>
          <w:color w:val="231F20"/>
          <w:w w:val="105"/>
          <w:sz w:val="16"/>
        </w:rPr>
        <w:t>575</w:t>
      </w:r>
      <w:r>
        <w:rPr>
          <w:i/>
          <w:color w:val="231F20"/>
          <w:w w:val="105"/>
          <w:sz w:val="16"/>
        </w:rPr>
        <w:t xml:space="preserve">, </w:t>
      </w:r>
      <w:r>
        <w:rPr>
          <w:color w:val="231F20"/>
          <w:w w:val="105"/>
          <w:sz w:val="16"/>
        </w:rPr>
        <w:t>612;</w:t>
      </w:r>
    </w:p>
    <w:p w14:paraId="50E683D4" w14:textId="77777777" w:rsidR="002653E8" w:rsidRDefault="003115E3">
      <w:pPr>
        <w:spacing w:before="32"/>
        <w:ind w:left="470"/>
        <w:rPr>
          <w:sz w:val="16"/>
        </w:rPr>
      </w:pPr>
      <w:r>
        <w:rPr>
          <w:color w:val="231F20"/>
          <w:sz w:val="16"/>
        </w:rPr>
        <w:t>Boock’s Lies (1988) 527; captured</w:t>
      </w:r>
    </w:p>
    <w:p w14:paraId="365C36FB" w14:textId="77777777" w:rsidR="002653E8" w:rsidRDefault="003115E3">
      <w:pPr>
        <w:spacing w:before="33"/>
        <w:ind w:left="470"/>
        <w:rPr>
          <w:sz w:val="16"/>
        </w:rPr>
      </w:pPr>
      <w:r>
        <w:rPr>
          <w:color w:val="231F20"/>
          <w:sz w:val="16"/>
        </w:rPr>
        <w:t>(1982) 615; force-feeding 259; kill-</w:t>
      </w:r>
    </w:p>
    <w:p w14:paraId="0AB6024B" w14:textId="77777777" w:rsidR="002653E8" w:rsidRDefault="003115E3">
      <w:pPr>
        <w:spacing w:before="32"/>
        <w:ind w:left="470"/>
        <w:rPr>
          <w:sz w:val="16"/>
        </w:rPr>
      </w:pPr>
      <w:r>
        <w:rPr>
          <w:color w:val="231F20"/>
          <w:sz w:val="16"/>
        </w:rPr>
        <w:t>ings at Dutch border (1978) 530</w:t>
      </w:r>
      <w:r>
        <w:rPr>
          <w:i/>
          <w:color w:val="231F20"/>
          <w:sz w:val="16"/>
        </w:rPr>
        <w:t xml:space="preserve">, </w:t>
      </w:r>
      <w:r>
        <w:rPr>
          <w:color w:val="231F20"/>
          <w:sz w:val="16"/>
        </w:rPr>
        <w:t>611;</w:t>
      </w:r>
    </w:p>
    <w:p w14:paraId="0382B930" w14:textId="77777777" w:rsidR="002653E8" w:rsidRDefault="003115E3">
      <w:pPr>
        <w:spacing w:before="33" w:line="280" w:lineRule="auto"/>
        <w:ind w:left="470" w:right="1214"/>
        <w:rPr>
          <w:sz w:val="16"/>
        </w:rPr>
      </w:pPr>
      <w:r>
        <w:rPr>
          <w:color w:val="231F20"/>
          <w:sz w:val="16"/>
        </w:rPr>
        <w:t xml:space="preserve">pardoned (2002) 626; prison 624; released (1998) 625; split in the </w:t>
      </w:r>
      <w:r w:rsidR="00C507A5">
        <w:rPr>
          <w:color w:val="231F20"/>
          <w:sz w:val="16"/>
        </w:rPr>
        <w:t>red army faction</w:t>
      </w:r>
      <w:r>
        <w:rPr>
          <w:color w:val="231F20"/>
          <w:sz w:val="16"/>
        </w:rPr>
        <w:t xml:space="preserve"> 623; trial (1985) 617; trial (1995)</w:t>
      </w:r>
    </w:p>
    <w:p w14:paraId="490713EB" w14:textId="77777777" w:rsidR="002653E8" w:rsidRPr="00846956" w:rsidRDefault="003115E3">
      <w:pPr>
        <w:spacing w:before="1"/>
        <w:ind w:left="470"/>
        <w:rPr>
          <w:sz w:val="16"/>
          <w:lang w:val="de-DE"/>
        </w:rPr>
      </w:pPr>
      <w:r w:rsidRPr="00846956">
        <w:rPr>
          <w:color w:val="231F20"/>
          <w:w w:val="105"/>
          <w:sz w:val="16"/>
          <w:lang w:val="de-DE"/>
        </w:rPr>
        <w:t>620</w:t>
      </w:r>
      <w:r w:rsidRPr="00846956">
        <w:rPr>
          <w:i/>
          <w:color w:val="231F20"/>
          <w:w w:val="105"/>
          <w:sz w:val="16"/>
          <w:lang w:val="de-DE"/>
        </w:rPr>
        <w:t xml:space="preserve">, </w:t>
      </w:r>
      <w:r w:rsidRPr="00846956">
        <w:rPr>
          <w:color w:val="231F20"/>
          <w:w w:val="105"/>
          <w:sz w:val="16"/>
          <w:lang w:val="de-DE"/>
        </w:rPr>
        <w:t>624</w:t>
      </w:r>
    </w:p>
    <w:p w14:paraId="2F940207" w14:textId="77777777" w:rsidR="002653E8" w:rsidRPr="00846956" w:rsidRDefault="003115E3">
      <w:pPr>
        <w:spacing w:before="33"/>
        <w:ind w:left="270"/>
        <w:rPr>
          <w:sz w:val="16"/>
          <w:lang w:val="de-DE"/>
        </w:rPr>
      </w:pPr>
      <w:r w:rsidRPr="00846956">
        <w:rPr>
          <w:color w:val="231F20"/>
          <w:w w:val="105"/>
          <w:sz w:val="16"/>
          <w:lang w:val="de-DE"/>
        </w:rPr>
        <w:t>Schumann, Jürgen 485</w:t>
      </w:r>
      <w:r w:rsidRPr="00846956">
        <w:rPr>
          <w:i/>
          <w:color w:val="231F20"/>
          <w:w w:val="105"/>
          <w:sz w:val="16"/>
          <w:lang w:val="de-DE"/>
        </w:rPr>
        <w:t xml:space="preserve">, </w:t>
      </w:r>
      <w:r w:rsidRPr="00846956">
        <w:rPr>
          <w:color w:val="231F20"/>
          <w:w w:val="105"/>
          <w:sz w:val="16"/>
          <w:lang w:val="de-DE"/>
        </w:rPr>
        <w:t>575</w:t>
      </w:r>
    </w:p>
    <w:p w14:paraId="5C1E9059" w14:textId="77777777" w:rsidR="002653E8" w:rsidRPr="00846956" w:rsidRDefault="003115E3">
      <w:pPr>
        <w:spacing w:before="32"/>
        <w:ind w:left="270"/>
        <w:rPr>
          <w:sz w:val="16"/>
          <w:lang w:val="de-DE"/>
        </w:rPr>
      </w:pPr>
      <w:r w:rsidRPr="00846956">
        <w:rPr>
          <w:color w:val="231F20"/>
          <w:w w:val="110"/>
          <w:sz w:val="16"/>
          <w:lang w:val="de-DE"/>
        </w:rPr>
        <w:t>Schwan, A. 155</w:t>
      </w:r>
    </w:p>
    <w:p w14:paraId="1B947CF4" w14:textId="77777777" w:rsidR="002653E8" w:rsidRPr="00846956" w:rsidRDefault="003115E3">
      <w:pPr>
        <w:spacing w:before="33" w:line="280" w:lineRule="auto"/>
        <w:ind w:left="270" w:right="1515" w:hanging="1"/>
        <w:rPr>
          <w:sz w:val="16"/>
          <w:lang w:val="de-DE"/>
        </w:rPr>
      </w:pPr>
      <w:r w:rsidRPr="00846956">
        <w:rPr>
          <w:color w:val="231F20"/>
          <w:sz w:val="16"/>
          <w:lang w:val="de-DE"/>
        </w:rPr>
        <w:t>Schwarze Hilfe</w:t>
      </w:r>
      <w:r w:rsidRPr="00846956">
        <w:rPr>
          <w:i/>
          <w:color w:val="231F20"/>
          <w:sz w:val="16"/>
          <w:lang w:val="de-DE"/>
        </w:rPr>
        <w:t xml:space="preserve">. See </w:t>
      </w:r>
      <w:r w:rsidRPr="00846956">
        <w:rPr>
          <w:color w:val="231F20"/>
          <w:sz w:val="16"/>
          <w:lang w:val="de-DE"/>
        </w:rPr>
        <w:t>Black Aid Schwarzer, Alice 445–446</w:t>
      </w:r>
    </w:p>
    <w:p w14:paraId="2A8A4F38" w14:textId="77777777" w:rsidR="002653E8" w:rsidRDefault="003115E3">
      <w:pPr>
        <w:spacing w:before="1" w:line="280" w:lineRule="auto"/>
        <w:ind w:left="470" w:right="1216" w:hanging="200"/>
        <w:rPr>
          <w:sz w:val="16"/>
        </w:rPr>
      </w:pPr>
      <w:r w:rsidRPr="005A5C8F">
        <w:rPr>
          <w:color w:val="231F20"/>
          <w:sz w:val="16"/>
        </w:rPr>
        <w:t>SDS (Sozialistischer Deutscher Studentenbund) 23</w:t>
      </w:r>
      <w:r w:rsidRPr="005A5C8F">
        <w:rPr>
          <w:i/>
          <w:color w:val="231F20"/>
          <w:sz w:val="16"/>
        </w:rPr>
        <w:t xml:space="preserve">, </w:t>
      </w:r>
      <w:r w:rsidRPr="005A5C8F">
        <w:rPr>
          <w:color w:val="231F20"/>
          <w:sz w:val="16"/>
        </w:rPr>
        <w:t>579</w:t>
      </w:r>
      <w:r w:rsidRPr="005A5C8F">
        <w:rPr>
          <w:i/>
          <w:color w:val="231F20"/>
          <w:sz w:val="16"/>
        </w:rPr>
        <w:t xml:space="preserve">. </w:t>
      </w:r>
      <w:r>
        <w:rPr>
          <w:i/>
          <w:color w:val="231F20"/>
          <w:sz w:val="16"/>
        </w:rPr>
        <w:t xml:space="preserve">See also </w:t>
      </w:r>
      <w:r>
        <w:rPr>
          <w:color w:val="231F20"/>
          <w:sz w:val="16"/>
        </w:rPr>
        <w:t>youth culture (1960s-70s)</w:t>
      </w:r>
      <w:r>
        <w:rPr>
          <w:i/>
          <w:color w:val="231F20"/>
          <w:sz w:val="16"/>
        </w:rPr>
        <w:t xml:space="preserve">; See also </w:t>
      </w:r>
      <w:r>
        <w:rPr>
          <w:color w:val="231F20"/>
          <w:sz w:val="16"/>
        </w:rPr>
        <w:t>APO (Außerparlamentarische Opposition); move to the left (1958-64) 23</w:t>
      </w:r>
      <w:r>
        <w:rPr>
          <w:i/>
          <w:color w:val="231F20"/>
          <w:sz w:val="16"/>
        </w:rPr>
        <w:t xml:space="preserve">, </w:t>
      </w:r>
      <w:r>
        <w:rPr>
          <w:color w:val="231F20"/>
          <w:sz w:val="16"/>
        </w:rPr>
        <w:t>24</w:t>
      </w:r>
      <w:r>
        <w:rPr>
          <w:i/>
          <w:color w:val="231F20"/>
          <w:sz w:val="16"/>
        </w:rPr>
        <w:t xml:space="preserve">, </w:t>
      </w:r>
      <w:r>
        <w:rPr>
          <w:color w:val="231F20"/>
          <w:sz w:val="16"/>
        </w:rPr>
        <w:t>27;</w:t>
      </w:r>
      <w:r>
        <w:rPr>
          <w:color w:val="231F20"/>
          <w:spacing w:val="13"/>
          <w:sz w:val="16"/>
        </w:rPr>
        <w:t xml:space="preserve"> </w:t>
      </w:r>
      <w:r>
        <w:rPr>
          <w:color w:val="231F20"/>
          <w:sz w:val="16"/>
        </w:rPr>
        <w:t>purged</w:t>
      </w:r>
    </w:p>
    <w:p w14:paraId="170DE220" w14:textId="77777777" w:rsidR="002653E8" w:rsidRDefault="003115E3">
      <w:pPr>
        <w:spacing w:before="2"/>
        <w:ind w:left="470"/>
        <w:rPr>
          <w:sz w:val="16"/>
        </w:rPr>
      </w:pPr>
      <w:r>
        <w:rPr>
          <w:color w:val="231F20"/>
          <w:w w:val="105"/>
          <w:sz w:val="16"/>
        </w:rPr>
        <w:t>from SPD (1961)  24</w:t>
      </w:r>
      <w:r>
        <w:rPr>
          <w:i/>
          <w:color w:val="231F20"/>
          <w:w w:val="105"/>
          <w:sz w:val="16"/>
        </w:rPr>
        <w:t xml:space="preserve">, </w:t>
      </w:r>
      <w:r>
        <w:rPr>
          <w:color w:val="231F20"/>
          <w:w w:val="105"/>
          <w:sz w:val="16"/>
        </w:rPr>
        <w:t>579; role in APO</w:t>
      </w:r>
    </w:p>
    <w:p w14:paraId="0AA8A3BE" w14:textId="77777777" w:rsidR="002653E8" w:rsidRDefault="003115E3">
      <w:pPr>
        <w:spacing w:before="33"/>
        <w:ind w:left="470"/>
        <w:rPr>
          <w:sz w:val="16"/>
        </w:rPr>
      </w:pPr>
      <w:r>
        <w:rPr>
          <w:color w:val="231F20"/>
          <w:sz w:val="16"/>
        </w:rPr>
        <w:t>(1964-70)   28</w:t>
      </w:r>
      <w:r>
        <w:rPr>
          <w:i/>
          <w:color w:val="231F20"/>
          <w:sz w:val="16"/>
        </w:rPr>
        <w:t xml:space="preserve">, </w:t>
      </w:r>
      <w:r>
        <w:rPr>
          <w:color w:val="231F20"/>
          <w:sz w:val="16"/>
        </w:rPr>
        <w:t>33</w:t>
      </w:r>
      <w:r>
        <w:rPr>
          <w:i/>
          <w:color w:val="231F20"/>
          <w:sz w:val="16"/>
        </w:rPr>
        <w:t xml:space="preserve">, </w:t>
      </w:r>
      <w:r>
        <w:rPr>
          <w:color w:val="231F20"/>
          <w:sz w:val="16"/>
        </w:rPr>
        <w:t>579; protest against</w:t>
      </w:r>
    </w:p>
    <w:p w14:paraId="029E79C2" w14:textId="77777777" w:rsidR="002653E8" w:rsidRDefault="003115E3">
      <w:pPr>
        <w:spacing w:before="32"/>
        <w:ind w:left="470"/>
        <w:rPr>
          <w:sz w:val="16"/>
        </w:rPr>
      </w:pPr>
      <w:r>
        <w:rPr>
          <w:color w:val="231F20"/>
          <w:sz w:val="16"/>
        </w:rPr>
        <w:t>Moise Tschombe (1964)   27–28; expels</w:t>
      </w:r>
    </w:p>
    <w:p w14:paraId="14B1B0C4" w14:textId="77777777" w:rsidR="002653E8" w:rsidRDefault="003115E3">
      <w:pPr>
        <w:spacing w:before="33" w:line="280" w:lineRule="auto"/>
        <w:ind w:left="470" w:right="1155"/>
        <w:rPr>
          <w:i/>
          <w:sz w:val="16"/>
        </w:rPr>
      </w:pPr>
      <w:r>
        <w:rPr>
          <w:color w:val="231F20"/>
          <w:w w:val="105"/>
          <w:sz w:val="16"/>
        </w:rPr>
        <w:t>K.1 commune (1967) 580; dissolution (1970) 44</w:t>
      </w:r>
      <w:r>
        <w:rPr>
          <w:i/>
          <w:color w:val="231F20"/>
          <w:w w:val="105"/>
          <w:sz w:val="16"/>
        </w:rPr>
        <w:t xml:space="preserve">, </w:t>
      </w:r>
      <w:r>
        <w:rPr>
          <w:color w:val="231F20"/>
          <w:w w:val="105"/>
          <w:sz w:val="16"/>
        </w:rPr>
        <w:t>584; anti-Zionism 34</w:t>
      </w:r>
      <w:r>
        <w:rPr>
          <w:i/>
          <w:color w:val="231F20"/>
          <w:w w:val="105"/>
          <w:sz w:val="16"/>
        </w:rPr>
        <w:t xml:space="preserve">, </w:t>
      </w:r>
      <w:r>
        <w:rPr>
          <w:color w:val="231F20"/>
          <w:w w:val="105"/>
          <w:sz w:val="16"/>
        </w:rPr>
        <w:t>553; guerilla 35</w:t>
      </w:r>
      <w:r>
        <w:rPr>
          <w:i/>
          <w:color w:val="231F20"/>
          <w:w w:val="105"/>
          <w:sz w:val="16"/>
        </w:rPr>
        <w:t xml:space="preserve">, </w:t>
      </w:r>
      <w:r>
        <w:rPr>
          <w:color w:val="231F20"/>
          <w:w w:val="105"/>
          <w:sz w:val="16"/>
        </w:rPr>
        <w:t>48</w:t>
      </w:r>
      <w:r>
        <w:rPr>
          <w:i/>
          <w:color w:val="231F20"/>
          <w:w w:val="105"/>
          <w:sz w:val="16"/>
        </w:rPr>
        <w:t xml:space="preserve">, </w:t>
      </w:r>
      <w:r>
        <w:rPr>
          <w:color w:val="231F20"/>
          <w:w w:val="105"/>
          <w:sz w:val="16"/>
        </w:rPr>
        <w:t>581; Dierck Hoff 352</w:t>
      </w:r>
      <w:r>
        <w:rPr>
          <w:i/>
          <w:color w:val="231F20"/>
          <w:w w:val="105"/>
          <w:sz w:val="16"/>
        </w:rPr>
        <w:t>,</w:t>
      </w:r>
    </w:p>
    <w:p w14:paraId="7FD705E6" w14:textId="77777777" w:rsidR="002653E8" w:rsidRDefault="002653E8">
      <w:pPr>
        <w:spacing w:line="280" w:lineRule="auto"/>
        <w:rPr>
          <w:sz w:val="16"/>
        </w:rPr>
        <w:sectPr w:rsidR="002653E8">
          <w:pgSz w:w="8640" w:h="12960"/>
          <w:pgMar w:top="1080" w:right="0" w:bottom="1040" w:left="0" w:header="0" w:footer="846" w:gutter="0"/>
          <w:cols w:num="2" w:space="720" w:equalWidth="0">
            <w:col w:w="4240" w:space="40"/>
            <w:col w:w="4360"/>
          </w:cols>
        </w:sectPr>
      </w:pPr>
    </w:p>
    <w:p w14:paraId="770A5052" w14:textId="77777777" w:rsidR="002653E8" w:rsidRDefault="003115E3">
      <w:pPr>
        <w:spacing w:before="86"/>
        <w:ind w:left="1347"/>
        <w:rPr>
          <w:sz w:val="16"/>
        </w:rPr>
      </w:pPr>
      <w:r>
        <w:rPr>
          <w:color w:val="231F20"/>
          <w:w w:val="105"/>
          <w:sz w:val="16"/>
        </w:rPr>
        <w:lastRenderedPageBreak/>
        <w:t>422; konkret 26; Horst Mahler 39;</w:t>
      </w:r>
    </w:p>
    <w:p w14:paraId="61B85F16" w14:textId="77777777" w:rsidR="002653E8" w:rsidRDefault="003115E3">
      <w:pPr>
        <w:spacing w:before="33"/>
        <w:ind w:left="1347"/>
        <w:rPr>
          <w:sz w:val="16"/>
        </w:rPr>
      </w:pPr>
      <w:r>
        <w:rPr>
          <w:color w:val="231F20"/>
          <w:sz w:val="16"/>
        </w:rPr>
        <w:t>Ulrike  Meinhof   26</w:t>
      </w:r>
      <w:r>
        <w:rPr>
          <w:i/>
          <w:color w:val="231F20"/>
          <w:sz w:val="16"/>
        </w:rPr>
        <w:t xml:space="preserve">, </w:t>
      </w:r>
      <w:r>
        <w:rPr>
          <w:color w:val="231F20"/>
          <w:sz w:val="16"/>
        </w:rPr>
        <w:t>53;  mentioned by</w:t>
      </w:r>
    </w:p>
    <w:p w14:paraId="7924AE39" w14:textId="77777777" w:rsidR="002653E8" w:rsidRDefault="003115E3">
      <w:pPr>
        <w:spacing w:before="32"/>
        <w:ind w:left="1347"/>
        <w:rPr>
          <w:sz w:val="16"/>
        </w:rPr>
      </w:pPr>
      <w:r>
        <w:rPr>
          <w:color w:val="231F20"/>
          <w:w w:val="105"/>
          <w:sz w:val="16"/>
        </w:rPr>
        <w:t>Thorwald Proll 69</w:t>
      </w:r>
      <w:r>
        <w:rPr>
          <w:i/>
          <w:color w:val="231F20"/>
          <w:w w:val="105"/>
          <w:sz w:val="16"/>
        </w:rPr>
        <w:t xml:space="preserve">, </w:t>
      </w:r>
      <w:r>
        <w:rPr>
          <w:color w:val="231F20"/>
          <w:w w:val="105"/>
          <w:sz w:val="16"/>
        </w:rPr>
        <w:t>78; mentioned by</w:t>
      </w:r>
    </w:p>
    <w:p w14:paraId="0F3CBBBE" w14:textId="77777777" w:rsidR="002653E8" w:rsidRDefault="00C507A5">
      <w:pPr>
        <w:spacing w:before="33"/>
        <w:ind w:left="1347"/>
        <w:rPr>
          <w:sz w:val="16"/>
        </w:rPr>
      </w:pPr>
      <w:r>
        <w:rPr>
          <w:color w:val="231F20"/>
          <w:sz w:val="16"/>
        </w:rPr>
        <w:t>red army faction</w:t>
      </w:r>
      <w:r w:rsidR="003115E3">
        <w:rPr>
          <w:color w:val="231F20"/>
          <w:sz w:val="16"/>
        </w:rPr>
        <w:t xml:space="preserve"> 90; Otto Schily 247; structure</w:t>
      </w:r>
    </w:p>
    <w:p w14:paraId="27FB2564" w14:textId="77777777" w:rsidR="002653E8" w:rsidRDefault="003115E3">
      <w:pPr>
        <w:spacing w:before="32"/>
        <w:ind w:left="1347"/>
        <w:rPr>
          <w:sz w:val="16"/>
        </w:rPr>
      </w:pPr>
      <w:r>
        <w:rPr>
          <w:color w:val="231F20"/>
          <w:w w:val="105"/>
          <w:sz w:val="16"/>
        </w:rPr>
        <w:t>33; women 31</w:t>
      </w:r>
      <w:r>
        <w:rPr>
          <w:i/>
          <w:color w:val="231F20"/>
          <w:w w:val="105"/>
          <w:sz w:val="16"/>
        </w:rPr>
        <w:t xml:space="preserve">, </w:t>
      </w:r>
      <w:r>
        <w:rPr>
          <w:color w:val="231F20"/>
          <w:w w:val="105"/>
          <w:sz w:val="16"/>
        </w:rPr>
        <w:t>42</w:t>
      </w:r>
      <w:r>
        <w:rPr>
          <w:i/>
          <w:color w:val="231F20"/>
          <w:w w:val="105"/>
          <w:sz w:val="16"/>
        </w:rPr>
        <w:t xml:space="preserve">, </w:t>
      </w:r>
      <w:r>
        <w:rPr>
          <w:color w:val="231F20"/>
          <w:w w:val="105"/>
          <w:sz w:val="16"/>
        </w:rPr>
        <w:t>53</w:t>
      </w:r>
      <w:r>
        <w:rPr>
          <w:i/>
          <w:color w:val="231F20"/>
          <w:w w:val="105"/>
          <w:sz w:val="16"/>
        </w:rPr>
        <w:t xml:space="preserve">, </w:t>
      </w:r>
      <w:r>
        <w:rPr>
          <w:color w:val="231F20"/>
          <w:w w:val="105"/>
          <w:sz w:val="16"/>
        </w:rPr>
        <w:t>444</w:t>
      </w:r>
      <w:r>
        <w:rPr>
          <w:i/>
          <w:color w:val="231F20"/>
          <w:w w:val="105"/>
          <w:sz w:val="16"/>
        </w:rPr>
        <w:t xml:space="preserve">, </w:t>
      </w:r>
      <w:r>
        <w:rPr>
          <w:color w:val="231F20"/>
          <w:w w:val="105"/>
          <w:sz w:val="16"/>
        </w:rPr>
        <w:t>582–583</w:t>
      </w:r>
    </w:p>
    <w:p w14:paraId="68D63E19" w14:textId="77777777" w:rsidR="002653E8" w:rsidRDefault="003115E3">
      <w:pPr>
        <w:spacing w:before="32"/>
        <w:ind w:left="1147"/>
        <w:rPr>
          <w:sz w:val="16"/>
        </w:rPr>
      </w:pPr>
      <w:r>
        <w:rPr>
          <w:color w:val="231F20"/>
          <w:sz w:val="16"/>
        </w:rPr>
        <w:t>Seale, Bobby 418</w:t>
      </w:r>
    </w:p>
    <w:p w14:paraId="7E193DF0" w14:textId="77777777" w:rsidR="002653E8" w:rsidRDefault="003115E3">
      <w:pPr>
        <w:spacing w:before="33"/>
        <w:ind w:left="1147"/>
        <w:rPr>
          <w:i/>
          <w:sz w:val="16"/>
        </w:rPr>
      </w:pPr>
      <w:r>
        <w:rPr>
          <w:color w:val="231F20"/>
          <w:w w:val="105"/>
          <w:sz w:val="16"/>
        </w:rPr>
        <w:t>Seckendorff, Ekkehard von 614</w:t>
      </w:r>
      <w:r>
        <w:rPr>
          <w:i/>
          <w:color w:val="231F20"/>
          <w:w w:val="105"/>
          <w:sz w:val="16"/>
        </w:rPr>
        <w:t xml:space="preserve">, </w:t>
      </w:r>
      <w:r>
        <w:rPr>
          <w:color w:val="231F20"/>
          <w:w w:val="105"/>
          <w:sz w:val="16"/>
        </w:rPr>
        <w:t>620</w:t>
      </w:r>
      <w:r>
        <w:rPr>
          <w:i/>
          <w:color w:val="231F20"/>
          <w:w w:val="105"/>
          <w:sz w:val="16"/>
        </w:rPr>
        <w:t>,</w:t>
      </w:r>
    </w:p>
    <w:p w14:paraId="296A1FDE" w14:textId="77777777" w:rsidR="002653E8" w:rsidRDefault="003115E3">
      <w:pPr>
        <w:spacing w:before="32"/>
        <w:ind w:left="1347"/>
        <w:rPr>
          <w:sz w:val="16"/>
        </w:rPr>
      </w:pPr>
      <w:r>
        <w:rPr>
          <w:color w:val="231F20"/>
          <w:sz w:val="16"/>
        </w:rPr>
        <w:t>620–621</w:t>
      </w:r>
    </w:p>
    <w:p w14:paraId="67554EE7" w14:textId="77777777" w:rsidR="002653E8" w:rsidRDefault="003115E3">
      <w:pPr>
        <w:spacing w:before="33"/>
        <w:ind w:left="1147"/>
        <w:rPr>
          <w:sz w:val="16"/>
        </w:rPr>
      </w:pPr>
      <w:r>
        <w:rPr>
          <w:color w:val="231F20"/>
          <w:sz w:val="16"/>
        </w:rPr>
        <w:t>Second International 379</w:t>
      </w:r>
      <w:r>
        <w:rPr>
          <w:i/>
          <w:color w:val="231F20"/>
          <w:sz w:val="16"/>
        </w:rPr>
        <w:t xml:space="preserve">, </w:t>
      </w:r>
      <w:r>
        <w:rPr>
          <w:color w:val="231F20"/>
          <w:sz w:val="16"/>
        </w:rPr>
        <w:t>427</w:t>
      </w:r>
    </w:p>
    <w:p w14:paraId="4EC0EA27" w14:textId="77777777" w:rsidR="002653E8" w:rsidRDefault="003115E3">
      <w:pPr>
        <w:spacing w:before="32"/>
        <w:ind w:left="1147"/>
        <w:rPr>
          <w:i/>
          <w:sz w:val="16"/>
        </w:rPr>
      </w:pPr>
      <w:r>
        <w:rPr>
          <w:color w:val="231F20"/>
          <w:w w:val="105"/>
          <w:sz w:val="16"/>
        </w:rPr>
        <w:t>2nd of June Movement  46</w:t>
      </w:r>
      <w:r>
        <w:rPr>
          <w:i/>
          <w:color w:val="231F20"/>
          <w:w w:val="105"/>
          <w:sz w:val="16"/>
        </w:rPr>
        <w:t xml:space="preserve">, </w:t>
      </w:r>
      <w:r>
        <w:rPr>
          <w:color w:val="231F20"/>
          <w:w w:val="105"/>
          <w:sz w:val="16"/>
        </w:rPr>
        <w:t>110</w:t>
      </w:r>
      <w:r>
        <w:rPr>
          <w:i/>
          <w:color w:val="231F20"/>
          <w:w w:val="105"/>
          <w:sz w:val="16"/>
        </w:rPr>
        <w:t xml:space="preserve">, </w:t>
      </w:r>
      <w:r>
        <w:rPr>
          <w:color w:val="231F20"/>
          <w:w w:val="105"/>
          <w:sz w:val="16"/>
        </w:rPr>
        <w:t>439</w:t>
      </w:r>
      <w:r>
        <w:rPr>
          <w:i/>
          <w:color w:val="231F20"/>
          <w:w w:val="105"/>
          <w:sz w:val="16"/>
        </w:rPr>
        <w:t>,</w:t>
      </w:r>
    </w:p>
    <w:p w14:paraId="59E3CC22" w14:textId="77777777" w:rsidR="002653E8" w:rsidRDefault="003115E3">
      <w:pPr>
        <w:spacing w:before="32"/>
        <w:ind w:left="1347"/>
        <w:rPr>
          <w:i/>
          <w:sz w:val="16"/>
        </w:rPr>
      </w:pPr>
      <w:r>
        <w:rPr>
          <w:color w:val="231F20"/>
          <w:w w:val="110"/>
          <w:sz w:val="16"/>
        </w:rPr>
        <w:t>472</w:t>
      </w:r>
      <w:r>
        <w:rPr>
          <w:i/>
          <w:color w:val="231F20"/>
          <w:w w:val="110"/>
          <w:sz w:val="16"/>
        </w:rPr>
        <w:t xml:space="preserve">, </w:t>
      </w:r>
      <w:r>
        <w:rPr>
          <w:color w:val="231F20"/>
          <w:w w:val="110"/>
          <w:sz w:val="16"/>
        </w:rPr>
        <w:t>574</w:t>
      </w:r>
      <w:r>
        <w:rPr>
          <w:i/>
          <w:color w:val="231F20"/>
          <w:w w:val="110"/>
          <w:sz w:val="16"/>
        </w:rPr>
        <w:t xml:space="preserve">, </w:t>
      </w:r>
      <w:r>
        <w:rPr>
          <w:color w:val="231F20"/>
          <w:w w:val="110"/>
          <w:sz w:val="16"/>
        </w:rPr>
        <w:t>587</w:t>
      </w:r>
      <w:r>
        <w:rPr>
          <w:i/>
          <w:color w:val="231F20"/>
          <w:w w:val="110"/>
          <w:sz w:val="16"/>
        </w:rPr>
        <w:t xml:space="preserve">, </w:t>
      </w:r>
      <w:r>
        <w:rPr>
          <w:color w:val="231F20"/>
          <w:w w:val="110"/>
          <w:sz w:val="16"/>
        </w:rPr>
        <w:t>588</w:t>
      </w:r>
      <w:r>
        <w:rPr>
          <w:i/>
          <w:color w:val="231F20"/>
          <w:w w:val="110"/>
          <w:sz w:val="16"/>
        </w:rPr>
        <w:t xml:space="preserve">, </w:t>
      </w:r>
      <w:r>
        <w:rPr>
          <w:color w:val="231F20"/>
          <w:w w:val="110"/>
          <w:sz w:val="16"/>
        </w:rPr>
        <w:t>599</w:t>
      </w:r>
      <w:r>
        <w:rPr>
          <w:i/>
          <w:color w:val="231F20"/>
          <w:w w:val="110"/>
          <w:sz w:val="16"/>
        </w:rPr>
        <w:t xml:space="preserve">, </w:t>
      </w:r>
      <w:r>
        <w:rPr>
          <w:color w:val="231F20"/>
          <w:w w:val="110"/>
          <w:sz w:val="16"/>
        </w:rPr>
        <w:t>602</w:t>
      </w:r>
      <w:r>
        <w:rPr>
          <w:i/>
          <w:color w:val="231F20"/>
          <w:w w:val="110"/>
          <w:sz w:val="16"/>
        </w:rPr>
        <w:t xml:space="preserve">, </w:t>
      </w:r>
      <w:r>
        <w:rPr>
          <w:color w:val="231F20"/>
          <w:w w:val="110"/>
          <w:sz w:val="16"/>
        </w:rPr>
        <w:t>605</w:t>
      </w:r>
      <w:r>
        <w:rPr>
          <w:i/>
          <w:color w:val="231F20"/>
          <w:w w:val="110"/>
          <w:sz w:val="16"/>
        </w:rPr>
        <w:t>,</w:t>
      </w:r>
    </w:p>
    <w:p w14:paraId="131B18C2" w14:textId="77777777" w:rsidR="002653E8" w:rsidRDefault="003115E3">
      <w:pPr>
        <w:spacing w:before="33"/>
        <w:ind w:left="1347"/>
        <w:rPr>
          <w:sz w:val="16"/>
        </w:rPr>
      </w:pPr>
      <w:r>
        <w:rPr>
          <w:color w:val="231F20"/>
          <w:sz w:val="16"/>
        </w:rPr>
        <w:t>613; bombing of Berlin LKA (1972)</w:t>
      </w:r>
    </w:p>
    <w:p w14:paraId="11918D3E" w14:textId="77777777" w:rsidR="002653E8" w:rsidRDefault="003115E3">
      <w:pPr>
        <w:spacing w:before="32"/>
        <w:ind w:left="1347"/>
        <w:rPr>
          <w:sz w:val="16"/>
        </w:rPr>
      </w:pPr>
      <w:r>
        <w:rPr>
          <w:color w:val="231F20"/>
          <w:sz w:val="16"/>
        </w:rPr>
        <w:t>114</w:t>
      </w:r>
      <w:r>
        <w:rPr>
          <w:i/>
          <w:color w:val="231F20"/>
          <w:sz w:val="16"/>
        </w:rPr>
        <w:t xml:space="preserve">, </w:t>
      </w:r>
      <w:r>
        <w:rPr>
          <w:color w:val="231F20"/>
          <w:sz w:val="16"/>
        </w:rPr>
        <w:t>589;  Drenkmann assassination</w:t>
      </w:r>
    </w:p>
    <w:p w14:paraId="17E430EF" w14:textId="77777777" w:rsidR="002653E8" w:rsidRDefault="003115E3">
      <w:pPr>
        <w:spacing w:before="33"/>
        <w:ind w:left="1347"/>
        <w:rPr>
          <w:i/>
          <w:sz w:val="16"/>
        </w:rPr>
      </w:pPr>
      <w:r>
        <w:rPr>
          <w:color w:val="231F20"/>
          <w:w w:val="105"/>
          <w:sz w:val="16"/>
        </w:rPr>
        <w:t>(1974) 258</w:t>
      </w:r>
      <w:r>
        <w:rPr>
          <w:i/>
          <w:color w:val="231F20"/>
          <w:w w:val="105"/>
          <w:sz w:val="16"/>
        </w:rPr>
        <w:t xml:space="preserve">, </w:t>
      </w:r>
      <w:r>
        <w:rPr>
          <w:color w:val="231F20"/>
          <w:w w:val="105"/>
          <w:sz w:val="16"/>
        </w:rPr>
        <w:t>262–263</w:t>
      </w:r>
      <w:r>
        <w:rPr>
          <w:i/>
          <w:color w:val="231F20"/>
          <w:w w:val="105"/>
          <w:sz w:val="16"/>
        </w:rPr>
        <w:t xml:space="preserve">, </w:t>
      </w:r>
      <w:r>
        <w:rPr>
          <w:color w:val="231F20"/>
          <w:w w:val="105"/>
          <w:sz w:val="16"/>
        </w:rPr>
        <w:t>264–265</w:t>
      </w:r>
      <w:r>
        <w:rPr>
          <w:i/>
          <w:color w:val="231F20"/>
          <w:w w:val="105"/>
          <w:sz w:val="16"/>
        </w:rPr>
        <w:t>,</w:t>
      </w:r>
    </w:p>
    <w:p w14:paraId="2835F726" w14:textId="77777777" w:rsidR="002653E8" w:rsidRDefault="003115E3">
      <w:pPr>
        <w:spacing w:before="32"/>
        <w:ind w:left="1347"/>
        <w:rPr>
          <w:sz w:val="16"/>
        </w:rPr>
      </w:pPr>
      <w:r>
        <w:rPr>
          <w:color w:val="231F20"/>
          <w:w w:val="105"/>
          <w:sz w:val="16"/>
        </w:rPr>
        <w:t>313–314</w:t>
      </w:r>
      <w:r>
        <w:rPr>
          <w:i/>
          <w:color w:val="231F20"/>
          <w:w w:val="105"/>
          <w:sz w:val="16"/>
        </w:rPr>
        <w:t xml:space="preserve">, </w:t>
      </w:r>
      <w:r>
        <w:rPr>
          <w:color w:val="231F20"/>
          <w:w w:val="105"/>
          <w:sz w:val="16"/>
        </w:rPr>
        <w:t>327</w:t>
      </w:r>
      <w:r>
        <w:rPr>
          <w:i/>
          <w:color w:val="231F20"/>
          <w:w w:val="105"/>
          <w:sz w:val="16"/>
        </w:rPr>
        <w:t xml:space="preserve">, </w:t>
      </w:r>
      <w:r>
        <w:rPr>
          <w:color w:val="231F20"/>
          <w:w w:val="105"/>
          <w:sz w:val="16"/>
        </w:rPr>
        <w:t>459</w:t>
      </w:r>
      <w:r>
        <w:rPr>
          <w:i/>
          <w:color w:val="231F20"/>
          <w:w w:val="105"/>
          <w:sz w:val="16"/>
        </w:rPr>
        <w:t xml:space="preserve">, </w:t>
      </w:r>
      <w:r>
        <w:rPr>
          <w:color w:val="231F20"/>
          <w:w w:val="105"/>
          <w:sz w:val="16"/>
        </w:rPr>
        <w:t>595; Lorenz</w:t>
      </w:r>
    </w:p>
    <w:p w14:paraId="39573ABB" w14:textId="77777777" w:rsidR="002653E8" w:rsidRDefault="003115E3">
      <w:pPr>
        <w:spacing w:before="33"/>
        <w:ind w:left="1347"/>
        <w:rPr>
          <w:i/>
          <w:sz w:val="16"/>
        </w:rPr>
      </w:pPr>
      <w:r>
        <w:rPr>
          <w:color w:val="231F20"/>
          <w:w w:val="105"/>
          <w:sz w:val="16"/>
        </w:rPr>
        <w:t>kidnapping (1975) 335</w:t>
      </w:r>
      <w:r>
        <w:rPr>
          <w:i/>
          <w:color w:val="231F20"/>
          <w:w w:val="105"/>
          <w:sz w:val="16"/>
        </w:rPr>
        <w:t xml:space="preserve">, </w:t>
      </w:r>
      <w:r>
        <w:rPr>
          <w:color w:val="231F20"/>
          <w:w w:val="105"/>
          <w:sz w:val="16"/>
        </w:rPr>
        <w:t>337</w:t>
      </w:r>
      <w:r>
        <w:rPr>
          <w:i/>
          <w:color w:val="231F20"/>
          <w:w w:val="105"/>
          <w:sz w:val="16"/>
        </w:rPr>
        <w:t xml:space="preserve">, </w:t>
      </w:r>
      <w:r>
        <w:rPr>
          <w:color w:val="231F20"/>
          <w:w w:val="105"/>
          <w:sz w:val="16"/>
        </w:rPr>
        <w:t>349</w:t>
      </w:r>
      <w:r>
        <w:rPr>
          <w:i/>
          <w:color w:val="231F20"/>
          <w:w w:val="105"/>
          <w:sz w:val="16"/>
        </w:rPr>
        <w:t>,</w:t>
      </w:r>
      <w:r>
        <w:rPr>
          <w:i/>
          <w:color w:val="231F20"/>
          <w:spacing w:val="-9"/>
          <w:w w:val="105"/>
          <w:sz w:val="16"/>
        </w:rPr>
        <w:t xml:space="preserve"> </w:t>
      </w:r>
      <w:r>
        <w:rPr>
          <w:color w:val="231F20"/>
          <w:w w:val="105"/>
          <w:sz w:val="16"/>
        </w:rPr>
        <w:t>377</w:t>
      </w:r>
      <w:r>
        <w:rPr>
          <w:i/>
          <w:color w:val="231F20"/>
          <w:w w:val="105"/>
          <w:sz w:val="16"/>
        </w:rPr>
        <w:t>,</w:t>
      </w:r>
    </w:p>
    <w:p w14:paraId="6274EE2D" w14:textId="77777777" w:rsidR="002653E8" w:rsidRDefault="003115E3">
      <w:pPr>
        <w:spacing w:before="32"/>
        <w:ind w:left="1347"/>
        <w:rPr>
          <w:sz w:val="16"/>
        </w:rPr>
      </w:pPr>
      <w:r>
        <w:rPr>
          <w:color w:val="231F20"/>
          <w:w w:val="110"/>
          <w:sz w:val="16"/>
        </w:rPr>
        <w:t>454</w:t>
      </w:r>
      <w:r>
        <w:rPr>
          <w:i/>
          <w:color w:val="231F20"/>
          <w:w w:val="110"/>
          <w:sz w:val="16"/>
        </w:rPr>
        <w:t xml:space="preserve">, </w:t>
      </w:r>
      <w:r>
        <w:rPr>
          <w:color w:val="231F20"/>
          <w:w w:val="110"/>
          <w:sz w:val="16"/>
        </w:rPr>
        <w:t>460</w:t>
      </w:r>
      <w:r>
        <w:rPr>
          <w:i/>
          <w:color w:val="231F20"/>
          <w:w w:val="110"/>
          <w:sz w:val="16"/>
        </w:rPr>
        <w:t xml:space="preserve">, </w:t>
      </w:r>
      <w:r>
        <w:rPr>
          <w:color w:val="231F20"/>
          <w:w w:val="110"/>
          <w:sz w:val="16"/>
        </w:rPr>
        <w:t>462</w:t>
      </w:r>
      <w:r>
        <w:rPr>
          <w:i/>
          <w:color w:val="231F20"/>
          <w:w w:val="110"/>
          <w:sz w:val="16"/>
        </w:rPr>
        <w:t xml:space="preserve">, </w:t>
      </w:r>
      <w:r>
        <w:rPr>
          <w:color w:val="231F20"/>
          <w:w w:val="110"/>
          <w:sz w:val="16"/>
        </w:rPr>
        <w:t>479</w:t>
      </w:r>
      <w:r>
        <w:rPr>
          <w:i/>
          <w:color w:val="231F20"/>
          <w:w w:val="110"/>
          <w:sz w:val="16"/>
        </w:rPr>
        <w:t xml:space="preserve">, </w:t>
      </w:r>
      <w:r>
        <w:rPr>
          <w:color w:val="231F20"/>
          <w:w w:val="110"/>
          <w:sz w:val="16"/>
        </w:rPr>
        <w:t>480</w:t>
      </w:r>
      <w:r>
        <w:rPr>
          <w:i/>
          <w:color w:val="231F20"/>
          <w:w w:val="110"/>
          <w:sz w:val="16"/>
        </w:rPr>
        <w:t xml:space="preserve">, </w:t>
      </w:r>
      <w:r>
        <w:rPr>
          <w:color w:val="231F20"/>
          <w:w w:val="110"/>
          <w:sz w:val="16"/>
        </w:rPr>
        <w:t>596</w:t>
      </w:r>
      <w:r>
        <w:rPr>
          <w:i/>
          <w:color w:val="231F20"/>
          <w:w w:val="110"/>
          <w:sz w:val="16"/>
        </w:rPr>
        <w:t xml:space="preserve">, </w:t>
      </w:r>
      <w:r>
        <w:rPr>
          <w:color w:val="231F20"/>
          <w:w w:val="110"/>
          <w:sz w:val="16"/>
        </w:rPr>
        <w:t>605;</w:t>
      </w:r>
    </w:p>
    <w:p w14:paraId="3AE210CF" w14:textId="77777777" w:rsidR="002653E8" w:rsidRDefault="003115E3">
      <w:pPr>
        <w:spacing w:before="32" w:line="280" w:lineRule="auto"/>
        <w:ind w:left="1347"/>
        <w:rPr>
          <w:i/>
          <w:sz w:val="16"/>
        </w:rPr>
      </w:pPr>
      <w:r>
        <w:rPr>
          <w:color w:val="231F20"/>
          <w:sz w:val="16"/>
        </w:rPr>
        <w:t>Palmers kidnapping (1977) 523</w:t>
      </w:r>
      <w:r>
        <w:rPr>
          <w:i/>
          <w:color w:val="231F20"/>
          <w:sz w:val="16"/>
        </w:rPr>
        <w:t xml:space="preserve">, </w:t>
      </w:r>
      <w:r>
        <w:rPr>
          <w:color w:val="231F20"/>
          <w:sz w:val="16"/>
        </w:rPr>
        <w:t>609; and the Blues 588; denouncing reactionary attacks 349</w:t>
      </w:r>
      <w:r>
        <w:rPr>
          <w:i/>
          <w:color w:val="231F20"/>
          <w:sz w:val="16"/>
        </w:rPr>
        <w:t xml:space="preserve">, </w:t>
      </w:r>
      <w:r>
        <w:rPr>
          <w:color w:val="231F20"/>
          <w:sz w:val="16"/>
        </w:rPr>
        <w:t>376–377</w:t>
      </w:r>
      <w:r>
        <w:rPr>
          <w:i/>
          <w:color w:val="231F20"/>
          <w:sz w:val="16"/>
        </w:rPr>
        <w:t xml:space="preserve">, </w:t>
      </w:r>
      <w:r>
        <w:rPr>
          <w:color w:val="231F20"/>
          <w:sz w:val="16"/>
        </w:rPr>
        <w:t>380</w:t>
      </w:r>
      <w:r>
        <w:rPr>
          <w:i/>
          <w:color w:val="231F20"/>
          <w:sz w:val="16"/>
        </w:rPr>
        <w:t>,</w:t>
      </w:r>
    </w:p>
    <w:p w14:paraId="0DABB496" w14:textId="77777777" w:rsidR="002653E8" w:rsidRDefault="003115E3">
      <w:pPr>
        <w:spacing w:before="2"/>
        <w:ind w:left="1347"/>
        <w:rPr>
          <w:i/>
          <w:sz w:val="16"/>
        </w:rPr>
      </w:pPr>
      <w:r>
        <w:rPr>
          <w:color w:val="231F20"/>
          <w:w w:val="105"/>
          <w:sz w:val="16"/>
        </w:rPr>
        <w:t>599; prisoners 242–243</w:t>
      </w:r>
      <w:r>
        <w:rPr>
          <w:i/>
          <w:color w:val="231F20"/>
          <w:w w:val="105"/>
          <w:sz w:val="16"/>
        </w:rPr>
        <w:t xml:space="preserve">, </w:t>
      </w:r>
      <w:r>
        <w:rPr>
          <w:color w:val="231F20"/>
          <w:w w:val="105"/>
          <w:sz w:val="16"/>
        </w:rPr>
        <w:t>254</w:t>
      </w:r>
      <w:r>
        <w:rPr>
          <w:i/>
          <w:color w:val="231F20"/>
          <w:w w:val="105"/>
          <w:sz w:val="16"/>
        </w:rPr>
        <w:t xml:space="preserve">, </w:t>
      </w:r>
      <w:r>
        <w:rPr>
          <w:color w:val="231F20"/>
          <w:w w:val="105"/>
          <w:sz w:val="16"/>
        </w:rPr>
        <w:t>470</w:t>
      </w:r>
      <w:r>
        <w:rPr>
          <w:i/>
          <w:color w:val="231F20"/>
          <w:w w:val="105"/>
          <w:sz w:val="16"/>
        </w:rPr>
        <w:t>,</w:t>
      </w:r>
    </w:p>
    <w:p w14:paraId="0F3B9ABD" w14:textId="77777777" w:rsidR="002653E8" w:rsidRDefault="003115E3">
      <w:pPr>
        <w:spacing w:before="32"/>
        <w:ind w:left="1347"/>
        <w:rPr>
          <w:i/>
          <w:sz w:val="16"/>
        </w:rPr>
      </w:pPr>
      <w:r>
        <w:rPr>
          <w:color w:val="231F20"/>
          <w:w w:val="105"/>
          <w:sz w:val="16"/>
        </w:rPr>
        <w:t>594</w:t>
      </w:r>
      <w:r>
        <w:rPr>
          <w:i/>
          <w:color w:val="231F20"/>
          <w:w w:val="105"/>
          <w:sz w:val="16"/>
        </w:rPr>
        <w:t xml:space="preserve">, </w:t>
      </w:r>
      <w:r>
        <w:rPr>
          <w:color w:val="231F20"/>
          <w:w w:val="105"/>
          <w:sz w:val="16"/>
        </w:rPr>
        <w:t xml:space="preserve">604; and </w:t>
      </w:r>
      <w:r w:rsidR="00C507A5">
        <w:rPr>
          <w:color w:val="231F20"/>
          <w:w w:val="105"/>
          <w:sz w:val="16"/>
        </w:rPr>
        <w:t>red army faction</w:t>
      </w:r>
      <w:r>
        <w:rPr>
          <w:color w:val="231F20"/>
          <w:w w:val="105"/>
          <w:sz w:val="16"/>
        </w:rPr>
        <w:t xml:space="preserve"> 51–52</w:t>
      </w:r>
      <w:r>
        <w:rPr>
          <w:i/>
          <w:color w:val="231F20"/>
          <w:w w:val="105"/>
          <w:sz w:val="16"/>
        </w:rPr>
        <w:t xml:space="preserve">, </w:t>
      </w:r>
      <w:r>
        <w:rPr>
          <w:color w:val="231F20"/>
          <w:w w:val="105"/>
          <w:sz w:val="16"/>
        </w:rPr>
        <w:t>52</w:t>
      </w:r>
      <w:r>
        <w:rPr>
          <w:i/>
          <w:color w:val="231F20"/>
          <w:w w:val="105"/>
          <w:sz w:val="16"/>
        </w:rPr>
        <w:t xml:space="preserve">, </w:t>
      </w:r>
      <w:r>
        <w:rPr>
          <w:color w:val="231F20"/>
          <w:w w:val="105"/>
          <w:sz w:val="16"/>
        </w:rPr>
        <w:t>171</w:t>
      </w:r>
      <w:r>
        <w:rPr>
          <w:i/>
          <w:color w:val="231F20"/>
          <w:w w:val="105"/>
          <w:sz w:val="16"/>
        </w:rPr>
        <w:t>,</w:t>
      </w:r>
    </w:p>
    <w:p w14:paraId="7CABF9A2" w14:textId="77777777" w:rsidR="002653E8" w:rsidRDefault="003115E3">
      <w:pPr>
        <w:spacing w:before="33"/>
        <w:ind w:left="1347"/>
        <w:rPr>
          <w:i/>
          <w:sz w:val="16"/>
        </w:rPr>
      </w:pPr>
      <w:r>
        <w:rPr>
          <w:color w:val="231F20"/>
          <w:w w:val="110"/>
          <w:sz w:val="16"/>
        </w:rPr>
        <w:t>264</w:t>
      </w:r>
      <w:r>
        <w:rPr>
          <w:i/>
          <w:color w:val="231F20"/>
          <w:w w:val="110"/>
          <w:sz w:val="16"/>
        </w:rPr>
        <w:t xml:space="preserve">, </w:t>
      </w:r>
      <w:r>
        <w:rPr>
          <w:color w:val="231F20"/>
          <w:w w:val="110"/>
          <w:sz w:val="16"/>
        </w:rPr>
        <w:t>327</w:t>
      </w:r>
      <w:r>
        <w:rPr>
          <w:i/>
          <w:color w:val="231F20"/>
          <w:w w:val="110"/>
          <w:sz w:val="16"/>
        </w:rPr>
        <w:t xml:space="preserve">, </w:t>
      </w:r>
      <w:r>
        <w:rPr>
          <w:color w:val="231F20"/>
          <w:w w:val="110"/>
          <w:sz w:val="16"/>
        </w:rPr>
        <w:t>332</w:t>
      </w:r>
      <w:r>
        <w:rPr>
          <w:i/>
          <w:color w:val="231F20"/>
          <w:w w:val="110"/>
          <w:sz w:val="16"/>
        </w:rPr>
        <w:t xml:space="preserve">, </w:t>
      </w:r>
      <w:r>
        <w:rPr>
          <w:color w:val="231F20"/>
          <w:w w:val="110"/>
          <w:sz w:val="16"/>
        </w:rPr>
        <w:t>380</w:t>
      </w:r>
      <w:r>
        <w:rPr>
          <w:i/>
          <w:color w:val="231F20"/>
          <w:w w:val="110"/>
          <w:sz w:val="16"/>
        </w:rPr>
        <w:t xml:space="preserve">, </w:t>
      </w:r>
      <w:r>
        <w:rPr>
          <w:color w:val="231F20"/>
          <w:w w:val="110"/>
          <w:sz w:val="16"/>
        </w:rPr>
        <w:t>380–381</w:t>
      </w:r>
      <w:r>
        <w:rPr>
          <w:i/>
          <w:color w:val="231F20"/>
          <w:w w:val="110"/>
          <w:sz w:val="16"/>
        </w:rPr>
        <w:t xml:space="preserve">, </w:t>
      </w:r>
      <w:r>
        <w:rPr>
          <w:color w:val="231F20"/>
          <w:w w:val="110"/>
          <w:sz w:val="16"/>
        </w:rPr>
        <w:t>523</w:t>
      </w:r>
      <w:r>
        <w:rPr>
          <w:i/>
          <w:color w:val="231F20"/>
          <w:w w:val="110"/>
          <w:sz w:val="16"/>
        </w:rPr>
        <w:t>,</w:t>
      </w:r>
    </w:p>
    <w:p w14:paraId="6C94A5CC" w14:textId="77777777" w:rsidR="002653E8" w:rsidRDefault="003115E3">
      <w:pPr>
        <w:spacing w:before="32"/>
        <w:ind w:left="1347"/>
        <w:rPr>
          <w:sz w:val="16"/>
        </w:rPr>
      </w:pPr>
      <w:r>
        <w:rPr>
          <w:color w:val="231F20"/>
          <w:w w:val="105"/>
          <w:sz w:val="16"/>
        </w:rPr>
        <w:t>527</w:t>
      </w:r>
      <w:r>
        <w:rPr>
          <w:i/>
          <w:color w:val="231F20"/>
          <w:w w:val="105"/>
          <w:sz w:val="16"/>
        </w:rPr>
        <w:t xml:space="preserve">, </w:t>
      </w:r>
      <w:r>
        <w:rPr>
          <w:color w:val="231F20"/>
          <w:w w:val="105"/>
          <w:sz w:val="16"/>
        </w:rPr>
        <w:t>609</w:t>
      </w:r>
      <w:r>
        <w:rPr>
          <w:i/>
          <w:color w:val="231F20"/>
          <w:w w:val="105"/>
          <w:sz w:val="16"/>
        </w:rPr>
        <w:t xml:space="preserve">, </w:t>
      </w:r>
      <w:r>
        <w:rPr>
          <w:color w:val="231F20"/>
          <w:w w:val="105"/>
          <w:sz w:val="16"/>
        </w:rPr>
        <w:t>613; Roaming Hash Rebels</w:t>
      </w:r>
    </w:p>
    <w:p w14:paraId="1DA97D52" w14:textId="77777777" w:rsidR="002653E8" w:rsidRDefault="003115E3">
      <w:pPr>
        <w:spacing w:before="33"/>
        <w:ind w:left="1347"/>
        <w:rPr>
          <w:sz w:val="16"/>
        </w:rPr>
      </w:pPr>
      <w:r>
        <w:rPr>
          <w:color w:val="231F20"/>
          <w:sz w:val="16"/>
        </w:rPr>
        <w:t>46</w:t>
      </w:r>
      <w:r>
        <w:rPr>
          <w:i/>
          <w:color w:val="231F20"/>
          <w:sz w:val="16"/>
        </w:rPr>
        <w:t xml:space="preserve">, </w:t>
      </w:r>
      <w:r>
        <w:rPr>
          <w:color w:val="231F20"/>
          <w:sz w:val="16"/>
        </w:rPr>
        <w:t>588; and Rote Ruhr Armee 588;</w:t>
      </w:r>
    </w:p>
    <w:p w14:paraId="0A397029" w14:textId="77777777" w:rsidR="002653E8" w:rsidRDefault="003115E3">
      <w:pPr>
        <w:spacing w:before="32"/>
        <w:ind w:left="1347"/>
        <w:rPr>
          <w:sz w:val="16"/>
        </w:rPr>
      </w:pPr>
      <w:r>
        <w:rPr>
          <w:color w:val="231F20"/>
          <w:w w:val="105"/>
          <w:sz w:val="16"/>
        </w:rPr>
        <w:t>and Tupamaros 157</w:t>
      </w:r>
      <w:r>
        <w:rPr>
          <w:i/>
          <w:color w:val="231F20"/>
          <w:w w:val="105"/>
          <w:sz w:val="16"/>
        </w:rPr>
        <w:t xml:space="preserve">, </w:t>
      </w:r>
      <w:r>
        <w:rPr>
          <w:color w:val="231F20"/>
          <w:w w:val="105"/>
          <w:sz w:val="16"/>
        </w:rPr>
        <w:t>171</w:t>
      </w:r>
      <w:r>
        <w:rPr>
          <w:i/>
          <w:color w:val="231F20"/>
          <w:w w:val="105"/>
          <w:sz w:val="16"/>
        </w:rPr>
        <w:t xml:space="preserve">, </w:t>
      </w:r>
      <w:r>
        <w:rPr>
          <w:color w:val="231F20"/>
          <w:w w:val="105"/>
          <w:sz w:val="16"/>
        </w:rPr>
        <w:t>588; and</w:t>
      </w:r>
    </w:p>
    <w:p w14:paraId="58907F4E" w14:textId="77777777" w:rsidR="002653E8" w:rsidRDefault="003115E3">
      <w:pPr>
        <w:spacing w:before="33"/>
        <w:ind w:left="1347"/>
        <w:rPr>
          <w:sz w:val="16"/>
        </w:rPr>
      </w:pPr>
      <w:r>
        <w:rPr>
          <w:color w:val="231F20"/>
          <w:sz w:val="16"/>
        </w:rPr>
        <w:t>women’s movement 536</w:t>
      </w:r>
    </w:p>
    <w:p w14:paraId="3A70A5D5" w14:textId="77777777" w:rsidR="002653E8" w:rsidRDefault="003115E3">
      <w:pPr>
        <w:spacing w:before="32" w:line="280" w:lineRule="auto"/>
        <w:ind w:left="1347" w:hanging="200"/>
        <w:rPr>
          <w:sz w:val="16"/>
        </w:rPr>
      </w:pPr>
      <w:r>
        <w:rPr>
          <w:color w:val="231F20"/>
          <w:sz w:val="16"/>
        </w:rPr>
        <w:t>SED (Socialist Unity Party) 4</w:t>
      </w:r>
      <w:r>
        <w:rPr>
          <w:i/>
          <w:color w:val="231F20"/>
          <w:sz w:val="16"/>
        </w:rPr>
        <w:t xml:space="preserve">, </w:t>
      </w:r>
      <w:r>
        <w:rPr>
          <w:color w:val="231F20"/>
          <w:sz w:val="16"/>
        </w:rPr>
        <w:t>17–18</w:t>
      </w:r>
      <w:r>
        <w:rPr>
          <w:i/>
          <w:color w:val="231F20"/>
          <w:sz w:val="16"/>
        </w:rPr>
        <w:t xml:space="preserve">, </w:t>
      </w:r>
      <w:r>
        <w:rPr>
          <w:color w:val="231F20"/>
          <w:sz w:val="16"/>
        </w:rPr>
        <w:t>246</w:t>
      </w:r>
      <w:r>
        <w:rPr>
          <w:i/>
          <w:color w:val="231F20"/>
          <w:sz w:val="16"/>
        </w:rPr>
        <w:t xml:space="preserve">. See also </w:t>
      </w:r>
      <w:r>
        <w:rPr>
          <w:color w:val="231F20"/>
          <w:sz w:val="16"/>
        </w:rPr>
        <w:t>German Democratic Republic (East Germany)</w:t>
      </w:r>
    </w:p>
    <w:p w14:paraId="0E96B5B2" w14:textId="77777777" w:rsidR="002653E8" w:rsidRDefault="003115E3">
      <w:pPr>
        <w:spacing w:before="2"/>
        <w:ind w:left="1147"/>
        <w:rPr>
          <w:sz w:val="16"/>
        </w:rPr>
      </w:pPr>
      <w:r>
        <w:rPr>
          <w:color w:val="231F20"/>
          <w:sz w:val="16"/>
        </w:rPr>
        <w:t>Seiters, Rudolph 623</w:t>
      </w:r>
    </w:p>
    <w:p w14:paraId="46C534EC" w14:textId="77777777" w:rsidR="002653E8" w:rsidRDefault="003115E3">
      <w:pPr>
        <w:spacing w:before="32"/>
        <w:ind w:left="1147"/>
        <w:rPr>
          <w:sz w:val="16"/>
        </w:rPr>
      </w:pPr>
      <w:r>
        <w:rPr>
          <w:color w:val="231F20"/>
          <w:sz w:val="16"/>
        </w:rPr>
        <w:t>Semler, Christian 33</w:t>
      </w:r>
    </w:p>
    <w:p w14:paraId="168C119C" w14:textId="77777777" w:rsidR="002653E8" w:rsidRDefault="003115E3">
      <w:pPr>
        <w:spacing w:before="32"/>
        <w:ind w:left="1147"/>
        <w:rPr>
          <w:sz w:val="16"/>
        </w:rPr>
      </w:pPr>
      <w:r>
        <w:rPr>
          <w:color w:val="231F20"/>
          <w:sz w:val="16"/>
        </w:rPr>
        <w:t>Senegal 66</w:t>
      </w:r>
    </w:p>
    <w:p w14:paraId="168C5947" w14:textId="77777777" w:rsidR="002653E8" w:rsidRDefault="003115E3">
      <w:pPr>
        <w:spacing w:before="33"/>
        <w:ind w:left="1147"/>
        <w:rPr>
          <w:sz w:val="16"/>
        </w:rPr>
      </w:pPr>
      <w:r>
        <w:rPr>
          <w:color w:val="231F20"/>
          <w:sz w:val="16"/>
        </w:rPr>
        <w:t>Senghor, Léopold Sédar 66</w:t>
      </w:r>
    </w:p>
    <w:p w14:paraId="2149B6D6" w14:textId="77777777" w:rsidR="002653E8" w:rsidRDefault="003115E3">
      <w:pPr>
        <w:spacing w:before="32"/>
        <w:ind w:left="1147"/>
        <w:rPr>
          <w:sz w:val="16"/>
        </w:rPr>
      </w:pPr>
      <w:r>
        <w:rPr>
          <w:color w:val="231F20"/>
          <w:sz w:val="16"/>
        </w:rPr>
        <w:t>sexism; counterinsurgency 171</w:t>
      </w:r>
      <w:r>
        <w:rPr>
          <w:i/>
          <w:color w:val="231F20"/>
          <w:sz w:val="16"/>
        </w:rPr>
        <w:t xml:space="preserve">, </w:t>
      </w:r>
      <w:r>
        <w:rPr>
          <w:color w:val="231F20"/>
          <w:sz w:val="16"/>
        </w:rPr>
        <w:t>387</w:t>
      </w:r>
      <w:r>
        <w:rPr>
          <w:i/>
          <w:color w:val="231F20"/>
          <w:sz w:val="16"/>
        </w:rPr>
        <w:t xml:space="preserve">, </w:t>
      </w:r>
      <w:r>
        <w:rPr>
          <w:color w:val="231F20"/>
          <w:sz w:val="16"/>
        </w:rPr>
        <w:t>535;</w:t>
      </w:r>
    </w:p>
    <w:p w14:paraId="23F7F281" w14:textId="77777777" w:rsidR="002653E8" w:rsidRDefault="003115E3">
      <w:pPr>
        <w:spacing w:before="33" w:line="280" w:lineRule="auto"/>
        <w:ind w:left="1147" w:right="277" w:firstLine="200"/>
        <w:rPr>
          <w:sz w:val="16"/>
        </w:rPr>
      </w:pPr>
      <w:r>
        <w:rPr>
          <w:color w:val="231F20"/>
          <w:sz w:val="16"/>
        </w:rPr>
        <w:t>on the left 42</w:t>
      </w:r>
      <w:r>
        <w:rPr>
          <w:i/>
          <w:color w:val="231F20"/>
          <w:sz w:val="16"/>
        </w:rPr>
        <w:t xml:space="preserve">, </w:t>
      </w:r>
      <w:r>
        <w:rPr>
          <w:color w:val="231F20"/>
          <w:sz w:val="16"/>
        </w:rPr>
        <w:t>51</w:t>
      </w:r>
      <w:r>
        <w:rPr>
          <w:i/>
          <w:color w:val="231F20"/>
          <w:sz w:val="16"/>
        </w:rPr>
        <w:t xml:space="preserve">, </w:t>
      </w:r>
      <w:r>
        <w:rPr>
          <w:color w:val="231F20"/>
          <w:sz w:val="16"/>
        </w:rPr>
        <w:t>444</w:t>
      </w:r>
      <w:r>
        <w:rPr>
          <w:i/>
          <w:color w:val="231F20"/>
          <w:sz w:val="16"/>
        </w:rPr>
        <w:t xml:space="preserve">, </w:t>
      </w:r>
      <w:r>
        <w:rPr>
          <w:color w:val="231F20"/>
          <w:sz w:val="16"/>
        </w:rPr>
        <w:t>582–583 Shah of Iran (Pahlavi) 31</w:t>
      </w:r>
      <w:r>
        <w:rPr>
          <w:i/>
          <w:color w:val="231F20"/>
          <w:sz w:val="16"/>
        </w:rPr>
        <w:t xml:space="preserve">, </w:t>
      </w:r>
      <w:r>
        <w:rPr>
          <w:color w:val="231F20"/>
          <w:sz w:val="16"/>
        </w:rPr>
        <w:t>211; men-</w:t>
      </w:r>
    </w:p>
    <w:p w14:paraId="7A1F12A1" w14:textId="77777777" w:rsidR="002653E8" w:rsidRDefault="003115E3">
      <w:pPr>
        <w:spacing w:before="1"/>
        <w:ind w:left="1347"/>
        <w:rPr>
          <w:sz w:val="16"/>
        </w:rPr>
      </w:pPr>
      <w:r>
        <w:rPr>
          <w:color w:val="231F20"/>
          <w:sz w:val="16"/>
        </w:rPr>
        <w:t xml:space="preserve">tioned by </w:t>
      </w:r>
      <w:r w:rsidR="00C507A5">
        <w:rPr>
          <w:color w:val="231F20"/>
          <w:sz w:val="16"/>
        </w:rPr>
        <w:t>red army faction</w:t>
      </w:r>
      <w:r>
        <w:rPr>
          <w:color w:val="231F20"/>
          <w:sz w:val="16"/>
        </w:rPr>
        <w:t xml:space="preserve"> 124</w:t>
      </w:r>
      <w:r>
        <w:rPr>
          <w:i/>
          <w:color w:val="231F20"/>
          <w:sz w:val="16"/>
        </w:rPr>
        <w:t xml:space="preserve">, </w:t>
      </w:r>
      <w:r>
        <w:rPr>
          <w:color w:val="231F20"/>
          <w:sz w:val="16"/>
        </w:rPr>
        <w:t>125</w:t>
      </w:r>
      <w:r>
        <w:rPr>
          <w:i/>
          <w:color w:val="231F20"/>
          <w:sz w:val="16"/>
        </w:rPr>
        <w:t xml:space="preserve">, </w:t>
      </w:r>
      <w:r>
        <w:rPr>
          <w:color w:val="231F20"/>
          <w:sz w:val="16"/>
        </w:rPr>
        <w:t>211; visit to</w:t>
      </w:r>
    </w:p>
    <w:p w14:paraId="151AAD8A" w14:textId="77777777" w:rsidR="002653E8" w:rsidRPr="00846956" w:rsidRDefault="003115E3">
      <w:pPr>
        <w:spacing w:before="32"/>
        <w:ind w:left="1347"/>
        <w:rPr>
          <w:i/>
          <w:sz w:val="16"/>
          <w:lang w:val="de-DE"/>
        </w:rPr>
      </w:pPr>
      <w:r w:rsidRPr="00846956">
        <w:rPr>
          <w:color w:val="231F20"/>
          <w:w w:val="105"/>
          <w:sz w:val="16"/>
          <w:lang w:val="de-DE"/>
        </w:rPr>
        <w:t>West Berlin (1967) 31–32</w:t>
      </w:r>
      <w:r w:rsidRPr="00846956">
        <w:rPr>
          <w:i/>
          <w:color w:val="231F20"/>
          <w:w w:val="105"/>
          <w:sz w:val="16"/>
          <w:lang w:val="de-DE"/>
        </w:rPr>
        <w:t xml:space="preserve">, </w:t>
      </w:r>
      <w:r w:rsidRPr="00846956">
        <w:rPr>
          <w:color w:val="231F20"/>
          <w:w w:val="105"/>
          <w:sz w:val="16"/>
          <w:lang w:val="de-DE"/>
        </w:rPr>
        <w:t>34</w:t>
      </w:r>
      <w:r w:rsidRPr="00846956">
        <w:rPr>
          <w:i/>
          <w:color w:val="231F20"/>
          <w:w w:val="105"/>
          <w:sz w:val="16"/>
          <w:lang w:val="de-DE"/>
        </w:rPr>
        <w:t xml:space="preserve">, </w:t>
      </w:r>
      <w:r w:rsidRPr="00846956">
        <w:rPr>
          <w:color w:val="231F20"/>
          <w:w w:val="105"/>
          <w:sz w:val="16"/>
          <w:lang w:val="de-DE"/>
        </w:rPr>
        <w:t>124</w:t>
      </w:r>
      <w:r w:rsidRPr="00846956">
        <w:rPr>
          <w:i/>
          <w:color w:val="231F20"/>
          <w:w w:val="105"/>
          <w:sz w:val="16"/>
          <w:lang w:val="de-DE"/>
        </w:rPr>
        <w:t>,</w:t>
      </w:r>
    </w:p>
    <w:p w14:paraId="3B805522" w14:textId="77777777" w:rsidR="002653E8" w:rsidRPr="00846956" w:rsidRDefault="003115E3">
      <w:pPr>
        <w:spacing w:before="33"/>
        <w:ind w:left="1347"/>
        <w:rPr>
          <w:sz w:val="16"/>
          <w:lang w:val="de-DE"/>
        </w:rPr>
      </w:pPr>
      <w:r w:rsidRPr="00846956">
        <w:rPr>
          <w:color w:val="231F20"/>
          <w:w w:val="105"/>
          <w:sz w:val="16"/>
          <w:lang w:val="de-DE"/>
        </w:rPr>
        <w:t>125</w:t>
      </w:r>
      <w:r w:rsidRPr="00846956">
        <w:rPr>
          <w:i/>
          <w:color w:val="231F20"/>
          <w:w w:val="105"/>
          <w:sz w:val="16"/>
          <w:lang w:val="de-DE"/>
        </w:rPr>
        <w:t xml:space="preserve">, </w:t>
      </w:r>
      <w:r w:rsidRPr="00846956">
        <w:rPr>
          <w:color w:val="231F20"/>
          <w:w w:val="105"/>
          <w:sz w:val="16"/>
          <w:lang w:val="de-DE"/>
        </w:rPr>
        <w:t>580</w:t>
      </w:r>
    </w:p>
    <w:p w14:paraId="454ED690" w14:textId="77777777" w:rsidR="002653E8" w:rsidRPr="00846956" w:rsidRDefault="003115E3">
      <w:pPr>
        <w:spacing w:before="32" w:line="280" w:lineRule="auto"/>
        <w:ind w:left="1347" w:hanging="200"/>
        <w:rPr>
          <w:sz w:val="16"/>
          <w:lang w:val="de-DE"/>
        </w:rPr>
      </w:pPr>
      <w:r w:rsidRPr="00846956">
        <w:rPr>
          <w:color w:val="231F20"/>
          <w:sz w:val="16"/>
          <w:lang w:val="de-DE"/>
        </w:rPr>
        <w:t>SHB (Sozialdemokratischer Hochschulbund) 23–24</w:t>
      </w:r>
    </w:p>
    <w:p w14:paraId="7C8A2AA6" w14:textId="77777777" w:rsidR="002653E8" w:rsidRDefault="003115E3">
      <w:pPr>
        <w:spacing w:before="1" w:line="280" w:lineRule="auto"/>
        <w:ind w:left="1147" w:right="415"/>
        <w:rPr>
          <w:sz w:val="16"/>
        </w:rPr>
      </w:pPr>
      <w:r>
        <w:rPr>
          <w:color w:val="231F20"/>
          <w:sz w:val="16"/>
        </w:rPr>
        <w:t>Shuller (federal prosecutor) 526 Sidki (president) 233</w:t>
      </w:r>
    </w:p>
    <w:p w14:paraId="5B93286D" w14:textId="77777777" w:rsidR="002653E8" w:rsidRPr="00846956" w:rsidRDefault="003115E3">
      <w:pPr>
        <w:spacing w:before="1"/>
        <w:ind w:left="1147"/>
        <w:rPr>
          <w:sz w:val="16"/>
          <w:lang w:val="de-DE"/>
        </w:rPr>
      </w:pPr>
      <w:r w:rsidRPr="00846956">
        <w:rPr>
          <w:color w:val="231F20"/>
          <w:sz w:val="16"/>
          <w:lang w:val="de-DE"/>
        </w:rPr>
        <w:t>Siemens 618</w:t>
      </w:r>
    </w:p>
    <w:p w14:paraId="3782BCD5" w14:textId="77777777" w:rsidR="002653E8" w:rsidRPr="00846956" w:rsidRDefault="003115E3">
      <w:pPr>
        <w:spacing w:before="33"/>
        <w:ind w:left="1147"/>
        <w:rPr>
          <w:sz w:val="16"/>
          <w:lang w:val="de-DE"/>
        </w:rPr>
      </w:pPr>
      <w:r w:rsidRPr="00846956">
        <w:rPr>
          <w:color w:val="231F20"/>
          <w:sz w:val="16"/>
          <w:lang w:val="de-DE"/>
        </w:rPr>
        <w:t>Siepmann, Eckhard 31</w:t>
      </w:r>
    </w:p>
    <w:p w14:paraId="2D930C0D" w14:textId="77777777" w:rsidR="002653E8" w:rsidRPr="00846956" w:rsidRDefault="003115E3">
      <w:pPr>
        <w:spacing w:before="86"/>
        <w:ind w:left="234"/>
        <w:rPr>
          <w:sz w:val="16"/>
          <w:lang w:val="de-DE"/>
        </w:rPr>
      </w:pPr>
      <w:r w:rsidRPr="00846956">
        <w:rPr>
          <w:lang w:val="de-DE"/>
        </w:rPr>
        <w:br w:type="column"/>
      </w:r>
      <w:r w:rsidRPr="00846956">
        <w:rPr>
          <w:color w:val="231F20"/>
          <w:w w:val="105"/>
          <w:sz w:val="16"/>
          <w:lang w:val="de-DE"/>
        </w:rPr>
        <w:t>Siepmann, Ingrid 328</w:t>
      </w:r>
      <w:r w:rsidRPr="00846956">
        <w:rPr>
          <w:i/>
          <w:color w:val="231F20"/>
          <w:w w:val="105"/>
          <w:sz w:val="16"/>
          <w:lang w:val="de-DE"/>
        </w:rPr>
        <w:t xml:space="preserve">, </w:t>
      </w:r>
      <w:r w:rsidRPr="00846956">
        <w:rPr>
          <w:color w:val="231F20"/>
          <w:w w:val="105"/>
          <w:sz w:val="16"/>
          <w:lang w:val="de-DE"/>
        </w:rPr>
        <w:t>575</w:t>
      </w:r>
      <w:r w:rsidRPr="00846956">
        <w:rPr>
          <w:i/>
          <w:color w:val="231F20"/>
          <w:w w:val="105"/>
          <w:sz w:val="16"/>
          <w:lang w:val="de-DE"/>
        </w:rPr>
        <w:t xml:space="preserve">, </w:t>
      </w:r>
      <w:r w:rsidRPr="00846956">
        <w:rPr>
          <w:color w:val="231F20"/>
          <w:w w:val="105"/>
          <w:sz w:val="16"/>
          <w:lang w:val="de-DE"/>
        </w:rPr>
        <w:t>596</w:t>
      </w:r>
    </w:p>
    <w:p w14:paraId="7D420BF0" w14:textId="77777777" w:rsidR="002653E8" w:rsidRDefault="003115E3">
      <w:pPr>
        <w:spacing w:before="33"/>
        <w:ind w:left="234"/>
        <w:rPr>
          <w:sz w:val="16"/>
        </w:rPr>
      </w:pPr>
      <w:r>
        <w:rPr>
          <w:color w:val="231F20"/>
          <w:w w:val="105"/>
          <w:sz w:val="16"/>
        </w:rPr>
        <w:t>Sigrist, Christian 166</w:t>
      </w:r>
      <w:r>
        <w:rPr>
          <w:i/>
          <w:color w:val="231F20"/>
          <w:w w:val="105"/>
          <w:sz w:val="16"/>
        </w:rPr>
        <w:t xml:space="preserve">, </w:t>
      </w:r>
      <w:r>
        <w:rPr>
          <w:color w:val="231F20"/>
          <w:w w:val="105"/>
          <w:sz w:val="16"/>
        </w:rPr>
        <w:t>249</w:t>
      </w:r>
    </w:p>
    <w:p w14:paraId="69D0DF62" w14:textId="77777777" w:rsidR="002653E8" w:rsidRDefault="003115E3">
      <w:pPr>
        <w:spacing w:before="32"/>
        <w:ind w:left="234"/>
        <w:rPr>
          <w:sz w:val="16"/>
        </w:rPr>
      </w:pPr>
      <w:r>
        <w:rPr>
          <w:color w:val="231F20"/>
          <w:sz w:val="16"/>
        </w:rPr>
        <w:t>Sino-Soviet split 28</w:t>
      </w:r>
      <w:r>
        <w:rPr>
          <w:i/>
          <w:color w:val="231F20"/>
          <w:sz w:val="16"/>
        </w:rPr>
        <w:t xml:space="preserve">, </w:t>
      </w:r>
      <w:r>
        <w:rPr>
          <w:color w:val="231F20"/>
          <w:sz w:val="16"/>
        </w:rPr>
        <w:t>424</w:t>
      </w:r>
      <w:r>
        <w:rPr>
          <w:i/>
          <w:color w:val="231F20"/>
          <w:sz w:val="16"/>
        </w:rPr>
        <w:t xml:space="preserve">, </w:t>
      </w:r>
      <w:r>
        <w:rPr>
          <w:color w:val="231F20"/>
          <w:sz w:val="16"/>
        </w:rPr>
        <w:t>434</w:t>
      </w:r>
    </w:p>
    <w:p w14:paraId="0D16B3B5" w14:textId="77777777" w:rsidR="002653E8" w:rsidRDefault="003115E3">
      <w:pPr>
        <w:spacing w:before="33"/>
        <w:ind w:left="234"/>
        <w:rPr>
          <w:sz w:val="16"/>
        </w:rPr>
      </w:pPr>
      <w:r>
        <w:rPr>
          <w:color w:val="231F20"/>
          <w:sz w:val="16"/>
        </w:rPr>
        <w:t>Sippel, Fritz 600</w:t>
      </w:r>
    </w:p>
    <w:p w14:paraId="3AF8D8F5" w14:textId="77777777" w:rsidR="002653E8" w:rsidRDefault="003115E3">
      <w:pPr>
        <w:spacing w:before="32"/>
        <w:ind w:left="234"/>
        <w:rPr>
          <w:sz w:val="16"/>
        </w:rPr>
      </w:pPr>
      <w:r>
        <w:rPr>
          <w:color w:val="231F20"/>
          <w:sz w:val="16"/>
        </w:rPr>
        <w:t>Sirhan, Sirhan 192</w:t>
      </w:r>
    </w:p>
    <w:p w14:paraId="77A7FD4D" w14:textId="77777777" w:rsidR="002653E8" w:rsidRDefault="003115E3">
      <w:pPr>
        <w:spacing w:before="32"/>
        <w:ind w:left="234"/>
        <w:rPr>
          <w:sz w:val="16"/>
        </w:rPr>
      </w:pPr>
      <w:r>
        <w:rPr>
          <w:color w:val="231F20"/>
          <w:w w:val="105"/>
          <w:sz w:val="16"/>
        </w:rPr>
        <w:t>Six Day War 34</w:t>
      </w:r>
      <w:r>
        <w:rPr>
          <w:i/>
          <w:color w:val="231F20"/>
          <w:w w:val="105"/>
          <w:sz w:val="16"/>
        </w:rPr>
        <w:t xml:space="preserve">, </w:t>
      </w:r>
      <w:r>
        <w:rPr>
          <w:color w:val="231F20"/>
          <w:w w:val="105"/>
          <w:sz w:val="16"/>
        </w:rPr>
        <w:t>206</w:t>
      </w:r>
      <w:r>
        <w:rPr>
          <w:i/>
          <w:color w:val="231F20"/>
          <w:w w:val="105"/>
          <w:sz w:val="16"/>
        </w:rPr>
        <w:t xml:space="preserve">, </w:t>
      </w:r>
      <w:r>
        <w:rPr>
          <w:color w:val="231F20"/>
          <w:w w:val="105"/>
          <w:sz w:val="16"/>
        </w:rPr>
        <w:t>551–552</w:t>
      </w:r>
      <w:r>
        <w:rPr>
          <w:i/>
          <w:color w:val="231F20"/>
          <w:w w:val="105"/>
          <w:sz w:val="16"/>
        </w:rPr>
        <w:t xml:space="preserve">, </w:t>
      </w:r>
      <w:r>
        <w:rPr>
          <w:color w:val="231F20"/>
          <w:w w:val="105"/>
          <w:sz w:val="16"/>
        </w:rPr>
        <w:t>580–581;</w:t>
      </w:r>
    </w:p>
    <w:p w14:paraId="02AD6C10" w14:textId="77777777" w:rsidR="002653E8" w:rsidRDefault="003115E3">
      <w:pPr>
        <w:spacing w:before="33" w:line="280" w:lineRule="auto"/>
        <w:ind w:left="434" w:right="1412"/>
        <w:rPr>
          <w:sz w:val="16"/>
        </w:rPr>
      </w:pPr>
      <w:r>
        <w:rPr>
          <w:color w:val="231F20"/>
          <w:sz w:val="16"/>
        </w:rPr>
        <w:t>New Left reaction 34</w:t>
      </w:r>
      <w:r>
        <w:rPr>
          <w:i/>
          <w:color w:val="231F20"/>
          <w:sz w:val="16"/>
        </w:rPr>
        <w:t xml:space="preserve">, </w:t>
      </w:r>
      <w:r>
        <w:rPr>
          <w:color w:val="231F20"/>
          <w:sz w:val="16"/>
        </w:rPr>
        <w:t>553; West German reaction 34</w:t>
      </w:r>
      <w:r>
        <w:rPr>
          <w:i/>
          <w:color w:val="231F20"/>
          <w:sz w:val="16"/>
        </w:rPr>
        <w:t xml:space="preserve">, </w:t>
      </w:r>
      <w:r>
        <w:rPr>
          <w:color w:val="231F20"/>
          <w:sz w:val="16"/>
        </w:rPr>
        <w:t>207</w:t>
      </w:r>
      <w:r>
        <w:rPr>
          <w:i/>
          <w:color w:val="231F20"/>
          <w:sz w:val="16"/>
        </w:rPr>
        <w:t xml:space="preserve">, </w:t>
      </w:r>
      <w:r>
        <w:rPr>
          <w:color w:val="231F20"/>
          <w:sz w:val="16"/>
        </w:rPr>
        <w:t>552–553</w:t>
      </w:r>
    </w:p>
    <w:p w14:paraId="5217434E" w14:textId="77777777" w:rsidR="002653E8" w:rsidRDefault="003115E3">
      <w:pPr>
        <w:spacing w:before="1"/>
        <w:ind w:left="234"/>
        <w:rPr>
          <w:sz w:val="16"/>
        </w:rPr>
      </w:pPr>
      <w:r>
        <w:rPr>
          <w:color w:val="231F20"/>
          <w:sz w:val="16"/>
        </w:rPr>
        <w:t>skyjackings 194</w:t>
      </w:r>
      <w:r>
        <w:rPr>
          <w:i/>
          <w:color w:val="231F20"/>
          <w:sz w:val="16"/>
        </w:rPr>
        <w:t xml:space="preserve">, </w:t>
      </w:r>
      <w:r>
        <w:rPr>
          <w:color w:val="231F20"/>
          <w:sz w:val="16"/>
        </w:rPr>
        <w:t>332; Air France/Entebbe</w:t>
      </w:r>
    </w:p>
    <w:p w14:paraId="617DE898" w14:textId="77777777" w:rsidR="002653E8" w:rsidRDefault="003115E3">
      <w:pPr>
        <w:spacing w:before="32"/>
        <w:ind w:left="434"/>
        <w:rPr>
          <w:sz w:val="16"/>
        </w:rPr>
      </w:pPr>
      <w:r>
        <w:rPr>
          <w:color w:val="231F20"/>
          <w:w w:val="105"/>
          <w:sz w:val="16"/>
        </w:rPr>
        <w:t>(1976) 439–441</w:t>
      </w:r>
      <w:r>
        <w:rPr>
          <w:i/>
          <w:color w:val="231F20"/>
          <w:w w:val="105"/>
          <w:sz w:val="16"/>
        </w:rPr>
        <w:t xml:space="preserve">, </w:t>
      </w:r>
      <w:r>
        <w:rPr>
          <w:color w:val="231F20"/>
          <w:w w:val="105"/>
          <w:sz w:val="16"/>
        </w:rPr>
        <w:t>504</w:t>
      </w:r>
      <w:r>
        <w:rPr>
          <w:i/>
          <w:color w:val="231F20"/>
          <w:w w:val="105"/>
          <w:sz w:val="16"/>
        </w:rPr>
        <w:t xml:space="preserve">, </w:t>
      </w:r>
      <w:r>
        <w:rPr>
          <w:color w:val="231F20"/>
          <w:w w:val="105"/>
          <w:sz w:val="16"/>
        </w:rPr>
        <w:t>559</w:t>
      </w:r>
      <w:r>
        <w:rPr>
          <w:i/>
          <w:color w:val="231F20"/>
          <w:w w:val="105"/>
          <w:sz w:val="16"/>
        </w:rPr>
        <w:t xml:space="preserve">, </w:t>
      </w:r>
      <w:r>
        <w:rPr>
          <w:color w:val="231F20"/>
          <w:w w:val="105"/>
          <w:sz w:val="16"/>
        </w:rPr>
        <w:t>561;</w:t>
      </w:r>
    </w:p>
    <w:p w14:paraId="3650F738" w14:textId="77777777" w:rsidR="002653E8" w:rsidRDefault="003115E3">
      <w:pPr>
        <w:spacing w:before="33"/>
        <w:ind w:left="434"/>
        <w:rPr>
          <w:sz w:val="16"/>
        </w:rPr>
      </w:pPr>
      <w:r>
        <w:rPr>
          <w:color w:val="231F20"/>
          <w:w w:val="105"/>
          <w:sz w:val="16"/>
        </w:rPr>
        <w:t>Dawson’s Field (1970) 56</w:t>
      </w:r>
      <w:r>
        <w:rPr>
          <w:i/>
          <w:color w:val="231F20"/>
          <w:w w:val="105"/>
          <w:sz w:val="16"/>
        </w:rPr>
        <w:t xml:space="preserve">, </w:t>
      </w:r>
      <w:r>
        <w:rPr>
          <w:color w:val="231F20"/>
          <w:w w:val="105"/>
          <w:sz w:val="16"/>
        </w:rPr>
        <w:t>559</w:t>
      </w:r>
      <w:r>
        <w:rPr>
          <w:i/>
          <w:color w:val="231F20"/>
          <w:w w:val="105"/>
          <w:sz w:val="16"/>
        </w:rPr>
        <w:t xml:space="preserve">, </w:t>
      </w:r>
      <w:r>
        <w:rPr>
          <w:color w:val="231F20"/>
          <w:w w:val="105"/>
          <w:sz w:val="16"/>
        </w:rPr>
        <w:t>584;</w:t>
      </w:r>
    </w:p>
    <w:p w14:paraId="5B28FDAD" w14:textId="77777777" w:rsidR="002653E8" w:rsidRDefault="003115E3">
      <w:pPr>
        <w:spacing w:before="32"/>
        <w:ind w:left="434"/>
        <w:rPr>
          <w:sz w:val="16"/>
        </w:rPr>
      </w:pPr>
      <w:r>
        <w:rPr>
          <w:color w:val="231F20"/>
          <w:sz w:val="16"/>
        </w:rPr>
        <w:t>Istanbul airport (1976) 481; Lufthansa</w:t>
      </w:r>
    </w:p>
    <w:p w14:paraId="4E98C9FC" w14:textId="77777777" w:rsidR="002653E8" w:rsidRDefault="003115E3">
      <w:pPr>
        <w:spacing w:before="33"/>
        <w:ind w:left="434"/>
        <w:rPr>
          <w:sz w:val="16"/>
        </w:rPr>
      </w:pPr>
      <w:r>
        <w:rPr>
          <w:color w:val="231F20"/>
          <w:sz w:val="16"/>
        </w:rPr>
        <w:t>(1972) 191</w:t>
      </w:r>
      <w:r>
        <w:rPr>
          <w:i/>
          <w:color w:val="231F20"/>
          <w:sz w:val="16"/>
        </w:rPr>
        <w:t xml:space="preserve">, </w:t>
      </w:r>
      <w:r>
        <w:rPr>
          <w:color w:val="231F20"/>
          <w:sz w:val="16"/>
        </w:rPr>
        <w:t>592; Lufthansa/Mogadi-</w:t>
      </w:r>
    </w:p>
    <w:p w14:paraId="5689B737" w14:textId="77777777" w:rsidR="002653E8" w:rsidRDefault="003115E3">
      <w:pPr>
        <w:spacing w:before="32"/>
        <w:ind w:left="434"/>
        <w:rPr>
          <w:i/>
          <w:sz w:val="16"/>
        </w:rPr>
      </w:pPr>
      <w:r>
        <w:rPr>
          <w:color w:val="231F20"/>
          <w:w w:val="105"/>
          <w:sz w:val="16"/>
        </w:rPr>
        <w:t>shu (1977) 481–485</w:t>
      </w:r>
      <w:r>
        <w:rPr>
          <w:i/>
          <w:color w:val="231F20"/>
          <w:w w:val="105"/>
          <w:sz w:val="16"/>
        </w:rPr>
        <w:t xml:space="preserve">, </w:t>
      </w:r>
      <w:r>
        <w:rPr>
          <w:color w:val="231F20"/>
          <w:w w:val="105"/>
          <w:sz w:val="16"/>
        </w:rPr>
        <w:t>515</w:t>
      </w:r>
      <w:r>
        <w:rPr>
          <w:i/>
          <w:color w:val="231F20"/>
          <w:w w:val="105"/>
          <w:sz w:val="16"/>
        </w:rPr>
        <w:t xml:space="preserve">, </w:t>
      </w:r>
      <w:r>
        <w:rPr>
          <w:color w:val="231F20"/>
          <w:w w:val="105"/>
          <w:sz w:val="16"/>
        </w:rPr>
        <w:t>529</w:t>
      </w:r>
      <w:r>
        <w:rPr>
          <w:i/>
          <w:color w:val="231F20"/>
          <w:w w:val="105"/>
          <w:sz w:val="16"/>
        </w:rPr>
        <w:t xml:space="preserve">, </w:t>
      </w:r>
      <w:r>
        <w:rPr>
          <w:color w:val="231F20"/>
          <w:w w:val="105"/>
          <w:sz w:val="16"/>
        </w:rPr>
        <w:t>559</w:t>
      </w:r>
      <w:r>
        <w:rPr>
          <w:i/>
          <w:color w:val="231F20"/>
          <w:w w:val="105"/>
          <w:sz w:val="16"/>
        </w:rPr>
        <w:t>,</w:t>
      </w:r>
    </w:p>
    <w:p w14:paraId="7C469DAE" w14:textId="77777777" w:rsidR="002653E8" w:rsidRDefault="003115E3">
      <w:pPr>
        <w:spacing w:before="32"/>
        <w:ind w:left="434"/>
        <w:rPr>
          <w:i/>
          <w:sz w:val="16"/>
        </w:rPr>
      </w:pPr>
      <w:r>
        <w:rPr>
          <w:color w:val="231F20"/>
          <w:sz w:val="16"/>
        </w:rPr>
        <w:t>561; Sabena/Lod airport (1972) 188</w:t>
      </w:r>
      <w:r>
        <w:rPr>
          <w:i/>
          <w:color w:val="231F20"/>
          <w:sz w:val="16"/>
        </w:rPr>
        <w:t>,</w:t>
      </w:r>
    </w:p>
    <w:p w14:paraId="3C1C2136" w14:textId="77777777" w:rsidR="002653E8" w:rsidRDefault="003115E3">
      <w:pPr>
        <w:spacing w:before="33"/>
        <w:ind w:left="434"/>
        <w:rPr>
          <w:sz w:val="16"/>
        </w:rPr>
      </w:pPr>
      <w:r>
        <w:rPr>
          <w:color w:val="231F20"/>
          <w:sz w:val="16"/>
        </w:rPr>
        <w:t>231</w:t>
      </w:r>
    </w:p>
    <w:p w14:paraId="1E32D7FB" w14:textId="77777777" w:rsidR="002653E8" w:rsidRDefault="003115E3">
      <w:pPr>
        <w:spacing w:before="32" w:line="280" w:lineRule="auto"/>
        <w:ind w:left="434" w:right="1412" w:hanging="200"/>
        <w:rPr>
          <w:i/>
          <w:sz w:val="16"/>
        </w:rPr>
      </w:pPr>
      <w:r>
        <w:rPr>
          <w:color w:val="231F20"/>
          <w:sz w:val="16"/>
        </w:rPr>
        <w:t>Socialist Lawyers Collective; Hamburg 247; Stuttgart 246; West Berlin 39</w:t>
      </w:r>
      <w:r>
        <w:rPr>
          <w:i/>
          <w:color w:val="231F20"/>
          <w:sz w:val="16"/>
        </w:rPr>
        <w:t>,</w:t>
      </w:r>
    </w:p>
    <w:p w14:paraId="1F9476FA" w14:textId="77777777" w:rsidR="002653E8" w:rsidRDefault="003115E3">
      <w:pPr>
        <w:spacing w:before="1"/>
        <w:ind w:left="434"/>
        <w:rPr>
          <w:sz w:val="16"/>
        </w:rPr>
      </w:pPr>
      <w:r>
        <w:rPr>
          <w:color w:val="231F20"/>
          <w:sz w:val="16"/>
        </w:rPr>
        <w:t>246</w:t>
      </w:r>
    </w:p>
    <w:p w14:paraId="1DA5108A" w14:textId="77777777" w:rsidR="002653E8" w:rsidRDefault="003115E3">
      <w:pPr>
        <w:spacing w:before="33" w:line="280" w:lineRule="auto"/>
        <w:ind w:left="234" w:right="2116"/>
        <w:rPr>
          <w:sz w:val="16"/>
        </w:rPr>
      </w:pPr>
      <w:r>
        <w:rPr>
          <w:color w:val="231F20"/>
          <w:sz w:val="16"/>
        </w:rPr>
        <w:t>Socialist Reich Party 20 Socialist Student Initiative 264</w:t>
      </w:r>
    </w:p>
    <w:p w14:paraId="60784F0E" w14:textId="77777777" w:rsidR="002653E8" w:rsidRDefault="003115E3">
      <w:pPr>
        <w:spacing w:before="1" w:line="280" w:lineRule="auto"/>
        <w:ind w:left="434" w:right="1414" w:hanging="200"/>
        <w:rPr>
          <w:i/>
          <w:sz w:val="16"/>
        </w:rPr>
      </w:pPr>
      <w:r>
        <w:rPr>
          <w:color w:val="231F20"/>
          <w:sz w:val="16"/>
        </w:rPr>
        <w:t xml:space="preserve">Social-Liberal Brandt-Scheel Government </w:t>
      </w:r>
      <w:r>
        <w:rPr>
          <w:color w:val="231F20"/>
          <w:w w:val="105"/>
          <w:sz w:val="16"/>
        </w:rPr>
        <w:t>(1969-1974) 41–42</w:t>
      </w:r>
      <w:r>
        <w:rPr>
          <w:i/>
          <w:color w:val="231F20"/>
          <w:w w:val="105"/>
          <w:sz w:val="16"/>
        </w:rPr>
        <w:t xml:space="preserve">, </w:t>
      </w:r>
      <w:r>
        <w:rPr>
          <w:color w:val="231F20"/>
          <w:w w:val="105"/>
          <w:sz w:val="16"/>
        </w:rPr>
        <w:t>115</w:t>
      </w:r>
      <w:r>
        <w:rPr>
          <w:i/>
          <w:color w:val="231F20"/>
          <w:w w:val="105"/>
          <w:sz w:val="16"/>
        </w:rPr>
        <w:t xml:space="preserve">, </w:t>
      </w:r>
      <w:r>
        <w:rPr>
          <w:color w:val="231F20"/>
          <w:w w:val="105"/>
          <w:sz w:val="16"/>
        </w:rPr>
        <w:t>116</w:t>
      </w:r>
      <w:r>
        <w:rPr>
          <w:i/>
          <w:color w:val="231F20"/>
          <w:w w:val="105"/>
          <w:sz w:val="16"/>
        </w:rPr>
        <w:t xml:space="preserve">, </w:t>
      </w:r>
      <w:r>
        <w:rPr>
          <w:color w:val="231F20"/>
          <w:w w:val="105"/>
          <w:sz w:val="16"/>
        </w:rPr>
        <w:t>584</w:t>
      </w:r>
      <w:r>
        <w:rPr>
          <w:i/>
          <w:color w:val="231F20"/>
          <w:w w:val="105"/>
          <w:sz w:val="16"/>
        </w:rPr>
        <w:t>,</w:t>
      </w:r>
    </w:p>
    <w:p w14:paraId="027DAC86" w14:textId="77777777" w:rsidR="002653E8" w:rsidRDefault="003115E3">
      <w:pPr>
        <w:spacing w:before="1" w:line="280" w:lineRule="auto"/>
        <w:ind w:left="434" w:right="1353"/>
        <w:jc w:val="both"/>
        <w:rPr>
          <w:i/>
          <w:sz w:val="16"/>
        </w:rPr>
      </w:pPr>
      <w:r>
        <w:rPr>
          <w:color w:val="231F20"/>
          <w:w w:val="105"/>
          <w:sz w:val="16"/>
        </w:rPr>
        <w:t>589</w:t>
      </w:r>
      <w:r>
        <w:rPr>
          <w:i/>
          <w:color w:val="231F20"/>
          <w:w w:val="105"/>
          <w:sz w:val="16"/>
        </w:rPr>
        <w:t>,</w:t>
      </w:r>
      <w:r>
        <w:rPr>
          <w:i/>
          <w:color w:val="231F20"/>
          <w:spacing w:val="-14"/>
          <w:w w:val="105"/>
          <w:sz w:val="16"/>
        </w:rPr>
        <w:t xml:space="preserve"> </w:t>
      </w:r>
      <w:r>
        <w:rPr>
          <w:color w:val="231F20"/>
          <w:w w:val="105"/>
          <w:sz w:val="16"/>
        </w:rPr>
        <w:t>594</w:t>
      </w:r>
      <w:r>
        <w:rPr>
          <w:i/>
          <w:color w:val="231F20"/>
          <w:w w:val="105"/>
          <w:sz w:val="16"/>
        </w:rPr>
        <w:t>.</w:t>
      </w:r>
      <w:r>
        <w:rPr>
          <w:i/>
          <w:color w:val="231F20"/>
          <w:spacing w:val="-14"/>
          <w:w w:val="105"/>
          <w:sz w:val="16"/>
        </w:rPr>
        <w:t xml:space="preserve"> </w:t>
      </w:r>
      <w:r>
        <w:rPr>
          <w:i/>
          <w:color w:val="231F20"/>
          <w:w w:val="105"/>
          <w:sz w:val="16"/>
        </w:rPr>
        <w:t>See</w:t>
      </w:r>
      <w:r>
        <w:rPr>
          <w:i/>
          <w:color w:val="231F20"/>
          <w:spacing w:val="-10"/>
          <w:w w:val="105"/>
          <w:sz w:val="16"/>
        </w:rPr>
        <w:t xml:space="preserve"> </w:t>
      </w:r>
      <w:r>
        <w:rPr>
          <w:i/>
          <w:color w:val="231F20"/>
          <w:w w:val="105"/>
          <w:sz w:val="16"/>
        </w:rPr>
        <w:t>also</w:t>
      </w:r>
      <w:r>
        <w:rPr>
          <w:i/>
          <w:color w:val="231F20"/>
          <w:spacing w:val="-10"/>
          <w:w w:val="105"/>
          <w:sz w:val="16"/>
        </w:rPr>
        <w:t xml:space="preserve"> </w:t>
      </w:r>
      <w:r>
        <w:rPr>
          <w:color w:val="231F20"/>
          <w:w w:val="105"/>
          <w:sz w:val="16"/>
        </w:rPr>
        <w:t>amnesty</w:t>
      </w:r>
      <w:r>
        <w:rPr>
          <w:color w:val="231F20"/>
          <w:spacing w:val="-10"/>
          <w:w w:val="105"/>
          <w:sz w:val="16"/>
        </w:rPr>
        <w:t xml:space="preserve"> </w:t>
      </w:r>
      <w:r>
        <w:rPr>
          <w:color w:val="231F20"/>
          <w:w w:val="105"/>
          <w:sz w:val="16"/>
        </w:rPr>
        <w:t>(1970)</w:t>
      </w:r>
      <w:r>
        <w:rPr>
          <w:i/>
          <w:color w:val="231F20"/>
          <w:w w:val="105"/>
          <w:sz w:val="16"/>
        </w:rPr>
        <w:t>;</w:t>
      </w:r>
      <w:r>
        <w:rPr>
          <w:i/>
          <w:color w:val="231F20"/>
          <w:spacing w:val="-10"/>
          <w:w w:val="105"/>
          <w:sz w:val="16"/>
        </w:rPr>
        <w:t xml:space="preserve"> </w:t>
      </w:r>
      <w:r>
        <w:rPr>
          <w:i/>
          <w:color w:val="231F20"/>
          <w:w w:val="105"/>
          <w:sz w:val="16"/>
        </w:rPr>
        <w:t>See also</w:t>
      </w:r>
      <w:r>
        <w:rPr>
          <w:i/>
          <w:color w:val="231F20"/>
          <w:spacing w:val="-12"/>
          <w:w w:val="105"/>
          <w:sz w:val="16"/>
        </w:rPr>
        <w:t xml:space="preserve"> </w:t>
      </w:r>
      <w:r>
        <w:rPr>
          <w:color w:val="231F20"/>
          <w:w w:val="105"/>
          <w:sz w:val="16"/>
        </w:rPr>
        <w:t>Foreigners</w:t>
      </w:r>
      <w:r>
        <w:rPr>
          <w:color w:val="231F20"/>
          <w:spacing w:val="-16"/>
          <w:w w:val="105"/>
          <w:sz w:val="16"/>
        </w:rPr>
        <w:t xml:space="preserve"> </w:t>
      </w:r>
      <w:r>
        <w:rPr>
          <w:color w:val="231F20"/>
          <w:w w:val="105"/>
          <w:sz w:val="16"/>
        </w:rPr>
        <w:t>Act;</w:t>
      </w:r>
      <w:r>
        <w:rPr>
          <w:color w:val="231F20"/>
          <w:spacing w:val="-12"/>
          <w:w w:val="105"/>
          <w:sz w:val="16"/>
        </w:rPr>
        <w:t xml:space="preserve"> </w:t>
      </w:r>
      <w:r>
        <w:rPr>
          <w:color w:val="231F20"/>
          <w:w w:val="105"/>
          <w:sz w:val="16"/>
        </w:rPr>
        <w:t>mentioned</w:t>
      </w:r>
      <w:r>
        <w:rPr>
          <w:color w:val="231F20"/>
          <w:spacing w:val="-12"/>
          <w:w w:val="105"/>
          <w:sz w:val="16"/>
        </w:rPr>
        <w:t xml:space="preserve"> </w:t>
      </w:r>
      <w:r>
        <w:rPr>
          <w:color w:val="231F20"/>
          <w:w w:val="105"/>
          <w:sz w:val="16"/>
        </w:rPr>
        <w:t>by</w:t>
      </w:r>
      <w:r>
        <w:rPr>
          <w:color w:val="231F20"/>
          <w:spacing w:val="-12"/>
          <w:w w:val="105"/>
          <w:sz w:val="16"/>
        </w:rPr>
        <w:t xml:space="preserve"> </w:t>
      </w:r>
      <w:r w:rsidR="00C507A5">
        <w:rPr>
          <w:color w:val="231F20"/>
          <w:w w:val="105"/>
          <w:sz w:val="16"/>
        </w:rPr>
        <w:t>red army faction</w:t>
      </w:r>
      <w:r>
        <w:rPr>
          <w:color w:val="231F20"/>
          <w:w w:val="105"/>
          <w:sz w:val="16"/>
        </w:rPr>
        <w:t xml:space="preserve"> 88</w:t>
      </w:r>
      <w:r>
        <w:rPr>
          <w:i/>
          <w:color w:val="231F20"/>
          <w:w w:val="105"/>
          <w:sz w:val="16"/>
        </w:rPr>
        <w:t xml:space="preserve">, </w:t>
      </w:r>
      <w:r>
        <w:rPr>
          <w:color w:val="231F20"/>
          <w:w w:val="105"/>
          <w:sz w:val="16"/>
        </w:rPr>
        <w:t>101</w:t>
      </w:r>
      <w:r>
        <w:rPr>
          <w:i/>
          <w:color w:val="231F20"/>
          <w:w w:val="105"/>
          <w:sz w:val="16"/>
        </w:rPr>
        <w:t xml:space="preserve">, </w:t>
      </w:r>
      <w:r>
        <w:rPr>
          <w:color w:val="231F20"/>
          <w:w w:val="105"/>
          <w:sz w:val="16"/>
        </w:rPr>
        <w:t>128</w:t>
      </w:r>
      <w:r>
        <w:rPr>
          <w:i/>
          <w:color w:val="231F20"/>
          <w:w w:val="105"/>
          <w:sz w:val="16"/>
        </w:rPr>
        <w:t xml:space="preserve">, </w:t>
      </w:r>
      <w:r>
        <w:rPr>
          <w:color w:val="231F20"/>
          <w:w w:val="105"/>
          <w:sz w:val="16"/>
        </w:rPr>
        <w:t>148–149</w:t>
      </w:r>
      <w:r>
        <w:rPr>
          <w:i/>
          <w:color w:val="231F20"/>
          <w:w w:val="105"/>
          <w:sz w:val="16"/>
        </w:rPr>
        <w:t xml:space="preserve">, </w:t>
      </w:r>
      <w:r>
        <w:rPr>
          <w:color w:val="231F20"/>
          <w:w w:val="105"/>
          <w:sz w:val="16"/>
        </w:rPr>
        <w:t>214</w:t>
      </w:r>
      <w:r>
        <w:rPr>
          <w:i/>
          <w:color w:val="231F20"/>
          <w:w w:val="105"/>
          <w:sz w:val="16"/>
        </w:rPr>
        <w:t>,</w:t>
      </w:r>
      <w:r>
        <w:rPr>
          <w:i/>
          <w:color w:val="231F20"/>
          <w:spacing w:val="-22"/>
          <w:w w:val="105"/>
          <w:sz w:val="16"/>
        </w:rPr>
        <w:t xml:space="preserve"> </w:t>
      </w:r>
      <w:r>
        <w:rPr>
          <w:color w:val="231F20"/>
          <w:w w:val="105"/>
          <w:sz w:val="16"/>
        </w:rPr>
        <w:t>225–226</w:t>
      </w:r>
      <w:r>
        <w:rPr>
          <w:i/>
          <w:color w:val="231F20"/>
          <w:w w:val="105"/>
          <w:sz w:val="16"/>
        </w:rPr>
        <w:t>,</w:t>
      </w:r>
    </w:p>
    <w:p w14:paraId="2A503B64" w14:textId="77777777" w:rsidR="002653E8" w:rsidRDefault="003115E3">
      <w:pPr>
        <w:spacing w:before="1"/>
        <w:ind w:left="434"/>
        <w:rPr>
          <w:i/>
          <w:sz w:val="16"/>
        </w:rPr>
      </w:pPr>
      <w:r>
        <w:rPr>
          <w:color w:val="231F20"/>
          <w:w w:val="110"/>
          <w:sz w:val="16"/>
        </w:rPr>
        <w:t>228–229</w:t>
      </w:r>
      <w:r>
        <w:rPr>
          <w:i/>
          <w:color w:val="231F20"/>
          <w:w w:val="110"/>
          <w:sz w:val="16"/>
        </w:rPr>
        <w:t xml:space="preserve">, </w:t>
      </w:r>
      <w:r>
        <w:rPr>
          <w:color w:val="231F20"/>
          <w:w w:val="110"/>
          <w:sz w:val="16"/>
        </w:rPr>
        <w:t>229–230</w:t>
      </w:r>
      <w:r>
        <w:rPr>
          <w:i/>
          <w:color w:val="231F20"/>
          <w:w w:val="110"/>
          <w:sz w:val="16"/>
        </w:rPr>
        <w:t xml:space="preserve">, </w:t>
      </w:r>
      <w:r>
        <w:rPr>
          <w:color w:val="231F20"/>
          <w:w w:val="110"/>
          <w:sz w:val="16"/>
        </w:rPr>
        <w:t>233</w:t>
      </w:r>
      <w:r>
        <w:rPr>
          <w:i/>
          <w:color w:val="231F20"/>
          <w:w w:val="110"/>
          <w:sz w:val="16"/>
        </w:rPr>
        <w:t xml:space="preserve">, </w:t>
      </w:r>
      <w:r>
        <w:rPr>
          <w:color w:val="231F20"/>
          <w:w w:val="110"/>
          <w:sz w:val="16"/>
        </w:rPr>
        <w:t>234</w:t>
      </w:r>
      <w:r>
        <w:rPr>
          <w:i/>
          <w:color w:val="231F20"/>
          <w:w w:val="110"/>
          <w:sz w:val="16"/>
        </w:rPr>
        <w:t xml:space="preserve">, </w:t>
      </w:r>
      <w:r>
        <w:rPr>
          <w:color w:val="231F20"/>
          <w:w w:val="110"/>
          <w:sz w:val="16"/>
        </w:rPr>
        <w:t>414</w:t>
      </w:r>
      <w:r>
        <w:rPr>
          <w:i/>
          <w:color w:val="231F20"/>
          <w:w w:val="110"/>
          <w:sz w:val="16"/>
        </w:rPr>
        <w:t>,</w:t>
      </w:r>
    </w:p>
    <w:p w14:paraId="63033356" w14:textId="77777777" w:rsidR="002653E8" w:rsidRDefault="003115E3">
      <w:pPr>
        <w:spacing w:before="33"/>
        <w:ind w:left="434"/>
        <w:rPr>
          <w:sz w:val="16"/>
        </w:rPr>
      </w:pPr>
      <w:r>
        <w:rPr>
          <w:color w:val="231F20"/>
          <w:w w:val="105"/>
          <w:sz w:val="16"/>
        </w:rPr>
        <w:t>424</w:t>
      </w:r>
      <w:r>
        <w:rPr>
          <w:i/>
          <w:color w:val="231F20"/>
          <w:w w:val="105"/>
          <w:sz w:val="16"/>
        </w:rPr>
        <w:t xml:space="preserve">, </w:t>
      </w:r>
      <w:r>
        <w:rPr>
          <w:color w:val="231F20"/>
          <w:w w:val="105"/>
          <w:sz w:val="16"/>
        </w:rPr>
        <w:t>433</w:t>
      </w:r>
    </w:p>
    <w:p w14:paraId="0CD54A14" w14:textId="77777777" w:rsidR="002653E8" w:rsidRDefault="003115E3">
      <w:pPr>
        <w:spacing w:before="32" w:line="280" w:lineRule="auto"/>
        <w:ind w:left="434" w:right="1412" w:hanging="200"/>
        <w:rPr>
          <w:i/>
          <w:sz w:val="16"/>
        </w:rPr>
      </w:pPr>
      <w:r>
        <w:rPr>
          <w:color w:val="231F20"/>
          <w:sz w:val="16"/>
        </w:rPr>
        <w:t>Social-Liberal Schmidt-Genscher Government (1974-1982) 433</w:t>
      </w:r>
      <w:r>
        <w:rPr>
          <w:i/>
          <w:color w:val="231F20"/>
          <w:sz w:val="16"/>
        </w:rPr>
        <w:t xml:space="preserve">, </w:t>
      </w:r>
      <w:r>
        <w:rPr>
          <w:color w:val="231F20"/>
          <w:sz w:val="16"/>
        </w:rPr>
        <w:t>449</w:t>
      </w:r>
      <w:r>
        <w:rPr>
          <w:i/>
          <w:color w:val="231F20"/>
          <w:sz w:val="16"/>
        </w:rPr>
        <w:t xml:space="preserve">, </w:t>
      </w:r>
      <w:r>
        <w:rPr>
          <w:color w:val="231F20"/>
          <w:sz w:val="16"/>
        </w:rPr>
        <w:t>454</w:t>
      </w:r>
      <w:r>
        <w:rPr>
          <w:i/>
          <w:color w:val="231F20"/>
          <w:sz w:val="16"/>
        </w:rPr>
        <w:t>,</w:t>
      </w:r>
    </w:p>
    <w:p w14:paraId="6D87A0F4" w14:textId="77777777" w:rsidR="002653E8" w:rsidRDefault="003115E3">
      <w:pPr>
        <w:spacing w:before="1" w:line="280" w:lineRule="auto"/>
        <w:ind w:left="434" w:right="1519"/>
        <w:jc w:val="both"/>
        <w:rPr>
          <w:sz w:val="16"/>
        </w:rPr>
      </w:pPr>
      <w:r>
        <w:rPr>
          <w:color w:val="231F20"/>
          <w:w w:val="105"/>
          <w:sz w:val="16"/>
        </w:rPr>
        <w:t>594</w:t>
      </w:r>
      <w:r>
        <w:rPr>
          <w:i/>
          <w:color w:val="231F20"/>
          <w:w w:val="105"/>
          <w:sz w:val="16"/>
        </w:rPr>
        <w:t>.</w:t>
      </w:r>
      <w:r>
        <w:rPr>
          <w:i/>
          <w:color w:val="231F20"/>
          <w:spacing w:val="-11"/>
          <w:w w:val="105"/>
          <w:sz w:val="16"/>
        </w:rPr>
        <w:t xml:space="preserve"> </w:t>
      </w:r>
      <w:r>
        <w:rPr>
          <w:i/>
          <w:color w:val="231F20"/>
          <w:w w:val="105"/>
          <w:sz w:val="16"/>
        </w:rPr>
        <w:t>See</w:t>
      </w:r>
      <w:r>
        <w:rPr>
          <w:i/>
          <w:color w:val="231F20"/>
          <w:spacing w:val="-7"/>
          <w:w w:val="105"/>
          <w:sz w:val="16"/>
        </w:rPr>
        <w:t xml:space="preserve"> </w:t>
      </w:r>
      <w:r>
        <w:rPr>
          <w:i/>
          <w:color w:val="231F20"/>
          <w:w w:val="105"/>
          <w:sz w:val="16"/>
        </w:rPr>
        <w:t>also</w:t>
      </w:r>
      <w:r>
        <w:rPr>
          <w:i/>
          <w:color w:val="231F20"/>
          <w:spacing w:val="-7"/>
          <w:w w:val="105"/>
          <w:sz w:val="16"/>
        </w:rPr>
        <w:t xml:space="preserve"> </w:t>
      </w:r>
      <w:r>
        <w:rPr>
          <w:color w:val="231F20"/>
          <w:w w:val="105"/>
          <w:sz w:val="16"/>
        </w:rPr>
        <w:t>Schmidt,</w:t>
      </w:r>
      <w:r>
        <w:rPr>
          <w:color w:val="231F20"/>
          <w:spacing w:val="-11"/>
          <w:w w:val="105"/>
          <w:sz w:val="16"/>
        </w:rPr>
        <w:t xml:space="preserve"> </w:t>
      </w:r>
      <w:r>
        <w:rPr>
          <w:color w:val="231F20"/>
          <w:w w:val="105"/>
          <w:sz w:val="16"/>
        </w:rPr>
        <w:t>Helmut;</w:t>
      </w:r>
      <w:r>
        <w:rPr>
          <w:color w:val="231F20"/>
          <w:spacing w:val="-7"/>
          <w:w w:val="105"/>
          <w:sz w:val="16"/>
        </w:rPr>
        <w:t xml:space="preserve"> </w:t>
      </w:r>
      <w:r>
        <w:rPr>
          <w:color w:val="231F20"/>
          <w:w w:val="105"/>
          <w:sz w:val="16"/>
        </w:rPr>
        <w:t>lurch to the right 525</w:t>
      </w:r>
      <w:r>
        <w:rPr>
          <w:i/>
          <w:color w:val="231F20"/>
          <w:w w:val="105"/>
          <w:sz w:val="16"/>
        </w:rPr>
        <w:t xml:space="preserve">, </w:t>
      </w:r>
      <w:r>
        <w:rPr>
          <w:color w:val="231F20"/>
          <w:w w:val="105"/>
          <w:sz w:val="16"/>
        </w:rPr>
        <w:t xml:space="preserve">540; mentioned by </w:t>
      </w:r>
      <w:r w:rsidR="00C507A5">
        <w:rPr>
          <w:color w:val="231F20"/>
          <w:w w:val="105"/>
          <w:sz w:val="16"/>
        </w:rPr>
        <w:t>red army faction</w:t>
      </w:r>
      <w:r>
        <w:rPr>
          <w:color w:val="231F20"/>
          <w:spacing w:val="15"/>
          <w:w w:val="105"/>
          <w:sz w:val="16"/>
        </w:rPr>
        <w:t xml:space="preserve"> </w:t>
      </w:r>
      <w:r>
        <w:rPr>
          <w:color w:val="231F20"/>
          <w:w w:val="105"/>
          <w:sz w:val="16"/>
        </w:rPr>
        <w:t>424</w:t>
      </w:r>
    </w:p>
    <w:p w14:paraId="0736999E" w14:textId="77777777" w:rsidR="002653E8" w:rsidRDefault="003115E3">
      <w:pPr>
        <w:spacing w:before="2" w:line="280" w:lineRule="auto"/>
        <w:ind w:left="434" w:right="1412" w:hanging="200"/>
        <w:rPr>
          <w:sz w:val="16"/>
        </w:rPr>
      </w:pPr>
      <w:r>
        <w:rPr>
          <w:color w:val="231F20"/>
          <w:sz w:val="16"/>
        </w:rPr>
        <w:t>Society for the Promotion of Socialism (SF) 24</w:t>
      </w:r>
      <w:r>
        <w:rPr>
          <w:i/>
          <w:color w:val="231F20"/>
          <w:sz w:val="16"/>
        </w:rPr>
        <w:t xml:space="preserve">, </w:t>
      </w:r>
      <w:r>
        <w:rPr>
          <w:color w:val="231F20"/>
          <w:sz w:val="16"/>
        </w:rPr>
        <w:t>579</w:t>
      </w:r>
    </w:p>
    <w:p w14:paraId="54B0084E" w14:textId="77777777" w:rsidR="002653E8" w:rsidRDefault="003115E3">
      <w:pPr>
        <w:spacing w:before="1"/>
        <w:ind w:left="234"/>
        <w:rPr>
          <w:sz w:val="16"/>
        </w:rPr>
      </w:pPr>
      <w:r>
        <w:rPr>
          <w:color w:val="231F20"/>
          <w:w w:val="105"/>
          <w:sz w:val="16"/>
        </w:rPr>
        <w:t>Söhnlein, Horst 48–49</w:t>
      </w:r>
      <w:r>
        <w:rPr>
          <w:i/>
          <w:color w:val="231F20"/>
          <w:w w:val="105"/>
          <w:sz w:val="16"/>
        </w:rPr>
        <w:t xml:space="preserve">, </w:t>
      </w:r>
      <w:r>
        <w:rPr>
          <w:color w:val="231F20"/>
          <w:w w:val="105"/>
          <w:sz w:val="16"/>
        </w:rPr>
        <w:t>50</w:t>
      </w:r>
      <w:r>
        <w:rPr>
          <w:i/>
          <w:color w:val="231F20"/>
          <w:w w:val="105"/>
          <w:sz w:val="16"/>
        </w:rPr>
        <w:t xml:space="preserve">, </w:t>
      </w:r>
      <w:r>
        <w:rPr>
          <w:color w:val="231F20"/>
          <w:w w:val="105"/>
          <w:sz w:val="16"/>
        </w:rPr>
        <w:t>575</w:t>
      </w:r>
      <w:r>
        <w:rPr>
          <w:i/>
          <w:color w:val="231F20"/>
          <w:w w:val="105"/>
          <w:sz w:val="16"/>
        </w:rPr>
        <w:t xml:space="preserve">, </w:t>
      </w:r>
      <w:r>
        <w:rPr>
          <w:color w:val="231F20"/>
          <w:w w:val="105"/>
          <w:sz w:val="16"/>
        </w:rPr>
        <w:t>582</w:t>
      </w:r>
      <w:r>
        <w:rPr>
          <w:i/>
          <w:color w:val="231F20"/>
          <w:w w:val="105"/>
          <w:sz w:val="16"/>
        </w:rPr>
        <w:t xml:space="preserve">, </w:t>
      </w:r>
      <w:r>
        <w:rPr>
          <w:color w:val="231F20"/>
          <w:w w:val="105"/>
          <w:sz w:val="16"/>
        </w:rPr>
        <w:t>583</w:t>
      </w:r>
    </w:p>
    <w:p w14:paraId="003B843D" w14:textId="77777777" w:rsidR="002653E8" w:rsidRDefault="003115E3">
      <w:pPr>
        <w:spacing w:before="32"/>
        <w:ind w:left="234"/>
        <w:rPr>
          <w:sz w:val="16"/>
        </w:rPr>
      </w:pPr>
      <w:r>
        <w:rPr>
          <w:color w:val="231F20"/>
          <w:sz w:val="16"/>
        </w:rPr>
        <w:t>Soledad Brothers 199</w:t>
      </w:r>
    </w:p>
    <w:p w14:paraId="064CBADB" w14:textId="77777777" w:rsidR="002653E8" w:rsidRDefault="003115E3">
      <w:pPr>
        <w:spacing w:before="33"/>
        <w:ind w:left="234"/>
        <w:rPr>
          <w:sz w:val="16"/>
        </w:rPr>
      </w:pPr>
      <w:r>
        <w:rPr>
          <w:color w:val="231F20"/>
          <w:w w:val="105"/>
          <w:sz w:val="16"/>
        </w:rPr>
        <w:t>Somalia 484</w:t>
      </w:r>
      <w:r>
        <w:rPr>
          <w:i/>
          <w:color w:val="231F20"/>
          <w:w w:val="105"/>
          <w:sz w:val="16"/>
        </w:rPr>
        <w:t xml:space="preserve">, </w:t>
      </w:r>
      <w:r>
        <w:rPr>
          <w:color w:val="231F20"/>
          <w:w w:val="105"/>
          <w:sz w:val="16"/>
        </w:rPr>
        <w:t>485</w:t>
      </w:r>
      <w:r>
        <w:rPr>
          <w:i/>
          <w:color w:val="231F20"/>
          <w:w w:val="105"/>
          <w:sz w:val="16"/>
        </w:rPr>
        <w:t xml:space="preserve">, </w:t>
      </w:r>
      <w:r>
        <w:rPr>
          <w:color w:val="231F20"/>
          <w:w w:val="105"/>
          <w:sz w:val="16"/>
        </w:rPr>
        <w:t>505</w:t>
      </w:r>
      <w:r>
        <w:rPr>
          <w:i/>
          <w:color w:val="231F20"/>
          <w:w w:val="105"/>
          <w:sz w:val="16"/>
        </w:rPr>
        <w:t xml:space="preserve">, </w:t>
      </w:r>
      <w:r>
        <w:rPr>
          <w:color w:val="231F20"/>
          <w:w w:val="105"/>
          <w:sz w:val="16"/>
        </w:rPr>
        <w:t>563</w:t>
      </w:r>
      <w:r>
        <w:rPr>
          <w:i/>
          <w:color w:val="231F20"/>
          <w:w w:val="105"/>
          <w:sz w:val="16"/>
        </w:rPr>
        <w:t xml:space="preserve">, </w:t>
      </w:r>
      <w:r>
        <w:rPr>
          <w:color w:val="231F20"/>
          <w:w w:val="105"/>
          <w:sz w:val="16"/>
        </w:rPr>
        <w:t>608</w:t>
      </w:r>
    </w:p>
    <w:p w14:paraId="48A91ADB" w14:textId="77777777" w:rsidR="002653E8" w:rsidRDefault="003115E3">
      <w:pPr>
        <w:spacing w:before="32" w:line="280" w:lineRule="auto"/>
        <w:ind w:left="434" w:right="1412" w:hanging="200"/>
        <w:rPr>
          <w:sz w:val="16"/>
        </w:rPr>
      </w:pPr>
      <w:r>
        <w:rPr>
          <w:color w:val="231F20"/>
          <w:sz w:val="16"/>
        </w:rPr>
        <w:t>Sonnenberg, Günter 576; Boock’s Lies (1988) 527; Buback assassination</w:t>
      </w:r>
    </w:p>
    <w:p w14:paraId="1A782DB8" w14:textId="77777777" w:rsidR="002653E8" w:rsidRDefault="003115E3">
      <w:pPr>
        <w:spacing w:before="1" w:line="280" w:lineRule="auto"/>
        <w:ind w:left="434" w:right="1412"/>
        <w:rPr>
          <w:sz w:val="16"/>
        </w:rPr>
      </w:pPr>
      <w:r>
        <w:rPr>
          <w:color w:val="231F20"/>
          <w:sz w:val="16"/>
        </w:rPr>
        <w:t>470; captured (1977) 472</w:t>
      </w:r>
      <w:r>
        <w:rPr>
          <w:i/>
          <w:color w:val="231F20"/>
          <w:sz w:val="16"/>
        </w:rPr>
        <w:t xml:space="preserve">, </w:t>
      </w:r>
      <w:r>
        <w:rPr>
          <w:color w:val="231F20"/>
          <w:sz w:val="16"/>
        </w:rPr>
        <w:t>605; Committees Against Torture 253; released (1992) 621</w:t>
      </w:r>
      <w:r>
        <w:rPr>
          <w:i/>
          <w:color w:val="231F20"/>
          <w:sz w:val="16"/>
        </w:rPr>
        <w:t xml:space="preserve">, </w:t>
      </w:r>
      <w:r>
        <w:rPr>
          <w:color w:val="231F20"/>
          <w:sz w:val="16"/>
        </w:rPr>
        <w:t>622; release demanded</w:t>
      </w:r>
    </w:p>
    <w:p w14:paraId="0F7EBD98" w14:textId="77777777" w:rsidR="002653E8" w:rsidRDefault="003115E3">
      <w:pPr>
        <w:spacing w:before="2"/>
        <w:ind w:left="434"/>
        <w:rPr>
          <w:sz w:val="16"/>
        </w:rPr>
      </w:pPr>
      <w:r>
        <w:rPr>
          <w:color w:val="231F20"/>
          <w:w w:val="105"/>
          <w:sz w:val="16"/>
        </w:rPr>
        <w:t>498</w:t>
      </w:r>
      <w:r>
        <w:rPr>
          <w:i/>
          <w:color w:val="231F20"/>
          <w:w w:val="105"/>
          <w:sz w:val="16"/>
        </w:rPr>
        <w:t xml:space="preserve">, </w:t>
      </w:r>
      <w:r>
        <w:rPr>
          <w:color w:val="231F20"/>
          <w:w w:val="105"/>
          <w:sz w:val="16"/>
        </w:rPr>
        <w:t>505</w:t>
      </w:r>
      <w:r>
        <w:rPr>
          <w:i/>
          <w:color w:val="231F20"/>
          <w:w w:val="105"/>
          <w:sz w:val="16"/>
        </w:rPr>
        <w:t xml:space="preserve">, </w:t>
      </w:r>
      <w:r>
        <w:rPr>
          <w:color w:val="231F20"/>
          <w:w w:val="105"/>
          <w:sz w:val="16"/>
        </w:rPr>
        <w:t>610</w:t>
      </w:r>
      <w:r>
        <w:rPr>
          <w:i/>
          <w:color w:val="231F20"/>
          <w:w w:val="105"/>
          <w:sz w:val="16"/>
        </w:rPr>
        <w:t xml:space="preserve">, </w:t>
      </w:r>
      <w:r>
        <w:rPr>
          <w:color w:val="231F20"/>
          <w:w w:val="105"/>
          <w:sz w:val="16"/>
        </w:rPr>
        <w:t>612</w:t>
      </w:r>
      <w:r>
        <w:rPr>
          <w:i/>
          <w:color w:val="231F20"/>
          <w:w w:val="105"/>
          <w:sz w:val="16"/>
        </w:rPr>
        <w:t xml:space="preserve">, </w:t>
      </w:r>
      <w:r>
        <w:rPr>
          <w:color w:val="231F20"/>
          <w:w w:val="105"/>
          <w:sz w:val="16"/>
        </w:rPr>
        <w:t>614; trial (1979)</w:t>
      </w:r>
    </w:p>
    <w:p w14:paraId="0C3C2A37" w14:textId="77777777" w:rsidR="002653E8" w:rsidRDefault="003115E3">
      <w:pPr>
        <w:spacing w:before="32"/>
        <w:ind w:left="434"/>
        <w:rPr>
          <w:sz w:val="16"/>
        </w:rPr>
      </w:pPr>
      <w:r>
        <w:rPr>
          <w:color w:val="231F20"/>
          <w:sz w:val="16"/>
        </w:rPr>
        <w:t>610</w:t>
      </w:r>
    </w:p>
    <w:p w14:paraId="7B2C4A15" w14:textId="77777777" w:rsidR="002653E8" w:rsidRDefault="003115E3">
      <w:pPr>
        <w:spacing w:before="33"/>
        <w:ind w:left="234"/>
        <w:rPr>
          <w:sz w:val="16"/>
        </w:rPr>
      </w:pPr>
      <w:r>
        <w:rPr>
          <w:color w:val="231F20"/>
          <w:w w:val="105"/>
          <w:sz w:val="16"/>
        </w:rPr>
        <w:t>South Africa 11</w:t>
      </w:r>
      <w:r>
        <w:rPr>
          <w:i/>
          <w:color w:val="231F20"/>
          <w:w w:val="105"/>
          <w:sz w:val="16"/>
        </w:rPr>
        <w:t xml:space="preserve">, </w:t>
      </w:r>
      <w:r>
        <w:rPr>
          <w:color w:val="231F20"/>
          <w:w w:val="105"/>
          <w:sz w:val="16"/>
        </w:rPr>
        <w:t>132</w:t>
      </w:r>
      <w:r>
        <w:rPr>
          <w:i/>
          <w:color w:val="231F20"/>
          <w:w w:val="105"/>
          <w:sz w:val="16"/>
        </w:rPr>
        <w:t xml:space="preserve">, </w:t>
      </w:r>
      <w:r>
        <w:rPr>
          <w:color w:val="231F20"/>
          <w:w w:val="105"/>
          <w:sz w:val="16"/>
        </w:rPr>
        <w:t>474</w:t>
      </w:r>
      <w:r>
        <w:rPr>
          <w:i/>
          <w:color w:val="231F20"/>
          <w:w w:val="105"/>
          <w:sz w:val="16"/>
        </w:rPr>
        <w:t xml:space="preserve">, </w:t>
      </w:r>
      <w:r>
        <w:rPr>
          <w:color w:val="231F20"/>
          <w:w w:val="105"/>
          <w:sz w:val="16"/>
        </w:rPr>
        <w:t>503</w:t>
      </w:r>
    </w:p>
    <w:p w14:paraId="6D22FA1E" w14:textId="77777777" w:rsidR="002653E8" w:rsidRDefault="002653E8">
      <w:pPr>
        <w:rPr>
          <w:sz w:val="16"/>
        </w:rPr>
        <w:sectPr w:rsidR="002653E8">
          <w:pgSz w:w="8640" w:h="12960"/>
          <w:pgMar w:top="1080" w:right="0" w:bottom="1040" w:left="0" w:header="0" w:footer="846" w:gutter="0"/>
          <w:cols w:num="2" w:space="720" w:equalWidth="0">
            <w:col w:w="4096" w:space="40"/>
            <w:col w:w="4504"/>
          </w:cols>
        </w:sectPr>
      </w:pPr>
    </w:p>
    <w:p w14:paraId="71E23FB7" w14:textId="77777777" w:rsidR="002653E8" w:rsidRDefault="003115E3">
      <w:pPr>
        <w:spacing w:before="86" w:line="280" w:lineRule="auto"/>
        <w:ind w:left="1527" w:right="28" w:hanging="200"/>
        <w:rPr>
          <w:sz w:val="16"/>
        </w:rPr>
      </w:pPr>
      <w:r>
        <w:rPr>
          <w:color w:val="231F20"/>
          <w:w w:val="105"/>
          <w:sz w:val="16"/>
        </w:rPr>
        <w:lastRenderedPageBreak/>
        <w:t>Southern Fighting Group of the “</w:t>
      </w:r>
      <w:r w:rsidR="00C507A5">
        <w:rPr>
          <w:color w:val="231F20"/>
          <w:w w:val="105"/>
          <w:sz w:val="16"/>
        </w:rPr>
        <w:t>red army faction</w:t>
      </w:r>
      <w:r>
        <w:rPr>
          <w:color w:val="231F20"/>
          <w:w w:val="105"/>
          <w:sz w:val="16"/>
        </w:rPr>
        <w:t>” 349</w:t>
      </w:r>
    </w:p>
    <w:p w14:paraId="0FB34233" w14:textId="77777777" w:rsidR="002653E8" w:rsidRDefault="003115E3">
      <w:pPr>
        <w:spacing w:before="1" w:line="280" w:lineRule="auto"/>
        <w:ind w:left="1527" w:right="28" w:hanging="200"/>
        <w:rPr>
          <w:sz w:val="16"/>
        </w:rPr>
      </w:pPr>
      <w:r>
        <w:rPr>
          <w:color w:val="231F20"/>
          <w:sz w:val="16"/>
        </w:rPr>
        <w:t>Soviet Union 28</w:t>
      </w:r>
      <w:r>
        <w:rPr>
          <w:i/>
          <w:color w:val="231F20"/>
          <w:sz w:val="16"/>
        </w:rPr>
        <w:t xml:space="preserve">, </w:t>
      </w:r>
      <w:r>
        <w:rPr>
          <w:color w:val="231F20"/>
          <w:sz w:val="16"/>
        </w:rPr>
        <w:t>485</w:t>
      </w:r>
      <w:r>
        <w:rPr>
          <w:i/>
          <w:color w:val="231F20"/>
          <w:sz w:val="16"/>
        </w:rPr>
        <w:t xml:space="preserve">, </w:t>
      </w:r>
      <w:r>
        <w:rPr>
          <w:color w:val="231F20"/>
          <w:sz w:val="16"/>
        </w:rPr>
        <w:t>621</w:t>
      </w:r>
      <w:r>
        <w:rPr>
          <w:i/>
          <w:color w:val="231F20"/>
          <w:sz w:val="16"/>
        </w:rPr>
        <w:t xml:space="preserve">. See also </w:t>
      </w:r>
      <w:r>
        <w:rPr>
          <w:color w:val="231F20"/>
          <w:sz w:val="16"/>
        </w:rPr>
        <w:t>SinoSoviet split</w:t>
      </w:r>
      <w:r>
        <w:rPr>
          <w:i/>
          <w:color w:val="231F20"/>
          <w:sz w:val="16"/>
        </w:rPr>
        <w:t xml:space="preserve">; See also </w:t>
      </w:r>
      <w:r>
        <w:rPr>
          <w:color w:val="231F20"/>
          <w:sz w:val="16"/>
        </w:rPr>
        <w:t>KPD (Kommunistische Partei Deutschlands)</w:t>
      </w:r>
    </w:p>
    <w:p w14:paraId="6AFF5599" w14:textId="77777777" w:rsidR="002653E8" w:rsidRDefault="003115E3">
      <w:pPr>
        <w:spacing w:before="2" w:line="280" w:lineRule="auto"/>
        <w:ind w:left="1527" w:right="28" w:hanging="1"/>
        <w:rPr>
          <w:sz w:val="16"/>
        </w:rPr>
      </w:pPr>
      <w:r>
        <w:rPr>
          <w:color w:val="231F20"/>
          <w:sz w:val="16"/>
        </w:rPr>
        <w:t>[pro-Soviet]</w:t>
      </w:r>
      <w:r>
        <w:rPr>
          <w:i/>
          <w:color w:val="231F20"/>
          <w:sz w:val="16"/>
        </w:rPr>
        <w:t xml:space="preserve">; See also </w:t>
      </w:r>
      <w:r>
        <w:rPr>
          <w:color w:val="231F20"/>
          <w:sz w:val="16"/>
        </w:rPr>
        <w:t xml:space="preserve">DKP (Deutsche Kommunistische Partei); mentioned by </w:t>
      </w:r>
      <w:r w:rsidR="00C507A5">
        <w:rPr>
          <w:color w:val="231F20"/>
          <w:sz w:val="16"/>
        </w:rPr>
        <w:t>red army faction</w:t>
      </w:r>
      <w:r>
        <w:rPr>
          <w:color w:val="231F20"/>
          <w:sz w:val="16"/>
        </w:rPr>
        <w:t xml:space="preserve"> 88</w:t>
      </w:r>
      <w:r>
        <w:rPr>
          <w:i/>
          <w:color w:val="231F20"/>
          <w:sz w:val="16"/>
        </w:rPr>
        <w:t xml:space="preserve">, </w:t>
      </w:r>
      <w:r>
        <w:rPr>
          <w:color w:val="231F20"/>
          <w:sz w:val="16"/>
        </w:rPr>
        <w:t>308–309</w:t>
      </w:r>
      <w:r>
        <w:rPr>
          <w:i/>
          <w:color w:val="231F20"/>
          <w:sz w:val="16"/>
        </w:rPr>
        <w:t xml:space="preserve">, </w:t>
      </w:r>
      <w:r>
        <w:rPr>
          <w:color w:val="231F20"/>
          <w:sz w:val="16"/>
        </w:rPr>
        <w:t>405–406; occupa-</w:t>
      </w:r>
    </w:p>
    <w:p w14:paraId="6083BBD3" w14:textId="77777777" w:rsidR="002653E8" w:rsidRDefault="003115E3">
      <w:pPr>
        <w:spacing w:before="2"/>
        <w:ind w:left="1527"/>
        <w:rPr>
          <w:sz w:val="16"/>
        </w:rPr>
      </w:pPr>
      <w:r>
        <w:rPr>
          <w:color w:val="231F20"/>
          <w:w w:val="105"/>
          <w:sz w:val="16"/>
        </w:rPr>
        <w:t>tion of Germany 4</w:t>
      </w:r>
      <w:r>
        <w:rPr>
          <w:i/>
          <w:color w:val="231F20"/>
          <w:w w:val="105"/>
          <w:sz w:val="16"/>
        </w:rPr>
        <w:t xml:space="preserve">, </w:t>
      </w:r>
      <w:r>
        <w:rPr>
          <w:color w:val="231F20"/>
          <w:w w:val="105"/>
          <w:sz w:val="16"/>
        </w:rPr>
        <w:t>17</w:t>
      </w:r>
    </w:p>
    <w:p w14:paraId="38C98790" w14:textId="77777777" w:rsidR="002653E8" w:rsidRDefault="003115E3">
      <w:pPr>
        <w:spacing w:before="32"/>
        <w:ind w:left="1327"/>
        <w:rPr>
          <w:sz w:val="16"/>
        </w:rPr>
      </w:pPr>
      <w:r>
        <w:rPr>
          <w:color w:val="231F20"/>
          <w:sz w:val="16"/>
        </w:rPr>
        <w:t>Sowa, Werner 596</w:t>
      </w:r>
    </w:p>
    <w:p w14:paraId="26626718" w14:textId="77777777" w:rsidR="002653E8" w:rsidRPr="00846956" w:rsidRDefault="003115E3">
      <w:pPr>
        <w:spacing w:before="32"/>
        <w:ind w:left="1327"/>
        <w:rPr>
          <w:sz w:val="16"/>
          <w:lang w:val="de-DE"/>
        </w:rPr>
      </w:pPr>
      <w:r w:rsidRPr="00846956">
        <w:rPr>
          <w:color w:val="231F20"/>
          <w:sz w:val="16"/>
          <w:lang w:val="de-DE"/>
        </w:rPr>
        <w:t>Sozialistische Hochschulinitiative  264</w:t>
      </w:r>
    </w:p>
    <w:p w14:paraId="2819DE02" w14:textId="77777777" w:rsidR="002653E8" w:rsidRDefault="003115E3">
      <w:pPr>
        <w:spacing w:before="33" w:line="280" w:lineRule="auto"/>
        <w:ind w:left="1527" w:hanging="200"/>
        <w:rPr>
          <w:sz w:val="16"/>
        </w:rPr>
      </w:pPr>
      <w:r w:rsidRPr="00846956">
        <w:rPr>
          <w:color w:val="231F20"/>
          <w:sz w:val="16"/>
          <w:lang w:val="de-DE"/>
        </w:rPr>
        <w:t>Sozialistisches Büro 199–200</w:t>
      </w:r>
      <w:r w:rsidRPr="00846956">
        <w:rPr>
          <w:i/>
          <w:color w:val="231F20"/>
          <w:sz w:val="16"/>
          <w:lang w:val="de-DE"/>
        </w:rPr>
        <w:t xml:space="preserve">, </w:t>
      </w:r>
      <w:r w:rsidRPr="00846956">
        <w:rPr>
          <w:color w:val="231F20"/>
          <w:sz w:val="16"/>
          <w:lang w:val="de-DE"/>
        </w:rPr>
        <w:t>440</w:t>
      </w:r>
      <w:r w:rsidRPr="00846956">
        <w:rPr>
          <w:i/>
          <w:color w:val="231F20"/>
          <w:sz w:val="16"/>
          <w:lang w:val="de-DE"/>
        </w:rPr>
        <w:t xml:space="preserve">, </w:t>
      </w:r>
      <w:r w:rsidRPr="00846956">
        <w:rPr>
          <w:color w:val="231F20"/>
          <w:sz w:val="16"/>
          <w:lang w:val="de-DE"/>
        </w:rPr>
        <w:t>583</w:t>
      </w:r>
      <w:r w:rsidRPr="00846956">
        <w:rPr>
          <w:i/>
          <w:color w:val="231F20"/>
          <w:sz w:val="16"/>
          <w:lang w:val="de-DE"/>
        </w:rPr>
        <w:t xml:space="preserve">. </w:t>
      </w:r>
      <w:r>
        <w:rPr>
          <w:i/>
          <w:color w:val="231F20"/>
          <w:sz w:val="16"/>
        </w:rPr>
        <w:t xml:space="preserve">See also </w:t>
      </w:r>
      <w:r>
        <w:rPr>
          <w:color w:val="231F20"/>
          <w:sz w:val="16"/>
        </w:rPr>
        <w:t>Angela Davis Congress (1972); Anti-Repression Conference (1976)</w:t>
      </w:r>
    </w:p>
    <w:p w14:paraId="0366C7D9" w14:textId="77777777" w:rsidR="002653E8" w:rsidRDefault="003115E3">
      <w:pPr>
        <w:spacing w:before="1"/>
        <w:ind w:left="1527"/>
        <w:rPr>
          <w:sz w:val="16"/>
        </w:rPr>
      </w:pPr>
      <w:r>
        <w:rPr>
          <w:color w:val="231F20"/>
          <w:w w:val="105"/>
          <w:sz w:val="16"/>
        </w:rPr>
        <w:t>442</w:t>
      </w:r>
      <w:r>
        <w:rPr>
          <w:i/>
          <w:color w:val="231F20"/>
          <w:w w:val="105"/>
          <w:sz w:val="16"/>
        </w:rPr>
        <w:t xml:space="preserve">, </w:t>
      </w:r>
      <w:r>
        <w:rPr>
          <w:color w:val="231F20"/>
          <w:w w:val="105"/>
          <w:sz w:val="16"/>
        </w:rPr>
        <w:t>601</w:t>
      </w:r>
    </w:p>
    <w:p w14:paraId="190D907F" w14:textId="77777777" w:rsidR="002653E8" w:rsidRDefault="003115E3">
      <w:pPr>
        <w:spacing w:before="33"/>
        <w:ind w:left="1327"/>
        <w:rPr>
          <w:sz w:val="16"/>
        </w:rPr>
      </w:pPr>
      <w:r>
        <w:rPr>
          <w:color w:val="231F20"/>
          <w:sz w:val="16"/>
        </w:rPr>
        <w:t>Spain 125</w:t>
      </w:r>
      <w:r>
        <w:rPr>
          <w:i/>
          <w:color w:val="231F20"/>
          <w:sz w:val="16"/>
        </w:rPr>
        <w:t xml:space="preserve">, </w:t>
      </w:r>
      <w:r>
        <w:rPr>
          <w:color w:val="231F20"/>
          <w:sz w:val="16"/>
        </w:rPr>
        <w:t>183; prison amnesty move-</w:t>
      </w:r>
    </w:p>
    <w:p w14:paraId="386D289C" w14:textId="77777777" w:rsidR="002653E8" w:rsidRDefault="003115E3">
      <w:pPr>
        <w:spacing w:before="32"/>
        <w:ind w:left="1527"/>
        <w:rPr>
          <w:sz w:val="16"/>
        </w:rPr>
      </w:pPr>
      <w:r>
        <w:rPr>
          <w:color w:val="231F20"/>
          <w:sz w:val="16"/>
        </w:rPr>
        <w:t>ment (1977) 489</w:t>
      </w:r>
    </w:p>
    <w:p w14:paraId="4EBBC5A8" w14:textId="77777777" w:rsidR="002653E8" w:rsidRPr="00846956" w:rsidRDefault="003115E3">
      <w:pPr>
        <w:spacing w:before="33"/>
        <w:ind w:left="1327"/>
        <w:rPr>
          <w:sz w:val="16"/>
          <w:lang w:val="de-DE"/>
        </w:rPr>
      </w:pPr>
      <w:r w:rsidRPr="00846956">
        <w:rPr>
          <w:color w:val="231F20"/>
          <w:sz w:val="16"/>
          <w:lang w:val="de-DE"/>
        </w:rPr>
        <w:t>Spangenberg, Henning 595</w:t>
      </w:r>
    </w:p>
    <w:p w14:paraId="149AA7D5" w14:textId="77777777" w:rsidR="002653E8" w:rsidRPr="00846956" w:rsidRDefault="003115E3">
      <w:pPr>
        <w:spacing w:before="32"/>
        <w:ind w:left="1327"/>
        <w:rPr>
          <w:sz w:val="16"/>
          <w:lang w:val="de-DE"/>
        </w:rPr>
      </w:pPr>
      <w:r w:rsidRPr="00846956">
        <w:rPr>
          <w:color w:val="231F20"/>
          <w:sz w:val="16"/>
          <w:lang w:val="de-DE"/>
        </w:rPr>
        <w:t>Spartacus youth 140</w:t>
      </w:r>
    </w:p>
    <w:p w14:paraId="0C255C24" w14:textId="77777777" w:rsidR="002653E8" w:rsidRDefault="003115E3">
      <w:pPr>
        <w:spacing w:before="32" w:line="280" w:lineRule="auto"/>
        <w:ind w:left="1527" w:right="159" w:hanging="200"/>
        <w:rPr>
          <w:i/>
          <w:sz w:val="16"/>
        </w:rPr>
      </w:pPr>
      <w:r w:rsidRPr="00846956">
        <w:rPr>
          <w:color w:val="231F20"/>
          <w:sz w:val="16"/>
          <w:lang w:val="de-DE"/>
        </w:rPr>
        <w:t>SPD (Sozialdemokratische Partei Deutschlands)  63</w:t>
      </w:r>
      <w:r w:rsidRPr="00846956">
        <w:rPr>
          <w:i/>
          <w:color w:val="231F20"/>
          <w:sz w:val="16"/>
          <w:lang w:val="de-DE"/>
        </w:rPr>
        <w:t xml:space="preserve">,  </w:t>
      </w:r>
      <w:r w:rsidRPr="00846956">
        <w:rPr>
          <w:color w:val="231F20"/>
          <w:sz w:val="16"/>
          <w:lang w:val="de-DE"/>
        </w:rPr>
        <w:t>312</w:t>
      </w:r>
      <w:r w:rsidRPr="00846956">
        <w:rPr>
          <w:i/>
          <w:color w:val="231F20"/>
          <w:sz w:val="16"/>
          <w:lang w:val="de-DE"/>
        </w:rPr>
        <w:t xml:space="preserve">,  </w:t>
      </w:r>
      <w:r w:rsidRPr="00846956">
        <w:rPr>
          <w:color w:val="231F20"/>
          <w:sz w:val="16"/>
          <w:lang w:val="de-DE"/>
        </w:rPr>
        <w:t>525</w:t>
      </w:r>
      <w:r w:rsidRPr="00846956">
        <w:rPr>
          <w:i/>
          <w:color w:val="231F20"/>
          <w:sz w:val="16"/>
          <w:lang w:val="de-DE"/>
        </w:rPr>
        <w:t xml:space="preserve">.  </w:t>
      </w:r>
      <w:r>
        <w:rPr>
          <w:i/>
          <w:color w:val="231F20"/>
          <w:sz w:val="16"/>
        </w:rPr>
        <w:t xml:space="preserve">See also </w:t>
      </w:r>
      <w:r>
        <w:rPr>
          <w:color w:val="231F20"/>
          <w:sz w:val="16"/>
        </w:rPr>
        <w:t>Social-Liberal Schmidt-Genscher Government (1974-1982)</w:t>
      </w:r>
      <w:r>
        <w:rPr>
          <w:i/>
          <w:color w:val="231F20"/>
          <w:sz w:val="16"/>
        </w:rPr>
        <w:t>;</w:t>
      </w:r>
      <w:r>
        <w:rPr>
          <w:i/>
          <w:color w:val="231F20"/>
          <w:spacing w:val="16"/>
          <w:sz w:val="16"/>
        </w:rPr>
        <w:t xml:space="preserve"> </w:t>
      </w:r>
      <w:r>
        <w:rPr>
          <w:i/>
          <w:color w:val="231F20"/>
          <w:sz w:val="16"/>
        </w:rPr>
        <w:t>See</w:t>
      </w:r>
    </w:p>
    <w:p w14:paraId="104C88AE" w14:textId="77777777" w:rsidR="002653E8" w:rsidRDefault="003115E3">
      <w:pPr>
        <w:spacing w:before="3" w:line="280" w:lineRule="auto"/>
        <w:ind w:left="1527" w:right="-19"/>
        <w:rPr>
          <w:sz w:val="16"/>
        </w:rPr>
      </w:pPr>
      <w:r>
        <w:rPr>
          <w:i/>
          <w:color w:val="231F20"/>
          <w:w w:val="105"/>
          <w:sz w:val="16"/>
        </w:rPr>
        <w:t xml:space="preserve">also </w:t>
      </w:r>
      <w:r>
        <w:rPr>
          <w:color w:val="231F20"/>
          <w:w w:val="105"/>
          <w:sz w:val="16"/>
        </w:rPr>
        <w:t>Social-Liberal Brandt-Scheel Gov</w:t>
      </w:r>
      <w:r>
        <w:rPr>
          <w:color w:val="231F20"/>
          <w:sz w:val="16"/>
        </w:rPr>
        <w:t>ernment (1969-1974)</w:t>
      </w:r>
      <w:r>
        <w:rPr>
          <w:i/>
          <w:color w:val="231F20"/>
          <w:sz w:val="16"/>
        </w:rPr>
        <w:t xml:space="preserve">; See also </w:t>
      </w:r>
      <w:r>
        <w:rPr>
          <w:color w:val="231F20"/>
          <w:sz w:val="16"/>
        </w:rPr>
        <w:t xml:space="preserve">Brandt, </w:t>
      </w:r>
      <w:r>
        <w:rPr>
          <w:color w:val="231F20"/>
          <w:w w:val="105"/>
          <w:sz w:val="16"/>
        </w:rPr>
        <w:t>Willy</w:t>
      </w:r>
      <w:r>
        <w:rPr>
          <w:i/>
          <w:color w:val="231F20"/>
          <w:w w:val="105"/>
          <w:sz w:val="16"/>
        </w:rPr>
        <w:t xml:space="preserve">; See also </w:t>
      </w:r>
      <w:r>
        <w:rPr>
          <w:color w:val="231F20"/>
          <w:w w:val="105"/>
          <w:sz w:val="16"/>
        </w:rPr>
        <w:t>Schmidt, Helmut; abortion rights 447; anti-rearmement movement 20</w:t>
      </w:r>
      <w:r>
        <w:rPr>
          <w:i/>
          <w:color w:val="231F20"/>
          <w:w w:val="105"/>
          <w:sz w:val="16"/>
        </w:rPr>
        <w:t xml:space="preserve">, </w:t>
      </w:r>
      <w:r>
        <w:rPr>
          <w:color w:val="231F20"/>
          <w:w w:val="105"/>
          <w:sz w:val="16"/>
        </w:rPr>
        <w:t>21–22; benefits from collapse of APO 433; and Citizens Initiatives 448</w:t>
      </w:r>
      <w:r>
        <w:rPr>
          <w:i/>
          <w:color w:val="231F20"/>
          <w:w w:val="105"/>
          <w:sz w:val="16"/>
        </w:rPr>
        <w:t xml:space="preserve">, </w:t>
      </w:r>
      <w:r>
        <w:rPr>
          <w:color w:val="231F20"/>
          <w:w w:val="105"/>
          <w:sz w:val="16"/>
        </w:rPr>
        <w:t>449; class base 9</w:t>
      </w:r>
      <w:r>
        <w:rPr>
          <w:i/>
          <w:color w:val="231F20"/>
          <w:w w:val="105"/>
          <w:sz w:val="16"/>
        </w:rPr>
        <w:t xml:space="preserve">, </w:t>
      </w:r>
      <w:r>
        <w:rPr>
          <w:color w:val="231F20"/>
          <w:w w:val="105"/>
          <w:sz w:val="16"/>
        </w:rPr>
        <w:t>10</w:t>
      </w:r>
      <w:r>
        <w:rPr>
          <w:i/>
          <w:color w:val="231F20"/>
          <w:w w:val="105"/>
          <w:sz w:val="16"/>
        </w:rPr>
        <w:t xml:space="preserve">, </w:t>
      </w:r>
      <w:r>
        <w:rPr>
          <w:color w:val="231F20"/>
          <w:w w:val="105"/>
          <w:sz w:val="16"/>
        </w:rPr>
        <w:t xml:space="preserve">29; functionaries mentioned by </w:t>
      </w:r>
      <w:r w:rsidR="00C507A5">
        <w:rPr>
          <w:color w:val="231F20"/>
          <w:w w:val="105"/>
          <w:sz w:val="16"/>
        </w:rPr>
        <w:t>red army faction</w:t>
      </w:r>
      <w:r>
        <w:rPr>
          <w:color w:val="231F20"/>
          <w:w w:val="105"/>
          <w:sz w:val="16"/>
        </w:rPr>
        <w:t xml:space="preserve"> 81</w:t>
      </w:r>
      <w:r>
        <w:rPr>
          <w:i/>
          <w:color w:val="231F20"/>
          <w:w w:val="105"/>
          <w:sz w:val="16"/>
        </w:rPr>
        <w:t xml:space="preserve">, </w:t>
      </w:r>
      <w:r>
        <w:rPr>
          <w:color w:val="231F20"/>
          <w:w w:val="105"/>
          <w:sz w:val="16"/>
        </w:rPr>
        <w:t>88</w:t>
      </w:r>
      <w:r>
        <w:rPr>
          <w:i/>
          <w:color w:val="231F20"/>
          <w:w w:val="105"/>
          <w:sz w:val="16"/>
        </w:rPr>
        <w:t xml:space="preserve">, </w:t>
      </w:r>
      <w:r>
        <w:rPr>
          <w:color w:val="231F20"/>
          <w:w w:val="105"/>
          <w:sz w:val="16"/>
        </w:rPr>
        <w:t>134</w:t>
      </w:r>
      <w:r>
        <w:rPr>
          <w:i/>
          <w:color w:val="231F20"/>
          <w:w w:val="105"/>
          <w:sz w:val="16"/>
        </w:rPr>
        <w:t xml:space="preserve">, </w:t>
      </w:r>
      <w:r>
        <w:rPr>
          <w:color w:val="231F20"/>
          <w:w w:val="105"/>
          <w:sz w:val="16"/>
        </w:rPr>
        <w:t>147</w:t>
      </w:r>
      <w:r>
        <w:rPr>
          <w:i/>
          <w:color w:val="231F20"/>
          <w:w w:val="105"/>
          <w:sz w:val="16"/>
        </w:rPr>
        <w:t xml:space="preserve">, </w:t>
      </w:r>
      <w:r>
        <w:rPr>
          <w:color w:val="231F20"/>
          <w:w w:val="105"/>
          <w:sz w:val="16"/>
        </w:rPr>
        <w:t>181</w:t>
      </w:r>
      <w:r>
        <w:rPr>
          <w:i/>
          <w:color w:val="231F20"/>
          <w:w w:val="105"/>
          <w:sz w:val="16"/>
        </w:rPr>
        <w:t xml:space="preserve">, </w:t>
      </w:r>
      <w:r>
        <w:rPr>
          <w:color w:val="231F20"/>
          <w:w w:val="105"/>
          <w:sz w:val="16"/>
        </w:rPr>
        <w:t>233</w:t>
      </w:r>
      <w:r>
        <w:rPr>
          <w:i/>
          <w:color w:val="231F20"/>
          <w:w w:val="105"/>
          <w:sz w:val="16"/>
        </w:rPr>
        <w:t xml:space="preserve">, </w:t>
      </w:r>
      <w:r>
        <w:rPr>
          <w:color w:val="231F20"/>
          <w:w w:val="105"/>
          <w:sz w:val="16"/>
        </w:rPr>
        <w:t>303</w:t>
      </w:r>
      <w:r>
        <w:rPr>
          <w:i/>
          <w:color w:val="231F20"/>
          <w:w w:val="105"/>
          <w:sz w:val="16"/>
        </w:rPr>
        <w:t xml:space="preserve">, </w:t>
      </w:r>
      <w:r>
        <w:rPr>
          <w:color w:val="231F20"/>
          <w:w w:val="105"/>
          <w:sz w:val="16"/>
        </w:rPr>
        <w:t>322;</w:t>
      </w:r>
    </w:p>
    <w:p w14:paraId="63242625" w14:textId="77777777" w:rsidR="002653E8" w:rsidRDefault="003115E3">
      <w:pPr>
        <w:spacing w:before="4" w:line="280" w:lineRule="auto"/>
        <w:ind w:left="1527" w:right="98"/>
        <w:jc w:val="both"/>
        <w:rPr>
          <w:i/>
          <w:sz w:val="16"/>
        </w:rPr>
      </w:pPr>
      <w:r>
        <w:rPr>
          <w:color w:val="231F20"/>
          <w:w w:val="105"/>
          <w:sz w:val="16"/>
        </w:rPr>
        <w:t>Grand Coalition 29</w:t>
      </w:r>
      <w:r>
        <w:rPr>
          <w:i/>
          <w:color w:val="231F20"/>
          <w:w w:val="105"/>
          <w:sz w:val="16"/>
        </w:rPr>
        <w:t xml:space="preserve">, </w:t>
      </w:r>
      <w:r>
        <w:rPr>
          <w:color w:val="231F20"/>
          <w:w w:val="105"/>
          <w:sz w:val="16"/>
        </w:rPr>
        <w:t>38; Hans-Christian Ströbele 246; mentioned by</w:t>
      </w:r>
      <w:r>
        <w:rPr>
          <w:color w:val="231F20"/>
          <w:spacing w:val="-18"/>
          <w:w w:val="105"/>
          <w:sz w:val="16"/>
        </w:rPr>
        <w:t xml:space="preserve"> </w:t>
      </w:r>
      <w:r w:rsidR="00C507A5">
        <w:rPr>
          <w:color w:val="231F20"/>
          <w:w w:val="105"/>
          <w:sz w:val="16"/>
        </w:rPr>
        <w:t>red army faction</w:t>
      </w:r>
      <w:r>
        <w:rPr>
          <w:color w:val="231F20"/>
          <w:w w:val="105"/>
          <w:sz w:val="16"/>
        </w:rPr>
        <w:t xml:space="preserve"> 102</w:t>
      </w:r>
      <w:r>
        <w:rPr>
          <w:i/>
          <w:color w:val="231F20"/>
          <w:w w:val="105"/>
          <w:sz w:val="16"/>
        </w:rPr>
        <w:t xml:space="preserve">, </w:t>
      </w:r>
      <w:r>
        <w:rPr>
          <w:color w:val="231F20"/>
          <w:w w:val="105"/>
          <w:sz w:val="16"/>
        </w:rPr>
        <w:t>126</w:t>
      </w:r>
      <w:r>
        <w:rPr>
          <w:i/>
          <w:color w:val="231F20"/>
          <w:w w:val="105"/>
          <w:sz w:val="16"/>
        </w:rPr>
        <w:t xml:space="preserve">, </w:t>
      </w:r>
      <w:r>
        <w:rPr>
          <w:color w:val="231F20"/>
          <w:w w:val="105"/>
          <w:sz w:val="16"/>
        </w:rPr>
        <w:t>148–149</w:t>
      </w:r>
      <w:r>
        <w:rPr>
          <w:i/>
          <w:color w:val="231F20"/>
          <w:w w:val="105"/>
          <w:sz w:val="16"/>
        </w:rPr>
        <w:t xml:space="preserve">, </w:t>
      </w:r>
      <w:r>
        <w:rPr>
          <w:color w:val="231F20"/>
          <w:w w:val="105"/>
          <w:sz w:val="16"/>
        </w:rPr>
        <w:t>225</w:t>
      </w:r>
      <w:r>
        <w:rPr>
          <w:i/>
          <w:color w:val="231F20"/>
          <w:w w:val="105"/>
          <w:sz w:val="16"/>
        </w:rPr>
        <w:t>,</w:t>
      </w:r>
      <w:r>
        <w:rPr>
          <w:i/>
          <w:color w:val="231F20"/>
          <w:spacing w:val="-11"/>
          <w:w w:val="105"/>
          <w:sz w:val="16"/>
        </w:rPr>
        <w:t xml:space="preserve"> </w:t>
      </w:r>
      <w:r>
        <w:rPr>
          <w:color w:val="231F20"/>
          <w:w w:val="105"/>
          <w:sz w:val="16"/>
        </w:rPr>
        <w:t>228–229</w:t>
      </w:r>
      <w:r>
        <w:rPr>
          <w:i/>
          <w:color w:val="231F20"/>
          <w:w w:val="105"/>
          <w:sz w:val="16"/>
        </w:rPr>
        <w:t>,</w:t>
      </w:r>
    </w:p>
    <w:p w14:paraId="7CD83659" w14:textId="77777777" w:rsidR="002653E8" w:rsidRDefault="003115E3">
      <w:pPr>
        <w:spacing w:before="2"/>
        <w:ind w:left="1527"/>
        <w:rPr>
          <w:i/>
          <w:sz w:val="16"/>
        </w:rPr>
      </w:pPr>
      <w:r>
        <w:rPr>
          <w:color w:val="231F20"/>
          <w:w w:val="105"/>
          <w:sz w:val="16"/>
        </w:rPr>
        <w:t>229–230</w:t>
      </w:r>
      <w:r>
        <w:rPr>
          <w:i/>
          <w:color w:val="231F20"/>
          <w:w w:val="105"/>
          <w:sz w:val="16"/>
        </w:rPr>
        <w:t xml:space="preserve">, </w:t>
      </w:r>
      <w:r>
        <w:rPr>
          <w:color w:val="231F20"/>
          <w:w w:val="105"/>
          <w:sz w:val="16"/>
        </w:rPr>
        <w:t>275</w:t>
      </w:r>
      <w:r>
        <w:rPr>
          <w:i/>
          <w:color w:val="231F20"/>
          <w:w w:val="105"/>
          <w:sz w:val="16"/>
        </w:rPr>
        <w:t xml:space="preserve">, </w:t>
      </w:r>
      <w:r>
        <w:rPr>
          <w:color w:val="231F20"/>
          <w:w w:val="105"/>
          <w:sz w:val="16"/>
        </w:rPr>
        <w:t>305</w:t>
      </w:r>
      <w:r>
        <w:rPr>
          <w:i/>
          <w:color w:val="231F20"/>
          <w:w w:val="105"/>
          <w:sz w:val="16"/>
        </w:rPr>
        <w:t xml:space="preserve">, </w:t>
      </w:r>
      <w:r>
        <w:rPr>
          <w:color w:val="231F20"/>
          <w:w w:val="105"/>
          <w:sz w:val="16"/>
        </w:rPr>
        <w:t>379</w:t>
      </w:r>
      <w:r>
        <w:rPr>
          <w:i/>
          <w:color w:val="231F20"/>
          <w:w w:val="105"/>
          <w:sz w:val="16"/>
        </w:rPr>
        <w:t xml:space="preserve">, </w:t>
      </w:r>
      <w:r>
        <w:rPr>
          <w:color w:val="231F20"/>
          <w:w w:val="105"/>
          <w:sz w:val="16"/>
        </w:rPr>
        <w:t>418</w:t>
      </w:r>
      <w:r>
        <w:rPr>
          <w:i/>
          <w:color w:val="231F20"/>
          <w:w w:val="105"/>
          <w:sz w:val="16"/>
        </w:rPr>
        <w:t xml:space="preserve">, </w:t>
      </w:r>
      <w:r>
        <w:rPr>
          <w:color w:val="231F20"/>
          <w:w w:val="105"/>
          <w:sz w:val="16"/>
        </w:rPr>
        <w:t>427</w:t>
      </w:r>
      <w:r>
        <w:rPr>
          <w:i/>
          <w:color w:val="231F20"/>
          <w:w w:val="105"/>
          <w:sz w:val="16"/>
        </w:rPr>
        <w:t>,</w:t>
      </w:r>
    </w:p>
    <w:p w14:paraId="0DA9FD87" w14:textId="77777777" w:rsidR="002653E8" w:rsidRDefault="003115E3">
      <w:pPr>
        <w:spacing w:before="32" w:line="280" w:lineRule="auto"/>
        <w:ind w:left="1527" w:right="28"/>
        <w:rPr>
          <w:sz w:val="16"/>
        </w:rPr>
      </w:pPr>
      <w:r>
        <w:rPr>
          <w:color w:val="231F20"/>
          <w:sz w:val="16"/>
        </w:rPr>
        <w:t>533; movement against nuclear weapons (1950s) 23; Otto Schily 247;</w:t>
      </w:r>
    </w:p>
    <w:p w14:paraId="4D6FEDFF" w14:textId="77777777" w:rsidR="002653E8" w:rsidRDefault="003115E3">
      <w:pPr>
        <w:spacing w:before="2"/>
        <w:ind w:left="1527"/>
        <w:rPr>
          <w:i/>
          <w:sz w:val="16"/>
        </w:rPr>
      </w:pPr>
      <w:r>
        <w:rPr>
          <w:color w:val="231F20"/>
          <w:w w:val="105"/>
          <w:sz w:val="16"/>
        </w:rPr>
        <w:t>repression 237–238</w:t>
      </w:r>
      <w:r>
        <w:rPr>
          <w:i/>
          <w:color w:val="231F20"/>
          <w:w w:val="105"/>
          <w:sz w:val="16"/>
        </w:rPr>
        <w:t xml:space="preserve">, </w:t>
      </w:r>
      <w:r>
        <w:rPr>
          <w:color w:val="231F20"/>
          <w:w w:val="105"/>
          <w:sz w:val="16"/>
        </w:rPr>
        <w:t>265–266</w:t>
      </w:r>
      <w:r>
        <w:rPr>
          <w:i/>
          <w:color w:val="231F20"/>
          <w:w w:val="105"/>
          <w:sz w:val="16"/>
        </w:rPr>
        <w:t xml:space="preserve">, </w:t>
      </w:r>
      <w:r>
        <w:rPr>
          <w:color w:val="231F20"/>
          <w:w w:val="105"/>
          <w:sz w:val="16"/>
        </w:rPr>
        <w:t>267</w:t>
      </w:r>
      <w:r>
        <w:rPr>
          <w:i/>
          <w:color w:val="231F20"/>
          <w:w w:val="105"/>
          <w:sz w:val="16"/>
        </w:rPr>
        <w:t>,</w:t>
      </w:r>
    </w:p>
    <w:p w14:paraId="5A0A3430" w14:textId="77777777" w:rsidR="002653E8" w:rsidRDefault="003115E3">
      <w:pPr>
        <w:spacing w:before="32"/>
        <w:ind w:left="1527"/>
        <w:rPr>
          <w:sz w:val="16"/>
        </w:rPr>
      </w:pPr>
      <w:r>
        <w:rPr>
          <w:color w:val="231F20"/>
          <w:w w:val="105"/>
          <w:sz w:val="16"/>
        </w:rPr>
        <w:t>418</w:t>
      </w:r>
      <w:r>
        <w:rPr>
          <w:i/>
          <w:color w:val="231F20"/>
          <w:w w:val="105"/>
          <w:sz w:val="16"/>
        </w:rPr>
        <w:t xml:space="preserve">, </w:t>
      </w:r>
      <w:r>
        <w:rPr>
          <w:color w:val="231F20"/>
          <w:w w:val="105"/>
          <w:sz w:val="16"/>
        </w:rPr>
        <w:t>533; and SDS 23–24</w:t>
      </w:r>
      <w:r>
        <w:rPr>
          <w:i/>
          <w:color w:val="231F20"/>
          <w:w w:val="105"/>
          <w:sz w:val="16"/>
        </w:rPr>
        <w:t xml:space="preserve">, </w:t>
      </w:r>
      <w:r>
        <w:rPr>
          <w:color w:val="231F20"/>
          <w:w w:val="105"/>
          <w:sz w:val="16"/>
        </w:rPr>
        <w:t>579; Zion-</w:t>
      </w:r>
    </w:p>
    <w:p w14:paraId="54810C7F" w14:textId="77777777" w:rsidR="002653E8" w:rsidRDefault="003115E3">
      <w:pPr>
        <w:spacing w:before="32"/>
        <w:ind w:left="1527"/>
        <w:rPr>
          <w:sz w:val="16"/>
        </w:rPr>
      </w:pPr>
      <w:r>
        <w:rPr>
          <w:color w:val="231F20"/>
          <w:sz w:val="16"/>
        </w:rPr>
        <w:t>ism 552</w:t>
      </w:r>
    </w:p>
    <w:p w14:paraId="75C95606" w14:textId="77777777" w:rsidR="002653E8" w:rsidRDefault="003115E3">
      <w:pPr>
        <w:spacing w:before="33"/>
        <w:ind w:left="1327"/>
        <w:rPr>
          <w:sz w:val="16"/>
        </w:rPr>
      </w:pPr>
      <w:r>
        <w:rPr>
          <w:color w:val="231F20"/>
          <w:w w:val="105"/>
          <w:sz w:val="16"/>
        </w:rPr>
        <w:t>Speitel, Angelika 514</w:t>
      </w:r>
      <w:r>
        <w:rPr>
          <w:i/>
          <w:color w:val="231F20"/>
          <w:w w:val="105"/>
          <w:sz w:val="16"/>
        </w:rPr>
        <w:t xml:space="preserve">, </w:t>
      </w:r>
      <w:r>
        <w:rPr>
          <w:color w:val="231F20"/>
          <w:w w:val="105"/>
          <w:sz w:val="16"/>
        </w:rPr>
        <w:t>527</w:t>
      </w:r>
      <w:r>
        <w:rPr>
          <w:i/>
          <w:color w:val="231F20"/>
          <w:w w:val="105"/>
          <w:sz w:val="16"/>
        </w:rPr>
        <w:t xml:space="preserve">, </w:t>
      </w:r>
      <w:r>
        <w:rPr>
          <w:color w:val="231F20"/>
          <w:w w:val="105"/>
          <w:sz w:val="16"/>
        </w:rPr>
        <w:t>576</w:t>
      </w:r>
      <w:r>
        <w:rPr>
          <w:i/>
          <w:color w:val="231F20"/>
          <w:w w:val="105"/>
          <w:sz w:val="16"/>
        </w:rPr>
        <w:t xml:space="preserve">, </w:t>
      </w:r>
      <w:r>
        <w:rPr>
          <w:color w:val="231F20"/>
          <w:w w:val="105"/>
          <w:sz w:val="16"/>
        </w:rPr>
        <w:t>607;</w:t>
      </w:r>
    </w:p>
    <w:p w14:paraId="47F627FA" w14:textId="77777777" w:rsidR="002653E8" w:rsidRDefault="003115E3">
      <w:pPr>
        <w:spacing w:before="32"/>
        <w:ind w:left="1527"/>
        <w:rPr>
          <w:sz w:val="16"/>
        </w:rPr>
      </w:pPr>
      <w:r>
        <w:rPr>
          <w:color w:val="231F20"/>
          <w:sz w:val="16"/>
        </w:rPr>
        <w:t>captured (1978) 529</w:t>
      </w:r>
      <w:r>
        <w:rPr>
          <w:i/>
          <w:color w:val="231F20"/>
          <w:sz w:val="16"/>
        </w:rPr>
        <w:t xml:space="preserve">, </w:t>
      </w:r>
      <w:r>
        <w:rPr>
          <w:color w:val="231F20"/>
          <w:sz w:val="16"/>
        </w:rPr>
        <w:t>611; Ponto</w:t>
      </w:r>
    </w:p>
    <w:p w14:paraId="49688F24" w14:textId="77777777" w:rsidR="002653E8" w:rsidRDefault="003115E3">
      <w:pPr>
        <w:spacing w:before="33"/>
        <w:ind w:left="1527"/>
        <w:rPr>
          <w:sz w:val="16"/>
        </w:rPr>
      </w:pPr>
      <w:r>
        <w:rPr>
          <w:color w:val="231F20"/>
          <w:sz w:val="16"/>
        </w:rPr>
        <w:t>assassination 474</w:t>
      </w:r>
      <w:r>
        <w:rPr>
          <w:i/>
          <w:color w:val="231F20"/>
          <w:sz w:val="16"/>
        </w:rPr>
        <w:t xml:space="preserve">, </w:t>
      </w:r>
      <w:r>
        <w:rPr>
          <w:color w:val="231F20"/>
          <w:sz w:val="16"/>
        </w:rPr>
        <w:t>606</w:t>
      </w:r>
    </w:p>
    <w:p w14:paraId="4B483271" w14:textId="77777777" w:rsidR="002653E8" w:rsidRDefault="003115E3">
      <w:pPr>
        <w:spacing w:before="86"/>
        <w:ind w:left="258"/>
        <w:rPr>
          <w:sz w:val="16"/>
        </w:rPr>
      </w:pPr>
      <w:r>
        <w:br w:type="column"/>
      </w:r>
      <w:r>
        <w:rPr>
          <w:color w:val="231F20"/>
          <w:sz w:val="16"/>
        </w:rPr>
        <w:t>Speitel, Volker 475</w:t>
      </w:r>
      <w:r>
        <w:rPr>
          <w:i/>
          <w:color w:val="231F20"/>
          <w:sz w:val="16"/>
        </w:rPr>
        <w:t xml:space="preserve">, </w:t>
      </w:r>
      <w:r>
        <w:rPr>
          <w:color w:val="231F20"/>
          <w:sz w:val="16"/>
        </w:rPr>
        <w:t>576; arrested (1977)</w:t>
      </w:r>
    </w:p>
    <w:p w14:paraId="2BC3F524" w14:textId="77777777" w:rsidR="002653E8" w:rsidRDefault="003115E3">
      <w:pPr>
        <w:spacing w:before="33"/>
        <w:ind w:left="458"/>
        <w:rPr>
          <w:sz w:val="16"/>
        </w:rPr>
      </w:pPr>
      <w:r>
        <w:rPr>
          <w:color w:val="231F20"/>
          <w:sz w:val="16"/>
        </w:rPr>
        <w:t>608; informant 514–515</w:t>
      </w:r>
      <w:r>
        <w:rPr>
          <w:i/>
          <w:color w:val="231F20"/>
          <w:sz w:val="16"/>
        </w:rPr>
        <w:t xml:space="preserve">, </w:t>
      </w:r>
      <w:r>
        <w:rPr>
          <w:color w:val="231F20"/>
          <w:sz w:val="16"/>
        </w:rPr>
        <w:t>613; trial</w:t>
      </w:r>
    </w:p>
    <w:p w14:paraId="17A0229F" w14:textId="77777777" w:rsidR="002653E8" w:rsidRDefault="003115E3">
      <w:pPr>
        <w:spacing w:before="32"/>
        <w:ind w:left="458"/>
        <w:rPr>
          <w:sz w:val="16"/>
        </w:rPr>
      </w:pPr>
      <w:r>
        <w:rPr>
          <w:color w:val="231F20"/>
          <w:sz w:val="16"/>
        </w:rPr>
        <w:t>(1978) 611</w:t>
      </w:r>
    </w:p>
    <w:p w14:paraId="755CFE9B" w14:textId="77777777" w:rsidR="002653E8" w:rsidRDefault="003115E3">
      <w:pPr>
        <w:spacing w:before="33" w:line="280" w:lineRule="auto"/>
        <w:ind w:left="458" w:right="1354" w:hanging="200"/>
        <w:jc w:val="both"/>
        <w:rPr>
          <w:i/>
          <w:sz w:val="16"/>
        </w:rPr>
      </w:pPr>
      <w:r>
        <w:rPr>
          <w:i/>
          <w:color w:val="231F20"/>
          <w:sz w:val="16"/>
        </w:rPr>
        <w:t>Spiegel</w:t>
      </w:r>
      <w:r>
        <w:rPr>
          <w:color w:val="231F20"/>
          <w:sz w:val="16"/>
        </w:rPr>
        <w:t xml:space="preserve">; abortion rights campaign 446; on Entebbe 440; mentioned by </w:t>
      </w:r>
      <w:r w:rsidR="00C507A5">
        <w:rPr>
          <w:color w:val="231F20"/>
          <w:sz w:val="16"/>
        </w:rPr>
        <w:t>red army faction</w:t>
      </w:r>
      <w:r>
        <w:rPr>
          <w:color w:val="231F20"/>
          <w:sz w:val="16"/>
        </w:rPr>
        <w:t xml:space="preserve"> 83–84</w:t>
      </w:r>
      <w:r>
        <w:rPr>
          <w:i/>
          <w:color w:val="231F20"/>
          <w:sz w:val="16"/>
        </w:rPr>
        <w:t xml:space="preserve">, </w:t>
      </w:r>
      <w:r>
        <w:rPr>
          <w:color w:val="231F20"/>
          <w:sz w:val="16"/>
        </w:rPr>
        <w:t>155</w:t>
      </w:r>
      <w:r>
        <w:rPr>
          <w:i/>
          <w:color w:val="231F20"/>
          <w:sz w:val="16"/>
        </w:rPr>
        <w:t xml:space="preserve">, </w:t>
      </w:r>
      <w:r>
        <w:rPr>
          <w:color w:val="231F20"/>
          <w:sz w:val="16"/>
        </w:rPr>
        <w:t xml:space="preserve">313; and </w:t>
      </w:r>
      <w:r w:rsidR="00C507A5">
        <w:rPr>
          <w:color w:val="231F20"/>
          <w:sz w:val="16"/>
        </w:rPr>
        <w:t>red army faction</w:t>
      </w:r>
      <w:r>
        <w:rPr>
          <w:color w:val="231F20"/>
          <w:sz w:val="16"/>
        </w:rPr>
        <w:t xml:space="preserve"> 54</w:t>
      </w:r>
      <w:r>
        <w:rPr>
          <w:i/>
          <w:color w:val="231F20"/>
          <w:sz w:val="16"/>
        </w:rPr>
        <w:t xml:space="preserve">, </w:t>
      </w:r>
      <w:r>
        <w:rPr>
          <w:color w:val="231F20"/>
          <w:sz w:val="16"/>
        </w:rPr>
        <w:t>65</w:t>
      </w:r>
      <w:r>
        <w:rPr>
          <w:i/>
          <w:color w:val="231F20"/>
          <w:sz w:val="16"/>
        </w:rPr>
        <w:t>,</w:t>
      </w:r>
    </w:p>
    <w:p w14:paraId="0BA08024" w14:textId="77777777" w:rsidR="002653E8" w:rsidRPr="00846956" w:rsidRDefault="003115E3">
      <w:pPr>
        <w:spacing w:before="1"/>
        <w:ind w:left="458"/>
        <w:rPr>
          <w:sz w:val="16"/>
          <w:lang w:val="de-DE"/>
        </w:rPr>
      </w:pPr>
      <w:r w:rsidRPr="00846956">
        <w:rPr>
          <w:color w:val="231F20"/>
          <w:w w:val="110"/>
          <w:sz w:val="16"/>
          <w:lang w:val="de-DE"/>
        </w:rPr>
        <w:t>118</w:t>
      </w:r>
      <w:r w:rsidRPr="00846956">
        <w:rPr>
          <w:i/>
          <w:color w:val="231F20"/>
          <w:w w:val="110"/>
          <w:sz w:val="16"/>
          <w:lang w:val="de-DE"/>
        </w:rPr>
        <w:t xml:space="preserve">, </w:t>
      </w:r>
      <w:r w:rsidRPr="00846956">
        <w:rPr>
          <w:color w:val="231F20"/>
          <w:w w:val="110"/>
          <w:sz w:val="16"/>
          <w:lang w:val="de-DE"/>
        </w:rPr>
        <w:t>350</w:t>
      </w:r>
      <w:r w:rsidRPr="00846956">
        <w:rPr>
          <w:i/>
          <w:color w:val="231F20"/>
          <w:w w:val="110"/>
          <w:sz w:val="16"/>
          <w:lang w:val="de-DE"/>
        </w:rPr>
        <w:t xml:space="preserve">, </w:t>
      </w:r>
      <w:r w:rsidRPr="00846956">
        <w:rPr>
          <w:color w:val="231F20"/>
          <w:w w:val="110"/>
          <w:sz w:val="16"/>
          <w:lang w:val="de-DE"/>
        </w:rPr>
        <w:t>557</w:t>
      </w:r>
      <w:r w:rsidRPr="00846956">
        <w:rPr>
          <w:i/>
          <w:color w:val="231F20"/>
          <w:w w:val="110"/>
          <w:sz w:val="16"/>
          <w:lang w:val="de-DE"/>
        </w:rPr>
        <w:t xml:space="preserve">, </w:t>
      </w:r>
      <w:r w:rsidRPr="00846956">
        <w:rPr>
          <w:color w:val="231F20"/>
          <w:w w:val="110"/>
          <w:sz w:val="16"/>
          <w:lang w:val="de-DE"/>
        </w:rPr>
        <w:t>588</w:t>
      </w:r>
      <w:r w:rsidRPr="00846956">
        <w:rPr>
          <w:i/>
          <w:color w:val="231F20"/>
          <w:w w:val="110"/>
          <w:sz w:val="16"/>
          <w:lang w:val="de-DE"/>
        </w:rPr>
        <w:t xml:space="preserve">, </w:t>
      </w:r>
      <w:r w:rsidRPr="00846956">
        <w:rPr>
          <w:color w:val="231F20"/>
          <w:w w:val="110"/>
          <w:sz w:val="16"/>
          <w:lang w:val="de-DE"/>
        </w:rPr>
        <w:t>605</w:t>
      </w:r>
      <w:r w:rsidRPr="00846956">
        <w:rPr>
          <w:i/>
          <w:color w:val="231F20"/>
          <w:w w:val="110"/>
          <w:sz w:val="16"/>
          <w:lang w:val="de-DE"/>
        </w:rPr>
        <w:t xml:space="preserve">, </w:t>
      </w:r>
      <w:r w:rsidRPr="00846956">
        <w:rPr>
          <w:color w:val="231F20"/>
          <w:w w:val="110"/>
          <w:sz w:val="16"/>
          <w:lang w:val="de-DE"/>
        </w:rPr>
        <w:t>622; on</w:t>
      </w:r>
    </w:p>
    <w:p w14:paraId="2760940F" w14:textId="77777777" w:rsidR="002653E8" w:rsidRPr="00846956" w:rsidRDefault="003115E3">
      <w:pPr>
        <w:spacing w:before="33" w:line="280" w:lineRule="auto"/>
        <w:ind w:left="458" w:right="945"/>
        <w:rPr>
          <w:sz w:val="16"/>
          <w:lang w:val="de-DE"/>
        </w:rPr>
      </w:pPr>
      <w:r w:rsidRPr="00846956">
        <w:rPr>
          <w:color w:val="231F20"/>
          <w:sz w:val="16"/>
          <w:lang w:val="de-DE"/>
        </w:rPr>
        <w:t>rearmement 11; “Wir waren in den Durststreik treten” interview 300–323</w:t>
      </w:r>
      <w:r w:rsidRPr="00846956">
        <w:rPr>
          <w:i/>
          <w:color w:val="231F20"/>
          <w:sz w:val="16"/>
          <w:lang w:val="de-DE"/>
        </w:rPr>
        <w:t xml:space="preserve">, </w:t>
      </w:r>
      <w:r w:rsidRPr="00846956">
        <w:rPr>
          <w:color w:val="231F20"/>
          <w:sz w:val="16"/>
          <w:lang w:val="de-DE"/>
        </w:rPr>
        <w:t>346</w:t>
      </w:r>
      <w:r w:rsidRPr="00846956">
        <w:rPr>
          <w:i/>
          <w:color w:val="231F20"/>
          <w:sz w:val="16"/>
          <w:lang w:val="de-DE"/>
        </w:rPr>
        <w:t xml:space="preserve">, </w:t>
      </w:r>
      <w:r w:rsidRPr="00846956">
        <w:rPr>
          <w:color w:val="231F20"/>
          <w:sz w:val="16"/>
          <w:lang w:val="de-DE"/>
        </w:rPr>
        <w:t>596; Zionism 553</w:t>
      </w:r>
    </w:p>
    <w:p w14:paraId="3F1CD905" w14:textId="77777777" w:rsidR="002653E8" w:rsidRDefault="003115E3">
      <w:pPr>
        <w:spacing w:before="1" w:line="280" w:lineRule="auto"/>
        <w:ind w:left="458" w:right="1347" w:hanging="200"/>
        <w:rPr>
          <w:sz w:val="16"/>
        </w:rPr>
      </w:pPr>
      <w:r>
        <w:rPr>
          <w:color w:val="231F20"/>
          <w:sz w:val="16"/>
        </w:rPr>
        <w:t>SPK (Socialistiches Patientenkollektiv) 108</w:t>
      </w:r>
      <w:r>
        <w:rPr>
          <w:i/>
          <w:color w:val="231F20"/>
          <w:sz w:val="16"/>
        </w:rPr>
        <w:t xml:space="preserve">, </w:t>
      </w:r>
      <w:r>
        <w:rPr>
          <w:color w:val="231F20"/>
          <w:sz w:val="16"/>
        </w:rPr>
        <w:t>517</w:t>
      </w:r>
      <w:r>
        <w:rPr>
          <w:i/>
          <w:color w:val="231F20"/>
          <w:sz w:val="16"/>
        </w:rPr>
        <w:t xml:space="preserve">, </w:t>
      </w:r>
      <w:r>
        <w:rPr>
          <w:color w:val="231F20"/>
          <w:sz w:val="16"/>
        </w:rPr>
        <w:t>584</w:t>
      </w:r>
      <w:r>
        <w:rPr>
          <w:i/>
          <w:color w:val="231F20"/>
          <w:sz w:val="16"/>
        </w:rPr>
        <w:t xml:space="preserve">, </w:t>
      </w:r>
      <w:r>
        <w:rPr>
          <w:color w:val="231F20"/>
          <w:sz w:val="16"/>
        </w:rPr>
        <w:t>587;  and  Committees</w:t>
      </w:r>
    </w:p>
    <w:p w14:paraId="50BE58ED" w14:textId="77777777" w:rsidR="002653E8" w:rsidRDefault="003115E3">
      <w:pPr>
        <w:spacing w:before="1"/>
        <w:ind w:left="458"/>
        <w:rPr>
          <w:i/>
          <w:sz w:val="16"/>
        </w:rPr>
      </w:pPr>
      <w:r>
        <w:rPr>
          <w:color w:val="231F20"/>
          <w:sz w:val="16"/>
        </w:rPr>
        <w:t xml:space="preserve">Against  Torture    245;  and  </w:t>
      </w:r>
      <w:r w:rsidR="00C507A5">
        <w:rPr>
          <w:color w:val="231F20"/>
          <w:sz w:val="16"/>
        </w:rPr>
        <w:t>red army faction</w:t>
      </w:r>
      <w:r>
        <w:rPr>
          <w:color w:val="231F20"/>
          <w:sz w:val="16"/>
        </w:rPr>
        <w:t xml:space="preserve"> 108</w:t>
      </w:r>
      <w:r>
        <w:rPr>
          <w:i/>
          <w:color w:val="231F20"/>
          <w:sz w:val="16"/>
        </w:rPr>
        <w:t>,</w:t>
      </w:r>
    </w:p>
    <w:p w14:paraId="31665A35" w14:textId="77777777" w:rsidR="002653E8" w:rsidRDefault="003115E3">
      <w:pPr>
        <w:spacing w:before="33"/>
        <w:ind w:left="458"/>
        <w:rPr>
          <w:i/>
          <w:sz w:val="16"/>
        </w:rPr>
      </w:pPr>
      <w:r>
        <w:rPr>
          <w:color w:val="231F20"/>
          <w:w w:val="110"/>
          <w:sz w:val="16"/>
        </w:rPr>
        <w:t>114</w:t>
      </w:r>
      <w:r>
        <w:rPr>
          <w:i/>
          <w:color w:val="231F20"/>
          <w:w w:val="110"/>
          <w:sz w:val="16"/>
        </w:rPr>
        <w:t xml:space="preserve">, </w:t>
      </w:r>
      <w:r>
        <w:rPr>
          <w:color w:val="231F20"/>
          <w:w w:val="110"/>
          <w:sz w:val="16"/>
        </w:rPr>
        <w:t>118</w:t>
      </w:r>
      <w:r>
        <w:rPr>
          <w:i/>
          <w:color w:val="231F20"/>
          <w:w w:val="110"/>
          <w:sz w:val="16"/>
        </w:rPr>
        <w:t xml:space="preserve">, </w:t>
      </w:r>
      <w:r>
        <w:rPr>
          <w:color w:val="231F20"/>
          <w:w w:val="110"/>
          <w:sz w:val="16"/>
        </w:rPr>
        <w:t>171</w:t>
      </w:r>
      <w:r>
        <w:rPr>
          <w:i/>
          <w:color w:val="231F20"/>
          <w:w w:val="110"/>
          <w:sz w:val="16"/>
        </w:rPr>
        <w:t xml:space="preserve">, </w:t>
      </w:r>
      <w:r>
        <w:rPr>
          <w:color w:val="231F20"/>
          <w:w w:val="110"/>
          <w:sz w:val="16"/>
        </w:rPr>
        <w:t>172</w:t>
      </w:r>
      <w:r>
        <w:rPr>
          <w:i/>
          <w:color w:val="231F20"/>
          <w:w w:val="110"/>
          <w:sz w:val="16"/>
        </w:rPr>
        <w:t xml:space="preserve">, </w:t>
      </w:r>
      <w:r>
        <w:rPr>
          <w:color w:val="231F20"/>
          <w:w w:val="110"/>
          <w:sz w:val="16"/>
        </w:rPr>
        <w:t>250</w:t>
      </w:r>
      <w:r>
        <w:rPr>
          <w:i/>
          <w:color w:val="231F20"/>
          <w:w w:val="110"/>
          <w:sz w:val="16"/>
        </w:rPr>
        <w:t xml:space="preserve">, </w:t>
      </w:r>
      <w:r>
        <w:rPr>
          <w:color w:val="231F20"/>
          <w:w w:val="110"/>
          <w:sz w:val="16"/>
        </w:rPr>
        <w:t>325</w:t>
      </w:r>
      <w:r>
        <w:rPr>
          <w:i/>
          <w:color w:val="231F20"/>
          <w:w w:val="110"/>
          <w:sz w:val="16"/>
        </w:rPr>
        <w:t xml:space="preserve">, </w:t>
      </w:r>
      <w:r>
        <w:rPr>
          <w:color w:val="231F20"/>
          <w:w w:val="110"/>
          <w:sz w:val="16"/>
        </w:rPr>
        <w:t>332</w:t>
      </w:r>
      <w:r>
        <w:rPr>
          <w:i/>
          <w:color w:val="231F20"/>
          <w:w w:val="110"/>
          <w:sz w:val="16"/>
        </w:rPr>
        <w:t>,</w:t>
      </w:r>
    </w:p>
    <w:p w14:paraId="3E9F827D" w14:textId="77777777" w:rsidR="002653E8" w:rsidRDefault="003115E3">
      <w:pPr>
        <w:spacing w:before="32"/>
        <w:ind w:left="458"/>
        <w:rPr>
          <w:sz w:val="16"/>
        </w:rPr>
      </w:pPr>
      <w:r>
        <w:rPr>
          <w:color w:val="231F20"/>
          <w:w w:val="105"/>
          <w:sz w:val="16"/>
        </w:rPr>
        <w:t>337</w:t>
      </w:r>
      <w:r>
        <w:rPr>
          <w:i/>
          <w:color w:val="231F20"/>
          <w:w w:val="105"/>
          <w:sz w:val="16"/>
        </w:rPr>
        <w:t xml:space="preserve">, </w:t>
      </w:r>
      <w:r>
        <w:rPr>
          <w:color w:val="231F20"/>
          <w:w w:val="105"/>
          <w:sz w:val="16"/>
        </w:rPr>
        <w:t>351</w:t>
      </w:r>
      <w:r>
        <w:rPr>
          <w:i/>
          <w:color w:val="231F20"/>
          <w:w w:val="105"/>
          <w:sz w:val="16"/>
        </w:rPr>
        <w:t xml:space="preserve">, </w:t>
      </w:r>
      <w:r>
        <w:rPr>
          <w:color w:val="231F20"/>
          <w:w w:val="105"/>
          <w:sz w:val="16"/>
        </w:rPr>
        <w:t xml:space="preserve">587; mentioned by </w:t>
      </w:r>
      <w:r w:rsidR="00C507A5">
        <w:rPr>
          <w:color w:val="231F20"/>
          <w:w w:val="105"/>
          <w:sz w:val="16"/>
        </w:rPr>
        <w:t>red army faction</w:t>
      </w:r>
    </w:p>
    <w:p w14:paraId="085DCA15" w14:textId="77777777" w:rsidR="002653E8" w:rsidRDefault="003115E3">
      <w:pPr>
        <w:spacing w:before="32"/>
        <w:ind w:left="458"/>
        <w:rPr>
          <w:sz w:val="16"/>
        </w:rPr>
      </w:pPr>
      <w:r>
        <w:rPr>
          <w:color w:val="231F20"/>
          <w:w w:val="105"/>
          <w:sz w:val="16"/>
        </w:rPr>
        <w:t>147</w:t>
      </w:r>
      <w:r>
        <w:rPr>
          <w:i/>
          <w:color w:val="231F20"/>
          <w:w w:val="105"/>
          <w:sz w:val="16"/>
        </w:rPr>
        <w:t xml:space="preserve">, </w:t>
      </w:r>
      <w:r>
        <w:rPr>
          <w:color w:val="231F20"/>
          <w:w w:val="105"/>
          <w:sz w:val="16"/>
        </w:rPr>
        <w:t>401</w:t>
      </w:r>
    </w:p>
    <w:p w14:paraId="111E44D9" w14:textId="77777777" w:rsidR="002653E8" w:rsidRDefault="003115E3">
      <w:pPr>
        <w:spacing w:before="33" w:line="280" w:lineRule="auto"/>
        <w:ind w:left="458" w:right="1345" w:hanging="200"/>
        <w:rPr>
          <w:sz w:val="16"/>
        </w:rPr>
      </w:pPr>
      <w:r>
        <w:rPr>
          <w:color w:val="231F20"/>
          <w:w w:val="105"/>
          <w:sz w:val="16"/>
        </w:rPr>
        <w:t>spontis 43</w:t>
      </w:r>
      <w:r>
        <w:rPr>
          <w:i/>
          <w:color w:val="231F20"/>
          <w:w w:val="105"/>
          <w:sz w:val="16"/>
        </w:rPr>
        <w:t xml:space="preserve">, </w:t>
      </w:r>
      <w:r>
        <w:rPr>
          <w:color w:val="231F20"/>
          <w:w w:val="105"/>
          <w:sz w:val="16"/>
        </w:rPr>
        <w:t>169</w:t>
      </w:r>
      <w:r>
        <w:rPr>
          <w:i/>
          <w:color w:val="231F20"/>
          <w:w w:val="105"/>
          <w:sz w:val="16"/>
        </w:rPr>
        <w:t xml:space="preserve">, </w:t>
      </w:r>
      <w:r>
        <w:rPr>
          <w:color w:val="231F20"/>
          <w:w w:val="105"/>
          <w:sz w:val="16"/>
        </w:rPr>
        <w:t xml:space="preserve">435–436; attitude </w:t>
      </w:r>
      <w:r>
        <w:rPr>
          <w:color w:val="231F20"/>
          <w:sz w:val="16"/>
        </w:rPr>
        <w:t xml:space="preserve">towards antinuclear movement 450; </w:t>
      </w:r>
      <w:r>
        <w:rPr>
          <w:color w:val="231F20"/>
          <w:w w:val="105"/>
          <w:sz w:val="16"/>
        </w:rPr>
        <w:t>anti-Zionism 553; Meinhof demonstration (1976) 389</w:t>
      </w:r>
      <w:r>
        <w:rPr>
          <w:i/>
          <w:color w:val="231F20"/>
          <w:w w:val="105"/>
          <w:sz w:val="16"/>
        </w:rPr>
        <w:t xml:space="preserve">, </w:t>
      </w:r>
      <w:r>
        <w:rPr>
          <w:color w:val="231F20"/>
          <w:w w:val="105"/>
          <w:sz w:val="16"/>
        </w:rPr>
        <w:t>441–442</w:t>
      </w:r>
      <w:r>
        <w:rPr>
          <w:i/>
          <w:color w:val="231F20"/>
          <w:w w:val="105"/>
          <w:sz w:val="16"/>
        </w:rPr>
        <w:t xml:space="preserve">, </w:t>
      </w:r>
      <w:r>
        <w:rPr>
          <w:color w:val="231F20"/>
          <w:w w:val="105"/>
          <w:sz w:val="16"/>
        </w:rPr>
        <w:t>600;</w:t>
      </w:r>
    </w:p>
    <w:p w14:paraId="5143FBAB" w14:textId="77777777" w:rsidR="002653E8" w:rsidRDefault="003115E3">
      <w:pPr>
        <w:spacing w:before="2"/>
        <w:ind w:left="458"/>
        <w:rPr>
          <w:i/>
          <w:sz w:val="16"/>
        </w:rPr>
      </w:pPr>
      <w:r>
        <w:rPr>
          <w:color w:val="231F20"/>
          <w:w w:val="105"/>
          <w:sz w:val="16"/>
        </w:rPr>
        <w:t xml:space="preserve">attitude towards </w:t>
      </w:r>
      <w:r w:rsidR="00C507A5">
        <w:rPr>
          <w:color w:val="231F20"/>
          <w:w w:val="105"/>
          <w:sz w:val="16"/>
        </w:rPr>
        <w:t>red army faction</w:t>
      </w:r>
      <w:r>
        <w:rPr>
          <w:color w:val="231F20"/>
          <w:w w:val="105"/>
          <w:sz w:val="16"/>
        </w:rPr>
        <w:t xml:space="preserve"> 201</w:t>
      </w:r>
      <w:r>
        <w:rPr>
          <w:i/>
          <w:color w:val="231F20"/>
          <w:w w:val="105"/>
          <w:sz w:val="16"/>
        </w:rPr>
        <w:t xml:space="preserve">, </w:t>
      </w:r>
      <w:r>
        <w:rPr>
          <w:color w:val="231F20"/>
          <w:w w:val="105"/>
          <w:sz w:val="16"/>
        </w:rPr>
        <w:t>326</w:t>
      </w:r>
      <w:r>
        <w:rPr>
          <w:i/>
          <w:color w:val="231F20"/>
          <w:w w:val="105"/>
          <w:sz w:val="16"/>
        </w:rPr>
        <w:t>,</w:t>
      </w:r>
    </w:p>
    <w:p w14:paraId="381AA9DC" w14:textId="77777777" w:rsidR="002653E8" w:rsidRDefault="003115E3">
      <w:pPr>
        <w:spacing w:before="32" w:line="280" w:lineRule="auto"/>
        <w:ind w:left="458" w:right="1257"/>
        <w:rPr>
          <w:sz w:val="16"/>
        </w:rPr>
      </w:pPr>
      <w:r>
        <w:rPr>
          <w:color w:val="231F20"/>
          <w:w w:val="105"/>
          <w:sz w:val="16"/>
        </w:rPr>
        <w:t>435–436</w:t>
      </w:r>
      <w:r>
        <w:rPr>
          <w:i/>
          <w:color w:val="231F20"/>
          <w:w w:val="105"/>
          <w:sz w:val="16"/>
        </w:rPr>
        <w:t xml:space="preserve">, </w:t>
      </w:r>
      <w:r>
        <w:rPr>
          <w:color w:val="231F20"/>
          <w:w w:val="105"/>
          <w:sz w:val="16"/>
        </w:rPr>
        <w:t>456</w:t>
      </w:r>
      <w:r>
        <w:rPr>
          <w:i/>
          <w:color w:val="231F20"/>
          <w:w w:val="105"/>
          <w:sz w:val="16"/>
        </w:rPr>
        <w:t xml:space="preserve">, </w:t>
      </w:r>
      <w:r>
        <w:rPr>
          <w:color w:val="231F20"/>
          <w:w w:val="105"/>
          <w:sz w:val="16"/>
        </w:rPr>
        <w:t xml:space="preserve">534–535; mentioned by </w:t>
      </w:r>
      <w:r w:rsidR="00C507A5">
        <w:rPr>
          <w:color w:val="231F20"/>
          <w:w w:val="105"/>
          <w:sz w:val="16"/>
        </w:rPr>
        <w:t>red army faction</w:t>
      </w:r>
      <w:r>
        <w:rPr>
          <w:color w:val="231F20"/>
          <w:w w:val="105"/>
          <w:sz w:val="16"/>
        </w:rPr>
        <w:t xml:space="preserve"> 464; third </w:t>
      </w:r>
      <w:r w:rsidR="00C507A5">
        <w:rPr>
          <w:color w:val="231F20"/>
          <w:w w:val="105"/>
          <w:sz w:val="16"/>
        </w:rPr>
        <w:t>red army faction</w:t>
      </w:r>
      <w:r>
        <w:rPr>
          <w:color w:val="231F20"/>
          <w:w w:val="105"/>
          <w:sz w:val="16"/>
        </w:rPr>
        <w:t xml:space="preserve"> hunger strike (1974-75) 254</w:t>
      </w:r>
      <w:r>
        <w:rPr>
          <w:i/>
          <w:color w:val="231F20"/>
          <w:w w:val="105"/>
          <w:sz w:val="16"/>
        </w:rPr>
        <w:t xml:space="preserve">, </w:t>
      </w:r>
      <w:r>
        <w:rPr>
          <w:color w:val="231F20"/>
          <w:w w:val="105"/>
          <w:sz w:val="16"/>
        </w:rPr>
        <w:t>257</w:t>
      </w:r>
      <w:r>
        <w:rPr>
          <w:i/>
          <w:color w:val="231F20"/>
          <w:w w:val="105"/>
          <w:sz w:val="16"/>
        </w:rPr>
        <w:t xml:space="preserve">, </w:t>
      </w:r>
      <w:r>
        <w:rPr>
          <w:color w:val="231F20"/>
          <w:w w:val="105"/>
          <w:sz w:val="16"/>
        </w:rPr>
        <w:t>264–265; Tunix</w:t>
      </w:r>
    </w:p>
    <w:p w14:paraId="71F3357C" w14:textId="77777777" w:rsidR="002653E8" w:rsidRPr="00846956" w:rsidRDefault="003115E3">
      <w:pPr>
        <w:spacing w:before="2"/>
        <w:ind w:left="458"/>
        <w:rPr>
          <w:sz w:val="16"/>
          <w:lang w:val="de-DE"/>
        </w:rPr>
      </w:pPr>
      <w:r w:rsidRPr="00846956">
        <w:rPr>
          <w:color w:val="231F20"/>
          <w:sz w:val="16"/>
          <w:lang w:val="de-DE"/>
        </w:rPr>
        <w:t>(1978) 538</w:t>
      </w:r>
    </w:p>
    <w:p w14:paraId="1A57CAB6" w14:textId="77777777" w:rsidR="002653E8" w:rsidRPr="00846956" w:rsidRDefault="003115E3">
      <w:pPr>
        <w:spacing w:before="32"/>
        <w:ind w:left="258"/>
        <w:rPr>
          <w:sz w:val="16"/>
          <w:lang w:val="de-DE"/>
        </w:rPr>
      </w:pPr>
      <w:r w:rsidRPr="00846956">
        <w:rPr>
          <w:color w:val="231F20"/>
          <w:sz w:val="16"/>
          <w:lang w:val="de-DE"/>
        </w:rPr>
        <w:t>Spranger, Dietrich 532</w:t>
      </w:r>
    </w:p>
    <w:p w14:paraId="35087AEA" w14:textId="77777777" w:rsidR="002653E8" w:rsidRPr="00846956" w:rsidRDefault="003115E3">
      <w:pPr>
        <w:spacing w:before="33"/>
        <w:ind w:left="258"/>
        <w:rPr>
          <w:sz w:val="16"/>
          <w:lang w:val="de-DE"/>
        </w:rPr>
      </w:pPr>
      <w:r w:rsidRPr="00846956">
        <w:rPr>
          <w:color w:val="231F20"/>
          <w:w w:val="105"/>
          <w:sz w:val="16"/>
          <w:lang w:val="de-DE"/>
        </w:rPr>
        <w:t>Springer, Axel 576</w:t>
      </w:r>
    </w:p>
    <w:p w14:paraId="216031D6" w14:textId="77777777" w:rsidR="002653E8" w:rsidRDefault="003115E3">
      <w:pPr>
        <w:spacing w:before="32" w:line="280" w:lineRule="auto"/>
        <w:ind w:left="458" w:right="1283" w:hanging="201"/>
        <w:rPr>
          <w:sz w:val="16"/>
        </w:rPr>
      </w:pPr>
      <w:r w:rsidRPr="00846956">
        <w:rPr>
          <w:color w:val="231F20"/>
          <w:sz w:val="16"/>
          <w:lang w:val="de-DE"/>
        </w:rPr>
        <w:t>Springer Press 33</w:t>
      </w:r>
      <w:r w:rsidRPr="00846956">
        <w:rPr>
          <w:i/>
          <w:color w:val="231F20"/>
          <w:sz w:val="16"/>
          <w:lang w:val="de-DE"/>
        </w:rPr>
        <w:t xml:space="preserve">, </w:t>
      </w:r>
      <w:r w:rsidRPr="00846956">
        <w:rPr>
          <w:color w:val="231F20"/>
          <w:sz w:val="16"/>
          <w:lang w:val="de-DE"/>
        </w:rPr>
        <w:t>581</w:t>
      </w:r>
      <w:r w:rsidRPr="00846956">
        <w:rPr>
          <w:i/>
          <w:color w:val="231F20"/>
          <w:sz w:val="16"/>
          <w:lang w:val="de-DE"/>
        </w:rPr>
        <w:t xml:space="preserve">. </w:t>
      </w:r>
      <w:r>
        <w:rPr>
          <w:i/>
          <w:color w:val="231F20"/>
          <w:sz w:val="16"/>
        </w:rPr>
        <w:t xml:space="preserve">See also </w:t>
      </w:r>
      <w:r>
        <w:rPr>
          <w:color w:val="231F20"/>
          <w:sz w:val="16"/>
        </w:rPr>
        <w:t>APO (Außerparlamentarische Opposition): anti-Springer campaign; and Heinrich Böll 112</w:t>
      </w:r>
      <w:r>
        <w:rPr>
          <w:i/>
          <w:color w:val="231F20"/>
          <w:sz w:val="16"/>
        </w:rPr>
        <w:t xml:space="preserve">, </w:t>
      </w:r>
      <w:r>
        <w:rPr>
          <w:color w:val="231F20"/>
          <w:sz w:val="16"/>
        </w:rPr>
        <w:t>532</w:t>
      </w:r>
      <w:r>
        <w:rPr>
          <w:i/>
          <w:color w:val="231F20"/>
          <w:sz w:val="16"/>
        </w:rPr>
        <w:t xml:space="preserve">, </w:t>
      </w:r>
      <w:r>
        <w:rPr>
          <w:color w:val="231F20"/>
          <w:sz w:val="16"/>
        </w:rPr>
        <w:t>589; anticommunism</w:t>
      </w:r>
    </w:p>
    <w:p w14:paraId="02649585" w14:textId="77777777" w:rsidR="002653E8" w:rsidRDefault="003115E3">
      <w:pPr>
        <w:spacing w:before="2"/>
        <w:ind w:left="458"/>
        <w:rPr>
          <w:i/>
          <w:sz w:val="16"/>
        </w:rPr>
      </w:pPr>
      <w:r>
        <w:rPr>
          <w:color w:val="231F20"/>
          <w:w w:val="105"/>
          <w:sz w:val="16"/>
        </w:rPr>
        <w:t>33–34</w:t>
      </w:r>
      <w:r>
        <w:rPr>
          <w:i/>
          <w:color w:val="231F20"/>
          <w:w w:val="105"/>
          <w:sz w:val="16"/>
        </w:rPr>
        <w:t xml:space="preserve">, </w:t>
      </w:r>
      <w:r>
        <w:rPr>
          <w:color w:val="231F20"/>
          <w:w w:val="105"/>
          <w:sz w:val="16"/>
        </w:rPr>
        <w:t>36</w:t>
      </w:r>
      <w:r>
        <w:rPr>
          <w:i/>
          <w:color w:val="231F20"/>
          <w:w w:val="105"/>
          <w:sz w:val="16"/>
        </w:rPr>
        <w:t xml:space="preserve">, </w:t>
      </w:r>
      <w:r>
        <w:rPr>
          <w:color w:val="231F20"/>
          <w:w w:val="105"/>
          <w:sz w:val="16"/>
        </w:rPr>
        <w:t xml:space="preserve">581; bombed by </w:t>
      </w:r>
      <w:r w:rsidR="00C507A5">
        <w:rPr>
          <w:color w:val="231F20"/>
          <w:w w:val="105"/>
          <w:sz w:val="16"/>
        </w:rPr>
        <w:t>red army faction</w:t>
      </w:r>
      <w:r>
        <w:rPr>
          <w:color w:val="231F20"/>
          <w:w w:val="105"/>
          <w:sz w:val="16"/>
        </w:rPr>
        <w:t xml:space="preserve"> 165</w:t>
      </w:r>
      <w:r>
        <w:rPr>
          <w:i/>
          <w:color w:val="231F20"/>
          <w:w w:val="105"/>
          <w:sz w:val="16"/>
        </w:rPr>
        <w:t>,</w:t>
      </w:r>
    </w:p>
    <w:p w14:paraId="67C8BA53" w14:textId="77777777" w:rsidR="002653E8" w:rsidRDefault="003115E3">
      <w:pPr>
        <w:spacing w:before="33" w:line="280" w:lineRule="auto"/>
        <w:ind w:left="458" w:right="1320"/>
        <w:rPr>
          <w:i/>
          <w:sz w:val="16"/>
        </w:rPr>
      </w:pPr>
      <w:r>
        <w:rPr>
          <w:color w:val="231F20"/>
          <w:w w:val="105"/>
          <w:sz w:val="16"/>
        </w:rPr>
        <w:t>177</w:t>
      </w:r>
      <w:r>
        <w:rPr>
          <w:i/>
          <w:color w:val="231F20"/>
          <w:w w:val="105"/>
          <w:sz w:val="16"/>
        </w:rPr>
        <w:t xml:space="preserve">, </w:t>
      </w:r>
      <w:r>
        <w:rPr>
          <w:color w:val="231F20"/>
          <w:w w:val="105"/>
          <w:sz w:val="16"/>
        </w:rPr>
        <w:t>179</w:t>
      </w:r>
      <w:r>
        <w:rPr>
          <w:i/>
          <w:color w:val="231F20"/>
          <w:w w:val="105"/>
          <w:sz w:val="16"/>
        </w:rPr>
        <w:t xml:space="preserve">, </w:t>
      </w:r>
      <w:r>
        <w:rPr>
          <w:color w:val="231F20"/>
          <w:w w:val="105"/>
          <w:sz w:val="16"/>
        </w:rPr>
        <w:t>180</w:t>
      </w:r>
      <w:r>
        <w:rPr>
          <w:i/>
          <w:color w:val="231F20"/>
          <w:w w:val="105"/>
          <w:sz w:val="16"/>
        </w:rPr>
        <w:t xml:space="preserve">. See also </w:t>
      </w:r>
      <w:r w:rsidR="00C507A5">
        <w:rPr>
          <w:color w:val="231F20"/>
          <w:w w:val="105"/>
          <w:sz w:val="16"/>
        </w:rPr>
        <w:t>red army faction</w:t>
      </w:r>
      <w:r>
        <w:rPr>
          <w:color w:val="231F20"/>
          <w:w w:val="105"/>
          <w:sz w:val="16"/>
        </w:rPr>
        <w:t xml:space="preserve"> (Red Army Faction): attack on Springer Building (1972); mentioned by </w:t>
      </w:r>
      <w:r w:rsidR="00C507A5">
        <w:rPr>
          <w:color w:val="231F20"/>
          <w:w w:val="105"/>
          <w:sz w:val="16"/>
        </w:rPr>
        <w:t>red army faction</w:t>
      </w:r>
      <w:r>
        <w:rPr>
          <w:color w:val="231F20"/>
          <w:w w:val="112"/>
          <w:sz w:val="16"/>
        </w:rPr>
        <w:t xml:space="preserve"> </w:t>
      </w:r>
      <w:r>
        <w:rPr>
          <w:color w:val="231F20"/>
          <w:w w:val="105"/>
          <w:sz w:val="16"/>
        </w:rPr>
        <w:t>71</w:t>
      </w:r>
      <w:r>
        <w:rPr>
          <w:i/>
          <w:color w:val="231F20"/>
          <w:w w:val="105"/>
          <w:sz w:val="16"/>
        </w:rPr>
        <w:t xml:space="preserve">, </w:t>
      </w:r>
      <w:r>
        <w:rPr>
          <w:color w:val="231F20"/>
          <w:w w:val="105"/>
          <w:sz w:val="16"/>
        </w:rPr>
        <w:t>83</w:t>
      </w:r>
      <w:r>
        <w:rPr>
          <w:i/>
          <w:color w:val="231F20"/>
          <w:w w:val="105"/>
          <w:sz w:val="16"/>
        </w:rPr>
        <w:t xml:space="preserve">, </w:t>
      </w:r>
      <w:r>
        <w:rPr>
          <w:color w:val="231F20"/>
          <w:w w:val="105"/>
          <w:sz w:val="16"/>
        </w:rPr>
        <w:t>86</w:t>
      </w:r>
      <w:r>
        <w:rPr>
          <w:i/>
          <w:color w:val="231F20"/>
          <w:w w:val="105"/>
          <w:sz w:val="16"/>
        </w:rPr>
        <w:t xml:space="preserve">, </w:t>
      </w:r>
      <w:r>
        <w:rPr>
          <w:color w:val="231F20"/>
          <w:w w:val="105"/>
          <w:sz w:val="16"/>
        </w:rPr>
        <w:t>93</w:t>
      </w:r>
      <w:r>
        <w:rPr>
          <w:i/>
          <w:color w:val="231F20"/>
          <w:w w:val="105"/>
          <w:sz w:val="16"/>
        </w:rPr>
        <w:t xml:space="preserve">, </w:t>
      </w:r>
      <w:r>
        <w:rPr>
          <w:color w:val="231F20"/>
          <w:w w:val="105"/>
          <w:sz w:val="16"/>
        </w:rPr>
        <w:t>99</w:t>
      </w:r>
      <w:r>
        <w:rPr>
          <w:i/>
          <w:color w:val="231F20"/>
          <w:w w:val="105"/>
          <w:sz w:val="16"/>
        </w:rPr>
        <w:t xml:space="preserve">, </w:t>
      </w:r>
      <w:r>
        <w:rPr>
          <w:color w:val="231F20"/>
          <w:w w:val="105"/>
          <w:sz w:val="16"/>
        </w:rPr>
        <w:t>101</w:t>
      </w:r>
      <w:r>
        <w:rPr>
          <w:i/>
          <w:color w:val="231F20"/>
          <w:w w:val="105"/>
          <w:sz w:val="16"/>
        </w:rPr>
        <w:t xml:space="preserve">, </w:t>
      </w:r>
      <w:r>
        <w:rPr>
          <w:color w:val="231F20"/>
          <w:w w:val="105"/>
          <w:sz w:val="16"/>
        </w:rPr>
        <w:t>103</w:t>
      </w:r>
      <w:r>
        <w:rPr>
          <w:i/>
          <w:color w:val="231F20"/>
          <w:w w:val="105"/>
          <w:sz w:val="16"/>
        </w:rPr>
        <w:t xml:space="preserve">, </w:t>
      </w:r>
      <w:r>
        <w:rPr>
          <w:color w:val="231F20"/>
          <w:w w:val="105"/>
          <w:sz w:val="16"/>
        </w:rPr>
        <w:t>146</w:t>
      </w:r>
      <w:r>
        <w:rPr>
          <w:i/>
          <w:color w:val="231F20"/>
          <w:w w:val="105"/>
          <w:sz w:val="16"/>
        </w:rPr>
        <w:t>,</w:t>
      </w:r>
    </w:p>
    <w:p w14:paraId="1AA0E609" w14:textId="77777777" w:rsidR="002653E8" w:rsidRDefault="003115E3">
      <w:pPr>
        <w:spacing w:before="2"/>
        <w:ind w:left="458"/>
        <w:rPr>
          <w:i/>
          <w:sz w:val="16"/>
        </w:rPr>
      </w:pPr>
      <w:r>
        <w:rPr>
          <w:color w:val="231F20"/>
          <w:w w:val="110"/>
          <w:sz w:val="16"/>
        </w:rPr>
        <w:t>150–151</w:t>
      </w:r>
      <w:r>
        <w:rPr>
          <w:i/>
          <w:color w:val="231F20"/>
          <w:w w:val="110"/>
          <w:sz w:val="16"/>
        </w:rPr>
        <w:t xml:space="preserve">, </w:t>
      </w:r>
      <w:r>
        <w:rPr>
          <w:color w:val="231F20"/>
          <w:w w:val="110"/>
          <w:sz w:val="16"/>
        </w:rPr>
        <w:t>206</w:t>
      </w:r>
      <w:r>
        <w:rPr>
          <w:i/>
          <w:color w:val="231F20"/>
          <w:w w:val="110"/>
          <w:sz w:val="16"/>
        </w:rPr>
        <w:t xml:space="preserve">, </w:t>
      </w:r>
      <w:r>
        <w:rPr>
          <w:color w:val="231F20"/>
          <w:w w:val="110"/>
          <w:sz w:val="16"/>
        </w:rPr>
        <w:t>207</w:t>
      </w:r>
      <w:r>
        <w:rPr>
          <w:i/>
          <w:color w:val="231F20"/>
          <w:w w:val="110"/>
          <w:sz w:val="16"/>
        </w:rPr>
        <w:t xml:space="preserve">, </w:t>
      </w:r>
      <w:r>
        <w:rPr>
          <w:color w:val="231F20"/>
          <w:w w:val="110"/>
          <w:sz w:val="16"/>
        </w:rPr>
        <w:t>232</w:t>
      </w:r>
      <w:r>
        <w:rPr>
          <w:i/>
          <w:color w:val="231F20"/>
          <w:w w:val="110"/>
          <w:sz w:val="16"/>
        </w:rPr>
        <w:t xml:space="preserve">, </w:t>
      </w:r>
      <w:r>
        <w:rPr>
          <w:color w:val="231F20"/>
          <w:w w:val="110"/>
          <w:sz w:val="16"/>
        </w:rPr>
        <w:t>235</w:t>
      </w:r>
      <w:r>
        <w:rPr>
          <w:i/>
          <w:color w:val="231F20"/>
          <w:w w:val="110"/>
          <w:sz w:val="16"/>
        </w:rPr>
        <w:t xml:space="preserve">, </w:t>
      </w:r>
      <w:r>
        <w:rPr>
          <w:color w:val="231F20"/>
          <w:w w:val="110"/>
          <w:sz w:val="16"/>
        </w:rPr>
        <w:t>274</w:t>
      </w:r>
      <w:r>
        <w:rPr>
          <w:i/>
          <w:color w:val="231F20"/>
          <w:w w:val="110"/>
          <w:sz w:val="16"/>
        </w:rPr>
        <w:t>,</w:t>
      </w:r>
    </w:p>
    <w:p w14:paraId="29A5B69F" w14:textId="77777777" w:rsidR="002653E8" w:rsidRDefault="003115E3">
      <w:pPr>
        <w:spacing w:before="32"/>
        <w:ind w:left="458"/>
        <w:rPr>
          <w:sz w:val="16"/>
        </w:rPr>
      </w:pPr>
      <w:r>
        <w:rPr>
          <w:color w:val="231F20"/>
          <w:w w:val="105"/>
          <w:sz w:val="16"/>
        </w:rPr>
        <w:t xml:space="preserve">303; on the </w:t>
      </w:r>
      <w:r w:rsidR="00C507A5">
        <w:rPr>
          <w:color w:val="231F20"/>
          <w:w w:val="105"/>
          <w:sz w:val="16"/>
        </w:rPr>
        <w:t>red army faction</w:t>
      </w:r>
      <w:r>
        <w:rPr>
          <w:color w:val="231F20"/>
          <w:w w:val="105"/>
          <w:sz w:val="16"/>
        </w:rPr>
        <w:t xml:space="preserve"> 112</w:t>
      </w:r>
      <w:r>
        <w:rPr>
          <w:i/>
          <w:color w:val="231F20"/>
          <w:w w:val="105"/>
          <w:sz w:val="16"/>
        </w:rPr>
        <w:t xml:space="preserve">, </w:t>
      </w:r>
      <w:r>
        <w:rPr>
          <w:color w:val="231F20"/>
          <w:w w:val="105"/>
          <w:sz w:val="16"/>
        </w:rPr>
        <w:t>586; Zionism</w:t>
      </w:r>
    </w:p>
    <w:p w14:paraId="555BB2F3" w14:textId="77777777" w:rsidR="002653E8" w:rsidRPr="00846956" w:rsidRDefault="003115E3">
      <w:pPr>
        <w:spacing w:before="33"/>
        <w:ind w:left="458"/>
        <w:rPr>
          <w:sz w:val="16"/>
          <w:lang w:val="de-DE"/>
        </w:rPr>
      </w:pPr>
      <w:r w:rsidRPr="00846956">
        <w:rPr>
          <w:color w:val="231F20"/>
          <w:w w:val="105"/>
          <w:sz w:val="16"/>
          <w:lang w:val="de-DE"/>
        </w:rPr>
        <w:t>207</w:t>
      </w:r>
      <w:r w:rsidRPr="00846956">
        <w:rPr>
          <w:i/>
          <w:color w:val="231F20"/>
          <w:w w:val="105"/>
          <w:sz w:val="16"/>
          <w:lang w:val="de-DE"/>
        </w:rPr>
        <w:t xml:space="preserve">, </w:t>
      </w:r>
      <w:r w:rsidRPr="00846956">
        <w:rPr>
          <w:color w:val="231F20"/>
          <w:w w:val="105"/>
          <w:sz w:val="16"/>
          <w:lang w:val="de-DE"/>
        </w:rPr>
        <w:t>552</w:t>
      </w:r>
      <w:r w:rsidRPr="00846956">
        <w:rPr>
          <w:i/>
          <w:color w:val="231F20"/>
          <w:w w:val="105"/>
          <w:sz w:val="16"/>
          <w:lang w:val="de-DE"/>
        </w:rPr>
        <w:t xml:space="preserve">, </w:t>
      </w:r>
      <w:r w:rsidRPr="00846956">
        <w:rPr>
          <w:color w:val="231F20"/>
          <w:w w:val="105"/>
          <w:sz w:val="16"/>
          <w:lang w:val="de-DE"/>
        </w:rPr>
        <w:t>552–553</w:t>
      </w:r>
    </w:p>
    <w:p w14:paraId="39ECEF2B" w14:textId="77777777" w:rsidR="002653E8" w:rsidRPr="00846956" w:rsidRDefault="003115E3">
      <w:pPr>
        <w:spacing w:before="32"/>
        <w:ind w:left="258"/>
        <w:rPr>
          <w:sz w:val="16"/>
          <w:lang w:val="de-DE"/>
        </w:rPr>
      </w:pPr>
      <w:r w:rsidRPr="00846956">
        <w:rPr>
          <w:color w:val="231F20"/>
          <w:sz w:val="16"/>
          <w:lang w:val="de-DE"/>
        </w:rPr>
        <w:t>Springer Tribunal 581</w:t>
      </w:r>
    </w:p>
    <w:p w14:paraId="51A004C2" w14:textId="77777777" w:rsidR="002653E8" w:rsidRPr="00846956" w:rsidRDefault="003115E3">
      <w:pPr>
        <w:spacing w:before="33"/>
        <w:ind w:left="258"/>
        <w:rPr>
          <w:sz w:val="16"/>
          <w:lang w:val="de-DE"/>
        </w:rPr>
      </w:pPr>
      <w:r w:rsidRPr="00846956">
        <w:rPr>
          <w:color w:val="231F20"/>
          <w:w w:val="105"/>
          <w:sz w:val="16"/>
          <w:lang w:val="de-DE"/>
        </w:rPr>
        <w:t>squats 147</w:t>
      </w:r>
      <w:r w:rsidRPr="00846956">
        <w:rPr>
          <w:i/>
          <w:color w:val="231F20"/>
          <w:w w:val="105"/>
          <w:sz w:val="16"/>
          <w:lang w:val="de-DE"/>
        </w:rPr>
        <w:t xml:space="preserve">, </w:t>
      </w:r>
      <w:r w:rsidRPr="00846956">
        <w:rPr>
          <w:color w:val="231F20"/>
          <w:w w:val="105"/>
          <w:sz w:val="16"/>
          <w:lang w:val="de-DE"/>
        </w:rPr>
        <w:t>184</w:t>
      </w:r>
      <w:r w:rsidRPr="00846956">
        <w:rPr>
          <w:i/>
          <w:color w:val="231F20"/>
          <w:w w:val="105"/>
          <w:sz w:val="16"/>
          <w:lang w:val="de-DE"/>
        </w:rPr>
        <w:t xml:space="preserve">, </w:t>
      </w:r>
      <w:r w:rsidRPr="00846956">
        <w:rPr>
          <w:color w:val="231F20"/>
          <w:w w:val="105"/>
          <w:sz w:val="16"/>
          <w:lang w:val="de-DE"/>
        </w:rPr>
        <w:t>333</w:t>
      </w:r>
      <w:r w:rsidRPr="00846956">
        <w:rPr>
          <w:i/>
          <w:color w:val="231F20"/>
          <w:w w:val="105"/>
          <w:sz w:val="16"/>
          <w:lang w:val="de-DE"/>
        </w:rPr>
        <w:t xml:space="preserve">, </w:t>
      </w:r>
      <w:r w:rsidRPr="00846956">
        <w:rPr>
          <w:color w:val="231F20"/>
          <w:w w:val="105"/>
          <w:sz w:val="16"/>
          <w:lang w:val="de-DE"/>
        </w:rPr>
        <w:t>460; Frankfurt</w:t>
      </w:r>
    </w:p>
    <w:p w14:paraId="02E372E7" w14:textId="77777777" w:rsidR="002653E8" w:rsidRPr="00846956" w:rsidRDefault="003115E3">
      <w:pPr>
        <w:spacing w:before="32"/>
        <w:ind w:left="458"/>
        <w:rPr>
          <w:sz w:val="16"/>
          <w:lang w:val="de-DE"/>
        </w:rPr>
      </w:pPr>
      <w:r w:rsidRPr="00846956">
        <w:rPr>
          <w:color w:val="231F20"/>
          <w:w w:val="105"/>
          <w:sz w:val="16"/>
          <w:lang w:val="de-DE"/>
        </w:rPr>
        <w:t>435</w:t>
      </w:r>
      <w:r w:rsidRPr="00846956">
        <w:rPr>
          <w:i/>
          <w:color w:val="231F20"/>
          <w:w w:val="105"/>
          <w:sz w:val="16"/>
          <w:lang w:val="de-DE"/>
        </w:rPr>
        <w:t xml:space="preserve">, </w:t>
      </w:r>
      <w:r w:rsidRPr="00846956">
        <w:rPr>
          <w:color w:val="231F20"/>
          <w:w w:val="105"/>
          <w:sz w:val="16"/>
          <w:lang w:val="de-DE"/>
        </w:rPr>
        <w:t>436; Hamburg 435</w:t>
      </w:r>
      <w:r w:rsidRPr="00846956">
        <w:rPr>
          <w:i/>
          <w:color w:val="231F20"/>
          <w:w w:val="105"/>
          <w:sz w:val="16"/>
          <w:lang w:val="de-DE"/>
        </w:rPr>
        <w:t xml:space="preserve">, </w:t>
      </w:r>
      <w:r w:rsidRPr="00846956">
        <w:rPr>
          <w:color w:val="231F20"/>
          <w:w w:val="105"/>
          <w:sz w:val="16"/>
          <w:lang w:val="de-DE"/>
        </w:rPr>
        <w:t>474; Han-</w:t>
      </w:r>
    </w:p>
    <w:p w14:paraId="6ABBB506" w14:textId="77777777" w:rsidR="002653E8" w:rsidRPr="00846956" w:rsidRDefault="003115E3">
      <w:pPr>
        <w:spacing w:before="33"/>
        <w:ind w:left="458"/>
        <w:rPr>
          <w:sz w:val="16"/>
          <w:lang w:val="de-DE"/>
        </w:rPr>
      </w:pPr>
      <w:r w:rsidRPr="00846956">
        <w:rPr>
          <w:color w:val="231F20"/>
          <w:sz w:val="16"/>
          <w:lang w:val="de-DE"/>
        </w:rPr>
        <w:t>nover 148; Kassel 148</w:t>
      </w:r>
    </w:p>
    <w:p w14:paraId="3E1C8E5C" w14:textId="77777777" w:rsidR="002653E8" w:rsidRDefault="003115E3">
      <w:pPr>
        <w:spacing w:before="32"/>
        <w:ind w:left="258"/>
        <w:rPr>
          <w:sz w:val="16"/>
        </w:rPr>
      </w:pPr>
      <w:r>
        <w:rPr>
          <w:color w:val="231F20"/>
          <w:w w:val="105"/>
          <w:sz w:val="16"/>
        </w:rPr>
        <w:t>Stachowiak, Ilse 59</w:t>
      </w:r>
      <w:r>
        <w:rPr>
          <w:i/>
          <w:color w:val="231F20"/>
          <w:w w:val="105"/>
          <w:sz w:val="16"/>
        </w:rPr>
        <w:t xml:space="preserve">, </w:t>
      </w:r>
      <w:r>
        <w:rPr>
          <w:color w:val="231F20"/>
          <w:w w:val="105"/>
          <w:sz w:val="16"/>
        </w:rPr>
        <w:t>576</w:t>
      </w:r>
      <w:r>
        <w:rPr>
          <w:i/>
          <w:color w:val="231F20"/>
          <w:w w:val="105"/>
          <w:sz w:val="16"/>
        </w:rPr>
        <w:t xml:space="preserve">, </w:t>
      </w:r>
      <w:r>
        <w:rPr>
          <w:color w:val="231F20"/>
          <w:w w:val="105"/>
          <w:sz w:val="16"/>
        </w:rPr>
        <w:t>585; captured</w:t>
      </w:r>
    </w:p>
    <w:p w14:paraId="688E2E78" w14:textId="77777777" w:rsidR="002653E8" w:rsidRDefault="003115E3">
      <w:pPr>
        <w:spacing w:before="32"/>
        <w:ind w:left="458"/>
        <w:rPr>
          <w:sz w:val="16"/>
        </w:rPr>
      </w:pPr>
      <w:r>
        <w:rPr>
          <w:color w:val="231F20"/>
          <w:sz w:val="16"/>
        </w:rPr>
        <w:t>(1971) 64</w:t>
      </w:r>
      <w:r>
        <w:rPr>
          <w:i/>
          <w:color w:val="231F20"/>
          <w:sz w:val="16"/>
        </w:rPr>
        <w:t xml:space="preserve">, </w:t>
      </w:r>
      <w:r>
        <w:rPr>
          <w:color w:val="231F20"/>
          <w:sz w:val="16"/>
        </w:rPr>
        <w:t>586; captured (1974)</w:t>
      </w:r>
    </w:p>
    <w:p w14:paraId="3199A3A3" w14:textId="77777777" w:rsidR="002653E8" w:rsidRDefault="003115E3">
      <w:pPr>
        <w:spacing w:before="33"/>
        <w:ind w:left="458"/>
        <w:rPr>
          <w:sz w:val="16"/>
        </w:rPr>
      </w:pPr>
      <w:r>
        <w:rPr>
          <w:color w:val="231F20"/>
          <w:sz w:val="16"/>
        </w:rPr>
        <w:lastRenderedPageBreak/>
        <w:t>325–326</w:t>
      </w:r>
      <w:r>
        <w:rPr>
          <w:i/>
          <w:color w:val="231F20"/>
          <w:sz w:val="16"/>
        </w:rPr>
        <w:t xml:space="preserve">, </w:t>
      </w:r>
      <w:r>
        <w:rPr>
          <w:color w:val="231F20"/>
          <w:sz w:val="16"/>
        </w:rPr>
        <w:t>594; release demanded 339</w:t>
      </w:r>
    </w:p>
    <w:p w14:paraId="6E276939" w14:textId="77777777" w:rsidR="002653E8" w:rsidRDefault="002653E8">
      <w:pPr>
        <w:rPr>
          <w:sz w:val="16"/>
        </w:rPr>
        <w:sectPr w:rsidR="002653E8">
          <w:pgSz w:w="8640" w:h="12960"/>
          <w:pgMar w:top="1080" w:right="0" w:bottom="1040" w:left="0" w:header="0" w:footer="846" w:gutter="0"/>
          <w:cols w:num="2" w:space="720" w:equalWidth="0">
            <w:col w:w="4252" w:space="40"/>
            <w:col w:w="4348"/>
          </w:cols>
        </w:sectPr>
      </w:pPr>
    </w:p>
    <w:p w14:paraId="78FC94B5" w14:textId="77777777" w:rsidR="002653E8" w:rsidRPr="00846956" w:rsidRDefault="003115E3">
      <w:pPr>
        <w:spacing w:before="86" w:line="280" w:lineRule="auto"/>
        <w:ind w:left="1147" w:right="1134"/>
        <w:jc w:val="both"/>
        <w:rPr>
          <w:sz w:val="16"/>
          <w:lang w:val="de-DE"/>
        </w:rPr>
      </w:pPr>
      <w:r w:rsidRPr="00846956">
        <w:rPr>
          <w:color w:val="231F20"/>
          <w:w w:val="105"/>
          <w:sz w:val="16"/>
          <w:lang w:val="de-DE"/>
        </w:rPr>
        <w:lastRenderedPageBreak/>
        <w:t>Stahl, Alexander von 623 Stahl, Wolfgang 333</w:t>
      </w:r>
      <w:r w:rsidRPr="00846956">
        <w:rPr>
          <w:i/>
          <w:color w:val="231F20"/>
          <w:w w:val="105"/>
          <w:sz w:val="16"/>
          <w:lang w:val="de-DE"/>
        </w:rPr>
        <w:t xml:space="preserve">, </w:t>
      </w:r>
      <w:r w:rsidRPr="00846956">
        <w:rPr>
          <w:color w:val="231F20"/>
          <w:w w:val="105"/>
          <w:sz w:val="16"/>
          <w:lang w:val="de-DE"/>
        </w:rPr>
        <w:t>339 Stammheim (book) xx</w:t>
      </w:r>
    </w:p>
    <w:p w14:paraId="0CE1DE44" w14:textId="77777777" w:rsidR="002653E8" w:rsidRDefault="003115E3">
      <w:pPr>
        <w:spacing w:before="2" w:line="280" w:lineRule="auto"/>
        <w:ind w:left="1347" w:right="197" w:hanging="200"/>
        <w:rPr>
          <w:sz w:val="16"/>
        </w:rPr>
      </w:pPr>
      <w:r>
        <w:rPr>
          <w:color w:val="231F20"/>
          <w:w w:val="105"/>
          <w:sz w:val="16"/>
        </w:rPr>
        <w:t>Stammheim deaths 113</w:t>
      </w:r>
      <w:r>
        <w:rPr>
          <w:i/>
          <w:color w:val="231F20"/>
          <w:w w:val="105"/>
          <w:sz w:val="16"/>
        </w:rPr>
        <w:t xml:space="preserve">, </w:t>
      </w:r>
      <w:r>
        <w:rPr>
          <w:color w:val="231F20"/>
          <w:w w:val="105"/>
          <w:sz w:val="16"/>
        </w:rPr>
        <w:t>511–512; Baader’s autopsy 514; communication theory 515–516; demand for inquiry 528</w:t>
      </w:r>
      <w:r>
        <w:rPr>
          <w:i/>
          <w:color w:val="231F20"/>
          <w:w w:val="105"/>
          <w:sz w:val="16"/>
        </w:rPr>
        <w:t xml:space="preserve">, </w:t>
      </w:r>
      <w:r>
        <w:rPr>
          <w:color w:val="231F20"/>
          <w:w w:val="105"/>
          <w:sz w:val="16"/>
        </w:rPr>
        <w:t>610; “discoveries” in</w:t>
      </w:r>
    </w:p>
    <w:p w14:paraId="50188994" w14:textId="77777777" w:rsidR="002653E8" w:rsidRDefault="003115E3">
      <w:pPr>
        <w:spacing w:before="2" w:line="280" w:lineRule="auto"/>
        <w:ind w:left="1347" w:right="68"/>
        <w:jc w:val="both"/>
        <w:rPr>
          <w:sz w:val="16"/>
        </w:rPr>
      </w:pPr>
      <w:r>
        <w:rPr>
          <w:color w:val="231F20"/>
          <w:sz w:val="16"/>
        </w:rPr>
        <w:t>cells 516</w:t>
      </w:r>
      <w:r>
        <w:rPr>
          <w:i/>
          <w:color w:val="231F20"/>
          <w:sz w:val="16"/>
        </w:rPr>
        <w:t xml:space="preserve">, </w:t>
      </w:r>
      <w:r>
        <w:rPr>
          <w:color w:val="231F20"/>
          <w:sz w:val="16"/>
        </w:rPr>
        <w:t>519; Ensslin’s autopsy 515; flight to Mogadishu theory 516; gunsmuggling theory 513–514</w:t>
      </w:r>
      <w:r>
        <w:rPr>
          <w:i/>
          <w:color w:val="231F20"/>
          <w:sz w:val="16"/>
        </w:rPr>
        <w:t xml:space="preserve">, </w:t>
      </w:r>
      <w:r>
        <w:rPr>
          <w:color w:val="231F20"/>
          <w:sz w:val="16"/>
        </w:rPr>
        <w:t>514–515;</w:t>
      </w:r>
    </w:p>
    <w:p w14:paraId="5862D96B" w14:textId="77777777" w:rsidR="002653E8" w:rsidRDefault="003115E3">
      <w:pPr>
        <w:spacing w:before="2" w:line="280" w:lineRule="auto"/>
        <w:ind w:left="1347" w:right="35"/>
        <w:rPr>
          <w:i/>
          <w:sz w:val="16"/>
        </w:rPr>
      </w:pPr>
      <w:r>
        <w:rPr>
          <w:color w:val="231F20"/>
          <w:sz w:val="16"/>
        </w:rPr>
        <w:t>historiography 512–513; International Investigatory Commission into the Death of Ulrike Meinhof 519; Irmgard Möller 517–518; predicted by prisoners 518–519; Raspe’s autopsy 514; “suicide=murder” theory</w:t>
      </w:r>
      <w:r>
        <w:rPr>
          <w:color w:val="231F20"/>
          <w:spacing w:val="26"/>
          <w:sz w:val="16"/>
        </w:rPr>
        <w:t xml:space="preserve"> </w:t>
      </w:r>
      <w:r>
        <w:rPr>
          <w:color w:val="231F20"/>
          <w:sz w:val="16"/>
        </w:rPr>
        <w:t>511</w:t>
      </w:r>
      <w:r>
        <w:rPr>
          <w:i/>
          <w:color w:val="231F20"/>
          <w:sz w:val="16"/>
        </w:rPr>
        <w:t>,</w:t>
      </w:r>
    </w:p>
    <w:p w14:paraId="633BB1DD" w14:textId="77777777" w:rsidR="002653E8" w:rsidRPr="00846956" w:rsidRDefault="003115E3">
      <w:pPr>
        <w:spacing w:before="3"/>
        <w:ind w:left="1347"/>
        <w:rPr>
          <w:sz w:val="16"/>
          <w:lang w:val="de-DE"/>
        </w:rPr>
      </w:pPr>
      <w:r w:rsidRPr="00846956">
        <w:rPr>
          <w:color w:val="231F20"/>
          <w:sz w:val="16"/>
          <w:lang w:val="de-DE"/>
        </w:rPr>
        <w:t>516–517</w:t>
      </w:r>
    </w:p>
    <w:p w14:paraId="04235CE1" w14:textId="77777777" w:rsidR="002653E8" w:rsidRPr="00846956" w:rsidRDefault="003115E3">
      <w:pPr>
        <w:spacing w:before="32"/>
        <w:ind w:left="1147"/>
        <w:rPr>
          <w:sz w:val="16"/>
          <w:lang w:val="de-DE"/>
        </w:rPr>
      </w:pPr>
      <w:r w:rsidRPr="00846956">
        <w:rPr>
          <w:color w:val="231F20"/>
          <w:sz w:val="16"/>
          <w:lang w:val="de-DE"/>
        </w:rPr>
        <w:t>Stammheim (film) 618</w:t>
      </w:r>
    </w:p>
    <w:p w14:paraId="5BAEE54D" w14:textId="77777777" w:rsidR="002653E8" w:rsidRPr="00846956" w:rsidRDefault="003115E3">
      <w:pPr>
        <w:spacing w:before="33"/>
        <w:ind w:left="1147"/>
        <w:rPr>
          <w:i/>
          <w:sz w:val="16"/>
          <w:lang w:val="de-DE"/>
        </w:rPr>
      </w:pPr>
      <w:r w:rsidRPr="00846956">
        <w:rPr>
          <w:color w:val="231F20"/>
          <w:sz w:val="16"/>
          <w:lang w:val="de-DE"/>
        </w:rPr>
        <w:t>Stammheim trial (1976-77)   471</w:t>
      </w:r>
      <w:r w:rsidRPr="00846956">
        <w:rPr>
          <w:i/>
          <w:color w:val="231F20"/>
          <w:sz w:val="16"/>
          <w:lang w:val="de-DE"/>
        </w:rPr>
        <w:t xml:space="preserve">, </w:t>
      </w:r>
      <w:r w:rsidRPr="00846956">
        <w:rPr>
          <w:color w:val="231F20"/>
          <w:sz w:val="16"/>
          <w:lang w:val="de-DE"/>
        </w:rPr>
        <w:t>595</w:t>
      </w:r>
      <w:r w:rsidRPr="00846956">
        <w:rPr>
          <w:i/>
          <w:color w:val="231F20"/>
          <w:sz w:val="16"/>
          <w:lang w:val="de-DE"/>
        </w:rPr>
        <w:t>,</w:t>
      </w:r>
    </w:p>
    <w:p w14:paraId="5F9F9256" w14:textId="77777777" w:rsidR="002653E8" w:rsidRDefault="003115E3">
      <w:pPr>
        <w:spacing w:before="32"/>
        <w:ind w:left="1347"/>
        <w:rPr>
          <w:sz w:val="16"/>
        </w:rPr>
      </w:pPr>
      <w:r>
        <w:rPr>
          <w:color w:val="231F20"/>
          <w:w w:val="105"/>
          <w:sz w:val="16"/>
        </w:rPr>
        <w:t>598</w:t>
      </w:r>
      <w:r>
        <w:rPr>
          <w:i/>
          <w:color w:val="231F20"/>
          <w:w w:val="105"/>
          <w:sz w:val="16"/>
        </w:rPr>
        <w:t xml:space="preserve">, </w:t>
      </w:r>
      <w:r>
        <w:rPr>
          <w:color w:val="231F20"/>
          <w:w w:val="105"/>
          <w:sz w:val="16"/>
        </w:rPr>
        <w:t>599</w:t>
      </w:r>
      <w:r>
        <w:rPr>
          <w:i/>
          <w:color w:val="231F20"/>
          <w:w w:val="105"/>
          <w:sz w:val="16"/>
        </w:rPr>
        <w:t xml:space="preserve">, </w:t>
      </w:r>
      <w:r>
        <w:rPr>
          <w:color w:val="231F20"/>
          <w:w w:val="105"/>
          <w:sz w:val="16"/>
        </w:rPr>
        <w:t>600</w:t>
      </w:r>
      <w:r>
        <w:rPr>
          <w:i/>
          <w:color w:val="231F20"/>
          <w:w w:val="105"/>
          <w:sz w:val="16"/>
        </w:rPr>
        <w:t xml:space="preserve">, </w:t>
      </w:r>
      <w:r>
        <w:rPr>
          <w:color w:val="231F20"/>
          <w:w w:val="105"/>
          <w:sz w:val="16"/>
        </w:rPr>
        <w:t>603</w:t>
      </w:r>
      <w:r>
        <w:rPr>
          <w:i/>
          <w:color w:val="231F20"/>
          <w:w w:val="105"/>
          <w:sz w:val="16"/>
        </w:rPr>
        <w:t xml:space="preserve">, </w:t>
      </w:r>
      <w:r>
        <w:rPr>
          <w:color w:val="231F20"/>
          <w:w w:val="105"/>
          <w:sz w:val="16"/>
        </w:rPr>
        <w:t>604; attacks on</w:t>
      </w:r>
    </w:p>
    <w:p w14:paraId="07BDE581" w14:textId="77777777" w:rsidR="002653E8" w:rsidRDefault="003115E3">
      <w:pPr>
        <w:spacing w:before="32"/>
        <w:ind w:left="1347"/>
        <w:rPr>
          <w:i/>
          <w:sz w:val="16"/>
        </w:rPr>
      </w:pPr>
      <w:r>
        <w:rPr>
          <w:color w:val="231F20"/>
          <w:w w:val="105"/>
          <w:sz w:val="16"/>
        </w:rPr>
        <w:t>lawyers 341</w:t>
      </w:r>
      <w:r>
        <w:rPr>
          <w:i/>
          <w:color w:val="231F20"/>
          <w:w w:val="105"/>
          <w:sz w:val="16"/>
        </w:rPr>
        <w:t xml:space="preserve">, </w:t>
      </w:r>
      <w:r>
        <w:rPr>
          <w:color w:val="231F20"/>
          <w:w w:val="105"/>
          <w:sz w:val="16"/>
        </w:rPr>
        <w:t>346</w:t>
      </w:r>
      <w:r>
        <w:rPr>
          <w:i/>
          <w:color w:val="231F20"/>
          <w:w w:val="105"/>
          <w:sz w:val="16"/>
        </w:rPr>
        <w:t xml:space="preserve">, </w:t>
      </w:r>
      <w:r>
        <w:rPr>
          <w:color w:val="231F20"/>
          <w:w w:val="105"/>
          <w:sz w:val="16"/>
        </w:rPr>
        <w:t>419–421</w:t>
      </w:r>
      <w:r>
        <w:rPr>
          <w:i/>
          <w:color w:val="231F20"/>
          <w:w w:val="105"/>
          <w:sz w:val="16"/>
        </w:rPr>
        <w:t xml:space="preserve">, </w:t>
      </w:r>
      <w:r>
        <w:rPr>
          <w:color w:val="231F20"/>
          <w:w w:val="105"/>
          <w:sz w:val="16"/>
        </w:rPr>
        <w:t>597</w:t>
      </w:r>
      <w:r>
        <w:rPr>
          <w:i/>
          <w:color w:val="231F20"/>
          <w:w w:val="105"/>
          <w:sz w:val="16"/>
        </w:rPr>
        <w:t xml:space="preserve">, </w:t>
      </w:r>
      <w:r>
        <w:rPr>
          <w:color w:val="231F20"/>
          <w:w w:val="105"/>
          <w:sz w:val="16"/>
        </w:rPr>
        <w:t>598</w:t>
      </w:r>
      <w:r>
        <w:rPr>
          <w:i/>
          <w:color w:val="231F20"/>
          <w:w w:val="105"/>
          <w:sz w:val="16"/>
        </w:rPr>
        <w:t>,</w:t>
      </w:r>
    </w:p>
    <w:p w14:paraId="1B1A4DCC" w14:textId="77777777" w:rsidR="002653E8" w:rsidRDefault="003115E3">
      <w:pPr>
        <w:spacing w:before="33"/>
        <w:ind w:left="1347"/>
        <w:rPr>
          <w:i/>
          <w:sz w:val="16"/>
        </w:rPr>
      </w:pPr>
      <w:r>
        <w:rPr>
          <w:color w:val="231F20"/>
          <w:sz w:val="16"/>
        </w:rPr>
        <w:t>604; mentioned by prisoners 413–416</w:t>
      </w:r>
      <w:r>
        <w:rPr>
          <w:i/>
          <w:color w:val="231F20"/>
          <w:sz w:val="16"/>
        </w:rPr>
        <w:t>,</w:t>
      </w:r>
    </w:p>
    <w:p w14:paraId="5B274CF8" w14:textId="77777777" w:rsidR="002653E8" w:rsidRDefault="003115E3">
      <w:pPr>
        <w:spacing w:before="32" w:line="280" w:lineRule="auto"/>
        <w:ind w:left="1347" w:right="35"/>
        <w:rPr>
          <w:sz w:val="16"/>
        </w:rPr>
      </w:pPr>
      <w:r>
        <w:rPr>
          <w:color w:val="231F20"/>
          <w:sz w:val="16"/>
        </w:rPr>
        <w:t>416</w:t>
      </w:r>
      <w:r>
        <w:rPr>
          <w:i/>
          <w:color w:val="231F20"/>
          <w:sz w:val="16"/>
        </w:rPr>
        <w:t xml:space="preserve">, </w:t>
      </w:r>
      <w:r>
        <w:rPr>
          <w:color w:val="231F20"/>
          <w:sz w:val="16"/>
        </w:rPr>
        <w:t>418–424</w:t>
      </w:r>
      <w:r>
        <w:rPr>
          <w:i/>
          <w:color w:val="231F20"/>
          <w:sz w:val="16"/>
        </w:rPr>
        <w:t xml:space="preserve">, </w:t>
      </w:r>
      <w:r>
        <w:rPr>
          <w:color w:val="231F20"/>
          <w:sz w:val="16"/>
        </w:rPr>
        <w:t>428</w:t>
      </w:r>
      <w:r>
        <w:rPr>
          <w:i/>
          <w:color w:val="231F20"/>
          <w:sz w:val="16"/>
        </w:rPr>
        <w:t xml:space="preserve">, </w:t>
      </w:r>
      <w:r>
        <w:rPr>
          <w:color w:val="231F20"/>
          <w:sz w:val="16"/>
        </w:rPr>
        <w:t xml:space="preserve">429; mentioned by </w:t>
      </w:r>
      <w:r w:rsidR="00C507A5">
        <w:rPr>
          <w:color w:val="231F20"/>
          <w:sz w:val="16"/>
        </w:rPr>
        <w:t>red army faction</w:t>
      </w:r>
      <w:r>
        <w:rPr>
          <w:color w:val="231F20"/>
          <w:sz w:val="16"/>
        </w:rPr>
        <w:t xml:space="preserve"> 490–491; psychological warfare 350–351</w:t>
      </w:r>
      <w:r>
        <w:rPr>
          <w:i/>
          <w:color w:val="231F20"/>
          <w:sz w:val="16"/>
        </w:rPr>
        <w:t xml:space="preserve">, </w:t>
      </w:r>
      <w:r>
        <w:rPr>
          <w:color w:val="231F20"/>
          <w:sz w:val="16"/>
        </w:rPr>
        <w:t>352–353</w:t>
      </w:r>
      <w:r>
        <w:rPr>
          <w:i/>
          <w:color w:val="231F20"/>
          <w:sz w:val="16"/>
        </w:rPr>
        <w:t xml:space="preserve">, </w:t>
      </w:r>
      <w:r>
        <w:rPr>
          <w:color w:val="231F20"/>
          <w:sz w:val="16"/>
        </w:rPr>
        <w:t>388</w:t>
      </w:r>
      <w:r>
        <w:rPr>
          <w:i/>
          <w:color w:val="231F20"/>
          <w:sz w:val="16"/>
        </w:rPr>
        <w:t xml:space="preserve">, </w:t>
      </w:r>
      <w:r>
        <w:rPr>
          <w:color w:val="231F20"/>
          <w:sz w:val="16"/>
        </w:rPr>
        <w:t>422; special</w:t>
      </w:r>
    </w:p>
    <w:p w14:paraId="0DC0B956" w14:textId="77777777" w:rsidR="002653E8" w:rsidRDefault="003115E3">
      <w:pPr>
        <w:spacing w:before="2"/>
        <w:ind w:left="1347"/>
        <w:rPr>
          <w:sz w:val="16"/>
        </w:rPr>
      </w:pPr>
      <w:r>
        <w:rPr>
          <w:color w:val="231F20"/>
          <w:sz w:val="16"/>
        </w:rPr>
        <w:t>building   302</w:t>
      </w:r>
      <w:r>
        <w:rPr>
          <w:i/>
          <w:color w:val="231F20"/>
          <w:sz w:val="16"/>
        </w:rPr>
        <w:t xml:space="preserve">, </w:t>
      </w:r>
      <w:r>
        <w:rPr>
          <w:color w:val="231F20"/>
          <w:sz w:val="16"/>
        </w:rPr>
        <w:t>351; special legislation</w:t>
      </w:r>
    </w:p>
    <w:p w14:paraId="3592D9A8" w14:textId="77777777" w:rsidR="002653E8" w:rsidRDefault="003115E3">
      <w:pPr>
        <w:spacing w:before="32"/>
        <w:ind w:left="1347"/>
        <w:rPr>
          <w:sz w:val="16"/>
        </w:rPr>
      </w:pPr>
      <w:r>
        <w:rPr>
          <w:color w:val="231F20"/>
          <w:w w:val="105"/>
          <w:sz w:val="16"/>
        </w:rPr>
        <w:t>267</w:t>
      </w:r>
      <w:r>
        <w:rPr>
          <w:i/>
          <w:color w:val="231F20"/>
          <w:w w:val="105"/>
          <w:sz w:val="16"/>
        </w:rPr>
        <w:t>,</w:t>
      </w:r>
      <w:r>
        <w:rPr>
          <w:i/>
          <w:color w:val="231F20"/>
          <w:spacing w:val="-11"/>
          <w:w w:val="105"/>
          <w:sz w:val="16"/>
        </w:rPr>
        <w:t xml:space="preserve"> </w:t>
      </w:r>
      <w:r>
        <w:rPr>
          <w:color w:val="231F20"/>
          <w:w w:val="105"/>
          <w:sz w:val="16"/>
        </w:rPr>
        <w:t>345–346</w:t>
      </w:r>
      <w:r>
        <w:rPr>
          <w:i/>
          <w:color w:val="231F20"/>
          <w:w w:val="105"/>
          <w:sz w:val="16"/>
        </w:rPr>
        <w:t>,</w:t>
      </w:r>
      <w:r>
        <w:rPr>
          <w:i/>
          <w:color w:val="231F20"/>
          <w:spacing w:val="-11"/>
          <w:w w:val="105"/>
          <w:sz w:val="16"/>
        </w:rPr>
        <w:t xml:space="preserve"> </w:t>
      </w:r>
      <w:r>
        <w:rPr>
          <w:color w:val="231F20"/>
          <w:w w:val="105"/>
          <w:sz w:val="16"/>
        </w:rPr>
        <w:t>418–419;</w:t>
      </w:r>
      <w:r>
        <w:rPr>
          <w:color w:val="231F20"/>
          <w:spacing w:val="-11"/>
          <w:w w:val="105"/>
          <w:sz w:val="16"/>
        </w:rPr>
        <w:t xml:space="preserve"> </w:t>
      </w:r>
      <w:r>
        <w:rPr>
          <w:color w:val="231F20"/>
          <w:w w:val="105"/>
          <w:sz w:val="16"/>
        </w:rPr>
        <w:t>The</w:t>
      </w:r>
      <w:r>
        <w:rPr>
          <w:color w:val="231F20"/>
          <w:spacing w:val="-6"/>
          <w:w w:val="105"/>
          <w:sz w:val="16"/>
        </w:rPr>
        <w:t xml:space="preserve"> </w:t>
      </w:r>
      <w:r>
        <w:rPr>
          <w:color w:val="231F20"/>
          <w:w w:val="105"/>
          <w:sz w:val="16"/>
        </w:rPr>
        <w:t>Nature</w:t>
      </w:r>
      <w:r>
        <w:rPr>
          <w:color w:val="231F20"/>
          <w:spacing w:val="-6"/>
          <w:w w:val="105"/>
          <w:sz w:val="16"/>
        </w:rPr>
        <w:t xml:space="preserve"> </w:t>
      </w:r>
      <w:r>
        <w:rPr>
          <w:color w:val="231F20"/>
          <w:w w:val="105"/>
          <w:sz w:val="16"/>
        </w:rPr>
        <w:t>of</w:t>
      </w:r>
    </w:p>
    <w:p w14:paraId="5DB4CB76" w14:textId="77777777" w:rsidR="002653E8" w:rsidRDefault="003115E3">
      <w:pPr>
        <w:spacing w:before="33"/>
        <w:ind w:left="1347"/>
        <w:rPr>
          <w:sz w:val="16"/>
        </w:rPr>
      </w:pPr>
      <w:r>
        <w:rPr>
          <w:color w:val="231F20"/>
          <w:sz w:val="16"/>
        </w:rPr>
        <w:t>the Stammheim Trial (1975) 372–375</w:t>
      </w:r>
    </w:p>
    <w:p w14:paraId="7BEE4801" w14:textId="77777777" w:rsidR="002653E8" w:rsidRDefault="003115E3">
      <w:pPr>
        <w:spacing w:before="32"/>
        <w:ind w:left="1147"/>
        <w:rPr>
          <w:sz w:val="16"/>
        </w:rPr>
      </w:pPr>
      <w:r>
        <w:rPr>
          <w:color w:val="231F20"/>
          <w:w w:val="105"/>
          <w:sz w:val="16"/>
        </w:rPr>
        <w:t>Standard Oil 4</w:t>
      </w:r>
    </w:p>
    <w:p w14:paraId="7F4D3BE8" w14:textId="77777777" w:rsidR="002653E8" w:rsidRDefault="003115E3">
      <w:pPr>
        <w:spacing w:before="33" w:line="280" w:lineRule="auto"/>
        <w:ind w:left="1347" w:right="38" w:hanging="200"/>
        <w:jc w:val="both"/>
        <w:rPr>
          <w:sz w:val="16"/>
        </w:rPr>
      </w:pPr>
      <w:r>
        <w:rPr>
          <w:color w:val="231F20"/>
          <w:w w:val="105"/>
          <w:sz w:val="16"/>
        </w:rPr>
        <w:t>Stasi 4</w:t>
      </w:r>
      <w:r>
        <w:rPr>
          <w:i/>
          <w:color w:val="231F20"/>
          <w:w w:val="105"/>
          <w:sz w:val="16"/>
        </w:rPr>
        <w:t xml:space="preserve">, </w:t>
      </w:r>
      <w:r>
        <w:rPr>
          <w:color w:val="231F20"/>
          <w:w w:val="105"/>
          <w:sz w:val="16"/>
        </w:rPr>
        <w:t>58</w:t>
      </w:r>
      <w:r>
        <w:rPr>
          <w:i/>
          <w:color w:val="231F20"/>
          <w:w w:val="105"/>
          <w:sz w:val="16"/>
        </w:rPr>
        <w:t xml:space="preserve">. See also </w:t>
      </w:r>
      <w:r w:rsidR="00C507A5">
        <w:rPr>
          <w:color w:val="231F20"/>
          <w:w w:val="105"/>
          <w:sz w:val="16"/>
        </w:rPr>
        <w:t>red army faction</w:t>
      </w:r>
      <w:r>
        <w:rPr>
          <w:color w:val="231F20"/>
          <w:w w:val="105"/>
          <w:sz w:val="16"/>
        </w:rPr>
        <w:t xml:space="preserve"> (Red Army Faction): and GDR; Klaus Croissant 246; and </w:t>
      </w:r>
      <w:r w:rsidR="00C507A5">
        <w:rPr>
          <w:color w:val="231F20"/>
          <w:w w:val="105"/>
          <w:sz w:val="16"/>
        </w:rPr>
        <w:t>red army faction</w:t>
      </w:r>
      <w:r>
        <w:rPr>
          <w:color w:val="231F20"/>
          <w:w w:val="105"/>
          <w:sz w:val="16"/>
        </w:rPr>
        <w:t xml:space="preserve"> 58–59</w:t>
      </w:r>
      <w:r>
        <w:rPr>
          <w:i/>
          <w:color w:val="231F20"/>
          <w:w w:val="105"/>
          <w:sz w:val="16"/>
        </w:rPr>
        <w:t xml:space="preserve">, </w:t>
      </w:r>
      <w:r>
        <w:rPr>
          <w:color w:val="231F20"/>
          <w:w w:val="105"/>
          <w:sz w:val="16"/>
        </w:rPr>
        <w:t>619</w:t>
      </w:r>
    </w:p>
    <w:p w14:paraId="510022B3" w14:textId="77777777" w:rsidR="002653E8" w:rsidRPr="00846956" w:rsidRDefault="003115E3">
      <w:pPr>
        <w:spacing w:before="1"/>
        <w:ind w:left="1147"/>
        <w:rPr>
          <w:sz w:val="16"/>
          <w:lang w:val="de-DE"/>
        </w:rPr>
      </w:pPr>
      <w:r w:rsidRPr="00846956">
        <w:rPr>
          <w:color w:val="231F20"/>
          <w:w w:val="105"/>
          <w:sz w:val="16"/>
          <w:lang w:val="de-DE"/>
        </w:rPr>
        <w:t>Staub, Ernst Volker 616</w:t>
      </w:r>
      <w:r w:rsidRPr="00846956">
        <w:rPr>
          <w:i/>
          <w:color w:val="231F20"/>
          <w:w w:val="105"/>
          <w:sz w:val="16"/>
          <w:lang w:val="de-DE"/>
        </w:rPr>
        <w:t xml:space="preserve">, </w:t>
      </w:r>
      <w:r w:rsidRPr="00846956">
        <w:rPr>
          <w:color w:val="231F20"/>
          <w:w w:val="105"/>
          <w:sz w:val="16"/>
          <w:lang w:val="de-DE"/>
        </w:rPr>
        <w:t>626</w:t>
      </w:r>
    </w:p>
    <w:p w14:paraId="0D400AC4" w14:textId="77777777" w:rsidR="002653E8" w:rsidRPr="00846956" w:rsidRDefault="003115E3">
      <w:pPr>
        <w:spacing w:before="33"/>
        <w:ind w:left="1147"/>
        <w:rPr>
          <w:sz w:val="16"/>
          <w:lang w:val="de-DE"/>
        </w:rPr>
      </w:pPr>
      <w:r w:rsidRPr="00846956">
        <w:rPr>
          <w:color w:val="231F20"/>
          <w:sz w:val="16"/>
          <w:lang w:val="de-DE"/>
        </w:rPr>
        <w:t>Steinmetz, Klaus 623</w:t>
      </w:r>
    </w:p>
    <w:p w14:paraId="6CE9BD98" w14:textId="77777777" w:rsidR="002653E8" w:rsidRDefault="003115E3">
      <w:pPr>
        <w:spacing w:before="32"/>
        <w:ind w:left="1147"/>
        <w:rPr>
          <w:sz w:val="16"/>
        </w:rPr>
      </w:pPr>
      <w:r>
        <w:rPr>
          <w:color w:val="231F20"/>
          <w:sz w:val="16"/>
        </w:rPr>
        <w:t>Stephenson, Hugh 129</w:t>
      </w:r>
    </w:p>
    <w:p w14:paraId="5E1B597E" w14:textId="77777777" w:rsidR="002653E8" w:rsidRDefault="003115E3">
      <w:pPr>
        <w:spacing w:before="32"/>
        <w:ind w:left="1147"/>
        <w:rPr>
          <w:sz w:val="16"/>
        </w:rPr>
      </w:pPr>
      <w:r>
        <w:rPr>
          <w:i/>
          <w:color w:val="231F20"/>
          <w:sz w:val="16"/>
        </w:rPr>
        <w:t xml:space="preserve">Stern </w:t>
      </w:r>
      <w:r>
        <w:rPr>
          <w:color w:val="231F20"/>
          <w:sz w:val="16"/>
        </w:rPr>
        <w:t>525; abortion rights 446; men-</w:t>
      </w:r>
    </w:p>
    <w:p w14:paraId="5A45188E" w14:textId="77777777" w:rsidR="002653E8" w:rsidRDefault="003115E3">
      <w:pPr>
        <w:spacing w:before="33"/>
        <w:ind w:left="1347"/>
        <w:rPr>
          <w:sz w:val="16"/>
        </w:rPr>
      </w:pPr>
      <w:r>
        <w:rPr>
          <w:color w:val="231F20"/>
          <w:w w:val="105"/>
          <w:sz w:val="16"/>
        </w:rPr>
        <w:t xml:space="preserve">tioned by </w:t>
      </w:r>
      <w:r w:rsidR="00C507A5">
        <w:rPr>
          <w:color w:val="231F20"/>
          <w:w w:val="105"/>
          <w:sz w:val="16"/>
        </w:rPr>
        <w:t>red army faction</w:t>
      </w:r>
      <w:r>
        <w:rPr>
          <w:color w:val="231F20"/>
          <w:w w:val="105"/>
          <w:sz w:val="16"/>
        </w:rPr>
        <w:t xml:space="preserve"> 184</w:t>
      </w:r>
      <w:r>
        <w:rPr>
          <w:i/>
          <w:color w:val="231F20"/>
          <w:w w:val="105"/>
          <w:sz w:val="16"/>
        </w:rPr>
        <w:t xml:space="preserve">, </w:t>
      </w:r>
      <w:r>
        <w:rPr>
          <w:color w:val="231F20"/>
          <w:w w:val="105"/>
          <w:sz w:val="16"/>
        </w:rPr>
        <w:t>232</w:t>
      </w:r>
      <w:r>
        <w:rPr>
          <w:i/>
          <w:color w:val="231F20"/>
          <w:w w:val="105"/>
          <w:sz w:val="16"/>
        </w:rPr>
        <w:t xml:space="preserve">, </w:t>
      </w:r>
      <w:r>
        <w:rPr>
          <w:color w:val="231F20"/>
          <w:w w:val="105"/>
          <w:sz w:val="16"/>
        </w:rPr>
        <w:t>412</w:t>
      </w:r>
    </w:p>
    <w:p w14:paraId="27CBDB00" w14:textId="77777777" w:rsidR="002653E8" w:rsidRDefault="003115E3">
      <w:pPr>
        <w:spacing w:before="32"/>
        <w:ind w:left="1147"/>
        <w:rPr>
          <w:sz w:val="16"/>
        </w:rPr>
      </w:pPr>
      <w:r>
        <w:rPr>
          <w:color w:val="231F20"/>
          <w:sz w:val="16"/>
        </w:rPr>
        <w:t>Sternebeck, Sigrid 527</w:t>
      </w:r>
      <w:r>
        <w:rPr>
          <w:i/>
          <w:color w:val="231F20"/>
          <w:sz w:val="16"/>
        </w:rPr>
        <w:t xml:space="preserve">, </w:t>
      </w:r>
      <w:r>
        <w:rPr>
          <w:color w:val="231F20"/>
          <w:sz w:val="16"/>
        </w:rPr>
        <w:t>576; arrested</w:t>
      </w:r>
    </w:p>
    <w:p w14:paraId="529D598E" w14:textId="77777777" w:rsidR="002653E8" w:rsidRDefault="003115E3">
      <w:pPr>
        <w:spacing w:before="33"/>
        <w:ind w:left="1347"/>
        <w:rPr>
          <w:sz w:val="16"/>
        </w:rPr>
      </w:pPr>
      <w:r>
        <w:rPr>
          <w:color w:val="231F20"/>
          <w:w w:val="105"/>
          <w:sz w:val="16"/>
        </w:rPr>
        <w:t>(1990) 620; in the GDR 614; Ham-</w:t>
      </w:r>
    </w:p>
    <w:p w14:paraId="79816C28" w14:textId="77777777" w:rsidR="002653E8" w:rsidRDefault="003115E3">
      <w:pPr>
        <w:spacing w:before="32" w:line="280" w:lineRule="auto"/>
        <w:ind w:left="1347" w:right="35"/>
        <w:rPr>
          <w:sz w:val="16"/>
        </w:rPr>
      </w:pPr>
      <w:r>
        <w:rPr>
          <w:color w:val="231F20"/>
          <w:sz w:val="16"/>
        </w:rPr>
        <w:t>burg squats 435; Ponto assassination 474</w:t>
      </w:r>
      <w:r>
        <w:rPr>
          <w:i/>
          <w:color w:val="231F20"/>
          <w:sz w:val="16"/>
        </w:rPr>
        <w:t xml:space="preserve">, </w:t>
      </w:r>
      <w:r>
        <w:rPr>
          <w:color w:val="231F20"/>
          <w:sz w:val="16"/>
        </w:rPr>
        <w:t>606; trial (1992) 622</w:t>
      </w:r>
    </w:p>
    <w:p w14:paraId="751F36FC" w14:textId="77777777" w:rsidR="002653E8" w:rsidRPr="00846956" w:rsidRDefault="003115E3">
      <w:pPr>
        <w:spacing w:before="1"/>
        <w:ind w:left="1147"/>
        <w:rPr>
          <w:sz w:val="16"/>
          <w:lang w:val="de-DE"/>
        </w:rPr>
      </w:pPr>
      <w:r w:rsidRPr="00846956">
        <w:rPr>
          <w:color w:val="231F20"/>
          <w:sz w:val="16"/>
          <w:lang w:val="de-DE"/>
        </w:rPr>
        <w:t>Stiftung Deutsche Sporthilfe 225</w:t>
      </w:r>
    </w:p>
    <w:p w14:paraId="498D5682" w14:textId="77777777" w:rsidR="002653E8" w:rsidRPr="00846956" w:rsidRDefault="003115E3">
      <w:pPr>
        <w:spacing w:before="33"/>
        <w:ind w:left="1147"/>
        <w:rPr>
          <w:sz w:val="16"/>
          <w:lang w:val="de-DE"/>
        </w:rPr>
      </w:pPr>
      <w:r w:rsidRPr="00846956">
        <w:rPr>
          <w:color w:val="231F20"/>
          <w:sz w:val="16"/>
          <w:lang w:val="de-DE"/>
        </w:rPr>
        <w:t>Stoll, Willi-Peter 527</w:t>
      </w:r>
      <w:r w:rsidRPr="00846956">
        <w:rPr>
          <w:i/>
          <w:color w:val="231F20"/>
          <w:sz w:val="16"/>
          <w:lang w:val="de-DE"/>
        </w:rPr>
        <w:t xml:space="preserve">, </w:t>
      </w:r>
      <w:r w:rsidRPr="00846956">
        <w:rPr>
          <w:color w:val="231F20"/>
          <w:sz w:val="16"/>
          <w:lang w:val="de-DE"/>
        </w:rPr>
        <w:t>576</w:t>
      </w:r>
      <w:r w:rsidRPr="00846956">
        <w:rPr>
          <w:i/>
          <w:color w:val="231F20"/>
          <w:sz w:val="16"/>
          <w:lang w:val="de-DE"/>
        </w:rPr>
        <w:t xml:space="preserve">, </w:t>
      </w:r>
      <w:r w:rsidRPr="00846956">
        <w:rPr>
          <w:color w:val="231F20"/>
          <w:sz w:val="16"/>
          <w:lang w:val="de-DE"/>
        </w:rPr>
        <w:t>605; killed by</w:t>
      </w:r>
    </w:p>
    <w:p w14:paraId="4E3CA7E5" w14:textId="77777777" w:rsidR="002653E8" w:rsidRDefault="003115E3">
      <w:pPr>
        <w:spacing w:before="32"/>
        <w:ind w:left="1347"/>
        <w:rPr>
          <w:sz w:val="16"/>
        </w:rPr>
      </w:pPr>
      <w:r>
        <w:rPr>
          <w:color w:val="231F20"/>
          <w:sz w:val="16"/>
        </w:rPr>
        <w:t>police (1978) 529</w:t>
      </w:r>
      <w:r>
        <w:rPr>
          <w:i/>
          <w:color w:val="231F20"/>
          <w:sz w:val="16"/>
        </w:rPr>
        <w:t xml:space="preserve">, </w:t>
      </w:r>
      <w:r>
        <w:rPr>
          <w:color w:val="231F20"/>
          <w:sz w:val="16"/>
        </w:rPr>
        <w:t>611</w:t>
      </w:r>
    </w:p>
    <w:p w14:paraId="0801E0E6" w14:textId="77777777" w:rsidR="002653E8" w:rsidRDefault="003115E3">
      <w:pPr>
        <w:spacing w:before="32" w:line="280" w:lineRule="auto"/>
        <w:ind w:left="1347" w:right="197" w:hanging="200"/>
        <w:rPr>
          <w:sz w:val="16"/>
        </w:rPr>
      </w:pPr>
      <w:r>
        <w:rPr>
          <w:color w:val="231F20"/>
          <w:sz w:val="16"/>
        </w:rPr>
        <w:t>Strasburg Human Rights Commission 495</w:t>
      </w:r>
    </w:p>
    <w:p w14:paraId="4B1D8FD3" w14:textId="77777777" w:rsidR="002653E8" w:rsidRDefault="003115E3">
      <w:pPr>
        <w:spacing w:before="86" w:line="280" w:lineRule="auto"/>
        <w:ind w:left="251" w:right="1597"/>
        <w:rPr>
          <w:sz w:val="16"/>
        </w:rPr>
      </w:pPr>
      <w:r>
        <w:br w:type="column"/>
      </w:r>
      <w:r>
        <w:rPr>
          <w:color w:val="231F20"/>
          <w:sz w:val="16"/>
        </w:rPr>
        <w:lastRenderedPageBreak/>
        <w:t>Strategic Defense Initiative  618 Strauß, Franz Josef 576; Grand</w:t>
      </w:r>
      <w:r>
        <w:rPr>
          <w:color w:val="231F20"/>
          <w:spacing w:val="10"/>
          <w:sz w:val="16"/>
        </w:rPr>
        <w:t xml:space="preserve"> </w:t>
      </w:r>
      <w:r>
        <w:rPr>
          <w:color w:val="231F20"/>
          <w:sz w:val="16"/>
        </w:rPr>
        <w:t>Coali-</w:t>
      </w:r>
    </w:p>
    <w:p w14:paraId="48237B4D" w14:textId="77777777" w:rsidR="002653E8" w:rsidRDefault="003115E3">
      <w:pPr>
        <w:spacing w:before="1"/>
        <w:ind w:left="451"/>
        <w:rPr>
          <w:i/>
          <w:sz w:val="16"/>
        </w:rPr>
      </w:pPr>
      <w:r>
        <w:rPr>
          <w:color w:val="231F20"/>
          <w:sz w:val="16"/>
        </w:rPr>
        <w:t xml:space="preserve">tion 29; mentioned by </w:t>
      </w:r>
      <w:r w:rsidR="00C507A5">
        <w:rPr>
          <w:color w:val="231F20"/>
          <w:sz w:val="16"/>
        </w:rPr>
        <w:t>red army faction</w:t>
      </w:r>
      <w:r>
        <w:rPr>
          <w:color w:val="231F20"/>
          <w:sz w:val="16"/>
        </w:rPr>
        <w:t xml:space="preserve"> 101</w:t>
      </w:r>
      <w:r>
        <w:rPr>
          <w:i/>
          <w:color w:val="231F20"/>
          <w:sz w:val="16"/>
        </w:rPr>
        <w:t xml:space="preserve">, </w:t>
      </w:r>
      <w:r>
        <w:rPr>
          <w:color w:val="231F20"/>
          <w:sz w:val="16"/>
        </w:rPr>
        <w:t>102</w:t>
      </w:r>
      <w:r>
        <w:rPr>
          <w:i/>
          <w:color w:val="231F20"/>
          <w:sz w:val="16"/>
        </w:rPr>
        <w:t>,</w:t>
      </w:r>
    </w:p>
    <w:p w14:paraId="143E1729" w14:textId="77777777" w:rsidR="002653E8" w:rsidRDefault="003115E3">
      <w:pPr>
        <w:spacing w:before="33"/>
        <w:ind w:left="451"/>
        <w:rPr>
          <w:sz w:val="16"/>
        </w:rPr>
      </w:pPr>
      <w:r>
        <w:rPr>
          <w:color w:val="231F20"/>
          <w:w w:val="105"/>
          <w:sz w:val="16"/>
        </w:rPr>
        <w:t>104</w:t>
      </w:r>
      <w:r>
        <w:rPr>
          <w:i/>
          <w:color w:val="231F20"/>
          <w:w w:val="105"/>
          <w:sz w:val="16"/>
        </w:rPr>
        <w:t xml:space="preserve">, </w:t>
      </w:r>
      <w:r>
        <w:rPr>
          <w:color w:val="231F20"/>
          <w:w w:val="105"/>
          <w:sz w:val="16"/>
        </w:rPr>
        <w:t>228</w:t>
      </w:r>
      <w:r>
        <w:rPr>
          <w:i/>
          <w:color w:val="231F20"/>
          <w:w w:val="105"/>
          <w:sz w:val="16"/>
        </w:rPr>
        <w:t xml:space="preserve">, </w:t>
      </w:r>
      <w:r>
        <w:rPr>
          <w:color w:val="231F20"/>
          <w:w w:val="105"/>
          <w:sz w:val="16"/>
        </w:rPr>
        <w:t>229–230</w:t>
      </w:r>
      <w:r>
        <w:rPr>
          <w:i/>
          <w:color w:val="231F20"/>
          <w:w w:val="105"/>
          <w:sz w:val="16"/>
        </w:rPr>
        <w:t xml:space="preserve">, </w:t>
      </w:r>
      <w:r>
        <w:rPr>
          <w:color w:val="231F20"/>
          <w:w w:val="105"/>
          <w:sz w:val="16"/>
        </w:rPr>
        <w:t>305; sues Ulrike</w:t>
      </w:r>
    </w:p>
    <w:p w14:paraId="2D0B3FBC" w14:textId="77777777" w:rsidR="002653E8" w:rsidRDefault="003115E3">
      <w:pPr>
        <w:spacing w:before="32"/>
        <w:ind w:left="451"/>
        <w:rPr>
          <w:sz w:val="16"/>
        </w:rPr>
      </w:pPr>
      <w:r>
        <w:rPr>
          <w:color w:val="231F20"/>
          <w:sz w:val="16"/>
        </w:rPr>
        <w:t>Meinhof (1961) 41</w:t>
      </w:r>
    </w:p>
    <w:p w14:paraId="2398DFD9" w14:textId="77777777" w:rsidR="002653E8" w:rsidRDefault="003115E3">
      <w:pPr>
        <w:spacing w:before="33" w:line="280" w:lineRule="auto"/>
        <w:ind w:left="451" w:right="1333" w:hanging="200"/>
        <w:jc w:val="both"/>
        <w:rPr>
          <w:sz w:val="16"/>
        </w:rPr>
      </w:pPr>
      <w:r>
        <w:rPr>
          <w:color w:val="231F20"/>
          <w:sz w:val="16"/>
        </w:rPr>
        <w:t>strikes 16; postwar strikewave for nationalization (1940s) 20; September strikes (1969) 147</w:t>
      </w:r>
      <w:r>
        <w:rPr>
          <w:i/>
          <w:color w:val="231F20"/>
          <w:sz w:val="16"/>
        </w:rPr>
        <w:t xml:space="preserve">, </w:t>
      </w:r>
      <w:r>
        <w:rPr>
          <w:color w:val="231F20"/>
          <w:sz w:val="16"/>
        </w:rPr>
        <w:t>584; chemical industry</w:t>
      </w:r>
    </w:p>
    <w:p w14:paraId="3AD0456C" w14:textId="77777777" w:rsidR="002653E8" w:rsidRDefault="003115E3">
      <w:pPr>
        <w:spacing w:before="1"/>
        <w:ind w:left="451"/>
        <w:rPr>
          <w:sz w:val="16"/>
        </w:rPr>
      </w:pPr>
      <w:r>
        <w:rPr>
          <w:color w:val="231F20"/>
          <w:w w:val="105"/>
          <w:sz w:val="16"/>
        </w:rPr>
        <w:t>(1971) 128</w:t>
      </w:r>
      <w:r>
        <w:rPr>
          <w:i/>
          <w:color w:val="231F20"/>
          <w:w w:val="105"/>
          <w:sz w:val="16"/>
        </w:rPr>
        <w:t xml:space="preserve">, </w:t>
      </w:r>
      <w:r>
        <w:rPr>
          <w:color w:val="231F20"/>
          <w:w w:val="105"/>
          <w:sz w:val="16"/>
        </w:rPr>
        <w:t>133–139</w:t>
      </w:r>
      <w:r>
        <w:rPr>
          <w:i/>
          <w:color w:val="231F20"/>
          <w:w w:val="105"/>
          <w:sz w:val="16"/>
        </w:rPr>
        <w:t xml:space="preserve">, </w:t>
      </w:r>
      <w:r>
        <w:rPr>
          <w:color w:val="231F20"/>
          <w:w w:val="105"/>
          <w:sz w:val="16"/>
        </w:rPr>
        <w:t>183; September</w:t>
      </w:r>
    </w:p>
    <w:p w14:paraId="630425E9" w14:textId="77777777" w:rsidR="002653E8" w:rsidRDefault="003115E3">
      <w:pPr>
        <w:spacing w:before="33"/>
        <w:ind w:left="451"/>
        <w:rPr>
          <w:sz w:val="16"/>
        </w:rPr>
      </w:pPr>
      <w:r>
        <w:rPr>
          <w:color w:val="231F20"/>
          <w:sz w:val="16"/>
        </w:rPr>
        <w:t>1973 459–460; steel and auto indus-</w:t>
      </w:r>
    </w:p>
    <w:p w14:paraId="312F4824" w14:textId="77777777" w:rsidR="002653E8" w:rsidRDefault="003115E3">
      <w:pPr>
        <w:spacing w:before="32"/>
        <w:ind w:left="451"/>
        <w:rPr>
          <w:sz w:val="16"/>
        </w:rPr>
      </w:pPr>
      <w:r>
        <w:rPr>
          <w:color w:val="231F20"/>
          <w:sz w:val="16"/>
        </w:rPr>
        <w:t>tries (1973) 593</w:t>
      </w:r>
    </w:p>
    <w:p w14:paraId="7DEF6783" w14:textId="77777777" w:rsidR="002653E8" w:rsidRDefault="003115E3">
      <w:pPr>
        <w:spacing w:before="32"/>
        <w:ind w:left="251"/>
        <w:rPr>
          <w:sz w:val="16"/>
        </w:rPr>
      </w:pPr>
      <w:r>
        <w:rPr>
          <w:color w:val="231F20"/>
          <w:sz w:val="16"/>
        </w:rPr>
        <w:t>Ströbele-Gregor, Juliana 345</w:t>
      </w:r>
    </w:p>
    <w:p w14:paraId="64631602" w14:textId="77777777" w:rsidR="002653E8" w:rsidRDefault="003115E3">
      <w:pPr>
        <w:spacing w:before="33"/>
        <w:ind w:left="251"/>
        <w:rPr>
          <w:sz w:val="16"/>
        </w:rPr>
      </w:pPr>
      <w:r>
        <w:rPr>
          <w:color w:val="231F20"/>
          <w:w w:val="105"/>
          <w:sz w:val="16"/>
        </w:rPr>
        <w:t>Ströbele, Hans-Christian 576</w:t>
      </w:r>
      <w:r>
        <w:rPr>
          <w:i/>
          <w:color w:val="231F20"/>
          <w:w w:val="105"/>
          <w:sz w:val="16"/>
        </w:rPr>
        <w:t xml:space="preserve">, </w:t>
      </w:r>
      <w:r>
        <w:rPr>
          <w:color w:val="231F20"/>
          <w:w w:val="105"/>
          <w:sz w:val="16"/>
        </w:rPr>
        <w:t>623; Alter-</w:t>
      </w:r>
    </w:p>
    <w:p w14:paraId="485029A9" w14:textId="77777777" w:rsidR="002653E8" w:rsidRDefault="003115E3">
      <w:pPr>
        <w:spacing w:before="32"/>
        <w:ind w:left="451"/>
        <w:rPr>
          <w:i/>
          <w:sz w:val="16"/>
        </w:rPr>
      </w:pPr>
      <w:r>
        <w:rPr>
          <w:color w:val="231F20"/>
          <w:sz w:val="16"/>
        </w:rPr>
        <w:t>native List 246; attacks on 345</w:t>
      </w:r>
      <w:r>
        <w:rPr>
          <w:i/>
          <w:color w:val="231F20"/>
          <w:sz w:val="16"/>
        </w:rPr>
        <w:t xml:space="preserve">, </w:t>
      </w:r>
      <w:r>
        <w:rPr>
          <w:color w:val="231F20"/>
          <w:sz w:val="16"/>
        </w:rPr>
        <w:t>346</w:t>
      </w:r>
      <w:r>
        <w:rPr>
          <w:i/>
          <w:color w:val="231F20"/>
          <w:sz w:val="16"/>
        </w:rPr>
        <w:t>,</w:t>
      </w:r>
    </w:p>
    <w:p w14:paraId="465B178E" w14:textId="77777777" w:rsidR="002653E8" w:rsidRDefault="003115E3">
      <w:pPr>
        <w:spacing w:before="33"/>
        <w:ind w:left="451"/>
        <w:rPr>
          <w:sz w:val="16"/>
        </w:rPr>
      </w:pPr>
      <w:r>
        <w:rPr>
          <w:color w:val="231F20"/>
          <w:w w:val="110"/>
          <w:sz w:val="16"/>
        </w:rPr>
        <w:t>419</w:t>
      </w:r>
      <w:r>
        <w:rPr>
          <w:i/>
          <w:color w:val="231F20"/>
          <w:w w:val="110"/>
          <w:sz w:val="16"/>
        </w:rPr>
        <w:t xml:space="preserve">, </w:t>
      </w:r>
      <w:r>
        <w:rPr>
          <w:color w:val="231F20"/>
          <w:w w:val="110"/>
          <w:sz w:val="16"/>
        </w:rPr>
        <w:t>595</w:t>
      </w:r>
      <w:r>
        <w:rPr>
          <w:i/>
          <w:color w:val="231F20"/>
          <w:w w:val="110"/>
          <w:sz w:val="16"/>
        </w:rPr>
        <w:t xml:space="preserve">, </w:t>
      </w:r>
      <w:r>
        <w:rPr>
          <w:color w:val="231F20"/>
          <w:w w:val="110"/>
          <w:sz w:val="16"/>
        </w:rPr>
        <w:t>597</w:t>
      </w:r>
      <w:r>
        <w:rPr>
          <w:i/>
          <w:color w:val="231F20"/>
          <w:w w:val="110"/>
          <w:sz w:val="16"/>
        </w:rPr>
        <w:t xml:space="preserve">, </w:t>
      </w:r>
      <w:r>
        <w:rPr>
          <w:color w:val="231F20"/>
          <w:w w:val="110"/>
          <w:sz w:val="16"/>
        </w:rPr>
        <w:t>598</w:t>
      </w:r>
      <w:r>
        <w:rPr>
          <w:i/>
          <w:color w:val="231F20"/>
          <w:w w:val="110"/>
          <w:sz w:val="16"/>
        </w:rPr>
        <w:t xml:space="preserve">, </w:t>
      </w:r>
      <w:r>
        <w:rPr>
          <w:color w:val="231F20"/>
          <w:w w:val="110"/>
          <w:sz w:val="16"/>
        </w:rPr>
        <w:t>603</w:t>
      </w:r>
      <w:r>
        <w:rPr>
          <w:i/>
          <w:color w:val="231F20"/>
          <w:w w:val="110"/>
          <w:sz w:val="16"/>
        </w:rPr>
        <w:t xml:space="preserve">, </w:t>
      </w:r>
      <w:r>
        <w:rPr>
          <w:color w:val="231F20"/>
          <w:w w:val="110"/>
          <w:sz w:val="16"/>
        </w:rPr>
        <w:t>608; Com-</w:t>
      </w:r>
    </w:p>
    <w:p w14:paraId="2FA3704A" w14:textId="77777777" w:rsidR="002653E8" w:rsidRDefault="003115E3">
      <w:pPr>
        <w:spacing w:before="32" w:line="280" w:lineRule="auto"/>
        <w:ind w:left="451" w:right="1363"/>
        <w:rPr>
          <w:sz w:val="16"/>
        </w:rPr>
      </w:pPr>
      <w:r>
        <w:rPr>
          <w:color w:val="231F20"/>
          <w:sz w:val="16"/>
        </w:rPr>
        <w:t>mmittees Against Torture 245; Green Party 246; Socialist Lawyers Collective 246; SPD 246</w:t>
      </w:r>
    </w:p>
    <w:p w14:paraId="2C178839" w14:textId="77777777" w:rsidR="002653E8" w:rsidRDefault="003115E3">
      <w:pPr>
        <w:spacing w:before="2" w:line="280" w:lineRule="auto"/>
        <w:ind w:left="451" w:right="1363" w:hanging="200"/>
        <w:rPr>
          <w:i/>
          <w:sz w:val="16"/>
        </w:rPr>
      </w:pPr>
      <w:r>
        <w:rPr>
          <w:color w:val="231F20"/>
          <w:sz w:val="16"/>
        </w:rPr>
        <w:t>student movement  33</w:t>
      </w:r>
      <w:r>
        <w:rPr>
          <w:i/>
          <w:color w:val="231F20"/>
          <w:sz w:val="16"/>
        </w:rPr>
        <w:t xml:space="preserve">, </w:t>
      </w:r>
      <w:r>
        <w:rPr>
          <w:color w:val="231F20"/>
          <w:sz w:val="16"/>
        </w:rPr>
        <w:t>34</w:t>
      </w:r>
      <w:r>
        <w:rPr>
          <w:i/>
          <w:color w:val="231F20"/>
          <w:sz w:val="16"/>
        </w:rPr>
        <w:t xml:space="preserve">, </w:t>
      </w:r>
      <w:r>
        <w:rPr>
          <w:color w:val="231F20"/>
          <w:sz w:val="16"/>
        </w:rPr>
        <w:t>44</w:t>
      </w:r>
      <w:r>
        <w:rPr>
          <w:i/>
          <w:color w:val="231F20"/>
          <w:sz w:val="16"/>
        </w:rPr>
        <w:t xml:space="preserve">, </w:t>
      </w:r>
      <w:r>
        <w:rPr>
          <w:color w:val="231F20"/>
          <w:sz w:val="16"/>
        </w:rPr>
        <w:t>117</w:t>
      </w:r>
      <w:r>
        <w:rPr>
          <w:i/>
          <w:color w:val="231F20"/>
          <w:sz w:val="16"/>
        </w:rPr>
        <w:t xml:space="preserve">, </w:t>
      </w:r>
      <w:r>
        <w:rPr>
          <w:color w:val="231F20"/>
          <w:sz w:val="16"/>
        </w:rPr>
        <w:t>582</w:t>
      </w:r>
      <w:r>
        <w:rPr>
          <w:i/>
          <w:color w:val="231F20"/>
          <w:sz w:val="16"/>
        </w:rPr>
        <w:t xml:space="preserve">. See also </w:t>
      </w:r>
      <w:r>
        <w:rPr>
          <w:color w:val="231F20"/>
          <w:sz w:val="16"/>
        </w:rPr>
        <w:t>SDS (Sozialistischer Deutscher Studentenbund)</w:t>
      </w:r>
      <w:r>
        <w:rPr>
          <w:i/>
          <w:color w:val="231F20"/>
          <w:sz w:val="16"/>
        </w:rPr>
        <w:t xml:space="preserve">; See also </w:t>
      </w:r>
      <w:r>
        <w:rPr>
          <w:color w:val="231F20"/>
          <w:sz w:val="16"/>
        </w:rPr>
        <w:t>APO (Außerparlamentarische Opposition)</w:t>
      </w:r>
      <w:r>
        <w:rPr>
          <w:i/>
          <w:color w:val="231F20"/>
          <w:sz w:val="16"/>
        </w:rPr>
        <w:t xml:space="preserve">; See also </w:t>
      </w:r>
      <w:r>
        <w:rPr>
          <w:color w:val="231F20"/>
          <w:sz w:val="16"/>
        </w:rPr>
        <w:t xml:space="preserve">youth culture (1960s-70s); mentioned by </w:t>
      </w:r>
      <w:r w:rsidR="00C507A5">
        <w:rPr>
          <w:color w:val="231F20"/>
          <w:sz w:val="16"/>
        </w:rPr>
        <w:t>red army faction</w:t>
      </w:r>
      <w:r>
        <w:rPr>
          <w:color w:val="231F20"/>
          <w:sz w:val="16"/>
        </w:rPr>
        <w:t xml:space="preserve"> 89–92</w:t>
      </w:r>
      <w:r>
        <w:rPr>
          <w:i/>
          <w:color w:val="231F20"/>
          <w:sz w:val="16"/>
        </w:rPr>
        <w:t xml:space="preserve">, </w:t>
      </w:r>
      <w:r>
        <w:rPr>
          <w:color w:val="231F20"/>
          <w:sz w:val="16"/>
        </w:rPr>
        <w:t>92</w:t>
      </w:r>
      <w:r>
        <w:rPr>
          <w:i/>
          <w:color w:val="231F20"/>
          <w:sz w:val="16"/>
        </w:rPr>
        <w:t xml:space="preserve">, </w:t>
      </w:r>
      <w:r>
        <w:rPr>
          <w:color w:val="231F20"/>
          <w:sz w:val="16"/>
        </w:rPr>
        <w:t>97</w:t>
      </w:r>
      <w:r>
        <w:rPr>
          <w:i/>
          <w:color w:val="231F20"/>
          <w:sz w:val="16"/>
        </w:rPr>
        <w:t>,</w:t>
      </w:r>
      <w:r>
        <w:rPr>
          <w:i/>
          <w:color w:val="231F20"/>
          <w:spacing w:val="16"/>
          <w:sz w:val="16"/>
        </w:rPr>
        <w:t xml:space="preserve"> </w:t>
      </w:r>
      <w:r>
        <w:rPr>
          <w:color w:val="231F20"/>
          <w:sz w:val="16"/>
        </w:rPr>
        <w:t>103</w:t>
      </w:r>
      <w:r>
        <w:rPr>
          <w:i/>
          <w:color w:val="231F20"/>
          <w:sz w:val="16"/>
        </w:rPr>
        <w:t>,</w:t>
      </w:r>
    </w:p>
    <w:p w14:paraId="1DD1B52C" w14:textId="77777777" w:rsidR="002653E8" w:rsidRDefault="003115E3">
      <w:pPr>
        <w:spacing w:before="3"/>
        <w:ind w:left="451"/>
        <w:rPr>
          <w:sz w:val="16"/>
        </w:rPr>
      </w:pPr>
      <w:r>
        <w:rPr>
          <w:color w:val="231F20"/>
          <w:w w:val="105"/>
          <w:sz w:val="16"/>
        </w:rPr>
        <w:t>226</w:t>
      </w:r>
      <w:r>
        <w:rPr>
          <w:i/>
          <w:color w:val="231F20"/>
          <w:w w:val="105"/>
          <w:sz w:val="16"/>
        </w:rPr>
        <w:t xml:space="preserve">, </w:t>
      </w:r>
      <w:r>
        <w:rPr>
          <w:color w:val="231F20"/>
          <w:w w:val="105"/>
          <w:sz w:val="16"/>
        </w:rPr>
        <w:t>406</w:t>
      </w:r>
    </w:p>
    <w:p w14:paraId="112010E2" w14:textId="77777777" w:rsidR="002653E8" w:rsidRDefault="003115E3">
      <w:pPr>
        <w:spacing w:before="32"/>
        <w:ind w:left="251"/>
        <w:rPr>
          <w:sz w:val="16"/>
        </w:rPr>
      </w:pPr>
      <w:r>
        <w:rPr>
          <w:color w:val="231F20"/>
          <w:w w:val="105"/>
          <w:sz w:val="16"/>
        </w:rPr>
        <w:t>Sturm, Beate 59</w:t>
      </w:r>
      <w:r>
        <w:rPr>
          <w:i/>
          <w:color w:val="231F20"/>
          <w:w w:val="105"/>
          <w:sz w:val="16"/>
        </w:rPr>
        <w:t xml:space="preserve">, </w:t>
      </w:r>
      <w:r>
        <w:rPr>
          <w:color w:val="231F20"/>
          <w:w w:val="105"/>
          <w:sz w:val="16"/>
        </w:rPr>
        <w:t>60</w:t>
      </w:r>
      <w:r>
        <w:rPr>
          <w:i/>
          <w:color w:val="231F20"/>
          <w:w w:val="105"/>
          <w:sz w:val="16"/>
        </w:rPr>
        <w:t xml:space="preserve">, </w:t>
      </w:r>
      <w:r>
        <w:rPr>
          <w:color w:val="231F20"/>
          <w:w w:val="105"/>
          <w:sz w:val="16"/>
        </w:rPr>
        <w:t>576</w:t>
      </w:r>
      <w:r>
        <w:rPr>
          <w:i/>
          <w:color w:val="231F20"/>
          <w:w w:val="105"/>
          <w:sz w:val="16"/>
        </w:rPr>
        <w:t xml:space="preserve">, </w:t>
      </w:r>
      <w:r>
        <w:rPr>
          <w:color w:val="231F20"/>
          <w:w w:val="105"/>
          <w:sz w:val="16"/>
        </w:rPr>
        <w:t xml:space="preserve">585; after </w:t>
      </w:r>
      <w:r w:rsidR="00C507A5">
        <w:rPr>
          <w:color w:val="231F20"/>
          <w:w w:val="105"/>
          <w:sz w:val="16"/>
        </w:rPr>
        <w:t>red army faction</w:t>
      </w:r>
    </w:p>
    <w:p w14:paraId="163474E9" w14:textId="77777777" w:rsidR="002653E8" w:rsidRDefault="003115E3">
      <w:pPr>
        <w:spacing w:before="33" w:line="280" w:lineRule="auto"/>
        <w:ind w:left="451" w:right="1363"/>
        <w:rPr>
          <w:sz w:val="16"/>
        </w:rPr>
      </w:pPr>
      <w:r>
        <w:rPr>
          <w:color w:val="231F20"/>
          <w:sz w:val="16"/>
        </w:rPr>
        <w:t>118</w:t>
      </w:r>
      <w:r>
        <w:rPr>
          <w:i/>
          <w:color w:val="231F20"/>
          <w:sz w:val="16"/>
        </w:rPr>
        <w:t xml:space="preserve">, </w:t>
      </w:r>
      <w:r>
        <w:rPr>
          <w:color w:val="231F20"/>
          <w:sz w:val="16"/>
        </w:rPr>
        <w:t xml:space="preserve">161; captured (1970) 60; on Holger Meins 262–263; mentioned by </w:t>
      </w:r>
      <w:r w:rsidR="00C507A5">
        <w:rPr>
          <w:color w:val="231F20"/>
          <w:sz w:val="16"/>
        </w:rPr>
        <w:t>red army faction</w:t>
      </w:r>
      <w:r>
        <w:rPr>
          <w:color w:val="231F20"/>
          <w:sz w:val="16"/>
        </w:rPr>
        <w:t xml:space="preserve"> 118</w:t>
      </w:r>
      <w:r>
        <w:rPr>
          <w:i/>
          <w:color w:val="231F20"/>
          <w:sz w:val="16"/>
        </w:rPr>
        <w:t xml:space="preserve">, </w:t>
      </w:r>
      <w:r>
        <w:rPr>
          <w:color w:val="231F20"/>
          <w:sz w:val="16"/>
        </w:rPr>
        <w:t>155</w:t>
      </w:r>
    </w:p>
    <w:p w14:paraId="7575DB12" w14:textId="77777777" w:rsidR="002653E8" w:rsidRPr="00846956" w:rsidRDefault="003115E3">
      <w:pPr>
        <w:spacing w:before="1" w:line="280" w:lineRule="auto"/>
        <w:ind w:left="251" w:right="2171"/>
        <w:rPr>
          <w:sz w:val="16"/>
          <w:lang w:val="de-DE"/>
        </w:rPr>
      </w:pPr>
      <w:r w:rsidRPr="00846956">
        <w:rPr>
          <w:i/>
          <w:color w:val="231F20"/>
          <w:sz w:val="16"/>
          <w:lang w:val="de-DE"/>
        </w:rPr>
        <w:t xml:space="preserve">Stuttgarter Zeitung </w:t>
      </w:r>
      <w:r w:rsidRPr="00846956">
        <w:rPr>
          <w:color w:val="231F20"/>
          <w:sz w:val="16"/>
          <w:lang w:val="de-DE"/>
        </w:rPr>
        <w:t>12 Stuttgart Supreme Court 304 Sudan 192</w:t>
      </w:r>
    </w:p>
    <w:p w14:paraId="456225DE" w14:textId="77777777" w:rsidR="002653E8" w:rsidRPr="00846956" w:rsidRDefault="003115E3">
      <w:pPr>
        <w:spacing w:before="2"/>
        <w:ind w:left="251"/>
        <w:rPr>
          <w:sz w:val="16"/>
          <w:lang w:val="de-DE"/>
        </w:rPr>
      </w:pPr>
      <w:r w:rsidRPr="00846956">
        <w:rPr>
          <w:i/>
          <w:color w:val="231F20"/>
          <w:w w:val="105"/>
          <w:sz w:val="16"/>
          <w:lang w:val="de-DE"/>
        </w:rPr>
        <w:t xml:space="preserve">Süddeutsche Zeitung </w:t>
      </w:r>
      <w:r w:rsidRPr="00846956">
        <w:rPr>
          <w:color w:val="231F20"/>
          <w:w w:val="105"/>
          <w:sz w:val="16"/>
          <w:lang w:val="de-DE"/>
        </w:rPr>
        <w:t>379</w:t>
      </w:r>
      <w:r w:rsidRPr="00846956">
        <w:rPr>
          <w:i/>
          <w:color w:val="231F20"/>
          <w:w w:val="105"/>
          <w:sz w:val="16"/>
          <w:lang w:val="de-DE"/>
        </w:rPr>
        <w:t xml:space="preserve">, </w:t>
      </w:r>
      <w:r w:rsidRPr="00846956">
        <w:rPr>
          <w:color w:val="231F20"/>
          <w:w w:val="105"/>
          <w:sz w:val="16"/>
          <w:lang w:val="de-DE"/>
        </w:rPr>
        <w:t>453</w:t>
      </w:r>
      <w:r w:rsidRPr="00846956">
        <w:rPr>
          <w:i/>
          <w:color w:val="231F20"/>
          <w:w w:val="105"/>
          <w:sz w:val="16"/>
          <w:lang w:val="de-DE"/>
        </w:rPr>
        <w:t xml:space="preserve">, </w:t>
      </w:r>
      <w:r w:rsidRPr="00846956">
        <w:rPr>
          <w:color w:val="231F20"/>
          <w:w w:val="105"/>
          <w:sz w:val="16"/>
          <w:lang w:val="de-DE"/>
        </w:rPr>
        <w:t>533</w:t>
      </w:r>
    </w:p>
    <w:p w14:paraId="615397E1" w14:textId="77777777" w:rsidR="002653E8" w:rsidRPr="00846956" w:rsidRDefault="003115E3">
      <w:pPr>
        <w:spacing w:before="32"/>
        <w:ind w:left="251"/>
        <w:rPr>
          <w:i/>
          <w:sz w:val="16"/>
          <w:lang w:val="de-DE"/>
        </w:rPr>
      </w:pPr>
      <w:r w:rsidRPr="00846956">
        <w:rPr>
          <w:color w:val="231F20"/>
          <w:w w:val="105"/>
          <w:sz w:val="16"/>
          <w:lang w:val="de-DE"/>
        </w:rPr>
        <w:t>support scene 108</w:t>
      </w:r>
      <w:r w:rsidRPr="00846956">
        <w:rPr>
          <w:i/>
          <w:color w:val="231F20"/>
          <w:w w:val="105"/>
          <w:sz w:val="16"/>
          <w:lang w:val="de-DE"/>
        </w:rPr>
        <w:t xml:space="preserve">, </w:t>
      </w:r>
      <w:r w:rsidRPr="00846956">
        <w:rPr>
          <w:color w:val="231F20"/>
          <w:w w:val="105"/>
          <w:sz w:val="16"/>
          <w:lang w:val="de-DE"/>
        </w:rPr>
        <w:t>120</w:t>
      </w:r>
      <w:r w:rsidRPr="00846956">
        <w:rPr>
          <w:i/>
          <w:color w:val="231F20"/>
          <w:w w:val="105"/>
          <w:sz w:val="16"/>
          <w:lang w:val="de-DE"/>
        </w:rPr>
        <w:t xml:space="preserve">, </w:t>
      </w:r>
      <w:r w:rsidRPr="00846956">
        <w:rPr>
          <w:color w:val="231F20"/>
          <w:w w:val="105"/>
          <w:sz w:val="16"/>
          <w:lang w:val="de-DE"/>
        </w:rPr>
        <w:t>188</w:t>
      </w:r>
      <w:r w:rsidRPr="00846956">
        <w:rPr>
          <w:i/>
          <w:color w:val="231F20"/>
          <w:w w:val="105"/>
          <w:sz w:val="16"/>
          <w:lang w:val="de-DE"/>
        </w:rPr>
        <w:t xml:space="preserve">, </w:t>
      </w:r>
      <w:r w:rsidRPr="00846956">
        <w:rPr>
          <w:color w:val="231F20"/>
          <w:w w:val="105"/>
          <w:sz w:val="16"/>
          <w:lang w:val="de-DE"/>
        </w:rPr>
        <w:t>244–245</w:t>
      </w:r>
      <w:r w:rsidRPr="00846956">
        <w:rPr>
          <w:i/>
          <w:color w:val="231F20"/>
          <w:w w:val="105"/>
          <w:sz w:val="16"/>
          <w:lang w:val="de-DE"/>
        </w:rPr>
        <w:t>,</w:t>
      </w:r>
    </w:p>
    <w:p w14:paraId="5EF67199" w14:textId="77777777" w:rsidR="002653E8" w:rsidRDefault="003115E3">
      <w:pPr>
        <w:spacing w:before="33"/>
        <w:ind w:left="451"/>
        <w:rPr>
          <w:i/>
          <w:sz w:val="16"/>
        </w:rPr>
      </w:pPr>
      <w:r>
        <w:rPr>
          <w:color w:val="231F20"/>
          <w:w w:val="105"/>
          <w:sz w:val="16"/>
        </w:rPr>
        <w:t>248</w:t>
      </w:r>
      <w:r>
        <w:rPr>
          <w:i/>
          <w:color w:val="231F20"/>
          <w:w w:val="105"/>
          <w:sz w:val="16"/>
        </w:rPr>
        <w:t xml:space="preserve">, </w:t>
      </w:r>
      <w:r>
        <w:rPr>
          <w:color w:val="231F20"/>
          <w:w w:val="105"/>
          <w:sz w:val="16"/>
        </w:rPr>
        <w:t>311–313</w:t>
      </w:r>
      <w:r>
        <w:rPr>
          <w:i/>
          <w:color w:val="231F20"/>
          <w:w w:val="105"/>
          <w:sz w:val="16"/>
        </w:rPr>
        <w:t xml:space="preserve">, </w:t>
      </w:r>
      <w:r>
        <w:rPr>
          <w:color w:val="231F20"/>
          <w:w w:val="105"/>
          <w:sz w:val="16"/>
        </w:rPr>
        <w:t>326–327</w:t>
      </w:r>
      <w:r>
        <w:rPr>
          <w:i/>
          <w:color w:val="231F20"/>
          <w:w w:val="105"/>
          <w:sz w:val="16"/>
        </w:rPr>
        <w:t xml:space="preserve">, </w:t>
      </w:r>
      <w:r>
        <w:rPr>
          <w:color w:val="231F20"/>
          <w:w w:val="105"/>
          <w:sz w:val="16"/>
        </w:rPr>
        <w:t>598</w:t>
      </w:r>
      <w:r>
        <w:rPr>
          <w:i/>
          <w:color w:val="231F20"/>
          <w:w w:val="105"/>
          <w:sz w:val="16"/>
        </w:rPr>
        <w:t xml:space="preserve">, </w:t>
      </w:r>
      <w:r>
        <w:rPr>
          <w:color w:val="231F20"/>
          <w:w w:val="105"/>
          <w:sz w:val="16"/>
        </w:rPr>
        <w:t>604</w:t>
      </w:r>
      <w:r>
        <w:rPr>
          <w:i/>
          <w:color w:val="231F20"/>
          <w:w w:val="105"/>
          <w:sz w:val="16"/>
        </w:rPr>
        <w:t>. See</w:t>
      </w:r>
    </w:p>
    <w:p w14:paraId="2F70D2C6" w14:textId="77777777" w:rsidR="002653E8" w:rsidRDefault="003115E3">
      <w:pPr>
        <w:spacing w:before="32" w:line="280" w:lineRule="auto"/>
        <w:ind w:left="451" w:right="1337"/>
        <w:rPr>
          <w:sz w:val="16"/>
        </w:rPr>
      </w:pPr>
      <w:r>
        <w:rPr>
          <w:i/>
          <w:color w:val="231F20"/>
          <w:sz w:val="16"/>
        </w:rPr>
        <w:t xml:space="preserve">also </w:t>
      </w:r>
      <w:r>
        <w:rPr>
          <w:color w:val="231F20"/>
          <w:sz w:val="16"/>
        </w:rPr>
        <w:t>protests: death of Holger Meins (1974)</w:t>
      </w:r>
      <w:r>
        <w:rPr>
          <w:i/>
          <w:color w:val="231F20"/>
          <w:sz w:val="16"/>
        </w:rPr>
        <w:t xml:space="preserve">; See also </w:t>
      </w:r>
      <w:r>
        <w:rPr>
          <w:color w:val="231F20"/>
          <w:sz w:val="16"/>
        </w:rPr>
        <w:t>protests: death of Ulrike Meinhof (1976)</w:t>
      </w:r>
      <w:r>
        <w:rPr>
          <w:i/>
          <w:color w:val="231F20"/>
          <w:sz w:val="16"/>
        </w:rPr>
        <w:t xml:space="preserve">; See also </w:t>
      </w:r>
      <w:r>
        <w:rPr>
          <w:color w:val="231F20"/>
          <w:sz w:val="16"/>
        </w:rPr>
        <w:t>protests: Stammheim deaths (1977)</w:t>
      </w:r>
      <w:r>
        <w:rPr>
          <w:i/>
          <w:color w:val="231F20"/>
          <w:sz w:val="16"/>
        </w:rPr>
        <w:t xml:space="preserve">; See also </w:t>
      </w:r>
      <w:r>
        <w:rPr>
          <w:color w:val="231F20"/>
          <w:sz w:val="16"/>
        </w:rPr>
        <w:t xml:space="preserve">Committees Against Torture; </w:t>
      </w:r>
      <w:r>
        <w:rPr>
          <w:color w:val="231F20"/>
          <w:spacing w:val="-3"/>
          <w:sz w:val="16"/>
        </w:rPr>
        <w:t xml:space="preserve">Mahler, </w:t>
      </w:r>
      <w:r>
        <w:rPr>
          <w:color w:val="231F20"/>
          <w:sz w:val="16"/>
        </w:rPr>
        <w:t xml:space="preserve">Schubert, Goergens trial (1971) 63; May Offensive (1972) </w:t>
      </w:r>
      <w:r>
        <w:rPr>
          <w:color w:val="231F20"/>
          <w:sz w:val="16"/>
        </w:rPr>
        <w:t>164;</w:t>
      </w:r>
      <w:r>
        <w:rPr>
          <w:color w:val="231F20"/>
          <w:spacing w:val="5"/>
          <w:sz w:val="16"/>
        </w:rPr>
        <w:t xml:space="preserve"> </w:t>
      </w:r>
      <w:r>
        <w:rPr>
          <w:color w:val="231F20"/>
          <w:spacing w:val="-3"/>
          <w:sz w:val="16"/>
        </w:rPr>
        <w:t>dur-</w:t>
      </w:r>
    </w:p>
    <w:p w14:paraId="1652C7C1" w14:textId="77777777" w:rsidR="002653E8" w:rsidRDefault="003115E3">
      <w:pPr>
        <w:spacing w:before="4" w:line="280" w:lineRule="auto"/>
        <w:ind w:left="451" w:right="1328"/>
        <w:rPr>
          <w:i/>
          <w:sz w:val="16"/>
        </w:rPr>
      </w:pPr>
      <w:r>
        <w:rPr>
          <w:color w:val="231F20"/>
          <w:sz w:val="16"/>
        </w:rPr>
        <w:t>ing first hunger strike (1973) 277; during third hunger strike (1974-5) 257–258; DPA occupation (1978) 611; anti-imperialist Front (1980s) 615</w:t>
      </w:r>
      <w:r>
        <w:rPr>
          <w:i/>
          <w:color w:val="231F20"/>
          <w:sz w:val="16"/>
        </w:rPr>
        <w:t>,</w:t>
      </w:r>
    </w:p>
    <w:p w14:paraId="00C5F815" w14:textId="77777777" w:rsidR="002653E8" w:rsidRDefault="002653E8">
      <w:pPr>
        <w:spacing w:line="280" w:lineRule="auto"/>
        <w:rPr>
          <w:sz w:val="16"/>
        </w:rPr>
        <w:sectPr w:rsidR="002653E8">
          <w:footerReference w:type="even" r:id="rId642"/>
          <w:footerReference w:type="default" r:id="rId643"/>
          <w:pgSz w:w="8640" w:h="12960"/>
          <w:pgMar w:top="1080" w:right="0" w:bottom="1040" w:left="0" w:header="0" w:footer="846" w:gutter="0"/>
          <w:cols w:num="2" w:space="720" w:equalWidth="0">
            <w:col w:w="4079" w:space="40"/>
            <w:col w:w="4521"/>
          </w:cols>
        </w:sectPr>
      </w:pPr>
    </w:p>
    <w:p w14:paraId="45CADD40" w14:textId="77777777" w:rsidR="002653E8" w:rsidRDefault="003115E3">
      <w:pPr>
        <w:spacing w:before="86"/>
        <w:ind w:left="1527"/>
        <w:jc w:val="both"/>
        <w:rPr>
          <w:i/>
          <w:sz w:val="16"/>
        </w:rPr>
      </w:pPr>
      <w:r>
        <w:rPr>
          <w:color w:val="231F20"/>
          <w:w w:val="105"/>
          <w:sz w:val="16"/>
        </w:rPr>
        <w:lastRenderedPageBreak/>
        <w:t>616</w:t>
      </w:r>
      <w:r>
        <w:rPr>
          <w:i/>
          <w:color w:val="231F20"/>
          <w:w w:val="105"/>
          <w:sz w:val="16"/>
        </w:rPr>
        <w:t xml:space="preserve">, </w:t>
      </w:r>
      <w:r>
        <w:rPr>
          <w:color w:val="231F20"/>
          <w:w w:val="105"/>
          <w:sz w:val="16"/>
        </w:rPr>
        <w:t>618; attacks on 248</w:t>
      </w:r>
      <w:r>
        <w:rPr>
          <w:i/>
          <w:color w:val="231F20"/>
          <w:w w:val="105"/>
          <w:sz w:val="16"/>
        </w:rPr>
        <w:t xml:space="preserve">, </w:t>
      </w:r>
      <w:r>
        <w:rPr>
          <w:color w:val="231F20"/>
          <w:w w:val="105"/>
          <w:sz w:val="16"/>
        </w:rPr>
        <w:t>344–345</w:t>
      </w:r>
      <w:r>
        <w:rPr>
          <w:i/>
          <w:color w:val="231F20"/>
          <w:w w:val="105"/>
          <w:sz w:val="16"/>
        </w:rPr>
        <w:t>,</w:t>
      </w:r>
    </w:p>
    <w:p w14:paraId="1296ACC2" w14:textId="77777777" w:rsidR="002653E8" w:rsidRDefault="003115E3">
      <w:pPr>
        <w:spacing w:before="33"/>
        <w:ind w:left="1527"/>
        <w:jc w:val="both"/>
        <w:rPr>
          <w:i/>
          <w:sz w:val="16"/>
        </w:rPr>
      </w:pPr>
      <w:r>
        <w:rPr>
          <w:color w:val="231F20"/>
          <w:sz w:val="16"/>
        </w:rPr>
        <w:t>508–509; focus on prisoners 343–344</w:t>
      </w:r>
      <w:r>
        <w:rPr>
          <w:i/>
          <w:color w:val="231F20"/>
          <w:sz w:val="16"/>
        </w:rPr>
        <w:t>,</w:t>
      </w:r>
    </w:p>
    <w:p w14:paraId="396E3883" w14:textId="77777777" w:rsidR="002653E8" w:rsidRPr="00846956" w:rsidRDefault="003115E3">
      <w:pPr>
        <w:spacing w:before="32"/>
        <w:ind w:left="1527"/>
        <w:jc w:val="both"/>
        <w:rPr>
          <w:i/>
          <w:sz w:val="16"/>
          <w:lang w:val="de-DE"/>
        </w:rPr>
      </w:pPr>
      <w:r w:rsidRPr="00846956">
        <w:rPr>
          <w:color w:val="231F20"/>
          <w:w w:val="105"/>
          <w:sz w:val="16"/>
          <w:lang w:val="de-DE"/>
        </w:rPr>
        <w:t xml:space="preserve">450–451; </w:t>
      </w:r>
      <w:r w:rsidRPr="00846956">
        <w:rPr>
          <w:i/>
          <w:color w:val="231F20"/>
          <w:w w:val="105"/>
          <w:sz w:val="16"/>
          <w:lang w:val="de-DE"/>
        </w:rPr>
        <w:t xml:space="preserve">Zusammen Kämpfen </w:t>
      </w:r>
      <w:r w:rsidRPr="00846956">
        <w:rPr>
          <w:color w:val="231F20"/>
          <w:w w:val="105"/>
          <w:sz w:val="16"/>
          <w:lang w:val="de-DE"/>
        </w:rPr>
        <w:t>616</w:t>
      </w:r>
      <w:r w:rsidRPr="00846956">
        <w:rPr>
          <w:i/>
          <w:color w:val="231F20"/>
          <w:w w:val="105"/>
          <w:sz w:val="16"/>
          <w:lang w:val="de-DE"/>
        </w:rPr>
        <w:t>,</w:t>
      </w:r>
    </w:p>
    <w:p w14:paraId="547ACF9B" w14:textId="77777777" w:rsidR="002653E8" w:rsidRPr="00846956" w:rsidRDefault="003115E3">
      <w:pPr>
        <w:spacing w:before="33"/>
        <w:ind w:left="1480" w:right="1695"/>
        <w:jc w:val="center"/>
        <w:rPr>
          <w:sz w:val="16"/>
          <w:lang w:val="de-DE"/>
        </w:rPr>
      </w:pPr>
      <w:r w:rsidRPr="00846956">
        <w:rPr>
          <w:color w:val="231F20"/>
          <w:w w:val="110"/>
          <w:sz w:val="16"/>
          <w:lang w:val="de-DE"/>
        </w:rPr>
        <w:t>617</w:t>
      </w:r>
      <w:r w:rsidRPr="00846956">
        <w:rPr>
          <w:i/>
          <w:color w:val="231F20"/>
          <w:w w:val="110"/>
          <w:sz w:val="16"/>
          <w:lang w:val="de-DE"/>
        </w:rPr>
        <w:t xml:space="preserve">, </w:t>
      </w:r>
      <w:r w:rsidRPr="00846956">
        <w:rPr>
          <w:color w:val="231F20"/>
          <w:w w:val="110"/>
          <w:sz w:val="16"/>
          <w:lang w:val="de-DE"/>
        </w:rPr>
        <w:t>618</w:t>
      </w:r>
      <w:r w:rsidRPr="00846956">
        <w:rPr>
          <w:i/>
          <w:color w:val="231F20"/>
          <w:w w:val="110"/>
          <w:sz w:val="16"/>
          <w:lang w:val="de-DE"/>
        </w:rPr>
        <w:t xml:space="preserve">, </w:t>
      </w:r>
      <w:r w:rsidRPr="00846956">
        <w:rPr>
          <w:color w:val="231F20"/>
          <w:w w:val="110"/>
          <w:sz w:val="16"/>
          <w:lang w:val="de-DE"/>
        </w:rPr>
        <w:t>620</w:t>
      </w:r>
    </w:p>
    <w:p w14:paraId="067B5B3B" w14:textId="77777777" w:rsidR="002653E8" w:rsidRPr="00846956" w:rsidRDefault="003115E3">
      <w:pPr>
        <w:spacing w:before="32"/>
        <w:ind w:left="1327"/>
        <w:rPr>
          <w:sz w:val="16"/>
          <w:lang w:val="de-DE"/>
        </w:rPr>
      </w:pPr>
      <w:r w:rsidRPr="00846956">
        <w:rPr>
          <w:color w:val="231F20"/>
          <w:w w:val="105"/>
          <w:sz w:val="16"/>
          <w:lang w:val="de-DE"/>
        </w:rPr>
        <w:t>Sweden 57</w:t>
      </w:r>
      <w:r w:rsidRPr="00846956">
        <w:rPr>
          <w:i/>
          <w:color w:val="231F20"/>
          <w:w w:val="105"/>
          <w:sz w:val="16"/>
          <w:lang w:val="de-DE"/>
        </w:rPr>
        <w:t xml:space="preserve">, </w:t>
      </w:r>
      <w:r w:rsidRPr="00846956">
        <w:rPr>
          <w:color w:val="231F20"/>
          <w:w w:val="105"/>
          <w:sz w:val="16"/>
          <w:lang w:val="de-DE"/>
        </w:rPr>
        <w:t>319</w:t>
      </w:r>
      <w:r w:rsidRPr="00846956">
        <w:rPr>
          <w:i/>
          <w:color w:val="231F20"/>
          <w:w w:val="105"/>
          <w:sz w:val="16"/>
          <w:lang w:val="de-DE"/>
        </w:rPr>
        <w:t xml:space="preserve">, </w:t>
      </w:r>
      <w:r w:rsidRPr="00846956">
        <w:rPr>
          <w:color w:val="231F20"/>
          <w:w w:val="105"/>
          <w:sz w:val="16"/>
          <w:lang w:val="de-DE"/>
        </w:rPr>
        <w:t>427; Stockholm</w:t>
      </w:r>
    </w:p>
    <w:p w14:paraId="4567ABD1" w14:textId="77777777" w:rsidR="002653E8" w:rsidRPr="00846956" w:rsidRDefault="003115E3">
      <w:pPr>
        <w:spacing w:before="32"/>
        <w:ind w:left="1527"/>
        <w:jc w:val="both"/>
        <w:rPr>
          <w:i/>
          <w:sz w:val="16"/>
          <w:lang w:val="de-DE"/>
        </w:rPr>
      </w:pPr>
      <w:r w:rsidRPr="00846956">
        <w:rPr>
          <w:color w:val="231F20"/>
          <w:w w:val="105"/>
          <w:sz w:val="16"/>
          <w:lang w:val="de-DE"/>
        </w:rPr>
        <w:t>Embassy Occupation 332–336</w:t>
      </w:r>
      <w:r w:rsidRPr="00846956">
        <w:rPr>
          <w:i/>
          <w:color w:val="231F20"/>
          <w:w w:val="105"/>
          <w:sz w:val="16"/>
          <w:lang w:val="de-DE"/>
        </w:rPr>
        <w:t>,</w:t>
      </w:r>
    </w:p>
    <w:p w14:paraId="35375269" w14:textId="77777777" w:rsidR="002653E8" w:rsidRPr="00846956" w:rsidRDefault="003115E3">
      <w:pPr>
        <w:spacing w:before="33"/>
        <w:ind w:left="1527"/>
        <w:jc w:val="both"/>
        <w:rPr>
          <w:sz w:val="16"/>
          <w:lang w:val="de-DE"/>
        </w:rPr>
      </w:pPr>
      <w:r w:rsidRPr="00846956">
        <w:rPr>
          <w:color w:val="231F20"/>
          <w:w w:val="105"/>
          <w:sz w:val="16"/>
          <w:lang w:val="de-DE"/>
        </w:rPr>
        <w:t>339–340</w:t>
      </w:r>
      <w:r w:rsidRPr="00846956">
        <w:rPr>
          <w:i/>
          <w:color w:val="231F20"/>
          <w:w w:val="105"/>
          <w:sz w:val="16"/>
          <w:lang w:val="de-DE"/>
        </w:rPr>
        <w:t xml:space="preserve">, </w:t>
      </w:r>
      <w:r w:rsidRPr="00846956">
        <w:rPr>
          <w:color w:val="231F20"/>
          <w:w w:val="105"/>
          <w:sz w:val="16"/>
          <w:lang w:val="de-DE"/>
        </w:rPr>
        <w:t>386</w:t>
      </w:r>
      <w:r w:rsidRPr="00846956">
        <w:rPr>
          <w:i/>
          <w:color w:val="231F20"/>
          <w:w w:val="105"/>
          <w:sz w:val="16"/>
          <w:lang w:val="de-DE"/>
        </w:rPr>
        <w:t xml:space="preserve">, </w:t>
      </w:r>
      <w:r w:rsidRPr="00846956">
        <w:rPr>
          <w:color w:val="231F20"/>
          <w:w w:val="105"/>
          <w:sz w:val="16"/>
          <w:lang w:val="de-DE"/>
        </w:rPr>
        <w:t>597</w:t>
      </w:r>
    </w:p>
    <w:p w14:paraId="266145B0" w14:textId="77777777" w:rsidR="002653E8" w:rsidRPr="00846956" w:rsidRDefault="003115E3">
      <w:pPr>
        <w:spacing w:before="32" w:line="280" w:lineRule="auto"/>
        <w:ind w:left="1527" w:hanging="200"/>
        <w:rPr>
          <w:sz w:val="16"/>
          <w:lang w:val="de-DE"/>
        </w:rPr>
      </w:pPr>
      <w:r w:rsidRPr="00846956">
        <w:rPr>
          <w:color w:val="231F20"/>
          <w:sz w:val="16"/>
          <w:lang w:val="de-DE"/>
        </w:rPr>
        <w:t>Switzerland 440; Schleyer manhunt 501</w:t>
      </w:r>
      <w:r w:rsidRPr="00846956">
        <w:rPr>
          <w:i/>
          <w:color w:val="231F20"/>
          <w:sz w:val="16"/>
          <w:lang w:val="de-DE"/>
        </w:rPr>
        <w:t xml:space="preserve">, </w:t>
      </w:r>
      <w:r w:rsidRPr="00846956">
        <w:rPr>
          <w:color w:val="231F20"/>
          <w:sz w:val="16"/>
          <w:lang w:val="de-DE"/>
        </w:rPr>
        <w:t>508; weapons smuggling (Haag-von Dyck) 337</w:t>
      </w:r>
      <w:r w:rsidRPr="00846956">
        <w:rPr>
          <w:i/>
          <w:color w:val="231F20"/>
          <w:sz w:val="16"/>
          <w:lang w:val="de-DE"/>
        </w:rPr>
        <w:t xml:space="preserve">, </w:t>
      </w:r>
      <w:r w:rsidRPr="00846956">
        <w:rPr>
          <w:color w:val="231F20"/>
          <w:sz w:val="16"/>
          <w:lang w:val="de-DE"/>
        </w:rPr>
        <w:t>597; Zurich bank robbery</w:t>
      </w:r>
    </w:p>
    <w:p w14:paraId="7CBB259C" w14:textId="77777777" w:rsidR="002653E8" w:rsidRDefault="003115E3">
      <w:pPr>
        <w:spacing w:before="2"/>
        <w:ind w:left="1527"/>
        <w:rPr>
          <w:sz w:val="16"/>
        </w:rPr>
      </w:pPr>
      <w:r>
        <w:rPr>
          <w:color w:val="231F20"/>
          <w:sz w:val="16"/>
        </w:rPr>
        <w:t>613</w:t>
      </w:r>
    </w:p>
    <w:p w14:paraId="329EC61D" w14:textId="77777777" w:rsidR="002653E8" w:rsidRDefault="003115E3">
      <w:pPr>
        <w:spacing w:before="32" w:line="280" w:lineRule="auto"/>
        <w:ind w:left="1327" w:right="60"/>
        <w:rPr>
          <w:sz w:val="16"/>
        </w:rPr>
      </w:pPr>
      <w:r>
        <w:rPr>
          <w:color w:val="231F20"/>
          <w:sz w:val="16"/>
        </w:rPr>
        <w:t>Symbionese Liberation Army 360 Syndicat de la Magistrature 522</w:t>
      </w:r>
      <w:r>
        <w:rPr>
          <w:i/>
          <w:color w:val="231F20"/>
          <w:sz w:val="16"/>
        </w:rPr>
        <w:t xml:space="preserve">, </w:t>
      </w:r>
      <w:r>
        <w:rPr>
          <w:color w:val="231F20"/>
          <w:sz w:val="16"/>
        </w:rPr>
        <w:t>526</w:t>
      </w:r>
    </w:p>
    <w:p w14:paraId="10230481" w14:textId="77777777" w:rsidR="002653E8" w:rsidRDefault="003115E3">
      <w:pPr>
        <w:spacing w:before="1"/>
        <w:ind w:left="1327"/>
        <w:rPr>
          <w:i/>
          <w:sz w:val="16"/>
        </w:rPr>
      </w:pPr>
      <w:r>
        <w:rPr>
          <w:color w:val="231F20"/>
          <w:w w:val="105"/>
          <w:sz w:val="16"/>
        </w:rPr>
        <w:t>Syria 191</w:t>
      </w:r>
      <w:r>
        <w:rPr>
          <w:i/>
          <w:color w:val="231F20"/>
          <w:w w:val="105"/>
          <w:sz w:val="16"/>
        </w:rPr>
        <w:t xml:space="preserve">, </w:t>
      </w:r>
      <w:r>
        <w:rPr>
          <w:color w:val="231F20"/>
          <w:w w:val="105"/>
          <w:sz w:val="16"/>
        </w:rPr>
        <w:t>209; Six Day War 34</w:t>
      </w:r>
      <w:r>
        <w:rPr>
          <w:i/>
          <w:color w:val="231F20"/>
          <w:w w:val="105"/>
          <w:sz w:val="16"/>
        </w:rPr>
        <w:t>,</w:t>
      </w:r>
    </w:p>
    <w:p w14:paraId="2A7084A8" w14:textId="77777777" w:rsidR="002653E8" w:rsidRDefault="003115E3">
      <w:pPr>
        <w:spacing w:before="33"/>
        <w:ind w:left="1527"/>
        <w:jc w:val="both"/>
        <w:rPr>
          <w:sz w:val="16"/>
        </w:rPr>
      </w:pPr>
      <w:r>
        <w:rPr>
          <w:color w:val="231F20"/>
          <w:sz w:val="16"/>
        </w:rPr>
        <w:t>551–552</w:t>
      </w:r>
      <w:r>
        <w:rPr>
          <w:i/>
          <w:color w:val="231F20"/>
          <w:sz w:val="16"/>
        </w:rPr>
        <w:t xml:space="preserve">, </w:t>
      </w:r>
      <w:r>
        <w:rPr>
          <w:color w:val="231F20"/>
          <w:sz w:val="16"/>
        </w:rPr>
        <w:t>580–581</w:t>
      </w:r>
    </w:p>
    <w:p w14:paraId="399DF8EC" w14:textId="77777777" w:rsidR="002653E8" w:rsidRDefault="002653E8">
      <w:pPr>
        <w:pStyle w:val="a3"/>
        <w:rPr>
          <w:sz w:val="18"/>
        </w:rPr>
      </w:pPr>
    </w:p>
    <w:p w14:paraId="7C63520B" w14:textId="77777777" w:rsidR="002653E8" w:rsidRDefault="002653E8">
      <w:pPr>
        <w:pStyle w:val="a3"/>
        <w:rPr>
          <w:sz w:val="18"/>
        </w:rPr>
      </w:pPr>
    </w:p>
    <w:p w14:paraId="094F67CF" w14:textId="77777777" w:rsidR="002653E8" w:rsidRDefault="002653E8">
      <w:pPr>
        <w:pStyle w:val="a3"/>
        <w:rPr>
          <w:sz w:val="18"/>
        </w:rPr>
      </w:pPr>
    </w:p>
    <w:p w14:paraId="464E34C2" w14:textId="77777777" w:rsidR="002653E8" w:rsidRDefault="002653E8">
      <w:pPr>
        <w:pStyle w:val="a3"/>
        <w:spacing w:before="9"/>
        <w:rPr>
          <w:sz w:val="23"/>
        </w:rPr>
      </w:pPr>
    </w:p>
    <w:p w14:paraId="414AD809" w14:textId="77777777" w:rsidR="002653E8" w:rsidRDefault="003115E3">
      <w:pPr>
        <w:ind w:left="1327"/>
        <w:rPr>
          <w:sz w:val="16"/>
        </w:rPr>
      </w:pPr>
      <w:r>
        <w:rPr>
          <w:i/>
          <w:color w:val="231F20"/>
          <w:w w:val="105"/>
          <w:sz w:val="16"/>
        </w:rPr>
        <w:t xml:space="preserve">Tagesschau </w:t>
      </w:r>
      <w:r>
        <w:rPr>
          <w:color w:val="231F20"/>
          <w:w w:val="105"/>
          <w:sz w:val="16"/>
        </w:rPr>
        <w:t>478</w:t>
      </w:r>
      <w:r>
        <w:rPr>
          <w:i/>
          <w:color w:val="231F20"/>
          <w:w w:val="105"/>
          <w:sz w:val="16"/>
        </w:rPr>
        <w:t xml:space="preserve">, </w:t>
      </w:r>
      <w:r>
        <w:rPr>
          <w:color w:val="231F20"/>
          <w:w w:val="105"/>
          <w:sz w:val="16"/>
        </w:rPr>
        <w:t>499</w:t>
      </w:r>
    </w:p>
    <w:p w14:paraId="6F4E97C6" w14:textId="77777777" w:rsidR="002653E8" w:rsidRDefault="003115E3">
      <w:pPr>
        <w:spacing w:before="33"/>
        <w:ind w:left="1327"/>
        <w:rPr>
          <w:sz w:val="16"/>
        </w:rPr>
      </w:pPr>
      <w:r>
        <w:rPr>
          <w:i/>
          <w:color w:val="231F20"/>
          <w:sz w:val="16"/>
        </w:rPr>
        <w:t xml:space="preserve">tageszeitung </w:t>
      </w:r>
      <w:r>
        <w:rPr>
          <w:color w:val="231F20"/>
          <w:sz w:val="16"/>
        </w:rPr>
        <w:t>539</w:t>
      </w:r>
    </w:p>
    <w:p w14:paraId="35218436" w14:textId="77777777" w:rsidR="002653E8" w:rsidRDefault="003115E3">
      <w:pPr>
        <w:spacing w:before="32" w:line="280" w:lineRule="auto"/>
        <w:ind w:left="1527" w:right="16" w:hanging="200"/>
        <w:rPr>
          <w:sz w:val="16"/>
        </w:rPr>
      </w:pPr>
      <w:r>
        <w:rPr>
          <w:color w:val="231F20"/>
          <w:spacing w:val="-5"/>
          <w:sz w:val="16"/>
        </w:rPr>
        <w:t xml:space="preserve">Taufer, </w:t>
      </w:r>
      <w:r>
        <w:rPr>
          <w:color w:val="231F20"/>
          <w:sz w:val="16"/>
        </w:rPr>
        <w:t>Lutz  576</w:t>
      </w:r>
      <w:r>
        <w:rPr>
          <w:i/>
          <w:color w:val="231F20"/>
          <w:sz w:val="16"/>
        </w:rPr>
        <w:t xml:space="preserve">, </w:t>
      </w:r>
      <w:r>
        <w:rPr>
          <w:color w:val="231F20"/>
          <w:sz w:val="16"/>
        </w:rPr>
        <w:t xml:space="preserve">623;  Committees Against </w:t>
      </w:r>
      <w:r>
        <w:rPr>
          <w:color w:val="231F20"/>
          <w:spacing w:val="-3"/>
          <w:sz w:val="16"/>
        </w:rPr>
        <w:t xml:space="preserve">Torture </w:t>
      </w:r>
      <w:r>
        <w:rPr>
          <w:color w:val="231F20"/>
          <w:sz w:val="16"/>
        </w:rPr>
        <w:t>253; konkret interview (1992) 622; prison 605;</w:t>
      </w:r>
      <w:r>
        <w:rPr>
          <w:color w:val="231F20"/>
          <w:spacing w:val="13"/>
          <w:sz w:val="16"/>
        </w:rPr>
        <w:t xml:space="preserve"> </w:t>
      </w:r>
      <w:r>
        <w:rPr>
          <w:color w:val="231F20"/>
          <w:sz w:val="16"/>
        </w:rPr>
        <w:t>released</w:t>
      </w:r>
    </w:p>
    <w:p w14:paraId="61D9DA11" w14:textId="77777777" w:rsidR="002653E8" w:rsidRDefault="003115E3">
      <w:pPr>
        <w:spacing w:before="2"/>
        <w:ind w:left="1527"/>
        <w:jc w:val="both"/>
        <w:rPr>
          <w:sz w:val="16"/>
        </w:rPr>
      </w:pPr>
      <w:r>
        <w:rPr>
          <w:color w:val="231F20"/>
          <w:sz w:val="16"/>
        </w:rPr>
        <w:t>(1995) 624; Stockholm Embassy</w:t>
      </w:r>
    </w:p>
    <w:p w14:paraId="7D8F9ED4" w14:textId="77777777" w:rsidR="002653E8" w:rsidRDefault="003115E3">
      <w:pPr>
        <w:spacing w:before="32"/>
        <w:ind w:left="1527"/>
        <w:jc w:val="both"/>
        <w:rPr>
          <w:i/>
          <w:sz w:val="16"/>
        </w:rPr>
      </w:pPr>
      <w:r>
        <w:rPr>
          <w:color w:val="231F20"/>
          <w:w w:val="105"/>
          <w:sz w:val="16"/>
        </w:rPr>
        <w:t>Occupation 334; trial (1976-77) 600</w:t>
      </w:r>
      <w:r>
        <w:rPr>
          <w:i/>
          <w:color w:val="231F20"/>
          <w:w w:val="105"/>
          <w:sz w:val="16"/>
        </w:rPr>
        <w:t>,</w:t>
      </w:r>
    </w:p>
    <w:p w14:paraId="09CD375C" w14:textId="77777777" w:rsidR="002653E8" w:rsidRDefault="003115E3">
      <w:pPr>
        <w:spacing w:before="33"/>
        <w:ind w:left="780" w:right="1695"/>
        <w:jc w:val="center"/>
        <w:rPr>
          <w:sz w:val="16"/>
        </w:rPr>
      </w:pPr>
      <w:r>
        <w:rPr>
          <w:color w:val="231F20"/>
          <w:sz w:val="16"/>
        </w:rPr>
        <w:t>606</w:t>
      </w:r>
    </w:p>
    <w:p w14:paraId="20D18024" w14:textId="77777777" w:rsidR="002653E8" w:rsidRDefault="003115E3">
      <w:pPr>
        <w:spacing w:before="32"/>
        <w:ind w:left="1327"/>
        <w:rPr>
          <w:sz w:val="16"/>
        </w:rPr>
      </w:pPr>
      <w:r>
        <w:rPr>
          <w:i/>
          <w:color w:val="231F20"/>
          <w:sz w:val="16"/>
        </w:rPr>
        <w:t xml:space="preserve">taz </w:t>
      </w:r>
      <w:r>
        <w:rPr>
          <w:color w:val="231F20"/>
          <w:sz w:val="16"/>
        </w:rPr>
        <w:t>539</w:t>
      </w:r>
    </w:p>
    <w:p w14:paraId="202DB601" w14:textId="77777777" w:rsidR="002653E8" w:rsidRDefault="003115E3">
      <w:pPr>
        <w:spacing w:before="33" w:line="280" w:lineRule="auto"/>
        <w:ind w:left="1527" w:hanging="200"/>
        <w:rPr>
          <w:sz w:val="16"/>
        </w:rPr>
      </w:pPr>
      <w:r>
        <w:rPr>
          <w:color w:val="231F20"/>
          <w:sz w:val="16"/>
        </w:rPr>
        <w:t>Technical Institute of Criminology (Stuttgart) 383</w:t>
      </w:r>
    </w:p>
    <w:p w14:paraId="14ABFE70" w14:textId="77777777" w:rsidR="002653E8" w:rsidRDefault="003115E3">
      <w:pPr>
        <w:spacing w:before="1" w:line="280" w:lineRule="auto"/>
        <w:ind w:left="1327"/>
        <w:rPr>
          <w:sz w:val="16"/>
        </w:rPr>
      </w:pPr>
      <w:r>
        <w:rPr>
          <w:color w:val="231F20"/>
          <w:sz w:val="16"/>
        </w:rPr>
        <w:t>Technical University in Hannover 460 Technical University in West Berlin 581 Tel, Wasfi 188</w:t>
      </w:r>
    </w:p>
    <w:p w14:paraId="254CB966" w14:textId="77777777" w:rsidR="002653E8" w:rsidRPr="00846956" w:rsidRDefault="003115E3">
      <w:pPr>
        <w:spacing w:before="1"/>
        <w:ind w:left="1327"/>
        <w:rPr>
          <w:sz w:val="16"/>
          <w:lang w:val="de-DE"/>
        </w:rPr>
      </w:pPr>
      <w:r w:rsidRPr="00846956">
        <w:rPr>
          <w:color w:val="231F20"/>
          <w:w w:val="105"/>
          <w:sz w:val="16"/>
          <w:lang w:val="de-DE"/>
        </w:rPr>
        <w:t>Teufel, Fritz 49</w:t>
      </w:r>
      <w:r w:rsidRPr="00846956">
        <w:rPr>
          <w:i/>
          <w:color w:val="231F20"/>
          <w:w w:val="105"/>
          <w:sz w:val="16"/>
          <w:lang w:val="de-DE"/>
        </w:rPr>
        <w:t xml:space="preserve">, </w:t>
      </w:r>
      <w:r w:rsidRPr="00846956">
        <w:rPr>
          <w:color w:val="231F20"/>
          <w:w w:val="105"/>
          <w:sz w:val="16"/>
          <w:lang w:val="de-DE"/>
        </w:rPr>
        <w:t>440</w:t>
      </w:r>
      <w:r w:rsidRPr="00846956">
        <w:rPr>
          <w:i/>
          <w:color w:val="231F20"/>
          <w:w w:val="105"/>
          <w:sz w:val="16"/>
          <w:lang w:val="de-DE"/>
        </w:rPr>
        <w:t xml:space="preserve">, </w:t>
      </w:r>
      <w:r w:rsidRPr="00846956">
        <w:rPr>
          <w:color w:val="231F20"/>
          <w:w w:val="105"/>
          <w:sz w:val="16"/>
          <w:lang w:val="de-DE"/>
        </w:rPr>
        <w:t>576</w:t>
      </w:r>
      <w:r w:rsidRPr="00846956">
        <w:rPr>
          <w:i/>
          <w:color w:val="231F20"/>
          <w:w w:val="105"/>
          <w:sz w:val="16"/>
          <w:lang w:val="de-DE"/>
        </w:rPr>
        <w:t xml:space="preserve">, </w:t>
      </w:r>
      <w:r w:rsidRPr="00846956">
        <w:rPr>
          <w:color w:val="231F20"/>
          <w:w w:val="105"/>
          <w:sz w:val="16"/>
          <w:lang w:val="de-DE"/>
        </w:rPr>
        <w:t>580</w:t>
      </w:r>
    </w:p>
    <w:p w14:paraId="0B714610" w14:textId="77777777" w:rsidR="002653E8" w:rsidRPr="00846956" w:rsidRDefault="003115E3">
      <w:pPr>
        <w:spacing w:before="33"/>
        <w:ind w:left="1327"/>
        <w:rPr>
          <w:sz w:val="16"/>
          <w:lang w:val="de-DE"/>
        </w:rPr>
      </w:pPr>
      <w:r w:rsidRPr="00846956">
        <w:rPr>
          <w:color w:val="231F20"/>
          <w:sz w:val="16"/>
          <w:lang w:val="de-DE"/>
        </w:rPr>
        <w:t>Teuns, Sjef 249</w:t>
      </w:r>
    </w:p>
    <w:p w14:paraId="13999CA5" w14:textId="77777777" w:rsidR="002653E8" w:rsidRPr="00846956" w:rsidRDefault="003115E3">
      <w:pPr>
        <w:spacing w:before="32"/>
        <w:ind w:left="1327"/>
        <w:rPr>
          <w:i/>
          <w:sz w:val="16"/>
          <w:lang w:val="de-DE"/>
        </w:rPr>
      </w:pPr>
      <w:r w:rsidRPr="00846956">
        <w:rPr>
          <w:color w:val="231F20"/>
          <w:w w:val="105"/>
          <w:sz w:val="16"/>
          <w:lang w:val="de-DE"/>
        </w:rPr>
        <w:t>Thimme, Johannes 472–473</w:t>
      </w:r>
      <w:r w:rsidRPr="00846956">
        <w:rPr>
          <w:i/>
          <w:color w:val="231F20"/>
          <w:w w:val="105"/>
          <w:sz w:val="16"/>
          <w:lang w:val="de-DE"/>
        </w:rPr>
        <w:t xml:space="preserve">, </w:t>
      </w:r>
      <w:r w:rsidRPr="00846956">
        <w:rPr>
          <w:color w:val="231F20"/>
          <w:w w:val="105"/>
          <w:sz w:val="16"/>
          <w:lang w:val="de-DE"/>
        </w:rPr>
        <w:t>576</w:t>
      </w:r>
      <w:r w:rsidRPr="00846956">
        <w:rPr>
          <w:i/>
          <w:color w:val="231F20"/>
          <w:w w:val="105"/>
          <w:sz w:val="16"/>
          <w:lang w:val="de-DE"/>
        </w:rPr>
        <w:t xml:space="preserve">, </w:t>
      </w:r>
      <w:r w:rsidRPr="00846956">
        <w:rPr>
          <w:color w:val="231F20"/>
          <w:w w:val="105"/>
          <w:sz w:val="16"/>
          <w:lang w:val="de-DE"/>
        </w:rPr>
        <w:t>605</w:t>
      </w:r>
      <w:r w:rsidRPr="00846956">
        <w:rPr>
          <w:i/>
          <w:color w:val="231F20"/>
          <w:w w:val="105"/>
          <w:sz w:val="16"/>
          <w:lang w:val="de-DE"/>
        </w:rPr>
        <w:t>,</w:t>
      </w:r>
    </w:p>
    <w:p w14:paraId="071B2EB3" w14:textId="77777777" w:rsidR="002653E8" w:rsidRDefault="003115E3">
      <w:pPr>
        <w:spacing w:before="32"/>
        <w:ind w:left="780" w:right="1695"/>
        <w:jc w:val="center"/>
        <w:rPr>
          <w:sz w:val="16"/>
        </w:rPr>
      </w:pPr>
      <w:r>
        <w:rPr>
          <w:color w:val="231F20"/>
          <w:sz w:val="16"/>
        </w:rPr>
        <w:t>617</w:t>
      </w:r>
    </w:p>
    <w:p w14:paraId="38DB4AD1" w14:textId="77777777" w:rsidR="002653E8" w:rsidRDefault="003115E3">
      <w:pPr>
        <w:spacing w:before="33"/>
        <w:ind w:left="1327"/>
        <w:rPr>
          <w:sz w:val="16"/>
        </w:rPr>
      </w:pPr>
      <w:r>
        <w:rPr>
          <w:color w:val="231F20"/>
          <w:sz w:val="16"/>
        </w:rPr>
        <w:t>Third International 309</w:t>
      </w:r>
    </w:p>
    <w:p w14:paraId="4FD1F9D5" w14:textId="77777777" w:rsidR="002653E8" w:rsidRDefault="003115E3">
      <w:pPr>
        <w:spacing w:before="32"/>
        <w:ind w:left="1327"/>
        <w:rPr>
          <w:i/>
          <w:sz w:val="16"/>
        </w:rPr>
      </w:pPr>
      <w:r>
        <w:rPr>
          <w:color w:val="231F20"/>
          <w:w w:val="110"/>
          <w:sz w:val="16"/>
        </w:rPr>
        <w:t>Third Reich 3</w:t>
      </w:r>
      <w:r>
        <w:rPr>
          <w:i/>
          <w:color w:val="231F20"/>
          <w:w w:val="110"/>
          <w:sz w:val="16"/>
        </w:rPr>
        <w:t xml:space="preserve">, </w:t>
      </w:r>
      <w:r>
        <w:rPr>
          <w:color w:val="231F20"/>
          <w:w w:val="110"/>
          <w:sz w:val="16"/>
        </w:rPr>
        <w:t>19</w:t>
      </w:r>
      <w:r>
        <w:rPr>
          <w:i/>
          <w:color w:val="231F20"/>
          <w:w w:val="110"/>
          <w:sz w:val="16"/>
        </w:rPr>
        <w:t xml:space="preserve">, </w:t>
      </w:r>
      <w:r>
        <w:rPr>
          <w:color w:val="231F20"/>
          <w:w w:val="110"/>
          <w:sz w:val="16"/>
        </w:rPr>
        <w:t>188</w:t>
      </w:r>
      <w:r>
        <w:rPr>
          <w:i/>
          <w:color w:val="231F20"/>
          <w:w w:val="110"/>
          <w:sz w:val="16"/>
        </w:rPr>
        <w:t xml:space="preserve">, </w:t>
      </w:r>
      <w:r>
        <w:rPr>
          <w:color w:val="231F20"/>
          <w:w w:val="110"/>
          <w:sz w:val="16"/>
        </w:rPr>
        <w:t>477</w:t>
      </w:r>
      <w:r>
        <w:rPr>
          <w:i/>
          <w:color w:val="231F20"/>
          <w:w w:val="110"/>
          <w:sz w:val="16"/>
        </w:rPr>
        <w:t>. See</w:t>
      </w:r>
    </w:p>
    <w:p w14:paraId="456A4C47" w14:textId="77777777" w:rsidR="002653E8" w:rsidRDefault="003115E3">
      <w:pPr>
        <w:spacing w:before="33" w:line="280" w:lineRule="auto"/>
        <w:ind w:left="1527" w:right="14" w:hanging="1"/>
        <w:jc w:val="both"/>
        <w:rPr>
          <w:i/>
          <w:sz w:val="16"/>
        </w:rPr>
      </w:pPr>
      <w:r>
        <w:rPr>
          <w:i/>
          <w:color w:val="231F20"/>
          <w:w w:val="105"/>
          <w:sz w:val="16"/>
        </w:rPr>
        <w:t xml:space="preserve">also </w:t>
      </w:r>
      <w:r>
        <w:rPr>
          <w:color w:val="231F20"/>
          <w:w w:val="105"/>
          <w:sz w:val="16"/>
        </w:rPr>
        <w:t>Holocaust</w:t>
      </w:r>
      <w:r>
        <w:rPr>
          <w:i/>
          <w:color w:val="231F20"/>
          <w:w w:val="105"/>
          <w:sz w:val="16"/>
        </w:rPr>
        <w:t xml:space="preserve">; See also </w:t>
      </w:r>
      <w:r>
        <w:rPr>
          <w:color w:val="231F20"/>
          <w:w w:val="105"/>
          <w:sz w:val="16"/>
        </w:rPr>
        <w:t>Nazis,</w:t>
      </w:r>
      <w:r>
        <w:rPr>
          <w:color w:val="231F20"/>
          <w:spacing w:val="-21"/>
          <w:w w:val="105"/>
          <w:sz w:val="16"/>
        </w:rPr>
        <w:t xml:space="preserve"> </w:t>
      </w:r>
      <w:r>
        <w:rPr>
          <w:color w:val="231F20"/>
          <w:w w:val="105"/>
          <w:sz w:val="16"/>
        </w:rPr>
        <w:t xml:space="preserve">former; </w:t>
      </w:r>
      <w:r>
        <w:rPr>
          <w:color w:val="231F20"/>
          <w:sz w:val="16"/>
        </w:rPr>
        <w:t xml:space="preserve">antifascist resistance to 19; mentioned </w:t>
      </w:r>
      <w:r>
        <w:rPr>
          <w:color w:val="231F20"/>
          <w:w w:val="105"/>
          <w:sz w:val="16"/>
        </w:rPr>
        <w:t xml:space="preserve">by </w:t>
      </w:r>
      <w:r w:rsidR="00C507A5">
        <w:rPr>
          <w:color w:val="231F20"/>
          <w:w w:val="105"/>
          <w:sz w:val="16"/>
        </w:rPr>
        <w:t>red army faction</w:t>
      </w:r>
      <w:r>
        <w:rPr>
          <w:color w:val="231F20"/>
          <w:w w:val="105"/>
          <w:sz w:val="16"/>
        </w:rPr>
        <w:t xml:space="preserve"> 225</w:t>
      </w:r>
      <w:r>
        <w:rPr>
          <w:i/>
          <w:color w:val="231F20"/>
          <w:w w:val="105"/>
          <w:sz w:val="16"/>
        </w:rPr>
        <w:t xml:space="preserve">, </w:t>
      </w:r>
      <w:r>
        <w:rPr>
          <w:color w:val="231F20"/>
          <w:w w:val="105"/>
          <w:sz w:val="16"/>
        </w:rPr>
        <w:t>308–309</w:t>
      </w:r>
      <w:r>
        <w:rPr>
          <w:i/>
          <w:color w:val="231F20"/>
          <w:w w:val="105"/>
          <w:sz w:val="16"/>
        </w:rPr>
        <w:t xml:space="preserve">, </w:t>
      </w:r>
      <w:r>
        <w:rPr>
          <w:color w:val="231F20"/>
          <w:w w:val="105"/>
          <w:sz w:val="16"/>
        </w:rPr>
        <w:t>374</w:t>
      </w:r>
      <w:r>
        <w:rPr>
          <w:i/>
          <w:color w:val="231F20"/>
          <w:w w:val="105"/>
          <w:sz w:val="16"/>
        </w:rPr>
        <w:t>,</w:t>
      </w:r>
      <w:r>
        <w:rPr>
          <w:i/>
          <w:color w:val="231F20"/>
          <w:spacing w:val="-15"/>
          <w:w w:val="105"/>
          <w:sz w:val="16"/>
        </w:rPr>
        <w:t xml:space="preserve"> </w:t>
      </w:r>
      <w:r>
        <w:rPr>
          <w:color w:val="231F20"/>
          <w:w w:val="105"/>
          <w:sz w:val="16"/>
        </w:rPr>
        <w:t>425</w:t>
      </w:r>
      <w:r>
        <w:rPr>
          <w:i/>
          <w:color w:val="231F20"/>
          <w:w w:val="105"/>
          <w:sz w:val="16"/>
        </w:rPr>
        <w:t>,</w:t>
      </w:r>
    </w:p>
    <w:p w14:paraId="19FD08DA" w14:textId="77777777" w:rsidR="002653E8" w:rsidRDefault="003115E3">
      <w:pPr>
        <w:spacing w:before="1"/>
        <w:ind w:left="1527"/>
        <w:rPr>
          <w:sz w:val="16"/>
        </w:rPr>
      </w:pPr>
      <w:r>
        <w:rPr>
          <w:color w:val="231F20"/>
          <w:sz w:val="16"/>
        </w:rPr>
        <w:t>544–547</w:t>
      </w:r>
    </w:p>
    <w:p w14:paraId="1B494A7F" w14:textId="77777777" w:rsidR="002653E8" w:rsidRDefault="003115E3">
      <w:pPr>
        <w:spacing w:before="33"/>
        <w:ind w:left="1327"/>
        <w:rPr>
          <w:sz w:val="16"/>
        </w:rPr>
      </w:pPr>
      <w:r>
        <w:rPr>
          <w:i/>
          <w:color w:val="231F20"/>
          <w:w w:val="105"/>
          <w:sz w:val="16"/>
        </w:rPr>
        <w:t xml:space="preserve">30 Questions to a Tupamaro </w:t>
      </w:r>
      <w:r>
        <w:rPr>
          <w:color w:val="231F20"/>
          <w:w w:val="105"/>
          <w:sz w:val="16"/>
        </w:rPr>
        <w:t>122</w:t>
      </w:r>
      <w:r>
        <w:rPr>
          <w:i/>
          <w:color w:val="231F20"/>
          <w:w w:val="105"/>
          <w:sz w:val="16"/>
        </w:rPr>
        <w:t xml:space="preserve">, </w:t>
      </w:r>
      <w:r>
        <w:rPr>
          <w:color w:val="231F20"/>
          <w:w w:val="105"/>
          <w:sz w:val="16"/>
        </w:rPr>
        <w:t>153</w:t>
      </w:r>
    </w:p>
    <w:p w14:paraId="65BB9F8F" w14:textId="77777777" w:rsidR="002653E8" w:rsidRDefault="003115E3">
      <w:pPr>
        <w:spacing w:before="32" w:line="280" w:lineRule="auto"/>
        <w:ind w:left="1327" w:right="1391"/>
        <w:rPr>
          <w:sz w:val="16"/>
        </w:rPr>
      </w:pPr>
      <w:r>
        <w:rPr>
          <w:color w:val="231F20"/>
          <w:w w:val="105"/>
          <w:sz w:val="16"/>
        </w:rPr>
        <w:t>Thoene, Thomas 621 Thomas, Gary P. 601</w:t>
      </w:r>
    </w:p>
    <w:p w14:paraId="69E51E58" w14:textId="77777777" w:rsidR="002653E8" w:rsidRPr="00846956" w:rsidRDefault="003115E3">
      <w:pPr>
        <w:spacing w:before="86"/>
        <w:ind w:left="269"/>
        <w:rPr>
          <w:sz w:val="16"/>
          <w:lang w:val="de-DE"/>
        </w:rPr>
      </w:pPr>
      <w:r w:rsidRPr="006918DA">
        <w:rPr>
          <w:lang w:val="de-DE"/>
        </w:rPr>
        <w:br w:type="column"/>
      </w:r>
      <w:r w:rsidRPr="00846956">
        <w:rPr>
          <w:color w:val="231F20"/>
          <w:w w:val="105"/>
          <w:sz w:val="16"/>
          <w:lang w:val="de-DE"/>
        </w:rPr>
        <w:t>Tichler, Anton 599</w:t>
      </w:r>
    </w:p>
    <w:p w14:paraId="15C9F74E" w14:textId="77777777" w:rsidR="002653E8" w:rsidRPr="00846956" w:rsidRDefault="003115E3">
      <w:pPr>
        <w:spacing w:before="33"/>
        <w:ind w:left="269"/>
        <w:rPr>
          <w:sz w:val="16"/>
          <w:lang w:val="de-DE"/>
        </w:rPr>
      </w:pPr>
      <w:r w:rsidRPr="00846956">
        <w:rPr>
          <w:color w:val="231F20"/>
          <w:sz w:val="16"/>
          <w:lang w:val="de-DE"/>
        </w:rPr>
        <w:t>Tietmeyer,  Hans  619</w:t>
      </w:r>
    </w:p>
    <w:p w14:paraId="00211CF1" w14:textId="77777777" w:rsidR="002653E8" w:rsidRPr="00846956" w:rsidRDefault="003115E3">
      <w:pPr>
        <w:spacing w:before="32"/>
        <w:ind w:left="269"/>
        <w:rPr>
          <w:sz w:val="16"/>
          <w:lang w:val="de-DE"/>
        </w:rPr>
      </w:pPr>
      <w:r w:rsidRPr="00846956">
        <w:rPr>
          <w:color w:val="231F20"/>
          <w:sz w:val="16"/>
          <w:lang w:val="de-DE"/>
        </w:rPr>
        <w:t>Tilgener, Brigitte  602</w:t>
      </w:r>
    </w:p>
    <w:p w14:paraId="11600678" w14:textId="77777777" w:rsidR="002653E8" w:rsidRDefault="003115E3">
      <w:pPr>
        <w:spacing w:before="33"/>
        <w:ind w:left="269"/>
        <w:rPr>
          <w:sz w:val="16"/>
        </w:rPr>
      </w:pPr>
      <w:r>
        <w:rPr>
          <w:i/>
          <w:color w:val="231F20"/>
          <w:sz w:val="16"/>
        </w:rPr>
        <w:t xml:space="preserve">Time </w:t>
      </w:r>
      <w:r>
        <w:rPr>
          <w:color w:val="231F20"/>
          <w:sz w:val="16"/>
        </w:rPr>
        <w:t>magazine 331</w:t>
      </w:r>
    </w:p>
    <w:p w14:paraId="2BE4F6EC" w14:textId="77777777" w:rsidR="002653E8" w:rsidRDefault="003115E3">
      <w:pPr>
        <w:spacing w:before="32"/>
        <w:ind w:left="269"/>
        <w:rPr>
          <w:sz w:val="16"/>
        </w:rPr>
      </w:pPr>
      <w:r>
        <w:rPr>
          <w:color w:val="231F20"/>
          <w:sz w:val="16"/>
        </w:rPr>
        <w:t>Toller, Ernst 67</w:t>
      </w:r>
    </w:p>
    <w:p w14:paraId="09E18EF7" w14:textId="77777777" w:rsidR="002653E8" w:rsidRDefault="003115E3">
      <w:pPr>
        <w:spacing w:before="32"/>
        <w:ind w:left="269"/>
        <w:rPr>
          <w:sz w:val="16"/>
        </w:rPr>
      </w:pPr>
      <w:r>
        <w:rPr>
          <w:color w:val="231F20"/>
          <w:w w:val="105"/>
          <w:sz w:val="16"/>
        </w:rPr>
        <w:t>Tolmein, Oliver 528</w:t>
      </w:r>
    </w:p>
    <w:p w14:paraId="2D364D82" w14:textId="77777777" w:rsidR="002653E8" w:rsidRDefault="003115E3">
      <w:pPr>
        <w:spacing w:before="33" w:line="280" w:lineRule="auto"/>
        <w:ind w:left="269" w:right="1416"/>
        <w:rPr>
          <w:i/>
          <w:sz w:val="16"/>
        </w:rPr>
      </w:pPr>
      <w:r>
        <w:rPr>
          <w:color w:val="231F20"/>
          <w:w w:val="105"/>
          <w:sz w:val="16"/>
        </w:rPr>
        <w:t>Tommy Weissbecker House 114 trade unions 9–10</w:t>
      </w:r>
      <w:r>
        <w:rPr>
          <w:i/>
          <w:color w:val="231F20"/>
          <w:w w:val="105"/>
          <w:sz w:val="16"/>
        </w:rPr>
        <w:t xml:space="preserve">, </w:t>
      </w:r>
      <w:r>
        <w:rPr>
          <w:color w:val="231F20"/>
          <w:w w:val="105"/>
          <w:sz w:val="16"/>
        </w:rPr>
        <w:t>20</w:t>
      </w:r>
      <w:r>
        <w:rPr>
          <w:i/>
          <w:color w:val="231F20"/>
          <w:w w:val="105"/>
          <w:sz w:val="16"/>
        </w:rPr>
        <w:t xml:space="preserve">, </w:t>
      </w:r>
      <w:r>
        <w:rPr>
          <w:color w:val="231F20"/>
          <w:w w:val="105"/>
          <w:sz w:val="16"/>
        </w:rPr>
        <w:t>22–23</w:t>
      </w:r>
      <w:r>
        <w:rPr>
          <w:i/>
          <w:color w:val="231F20"/>
          <w:w w:val="105"/>
          <w:sz w:val="16"/>
        </w:rPr>
        <w:t>. See</w:t>
      </w:r>
    </w:p>
    <w:p w14:paraId="17483B69" w14:textId="77777777" w:rsidR="002653E8" w:rsidRDefault="003115E3">
      <w:pPr>
        <w:spacing w:before="1" w:line="280" w:lineRule="auto"/>
        <w:ind w:left="469" w:right="1134"/>
        <w:rPr>
          <w:i/>
          <w:sz w:val="16"/>
        </w:rPr>
      </w:pPr>
      <w:r>
        <w:rPr>
          <w:i/>
          <w:color w:val="231F20"/>
          <w:sz w:val="16"/>
        </w:rPr>
        <w:t xml:space="preserve">also </w:t>
      </w:r>
      <w:r>
        <w:rPr>
          <w:color w:val="231F20"/>
          <w:sz w:val="16"/>
        </w:rPr>
        <w:t>strikes</w:t>
      </w:r>
      <w:r>
        <w:rPr>
          <w:i/>
          <w:color w:val="231F20"/>
          <w:sz w:val="16"/>
        </w:rPr>
        <w:t xml:space="preserve">; See also </w:t>
      </w:r>
      <w:r>
        <w:rPr>
          <w:color w:val="231F20"/>
          <w:sz w:val="16"/>
        </w:rPr>
        <w:t>co-management; anticommunism 36; anti-</w:t>
      </w:r>
      <w:r w:rsidR="00C507A5">
        <w:rPr>
          <w:color w:val="231F20"/>
          <w:sz w:val="16"/>
        </w:rPr>
        <w:t>red army faction</w:t>
      </w:r>
      <w:r>
        <w:rPr>
          <w:color w:val="231F20"/>
          <w:sz w:val="16"/>
        </w:rPr>
        <w:t xml:space="preserve"> statements 169; mentioned by </w:t>
      </w:r>
      <w:r w:rsidR="00C507A5">
        <w:rPr>
          <w:color w:val="231F20"/>
          <w:sz w:val="16"/>
        </w:rPr>
        <w:t>red army faction</w:t>
      </w:r>
      <w:r>
        <w:rPr>
          <w:color w:val="231F20"/>
          <w:sz w:val="16"/>
        </w:rPr>
        <w:t xml:space="preserve"> 127</w:t>
      </w:r>
      <w:r>
        <w:rPr>
          <w:i/>
          <w:color w:val="231F20"/>
          <w:sz w:val="16"/>
        </w:rPr>
        <w:t>,</w:t>
      </w:r>
    </w:p>
    <w:p w14:paraId="491BF40D" w14:textId="77777777" w:rsidR="002653E8" w:rsidRDefault="003115E3">
      <w:pPr>
        <w:spacing w:before="1"/>
        <w:ind w:left="469"/>
        <w:rPr>
          <w:sz w:val="16"/>
        </w:rPr>
      </w:pPr>
      <w:r>
        <w:rPr>
          <w:color w:val="231F20"/>
          <w:w w:val="105"/>
          <w:sz w:val="16"/>
        </w:rPr>
        <w:t>128</w:t>
      </w:r>
      <w:r>
        <w:rPr>
          <w:i/>
          <w:color w:val="231F20"/>
          <w:w w:val="105"/>
          <w:sz w:val="16"/>
        </w:rPr>
        <w:t xml:space="preserve">, </w:t>
      </w:r>
      <w:r>
        <w:rPr>
          <w:color w:val="231F20"/>
          <w:w w:val="105"/>
          <w:sz w:val="16"/>
        </w:rPr>
        <w:t>133–139</w:t>
      </w:r>
      <w:r>
        <w:rPr>
          <w:i/>
          <w:color w:val="231F20"/>
          <w:w w:val="105"/>
          <w:sz w:val="16"/>
        </w:rPr>
        <w:t xml:space="preserve">, </w:t>
      </w:r>
      <w:r>
        <w:rPr>
          <w:color w:val="231F20"/>
          <w:w w:val="105"/>
          <w:sz w:val="16"/>
        </w:rPr>
        <w:t>149</w:t>
      </w:r>
    </w:p>
    <w:p w14:paraId="506E6672" w14:textId="77777777" w:rsidR="002653E8" w:rsidRDefault="003115E3">
      <w:pPr>
        <w:spacing w:before="33"/>
        <w:ind w:left="269"/>
        <w:rPr>
          <w:sz w:val="16"/>
        </w:rPr>
      </w:pPr>
      <w:r>
        <w:rPr>
          <w:color w:val="231F20"/>
          <w:sz w:val="16"/>
        </w:rPr>
        <w:t>Traube, Klaus 421</w:t>
      </w:r>
    </w:p>
    <w:p w14:paraId="365D0772" w14:textId="77777777" w:rsidR="002653E8" w:rsidRDefault="003115E3">
      <w:pPr>
        <w:spacing w:before="32"/>
        <w:ind w:left="269"/>
        <w:rPr>
          <w:sz w:val="16"/>
        </w:rPr>
      </w:pPr>
      <w:r>
        <w:rPr>
          <w:color w:val="231F20"/>
          <w:sz w:val="16"/>
        </w:rPr>
        <w:t>Treaty of Paris 22</w:t>
      </w:r>
      <w:r>
        <w:rPr>
          <w:i/>
          <w:color w:val="231F20"/>
          <w:sz w:val="16"/>
        </w:rPr>
        <w:t xml:space="preserve">, </w:t>
      </w:r>
      <w:r>
        <w:rPr>
          <w:color w:val="231F20"/>
          <w:sz w:val="16"/>
        </w:rPr>
        <w:t>415</w:t>
      </w:r>
    </w:p>
    <w:p w14:paraId="29F366B3" w14:textId="77777777" w:rsidR="002653E8" w:rsidRPr="00846956" w:rsidRDefault="003115E3">
      <w:pPr>
        <w:spacing w:before="33"/>
        <w:ind w:left="269"/>
        <w:rPr>
          <w:sz w:val="16"/>
          <w:lang w:val="de-DE"/>
        </w:rPr>
      </w:pPr>
      <w:r w:rsidRPr="00846956">
        <w:rPr>
          <w:color w:val="231F20"/>
          <w:sz w:val="16"/>
          <w:lang w:val="de-DE"/>
        </w:rPr>
        <w:t>Treuhandstalt 621</w:t>
      </w:r>
    </w:p>
    <w:p w14:paraId="79B7A309" w14:textId="77777777" w:rsidR="002653E8" w:rsidRPr="00846956" w:rsidRDefault="003115E3">
      <w:pPr>
        <w:spacing w:before="32"/>
        <w:ind w:left="269"/>
        <w:rPr>
          <w:sz w:val="16"/>
          <w:lang w:val="de-DE"/>
        </w:rPr>
      </w:pPr>
      <w:r w:rsidRPr="00846956">
        <w:rPr>
          <w:color w:val="231F20"/>
          <w:sz w:val="16"/>
          <w:lang w:val="de-DE"/>
        </w:rPr>
        <w:t>Truman Doctrine 5</w:t>
      </w:r>
    </w:p>
    <w:p w14:paraId="14F69173" w14:textId="77777777" w:rsidR="002653E8" w:rsidRPr="00846956" w:rsidRDefault="003115E3">
      <w:pPr>
        <w:spacing w:before="33"/>
        <w:ind w:left="269"/>
        <w:rPr>
          <w:sz w:val="16"/>
          <w:lang w:val="de-DE"/>
        </w:rPr>
      </w:pPr>
      <w:r w:rsidRPr="00846956">
        <w:rPr>
          <w:color w:val="231F20"/>
          <w:w w:val="105"/>
          <w:sz w:val="16"/>
          <w:lang w:val="de-DE"/>
        </w:rPr>
        <w:t>Tschombe, Moise 27</w:t>
      </w:r>
      <w:r w:rsidRPr="00846956">
        <w:rPr>
          <w:i/>
          <w:color w:val="231F20"/>
          <w:w w:val="105"/>
          <w:sz w:val="16"/>
          <w:lang w:val="de-DE"/>
        </w:rPr>
        <w:t xml:space="preserve">, </w:t>
      </w:r>
      <w:r w:rsidRPr="00846956">
        <w:rPr>
          <w:color w:val="231F20"/>
          <w:w w:val="105"/>
          <w:sz w:val="16"/>
          <w:lang w:val="de-DE"/>
        </w:rPr>
        <w:t>579</w:t>
      </w:r>
    </w:p>
    <w:p w14:paraId="5236A1F2" w14:textId="77777777" w:rsidR="002653E8" w:rsidRDefault="003115E3">
      <w:pPr>
        <w:spacing w:before="32"/>
        <w:ind w:left="269"/>
        <w:rPr>
          <w:sz w:val="16"/>
        </w:rPr>
      </w:pPr>
      <w:r>
        <w:rPr>
          <w:color w:val="231F20"/>
          <w:sz w:val="16"/>
        </w:rPr>
        <w:t>Tübingen University 384</w:t>
      </w:r>
    </w:p>
    <w:p w14:paraId="14EFB176" w14:textId="77777777" w:rsidR="002653E8" w:rsidRDefault="003115E3">
      <w:pPr>
        <w:spacing w:before="32"/>
        <w:ind w:left="269"/>
        <w:rPr>
          <w:sz w:val="16"/>
        </w:rPr>
      </w:pPr>
      <w:r>
        <w:rPr>
          <w:color w:val="231F20"/>
          <w:sz w:val="16"/>
        </w:rPr>
        <w:t>Tunisia 212</w:t>
      </w:r>
    </w:p>
    <w:p w14:paraId="4A77A899" w14:textId="77777777" w:rsidR="002653E8" w:rsidRDefault="003115E3">
      <w:pPr>
        <w:spacing w:before="33"/>
        <w:ind w:left="269"/>
        <w:rPr>
          <w:sz w:val="16"/>
        </w:rPr>
      </w:pPr>
      <w:r>
        <w:rPr>
          <w:color w:val="231F20"/>
          <w:w w:val="105"/>
          <w:sz w:val="16"/>
        </w:rPr>
        <w:t>Tunix 538–540</w:t>
      </w:r>
      <w:r>
        <w:rPr>
          <w:i/>
          <w:color w:val="231F20"/>
          <w:w w:val="105"/>
          <w:sz w:val="16"/>
        </w:rPr>
        <w:t xml:space="preserve">, </w:t>
      </w:r>
      <w:r>
        <w:rPr>
          <w:color w:val="231F20"/>
          <w:w w:val="105"/>
          <w:sz w:val="16"/>
        </w:rPr>
        <w:t>610</w:t>
      </w:r>
    </w:p>
    <w:p w14:paraId="6B8BE047" w14:textId="77777777" w:rsidR="002653E8" w:rsidRDefault="003115E3">
      <w:pPr>
        <w:spacing w:before="32" w:line="280" w:lineRule="auto"/>
        <w:ind w:left="469" w:right="1451" w:hanging="200"/>
        <w:rPr>
          <w:sz w:val="16"/>
        </w:rPr>
      </w:pPr>
      <w:r>
        <w:rPr>
          <w:color w:val="231F20"/>
          <w:sz w:val="16"/>
        </w:rPr>
        <w:t xml:space="preserve">Tupamaros </w:t>
      </w:r>
      <w:r>
        <w:rPr>
          <w:color w:val="231F20"/>
          <w:spacing w:val="-3"/>
          <w:sz w:val="16"/>
        </w:rPr>
        <w:t xml:space="preserve">(West </w:t>
      </w:r>
      <w:r>
        <w:rPr>
          <w:color w:val="231F20"/>
          <w:sz w:val="16"/>
        </w:rPr>
        <w:t>German) 157</w:t>
      </w:r>
      <w:r>
        <w:rPr>
          <w:i/>
          <w:color w:val="231F20"/>
          <w:sz w:val="16"/>
        </w:rPr>
        <w:t xml:space="preserve">. See also </w:t>
      </w:r>
      <w:r>
        <w:rPr>
          <w:color w:val="231F20"/>
          <w:sz w:val="16"/>
        </w:rPr>
        <w:t>Roaming Hash  Rebels</w:t>
      </w:r>
      <w:r>
        <w:rPr>
          <w:i/>
          <w:color w:val="231F20"/>
          <w:sz w:val="16"/>
        </w:rPr>
        <w:t xml:space="preserve">;  See also </w:t>
      </w:r>
      <w:r>
        <w:rPr>
          <w:color w:val="231F20"/>
          <w:sz w:val="16"/>
        </w:rPr>
        <w:t>Blues, the;</w:t>
      </w:r>
      <w:r>
        <w:rPr>
          <w:color w:val="231F20"/>
          <w:spacing w:val="6"/>
          <w:sz w:val="16"/>
        </w:rPr>
        <w:t xml:space="preserve"> </w:t>
      </w:r>
      <w:r>
        <w:rPr>
          <w:color w:val="231F20"/>
          <w:sz w:val="16"/>
        </w:rPr>
        <w:t>Tupamaros-Munich</w:t>
      </w:r>
    </w:p>
    <w:p w14:paraId="7027F6CE" w14:textId="77777777" w:rsidR="002653E8" w:rsidRDefault="003115E3">
      <w:pPr>
        <w:spacing w:before="2"/>
        <w:ind w:left="469"/>
        <w:rPr>
          <w:i/>
          <w:sz w:val="16"/>
        </w:rPr>
      </w:pPr>
      <w:r>
        <w:rPr>
          <w:color w:val="231F20"/>
          <w:sz w:val="16"/>
        </w:rPr>
        <w:t>171</w:t>
      </w:r>
      <w:r>
        <w:rPr>
          <w:i/>
          <w:color w:val="231F20"/>
          <w:sz w:val="16"/>
        </w:rPr>
        <w:t xml:space="preserve">, </w:t>
      </w:r>
      <w:r>
        <w:rPr>
          <w:color w:val="231F20"/>
          <w:sz w:val="16"/>
        </w:rPr>
        <w:t>583; Tupamaros-West Berlin 46</w:t>
      </w:r>
      <w:r>
        <w:rPr>
          <w:i/>
          <w:color w:val="231F20"/>
          <w:sz w:val="16"/>
        </w:rPr>
        <w:t>,</w:t>
      </w:r>
    </w:p>
    <w:p w14:paraId="48343625" w14:textId="77777777" w:rsidR="002653E8" w:rsidRDefault="003115E3">
      <w:pPr>
        <w:spacing w:before="32"/>
        <w:ind w:left="469"/>
        <w:rPr>
          <w:sz w:val="16"/>
        </w:rPr>
      </w:pPr>
      <w:r>
        <w:rPr>
          <w:color w:val="231F20"/>
          <w:w w:val="110"/>
          <w:sz w:val="16"/>
        </w:rPr>
        <w:t>171</w:t>
      </w:r>
      <w:r>
        <w:rPr>
          <w:i/>
          <w:color w:val="231F20"/>
          <w:w w:val="110"/>
          <w:sz w:val="16"/>
        </w:rPr>
        <w:t xml:space="preserve">, </w:t>
      </w:r>
      <w:r>
        <w:rPr>
          <w:color w:val="231F20"/>
          <w:w w:val="110"/>
          <w:sz w:val="16"/>
        </w:rPr>
        <w:t>583</w:t>
      </w:r>
      <w:r>
        <w:rPr>
          <w:i/>
          <w:color w:val="231F20"/>
          <w:w w:val="110"/>
          <w:sz w:val="16"/>
        </w:rPr>
        <w:t xml:space="preserve">, </w:t>
      </w:r>
      <w:r>
        <w:rPr>
          <w:color w:val="231F20"/>
          <w:w w:val="110"/>
          <w:sz w:val="16"/>
        </w:rPr>
        <w:t>585</w:t>
      </w:r>
      <w:r>
        <w:rPr>
          <w:i/>
          <w:color w:val="231F20"/>
          <w:w w:val="110"/>
          <w:sz w:val="16"/>
        </w:rPr>
        <w:t xml:space="preserve">, </w:t>
      </w:r>
      <w:r>
        <w:rPr>
          <w:color w:val="231F20"/>
          <w:w w:val="110"/>
          <w:sz w:val="16"/>
        </w:rPr>
        <w:t>587</w:t>
      </w:r>
      <w:r>
        <w:rPr>
          <w:i/>
          <w:color w:val="231F20"/>
          <w:w w:val="110"/>
          <w:sz w:val="16"/>
        </w:rPr>
        <w:t xml:space="preserve">, </w:t>
      </w:r>
      <w:r>
        <w:rPr>
          <w:color w:val="231F20"/>
          <w:w w:val="110"/>
          <w:sz w:val="16"/>
        </w:rPr>
        <w:t>588</w:t>
      </w:r>
    </w:p>
    <w:p w14:paraId="160E0648" w14:textId="77777777" w:rsidR="002653E8" w:rsidRDefault="003115E3">
      <w:pPr>
        <w:spacing w:before="33"/>
        <w:ind w:left="269"/>
        <w:rPr>
          <w:sz w:val="16"/>
        </w:rPr>
      </w:pPr>
      <w:r>
        <w:rPr>
          <w:color w:val="231F20"/>
          <w:w w:val="105"/>
          <w:sz w:val="16"/>
        </w:rPr>
        <w:t>Turkey; and FRG 131</w:t>
      </w:r>
      <w:r>
        <w:rPr>
          <w:i/>
          <w:color w:val="231F20"/>
          <w:w w:val="105"/>
          <w:sz w:val="16"/>
        </w:rPr>
        <w:t xml:space="preserve">, </w:t>
      </w:r>
      <w:r>
        <w:rPr>
          <w:color w:val="231F20"/>
          <w:w w:val="105"/>
          <w:sz w:val="16"/>
        </w:rPr>
        <w:t>212; anti-German</w:t>
      </w:r>
    </w:p>
    <w:p w14:paraId="3313ADA8" w14:textId="77777777" w:rsidR="002653E8" w:rsidRDefault="003115E3">
      <w:pPr>
        <w:spacing w:before="32"/>
        <w:ind w:left="469"/>
        <w:rPr>
          <w:sz w:val="16"/>
        </w:rPr>
      </w:pPr>
      <w:r>
        <w:rPr>
          <w:color w:val="231F20"/>
          <w:sz w:val="16"/>
        </w:rPr>
        <w:t>protests (1977)  523; mentioned by</w:t>
      </w:r>
    </w:p>
    <w:p w14:paraId="14F9D409" w14:textId="77777777" w:rsidR="002653E8" w:rsidRDefault="00C507A5">
      <w:pPr>
        <w:spacing w:before="33"/>
        <w:ind w:left="469"/>
        <w:rPr>
          <w:i/>
          <w:sz w:val="16"/>
        </w:rPr>
      </w:pPr>
      <w:r>
        <w:rPr>
          <w:color w:val="231F20"/>
          <w:w w:val="110"/>
          <w:sz w:val="16"/>
        </w:rPr>
        <w:t>red army faction</w:t>
      </w:r>
      <w:r w:rsidR="003115E3">
        <w:rPr>
          <w:color w:val="231F20"/>
          <w:w w:val="110"/>
          <w:sz w:val="16"/>
        </w:rPr>
        <w:t xml:space="preserve"> 125</w:t>
      </w:r>
      <w:r w:rsidR="003115E3">
        <w:rPr>
          <w:i/>
          <w:color w:val="231F20"/>
          <w:w w:val="110"/>
          <w:sz w:val="16"/>
        </w:rPr>
        <w:t xml:space="preserve">, </w:t>
      </w:r>
      <w:r w:rsidR="003115E3">
        <w:rPr>
          <w:color w:val="231F20"/>
          <w:w w:val="110"/>
          <w:sz w:val="16"/>
        </w:rPr>
        <w:t>131</w:t>
      </w:r>
      <w:r w:rsidR="003115E3">
        <w:rPr>
          <w:i/>
          <w:color w:val="231F20"/>
          <w:w w:val="110"/>
          <w:sz w:val="16"/>
        </w:rPr>
        <w:t xml:space="preserve">, </w:t>
      </w:r>
      <w:r w:rsidR="003115E3">
        <w:rPr>
          <w:color w:val="231F20"/>
          <w:w w:val="110"/>
          <w:sz w:val="16"/>
        </w:rPr>
        <w:t>179</w:t>
      </w:r>
      <w:r w:rsidR="003115E3">
        <w:rPr>
          <w:i/>
          <w:color w:val="231F20"/>
          <w:w w:val="110"/>
          <w:sz w:val="16"/>
        </w:rPr>
        <w:t xml:space="preserve">, </w:t>
      </w:r>
      <w:r w:rsidR="003115E3">
        <w:rPr>
          <w:color w:val="231F20"/>
          <w:w w:val="110"/>
          <w:sz w:val="16"/>
        </w:rPr>
        <w:t>183</w:t>
      </w:r>
      <w:r w:rsidR="003115E3">
        <w:rPr>
          <w:i/>
          <w:color w:val="231F20"/>
          <w:w w:val="110"/>
          <w:sz w:val="16"/>
        </w:rPr>
        <w:t xml:space="preserve">, </w:t>
      </w:r>
      <w:r w:rsidR="003115E3">
        <w:rPr>
          <w:color w:val="231F20"/>
          <w:w w:val="110"/>
          <w:sz w:val="16"/>
        </w:rPr>
        <w:t>212</w:t>
      </w:r>
      <w:r w:rsidR="003115E3">
        <w:rPr>
          <w:i/>
          <w:color w:val="231F20"/>
          <w:w w:val="110"/>
          <w:sz w:val="16"/>
        </w:rPr>
        <w:t xml:space="preserve">, </w:t>
      </w:r>
      <w:r w:rsidR="003115E3">
        <w:rPr>
          <w:color w:val="231F20"/>
          <w:w w:val="110"/>
          <w:sz w:val="16"/>
        </w:rPr>
        <w:t>213</w:t>
      </w:r>
      <w:r w:rsidR="003115E3">
        <w:rPr>
          <w:i/>
          <w:color w:val="231F20"/>
          <w:w w:val="110"/>
          <w:sz w:val="16"/>
        </w:rPr>
        <w:t>,</w:t>
      </w:r>
    </w:p>
    <w:p w14:paraId="4F48141E" w14:textId="77777777" w:rsidR="002653E8" w:rsidRPr="00846956" w:rsidRDefault="003115E3">
      <w:pPr>
        <w:spacing w:before="32"/>
        <w:ind w:left="469"/>
        <w:rPr>
          <w:sz w:val="16"/>
          <w:lang w:val="de-DE"/>
        </w:rPr>
      </w:pPr>
      <w:r w:rsidRPr="00846956">
        <w:rPr>
          <w:color w:val="231F20"/>
          <w:w w:val="105"/>
          <w:sz w:val="16"/>
          <w:lang w:val="de-DE"/>
        </w:rPr>
        <w:t>226; SAWIO skyjacking (1977, Moga-</w:t>
      </w:r>
    </w:p>
    <w:p w14:paraId="1B389B3E" w14:textId="77777777" w:rsidR="002653E8" w:rsidRPr="00846956" w:rsidRDefault="003115E3">
      <w:pPr>
        <w:spacing w:before="32"/>
        <w:ind w:left="469"/>
        <w:rPr>
          <w:sz w:val="16"/>
          <w:lang w:val="de-DE"/>
        </w:rPr>
      </w:pPr>
      <w:r w:rsidRPr="00846956">
        <w:rPr>
          <w:color w:val="231F20"/>
          <w:w w:val="105"/>
          <w:sz w:val="16"/>
          <w:lang w:val="de-DE"/>
        </w:rPr>
        <w:t>dishu) 481</w:t>
      </w:r>
      <w:r w:rsidRPr="00846956">
        <w:rPr>
          <w:i/>
          <w:color w:val="231F20"/>
          <w:w w:val="105"/>
          <w:sz w:val="16"/>
          <w:lang w:val="de-DE"/>
        </w:rPr>
        <w:t xml:space="preserve">, </w:t>
      </w:r>
      <w:r w:rsidRPr="00846956">
        <w:rPr>
          <w:color w:val="231F20"/>
          <w:w w:val="105"/>
          <w:sz w:val="16"/>
          <w:lang w:val="de-DE"/>
        </w:rPr>
        <w:t>482</w:t>
      </w:r>
      <w:r w:rsidRPr="00846956">
        <w:rPr>
          <w:i/>
          <w:color w:val="231F20"/>
          <w:w w:val="105"/>
          <w:sz w:val="16"/>
          <w:lang w:val="de-DE"/>
        </w:rPr>
        <w:t xml:space="preserve">, </w:t>
      </w:r>
      <w:r w:rsidRPr="00846956">
        <w:rPr>
          <w:color w:val="231F20"/>
          <w:w w:val="105"/>
          <w:sz w:val="16"/>
          <w:lang w:val="de-DE"/>
        </w:rPr>
        <w:t>484</w:t>
      </w:r>
      <w:r w:rsidRPr="00846956">
        <w:rPr>
          <w:i/>
          <w:color w:val="231F20"/>
          <w:w w:val="105"/>
          <w:sz w:val="16"/>
          <w:lang w:val="de-DE"/>
        </w:rPr>
        <w:t xml:space="preserve">, </w:t>
      </w:r>
      <w:r w:rsidRPr="00846956">
        <w:rPr>
          <w:color w:val="231F20"/>
          <w:w w:val="105"/>
          <w:sz w:val="16"/>
          <w:lang w:val="de-DE"/>
        </w:rPr>
        <w:t>505</w:t>
      </w:r>
      <w:r w:rsidRPr="00846956">
        <w:rPr>
          <w:i/>
          <w:color w:val="231F20"/>
          <w:w w:val="105"/>
          <w:sz w:val="16"/>
          <w:lang w:val="de-DE"/>
        </w:rPr>
        <w:t xml:space="preserve">, </w:t>
      </w:r>
      <w:r w:rsidRPr="00846956">
        <w:rPr>
          <w:color w:val="231F20"/>
          <w:w w:val="105"/>
          <w:sz w:val="16"/>
          <w:lang w:val="de-DE"/>
        </w:rPr>
        <w:t>608</w:t>
      </w:r>
    </w:p>
    <w:p w14:paraId="65A852EB" w14:textId="77777777" w:rsidR="002653E8" w:rsidRPr="00846956" w:rsidRDefault="002653E8">
      <w:pPr>
        <w:pStyle w:val="a3"/>
        <w:rPr>
          <w:sz w:val="18"/>
          <w:lang w:val="de-DE"/>
        </w:rPr>
      </w:pPr>
    </w:p>
    <w:p w14:paraId="0581E076" w14:textId="77777777" w:rsidR="002653E8" w:rsidRPr="00846956" w:rsidRDefault="002653E8">
      <w:pPr>
        <w:pStyle w:val="a3"/>
        <w:rPr>
          <w:sz w:val="18"/>
          <w:lang w:val="de-DE"/>
        </w:rPr>
      </w:pPr>
    </w:p>
    <w:p w14:paraId="628CAF3C" w14:textId="77777777" w:rsidR="002653E8" w:rsidRPr="00846956" w:rsidRDefault="002653E8">
      <w:pPr>
        <w:pStyle w:val="a3"/>
        <w:rPr>
          <w:sz w:val="18"/>
          <w:lang w:val="de-DE"/>
        </w:rPr>
      </w:pPr>
    </w:p>
    <w:p w14:paraId="4A2B7C9E" w14:textId="77777777" w:rsidR="002653E8" w:rsidRPr="00846956" w:rsidRDefault="002653E8">
      <w:pPr>
        <w:pStyle w:val="a3"/>
        <w:spacing w:before="2"/>
        <w:rPr>
          <w:sz w:val="15"/>
          <w:lang w:val="de-DE"/>
        </w:rPr>
      </w:pPr>
    </w:p>
    <w:p w14:paraId="0158A1DA" w14:textId="77777777" w:rsidR="002653E8" w:rsidRDefault="003115E3">
      <w:pPr>
        <w:spacing w:line="280" w:lineRule="auto"/>
        <w:ind w:left="469" w:right="1199" w:hanging="200"/>
        <w:jc w:val="both"/>
        <w:rPr>
          <w:i/>
          <w:sz w:val="16"/>
        </w:rPr>
      </w:pPr>
      <w:r w:rsidRPr="00846956">
        <w:rPr>
          <w:i/>
          <w:color w:val="231F20"/>
          <w:w w:val="105"/>
          <w:sz w:val="16"/>
          <w:lang w:val="de-DE"/>
        </w:rPr>
        <w:t xml:space="preserve">Über den bewaffneten Kampf in </w:t>
      </w:r>
      <w:r w:rsidRPr="00846956">
        <w:rPr>
          <w:i/>
          <w:color w:val="231F20"/>
          <w:spacing w:val="-3"/>
          <w:w w:val="105"/>
          <w:sz w:val="16"/>
          <w:lang w:val="de-DE"/>
        </w:rPr>
        <w:t>Westeur</w:t>
      </w:r>
      <w:r w:rsidRPr="00846956">
        <w:rPr>
          <w:i/>
          <w:color w:val="231F20"/>
          <w:w w:val="105"/>
          <w:sz w:val="16"/>
          <w:lang w:val="de-DE"/>
        </w:rPr>
        <w:t>opa.</w:t>
      </w:r>
      <w:r w:rsidRPr="00846956">
        <w:rPr>
          <w:i/>
          <w:color w:val="231F20"/>
          <w:spacing w:val="-11"/>
          <w:w w:val="105"/>
          <w:sz w:val="16"/>
          <w:lang w:val="de-DE"/>
        </w:rPr>
        <w:t xml:space="preserve"> </w:t>
      </w:r>
      <w:r>
        <w:rPr>
          <w:i/>
          <w:color w:val="231F20"/>
          <w:w w:val="105"/>
          <w:sz w:val="16"/>
        </w:rPr>
        <w:t>See</w:t>
      </w:r>
      <w:r>
        <w:rPr>
          <w:i/>
          <w:color w:val="231F20"/>
          <w:spacing w:val="-7"/>
          <w:w w:val="105"/>
          <w:sz w:val="16"/>
        </w:rPr>
        <w:t xml:space="preserve"> </w:t>
      </w:r>
      <w:r>
        <w:rPr>
          <w:i/>
          <w:color w:val="231F20"/>
          <w:w w:val="105"/>
          <w:sz w:val="16"/>
        </w:rPr>
        <w:t>Regarding</w:t>
      </w:r>
      <w:r>
        <w:rPr>
          <w:i/>
          <w:color w:val="231F20"/>
          <w:spacing w:val="-7"/>
          <w:w w:val="105"/>
          <w:sz w:val="16"/>
        </w:rPr>
        <w:t xml:space="preserve"> </w:t>
      </w:r>
      <w:r>
        <w:rPr>
          <w:i/>
          <w:color w:val="231F20"/>
          <w:w w:val="105"/>
          <w:sz w:val="16"/>
        </w:rPr>
        <w:t>the</w:t>
      </w:r>
      <w:r>
        <w:rPr>
          <w:i/>
          <w:color w:val="231F20"/>
          <w:spacing w:val="-11"/>
          <w:w w:val="105"/>
          <w:sz w:val="16"/>
        </w:rPr>
        <w:t xml:space="preserve"> </w:t>
      </w:r>
      <w:r>
        <w:rPr>
          <w:i/>
          <w:color w:val="231F20"/>
          <w:w w:val="105"/>
          <w:sz w:val="16"/>
        </w:rPr>
        <w:t>Armed</w:t>
      </w:r>
      <w:r>
        <w:rPr>
          <w:i/>
          <w:color w:val="231F20"/>
          <w:spacing w:val="-7"/>
          <w:w w:val="105"/>
          <w:sz w:val="16"/>
        </w:rPr>
        <w:t xml:space="preserve"> </w:t>
      </w:r>
      <w:r>
        <w:rPr>
          <w:i/>
          <w:color w:val="231F20"/>
          <w:w w:val="105"/>
          <w:sz w:val="16"/>
        </w:rPr>
        <w:t xml:space="preserve">Struggle in </w:t>
      </w:r>
      <w:r>
        <w:rPr>
          <w:i/>
          <w:color w:val="231F20"/>
          <w:spacing w:val="-3"/>
          <w:w w:val="105"/>
          <w:sz w:val="16"/>
        </w:rPr>
        <w:t>West</w:t>
      </w:r>
      <w:r>
        <w:rPr>
          <w:i/>
          <w:color w:val="231F20"/>
          <w:spacing w:val="7"/>
          <w:w w:val="105"/>
          <w:sz w:val="16"/>
        </w:rPr>
        <w:t xml:space="preserve"> </w:t>
      </w:r>
      <w:r>
        <w:rPr>
          <w:i/>
          <w:color w:val="231F20"/>
          <w:w w:val="105"/>
          <w:sz w:val="16"/>
        </w:rPr>
        <w:t>Europe</w:t>
      </w:r>
    </w:p>
    <w:p w14:paraId="4045E39D" w14:textId="77777777" w:rsidR="002653E8" w:rsidRPr="00846956" w:rsidRDefault="003115E3">
      <w:pPr>
        <w:spacing w:before="1"/>
        <w:ind w:left="269"/>
        <w:rPr>
          <w:sz w:val="16"/>
          <w:lang w:val="de-DE"/>
        </w:rPr>
      </w:pPr>
      <w:r w:rsidRPr="00846956">
        <w:rPr>
          <w:color w:val="231F20"/>
          <w:sz w:val="16"/>
          <w:lang w:val="de-DE"/>
        </w:rPr>
        <w:t>Uganda 440</w:t>
      </w:r>
    </w:p>
    <w:p w14:paraId="5439D973" w14:textId="77777777" w:rsidR="002653E8" w:rsidRPr="00846956" w:rsidRDefault="003115E3">
      <w:pPr>
        <w:spacing w:before="33"/>
        <w:ind w:left="269"/>
        <w:rPr>
          <w:sz w:val="16"/>
          <w:lang w:val="de-DE"/>
        </w:rPr>
      </w:pPr>
      <w:r w:rsidRPr="00846956">
        <w:rPr>
          <w:color w:val="231F20"/>
          <w:sz w:val="16"/>
          <w:lang w:val="de-DE"/>
        </w:rPr>
        <w:t>Ulbricht, Walther 551</w:t>
      </w:r>
    </w:p>
    <w:p w14:paraId="4A57E6CB" w14:textId="77777777" w:rsidR="002653E8" w:rsidRPr="00846956" w:rsidRDefault="003115E3">
      <w:pPr>
        <w:spacing w:before="32"/>
        <w:ind w:left="269"/>
        <w:rPr>
          <w:sz w:val="16"/>
          <w:lang w:val="de-DE"/>
        </w:rPr>
      </w:pPr>
      <w:r w:rsidRPr="00846956">
        <w:rPr>
          <w:color w:val="231F20"/>
          <w:w w:val="105"/>
          <w:sz w:val="16"/>
          <w:lang w:val="de-DE"/>
        </w:rPr>
        <w:t>Ulmer, Helmut 577</w:t>
      </w:r>
    </w:p>
    <w:p w14:paraId="293DE7AB" w14:textId="77777777" w:rsidR="002653E8" w:rsidRDefault="003115E3">
      <w:pPr>
        <w:spacing w:before="33"/>
        <w:ind w:left="269"/>
        <w:rPr>
          <w:sz w:val="16"/>
        </w:rPr>
      </w:pPr>
      <w:r>
        <w:rPr>
          <w:color w:val="231F20"/>
          <w:w w:val="105"/>
          <w:sz w:val="16"/>
        </w:rPr>
        <w:t>undogmatic left 43</w:t>
      </w:r>
      <w:r>
        <w:rPr>
          <w:i/>
          <w:color w:val="231F20"/>
          <w:w w:val="105"/>
          <w:sz w:val="16"/>
        </w:rPr>
        <w:t xml:space="preserve">, </w:t>
      </w:r>
      <w:r>
        <w:rPr>
          <w:color w:val="231F20"/>
          <w:w w:val="105"/>
          <w:sz w:val="16"/>
        </w:rPr>
        <w:t>200</w:t>
      </w:r>
      <w:r>
        <w:rPr>
          <w:i/>
          <w:color w:val="231F20"/>
          <w:w w:val="105"/>
          <w:sz w:val="16"/>
        </w:rPr>
        <w:t xml:space="preserve">, </w:t>
      </w:r>
      <w:r>
        <w:rPr>
          <w:color w:val="231F20"/>
          <w:w w:val="105"/>
          <w:sz w:val="16"/>
        </w:rPr>
        <w:t>435</w:t>
      </w:r>
      <w:r>
        <w:rPr>
          <w:i/>
          <w:color w:val="231F20"/>
          <w:w w:val="105"/>
          <w:sz w:val="16"/>
        </w:rPr>
        <w:t xml:space="preserve">, </w:t>
      </w:r>
      <w:r>
        <w:rPr>
          <w:color w:val="231F20"/>
          <w:w w:val="105"/>
          <w:sz w:val="16"/>
        </w:rPr>
        <w:t>456</w:t>
      </w:r>
      <w:r>
        <w:rPr>
          <w:i/>
          <w:color w:val="231F20"/>
          <w:w w:val="105"/>
          <w:sz w:val="16"/>
        </w:rPr>
        <w:t xml:space="preserve">, </w:t>
      </w:r>
      <w:r>
        <w:rPr>
          <w:color w:val="231F20"/>
          <w:w w:val="105"/>
          <w:sz w:val="16"/>
        </w:rPr>
        <w:t>534–</w:t>
      </w:r>
    </w:p>
    <w:p w14:paraId="46ED5081" w14:textId="77777777" w:rsidR="002653E8" w:rsidRDefault="003115E3">
      <w:pPr>
        <w:spacing w:before="32" w:line="280" w:lineRule="auto"/>
        <w:ind w:left="469" w:right="1134" w:hanging="1"/>
        <w:rPr>
          <w:sz w:val="16"/>
        </w:rPr>
      </w:pPr>
      <w:r>
        <w:rPr>
          <w:color w:val="231F20"/>
          <w:sz w:val="16"/>
        </w:rPr>
        <w:t>535</w:t>
      </w:r>
      <w:r>
        <w:rPr>
          <w:i/>
          <w:color w:val="231F20"/>
          <w:sz w:val="16"/>
        </w:rPr>
        <w:t xml:space="preserve">, </w:t>
      </w:r>
      <w:r>
        <w:rPr>
          <w:color w:val="231F20"/>
          <w:sz w:val="16"/>
        </w:rPr>
        <w:t>538–540</w:t>
      </w:r>
      <w:r>
        <w:rPr>
          <w:i/>
          <w:color w:val="231F20"/>
          <w:sz w:val="16"/>
        </w:rPr>
        <w:t xml:space="preserve">. See also </w:t>
      </w:r>
      <w:r>
        <w:rPr>
          <w:color w:val="231F20"/>
          <w:sz w:val="16"/>
        </w:rPr>
        <w:t>Sozialistisches Büro</w:t>
      </w:r>
      <w:r>
        <w:rPr>
          <w:i/>
          <w:color w:val="231F20"/>
          <w:sz w:val="16"/>
        </w:rPr>
        <w:t xml:space="preserve">; See also </w:t>
      </w:r>
      <w:r>
        <w:rPr>
          <w:color w:val="231F20"/>
          <w:sz w:val="16"/>
        </w:rPr>
        <w:t>Jusos</w:t>
      </w:r>
      <w:r>
        <w:rPr>
          <w:i/>
          <w:color w:val="231F20"/>
          <w:sz w:val="16"/>
        </w:rPr>
        <w:t xml:space="preserve">; See also </w:t>
      </w:r>
      <w:r>
        <w:rPr>
          <w:color w:val="231F20"/>
          <w:sz w:val="16"/>
        </w:rPr>
        <w:t>spontis; attitude towards antinuclear movement 450; antisemitism 198</w:t>
      </w:r>
      <w:r>
        <w:rPr>
          <w:i/>
          <w:color w:val="231F20"/>
          <w:sz w:val="16"/>
        </w:rPr>
        <w:t xml:space="preserve">, </w:t>
      </w:r>
      <w:r>
        <w:rPr>
          <w:color w:val="231F20"/>
          <w:sz w:val="16"/>
        </w:rPr>
        <w:t>440; and</w:t>
      </w:r>
    </w:p>
    <w:p w14:paraId="19364659" w14:textId="77777777" w:rsidR="002653E8" w:rsidRDefault="003115E3">
      <w:pPr>
        <w:spacing w:before="2"/>
        <w:ind w:left="469"/>
        <w:rPr>
          <w:i/>
          <w:sz w:val="16"/>
        </w:rPr>
      </w:pPr>
      <w:r>
        <w:rPr>
          <w:color w:val="231F20"/>
          <w:w w:val="105"/>
          <w:sz w:val="16"/>
        </w:rPr>
        <w:t>guerilla 201</w:t>
      </w:r>
      <w:r>
        <w:rPr>
          <w:i/>
          <w:color w:val="231F20"/>
          <w:w w:val="105"/>
          <w:sz w:val="16"/>
        </w:rPr>
        <w:t xml:space="preserve">, </w:t>
      </w:r>
      <w:r>
        <w:rPr>
          <w:color w:val="231F20"/>
          <w:w w:val="105"/>
          <w:sz w:val="16"/>
        </w:rPr>
        <w:t>326–327</w:t>
      </w:r>
      <w:r>
        <w:rPr>
          <w:i/>
          <w:color w:val="231F20"/>
          <w:w w:val="105"/>
          <w:sz w:val="16"/>
        </w:rPr>
        <w:t xml:space="preserve">, </w:t>
      </w:r>
      <w:r>
        <w:rPr>
          <w:color w:val="231F20"/>
          <w:w w:val="105"/>
          <w:sz w:val="16"/>
        </w:rPr>
        <w:t>388</w:t>
      </w:r>
      <w:r>
        <w:rPr>
          <w:i/>
          <w:color w:val="231F20"/>
          <w:w w:val="105"/>
          <w:sz w:val="16"/>
        </w:rPr>
        <w:t xml:space="preserve">, </w:t>
      </w:r>
      <w:r>
        <w:rPr>
          <w:color w:val="231F20"/>
          <w:w w:val="105"/>
          <w:sz w:val="16"/>
        </w:rPr>
        <w:t>442–443</w:t>
      </w:r>
      <w:r>
        <w:rPr>
          <w:i/>
          <w:color w:val="231F20"/>
          <w:w w:val="105"/>
          <w:sz w:val="16"/>
        </w:rPr>
        <w:t>,</w:t>
      </w:r>
    </w:p>
    <w:p w14:paraId="523583DF" w14:textId="77777777" w:rsidR="002653E8" w:rsidRDefault="003115E3">
      <w:pPr>
        <w:spacing w:before="33"/>
        <w:ind w:left="469"/>
        <w:rPr>
          <w:sz w:val="16"/>
        </w:rPr>
      </w:pPr>
      <w:r>
        <w:rPr>
          <w:color w:val="231F20"/>
          <w:w w:val="110"/>
          <w:sz w:val="16"/>
        </w:rPr>
        <w:t>459</w:t>
      </w:r>
      <w:r>
        <w:rPr>
          <w:i/>
          <w:color w:val="231F20"/>
          <w:w w:val="110"/>
          <w:sz w:val="16"/>
        </w:rPr>
        <w:t xml:space="preserve">, </w:t>
      </w:r>
      <w:r>
        <w:rPr>
          <w:color w:val="231F20"/>
          <w:w w:val="110"/>
          <w:sz w:val="16"/>
        </w:rPr>
        <w:t>535</w:t>
      </w:r>
      <w:r>
        <w:rPr>
          <w:i/>
          <w:color w:val="231F20"/>
          <w:w w:val="110"/>
          <w:sz w:val="16"/>
        </w:rPr>
        <w:t xml:space="preserve">, </w:t>
      </w:r>
      <w:r>
        <w:rPr>
          <w:color w:val="231F20"/>
          <w:w w:val="110"/>
          <w:sz w:val="16"/>
        </w:rPr>
        <w:t>538</w:t>
      </w:r>
      <w:r>
        <w:rPr>
          <w:i/>
          <w:color w:val="231F20"/>
          <w:w w:val="110"/>
          <w:sz w:val="16"/>
        </w:rPr>
        <w:t xml:space="preserve">, </w:t>
      </w:r>
      <w:r>
        <w:rPr>
          <w:color w:val="231F20"/>
          <w:w w:val="110"/>
          <w:sz w:val="16"/>
        </w:rPr>
        <w:t>540</w:t>
      </w:r>
      <w:r>
        <w:rPr>
          <w:i/>
          <w:color w:val="231F20"/>
          <w:w w:val="110"/>
          <w:sz w:val="16"/>
        </w:rPr>
        <w:t xml:space="preserve">, </w:t>
      </w:r>
      <w:r>
        <w:rPr>
          <w:color w:val="231F20"/>
          <w:w w:val="110"/>
          <w:sz w:val="16"/>
        </w:rPr>
        <w:t>591</w:t>
      </w:r>
    </w:p>
    <w:p w14:paraId="6A10DD0C" w14:textId="77777777" w:rsidR="002653E8" w:rsidRDefault="002653E8">
      <w:pPr>
        <w:rPr>
          <w:sz w:val="16"/>
        </w:rPr>
        <w:sectPr w:rsidR="002653E8">
          <w:pgSz w:w="8640" w:h="12960"/>
          <w:pgMar w:top="1080" w:right="0" w:bottom="1040" w:left="0" w:header="0" w:footer="846" w:gutter="0"/>
          <w:cols w:num="2" w:space="720" w:equalWidth="0">
            <w:col w:w="4241" w:space="40"/>
            <w:col w:w="4359"/>
          </w:cols>
        </w:sectPr>
      </w:pPr>
    </w:p>
    <w:p w14:paraId="23FD09CD" w14:textId="77777777" w:rsidR="002653E8" w:rsidRDefault="003115E3">
      <w:pPr>
        <w:spacing w:before="86" w:line="280" w:lineRule="auto"/>
        <w:ind w:left="1147" w:right="28"/>
        <w:rPr>
          <w:sz w:val="16"/>
        </w:rPr>
      </w:pPr>
      <w:r>
        <w:rPr>
          <w:color w:val="231F20"/>
          <w:w w:val="105"/>
          <w:sz w:val="16"/>
        </w:rPr>
        <w:lastRenderedPageBreak/>
        <w:t>United Nations 401</w:t>
      </w:r>
      <w:r>
        <w:rPr>
          <w:i/>
          <w:color w:val="231F20"/>
          <w:w w:val="105"/>
          <w:sz w:val="16"/>
        </w:rPr>
        <w:t xml:space="preserve">, </w:t>
      </w:r>
      <w:r>
        <w:rPr>
          <w:color w:val="231F20"/>
          <w:w w:val="105"/>
          <w:sz w:val="16"/>
        </w:rPr>
        <w:t>431</w:t>
      </w:r>
      <w:r>
        <w:rPr>
          <w:i/>
          <w:color w:val="231F20"/>
          <w:w w:val="105"/>
          <w:sz w:val="16"/>
        </w:rPr>
        <w:t xml:space="preserve">, </w:t>
      </w:r>
      <w:r>
        <w:rPr>
          <w:color w:val="231F20"/>
          <w:w w:val="105"/>
          <w:sz w:val="16"/>
        </w:rPr>
        <w:t>478</w:t>
      </w:r>
      <w:r>
        <w:rPr>
          <w:i/>
          <w:color w:val="231F20"/>
          <w:w w:val="105"/>
          <w:sz w:val="16"/>
        </w:rPr>
        <w:t xml:space="preserve">, </w:t>
      </w:r>
      <w:r>
        <w:rPr>
          <w:color w:val="231F20"/>
          <w:w w:val="105"/>
          <w:sz w:val="16"/>
        </w:rPr>
        <w:t>498 United Nations Charter 176</w:t>
      </w:r>
    </w:p>
    <w:p w14:paraId="3D6DBB4A" w14:textId="77777777" w:rsidR="002653E8" w:rsidRDefault="003115E3">
      <w:pPr>
        <w:spacing w:before="1" w:line="280" w:lineRule="auto"/>
        <w:ind w:left="1147"/>
        <w:rPr>
          <w:i/>
          <w:sz w:val="16"/>
        </w:rPr>
      </w:pPr>
      <w:r>
        <w:rPr>
          <w:color w:val="231F20"/>
          <w:sz w:val="16"/>
        </w:rPr>
        <w:t>United Peoples Liberation Army 360 United States</w:t>
      </w:r>
      <w:r>
        <w:rPr>
          <w:i/>
          <w:color w:val="231F20"/>
          <w:sz w:val="16"/>
        </w:rPr>
        <w:t xml:space="preserve">. See also </w:t>
      </w:r>
      <w:r>
        <w:rPr>
          <w:color w:val="231F20"/>
          <w:sz w:val="16"/>
        </w:rPr>
        <w:t>Marshall Plan</w:t>
      </w:r>
      <w:r>
        <w:rPr>
          <w:i/>
          <w:color w:val="231F20"/>
          <w:sz w:val="16"/>
        </w:rPr>
        <w:t>; See</w:t>
      </w:r>
    </w:p>
    <w:p w14:paraId="35B6DA1A" w14:textId="77777777" w:rsidR="002653E8" w:rsidRDefault="003115E3">
      <w:pPr>
        <w:spacing w:before="1" w:line="280" w:lineRule="auto"/>
        <w:ind w:left="1347" w:right="-17"/>
        <w:rPr>
          <w:i/>
          <w:sz w:val="16"/>
        </w:rPr>
      </w:pPr>
      <w:r>
        <w:rPr>
          <w:i/>
          <w:color w:val="231F20"/>
          <w:w w:val="105"/>
          <w:sz w:val="16"/>
        </w:rPr>
        <w:t>also</w:t>
      </w:r>
      <w:r>
        <w:rPr>
          <w:i/>
          <w:color w:val="231F20"/>
          <w:spacing w:val="-11"/>
          <w:w w:val="105"/>
          <w:sz w:val="16"/>
        </w:rPr>
        <w:t xml:space="preserve"> </w:t>
      </w:r>
      <w:r>
        <w:rPr>
          <w:color w:val="231F20"/>
          <w:w w:val="105"/>
          <w:sz w:val="16"/>
        </w:rPr>
        <w:t>CIA</w:t>
      </w:r>
      <w:r>
        <w:rPr>
          <w:color w:val="231F20"/>
          <w:spacing w:val="-11"/>
          <w:w w:val="105"/>
          <w:sz w:val="16"/>
        </w:rPr>
        <w:t xml:space="preserve"> </w:t>
      </w:r>
      <w:r>
        <w:rPr>
          <w:color w:val="231F20"/>
          <w:w w:val="105"/>
          <w:sz w:val="16"/>
        </w:rPr>
        <w:t>(Central</w:t>
      </w:r>
      <w:r>
        <w:rPr>
          <w:color w:val="231F20"/>
          <w:spacing w:val="-11"/>
          <w:w w:val="105"/>
          <w:sz w:val="16"/>
        </w:rPr>
        <w:t xml:space="preserve"> </w:t>
      </w:r>
      <w:r>
        <w:rPr>
          <w:color w:val="231F20"/>
          <w:w w:val="105"/>
          <w:sz w:val="16"/>
        </w:rPr>
        <w:t>Intelligence</w:t>
      </w:r>
      <w:r>
        <w:rPr>
          <w:color w:val="231F20"/>
          <w:spacing w:val="-14"/>
          <w:w w:val="105"/>
          <w:sz w:val="16"/>
        </w:rPr>
        <w:t xml:space="preserve"> </w:t>
      </w:r>
      <w:r>
        <w:rPr>
          <w:color w:val="231F20"/>
          <w:w w:val="105"/>
          <w:sz w:val="16"/>
        </w:rPr>
        <w:t>Agency)</w:t>
      </w:r>
      <w:r>
        <w:rPr>
          <w:i/>
          <w:color w:val="231F20"/>
          <w:w w:val="105"/>
          <w:sz w:val="16"/>
        </w:rPr>
        <w:t xml:space="preserve">; See also </w:t>
      </w:r>
      <w:r>
        <w:rPr>
          <w:color w:val="231F20"/>
          <w:w w:val="105"/>
          <w:sz w:val="16"/>
        </w:rPr>
        <w:t>military bases, U.S.; anticommunism 197; economy 129</w:t>
      </w:r>
      <w:r>
        <w:rPr>
          <w:i/>
          <w:color w:val="231F20"/>
          <w:w w:val="105"/>
          <w:sz w:val="16"/>
        </w:rPr>
        <w:t xml:space="preserve">, </w:t>
      </w:r>
      <w:r>
        <w:rPr>
          <w:color w:val="231F20"/>
          <w:w w:val="105"/>
          <w:sz w:val="16"/>
        </w:rPr>
        <w:t>142</w:t>
      </w:r>
      <w:r>
        <w:rPr>
          <w:i/>
          <w:color w:val="231F20"/>
          <w:w w:val="105"/>
          <w:sz w:val="16"/>
        </w:rPr>
        <w:t>,</w:t>
      </w:r>
      <w:r>
        <w:rPr>
          <w:i/>
          <w:color w:val="231F20"/>
          <w:spacing w:val="31"/>
          <w:w w:val="105"/>
          <w:sz w:val="16"/>
        </w:rPr>
        <w:t xml:space="preserve"> </w:t>
      </w:r>
      <w:r>
        <w:rPr>
          <w:color w:val="231F20"/>
          <w:w w:val="105"/>
          <w:sz w:val="16"/>
        </w:rPr>
        <w:t>149</w:t>
      </w:r>
      <w:r>
        <w:rPr>
          <w:i/>
          <w:color w:val="231F20"/>
          <w:w w:val="105"/>
          <w:sz w:val="16"/>
        </w:rPr>
        <w:t>,</w:t>
      </w:r>
    </w:p>
    <w:p w14:paraId="42D9F794" w14:textId="77777777" w:rsidR="002653E8" w:rsidRDefault="003115E3">
      <w:pPr>
        <w:spacing w:before="2"/>
        <w:ind w:left="1347"/>
        <w:rPr>
          <w:i/>
          <w:sz w:val="16"/>
        </w:rPr>
      </w:pPr>
      <w:r>
        <w:rPr>
          <w:color w:val="231F20"/>
          <w:w w:val="105"/>
          <w:sz w:val="16"/>
        </w:rPr>
        <w:t>209; and FRG   11</w:t>
      </w:r>
      <w:r>
        <w:rPr>
          <w:i/>
          <w:color w:val="231F20"/>
          <w:w w:val="105"/>
          <w:sz w:val="16"/>
        </w:rPr>
        <w:t xml:space="preserve">, </w:t>
      </w:r>
      <w:r>
        <w:rPr>
          <w:color w:val="231F20"/>
          <w:w w:val="105"/>
          <w:sz w:val="16"/>
        </w:rPr>
        <w:t>308</w:t>
      </w:r>
      <w:r>
        <w:rPr>
          <w:i/>
          <w:color w:val="231F20"/>
          <w:w w:val="105"/>
          <w:sz w:val="16"/>
        </w:rPr>
        <w:t xml:space="preserve">, </w:t>
      </w:r>
      <w:r>
        <w:rPr>
          <w:color w:val="231F20"/>
          <w:w w:val="105"/>
          <w:sz w:val="16"/>
        </w:rPr>
        <w:t>379</w:t>
      </w:r>
      <w:r>
        <w:rPr>
          <w:i/>
          <w:color w:val="231F20"/>
          <w:w w:val="105"/>
          <w:sz w:val="16"/>
        </w:rPr>
        <w:t xml:space="preserve">, </w:t>
      </w:r>
      <w:r>
        <w:rPr>
          <w:color w:val="231F20"/>
          <w:w w:val="105"/>
          <w:sz w:val="16"/>
        </w:rPr>
        <w:t>413–415</w:t>
      </w:r>
      <w:r>
        <w:rPr>
          <w:i/>
          <w:color w:val="231F20"/>
          <w:w w:val="105"/>
          <w:sz w:val="16"/>
        </w:rPr>
        <w:t>,</w:t>
      </w:r>
    </w:p>
    <w:p w14:paraId="3EFBC454" w14:textId="77777777" w:rsidR="002653E8" w:rsidRDefault="003115E3">
      <w:pPr>
        <w:spacing w:before="32"/>
        <w:ind w:left="1347"/>
        <w:rPr>
          <w:sz w:val="16"/>
        </w:rPr>
      </w:pPr>
      <w:r>
        <w:rPr>
          <w:color w:val="231F20"/>
          <w:w w:val="110"/>
          <w:sz w:val="16"/>
        </w:rPr>
        <w:t>424</w:t>
      </w:r>
      <w:r>
        <w:rPr>
          <w:i/>
          <w:color w:val="231F20"/>
          <w:w w:val="110"/>
          <w:sz w:val="16"/>
        </w:rPr>
        <w:t xml:space="preserve">, </w:t>
      </w:r>
      <w:r>
        <w:rPr>
          <w:color w:val="231F20"/>
          <w:w w:val="110"/>
          <w:sz w:val="16"/>
        </w:rPr>
        <w:t>426</w:t>
      </w:r>
      <w:r>
        <w:rPr>
          <w:i/>
          <w:color w:val="231F20"/>
          <w:w w:val="110"/>
          <w:sz w:val="16"/>
        </w:rPr>
        <w:t xml:space="preserve">, </w:t>
      </w:r>
      <w:r>
        <w:rPr>
          <w:color w:val="231F20"/>
          <w:w w:val="110"/>
          <w:sz w:val="16"/>
        </w:rPr>
        <w:t>427</w:t>
      </w:r>
      <w:r>
        <w:rPr>
          <w:i/>
          <w:color w:val="231F20"/>
          <w:w w:val="110"/>
          <w:sz w:val="16"/>
        </w:rPr>
        <w:t xml:space="preserve">, </w:t>
      </w:r>
      <w:r>
        <w:rPr>
          <w:color w:val="231F20"/>
          <w:w w:val="110"/>
          <w:sz w:val="16"/>
        </w:rPr>
        <w:t>431</w:t>
      </w:r>
      <w:r>
        <w:rPr>
          <w:i/>
          <w:color w:val="231F20"/>
          <w:w w:val="110"/>
          <w:sz w:val="16"/>
        </w:rPr>
        <w:t xml:space="preserve">, </w:t>
      </w:r>
      <w:r>
        <w:rPr>
          <w:color w:val="231F20"/>
          <w:w w:val="110"/>
          <w:sz w:val="16"/>
        </w:rPr>
        <w:t>467</w:t>
      </w:r>
      <w:r>
        <w:rPr>
          <w:i/>
          <w:color w:val="231F20"/>
          <w:w w:val="110"/>
          <w:sz w:val="16"/>
        </w:rPr>
        <w:t xml:space="preserve">, </w:t>
      </w:r>
      <w:r>
        <w:rPr>
          <w:color w:val="231F20"/>
          <w:w w:val="110"/>
          <w:sz w:val="16"/>
        </w:rPr>
        <w:t>497</w:t>
      </w:r>
      <w:r>
        <w:rPr>
          <w:i/>
          <w:color w:val="231F20"/>
          <w:w w:val="110"/>
          <w:sz w:val="16"/>
        </w:rPr>
        <w:t xml:space="preserve">, </w:t>
      </w:r>
      <w:r>
        <w:rPr>
          <w:color w:val="231F20"/>
          <w:w w:val="110"/>
          <w:sz w:val="16"/>
        </w:rPr>
        <w:t>501;</w:t>
      </w:r>
    </w:p>
    <w:p w14:paraId="5BA7A301" w14:textId="77777777" w:rsidR="002653E8" w:rsidRDefault="003115E3">
      <w:pPr>
        <w:spacing w:before="33"/>
        <w:ind w:left="1347"/>
        <w:rPr>
          <w:i/>
          <w:sz w:val="16"/>
        </w:rPr>
      </w:pPr>
      <w:r>
        <w:rPr>
          <w:color w:val="231F20"/>
          <w:w w:val="105"/>
          <w:sz w:val="16"/>
        </w:rPr>
        <w:t>Gulf War 620; imperialism 12</w:t>
      </w:r>
      <w:r>
        <w:rPr>
          <w:i/>
          <w:color w:val="231F20"/>
          <w:w w:val="105"/>
          <w:sz w:val="16"/>
        </w:rPr>
        <w:t xml:space="preserve">, </w:t>
      </w:r>
      <w:r>
        <w:rPr>
          <w:color w:val="231F20"/>
          <w:w w:val="105"/>
          <w:sz w:val="16"/>
        </w:rPr>
        <w:t>31</w:t>
      </w:r>
      <w:r>
        <w:rPr>
          <w:i/>
          <w:color w:val="231F20"/>
          <w:w w:val="105"/>
          <w:sz w:val="16"/>
        </w:rPr>
        <w:t>,</w:t>
      </w:r>
    </w:p>
    <w:p w14:paraId="49254B0F" w14:textId="77777777" w:rsidR="002653E8" w:rsidRDefault="003115E3">
      <w:pPr>
        <w:spacing w:before="32"/>
        <w:ind w:left="1347"/>
        <w:rPr>
          <w:i/>
          <w:sz w:val="16"/>
        </w:rPr>
      </w:pPr>
      <w:r>
        <w:rPr>
          <w:color w:val="231F20"/>
          <w:w w:val="110"/>
          <w:sz w:val="16"/>
        </w:rPr>
        <w:t>131</w:t>
      </w:r>
      <w:r>
        <w:rPr>
          <w:i/>
          <w:color w:val="231F20"/>
          <w:w w:val="110"/>
          <w:sz w:val="16"/>
        </w:rPr>
        <w:t xml:space="preserve">, </w:t>
      </w:r>
      <w:r>
        <w:rPr>
          <w:color w:val="231F20"/>
          <w:w w:val="110"/>
          <w:sz w:val="16"/>
        </w:rPr>
        <w:t>207</w:t>
      </w:r>
      <w:r>
        <w:rPr>
          <w:i/>
          <w:color w:val="231F20"/>
          <w:w w:val="110"/>
          <w:sz w:val="16"/>
        </w:rPr>
        <w:t xml:space="preserve">, </w:t>
      </w:r>
      <w:r>
        <w:rPr>
          <w:color w:val="231F20"/>
          <w:w w:val="110"/>
          <w:sz w:val="16"/>
        </w:rPr>
        <w:t>209</w:t>
      </w:r>
      <w:r>
        <w:rPr>
          <w:i/>
          <w:color w:val="231F20"/>
          <w:w w:val="110"/>
          <w:sz w:val="16"/>
        </w:rPr>
        <w:t xml:space="preserve">, </w:t>
      </w:r>
      <w:r>
        <w:rPr>
          <w:color w:val="231F20"/>
          <w:w w:val="110"/>
          <w:sz w:val="16"/>
        </w:rPr>
        <w:t>212</w:t>
      </w:r>
      <w:r>
        <w:rPr>
          <w:i/>
          <w:color w:val="231F20"/>
          <w:w w:val="110"/>
          <w:sz w:val="16"/>
        </w:rPr>
        <w:t xml:space="preserve">, </w:t>
      </w:r>
      <w:r>
        <w:rPr>
          <w:color w:val="231F20"/>
          <w:w w:val="110"/>
          <w:sz w:val="16"/>
        </w:rPr>
        <w:t>232</w:t>
      </w:r>
      <w:r>
        <w:rPr>
          <w:i/>
          <w:color w:val="231F20"/>
          <w:w w:val="110"/>
          <w:sz w:val="16"/>
        </w:rPr>
        <w:t xml:space="preserve">, </w:t>
      </w:r>
      <w:r>
        <w:rPr>
          <w:color w:val="231F20"/>
          <w:w w:val="110"/>
          <w:sz w:val="16"/>
        </w:rPr>
        <w:t>414</w:t>
      </w:r>
      <w:r>
        <w:rPr>
          <w:i/>
          <w:color w:val="231F20"/>
          <w:w w:val="110"/>
          <w:sz w:val="16"/>
        </w:rPr>
        <w:t xml:space="preserve">, </w:t>
      </w:r>
      <w:r>
        <w:rPr>
          <w:color w:val="231F20"/>
          <w:w w:val="110"/>
          <w:sz w:val="16"/>
        </w:rPr>
        <w:t>426</w:t>
      </w:r>
      <w:r>
        <w:rPr>
          <w:i/>
          <w:color w:val="231F20"/>
          <w:w w:val="110"/>
          <w:sz w:val="16"/>
        </w:rPr>
        <w:t>,</w:t>
      </w:r>
    </w:p>
    <w:p w14:paraId="36BD554B" w14:textId="77777777" w:rsidR="002653E8" w:rsidRDefault="003115E3">
      <w:pPr>
        <w:spacing w:before="33"/>
        <w:ind w:left="1347"/>
        <w:rPr>
          <w:i/>
          <w:sz w:val="16"/>
        </w:rPr>
      </w:pPr>
      <w:r>
        <w:rPr>
          <w:color w:val="231F20"/>
          <w:w w:val="105"/>
          <w:sz w:val="16"/>
        </w:rPr>
        <w:t xml:space="preserve">439; mentioned by </w:t>
      </w:r>
      <w:r w:rsidR="00C507A5">
        <w:rPr>
          <w:color w:val="231F20"/>
          <w:w w:val="105"/>
          <w:sz w:val="16"/>
        </w:rPr>
        <w:t>red army faction</w:t>
      </w:r>
      <w:r>
        <w:rPr>
          <w:color w:val="231F20"/>
          <w:w w:val="105"/>
          <w:sz w:val="16"/>
        </w:rPr>
        <w:t xml:space="preserve">  302</w:t>
      </w:r>
      <w:r>
        <w:rPr>
          <w:i/>
          <w:color w:val="231F20"/>
          <w:w w:val="105"/>
          <w:sz w:val="16"/>
        </w:rPr>
        <w:t xml:space="preserve">, </w:t>
      </w:r>
      <w:r>
        <w:rPr>
          <w:color w:val="231F20"/>
          <w:w w:val="105"/>
          <w:sz w:val="16"/>
        </w:rPr>
        <w:t>359</w:t>
      </w:r>
      <w:r>
        <w:rPr>
          <w:i/>
          <w:color w:val="231F20"/>
          <w:w w:val="105"/>
          <w:sz w:val="16"/>
        </w:rPr>
        <w:t>,</w:t>
      </w:r>
    </w:p>
    <w:p w14:paraId="187DE5BB" w14:textId="77777777" w:rsidR="002653E8" w:rsidRDefault="003115E3">
      <w:pPr>
        <w:spacing w:before="32"/>
        <w:ind w:left="1347"/>
        <w:rPr>
          <w:sz w:val="16"/>
        </w:rPr>
      </w:pPr>
      <w:r>
        <w:rPr>
          <w:color w:val="231F20"/>
          <w:sz w:val="16"/>
        </w:rPr>
        <w:t>367</w:t>
      </w:r>
      <w:r>
        <w:rPr>
          <w:i/>
          <w:color w:val="231F20"/>
          <w:sz w:val="16"/>
        </w:rPr>
        <w:t xml:space="preserve">,  </w:t>
      </w:r>
      <w:r>
        <w:rPr>
          <w:color w:val="231F20"/>
          <w:sz w:val="16"/>
        </w:rPr>
        <w:t>501;  mentioned  by  SAWIO 503;</w:t>
      </w:r>
    </w:p>
    <w:p w14:paraId="30E2F55A" w14:textId="77777777" w:rsidR="002653E8" w:rsidRDefault="003115E3">
      <w:pPr>
        <w:spacing w:before="33"/>
        <w:ind w:left="1347"/>
        <w:rPr>
          <w:i/>
          <w:sz w:val="16"/>
        </w:rPr>
      </w:pPr>
      <w:r>
        <w:rPr>
          <w:color w:val="231F20"/>
          <w:w w:val="105"/>
          <w:sz w:val="16"/>
        </w:rPr>
        <w:t>postwar occupation 4</w:t>
      </w:r>
      <w:r>
        <w:rPr>
          <w:i/>
          <w:color w:val="231F20"/>
          <w:w w:val="105"/>
          <w:sz w:val="16"/>
        </w:rPr>
        <w:t xml:space="preserve">, </w:t>
      </w:r>
      <w:r>
        <w:rPr>
          <w:color w:val="231F20"/>
          <w:w w:val="105"/>
          <w:sz w:val="16"/>
        </w:rPr>
        <w:t>4–5</w:t>
      </w:r>
      <w:r>
        <w:rPr>
          <w:i/>
          <w:color w:val="231F20"/>
          <w:w w:val="105"/>
          <w:sz w:val="16"/>
        </w:rPr>
        <w:t xml:space="preserve">, </w:t>
      </w:r>
      <w:r>
        <w:rPr>
          <w:color w:val="231F20"/>
          <w:w w:val="105"/>
          <w:sz w:val="16"/>
        </w:rPr>
        <w:t>309</w:t>
      </w:r>
      <w:r>
        <w:rPr>
          <w:i/>
          <w:color w:val="231F20"/>
          <w:w w:val="105"/>
          <w:sz w:val="16"/>
        </w:rPr>
        <w:t xml:space="preserve">, </w:t>
      </w:r>
      <w:r>
        <w:rPr>
          <w:color w:val="231F20"/>
          <w:w w:val="105"/>
          <w:sz w:val="16"/>
        </w:rPr>
        <w:t>322</w:t>
      </w:r>
      <w:r>
        <w:rPr>
          <w:i/>
          <w:color w:val="231F20"/>
          <w:w w:val="105"/>
          <w:sz w:val="16"/>
        </w:rPr>
        <w:t>,</w:t>
      </w:r>
    </w:p>
    <w:p w14:paraId="0DEB3CF0" w14:textId="77777777" w:rsidR="002653E8" w:rsidRDefault="003115E3">
      <w:pPr>
        <w:spacing w:before="32"/>
        <w:ind w:left="1347"/>
        <w:rPr>
          <w:sz w:val="16"/>
        </w:rPr>
      </w:pPr>
      <w:r>
        <w:rPr>
          <w:color w:val="231F20"/>
          <w:sz w:val="16"/>
        </w:rPr>
        <w:t>415</w:t>
      </w:r>
      <w:r>
        <w:rPr>
          <w:i/>
          <w:color w:val="231F20"/>
          <w:sz w:val="16"/>
        </w:rPr>
        <w:t xml:space="preserve">, </w:t>
      </w:r>
      <w:r>
        <w:rPr>
          <w:color w:val="231F20"/>
          <w:sz w:val="16"/>
        </w:rPr>
        <w:t>425; radical left   508; support  for</w:t>
      </w:r>
    </w:p>
    <w:p w14:paraId="148D825B" w14:textId="77777777" w:rsidR="002653E8" w:rsidRDefault="003115E3">
      <w:pPr>
        <w:spacing w:before="32"/>
        <w:ind w:left="1347"/>
        <w:rPr>
          <w:sz w:val="16"/>
        </w:rPr>
      </w:pPr>
      <w:r>
        <w:rPr>
          <w:color w:val="231F20"/>
          <w:sz w:val="16"/>
        </w:rPr>
        <w:t>Israel 192; women’s movement 42</w:t>
      </w:r>
    </w:p>
    <w:p w14:paraId="13CE9542" w14:textId="77777777" w:rsidR="002653E8" w:rsidRDefault="003115E3">
      <w:pPr>
        <w:spacing w:before="33"/>
        <w:ind w:left="1147"/>
        <w:rPr>
          <w:sz w:val="16"/>
        </w:rPr>
      </w:pPr>
      <w:r>
        <w:rPr>
          <w:color w:val="231F20"/>
          <w:sz w:val="16"/>
        </w:rPr>
        <w:t>University of Homburg/Sarre 319</w:t>
      </w:r>
      <w:r>
        <w:rPr>
          <w:i/>
          <w:color w:val="231F20"/>
          <w:sz w:val="16"/>
        </w:rPr>
        <w:t xml:space="preserve">, </w:t>
      </w:r>
      <w:r>
        <w:rPr>
          <w:color w:val="231F20"/>
          <w:sz w:val="16"/>
        </w:rPr>
        <w:t>411</w:t>
      </w:r>
    </w:p>
    <w:p w14:paraId="7740C14A" w14:textId="77777777" w:rsidR="002653E8" w:rsidRDefault="003115E3">
      <w:pPr>
        <w:spacing w:before="32"/>
        <w:ind w:left="1147"/>
        <w:rPr>
          <w:sz w:val="16"/>
        </w:rPr>
      </w:pPr>
      <w:r>
        <w:rPr>
          <w:color w:val="231F20"/>
          <w:w w:val="105"/>
          <w:sz w:val="16"/>
        </w:rPr>
        <w:t>Urbach, Peter 41</w:t>
      </w:r>
      <w:r>
        <w:rPr>
          <w:i/>
          <w:color w:val="231F20"/>
          <w:w w:val="105"/>
          <w:sz w:val="16"/>
        </w:rPr>
        <w:t xml:space="preserve">, </w:t>
      </w:r>
      <w:r>
        <w:rPr>
          <w:color w:val="231F20"/>
          <w:w w:val="105"/>
          <w:sz w:val="16"/>
        </w:rPr>
        <w:t>53</w:t>
      </w:r>
      <w:r>
        <w:rPr>
          <w:i/>
          <w:color w:val="231F20"/>
          <w:w w:val="105"/>
          <w:sz w:val="16"/>
        </w:rPr>
        <w:t xml:space="preserve">, </w:t>
      </w:r>
      <w:r>
        <w:rPr>
          <w:color w:val="231F20"/>
          <w:w w:val="105"/>
          <w:sz w:val="16"/>
        </w:rPr>
        <w:t>577</w:t>
      </w:r>
      <w:r>
        <w:rPr>
          <w:i/>
          <w:color w:val="231F20"/>
          <w:w w:val="105"/>
          <w:sz w:val="16"/>
        </w:rPr>
        <w:t xml:space="preserve">, </w:t>
      </w:r>
      <w:r>
        <w:rPr>
          <w:color w:val="231F20"/>
          <w:w w:val="105"/>
          <w:sz w:val="16"/>
        </w:rPr>
        <w:t>583</w:t>
      </w:r>
      <w:r>
        <w:rPr>
          <w:i/>
          <w:color w:val="231F20"/>
          <w:w w:val="105"/>
          <w:sz w:val="16"/>
        </w:rPr>
        <w:t xml:space="preserve">, </w:t>
      </w:r>
      <w:r>
        <w:rPr>
          <w:color w:val="231F20"/>
          <w:w w:val="105"/>
          <w:sz w:val="16"/>
        </w:rPr>
        <w:t>584</w:t>
      </w:r>
    </w:p>
    <w:p w14:paraId="0A443C8E" w14:textId="77777777" w:rsidR="002653E8" w:rsidRDefault="003115E3">
      <w:pPr>
        <w:spacing w:before="33"/>
        <w:ind w:left="1147"/>
        <w:rPr>
          <w:sz w:val="16"/>
        </w:rPr>
      </w:pPr>
      <w:r>
        <w:rPr>
          <w:color w:val="231F20"/>
          <w:w w:val="105"/>
          <w:sz w:val="16"/>
        </w:rPr>
        <w:t>U.S. Military Intelligence 601</w:t>
      </w:r>
    </w:p>
    <w:p w14:paraId="76D3D30C" w14:textId="77777777" w:rsidR="002653E8" w:rsidRDefault="002653E8">
      <w:pPr>
        <w:pStyle w:val="a3"/>
        <w:rPr>
          <w:sz w:val="18"/>
        </w:rPr>
      </w:pPr>
    </w:p>
    <w:p w14:paraId="37546DCB" w14:textId="77777777" w:rsidR="002653E8" w:rsidRDefault="002653E8">
      <w:pPr>
        <w:pStyle w:val="a3"/>
        <w:rPr>
          <w:sz w:val="18"/>
        </w:rPr>
      </w:pPr>
    </w:p>
    <w:p w14:paraId="3D04D718" w14:textId="77777777" w:rsidR="002653E8" w:rsidRDefault="002653E8">
      <w:pPr>
        <w:pStyle w:val="a3"/>
        <w:rPr>
          <w:sz w:val="18"/>
        </w:rPr>
      </w:pPr>
    </w:p>
    <w:p w14:paraId="7DBC7F18" w14:textId="77777777" w:rsidR="002653E8" w:rsidRDefault="002653E8">
      <w:pPr>
        <w:pStyle w:val="a3"/>
        <w:spacing w:before="9"/>
        <w:rPr>
          <w:sz w:val="23"/>
        </w:rPr>
      </w:pPr>
    </w:p>
    <w:p w14:paraId="4364B195" w14:textId="77777777" w:rsidR="002653E8" w:rsidRDefault="003115E3">
      <w:pPr>
        <w:spacing w:line="280" w:lineRule="auto"/>
        <w:ind w:left="1147" w:right="231"/>
        <w:rPr>
          <w:sz w:val="16"/>
        </w:rPr>
      </w:pPr>
      <w:r>
        <w:rPr>
          <w:color w:val="231F20"/>
          <w:sz w:val="16"/>
        </w:rPr>
        <w:t>van der Lubbe, Marinus 120–121 Varon, Jeremy 33</w:t>
      </w:r>
    </w:p>
    <w:p w14:paraId="08FD7055" w14:textId="77777777" w:rsidR="002653E8" w:rsidRDefault="003115E3">
      <w:pPr>
        <w:spacing w:before="1" w:line="280" w:lineRule="auto"/>
        <w:ind w:left="1347" w:right="125" w:hanging="200"/>
        <w:rPr>
          <w:sz w:val="16"/>
        </w:rPr>
      </w:pPr>
      <w:r>
        <w:rPr>
          <w:color w:val="231F20"/>
          <w:sz w:val="16"/>
        </w:rPr>
        <w:t>Verfassungsschutz 38</w:t>
      </w:r>
      <w:r>
        <w:rPr>
          <w:i/>
          <w:color w:val="231F20"/>
          <w:sz w:val="16"/>
        </w:rPr>
        <w:t xml:space="preserve">, </w:t>
      </w:r>
      <w:r>
        <w:rPr>
          <w:color w:val="231F20"/>
          <w:sz w:val="16"/>
        </w:rPr>
        <w:t>116</w:t>
      </w:r>
      <w:r>
        <w:rPr>
          <w:i/>
          <w:color w:val="231F20"/>
          <w:sz w:val="16"/>
        </w:rPr>
        <w:t xml:space="preserve">, </w:t>
      </w:r>
      <w:r>
        <w:rPr>
          <w:color w:val="231F20"/>
          <w:sz w:val="16"/>
        </w:rPr>
        <w:t>425</w:t>
      </w:r>
      <w:r>
        <w:rPr>
          <w:i/>
          <w:color w:val="231F20"/>
          <w:sz w:val="16"/>
        </w:rPr>
        <w:t xml:space="preserve">, </w:t>
      </w:r>
      <w:r>
        <w:rPr>
          <w:color w:val="231F20"/>
          <w:sz w:val="16"/>
        </w:rPr>
        <w:t>591; attempt to bribe Croissant’s secretary 473</w:t>
      </w:r>
      <w:r>
        <w:rPr>
          <w:i/>
          <w:color w:val="231F20"/>
          <w:sz w:val="16"/>
        </w:rPr>
        <w:t xml:space="preserve">, </w:t>
      </w:r>
      <w:r>
        <w:rPr>
          <w:color w:val="231F20"/>
          <w:sz w:val="16"/>
        </w:rPr>
        <w:t>603; Berufsverbot 116; bugs</w:t>
      </w:r>
    </w:p>
    <w:p w14:paraId="7DCB2020" w14:textId="77777777" w:rsidR="002653E8" w:rsidRDefault="00C507A5">
      <w:pPr>
        <w:spacing w:before="2" w:line="280" w:lineRule="auto"/>
        <w:ind w:left="1347" w:right="1"/>
        <w:rPr>
          <w:sz w:val="16"/>
        </w:rPr>
      </w:pPr>
      <w:r>
        <w:rPr>
          <w:color w:val="231F20"/>
          <w:w w:val="105"/>
          <w:sz w:val="16"/>
        </w:rPr>
        <w:t>red army faction</w:t>
      </w:r>
      <w:r w:rsidR="003115E3">
        <w:rPr>
          <w:color w:val="231F20"/>
          <w:w w:val="105"/>
          <w:sz w:val="16"/>
        </w:rPr>
        <w:t xml:space="preserve"> cells 596</w:t>
      </w:r>
      <w:r w:rsidR="003115E3">
        <w:rPr>
          <w:i/>
          <w:color w:val="231F20"/>
          <w:w w:val="105"/>
          <w:sz w:val="16"/>
        </w:rPr>
        <w:t xml:space="preserve">, </w:t>
      </w:r>
      <w:r w:rsidR="003115E3">
        <w:rPr>
          <w:color w:val="231F20"/>
          <w:w w:val="105"/>
          <w:sz w:val="16"/>
        </w:rPr>
        <w:t xml:space="preserve">597; Celle hole (1978) 528; “firefight” with Proll and Grashof (1971) 60; on Kinkel Initiative 621; on Meinhof 386; mentioned by </w:t>
      </w:r>
      <w:r>
        <w:rPr>
          <w:color w:val="231F20"/>
          <w:w w:val="105"/>
          <w:sz w:val="16"/>
        </w:rPr>
        <w:t>red army faction</w:t>
      </w:r>
      <w:r w:rsidR="003115E3">
        <w:rPr>
          <w:color w:val="231F20"/>
          <w:w w:val="105"/>
          <w:sz w:val="16"/>
        </w:rPr>
        <w:t xml:space="preserve"> 134</w:t>
      </w:r>
      <w:r w:rsidR="003115E3">
        <w:rPr>
          <w:i/>
          <w:color w:val="231F20"/>
          <w:w w:val="105"/>
          <w:sz w:val="16"/>
        </w:rPr>
        <w:t xml:space="preserve">, </w:t>
      </w:r>
      <w:r w:rsidR="003115E3">
        <w:rPr>
          <w:color w:val="231F20"/>
          <w:w w:val="105"/>
          <w:sz w:val="16"/>
        </w:rPr>
        <w:t>154</w:t>
      </w:r>
      <w:r w:rsidR="003115E3">
        <w:rPr>
          <w:i/>
          <w:color w:val="231F20"/>
          <w:w w:val="105"/>
          <w:sz w:val="16"/>
        </w:rPr>
        <w:t xml:space="preserve">, </w:t>
      </w:r>
      <w:r w:rsidR="003115E3">
        <w:rPr>
          <w:color w:val="231F20"/>
          <w:w w:val="105"/>
          <w:sz w:val="16"/>
        </w:rPr>
        <w:t>400</w:t>
      </w:r>
      <w:r w:rsidR="003115E3">
        <w:rPr>
          <w:i/>
          <w:color w:val="231F20"/>
          <w:w w:val="105"/>
          <w:sz w:val="16"/>
        </w:rPr>
        <w:t xml:space="preserve">, </w:t>
      </w:r>
      <w:r w:rsidR="003115E3">
        <w:rPr>
          <w:color w:val="231F20"/>
          <w:w w:val="105"/>
          <w:sz w:val="16"/>
        </w:rPr>
        <w:t>415</w:t>
      </w:r>
      <w:r w:rsidR="003115E3">
        <w:rPr>
          <w:i/>
          <w:color w:val="231F20"/>
          <w:w w:val="105"/>
          <w:sz w:val="16"/>
        </w:rPr>
        <w:t xml:space="preserve">, </w:t>
      </w:r>
      <w:r w:rsidR="003115E3">
        <w:rPr>
          <w:color w:val="231F20"/>
          <w:w w:val="105"/>
          <w:sz w:val="16"/>
        </w:rPr>
        <w:t>421</w:t>
      </w:r>
      <w:r w:rsidR="003115E3">
        <w:rPr>
          <w:i/>
          <w:color w:val="231F20"/>
          <w:w w:val="105"/>
          <w:sz w:val="16"/>
        </w:rPr>
        <w:t xml:space="preserve">, </w:t>
      </w:r>
      <w:r w:rsidR="003115E3">
        <w:rPr>
          <w:color w:val="231F20"/>
          <w:w w:val="105"/>
          <w:sz w:val="16"/>
        </w:rPr>
        <w:t>425; on</w:t>
      </w:r>
    </w:p>
    <w:p w14:paraId="749C751E" w14:textId="77777777" w:rsidR="002653E8" w:rsidRDefault="00C507A5">
      <w:pPr>
        <w:spacing w:before="3" w:line="280" w:lineRule="auto"/>
        <w:ind w:left="1347"/>
        <w:rPr>
          <w:sz w:val="16"/>
        </w:rPr>
      </w:pPr>
      <w:r>
        <w:rPr>
          <w:color w:val="231F20"/>
          <w:sz w:val="16"/>
        </w:rPr>
        <w:t>red army faction</w:t>
      </w:r>
      <w:r w:rsidR="003115E3">
        <w:rPr>
          <w:color w:val="231F20"/>
          <w:sz w:val="16"/>
        </w:rPr>
        <w:t xml:space="preserve"> women 535; works with Verena Becker 614</w:t>
      </w:r>
      <w:r w:rsidR="003115E3">
        <w:rPr>
          <w:i/>
          <w:color w:val="231F20"/>
          <w:sz w:val="16"/>
        </w:rPr>
        <w:t xml:space="preserve">, </w:t>
      </w:r>
      <w:r w:rsidR="003115E3">
        <w:rPr>
          <w:color w:val="231F20"/>
          <w:sz w:val="16"/>
        </w:rPr>
        <w:t>615</w:t>
      </w:r>
    </w:p>
    <w:p w14:paraId="3145E5BA" w14:textId="77777777" w:rsidR="002653E8" w:rsidRPr="00846956" w:rsidRDefault="003115E3">
      <w:pPr>
        <w:spacing w:before="1"/>
        <w:ind w:left="1147"/>
        <w:rPr>
          <w:sz w:val="16"/>
          <w:lang w:val="de-DE"/>
        </w:rPr>
      </w:pPr>
      <w:r w:rsidRPr="00846956">
        <w:rPr>
          <w:color w:val="231F20"/>
          <w:sz w:val="16"/>
          <w:lang w:val="de-DE"/>
        </w:rPr>
        <w:t>Verfassungsschutzgesetz 229</w:t>
      </w:r>
    </w:p>
    <w:p w14:paraId="618AE4B7" w14:textId="77777777" w:rsidR="002653E8" w:rsidRPr="00846956" w:rsidRDefault="003115E3">
      <w:pPr>
        <w:spacing w:before="32"/>
        <w:ind w:left="1147"/>
        <w:rPr>
          <w:sz w:val="16"/>
          <w:lang w:val="de-DE"/>
        </w:rPr>
      </w:pPr>
      <w:r w:rsidRPr="00846956">
        <w:rPr>
          <w:color w:val="231F20"/>
          <w:sz w:val="16"/>
          <w:lang w:val="de-DE"/>
        </w:rPr>
        <w:t>Viehmann, Klaus 52</w:t>
      </w:r>
    </w:p>
    <w:p w14:paraId="287519A6" w14:textId="77777777" w:rsidR="002653E8" w:rsidRPr="00846956" w:rsidRDefault="003115E3">
      <w:pPr>
        <w:spacing w:before="33" w:line="280" w:lineRule="auto"/>
        <w:ind w:left="1347" w:hanging="200"/>
        <w:rPr>
          <w:sz w:val="16"/>
          <w:lang w:val="de-DE"/>
        </w:rPr>
      </w:pPr>
      <w:r w:rsidRPr="00846956">
        <w:rPr>
          <w:color w:val="231F20"/>
          <w:w w:val="105"/>
          <w:sz w:val="16"/>
          <w:lang w:val="de-DE"/>
        </w:rPr>
        <w:t xml:space="preserve">Viet Cong, mentioned by </w:t>
      </w:r>
      <w:r w:rsidR="00C507A5" w:rsidRPr="00846956">
        <w:rPr>
          <w:color w:val="231F20"/>
          <w:w w:val="105"/>
          <w:sz w:val="16"/>
          <w:lang w:val="de-DE"/>
        </w:rPr>
        <w:t>red army faction</w:t>
      </w:r>
      <w:r w:rsidRPr="00846956">
        <w:rPr>
          <w:color w:val="231F20"/>
          <w:w w:val="105"/>
          <w:sz w:val="16"/>
          <w:lang w:val="de-DE"/>
        </w:rPr>
        <w:t xml:space="preserve"> 90</w:t>
      </w:r>
      <w:r w:rsidRPr="00846956">
        <w:rPr>
          <w:i/>
          <w:color w:val="231F20"/>
          <w:w w:val="105"/>
          <w:sz w:val="16"/>
          <w:lang w:val="de-DE"/>
        </w:rPr>
        <w:t xml:space="preserve">, </w:t>
      </w:r>
      <w:r w:rsidRPr="00846956">
        <w:rPr>
          <w:color w:val="231F20"/>
          <w:w w:val="105"/>
          <w:sz w:val="16"/>
          <w:lang w:val="de-DE"/>
        </w:rPr>
        <w:t>174</w:t>
      </w:r>
      <w:r w:rsidRPr="00846956">
        <w:rPr>
          <w:i/>
          <w:color w:val="231F20"/>
          <w:w w:val="105"/>
          <w:sz w:val="16"/>
          <w:lang w:val="de-DE"/>
        </w:rPr>
        <w:t xml:space="preserve">, </w:t>
      </w:r>
      <w:r w:rsidRPr="00846956">
        <w:rPr>
          <w:color w:val="231F20"/>
          <w:w w:val="105"/>
          <w:sz w:val="16"/>
          <w:lang w:val="de-DE"/>
        </w:rPr>
        <w:t>218</w:t>
      </w:r>
      <w:r w:rsidRPr="00846956">
        <w:rPr>
          <w:i/>
          <w:color w:val="231F20"/>
          <w:w w:val="105"/>
          <w:sz w:val="16"/>
          <w:lang w:val="de-DE"/>
        </w:rPr>
        <w:t xml:space="preserve">, </w:t>
      </w:r>
      <w:r w:rsidRPr="00846956">
        <w:rPr>
          <w:color w:val="231F20"/>
          <w:w w:val="105"/>
          <w:sz w:val="16"/>
          <w:lang w:val="de-DE"/>
        </w:rPr>
        <w:t>219</w:t>
      </w:r>
    </w:p>
    <w:p w14:paraId="2F65AEA0" w14:textId="77777777" w:rsidR="002653E8" w:rsidRDefault="003115E3">
      <w:pPr>
        <w:spacing w:before="1"/>
        <w:ind w:left="1147"/>
        <w:rPr>
          <w:sz w:val="16"/>
        </w:rPr>
      </w:pPr>
      <w:r>
        <w:rPr>
          <w:color w:val="231F20"/>
          <w:w w:val="105"/>
          <w:sz w:val="16"/>
        </w:rPr>
        <w:t>Vietnam 480</w:t>
      </w:r>
      <w:r>
        <w:rPr>
          <w:i/>
          <w:color w:val="231F20"/>
          <w:w w:val="105"/>
          <w:sz w:val="16"/>
        </w:rPr>
        <w:t xml:space="preserve">, </w:t>
      </w:r>
      <w:r>
        <w:rPr>
          <w:color w:val="231F20"/>
          <w:w w:val="105"/>
          <w:sz w:val="16"/>
        </w:rPr>
        <w:t>484</w:t>
      </w:r>
      <w:r>
        <w:rPr>
          <w:i/>
          <w:color w:val="231F20"/>
          <w:w w:val="105"/>
          <w:sz w:val="16"/>
        </w:rPr>
        <w:t xml:space="preserve">, </w:t>
      </w:r>
      <w:r>
        <w:rPr>
          <w:color w:val="231F20"/>
          <w:w w:val="105"/>
          <w:sz w:val="16"/>
        </w:rPr>
        <w:t>505</w:t>
      </w:r>
    </w:p>
    <w:p w14:paraId="6AE9083D" w14:textId="77777777" w:rsidR="002653E8" w:rsidRDefault="003115E3">
      <w:pPr>
        <w:spacing w:before="32" w:line="280" w:lineRule="auto"/>
        <w:ind w:left="1347" w:right="91" w:hanging="201"/>
        <w:rPr>
          <w:sz w:val="16"/>
        </w:rPr>
      </w:pPr>
      <w:r>
        <w:rPr>
          <w:color w:val="231F20"/>
          <w:sz w:val="16"/>
        </w:rPr>
        <w:t xml:space="preserve">Vietnam </w:t>
      </w:r>
      <w:r>
        <w:rPr>
          <w:color w:val="231F20"/>
          <w:spacing w:val="-5"/>
          <w:sz w:val="16"/>
        </w:rPr>
        <w:t xml:space="preserve">War  </w:t>
      </w:r>
      <w:r>
        <w:rPr>
          <w:color w:val="231F20"/>
          <w:sz w:val="16"/>
        </w:rPr>
        <w:t>35</w:t>
      </w:r>
      <w:r>
        <w:rPr>
          <w:i/>
          <w:color w:val="231F20"/>
          <w:sz w:val="16"/>
        </w:rPr>
        <w:t xml:space="preserve">,  </w:t>
      </w:r>
      <w:r>
        <w:rPr>
          <w:color w:val="231F20"/>
          <w:sz w:val="16"/>
        </w:rPr>
        <w:t>166</w:t>
      </w:r>
      <w:r>
        <w:rPr>
          <w:i/>
          <w:color w:val="231F20"/>
          <w:sz w:val="16"/>
        </w:rPr>
        <w:t xml:space="preserve">,  </w:t>
      </w:r>
      <w:r>
        <w:rPr>
          <w:color w:val="231F20"/>
          <w:sz w:val="16"/>
        </w:rPr>
        <w:t>581</w:t>
      </w:r>
      <w:r>
        <w:rPr>
          <w:i/>
          <w:color w:val="231F20"/>
          <w:sz w:val="16"/>
        </w:rPr>
        <w:t xml:space="preserve">,  </w:t>
      </w:r>
      <w:r>
        <w:rPr>
          <w:color w:val="231F20"/>
          <w:sz w:val="16"/>
        </w:rPr>
        <w:t>601</w:t>
      </w:r>
      <w:r>
        <w:rPr>
          <w:i/>
          <w:color w:val="231F20"/>
          <w:sz w:val="16"/>
        </w:rPr>
        <w:t xml:space="preserve">.  See also </w:t>
      </w:r>
      <w:r w:rsidR="00C507A5">
        <w:rPr>
          <w:color w:val="231F20"/>
          <w:sz w:val="16"/>
        </w:rPr>
        <w:t>red army faction</w:t>
      </w:r>
      <w:r>
        <w:rPr>
          <w:color w:val="231F20"/>
          <w:sz w:val="16"/>
        </w:rPr>
        <w:t xml:space="preserve"> (Red Army Faction): attack on U.S. Army V  Corps  (1972)</w:t>
      </w:r>
      <w:r>
        <w:rPr>
          <w:i/>
          <w:color w:val="231F20"/>
          <w:sz w:val="16"/>
        </w:rPr>
        <w:t xml:space="preserve">;  See also </w:t>
      </w:r>
      <w:r w:rsidR="00C507A5">
        <w:rPr>
          <w:color w:val="231F20"/>
          <w:sz w:val="16"/>
        </w:rPr>
        <w:t>red army faction</w:t>
      </w:r>
      <w:r>
        <w:rPr>
          <w:color w:val="231F20"/>
          <w:sz w:val="16"/>
        </w:rPr>
        <w:t xml:space="preserve"> (Red Army Faction): attack on USAREUR in Heidelberg (1972)</w:t>
      </w:r>
      <w:r>
        <w:rPr>
          <w:i/>
          <w:color w:val="231F20"/>
          <w:sz w:val="16"/>
        </w:rPr>
        <w:t xml:space="preserve">; See </w:t>
      </w:r>
      <w:r>
        <w:rPr>
          <w:i/>
          <w:color w:val="231F20"/>
          <w:sz w:val="16"/>
        </w:rPr>
        <w:t xml:space="preserve">also </w:t>
      </w:r>
      <w:r>
        <w:rPr>
          <w:color w:val="231F20"/>
          <w:sz w:val="16"/>
        </w:rPr>
        <w:t>APO (Außerparlamentarische</w:t>
      </w:r>
    </w:p>
    <w:p w14:paraId="08EDFD61" w14:textId="77777777" w:rsidR="002653E8" w:rsidRDefault="003115E3">
      <w:pPr>
        <w:spacing w:before="86" w:line="280" w:lineRule="auto"/>
        <w:ind w:left="464" w:right="1433"/>
        <w:rPr>
          <w:i/>
          <w:sz w:val="16"/>
        </w:rPr>
      </w:pPr>
      <w:r>
        <w:br w:type="column"/>
      </w:r>
      <w:r>
        <w:rPr>
          <w:color w:val="231F20"/>
          <w:sz w:val="16"/>
        </w:rPr>
        <w:lastRenderedPageBreak/>
        <w:t xml:space="preserve">Opposition): anti-Vietnam war; antiwar movement mentioned by </w:t>
      </w:r>
      <w:r w:rsidR="00C507A5">
        <w:rPr>
          <w:color w:val="231F20"/>
          <w:sz w:val="16"/>
        </w:rPr>
        <w:t>red army faction</w:t>
      </w:r>
      <w:r>
        <w:rPr>
          <w:color w:val="231F20"/>
          <w:sz w:val="16"/>
        </w:rPr>
        <w:t xml:space="preserve"> 90</w:t>
      </w:r>
      <w:r>
        <w:rPr>
          <w:i/>
          <w:color w:val="231F20"/>
          <w:sz w:val="16"/>
        </w:rPr>
        <w:t xml:space="preserve">, </w:t>
      </w:r>
      <w:r>
        <w:rPr>
          <w:color w:val="231F20"/>
          <w:sz w:val="16"/>
        </w:rPr>
        <w:t xml:space="preserve">91; mentioned by </w:t>
      </w:r>
      <w:r w:rsidR="00C507A5">
        <w:rPr>
          <w:color w:val="231F20"/>
          <w:sz w:val="16"/>
        </w:rPr>
        <w:t>red army faction</w:t>
      </w:r>
      <w:r>
        <w:rPr>
          <w:color w:val="231F20"/>
          <w:sz w:val="16"/>
        </w:rPr>
        <w:t xml:space="preserve"> 89</w:t>
      </w:r>
      <w:r>
        <w:rPr>
          <w:i/>
          <w:color w:val="231F20"/>
          <w:sz w:val="16"/>
        </w:rPr>
        <w:t xml:space="preserve">, </w:t>
      </w:r>
      <w:r>
        <w:rPr>
          <w:color w:val="231F20"/>
          <w:sz w:val="16"/>
        </w:rPr>
        <w:t>206</w:t>
      </w:r>
      <w:r>
        <w:rPr>
          <w:i/>
          <w:color w:val="231F20"/>
          <w:sz w:val="16"/>
        </w:rPr>
        <w:t xml:space="preserve">, </w:t>
      </w:r>
      <w:r>
        <w:rPr>
          <w:color w:val="231F20"/>
          <w:sz w:val="16"/>
        </w:rPr>
        <w:t>207</w:t>
      </w:r>
      <w:r>
        <w:rPr>
          <w:i/>
          <w:color w:val="231F20"/>
          <w:sz w:val="16"/>
        </w:rPr>
        <w:t>,</w:t>
      </w:r>
    </w:p>
    <w:p w14:paraId="2D1E3766" w14:textId="77777777" w:rsidR="002653E8" w:rsidRDefault="003115E3">
      <w:pPr>
        <w:spacing w:before="2"/>
        <w:ind w:left="464"/>
        <w:rPr>
          <w:sz w:val="16"/>
        </w:rPr>
      </w:pPr>
      <w:r>
        <w:rPr>
          <w:color w:val="231F20"/>
          <w:w w:val="110"/>
          <w:sz w:val="16"/>
        </w:rPr>
        <w:t>214</w:t>
      </w:r>
      <w:r>
        <w:rPr>
          <w:i/>
          <w:color w:val="231F20"/>
          <w:w w:val="110"/>
          <w:sz w:val="16"/>
        </w:rPr>
        <w:t xml:space="preserve">, </w:t>
      </w:r>
      <w:r>
        <w:rPr>
          <w:color w:val="231F20"/>
          <w:w w:val="110"/>
          <w:sz w:val="16"/>
        </w:rPr>
        <w:t>232</w:t>
      </w:r>
      <w:r>
        <w:rPr>
          <w:i/>
          <w:color w:val="231F20"/>
          <w:w w:val="110"/>
          <w:sz w:val="16"/>
        </w:rPr>
        <w:t xml:space="preserve">, </w:t>
      </w:r>
      <w:r>
        <w:rPr>
          <w:color w:val="231F20"/>
          <w:w w:val="110"/>
          <w:sz w:val="16"/>
        </w:rPr>
        <w:t>414</w:t>
      </w:r>
      <w:r>
        <w:rPr>
          <w:i/>
          <w:color w:val="231F20"/>
          <w:w w:val="110"/>
          <w:sz w:val="16"/>
        </w:rPr>
        <w:t xml:space="preserve">, </w:t>
      </w:r>
      <w:r>
        <w:rPr>
          <w:color w:val="231F20"/>
          <w:w w:val="110"/>
          <w:sz w:val="16"/>
        </w:rPr>
        <w:t>430</w:t>
      </w:r>
    </w:p>
    <w:p w14:paraId="7B4010A1" w14:textId="77777777" w:rsidR="002653E8" w:rsidRDefault="003115E3">
      <w:pPr>
        <w:spacing w:before="32"/>
        <w:ind w:left="264"/>
        <w:rPr>
          <w:sz w:val="16"/>
        </w:rPr>
      </w:pPr>
      <w:r>
        <w:rPr>
          <w:color w:val="231F20"/>
          <w:w w:val="105"/>
          <w:sz w:val="16"/>
        </w:rPr>
        <w:t>Viett, Inge 527</w:t>
      </w:r>
      <w:r>
        <w:rPr>
          <w:i/>
          <w:color w:val="231F20"/>
          <w:w w:val="105"/>
          <w:sz w:val="16"/>
        </w:rPr>
        <w:t xml:space="preserve">, </w:t>
      </w:r>
      <w:r>
        <w:rPr>
          <w:color w:val="231F20"/>
          <w:w w:val="105"/>
          <w:sz w:val="16"/>
        </w:rPr>
        <w:t>577</w:t>
      </w:r>
      <w:r>
        <w:rPr>
          <w:i/>
          <w:color w:val="231F20"/>
          <w:w w:val="105"/>
          <w:sz w:val="16"/>
        </w:rPr>
        <w:t xml:space="preserve">, </w:t>
      </w:r>
      <w:r>
        <w:rPr>
          <w:color w:val="231F20"/>
          <w:w w:val="105"/>
          <w:sz w:val="16"/>
        </w:rPr>
        <w:t>614</w:t>
      </w:r>
      <w:r>
        <w:rPr>
          <w:i/>
          <w:color w:val="231F20"/>
          <w:w w:val="105"/>
          <w:sz w:val="16"/>
        </w:rPr>
        <w:t xml:space="preserve">, </w:t>
      </w:r>
      <w:r>
        <w:rPr>
          <w:color w:val="231F20"/>
          <w:w w:val="105"/>
          <w:sz w:val="16"/>
        </w:rPr>
        <w:t>628; arrested</w:t>
      </w:r>
    </w:p>
    <w:p w14:paraId="63CAE2C1" w14:textId="77777777" w:rsidR="002653E8" w:rsidRDefault="003115E3">
      <w:pPr>
        <w:spacing w:before="33"/>
        <w:ind w:left="464"/>
        <w:rPr>
          <w:sz w:val="16"/>
        </w:rPr>
      </w:pPr>
      <w:r>
        <w:rPr>
          <w:color w:val="231F20"/>
          <w:sz w:val="16"/>
        </w:rPr>
        <w:t>(1990) 620; escapes from prison</w:t>
      </w:r>
    </w:p>
    <w:p w14:paraId="7969E019" w14:textId="77777777" w:rsidR="002653E8" w:rsidRDefault="003115E3">
      <w:pPr>
        <w:spacing w:before="32"/>
        <w:ind w:left="464"/>
        <w:rPr>
          <w:sz w:val="16"/>
        </w:rPr>
      </w:pPr>
      <w:r>
        <w:rPr>
          <w:color w:val="231F20"/>
          <w:sz w:val="16"/>
        </w:rPr>
        <w:t>(1976) 602; in the GDR 614; released</w:t>
      </w:r>
    </w:p>
    <w:p w14:paraId="6DC7250D" w14:textId="77777777" w:rsidR="002653E8" w:rsidRDefault="003115E3">
      <w:pPr>
        <w:spacing w:before="33"/>
        <w:ind w:left="464"/>
        <w:rPr>
          <w:sz w:val="16"/>
        </w:rPr>
      </w:pPr>
      <w:r>
        <w:rPr>
          <w:color w:val="231F20"/>
          <w:sz w:val="16"/>
        </w:rPr>
        <w:t>(1997)  625; release demanded  440;</w:t>
      </w:r>
    </w:p>
    <w:p w14:paraId="0BE55B3D" w14:textId="77777777" w:rsidR="002653E8" w:rsidRDefault="003115E3">
      <w:pPr>
        <w:spacing w:before="32"/>
        <w:ind w:left="464"/>
        <w:rPr>
          <w:sz w:val="16"/>
        </w:rPr>
      </w:pPr>
      <w:r>
        <w:rPr>
          <w:color w:val="231F20"/>
          <w:sz w:val="16"/>
        </w:rPr>
        <w:t>trial (1992)  622; on women’s move-</w:t>
      </w:r>
    </w:p>
    <w:p w14:paraId="78E9DBD8" w14:textId="77777777" w:rsidR="002653E8" w:rsidRDefault="003115E3">
      <w:pPr>
        <w:spacing w:before="32"/>
        <w:ind w:left="464"/>
        <w:rPr>
          <w:sz w:val="16"/>
        </w:rPr>
      </w:pPr>
      <w:r>
        <w:rPr>
          <w:color w:val="231F20"/>
          <w:sz w:val="16"/>
        </w:rPr>
        <w:t>ment 536</w:t>
      </w:r>
    </w:p>
    <w:p w14:paraId="3EA3DF83" w14:textId="77777777" w:rsidR="002653E8" w:rsidRDefault="003115E3">
      <w:pPr>
        <w:spacing w:before="33"/>
        <w:ind w:left="264"/>
        <w:rPr>
          <w:sz w:val="16"/>
        </w:rPr>
      </w:pPr>
      <w:r>
        <w:rPr>
          <w:color w:val="231F20"/>
          <w:sz w:val="16"/>
        </w:rPr>
        <w:t>Vigier, Jean-Pierre 382</w:t>
      </w:r>
    </w:p>
    <w:p w14:paraId="2FC269C0" w14:textId="77777777" w:rsidR="002653E8" w:rsidRDefault="003115E3">
      <w:pPr>
        <w:spacing w:before="32"/>
        <w:ind w:left="264"/>
        <w:rPr>
          <w:sz w:val="16"/>
        </w:rPr>
      </w:pPr>
      <w:r>
        <w:rPr>
          <w:color w:val="231F20"/>
          <w:sz w:val="16"/>
        </w:rPr>
        <w:t>Violleau, Francis 614</w:t>
      </w:r>
    </w:p>
    <w:p w14:paraId="505FB753" w14:textId="77777777" w:rsidR="002653E8" w:rsidRDefault="003115E3">
      <w:pPr>
        <w:spacing w:before="33"/>
        <w:ind w:left="264"/>
        <w:rPr>
          <w:sz w:val="16"/>
        </w:rPr>
      </w:pPr>
      <w:r>
        <w:rPr>
          <w:color w:val="231F20"/>
          <w:w w:val="105"/>
          <w:sz w:val="16"/>
        </w:rPr>
        <w:t>Vogel, Andreas 242</w:t>
      </w:r>
      <w:r>
        <w:rPr>
          <w:i/>
          <w:color w:val="231F20"/>
          <w:w w:val="105"/>
          <w:sz w:val="16"/>
        </w:rPr>
        <w:t xml:space="preserve">, </w:t>
      </w:r>
      <w:r>
        <w:rPr>
          <w:color w:val="231F20"/>
          <w:w w:val="105"/>
          <w:sz w:val="16"/>
        </w:rPr>
        <w:t>577</w:t>
      </w:r>
    </w:p>
    <w:p w14:paraId="0308DD6C" w14:textId="77777777" w:rsidR="002653E8" w:rsidRPr="00846956" w:rsidRDefault="003115E3">
      <w:pPr>
        <w:spacing w:before="32"/>
        <w:ind w:left="264"/>
        <w:rPr>
          <w:sz w:val="16"/>
          <w:lang w:val="de-DE"/>
        </w:rPr>
      </w:pPr>
      <w:r w:rsidRPr="00846956">
        <w:rPr>
          <w:color w:val="231F20"/>
          <w:sz w:val="16"/>
          <w:lang w:val="de-DE"/>
        </w:rPr>
        <w:t>Vogel, Bernhard 619</w:t>
      </w:r>
    </w:p>
    <w:p w14:paraId="06232BCA" w14:textId="77777777" w:rsidR="002653E8" w:rsidRPr="00846956" w:rsidRDefault="003115E3">
      <w:pPr>
        <w:spacing w:before="32"/>
        <w:ind w:left="264"/>
        <w:rPr>
          <w:sz w:val="16"/>
          <w:lang w:val="de-DE"/>
        </w:rPr>
      </w:pPr>
      <w:r w:rsidRPr="00846956">
        <w:rPr>
          <w:color w:val="231F20"/>
          <w:w w:val="105"/>
          <w:sz w:val="16"/>
          <w:lang w:val="de-DE"/>
        </w:rPr>
        <w:t>Vogel, Hans-Jochen 231</w:t>
      </w:r>
      <w:r w:rsidRPr="00846956">
        <w:rPr>
          <w:i/>
          <w:color w:val="231F20"/>
          <w:w w:val="105"/>
          <w:sz w:val="16"/>
          <w:lang w:val="de-DE"/>
        </w:rPr>
        <w:t xml:space="preserve">, </w:t>
      </w:r>
      <w:r w:rsidRPr="00846956">
        <w:rPr>
          <w:color w:val="231F20"/>
          <w:w w:val="105"/>
          <w:sz w:val="16"/>
          <w:lang w:val="de-DE"/>
        </w:rPr>
        <w:t>265</w:t>
      </w:r>
    </w:p>
    <w:p w14:paraId="0E5396AA" w14:textId="77777777" w:rsidR="002653E8" w:rsidRDefault="003115E3">
      <w:pPr>
        <w:spacing w:before="33"/>
        <w:ind w:left="264"/>
        <w:rPr>
          <w:sz w:val="16"/>
        </w:rPr>
      </w:pPr>
      <w:r>
        <w:rPr>
          <w:color w:val="231F20"/>
          <w:w w:val="105"/>
          <w:sz w:val="16"/>
        </w:rPr>
        <w:t>Voigt, Günther 54</w:t>
      </w:r>
      <w:r>
        <w:rPr>
          <w:i/>
          <w:color w:val="231F20"/>
          <w:w w:val="105"/>
          <w:sz w:val="16"/>
        </w:rPr>
        <w:t xml:space="preserve">, </w:t>
      </w:r>
      <w:r>
        <w:rPr>
          <w:color w:val="231F20"/>
          <w:w w:val="105"/>
          <w:sz w:val="16"/>
        </w:rPr>
        <w:t>85</w:t>
      </w:r>
    </w:p>
    <w:p w14:paraId="37C7BDA8" w14:textId="77777777" w:rsidR="002653E8" w:rsidRDefault="002653E8">
      <w:pPr>
        <w:pStyle w:val="a3"/>
        <w:rPr>
          <w:sz w:val="18"/>
        </w:rPr>
      </w:pPr>
    </w:p>
    <w:p w14:paraId="04C3B2AF" w14:textId="77777777" w:rsidR="002653E8" w:rsidRDefault="002653E8">
      <w:pPr>
        <w:pStyle w:val="a3"/>
        <w:rPr>
          <w:sz w:val="18"/>
        </w:rPr>
      </w:pPr>
    </w:p>
    <w:p w14:paraId="62AA9ADF" w14:textId="77777777" w:rsidR="002653E8" w:rsidRDefault="002653E8">
      <w:pPr>
        <w:pStyle w:val="a3"/>
        <w:rPr>
          <w:sz w:val="18"/>
        </w:rPr>
      </w:pPr>
    </w:p>
    <w:p w14:paraId="460438CD" w14:textId="77777777" w:rsidR="002653E8" w:rsidRDefault="002653E8">
      <w:pPr>
        <w:pStyle w:val="a3"/>
        <w:spacing w:before="9"/>
        <w:rPr>
          <w:sz w:val="23"/>
        </w:rPr>
      </w:pPr>
    </w:p>
    <w:p w14:paraId="2B03D782" w14:textId="77777777" w:rsidR="002653E8" w:rsidRDefault="003115E3">
      <w:pPr>
        <w:spacing w:before="1"/>
        <w:ind w:left="264"/>
        <w:rPr>
          <w:sz w:val="16"/>
        </w:rPr>
      </w:pPr>
      <w:r>
        <w:rPr>
          <w:color w:val="231F20"/>
          <w:sz w:val="16"/>
        </w:rPr>
        <w:t>Wackernagel, Christof 527</w:t>
      </w:r>
      <w:r>
        <w:rPr>
          <w:i/>
          <w:color w:val="231F20"/>
          <w:sz w:val="16"/>
        </w:rPr>
        <w:t xml:space="preserve">, </w:t>
      </w:r>
      <w:r>
        <w:rPr>
          <w:color w:val="231F20"/>
          <w:sz w:val="16"/>
        </w:rPr>
        <w:t>577; captured</w:t>
      </w:r>
    </w:p>
    <w:p w14:paraId="4D6F5132" w14:textId="77777777" w:rsidR="002653E8" w:rsidRDefault="003115E3">
      <w:pPr>
        <w:spacing w:before="32"/>
        <w:ind w:left="464"/>
        <w:rPr>
          <w:sz w:val="16"/>
        </w:rPr>
      </w:pPr>
      <w:r>
        <w:rPr>
          <w:color w:val="231F20"/>
          <w:sz w:val="16"/>
        </w:rPr>
        <w:t>(1977) 527–528</w:t>
      </w:r>
      <w:r>
        <w:rPr>
          <w:i/>
          <w:color w:val="231F20"/>
          <w:sz w:val="16"/>
        </w:rPr>
        <w:t xml:space="preserve">, </w:t>
      </w:r>
      <w:r>
        <w:rPr>
          <w:color w:val="231F20"/>
          <w:sz w:val="16"/>
        </w:rPr>
        <w:t>609; trial (1980)</w:t>
      </w:r>
    </w:p>
    <w:p w14:paraId="428AC321" w14:textId="77777777" w:rsidR="002653E8" w:rsidRDefault="003115E3">
      <w:pPr>
        <w:spacing w:before="32"/>
        <w:ind w:left="464"/>
        <w:rPr>
          <w:sz w:val="16"/>
        </w:rPr>
      </w:pPr>
      <w:r>
        <w:rPr>
          <w:color w:val="231F20"/>
          <w:sz w:val="16"/>
        </w:rPr>
        <w:t>613</w:t>
      </w:r>
    </w:p>
    <w:p w14:paraId="606CAC44" w14:textId="77777777" w:rsidR="002653E8" w:rsidRDefault="003115E3">
      <w:pPr>
        <w:spacing w:before="33"/>
        <w:ind w:left="264"/>
        <w:rPr>
          <w:sz w:val="16"/>
        </w:rPr>
      </w:pPr>
      <w:r>
        <w:rPr>
          <w:color w:val="231F20"/>
          <w:w w:val="105"/>
          <w:sz w:val="16"/>
        </w:rPr>
        <w:t>Wagenbach, Klaus 64</w:t>
      </w:r>
      <w:r>
        <w:rPr>
          <w:i/>
          <w:color w:val="231F20"/>
          <w:w w:val="105"/>
          <w:sz w:val="16"/>
        </w:rPr>
        <w:t xml:space="preserve">, </w:t>
      </w:r>
      <w:r>
        <w:rPr>
          <w:color w:val="231F20"/>
          <w:w w:val="105"/>
          <w:sz w:val="16"/>
        </w:rPr>
        <w:t>460–461</w:t>
      </w:r>
      <w:r>
        <w:rPr>
          <w:i/>
          <w:color w:val="231F20"/>
          <w:w w:val="105"/>
          <w:sz w:val="16"/>
        </w:rPr>
        <w:t xml:space="preserve">, </w:t>
      </w:r>
      <w:r>
        <w:rPr>
          <w:color w:val="231F20"/>
          <w:w w:val="105"/>
          <w:sz w:val="16"/>
        </w:rPr>
        <w:t>577</w:t>
      </w:r>
    </w:p>
    <w:p w14:paraId="4419A064" w14:textId="77777777" w:rsidR="002653E8" w:rsidRDefault="003115E3">
      <w:pPr>
        <w:spacing w:before="32"/>
        <w:ind w:left="264"/>
        <w:rPr>
          <w:i/>
          <w:sz w:val="16"/>
        </w:rPr>
      </w:pPr>
      <w:r>
        <w:rPr>
          <w:color w:val="231F20"/>
          <w:w w:val="110"/>
          <w:sz w:val="16"/>
        </w:rPr>
        <w:t>Wagner, Rolf Clemens 527</w:t>
      </w:r>
      <w:r>
        <w:rPr>
          <w:i/>
          <w:color w:val="231F20"/>
          <w:w w:val="110"/>
          <w:sz w:val="16"/>
        </w:rPr>
        <w:t xml:space="preserve">, </w:t>
      </w:r>
      <w:r>
        <w:rPr>
          <w:color w:val="231F20"/>
          <w:w w:val="110"/>
          <w:sz w:val="16"/>
        </w:rPr>
        <w:t>577</w:t>
      </w:r>
      <w:r>
        <w:rPr>
          <w:i/>
          <w:color w:val="231F20"/>
          <w:w w:val="110"/>
          <w:sz w:val="16"/>
        </w:rPr>
        <w:t xml:space="preserve">, </w:t>
      </w:r>
      <w:r>
        <w:rPr>
          <w:color w:val="231F20"/>
          <w:w w:val="110"/>
          <w:sz w:val="16"/>
        </w:rPr>
        <w:t>600</w:t>
      </w:r>
      <w:r>
        <w:rPr>
          <w:i/>
          <w:color w:val="231F20"/>
          <w:w w:val="110"/>
          <w:sz w:val="16"/>
        </w:rPr>
        <w:t>,</w:t>
      </w:r>
    </w:p>
    <w:p w14:paraId="262B078D" w14:textId="77777777" w:rsidR="002653E8" w:rsidRDefault="003115E3">
      <w:pPr>
        <w:spacing w:before="33"/>
        <w:ind w:left="464"/>
        <w:rPr>
          <w:sz w:val="16"/>
        </w:rPr>
      </w:pPr>
      <w:r>
        <w:rPr>
          <w:color w:val="231F20"/>
          <w:w w:val="105"/>
          <w:sz w:val="16"/>
        </w:rPr>
        <w:t>612</w:t>
      </w:r>
      <w:r>
        <w:rPr>
          <w:i/>
          <w:color w:val="231F20"/>
          <w:w w:val="105"/>
          <w:sz w:val="16"/>
        </w:rPr>
        <w:t xml:space="preserve">, </w:t>
      </w:r>
      <w:r>
        <w:rPr>
          <w:color w:val="231F20"/>
          <w:w w:val="105"/>
          <w:sz w:val="16"/>
        </w:rPr>
        <w:t>627; Boock’s Lies (1988) 527;</w:t>
      </w:r>
    </w:p>
    <w:p w14:paraId="5BCD834A" w14:textId="77777777" w:rsidR="002653E8" w:rsidRDefault="003115E3">
      <w:pPr>
        <w:spacing w:before="32"/>
        <w:ind w:left="464"/>
        <w:rPr>
          <w:i/>
          <w:sz w:val="16"/>
        </w:rPr>
      </w:pPr>
      <w:r>
        <w:rPr>
          <w:color w:val="231F20"/>
          <w:w w:val="105"/>
          <w:sz w:val="16"/>
        </w:rPr>
        <w:t>captured (1978, yugoslavia) 529</w:t>
      </w:r>
      <w:r>
        <w:rPr>
          <w:i/>
          <w:color w:val="231F20"/>
          <w:w w:val="105"/>
          <w:sz w:val="16"/>
        </w:rPr>
        <w:t xml:space="preserve">, </w:t>
      </w:r>
      <w:r>
        <w:rPr>
          <w:color w:val="231F20"/>
          <w:w w:val="105"/>
          <w:sz w:val="16"/>
        </w:rPr>
        <w:t>610</w:t>
      </w:r>
      <w:r>
        <w:rPr>
          <w:i/>
          <w:color w:val="231F20"/>
          <w:w w:val="105"/>
          <w:sz w:val="16"/>
        </w:rPr>
        <w:t>,</w:t>
      </w:r>
    </w:p>
    <w:p w14:paraId="76328A44" w14:textId="77777777" w:rsidR="002653E8" w:rsidRDefault="003115E3">
      <w:pPr>
        <w:spacing w:before="33"/>
        <w:ind w:left="464"/>
        <w:rPr>
          <w:sz w:val="16"/>
        </w:rPr>
      </w:pPr>
      <w:r>
        <w:rPr>
          <w:color w:val="231F20"/>
          <w:sz w:val="16"/>
        </w:rPr>
        <w:t>611; captured (1979)  613; prison</w:t>
      </w:r>
    </w:p>
    <w:p w14:paraId="0BEF517C" w14:textId="77777777" w:rsidR="002653E8" w:rsidRDefault="003115E3">
      <w:pPr>
        <w:spacing w:before="32"/>
        <w:ind w:left="464"/>
        <w:rPr>
          <w:sz w:val="16"/>
        </w:rPr>
      </w:pPr>
      <w:r>
        <w:rPr>
          <w:color w:val="231F20"/>
          <w:sz w:val="16"/>
        </w:rPr>
        <w:t>624; released (2003)  626; split in</w:t>
      </w:r>
    </w:p>
    <w:p w14:paraId="7715C268" w14:textId="77777777" w:rsidR="002653E8" w:rsidRDefault="003115E3">
      <w:pPr>
        <w:spacing w:before="32"/>
        <w:ind w:left="464"/>
        <w:rPr>
          <w:sz w:val="16"/>
        </w:rPr>
      </w:pPr>
      <w:r>
        <w:rPr>
          <w:color w:val="231F20"/>
          <w:sz w:val="16"/>
        </w:rPr>
        <w:t xml:space="preserve">the </w:t>
      </w:r>
      <w:r w:rsidR="00C507A5">
        <w:rPr>
          <w:color w:val="231F20"/>
          <w:sz w:val="16"/>
        </w:rPr>
        <w:t>red army faction</w:t>
      </w:r>
      <w:r>
        <w:rPr>
          <w:color w:val="231F20"/>
          <w:sz w:val="16"/>
        </w:rPr>
        <w:t xml:space="preserve"> 623; trial (1985) 617; trial</w:t>
      </w:r>
    </w:p>
    <w:p w14:paraId="18D0111C" w14:textId="77777777" w:rsidR="002653E8" w:rsidRPr="00846956" w:rsidRDefault="003115E3">
      <w:pPr>
        <w:spacing w:before="33"/>
        <w:ind w:left="464"/>
        <w:rPr>
          <w:sz w:val="16"/>
          <w:lang w:val="de-DE"/>
        </w:rPr>
      </w:pPr>
      <w:r w:rsidRPr="00846956">
        <w:rPr>
          <w:color w:val="231F20"/>
          <w:sz w:val="16"/>
          <w:lang w:val="de-DE"/>
        </w:rPr>
        <w:t>(1993) 624</w:t>
      </w:r>
    </w:p>
    <w:p w14:paraId="012D266F" w14:textId="77777777" w:rsidR="002653E8" w:rsidRPr="00846956" w:rsidRDefault="003115E3">
      <w:pPr>
        <w:spacing w:before="32"/>
        <w:ind w:left="264"/>
        <w:rPr>
          <w:sz w:val="16"/>
          <w:lang w:val="de-DE"/>
        </w:rPr>
      </w:pPr>
      <w:r w:rsidRPr="00846956">
        <w:rPr>
          <w:color w:val="231F20"/>
          <w:w w:val="105"/>
          <w:sz w:val="16"/>
          <w:lang w:val="de-DE"/>
        </w:rPr>
        <w:t>Walser, Martin 265</w:t>
      </w:r>
    </w:p>
    <w:p w14:paraId="3C2819D6" w14:textId="77777777" w:rsidR="002653E8" w:rsidRPr="00846956" w:rsidRDefault="003115E3">
      <w:pPr>
        <w:spacing w:before="33" w:line="280" w:lineRule="auto"/>
        <w:ind w:left="264" w:right="1495"/>
        <w:rPr>
          <w:sz w:val="16"/>
          <w:lang w:val="de-DE"/>
        </w:rPr>
      </w:pPr>
      <w:r w:rsidRPr="00846956">
        <w:rPr>
          <w:color w:val="231F20"/>
          <w:sz w:val="16"/>
          <w:lang w:val="de-DE"/>
        </w:rPr>
        <w:t>Wannersdorfer, Claudia 617</w:t>
      </w:r>
      <w:r w:rsidRPr="00846956">
        <w:rPr>
          <w:i/>
          <w:color w:val="231F20"/>
          <w:sz w:val="16"/>
          <w:lang w:val="de-DE"/>
        </w:rPr>
        <w:t xml:space="preserve">, </w:t>
      </w:r>
      <w:r w:rsidRPr="00846956">
        <w:rPr>
          <w:color w:val="231F20"/>
          <w:sz w:val="16"/>
          <w:lang w:val="de-DE"/>
        </w:rPr>
        <w:t>618</w:t>
      </w:r>
      <w:r w:rsidRPr="00846956">
        <w:rPr>
          <w:i/>
          <w:color w:val="231F20"/>
          <w:sz w:val="16"/>
          <w:lang w:val="de-DE"/>
        </w:rPr>
        <w:t xml:space="preserve">, </w:t>
      </w:r>
      <w:r w:rsidRPr="00846956">
        <w:rPr>
          <w:color w:val="231F20"/>
          <w:sz w:val="16"/>
          <w:lang w:val="de-DE"/>
        </w:rPr>
        <w:t>621 Wassermann (Braunschweig Court of</w:t>
      </w:r>
    </w:p>
    <w:p w14:paraId="6973F258" w14:textId="77777777" w:rsidR="002653E8" w:rsidRPr="00846956" w:rsidRDefault="003115E3">
      <w:pPr>
        <w:spacing w:before="1"/>
        <w:ind w:left="464"/>
        <w:rPr>
          <w:sz w:val="16"/>
          <w:lang w:val="de-DE"/>
        </w:rPr>
      </w:pPr>
      <w:r w:rsidRPr="00846956">
        <w:rPr>
          <w:color w:val="231F20"/>
          <w:sz w:val="16"/>
          <w:lang w:val="de-DE"/>
        </w:rPr>
        <w:t>Appeals) 378</w:t>
      </w:r>
    </w:p>
    <w:p w14:paraId="202509D7" w14:textId="77777777" w:rsidR="002653E8" w:rsidRPr="00846956" w:rsidRDefault="003115E3">
      <w:pPr>
        <w:spacing w:before="32"/>
        <w:ind w:left="264"/>
        <w:rPr>
          <w:sz w:val="16"/>
          <w:lang w:val="de-DE"/>
        </w:rPr>
      </w:pPr>
      <w:r w:rsidRPr="00846956">
        <w:rPr>
          <w:color w:val="231F20"/>
          <w:w w:val="105"/>
          <w:sz w:val="16"/>
          <w:lang w:val="de-DE"/>
        </w:rPr>
        <w:t>Watson, George 197–199</w:t>
      </w:r>
      <w:r w:rsidRPr="00846956">
        <w:rPr>
          <w:i/>
          <w:color w:val="231F20"/>
          <w:w w:val="105"/>
          <w:sz w:val="16"/>
          <w:lang w:val="de-DE"/>
        </w:rPr>
        <w:t xml:space="preserve">, </w:t>
      </w:r>
      <w:r w:rsidRPr="00846956">
        <w:rPr>
          <w:color w:val="231F20"/>
          <w:w w:val="105"/>
          <w:sz w:val="16"/>
          <w:lang w:val="de-DE"/>
        </w:rPr>
        <w:t>544</w:t>
      </w:r>
    </w:p>
    <w:p w14:paraId="47F737D9" w14:textId="77777777" w:rsidR="002653E8" w:rsidRPr="00846956" w:rsidRDefault="003115E3">
      <w:pPr>
        <w:spacing w:before="33"/>
        <w:ind w:left="264"/>
        <w:rPr>
          <w:sz w:val="16"/>
          <w:lang w:val="de-DE"/>
        </w:rPr>
      </w:pPr>
      <w:r w:rsidRPr="00846956">
        <w:rPr>
          <w:color w:val="231F20"/>
          <w:sz w:val="16"/>
          <w:lang w:val="de-DE"/>
        </w:rPr>
        <w:t>Weber, Jürgen 441</w:t>
      </w:r>
    </w:p>
    <w:p w14:paraId="72266941" w14:textId="77777777" w:rsidR="002653E8" w:rsidRPr="00846956" w:rsidRDefault="003115E3">
      <w:pPr>
        <w:spacing w:before="32"/>
        <w:ind w:left="264"/>
        <w:rPr>
          <w:sz w:val="16"/>
          <w:lang w:val="de-DE"/>
        </w:rPr>
      </w:pPr>
      <w:r w:rsidRPr="00846956">
        <w:rPr>
          <w:color w:val="231F20"/>
          <w:sz w:val="16"/>
          <w:lang w:val="de-DE"/>
        </w:rPr>
        <w:t>Wegener, Ulrich 193</w:t>
      </w:r>
    </w:p>
    <w:p w14:paraId="46A0D242" w14:textId="77777777" w:rsidR="002653E8" w:rsidRPr="00846956" w:rsidRDefault="003115E3">
      <w:pPr>
        <w:spacing w:before="32"/>
        <w:ind w:left="264"/>
        <w:rPr>
          <w:sz w:val="16"/>
          <w:lang w:val="de-DE"/>
        </w:rPr>
      </w:pPr>
      <w:r w:rsidRPr="00846956">
        <w:rPr>
          <w:color w:val="231F20"/>
          <w:sz w:val="16"/>
          <w:lang w:val="de-DE"/>
        </w:rPr>
        <w:t>Wehner, Herbert 148</w:t>
      </w:r>
    </w:p>
    <w:p w14:paraId="22AEFA55" w14:textId="77777777" w:rsidR="002653E8" w:rsidRPr="00846956" w:rsidRDefault="003115E3">
      <w:pPr>
        <w:spacing w:before="33"/>
        <w:ind w:left="264"/>
        <w:rPr>
          <w:sz w:val="16"/>
          <w:lang w:val="de-DE"/>
        </w:rPr>
      </w:pPr>
      <w:r w:rsidRPr="00846956">
        <w:rPr>
          <w:color w:val="231F20"/>
          <w:w w:val="105"/>
          <w:sz w:val="16"/>
          <w:lang w:val="de-DE"/>
        </w:rPr>
        <w:t>Weinrich, Johannes 339</w:t>
      </w:r>
      <w:r w:rsidRPr="00846956">
        <w:rPr>
          <w:i/>
          <w:color w:val="231F20"/>
          <w:w w:val="105"/>
          <w:sz w:val="16"/>
          <w:lang w:val="de-DE"/>
        </w:rPr>
        <w:t xml:space="preserve">, </w:t>
      </w:r>
      <w:r w:rsidRPr="00846956">
        <w:rPr>
          <w:color w:val="231F20"/>
          <w:w w:val="105"/>
          <w:sz w:val="16"/>
          <w:lang w:val="de-DE"/>
        </w:rPr>
        <w:t>482</w:t>
      </w:r>
      <w:r w:rsidRPr="00846956">
        <w:rPr>
          <w:i/>
          <w:color w:val="231F20"/>
          <w:w w:val="105"/>
          <w:sz w:val="16"/>
          <w:lang w:val="de-DE"/>
        </w:rPr>
        <w:t xml:space="preserve">, </w:t>
      </w:r>
      <w:r w:rsidRPr="00846956">
        <w:rPr>
          <w:color w:val="231F20"/>
          <w:w w:val="105"/>
          <w:sz w:val="16"/>
          <w:lang w:val="de-DE"/>
        </w:rPr>
        <w:t>561</w:t>
      </w:r>
      <w:r w:rsidRPr="00846956">
        <w:rPr>
          <w:i/>
          <w:color w:val="231F20"/>
          <w:w w:val="105"/>
          <w:sz w:val="16"/>
          <w:lang w:val="de-DE"/>
        </w:rPr>
        <w:t xml:space="preserve">, </w:t>
      </w:r>
      <w:r w:rsidRPr="00846956">
        <w:rPr>
          <w:color w:val="231F20"/>
          <w:w w:val="105"/>
          <w:sz w:val="16"/>
          <w:lang w:val="de-DE"/>
        </w:rPr>
        <w:t>577</w:t>
      </w:r>
    </w:p>
    <w:p w14:paraId="2DC645E1" w14:textId="77777777" w:rsidR="002653E8" w:rsidRPr="00846956" w:rsidRDefault="003115E3">
      <w:pPr>
        <w:spacing w:before="32"/>
        <w:ind w:left="264"/>
        <w:rPr>
          <w:sz w:val="16"/>
          <w:lang w:val="de-DE"/>
        </w:rPr>
      </w:pPr>
      <w:r w:rsidRPr="00846956">
        <w:rPr>
          <w:color w:val="231F20"/>
          <w:w w:val="105"/>
          <w:sz w:val="16"/>
          <w:lang w:val="de-DE"/>
        </w:rPr>
        <w:t>Weissbecker, Tommy 123</w:t>
      </w:r>
      <w:r w:rsidRPr="00846956">
        <w:rPr>
          <w:i/>
          <w:color w:val="231F20"/>
          <w:w w:val="105"/>
          <w:sz w:val="16"/>
          <w:lang w:val="de-DE"/>
        </w:rPr>
        <w:t xml:space="preserve">, </w:t>
      </w:r>
      <w:r w:rsidRPr="00846956">
        <w:rPr>
          <w:color w:val="231F20"/>
          <w:w w:val="105"/>
          <w:sz w:val="16"/>
          <w:lang w:val="de-DE"/>
        </w:rPr>
        <w:t>577</w:t>
      </w:r>
      <w:r w:rsidRPr="00846956">
        <w:rPr>
          <w:i/>
          <w:color w:val="231F20"/>
          <w:w w:val="105"/>
          <w:sz w:val="16"/>
          <w:lang w:val="de-DE"/>
        </w:rPr>
        <w:t xml:space="preserve">, </w:t>
      </w:r>
      <w:r w:rsidRPr="00846956">
        <w:rPr>
          <w:color w:val="231F20"/>
          <w:w w:val="105"/>
          <w:sz w:val="16"/>
          <w:lang w:val="de-DE"/>
        </w:rPr>
        <w:t>587;</w:t>
      </w:r>
    </w:p>
    <w:p w14:paraId="2A7388A7" w14:textId="77777777" w:rsidR="002653E8" w:rsidRDefault="003115E3">
      <w:pPr>
        <w:spacing w:before="33"/>
        <w:ind w:left="464"/>
        <w:rPr>
          <w:i/>
          <w:sz w:val="16"/>
        </w:rPr>
      </w:pPr>
      <w:r>
        <w:rPr>
          <w:color w:val="231F20"/>
          <w:w w:val="105"/>
          <w:sz w:val="16"/>
        </w:rPr>
        <w:t xml:space="preserve">death mentioned by </w:t>
      </w:r>
      <w:r w:rsidR="00C507A5">
        <w:rPr>
          <w:color w:val="231F20"/>
          <w:w w:val="105"/>
          <w:sz w:val="16"/>
        </w:rPr>
        <w:t>red army faction</w:t>
      </w:r>
      <w:r>
        <w:rPr>
          <w:color w:val="231F20"/>
          <w:w w:val="105"/>
          <w:sz w:val="16"/>
        </w:rPr>
        <w:t xml:space="preserve"> 124</w:t>
      </w:r>
      <w:r>
        <w:rPr>
          <w:i/>
          <w:color w:val="231F20"/>
          <w:w w:val="105"/>
          <w:sz w:val="16"/>
        </w:rPr>
        <w:t xml:space="preserve">, </w:t>
      </w:r>
      <w:r>
        <w:rPr>
          <w:color w:val="231F20"/>
          <w:w w:val="105"/>
          <w:sz w:val="16"/>
        </w:rPr>
        <w:t>175</w:t>
      </w:r>
      <w:r>
        <w:rPr>
          <w:i/>
          <w:color w:val="231F20"/>
          <w:w w:val="105"/>
          <w:sz w:val="16"/>
        </w:rPr>
        <w:t>,</w:t>
      </w:r>
    </w:p>
    <w:p w14:paraId="2D4E4630" w14:textId="77777777" w:rsidR="002653E8" w:rsidRDefault="003115E3">
      <w:pPr>
        <w:spacing w:before="32"/>
        <w:ind w:left="464"/>
        <w:rPr>
          <w:i/>
          <w:sz w:val="16"/>
        </w:rPr>
      </w:pPr>
      <w:r>
        <w:rPr>
          <w:color w:val="231F20"/>
          <w:sz w:val="16"/>
        </w:rPr>
        <w:t>183</w:t>
      </w:r>
      <w:r>
        <w:rPr>
          <w:i/>
          <w:color w:val="231F20"/>
          <w:sz w:val="16"/>
        </w:rPr>
        <w:t xml:space="preserve">, </w:t>
      </w:r>
      <w:r>
        <w:rPr>
          <w:color w:val="231F20"/>
          <w:sz w:val="16"/>
        </w:rPr>
        <w:t>233; killed by police (1972) 114</w:t>
      </w:r>
      <w:r>
        <w:rPr>
          <w:i/>
          <w:color w:val="231F20"/>
          <w:sz w:val="16"/>
        </w:rPr>
        <w:t>,</w:t>
      </w:r>
    </w:p>
    <w:p w14:paraId="2EE758E9" w14:textId="77777777" w:rsidR="002653E8" w:rsidRDefault="003115E3">
      <w:pPr>
        <w:spacing w:before="33"/>
        <w:ind w:left="464"/>
        <w:rPr>
          <w:sz w:val="16"/>
        </w:rPr>
      </w:pPr>
      <w:r>
        <w:rPr>
          <w:color w:val="231F20"/>
          <w:w w:val="105"/>
          <w:sz w:val="16"/>
        </w:rPr>
        <w:t xml:space="preserve">589; and </w:t>
      </w:r>
      <w:r w:rsidR="00C507A5">
        <w:rPr>
          <w:color w:val="231F20"/>
          <w:w w:val="105"/>
          <w:sz w:val="16"/>
        </w:rPr>
        <w:t>red army faction</w:t>
      </w:r>
      <w:r>
        <w:rPr>
          <w:color w:val="231F20"/>
          <w:w w:val="105"/>
          <w:sz w:val="16"/>
        </w:rPr>
        <w:t xml:space="preserve"> 587</w:t>
      </w:r>
    </w:p>
    <w:p w14:paraId="7C4AA255" w14:textId="77777777" w:rsidR="002653E8" w:rsidRPr="00846956" w:rsidRDefault="003115E3">
      <w:pPr>
        <w:spacing w:before="32"/>
        <w:ind w:left="264"/>
        <w:rPr>
          <w:sz w:val="16"/>
          <w:lang w:val="de-DE"/>
        </w:rPr>
      </w:pPr>
      <w:r w:rsidRPr="00846956">
        <w:rPr>
          <w:color w:val="231F20"/>
          <w:sz w:val="16"/>
          <w:lang w:val="de-DE"/>
        </w:rPr>
        <w:t>Weiss, Peter 597</w:t>
      </w:r>
    </w:p>
    <w:p w14:paraId="56427FDA" w14:textId="77777777" w:rsidR="002653E8" w:rsidRPr="00846956" w:rsidRDefault="003115E3">
      <w:pPr>
        <w:spacing w:before="32"/>
        <w:ind w:left="264"/>
        <w:rPr>
          <w:sz w:val="16"/>
          <w:lang w:val="de-DE"/>
        </w:rPr>
      </w:pPr>
      <w:r w:rsidRPr="00846956">
        <w:rPr>
          <w:color w:val="231F20"/>
          <w:sz w:val="16"/>
          <w:lang w:val="de-DE"/>
        </w:rPr>
        <w:t>Weizsäcker, Richard von 621</w:t>
      </w:r>
      <w:r w:rsidRPr="00846956">
        <w:rPr>
          <w:i/>
          <w:color w:val="231F20"/>
          <w:sz w:val="16"/>
          <w:lang w:val="de-DE"/>
        </w:rPr>
        <w:t xml:space="preserve">, </w:t>
      </w:r>
      <w:r w:rsidRPr="00846956">
        <w:rPr>
          <w:color w:val="231F20"/>
          <w:sz w:val="16"/>
          <w:lang w:val="de-DE"/>
        </w:rPr>
        <w:t>624</w:t>
      </w:r>
    </w:p>
    <w:p w14:paraId="502FBA77" w14:textId="77777777" w:rsidR="002653E8" w:rsidRPr="00846956" w:rsidRDefault="002653E8">
      <w:pPr>
        <w:rPr>
          <w:sz w:val="16"/>
          <w:lang w:val="de-DE"/>
        </w:rPr>
        <w:sectPr w:rsidR="002653E8" w:rsidRPr="00846956">
          <w:footerReference w:type="even" r:id="rId644"/>
          <w:footerReference w:type="default" r:id="rId645"/>
          <w:pgSz w:w="8640" w:h="12960"/>
          <w:pgMar w:top="1080" w:right="0" w:bottom="1040" w:left="0" w:header="0" w:footer="846" w:gutter="0"/>
          <w:cols w:num="2" w:space="720" w:equalWidth="0">
            <w:col w:w="4066" w:space="40"/>
            <w:col w:w="4534"/>
          </w:cols>
        </w:sectPr>
      </w:pPr>
    </w:p>
    <w:p w14:paraId="52115320" w14:textId="77777777" w:rsidR="002653E8" w:rsidRPr="00846956" w:rsidRDefault="003115E3">
      <w:pPr>
        <w:spacing w:before="86"/>
        <w:ind w:left="1327"/>
        <w:rPr>
          <w:sz w:val="16"/>
          <w:lang w:val="de-DE"/>
        </w:rPr>
      </w:pPr>
      <w:r w:rsidRPr="00846956">
        <w:rPr>
          <w:i/>
          <w:color w:val="231F20"/>
          <w:w w:val="110"/>
          <w:sz w:val="16"/>
          <w:lang w:val="de-DE"/>
        </w:rPr>
        <w:lastRenderedPageBreak/>
        <w:t xml:space="preserve">Die Welt </w:t>
      </w:r>
      <w:r w:rsidRPr="00846956">
        <w:rPr>
          <w:color w:val="231F20"/>
          <w:w w:val="110"/>
          <w:sz w:val="16"/>
          <w:lang w:val="de-DE"/>
        </w:rPr>
        <w:t>129</w:t>
      </w:r>
      <w:r w:rsidRPr="00846956">
        <w:rPr>
          <w:i/>
          <w:color w:val="231F20"/>
          <w:w w:val="110"/>
          <w:sz w:val="16"/>
          <w:lang w:val="de-DE"/>
        </w:rPr>
        <w:t xml:space="preserve">, </w:t>
      </w:r>
      <w:r w:rsidRPr="00846956">
        <w:rPr>
          <w:color w:val="231F20"/>
          <w:w w:val="110"/>
          <w:sz w:val="16"/>
          <w:lang w:val="de-DE"/>
        </w:rPr>
        <w:t>533</w:t>
      </w:r>
      <w:r w:rsidRPr="00846956">
        <w:rPr>
          <w:i/>
          <w:color w:val="231F20"/>
          <w:w w:val="110"/>
          <w:sz w:val="16"/>
          <w:lang w:val="de-DE"/>
        </w:rPr>
        <w:t xml:space="preserve">, </w:t>
      </w:r>
      <w:r w:rsidRPr="00846956">
        <w:rPr>
          <w:color w:val="231F20"/>
          <w:w w:val="110"/>
          <w:sz w:val="16"/>
          <w:lang w:val="de-DE"/>
        </w:rPr>
        <w:t>553</w:t>
      </w:r>
    </w:p>
    <w:p w14:paraId="7DAEE20A" w14:textId="77777777" w:rsidR="002653E8" w:rsidRPr="00846956" w:rsidRDefault="003115E3">
      <w:pPr>
        <w:spacing w:before="33"/>
        <w:ind w:left="1327"/>
        <w:rPr>
          <w:sz w:val="16"/>
          <w:lang w:val="de-DE"/>
        </w:rPr>
      </w:pPr>
      <w:r w:rsidRPr="00846956">
        <w:rPr>
          <w:color w:val="231F20"/>
          <w:sz w:val="16"/>
          <w:lang w:val="de-DE"/>
        </w:rPr>
        <w:t>Wessel, Ulrich 334</w:t>
      </w:r>
      <w:r w:rsidRPr="00846956">
        <w:rPr>
          <w:i/>
          <w:color w:val="231F20"/>
          <w:sz w:val="16"/>
          <w:lang w:val="de-DE"/>
        </w:rPr>
        <w:t xml:space="preserve">, </w:t>
      </w:r>
      <w:r w:rsidRPr="00846956">
        <w:rPr>
          <w:color w:val="231F20"/>
          <w:sz w:val="16"/>
          <w:lang w:val="de-DE"/>
        </w:rPr>
        <w:t>577</w:t>
      </w:r>
      <w:r w:rsidRPr="00846956">
        <w:rPr>
          <w:i/>
          <w:color w:val="231F20"/>
          <w:sz w:val="16"/>
          <w:lang w:val="de-DE"/>
        </w:rPr>
        <w:t xml:space="preserve">, </w:t>
      </w:r>
      <w:r w:rsidRPr="00846956">
        <w:rPr>
          <w:color w:val="231F20"/>
          <w:sz w:val="16"/>
          <w:lang w:val="de-DE"/>
        </w:rPr>
        <w:t>597</w:t>
      </w:r>
    </w:p>
    <w:p w14:paraId="39229DA8" w14:textId="77777777" w:rsidR="002653E8" w:rsidRPr="00846956" w:rsidRDefault="003115E3">
      <w:pPr>
        <w:spacing w:before="32"/>
        <w:ind w:left="1327"/>
        <w:rPr>
          <w:i/>
          <w:sz w:val="16"/>
          <w:lang w:val="de-DE"/>
        </w:rPr>
      </w:pPr>
      <w:r w:rsidRPr="00846956">
        <w:rPr>
          <w:color w:val="231F20"/>
          <w:sz w:val="16"/>
          <w:lang w:val="de-DE"/>
        </w:rPr>
        <w:t>West Berlin 29–30</w:t>
      </w:r>
      <w:r w:rsidRPr="00846956">
        <w:rPr>
          <w:i/>
          <w:color w:val="231F20"/>
          <w:sz w:val="16"/>
          <w:lang w:val="de-DE"/>
        </w:rPr>
        <w:t xml:space="preserve">, </w:t>
      </w:r>
      <w:r w:rsidRPr="00846956">
        <w:rPr>
          <w:color w:val="231F20"/>
          <w:sz w:val="16"/>
          <w:lang w:val="de-DE"/>
        </w:rPr>
        <w:t>46; draft dodgers 30</w:t>
      </w:r>
      <w:r w:rsidRPr="00846956">
        <w:rPr>
          <w:i/>
          <w:color w:val="231F20"/>
          <w:sz w:val="16"/>
          <w:lang w:val="de-DE"/>
        </w:rPr>
        <w:t>,</w:t>
      </w:r>
    </w:p>
    <w:p w14:paraId="000711F9" w14:textId="77777777" w:rsidR="002653E8" w:rsidRDefault="003115E3">
      <w:pPr>
        <w:spacing w:before="33"/>
        <w:ind w:left="1527"/>
        <w:rPr>
          <w:sz w:val="16"/>
        </w:rPr>
      </w:pPr>
      <w:r>
        <w:rPr>
          <w:color w:val="231F20"/>
          <w:sz w:val="16"/>
        </w:rPr>
        <w:t>115</w:t>
      </w:r>
    </w:p>
    <w:p w14:paraId="2A492C10" w14:textId="77777777" w:rsidR="002653E8" w:rsidRDefault="003115E3">
      <w:pPr>
        <w:spacing w:before="32" w:line="280" w:lineRule="auto"/>
        <w:ind w:left="1327" w:right="125" w:hanging="1"/>
        <w:rPr>
          <w:sz w:val="16"/>
        </w:rPr>
      </w:pPr>
      <w:r>
        <w:rPr>
          <w:color w:val="231F20"/>
          <w:sz w:val="16"/>
        </w:rPr>
        <w:t>West Berlin Senate</w:t>
      </w:r>
      <w:r>
        <w:rPr>
          <w:i/>
          <w:color w:val="231F20"/>
          <w:sz w:val="16"/>
        </w:rPr>
        <w:t xml:space="preserve">. See </w:t>
      </w:r>
      <w:r>
        <w:rPr>
          <w:color w:val="231F20"/>
          <w:sz w:val="16"/>
        </w:rPr>
        <w:t>Berlin Senate West Berlin Supreme Court 262</w:t>
      </w:r>
      <w:r>
        <w:rPr>
          <w:i/>
          <w:color w:val="231F20"/>
          <w:sz w:val="16"/>
        </w:rPr>
        <w:t xml:space="preserve">, </w:t>
      </w:r>
      <w:r>
        <w:rPr>
          <w:color w:val="231F20"/>
          <w:sz w:val="16"/>
        </w:rPr>
        <w:t>595 West Berlin Technical University 257 West Berlin Women’s Center 445</w:t>
      </w:r>
      <w:r>
        <w:rPr>
          <w:i/>
          <w:color w:val="231F20"/>
          <w:sz w:val="16"/>
        </w:rPr>
        <w:t xml:space="preserve">, </w:t>
      </w:r>
      <w:r>
        <w:rPr>
          <w:color w:val="231F20"/>
          <w:sz w:val="16"/>
        </w:rPr>
        <w:t>446</w:t>
      </w:r>
    </w:p>
    <w:p w14:paraId="542C3AE7" w14:textId="77777777" w:rsidR="002653E8" w:rsidRPr="00846956" w:rsidRDefault="003115E3">
      <w:pPr>
        <w:spacing w:before="2"/>
        <w:ind w:left="1327"/>
        <w:rPr>
          <w:sz w:val="16"/>
          <w:lang w:val="de-DE"/>
        </w:rPr>
      </w:pPr>
      <w:r w:rsidRPr="00846956">
        <w:rPr>
          <w:color w:val="231F20"/>
          <w:sz w:val="16"/>
          <w:lang w:val="de-DE"/>
        </w:rPr>
        <w:t>Westmoreland, William  81</w:t>
      </w:r>
    </w:p>
    <w:p w14:paraId="3FDC9645" w14:textId="77777777" w:rsidR="002653E8" w:rsidRPr="00846956" w:rsidRDefault="003115E3">
      <w:pPr>
        <w:spacing w:before="32"/>
        <w:ind w:left="1327"/>
        <w:rPr>
          <w:sz w:val="16"/>
          <w:lang w:val="de-DE"/>
        </w:rPr>
      </w:pPr>
      <w:r w:rsidRPr="00846956">
        <w:rPr>
          <w:color w:val="231F20"/>
          <w:w w:val="105"/>
          <w:sz w:val="16"/>
          <w:lang w:val="de-DE"/>
        </w:rPr>
        <w:t>Weyer, Willy  103</w:t>
      </w:r>
      <w:r w:rsidRPr="00846956">
        <w:rPr>
          <w:i/>
          <w:color w:val="231F20"/>
          <w:w w:val="105"/>
          <w:sz w:val="16"/>
          <w:lang w:val="de-DE"/>
        </w:rPr>
        <w:t xml:space="preserve">, </w:t>
      </w:r>
      <w:r w:rsidRPr="00846956">
        <w:rPr>
          <w:color w:val="231F20"/>
          <w:w w:val="105"/>
          <w:sz w:val="16"/>
          <w:lang w:val="de-DE"/>
        </w:rPr>
        <w:t>104</w:t>
      </w:r>
      <w:r w:rsidRPr="00846956">
        <w:rPr>
          <w:i/>
          <w:color w:val="231F20"/>
          <w:w w:val="105"/>
          <w:sz w:val="16"/>
          <w:lang w:val="de-DE"/>
        </w:rPr>
        <w:t xml:space="preserve">, </w:t>
      </w:r>
      <w:r w:rsidRPr="00846956">
        <w:rPr>
          <w:color w:val="231F20"/>
          <w:w w:val="105"/>
          <w:sz w:val="16"/>
          <w:lang w:val="de-DE"/>
        </w:rPr>
        <w:t>139</w:t>
      </w:r>
    </w:p>
    <w:p w14:paraId="0C7DB38E" w14:textId="77777777" w:rsidR="002653E8" w:rsidRPr="00846956" w:rsidRDefault="003115E3">
      <w:pPr>
        <w:spacing w:before="33"/>
        <w:ind w:left="1327"/>
        <w:rPr>
          <w:sz w:val="16"/>
          <w:lang w:val="de-DE"/>
        </w:rPr>
      </w:pPr>
      <w:r w:rsidRPr="00846956">
        <w:rPr>
          <w:color w:val="231F20"/>
          <w:sz w:val="16"/>
          <w:lang w:val="de-DE"/>
        </w:rPr>
        <w:t>Wieland Kommune 581</w:t>
      </w:r>
    </w:p>
    <w:p w14:paraId="4D5E03EF" w14:textId="77777777" w:rsidR="002653E8" w:rsidRPr="00846956" w:rsidRDefault="003115E3">
      <w:pPr>
        <w:spacing w:before="32"/>
        <w:ind w:left="1327"/>
        <w:rPr>
          <w:i/>
          <w:sz w:val="16"/>
          <w:lang w:val="de-DE"/>
        </w:rPr>
      </w:pPr>
      <w:r w:rsidRPr="00846956">
        <w:rPr>
          <w:color w:val="231F20"/>
          <w:w w:val="105"/>
          <w:sz w:val="16"/>
          <w:lang w:val="de-DE"/>
        </w:rPr>
        <w:t>Wischnewski, Hans Jürgen 480</w:t>
      </w:r>
      <w:r w:rsidRPr="00846956">
        <w:rPr>
          <w:i/>
          <w:color w:val="231F20"/>
          <w:w w:val="105"/>
          <w:sz w:val="16"/>
          <w:lang w:val="de-DE"/>
        </w:rPr>
        <w:t xml:space="preserve">, </w:t>
      </w:r>
      <w:r w:rsidRPr="00846956">
        <w:rPr>
          <w:color w:val="231F20"/>
          <w:w w:val="105"/>
          <w:sz w:val="16"/>
          <w:lang w:val="de-DE"/>
        </w:rPr>
        <w:t>484</w:t>
      </w:r>
      <w:r w:rsidRPr="00846956">
        <w:rPr>
          <w:i/>
          <w:color w:val="231F20"/>
          <w:w w:val="105"/>
          <w:sz w:val="16"/>
          <w:lang w:val="de-DE"/>
        </w:rPr>
        <w:t>,</w:t>
      </w:r>
    </w:p>
    <w:p w14:paraId="2AC9CE41" w14:textId="77777777" w:rsidR="002653E8" w:rsidRDefault="003115E3">
      <w:pPr>
        <w:spacing w:before="33"/>
        <w:ind w:left="1527"/>
        <w:rPr>
          <w:sz w:val="16"/>
        </w:rPr>
      </w:pPr>
      <w:r>
        <w:rPr>
          <w:color w:val="231F20"/>
          <w:w w:val="105"/>
          <w:sz w:val="16"/>
        </w:rPr>
        <w:t>485</w:t>
      </w:r>
      <w:r>
        <w:rPr>
          <w:i/>
          <w:color w:val="231F20"/>
          <w:w w:val="105"/>
          <w:sz w:val="16"/>
        </w:rPr>
        <w:t xml:space="preserve">, </w:t>
      </w:r>
      <w:r>
        <w:rPr>
          <w:color w:val="231F20"/>
          <w:w w:val="105"/>
          <w:sz w:val="16"/>
        </w:rPr>
        <w:t>578</w:t>
      </w:r>
      <w:r>
        <w:rPr>
          <w:i/>
          <w:color w:val="231F20"/>
          <w:w w:val="105"/>
          <w:sz w:val="16"/>
        </w:rPr>
        <w:t xml:space="preserve">, </w:t>
      </w:r>
      <w:r>
        <w:rPr>
          <w:color w:val="231F20"/>
          <w:w w:val="105"/>
          <w:sz w:val="16"/>
        </w:rPr>
        <w:t>607</w:t>
      </w:r>
      <w:r>
        <w:rPr>
          <w:i/>
          <w:color w:val="231F20"/>
          <w:w w:val="105"/>
          <w:sz w:val="16"/>
        </w:rPr>
        <w:t xml:space="preserve">, </w:t>
      </w:r>
      <w:r>
        <w:rPr>
          <w:color w:val="231F20"/>
          <w:w w:val="105"/>
          <w:sz w:val="16"/>
        </w:rPr>
        <w:t>608; mentioned by</w:t>
      </w:r>
      <w:r>
        <w:rPr>
          <w:color w:val="231F20"/>
          <w:spacing w:val="-22"/>
          <w:w w:val="105"/>
          <w:sz w:val="16"/>
        </w:rPr>
        <w:t xml:space="preserve"> </w:t>
      </w:r>
      <w:r w:rsidR="00C507A5">
        <w:rPr>
          <w:color w:val="231F20"/>
          <w:w w:val="105"/>
          <w:sz w:val="16"/>
        </w:rPr>
        <w:t>red army faction</w:t>
      </w:r>
    </w:p>
    <w:p w14:paraId="1AFA52B5" w14:textId="77777777" w:rsidR="002653E8" w:rsidRDefault="003115E3">
      <w:pPr>
        <w:spacing w:before="32"/>
        <w:ind w:left="1527"/>
        <w:rPr>
          <w:sz w:val="16"/>
        </w:rPr>
      </w:pPr>
      <w:r>
        <w:rPr>
          <w:color w:val="231F20"/>
          <w:w w:val="105"/>
          <w:sz w:val="16"/>
        </w:rPr>
        <w:t>232</w:t>
      </w:r>
      <w:r>
        <w:rPr>
          <w:i/>
          <w:color w:val="231F20"/>
          <w:w w:val="105"/>
          <w:sz w:val="16"/>
        </w:rPr>
        <w:t xml:space="preserve">, </w:t>
      </w:r>
      <w:r>
        <w:rPr>
          <w:color w:val="231F20"/>
          <w:w w:val="105"/>
          <w:sz w:val="16"/>
        </w:rPr>
        <w:t>501</w:t>
      </w:r>
    </w:p>
    <w:p w14:paraId="10439AFC" w14:textId="77777777" w:rsidR="002653E8" w:rsidRDefault="003115E3">
      <w:pPr>
        <w:spacing w:before="33"/>
        <w:ind w:left="1327"/>
        <w:rPr>
          <w:sz w:val="16"/>
        </w:rPr>
      </w:pPr>
      <w:r>
        <w:rPr>
          <w:color w:val="231F20"/>
          <w:sz w:val="16"/>
        </w:rPr>
        <w:t>Wisniewski, Stefan 578</w:t>
      </w:r>
      <w:r>
        <w:rPr>
          <w:i/>
          <w:color w:val="231F20"/>
          <w:sz w:val="16"/>
        </w:rPr>
        <w:t xml:space="preserve">, </w:t>
      </w:r>
      <w:r>
        <w:rPr>
          <w:color w:val="231F20"/>
          <w:sz w:val="16"/>
        </w:rPr>
        <w:t>627; Buback</w:t>
      </w:r>
    </w:p>
    <w:p w14:paraId="0C9D75FD" w14:textId="77777777" w:rsidR="002653E8" w:rsidRDefault="003115E3">
      <w:pPr>
        <w:spacing w:before="32"/>
        <w:ind w:left="1527"/>
        <w:rPr>
          <w:sz w:val="16"/>
        </w:rPr>
      </w:pPr>
      <w:r>
        <w:rPr>
          <w:color w:val="231F20"/>
          <w:sz w:val="16"/>
        </w:rPr>
        <w:t>assassination 614</w:t>
      </w:r>
      <w:r>
        <w:rPr>
          <w:i/>
          <w:color w:val="231F20"/>
          <w:sz w:val="16"/>
        </w:rPr>
        <w:t xml:space="preserve">, </w:t>
      </w:r>
      <w:r>
        <w:rPr>
          <w:color w:val="231F20"/>
          <w:sz w:val="16"/>
        </w:rPr>
        <w:t>627; captured</w:t>
      </w:r>
    </w:p>
    <w:p w14:paraId="0FC4267B" w14:textId="77777777" w:rsidR="002653E8" w:rsidRDefault="003115E3">
      <w:pPr>
        <w:spacing w:before="32"/>
        <w:ind w:left="1527"/>
        <w:rPr>
          <w:sz w:val="16"/>
        </w:rPr>
      </w:pPr>
      <w:r>
        <w:rPr>
          <w:color w:val="231F20"/>
          <w:w w:val="105"/>
          <w:sz w:val="16"/>
        </w:rPr>
        <w:t>(1978) 529</w:t>
      </w:r>
      <w:r>
        <w:rPr>
          <w:i/>
          <w:color w:val="231F20"/>
          <w:w w:val="105"/>
          <w:sz w:val="16"/>
        </w:rPr>
        <w:t xml:space="preserve">, </w:t>
      </w:r>
      <w:r>
        <w:rPr>
          <w:color w:val="231F20"/>
          <w:w w:val="105"/>
          <w:sz w:val="16"/>
        </w:rPr>
        <w:t>610; death of Holger</w:t>
      </w:r>
    </w:p>
    <w:p w14:paraId="7304FFAB" w14:textId="77777777" w:rsidR="002653E8" w:rsidRDefault="003115E3">
      <w:pPr>
        <w:spacing w:before="33" w:line="280" w:lineRule="auto"/>
        <w:ind w:left="1527" w:right="10"/>
        <w:rPr>
          <w:sz w:val="16"/>
        </w:rPr>
      </w:pPr>
      <w:r>
        <w:rPr>
          <w:color w:val="231F20"/>
          <w:w w:val="105"/>
          <w:sz w:val="16"/>
        </w:rPr>
        <w:t>Meins 262; released (1999) 626; on SAWIO skyjacking (1977, Mogadishu) 482</w:t>
      </w:r>
      <w:r>
        <w:rPr>
          <w:i/>
          <w:color w:val="231F20"/>
          <w:w w:val="105"/>
          <w:sz w:val="16"/>
        </w:rPr>
        <w:t xml:space="preserve">, </w:t>
      </w:r>
      <w:r>
        <w:rPr>
          <w:color w:val="231F20"/>
          <w:w w:val="105"/>
          <w:sz w:val="16"/>
        </w:rPr>
        <w:t>485; Schleyer kidnapping 627;</w:t>
      </w:r>
    </w:p>
    <w:p w14:paraId="21D12BCC" w14:textId="77777777" w:rsidR="002653E8" w:rsidRDefault="003115E3">
      <w:pPr>
        <w:spacing w:before="1"/>
        <w:ind w:left="1527"/>
        <w:rPr>
          <w:sz w:val="16"/>
        </w:rPr>
      </w:pPr>
      <w:r>
        <w:rPr>
          <w:color w:val="231F20"/>
          <w:sz w:val="16"/>
        </w:rPr>
        <w:t>trial (1981) 614</w:t>
      </w:r>
      <w:r>
        <w:rPr>
          <w:i/>
          <w:color w:val="231F20"/>
          <w:sz w:val="16"/>
        </w:rPr>
        <w:t xml:space="preserve">, </w:t>
      </w:r>
      <w:r>
        <w:rPr>
          <w:color w:val="231F20"/>
          <w:sz w:val="16"/>
        </w:rPr>
        <w:t>623</w:t>
      </w:r>
    </w:p>
    <w:p w14:paraId="708A0181" w14:textId="77777777" w:rsidR="002653E8" w:rsidRDefault="003115E3">
      <w:pPr>
        <w:spacing w:before="33"/>
        <w:ind w:left="1327"/>
        <w:rPr>
          <w:sz w:val="16"/>
        </w:rPr>
      </w:pPr>
      <w:r>
        <w:rPr>
          <w:color w:val="231F20"/>
          <w:w w:val="105"/>
          <w:sz w:val="16"/>
        </w:rPr>
        <w:t>Witter, Hermann 241</w:t>
      </w:r>
      <w:r>
        <w:rPr>
          <w:i/>
          <w:color w:val="231F20"/>
          <w:w w:val="105"/>
          <w:sz w:val="16"/>
        </w:rPr>
        <w:t xml:space="preserve">, </w:t>
      </w:r>
      <w:r>
        <w:rPr>
          <w:color w:val="231F20"/>
          <w:w w:val="105"/>
          <w:sz w:val="16"/>
        </w:rPr>
        <w:t>319</w:t>
      </w:r>
      <w:r>
        <w:rPr>
          <w:i/>
          <w:color w:val="231F20"/>
          <w:w w:val="105"/>
          <w:sz w:val="16"/>
        </w:rPr>
        <w:t xml:space="preserve">, </w:t>
      </w:r>
      <w:r>
        <w:rPr>
          <w:color w:val="231F20"/>
          <w:w w:val="105"/>
          <w:sz w:val="16"/>
        </w:rPr>
        <w:t>411</w:t>
      </w:r>
      <w:r>
        <w:rPr>
          <w:i/>
          <w:color w:val="231F20"/>
          <w:w w:val="105"/>
          <w:sz w:val="16"/>
        </w:rPr>
        <w:t xml:space="preserve">, </w:t>
      </w:r>
      <w:r>
        <w:rPr>
          <w:color w:val="231F20"/>
          <w:w w:val="105"/>
          <w:sz w:val="16"/>
        </w:rPr>
        <w:t>578</w:t>
      </w:r>
    </w:p>
    <w:p w14:paraId="7968AE3E" w14:textId="77777777" w:rsidR="002653E8" w:rsidRDefault="003115E3">
      <w:pPr>
        <w:spacing w:before="32"/>
        <w:ind w:left="1327"/>
        <w:rPr>
          <w:sz w:val="16"/>
        </w:rPr>
      </w:pPr>
      <w:r>
        <w:rPr>
          <w:color w:val="231F20"/>
          <w:w w:val="105"/>
          <w:sz w:val="16"/>
        </w:rPr>
        <w:t>Wolf, Markus 4</w:t>
      </w:r>
    </w:p>
    <w:p w14:paraId="3FF16E72" w14:textId="77777777" w:rsidR="002653E8" w:rsidRDefault="003115E3">
      <w:pPr>
        <w:spacing w:before="33" w:line="280" w:lineRule="auto"/>
        <w:ind w:left="1327"/>
        <w:rPr>
          <w:i/>
          <w:sz w:val="16"/>
        </w:rPr>
      </w:pPr>
      <w:r>
        <w:rPr>
          <w:color w:val="231F20"/>
          <w:sz w:val="16"/>
        </w:rPr>
        <w:t>Women Against Imperialist War 536 Women’s liberation movement 390</w:t>
      </w:r>
      <w:r>
        <w:rPr>
          <w:i/>
          <w:color w:val="231F20"/>
          <w:sz w:val="16"/>
        </w:rPr>
        <w:t xml:space="preserve">, </w:t>
      </w:r>
      <w:r>
        <w:rPr>
          <w:color w:val="231F20"/>
          <w:sz w:val="16"/>
        </w:rPr>
        <w:t>437</w:t>
      </w:r>
      <w:r>
        <w:rPr>
          <w:i/>
          <w:color w:val="231F20"/>
          <w:sz w:val="16"/>
        </w:rPr>
        <w:t>,</w:t>
      </w:r>
    </w:p>
    <w:p w14:paraId="2C26D0E0" w14:textId="77777777" w:rsidR="002653E8" w:rsidRDefault="003115E3">
      <w:pPr>
        <w:spacing w:before="1"/>
        <w:ind w:left="1527"/>
        <w:rPr>
          <w:sz w:val="16"/>
        </w:rPr>
      </w:pPr>
      <w:r>
        <w:rPr>
          <w:color w:val="231F20"/>
          <w:w w:val="105"/>
          <w:sz w:val="16"/>
        </w:rPr>
        <w:t>444–448</w:t>
      </w:r>
      <w:r>
        <w:rPr>
          <w:i/>
          <w:color w:val="231F20"/>
          <w:w w:val="105"/>
          <w:sz w:val="16"/>
        </w:rPr>
        <w:t>,</w:t>
      </w:r>
      <w:r>
        <w:rPr>
          <w:i/>
          <w:color w:val="231F20"/>
          <w:spacing w:val="-20"/>
          <w:w w:val="105"/>
          <w:sz w:val="16"/>
        </w:rPr>
        <w:t xml:space="preserve"> </w:t>
      </w:r>
      <w:r>
        <w:rPr>
          <w:color w:val="231F20"/>
          <w:w w:val="105"/>
          <w:sz w:val="16"/>
        </w:rPr>
        <w:t>529–530</w:t>
      </w:r>
      <w:r>
        <w:rPr>
          <w:i/>
          <w:color w:val="231F20"/>
          <w:w w:val="105"/>
          <w:sz w:val="16"/>
        </w:rPr>
        <w:t>,</w:t>
      </w:r>
      <w:r>
        <w:rPr>
          <w:i/>
          <w:color w:val="231F20"/>
          <w:spacing w:val="-20"/>
          <w:w w:val="105"/>
          <w:sz w:val="16"/>
        </w:rPr>
        <w:t xml:space="preserve"> </w:t>
      </w:r>
      <w:r>
        <w:rPr>
          <w:color w:val="231F20"/>
          <w:w w:val="105"/>
          <w:sz w:val="16"/>
        </w:rPr>
        <w:t>535–536;</w:t>
      </w:r>
      <w:r>
        <w:rPr>
          <w:color w:val="231F20"/>
          <w:spacing w:val="-17"/>
          <w:w w:val="105"/>
          <w:sz w:val="16"/>
        </w:rPr>
        <w:t xml:space="preserve"> </w:t>
      </w:r>
      <w:r>
        <w:rPr>
          <w:color w:val="231F20"/>
          <w:w w:val="105"/>
          <w:sz w:val="16"/>
        </w:rPr>
        <w:t>abortion</w:t>
      </w:r>
    </w:p>
    <w:p w14:paraId="6827E376" w14:textId="77777777" w:rsidR="002653E8" w:rsidRDefault="003115E3">
      <w:pPr>
        <w:spacing w:before="32" w:line="280" w:lineRule="auto"/>
        <w:ind w:left="1527" w:right="125"/>
        <w:rPr>
          <w:sz w:val="16"/>
        </w:rPr>
      </w:pPr>
      <w:r>
        <w:rPr>
          <w:color w:val="231F20"/>
          <w:sz w:val="16"/>
        </w:rPr>
        <w:t>right struggle 445–447</w:t>
      </w:r>
      <w:r>
        <w:rPr>
          <w:i/>
          <w:color w:val="231F20"/>
          <w:sz w:val="16"/>
        </w:rPr>
        <w:t xml:space="preserve">, </w:t>
      </w:r>
      <w:r>
        <w:rPr>
          <w:color w:val="231F20"/>
          <w:sz w:val="16"/>
        </w:rPr>
        <w:t>535; attitude towards antinuclear movement 450; in APO 42</w:t>
      </w:r>
      <w:r>
        <w:rPr>
          <w:i/>
          <w:color w:val="231F20"/>
          <w:sz w:val="16"/>
        </w:rPr>
        <w:t xml:space="preserve">, </w:t>
      </w:r>
      <w:r>
        <w:rPr>
          <w:color w:val="231F20"/>
          <w:sz w:val="16"/>
        </w:rPr>
        <w:t>53</w:t>
      </w:r>
      <w:r>
        <w:rPr>
          <w:i/>
          <w:color w:val="231F20"/>
          <w:sz w:val="16"/>
        </w:rPr>
        <w:t xml:space="preserve">, </w:t>
      </w:r>
      <w:r>
        <w:rPr>
          <w:color w:val="231F20"/>
          <w:sz w:val="16"/>
        </w:rPr>
        <w:t>444</w:t>
      </w:r>
      <w:r>
        <w:rPr>
          <w:i/>
          <w:color w:val="231F20"/>
          <w:sz w:val="16"/>
        </w:rPr>
        <w:t xml:space="preserve">, </w:t>
      </w:r>
      <w:r>
        <w:rPr>
          <w:color w:val="231F20"/>
          <w:sz w:val="16"/>
        </w:rPr>
        <w:t>582–583; facing</w:t>
      </w:r>
    </w:p>
    <w:p w14:paraId="5D4E07A6" w14:textId="77777777" w:rsidR="002653E8" w:rsidRDefault="003115E3">
      <w:pPr>
        <w:spacing w:before="2" w:line="280" w:lineRule="auto"/>
        <w:ind w:left="1527"/>
        <w:rPr>
          <w:sz w:val="16"/>
        </w:rPr>
      </w:pPr>
      <w:r>
        <w:rPr>
          <w:color w:val="231F20"/>
          <w:sz w:val="16"/>
        </w:rPr>
        <w:t xml:space="preserve">repression 535; attitude towards the </w:t>
      </w:r>
      <w:r w:rsidR="00C507A5">
        <w:rPr>
          <w:color w:val="231F20"/>
          <w:sz w:val="16"/>
        </w:rPr>
        <w:t>red army faction</w:t>
      </w:r>
      <w:r>
        <w:rPr>
          <w:color w:val="231F20"/>
          <w:sz w:val="16"/>
        </w:rPr>
        <w:t xml:space="preserve"> 537–538</w:t>
      </w:r>
    </w:p>
    <w:p w14:paraId="158846B8" w14:textId="77777777" w:rsidR="002653E8" w:rsidRDefault="003115E3">
      <w:pPr>
        <w:spacing w:before="1" w:line="280" w:lineRule="auto"/>
        <w:ind w:left="1327"/>
        <w:rPr>
          <w:sz w:val="16"/>
        </w:rPr>
      </w:pPr>
      <w:r>
        <w:rPr>
          <w:color w:val="231F20"/>
          <w:sz w:val="16"/>
        </w:rPr>
        <w:t>Women’s Vacation House (Gaiganz) 535 Woodward, Ronald 165</w:t>
      </w:r>
    </w:p>
    <w:p w14:paraId="280DCB66" w14:textId="77777777" w:rsidR="002653E8" w:rsidRDefault="003115E3">
      <w:pPr>
        <w:spacing w:before="1"/>
        <w:ind w:left="1327"/>
        <w:rPr>
          <w:i/>
          <w:sz w:val="16"/>
        </w:rPr>
      </w:pPr>
      <w:r>
        <w:rPr>
          <w:color w:val="231F20"/>
          <w:w w:val="105"/>
          <w:sz w:val="16"/>
        </w:rPr>
        <w:t>working class 7–10</w:t>
      </w:r>
      <w:r>
        <w:rPr>
          <w:i/>
          <w:color w:val="231F20"/>
          <w:w w:val="105"/>
          <w:sz w:val="16"/>
        </w:rPr>
        <w:t xml:space="preserve">, </w:t>
      </w:r>
      <w:r>
        <w:rPr>
          <w:color w:val="231F20"/>
          <w:w w:val="105"/>
          <w:sz w:val="16"/>
        </w:rPr>
        <w:t>29</w:t>
      </w:r>
      <w:r>
        <w:rPr>
          <w:i/>
          <w:color w:val="231F20"/>
          <w:w w:val="105"/>
          <w:sz w:val="16"/>
        </w:rPr>
        <w:t xml:space="preserve">, </w:t>
      </w:r>
      <w:r>
        <w:rPr>
          <w:color w:val="231F20"/>
          <w:w w:val="105"/>
          <w:sz w:val="16"/>
        </w:rPr>
        <w:t>93</w:t>
      </w:r>
      <w:r>
        <w:rPr>
          <w:i/>
          <w:color w:val="231F20"/>
          <w:w w:val="105"/>
          <w:sz w:val="16"/>
        </w:rPr>
        <w:t xml:space="preserve">, </w:t>
      </w:r>
      <w:r>
        <w:rPr>
          <w:color w:val="231F20"/>
          <w:w w:val="105"/>
          <w:sz w:val="16"/>
        </w:rPr>
        <w:t>94</w:t>
      </w:r>
      <w:r>
        <w:rPr>
          <w:i/>
          <w:color w:val="231F20"/>
          <w:w w:val="105"/>
          <w:sz w:val="16"/>
        </w:rPr>
        <w:t>. See</w:t>
      </w:r>
    </w:p>
    <w:p w14:paraId="3440D7A1" w14:textId="77777777" w:rsidR="002653E8" w:rsidRDefault="003115E3">
      <w:pPr>
        <w:spacing w:before="32" w:line="280" w:lineRule="auto"/>
        <w:ind w:left="1527"/>
        <w:rPr>
          <w:sz w:val="16"/>
        </w:rPr>
      </w:pPr>
      <w:r>
        <w:rPr>
          <w:i/>
          <w:color w:val="231F20"/>
          <w:sz w:val="16"/>
        </w:rPr>
        <w:t xml:space="preserve">also </w:t>
      </w:r>
      <w:r>
        <w:rPr>
          <w:color w:val="231F20"/>
          <w:sz w:val="16"/>
        </w:rPr>
        <w:t>strikes</w:t>
      </w:r>
      <w:r>
        <w:rPr>
          <w:i/>
          <w:color w:val="231F20"/>
          <w:sz w:val="16"/>
        </w:rPr>
        <w:t xml:space="preserve">; See also </w:t>
      </w:r>
      <w:r>
        <w:rPr>
          <w:color w:val="231F20"/>
          <w:sz w:val="16"/>
        </w:rPr>
        <w:t>labor aristocracy; in APO 37</w:t>
      </w:r>
      <w:r>
        <w:rPr>
          <w:i/>
          <w:color w:val="231F20"/>
          <w:sz w:val="16"/>
        </w:rPr>
        <w:t xml:space="preserve">, </w:t>
      </w:r>
      <w:r>
        <w:rPr>
          <w:color w:val="231F20"/>
          <w:sz w:val="16"/>
        </w:rPr>
        <w:t>44; displaced persons 8–9;</w:t>
      </w:r>
    </w:p>
    <w:p w14:paraId="369D1195" w14:textId="77777777" w:rsidR="002653E8" w:rsidRDefault="003115E3">
      <w:pPr>
        <w:spacing w:before="1"/>
        <w:ind w:left="1527"/>
        <w:rPr>
          <w:i/>
          <w:sz w:val="16"/>
        </w:rPr>
      </w:pPr>
      <w:r>
        <w:rPr>
          <w:color w:val="231F20"/>
          <w:w w:val="105"/>
          <w:sz w:val="16"/>
        </w:rPr>
        <w:t xml:space="preserve">mentioned by </w:t>
      </w:r>
      <w:r w:rsidR="00C507A5">
        <w:rPr>
          <w:color w:val="231F20"/>
          <w:w w:val="105"/>
          <w:sz w:val="16"/>
        </w:rPr>
        <w:t>red army faction</w:t>
      </w:r>
      <w:r>
        <w:rPr>
          <w:color w:val="231F20"/>
          <w:w w:val="105"/>
          <w:sz w:val="16"/>
        </w:rPr>
        <w:t xml:space="preserve"> 126</w:t>
      </w:r>
      <w:r>
        <w:rPr>
          <w:i/>
          <w:color w:val="231F20"/>
          <w:w w:val="105"/>
          <w:sz w:val="16"/>
        </w:rPr>
        <w:t xml:space="preserve">, </w:t>
      </w:r>
      <w:r>
        <w:rPr>
          <w:color w:val="231F20"/>
          <w:w w:val="105"/>
          <w:sz w:val="16"/>
        </w:rPr>
        <w:t>143–146</w:t>
      </w:r>
      <w:r>
        <w:rPr>
          <w:i/>
          <w:color w:val="231F20"/>
          <w:w w:val="105"/>
          <w:sz w:val="16"/>
        </w:rPr>
        <w:t>,</w:t>
      </w:r>
    </w:p>
    <w:p w14:paraId="42B84FA7" w14:textId="77777777" w:rsidR="002653E8" w:rsidRPr="00846956" w:rsidRDefault="003115E3">
      <w:pPr>
        <w:spacing w:before="33"/>
        <w:ind w:left="1527"/>
        <w:rPr>
          <w:sz w:val="16"/>
          <w:lang w:val="de-DE"/>
        </w:rPr>
      </w:pPr>
      <w:r w:rsidRPr="00846956">
        <w:rPr>
          <w:color w:val="231F20"/>
          <w:sz w:val="16"/>
          <w:lang w:val="de-DE"/>
        </w:rPr>
        <w:t>149</w:t>
      </w:r>
      <w:r w:rsidRPr="00846956">
        <w:rPr>
          <w:i/>
          <w:color w:val="231F20"/>
          <w:sz w:val="16"/>
          <w:lang w:val="de-DE"/>
        </w:rPr>
        <w:t xml:space="preserve">, </w:t>
      </w:r>
      <w:r w:rsidRPr="00846956">
        <w:rPr>
          <w:color w:val="231F20"/>
          <w:sz w:val="16"/>
          <w:lang w:val="de-DE"/>
        </w:rPr>
        <w:t>309; women 8</w:t>
      </w:r>
    </w:p>
    <w:p w14:paraId="33D4A14B" w14:textId="77777777" w:rsidR="002653E8" w:rsidRPr="00846956" w:rsidRDefault="003115E3">
      <w:pPr>
        <w:spacing w:before="32"/>
        <w:ind w:left="1327"/>
        <w:rPr>
          <w:sz w:val="16"/>
          <w:lang w:val="de-DE"/>
        </w:rPr>
      </w:pPr>
      <w:r w:rsidRPr="00846956">
        <w:rPr>
          <w:color w:val="231F20"/>
          <w:sz w:val="16"/>
          <w:lang w:val="de-DE"/>
        </w:rPr>
        <w:t>Wunder 373</w:t>
      </w:r>
    </w:p>
    <w:p w14:paraId="7F3C9C19" w14:textId="77777777" w:rsidR="002653E8" w:rsidRPr="00846956" w:rsidRDefault="003115E3">
      <w:pPr>
        <w:spacing w:before="33"/>
        <w:ind w:left="1327"/>
        <w:rPr>
          <w:sz w:val="16"/>
          <w:lang w:val="de-DE"/>
        </w:rPr>
      </w:pPr>
      <w:r w:rsidRPr="00846956">
        <w:rPr>
          <w:color w:val="231F20"/>
          <w:w w:val="105"/>
          <w:sz w:val="16"/>
          <w:lang w:val="de-DE"/>
        </w:rPr>
        <w:t>Wurster, Georg 470</w:t>
      </w:r>
      <w:r w:rsidRPr="00846956">
        <w:rPr>
          <w:i/>
          <w:color w:val="231F20"/>
          <w:w w:val="105"/>
          <w:sz w:val="16"/>
          <w:lang w:val="de-DE"/>
        </w:rPr>
        <w:t xml:space="preserve">, </w:t>
      </w:r>
      <w:r w:rsidRPr="00846956">
        <w:rPr>
          <w:color w:val="231F20"/>
          <w:w w:val="105"/>
          <w:sz w:val="16"/>
          <w:lang w:val="de-DE"/>
        </w:rPr>
        <w:t>578</w:t>
      </w:r>
      <w:r w:rsidRPr="00846956">
        <w:rPr>
          <w:i/>
          <w:color w:val="231F20"/>
          <w:w w:val="105"/>
          <w:sz w:val="16"/>
          <w:lang w:val="de-DE"/>
        </w:rPr>
        <w:t xml:space="preserve">, </w:t>
      </w:r>
      <w:r w:rsidRPr="00846956">
        <w:rPr>
          <w:color w:val="231F20"/>
          <w:w w:val="105"/>
          <w:sz w:val="16"/>
          <w:lang w:val="de-DE"/>
        </w:rPr>
        <w:t>604</w:t>
      </w:r>
    </w:p>
    <w:p w14:paraId="533D73D3" w14:textId="77777777" w:rsidR="002653E8" w:rsidRPr="00846956" w:rsidRDefault="003115E3">
      <w:pPr>
        <w:spacing w:before="86"/>
        <w:ind w:left="254"/>
        <w:rPr>
          <w:sz w:val="16"/>
          <w:lang w:val="de-DE"/>
        </w:rPr>
      </w:pPr>
      <w:r w:rsidRPr="00846956">
        <w:rPr>
          <w:lang w:val="de-DE"/>
        </w:rPr>
        <w:br w:type="column"/>
      </w:r>
      <w:r w:rsidRPr="00846956">
        <w:rPr>
          <w:color w:val="231F20"/>
          <w:w w:val="105"/>
          <w:sz w:val="16"/>
          <w:lang w:val="de-DE"/>
        </w:rPr>
        <w:t>yom Kippur war (1973) 199</w:t>
      </w:r>
    </w:p>
    <w:p w14:paraId="77915285" w14:textId="77777777" w:rsidR="002653E8" w:rsidRDefault="003115E3">
      <w:pPr>
        <w:spacing w:before="33"/>
        <w:ind w:left="254"/>
        <w:rPr>
          <w:sz w:val="16"/>
        </w:rPr>
      </w:pPr>
      <w:r>
        <w:rPr>
          <w:color w:val="231F20"/>
          <w:sz w:val="16"/>
        </w:rPr>
        <w:t>youth culture (1950s-60s) 24–25</w:t>
      </w:r>
      <w:r>
        <w:rPr>
          <w:i/>
          <w:color w:val="231F20"/>
          <w:sz w:val="16"/>
        </w:rPr>
        <w:t xml:space="preserve">, </w:t>
      </w:r>
      <w:r>
        <w:rPr>
          <w:color w:val="231F20"/>
          <w:sz w:val="16"/>
        </w:rPr>
        <w:t>30–31</w:t>
      </w:r>
    </w:p>
    <w:p w14:paraId="1D17B599" w14:textId="77777777" w:rsidR="002653E8" w:rsidRDefault="003115E3">
      <w:pPr>
        <w:spacing w:before="32"/>
        <w:ind w:left="254"/>
        <w:rPr>
          <w:i/>
          <w:sz w:val="16"/>
        </w:rPr>
      </w:pPr>
      <w:r>
        <w:rPr>
          <w:color w:val="231F20"/>
          <w:sz w:val="16"/>
        </w:rPr>
        <w:t>youth culture (1960s-70s) 25–26</w:t>
      </w:r>
      <w:r>
        <w:rPr>
          <w:i/>
          <w:color w:val="231F20"/>
          <w:sz w:val="16"/>
        </w:rPr>
        <w:t xml:space="preserve">, </w:t>
      </w:r>
      <w:r>
        <w:rPr>
          <w:color w:val="231F20"/>
          <w:sz w:val="16"/>
        </w:rPr>
        <w:t>31</w:t>
      </w:r>
      <w:r>
        <w:rPr>
          <w:i/>
          <w:color w:val="231F20"/>
          <w:sz w:val="16"/>
        </w:rPr>
        <w:t>,</w:t>
      </w:r>
    </w:p>
    <w:p w14:paraId="319E7D08" w14:textId="77777777" w:rsidR="002653E8" w:rsidRPr="00846956" w:rsidRDefault="003115E3">
      <w:pPr>
        <w:spacing w:before="33"/>
        <w:ind w:left="454"/>
        <w:rPr>
          <w:sz w:val="16"/>
          <w:lang w:val="de-DE"/>
        </w:rPr>
      </w:pPr>
      <w:r w:rsidRPr="00846956">
        <w:rPr>
          <w:color w:val="231F20"/>
          <w:w w:val="110"/>
          <w:sz w:val="16"/>
          <w:lang w:val="de-DE"/>
        </w:rPr>
        <w:t>44</w:t>
      </w:r>
      <w:r w:rsidRPr="00846956">
        <w:rPr>
          <w:i/>
          <w:color w:val="231F20"/>
          <w:w w:val="110"/>
          <w:sz w:val="16"/>
          <w:lang w:val="de-DE"/>
        </w:rPr>
        <w:t xml:space="preserve">, </w:t>
      </w:r>
      <w:r w:rsidRPr="00846956">
        <w:rPr>
          <w:color w:val="231F20"/>
          <w:w w:val="110"/>
          <w:sz w:val="16"/>
          <w:lang w:val="de-DE"/>
        </w:rPr>
        <w:t>51</w:t>
      </w:r>
    </w:p>
    <w:p w14:paraId="282F7C91" w14:textId="77777777" w:rsidR="002653E8" w:rsidRPr="00846956" w:rsidRDefault="003115E3">
      <w:pPr>
        <w:spacing w:before="32"/>
        <w:ind w:left="254"/>
        <w:rPr>
          <w:sz w:val="16"/>
          <w:lang w:val="de-DE"/>
        </w:rPr>
      </w:pPr>
      <w:r w:rsidRPr="00846956">
        <w:rPr>
          <w:color w:val="231F20"/>
          <w:w w:val="105"/>
          <w:sz w:val="16"/>
          <w:lang w:val="de-DE"/>
        </w:rPr>
        <w:t>yugoslavia 529</w:t>
      </w:r>
      <w:r w:rsidRPr="00846956">
        <w:rPr>
          <w:i/>
          <w:color w:val="231F20"/>
          <w:w w:val="105"/>
          <w:sz w:val="16"/>
          <w:lang w:val="de-DE"/>
        </w:rPr>
        <w:t xml:space="preserve">, </w:t>
      </w:r>
      <w:r w:rsidRPr="00846956">
        <w:rPr>
          <w:color w:val="231F20"/>
          <w:w w:val="105"/>
          <w:sz w:val="16"/>
          <w:lang w:val="de-DE"/>
        </w:rPr>
        <w:t>610</w:t>
      </w:r>
      <w:r w:rsidRPr="00846956">
        <w:rPr>
          <w:i/>
          <w:color w:val="231F20"/>
          <w:w w:val="105"/>
          <w:sz w:val="16"/>
          <w:lang w:val="de-DE"/>
        </w:rPr>
        <w:t xml:space="preserve">, </w:t>
      </w:r>
      <w:r w:rsidRPr="00846956">
        <w:rPr>
          <w:color w:val="231F20"/>
          <w:w w:val="105"/>
          <w:sz w:val="16"/>
          <w:lang w:val="de-DE"/>
        </w:rPr>
        <w:t>611</w:t>
      </w:r>
    </w:p>
    <w:p w14:paraId="40CA864A" w14:textId="77777777" w:rsidR="002653E8" w:rsidRPr="00846956" w:rsidRDefault="002653E8">
      <w:pPr>
        <w:pStyle w:val="a3"/>
        <w:rPr>
          <w:sz w:val="18"/>
          <w:lang w:val="de-DE"/>
        </w:rPr>
      </w:pPr>
    </w:p>
    <w:p w14:paraId="348EA6E4" w14:textId="77777777" w:rsidR="002653E8" w:rsidRPr="00846956" w:rsidRDefault="002653E8">
      <w:pPr>
        <w:pStyle w:val="a3"/>
        <w:rPr>
          <w:sz w:val="18"/>
          <w:lang w:val="de-DE"/>
        </w:rPr>
      </w:pPr>
    </w:p>
    <w:p w14:paraId="5FA542C8" w14:textId="77777777" w:rsidR="002653E8" w:rsidRPr="00846956" w:rsidRDefault="002653E8">
      <w:pPr>
        <w:pStyle w:val="a3"/>
        <w:rPr>
          <w:sz w:val="18"/>
          <w:lang w:val="de-DE"/>
        </w:rPr>
      </w:pPr>
    </w:p>
    <w:p w14:paraId="61FFD735" w14:textId="77777777" w:rsidR="002653E8" w:rsidRPr="00846956" w:rsidRDefault="002653E8">
      <w:pPr>
        <w:pStyle w:val="a3"/>
        <w:spacing w:before="9"/>
        <w:rPr>
          <w:sz w:val="23"/>
          <w:lang w:val="de-DE"/>
        </w:rPr>
      </w:pPr>
    </w:p>
    <w:p w14:paraId="2EF00351" w14:textId="77777777" w:rsidR="002653E8" w:rsidRPr="00846956" w:rsidRDefault="003115E3">
      <w:pPr>
        <w:spacing w:before="1" w:line="280" w:lineRule="auto"/>
        <w:ind w:left="454" w:right="1078" w:hanging="200"/>
        <w:rPr>
          <w:sz w:val="16"/>
          <w:lang w:val="de-DE"/>
        </w:rPr>
      </w:pPr>
      <w:r w:rsidRPr="00846956">
        <w:rPr>
          <w:color w:val="231F20"/>
          <w:w w:val="105"/>
          <w:sz w:val="16"/>
          <w:lang w:val="de-DE"/>
        </w:rPr>
        <w:t>ZDF (Zweites Deutsches Fernsehen) 139</w:t>
      </w:r>
      <w:r w:rsidRPr="00846956">
        <w:rPr>
          <w:i/>
          <w:color w:val="231F20"/>
          <w:w w:val="105"/>
          <w:sz w:val="16"/>
          <w:lang w:val="de-DE"/>
        </w:rPr>
        <w:t>,</w:t>
      </w:r>
      <w:r w:rsidRPr="00846956">
        <w:rPr>
          <w:i/>
          <w:color w:val="231F20"/>
          <w:w w:val="139"/>
          <w:sz w:val="16"/>
          <w:lang w:val="de-DE"/>
        </w:rPr>
        <w:t xml:space="preserve"> </w:t>
      </w:r>
      <w:r w:rsidRPr="00846956">
        <w:rPr>
          <w:color w:val="231F20"/>
          <w:w w:val="105"/>
          <w:sz w:val="16"/>
          <w:lang w:val="de-DE"/>
        </w:rPr>
        <w:t>140</w:t>
      </w:r>
      <w:r w:rsidRPr="00846956">
        <w:rPr>
          <w:i/>
          <w:color w:val="231F20"/>
          <w:w w:val="105"/>
          <w:sz w:val="16"/>
          <w:lang w:val="de-DE"/>
        </w:rPr>
        <w:t xml:space="preserve">, </w:t>
      </w:r>
      <w:r w:rsidRPr="00846956">
        <w:rPr>
          <w:color w:val="231F20"/>
          <w:w w:val="105"/>
          <w:sz w:val="16"/>
          <w:lang w:val="de-DE"/>
        </w:rPr>
        <w:t>146</w:t>
      </w:r>
    </w:p>
    <w:p w14:paraId="48BC05F4" w14:textId="77777777" w:rsidR="002653E8" w:rsidRPr="00846956" w:rsidRDefault="003115E3">
      <w:pPr>
        <w:spacing w:before="1"/>
        <w:ind w:left="254"/>
        <w:rPr>
          <w:sz w:val="16"/>
          <w:lang w:val="de-DE"/>
        </w:rPr>
      </w:pPr>
      <w:r w:rsidRPr="00846956">
        <w:rPr>
          <w:color w:val="231F20"/>
          <w:w w:val="105"/>
          <w:sz w:val="16"/>
          <w:lang w:val="de-DE"/>
        </w:rPr>
        <w:t>Zeis, Peter 241</w:t>
      </w:r>
      <w:r w:rsidRPr="00846956">
        <w:rPr>
          <w:i/>
          <w:color w:val="231F20"/>
          <w:w w:val="105"/>
          <w:sz w:val="16"/>
          <w:lang w:val="de-DE"/>
        </w:rPr>
        <w:t xml:space="preserve">, </w:t>
      </w:r>
      <w:r w:rsidRPr="00846956">
        <w:rPr>
          <w:color w:val="231F20"/>
          <w:w w:val="105"/>
          <w:sz w:val="16"/>
          <w:lang w:val="de-DE"/>
        </w:rPr>
        <w:t>341</w:t>
      </w:r>
      <w:r w:rsidRPr="00846956">
        <w:rPr>
          <w:i/>
          <w:color w:val="231F20"/>
          <w:w w:val="105"/>
          <w:sz w:val="16"/>
          <w:lang w:val="de-DE"/>
        </w:rPr>
        <w:t xml:space="preserve">, </w:t>
      </w:r>
      <w:r w:rsidRPr="00846956">
        <w:rPr>
          <w:color w:val="231F20"/>
          <w:w w:val="105"/>
          <w:sz w:val="16"/>
          <w:lang w:val="de-DE"/>
        </w:rPr>
        <w:t>419</w:t>
      </w:r>
      <w:r w:rsidRPr="00846956">
        <w:rPr>
          <w:i/>
          <w:color w:val="231F20"/>
          <w:w w:val="105"/>
          <w:sz w:val="16"/>
          <w:lang w:val="de-DE"/>
        </w:rPr>
        <w:t xml:space="preserve">, </w:t>
      </w:r>
      <w:r w:rsidRPr="00846956">
        <w:rPr>
          <w:color w:val="231F20"/>
          <w:w w:val="105"/>
          <w:sz w:val="16"/>
          <w:lang w:val="de-DE"/>
        </w:rPr>
        <w:t>578</w:t>
      </w:r>
    </w:p>
    <w:p w14:paraId="703D3F13" w14:textId="77777777" w:rsidR="002653E8" w:rsidRPr="00846956" w:rsidRDefault="003115E3">
      <w:pPr>
        <w:spacing w:before="32"/>
        <w:ind w:left="254"/>
        <w:rPr>
          <w:sz w:val="16"/>
          <w:lang w:val="de-DE"/>
        </w:rPr>
      </w:pPr>
      <w:r w:rsidRPr="00846956">
        <w:rPr>
          <w:i/>
          <w:color w:val="231F20"/>
          <w:w w:val="105"/>
          <w:sz w:val="16"/>
          <w:lang w:val="de-DE"/>
        </w:rPr>
        <w:t xml:space="preserve">Zentralblatt für Neorochirurgie </w:t>
      </w:r>
      <w:r w:rsidRPr="00846956">
        <w:rPr>
          <w:color w:val="231F20"/>
          <w:w w:val="105"/>
          <w:sz w:val="16"/>
          <w:lang w:val="de-DE"/>
        </w:rPr>
        <w:t>412</w:t>
      </w:r>
    </w:p>
    <w:p w14:paraId="78A9A925" w14:textId="77777777" w:rsidR="002653E8" w:rsidRPr="00846956" w:rsidRDefault="003115E3">
      <w:pPr>
        <w:spacing w:before="33"/>
        <w:ind w:left="254"/>
        <w:rPr>
          <w:i/>
          <w:sz w:val="16"/>
          <w:lang w:val="de-DE"/>
        </w:rPr>
      </w:pPr>
      <w:r w:rsidRPr="00846956">
        <w:rPr>
          <w:i/>
          <w:color w:val="231F20"/>
          <w:w w:val="105"/>
          <w:sz w:val="16"/>
          <w:lang w:val="de-DE"/>
        </w:rPr>
        <w:t>Zerschlagt die Wohlstandsinseln der iii.</w:t>
      </w:r>
    </w:p>
    <w:p w14:paraId="1FCAEA5A" w14:textId="77777777" w:rsidR="002653E8" w:rsidRPr="00846956" w:rsidRDefault="003115E3">
      <w:pPr>
        <w:spacing w:before="32"/>
        <w:ind w:left="454"/>
        <w:rPr>
          <w:sz w:val="16"/>
          <w:lang w:val="de-DE"/>
        </w:rPr>
      </w:pPr>
      <w:r w:rsidRPr="00846956">
        <w:rPr>
          <w:i/>
          <w:color w:val="231F20"/>
          <w:sz w:val="16"/>
          <w:lang w:val="de-DE"/>
        </w:rPr>
        <w:t xml:space="preserve">Welt </w:t>
      </w:r>
      <w:r w:rsidRPr="00846956">
        <w:rPr>
          <w:color w:val="231F20"/>
          <w:sz w:val="16"/>
          <w:lang w:val="de-DE"/>
        </w:rPr>
        <w:t>143</w:t>
      </w:r>
    </w:p>
    <w:p w14:paraId="468D468D" w14:textId="77777777" w:rsidR="002653E8" w:rsidRPr="00846956" w:rsidRDefault="003115E3">
      <w:pPr>
        <w:spacing w:before="32"/>
        <w:ind w:left="254"/>
        <w:rPr>
          <w:sz w:val="16"/>
          <w:lang w:val="de-DE"/>
        </w:rPr>
      </w:pPr>
      <w:r w:rsidRPr="00846956">
        <w:rPr>
          <w:color w:val="231F20"/>
          <w:w w:val="105"/>
          <w:sz w:val="16"/>
          <w:lang w:val="de-DE"/>
        </w:rPr>
        <w:t>Ziegler, Geert 263</w:t>
      </w:r>
    </w:p>
    <w:p w14:paraId="34D8707B" w14:textId="77777777" w:rsidR="002653E8" w:rsidRPr="00846956" w:rsidRDefault="003115E3">
      <w:pPr>
        <w:spacing w:before="33"/>
        <w:ind w:left="254"/>
        <w:rPr>
          <w:sz w:val="16"/>
          <w:lang w:val="de-DE"/>
        </w:rPr>
      </w:pPr>
      <w:r w:rsidRPr="00846956">
        <w:rPr>
          <w:color w:val="231F20"/>
          <w:sz w:val="16"/>
          <w:lang w:val="de-DE"/>
        </w:rPr>
        <w:t>Zimmerman, Eduard 103</w:t>
      </w:r>
    </w:p>
    <w:p w14:paraId="6E5FEFAE" w14:textId="77777777" w:rsidR="002653E8" w:rsidRPr="00846956" w:rsidRDefault="003115E3">
      <w:pPr>
        <w:spacing w:before="32"/>
        <w:ind w:left="254"/>
        <w:rPr>
          <w:sz w:val="16"/>
          <w:lang w:val="de-DE"/>
        </w:rPr>
      </w:pPr>
      <w:r w:rsidRPr="00846956">
        <w:rPr>
          <w:color w:val="231F20"/>
          <w:sz w:val="16"/>
          <w:lang w:val="de-DE"/>
        </w:rPr>
        <w:t>Zimmerman, Ernst 617</w:t>
      </w:r>
    </w:p>
    <w:p w14:paraId="717ACD9C" w14:textId="77777777" w:rsidR="002653E8" w:rsidRPr="00846956" w:rsidRDefault="003115E3">
      <w:pPr>
        <w:spacing w:before="33"/>
        <w:ind w:left="254"/>
        <w:rPr>
          <w:sz w:val="16"/>
          <w:lang w:val="de-DE"/>
        </w:rPr>
      </w:pPr>
      <w:r w:rsidRPr="00846956">
        <w:rPr>
          <w:color w:val="231F20"/>
          <w:w w:val="105"/>
          <w:sz w:val="16"/>
          <w:lang w:val="de-DE"/>
        </w:rPr>
        <w:t>Zimmermann (CSU) 533</w:t>
      </w:r>
    </w:p>
    <w:p w14:paraId="0F2ECCFD" w14:textId="77777777" w:rsidR="002653E8" w:rsidRPr="00846956" w:rsidRDefault="003115E3">
      <w:pPr>
        <w:spacing w:before="32"/>
        <w:ind w:left="254"/>
        <w:rPr>
          <w:sz w:val="16"/>
          <w:lang w:val="de-DE"/>
        </w:rPr>
      </w:pPr>
      <w:r w:rsidRPr="00846956">
        <w:rPr>
          <w:color w:val="231F20"/>
          <w:sz w:val="16"/>
          <w:lang w:val="de-DE"/>
        </w:rPr>
        <w:t>Zimmermann, Friedrich 87</w:t>
      </w:r>
    </w:p>
    <w:p w14:paraId="117ACE5E" w14:textId="77777777" w:rsidR="002653E8" w:rsidRPr="00846956" w:rsidRDefault="003115E3">
      <w:pPr>
        <w:spacing w:before="33"/>
        <w:ind w:left="254"/>
        <w:rPr>
          <w:sz w:val="16"/>
          <w:lang w:val="de-DE"/>
        </w:rPr>
      </w:pPr>
      <w:r w:rsidRPr="00846956">
        <w:rPr>
          <w:color w:val="231F20"/>
          <w:sz w:val="16"/>
          <w:lang w:val="de-DE"/>
        </w:rPr>
        <w:t>Zimmermann (journalist) 379</w:t>
      </w:r>
    </w:p>
    <w:p w14:paraId="2F4BB86D" w14:textId="77777777" w:rsidR="002653E8" w:rsidRPr="00846956" w:rsidRDefault="003115E3">
      <w:pPr>
        <w:spacing w:before="32"/>
        <w:ind w:left="254"/>
        <w:rPr>
          <w:i/>
          <w:sz w:val="16"/>
          <w:lang w:val="de-DE"/>
        </w:rPr>
      </w:pPr>
      <w:r w:rsidRPr="00846956">
        <w:rPr>
          <w:color w:val="231F20"/>
          <w:w w:val="110"/>
          <w:sz w:val="16"/>
          <w:lang w:val="de-DE"/>
        </w:rPr>
        <w:t>Zitzlaff, Inge Wienke 386</w:t>
      </w:r>
      <w:r w:rsidRPr="00846956">
        <w:rPr>
          <w:i/>
          <w:color w:val="231F20"/>
          <w:w w:val="110"/>
          <w:sz w:val="16"/>
          <w:lang w:val="de-DE"/>
        </w:rPr>
        <w:t xml:space="preserve">, </w:t>
      </w:r>
      <w:r w:rsidRPr="00846956">
        <w:rPr>
          <w:color w:val="231F20"/>
          <w:w w:val="110"/>
          <w:sz w:val="16"/>
          <w:lang w:val="de-DE"/>
        </w:rPr>
        <w:t>388</w:t>
      </w:r>
      <w:r w:rsidRPr="00846956">
        <w:rPr>
          <w:i/>
          <w:color w:val="231F20"/>
          <w:w w:val="110"/>
          <w:sz w:val="16"/>
          <w:lang w:val="de-DE"/>
        </w:rPr>
        <w:t xml:space="preserve">, </w:t>
      </w:r>
      <w:r w:rsidRPr="00846956">
        <w:rPr>
          <w:color w:val="231F20"/>
          <w:w w:val="110"/>
          <w:sz w:val="16"/>
          <w:lang w:val="de-DE"/>
        </w:rPr>
        <w:t>389</w:t>
      </w:r>
      <w:r w:rsidRPr="00846956">
        <w:rPr>
          <w:i/>
          <w:color w:val="231F20"/>
          <w:w w:val="110"/>
          <w:sz w:val="16"/>
          <w:lang w:val="de-DE"/>
        </w:rPr>
        <w:t xml:space="preserve">, </w:t>
      </w:r>
      <w:r w:rsidRPr="00846956">
        <w:rPr>
          <w:color w:val="231F20"/>
          <w:w w:val="110"/>
          <w:sz w:val="16"/>
          <w:lang w:val="de-DE"/>
        </w:rPr>
        <w:t>558</w:t>
      </w:r>
      <w:r w:rsidRPr="00846956">
        <w:rPr>
          <w:i/>
          <w:color w:val="231F20"/>
          <w:w w:val="110"/>
          <w:sz w:val="16"/>
          <w:lang w:val="de-DE"/>
        </w:rPr>
        <w:t>,</w:t>
      </w:r>
    </w:p>
    <w:p w14:paraId="06EF03FE" w14:textId="77777777" w:rsidR="002653E8" w:rsidRPr="00846956" w:rsidRDefault="003115E3">
      <w:pPr>
        <w:spacing w:before="32"/>
        <w:ind w:left="454"/>
        <w:rPr>
          <w:sz w:val="16"/>
          <w:lang w:val="de-DE"/>
        </w:rPr>
      </w:pPr>
      <w:r w:rsidRPr="00846956">
        <w:rPr>
          <w:color w:val="231F20"/>
          <w:sz w:val="16"/>
          <w:lang w:val="de-DE"/>
        </w:rPr>
        <w:t>578</w:t>
      </w:r>
    </w:p>
    <w:p w14:paraId="1A78EB50" w14:textId="77777777" w:rsidR="002653E8" w:rsidRPr="00846956" w:rsidRDefault="003115E3">
      <w:pPr>
        <w:spacing w:before="33"/>
        <w:ind w:left="254"/>
        <w:rPr>
          <w:sz w:val="16"/>
          <w:lang w:val="de-DE"/>
        </w:rPr>
      </w:pPr>
      <w:r w:rsidRPr="00846956">
        <w:rPr>
          <w:color w:val="231F20"/>
          <w:w w:val="105"/>
          <w:sz w:val="16"/>
          <w:lang w:val="de-DE"/>
        </w:rPr>
        <w:t>Zoebe, Gerhard 70</w:t>
      </w:r>
    </w:p>
    <w:p w14:paraId="2BE80CD8" w14:textId="77777777" w:rsidR="002653E8" w:rsidRPr="00846956" w:rsidRDefault="003115E3">
      <w:pPr>
        <w:spacing w:before="32"/>
        <w:ind w:left="254"/>
        <w:rPr>
          <w:sz w:val="16"/>
          <w:lang w:val="de-DE"/>
        </w:rPr>
      </w:pPr>
      <w:r w:rsidRPr="00846956">
        <w:rPr>
          <w:color w:val="231F20"/>
          <w:w w:val="105"/>
          <w:sz w:val="16"/>
          <w:lang w:val="de-DE"/>
        </w:rPr>
        <w:t>Zühlke, Undine 258</w:t>
      </w:r>
    </w:p>
    <w:p w14:paraId="00417777" w14:textId="77777777" w:rsidR="002653E8" w:rsidRDefault="003115E3">
      <w:pPr>
        <w:spacing w:before="33"/>
        <w:ind w:left="254"/>
        <w:rPr>
          <w:sz w:val="16"/>
        </w:rPr>
      </w:pPr>
      <w:r>
        <w:rPr>
          <w:color w:val="231F20"/>
          <w:w w:val="105"/>
          <w:sz w:val="16"/>
        </w:rPr>
        <w:t>Zundel, Ernst 63</w:t>
      </w:r>
    </w:p>
    <w:p w14:paraId="6A90BE29" w14:textId="77777777" w:rsidR="002653E8" w:rsidRDefault="002653E8">
      <w:pPr>
        <w:rPr>
          <w:sz w:val="16"/>
        </w:rPr>
        <w:sectPr w:rsidR="002653E8">
          <w:pgSz w:w="8640" w:h="12960"/>
          <w:pgMar w:top="1080" w:right="0" w:bottom="1040" w:left="0" w:header="0" w:footer="846" w:gutter="0"/>
          <w:cols w:num="2" w:space="720" w:equalWidth="0">
            <w:col w:w="4256" w:space="40"/>
            <w:col w:w="4344"/>
          </w:cols>
        </w:sectPr>
      </w:pPr>
    </w:p>
    <w:p w14:paraId="4DDC11FF" w14:textId="77777777" w:rsidR="002653E8" w:rsidRDefault="003115E3">
      <w:pPr>
        <w:pStyle w:val="a3"/>
      </w:pPr>
      <w:r>
        <w:drawing>
          <wp:anchor distT="0" distB="0" distL="0" distR="0" simplePos="0" relativeHeight="11752" behindDoc="0" locked="0" layoutInCell="1" allowOverlap="1" wp14:anchorId="5011DC36" wp14:editId="5839E64C">
            <wp:simplePos x="0" y="0"/>
            <wp:positionH relativeFrom="page">
              <wp:posOffset>3486415</wp:posOffset>
            </wp:positionH>
            <wp:positionV relativeFrom="page">
              <wp:posOffset>6244948</wp:posOffset>
            </wp:positionV>
            <wp:extent cx="681091" cy="569203"/>
            <wp:effectExtent l="0" t="0" r="0" b="0"/>
            <wp:wrapNone/>
            <wp:docPr id="91"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9.png"/>
                    <pic:cNvPicPr/>
                  </pic:nvPicPr>
                  <pic:blipFill>
                    <a:blip r:embed="rId646" cstate="print"/>
                    <a:stretch>
                      <a:fillRect/>
                    </a:stretch>
                  </pic:blipFill>
                  <pic:spPr>
                    <a:xfrm>
                      <a:off x="0" y="0"/>
                      <a:ext cx="681091" cy="569203"/>
                    </a:xfrm>
                    <a:prstGeom prst="rect">
                      <a:avLst/>
                    </a:prstGeom>
                  </pic:spPr>
                </pic:pic>
              </a:graphicData>
            </a:graphic>
          </wp:anchor>
        </w:drawing>
      </w:r>
    </w:p>
    <w:p w14:paraId="0EAB4978" w14:textId="77777777" w:rsidR="002653E8" w:rsidRDefault="002653E8">
      <w:pPr>
        <w:pStyle w:val="a3"/>
      </w:pPr>
    </w:p>
    <w:p w14:paraId="5C2E2E4C" w14:textId="77777777" w:rsidR="002653E8" w:rsidRDefault="002653E8">
      <w:pPr>
        <w:pStyle w:val="a3"/>
      </w:pPr>
    </w:p>
    <w:p w14:paraId="72B3122B" w14:textId="77777777" w:rsidR="002653E8" w:rsidRDefault="002653E8">
      <w:pPr>
        <w:pStyle w:val="a3"/>
        <w:spacing w:before="6"/>
        <w:rPr>
          <w:sz w:val="14"/>
        </w:rPr>
      </w:pPr>
    </w:p>
    <w:p w14:paraId="5ACCDF6D" w14:textId="77777777" w:rsidR="002653E8" w:rsidRDefault="003115E3">
      <w:pPr>
        <w:pStyle w:val="a3"/>
        <w:ind w:left="5571"/>
      </w:pPr>
      <w:r>
        <w:drawing>
          <wp:inline distT="0" distB="0" distL="0" distR="0" wp14:anchorId="4044D3EA" wp14:editId="2B829DD6">
            <wp:extent cx="585782" cy="303371"/>
            <wp:effectExtent l="0" t="0" r="0" b="0"/>
            <wp:docPr id="93"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0.png"/>
                    <pic:cNvPicPr/>
                  </pic:nvPicPr>
                  <pic:blipFill>
                    <a:blip r:embed="rId647" cstate="print"/>
                    <a:stretch>
                      <a:fillRect/>
                    </a:stretch>
                  </pic:blipFill>
                  <pic:spPr>
                    <a:xfrm>
                      <a:off x="0" y="0"/>
                      <a:ext cx="585782" cy="303371"/>
                    </a:xfrm>
                    <a:prstGeom prst="rect">
                      <a:avLst/>
                    </a:prstGeom>
                  </pic:spPr>
                </pic:pic>
              </a:graphicData>
            </a:graphic>
          </wp:inline>
        </w:drawing>
      </w:r>
    </w:p>
    <w:p w14:paraId="00A43058" w14:textId="77777777" w:rsidR="002653E8" w:rsidRDefault="002653E8">
      <w:pPr>
        <w:sectPr w:rsidR="002653E8">
          <w:type w:val="continuous"/>
          <w:pgSz w:w="8640" w:h="12960"/>
          <w:pgMar w:top="0" w:right="0" w:bottom="0" w:left="0" w:header="720" w:footer="720" w:gutter="0"/>
          <w:cols w:space="720"/>
        </w:sectPr>
      </w:pPr>
    </w:p>
    <w:p w14:paraId="35DF47FB" w14:textId="77777777" w:rsidR="002653E8" w:rsidRDefault="003115E3">
      <w:pPr>
        <w:spacing w:before="68"/>
        <w:ind w:left="1907"/>
        <w:rPr>
          <w:sz w:val="24"/>
        </w:rPr>
      </w:pPr>
      <w:r>
        <w:rPr>
          <w:color w:val="231F20"/>
          <w:w w:val="125"/>
          <w:sz w:val="24"/>
        </w:rPr>
        <w:lastRenderedPageBreak/>
        <w:t>the authors</w:t>
      </w:r>
    </w:p>
    <w:p w14:paraId="51D941E0" w14:textId="77777777" w:rsidR="002653E8" w:rsidRDefault="003115E3">
      <w:pPr>
        <w:spacing w:before="160" w:line="290" w:lineRule="auto"/>
        <w:ind w:left="1147" w:right="4631"/>
        <w:rPr>
          <w:sz w:val="18"/>
        </w:rPr>
      </w:pPr>
      <w:r>
        <w:rPr>
          <w:color w:val="231F20"/>
          <w:spacing w:val="1"/>
          <w:sz w:val="18"/>
        </w:rPr>
        <w:t xml:space="preserve">André </w:t>
      </w:r>
      <w:r>
        <w:rPr>
          <w:color w:val="231F20"/>
          <w:sz w:val="18"/>
        </w:rPr>
        <w:t>Moncourt is the  pseudonym of a writer with his political roots in the movements of the seventies and eighties.</w:t>
      </w:r>
    </w:p>
    <w:p w14:paraId="16C0FD94" w14:textId="77777777" w:rsidR="002653E8" w:rsidRDefault="003115E3">
      <w:pPr>
        <w:spacing w:before="131" w:line="290" w:lineRule="auto"/>
        <w:ind w:left="1147" w:right="4561"/>
        <w:rPr>
          <w:sz w:val="18"/>
        </w:rPr>
      </w:pPr>
      <w:r>
        <w:rPr>
          <w:color w:val="231F20"/>
          <w:sz w:val="18"/>
        </w:rPr>
        <w:t>J. Smith is the pseudonym of an activist who has been involved in the radical left for over twenty years.</w:t>
      </w:r>
    </w:p>
    <w:p w14:paraId="04CCCA05" w14:textId="77777777" w:rsidR="002653E8" w:rsidRDefault="003115E3">
      <w:pPr>
        <w:spacing w:before="129" w:line="290" w:lineRule="auto"/>
        <w:ind w:left="1147" w:right="4524"/>
        <w:rPr>
          <w:sz w:val="18"/>
        </w:rPr>
      </w:pPr>
      <w:r>
        <w:rPr>
          <w:color w:val="231F20"/>
          <w:sz w:val="18"/>
        </w:rPr>
        <w:t>Both feel very lucky to have had a chance to tell this story.</w:t>
      </w:r>
    </w:p>
    <w:p w14:paraId="3F6EDE95" w14:textId="77777777" w:rsidR="002653E8" w:rsidRDefault="002653E8">
      <w:pPr>
        <w:pStyle w:val="a3"/>
      </w:pPr>
    </w:p>
    <w:p w14:paraId="1B5DDFE2" w14:textId="77777777" w:rsidR="002653E8" w:rsidRDefault="002653E8">
      <w:pPr>
        <w:pStyle w:val="a3"/>
        <w:spacing w:before="6"/>
        <w:rPr>
          <w:sz w:val="22"/>
        </w:rPr>
      </w:pPr>
    </w:p>
    <w:p w14:paraId="7B62AE33" w14:textId="77777777" w:rsidR="002653E8" w:rsidRDefault="003115E3">
      <w:pPr>
        <w:spacing w:before="98"/>
        <w:ind w:left="5336"/>
        <w:rPr>
          <w:sz w:val="24"/>
        </w:rPr>
      </w:pPr>
      <w:r>
        <w:rPr>
          <w:color w:val="231F20"/>
          <w:w w:val="120"/>
          <w:sz w:val="24"/>
        </w:rPr>
        <w:t>the type</w:t>
      </w:r>
    </w:p>
    <w:p w14:paraId="13C1D736" w14:textId="77777777" w:rsidR="002653E8" w:rsidRDefault="003115E3">
      <w:pPr>
        <w:spacing w:before="160" w:line="290" w:lineRule="auto"/>
        <w:ind w:left="4350" w:right="1456"/>
        <w:jc w:val="both"/>
        <w:rPr>
          <w:sz w:val="18"/>
        </w:rPr>
      </w:pPr>
      <w:r>
        <w:rPr>
          <w:color w:val="231F20"/>
          <w:sz w:val="18"/>
        </w:rPr>
        <w:t>This title heads for the introductory sections of this book, as well as the text in sidebars, is set in Avenir,</w:t>
      </w:r>
    </w:p>
    <w:p w14:paraId="0E69EFB0" w14:textId="77777777" w:rsidR="002653E8" w:rsidRDefault="003115E3">
      <w:pPr>
        <w:spacing w:before="2" w:line="290" w:lineRule="auto"/>
        <w:ind w:left="4350" w:right="1325"/>
        <w:rPr>
          <w:sz w:val="18"/>
        </w:rPr>
      </w:pPr>
      <w:r>
        <w:rPr>
          <w:color w:val="231F20"/>
          <w:sz w:val="18"/>
        </w:rPr>
        <w:t xml:space="preserve">a geometric sans-serif typeface designed by Adrian Frutiger in 1988. The title heads for </w:t>
      </w:r>
      <w:r w:rsidR="00C507A5">
        <w:rPr>
          <w:color w:val="231F20"/>
          <w:sz w:val="18"/>
        </w:rPr>
        <w:t>red army faction</w:t>
      </w:r>
      <w:r>
        <w:rPr>
          <w:color w:val="231F20"/>
          <w:sz w:val="18"/>
        </w:rPr>
        <w:t xml:space="preserve"> documents have been set in ITC American Typewriter Std.</w:t>
      </w:r>
    </w:p>
    <w:p w14:paraId="111CE7D7" w14:textId="77777777" w:rsidR="002653E8" w:rsidRDefault="003115E3">
      <w:pPr>
        <w:spacing w:before="131" w:line="290" w:lineRule="auto"/>
        <w:ind w:left="4350" w:right="1479"/>
        <w:rPr>
          <w:sz w:val="18"/>
        </w:rPr>
      </w:pPr>
      <w:r>
        <w:rPr>
          <w:color w:val="231F20"/>
          <w:sz w:val="18"/>
        </w:rPr>
        <w:t>The textface chosen for the body of this book is Sabon, a Garamond face designed by Jan Tschichold in 1964.</w:t>
      </w:r>
    </w:p>
    <w:p w14:paraId="1CF6DFBA" w14:textId="77777777" w:rsidR="002653E8" w:rsidRDefault="003115E3">
      <w:pPr>
        <w:spacing w:before="130" w:line="290" w:lineRule="auto"/>
        <w:ind w:left="4350" w:right="1681"/>
        <w:rPr>
          <w:sz w:val="18"/>
        </w:rPr>
      </w:pPr>
      <w:r>
        <w:rPr>
          <w:color w:val="231F20"/>
          <w:sz w:val="18"/>
        </w:rPr>
        <w:t>As a young typographer in the 1920s, Tschichold was a fan  of the Bauhaus style, and had quite the collection of posters from the</w:t>
      </w:r>
    </w:p>
    <w:p w14:paraId="45F19406" w14:textId="77777777" w:rsidR="002653E8" w:rsidRDefault="003115E3">
      <w:pPr>
        <w:spacing w:before="2" w:line="290" w:lineRule="auto"/>
        <w:ind w:left="4349" w:right="1479"/>
        <w:rPr>
          <w:sz w:val="18"/>
        </w:rPr>
      </w:pPr>
      <w:r>
        <w:rPr>
          <w:color w:val="231F20"/>
          <w:sz w:val="18"/>
        </w:rPr>
        <w:t>Soviet Union. For these sins he was arrested by the gestapo in 1933 and all copies of his books were banned “for the protection of the German people.” Unlike so many others, he managed to be released, and fled to Switzerland, where he lived for the rest of his life.</w:t>
      </w:r>
    </w:p>
    <w:p w14:paraId="5FC87F85" w14:textId="77777777" w:rsidR="002653E8" w:rsidRDefault="002653E8">
      <w:pPr>
        <w:spacing w:line="290" w:lineRule="auto"/>
        <w:rPr>
          <w:sz w:val="18"/>
        </w:rPr>
        <w:sectPr w:rsidR="002653E8">
          <w:footerReference w:type="default" r:id="rId648"/>
          <w:pgSz w:w="8640" w:h="12960"/>
          <w:pgMar w:top="1040" w:right="0" w:bottom="280" w:left="0" w:header="0" w:footer="0" w:gutter="0"/>
          <w:cols w:space="720"/>
        </w:sectPr>
      </w:pPr>
    </w:p>
    <w:p w14:paraId="29D10D40" w14:textId="77777777" w:rsidR="002653E8" w:rsidRDefault="002653E8">
      <w:pPr>
        <w:pStyle w:val="a3"/>
      </w:pPr>
    </w:p>
    <w:p w14:paraId="53F6145C" w14:textId="77777777" w:rsidR="002653E8" w:rsidRDefault="002653E8">
      <w:pPr>
        <w:pStyle w:val="a3"/>
      </w:pPr>
    </w:p>
    <w:p w14:paraId="2277EB89" w14:textId="77777777" w:rsidR="002653E8" w:rsidRDefault="002653E8">
      <w:pPr>
        <w:pStyle w:val="a3"/>
      </w:pPr>
    </w:p>
    <w:p w14:paraId="6D939FA3" w14:textId="77777777" w:rsidR="002653E8" w:rsidRDefault="002653E8">
      <w:pPr>
        <w:pStyle w:val="a3"/>
      </w:pPr>
    </w:p>
    <w:p w14:paraId="53602B3F" w14:textId="77777777" w:rsidR="002653E8" w:rsidRDefault="002653E8">
      <w:pPr>
        <w:pStyle w:val="a3"/>
        <w:spacing w:before="1"/>
        <w:rPr>
          <w:sz w:val="25"/>
        </w:rPr>
      </w:pPr>
    </w:p>
    <w:p w14:paraId="2B67F39E" w14:textId="77777777" w:rsidR="002653E8" w:rsidRDefault="00000000">
      <w:pPr>
        <w:spacing w:before="142" w:line="201" w:lineRule="auto"/>
        <w:ind w:left="4634" w:right="1221"/>
        <w:jc w:val="center"/>
        <w:rPr>
          <w:sz w:val="26"/>
        </w:rPr>
      </w:pPr>
      <w:r>
        <w:rPr>
          <w:noProof w:val="0"/>
        </w:rPr>
        <w:pict w14:anchorId="4CEDEED0">
          <v:rect id="_x0000_s2123" style="position:absolute;left:0;text-align:left;margin-left:203.6pt;margin-top:-4.5pt;width:9pt;height:391.7pt;z-index:11800;mso-position-horizontal-relative:page" fillcolor="#d1d3d4" stroked="f">
            <w10:wrap anchorx="page"/>
          </v:rect>
        </w:pict>
      </w:r>
      <w:r w:rsidR="003115E3">
        <w:rPr>
          <w:color w:val="231F20"/>
          <w:spacing w:val="15"/>
          <w:w w:val="107"/>
          <w:sz w:val="26"/>
        </w:rPr>
        <w:t>k</w:t>
      </w:r>
      <w:r w:rsidR="003115E3">
        <w:rPr>
          <w:color w:val="231F20"/>
          <w:spacing w:val="10"/>
          <w:w w:val="104"/>
          <w:sz w:val="26"/>
        </w:rPr>
        <w:t>e</w:t>
      </w:r>
      <w:r w:rsidR="003115E3">
        <w:rPr>
          <w:color w:val="231F20"/>
          <w:spacing w:val="8"/>
          <w:w w:val="136"/>
          <w:sz w:val="26"/>
        </w:rPr>
        <w:t>r</w:t>
      </w:r>
      <w:r w:rsidR="003115E3">
        <w:rPr>
          <w:color w:val="231F20"/>
          <w:w w:val="104"/>
          <w:sz w:val="26"/>
        </w:rPr>
        <w:t>s</w:t>
      </w:r>
      <w:r w:rsidR="003115E3">
        <w:rPr>
          <w:color w:val="231F20"/>
          <w:spacing w:val="3"/>
          <w:w w:val="91"/>
          <w:sz w:val="26"/>
        </w:rPr>
        <w:t>p</w:t>
      </w:r>
      <w:r w:rsidR="003115E3">
        <w:rPr>
          <w:color w:val="231F20"/>
          <w:spacing w:val="11"/>
          <w:w w:val="187"/>
          <w:sz w:val="26"/>
        </w:rPr>
        <w:t>l</w:t>
      </w:r>
      <w:r w:rsidR="003115E3">
        <w:rPr>
          <w:color w:val="231F20"/>
          <w:spacing w:val="8"/>
          <w:w w:val="103"/>
          <w:sz w:val="26"/>
        </w:rPr>
        <w:t>e</w:t>
      </w:r>
      <w:r w:rsidR="003115E3">
        <w:rPr>
          <w:color w:val="231F20"/>
          <w:spacing w:val="1"/>
          <w:w w:val="103"/>
          <w:sz w:val="26"/>
        </w:rPr>
        <w:t>b</w:t>
      </w:r>
      <w:r w:rsidR="003115E3">
        <w:rPr>
          <w:color w:val="231F20"/>
          <w:spacing w:val="8"/>
          <w:w w:val="113"/>
          <w:sz w:val="26"/>
        </w:rPr>
        <w:t>e</w:t>
      </w:r>
      <w:r w:rsidR="003115E3">
        <w:rPr>
          <w:color w:val="231F20"/>
          <w:w w:val="113"/>
          <w:sz w:val="26"/>
        </w:rPr>
        <w:t>d</w:t>
      </w:r>
      <w:r w:rsidR="003115E3">
        <w:rPr>
          <w:color w:val="231F20"/>
          <w:spacing w:val="8"/>
          <w:w w:val="103"/>
          <w:sz w:val="26"/>
        </w:rPr>
        <w:t xml:space="preserve">eb </w:t>
      </w:r>
      <w:r w:rsidR="003115E3">
        <w:rPr>
          <w:color w:val="231F20"/>
          <w:spacing w:val="6"/>
          <w:w w:val="91"/>
          <w:sz w:val="26"/>
        </w:rPr>
        <w:t>p</w:t>
      </w:r>
      <w:r w:rsidR="003115E3">
        <w:rPr>
          <w:color w:val="231F20"/>
          <w:spacing w:val="10"/>
          <w:w w:val="107"/>
          <w:sz w:val="26"/>
        </w:rPr>
        <w:t>u</w:t>
      </w:r>
      <w:r w:rsidR="003115E3">
        <w:rPr>
          <w:color w:val="231F20"/>
          <w:spacing w:val="-1"/>
          <w:w w:val="107"/>
          <w:sz w:val="26"/>
        </w:rPr>
        <w:t>b</w:t>
      </w:r>
      <w:r w:rsidR="003115E3">
        <w:rPr>
          <w:color w:val="231F20"/>
          <w:spacing w:val="10"/>
          <w:w w:val="187"/>
          <w:sz w:val="26"/>
        </w:rPr>
        <w:t>l</w:t>
      </w:r>
      <w:r w:rsidR="003115E3">
        <w:rPr>
          <w:color w:val="231F20"/>
          <w:spacing w:val="5"/>
          <w:w w:val="121"/>
          <w:sz w:val="26"/>
        </w:rPr>
        <w:t>i</w:t>
      </w:r>
      <w:r w:rsidR="003115E3">
        <w:rPr>
          <w:color w:val="231F20"/>
          <w:spacing w:val="2"/>
          <w:w w:val="104"/>
          <w:sz w:val="26"/>
        </w:rPr>
        <w:t>s</w:t>
      </w:r>
      <w:r w:rsidR="003115E3">
        <w:rPr>
          <w:color w:val="231F20"/>
          <w:spacing w:val="10"/>
          <w:w w:val="122"/>
          <w:sz w:val="26"/>
        </w:rPr>
        <w:t>hi</w:t>
      </w:r>
      <w:r w:rsidR="003115E3">
        <w:rPr>
          <w:color w:val="231F20"/>
          <w:spacing w:val="1"/>
          <w:w w:val="111"/>
          <w:sz w:val="26"/>
        </w:rPr>
        <w:t>n</w:t>
      </w:r>
      <w:r w:rsidR="003115E3">
        <w:rPr>
          <w:color w:val="231F20"/>
          <w:w w:val="125"/>
          <w:sz w:val="26"/>
        </w:rPr>
        <w:t>g</w:t>
      </w:r>
    </w:p>
    <w:p w14:paraId="4DF9C52C" w14:textId="77777777" w:rsidR="002653E8" w:rsidRDefault="003115E3">
      <w:pPr>
        <w:spacing w:line="265" w:lineRule="exact"/>
        <w:ind w:left="3402"/>
        <w:jc w:val="center"/>
        <w:rPr>
          <w:sz w:val="26"/>
        </w:rPr>
      </w:pPr>
      <w:r>
        <w:rPr>
          <w:color w:val="231F20"/>
          <w:w w:val="120"/>
          <w:sz w:val="26"/>
        </w:rPr>
        <w:t>and distribution</w:t>
      </w:r>
    </w:p>
    <w:p w14:paraId="020DFB7C" w14:textId="77777777" w:rsidR="002653E8" w:rsidRDefault="003115E3">
      <w:pPr>
        <w:pStyle w:val="a3"/>
        <w:spacing w:before="120"/>
        <w:ind w:left="3403"/>
        <w:jc w:val="center"/>
      </w:pPr>
      <w:r>
        <w:rPr>
          <w:color w:val="231F20"/>
          <w:w w:val="105"/>
        </w:rPr>
        <w:t>CP 63560</w:t>
      </w:r>
    </w:p>
    <w:p w14:paraId="6D7576FF" w14:textId="77777777" w:rsidR="002653E8" w:rsidRDefault="003115E3">
      <w:pPr>
        <w:pStyle w:val="a3"/>
        <w:spacing w:before="6" w:line="244" w:lineRule="auto"/>
        <w:ind w:left="4921" w:right="1515"/>
        <w:jc w:val="center"/>
      </w:pPr>
      <w:r>
        <w:rPr>
          <w:color w:val="231F20"/>
          <w:w w:val="105"/>
        </w:rPr>
        <w:t>CCCP Van Horne Montreal, Quebec,</w:t>
      </w:r>
    </w:p>
    <w:p w14:paraId="4E630242" w14:textId="77777777" w:rsidR="002653E8" w:rsidRDefault="003115E3">
      <w:pPr>
        <w:pStyle w:val="a3"/>
        <w:spacing w:before="1" w:line="244" w:lineRule="auto"/>
        <w:ind w:left="4714" w:right="1309" w:firstLine="1"/>
        <w:jc w:val="center"/>
      </w:pPr>
      <w:r>
        <w:rPr>
          <w:color w:val="231F20"/>
          <w:w w:val="105"/>
        </w:rPr>
        <w:t xml:space="preserve">Canada, H3W 3H8 </w:t>
      </w:r>
      <w:hyperlink r:id="rId649">
        <w:r>
          <w:rPr>
            <w:color w:val="231F20"/>
            <w:w w:val="95"/>
          </w:rPr>
          <w:t>http://www.kersplebedeb.com</w:t>
        </w:r>
      </w:hyperlink>
      <w:r>
        <w:rPr>
          <w:color w:val="231F20"/>
          <w:w w:val="95"/>
        </w:rPr>
        <w:t xml:space="preserve"> </w:t>
      </w:r>
      <w:hyperlink r:id="rId650">
        <w:r>
          <w:rPr>
            <w:color w:val="231F20"/>
            <w:w w:val="105"/>
          </w:rPr>
          <w:t>info@kersplebedeb.com</w:t>
        </w:r>
      </w:hyperlink>
    </w:p>
    <w:p w14:paraId="475A84DA" w14:textId="77777777" w:rsidR="002653E8" w:rsidRDefault="002653E8">
      <w:pPr>
        <w:pStyle w:val="a3"/>
        <w:spacing w:before="1"/>
        <w:rPr>
          <w:sz w:val="22"/>
        </w:rPr>
      </w:pPr>
    </w:p>
    <w:p w14:paraId="76A78818" w14:textId="77777777" w:rsidR="002653E8" w:rsidRDefault="003115E3">
      <w:pPr>
        <w:pStyle w:val="a3"/>
        <w:spacing w:line="244" w:lineRule="auto"/>
        <w:ind w:left="4857" w:right="1454" w:firstLine="2"/>
        <w:jc w:val="center"/>
      </w:pPr>
      <w:r>
        <w:rPr>
          <w:color w:val="231F20"/>
        </w:rPr>
        <w:t xml:space="preserve">Since 1998 </w:t>
      </w:r>
      <w:r>
        <w:rPr>
          <w:b/>
          <w:color w:val="231F20"/>
        </w:rPr>
        <w:t xml:space="preserve">Kersplebedeb </w:t>
      </w:r>
      <w:r>
        <w:rPr>
          <w:color w:val="231F20"/>
        </w:rPr>
        <w:t>has been an important source of radical literature and agit prop materials.</w:t>
      </w:r>
    </w:p>
    <w:p w14:paraId="141CE5F3" w14:textId="77777777" w:rsidR="002653E8" w:rsidRDefault="003115E3">
      <w:pPr>
        <w:pStyle w:val="a3"/>
        <w:spacing w:before="131" w:line="244" w:lineRule="auto"/>
        <w:ind w:left="4624" w:right="1221"/>
        <w:jc w:val="center"/>
      </w:pPr>
      <w:r>
        <w:rPr>
          <w:color w:val="231F20"/>
        </w:rPr>
        <w:t>The project has a non-exclusive focus on anti-patriarchal</w:t>
      </w:r>
    </w:p>
    <w:p w14:paraId="33AE5E0A" w14:textId="77777777" w:rsidR="002653E8" w:rsidRDefault="003115E3">
      <w:pPr>
        <w:pStyle w:val="a3"/>
        <w:spacing w:before="2" w:line="244" w:lineRule="auto"/>
        <w:ind w:left="4665" w:right="1262" w:firstLine="9"/>
        <w:jc w:val="center"/>
      </w:pPr>
      <w:r>
        <w:rPr>
          <w:color w:val="231F20"/>
        </w:rPr>
        <w:t>and anti-imperialist politics, framed within an anticapitalist perspective. A special priority is given to writings regarding armed struggle in the metropole, and the continuing struggles of political prisoners and prisoners of</w:t>
      </w:r>
      <w:r>
        <w:rPr>
          <w:color w:val="231F20"/>
          <w:spacing w:val="6"/>
        </w:rPr>
        <w:t xml:space="preserve"> </w:t>
      </w:r>
      <w:r>
        <w:rPr>
          <w:color w:val="231F20"/>
          <w:spacing w:val="-6"/>
        </w:rPr>
        <w:t>war.</w:t>
      </w:r>
    </w:p>
    <w:p w14:paraId="435A7967" w14:textId="77777777" w:rsidR="002653E8" w:rsidRDefault="003115E3">
      <w:pPr>
        <w:pStyle w:val="a3"/>
        <w:spacing w:before="1"/>
        <w:rPr>
          <w:sz w:val="23"/>
        </w:rPr>
      </w:pPr>
      <w:r>
        <w:drawing>
          <wp:anchor distT="0" distB="0" distL="0" distR="0" simplePos="0" relativeHeight="11776" behindDoc="0" locked="0" layoutInCell="1" allowOverlap="1" wp14:anchorId="5EEF73C2" wp14:editId="2338BD48">
            <wp:simplePos x="0" y="0"/>
            <wp:positionH relativeFrom="page">
              <wp:posOffset>3622370</wp:posOffset>
            </wp:positionH>
            <wp:positionV relativeFrom="paragraph">
              <wp:posOffset>196824</wp:posOffset>
            </wp:positionV>
            <wp:extent cx="390049" cy="696849"/>
            <wp:effectExtent l="0" t="0" r="0" b="0"/>
            <wp:wrapTopAndBottom/>
            <wp:docPr id="95"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1.png"/>
                    <pic:cNvPicPr/>
                  </pic:nvPicPr>
                  <pic:blipFill>
                    <a:blip r:embed="rId651" cstate="print"/>
                    <a:stretch>
                      <a:fillRect/>
                    </a:stretch>
                  </pic:blipFill>
                  <pic:spPr>
                    <a:xfrm>
                      <a:off x="0" y="0"/>
                      <a:ext cx="390049" cy="696849"/>
                    </a:xfrm>
                    <a:prstGeom prst="rect">
                      <a:avLst/>
                    </a:prstGeom>
                  </pic:spPr>
                </pic:pic>
              </a:graphicData>
            </a:graphic>
          </wp:anchor>
        </w:drawing>
      </w:r>
    </w:p>
    <w:p w14:paraId="00F0411C" w14:textId="77777777" w:rsidR="002653E8" w:rsidRDefault="002653E8">
      <w:pPr>
        <w:rPr>
          <w:sz w:val="23"/>
        </w:rPr>
        <w:sectPr w:rsidR="002653E8">
          <w:footerReference w:type="even" r:id="rId652"/>
          <w:pgSz w:w="8640" w:h="12960"/>
          <w:pgMar w:top="1220" w:right="0" w:bottom="280" w:left="0" w:header="0" w:footer="0" w:gutter="0"/>
          <w:cols w:space="720"/>
        </w:sectPr>
      </w:pPr>
    </w:p>
    <w:p w14:paraId="1BFE76BD" w14:textId="77777777" w:rsidR="002653E8" w:rsidRDefault="002653E8">
      <w:pPr>
        <w:pStyle w:val="a3"/>
        <w:rPr>
          <w:sz w:val="17"/>
        </w:rPr>
      </w:pPr>
    </w:p>
    <w:p w14:paraId="0C1DE08B" w14:textId="77777777" w:rsidR="002653E8" w:rsidRDefault="00000000">
      <w:pPr>
        <w:pStyle w:val="a3"/>
        <w:ind w:left="1287"/>
      </w:pPr>
      <w:r>
        <w:pict w14:anchorId="02C027EF">
          <v:shape id="_x0000_s2740" type="#_x0000_t202" style="width:294.25pt;height:30.3pt;mso-left-percent:-10001;mso-top-percent:-10001;mso-position-horizontal:absolute;mso-position-horizontal-relative:char;mso-position-vertical:absolute;mso-position-vertical-relative:line;mso-left-percent:-10001;mso-top-percent:-10001" fillcolor="#231f20" stroked="f">
            <v:textbox inset="0,0,0,0">
              <w:txbxContent>
                <w:p w14:paraId="1405417C" w14:textId="77777777" w:rsidR="001008C3" w:rsidRDefault="001008C3">
                  <w:pPr>
                    <w:spacing w:before="127"/>
                    <w:ind w:left="2052" w:right="2044"/>
                    <w:jc w:val="center"/>
                    <w:rPr>
                      <w:rFonts w:ascii="Trebuchet MS"/>
                      <w:b/>
                      <w:sz w:val="36"/>
                    </w:rPr>
                  </w:pPr>
                  <w:r>
                    <w:rPr>
                      <w:rFonts w:ascii="Trebuchet MS"/>
                      <w:b/>
                      <w:color w:val="FFFFFF"/>
                      <w:sz w:val="36"/>
                    </w:rPr>
                    <w:t>ABOUT PM</w:t>
                  </w:r>
                </w:p>
              </w:txbxContent>
            </v:textbox>
            <w10:anchorlock/>
          </v:shape>
        </w:pict>
      </w:r>
    </w:p>
    <w:p w14:paraId="713BF618" w14:textId="77777777" w:rsidR="002653E8" w:rsidRDefault="002653E8">
      <w:pPr>
        <w:pStyle w:val="a3"/>
        <w:rPr>
          <w:sz w:val="17"/>
        </w:rPr>
      </w:pPr>
    </w:p>
    <w:p w14:paraId="245CE4C1" w14:textId="77777777" w:rsidR="002653E8" w:rsidRDefault="00000000">
      <w:pPr>
        <w:pStyle w:val="a3"/>
        <w:spacing w:before="102" w:line="218" w:lineRule="auto"/>
        <w:ind w:left="1657" w:right="1835"/>
        <w:jc w:val="center"/>
        <w:rPr>
          <w:rFonts w:ascii="Tahoma" w:hAnsi="Tahoma"/>
        </w:rPr>
      </w:pPr>
      <w:r>
        <w:rPr>
          <w:noProof w:val="0"/>
        </w:rPr>
        <w:pict w14:anchorId="20C8AF27">
          <v:group id="_x0000_s2110" style="position:absolute;left:0;text-align:left;margin-left:57.4pt;margin-top:-51.45pt;width:308.25pt;height:514.6pt;z-index:-452800;mso-position-horizontal-relative:page" coordorigin="1148,-1029" coordsize="6165,10292">
            <v:line id="_x0000_s2121" style="position:absolute" from="1288,-157" to="7172,-157" strokecolor="#231f20" strokeweight=".23567mm"/>
            <v:line id="_x0000_s2120" style="position:absolute" from="1288,-124" to="7172,-124" strokecolor="#231f20" strokeweight=".23567mm"/>
            <v:line id="_x0000_s2119" style="position:absolute" from="1288,-91" to="7172,-91" strokecolor="#231f20" strokeweight=".23567mm"/>
            <v:line id="_x0000_s2118" style="position:absolute" from="1288,8659" to="7172,8659" strokecolor="#231f20" strokeweight=".23567mm"/>
            <v:line id="_x0000_s2117" style="position:absolute" from="1288,8692" to="7172,8692" strokecolor="#231f20" strokeweight=".23567mm"/>
            <v:line id="_x0000_s2116" style="position:absolute" from="1288,8725" to="7172,8725" strokecolor="#231f20" strokeweight=".23567mm"/>
            <v:shape id="_x0000_s2115" type="#_x0000_t75" style="position:absolute;left:3757;top:7944;width:946;height:803">
              <v:imagedata r:id="rId653" o:title=""/>
            </v:shape>
            <v:line id="_x0000_s2114" style="position:absolute" from="1288,8919" to="7172,8919" strokecolor="#231f20" strokeweight=".23567mm"/>
            <v:line id="_x0000_s2113" style="position:absolute" from="1288,8952" to="7172,8952" strokecolor="#231f20" strokeweight=".23567mm"/>
            <v:line id="_x0000_s2112" style="position:absolute" from="1288,8985" to="7172,8985" strokecolor="#231f20" strokeweight=".23567mm"/>
            <v:shape id="_x0000_s2111" style="position:absolute;left:1247;top:-930;width:5965;height:10092" coordorigin="1248,-929" coordsize="5965,10092" path="m1389,-929r-40,5l1302,-905r-38,42l1248,-789r,9812l1253,9062r19,46l1314,9147r74,16l7072,9163r39,-5l7158,9139r38,-42l7212,9023r,-9812l7207,-829r-19,-46l7146,-913r-74,-16l1389,-929xe" filled="f" strokecolor="#231f20" strokeweight="10pt">
              <v:path arrowok="t"/>
            </v:shape>
            <w10:wrap anchorx="page"/>
          </v:group>
        </w:pict>
      </w:r>
      <w:r w:rsidR="003115E3">
        <w:rPr>
          <w:rFonts w:ascii="Tahoma" w:hAnsi="Tahoma"/>
          <w:color w:val="231F20"/>
        </w:rPr>
        <w:t xml:space="preserve">PM </w:t>
      </w:r>
      <w:r w:rsidR="003115E3">
        <w:rPr>
          <w:rFonts w:ascii="Tahoma" w:hAnsi="Tahoma"/>
          <w:color w:val="231F20"/>
          <w:spacing w:val="1"/>
        </w:rPr>
        <w:t xml:space="preserve">Press </w:t>
      </w:r>
      <w:r w:rsidR="003115E3">
        <w:rPr>
          <w:rFonts w:ascii="Tahoma" w:hAnsi="Tahoma"/>
          <w:color w:val="231F20"/>
        </w:rPr>
        <w:t xml:space="preserve">was </w:t>
      </w:r>
      <w:r w:rsidR="003115E3">
        <w:rPr>
          <w:rFonts w:ascii="Tahoma" w:hAnsi="Tahoma"/>
          <w:color w:val="231F20"/>
          <w:spacing w:val="1"/>
        </w:rPr>
        <w:t xml:space="preserve">founded </w:t>
      </w:r>
      <w:r w:rsidR="003115E3">
        <w:rPr>
          <w:rFonts w:ascii="Tahoma" w:hAnsi="Tahoma"/>
          <w:color w:val="231F20"/>
        </w:rPr>
        <w:t xml:space="preserve">at the end of </w:t>
      </w:r>
      <w:r w:rsidR="003115E3">
        <w:rPr>
          <w:rFonts w:ascii="Tahoma" w:hAnsi="Tahoma"/>
          <w:color w:val="231F20"/>
          <w:spacing w:val="1"/>
        </w:rPr>
        <w:t xml:space="preserve">2007 </w:t>
      </w:r>
      <w:r w:rsidR="003115E3">
        <w:rPr>
          <w:rFonts w:ascii="Tahoma" w:hAnsi="Tahoma"/>
          <w:color w:val="231F20"/>
        </w:rPr>
        <w:t xml:space="preserve">by a </w:t>
      </w:r>
      <w:r w:rsidR="003115E3">
        <w:rPr>
          <w:rFonts w:ascii="Tahoma" w:hAnsi="Tahoma"/>
          <w:color w:val="231F20"/>
          <w:spacing w:val="1"/>
        </w:rPr>
        <w:t xml:space="preserve">small collection </w:t>
      </w:r>
      <w:r w:rsidR="003115E3">
        <w:rPr>
          <w:rFonts w:ascii="Tahoma" w:hAnsi="Tahoma"/>
          <w:color w:val="231F20"/>
        </w:rPr>
        <w:t xml:space="preserve">of </w:t>
      </w:r>
      <w:r w:rsidR="003115E3">
        <w:rPr>
          <w:rFonts w:ascii="Tahoma" w:hAnsi="Tahoma"/>
          <w:color w:val="231F20"/>
          <w:spacing w:val="1"/>
        </w:rPr>
        <w:t xml:space="preserve">folks with decades </w:t>
      </w:r>
      <w:r w:rsidR="003115E3">
        <w:rPr>
          <w:rFonts w:ascii="Tahoma" w:hAnsi="Tahoma"/>
          <w:color w:val="231F20"/>
        </w:rPr>
        <w:t xml:space="preserve">of </w:t>
      </w:r>
      <w:r w:rsidR="003115E3">
        <w:rPr>
          <w:rFonts w:ascii="Tahoma" w:hAnsi="Tahoma"/>
          <w:color w:val="231F20"/>
          <w:spacing w:val="1"/>
        </w:rPr>
        <w:t xml:space="preserve">publishing, media, </w:t>
      </w:r>
      <w:r w:rsidR="003115E3">
        <w:rPr>
          <w:rFonts w:ascii="Tahoma" w:hAnsi="Tahoma"/>
          <w:color w:val="231F20"/>
        </w:rPr>
        <w:t xml:space="preserve">and </w:t>
      </w:r>
      <w:r w:rsidR="003115E3">
        <w:rPr>
          <w:rFonts w:ascii="Tahoma" w:hAnsi="Tahoma"/>
          <w:color w:val="231F20"/>
          <w:spacing w:val="1"/>
        </w:rPr>
        <w:t xml:space="preserve">organizing experience. </w:t>
      </w:r>
      <w:r w:rsidR="003115E3">
        <w:rPr>
          <w:rFonts w:ascii="Tahoma" w:hAnsi="Tahoma"/>
          <w:color w:val="231F20"/>
        </w:rPr>
        <w:t xml:space="preserve">PM </w:t>
      </w:r>
      <w:r w:rsidR="003115E3">
        <w:rPr>
          <w:rFonts w:ascii="Tahoma" w:hAnsi="Tahoma"/>
          <w:color w:val="231F20"/>
          <w:spacing w:val="1"/>
        </w:rPr>
        <w:t xml:space="preserve">co-founder Ramsey </w:t>
      </w:r>
      <w:r w:rsidR="003115E3">
        <w:rPr>
          <w:rFonts w:ascii="Tahoma" w:hAnsi="Tahoma"/>
          <w:color w:val="231F20"/>
          <w:spacing w:val="2"/>
        </w:rPr>
        <w:t xml:space="preserve">Kanaan </w:t>
      </w:r>
      <w:r w:rsidR="003115E3">
        <w:rPr>
          <w:rFonts w:ascii="Tahoma" w:hAnsi="Tahoma"/>
          <w:color w:val="231F20"/>
          <w:spacing w:val="1"/>
        </w:rPr>
        <w:t xml:space="preserve">started </w:t>
      </w:r>
      <w:r w:rsidR="003115E3">
        <w:rPr>
          <w:rFonts w:ascii="Tahoma" w:hAnsi="Tahoma"/>
          <w:color w:val="231F20"/>
        </w:rPr>
        <w:t xml:space="preserve">AK </w:t>
      </w:r>
      <w:r w:rsidR="003115E3">
        <w:rPr>
          <w:rFonts w:ascii="Tahoma" w:hAnsi="Tahoma"/>
          <w:color w:val="231F20"/>
          <w:spacing w:val="1"/>
        </w:rPr>
        <w:t xml:space="preserve">Press </w:t>
      </w:r>
      <w:r w:rsidR="003115E3">
        <w:rPr>
          <w:rFonts w:ascii="Tahoma" w:hAnsi="Tahoma"/>
          <w:color w:val="231F20"/>
        </w:rPr>
        <w:t xml:space="preserve">as a young </w:t>
      </w:r>
      <w:r w:rsidR="003115E3">
        <w:rPr>
          <w:rFonts w:ascii="Tahoma" w:hAnsi="Tahoma"/>
          <w:color w:val="231F20"/>
          <w:spacing w:val="1"/>
        </w:rPr>
        <w:t xml:space="preserve">teenager </w:t>
      </w:r>
      <w:r w:rsidR="003115E3">
        <w:rPr>
          <w:rFonts w:ascii="Tahoma" w:hAnsi="Tahoma"/>
          <w:color w:val="231F20"/>
        </w:rPr>
        <w:t xml:space="preserve">in </w:t>
      </w:r>
      <w:r w:rsidR="003115E3">
        <w:rPr>
          <w:rFonts w:ascii="Tahoma" w:hAnsi="Tahoma"/>
          <w:color w:val="231F20"/>
          <w:spacing w:val="1"/>
        </w:rPr>
        <w:t xml:space="preserve">Scotland </w:t>
      </w:r>
      <w:r w:rsidR="003115E3">
        <w:rPr>
          <w:rFonts w:ascii="Tahoma" w:hAnsi="Tahoma"/>
          <w:color w:val="231F20"/>
          <w:spacing w:val="2"/>
        </w:rPr>
        <w:t xml:space="preserve">almost </w:t>
      </w:r>
      <w:r w:rsidR="003115E3">
        <w:rPr>
          <w:rFonts w:ascii="Tahoma" w:hAnsi="Tahoma"/>
          <w:color w:val="231F20"/>
        </w:rPr>
        <w:t xml:space="preserve">30 years ago </w:t>
      </w:r>
      <w:r w:rsidR="003115E3">
        <w:rPr>
          <w:rFonts w:ascii="Tahoma" w:hAnsi="Tahoma"/>
          <w:color w:val="231F20"/>
          <w:spacing w:val="1"/>
        </w:rPr>
        <w:t xml:space="preserve">and, together with </w:t>
      </w:r>
      <w:r w:rsidR="003115E3">
        <w:rPr>
          <w:rFonts w:ascii="Tahoma" w:hAnsi="Tahoma"/>
          <w:color w:val="231F20"/>
        </w:rPr>
        <w:t xml:space="preserve">his </w:t>
      </w:r>
      <w:r w:rsidR="003115E3">
        <w:rPr>
          <w:rFonts w:ascii="Tahoma" w:hAnsi="Tahoma"/>
          <w:color w:val="231F20"/>
          <w:spacing w:val="1"/>
        </w:rPr>
        <w:t xml:space="preserve">fellow </w:t>
      </w:r>
      <w:r w:rsidR="003115E3">
        <w:rPr>
          <w:rFonts w:ascii="Tahoma" w:hAnsi="Tahoma"/>
          <w:color w:val="231F20"/>
        </w:rPr>
        <w:t xml:space="preserve">PM </w:t>
      </w:r>
      <w:r w:rsidR="003115E3">
        <w:rPr>
          <w:rFonts w:ascii="Tahoma" w:hAnsi="Tahoma"/>
          <w:color w:val="231F20"/>
          <w:spacing w:val="1"/>
        </w:rPr>
        <w:t xml:space="preserve">Press </w:t>
      </w:r>
      <w:r w:rsidR="003115E3">
        <w:rPr>
          <w:rFonts w:ascii="Tahoma" w:hAnsi="Tahoma"/>
          <w:color w:val="231F20"/>
          <w:spacing w:val="2"/>
        </w:rPr>
        <w:t>co</w:t>
      </w:r>
      <w:r w:rsidR="003115E3">
        <w:rPr>
          <w:rFonts w:ascii="Tahoma" w:hAnsi="Tahoma"/>
          <w:color w:val="231F20"/>
          <w:spacing w:val="1"/>
        </w:rPr>
        <w:t xml:space="preserve">conspirators, </w:t>
      </w:r>
      <w:r w:rsidR="003115E3">
        <w:rPr>
          <w:rFonts w:ascii="Tahoma" w:hAnsi="Tahoma"/>
          <w:color w:val="231F20"/>
        </w:rPr>
        <w:t xml:space="preserve">has </w:t>
      </w:r>
      <w:r w:rsidR="003115E3">
        <w:rPr>
          <w:rFonts w:ascii="Tahoma" w:hAnsi="Tahoma"/>
          <w:color w:val="231F20"/>
          <w:spacing w:val="1"/>
        </w:rPr>
        <w:t xml:space="preserve">published </w:t>
      </w:r>
      <w:r w:rsidR="003115E3">
        <w:rPr>
          <w:rFonts w:ascii="Tahoma" w:hAnsi="Tahoma"/>
          <w:color w:val="231F20"/>
        </w:rPr>
        <w:t xml:space="preserve">and </w:t>
      </w:r>
      <w:r w:rsidR="003115E3">
        <w:rPr>
          <w:rFonts w:ascii="Tahoma" w:hAnsi="Tahoma"/>
          <w:color w:val="231F20"/>
          <w:spacing w:val="1"/>
        </w:rPr>
        <w:t xml:space="preserve">distributed hundreds </w:t>
      </w:r>
      <w:r w:rsidR="003115E3">
        <w:rPr>
          <w:rFonts w:ascii="Tahoma" w:hAnsi="Tahoma"/>
          <w:color w:val="231F20"/>
        </w:rPr>
        <w:t xml:space="preserve">of </w:t>
      </w:r>
      <w:r w:rsidR="003115E3">
        <w:rPr>
          <w:rFonts w:ascii="Tahoma" w:hAnsi="Tahoma"/>
          <w:color w:val="231F20"/>
          <w:spacing w:val="1"/>
        </w:rPr>
        <w:t xml:space="preserve">books, pamphlets, CDs, </w:t>
      </w:r>
      <w:r w:rsidR="003115E3">
        <w:rPr>
          <w:rFonts w:ascii="Tahoma" w:hAnsi="Tahoma"/>
          <w:color w:val="231F20"/>
        </w:rPr>
        <w:t xml:space="preserve">and DVDs. </w:t>
      </w:r>
      <w:r w:rsidR="003115E3">
        <w:rPr>
          <w:rFonts w:ascii="Tahoma" w:hAnsi="Tahoma"/>
          <w:color w:val="231F20"/>
          <w:spacing w:val="1"/>
        </w:rPr>
        <w:t xml:space="preserve">Members </w:t>
      </w:r>
      <w:r w:rsidR="003115E3">
        <w:rPr>
          <w:rFonts w:ascii="Tahoma" w:hAnsi="Tahoma"/>
          <w:color w:val="231F20"/>
        </w:rPr>
        <w:t xml:space="preserve">of PM have </w:t>
      </w:r>
      <w:r w:rsidR="003115E3">
        <w:rPr>
          <w:rFonts w:ascii="Tahoma" w:hAnsi="Tahoma"/>
          <w:color w:val="231F20"/>
          <w:spacing w:val="1"/>
        </w:rPr>
        <w:t xml:space="preserve">founded enduring book fairs, spearheaded </w:t>
      </w:r>
      <w:r w:rsidR="003115E3">
        <w:rPr>
          <w:rFonts w:ascii="Tahoma" w:hAnsi="Tahoma"/>
          <w:color w:val="231F20"/>
          <w:spacing w:val="2"/>
        </w:rPr>
        <w:t xml:space="preserve">victorious </w:t>
      </w:r>
      <w:r w:rsidR="003115E3">
        <w:rPr>
          <w:rFonts w:ascii="Tahoma" w:hAnsi="Tahoma"/>
          <w:color w:val="231F20"/>
          <w:spacing w:val="1"/>
        </w:rPr>
        <w:t xml:space="preserve">tenant organizing campaigns, </w:t>
      </w:r>
      <w:r w:rsidR="003115E3">
        <w:rPr>
          <w:rFonts w:ascii="Tahoma" w:hAnsi="Tahoma"/>
          <w:color w:val="231F20"/>
        </w:rPr>
        <w:t xml:space="preserve">and </w:t>
      </w:r>
      <w:r w:rsidR="003115E3">
        <w:rPr>
          <w:rFonts w:ascii="Tahoma" w:hAnsi="Tahoma"/>
          <w:color w:val="231F20"/>
          <w:spacing w:val="1"/>
        </w:rPr>
        <w:t xml:space="preserve">worked closely with bookstores, academic conferences, </w:t>
      </w:r>
      <w:r w:rsidR="003115E3">
        <w:rPr>
          <w:rFonts w:ascii="Tahoma" w:hAnsi="Tahoma"/>
          <w:color w:val="231F20"/>
        </w:rPr>
        <w:t xml:space="preserve">and even rock </w:t>
      </w:r>
      <w:r w:rsidR="003115E3">
        <w:rPr>
          <w:rFonts w:ascii="Tahoma" w:hAnsi="Tahoma"/>
          <w:color w:val="231F20"/>
          <w:spacing w:val="2"/>
        </w:rPr>
        <w:t xml:space="preserve">bands </w:t>
      </w:r>
      <w:r w:rsidR="003115E3">
        <w:rPr>
          <w:rFonts w:ascii="Tahoma" w:hAnsi="Tahoma"/>
          <w:color w:val="231F20"/>
        </w:rPr>
        <w:t xml:space="preserve">to deliver </w:t>
      </w:r>
      <w:r w:rsidR="003115E3">
        <w:rPr>
          <w:rFonts w:ascii="Tahoma" w:hAnsi="Tahoma"/>
          <w:color w:val="231F20"/>
          <w:spacing w:val="1"/>
        </w:rPr>
        <w:t xml:space="preserve">political </w:t>
      </w:r>
      <w:r w:rsidR="003115E3">
        <w:rPr>
          <w:rFonts w:ascii="Tahoma" w:hAnsi="Tahoma"/>
          <w:color w:val="231F20"/>
        </w:rPr>
        <w:t xml:space="preserve">and </w:t>
      </w:r>
      <w:r w:rsidR="003115E3">
        <w:rPr>
          <w:rFonts w:ascii="Tahoma" w:hAnsi="Tahoma"/>
          <w:color w:val="231F20"/>
          <w:spacing w:val="1"/>
        </w:rPr>
        <w:t xml:space="preserve">challenging ideas </w:t>
      </w:r>
      <w:r w:rsidR="003115E3">
        <w:rPr>
          <w:rFonts w:ascii="Tahoma" w:hAnsi="Tahoma"/>
          <w:color w:val="231F20"/>
        </w:rPr>
        <w:t xml:space="preserve">to all walks </w:t>
      </w:r>
      <w:r w:rsidR="003115E3">
        <w:rPr>
          <w:rFonts w:ascii="Tahoma" w:hAnsi="Tahoma"/>
          <w:color w:val="231F20"/>
          <w:spacing w:val="2"/>
        </w:rPr>
        <w:t xml:space="preserve">of </w:t>
      </w:r>
      <w:r w:rsidR="003115E3">
        <w:rPr>
          <w:rFonts w:ascii="Tahoma" w:hAnsi="Tahoma"/>
          <w:color w:val="231F20"/>
          <w:spacing w:val="1"/>
        </w:rPr>
        <w:t xml:space="preserve">life. </w:t>
      </w:r>
      <w:r w:rsidR="003115E3">
        <w:rPr>
          <w:rFonts w:ascii="Tahoma" w:hAnsi="Tahoma"/>
          <w:color w:val="231F20"/>
        </w:rPr>
        <w:t xml:space="preserve">We’re old </w:t>
      </w:r>
      <w:r w:rsidR="003115E3">
        <w:rPr>
          <w:rFonts w:ascii="Tahoma" w:hAnsi="Tahoma"/>
          <w:color w:val="231F20"/>
          <w:spacing w:val="1"/>
        </w:rPr>
        <w:t xml:space="preserve">enough </w:t>
      </w:r>
      <w:r w:rsidR="003115E3">
        <w:rPr>
          <w:rFonts w:ascii="Tahoma" w:hAnsi="Tahoma"/>
          <w:color w:val="231F20"/>
        </w:rPr>
        <w:t xml:space="preserve">to know what we’re </w:t>
      </w:r>
      <w:r w:rsidR="003115E3">
        <w:rPr>
          <w:rFonts w:ascii="Tahoma" w:hAnsi="Tahoma"/>
          <w:color w:val="231F20"/>
          <w:spacing w:val="1"/>
        </w:rPr>
        <w:t xml:space="preserve">doing </w:t>
      </w:r>
      <w:r w:rsidR="003115E3">
        <w:rPr>
          <w:rFonts w:ascii="Tahoma" w:hAnsi="Tahoma"/>
          <w:color w:val="231F20"/>
          <w:spacing w:val="2"/>
        </w:rPr>
        <w:t xml:space="preserve">and </w:t>
      </w:r>
      <w:r w:rsidR="003115E3">
        <w:rPr>
          <w:rFonts w:ascii="Tahoma" w:hAnsi="Tahoma"/>
          <w:color w:val="231F20"/>
        </w:rPr>
        <w:t xml:space="preserve">young </w:t>
      </w:r>
      <w:r w:rsidR="003115E3">
        <w:rPr>
          <w:rFonts w:ascii="Tahoma" w:hAnsi="Tahoma"/>
          <w:color w:val="231F20"/>
          <w:spacing w:val="1"/>
        </w:rPr>
        <w:t xml:space="preserve">enough </w:t>
      </w:r>
      <w:r w:rsidR="003115E3">
        <w:rPr>
          <w:rFonts w:ascii="Tahoma" w:hAnsi="Tahoma"/>
          <w:color w:val="231F20"/>
        </w:rPr>
        <w:t>to know what’s at</w:t>
      </w:r>
      <w:r w:rsidR="003115E3">
        <w:rPr>
          <w:rFonts w:ascii="Tahoma" w:hAnsi="Tahoma"/>
          <w:color w:val="231F20"/>
          <w:spacing w:val="43"/>
        </w:rPr>
        <w:t xml:space="preserve"> </w:t>
      </w:r>
      <w:r w:rsidR="003115E3">
        <w:rPr>
          <w:rFonts w:ascii="Tahoma" w:hAnsi="Tahoma"/>
          <w:color w:val="231F20"/>
          <w:spacing w:val="2"/>
        </w:rPr>
        <w:t>stake.</w:t>
      </w:r>
    </w:p>
    <w:p w14:paraId="1AC07CE2" w14:textId="77777777" w:rsidR="002653E8" w:rsidRDefault="002653E8">
      <w:pPr>
        <w:pStyle w:val="a3"/>
        <w:spacing w:before="6"/>
        <w:rPr>
          <w:rFonts w:ascii="Tahoma"/>
          <w:sz w:val="21"/>
        </w:rPr>
      </w:pPr>
    </w:p>
    <w:p w14:paraId="6583A97D" w14:textId="77777777" w:rsidR="002653E8" w:rsidRDefault="003115E3">
      <w:pPr>
        <w:pStyle w:val="a3"/>
        <w:spacing w:line="218" w:lineRule="auto"/>
        <w:ind w:left="1691" w:right="1870" w:hanging="1"/>
        <w:jc w:val="center"/>
        <w:rPr>
          <w:rFonts w:ascii="Tahoma" w:hAnsi="Tahoma"/>
        </w:rPr>
      </w:pPr>
      <w:r>
        <w:rPr>
          <w:rFonts w:ascii="Tahoma" w:hAnsi="Tahoma"/>
          <w:color w:val="231F20"/>
        </w:rPr>
        <w:t xml:space="preserve">We </w:t>
      </w:r>
      <w:r>
        <w:rPr>
          <w:rFonts w:ascii="Tahoma" w:hAnsi="Tahoma"/>
          <w:color w:val="231F20"/>
          <w:spacing w:val="1"/>
        </w:rPr>
        <w:t xml:space="preserve">seek </w:t>
      </w:r>
      <w:r>
        <w:rPr>
          <w:rFonts w:ascii="Tahoma" w:hAnsi="Tahoma"/>
          <w:color w:val="231F20"/>
        </w:rPr>
        <w:t xml:space="preserve">to </w:t>
      </w:r>
      <w:r>
        <w:rPr>
          <w:rFonts w:ascii="Tahoma" w:hAnsi="Tahoma"/>
          <w:color w:val="231F20"/>
          <w:spacing w:val="1"/>
        </w:rPr>
        <w:t xml:space="preserve">create radical </w:t>
      </w:r>
      <w:r>
        <w:rPr>
          <w:rFonts w:ascii="Tahoma" w:hAnsi="Tahoma"/>
          <w:color w:val="231F20"/>
        </w:rPr>
        <w:t xml:space="preserve">and </w:t>
      </w:r>
      <w:r>
        <w:rPr>
          <w:rFonts w:ascii="Tahoma" w:hAnsi="Tahoma"/>
          <w:color w:val="231F20"/>
          <w:spacing w:val="1"/>
        </w:rPr>
        <w:t xml:space="preserve">stimulating fiction </w:t>
      </w:r>
      <w:r>
        <w:rPr>
          <w:rFonts w:ascii="Tahoma" w:hAnsi="Tahoma"/>
          <w:color w:val="231F20"/>
        </w:rPr>
        <w:t xml:space="preserve">and </w:t>
      </w:r>
      <w:r>
        <w:rPr>
          <w:rFonts w:ascii="Tahoma" w:hAnsi="Tahoma"/>
          <w:color w:val="231F20"/>
          <w:spacing w:val="1"/>
        </w:rPr>
        <w:t xml:space="preserve">non-fiction books, pamphlets, t-shirts, visual </w:t>
      </w:r>
      <w:r>
        <w:rPr>
          <w:rFonts w:ascii="Tahoma" w:hAnsi="Tahoma"/>
          <w:color w:val="231F20"/>
        </w:rPr>
        <w:t xml:space="preserve">and </w:t>
      </w:r>
      <w:r>
        <w:rPr>
          <w:rFonts w:ascii="Tahoma" w:hAnsi="Tahoma"/>
          <w:color w:val="231F20"/>
          <w:spacing w:val="1"/>
        </w:rPr>
        <w:t xml:space="preserve">audio materials </w:t>
      </w:r>
      <w:r>
        <w:rPr>
          <w:rFonts w:ascii="Tahoma" w:hAnsi="Tahoma"/>
          <w:color w:val="231F20"/>
        </w:rPr>
        <w:t xml:space="preserve">to </w:t>
      </w:r>
      <w:r>
        <w:rPr>
          <w:rFonts w:ascii="Tahoma" w:hAnsi="Tahoma"/>
          <w:color w:val="231F20"/>
          <w:spacing w:val="1"/>
        </w:rPr>
        <w:t xml:space="preserve">entertain, educate </w:t>
      </w:r>
      <w:r>
        <w:rPr>
          <w:rFonts w:ascii="Tahoma" w:hAnsi="Tahoma"/>
          <w:color w:val="231F20"/>
        </w:rPr>
        <w:t xml:space="preserve">and </w:t>
      </w:r>
      <w:r>
        <w:rPr>
          <w:rFonts w:ascii="Tahoma" w:hAnsi="Tahoma"/>
          <w:color w:val="231F20"/>
          <w:spacing w:val="1"/>
        </w:rPr>
        <w:t xml:space="preserve">inspire </w:t>
      </w:r>
      <w:r>
        <w:rPr>
          <w:rFonts w:ascii="Tahoma" w:hAnsi="Tahoma"/>
          <w:color w:val="231F20"/>
        </w:rPr>
        <w:t xml:space="preserve">you. We aim to </w:t>
      </w:r>
      <w:r>
        <w:rPr>
          <w:rFonts w:ascii="Tahoma" w:hAnsi="Tahoma"/>
          <w:color w:val="231F20"/>
          <w:spacing w:val="1"/>
        </w:rPr>
        <w:t xml:space="preserve">distribute these through </w:t>
      </w:r>
      <w:r>
        <w:rPr>
          <w:rFonts w:ascii="Tahoma" w:hAnsi="Tahoma"/>
          <w:color w:val="231F20"/>
        </w:rPr>
        <w:t xml:space="preserve">every available </w:t>
      </w:r>
      <w:r>
        <w:rPr>
          <w:rFonts w:ascii="Tahoma" w:hAnsi="Tahoma"/>
          <w:color w:val="231F20"/>
          <w:spacing w:val="1"/>
        </w:rPr>
        <w:t xml:space="preserve">channel </w:t>
      </w:r>
      <w:r>
        <w:rPr>
          <w:rFonts w:ascii="Tahoma" w:hAnsi="Tahoma"/>
          <w:color w:val="231F20"/>
          <w:spacing w:val="2"/>
        </w:rPr>
        <w:t xml:space="preserve">with </w:t>
      </w:r>
      <w:r>
        <w:rPr>
          <w:rFonts w:ascii="Tahoma" w:hAnsi="Tahoma"/>
          <w:color w:val="231F20"/>
        </w:rPr>
        <w:t xml:space="preserve">every available </w:t>
      </w:r>
      <w:r>
        <w:rPr>
          <w:rFonts w:ascii="Tahoma" w:hAnsi="Tahoma"/>
          <w:color w:val="231F20"/>
          <w:spacing w:val="1"/>
        </w:rPr>
        <w:t xml:space="preserve">technology whether that means </w:t>
      </w:r>
      <w:r>
        <w:rPr>
          <w:rFonts w:ascii="Tahoma" w:hAnsi="Tahoma"/>
          <w:color w:val="231F20"/>
        </w:rPr>
        <w:t xml:space="preserve">you  are </w:t>
      </w:r>
      <w:r>
        <w:rPr>
          <w:rFonts w:ascii="Tahoma" w:hAnsi="Tahoma"/>
          <w:color w:val="231F20"/>
          <w:spacing w:val="1"/>
        </w:rPr>
        <w:t xml:space="preserve">seeing anarchist classics </w:t>
      </w:r>
      <w:r>
        <w:rPr>
          <w:rFonts w:ascii="Tahoma" w:hAnsi="Tahoma"/>
          <w:color w:val="231F20"/>
        </w:rPr>
        <w:t xml:space="preserve">at our </w:t>
      </w:r>
      <w:r>
        <w:rPr>
          <w:rFonts w:ascii="Tahoma" w:hAnsi="Tahoma"/>
          <w:color w:val="231F20"/>
          <w:spacing w:val="1"/>
        </w:rPr>
        <w:t>bookfair stalls; read</w:t>
      </w:r>
      <w:r>
        <w:rPr>
          <w:rFonts w:ascii="Tahoma" w:hAnsi="Tahoma"/>
          <w:color w:val="231F20"/>
        </w:rPr>
        <w:t xml:space="preserve">ing our </w:t>
      </w:r>
      <w:r>
        <w:rPr>
          <w:rFonts w:ascii="Tahoma" w:hAnsi="Tahoma"/>
          <w:color w:val="231F20"/>
          <w:spacing w:val="1"/>
        </w:rPr>
        <w:t xml:space="preserve">latest </w:t>
      </w:r>
      <w:r>
        <w:rPr>
          <w:rFonts w:ascii="Tahoma" w:hAnsi="Tahoma"/>
          <w:color w:val="231F20"/>
        </w:rPr>
        <w:t xml:space="preserve">vegan </w:t>
      </w:r>
      <w:r>
        <w:rPr>
          <w:rFonts w:ascii="Tahoma" w:hAnsi="Tahoma"/>
          <w:color w:val="231F20"/>
          <w:spacing w:val="1"/>
        </w:rPr>
        <w:t xml:space="preserve">cookbook </w:t>
      </w:r>
      <w:r>
        <w:rPr>
          <w:rFonts w:ascii="Tahoma" w:hAnsi="Tahoma"/>
          <w:color w:val="231F20"/>
        </w:rPr>
        <w:t xml:space="preserve">at the </w:t>
      </w:r>
      <w:r>
        <w:rPr>
          <w:rFonts w:ascii="Tahoma" w:hAnsi="Tahoma"/>
          <w:color w:val="231F20"/>
          <w:spacing w:val="1"/>
        </w:rPr>
        <w:t xml:space="preserve">café; downloading </w:t>
      </w:r>
      <w:r>
        <w:rPr>
          <w:rFonts w:ascii="Tahoma" w:hAnsi="Tahoma"/>
          <w:color w:val="231F20"/>
        </w:rPr>
        <w:t xml:space="preserve">geeky fiction </w:t>
      </w:r>
      <w:r>
        <w:rPr>
          <w:rFonts w:ascii="Tahoma" w:hAnsi="Tahoma"/>
          <w:color w:val="231F20"/>
          <w:spacing w:val="1"/>
        </w:rPr>
        <w:t xml:space="preserve">e-books; </w:t>
      </w:r>
      <w:r>
        <w:rPr>
          <w:rFonts w:ascii="Tahoma" w:hAnsi="Tahoma"/>
          <w:color w:val="231F20"/>
        </w:rPr>
        <w:t xml:space="preserve">or </w:t>
      </w:r>
      <w:r>
        <w:rPr>
          <w:rFonts w:ascii="Tahoma" w:hAnsi="Tahoma"/>
          <w:color w:val="231F20"/>
          <w:spacing w:val="1"/>
        </w:rPr>
        <w:t xml:space="preserve">digging </w:t>
      </w:r>
      <w:r>
        <w:rPr>
          <w:rFonts w:ascii="Tahoma" w:hAnsi="Tahoma"/>
          <w:color w:val="231F20"/>
        </w:rPr>
        <w:t xml:space="preserve">new </w:t>
      </w:r>
      <w:r>
        <w:rPr>
          <w:rFonts w:ascii="Tahoma" w:hAnsi="Tahoma"/>
          <w:color w:val="231F20"/>
          <w:spacing w:val="1"/>
        </w:rPr>
        <w:t xml:space="preserve">music </w:t>
      </w:r>
      <w:r>
        <w:rPr>
          <w:rFonts w:ascii="Tahoma" w:hAnsi="Tahoma"/>
          <w:color w:val="231F20"/>
        </w:rPr>
        <w:t xml:space="preserve">and </w:t>
      </w:r>
      <w:r>
        <w:rPr>
          <w:rFonts w:ascii="Tahoma" w:hAnsi="Tahoma"/>
          <w:color w:val="231F20"/>
          <w:spacing w:val="2"/>
        </w:rPr>
        <w:t xml:space="preserve">timely </w:t>
      </w:r>
      <w:r>
        <w:rPr>
          <w:rFonts w:ascii="Tahoma" w:hAnsi="Tahoma"/>
          <w:color w:val="231F20"/>
          <w:spacing w:val="1"/>
        </w:rPr>
        <w:t xml:space="preserve">videos from </w:t>
      </w:r>
      <w:r>
        <w:rPr>
          <w:rFonts w:ascii="Tahoma" w:hAnsi="Tahoma"/>
          <w:color w:val="231F20"/>
        </w:rPr>
        <w:t>our</w:t>
      </w:r>
      <w:r>
        <w:rPr>
          <w:rFonts w:ascii="Tahoma" w:hAnsi="Tahoma"/>
          <w:color w:val="231F20"/>
          <w:spacing w:val="23"/>
        </w:rPr>
        <w:t xml:space="preserve"> </w:t>
      </w:r>
      <w:r>
        <w:rPr>
          <w:rFonts w:ascii="Tahoma" w:hAnsi="Tahoma"/>
          <w:color w:val="231F20"/>
          <w:spacing w:val="2"/>
        </w:rPr>
        <w:t>website.</w:t>
      </w:r>
    </w:p>
    <w:p w14:paraId="070A13E1" w14:textId="77777777" w:rsidR="002653E8" w:rsidRDefault="002653E8">
      <w:pPr>
        <w:pStyle w:val="a3"/>
        <w:spacing w:before="6"/>
        <w:rPr>
          <w:rFonts w:ascii="Tahoma"/>
          <w:sz w:val="21"/>
        </w:rPr>
      </w:pPr>
    </w:p>
    <w:p w14:paraId="28A94EB2" w14:textId="77777777" w:rsidR="002653E8" w:rsidRDefault="003115E3">
      <w:pPr>
        <w:pStyle w:val="a3"/>
        <w:spacing w:line="218" w:lineRule="auto"/>
        <w:ind w:left="1592" w:right="1773"/>
        <w:jc w:val="center"/>
        <w:rPr>
          <w:rFonts w:ascii="Tahoma"/>
        </w:rPr>
      </w:pPr>
      <w:r>
        <w:rPr>
          <w:rFonts w:ascii="Tahoma"/>
          <w:color w:val="231F20"/>
        </w:rPr>
        <w:t>PM Press is always on the lookout for talented and skilled volunteers, artists, activists and writers to work with. If you have a great idea for a project or can contribute in some way, please get in touch.</w:t>
      </w:r>
    </w:p>
    <w:p w14:paraId="023CBFBC" w14:textId="77777777" w:rsidR="002653E8" w:rsidRDefault="002653E8">
      <w:pPr>
        <w:pStyle w:val="a3"/>
        <w:spacing w:before="10"/>
        <w:rPr>
          <w:rFonts w:ascii="Tahoma"/>
          <w:sz w:val="19"/>
        </w:rPr>
      </w:pPr>
    </w:p>
    <w:p w14:paraId="6F944432" w14:textId="77777777" w:rsidR="002653E8" w:rsidRDefault="003115E3">
      <w:pPr>
        <w:pStyle w:val="a3"/>
        <w:spacing w:line="231" w:lineRule="exact"/>
        <w:ind w:left="760" w:right="932"/>
        <w:jc w:val="center"/>
        <w:rPr>
          <w:rFonts w:ascii="Tahoma"/>
        </w:rPr>
      </w:pPr>
      <w:r>
        <w:rPr>
          <w:rFonts w:ascii="Tahoma"/>
          <w:color w:val="231F20"/>
        </w:rPr>
        <w:t>PM Press</w:t>
      </w:r>
    </w:p>
    <w:p w14:paraId="26091526" w14:textId="77777777" w:rsidR="002653E8" w:rsidRDefault="003115E3">
      <w:pPr>
        <w:pStyle w:val="a3"/>
        <w:spacing w:line="220" w:lineRule="exact"/>
        <w:ind w:left="760" w:right="932"/>
        <w:jc w:val="center"/>
        <w:rPr>
          <w:rFonts w:ascii="Tahoma"/>
        </w:rPr>
      </w:pPr>
      <w:r>
        <w:rPr>
          <w:rFonts w:ascii="Tahoma"/>
          <w:color w:val="231F20"/>
          <w:w w:val="105"/>
        </w:rPr>
        <w:t>PO Box 23912</w:t>
      </w:r>
    </w:p>
    <w:p w14:paraId="457D1B43" w14:textId="77777777" w:rsidR="002653E8" w:rsidRDefault="003115E3">
      <w:pPr>
        <w:pStyle w:val="a3"/>
        <w:spacing w:line="220" w:lineRule="exact"/>
        <w:ind w:left="760" w:right="932"/>
        <w:jc w:val="center"/>
        <w:rPr>
          <w:rFonts w:ascii="Tahoma"/>
        </w:rPr>
      </w:pPr>
      <w:r>
        <w:rPr>
          <w:rFonts w:ascii="Tahoma"/>
          <w:color w:val="231F20"/>
          <w:w w:val="105"/>
        </w:rPr>
        <w:t>Oakland CA 94623</w:t>
      </w:r>
    </w:p>
    <w:p w14:paraId="6B8BA59D" w14:textId="77777777" w:rsidR="002653E8" w:rsidRDefault="003115E3">
      <w:pPr>
        <w:pStyle w:val="a3"/>
        <w:spacing w:line="220" w:lineRule="exact"/>
        <w:ind w:left="760" w:right="932"/>
        <w:jc w:val="center"/>
        <w:rPr>
          <w:rFonts w:ascii="Tahoma"/>
        </w:rPr>
      </w:pPr>
      <w:r>
        <w:rPr>
          <w:rFonts w:ascii="Tahoma"/>
          <w:color w:val="231F20"/>
        </w:rPr>
        <w:t>510-658-3906</w:t>
      </w:r>
    </w:p>
    <w:p w14:paraId="675D74CA" w14:textId="77777777" w:rsidR="002653E8" w:rsidRDefault="00000000">
      <w:pPr>
        <w:pStyle w:val="a3"/>
        <w:spacing w:line="231" w:lineRule="exact"/>
        <w:ind w:left="760" w:right="932"/>
        <w:jc w:val="center"/>
        <w:rPr>
          <w:rFonts w:ascii="Tahoma"/>
        </w:rPr>
      </w:pPr>
      <w:hyperlink r:id="rId654">
        <w:r w:rsidR="003115E3">
          <w:rPr>
            <w:rFonts w:ascii="Tahoma"/>
            <w:color w:val="231F20"/>
          </w:rPr>
          <w:t>www.pmpress.org</w:t>
        </w:r>
      </w:hyperlink>
    </w:p>
    <w:p w14:paraId="075653DC" w14:textId="77777777" w:rsidR="002653E8" w:rsidRDefault="002653E8">
      <w:pPr>
        <w:spacing w:line="231" w:lineRule="exact"/>
        <w:jc w:val="center"/>
        <w:rPr>
          <w:rFonts w:ascii="Tahoma"/>
        </w:rPr>
        <w:sectPr w:rsidR="002653E8">
          <w:footerReference w:type="default" r:id="rId655"/>
          <w:pgSz w:w="8640" w:h="12960"/>
          <w:pgMar w:top="1080" w:right="0" w:bottom="280" w:left="0" w:header="0" w:footer="0" w:gutter="0"/>
          <w:cols w:space="720"/>
        </w:sectPr>
      </w:pPr>
    </w:p>
    <w:p w14:paraId="15DBD6AC" w14:textId="77777777" w:rsidR="002653E8" w:rsidRDefault="002653E8">
      <w:pPr>
        <w:pStyle w:val="a3"/>
        <w:spacing w:before="6" w:after="1"/>
        <w:rPr>
          <w:rFonts w:ascii="Tahoma"/>
          <w:sz w:val="16"/>
        </w:rPr>
      </w:pPr>
    </w:p>
    <w:p w14:paraId="2DC73D5B" w14:textId="77777777" w:rsidR="002653E8" w:rsidRDefault="00000000">
      <w:pPr>
        <w:pStyle w:val="a3"/>
        <w:ind w:left="1528"/>
        <w:rPr>
          <w:rFonts w:ascii="Tahoma"/>
        </w:rPr>
      </w:pPr>
      <w:r>
        <w:rPr>
          <w:rFonts w:ascii="Tahoma"/>
        </w:rPr>
      </w:r>
      <w:r>
        <w:rPr>
          <w:rFonts w:ascii="Tahoma"/>
        </w:rPr>
        <w:pict w14:anchorId="2BB84C8E">
          <v:shape id="_x0000_s2739" type="#_x0000_t202" style="width:288.4pt;height:30.3pt;mso-left-percent:-10001;mso-top-percent:-10001;mso-position-horizontal:absolute;mso-position-horizontal-relative:char;mso-position-vertical:absolute;mso-position-vertical-relative:line;mso-left-percent:-10001;mso-top-percent:-10001" fillcolor="#231f20" stroked="f">
            <v:textbox inset="0,0,0,0">
              <w:txbxContent>
                <w:p w14:paraId="3281B4E5" w14:textId="77777777" w:rsidR="001008C3" w:rsidRDefault="001008C3">
                  <w:pPr>
                    <w:spacing w:before="127"/>
                    <w:ind w:left="1538"/>
                    <w:rPr>
                      <w:rFonts w:ascii="Trebuchet MS"/>
                      <w:b/>
                      <w:sz w:val="36"/>
                    </w:rPr>
                  </w:pPr>
                  <w:r>
                    <w:rPr>
                      <w:rFonts w:ascii="Trebuchet MS"/>
                      <w:b/>
                      <w:color w:val="FFFFFF"/>
                      <w:spacing w:val="5"/>
                      <w:sz w:val="36"/>
                    </w:rPr>
                    <w:t xml:space="preserve">FRIENDS </w:t>
                  </w:r>
                  <w:r>
                    <w:rPr>
                      <w:rFonts w:ascii="Trebuchet MS"/>
                      <w:b/>
                      <w:color w:val="FFFFFF"/>
                      <w:sz w:val="36"/>
                    </w:rPr>
                    <w:t>OF</w:t>
                  </w:r>
                  <w:r>
                    <w:rPr>
                      <w:rFonts w:ascii="Trebuchet MS"/>
                      <w:b/>
                      <w:color w:val="FFFFFF"/>
                      <w:spacing w:val="63"/>
                      <w:sz w:val="36"/>
                    </w:rPr>
                    <w:t xml:space="preserve"> </w:t>
                  </w:r>
                  <w:r>
                    <w:rPr>
                      <w:rFonts w:ascii="Trebuchet MS"/>
                      <w:b/>
                      <w:color w:val="FFFFFF"/>
                      <w:spacing w:val="5"/>
                      <w:sz w:val="36"/>
                    </w:rPr>
                    <w:t>PM</w:t>
                  </w:r>
                </w:p>
              </w:txbxContent>
            </v:textbox>
            <w10:anchorlock/>
          </v:shape>
        </w:pict>
      </w:r>
    </w:p>
    <w:p w14:paraId="4F89A0BA" w14:textId="77777777" w:rsidR="002653E8" w:rsidRDefault="002653E8">
      <w:pPr>
        <w:pStyle w:val="a3"/>
        <w:spacing w:before="6"/>
        <w:rPr>
          <w:rFonts w:ascii="Tahoma"/>
          <w:sz w:val="16"/>
        </w:rPr>
      </w:pPr>
    </w:p>
    <w:p w14:paraId="6DE7E326" w14:textId="77777777" w:rsidR="002653E8" w:rsidRDefault="00000000">
      <w:pPr>
        <w:pStyle w:val="a3"/>
        <w:spacing w:before="102" w:line="218" w:lineRule="auto"/>
        <w:ind w:left="1828" w:right="1643"/>
        <w:jc w:val="both"/>
        <w:rPr>
          <w:rFonts w:ascii="Tahoma" w:hAnsi="Tahoma"/>
        </w:rPr>
      </w:pPr>
      <w:r>
        <w:rPr>
          <w:noProof w:val="0"/>
        </w:rPr>
        <w:pict w14:anchorId="585DA7FF">
          <v:group id="_x0000_s2098" style="position:absolute;left:0;text-align:left;margin-left:69.3pt;margin-top:-51.45pt;width:302.4pt;height:514.6pt;z-index:-452752;mso-position-horizontal-relative:page" coordorigin="1386,-1029" coordsize="6048,10292">
            <v:line id="_x0000_s2108" style="position:absolute" from="1528,-157" to="7296,-157" strokecolor="#231f20" strokeweight=".23567mm"/>
            <v:line id="_x0000_s2107" style="position:absolute" from="1528,-124" to="7296,-124" strokecolor="#231f20" strokeweight=".23567mm"/>
            <v:line id="_x0000_s2106" style="position:absolute" from="1528,-91" to="7296,-91" strokecolor="#231f20" strokeweight=".23567mm"/>
            <v:line id="_x0000_s2105" style="position:absolute" from="1528,8659" to="7296,8659" strokecolor="#231f20" strokeweight=".23567mm"/>
            <v:line id="_x0000_s2104" style="position:absolute" from="1528,8692" to="7296,8692" strokecolor="#231f20" strokeweight=".23567mm"/>
            <v:line id="_x0000_s2103" style="position:absolute" from="1528,8725" to="7296,8725" strokecolor="#231f20" strokeweight=".23567mm"/>
            <v:line id="_x0000_s2102" style="position:absolute" from="1528,8919" to="7296,8919" strokecolor="#231f20" strokeweight=".23567mm"/>
            <v:line id="_x0000_s2101" style="position:absolute" from="1528,8952" to="7296,8952" strokecolor="#231f20" strokeweight=".23567mm"/>
            <v:line id="_x0000_s2100" style="position:absolute" from="1528,8985" to="7296,8985" strokecolor="#231f20" strokeweight=".23567mm"/>
            <v:shape id="_x0000_s2099" style="position:absolute;left:1486;top:-930;width:5848;height:10092" coordorigin="1486,-929" coordsize="5848,10092" path="m1627,-929r-40,5l1540,-905r-38,42l1486,-789r,9812l1491,9062r19,46l1552,9147r74,16l7194,9163r39,-5l7279,9139r39,-42l7334,9023r,-9812l7329,-829r-19,-46l7268,-913r-74,-16l1627,-929xe" filled="f" strokecolor="#231f20" strokeweight="10pt">
              <v:path arrowok="t"/>
            </v:shape>
            <w10:wrap anchorx="page"/>
          </v:group>
        </w:pict>
      </w:r>
      <w:r w:rsidR="003115E3">
        <w:rPr>
          <w:rFonts w:ascii="Tahoma" w:hAnsi="Tahoma"/>
          <w:color w:val="231F20"/>
        </w:rPr>
        <w:t>These are indisputably momentous times – the financial system is melting down globally and the Empire is stumbling. Now more than ever there is a vital need for radical ideas.</w:t>
      </w:r>
    </w:p>
    <w:p w14:paraId="74021200" w14:textId="77777777" w:rsidR="002653E8" w:rsidRDefault="003115E3">
      <w:pPr>
        <w:pStyle w:val="a3"/>
        <w:spacing w:before="111" w:line="231" w:lineRule="exact"/>
        <w:ind w:left="1828"/>
        <w:jc w:val="both"/>
        <w:rPr>
          <w:rFonts w:ascii="Tahoma" w:hAnsi="Tahoma"/>
        </w:rPr>
      </w:pPr>
      <w:r>
        <w:rPr>
          <w:rFonts w:ascii="Tahoma" w:hAnsi="Tahoma"/>
          <w:color w:val="231F20"/>
        </w:rPr>
        <w:t>In the year since its founding – and on a mere shoestring</w:t>
      </w:r>
    </w:p>
    <w:p w14:paraId="0E798B1B" w14:textId="77777777" w:rsidR="002653E8" w:rsidRDefault="003115E3">
      <w:pPr>
        <w:pStyle w:val="a3"/>
        <w:spacing w:before="7" w:line="218" w:lineRule="auto"/>
        <w:ind w:left="1828" w:right="1638"/>
        <w:jc w:val="both"/>
        <w:rPr>
          <w:rFonts w:ascii="Tahoma" w:hAnsi="Tahoma"/>
        </w:rPr>
      </w:pPr>
      <w:r>
        <w:rPr>
          <w:rFonts w:ascii="Tahoma" w:hAnsi="Tahoma"/>
          <w:color w:val="231F20"/>
        </w:rPr>
        <w:t xml:space="preserve">– PM </w:t>
      </w:r>
      <w:r>
        <w:rPr>
          <w:rFonts w:ascii="Tahoma" w:hAnsi="Tahoma"/>
          <w:color w:val="231F20"/>
          <w:spacing w:val="1"/>
        </w:rPr>
        <w:t xml:space="preserve">Press </w:t>
      </w:r>
      <w:r>
        <w:rPr>
          <w:rFonts w:ascii="Tahoma" w:hAnsi="Tahoma"/>
          <w:color w:val="231F20"/>
        </w:rPr>
        <w:t xml:space="preserve">has </w:t>
      </w:r>
      <w:r>
        <w:rPr>
          <w:rFonts w:ascii="Tahoma" w:hAnsi="Tahoma"/>
          <w:color w:val="231F20"/>
          <w:spacing w:val="1"/>
        </w:rPr>
        <w:t xml:space="preserve">risen </w:t>
      </w:r>
      <w:r>
        <w:rPr>
          <w:rFonts w:ascii="Tahoma" w:hAnsi="Tahoma"/>
          <w:color w:val="231F20"/>
        </w:rPr>
        <w:t xml:space="preserve">to the </w:t>
      </w:r>
      <w:r>
        <w:rPr>
          <w:rFonts w:ascii="Tahoma" w:hAnsi="Tahoma"/>
          <w:color w:val="231F20"/>
          <w:spacing w:val="1"/>
        </w:rPr>
        <w:t xml:space="preserve">formidable challenge </w:t>
      </w:r>
      <w:r>
        <w:rPr>
          <w:rFonts w:ascii="Tahoma" w:hAnsi="Tahoma"/>
          <w:color w:val="231F20"/>
        </w:rPr>
        <w:t xml:space="preserve">of </w:t>
      </w:r>
      <w:r>
        <w:rPr>
          <w:rFonts w:ascii="Tahoma" w:hAnsi="Tahoma"/>
          <w:color w:val="231F20"/>
          <w:spacing w:val="2"/>
        </w:rPr>
        <w:t>pub</w:t>
      </w:r>
      <w:r>
        <w:rPr>
          <w:rFonts w:ascii="Tahoma" w:hAnsi="Tahoma"/>
          <w:color w:val="231F20"/>
          <w:spacing w:val="1"/>
        </w:rPr>
        <w:t xml:space="preserve">lishing </w:t>
      </w:r>
      <w:r>
        <w:rPr>
          <w:rFonts w:ascii="Tahoma" w:hAnsi="Tahoma"/>
          <w:color w:val="231F20"/>
        </w:rPr>
        <w:t xml:space="preserve">and </w:t>
      </w:r>
      <w:r>
        <w:rPr>
          <w:rFonts w:ascii="Tahoma" w:hAnsi="Tahoma"/>
          <w:color w:val="231F20"/>
          <w:spacing w:val="1"/>
        </w:rPr>
        <w:t xml:space="preserve">distributing knowledge </w:t>
      </w:r>
      <w:r>
        <w:rPr>
          <w:rFonts w:ascii="Tahoma" w:hAnsi="Tahoma"/>
          <w:color w:val="231F20"/>
        </w:rPr>
        <w:t xml:space="preserve">and </w:t>
      </w:r>
      <w:r>
        <w:rPr>
          <w:rFonts w:ascii="Tahoma" w:hAnsi="Tahoma"/>
          <w:color w:val="231F20"/>
          <w:spacing w:val="1"/>
        </w:rPr>
        <w:t xml:space="preserve">entertainment </w:t>
      </w:r>
      <w:r>
        <w:rPr>
          <w:rFonts w:ascii="Tahoma" w:hAnsi="Tahoma"/>
          <w:color w:val="231F20"/>
          <w:spacing w:val="2"/>
        </w:rPr>
        <w:t xml:space="preserve">for </w:t>
      </w:r>
      <w:r>
        <w:rPr>
          <w:rFonts w:ascii="Tahoma" w:hAnsi="Tahoma"/>
          <w:color w:val="231F20"/>
          <w:spacing w:val="3"/>
        </w:rPr>
        <w:t xml:space="preserve">the </w:t>
      </w:r>
      <w:r>
        <w:rPr>
          <w:rFonts w:ascii="Tahoma" w:hAnsi="Tahoma"/>
          <w:color w:val="231F20"/>
          <w:spacing w:val="5"/>
        </w:rPr>
        <w:t xml:space="preserve">struggles ahead. </w:t>
      </w:r>
      <w:r>
        <w:rPr>
          <w:rFonts w:ascii="Tahoma" w:hAnsi="Tahoma"/>
          <w:color w:val="231F20"/>
        </w:rPr>
        <w:t xml:space="preserve">We </w:t>
      </w:r>
      <w:r>
        <w:rPr>
          <w:rFonts w:ascii="Tahoma" w:hAnsi="Tahoma"/>
          <w:color w:val="231F20"/>
          <w:spacing w:val="2"/>
        </w:rPr>
        <w:t xml:space="preserve">have </w:t>
      </w:r>
      <w:r>
        <w:rPr>
          <w:rFonts w:ascii="Tahoma" w:hAnsi="Tahoma"/>
          <w:color w:val="231F20"/>
          <w:spacing w:val="5"/>
        </w:rPr>
        <w:t xml:space="preserve">published </w:t>
      </w:r>
      <w:r>
        <w:rPr>
          <w:rFonts w:ascii="Tahoma" w:hAnsi="Tahoma"/>
          <w:color w:val="231F20"/>
          <w:spacing w:val="2"/>
        </w:rPr>
        <w:t xml:space="preserve">an </w:t>
      </w:r>
      <w:r>
        <w:rPr>
          <w:rFonts w:ascii="Tahoma" w:hAnsi="Tahoma"/>
          <w:color w:val="231F20"/>
          <w:spacing w:val="5"/>
        </w:rPr>
        <w:t xml:space="preserve">impressive </w:t>
      </w:r>
      <w:r>
        <w:rPr>
          <w:rFonts w:ascii="Tahoma" w:hAnsi="Tahoma"/>
          <w:color w:val="231F20"/>
        </w:rPr>
        <w:t>and</w:t>
      </w:r>
      <w:r>
        <w:rPr>
          <w:rFonts w:ascii="Tahoma" w:hAnsi="Tahoma"/>
          <w:color w:val="231F20"/>
          <w:spacing w:val="-10"/>
        </w:rPr>
        <w:t xml:space="preserve"> </w:t>
      </w:r>
      <w:r>
        <w:rPr>
          <w:rFonts w:ascii="Tahoma" w:hAnsi="Tahoma"/>
          <w:color w:val="231F20"/>
          <w:spacing w:val="1"/>
        </w:rPr>
        <w:t>stimulating</w:t>
      </w:r>
      <w:r>
        <w:rPr>
          <w:rFonts w:ascii="Tahoma" w:hAnsi="Tahoma"/>
          <w:color w:val="231F20"/>
          <w:spacing w:val="-10"/>
        </w:rPr>
        <w:t xml:space="preserve"> </w:t>
      </w:r>
      <w:r>
        <w:rPr>
          <w:rFonts w:ascii="Tahoma" w:hAnsi="Tahoma"/>
          <w:color w:val="231F20"/>
        </w:rPr>
        <w:t>array</w:t>
      </w:r>
      <w:r>
        <w:rPr>
          <w:rFonts w:ascii="Tahoma" w:hAnsi="Tahoma"/>
          <w:color w:val="231F20"/>
          <w:spacing w:val="-10"/>
        </w:rPr>
        <w:t xml:space="preserve"> </w:t>
      </w:r>
      <w:r>
        <w:rPr>
          <w:rFonts w:ascii="Tahoma" w:hAnsi="Tahoma"/>
          <w:color w:val="231F20"/>
        </w:rPr>
        <w:t>of</w:t>
      </w:r>
      <w:r>
        <w:rPr>
          <w:rFonts w:ascii="Tahoma" w:hAnsi="Tahoma"/>
          <w:color w:val="231F20"/>
          <w:spacing w:val="-10"/>
        </w:rPr>
        <w:t xml:space="preserve"> </w:t>
      </w:r>
      <w:r>
        <w:rPr>
          <w:rFonts w:ascii="Tahoma" w:hAnsi="Tahoma"/>
          <w:color w:val="231F20"/>
          <w:spacing w:val="1"/>
        </w:rPr>
        <w:t>literature,</w:t>
      </w:r>
      <w:r>
        <w:rPr>
          <w:rFonts w:ascii="Tahoma" w:hAnsi="Tahoma"/>
          <w:color w:val="231F20"/>
          <w:spacing w:val="-10"/>
        </w:rPr>
        <w:t xml:space="preserve"> </w:t>
      </w:r>
      <w:r>
        <w:rPr>
          <w:rFonts w:ascii="Tahoma" w:hAnsi="Tahoma"/>
          <w:color w:val="231F20"/>
          <w:spacing w:val="1"/>
        </w:rPr>
        <w:t>art,</w:t>
      </w:r>
      <w:r>
        <w:rPr>
          <w:rFonts w:ascii="Tahoma" w:hAnsi="Tahoma"/>
          <w:color w:val="231F20"/>
          <w:spacing w:val="-10"/>
        </w:rPr>
        <w:t xml:space="preserve"> </w:t>
      </w:r>
      <w:r>
        <w:rPr>
          <w:rFonts w:ascii="Tahoma" w:hAnsi="Tahoma"/>
          <w:color w:val="231F20"/>
          <w:spacing w:val="1"/>
        </w:rPr>
        <w:t>music,</w:t>
      </w:r>
      <w:r>
        <w:rPr>
          <w:rFonts w:ascii="Tahoma" w:hAnsi="Tahoma"/>
          <w:color w:val="231F20"/>
          <w:spacing w:val="-10"/>
        </w:rPr>
        <w:t xml:space="preserve"> </w:t>
      </w:r>
      <w:r>
        <w:rPr>
          <w:rFonts w:ascii="Tahoma" w:hAnsi="Tahoma"/>
          <w:color w:val="231F20"/>
          <w:spacing w:val="1"/>
        </w:rPr>
        <w:t>politics,</w:t>
      </w:r>
      <w:r>
        <w:rPr>
          <w:rFonts w:ascii="Tahoma" w:hAnsi="Tahoma"/>
          <w:color w:val="231F20"/>
          <w:spacing w:val="-10"/>
        </w:rPr>
        <w:t xml:space="preserve"> </w:t>
      </w:r>
      <w:r>
        <w:rPr>
          <w:rFonts w:ascii="Tahoma" w:hAnsi="Tahoma"/>
          <w:color w:val="231F20"/>
          <w:spacing w:val="2"/>
        </w:rPr>
        <w:t xml:space="preserve">and </w:t>
      </w:r>
      <w:r>
        <w:rPr>
          <w:rFonts w:ascii="Tahoma" w:hAnsi="Tahoma"/>
          <w:color w:val="231F20"/>
          <w:spacing w:val="1"/>
        </w:rPr>
        <w:t xml:space="preserve">culture. Using </w:t>
      </w:r>
      <w:r>
        <w:rPr>
          <w:rFonts w:ascii="Tahoma" w:hAnsi="Tahoma"/>
          <w:color w:val="231F20"/>
        </w:rPr>
        <w:t xml:space="preserve">every available </w:t>
      </w:r>
      <w:r>
        <w:rPr>
          <w:rFonts w:ascii="Tahoma" w:hAnsi="Tahoma"/>
          <w:color w:val="231F20"/>
          <w:spacing w:val="1"/>
        </w:rPr>
        <w:t xml:space="preserve">medium, </w:t>
      </w:r>
      <w:r>
        <w:rPr>
          <w:rFonts w:ascii="Tahoma" w:hAnsi="Tahoma"/>
          <w:color w:val="231F20"/>
        </w:rPr>
        <w:t xml:space="preserve">we’ve </w:t>
      </w:r>
      <w:r>
        <w:rPr>
          <w:rFonts w:ascii="Tahoma" w:hAnsi="Tahoma"/>
          <w:color w:val="231F20"/>
          <w:spacing w:val="2"/>
        </w:rPr>
        <w:t xml:space="preserve">succeeded </w:t>
      </w:r>
      <w:r>
        <w:rPr>
          <w:rFonts w:ascii="Tahoma" w:hAnsi="Tahoma"/>
          <w:color w:val="231F20"/>
        </w:rPr>
        <w:t xml:space="preserve">in </w:t>
      </w:r>
      <w:r>
        <w:rPr>
          <w:rFonts w:ascii="Tahoma" w:hAnsi="Tahoma"/>
          <w:color w:val="231F20"/>
          <w:spacing w:val="1"/>
        </w:rPr>
        <w:t xml:space="preserve">connecting those hungry </w:t>
      </w:r>
      <w:r>
        <w:rPr>
          <w:rFonts w:ascii="Tahoma" w:hAnsi="Tahoma"/>
          <w:color w:val="231F20"/>
        </w:rPr>
        <w:t xml:space="preserve">for </w:t>
      </w:r>
      <w:r>
        <w:rPr>
          <w:rFonts w:ascii="Tahoma" w:hAnsi="Tahoma"/>
          <w:color w:val="231F20"/>
          <w:spacing w:val="1"/>
        </w:rPr>
        <w:t xml:space="preserve">ideas </w:t>
      </w:r>
      <w:r>
        <w:rPr>
          <w:rFonts w:ascii="Tahoma" w:hAnsi="Tahoma"/>
          <w:color w:val="231F20"/>
        </w:rPr>
        <w:t xml:space="preserve">and </w:t>
      </w:r>
      <w:r>
        <w:rPr>
          <w:rFonts w:ascii="Tahoma" w:hAnsi="Tahoma"/>
          <w:color w:val="231F20"/>
          <w:spacing w:val="1"/>
        </w:rPr>
        <w:t xml:space="preserve">information </w:t>
      </w:r>
      <w:r>
        <w:rPr>
          <w:rFonts w:ascii="Tahoma" w:hAnsi="Tahoma"/>
          <w:color w:val="231F20"/>
          <w:spacing w:val="2"/>
        </w:rPr>
        <w:t xml:space="preserve">to </w:t>
      </w:r>
      <w:r>
        <w:rPr>
          <w:rFonts w:ascii="Tahoma" w:hAnsi="Tahoma"/>
          <w:color w:val="231F20"/>
          <w:spacing w:val="1"/>
        </w:rPr>
        <w:t>those putting them into</w:t>
      </w:r>
      <w:r>
        <w:rPr>
          <w:rFonts w:ascii="Tahoma" w:hAnsi="Tahoma"/>
          <w:color w:val="231F20"/>
          <w:spacing w:val="30"/>
        </w:rPr>
        <w:t xml:space="preserve"> </w:t>
      </w:r>
      <w:r>
        <w:rPr>
          <w:rFonts w:ascii="Tahoma" w:hAnsi="Tahoma"/>
          <w:color w:val="231F20"/>
          <w:spacing w:val="1"/>
        </w:rPr>
        <w:t>practice.</w:t>
      </w:r>
    </w:p>
    <w:p w14:paraId="67DA3D15" w14:textId="77777777" w:rsidR="002653E8" w:rsidRDefault="003115E3">
      <w:pPr>
        <w:pStyle w:val="a3"/>
        <w:spacing w:before="131" w:line="218" w:lineRule="auto"/>
        <w:ind w:left="1828" w:right="1639"/>
        <w:jc w:val="both"/>
        <w:rPr>
          <w:rFonts w:ascii="Tahoma" w:hAnsi="Tahoma"/>
        </w:rPr>
      </w:pPr>
      <w:r>
        <w:rPr>
          <w:rFonts w:ascii="Tahoma" w:hAnsi="Tahoma"/>
          <w:color w:val="231F20"/>
        </w:rPr>
        <w:t xml:space="preserve">Friends of PM </w:t>
      </w:r>
      <w:r>
        <w:rPr>
          <w:rFonts w:ascii="Tahoma" w:hAnsi="Tahoma"/>
          <w:color w:val="231F20"/>
          <w:spacing w:val="1"/>
        </w:rPr>
        <w:t xml:space="preserve">allows </w:t>
      </w:r>
      <w:r>
        <w:rPr>
          <w:rFonts w:ascii="Tahoma" w:hAnsi="Tahoma"/>
          <w:color w:val="231F20"/>
        </w:rPr>
        <w:t xml:space="preserve">you to </w:t>
      </w:r>
      <w:r>
        <w:rPr>
          <w:rFonts w:ascii="Tahoma" w:hAnsi="Tahoma"/>
          <w:color w:val="231F20"/>
          <w:spacing w:val="1"/>
        </w:rPr>
        <w:t xml:space="preserve">directly help impact, </w:t>
      </w:r>
      <w:r>
        <w:rPr>
          <w:rFonts w:ascii="Tahoma" w:hAnsi="Tahoma"/>
          <w:color w:val="231F20"/>
        </w:rPr>
        <w:t xml:space="preserve">amplify, and </w:t>
      </w:r>
      <w:r>
        <w:rPr>
          <w:rFonts w:ascii="Tahoma" w:hAnsi="Tahoma"/>
          <w:color w:val="231F20"/>
          <w:spacing w:val="1"/>
        </w:rPr>
        <w:t xml:space="preserve">revitalize </w:t>
      </w:r>
      <w:r>
        <w:rPr>
          <w:rFonts w:ascii="Tahoma" w:hAnsi="Tahoma"/>
          <w:color w:val="231F20"/>
        </w:rPr>
        <w:t xml:space="preserve">the </w:t>
      </w:r>
      <w:r>
        <w:rPr>
          <w:rFonts w:ascii="Tahoma" w:hAnsi="Tahoma"/>
          <w:color w:val="231F20"/>
          <w:spacing w:val="1"/>
        </w:rPr>
        <w:t xml:space="preserve">discourse </w:t>
      </w:r>
      <w:r>
        <w:rPr>
          <w:rFonts w:ascii="Tahoma" w:hAnsi="Tahoma"/>
          <w:color w:val="231F20"/>
        </w:rPr>
        <w:t xml:space="preserve">and </w:t>
      </w:r>
      <w:r>
        <w:rPr>
          <w:rFonts w:ascii="Tahoma" w:hAnsi="Tahoma"/>
          <w:color w:val="231F20"/>
          <w:spacing w:val="1"/>
        </w:rPr>
        <w:t xml:space="preserve">actions </w:t>
      </w:r>
      <w:r>
        <w:rPr>
          <w:rFonts w:ascii="Tahoma" w:hAnsi="Tahoma"/>
          <w:color w:val="231F20"/>
        </w:rPr>
        <w:t xml:space="preserve">of </w:t>
      </w:r>
      <w:r>
        <w:rPr>
          <w:rFonts w:ascii="Tahoma" w:hAnsi="Tahoma"/>
          <w:color w:val="231F20"/>
          <w:spacing w:val="1"/>
        </w:rPr>
        <w:t xml:space="preserve">radical writers, </w:t>
      </w:r>
      <w:r>
        <w:rPr>
          <w:rFonts w:ascii="Tahoma" w:hAnsi="Tahoma"/>
          <w:color w:val="231F20"/>
        </w:rPr>
        <w:t>filmmakers,</w:t>
      </w:r>
      <w:r>
        <w:rPr>
          <w:rFonts w:ascii="Tahoma" w:hAnsi="Tahoma"/>
          <w:color w:val="231F20"/>
          <w:spacing w:val="-14"/>
        </w:rPr>
        <w:t xml:space="preserve"> </w:t>
      </w:r>
      <w:r>
        <w:rPr>
          <w:rFonts w:ascii="Tahoma" w:hAnsi="Tahoma"/>
          <w:color w:val="231F20"/>
        </w:rPr>
        <w:t>and</w:t>
      </w:r>
      <w:r>
        <w:rPr>
          <w:rFonts w:ascii="Tahoma" w:hAnsi="Tahoma"/>
          <w:color w:val="231F20"/>
          <w:spacing w:val="-14"/>
        </w:rPr>
        <w:t xml:space="preserve"> </w:t>
      </w:r>
      <w:r>
        <w:rPr>
          <w:rFonts w:ascii="Tahoma" w:hAnsi="Tahoma"/>
          <w:color w:val="231F20"/>
        </w:rPr>
        <w:t>artists.</w:t>
      </w:r>
      <w:r>
        <w:rPr>
          <w:rFonts w:ascii="Tahoma" w:hAnsi="Tahoma"/>
          <w:color w:val="231F20"/>
          <w:spacing w:val="-14"/>
        </w:rPr>
        <w:t xml:space="preserve"> </w:t>
      </w:r>
      <w:r>
        <w:rPr>
          <w:rFonts w:ascii="Tahoma" w:hAnsi="Tahoma"/>
          <w:color w:val="231F20"/>
        </w:rPr>
        <w:t>It</w:t>
      </w:r>
      <w:r>
        <w:rPr>
          <w:rFonts w:ascii="Tahoma" w:hAnsi="Tahoma"/>
          <w:color w:val="231F20"/>
          <w:spacing w:val="-14"/>
        </w:rPr>
        <w:t xml:space="preserve"> </w:t>
      </w:r>
      <w:r>
        <w:rPr>
          <w:rFonts w:ascii="Tahoma" w:hAnsi="Tahoma"/>
          <w:color w:val="231F20"/>
        </w:rPr>
        <w:t>provides</w:t>
      </w:r>
      <w:r>
        <w:rPr>
          <w:rFonts w:ascii="Tahoma" w:hAnsi="Tahoma"/>
          <w:color w:val="231F20"/>
          <w:spacing w:val="-14"/>
        </w:rPr>
        <w:t xml:space="preserve"> </w:t>
      </w:r>
      <w:r>
        <w:rPr>
          <w:rFonts w:ascii="Tahoma" w:hAnsi="Tahoma"/>
          <w:color w:val="231F20"/>
        </w:rPr>
        <w:t>us</w:t>
      </w:r>
      <w:r>
        <w:rPr>
          <w:rFonts w:ascii="Tahoma" w:hAnsi="Tahoma"/>
          <w:color w:val="231F20"/>
          <w:spacing w:val="-14"/>
        </w:rPr>
        <w:t xml:space="preserve"> </w:t>
      </w:r>
      <w:r>
        <w:rPr>
          <w:rFonts w:ascii="Tahoma" w:hAnsi="Tahoma"/>
          <w:color w:val="231F20"/>
        </w:rPr>
        <w:t>with</w:t>
      </w:r>
      <w:r>
        <w:rPr>
          <w:rFonts w:ascii="Tahoma" w:hAnsi="Tahoma"/>
          <w:color w:val="231F20"/>
          <w:spacing w:val="-14"/>
        </w:rPr>
        <w:t xml:space="preserve"> </w:t>
      </w:r>
      <w:r>
        <w:rPr>
          <w:rFonts w:ascii="Tahoma" w:hAnsi="Tahoma"/>
          <w:color w:val="231F20"/>
        </w:rPr>
        <w:t>a</w:t>
      </w:r>
      <w:r>
        <w:rPr>
          <w:rFonts w:ascii="Tahoma" w:hAnsi="Tahoma"/>
          <w:color w:val="231F20"/>
          <w:spacing w:val="-14"/>
        </w:rPr>
        <w:t xml:space="preserve"> </w:t>
      </w:r>
      <w:r>
        <w:rPr>
          <w:rFonts w:ascii="Tahoma" w:hAnsi="Tahoma"/>
          <w:color w:val="231F20"/>
        </w:rPr>
        <w:t>stable</w:t>
      </w:r>
      <w:r>
        <w:rPr>
          <w:rFonts w:ascii="Tahoma" w:hAnsi="Tahoma"/>
          <w:color w:val="231F20"/>
          <w:spacing w:val="-14"/>
        </w:rPr>
        <w:t xml:space="preserve"> </w:t>
      </w:r>
      <w:r>
        <w:rPr>
          <w:rFonts w:ascii="Tahoma" w:hAnsi="Tahoma"/>
          <w:color w:val="231F20"/>
        </w:rPr>
        <w:t>founda</w:t>
      </w:r>
      <w:r>
        <w:rPr>
          <w:rFonts w:ascii="Tahoma" w:hAnsi="Tahoma"/>
          <w:color w:val="231F20"/>
          <w:spacing w:val="1"/>
        </w:rPr>
        <w:t xml:space="preserve">tion from </w:t>
      </w:r>
      <w:r>
        <w:rPr>
          <w:rFonts w:ascii="Tahoma" w:hAnsi="Tahoma"/>
          <w:color w:val="231F20"/>
        </w:rPr>
        <w:t xml:space="preserve">which we can </w:t>
      </w:r>
      <w:r>
        <w:rPr>
          <w:rFonts w:ascii="Tahoma" w:hAnsi="Tahoma"/>
          <w:color w:val="231F20"/>
          <w:spacing w:val="1"/>
        </w:rPr>
        <w:t xml:space="preserve">build upon </w:t>
      </w:r>
      <w:r>
        <w:rPr>
          <w:rFonts w:ascii="Tahoma" w:hAnsi="Tahoma"/>
          <w:color w:val="231F20"/>
        </w:rPr>
        <w:t xml:space="preserve">our </w:t>
      </w:r>
      <w:r>
        <w:rPr>
          <w:rFonts w:ascii="Tahoma" w:hAnsi="Tahoma"/>
          <w:color w:val="231F20"/>
          <w:spacing w:val="1"/>
        </w:rPr>
        <w:t xml:space="preserve">early successes </w:t>
      </w:r>
      <w:r>
        <w:rPr>
          <w:rFonts w:ascii="Tahoma" w:hAnsi="Tahoma"/>
          <w:color w:val="231F20"/>
        </w:rPr>
        <w:t>and</w:t>
      </w:r>
      <w:r>
        <w:rPr>
          <w:rFonts w:ascii="Tahoma" w:hAnsi="Tahoma"/>
          <w:color w:val="231F20"/>
          <w:spacing w:val="-10"/>
        </w:rPr>
        <w:t xml:space="preserve"> </w:t>
      </w:r>
      <w:r>
        <w:rPr>
          <w:rFonts w:ascii="Tahoma" w:hAnsi="Tahoma"/>
          <w:color w:val="231F20"/>
        </w:rPr>
        <w:t>provides</w:t>
      </w:r>
      <w:r>
        <w:rPr>
          <w:rFonts w:ascii="Tahoma" w:hAnsi="Tahoma"/>
          <w:color w:val="231F20"/>
          <w:spacing w:val="-10"/>
        </w:rPr>
        <w:t xml:space="preserve"> </w:t>
      </w:r>
      <w:r>
        <w:rPr>
          <w:rFonts w:ascii="Tahoma" w:hAnsi="Tahoma"/>
          <w:color w:val="231F20"/>
        </w:rPr>
        <w:t>a</w:t>
      </w:r>
      <w:r>
        <w:rPr>
          <w:rFonts w:ascii="Tahoma" w:hAnsi="Tahoma"/>
          <w:color w:val="231F20"/>
          <w:spacing w:val="-10"/>
        </w:rPr>
        <w:t xml:space="preserve"> </w:t>
      </w:r>
      <w:r>
        <w:rPr>
          <w:rFonts w:ascii="Tahoma" w:hAnsi="Tahoma"/>
          <w:color w:val="231F20"/>
        </w:rPr>
        <w:t>much-needed</w:t>
      </w:r>
      <w:r>
        <w:rPr>
          <w:rFonts w:ascii="Tahoma" w:hAnsi="Tahoma"/>
          <w:color w:val="231F20"/>
          <w:spacing w:val="-10"/>
        </w:rPr>
        <w:t xml:space="preserve"> </w:t>
      </w:r>
      <w:r>
        <w:rPr>
          <w:rFonts w:ascii="Tahoma" w:hAnsi="Tahoma"/>
          <w:color w:val="231F20"/>
        </w:rPr>
        <w:t>subsidy</w:t>
      </w:r>
      <w:r>
        <w:rPr>
          <w:rFonts w:ascii="Tahoma" w:hAnsi="Tahoma"/>
          <w:color w:val="231F20"/>
          <w:spacing w:val="-10"/>
        </w:rPr>
        <w:t xml:space="preserve"> </w:t>
      </w:r>
      <w:r>
        <w:rPr>
          <w:rFonts w:ascii="Tahoma" w:hAnsi="Tahoma"/>
          <w:color w:val="231F20"/>
        </w:rPr>
        <w:t>for</w:t>
      </w:r>
      <w:r>
        <w:rPr>
          <w:rFonts w:ascii="Tahoma" w:hAnsi="Tahoma"/>
          <w:color w:val="231F20"/>
          <w:spacing w:val="-10"/>
        </w:rPr>
        <w:t xml:space="preserve"> </w:t>
      </w:r>
      <w:r>
        <w:rPr>
          <w:rFonts w:ascii="Tahoma" w:hAnsi="Tahoma"/>
          <w:color w:val="231F20"/>
        </w:rPr>
        <w:t>the</w:t>
      </w:r>
      <w:r>
        <w:rPr>
          <w:rFonts w:ascii="Tahoma" w:hAnsi="Tahoma"/>
          <w:color w:val="231F20"/>
          <w:spacing w:val="-10"/>
        </w:rPr>
        <w:t xml:space="preserve"> </w:t>
      </w:r>
      <w:r>
        <w:rPr>
          <w:rFonts w:ascii="Tahoma" w:hAnsi="Tahoma"/>
          <w:color w:val="231F20"/>
        </w:rPr>
        <w:t>materials</w:t>
      </w:r>
      <w:r>
        <w:rPr>
          <w:rFonts w:ascii="Tahoma" w:hAnsi="Tahoma"/>
          <w:color w:val="231F20"/>
          <w:spacing w:val="-10"/>
        </w:rPr>
        <w:t xml:space="preserve"> </w:t>
      </w:r>
      <w:r>
        <w:rPr>
          <w:rFonts w:ascii="Tahoma" w:hAnsi="Tahoma"/>
          <w:color w:val="231F20"/>
        </w:rPr>
        <w:t xml:space="preserve">that can’t </w:t>
      </w:r>
      <w:r>
        <w:rPr>
          <w:rFonts w:ascii="Tahoma" w:hAnsi="Tahoma"/>
          <w:color w:val="231F20"/>
          <w:spacing w:val="1"/>
        </w:rPr>
        <w:t xml:space="preserve">necessarily </w:t>
      </w:r>
      <w:r>
        <w:rPr>
          <w:rFonts w:ascii="Tahoma" w:hAnsi="Tahoma"/>
          <w:color w:val="231F20"/>
        </w:rPr>
        <w:t xml:space="preserve">pay </w:t>
      </w:r>
      <w:r>
        <w:rPr>
          <w:rFonts w:ascii="Tahoma" w:hAnsi="Tahoma"/>
          <w:color w:val="231F20"/>
          <w:spacing w:val="1"/>
        </w:rPr>
        <w:t xml:space="preserve">their </w:t>
      </w:r>
      <w:r>
        <w:rPr>
          <w:rFonts w:ascii="Tahoma" w:hAnsi="Tahoma"/>
          <w:color w:val="231F20"/>
        </w:rPr>
        <w:t>own</w:t>
      </w:r>
      <w:r>
        <w:rPr>
          <w:rFonts w:ascii="Tahoma" w:hAnsi="Tahoma"/>
          <w:color w:val="231F20"/>
          <w:spacing w:val="48"/>
        </w:rPr>
        <w:t xml:space="preserve"> </w:t>
      </w:r>
      <w:r>
        <w:rPr>
          <w:rFonts w:ascii="Tahoma" w:hAnsi="Tahoma"/>
          <w:color w:val="231F20"/>
          <w:spacing w:val="-4"/>
        </w:rPr>
        <w:t>way.</w:t>
      </w:r>
    </w:p>
    <w:p w14:paraId="3A664A43" w14:textId="77777777" w:rsidR="002653E8" w:rsidRDefault="003115E3">
      <w:pPr>
        <w:pStyle w:val="a3"/>
        <w:spacing w:before="130" w:line="218" w:lineRule="auto"/>
        <w:ind w:left="1828" w:right="1639"/>
        <w:jc w:val="both"/>
        <w:rPr>
          <w:rFonts w:ascii="Tahoma" w:hAnsi="Tahoma"/>
        </w:rPr>
      </w:pPr>
      <w:r>
        <w:rPr>
          <w:rFonts w:ascii="Tahoma" w:hAnsi="Tahoma"/>
          <w:color w:val="231F20"/>
        </w:rPr>
        <w:t xml:space="preserve">It’s a </w:t>
      </w:r>
      <w:r>
        <w:rPr>
          <w:rFonts w:ascii="Tahoma" w:hAnsi="Tahoma"/>
          <w:color w:val="231F20"/>
          <w:spacing w:val="1"/>
        </w:rPr>
        <w:t xml:space="preserve">bargain </w:t>
      </w:r>
      <w:r>
        <w:rPr>
          <w:rFonts w:ascii="Tahoma" w:hAnsi="Tahoma"/>
          <w:color w:val="231F20"/>
        </w:rPr>
        <w:t xml:space="preserve">for you </w:t>
      </w:r>
      <w:r>
        <w:rPr>
          <w:rFonts w:ascii="Tahoma" w:hAnsi="Tahoma"/>
          <w:color w:val="231F20"/>
          <w:spacing w:val="1"/>
        </w:rPr>
        <w:t xml:space="preserve">too. </w:t>
      </w:r>
      <w:r>
        <w:rPr>
          <w:rFonts w:ascii="Tahoma" w:hAnsi="Tahoma"/>
          <w:color w:val="231F20"/>
        </w:rPr>
        <w:t xml:space="preserve">For a </w:t>
      </w:r>
      <w:r>
        <w:rPr>
          <w:rFonts w:ascii="Tahoma" w:hAnsi="Tahoma"/>
          <w:color w:val="231F20"/>
          <w:spacing w:val="1"/>
        </w:rPr>
        <w:t xml:space="preserve">minimum </w:t>
      </w:r>
      <w:r>
        <w:rPr>
          <w:rFonts w:ascii="Tahoma" w:hAnsi="Tahoma"/>
          <w:color w:val="231F20"/>
        </w:rPr>
        <w:t xml:space="preserve">of $25 a </w:t>
      </w:r>
      <w:r>
        <w:rPr>
          <w:rFonts w:ascii="Tahoma" w:hAnsi="Tahoma"/>
          <w:color w:val="231F20"/>
          <w:spacing w:val="1"/>
        </w:rPr>
        <w:t xml:space="preserve">month </w:t>
      </w:r>
      <w:r>
        <w:rPr>
          <w:rFonts w:ascii="Tahoma" w:hAnsi="Tahoma"/>
          <w:color w:val="231F20"/>
          <w:spacing w:val="2"/>
        </w:rPr>
        <w:t xml:space="preserve">(we </w:t>
      </w:r>
      <w:r>
        <w:rPr>
          <w:rFonts w:ascii="Tahoma" w:hAnsi="Tahoma"/>
          <w:color w:val="231F20"/>
          <w:spacing w:val="3"/>
        </w:rPr>
        <w:t xml:space="preserve">encourage more, needless </w:t>
      </w:r>
      <w:r>
        <w:rPr>
          <w:rFonts w:ascii="Tahoma" w:hAnsi="Tahoma"/>
          <w:color w:val="231F20"/>
          <w:spacing w:val="1"/>
        </w:rPr>
        <w:t xml:space="preserve">to say), </w:t>
      </w:r>
      <w:r>
        <w:rPr>
          <w:rFonts w:ascii="Tahoma" w:hAnsi="Tahoma"/>
          <w:color w:val="231F20"/>
          <w:spacing w:val="2"/>
        </w:rPr>
        <w:t xml:space="preserve">you’ll get all the </w:t>
      </w:r>
      <w:r>
        <w:rPr>
          <w:rFonts w:ascii="Tahoma" w:hAnsi="Tahoma"/>
          <w:color w:val="231F20"/>
          <w:spacing w:val="5"/>
        </w:rPr>
        <w:t xml:space="preserve">audio </w:t>
      </w:r>
      <w:r>
        <w:rPr>
          <w:rFonts w:ascii="Tahoma" w:hAnsi="Tahoma"/>
          <w:color w:val="231F20"/>
          <w:spacing w:val="3"/>
        </w:rPr>
        <w:t xml:space="preserve">and </w:t>
      </w:r>
      <w:r>
        <w:rPr>
          <w:rFonts w:ascii="Tahoma" w:hAnsi="Tahoma"/>
          <w:color w:val="231F20"/>
          <w:spacing w:val="5"/>
        </w:rPr>
        <w:t xml:space="preserve">video </w:t>
      </w:r>
      <w:r>
        <w:rPr>
          <w:rFonts w:ascii="Tahoma" w:hAnsi="Tahoma"/>
          <w:color w:val="231F20"/>
          <w:spacing w:val="3"/>
        </w:rPr>
        <w:t xml:space="preserve">(over </w:t>
      </w:r>
      <w:r>
        <w:rPr>
          <w:rFonts w:ascii="Tahoma" w:hAnsi="Tahoma"/>
          <w:color w:val="231F20"/>
        </w:rPr>
        <w:t xml:space="preserve">a </w:t>
      </w:r>
      <w:r>
        <w:rPr>
          <w:rFonts w:ascii="Tahoma" w:hAnsi="Tahoma"/>
          <w:color w:val="231F20"/>
          <w:spacing w:val="5"/>
        </w:rPr>
        <w:t xml:space="preserve">dozen </w:t>
      </w:r>
      <w:r>
        <w:rPr>
          <w:rFonts w:ascii="Tahoma" w:hAnsi="Tahoma"/>
          <w:color w:val="231F20"/>
          <w:spacing w:val="3"/>
        </w:rPr>
        <w:t xml:space="preserve">CDs and </w:t>
      </w:r>
      <w:r>
        <w:rPr>
          <w:rFonts w:ascii="Tahoma" w:hAnsi="Tahoma"/>
          <w:color w:val="231F20"/>
          <w:spacing w:val="2"/>
        </w:rPr>
        <w:t xml:space="preserve">DVDs in </w:t>
      </w:r>
      <w:r>
        <w:rPr>
          <w:rFonts w:ascii="Tahoma" w:hAnsi="Tahoma"/>
          <w:color w:val="231F20"/>
          <w:spacing w:val="6"/>
        </w:rPr>
        <w:t xml:space="preserve">our </w:t>
      </w:r>
      <w:r>
        <w:rPr>
          <w:rFonts w:ascii="Tahoma" w:hAnsi="Tahoma"/>
          <w:color w:val="231F20"/>
        </w:rPr>
        <w:t xml:space="preserve">first year) or all of the </w:t>
      </w:r>
      <w:r>
        <w:rPr>
          <w:rFonts w:ascii="Tahoma" w:hAnsi="Tahoma"/>
          <w:color w:val="231F20"/>
          <w:spacing w:val="1"/>
        </w:rPr>
        <w:t xml:space="preserve">print (also </w:t>
      </w:r>
      <w:r>
        <w:rPr>
          <w:rFonts w:ascii="Tahoma" w:hAnsi="Tahoma"/>
          <w:color w:val="231F20"/>
        </w:rPr>
        <w:t xml:space="preserve">over a </w:t>
      </w:r>
      <w:r>
        <w:rPr>
          <w:rFonts w:ascii="Tahoma" w:hAnsi="Tahoma"/>
          <w:color w:val="231F20"/>
          <w:spacing w:val="1"/>
        </w:rPr>
        <w:t xml:space="preserve">dozen </w:t>
      </w:r>
      <w:r>
        <w:rPr>
          <w:rFonts w:ascii="Tahoma" w:hAnsi="Tahoma"/>
          <w:color w:val="231F20"/>
        </w:rPr>
        <w:t xml:space="preserve">in our first </w:t>
      </w:r>
      <w:r>
        <w:rPr>
          <w:rFonts w:ascii="Tahoma" w:hAnsi="Tahoma"/>
          <w:color w:val="231F20"/>
          <w:spacing w:val="2"/>
        </w:rPr>
        <w:t xml:space="preserve">year). </w:t>
      </w:r>
      <w:r>
        <w:rPr>
          <w:rFonts w:ascii="Tahoma" w:hAnsi="Tahoma"/>
          <w:color w:val="231F20"/>
          <w:spacing w:val="1"/>
        </w:rPr>
        <w:t xml:space="preserve">Or </w:t>
      </w:r>
      <w:r>
        <w:rPr>
          <w:rFonts w:ascii="Tahoma" w:hAnsi="Tahoma"/>
          <w:color w:val="231F20"/>
          <w:spacing w:val="2"/>
        </w:rPr>
        <w:t xml:space="preserve">for $40 </w:t>
      </w:r>
      <w:r>
        <w:rPr>
          <w:rFonts w:ascii="Tahoma" w:hAnsi="Tahoma"/>
          <w:color w:val="231F20"/>
          <w:spacing w:val="1"/>
        </w:rPr>
        <w:t xml:space="preserve">you </w:t>
      </w:r>
      <w:r>
        <w:rPr>
          <w:rFonts w:ascii="Tahoma" w:hAnsi="Tahoma"/>
          <w:color w:val="231F20"/>
          <w:spacing w:val="2"/>
        </w:rPr>
        <w:t xml:space="preserve">get </w:t>
      </w:r>
      <w:r>
        <w:rPr>
          <w:rFonts w:ascii="Tahoma" w:hAnsi="Tahoma"/>
          <w:color w:val="231F20"/>
          <w:spacing w:val="3"/>
        </w:rPr>
        <w:t xml:space="preserve">everything published </w:t>
      </w:r>
      <w:r>
        <w:rPr>
          <w:rFonts w:ascii="Tahoma" w:hAnsi="Tahoma"/>
          <w:color w:val="231F20"/>
          <w:spacing w:val="1"/>
        </w:rPr>
        <w:t xml:space="preserve">in </w:t>
      </w:r>
      <w:r>
        <w:rPr>
          <w:rFonts w:ascii="Tahoma" w:hAnsi="Tahoma"/>
          <w:color w:val="231F20"/>
          <w:spacing w:val="2"/>
        </w:rPr>
        <w:t xml:space="preserve">hard copy PLUS the </w:t>
      </w:r>
      <w:r>
        <w:rPr>
          <w:rFonts w:ascii="Tahoma" w:hAnsi="Tahoma"/>
          <w:color w:val="231F20"/>
          <w:spacing w:val="3"/>
        </w:rPr>
        <w:t xml:space="preserve">ability </w:t>
      </w:r>
      <w:r>
        <w:rPr>
          <w:rFonts w:ascii="Tahoma" w:hAnsi="Tahoma"/>
          <w:color w:val="231F20"/>
          <w:spacing w:val="1"/>
        </w:rPr>
        <w:t xml:space="preserve">to </w:t>
      </w:r>
      <w:r>
        <w:rPr>
          <w:rFonts w:ascii="Tahoma" w:hAnsi="Tahoma"/>
          <w:color w:val="231F20"/>
          <w:spacing w:val="2"/>
        </w:rPr>
        <w:t xml:space="preserve">purchase any/all </w:t>
      </w:r>
      <w:r>
        <w:rPr>
          <w:rFonts w:ascii="Tahoma" w:hAnsi="Tahoma"/>
          <w:color w:val="231F20"/>
          <w:spacing w:val="3"/>
        </w:rPr>
        <w:t xml:space="preserve">items </w:t>
      </w:r>
      <w:r>
        <w:rPr>
          <w:rFonts w:ascii="Tahoma" w:hAnsi="Tahoma"/>
          <w:color w:val="231F20"/>
        </w:rPr>
        <w:t xml:space="preserve">you’ve </w:t>
      </w:r>
      <w:r>
        <w:rPr>
          <w:rFonts w:ascii="Tahoma" w:hAnsi="Tahoma"/>
          <w:color w:val="231F20"/>
          <w:spacing w:val="1"/>
        </w:rPr>
        <w:t xml:space="preserve">missed </w:t>
      </w:r>
      <w:r>
        <w:rPr>
          <w:rFonts w:ascii="Tahoma" w:hAnsi="Tahoma"/>
          <w:color w:val="231F20"/>
        </w:rPr>
        <w:t xml:space="preserve">at a 50% </w:t>
      </w:r>
      <w:r>
        <w:rPr>
          <w:rFonts w:ascii="Tahoma" w:hAnsi="Tahoma"/>
          <w:color w:val="231F20"/>
          <w:spacing w:val="1"/>
        </w:rPr>
        <w:t xml:space="preserve">discount. </w:t>
      </w:r>
      <w:r>
        <w:rPr>
          <w:rFonts w:ascii="Tahoma" w:hAnsi="Tahoma"/>
          <w:color w:val="231F20"/>
        </w:rPr>
        <w:t xml:space="preserve">And what </w:t>
      </w:r>
      <w:r>
        <w:rPr>
          <w:rFonts w:ascii="Tahoma" w:hAnsi="Tahoma"/>
          <w:color w:val="231F20"/>
          <w:spacing w:val="1"/>
        </w:rPr>
        <w:t xml:space="preserve">could </w:t>
      </w:r>
      <w:r>
        <w:rPr>
          <w:rFonts w:ascii="Tahoma" w:hAnsi="Tahoma"/>
          <w:color w:val="231F20"/>
        </w:rPr>
        <w:t xml:space="preserve">be </w:t>
      </w:r>
      <w:r>
        <w:rPr>
          <w:rFonts w:ascii="Tahoma" w:hAnsi="Tahoma"/>
          <w:color w:val="231F20"/>
          <w:spacing w:val="1"/>
        </w:rPr>
        <w:t>better</w:t>
      </w:r>
      <w:r>
        <w:rPr>
          <w:rFonts w:ascii="Tahoma" w:hAnsi="Tahoma"/>
          <w:color w:val="231F20"/>
          <w:spacing w:val="-27"/>
        </w:rPr>
        <w:t xml:space="preserve"> </w:t>
      </w:r>
      <w:r>
        <w:rPr>
          <w:rFonts w:ascii="Tahoma" w:hAnsi="Tahoma"/>
          <w:color w:val="231F20"/>
          <w:spacing w:val="2"/>
        </w:rPr>
        <w:t xml:space="preserve">than </w:t>
      </w:r>
      <w:r>
        <w:rPr>
          <w:rFonts w:ascii="Tahoma" w:hAnsi="Tahoma"/>
          <w:color w:val="231F20"/>
        </w:rPr>
        <w:t xml:space="preserve">the </w:t>
      </w:r>
      <w:r>
        <w:rPr>
          <w:rFonts w:ascii="Tahoma" w:hAnsi="Tahoma"/>
          <w:color w:val="231F20"/>
          <w:spacing w:val="1"/>
        </w:rPr>
        <w:t xml:space="preserve">thrill </w:t>
      </w:r>
      <w:r>
        <w:rPr>
          <w:rFonts w:ascii="Tahoma" w:hAnsi="Tahoma"/>
          <w:color w:val="231F20"/>
        </w:rPr>
        <w:t xml:space="preserve">of </w:t>
      </w:r>
      <w:r>
        <w:rPr>
          <w:rFonts w:ascii="Tahoma" w:hAnsi="Tahoma"/>
          <w:color w:val="231F20"/>
          <w:spacing w:val="1"/>
        </w:rPr>
        <w:t xml:space="preserve">receiving </w:t>
      </w:r>
      <w:r>
        <w:rPr>
          <w:rFonts w:ascii="Tahoma" w:hAnsi="Tahoma"/>
          <w:color w:val="231F20"/>
        </w:rPr>
        <w:t xml:space="preserve">a </w:t>
      </w:r>
      <w:r>
        <w:rPr>
          <w:rFonts w:ascii="Tahoma" w:hAnsi="Tahoma"/>
          <w:color w:val="231F20"/>
          <w:spacing w:val="1"/>
        </w:rPr>
        <w:t xml:space="preserve">monthly package </w:t>
      </w:r>
      <w:r>
        <w:rPr>
          <w:rFonts w:ascii="Tahoma" w:hAnsi="Tahoma"/>
          <w:color w:val="231F20"/>
        </w:rPr>
        <w:t xml:space="preserve">of </w:t>
      </w:r>
      <w:r>
        <w:rPr>
          <w:rFonts w:ascii="Tahoma" w:hAnsi="Tahoma"/>
          <w:color w:val="231F20"/>
          <w:spacing w:val="1"/>
        </w:rPr>
        <w:t xml:space="preserve">cutting </w:t>
      </w:r>
      <w:r>
        <w:rPr>
          <w:rFonts w:ascii="Tahoma" w:hAnsi="Tahoma"/>
          <w:color w:val="231F20"/>
          <w:spacing w:val="2"/>
        </w:rPr>
        <w:t xml:space="preserve">edge </w:t>
      </w:r>
      <w:r>
        <w:rPr>
          <w:rFonts w:ascii="Tahoma" w:hAnsi="Tahoma"/>
          <w:color w:val="231F20"/>
        </w:rPr>
        <w:t>political theory, art, literature, ideas and practice delivered to your</w:t>
      </w:r>
      <w:r>
        <w:rPr>
          <w:rFonts w:ascii="Tahoma" w:hAnsi="Tahoma"/>
          <w:color w:val="231F20"/>
          <w:spacing w:val="18"/>
        </w:rPr>
        <w:t xml:space="preserve"> </w:t>
      </w:r>
      <w:r>
        <w:rPr>
          <w:rFonts w:ascii="Tahoma" w:hAnsi="Tahoma"/>
          <w:color w:val="231F20"/>
          <w:spacing w:val="2"/>
        </w:rPr>
        <w:t>door?</w:t>
      </w:r>
    </w:p>
    <w:p w14:paraId="013BBAF2" w14:textId="77777777" w:rsidR="002653E8" w:rsidRDefault="003115E3">
      <w:pPr>
        <w:pStyle w:val="a3"/>
        <w:spacing w:before="131" w:line="218" w:lineRule="auto"/>
        <w:ind w:left="1828" w:right="1644"/>
        <w:jc w:val="both"/>
        <w:rPr>
          <w:rFonts w:ascii="Tahoma"/>
        </w:rPr>
      </w:pPr>
      <w:r>
        <w:rPr>
          <w:rFonts w:ascii="Tahoma"/>
          <w:color w:val="231F20"/>
        </w:rPr>
        <w:t>Your card will be billed once a month, until you tell us to stop. Or until our efforts succeed in bringing the revolution around. Or the financial meltdown of Capital makes plastic redundant. Whichever comes first.</w:t>
      </w:r>
    </w:p>
    <w:p w14:paraId="6B7F77C8" w14:textId="77777777" w:rsidR="002653E8" w:rsidRDefault="003115E3">
      <w:pPr>
        <w:pStyle w:val="a3"/>
        <w:spacing w:before="129" w:line="218" w:lineRule="auto"/>
        <w:ind w:left="1828" w:right="1639"/>
        <w:jc w:val="both"/>
        <w:rPr>
          <w:rFonts w:ascii="Tahoma"/>
        </w:rPr>
      </w:pPr>
      <w:r>
        <w:rPr>
          <w:rFonts w:ascii="Tahoma"/>
          <w:color w:val="231F20"/>
        </w:rPr>
        <w:t xml:space="preserve">For </w:t>
      </w:r>
      <w:r>
        <w:rPr>
          <w:rFonts w:ascii="Tahoma"/>
          <w:color w:val="231F20"/>
          <w:spacing w:val="3"/>
        </w:rPr>
        <w:t xml:space="preserve">more </w:t>
      </w:r>
      <w:r>
        <w:rPr>
          <w:rFonts w:ascii="Tahoma"/>
          <w:color w:val="231F20"/>
          <w:spacing w:val="5"/>
        </w:rPr>
        <w:t xml:space="preserve">information </w:t>
      </w:r>
      <w:r>
        <w:rPr>
          <w:rFonts w:ascii="Tahoma"/>
          <w:color w:val="231F20"/>
          <w:spacing w:val="2"/>
        </w:rPr>
        <w:t xml:space="preserve">on </w:t>
      </w:r>
      <w:r>
        <w:rPr>
          <w:rFonts w:ascii="Tahoma"/>
          <w:color w:val="231F20"/>
          <w:spacing w:val="3"/>
        </w:rPr>
        <w:t xml:space="preserve">the Friends </w:t>
      </w:r>
      <w:r>
        <w:rPr>
          <w:rFonts w:ascii="Tahoma"/>
          <w:color w:val="231F20"/>
          <w:spacing w:val="2"/>
        </w:rPr>
        <w:t xml:space="preserve">of </w:t>
      </w:r>
      <w:r>
        <w:rPr>
          <w:rFonts w:ascii="Tahoma"/>
          <w:color w:val="231F20"/>
          <w:spacing w:val="3"/>
        </w:rPr>
        <w:t xml:space="preserve">PM, and </w:t>
      </w:r>
      <w:r>
        <w:rPr>
          <w:rFonts w:ascii="Tahoma"/>
          <w:color w:val="231F20"/>
          <w:spacing w:val="5"/>
        </w:rPr>
        <w:t xml:space="preserve">about </w:t>
      </w:r>
      <w:r>
        <w:rPr>
          <w:rFonts w:ascii="Tahoma"/>
          <w:color w:val="231F20"/>
        </w:rPr>
        <w:t>sponsoring particular projects, please go to</w:t>
      </w:r>
      <w:r>
        <w:rPr>
          <w:rFonts w:ascii="Tahoma"/>
          <w:color w:val="231F20"/>
          <w:spacing w:val="-41"/>
        </w:rPr>
        <w:t xml:space="preserve"> </w:t>
      </w:r>
      <w:r>
        <w:rPr>
          <w:rFonts w:ascii="Tahoma"/>
          <w:color w:val="231F20"/>
        </w:rPr>
        <w:t xml:space="preserve">www.pmpress. </w:t>
      </w:r>
      <w:r>
        <w:rPr>
          <w:rFonts w:ascii="Tahoma"/>
          <w:color w:val="231F20"/>
          <w:spacing w:val="1"/>
        </w:rPr>
        <w:t xml:space="preserve">org, </w:t>
      </w:r>
      <w:r>
        <w:rPr>
          <w:rFonts w:ascii="Tahoma"/>
          <w:color w:val="231F20"/>
        </w:rPr>
        <w:t xml:space="preserve">or </w:t>
      </w:r>
      <w:r>
        <w:rPr>
          <w:rFonts w:ascii="Tahoma"/>
          <w:color w:val="231F20"/>
          <w:spacing w:val="1"/>
        </w:rPr>
        <w:t xml:space="preserve">contact </w:t>
      </w:r>
      <w:r>
        <w:rPr>
          <w:rFonts w:ascii="Tahoma"/>
          <w:color w:val="231F20"/>
        </w:rPr>
        <w:t>us at</w:t>
      </w:r>
      <w:r>
        <w:rPr>
          <w:rFonts w:ascii="Tahoma"/>
          <w:color w:val="231F20"/>
          <w:spacing w:val="28"/>
        </w:rPr>
        <w:t xml:space="preserve"> </w:t>
      </w:r>
      <w:hyperlink r:id="rId656">
        <w:r>
          <w:rPr>
            <w:rFonts w:ascii="Tahoma"/>
            <w:color w:val="231F20"/>
            <w:spacing w:val="2"/>
          </w:rPr>
          <w:t>info@pmpress.org.</w:t>
        </w:r>
      </w:hyperlink>
    </w:p>
    <w:p w14:paraId="14231165" w14:textId="77777777" w:rsidR="002653E8" w:rsidRDefault="002653E8">
      <w:pPr>
        <w:spacing w:line="218" w:lineRule="auto"/>
        <w:jc w:val="both"/>
        <w:rPr>
          <w:rFonts w:ascii="Tahoma"/>
        </w:rPr>
        <w:sectPr w:rsidR="002653E8">
          <w:footerReference w:type="even" r:id="rId657"/>
          <w:pgSz w:w="8640" w:h="12960"/>
          <w:pgMar w:top="1080" w:right="0" w:bottom="280" w:left="0" w:header="0" w:footer="0" w:gutter="0"/>
          <w:cols w:space="720"/>
        </w:sectPr>
      </w:pPr>
    </w:p>
    <w:p w14:paraId="205F17B3" w14:textId="77777777" w:rsidR="002653E8" w:rsidRDefault="00000000">
      <w:pPr>
        <w:spacing w:before="74"/>
        <w:ind w:left="2186"/>
        <w:rPr>
          <w:rFonts w:ascii="Courier New"/>
          <w:b/>
          <w:sz w:val="26"/>
        </w:rPr>
      </w:pPr>
      <w:r>
        <w:rPr>
          <w:noProof w:val="0"/>
        </w:rPr>
        <w:lastRenderedPageBreak/>
        <w:pict w14:anchorId="1C02B542">
          <v:group id="_x0000_s2095" style="position:absolute;left:0;text-align:left;margin-left:57.4pt;margin-top:24pt;width:115.45pt;height:162pt;z-index:12088;mso-position-horizontal-relative:page" coordorigin="1148,480" coordsize="2309,3240">
            <v:shape id="_x0000_s2097" type="#_x0000_t75" style="position:absolute;left:1147;top:479;width:2309;height:3240">
              <v:imagedata r:id="rId658" o:title=""/>
            </v:shape>
            <v:rect id="_x0000_s2096" style="position:absolute;left:1157;top:489;width:2289;height:3220" filled="f" strokecolor="#231f20" strokeweight="1pt"/>
            <w10:wrap anchorx="page"/>
          </v:group>
        </w:pict>
      </w:r>
      <w:r w:rsidR="003115E3">
        <w:rPr>
          <w:rFonts w:ascii="Courier New"/>
          <w:b/>
          <w:color w:val="231F20"/>
          <w:sz w:val="26"/>
        </w:rPr>
        <w:t>RECOMMENDED FROM PM PRESS</w:t>
      </w:r>
    </w:p>
    <w:p w14:paraId="7B1CF6DB" w14:textId="77777777" w:rsidR="002653E8" w:rsidRDefault="003115E3">
      <w:pPr>
        <w:pStyle w:val="9"/>
        <w:tabs>
          <w:tab w:val="left" w:pos="7311"/>
        </w:tabs>
        <w:spacing w:before="228"/>
        <w:ind w:left="3667"/>
      </w:pPr>
      <w:r>
        <w:rPr>
          <w:color w:val="FFFFFF"/>
          <w:spacing w:val="28"/>
          <w:shd w:val="clear" w:color="auto" w:fill="231F20"/>
        </w:rPr>
        <w:t xml:space="preserve"> </w:t>
      </w:r>
      <w:r>
        <w:rPr>
          <w:color w:val="FFFFFF"/>
          <w:shd w:val="clear" w:color="auto" w:fill="231F20"/>
        </w:rPr>
        <w:t>The Angry</w:t>
      </w:r>
      <w:r>
        <w:rPr>
          <w:color w:val="FFFFFF"/>
          <w:spacing w:val="-1"/>
          <w:shd w:val="clear" w:color="auto" w:fill="231F20"/>
        </w:rPr>
        <w:t xml:space="preserve"> </w:t>
      </w:r>
      <w:r>
        <w:rPr>
          <w:color w:val="FFFFFF"/>
          <w:shd w:val="clear" w:color="auto" w:fill="231F20"/>
        </w:rPr>
        <w:t>Brigade</w:t>
      </w:r>
      <w:r>
        <w:rPr>
          <w:color w:val="FFFFFF"/>
          <w:shd w:val="clear" w:color="auto" w:fill="231F20"/>
        </w:rPr>
        <w:tab/>
      </w:r>
    </w:p>
    <w:p w14:paraId="21371EAE" w14:textId="77777777" w:rsidR="002653E8" w:rsidRDefault="00000000">
      <w:pPr>
        <w:spacing w:before="199" w:line="290" w:lineRule="auto"/>
        <w:ind w:left="3667" w:right="1580"/>
        <w:rPr>
          <w:rFonts w:ascii="Trebuchet MS" w:hAnsi="Trebuchet MS"/>
          <w:b/>
          <w:sz w:val="20"/>
        </w:rPr>
      </w:pPr>
      <w:r>
        <w:rPr>
          <w:noProof w:val="0"/>
        </w:rPr>
        <w:pict w14:anchorId="2EF073BA">
          <v:line id="_x0000_s2094" style="position:absolute;left:0;text-align:left;z-index:11920;mso-wrap-distance-left:0;mso-wrap-distance-right:0;mso-position-horizontal-relative:page" from="365.6pt,42.15pt" to="183.4pt,42.15pt" strokecolor="#231f20" strokeweight="1pt">
            <w10:wrap type="topAndBottom" anchorx="page"/>
          </v:line>
        </w:pict>
      </w:r>
      <w:r w:rsidR="003115E3">
        <w:rPr>
          <w:rFonts w:ascii="Trebuchet MS" w:hAnsi="Trebuchet MS"/>
          <w:b/>
          <w:color w:val="231F20"/>
          <w:sz w:val="20"/>
        </w:rPr>
        <w:t>The Spectacular Rise and Fall of Britain’s First Urban Guerilla Group</w:t>
      </w:r>
    </w:p>
    <w:p w14:paraId="5AA0BB12" w14:textId="77777777" w:rsidR="002653E8" w:rsidRDefault="003115E3">
      <w:pPr>
        <w:spacing w:before="8"/>
        <w:ind w:left="3667"/>
        <w:rPr>
          <w:rFonts w:ascii="Trebuchet MS"/>
          <w:sz w:val="18"/>
        </w:rPr>
      </w:pPr>
      <w:r>
        <w:rPr>
          <w:rFonts w:ascii="Trebuchet MS"/>
          <w:color w:val="231F20"/>
          <w:sz w:val="18"/>
        </w:rPr>
        <w:t>Produced by Gordon Carr for the BBC</w:t>
      </w:r>
    </w:p>
    <w:p w14:paraId="633594C7" w14:textId="77777777" w:rsidR="002653E8" w:rsidRDefault="003115E3">
      <w:pPr>
        <w:spacing w:before="78"/>
        <w:ind w:left="760" w:right="941"/>
        <w:jc w:val="center"/>
        <w:rPr>
          <w:rFonts w:ascii="Trebuchet MS"/>
          <w:sz w:val="18"/>
        </w:rPr>
      </w:pPr>
      <w:r>
        <w:rPr>
          <w:rFonts w:ascii="Trebuchet MS"/>
          <w:color w:val="231F20"/>
          <w:sz w:val="18"/>
        </w:rPr>
        <w:t>PM Press 2008</w:t>
      </w:r>
    </w:p>
    <w:p w14:paraId="19997E12" w14:textId="77777777" w:rsidR="002653E8" w:rsidRDefault="003115E3">
      <w:pPr>
        <w:spacing w:before="31"/>
        <w:ind w:left="206"/>
        <w:jc w:val="center"/>
        <w:rPr>
          <w:rFonts w:ascii="Trebuchet MS"/>
          <w:sz w:val="18"/>
        </w:rPr>
      </w:pPr>
      <w:r>
        <w:rPr>
          <w:rFonts w:ascii="Trebuchet MS"/>
          <w:color w:val="231F20"/>
          <w:sz w:val="18"/>
        </w:rPr>
        <w:t>UPC 760137482093</w:t>
      </w:r>
    </w:p>
    <w:p w14:paraId="308641F8" w14:textId="77777777" w:rsidR="002653E8" w:rsidRDefault="003115E3">
      <w:pPr>
        <w:spacing w:before="77"/>
        <w:ind w:left="760" w:right="799"/>
        <w:jc w:val="center"/>
        <w:rPr>
          <w:rFonts w:ascii="Trebuchet MS"/>
          <w:sz w:val="18"/>
        </w:rPr>
      </w:pPr>
      <w:r>
        <w:rPr>
          <w:rFonts w:ascii="Trebuchet MS"/>
          <w:color w:val="231F20"/>
          <w:sz w:val="18"/>
        </w:rPr>
        <w:t>DVD 60 minutes</w:t>
      </w:r>
    </w:p>
    <w:p w14:paraId="299DA13C" w14:textId="77777777" w:rsidR="002653E8" w:rsidRDefault="003115E3">
      <w:pPr>
        <w:spacing w:before="78"/>
        <w:ind w:left="1212" w:right="1326"/>
        <w:jc w:val="right"/>
        <w:rPr>
          <w:rFonts w:ascii="Trebuchet MS" w:hAnsi="Trebuchet MS"/>
          <w:sz w:val="18"/>
        </w:rPr>
      </w:pPr>
      <w:r>
        <w:rPr>
          <w:rFonts w:ascii="Trebuchet MS" w:hAnsi="Trebuchet MS"/>
          <w:color w:val="231F20"/>
          <w:sz w:val="18"/>
        </w:rPr>
        <w:t>Extra: “The Persons Unknown”</w:t>
      </w:r>
    </w:p>
    <w:p w14:paraId="1F3F41FB" w14:textId="77777777" w:rsidR="002653E8" w:rsidRDefault="00000000">
      <w:pPr>
        <w:spacing w:before="31"/>
        <w:ind w:left="1212" w:right="1326"/>
        <w:jc w:val="right"/>
        <w:rPr>
          <w:rFonts w:ascii="Trebuchet MS"/>
          <w:sz w:val="18"/>
        </w:rPr>
      </w:pPr>
      <w:r>
        <w:rPr>
          <w:noProof w:val="0"/>
        </w:rPr>
        <w:pict w14:anchorId="59947CBD">
          <v:line id="_x0000_s2093" style="position:absolute;left:0;text-align:left;z-index:11944;mso-wrap-distance-left:0;mso-wrap-distance-right:0;mso-position-horizontal-relative:page" from="183.4pt,13.45pt" to="365.6pt,13.45pt" strokecolor="#231f20" strokeweight=".5pt">
            <w10:wrap type="topAndBottom" anchorx="page"/>
          </v:line>
        </w:pict>
      </w:r>
      <w:r w:rsidR="003115E3">
        <w:rPr>
          <w:rFonts w:ascii="Trebuchet MS"/>
          <w:color w:val="231F20"/>
          <w:sz w:val="18"/>
        </w:rPr>
        <w:t>(1980, 22 minutes)</w:t>
      </w:r>
    </w:p>
    <w:p w14:paraId="58D30316" w14:textId="77777777" w:rsidR="002653E8" w:rsidRDefault="003115E3">
      <w:pPr>
        <w:spacing w:before="134"/>
        <w:ind w:left="3667"/>
        <w:rPr>
          <w:rFonts w:ascii="Trebuchet MS"/>
          <w:sz w:val="21"/>
        </w:rPr>
      </w:pPr>
      <w:r>
        <w:rPr>
          <w:rFonts w:ascii="Trebuchet MS"/>
          <w:color w:val="231F20"/>
          <w:sz w:val="21"/>
        </w:rPr>
        <w:t>$19.95</w:t>
      </w:r>
    </w:p>
    <w:p w14:paraId="322A5915" w14:textId="77777777" w:rsidR="002653E8" w:rsidRDefault="003115E3">
      <w:pPr>
        <w:spacing w:before="105"/>
        <w:ind w:left="1147" w:right="1145"/>
        <w:rPr>
          <w:rFonts w:ascii="Tahoma" w:hAnsi="Tahoma"/>
          <w:sz w:val="16"/>
        </w:rPr>
      </w:pPr>
      <w:r>
        <w:rPr>
          <w:rFonts w:ascii="Tahoma" w:hAnsi="Tahoma"/>
          <w:color w:val="231F20"/>
          <w:sz w:val="16"/>
        </w:rPr>
        <w:t>Produced in 1973, this documentary covers the roots of the Angry Brigade in the revolutionary ferment of the 1960s, folowing their armed campaign and the police investigation. Extensively researched—among both the libertarian opposition and the police—this remains the essential study of Britain’s first urban guerilla group.</w:t>
      </w:r>
    </w:p>
    <w:p w14:paraId="1DA8384C" w14:textId="77777777" w:rsidR="002653E8" w:rsidRDefault="002653E8">
      <w:pPr>
        <w:pStyle w:val="a3"/>
        <w:spacing w:before="2"/>
        <w:rPr>
          <w:rFonts w:ascii="Tahoma"/>
          <w:sz w:val="29"/>
        </w:rPr>
      </w:pPr>
    </w:p>
    <w:p w14:paraId="598481E4" w14:textId="77777777" w:rsidR="002653E8" w:rsidRDefault="00000000">
      <w:pPr>
        <w:pStyle w:val="9"/>
        <w:tabs>
          <w:tab w:val="left" w:pos="7311"/>
        </w:tabs>
        <w:spacing w:before="100"/>
        <w:ind w:left="3667"/>
      </w:pPr>
      <w:r>
        <w:rPr>
          <w:noProof w:val="0"/>
        </w:rPr>
        <w:pict w14:anchorId="30823428">
          <v:group id="_x0000_s2090" style="position:absolute;left:0;text-align:left;margin-left:57.9pt;margin-top:-.6pt;width:116pt;height:170.25pt;z-index:12064;mso-position-horizontal-relative:page" coordorigin="1158,-12" coordsize="2320,3405">
            <v:shape id="_x0000_s2092" type="#_x0000_t75" style="position:absolute;left:1168;top:-13;width:2309;height:3405">
              <v:imagedata r:id="rId659" o:title=""/>
            </v:shape>
            <v:rect id="_x0000_s2091" style="position:absolute;left:1168;top:-3;width:2300;height:3385" filled="f" strokecolor="#231f20" strokeweight="1pt"/>
            <w10:wrap anchorx="page"/>
          </v:group>
        </w:pict>
      </w:r>
      <w:r w:rsidR="003115E3">
        <w:rPr>
          <w:color w:val="FFFFFF"/>
          <w:spacing w:val="28"/>
          <w:shd w:val="clear" w:color="auto" w:fill="231F20"/>
        </w:rPr>
        <w:t xml:space="preserve"> </w:t>
      </w:r>
      <w:r w:rsidR="003115E3">
        <w:rPr>
          <w:color w:val="FFFFFF"/>
          <w:shd w:val="clear" w:color="auto" w:fill="231F20"/>
        </w:rPr>
        <w:t>Let Freedom</w:t>
      </w:r>
      <w:r w:rsidR="003115E3">
        <w:rPr>
          <w:color w:val="FFFFFF"/>
          <w:spacing w:val="-1"/>
          <w:shd w:val="clear" w:color="auto" w:fill="231F20"/>
        </w:rPr>
        <w:t xml:space="preserve"> </w:t>
      </w:r>
      <w:r w:rsidR="003115E3">
        <w:rPr>
          <w:color w:val="FFFFFF"/>
          <w:shd w:val="clear" w:color="auto" w:fill="231F20"/>
        </w:rPr>
        <w:t>Ring</w:t>
      </w:r>
      <w:r w:rsidR="003115E3">
        <w:rPr>
          <w:color w:val="FFFFFF"/>
          <w:shd w:val="clear" w:color="auto" w:fill="231F20"/>
        </w:rPr>
        <w:tab/>
      </w:r>
    </w:p>
    <w:p w14:paraId="4B77F034" w14:textId="77777777" w:rsidR="002653E8" w:rsidRDefault="00000000">
      <w:pPr>
        <w:spacing w:before="190" w:line="247" w:lineRule="auto"/>
        <w:ind w:left="3667" w:right="2357"/>
        <w:rPr>
          <w:rFonts w:ascii="Trebuchet MS"/>
          <w:b/>
          <w:sz w:val="20"/>
        </w:rPr>
      </w:pPr>
      <w:r>
        <w:rPr>
          <w:noProof w:val="0"/>
        </w:rPr>
        <w:pict w14:anchorId="0E179FAD">
          <v:line id="_x0000_s2089" style="position:absolute;left:0;text-align:left;z-index:11968;mso-wrap-distance-left:0;mso-wrap-distance-right:0;mso-position-horizontal-relative:page" from="365.6pt,51.45pt" to="183.4pt,51.45pt" strokecolor="#231f20" strokeweight=".5pt">
            <w10:wrap type="topAndBottom" anchorx="page"/>
          </v:line>
        </w:pict>
      </w:r>
      <w:r w:rsidR="003115E3">
        <w:rPr>
          <w:rFonts w:ascii="Trebuchet MS"/>
          <w:b/>
          <w:color w:val="231F20"/>
          <w:sz w:val="20"/>
        </w:rPr>
        <w:t>A Collection of Documents from the Movements to Free U.S. Political</w:t>
      </w:r>
      <w:r w:rsidR="003115E3">
        <w:rPr>
          <w:rFonts w:ascii="Trebuchet MS"/>
          <w:b/>
          <w:color w:val="231F20"/>
          <w:spacing w:val="-13"/>
          <w:sz w:val="20"/>
        </w:rPr>
        <w:t xml:space="preserve"> </w:t>
      </w:r>
      <w:r w:rsidR="003115E3">
        <w:rPr>
          <w:rFonts w:ascii="Trebuchet MS"/>
          <w:b/>
          <w:color w:val="231F20"/>
          <w:sz w:val="20"/>
        </w:rPr>
        <w:t>Prisoners</w:t>
      </w:r>
    </w:p>
    <w:p w14:paraId="5346D5B4" w14:textId="77777777" w:rsidR="002653E8" w:rsidRDefault="003115E3">
      <w:pPr>
        <w:spacing w:before="58"/>
        <w:ind w:left="3667"/>
        <w:rPr>
          <w:rFonts w:ascii="Trebuchet MS"/>
          <w:sz w:val="18"/>
        </w:rPr>
      </w:pPr>
      <w:r>
        <w:rPr>
          <w:rFonts w:ascii="Trebuchet MS"/>
          <w:color w:val="231F20"/>
          <w:sz w:val="18"/>
        </w:rPr>
        <w:t>Edited by Matt Meyer</w:t>
      </w:r>
    </w:p>
    <w:p w14:paraId="5F8139EC" w14:textId="77777777" w:rsidR="002653E8" w:rsidRDefault="003115E3">
      <w:pPr>
        <w:spacing w:before="58" w:line="252" w:lineRule="auto"/>
        <w:ind w:left="3667" w:right="1848"/>
        <w:rPr>
          <w:rFonts w:ascii="Trebuchet MS"/>
          <w:sz w:val="18"/>
        </w:rPr>
      </w:pPr>
      <w:r>
        <w:rPr>
          <w:rFonts w:ascii="Trebuchet MS"/>
          <w:color w:val="231F20"/>
          <w:sz w:val="18"/>
        </w:rPr>
        <w:t>Foreword by Nobel Peace Laureate Adolfo Perez Esquivel</w:t>
      </w:r>
    </w:p>
    <w:p w14:paraId="7B980346" w14:textId="77777777" w:rsidR="002653E8" w:rsidRDefault="003115E3">
      <w:pPr>
        <w:spacing w:before="47" w:line="252" w:lineRule="auto"/>
        <w:ind w:left="3667" w:right="2448"/>
        <w:rPr>
          <w:rFonts w:ascii="Trebuchet MS" w:hAnsi="Trebuchet MS"/>
          <w:sz w:val="18"/>
        </w:rPr>
      </w:pPr>
      <w:r>
        <w:rPr>
          <w:rFonts w:ascii="Trebuchet MS" w:hAnsi="Trebuchet MS"/>
          <w:color w:val="231F20"/>
          <w:sz w:val="18"/>
        </w:rPr>
        <w:t>PM Press • Kersplebedeb 2008 ISBN 978-1-60486-035-1</w:t>
      </w:r>
    </w:p>
    <w:p w14:paraId="11C28DE4" w14:textId="77777777" w:rsidR="002653E8" w:rsidRDefault="00000000">
      <w:pPr>
        <w:spacing w:before="48"/>
        <w:ind w:left="380"/>
        <w:jc w:val="center"/>
        <w:rPr>
          <w:rFonts w:ascii="Trebuchet MS"/>
          <w:sz w:val="18"/>
        </w:rPr>
      </w:pPr>
      <w:r>
        <w:rPr>
          <w:noProof w:val="0"/>
        </w:rPr>
        <w:pict w14:anchorId="3B556BB7">
          <v:line id="_x0000_s2088" style="position:absolute;left:0;text-align:left;z-index:11992;mso-wrap-distance-left:0;mso-wrap-distance-right:0;mso-position-horizontal-relative:page" from="183.4pt,16.8pt" to="365.6pt,16.8pt" strokecolor="#231f20" strokeweight=".5pt">
            <w10:wrap type="topAndBottom" anchorx="page"/>
          </v:line>
        </w:pict>
      </w:r>
      <w:r w:rsidR="003115E3">
        <w:rPr>
          <w:rFonts w:ascii="Trebuchet MS"/>
          <w:color w:val="231F20"/>
          <w:sz w:val="18"/>
        </w:rPr>
        <w:t>912 pages paperback</w:t>
      </w:r>
    </w:p>
    <w:p w14:paraId="6FCA283C" w14:textId="77777777" w:rsidR="002653E8" w:rsidRDefault="003115E3">
      <w:pPr>
        <w:spacing w:before="134"/>
        <w:ind w:left="3667"/>
        <w:rPr>
          <w:rFonts w:ascii="Trebuchet MS"/>
          <w:sz w:val="21"/>
        </w:rPr>
      </w:pPr>
      <w:r>
        <w:rPr>
          <w:rFonts w:ascii="Trebuchet MS"/>
          <w:color w:val="231F20"/>
          <w:sz w:val="21"/>
        </w:rPr>
        <w:t>$37.95</w:t>
      </w:r>
    </w:p>
    <w:p w14:paraId="39767FC8" w14:textId="77777777" w:rsidR="002653E8" w:rsidRDefault="003115E3">
      <w:pPr>
        <w:spacing w:before="105"/>
        <w:ind w:left="1147" w:right="1323"/>
        <w:rPr>
          <w:rFonts w:ascii="Tahoma" w:hAnsi="Tahoma"/>
          <w:sz w:val="16"/>
        </w:rPr>
      </w:pPr>
      <w:r>
        <w:rPr>
          <w:rFonts w:ascii="Tahoma" w:hAnsi="Tahoma"/>
          <w:color w:val="231F20"/>
          <w:sz w:val="16"/>
        </w:rPr>
        <w:t>Represented here—in over one hundred documents from the past 20 years—are prisoners from the movements that have most challenged the U.S. empire from within: Black Panthers and other Black liberation fighters, Puerto Rican independentistas, Indigenous sovereignty activists, white anti-imperialists, environmental and animal rights militants, Arab and Muslim activists, war resisters, and others.</w:t>
      </w:r>
    </w:p>
    <w:p w14:paraId="1210EA69" w14:textId="77777777" w:rsidR="002653E8" w:rsidRDefault="00000000">
      <w:pPr>
        <w:pStyle w:val="a3"/>
        <w:spacing w:before="6"/>
        <w:rPr>
          <w:rFonts w:ascii="Tahoma"/>
          <w:sz w:val="8"/>
        </w:rPr>
      </w:pPr>
      <w:r>
        <w:rPr>
          <w:noProof w:val="0"/>
        </w:rPr>
        <w:pict w14:anchorId="57122A57">
          <v:group id="_x0000_s2085" style="position:absolute;margin-left:57.4pt;margin-top:7.15pt;width:308.25pt;height:37.6pt;z-index:12040;mso-wrap-distance-left:0;mso-wrap-distance-right:0;mso-position-horizontal-relative:page" coordorigin="1148,143" coordsize="6165,752">
            <v:shape id="_x0000_s2087" type="#_x0000_t75" style="position:absolute;left:1374;top:228;width:491;height:548">
              <v:imagedata r:id="rId660" o:title=""/>
            </v:shape>
            <v:shape id="_x0000_s2086" type="#_x0000_t202" style="position:absolute;left:1155;top:150;width:6150;height:737" filled="f" strokecolor="#231f20">
              <v:textbox inset="0,0,0,0">
                <w:txbxContent>
                  <w:p w14:paraId="30FF5B12" w14:textId="77777777" w:rsidR="001008C3" w:rsidRDefault="001008C3">
                    <w:pPr>
                      <w:spacing w:before="85"/>
                      <w:ind w:left="1030"/>
                      <w:rPr>
                        <w:rFonts w:ascii="Trebuchet MS"/>
                        <w:sz w:val="20"/>
                      </w:rPr>
                    </w:pPr>
                    <w:r>
                      <w:rPr>
                        <w:rFonts w:ascii="Trebuchet MS"/>
                        <w:color w:val="231F20"/>
                        <w:sz w:val="20"/>
                      </w:rPr>
                      <w:t>PM PRESS, PO Box 23912, Oakland, CA, 94623</w:t>
                    </w:r>
                  </w:p>
                  <w:p w14:paraId="4F55971B" w14:textId="77777777" w:rsidR="001008C3" w:rsidRDefault="00000000">
                    <w:pPr>
                      <w:spacing w:before="48"/>
                      <w:ind w:left="1029"/>
                      <w:rPr>
                        <w:rFonts w:ascii="Trebuchet MS"/>
                        <w:sz w:val="20"/>
                      </w:rPr>
                    </w:pPr>
                    <w:hyperlink r:id="rId661">
                      <w:r w:rsidR="001008C3">
                        <w:rPr>
                          <w:rFonts w:ascii="Trebuchet MS"/>
                          <w:color w:val="231F20"/>
                          <w:sz w:val="20"/>
                        </w:rPr>
                        <w:t>www.pmpress.org</w:t>
                      </w:r>
                    </w:hyperlink>
                  </w:p>
                </w:txbxContent>
              </v:textbox>
            </v:shape>
            <w10:wrap type="topAndBottom" anchorx="page"/>
          </v:group>
        </w:pict>
      </w:r>
    </w:p>
    <w:p w14:paraId="2DFD6DF3" w14:textId="77777777" w:rsidR="002653E8" w:rsidRDefault="002653E8">
      <w:pPr>
        <w:rPr>
          <w:rFonts w:ascii="Tahoma"/>
          <w:sz w:val="8"/>
        </w:rPr>
        <w:sectPr w:rsidR="002653E8">
          <w:footerReference w:type="default" r:id="rId662"/>
          <w:pgSz w:w="8640" w:h="12960"/>
          <w:pgMar w:top="960" w:right="0" w:bottom="280" w:left="0" w:header="0" w:footer="0" w:gutter="0"/>
          <w:cols w:space="720"/>
        </w:sectPr>
      </w:pPr>
    </w:p>
    <w:p w14:paraId="6E6FD8C5" w14:textId="77777777" w:rsidR="002653E8" w:rsidRDefault="00000000">
      <w:pPr>
        <w:pStyle w:val="7"/>
        <w:ind w:left="2366"/>
      </w:pPr>
      <w:r>
        <w:rPr>
          <w:noProof w:val="0"/>
        </w:rPr>
        <w:lastRenderedPageBreak/>
        <w:pict w14:anchorId="6EEF23CB">
          <v:shape id="_x0000_s2084" type="#_x0000_t202" style="position:absolute;left:0;text-align:left;margin-left:192.4pt;margin-top:24pt;width:182.25pt;height:27pt;z-index:12112;mso-wrap-distance-left:0;mso-wrap-distance-right:0;mso-position-horizontal-relative:page" fillcolor="#231f20" stroked="f">
            <v:textbox inset="0,0,0,0">
              <w:txbxContent>
                <w:p w14:paraId="18739545" w14:textId="77777777" w:rsidR="001008C3" w:rsidRDefault="001008C3">
                  <w:pPr>
                    <w:spacing w:before="130"/>
                    <w:ind w:left="100"/>
                    <w:rPr>
                      <w:rFonts w:ascii="Tahoma"/>
                      <w:b/>
                    </w:rPr>
                  </w:pPr>
                  <w:r>
                    <w:rPr>
                      <w:rFonts w:ascii="Tahoma"/>
                      <w:b/>
                      <w:color w:val="FFFFFF"/>
                    </w:rPr>
                    <w:t>The Angola 3</w:t>
                  </w:r>
                </w:p>
              </w:txbxContent>
            </v:textbox>
            <w10:wrap type="topAndBottom" anchorx="page"/>
          </v:shape>
        </w:pict>
      </w:r>
      <w:r w:rsidR="003115E3">
        <w:rPr>
          <w:color w:val="231F20"/>
        </w:rPr>
        <w:t>RECOMMENDED FROM PM PRESS</w:t>
      </w:r>
    </w:p>
    <w:p w14:paraId="53DBE112" w14:textId="77777777" w:rsidR="002653E8" w:rsidRDefault="003115E3">
      <w:pPr>
        <w:spacing w:before="102"/>
        <w:ind w:left="830"/>
        <w:jc w:val="center"/>
        <w:rPr>
          <w:rFonts w:ascii="Trebuchet MS"/>
          <w:b/>
          <w:sz w:val="20"/>
        </w:rPr>
      </w:pPr>
      <w:r>
        <w:rPr>
          <w:rFonts w:ascii="Trebuchet MS"/>
          <w:b/>
          <w:color w:val="231F20"/>
          <w:sz w:val="20"/>
        </w:rPr>
        <w:t>Black Panthers and</w:t>
      </w:r>
    </w:p>
    <w:p w14:paraId="355651C5" w14:textId="77777777" w:rsidR="002653E8" w:rsidRDefault="00000000">
      <w:pPr>
        <w:spacing w:before="48"/>
        <w:ind w:left="3847"/>
        <w:rPr>
          <w:rFonts w:ascii="Trebuchet MS"/>
          <w:b/>
          <w:sz w:val="20"/>
        </w:rPr>
      </w:pPr>
      <w:r>
        <w:rPr>
          <w:noProof w:val="0"/>
        </w:rPr>
        <w:pict w14:anchorId="673D1AEE">
          <v:line id="_x0000_s2083" style="position:absolute;left:0;text-align:left;z-index:12136;mso-wrap-distance-left:0;mso-wrap-distance-right:0;mso-position-horizontal-relative:page" from="373.95pt,18.3pt" to="192.4pt,18.3pt" strokecolor="#231f20" strokeweight=".5pt">
            <w10:wrap type="topAndBottom" anchorx="page"/>
          </v:line>
        </w:pict>
      </w:r>
      <w:r>
        <w:rPr>
          <w:noProof w:val="0"/>
        </w:rPr>
        <w:pict w14:anchorId="2E3F03CA">
          <v:group id="_x0000_s2080" style="position:absolute;left:0;text-align:left;margin-left:66.85pt;margin-top:-44.5pt;width:116.55pt;height:162.05pt;z-index:12304;mso-position-horizontal-relative:page" coordorigin="1337,-890" coordsize="2331,3241">
            <v:shape id="_x0000_s2082" type="#_x0000_t75" style="position:absolute;left:1337;top:-890;width:2331;height:3241">
              <v:imagedata r:id="rId663" o:title=""/>
            </v:shape>
            <v:rect id="_x0000_s2081" style="position:absolute;left:1346;top:-881;width:2313;height:3223" filled="f" strokecolor="#231f20" strokeweight=".32772mm"/>
            <w10:wrap anchorx="page"/>
          </v:group>
        </w:pict>
      </w:r>
      <w:r w:rsidR="003115E3">
        <w:rPr>
          <w:rFonts w:ascii="Trebuchet MS"/>
          <w:b/>
          <w:color w:val="231F20"/>
          <w:sz w:val="20"/>
        </w:rPr>
        <w:t>the Last Slave Plantation</w:t>
      </w:r>
    </w:p>
    <w:p w14:paraId="4B8BD16D" w14:textId="77777777" w:rsidR="002653E8" w:rsidRDefault="003115E3">
      <w:pPr>
        <w:spacing w:before="128"/>
        <w:ind w:left="3847"/>
        <w:rPr>
          <w:rFonts w:ascii="Trebuchet MS"/>
          <w:sz w:val="18"/>
        </w:rPr>
      </w:pPr>
      <w:r>
        <w:rPr>
          <w:rFonts w:ascii="Trebuchet MS"/>
          <w:color w:val="231F20"/>
          <w:sz w:val="18"/>
        </w:rPr>
        <w:t>Produced by Scott Crow and Ann Harkness</w:t>
      </w:r>
    </w:p>
    <w:p w14:paraId="4DEE1ACA" w14:textId="77777777" w:rsidR="002653E8" w:rsidRDefault="003115E3">
      <w:pPr>
        <w:spacing w:before="7" w:line="280" w:lineRule="atLeast"/>
        <w:ind w:left="3847" w:right="2281"/>
        <w:rPr>
          <w:rFonts w:ascii="Trebuchet MS"/>
          <w:sz w:val="18"/>
        </w:rPr>
      </w:pPr>
      <w:r>
        <w:rPr>
          <w:rFonts w:ascii="Trebuchet MS"/>
          <w:color w:val="231F20"/>
          <w:sz w:val="18"/>
        </w:rPr>
        <w:t>Narrated by Mumia Abu-Jamal PM Press 2008</w:t>
      </w:r>
    </w:p>
    <w:p w14:paraId="42868934" w14:textId="77777777" w:rsidR="002653E8" w:rsidRDefault="003115E3">
      <w:pPr>
        <w:spacing w:before="37"/>
        <w:ind w:left="953"/>
        <w:jc w:val="center"/>
        <w:rPr>
          <w:rFonts w:ascii="Trebuchet MS"/>
          <w:sz w:val="18"/>
        </w:rPr>
      </w:pPr>
      <w:r>
        <w:rPr>
          <w:rFonts w:ascii="Trebuchet MS"/>
          <w:color w:val="231F20"/>
          <w:sz w:val="18"/>
        </w:rPr>
        <w:t>ISBN 978-1-60486-020-7</w:t>
      </w:r>
    </w:p>
    <w:p w14:paraId="3E4A7738" w14:textId="77777777" w:rsidR="002653E8" w:rsidRDefault="003115E3">
      <w:pPr>
        <w:spacing w:before="78"/>
        <w:ind w:left="412"/>
        <w:jc w:val="center"/>
        <w:rPr>
          <w:rFonts w:ascii="Trebuchet MS"/>
          <w:sz w:val="18"/>
        </w:rPr>
      </w:pPr>
      <w:r>
        <w:rPr>
          <w:rFonts w:ascii="Trebuchet MS"/>
          <w:color w:val="231F20"/>
          <w:sz w:val="18"/>
        </w:rPr>
        <w:t>DVD 109 minutes</w:t>
      </w:r>
    </w:p>
    <w:p w14:paraId="49CC6554" w14:textId="77777777" w:rsidR="002653E8" w:rsidRDefault="00000000">
      <w:pPr>
        <w:pStyle w:val="a3"/>
        <w:rPr>
          <w:rFonts w:ascii="Trebuchet MS"/>
          <w:sz w:val="9"/>
        </w:rPr>
      </w:pPr>
      <w:r>
        <w:rPr>
          <w:noProof w:val="0"/>
        </w:rPr>
        <w:pict w14:anchorId="4281225E">
          <v:line id="_x0000_s2079" style="position:absolute;z-index:12160;mso-wrap-distance-left:0;mso-wrap-distance-right:0;mso-position-horizontal-relative:page" from="192.4pt,7.45pt" to="374.6pt,7.45pt" strokecolor="#231f20" strokeweight=".5pt">
            <w10:wrap type="topAndBottom" anchorx="page"/>
          </v:line>
        </w:pict>
      </w:r>
    </w:p>
    <w:p w14:paraId="41581405" w14:textId="77777777" w:rsidR="002653E8" w:rsidRDefault="003115E3">
      <w:pPr>
        <w:spacing w:before="134"/>
        <w:ind w:left="3847"/>
        <w:rPr>
          <w:rFonts w:ascii="Trebuchet MS"/>
          <w:sz w:val="21"/>
        </w:rPr>
      </w:pPr>
      <w:r>
        <w:rPr>
          <w:rFonts w:ascii="Trebuchet MS"/>
          <w:color w:val="231F20"/>
          <w:sz w:val="21"/>
        </w:rPr>
        <w:t>$19.95</w:t>
      </w:r>
    </w:p>
    <w:p w14:paraId="6B04C8C0" w14:textId="77777777" w:rsidR="002653E8" w:rsidRDefault="003115E3">
      <w:pPr>
        <w:spacing w:before="105"/>
        <w:ind w:left="1327" w:right="1066"/>
        <w:rPr>
          <w:rFonts w:ascii="Tahoma" w:hAnsi="Tahoma"/>
          <w:sz w:val="16"/>
        </w:rPr>
      </w:pPr>
      <w:r>
        <w:rPr>
          <w:rFonts w:ascii="Tahoma" w:hAnsi="Tahoma"/>
          <w:color w:val="231F20"/>
          <w:sz w:val="16"/>
        </w:rPr>
        <w:t xml:space="preserve">The story of the three men who organized the Black Panther </w:t>
      </w:r>
      <w:r>
        <w:rPr>
          <w:rFonts w:ascii="Tahoma" w:hAnsi="Tahoma"/>
          <w:color w:val="231F20"/>
          <w:spacing w:val="-3"/>
          <w:sz w:val="16"/>
        </w:rPr>
        <w:t xml:space="preserve">Party’s </w:t>
      </w:r>
      <w:r>
        <w:rPr>
          <w:rFonts w:ascii="Tahoma" w:hAnsi="Tahoma"/>
          <w:color w:val="231F20"/>
          <w:sz w:val="16"/>
        </w:rPr>
        <w:t>only prison chapter. They were subsequently framed and subjected to decades of solitary confinement.</w:t>
      </w:r>
    </w:p>
    <w:p w14:paraId="31964BC9" w14:textId="77777777" w:rsidR="002653E8" w:rsidRDefault="003115E3">
      <w:pPr>
        <w:spacing w:line="191" w:lineRule="exact"/>
        <w:ind w:left="1327"/>
        <w:rPr>
          <w:rFonts w:ascii="Tahoma"/>
          <w:sz w:val="16"/>
        </w:rPr>
      </w:pPr>
      <w:r>
        <w:rPr>
          <w:rFonts w:ascii="Tahoma"/>
          <w:color w:val="231F20"/>
          <w:sz w:val="16"/>
        </w:rPr>
        <w:t>This is their story.</w:t>
      </w:r>
    </w:p>
    <w:p w14:paraId="6DE6365C" w14:textId="77777777" w:rsidR="002653E8" w:rsidRDefault="002653E8">
      <w:pPr>
        <w:pStyle w:val="a3"/>
        <w:rPr>
          <w:rFonts w:ascii="Tahoma"/>
        </w:rPr>
      </w:pPr>
    </w:p>
    <w:p w14:paraId="33C0472E" w14:textId="77777777" w:rsidR="002653E8" w:rsidRDefault="00000000">
      <w:pPr>
        <w:pStyle w:val="a3"/>
        <w:rPr>
          <w:rFonts w:ascii="Tahoma"/>
          <w:sz w:val="22"/>
        </w:rPr>
      </w:pPr>
      <w:r>
        <w:rPr>
          <w:noProof w:val="0"/>
        </w:rPr>
        <w:pict w14:anchorId="6F103CA6">
          <v:shape id="_x0000_s2078" type="#_x0000_t202" style="position:absolute;margin-left:192.4pt;margin-top:14.5pt;width:182.25pt;height:36pt;z-index:12184;mso-wrap-distance-left:0;mso-wrap-distance-right:0;mso-position-horizontal-relative:page" fillcolor="#231f20" stroked="f">
            <v:textbox inset="0,0,0,0">
              <w:txbxContent>
                <w:p w14:paraId="118C3BDC" w14:textId="77777777" w:rsidR="001008C3" w:rsidRDefault="001008C3">
                  <w:pPr>
                    <w:spacing w:before="67" w:line="289" w:lineRule="exact"/>
                    <w:ind w:left="90"/>
                    <w:rPr>
                      <w:rFonts w:ascii="Tahoma"/>
                      <w:b/>
                      <w:sz w:val="24"/>
                    </w:rPr>
                  </w:pPr>
                  <w:r>
                    <w:rPr>
                      <w:rFonts w:ascii="Tahoma"/>
                      <w:b/>
                      <w:color w:val="FFFFFF"/>
                      <w:sz w:val="24"/>
                    </w:rPr>
                    <w:t>From the</w:t>
                  </w:r>
                </w:p>
                <w:p w14:paraId="4BE12423" w14:textId="77777777" w:rsidR="001008C3" w:rsidRDefault="001008C3">
                  <w:pPr>
                    <w:spacing w:line="289" w:lineRule="exact"/>
                    <w:ind w:left="89"/>
                    <w:rPr>
                      <w:rFonts w:ascii="Tahoma"/>
                      <w:b/>
                      <w:sz w:val="24"/>
                    </w:rPr>
                  </w:pPr>
                  <w:r>
                    <w:rPr>
                      <w:rFonts w:ascii="Tahoma"/>
                      <w:b/>
                      <w:color w:val="FFFFFF"/>
                      <w:sz w:val="24"/>
                    </w:rPr>
                    <w:t>Bottom of the Heap</w:t>
                  </w:r>
                </w:p>
              </w:txbxContent>
            </v:textbox>
            <w10:wrap type="topAndBottom" anchorx="page"/>
          </v:shape>
        </w:pict>
      </w:r>
    </w:p>
    <w:p w14:paraId="72778EF1" w14:textId="77777777" w:rsidR="002653E8" w:rsidRDefault="003115E3">
      <w:pPr>
        <w:spacing w:before="51"/>
        <w:ind w:left="3847"/>
        <w:rPr>
          <w:rFonts w:ascii="Trebuchet MS"/>
          <w:b/>
          <w:sz w:val="20"/>
        </w:rPr>
      </w:pPr>
      <w:r>
        <w:rPr>
          <w:rFonts w:ascii="Trebuchet MS"/>
          <w:b/>
          <w:color w:val="231F20"/>
          <w:sz w:val="20"/>
        </w:rPr>
        <w:t>The autobiography of</w:t>
      </w:r>
    </w:p>
    <w:p w14:paraId="6FB3AE95" w14:textId="77777777" w:rsidR="002653E8" w:rsidRDefault="00000000">
      <w:pPr>
        <w:spacing w:before="47"/>
        <w:ind w:left="3847"/>
        <w:rPr>
          <w:rFonts w:ascii="Trebuchet MS"/>
          <w:b/>
          <w:sz w:val="20"/>
        </w:rPr>
      </w:pPr>
      <w:r>
        <w:rPr>
          <w:noProof w:val="0"/>
        </w:rPr>
        <w:pict w14:anchorId="5CF3979A">
          <v:line id="_x0000_s2077" style="position:absolute;left:0;text-align:left;z-index:12208;mso-wrap-distance-left:0;mso-wrap-distance-right:0;mso-position-horizontal-relative:page" from="373.95pt,20.8pt" to="192.4pt,20.8pt" strokecolor="#231f20" strokeweight=".5pt">
            <w10:wrap type="topAndBottom" anchorx="page"/>
          </v:line>
        </w:pict>
      </w:r>
      <w:r>
        <w:rPr>
          <w:noProof w:val="0"/>
        </w:rPr>
        <w:pict w14:anchorId="080BCCFC">
          <v:group id="_x0000_s2074" style="position:absolute;left:0;text-align:left;margin-left:66.4pt;margin-top:-50.95pt;width:117pt;height:171pt;z-index:12328;mso-position-horizontal-relative:page" coordorigin="1328,-1019" coordsize="2340,3420">
            <v:shape id="_x0000_s2076" type="#_x0000_t75" style="position:absolute;left:1327;top:-1019;width:2340;height:3405">
              <v:imagedata r:id="rId664" o:title=""/>
            </v:shape>
            <v:rect id="_x0000_s2075" style="position:absolute;left:1337;top:-1009;width:2320;height:3400" filled="f" strokecolor="#231f20" strokeweight="1pt"/>
            <w10:wrap anchorx="page"/>
          </v:group>
        </w:pict>
      </w:r>
      <w:r w:rsidR="003115E3">
        <w:rPr>
          <w:rFonts w:ascii="Trebuchet MS"/>
          <w:b/>
          <w:color w:val="231F20"/>
          <w:sz w:val="20"/>
        </w:rPr>
        <w:t>Black Panther Robert Hillary King</w:t>
      </w:r>
    </w:p>
    <w:p w14:paraId="5B3D6DDB" w14:textId="77777777" w:rsidR="002653E8" w:rsidRDefault="003115E3">
      <w:pPr>
        <w:spacing w:before="128"/>
        <w:ind w:left="3847"/>
        <w:rPr>
          <w:rFonts w:ascii="Trebuchet MS"/>
          <w:sz w:val="18"/>
        </w:rPr>
      </w:pPr>
      <w:r>
        <w:rPr>
          <w:rFonts w:ascii="Trebuchet MS"/>
          <w:color w:val="231F20"/>
          <w:sz w:val="18"/>
        </w:rPr>
        <w:t>by Robert Hillary King</w:t>
      </w:r>
    </w:p>
    <w:p w14:paraId="5EAC61C5" w14:textId="77777777" w:rsidR="002653E8" w:rsidRDefault="003115E3">
      <w:pPr>
        <w:spacing w:before="7" w:line="280" w:lineRule="atLeast"/>
        <w:ind w:left="3847" w:right="1359"/>
        <w:rPr>
          <w:rFonts w:ascii="Trebuchet MS"/>
          <w:sz w:val="18"/>
        </w:rPr>
      </w:pPr>
      <w:r>
        <w:rPr>
          <w:rFonts w:ascii="Trebuchet MS"/>
          <w:color w:val="231F20"/>
          <w:sz w:val="18"/>
        </w:rPr>
        <w:t>introduction by Dr. Terry Kupers, MD, MSP PM Press 2008</w:t>
      </w:r>
    </w:p>
    <w:p w14:paraId="162F9C09" w14:textId="77777777" w:rsidR="002653E8" w:rsidRDefault="003115E3">
      <w:pPr>
        <w:spacing w:before="37"/>
        <w:ind w:left="953"/>
        <w:jc w:val="center"/>
        <w:rPr>
          <w:rFonts w:ascii="Trebuchet MS"/>
          <w:sz w:val="18"/>
        </w:rPr>
      </w:pPr>
      <w:r>
        <w:rPr>
          <w:rFonts w:ascii="Trebuchet MS"/>
          <w:color w:val="231F20"/>
          <w:sz w:val="18"/>
        </w:rPr>
        <w:t>ISBN 978-1-60486-039-9</w:t>
      </w:r>
    </w:p>
    <w:p w14:paraId="3B81B41A" w14:textId="77777777" w:rsidR="002653E8" w:rsidRDefault="003115E3">
      <w:pPr>
        <w:spacing w:before="78"/>
        <w:ind w:left="708"/>
        <w:jc w:val="center"/>
        <w:rPr>
          <w:rFonts w:ascii="Trebuchet MS"/>
          <w:sz w:val="18"/>
        </w:rPr>
      </w:pPr>
      <w:r>
        <w:rPr>
          <w:rFonts w:ascii="Trebuchet MS"/>
          <w:color w:val="231F20"/>
          <w:sz w:val="18"/>
        </w:rPr>
        <w:t>224 pages hardcover</w:t>
      </w:r>
    </w:p>
    <w:p w14:paraId="79E71113" w14:textId="77777777" w:rsidR="002653E8" w:rsidRDefault="00000000">
      <w:pPr>
        <w:pStyle w:val="a3"/>
        <w:rPr>
          <w:rFonts w:ascii="Trebuchet MS"/>
          <w:sz w:val="9"/>
        </w:rPr>
      </w:pPr>
      <w:r>
        <w:rPr>
          <w:noProof w:val="0"/>
        </w:rPr>
        <w:pict w14:anchorId="47C39173">
          <v:line id="_x0000_s2073" style="position:absolute;z-index:12232;mso-wrap-distance-left:0;mso-wrap-distance-right:0;mso-position-horizontal-relative:page" from="192.4pt,7.45pt" to="374.6pt,7.45pt" strokecolor="#231f20" strokeweight=".5pt">
            <w10:wrap type="topAndBottom" anchorx="page"/>
          </v:line>
        </w:pict>
      </w:r>
    </w:p>
    <w:p w14:paraId="3086F89E" w14:textId="77777777" w:rsidR="002653E8" w:rsidRDefault="003115E3">
      <w:pPr>
        <w:spacing w:before="134"/>
        <w:ind w:left="3847"/>
        <w:rPr>
          <w:rFonts w:ascii="Trebuchet MS"/>
          <w:sz w:val="21"/>
        </w:rPr>
      </w:pPr>
      <w:r>
        <w:rPr>
          <w:rFonts w:ascii="Trebuchet MS"/>
          <w:color w:val="231F20"/>
          <w:sz w:val="21"/>
        </w:rPr>
        <w:t>$24.95</w:t>
      </w:r>
    </w:p>
    <w:p w14:paraId="44FCA2D6" w14:textId="77777777" w:rsidR="002653E8" w:rsidRDefault="003115E3">
      <w:pPr>
        <w:spacing w:before="150"/>
        <w:ind w:left="1327" w:right="1634"/>
        <w:rPr>
          <w:rFonts w:ascii="Tahoma"/>
          <w:sz w:val="16"/>
        </w:rPr>
      </w:pPr>
      <w:r>
        <w:rPr>
          <w:rFonts w:ascii="Tahoma"/>
          <w:color w:val="231F20"/>
          <w:sz w:val="16"/>
        </w:rPr>
        <w:t>Just a teenager when he entered the Louisiana prison system, King was framed in retaliation for organizing against brutality on the inside, and condemned to</w:t>
      </w:r>
    </w:p>
    <w:p w14:paraId="2AFFB2A0" w14:textId="77777777" w:rsidR="002653E8" w:rsidRDefault="003115E3">
      <w:pPr>
        <w:spacing w:line="237" w:lineRule="auto"/>
        <w:ind w:left="1327" w:right="1145"/>
        <w:rPr>
          <w:rFonts w:ascii="Tahoma" w:hAnsi="Tahoma"/>
          <w:sz w:val="16"/>
        </w:rPr>
      </w:pPr>
      <w:r>
        <w:rPr>
          <w:rFonts w:ascii="Tahoma" w:hAnsi="Tahoma"/>
          <w:color w:val="231F20"/>
          <w:sz w:val="16"/>
        </w:rPr>
        <w:t>spend 29 years in isolation as one of the “Angola 3.” In 2001, the state grudgingly acknowledged his innocence and set him free.</w:t>
      </w:r>
    </w:p>
    <w:p w14:paraId="2E747786" w14:textId="77777777" w:rsidR="002653E8" w:rsidRDefault="00000000">
      <w:pPr>
        <w:pStyle w:val="a3"/>
        <w:spacing w:before="1"/>
        <w:rPr>
          <w:rFonts w:ascii="Tahoma"/>
          <w:sz w:val="21"/>
        </w:rPr>
      </w:pPr>
      <w:r>
        <w:rPr>
          <w:noProof w:val="0"/>
        </w:rPr>
        <w:pict w14:anchorId="34AFC192">
          <v:group id="_x0000_s2070" style="position:absolute;margin-left:66.4pt;margin-top:14.75pt;width:308.25pt;height:37.6pt;z-index:12280;mso-wrap-distance-left:0;mso-wrap-distance-right:0;mso-position-horizontal-relative:page" coordorigin="1328,295" coordsize="6165,752">
            <v:shape id="_x0000_s2072" type="#_x0000_t75" style="position:absolute;left:1554;top:380;width:491;height:548">
              <v:imagedata r:id="rId660" o:title=""/>
            </v:shape>
            <v:shape id="_x0000_s2071" type="#_x0000_t202" style="position:absolute;left:1335;top:302;width:6150;height:737" filled="f" strokecolor="#231f20">
              <v:textbox inset="0,0,0,0">
                <w:txbxContent>
                  <w:p w14:paraId="49EB5ABF" w14:textId="77777777" w:rsidR="001008C3" w:rsidRDefault="001008C3">
                    <w:pPr>
                      <w:spacing w:before="85"/>
                      <w:ind w:left="1030"/>
                      <w:rPr>
                        <w:rFonts w:ascii="Trebuchet MS"/>
                        <w:sz w:val="20"/>
                      </w:rPr>
                    </w:pPr>
                    <w:r>
                      <w:rPr>
                        <w:rFonts w:ascii="Trebuchet MS"/>
                        <w:color w:val="231F20"/>
                        <w:sz w:val="20"/>
                      </w:rPr>
                      <w:t>PM PRESS, PO Box 23912, Oakland, CA, 94623</w:t>
                    </w:r>
                  </w:p>
                  <w:p w14:paraId="650529F3" w14:textId="77777777" w:rsidR="001008C3" w:rsidRDefault="00000000">
                    <w:pPr>
                      <w:spacing w:before="48"/>
                      <w:ind w:left="1029"/>
                      <w:rPr>
                        <w:rFonts w:ascii="Trebuchet MS"/>
                        <w:sz w:val="20"/>
                      </w:rPr>
                    </w:pPr>
                    <w:hyperlink r:id="rId665">
                      <w:r w:rsidR="001008C3">
                        <w:rPr>
                          <w:rFonts w:ascii="Trebuchet MS"/>
                          <w:color w:val="231F20"/>
                          <w:sz w:val="20"/>
                        </w:rPr>
                        <w:t>www.pmpress.org</w:t>
                      </w:r>
                    </w:hyperlink>
                  </w:p>
                </w:txbxContent>
              </v:textbox>
            </v:shape>
            <w10:wrap type="topAndBottom" anchorx="page"/>
          </v:group>
        </w:pict>
      </w:r>
    </w:p>
    <w:p w14:paraId="451A0986" w14:textId="77777777" w:rsidR="002653E8" w:rsidRDefault="002653E8">
      <w:pPr>
        <w:rPr>
          <w:rFonts w:ascii="Tahoma"/>
          <w:sz w:val="21"/>
        </w:rPr>
        <w:sectPr w:rsidR="002653E8">
          <w:footerReference w:type="even" r:id="rId666"/>
          <w:pgSz w:w="8640" w:h="12960"/>
          <w:pgMar w:top="960" w:right="0" w:bottom="280" w:left="0" w:header="0" w:footer="0" w:gutter="0"/>
          <w:cols w:space="720"/>
        </w:sectPr>
      </w:pPr>
    </w:p>
    <w:p w14:paraId="12EC3C37" w14:textId="77777777" w:rsidR="002653E8" w:rsidRDefault="00000000">
      <w:pPr>
        <w:pStyle w:val="7"/>
        <w:tabs>
          <w:tab w:val="left" w:pos="1858"/>
          <w:tab w:val="left" w:pos="7311"/>
        </w:tabs>
        <w:spacing w:before="80"/>
        <w:ind w:left="1147"/>
      </w:pPr>
      <w:r>
        <w:rPr>
          <w:noProof w:val="0"/>
        </w:rPr>
        <w:lastRenderedPageBreak/>
        <w:pict w14:anchorId="55A1BAE1">
          <v:group id="_x0000_s2067" style="position:absolute;left:0;text-align:left;margin-left:57.4pt;margin-top:22pt;width:108pt;height:162pt;z-index:12520;mso-position-horizontal-relative:page" coordorigin="1148,440" coordsize="2160,3240">
            <v:shape id="_x0000_s2069" type="#_x0000_t75" style="position:absolute;left:1266;top:530;width:1924;height:3045">
              <v:imagedata r:id="rId667" o:title=""/>
            </v:shape>
            <v:rect id="_x0000_s2068" style="position:absolute;left:1157;top:449;width:2140;height:3220" filled="f" strokecolor="#231f20" strokeweight="1pt"/>
            <w10:wrap anchorx="page"/>
          </v:group>
        </w:pict>
      </w:r>
      <w:r w:rsidR="003115E3">
        <w:rPr>
          <w:color w:val="231F20"/>
          <w:w w:val="99"/>
          <w:shd w:val="clear" w:color="auto" w:fill="D1D3D4"/>
        </w:rPr>
        <w:t xml:space="preserve"> </w:t>
      </w:r>
      <w:r w:rsidR="003115E3">
        <w:rPr>
          <w:color w:val="231F20"/>
          <w:shd w:val="clear" w:color="auto" w:fill="D1D3D4"/>
        </w:rPr>
        <w:tab/>
      </w:r>
      <w:r w:rsidR="003115E3">
        <w:rPr>
          <w:color w:val="231F20"/>
          <w:spacing w:val="5"/>
          <w:shd w:val="clear" w:color="auto" w:fill="D1D3D4"/>
        </w:rPr>
        <w:t xml:space="preserve">RECOMMENDED </w:t>
      </w:r>
      <w:r w:rsidR="003115E3">
        <w:rPr>
          <w:color w:val="231F20"/>
          <w:spacing w:val="3"/>
          <w:shd w:val="clear" w:color="auto" w:fill="D1D3D4"/>
        </w:rPr>
        <w:t>FROM</w:t>
      </w:r>
      <w:r w:rsidR="003115E3">
        <w:rPr>
          <w:color w:val="231F20"/>
          <w:spacing w:val="60"/>
          <w:shd w:val="clear" w:color="auto" w:fill="D1D3D4"/>
        </w:rPr>
        <w:t xml:space="preserve"> </w:t>
      </w:r>
      <w:r w:rsidR="003115E3">
        <w:rPr>
          <w:color w:val="231F20"/>
          <w:spacing w:val="5"/>
          <w:shd w:val="clear" w:color="auto" w:fill="D1D3D4"/>
        </w:rPr>
        <w:t>KERSPLEBEDEB</w:t>
      </w:r>
      <w:r w:rsidR="003115E3">
        <w:rPr>
          <w:color w:val="231F20"/>
          <w:spacing w:val="5"/>
          <w:shd w:val="clear" w:color="auto" w:fill="D1D3D4"/>
        </w:rPr>
        <w:tab/>
      </w:r>
    </w:p>
    <w:p w14:paraId="0BCEB7FD" w14:textId="77777777" w:rsidR="002653E8" w:rsidRDefault="003115E3">
      <w:pPr>
        <w:pStyle w:val="9"/>
        <w:tabs>
          <w:tab w:val="left" w:pos="7311"/>
        </w:tabs>
        <w:spacing w:before="182"/>
        <w:ind w:left="3667"/>
      </w:pPr>
      <w:r>
        <w:rPr>
          <w:color w:val="FFFFFF"/>
          <w:shd w:val="clear" w:color="auto" w:fill="231F20"/>
        </w:rPr>
        <w:t xml:space="preserve"> </w:t>
      </w:r>
      <w:r>
        <w:rPr>
          <w:color w:val="FFFFFF"/>
          <w:spacing w:val="-39"/>
          <w:shd w:val="clear" w:color="auto" w:fill="231F20"/>
        </w:rPr>
        <w:t xml:space="preserve"> </w:t>
      </w:r>
      <w:r>
        <w:rPr>
          <w:color w:val="FFFFFF"/>
          <w:shd w:val="clear" w:color="auto" w:fill="231F20"/>
        </w:rPr>
        <w:t>Prison Round</w:t>
      </w:r>
      <w:r>
        <w:rPr>
          <w:color w:val="FFFFFF"/>
          <w:spacing w:val="-1"/>
          <w:shd w:val="clear" w:color="auto" w:fill="231F20"/>
        </w:rPr>
        <w:t xml:space="preserve"> </w:t>
      </w:r>
      <w:r>
        <w:rPr>
          <w:color w:val="FFFFFF"/>
          <w:shd w:val="clear" w:color="auto" w:fill="231F20"/>
        </w:rPr>
        <w:t>Trip</w:t>
      </w:r>
      <w:r>
        <w:rPr>
          <w:color w:val="FFFFFF"/>
          <w:shd w:val="clear" w:color="auto" w:fill="231F20"/>
        </w:rPr>
        <w:tab/>
      </w:r>
    </w:p>
    <w:p w14:paraId="14752C9F" w14:textId="77777777" w:rsidR="002653E8" w:rsidRDefault="002653E8">
      <w:pPr>
        <w:pStyle w:val="a3"/>
        <w:spacing w:before="9"/>
        <w:rPr>
          <w:rFonts w:ascii="Tahoma"/>
          <w:b/>
          <w:sz w:val="12"/>
        </w:rPr>
      </w:pPr>
    </w:p>
    <w:p w14:paraId="6E3D7CB7" w14:textId="77777777" w:rsidR="002653E8" w:rsidRDefault="00000000">
      <w:pPr>
        <w:spacing w:before="100" w:line="235" w:lineRule="auto"/>
        <w:ind w:left="3667" w:right="1415"/>
        <w:rPr>
          <w:rFonts w:ascii="Calibri" w:hAnsi="Calibri"/>
          <w:i/>
          <w:sz w:val="14"/>
        </w:rPr>
      </w:pPr>
      <w:r>
        <w:rPr>
          <w:noProof w:val="0"/>
        </w:rPr>
        <w:pict w14:anchorId="388B3676">
          <v:line id="_x0000_s2066" style="position:absolute;left:0;text-align:left;z-index:12352;mso-wrap-distance-left:0;mso-wrap-distance-right:0;mso-position-horizontal-relative:page" from="365.6pt,43.75pt" to="183.4pt,43.75pt" strokecolor="#231f20" strokeweight=".5pt">
            <w10:wrap type="topAndBottom" anchorx="page"/>
          </v:line>
        </w:pict>
      </w:r>
      <w:r w:rsidR="003115E3">
        <w:rPr>
          <w:rFonts w:ascii="Calibri" w:hAnsi="Calibri"/>
          <w:i/>
          <w:color w:val="231F20"/>
          <w:w w:val="110"/>
          <w:sz w:val="14"/>
        </w:rPr>
        <w:t>“Every person who aspires to revolutionary status has an obligation to struggle in whatever community s/he finds him or herself. Klaus shows that in this obligation is the key to surviving imprisonment.” —Bill Dunne</w:t>
      </w:r>
    </w:p>
    <w:p w14:paraId="47E67815" w14:textId="77777777" w:rsidR="002653E8" w:rsidRDefault="003115E3">
      <w:pPr>
        <w:spacing w:before="38"/>
        <w:ind w:left="3667"/>
        <w:rPr>
          <w:rFonts w:ascii="Trebuchet MS"/>
          <w:sz w:val="18"/>
        </w:rPr>
      </w:pPr>
      <w:r>
        <w:rPr>
          <w:rFonts w:ascii="Trebuchet MS"/>
          <w:color w:val="231F20"/>
          <w:sz w:val="18"/>
        </w:rPr>
        <w:t>by Klaus Viehmann</w:t>
      </w:r>
    </w:p>
    <w:p w14:paraId="6F99A45A" w14:textId="77777777" w:rsidR="002653E8" w:rsidRDefault="003115E3">
      <w:pPr>
        <w:spacing w:before="78"/>
        <w:ind w:left="3667"/>
        <w:rPr>
          <w:rFonts w:ascii="Trebuchet MS"/>
          <w:sz w:val="18"/>
        </w:rPr>
      </w:pPr>
      <w:r>
        <w:rPr>
          <w:rFonts w:ascii="Trebuchet MS"/>
          <w:color w:val="231F20"/>
          <w:sz w:val="18"/>
        </w:rPr>
        <w:t>preface by Bill Dunne</w:t>
      </w:r>
    </w:p>
    <w:p w14:paraId="74431205" w14:textId="77777777" w:rsidR="002653E8" w:rsidRDefault="003115E3">
      <w:pPr>
        <w:spacing w:before="77" w:line="276" w:lineRule="auto"/>
        <w:ind w:left="3667" w:right="2448"/>
        <w:rPr>
          <w:rFonts w:ascii="Trebuchet MS" w:hAnsi="Trebuchet MS"/>
          <w:sz w:val="18"/>
        </w:rPr>
      </w:pPr>
      <w:r>
        <w:rPr>
          <w:rFonts w:ascii="Trebuchet MS" w:hAnsi="Trebuchet MS"/>
          <w:color w:val="231F20"/>
          <w:sz w:val="18"/>
        </w:rPr>
        <w:t>Kersplebedeb • PM Press 2009 ISBN 978-1-60486-082-5</w:t>
      </w:r>
    </w:p>
    <w:p w14:paraId="4C173770" w14:textId="77777777" w:rsidR="002653E8" w:rsidRDefault="00000000">
      <w:pPr>
        <w:spacing w:before="46"/>
        <w:ind w:left="3667"/>
        <w:rPr>
          <w:rFonts w:ascii="Trebuchet MS"/>
          <w:sz w:val="18"/>
        </w:rPr>
      </w:pPr>
      <w:r>
        <w:rPr>
          <w:noProof w:val="0"/>
        </w:rPr>
        <w:pict w14:anchorId="4FB515D9">
          <v:line id="_x0000_s2065" style="position:absolute;left:0;text-align:left;z-index:12376;mso-wrap-distance-left:0;mso-wrap-distance-right:0;mso-position-horizontal-relative:page" from="183.4pt,15.7pt" to="365.6pt,15.7pt" strokecolor="#231f20" strokeweight=".5pt">
            <w10:wrap type="topAndBottom" anchorx="page"/>
          </v:line>
        </w:pict>
      </w:r>
      <w:r w:rsidR="003115E3">
        <w:rPr>
          <w:rFonts w:ascii="Trebuchet MS"/>
          <w:color w:val="231F20"/>
          <w:sz w:val="18"/>
        </w:rPr>
        <w:t>28 pages pamphlet</w:t>
      </w:r>
    </w:p>
    <w:p w14:paraId="31B693A3" w14:textId="77777777" w:rsidR="002653E8" w:rsidRDefault="003115E3">
      <w:pPr>
        <w:spacing w:before="134"/>
        <w:ind w:left="3667"/>
        <w:rPr>
          <w:rFonts w:ascii="Trebuchet MS"/>
          <w:sz w:val="21"/>
        </w:rPr>
      </w:pPr>
      <w:r>
        <w:rPr>
          <w:rFonts w:ascii="Trebuchet MS"/>
          <w:color w:val="231F20"/>
          <w:sz w:val="21"/>
        </w:rPr>
        <w:t>$4.95</w:t>
      </w:r>
    </w:p>
    <w:p w14:paraId="444AA6C9" w14:textId="77777777" w:rsidR="002653E8" w:rsidRDefault="003115E3">
      <w:pPr>
        <w:spacing w:before="75"/>
        <w:ind w:left="1147" w:right="1265"/>
        <w:rPr>
          <w:rFonts w:ascii="Tahoma" w:hAnsi="Tahoma"/>
          <w:sz w:val="16"/>
        </w:rPr>
      </w:pPr>
      <w:r>
        <w:drawing>
          <wp:anchor distT="0" distB="0" distL="0" distR="0" simplePos="0" relativeHeight="12496" behindDoc="0" locked="0" layoutInCell="1" allowOverlap="1" wp14:anchorId="7113FC85" wp14:editId="26CB8097">
            <wp:simplePos x="0" y="0"/>
            <wp:positionH relativeFrom="page">
              <wp:posOffset>728954</wp:posOffset>
            </wp:positionH>
            <wp:positionV relativeFrom="paragraph">
              <wp:posOffset>770304</wp:posOffset>
            </wp:positionV>
            <wp:extent cx="1371600" cy="2171291"/>
            <wp:effectExtent l="0" t="0" r="0" b="0"/>
            <wp:wrapNone/>
            <wp:docPr id="97"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9.png"/>
                    <pic:cNvPicPr/>
                  </pic:nvPicPr>
                  <pic:blipFill>
                    <a:blip r:embed="rId668" cstate="print"/>
                    <a:stretch>
                      <a:fillRect/>
                    </a:stretch>
                  </pic:blipFill>
                  <pic:spPr>
                    <a:xfrm>
                      <a:off x="0" y="0"/>
                      <a:ext cx="1371600" cy="2171291"/>
                    </a:xfrm>
                    <a:prstGeom prst="rect">
                      <a:avLst/>
                    </a:prstGeom>
                  </pic:spPr>
                </pic:pic>
              </a:graphicData>
            </a:graphic>
          </wp:anchor>
        </w:drawing>
      </w:r>
      <w:r>
        <w:rPr>
          <w:rFonts w:ascii="Tahoma" w:hAnsi="Tahoma"/>
          <w:color w:val="231F20"/>
          <w:sz w:val="16"/>
        </w:rPr>
        <w:t>A reflection on prison life and how to keep one’s sanity and political integrity behind bars. Grappling with themes of consciousness, the nature of freedom, and what it means to be alive, Klaus Viehmann wrote this essay ten years after being released from prison, having completing a 15-year sentence for his involvement in urban guerrilla activities in Germany in the 1970s.</w:t>
      </w:r>
    </w:p>
    <w:p w14:paraId="7EED4D4D" w14:textId="77777777" w:rsidR="002653E8" w:rsidRDefault="00000000">
      <w:pPr>
        <w:pStyle w:val="a3"/>
        <w:spacing w:before="3"/>
        <w:rPr>
          <w:rFonts w:ascii="Tahoma"/>
          <w:sz w:val="12"/>
        </w:rPr>
      </w:pPr>
      <w:r>
        <w:rPr>
          <w:noProof w:val="0"/>
        </w:rPr>
        <w:pict w14:anchorId="6810E783">
          <v:shape id="_x0000_s2064" type="#_x0000_t202" style="position:absolute;margin-left:183.4pt;margin-top:8.65pt;width:182.25pt;height:36pt;z-index:12400;mso-wrap-distance-left:0;mso-wrap-distance-right:0;mso-position-horizontal-relative:page" fillcolor="#231f20" stroked="f">
            <v:textbox inset="0,0,0,0">
              <w:txbxContent>
                <w:p w14:paraId="07664747" w14:textId="77777777" w:rsidR="001008C3" w:rsidRDefault="001008C3">
                  <w:pPr>
                    <w:spacing w:before="207"/>
                    <w:ind w:left="100"/>
                    <w:rPr>
                      <w:rFonts w:ascii="Tahoma"/>
                      <w:b/>
                      <w:sz w:val="24"/>
                    </w:rPr>
                  </w:pPr>
                  <w:r>
                    <w:rPr>
                      <w:rFonts w:ascii="Tahoma"/>
                      <w:b/>
                      <w:color w:val="FFFFFF"/>
                      <w:sz w:val="24"/>
                    </w:rPr>
                    <w:t>Jailbreak out of History</w:t>
                  </w:r>
                </w:p>
              </w:txbxContent>
            </v:textbox>
            <w10:wrap type="topAndBottom" anchorx="page"/>
          </v:shape>
        </w:pict>
      </w:r>
    </w:p>
    <w:p w14:paraId="70BB6C78" w14:textId="77777777" w:rsidR="002653E8" w:rsidRDefault="002653E8">
      <w:pPr>
        <w:pStyle w:val="a3"/>
        <w:spacing w:before="9"/>
        <w:rPr>
          <w:rFonts w:ascii="Tahoma"/>
          <w:sz w:val="15"/>
        </w:rPr>
      </w:pPr>
    </w:p>
    <w:p w14:paraId="613D2E34" w14:textId="77777777" w:rsidR="002653E8" w:rsidRDefault="003115E3">
      <w:pPr>
        <w:spacing w:before="1"/>
        <w:ind w:left="3667"/>
        <w:rPr>
          <w:rFonts w:ascii="Trebuchet MS"/>
          <w:b/>
          <w:sz w:val="20"/>
        </w:rPr>
      </w:pPr>
      <w:r>
        <w:rPr>
          <w:rFonts w:ascii="Trebuchet MS"/>
          <w:b/>
          <w:color w:val="231F20"/>
          <w:sz w:val="20"/>
        </w:rPr>
        <w:t>the re-biography of Harriet Tubman</w:t>
      </w:r>
    </w:p>
    <w:p w14:paraId="03226F6A" w14:textId="77777777" w:rsidR="002653E8" w:rsidRDefault="00000000">
      <w:pPr>
        <w:pStyle w:val="a3"/>
        <w:rPr>
          <w:rFonts w:ascii="Trebuchet MS"/>
          <w:b/>
        </w:rPr>
      </w:pPr>
      <w:r>
        <w:rPr>
          <w:noProof w:val="0"/>
        </w:rPr>
        <w:pict w14:anchorId="6B8E7171">
          <v:line id="_x0000_s2063" style="position:absolute;z-index:12424;mso-wrap-distance-left:0;mso-wrap-distance-right:0;mso-position-horizontal-relative:page" from="365.6pt,13.85pt" to="183.4pt,13.85pt" strokecolor="#231f20" strokeweight=".5pt">
            <w10:wrap type="topAndBottom" anchorx="page"/>
          </v:line>
        </w:pict>
      </w:r>
    </w:p>
    <w:p w14:paraId="5B18E5E9" w14:textId="77777777" w:rsidR="002653E8" w:rsidRDefault="002653E8">
      <w:pPr>
        <w:pStyle w:val="a3"/>
        <w:spacing w:before="11"/>
        <w:rPr>
          <w:rFonts w:ascii="Trebuchet MS"/>
          <w:b/>
          <w:sz w:val="25"/>
        </w:rPr>
      </w:pPr>
    </w:p>
    <w:p w14:paraId="65390285" w14:textId="77777777" w:rsidR="002653E8" w:rsidRDefault="003115E3">
      <w:pPr>
        <w:ind w:left="3667"/>
        <w:rPr>
          <w:rFonts w:ascii="Trebuchet MS"/>
          <w:sz w:val="18"/>
        </w:rPr>
      </w:pPr>
      <w:r>
        <w:rPr>
          <w:rFonts w:ascii="Trebuchet MS"/>
          <w:color w:val="231F20"/>
          <w:sz w:val="18"/>
        </w:rPr>
        <w:t>by Butch Lee</w:t>
      </w:r>
    </w:p>
    <w:p w14:paraId="5722A838" w14:textId="77777777" w:rsidR="002653E8" w:rsidRDefault="003115E3">
      <w:pPr>
        <w:spacing w:before="58"/>
        <w:ind w:left="213"/>
        <w:jc w:val="center"/>
        <w:rPr>
          <w:rFonts w:ascii="Trebuchet MS"/>
          <w:sz w:val="18"/>
        </w:rPr>
      </w:pPr>
      <w:r>
        <w:rPr>
          <w:rFonts w:ascii="Trebuchet MS"/>
          <w:color w:val="231F20"/>
          <w:sz w:val="18"/>
        </w:rPr>
        <w:t>Kersplebedeb 2000</w:t>
      </w:r>
    </w:p>
    <w:p w14:paraId="679C4881" w14:textId="77777777" w:rsidR="002653E8" w:rsidRDefault="003115E3">
      <w:pPr>
        <w:spacing w:before="11"/>
        <w:ind w:left="244"/>
        <w:jc w:val="center"/>
        <w:rPr>
          <w:rFonts w:ascii="Trebuchet MS"/>
          <w:sz w:val="18"/>
        </w:rPr>
      </w:pPr>
      <w:r>
        <w:rPr>
          <w:rFonts w:ascii="Trebuchet MS"/>
          <w:color w:val="231F20"/>
          <w:sz w:val="18"/>
        </w:rPr>
        <w:t>ISBN 0-9731432-0-7</w:t>
      </w:r>
    </w:p>
    <w:p w14:paraId="719666BC" w14:textId="77777777" w:rsidR="002653E8" w:rsidRDefault="003115E3">
      <w:pPr>
        <w:spacing w:before="57"/>
        <w:ind w:left="286"/>
        <w:jc w:val="center"/>
        <w:rPr>
          <w:rFonts w:ascii="Trebuchet MS"/>
          <w:sz w:val="18"/>
        </w:rPr>
      </w:pPr>
      <w:r>
        <w:rPr>
          <w:rFonts w:ascii="Trebuchet MS"/>
          <w:color w:val="231F20"/>
          <w:sz w:val="18"/>
        </w:rPr>
        <w:t>87 pages paperback</w:t>
      </w:r>
    </w:p>
    <w:p w14:paraId="31F02D63" w14:textId="77777777" w:rsidR="002653E8" w:rsidRDefault="00000000">
      <w:pPr>
        <w:pStyle w:val="a3"/>
        <w:rPr>
          <w:rFonts w:ascii="Trebuchet MS"/>
          <w:sz w:val="24"/>
        </w:rPr>
      </w:pPr>
      <w:r>
        <w:rPr>
          <w:noProof w:val="0"/>
        </w:rPr>
        <w:pict w14:anchorId="52A2E89F">
          <v:line id="_x0000_s2062" style="position:absolute;z-index:12448;mso-wrap-distance-left:0;mso-wrap-distance-right:0;mso-position-horizontal-relative:page" from="183.4pt,16.15pt" to="365.6pt,16.15pt" strokecolor="#231f20" strokeweight=".5pt">
            <w10:wrap type="topAndBottom" anchorx="page"/>
          </v:line>
        </w:pict>
      </w:r>
    </w:p>
    <w:p w14:paraId="660A08CD" w14:textId="77777777" w:rsidR="002653E8" w:rsidRDefault="003115E3">
      <w:pPr>
        <w:spacing w:before="134"/>
        <w:ind w:left="3667"/>
        <w:rPr>
          <w:rFonts w:ascii="Trebuchet MS"/>
          <w:sz w:val="21"/>
        </w:rPr>
      </w:pPr>
      <w:r>
        <w:rPr>
          <w:rFonts w:ascii="Trebuchet MS"/>
          <w:color w:val="231F20"/>
          <w:sz w:val="21"/>
        </w:rPr>
        <w:t>$8.75</w:t>
      </w:r>
    </w:p>
    <w:p w14:paraId="2A009882" w14:textId="77777777" w:rsidR="002653E8" w:rsidRDefault="003115E3">
      <w:pPr>
        <w:spacing w:before="75"/>
        <w:ind w:left="1147" w:right="1381"/>
        <w:rPr>
          <w:rFonts w:ascii="Tahoma"/>
          <w:sz w:val="16"/>
        </w:rPr>
      </w:pPr>
      <w:r>
        <w:rPr>
          <w:rFonts w:ascii="Tahoma"/>
          <w:color w:val="231F20"/>
          <w:sz w:val="16"/>
        </w:rPr>
        <w:t>Firmly re-rooting Harriet Tubman in the context of patriarchy, race, class, and armed struggle. A fascinating, and much needed, examination of the woman and her times. At a time when violence against women of color is at the center of world politics, uncovering the censored story of one Amazon points to answers that have nothing to do with government programs, police, or patriarchal politics.</w:t>
      </w:r>
    </w:p>
    <w:p w14:paraId="73E78C9D" w14:textId="77777777" w:rsidR="002653E8" w:rsidRDefault="00000000">
      <w:pPr>
        <w:pStyle w:val="a3"/>
        <w:spacing w:before="4"/>
        <w:rPr>
          <w:rFonts w:ascii="Tahoma"/>
          <w:sz w:val="22"/>
        </w:rPr>
      </w:pPr>
      <w:r>
        <w:rPr>
          <w:noProof w:val="0"/>
        </w:rPr>
        <w:pict w14:anchorId="4EC2FD3E">
          <v:shape id="_x0000_s2061" type="#_x0000_t202" style="position:absolute;margin-left:57.4pt;margin-top:14.7pt;width:308.25pt;height:31.55pt;z-index:12472;mso-wrap-distance-left:0;mso-wrap-distance-right:0;mso-position-horizontal-relative:page" fillcolor="#d1d3d4" stroked="f">
            <v:textbox inset="0,0,0,0">
              <w:txbxContent>
                <w:p w14:paraId="3182A1C7" w14:textId="77777777" w:rsidR="001008C3" w:rsidRDefault="001008C3">
                  <w:pPr>
                    <w:pStyle w:val="a3"/>
                    <w:spacing w:before="46" w:line="198" w:lineRule="exact"/>
                    <w:jc w:val="center"/>
                    <w:rPr>
                      <w:rFonts w:ascii="Times New Roman"/>
                    </w:rPr>
                  </w:pPr>
                  <w:r>
                    <w:rPr>
                      <w:rFonts w:ascii="Times New Roman"/>
                      <w:color w:val="231F20"/>
                      <w:w w:val="75"/>
                    </w:rPr>
                    <w:t>KERSPLEBEDEB, CP 63560, CCCP VAN HORNE, MONTREAL, QUEBEC, CANADA H3W 3H8</w:t>
                  </w:r>
                </w:p>
                <w:p w14:paraId="7B852070" w14:textId="77777777" w:rsidR="001008C3" w:rsidRDefault="00000000">
                  <w:pPr>
                    <w:spacing w:line="341" w:lineRule="exact"/>
                    <w:jc w:val="center"/>
                    <w:rPr>
                      <w:rFonts w:ascii="Times New Roman" w:hAnsi="Times New Roman"/>
                      <w:sz w:val="19"/>
                    </w:rPr>
                  </w:pPr>
                  <w:hyperlink r:id="rId669">
                    <w:r w:rsidR="001008C3">
                      <w:rPr>
                        <w:rFonts w:ascii="Times New Roman" w:hAnsi="Times New Roman"/>
                        <w:color w:val="231F20"/>
                        <w:w w:val="68"/>
                        <w:sz w:val="19"/>
                      </w:rPr>
                      <w:t>iN</w:t>
                    </w:r>
                    <w:r w:rsidR="001008C3">
                      <w:rPr>
                        <w:rFonts w:ascii="Times New Roman" w:hAnsi="Times New Roman"/>
                        <w:color w:val="231F20"/>
                        <w:spacing w:val="-1"/>
                        <w:w w:val="124"/>
                        <w:sz w:val="19"/>
                      </w:rPr>
                      <w:t>f</w:t>
                    </w:r>
                    <w:r w:rsidR="001008C3">
                      <w:rPr>
                        <w:rFonts w:ascii="Times New Roman" w:hAnsi="Times New Roman"/>
                        <w:color w:val="231F20"/>
                        <w:spacing w:val="-1"/>
                        <w:w w:val="73"/>
                        <w:sz w:val="19"/>
                      </w:rPr>
                      <w:t>O</w:t>
                    </w:r>
                    <w:r w:rsidR="001008C3">
                      <w:rPr>
                        <w:rFonts w:ascii="Times New Roman" w:hAnsi="Times New Roman"/>
                        <w:color w:val="231F20"/>
                        <w:w w:val="70"/>
                        <w:sz w:val="28"/>
                      </w:rPr>
                      <w:t>@</w:t>
                    </w:r>
                    <w:r w:rsidR="001008C3">
                      <w:rPr>
                        <w:rFonts w:ascii="Times New Roman" w:hAnsi="Times New Roman"/>
                        <w:color w:val="231F20"/>
                        <w:spacing w:val="-1"/>
                        <w:w w:val="62"/>
                        <w:sz w:val="19"/>
                      </w:rPr>
                      <w:t>K</w:t>
                    </w:r>
                    <w:r w:rsidR="001008C3">
                      <w:rPr>
                        <w:rFonts w:ascii="Times New Roman" w:hAnsi="Times New Roman"/>
                        <w:color w:val="231F20"/>
                        <w:spacing w:val="-1"/>
                        <w:w w:val="74"/>
                        <w:sz w:val="19"/>
                      </w:rPr>
                      <w:t>E</w:t>
                    </w:r>
                    <w:r w:rsidR="001008C3">
                      <w:rPr>
                        <w:rFonts w:ascii="Times New Roman" w:hAnsi="Times New Roman"/>
                        <w:color w:val="231F20"/>
                        <w:w w:val="73"/>
                        <w:sz w:val="19"/>
                      </w:rPr>
                      <w:t>R</w:t>
                    </w:r>
                    <w:r w:rsidR="001008C3">
                      <w:rPr>
                        <w:rFonts w:ascii="Times New Roman" w:hAnsi="Times New Roman"/>
                        <w:color w:val="231F20"/>
                        <w:spacing w:val="-1"/>
                        <w:w w:val="81"/>
                        <w:sz w:val="19"/>
                      </w:rPr>
                      <w:t>SP</w:t>
                    </w:r>
                    <w:r w:rsidR="001008C3">
                      <w:rPr>
                        <w:rFonts w:ascii="Times New Roman" w:hAnsi="Times New Roman"/>
                        <w:color w:val="231F20"/>
                        <w:spacing w:val="-1"/>
                        <w:w w:val="62"/>
                        <w:sz w:val="19"/>
                      </w:rPr>
                      <w:t>L</w:t>
                    </w:r>
                    <w:r w:rsidR="001008C3">
                      <w:rPr>
                        <w:rFonts w:ascii="Times New Roman" w:hAnsi="Times New Roman"/>
                        <w:color w:val="231F20"/>
                        <w:spacing w:val="-1"/>
                        <w:w w:val="74"/>
                        <w:sz w:val="19"/>
                      </w:rPr>
                      <w:t>E</w:t>
                    </w:r>
                    <w:r w:rsidR="001008C3">
                      <w:rPr>
                        <w:rFonts w:ascii="Times New Roman" w:hAnsi="Times New Roman"/>
                        <w:color w:val="231F20"/>
                        <w:spacing w:val="-1"/>
                        <w:w w:val="68"/>
                        <w:sz w:val="19"/>
                      </w:rPr>
                      <w:t>B</w:t>
                    </w:r>
                    <w:r w:rsidR="001008C3">
                      <w:rPr>
                        <w:rFonts w:ascii="Times New Roman" w:hAnsi="Times New Roman"/>
                        <w:color w:val="231F20"/>
                        <w:spacing w:val="-1"/>
                        <w:w w:val="74"/>
                        <w:sz w:val="19"/>
                      </w:rPr>
                      <w:t>E</w:t>
                    </w:r>
                    <w:r w:rsidR="001008C3">
                      <w:rPr>
                        <w:rFonts w:ascii="Times New Roman" w:hAnsi="Times New Roman"/>
                        <w:color w:val="231F20"/>
                        <w:spacing w:val="-1"/>
                        <w:w w:val="68"/>
                        <w:sz w:val="19"/>
                      </w:rPr>
                      <w:t>D</w:t>
                    </w:r>
                    <w:r w:rsidR="001008C3">
                      <w:rPr>
                        <w:rFonts w:ascii="Times New Roman" w:hAnsi="Times New Roman"/>
                        <w:color w:val="231F20"/>
                        <w:spacing w:val="-1"/>
                        <w:w w:val="74"/>
                        <w:sz w:val="19"/>
                      </w:rPr>
                      <w:t>E</w:t>
                    </w:r>
                    <w:r w:rsidR="001008C3">
                      <w:rPr>
                        <w:rFonts w:ascii="Times New Roman" w:hAnsi="Times New Roman"/>
                        <w:color w:val="231F20"/>
                        <w:w w:val="68"/>
                        <w:sz w:val="19"/>
                      </w:rPr>
                      <w:t>B</w:t>
                    </w:r>
                    <w:r w:rsidR="001008C3">
                      <w:rPr>
                        <w:rFonts w:ascii="Times New Roman" w:hAnsi="Times New Roman"/>
                        <w:color w:val="231F20"/>
                        <w:sz w:val="28"/>
                      </w:rPr>
                      <w:t>.</w:t>
                    </w:r>
                    <w:r w:rsidR="001008C3">
                      <w:rPr>
                        <w:rFonts w:ascii="Times New Roman" w:hAnsi="Times New Roman"/>
                        <w:color w:val="231F20"/>
                        <w:spacing w:val="-1"/>
                        <w:w w:val="73"/>
                        <w:sz w:val="19"/>
                      </w:rPr>
                      <w:t>C</w:t>
                    </w:r>
                    <w:r w:rsidR="001008C3">
                      <w:rPr>
                        <w:rFonts w:ascii="Times New Roman" w:hAnsi="Times New Roman"/>
                        <w:color w:val="231F20"/>
                        <w:w w:val="73"/>
                        <w:sz w:val="19"/>
                      </w:rPr>
                      <w:t>O</w:t>
                    </w:r>
                    <w:r w:rsidR="001008C3">
                      <w:rPr>
                        <w:rFonts w:ascii="Times New Roman" w:hAnsi="Times New Roman"/>
                        <w:color w:val="231F20"/>
                        <w:w w:val="63"/>
                        <w:sz w:val="19"/>
                      </w:rPr>
                      <w:t>M</w:t>
                    </w:r>
                  </w:hyperlink>
                  <w:r w:rsidR="001008C3">
                    <w:rPr>
                      <w:rFonts w:ascii="Times New Roman" w:hAnsi="Times New Roman"/>
                      <w:color w:val="231F20"/>
                      <w:sz w:val="19"/>
                    </w:rPr>
                    <w:t xml:space="preserve"> </w:t>
                  </w:r>
                  <w:r w:rsidR="001008C3">
                    <w:rPr>
                      <w:rFonts w:ascii="Times New Roman" w:hAnsi="Times New Roman"/>
                      <w:color w:val="231F20"/>
                      <w:spacing w:val="5"/>
                      <w:sz w:val="19"/>
                    </w:rPr>
                    <w:t xml:space="preserve"> </w:t>
                  </w:r>
                  <w:r w:rsidR="001008C3">
                    <w:rPr>
                      <w:rFonts w:ascii="Palatino Linotype" w:hAnsi="Palatino Linotype"/>
                      <w:color w:val="231F20"/>
                      <w:position w:val="-3"/>
                      <w:sz w:val="24"/>
                    </w:rPr>
                    <w:t xml:space="preserve">• </w:t>
                  </w:r>
                  <w:r w:rsidR="001008C3">
                    <w:rPr>
                      <w:rFonts w:ascii="Palatino Linotype" w:hAnsi="Palatino Linotype"/>
                      <w:color w:val="231F20"/>
                      <w:spacing w:val="2"/>
                      <w:position w:val="-3"/>
                      <w:sz w:val="24"/>
                    </w:rPr>
                    <w:t xml:space="preserve"> </w:t>
                  </w:r>
                  <w:hyperlink r:id="rId670">
                    <w:r w:rsidR="001008C3">
                      <w:rPr>
                        <w:rFonts w:ascii="Times New Roman" w:hAnsi="Times New Roman"/>
                        <w:color w:val="231F20"/>
                        <w:spacing w:val="-1"/>
                        <w:w w:val="68"/>
                        <w:sz w:val="19"/>
                      </w:rPr>
                      <w:t>WW</w:t>
                    </w:r>
                    <w:r w:rsidR="001008C3">
                      <w:rPr>
                        <w:rFonts w:ascii="Times New Roman" w:hAnsi="Times New Roman"/>
                        <w:color w:val="231F20"/>
                        <w:w w:val="68"/>
                        <w:sz w:val="19"/>
                      </w:rPr>
                      <w:t>W</w:t>
                    </w:r>
                    <w:r w:rsidR="001008C3">
                      <w:rPr>
                        <w:rFonts w:ascii="Times New Roman" w:hAnsi="Times New Roman"/>
                        <w:color w:val="231F20"/>
                        <w:sz w:val="28"/>
                      </w:rPr>
                      <w:t>.</w:t>
                    </w:r>
                    <w:r w:rsidR="001008C3">
                      <w:rPr>
                        <w:rFonts w:ascii="Times New Roman" w:hAnsi="Times New Roman"/>
                        <w:color w:val="231F20"/>
                        <w:spacing w:val="-1"/>
                        <w:w w:val="62"/>
                        <w:sz w:val="19"/>
                      </w:rPr>
                      <w:t>K</w:t>
                    </w:r>
                    <w:r w:rsidR="001008C3">
                      <w:rPr>
                        <w:rFonts w:ascii="Times New Roman" w:hAnsi="Times New Roman"/>
                        <w:color w:val="231F20"/>
                        <w:spacing w:val="-1"/>
                        <w:w w:val="74"/>
                        <w:sz w:val="19"/>
                      </w:rPr>
                      <w:t>E</w:t>
                    </w:r>
                    <w:r w:rsidR="001008C3">
                      <w:rPr>
                        <w:rFonts w:ascii="Times New Roman" w:hAnsi="Times New Roman"/>
                        <w:color w:val="231F20"/>
                        <w:w w:val="73"/>
                        <w:sz w:val="19"/>
                      </w:rPr>
                      <w:t>R</w:t>
                    </w:r>
                    <w:r w:rsidR="001008C3">
                      <w:rPr>
                        <w:rFonts w:ascii="Times New Roman" w:hAnsi="Times New Roman"/>
                        <w:color w:val="231F20"/>
                        <w:spacing w:val="-1"/>
                        <w:w w:val="81"/>
                        <w:sz w:val="19"/>
                      </w:rPr>
                      <w:t>SP</w:t>
                    </w:r>
                    <w:r w:rsidR="001008C3">
                      <w:rPr>
                        <w:rFonts w:ascii="Times New Roman" w:hAnsi="Times New Roman"/>
                        <w:color w:val="231F20"/>
                        <w:spacing w:val="-1"/>
                        <w:w w:val="62"/>
                        <w:sz w:val="19"/>
                      </w:rPr>
                      <w:t>L</w:t>
                    </w:r>
                    <w:r w:rsidR="001008C3">
                      <w:rPr>
                        <w:rFonts w:ascii="Times New Roman" w:hAnsi="Times New Roman"/>
                        <w:color w:val="231F20"/>
                        <w:spacing w:val="-1"/>
                        <w:w w:val="74"/>
                        <w:sz w:val="19"/>
                      </w:rPr>
                      <w:t>E</w:t>
                    </w:r>
                    <w:r w:rsidR="001008C3">
                      <w:rPr>
                        <w:rFonts w:ascii="Times New Roman" w:hAnsi="Times New Roman"/>
                        <w:color w:val="231F20"/>
                        <w:spacing w:val="-1"/>
                        <w:w w:val="68"/>
                        <w:sz w:val="19"/>
                      </w:rPr>
                      <w:t>B</w:t>
                    </w:r>
                    <w:r w:rsidR="001008C3">
                      <w:rPr>
                        <w:rFonts w:ascii="Times New Roman" w:hAnsi="Times New Roman"/>
                        <w:color w:val="231F20"/>
                        <w:spacing w:val="-1"/>
                        <w:w w:val="74"/>
                        <w:sz w:val="19"/>
                      </w:rPr>
                      <w:t>E</w:t>
                    </w:r>
                    <w:r w:rsidR="001008C3">
                      <w:rPr>
                        <w:rFonts w:ascii="Times New Roman" w:hAnsi="Times New Roman"/>
                        <w:color w:val="231F20"/>
                        <w:spacing w:val="-1"/>
                        <w:w w:val="68"/>
                        <w:sz w:val="19"/>
                      </w:rPr>
                      <w:t>D</w:t>
                    </w:r>
                    <w:r w:rsidR="001008C3">
                      <w:rPr>
                        <w:rFonts w:ascii="Times New Roman" w:hAnsi="Times New Roman"/>
                        <w:color w:val="231F20"/>
                        <w:spacing w:val="-1"/>
                        <w:w w:val="74"/>
                        <w:sz w:val="19"/>
                      </w:rPr>
                      <w:t>E</w:t>
                    </w:r>
                    <w:r w:rsidR="001008C3">
                      <w:rPr>
                        <w:rFonts w:ascii="Times New Roman" w:hAnsi="Times New Roman"/>
                        <w:color w:val="231F20"/>
                        <w:w w:val="68"/>
                        <w:sz w:val="19"/>
                      </w:rPr>
                      <w:t>B</w:t>
                    </w:r>
                    <w:r w:rsidR="001008C3">
                      <w:rPr>
                        <w:rFonts w:ascii="Times New Roman" w:hAnsi="Times New Roman"/>
                        <w:color w:val="231F20"/>
                        <w:sz w:val="28"/>
                      </w:rPr>
                      <w:t>.</w:t>
                    </w:r>
                    <w:r w:rsidR="001008C3">
                      <w:rPr>
                        <w:rFonts w:ascii="Times New Roman" w:hAnsi="Times New Roman"/>
                        <w:color w:val="231F20"/>
                        <w:spacing w:val="-1"/>
                        <w:w w:val="73"/>
                        <w:sz w:val="19"/>
                      </w:rPr>
                      <w:t>C</w:t>
                    </w:r>
                    <w:r w:rsidR="001008C3">
                      <w:rPr>
                        <w:rFonts w:ascii="Times New Roman" w:hAnsi="Times New Roman"/>
                        <w:color w:val="231F20"/>
                        <w:w w:val="73"/>
                        <w:sz w:val="19"/>
                      </w:rPr>
                      <w:t>O</w:t>
                    </w:r>
                    <w:r w:rsidR="001008C3">
                      <w:rPr>
                        <w:rFonts w:ascii="Times New Roman" w:hAnsi="Times New Roman"/>
                        <w:color w:val="231F20"/>
                        <w:w w:val="63"/>
                        <w:sz w:val="19"/>
                      </w:rPr>
                      <w:t>M</w:t>
                    </w:r>
                  </w:hyperlink>
                </w:p>
              </w:txbxContent>
            </v:textbox>
            <w10:wrap type="topAndBottom" anchorx="page"/>
          </v:shape>
        </w:pict>
      </w:r>
    </w:p>
    <w:p w14:paraId="150A57A0" w14:textId="77777777" w:rsidR="002653E8" w:rsidRDefault="002653E8">
      <w:pPr>
        <w:rPr>
          <w:rFonts w:ascii="Tahoma"/>
        </w:rPr>
        <w:sectPr w:rsidR="002653E8">
          <w:footerReference w:type="default" r:id="rId671"/>
          <w:pgSz w:w="8640" w:h="12960"/>
          <w:pgMar w:top="1000" w:right="0" w:bottom="280" w:left="0" w:header="0" w:footer="0" w:gutter="0"/>
          <w:cols w:space="720"/>
        </w:sectPr>
      </w:pPr>
    </w:p>
    <w:p w14:paraId="48D060E1" w14:textId="77777777" w:rsidR="002653E8" w:rsidRDefault="00000000">
      <w:pPr>
        <w:pStyle w:val="7"/>
        <w:tabs>
          <w:tab w:val="left" w:pos="2038"/>
          <w:tab w:val="left" w:pos="7491"/>
        </w:tabs>
        <w:spacing w:before="80"/>
        <w:ind w:left="1327"/>
      </w:pPr>
      <w:r>
        <w:rPr>
          <w:noProof w:val="0"/>
        </w:rPr>
        <w:lastRenderedPageBreak/>
        <w:pict w14:anchorId="297A196D">
          <v:shape id="_x0000_s2060" type="#_x0000_t202" style="position:absolute;left:0;text-align:left;margin-left:192.4pt;margin-top:22pt;width:182.25pt;height:36pt;z-index:12544;mso-wrap-distance-left:0;mso-wrap-distance-right:0;mso-position-horizontal-relative:page" fillcolor="#231f20" stroked="f">
            <v:textbox inset="0,0,0,0">
              <w:txbxContent>
                <w:p w14:paraId="0335F768" w14:textId="77777777" w:rsidR="001008C3" w:rsidRDefault="001008C3">
                  <w:pPr>
                    <w:spacing w:before="47" w:line="264" w:lineRule="auto"/>
                    <w:ind w:left="100" w:right="1369" w:hanging="1"/>
                    <w:rPr>
                      <w:rFonts w:ascii="Tahoma" w:hAnsi="Tahoma"/>
                      <w:b/>
                      <w:sz w:val="24"/>
                    </w:rPr>
                  </w:pPr>
                  <w:r>
                    <w:rPr>
                      <w:rFonts w:ascii="Tahoma" w:hAnsi="Tahoma"/>
                      <w:b/>
                      <w:color w:val="FFFFFF"/>
                      <w:sz w:val="24"/>
                    </w:rPr>
                    <w:t>Kuwasi Balagoon: a soldier’s story</w:t>
                  </w:r>
                </w:p>
              </w:txbxContent>
            </v:textbox>
            <w10:wrap type="topAndBottom" anchorx="page"/>
          </v:shape>
        </w:pict>
      </w:r>
      <w:r w:rsidR="003115E3">
        <w:drawing>
          <wp:anchor distT="0" distB="0" distL="0" distR="0" simplePos="0" relativeHeight="12736" behindDoc="0" locked="0" layoutInCell="1" allowOverlap="1" wp14:anchorId="4C2E45A3" wp14:editId="26324C4B">
            <wp:simplePos x="0" y="0"/>
            <wp:positionH relativeFrom="page">
              <wp:posOffset>843259</wp:posOffset>
            </wp:positionH>
            <wp:positionV relativeFrom="paragraph">
              <wp:posOffset>279334</wp:posOffset>
            </wp:positionV>
            <wp:extent cx="1371594" cy="2057400"/>
            <wp:effectExtent l="0" t="0" r="0" b="0"/>
            <wp:wrapNone/>
            <wp:docPr id="99"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0.png"/>
                    <pic:cNvPicPr/>
                  </pic:nvPicPr>
                  <pic:blipFill>
                    <a:blip r:embed="rId672" cstate="print"/>
                    <a:stretch>
                      <a:fillRect/>
                    </a:stretch>
                  </pic:blipFill>
                  <pic:spPr>
                    <a:xfrm>
                      <a:off x="0" y="0"/>
                      <a:ext cx="1371594" cy="2057400"/>
                    </a:xfrm>
                    <a:prstGeom prst="rect">
                      <a:avLst/>
                    </a:prstGeom>
                  </pic:spPr>
                </pic:pic>
              </a:graphicData>
            </a:graphic>
          </wp:anchor>
        </w:drawing>
      </w:r>
      <w:r w:rsidR="003115E3">
        <w:rPr>
          <w:color w:val="231F20"/>
          <w:w w:val="99"/>
          <w:shd w:val="clear" w:color="auto" w:fill="D1D3D4"/>
        </w:rPr>
        <w:t xml:space="preserve"> </w:t>
      </w:r>
      <w:r w:rsidR="003115E3">
        <w:rPr>
          <w:color w:val="231F20"/>
          <w:shd w:val="clear" w:color="auto" w:fill="D1D3D4"/>
        </w:rPr>
        <w:tab/>
      </w:r>
      <w:r w:rsidR="003115E3">
        <w:rPr>
          <w:color w:val="231F20"/>
          <w:spacing w:val="5"/>
          <w:shd w:val="clear" w:color="auto" w:fill="D1D3D4"/>
        </w:rPr>
        <w:t xml:space="preserve">RECOMMENDED </w:t>
      </w:r>
      <w:r w:rsidR="003115E3">
        <w:rPr>
          <w:color w:val="231F20"/>
          <w:spacing w:val="3"/>
          <w:shd w:val="clear" w:color="auto" w:fill="D1D3D4"/>
        </w:rPr>
        <w:t>FROM</w:t>
      </w:r>
      <w:r w:rsidR="003115E3">
        <w:rPr>
          <w:color w:val="231F20"/>
          <w:spacing w:val="60"/>
          <w:shd w:val="clear" w:color="auto" w:fill="D1D3D4"/>
        </w:rPr>
        <w:t xml:space="preserve"> </w:t>
      </w:r>
      <w:r w:rsidR="003115E3">
        <w:rPr>
          <w:color w:val="231F20"/>
          <w:spacing w:val="5"/>
          <w:shd w:val="clear" w:color="auto" w:fill="D1D3D4"/>
        </w:rPr>
        <w:t>KERSPLEBEDEB</w:t>
      </w:r>
      <w:r w:rsidR="003115E3">
        <w:rPr>
          <w:color w:val="231F20"/>
          <w:spacing w:val="5"/>
          <w:shd w:val="clear" w:color="auto" w:fill="D1D3D4"/>
        </w:rPr>
        <w:tab/>
      </w:r>
    </w:p>
    <w:p w14:paraId="7D2163B6" w14:textId="77777777" w:rsidR="002653E8" w:rsidRDefault="003115E3">
      <w:pPr>
        <w:spacing w:before="51" w:after="82" w:line="290" w:lineRule="auto"/>
        <w:ind w:left="3847" w:right="2252"/>
        <w:rPr>
          <w:rFonts w:ascii="Trebuchet MS"/>
          <w:b/>
          <w:sz w:val="20"/>
        </w:rPr>
      </w:pPr>
      <w:r>
        <w:rPr>
          <w:rFonts w:ascii="Trebuchet MS"/>
          <w:b/>
          <w:color w:val="231F20"/>
          <w:sz w:val="20"/>
        </w:rPr>
        <w:t>writings by a revolutionary New Afrikan anarchist</w:t>
      </w:r>
    </w:p>
    <w:p w14:paraId="04FB445E" w14:textId="77777777" w:rsidR="002653E8" w:rsidRDefault="00000000">
      <w:pPr>
        <w:pStyle w:val="a3"/>
        <w:spacing w:line="20" w:lineRule="exact"/>
        <w:ind w:left="3842"/>
        <w:rPr>
          <w:rFonts w:ascii="Trebuchet MS"/>
          <w:sz w:val="2"/>
        </w:rPr>
      </w:pPr>
      <w:r>
        <w:rPr>
          <w:rFonts w:ascii="Trebuchet MS"/>
          <w:sz w:val="2"/>
        </w:rPr>
      </w:r>
      <w:r>
        <w:rPr>
          <w:rFonts w:ascii="Trebuchet MS"/>
          <w:sz w:val="2"/>
        </w:rPr>
        <w:pict w14:anchorId="55A11508">
          <v:group id="_x0000_s2058" style="width:182.25pt;height:.5pt;mso-position-horizontal-relative:char;mso-position-vertical-relative:line" coordsize="3645,10">
            <v:line id="_x0000_s2059" style="position:absolute" from="3644,5" to="0,5" strokecolor="#231f20" strokeweight=".5pt"/>
            <w10:anchorlock/>
          </v:group>
        </w:pict>
      </w:r>
    </w:p>
    <w:p w14:paraId="367A7861" w14:textId="77777777" w:rsidR="002653E8" w:rsidRDefault="003115E3">
      <w:pPr>
        <w:spacing w:before="80"/>
        <w:ind w:left="3847"/>
        <w:rPr>
          <w:rFonts w:ascii="Trebuchet MS"/>
          <w:sz w:val="18"/>
        </w:rPr>
      </w:pPr>
      <w:r>
        <w:rPr>
          <w:rFonts w:ascii="Trebuchet MS"/>
          <w:color w:val="231F20"/>
          <w:sz w:val="18"/>
        </w:rPr>
        <w:t>with contributions by Sundiata Acoli,</w:t>
      </w:r>
    </w:p>
    <w:p w14:paraId="1368FDDA" w14:textId="77777777" w:rsidR="002653E8" w:rsidRDefault="003115E3">
      <w:pPr>
        <w:spacing w:before="31"/>
        <w:ind w:left="3847"/>
        <w:rPr>
          <w:rFonts w:ascii="Trebuchet MS"/>
          <w:sz w:val="18"/>
        </w:rPr>
      </w:pPr>
      <w:r>
        <w:rPr>
          <w:rFonts w:ascii="Trebuchet MS"/>
          <w:color w:val="231F20"/>
          <w:sz w:val="18"/>
        </w:rPr>
        <w:t>David Gilbert, J. Sakai, Meg Starr, and others</w:t>
      </w:r>
    </w:p>
    <w:p w14:paraId="3DDF5B27" w14:textId="77777777" w:rsidR="002653E8" w:rsidRDefault="003115E3">
      <w:pPr>
        <w:spacing w:before="78"/>
        <w:ind w:left="573"/>
        <w:jc w:val="center"/>
        <w:rPr>
          <w:rFonts w:ascii="Trebuchet MS"/>
          <w:sz w:val="18"/>
        </w:rPr>
      </w:pPr>
      <w:r>
        <w:rPr>
          <w:rFonts w:ascii="Trebuchet MS"/>
          <w:color w:val="231F20"/>
          <w:sz w:val="18"/>
        </w:rPr>
        <w:t>Kersplebedeb 2003</w:t>
      </w:r>
    </w:p>
    <w:p w14:paraId="3CB8C188" w14:textId="77777777" w:rsidR="002653E8" w:rsidRDefault="003115E3">
      <w:pPr>
        <w:spacing w:before="31"/>
        <w:ind w:left="760" w:right="1348"/>
        <w:jc w:val="center"/>
        <w:rPr>
          <w:rFonts w:ascii="Trebuchet MS"/>
          <w:sz w:val="18"/>
        </w:rPr>
      </w:pPr>
      <w:r>
        <w:rPr>
          <w:rFonts w:ascii="Trebuchet MS"/>
          <w:color w:val="231F20"/>
          <w:sz w:val="18"/>
        </w:rPr>
        <w:t>ISBN</w:t>
      </w:r>
    </w:p>
    <w:p w14:paraId="16E55A7F" w14:textId="77777777" w:rsidR="002653E8" w:rsidRDefault="00000000">
      <w:pPr>
        <w:spacing w:before="78"/>
        <w:ind w:left="740"/>
        <w:jc w:val="center"/>
        <w:rPr>
          <w:rFonts w:ascii="Trebuchet MS"/>
          <w:sz w:val="18"/>
        </w:rPr>
      </w:pPr>
      <w:r>
        <w:rPr>
          <w:noProof w:val="0"/>
        </w:rPr>
        <w:pict w14:anchorId="1FB0B40B">
          <v:line id="_x0000_s2057" style="position:absolute;left:0;text-align:left;z-index:12592;mso-wrap-distance-left:0;mso-wrap-distance-right:0;mso-position-horizontal-relative:page" from="192.4pt,18.45pt" to="374.6pt,18.45pt" strokecolor="#231f20" strokeweight=".5pt">
            <w10:wrap type="topAndBottom" anchorx="page"/>
          </v:line>
        </w:pict>
      </w:r>
      <w:r w:rsidR="003115E3">
        <w:rPr>
          <w:rFonts w:ascii="Trebuchet MS"/>
          <w:color w:val="231F20"/>
          <w:sz w:val="18"/>
        </w:rPr>
        <w:t>125 pages paperback</w:t>
      </w:r>
    </w:p>
    <w:p w14:paraId="77CD76AD" w14:textId="77777777" w:rsidR="002653E8" w:rsidRDefault="003115E3">
      <w:pPr>
        <w:spacing w:before="134"/>
        <w:ind w:left="760" w:right="1074"/>
        <w:jc w:val="center"/>
        <w:rPr>
          <w:rFonts w:ascii="Trebuchet MS"/>
          <w:sz w:val="21"/>
        </w:rPr>
      </w:pPr>
      <w:r>
        <w:rPr>
          <w:rFonts w:ascii="Trebuchet MS"/>
          <w:color w:val="231F20"/>
          <w:sz w:val="21"/>
        </w:rPr>
        <w:t>$15.00</w:t>
      </w:r>
    </w:p>
    <w:p w14:paraId="204EC210" w14:textId="77777777" w:rsidR="002653E8" w:rsidRDefault="003115E3">
      <w:pPr>
        <w:spacing w:before="75"/>
        <w:ind w:left="1327" w:right="1164"/>
        <w:rPr>
          <w:rFonts w:ascii="Tahoma"/>
          <w:sz w:val="16"/>
        </w:rPr>
      </w:pPr>
      <w:r>
        <w:rPr>
          <w:rFonts w:ascii="Tahoma"/>
          <w:color w:val="231F20"/>
          <w:w w:val="105"/>
          <w:sz w:val="16"/>
        </w:rPr>
        <w:t>Kuwasi</w:t>
      </w:r>
      <w:r>
        <w:rPr>
          <w:rFonts w:ascii="Tahoma"/>
          <w:color w:val="231F20"/>
          <w:spacing w:val="-30"/>
          <w:w w:val="105"/>
          <w:sz w:val="16"/>
        </w:rPr>
        <w:t xml:space="preserve"> </w:t>
      </w:r>
      <w:r>
        <w:rPr>
          <w:rFonts w:ascii="Tahoma"/>
          <w:color w:val="231F20"/>
          <w:w w:val="105"/>
          <w:sz w:val="16"/>
        </w:rPr>
        <w:t>Balagoon</w:t>
      </w:r>
      <w:r>
        <w:rPr>
          <w:rFonts w:ascii="Tahoma"/>
          <w:color w:val="231F20"/>
          <w:spacing w:val="-30"/>
          <w:w w:val="105"/>
          <w:sz w:val="16"/>
        </w:rPr>
        <w:t xml:space="preserve"> </w:t>
      </w:r>
      <w:r>
        <w:rPr>
          <w:rFonts w:ascii="Tahoma"/>
          <w:color w:val="231F20"/>
          <w:w w:val="105"/>
          <w:sz w:val="16"/>
        </w:rPr>
        <w:t>was</w:t>
      </w:r>
      <w:r>
        <w:rPr>
          <w:rFonts w:ascii="Tahoma"/>
          <w:color w:val="231F20"/>
          <w:spacing w:val="-30"/>
          <w:w w:val="105"/>
          <w:sz w:val="16"/>
        </w:rPr>
        <w:t xml:space="preserve"> </w:t>
      </w:r>
      <w:r>
        <w:rPr>
          <w:rFonts w:ascii="Tahoma"/>
          <w:color w:val="231F20"/>
          <w:w w:val="105"/>
          <w:sz w:val="16"/>
        </w:rPr>
        <w:t>a</w:t>
      </w:r>
      <w:r>
        <w:rPr>
          <w:rFonts w:ascii="Tahoma"/>
          <w:color w:val="231F20"/>
          <w:spacing w:val="-30"/>
          <w:w w:val="105"/>
          <w:sz w:val="16"/>
        </w:rPr>
        <w:t xml:space="preserve"> </w:t>
      </w:r>
      <w:r>
        <w:rPr>
          <w:rFonts w:ascii="Tahoma"/>
          <w:color w:val="231F20"/>
          <w:w w:val="105"/>
          <w:sz w:val="16"/>
        </w:rPr>
        <w:t>defendant</w:t>
      </w:r>
      <w:r>
        <w:rPr>
          <w:rFonts w:ascii="Tahoma"/>
          <w:color w:val="231F20"/>
          <w:spacing w:val="-30"/>
          <w:w w:val="105"/>
          <w:sz w:val="16"/>
        </w:rPr>
        <w:t xml:space="preserve"> </w:t>
      </w:r>
      <w:r>
        <w:rPr>
          <w:rFonts w:ascii="Tahoma"/>
          <w:color w:val="231F20"/>
          <w:w w:val="105"/>
          <w:sz w:val="16"/>
        </w:rPr>
        <w:t>in</w:t>
      </w:r>
      <w:r>
        <w:rPr>
          <w:rFonts w:ascii="Tahoma"/>
          <w:color w:val="231F20"/>
          <w:spacing w:val="-30"/>
          <w:w w:val="105"/>
          <w:sz w:val="16"/>
        </w:rPr>
        <w:t xml:space="preserve"> </w:t>
      </w:r>
      <w:r>
        <w:rPr>
          <w:rFonts w:ascii="Tahoma"/>
          <w:color w:val="231F20"/>
          <w:w w:val="105"/>
          <w:sz w:val="16"/>
        </w:rPr>
        <w:t>the</w:t>
      </w:r>
      <w:r>
        <w:rPr>
          <w:rFonts w:ascii="Tahoma"/>
          <w:color w:val="231F20"/>
          <w:spacing w:val="-30"/>
          <w:w w:val="105"/>
          <w:sz w:val="16"/>
        </w:rPr>
        <w:t xml:space="preserve"> </w:t>
      </w:r>
      <w:r>
        <w:rPr>
          <w:rFonts w:ascii="Tahoma"/>
          <w:color w:val="231F20"/>
          <w:w w:val="105"/>
          <w:sz w:val="16"/>
        </w:rPr>
        <w:t>notorious</w:t>
      </w:r>
      <w:r>
        <w:rPr>
          <w:rFonts w:ascii="Tahoma"/>
          <w:color w:val="231F20"/>
          <w:spacing w:val="-30"/>
          <w:w w:val="105"/>
          <w:sz w:val="16"/>
        </w:rPr>
        <w:t xml:space="preserve"> </w:t>
      </w:r>
      <w:r>
        <w:rPr>
          <w:rFonts w:ascii="Tahoma"/>
          <w:color w:val="231F20"/>
          <w:w w:val="105"/>
          <w:sz w:val="16"/>
        </w:rPr>
        <w:t>Panther</w:t>
      </w:r>
      <w:r>
        <w:rPr>
          <w:rFonts w:ascii="Tahoma"/>
          <w:color w:val="231F20"/>
          <w:spacing w:val="-30"/>
          <w:w w:val="105"/>
          <w:sz w:val="16"/>
        </w:rPr>
        <w:t xml:space="preserve"> </w:t>
      </w:r>
      <w:r>
        <w:rPr>
          <w:rFonts w:ascii="Tahoma"/>
          <w:color w:val="231F20"/>
          <w:w w:val="105"/>
          <w:sz w:val="16"/>
        </w:rPr>
        <w:t>21</w:t>
      </w:r>
      <w:r>
        <w:rPr>
          <w:rFonts w:ascii="Tahoma"/>
          <w:color w:val="231F20"/>
          <w:spacing w:val="-30"/>
          <w:w w:val="105"/>
          <w:sz w:val="16"/>
        </w:rPr>
        <w:t xml:space="preserve"> </w:t>
      </w:r>
      <w:r>
        <w:rPr>
          <w:rFonts w:ascii="Tahoma"/>
          <w:color w:val="231F20"/>
          <w:w w:val="105"/>
          <w:sz w:val="16"/>
        </w:rPr>
        <w:t>frame-up;</w:t>
      </w:r>
      <w:r>
        <w:rPr>
          <w:rFonts w:ascii="Tahoma"/>
          <w:color w:val="231F20"/>
          <w:spacing w:val="-30"/>
          <w:w w:val="105"/>
          <w:sz w:val="16"/>
        </w:rPr>
        <w:t xml:space="preserve"> </w:t>
      </w:r>
      <w:r>
        <w:rPr>
          <w:rFonts w:ascii="Tahoma"/>
          <w:color w:val="231F20"/>
          <w:w w:val="105"/>
          <w:sz w:val="16"/>
        </w:rPr>
        <w:t>after</w:t>
      </w:r>
      <w:r>
        <w:rPr>
          <w:rFonts w:ascii="Tahoma"/>
          <w:color w:val="231F20"/>
          <w:spacing w:val="-30"/>
          <w:w w:val="105"/>
          <w:sz w:val="16"/>
        </w:rPr>
        <w:t xml:space="preserve"> </w:t>
      </w:r>
      <w:r>
        <w:rPr>
          <w:rFonts w:ascii="Tahoma"/>
          <w:color w:val="231F20"/>
          <w:w w:val="105"/>
          <w:sz w:val="16"/>
        </w:rPr>
        <w:t>acquittal he</w:t>
      </w:r>
      <w:r>
        <w:rPr>
          <w:rFonts w:ascii="Tahoma"/>
          <w:color w:val="231F20"/>
          <w:spacing w:val="-21"/>
          <w:w w:val="105"/>
          <w:sz w:val="16"/>
        </w:rPr>
        <w:t xml:space="preserve"> </w:t>
      </w:r>
      <w:r>
        <w:rPr>
          <w:rFonts w:ascii="Tahoma"/>
          <w:color w:val="231F20"/>
          <w:w w:val="105"/>
          <w:sz w:val="16"/>
        </w:rPr>
        <w:t>joined</w:t>
      </w:r>
      <w:r>
        <w:rPr>
          <w:rFonts w:ascii="Tahoma"/>
          <w:color w:val="231F20"/>
          <w:spacing w:val="-21"/>
          <w:w w:val="105"/>
          <w:sz w:val="16"/>
        </w:rPr>
        <w:t xml:space="preserve"> </w:t>
      </w:r>
      <w:r>
        <w:rPr>
          <w:rFonts w:ascii="Tahoma"/>
          <w:color w:val="231F20"/>
          <w:w w:val="105"/>
          <w:sz w:val="16"/>
        </w:rPr>
        <w:t>the</w:t>
      </w:r>
      <w:r>
        <w:rPr>
          <w:rFonts w:ascii="Tahoma"/>
          <w:color w:val="231F20"/>
          <w:spacing w:val="-21"/>
          <w:w w:val="105"/>
          <w:sz w:val="16"/>
        </w:rPr>
        <w:t xml:space="preserve"> </w:t>
      </w:r>
      <w:r>
        <w:rPr>
          <w:rFonts w:ascii="Tahoma"/>
          <w:color w:val="231F20"/>
          <w:w w:val="105"/>
          <w:sz w:val="16"/>
        </w:rPr>
        <w:t>underground</w:t>
      </w:r>
      <w:r>
        <w:rPr>
          <w:rFonts w:ascii="Tahoma"/>
          <w:color w:val="231F20"/>
          <w:spacing w:val="-21"/>
          <w:w w:val="105"/>
          <w:sz w:val="16"/>
        </w:rPr>
        <w:t xml:space="preserve"> </w:t>
      </w:r>
      <w:r>
        <w:rPr>
          <w:rFonts w:ascii="Tahoma"/>
          <w:color w:val="231F20"/>
          <w:w w:val="105"/>
          <w:sz w:val="16"/>
        </w:rPr>
        <w:t>Black</w:t>
      </w:r>
      <w:r>
        <w:rPr>
          <w:rFonts w:ascii="Tahoma"/>
          <w:color w:val="231F20"/>
          <w:spacing w:val="-21"/>
          <w:w w:val="105"/>
          <w:sz w:val="16"/>
        </w:rPr>
        <w:t xml:space="preserve"> </w:t>
      </w:r>
      <w:r>
        <w:rPr>
          <w:rFonts w:ascii="Tahoma"/>
          <w:color w:val="231F20"/>
          <w:w w:val="105"/>
          <w:sz w:val="16"/>
        </w:rPr>
        <w:t>Liberation</w:t>
      </w:r>
      <w:r>
        <w:rPr>
          <w:rFonts w:ascii="Tahoma"/>
          <w:color w:val="231F20"/>
          <w:spacing w:val="-21"/>
          <w:w w:val="105"/>
          <w:sz w:val="16"/>
        </w:rPr>
        <w:t xml:space="preserve"> </w:t>
      </w:r>
      <w:r>
        <w:rPr>
          <w:rFonts w:ascii="Tahoma"/>
          <w:color w:val="231F20"/>
          <w:spacing w:val="-3"/>
          <w:w w:val="105"/>
          <w:sz w:val="16"/>
        </w:rPr>
        <w:t>Army.</w:t>
      </w:r>
      <w:r>
        <w:rPr>
          <w:rFonts w:ascii="Tahoma"/>
          <w:color w:val="231F20"/>
          <w:spacing w:val="-21"/>
          <w:w w:val="105"/>
          <w:sz w:val="16"/>
        </w:rPr>
        <w:t xml:space="preserve"> </w:t>
      </w:r>
      <w:r>
        <w:rPr>
          <w:rFonts w:ascii="Tahoma"/>
          <w:color w:val="231F20"/>
          <w:w w:val="105"/>
          <w:sz w:val="16"/>
        </w:rPr>
        <w:t>A</w:t>
      </w:r>
      <w:r>
        <w:rPr>
          <w:rFonts w:ascii="Tahoma"/>
          <w:color w:val="231F20"/>
          <w:spacing w:val="-21"/>
          <w:w w:val="105"/>
          <w:sz w:val="16"/>
        </w:rPr>
        <w:t xml:space="preserve"> </w:t>
      </w:r>
      <w:r>
        <w:rPr>
          <w:rFonts w:ascii="Tahoma"/>
          <w:color w:val="231F20"/>
          <w:w w:val="105"/>
          <w:sz w:val="16"/>
        </w:rPr>
        <w:t>guerilla</w:t>
      </w:r>
      <w:r>
        <w:rPr>
          <w:rFonts w:ascii="Tahoma"/>
          <w:color w:val="231F20"/>
          <w:spacing w:val="-21"/>
          <w:w w:val="105"/>
          <w:sz w:val="16"/>
        </w:rPr>
        <w:t xml:space="preserve"> </w:t>
      </w:r>
      <w:r>
        <w:rPr>
          <w:rFonts w:ascii="Tahoma"/>
          <w:color w:val="231F20"/>
          <w:w w:val="105"/>
          <w:sz w:val="16"/>
        </w:rPr>
        <w:t>fighter,</w:t>
      </w:r>
      <w:r>
        <w:rPr>
          <w:rFonts w:ascii="Tahoma"/>
          <w:color w:val="231F20"/>
          <w:spacing w:val="-21"/>
          <w:w w:val="105"/>
          <w:sz w:val="16"/>
        </w:rPr>
        <w:t xml:space="preserve"> </w:t>
      </w:r>
      <w:r>
        <w:rPr>
          <w:rFonts w:ascii="Tahoma"/>
          <w:color w:val="231F20"/>
          <w:w w:val="105"/>
          <w:sz w:val="16"/>
        </w:rPr>
        <w:t>an</w:t>
      </w:r>
      <w:r>
        <w:rPr>
          <w:rFonts w:ascii="Tahoma"/>
          <w:color w:val="231F20"/>
          <w:spacing w:val="-21"/>
          <w:w w:val="105"/>
          <w:sz w:val="16"/>
        </w:rPr>
        <w:t xml:space="preserve"> </w:t>
      </w:r>
      <w:r>
        <w:rPr>
          <w:rFonts w:ascii="Tahoma"/>
          <w:color w:val="231F20"/>
          <w:w w:val="105"/>
          <w:sz w:val="16"/>
        </w:rPr>
        <w:t>anarchist,</w:t>
      </w:r>
    </w:p>
    <w:p w14:paraId="087792FE" w14:textId="77777777" w:rsidR="002653E8" w:rsidRDefault="003115E3">
      <w:pPr>
        <w:spacing w:line="237" w:lineRule="auto"/>
        <w:ind w:left="1327" w:right="1544"/>
        <w:rPr>
          <w:rFonts w:ascii="Tahoma"/>
          <w:sz w:val="16"/>
        </w:rPr>
      </w:pPr>
      <w:r>
        <w:rPr>
          <w:rFonts w:ascii="Tahoma"/>
          <w:color w:val="231F20"/>
          <w:w w:val="105"/>
          <w:sz w:val="16"/>
        </w:rPr>
        <w:t>and</w:t>
      </w:r>
      <w:r>
        <w:rPr>
          <w:rFonts w:ascii="Tahoma"/>
          <w:color w:val="231F20"/>
          <w:spacing w:val="-18"/>
          <w:w w:val="105"/>
          <w:sz w:val="16"/>
        </w:rPr>
        <w:t xml:space="preserve"> </w:t>
      </w:r>
      <w:r>
        <w:rPr>
          <w:rFonts w:ascii="Tahoma"/>
          <w:color w:val="231F20"/>
          <w:w w:val="105"/>
          <w:sz w:val="16"/>
        </w:rPr>
        <w:t>a</w:t>
      </w:r>
      <w:r>
        <w:rPr>
          <w:rFonts w:ascii="Tahoma"/>
          <w:color w:val="231F20"/>
          <w:spacing w:val="-18"/>
          <w:w w:val="105"/>
          <w:sz w:val="16"/>
        </w:rPr>
        <w:t xml:space="preserve"> </w:t>
      </w:r>
      <w:r>
        <w:rPr>
          <w:rFonts w:ascii="Tahoma"/>
          <w:color w:val="231F20"/>
          <w:w w:val="105"/>
          <w:sz w:val="16"/>
        </w:rPr>
        <w:t>proponent</w:t>
      </w:r>
      <w:r>
        <w:rPr>
          <w:rFonts w:ascii="Tahoma"/>
          <w:color w:val="231F20"/>
          <w:spacing w:val="-18"/>
          <w:w w:val="105"/>
          <w:sz w:val="16"/>
        </w:rPr>
        <w:t xml:space="preserve"> </w:t>
      </w:r>
      <w:r>
        <w:rPr>
          <w:rFonts w:ascii="Tahoma"/>
          <w:color w:val="231F20"/>
          <w:w w:val="105"/>
          <w:sz w:val="16"/>
        </w:rPr>
        <w:t>of</w:t>
      </w:r>
      <w:r>
        <w:rPr>
          <w:rFonts w:ascii="Tahoma"/>
          <w:color w:val="231F20"/>
          <w:spacing w:val="-18"/>
          <w:w w:val="105"/>
          <w:sz w:val="16"/>
        </w:rPr>
        <w:t xml:space="preserve"> </w:t>
      </w:r>
      <w:r>
        <w:rPr>
          <w:rFonts w:ascii="Tahoma"/>
          <w:color w:val="231F20"/>
          <w:w w:val="105"/>
          <w:sz w:val="16"/>
        </w:rPr>
        <w:t>New</w:t>
      </w:r>
      <w:r>
        <w:rPr>
          <w:rFonts w:ascii="Tahoma"/>
          <w:color w:val="231F20"/>
          <w:spacing w:val="-18"/>
          <w:w w:val="105"/>
          <w:sz w:val="16"/>
        </w:rPr>
        <w:t xml:space="preserve"> </w:t>
      </w:r>
      <w:r>
        <w:rPr>
          <w:rFonts w:ascii="Tahoma"/>
          <w:color w:val="231F20"/>
          <w:w w:val="105"/>
          <w:sz w:val="16"/>
        </w:rPr>
        <w:t>Afrikan</w:t>
      </w:r>
      <w:r>
        <w:rPr>
          <w:rFonts w:ascii="Tahoma"/>
          <w:color w:val="231F20"/>
          <w:spacing w:val="-18"/>
          <w:w w:val="105"/>
          <w:sz w:val="16"/>
        </w:rPr>
        <w:t xml:space="preserve"> </w:t>
      </w:r>
      <w:r>
        <w:rPr>
          <w:rFonts w:ascii="Tahoma"/>
          <w:color w:val="231F20"/>
          <w:w w:val="105"/>
          <w:sz w:val="16"/>
        </w:rPr>
        <w:t>independence,</w:t>
      </w:r>
      <w:r>
        <w:rPr>
          <w:rFonts w:ascii="Tahoma"/>
          <w:color w:val="231F20"/>
          <w:spacing w:val="-18"/>
          <w:w w:val="105"/>
          <w:sz w:val="16"/>
        </w:rPr>
        <w:t xml:space="preserve"> </w:t>
      </w:r>
      <w:r>
        <w:rPr>
          <w:rFonts w:ascii="Tahoma"/>
          <w:color w:val="231F20"/>
          <w:w w:val="105"/>
          <w:sz w:val="16"/>
        </w:rPr>
        <w:t>he</w:t>
      </w:r>
      <w:r>
        <w:rPr>
          <w:rFonts w:ascii="Tahoma"/>
          <w:color w:val="231F20"/>
          <w:spacing w:val="-18"/>
          <w:w w:val="105"/>
          <w:sz w:val="16"/>
        </w:rPr>
        <w:t xml:space="preserve"> </w:t>
      </w:r>
      <w:r>
        <w:rPr>
          <w:rFonts w:ascii="Tahoma"/>
          <w:color w:val="231F20"/>
          <w:w w:val="105"/>
          <w:sz w:val="16"/>
        </w:rPr>
        <w:t>died</w:t>
      </w:r>
      <w:r>
        <w:rPr>
          <w:rFonts w:ascii="Tahoma"/>
          <w:color w:val="231F20"/>
          <w:spacing w:val="-18"/>
          <w:w w:val="105"/>
          <w:sz w:val="16"/>
        </w:rPr>
        <w:t xml:space="preserve"> </w:t>
      </w:r>
      <w:r>
        <w:rPr>
          <w:rFonts w:ascii="Tahoma"/>
          <w:color w:val="231F20"/>
          <w:w w:val="105"/>
          <w:sz w:val="16"/>
        </w:rPr>
        <w:t>in</w:t>
      </w:r>
      <w:r>
        <w:rPr>
          <w:rFonts w:ascii="Tahoma"/>
          <w:color w:val="231F20"/>
          <w:spacing w:val="-18"/>
          <w:w w:val="105"/>
          <w:sz w:val="16"/>
        </w:rPr>
        <w:t xml:space="preserve"> </w:t>
      </w:r>
      <w:r>
        <w:rPr>
          <w:rFonts w:ascii="Tahoma"/>
          <w:color w:val="231F20"/>
          <w:w w:val="105"/>
          <w:sz w:val="16"/>
        </w:rPr>
        <w:t>prison</w:t>
      </w:r>
      <w:r>
        <w:rPr>
          <w:rFonts w:ascii="Tahoma"/>
          <w:color w:val="231F20"/>
          <w:spacing w:val="-18"/>
          <w:w w:val="105"/>
          <w:sz w:val="16"/>
        </w:rPr>
        <w:t xml:space="preserve"> </w:t>
      </w:r>
      <w:r>
        <w:rPr>
          <w:rFonts w:ascii="Tahoma"/>
          <w:color w:val="231F20"/>
          <w:w w:val="105"/>
          <w:sz w:val="16"/>
        </w:rPr>
        <w:t>of</w:t>
      </w:r>
      <w:r>
        <w:rPr>
          <w:rFonts w:ascii="Tahoma"/>
          <w:color w:val="231F20"/>
          <w:spacing w:val="-18"/>
          <w:w w:val="105"/>
          <w:sz w:val="16"/>
        </w:rPr>
        <w:t xml:space="preserve"> </w:t>
      </w:r>
      <w:r>
        <w:rPr>
          <w:rFonts w:ascii="Tahoma"/>
          <w:color w:val="231F20"/>
          <w:w w:val="105"/>
          <w:sz w:val="16"/>
        </w:rPr>
        <w:t>AIDS</w:t>
      </w:r>
      <w:r>
        <w:rPr>
          <w:rFonts w:ascii="Tahoma"/>
          <w:color w:val="231F20"/>
          <w:spacing w:val="-18"/>
          <w:w w:val="105"/>
          <w:sz w:val="16"/>
        </w:rPr>
        <w:t xml:space="preserve"> </w:t>
      </w:r>
      <w:r>
        <w:rPr>
          <w:rFonts w:ascii="Tahoma"/>
          <w:color w:val="231F20"/>
          <w:w w:val="105"/>
          <w:sz w:val="16"/>
        </w:rPr>
        <w:t>related complications</w:t>
      </w:r>
      <w:r>
        <w:rPr>
          <w:rFonts w:ascii="Tahoma"/>
          <w:color w:val="231F20"/>
          <w:spacing w:val="-21"/>
          <w:w w:val="105"/>
          <w:sz w:val="16"/>
        </w:rPr>
        <w:t xml:space="preserve"> </w:t>
      </w:r>
      <w:r>
        <w:rPr>
          <w:rFonts w:ascii="Tahoma"/>
          <w:color w:val="231F20"/>
          <w:w w:val="105"/>
          <w:sz w:val="16"/>
        </w:rPr>
        <w:t>in</w:t>
      </w:r>
      <w:r>
        <w:rPr>
          <w:rFonts w:ascii="Tahoma"/>
          <w:color w:val="231F20"/>
          <w:spacing w:val="-21"/>
          <w:w w:val="105"/>
          <w:sz w:val="16"/>
        </w:rPr>
        <w:t xml:space="preserve"> </w:t>
      </w:r>
      <w:r>
        <w:rPr>
          <w:rFonts w:ascii="Tahoma"/>
          <w:color w:val="231F20"/>
          <w:w w:val="105"/>
          <w:sz w:val="16"/>
        </w:rPr>
        <w:t>1986.</w:t>
      </w:r>
      <w:r>
        <w:rPr>
          <w:rFonts w:ascii="Tahoma"/>
          <w:color w:val="231F20"/>
          <w:spacing w:val="11"/>
          <w:w w:val="105"/>
          <w:sz w:val="16"/>
        </w:rPr>
        <w:t xml:space="preserve"> </w:t>
      </w:r>
      <w:r>
        <w:rPr>
          <w:rFonts w:ascii="Tahoma"/>
          <w:color w:val="231F20"/>
          <w:w w:val="105"/>
          <w:sz w:val="16"/>
        </w:rPr>
        <w:t>This</w:t>
      </w:r>
      <w:r>
        <w:rPr>
          <w:rFonts w:ascii="Tahoma"/>
          <w:color w:val="231F20"/>
          <w:spacing w:val="-21"/>
          <w:w w:val="105"/>
          <w:sz w:val="16"/>
        </w:rPr>
        <w:t xml:space="preserve"> </w:t>
      </w:r>
      <w:r>
        <w:rPr>
          <w:rFonts w:ascii="Tahoma"/>
          <w:color w:val="231F20"/>
          <w:w w:val="105"/>
          <w:sz w:val="16"/>
        </w:rPr>
        <w:t>is</w:t>
      </w:r>
      <w:r>
        <w:rPr>
          <w:rFonts w:ascii="Tahoma"/>
          <w:color w:val="231F20"/>
          <w:spacing w:val="-21"/>
          <w:w w:val="105"/>
          <w:sz w:val="16"/>
        </w:rPr>
        <w:t xml:space="preserve"> </w:t>
      </w:r>
      <w:r>
        <w:rPr>
          <w:rFonts w:ascii="Tahoma"/>
          <w:color w:val="231F20"/>
          <w:w w:val="105"/>
          <w:sz w:val="16"/>
        </w:rPr>
        <w:t>the</w:t>
      </w:r>
      <w:r>
        <w:rPr>
          <w:rFonts w:ascii="Tahoma"/>
          <w:color w:val="231F20"/>
          <w:spacing w:val="-21"/>
          <w:w w:val="105"/>
          <w:sz w:val="16"/>
        </w:rPr>
        <w:t xml:space="preserve"> </w:t>
      </w:r>
      <w:r>
        <w:rPr>
          <w:rFonts w:ascii="Tahoma"/>
          <w:color w:val="231F20"/>
          <w:w w:val="105"/>
          <w:sz w:val="16"/>
        </w:rPr>
        <w:t>most</w:t>
      </w:r>
      <w:r>
        <w:rPr>
          <w:rFonts w:ascii="Tahoma"/>
          <w:color w:val="231F20"/>
          <w:spacing w:val="-21"/>
          <w:w w:val="105"/>
          <w:sz w:val="16"/>
        </w:rPr>
        <w:t xml:space="preserve"> </w:t>
      </w:r>
      <w:r>
        <w:rPr>
          <w:rFonts w:ascii="Tahoma"/>
          <w:color w:val="231F20"/>
          <w:w w:val="105"/>
          <w:sz w:val="16"/>
        </w:rPr>
        <w:t>complete</w:t>
      </w:r>
      <w:r>
        <w:rPr>
          <w:rFonts w:ascii="Tahoma"/>
          <w:color w:val="231F20"/>
          <w:spacing w:val="-21"/>
          <w:w w:val="105"/>
          <w:sz w:val="16"/>
        </w:rPr>
        <w:t xml:space="preserve"> </w:t>
      </w:r>
      <w:r>
        <w:rPr>
          <w:rFonts w:ascii="Tahoma"/>
          <w:color w:val="231F20"/>
          <w:w w:val="105"/>
          <w:sz w:val="16"/>
        </w:rPr>
        <w:t>collection</w:t>
      </w:r>
      <w:r>
        <w:rPr>
          <w:rFonts w:ascii="Tahoma"/>
          <w:color w:val="231F20"/>
          <w:spacing w:val="-21"/>
          <w:w w:val="105"/>
          <w:sz w:val="16"/>
        </w:rPr>
        <w:t xml:space="preserve"> </w:t>
      </w:r>
      <w:r>
        <w:rPr>
          <w:rFonts w:ascii="Tahoma"/>
          <w:color w:val="231F20"/>
          <w:w w:val="105"/>
          <w:sz w:val="16"/>
        </w:rPr>
        <w:t>of</w:t>
      </w:r>
      <w:r>
        <w:rPr>
          <w:rFonts w:ascii="Tahoma"/>
          <w:color w:val="231F20"/>
          <w:spacing w:val="-21"/>
          <w:w w:val="105"/>
          <w:sz w:val="16"/>
        </w:rPr>
        <w:t xml:space="preserve"> </w:t>
      </w:r>
      <w:r>
        <w:rPr>
          <w:rFonts w:ascii="Tahoma"/>
          <w:color w:val="231F20"/>
          <w:w w:val="105"/>
          <w:sz w:val="16"/>
        </w:rPr>
        <w:t>his</w:t>
      </w:r>
      <w:r>
        <w:rPr>
          <w:rFonts w:ascii="Tahoma"/>
          <w:color w:val="231F20"/>
          <w:spacing w:val="-21"/>
          <w:w w:val="105"/>
          <w:sz w:val="16"/>
        </w:rPr>
        <w:t xml:space="preserve"> </w:t>
      </w:r>
      <w:r>
        <w:rPr>
          <w:rFonts w:ascii="Tahoma"/>
          <w:color w:val="231F20"/>
          <w:w w:val="105"/>
          <w:sz w:val="16"/>
        </w:rPr>
        <w:t>writings</w:t>
      </w:r>
      <w:r>
        <w:rPr>
          <w:rFonts w:ascii="Tahoma"/>
          <w:color w:val="231F20"/>
          <w:spacing w:val="-21"/>
          <w:w w:val="105"/>
          <w:sz w:val="16"/>
        </w:rPr>
        <w:t xml:space="preserve"> </w:t>
      </w:r>
      <w:r>
        <w:rPr>
          <w:rFonts w:ascii="Tahoma"/>
          <w:color w:val="231F20"/>
          <w:w w:val="105"/>
          <w:sz w:val="16"/>
        </w:rPr>
        <w:t>ever assembled.</w:t>
      </w:r>
    </w:p>
    <w:p w14:paraId="6E4ED012" w14:textId="77777777" w:rsidR="002653E8" w:rsidRDefault="00000000">
      <w:pPr>
        <w:pStyle w:val="a3"/>
        <w:spacing w:before="6"/>
        <w:rPr>
          <w:rFonts w:ascii="Tahoma"/>
          <w:sz w:val="11"/>
        </w:rPr>
      </w:pPr>
      <w:r>
        <w:rPr>
          <w:noProof w:val="0"/>
        </w:rPr>
        <w:pict w14:anchorId="58F7BF32">
          <v:shape id="_x0000_s2056" type="#_x0000_t202" style="position:absolute;margin-left:192.4pt;margin-top:8.15pt;width:182.25pt;height:36pt;z-index:12616;mso-wrap-distance-left:0;mso-wrap-distance-right:0;mso-position-horizontal-relative:page" fillcolor="#231f20" stroked="f">
            <v:textbox inset="0,0,0,0">
              <w:txbxContent>
                <w:p w14:paraId="4C82CE6F" w14:textId="77777777" w:rsidR="001008C3" w:rsidRDefault="001008C3">
                  <w:pPr>
                    <w:spacing w:before="63" w:line="289" w:lineRule="exact"/>
                    <w:ind w:left="100"/>
                    <w:rPr>
                      <w:rFonts w:ascii="Tahoma"/>
                      <w:b/>
                      <w:sz w:val="24"/>
                    </w:rPr>
                  </w:pPr>
                  <w:r>
                    <w:rPr>
                      <w:rFonts w:ascii="Tahoma"/>
                      <w:b/>
                      <w:color w:val="FFFFFF"/>
                      <w:sz w:val="24"/>
                    </w:rPr>
                    <w:t>We were so</w:t>
                  </w:r>
                </w:p>
                <w:p w14:paraId="513667BE" w14:textId="77777777" w:rsidR="001008C3" w:rsidRDefault="001008C3">
                  <w:pPr>
                    <w:spacing w:line="289" w:lineRule="exact"/>
                    <w:ind w:left="100"/>
                    <w:rPr>
                      <w:rFonts w:ascii="Tahoma"/>
                      <w:b/>
                      <w:sz w:val="24"/>
                    </w:rPr>
                  </w:pPr>
                  <w:r>
                    <w:rPr>
                      <w:rFonts w:ascii="Tahoma"/>
                      <w:b/>
                      <w:color w:val="FFFFFF"/>
                      <w:sz w:val="24"/>
                    </w:rPr>
                    <w:t>terribly consistent...</w:t>
                  </w:r>
                </w:p>
              </w:txbxContent>
            </v:textbox>
            <w10:wrap type="topAndBottom" anchorx="page"/>
          </v:shape>
        </w:pict>
      </w:r>
    </w:p>
    <w:p w14:paraId="60912C69" w14:textId="77777777" w:rsidR="002653E8" w:rsidRDefault="003115E3">
      <w:pPr>
        <w:spacing w:before="71" w:line="247" w:lineRule="auto"/>
        <w:ind w:left="3847" w:right="2686"/>
        <w:rPr>
          <w:rFonts w:ascii="Trebuchet MS"/>
          <w:b/>
          <w:sz w:val="20"/>
        </w:rPr>
      </w:pPr>
      <w:r>
        <w:rPr>
          <w:rFonts w:ascii="Trebuchet MS"/>
          <w:b/>
          <w:color w:val="231F20"/>
          <w:sz w:val="20"/>
        </w:rPr>
        <w:t xml:space="preserve">A Conversation about the History of the </w:t>
      </w:r>
      <w:r w:rsidR="00C507A5">
        <w:rPr>
          <w:rFonts w:ascii="Trebuchet MS"/>
          <w:b/>
          <w:color w:val="231F20"/>
          <w:sz w:val="20"/>
        </w:rPr>
        <w:t>red army faction</w:t>
      </w:r>
    </w:p>
    <w:p w14:paraId="3C61AB4F" w14:textId="77777777" w:rsidR="002653E8" w:rsidRDefault="00000000">
      <w:pPr>
        <w:pStyle w:val="a3"/>
        <w:spacing w:before="2"/>
        <w:rPr>
          <w:rFonts w:ascii="Trebuchet MS"/>
          <w:b/>
          <w:sz w:val="9"/>
        </w:rPr>
      </w:pPr>
      <w:r>
        <w:rPr>
          <w:noProof w:val="0"/>
        </w:rPr>
        <w:pict w14:anchorId="336EB9A8">
          <v:line id="_x0000_s2055" style="position:absolute;z-index:12640;mso-wrap-distance-left:0;mso-wrap-distance-right:0;mso-position-horizontal-relative:page" from="374.6pt,7.55pt" to="192.4pt,7.55pt" strokecolor="#231f20" strokeweight=".5pt">
            <w10:wrap type="topAndBottom" anchorx="page"/>
          </v:line>
        </w:pict>
      </w:r>
    </w:p>
    <w:p w14:paraId="09F5D683" w14:textId="77777777" w:rsidR="002653E8" w:rsidRDefault="003115E3">
      <w:pPr>
        <w:spacing w:before="117" w:line="260" w:lineRule="atLeast"/>
        <w:ind w:left="3847" w:right="1078"/>
        <w:rPr>
          <w:rFonts w:ascii="Trebuchet MS" w:hAnsi="Trebuchet MS"/>
          <w:sz w:val="18"/>
        </w:rPr>
      </w:pPr>
      <w:r>
        <w:rPr>
          <w:rFonts w:ascii="Trebuchet MS" w:hAnsi="Trebuchet MS"/>
          <w:color w:val="231F20"/>
          <w:sz w:val="18"/>
        </w:rPr>
        <w:t xml:space="preserve">Stefan Wisniewski interviewed by </w:t>
      </w:r>
      <w:r>
        <w:rPr>
          <w:rFonts w:ascii="Trebuchet MS" w:hAnsi="Trebuchet MS"/>
          <w:i/>
          <w:color w:val="231F20"/>
          <w:sz w:val="18"/>
        </w:rPr>
        <w:t xml:space="preserve">taz </w:t>
      </w:r>
      <w:r>
        <w:rPr>
          <w:rFonts w:ascii="Trebuchet MS" w:hAnsi="Trebuchet MS"/>
          <w:color w:val="231F20"/>
          <w:sz w:val="18"/>
        </w:rPr>
        <w:t>introduction by André Moncourt and J. Smith Kersplebedeb 2009</w:t>
      </w:r>
    </w:p>
    <w:p w14:paraId="373306C7" w14:textId="77777777" w:rsidR="002653E8" w:rsidRDefault="00000000">
      <w:pPr>
        <w:spacing w:before="24"/>
        <w:ind w:left="603"/>
        <w:jc w:val="center"/>
        <w:rPr>
          <w:rFonts w:ascii="Trebuchet MS"/>
          <w:sz w:val="18"/>
        </w:rPr>
      </w:pPr>
      <w:r>
        <w:rPr>
          <w:noProof w:val="0"/>
        </w:rPr>
        <w:pict w14:anchorId="39D5295D">
          <v:group id="_x0000_s2052" style="position:absolute;left:0;text-align:left;margin-left:66.4pt;margin-top:-118.35pt;width:108pt;height:171pt;z-index:12712;mso-position-horizontal-relative:page" coordorigin="1328,-2367" coordsize="2160,3420">
            <v:shape id="_x0000_s2054" type="#_x0000_t75" style="position:absolute;left:1337;top:-2331;width:2140;height:3348">
              <v:imagedata r:id="rId673" o:title=""/>
            </v:shape>
            <v:rect id="_x0000_s2053" style="position:absolute;left:1337;top:-2357;width:2140;height:3400" filled="f" strokecolor="#231f20" strokeweight="1pt"/>
            <w10:wrap anchorx="page"/>
          </v:group>
        </w:pict>
      </w:r>
      <w:r w:rsidR="003115E3">
        <w:rPr>
          <w:rFonts w:ascii="Trebuchet MS"/>
          <w:color w:val="231F20"/>
          <w:sz w:val="18"/>
        </w:rPr>
        <w:t>ISBN 1-894946-08-1</w:t>
      </w:r>
    </w:p>
    <w:p w14:paraId="3B97DA0F" w14:textId="77777777" w:rsidR="002653E8" w:rsidRDefault="003115E3">
      <w:pPr>
        <w:spacing w:before="58"/>
        <w:ind w:left="501"/>
        <w:jc w:val="center"/>
        <w:rPr>
          <w:rFonts w:ascii="Trebuchet MS"/>
          <w:sz w:val="18"/>
        </w:rPr>
      </w:pPr>
      <w:r>
        <w:rPr>
          <w:rFonts w:ascii="Trebuchet MS"/>
          <w:color w:val="231F20"/>
          <w:sz w:val="18"/>
        </w:rPr>
        <w:t>44 page pamphlet</w:t>
      </w:r>
    </w:p>
    <w:p w14:paraId="4B953C27" w14:textId="77777777" w:rsidR="002653E8" w:rsidRDefault="00000000">
      <w:pPr>
        <w:pStyle w:val="a3"/>
        <w:spacing w:before="5"/>
        <w:rPr>
          <w:rFonts w:ascii="Trebuchet MS"/>
          <w:sz w:val="12"/>
        </w:rPr>
      </w:pPr>
      <w:r>
        <w:rPr>
          <w:noProof w:val="0"/>
        </w:rPr>
        <w:pict w14:anchorId="41A0ABA1">
          <v:line id="_x0000_s2051" style="position:absolute;z-index:12664;mso-wrap-distance-left:0;mso-wrap-distance-right:0;mso-position-horizontal-relative:page" from="192.4pt,9.45pt" to="374.6pt,9.45pt" strokecolor="#231f20" strokeweight=".5pt">
            <w10:wrap type="topAndBottom" anchorx="page"/>
          </v:line>
        </w:pict>
      </w:r>
    </w:p>
    <w:p w14:paraId="373181AE" w14:textId="77777777" w:rsidR="002653E8" w:rsidRDefault="003115E3">
      <w:pPr>
        <w:spacing w:before="134"/>
        <w:ind w:left="3847"/>
        <w:rPr>
          <w:rFonts w:ascii="Trebuchet MS"/>
          <w:sz w:val="21"/>
        </w:rPr>
      </w:pPr>
      <w:r>
        <w:rPr>
          <w:rFonts w:ascii="Trebuchet MS"/>
          <w:color w:val="231F20"/>
          <w:sz w:val="21"/>
        </w:rPr>
        <w:t>$3.00</w:t>
      </w:r>
    </w:p>
    <w:p w14:paraId="0148BE11" w14:textId="77777777" w:rsidR="002653E8" w:rsidRDefault="003115E3">
      <w:pPr>
        <w:spacing w:before="75"/>
        <w:ind w:left="1327" w:right="1148"/>
        <w:rPr>
          <w:rFonts w:ascii="Tahoma" w:hAnsi="Tahoma"/>
          <w:sz w:val="16"/>
        </w:rPr>
      </w:pPr>
      <w:r>
        <w:rPr>
          <w:rFonts w:ascii="Tahoma" w:hAnsi="Tahoma"/>
          <w:color w:val="231F20"/>
          <w:sz w:val="16"/>
        </w:rPr>
        <w:t xml:space="preserve">Stefan Wisniewski joined the Red Army Faction shortly after the death of a </w:t>
      </w:r>
      <w:r w:rsidR="00C507A5">
        <w:rPr>
          <w:rFonts w:ascii="Tahoma" w:hAnsi="Tahoma"/>
          <w:color w:val="231F20"/>
          <w:sz w:val="16"/>
        </w:rPr>
        <w:t>red army faction</w:t>
      </w:r>
      <w:r>
        <w:rPr>
          <w:rFonts w:ascii="Tahoma" w:hAnsi="Tahoma"/>
          <w:color w:val="231F20"/>
          <w:sz w:val="16"/>
        </w:rPr>
        <w:t xml:space="preserve"> prisoner in 1974. By 1977, he was participating in a campaign of assassination and kidnapping that would shake Germany to its core. In this candid interview, conducted in 1997, he looks back on his generation’s revolt and the </w:t>
      </w:r>
      <w:r w:rsidR="00C507A5">
        <w:rPr>
          <w:rFonts w:ascii="Tahoma" w:hAnsi="Tahoma"/>
          <w:color w:val="231F20"/>
          <w:sz w:val="16"/>
        </w:rPr>
        <w:t>red army faction</w:t>
      </w:r>
      <w:r>
        <w:rPr>
          <w:rFonts w:ascii="Tahoma" w:hAnsi="Tahoma"/>
          <w:color w:val="231F20"/>
          <w:sz w:val="16"/>
        </w:rPr>
        <w:t>, while honestly grappling with the errors the guerilla committed during its struggle against imperialism.</w:t>
      </w:r>
    </w:p>
    <w:p w14:paraId="5EB03B16" w14:textId="77777777" w:rsidR="002653E8" w:rsidRDefault="00000000">
      <w:pPr>
        <w:pStyle w:val="a3"/>
        <w:spacing w:before="7"/>
        <w:rPr>
          <w:rFonts w:ascii="Tahoma"/>
          <w:sz w:val="23"/>
        </w:rPr>
      </w:pPr>
      <w:r>
        <w:rPr>
          <w:noProof w:val="0"/>
        </w:rPr>
        <w:pict w14:anchorId="4BE506F8">
          <v:shape id="_x0000_s2050" type="#_x0000_t202" style="position:absolute;margin-left:66.75pt;margin-top:15.45pt;width:307.5pt;height:31.55pt;z-index:12688;mso-wrap-distance-left:0;mso-wrap-distance-right:0;mso-position-horizontal-relative:page" fillcolor="#d1d3d4" stroked="f">
            <v:textbox inset="0,0,0,0">
              <w:txbxContent>
                <w:p w14:paraId="62B1325C" w14:textId="77777777" w:rsidR="001008C3" w:rsidRDefault="001008C3">
                  <w:pPr>
                    <w:pStyle w:val="a3"/>
                    <w:spacing w:before="46" w:line="198" w:lineRule="exact"/>
                    <w:jc w:val="center"/>
                    <w:rPr>
                      <w:rFonts w:ascii="Times New Roman"/>
                    </w:rPr>
                  </w:pPr>
                  <w:r>
                    <w:rPr>
                      <w:rFonts w:ascii="Times New Roman"/>
                      <w:color w:val="231F20"/>
                      <w:w w:val="75"/>
                    </w:rPr>
                    <w:t>KERSPLEBEDEB, CP 63560, CCCP VAN HORNE, MONTREAL, QUEBEC, CANADA H3W 3H8</w:t>
                  </w:r>
                </w:p>
                <w:p w14:paraId="42E5E0D1" w14:textId="77777777" w:rsidR="001008C3" w:rsidRDefault="00000000">
                  <w:pPr>
                    <w:spacing w:line="341" w:lineRule="exact"/>
                    <w:jc w:val="center"/>
                    <w:rPr>
                      <w:rFonts w:ascii="Times New Roman" w:hAnsi="Times New Roman"/>
                      <w:sz w:val="19"/>
                    </w:rPr>
                  </w:pPr>
                  <w:hyperlink r:id="rId674">
                    <w:r w:rsidR="001008C3">
                      <w:rPr>
                        <w:rFonts w:ascii="Times New Roman" w:hAnsi="Times New Roman"/>
                        <w:color w:val="231F20"/>
                        <w:w w:val="68"/>
                        <w:sz w:val="19"/>
                      </w:rPr>
                      <w:t>iN</w:t>
                    </w:r>
                    <w:r w:rsidR="001008C3">
                      <w:rPr>
                        <w:rFonts w:ascii="Times New Roman" w:hAnsi="Times New Roman"/>
                        <w:color w:val="231F20"/>
                        <w:spacing w:val="-1"/>
                        <w:w w:val="124"/>
                        <w:sz w:val="19"/>
                      </w:rPr>
                      <w:t>f</w:t>
                    </w:r>
                    <w:r w:rsidR="001008C3">
                      <w:rPr>
                        <w:rFonts w:ascii="Times New Roman" w:hAnsi="Times New Roman"/>
                        <w:color w:val="231F20"/>
                        <w:spacing w:val="-1"/>
                        <w:w w:val="73"/>
                        <w:sz w:val="19"/>
                      </w:rPr>
                      <w:t>O</w:t>
                    </w:r>
                    <w:r w:rsidR="001008C3">
                      <w:rPr>
                        <w:rFonts w:ascii="Times New Roman" w:hAnsi="Times New Roman"/>
                        <w:color w:val="231F20"/>
                        <w:w w:val="70"/>
                        <w:sz w:val="28"/>
                      </w:rPr>
                      <w:t>@</w:t>
                    </w:r>
                    <w:r w:rsidR="001008C3">
                      <w:rPr>
                        <w:rFonts w:ascii="Times New Roman" w:hAnsi="Times New Roman"/>
                        <w:color w:val="231F20"/>
                        <w:spacing w:val="-1"/>
                        <w:w w:val="62"/>
                        <w:sz w:val="19"/>
                      </w:rPr>
                      <w:t>K</w:t>
                    </w:r>
                    <w:r w:rsidR="001008C3">
                      <w:rPr>
                        <w:rFonts w:ascii="Times New Roman" w:hAnsi="Times New Roman"/>
                        <w:color w:val="231F20"/>
                        <w:spacing w:val="-1"/>
                        <w:w w:val="74"/>
                        <w:sz w:val="19"/>
                      </w:rPr>
                      <w:t>E</w:t>
                    </w:r>
                    <w:r w:rsidR="001008C3">
                      <w:rPr>
                        <w:rFonts w:ascii="Times New Roman" w:hAnsi="Times New Roman"/>
                        <w:color w:val="231F20"/>
                        <w:w w:val="73"/>
                        <w:sz w:val="19"/>
                      </w:rPr>
                      <w:t>R</w:t>
                    </w:r>
                    <w:r w:rsidR="001008C3">
                      <w:rPr>
                        <w:rFonts w:ascii="Times New Roman" w:hAnsi="Times New Roman"/>
                        <w:color w:val="231F20"/>
                        <w:spacing w:val="-1"/>
                        <w:w w:val="81"/>
                        <w:sz w:val="19"/>
                      </w:rPr>
                      <w:t>SP</w:t>
                    </w:r>
                    <w:r w:rsidR="001008C3">
                      <w:rPr>
                        <w:rFonts w:ascii="Times New Roman" w:hAnsi="Times New Roman"/>
                        <w:color w:val="231F20"/>
                        <w:spacing w:val="-1"/>
                        <w:w w:val="62"/>
                        <w:sz w:val="19"/>
                      </w:rPr>
                      <w:t>L</w:t>
                    </w:r>
                    <w:r w:rsidR="001008C3">
                      <w:rPr>
                        <w:rFonts w:ascii="Times New Roman" w:hAnsi="Times New Roman"/>
                        <w:color w:val="231F20"/>
                        <w:spacing w:val="-1"/>
                        <w:w w:val="74"/>
                        <w:sz w:val="19"/>
                      </w:rPr>
                      <w:t>E</w:t>
                    </w:r>
                    <w:r w:rsidR="001008C3">
                      <w:rPr>
                        <w:rFonts w:ascii="Times New Roman" w:hAnsi="Times New Roman"/>
                        <w:color w:val="231F20"/>
                        <w:spacing w:val="-1"/>
                        <w:w w:val="68"/>
                        <w:sz w:val="19"/>
                      </w:rPr>
                      <w:t>B</w:t>
                    </w:r>
                    <w:r w:rsidR="001008C3">
                      <w:rPr>
                        <w:rFonts w:ascii="Times New Roman" w:hAnsi="Times New Roman"/>
                        <w:color w:val="231F20"/>
                        <w:spacing w:val="-1"/>
                        <w:w w:val="74"/>
                        <w:sz w:val="19"/>
                      </w:rPr>
                      <w:t>E</w:t>
                    </w:r>
                    <w:r w:rsidR="001008C3">
                      <w:rPr>
                        <w:rFonts w:ascii="Times New Roman" w:hAnsi="Times New Roman"/>
                        <w:color w:val="231F20"/>
                        <w:spacing w:val="-1"/>
                        <w:w w:val="68"/>
                        <w:sz w:val="19"/>
                      </w:rPr>
                      <w:t>D</w:t>
                    </w:r>
                    <w:r w:rsidR="001008C3">
                      <w:rPr>
                        <w:rFonts w:ascii="Times New Roman" w:hAnsi="Times New Roman"/>
                        <w:color w:val="231F20"/>
                        <w:spacing w:val="-1"/>
                        <w:w w:val="74"/>
                        <w:sz w:val="19"/>
                      </w:rPr>
                      <w:t>E</w:t>
                    </w:r>
                    <w:r w:rsidR="001008C3">
                      <w:rPr>
                        <w:rFonts w:ascii="Times New Roman" w:hAnsi="Times New Roman"/>
                        <w:color w:val="231F20"/>
                        <w:w w:val="68"/>
                        <w:sz w:val="19"/>
                      </w:rPr>
                      <w:t>B</w:t>
                    </w:r>
                    <w:r w:rsidR="001008C3">
                      <w:rPr>
                        <w:rFonts w:ascii="Times New Roman" w:hAnsi="Times New Roman"/>
                        <w:color w:val="231F20"/>
                        <w:sz w:val="28"/>
                      </w:rPr>
                      <w:t>.</w:t>
                    </w:r>
                    <w:r w:rsidR="001008C3">
                      <w:rPr>
                        <w:rFonts w:ascii="Times New Roman" w:hAnsi="Times New Roman"/>
                        <w:color w:val="231F20"/>
                        <w:spacing w:val="-1"/>
                        <w:w w:val="73"/>
                        <w:sz w:val="19"/>
                      </w:rPr>
                      <w:t>C</w:t>
                    </w:r>
                    <w:r w:rsidR="001008C3">
                      <w:rPr>
                        <w:rFonts w:ascii="Times New Roman" w:hAnsi="Times New Roman"/>
                        <w:color w:val="231F20"/>
                        <w:w w:val="73"/>
                        <w:sz w:val="19"/>
                      </w:rPr>
                      <w:t>O</w:t>
                    </w:r>
                    <w:r w:rsidR="001008C3">
                      <w:rPr>
                        <w:rFonts w:ascii="Times New Roman" w:hAnsi="Times New Roman"/>
                        <w:color w:val="231F20"/>
                        <w:w w:val="63"/>
                        <w:sz w:val="19"/>
                      </w:rPr>
                      <w:t>M</w:t>
                    </w:r>
                  </w:hyperlink>
                  <w:r w:rsidR="001008C3">
                    <w:rPr>
                      <w:rFonts w:ascii="Times New Roman" w:hAnsi="Times New Roman"/>
                      <w:color w:val="231F20"/>
                      <w:sz w:val="19"/>
                    </w:rPr>
                    <w:t xml:space="preserve"> </w:t>
                  </w:r>
                  <w:r w:rsidR="001008C3">
                    <w:rPr>
                      <w:rFonts w:ascii="Times New Roman" w:hAnsi="Times New Roman"/>
                      <w:color w:val="231F20"/>
                      <w:spacing w:val="5"/>
                      <w:sz w:val="19"/>
                    </w:rPr>
                    <w:t xml:space="preserve"> </w:t>
                  </w:r>
                  <w:r w:rsidR="001008C3">
                    <w:rPr>
                      <w:rFonts w:ascii="Palatino Linotype" w:hAnsi="Palatino Linotype"/>
                      <w:color w:val="231F20"/>
                      <w:position w:val="-3"/>
                      <w:sz w:val="24"/>
                    </w:rPr>
                    <w:t xml:space="preserve">• </w:t>
                  </w:r>
                  <w:r w:rsidR="001008C3">
                    <w:rPr>
                      <w:rFonts w:ascii="Palatino Linotype" w:hAnsi="Palatino Linotype"/>
                      <w:color w:val="231F20"/>
                      <w:spacing w:val="2"/>
                      <w:position w:val="-3"/>
                      <w:sz w:val="24"/>
                    </w:rPr>
                    <w:t xml:space="preserve"> </w:t>
                  </w:r>
                  <w:hyperlink r:id="rId675">
                    <w:r w:rsidR="001008C3">
                      <w:rPr>
                        <w:rFonts w:ascii="Times New Roman" w:hAnsi="Times New Roman"/>
                        <w:color w:val="231F20"/>
                        <w:spacing w:val="-1"/>
                        <w:w w:val="68"/>
                        <w:sz w:val="19"/>
                      </w:rPr>
                      <w:t>WW</w:t>
                    </w:r>
                    <w:r w:rsidR="001008C3">
                      <w:rPr>
                        <w:rFonts w:ascii="Times New Roman" w:hAnsi="Times New Roman"/>
                        <w:color w:val="231F20"/>
                        <w:w w:val="68"/>
                        <w:sz w:val="19"/>
                      </w:rPr>
                      <w:t>W</w:t>
                    </w:r>
                    <w:r w:rsidR="001008C3">
                      <w:rPr>
                        <w:rFonts w:ascii="Times New Roman" w:hAnsi="Times New Roman"/>
                        <w:color w:val="231F20"/>
                        <w:sz w:val="28"/>
                      </w:rPr>
                      <w:t>.</w:t>
                    </w:r>
                    <w:r w:rsidR="001008C3">
                      <w:rPr>
                        <w:rFonts w:ascii="Times New Roman" w:hAnsi="Times New Roman"/>
                        <w:color w:val="231F20"/>
                        <w:spacing w:val="-1"/>
                        <w:w w:val="62"/>
                        <w:sz w:val="19"/>
                      </w:rPr>
                      <w:t>K</w:t>
                    </w:r>
                    <w:r w:rsidR="001008C3">
                      <w:rPr>
                        <w:rFonts w:ascii="Times New Roman" w:hAnsi="Times New Roman"/>
                        <w:color w:val="231F20"/>
                        <w:spacing w:val="-1"/>
                        <w:w w:val="74"/>
                        <w:sz w:val="19"/>
                      </w:rPr>
                      <w:t>E</w:t>
                    </w:r>
                    <w:r w:rsidR="001008C3">
                      <w:rPr>
                        <w:rFonts w:ascii="Times New Roman" w:hAnsi="Times New Roman"/>
                        <w:color w:val="231F20"/>
                        <w:w w:val="73"/>
                        <w:sz w:val="19"/>
                      </w:rPr>
                      <w:t>R</w:t>
                    </w:r>
                    <w:r w:rsidR="001008C3">
                      <w:rPr>
                        <w:rFonts w:ascii="Times New Roman" w:hAnsi="Times New Roman"/>
                        <w:color w:val="231F20"/>
                        <w:spacing w:val="-1"/>
                        <w:w w:val="81"/>
                        <w:sz w:val="19"/>
                      </w:rPr>
                      <w:t>SP</w:t>
                    </w:r>
                    <w:r w:rsidR="001008C3">
                      <w:rPr>
                        <w:rFonts w:ascii="Times New Roman" w:hAnsi="Times New Roman"/>
                        <w:color w:val="231F20"/>
                        <w:spacing w:val="-1"/>
                        <w:w w:val="62"/>
                        <w:sz w:val="19"/>
                      </w:rPr>
                      <w:t>L</w:t>
                    </w:r>
                    <w:r w:rsidR="001008C3">
                      <w:rPr>
                        <w:rFonts w:ascii="Times New Roman" w:hAnsi="Times New Roman"/>
                        <w:color w:val="231F20"/>
                        <w:spacing w:val="-1"/>
                        <w:w w:val="74"/>
                        <w:sz w:val="19"/>
                      </w:rPr>
                      <w:t>E</w:t>
                    </w:r>
                    <w:r w:rsidR="001008C3">
                      <w:rPr>
                        <w:rFonts w:ascii="Times New Roman" w:hAnsi="Times New Roman"/>
                        <w:color w:val="231F20"/>
                        <w:spacing w:val="-1"/>
                        <w:w w:val="68"/>
                        <w:sz w:val="19"/>
                      </w:rPr>
                      <w:t>B</w:t>
                    </w:r>
                    <w:r w:rsidR="001008C3">
                      <w:rPr>
                        <w:rFonts w:ascii="Times New Roman" w:hAnsi="Times New Roman"/>
                        <w:color w:val="231F20"/>
                        <w:spacing w:val="-1"/>
                        <w:w w:val="74"/>
                        <w:sz w:val="19"/>
                      </w:rPr>
                      <w:t>E</w:t>
                    </w:r>
                    <w:r w:rsidR="001008C3">
                      <w:rPr>
                        <w:rFonts w:ascii="Times New Roman" w:hAnsi="Times New Roman"/>
                        <w:color w:val="231F20"/>
                        <w:spacing w:val="-1"/>
                        <w:w w:val="68"/>
                        <w:sz w:val="19"/>
                      </w:rPr>
                      <w:t>D</w:t>
                    </w:r>
                    <w:r w:rsidR="001008C3">
                      <w:rPr>
                        <w:rFonts w:ascii="Times New Roman" w:hAnsi="Times New Roman"/>
                        <w:color w:val="231F20"/>
                        <w:spacing w:val="-1"/>
                        <w:w w:val="74"/>
                        <w:sz w:val="19"/>
                      </w:rPr>
                      <w:t>E</w:t>
                    </w:r>
                    <w:r w:rsidR="001008C3">
                      <w:rPr>
                        <w:rFonts w:ascii="Times New Roman" w:hAnsi="Times New Roman"/>
                        <w:color w:val="231F20"/>
                        <w:w w:val="68"/>
                        <w:sz w:val="19"/>
                      </w:rPr>
                      <w:t>B</w:t>
                    </w:r>
                    <w:r w:rsidR="001008C3">
                      <w:rPr>
                        <w:rFonts w:ascii="Times New Roman" w:hAnsi="Times New Roman"/>
                        <w:color w:val="231F20"/>
                        <w:sz w:val="28"/>
                      </w:rPr>
                      <w:t>.</w:t>
                    </w:r>
                    <w:r w:rsidR="001008C3">
                      <w:rPr>
                        <w:rFonts w:ascii="Times New Roman" w:hAnsi="Times New Roman"/>
                        <w:color w:val="231F20"/>
                        <w:spacing w:val="-1"/>
                        <w:w w:val="73"/>
                        <w:sz w:val="19"/>
                      </w:rPr>
                      <w:t>C</w:t>
                    </w:r>
                    <w:r w:rsidR="001008C3">
                      <w:rPr>
                        <w:rFonts w:ascii="Times New Roman" w:hAnsi="Times New Roman"/>
                        <w:color w:val="231F20"/>
                        <w:w w:val="73"/>
                        <w:sz w:val="19"/>
                      </w:rPr>
                      <w:t>O</w:t>
                    </w:r>
                    <w:r w:rsidR="001008C3">
                      <w:rPr>
                        <w:rFonts w:ascii="Times New Roman" w:hAnsi="Times New Roman"/>
                        <w:color w:val="231F20"/>
                        <w:w w:val="63"/>
                        <w:sz w:val="19"/>
                      </w:rPr>
                      <w:t>M</w:t>
                    </w:r>
                  </w:hyperlink>
                </w:p>
              </w:txbxContent>
            </v:textbox>
            <w10:wrap type="topAndBottom" anchorx="page"/>
          </v:shape>
        </w:pict>
      </w:r>
    </w:p>
    <w:p w14:paraId="29D79B94" w14:textId="77777777" w:rsidR="002653E8" w:rsidRDefault="002653E8">
      <w:pPr>
        <w:rPr>
          <w:rFonts w:ascii="Tahoma"/>
          <w:sz w:val="23"/>
        </w:rPr>
        <w:sectPr w:rsidR="002653E8">
          <w:footerReference w:type="even" r:id="rId676"/>
          <w:pgSz w:w="8640" w:h="12960"/>
          <w:pgMar w:top="1000" w:right="0" w:bottom="280" w:left="0" w:header="0" w:footer="0" w:gutter="0"/>
          <w:cols w:space="720"/>
        </w:sectPr>
      </w:pPr>
    </w:p>
    <w:p w14:paraId="4F7840E0" w14:textId="77777777" w:rsidR="002653E8" w:rsidRDefault="002653E8">
      <w:pPr>
        <w:pStyle w:val="a3"/>
        <w:rPr>
          <w:rFonts w:ascii="Tahoma"/>
        </w:rPr>
      </w:pPr>
    </w:p>
    <w:p w14:paraId="535DAF7C" w14:textId="77777777" w:rsidR="002653E8" w:rsidRDefault="002653E8">
      <w:pPr>
        <w:pStyle w:val="a3"/>
        <w:rPr>
          <w:rFonts w:ascii="Tahoma"/>
        </w:rPr>
      </w:pPr>
    </w:p>
    <w:p w14:paraId="4C220748" w14:textId="77777777" w:rsidR="002653E8" w:rsidRDefault="002653E8">
      <w:pPr>
        <w:pStyle w:val="a3"/>
        <w:rPr>
          <w:rFonts w:ascii="Tahoma"/>
        </w:rPr>
      </w:pPr>
    </w:p>
    <w:p w14:paraId="507E29D3" w14:textId="77777777" w:rsidR="002653E8" w:rsidRDefault="002653E8">
      <w:pPr>
        <w:pStyle w:val="a3"/>
        <w:rPr>
          <w:rFonts w:ascii="Tahoma"/>
        </w:rPr>
      </w:pPr>
    </w:p>
    <w:p w14:paraId="1317673C" w14:textId="77777777" w:rsidR="002653E8" w:rsidRDefault="002653E8">
      <w:pPr>
        <w:pStyle w:val="a3"/>
        <w:rPr>
          <w:rFonts w:ascii="Tahoma"/>
        </w:rPr>
      </w:pPr>
    </w:p>
    <w:p w14:paraId="03E02BA3" w14:textId="77777777" w:rsidR="002653E8" w:rsidRDefault="002653E8">
      <w:pPr>
        <w:pStyle w:val="a3"/>
        <w:rPr>
          <w:rFonts w:ascii="Tahoma"/>
        </w:rPr>
      </w:pPr>
    </w:p>
    <w:p w14:paraId="49F6C097" w14:textId="77777777" w:rsidR="002653E8" w:rsidRDefault="002653E8">
      <w:pPr>
        <w:pStyle w:val="a3"/>
        <w:rPr>
          <w:rFonts w:ascii="Tahoma"/>
        </w:rPr>
      </w:pPr>
    </w:p>
    <w:p w14:paraId="1A47396C" w14:textId="77777777" w:rsidR="002653E8" w:rsidRDefault="002653E8">
      <w:pPr>
        <w:pStyle w:val="a3"/>
        <w:rPr>
          <w:rFonts w:ascii="Tahoma"/>
        </w:rPr>
      </w:pPr>
    </w:p>
    <w:p w14:paraId="3972B289" w14:textId="77777777" w:rsidR="002653E8" w:rsidRDefault="002653E8">
      <w:pPr>
        <w:pStyle w:val="a3"/>
        <w:rPr>
          <w:rFonts w:ascii="Tahoma"/>
        </w:rPr>
      </w:pPr>
    </w:p>
    <w:p w14:paraId="0038047F" w14:textId="77777777" w:rsidR="002653E8" w:rsidRDefault="002653E8">
      <w:pPr>
        <w:pStyle w:val="a3"/>
        <w:rPr>
          <w:rFonts w:ascii="Tahoma"/>
        </w:rPr>
      </w:pPr>
    </w:p>
    <w:p w14:paraId="00111DA2" w14:textId="77777777" w:rsidR="002653E8" w:rsidRDefault="002653E8">
      <w:pPr>
        <w:pStyle w:val="a3"/>
        <w:rPr>
          <w:rFonts w:ascii="Tahoma"/>
        </w:rPr>
      </w:pPr>
    </w:p>
    <w:p w14:paraId="2BAA8AC0" w14:textId="77777777" w:rsidR="002653E8" w:rsidRDefault="002653E8">
      <w:pPr>
        <w:pStyle w:val="a3"/>
        <w:rPr>
          <w:rFonts w:ascii="Tahoma"/>
        </w:rPr>
      </w:pPr>
    </w:p>
    <w:p w14:paraId="4899A0C2" w14:textId="77777777" w:rsidR="002653E8" w:rsidRDefault="002653E8">
      <w:pPr>
        <w:pStyle w:val="a3"/>
        <w:rPr>
          <w:rFonts w:ascii="Tahoma"/>
        </w:rPr>
      </w:pPr>
    </w:p>
    <w:p w14:paraId="48B90EB7" w14:textId="77777777" w:rsidR="002653E8" w:rsidRDefault="002653E8">
      <w:pPr>
        <w:pStyle w:val="a3"/>
        <w:rPr>
          <w:rFonts w:ascii="Tahoma"/>
        </w:rPr>
      </w:pPr>
    </w:p>
    <w:p w14:paraId="7E764CF5" w14:textId="77777777" w:rsidR="002653E8" w:rsidRDefault="002653E8">
      <w:pPr>
        <w:pStyle w:val="a3"/>
        <w:spacing w:before="11"/>
        <w:rPr>
          <w:rFonts w:ascii="Tahoma"/>
          <w:sz w:val="19"/>
        </w:rPr>
      </w:pPr>
    </w:p>
    <w:p w14:paraId="1B7341FA" w14:textId="77777777" w:rsidR="002653E8" w:rsidRDefault="003115E3">
      <w:pPr>
        <w:spacing w:before="102"/>
        <w:ind w:left="2824"/>
        <w:rPr>
          <w:sz w:val="26"/>
        </w:rPr>
      </w:pPr>
      <w:r>
        <w:rPr>
          <w:color w:val="231F20"/>
          <w:w w:val="125"/>
          <w:sz w:val="26"/>
        </w:rPr>
        <w:t>germanguerilla.com</w:t>
      </w:r>
    </w:p>
    <w:p w14:paraId="2FB6C7BF" w14:textId="77777777" w:rsidR="002653E8" w:rsidRDefault="003115E3">
      <w:pPr>
        <w:spacing w:before="155" w:line="290" w:lineRule="auto"/>
        <w:ind w:left="2800" w:right="2979"/>
        <w:jc w:val="center"/>
        <w:rPr>
          <w:sz w:val="18"/>
        </w:rPr>
      </w:pPr>
      <w:r>
        <w:rPr>
          <w:color w:val="231F20"/>
          <w:sz w:val="18"/>
        </w:rPr>
        <w:t>Many of the texts in this book—as well as supporting documents providing added contextualization— were first published to this website, devoted to archiving documents and analysis about the urban guerilla in the Federal Republic of Germany.</w:t>
      </w:r>
    </w:p>
    <w:p w14:paraId="1219BF82" w14:textId="77777777" w:rsidR="002653E8" w:rsidRDefault="003115E3">
      <w:pPr>
        <w:spacing w:before="133" w:line="290" w:lineRule="auto"/>
        <w:ind w:left="2608" w:right="2787"/>
        <w:jc w:val="center"/>
        <w:rPr>
          <w:sz w:val="18"/>
        </w:rPr>
      </w:pPr>
      <w:r>
        <w:rPr>
          <w:color w:val="231F20"/>
          <w:sz w:val="18"/>
        </w:rPr>
        <w:t>Come by and visit to see as our work proceeds on our second volume.</w:t>
      </w:r>
    </w:p>
    <w:sectPr w:rsidR="002653E8">
      <w:footerReference w:type="default" r:id="rId677"/>
      <w:pgSz w:w="8640" w:h="12960"/>
      <w:pgMar w:top="1220" w:right="0" w:bottom="28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23B5E" w14:textId="77777777" w:rsidR="00BF4A94" w:rsidRDefault="00BF4A94">
      <w:r>
        <w:separator/>
      </w:r>
    </w:p>
  </w:endnote>
  <w:endnote w:type="continuationSeparator" w:id="0">
    <w:p w14:paraId="19324207" w14:textId="77777777" w:rsidR="00BF4A94" w:rsidRDefault="00BF4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890F4" w14:textId="77777777" w:rsidR="001008C3" w:rsidRDefault="00000000">
    <w:pPr>
      <w:pStyle w:val="a3"/>
      <w:spacing w:line="14" w:lineRule="auto"/>
    </w:pPr>
    <w:r>
      <w:rPr>
        <w:noProof w:val="0"/>
      </w:rPr>
      <w:pict w14:anchorId="6514C886">
        <v:shapetype id="_x0000_t202" coordsize="21600,21600" o:spt="202" path="m,l,21600r21600,l21600,xe">
          <v:stroke joinstyle="miter"/>
          <v:path gradientshapeok="t" o:connecttype="rect"/>
        </v:shapetype>
        <v:shape id="_x0000_s1731" type="#_x0000_t202" style="position:absolute;margin-left:362.35pt;margin-top:594.5pt;width:14.55pt;height:12.55pt;z-index:-463600;mso-position-horizontal-relative:page;mso-position-vertical-relative:page" filled="f" stroked="f">
          <v:textbox inset="0,0,0,0">
            <w:txbxContent>
              <w:p w14:paraId="5C0D5AD4" w14:textId="77777777" w:rsidR="001008C3" w:rsidRDefault="001008C3">
                <w:pPr>
                  <w:spacing w:before="19"/>
                  <w:ind w:left="20"/>
                  <w:rPr>
                    <w:sz w:val="18"/>
                  </w:rPr>
                </w:pPr>
                <w:r>
                  <w:rPr>
                    <w:color w:val="231F20"/>
                    <w:w w:val="115"/>
                    <w:sz w:val="18"/>
                  </w:rPr>
                  <w:t>xv</w:t>
                </w:r>
                <w:r>
                  <w:rPr>
                    <w:color w:val="231F20"/>
                    <w:sz w:val="18"/>
                  </w:rPr>
                  <w:t xml:space="preserve"> </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C078C" w14:textId="77777777" w:rsidR="001008C3" w:rsidRDefault="00000000">
    <w:pPr>
      <w:pStyle w:val="a3"/>
      <w:spacing w:line="14" w:lineRule="auto"/>
    </w:pPr>
    <w:r>
      <w:rPr>
        <w:noProof w:val="0"/>
      </w:rPr>
      <w:pict w14:anchorId="06C167DD">
        <v:shapetype id="_x0000_t202" coordsize="21600,21600" o:spt="202" path="m,l,21600r21600,l21600,xe">
          <v:stroke joinstyle="miter"/>
          <v:path gradientshapeok="t" o:connecttype="rect"/>
        </v:shapetype>
        <v:shape id="_x0000_s1724" type="#_x0000_t202" style="position:absolute;margin-left:56.4pt;margin-top:594.5pt;width:23pt;height:12.55pt;z-index:-463432;mso-position-horizontal-relative:page;mso-position-vertical-relative:page" filled="f" stroked="f">
          <v:textbox inset="0,0,0,0">
            <w:txbxContent>
              <w:p w14:paraId="78FEAA86" w14:textId="77777777" w:rsidR="001008C3" w:rsidRDefault="001008C3">
                <w:pPr>
                  <w:spacing w:before="19"/>
                  <w:ind w:left="20"/>
                  <w:rPr>
                    <w:sz w:val="18"/>
                  </w:rPr>
                </w:pPr>
                <w:r>
                  <w:rPr>
                    <w:color w:val="231F20"/>
                    <w:w w:val="115"/>
                    <w:sz w:val="18"/>
                  </w:rPr>
                  <w:t>xxii</w:t>
                </w:r>
                <w:r>
                  <w:rPr>
                    <w:color w:val="231F20"/>
                    <w:sz w:val="18"/>
                  </w:rPr>
                  <w:t xml:space="preserve"> </w:t>
                </w:r>
              </w:p>
            </w:txbxContent>
          </v:textbox>
          <w10:wrap anchorx="page" anchory="page"/>
        </v:shape>
      </w:pic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A50AC" w14:textId="77777777" w:rsidR="001008C3" w:rsidRDefault="00000000">
    <w:pPr>
      <w:pStyle w:val="a3"/>
      <w:spacing w:line="14" w:lineRule="auto"/>
    </w:pPr>
    <w:r>
      <w:rPr>
        <w:noProof w:val="0"/>
      </w:rPr>
      <w:pict w14:anchorId="3A081F11">
        <v:shapetype id="_x0000_t202" coordsize="21600,21600" o:spt="202" path="m,l,21600r21600,l21600,xe">
          <v:stroke joinstyle="miter"/>
          <v:path gradientshapeok="t" o:connecttype="rect"/>
        </v:shapetype>
        <v:shape id="_x0000_s1552" type="#_x0000_t202" style="position:absolute;margin-left:55.4pt;margin-top:594.5pt;width:22.8pt;height:12.55pt;z-index:-459304;mso-position-horizontal-relative:page;mso-position-vertical-relative:page" filled="f" stroked="f">
          <v:textbox inset="0,0,0,0">
            <w:txbxContent>
              <w:p w14:paraId="779E6CE9" w14:textId="77777777" w:rsidR="001008C3" w:rsidRDefault="001008C3">
                <w:pPr>
                  <w:spacing w:before="19"/>
                  <w:ind w:left="40"/>
                  <w:rPr>
                    <w:sz w:val="18"/>
                  </w:rPr>
                </w:pPr>
                <w:r>
                  <w:rPr>
                    <w:color w:val="231F20"/>
                    <w:sz w:val="18"/>
                  </w:rPr>
                  <w:t xml:space="preserve">176 </w:t>
                </w:r>
              </w:p>
            </w:txbxContent>
          </v:textbox>
          <w10:wrap anchorx="page" anchory="page"/>
        </v:shape>
      </w:pict>
    </w:r>
    <w:r>
      <w:rPr>
        <w:noProof w:val="0"/>
      </w:rPr>
      <w:pict w14:anchorId="649C9FF2">
        <v:shape id="_x0000_s1551" type="#_x0000_t202" style="position:absolute;margin-left:105.55pt;margin-top:594.5pt;width:262.05pt;height:12.55pt;z-index:-459280;mso-position-horizontal-relative:page;mso-position-vertical-relative:page" filled="f" stroked="f">
          <v:textbox inset="0,0,0,0">
            <w:txbxContent>
              <w:p w14:paraId="0A8A85F3" w14:textId="77777777" w:rsidR="001008C3" w:rsidRDefault="001008C3">
                <w:pPr>
                  <w:tabs>
                    <w:tab w:val="left" w:pos="4990"/>
                  </w:tabs>
                  <w:spacing w:before="19"/>
                  <w:ind w:left="20"/>
                  <w:rPr>
                    <w:sz w:val="14"/>
                  </w:rPr>
                </w:pPr>
                <w:r>
                  <w:rPr>
                    <w:color w:val="231F20"/>
                    <w:spacing w:val="15"/>
                    <w:w w:val="110"/>
                    <w:sz w:val="18"/>
                  </w:rPr>
                  <w:t xml:space="preserve">the </w:t>
                </w:r>
                <w:r>
                  <w:rPr>
                    <w:color w:val="231F20"/>
                    <w:spacing w:val="75"/>
                    <w:w w:val="110"/>
                    <w:sz w:val="18"/>
                  </w:rPr>
                  <w:t xml:space="preserve"> </w:t>
                </w:r>
                <w:r>
                  <w:rPr>
                    <w:color w:val="231F20"/>
                    <w:spacing w:val="13"/>
                    <w:w w:val="110"/>
                    <w:sz w:val="18"/>
                  </w:rPr>
                  <w:t xml:space="preserve">may   </w:t>
                </w:r>
                <w:r>
                  <w:rPr>
                    <w:color w:val="231F20"/>
                    <w:spacing w:val="21"/>
                    <w:w w:val="110"/>
                    <w:sz w:val="18"/>
                  </w:rPr>
                  <w:t xml:space="preserve">offensive:  </w:t>
                </w:r>
                <w:r>
                  <w:rPr>
                    <w:color w:val="231F20"/>
                    <w:spacing w:val="20"/>
                    <w:w w:val="110"/>
                    <w:sz w:val="18"/>
                  </w:rPr>
                  <w:t xml:space="preserve">bringing  </w:t>
                </w:r>
                <w:r>
                  <w:rPr>
                    <w:color w:val="231F20"/>
                    <w:spacing w:val="15"/>
                    <w:w w:val="110"/>
                    <w:sz w:val="18"/>
                  </w:rPr>
                  <w:t>the</w:t>
                </w:r>
                <w:r>
                  <w:rPr>
                    <w:color w:val="231F20"/>
                    <w:spacing w:val="30"/>
                    <w:w w:val="110"/>
                    <w:sz w:val="18"/>
                  </w:rPr>
                  <w:t xml:space="preserve"> </w:t>
                </w:r>
                <w:r>
                  <w:rPr>
                    <w:color w:val="231F20"/>
                    <w:spacing w:val="12"/>
                    <w:w w:val="110"/>
                    <w:sz w:val="18"/>
                  </w:rPr>
                  <w:t xml:space="preserve">war </w:t>
                </w:r>
                <w:r>
                  <w:rPr>
                    <w:color w:val="231F20"/>
                    <w:spacing w:val="38"/>
                    <w:w w:val="110"/>
                    <w:sz w:val="18"/>
                  </w:rPr>
                  <w:t xml:space="preserve"> </w:t>
                </w:r>
                <w:r>
                  <w:rPr>
                    <w:color w:val="231F20"/>
                    <w:spacing w:val="17"/>
                    <w:w w:val="110"/>
                    <w:sz w:val="18"/>
                  </w:rPr>
                  <w:t>home</w:t>
                </w:r>
                <w:r>
                  <w:rPr>
                    <w:color w:val="231F20"/>
                    <w:spacing w:val="17"/>
                    <w:w w:val="110"/>
                    <w:sz w:val="18"/>
                  </w:rPr>
                  <w:tab/>
                </w:r>
                <w:r>
                  <w:rPr>
                    <w:color w:val="231F20"/>
                    <w:spacing w:val="11"/>
                    <w:w w:val="105"/>
                    <w:sz w:val="14"/>
                  </w:rPr>
                  <w:t>(5)</w:t>
                </w:r>
                <w:r>
                  <w:rPr>
                    <w:color w:val="231F20"/>
                    <w:spacing w:val="-12"/>
                    <w:sz w:val="14"/>
                  </w:rPr>
                  <w:t xml:space="preserve"> </w:t>
                </w:r>
              </w:p>
            </w:txbxContent>
          </v:textbox>
          <w10:wrap anchorx="page" anchory="page"/>
        </v:shape>
      </w:pic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4CD5A" w14:textId="77777777" w:rsidR="001008C3" w:rsidRDefault="00000000">
    <w:pPr>
      <w:pStyle w:val="a3"/>
      <w:spacing w:line="14" w:lineRule="auto"/>
    </w:pPr>
    <w:r>
      <w:rPr>
        <w:noProof w:val="0"/>
      </w:rPr>
      <w:pict w14:anchorId="67B0FFC5">
        <v:shapetype id="_x0000_t202" coordsize="21600,21600" o:spt="202" path="m,l,21600r21600,l21600,xe">
          <v:stroke joinstyle="miter"/>
          <v:path gradientshapeok="t" o:connecttype="rect"/>
        </v:shapetype>
        <v:shape id="_x0000_s1550" type="#_x0000_t202" style="position:absolute;margin-left:65.4pt;margin-top:594.5pt;width:248.85pt;height:12.55pt;z-index:-459256;mso-position-horizontal-relative:page;mso-position-vertical-relative:page" filled="f" stroked="f">
          <v:textbox style="mso-next-textbox:#_x0000_s1550" inset="0,0,0,0">
            <w:txbxContent>
              <w:p w14:paraId="0B991B6B" w14:textId="77777777" w:rsidR="001008C3" w:rsidRDefault="001008C3">
                <w:pPr>
                  <w:spacing w:before="19"/>
                  <w:ind w:left="20"/>
                  <w:rPr>
                    <w:sz w:val="18"/>
                  </w:rPr>
                </w:pPr>
                <w:r>
                  <w:rPr>
                    <w:color w:val="231F20"/>
                    <w:w w:val="115"/>
                    <w:sz w:val="18"/>
                  </w:rPr>
                  <w:t>may 1972 • attack on the springer building</w:t>
                </w:r>
                <w:r>
                  <w:rPr>
                    <w:color w:val="231F20"/>
                    <w:sz w:val="18"/>
                  </w:rPr>
                  <w:t xml:space="preserve"> </w:t>
                </w:r>
              </w:p>
            </w:txbxContent>
          </v:textbox>
          <w10:wrap anchorx="page" anchory="page"/>
        </v:shape>
      </w:pict>
    </w:r>
    <w:r>
      <w:rPr>
        <w:noProof w:val="0"/>
      </w:rPr>
      <w:pict w14:anchorId="0C51283F">
        <v:shape id="_x0000_s1549" type="#_x0000_t202" style="position:absolute;margin-left:356.1pt;margin-top:594.5pt;width:20.8pt;height:12.55pt;z-index:-459232;mso-position-horizontal-relative:page;mso-position-vertical-relative:page" filled="f" stroked="f">
          <v:textbox style="mso-next-textbox:#_x0000_s1549" inset="0,0,0,0">
            <w:txbxContent>
              <w:p w14:paraId="037A9148" w14:textId="77777777" w:rsidR="001008C3" w:rsidRDefault="001008C3">
                <w:pPr>
                  <w:spacing w:before="19"/>
                  <w:ind w:left="20"/>
                  <w:rPr>
                    <w:sz w:val="18"/>
                  </w:rPr>
                </w:pPr>
                <w:r>
                  <w:rPr>
                    <w:color w:val="231F20"/>
                    <w:sz w:val="18"/>
                  </w:rPr>
                  <w:t xml:space="preserve">177 </w:t>
                </w:r>
              </w:p>
            </w:txbxContent>
          </v:textbox>
          <w10:wrap anchorx="page" anchory="page"/>
        </v:shape>
      </w:pic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3DE68" w14:textId="77777777" w:rsidR="001008C3" w:rsidRDefault="00000000">
    <w:pPr>
      <w:pStyle w:val="a3"/>
      <w:spacing w:line="14" w:lineRule="auto"/>
    </w:pPr>
    <w:r>
      <w:rPr>
        <w:noProof w:val="0"/>
      </w:rPr>
      <w:pict w14:anchorId="2081C025">
        <v:shapetype id="_x0000_t202" coordsize="21600,21600" o:spt="202" path="m,l,21600r21600,l21600,xe">
          <v:stroke joinstyle="miter"/>
          <v:path gradientshapeok="t" o:connecttype="rect"/>
        </v:shapetype>
        <v:shape id="_x0000_s1548" type="#_x0000_t202" style="position:absolute;margin-left:55.4pt;margin-top:594.5pt;width:22.8pt;height:12.55pt;z-index:-459208;mso-position-horizontal-relative:page;mso-position-vertical-relative:page" filled="f" stroked="f">
          <v:textbox style="mso-next-textbox:#_x0000_s1548" inset="0,0,0,0">
            <w:txbxContent>
              <w:p w14:paraId="562E1E67" w14:textId="77777777" w:rsidR="001008C3" w:rsidRDefault="001008C3">
                <w:pPr>
                  <w:spacing w:before="19"/>
                  <w:ind w:left="40"/>
                  <w:rPr>
                    <w:sz w:val="18"/>
                  </w:rPr>
                </w:pPr>
                <w:r>
                  <w:rPr>
                    <w:color w:val="231F20"/>
                    <w:sz w:val="18"/>
                  </w:rPr>
                  <w:t xml:space="preserve">178 </w:t>
                </w:r>
              </w:p>
            </w:txbxContent>
          </v:textbox>
          <w10:wrap anchorx="page" anchory="page"/>
        </v:shape>
      </w:pict>
    </w:r>
    <w:r>
      <w:rPr>
        <w:noProof w:val="0"/>
      </w:rPr>
      <w:pict w14:anchorId="2CB51B51">
        <v:shape id="_x0000_s1547" type="#_x0000_t202" style="position:absolute;margin-left:105.55pt;margin-top:594.5pt;width:262.05pt;height:12.55pt;z-index:-459184;mso-position-horizontal-relative:page;mso-position-vertical-relative:page" filled="f" stroked="f">
          <v:textbox style="mso-next-textbox:#_x0000_s1547" inset="0,0,0,0">
            <w:txbxContent>
              <w:p w14:paraId="40C53AAE" w14:textId="77777777" w:rsidR="001008C3" w:rsidRDefault="001008C3">
                <w:pPr>
                  <w:tabs>
                    <w:tab w:val="left" w:pos="4990"/>
                  </w:tabs>
                  <w:spacing w:before="19"/>
                  <w:ind w:left="20"/>
                  <w:rPr>
                    <w:sz w:val="14"/>
                  </w:rPr>
                </w:pPr>
                <w:r>
                  <w:rPr>
                    <w:color w:val="231F20"/>
                    <w:spacing w:val="15"/>
                    <w:w w:val="110"/>
                    <w:sz w:val="18"/>
                  </w:rPr>
                  <w:t xml:space="preserve">the </w:t>
                </w:r>
                <w:r>
                  <w:rPr>
                    <w:color w:val="231F20"/>
                    <w:spacing w:val="75"/>
                    <w:w w:val="110"/>
                    <w:sz w:val="18"/>
                  </w:rPr>
                  <w:t xml:space="preserve"> </w:t>
                </w:r>
                <w:r>
                  <w:rPr>
                    <w:color w:val="231F20"/>
                    <w:spacing w:val="13"/>
                    <w:w w:val="110"/>
                    <w:sz w:val="18"/>
                  </w:rPr>
                  <w:t xml:space="preserve">may   </w:t>
                </w:r>
                <w:r>
                  <w:rPr>
                    <w:color w:val="231F20"/>
                    <w:spacing w:val="21"/>
                    <w:w w:val="110"/>
                    <w:sz w:val="18"/>
                  </w:rPr>
                  <w:t xml:space="preserve">offensive:  </w:t>
                </w:r>
                <w:r>
                  <w:rPr>
                    <w:color w:val="231F20"/>
                    <w:spacing w:val="20"/>
                    <w:w w:val="110"/>
                    <w:sz w:val="18"/>
                  </w:rPr>
                  <w:t xml:space="preserve">bringing  </w:t>
                </w:r>
                <w:r>
                  <w:rPr>
                    <w:color w:val="231F20"/>
                    <w:spacing w:val="15"/>
                    <w:w w:val="110"/>
                    <w:sz w:val="18"/>
                  </w:rPr>
                  <w:t>the</w:t>
                </w:r>
                <w:r>
                  <w:rPr>
                    <w:color w:val="231F20"/>
                    <w:spacing w:val="30"/>
                    <w:w w:val="110"/>
                    <w:sz w:val="18"/>
                  </w:rPr>
                  <w:t xml:space="preserve"> </w:t>
                </w:r>
                <w:r>
                  <w:rPr>
                    <w:color w:val="231F20"/>
                    <w:spacing w:val="12"/>
                    <w:w w:val="110"/>
                    <w:sz w:val="18"/>
                  </w:rPr>
                  <w:t xml:space="preserve">war </w:t>
                </w:r>
                <w:r>
                  <w:rPr>
                    <w:color w:val="231F20"/>
                    <w:spacing w:val="38"/>
                    <w:w w:val="110"/>
                    <w:sz w:val="18"/>
                  </w:rPr>
                  <w:t xml:space="preserve"> </w:t>
                </w:r>
                <w:r>
                  <w:rPr>
                    <w:color w:val="231F20"/>
                    <w:spacing w:val="17"/>
                    <w:w w:val="110"/>
                    <w:sz w:val="18"/>
                  </w:rPr>
                  <w:t>home</w:t>
                </w:r>
                <w:r>
                  <w:rPr>
                    <w:color w:val="231F20"/>
                    <w:spacing w:val="17"/>
                    <w:w w:val="110"/>
                    <w:sz w:val="18"/>
                  </w:rPr>
                  <w:tab/>
                </w:r>
                <w:r>
                  <w:rPr>
                    <w:color w:val="231F20"/>
                    <w:spacing w:val="11"/>
                    <w:w w:val="105"/>
                    <w:sz w:val="14"/>
                  </w:rPr>
                  <w:t>(5)</w:t>
                </w:r>
                <w:r>
                  <w:rPr>
                    <w:color w:val="231F20"/>
                    <w:spacing w:val="-12"/>
                    <w:sz w:val="14"/>
                  </w:rPr>
                  <w:t xml:space="preserve"> </w:t>
                </w:r>
              </w:p>
            </w:txbxContent>
          </v:textbox>
          <w10:wrap anchorx="page" anchory="page"/>
        </v:shape>
      </w:pic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CD977" w14:textId="77777777" w:rsidR="001008C3" w:rsidRDefault="00000000">
    <w:pPr>
      <w:pStyle w:val="a3"/>
      <w:spacing w:line="14" w:lineRule="auto"/>
    </w:pPr>
    <w:r>
      <w:rPr>
        <w:noProof w:val="0"/>
      </w:rPr>
      <w:pict w14:anchorId="3AE5BE07">
        <v:shapetype id="_x0000_t202" coordsize="21600,21600" o:spt="202" path="m,l,21600r21600,l21600,xe">
          <v:stroke joinstyle="miter"/>
          <v:path gradientshapeok="t" o:connecttype="rect"/>
        </v:shapetype>
        <v:shape id="_x0000_s1546" type="#_x0000_t202" style="position:absolute;margin-left:65.4pt;margin-top:594.5pt;width:209.5pt;height:12.55pt;z-index:-459160;mso-position-horizontal-relative:page;mso-position-vertical-relative:page" filled="f" stroked="f">
          <v:textbox inset="0,0,0,0">
            <w:txbxContent>
              <w:p w14:paraId="7E468DC9" w14:textId="77777777" w:rsidR="001008C3" w:rsidRDefault="001008C3">
                <w:pPr>
                  <w:spacing w:before="19"/>
                  <w:ind w:left="20"/>
                  <w:rPr>
                    <w:sz w:val="18"/>
                  </w:rPr>
                </w:pPr>
                <w:r>
                  <w:rPr>
                    <w:color w:val="231F20"/>
                    <w:w w:val="110"/>
                    <w:sz w:val="18"/>
                  </w:rPr>
                  <w:t>may 1972 • to the west german press</w:t>
                </w:r>
                <w:r>
                  <w:rPr>
                    <w:color w:val="231F20"/>
                    <w:sz w:val="18"/>
                  </w:rPr>
                  <w:t xml:space="preserve"> </w:t>
                </w:r>
              </w:p>
            </w:txbxContent>
          </v:textbox>
          <w10:wrap anchorx="page" anchory="page"/>
        </v:shape>
      </w:pict>
    </w:r>
    <w:r>
      <w:rPr>
        <w:noProof w:val="0"/>
      </w:rPr>
      <w:pict w14:anchorId="1AB7F6F3">
        <v:shape id="_x0000_s1545" type="#_x0000_t202" style="position:absolute;margin-left:356.1pt;margin-top:594.5pt;width:20.8pt;height:12.55pt;z-index:-459136;mso-position-horizontal-relative:page;mso-position-vertical-relative:page" filled="f" stroked="f">
          <v:textbox inset="0,0,0,0">
            <w:txbxContent>
              <w:p w14:paraId="4D396714" w14:textId="77777777" w:rsidR="001008C3" w:rsidRDefault="001008C3">
                <w:pPr>
                  <w:spacing w:before="19"/>
                  <w:ind w:left="20"/>
                  <w:rPr>
                    <w:sz w:val="18"/>
                  </w:rPr>
                </w:pPr>
                <w:r>
                  <w:rPr>
                    <w:color w:val="231F20"/>
                    <w:sz w:val="18"/>
                  </w:rPr>
                  <w:t xml:space="preserve">179 </w:t>
                </w:r>
              </w:p>
            </w:txbxContent>
          </v:textbox>
          <w10:wrap anchorx="page" anchory="page"/>
        </v:shape>
      </w:pic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5BD88" w14:textId="77777777" w:rsidR="001008C3" w:rsidRDefault="00000000">
    <w:pPr>
      <w:pStyle w:val="a3"/>
      <w:spacing w:line="14" w:lineRule="auto"/>
    </w:pPr>
    <w:r>
      <w:rPr>
        <w:noProof w:val="0"/>
      </w:rPr>
      <w:pict w14:anchorId="1E898B0A">
        <v:shapetype id="_x0000_t202" coordsize="21600,21600" o:spt="202" path="m,l,21600r21600,l21600,xe">
          <v:stroke joinstyle="miter"/>
          <v:path gradientshapeok="t" o:connecttype="rect"/>
        </v:shapetype>
        <v:shape id="_x0000_s1544" type="#_x0000_t202" style="position:absolute;margin-left:56.4pt;margin-top:594.5pt;width:20.8pt;height:12.55pt;z-index:-459112;mso-position-horizontal-relative:page;mso-position-vertical-relative:page" filled="f" stroked="f">
          <v:textbox inset="0,0,0,0">
            <w:txbxContent>
              <w:p w14:paraId="2414A947" w14:textId="77777777" w:rsidR="001008C3" w:rsidRDefault="001008C3">
                <w:pPr>
                  <w:spacing w:before="19"/>
                  <w:ind w:left="20"/>
                  <w:rPr>
                    <w:sz w:val="18"/>
                  </w:rPr>
                </w:pPr>
                <w:r>
                  <w:rPr>
                    <w:color w:val="231F20"/>
                    <w:sz w:val="18"/>
                  </w:rPr>
                  <w:t xml:space="preserve">180 </w:t>
                </w:r>
              </w:p>
            </w:txbxContent>
          </v:textbox>
          <w10:wrap anchorx="page" anchory="page"/>
        </v:shape>
      </w:pict>
    </w:r>
    <w:r>
      <w:rPr>
        <w:noProof w:val="0"/>
      </w:rPr>
      <w:pict w14:anchorId="1DA7D268">
        <v:shape id="_x0000_s1543" type="#_x0000_t202" style="position:absolute;margin-left:105.55pt;margin-top:594.5pt;width:262.05pt;height:12.55pt;z-index:-459088;mso-position-horizontal-relative:page;mso-position-vertical-relative:page" filled="f" stroked="f">
          <v:textbox inset="0,0,0,0">
            <w:txbxContent>
              <w:p w14:paraId="19CF02D2" w14:textId="77777777" w:rsidR="001008C3" w:rsidRDefault="001008C3">
                <w:pPr>
                  <w:tabs>
                    <w:tab w:val="left" w:pos="4990"/>
                  </w:tabs>
                  <w:spacing w:before="19"/>
                  <w:ind w:left="20"/>
                  <w:rPr>
                    <w:sz w:val="14"/>
                  </w:rPr>
                </w:pPr>
                <w:r>
                  <w:rPr>
                    <w:color w:val="231F20"/>
                    <w:spacing w:val="15"/>
                    <w:w w:val="110"/>
                    <w:sz w:val="18"/>
                  </w:rPr>
                  <w:t xml:space="preserve">the </w:t>
                </w:r>
                <w:r>
                  <w:rPr>
                    <w:color w:val="231F20"/>
                    <w:spacing w:val="75"/>
                    <w:w w:val="110"/>
                    <w:sz w:val="18"/>
                  </w:rPr>
                  <w:t xml:space="preserve"> </w:t>
                </w:r>
                <w:r>
                  <w:rPr>
                    <w:color w:val="231F20"/>
                    <w:spacing w:val="13"/>
                    <w:w w:val="110"/>
                    <w:sz w:val="18"/>
                  </w:rPr>
                  <w:t xml:space="preserve">may   </w:t>
                </w:r>
                <w:r>
                  <w:rPr>
                    <w:color w:val="231F20"/>
                    <w:spacing w:val="21"/>
                    <w:w w:val="110"/>
                    <w:sz w:val="18"/>
                  </w:rPr>
                  <w:t xml:space="preserve">offensive:  </w:t>
                </w:r>
                <w:r>
                  <w:rPr>
                    <w:color w:val="231F20"/>
                    <w:spacing w:val="20"/>
                    <w:w w:val="110"/>
                    <w:sz w:val="18"/>
                  </w:rPr>
                  <w:t xml:space="preserve">bringing  </w:t>
                </w:r>
                <w:r>
                  <w:rPr>
                    <w:color w:val="231F20"/>
                    <w:spacing w:val="15"/>
                    <w:w w:val="110"/>
                    <w:sz w:val="18"/>
                  </w:rPr>
                  <w:t>the</w:t>
                </w:r>
                <w:r>
                  <w:rPr>
                    <w:color w:val="231F20"/>
                    <w:spacing w:val="30"/>
                    <w:w w:val="110"/>
                    <w:sz w:val="18"/>
                  </w:rPr>
                  <w:t xml:space="preserve"> </w:t>
                </w:r>
                <w:r>
                  <w:rPr>
                    <w:color w:val="231F20"/>
                    <w:spacing w:val="12"/>
                    <w:w w:val="110"/>
                    <w:sz w:val="18"/>
                  </w:rPr>
                  <w:t xml:space="preserve">war </w:t>
                </w:r>
                <w:r>
                  <w:rPr>
                    <w:color w:val="231F20"/>
                    <w:spacing w:val="38"/>
                    <w:w w:val="110"/>
                    <w:sz w:val="18"/>
                  </w:rPr>
                  <w:t xml:space="preserve"> </w:t>
                </w:r>
                <w:r>
                  <w:rPr>
                    <w:color w:val="231F20"/>
                    <w:spacing w:val="17"/>
                    <w:w w:val="110"/>
                    <w:sz w:val="18"/>
                  </w:rPr>
                  <w:t>home</w:t>
                </w:r>
                <w:r>
                  <w:rPr>
                    <w:color w:val="231F20"/>
                    <w:spacing w:val="17"/>
                    <w:w w:val="110"/>
                    <w:sz w:val="18"/>
                  </w:rPr>
                  <w:tab/>
                </w:r>
                <w:r>
                  <w:rPr>
                    <w:color w:val="231F20"/>
                    <w:spacing w:val="11"/>
                    <w:w w:val="105"/>
                    <w:sz w:val="14"/>
                  </w:rPr>
                  <w:t>(5)</w:t>
                </w:r>
                <w:r>
                  <w:rPr>
                    <w:color w:val="231F20"/>
                    <w:spacing w:val="-12"/>
                    <w:sz w:val="14"/>
                  </w:rPr>
                  <w:t xml:space="preserve"> </w:t>
                </w:r>
              </w:p>
            </w:txbxContent>
          </v:textbox>
          <w10:wrap anchorx="page" anchory="page"/>
        </v:shape>
      </w:pic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6F346" w14:textId="77777777" w:rsidR="001008C3" w:rsidRDefault="00000000">
    <w:pPr>
      <w:pStyle w:val="a3"/>
      <w:spacing w:line="14" w:lineRule="auto"/>
    </w:pPr>
    <w:r>
      <w:rPr>
        <w:noProof w:val="0"/>
      </w:rPr>
      <w:pict w14:anchorId="4A3F961B">
        <v:shapetype id="_x0000_t202" coordsize="21600,21600" o:spt="202" path="m,l,21600r21600,l21600,xe">
          <v:stroke joinstyle="miter"/>
          <v:path gradientshapeok="t" o:connecttype="rect"/>
        </v:shapetype>
        <v:shape id="_x0000_s1540" type="#_x0000_t202" style="position:absolute;margin-left:55.4pt;margin-top:594.5pt;width:22.8pt;height:12.55pt;z-index:-459016;mso-position-horizontal-relative:page;mso-position-vertical-relative:page" filled="f" stroked="f">
          <v:textbox inset="0,0,0,0">
            <w:txbxContent>
              <w:p w14:paraId="219CBF38"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182</w:t>
                </w:r>
                <w:r>
                  <w:fldChar w:fldCharType="end"/>
                </w:r>
                <w:r>
                  <w:rPr>
                    <w:color w:val="231F20"/>
                    <w:sz w:val="18"/>
                  </w:rPr>
                  <w:t xml:space="preserve"> </w:t>
                </w:r>
              </w:p>
            </w:txbxContent>
          </v:textbox>
          <w10:wrap anchorx="page" anchory="page"/>
        </v:shape>
      </w:pict>
    </w:r>
    <w:r>
      <w:rPr>
        <w:noProof w:val="0"/>
      </w:rPr>
      <w:pict w14:anchorId="046E57BD">
        <v:shape id="_x0000_s1539" type="#_x0000_t202" style="position:absolute;margin-left:105.55pt;margin-top:594.5pt;width:262.05pt;height:12.55pt;z-index:-458992;mso-position-horizontal-relative:page;mso-position-vertical-relative:page" filled="f" stroked="f">
          <v:textbox inset="0,0,0,0">
            <w:txbxContent>
              <w:p w14:paraId="3279CEC5" w14:textId="77777777" w:rsidR="001008C3" w:rsidRDefault="001008C3">
                <w:pPr>
                  <w:tabs>
                    <w:tab w:val="left" w:pos="4990"/>
                  </w:tabs>
                  <w:spacing w:before="19"/>
                  <w:ind w:left="20"/>
                  <w:rPr>
                    <w:sz w:val="14"/>
                  </w:rPr>
                </w:pPr>
                <w:r>
                  <w:rPr>
                    <w:color w:val="231F20"/>
                    <w:spacing w:val="15"/>
                    <w:w w:val="110"/>
                    <w:sz w:val="18"/>
                  </w:rPr>
                  <w:t xml:space="preserve">the </w:t>
                </w:r>
                <w:r>
                  <w:rPr>
                    <w:color w:val="231F20"/>
                    <w:spacing w:val="75"/>
                    <w:w w:val="110"/>
                    <w:sz w:val="18"/>
                  </w:rPr>
                  <w:t xml:space="preserve"> </w:t>
                </w:r>
                <w:r>
                  <w:rPr>
                    <w:color w:val="231F20"/>
                    <w:spacing w:val="13"/>
                    <w:w w:val="110"/>
                    <w:sz w:val="18"/>
                  </w:rPr>
                  <w:t xml:space="preserve">may   </w:t>
                </w:r>
                <w:r>
                  <w:rPr>
                    <w:color w:val="231F20"/>
                    <w:spacing w:val="21"/>
                    <w:w w:val="110"/>
                    <w:sz w:val="18"/>
                  </w:rPr>
                  <w:t xml:space="preserve">offensive:  </w:t>
                </w:r>
                <w:r>
                  <w:rPr>
                    <w:color w:val="231F20"/>
                    <w:spacing w:val="20"/>
                    <w:w w:val="110"/>
                    <w:sz w:val="18"/>
                  </w:rPr>
                  <w:t xml:space="preserve">bringing  </w:t>
                </w:r>
                <w:r>
                  <w:rPr>
                    <w:color w:val="231F20"/>
                    <w:spacing w:val="15"/>
                    <w:w w:val="110"/>
                    <w:sz w:val="18"/>
                  </w:rPr>
                  <w:t>the</w:t>
                </w:r>
                <w:r>
                  <w:rPr>
                    <w:color w:val="231F20"/>
                    <w:spacing w:val="30"/>
                    <w:w w:val="110"/>
                    <w:sz w:val="18"/>
                  </w:rPr>
                  <w:t xml:space="preserve"> </w:t>
                </w:r>
                <w:r>
                  <w:rPr>
                    <w:color w:val="231F20"/>
                    <w:spacing w:val="12"/>
                    <w:w w:val="110"/>
                    <w:sz w:val="18"/>
                  </w:rPr>
                  <w:t xml:space="preserve">war </w:t>
                </w:r>
                <w:r>
                  <w:rPr>
                    <w:color w:val="231F20"/>
                    <w:spacing w:val="38"/>
                    <w:w w:val="110"/>
                    <w:sz w:val="18"/>
                  </w:rPr>
                  <w:t xml:space="preserve"> </w:t>
                </w:r>
                <w:r>
                  <w:rPr>
                    <w:color w:val="231F20"/>
                    <w:spacing w:val="17"/>
                    <w:w w:val="110"/>
                    <w:sz w:val="18"/>
                  </w:rPr>
                  <w:t>home</w:t>
                </w:r>
                <w:r>
                  <w:rPr>
                    <w:color w:val="231F20"/>
                    <w:spacing w:val="17"/>
                    <w:w w:val="110"/>
                    <w:sz w:val="18"/>
                  </w:rPr>
                  <w:tab/>
                </w:r>
                <w:r>
                  <w:rPr>
                    <w:color w:val="231F20"/>
                    <w:spacing w:val="11"/>
                    <w:w w:val="105"/>
                    <w:sz w:val="14"/>
                  </w:rPr>
                  <w:t>(5)</w:t>
                </w:r>
                <w:r>
                  <w:rPr>
                    <w:color w:val="231F20"/>
                    <w:spacing w:val="-12"/>
                    <w:sz w:val="14"/>
                  </w:rPr>
                  <w:t xml:space="preserve"> </w:t>
                </w:r>
              </w:p>
            </w:txbxContent>
          </v:textbox>
          <w10:wrap anchorx="page" anchory="page"/>
        </v:shape>
      </w:pic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65BD1" w14:textId="77777777" w:rsidR="001008C3" w:rsidRDefault="00000000">
    <w:pPr>
      <w:pStyle w:val="a3"/>
      <w:spacing w:line="14" w:lineRule="auto"/>
    </w:pPr>
    <w:r>
      <w:rPr>
        <w:noProof w:val="0"/>
      </w:rPr>
      <w:pict w14:anchorId="18289D8B">
        <v:shapetype id="_x0000_t202" coordsize="21600,21600" o:spt="202" path="m,l,21600r21600,l21600,xe">
          <v:stroke joinstyle="miter"/>
          <v:path gradientshapeok="t" o:connecttype="rect"/>
        </v:shapetype>
        <v:shape id="_x0000_s1542" type="#_x0000_t202" style="position:absolute;margin-left:65.4pt;margin-top:594.5pt;width:268.35pt;height:12.55pt;z-index:-459064;mso-position-horizontal-relative:page;mso-position-vertical-relative:page" filled="f" stroked="f">
          <v:textbox inset="0,0,0,0">
            <w:txbxContent>
              <w:p w14:paraId="0481A663" w14:textId="77777777" w:rsidR="001008C3" w:rsidRDefault="001008C3">
                <w:pPr>
                  <w:spacing w:before="19"/>
                  <w:ind w:left="20"/>
                  <w:rPr>
                    <w:sz w:val="18"/>
                  </w:rPr>
                </w:pPr>
                <w:r>
                  <w:rPr>
                    <w:color w:val="231F20"/>
                    <w:w w:val="115"/>
                    <w:sz w:val="18"/>
                  </w:rPr>
                  <w:t>may 1972 • regarding the fascist bomb threats</w:t>
                </w:r>
                <w:r>
                  <w:rPr>
                    <w:color w:val="231F20"/>
                    <w:sz w:val="18"/>
                  </w:rPr>
                  <w:t xml:space="preserve"> </w:t>
                </w:r>
              </w:p>
            </w:txbxContent>
          </v:textbox>
          <w10:wrap anchorx="page" anchory="page"/>
        </v:shape>
      </w:pict>
    </w:r>
    <w:r>
      <w:rPr>
        <w:noProof w:val="0"/>
      </w:rPr>
      <w:pict w14:anchorId="69309398">
        <v:shape id="_x0000_s1541" type="#_x0000_t202" style="position:absolute;margin-left:355.1pt;margin-top:594.5pt;width:22.8pt;height:12.55pt;z-index:-459040;mso-position-horizontal-relative:page;mso-position-vertical-relative:page" filled="f" stroked="f">
          <v:textbox inset="0,0,0,0">
            <w:txbxContent>
              <w:p w14:paraId="275A89E1"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181</w:t>
                </w:r>
                <w:r>
                  <w:fldChar w:fldCharType="end"/>
                </w:r>
                <w:r>
                  <w:rPr>
                    <w:color w:val="231F20"/>
                    <w:sz w:val="18"/>
                  </w:rPr>
                  <w:t xml:space="preserve"> </w:t>
                </w:r>
              </w:p>
            </w:txbxContent>
          </v:textbox>
          <w10:wrap anchorx="page" anchory="page"/>
        </v:shape>
      </w:pic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5821A" w14:textId="77777777" w:rsidR="001008C3" w:rsidRDefault="00000000">
    <w:pPr>
      <w:pStyle w:val="a3"/>
      <w:spacing w:line="14" w:lineRule="auto"/>
    </w:pPr>
    <w:r>
      <w:rPr>
        <w:noProof w:val="0"/>
      </w:rPr>
      <w:pict w14:anchorId="079B0D9B">
        <v:shapetype id="_x0000_t202" coordsize="21600,21600" o:spt="202" path="m,l,21600r21600,l21600,xe">
          <v:stroke joinstyle="miter"/>
          <v:path gradientshapeok="t" o:connecttype="rect"/>
        </v:shapetype>
        <v:shape id="_x0000_s1536" type="#_x0000_t202" style="position:absolute;margin-left:55.4pt;margin-top:594.5pt;width:22.8pt;height:12.55pt;z-index:-458920;mso-position-horizontal-relative:page;mso-position-vertical-relative:page" filled="f" stroked="f">
          <v:textbox inset="0,0,0,0">
            <w:txbxContent>
              <w:p w14:paraId="53FFF4CA"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184</w:t>
                </w:r>
                <w:r>
                  <w:fldChar w:fldCharType="end"/>
                </w:r>
                <w:r>
                  <w:rPr>
                    <w:color w:val="231F20"/>
                    <w:sz w:val="18"/>
                  </w:rPr>
                  <w:t xml:space="preserve"> </w:t>
                </w:r>
              </w:p>
            </w:txbxContent>
          </v:textbox>
          <w10:wrap anchorx="page" anchory="page"/>
        </v:shape>
      </w:pict>
    </w:r>
    <w:r>
      <w:rPr>
        <w:noProof w:val="0"/>
      </w:rPr>
      <w:pict w14:anchorId="6265AF8D">
        <v:shape id="_x0000_s1535" type="#_x0000_t202" style="position:absolute;margin-left:105.55pt;margin-top:594.5pt;width:262.05pt;height:12.55pt;z-index:-458896;mso-position-horizontal-relative:page;mso-position-vertical-relative:page" filled="f" stroked="f">
          <v:textbox inset="0,0,0,0">
            <w:txbxContent>
              <w:p w14:paraId="574075B5" w14:textId="77777777" w:rsidR="001008C3" w:rsidRDefault="001008C3">
                <w:pPr>
                  <w:tabs>
                    <w:tab w:val="left" w:pos="4990"/>
                  </w:tabs>
                  <w:spacing w:before="19"/>
                  <w:ind w:left="20"/>
                  <w:rPr>
                    <w:sz w:val="14"/>
                  </w:rPr>
                </w:pPr>
                <w:r>
                  <w:rPr>
                    <w:color w:val="231F20"/>
                    <w:spacing w:val="15"/>
                    <w:w w:val="110"/>
                    <w:sz w:val="18"/>
                  </w:rPr>
                  <w:t xml:space="preserve">the </w:t>
                </w:r>
                <w:r>
                  <w:rPr>
                    <w:color w:val="231F20"/>
                    <w:spacing w:val="75"/>
                    <w:w w:val="110"/>
                    <w:sz w:val="18"/>
                  </w:rPr>
                  <w:t xml:space="preserve"> </w:t>
                </w:r>
                <w:r>
                  <w:rPr>
                    <w:color w:val="231F20"/>
                    <w:spacing w:val="13"/>
                    <w:w w:val="110"/>
                    <w:sz w:val="18"/>
                  </w:rPr>
                  <w:t xml:space="preserve">may   </w:t>
                </w:r>
                <w:r>
                  <w:rPr>
                    <w:color w:val="231F20"/>
                    <w:spacing w:val="21"/>
                    <w:w w:val="110"/>
                    <w:sz w:val="18"/>
                  </w:rPr>
                  <w:t xml:space="preserve">offensive:  </w:t>
                </w:r>
                <w:r>
                  <w:rPr>
                    <w:color w:val="231F20"/>
                    <w:spacing w:val="20"/>
                    <w:w w:val="110"/>
                    <w:sz w:val="18"/>
                  </w:rPr>
                  <w:t xml:space="preserve">bringing  </w:t>
                </w:r>
                <w:r>
                  <w:rPr>
                    <w:color w:val="231F20"/>
                    <w:spacing w:val="15"/>
                    <w:w w:val="110"/>
                    <w:sz w:val="18"/>
                  </w:rPr>
                  <w:t>the</w:t>
                </w:r>
                <w:r>
                  <w:rPr>
                    <w:color w:val="231F20"/>
                    <w:spacing w:val="30"/>
                    <w:w w:val="110"/>
                    <w:sz w:val="18"/>
                  </w:rPr>
                  <w:t xml:space="preserve"> </w:t>
                </w:r>
                <w:r>
                  <w:rPr>
                    <w:color w:val="231F20"/>
                    <w:spacing w:val="12"/>
                    <w:w w:val="110"/>
                    <w:sz w:val="18"/>
                  </w:rPr>
                  <w:t xml:space="preserve">war </w:t>
                </w:r>
                <w:r>
                  <w:rPr>
                    <w:color w:val="231F20"/>
                    <w:spacing w:val="38"/>
                    <w:w w:val="110"/>
                    <w:sz w:val="18"/>
                  </w:rPr>
                  <w:t xml:space="preserve"> </w:t>
                </w:r>
                <w:r>
                  <w:rPr>
                    <w:color w:val="231F20"/>
                    <w:spacing w:val="17"/>
                    <w:w w:val="110"/>
                    <w:sz w:val="18"/>
                  </w:rPr>
                  <w:t>home</w:t>
                </w:r>
                <w:r>
                  <w:rPr>
                    <w:color w:val="231F20"/>
                    <w:spacing w:val="17"/>
                    <w:w w:val="110"/>
                    <w:sz w:val="18"/>
                  </w:rPr>
                  <w:tab/>
                </w:r>
                <w:r>
                  <w:rPr>
                    <w:color w:val="231F20"/>
                    <w:spacing w:val="11"/>
                    <w:w w:val="105"/>
                    <w:sz w:val="14"/>
                  </w:rPr>
                  <w:t>(5)</w:t>
                </w:r>
                <w:r>
                  <w:rPr>
                    <w:color w:val="231F20"/>
                    <w:spacing w:val="-12"/>
                    <w:sz w:val="14"/>
                  </w:rPr>
                  <w:t xml:space="preserve"> </w:t>
                </w:r>
              </w:p>
            </w:txbxContent>
          </v:textbox>
          <w10:wrap anchorx="page" anchory="page"/>
        </v:shape>
      </w:pic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E62A5" w14:textId="77777777" w:rsidR="001008C3" w:rsidRDefault="00000000">
    <w:pPr>
      <w:pStyle w:val="a3"/>
      <w:spacing w:line="14" w:lineRule="auto"/>
    </w:pPr>
    <w:r>
      <w:rPr>
        <w:noProof w:val="0"/>
      </w:rPr>
      <w:pict w14:anchorId="720C8F8F">
        <v:shapetype id="_x0000_t202" coordsize="21600,21600" o:spt="202" path="m,l,21600r21600,l21600,xe">
          <v:stroke joinstyle="miter"/>
          <v:path gradientshapeok="t" o:connecttype="rect"/>
        </v:shapetype>
        <v:shape id="_x0000_s1538" type="#_x0000_t202" style="position:absolute;margin-left:65.4pt;margin-top:594.5pt;width:259.1pt;height:12.55pt;z-index:-458968;mso-position-horizontal-relative:page;mso-position-vertical-relative:page" filled="f" stroked="f">
          <v:textbox inset="0,0,0,0">
            <w:txbxContent>
              <w:p w14:paraId="4A28F010" w14:textId="77777777" w:rsidR="001008C3" w:rsidRDefault="001008C3">
                <w:pPr>
                  <w:spacing w:before="19"/>
                  <w:ind w:left="20"/>
                  <w:rPr>
                    <w:sz w:val="18"/>
                  </w:rPr>
                </w:pPr>
                <w:r>
                  <w:rPr>
                    <w:color w:val="231F20"/>
                    <w:w w:val="115"/>
                    <w:sz w:val="18"/>
                  </w:rPr>
                  <w:t>may 1972 • statement to the red aid teach-in</w:t>
                </w:r>
                <w:r>
                  <w:rPr>
                    <w:color w:val="231F20"/>
                    <w:sz w:val="18"/>
                  </w:rPr>
                  <w:t xml:space="preserve"> </w:t>
                </w:r>
              </w:p>
            </w:txbxContent>
          </v:textbox>
          <w10:wrap anchorx="page" anchory="page"/>
        </v:shape>
      </w:pict>
    </w:r>
    <w:r>
      <w:rPr>
        <w:noProof w:val="0"/>
      </w:rPr>
      <w:pict w14:anchorId="66EC4AE5">
        <v:shape id="_x0000_s1537" type="#_x0000_t202" style="position:absolute;margin-left:355.1pt;margin-top:594.5pt;width:22.8pt;height:12.55pt;z-index:-458944;mso-position-horizontal-relative:page;mso-position-vertical-relative:page" filled="f" stroked="f">
          <v:textbox inset="0,0,0,0">
            <w:txbxContent>
              <w:p w14:paraId="3801D876"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183</w:t>
                </w:r>
                <w:r>
                  <w:fldChar w:fldCharType="end"/>
                </w:r>
                <w:r>
                  <w:rPr>
                    <w:color w:val="231F20"/>
                    <w:sz w:val="18"/>
                  </w:rPr>
                  <w:t xml:space="preserve"> </w:t>
                </w:r>
              </w:p>
            </w:txbxContent>
          </v:textbox>
          <w10:wrap anchorx="page" anchory="page"/>
        </v:shape>
      </w:pic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0DDE6" w14:textId="77777777" w:rsidR="001008C3" w:rsidRDefault="001008C3">
    <w:pPr>
      <w:pStyle w:val="a3"/>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1EDA7" w14:textId="77777777" w:rsidR="001008C3" w:rsidRDefault="001008C3">
    <w:pPr>
      <w:pStyle w:val="a3"/>
      <w:spacing w:line="14" w:lineRule="auto"/>
      <w:rPr>
        <w:sz w:val="2"/>
      </w:rPr>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68906" w14:textId="77777777" w:rsidR="001008C3" w:rsidRDefault="00000000">
    <w:pPr>
      <w:pStyle w:val="a3"/>
      <w:spacing w:line="14" w:lineRule="auto"/>
    </w:pPr>
    <w:r>
      <w:rPr>
        <w:noProof w:val="0"/>
      </w:rPr>
      <w:pict w14:anchorId="12022D67">
        <v:shapetype id="_x0000_t202" coordsize="21600,21600" o:spt="202" path="m,l,21600r21600,l21600,xe">
          <v:stroke joinstyle="miter"/>
          <v:path gradientshapeok="t" o:connecttype="rect"/>
        </v:shapetype>
        <v:shape id="_x0000_s1533" type="#_x0000_t202" style="position:absolute;margin-left:56.4pt;margin-top:594.5pt;width:20.8pt;height:12.55pt;z-index:-458848;mso-position-horizontal-relative:page;mso-position-vertical-relative:page" filled="f" stroked="f">
          <v:textbox inset="0,0,0,0">
            <w:txbxContent>
              <w:p w14:paraId="775A9F76" w14:textId="77777777" w:rsidR="001008C3" w:rsidRDefault="001008C3">
                <w:pPr>
                  <w:spacing w:before="19"/>
                  <w:ind w:left="20"/>
                  <w:rPr>
                    <w:sz w:val="18"/>
                  </w:rPr>
                </w:pPr>
                <w:r>
                  <w:rPr>
                    <w:color w:val="231F20"/>
                    <w:sz w:val="18"/>
                  </w:rPr>
                  <w:t xml:space="preserve">188 </w:t>
                </w:r>
              </w:p>
            </w:txbxContent>
          </v:textbox>
          <w10:wrap anchorx="page" anchory="page"/>
        </v:shape>
      </w:pict>
    </w:r>
    <w:r>
      <w:rPr>
        <w:noProof w:val="0"/>
      </w:rPr>
      <w:pict w14:anchorId="789485B5">
        <v:shape id="_x0000_s1532" type="#_x0000_t202" style="position:absolute;margin-left:90.4pt;margin-top:594.5pt;width:277.1pt;height:12.55pt;z-index:-458824;mso-position-horizontal-relative:page;mso-position-vertical-relative:page" filled="f" stroked="f">
          <v:textbox inset="0,0,0,0">
            <w:txbxContent>
              <w:p w14:paraId="430C1F07" w14:textId="77777777" w:rsidR="001008C3" w:rsidRDefault="001008C3">
                <w:pPr>
                  <w:tabs>
                    <w:tab w:val="left" w:pos="5297"/>
                  </w:tabs>
                  <w:spacing w:before="19"/>
                  <w:ind w:left="20"/>
                  <w:rPr>
                    <w:sz w:val="14"/>
                  </w:rPr>
                </w:pPr>
                <w:r>
                  <w:rPr>
                    <w:color w:val="231F20"/>
                    <w:spacing w:val="15"/>
                    <w:w w:val="115"/>
                    <w:sz w:val="18"/>
                  </w:rPr>
                  <w:t xml:space="preserve">black  </w:t>
                </w:r>
                <w:r>
                  <w:rPr>
                    <w:color w:val="231F20"/>
                    <w:spacing w:val="18"/>
                    <w:w w:val="115"/>
                    <w:sz w:val="18"/>
                  </w:rPr>
                  <w:t xml:space="preserve">september: </w:t>
                </w:r>
                <w:r>
                  <w:rPr>
                    <w:color w:val="231F20"/>
                    <w:w w:val="115"/>
                    <w:sz w:val="18"/>
                  </w:rPr>
                  <w:t xml:space="preserve">a  </w:t>
                </w:r>
                <w:r>
                  <w:rPr>
                    <w:color w:val="231F20"/>
                    <w:spacing w:val="17"/>
                    <w:w w:val="115"/>
                    <w:sz w:val="18"/>
                  </w:rPr>
                  <w:t xml:space="preserve">statement </w:t>
                </w:r>
                <w:r>
                  <w:rPr>
                    <w:color w:val="231F20"/>
                    <w:spacing w:val="15"/>
                    <w:w w:val="115"/>
                    <w:sz w:val="18"/>
                  </w:rPr>
                  <w:t>from</w:t>
                </w:r>
                <w:r>
                  <w:rPr>
                    <w:color w:val="231F20"/>
                    <w:spacing w:val="20"/>
                    <w:w w:val="115"/>
                    <w:sz w:val="18"/>
                  </w:rPr>
                  <w:t xml:space="preserve"> </w:t>
                </w:r>
                <w:r>
                  <w:rPr>
                    <w:color w:val="231F20"/>
                    <w:spacing w:val="17"/>
                    <w:w w:val="115"/>
                    <w:sz w:val="18"/>
                  </w:rPr>
                  <w:t>behind</w:t>
                </w:r>
                <w:r>
                  <w:rPr>
                    <w:color w:val="231F20"/>
                    <w:spacing w:val="35"/>
                    <w:w w:val="115"/>
                    <w:sz w:val="18"/>
                  </w:rPr>
                  <w:t xml:space="preserve"> </w:t>
                </w:r>
                <w:r>
                  <w:rPr>
                    <w:color w:val="231F20"/>
                    <w:spacing w:val="13"/>
                    <w:w w:val="115"/>
                    <w:sz w:val="18"/>
                  </w:rPr>
                  <w:t>bars</w:t>
                </w:r>
                <w:r>
                  <w:rPr>
                    <w:color w:val="231F20"/>
                    <w:spacing w:val="13"/>
                    <w:w w:val="115"/>
                    <w:sz w:val="18"/>
                  </w:rPr>
                  <w:tab/>
                </w:r>
                <w:r>
                  <w:rPr>
                    <w:color w:val="231F20"/>
                    <w:spacing w:val="10"/>
                    <w:w w:val="105"/>
                    <w:sz w:val="14"/>
                  </w:rPr>
                  <w:t>(6)</w:t>
                </w:r>
                <w:r>
                  <w:rPr>
                    <w:color w:val="231F20"/>
                    <w:spacing w:val="-13"/>
                    <w:sz w:val="14"/>
                  </w:rPr>
                  <w:t xml:space="preserve"> </w:t>
                </w:r>
              </w:p>
            </w:txbxContent>
          </v:textbox>
          <w10:wrap anchorx="page" anchory="page"/>
        </v:shape>
      </w:pic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0F0F8" w14:textId="77777777" w:rsidR="001008C3" w:rsidRDefault="00000000">
    <w:pPr>
      <w:pStyle w:val="a3"/>
      <w:spacing w:line="14" w:lineRule="auto"/>
    </w:pPr>
    <w:r>
      <w:rPr>
        <w:noProof w:val="0"/>
      </w:rPr>
      <w:pict w14:anchorId="74DA60EB">
        <v:shapetype id="_x0000_t202" coordsize="21600,21600" o:spt="202" path="m,l,21600r21600,l21600,xe">
          <v:stroke joinstyle="miter"/>
          <v:path gradientshapeok="t" o:connecttype="rect"/>
        </v:shapetype>
        <v:shape id="_x0000_s1534" type="#_x0000_t202" style="position:absolute;margin-left:355.1pt;margin-top:594.5pt;width:22.8pt;height:12.55pt;z-index:-458872;mso-position-horizontal-relative:page;mso-position-vertical-relative:page" filled="f" stroked="f">
          <v:textbox inset="0,0,0,0">
            <w:txbxContent>
              <w:p w14:paraId="34CAE7C5"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187</w:t>
                </w:r>
                <w:r>
                  <w:fldChar w:fldCharType="end"/>
                </w:r>
                <w:r>
                  <w:rPr>
                    <w:color w:val="231F20"/>
                    <w:sz w:val="18"/>
                  </w:rPr>
                  <w:t xml:space="preserve"> </w:t>
                </w:r>
              </w:p>
            </w:txbxContent>
          </v:textbox>
          <w10:wrap anchorx="page" anchory="page"/>
        </v:shape>
      </w:pic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6A611" w14:textId="77777777" w:rsidR="001008C3" w:rsidRDefault="00000000">
    <w:pPr>
      <w:pStyle w:val="a3"/>
      <w:spacing w:line="14" w:lineRule="auto"/>
    </w:pPr>
    <w:r>
      <w:rPr>
        <w:noProof w:val="0"/>
      </w:rPr>
      <w:pict w14:anchorId="78C5146C">
        <v:shapetype id="_x0000_t202" coordsize="21600,21600" o:spt="202" path="m,l,21600r21600,l21600,xe">
          <v:stroke joinstyle="miter"/>
          <v:path gradientshapeok="t" o:connecttype="rect"/>
        </v:shapetype>
        <v:shape id="_x0000_s1531" type="#_x0000_t202" style="position:absolute;margin-left:65.4pt;margin-top:594.5pt;width:116.6pt;height:12.55pt;z-index:-458800;mso-position-horizontal-relative:page;mso-position-vertical-relative:page" filled="f" stroked="f">
          <v:textbox inset="0,0,0,0">
            <w:txbxContent>
              <w:p w14:paraId="5B5E75FF"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3BAD7995">
        <v:shape id="_x0000_s1530" type="#_x0000_t202" style="position:absolute;margin-left:356.1pt;margin-top:594.5pt;width:20.8pt;height:12.55pt;z-index:-458776;mso-position-horizontal-relative:page;mso-position-vertical-relative:page" filled="f" stroked="f">
          <v:textbox inset="0,0,0,0">
            <w:txbxContent>
              <w:p w14:paraId="57EF8BF6" w14:textId="77777777" w:rsidR="001008C3" w:rsidRDefault="001008C3">
                <w:pPr>
                  <w:spacing w:before="19"/>
                  <w:ind w:left="20"/>
                  <w:rPr>
                    <w:sz w:val="18"/>
                  </w:rPr>
                </w:pPr>
                <w:r>
                  <w:rPr>
                    <w:color w:val="231F20"/>
                    <w:sz w:val="18"/>
                  </w:rPr>
                  <w:t xml:space="preserve">189 </w:t>
                </w:r>
              </w:p>
            </w:txbxContent>
          </v:textbox>
          <w10:wrap anchorx="page" anchory="page"/>
        </v:shape>
      </w:pic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FCADF" w14:textId="77777777" w:rsidR="001008C3" w:rsidRDefault="00000000">
    <w:pPr>
      <w:pStyle w:val="a3"/>
      <w:spacing w:line="14" w:lineRule="auto"/>
    </w:pPr>
    <w:r>
      <w:rPr>
        <w:noProof w:val="0"/>
      </w:rPr>
      <w:pict w14:anchorId="091E16D5">
        <v:line id="_x0000_s1529" style="position:absolute;z-index:-458752;mso-position-horizontal-relative:page;mso-position-vertical-relative:page" from="57.4pt,498.85pt" to="129.4pt,498.85pt" strokecolor="#231f20" strokeweight=".5pt">
          <w10:wrap anchorx="page" anchory="page"/>
        </v:line>
      </w:pict>
    </w:r>
    <w:r>
      <w:rPr>
        <w:noProof w:val="0"/>
      </w:rPr>
      <w:pict w14:anchorId="625EAAB7">
        <v:shapetype id="_x0000_t202" coordsize="21600,21600" o:spt="202" path="m,l,21600r21600,l21600,xe">
          <v:stroke joinstyle="miter"/>
          <v:path gradientshapeok="t" o:connecttype="rect"/>
        </v:shapetype>
        <v:shape id="_x0000_s1528" type="#_x0000_t202" style="position:absolute;margin-left:56.4pt;margin-top:594.5pt;width:20.8pt;height:12.55pt;z-index:-458728;mso-position-horizontal-relative:page;mso-position-vertical-relative:page" filled="f" stroked="f">
          <v:textbox inset="0,0,0,0">
            <w:txbxContent>
              <w:p w14:paraId="7A17DD5C" w14:textId="77777777" w:rsidR="001008C3" w:rsidRDefault="001008C3">
                <w:pPr>
                  <w:spacing w:before="19"/>
                  <w:ind w:left="20"/>
                  <w:rPr>
                    <w:sz w:val="18"/>
                  </w:rPr>
                </w:pPr>
                <w:r>
                  <w:rPr>
                    <w:color w:val="231F20"/>
                    <w:sz w:val="18"/>
                  </w:rPr>
                  <w:t xml:space="preserve">190 </w:t>
                </w:r>
              </w:p>
            </w:txbxContent>
          </v:textbox>
          <w10:wrap anchorx="page" anchory="page"/>
        </v:shape>
      </w:pict>
    </w:r>
    <w:r>
      <w:rPr>
        <w:noProof w:val="0"/>
      </w:rPr>
      <w:pict w14:anchorId="64C8174E">
        <v:shape id="_x0000_s1527" type="#_x0000_t202" style="position:absolute;margin-left:90.4pt;margin-top:594.5pt;width:277.1pt;height:12.55pt;z-index:-458704;mso-position-horizontal-relative:page;mso-position-vertical-relative:page" filled="f" stroked="f">
          <v:textbox inset="0,0,0,0">
            <w:txbxContent>
              <w:p w14:paraId="486DDA65" w14:textId="77777777" w:rsidR="001008C3" w:rsidRDefault="001008C3">
                <w:pPr>
                  <w:tabs>
                    <w:tab w:val="left" w:pos="5297"/>
                  </w:tabs>
                  <w:spacing w:before="19"/>
                  <w:ind w:left="20"/>
                  <w:rPr>
                    <w:sz w:val="14"/>
                  </w:rPr>
                </w:pPr>
                <w:r>
                  <w:rPr>
                    <w:color w:val="231F20"/>
                    <w:spacing w:val="15"/>
                    <w:w w:val="115"/>
                    <w:sz w:val="18"/>
                  </w:rPr>
                  <w:t xml:space="preserve">black  </w:t>
                </w:r>
                <w:r>
                  <w:rPr>
                    <w:color w:val="231F20"/>
                    <w:spacing w:val="18"/>
                    <w:w w:val="115"/>
                    <w:sz w:val="18"/>
                  </w:rPr>
                  <w:t xml:space="preserve">september: </w:t>
                </w:r>
                <w:r>
                  <w:rPr>
                    <w:color w:val="231F20"/>
                    <w:w w:val="115"/>
                    <w:sz w:val="18"/>
                  </w:rPr>
                  <w:t xml:space="preserve">a  </w:t>
                </w:r>
                <w:r>
                  <w:rPr>
                    <w:color w:val="231F20"/>
                    <w:spacing w:val="17"/>
                    <w:w w:val="115"/>
                    <w:sz w:val="18"/>
                  </w:rPr>
                  <w:t xml:space="preserve">statement </w:t>
                </w:r>
                <w:r>
                  <w:rPr>
                    <w:color w:val="231F20"/>
                    <w:spacing w:val="15"/>
                    <w:w w:val="115"/>
                    <w:sz w:val="18"/>
                  </w:rPr>
                  <w:t>from</w:t>
                </w:r>
                <w:r>
                  <w:rPr>
                    <w:color w:val="231F20"/>
                    <w:spacing w:val="20"/>
                    <w:w w:val="115"/>
                    <w:sz w:val="18"/>
                  </w:rPr>
                  <w:t xml:space="preserve"> </w:t>
                </w:r>
                <w:r>
                  <w:rPr>
                    <w:color w:val="231F20"/>
                    <w:spacing w:val="17"/>
                    <w:w w:val="115"/>
                    <w:sz w:val="18"/>
                  </w:rPr>
                  <w:t>behind</w:t>
                </w:r>
                <w:r>
                  <w:rPr>
                    <w:color w:val="231F20"/>
                    <w:spacing w:val="35"/>
                    <w:w w:val="115"/>
                    <w:sz w:val="18"/>
                  </w:rPr>
                  <w:t xml:space="preserve"> </w:t>
                </w:r>
                <w:r>
                  <w:rPr>
                    <w:color w:val="231F20"/>
                    <w:spacing w:val="13"/>
                    <w:w w:val="115"/>
                    <w:sz w:val="18"/>
                  </w:rPr>
                  <w:t>bars</w:t>
                </w:r>
                <w:r>
                  <w:rPr>
                    <w:color w:val="231F20"/>
                    <w:spacing w:val="13"/>
                    <w:w w:val="115"/>
                    <w:sz w:val="18"/>
                  </w:rPr>
                  <w:tab/>
                </w:r>
                <w:r>
                  <w:rPr>
                    <w:color w:val="231F20"/>
                    <w:spacing w:val="10"/>
                    <w:w w:val="105"/>
                    <w:sz w:val="14"/>
                  </w:rPr>
                  <w:t>(6)</w:t>
                </w:r>
                <w:r>
                  <w:rPr>
                    <w:color w:val="231F20"/>
                    <w:spacing w:val="-13"/>
                    <w:sz w:val="14"/>
                  </w:rPr>
                  <w:t xml:space="preserve"> </w:t>
                </w:r>
              </w:p>
            </w:txbxContent>
          </v:textbox>
          <w10:wrap anchorx="page" anchory="page"/>
        </v:shape>
      </w:pic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82200" w14:textId="77777777" w:rsidR="001008C3" w:rsidRDefault="00000000">
    <w:pPr>
      <w:pStyle w:val="a3"/>
      <w:spacing w:line="14" w:lineRule="auto"/>
    </w:pPr>
    <w:r>
      <w:rPr>
        <w:noProof w:val="0"/>
      </w:rPr>
      <w:pict w14:anchorId="6B32E998">
        <v:shapetype id="_x0000_t202" coordsize="21600,21600" o:spt="202" path="m,l,21600r21600,l21600,xe">
          <v:stroke joinstyle="miter"/>
          <v:path gradientshapeok="t" o:connecttype="rect"/>
        </v:shapetype>
        <v:shape id="_x0000_s1526" type="#_x0000_t202" style="position:absolute;margin-left:65.4pt;margin-top:594.5pt;width:116.6pt;height:12.55pt;z-index:-458680;mso-position-horizontal-relative:page;mso-position-vertical-relative:page" filled="f" stroked="f">
          <v:textbox inset="0,0,0,0">
            <w:txbxContent>
              <w:p w14:paraId="3C21FACF"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1B385964">
        <v:shape id="_x0000_s1525" type="#_x0000_t202" style="position:absolute;margin-left:356.1pt;margin-top:594.5pt;width:20.8pt;height:12.55pt;z-index:-458656;mso-position-horizontal-relative:page;mso-position-vertical-relative:page" filled="f" stroked="f">
          <v:textbox inset="0,0,0,0">
            <w:txbxContent>
              <w:p w14:paraId="4BE805E1" w14:textId="77777777" w:rsidR="001008C3" w:rsidRDefault="001008C3">
                <w:pPr>
                  <w:spacing w:before="19"/>
                  <w:ind w:left="20"/>
                  <w:rPr>
                    <w:sz w:val="18"/>
                  </w:rPr>
                </w:pPr>
                <w:r>
                  <w:rPr>
                    <w:color w:val="231F20"/>
                    <w:sz w:val="18"/>
                  </w:rPr>
                  <w:t xml:space="preserve">191 </w:t>
                </w:r>
              </w:p>
            </w:txbxContent>
          </v:textbox>
          <w10:wrap anchorx="page" anchory="page"/>
        </v:shape>
      </w:pic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9CDF0" w14:textId="77777777" w:rsidR="001008C3" w:rsidRDefault="00000000">
    <w:pPr>
      <w:pStyle w:val="a3"/>
      <w:spacing w:line="14" w:lineRule="auto"/>
    </w:pPr>
    <w:r>
      <w:rPr>
        <w:noProof w:val="0"/>
      </w:rPr>
      <w:pict w14:anchorId="5BCA1DD4">
        <v:shapetype id="_x0000_t202" coordsize="21600,21600" o:spt="202" path="m,l,21600r21600,l21600,xe">
          <v:stroke joinstyle="miter"/>
          <v:path gradientshapeok="t" o:connecttype="rect"/>
        </v:shapetype>
        <v:shape id="_x0000_s1524" type="#_x0000_t202" style="position:absolute;margin-left:55.4pt;margin-top:594.5pt;width:22.8pt;height:12.55pt;z-index:-458632;mso-position-horizontal-relative:page;mso-position-vertical-relative:page" filled="f" stroked="f">
          <v:textbox inset="0,0,0,0">
            <w:txbxContent>
              <w:p w14:paraId="03A1A2C1" w14:textId="77777777" w:rsidR="001008C3" w:rsidRDefault="001008C3">
                <w:pPr>
                  <w:spacing w:before="19"/>
                  <w:ind w:left="40"/>
                  <w:rPr>
                    <w:sz w:val="18"/>
                  </w:rPr>
                </w:pPr>
                <w:r>
                  <w:rPr>
                    <w:color w:val="231F20"/>
                    <w:sz w:val="18"/>
                  </w:rPr>
                  <w:t xml:space="preserve">192 </w:t>
                </w:r>
              </w:p>
            </w:txbxContent>
          </v:textbox>
          <w10:wrap anchorx="page" anchory="page"/>
        </v:shape>
      </w:pict>
    </w:r>
    <w:r>
      <w:rPr>
        <w:noProof w:val="0"/>
      </w:rPr>
      <w:pict w14:anchorId="73E7394F">
        <v:shape id="_x0000_s1523" type="#_x0000_t202" style="position:absolute;margin-left:90.4pt;margin-top:594.5pt;width:277.1pt;height:12.55pt;z-index:-458608;mso-position-horizontal-relative:page;mso-position-vertical-relative:page" filled="f" stroked="f">
          <v:textbox inset="0,0,0,0">
            <w:txbxContent>
              <w:p w14:paraId="31C639E5" w14:textId="77777777" w:rsidR="001008C3" w:rsidRDefault="001008C3">
                <w:pPr>
                  <w:tabs>
                    <w:tab w:val="left" w:pos="5297"/>
                  </w:tabs>
                  <w:spacing w:before="19"/>
                  <w:ind w:left="20"/>
                  <w:rPr>
                    <w:sz w:val="14"/>
                  </w:rPr>
                </w:pPr>
                <w:r>
                  <w:rPr>
                    <w:color w:val="231F20"/>
                    <w:spacing w:val="15"/>
                    <w:w w:val="115"/>
                    <w:sz w:val="18"/>
                  </w:rPr>
                  <w:t xml:space="preserve">black  </w:t>
                </w:r>
                <w:r>
                  <w:rPr>
                    <w:color w:val="231F20"/>
                    <w:spacing w:val="18"/>
                    <w:w w:val="115"/>
                    <w:sz w:val="18"/>
                  </w:rPr>
                  <w:t xml:space="preserve">september: </w:t>
                </w:r>
                <w:r>
                  <w:rPr>
                    <w:color w:val="231F20"/>
                    <w:w w:val="115"/>
                    <w:sz w:val="18"/>
                  </w:rPr>
                  <w:t xml:space="preserve">a  </w:t>
                </w:r>
                <w:r>
                  <w:rPr>
                    <w:color w:val="231F20"/>
                    <w:spacing w:val="17"/>
                    <w:w w:val="115"/>
                    <w:sz w:val="18"/>
                  </w:rPr>
                  <w:t xml:space="preserve">statement </w:t>
                </w:r>
                <w:r>
                  <w:rPr>
                    <w:color w:val="231F20"/>
                    <w:spacing w:val="15"/>
                    <w:w w:val="115"/>
                    <w:sz w:val="18"/>
                  </w:rPr>
                  <w:t>from</w:t>
                </w:r>
                <w:r>
                  <w:rPr>
                    <w:color w:val="231F20"/>
                    <w:spacing w:val="20"/>
                    <w:w w:val="115"/>
                    <w:sz w:val="18"/>
                  </w:rPr>
                  <w:t xml:space="preserve"> </w:t>
                </w:r>
                <w:r>
                  <w:rPr>
                    <w:color w:val="231F20"/>
                    <w:spacing w:val="17"/>
                    <w:w w:val="115"/>
                    <w:sz w:val="18"/>
                  </w:rPr>
                  <w:t>behind</w:t>
                </w:r>
                <w:r>
                  <w:rPr>
                    <w:color w:val="231F20"/>
                    <w:spacing w:val="35"/>
                    <w:w w:val="115"/>
                    <w:sz w:val="18"/>
                  </w:rPr>
                  <w:t xml:space="preserve"> </w:t>
                </w:r>
                <w:r>
                  <w:rPr>
                    <w:color w:val="231F20"/>
                    <w:spacing w:val="13"/>
                    <w:w w:val="115"/>
                    <w:sz w:val="18"/>
                  </w:rPr>
                  <w:t>bars</w:t>
                </w:r>
                <w:r>
                  <w:rPr>
                    <w:color w:val="231F20"/>
                    <w:spacing w:val="13"/>
                    <w:w w:val="115"/>
                    <w:sz w:val="18"/>
                  </w:rPr>
                  <w:tab/>
                </w:r>
                <w:r>
                  <w:rPr>
                    <w:color w:val="231F20"/>
                    <w:spacing w:val="10"/>
                    <w:w w:val="105"/>
                    <w:sz w:val="14"/>
                  </w:rPr>
                  <w:t>(6)</w:t>
                </w:r>
                <w:r>
                  <w:rPr>
                    <w:color w:val="231F20"/>
                    <w:spacing w:val="-13"/>
                    <w:sz w:val="14"/>
                  </w:rPr>
                  <w:t xml:space="preserve"> </w:t>
                </w:r>
              </w:p>
            </w:txbxContent>
          </v:textbox>
          <w10:wrap anchorx="page" anchory="page"/>
        </v:shape>
      </w:pic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31B44" w14:textId="77777777" w:rsidR="001008C3" w:rsidRDefault="00000000">
    <w:pPr>
      <w:pStyle w:val="a3"/>
      <w:spacing w:line="14" w:lineRule="auto"/>
    </w:pPr>
    <w:r>
      <w:rPr>
        <w:noProof w:val="0"/>
      </w:rPr>
      <w:pict w14:anchorId="088E901A">
        <v:shapetype id="_x0000_t202" coordsize="21600,21600" o:spt="202" path="m,l,21600r21600,l21600,xe">
          <v:stroke joinstyle="miter"/>
          <v:path gradientshapeok="t" o:connecttype="rect"/>
        </v:shapetype>
        <v:shape id="_x0000_s1520" type="#_x0000_t202" style="position:absolute;margin-left:55.4pt;margin-top:594.5pt;width:22.8pt;height:12.55pt;z-index:-458536;mso-position-horizontal-relative:page;mso-position-vertical-relative:page" filled="f" stroked="f">
          <v:textbox inset="0,0,0,0">
            <w:txbxContent>
              <w:p w14:paraId="6AEF16C1"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194</w:t>
                </w:r>
                <w:r>
                  <w:fldChar w:fldCharType="end"/>
                </w:r>
                <w:r>
                  <w:rPr>
                    <w:color w:val="231F20"/>
                    <w:sz w:val="18"/>
                  </w:rPr>
                  <w:t xml:space="preserve"> </w:t>
                </w:r>
              </w:p>
            </w:txbxContent>
          </v:textbox>
          <w10:wrap anchorx="page" anchory="page"/>
        </v:shape>
      </w:pict>
    </w:r>
    <w:r>
      <w:rPr>
        <w:noProof w:val="0"/>
      </w:rPr>
      <w:pict w14:anchorId="603AE76C">
        <v:shape id="_x0000_s1519" type="#_x0000_t202" style="position:absolute;margin-left:90.4pt;margin-top:594.5pt;width:277.1pt;height:12.55pt;z-index:-458512;mso-position-horizontal-relative:page;mso-position-vertical-relative:page" filled="f" stroked="f">
          <v:textbox inset="0,0,0,0">
            <w:txbxContent>
              <w:p w14:paraId="13694D29" w14:textId="77777777" w:rsidR="001008C3" w:rsidRDefault="001008C3">
                <w:pPr>
                  <w:tabs>
                    <w:tab w:val="left" w:pos="5297"/>
                  </w:tabs>
                  <w:spacing w:before="19"/>
                  <w:ind w:left="20"/>
                  <w:rPr>
                    <w:sz w:val="14"/>
                  </w:rPr>
                </w:pPr>
                <w:r>
                  <w:rPr>
                    <w:color w:val="231F20"/>
                    <w:spacing w:val="15"/>
                    <w:w w:val="115"/>
                    <w:sz w:val="18"/>
                  </w:rPr>
                  <w:t xml:space="preserve">black  </w:t>
                </w:r>
                <w:r>
                  <w:rPr>
                    <w:color w:val="231F20"/>
                    <w:spacing w:val="18"/>
                    <w:w w:val="115"/>
                    <w:sz w:val="18"/>
                  </w:rPr>
                  <w:t xml:space="preserve">september: </w:t>
                </w:r>
                <w:r>
                  <w:rPr>
                    <w:color w:val="231F20"/>
                    <w:w w:val="115"/>
                    <w:sz w:val="18"/>
                  </w:rPr>
                  <w:t xml:space="preserve">a  </w:t>
                </w:r>
                <w:r>
                  <w:rPr>
                    <w:color w:val="231F20"/>
                    <w:spacing w:val="17"/>
                    <w:w w:val="115"/>
                    <w:sz w:val="18"/>
                  </w:rPr>
                  <w:t xml:space="preserve">statement </w:t>
                </w:r>
                <w:r>
                  <w:rPr>
                    <w:color w:val="231F20"/>
                    <w:spacing w:val="15"/>
                    <w:w w:val="115"/>
                    <w:sz w:val="18"/>
                  </w:rPr>
                  <w:t>from</w:t>
                </w:r>
                <w:r>
                  <w:rPr>
                    <w:color w:val="231F20"/>
                    <w:spacing w:val="20"/>
                    <w:w w:val="115"/>
                    <w:sz w:val="18"/>
                  </w:rPr>
                  <w:t xml:space="preserve"> </w:t>
                </w:r>
                <w:r>
                  <w:rPr>
                    <w:color w:val="231F20"/>
                    <w:spacing w:val="17"/>
                    <w:w w:val="115"/>
                    <w:sz w:val="18"/>
                  </w:rPr>
                  <w:t>behind</w:t>
                </w:r>
                <w:r>
                  <w:rPr>
                    <w:color w:val="231F20"/>
                    <w:spacing w:val="35"/>
                    <w:w w:val="115"/>
                    <w:sz w:val="18"/>
                  </w:rPr>
                  <w:t xml:space="preserve"> </w:t>
                </w:r>
                <w:r>
                  <w:rPr>
                    <w:color w:val="231F20"/>
                    <w:spacing w:val="13"/>
                    <w:w w:val="115"/>
                    <w:sz w:val="18"/>
                  </w:rPr>
                  <w:t>bars</w:t>
                </w:r>
                <w:r>
                  <w:rPr>
                    <w:color w:val="231F20"/>
                    <w:spacing w:val="13"/>
                    <w:w w:val="115"/>
                    <w:sz w:val="18"/>
                  </w:rPr>
                  <w:tab/>
                </w:r>
                <w:r>
                  <w:rPr>
                    <w:color w:val="231F20"/>
                    <w:spacing w:val="10"/>
                    <w:w w:val="105"/>
                    <w:sz w:val="14"/>
                  </w:rPr>
                  <w:t>(6)</w:t>
                </w:r>
                <w:r>
                  <w:rPr>
                    <w:color w:val="231F20"/>
                    <w:spacing w:val="-13"/>
                    <w:sz w:val="14"/>
                  </w:rPr>
                  <w:t xml:space="preserve"> </w:t>
                </w:r>
              </w:p>
            </w:txbxContent>
          </v:textbox>
          <w10:wrap anchorx="page" anchory="page"/>
        </v:shape>
      </w:pic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50F4A" w14:textId="77777777" w:rsidR="001008C3" w:rsidRDefault="00000000">
    <w:pPr>
      <w:pStyle w:val="a3"/>
      <w:spacing w:line="14" w:lineRule="auto"/>
    </w:pPr>
    <w:r>
      <w:rPr>
        <w:noProof w:val="0"/>
      </w:rPr>
      <w:pict w14:anchorId="4ECCF9FE">
        <v:shapetype id="_x0000_t202" coordsize="21600,21600" o:spt="202" path="m,l,21600r21600,l21600,xe">
          <v:stroke joinstyle="miter"/>
          <v:path gradientshapeok="t" o:connecttype="rect"/>
        </v:shapetype>
        <v:shape id="_x0000_s1522" type="#_x0000_t202" style="position:absolute;margin-left:65.4pt;margin-top:594.5pt;width:116.6pt;height:12.55pt;z-index:-458584;mso-position-horizontal-relative:page;mso-position-vertical-relative:page" filled="f" stroked="f">
          <v:textbox inset="0,0,0,0">
            <w:txbxContent>
              <w:p w14:paraId="2E081E7A"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289F645C">
        <v:shape id="_x0000_s1521" type="#_x0000_t202" style="position:absolute;margin-left:355.1pt;margin-top:594.5pt;width:22.8pt;height:12.55pt;z-index:-458560;mso-position-horizontal-relative:page;mso-position-vertical-relative:page" filled="f" stroked="f">
          <v:textbox inset="0,0,0,0">
            <w:txbxContent>
              <w:p w14:paraId="14031779"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193</w:t>
                </w:r>
                <w:r>
                  <w:fldChar w:fldCharType="end"/>
                </w:r>
                <w:r>
                  <w:rPr>
                    <w:color w:val="231F20"/>
                    <w:sz w:val="18"/>
                  </w:rPr>
                  <w:t xml:space="preserve"> </w:t>
                </w:r>
              </w:p>
            </w:txbxContent>
          </v:textbox>
          <w10:wrap anchorx="page" anchory="page"/>
        </v:shape>
      </w:pic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D19A" w14:textId="77777777" w:rsidR="001008C3" w:rsidRDefault="00000000">
    <w:pPr>
      <w:pStyle w:val="a3"/>
      <w:spacing w:line="14" w:lineRule="auto"/>
    </w:pPr>
    <w:r>
      <w:rPr>
        <w:noProof w:val="0"/>
      </w:rPr>
      <w:pict w14:anchorId="05D9E428">
        <v:shapetype id="_x0000_t202" coordsize="21600,21600" o:spt="202" path="m,l,21600r21600,l21600,xe">
          <v:stroke joinstyle="miter"/>
          <v:path gradientshapeok="t" o:connecttype="rect"/>
        </v:shapetype>
        <v:shape id="_x0000_s1517" type="#_x0000_t202" style="position:absolute;margin-left:55.4pt;margin-top:594.5pt;width:22.8pt;height:12.55pt;z-index:-458464;mso-position-horizontal-relative:page;mso-position-vertical-relative:page" filled="f" stroked="f">
          <v:textbox inset="0,0,0,0">
            <w:txbxContent>
              <w:p w14:paraId="31CC932F"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206</w:t>
                </w:r>
                <w:r>
                  <w:fldChar w:fldCharType="end"/>
                </w:r>
                <w:r>
                  <w:rPr>
                    <w:color w:val="231F20"/>
                    <w:sz w:val="18"/>
                  </w:rPr>
                  <w:t xml:space="preserve"> </w:t>
                </w:r>
              </w:p>
            </w:txbxContent>
          </v:textbox>
          <w10:wrap anchorx="page" anchory="page"/>
        </v:shape>
      </w:pict>
    </w:r>
    <w:r>
      <w:rPr>
        <w:noProof w:val="0"/>
      </w:rPr>
      <w:pict w14:anchorId="131297FE">
        <v:shape id="_x0000_s1516" type="#_x0000_t202" style="position:absolute;margin-left:90.4pt;margin-top:594.5pt;width:277.1pt;height:12.55pt;z-index:-458440;mso-position-horizontal-relative:page;mso-position-vertical-relative:page" filled="f" stroked="f">
          <v:textbox inset="0,0,0,0">
            <w:txbxContent>
              <w:p w14:paraId="348AA021" w14:textId="77777777" w:rsidR="001008C3" w:rsidRDefault="001008C3">
                <w:pPr>
                  <w:tabs>
                    <w:tab w:val="left" w:pos="5297"/>
                  </w:tabs>
                  <w:spacing w:before="19"/>
                  <w:ind w:left="20"/>
                  <w:rPr>
                    <w:sz w:val="14"/>
                  </w:rPr>
                </w:pPr>
                <w:r>
                  <w:rPr>
                    <w:color w:val="231F20"/>
                    <w:spacing w:val="15"/>
                    <w:w w:val="115"/>
                    <w:sz w:val="18"/>
                  </w:rPr>
                  <w:t xml:space="preserve">black  </w:t>
                </w:r>
                <w:r>
                  <w:rPr>
                    <w:color w:val="231F20"/>
                    <w:spacing w:val="18"/>
                    <w:w w:val="115"/>
                    <w:sz w:val="18"/>
                  </w:rPr>
                  <w:t xml:space="preserve">september: </w:t>
                </w:r>
                <w:r>
                  <w:rPr>
                    <w:color w:val="231F20"/>
                    <w:w w:val="115"/>
                    <w:sz w:val="18"/>
                  </w:rPr>
                  <w:t xml:space="preserve">a  </w:t>
                </w:r>
                <w:r>
                  <w:rPr>
                    <w:color w:val="231F20"/>
                    <w:spacing w:val="17"/>
                    <w:w w:val="115"/>
                    <w:sz w:val="18"/>
                  </w:rPr>
                  <w:t xml:space="preserve">statement </w:t>
                </w:r>
                <w:r>
                  <w:rPr>
                    <w:color w:val="231F20"/>
                    <w:spacing w:val="15"/>
                    <w:w w:val="115"/>
                    <w:sz w:val="18"/>
                  </w:rPr>
                  <w:t>from</w:t>
                </w:r>
                <w:r>
                  <w:rPr>
                    <w:color w:val="231F20"/>
                    <w:spacing w:val="20"/>
                    <w:w w:val="115"/>
                    <w:sz w:val="18"/>
                  </w:rPr>
                  <w:t xml:space="preserve"> </w:t>
                </w:r>
                <w:r>
                  <w:rPr>
                    <w:color w:val="231F20"/>
                    <w:spacing w:val="17"/>
                    <w:w w:val="115"/>
                    <w:sz w:val="18"/>
                  </w:rPr>
                  <w:t>behind</w:t>
                </w:r>
                <w:r>
                  <w:rPr>
                    <w:color w:val="231F20"/>
                    <w:spacing w:val="35"/>
                    <w:w w:val="115"/>
                    <w:sz w:val="18"/>
                  </w:rPr>
                  <w:t xml:space="preserve"> </w:t>
                </w:r>
                <w:r>
                  <w:rPr>
                    <w:color w:val="231F20"/>
                    <w:spacing w:val="13"/>
                    <w:w w:val="115"/>
                    <w:sz w:val="18"/>
                  </w:rPr>
                  <w:t>bars</w:t>
                </w:r>
                <w:r>
                  <w:rPr>
                    <w:color w:val="231F20"/>
                    <w:spacing w:val="13"/>
                    <w:w w:val="115"/>
                    <w:sz w:val="18"/>
                  </w:rPr>
                  <w:tab/>
                </w:r>
                <w:r>
                  <w:rPr>
                    <w:color w:val="231F20"/>
                    <w:spacing w:val="10"/>
                    <w:w w:val="105"/>
                    <w:sz w:val="14"/>
                  </w:rPr>
                  <w:t>(6)</w:t>
                </w:r>
                <w:r>
                  <w:rPr>
                    <w:color w:val="231F20"/>
                    <w:spacing w:val="-13"/>
                    <w:sz w:val="14"/>
                  </w:rPr>
                  <w:t xml:space="preserve"> </w:t>
                </w:r>
              </w:p>
            </w:txbxContent>
          </v:textbox>
          <w10:wrap anchorx="page" anchory="page"/>
        </v:shape>
      </w:pic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B1B64" w14:textId="77777777" w:rsidR="001008C3" w:rsidRDefault="00000000">
    <w:pPr>
      <w:pStyle w:val="a3"/>
      <w:spacing w:line="14" w:lineRule="auto"/>
    </w:pPr>
    <w:r>
      <w:rPr>
        <w:noProof w:val="0"/>
      </w:rPr>
      <w:pict w14:anchorId="4B5DAD5C">
        <v:shapetype id="_x0000_t202" coordsize="21600,21600" o:spt="202" path="m,l,21600r21600,l21600,xe">
          <v:stroke joinstyle="miter"/>
          <v:path gradientshapeok="t" o:connecttype="rect"/>
        </v:shapetype>
        <v:shape id="_x0000_s1518" type="#_x0000_t202" style="position:absolute;margin-left:65.4pt;margin-top:594.5pt;width:312.5pt;height:12.55pt;z-index:-458488;mso-position-horizontal-relative:page;mso-position-vertical-relative:page" filled="f" stroked="f">
          <v:textbox inset="0,0,0,0">
            <w:txbxContent>
              <w:p w14:paraId="0C02499B" w14:textId="77777777" w:rsidR="001008C3" w:rsidRDefault="001008C3">
                <w:pPr>
                  <w:spacing w:before="19"/>
                  <w:ind w:left="20"/>
                  <w:rPr>
                    <w:sz w:val="18"/>
                  </w:rPr>
                </w:pPr>
                <w:r>
                  <w:rPr>
                    <w:color w:val="231F20"/>
                    <w:w w:val="110"/>
                    <w:sz w:val="18"/>
                  </w:rPr>
                  <w:t xml:space="preserve">november 1972 • the black september action in munich </w:t>
                </w:r>
                <w:r>
                  <w:fldChar w:fldCharType="begin"/>
                </w:r>
                <w:r>
                  <w:rPr>
                    <w:color w:val="231F20"/>
                    <w:w w:val="110"/>
                    <w:sz w:val="18"/>
                  </w:rPr>
                  <w:instrText xml:space="preserve"> PAGE </w:instrText>
                </w:r>
                <w:r>
                  <w:fldChar w:fldCharType="separate"/>
                </w:r>
                <w:r>
                  <w:t>205</w:t>
                </w:r>
                <w:r>
                  <w:fldChar w:fldCharType="end"/>
                </w:r>
                <w:r>
                  <w:rPr>
                    <w:color w:val="231F20"/>
                    <w:sz w:val="18"/>
                  </w:rPr>
                  <w:t xml:space="preserve"> </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788C5" w14:textId="77777777" w:rsidR="001008C3" w:rsidRDefault="00000000">
    <w:pPr>
      <w:pStyle w:val="a3"/>
      <w:spacing w:line="14" w:lineRule="auto"/>
    </w:pPr>
    <w:r>
      <w:rPr>
        <w:noProof w:val="0"/>
      </w:rPr>
      <w:pict w14:anchorId="44BA37AA">
        <v:shapetype id="_x0000_t202" coordsize="21600,21600" o:spt="202" path="m,l,21600r21600,l21600,xe">
          <v:stroke joinstyle="miter"/>
          <v:path gradientshapeok="t" o:connecttype="rect"/>
        </v:shapetype>
        <v:shape id="_x0000_s1722" type="#_x0000_t202" style="position:absolute;margin-left:356.1pt;margin-top:594.5pt;width:20.8pt;height:12.55pt;z-index:-463384;mso-position-horizontal-relative:page;mso-position-vertical-relative:page" filled="f" stroked="f">
          <v:textbox inset="0,0,0,0">
            <w:txbxContent>
              <w:p w14:paraId="360E2B8A" w14:textId="77777777" w:rsidR="001008C3" w:rsidRDefault="001008C3">
                <w:pPr>
                  <w:spacing w:before="19"/>
                  <w:ind w:left="20"/>
                  <w:rPr>
                    <w:sz w:val="18"/>
                  </w:rPr>
                </w:pPr>
                <w:r>
                  <w:rPr>
                    <w:color w:val="231F20"/>
                    <w:w w:val="115"/>
                    <w:sz w:val="18"/>
                  </w:rPr>
                  <w:t>xxv</w:t>
                </w:r>
                <w:r>
                  <w:rPr>
                    <w:color w:val="231F20"/>
                    <w:sz w:val="18"/>
                  </w:rPr>
                  <w:t xml:space="preserve"> </w:t>
                </w:r>
              </w:p>
            </w:txbxContent>
          </v:textbox>
          <w10:wrap anchorx="page" anchory="page"/>
        </v:shape>
      </w:pic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692AC" w14:textId="77777777" w:rsidR="001008C3" w:rsidRDefault="00000000">
    <w:pPr>
      <w:pStyle w:val="a3"/>
      <w:spacing w:line="14" w:lineRule="auto"/>
    </w:pPr>
    <w:r>
      <w:rPr>
        <w:noProof w:val="0"/>
      </w:rPr>
      <w:pict w14:anchorId="63D08434">
        <v:shapetype id="_x0000_t202" coordsize="21600,21600" o:spt="202" path="m,l,21600r21600,l21600,xe">
          <v:stroke joinstyle="miter"/>
          <v:path gradientshapeok="t" o:connecttype="rect"/>
        </v:shapetype>
        <v:shape id="_x0000_s1513" type="#_x0000_t202" style="position:absolute;margin-left:65.4pt;margin-top:594.5pt;width:311.5pt;height:12.55pt;z-index:-458368;mso-position-horizontal-relative:page;mso-position-vertical-relative:page" filled="f" stroked="f">
          <v:textbox inset="0,0,0,0">
            <w:txbxContent>
              <w:p w14:paraId="64243783" w14:textId="77777777" w:rsidR="001008C3" w:rsidRDefault="001008C3">
                <w:pPr>
                  <w:spacing w:before="19"/>
                  <w:ind w:left="20"/>
                  <w:rPr>
                    <w:sz w:val="18"/>
                  </w:rPr>
                </w:pPr>
                <w:r>
                  <w:rPr>
                    <w:color w:val="231F20"/>
                    <w:w w:val="110"/>
                    <w:sz w:val="18"/>
                  </w:rPr>
                  <w:t>november 1972 • the black september action in munich 211</w:t>
                </w:r>
                <w:r>
                  <w:rPr>
                    <w:color w:val="231F20"/>
                    <w:sz w:val="18"/>
                  </w:rPr>
                  <w:t xml:space="preserve"> </w:t>
                </w:r>
              </w:p>
            </w:txbxContent>
          </v:textbox>
          <w10:wrap anchorx="page" anchory="page"/>
        </v:shape>
      </w:pic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41E7" w14:textId="77777777" w:rsidR="001008C3" w:rsidRDefault="00000000">
    <w:pPr>
      <w:pStyle w:val="a3"/>
      <w:spacing w:line="14" w:lineRule="auto"/>
    </w:pPr>
    <w:r>
      <w:rPr>
        <w:noProof w:val="0"/>
      </w:rPr>
      <w:pict w14:anchorId="516C9A4D">
        <v:shapetype id="_x0000_t202" coordsize="21600,21600" o:spt="202" path="m,l,21600r21600,l21600,xe">
          <v:stroke joinstyle="miter"/>
          <v:path gradientshapeok="t" o:connecttype="rect"/>
        </v:shapetype>
        <v:shape id="_x0000_s1515" type="#_x0000_t202" style="position:absolute;margin-left:56.4pt;margin-top:594.5pt;width:20.8pt;height:12.55pt;z-index:-458416;mso-position-horizontal-relative:page;mso-position-vertical-relative:page" filled="f" stroked="f">
          <v:textbox inset="0,0,0,0">
            <w:txbxContent>
              <w:p w14:paraId="32A2B8AE" w14:textId="77777777" w:rsidR="001008C3" w:rsidRDefault="001008C3">
                <w:pPr>
                  <w:spacing w:before="19"/>
                  <w:ind w:left="20"/>
                  <w:rPr>
                    <w:sz w:val="18"/>
                  </w:rPr>
                </w:pPr>
                <w:r>
                  <w:rPr>
                    <w:color w:val="231F20"/>
                    <w:sz w:val="18"/>
                  </w:rPr>
                  <w:t xml:space="preserve">210 </w:t>
                </w:r>
              </w:p>
            </w:txbxContent>
          </v:textbox>
          <w10:wrap anchorx="page" anchory="page"/>
        </v:shape>
      </w:pict>
    </w:r>
    <w:r>
      <w:rPr>
        <w:noProof w:val="0"/>
      </w:rPr>
      <w:pict w14:anchorId="4E686CE4">
        <v:shape id="_x0000_s1514" type="#_x0000_t202" style="position:absolute;margin-left:90.4pt;margin-top:594.5pt;width:277.1pt;height:12.55pt;z-index:-458392;mso-position-horizontal-relative:page;mso-position-vertical-relative:page" filled="f" stroked="f">
          <v:textbox inset="0,0,0,0">
            <w:txbxContent>
              <w:p w14:paraId="690CEBA3" w14:textId="77777777" w:rsidR="001008C3" w:rsidRDefault="001008C3">
                <w:pPr>
                  <w:tabs>
                    <w:tab w:val="left" w:pos="5297"/>
                  </w:tabs>
                  <w:spacing w:before="19"/>
                  <w:ind w:left="20"/>
                  <w:rPr>
                    <w:sz w:val="14"/>
                  </w:rPr>
                </w:pPr>
                <w:r>
                  <w:rPr>
                    <w:color w:val="231F20"/>
                    <w:spacing w:val="15"/>
                    <w:w w:val="115"/>
                    <w:sz w:val="18"/>
                  </w:rPr>
                  <w:t xml:space="preserve">black  </w:t>
                </w:r>
                <w:r>
                  <w:rPr>
                    <w:color w:val="231F20"/>
                    <w:spacing w:val="18"/>
                    <w:w w:val="115"/>
                    <w:sz w:val="18"/>
                  </w:rPr>
                  <w:t xml:space="preserve">september: </w:t>
                </w:r>
                <w:r>
                  <w:rPr>
                    <w:color w:val="231F20"/>
                    <w:w w:val="115"/>
                    <w:sz w:val="18"/>
                  </w:rPr>
                  <w:t xml:space="preserve">a  </w:t>
                </w:r>
                <w:r>
                  <w:rPr>
                    <w:color w:val="231F20"/>
                    <w:spacing w:val="17"/>
                    <w:w w:val="115"/>
                    <w:sz w:val="18"/>
                  </w:rPr>
                  <w:t xml:space="preserve">statement </w:t>
                </w:r>
                <w:r>
                  <w:rPr>
                    <w:color w:val="231F20"/>
                    <w:spacing w:val="15"/>
                    <w:w w:val="115"/>
                    <w:sz w:val="18"/>
                  </w:rPr>
                  <w:t>from</w:t>
                </w:r>
                <w:r>
                  <w:rPr>
                    <w:color w:val="231F20"/>
                    <w:spacing w:val="20"/>
                    <w:w w:val="115"/>
                    <w:sz w:val="18"/>
                  </w:rPr>
                  <w:t xml:space="preserve"> </w:t>
                </w:r>
                <w:r>
                  <w:rPr>
                    <w:color w:val="231F20"/>
                    <w:spacing w:val="17"/>
                    <w:w w:val="115"/>
                    <w:sz w:val="18"/>
                  </w:rPr>
                  <w:t>behind</w:t>
                </w:r>
                <w:r>
                  <w:rPr>
                    <w:color w:val="231F20"/>
                    <w:spacing w:val="35"/>
                    <w:w w:val="115"/>
                    <w:sz w:val="18"/>
                  </w:rPr>
                  <w:t xml:space="preserve"> </w:t>
                </w:r>
                <w:r>
                  <w:rPr>
                    <w:color w:val="231F20"/>
                    <w:spacing w:val="13"/>
                    <w:w w:val="115"/>
                    <w:sz w:val="18"/>
                  </w:rPr>
                  <w:t>bars</w:t>
                </w:r>
                <w:r>
                  <w:rPr>
                    <w:color w:val="231F20"/>
                    <w:spacing w:val="13"/>
                    <w:w w:val="115"/>
                    <w:sz w:val="18"/>
                  </w:rPr>
                  <w:tab/>
                </w:r>
                <w:r>
                  <w:rPr>
                    <w:color w:val="231F20"/>
                    <w:spacing w:val="10"/>
                    <w:w w:val="105"/>
                    <w:sz w:val="14"/>
                  </w:rPr>
                  <w:t>(6)</w:t>
                </w:r>
                <w:r>
                  <w:rPr>
                    <w:color w:val="231F20"/>
                    <w:spacing w:val="-13"/>
                    <w:sz w:val="14"/>
                  </w:rPr>
                  <w:t xml:space="preserve"> </w:t>
                </w:r>
              </w:p>
            </w:txbxContent>
          </v:textbox>
          <w10:wrap anchorx="page" anchory="page"/>
        </v:shape>
      </w:pic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6420C" w14:textId="77777777" w:rsidR="001008C3" w:rsidRDefault="00000000">
    <w:pPr>
      <w:pStyle w:val="a3"/>
      <w:spacing w:line="14" w:lineRule="auto"/>
    </w:pPr>
    <w:r>
      <w:rPr>
        <w:noProof w:val="0"/>
      </w:rPr>
      <w:pict w14:anchorId="17263668">
        <v:shapetype id="_x0000_t202" coordsize="21600,21600" o:spt="202" path="m,l,21600r21600,l21600,xe">
          <v:stroke joinstyle="miter"/>
          <v:path gradientshapeok="t" o:connecttype="rect"/>
        </v:shapetype>
        <v:shape id="_x0000_s1512" type="#_x0000_t202" style="position:absolute;margin-left:55.4pt;margin-top:594.5pt;width:22.8pt;height:12.55pt;z-index:-458344;mso-position-horizontal-relative:page;mso-position-vertical-relative:page" filled="f" stroked="f">
          <v:textbox inset="0,0,0,0">
            <w:txbxContent>
              <w:p w14:paraId="5C7359FA"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212</w:t>
                </w:r>
                <w:r>
                  <w:fldChar w:fldCharType="end"/>
                </w:r>
                <w:r>
                  <w:rPr>
                    <w:color w:val="231F20"/>
                    <w:sz w:val="18"/>
                  </w:rPr>
                  <w:t xml:space="preserve"> </w:t>
                </w:r>
              </w:p>
            </w:txbxContent>
          </v:textbox>
          <w10:wrap anchorx="page" anchory="page"/>
        </v:shape>
      </w:pict>
    </w:r>
    <w:r>
      <w:rPr>
        <w:noProof w:val="0"/>
      </w:rPr>
      <w:pict w14:anchorId="3001E383">
        <v:shape id="_x0000_s1511" type="#_x0000_t202" style="position:absolute;margin-left:90.4pt;margin-top:594.5pt;width:277.1pt;height:12.55pt;z-index:-458320;mso-position-horizontal-relative:page;mso-position-vertical-relative:page" filled="f" stroked="f">
          <v:textbox inset="0,0,0,0">
            <w:txbxContent>
              <w:p w14:paraId="1CFFFA22" w14:textId="77777777" w:rsidR="001008C3" w:rsidRDefault="001008C3">
                <w:pPr>
                  <w:tabs>
                    <w:tab w:val="left" w:pos="5297"/>
                  </w:tabs>
                  <w:spacing w:before="19"/>
                  <w:ind w:left="20"/>
                  <w:rPr>
                    <w:sz w:val="14"/>
                  </w:rPr>
                </w:pPr>
                <w:r>
                  <w:rPr>
                    <w:color w:val="231F20"/>
                    <w:spacing w:val="15"/>
                    <w:w w:val="115"/>
                    <w:sz w:val="18"/>
                  </w:rPr>
                  <w:t xml:space="preserve">black  </w:t>
                </w:r>
                <w:r>
                  <w:rPr>
                    <w:color w:val="231F20"/>
                    <w:spacing w:val="18"/>
                    <w:w w:val="115"/>
                    <w:sz w:val="18"/>
                  </w:rPr>
                  <w:t xml:space="preserve">september: </w:t>
                </w:r>
                <w:r>
                  <w:rPr>
                    <w:color w:val="231F20"/>
                    <w:w w:val="115"/>
                    <w:sz w:val="18"/>
                  </w:rPr>
                  <w:t xml:space="preserve">a  </w:t>
                </w:r>
                <w:r>
                  <w:rPr>
                    <w:color w:val="231F20"/>
                    <w:spacing w:val="17"/>
                    <w:w w:val="115"/>
                    <w:sz w:val="18"/>
                  </w:rPr>
                  <w:t xml:space="preserve">statement </w:t>
                </w:r>
                <w:r>
                  <w:rPr>
                    <w:color w:val="231F20"/>
                    <w:spacing w:val="15"/>
                    <w:w w:val="115"/>
                    <w:sz w:val="18"/>
                  </w:rPr>
                  <w:t>from</w:t>
                </w:r>
                <w:r>
                  <w:rPr>
                    <w:color w:val="231F20"/>
                    <w:spacing w:val="20"/>
                    <w:w w:val="115"/>
                    <w:sz w:val="18"/>
                  </w:rPr>
                  <w:t xml:space="preserve"> </w:t>
                </w:r>
                <w:r>
                  <w:rPr>
                    <w:color w:val="231F20"/>
                    <w:spacing w:val="17"/>
                    <w:w w:val="115"/>
                    <w:sz w:val="18"/>
                  </w:rPr>
                  <w:t>behind</w:t>
                </w:r>
                <w:r>
                  <w:rPr>
                    <w:color w:val="231F20"/>
                    <w:spacing w:val="35"/>
                    <w:w w:val="115"/>
                    <w:sz w:val="18"/>
                  </w:rPr>
                  <w:t xml:space="preserve"> </w:t>
                </w:r>
                <w:r>
                  <w:rPr>
                    <w:color w:val="231F20"/>
                    <w:spacing w:val="13"/>
                    <w:w w:val="115"/>
                    <w:sz w:val="18"/>
                  </w:rPr>
                  <w:t>bars</w:t>
                </w:r>
                <w:r>
                  <w:rPr>
                    <w:color w:val="231F20"/>
                    <w:spacing w:val="13"/>
                    <w:w w:val="115"/>
                    <w:sz w:val="18"/>
                  </w:rPr>
                  <w:tab/>
                </w:r>
                <w:r>
                  <w:rPr>
                    <w:color w:val="231F20"/>
                    <w:spacing w:val="10"/>
                    <w:w w:val="105"/>
                    <w:sz w:val="14"/>
                  </w:rPr>
                  <w:t>(6)</w:t>
                </w:r>
                <w:r>
                  <w:rPr>
                    <w:color w:val="231F20"/>
                    <w:spacing w:val="-13"/>
                    <w:sz w:val="14"/>
                  </w:rPr>
                  <w:t xml:space="preserve"> </w:t>
                </w:r>
              </w:p>
            </w:txbxContent>
          </v:textbox>
          <w10:wrap anchorx="page" anchory="page"/>
        </v:shape>
      </w:pic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E3BE1" w14:textId="77777777" w:rsidR="001008C3" w:rsidRDefault="00000000">
    <w:pPr>
      <w:pStyle w:val="a3"/>
      <w:spacing w:line="14" w:lineRule="auto"/>
    </w:pPr>
    <w:r>
      <w:rPr>
        <w:noProof w:val="0"/>
      </w:rPr>
      <w:pict w14:anchorId="5381E71D">
        <v:shapetype id="_x0000_t202" coordsize="21600,21600" o:spt="202" path="m,l,21600r21600,l21600,xe">
          <v:stroke joinstyle="miter"/>
          <v:path gradientshapeok="t" o:connecttype="rect"/>
        </v:shapetype>
        <v:shape id="_x0000_s1510" type="#_x0000_t202" style="position:absolute;margin-left:65.4pt;margin-top:594.5pt;width:312.5pt;height:12.55pt;z-index:-458296;mso-position-horizontal-relative:page;mso-position-vertical-relative:page" filled="f" stroked="f">
          <v:textbox inset="0,0,0,0">
            <w:txbxContent>
              <w:p w14:paraId="5FD62BB2" w14:textId="77777777" w:rsidR="001008C3" w:rsidRDefault="001008C3">
                <w:pPr>
                  <w:spacing w:before="19"/>
                  <w:ind w:left="20"/>
                  <w:rPr>
                    <w:sz w:val="18"/>
                  </w:rPr>
                </w:pPr>
                <w:r>
                  <w:rPr>
                    <w:color w:val="231F20"/>
                    <w:w w:val="110"/>
                    <w:sz w:val="18"/>
                  </w:rPr>
                  <w:t xml:space="preserve">november 1972 • the black september action in munich </w:t>
                </w:r>
                <w:r>
                  <w:fldChar w:fldCharType="begin"/>
                </w:r>
                <w:r>
                  <w:rPr>
                    <w:color w:val="231F20"/>
                    <w:w w:val="110"/>
                    <w:sz w:val="18"/>
                  </w:rPr>
                  <w:instrText xml:space="preserve"> PAGE </w:instrText>
                </w:r>
                <w:r>
                  <w:fldChar w:fldCharType="separate"/>
                </w:r>
                <w:r>
                  <w:t>213</w:t>
                </w:r>
                <w:r>
                  <w:fldChar w:fldCharType="end"/>
                </w:r>
                <w:r>
                  <w:rPr>
                    <w:color w:val="231F20"/>
                    <w:sz w:val="18"/>
                  </w:rPr>
                  <w:t xml:space="preserve"> </w:t>
                </w:r>
              </w:p>
            </w:txbxContent>
          </v:textbox>
          <w10:wrap anchorx="page" anchory="page"/>
        </v:shape>
      </w:pic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51632" w14:textId="77777777" w:rsidR="001008C3" w:rsidRDefault="00000000">
    <w:pPr>
      <w:pStyle w:val="a3"/>
      <w:spacing w:line="14" w:lineRule="auto"/>
    </w:pPr>
    <w:r>
      <w:rPr>
        <w:noProof w:val="0"/>
      </w:rPr>
      <w:pict w14:anchorId="398C2B29">
        <v:shapetype id="_x0000_t202" coordsize="21600,21600" o:spt="202" path="m,l,21600r21600,l21600,xe">
          <v:stroke joinstyle="miter"/>
          <v:path gradientshapeok="t" o:connecttype="rect"/>
        </v:shapetype>
        <v:shape id="_x0000_s1506" type="#_x0000_t202" style="position:absolute;margin-left:65.4pt;margin-top:594.5pt;width:312.5pt;height:12.55pt;z-index:-458200;mso-position-horizontal-relative:page;mso-position-vertical-relative:page" filled="f" stroked="f">
          <v:textbox inset="0,0,0,0">
            <w:txbxContent>
              <w:p w14:paraId="4CE6E241" w14:textId="77777777" w:rsidR="001008C3" w:rsidRDefault="001008C3">
                <w:pPr>
                  <w:spacing w:before="19"/>
                  <w:ind w:left="20"/>
                  <w:rPr>
                    <w:sz w:val="18"/>
                  </w:rPr>
                </w:pPr>
                <w:r>
                  <w:rPr>
                    <w:color w:val="231F20"/>
                    <w:w w:val="110"/>
                    <w:sz w:val="18"/>
                  </w:rPr>
                  <w:t>november 1972 • the black september action in munich 217</w:t>
                </w:r>
                <w:r>
                  <w:rPr>
                    <w:color w:val="231F20"/>
                    <w:sz w:val="18"/>
                  </w:rPr>
                  <w:t xml:space="preserve"> </w:t>
                </w:r>
              </w:p>
            </w:txbxContent>
          </v:textbox>
          <w10:wrap anchorx="page" anchory="page"/>
        </v:shape>
      </w:pic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77A8B" w14:textId="77777777" w:rsidR="001008C3" w:rsidRDefault="00000000">
    <w:pPr>
      <w:pStyle w:val="a3"/>
      <w:spacing w:line="14" w:lineRule="auto"/>
    </w:pPr>
    <w:r>
      <w:rPr>
        <w:noProof w:val="0"/>
      </w:rPr>
      <w:pict w14:anchorId="5160A5C0">
        <v:line id="_x0000_s1509" style="position:absolute;z-index:-458272;mso-position-horizontal-relative:page;mso-position-vertical-relative:page" from="57.4pt,514.8pt" to="129.4pt,514.8pt" strokecolor="#231f20" strokeweight=".5pt">
          <w10:wrap anchorx="page" anchory="page"/>
        </v:line>
      </w:pict>
    </w:r>
    <w:r>
      <w:rPr>
        <w:noProof w:val="0"/>
      </w:rPr>
      <w:pict w14:anchorId="03C39923">
        <v:shapetype id="_x0000_t202" coordsize="21600,21600" o:spt="202" path="m,l,21600r21600,l21600,xe">
          <v:stroke joinstyle="miter"/>
          <v:path gradientshapeok="t" o:connecttype="rect"/>
        </v:shapetype>
        <v:shape id="_x0000_s1508" type="#_x0000_t202" style="position:absolute;margin-left:56.4pt;margin-top:594.5pt;width:20.8pt;height:12.55pt;z-index:-458248;mso-position-horizontal-relative:page;mso-position-vertical-relative:page" filled="f" stroked="f">
          <v:textbox inset="0,0,0,0">
            <w:txbxContent>
              <w:p w14:paraId="3F51D2A9" w14:textId="77777777" w:rsidR="001008C3" w:rsidRDefault="001008C3">
                <w:pPr>
                  <w:spacing w:before="19"/>
                  <w:ind w:left="20"/>
                  <w:rPr>
                    <w:sz w:val="18"/>
                  </w:rPr>
                </w:pPr>
                <w:r>
                  <w:rPr>
                    <w:color w:val="231F20"/>
                    <w:sz w:val="18"/>
                  </w:rPr>
                  <w:t xml:space="preserve">216 </w:t>
                </w:r>
              </w:p>
            </w:txbxContent>
          </v:textbox>
          <w10:wrap anchorx="page" anchory="page"/>
        </v:shape>
      </w:pict>
    </w:r>
    <w:r>
      <w:rPr>
        <w:noProof w:val="0"/>
      </w:rPr>
      <w:pict w14:anchorId="01D673CA">
        <v:shape id="_x0000_s1507" type="#_x0000_t202" style="position:absolute;margin-left:90.4pt;margin-top:594.5pt;width:277.1pt;height:12.55pt;z-index:-458224;mso-position-horizontal-relative:page;mso-position-vertical-relative:page" filled="f" stroked="f">
          <v:textbox inset="0,0,0,0">
            <w:txbxContent>
              <w:p w14:paraId="6ED616E2" w14:textId="77777777" w:rsidR="001008C3" w:rsidRDefault="001008C3">
                <w:pPr>
                  <w:tabs>
                    <w:tab w:val="left" w:pos="5297"/>
                  </w:tabs>
                  <w:spacing w:before="19"/>
                  <w:ind w:left="20"/>
                  <w:rPr>
                    <w:sz w:val="14"/>
                  </w:rPr>
                </w:pPr>
                <w:r>
                  <w:rPr>
                    <w:color w:val="231F20"/>
                    <w:spacing w:val="15"/>
                    <w:w w:val="115"/>
                    <w:sz w:val="18"/>
                  </w:rPr>
                  <w:t xml:space="preserve">black  </w:t>
                </w:r>
                <w:r>
                  <w:rPr>
                    <w:color w:val="231F20"/>
                    <w:spacing w:val="18"/>
                    <w:w w:val="115"/>
                    <w:sz w:val="18"/>
                  </w:rPr>
                  <w:t xml:space="preserve">september: </w:t>
                </w:r>
                <w:r>
                  <w:rPr>
                    <w:color w:val="231F20"/>
                    <w:w w:val="115"/>
                    <w:sz w:val="18"/>
                  </w:rPr>
                  <w:t xml:space="preserve">a  </w:t>
                </w:r>
                <w:r>
                  <w:rPr>
                    <w:color w:val="231F20"/>
                    <w:spacing w:val="17"/>
                    <w:w w:val="115"/>
                    <w:sz w:val="18"/>
                  </w:rPr>
                  <w:t xml:space="preserve">statement </w:t>
                </w:r>
                <w:r>
                  <w:rPr>
                    <w:color w:val="231F20"/>
                    <w:spacing w:val="15"/>
                    <w:w w:val="115"/>
                    <w:sz w:val="18"/>
                  </w:rPr>
                  <w:t>from</w:t>
                </w:r>
                <w:r>
                  <w:rPr>
                    <w:color w:val="231F20"/>
                    <w:spacing w:val="20"/>
                    <w:w w:val="115"/>
                    <w:sz w:val="18"/>
                  </w:rPr>
                  <w:t xml:space="preserve"> </w:t>
                </w:r>
                <w:r>
                  <w:rPr>
                    <w:color w:val="231F20"/>
                    <w:spacing w:val="17"/>
                    <w:w w:val="115"/>
                    <w:sz w:val="18"/>
                  </w:rPr>
                  <w:t>behind</w:t>
                </w:r>
                <w:r>
                  <w:rPr>
                    <w:color w:val="231F20"/>
                    <w:spacing w:val="35"/>
                    <w:w w:val="115"/>
                    <w:sz w:val="18"/>
                  </w:rPr>
                  <w:t xml:space="preserve"> </w:t>
                </w:r>
                <w:r>
                  <w:rPr>
                    <w:color w:val="231F20"/>
                    <w:spacing w:val="13"/>
                    <w:w w:val="115"/>
                    <w:sz w:val="18"/>
                  </w:rPr>
                  <w:t>bars</w:t>
                </w:r>
                <w:r>
                  <w:rPr>
                    <w:color w:val="231F20"/>
                    <w:spacing w:val="13"/>
                    <w:w w:val="115"/>
                    <w:sz w:val="18"/>
                  </w:rPr>
                  <w:tab/>
                </w:r>
                <w:r>
                  <w:rPr>
                    <w:color w:val="231F20"/>
                    <w:spacing w:val="10"/>
                    <w:w w:val="105"/>
                    <w:sz w:val="14"/>
                  </w:rPr>
                  <w:t>(6)</w:t>
                </w:r>
                <w:r>
                  <w:rPr>
                    <w:color w:val="231F20"/>
                    <w:spacing w:val="-13"/>
                    <w:sz w:val="14"/>
                  </w:rPr>
                  <w:t xml:space="preserve"> </w:t>
                </w:r>
              </w:p>
            </w:txbxContent>
          </v:textbox>
          <w10:wrap anchorx="page" anchory="page"/>
        </v:shape>
      </w:pic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CEE4" w14:textId="77777777" w:rsidR="001008C3" w:rsidRDefault="00000000">
    <w:pPr>
      <w:pStyle w:val="a3"/>
      <w:spacing w:line="14" w:lineRule="auto"/>
    </w:pPr>
    <w:r>
      <w:rPr>
        <w:noProof w:val="0"/>
      </w:rPr>
      <w:pict w14:anchorId="1B24B5F8">
        <v:shapetype id="_x0000_t202" coordsize="21600,21600" o:spt="202" path="m,l,21600r21600,l21600,xe">
          <v:stroke joinstyle="miter"/>
          <v:path gradientshapeok="t" o:connecttype="rect"/>
        </v:shapetype>
        <v:shape id="_x0000_s1503" type="#_x0000_t202" style="position:absolute;margin-left:65.4pt;margin-top:594.5pt;width:312.5pt;height:12.55pt;z-index:-458128;mso-position-horizontal-relative:page;mso-position-vertical-relative:page" filled="f" stroked="f">
          <v:textbox inset="0,0,0,0">
            <w:txbxContent>
              <w:p w14:paraId="6A635C61" w14:textId="77777777" w:rsidR="001008C3" w:rsidRDefault="001008C3">
                <w:pPr>
                  <w:spacing w:before="19"/>
                  <w:ind w:left="20"/>
                  <w:rPr>
                    <w:sz w:val="18"/>
                  </w:rPr>
                </w:pPr>
                <w:r>
                  <w:rPr>
                    <w:color w:val="231F20"/>
                    <w:w w:val="110"/>
                    <w:sz w:val="18"/>
                  </w:rPr>
                  <w:t>november 1972 • the black september action in munich 219</w:t>
                </w:r>
                <w:r>
                  <w:rPr>
                    <w:color w:val="231F20"/>
                    <w:sz w:val="18"/>
                  </w:rPr>
                  <w:t xml:space="preserve"> </w:t>
                </w:r>
              </w:p>
            </w:txbxContent>
          </v:textbox>
          <w10:wrap anchorx="page" anchory="page"/>
        </v:shape>
      </w:pic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F88F8" w14:textId="77777777" w:rsidR="001008C3" w:rsidRDefault="00000000">
    <w:pPr>
      <w:pStyle w:val="a3"/>
      <w:spacing w:line="14" w:lineRule="auto"/>
    </w:pPr>
    <w:r>
      <w:rPr>
        <w:noProof w:val="0"/>
      </w:rPr>
      <w:pict w14:anchorId="6A65BDAA">
        <v:shapetype id="_x0000_t202" coordsize="21600,21600" o:spt="202" path="m,l,21600r21600,l21600,xe">
          <v:stroke joinstyle="miter"/>
          <v:path gradientshapeok="t" o:connecttype="rect"/>
        </v:shapetype>
        <v:shape id="_x0000_s1505" type="#_x0000_t202" style="position:absolute;margin-left:56.4pt;margin-top:594.5pt;width:20.8pt;height:12.55pt;z-index:-458176;mso-position-horizontal-relative:page;mso-position-vertical-relative:page" filled="f" stroked="f">
          <v:textbox inset="0,0,0,0">
            <w:txbxContent>
              <w:p w14:paraId="0F3EBA6D" w14:textId="77777777" w:rsidR="001008C3" w:rsidRDefault="001008C3">
                <w:pPr>
                  <w:spacing w:before="19"/>
                  <w:ind w:left="20"/>
                  <w:rPr>
                    <w:sz w:val="18"/>
                  </w:rPr>
                </w:pPr>
                <w:r>
                  <w:rPr>
                    <w:color w:val="231F20"/>
                    <w:sz w:val="18"/>
                  </w:rPr>
                  <w:t xml:space="preserve">218 </w:t>
                </w:r>
              </w:p>
            </w:txbxContent>
          </v:textbox>
          <w10:wrap anchorx="page" anchory="page"/>
        </v:shape>
      </w:pict>
    </w:r>
    <w:r>
      <w:rPr>
        <w:noProof w:val="0"/>
      </w:rPr>
      <w:pict w14:anchorId="5C2A1A0B">
        <v:shape id="_x0000_s1504" type="#_x0000_t202" style="position:absolute;margin-left:90.4pt;margin-top:594.5pt;width:277.1pt;height:12.55pt;z-index:-458152;mso-position-horizontal-relative:page;mso-position-vertical-relative:page" filled="f" stroked="f">
          <v:textbox inset="0,0,0,0">
            <w:txbxContent>
              <w:p w14:paraId="546C8394" w14:textId="77777777" w:rsidR="001008C3" w:rsidRDefault="001008C3">
                <w:pPr>
                  <w:tabs>
                    <w:tab w:val="left" w:pos="5297"/>
                  </w:tabs>
                  <w:spacing w:before="19"/>
                  <w:ind w:left="20"/>
                  <w:rPr>
                    <w:sz w:val="14"/>
                  </w:rPr>
                </w:pPr>
                <w:r>
                  <w:rPr>
                    <w:color w:val="231F20"/>
                    <w:spacing w:val="15"/>
                    <w:w w:val="115"/>
                    <w:sz w:val="18"/>
                  </w:rPr>
                  <w:t xml:space="preserve">black  </w:t>
                </w:r>
                <w:r>
                  <w:rPr>
                    <w:color w:val="231F20"/>
                    <w:spacing w:val="18"/>
                    <w:w w:val="115"/>
                    <w:sz w:val="18"/>
                  </w:rPr>
                  <w:t xml:space="preserve">september: </w:t>
                </w:r>
                <w:r>
                  <w:rPr>
                    <w:color w:val="231F20"/>
                    <w:w w:val="115"/>
                    <w:sz w:val="18"/>
                  </w:rPr>
                  <w:t xml:space="preserve">a  </w:t>
                </w:r>
                <w:r>
                  <w:rPr>
                    <w:color w:val="231F20"/>
                    <w:spacing w:val="17"/>
                    <w:w w:val="115"/>
                    <w:sz w:val="18"/>
                  </w:rPr>
                  <w:t xml:space="preserve">statement </w:t>
                </w:r>
                <w:r>
                  <w:rPr>
                    <w:color w:val="231F20"/>
                    <w:spacing w:val="15"/>
                    <w:w w:val="115"/>
                    <w:sz w:val="18"/>
                  </w:rPr>
                  <w:t>from</w:t>
                </w:r>
                <w:r>
                  <w:rPr>
                    <w:color w:val="231F20"/>
                    <w:spacing w:val="20"/>
                    <w:w w:val="115"/>
                    <w:sz w:val="18"/>
                  </w:rPr>
                  <w:t xml:space="preserve"> </w:t>
                </w:r>
                <w:r>
                  <w:rPr>
                    <w:color w:val="231F20"/>
                    <w:spacing w:val="17"/>
                    <w:w w:val="115"/>
                    <w:sz w:val="18"/>
                  </w:rPr>
                  <w:t>behind</w:t>
                </w:r>
                <w:r>
                  <w:rPr>
                    <w:color w:val="231F20"/>
                    <w:spacing w:val="35"/>
                    <w:w w:val="115"/>
                    <w:sz w:val="18"/>
                  </w:rPr>
                  <w:t xml:space="preserve"> </w:t>
                </w:r>
                <w:r>
                  <w:rPr>
                    <w:color w:val="231F20"/>
                    <w:spacing w:val="13"/>
                    <w:w w:val="115"/>
                    <w:sz w:val="18"/>
                  </w:rPr>
                  <w:t>bars</w:t>
                </w:r>
                <w:r>
                  <w:rPr>
                    <w:color w:val="231F20"/>
                    <w:spacing w:val="13"/>
                    <w:w w:val="115"/>
                    <w:sz w:val="18"/>
                  </w:rPr>
                  <w:tab/>
                </w:r>
                <w:r>
                  <w:rPr>
                    <w:color w:val="231F20"/>
                    <w:spacing w:val="10"/>
                    <w:w w:val="105"/>
                    <w:sz w:val="14"/>
                  </w:rPr>
                  <w:t>(6)</w:t>
                </w:r>
                <w:r>
                  <w:rPr>
                    <w:color w:val="231F20"/>
                    <w:spacing w:val="-13"/>
                    <w:sz w:val="14"/>
                  </w:rPr>
                  <w:t xml:space="preserve"> </w:t>
                </w:r>
              </w:p>
            </w:txbxContent>
          </v:textbox>
          <w10:wrap anchorx="page" anchory="page"/>
        </v:shape>
      </w:pic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7AD01" w14:textId="77777777" w:rsidR="001008C3" w:rsidRDefault="00000000">
    <w:pPr>
      <w:pStyle w:val="a3"/>
      <w:spacing w:line="14" w:lineRule="auto"/>
    </w:pPr>
    <w:r>
      <w:rPr>
        <w:noProof w:val="0"/>
      </w:rPr>
      <w:pict w14:anchorId="5635F86E">
        <v:shapetype id="_x0000_t202" coordsize="21600,21600" o:spt="202" path="m,l,21600r21600,l21600,xe">
          <v:stroke joinstyle="miter"/>
          <v:path gradientshapeok="t" o:connecttype="rect"/>
        </v:shapetype>
        <v:shape id="_x0000_s1500" type="#_x0000_t202" style="position:absolute;margin-left:65.4pt;margin-top:594.5pt;width:311.5pt;height:12.55pt;z-index:-458056;mso-position-horizontal-relative:page;mso-position-vertical-relative:page" filled="f" stroked="f">
          <v:textbox inset="0,0,0,0">
            <w:txbxContent>
              <w:p w14:paraId="4FFC0D83" w14:textId="77777777" w:rsidR="001008C3" w:rsidRDefault="001008C3">
                <w:pPr>
                  <w:spacing w:before="19"/>
                  <w:ind w:left="20"/>
                  <w:rPr>
                    <w:sz w:val="18"/>
                  </w:rPr>
                </w:pPr>
                <w:r>
                  <w:rPr>
                    <w:color w:val="231F20"/>
                    <w:w w:val="110"/>
                    <w:sz w:val="18"/>
                  </w:rPr>
                  <w:t>november 1972 • the black september action in munich 221</w:t>
                </w:r>
                <w:r>
                  <w:rPr>
                    <w:color w:val="231F20"/>
                    <w:sz w:val="18"/>
                  </w:rPr>
                  <w:t xml:space="preserve"> </w:t>
                </w:r>
              </w:p>
            </w:txbxContent>
          </v:textbox>
          <w10:wrap anchorx="page" anchory="page"/>
        </v:shape>
      </w:pic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52D39" w14:textId="77777777" w:rsidR="001008C3" w:rsidRDefault="00000000">
    <w:pPr>
      <w:pStyle w:val="a3"/>
      <w:spacing w:line="14" w:lineRule="auto"/>
    </w:pPr>
    <w:r>
      <w:rPr>
        <w:noProof w:val="0"/>
      </w:rPr>
      <w:pict w14:anchorId="6F886508">
        <v:shapetype id="_x0000_t202" coordsize="21600,21600" o:spt="202" path="m,l,21600r21600,l21600,xe">
          <v:stroke joinstyle="miter"/>
          <v:path gradientshapeok="t" o:connecttype="rect"/>
        </v:shapetype>
        <v:shape id="_x0000_s1502" type="#_x0000_t202" style="position:absolute;margin-left:56.4pt;margin-top:594.5pt;width:20.8pt;height:12.55pt;z-index:-458104;mso-position-horizontal-relative:page;mso-position-vertical-relative:page" filled="f" stroked="f">
          <v:textbox inset="0,0,0,0">
            <w:txbxContent>
              <w:p w14:paraId="5BEAC5CE" w14:textId="77777777" w:rsidR="001008C3" w:rsidRDefault="001008C3">
                <w:pPr>
                  <w:spacing w:before="19"/>
                  <w:ind w:left="20"/>
                  <w:rPr>
                    <w:sz w:val="18"/>
                  </w:rPr>
                </w:pPr>
                <w:r>
                  <w:rPr>
                    <w:color w:val="231F20"/>
                    <w:sz w:val="18"/>
                  </w:rPr>
                  <w:t xml:space="preserve">220 </w:t>
                </w:r>
              </w:p>
            </w:txbxContent>
          </v:textbox>
          <w10:wrap anchorx="page" anchory="page"/>
        </v:shape>
      </w:pict>
    </w:r>
    <w:r>
      <w:rPr>
        <w:noProof w:val="0"/>
      </w:rPr>
      <w:pict w14:anchorId="5E98D246">
        <v:shape id="_x0000_s1501" type="#_x0000_t202" style="position:absolute;margin-left:90.4pt;margin-top:594.5pt;width:277.1pt;height:12.55pt;z-index:-458080;mso-position-horizontal-relative:page;mso-position-vertical-relative:page" filled="f" stroked="f">
          <v:textbox inset="0,0,0,0">
            <w:txbxContent>
              <w:p w14:paraId="7568521D" w14:textId="77777777" w:rsidR="001008C3" w:rsidRDefault="001008C3">
                <w:pPr>
                  <w:tabs>
                    <w:tab w:val="left" w:pos="5297"/>
                  </w:tabs>
                  <w:spacing w:before="19"/>
                  <w:ind w:left="20"/>
                  <w:rPr>
                    <w:sz w:val="14"/>
                  </w:rPr>
                </w:pPr>
                <w:r>
                  <w:rPr>
                    <w:color w:val="231F20"/>
                    <w:spacing w:val="15"/>
                    <w:w w:val="115"/>
                    <w:sz w:val="18"/>
                  </w:rPr>
                  <w:t xml:space="preserve">black  </w:t>
                </w:r>
                <w:r>
                  <w:rPr>
                    <w:color w:val="231F20"/>
                    <w:spacing w:val="18"/>
                    <w:w w:val="115"/>
                    <w:sz w:val="18"/>
                  </w:rPr>
                  <w:t xml:space="preserve">september: </w:t>
                </w:r>
                <w:r>
                  <w:rPr>
                    <w:color w:val="231F20"/>
                    <w:w w:val="115"/>
                    <w:sz w:val="18"/>
                  </w:rPr>
                  <w:t xml:space="preserve">a  </w:t>
                </w:r>
                <w:r>
                  <w:rPr>
                    <w:color w:val="231F20"/>
                    <w:spacing w:val="17"/>
                    <w:w w:val="115"/>
                    <w:sz w:val="18"/>
                  </w:rPr>
                  <w:t xml:space="preserve">statement </w:t>
                </w:r>
                <w:r>
                  <w:rPr>
                    <w:color w:val="231F20"/>
                    <w:spacing w:val="15"/>
                    <w:w w:val="115"/>
                    <w:sz w:val="18"/>
                  </w:rPr>
                  <w:t>from</w:t>
                </w:r>
                <w:r>
                  <w:rPr>
                    <w:color w:val="231F20"/>
                    <w:spacing w:val="20"/>
                    <w:w w:val="115"/>
                    <w:sz w:val="18"/>
                  </w:rPr>
                  <w:t xml:space="preserve"> </w:t>
                </w:r>
                <w:r>
                  <w:rPr>
                    <w:color w:val="231F20"/>
                    <w:spacing w:val="17"/>
                    <w:w w:val="115"/>
                    <w:sz w:val="18"/>
                  </w:rPr>
                  <w:t>behind</w:t>
                </w:r>
                <w:r>
                  <w:rPr>
                    <w:color w:val="231F20"/>
                    <w:spacing w:val="35"/>
                    <w:w w:val="115"/>
                    <w:sz w:val="18"/>
                  </w:rPr>
                  <w:t xml:space="preserve"> </w:t>
                </w:r>
                <w:r>
                  <w:rPr>
                    <w:color w:val="231F20"/>
                    <w:spacing w:val="13"/>
                    <w:w w:val="115"/>
                    <w:sz w:val="18"/>
                  </w:rPr>
                  <w:t>bars</w:t>
                </w:r>
                <w:r>
                  <w:rPr>
                    <w:color w:val="231F20"/>
                    <w:spacing w:val="13"/>
                    <w:w w:val="115"/>
                    <w:sz w:val="18"/>
                  </w:rPr>
                  <w:tab/>
                </w:r>
                <w:r>
                  <w:rPr>
                    <w:color w:val="231F20"/>
                    <w:spacing w:val="10"/>
                    <w:w w:val="105"/>
                    <w:sz w:val="14"/>
                  </w:rPr>
                  <w:t>(6)</w:t>
                </w:r>
                <w:r>
                  <w:rPr>
                    <w:color w:val="231F20"/>
                    <w:spacing w:val="-13"/>
                    <w:sz w:val="14"/>
                  </w:rPr>
                  <w:t xml:space="preserve"> </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DBBC3" w14:textId="77777777" w:rsidR="001008C3" w:rsidRDefault="00000000">
    <w:pPr>
      <w:pStyle w:val="a3"/>
      <w:spacing w:line="14" w:lineRule="auto"/>
    </w:pPr>
    <w:r>
      <w:rPr>
        <w:noProof w:val="0"/>
      </w:rPr>
      <w:pict w14:anchorId="36F65F4F">
        <v:shapetype id="_x0000_t202" coordsize="21600,21600" o:spt="202" path="m,l,21600r21600,l21600,xe">
          <v:stroke joinstyle="miter"/>
          <v:path gradientshapeok="t" o:connecttype="rect"/>
        </v:shapetype>
        <v:shape id="_x0000_s1721" type="#_x0000_t202" style="position:absolute;margin-left:55.4pt;margin-top:594.5pt;width:26.05pt;height:12.55pt;z-index:-463360;mso-position-horizontal-relative:page;mso-position-vertical-relative:page" filled="f" stroked="f">
          <v:textbox inset="0,0,0,0">
            <w:txbxContent>
              <w:p w14:paraId="6C01135C" w14:textId="77777777" w:rsidR="001008C3" w:rsidRDefault="001008C3">
                <w:pPr>
                  <w:spacing w:before="19"/>
                  <w:ind w:left="40"/>
                  <w:rPr>
                    <w:sz w:val="18"/>
                  </w:rPr>
                </w:pPr>
                <w:r>
                  <w:rPr>
                    <w:color w:val="231F20"/>
                    <w:w w:val="115"/>
                    <w:sz w:val="18"/>
                  </w:rPr>
                  <w:t>xxvi</w:t>
                </w:r>
                <w:r>
                  <w:rPr>
                    <w:color w:val="231F20"/>
                    <w:sz w:val="18"/>
                  </w:rPr>
                  <w:t xml:space="preserve"> </w:t>
                </w:r>
              </w:p>
            </w:txbxContent>
          </v:textbox>
          <w10:wrap anchorx="page" anchory="page"/>
        </v:shape>
      </w:pic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62297" w14:textId="77777777" w:rsidR="001008C3" w:rsidRDefault="00000000">
    <w:pPr>
      <w:pStyle w:val="a3"/>
      <w:spacing w:line="14" w:lineRule="auto"/>
    </w:pPr>
    <w:r>
      <w:rPr>
        <w:noProof w:val="0"/>
      </w:rPr>
      <w:pict w14:anchorId="27C7B6B3">
        <v:shapetype id="_x0000_t202" coordsize="21600,21600" o:spt="202" path="m,l,21600r21600,l21600,xe">
          <v:stroke joinstyle="miter"/>
          <v:path gradientshapeok="t" o:connecttype="rect"/>
        </v:shapetype>
        <v:shape id="_x0000_s1499" type="#_x0000_t202" style="position:absolute;margin-left:55.4pt;margin-top:594.5pt;width:22.8pt;height:12.55pt;z-index:-458032;mso-position-horizontal-relative:page;mso-position-vertical-relative:page" filled="f" stroked="f">
          <v:textbox inset="0,0,0,0">
            <w:txbxContent>
              <w:p w14:paraId="64B38182"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222</w:t>
                </w:r>
                <w:r>
                  <w:fldChar w:fldCharType="end"/>
                </w:r>
                <w:r>
                  <w:rPr>
                    <w:color w:val="231F20"/>
                    <w:sz w:val="18"/>
                  </w:rPr>
                  <w:t xml:space="preserve"> </w:t>
                </w:r>
              </w:p>
            </w:txbxContent>
          </v:textbox>
          <w10:wrap anchorx="page" anchory="page"/>
        </v:shape>
      </w:pict>
    </w:r>
    <w:r>
      <w:rPr>
        <w:noProof w:val="0"/>
      </w:rPr>
      <w:pict w14:anchorId="33B8C0C1">
        <v:shape id="_x0000_s1498" type="#_x0000_t202" style="position:absolute;margin-left:90.4pt;margin-top:594.5pt;width:277.1pt;height:12.55pt;z-index:-458008;mso-position-horizontal-relative:page;mso-position-vertical-relative:page" filled="f" stroked="f">
          <v:textbox inset="0,0,0,0">
            <w:txbxContent>
              <w:p w14:paraId="1CE67651" w14:textId="77777777" w:rsidR="001008C3" w:rsidRDefault="001008C3">
                <w:pPr>
                  <w:tabs>
                    <w:tab w:val="left" w:pos="5297"/>
                  </w:tabs>
                  <w:spacing w:before="19"/>
                  <w:ind w:left="20"/>
                  <w:rPr>
                    <w:sz w:val="14"/>
                  </w:rPr>
                </w:pPr>
                <w:r>
                  <w:rPr>
                    <w:color w:val="231F20"/>
                    <w:spacing w:val="15"/>
                    <w:w w:val="115"/>
                    <w:sz w:val="18"/>
                  </w:rPr>
                  <w:t xml:space="preserve">black  </w:t>
                </w:r>
                <w:r>
                  <w:rPr>
                    <w:color w:val="231F20"/>
                    <w:spacing w:val="18"/>
                    <w:w w:val="115"/>
                    <w:sz w:val="18"/>
                  </w:rPr>
                  <w:t xml:space="preserve">september: </w:t>
                </w:r>
                <w:r>
                  <w:rPr>
                    <w:color w:val="231F20"/>
                    <w:w w:val="115"/>
                    <w:sz w:val="18"/>
                  </w:rPr>
                  <w:t xml:space="preserve">a  </w:t>
                </w:r>
                <w:r>
                  <w:rPr>
                    <w:color w:val="231F20"/>
                    <w:spacing w:val="17"/>
                    <w:w w:val="115"/>
                    <w:sz w:val="18"/>
                  </w:rPr>
                  <w:t xml:space="preserve">statement </w:t>
                </w:r>
                <w:r>
                  <w:rPr>
                    <w:color w:val="231F20"/>
                    <w:spacing w:val="15"/>
                    <w:w w:val="115"/>
                    <w:sz w:val="18"/>
                  </w:rPr>
                  <w:t>from</w:t>
                </w:r>
                <w:r>
                  <w:rPr>
                    <w:color w:val="231F20"/>
                    <w:spacing w:val="20"/>
                    <w:w w:val="115"/>
                    <w:sz w:val="18"/>
                  </w:rPr>
                  <w:t xml:space="preserve"> </w:t>
                </w:r>
                <w:r>
                  <w:rPr>
                    <w:color w:val="231F20"/>
                    <w:spacing w:val="17"/>
                    <w:w w:val="115"/>
                    <w:sz w:val="18"/>
                  </w:rPr>
                  <w:t>behind</w:t>
                </w:r>
                <w:r>
                  <w:rPr>
                    <w:color w:val="231F20"/>
                    <w:spacing w:val="35"/>
                    <w:w w:val="115"/>
                    <w:sz w:val="18"/>
                  </w:rPr>
                  <w:t xml:space="preserve"> </w:t>
                </w:r>
                <w:r>
                  <w:rPr>
                    <w:color w:val="231F20"/>
                    <w:spacing w:val="13"/>
                    <w:w w:val="115"/>
                    <w:sz w:val="18"/>
                  </w:rPr>
                  <w:t>bars</w:t>
                </w:r>
                <w:r>
                  <w:rPr>
                    <w:color w:val="231F20"/>
                    <w:spacing w:val="13"/>
                    <w:w w:val="115"/>
                    <w:sz w:val="18"/>
                  </w:rPr>
                  <w:tab/>
                </w:r>
                <w:r>
                  <w:rPr>
                    <w:color w:val="231F20"/>
                    <w:spacing w:val="10"/>
                    <w:w w:val="105"/>
                    <w:sz w:val="14"/>
                  </w:rPr>
                  <w:t>(6)</w:t>
                </w:r>
                <w:r>
                  <w:rPr>
                    <w:color w:val="231F20"/>
                    <w:spacing w:val="-13"/>
                    <w:sz w:val="14"/>
                  </w:rPr>
                  <w:t xml:space="preserve"> </w:t>
                </w:r>
              </w:p>
            </w:txbxContent>
          </v:textbox>
          <w10:wrap anchorx="page" anchory="page"/>
        </v:shape>
      </w:pic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2AADB" w14:textId="77777777" w:rsidR="001008C3" w:rsidRDefault="00000000">
    <w:pPr>
      <w:pStyle w:val="a3"/>
      <w:spacing w:line="14" w:lineRule="auto"/>
    </w:pPr>
    <w:r>
      <w:rPr>
        <w:noProof w:val="0"/>
      </w:rPr>
      <w:pict w14:anchorId="51C769C7">
        <v:shapetype id="_x0000_t202" coordsize="21600,21600" o:spt="202" path="m,l,21600r21600,l21600,xe">
          <v:stroke joinstyle="miter"/>
          <v:path gradientshapeok="t" o:connecttype="rect"/>
        </v:shapetype>
        <v:shape id="_x0000_s1497" type="#_x0000_t202" style="position:absolute;margin-left:65.4pt;margin-top:594.5pt;width:312.5pt;height:12.55pt;z-index:-457984;mso-position-horizontal-relative:page;mso-position-vertical-relative:page" filled="f" stroked="f">
          <v:textbox inset="0,0,0,0">
            <w:txbxContent>
              <w:p w14:paraId="07E67B98" w14:textId="77777777" w:rsidR="001008C3" w:rsidRDefault="001008C3">
                <w:pPr>
                  <w:spacing w:before="19"/>
                  <w:ind w:left="20"/>
                  <w:rPr>
                    <w:sz w:val="18"/>
                  </w:rPr>
                </w:pPr>
                <w:r>
                  <w:rPr>
                    <w:color w:val="231F20"/>
                    <w:w w:val="110"/>
                    <w:sz w:val="18"/>
                  </w:rPr>
                  <w:t xml:space="preserve">november 1972 • the black september action in munich </w:t>
                </w:r>
                <w:r>
                  <w:fldChar w:fldCharType="begin"/>
                </w:r>
                <w:r>
                  <w:rPr>
                    <w:color w:val="231F20"/>
                    <w:w w:val="110"/>
                    <w:sz w:val="18"/>
                  </w:rPr>
                  <w:instrText xml:space="preserve"> PAGE </w:instrText>
                </w:r>
                <w:r>
                  <w:fldChar w:fldCharType="separate"/>
                </w:r>
                <w:r>
                  <w:t>223</w:t>
                </w:r>
                <w:r>
                  <w:fldChar w:fldCharType="end"/>
                </w:r>
                <w:r>
                  <w:rPr>
                    <w:color w:val="231F20"/>
                    <w:sz w:val="18"/>
                  </w:rPr>
                  <w:t xml:space="preserve"> </w:t>
                </w:r>
              </w:p>
            </w:txbxContent>
          </v:textbox>
          <w10:wrap anchorx="page" anchory="page"/>
        </v:shape>
      </w:pict>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1DA10" w14:textId="77777777" w:rsidR="001008C3" w:rsidRDefault="00000000">
    <w:pPr>
      <w:pStyle w:val="a3"/>
      <w:spacing w:line="14" w:lineRule="auto"/>
    </w:pPr>
    <w:r>
      <w:rPr>
        <w:noProof w:val="0"/>
      </w:rPr>
      <w:pict w14:anchorId="6A31E3F0">
        <v:shapetype id="_x0000_t202" coordsize="21600,21600" o:spt="202" path="m,l,21600r21600,l21600,xe">
          <v:stroke joinstyle="miter"/>
          <v:path gradientshapeok="t" o:connecttype="rect"/>
        </v:shapetype>
        <v:shape id="_x0000_s1494" type="#_x0000_t202" style="position:absolute;margin-left:65.4pt;margin-top:594.5pt;width:311.5pt;height:12.55pt;z-index:-457912;mso-position-horizontal-relative:page;mso-position-vertical-relative:page" filled="f" stroked="f">
          <v:textbox inset="0,0,0,0">
            <w:txbxContent>
              <w:p w14:paraId="5FA6E3E8" w14:textId="77777777" w:rsidR="001008C3" w:rsidRDefault="001008C3">
                <w:pPr>
                  <w:spacing w:before="19"/>
                  <w:ind w:left="20"/>
                  <w:rPr>
                    <w:sz w:val="18"/>
                  </w:rPr>
                </w:pPr>
                <w:r>
                  <w:rPr>
                    <w:color w:val="231F20"/>
                    <w:w w:val="110"/>
                    <w:sz w:val="18"/>
                  </w:rPr>
                  <w:t>november 1972 • the black september action in munich 231</w:t>
                </w:r>
                <w:r>
                  <w:rPr>
                    <w:color w:val="231F20"/>
                    <w:sz w:val="18"/>
                  </w:rPr>
                  <w:t xml:space="preserve"> </w:t>
                </w:r>
              </w:p>
            </w:txbxContent>
          </v:textbox>
          <w10:wrap anchorx="page" anchory="page"/>
        </v:shape>
      </w:pic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2B4A9" w14:textId="77777777" w:rsidR="001008C3" w:rsidRDefault="00000000">
    <w:pPr>
      <w:pStyle w:val="a3"/>
      <w:spacing w:line="14" w:lineRule="auto"/>
    </w:pPr>
    <w:r>
      <w:rPr>
        <w:noProof w:val="0"/>
      </w:rPr>
      <w:pict w14:anchorId="17025691">
        <v:shapetype id="_x0000_t202" coordsize="21600,21600" o:spt="202" path="m,l,21600r21600,l21600,xe">
          <v:stroke joinstyle="miter"/>
          <v:path gradientshapeok="t" o:connecttype="rect"/>
        </v:shapetype>
        <v:shape id="_x0000_s1496" type="#_x0000_t202" style="position:absolute;margin-left:56.4pt;margin-top:594.5pt;width:20.8pt;height:12.55pt;z-index:-457960;mso-position-horizontal-relative:page;mso-position-vertical-relative:page" filled="f" stroked="f">
          <v:textbox inset="0,0,0,0">
            <w:txbxContent>
              <w:p w14:paraId="3E873D59" w14:textId="77777777" w:rsidR="001008C3" w:rsidRDefault="001008C3">
                <w:pPr>
                  <w:spacing w:before="19"/>
                  <w:ind w:left="20"/>
                  <w:rPr>
                    <w:sz w:val="18"/>
                  </w:rPr>
                </w:pPr>
                <w:r>
                  <w:rPr>
                    <w:color w:val="231F20"/>
                    <w:sz w:val="18"/>
                  </w:rPr>
                  <w:t xml:space="preserve">230 </w:t>
                </w:r>
              </w:p>
            </w:txbxContent>
          </v:textbox>
          <w10:wrap anchorx="page" anchory="page"/>
        </v:shape>
      </w:pict>
    </w:r>
    <w:r>
      <w:rPr>
        <w:noProof w:val="0"/>
      </w:rPr>
      <w:pict w14:anchorId="4FBFAD20">
        <v:shape id="_x0000_s1495" type="#_x0000_t202" style="position:absolute;margin-left:90.4pt;margin-top:594.5pt;width:277.1pt;height:12.55pt;z-index:-457936;mso-position-horizontal-relative:page;mso-position-vertical-relative:page" filled="f" stroked="f">
          <v:textbox inset="0,0,0,0">
            <w:txbxContent>
              <w:p w14:paraId="4BCEC90F" w14:textId="77777777" w:rsidR="001008C3" w:rsidRDefault="001008C3">
                <w:pPr>
                  <w:tabs>
                    <w:tab w:val="left" w:pos="5297"/>
                  </w:tabs>
                  <w:spacing w:before="19"/>
                  <w:ind w:left="20"/>
                  <w:rPr>
                    <w:sz w:val="14"/>
                  </w:rPr>
                </w:pPr>
                <w:r>
                  <w:rPr>
                    <w:color w:val="231F20"/>
                    <w:spacing w:val="15"/>
                    <w:w w:val="115"/>
                    <w:sz w:val="18"/>
                  </w:rPr>
                  <w:t xml:space="preserve">black  </w:t>
                </w:r>
                <w:r>
                  <w:rPr>
                    <w:color w:val="231F20"/>
                    <w:spacing w:val="18"/>
                    <w:w w:val="115"/>
                    <w:sz w:val="18"/>
                  </w:rPr>
                  <w:t xml:space="preserve">september: </w:t>
                </w:r>
                <w:r>
                  <w:rPr>
                    <w:color w:val="231F20"/>
                    <w:w w:val="115"/>
                    <w:sz w:val="18"/>
                  </w:rPr>
                  <w:t xml:space="preserve">a  </w:t>
                </w:r>
                <w:r>
                  <w:rPr>
                    <w:color w:val="231F20"/>
                    <w:spacing w:val="17"/>
                    <w:w w:val="115"/>
                    <w:sz w:val="18"/>
                  </w:rPr>
                  <w:t xml:space="preserve">statement </w:t>
                </w:r>
                <w:r>
                  <w:rPr>
                    <w:color w:val="231F20"/>
                    <w:spacing w:val="15"/>
                    <w:w w:val="115"/>
                    <w:sz w:val="18"/>
                  </w:rPr>
                  <w:t>from</w:t>
                </w:r>
                <w:r>
                  <w:rPr>
                    <w:color w:val="231F20"/>
                    <w:spacing w:val="20"/>
                    <w:w w:val="115"/>
                    <w:sz w:val="18"/>
                  </w:rPr>
                  <w:t xml:space="preserve"> </w:t>
                </w:r>
                <w:r>
                  <w:rPr>
                    <w:color w:val="231F20"/>
                    <w:spacing w:val="17"/>
                    <w:w w:val="115"/>
                    <w:sz w:val="18"/>
                  </w:rPr>
                  <w:t>behind</w:t>
                </w:r>
                <w:r>
                  <w:rPr>
                    <w:color w:val="231F20"/>
                    <w:spacing w:val="35"/>
                    <w:w w:val="115"/>
                    <w:sz w:val="18"/>
                  </w:rPr>
                  <w:t xml:space="preserve"> </w:t>
                </w:r>
                <w:r>
                  <w:rPr>
                    <w:color w:val="231F20"/>
                    <w:spacing w:val="13"/>
                    <w:w w:val="115"/>
                    <w:sz w:val="18"/>
                  </w:rPr>
                  <w:t>bars</w:t>
                </w:r>
                <w:r>
                  <w:rPr>
                    <w:color w:val="231F20"/>
                    <w:spacing w:val="13"/>
                    <w:w w:val="115"/>
                    <w:sz w:val="18"/>
                  </w:rPr>
                  <w:tab/>
                </w:r>
                <w:r>
                  <w:rPr>
                    <w:color w:val="231F20"/>
                    <w:spacing w:val="10"/>
                    <w:w w:val="105"/>
                    <w:sz w:val="14"/>
                  </w:rPr>
                  <w:t>(6)</w:t>
                </w:r>
                <w:r>
                  <w:rPr>
                    <w:color w:val="231F20"/>
                    <w:spacing w:val="-13"/>
                    <w:sz w:val="14"/>
                  </w:rPr>
                  <w:t xml:space="preserve"> </w:t>
                </w:r>
              </w:p>
            </w:txbxContent>
          </v:textbox>
          <w10:wrap anchorx="page" anchory="page"/>
        </v:shape>
      </w:pic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65605" w14:textId="77777777" w:rsidR="001008C3" w:rsidRDefault="00000000">
    <w:pPr>
      <w:pStyle w:val="a3"/>
      <w:spacing w:line="14" w:lineRule="auto"/>
    </w:pPr>
    <w:r>
      <w:rPr>
        <w:noProof w:val="0"/>
      </w:rPr>
      <w:pict w14:anchorId="0761842A">
        <v:shapetype id="_x0000_t202" coordsize="21600,21600" o:spt="202" path="m,l,21600r21600,l21600,xe">
          <v:stroke joinstyle="miter"/>
          <v:path gradientshapeok="t" o:connecttype="rect"/>
        </v:shapetype>
        <v:shape id="_x0000_s1493" type="#_x0000_t202" style="position:absolute;margin-left:55.4pt;margin-top:594.5pt;width:22.8pt;height:12.55pt;z-index:-457888;mso-position-horizontal-relative:page;mso-position-vertical-relative:page" filled="f" stroked="f">
          <v:textbox inset="0,0,0,0">
            <w:txbxContent>
              <w:p w14:paraId="5452AB52"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232</w:t>
                </w:r>
                <w:r>
                  <w:fldChar w:fldCharType="end"/>
                </w:r>
                <w:r>
                  <w:rPr>
                    <w:color w:val="231F20"/>
                    <w:sz w:val="18"/>
                  </w:rPr>
                  <w:t xml:space="preserve"> </w:t>
                </w:r>
              </w:p>
            </w:txbxContent>
          </v:textbox>
          <w10:wrap anchorx="page" anchory="page"/>
        </v:shape>
      </w:pict>
    </w:r>
    <w:r>
      <w:rPr>
        <w:noProof w:val="0"/>
      </w:rPr>
      <w:pict w14:anchorId="4317E313">
        <v:shape id="_x0000_s1492" type="#_x0000_t202" style="position:absolute;margin-left:90.4pt;margin-top:594.5pt;width:277.1pt;height:12.55pt;z-index:-457864;mso-position-horizontal-relative:page;mso-position-vertical-relative:page" filled="f" stroked="f">
          <v:textbox inset="0,0,0,0">
            <w:txbxContent>
              <w:p w14:paraId="025D781E" w14:textId="77777777" w:rsidR="001008C3" w:rsidRDefault="001008C3">
                <w:pPr>
                  <w:tabs>
                    <w:tab w:val="left" w:pos="5297"/>
                  </w:tabs>
                  <w:spacing w:before="19"/>
                  <w:ind w:left="20"/>
                  <w:rPr>
                    <w:sz w:val="14"/>
                  </w:rPr>
                </w:pPr>
                <w:r>
                  <w:rPr>
                    <w:color w:val="231F20"/>
                    <w:spacing w:val="15"/>
                    <w:w w:val="115"/>
                    <w:sz w:val="18"/>
                  </w:rPr>
                  <w:t xml:space="preserve">black  </w:t>
                </w:r>
                <w:r>
                  <w:rPr>
                    <w:color w:val="231F20"/>
                    <w:spacing w:val="18"/>
                    <w:w w:val="115"/>
                    <w:sz w:val="18"/>
                  </w:rPr>
                  <w:t xml:space="preserve">september: </w:t>
                </w:r>
                <w:r>
                  <w:rPr>
                    <w:color w:val="231F20"/>
                    <w:w w:val="115"/>
                    <w:sz w:val="18"/>
                  </w:rPr>
                  <w:t xml:space="preserve">a  </w:t>
                </w:r>
                <w:r>
                  <w:rPr>
                    <w:color w:val="231F20"/>
                    <w:spacing w:val="17"/>
                    <w:w w:val="115"/>
                    <w:sz w:val="18"/>
                  </w:rPr>
                  <w:t xml:space="preserve">statement </w:t>
                </w:r>
                <w:r>
                  <w:rPr>
                    <w:color w:val="231F20"/>
                    <w:spacing w:val="15"/>
                    <w:w w:val="115"/>
                    <w:sz w:val="18"/>
                  </w:rPr>
                  <w:t>from</w:t>
                </w:r>
                <w:r>
                  <w:rPr>
                    <w:color w:val="231F20"/>
                    <w:spacing w:val="20"/>
                    <w:w w:val="115"/>
                    <w:sz w:val="18"/>
                  </w:rPr>
                  <w:t xml:space="preserve"> </w:t>
                </w:r>
                <w:r>
                  <w:rPr>
                    <w:color w:val="231F20"/>
                    <w:spacing w:val="17"/>
                    <w:w w:val="115"/>
                    <w:sz w:val="18"/>
                  </w:rPr>
                  <w:t>behind</w:t>
                </w:r>
                <w:r>
                  <w:rPr>
                    <w:color w:val="231F20"/>
                    <w:spacing w:val="35"/>
                    <w:w w:val="115"/>
                    <w:sz w:val="18"/>
                  </w:rPr>
                  <w:t xml:space="preserve"> </w:t>
                </w:r>
                <w:r>
                  <w:rPr>
                    <w:color w:val="231F20"/>
                    <w:spacing w:val="13"/>
                    <w:w w:val="115"/>
                    <w:sz w:val="18"/>
                  </w:rPr>
                  <w:t>bars</w:t>
                </w:r>
                <w:r>
                  <w:rPr>
                    <w:color w:val="231F20"/>
                    <w:spacing w:val="13"/>
                    <w:w w:val="115"/>
                    <w:sz w:val="18"/>
                  </w:rPr>
                  <w:tab/>
                </w:r>
                <w:r>
                  <w:rPr>
                    <w:color w:val="231F20"/>
                    <w:spacing w:val="10"/>
                    <w:w w:val="105"/>
                    <w:sz w:val="14"/>
                  </w:rPr>
                  <w:t>(6)</w:t>
                </w:r>
                <w:r>
                  <w:rPr>
                    <w:color w:val="231F20"/>
                    <w:spacing w:val="-13"/>
                    <w:sz w:val="14"/>
                  </w:rPr>
                  <w:t xml:space="preserve"> </w:t>
                </w:r>
              </w:p>
            </w:txbxContent>
          </v:textbox>
          <w10:wrap anchorx="page" anchory="page"/>
        </v:shape>
      </w:pict>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0878B" w14:textId="77777777" w:rsidR="001008C3" w:rsidRDefault="00000000">
    <w:pPr>
      <w:pStyle w:val="a3"/>
      <w:spacing w:line="14" w:lineRule="auto"/>
    </w:pPr>
    <w:r>
      <w:rPr>
        <w:noProof w:val="0"/>
      </w:rPr>
      <w:pict w14:anchorId="066F2300">
        <v:shapetype id="_x0000_t202" coordsize="21600,21600" o:spt="202" path="m,l,21600r21600,l21600,xe">
          <v:stroke joinstyle="miter"/>
          <v:path gradientshapeok="t" o:connecttype="rect"/>
        </v:shapetype>
        <v:shape id="_x0000_s1491" type="#_x0000_t202" style="position:absolute;margin-left:65.4pt;margin-top:594.5pt;width:312.5pt;height:12.55pt;z-index:-457840;mso-position-horizontal-relative:page;mso-position-vertical-relative:page" filled="f" stroked="f">
          <v:textbox inset="0,0,0,0">
            <w:txbxContent>
              <w:p w14:paraId="64B2F72B" w14:textId="77777777" w:rsidR="001008C3" w:rsidRDefault="001008C3">
                <w:pPr>
                  <w:spacing w:before="19"/>
                  <w:ind w:left="20"/>
                  <w:rPr>
                    <w:sz w:val="18"/>
                  </w:rPr>
                </w:pPr>
                <w:r>
                  <w:rPr>
                    <w:color w:val="231F20"/>
                    <w:w w:val="110"/>
                    <w:sz w:val="18"/>
                  </w:rPr>
                  <w:t xml:space="preserve">november 1972 • the black september action in munich </w:t>
                </w:r>
                <w:r>
                  <w:fldChar w:fldCharType="begin"/>
                </w:r>
                <w:r>
                  <w:rPr>
                    <w:color w:val="231F20"/>
                    <w:w w:val="110"/>
                    <w:sz w:val="18"/>
                  </w:rPr>
                  <w:instrText xml:space="preserve"> PAGE </w:instrText>
                </w:r>
                <w:r>
                  <w:fldChar w:fldCharType="separate"/>
                </w:r>
                <w:r>
                  <w:t>233</w:t>
                </w:r>
                <w:r>
                  <w:fldChar w:fldCharType="end"/>
                </w:r>
                <w:r>
                  <w:rPr>
                    <w:color w:val="231F20"/>
                    <w:sz w:val="18"/>
                  </w:rPr>
                  <w:t xml:space="preserve"> </w:t>
                </w:r>
              </w:p>
            </w:txbxContent>
          </v:textbox>
          <w10:wrap anchorx="page" anchory="page"/>
        </v:shape>
      </w:pic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2C30" w14:textId="77777777" w:rsidR="001008C3" w:rsidRDefault="00000000">
    <w:pPr>
      <w:pStyle w:val="a3"/>
      <w:spacing w:line="14" w:lineRule="auto"/>
    </w:pPr>
    <w:r>
      <w:rPr>
        <w:noProof w:val="0"/>
      </w:rPr>
      <w:pict w14:anchorId="709E7B55">
        <v:shapetype id="_x0000_t202" coordsize="21600,21600" o:spt="202" path="m,l,21600r21600,l21600,xe">
          <v:stroke joinstyle="miter"/>
          <v:path gradientshapeok="t" o:connecttype="rect"/>
        </v:shapetype>
        <v:shape id="_x0000_s1489" type="#_x0000_t202" style="position:absolute;margin-left:56.4pt;margin-top:594.5pt;width:20.8pt;height:12.55pt;z-index:-457792;mso-position-horizontal-relative:page;mso-position-vertical-relative:page" filled="f" stroked="f">
          <v:textbox inset="0,0,0,0">
            <w:txbxContent>
              <w:p w14:paraId="4DB36E65" w14:textId="77777777" w:rsidR="001008C3" w:rsidRDefault="001008C3">
                <w:pPr>
                  <w:spacing w:before="19"/>
                  <w:ind w:left="20"/>
                  <w:rPr>
                    <w:sz w:val="18"/>
                  </w:rPr>
                </w:pPr>
                <w:r>
                  <w:rPr>
                    <w:color w:val="231F20"/>
                    <w:sz w:val="18"/>
                  </w:rPr>
                  <w:t xml:space="preserve">238 </w:t>
                </w:r>
              </w:p>
            </w:txbxContent>
          </v:textbox>
          <w10:wrap anchorx="page" anchory="page"/>
        </v:shape>
      </w:pict>
    </w:r>
    <w:r>
      <w:rPr>
        <w:noProof w:val="0"/>
      </w:rPr>
      <w:pict w14:anchorId="0AEE5EE6">
        <v:shape id="_x0000_s1488" type="#_x0000_t202" style="position:absolute;margin-left:119.7pt;margin-top:594.5pt;width:247.9pt;height:12.55pt;z-index:-457768;mso-position-horizontal-relative:page;mso-position-vertical-relative:page" filled="f" stroked="f">
          <v:textbox inset="0,0,0,0">
            <w:txbxContent>
              <w:p w14:paraId="261BF07B"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B048D" w14:textId="77777777" w:rsidR="001008C3" w:rsidRDefault="00000000">
    <w:pPr>
      <w:pStyle w:val="a3"/>
      <w:spacing w:line="14" w:lineRule="auto"/>
    </w:pPr>
    <w:r>
      <w:rPr>
        <w:noProof w:val="0"/>
      </w:rPr>
      <w:pict w14:anchorId="75BB4A22">
        <v:shapetype id="_x0000_t202" coordsize="21600,21600" o:spt="202" path="m,l,21600r21600,l21600,xe">
          <v:stroke joinstyle="miter"/>
          <v:path gradientshapeok="t" o:connecttype="rect"/>
        </v:shapetype>
        <v:shape id="_x0000_s1490" type="#_x0000_t202" style="position:absolute;margin-left:355.1pt;margin-top:594.5pt;width:22.8pt;height:12.55pt;z-index:-457816;mso-position-horizontal-relative:page;mso-position-vertical-relative:page" filled="f" stroked="f">
          <v:textbox inset="0,0,0,0">
            <w:txbxContent>
              <w:p w14:paraId="312339D8"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237</w:t>
                </w:r>
                <w:r>
                  <w:fldChar w:fldCharType="end"/>
                </w:r>
                <w:r>
                  <w:rPr>
                    <w:color w:val="231F20"/>
                    <w:sz w:val="18"/>
                  </w:rPr>
                  <w:t xml:space="preserve"> </w:t>
                </w:r>
              </w:p>
            </w:txbxContent>
          </v:textbox>
          <w10:wrap anchorx="page" anchory="page"/>
        </v:shape>
      </w:pict>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A4F4A" w14:textId="77777777" w:rsidR="001008C3" w:rsidRDefault="00000000">
    <w:pPr>
      <w:pStyle w:val="a3"/>
      <w:spacing w:line="14" w:lineRule="auto"/>
    </w:pPr>
    <w:r>
      <w:rPr>
        <w:noProof w:val="0"/>
      </w:rPr>
      <w:pict w14:anchorId="2D17FD7A">
        <v:shapetype id="_x0000_t202" coordsize="21600,21600" o:spt="202" path="m,l,21600r21600,l21600,xe">
          <v:stroke joinstyle="miter"/>
          <v:path gradientshapeok="t" o:connecttype="rect"/>
        </v:shapetype>
        <v:shape id="_x0000_s1487" type="#_x0000_t202" style="position:absolute;margin-left:65.4pt;margin-top:594.5pt;width:116.6pt;height:12.55pt;z-index:-457744;mso-position-horizontal-relative:page;mso-position-vertical-relative:page" filled="f" stroked="f">
          <v:textbox inset="0,0,0,0">
            <w:txbxContent>
              <w:p w14:paraId="4A2328F2"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0C64065E">
        <v:shape id="_x0000_s1486" type="#_x0000_t202" style="position:absolute;margin-left:356.1pt;margin-top:594.5pt;width:20.8pt;height:12.55pt;z-index:-457720;mso-position-horizontal-relative:page;mso-position-vertical-relative:page" filled="f" stroked="f">
          <v:textbox inset="0,0,0,0">
            <w:txbxContent>
              <w:p w14:paraId="47A2B819" w14:textId="77777777" w:rsidR="001008C3" w:rsidRDefault="001008C3">
                <w:pPr>
                  <w:spacing w:before="19"/>
                  <w:ind w:left="20"/>
                  <w:rPr>
                    <w:sz w:val="18"/>
                  </w:rPr>
                </w:pPr>
                <w:r>
                  <w:rPr>
                    <w:color w:val="231F20"/>
                    <w:sz w:val="18"/>
                  </w:rPr>
                  <w:t xml:space="preserve">239 </w:t>
                </w:r>
              </w:p>
            </w:txbxContent>
          </v:textbox>
          <w10:wrap anchorx="page" anchory="page"/>
        </v:shape>
      </w:pic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F3B0A" w14:textId="77777777" w:rsidR="001008C3" w:rsidRDefault="00000000">
    <w:pPr>
      <w:pStyle w:val="a3"/>
      <w:spacing w:line="14" w:lineRule="auto"/>
    </w:pPr>
    <w:r>
      <w:rPr>
        <w:noProof w:val="0"/>
      </w:rPr>
      <w:pict w14:anchorId="7454FDD7">
        <v:shapetype id="_x0000_t202" coordsize="21600,21600" o:spt="202" path="m,l,21600r21600,l21600,xe">
          <v:stroke joinstyle="miter"/>
          <v:path gradientshapeok="t" o:connecttype="rect"/>
        </v:shapetype>
        <v:shape id="_x0000_s1485" type="#_x0000_t202" style="position:absolute;margin-left:56.4pt;margin-top:594.5pt;width:20.8pt;height:12.55pt;z-index:-457696;mso-position-horizontal-relative:page;mso-position-vertical-relative:page" filled="f" stroked="f">
          <v:textbox inset="0,0,0,0">
            <w:txbxContent>
              <w:p w14:paraId="0DC9B1C6" w14:textId="77777777" w:rsidR="001008C3" w:rsidRDefault="001008C3">
                <w:pPr>
                  <w:spacing w:before="19"/>
                  <w:ind w:left="20"/>
                  <w:rPr>
                    <w:sz w:val="18"/>
                  </w:rPr>
                </w:pPr>
                <w:r>
                  <w:rPr>
                    <w:color w:val="231F20"/>
                    <w:sz w:val="18"/>
                  </w:rPr>
                  <w:t xml:space="preserve">240 </w:t>
                </w:r>
              </w:p>
            </w:txbxContent>
          </v:textbox>
          <w10:wrap anchorx="page" anchory="page"/>
        </v:shape>
      </w:pict>
    </w:r>
    <w:r>
      <w:rPr>
        <w:noProof w:val="0"/>
      </w:rPr>
      <w:pict w14:anchorId="7B9B1C0F">
        <v:shape id="_x0000_s1484" type="#_x0000_t202" style="position:absolute;margin-left:119.7pt;margin-top:594.5pt;width:247.9pt;height:12.55pt;z-index:-457672;mso-position-horizontal-relative:page;mso-position-vertical-relative:page" filled="f" stroked="f">
          <v:textbox inset="0,0,0,0">
            <w:txbxContent>
              <w:p w14:paraId="0F08536C"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9D21C" w14:textId="77777777" w:rsidR="001008C3" w:rsidRDefault="00000000">
    <w:pPr>
      <w:pStyle w:val="a3"/>
      <w:spacing w:line="14" w:lineRule="auto"/>
    </w:pPr>
    <w:r>
      <w:rPr>
        <w:noProof w:val="0"/>
      </w:rPr>
      <w:pict w14:anchorId="24B3186B">
        <v:shapetype id="_x0000_t202" coordsize="21600,21600" o:spt="202" path="m,l,21600r21600,l21600,xe">
          <v:stroke joinstyle="miter"/>
          <v:path gradientshapeok="t" o:connecttype="rect"/>
        </v:shapetype>
        <v:shape id="_x0000_s1720" type="#_x0000_t202" style="position:absolute;margin-left:347.6pt;margin-top:594.5pt;width:29.25pt;height:12.55pt;z-index:-463336;mso-position-horizontal-relative:page;mso-position-vertical-relative:page" filled="f" stroked="f">
          <v:textbox inset="0,0,0,0">
            <w:txbxContent>
              <w:p w14:paraId="30B4B165" w14:textId="77777777" w:rsidR="001008C3" w:rsidRDefault="001008C3">
                <w:pPr>
                  <w:spacing w:before="19"/>
                  <w:ind w:left="20"/>
                  <w:rPr>
                    <w:sz w:val="18"/>
                  </w:rPr>
                </w:pPr>
                <w:r>
                  <w:rPr>
                    <w:color w:val="231F20"/>
                    <w:w w:val="115"/>
                    <w:sz w:val="18"/>
                  </w:rPr>
                  <w:t>xxvii</w:t>
                </w:r>
                <w:r>
                  <w:rPr>
                    <w:color w:val="231F20"/>
                    <w:sz w:val="18"/>
                  </w:rPr>
                  <w:t xml:space="preserve"> </w:t>
                </w:r>
              </w:p>
            </w:txbxContent>
          </v:textbox>
          <w10:wrap anchorx="page" anchory="page"/>
        </v:shape>
      </w:pict>
    </w: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880E" w14:textId="77777777" w:rsidR="001008C3" w:rsidRDefault="00000000">
    <w:pPr>
      <w:pStyle w:val="a3"/>
      <w:spacing w:line="14" w:lineRule="auto"/>
    </w:pPr>
    <w:r>
      <w:rPr>
        <w:noProof w:val="0"/>
      </w:rPr>
      <w:pict w14:anchorId="08906E81">
        <v:shapetype id="_x0000_t202" coordsize="21600,21600" o:spt="202" path="m,l,21600r21600,l21600,xe">
          <v:stroke joinstyle="miter"/>
          <v:path gradientshapeok="t" o:connecttype="rect"/>
        </v:shapetype>
        <v:shape id="_x0000_s1483" type="#_x0000_t202" style="position:absolute;margin-left:65.4pt;margin-top:594.5pt;width:116.6pt;height:12.55pt;z-index:-457648;mso-position-horizontal-relative:page;mso-position-vertical-relative:page" filled="f" stroked="f">
          <v:textbox inset="0,0,0,0">
            <w:txbxContent>
              <w:p w14:paraId="1C19B2C7"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27EBF281">
        <v:shape id="_x0000_s1482" type="#_x0000_t202" style="position:absolute;margin-left:356.1pt;margin-top:594.5pt;width:20.8pt;height:12.55pt;z-index:-457624;mso-position-horizontal-relative:page;mso-position-vertical-relative:page" filled="f" stroked="f">
          <v:textbox inset="0,0,0,0">
            <w:txbxContent>
              <w:p w14:paraId="216159B0" w14:textId="77777777" w:rsidR="001008C3" w:rsidRDefault="001008C3">
                <w:pPr>
                  <w:spacing w:before="19"/>
                  <w:ind w:left="20"/>
                  <w:rPr>
                    <w:sz w:val="18"/>
                  </w:rPr>
                </w:pPr>
                <w:r>
                  <w:rPr>
                    <w:color w:val="231F20"/>
                    <w:sz w:val="18"/>
                  </w:rPr>
                  <w:t xml:space="preserve">241 </w:t>
                </w:r>
              </w:p>
            </w:txbxContent>
          </v:textbox>
          <w10:wrap anchorx="page" anchory="page"/>
        </v:shape>
      </w:pict>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327E5" w14:textId="77777777" w:rsidR="001008C3" w:rsidRDefault="00000000">
    <w:pPr>
      <w:pStyle w:val="a3"/>
      <w:spacing w:line="14" w:lineRule="auto"/>
    </w:pPr>
    <w:r>
      <w:rPr>
        <w:noProof w:val="0"/>
      </w:rPr>
      <w:pict w14:anchorId="21C2F5B7">
        <v:shapetype id="_x0000_t202" coordsize="21600,21600" o:spt="202" path="m,l,21600r21600,l21600,xe">
          <v:stroke joinstyle="miter"/>
          <v:path gradientshapeok="t" o:connecttype="rect"/>
        </v:shapetype>
        <v:shape id="_x0000_s1481" type="#_x0000_t202" style="position:absolute;margin-left:55.4pt;margin-top:594.5pt;width:22.8pt;height:12.55pt;z-index:-457600;mso-position-horizontal-relative:page;mso-position-vertical-relative:page" filled="f" stroked="f">
          <v:textbox inset="0,0,0,0">
            <w:txbxContent>
              <w:p w14:paraId="41A32C67" w14:textId="77777777" w:rsidR="001008C3" w:rsidRDefault="001008C3">
                <w:pPr>
                  <w:spacing w:before="19"/>
                  <w:ind w:left="40"/>
                  <w:rPr>
                    <w:sz w:val="18"/>
                  </w:rPr>
                </w:pPr>
                <w:r>
                  <w:rPr>
                    <w:color w:val="231F20"/>
                    <w:sz w:val="18"/>
                  </w:rPr>
                  <w:t xml:space="preserve">242 </w:t>
                </w:r>
              </w:p>
            </w:txbxContent>
          </v:textbox>
          <w10:wrap anchorx="page" anchory="page"/>
        </v:shape>
      </w:pict>
    </w:r>
    <w:r>
      <w:rPr>
        <w:noProof w:val="0"/>
      </w:rPr>
      <w:pict w14:anchorId="4F591F75">
        <v:shape id="_x0000_s1480" type="#_x0000_t202" style="position:absolute;margin-left:119.7pt;margin-top:594.5pt;width:247.9pt;height:12.55pt;z-index:-457576;mso-position-horizontal-relative:page;mso-position-vertical-relative:page" filled="f" stroked="f">
          <v:textbox inset="0,0,0,0">
            <w:txbxContent>
              <w:p w14:paraId="7B204E68"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6B9F9" w14:textId="77777777" w:rsidR="001008C3" w:rsidRDefault="00000000">
    <w:pPr>
      <w:pStyle w:val="a3"/>
      <w:spacing w:line="14" w:lineRule="auto"/>
    </w:pPr>
    <w:r>
      <w:rPr>
        <w:noProof w:val="0"/>
      </w:rPr>
      <w:pict w14:anchorId="2918AB44">
        <v:shapetype id="_x0000_t202" coordsize="21600,21600" o:spt="202" path="m,l,21600r21600,l21600,xe">
          <v:stroke joinstyle="miter"/>
          <v:path gradientshapeok="t" o:connecttype="rect"/>
        </v:shapetype>
        <v:shape id="_x0000_s1477" type="#_x0000_t202" style="position:absolute;margin-left:55.4pt;margin-top:594.5pt;width:22.8pt;height:12.55pt;z-index:-457504;mso-position-horizontal-relative:page;mso-position-vertical-relative:page" filled="f" stroked="f">
          <v:textbox inset="0,0,0,0">
            <w:txbxContent>
              <w:p w14:paraId="676459CC"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244</w:t>
                </w:r>
                <w:r>
                  <w:fldChar w:fldCharType="end"/>
                </w:r>
                <w:r>
                  <w:rPr>
                    <w:color w:val="231F20"/>
                    <w:sz w:val="18"/>
                  </w:rPr>
                  <w:t xml:space="preserve"> </w:t>
                </w:r>
              </w:p>
            </w:txbxContent>
          </v:textbox>
          <w10:wrap anchorx="page" anchory="page"/>
        </v:shape>
      </w:pict>
    </w:r>
    <w:r>
      <w:rPr>
        <w:noProof w:val="0"/>
      </w:rPr>
      <w:pict w14:anchorId="326F086D">
        <v:shape id="_x0000_s1476" type="#_x0000_t202" style="position:absolute;margin-left:119.7pt;margin-top:594.5pt;width:247.9pt;height:12.55pt;z-index:-457480;mso-position-horizontal-relative:page;mso-position-vertical-relative:page" filled="f" stroked="f">
          <v:textbox inset="0,0,0,0">
            <w:txbxContent>
              <w:p w14:paraId="1832469D"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1A59B" w14:textId="77777777" w:rsidR="001008C3" w:rsidRDefault="00000000">
    <w:pPr>
      <w:pStyle w:val="a3"/>
      <w:spacing w:line="14" w:lineRule="auto"/>
    </w:pPr>
    <w:r>
      <w:rPr>
        <w:noProof w:val="0"/>
      </w:rPr>
      <w:pict w14:anchorId="68A30454">
        <v:shapetype id="_x0000_t202" coordsize="21600,21600" o:spt="202" path="m,l,21600r21600,l21600,xe">
          <v:stroke joinstyle="miter"/>
          <v:path gradientshapeok="t" o:connecttype="rect"/>
        </v:shapetype>
        <v:shape id="_x0000_s1479" type="#_x0000_t202" style="position:absolute;margin-left:65.4pt;margin-top:594.5pt;width:116.6pt;height:12.55pt;z-index:-457552;mso-position-horizontal-relative:page;mso-position-vertical-relative:page" filled="f" stroked="f">
          <v:textbox inset="0,0,0,0">
            <w:txbxContent>
              <w:p w14:paraId="309089CE"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50E9F656">
        <v:shape id="_x0000_s1478" type="#_x0000_t202" style="position:absolute;margin-left:355.1pt;margin-top:594.5pt;width:22.8pt;height:12.55pt;z-index:-457528;mso-position-horizontal-relative:page;mso-position-vertical-relative:page" filled="f" stroked="f">
          <v:textbox inset="0,0,0,0">
            <w:txbxContent>
              <w:p w14:paraId="02052989"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243</w:t>
                </w:r>
                <w:r>
                  <w:fldChar w:fldCharType="end"/>
                </w:r>
                <w:r>
                  <w:rPr>
                    <w:color w:val="231F20"/>
                    <w:sz w:val="18"/>
                  </w:rPr>
                  <w:t xml:space="preserve"> </w:t>
                </w:r>
              </w:p>
            </w:txbxContent>
          </v:textbox>
          <w10:wrap anchorx="page" anchory="page"/>
        </v:shape>
      </w:pict>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21313" w14:textId="77777777" w:rsidR="001008C3" w:rsidRDefault="00000000">
    <w:pPr>
      <w:pStyle w:val="a3"/>
      <w:spacing w:line="14" w:lineRule="auto"/>
    </w:pPr>
    <w:r>
      <w:rPr>
        <w:noProof w:val="0"/>
      </w:rPr>
      <w:pict w14:anchorId="3A9C29B1">
        <v:shapetype id="_x0000_t202" coordsize="21600,21600" o:spt="202" path="m,l,21600r21600,l21600,xe">
          <v:stroke joinstyle="miter"/>
          <v:path gradientshapeok="t" o:connecttype="rect"/>
        </v:shapetype>
        <v:shape id="_x0000_s1473" type="#_x0000_t202" style="position:absolute;margin-left:65.4pt;margin-top:594.5pt;width:116.6pt;height:12.55pt;z-index:-457408;mso-position-horizontal-relative:page;mso-position-vertical-relative:page" filled="f" stroked="f">
          <v:textbox inset="0,0,0,0">
            <w:txbxContent>
              <w:p w14:paraId="629E72A7"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13F84D16">
        <v:shape id="_x0000_s1472" type="#_x0000_t202" style="position:absolute;margin-left:356.1pt;margin-top:594.5pt;width:20.8pt;height:12.55pt;z-index:-457384;mso-position-horizontal-relative:page;mso-position-vertical-relative:page" filled="f" stroked="f">
          <v:textbox inset="0,0,0,0">
            <w:txbxContent>
              <w:p w14:paraId="0FDC1612" w14:textId="77777777" w:rsidR="001008C3" w:rsidRDefault="001008C3">
                <w:pPr>
                  <w:spacing w:before="19"/>
                  <w:ind w:left="20"/>
                  <w:rPr>
                    <w:sz w:val="18"/>
                  </w:rPr>
                </w:pPr>
                <w:r>
                  <w:rPr>
                    <w:color w:val="231F20"/>
                    <w:sz w:val="18"/>
                  </w:rPr>
                  <w:t xml:space="preserve">251 </w:t>
                </w:r>
              </w:p>
            </w:txbxContent>
          </v:textbox>
          <w10:wrap anchorx="page" anchory="page"/>
        </v:shape>
      </w:pic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46334" w14:textId="77777777" w:rsidR="001008C3" w:rsidRDefault="00000000">
    <w:pPr>
      <w:pStyle w:val="a3"/>
      <w:spacing w:line="14" w:lineRule="auto"/>
    </w:pPr>
    <w:r>
      <w:rPr>
        <w:noProof w:val="0"/>
      </w:rPr>
      <w:pict w14:anchorId="37B1FA0B">
        <v:shapetype id="_x0000_t202" coordsize="21600,21600" o:spt="202" path="m,l,21600r21600,l21600,xe">
          <v:stroke joinstyle="miter"/>
          <v:path gradientshapeok="t" o:connecttype="rect"/>
        </v:shapetype>
        <v:shape id="_x0000_s1475" type="#_x0000_t202" style="position:absolute;margin-left:56.4pt;margin-top:594.5pt;width:20.8pt;height:12.55pt;z-index:-457456;mso-position-horizontal-relative:page;mso-position-vertical-relative:page" filled="f" stroked="f">
          <v:textbox inset="0,0,0,0">
            <w:txbxContent>
              <w:p w14:paraId="14F126D1" w14:textId="77777777" w:rsidR="001008C3" w:rsidRDefault="001008C3">
                <w:pPr>
                  <w:spacing w:before="19"/>
                  <w:ind w:left="20"/>
                  <w:rPr>
                    <w:sz w:val="18"/>
                  </w:rPr>
                </w:pPr>
                <w:r>
                  <w:rPr>
                    <w:color w:val="231F20"/>
                    <w:sz w:val="18"/>
                  </w:rPr>
                  <w:t xml:space="preserve">250 </w:t>
                </w:r>
              </w:p>
            </w:txbxContent>
          </v:textbox>
          <w10:wrap anchorx="page" anchory="page"/>
        </v:shape>
      </w:pict>
    </w:r>
    <w:r>
      <w:rPr>
        <w:noProof w:val="0"/>
      </w:rPr>
      <w:pict w14:anchorId="41D2428D">
        <v:shape id="_x0000_s1474" type="#_x0000_t202" style="position:absolute;margin-left:119.7pt;margin-top:594.5pt;width:247.9pt;height:12.55pt;z-index:-457432;mso-position-horizontal-relative:page;mso-position-vertical-relative:page" filled="f" stroked="f">
          <v:textbox inset="0,0,0,0">
            <w:txbxContent>
              <w:p w14:paraId="560C35CC"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52278" w14:textId="77777777" w:rsidR="001008C3" w:rsidRDefault="00000000">
    <w:pPr>
      <w:pStyle w:val="a3"/>
      <w:spacing w:line="14" w:lineRule="auto"/>
    </w:pPr>
    <w:r>
      <w:rPr>
        <w:noProof w:val="0"/>
      </w:rPr>
      <w:pict w14:anchorId="3A4FEACC">
        <v:shapetype id="_x0000_t202" coordsize="21600,21600" o:spt="202" path="m,l,21600r21600,l21600,xe">
          <v:stroke joinstyle="miter"/>
          <v:path gradientshapeok="t" o:connecttype="rect"/>
        </v:shapetype>
        <v:shape id="_x0000_s1469" type="#_x0000_t202" style="position:absolute;margin-left:65.4pt;margin-top:594.5pt;width:116.6pt;height:12.55pt;z-index:-457312;mso-position-horizontal-relative:page;mso-position-vertical-relative:page" filled="f" stroked="f">
          <v:textbox inset="0,0,0,0">
            <w:txbxContent>
              <w:p w14:paraId="0BB7B620"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26EF6A34">
        <v:shape id="_x0000_s1468" type="#_x0000_t202" style="position:absolute;margin-left:356.1pt;margin-top:594.5pt;width:20.8pt;height:12.55pt;z-index:-457288;mso-position-horizontal-relative:page;mso-position-vertical-relative:page" filled="f" stroked="f">
          <v:textbox inset="0,0,0,0">
            <w:txbxContent>
              <w:p w14:paraId="289C97B6" w14:textId="77777777" w:rsidR="001008C3" w:rsidRDefault="001008C3">
                <w:pPr>
                  <w:spacing w:before="19"/>
                  <w:ind w:left="20"/>
                  <w:rPr>
                    <w:sz w:val="18"/>
                  </w:rPr>
                </w:pPr>
                <w:r>
                  <w:rPr>
                    <w:color w:val="231F20"/>
                    <w:sz w:val="18"/>
                  </w:rPr>
                  <w:t xml:space="preserve">253 </w:t>
                </w:r>
              </w:p>
            </w:txbxContent>
          </v:textbox>
          <w10:wrap anchorx="page" anchory="page"/>
        </v:shape>
      </w:pict>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B64BE" w14:textId="77777777" w:rsidR="001008C3" w:rsidRDefault="00000000">
    <w:pPr>
      <w:pStyle w:val="a3"/>
      <w:spacing w:line="14" w:lineRule="auto"/>
    </w:pPr>
    <w:r>
      <w:rPr>
        <w:noProof w:val="0"/>
      </w:rPr>
      <w:pict w14:anchorId="49CA1B6A">
        <v:shapetype id="_x0000_t202" coordsize="21600,21600" o:spt="202" path="m,l,21600r21600,l21600,xe">
          <v:stroke joinstyle="miter"/>
          <v:path gradientshapeok="t" o:connecttype="rect"/>
        </v:shapetype>
        <v:shape id="_x0000_s1471" type="#_x0000_t202" style="position:absolute;margin-left:56.4pt;margin-top:594.5pt;width:20.8pt;height:12.55pt;z-index:-457360;mso-position-horizontal-relative:page;mso-position-vertical-relative:page" filled="f" stroked="f">
          <v:textbox inset="0,0,0,0">
            <w:txbxContent>
              <w:p w14:paraId="14D4FA4A" w14:textId="77777777" w:rsidR="001008C3" w:rsidRDefault="001008C3">
                <w:pPr>
                  <w:spacing w:before="19"/>
                  <w:ind w:left="20"/>
                  <w:rPr>
                    <w:sz w:val="18"/>
                  </w:rPr>
                </w:pPr>
                <w:r>
                  <w:rPr>
                    <w:color w:val="231F20"/>
                    <w:sz w:val="18"/>
                  </w:rPr>
                  <w:t xml:space="preserve">252 </w:t>
                </w:r>
              </w:p>
            </w:txbxContent>
          </v:textbox>
          <w10:wrap anchorx="page" anchory="page"/>
        </v:shape>
      </w:pict>
    </w:r>
    <w:r>
      <w:rPr>
        <w:noProof w:val="0"/>
      </w:rPr>
      <w:pict w14:anchorId="698A9922">
        <v:shape id="_x0000_s1470" type="#_x0000_t202" style="position:absolute;margin-left:119.7pt;margin-top:594.5pt;width:247.9pt;height:12.55pt;z-index:-457336;mso-position-horizontal-relative:page;mso-position-vertical-relative:page" filled="f" stroked="f">
          <v:textbox inset="0,0,0,0">
            <w:txbxContent>
              <w:p w14:paraId="1C597AFF"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D222" w14:textId="77777777" w:rsidR="001008C3" w:rsidRDefault="00000000">
    <w:pPr>
      <w:pStyle w:val="a3"/>
      <w:spacing w:line="14" w:lineRule="auto"/>
    </w:pPr>
    <w:r>
      <w:rPr>
        <w:noProof w:val="0"/>
      </w:rPr>
      <w:pict w14:anchorId="05218F36">
        <v:line id="_x0000_s1464" style="position:absolute;z-index:-457192;mso-position-horizontal-relative:page;mso-position-vertical-relative:page" from="66.4pt,470.95pt" to="138.4pt,470.95pt" strokecolor="#231f20" strokeweight=".5pt">
          <w10:wrap anchorx="page" anchory="page"/>
        </v:line>
      </w:pict>
    </w:r>
    <w:r>
      <w:rPr>
        <w:noProof w:val="0"/>
      </w:rPr>
      <w:pict w14:anchorId="737FC6A2">
        <v:shapetype id="_x0000_t202" coordsize="21600,21600" o:spt="202" path="m,l,21600r21600,l21600,xe">
          <v:stroke joinstyle="miter"/>
          <v:path gradientshapeok="t" o:connecttype="rect"/>
        </v:shapetype>
        <v:shape id="_x0000_s1463" type="#_x0000_t202" style="position:absolute;margin-left:65.4pt;margin-top:594.5pt;width:116.6pt;height:12.55pt;z-index:-457168;mso-position-horizontal-relative:page;mso-position-vertical-relative:page" filled="f" stroked="f">
          <v:textbox inset="0,0,0,0">
            <w:txbxContent>
              <w:p w14:paraId="64ACFE8A"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07F421A7">
        <v:shape id="_x0000_s1462" type="#_x0000_t202" style="position:absolute;margin-left:356.1pt;margin-top:594.5pt;width:20.8pt;height:12.55pt;z-index:-457144;mso-position-horizontal-relative:page;mso-position-vertical-relative:page" filled="f" stroked="f">
          <v:textbox inset="0,0,0,0">
            <w:txbxContent>
              <w:p w14:paraId="37A96546" w14:textId="77777777" w:rsidR="001008C3" w:rsidRDefault="001008C3">
                <w:pPr>
                  <w:spacing w:before="19"/>
                  <w:ind w:left="20"/>
                  <w:rPr>
                    <w:sz w:val="18"/>
                  </w:rPr>
                </w:pPr>
                <w:r>
                  <w:rPr>
                    <w:color w:val="231F20"/>
                    <w:sz w:val="18"/>
                  </w:rPr>
                  <w:t xml:space="preserve">255 </w:t>
                </w:r>
              </w:p>
            </w:txbxContent>
          </v:textbox>
          <w10:wrap anchorx="page" anchory="page"/>
        </v:shape>
      </w:pic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74649" w14:textId="77777777" w:rsidR="001008C3" w:rsidRDefault="00000000">
    <w:pPr>
      <w:pStyle w:val="a3"/>
      <w:spacing w:line="14" w:lineRule="auto"/>
    </w:pPr>
    <w:r>
      <w:rPr>
        <w:noProof w:val="0"/>
      </w:rPr>
      <w:pict w14:anchorId="3BBBAD41">
        <v:line id="_x0000_s1467" style="position:absolute;z-index:-457264;mso-position-horizontal-relative:page;mso-position-vertical-relative:page" from="57.4pt,512.8pt" to="129.4pt,512.8pt" strokecolor="#231f20" strokeweight=".5pt">
          <w10:wrap anchorx="page" anchory="page"/>
        </v:line>
      </w:pict>
    </w:r>
    <w:r>
      <w:rPr>
        <w:noProof w:val="0"/>
      </w:rPr>
      <w:pict w14:anchorId="29F26930">
        <v:shapetype id="_x0000_t202" coordsize="21600,21600" o:spt="202" path="m,l,21600r21600,l21600,xe">
          <v:stroke joinstyle="miter"/>
          <v:path gradientshapeok="t" o:connecttype="rect"/>
        </v:shapetype>
        <v:shape id="_x0000_s1466" type="#_x0000_t202" style="position:absolute;margin-left:56.4pt;margin-top:594.5pt;width:20.8pt;height:12.55pt;z-index:-457240;mso-position-horizontal-relative:page;mso-position-vertical-relative:page" filled="f" stroked="f">
          <v:textbox inset="0,0,0,0">
            <w:txbxContent>
              <w:p w14:paraId="0718BBBC" w14:textId="77777777" w:rsidR="001008C3" w:rsidRDefault="001008C3">
                <w:pPr>
                  <w:spacing w:before="19"/>
                  <w:ind w:left="20"/>
                  <w:rPr>
                    <w:sz w:val="18"/>
                  </w:rPr>
                </w:pPr>
                <w:r>
                  <w:rPr>
                    <w:color w:val="231F20"/>
                    <w:sz w:val="18"/>
                  </w:rPr>
                  <w:t xml:space="preserve">254 </w:t>
                </w:r>
              </w:p>
            </w:txbxContent>
          </v:textbox>
          <w10:wrap anchorx="page" anchory="page"/>
        </v:shape>
      </w:pict>
    </w:r>
    <w:r>
      <w:rPr>
        <w:noProof w:val="0"/>
      </w:rPr>
      <w:pict w14:anchorId="53BA105B">
        <v:shape id="_x0000_s1465" type="#_x0000_t202" style="position:absolute;margin-left:119.7pt;margin-top:594.5pt;width:247.9pt;height:12.55pt;z-index:-457216;mso-position-horizontal-relative:page;mso-position-vertical-relative:page" filled="f" stroked="f">
          <v:textbox inset="0,0,0,0">
            <w:txbxContent>
              <w:p w14:paraId="64498B95"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688EA" w14:textId="77777777" w:rsidR="001008C3" w:rsidRDefault="00000000">
    <w:pPr>
      <w:pStyle w:val="a3"/>
      <w:spacing w:line="14" w:lineRule="auto"/>
    </w:pPr>
    <w:r>
      <w:rPr>
        <w:noProof w:val="0"/>
      </w:rPr>
      <w:pict w14:anchorId="05BC75A0">
        <v:shapetype id="_x0000_t202" coordsize="21600,21600" o:spt="202" path="m,l,21600r21600,l21600,xe">
          <v:stroke joinstyle="miter"/>
          <v:path gradientshapeok="t" o:connecttype="rect"/>
        </v:shapetype>
        <v:shape id="_x0000_s1719" type="#_x0000_t202" style="position:absolute;margin-left:55.4pt;margin-top:594.5pt;width:34.5pt;height:12.55pt;z-index:-463312;mso-position-horizontal-relative:page;mso-position-vertical-relative:page" filled="f" stroked="f">
          <v:textbox inset="0,0,0,0">
            <w:txbxContent>
              <w:p w14:paraId="4ED56B40" w14:textId="77777777" w:rsidR="001008C3" w:rsidRDefault="001008C3">
                <w:pPr>
                  <w:spacing w:before="19"/>
                  <w:ind w:left="40"/>
                  <w:rPr>
                    <w:sz w:val="18"/>
                  </w:rPr>
                </w:pPr>
                <w:r>
                  <w:rPr>
                    <w:color w:val="231F20"/>
                    <w:w w:val="115"/>
                    <w:sz w:val="18"/>
                  </w:rPr>
                  <w:t>xxviii</w:t>
                </w:r>
                <w:r>
                  <w:rPr>
                    <w:color w:val="231F20"/>
                    <w:sz w:val="18"/>
                  </w:rPr>
                  <w:t xml:space="preserve"> </w:t>
                </w:r>
              </w:p>
            </w:txbxContent>
          </v:textbox>
          <w10:wrap anchorx="page" anchory="page"/>
        </v:shape>
      </w:pic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9F632" w14:textId="77777777" w:rsidR="001008C3" w:rsidRDefault="00000000">
    <w:pPr>
      <w:pStyle w:val="a3"/>
      <w:spacing w:line="14" w:lineRule="auto"/>
    </w:pPr>
    <w:r>
      <w:rPr>
        <w:noProof w:val="0"/>
      </w:rPr>
      <w:pict w14:anchorId="24125C8F">
        <v:shapetype id="_x0000_t202" coordsize="21600,21600" o:spt="202" path="m,l,21600r21600,l21600,xe">
          <v:stroke joinstyle="miter"/>
          <v:path gradientshapeok="t" o:connecttype="rect"/>
        </v:shapetype>
        <v:shape id="_x0000_s1461" type="#_x0000_t202" style="position:absolute;margin-left:55.4pt;margin-top:594.5pt;width:22.8pt;height:12.55pt;z-index:-457120;mso-position-horizontal-relative:page;mso-position-vertical-relative:page" filled="f" stroked="f">
          <v:textbox inset="0,0,0,0">
            <w:txbxContent>
              <w:p w14:paraId="6FE76209"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256</w:t>
                </w:r>
                <w:r>
                  <w:fldChar w:fldCharType="end"/>
                </w:r>
                <w:r>
                  <w:rPr>
                    <w:color w:val="231F20"/>
                    <w:sz w:val="18"/>
                  </w:rPr>
                  <w:t xml:space="preserve"> </w:t>
                </w:r>
              </w:p>
            </w:txbxContent>
          </v:textbox>
          <w10:wrap anchorx="page" anchory="page"/>
        </v:shape>
      </w:pict>
    </w:r>
    <w:r>
      <w:rPr>
        <w:noProof w:val="0"/>
      </w:rPr>
      <w:pict w14:anchorId="6F75AA32">
        <v:shape id="_x0000_s1460" type="#_x0000_t202" style="position:absolute;margin-left:119.7pt;margin-top:594.5pt;width:247.9pt;height:12.55pt;z-index:-457096;mso-position-horizontal-relative:page;mso-position-vertical-relative:page" filled="f" stroked="f">
          <v:textbox inset="0,0,0,0">
            <w:txbxContent>
              <w:p w14:paraId="5E40BE53"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2B089" w14:textId="77777777" w:rsidR="001008C3" w:rsidRDefault="00000000">
    <w:pPr>
      <w:pStyle w:val="a3"/>
      <w:spacing w:line="14" w:lineRule="auto"/>
    </w:pPr>
    <w:r>
      <w:rPr>
        <w:noProof w:val="0"/>
      </w:rPr>
      <w:pict w14:anchorId="100F2E9D">
        <v:shapetype id="_x0000_t202" coordsize="21600,21600" o:spt="202" path="m,l,21600r21600,l21600,xe">
          <v:stroke joinstyle="miter"/>
          <v:path gradientshapeok="t" o:connecttype="rect"/>
        </v:shapetype>
        <v:shape id="_x0000_s1459" type="#_x0000_t202" style="position:absolute;margin-left:65.4pt;margin-top:594.5pt;width:116.6pt;height:12.55pt;z-index:-457072;mso-position-horizontal-relative:page;mso-position-vertical-relative:page" filled="f" stroked="f">
          <v:textbox inset="0,0,0,0">
            <w:txbxContent>
              <w:p w14:paraId="4459292D"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317BE69F">
        <v:shape id="_x0000_s1458" type="#_x0000_t202" style="position:absolute;margin-left:355.1pt;margin-top:594.5pt;width:22.8pt;height:12.55pt;z-index:-457048;mso-position-horizontal-relative:page;mso-position-vertical-relative:page" filled="f" stroked="f">
          <v:textbox inset="0,0,0,0">
            <w:txbxContent>
              <w:p w14:paraId="6F449DE2"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257</w:t>
                </w:r>
                <w:r>
                  <w:fldChar w:fldCharType="end"/>
                </w:r>
                <w:r>
                  <w:rPr>
                    <w:color w:val="231F20"/>
                    <w:sz w:val="18"/>
                  </w:rPr>
                  <w:t xml:space="preserve"> </w:t>
                </w:r>
              </w:p>
            </w:txbxContent>
          </v:textbox>
          <w10:wrap anchorx="page" anchory="page"/>
        </v:shape>
      </w:pic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56C6C" w14:textId="77777777" w:rsidR="001008C3" w:rsidRDefault="00000000">
    <w:pPr>
      <w:pStyle w:val="a3"/>
      <w:spacing w:line="14" w:lineRule="auto"/>
    </w:pPr>
    <w:r>
      <w:rPr>
        <w:noProof w:val="0"/>
      </w:rPr>
      <w:pict w14:anchorId="794B3454">
        <v:shapetype id="_x0000_t202" coordsize="21600,21600" o:spt="202" path="m,l,21600r21600,l21600,xe">
          <v:stroke joinstyle="miter"/>
          <v:path gradientshapeok="t" o:connecttype="rect"/>
        </v:shapetype>
        <v:shape id="_x0000_s1455" type="#_x0000_t202" style="position:absolute;margin-left:65.4pt;margin-top:594.5pt;width:116.6pt;height:12.55pt;z-index:-456976;mso-position-horizontal-relative:page;mso-position-vertical-relative:page" filled="f" stroked="f">
          <v:textbox inset="0,0,0,0">
            <w:txbxContent>
              <w:p w14:paraId="1318A3EC"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55238129">
        <v:shape id="_x0000_s1454" type="#_x0000_t202" style="position:absolute;margin-left:356.1pt;margin-top:594.5pt;width:20.8pt;height:12.55pt;z-index:-456952;mso-position-horizontal-relative:page;mso-position-vertical-relative:page" filled="f" stroked="f">
          <v:textbox inset="0,0,0,0">
            <w:txbxContent>
              <w:p w14:paraId="681F440A" w14:textId="77777777" w:rsidR="001008C3" w:rsidRDefault="001008C3">
                <w:pPr>
                  <w:spacing w:before="19"/>
                  <w:ind w:left="20"/>
                  <w:rPr>
                    <w:sz w:val="18"/>
                  </w:rPr>
                </w:pPr>
                <w:r>
                  <w:rPr>
                    <w:color w:val="231F20"/>
                    <w:sz w:val="18"/>
                  </w:rPr>
                  <w:t xml:space="preserve">261 </w:t>
                </w:r>
              </w:p>
            </w:txbxContent>
          </v:textbox>
          <w10:wrap anchorx="page" anchory="page"/>
        </v:shape>
      </w:pict>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8C704" w14:textId="77777777" w:rsidR="001008C3" w:rsidRDefault="00000000">
    <w:pPr>
      <w:pStyle w:val="a3"/>
      <w:spacing w:line="14" w:lineRule="auto"/>
    </w:pPr>
    <w:r>
      <w:rPr>
        <w:noProof w:val="0"/>
      </w:rPr>
      <w:pict w14:anchorId="4E1EEB78">
        <v:shapetype id="_x0000_t202" coordsize="21600,21600" o:spt="202" path="m,l,21600r21600,l21600,xe">
          <v:stroke joinstyle="miter"/>
          <v:path gradientshapeok="t" o:connecttype="rect"/>
        </v:shapetype>
        <v:shape id="_x0000_s1457" type="#_x0000_t202" style="position:absolute;margin-left:56.4pt;margin-top:594.5pt;width:20.8pt;height:12.55pt;z-index:-457024;mso-position-horizontal-relative:page;mso-position-vertical-relative:page" filled="f" stroked="f">
          <v:textbox inset="0,0,0,0">
            <w:txbxContent>
              <w:p w14:paraId="258A6741" w14:textId="77777777" w:rsidR="001008C3" w:rsidRDefault="001008C3">
                <w:pPr>
                  <w:spacing w:before="19"/>
                  <w:ind w:left="20"/>
                  <w:rPr>
                    <w:sz w:val="18"/>
                  </w:rPr>
                </w:pPr>
                <w:r>
                  <w:rPr>
                    <w:color w:val="231F20"/>
                    <w:sz w:val="18"/>
                  </w:rPr>
                  <w:t xml:space="preserve">260 </w:t>
                </w:r>
              </w:p>
            </w:txbxContent>
          </v:textbox>
          <w10:wrap anchorx="page" anchory="page"/>
        </v:shape>
      </w:pict>
    </w:r>
    <w:r>
      <w:rPr>
        <w:noProof w:val="0"/>
      </w:rPr>
      <w:pict w14:anchorId="133C31D0">
        <v:shape id="_x0000_s1456" type="#_x0000_t202" style="position:absolute;margin-left:119.7pt;margin-top:594.5pt;width:247.9pt;height:12.55pt;z-index:-457000;mso-position-horizontal-relative:page;mso-position-vertical-relative:page" filled="f" stroked="f">
          <v:textbox inset="0,0,0,0">
            <w:txbxContent>
              <w:p w14:paraId="4D1F9190"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53D37" w14:textId="77777777" w:rsidR="001008C3" w:rsidRDefault="00000000">
    <w:pPr>
      <w:pStyle w:val="a3"/>
      <w:spacing w:line="14" w:lineRule="auto"/>
    </w:pPr>
    <w:r>
      <w:rPr>
        <w:noProof w:val="0"/>
      </w:rPr>
      <w:pict w14:anchorId="074FBC87">
        <v:shapetype id="_x0000_t202" coordsize="21600,21600" o:spt="202" path="m,l,21600r21600,l21600,xe">
          <v:stroke joinstyle="miter"/>
          <v:path gradientshapeok="t" o:connecttype="rect"/>
        </v:shapetype>
        <v:shape id="_x0000_s1453" type="#_x0000_t202" style="position:absolute;margin-left:55.4pt;margin-top:594.5pt;width:22.8pt;height:12.55pt;z-index:-456928;mso-position-horizontal-relative:page;mso-position-vertical-relative:page" filled="f" stroked="f">
          <v:textbox inset="0,0,0,0">
            <w:txbxContent>
              <w:p w14:paraId="1E56D1FD"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262</w:t>
                </w:r>
                <w:r>
                  <w:fldChar w:fldCharType="end"/>
                </w:r>
                <w:r>
                  <w:rPr>
                    <w:color w:val="231F20"/>
                    <w:sz w:val="18"/>
                  </w:rPr>
                  <w:t xml:space="preserve"> </w:t>
                </w:r>
              </w:p>
            </w:txbxContent>
          </v:textbox>
          <w10:wrap anchorx="page" anchory="page"/>
        </v:shape>
      </w:pict>
    </w:r>
    <w:r>
      <w:rPr>
        <w:noProof w:val="0"/>
      </w:rPr>
      <w:pict w14:anchorId="190030DB">
        <v:shape id="_x0000_s1452" type="#_x0000_t202" style="position:absolute;margin-left:119.7pt;margin-top:594.5pt;width:247.9pt;height:12.55pt;z-index:-456904;mso-position-horizontal-relative:page;mso-position-vertical-relative:page" filled="f" stroked="f">
          <v:textbox inset="0,0,0,0">
            <w:txbxContent>
              <w:p w14:paraId="5AF5D61B"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C69B7" w14:textId="77777777" w:rsidR="001008C3" w:rsidRDefault="00000000">
    <w:pPr>
      <w:pStyle w:val="a3"/>
      <w:spacing w:line="14" w:lineRule="auto"/>
    </w:pPr>
    <w:r>
      <w:rPr>
        <w:noProof w:val="0"/>
      </w:rPr>
      <w:pict w14:anchorId="375F02AC">
        <v:shapetype id="_x0000_t202" coordsize="21600,21600" o:spt="202" path="m,l,21600r21600,l21600,xe">
          <v:stroke joinstyle="miter"/>
          <v:path gradientshapeok="t" o:connecttype="rect"/>
        </v:shapetype>
        <v:shape id="_x0000_s1451" type="#_x0000_t202" style="position:absolute;margin-left:65.4pt;margin-top:594.5pt;width:116.6pt;height:12.55pt;z-index:-456880;mso-position-horizontal-relative:page;mso-position-vertical-relative:page" filled="f" stroked="f">
          <v:textbox inset="0,0,0,0">
            <w:txbxContent>
              <w:p w14:paraId="0AB39628"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52F65467">
        <v:shape id="_x0000_s1450" type="#_x0000_t202" style="position:absolute;margin-left:355.1pt;margin-top:594.5pt;width:22.8pt;height:12.55pt;z-index:-456856;mso-position-horizontal-relative:page;mso-position-vertical-relative:page" filled="f" stroked="f">
          <v:textbox inset="0,0,0,0">
            <w:txbxContent>
              <w:p w14:paraId="1CB23D88"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263</w:t>
                </w:r>
                <w:r>
                  <w:fldChar w:fldCharType="end"/>
                </w:r>
                <w:r>
                  <w:rPr>
                    <w:color w:val="231F20"/>
                    <w:sz w:val="18"/>
                  </w:rPr>
                  <w:t xml:space="preserve"> </w:t>
                </w:r>
              </w:p>
            </w:txbxContent>
          </v:textbox>
          <w10:wrap anchorx="page" anchory="page"/>
        </v:shape>
      </w:pict>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41BBD" w14:textId="77777777" w:rsidR="001008C3" w:rsidRDefault="00000000">
    <w:pPr>
      <w:pStyle w:val="a3"/>
      <w:spacing w:line="14" w:lineRule="auto"/>
    </w:pPr>
    <w:r>
      <w:rPr>
        <w:noProof w:val="0"/>
      </w:rPr>
      <w:pict w14:anchorId="4F10DE0A">
        <v:shapetype id="_x0000_t202" coordsize="21600,21600" o:spt="202" path="m,l,21600r21600,l21600,xe">
          <v:stroke joinstyle="miter"/>
          <v:path gradientshapeok="t" o:connecttype="rect"/>
        </v:shapetype>
        <v:shape id="_x0000_s1448" type="#_x0000_t202" style="position:absolute;margin-left:56.4pt;margin-top:594.5pt;width:20.8pt;height:12.55pt;z-index:-456808;mso-position-horizontal-relative:page;mso-position-vertical-relative:page" filled="f" stroked="f">
          <v:textbox inset="0,0,0,0">
            <w:txbxContent>
              <w:p w14:paraId="045913EB" w14:textId="77777777" w:rsidR="001008C3" w:rsidRDefault="001008C3">
                <w:pPr>
                  <w:spacing w:before="19"/>
                  <w:ind w:left="20"/>
                  <w:rPr>
                    <w:sz w:val="18"/>
                  </w:rPr>
                </w:pPr>
                <w:r>
                  <w:rPr>
                    <w:color w:val="231F20"/>
                    <w:sz w:val="18"/>
                  </w:rPr>
                  <w:t xml:space="preserve">270 </w:t>
                </w:r>
              </w:p>
            </w:txbxContent>
          </v:textbox>
          <w10:wrap anchorx="page" anchory="page"/>
        </v:shape>
      </w:pict>
    </w:r>
    <w:r>
      <w:rPr>
        <w:noProof w:val="0"/>
      </w:rPr>
      <w:pict w14:anchorId="552311AE">
        <v:shape id="_x0000_s1447" type="#_x0000_t202" style="position:absolute;margin-left:119.7pt;margin-top:594.5pt;width:247.9pt;height:12.55pt;z-index:-456784;mso-position-horizontal-relative:page;mso-position-vertical-relative:page" filled="f" stroked="f">
          <v:textbox inset="0,0,0,0">
            <w:txbxContent>
              <w:p w14:paraId="74702AAC"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1568B" w14:textId="77777777" w:rsidR="001008C3" w:rsidRDefault="00000000">
    <w:pPr>
      <w:pStyle w:val="a3"/>
      <w:spacing w:line="14" w:lineRule="auto"/>
    </w:pPr>
    <w:r>
      <w:rPr>
        <w:noProof w:val="0"/>
      </w:rPr>
      <w:pict w14:anchorId="3D6A1734">
        <v:shapetype id="_x0000_t202" coordsize="21600,21600" o:spt="202" path="m,l,21600r21600,l21600,xe">
          <v:stroke joinstyle="miter"/>
          <v:path gradientshapeok="t" o:connecttype="rect"/>
        </v:shapetype>
        <v:shape id="_x0000_s1449" type="#_x0000_t202" style="position:absolute;margin-left:355.1pt;margin-top:594.5pt;width:22.8pt;height:12.55pt;z-index:-456832;mso-position-horizontal-relative:page;mso-position-vertical-relative:page" filled="f" stroked="f">
          <v:textbox inset="0,0,0,0">
            <w:txbxContent>
              <w:p w14:paraId="470B03D8"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269</w:t>
                </w:r>
                <w:r>
                  <w:fldChar w:fldCharType="end"/>
                </w:r>
                <w:r>
                  <w:rPr>
                    <w:color w:val="231F20"/>
                    <w:sz w:val="18"/>
                  </w:rPr>
                  <w:t xml:space="preserve"> </w:t>
                </w:r>
              </w:p>
            </w:txbxContent>
          </v:textbox>
          <w10:wrap anchorx="page" anchory="page"/>
        </v:shape>
      </w:pic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498C" w14:textId="77777777" w:rsidR="001008C3" w:rsidRDefault="00000000">
    <w:pPr>
      <w:pStyle w:val="a3"/>
      <w:spacing w:line="14" w:lineRule="auto"/>
    </w:pPr>
    <w:r>
      <w:rPr>
        <w:noProof w:val="0"/>
      </w:rPr>
      <w:pict w14:anchorId="2A08FB4F">
        <v:shapetype id="_x0000_t202" coordsize="21600,21600" o:spt="202" path="m,l,21600r21600,l21600,xe">
          <v:stroke joinstyle="miter"/>
          <v:path gradientshapeok="t" o:connecttype="rect"/>
        </v:shapetype>
        <v:shape id="_x0000_s1445" type="#_x0000_t202" style="position:absolute;margin-left:55.4pt;margin-top:594.5pt;width:22.8pt;height:12.55pt;z-index:-456736;mso-position-horizontal-relative:page;mso-position-vertical-relative:page" filled="f" stroked="f">
          <v:textbox inset="0,0,0,0">
            <w:txbxContent>
              <w:p w14:paraId="57C92ED3"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272</w:t>
                </w:r>
                <w:r>
                  <w:fldChar w:fldCharType="end"/>
                </w:r>
                <w:r>
                  <w:rPr>
                    <w:color w:val="231F20"/>
                    <w:sz w:val="18"/>
                  </w:rPr>
                  <w:t xml:space="preserve"> </w:t>
                </w:r>
              </w:p>
            </w:txbxContent>
          </v:textbox>
          <w10:wrap anchorx="page" anchory="page"/>
        </v:shape>
      </w:pict>
    </w:r>
    <w:r>
      <w:rPr>
        <w:noProof w:val="0"/>
      </w:rPr>
      <w:pict w14:anchorId="359DE23D">
        <v:shape id="_x0000_s1444" type="#_x0000_t202" style="position:absolute;margin-left:119.7pt;margin-top:594.5pt;width:247.9pt;height:12.55pt;z-index:-456712;mso-position-horizontal-relative:page;mso-position-vertical-relative:page" filled="f" stroked="f">
          <v:textbox inset="0,0,0,0">
            <w:txbxContent>
              <w:p w14:paraId="5D46E3CF"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9E4D6" w14:textId="77777777" w:rsidR="001008C3" w:rsidRDefault="00000000">
    <w:pPr>
      <w:pStyle w:val="a3"/>
      <w:spacing w:line="14" w:lineRule="auto"/>
    </w:pPr>
    <w:r>
      <w:rPr>
        <w:noProof w:val="0"/>
      </w:rPr>
      <w:pict w14:anchorId="04FCFE27">
        <v:shapetype id="_x0000_t202" coordsize="21600,21600" o:spt="202" path="m,l,21600r21600,l21600,xe">
          <v:stroke joinstyle="miter"/>
          <v:path gradientshapeok="t" o:connecttype="rect"/>
        </v:shapetype>
        <v:shape id="_x0000_s1446" type="#_x0000_t202" style="position:absolute;margin-left:65.4pt;margin-top:594.5pt;width:312.5pt;height:12.55pt;z-index:-456760;mso-position-horizontal-relative:page;mso-position-vertical-relative:page" filled="f" stroked="f">
          <v:textbox inset="0,0,0,0">
            <w:txbxContent>
              <w:p w14:paraId="7087BF10" w14:textId="77777777" w:rsidR="001008C3" w:rsidRDefault="001008C3">
                <w:pPr>
                  <w:spacing w:before="19"/>
                  <w:ind w:left="20"/>
                  <w:rPr>
                    <w:sz w:val="18"/>
                  </w:rPr>
                </w:pPr>
                <w:r>
                  <w:rPr>
                    <w:color w:val="231F20"/>
                    <w:spacing w:val="12"/>
                    <w:w w:val="110"/>
                    <w:sz w:val="18"/>
                  </w:rPr>
                  <w:t xml:space="preserve">june </w:t>
                </w:r>
                <w:r>
                  <w:rPr>
                    <w:color w:val="231F20"/>
                    <w:spacing w:val="15"/>
                    <w:w w:val="110"/>
                    <w:sz w:val="18"/>
                  </w:rPr>
                  <w:t xml:space="preserve">1972-feb. </w:t>
                </w:r>
                <w:r>
                  <w:rPr>
                    <w:color w:val="231F20"/>
                    <w:spacing w:val="12"/>
                    <w:w w:val="110"/>
                    <w:sz w:val="18"/>
                  </w:rPr>
                  <w:t xml:space="preserve">1973 </w:t>
                </w:r>
                <w:r>
                  <w:rPr>
                    <w:color w:val="231F20"/>
                    <w:w w:val="110"/>
                    <w:sz w:val="18"/>
                  </w:rPr>
                  <w:t xml:space="preserve">• </w:t>
                </w:r>
                <w:r>
                  <w:rPr>
                    <w:color w:val="231F20"/>
                    <w:spacing w:val="15"/>
                    <w:w w:val="110"/>
                    <w:sz w:val="18"/>
                  </w:rPr>
                  <w:t xml:space="preserve">ulrike meinhof </w:t>
                </w:r>
                <w:r>
                  <w:rPr>
                    <w:color w:val="231F20"/>
                    <w:spacing w:val="8"/>
                    <w:w w:val="110"/>
                    <w:sz w:val="18"/>
                  </w:rPr>
                  <w:t xml:space="preserve">on </w:t>
                </w:r>
                <w:r>
                  <w:rPr>
                    <w:color w:val="231F20"/>
                    <w:spacing w:val="11"/>
                    <w:w w:val="110"/>
                    <w:sz w:val="18"/>
                  </w:rPr>
                  <w:t xml:space="preserve">the </w:t>
                </w:r>
                <w:r>
                  <w:rPr>
                    <w:color w:val="231F20"/>
                    <w:spacing w:val="12"/>
                    <w:w w:val="110"/>
                    <w:sz w:val="18"/>
                  </w:rPr>
                  <w:t>dead wing</w:t>
                </w:r>
                <w:r>
                  <w:rPr>
                    <w:color w:val="231F20"/>
                    <w:spacing w:val="67"/>
                    <w:w w:val="110"/>
                    <w:sz w:val="18"/>
                  </w:rPr>
                  <w:t xml:space="preserve"> </w:t>
                </w:r>
                <w:r>
                  <w:fldChar w:fldCharType="begin"/>
                </w:r>
                <w:r>
                  <w:rPr>
                    <w:color w:val="231F20"/>
                    <w:w w:val="110"/>
                    <w:sz w:val="18"/>
                  </w:rPr>
                  <w:instrText xml:space="preserve"> PAGE </w:instrText>
                </w:r>
                <w:r>
                  <w:fldChar w:fldCharType="separate"/>
                </w:r>
                <w:r>
                  <w:t>271</w:t>
                </w:r>
                <w:r>
                  <w:fldChar w:fldCharType="end"/>
                </w:r>
                <w:r>
                  <w:rPr>
                    <w:color w:val="231F20"/>
                    <w:spacing w:val="-15"/>
                    <w:sz w:val="18"/>
                  </w:rPr>
                  <w:t xml:space="preserve"> </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FD5D8" w14:textId="77777777" w:rsidR="001008C3" w:rsidRDefault="00000000">
    <w:pPr>
      <w:pStyle w:val="a3"/>
      <w:spacing w:line="14" w:lineRule="auto"/>
    </w:pPr>
    <w:r>
      <w:rPr>
        <w:noProof w:val="0"/>
      </w:rPr>
      <w:pict w14:anchorId="29F929CF">
        <v:shapetype id="_x0000_t202" coordsize="21600,21600" o:spt="202" path="m,l,21600r21600,l21600,xe">
          <v:stroke joinstyle="miter"/>
          <v:path gradientshapeok="t" o:connecttype="rect"/>
        </v:shapetype>
        <v:shape id="_x0000_s1718" type="#_x0000_t202" style="position:absolute;margin-left:351.85pt;margin-top:594.5pt;width:25.05pt;height:12.55pt;z-index:-463288;mso-position-horizontal-relative:page;mso-position-vertical-relative:page" filled="f" stroked="f">
          <v:textbox inset="0,0,0,0">
            <w:txbxContent>
              <w:p w14:paraId="109EBEC4" w14:textId="77777777" w:rsidR="001008C3" w:rsidRDefault="001008C3">
                <w:pPr>
                  <w:spacing w:before="19"/>
                  <w:ind w:left="20"/>
                  <w:rPr>
                    <w:sz w:val="18"/>
                  </w:rPr>
                </w:pPr>
                <w:r>
                  <w:rPr>
                    <w:color w:val="231F20"/>
                    <w:w w:val="115"/>
                    <w:sz w:val="18"/>
                  </w:rPr>
                  <w:t>xxix</w:t>
                </w:r>
                <w:r>
                  <w:rPr>
                    <w:color w:val="231F20"/>
                    <w:sz w:val="18"/>
                  </w:rPr>
                  <w:t xml:space="preserve"> </w:t>
                </w:r>
              </w:p>
            </w:txbxContent>
          </v:textbox>
          <w10:wrap anchorx="page" anchory="page"/>
        </v:shape>
      </w:pict>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CE4A" w14:textId="77777777" w:rsidR="001008C3" w:rsidRDefault="00000000">
    <w:pPr>
      <w:pStyle w:val="a3"/>
      <w:spacing w:line="14" w:lineRule="auto"/>
    </w:pPr>
    <w:r>
      <w:rPr>
        <w:noProof w:val="0"/>
      </w:rPr>
      <w:pict w14:anchorId="78AED649">
        <v:shapetype id="_x0000_t202" coordsize="21600,21600" o:spt="202" path="m,l,21600r21600,l21600,xe">
          <v:stroke joinstyle="miter"/>
          <v:path gradientshapeok="t" o:connecttype="rect"/>
        </v:shapetype>
        <v:shape id="_x0000_s1441" type="#_x0000_t202" style="position:absolute;margin-left:55.4pt;margin-top:594.5pt;width:22.8pt;height:12.55pt;z-index:-456640;mso-position-horizontal-relative:page;mso-position-vertical-relative:page" filled="f" stroked="f">
          <v:textbox inset="0,0,0,0">
            <w:txbxContent>
              <w:p w14:paraId="4BEB9594"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276</w:t>
                </w:r>
                <w:r>
                  <w:fldChar w:fldCharType="end"/>
                </w:r>
                <w:r>
                  <w:rPr>
                    <w:color w:val="231F20"/>
                    <w:sz w:val="18"/>
                  </w:rPr>
                  <w:t xml:space="preserve"> </w:t>
                </w:r>
              </w:p>
            </w:txbxContent>
          </v:textbox>
          <w10:wrap anchorx="page" anchory="page"/>
        </v:shape>
      </w:pict>
    </w:r>
    <w:r>
      <w:rPr>
        <w:noProof w:val="0"/>
      </w:rPr>
      <w:pict w14:anchorId="665FB098">
        <v:shape id="_x0000_s1440" type="#_x0000_t202" style="position:absolute;margin-left:119.7pt;margin-top:594.5pt;width:247.9pt;height:12.55pt;z-index:-456616;mso-position-horizontal-relative:page;mso-position-vertical-relative:page" filled="f" stroked="f">
          <v:textbox inset="0,0,0,0">
            <w:txbxContent>
              <w:p w14:paraId="5C794425"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49B13" w14:textId="77777777" w:rsidR="001008C3" w:rsidRDefault="00000000">
    <w:pPr>
      <w:pStyle w:val="a3"/>
      <w:spacing w:line="14" w:lineRule="auto"/>
    </w:pPr>
    <w:r>
      <w:rPr>
        <w:noProof w:val="0"/>
      </w:rPr>
      <w:pict w14:anchorId="00069DA6">
        <v:shapetype id="_x0000_t202" coordsize="21600,21600" o:spt="202" path="m,l,21600r21600,l21600,xe">
          <v:stroke joinstyle="miter"/>
          <v:path gradientshapeok="t" o:connecttype="rect"/>
        </v:shapetype>
        <v:shape id="_x0000_s1443" type="#_x0000_t202" style="position:absolute;margin-left:65.4pt;margin-top:594.5pt;width:187.65pt;height:12.55pt;z-index:-456688;mso-position-horizontal-relative:page;mso-position-vertical-relative:page" filled="f" stroked="f">
          <v:textbox inset="0,0,0,0">
            <w:txbxContent>
              <w:p w14:paraId="0C92F549" w14:textId="77777777" w:rsidR="001008C3" w:rsidRDefault="001008C3">
                <w:pPr>
                  <w:spacing w:before="19"/>
                  <w:ind w:left="20"/>
                  <w:rPr>
                    <w:sz w:val="18"/>
                  </w:rPr>
                </w:pPr>
                <w:r>
                  <w:rPr>
                    <w:color w:val="231F20"/>
                    <w:w w:val="110"/>
                    <w:sz w:val="18"/>
                  </w:rPr>
                  <w:t>may 1973 • second hunger strike</w:t>
                </w:r>
                <w:r>
                  <w:rPr>
                    <w:color w:val="231F20"/>
                    <w:sz w:val="18"/>
                  </w:rPr>
                  <w:t xml:space="preserve"> </w:t>
                </w:r>
              </w:p>
            </w:txbxContent>
          </v:textbox>
          <w10:wrap anchorx="page" anchory="page"/>
        </v:shape>
      </w:pict>
    </w:r>
    <w:r>
      <w:rPr>
        <w:noProof w:val="0"/>
      </w:rPr>
      <w:pict w14:anchorId="18DAA866">
        <v:shape id="_x0000_s1442" type="#_x0000_t202" style="position:absolute;margin-left:355.1pt;margin-top:594.5pt;width:22.8pt;height:12.55pt;z-index:-456664;mso-position-horizontal-relative:page;mso-position-vertical-relative:page" filled="f" stroked="f">
          <v:textbox inset="0,0,0,0">
            <w:txbxContent>
              <w:p w14:paraId="1EDCB533"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275</w:t>
                </w:r>
                <w:r>
                  <w:fldChar w:fldCharType="end"/>
                </w:r>
                <w:r>
                  <w:rPr>
                    <w:color w:val="231F20"/>
                    <w:sz w:val="18"/>
                  </w:rPr>
                  <w:t xml:space="preserve"> </w:t>
                </w:r>
              </w:p>
            </w:txbxContent>
          </v:textbox>
          <w10:wrap anchorx="page" anchory="page"/>
        </v:shape>
      </w:pict>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451C4" w14:textId="77777777" w:rsidR="001008C3" w:rsidRDefault="00000000">
    <w:pPr>
      <w:pStyle w:val="a3"/>
      <w:spacing w:line="14" w:lineRule="auto"/>
    </w:pPr>
    <w:r>
      <w:rPr>
        <w:noProof w:val="0"/>
      </w:rPr>
      <w:pict w14:anchorId="177B0249">
        <v:shapetype id="_x0000_t202" coordsize="21600,21600" o:spt="202" path="m,l,21600r21600,l21600,xe">
          <v:stroke joinstyle="miter"/>
          <v:path gradientshapeok="t" o:connecttype="rect"/>
        </v:shapetype>
        <v:shape id="_x0000_s1439" type="#_x0000_t202" style="position:absolute;margin-left:65.4pt;margin-top:594.5pt;width:311.5pt;height:12.55pt;z-index:-456592;mso-position-horizontal-relative:page;mso-position-vertical-relative:page" filled="f" stroked="f">
          <v:textbox inset="0,0,0,0">
            <w:txbxContent>
              <w:p w14:paraId="2EE4C79B" w14:textId="77777777" w:rsidR="001008C3" w:rsidRDefault="001008C3">
                <w:pPr>
                  <w:spacing w:before="19"/>
                  <w:ind w:left="20"/>
                  <w:rPr>
                    <w:sz w:val="18"/>
                  </w:rPr>
                </w:pPr>
                <w:r>
                  <w:rPr>
                    <w:color w:val="231F20"/>
                    <w:w w:val="115"/>
                    <w:sz w:val="18"/>
                  </w:rPr>
                  <w:t>september 1974 • provisional program of struggle 279</w:t>
                </w:r>
                <w:r>
                  <w:rPr>
                    <w:color w:val="231F20"/>
                    <w:sz w:val="18"/>
                  </w:rPr>
                  <w:t xml:space="preserve"> </w:t>
                </w:r>
              </w:p>
            </w:txbxContent>
          </v:textbox>
          <w10:wrap anchorx="page" anchory="page"/>
        </v:shape>
      </w:pic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B38BD" w14:textId="77777777" w:rsidR="001008C3" w:rsidRDefault="00000000">
    <w:pPr>
      <w:pStyle w:val="a3"/>
      <w:spacing w:line="14" w:lineRule="auto"/>
    </w:pPr>
    <w:r>
      <w:rPr>
        <w:noProof w:val="0"/>
      </w:rPr>
      <w:pict w14:anchorId="6513789D">
        <v:shapetype id="_x0000_t202" coordsize="21600,21600" o:spt="202" path="m,l,21600r21600,l21600,xe">
          <v:stroke joinstyle="miter"/>
          <v:path gradientshapeok="t" o:connecttype="rect"/>
        </v:shapetype>
        <v:shape id="_x0000_s1438" type="#_x0000_t202" style="position:absolute;margin-left:56.4pt;margin-top:594.5pt;width:20.8pt;height:12.55pt;z-index:-456568;mso-position-horizontal-relative:page;mso-position-vertical-relative:page" filled="f" stroked="f">
          <v:textbox inset="0,0,0,0">
            <w:txbxContent>
              <w:p w14:paraId="00AEA924" w14:textId="77777777" w:rsidR="001008C3" w:rsidRDefault="001008C3">
                <w:pPr>
                  <w:spacing w:before="19"/>
                  <w:ind w:left="20"/>
                  <w:rPr>
                    <w:sz w:val="18"/>
                  </w:rPr>
                </w:pPr>
                <w:r>
                  <w:rPr>
                    <w:color w:val="231F20"/>
                    <w:sz w:val="18"/>
                  </w:rPr>
                  <w:t xml:space="preserve">280 </w:t>
                </w:r>
              </w:p>
            </w:txbxContent>
          </v:textbox>
          <w10:wrap anchorx="page" anchory="page"/>
        </v:shape>
      </w:pict>
    </w:r>
    <w:r>
      <w:rPr>
        <w:noProof w:val="0"/>
      </w:rPr>
      <w:pict w14:anchorId="3706FB5E">
        <v:shape id="_x0000_s1437" type="#_x0000_t202" style="position:absolute;margin-left:119.7pt;margin-top:594.5pt;width:247.9pt;height:12.55pt;z-index:-456544;mso-position-horizontal-relative:page;mso-position-vertical-relative:page" filled="f" stroked="f">
          <v:textbox inset="0,0,0,0">
            <w:txbxContent>
              <w:p w14:paraId="31E4D101"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6618" w14:textId="77777777" w:rsidR="001008C3" w:rsidRDefault="00000000">
    <w:pPr>
      <w:pStyle w:val="a3"/>
      <w:spacing w:line="14" w:lineRule="auto"/>
    </w:pPr>
    <w:r>
      <w:rPr>
        <w:noProof w:val="0"/>
      </w:rPr>
      <w:pict w14:anchorId="21E60EBB">
        <v:shapetype id="_x0000_t202" coordsize="21600,21600" o:spt="202" path="m,l,21600r21600,l21600,xe">
          <v:stroke joinstyle="miter"/>
          <v:path gradientshapeok="t" o:connecttype="rect"/>
        </v:shapetype>
        <v:shape id="_x0000_s1436" type="#_x0000_t202" style="position:absolute;margin-left:65.4pt;margin-top:594.5pt;width:311.5pt;height:12.55pt;z-index:-456520;mso-position-horizontal-relative:page;mso-position-vertical-relative:page" filled="f" stroked="f">
          <v:textbox inset="0,0,0,0">
            <w:txbxContent>
              <w:p w14:paraId="6413B478" w14:textId="77777777" w:rsidR="001008C3" w:rsidRDefault="001008C3">
                <w:pPr>
                  <w:spacing w:before="19"/>
                  <w:ind w:left="20"/>
                  <w:rPr>
                    <w:sz w:val="18"/>
                  </w:rPr>
                </w:pPr>
                <w:r>
                  <w:rPr>
                    <w:color w:val="231F20"/>
                    <w:w w:val="115"/>
                    <w:sz w:val="18"/>
                  </w:rPr>
                  <w:t>september 1974 • provisional program of struggle 281</w:t>
                </w:r>
                <w:r>
                  <w:rPr>
                    <w:color w:val="231F20"/>
                    <w:sz w:val="18"/>
                  </w:rPr>
                  <w:t xml:space="preserve"> </w:t>
                </w:r>
              </w:p>
            </w:txbxContent>
          </v:textbox>
          <w10:wrap anchorx="page" anchory="page"/>
        </v:shape>
      </w:pict>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EE3D5" w14:textId="77777777" w:rsidR="001008C3" w:rsidRDefault="00000000">
    <w:pPr>
      <w:pStyle w:val="a3"/>
      <w:spacing w:line="14" w:lineRule="auto"/>
    </w:pPr>
    <w:r>
      <w:rPr>
        <w:noProof w:val="0"/>
      </w:rPr>
      <w:pict w14:anchorId="11CFDDA6">
        <v:shapetype id="_x0000_t202" coordsize="21600,21600" o:spt="202" path="m,l,21600r21600,l21600,xe">
          <v:stroke joinstyle="miter"/>
          <v:path gradientshapeok="t" o:connecttype="rect"/>
        </v:shapetype>
        <v:shape id="_x0000_s1435" type="#_x0000_t202" style="position:absolute;margin-left:55.4pt;margin-top:594.5pt;width:22.8pt;height:12.55pt;z-index:-456496;mso-position-horizontal-relative:page;mso-position-vertical-relative:page" filled="f" stroked="f">
          <v:textbox inset="0,0,0,0">
            <w:txbxContent>
              <w:p w14:paraId="78199D27" w14:textId="77777777" w:rsidR="001008C3" w:rsidRDefault="001008C3">
                <w:pPr>
                  <w:spacing w:before="19"/>
                  <w:ind w:left="40"/>
                  <w:rPr>
                    <w:sz w:val="18"/>
                  </w:rPr>
                </w:pPr>
                <w:r>
                  <w:rPr>
                    <w:color w:val="231F20"/>
                    <w:sz w:val="18"/>
                  </w:rPr>
                  <w:t xml:space="preserve">282 </w:t>
                </w:r>
              </w:p>
            </w:txbxContent>
          </v:textbox>
          <w10:wrap anchorx="page" anchory="page"/>
        </v:shape>
      </w:pict>
    </w:r>
    <w:r>
      <w:rPr>
        <w:noProof w:val="0"/>
      </w:rPr>
      <w:pict w14:anchorId="6E76E83E">
        <v:shape id="_x0000_s1434" type="#_x0000_t202" style="position:absolute;margin-left:119.7pt;margin-top:594.5pt;width:247.9pt;height:12.55pt;z-index:-456472;mso-position-horizontal-relative:page;mso-position-vertical-relative:page" filled="f" stroked="f">
          <v:textbox inset="0,0,0,0">
            <w:txbxContent>
              <w:p w14:paraId="12934782"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FBD9E" w14:textId="77777777" w:rsidR="001008C3" w:rsidRDefault="00000000">
    <w:pPr>
      <w:pStyle w:val="a3"/>
      <w:spacing w:line="14" w:lineRule="auto"/>
    </w:pPr>
    <w:r>
      <w:rPr>
        <w:noProof w:val="0"/>
      </w:rPr>
      <w:pict w14:anchorId="62B8828A">
        <v:shapetype id="_x0000_t202" coordsize="21600,21600" o:spt="202" path="m,l,21600r21600,l21600,xe">
          <v:stroke joinstyle="miter"/>
          <v:path gradientshapeok="t" o:connecttype="rect"/>
        </v:shapetype>
        <v:shape id="_x0000_s1433" type="#_x0000_t202" style="position:absolute;margin-left:65.4pt;margin-top:594.5pt;width:311.5pt;height:12.55pt;z-index:-456448;mso-position-horizontal-relative:page;mso-position-vertical-relative:page" filled="f" stroked="f">
          <v:textbox inset="0,0,0,0">
            <w:txbxContent>
              <w:p w14:paraId="09AE3E0E" w14:textId="77777777" w:rsidR="001008C3" w:rsidRDefault="001008C3">
                <w:pPr>
                  <w:spacing w:before="19"/>
                  <w:ind w:left="20"/>
                  <w:rPr>
                    <w:sz w:val="18"/>
                  </w:rPr>
                </w:pPr>
                <w:r>
                  <w:rPr>
                    <w:color w:val="231F20"/>
                    <w:w w:val="115"/>
                    <w:sz w:val="18"/>
                  </w:rPr>
                  <w:t>september 1974 • provisional program of struggle 283</w:t>
                </w:r>
                <w:r>
                  <w:rPr>
                    <w:color w:val="231F20"/>
                    <w:sz w:val="18"/>
                  </w:rPr>
                  <w:t xml:space="preserve"> </w:t>
                </w:r>
              </w:p>
            </w:txbxContent>
          </v:textbox>
          <w10:wrap anchorx="page" anchory="page"/>
        </v:shape>
      </w:pict>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7CF97" w14:textId="77777777" w:rsidR="001008C3" w:rsidRDefault="00000000">
    <w:pPr>
      <w:pStyle w:val="a3"/>
      <w:spacing w:line="14" w:lineRule="auto"/>
    </w:pPr>
    <w:r>
      <w:rPr>
        <w:noProof w:val="0"/>
      </w:rPr>
      <w:pict w14:anchorId="5B74D740">
        <v:shapetype id="_x0000_t202" coordsize="21600,21600" o:spt="202" path="m,l,21600r21600,l21600,xe">
          <v:stroke joinstyle="miter"/>
          <v:path gradientshapeok="t" o:connecttype="rect"/>
        </v:shapetype>
        <v:shape id="_x0000_s1432" type="#_x0000_t202" style="position:absolute;margin-left:55.4pt;margin-top:594.5pt;width:22.8pt;height:12.55pt;z-index:-456424;mso-position-horizontal-relative:page;mso-position-vertical-relative:page" filled="f" stroked="f">
          <v:textbox inset="0,0,0,0">
            <w:txbxContent>
              <w:p w14:paraId="1FDB2172" w14:textId="77777777" w:rsidR="001008C3" w:rsidRDefault="001008C3">
                <w:pPr>
                  <w:spacing w:before="19"/>
                  <w:ind w:left="40"/>
                  <w:rPr>
                    <w:sz w:val="18"/>
                  </w:rPr>
                </w:pPr>
                <w:r>
                  <w:rPr>
                    <w:color w:val="231F20"/>
                    <w:sz w:val="18"/>
                  </w:rPr>
                  <w:t xml:space="preserve">284 </w:t>
                </w:r>
              </w:p>
            </w:txbxContent>
          </v:textbox>
          <w10:wrap anchorx="page" anchory="page"/>
        </v:shape>
      </w:pict>
    </w:r>
    <w:r>
      <w:rPr>
        <w:noProof w:val="0"/>
      </w:rPr>
      <w:pict w14:anchorId="2C729A67">
        <v:shape id="_x0000_s1431" type="#_x0000_t202" style="position:absolute;margin-left:119.7pt;margin-top:594.5pt;width:247.9pt;height:12.55pt;z-index:-456400;mso-position-horizontal-relative:page;mso-position-vertical-relative:page" filled="f" stroked="f">
          <v:textbox inset="0,0,0,0">
            <w:txbxContent>
              <w:p w14:paraId="4CEEECE9"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7768" w14:textId="77777777" w:rsidR="001008C3" w:rsidRDefault="00000000">
    <w:pPr>
      <w:pStyle w:val="a3"/>
      <w:spacing w:line="14" w:lineRule="auto"/>
    </w:pPr>
    <w:r>
      <w:rPr>
        <w:noProof w:val="0"/>
      </w:rPr>
      <w:pict w14:anchorId="439A2754">
        <v:shapetype id="_x0000_t202" coordsize="21600,21600" o:spt="202" path="m,l,21600r21600,l21600,xe">
          <v:stroke joinstyle="miter"/>
          <v:path gradientshapeok="t" o:connecttype="rect"/>
        </v:shapetype>
        <v:shape id="_x0000_s1428" type="#_x0000_t202" style="position:absolute;margin-left:55.4pt;margin-top:594.5pt;width:22.8pt;height:12.55pt;z-index:-456328;mso-position-horizontal-relative:page;mso-position-vertical-relative:page" filled="f" stroked="f">
          <v:textbox inset="0,0,0,0">
            <w:txbxContent>
              <w:p w14:paraId="71EC2C26"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286</w:t>
                </w:r>
                <w:r>
                  <w:fldChar w:fldCharType="end"/>
                </w:r>
                <w:r>
                  <w:rPr>
                    <w:color w:val="231F20"/>
                    <w:sz w:val="18"/>
                  </w:rPr>
                  <w:t xml:space="preserve"> </w:t>
                </w:r>
              </w:p>
            </w:txbxContent>
          </v:textbox>
          <w10:wrap anchorx="page" anchory="page"/>
        </v:shape>
      </w:pict>
    </w:r>
    <w:r>
      <w:rPr>
        <w:noProof w:val="0"/>
      </w:rPr>
      <w:pict w14:anchorId="0BE3870D">
        <v:shape id="_x0000_s1427" type="#_x0000_t202" style="position:absolute;margin-left:119.7pt;margin-top:594.5pt;width:247.9pt;height:12.55pt;z-index:-456304;mso-position-horizontal-relative:page;mso-position-vertical-relative:page" filled="f" stroked="f">
          <v:textbox inset="0,0,0,0">
            <w:txbxContent>
              <w:p w14:paraId="574E7594"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AFDCB" w14:textId="77777777" w:rsidR="001008C3" w:rsidRDefault="00000000">
    <w:pPr>
      <w:pStyle w:val="a3"/>
      <w:spacing w:line="14" w:lineRule="auto"/>
    </w:pPr>
    <w:r>
      <w:rPr>
        <w:noProof w:val="0"/>
      </w:rPr>
      <w:pict w14:anchorId="32C0C6C7">
        <v:shapetype id="_x0000_t202" coordsize="21600,21600" o:spt="202" path="m,l,21600r21600,l21600,xe">
          <v:stroke joinstyle="miter"/>
          <v:path gradientshapeok="t" o:connecttype="rect"/>
        </v:shapetype>
        <v:shape id="_x0000_s1430" type="#_x0000_t202" style="position:absolute;margin-left:65.4pt;margin-top:594.5pt;width:214pt;height:12.55pt;z-index:-456376;mso-position-horizontal-relative:page;mso-position-vertical-relative:page" filled="f" stroked="f">
          <v:textbox inset="0,0,0,0">
            <w:txbxContent>
              <w:p w14:paraId="71BC679E" w14:textId="77777777" w:rsidR="001008C3" w:rsidRDefault="001008C3">
                <w:pPr>
                  <w:spacing w:before="19"/>
                  <w:ind w:left="20"/>
                  <w:rPr>
                    <w:sz w:val="18"/>
                  </w:rPr>
                </w:pPr>
                <w:r>
                  <w:rPr>
                    <w:color w:val="231F20"/>
                    <w:w w:val="110"/>
                    <w:sz w:val="18"/>
                  </w:rPr>
                  <w:t>september 1974 • third hunger strike</w:t>
                </w:r>
                <w:r>
                  <w:rPr>
                    <w:color w:val="231F20"/>
                    <w:sz w:val="18"/>
                  </w:rPr>
                  <w:t xml:space="preserve"> </w:t>
                </w:r>
              </w:p>
            </w:txbxContent>
          </v:textbox>
          <w10:wrap anchorx="page" anchory="page"/>
        </v:shape>
      </w:pict>
    </w:r>
    <w:r>
      <w:rPr>
        <w:noProof w:val="0"/>
      </w:rPr>
      <w:pict w14:anchorId="28969DF5">
        <v:shape id="_x0000_s1429" type="#_x0000_t202" style="position:absolute;margin-left:355.1pt;margin-top:594.5pt;width:22.8pt;height:12.55pt;z-index:-456352;mso-position-horizontal-relative:page;mso-position-vertical-relative:page" filled="f" stroked="f">
          <v:textbox inset="0,0,0,0">
            <w:txbxContent>
              <w:p w14:paraId="27F15420"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285</w:t>
                </w:r>
                <w:r>
                  <w:fldChar w:fldCharType="end"/>
                </w:r>
                <w:r>
                  <w:rPr>
                    <w:color w:val="231F20"/>
                    <w:sz w:val="18"/>
                  </w:rPr>
                  <w:t xml:space="preserve"> </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B062" w14:textId="77777777" w:rsidR="001008C3" w:rsidRDefault="001008C3">
    <w:pPr>
      <w:pStyle w:val="a3"/>
      <w:spacing w:line="14" w:lineRule="auto"/>
      <w:rPr>
        <w:sz w:val="2"/>
      </w:rPr>
    </w:pP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3BEC4" w14:textId="77777777" w:rsidR="001008C3" w:rsidRDefault="00000000">
    <w:pPr>
      <w:pStyle w:val="a3"/>
      <w:spacing w:line="14" w:lineRule="auto"/>
    </w:pPr>
    <w:r>
      <w:rPr>
        <w:noProof w:val="0"/>
      </w:rPr>
      <w:pict w14:anchorId="5B74F2B5">
        <v:shapetype id="_x0000_t202" coordsize="21600,21600" o:spt="202" path="m,l,21600r21600,l21600,xe">
          <v:stroke joinstyle="miter"/>
          <v:path gradientshapeok="t" o:connecttype="rect"/>
        </v:shapetype>
        <v:shape id="_x0000_s1422" type="#_x0000_t202" style="position:absolute;margin-left:65.4pt;margin-top:594.5pt;width:252.85pt;height:12.55pt;z-index:-456184;mso-position-horizontal-relative:page;mso-position-vertical-relative:page" filled="f" stroked="f">
          <v:textbox inset="0,0,0,0">
            <w:txbxContent>
              <w:p w14:paraId="508B3704" w14:textId="77777777" w:rsidR="001008C3" w:rsidRDefault="001008C3">
                <w:pPr>
                  <w:spacing w:before="19"/>
                  <w:ind w:left="20"/>
                  <w:rPr>
                    <w:sz w:val="18"/>
                  </w:rPr>
                </w:pPr>
                <w:r>
                  <w:rPr>
                    <w:color w:val="231F20"/>
                    <w:w w:val="115"/>
                    <w:sz w:val="18"/>
                  </w:rPr>
                  <w:t>september 1974 • expulsion of horst mahler</w:t>
                </w:r>
                <w:r>
                  <w:rPr>
                    <w:color w:val="231F20"/>
                    <w:sz w:val="18"/>
                  </w:rPr>
                  <w:t xml:space="preserve"> </w:t>
                </w:r>
              </w:p>
            </w:txbxContent>
          </v:textbox>
          <w10:wrap anchorx="page" anchory="page"/>
        </v:shape>
      </w:pict>
    </w:r>
    <w:r>
      <w:rPr>
        <w:noProof w:val="0"/>
      </w:rPr>
      <w:pict w14:anchorId="308FFD72">
        <v:shape id="_x0000_s1421" type="#_x0000_t202" style="position:absolute;margin-left:356.1pt;margin-top:594.5pt;width:20.8pt;height:12.55pt;z-index:-456160;mso-position-horizontal-relative:page;mso-position-vertical-relative:page" filled="f" stroked="f">
          <v:textbox inset="0,0,0,0">
            <w:txbxContent>
              <w:p w14:paraId="7BEA856F" w14:textId="77777777" w:rsidR="001008C3" w:rsidRDefault="001008C3">
                <w:pPr>
                  <w:spacing w:before="19"/>
                  <w:ind w:left="20"/>
                  <w:rPr>
                    <w:sz w:val="18"/>
                  </w:rPr>
                </w:pPr>
                <w:r>
                  <w:rPr>
                    <w:color w:val="231F20"/>
                    <w:sz w:val="18"/>
                  </w:rPr>
                  <w:t xml:space="preserve">291 </w:t>
                </w:r>
              </w:p>
            </w:txbxContent>
          </v:textbox>
          <w10:wrap anchorx="page" anchory="page"/>
        </v:shape>
      </w:pict>
    </w: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1A749" w14:textId="77777777" w:rsidR="001008C3" w:rsidRDefault="00000000">
    <w:pPr>
      <w:pStyle w:val="a3"/>
      <w:spacing w:line="14" w:lineRule="auto"/>
    </w:pPr>
    <w:r>
      <w:rPr>
        <w:noProof w:val="0"/>
      </w:rPr>
      <w:pict w14:anchorId="1EFAC347">
        <v:shapetype id="_x0000_t202" coordsize="21600,21600" o:spt="202" path="m,l,21600r21600,l21600,xe">
          <v:stroke joinstyle="miter"/>
          <v:path gradientshapeok="t" o:connecttype="rect"/>
        </v:shapetype>
        <v:shape id="_x0000_s1420" type="#_x0000_t202" style="position:absolute;margin-left:55.4pt;margin-top:594.5pt;width:22.8pt;height:12.55pt;z-index:-456136;mso-position-horizontal-relative:page;mso-position-vertical-relative:page" filled="f" stroked="f">
          <v:textbox inset="0,0,0,0">
            <w:txbxContent>
              <w:p w14:paraId="01EBBA55" w14:textId="77777777" w:rsidR="001008C3" w:rsidRDefault="001008C3">
                <w:pPr>
                  <w:spacing w:before="19"/>
                  <w:ind w:left="40"/>
                  <w:rPr>
                    <w:sz w:val="18"/>
                  </w:rPr>
                </w:pPr>
                <w:r>
                  <w:rPr>
                    <w:color w:val="231F20"/>
                    <w:sz w:val="18"/>
                  </w:rPr>
                  <w:t xml:space="preserve">292 </w:t>
                </w:r>
              </w:p>
            </w:txbxContent>
          </v:textbox>
          <w10:wrap anchorx="page" anchory="page"/>
        </v:shape>
      </w:pict>
    </w:r>
    <w:r>
      <w:rPr>
        <w:noProof w:val="0"/>
      </w:rPr>
      <w:pict w14:anchorId="15222B80">
        <v:shape id="_x0000_s1419" type="#_x0000_t202" style="position:absolute;margin-left:119.7pt;margin-top:594.5pt;width:247.9pt;height:12.55pt;z-index:-456112;mso-position-horizontal-relative:page;mso-position-vertical-relative:page" filled="f" stroked="f">
          <v:textbox inset="0,0,0,0">
            <w:txbxContent>
              <w:p w14:paraId="0B6D6294"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9F8DC" w14:textId="77777777" w:rsidR="001008C3" w:rsidRDefault="00000000">
    <w:pPr>
      <w:pStyle w:val="a3"/>
      <w:spacing w:line="14" w:lineRule="auto"/>
    </w:pPr>
    <w:r>
      <w:rPr>
        <w:noProof w:val="0"/>
      </w:rPr>
      <w:pict w14:anchorId="5AEB8386">
        <v:shapetype id="_x0000_t202" coordsize="21600,21600" o:spt="202" path="m,l,21600r21600,l21600,xe">
          <v:stroke joinstyle="miter"/>
          <v:path gradientshapeok="t" o:connecttype="rect"/>
        </v:shapetype>
        <v:shape id="_x0000_s1416" type="#_x0000_t202" style="position:absolute;margin-left:55.4pt;margin-top:594.5pt;width:22.8pt;height:12.55pt;z-index:-456040;mso-position-horizontal-relative:page;mso-position-vertical-relative:page" filled="f" stroked="f">
          <v:textbox inset="0,0,0,0">
            <w:txbxContent>
              <w:p w14:paraId="7F354ABB"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294</w:t>
                </w:r>
                <w:r>
                  <w:fldChar w:fldCharType="end"/>
                </w:r>
                <w:r>
                  <w:rPr>
                    <w:color w:val="231F20"/>
                    <w:sz w:val="18"/>
                  </w:rPr>
                  <w:t xml:space="preserve"> </w:t>
                </w:r>
              </w:p>
            </w:txbxContent>
          </v:textbox>
          <w10:wrap anchorx="page" anchory="page"/>
        </v:shape>
      </w:pict>
    </w:r>
    <w:r>
      <w:rPr>
        <w:noProof w:val="0"/>
      </w:rPr>
      <w:pict w14:anchorId="18218419">
        <v:shape id="_x0000_s1415" type="#_x0000_t202" style="position:absolute;margin-left:119.7pt;margin-top:594.5pt;width:247.9pt;height:12.55pt;z-index:-456016;mso-position-horizontal-relative:page;mso-position-vertical-relative:page" filled="f" stroked="f">
          <v:textbox inset="0,0,0,0">
            <w:txbxContent>
              <w:p w14:paraId="7E7E96A6"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E3B77" w14:textId="77777777" w:rsidR="001008C3" w:rsidRDefault="00000000">
    <w:pPr>
      <w:pStyle w:val="a3"/>
      <w:spacing w:line="14" w:lineRule="auto"/>
    </w:pPr>
    <w:r>
      <w:rPr>
        <w:noProof w:val="0"/>
      </w:rPr>
      <w:pict w14:anchorId="58D57372">
        <v:shapetype id="_x0000_t202" coordsize="21600,21600" o:spt="202" path="m,l,21600r21600,l21600,xe">
          <v:stroke joinstyle="miter"/>
          <v:path gradientshapeok="t" o:connecttype="rect"/>
        </v:shapetype>
        <v:shape id="_x0000_s1418" type="#_x0000_t202" style="position:absolute;margin-left:65.4pt;margin-top:594.5pt;width:265.7pt;height:12.55pt;z-index:-456088;mso-position-horizontal-relative:page;mso-position-vertical-relative:page" filled="f" stroked="f">
          <v:textbox inset="0,0,0,0">
            <w:txbxContent>
              <w:p w14:paraId="4558E903" w14:textId="77777777" w:rsidR="001008C3" w:rsidRDefault="001008C3">
                <w:pPr>
                  <w:spacing w:before="19"/>
                  <w:ind w:left="20"/>
                  <w:rPr>
                    <w:sz w:val="18"/>
                  </w:rPr>
                </w:pPr>
                <w:r>
                  <w:rPr>
                    <w:color w:val="231F20"/>
                    <w:w w:val="115"/>
                    <w:sz w:val="18"/>
                  </w:rPr>
                  <w:t>october 1974 • holger meins on force-feeding</w:t>
                </w:r>
                <w:r>
                  <w:rPr>
                    <w:color w:val="231F20"/>
                    <w:sz w:val="18"/>
                  </w:rPr>
                  <w:t xml:space="preserve"> </w:t>
                </w:r>
              </w:p>
            </w:txbxContent>
          </v:textbox>
          <w10:wrap anchorx="page" anchory="page"/>
        </v:shape>
      </w:pict>
    </w:r>
    <w:r>
      <w:rPr>
        <w:noProof w:val="0"/>
      </w:rPr>
      <w:pict w14:anchorId="0FBAB761">
        <v:shape id="_x0000_s1417" type="#_x0000_t202" style="position:absolute;margin-left:355.1pt;margin-top:594.5pt;width:22.8pt;height:12.55pt;z-index:-456064;mso-position-horizontal-relative:page;mso-position-vertical-relative:page" filled="f" stroked="f">
          <v:textbox inset="0,0,0,0">
            <w:txbxContent>
              <w:p w14:paraId="582F1177"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293</w:t>
                </w:r>
                <w:r>
                  <w:fldChar w:fldCharType="end"/>
                </w:r>
                <w:r>
                  <w:rPr>
                    <w:color w:val="231F20"/>
                    <w:sz w:val="18"/>
                  </w:rPr>
                  <w:t xml:space="preserve"> </w:t>
                </w:r>
              </w:p>
            </w:txbxContent>
          </v:textbox>
          <w10:wrap anchorx="page" anchory="page"/>
        </v:shape>
      </w:pict>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BB3D6" w14:textId="77777777" w:rsidR="001008C3" w:rsidRDefault="00000000">
    <w:pPr>
      <w:pStyle w:val="a3"/>
      <w:spacing w:line="14" w:lineRule="auto"/>
    </w:pPr>
    <w:r>
      <w:rPr>
        <w:noProof w:val="0"/>
      </w:rPr>
      <w:pict w14:anchorId="0919CB59">
        <v:shapetype id="_x0000_t202" coordsize="21600,21600" o:spt="202" path="m,l,21600r21600,l21600,xe">
          <v:stroke joinstyle="miter"/>
          <v:path gradientshapeok="t" o:connecttype="rect"/>
        </v:shapetype>
        <v:shape id="_x0000_s1412" type="#_x0000_t202" style="position:absolute;margin-left:55.4pt;margin-top:594.5pt;width:22.8pt;height:12.55pt;z-index:-455944;mso-position-horizontal-relative:page;mso-position-vertical-relative:page" filled="f" stroked="f">
          <v:textbox inset="0,0,0,0">
            <w:txbxContent>
              <w:p w14:paraId="30991A3A"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298</w:t>
                </w:r>
                <w:r>
                  <w:fldChar w:fldCharType="end"/>
                </w:r>
                <w:r>
                  <w:rPr>
                    <w:color w:val="231F20"/>
                    <w:sz w:val="18"/>
                  </w:rPr>
                  <w:t xml:space="preserve"> </w:t>
                </w:r>
              </w:p>
            </w:txbxContent>
          </v:textbox>
          <w10:wrap anchorx="page" anchory="page"/>
        </v:shape>
      </w:pict>
    </w:r>
    <w:r>
      <w:rPr>
        <w:noProof w:val="0"/>
      </w:rPr>
      <w:pict w14:anchorId="3D9AD745">
        <v:shape id="_x0000_s1411" type="#_x0000_t202" style="position:absolute;margin-left:119.7pt;margin-top:594.5pt;width:247.9pt;height:12.55pt;z-index:-455920;mso-position-horizontal-relative:page;mso-position-vertical-relative:page" filled="f" stroked="f">
          <v:textbox inset="0,0,0,0">
            <w:txbxContent>
              <w:p w14:paraId="3953DA6C"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1508" w14:textId="77777777" w:rsidR="001008C3" w:rsidRDefault="00000000">
    <w:pPr>
      <w:pStyle w:val="a3"/>
      <w:spacing w:line="14" w:lineRule="auto"/>
    </w:pPr>
    <w:r>
      <w:rPr>
        <w:noProof w:val="0"/>
      </w:rPr>
      <w:pict w14:anchorId="784145E8">
        <v:shapetype id="_x0000_t202" coordsize="21600,21600" o:spt="202" path="m,l,21600r21600,l21600,xe">
          <v:stroke joinstyle="miter"/>
          <v:path gradientshapeok="t" o:connecttype="rect"/>
        </v:shapetype>
        <v:shape id="_x0000_s1414" type="#_x0000_t202" style="position:absolute;margin-left:65.4pt;margin-top:594.5pt;width:243.25pt;height:12.55pt;z-index:-455992;mso-position-horizontal-relative:page;mso-position-vertical-relative:page" filled="f" stroked="f">
          <v:textbox inset="0,0,0,0">
            <w:txbxContent>
              <w:p w14:paraId="54E81781" w14:textId="77777777" w:rsidR="001008C3" w:rsidRDefault="001008C3">
                <w:pPr>
                  <w:spacing w:before="19"/>
                  <w:ind w:left="20"/>
                  <w:rPr>
                    <w:sz w:val="18"/>
                  </w:rPr>
                </w:pPr>
                <w:r>
                  <w:rPr>
                    <w:color w:val="231F20"/>
                    <w:w w:val="115"/>
                    <w:sz w:val="18"/>
                  </w:rPr>
                  <w:t>november 1974 • holger meins’ last letter</w:t>
                </w:r>
                <w:r>
                  <w:rPr>
                    <w:color w:val="231F20"/>
                    <w:sz w:val="18"/>
                  </w:rPr>
                  <w:t xml:space="preserve"> </w:t>
                </w:r>
              </w:p>
            </w:txbxContent>
          </v:textbox>
          <w10:wrap anchorx="page" anchory="page"/>
        </v:shape>
      </w:pict>
    </w:r>
    <w:r>
      <w:rPr>
        <w:noProof w:val="0"/>
      </w:rPr>
      <w:pict w14:anchorId="7B23DF4C">
        <v:shape id="_x0000_s1413" type="#_x0000_t202" style="position:absolute;margin-left:355.1pt;margin-top:594.5pt;width:22.8pt;height:12.55pt;z-index:-455968;mso-position-horizontal-relative:page;mso-position-vertical-relative:page" filled="f" stroked="f">
          <v:textbox inset="0,0,0,0">
            <w:txbxContent>
              <w:p w14:paraId="6A6E3E37"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297</w:t>
                </w:r>
                <w:r>
                  <w:fldChar w:fldCharType="end"/>
                </w:r>
                <w:r>
                  <w:rPr>
                    <w:color w:val="231F20"/>
                    <w:sz w:val="18"/>
                  </w:rPr>
                  <w:t xml:space="preserve"> </w:t>
                </w:r>
              </w:p>
            </w:txbxContent>
          </v:textbox>
          <w10:wrap anchorx="page" anchory="page"/>
        </v:shape>
      </w:pict>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31A5A" w14:textId="77777777" w:rsidR="001008C3" w:rsidRDefault="00000000">
    <w:pPr>
      <w:pStyle w:val="a3"/>
      <w:spacing w:line="14" w:lineRule="auto"/>
    </w:pPr>
    <w:r>
      <w:rPr>
        <w:noProof w:val="0"/>
      </w:rPr>
      <w:pict w14:anchorId="2A3A56EE">
        <v:shapetype id="_x0000_t202" coordsize="21600,21600" o:spt="202" path="m,l,21600r21600,l21600,xe">
          <v:stroke joinstyle="miter"/>
          <v:path gradientshapeok="t" o:connecttype="rect"/>
        </v:shapetype>
        <v:shape id="_x0000_s1410" type="#_x0000_t202" style="position:absolute;margin-left:65.4pt;margin-top:594.5pt;width:215.4pt;height:12.55pt;z-index:-455896;mso-position-horizontal-relative:page;mso-position-vertical-relative:page" filled="f" stroked="f">
          <v:textbox inset="0,0,0,0">
            <w:txbxContent>
              <w:p w14:paraId="4A85C819" w14:textId="77777777" w:rsidR="001008C3" w:rsidRDefault="001008C3">
                <w:pPr>
                  <w:spacing w:before="19"/>
                  <w:ind w:left="20"/>
                  <w:rPr>
                    <w:sz w:val="18"/>
                  </w:rPr>
                </w:pPr>
                <w:r>
                  <w:rPr>
                    <w:color w:val="231F20"/>
                    <w:w w:val="115"/>
                    <w:sz w:val="18"/>
                  </w:rPr>
                  <w:t>january 1975 • interview with spiegel</w:t>
                </w:r>
                <w:r>
                  <w:rPr>
                    <w:color w:val="231F20"/>
                    <w:sz w:val="18"/>
                  </w:rPr>
                  <w:t xml:space="preserve"> </w:t>
                </w:r>
              </w:p>
            </w:txbxContent>
          </v:textbox>
          <w10:wrap anchorx="page" anchory="page"/>
        </v:shape>
      </w:pict>
    </w:r>
    <w:r>
      <w:rPr>
        <w:noProof w:val="0"/>
      </w:rPr>
      <w:pict w14:anchorId="1B25A6BB">
        <v:shape id="_x0000_s1409" type="#_x0000_t202" style="position:absolute;margin-left:356.1pt;margin-top:594.5pt;width:20.8pt;height:12.55pt;z-index:-455872;mso-position-horizontal-relative:page;mso-position-vertical-relative:page" filled="f" stroked="f">
          <v:textbox inset="0,0,0,0">
            <w:txbxContent>
              <w:p w14:paraId="6645B1BB" w14:textId="77777777" w:rsidR="001008C3" w:rsidRDefault="001008C3">
                <w:pPr>
                  <w:spacing w:before="19"/>
                  <w:ind w:left="20"/>
                  <w:rPr>
                    <w:sz w:val="18"/>
                  </w:rPr>
                </w:pPr>
                <w:r>
                  <w:rPr>
                    <w:color w:val="231F20"/>
                    <w:sz w:val="18"/>
                  </w:rPr>
                  <w:t xml:space="preserve">301 </w:t>
                </w:r>
              </w:p>
            </w:txbxContent>
          </v:textbox>
          <w10:wrap anchorx="page" anchory="page"/>
        </v:shape>
      </w:pict>
    </w: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A5EC9" w14:textId="77777777" w:rsidR="001008C3" w:rsidRDefault="00000000">
    <w:pPr>
      <w:pStyle w:val="a3"/>
      <w:spacing w:line="14" w:lineRule="auto"/>
    </w:pPr>
    <w:r>
      <w:rPr>
        <w:noProof w:val="0"/>
      </w:rPr>
      <w:pict w14:anchorId="0E7A053D">
        <v:shapetype id="_x0000_t202" coordsize="21600,21600" o:spt="202" path="m,l,21600r21600,l21600,xe">
          <v:stroke joinstyle="miter"/>
          <v:path gradientshapeok="t" o:connecttype="rect"/>
        </v:shapetype>
        <v:shape id="_x0000_s1408" type="#_x0000_t202" style="position:absolute;margin-left:55.4pt;margin-top:594.5pt;width:22.8pt;height:12.55pt;z-index:-455848;mso-position-horizontal-relative:page;mso-position-vertical-relative:page" filled="f" stroked="f">
          <v:textbox inset="0,0,0,0">
            <w:txbxContent>
              <w:p w14:paraId="5ECF3C8F" w14:textId="77777777" w:rsidR="001008C3" w:rsidRDefault="001008C3">
                <w:pPr>
                  <w:spacing w:before="19"/>
                  <w:ind w:left="40"/>
                  <w:rPr>
                    <w:sz w:val="18"/>
                  </w:rPr>
                </w:pPr>
                <w:r>
                  <w:rPr>
                    <w:color w:val="231F20"/>
                    <w:sz w:val="18"/>
                  </w:rPr>
                  <w:t xml:space="preserve">302 </w:t>
                </w:r>
              </w:p>
            </w:txbxContent>
          </v:textbox>
          <w10:wrap anchorx="page" anchory="page"/>
        </v:shape>
      </w:pict>
    </w:r>
    <w:r>
      <w:rPr>
        <w:noProof w:val="0"/>
      </w:rPr>
      <w:pict w14:anchorId="7A27BC90">
        <v:shape id="_x0000_s1407" type="#_x0000_t202" style="position:absolute;margin-left:119.7pt;margin-top:594.5pt;width:247.9pt;height:12.55pt;z-index:-455824;mso-position-horizontal-relative:page;mso-position-vertical-relative:page" filled="f" stroked="f">
          <v:textbox inset="0,0,0,0">
            <w:txbxContent>
              <w:p w14:paraId="42CEAB2C"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9249E" w14:textId="77777777" w:rsidR="001008C3" w:rsidRDefault="00000000">
    <w:pPr>
      <w:pStyle w:val="a3"/>
      <w:spacing w:line="14" w:lineRule="auto"/>
    </w:pPr>
    <w:r>
      <w:rPr>
        <w:noProof w:val="0"/>
      </w:rPr>
      <w:pict w14:anchorId="6179E47C">
        <v:line id="_x0000_s1406" style="position:absolute;z-index:-455800;mso-position-horizontal-relative:page;mso-position-vertical-relative:page" from="66.4pt,546.7pt" to="138.4pt,546.7pt" strokecolor="#231f20" strokeweight=".5pt">
          <w10:wrap anchorx="page" anchory="page"/>
        </v:line>
      </w:pict>
    </w:r>
    <w:r>
      <w:rPr>
        <w:noProof w:val="0"/>
      </w:rPr>
      <w:pict w14:anchorId="1C3F52C6">
        <v:shapetype id="_x0000_t202" coordsize="21600,21600" o:spt="202" path="m,l,21600r21600,l21600,xe">
          <v:stroke joinstyle="miter"/>
          <v:path gradientshapeok="t" o:connecttype="rect"/>
        </v:shapetype>
        <v:shape id="_x0000_s1405" type="#_x0000_t202" style="position:absolute;margin-left:65.4pt;margin-top:594.5pt;width:215.4pt;height:12.55pt;z-index:-455776;mso-position-horizontal-relative:page;mso-position-vertical-relative:page" filled="f" stroked="f">
          <v:textbox inset="0,0,0,0">
            <w:txbxContent>
              <w:p w14:paraId="73462C26" w14:textId="77777777" w:rsidR="001008C3" w:rsidRDefault="001008C3">
                <w:pPr>
                  <w:spacing w:before="19"/>
                  <w:ind w:left="20"/>
                  <w:rPr>
                    <w:sz w:val="18"/>
                  </w:rPr>
                </w:pPr>
                <w:r>
                  <w:rPr>
                    <w:color w:val="231F20"/>
                    <w:w w:val="115"/>
                    <w:sz w:val="18"/>
                  </w:rPr>
                  <w:t>january 1975 • interview with spiegel</w:t>
                </w:r>
                <w:r>
                  <w:rPr>
                    <w:color w:val="231F20"/>
                    <w:sz w:val="18"/>
                  </w:rPr>
                  <w:t xml:space="preserve"> </w:t>
                </w:r>
              </w:p>
            </w:txbxContent>
          </v:textbox>
          <w10:wrap anchorx="page" anchory="page"/>
        </v:shape>
      </w:pict>
    </w:r>
    <w:r>
      <w:rPr>
        <w:noProof w:val="0"/>
      </w:rPr>
      <w:pict w14:anchorId="445734B8">
        <v:shape id="_x0000_s1404" type="#_x0000_t202" style="position:absolute;margin-left:356.1pt;margin-top:594.5pt;width:20.8pt;height:12.55pt;z-index:-455752;mso-position-horizontal-relative:page;mso-position-vertical-relative:page" filled="f" stroked="f">
          <v:textbox inset="0,0,0,0">
            <w:txbxContent>
              <w:p w14:paraId="576BC76D" w14:textId="77777777" w:rsidR="001008C3" w:rsidRDefault="001008C3">
                <w:pPr>
                  <w:spacing w:before="19"/>
                  <w:ind w:left="20"/>
                  <w:rPr>
                    <w:sz w:val="18"/>
                  </w:rPr>
                </w:pPr>
                <w:r>
                  <w:rPr>
                    <w:color w:val="231F20"/>
                    <w:sz w:val="18"/>
                  </w:rPr>
                  <w:t xml:space="preserve">303 </w:t>
                </w:r>
              </w:p>
            </w:txbxContent>
          </v:textbox>
          <w10:wrap anchorx="page" anchory="page"/>
        </v:shape>
      </w:pict>
    </w: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459C4" w14:textId="77777777" w:rsidR="001008C3" w:rsidRDefault="00000000">
    <w:pPr>
      <w:pStyle w:val="a3"/>
      <w:spacing w:line="14" w:lineRule="auto"/>
    </w:pPr>
    <w:r>
      <w:rPr>
        <w:noProof w:val="0"/>
      </w:rPr>
      <w:pict w14:anchorId="608E58EC">
        <v:shapetype id="_x0000_t202" coordsize="21600,21600" o:spt="202" path="m,l,21600r21600,l21600,xe">
          <v:stroke joinstyle="miter"/>
          <v:path gradientshapeok="t" o:connecttype="rect"/>
        </v:shapetype>
        <v:shape id="_x0000_s1403" type="#_x0000_t202" style="position:absolute;margin-left:55.4pt;margin-top:594.5pt;width:22.8pt;height:12.55pt;z-index:-455728;mso-position-horizontal-relative:page;mso-position-vertical-relative:page" filled="f" stroked="f">
          <v:textbox inset="0,0,0,0">
            <w:txbxContent>
              <w:p w14:paraId="7B132BA3" w14:textId="77777777" w:rsidR="001008C3" w:rsidRDefault="001008C3">
                <w:pPr>
                  <w:spacing w:before="19"/>
                  <w:ind w:left="40"/>
                  <w:rPr>
                    <w:sz w:val="18"/>
                  </w:rPr>
                </w:pPr>
                <w:r>
                  <w:rPr>
                    <w:color w:val="231F20"/>
                    <w:sz w:val="18"/>
                  </w:rPr>
                  <w:t xml:space="preserve">304 </w:t>
                </w:r>
              </w:p>
            </w:txbxContent>
          </v:textbox>
          <w10:wrap anchorx="page" anchory="page"/>
        </v:shape>
      </w:pict>
    </w:r>
    <w:r>
      <w:rPr>
        <w:noProof w:val="0"/>
      </w:rPr>
      <w:pict w14:anchorId="4FF64D05">
        <v:shape id="_x0000_s1402" type="#_x0000_t202" style="position:absolute;margin-left:119.7pt;margin-top:594.5pt;width:247.9pt;height:12.55pt;z-index:-455704;mso-position-horizontal-relative:page;mso-position-vertical-relative:page" filled="f" stroked="f">
          <v:textbox inset="0,0,0,0">
            <w:txbxContent>
              <w:p w14:paraId="6298633C"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7E457" w14:textId="77777777" w:rsidR="001008C3" w:rsidRDefault="001008C3">
    <w:pPr>
      <w:pStyle w:val="a3"/>
      <w:spacing w:line="14" w:lineRule="auto"/>
      <w:rPr>
        <w:sz w:val="2"/>
      </w:rPr>
    </w:pP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AEB79" w14:textId="77777777" w:rsidR="001008C3" w:rsidRDefault="00000000">
    <w:pPr>
      <w:pStyle w:val="a3"/>
      <w:spacing w:line="14" w:lineRule="auto"/>
    </w:pPr>
    <w:r>
      <w:rPr>
        <w:noProof w:val="0"/>
      </w:rPr>
      <w:pict w14:anchorId="36F59940">
        <v:shapetype id="_x0000_t202" coordsize="21600,21600" o:spt="202" path="m,l,21600r21600,l21600,xe">
          <v:stroke joinstyle="miter"/>
          <v:path gradientshapeok="t" o:connecttype="rect"/>
        </v:shapetype>
        <v:shape id="_x0000_s1399" type="#_x0000_t202" style="position:absolute;margin-left:55.4pt;margin-top:594.5pt;width:22.8pt;height:12.55pt;z-index:-455632;mso-position-horizontal-relative:page;mso-position-vertical-relative:page" filled="f" stroked="f">
          <v:textbox inset="0,0,0,0">
            <w:txbxContent>
              <w:p w14:paraId="7C2A81CD"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306</w:t>
                </w:r>
                <w:r>
                  <w:fldChar w:fldCharType="end"/>
                </w:r>
                <w:r>
                  <w:rPr>
                    <w:color w:val="231F20"/>
                    <w:sz w:val="18"/>
                  </w:rPr>
                  <w:t xml:space="preserve"> </w:t>
                </w:r>
              </w:p>
            </w:txbxContent>
          </v:textbox>
          <w10:wrap anchorx="page" anchory="page"/>
        </v:shape>
      </w:pict>
    </w:r>
    <w:r>
      <w:rPr>
        <w:noProof w:val="0"/>
      </w:rPr>
      <w:pict w14:anchorId="0704FD54">
        <v:shape id="_x0000_s1398" type="#_x0000_t202" style="position:absolute;margin-left:119.7pt;margin-top:594.5pt;width:247.9pt;height:12.55pt;z-index:-455608;mso-position-horizontal-relative:page;mso-position-vertical-relative:page" filled="f" stroked="f">
          <v:textbox inset="0,0,0,0">
            <w:txbxContent>
              <w:p w14:paraId="12685CE1"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EED43" w14:textId="77777777" w:rsidR="001008C3" w:rsidRDefault="00000000">
    <w:pPr>
      <w:pStyle w:val="a3"/>
      <w:spacing w:line="14" w:lineRule="auto"/>
    </w:pPr>
    <w:r>
      <w:rPr>
        <w:noProof w:val="0"/>
      </w:rPr>
      <w:pict w14:anchorId="65772128">
        <v:shapetype id="_x0000_t202" coordsize="21600,21600" o:spt="202" path="m,l,21600r21600,l21600,xe">
          <v:stroke joinstyle="miter"/>
          <v:path gradientshapeok="t" o:connecttype="rect"/>
        </v:shapetype>
        <v:shape id="_x0000_s1401" type="#_x0000_t202" style="position:absolute;margin-left:65.4pt;margin-top:594.5pt;width:215.4pt;height:12.55pt;z-index:-455680;mso-position-horizontal-relative:page;mso-position-vertical-relative:page" filled="f" stroked="f">
          <v:textbox inset="0,0,0,0">
            <w:txbxContent>
              <w:p w14:paraId="04D531F4" w14:textId="77777777" w:rsidR="001008C3" w:rsidRDefault="001008C3">
                <w:pPr>
                  <w:spacing w:before="19"/>
                  <w:ind w:left="20"/>
                  <w:rPr>
                    <w:sz w:val="18"/>
                  </w:rPr>
                </w:pPr>
                <w:r>
                  <w:rPr>
                    <w:color w:val="231F20"/>
                    <w:w w:val="115"/>
                    <w:sz w:val="18"/>
                  </w:rPr>
                  <w:t>january 1975 • interview with spiegel</w:t>
                </w:r>
                <w:r>
                  <w:rPr>
                    <w:color w:val="231F20"/>
                    <w:sz w:val="18"/>
                  </w:rPr>
                  <w:t xml:space="preserve"> </w:t>
                </w:r>
              </w:p>
            </w:txbxContent>
          </v:textbox>
          <w10:wrap anchorx="page" anchory="page"/>
        </v:shape>
      </w:pict>
    </w:r>
    <w:r>
      <w:rPr>
        <w:noProof w:val="0"/>
      </w:rPr>
      <w:pict w14:anchorId="263FEABA">
        <v:shape id="_x0000_s1400" type="#_x0000_t202" style="position:absolute;margin-left:355.1pt;margin-top:594.5pt;width:22.8pt;height:12.55pt;z-index:-455656;mso-position-horizontal-relative:page;mso-position-vertical-relative:page" filled="f" stroked="f">
          <v:textbox inset="0,0,0,0">
            <w:txbxContent>
              <w:p w14:paraId="0E543E68"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305</w:t>
                </w:r>
                <w:r>
                  <w:fldChar w:fldCharType="end"/>
                </w:r>
                <w:r>
                  <w:rPr>
                    <w:color w:val="231F20"/>
                    <w:sz w:val="18"/>
                  </w:rPr>
                  <w:t xml:space="preserve"> </w:t>
                </w:r>
              </w:p>
            </w:txbxContent>
          </v:textbox>
          <w10:wrap anchorx="page" anchory="page"/>
        </v:shape>
      </w:pict>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7FA98" w14:textId="77777777" w:rsidR="001008C3" w:rsidRDefault="00000000">
    <w:pPr>
      <w:pStyle w:val="a3"/>
      <w:spacing w:line="14" w:lineRule="auto"/>
    </w:pPr>
    <w:r>
      <w:rPr>
        <w:noProof w:val="0"/>
      </w:rPr>
      <w:pict w14:anchorId="7D1CAA53">
        <v:shapetype id="_x0000_t202" coordsize="21600,21600" o:spt="202" path="m,l,21600r21600,l21600,xe">
          <v:stroke joinstyle="miter"/>
          <v:path gradientshapeok="t" o:connecttype="rect"/>
        </v:shapetype>
        <v:shape id="_x0000_s1395" type="#_x0000_t202" style="position:absolute;margin-left:65.4pt;margin-top:594.5pt;width:215.4pt;height:12.55pt;z-index:-455536;mso-position-horizontal-relative:page;mso-position-vertical-relative:page" filled="f" stroked="f">
          <v:textbox inset="0,0,0,0">
            <w:txbxContent>
              <w:p w14:paraId="5BB0990E" w14:textId="77777777" w:rsidR="001008C3" w:rsidRDefault="001008C3">
                <w:pPr>
                  <w:spacing w:before="19"/>
                  <w:ind w:left="20"/>
                  <w:rPr>
                    <w:sz w:val="18"/>
                  </w:rPr>
                </w:pPr>
                <w:r>
                  <w:rPr>
                    <w:color w:val="231F20"/>
                    <w:w w:val="115"/>
                    <w:sz w:val="18"/>
                  </w:rPr>
                  <w:t>january 1975 • interview with spiegel</w:t>
                </w:r>
                <w:r>
                  <w:rPr>
                    <w:color w:val="231F20"/>
                    <w:sz w:val="18"/>
                  </w:rPr>
                  <w:t xml:space="preserve"> </w:t>
                </w:r>
              </w:p>
            </w:txbxContent>
          </v:textbox>
          <w10:wrap anchorx="page" anchory="page"/>
        </v:shape>
      </w:pict>
    </w:r>
    <w:r>
      <w:rPr>
        <w:noProof w:val="0"/>
      </w:rPr>
      <w:pict w14:anchorId="4FBF1A4D">
        <v:shape id="_x0000_s1394" type="#_x0000_t202" style="position:absolute;margin-left:356.1pt;margin-top:594.5pt;width:20.8pt;height:12.55pt;z-index:-455512;mso-position-horizontal-relative:page;mso-position-vertical-relative:page" filled="f" stroked="f">
          <v:textbox inset="0,0,0,0">
            <w:txbxContent>
              <w:p w14:paraId="2EB9CEAA" w14:textId="77777777" w:rsidR="001008C3" w:rsidRDefault="001008C3">
                <w:pPr>
                  <w:spacing w:before="19"/>
                  <w:ind w:left="20"/>
                  <w:rPr>
                    <w:sz w:val="18"/>
                  </w:rPr>
                </w:pPr>
                <w:r>
                  <w:rPr>
                    <w:color w:val="231F20"/>
                    <w:sz w:val="18"/>
                  </w:rPr>
                  <w:t xml:space="preserve">311 </w:t>
                </w:r>
              </w:p>
            </w:txbxContent>
          </v:textbox>
          <w10:wrap anchorx="page" anchory="page"/>
        </v:shape>
      </w:pict>
    </w: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294F3" w14:textId="77777777" w:rsidR="001008C3" w:rsidRDefault="00000000">
    <w:pPr>
      <w:pStyle w:val="a3"/>
      <w:spacing w:line="14" w:lineRule="auto"/>
    </w:pPr>
    <w:r>
      <w:rPr>
        <w:noProof w:val="0"/>
      </w:rPr>
      <w:pict w14:anchorId="7160E864">
        <v:shapetype id="_x0000_t202" coordsize="21600,21600" o:spt="202" path="m,l,21600r21600,l21600,xe">
          <v:stroke joinstyle="miter"/>
          <v:path gradientshapeok="t" o:connecttype="rect"/>
        </v:shapetype>
        <v:shape id="_x0000_s1397" type="#_x0000_t202" style="position:absolute;margin-left:56.4pt;margin-top:594.5pt;width:20.8pt;height:12.55pt;z-index:-455584;mso-position-horizontal-relative:page;mso-position-vertical-relative:page" filled="f" stroked="f">
          <v:textbox inset="0,0,0,0">
            <w:txbxContent>
              <w:p w14:paraId="370FE79E" w14:textId="77777777" w:rsidR="001008C3" w:rsidRDefault="001008C3">
                <w:pPr>
                  <w:spacing w:before="19"/>
                  <w:ind w:left="20"/>
                  <w:rPr>
                    <w:sz w:val="18"/>
                  </w:rPr>
                </w:pPr>
                <w:r>
                  <w:rPr>
                    <w:color w:val="231F20"/>
                    <w:sz w:val="18"/>
                  </w:rPr>
                  <w:t xml:space="preserve">310 </w:t>
                </w:r>
              </w:p>
            </w:txbxContent>
          </v:textbox>
          <w10:wrap anchorx="page" anchory="page"/>
        </v:shape>
      </w:pict>
    </w:r>
    <w:r>
      <w:rPr>
        <w:noProof w:val="0"/>
      </w:rPr>
      <w:pict w14:anchorId="2DC03E2A">
        <v:shape id="_x0000_s1396" type="#_x0000_t202" style="position:absolute;margin-left:119.7pt;margin-top:594.5pt;width:247.9pt;height:12.55pt;z-index:-455560;mso-position-horizontal-relative:page;mso-position-vertical-relative:page" filled="f" stroked="f">
          <v:textbox inset="0,0,0,0">
            <w:txbxContent>
              <w:p w14:paraId="342A6E51"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28639" w14:textId="77777777" w:rsidR="001008C3" w:rsidRDefault="00000000">
    <w:pPr>
      <w:pStyle w:val="a3"/>
      <w:spacing w:line="14" w:lineRule="auto"/>
    </w:pPr>
    <w:r>
      <w:rPr>
        <w:noProof w:val="0"/>
      </w:rPr>
      <w:pict w14:anchorId="431D9239">
        <v:shapetype id="_x0000_t202" coordsize="21600,21600" o:spt="202" path="m,l,21600r21600,l21600,xe">
          <v:stroke joinstyle="miter"/>
          <v:path gradientshapeok="t" o:connecttype="rect"/>
        </v:shapetype>
        <v:shape id="_x0000_s1393" type="#_x0000_t202" style="position:absolute;margin-left:55.4pt;margin-top:594.5pt;width:22.8pt;height:12.55pt;z-index:-455488;mso-position-horizontal-relative:page;mso-position-vertical-relative:page" filled="f" stroked="f">
          <v:textbox inset="0,0,0,0">
            <w:txbxContent>
              <w:p w14:paraId="0361C7D4"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312</w:t>
                </w:r>
                <w:r>
                  <w:fldChar w:fldCharType="end"/>
                </w:r>
                <w:r>
                  <w:rPr>
                    <w:color w:val="231F20"/>
                    <w:sz w:val="18"/>
                  </w:rPr>
                  <w:t xml:space="preserve"> </w:t>
                </w:r>
              </w:p>
            </w:txbxContent>
          </v:textbox>
          <w10:wrap anchorx="page" anchory="page"/>
        </v:shape>
      </w:pict>
    </w:r>
    <w:r>
      <w:rPr>
        <w:noProof w:val="0"/>
      </w:rPr>
      <w:pict w14:anchorId="607F5AB0">
        <v:shape id="_x0000_s1392" type="#_x0000_t202" style="position:absolute;margin-left:119.7pt;margin-top:594.5pt;width:247.9pt;height:12.55pt;z-index:-455464;mso-position-horizontal-relative:page;mso-position-vertical-relative:page" filled="f" stroked="f">
          <v:textbox inset="0,0,0,0">
            <w:txbxContent>
              <w:p w14:paraId="630CDE5C"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13C9C" w14:textId="77777777" w:rsidR="001008C3" w:rsidRDefault="00000000">
    <w:pPr>
      <w:pStyle w:val="a3"/>
      <w:spacing w:line="14" w:lineRule="auto"/>
    </w:pPr>
    <w:r>
      <w:rPr>
        <w:noProof w:val="0"/>
      </w:rPr>
      <w:pict w14:anchorId="10C704CE">
        <v:shapetype id="_x0000_t202" coordsize="21600,21600" o:spt="202" path="m,l,21600r21600,l21600,xe">
          <v:stroke joinstyle="miter"/>
          <v:path gradientshapeok="t" o:connecttype="rect"/>
        </v:shapetype>
        <v:shape id="_x0000_s1391" type="#_x0000_t202" style="position:absolute;margin-left:65.4pt;margin-top:594.5pt;width:215.4pt;height:12.55pt;z-index:-455440;mso-position-horizontal-relative:page;mso-position-vertical-relative:page" filled="f" stroked="f">
          <v:textbox inset="0,0,0,0">
            <w:txbxContent>
              <w:p w14:paraId="52043DD6" w14:textId="77777777" w:rsidR="001008C3" w:rsidRDefault="001008C3">
                <w:pPr>
                  <w:spacing w:before="19"/>
                  <w:ind w:left="20"/>
                  <w:rPr>
                    <w:sz w:val="18"/>
                  </w:rPr>
                </w:pPr>
                <w:r>
                  <w:rPr>
                    <w:color w:val="231F20"/>
                    <w:w w:val="115"/>
                    <w:sz w:val="18"/>
                  </w:rPr>
                  <w:t>january 1975 • interview with spiegel</w:t>
                </w:r>
                <w:r>
                  <w:rPr>
                    <w:color w:val="231F20"/>
                    <w:sz w:val="18"/>
                  </w:rPr>
                  <w:t xml:space="preserve"> </w:t>
                </w:r>
              </w:p>
            </w:txbxContent>
          </v:textbox>
          <w10:wrap anchorx="page" anchory="page"/>
        </v:shape>
      </w:pict>
    </w:r>
    <w:r>
      <w:rPr>
        <w:noProof w:val="0"/>
      </w:rPr>
      <w:pict w14:anchorId="3E1017C5">
        <v:shape id="_x0000_s1390" type="#_x0000_t202" style="position:absolute;margin-left:355.1pt;margin-top:594.5pt;width:22.8pt;height:12.55pt;z-index:-455416;mso-position-horizontal-relative:page;mso-position-vertical-relative:page" filled="f" stroked="f">
          <v:textbox inset="0,0,0,0">
            <w:txbxContent>
              <w:p w14:paraId="2D65F8CE"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313</w:t>
                </w:r>
                <w:r>
                  <w:fldChar w:fldCharType="end"/>
                </w:r>
                <w:r>
                  <w:rPr>
                    <w:color w:val="231F20"/>
                    <w:sz w:val="18"/>
                  </w:rPr>
                  <w:t xml:space="preserve"> </w:t>
                </w:r>
              </w:p>
            </w:txbxContent>
          </v:textbox>
          <w10:wrap anchorx="page" anchory="page"/>
        </v:shape>
      </w:pict>
    </w: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03ECD" w14:textId="77777777" w:rsidR="001008C3" w:rsidRDefault="00000000">
    <w:pPr>
      <w:pStyle w:val="a3"/>
      <w:spacing w:line="14" w:lineRule="auto"/>
    </w:pPr>
    <w:r>
      <w:rPr>
        <w:noProof w:val="0"/>
      </w:rPr>
      <w:pict w14:anchorId="0A6CBE9B">
        <v:shapetype id="_x0000_t202" coordsize="21600,21600" o:spt="202" path="m,l,21600r21600,l21600,xe">
          <v:stroke joinstyle="miter"/>
          <v:path gradientshapeok="t" o:connecttype="rect"/>
        </v:shapetype>
        <v:shape id="_x0000_s1389" type="#_x0000_t202" style="position:absolute;margin-left:65.4pt;margin-top:594.5pt;width:217.1pt;height:12.55pt;z-index:-455392;mso-position-horizontal-relative:page;mso-position-vertical-relative:page" filled="f" stroked="f">
          <v:textbox inset="0,0,0,0">
            <w:txbxContent>
              <w:p w14:paraId="6955B2FD" w14:textId="77777777" w:rsidR="001008C3" w:rsidRDefault="001008C3">
                <w:pPr>
                  <w:spacing w:before="19"/>
                  <w:ind w:left="20"/>
                  <w:rPr>
                    <w:sz w:val="18"/>
                  </w:rPr>
                </w:pPr>
                <w:r>
                  <w:rPr>
                    <w:color w:val="231F20"/>
                    <w:w w:val="115"/>
                    <w:sz w:val="18"/>
                  </w:rPr>
                  <w:t>june 1975 • baader regarding torture</w:t>
                </w:r>
                <w:r>
                  <w:rPr>
                    <w:color w:val="231F20"/>
                    <w:sz w:val="18"/>
                  </w:rPr>
                  <w:t xml:space="preserve"> </w:t>
                </w:r>
              </w:p>
            </w:txbxContent>
          </v:textbox>
          <w10:wrap anchorx="page" anchory="page"/>
        </v:shape>
      </w:pict>
    </w:r>
    <w:r>
      <w:rPr>
        <w:noProof w:val="0"/>
      </w:rPr>
      <w:pict w14:anchorId="08D8F237">
        <v:shape id="_x0000_s1388" type="#_x0000_t202" style="position:absolute;margin-left:356.1pt;margin-top:594.5pt;width:20.8pt;height:12.55pt;z-index:-455368;mso-position-horizontal-relative:page;mso-position-vertical-relative:page" filled="f" stroked="f">
          <v:textbox inset="0,0,0,0">
            <w:txbxContent>
              <w:p w14:paraId="4DDD1DCC" w14:textId="77777777" w:rsidR="001008C3" w:rsidRDefault="001008C3">
                <w:pPr>
                  <w:spacing w:before="19"/>
                  <w:ind w:left="20"/>
                  <w:rPr>
                    <w:sz w:val="18"/>
                  </w:rPr>
                </w:pPr>
                <w:r>
                  <w:rPr>
                    <w:color w:val="231F20"/>
                    <w:sz w:val="18"/>
                  </w:rPr>
                  <w:t xml:space="preserve">319 </w:t>
                </w:r>
              </w:p>
            </w:txbxContent>
          </v:textbox>
          <w10:wrap anchorx="page" anchory="page"/>
        </v:shape>
      </w:pic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487F5" w14:textId="77777777" w:rsidR="001008C3" w:rsidRDefault="00000000">
    <w:pPr>
      <w:pStyle w:val="a3"/>
      <w:spacing w:line="14" w:lineRule="auto"/>
    </w:pPr>
    <w:r>
      <w:rPr>
        <w:noProof w:val="0"/>
      </w:rPr>
      <w:pict w14:anchorId="05D0DA69">
        <v:shapetype id="_x0000_t202" coordsize="21600,21600" o:spt="202" path="m,l,21600r21600,l21600,xe">
          <v:stroke joinstyle="miter"/>
          <v:path gradientshapeok="t" o:connecttype="rect"/>
        </v:shapetype>
        <v:shape id="_x0000_s1387" type="#_x0000_t202" style="position:absolute;margin-left:56.4pt;margin-top:594.5pt;width:20.8pt;height:12.55pt;z-index:-455344;mso-position-horizontal-relative:page;mso-position-vertical-relative:page" filled="f" stroked="f">
          <v:textbox inset="0,0,0,0">
            <w:txbxContent>
              <w:p w14:paraId="72DA7D8C" w14:textId="77777777" w:rsidR="001008C3" w:rsidRDefault="001008C3">
                <w:pPr>
                  <w:spacing w:before="19"/>
                  <w:ind w:left="20"/>
                  <w:rPr>
                    <w:sz w:val="18"/>
                  </w:rPr>
                </w:pPr>
                <w:r>
                  <w:rPr>
                    <w:color w:val="231F20"/>
                    <w:sz w:val="18"/>
                  </w:rPr>
                  <w:t xml:space="preserve">320 </w:t>
                </w:r>
              </w:p>
            </w:txbxContent>
          </v:textbox>
          <w10:wrap anchorx="page" anchory="page"/>
        </v:shape>
      </w:pict>
    </w:r>
    <w:r>
      <w:rPr>
        <w:noProof w:val="0"/>
      </w:rPr>
      <w:pict w14:anchorId="3857AAFD">
        <v:shape id="_x0000_s1386" type="#_x0000_t202" style="position:absolute;margin-left:119.7pt;margin-top:594.5pt;width:247.9pt;height:12.55pt;z-index:-455320;mso-position-horizontal-relative:page;mso-position-vertical-relative:page" filled="f" stroked="f">
          <v:textbox inset="0,0,0,0">
            <w:txbxContent>
              <w:p w14:paraId="3D20325C"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0E19A" w14:textId="77777777" w:rsidR="001008C3" w:rsidRDefault="00000000">
    <w:pPr>
      <w:pStyle w:val="a3"/>
      <w:spacing w:line="14" w:lineRule="auto"/>
    </w:pPr>
    <w:r>
      <w:rPr>
        <w:noProof w:val="0"/>
      </w:rPr>
      <w:pict w14:anchorId="16477245">
        <v:shapetype id="_x0000_t202" coordsize="21600,21600" o:spt="202" path="m,l,21600r21600,l21600,xe">
          <v:stroke joinstyle="miter"/>
          <v:path gradientshapeok="t" o:connecttype="rect"/>
        </v:shapetype>
        <v:shape id="_x0000_s1385" type="#_x0000_t202" style="position:absolute;margin-left:65.4pt;margin-top:594.5pt;width:217.1pt;height:12.55pt;z-index:-455296;mso-position-horizontal-relative:page;mso-position-vertical-relative:page" filled="f" stroked="f">
          <v:textbox inset="0,0,0,0">
            <w:txbxContent>
              <w:p w14:paraId="75AF1CF8" w14:textId="77777777" w:rsidR="001008C3" w:rsidRDefault="001008C3">
                <w:pPr>
                  <w:spacing w:before="19"/>
                  <w:ind w:left="20"/>
                  <w:rPr>
                    <w:sz w:val="18"/>
                  </w:rPr>
                </w:pPr>
                <w:r>
                  <w:rPr>
                    <w:color w:val="231F20"/>
                    <w:w w:val="115"/>
                    <w:sz w:val="18"/>
                  </w:rPr>
                  <w:t>june 1975 • baader regarding torture</w:t>
                </w:r>
                <w:r>
                  <w:rPr>
                    <w:color w:val="231F20"/>
                    <w:sz w:val="18"/>
                  </w:rPr>
                  <w:t xml:space="preserve"> </w:t>
                </w:r>
              </w:p>
            </w:txbxContent>
          </v:textbox>
          <w10:wrap anchorx="page" anchory="page"/>
        </v:shape>
      </w:pict>
    </w:r>
    <w:r>
      <w:rPr>
        <w:noProof w:val="0"/>
      </w:rPr>
      <w:pict w14:anchorId="4DF78A0C">
        <v:shape id="_x0000_s1384" type="#_x0000_t202" style="position:absolute;margin-left:356.1pt;margin-top:594.5pt;width:20.8pt;height:12.55pt;z-index:-455272;mso-position-horizontal-relative:page;mso-position-vertical-relative:page" filled="f" stroked="f">
          <v:textbox inset="0,0,0,0">
            <w:txbxContent>
              <w:p w14:paraId="01C1C742" w14:textId="77777777" w:rsidR="001008C3" w:rsidRDefault="001008C3">
                <w:pPr>
                  <w:spacing w:before="19"/>
                  <w:ind w:left="20"/>
                  <w:rPr>
                    <w:sz w:val="18"/>
                  </w:rPr>
                </w:pPr>
                <w:r>
                  <w:rPr>
                    <w:color w:val="231F20"/>
                    <w:sz w:val="18"/>
                  </w:rPr>
                  <w:t xml:space="preserve">321 </w:t>
                </w:r>
              </w:p>
            </w:txbxContent>
          </v:textbox>
          <w10:wrap anchorx="page" anchory="page"/>
        </v:shape>
      </w:pict>
    </w: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F29F8" w14:textId="77777777" w:rsidR="001008C3" w:rsidRDefault="00000000">
    <w:pPr>
      <w:pStyle w:val="a3"/>
      <w:spacing w:line="14" w:lineRule="auto"/>
    </w:pPr>
    <w:r>
      <w:rPr>
        <w:noProof w:val="0"/>
      </w:rPr>
      <w:pict w14:anchorId="2C77C50E">
        <v:shapetype id="_x0000_t202" coordsize="21600,21600" o:spt="202" path="m,l,21600r21600,l21600,xe">
          <v:stroke joinstyle="miter"/>
          <v:path gradientshapeok="t" o:connecttype="rect"/>
        </v:shapetype>
        <v:shape id="_x0000_s1383" type="#_x0000_t202" style="position:absolute;margin-left:56.4pt;margin-top:594.5pt;width:20.8pt;height:12.55pt;z-index:-455248;mso-position-horizontal-relative:page;mso-position-vertical-relative:page" filled="f" stroked="f">
          <v:textbox inset="0,0,0,0">
            <w:txbxContent>
              <w:p w14:paraId="36CA6DF2" w14:textId="77777777" w:rsidR="001008C3" w:rsidRDefault="001008C3">
                <w:pPr>
                  <w:spacing w:before="19"/>
                  <w:ind w:left="20"/>
                  <w:rPr>
                    <w:sz w:val="18"/>
                  </w:rPr>
                </w:pPr>
                <w:r>
                  <w:rPr>
                    <w:color w:val="231F20"/>
                    <w:sz w:val="18"/>
                  </w:rPr>
                  <w:t xml:space="preserve">322 </w:t>
                </w:r>
              </w:p>
            </w:txbxContent>
          </v:textbox>
          <w10:wrap anchorx="page" anchory="page"/>
        </v:shape>
      </w:pict>
    </w:r>
    <w:r>
      <w:rPr>
        <w:noProof w:val="0"/>
      </w:rPr>
      <w:pict w14:anchorId="09CF63A2">
        <v:shape id="_x0000_s1382" type="#_x0000_t202" style="position:absolute;margin-left:119.7pt;margin-top:594.5pt;width:247.9pt;height:12.55pt;z-index:-455224;mso-position-horizontal-relative:page;mso-position-vertical-relative:page" filled="f" stroked="f">
          <v:textbox inset="0,0,0,0">
            <w:txbxContent>
              <w:p w14:paraId="0EF741F5" w14:textId="77777777" w:rsidR="001008C3" w:rsidRDefault="001008C3">
                <w:pPr>
                  <w:tabs>
                    <w:tab w:val="left" w:pos="4708"/>
                  </w:tabs>
                  <w:spacing w:before="19"/>
                  <w:ind w:left="20"/>
                  <w:rPr>
                    <w:sz w:val="14"/>
                  </w:rPr>
                </w:pPr>
                <w:r>
                  <w:rPr>
                    <w:color w:val="231F20"/>
                    <w:spacing w:val="18"/>
                    <w:w w:val="115"/>
                    <w:sz w:val="18"/>
                  </w:rPr>
                  <w:t xml:space="preserve">staying  </w:t>
                </w:r>
                <w:r>
                  <w:rPr>
                    <w:color w:val="231F20"/>
                    <w:spacing w:val="20"/>
                    <w:w w:val="115"/>
                    <w:sz w:val="18"/>
                  </w:rPr>
                  <w:t xml:space="preserve">alive:  </w:t>
                </w:r>
                <w:r>
                  <w:rPr>
                    <w:color w:val="231F20"/>
                    <w:spacing w:val="15"/>
                    <w:w w:val="115"/>
                    <w:sz w:val="18"/>
                  </w:rPr>
                  <w:t xml:space="preserve">the  </w:t>
                </w:r>
                <w:r>
                  <w:rPr>
                    <w:color w:val="231F20"/>
                    <w:spacing w:val="20"/>
                    <w:w w:val="115"/>
                    <w:sz w:val="18"/>
                  </w:rPr>
                  <w:t xml:space="preserve">struggle </w:t>
                </w:r>
                <w:r>
                  <w:rPr>
                    <w:color w:val="231F20"/>
                    <w:spacing w:val="28"/>
                    <w:w w:val="115"/>
                    <w:sz w:val="18"/>
                  </w:rPr>
                  <w:t xml:space="preserve"> </w:t>
                </w:r>
                <w:r>
                  <w:rPr>
                    <w:color w:val="231F20"/>
                    <w:spacing w:val="20"/>
                    <w:w w:val="115"/>
                    <w:sz w:val="18"/>
                  </w:rPr>
                  <w:t xml:space="preserve">behind  </w:t>
                </w:r>
                <w:r>
                  <w:rPr>
                    <w:color w:val="231F20"/>
                    <w:spacing w:val="15"/>
                    <w:w w:val="115"/>
                    <w:sz w:val="18"/>
                  </w:rPr>
                  <w:t>bars</w:t>
                </w:r>
                <w:r>
                  <w:rPr>
                    <w:color w:val="231F20"/>
                    <w:spacing w:val="15"/>
                    <w:w w:val="115"/>
                    <w:sz w:val="18"/>
                  </w:rPr>
                  <w:tab/>
                </w:r>
                <w:r>
                  <w:rPr>
                    <w:color w:val="231F20"/>
                    <w:spacing w:val="11"/>
                    <w:w w:val="105"/>
                    <w:sz w:val="14"/>
                  </w:rPr>
                  <w:t>(7)</w:t>
                </w:r>
                <w:r>
                  <w:rPr>
                    <w:color w:val="231F20"/>
                    <w:spacing w:val="-12"/>
                    <w:sz w:val="14"/>
                  </w:rPr>
                  <w:t xml:space="preserve"> </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87BE5" w14:textId="77777777" w:rsidR="001008C3" w:rsidRDefault="00000000">
    <w:pPr>
      <w:pStyle w:val="a3"/>
      <w:spacing w:line="14" w:lineRule="auto"/>
    </w:pPr>
    <w:r>
      <w:rPr>
        <w:noProof w:val="0"/>
      </w:rPr>
      <w:pict w14:anchorId="56C5A3E5">
        <v:shapetype id="_x0000_t202" coordsize="21600,21600" o:spt="202" path="m,l,21600r21600,l21600,xe">
          <v:stroke joinstyle="miter"/>
          <v:path gradientshapeok="t" o:connecttype="rect"/>
        </v:shapetype>
        <v:shape id="_x0000_s1717" type="#_x0000_t202" style="position:absolute;margin-left:55.4pt;margin-top:594.5pt;width:9.05pt;height:12.55pt;z-index:-463264;mso-position-horizontal-relative:page;mso-position-vertical-relative:page" filled="f" stroked="f">
          <v:textbox inset="0,0,0,0">
            <w:txbxContent>
              <w:p w14:paraId="387AA317"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w:t>
                </w:r>
                <w:r>
                  <w:fldChar w:fldCharType="end"/>
                </w:r>
              </w:p>
            </w:txbxContent>
          </v:textbox>
          <w10:wrap anchorx="page" anchory="page"/>
        </v:shape>
      </w:pict>
    </w: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8E12F" w14:textId="77777777" w:rsidR="001008C3" w:rsidRDefault="00000000">
    <w:pPr>
      <w:pStyle w:val="a3"/>
      <w:spacing w:line="14" w:lineRule="auto"/>
    </w:pPr>
    <w:r>
      <w:rPr>
        <w:noProof w:val="0"/>
      </w:rPr>
      <w:pict w14:anchorId="742E0482">
        <v:shapetype id="_x0000_t202" coordsize="21600,21600" o:spt="202" path="m,l,21600r21600,l21600,xe">
          <v:stroke joinstyle="miter"/>
          <v:path gradientshapeok="t" o:connecttype="rect"/>
        </v:shapetype>
        <v:shape id="_x0000_s1381" type="#_x0000_t202" style="position:absolute;margin-left:65.4pt;margin-top:594.5pt;width:217.1pt;height:12.55pt;z-index:-455200;mso-position-horizontal-relative:page;mso-position-vertical-relative:page" filled="f" stroked="f">
          <v:textbox inset="0,0,0,0">
            <w:txbxContent>
              <w:p w14:paraId="1D2FBCE0" w14:textId="77777777" w:rsidR="001008C3" w:rsidRDefault="001008C3">
                <w:pPr>
                  <w:spacing w:before="19"/>
                  <w:ind w:left="20"/>
                  <w:rPr>
                    <w:sz w:val="18"/>
                  </w:rPr>
                </w:pPr>
                <w:r>
                  <w:rPr>
                    <w:color w:val="231F20"/>
                    <w:w w:val="115"/>
                    <w:sz w:val="18"/>
                  </w:rPr>
                  <w:t>june 1975 • baader regarding torture</w:t>
                </w:r>
                <w:r>
                  <w:rPr>
                    <w:color w:val="231F20"/>
                    <w:sz w:val="18"/>
                  </w:rPr>
                  <w:t xml:space="preserve"> </w:t>
                </w:r>
              </w:p>
            </w:txbxContent>
          </v:textbox>
          <w10:wrap anchorx="page" anchory="page"/>
        </v:shape>
      </w:pict>
    </w:r>
    <w:r>
      <w:rPr>
        <w:noProof w:val="0"/>
      </w:rPr>
      <w:pict w14:anchorId="246FD415">
        <v:shape id="_x0000_s1380" type="#_x0000_t202" style="position:absolute;margin-left:356.1pt;margin-top:594.5pt;width:20.8pt;height:12.55pt;z-index:-455176;mso-position-horizontal-relative:page;mso-position-vertical-relative:page" filled="f" stroked="f">
          <v:textbox inset="0,0,0,0">
            <w:txbxContent>
              <w:p w14:paraId="451B8FB6" w14:textId="77777777" w:rsidR="001008C3" w:rsidRDefault="001008C3">
                <w:pPr>
                  <w:spacing w:before="19"/>
                  <w:ind w:left="20"/>
                  <w:rPr>
                    <w:sz w:val="18"/>
                  </w:rPr>
                </w:pPr>
                <w:r>
                  <w:rPr>
                    <w:color w:val="231F20"/>
                    <w:sz w:val="18"/>
                  </w:rPr>
                  <w:t xml:space="preserve">323 </w:t>
                </w:r>
              </w:p>
            </w:txbxContent>
          </v:textbox>
          <w10:wrap anchorx="page" anchory="page"/>
        </v:shape>
      </w:pict>
    </w: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D0EDF" w14:textId="77777777" w:rsidR="001008C3" w:rsidRDefault="001008C3">
    <w:pPr>
      <w:pStyle w:val="a3"/>
      <w:spacing w:line="14" w:lineRule="auto"/>
      <w:rPr>
        <w:sz w:val="2"/>
      </w:rPr>
    </w:pP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CEF87" w14:textId="77777777" w:rsidR="001008C3" w:rsidRDefault="00000000">
    <w:pPr>
      <w:pStyle w:val="a3"/>
      <w:spacing w:line="14" w:lineRule="auto"/>
    </w:pPr>
    <w:r>
      <w:rPr>
        <w:noProof w:val="0"/>
      </w:rPr>
      <w:pict w14:anchorId="7127EFFC">
        <v:shapetype id="_x0000_t202" coordsize="21600,21600" o:spt="202" path="m,l,21600r21600,l21600,xe">
          <v:stroke joinstyle="miter"/>
          <v:path gradientshapeok="t" o:connecttype="rect"/>
        </v:shapetype>
        <v:shape id="_x0000_s1378" type="#_x0000_t202" style="position:absolute;margin-left:55.4pt;margin-top:594.5pt;width:22.8pt;height:12.55pt;z-index:-455128;mso-position-horizontal-relative:page;mso-position-vertical-relative:page" filled="f" stroked="f">
          <v:textbox inset="0,0,0,0">
            <w:txbxContent>
              <w:p w14:paraId="3B9A7B66"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326</w:t>
                </w:r>
                <w:r>
                  <w:fldChar w:fldCharType="end"/>
                </w:r>
                <w:r>
                  <w:rPr>
                    <w:color w:val="231F20"/>
                    <w:sz w:val="18"/>
                  </w:rPr>
                  <w:t xml:space="preserve"> </w:t>
                </w:r>
              </w:p>
            </w:txbxContent>
          </v:textbox>
          <w10:wrap anchorx="page" anchory="page"/>
        </v:shape>
      </w:pict>
    </w:r>
    <w:r>
      <w:rPr>
        <w:noProof w:val="0"/>
      </w:rPr>
      <w:pict w14:anchorId="242E85E4">
        <v:shape id="_x0000_s1377" type="#_x0000_t202" style="position:absolute;margin-left:220.5pt;margin-top:594.5pt;width:147.1pt;height:12.55pt;z-index:-455104;mso-position-horizontal-relative:page;mso-position-vertical-relative:page" filled="f" stroked="f">
          <v:textbox inset="0,0,0,0">
            <w:txbxContent>
              <w:p w14:paraId="3D8D66E2" w14:textId="77777777" w:rsidR="001008C3" w:rsidRDefault="001008C3">
                <w:pPr>
                  <w:tabs>
                    <w:tab w:val="left" w:pos="2692"/>
                  </w:tabs>
                  <w:spacing w:before="19"/>
                  <w:ind w:left="20"/>
                  <w:rPr>
                    <w:sz w:val="14"/>
                  </w:rPr>
                </w:pPr>
                <w:r>
                  <w:rPr>
                    <w:color w:val="231F20"/>
                    <w:spacing w:val="15"/>
                    <w:w w:val="115"/>
                    <w:sz w:val="18"/>
                  </w:rPr>
                  <w:t xml:space="preserve">the </w:t>
                </w:r>
                <w:r>
                  <w:rPr>
                    <w:color w:val="231F20"/>
                    <w:spacing w:val="41"/>
                    <w:w w:val="115"/>
                    <w:sz w:val="18"/>
                  </w:rPr>
                  <w:t xml:space="preserve"> </w:t>
                </w:r>
                <w:r>
                  <w:rPr>
                    <w:color w:val="231F20"/>
                    <w:spacing w:val="20"/>
                    <w:w w:val="115"/>
                    <w:sz w:val="18"/>
                  </w:rPr>
                  <w:t xml:space="preserve">stockholm </w:t>
                </w:r>
                <w:r>
                  <w:rPr>
                    <w:color w:val="231F20"/>
                    <w:spacing w:val="36"/>
                    <w:w w:val="115"/>
                    <w:sz w:val="18"/>
                  </w:rPr>
                  <w:t xml:space="preserve"> </w:t>
                </w:r>
                <w:r>
                  <w:rPr>
                    <w:color w:val="231F20"/>
                    <w:spacing w:val="20"/>
                    <w:w w:val="115"/>
                    <w:sz w:val="18"/>
                  </w:rPr>
                  <w:t>action</w:t>
                </w:r>
                <w:r>
                  <w:rPr>
                    <w:color w:val="231F20"/>
                    <w:spacing w:val="20"/>
                    <w:w w:val="115"/>
                    <w:sz w:val="18"/>
                  </w:rPr>
                  <w:tab/>
                </w:r>
                <w:r>
                  <w:rPr>
                    <w:color w:val="231F20"/>
                    <w:spacing w:val="11"/>
                    <w:w w:val="105"/>
                    <w:sz w:val="14"/>
                  </w:rPr>
                  <w:t>(8)</w:t>
                </w:r>
                <w:r>
                  <w:rPr>
                    <w:color w:val="231F20"/>
                    <w:spacing w:val="-12"/>
                    <w:sz w:val="14"/>
                  </w:rPr>
                  <w:t xml:space="preserve"> </w:t>
                </w:r>
              </w:p>
            </w:txbxContent>
          </v:textbox>
          <w10:wrap anchorx="page" anchory="page"/>
        </v:shape>
      </w:pic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AC7A" w14:textId="77777777" w:rsidR="001008C3" w:rsidRDefault="00000000">
    <w:pPr>
      <w:pStyle w:val="a3"/>
      <w:spacing w:line="14" w:lineRule="auto"/>
    </w:pPr>
    <w:r>
      <w:rPr>
        <w:noProof w:val="0"/>
      </w:rPr>
      <w:pict w14:anchorId="27D352AC">
        <v:shapetype id="_x0000_t202" coordsize="21600,21600" o:spt="202" path="m,l,21600r21600,l21600,xe">
          <v:stroke joinstyle="miter"/>
          <v:path gradientshapeok="t" o:connecttype="rect"/>
        </v:shapetype>
        <v:shape id="_x0000_s1379" type="#_x0000_t202" style="position:absolute;margin-left:355.1pt;margin-top:594.5pt;width:22.8pt;height:12.55pt;z-index:-455152;mso-position-horizontal-relative:page;mso-position-vertical-relative:page" filled="f" stroked="f">
          <v:textbox inset="0,0,0,0">
            <w:txbxContent>
              <w:p w14:paraId="3D4778FB"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325</w:t>
                </w:r>
                <w:r>
                  <w:fldChar w:fldCharType="end"/>
                </w:r>
                <w:r>
                  <w:rPr>
                    <w:color w:val="231F20"/>
                    <w:sz w:val="18"/>
                  </w:rPr>
                  <w:t xml:space="preserve"> </w:t>
                </w:r>
              </w:p>
            </w:txbxContent>
          </v:textbox>
          <w10:wrap anchorx="page" anchory="page"/>
        </v:shape>
      </w:pict>
    </w: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9929C" w14:textId="77777777" w:rsidR="001008C3" w:rsidRDefault="00000000">
    <w:pPr>
      <w:pStyle w:val="a3"/>
      <w:spacing w:line="14" w:lineRule="auto"/>
    </w:pPr>
    <w:r>
      <w:rPr>
        <w:noProof w:val="0"/>
      </w:rPr>
      <w:pict w14:anchorId="711757F7">
        <v:shapetype id="_x0000_t202" coordsize="21600,21600" o:spt="202" path="m,l,21600r21600,l21600,xe">
          <v:stroke joinstyle="miter"/>
          <v:path gradientshapeok="t" o:connecttype="rect"/>
        </v:shapetype>
        <v:shape id="_x0000_s1374" type="#_x0000_t202" style="position:absolute;margin-left:55.4pt;margin-top:594.5pt;width:22.8pt;height:12.55pt;z-index:-455032;mso-position-horizontal-relative:page;mso-position-vertical-relative:page" filled="f" stroked="f">
          <v:textbox inset="0,0,0,0">
            <w:txbxContent>
              <w:p w14:paraId="629FAC67"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328</w:t>
                </w:r>
                <w:r>
                  <w:fldChar w:fldCharType="end"/>
                </w:r>
                <w:r>
                  <w:rPr>
                    <w:color w:val="231F20"/>
                    <w:sz w:val="18"/>
                  </w:rPr>
                  <w:t xml:space="preserve"> </w:t>
                </w:r>
              </w:p>
            </w:txbxContent>
          </v:textbox>
          <w10:wrap anchorx="page" anchory="page"/>
        </v:shape>
      </w:pict>
    </w:r>
    <w:r>
      <w:rPr>
        <w:noProof w:val="0"/>
      </w:rPr>
      <w:pict w14:anchorId="27968383">
        <v:shape id="_x0000_s1373" type="#_x0000_t202" style="position:absolute;margin-left:220.5pt;margin-top:594.5pt;width:147.1pt;height:12.55pt;z-index:-455008;mso-position-horizontal-relative:page;mso-position-vertical-relative:page" filled="f" stroked="f">
          <v:textbox inset="0,0,0,0">
            <w:txbxContent>
              <w:p w14:paraId="4E2B3406" w14:textId="77777777" w:rsidR="001008C3" w:rsidRDefault="001008C3">
                <w:pPr>
                  <w:tabs>
                    <w:tab w:val="left" w:pos="2692"/>
                  </w:tabs>
                  <w:spacing w:before="19"/>
                  <w:ind w:left="20"/>
                  <w:rPr>
                    <w:sz w:val="14"/>
                  </w:rPr>
                </w:pPr>
                <w:r>
                  <w:rPr>
                    <w:color w:val="231F20"/>
                    <w:spacing w:val="15"/>
                    <w:w w:val="115"/>
                    <w:sz w:val="18"/>
                  </w:rPr>
                  <w:t xml:space="preserve">the </w:t>
                </w:r>
                <w:r>
                  <w:rPr>
                    <w:color w:val="231F20"/>
                    <w:spacing w:val="41"/>
                    <w:w w:val="115"/>
                    <w:sz w:val="18"/>
                  </w:rPr>
                  <w:t xml:space="preserve"> </w:t>
                </w:r>
                <w:r>
                  <w:rPr>
                    <w:color w:val="231F20"/>
                    <w:spacing w:val="20"/>
                    <w:w w:val="115"/>
                    <w:sz w:val="18"/>
                  </w:rPr>
                  <w:t xml:space="preserve">stockholm </w:t>
                </w:r>
                <w:r>
                  <w:rPr>
                    <w:color w:val="231F20"/>
                    <w:spacing w:val="36"/>
                    <w:w w:val="115"/>
                    <w:sz w:val="18"/>
                  </w:rPr>
                  <w:t xml:space="preserve"> </w:t>
                </w:r>
                <w:r>
                  <w:rPr>
                    <w:color w:val="231F20"/>
                    <w:spacing w:val="20"/>
                    <w:w w:val="115"/>
                    <w:sz w:val="18"/>
                  </w:rPr>
                  <w:t>action</w:t>
                </w:r>
                <w:r>
                  <w:rPr>
                    <w:color w:val="231F20"/>
                    <w:spacing w:val="20"/>
                    <w:w w:val="115"/>
                    <w:sz w:val="18"/>
                  </w:rPr>
                  <w:tab/>
                </w:r>
                <w:r>
                  <w:rPr>
                    <w:color w:val="231F20"/>
                    <w:spacing w:val="11"/>
                    <w:w w:val="105"/>
                    <w:sz w:val="14"/>
                  </w:rPr>
                  <w:t>(8)</w:t>
                </w:r>
                <w:r>
                  <w:rPr>
                    <w:color w:val="231F20"/>
                    <w:spacing w:val="-12"/>
                    <w:sz w:val="14"/>
                  </w:rPr>
                  <w:t xml:space="preserve"> </w:t>
                </w:r>
              </w:p>
            </w:txbxContent>
          </v:textbox>
          <w10:wrap anchorx="page" anchory="page"/>
        </v:shape>
      </w:pict>
    </w: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4262B" w14:textId="77777777" w:rsidR="001008C3" w:rsidRDefault="00000000">
    <w:pPr>
      <w:pStyle w:val="a3"/>
      <w:spacing w:line="14" w:lineRule="auto"/>
    </w:pPr>
    <w:r>
      <w:rPr>
        <w:noProof w:val="0"/>
      </w:rPr>
      <w:pict w14:anchorId="543FF7E7">
        <v:shapetype id="_x0000_t202" coordsize="21600,21600" o:spt="202" path="m,l,21600r21600,l21600,xe">
          <v:stroke joinstyle="miter"/>
          <v:path gradientshapeok="t" o:connecttype="rect"/>
        </v:shapetype>
        <v:shape id="_x0000_s1376" type="#_x0000_t202" style="position:absolute;margin-left:65.4pt;margin-top:594.5pt;width:116.6pt;height:12.55pt;z-index:-455080;mso-position-horizontal-relative:page;mso-position-vertical-relative:page" filled="f" stroked="f">
          <v:textbox inset="0,0,0,0">
            <w:txbxContent>
              <w:p w14:paraId="0DD8C317"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3516456A">
        <v:shape id="_x0000_s1375" type="#_x0000_t202" style="position:absolute;margin-left:355.1pt;margin-top:594.5pt;width:22.8pt;height:12.55pt;z-index:-455056;mso-position-horizontal-relative:page;mso-position-vertical-relative:page" filled="f" stroked="f">
          <v:textbox inset="0,0,0,0">
            <w:txbxContent>
              <w:p w14:paraId="3C11ADA2"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327</w:t>
                </w:r>
                <w:r>
                  <w:fldChar w:fldCharType="end"/>
                </w:r>
                <w:r>
                  <w:rPr>
                    <w:color w:val="231F20"/>
                    <w:sz w:val="18"/>
                  </w:rPr>
                  <w:t xml:space="preserve"> </w:t>
                </w:r>
              </w:p>
            </w:txbxContent>
          </v:textbox>
          <w10:wrap anchorx="page" anchory="page"/>
        </v:shape>
      </w:pic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09D8" w14:textId="77777777" w:rsidR="001008C3" w:rsidRDefault="00000000">
    <w:pPr>
      <w:pStyle w:val="a3"/>
      <w:spacing w:line="14" w:lineRule="auto"/>
    </w:pPr>
    <w:r>
      <w:rPr>
        <w:noProof w:val="0"/>
      </w:rPr>
      <w:pict w14:anchorId="3271CDF3">
        <v:line id="_x0000_s1370" style="position:absolute;z-index:-454936;mso-position-horizontal-relative:page;mso-position-vertical-relative:page" from="66.4pt,478.9pt" to="138.4pt,478.9pt" strokecolor="#231f20" strokeweight=".5pt">
          <w10:wrap anchorx="page" anchory="page"/>
        </v:line>
      </w:pict>
    </w:r>
    <w:r>
      <w:rPr>
        <w:noProof w:val="0"/>
      </w:rPr>
      <w:pict w14:anchorId="52F69FF8">
        <v:shapetype id="_x0000_t202" coordsize="21600,21600" o:spt="202" path="m,l,21600r21600,l21600,xe">
          <v:stroke joinstyle="miter"/>
          <v:path gradientshapeok="t" o:connecttype="rect"/>
        </v:shapetype>
        <v:shape id="_x0000_s1369" type="#_x0000_t202" style="position:absolute;margin-left:65.4pt;margin-top:594.5pt;width:116.6pt;height:12.55pt;z-index:-454912;mso-position-horizontal-relative:page;mso-position-vertical-relative:page" filled="f" stroked="f">
          <v:textbox inset="0,0,0,0">
            <w:txbxContent>
              <w:p w14:paraId="4539FEBF"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5A63CBE0">
        <v:shape id="_x0000_s1368" type="#_x0000_t202" style="position:absolute;margin-left:356.1pt;margin-top:594.5pt;width:20.8pt;height:12.55pt;z-index:-454888;mso-position-horizontal-relative:page;mso-position-vertical-relative:page" filled="f" stroked="f">
          <v:textbox inset="0,0,0,0">
            <w:txbxContent>
              <w:p w14:paraId="4F27DA5C" w14:textId="77777777" w:rsidR="001008C3" w:rsidRDefault="001008C3">
                <w:pPr>
                  <w:spacing w:before="19"/>
                  <w:ind w:left="20"/>
                  <w:rPr>
                    <w:sz w:val="18"/>
                  </w:rPr>
                </w:pPr>
                <w:r>
                  <w:rPr>
                    <w:color w:val="231F20"/>
                    <w:sz w:val="18"/>
                  </w:rPr>
                  <w:t xml:space="preserve">331 </w:t>
                </w:r>
              </w:p>
            </w:txbxContent>
          </v:textbox>
          <w10:wrap anchorx="page" anchory="page"/>
        </v:shape>
      </w:pict>
    </w: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F36C" w14:textId="77777777" w:rsidR="001008C3" w:rsidRDefault="00000000">
    <w:pPr>
      <w:pStyle w:val="a3"/>
      <w:spacing w:line="14" w:lineRule="auto"/>
    </w:pPr>
    <w:r>
      <w:rPr>
        <w:noProof w:val="0"/>
      </w:rPr>
      <w:pict w14:anchorId="419147F6">
        <v:shapetype id="_x0000_t202" coordsize="21600,21600" o:spt="202" path="m,l,21600r21600,l21600,xe">
          <v:stroke joinstyle="miter"/>
          <v:path gradientshapeok="t" o:connecttype="rect"/>
        </v:shapetype>
        <v:shape id="_x0000_s1372" type="#_x0000_t202" style="position:absolute;margin-left:56.4pt;margin-top:594.5pt;width:20.8pt;height:12.55pt;z-index:-454984;mso-position-horizontal-relative:page;mso-position-vertical-relative:page" filled="f" stroked="f">
          <v:textbox inset="0,0,0,0">
            <w:txbxContent>
              <w:p w14:paraId="2345D994" w14:textId="77777777" w:rsidR="001008C3" w:rsidRDefault="001008C3">
                <w:pPr>
                  <w:spacing w:before="19"/>
                  <w:ind w:left="20"/>
                  <w:rPr>
                    <w:sz w:val="18"/>
                  </w:rPr>
                </w:pPr>
                <w:r>
                  <w:rPr>
                    <w:color w:val="231F20"/>
                    <w:sz w:val="18"/>
                  </w:rPr>
                  <w:t xml:space="preserve">330 </w:t>
                </w:r>
              </w:p>
            </w:txbxContent>
          </v:textbox>
          <w10:wrap anchorx="page" anchory="page"/>
        </v:shape>
      </w:pict>
    </w:r>
    <w:r>
      <w:rPr>
        <w:noProof w:val="0"/>
      </w:rPr>
      <w:pict w14:anchorId="7D827E4E">
        <v:shape id="_x0000_s1371" type="#_x0000_t202" style="position:absolute;margin-left:220.5pt;margin-top:594.5pt;width:147.1pt;height:12.55pt;z-index:-454960;mso-position-horizontal-relative:page;mso-position-vertical-relative:page" filled="f" stroked="f">
          <v:textbox inset="0,0,0,0">
            <w:txbxContent>
              <w:p w14:paraId="51649577" w14:textId="77777777" w:rsidR="001008C3" w:rsidRDefault="001008C3">
                <w:pPr>
                  <w:tabs>
                    <w:tab w:val="left" w:pos="2692"/>
                  </w:tabs>
                  <w:spacing w:before="19"/>
                  <w:ind w:left="20"/>
                  <w:rPr>
                    <w:sz w:val="14"/>
                  </w:rPr>
                </w:pPr>
                <w:r>
                  <w:rPr>
                    <w:color w:val="231F20"/>
                    <w:spacing w:val="15"/>
                    <w:w w:val="115"/>
                    <w:sz w:val="18"/>
                  </w:rPr>
                  <w:t xml:space="preserve">the </w:t>
                </w:r>
                <w:r>
                  <w:rPr>
                    <w:color w:val="231F20"/>
                    <w:spacing w:val="41"/>
                    <w:w w:val="115"/>
                    <w:sz w:val="18"/>
                  </w:rPr>
                  <w:t xml:space="preserve"> </w:t>
                </w:r>
                <w:r>
                  <w:rPr>
                    <w:color w:val="231F20"/>
                    <w:spacing w:val="20"/>
                    <w:w w:val="115"/>
                    <w:sz w:val="18"/>
                  </w:rPr>
                  <w:t xml:space="preserve">stockholm </w:t>
                </w:r>
                <w:r>
                  <w:rPr>
                    <w:color w:val="231F20"/>
                    <w:spacing w:val="36"/>
                    <w:w w:val="115"/>
                    <w:sz w:val="18"/>
                  </w:rPr>
                  <w:t xml:space="preserve"> </w:t>
                </w:r>
                <w:r>
                  <w:rPr>
                    <w:color w:val="231F20"/>
                    <w:spacing w:val="20"/>
                    <w:w w:val="115"/>
                    <w:sz w:val="18"/>
                  </w:rPr>
                  <w:t>action</w:t>
                </w:r>
                <w:r>
                  <w:rPr>
                    <w:color w:val="231F20"/>
                    <w:spacing w:val="20"/>
                    <w:w w:val="115"/>
                    <w:sz w:val="18"/>
                  </w:rPr>
                  <w:tab/>
                </w:r>
                <w:r>
                  <w:rPr>
                    <w:color w:val="231F20"/>
                    <w:spacing w:val="11"/>
                    <w:w w:val="105"/>
                    <w:sz w:val="14"/>
                  </w:rPr>
                  <w:t>(8)</w:t>
                </w:r>
                <w:r>
                  <w:rPr>
                    <w:color w:val="231F20"/>
                    <w:spacing w:val="-12"/>
                    <w:sz w:val="14"/>
                  </w:rPr>
                  <w:t xml:space="preserve"> </w:t>
                </w:r>
              </w:p>
            </w:txbxContent>
          </v:textbox>
          <w10:wrap anchorx="page" anchory="page"/>
        </v:shape>
      </w:pict>
    </w: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B7744" w14:textId="77777777" w:rsidR="001008C3" w:rsidRDefault="00000000">
    <w:pPr>
      <w:pStyle w:val="a3"/>
      <w:spacing w:line="14" w:lineRule="auto"/>
    </w:pPr>
    <w:r>
      <w:rPr>
        <w:noProof w:val="0"/>
      </w:rPr>
      <w:pict w14:anchorId="123483A7">
        <v:shapetype id="_x0000_t202" coordsize="21600,21600" o:spt="202" path="m,l,21600r21600,l21600,xe">
          <v:stroke joinstyle="miter"/>
          <v:path gradientshapeok="t" o:connecttype="rect"/>
        </v:shapetype>
        <v:shape id="_x0000_s1367" type="#_x0000_t202" style="position:absolute;margin-left:55.4pt;margin-top:594.5pt;width:22.8pt;height:12.55pt;z-index:-454864;mso-position-horizontal-relative:page;mso-position-vertical-relative:page" filled="f" stroked="f">
          <v:textbox inset="0,0,0,0">
            <w:txbxContent>
              <w:p w14:paraId="5AEC3465"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332</w:t>
                </w:r>
                <w:r>
                  <w:fldChar w:fldCharType="end"/>
                </w:r>
                <w:r>
                  <w:rPr>
                    <w:color w:val="231F20"/>
                    <w:sz w:val="18"/>
                  </w:rPr>
                  <w:t xml:space="preserve"> </w:t>
                </w:r>
              </w:p>
            </w:txbxContent>
          </v:textbox>
          <w10:wrap anchorx="page" anchory="page"/>
        </v:shape>
      </w:pict>
    </w:r>
    <w:r>
      <w:rPr>
        <w:noProof w:val="0"/>
      </w:rPr>
      <w:pict w14:anchorId="03AB6754">
        <v:shape id="_x0000_s1366" type="#_x0000_t202" style="position:absolute;margin-left:220.5pt;margin-top:594.5pt;width:147.1pt;height:12.55pt;z-index:-454840;mso-position-horizontal-relative:page;mso-position-vertical-relative:page" filled="f" stroked="f">
          <v:textbox inset="0,0,0,0">
            <w:txbxContent>
              <w:p w14:paraId="30C86DD5" w14:textId="77777777" w:rsidR="001008C3" w:rsidRDefault="001008C3">
                <w:pPr>
                  <w:tabs>
                    <w:tab w:val="left" w:pos="2692"/>
                  </w:tabs>
                  <w:spacing w:before="19"/>
                  <w:ind w:left="20"/>
                  <w:rPr>
                    <w:sz w:val="14"/>
                  </w:rPr>
                </w:pPr>
                <w:r>
                  <w:rPr>
                    <w:color w:val="231F20"/>
                    <w:spacing w:val="15"/>
                    <w:w w:val="115"/>
                    <w:sz w:val="18"/>
                  </w:rPr>
                  <w:t xml:space="preserve">the </w:t>
                </w:r>
                <w:r>
                  <w:rPr>
                    <w:color w:val="231F20"/>
                    <w:spacing w:val="41"/>
                    <w:w w:val="115"/>
                    <w:sz w:val="18"/>
                  </w:rPr>
                  <w:t xml:space="preserve"> </w:t>
                </w:r>
                <w:r>
                  <w:rPr>
                    <w:color w:val="231F20"/>
                    <w:spacing w:val="20"/>
                    <w:w w:val="115"/>
                    <w:sz w:val="18"/>
                  </w:rPr>
                  <w:t xml:space="preserve">stockholm </w:t>
                </w:r>
                <w:r>
                  <w:rPr>
                    <w:color w:val="231F20"/>
                    <w:spacing w:val="36"/>
                    <w:w w:val="115"/>
                    <w:sz w:val="18"/>
                  </w:rPr>
                  <w:t xml:space="preserve"> </w:t>
                </w:r>
                <w:r>
                  <w:rPr>
                    <w:color w:val="231F20"/>
                    <w:spacing w:val="20"/>
                    <w:w w:val="115"/>
                    <w:sz w:val="18"/>
                  </w:rPr>
                  <w:t>action</w:t>
                </w:r>
                <w:r>
                  <w:rPr>
                    <w:color w:val="231F20"/>
                    <w:spacing w:val="20"/>
                    <w:w w:val="115"/>
                    <w:sz w:val="18"/>
                  </w:rPr>
                  <w:tab/>
                </w:r>
                <w:r>
                  <w:rPr>
                    <w:color w:val="231F20"/>
                    <w:spacing w:val="11"/>
                    <w:w w:val="105"/>
                    <w:sz w:val="14"/>
                  </w:rPr>
                  <w:t>(8)</w:t>
                </w:r>
                <w:r>
                  <w:rPr>
                    <w:color w:val="231F20"/>
                    <w:spacing w:val="-12"/>
                    <w:sz w:val="14"/>
                  </w:rPr>
                  <w:t xml:space="preserve"> </w:t>
                </w:r>
              </w:p>
            </w:txbxContent>
          </v:textbox>
          <w10:wrap anchorx="page" anchory="page"/>
        </v:shape>
      </w:pic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62B7A" w14:textId="77777777" w:rsidR="001008C3" w:rsidRDefault="00000000">
    <w:pPr>
      <w:pStyle w:val="a3"/>
      <w:spacing w:line="14" w:lineRule="auto"/>
    </w:pPr>
    <w:r>
      <w:rPr>
        <w:noProof w:val="0"/>
      </w:rPr>
      <w:pict w14:anchorId="61A7A3D5">
        <v:shapetype id="_x0000_t202" coordsize="21600,21600" o:spt="202" path="m,l,21600r21600,l21600,xe">
          <v:stroke joinstyle="miter"/>
          <v:path gradientshapeok="t" o:connecttype="rect"/>
        </v:shapetype>
        <v:shape id="_x0000_s1365" type="#_x0000_t202" style="position:absolute;margin-left:65.4pt;margin-top:594.5pt;width:116.6pt;height:12.55pt;z-index:-454816;mso-position-horizontal-relative:page;mso-position-vertical-relative:page" filled="f" stroked="f">
          <v:textbox inset="0,0,0,0">
            <w:txbxContent>
              <w:p w14:paraId="38B818A7"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7745038F">
        <v:shape id="_x0000_s1364" type="#_x0000_t202" style="position:absolute;margin-left:355.1pt;margin-top:594.5pt;width:22.8pt;height:12.55pt;z-index:-454792;mso-position-horizontal-relative:page;mso-position-vertical-relative:page" filled="f" stroked="f">
          <v:textbox inset="0,0,0,0">
            <w:txbxContent>
              <w:p w14:paraId="7284F7F7"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333</w:t>
                </w:r>
                <w:r>
                  <w:fldChar w:fldCharType="end"/>
                </w:r>
                <w:r>
                  <w:rPr>
                    <w:color w:val="231F20"/>
                    <w:sz w:val="18"/>
                  </w:rPr>
                  <w:t xml:space="preserve"> </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8E612" w14:textId="77777777" w:rsidR="001008C3" w:rsidRDefault="00000000">
    <w:pPr>
      <w:pStyle w:val="a3"/>
      <w:spacing w:line="14" w:lineRule="auto"/>
    </w:pPr>
    <w:r>
      <w:rPr>
        <w:noProof w:val="0"/>
      </w:rPr>
      <w:pict w14:anchorId="695DA49B">
        <v:shapetype id="_x0000_t202" coordsize="21600,21600" o:spt="202" path="m,l,21600r21600,l21600,xe">
          <v:stroke joinstyle="miter"/>
          <v:path gradientshapeok="t" o:connecttype="rect"/>
        </v:shapetype>
        <v:shape id="_x0000_s1732" type="#_x0000_t202" style="position:absolute;margin-left:56.4pt;margin-top:594.5pt;width:18.75pt;height:12.55pt;z-index:-463624;mso-position-horizontal-relative:page;mso-position-vertical-relative:page" filled="f" stroked="f">
          <v:textbox inset="0,0,0,0">
            <w:txbxContent>
              <w:p w14:paraId="65A4669C" w14:textId="77777777" w:rsidR="001008C3" w:rsidRDefault="001008C3">
                <w:pPr>
                  <w:spacing w:before="19"/>
                  <w:ind w:left="20"/>
                  <w:rPr>
                    <w:sz w:val="18"/>
                  </w:rPr>
                </w:pPr>
                <w:r>
                  <w:rPr>
                    <w:color w:val="231F20"/>
                    <w:w w:val="115"/>
                    <w:sz w:val="18"/>
                  </w:rPr>
                  <w:t>xiv</w:t>
                </w:r>
                <w:r>
                  <w:rPr>
                    <w:color w:val="231F20"/>
                    <w:sz w:val="18"/>
                  </w:rPr>
                  <w:t xml:space="preserve"> </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5B610" w14:textId="77777777" w:rsidR="001008C3" w:rsidRDefault="00000000">
    <w:pPr>
      <w:pStyle w:val="a3"/>
      <w:spacing w:line="14" w:lineRule="auto"/>
    </w:pPr>
    <w:r>
      <w:rPr>
        <w:noProof w:val="0"/>
      </w:rPr>
      <w:pict w14:anchorId="772D5CC8">
        <v:shapetype id="_x0000_t202" coordsize="21600,21600" o:spt="202" path="m,l,21600r21600,l21600,xe">
          <v:stroke joinstyle="miter"/>
          <v:path gradientshapeok="t" o:connecttype="rect"/>
        </v:shapetype>
        <v:shape id="_x0000_s1716" type="#_x0000_t202" style="position:absolute;margin-left:367.6pt;margin-top:594.5pt;width:9.05pt;height:12.55pt;z-index:-463240;mso-position-horizontal-relative:page;mso-position-vertical-relative:page" filled="f" stroked="f">
          <v:textbox inset="0,0,0,0">
            <w:txbxContent>
              <w:p w14:paraId="5BBD9D44"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w:t>
                </w:r>
                <w:r>
                  <w:fldChar w:fldCharType="end"/>
                </w:r>
              </w:p>
            </w:txbxContent>
          </v:textbox>
          <w10:wrap anchorx="page" anchory="page"/>
        </v:shape>
      </w:pict>
    </w: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637D7" w14:textId="77777777" w:rsidR="001008C3" w:rsidRDefault="00000000">
    <w:pPr>
      <w:pStyle w:val="a3"/>
      <w:spacing w:line="14" w:lineRule="auto"/>
    </w:pPr>
    <w:r>
      <w:rPr>
        <w:noProof w:val="0"/>
      </w:rPr>
      <w:pict w14:anchorId="2DA67558">
        <v:shapetype id="_x0000_t202" coordsize="21600,21600" o:spt="202" path="m,l,21600r21600,l21600,xe">
          <v:stroke joinstyle="miter"/>
          <v:path gradientshapeok="t" o:connecttype="rect"/>
        </v:shapetype>
        <v:shape id="_x0000_s1361" type="#_x0000_t202" style="position:absolute;margin-left:56.4pt;margin-top:594.5pt;width:20.8pt;height:12.55pt;z-index:-454720;mso-position-horizontal-relative:page;mso-position-vertical-relative:page" filled="f" stroked="f">
          <v:textbox inset="0,0,0,0">
            <w:txbxContent>
              <w:p w14:paraId="42391A7E" w14:textId="77777777" w:rsidR="001008C3" w:rsidRDefault="001008C3">
                <w:pPr>
                  <w:spacing w:before="19"/>
                  <w:ind w:left="20"/>
                  <w:rPr>
                    <w:sz w:val="18"/>
                  </w:rPr>
                </w:pPr>
                <w:r>
                  <w:rPr>
                    <w:color w:val="231F20"/>
                    <w:sz w:val="18"/>
                  </w:rPr>
                  <w:t xml:space="preserve">340 </w:t>
                </w:r>
              </w:p>
            </w:txbxContent>
          </v:textbox>
          <w10:wrap anchorx="page" anchory="page"/>
        </v:shape>
      </w:pict>
    </w:r>
    <w:r>
      <w:rPr>
        <w:noProof w:val="0"/>
      </w:rPr>
      <w:pict w14:anchorId="65F07620">
        <v:shape id="_x0000_s1360" type="#_x0000_t202" style="position:absolute;margin-left:220.5pt;margin-top:594.5pt;width:147.1pt;height:12.55pt;z-index:-454696;mso-position-horizontal-relative:page;mso-position-vertical-relative:page" filled="f" stroked="f">
          <v:textbox inset="0,0,0,0">
            <w:txbxContent>
              <w:p w14:paraId="365E09C3" w14:textId="77777777" w:rsidR="001008C3" w:rsidRDefault="001008C3">
                <w:pPr>
                  <w:tabs>
                    <w:tab w:val="left" w:pos="2692"/>
                  </w:tabs>
                  <w:spacing w:before="19"/>
                  <w:ind w:left="20"/>
                  <w:rPr>
                    <w:sz w:val="14"/>
                  </w:rPr>
                </w:pPr>
                <w:r>
                  <w:rPr>
                    <w:color w:val="231F20"/>
                    <w:spacing w:val="15"/>
                    <w:w w:val="115"/>
                    <w:sz w:val="18"/>
                  </w:rPr>
                  <w:t xml:space="preserve">the </w:t>
                </w:r>
                <w:r>
                  <w:rPr>
                    <w:color w:val="231F20"/>
                    <w:spacing w:val="41"/>
                    <w:w w:val="115"/>
                    <w:sz w:val="18"/>
                  </w:rPr>
                  <w:t xml:space="preserve"> </w:t>
                </w:r>
                <w:r>
                  <w:rPr>
                    <w:color w:val="231F20"/>
                    <w:spacing w:val="20"/>
                    <w:w w:val="115"/>
                    <w:sz w:val="18"/>
                  </w:rPr>
                  <w:t xml:space="preserve">stockholm </w:t>
                </w:r>
                <w:r>
                  <w:rPr>
                    <w:color w:val="231F20"/>
                    <w:spacing w:val="36"/>
                    <w:w w:val="115"/>
                    <w:sz w:val="18"/>
                  </w:rPr>
                  <w:t xml:space="preserve"> </w:t>
                </w:r>
                <w:r>
                  <w:rPr>
                    <w:color w:val="231F20"/>
                    <w:spacing w:val="20"/>
                    <w:w w:val="115"/>
                    <w:sz w:val="18"/>
                  </w:rPr>
                  <w:t>action</w:t>
                </w:r>
                <w:r>
                  <w:rPr>
                    <w:color w:val="231F20"/>
                    <w:spacing w:val="20"/>
                    <w:w w:val="115"/>
                    <w:sz w:val="18"/>
                  </w:rPr>
                  <w:tab/>
                </w:r>
                <w:r>
                  <w:rPr>
                    <w:color w:val="231F20"/>
                    <w:spacing w:val="11"/>
                    <w:w w:val="105"/>
                    <w:sz w:val="14"/>
                  </w:rPr>
                  <w:t>(8)</w:t>
                </w:r>
                <w:r>
                  <w:rPr>
                    <w:color w:val="231F20"/>
                    <w:spacing w:val="-12"/>
                    <w:sz w:val="14"/>
                  </w:rPr>
                  <w:t xml:space="preserve"> </w:t>
                </w:r>
              </w:p>
            </w:txbxContent>
          </v:textbox>
          <w10:wrap anchorx="page" anchory="page"/>
        </v:shape>
      </w:pict>
    </w: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69294" w14:textId="77777777" w:rsidR="001008C3" w:rsidRDefault="00000000">
    <w:pPr>
      <w:pStyle w:val="a3"/>
      <w:spacing w:line="14" w:lineRule="auto"/>
    </w:pPr>
    <w:r>
      <w:rPr>
        <w:noProof w:val="0"/>
      </w:rPr>
      <w:pict w14:anchorId="54F09C90">
        <v:shapetype id="_x0000_t202" coordsize="21600,21600" o:spt="202" path="m,l,21600r21600,l21600,xe">
          <v:stroke joinstyle="miter"/>
          <v:path gradientshapeok="t" o:connecttype="rect"/>
        </v:shapetype>
        <v:shape id="_x0000_s1363" type="#_x0000_t202" style="position:absolute;margin-left:65.4pt;margin-top:594.5pt;width:223.5pt;height:12.55pt;z-index:-454768;mso-position-horizontal-relative:page;mso-position-vertical-relative:page" filled="f" stroked="f">
          <v:textbox inset="0,0,0,0">
            <w:txbxContent>
              <w:p w14:paraId="0B6781F5" w14:textId="77777777" w:rsidR="001008C3" w:rsidRDefault="001008C3">
                <w:pPr>
                  <w:spacing w:before="19"/>
                  <w:ind w:left="20"/>
                  <w:rPr>
                    <w:sz w:val="18"/>
                  </w:rPr>
                </w:pPr>
                <w:r>
                  <w:rPr>
                    <w:color w:val="231F20"/>
                    <w:w w:val="115"/>
                    <w:sz w:val="18"/>
                  </w:rPr>
                  <w:t>april 1975 • occupation of the embassy</w:t>
                </w:r>
              </w:p>
            </w:txbxContent>
          </v:textbox>
          <w10:wrap anchorx="page" anchory="page"/>
        </v:shape>
      </w:pict>
    </w:r>
    <w:r>
      <w:rPr>
        <w:noProof w:val="0"/>
      </w:rPr>
      <w:pict w14:anchorId="2DB33294">
        <v:shape id="_x0000_s1362" type="#_x0000_t202" style="position:absolute;margin-left:355.1pt;margin-top:594.5pt;width:22.8pt;height:12.55pt;z-index:-454744;mso-position-horizontal-relative:page;mso-position-vertical-relative:page" filled="f" stroked="f">
          <v:textbox inset="0,0,0,0">
            <w:txbxContent>
              <w:p w14:paraId="6DA0DEC0"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339</w:t>
                </w:r>
                <w:r>
                  <w:fldChar w:fldCharType="end"/>
                </w:r>
                <w:r>
                  <w:rPr>
                    <w:color w:val="231F20"/>
                    <w:sz w:val="18"/>
                  </w:rPr>
                  <w:t xml:space="preserve"> </w:t>
                </w:r>
              </w:p>
            </w:txbxContent>
          </v:textbox>
          <w10:wrap anchorx="page" anchory="page"/>
        </v:shape>
      </w:pic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A9453" w14:textId="77777777" w:rsidR="001008C3" w:rsidRDefault="00000000">
    <w:pPr>
      <w:pStyle w:val="a3"/>
      <w:spacing w:line="14" w:lineRule="auto"/>
    </w:pPr>
    <w:r>
      <w:rPr>
        <w:noProof w:val="0"/>
      </w:rPr>
      <w:pict w14:anchorId="4EA831AE">
        <v:shapetype id="_x0000_t202" coordsize="21600,21600" o:spt="202" path="m,l,21600r21600,l21600,xe">
          <v:stroke joinstyle="miter"/>
          <v:path gradientshapeok="t" o:connecttype="rect"/>
        </v:shapetype>
        <v:shape id="_x0000_s1359" type="#_x0000_t202" style="position:absolute;margin-left:65.4pt;margin-top:594.5pt;width:256.85pt;height:12.55pt;z-index:-454672;mso-position-horizontal-relative:page;mso-position-vertical-relative:page" filled="f" stroked="f">
          <v:textbox inset="0,0,0,0">
            <w:txbxContent>
              <w:p w14:paraId="2665BAAA" w14:textId="77777777" w:rsidR="001008C3" w:rsidRDefault="001008C3">
                <w:pPr>
                  <w:spacing w:before="19"/>
                  <w:ind w:left="20"/>
                  <w:rPr>
                    <w:sz w:val="18"/>
                  </w:rPr>
                </w:pPr>
                <w:r>
                  <w:rPr>
                    <w:color w:val="231F20"/>
                    <w:w w:val="115"/>
                    <w:sz w:val="18"/>
                  </w:rPr>
                  <w:t>may 1975 • siegfried haag goes underground</w:t>
                </w:r>
                <w:r>
                  <w:rPr>
                    <w:color w:val="231F20"/>
                    <w:sz w:val="18"/>
                  </w:rPr>
                  <w:t xml:space="preserve"> </w:t>
                </w:r>
              </w:p>
            </w:txbxContent>
          </v:textbox>
          <w10:wrap anchorx="page" anchory="page"/>
        </v:shape>
      </w:pict>
    </w:r>
    <w:r>
      <w:rPr>
        <w:noProof w:val="0"/>
      </w:rPr>
      <w:pict w14:anchorId="2586B8DA">
        <v:shape id="_x0000_s1358" type="#_x0000_t202" style="position:absolute;margin-left:356.1pt;margin-top:594.5pt;width:20.8pt;height:12.55pt;z-index:-454648;mso-position-horizontal-relative:page;mso-position-vertical-relative:page" filled="f" stroked="f">
          <v:textbox inset="0,0,0,0">
            <w:txbxContent>
              <w:p w14:paraId="2C2EABCD" w14:textId="77777777" w:rsidR="001008C3" w:rsidRDefault="001008C3">
                <w:pPr>
                  <w:spacing w:before="19"/>
                  <w:ind w:left="20"/>
                  <w:rPr>
                    <w:sz w:val="18"/>
                  </w:rPr>
                </w:pPr>
                <w:r>
                  <w:rPr>
                    <w:color w:val="231F20"/>
                    <w:sz w:val="18"/>
                  </w:rPr>
                  <w:t xml:space="preserve">341 </w:t>
                </w:r>
              </w:p>
            </w:txbxContent>
          </v:textbox>
          <w10:wrap anchorx="page" anchory="page"/>
        </v:shape>
      </w:pict>
    </w: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90F41" w14:textId="77777777" w:rsidR="001008C3" w:rsidRDefault="001008C3">
    <w:pPr>
      <w:pStyle w:val="a3"/>
      <w:spacing w:line="14" w:lineRule="auto"/>
      <w:rPr>
        <w:sz w:val="2"/>
      </w:rPr>
    </w:pP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DFA15" w14:textId="77777777" w:rsidR="001008C3" w:rsidRDefault="00000000">
    <w:pPr>
      <w:pStyle w:val="a3"/>
      <w:spacing w:line="14" w:lineRule="auto"/>
    </w:pPr>
    <w:r>
      <w:rPr>
        <w:noProof w:val="0"/>
      </w:rPr>
      <w:pict w14:anchorId="3C6E5877">
        <v:shapetype id="_x0000_t202" coordsize="21600,21600" o:spt="202" path="m,l,21600r21600,l21600,xe">
          <v:stroke joinstyle="miter"/>
          <v:path gradientshapeok="t" o:connecttype="rect"/>
        </v:shapetype>
        <v:shape id="_x0000_s1356" type="#_x0000_t202" style="position:absolute;margin-left:56.4pt;margin-top:594.5pt;width:20.8pt;height:12.55pt;z-index:-454600;mso-position-horizontal-relative:page;mso-position-vertical-relative:page" filled="f" stroked="f">
          <v:textbox inset="0,0,0,0">
            <w:txbxContent>
              <w:p w14:paraId="2ABB8467" w14:textId="77777777" w:rsidR="001008C3" w:rsidRDefault="001008C3">
                <w:pPr>
                  <w:spacing w:before="19"/>
                  <w:ind w:left="20"/>
                  <w:rPr>
                    <w:sz w:val="18"/>
                  </w:rPr>
                </w:pPr>
                <w:r>
                  <w:rPr>
                    <w:color w:val="231F20"/>
                    <w:sz w:val="18"/>
                  </w:rPr>
                  <w:t xml:space="preserve">344 </w:t>
                </w:r>
              </w:p>
            </w:txbxContent>
          </v:textbox>
          <w10:wrap anchorx="page" anchory="page"/>
        </v:shape>
      </w:pict>
    </w:r>
    <w:r>
      <w:rPr>
        <w:noProof w:val="0"/>
      </w:rPr>
      <w:pict w14:anchorId="70449BD4">
        <v:shape id="_x0000_s1355" type="#_x0000_t202" style="position:absolute;margin-left:90.4pt;margin-top:594.5pt;width:276.75pt;height:12.55pt;z-index:-454576;mso-position-horizontal-relative:page;mso-position-vertical-relative:page" filled="f" stroked="f">
          <v:textbox inset="0,0,0,0">
            <w:txbxContent>
              <w:p w14:paraId="1C333494" w14:textId="77777777" w:rsidR="001008C3" w:rsidRDefault="001008C3">
                <w:pPr>
                  <w:tabs>
                    <w:tab w:val="left" w:pos="5311"/>
                  </w:tabs>
                  <w:spacing w:before="19"/>
                  <w:ind w:left="20"/>
                  <w:rPr>
                    <w:sz w:val="14"/>
                  </w:rPr>
                </w:pPr>
                <w:r>
                  <w:rPr>
                    <w:color w:val="231F20"/>
                    <w:spacing w:val="7"/>
                    <w:w w:val="115"/>
                    <w:sz w:val="18"/>
                  </w:rPr>
                  <w:t xml:space="preserve">shadow  </w:t>
                </w:r>
                <w:r>
                  <w:rPr>
                    <w:color w:val="231F20"/>
                    <w:spacing w:val="8"/>
                    <w:w w:val="115"/>
                    <w:sz w:val="18"/>
                  </w:rPr>
                  <w:t xml:space="preserve">boxing:  </w:t>
                </w:r>
                <w:r>
                  <w:rPr>
                    <w:color w:val="231F20"/>
                    <w:spacing w:val="10"/>
                    <w:w w:val="115"/>
                    <w:sz w:val="18"/>
                  </w:rPr>
                  <w:t>countering</w:t>
                </w:r>
                <w:r>
                  <w:rPr>
                    <w:color w:val="231F20"/>
                    <w:spacing w:val="41"/>
                    <w:w w:val="115"/>
                    <w:sz w:val="18"/>
                  </w:rPr>
                  <w:t xml:space="preserve"> </w:t>
                </w:r>
                <w:r>
                  <w:rPr>
                    <w:color w:val="231F20"/>
                    <w:spacing w:val="10"/>
                    <w:w w:val="115"/>
                    <w:sz w:val="18"/>
                  </w:rPr>
                  <w:t>psychological</w:t>
                </w:r>
                <w:r>
                  <w:rPr>
                    <w:color w:val="231F20"/>
                    <w:spacing w:val="48"/>
                    <w:w w:val="115"/>
                    <w:sz w:val="18"/>
                  </w:rPr>
                  <w:t xml:space="preserve"> </w:t>
                </w:r>
                <w:r>
                  <w:rPr>
                    <w:color w:val="231F20"/>
                    <w:spacing w:val="7"/>
                    <w:w w:val="115"/>
                    <w:sz w:val="18"/>
                  </w:rPr>
                  <w:t>warfare</w:t>
                </w:r>
                <w:r>
                  <w:rPr>
                    <w:color w:val="231F20"/>
                    <w:spacing w:val="7"/>
                    <w:w w:val="115"/>
                    <w:sz w:val="18"/>
                  </w:rPr>
                  <w:tab/>
                </w:r>
                <w:r>
                  <w:rPr>
                    <w:color w:val="231F20"/>
                    <w:spacing w:val="10"/>
                    <w:sz w:val="14"/>
                  </w:rPr>
                  <w:t>(9)</w:t>
                </w:r>
              </w:p>
            </w:txbxContent>
          </v:textbox>
          <w10:wrap anchorx="page" anchory="page"/>
        </v:shape>
      </w:pic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4B92C" w14:textId="77777777" w:rsidR="001008C3" w:rsidRDefault="00000000">
    <w:pPr>
      <w:pStyle w:val="a3"/>
      <w:spacing w:line="14" w:lineRule="auto"/>
    </w:pPr>
    <w:r>
      <w:rPr>
        <w:noProof w:val="0"/>
      </w:rPr>
      <w:pict w14:anchorId="131B029D">
        <v:shapetype id="_x0000_t202" coordsize="21600,21600" o:spt="202" path="m,l,21600r21600,l21600,xe">
          <v:stroke joinstyle="miter"/>
          <v:path gradientshapeok="t" o:connecttype="rect"/>
        </v:shapetype>
        <v:shape id="_x0000_s1357" type="#_x0000_t202" style="position:absolute;margin-left:355.1pt;margin-top:594.5pt;width:22.8pt;height:12.55pt;z-index:-454624;mso-position-horizontal-relative:page;mso-position-vertical-relative:page" filled="f" stroked="f">
          <v:textbox inset="0,0,0,0">
            <w:txbxContent>
              <w:p w14:paraId="66433934"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343</w:t>
                </w:r>
                <w:r>
                  <w:fldChar w:fldCharType="end"/>
                </w:r>
                <w:r>
                  <w:rPr>
                    <w:color w:val="231F20"/>
                    <w:sz w:val="18"/>
                  </w:rPr>
                  <w:t xml:space="preserve"> </w:t>
                </w:r>
              </w:p>
            </w:txbxContent>
          </v:textbox>
          <w10:wrap anchorx="page" anchory="page"/>
        </v:shape>
      </w:pict>
    </w: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B327C" w14:textId="77777777" w:rsidR="001008C3" w:rsidRDefault="00000000">
    <w:pPr>
      <w:pStyle w:val="a3"/>
      <w:spacing w:line="14" w:lineRule="auto"/>
    </w:pPr>
    <w:r>
      <w:rPr>
        <w:noProof w:val="0"/>
      </w:rPr>
      <w:pict w14:anchorId="0E3FF869">
        <v:line id="_x0000_s1352" style="position:absolute;z-index:-454504;mso-position-horizontal-relative:page;mso-position-vertical-relative:page" from="57.4pt,532.7pt" to="129.4pt,532.7pt" strokecolor="#231f20" strokeweight=".5pt">
          <w10:wrap anchorx="page" anchory="page"/>
        </v:line>
      </w:pict>
    </w:r>
    <w:r>
      <w:rPr>
        <w:noProof w:val="0"/>
      </w:rPr>
      <w:pict w14:anchorId="47299089">
        <v:shapetype id="_x0000_t202" coordsize="21600,21600" o:spt="202" path="m,l,21600r21600,l21600,xe">
          <v:stroke joinstyle="miter"/>
          <v:path gradientshapeok="t" o:connecttype="rect"/>
        </v:shapetype>
        <v:shape id="_x0000_s1351" type="#_x0000_t202" style="position:absolute;margin-left:56.4pt;margin-top:594.5pt;width:20.8pt;height:12.55pt;z-index:-454480;mso-position-horizontal-relative:page;mso-position-vertical-relative:page" filled="f" stroked="f">
          <v:textbox inset="0,0,0,0">
            <w:txbxContent>
              <w:p w14:paraId="797D7752" w14:textId="77777777" w:rsidR="001008C3" w:rsidRDefault="001008C3">
                <w:pPr>
                  <w:spacing w:before="19"/>
                  <w:ind w:left="20"/>
                  <w:rPr>
                    <w:sz w:val="18"/>
                  </w:rPr>
                </w:pPr>
                <w:r>
                  <w:rPr>
                    <w:color w:val="231F20"/>
                    <w:sz w:val="18"/>
                  </w:rPr>
                  <w:t xml:space="preserve">346 </w:t>
                </w:r>
              </w:p>
            </w:txbxContent>
          </v:textbox>
          <w10:wrap anchorx="page" anchory="page"/>
        </v:shape>
      </w:pict>
    </w:r>
    <w:r>
      <w:rPr>
        <w:noProof w:val="0"/>
      </w:rPr>
      <w:pict w14:anchorId="209AC10C">
        <v:shape id="_x0000_s1350" type="#_x0000_t202" style="position:absolute;margin-left:90.4pt;margin-top:594.5pt;width:276.75pt;height:12.55pt;z-index:-454456;mso-position-horizontal-relative:page;mso-position-vertical-relative:page" filled="f" stroked="f">
          <v:textbox inset="0,0,0,0">
            <w:txbxContent>
              <w:p w14:paraId="000927DF" w14:textId="77777777" w:rsidR="001008C3" w:rsidRDefault="001008C3">
                <w:pPr>
                  <w:tabs>
                    <w:tab w:val="left" w:pos="5311"/>
                  </w:tabs>
                  <w:spacing w:before="19"/>
                  <w:ind w:left="20"/>
                  <w:rPr>
                    <w:sz w:val="14"/>
                  </w:rPr>
                </w:pPr>
                <w:r>
                  <w:rPr>
                    <w:color w:val="231F20"/>
                    <w:spacing w:val="7"/>
                    <w:w w:val="115"/>
                    <w:sz w:val="18"/>
                  </w:rPr>
                  <w:t xml:space="preserve">shadow  </w:t>
                </w:r>
                <w:r>
                  <w:rPr>
                    <w:color w:val="231F20"/>
                    <w:spacing w:val="8"/>
                    <w:w w:val="115"/>
                    <w:sz w:val="18"/>
                  </w:rPr>
                  <w:t xml:space="preserve">boxing:  </w:t>
                </w:r>
                <w:r>
                  <w:rPr>
                    <w:color w:val="231F20"/>
                    <w:spacing w:val="10"/>
                    <w:w w:val="115"/>
                    <w:sz w:val="18"/>
                  </w:rPr>
                  <w:t>countering</w:t>
                </w:r>
                <w:r>
                  <w:rPr>
                    <w:color w:val="231F20"/>
                    <w:spacing w:val="41"/>
                    <w:w w:val="115"/>
                    <w:sz w:val="18"/>
                  </w:rPr>
                  <w:t xml:space="preserve"> </w:t>
                </w:r>
                <w:r>
                  <w:rPr>
                    <w:color w:val="231F20"/>
                    <w:spacing w:val="10"/>
                    <w:w w:val="115"/>
                    <w:sz w:val="18"/>
                  </w:rPr>
                  <w:t>psychological</w:t>
                </w:r>
                <w:r>
                  <w:rPr>
                    <w:color w:val="231F20"/>
                    <w:spacing w:val="48"/>
                    <w:w w:val="115"/>
                    <w:sz w:val="18"/>
                  </w:rPr>
                  <w:t xml:space="preserve"> </w:t>
                </w:r>
                <w:r>
                  <w:rPr>
                    <w:color w:val="231F20"/>
                    <w:spacing w:val="7"/>
                    <w:w w:val="115"/>
                    <w:sz w:val="18"/>
                  </w:rPr>
                  <w:t>warfare</w:t>
                </w:r>
                <w:r>
                  <w:rPr>
                    <w:color w:val="231F20"/>
                    <w:spacing w:val="7"/>
                    <w:w w:val="115"/>
                    <w:sz w:val="18"/>
                  </w:rPr>
                  <w:tab/>
                </w:r>
                <w:r>
                  <w:rPr>
                    <w:color w:val="231F20"/>
                    <w:spacing w:val="10"/>
                    <w:sz w:val="14"/>
                  </w:rPr>
                  <w:t>(9)</w:t>
                </w:r>
              </w:p>
            </w:txbxContent>
          </v:textbox>
          <w10:wrap anchorx="page" anchory="page"/>
        </v:shape>
      </w:pict>
    </w: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C8A75" w14:textId="77777777" w:rsidR="001008C3" w:rsidRDefault="00000000">
    <w:pPr>
      <w:pStyle w:val="a3"/>
      <w:spacing w:line="14" w:lineRule="auto"/>
    </w:pPr>
    <w:r>
      <w:rPr>
        <w:noProof w:val="0"/>
      </w:rPr>
      <w:pict w14:anchorId="6BECA4B3">
        <v:shapetype id="_x0000_t202" coordsize="21600,21600" o:spt="202" path="m,l,21600r21600,l21600,xe">
          <v:stroke joinstyle="miter"/>
          <v:path gradientshapeok="t" o:connecttype="rect"/>
        </v:shapetype>
        <v:shape id="_x0000_s1354" type="#_x0000_t202" style="position:absolute;margin-left:65.4pt;margin-top:594.5pt;width:116.6pt;height:12.55pt;z-index:-454552;mso-position-horizontal-relative:page;mso-position-vertical-relative:page" filled="f" stroked="f">
          <v:textbox inset="0,0,0,0">
            <w:txbxContent>
              <w:p w14:paraId="35467279"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707761D5">
        <v:shape id="_x0000_s1353" type="#_x0000_t202" style="position:absolute;margin-left:355.1pt;margin-top:594.5pt;width:22.8pt;height:12.55pt;z-index:-454528;mso-position-horizontal-relative:page;mso-position-vertical-relative:page" filled="f" stroked="f">
          <v:textbox inset="0,0,0,0">
            <w:txbxContent>
              <w:p w14:paraId="713F6AC4"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345</w:t>
                </w:r>
                <w:r>
                  <w:fldChar w:fldCharType="end"/>
                </w:r>
                <w:r>
                  <w:rPr>
                    <w:color w:val="231F20"/>
                    <w:sz w:val="18"/>
                  </w:rPr>
                  <w:t xml:space="preserve"> </w:t>
                </w:r>
              </w:p>
            </w:txbxContent>
          </v:textbox>
          <w10:wrap anchorx="page" anchory="page"/>
        </v:shape>
      </w:pic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F3A0" w14:textId="77777777" w:rsidR="001008C3" w:rsidRDefault="00000000">
    <w:pPr>
      <w:pStyle w:val="a3"/>
      <w:spacing w:line="14" w:lineRule="auto"/>
    </w:pPr>
    <w:r>
      <w:rPr>
        <w:noProof w:val="0"/>
      </w:rPr>
      <w:pict w14:anchorId="2EF11D7E">
        <v:shapetype id="_x0000_t202" coordsize="21600,21600" o:spt="202" path="m,l,21600r21600,l21600,xe">
          <v:stroke joinstyle="miter"/>
          <v:path gradientshapeok="t" o:connecttype="rect"/>
        </v:shapetype>
        <v:shape id="_x0000_s1347" type="#_x0000_t202" style="position:absolute;margin-left:65.4pt;margin-top:594.5pt;width:116.6pt;height:12.55pt;z-index:-454384;mso-position-horizontal-relative:page;mso-position-vertical-relative:page" filled="f" stroked="f">
          <v:textbox inset="0,0,0,0">
            <w:txbxContent>
              <w:p w14:paraId="11575631"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73054103">
        <v:shape id="_x0000_s1346" type="#_x0000_t202" style="position:absolute;margin-left:355.1pt;margin-top:594.5pt;width:22.8pt;height:12.55pt;z-index:-454360;mso-position-horizontal-relative:page;mso-position-vertical-relative:page" filled="f" stroked="f">
          <v:textbox inset="0,0,0,0">
            <w:txbxContent>
              <w:p w14:paraId="2F7BFEA9" w14:textId="77777777" w:rsidR="001008C3" w:rsidRDefault="001008C3">
                <w:pPr>
                  <w:spacing w:before="19"/>
                  <w:ind w:left="40"/>
                  <w:rPr>
                    <w:sz w:val="18"/>
                  </w:rPr>
                </w:pPr>
                <w:r>
                  <w:rPr>
                    <w:color w:val="231F20"/>
                    <w:sz w:val="18"/>
                  </w:rPr>
                  <w:t xml:space="preserve">349 </w:t>
                </w:r>
              </w:p>
            </w:txbxContent>
          </v:textbox>
          <w10:wrap anchorx="page" anchory="page"/>
        </v:shape>
      </w:pict>
    </w: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DD683" w14:textId="77777777" w:rsidR="001008C3" w:rsidRDefault="00000000">
    <w:pPr>
      <w:pStyle w:val="a3"/>
      <w:spacing w:line="14" w:lineRule="auto"/>
    </w:pPr>
    <w:r>
      <w:rPr>
        <w:noProof w:val="0"/>
      </w:rPr>
      <w:pict w14:anchorId="2B9C12EB">
        <v:shapetype id="_x0000_t202" coordsize="21600,21600" o:spt="202" path="m,l,21600r21600,l21600,xe">
          <v:stroke joinstyle="miter"/>
          <v:path gradientshapeok="t" o:connecttype="rect"/>
        </v:shapetype>
        <v:shape id="_x0000_s1349" type="#_x0000_t202" style="position:absolute;margin-left:56.4pt;margin-top:594.5pt;width:20.8pt;height:12.55pt;z-index:-454432;mso-position-horizontal-relative:page;mso-position-vertical-relative:page" filled="f" stroked="f">
          <v:textbox inset="0,0,0,0">
            <w:txbxContent>
              <w:p w14:paraId="76E47D94" w14:textId="77777777" w:rsidR="001008C3" w:rsidRDefault="001008C3">
                <w:pPr>
                  <w:spacing w:before="19"/>
                  <w:ind w:left="20"/>
                  <w:rPr>
                    <w:sz w:val="18"/>
                  </w:rPr>
                </w:pPr>
                <w:r>
                  <w:rPr>
                    <w:color w:val="231F20"/>
                    <w:sz w:val="18"/>
                  </w:rPr>
                  <w:t xml:space="preserve">348 </w:t>
                </w:r>
              </w:p>
            </w:txbxContent>
          </v:textbox>
          <w10:wrap anchorx="page" anchory="page"/>
        </v:shape>
      </w:pict>
    </w:r>
    <w:r>
      <w:rPr>
        <w:noProof w:val="0"/>
      </w:rPr>
      <w:pict w14:anchorId="1D8E7A8B">
        <v:shape id="_x0000_s1348" type="#_x0000_t202" style="position:absolute;margin-left:90.4pt;margin-top:594.5pt;width:276.75pt;height:12.55pt;z-index:-454408;mso-position-horizontal-relative:page;mso-position-vertical-relative:page" filled="f" stroked="f">
          <v:textbox inset="0,0,0,0">
            <w:txbxContent>
              <w:p w14:paraId="7BBE20C4" w14:textId="77777777" w:rsidR="001008C3" w:rsidRDefault="001008C3">
                <w:pPr>
                  <w:tabs>
                    <w:tab w:val="left" w:pos="5311"/>
                  </w:tabs>
                  <w:spacing w:before="19"/>
                  <w:ind w:left="20"/>
                  <w:rPr>
                    <w:sz w:val="14"/>
                  </w:rPr>
                </w:pPr>
                <w:r>
                  <w:rPr>
                    <w:color w:val="231F20"/>
                    <w:spacing w:val="7"/>
                    <w:w w:val="115"/>
                    <w:sz w:val="18"/>
                  </w:rPr>
                  <w:t xml:space="preserve">shadow  </w:t>
                </w:r>
                <w:r>
                  <w:rPr>
                    <w:color w:val="231F20"/>
                    <w:spacing w:val="8"/>
                    <w:w w:val="115"/>
                    <w:sz w:val="18"/>
                  </w:rPr>
                  <w:t xml:space="preserve">boxing:  </w:t>
                </w:r>
                <w:r>
                  <w:rPr>
                    <w:color w:val="231F20"/>
                    <w:spacing w:val="10"/>
                    <w:w w:val="115"/>
                    <w:sz w:val="18"/>
                  </w:rPr>
                  <w:t>countering</w:t>
                </w:r>
                <w:r>
                  <w:rPr>
                    <w:color w:val="231F20"/>
                    <w:spacing w:val="41"/>
                    <w:w w:val="115"/>
                    <w:sz w:val="18"/>
                  </w:rPr>
                  <w:t xml:space="preserve"> </w:t>
                </w:r>
                <w:r>
                  <w:rPr>
                    <w:color w:val="231F20"/>
                    <w:spacing w:val="10"/>
                    <w:w w:val="115"/>
                    <w:sz w:val="18"/>
                  </w:rPr>
                  <w:t>psychological</w:t>
                </w:r>
                <w:r>
                  <w:rPr>
                    <w:color w:val="231F20"/>
                    <w:spacing w:val="48"/>
                    <w:w w:val="115"/>
                    <w:sz w:val="18"/>
                  </w:rPr>
                  <w:t xml:space="preserve"> </w:t>
                </w:r>
                <w:r>
                  <w:rPr>
                    <w:color w:val="231F20"/>
                    <w:spacing w:val="7"/>
                    <w:w w:val="115"/>
                    <w:sz w:val="18"/>
                  </w:rPr>
                  <w:t>warfare</w:t>
                </w:r>
                <w:r>
                  <w:rPr>
                    <w:color w:val="231F20"/>
                    <w:spacing w:val="7"/>
                    <w:w w:val="115"/>
                    <w:sz w:val="18"/>
                  </w:rPr>
                  <w:tab/>
                </w:r>
                <w:r>
                  <w:rPr>
                    <w:color w:val="231F20"/>
                    <w:spacing w:val="10"/>
                    <w:sz w:val="14"/>
                  </w:rPr>
                  <w:t>(9)</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9FE91" w14:textId="77777777" w:rsidR="001008C3" w:rsidRDefault="00000000">
    <w:pPr>
      <w:pStyle w:val="a3"/>
      <w:spacing w:line="14" w:lineRule="auto"/>
    </w:pPr>
    <w:r>
      <w:rPr>
        <w:noProof w:val="0"/>
      </w:rPr>
      <w:pict w14:anchorId="224D67A2">
        <v:shapetype id="_x0000_t202" coordsize="21600,21600" o:spt="202" path="m,l,21600r21600,l21600,xe">
          <v:stroke joinstyle="miter"/>
          <v:path gradientshapeok="t" o:connecttype="rect"/>
        </v:shapetype>
        <v:shape id="_x0000_s1715" type="#_x0000_t202" style="position:absolute;margin-left:55.4pt;margin-top:594.5pt;width:15.55pt;height:12.55pt;z-index:-463216;mso-position-horizontal-relative:page;mso-position-vertical-relative:page" filled="f" stroked="f">
          <v:textbox inset="0,0,0,0">
            <w:txbxContent>
              <w:p w14:paraId="05FF0A96"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10</w:t>
                </w:r>
                <w:r>
                  <w:fldChar w:fldCharType="end"/>
                </w:r>
                <w:r>
                  <w:rPr>
                    <w:color w:val="231F20"/>
                    <w:sz w:val="18"/>
                  </w:rPr>
                  <w:t xml:space="preserve"> </w:t>
                </w:r>
              </w:p>
            </w:txbxContent>
          </v:textbox>
          <w10:wrap anchorx="page" anchory="page"/>
        </v:shape>
      </w:pict>
    </w:r>
    <w:r>
      <w:rPr>
        <w:noProof w:val="0"/>
      </w:rPr>
      <w:pict w14:anchorId="0E8D78D0">
        <v:shape id="_x0000_s1714" type="#_x0000_t202" style="position:absolute;margin-left:143.15pt;margin-top:594.5pt;width:224.45pt;height:12.55pt;z-index:-463192;mso-position-horizontal-relative:page;mso-position-vertical-relative:page" filled="f" stroked="f">
          <v:textbox inset="0,0,0,0">
            <w:txbxContent>
              <w:p w14:paraId="245C795F" w14:textId="77777777" w:rsidR="001008C3" w:rsidRDefault="001008C3">
                <w:pPr>
                  <w:tabs>
                    <w:tab w:val="left" w:pos="4238"/>
                  </w:tabs>
                  <w:spacing w:before="19"/>
                  <w:ind w:left="20"/>
                  <w:rPr>
                    <w:sz w:val="14"/>
                  </w:rPr>
                </w:pPr>
                <w:r>
                  <w:rPr>
                    <w:color w:val="231F20"/>
                    <w:spacing w:val="20"/>
                    <w:w w:val="115"/>
                    <w:sz w:val="18"/>
                  </w:rPr>
                  <w:t xml:space="preserve">“democracy”  comes </w:t>
                </w:r>
                <w:r>
                  <w:rPr>
                    <w:color w:val="231F20"/>
                    <w:spacing w:val="23"/>
                    <w:w w:val="115"/>
                    <w:sz w:val="18"/>
                  </w:rPr>
                  <w:t xml:space="preserve"> </w:t>
                </w:r>
                <w:r>
                  <w:rPr>
                    <w:color w:val="231F20"/>
                    <w:spacing w:val="10"/>
                    <w:w w:val="115"/>
                    <w:sz w:val="18"/>
                  </w:rPr>
                  <w:t xml:space="preserve">to </w:t>
                </w:r>
                <w:r>
                  <w:rPr>
                    <w:color w:val="231F20"/>
                    <w:spacing w:val="42"/>
                    <w:w w:val="115"/>
                    <w:sz w:val="18"/>
                  </w:rPr>
                  <w:t xml:space="preserve"> </w:t>
                </w:r>
                <w:r>
                  <w:rPr>
                    <w:color w:val="231F20"/>
                    <w:spacing w:val="21"/>
                    <w:w w:val="115"/>
                    <w:sz w:val="18"/>
                  </w:rPr>
                  <w:t>deutschland</w:t>
                </w:r>
                <w:r>
                  <w:rPr>
                    <w:color w:val="231F20"/>
                    <w:spacing w:val="21"/>
                    <w:w w:val="115"/>
                    <w:sz w:val="18"/>
                  </w:rPr>
                  <w:tab/>
                </w:r>
                <w:r>
                  <w:rPr>
                    <w:color w:val="231F20"/>
                    <w:spacing w:val="11"/>
                    <w:w w:val="105"/>
                    <w:sz w:val="14"/>
                  </w:rPr>
                  <w:t>(1)</w:t>
                </w:r>
                <w:r>
                  <w:rPr>
                    <w:color w:val="231F20"/>
                    <w:spacing w:val="-12"/>
                    <w:sz w:val="14"/>
                  </w:rPr>
                  <w:t xml:space="preserve"> </w:t>
                </w:r>
              </w:p>
            </w:txbxContent>
          </v:textbox>
          <w10:wrap anchorx="page" anchory="page"/>
        </v:shape>
      </w:pic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A32AF" w14:textId="77777777" w:rsidR="001008C3" w:rsidRDefault="00000000">
    <w:pPr>
      <w:pStyle w:val="a3"/>
      <w:spacing w:line="14" w:lineRule="auto"/>
    </w:pPr>
    <w:r>
      <w:rPr>
        <w:noProof w:val="0"/>
      </w:rPr>
      <w:pict w14:anchorId="7DFFF0AC">
        <v:shapetype id="_x0000_t202" coordsize="21600,21600" o:spt="202" path="m,l,21600r21600,l21600,xe">
          <v:stroke joinstyle="miter"/>
          <v:path gradientshapeok="t" o:connecttype="rect"/>
        </v:shapetype>
        <v:shape id="_x0000_s1343" type="#_x0000_t202" style="position:absolute;margin-left:65.4pt;margin-top:594.5pt;width:116.6pt;height:12.55pt;z-index:-454288;mso-position-horizontal-relative:page;mso-position-vertical-relative:page" filled="f" stroked="f">
          <v:textbox inset="0,0,0,0">
            <w:txbxContent>
              <w:p w14:paraId="29C427A1"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5EC0EFF1">
        <v:shape id="_x0000_s1342" type="#_x0000_t202" style="position:absolute;margin-left:356.1pt;margin-top:594.5pt;width:20.8pt;height:12.55pt;z-index:-454264;mso-position-horizontal-relative:page;mso-position-vertical-relative:page" filled="f" stroked="f">
          <v:textbox inset="0,0,0,0">
            <w:txbxContent>
              <w:p w14:paraId="28C28114" w14:textId="77777777" w:rsidR="001008C3" w:rsidRDefault="001008C3">
                <w:pPr>
                  <w:spacing w:before="19"/>
                  <w:ind w:left="20"/>
                  <w:rPr>
                    <w:sz w:val="18"/>
                  </w:rPr>
                </w:pPr>
                <w:r>
                  <w:rPr>
                    <w:color w:val="231F20"/>
                    <w:sz w:val="18"/>
                  </w:rPr>
                  <w:t xml:space="preserve">351 </w:t>
                </w:r>
              </w:p>
            </w:txbxContent>
          </v:textbox>
          <w10:wrap anchorx="page" anchory="page"/>
        </v:shape>
      </w:pic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D375D" w14:textId="77777777" w:rsidR="001008C3" w:rsidRDefault="00000000">
    <w:pPr>
      <w:pStyle w:val="a3"/>
      <w:spacing w:line="14" w:lineRule="auto"/>
    </w:pPr>
    <w:r>
      <w:rPr>
        <w:noProof w:val="0"/>
      </w:rPr>
      <w:pict w14:anchorId="2AC1DB53">
        <v:shapetype id="_x0000_t202" coordsize="21600,21600" o:spt="202" path="m,l,21600r21600,l21600,xe">
          <v:stroke joinstyle="miter"/>
          <v:path gradientshapeok="t" o:connecttype="rect"/>
        </v:shapetype>
        <v:shape id="_x0000_s1345" type="#_x0000_t202" style="position:absolute;margin-left:56.4pt;margin-top:594.5pt;width:20.8pt;height:12.55pt;z-index:-454336;mso-position-horizontal-relative:page;mso-position-vertical-relative:page" filled="f" stroked="f">
          <v:textbox inset="0,0,0,0">
            <w:txbxContent>
              <w:p w14:paraId="205979E0" w14:textId="77777777" w:rsidR="001008C3" w:rsidRDefault="001008C3">
                <w:pPr>
                  <w:spacing w:before="19"/>
                  <w:ind w:left="20"/>
                  <w:rPr>
                    <w:sz w:val="18"/>
                  </w:rPr>
                </w:pPr>
                <w:r>
                  <w:rPr>
                    <w:color w:val="231F20"/>
                    <w:sz w:val="18"/>
                  </w:rPr>
                  <w:t xml:space="preserve">350 </w:t>
                </w:r>
              </w:p>
            </w:txbxContent>
          </v:textbox>
          <w10:wrap anchorx="page" anchory="page"/>
        </v:shape>
      </w:pict>
    </w:r>
    <w:r>
      <w:rPr>
        <w:noProof w:val="0"/>
      </w:rPr>
      <w:pict w14:anchorId="6A07D2C5">
        <v:shape id="_x0000_s1344" type="#_x0000_t202" style="position:absolute;margin-left:90.4pt;margin-top:594.5pt;width:276.75pt;height:12.55pt;z-index:-454312;mso-position-horizontal-relative:page;mso-position-vertical-relative:page" filled="f" stroked="f">
          <v:textbox inset="0,0,0,0">
            <w:txbxContent>
              <w:p w14:paraId="15FF427B" w14:textId="77777777" w:rsidR="001008C3" w:rsidRDefault="001008C3">
                <w:pPr>
                  <w:tabs>
                    <w:tab w:val="left" w:pos="5311"/>
                  </w:tabs>
                  <w:spacing w:before="19"/>
                  <w:ind w:left="20"/>
                  <w:rPr>
                    <w:sz w:val="14"/>
                  </w:rPr>
                </w:pPr>
                <w:r>
                  <w:rPr>
                    <w:color w:val="231F20"/>
                    <w:spacing w:val="7"/>
                    <w:w w:val="115"/>
                    <w:sz w:val="18"/>
                  </w:rPr>
                  <w:t xml:space="preserve">shadow  </w:t>
                </w:r>
                <w:r>
                  <w:rPr>
                    <w:color w:val="231F20"/>
                    <w:spacing w:val="8"/>
                    <w:w w:val="115"/>
                    <w:sz w:val="18"/>
                  </w:rPr>
                  <w:t xml:space="preserve">boxing:  </w:t>
                </w:r>
                <w:r>
                  <w:rPr>
                    <w:color w:val="231F20"/>
                    <w:spacing w:val="10"/>
                    <w:w w:val="115"/>
                    <w:sz w:val="18"/>
                  </w:rPr>
                  <w:t>countering</w:t>
                </w:r>
                <w:r>
                  <w:rPr>
                    <w:color w:val="231F20"/>
                    <w:spacing w:val="41"/>
                    <w:w w:val="115"/>
                    <w:sz w:val="18"/>
                  </w:rPr>
                  <w:t xml:space="preserve"> </w:t>
                </w:r>
                <w:r>
                  <w:rPr>
                    <w:color w:val="231F20"/>
                    <w:spacing w:val="10"/>
                    <w:w w:val="115"/>
                    <w:sz w:val="18"/>
                  </w:rPr>
                  <w:t>psychological</w:t>
                </w:r>
                <w:r>
                  <w:rPr>
                    <w:color w:val="231F20"/>
                    <w:spacing w:val="48"/>
                    <w:w w:val="115"/>
                    <w:sz w:val="18"/>
                  </w:rPr>
                  <w:t xml:space="preserve"> </w:t>
                </w:r>
                <w:r>
                  <w:rPr>
                    <w:color w:val="231F20"/>
                    <w:spacing w:val="7"/>
                    <w:w w:val="115"/>
                    <w:sz w:val="18"/>
                  </w:rPr>
                  <w:t>warfare</w:t>
                </w:r>
                <w:r>
                  <w:rPr>
                    <w:color w:val="231F20"/>
                    <w:spacing w:val="7"/>
                    <w:w w:val="115"/>
                    <w:sz w:val="18"/>
                  </w:rPr>
                  <w:tab/>
                </w:r>
                <w:r>
                  <w:rPr>
                    <w:color w:val="231F20"/>
                    <w:spacing w:val="10"/>
                    <w:sz w:val="14"/>
                  </w:rPr>
                  <w:t>(9)</w:t>
                </w:r>
              </w:p>
            </w:txbxContent>
          </v:textbox>
          <w10:wrap anchorx="page" anchory="page"/>
        </v:shape>
      </w:pict>
    </w: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46ECD" w14:textId="77777777" w:rsidR="001008C3" w:rsidRDefault="00000000">
    <w:pPr>
      <w:pStyle w:val="a3"/>
      <w:spacing w:line="14" w:lineRule="auto"/>
    </w:pPr>
    <w:r>
      <w:rPr>
        <w:noProof w:val="0"/>
      </w:rPr>
      <w:pict w14:anchorId="492DC4AE">
        <v:shapetype id="_x0000_t202" coordsize="21600,21600" o:spt="202" path="m,l,21600r21600,l21600,xe">
          <v:stroke joinstyle="miter"/>
          <v:path gradientshapeok="t" o:connecttype="rect"/>
        </v:shapetype>
        <v:shape id="_x0000_s1341" type="#_x0000_t202" style="position:absolute;margin-left:55.4pt;margin-top:594.5pt;width:22.8pt;height:12.55pt;z-index:-454240;mso-position-horizontal-relative:page;mso-position-vertical-relative:page" filled="f" stroked="f">
          <v:textbox inset="0,0,0,0">
            <w:txbxContent>
              <w:p w14:paraId="0CC0F4FE"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352</w:t>
                </w:r>
                <w:r>
                  <w:fldChar w:fldCharType="end"/>
                </w:r>
                <w:r>
                  <w:rPr>
                    <w:color w:val="231F20"/>
                    <w:sz w:val="18"/>
                  </w:rPr>
                  <w:t xml:space="preserve"> </w:t>
                </w:r>
              </w:p>
            </w:txbxContent>
          </v:textbox>
          <w10:wrap anchorx="page" anchory="page"/>
        </v:shape>
      </w:pict>
    </w:r>
    <w:r>
      <w:rPr>
        <w:noProof w:val="0"/>
      </w:rPr>
      <w:pict w14:anchorId="7BDF1D60">
        <v:shape id="_x0000_s1340" type="#_x0000_t202" style="position:absolute;margin-left:90.4pt;margin-top:594.5pt;width:276.75pt;height:12.55pt;z-index:-454216;mso-position-horizontal-relative:page;mso-position-vertical-relative:page" filled="f" stroked="f">
          <v:textbox inset="0,0,0,0">
            <w:txbxContent>
              <w:p w14:paraId="07869591" w14:textId="77777777" w:rsidR="001008C3" w:rsidRDefault="001008C3">
                <w:pPr>
                  <w:tabs>
                    <w:tab w:val="left" w:pos="5311"/>
                  </w:tabs>
                  <w:spacing w:before="19"/>
                  <w:ind w:left="20"/>
                  <w:rPr>
                    <w:sz w:val="14"/>
                  </w:rPr>
                </w:pPr>
                <w:r>
                  <w:rPr>
                    <w:color w:val="231F20"/>
                    <w:spacing w:val="7"/>
                    <w:w w:val="115"/>
                    <w:sz w:val="18"/>
                  </w:rPr>
                  <w:t xml:space="preserve">shadow  </w:t>
                </w:r>
                <w:r>
                  <w:rPr>
                    <w:color w:val="231F20"/>
                    <w:spacing w:val="8"/>
                    <w:w w:val="115"/>
                    <w:sz w:val="18"/>
                  </w:rPr>
                  <w:t xml:space="preserve">boxing:  </w:t>
                </w:r>
                <w:r>
                  <w:rPr>
                    <w:color w:val="231F20"/>
                    <w:spacing w:val="10"/>
                    <w:w w:val="115"/>
                    <w:sz w:val="18"/>
                  </w:rPr>
                  <w:t>countering</w:t>
                </w:r>
                <w:r>
                  <w:rPr>
                    <w:color w:val="231F20"/>
                    <w:spacing w:val="41"/>
                    <w:w w:val="115"/>
                    <w:sz w:val="18"/>
                  </w:rPr>
                  <w:t xml:space="preserve"> </w:t>
                </w:r>
                <w:r>
                  <w:rPr>
                    <w:color w:val="231F20"/>
                    <w:spacing w:val="10"/>
                    <w:w w:val="115"/>
                    <w:sz w:val="18"/>
                  </w:rPr>
                  <w:t>psychological</w:t>
                </w:r>
                <w:r>
                  <w:rPr>
                    <w:color w:val="231F20"/>
                    <w:spacing w:val="48"/>
                    <w:w w:val="115"/>
                    <w:sz w:val="18"/>
                  </w:rPr>
                  <w:t xml:space="preserve"> </w:t>
                </w:r>
                <w:r>
                  <w:rPr>
                    <w:color w:val="231F20"/>
                    <w:spacing w:val="7"/>
                    <w:w w:val="115"/>
                    <w:sz w:val="18"/>
                  </w:rPr>
                  <w:t>warfare</w:t>
                </w:r>
                <w:r>
                  <w:rPr>
                    <w:color w:val="231F20"/>
                    <w:spacing w:val="7"/>
                    <w:w w:val="115"/>
                    <w:sz w:val="18"/>
                  </w:rPr>
                  <w:tab/>
                </w:r>
                <w:r>
                  <w:rPr>
                    <w:color w:val="231F20"/>
                    <w:spacing w:val="10"/>
                    <w:sz w:val="14"/>
                  </w:rPr>
                  <w:t>(9)</w:t>
                </w:r>
              </w:p>
            </w:txbxContent>
          </v:textbox>
          <w10:wrap anchorx="page" anchory="page"/>
        </v:shape>
      </w:pict>
    </w: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0675D" w14:textId="77777777" w:rsidR="001008C3" w:rsidRDefault="00000000">
    <w:pPr>
      <w:pStyle w:val="a3"/>
      <w:spacing w:line="14" w:lineRule="auto"/>
    </w:pPr>
    <w:r>
      <w:rPr>
        <w:noProof w:val="0"/>
      </w:rPr>
      <w:pict w14:anchorId="3976E7BB">
        <v:shapetype id="_x0000_t202" coordsize="21600,21600" o:spt="202" path="m,l,21600r21600,l21600,xe">
          <v:stroke joinstyle="miter"/>
          <v:path gradientshapeok="t" o:connecttype="rect"/>
        </v:shapetype>
        <v:shape id="_x0000_s1339" type="#_x0000_t202" style="position:absolute;margin-left:65.4pt;margin-top:594.5pt;width:116.6pt;height:12.55pt;z-index:-454192;mso-position-horizontal-relative:page;mso-position-vertical-relative:page" filled="f" stroked="f">
          <v:textbox inset="0,0,0,0">
            <w:txbxContent>
              <w:p w14:paraId="01EDE458"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21A4D484">
        <v:shape id="_x0000_s1338" type="#_x0000_t202" style="position:absolute;margin-left:356.1pt;margin-top:594.5pt;width:20.8pt;height:12.55pt;z-index:-454168;mso-position-horizontal-relative:page;mso-position-vertical-relative:page" filled="f" stroked="f">
          <v:textbox inset="0,0,0,0">
            <w:txbxContent>
              <w:p w14:paraId="0D95539B" w14:textId="77777777" w:rsidR="001008C3" w:rsidRDefault="001008C3">
                <w:pPr>
                  <w:spacing w:before="19"/>
                  <w:ind w:left="20"/>
                  <w:rPr>
                    <w:sz w:val="18"/>
                  </w:rPr>
                </w:pPr>
                <w:r>
                  <w:rPr>
                    <w:color w:val="231F20"/>
                    <w:sz w:val="18"/>
                  </w:rPr>
                  <w:t xml:space="preserve">353 </w:t>
                </w:r>
              </w:p>
            </w:txbxContent>
          </v:textbox>
          <w10:wrap anchorx="page" anchory="page"/>
        </v:shape>
      </w:pic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F98ED" w14:textId="77777777" w:rsidR="001008C3" w:rsidRDefault="00000000">
    <w:pPr>
      <w:pStyle w:val="a3"/>
      <w:spacing w:line="14" w:lineRule="auto"/>
    </w:pPr>
    <w:r>
      <w:rPr>
        <w:noProof w:val="0"/>
      </w:rPr>
      <w:pict w14:anchorId="4B798ECA">
        <v:shapetype id="_x0000_t202" coordsize="21600,21600" o:spt="202" path="m,l,21600r21600,l21600,xe">
          <v:stroke joinstyle="miter"/>
          <v:path gradientshapeok="t" o:connecttype="rect"/>
        </v:shapetype>
        <v:shape id="_x0000_s1335" type="#_x0000_t202" style="position:absolute;margin-left:55.4pt;margin-top:594.5pt;width:22.8pt;height:12.55pt;z-index:-454096;mso-position-horizontal-relative:page;mso-position-vertical-relative:page" filled="f" stroked="f">
          <v:textbox inset="0,0,0,0">
            <w:txbxContent>
              <w:p w14:paraId="251E6FD6"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356</w:t>
                </w:r>
                <w:r>
                  <w:fldChar w:fldCharType="end"/>
                </w:r>
                <w:r>
                  <w:rPr>
                    <w:color w:val="231F20"/>
                    <w:sz w:val="18"/>
                  </w:rPr>
                  <w:t xml:space="preserve"> </w:t>
                </w:r>
              </w:p>
            </w:txbxContent>
          </v:textbox>
          <w10:wrap anchorx="page" anchory="page"/>
        </v:shape>
      </w:pict>
    </w:r>
    <w:r>
      <w:rPr>
        <w:noProof w:val="0"/>
      </w:rPr>
      <w:pict w14:anchorId="1167B620">
        <v:shape id="_x0000_s1334" type="#_x0000_t202" style="position:absolute;margin-left:90.4pt;margin-top:594.5pt;width:276.75pt;height:12.55pt;z-index:-454072;mso-position-horizontal-relative:page;mso-position-vertical-relative:page" filled="f" stroked="f">
          <v:textbox inset="0,0,0,0">
            <w:txbxContent>
              <w:p w14:paraId="0F93F551" w14:textId="77777777" w:rsidR="001008C3" w:rsidRDefault="001008C3">
                <w:pPr>
                  <w:tabs>
                    <w:tab w:val="left" w:pos="5311"/>
                  </w:tabs>
                  <w:spacing w:before="19"/>
                  <w:ind w:left="20"/>
                  <w:rPr>
                    <w:sz w:val="14"/>
                  </w:rPr>
                </w:pPr>
                <w:r>
                  <w:rPr>
                    <w:color w:val="231F20"/>
                    <w:spacing w:val="7"/>
                    <w:w w:val="115"/>
                    <w:sz w:val="18"/>
                  </w:rPr>
                  <w:t xml:space="preserve">shadow  </w:t>
                </w:r>
                <w:r>
                  <w:rPr>
                    <w:color w:val="231F20"/>
                    <w:spacing w:val="8"/>
                    <w:w w:val="115"/>
                    <w:sz w:val="18"/>
                  </w:rPr>
                  <w:t xml:space="preserve">boxing:  </w:t>
                </w:r>
                <w:r>
                  <w:rPr>
                    <w:color w:val="231F20"/>
                    <w:spacing w:val="10"/>
                    <w:w w:val="115"/>
                    <w:sz w:val="18"/>
                  </w:rPr>
                  <w:t>countering</w:t>
                </w:r>
                <w:r>
                  <w:rPr>
                    <w:color w:val="231F20"/>
                    <w:spacing w:val="41"/>
                    <w:w w:val="115"/>
                    <w:sz w:val="18"/>
                  </w:rPr>
                  <w:t xml:space="preserve"> </w:t>
                </w:r>
                <w:r>
                  <w:rPr>
                    <w:color w:val="231F20"/>
                    <w:spacing w:val="10"/>
                    <w:w w:val="115"/>
                    <w:sz w:val="18"/>
                  </w:rPr>
                  <w:t>psychological</w:t>
                </w:r>
                <w:r>
                  <w:rPr>
                    <w:color w:val="231F20"/>
                    <w:spacing w:val="48"/>
                    <w:w w:val="115"/>
                    <w:sz w:val="18"/>
                  </w:rPr>
                  <w:t xml:space="preserve"> </w:t>
                </w:r>
                <w:r>
                  <w:rPr>
                    <w:color w:val="231F20"/>
                    <w:spacing w:val="7"/>
                    <w:w w:val="115"/>
                    <w:sz w:val="18"/>
                  </w:rPr>
                  <w:t>warfare</w:t>
                </w:r>
                <w:r>
                  <w:rPr>
                    <w:color w:val="231F20"/>
                    <w:spacing w:val="7"/>
                    <w:w w:val="115"/>
                    <w:sz w:val="18"/>
                  </w:rPr>
                  <w:tab/>
                </w:r>
                <w:r>
                  <w:rPr>
                    <w:color w:val="231F20"/>
                    <w:spacing w:val="10"/>
                    <w:sz w:val="14"/>
                  </w:rPr>
                  <w:t>(9)</w:t>
                </w:r>
              </w:p>
            </w:txbxContent>
          </v:textbox>
          <w10:wrap anchorx="page" anchory="page"/>
        </v:shape>
      </w:pict>
    </w: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1A23E" w14:textId="77777777" w:rsidR="001008C3" w:rsidRDefault="00000000">
    <w:pPr>
      <w:pStyle w:val="a3"/>
      <w:spacing w:line="14" w:lineRule="auto"/>
    </w:pPr>
    <w:r>
      <w:rPr>
        <w:noProof w:val="0"/>
      </w:rPr>
      <w:pict w14:anchorId="52C29BD3">
        <v:shapetype id="_x0000_t202" coordsize="21600,21600" o:spt="202" path="m,l,21600r21600,l21600,xe">
          <v:stroke joinstyle="miter"/>
          <v:path gradientshapeok="t" o:connecttype="rect"/>
        </v:shapetype>
        <v:shape id="_x0000_s1337" type="#_x0000_t202" style="position:absolute;margin-left:65.4pt;margin-top:594.5pt;width:235pt;height:12.55pt;z-index:-454144;mso-position-horizontal-relative:page;mso-position-vertical-relative:page" filled="f" stroked="f">
          <v:textbox inset="0,0,0,0">
            <w:txbxContent>
              <w:p w14:paraId="67BA4B6C" w14:textId="77777777" w:rsidR="001008C3" w:rsidRDefault="001008C3">
                <w:pPr>
                  <w:spacing w:before="19"/>
                  <w:ind w:left="20"/>
                  <w:rPr>
                    <w:sz w:val="18"/>
                  </w:rPr>
                </w:pPr>
                <w:r>
                  <w:rPr>
                    <w:color w:val="231F20"/>
                    <w:w w:val="120"/>
                    <w:sz w:val="18"/>
                  </w:rPr>
                  <w:t>july 1976 • “we know why he’s saying it”</w:t>
                </w:r>
                <w:r>
                  <w:rPr>
                    <w:color w:val="231F20"/>
                    <w:sz w:val="18"/>
                  </w:rPr>
                  <w:t xml:space="preserve"> </w:t>
                </w:r>
              </w:p>
            </w:txbxContent>
          </v:textbox>
          <w10:wrap anchorx="page" anchory="page"/>
        </v:shape>
      </w:pict>
    </w:r>
    <w:r>
      <w:rPr>
        <w:noProof w:val="0"/>
      </w:rPr>
      <w:pict w14:anchorId="0EE0E252">
        <v:shape id="_x0000_s1336" type="#_x0000_t202" style="position:absolute;margin-left:355.1pt;margin-top:594.5pt;width:22.8pt;height:12.55pt;z-index:-454120;mso-position-horizontal-relative:page;mso-position-vertical-relative:page" filled="f" stroked="f">
          <v:textbox inset="0,0,0,0">
            <w:txbxContent>
              <w:p w14:paraId="34286BFB"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355</w:t>
                </w:r>
                <w:r>
                  <w:fldChar w:fldCharType="end"/>
                </w:r>
                <w:r>
                  <w:rPr>
                    <w:color w:val="231F20"/>
                    <w:sz w:val="18"/>
                  </w:rPr>
                  <w:t xml:space="preserve"> </w:t>
                </w:r>
              </w:p>
            </w:txbxContent>
          </v:textbox>
          <w10:wrap anchorx="page" anchory="page"/>
        </v:shape>
      </w:pict>
    </w: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2D0B2" w14:textId="77777777" w:rsidR="001008C3" w:rsidRDefault="00000000">
    <w:pPr>
      <w:pStyle w:val="a3"/>
      <w:spacing w:line="14" w:lineRule="auto"/>
    </w:pPr>
    <w:r>
      <w:rPr>
        <w:noProof w:val="0"/>
      </w:rPr>
      <w:pict w14:anchorId="64571025">
        <v:shapetype id="_x0000_t202" coordsize="21600,21600" o:spt="202" path="m,l,21600r21600,l21600,xe">
          <v:stroke joinstyle="miter"/>
          <v:path gradientshapeok="t" o:connecttype="rect"/>
        </v:shapetype>
        <v:shape id="_x0000_s1333" type="#_x0000_t202" style="position:absolute;margin-left:65.4pt;margin-top:594.5pt;width:311.5pt;height:12.55pt;z-index:-454048;mso-position-horizontal-relative:page;mso-position-vertical-relative:page" filled="f" stroked="f">
          <v:textbox inset="0,0,0,0">
            <w:txbxContent>
              <w:p w14:paraId="16F95630" w14:textId="77777777" w:rsidR="001008C3" w:rsidRDefault="001008C3">
                <w:pPr>
                  <w:spacing w:before="19"/>
                  <w:ind w:left="20"/>
                  <w:rPr>
                    <w:sz w:val="18"/>
                  </w:rPr>
                </w:pPr>
                <w:r>
                  <w:rPr>
                    <w:color w:val="231F20"/>
                    <w:w w:val="115"/>
                    <w:sz w:val="18"/>
                  </w:rPr>
                  <w:t>september 1974 • the liberation of andreas baader 359</w:t>
                </w:r>
                <w:r>
                  <w:rPr>
                    <w:color w:val="231F20"/>
                    <w:sz w:val="18"/>
                  </w:rPr>
                  <w:t xml:space="preserve"> </w:t>
                </w:r>
              </w:p>
            </w:txbxContent>
          </v:textbox>
          <w10:wrap anchorx="page" anchory="page"/>
        </v:shape>
      </w:pic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A1B6F" w14:textId="77777777" w:rsidR="001008C3" w:rsidRDefault="00000000">
    <w:pPr>
      <w:pStyle w:val="a3"/>
      <w:spacing w:line="14" w:lineRule="auto"/>
    </w:pPr>
    <w:r>
      <w:rPr>
        <w:noProof w:val="0"/>
      </w:rPr>
      <w:pict w14:anchorId="7B1349A8">
        <v:shapetype id="_x0000_t202" coordsize="21600,21600" o:spt="202" path="m,l,21600r21600,l21600,xe">
          <v:stroke joinstyle="miter"/>
          <v:path gradientshapeok="t" o:connecttype="rect"/>
        </v:shapetype>
        <v:shape id="_x0000_s1332" type="#_x0000_t202" style="position:absolute;margin-left:56.4pt;margin-top:594.5pt;width:20.8pt;height:12.55pt;z-index:-454024;mso-position-horizontal-relative:page;mso-position-vertical-relative:page" filled="f" stroked="f">
          <v:textbox inset="0,0,0,0">
            <w:txbxContent>
              <w:p w14:paraId="2C9E4707" w14:textId="77777777" w:rsidR="001008C3" w:rsidRDefault="001008C3">
                <w:pPr>
                  <w:spacing w:before="19"/>
                  <w:ind w:left="20"/>
                  <w:rPr>
                    <w:sz w:val="18"/>
                  </w:rPr>
                </w:pPr>
                <w:r>
                  <w:rPr>
                    <w:color w:val="231F20"/>
                    <w:sz w:val="18"/>
                  </w:rPr>
                  <w:t xml:space="preserve">360 </w:t>
                </w:r>
              </w:p>
            </w:txbxContent>
          </v:textbox>
          <w10:wrap anchorx="page" anchory="page"/>
        </v:shape>
      </w:pict>
    </w:r>
    <w:r>
      <w:rPr>
        <w:noProof w:val="0"/>
      </w:rPr>
      <w:pict w14:anchorId="2DFDB9A7">
        <v:shape id="_x0000_s1331" type="#_x0000_t202" style="position:absolute;margin-left:90.4pt;margin-top:594.5pt;width:276.75pt;height:12.55pt;z-index:-454000;mso-position-horizontal-relative:page;mso-position-vertical-relative:page" filled="f" stroked="f">
          <v:textbox inset="0,0,0,0">
            <w:txbxContent>
              <w:p w14:paraId="589B69B0" w14:textId="77777777" w:rsidR="001008C3" w:rsidRDefault="001008C3">
                <w:pPr>
                  <w:tabs>
                    <w:tab w:val="left" w:pos="5311"/>
                  </w:tabs>
                  <w:spacing w:before="19"/>
                  <w:ind w:left="20"/>
                  <w:rPr>
                    <w:sz w:val="14"/>
                  </w:rPr>
                </w:pPr>
                <w:r>
                  <w:rPr>
                    <w:color w:val="231F20"/>
                    <w:spacing w:val="7"/>
                    <w:w w:val="115"/>
                    <w:sz w:val="18"/>
                  </w:rPr>
                  <w:t xml:space="preserve">shadow  </w:t>
                </w:r>
                <w:r>
                  <w:rPr>
                    <w:color w:val="231F20"/>
                    <w:spacing w:val="8"/>
                    <w:w w:val="115"/>
                    <w:sz w:val="18"/>
                  </w:rPr>
                  <w:t xml:space="preserve">boxing:  </w:t>
                </w:r>
                <w:r>
                  <w:rPr>
                    <w:color w:val="231F20"/>
                    <w:spacing w:val="10"/>
                    <w:w w:val="115"/>
                    <w:sz w:val="18"/>
                  </w:rPr>
                  <w:t>countering</w:t>
                </w:r>
                <w:r>
                  <w:rPr>
                    <w:color w:val="231F20"/>
                    <w:spacing w:val="41"/>
                    <w:w w:val="115"/>
                    <w:sz w:val="18"/>
                  </w:rPr>
                  <w:t xml:space="preserve"> </w:t>
                </w:r>
                <w:r>
                  <w:rPr>
                    <w:color w:val="231F20"/>
                    <w:spacing w:val="10"/>
                    <w:w w:val="115"/>
                    <w:sz w:val="18"/>
                  </w:rPr>
                  <w:t>psychological</w:t>
                </w:r>
                <w:r>
                  <w:rPr>
                    <w:color w:val="231F20"/>
                    <w:spacing w:val="48"/>
                    <w:w w:val="115"/>
                    <w:sz w:val="18"/>
                  </w:rPr>
                  <w:t xml:space="preserve"> </w:t>
                </w:r>
                <w:r>
                  <w:rPr>
                    <w:color w:val="231F20"/>
                    <w:spacing w:val="7"/>
                    <w:w w:val="115"/>
                    <w:sz w:val="18"/>
                  </w:rPr>
                  <w:t>warfare</w:t>
                </w:r>
                <w:r>
                  <w:rPr>
                    <w:color w:val="231F20"/>
                    <w:spacing w:val="7"/>
                    <w:w w:val="115"/>
                    <w:sz w:val="18"/>
                  </w:rPr>
                  <w:tab/>
                </w:r>
                <w:r>
                  <w:rPr>
                    <w:color w:val="231F20"/>
                    <w:spacing w:val="10"/>
                    <w:sz w:val="14"/>
                  </w:rPr>
                  <w:t>(9)</w:t>
                </w:r>
              </w:p>
            </w:txbxContent>
          </v:textbox>
          <w10:wrap anchorx="page" anchory="page"/>
        </v:shape>
      </w:pict>
    </w: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E1874" w14:textId="77777777" w:rsidR="001008C3" w:rsidRDefault="00000000">
    <w:pPr>
      <w:pStyle w:val="a3"/>
      <w:spacing w:line="14" w:lineRule="auto"/>
    </w:pPr>
    <w:r>
      <w:rPr>
        <w:noProof w:val="0"/>
      </w:rPr>
      <w:pict w14:anchorId="79C80CD0">
        <v:shapetype id="_x0000_t202" coordsize="21600,21600" o:spt="202" path="m,l,21600r21600,l21600,xe">
          <v:stroke joinstyle="miter"/>
          <v:path gradientshapeok="t" o:connecttype="rect"/>
        </v:shapetype>
        <v:shape id="_x0000_s1330" type="#_x0000_t202" style="position:absolute;margin-left:65.4pt;margin-top:594.5pt;width:311.5pt;height:12.55pt;z-index:-453976;mso-position-horizontal-relative:page;mso-position-vertical-relative:page" filled="f" stroked="f">
          <v:textbox inset="0,0,0,0">
            <w:txbxContent>
              <w:p w14:paraId="74CBD786" w14:textId="77777777" w:rsidR="001008C3" w:rsidRDefault="001008C3">
                <w:pPr>
                  <w:spacing w:before="19"/>
                  <w:ind w:left="20"/>
                  <w:rPr>
                    <w:sz w:val="18"/>
                  </w:rPr>
                </w:pPr>
                <w:r>
                  <w:rPr>
                    <w:color w:val="231F20"/>
                    <w:w w:val="115"/>
                    <w:sz w:val="18"/>
                  </w:rPr>
                  <w:t>september 1974 • the liberation of andreas baader 361</w:t>
                </w:r>
                <w:r>
                  <w:rPr>
                    <w:color w:val="231F20"/>
                    <w:sz w:val="18"/>
                  </w:rPr>
                  <w:t xml:space="preserve"> </w:t>
                </w:r>
              </w:p>
            </w:txbxContent>
          </v:textbox>
          <w10:wrap anchorx="page" anchory="page"/>
        </v:shape>
      </w:pict>
    </w: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9E486" w14:textId="77777777" w:rsidR="001008C3" w:rsidRDefault="00000000">
    <w:pPr>
      <w:pStyle w:val="a3"/>
      <w:spacing w:line="14" w:lineRule="auto"/>
    </w:pPr>
    <w:r>
      <w:rPr>
        <w:noProof w:val="0"/>
      </w:rPr>
      <w:pict w14:anchorId="0AA07CE7">
        <v:shapetype id="_x0000_t202" coordsize="21600,21600" o:spt="202" path="m,l,21600r21600,l21600,xe">
          <v:stroke joinstyle="miter"/>
          <v:path gradientshapeok="t" o:connecttype="rect"/>
        </v:shapetype>
        <v:shape id="_x0000_s1329" type="#_x0000_t202" style="position:absolute;margin-left:55.4pt;margin-top:594.5pt;width:22.8pt;height:12.55pt;z-index:-453952;mso-position-horizontal-relative:page;mso-position-vertical-relative:page" filled="f" stroked="f">
          <v:textbox inset="0,0,0,0">
            <w:txbxContent>
              <w:p w14:paraId="7A7BBCA3" w14:textId="77777777" w:rsidR="001008C3" w:rsidRDefault="001008C3">
                <w:pPr>
                  <w:spacing w:before="19"/>
                  <w:ind w:left="40"/>
                  <w:rPr>
                    <w:sz w:val="18"/>
                  </w:rPr>
                </w:pPr>
                <w:r>
                  <w:rPr>
                    <w:color w:val="231F20"/>
                    <w:sz w:val="18"/>
                  </w:rPr>
                  <w:t xml:space="preserve">362 </w:t>
                </w:r>
              </w:p>
            </w:txbxContent>
          </v:textbox>
          <w10:wrap anchorx="page" anchory="page"/>
        </v:shape>
      </w:pict>
    </w:r>
    <w:r>
      <w:rPr>
        <w:noProof w:val="0"/>
      </w:rPr>
      <w:pict w14:anchorId="49E46EC7">
        <v:shape id="_x0000_s1328" type="#_x0000_t202" style="position:absolute;margin-left:90.4pt;margin-top:594.5pt;width:276.75pt;height:12.55pt;z-index:-453928;mso-position-horizontal-relative:page;mso-position-vertical-relative:page" filled="f" stroked="f">
          <v:textbox inset="0,0,0,0">
            <w:txbxContent>
              <w:p w14:paraId="4EEA2EC9" w14:textId="77777777" w:rsidR="001008C3" w:rsidRDefault="001008C3">
                <w:pPr>
                  <w:tabs>
                    <w:tab w:val="left" w:pos="5311"/>
                  </w:tabs>
                  <w:spacing w:before="19"/>
                  <w:ind w:left="20"/>
                  <w:rPr>
                    <w:sz w:val="14"/>
                  </w:rPr>
                </w:pPr>
                <w:r>
                  <w:rPr>
                    <w:color w:val="231F20"/>
                    <w:spacing w:val="7"/>
                    <w:w w:val="115"/>
                    <w:sz w:val="18"/>
                  </w:rPr>
                  <w:t xml:space="preserve">shadow  </w:t>
                </w:r>
                <w:r>
                  <w:rPr>
                    <w:color w:val="231F20"/>
                    <w:spacing w:val="8"/>
                    <w:w w:val="115"/>
                    <w:sz w:val="18"/>
                  </w:rPr>
                  <w:t xml:space="preserve">boxing:  </w:t>
                </w:r>
                <w:r>
                  <w:rPr>
                    <w:color w:val="231F20"/>
                    <w:spacing w:val="10"/>
                    <w:w w:val="115"/>
                    <w:sz w:val="18"/>
                  </w:rPr>
                  <w:t>countering</w:t>
                </w:r>
                <w:r>
                  <w:rPr>
                    <w:color w:val="231F20"/>
                    <w:spacing w:val="41"/>
                    <w:w w:val="115"/>
                    <w:sz w:val="18"/>
                  </w:rPr>
                  <w:t xml:space="preserve"> </w:t>
                </w:r>
                <w:r>
                  <w:rPr>
                    <w:color w:val="231F20"/>
                    <w:spacing w:val="10"/>
                    <w:w w:val="115"/>
                    <w:sz w:val="18"/>
                  </w:rPr>
                  <w:t>psychological</w:t>
                </w:r>
                <w:r>
                  <w:rPr>
                    <w:color w:val="231F20"/>
                    <w:spacing w:val="48"/>
                    <w:w w:val="115"/>
                    <w:sz w:val="18"/>
                  </w:rPr>
                  <w:t xml:space="preserve"> </w:t>
                </w:r>
                <w:r>
                  <w:rPr>
                    <w:color w:val="231F20"/>
                    <w:spacing w:val="7"/>
                    <w:w w:val="115"/>
                    <w:sz w:val="18"/>
                  </w:rPr>
                  <w:t>warfare</w:t>
                </w:r>
                <w:r>
                  <w:rPr>
                    <w:color w:val="231F20"/>
                    <w:spacing w:val="7"/>
                    <w:w w:val="115"/>
                    <w:sz w:val="18"/>
                  </w:rPr>
                  <w:tab/>
                </w:r>
                <w:r>
                  <w:rPr>
                    <w:color w:val="231F20"/>
                    <w:spacing w:val="10"/>
                    <w:sz w:val="14"/>
                  </w:rPr>
                  <w:t>(9)</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DBA09" w14:textId="77777777" w:rsidR="001008C3" w:rsidRDefault="00000000">
    <w:pPr>
      <w:pStyle w:val="a3"/>
      <w:spacing w:line="14" w:lineRule="auto"/>
    </w:pPr>
    <w:r>
      <w:rPr>
        <w:noProof w:val="0"/>
      </w:rPr>
      <w:pict w14:anchorId="64607790">
        <v:shapetype id="_x0000_t202" coordsize="21600,21600" o:spt="202" path="m,l,21600r21600,l21600,xe">
          <v:stroke joinstyle="miter"/>
          <v:path gradientshapeok="t" o:connecttype="rect"/>
        </v:shapetype>
        <v:shape id="_x0000_s1713" type="#_x0000_t202" style="position:absolute;margin-left:65.4pt;margin-top:594.5pt;width:116.6pt;height:12.55pt;z-index:-463168;mso-position-horizontal-relative:page;mso-position-vertical-relative:page" filled="f" stroked="f">
          <v:textbox inset="0,0,0,0">
            <w:txbxContent>
              <w:p w14:paraId="10FA5AD2"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63D7AB66">
        <v:shape id="_x0000_s1712" type="#_x0000_t202" style="position:absolute;margin-left:362.35pt;margin-top:594.5pt;width:14.55pt;height:12.55pt;z-index:-463144;mso-position-horizontal-relative:page;mso-position-vertical-relative:page" filled="f" stroked="f">
          <v:textbox inset="0,0,0,0">
            <w:txbxContent>
              <w:p w14:paraId="58862F45" w14:textId="77777777" w:rsidR="001008C3" w:rsidRDefault="001008C3">
                <w:pPr>
                  <w:spacing w:before="19"/>
                  <w:ind w:left="20"/>
                  <w:rPr>
                    <w:sz w:val="18"/>
                  </w:rPr>
                </w:pPr>
                <w:r>
                  <w:fldChar w:fldCharType="begin"/>
                </w:r>
                <w:r>
                  <w:rPr>
                    <w:color w:val="231F20"/>
                    <w:sz w:val="18"/>
                  </w:rPr>
                  <w:instrText xml:space="preserve"> PAGE </w:instrText>
                </w:r>
                <w:r>
                  <w:fldChar w:fldCharType="separate"/>
                </w:r>
                <w:r>
                  <w:t>11</w:t>
                </w:r>
                <w:r>
                  <w:fldChar w:fldCharType="end"/>
                </w:r>
                <w:r>
                  <w:rPr>
                    <w:color w:val="231F20"/>
                    <w:sz w:val="18"/>
                  </w:rPr>
                  <w:t xml:space="preserve"> </w:t>
                </w:r>
              </w:p>
            </w:txbxContent>
          </v:textbox>
          <w10:wrap anchorx="page" anchory="page"/>
        </v:shape>
      </w:pict>
    </w: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D29AE" w14:textId="77777777" w:rsidR="001008C3" w:rsidRDefault="00000000">
    <w:pPr>
      <w:pStyle w:val="a3"/>
      <w:spacing w:line="14" w:lineRule="auto"/>
    </w:pPr>
    <w:r>
      <w:rPr>
        <w:noProof w:val="0"/>
      </w:rPr>
      <w:pict w14:anchorId="5B7A9F5C">
        <v:shapetype id="_x0000_t202" coordsize="21600,21600" o:spt="202" path="m,l,21600r21600,l21600,xe">
          <v:stroke joinstyle="miter"/>
          <v:path gradientshapeok="t" o:connecttype="rect"/>
        </v:shapetype>
        <v:shape id="_x0000_s1326" type="#_x0000_t202" style="position:absolute;margin-left:55.4pt;margin-top:594.5pt;width:22.8pt;height:12.55pt;z-index:-453880;mso-position-horizontal-relative:page;mso-position-vertical-relative:page" filled="f" stroked="f">
          <v:textbox inset="0,0,0,0">
            <w:txbxContent>
              <w:p w14:paraId="09E357C4"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364</w:t>
                </w:r>
                <w:r>
                  <w:fldChar w:fldCharType="end"/>
                </w:r>
                <w:r>
                  <w:rPr>
                    <w:color w:val="231F20"/>
                    <w:sz w:val="18"/>
                  </w:rPr>
                  <w:t xml:space="preserve"> </w:t>
                </w:r>
              </w:p>
            </w:txbxContent>
          </v:textbox>
          <w10:wrap anchorx="page" anchory="page"/>
        </v:shape>
      </w:pict>
    </w:r>
    <w:r>
      <w:rPr>
        <w:noProof w:val="0"/>
      </w:rPr>
      <w:pict w14:anchorId="0A4068D0">
        <v:shape id="_x0000_s1325" type="#_x0000_t202" style="position:absolute;margin-left:90.4pt;margin-top:594.5pt;width:276.75pt;height:12.55pt;z-index:-453856;mso-position-horizontal-relative:page;mso-position-vertical-relative:page" filled="f" stroked="f">
          <v:textbox inset="0,0,0,0">
            <w:txbxContent>
              <w:p w14:paraId="3B46045A" w14:textId="77777777" w:rsidR="001008C3" w:rsidRDefault="001008C3">
                <w:pPr>
                  <w:tabs>
                    <w:tab w:val="left" w:pos="5311"/>
                  </w:tabs>
                  <w:spacing w:before="19"/>
                  <w:ind w:left="20"/>
                  <w:rPr>
                    <w:sz w:val="14"/>
                  </w:rPr>
                </w:pPr>
                <w:r>
                  <w:rPr>
                    <w:color w:val="231F20"/>
                    <w:spacing w:val="7"/>
                    <w:w w:val="115"/>
                    <w:sz w:val="18"/>
                  </w:rPr>
                  <w:t xml:space="preserve">shadow  </w:t>
                </w:r>
                <w:r>
                  <w:rPr>
                    <w:color w:val="231F20"/>
                    <w:spacing w:val="8"/>
                    <w:w w:val="115"/>
                    <w:sz w:val="18"/>
                  </w:rPr>
                  <w:t xml:space="preserve">boxing:  </w:t>
                </w:r>
                <w:r>
                  <w:rPr>
                    <w:color w:val="231F20"/>
                    <w:spacing w:val="10"/>
                    <w:w w:val="115"/>
                    <w:sz w:val="18"/>
                  </w:rPr>
                  <w:t>countering</w:t>
                </w:r>
                <w:r>
                  <w:rPr>
                    <w:color w:val="231F20"/>
                    <w:spacing w:val="41"/>
                    <w:w w:val="115"/>
                    <w:sz w:val="18"/>
                  </w:rPr>
                  <w:t xml:space="preserve"> </w:t>
                </w:r>
                <w:r>
                  <w:rPr>
                    <w:color w:val="231F20"/>
                    <w:spacing w:val="10"/>
                    <w:w w:val="115"/>
                    <w:sz w:val="18"/>
                  </w:rPr>
                  <w:t>psychological</w:t>
                </w:r>
                <w:r>
                  <w:rPr>
                    <w:color w:val="231F20"/>
                    <w:spacing w:val="48"/>
                    <w:w w:val="115"/>
                    <w:sz w:val="18"/>
                  </w:rPr>
                  <w:t xml:space="preserve"> </w:t>
                </w:r>
                <w:r>
                  <w:rPr>
                    <w:color w:val="231F20"/>
                    <w:spacing w:val="7"/>
                    <w:w w:val="115"/>
                    <w:sz w:val="18"/>
                  </w:rPr>
                  <w:t>warfare</w:t>
                </w:r>
                <w:r>
                  <w:rPr>
                    <w:color w:val="231F20"/>
                    <w:spacing w:val="7"/>
                    <w:w w:val="115"/>
                    <w:sz w:val="18"/>
                  </w:rPr>
                  <w:tab/>
                </w:r>
                <w:r>
                  <w:rPr>
                    <w:color w:val="231F20"/>
                    <w:spacing w:val="10"/>
                    <w:sz w:val="14"/>
                  </w:rPr>
                  <w:t>(9)</w:t>
                </w:r>
              </w:p>
            </w:txbxContent>
          </v:textbox>
          <w10:wrap anchorx="page" anchory="page"/>
        </v:shape>
      </w:pict>
    </w: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82A45" w14:textId="77777777" w:rsidR="001008C3" w:rsidRDefault="00000000">
    <w:pPr>
      <w:pStyle w:val="a3"/>
      <w:spacing w:line="14" w:lineRule="auto"/>
    </w:pPr>
    <w:r>
      <w:rPr>
        <w:noProof w:val="0"/>
      </w:rPr>
      <w:pict w14:anchorId="6401A59D">
        <v:shapetype id="_x0000_t202" coordsize="21600,21600" o:spt="202" path="m,l,21600r21600,l21600,xe">
          <v:stroke joinstyle="miter"/>
          <v:path gradientshapeok="t" o:connecttype="rect"/>
        </v:shapetype>
        <v:shape id="_x0000_s1327" type="#_x0000_t202" style="position:absolute;margin-left:65.4pt;margin-top:594.5pt;width:312.5pt;height:12.55pt;z-index:-453904;mso-position-horizontal-relative:page;mso-position-vertical-relative:page" filled="f" stroked="f">
          <v:textbox inset="0,0,0,0">
            <w:txbxContent>
              <w:p w14:paraId="0FB4E5DD" w14:textId="77777777" w:rsidR="001008C3" w:rsidRDefault="001008C3">
                <w:pPr>
                  <w:spacing w:before="19"/>
                  <w:ind w:left="20"/>
                  <w:rPr>
                    <w:sz w:val="18"/>
                  </w:rPr>
                </w:pPr>
                <w:r>
                  <w:rPr>
                    <w:color w:val="231F20"/>
                    <w:w w:val="115"/>
                    <w:sz w:val="18"/>
                  </w:rPr>
                  <w:t xml:space="preserve">september 1974 • the liberation of andreas baader </w:t>
                </w:r>
                <w:r>
                  <w:fldChar w:fldCharType="begin"/>
                </w:r>
                <w:r>
                  <w:rPr>
                    <w:color w:val="231F20"/>
                    <w:w w:val="115"/>
                    <w:sz w:val="18"/>
                  </w:rPr>
                  <w:instrText xml:space="preserve"> PAGE </w:instrText>
                </w:r>
                <w:r>
                  <w:fldChar w:fldCharType="separate"/>
                </w:r>
                <w:r>
                  <w:t>363</w:t>
                </w:r>
                <w:r>
                  <w:fldChar w:fldCharType="end"/>
                </w:r>
                <w:r>
                  <w:rPr>
                    <w:color w:val="231F20"/>
                    <w:sz w:val="18"/>
                  </w:rPr>
                  <w:t xml:space="preserve"> </w:t>
                </w:r>
              </w:p>
            </w:txbxContent>
          </v:textbox>
          <w10:wrap anchorx="page" anchory="page"/>
        </v:shape>
      </w:pict>
    </w: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44FEA" w14:textId="77777777" w:rsidR="001008C3" w:rsidRDefault="00000000">
    <w:pPr>
      <w:pStyle w:val="a3"/>
      <w:spacing w:line="14" w:lineRule="auto"/>
    </w:pPr>
    <w:r>
      <w:rPr>
        <w:noProof w:val="0"/>
      </w:rPr>
      <w:pict w14:anchorId="2E3B5EC3">
        <v:shapetype id="_x0000_t202" coordsize="21600,21600" o:spt="202" path="m,l,21600r21600,l21600,xe">
          <v:stroke joinstyle="miter"/>
          <v:path gradientshapeok="t" o:connecttype="rect"/>
        </v:shapetype>
        <v:shape id="_x0000_s1322" type="#_x0000_t202" style="position:absolute;margin-left:65.4pt;margin-top:594.5pt;width:311.5pt;height:12.55pt;z-index:-453784;mso-position-horizontal-relative:page;mso-position-vertical-relative:page" filled="f" stroked="f">
          <v:textbox inset="0,0,0,0">
            <w:txbxContent>
              <w:p w14:paraId="063575C6" w14:textId="77777777" w:rsidR="001008C3" w:rsidRDefault="001008C3">
                <w:pPr>
                  <w:spacing w:before="19"/>
                  <w:ind w:left="20"/>
                  <w:rPr>
                    <w:sz w:val="18"/>
                  </w:rPr>
                </w:pPr>
                <w:r>
                  <w:rPr>
                    <w:color w:val="231F20"/>
                    <w:w w:val="115"/>
                    <w:sz w:val="18"/>
                  </w:rPr>
                  <w:t>december 1974 • bombing of bremen train station 371</w:t>
                </w:r>
                <w:r>
                  <w:rPr>
                    <w:color w:val="231F20"/>
                    <w:sz w:val="18"/>
                  </w:rPr>
                  <w:t xml:space="preserve"> </w:t>
                </w:r>
              </w:p>
            </w:txbxContent>
          </v:textbox>
          <w10:wrap anchorx="page" anchory="page"/>
        </v:shape>
      </w:pic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9AF9A" w14:textId="77777777" w:rsidR="001008C3" w:rsidRDefault="00000000">
    <w:pPr>
      <w:pStyle w:val="a3"/>
      <w:spacing w:line="14" w:lineRule="auto"/>
    </w:pPr>
    <w:r>
      <w:rPr>
        <w:noProof w:val="0"/>
      </w:rPr>
      <w:pict w14:anchorId="36AF39CE">
        <v:shapetype id="_x0000_t202" coordsize="21600,21600" o:spt="202" path="m,l,21600r21600,l21600,xe">
          <v:stroke joinstyle="miter"/>
          <v:path gradientshapeok="t" o:connecttype="rect"/>
        </v:shapetype>
        <v:shape id="_x0000_s1324" type="#_x0000_t202" style="position:absolute;margin-left:56.4pt;margin-top:594.5pt;width:20.8pt;height:12.55pt;z-index:-453832;mso-position-horizontal-relative:page;mso-position-vertical-relative:page" filled="f" stroked="f">
          <v:textbox inset="0,0,0,0">
            <w:txbxContent>
              <w:p w14:paraId="64795886" w14:textId="77777777" w:rsidR="001008C3" w:rsidRDefault="001008C3">
                <w:pPr>
                  <w:spacing w:before="19"/>
                  <w:ind w:left="20"/>
                  <w:rPr>
                    <w:sz w:val="18"/>
                  </w:rPr>
                </w:pPr>
                <w:r>
                  <w:rPr>
                    <w:color w:val="231F20"/>
                    <w:sz w:val="18"/>
                  </w:rPr>
                  <w:t xml:space="preserve">370 </w:t>
                </w:r>
              </w:p>
            </w:txbxContent>
          </v:textbox>
          <w10:wrap anchorx="page" anchory="page"/>
        </v:shape>
      </w:pict>
    </w:r>
    <w:r>
      <w:rPr>
        <w:noProof w:val="0"/>
      </w:rPr>
      <w:pict w14:anchorId="7B495AF1">
        <v:shape id="_x0000_s1323" type="#_x0000_t202" style="position:absolute;margin-left:90.4pt;margin-top:594.5pt;width:276.75pt;height:12.55pt;z-index:-453808;mso-position-horizontal-relative:page;mso-position-vertical-relative:page" filled="f" stroked="f">
          <v:textbox inset="0,0,0,0">
            <w:txbxContent>
              <w:p w14:paraId="7BA082DD" w14:textId="77777777" w:rsidR="001008C3" w:rsidRDefault="001008C3">
                <w:pPr>
                  <w:tabs>
                    <w:tab w:val="left" w:pos="5311"/>
                  </w:tabs>
                  <w:spacing w:before="19"/>
                  <w:ind w:left="20"/>
                  <w:rPr>
                    <w:sz w:val="14"/>
                  </w:rPr>
                </w:pPr>
                <w:r>
                  <w:rPr>
                    <w:color w:val="231F20"/>
                    <w:spacing w:val="7"/>
                    <w:w w:val="115"/>
                    <w:sz w:val="18"/>
                  </w:rPr>
                  <w:t xml:space="preserve">shadow  </w:t>
                </w:r>
                <w:r>
                  <w:rPr>
                    <w:color w:val="231F20"/>
                    <w:spacing w:val="8"/>
                    <w:w w:val="115"/>
                    <w:sz w:val="18"/>
                  </w:rPr>
                  <w:t xml:space="preserve">boxing:  </w:t>
                </w:r>
                <w:r>
                  <w:rPr>
                    <w:color w:val="231F20"/>
                    <w:spacing w:val="10"/>
                    <w:w w:val="115"/>
                    <w:sz w:val="18"/>
                  </w:rPr>
                  <w:t>countering</w:t>
                </w:r>
                <w:r>
                  <w:rPr>
                    <w:color w:val="231F20"/>
                    <w:spacing w:val="41"/>
                    <w:w w:val="115"/>
                    <w:sz w:val="18"/>
                  </w:rPr>
                  <w:t xml:space="preserve"> </w:t>
                </w:r>
                <w:r>
                  <w:rPr>
                    <w:color w:val="231F20"/>
                    <w:spacing w:val="10"/>
                    <w:w w:val="115"/>
                    <w:sz w:val="18"/>
                  </w:rPr>
                  <w:t>psychological</w:t>
                </w:r>
                <w:r>
                  <w:rPr>
                    <w:color w:val="231F20"/>
                    <w:spacing w:val="48"/>
                    <w:w w:val="115"/>
                    <w:sz w:val="18"/>
                  </w:rPr>
                  <w:t xml:space="preserve"> </w:t>
                </w:r>
                <w:r>
                  <w:rPr>
                    <w:color w:val="231F20"/>
                    <w:spacing w:val="7"/>
                    <w:w w:val="115"/>
                    <w:sz w:val="18"/>
                  </w:rPr>
                  <w:t>warfare</w:t>
                </w:r>
                <w:r>
                  <w:rPr>
                    <w:color w:val="231F20"/>
                    <w:spacing w:val="7"/>
                    <w:w w:val="115"/>
                    <w:sz w:val="18"/>
                  </w:rPr>
                  <w:tab/>
                </w:r>
                <w:r>
                  <w:rPr>
                    <w:color w:val="231F20"/>
                    <w:spacing w:val="10"/>
                    <w:sz w:val="14"/>
                  </w:rPr>
                  <w:t>(9)</w:t>
                </w:r>
              </w:p>
            </w:txbxContent>
          </v:textbox>
          <w10:wrap anchorx="page" anchory="page"/>
        </v:shape>
      </w:pict>
    </w: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19A22" w14:textId="77777777" w:rsidR="001008C3" w:rsidRDefault="00000000">
    <w:pPr>
      <w:pStyle w:val="a3"/>
      <w:spacing w:line="14" w:lineRule="auto"/>
    </w:pPr>
    <w:r>
      <w:rPr>
        <w:noProof w:val="0"/>
      </w:rPr>
      <w:pict w14:anchorId="4832B7DA">
        <v:shapetype id="_x0000_t202" coordsize="21600,21600" o:spt="202" path="m,l,21600r21600,l21600,xe">
          <v:stroke joinstyle="miter"/>
          <v:path gradientshapeok="t" o:connecttype="rect"/>
        </v:shapetype>
        <v:shape id="_x0000_s1321" type="#_x0000_t202" style="position:absolute;margin-left:55.4pt;margin-top:594.5pt;width:22.8pt;height:12.55pt;z-index:-453760;mso-position-horizontal-relative:page;mso-position-vertical-relative:page" filled="f" stroked="f">
          <v:textbox inset="0,0,0,0">
            <w:txbxContent>
              <w:p w14:paraId="60E495B5"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372</w:t>
                </w:r>
                <w:r>
                  <w:fldChar w:fldCharType="end"/>
                </w:r>
                <w:r>
                  <w:rPr>
                    <w:color w:val="231F20"/>
                    <w:sz w:val="18"/>
                  </w:rPr>
                  <w:t xml:space="preserve"> </w:t>
                </w:r>
              </w:p>
            </w:txbxContent>
          </v:textbox>
          <w10:wrap anchorx="page" anchory="page"/>
        </v:shape>
      </w:pict>
    </w:r>
    <w:r>
      <w:rPr>
        <w:noProof w:val="0"/>
      </w:rPr>
      <w:pict w14:anchorId="5CC3FA0A">
        <v:shape id="_x0000_s1320" type="#_x0000_t202" style="position:absolute;margin-left:90.4pt;margin-top:594.5pt;width:276.75pt;height:12.55pt;z-index:-453736;mso-position-horizontal-relative:page;mso-position-vertical-relative:page" filled="f" stroked="f">
          <v:textbox inset="0,0,0,0">
            <w:txbxContent>
              <w:p w14:paraId="6D62EDFA" w14:textId="77777777" w:rsidR="001008C3" w:rsidRDefault="001008C3">
                <w:pPr>
                  <w:tabs>
                    <w:tab w:val="left" w:pos="5311"/>
                  </w:tabs>
                  <w:spacing w:before="19"/>
                  <w:ind w:left="20"/>
                  <w:rPr>
                    <w:sz w:val="14"/>
                  </w:rPr>
                </w:pPr>
                <w:r>
                  <w:rPr>
                    <w:color w:val="231F20"/>
                    <w:spacing w:val="7"/>
                    <w:w w:val="115"/>
                    <w:sz w:val="18"/>
                  </w:rPr>
                  <w:t xml:space="preserve">shadow  </w:t>
                </w:r>
                <w:r>
                  <w:rPr>
                    <w:color w:val="231F20"/>
                    <w:spacing w:val="8"/>
                    <w:w w:val="115"/>
                    <w:sz w:val="18"/>
                  </w:rPr>
                  <w:t xml:space="preserve">boxing:  </w:t>
                </w:r>
                <w:r>
                  <w:rPr>
                    <w:color w:val="231F20"/>
                    <w:spacing w:val="10"/>
                    <w:w w:val="115"/>
                    <w:sz w:val="18"/>
                  </w:rPr>
                  <w:t>countering</w:t>
                </w:r>
                <w:r>
                  <w:rPr>
                    <w:color w:val="231F20"/>
                    <w:spacing w:val="41"/>
                    <w:w w:val="115"/>
                    <w:sz w:val="18"/>
                  </w:rPr>
                  <w:t xml:space="preserve"> </w:t>
                </w:r>
                <w:r>
                  <w:rPr>
                    <w:color w:val="231F20"/>
                    <w:spacing w:val="10"/>
                    <w:w w:val="115"/>
                    <w:sz w:val="18"/>
                  </w:rPr>
                  <w:t>psychological</w:t>
                </w:r>
                <w:r>
                  <w:rPr>
                    <w:color w:val="231F20"/>
                    <w:spacing w:val="48"/>
                    <w:w w:val="115"/>
                    <w:sz w:val="18"/>
                  </w:rPr>
                  <w:t xml:space="preserve"> </w:t>
                </w:r>
                <w:r>
                  <w:rPr>
                    <w:color w:val="231F20"/>
                    <w:spacing w:val="7"/>
                    <w:w w:val="115"/>
                    <w:sz w:val="18"/>
                  </w:rPr>
                  <w:t>warfare</w:t>
                </w:r>
                <w:r>
                  <w:rPr>
                    <w:color w:val="231F20"/>
                    <w:spacing w:val="7"/>
                    <w:w w:val="115"/>
                    <w:sz w:val="18"/>
                  </w:rPr>
                  <w:tab/>
                </w:r>
                <w:r>
                  <w:rPr>
                    <w:color w:val="231F20"/>
                    <w:spacing w:val="10"/>
                    <w:sz w:val="14"/>
                  </w:rPr>
                  <w:t>(9)</w:t>
                </w:r>
              </w:p>
            </w:txbxContent>
          </v:textbox>
          <w10:wrap anchorx="page" anchory="page"/>
        </v:shape>
      </w:pict>
    </w: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EE8B9" w14:textId="77777777" w:rsidR="001008C3" w:rsidRDefault="00000000">
    <w:pPr>
      <w:pStyle w:val="a3"/>
      <w:spacing w:line="14" w:lineRule="auto"/>
    </w:pPr>
    <w:r>
      <w:rPr>
        <w:noProof w:val="0"/>
      </w:rPr>
      <w:pict w14:anchorId="655C3549">
        <v:shapetype id="_x0000_t202" coordsize="21600,21600" o:spt="202" path="m,l,21600r21600,l21600,xe">
          <v:stroke joinstyle="miter"/>
          <v:path gradientshapeok="t" o:connecttype="rect"/>
        </v:shapetype>
        <v:shape id="_x0000_s1319" type="#_x0000_t202" style="position:absolute;margin-left:65.4pt;margin-top:594.5pt;width:312.5pt;height:12.55pt;z-index:-453712;mso-position-horizontal-relative:page;mso-position-vertical-relative:page" filled="f" stroked="f">
          <v:textbox inset="0,0,0,0">
            <w:txbxContent>
              <w:p w14:paraId="35341013" w14:textId="77777777" w:rsidR="001008C3" w:rsidRDefault="001008C3">
                <w:pPr>
                  <w:tabs>
                    <w:tab w:val="left" w:pos="5833"/>
                  </w:tabs>
                  <w:spacing w:before="19"/>
                  <w:ind w:left="20"/>
                  <w:rPr>
                    <w:sz w:val="18"/>
                  </w:rPr>
                </w:pPr>
                <w:r>
                  <w:rPr>
                    <w:color w:val="231F20"/>
                    <w:spacing w:val="20"/>
                    <w:w w:val="115"/>
                    <w:sz w:val="18"/>
                  </w:rPr>
                  <w:t xml:space="preserve">august  </w:t>
                </w:r>
                <w:r>
                  <w:rPr>
                    <w:color w:val="231F20"/>
                    <w:spacing w:val="17"/>
                    <w:w w:val="115"/>
                    <w:sz w:val="18"/>
                  </w:rPr>
                  <w:t xml:space="preserve">1975  </w:t>
                </w:r>
                <w:r>
                  <w:rPr>
                    <w:color w:val="231F20"/>
                    <w:w w:val="115"/>
                    <w:sz w:val="18"/>
                  </w:rPr>
                  <w:t xml:space="preserve">•   </w:t>
                </w:r>
                <w:r>
                  <w:rPr>
                    <w:color w:val="231F20"/>
                    <w:spacing w:val="15"/>
                    <w:w w:val="115"/>
                    <w:sz w:val="18"/>
                  </w:rPr>
                  <w:t xml:space="preserve">the  </w:t>
                </w:r>
                <w:r>
                  <w:rPr>
                    <w:color w:val="231F20"/>
                    <w:spacing w:val="20"/>
                    <w:w w:val="115"/>
                    <w:sz w:val="18"/>
                  </w:rPr>
                  <w:t xml:space="preserve">nature  </w:t>
                </w:r>
                <w:r>
                  <w:rPr>
                    <w:color w:val="231F20"/>
                    <w:spacing w:val="11"/>
                    <w:w w:val="115"/>
                    <w:sz w:val="18"/>
                  </w:rPr>
                  <w:t xml:space="preserve">of  </w:t>
                </w:r>
                <w:r>
                  <w:rPr>
                    <w:color w:val="231F20"/>
                    <w:spacing w:val="15"/>
                    <w:w w:val="115"/>
                    <w:sz w:val="18"/>
                  </w:rPr>
                  <w:t>the</w:t>
                </w:r>
                <w:r>
                  <w:rPr>
                    <w:color w:val="231F20"/>
                    <w:spacing w:val="11"/>
                    <w:w w:val="115"/>
                    <w:sz w:val="18"/>
                  </w:rPr>
                  <w:t xml:space="preserve"> </w:t>
                </w:r>
                <w:r>
                  <w:rPr>
                    <w:color w:val="231F20"/>
                    <w:spacing w:val="20"/>
                    <w:w w:val="115"/>
                    <w:sz w:val="18"/>
                  </w:rPr>
                  <w:t>stammheim</w:t>
                </w:r>
                <w:r>
                  <w:rPr>
                    <w:color w:val="231F20"/>
                    <w:spacing w:val="68"/>
                    <w:w w:val="115"/>
                    <w:sz w:val="18"/>
                  </w:rPr>
                  <w:t xml:space="preserve"> </w:t>
                </w:r>
                <w:r>
                  <w:rPr>
                    <w:color w:val="231F20"/>
                    <w:spacing w:val="20"/>
                    <w:w w:val="115"/>
                    <w:sz w:val="18"/>
                  </w:rPr>
                  <w:t>trial</w:t>
                </w:r>
                <w:r>
                  <w:rPr>
                    <w:color w:val="231F20"/>
                    <w:spacing w:val="20"/>
                    <w:w w:val="115"/>
                    <w:sz w:val="18"/>
                  </w:rPr>
                  <w:tab/>
                </w:r>
                <w:r>
                  <w:fldChar w:fldCharType="begin"/>
                </w:r>
                <w:r>
                  <w:rPr>
                    <w:color w:val="231F20"/>
                    <w:w w:val="115"/>
                    <w:sz w:val="18"/>
                  </w:rPr>
                  <w:instrText xml:space="preserve"> PAGE </w:instrText>
                </w:r>
                <w:r>
                  <w:fldChar w:fldCharType="separate"/>
                </w:r>
                <w:r>
                  <w:t>373</w:t>
                </w:r>
                <w:r>
                  <w:fldChar w:fldCharType="end"/>
                </w:r>
                <w:r>
                  <w:rPr>
                    <w:color w:val="231F20"/>
                    <w:spacing w:val="-15"/>
                    <w:sz w:val="18"/>
                  </w:rPr>
                  <w:t xml:space="preserve"> </w:t>
                </w:r>
              </w:p>
            </w:txbxContent>
          </v:textbox>
          <w10:wrap anchorx="page" anchory="page"/>
        </v:shape>
      </w:pic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5B6EA" w14:textId="77777777" w:rsidR="001008C3" w:rsidRDefault="00000000">
    <w:pPr>
      <w:pStyle w:val="a3"/>
      <w:spacing w:line="14" w:lineRule="auto"/>
    </w:pPr>
    <w:r>
      <w:rPr>
        <w:noProof w:val="0"/>
      </w:rPr>
      <w:pict w14:anchorId="1D7521B1">
        <v:shapetype id="_x0000_t202" coordsize="21600,21600" o:spt="202" path="m,l,21600r21600,l21600,xe">
          <v:stroke joinstyle="miter"/>
          <v:path gradientshapeok="t" o:connecttype="rect"/>
        </v:shapetype>
        <v:shape id="_x0000_s1317" type="#_x0000_t202" style="position:absolute;margin-left:55.4pt;margin-top:594.5pt;width:22.8pt;height:12.55pt;z-index:-453664;mso-position-horizontal-relative:page;mso-position-vertical-relative:page" filled="f" stroked="f">
          <v:textbox inset="0,0,0,0">
            <w:txbxContent>
              <w:p w14:paraId="66814CA8"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378</w:t>
                </w:r>
                <w:r>
                  <w:fldChar w:fldCharType="end"/>
                </w:r>
                <w:r>
                  <w:rPr>
                    <w:color w:val="231F20"/>
                    <w:sz w:val="18"/>
                  </w:rPr>
                  <w:t xml:space="preserve"> </w:t>
                </w:r>
              </w:p>
            </w:txbxContent>
          </v:textbox>
          <w10:wrap anchorx="page" anchory="page"/>
        </v:shape>
      </w:pict>
    </w:r>
    <w:r>
      <w:rPr>
        <w:noProof w:val="0"/>
      </w:rPr>
      <w:pict w14:anchorId="319A338E">
        <v:shape id="_x0000_s1316" type="#_x0000_t202" style="position:absolute;margin-left:90.4pt;margin-top:594.5pt;width:276.75pt;height:12.55pt;z-index:-453640;mso-position-horizontal-relative:page;mso-position-vertical-relative:page" filled="f" stroked="f">
          <v:textbox inset="0,0,0,0">
            <w:txbxContent>
              <w:p w14:paraId="428E6AA8" w14:textId="77777777" w:rsidR="001008C3" w:rsidRDefault="001008C3">
                <w:pPr>
                  <w:tabs>
                    <w:tab w:val="left" w:pos="5311"/>
                  </w:tabs>
                  <w:spacing w:before="19"/>
                  <w:ind w:left="20"/>
                  <w:rPr>
                    <w:sz w:val="14"/>
                  </w:rPr>
                </w:pPr>
                <w:r>
                  <w:rPr>
                    <w:color w:val="231F20"/>
                    <w:spacing w:val="7"/>
                    <w:w w:val="115"/>
                    <w:sz w:val="18"/>
                  </w:rPr>
                  <w:t xml:space="preserve">shadow  </w:t>
                </w:r>
                <w:r>
                  <w:rPr>
                    <w:color w:val="231F20"/>
                    <w:spacing w:val="8"/>
                    <w:w w:val="115"/>
                    <w:sz w:val="18"/>
                  </w:rPr>
                  <w:t xml:space="preserve">boxing:  </w:t>
                </w:r>
                <w:r>
                  <w:rPr>
                    <w:color w:val="231F20"/>
                    <w:spacing w:val="10"/>
                    <w:w w:val="115"/>
                    <w:sz w:val="18"/>
                  </w:rPr>
                  <w:t>countering</w:t>
                </w:r>
                <w:r>
                  <w:rPr>
                    <w:color w:val="231F20"/>
                    <w:spacing w:val="41"/>
                    <w:w w:val="115"/>
                    <w:sz w:val="18"/>
                  </w:rPr>
                  <w:t xml:space="preserve"> </w:t>
                </w:r>
                <w:r>
                  <w:rPr>
                    <w:color w:val="231F20"/>
                    <w:spacing w:val="10"/>
                    <w:w w:val="115"/>
                    <w:sz w:val="18"/>
                  </w:rPr>
                  <w:t>psychological</w:t>
                </w:r>
                <w:r>
                  <w:rPr>
                    <w:color w:val="231F20"/>
                    <w:spacing w:val="48"/>
                    <w:w w:val="115"/>
                    <w:sz w:val="18"/>
                  </w:rPr>
                  <w:t xml:space="preserve"> </w:t>
                </w:r>
                <w:r>
                  <w:rPr>
                    <w:color w:val="231F20"/>
                    <w:spacing w:val="7"/>
                    <w:w w:val="115"/>
                    <w:sz w:val="18"/>
                  </w:rPr>
                  <w:t>warfare</w:t>
                </w:r>
                <w:r>
                  <w:rPr>
                    <w:color w:val="231F20"/>
                    <w:spacing w:val="7"/>
                    <w:w w:val="115"/>
                    <w:sz w:val="18"/>
                  </w:rPr>
                  <w:tab/>
                </w:r>
                <w:r>
                  <w:rPr>
                    <w:color w:val="231F20"/>
                    <w:spacing w:val="10"/>
                    <w:sz w:val="14"/>
                  </w:rPr>
                  <w:t>(9)</w:t>
                </w:r>
              </w:p>
            </w:txbxContent>
          </v:textbox>
          <w10:wrap anchorx="page" anchory="page"/>
        </v:shape>
      </w:pict>
    </w: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A7581" w14:textId="77777777" w:rsidR="001008C3" w:rsidRDefault="00000000">
    <w:pPr>
      <w:pStyle w:val="a3"/>
      <w:spacing w:line="14" w:lineRule="auto"/>
    </w:pPr>
    <w:r>
      <w:rPr>
        <w:noProof w:val="0"/>
      </w:rPr>
      <w:pict w14:anchorId="03B8A788">
        <v:shapetype id="_x0000_t202" coordsize="21600,21600" o:spt="202" path="m,l,21600r21600,l21600,xe">
          <v:stroke joinstyle="miter"/>
          <v:path gradientshapeok="t" o:connecttype="rect"/>
        </v:shapetype>
        <v:shape id="_x0000_s1318" type="#_x0000_t202" style="position:absolute;margin-left:65.4pt;margin-top:594.5pt;width:312.5pt;height:12.55pt;z-index:-453688;mso-position-horizontal-relative:page;mso-position-vertical-relative:page" filled="f" stroked="f">
          <v:textbox inset="0,0,0,0">
            <w:txbxContent>
              <w:p w14:paraId="18F2C4D1" w14:textId="77777777" w:rsidR="001008C3" w:rsidRDefault="001008C3">
                <w:pPr>
                  <w:spacing w:before="19"/>
                  <w:ind w:left="20"/>
                  <w:rPr>
                    <w:sz w:val="18"/>
                  </w:rPr>
                </w:pPr>
                <w:r>
                  <w:rPr>
                    <w:color w:val="231F20"/>
                    <w:w w:val="115"/>
                    <w:sz w:val="18"/>
                  </w:rPr>
                  <w:t xml:space="preserve">sep tem ber 1 9 75 • no bomb in m unuch central station </w:t>
                </w:r>
                <w:r>
                  <w:fldChar w:fldCharType="begin"/>
                </w:r>
                <w:r>
                  <w:rPr>
                    <w:color w:val="231F20"/>
                    <w:w w:val="115"/>
                    <w:sz w:val="18"/>
                  </w:rPr>
                  <w:instrText xml:space="preserve"> PAGE </w:instrText>
                </w:r>
                <w:r>
                  <w:fldChar w:fldCharType="separate"/>
                </w:r>
                <w:r>
                  <w:t>377</w:t>
                </w:r>
                <w:r>
                  <w:fldChar w:fldCharType="end"/>
                </w:r>
                <w:r>
                  <w:rPr>
                    <w:color w:val="231F20"/>
                    <w:sz w:val="18"/>
                  </w:rPr>
                  <w:t xml:space="preserve"> </w:t>
                </w:r>
              </w:p>
            </w:txbxContent>
          </v:textbox>
          <w10:wrap anchorx="page" anchory="page"/>
        </v:shape>
      </w:pict>
    </w: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44043" w14:textId="77777777" w:rsidR="001008C3" w:rsidRDefault="00000000">
    <w:pPr>
      <w:pStyle w:val="a3"/>
      <w:spacing w:line="14" w:lineRule="auto"/>
    </w:pPr>
    <w:r>
      <w:rPr>
        <w:noProof w:val="0"/>
      </w:rPr>
      <w:pict w14:anchorId="5DFFB0D2">
        <v:shapetype id="_x0000_t202" coordsize="21600,21600" o:spt="202" path="m,l,21600r21600,l21600,xe">
          <v:stroke joinstyle="miter"/>
          <v:path gradientshapeok="t" o:connecttype="rect"/>
        </v:shapetype>
        <v:shape id="_x0000_s1314" type="#_x0000_t202" style="position:absolute;margin-left:56.4pt;margin-top:594.5pt;width:20.8pt;height:12.55pt;z-index:-453592;mso-position-horizontal-relative:page;mso-position-vertical-relative:page" filled="f" stroked="f">
          <v:textbox inset="0,0,0,0">
            <w:txbxContent>
              <w:p w14:paraId="10B7AFA0" w14:textId="77777777" w:rsidR="001008C3" w:rsidRDefault="001008C3">
                <w:pPr>
                  <w:spacing w:before="19"/>
                  <w:ind w:left="20"/>
                  <w:rPr>
                    <w:sz w:val="18"/>
                  </w:rPr>
                </w:pPr>
                <w:r>
                  <w:rPr>
                    <w:color w:val="231F20"/>
                    <w:sz w:val="18"/>
                  </w:rPr>
                  <w:t xml:space="preserve">380 </w:t>
                </w:r>
              </w:p>
            </w:txbxContent>
          </v:textbox>
          <w10:wrap anchorx="page" anchory="page"/>
        </v:shape>
      </w:pict>
    </w:r>
    <w:r>
      <w:rPr>
        <w:noProof w:val="0"/>
      </w:rPr>
      <w:pict w14:anchorId="352F4CC5">
        <v:shape id="_x0000_s1313" type="#_x0000_t202" style="position:absolute;margin-left:90.4pt;margin-top:594.5pt;width:276.75pt;height:12.55pt;z-index:-453568;mso-position-horizontal-relative:page;mso-position-vertical-relative:page" filled="f" stroked="f">
          <v:textbox inset="0,0,0,0">
            <w:txbxContent>
              <w:p w14:paraId="3A1C7CC0" w14:textId="77777777" w:rsidR="001008C3" w:rsidRDefault="001008C3">
                <w:pPr>
                  <w:tabs>
                    <w:tab w:val="left" w:pos="5311"/>
                  </w:tabs>
                  <w:spacing w:before="19"/>
                  <w:ind w:left="20"/>
                  <w:rPr>
                    <w:sz w:val="14"/>
                  </w:rPr>
                </w:pPr>
                <w:r>
                  <w:rPr>
                    <w:color w:val="231F20"/>
                    <w:spacing w:val="7"/>
                    <w:w w:val="115"/>
                    <w:sz w:val="18"/>
                  </w:rPr>
                  <w:t xml:space="preserve">shadow  </w:t>
                </w:r>
                <w:r>
                  <w:rPr>
                    <w:color w:val="231F20"/>
                    <w:spacing w:val="8"/>
                    <w:w w:val="115"/>
                    <w:sz w:val="18"/>
                  </w:rPr>
                  <w:t xml:space="preserve">boxing:  </w:t>
                </w:r>
                <w:r>
                  <w:rPr>
                    <w:color w:val="231F20"/>
                    <w:spacing w:val="10"/>
                    <w:w w:val="115"/>
                    <w:sz w:val="18"/>
                  </w:rPr>
                  <w:t>countering</w:t>
                </w:r>
                <w:r>
                  <w:rPr>
                    <w:color w:val="231F20"/>
                    <w:spacing w:val="41"/>
                    <w:w w:val="115"/>
                    <w:sz w:val="18"/>
                  </w:rPr>
                  <w:t xml:space="preserve"> </w:t>
                </w:r>
                <w:r>
                  <w:rPr>
                    <w:color w:val="231F20"/>
                    <w:spacing w:val="10"/>
                    <w:w w:val="115"/>
                    <w:sz w:val="18"/>
                  </w:rPr>
                  <w:t>psychological</w:t>
                </w:r>
                <w:r>
                  <w:rPr>
                    <w:color w:val="231F20"/>
                    <w:spacing w:val="48"/>
                    <w:w w:val="115"/>
                    <w:sz w:val="18"/>
                  </w:rPr>
                  <w:t xml:space="preserve"> </w:t>
                </w:r>
                <w:r>
                  <w:rPr>
                    <w:color w:val="231F20"/>
                    <w:spacing w:val="7"/>
                    <w:w w:val="115"/>
                    <w:sz w:val="18"/>
                  </w:rPr>
                  <w:t>warfare</w:t>
                </w:r>
                <w:r>
                  <w:rPr>
                    <w:color w:val="231F20"/>
                    <w:spacing w:val="7"/>
                    <w:w w:val="115"/>
                    <w:sz w:val="18"/>
                  </w:rPr>
                  <w:tab/>
                </w:r>
                <w:r>
                  <w:rPr>
                    <w:color w:val="231F20"/>
                    <w:spacing w:val="10"/>
                    <w:sz w:val="14"/>
                  </w:rPr>
                  <w:t>(9)</w:t>
                </w:r>
              </w:p>
            </w:txbxContent>
          </v:textbox>
          <w10:wrap anchorx="page" anchory="page"/>
        </v:shape>
      </w:pic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A2F2D" w14:textId="77777777" w:rsidR="001008C3" w:rsidRDefault="00000000">
    <w:pPr>
      <w:pStyle w:val="a3"/>
      <w:spacing w:line="14" w:lineRule="auto"/>
    </w:pPr>
    <w:r>
      <w:rPr>
        <w:noProof w:val="0"/>
      </w:rPr>
      <w:pict w14:anchorId="72A0EB4B">
        <v:shapetype id="_x0000_t202" coordsize="21600,21600" o:spt="202" path="m,l,21600r21600,l21600,xe">
          <v:stroke joinstyle="miter"/>
          <v:path gradientshapeok="t" o:connecttype="rect"/>
        </v:shapetype>
        <v:shape id="_x0000_s1315" type="#_x0000_t202" style="position:absolute;margin-left:65.4pt;margin-top:594.5pt;width:312.5pt;height:12.55pt;z-index:-453616;mso-position-horizontal-relative:page;mso-position-vertical-relative:page" filled="f" stroked="f">
          <v:textbox inset="0,0,0,0">
            <w:txbxContent>
              <w:p w14:paraId="530A8E6C" w14:textId="77777777" w:rsidR="001008C3" w:rsidRDefault="001008C3">
                <w:pPr>
                  <w:spacing w:before="19"/>
                  <w:ind w:left="20"/>
                  <w:rPr>
                    <w:sz w:val="18"/>
                  </w:rPr>
                </w:pPr>
                <w:r>
                  <w:rPr>
                    <w:color w:val="231F20"/>
                    <w:spacing w:val="12"/>
                    <w:w w:val="115"/>
                    <w:sz w:val="18"/>
                  </w:rPr>
                  <w:t xml:space="preserve">september </w:t>
                </w:r>
                <w:r>
                  <w:rPr>
                    <w:color w:val="231F20"/>
                    <w:spacing w:val="10"/>
                    <w:w w:val="115"/>
                    <w:sz w:val="18"/>
                  </w:rPr>
                  <w:t xml:space="preserve">1975 </w:t>
                </w:r>
                <w:r>
                  <w:rPr>
                    <w:color w:val="231F20"/>
                    <w:w w:val="115"/>
                    <w:sz w:val="18"/>
                  </w:rPr>
                  <w:t xml:space="preserve">• </w:t>
                </w:r>
                <w:r>
                  <w:rPr>
                    <w:color w:val="231F20"/>
                    <w:spacing w:val="11"/>
                    <w:w w:val="115"/>
                    <w:sz w:val="18"/>
                  </w:rPr>
                  <w:t xml:space="preserve">bombing </w:t>
                </w:r>
                <w:r>
                  <w:rPr>
                    <w:color w:val="231F20"/>
                    <w:spacing w:val="6"/>
                    <w:w w:val="115"/>
                    <w:sz w:val="18"/>
                  </w:rPr>
                  <w:t xml:space="preserve">of </w:t>
                </w:r>
                <w:r>
                  <w:rPr>
                    <w:color w:val="231F20"/>
                    <w:spacing w:val="10"/>
                    <w:w w:val="115"/>
                    <w:sz w:val="18"/>
                  </w:rPr>
                  <w:t xml:space="preserve">the </w:t>
                </w:r>
                <w:r>
                  <w:rPr>
                    <w:color w:val="231F20"/>
                    <w:spacing w:val="11"/>
                    <w:w w:val="115"/>
                    <w:sz w:val="18"/>
                  </w:rPr>
                  <w:t>hamburg train station</w:t>
                </w:r>
                <w:r>
                  <w:rPr>
                    <w:color w:val="231F20"/>
                    <w:spacing w:val="10"/>
                    <w:w w:val="115"/>
                    <w:sz w:val="18"/>
                  </w:rPr>
                  <w:t xml:space="preserve"> </w:t>
                </w:r>
                <w:r>
                  <w:fldChar w:fldCharType="begin"/>
                </w:r>
                <w:r>
                  <w:rPr>
                    <w:color w:val="231F20"/>
                    <w:w w:val="115"/>
                    <w:sz w:val="18"/>
                  </w:rPr>
                  <w:instrText xml:space="preserve"> PAGE </w:instrText>
                </w:r>
                <w:r>
                  <w:fldChar w:fldCharType="separate"/>
                </w:r>
                <w:r>
                  <w:t>379</w:t>
                </w:r>
                <w:r>
                  <w:fldChar w:fldCharType="end"/>
                </w:r>
                <w:r>
                  <w:rPr>
                    <w:color w:val="231F20"/>
                    <w:spacing w:val="-15"/>
                    <w:sz w:val="18"/>
                  </w:rPr>
                  <w:t xml:space="preserve"> </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3BD4" w14:textId="77777777" w:rsidR="001008C3" w:rsidRDefault="00000000">
    <w:pPr>
      <w:pStyle w:val="a3"/>
      <w:spacing w:line="14" w:lineRule="auto"/>
    </w:pPr>
    <w:r>
      <w:rPr>
        <w:noProof w:val="0"/>
      </w:rPr>
      <w:pict w14:anchorId="63D74AF5">
        <v:shapetype id="_x0000_t202" coordsize="21600,21600" o:spt="202" path="m,l,21600r21600,l21600,xe">
          <v:stroke joinstyle="miter"/>
          <v:path gradientshapeok="t" o:connecttype="rect"/>
        </v:shapetype>
        <v:shape id="_x0000_s1711" type="#_x0000_t202" style="position:absolute;margin-left:55.4pt;margin-top:594.5pt;width:16.55pt;height:12.55pt;z-index:-463120;mso-position-horizontal-relative:page;mso-position-vertical-relative:page" filled="f" stroked="f">
          <v:textbox inset="0,0,0,0">
            <w:txbxContent>
              <w:p w14:paraId="07D2610F"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18</w:t>
                </w:r>
                <w:r>
                  <w:fldChar w:fldCharType="end"/>
                </w:r>
                <w:r>
                  <w:rPr>
                    <w:color w:val="231F20"/>
                    <w:sz w:val="18"/>
                  </w:rPr>
                  <w:t xml:space="preserve"> </w:t>
                </w:r>
              </w:p>
            </w:txbxContent>
          </v:textbox>
          <w10:wrap anchorx="page" anchory="page"/>
        </v:shape>
      </w:pict>
    </w:r>
    <w:r>
      <w:rPr>
        <w:noProof w:val="0"/>
      </w:rPr>
      <w:pict w14:anchorId="55639037">
        <v:shape id="_x0000_s1710" type="#_x0000_t202" style="position:absolute;margin-left:151.95pt;margin-top:594.5pt;width:215.65pt;height:12.55pt;z-index:-463096;mso-position-horizontal-relative:page;mso-position-vertical-relative:page" filled="f" stroked="f">
          <v:textbox inset="0,0,0,0">
            <w:txbxContent>
              <w:p w14:paraId="7CF0A1C8" w14:textId="77777777" w:rsidR="001008C3" w:rsidRDefault="001008C3">
                <w:pPr>
                  <w:tabs>
                    <w:tab w:val="left" w:pos="4063"/>
                  </w:tabs>
                  <w:spacing w:before="19"/>
                  <w:ind w:left="20"/>
                  <w:rPr>
                    <w:sz w:val="14"/>
                  </w:rPr>
                </w:pPr>
                <w:r>
                  <w:rPr>
                    <w:color w:val="231F20"/>
                    <w:spacing w:val="15"/>
                    <w:w w:val="115"/>
                    <w:sz w:val="18"/>
                  </w:rPr>
                  <w:t xml:space="preserve">not  </w:t>
                </w:r>
                <w:r>
                  <w:rPr>
                    <w:color w:val="231F20"/>
                    <w:spacing w:val="18"/>
                    <w:w w:val="115"/>
                    <w:sz w:val="18"/>
                  </w:rPr>
                  <w:t xml:space="preserve">wanted  </w:t>
                </w:r>
                <w:r>
                  <w:rPr>
                    <w:color w:val="231F20"/>
                    <w:spacing w:val="11"/>
                    <w:w w:val="115"/>
                    <w:sz w:val="18"/>
                  </w:rPr>
                  <w:t xml:space="preserve">in  </w:t>
                </w:r>
                <w:r>
                  <w:rPr>
                    <w:color w:val="231F20"/>
                    <w:spacing w:val="15"/>
                    <w:w w:val="115"/>
                    <w:sz w:val="18"/>
                  </w:rPr>
                  <w:t xml:space="preserve">the  </w:t>
                </w:r>
                <w:r>
                  <w:rPr>
                    <w:color w:val="231F20"/>
                    <w:spacing w:val="20"/>
                    <w:w w:val="115"/>
                    <w:sz w:val="18"/>
                  </w:rPr>
                  <w:t>model:</w:t>
                </w:r>
                <w:r>
                  <w:rPr>
                    <w:color w:val="231F20"/>
                    <w:spacing w:val="50"/>
                    <w:w w:val="115"/>
                    <w:sz w:val="18"/>
                  </w:rPr>
                  <w:t xml:space="preserve"> </w:t>
                </w:r>
                <w:r>
                  <w:rPr>
                    <w:color w:val="231F20"/>
                    <w:spacing w:val="15"/>
                    <w:w w:val="115"/>
                    <w:sz w:val="18"/>
                  </w:rPr>
                  <w:t>the</w:t>
                </w:r>
                <w:r>
                  <w:rPr>
                    <w:color w:val="231F20"/>
                    <w:spacing w:val="73"/>
                    <w:w w:val="115"/>
                    <w:sz w:val="18"/>
                  </w:rPr>
                  <w:t xml:space="preserve"> </w:t>
                </w:r>
                <w:r>
                  <w:rPr>
                    <w:color w:val="231F20"/>
                    <w:spacing w:val="15"/>
                    <w:w w:val="115"/>
                    <w:sz w:val="18"/>
                  </w:rPr>
                  <w:t>kpd</w:t>
                </w:r>
                <w:r>
                  <w:rPr>
                    <w:color w:val="231F20"/>
                    <w:spacing w:val="15"/>
                    <w:w w:val="115"/>
                    <w:sz w:val="18"/>
                  </w:rPr>
                  <w:tab/>
                </w:r>
                <w:r>
                  <w:rPr>
                    <w:color w:val="231F20"/>
                    <w:spacing w:val="11"/>
                    <w:w w:val="105"/>
                    <w:sz w:val="14"/>
                  </w:rPr>
                  <w:t>(1)</w:t>
                </w:r>
                <w:r>
                  <w:rPr>
                    <w:color w:val="231F20"/>
                    <w:spacing w:val="-12"/>
                    <w:sz w:val="14"/>
                  </w:rPr>
                  <w:t xml:space="preserve"> </w:t>
                </w:r>
              </w:p>
            </w:txbxContent>
          </v:textbox>
          <w10:wrap anchorx="page" anchory="page"/>
        </v:shape>
      </w:pict>
    </w: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68159" w14:textId="77777777" w:rsidR="001008C3" w:rsidRDefault="00000000">
    <w:pPr>
      <w:pStyle w:val="a3"/>
      <w:spacing w:line="14" w:lineRule="auto"/>
    </w:pPr>
    <w:r>
      <w:rPr>
        <w:noProof w:val="0"/>
      </w:rPr>
      <w:pict w14:anchorId="226F9243">
        <v:shapetype id="_x0000_t202" coordsize="21600,21600" o:spt="202" path="m,l,21600r21600,l21600,xe">
          <v:stroke joinstyle="miter"/>
          <v:path gradientshapeok="t" o:connecttype="rect"/>
        </v:shapetype>
        <v:shape id="_x0000_s1312" type="#_x0000_t202" style="position:absolute;margin-left:356.1pt;margin-top:594.5pt;width:20.8pt;height:12.55pt;z-index:-453544;mso-position-horizontal-relative:page;mso-position-vertical-relative:page" filled="f" stroked="f">
          <v:textbox inset="0,0,0,0">
            <w:txbxContent>
              <w:p w14:paraId="3672D228" w14:textId="77777777" w:rsidR="001008C3" w:rsidRDefault="001008C3">
                <w:pPr>
                  <w:spacing w:before="19"/>
                  <w:ind w:left="20"/>
                  <w:rPr>
                    <w:sz w:val="18"/>
                  </w:rPr>
                </w:pPr>
                <w:r>
                  <w:rPr>
                    <w:color w:val="231F20"/>
                    <w:sz w:val="18"/>
                  </w:rPr>
                  <w:t xml:space="preserve">381 </w:t>
                </w:r>
              </w:p>
            </w:txbxContent>
          </v:textbox>
          <w10:wrap anchorx="page" anchory="page"/>
        </v:shape>
      </w:pict>
    </w: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8E062" w14:textId="77777777" w:rsidR="001008C3" w:rsidRDefault="00000000">
    <w:pPr>
      <w:pStyle w:val="a3"/>
      <w:spacing w:line="14" w:lineRule="auto"/>
    </w:pPr>
    <w:r>
      <w:rPr>
        <w:noProof w:val="0"/>
      </w:rPr>
      <w:pict w14:anchorId="2D4ACB1D">
        <v:shapetype id="_x0000_t202" coordsize="21600,21600" o:spt="202" path="m,l,21600r21600,l21600,xe">
          <v:stroke joinstyle="miter"/>
          <v:path gradientshapeok="t" o:connecttype="rect"/>
        </v:shapetype>
        <v:shape id="_x0000_s1311" type="#_x0000_t202" style="position:absolute;margin-left:55.4pt;margin-top:594.5pt;width:22.8pt;height:12.55pt;z-index:-453520;mso-position-horizontal-relative:page;mso-position-vertical-relative:page" filled="f" stroked="f">
          <v:textbox inset="0,0,0,0">
            <w:txbxContent>
              <w:p w14:paraId="717099F4" w14:textId="77777777" w:rsidR="001008C3" w:rsidRDefault="001008C3">
                <w:pPr>
                  <w:spacing w:before="19"/>
                  <w:ind w:left="40"/>
                  <w:rPr>
                    <w:sz w:val="18"/>
                  </w:rPr>
                </w:pPr>
                <w:r>
                  <w:rPr>
                    <w:color w:val="231F20"/>
                    <w:sz w:val="18"/>
                  </w:rPr>
                  <w:t xml:space="preserve">382 </w:t>
                </w:r>
              </w:p>
            </w:txbxContent>
          </v:textbox>
          <w10:wrap anchorx="page" anchory="page"/>
        </v:shape>
      </w:pict>
    </w:r>
    <w:r>
      <w:rPr>
        <w:noProof w:val="0"/>
      </w:rPr>
      <w:pict w14:anchorId="295EE8E9">
        <v:shape id="_x0000_s1310" type="#_x0000_t202" style="position:absolute;margin-left:168.15pt;margin-top:594.5pt;width:199.45pt;height:12.55pt;z-index:-453496;mso-position-horizontal-relative:page;mso-position-vertical-relative:page" filled="f" stroked="f">
          <v:textbox inset="0,0,0,0">
            <w:txbxContent>
              <w:p w14:paraId="31E895D6" w14:textId="77777777" w:rsidR="001008C3" w:rsidRDefault="001008C3">
                <w:pPr>
                  <w:tabs>
                    <w:tab w:val="left" w:pos="3641"/>
                  </w:tabs>
                  <w:spacing w:before="19"/>
                  <w:ind w:left="20"/>
                  <w:rPr>
                    <w:sz w:val="14"/>
                  </w:rPr>
                </w:pPr>
                <w:r>
                  <w:rPr>
                    <w:color w:val="231F20"/>
                    <w:spacing w:val="15"/>
                    <w:w w:val="115"/>
                    <w:sz w:val="18"/>
                  </w:rPr>
                  <w:t xml:space="preserve">the  </w:t>
                </w:r>
                <w:r>
                  <w:rPr>
                    <w:color w:val="231F20"/>
                    <w:spacing w:val="20"/>
                    <w:w w:val="115"/>
                    <w:sz w:val="18"/>
                  </w:rPr>
                  <w:t xml:space="preserve">murder  </w:t>
                </w:r>
                <w:r>
                  <w:rPr>
                    <w:color w:val="231F20"/>
                    <w:spacing w:val="11"/>
                    <w:w w:val="115"/>
                    <w:sz w:val="18"/>
                  </w:rPr>
                  <w:t xml:space="preserve">of </w:t>
                </w:r>
                <w:r>
                  <w:rPr>
                    <w:color w:val="231F20"/>
                    <w:spacing w:val="37"/>
                    <w:w w:val="115"/>
                    <w:sz w:val="18"/>
                  </w:rPr>
                  <w:t xml:space="preserve"> </w:t>
                </w:r>
                <w:r>
                  <w:rPr>
                    <w:color w:val="231F20"/>
                    <w:spacing w:val="20"/>
                    <w:w w:val="115"/>
                    <w:sz w:val="18"/>
                  </w:rPr>
                  <w:t>ulrike  meinhof</w:t>
                </w:r>
                <w:r>
                  <w:rPr>
                    <w:color w:val="231F20"/>
                    <w:spacing w:val="20"/>
                    <w:w w:val="115"/>
                    <w:sz w:val="18"/>
                  </w:rPr>
                  <w:tab/>
                </w:r>
                <w:r>
                  <w:rPr>
                    <w:color w:val="231F20"/>
                    <w:spacing w:val="12"/>
                    <w:w w:val="105"/>
                    <w:sz w:val="14"/>
                  </w:rPr>
                  <w:t>(10)</w:t>
                </w:r>
                <w:r>
                  <w:rPr>
                    <w:color w:val="231F20"/>
                    <w:spacing w:val="-12"/>
                    <w:sz w:val="14"/>
                  </w:rPr>
                  <w:t xml:space="preserve"> </w:t>
                </w:r>
              </w:p>
            </w:txbxContent>
          </v:textbox>
          <w10:wrap anchorx="page" anchory="page"/>
        </v:shape>
      </w:pic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BE331" w14:textId="77777777" w:rsidR="001008C3" w:rsidRDefault="00000000">
    <w:pPr>
      <w:pStyle w:val="a3"/>
      <w:spacing w:line="14" w:lineRule="auto"/>
    </w:pPr>
    <w:r>
      <w:rPr>
        <w:noProof w:val="0"/>
      </w:rPr>
      <w:pict w14:anchorId="3919F029">
        <v:shapetype id="_x0000_t202" coordsize="21600,21600" o:spt="202" path="m,l,21600r21600,l21600,xe">
          <v:stroke joinstyle="miter"/>
          <v:path gradientshapeok="t" o:connecttype="rect"/>
        </v:shapetype>
        <v:shape id="_x0000_s1307" type="#_x0000_t202" style="position:absolute;margin-left:55.4pt;margin-top:594.5pt;width:22.8pt;height:12.55pt;z-index:-453424;mso-position-horizontal-relative:page;mso-position-vertical-relative:page" filled="f" stroked="f">
          <v:textbox inset="0,0,0,0">
            <w:txbxContent>
              <w:p w14:paraId="3453B48E"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384</w:t>
                </w:r>
                <w:r>
                  <w:fldChar w:fldCharType="end"/>
                </w:r>
                <w:r>
                  <w:rPr>
                    <w:color w:val="231F20"/>
                    <w:sz w:val="18"/>
                  </w:rPr>
                  <w:t xml:space="preserve"> </w:t>
                </w:r>
              </w:p>
            </w:txbxContent>
          </v:textbox>
          <w10:wrap anchorx="page" anchory="page"/>
        </v:shape>
      </w:pict>
    </w:r>
    <w:r>
      <w:rPr>
        <w:noProof w:val="0"/>
      </w:rPr>
      <w:pict w14:anchorId="331F339B">
        <v:shape id="_x0000_s1306" type="#_x0000_t202" style="position:absolute;margin-left:168.15pt;margin-top:594.5pt;width:199.45pt;height:12.55pt;z-index:-453400;mso-position-horizontal-relative:page;mso-position-vertical-relative:page" filled="f" stroked="f">
          <v:textbox inset="0,0,0,0">
            <w:txbxContent>
              <w:p w14:paraId="3284751C" w14:textId="77777777" w:rsidR="001008C3" w:rsidRDefault="001008C3">
                <w:pPr>
                  <w:tabs>
                    <w:tab w:val="left" w:pos="3641"/>
                  </w:tabs>
                  <w:spacing w:before="19"/>
                  <w:ind w:left="20"/>
                  <w:rPr>
                    <w:sz w:val="14"/>
                  </w:rPr>
                </w:pPr>
                <w:r>
                  <w:rPr>
                    <w:color w:val="231F20"/>
                    <w:spacing w:val="15"/>
                    <w:w w:val="115"/>
                    <w:sz w:val="18"/>
                  </w:rPr>
                  <w:t xml:space="preserve">the  </w:t>
                </w:r>
                <w:r>
                  <w:rPr>
                    <w:color w:val="231F20"/>
                    <w:spacing w:val="20"/>
                    <w:w w:val="115"/>
                    <w:sz w:val="18"/>
                  </w:rPr>
                  <w:t xml:space="preserve">murder  </w:t>
                </w:r>
                <w:r>
                  <w:rPr>
                    <w:color w:val="231F20"/>
                    <w:spacing w:val="11"/>
                    <w:w w:val="115"/>
                    <w:sz w:val="18"/>
                  </w:rPr>
                  <w:t xml:space="preserve">of </w:t>
                </w:r>
                <w:r>
                  <w:rPr>
                    <w:color w:val="231F20"/>
                    <w:spacing w:val="37"/>
                    <w:w w:val="115"/>
                    <w:sz w:val="18"/>
                  </w:rPr>
                  <w:t xml:space="preserve"> </w:t>
                </w:r>
                <w:r>
                  <w:rPr>
                    <w:color w:val="231F20"/>
                    <w:spacing w:val="20"/>
                    <w:w w:val="115"/>
                    <w:sz w:val="18"/>
                  </w:rPr>
                  <w:t>ulrike  meinhof</w:t>
                </w:r>
                <w:r>
                  <w:rPr>
                    <w:color w:val="231F20"/>
                    <w:spacing w:val="20"/>
                    <w:w w:val="115"/>
                    <w:sz w:val="18"/>
                  </w:rPr>
                  <w:tab/>
                </w:r>
                <w:r>
                  <w:rPr>
                    <w:color w:val="231F20"/>
                    <w:spacing w:val="12"/>
                    <w:w w:val="105"/>
                    <w:sz w:val="14"/>
                  </w:rPr>
                  <w:t>(10)</w:t>
                </w:r>
                <w:r>
                  <w:rPr>
                    <w:color w:val="231F20"/>
                    <w:spacing w:val="-12"/>
                    <w:sz w:val="14"/>
                  </w:rPr>
                  <w:t xml:space="preserve"> </w:t>
                </w:r>
              </w:p>
            </w:txbxContent>
          </v:textbox>
          <w10:wrap anchorx="page" anchory="page"/>
        </v:shape>
      </w:pict>
    </w: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0B8F2" w14:textId="77777777" w:rsidR="001008C3" w:rsidRDefault="00000000">
    <w:pPr>
      <w:pStyle w:val="a3"/>
      <w:spacing w:line="14" w:lineRule="auto"/>
    </w:pPr>
    <w:r>
      <w:rPr>
        <w:noProof w:val="0"/>
      </w:rPr>
      <w:pict w14:anchorId="4F0B8B90">
        <v:shapetype id="_x0000_t202" coordsize="21600,21600" o:spt="202" path="m,l,21600r21600,l21600,xe">
          <v:stroke joinstyle="miter"/>
          <v:path gradientshapeok="t" o:connecttype="rect"/>
        </v:shapetype>
        <v:shape id="_x0000_s1309" type="#_x0000_t202" style="position:absolute;margin-left:65.4pt;margin-top:594.5pt;width:116.6pt;height:12.55pt;z-index:-453472;mso-position-horizontal-relative:page;mso-position-vertical-relative:page" filled="f" stroked="f">
          <v:textbox inset="0,0,0,0">
            <w:txbxContent>
              <w:p w14:paraId="37142183"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08F5ED61">
        <v:shape id="_x0000_s1308" type="#_x0000_t202" style="position:absolute;margin-left:355.1pt;margin-top:594.5pt;width:22.8pt;height:12.55pt;z-index:-453448;mso-position-horizontal-relative:page;mso-position-vertical-relative:page" filled="f" stroked="f">
          <v:textbox inset="0,0,0,0">
            <w:txbxContent>
              <w:p w14:paraId="02EF3EC8"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383</w:t>
                </w:r>
                <w:r>
                  <w:fldChar w:fldCharType="end"/>
                </w:r>
                <w:r>
                  <w:rPr>
                    <w:color w:val="231F20"/>
                    <w:sz w:val="18"/>
                  </w:rPr>
                  <w:t xml:space="preserve"> </w:t>
                </w:r>
              </w:p>
            </w:txbxContent>
          </v:textbox>
          <w10:wrap anchorx="page" anchory="page"/>
        </v:shape>
      </w:pict>
    </w: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CD6A3" w14:textId="77777777" w:rsidR="001008C3" w:rsidRDefault="00000000">
    <w:pPr>
      <w:pStyle w:val="a3"/>
      <w:spacing w:line="14" w:lineRule="auto"/>
    </w:pPr>
    <w:r>
      <w:rPr>
        <w:noProof w:val="0"/>
      </w:rPr>
      <w:pict w14:anchorId="5DA06273">
        <v:shapetype id="_x0000_t202" coordsize="21600,21600" o:spt="202" path="m,l,21600r21600,l21600,xe">
          <v:stroke joinstyle="miter"/>
          <v:path gradientshapeok="t" o:connecttype="rect"/>
        </v:shapetype>
        <v:shape id="_x0000_s1303" type="#_x0000_t202" style="position:absolute;margin-left:65.4pt;margin-top:594.5pt;width:116.6pt;height:12.55pt;z-index:-453328;mso-position-horizontal-relative:page;mso-position-vertical-relative:page" filled="f" stroked="f">
          <v:textbox inset="0,0,0,0">
            <w:txbxContent>
              <w:p w14:paraId="016A2080"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6CEDC92A">
        <v:shape id="_x0000_s1302" type="#_x0000_t202" style="position:absolute;margin-left:356.1pt;margin-top:594.5pt;width:20.8pt;height:12.55pt;z-index:-453304;mso-position-horizontal-relative:page;mso-position-vertical-relative:page" filled="f" stroked="f">
          <v:textbox inset="0,0,0,0">
            <w:txbxContent>
              <w:p w14:paraId="093C8D2F" w14:textId="77777777" w:rsidR="001008C3" w:rsidRDefault="001008C3">
                <w:pPr>
                  <w:spacing w:before="19"/>
                  <w:ind w:left="20"/>
                  <w:rPr>
                    <w:sz w:val="18"/>
                  </w:rPr>
                </w:pPr>
                <w:r>
                  <w:rPr>
                    <w:color w:val="231F20"/>
                    <w:sz w:val="18"/>
                  </w:rPr>
                  <w:t xml:space="preserve">391 </w:t>
                </w:r>
              </w:p>
            </w:txbxContent>
          </v:textbox>
          <w10:wrap anchorx="page" anchory="page"/>
        </v:shape>
      </w:pic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A8D24" w14:textId="77777777" w:rsidR="001008C3" w:rsidRDefault="00000000">
    <w:pPr>
      <w:pStyle w:val="a3"/>
      <w:spacing w:line="14" w:lineRule="auto"/>
    </w:pPr>
    <w:r>
      <w:rPr>
        <w:noProof w:val="0"/>
      </w:rPr>
      <w:pict w14:anchorId="794B45F8">
        <v:shapetype id="_x0000_t202" coordsize="21600,21600" o:spt="202" path="m,l,21600r21600,l21600,xe">
          <v:stroke joinstyle="miter"/>
          <v:path gradientshapeok="t" o:connecttype="rect"/>
        </v:shapetype>
        <v:shape id="_x0000_s1305" type="#_x0000_t202" style="position:absolute;margin-left:56.4pt;margin-top:594.5pt;width:20.8pt;height:12.55pt;z-index:-453376;mso-position-horizontal-relative:page;mso-position-vertical-relative:page" filled="f" stroked="f">
          <v:textbox inset="0,0,0,0">
            <w:txbxContent>
              <w:p w14:paraId="07ACC7D2" w14:textId="77777777" w:rsidR="001008C3" w:rsidRDefault="001008C3">
                <w:pPr>
                  <w:spacing w:before="19"/>
                  <w:ind w:left="20"/>
                  <w:rPr>
                    <w:sz w:val="18"/>
                  </w:rPr>
                </w:pPr>
                <w:r>
                  <w:rPr>
                    <w:color w:val="231F20"/>
                    <w:sz w:val="18"/>
                  </w:rPr>
                  <w:t xml:space="preserve">390 </w:t>
                </w:r>
              </w:p>
            </w:txbxContent>
          </v:textbox>
          <w10:wrap anchorx="page" anchory="page"/>
        </v:shape>
      </w:pict>
    </w:r>
    <w:r>
      <w:rPr>
        <w:noProof w:val="0"/>
      </w:rPr>
      <w:pict w14:anchorId="57C822B8">
        <v:shape id="_x0000_s1304" type="#_x0000_t202" style="position:absolute;margin-left:168.15pt;margin-top:594.5pt;width:199.45pt;height:12.55pt;z-index:-453352;mso-position-horizontal-relative:page;mso-position-vertical-relative:page" filled="f" stroked="f">
          <v:textbox inset="0,0,0,0">
            <w:txbxContent>
              <w:p w14:paraId="16D4D2C2" w14:textId="77777777" w:rsidR="001008C3" w:rsidRDefault="001008C3">
                <w:pPr>
                  <w:tabs>
                    <w:tab w:val="left" w:pos="3641"/>
                  </w:tabs>
                  <w:spacing w:before="19"/>
                  <w:ind w:left="20"/>
                  <w:rPr>
                    <w:sz w:val="14"/>
                  </w:rPr>
                </w:pPr>
                <w:r>
                  <w:rPr>
                    <w:color w:val="231F20"/>
                    <w:spacing w:val="15"/>
                    <w:w w:val="115"/>
                    <w:sz w:val="18"/>
                  </w:rPr>
                  <w:t xml:space="preserve">the  </w:t>
                </w:r>
                <w:r>
                  <w:rPr>
                    <w:color w:val="231F20"/>
                    <w:spacing w:val="20"/>
                    <w:w w:val="115"/>
                    <w:sz w:val="18"/>
                  </w:rPr>
                  <w:t xml:space="preserve">murder  </w:t>
                </w:r>
                <w:r>
                  <w:rPr>
                    <w:color w:val="231F20"/>
                    <w:spacing w:val="11"/>
                    <w:w w:val="115"/>
                    <w:sz w:val="18"/>
                  </w:rPr>
                  <w:t xml:space="preserve">of </w:t>
                </w:r>
                <w:r>
                  <w:rPr>
                    <w:color w:val="231F20"/>
                    <w:spacing w:val="37"/>
                    <w:w w:val="115"/>
                    <w:sz w:val="18"/>
                  </w:rPr>
                  <w:t xml:space="preserve"> </w:t>
                </w:r>
                <w:r>
                  <w:rPr>
                    <w:color w:val="231F20"/>
                    <w:spacing w:val="20"/>
                    <w:w w:val="115"/>
                    <w:sz w:val="18"/>
                  </w:rPr>
                  <w:t>ulrike  meinhof</w:t>
                </w:r>
                <w:r>
                  <w:rPr>
                    <w:color w:val="231F20"/>
                    <w:spacing w:val="20"/>
                    <w:w w:val="115"/>
                    <w:sz w:val="18"/>
                  </w:rPr>
                  <w:tab/>
                </w:r>
                <w:r>
                  <w:rPr>
                    <w:color w:val="231F20"/>
                    <w:spacing w:val="12"/>
                    <w:w w:val="105"/>
                    <w:sz w:val="14"/>
                  </w:rPr>
                  <w:t>(10)</w:t>
                </w:r>
                <w:r>
                  <w:rPr>
                    <w:color w:val="231F20"/>
                    <w:spacing w:val="-12"/>
                    <w:sz w:val="14"/>
                  </w:rPr>
                  <w:t xml:space="preserve"> </w:t>
                </w:r>
              </w:p>
            </w:txbxContent>
          </v:textbox>
          <w10:wrap anchorx="page" anchory="page"/>
        </v:shape>
      </w:pict>
    </w: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8ABC9" w14:textId="77777777" w:rsidR="001008C3" w:rsidRDefault="00000000">
    <w:pPr>
      <w:pStyle w:val="a3"/>
      <w:spacing w:line="14" w:lineRule="auto"/>
    </w:pPr>
    <w:r>
      <w:rPr>
        <w:noProof w:val="0"/>
      </w:rPr>
      <w:pict w14:anchorId="33E8CEC7">
        <v:shapetype id="_x0000_t202" coordsize="21600,21600" o:spt="202" path="m,l,21600r21600,l21600,xe">
          <v:stroke joinstyle="miter"/>
          <v:path gradientshapeok="t" o:connecttype="rect"/>
        </v:shapetype>
        <v:shape id="_x0000_s1301" type="#_x0000_t202" style="position:absolute;margin-left:55.4pt;margin-top:594.5pt;width:22.8pt;height:12.55pt;z-index:-453280;mso-position-horizontal-relative:page;mso-position-vertical-relative:page" filled="f" stroked="f">
          <v:textbox inset="0,0,0,0">
            <w:txbxContent>
              <w:p w14:paraId="67F54758"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392</w:t>
                </w:r>
                <w:r>
                  <w:fldChar w:fldCharType="end"/>
                </w:r>
                <w:r>
                  <w:rPr>
                    <w:color w:val="231F20"/>
                    <w:sz w:val="18"/>
                  </w:rPr>
                  <w:t xml:space="preserve"> </w:t>
                </w:r>
              </w:p>
            </w:txbxContent>
          </v:textbox>
          <w10:wrap anchorx="page" anchory="page"/>
        </v:shape>
      </w:pict>
    </w:r>
    <w:r>
      <w:rPr>
        <w:noProof w:val="0"/>
      </w:rPr>
      <w:pict w14:anchorId="05516B48">
        <v:shape id="_x0000_s1300" type="#_x0000_t202" style="position:absolute;margin-left:168.15pt;margin-top:594.5pt;width:199.45pt;height:12.55pt;z-index:-453256;mso-position-horizontal-relative:page;mso-position-vertical-relative:page" filled="f" stroked="f">
          <v:textbox inset="0,0,0,0">
            <w:txbxContent>
              <w:p w14:paraId="0135C103" w14:textId="77777777" w:rsidR="001008C3" w:rsidRDefault="001008C3">
                <w:pPr>
                  <w:tabs>
                    <w:tab w:val="left" w:pos="3641"/>
                  </w:tabs>
                  <w:spacing w:before="19"/>
                  <w:ind w:left="20"/>
                  <w:rPr>
                    <w:sz w:val="14"/>
                  </w:rPr>
                </w:pPr>
                <w:r>
                  <w:rPr>
                    <w:color w:val="231F20"/>
                    <w:spacing w:val="15"/>
                    <w:w w:val="115"/>
                    <w:sz w:val="18"/>
                  </w:rPr>
                  <w:t xml:space="preserve">the  </w:t>
                </w:r>
                <w:r>
                  <w:rPr>
                    <w:color w:val="231F20"/>
                    <w:spacing w:val="20"/>
                    <w:w w:val="115"/>
                    <w:sz w:val="18"/>
                  </w:rPr>
                  <w:t xml:space="preserve">murder  </w:t>
                </w:r>
                <w:r>
                  <w:rPr>
                    <w:color w:val="231F20"/>
                    <w:spacing w:val="11"/>
                    <w:w w:val="115"/>
                    <w:sz w:val="18"/>
                  </w:rPr>
                  <w:t xml:space="preserve">of </w:t>
                </w:r>
                <w:r>
                  <w:rPr>
                    <w:color w:val="231F20"/>
                    <w:spacing w:val="37"/>
                    <w:w w:val="115"/>
                    <w:sz w:val="18"/>
                  </w:rPr>
                  <w:t xml:space="preserve"> </w:t>
                </w:r>
                <w:r>
                  <w:rPr>
                    <w:color w:val="231F20"/>
                    <w:spacing w:val="20"/>
                    <w:w w:val="115"/>
                    <w:sz w:val="18"/>
                  </w:rPr>
                  <w:t>ulrike  meinhof</w:t>
                </w:r>
                <w:r>
                  <w:rPr>
                    <w:color w:val="231F20"/>
                    <w:spacing w:val="20"/>
                    <w:w w:val="115"/>
                    <w:sz w:val="18"/>
                  </w:rPr>
                  <w:tab/>
                </w:r>
                <w:r>
                  <w:rPr>
                    <w:color w:val="231F20"/>
                    <w:spacing w:val="12"/>
                    <w:w w:val="105"/>
                    <w:sz w:val="14"/>
                  </w:rPr>
                  <w:t>(10)</w:t>
                </w:r>
                <w:r>
                  <w:rPr>
                    <w:color w:val="231F20"/>
                    <w:spacing w:val="-12"/>
                    <w:sz w:val="14"/>
                  </w:rPr>
                  <w:t xml:space="preserve"> </w:t>
                </w:r>
              </w:p>
            </w:txbxContent>
          </v:textbox>
          <w10:wrap anchorx="page" anchory="page"/>
        </v:shape>
      </w:pict>
    </w: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57366" w14:textId="77777777" w:rsidR="001008C3" w:rsidRDefault="00000000">
    <w:pPr>
      <w:pStyle w:val="a3"/>
      <w:spacing w:line="14" w:lineRule="auto"/>
    </w:pPr>
    <w:r>
      <w:rPr>
        <w:noProof w:val="0"/>
      </w:rPr>
      <w:pict w14:anchorId="1F8D6B78">
        <v:shapetype id="_x0000_t202" coordsize="21600,21600" o:spt="202" path="m,l,21600r21600,l21600,xe">
          <v:stroke joinstyle="miter"/>
          <v:path gradientshapeok="t" o:connecttype="rect"/>
        </v:shapetype>
        <v:shape id="_x0000_s1299" type="#_x0000_t202" style="position:absolute;margin-left:65.4pt;margin-top:594.5pt;width:116.6pt;height:12.55pt;z-index:-453232;mso-position-horizontal-relative:page;mso-position-vertical-relative:page" filled="f" stroked="f">
          <v:textbox inset="0,0,0,0">
            <w:txbxContent>
              <w:p w14:paraId="0164C434"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0F60AAEC">
        <v:shape id="_x0000_s1298" type="#_x0000_t202" style="position:absolute;margin-left:356.1pt;margin-top:594.5pt;width:20.8pt;height:12.55pt;z-index:-453208;mso-position-horizontal-relative:page;mso-position-vertical-relative:page" filled="f" stroked="f">
          <v:textbox inset="0,0,0,0">
            <w:txbxContent>
              <w:p w14:paraId="329E5017" w14:textId="77777777" w:rsidR="001008C3" w:rsidRDefault="001008C3">
                <w:pPr>
                  <w:spacing w:before="19"/>
                  <w:ind w:left="20"/>
                  <w:rPr>
                    <w:sz w:val="18"/>
                  </w:rPr>
                </w:pPr>
                <w:r>
                  <w:rPr>
                    <w:color w:val="231F20"/>
                    <w:sz w:val="18"/>
                  </w:rPr>
                  <w:t xml:space="preserve">393 </w:t>
                </w:r>
              </w:p>
            </w:txbxContent>
          </v:textbox>
          <w10:wrap anchorx="page" anchory="page"/>
        </v:shape>
      </w:pic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A3DDE" w14:textId="77777777" w:rsidR="001008C3" w:rsidRDefault="00000000">
    <w:pPr>
      <w:pStyle w:val="a3"/>
      <w:spacing w:line="14" w:lineRule="auto"/>
    </w:pPr>
    <w:r>
      <w:rPr>
        <w:noProof w:val="0"/>
      </w:rPr>
      <w:pict w14:anchorId="0A89C86D">
        <v:shapetype id="_x0000_t202" coordsize="21600,21600" o:spt="202" path="m,l,21600r21600,l21600,xe">
          <v:stroke joinstyle="miter"/>
          <v:path gradientshapeok="t" o:connecttype="rect"/>
        </v:shapetype>
        <v:shape id="_x0000_s1295" type="#_x0000_t202" style="position:absolute;margin-left:55.4pt;margin-top:594.5pt;width:22.8pt;height:12.55pt;z-index:-453136;mso-position-horizontal-relative:page;mso-position-vertical-relative:page" filled="f" stroked="f">
          <v:textbox inset="0,0,0,0">
            <w:txbxContent>
              <w:p w14:paraId="26C95843"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396</w:t>
                </w:r>
                <w:r>
                  <w:fldChar w:fldCharType="end"/>
                </w:r>
                <w:r>
                  <w:rPr>
                    <w:color w:val="231F20"/>
                    <w:sz w:val="18"/>
                  </w:rPr>
                  <w:t xml:space="preserve"> </w:t>
                </w:r>
              </w:p>
            </w:txbxContent>
          </v:textbox>
          <w10:wrap anchorx="page" anchory="page"/>
        </v:shape>
      </w:pict>
    </w:r>
    <w:r>
      <w:rPr>
        <w:noProof w:val="0"/>
      </w:rPr>
      <w:pict w14:anchorId="62DAA2E9">
        <v:shape id="_x0000_s1294" type="#_x0000_t202" style="position:absolute;margin-left:168.15pt;margin-top:594.5pt;width:199.45pt;height:12.55pt;z-index:-453112;mso-position-horizontal-relative:page;mso-position-vertical-relative:page" filled="f" stroked="f">
          <v:textbox inset="0,0,0,0">
            <w:txbxContent>
              <w:p w14:paraId="16C9CABC" w14:textId="77777777" w:rsidR="001008C3" w:rsidRDefault="001008C3">
                <w:pPr>
                  <w:tabs>
                    <w:tab w:val="left" w:pos="3641"/>
                  </w:tabs>
                  <w:spacing w:before="19"/>
                  <w:ind w:left="20"/>
                  <w:rPr>
                    <w:sz w:val="14"/>
                  </w:rPr>
                </w:pPr>
                <w:r>
                  <w:rPr>
                    <w:color w:val="231F20"/>
                    <w:spacing w:val="15"/>
                    <w:w w:val="115"/>
                    <w:sz w:val="18"/>
                  </w:rPr>
                  <w:t xml:space="preserve">the  </w:t>
                </w:r>
                <w:r>
                  <w:rPr>
                    <w:color w:val="231F20"/>
                    <w:spacing w:val="20"/>
                    <w:w w:val="115"/>
                    <w:sz w:val="18"/>
                  </w:rPr>
                  <w:t xml:space="preserve">murder  </w:t>
                </w:r>
                <w:r>
                  <w:rPr>
                    <w:color w:val="231F20"/>
                    <w:spacing w:val="11"/>
                    <w:w w:val="115"/>
                    <w:sz w:val="18"/>
                  </w:rPr>
                  <w:t xml:space="preserve">of </w:t>
                </w:r>
                <w:r>
                  <w:rPr>
                    <w:color w:val="231F20"/>
                    <w:spacing w:val="37"/>
                    <w:w w:val="115"/>
                    <w:sz w:val="18"/>
                  </w:rPr>
                  <w:t xml:space="preserve"> </w:t>
                </w:r>
                <w:r>
                  <w:rPr>
                    <w:color w:val="231F20"/>
                    <w:spacing w:val="20"/>
                    <w:w w:val="115"/>
                    <w:sz w:val="18"/>
                  </w:rPr>
                  <w:t>ulrike  meinhof</w:t>
                </w:r>
                <w:r>
                  <w:rPr>
                    <w:color w:val="231F20"/>
                    <w:spacing w:val="20"/>
                    <w:w w:val="115"/>
                    <w:sz w:val="18"/>
                  </w:rPr>
                  <w:tab/>
                </w:r>
                <w:r>
                  <w:rPr>
                    <w:color w:val="231F20"/>
                    <w:spacing w:val="12"/>
                    <w:w w:val="105"/>
                    <w:sz w:val="14"/>
                  </w:rPr>
                  <w:t>(10)</w:t>
                </w:r>
                <w:r>
                  <w:rPr>
                    <w:color w:val="231F20"/>
                    <w:spacing w:val="-12"/>
                    <w:sz w:val="14"/>
                  </w:rPr>
                  <w:t xml:space="preserve"> </w:t>
                </w:r>
              </w:p>
            </w:txbxContent>
          </v:textbox>
          <w10:wrap anchorx="page" anchory="page"/>
        </v:shape>
      </w:pict>
    </w: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E3B" w14:textId="77777777" w:rsidR="001008C3" w:rsidRDefault="00000000">
    <w:pPr>
      <w:pStyle w:val="a3"/>
      <w:spacing w:line="14" w:lineRule="auto"/>
    </w:pPr>
    <w:r>
      <w:rPr>
        <w:noProof w:val="0"/>
      </w:rPr>
      <w:pict w14:anchorId="78A8B003">
        <v:shapetype id="_x0000_t202" coordsize="21600,21600" o:spt="202" path="m,l,21600r21600,l21600,xe">
          <v:stroke joinstyle="miter"/>
          <v:path gradientshapeok="t" o:connecttype="rect"/>
        </v:shapetype>
        <v:shape id="_x0000_s1297" type="#_x0000_t202" style="position:absolute;margin-left:65.4pt;margin-top:594.5pt;width:249.45pt;height:12.55pt;z-index:-453184;mso-position-horizontal-relative:page;mso-position-vertical-relative:page" filled="f" stroked="f">
          <v:textbox inset="0,0,0,0">
            <w:txbxContent>
              <w:p w14:paraId="2194B93D" w14:textId="77777777" w:rsidR="001008C3" w:rsidRDefault="001008C3">
                <w:pPr>
                  <w:spacing w:before="19"/>
                  <w:ind w:left="20"/>
                  <w:rPr>
                    <w:sz w:val="18"/>
                  </w:rPr>
                </w:pPr>
                <w:r>
                  <w:rPr>
                    <w:color w:val="231F20"/>
                    <w:w w:val="115"/>
                    <w:sz w:val="18"/>
                  </w:rPr>
                  <w:t>may 1976 • jan-carl raspe after the murder</w:t>
                </w:r>
                <w:r>
                  <w:rPr>
                    <w:color w:val="231F20"/>
                    <w:sz w:val="18"/>
                  </w:rPr>
                  <w:t xml:space="preserve"> </w:t>
                </w:r>
              </w:p>
            </w:txbxContent>
          </v:textbox>
          <w10:wrap anchorx="page" anchory="page"/>
        </v:shape>
      </w:pict>
    </w:r>
    <w:r>
      <w:rPr>
        <w:noProof w:val="0"/>
      </w:rPr>
      <w:pict w14:anchorId="7A756E74">
        <v:shape id="_x0000_s1296" type="#_x0000_t202" style="position:absolute;margin-left:355.1pt;margin-top:594.5pt;width:22.8pt;height:12.55pt;z-index:-453160;mso-position-horizontal-relative:page;mso-position-vertical-relative:page" filled="f" stroked="f">
          <v:textbox inset="0,0,0,0">
            <w:txbxContent>
              <w:p w14:paraId="62EB08C7"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395</w:t>
                </w:r>
                <w:r>
                  <w:fldChar w:fldCharType="end"/>
                </w:r>
                <w:r>
                  <w:rPr>
                    <w:color w:val="231F20"/>
                    <w:sz w:val="18"/>
                  </w:rPr>
                  <w:t xml:space="preserve"> </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C2660" w14:textId="77777777" w:rsidR="001008C3" w:rsidRDefault="00000000">
    <w:pPr>
      <w:pStyle w:val="a3"/>
      <w:spacing w:line="14" w:lineRule="auto"/>
    </w:pPr>
    <w:r>
      <w:rPr>
        <w:noProof w:val="0"/>
      </w:rPr>
      <w:pict w14:anchorId="67A06771">
        <v:shapetype id="_x0000_t202" coordsize="21600,21600" o:spt="202" path="m,l,21600r21600,l21600,xe">
          <v:stroke joinstyle="miter"/>
          <v:path gradientshapeok="t" o:connecttype="rect"/>
        </v:shapetype>
        <v:shape id="_x0000_s1709" type="#_x0000_t202" style="position:absolute;margin-left:361.35pt;margin-top:594.5pt;width:16.55pt;height:12.55pt;z-index:-463072;mso-position-horizontal-relative:page;mso-position-vertical-relative:page" filled="f" stroked="f">
          <v:textbox inset="0,0,0,0">
            <w:txbxContent>
              <w:p w14:paraId="3A793E41"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19</w:t>
                </w:r>
                <w:r>
                  <w:fldChar w:fldCharType="end"/>
                </w:r>
                <w:r>
                  <w:rPr>
                    <w:color w:val="231F20"/>
                    <w:sz w:val="18"/>
                  </w:rPr>
                  <w:t xml:space="preserve"> </w:t>
                </w:r>
              </w:p>
            </w:txbxContent>
          </v:textbox>
          <w10:wrap anchorx="page" anchory="page"/>
        </v:shape>
      </w:pic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2DD39" w14:textId="77777777" w:rsidR="001008C3" w:rsidRDefault="00000000">
    <w:pPr>
      <w:pStyle w:val="a3"/>
      <w:spacing w:line="14" w:lineRule="auto"/>
    </w:pPr>
    <w:r>
      <w:rPr>
        <w:noProof w:val="0"/>
      </w:rPr>
      <w:pict w14:anchorId="061B52A7">
        <v:shapetype id="_x0000_t202" coordsize="21600,21600" o:spt="202" path="m,l,21600r21600,l21600,xe">
          <v:stroke joinstyle="miter"/>
          <v:path gradientshapeok="t" o:connecttype="rect"/>
        </v:shapetype>
        <v:shape id="_x0000_s1291" type="#_x0000_t202" style="position:absolute;margin-left:55.4pt;margin-top:594.5pt;width:22.8pt;height:12.55pt;z-index:-453040;mso-position-horizontal-relative:page;mso-position-vertical-relative:page" filled="f" stroked="f">
          <v:textbox inset="0,0,0,0">
            <w:txbxContent>
              <w:p w14:paraId="7C00AF2B"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398</w:t>
                </w:r>
                <w:r>
                  <w:fldChar w:fldCharType="end"/>
                </w:r>
                <w:r>
                  <w:rPr>
                    <w:color w:val="231F20"/>
                    <w:sz w:val="18"/>
                  </w:rPr>
                  <w:t xml:space="preserve"> </w:t>
                </w:r>
              </w:p>
            </w:txbxContent>
          </v:textbox>
          <w10:wrap anchorx="page" anchory="page"/>
        </v:shape>
      </w:pict>
    </w:r>
    <w:r>
      <w:rPr>
        <w:noProof w:val="0"/>
      </w:rPr>
      <w:pict w14:anchorId="613E838B">
        <v:shape id="_x0000_s1290" type="#_x0000_t202" style="position:absolute;margin-left:168.15pt;margin-top:594.5pt;width:199.45pt;height:12.55pt;z-index:-453016;mso-position-horizontal-relative:page;mso-position-vertical-relative:page" filled="f" stroked="f">
          <v:textbox inset="0,0,0,0">
            <w:txbxContent>
              <w:p w14:paraId="417CF2E2" w14:textId="77777777" w:rsidR="001008C3" w:rsidRDefault="001008C3">
                <w:pPr>
                  <w:tabs>
                    <w:tab w:val="left" w:pos="3641"/>
                  </w:tabs>
                  <w:spacing w:before="19"/>
                  <w:ind w:left="20"/>
                  <w:rPr>
                    <w:sz w:val="14"/>
                  </w:rPr>
                </w:pPr>
                <w:r>
                  <w:rPr>
                    <w:color w:val="231F20"/>
                    <w:spacing w:val="15"/>
                    <w:w w:val="115"/>
                    <w:sz w:val="18"/>
                  </w:rPr>
                  <w:t xml:space="preserve">the  </w:t>
                </w:r>
                <w:r>
                  <w:rPr>
                    <w:color w:val="231F20"/>
                    <w:spacing w:val="20"/>
                    <w:w w:val="115"/>
                    <w:sz w:val="18"/>
                  </w:rPr>
                  <w:t xml:space="preserve">murder  </w:t>
                </w:r>
                <w:r>
                  <w:rPr>
                    <w:color w:val="231F20"/>
                    <w:spacing w:val="11"/>
                    <w:w w:val="115"/>
                    <w:sz w:val="18"/>
                  </w:rPr>
                  <w:t xml:space="preserve">of </w:t>
                </w:r>
                <w:r>
                  <w:rPr>
                    <w:color w:val="231F20"/>
                    <w:spacing w:val="37"/>
                    <w:w w:val="115"/>
                    <w:sz w:val="18"/>
                  </w:rPr>
                  <w:t xml:space="preserve"> </w:t>
                </w:r>
                <w:r>
                  <w:rPr>
                    <w:color w:val="231F20"/>
                    <w:spacing w:val="20"/>
                    <w:w w:val="115"/>
                    <w:sz w:val="18"/>
                  </w:rPr>
                  <w:t>ulrike  meinhof</w:t>
                </w:r>
                <w:r>
                  <w:rPr>
                    <w:color w:val="231F20"/>
                    <w:spacing w:val="20"/>
                    <w:w w:val="115"/>
                    <w:sz w:val="18"/>
                  </w:rPr>
                  <w:tab/>
                </w:r>
                <w:r>
                  <w:rPr>
                    <w:color w:val="231F20"/>
                    <w:spacing w:val="12"/>
                    <w:w w:val="105"/>
                    <w:sz w:val="14"/>
                  </w:rPr>
                  <w:t>(10)</w:t>
                </w:r>
                <w:r>
                  <w:rPr>
                    <w:color w:val="231F20"/>
                    <w:spacing w:val="-12"/>
                    <w:sz w:val="14"/>
                  </w:rPr>
                  <w:t xml:space="preserve"> </w:t>
                </w:r>
              </w:p>
            </w:txbxContent>
          </v:textbox>
          <w10:wrap anchorx="page" anchory="page"/>
        </v:shape>
      </w:pic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D654" w14:textId="77777777" w:rsidR="001008C3" w:rsidRDefault="00000000">
    <w:pPr>
      <w:pStyle w:val="a3"/>
      <w:spacing w:line="14" w:lineRule="auto"/>
    </w:pPr>
    <w:r>
      <w:rPr>
        <w:noProof w:val="0"/>
      </w:rPr>
      <w:pict w14:anchorId="36495226">
        <v:shapetype id="_x0000_t202" coordsize="21600,21600" o:spt="202" path="m,l,21600r21600,l21600,xe">
          <v:stroke joinstyle="miter"/>
          <v:path gradientshapeok="t" o:connecttype="rect"/>
        </v:shapetype>
        <v:shape id="_x0000_s1293" type="#_x0000_t202" style="position:absolute;margin-left:65.4pt;margin-top:594.5pt;width:213.35pt;height:12.55pt;z-index:-453088;mso-position-horizontal-relative:page;mso-position-vertical-relative:page" filled="f" stroked="f">
          <v:textbox inset="0,0,0,0">
            <w:txbxContent>
              <w:p w14:paraId="233F7EE7" w14:textId="77777777" w:rsidR="001008C3" w:rsidRDefault="001008C3">
                <w:pPr>
                  <w:spacing w:before="19"/>
                  <w:ind w:left="20"/>
                  <w:rPr>
                    <w:sz w:val="18"/>
                  </w:rPr>
                </w:pPr>
                <w:r>
                  <w:rPr>
                    <w:color w:val="231F20"/>
                    <w:spacing w:val="17"/>
                    <w:w w:val="115"/>
                    <w:sz w:val="18"/>
                  </w:rPr>
                  <w:t xml:space="preserve">1976 </w:t>
                </w:r>
                <w:r>
                  <w:rPr>
                    <w:color w:val="231F20"/>
                    <w:w w:val="115"/>
                    <w:sz w:val="18"/>
                  </w:rPr>
                  <w:t xml:space="preserve">• </w:t>
                </w:r>
                <w:r>
                  <w:rPr>
                    <w:color w:val="231F20"/>
                    <w:spacing w:val="20"/>
                    <w:w w:val="115"/>
                    <w:sz w:val="18"/>
                  </w:rPr>
                  <w:t xml:space="preserve">fragment </w:t>
                </w:r>
                <w:r>
                  <w:rPr>
                    <w:color w:val="231F20"/>
                    <w:spacing w:val="21"/>
                    <w:w w:val="115"/>
                    <w:sz w:val="18"/>
                  </w:rPr>
                  <w:t>regarding</w:t>
                </w:r>
                <w:r>
                  <w:rPr>
                    <w:color w:val="231F20"/>
                    <w:spacing w:val="72"/>
                    <w:w w:val="115"/>
                    <w:sz w:val="18"/>
                  </w:rPr>
                  <w:t xml:space="preserve"> </w:t>
                </w:r>
                <w:r>
                  <w:rPr>
                    <w:color w:val="231F20"/>
                    <w:spacing w:val="20"/>
                    <w:w w:val="115"/>
                    <w:sz w:val="18"/>
                  </w:rPr>
                  <w:t>structure</w:t>
                </w:r>
                <w:r>
                  <w:rPr>
                    <w:color w:val="231F20"/>
                    <w:spacing w:val="-15"/>
                    <w:sz w:val="18"/>
                  </w:rPr>
                  <w:t xml:space="preserve"> </w:t>
                </w:r>
              </w:p>
            </w:txbxContent>
          </v:textbox>
          <w10:wrap anchorx="page" anchory="page"/>
        </v:shape>
      </w:pict>
    </w:r>
    <w:r>
      <w:rPr>
        <w:noProof w:val="0"/>
      </w:rPr>
      <w:pict w14:anchorId="35E14FCD">
        <v:shape id="_x0000_s1292" type="#_x0000_t202" style="position:absolute;margin-left:355.1pt;margin-top:594.5pt;width:22.8pt;height:12.55pt;z-index:-453064;mso-position-horizontal-relative:page;mso-position-vertical-relative:page" filled="f" stroked="f">
          <v:textbox inset="0,0,0,0">
            <w:txbxContent>
              <w:p w14:paraId="1584D211"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397</w:t>
                </w:r>
                <w:r>
                  <w:fldChar w:fldCharType="end"/>
                </w:r>
                <w:r>
                  <w:rPr>
                    <w:color w:val="231F20"/>
                    <w:sz w:val="18"/>
                  </w:rPr>
                  <w:t xml:space="preserve"> </w:t>
                </w:r>
              </w:p>
            </w:txbxContent>
          </v:textbox>
          <w10:wrap anchorx="page" anchory="page"/>
        </v:shape>
      </w:pict>
    </w: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95958" w14:textId="77777777" w:rsidR="001008C3" w:rsidRDefault="00000000">
    <w:pPr>
      <w:pStyle w:val="a3"/>
      <w:spacing w:line="14" w:lineRule="auto"/>
    </w:pPr>
    <w:r>
      <w:rPr>
        <w:noProof w:val="0"/>
      </w:rPr>
      <w:pict w14:anchorId="1FBF36B4">
        <v:shapetype id="_x0000_t202" coordsize="21600,21600" o:spt="202" path="m,l,21600r21600,l21600,xe">
          <v:stroke joinstyle="miter"/>
          <v:path gradientshapeok="t" o:connecttype="rect"/>
        </v:shapetype>
        <v:shape id="_x0000_s1287" type="#_x0000_t202" style="position:absolute;margin-left:55.4pt;margin-top:594.5pt;width:22.8pt;height:12.55pt;z-index:-452944;mso-position-horizontal-relative:page;mso-position-vertical-relative:page" filled="f" stroked="f">
          <v:textbox inset="0,0,0,0">
            <w:txbxContent>
              <w:p w14:paraId="55C418AF"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402</w:t>
                </w:r>
                <w:r>
                  <w:fldChar w:fldCharType="end"/>
                </w:r>
                <w:r>
                  <w:rPr>
                    <w:color w:val="231F20"/>
                    <w:sz w:val="18"/>
                  </w:rPr>
                  <w:t xml:space="preserve"> </w:t>
                </w:r>
              </w:p>
            </w:txbxContent>
          </v:textbox>
          <w10:wrap anchorx="page" anchory="page"/>
        </v:shape>
      </w:pict>
    </w:r>
    <w:r>
      <w:rPr>
        <w:noProof w:val="0"/>
      </w:rPr>
      <w:pict w14:anchorId="05A258F5">
        <v:shape id="_x0000_s1286" type="#_x0000_t202" style="position:absolute;margin-left:168.15pt;margin-top:594.5pt;width:199.45pt;height:12.55pt;z-index:-452920;mso-position-horizontal-relative:page;mso-position-vertical-relative:page" filled="f" stroked="f">
          <v:textbox inset="0,0,0,0">
            <w:txbxContent>
              <w:p w14:paraId="4A81AB29" w14:textId="77777777" w:rsidR="001008C3" w:rsidRDefault="001008C3">
                <w:pPr>
                  <w:tabs>
                    <w:tab w:val="left" w:pos="3641"/>
                  </w:tabs>
                  <w:spacing w:before="19"/>
                  <w:ind w:left="20"/>
                  <w:rPr>
                    <w:sz w:val="14"/>
                  </w:rPr>
                </w:pPr>
                <w:r>
                  <w:rPr>
                    <w:color w:val="231F20"/>
                    <w:spacing w:val="15"/>
                    <w:w w:val="115"/>
                    <w:sz w:val="18"/>
                  </w:rPr>
                  <w:t xml:space="preserve">the  </w:t>
                </w:r>
                <w:r>
                  <w:rPr>
                    <w:color w:val="231F20"/>
                    <w:spacing w:val="20"/>
                    <w:w w:val="115"/>
                    <w:sz w:val="18"/>
                  </w:rPr>
                  <w:t xml:space="preserve">murder  </w:t>
                </w:r>
                <w:r>
                  <w:rPr>
                    <w:color w:val="231F20"/>
                    <w:spacing w:val="11"/>
                    <w:w w:val="115"/>
                    <w:sz w:val="18"/>
                  </w:rPr>
                  <w:t xml:space="preserve">of </w:t>
                </w:r>
                <w:r>
                  <w:rPr>
                    <w:color w:val="231F20"/>
                    <w:spacing w:val="37"/>
                    <w:w w:val="115"/>
                    <w:sz w:val="18"/>
                  </w:rPr>
                  <w:t xml:space="preserve"> </w:t>
                </w:r>
                <w:r>
                  <w:rPr>
                    <w:color w:val="231F20"/>
                    <w:spacing w:val="20"/>
                    <w:w w:val="115"/>
                    <w:sz w:val="18"/>
                  </w:rPr>
                  <w:t>ulrike  meinhof</w:t>
                </w:r>
                <w:r>
                  <w:rPr>
                    <w:color w:val="231F20"/>
                    <w:spacing w:val="20"/>
                    <w:w w:val="115"/>
                    <w:sz w:val="18"/>
                  </w:rPr>
                  <w:tab/>
                </w:r>
                <w:r>
                  <w:rPr>
                    <w:color w:val="231F20"/>
                    <w:spacing w:val="12"/>
                    <w:w w:val="105"/>
                    <w:sz w:val="14"/>
                  </w:rPr>
                  <w:t>(10)</w:t>
                </w:r>
                <w:r>
                  <w:rPr>
                    <w:color w:val="231F20"/>
                    <w:spacing w:val="-12"/>
                    <w:sz w:val="14"/>
                  </w:rPr>
                  <w:t xml:space="preserve"> </w:t>
                </w:r>
              </w:p>
            </w:txbxContent>
          </v:textbox>
          <w10:wrap anchorx="page" anchory="page"/>
        </v:shape>
      </w:pict>
    </w: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DD477" w14:textId="77777777" w:rsidR="001008C3" w:rsidRDefault="00000000">
    <w:pPr>
      <w:pStyle w:val="a3"/>
      <w:spacing w:line="14" w:lineRule="auto"/>
    </w:pPr>
    <w:r>
      <w:rPr>
        <w:noProof w:val="0"/>
      </w:rPr>
      <w:pict w14:anchorId="403B6002">
        <v:shapetype id="_x0000_t202" coordsize="21600,21600" o:spt="202" path="m,l,21600r21600,l21600,xe">
          <v:stroke joinstyle="miter"/>
          <v:path gradientshapeok="t" o:connecttype="rect"/>
        </v:shapetype>
        <v:shape id="_x0000_s1289" type="#_x0000_t202" style="position:absolute;margin-left:65.4pt;margin-top:594.5pt;width:242.7pt;height:12.55pt;z-index:-452992;mso-position-horizontal-relative:page;mso-position-vertical-relative:page" filled="f" stroked="f">
          <v:textbox inset="0,0,0,0">
            <w:txbxContent>
              <w:p w14:paraId="14B4713F" w14:textId="77777777" w:rsidR="001008C3" w:rsidRDefault="001008C3">
                <w:pPr>
                  <w:spacing w:before="19"/>
                  <w:ind w:left="20"/>
                  <w:rPr>
                    <w:sz w:val="18"/>
                  </w:rPr>
                </w:pPr>
                <w:r>
                  <w:rPr>
                    <w:color w:val="231F20"/>
                    <w:w w:val="115"/>
                    <w:sz w:val="18"/>
                  </w:rPr>
                  <w:t>march 1976 • two letters to hanna krabbe</w:t>
                </w:r>
                <w:r>
                  <w:rPr>
                    <w:color w:val="231F20"/>
                    <w:sz w:val="18"/>
                  </w:rPr>
                  <w:t xml:space="preserve"> </w:t>
                </w:r>
              </w:p>
            </w:txbxContent>
          </v:textbox>
          <w10:wrap anchorx="page" anchory="page"/>
        </v:shape>
      </w:pict>
    </w:r>
    <w:r>
      <w:rPr>
        <w:noProof w:val="0"/>
      </w:rPr>
      <w:pict w14:anchorId="40DEFEA0">
        <v:shape id="_x0000_s1288" type="#_x0000_t202" style="position:absolute;margin-left:355.1pt;margin-top:594.5pt;width:22.8pt;height:12.55pt;z-index:-452968;mso-position-horizontal-relative:page;mso-position-vertical-relative:page" filled="f" stroked="f">
          <v:textbox inset="0,0,0,0">
            <w:txbxContent>
              <w:p w14:paraId="03471215"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401</w:t>
                </w:r>
                <w:r>
                  <w:fldChar w:fldCharType="end"/>
                </w:r>
                <w:r>
                  <w:rPr>
                    <w:color w:val="231F20"/>
                    <w:sz w:val="18"/>
                  </w:rPr>
                  <w:t xml:space="preserve"> </w:t>
                </w:r>
              </w:p>
            </w:txbxContent>
          </v:textbox>
          <w10:wrap anchorx="page" anchory="page"/>
        </v:shape>
      </w:pic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72AD2" w14:textId="77777777" w:rsidR="001008C3" w:rsidRDefault="00000000">
    <w:pPr>
      <w:pStyle w:val="a3"/>
      <w:spacing w:line="14" w:lineRule="auto"/>
    </w:pPr>
    <w:r>
      <w:rPr>
        <w:noProof w:val="0"/>
      </w:rPr>
      <w:pict w14:anchorId="45DB080E">
        <v:shapetype id="_x0000_t202" coordsize="21600,21600" o:spt="202" path="m,l,21600r21600,l21600,xe">
          <v:stroke joinstyle="miter"/>
          <v:path gradientshapeok="t" o:connecttype="rect"/>
        </v:shapetype>
        <v:shape id="_x0000_s1282" type="#_x0000_t202" style="position:absolute;margin-left:65.4pt;margin-top:594.5pt;width:258.35pt;height:12.55pt;z-index:-452824;mso-position-horizontal-relative:page;mso-position-vertical-relative:page" filled="f" stroked="f">
          <v:textbox inset="0,0,0,0">
            <w:txbxContent>
              <w:p w14:paraId="431A14BE" w14:textId="77777777" w:rsidR="001008C3" w:rsidRDefault="001008C3">
                <w:pPr>
                  <w:spacing w:before="19"/>
                  <w:ind w:left="20"/>
                  <w:rPr>
                    <w:sz w:val="18"/>
                  </w:rPr>
                </w:pPr>
                <w:r>
                  <w:rPr>
                    <w:color w:val="231F20"/>
                    <w:w w:val="120"/>
                    <w:sz w:val="18"/>
                  </w:rPr>
                  <w:t>april 1976 • letter to the hamburg prisoners</w:t>
                </w:r>
              </w:p>
            </w:txbxContent>
          </v:textbox>
          <w10:wrap anchorx="page" anchory="page"/>
        </v:shape>
      </w:pict>
    </w:r>
    <w:r>
      <w:rPr>
        <w:noProof w:val="0"/>
      </w:rPr>
      <w:pict w14:anchorId="7ED0E94F">
        <v:shape id="_x0000_s1281" type="#_x0000_t202" style="position:absolute;margin-left:355.1pt;margin-top:594.5pt;width:22.8pt;height:12.55pt;z-index:-452800;mso-position-horizontal-relative:page;mso-position-vertical-relative:page" filled="f" stroked="f">
          <v:textbox inset="0,0,0,0">
            <w:txbxContent>
              <w:p w14:paraId="76781B04" w14:textId="77777777" w:rsidR="001008C3" w:rsidRDefault="001008C3">
                <w:pPr>
                  <w:spacing w:before="19"/>
                  <w:ind w:left="40"/>
                  <w:rPr>
                    <w:sz w:val="18"/>
                  </w:rPr>
                </w:pPr>
                <w:r>
                  <w:rPr>
                    <w:color w:val="231F20"/>
                    <w:sz w:val="18"/>
                  </w:rPr>
                  <w:t xml:space="preserve">405 </w:t>
                </w:r>
              </w:p>
            </w:txbxContent>
          </v:textbox>
          <w10:wrap anchorx="page" anchory="page"/>
        </v:shape>
      </w:pict>
    </w: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DBB8F" w14:textId="77777777" w:rsidR="001008C3" w:rsidRDefault="00000000">
    <w:pPr>
      <w:pStyle w:val="a3"/>
      <w:spacing w:line="14" w:lineRule="auto"/>
    </w:pPr>
    <w:r>
      <w:rPr>
        <w:noProof w:val="0"/>
      </w:rPr>
      <w:pict w14:anchorId="2F936EF1">
        <v:line id="_x0000_s1285" style="position:absolute;z-index:-452896;mso-position-horizontal-relative:page;mso-position-vertical-relative:page" from="57.4pt,534.7pt" to="129.4pt,534.7pt" strokecolor="#231f20" strokeweight=".5pt">
          <w10:wrap anchorx="page" anchory="page"/>
        </v:line>
      </w:pict>
    </w:r>
    <w:r>
      <w:rPr>
        <w:noProof w:val="0"/>
      </w:rPr>
      <w:pict w14:anchorId="4613D51D">
        <v:shapetype id="_x0000_t202" coordsize="21600,21600" o:spt="202" path="m,l,21600r21600,l21600,xe">
          <v:stroke joinstyle="miter"/>
          <v:path gradientshapeok="t" o:connecttype="rect"/>
        </v:shapetype>
        <v:shape id="_x0000_s1284" type="#_x0000_t202" style="position:absolute;margin-left:56.4pt;margin-top:594.5pt;width:20.8pt;height:12.55pt;z-index:-452872;mso-position-horizontal-relative:page;mso-position-vertical-relative:page" filled="f" stroked="f">
          <v:textbox inset="0,0,0,0">
            <w:txbxContent>
              <w:p w14:paraId="481A3170" w14:textId="77777777" w:rsidR="001008C3" w:rsidRDefault="001008C3">
                <w:pPr>
                  <w:spacing w:before="19"/>
                  <w:ind w:left="20"/>
                  <w:rPr>
                    <w:sz w:val="18"/>
                  </w:rPr>
                </w:pPr>
                <w:r>
                  <w:rPr>
                    <w:color w:val="231F20"/>
                    <w:sz w:val="18"/>
                  </w:rPr>
                  <w:t xml:space="preserve">404 </w:t>
                </w:r>
              </w:p>
            </w:txbxContent>
          </v:textbox>
          <w10:wrap anchorx="page" anchory="page"/>
        </v:shape>
      </w:pict>
    </w:r>
    <w:r>
      <w:rPr>
        <w:noProof w:val="0"/>
      </w:rPr>
      <w:pict w14:anchorId="01E390E8">
        <v:shape id="_x0000_s1283" type="#_x0000_t202" style="position:absolute;margin-left:168.15pt;margin-top:594.5pt;width:199.45pt;height:12.55pt;z-index:-452848;mso-position-horizontal-relative:page;mso-position-vertical-relative:page" filled="f" stroked="f">
          <v:textbox inset="0,0,0,0">
            <w:txbxContent>
              <w:p w14:paraId="5C2465EC" w14:textId="77777777" w:rsidR="001008C3" w:rsidRDefault="001008C3">
                <w:pPr>
                  <w:tabs>
                    <w:tab w:val="left" w:pos="3641"/>
                  </w:tabs>
                  <w:spacing w:before="19"/>
                  <w:ind w:left="20"/>
                  <w:rPr>
                    <w:sz w:val="14"/>
                  </w:rPr>
                </w:pPr>
                <w:r>
                  <w:rPr>
                    <w:color w:val="231F20"/>
                    <w:spacing w:val="15"/>
                    <w:w w:val="115"/>
                    <w:sz w:val="18"/>
                  </w:rPr>
                  <w:t xml:space="preserve">the  </w:t>
                </w:r>
                <w:r>
                  <w:rPr>
                    <w:color w:val="231F20"/>
                    <w:spacing w:val="20"/>
                    <w:w w:val="115"/>
                    <w:sz w:val="18"/>
                  </w:rPr>
                  <w:t xml:space="preserve">murder  </w:t>
                </w:r>
                <w:r>
                  <w:rPr>
                    <w:color w:val="231F20"/>
                    <w:spacing w:val="11"/>
                    <w:w w:val="115"/>
                    <w:sz w:val="18"/>
                  </w:rPr>
                  <w:t xml:space="preserve">of </w:t>
                </w:r>
                <w:r>
                  <w:rPr>
                    <w:color w:val="231F20"/>
                    <w:spacing w:val="37"/>
                    <w:w w:val="115"/>
                    <w:sz w:val="18"/>
                  </w:rPr>
                  <w:t xml:space="preserve"> </w:t>
                </w:r>
                <w:r>
                  <w:rPr>
                    <w:color w:val="231F20"/>
                    <w:spacing w:val="20"/>
                    <w:w w:val="115"/>
                    <w:sz w:val="18"/>
                  </w:rPr>
                  <w:t>ulrike  meinhof</w:t>
                </w:r>
                <w:r>
                  <w:rPr>
                    <w:color w:val="231F20"/>
                    <w:spacing w:val="20"/>
                    <w:w w:val="115"/>
                    <w:sz w:val="18"/>
                  </w:rPr>
                  <w:tab/>
                </w:r>
                <w:r>
                  <w:rPr>
                    <w:color w:val="231F20"/>
                    <w:spacing w:val="12"/>
                    <w:w w:val="105"/>
                    <w:sz w:val="14"/>
                  </w:rPr>
                  <w:t>(10)</w:t>
                </w:r>
                <w:r>
                  <w:rPr>
                    <w:color w:val="231F20"/>
                    <w:spacing w:val="-12"/>
                    <w:sz w:val="14"/>
                  </w:rPr>
                  <w:t xml:space="preserve"> </w:t>
                </w:r>
              </w:p>
            </w:txbxContent>
          </v:textbox>
          <w10:wrap anchorx="page" anchory="page"/>
        </v:shape>
      </w:pict>
    </w: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DBD63" w14:textId="77777777" w:rsidR="001008C3" w:rsidRDefault="00000000">
    <w:pPr>
      <w:pStyle w:val="a3"/>
      <w:spacing w:line="14" w:lineRule="auto"/>
    </w:pPr>
    <w:r>
      <w:rPr>
        <w:noProof w:val="0"/>
      </w:rPr>
      <w:pict w14:anchorId="123ABFD1">
        <v:shapetype id="_x0000_t202" coordsize="21600,21600" o:spt="202" path="m,l,21600r21600,l21600,xe">
          <v:stroke joinstyle="miter"/>
          <v:path gradientshapeok="t" o:connecttype="rect"/>
        </v:shapetype>
        <v:shape id="_x0000_s1280" type="#_x0000_t202" style="position:absolute;margin-left:55.4pt;margin-top:594.5pt;width:22.8pt;height:12.55pt;z-index:-452776;mso-position-horizontal-relative:page;mso-position-vertical-relative:page" filled="f" stroked="f">
          <v:textbox inset="0,0,0,0">
            <w:txbxContent>
              <w:p w14:paraId="36C9D781"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406</w:t>
                </w:r>
                <w:r>
                  <w:fldChar w:fldCharType="end"/>
                </w:r>
                <w:r>
                  <w:rPr>
                    <w:color w:val="231F20"/>
                    <w:sz w:val="18"/>
                  </w:rPr>
                  <w:t xml:space="preserve"> </w:t>
                </w:r>
              </w:p>
            </w:txbxContent>
          </v:textbox>
          <w10:wrap anchorx="page" anchory="page"/>
        </v:shape>
      </w:pict>
    </w:r>
    <w:r>
      <w:rPr>
        <w:noProof w:val="0"/>
      </w:rPr>
      <w:pict w14:anchorId="72DD7CDB">
        <v:shape id="_x0000_s1279" type="#_x0000_t202" style="position:absolute;margin-left:168.15pt;margin-top:594.5pt;width:199.45pt;height:12.55pt;z-index:-452752;mso-position-horizontal-relative:page;mso-position-vertical-relative:page" filled="f" stroked="f">
          <v:textbox inset="0,0,0,0">
            <w:txbxContent>
              <w:p w14:paraId="2E1ACD7A" w14:textId="77777777" w:rsidR="001008C3" w:rsidRDefault="001008C3">
                <w:pPr>
                  <w:tabs>
                    <w:tab w:val="left" w:pos="3641"/>
                  </w:tabs>
                  <w:spacing w:before="19"/>
                  <w:ind w:left="20"/>
                  <w:rPr>
                    <w:sz w:val="14"/>
                  </w:rPr>
                </w:pPr>
                <w:r>
                  <w:rPr>
                    <w:color w:val="231F20"/>
                    <w:spacing w:val="15"/>
                    <w:w w:val="115"/>
                    <w:sz w:val="18"/>
                  </w:rPr>
                  <w:t xml:space="preserve">the  </w:t>
                </w:r>
                <w:r>
                  <w:rPr>
                    <w:color w:val="231F20"/>
                    <w:spacing w:val="20"/>
                    <w:w w:val="115"/>
                    <w:sz w:val="18"/>
                  </w:rPr>
                  <w:t xml:space="preserve">murder  </w:t>
                </w:r>
                <w:r>
                  <w:rPr>
                    <w:color w:val="231F20"/>
                    <w:spacing w:val="11"/>
                    <w:w w:val="115"/>
                    <w:sz w:val="18"/>
                  </w:rPr>
                  <w:t xml:space="preserve">of </w:t>
                </w:r>
                <w:r>
                  <w:rPr>
                    <w:color w:val="231F20"/>
                    <w:spacing w:val="37"/>
                    <w:w w:val="115"/>
                    <w:sz w:val="18"/>
                  </w:rPr>
                  <w:t xml:space="preserve"> </w:t>
                </w:r>
                <w:r>
                  <w:rPr>
                    <w:color w:val="231F20"/>
                    <w:spacing w:val="20"/>
                    <w:w w:val="115"/>
                    <w:sz w:val="18"/>
                  </w:rPr>
                  <w:t>ulrike  meinhof</w:t>
                </w:r>
                <w:r>
                  <w:rPr>
                    <w:color w:val="231F20"/>
                    <w:spacing w:val="20"/>
                    <w:w w:val="115"/>
                    <w:sz w:val="18"/>
                  </w:rPr>
                  <w:tab/>
                </w:r>
                <w:r>
                  <w:rPr>
                    <w:color w:val="231F20"/>
                    <w:spacing w:val="12"/>
                    <w:w w:val="105"/>
                    <w:sz w:val="14"/>
                  </w:rPr>
                  <w:t>(10)</w:t>
                </w:r>
                <w:r>
                  <w:rPr>
                    <w:color w:val="231F20"/>
                    <w:spacing w:val="-12"/>
                    <w:sz w:val="14"/>
                  </w:rPr>
                  <w:t xml:space="preserve"> </w:t>
                </w:r>
              </w:p>
            </w:txbxContent>
          </v:textbox>
          <w10:wrap anchorx="page" anchory="page"/>
        </v:shape>
      </w:pic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C72A6" w14:textId="77777777" w:rsidR="001008C3" w:rsidRDefault="00000000">
    <w:pPr>
      <w:pStyle w:val="a3"/>
      <w:spacing w:line="14" w:lineRule="auto"/>
    </w:pPr>
    <w:r>
      <w:rPr>
        <w:noProof w:val="0"/>
      </w:rPr>
      <w:pict w14:anchorId="360BDCCA">
        <v:shapetype id="_x0000_t202" coordsize="21600,21600" o:spt="202" path="m,l,21600r21600,l21600,xe">
          <v:stroke joinstyle="miter"/>
          <v:path gradientshapeok="t" o:connecttype="rect"/>
        </v:shapetype>
        <v:shape id="_x0000_s1278" type="#_x0000_t202" style="position:absolute;margin-left:65.4pt;margin-top:594.5pt;width:258.35pt;height:12.55pt;z-index:-452728;mso-position-horizontal-relative:page;mso-position-vertical-relative:page" filled="f" stroked="f">
          <v:textbox inset="0,0,0,0">
            <w:txbxContent>
              <w:p w14:paraId="02EC4FEB" w14:textId="77777777" w:rsidR="001008C3" w:rsidRDefault="001008C3">
                <w:pPr>
                  <w:spacing w:before="19"/>
                  <w:ind w:left="20"/>
                  <w:rPr>
                    <w:sz w:val="18"/>
                  </w:rPr>
                </w:pPr>
                <w:r>
                  <w:rPr>
                    <w:color w:val="231F20"/>
                    <w:w w:val="120"/>
                    <w:sz w:val="18"/>
                  </w:rPr>
                  <w:t>april 1976 • letter to the hamburg prisoners</w:t>
                </w:r>
              </w:p>
            </w:txbxContent>
          </v:textbox>
          <w10:wrap anchorx="page" anchory="page"/>
        </v:shape>
      </w:pict>
    </w:r>
    <w:r>
      <w:rPr>
        <w:noProof w:val="0"/>
      </w:rPr>
      <w:pict w14:anchorId="0021F559">
        <v:shape id="_x0000_s1277" type="#_x0000_t202" style="position:absolute;margin-left:355.1pt;margin-top:594.5pt;width:22.8pt;height:12.55pt;z-index:-452704;mso-position-horizontal-relative:page;mso-position-vertical-relative:page" filled="f" stroked="f">
          <v:textbox inset="0,0,0,0">
            <w:txbxContent>
              <w:p w14:paraId="48C73B2F"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407</w:t>
                </w:r>
                <w:r>
                  <w:fldChar w:fldCharType="end"/>
                </w:r>
                <w:r>
                  <w:rPr>
                    <w:color w:val="231F20"/>
                    <w:sz w:val="18"/>
                  </w:rPr>
                  <w:t xml:space="preserve"> </w:t>
                </w:r>
              </w:p>
            </w:txbxContent>
          </v:textbox>
          <w10:wrap anchorx="page" anchory="page"/>
        </v:shape>
      </w:pict>
    </w: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DDA0B" w14:textId="77777777" w:rsidR="001008C3" w:rsidRDefault="00000000">
    <w:pPr>
      <w:pStyle w:val="a3"/>
      <w:spacing w:line="14" w:lineRule="auto"/>
    </w:pPr>
    <w:r>
      <w:rPr>
        <w:noProof w:val="0"/>
      </w:rPr>
      <w:pict w14:anchorId="31CE0125">
        <v:shapetype id="_x0000_t202" coordsize="21600,21600" o:spt="202" path="m,l,21600r21600,l21600,xe">
          <v:stroke joinstyle="miter"/>
          <v:path gradientshapeok="t" o:connecttype="rect"/>
        </v:shapetype>
        <v:shape id="_x0000_s1276" type="#_x0000_t202" style="position:absolute;margin-left:65.4pt;margin-top:594.5pt;width:274.75pt;height:12.55pt;z-index:-452680;mso-position-horizontal-relative:page;mso-position-vertical-relative:page" filled="f" stroked="f">
          <v:textbox inset="0,0,0,0">
            <w:txbxContent>
              <w:p w14:paraId="22CE45BF" w14:textId="77777777" w:rsidR="001008C3" w:rsidRDefault="001008C3">
                <w:pPr>
                  <w:spacing w:before="19"/>
                  <w:ind w:left="20"/>
                  <w:rPr>
                    <w:sz w:val="18"/>
                  </w:rPr>
                </w:pPr>
                <w:r>
                  <w:rPr>
                    <w:color w:val="231F20"/>
                    <w:spacing w:val="17"/>
                    <w:w w:val="110"/>
                    <w:sz w:val="18"/>
                  </w:rPr>
                  <w:t xml:space="preserve">june 1976 </w:t>
                </w:r>
                <w:r>
                  <w:rPr>
                    <w:color w:val="231F20"/>
                    <w:w w:val="110"/>
                    <w:sz w:val="18"/>
                  </w:rPr>
                  <w:t xml:space="preserve">• </w:t>
                </w:r>
                <w:r>
                  <w:rPr>
                    <w:color w:val="231F20"/>
                    <w:spacing w:val="20"/>
                    <w:w w:val="110"/>
                    <w:sz w:val="18"/>
                  </w:rPr>
                  <w:t xml:space="preserve">interview </w:t>
                </w:r>
                <w:r>
                  <w:rPr>
                    <w:color w:val="231F20"/>
                    <w:spacing w:val="11"/>
                    <w:w w:val="110"/>
                    <w:sz w:val="18"/>
                  </w:rPr>
                  <w:t xml:space="preserve">w/ le </w:t>
                </w:r>
                <w:r>
                  <w:rPr>
                    <w:color w:val="231F20"/>
                    <w:spacing w:val="20"/>
                    <w:w w:val="110"/>
                    <w:sz w:val="18"/>
                  </w:rPr>
                  <w:t>monde</w:t>
                </w:r>
                <w:r>
                  <w:rPr>
                    <w:color w:val="231F20"/>
                    <w:spacing w:val="71"/>
                    <w:w w:val="110"/>
                    <w:sz w:val="18"/>
                  </w:rPr>
                  <w:t xml:space="preserve"> </w:t>
                </w:r>
                <w:r>
                  <w:rPr>
                    <w:color w:val="231F20"/>
                    <w:spacing w:val="21"/>
                    <w:w w:val="110"/>
                    <w:sz w:val="18"/>
                  </w:rPr>
                  <w:t>diplomatique</w:t>
                </w:r>
                <w:r>
                  <w:rPr>
                    <w:color w:val="231F20"/>
                    <w:spacing w:val="-15"/>
                    <w:sz w:val="18"/>
                  </w:rPr>
                  <w:t xml:space="preserve"> </w:t>
                </w:r>
              </w:p>
            </w:txbxContent>
          </v:textbox>
          <w10:wrap anchorx="page" anchory="page"/>
        </v:shape>
      </w:pict>
    </w:r>
    <w:r>
      <w:rPr>
        <w:noProof w:val="0"/>
      </w:rPr>
      <w:pict w14:anchorId="470EA98E">
        <v:shape id="_x0000_s1275" type="#_x0000_t202" style="position:absolute;margin-left:356.1pt;margin-top:594.5pt;width:20.8pt;height:12.55pt;z-index:-452656;mso-position-horizontal-relative:page;mso-position-vertical-relative:page" filled="f" stroked="f">
          <v:textbox inset="0,0,0,0">
            <w:txbxContent>
              <w:p w14:paraId="34F9B32C" w14:textId="77777777" w:rsidR="001008C3" w:rsidRDefault="001008C3">
                <w:pPr>
                  <w:spacing w:before="19"/>
                  <w:ind w:left="20"/>
                  <w:rPr>
                    <w:sz w:val="18"/>
                  </w:rPr>
                </w:pPr>
                <w:r>
                  <w:rPr>
                    <w:color w:val="231F20"/>
                    <w:sz w:val="18"/>
                  </w:rPr>
                  <w:t xml:space="preserve">409 </w:t>
                </w:r>
              </w:p>
            </w:txbxContent>
          </v:textbox>
          <w10:wrap anchorx="page" anchory="page"/>
        </v:shape>
      </w:pict>
    </w:r>
  </w:p>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372B0" w14:textId="77777777" w:rsidR="001008C3" w:rsidRDefault="00000000">
    <w:pPr>
      <w:pStyle w:val="a3"/>
      <w:spacing w:line="14" w:lineRule="auto"/>
    </w:pPr>
    <w:r>
      <w:rPr>
        <w:noProof w:val="0"/>
      </w:rPr>
      <w:pict w14:anchorId="188B8EE5">
        <v:shapetype id="_x0000_t202" coordsize="21600,21600" o:spt="202" path="m,l,21600r21600,l21600,xe">
          <v:stroke joinstyle="miter"/>
          <v:path gradientshapeok="t" o:connecttype="rect"/>
        </v:shapetype>
        <v:shape id="_x0000_s1274" type="#_x0000_t202" style="position:absolute;margin-left:56.4pt;margin-top:594.5pt;width:20.8pt;height:12.55pt;z-index:-452632;mso-position-horizontal-relative:page;mso-position-vertical-relative:page" filled="f" stroked="f">
          <v:textbox inset="0,0,0,0">
            <w:txbxContent>
              <w:p w14:paraId="4FA4C5F0" w14:textId="77777777" w:rsidR="001008C3" w:rsidRDefault="001008C3">
                <w:pPr>
                  <w:spacing w:before="19"/>
                  <w:ind w:left="20"/>
                  <w:rPr>
                    <w:sz w:val="18"/>
                  </w:rPr>
                </w:pPr>
                <w:r>
                  <w:rPr>
                    <w:color w:val="231F20"/>
                    <w:sz w:val="18"/>
                  </w:rPr>
                  <w:t xml:space="preserve">410 </w:t>
                </w:r>
              </w:p>
            </w:txbxContent>
          </v:textbox>
          <w10:wrap anchorx="page" anchory="page"/>
        </v:shape>
      </w:pict>
    </w:r>
    <w:r>
      <w:rPr>
        <w:noProof w:val="0"/>
      </w:rPr>
      <w:pict w14:anchorId="3CF5A6A8">
        <v:shape id="_x0000_s1273" type="#_x0000_t202" style="position:absolute;margin-left:168.15pt;margin-top:594.5pt;width:199.45pt;height:12.55pt;z-index:-452608;mso-position-horizontal-relative:page;mso-position-vertical-relative:page" filled="f" stroked="f">
          <v:textbox inset="0,0,0,0">
            <w:txbxContent>
              <w:p w14:paraId="6700B149" w14:textId="77777777" w:rsidR="001008C3" w:rsidRDefault="001008C3">
                <w:pPr>
                  <w:tabs>
                    <w:tab w:val="left" w:pos="3641"/>
                  </w:tabs>
                  <w:spacing w:before="19"/>
                  <w:ind w:left="20"/>
                  <w:rPr>
                    <w:sz w:val="14"/>
                  </w:rPr>
                </w:pPr>
                <w:r>
                  <w:rPr>
                    <w:color w:val="231F20"/>
                    <w:spacing w:val="15"/>
                    <w:w w:val="115"/>
                    <w:sz w:val="18"/>
                  </w:rPr>
                  <w:t xml:space="preserve">the  </w:t>
                </w:r>
                <w:r>
                  <w:rPr>
                    <w:color w:val="231F20"/>
                    <w:spacing w:val="20"/>
                    <w:w w:val="115"/>
                    <w:sz w:val="18"/>
                  </w:rPr>
                  <w:t xml:space="preserve">murder  </w:t>
                </w:r>
                <w:r>
                  <w:rPr>
                    <w:color w:val="231F20"/>
                    <w:spacing w:val="11"/>
                    <w:w w:val="115"/>
                    <w:sz w:val="18"/>
                  </w:rPr>
                  <w:t xml:space="preserve">of </w:t>
                </w:r>
                <w:r>
                  <w:rPr>
                    <w:color w:val="231F20"/>
                    <w:spacing w:val="37"/>
                    <w:w w:val="115"/>
                    <w:sz w:val="18"/>
                  </w:rPr>
                  <w:t xml:space="preserve"> </w:t>
                </w:r>
                <w:r>
                  <w:rPr>
                    <w:color w:val="231F20"/>
                    <w:spacing w:val="20"/>
                    <w:w w:val="115"/>
                    <w:sz w:val="18"/>
                  </w:rPr>
                  <w:t>ulrike  meinhof</w:t>
                </w:r>
                <w:r>
                  <w:rPr>
                    <w:color w:val="231F20"/>
                    <w:spacing w:val="20"/>
                    <w:w w:val="115"/>
                    <w:sz w:val="18"/>
                  </w:rPr>
                  <w:tab/>
                </w:r>
                <w:r>
                  <w:rPr>
                    <w:color w:val="231F20"/>
                    <w:spacing w:val="12"/>
                    <w:w w:val="105"/>
                    <w:sz w:val="14"/>
                  </w:rPr>
                  <w:t>(10)</w:t>
                </w:r>
                <w:r>
                  <w:rPr>
                    <w:color w:val="231F20"/>
                    <w:spacing w:val="-12"/>
                    <w:sz w:val="14"/>
                  </w:rPr>
                  <w:t xml:space="preserve"> </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88B26" w14:textId="77777777" w:rsidR="001008C3" w:rsidRDefault="00000000">
    <w:pPr>
      <w:pStyle w:val="a3"/>
      <w:spacing w:line="14" w:lineRule="auto"/>
    </w:pPr>
    <w:r>
      <w:rPr>
        <w:noProof w:val="0"/>
      </w:rPr>
      <w:pict w14:anchorId="0FAD559C">
        <v:shapetype id="_x0000_t202" coordsize="21600,21600" o:spt="202" path="m,l,21600r21600,l21600,xe">
          <v:stroke joinstyle="miter"/>
          <v:path gradientshapeok="t" o:connecttype="rect"/>
        </v:shapetype>
        <v:shape id="_x0000_s1708" type="#_x0000_t202" style="position:absolute;margin-left:55.4pt;margin-top:594.5pt;width:16.55pt;height:12.55pt;z-index:-463048;mso-position-horizontal-relative:page;mso-position-vertical-relative:page" filled="f" stroked="f">
          <v:textbox inset="0,0,0,0">
            <w:txbxContent>
              <w:p w14:paraId="79E2E640"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20</w:t>
                </w:r>
                <w:r>
                  <w:fldChar w:fldCharType="end"/>
                </w:r>
                <w:r>
                  <w:rPr>
                    <w:color w:val="231F20"/>
                    <w:sz w:val="18"/>
                  </w:rPr>
                  <w:t xml:space="preserve"> </w:t>
                </w:r>
              </w:p>
            </w:txbxContent>
          </v:textbox>
          <w10:wrap anchorx="page" anchory="page"/>
        </v:shape>
      </w:pict>
    </w:r>
    <w:r>
      <w:rPr>
        <w:noProof w:val="0"/>
      </w:rPr>
      <w:pict w14:anchorId="07BA094F">
        <v:shape id="_x0000_s1707" type="#_x0000_t202" style="position:absolute;margin-left:95.65pt;margin-top:594.5pt;width:271.95pt;height:12.55pt;z-index:-463024;mso-position-horizontal-relative:page;mso-position-vertical-relative:page" filled="f" stroked="f">
          <v:textbox inset="0,0,0,0">
            <w:txbxContent>
              <w:p w14:paraId="1CB79011" w14:textId="77777777" w:rsidR="001008C3" w:rsidRDefault="001008C3">
                <w:pPr>
                  <w:tabs>
                    <w:tab w:val="left" w:pos="5188"/>
                  </w:tabs>
                  <w:spacing w:before="19"/>
                  <w:ind w:left="20"/>
                  <w:rPr>
                    <w:sz w:val="14"/>
                  </w:rPr>
                </w:pPr>
                <w:r>
                  <w:rPr>
                    <w:color w:val="231F20"/>
                    <w:spacing w:val="15"/>
                    <w:w w:val="115"/>
                    <w:sz w:val="18"/>
                  </w:rPr>
                  <w:t xml:space="preserve">the   </w:t>
                </w:r>
                <w:r>
                  <w:rPr>
                    <w:color w:val="231F20"/>
                    <w:spacing w:val="21"/>
                    <w:w w:val="115"/>
                    <w:sz w:val="18"/>
                  </w:rPr>
                  <w:t xml:space="preserve">re-emergence  </w:t>
                </w:r>
                <w:r>
                  <w:rPr>
                    <w:color w:val="231F20"/>
                    <w:spacing w:val="11"/>
                    <w:w w:val="115"/>
                    <w:sz w:val="18"/>
                  </w:rPr>
                  <w:t xml:space="preserve">of </w:t>
                </w:r>
                <w:r>
                  <w:rPr>
                    <w:color w:val="231F20"/>
                    <w:spacing w:val="15"/>
                    <w:w w:val="115"/>
                    <w:sz w:val="18"/>
                  </w:rPr>
                  <w:t xml:space="preserve"> </w:t>
                </w:r>
                <w:r>
                  <w:rPr>
                    <w:color w:val="231F20"/>
                    <w:spacing w:val="20"/>
                    <w:w w:val="115"/>
                    <w:sz w:val="18"/>
                  </w:rPr>
                  <w:t xml:space="preserve">revolutionary </w:t>
                </w:r>
                <w:r>
                  <w:rPr>
                    <w:color w:val="231F20"/>
                    <w:spacing w:val="33"/>
                    <w:w w:val="115"/>
                    <w:sz w:val="18"/>
                  </w:rPr>
                  <w:t xml:space="preserve"> </w:t>
                </w:r>
                <w:r>
                  <w:rPr>
                    <w:color w:val="231F20"/>
                    <w:spacing w:val="20"/>
                    <w:w w:val="115"/>
                    <w:sz w:val="18"/>
                  </w:rPr>
                  <w:t>politics</w:t>
                </w:r>
                <w:r>
                  <w:rPr>
                    <w:color w:val="231F20"/>
                    <w:spacing w:val="20"/>
                    <w:w w:val="115"/>
                    <w:sz w:val="18"/>
                  </w:rPr>
                  <w:tab/>
                </w:r>
                <w:r>
                  <w:rPr>
                    <w:color w:val="231F20"/>
                    <w:spacing w:val="11"/>
                    <w:w w:val="105"/>
                    <w:sz w:val="14"/>
                  </w:rPr>
                  <w:t>(2)</w:t>
                </w:r>
                <w:r>
                  <w:rPr>
                    <w:color w:val="231F20"/>
                    <w:spacing w:val="-12"/>
                    <w:sz w:val="14"/>
                  </w:rPr>
                  <w:t xml:space="preserve"> </w:t>
                </w:r>
              </w:p>
            </w:txbxContent>
          </v:textbox>
          <w10:wrap anchorx="page" anchory="page"/>
        </v:shape>
      </w:pict>
    </w: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CDF0C" w14:textId="77777777" w:rsidR="001008C3" w:rsidRDefault="00000000">
    <w:pPr>
      <w:pStyle w:val="a3"/>
      <w:spacing w:line="14" w:lineRule="auto"/>
    </w:pPr>
    <w:r>
      <w:rPr>
        <w:noProof w:val="0"/>
      </w:rPr>
      <w:pict w14:anchorId="37074F1A">
        <v:shapetype id="_x0000_t202" coordsize="21600,21600" o:spt="202" path="m,l,21600r21600,l21600,xe">
          <v:stroke joinstyle="miter"/>
          <v:path gradientshapeok="t" o:connecttype="rect"/>
        </v:shapetype>
        <v:shape id="_x0000_s1272" type="#_x0000_t202" style="position:absolute;margin-left:65.4pt;margin-top:594.5pt;width:274.75pt;height:12.55pt;z-index:-452584;mso-position-horizontal-relative:page;mso-position-vertical-relative:page" filled="f" stroked="f">
          <v:textbox inset="0,0,0,0">
            <w:txbxContent>
              <w:p w14:paraId="6FB8CAA3" w14:textId="77777777" w:rsidR="001008C3" w:rsidRDefault="001008C3">
                <w:pPr>
                  <w:spacing w:before="19"/>
                  <w:ind w:left="20"/>
                  <w:rPr>
                    <w:sz w:val="18"/>
                  </w:rPr>
                </w:pPr>
                <w:r>
                  <w:rPr>
                    <w:color w:val="231F20"/>
                    <w:spacing w:val="17"/>
                    <w:w w:val="110"/>
                    <w:sz w:val="18"/>
                  </w:rPr>
                  <w:t xml:space="preserve">june 1976 </w:t>
                </w:r>
                <w:r>
                  <w:rPr>
                    <w:color w:val="231F20"/>
                    <w:w w:val="110"/>
                    <w:sz w:val="18"/>
                  </w:rPr>
                  <w:t xml:space="preserve">• </w:t>
                </w:r>
                <w:r>
                  <w:rPr>
                    <w:color w:val="231F20"/>
                    <w:spacing w:val="20"/>
                    <w:w w:val="110"/>
                    <w:sz w:val="18"/>
                  </w:rPr>
                  <w:t xml:space="preserve">interview </w:t>
                </w:r>
                <w:r>
                  <w:rPr>
                    <w:color w:val="231F20"/>
                    <w:spacing w:val="11"/>
                    <w:w w:val="110"/>
                    <w:sz w:val="18"/>
                  </w:rPr>
                  <w:t xml:space="preserve">w/ le </w:t>
                </w:r>
                <w:r>
                  <w:rPr>
                    <w:color w:val="231F20"/>
                    <w:spacing w:val="20"/>
                    <w:w w:val="110"/>
                    <w:sz w:val="18"/>
                  </w:rPr>
                  <w:t>monde</w:t>
                </w:r>
                <w:r>
                  <w:rPr>
                    <w:color w:val="231F20"/>
                    <w:spacing w:val="71"/>
                    <w:w w:val="110"/>
                    <w:sz w:val="18"/>
                  </w:rPr>
                  <w:t xml:space="preserve"> </w:t>
                </w:r>
                <w:r>
                  <w:rPr>
                    <w:color w:val="231F20"/>
                    <w:spacing w:val="21"/>
                    <w:w w:val="110"/>
                    <w:sz w:val="18"/>
                  </w:rPr>
                  <w:t>diplomatique</w:t>
                </w:r>
                <w:r>
                  <w:rPr>
                    <w:color w:val="231F20"/>
                    <w:spacing w:val="-15"/>
                    <w:sz w:val="18"/>
                  </w:rPr>
                  <w:t xml:space="preserve"> </w:t>
                </w:r>
              </w:p>
            </w:txbxContent>
          </v:textbox>
          <w10:wrap anchorx="page" anchory="page"/>
        </v:shape>
      </w:pict>
    </w:r>
    <w:r>
      <w:rPr>
        <w:noProof w:val="0"/>
      </w:rPr>
      <w:pict w14:anchorId="2E726AA5">
        <v:shape id="_x0000_s1271" type="#_x0000_t202" style="position:absolute;margin-left:356.1pt;margin-top:594.5pt;width:20.8pt;height:12.55pt;z-index:-452560;mso-position-horizontal-relative:page;mso-position-vertical-relative:page" filled="f" stroked="f">
          <v:textbox inset="0,0,0,0">
            <w:txbxContent>
              <w:p w14:paraId="6080D49A" w14:textId="77777777" w:rsidR="001008C3" w:rsidRDefault="001008C3">
                <w:pPr>
                  <w:spacing w:before="19"/>
                  <w:ind w:left="20"/>
                  <w:rPr>
                    <w:sz w:val="18"/>
                  </w:rPr>
                </w:pPr>
                <w:r>
                  <w:rPr>
                    <w:color w:val="231F20"/>
                    <w:sz w:val="18"/>
                  </w:rPr>
                  <w:t xml:space="preserve">411 </w:t>
                </w:r>
              </w:p>
            </w:txbxContent>
          </v:textbox>
          <w10:wrap anchorx="page" anchory="page"/>
        </v:shape>
      </w:pict>
    </w: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C7DEA" w14:textId="77777777" w:rsidR="001008C3" w:rsidRDefault="00000000">
    <w:pPr>
      <w:pStyle w:val="a3"/>
      <w:spacing w:line="14" w:lineRule="auto"/>
    </w:pPr>
    <w:r>
      <w:rPr>
        <w:noProof w:val="0"/>
      </w:rPr>
      <w:pict w14:anchorId="7671F961">
        <v:shapetype id="_x0000_t202" coordsize="21600,21600" o:spt="202" path="m,l,21600r21600,l21600,xe">
          <v:stroke joinstyle="miter"/>
          <v:path gradientshapeok="t" o:connecttype="rect"/>
        </v:shapetype>
        <v:shape id="_x0000_s1270" type="#_x0000_t202" style="position:absolute;margin-left:55.4pt;margin-top:594.5pt;width:22.8pt;height:12.55pt;z-index:-452536;mso-position-horizontal-relative:page;mso-position-vertical-relative:page" filled="f" stroked="f">
          <v:textbox inset="0,0,0,0">
            <w:txbxContent>
              <w:p w14:paraId="59E55FA1" w14:textId="77777777" w:rsidR="001008C3" w:rsidRDefault="001008C3">
                <w:pPr>
                  <w:spacing w:before="19"/>
                  <w:ind w:left="40"/>
                  <w:rPr>
                    <w:sz w:val="18"/>
                  </w:rPr>
                </w:pPr>
                <w:r>
                  <w:rPr>
                    <w:color w:val="231F20"/>
                    <w:sz w:val="18"/>
                  </w:rPr>
                  <w:t xml:space="preserve">412 </w:t>
                </w:r>
              </w:p>
            </w:txbxContent>
          </v:textbox>
          <w10:wrap anchorx="page" anchory="page"/>
        </v:shape>
      </w:pict>
    </w:r>
    <w:r>
      <w:rPr>
        <w:noProof w:val="0"/>
      </w:rPr>
      <w:pict w14:anchorId="0D78FC59">
        <v:shape id="_x0000_s1269" type="#_x0000_t202" style="position:absolute;margin-left:168.15pt;margin-top:594.5pt;width:199.45pt;height:12.55pt;z-index:-452512;mso-position-horizontal-relative:page;mso-position-vertical-relative:page" filled="f" stroked="f">
          <v:textbox inset="0,0,0,0">
            <w:txbxContent>
              <w:p w14:paraId="4551497C" w14:textId="77777777" w:rsidR="001008C3" w:rsidRDefault="001008C3">
                <w:pPr>
                  <w:tabs>
                    <w:tab w:val="left" w:pos="3641"/>
                  </w:tabs>
                  <w:spacing w:before="19"/>
                  <w:ind w:left="20"/>
                  <w:rPr>
                    <w:sz w:val="14"/>
                  </w:rPr>
                </w:pPr>
                <w:r>
                  <w:rPr>
                    <w:color w:val="231F20"/>
                    <w:spacing w:val="15"/>
                    <w:w w:val="115"/>
                    <w:sz w:val="18"/>
                  </w:rPr>
                  <w:t xml:space="preserve">the  </w:t>
                </w:r>
                <w:r>
                  <w:rPr>
                    <w:color w:val="231F20"/>
                    <w:spacing w:val="20"/>
                    <w:w w:val="115"/>
                    <w:sz w:val="18"/>
                  </w:rPr>
                  <w:t xml:space="preserve">murder  </w:t>
                </w:r>
                <w:r>
                  <w:rPr>
                    <w:color w:val="231F20"/>
                    <w:spacing w:val="11"/>
                    <w:w w:val="115"/>
                    <w:sz w:val="18"/>
                  </w:rPr>
                  <w:t xml:space="preserve">of </w:t>
                </w:r>
                <w:r>
                  <w:rPr>
                    <w:color w:val="231F20"/>
                    <w:spacing w:val="37"/>
                    <w:w w:val="115"/>
                    <w:sz w:val="18"/>
                  </w:rPr>
                  <w:t xml:space="preserve"> </w:t>
                </w:r>
                <w:r>
                  <w:rPr>
                    <w:color w:val="231F20"/>
                    <w:spacing w:val="20"/>
                    <w:w w:val="115"/>
                    <w:sz w:val="18"/>
                  </w:rPr>
                  <w:t>ulrike  meinhof</w:t>
                </w:r>
                <w:r>
                  <w:rPr>
                    <w:color w:val="231F20"/>
                    <w:spacing w:val="20"/>
                    <w:w w:val="115"/>
                    <w:sz w:val="18"/>
                  </w:rPr>
                  <w:tab/>
                </w:r>
                <w:r>
                  <w:rPr>
                    <w:color w:val="231F20"/>
                    <w:spacing w:val="12"/>
                    <w:w w:val="105"/>
                    <w:sz w:val="14"/>
                  </w:rPr>
                  <w:t>(10)</w:t>
                </w:r>
                <w:r>
                  <w:rPr>
                    <w:color w:val="231F20"/>
                    <w:spacing w:val="-12"/>
                    <w:sz w:val="14"/>
                  </w:rPr>
                  <w:t xml:space="preserve"> </w:t>
                </w:r>
              </w:p>
            </w:txbxContent>
          </v:textbox>
          <w10:wrap anchorx="page" anchory="page"/>
        </v:shape>
      </w:pict>
    </w:r>
  </w:p>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FCD56" w14:textId="77777777" w:rsidR="001008C3" w:rsidRDefault="00000000">
    <w:pPr>
      <w:pStyle w:val="a3"/>
      <w:spacing w:line="14" w:lineRule="auto"/>
    </w:pPr>
    <w:r>
      <w:rPr>
        <w:noProof w:val="0"/>
      </w:rPr>
      <w:pict w14:anchorId="75758A6A">
        <v:shapetype id="_x0000_t202" coordsize="21600,21600" o:spt="202" path="m,l,21600r21600,l21600,xe">
          <v:stroke joinstyle="miter"/>
          <v:path gradientshapeok="t" o:connecttype="rect"/>
        </v:shapetype>
        <v:shape id="_x0000_s1266" type="#_x0000_t202" style="position:absolute;margin-left:55.4pt;margin-top:594.5pt;width:22.8pt;height:12.55pt;z-index:-452440;mso-position-horizontal-relative:page;mso-position-vertical-relative:page" filled="f" stroked="f">
          <v:textbox inset="0,0,0,0">
            <w:txbxContent>
              <w:p w14:paraId="06B37C7E"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414</w:t>
                </w:r>
                <w:r>
                  <w:fldChar w:fldCharType="end"/>
                </w:r>
                <w:r>
                  <w:rPr>
                    <w:color w:val="231F20"/>
                    <w:sz w:val="18"/>
                  </w:rPr>
                  <w:t xml:space="preserve"> </w:t>
                </w:r>
              </w:p>
            </w:txbxContent>
          </v:textbox>
          <w10:wrap anchorx="page" anchory="page"/>
        </v:shape>
      </w:pict>
    </w:r>
    <w:r>
      <w:rPr>
        <w:noProof w:val="0"/>
      </w:rPr>
      <w:pict w14:anchorId="394C0B88">
        <v:shape id="_x0000_s1265" type="#_x0000_t202" style="position:absolute;margin-left:168.15pt;margin-top:594.5pt;width:199.45pt;height:12.55pt;z-index:-452416;mso-position-horizontal-relative:page;mso-position-vertical-relative:page" filled="f" stroked="f">
          <v:textbox inset="0,0,0,0">
            <w:txbxContent>
              <w:p w14:paraId="71BDE80B" w14:textId="77777777" w:rsidR="001008C3" w:rsidRDefault="001008C3">
                <w:pPr>
                  <w:tabs>
                    <w:tab w:val="left" w:pos="3641"/>
                  </w:tabs>
                  <w:spacing w:before="19"/>
                  <w:ind w:left="20"/>
                  <w:rPr>
                    <w:sz w:val="14"/>
                  </w:rPr>
                </w:pPr>
                <w:r>
                  <w:rPr>
                    <w:color w:val="231F20"/>
                    <w:spacing w:val="15"/>
                    <w:w w:val="115"/>
                    <w:sz w:val="18"/>
                  </w:rPr>
                  <w:t xml:space="preserve">the  </w:t>
                </w:r>
                <w:r>
                  <w:rPr>
                    <w:color w:val="231F20"/>
                    <w:spacing w:val="20"/>
                    <w:w w:val="115"/>
                    <w:sz w:val="18"/>
                  </w:rPr>
                  <w:t xml:space="preserve">murder  </w:t>
                </w:r>
                <w:r>
                  <w:rPr>
                    <w:color w:val="231F20"/>
                    <w:spacing w:val="11"/>
                    <w:w w:val="115"/>
                    <w:sz w:val="18"/>
                  </w:rPr>
                  <w:t xml:space="preserve">of </w:t>
                </w:r>
                <w:r>
                  <w:rPr>
                    <w:color w:val="231F20"/>
                    <w:spacing w:val="37"/>
                    <w:w w:val="115"/>
                    <w:sz w:val="18"/>
                  </w:rPr>
                  <w:t xml:space="preserve"> </w:t>
                </w:r>
                <w:r>
                  <w:rPr>
                    <w:color w:val="231F20"/>
                    <w:spacing w:val="20"/>
                    <w:w w:val="115"/>
                    <w:sz w:val="18"/>
                  </w:rPr>
                  <w:t>ulrike  meinhof</w:t>
                </w:r>
                <w:r>
                  <w:rPr>
                    <w:color w:val="231F20"/>
                    <w:spacing w:val="20"/>
                    <w:w w:val="115"/>
                    <w:sz w:val="18"/>
                  </w:rPr>
                  <w:tab/>
                </w:r>
                <w:r>
                  <w:rPr>
                    <w:color w:val="231F20"/>
                    <w:spacing w:val="12"/>
                    <w:w w:val="105"/>
                    <w:sz w:val="14"/>
                  </w:rPr>
                  <w:t>(10)</w:t>
                </w:r>
                <w:r>
                  <w:rPr>
                    <w:color w:val="231F20"/>
                    <w:spacing w:val="-12"/>
                    <w:sz w:val="14"/>
                  </w:rPr>
                  <w:t xml:space="preserve"> </w:t>
                </w:r>
              </w:p>
            </w:txbxContent>
          </v:textbox>
          <w10:wrap anchorx="page" anchory="page"/>
        </v:shape>
      </w:pic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1902F" w14:textId="77777777" w:rsidR="001008C3" w:rsidRDefault="00000000">
    <w:pPr>
      <w:pStyle w:val="a3"/>
      <w:spacing w:line="14" w:lineRule="auto"/>
    </w:pPr>
    <w:r>
      <w:rPr>
        <w:noProof w:val="0"/>
      </w:rPr>
      <w:pict w14:anchorId="3563202C">
        <v:shapetype id="_x0000_t202" coordsize="21600,21600" o:spt="202" path="m,l,21600r21600,l21600,xe">
          <v:stroke joinstyle="miter"/>
          <v:path gradientshapeok="t" o:connecttype="rect"/>
        </v:shapetype>
        <v:shape id="_x0000_s1268" type="#_x0000_t202" style="position:absolute;margin-left:65.4pt;margin-top:594.5pt;width:274.75pt;height:12.55pt;z-index:-452488;mso-position-horizontal-relative:page;mso-position-vertical-relative:page" filled="f" stroked="f">
          <v:textbox inset="0,0,0,0">
            <w:txbxContent>
              <w:p w14:paraId="376DC0B1" w14:textId="77777777" w:rsidR="001008C3" w:rsidRDefault="001008C3">
                <w:pPr>
                  <w:spacing w:before="19"/>
                  <w:ind w:left="20"/>
                  <w:rPr>
                    <w:sz w:val="18"/>
                  </w:rPr>
                </w:pPr>
                <w:r>
                  <w:rPr>
                    <w:color w:val="231F20"/>
                    <w:spacing w:val="17"/>
                    <w:w w:val="110"/>
                    <w:sz w:val="18"/>
                  </w:rPr>
                  <w:t xml:space="preserve">june 1976 </w:t>
                </w:r>
                <w:r>
                  <w:rPr>
                    <w:color w:val="231F20"/>
                    <w:w w:val="110"/>
                    <w:sz w:val="18"/>
                  </w:rPr>
                  <w:t xml:space="preserve">• </w:t>
                </w:r>
                <w:r>
                  <w:rPr>
                    <w:color w:val="231F20"/>
                    <w:spacing w:val="20"/>
                    <w:w w:val="110"/>
                    <w:sz w:val="18"/>
                  </w:rPr>
                  <w:t xml:space="preserve">interview </w:t>
                </w:r>
                <w:r>
                  <w:rPr>
                    <w:color w:val="231F20"/>
                    <w:spacing w:val="11"/>
                    <w:w w:val="110"/>
                    <w:sz w:val="18"/>
                  </w:rPr>
                  <w:t xml:space="preserve">w/ le </w:t>
                </w:r>
                <w:r>
                  <w:rPr>
                    <w:color w:val="231F20"/>
                    <w:spacing w:val="20"/>
                    <w:w w:val="110"/>
                    <w:sz w:val="18"/>
                  </w:rPr>
                  <w:t>monde</w:t>
                </w:r>
                <w:r>
                  <w:rPr>
                    <w:color w:val="231F20"/>
                    <w:spacing w:val="71"/>
                    <w:w w:val="110"/>
                    <w:sz w:val="18"/>
                  </w:rPr>
                  <w:t xml:space="preserve"> </w:t>
                </w:r>
                <w:r>
                  <w:rPr>
                    <w:color w:val="231F20"/>
                    <w:spacing w:val="21"/>
                    <w:w w:val="110"/>
                    <w:sz w:val="18"/>
                  </w:rPr>
                  <w:t>diplomatique</w:t>
                </w:r>
                <w:r>
                  <w:rPr>
                    <w:color w:val="231F20"/>
                    <w:spacing w:val="-15"/>
                    <w:sz w:val="18"/>
                  </w:rPr>
                  <w:t xml:space="preserve"> </w:t>
                </w:r>
              </w:p>
            </w:txbxContent>
          </v:textbox>
          <w10:wrap anchorx="page" anchory="page"/>
        </v:shape>
      </w:pict>
    </w:r>
    <w:r>
      <w:rPr>
        <w:noProof w:val="0"/>
      </w:rPr>
      <w:pict w14:anchorId="36D60191">
        <v:shape id="_x0000_s1267" type="#_x0000_t202" style="position:absolute;margin-left:355.1pt;margin-top:594.5pt;width:22.8pt;height:12.55pt;z-index:-452464;mso-position-horizontal-relative:page;mso-position-vertical-relative:page" filled="f" stroked="f">
          <v:textbox inset="0,0,0,0">
            <w:txbxContent>
              <w:p w14:paraId="19419CA5"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413</w:t>
                </w:r>
                <w:r>
                  <w:fldChar w:fldCharType="end"/>
                </w:r>
                <w:r>
                  <w:rPr>
                    <w:color w:val="231F20"/>
                    <w:sz w:val="18"/>
                  </w:rPr>
                  <w:t xml:space="preserve"> </w:t>
                </w:r>
              </w:p>
            </w:txbxContent>
          </v:textbox>
          <w10:wrap anchorx="page" anchory="page"/>
        </v:shape>
      </w:pict>
    </w: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49C35" w14:textId="77777777" w:rsidR="001008C3" w:rsidRDefault="00000000">
    <w:pPr>
      <w:pStyle w:val="a3"/>
      <w:spacing w:line="14" w:lineRule="auto"/>
    </w:pPr>
    <w:r>
      <w:rPr>
        <w:noProof w:val="0"/>
      </w:rPr>
      <w:pict w14:anchorId="4B06D963">
        <v:shapetype id="_x0000_t202" coordsize="21600,21600" o:spt="202" path="m,l,21600r21600,l21600,xe">
          <v:stroke joinstyle="miter"/>
          <v:path gradientshapeok="t" o:connecttype="rect"/>
        </v:shapetype>
        <v:shape id="_x0000_s1262" type="#_x0000_t202" style="position:absolute;margin-left:65.4pt;margin-top:594.5pt;width:274.75pt;height:12.55pt;z-index:-452344;mso-position-horizontal-relative:page;mso-position-vertical-relative:page" filled="f" stroked="f">
          <v:textbox inset="0,0,0,0">
            <w:txbxContent>
              <w:p w14:paraId="313C30E5" w14:textId="77777777" w:rsidR="001008C3" w:rsidRDefault="001008C3">
                <w:pPr>
                  <w:spacing w:before="19"/>
                  <w:ind w:left="20"/>
                  <w:rPr>
                    <w:sz w:val="18"/>
                  </w:rPr>
                </w:pPr>
                <w:r>
                  <w:rPr>
                    <w:color w:val="231F20"/>
                    <w:spacing w:val="17"/>
                    <w:w w:val="110"/>
                    <w:sz w:val="18"/>
                  </w:rPr>
                  <w:t xml:space="preserve">june 1976 </w:t>
                </w:r>
                <w:r>
                  <w:rPr>
                    <w:color w:val="231F20"/>
                    <w:w w:val="110"/>
                    <w:sz w:val="18"/>
                  </w:rPr>
                  <w:t xml:space="preserve">• </w:t>
                </w:r>
                <w:r>
                  <w:rPr>
                    <w:color w:val="231F20"/>
                    <w:spacing w:val="20"/>
                    <w:w w:val="110"/>
                    <w:sz w:val="18"/>
                  </w:rPr>
                  <w:t xml:space="preserve">interview </w:t>
                </w:r>
                <w:r>
                  <w:rPr>
                    <w:color w:val="231F20"/>
                    <w:spacing w:val="11"/>
                    <w:w w:val="110"/>
                    <w:sz w:val="18"/>
                  </w:rPr>
                  <w:t xml:space="preserve">w/ le </w:t>
                </w:r>
                <w:r>
                  <w:rPr>
                    <w:color w:val="231F20"/>
                    <w:spacing w:val="20"/>
                    <w:w w:val="110"/>
                    <w:sz w:val="18"/>
                  </w:rPr>
                  <w:t>monde</w:t>
                </w:r>
                <w:r>
                  <w:rPr>
                    <w:color w:val="231F20"/>
                    <w:spacing w:val="71"/>
                    <w:w w:val="110"/>
                    <w:sz w:val="18"/>
                  </w:rPr>
                  <w:t xml:space="preserve"> </w:t>
                </w:r>
                <w:r>
                  <w:rPr>
                    <w:color w:val="231F20"/>
                    <w:spacing w:val="21"/>
                    <w:w w:val="110"/>
                    <w:sz w:val="18"/>
                  </w:rPr>
                  <w:t>diplomatique</w:t>
                </w:r>
                <w:r>
                  <w:rPr>
                    <w:color w:val="231F20"/>
                    <w:spacing w:val="-15"/>
                    <w:sz w:val="18"/>
                  </w:rPr>
                  <w:t xml:space="preserve"> </w:t>
                </w:r>
              </w:p>
            </w:txbxContent>
          </v:textbox>
          <w10:wrap anchorx="page" anchory="page"/>
        </v:shape>
      </w:pict>
    </w:r>
    <w:r>
      <w:rPr>
        <w:noProof w:val="0"/>
      </w:rPr>
      <w:pict w14:anchorId="60CE9044">
        <v:shape id="_x0000_s1261" type="#_x0000_t202" style="position:absolute;margin-left:356.1pt;margin-top:594.5pt;width:20.8pt;height:12.55pt;z-index:-452320;mso-position-horizontal-relative:page;mso-position-vertical-relative:page" filled="f" stroked="f">
          <v:textbox inset="0,0,0,0">
            <w:txbxContent>
              <w:p w14:paraId="608F92BE" w14:textId="77777777" w:rsidR="001008C3" w:rsidRDefault="001008C3">
                <w:pPr>
                  <w:spacing w:before="19"/>
                  <w:ind w:left="20"/>
                  <w:rPr>
                    <w:sz w:val="18"/>
                  </w:rPr>
                </w:pPr>
                <w:r>
                  <w:rPr>
                    <w:color w:val="231F20"/>
                    <w:sz w:val="18"/>
                  </w:rPr>
                  <w:t xml:space="preserve">421 </w:t>
                </w:r>
              </w:p>
            </w:txbxContent>
          </v:textbox>
          <w10:wrap anchorx="page" anchory="page"/>
        </v:shape>
      </w:pict>
    </w:r>
  </w:p>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17498" w14:textId="77777777" w:rsidR="001008C3" w:rsidRDefault="00000000">
    <w:pPr>
      <w:pStyle w:val="a3"/>
      <w:spacing w:line="14" w:lineRule="auto"/>
    </w:pPr>
    <w:r>
      <w:rPr>
        <w:noProof w:val="0"/>
      </w:rPr>
      <w:pict w14:anchorId="6F8170B8">
        <v:shapetype id="_x0000_t202" coordsize="21600,21600" o:spt="202" path="m,l,21600r21600,l21600,xe">
          <v:stroke joinstyle="miter"/>
          <v:path gradientshapeok="t" o:connecttype="rect"/>
        </v:shapetype>
        <v:shape id="_x0000_s1264" type="#_x0000_t202" style="position:absolute;margin-left:56.4pt;margin-top:594.5pt;width:20.8pt;height:12.55pt;z-index:-452392;mso-position-horizontal-relative:page;mso-position-vertical-relative:page" filled="f" stroked="f">
          <v:textbox inset="0,0,0,0">
            <w:txbxContent>
              <w:p w14:paraId="5DEDE1C2" w14:textId="77777777" w:rsidR="001008C3" w:rsidRDefault="001008C3">
                <w:pPr>
                  <w:spacing w:before="19"/>
                  <w:ind w:left="20"/>
                  <w:rPr>
                    <w:sz w:val="18"/>
                  </w:rPr>
                </w:pPr>
                <w:r>
                  <w:rPr>
                    <w:color w:val="231F20"/>
                    <w:sz w:val="18"/>
                  </w:rPr>
                  <w:t xml:space="preserve">420 </w:t>
                </w:r>
              </w:p>
            </w:txbxContent>
          </v:textbox>
          <w10:wrap anchorx="page" anchory="page"/>
        </v:shape>
      </w:pict>
    </w:r>
    <w:r>
      <w:rPr>
        <w:noProof w:val="0"/>
      </w:rPr>
      <w:pict w14:anchorId="53CE31E3">
        <v:shape id="_x0000_s1263" type="#_x0000_t202" style="position:absolute;margin-left:168.15pt;margin-top:594.5pt;width:199.45pt;height:12.55pt;z-index:-452368;mso-position-horizontal-relative:page;mso-position-vertical-relative:page" filled="f" stroked="f">
          <v:textbox inset="0,0,0,0">
            <w:txbxContent>
              <w:p w14:paraId="73F8AF29" w14:textId="77777777" w:rsidR="001008C3" w:rsidRDefault="001008C3">
                <w:pPr>
                  <w:tabs>
                    <w:tab w:val="left" w:pos="3641"/>
                  </w:tabs>
                  <w:spacing w:before="19"/>
                  <w:ind w:left="20"/>
                  <w:rPr>
                    <w:sz w:val="14"/>
                  </w:rPr>
                </w:pPr>
                <w:r>
                  <w:rPr>
                    <w:color w:val="231F20"/>
                    <w:spacing w:val="15"/>
                    <w:w w:val="115"/>
                    <w:sz w:val="18"/>
                  </w:rPr>
                  <w:t xml:space="preserve">the  </w:t>
                </w:r>
                <w:r>
                  <w:rPr>
                    <w:color w:val="231F20"/>
                    <w:spacing w:val="20"/>
                    <w:w w:val="115"/>
                    <w:sz w:val="18"/>
                  </w:rPr>
                  <w:t xml:space="preserve">murder  </w:t>
                </w:r>
                <w:r>
                  <w:rPr>
                    <w:color w:val="231F20"/>
                    <w:spacing w:val="11"/>
                    <w:w w:val="115"/>
                    <w:sz w:val="18"/>
                  </w:rPr>
                  <w:t xml:space="preserve">of </w:t>
                </w:r>
                <w:r>
                  <w:rPr>
                    <w:color w:val="231F20"/>
                    <w:spacing w:val="37"/>
                    <w:w w:val="115"/>
                    <w:sz w:val="18"/>
                  </w:rPr>
                  <w:t xml:space="preserve"> </w:t>
                </w:r>
                <w:r>
                  <w:rPr>
                    <w:color w:val="231F20"/>
                    <w:spacing w:val="20"/>
                    <w:w w:val="115"/>
                    <w:sz w:val="18"/>
                  </w:rPr>
                  <w:t>ulrike  meinhof</w:t>
                </w:r>
                <w:r>
                  <w:rPr>
                    <w:color w:val="231F20"/>
                    <w:spacing w:val="20"/>
                    <w:w w:val="115"/>
                    <w:sz w:val="18"/>
                  </w:rPr>
                  <w:tab/>
                </w:r>
                <w:r>
                  <w:rPr>
                    <w:color w:val="231F20"/>
                    <w:spacing w:val="12"/>
                    <w:w w:val="105"/>
                    <w:sz w:val="14"/>
                  </w:rPr>
                  <w:t>(10)</w:t>
                </w:r>
                <w:r>
                  <w:rPr>
                    <w:color w:val="231F20"/>
                    <w:spacing w:val="-12"/>
                    <w:sz w:val="14"/>
                  </w:rPr>
                  <w:t xml:space="preserve"> </w:t>
                </w:r>
              </w:p>
            </w:txbxContent>
          </v:textbox>
          <w10:wrap anchorx="page" anchory="page"/>
        </v:shape>
      </w:pic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3D4ED" w14:textId="77777777" w:rsidR="001008C3" w:rsidRDefault="00000000">
    <w:pPr>
      <w:pStyle w:val="a3"/>
      <w:spacing w:line="14" w:lineRule="auto"/>
    </w:pPr>
    <w:r>
      <w:rPr>
        <w:noProof w:val="0"/>
      </w:rPr>
      <w:pict w14:anchorId="285CB2CC">
        <v:shapetype id="_x0000_t202" coordsize="21600,21600" o:spt="202" path="m,l,21600r21600,l21600,xe">
          <v:stroke joinstyle="miter"/>
          <v:path gradientshapeok="t" o:connecttype="rect"/>
        </v:shapetype>
        <v:shape id="_x0000_s1260" type="#_x0000_t202" style="position:absolute;margin-left:55.4pt;margin-top:594.5pt;width:22.8pt;height:12.55pt;z-index:-452296;mso-position-horizontal-relative:page;mso-position-vertical-relative:page" filled="f" stroked="f">
          <v:textbox inset="0,0,0,0">
            <w:txbxContent>
              <w:p w14:paraId="7D14D592"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422</w:t>
                </w:r>
                <w:r>
                  <w:fldChar w:fldCharType="end"/>
                </w:r>
                <w:r>
                  <w:rPr>
                    <w:color w:val="231F20"/>
                    <w:sz w:val="18"/>
                  </w:rPr>
                  <w:t xml:space="preserve"> </w:t>
                </w:r>
              </w:p>
            </w:txbxContent>
          </v:textbox>
          <w10:wrap anchorx="page" anchory="page"/>
        </v:shape>
      </w:pict>
    </w:r>
    <w:r>
      <w:rPr>
        <w:noProof w:val="0"/>
      </w:rPr>
      <w:pict w14:anchorId="07441414">
        <v:shape id="_x0000_s1259" type="#_x0000_t202" style="position:absolute;margin-left:168.15pt;margin-top:594.5pt;width:199.45pt;height:12.55pt;z-index:-452272;mso-position-horizontal-relative:page;mso-position-vertical-relative:page" filled="f" stroked="f">
          <v:textbox inset="0,0,0,0">
            <w:txbxContent>
              <w:p w14:paraId="27B55FD3" w14:textId="77777777" w:rsidR="001008C3" w:rsidRDefault="001008C3">
                <w:pPr>
                  <w:tabs>
                    <w:tab w:val="left" w:pos="3641"/>
                  </w:tabs>
                  <w:spacing w:before="19"/>
                  <w:ind w:left="20"/>
                  <w:rPr>
                    <w:sz w:val="14"/>
                  </w:rPr>
                </w:pPr>
                <w:r>
                  <w:rPr>
                    <w:color w:val="231F20"/>
                    <w:spacing w:val="15"/>
                    <w:w w:val="115"/>
                    <w:sz w:val="18"/>
                  </w:rPr>
                  <w:t xml:space="preserve">the  </w:t>
                </w:r>
                <w:r>
                  <w:rPr>
                    <w:color w:val="231F20"/>
                    <w:spacing w:val="20"/>
                    <w:w w:val="115"/>
                    <w:sz w:val="18"/>
                  </w:rPr>
                  <w:t xml:space="preserve">murder  </w:t>
                </w:r>
                <w:r>
                  <w:rPr>
                    <w:color w:val="231F20"/>
                    <w:spacing w:val="11"/>
                    <w:w w:val="115"/>
                    <w:sz w:val="18"/>
                  </w:rPr>
                  <w:t xml:space="preserve">of </w:t>
                </w:r>
                <w:r>
                  <w:rPr>
                    <w:color w:val="231F20"/>
                    <w:spacing w:val="37"/>
                    <w:w w:val="115"/>
                    <w:sz w:val="18"/>
                  </w:rPr>
                  <w:t xml:space="preserve"> </w:t>
                </w:r>
                <w:r>
                  <w:rPr>
                    <w:color w:val="231F20"/>
                    <w:spacing w:val="20"/>
                    <w:w w:val="115"/>
                    <w:sz w:val="18"/>
                  </w:rPr>
                  <w:t>ulrike  meinhof</w:t>
                </w:r>
                <w:r>
                  <w:rPr>
                    <w:color w:val="231F20"/>
                    <w:spacing w:val="20"/>
                    <w:w w:val="115"/>
                    <w:sz w:val="18"/>
                  </w:rPr>
                  <w:tab/>
                </w:r>
                <w:r>
                  <w:rPr>
                    <w:color w:val="231F20"/>
                    <w:spacing w:val="12"/>
                    <w:w w:val="105"/>
                    <w:sz w:val="14"/>
                  </w:rPr>
                  <w:t>(10)</w:t>
                </w:r>
                <w:r>
                  <w:rPr>
                    <w:color w:val="231F20"/>
                    <w:spacing w:val="-12"/>
                    <w:sz w:val="14"/>
                  </w:rPr>
                  <w:t xml:space="preserve"> </w:t>
                </w:r>
              </w:p>
            </w:txbxContent>
          </v:textbox>
          <w10:wrap anchorx="page" anchory="page"/>
        </v:shape>
      </w:pict>
    </w: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3C1A7" w14:textId="77777777" w:rsidR="001008C3" w:rsidRDefault="00000000">
    <w:pPr>
      <w:pStyle w:val="a3"/>
      <w:spacing w:line="14" w:lineRule="auto"/>
    </w:pPr>
    <w:r>
      <w:rPr>
        <w:noProof w:val="0"/>
      </w:rPr>
      <w:pict w14:anchorId="59C3002E">
        <v:shapetype id="_x0000_t202" coordsize="21600,21600" o:spt="202" path="m,l,21600r21600,l21600,xe">
          <v:stroke joinstyle="miter"/>
          <v:path gradientshapeok="t" o:connecttype="rect"/>
        </v:shapetype>
        <v:shape id="_x0000_s1258" type="#_x0000_t202" style="position:absolute;margin-left:65.4pt;margin-top:594.5pt;width:274.75pt;height:12.55pt;z-index:-452248;mso-position-horizontal-relative:page;mso-position-vertical-relative:page" filled="f" stroked="f">
          <v:textbox inset="0,0,0,0">
            <w:txbxContent>
              <w:p w14:paraId="063529E5" w14:textId="77777777" w:rsidR="001008C3" w:rsidRDefault="001008C3">
                <w:pPr>
                  <w:spacing w:before="19"/>
                  <w:ind w:left="20"/>
                  <w:rPr>
                    <w:sz w:val="18"/>
                  </w:rPr>
                </w:pPr>
                <w:r>
                  <w:rPr>
                    <w:color w:val="231F20"/>
                    <w:spacing w:val="17"/>
                    <w:w w:val="110"/>
                    <w:sz w:val="18"/>
                  </w:rPr>
                  <w:t xml:space="preserve">june 1976 </w:t>
                </w:r>
                <w:r>
                  <w:rPr>
                    <w:color w:val="231F20"/>
                    <w:w w:val="110"/>
                    <w:sz w:val="18"/>
                  </w:rPr>
                  <w:t xml:space="preserve">• </w:t>
                </w:r>
                <w:r>
                  <w:rPr>
                    <w:color w:val="231F20"/>
                    <w:spacing w:val="20"/>
                    <w:w w:val="110"/>
                    <w:sz w:val="18"/>
                  </w:rPr>
                  <w:t xml:space="preserve">interview </w:t>
                </w:r>
                <w:r>
                  <w:rPr>
                    <w:color w:val="231F20"/>
                    <w:spacing w:val="11"/>
                    <w:w w:val="110"/>
                    <w:sz w:val="18"/>
                  </w:rPr>
                  <w:t xml:space="preserve">w/ le </w:t>
                </w:r>
                <w:r>
                  <w:rPr>
                    <w:color w:val="231F20"/>
                    <w:spacing w:val="20"/>
                    <w:w w:val="110"/>
                    <w:sz w:val="18"/>
                  </w:rPr>
                  <w:t>monde</w:t>
                </w:r>
                <w:r>
                  <w:rPr>
                    <w:color w:val="231F20"/>
                    <w:spacing w:val="71"/>
                    <w:w w:val="110"/>
                    <w:sz w:val="18"/>
                  </w:rPr>
                  <w:t xml:space="preserve"> </w:t>
                </w:r>
                <w:r>
                  <w:rPr>
                    <w:color w:val="231F20"/>
                    <w:spacing w:val="21"/>
                    <w:w w:val="110"/>
                    <w:sz w:val="18"/>
                  </w:rPr>
                  <w:t>diplomatique</w:t>
                </w:r>
                <w:r>
                  <w:rPr>
                    <w:color w:val="231F20"/>
                    <w:spacing w:val="-15"/>
                    <w:sz w:val="18"/>
                  </w:rPr>
                  <w:t xml:space="preserve"> </w:t>
                </w:r>
              </w:p>
            </w:txbxContent>
          </v:textbox>
          <w10:wrap anchorx="page" anchory="page"/>
        </v:shape>
      </w:pict>
    </w:r>
    <w:r>
      <w:rPr>
        <w:noProof w:val="0"/>
      </w:rPr>
      <w:pict w14:anchorId="28EAD867">
        <v:shape id="_x0000_s1257" type="#_x0000_t202" style="position:absolute;margin-left:355.1pt;margin-top:594.5pt;width:22.8pt;height:12.55pt;z-index:-452224;mso-position-horizontal-relative:page;mso-position-vertical-relative:page" filled="f" stroked="f">
          <v:textbox inset="0,0,0,0">
            <w:txbxContent>
              <w:p w14:paraId="2A6AE717"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423</w:t>
                </w:r>
                <w:r>
                  <w:fldChar w:fldCharType="end"/>
                </w:r>
                <w:r>
                  <w:rPr>
                    <w:color w:val="231F20"/>
                    <w:sz w:val="18"/>
                  </w:rPr>
                  <w:t xml:space="preserve"> </w:t>
                </w:r>
              </w:p>
            </w:txbxContent>
          </v:textbox>
          <w10:wrap anchorx="page" anchory="page"/>
        </v:shape>
      </w:pict>
    </w:r>
  </w:p>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A7A3D" w14:textId="77777777" w:rsidR="001008C3" w:rsidRDefault="00000000">
    <w:pPr>
      <w:pStyle w:val="a3"/>
      <w:spacing w:line="14" w:lineRule="auto"/>
    </w:pPr>
    <w:r>
      <w:rPr>
        <w:noProof w:val="0"/>
      </w:rPr>
      <w:pict w14:anchorId="547CAC47">
        <v:shapetype id="_x0000_t202" coordsize="21600,21600" o:spt="202" path="m,l,21600r21600,l21600,xe">
          <v:stroke joinstyle="miter"/>
          <v:path gradientshapeok="t" o:connecttype="rect"/>
        </v:shapetype>
        <v:shape id="_x0000_s1254" type="#_x0000_t202" style="position:absolute;margin-left:65.4pt;margin-top:594.5pt;width:274.75pt;height:12.55pt;z-index:-452152;mso-position-horizontal-relative:page;mso-position-vertical-relative:page" filled="f" stroked="f">
          <v:textbox inset="0,0,0,0">
            <w:txbxContent>
              <w:p w14:paraId="6C04EA64" w14:textId="77777777" w:rsidR="001008C3" w:rsidRDefault="001008C3">
                <w:pPr>
                  <w:spacing w:before="19"/>
                  <w:ind w:left="20"/>
                  <w:rPr>
                    <w:sz w:val="18"/>
                  </w:rPr>
                </w:pPr>
                <w:r>
                  <w:rPr>
                    <w:color w:val="231F20"/>
                    <w:spacing w:val="17"/>
                    <w:w w:val="110"/>
                    <w:sz w:val="18"/>
                  </w:rPr>
                  <w:t xml:space="preserve">june 1976 </w:t>
                </w:r>
                <w:r>
                  <w:rPr>
                    <w:color w:val="231F20"/>
                    <w:w w:val="110"/>
                    <w:sz w:val="18"/>
                  </w:rPr>
                  <w:t xml:space="preserve">• </w:t>
                </w:r>
                <w:r>
                  <w:rPr>
                    <w:color w:val="231F20"/>
                    <w:spacing w:val="20"/>
                    <w:w w:val="110"/>
                    <w:sz w:val="18"/>
                  </w:rPr>
                  <w:t xml:space="preserve">interview </w:t>
                </w:r>
                <w:r>
                  <w:rPr>
                    <w:color w:val="231F20"/>
                    <w:spacing w:val="11"/>
                    <w:w w:val="110"/>
                    <w:sz w:val="18"/>
                  </w:rPr>
                  <w:t xml:space="preserve">w/ le </w:t>
                </w:r>
                <w:r>
                  <w:rPr>
                    <w:color w:val="231F20"/>
                    <w:spacing w:val="20"/>
                    <w:w w:val="110"/>
                    <w:sz w:val="18"/>
                  </w:rPr>
                  <w:t>monde</w:t>
                </w:r>
                <w:r>
                  <w:rPr>
                    <w:color w:val="231F20"/>
                    <w:spacing w:val="71"/>
                    <w:w w:val="110"/>
                    <w:sz w:val="18"/>
                  </w:rPr>
                  <w:t xml:space="preserve"> </w:t>
                </w:r>
                <w:r>
                  <w:rPr>
                    <w:color w:val="231F20"/>
                    <w:spacing w:val="21"/>
                    <w:w w:val="110"/>
                    <w:sz w:val="18"/>
                  </w:rPr>
                  <w:t>diplomatique</w:t>
                </w:r>
                <w:r>
                  <w:rPr>
                    <w:color w:val="231F20"/>
                    <w:spacing w:val="-15"/>
                    <w:sz w:val="18"/>
                  </w:rPr>
                  <w:t xml:space="preserve"> </w:t>
                </w:r>
              </w:p>
            </w:txbxContent>
          </v:textbox>
          <w10:wrap anchorx="page" anchory="page"/>
        </v:shape>
      </w:pict>
    </w:r>
    <w:r>
      <w:rPr>
        <w:noProof w:val="0"/>
      </w:rPr>
      <w:pict w14:anchorId="4DE9F6DC">
        <v:shape id="_x0000_s1253" type="#_x0000_t202" style="position:absolute;margin-left:356.1pt;margin-top:594.5pt;width:20.8pt;height:12.55pt;z-index:-452128;mso-position-horizontal-relative:page;mso-position-vertical-relative:page" filled="f" stroked="f">
          <v:textbox inset="0,0,0,0">
            <w:txbxContent>
              <w:p w14:paraId="1DB6EE2E" w14:textId="77777777" w:rsidR="001008C3" w:rsidRDefault="001008C3">
                <w:pPr>
                  <w:spacing w:before="19"/>
                  <w:ind w:left="20"/>
                  <w:rPr>
                    <w:sz w:val="18"/>
                  </w:rPr>
                </w:pPr>
                <w:r>
                  <w:rPr>
                    <w:color w:val="231F20"/>
                    <w:sz w:val="18"/>
                  </w:rPr>
                  <w:t xml:space="preserve">431 </w:t>
                </w:r>
              </w:p>
            </w:txbxContent>
          </v:textbox>
          <w10:wrap anchorx="page" anchory="page"/>
        </v:shape>
      </w:pic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9B62A" w14:textId="77777777" w:rsidR="001008C3" w:rsidRDefault="00000000">
    <w:pPr>
      <w:pStyle w:val="a3"/>
      <w:spacing w:line="14" w:lineRule="auto"/>
    </w:pPr>
    <w:r>
      <w:rPr>
        <w:noProof w:val="0"/>
      </w:rPr>
      <w:pict w14:anchorId="23B0324F">
        <v:shapetype id="_x0000_t202" coordsize="21600,21600" o:spt="202" path="m,l,21600r21600,l21600,xe">
          <v:stroke joinstyle="miter"/>
          <v:path gradientshapeok="t" o:connecttype="rect"/>
        </v:shapetype>
        <v:shape id="_x0000_s1256" type="#_x0000_t202" style="position:absolute;margin-left:56.4pt;margin-top:594.5pt;width:20.8pt;height:12.55pt;z-index:-452200;mso-position-horizontal-relative:page;mso-position-vertical-relative:page" filled="f" stroked="f">
          <v:textbox inset="0,0,0,0">
            <w:txbxContent>
              <w:p w14:paraId="4F526B03" w14:textId="77777777" w:rsidR="001008C3" w:rsidRDefault="001008C3">
                <w:pPr>
                  <w:spacing w:before="19"/>
                  <w:ind w:left="20"/>
                  <w:rPr>
                    <w:sz w:val="18"/>
                  </w:rPr>
                </w:pPr>
                <w:r>
                  <w:rPr>
                    <w:color w:val="231F20"/>
                    <w:sz w:val="18"/>
                  </w:rPr>
                  <w:t xml:space="preserve">430 </w:t>
                </w:r>
              </w:p>
            </w:txbxContent>
          </v:textbox>
          <w10:wrap anchorx="page" anchory="page"/>
        </v:shape>
      </w:pict>
    </w:r>
    <w:r>
      <w:rPr>
        <w:noProof w:val="0"/>
      </w:rPr>
      <w:pict w14:anchorId="3986D91E">
        <v:shape id="_x0000_s1255" type="#_x0000_t202" style="position:absolute;margin-left:168.15pt;margin-top:594.5pt;width:199.45pt;height:12.55pt;z-index:-452176;mso-position-horizontal-relative:page;mso-position-vertical-relative:page" filled="f" stroked="f">
          <v:textbox inset="0,0,0,0">
            <w:txbxContent>
              <w:p w14:paraId="5F9D28A3" w14:textId="77777777" w:rsidR="001008C3" w:rsidRDefault="001008C3">
                <w:pPr>
                  <w:tabs>
                    <w:tab w:val="left" w:pos="3641"/>
                  </w:tabs>
                  <w:spacing w:before="19"/>
                  <w:ind w:left="20"/>
                  <w:rPr>
                    <w:sz w:val="14"/>
                  </w:rPr>
                </w:pPr>
                <w:r>
                  <w:rPr>
                    <w:color w:val="231F20"/>
                    <w:spacing w:val="15"/>
                    <w:w w:val="115"/>
                    <w:sz w:val="18"/>
                  </w:rPr>
                  <w:t xml:space="preserve">the  </w:t>
                </w:r>
                <w:r>
                  <w:rPr>
                    <w:color w:val="231F20"/>
                    <w:spacing w:val="20"/>
                    <w:w w:val="115"/>
                    <w:sz w:val="18"/>
                  </w:rPr>
                  <w:t xml:space="preserve">murder  </w:t>
                </w:r>
                <w:r>
                  <w:rPr>
                    <w:color w:val="231F20"/>
                    <w:spacing w:val="11"/>
                    <w:w w:val="115"/>
                    <w:sz w:val="18"/>
                  </w:rPr>
                  <w:t xml:space="preserve">of </w:t>
                </w:r>
                <w:r>
                  <w:rPr>
                    <w:color w:val="231F20"/>
                    <w:spacing w:val="37"/>
                    <w:w w:val="115"/>
                    <w:sz w:val="18"/>
                  </w:rPr>
                  <w:t xml:space="preserve"> </w:t>
                </w:r>
                <w:r>
                  <w:rPr>
                    <w:color w:val="231F20"/>
                    <w:spacing w:val="20"/>
                    <w:w w:val="115"/>
                    <w:sz w:val="18"/>
                  </w:rPr>
                  <w:t>ulrike  meinhof</w:t>
                </w:r>
                <w:r>
                  <w:rPr>
                    <w:color w:val="231F20"/>
                    <w:spacing w:val="20"/>
                    <w:w w:val="115"/>
                    <w:sz w:val="18"/>
                  </w:rPr>
                  <w:tab/>
                </w:r>
                <w:r>
                  <w:rPr>
                    <w:color w:val="231F20"/>
                    <w:spacing w:val="12"/>
                    <w:w w:val="105"/>
                    <w:sz w:val="14"/>
                  </w:rPr>
                  <w:t>(10)</w:t>
                </w:r>
                <w:r>
                  <w:rPr>
                    <w:color w:val="231F20"/>
                    <w:spacing w:val="-12"/>
                    <w:sz w:val="14"/>
                  </w:rPr>
                  <w:t xml:space="preserve"> </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7C7F0" w14:textId="77777777" w:rsidR="001008C3" w:rsidRDefault="00000000">
    <w:pPr>
      <w:pStyle w:val="a3"/>
      <w:spacing w:line="14" w:lineRule="auto"/>
    </w:pPr>
    <w:r>
      <w:rPr>
        <w:noProof w:val="0"/>
      </w:rPr>
      <w:pict w14:anchorId="0703C1B1">
        <v:shapetype id="_x0000_t202" coordsize="21600,21600" o:spt="202" path="m,l,21600r21600,l21600,xe">
          <v:stroke joinstyle="miter"/>
          <v:path gradientshapeok="t" o:connecttype="rect"/>
        </v:shapetype>
        <v:shape id="_x0000_s1706" type="#_x0000_t202" style="position:absolute;margin-left:65.4pt;margin-top:594.5pt;width:116.6pt;height:12.55pt;z-index:-463000;mso-position-horizontal-relative:page;mso-position-vertical-relative:page" filled="f" stroked="f">
          <v:textbox inset="0,0,0,0">
            <w:txbxContent>
              <w:p w14:paraId="3665553A"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362A5A4D">
        <v:shape id="_x0000_s1705" type="#_x0000_t202" style="position:absolute;margin-left:361.35pt;margin-top:594.5pt;width:16.55pt;height:12.55pt;z-index:-462976;mso-position-horizontal-relative:page;mso-position-vertical-relative:page" filled="f" stroked="f">
          <v:textbox inset="0,0,0,0">
            <w:txbxContent>
              <w:p w14:paraId="129F148A"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21</w:t>
                </w:r>
                <w:r>
                  <w:fldChar w:fldCharType="end"/>
                </w:r>
                <w:r>
                  <w:rPr>
                    <w:color w:val="231F20"/>
                    <w:sz w:val="18"/>
                  </w:rPr>
                  <w:t xml:space="preserve"> </w:t>
                </w:r>
              </w:p>
            </w:txbxContent>
          </v:textbox>
          <w10:wrap anchorx="page" anchory="page"/>
        </v:shape>
      </w:pict>
    </w:r>
  </w:p>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6ADA5" w14:textId="77777777" w:rsidR="001008C3" w:rsidRDefault="00000000">
    <w:pPr>
      <w:pStyle w:val="a3"/>
      <w:spacing w:line="14" w:lineRule="auto"/>
    </w:pPr>
    <w:r>
      <w:rPr>
        <w:noProof w:val="0"/>
      </w:rPr>
      <w:pict w14:anchorId="05441444">
        <v:shapetype id="_x0000_t202" coordsize="21600,21600" o:spt="202" path="m,l,21600r21600,l21600,xe">
          <v:stroke joinstyle="miter"/>
          <v:path gradientshapeok="t" o:connecttype="rect"/>
        </v:shapetype>
        <v:shape id="_x0000_s1250" type="#_x0000_t202" style="position:absolute;margin-left:355.1pt;margin-top:594.5pt;width:22.8pt;height:12.55pt;z-index:-452056;mso-position-horizontal-relative:page;mso-position-vertical-relative:page" filled="f" stroked="f">
          <v:textbox inset="0,0,0,0">
            <w:txbxContent>
              <w:p w14:paraId="74AAD43E" w14:textId="77777777" w:rsidR="001008C3" w:rsidRDefault="001008C3">
                <w:pPr>
                  <w:spacing w:before="19"/>
                  <w:ind w:left="40"/>
                  <w:rPr>
                    <w:sz w:val="18"/>
                  </w:rPr>
                </w:pPr>
                <w:r>
                  <w:rPr>
                    <w:color w:val="231F20"/>
                    <w:sz w:val="18"/>
                  </w:rPr>
                  <w:t xml:space="preserve">433 </w:t>
                </w:r>
              </w:p>
            </w:txbxContent>
          </v:textbox>
          <w10:wrap anchorx="page" anchory="page"/>
        </v:shape>
      </w:pict>
    </w:r>
  </w:p>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347AD" w14:textId="77777777" w:rsidR="001008C3" w:rsidRDefault="00000000">
    <w:pPr>
      <w:pStyle w:val="a3"/>
      <w:spacing w:line="14" w:lineRule="auto"/>
    </w:pPr>
    <w:r>
      <w:rPr>
        <w:noProof w:val="0"/>
      </w:rPr>
      <w:pict w14:anchorId="1FCA294E">
        <v:shapetype id="_x0000_t202" coordsize="21600,21600" o:spt="202" path="m,l,21600r21600,l21600,xe">
          <v:stroke joinstyle="miter"/>
          <v:path gradientshapeok="t" o:connecttype="rect"/>
        </v:shapetype>
        <v:shape id="_x0000_s1252" type="#_x0000_t202" style="position:absolute;margin-left:56.4pt;margin-top:594.5pt;width:20.8pt;height:12.55pt;z-index:-452104;mso-position-horizontal-relative:page;mso-position-vertical-relative:page" filled="f" stroked="f">
          <v:textbox inset="0,0,0,0">
            <w:txbxContent>
              <w:p w14:paraId="230AC81D" w14:textId="77777777" w:rsidR="001008C3" w:rsidRDefault="001008C3">
                <w:pPr>
                  <w:spacing w:before="19"/>
                  <w:ind w:left="20"/>
                  <w:rPr>
                    <w:sz w:val="18"/>
                  </w:rPr>
                </w:pPr>
                <w:r>
                  <w:rPr>
                    <w:color w:val="231F20"/>
                    <w:sz w:val="18"/>
                  </w:rPr>
                  <w:t xml:space="preserve">432 </w:t>
                </w:r>
              </w:p>
            </w:txbxContent>
          </v:textbox>
          <w10:wrap anchorx="page" anchory="page"/>
        </v:shape>
      </w:pict>
    </w:r>
    <w:r>
      <w:rPr>
        <w:noProof w:val="0"/>
      </w:rPr>
      <w:pict w14:anchorId="299F5C72">
        <v:shape id="_x0000_s1251" type="#_x0000_t202" style="position:absolute;margin-left:168.15pt;margin-top:594.5pt;width:199.45pt;height:12.55pt;z-index:-452080;mso-position-horizontal-relative:page;mso-position-vertical-relative:page" filled="f" stroked="f">
          <v:textbox inset="0,0,0,0">
            <w:txbxContent>
              <w:p w14:paraId="2C30A5B7" w14:textId="77777777" w:rsidR="001008C3" w:rsidRDefault="001008C3">
                <w:pPr>
                  <w:tabs>
                    <w:tab w:val="left" w:pos="3641"/>
                  </w:tabs>
                  <w:spacing w:before="19"/>
                  <w:ind w:left="20"/>
                  <w:rPr>
                    <w:sz w:val="14"/>
                  </w:rPr>
                </w:pPr>
                <w:r>
                  <w:rPr>
                    <w:color w:val="231F20"/>
                    <w:spacing w:val="15"/>
                    <w:w w:val="115"/>
                    <w:sz w:val="18"/>
                  </w:rPr>
                  <w:t xml:space="preserve">the  </w:t>
                </w:r>
                <w:r>
                  <w:rPr>
                    <w:color w:val="231F20"/>
                    <w:spacing w:val="20"/>
                    <w:w w:val="115"/>
                    <w:sz w:val="18"/>
                  </w:rPr>
                  <w:t xml:space="preserve">murder  </w:t>
                </w:r>
                <w:r>
                  <w:rPr>
                    <w:color w:val="231F20"/>
                    <w:spacing w:val="11"/>
                    <w:w w:val="115"/>
                    <w:sz w:val="18"/>
                  </w:rPr>
                  <w:t xml:space="preserve">of </w:t>
                </w:r>
                <w:r>
                  <w:rPr>
                    <w:color w:val="231F20"/>
                    <w:spacing w:val="37"/>
                    <w:w w:val="115"/>
                    <w:sz w:val="18"/>
                  </w:rPr>
                  <w:t xml:space="preserve"> </w:t>
                </w:r>
                <w:r>
                  <w:rPr>
                    <w:color w:val="231F20"/>
                    <w:spacing w:val="20"/>
                    <w:w w:val="115"/>
                    <w:sz w:val="18"/>
                  </w:rPr>
                  <w:t>ulrike  meinhof</w:t>
                </w:r>
                <w:r>
                  <w:rPr>
                    <w:color w:val="231F20"/>
                    <w:spacing w:val="20"/>
                    <w:w w:val="115"/>
                    <w:sz w:val="18"/>
                  </w:rPr>
                  <w:tab/>
                </w:r>
                <w:r>
                  <w:rPr>
                    <w:color w:val="231F20"/>
                    <w:spacing w:val="12"/>
                    <w:w w:val="105"/>
                    <w:sz w:val="14"/>
                  </w:rPr>
                  <w:t>(10)</w:t>
                </w:r>
                <w:r>
                  <w:rPr>
                    <w:color w:val="231F20"/>
                    <w:spacing w:val="-12"/>
                    <w:sz w:val="14"/>
                  </w:rPr>
                  <w:t xml:space="preserve"> </w:t>
                </w:r>
              </w:p>
            </w:txbxContent>
          </v:textbox>
          <w10:wrap anchorx="page" anchory="page"/>
        </v:shape>
      </w:pic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9DBB6" w14:textId="77777777" w:rsidR="001008C3" w:rsidRDefault="00000000">
    <w:pPr>
      <w:pStyle w:val="a3"/>
      <w:spacing w:line="14" w:lineRule="auto"/>
    </w:pPr>
    <w:r>
      <w:rPr>
        <w:noProof w:val="0"/>
      </w:rPr>
      <w:pict w14:anchorId="61AA4359">
        <v:shapetype id="_x0000_t202" coordsize="21600,21600" o:spt="202" path="m,l,21600r21600,l21600,xe">
          <v:stroke joinstyle="miter"/>
          <v:path gradientshapeok="t" o:connecttype="rect"/>
        </v:shapetype>
        <v:shape id="_x0000_s1249" type="#_x0000_t202" style="position:absolute;margin-left:55.4pt;margin-top:594.5pt;width:22.8pt;height:12.55pt;z-index:-452032;mso-position-horizontal-relative:page;mso-position-vertical-relative:page" filled="f" stroked="f">
          <v:textbox inset="0,0,0,0">
            <w:txbxContent>
              <w:p w14:paraId="296EDE7B"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434</w:t>
                </w:r>
                <w:r>
                  <w:fldChar w:fldCharType="end"/>
                </w:r>
                <w:r>
                  <w:rPr>
                    <w:color w:val="231F20"/>
                    <w:sz w:val="18"/>
                  </w:rPr>
                  <w:t xml:space="preserve"> </w:t>
                </w:r>
              </w:p>
            </w:txbxContent>
          </v:textbox>
          <w10:wrap anchorx="page" anchory="page"/>
        </v:shape>
      </w:pict>
    </w:r>
    <w:r>
      <w:rPr>
        <w:noProof w:val="0"/>
      </w:rPr>
      <w:pict w14:anchorId="5BE6A78A">
        <v:shape id="_x0000_s1248" type="#_x0000_t202" style="position:absolute;margin-left:147.7pt;margin-top:594.5pt;width:219.9pt;height:12.55pt;z-index:-452008;mso-position-horizontal-relative:page;mso-position-vertical-relative:page" filled="f" stroked="f">
          <v:textbox inset="0,0,0,0">
            <w:txbxContent>
              <w:p w14:paraId="1C1AF3A2" w14:textId="77777777" w:rsidR="001008C3" w:rsidRDefault="001008C3">
                <w:pPr>
                  <w:tabs>
                    <w:tab w:val="left" w:pos="4050"/>
                  </w:tabs>
                  <w:spacing w:before="19"/>
                  <w:ind w:left="20"/>
                  <w:rPr>
                    <w:sz w:val="14"/>
                  </w:rPr>
                </w:pPr>
                <w:r>
                  <w:rPr>
                    <w:color w:val="231F20"/>
                    <w:spacing w:val="21"/>
                    <w:w w:val="115"/>
                    <w:sz w:val="18"/>
                  </w:rPr>
                  <w:t xml:space="preserve">meanwhile,  elsewhere  </w:t>
                </w:r>
                <w:r>
                  <w:rPr>
                    <w:color w:val="231F20"/>
                    <w:spacing w:val="11"/>
                    <w:w w:val="115"/>
                    <w:sz w:val="18"/>
                  </w:rPr>
                  <w:t>on</w:t>
                </w:r>
                <w:r>
                  <w:rPr>
                    <w:color w:val="231F20"/>
                    <w:spacing w:val="45"/>
                    <w:w w:val="115"/>
                    <w:sz w:val="18"/>
                  </w:rPr>
                  <w:t xml:space="preserve"> </w:t>
                </w:r>
                <w:r>
                  <w:rPr>
                    <w:color w:val="231F20"/>
                    <w:spacing w:val="15"/>
                    <w:w w:val="115"/>
                    <w:sz w:val="18"/>
                  </w:rPr>
                  <w:t xml:space="preserve">the  </w:t>
                </w:r>
                <w:r>
                  <w:rPr>
                    <w:color w:val="231F20"/>
                    <w:spacing w:val="17"/>
                    <w:w w:val="120"/>
                    <w:sz w:val="18"/>
                  </w:rPr>
                  <w:t>left</w:t>
                </w:r>
                <w:r>
                  <w:rPr>
                    <w:color w:val="231F20"/>
                    <w:spacing w:val="17"/>
                    <w:w w:val="120"/>
                    <w:sz w:val="18"/>
                  </w:rPr>
                  <w:tab/>
                </w:r>
                <w:r>
                  <w:rPr>
                    <w:color w:val="231F20"/>
                    <w:spacing w:val="12"/>
                    <w:w w:val="105"/>
                    <w:sz w:val="14"/>
                  </w:rPr>
                  <w:t>(11)</w:t>
                </w:r>
                <w:r>
                  <w:rPr>
                    <w:color w:val="231F20"/>
                    <w:spacing w:val="-12"/>
                    <w:sz w:val="14"/>
                  </w:rPr>
                  <w:t xml:space="preserve"> </w:t>
                </w:r>
              </w:p>
            </w:txbxContent>
          </v:textbox>
          <w10:wrap anchorx="page" anchory="page"/>
        </v:shape>
      </w:pict>
    </w: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C4EC5" w14:textId="77777777" w:rsidR="001008C3" w:rsidRDefault="00000000">
    <w:pPr>
      <w:pStyle w:val="a3"/>
      <w:spacing w:line="14" w:lineRule="auto"/>
    </w:pPr>
    <w:r>
      <w:rPr>
        <w:noProof w:val="0"/>
      </w:rPr>
      <w:pict w14:anchorId="3AB63CCA">
        <v:shapetype id="_x0000_t202" coordsize="21600,21600" o:spt="202" path="m,l,21600r21600,l21600,xe">
          <v:stroke joinstyle="miter"/>
          <v:path gradientshapeok="t" o:connecttype="rect"/>
        </v:shapetype>
        <v:shape id="_x0000_s1247" type="#_x0000_t202" style="position:absolute;margin-left:65.4pt;margin-top:594.5pt;width:116.6pt;height:12.55pt;z-index:-451984;mso-position-horizontal-relative:page;mso-position-vertical-relative:page" filled="f" stroked="f">
          <v:textbox inset="0,0,0,0">
            <w:txbxContent>
              <w:p w14:paraId="3A112FB8"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7C46DB2F">
        <v:shape id="_x0000_s1246" type="#_x0000_t202" style="position:absolute;margin-left:355.1pt;margin-top:594.5pt;width:22.8pt;height:12.55pt;z-index:-451960;mso-position-horizontal-relative:page;mso-position-vertical-relative:page" filled="f" stroked="f">
          <v:textbox inset="0,0,0,0">
            <w:txbxContent>
              <w:p w14:paraId="51F523E6"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435</w:t>
                </w:r>
                <w:r>
                  <w:fldChar w:fldCharType="end"/>
                </w:r>
                <w:r>
                  <w:rPr>
                    <w:color w:val="231F20"/>
                    <w:sz w:val="18"/>
                  </w:rPr>
                  <w:t xml:space="preserve"> </w:t>
                </w:r>
              </w:p>
            </w:txbxContent>
          </v:textbox>
          <w10:wrap anchorx="page" anchory="page"/>
        </v:shape>
      </w:pict>
    </w:r>
  </w:p>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F9753" w14:textId="77777777" w:rsidR="001008C3" w:rsidRDefault="00000000">
    <w:pPr>
      <w:pStyle w:val="a3"/>
      <w:spacing w:line="14" w:lineRule="auto"/>
    </w:pPr>
    <w:r>
      <w:rPr>
        <w:noProof w:val="0"/>
      </w:rPr>
      <w:pict w14:anchorId="4553970E">
        <v:shapetype id="_x0000_t202" coordsize="21600,21600" o:spt="202" path="m,l,21600r21600,l21600,xe">
          <v:stroke joinstyle="miter"/>
          <v:path gradientshapeok="t" o:connecttype="rect"/>
        </v:shapetype>
        <v:shape id="_x0000_s1243" type="#_x0000_t202" style="position:absolute;margin-left:65.4pt;margin-top:594.5pt;width:116.6pt;height:12.55pt;z-index:-451888;mso-position-horizontal-relative:page;mso-position-vertical-relative:page" filled="f" stroked="f">
          <v:textbox inset="0,0,0,0">
            <w:txbxContent>
              <w:p w14:paraId="74E6823D"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32D6CD07">
        <v:shape id="_x0000_s1242" type="#_x0000_t202" style="position:absolute;margin-left:356.1pt;margin-top:594.5pt;width:20.8pt;height:12.55pt;z-index:-451864;mso-position-horizontal-relative:page;mso-position-vertical-relative:page" filled="f" stroked="f">
          <v:textbox inset="0,0,0,0">
            <w:txbxContent>
              <w:p w14:paraId="2C5D969C" w14:textId="77777777" w:rsidR="001008C3" w:rsidRDefault="001008C3">
                <w:pPr>
                  <w:spacing w:before="19"/>
                  <w:ind w:left="20"/>
                  <w:rPr>
                    <w:sz w:val="18"/>
                  </w:rPr>
                </w:pPr>
                <w:r>
                  <w:rPr>
                    <w:color w:val="231F20"/>
                    <w:sz w:val="18"/>
                  </w:rPr>
                  <w:t xml:space="preserve">441 </w:t>
                </w:r>
              </w:p>
            </w:txbxContent>
          </v:textbox>
          <w10:wrap anchorx="page" anchory="page"/>
        </v:shape>
      </w:pic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7FF50" w14:textId="77777777" w:rsidR="001008C3" w:rsidRDefault="00000000">
    <w:pPr>
      <w:pStyle w:val="a3"/>
      <w:spacing w:line="14" w:lineRule="auto"/>
    </w:pPr>
    <w:r>
      <w:rPr>
        <w:noProof w:val="0"/>
      </w:rPr>
      <w:pict w14:anchorId="75845052">
        <v:shapetype id="_x0000_t202" coordsize="21600,21600" o:spt="202" path="m,l,21600r21600,l21600,xe">
          <v:stroke joinstyle="miter"/>
          <v:path gradientshapeok="t" o:connecttype="rect"/>
        </v:shapetype>
        <v:shape id="_x0000_s1245" type="#_x0000_t202" style="position:absolute;margin-left:56.4pt;margin-top:594.5pt;width:20.8pt;height:12.55pt;z-index:-451936;mso-position-horizontal-relative:page;mso-position-vertical-relative:page" filled="f" stroked="f">
          <v:textbox inset="0,0,0,0">
            <w:txbxContent>
              <w:p w14:paraId="2AEE1B80" w14:textId="77777777" w:rsidR="001008C3" w:rsidRDefault="001008C3">
                <w:pPr>
                  <w:spacing w:before="19"/>
                  <w:ind w:left="20"/>
                  <w:rPr>
                    <w:sz w:val="18"/>
                  </w:rPr>
                </w:pPr>
                <w:r>
                  <w:rPr>
                    <w:color w:val="231F20"/>
                    <w:sz w:val="18"/>
                  </w:rPr>
                  <w:t xml:space="preserve">440 </w:t>
                </w:r>
              </w:p>
            </w:txbxContent>
          </v:textbox>
          <w10:wrap anchorx="page" anchory="page"/>
        </v:shape>
      </w:pict>
    </w:r>
    <w:r>
      <w:rPr>
        <w:noProof w:val="0"/>
      </w:rPr>
      <w:pict w14:anchorId="700A3E44">
        <v:shape id="_x0000_s1244" type="#_x0000_t202" style="position:absolute;margin-left:147.7pt;margin-top:594.5pt;width:219.9pt;height:12.55pt;z-index:-451912;mso-position-horizontal-relative:page;mso-position-vertical-relative:page" filled="f" stroked="f">
          <v:textbox inset="0,0,0,0">
            <w:txbxContent>
              <w:p w14:paraId="5B225287" w14:textId="77777777" w:rsidR="001008C3" w:rsidRDefault="001008C3">
                <w:pPr>
                  <w:tabs>
                    <w:tab w:val="left" w:pos="4050"/>
                  </w:tabs>
                  <w:spacing w:before="19"/>
                  <w:ind w:left="20"/>
                  <w:rPr>
                    <w:sz w:val="14"/>
                  </w:rPr>
                </w:pPr>
                <w:r>
                  <w:rPr>
                    <w:color w:val="231F20"/>
                    <w:spacing w:val="21"/>
                    <w:w w:val="115"/>
                    <w:sz w:val="18"/>
                  </w:rPr>
                  <w:t xml:space="preserve">meanwhile,  elsewhere  </w:t>
                </w:r>
                <w:r>
                  <w:rPr>
                    <w:color w:val="231F20"/>
                    <w:spacing w:val="11"/>
                    <w:w w:val="115"/>
                    <w:sz w:val="18"/>
                  </w:rPr>
                  <w:t>on</w:t>
                </w:r>
                <w:r>
                  <w:rPr>
                    <w:color w:val="231F20"/>
                    <w:spacing w:val="45"/>
                    <w:w w:val="115"/>
                    <w:sz w:val="18"/>
                  </w:rPr>
                  <w:t xml:space="preserve"> </w:t>
                </w:r>
                <w:r>
                  <w:rPr>
                    <w:color w:val="231F20"/>
                    <w:spacing w:val="15"/>
                    <w:w w:val="115"/>
                    <w:sz w:val="18"/>
                  </w:rPr>
                  <w:t xml:space="preserve">the  </w:t>
                </w:r>
                <w:r>
                  <w:rPr>
                    <w:color w:val="231F20"/>
                    <w:spacing w:val="17"/>
                    <w:w w:val="120"/>
                    <w:sz w:val="18"/>
                  </w:rPr>
                  <w:t>left</w:t>
                </w:r>
                <w:r>
                  <w:rPr>
                    <w:color w:val="231F20"/>
                    <w:spacing w:val="17"/>
                    <w:w w:val="120"/>
                    <w:sz w:val="18"/>
                  </w:rPr>
                  <w:tab/>
                </w:r>
                <w:r>
                  <w:rPr>
                    <w:color w:val="231F20"/>
                    <w:spacing w:val="12"/>
                    <w:w w:val="105"/>
                    <w:sz w:val="14"/>
                  </w:rPr>
                  <w:t>(11)</w:t>
                </w:r>
                <w:r>
                  <w:rPr>
                    <w:color w:val="231F20"/>
                    <w:spacing w:val="-12"/>
                    <w:sz w:val="14"/>
                  </w:rPr>
                  <w:t xml:space="preserve"> </w:t>
                </w:r>
              </w:p>
            </w:txbxContent>
          </v:textbox>
          <w10:wrap anchorx="page" anchory="page"/>
        </v:shape>
      </w:pict>
    </w: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A380C" w14:textId="77777777" w:rsidR="001008C3" w:rsidRDefault="00000000">
    <w:pPr>
      <w:pStyle w:val="a3"/>
      <w:spacing w:line="14" w:lineRule="auto"/>
    </w:pPr>
    <w:r>
      <w:rPr>
        <w:noProof w:val="0"/>
      </w:rPr>
      <w:pict w14:anchorId="5403A6DF">
        <v:shapetype id="_x0000_t202" coordsize="21600,21600" o:spt="202" path="m,l,21600r21600,l21600,xe">
          <v:stroke joinstyle="miter"/>
          <v:path gradientshapeok="t" o:connecttype="rect"/>
        </v:shapetype>
        <v:shape id="_x0000_s1241" type="#_x0000_t202" style="position:absolute;margin-left:55.4pt;margin-top:594.5pt;width:22.8pt;height:12.55pt;z-index:-451840;mso-position-horizontal-relative:page;mso-position-vertical-relative:page" filled="f" stroked="f">
          <v:textbox inset="0,0,0,0">
            <w:txbxContent>
              <w:p w14:paraId="70EC7E2D"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442</w:t>
                </w:r>
                <w:r>
                  <w:fldChar w:fldCharType="end"/>
                </w:r>
                <w:r>
                  <w:rPr>
                    <w:color w:val="231F20"/>
                    <w:sz w:val="18"/>
                  </w:rPr>
                  <w:t xml:space="preserve"> </w:t>
                </w:r>
              </w:p>
            </w:txbxContent>
          </v:textbox>
          <w10:wrap anchorx="page" anchory="page"/>
        </v:shape>
      </w:pict>
    </w:r>
    <w:r>
      <w:rPr>
        <w:noProof w:val="0"/>
      </w:rPr>
      <w:pict w14:anchorId="2B258FB5">
        <v:shape id="_x0000_s1240" type="#_x0000_t202" style="position:absolute;margin-left:147.7pt;margin-top:594.5pt;width:219.9pt;height:12.55pt;z-index:-451816;mso-position-horizontal-relative:page;mso-position-vertical-relative:page" filled="f" stroked="f">
          <v:textbox inset="0,0,0,0">
            <w:txbxContent>
              <w:p w14:paraId="240BC8D6" w14:textId="77777777" w:rsidR="001008C3" w:rsidRDefault="001008C3">
                <w:pPr>
                  <w:tabs>
                    <w:tab w:val="left" w:pos="4050"/>
                  </w:tabs>
                  <w:spacing w:before="19"/>
                  <w:ind w:left="20"/>
                  <w:rPr>
                    <w:sz w:val="14"/>
                  </w:rPr>
                </w:pPr>
                <w:r>
                  <w:rPr>
                    <w:color w:val="231F20"/>
                    <w:spacing w:val="21"/>
                    <w:w w:val="115"/>
                    <w:sz w:val="18"/>
                  </w:rPr>
                  <w:t xml:space="preserve">meanwhile,  elsewhere  </w:t>
                </w:r>
                <w:r>
                  <w:rPr>
                    <w:color w:val="231F20"/>
                    <w:spacing w:val="11"/>
                    <w:w w:val="115"/>
                    <w:sz w:val="18"/>
                  </w:rPr>
                  <w:t>on</w:t>
                </w:r>
                <w:r>
                  <w:rPr>
                    <w:color w:val="231F20"/>
                    <w:spacing w:val="45"/>
                    <w:w w:val="115"/>
                    <w:sz w:val="18"/>
                  </w:rPr>
                  <w:t xml:space="preserve"> </w:t>
                </w:r>
                <w:r>
                  <w:rPr>
                    <w:color w:val="231F20"/>
                    <w:spacing w:val="15"/>
                    <w:w w:val="115"/>
                    <w:sz w:val="18"/>
                  </w:rPr>
                  <w:t xml:space="preserve">the  </w:t>
                </w:r>
                <w:r>
                  <w:rPr>
                    <w:color w:val="231F20"/>
                    <w:spacing w:val="17"/>
                    <w:w w:val="120"/>
                    <w:sz w:val="18"/>
                  </w:rPr>
                  <w:t>left</w:t>
                </w:r>
                <w:r>
                  <w:rPr>
                    <w:color w:val="231F20"/>
                    <w:spacing w:val="17"/>
                    <w:w w:val="120"/>
                    <w:sz w:val="18"/>
                  </w:rPr>
                  <w:tab/>
                </w:r>
                <w:r>
                  <w:rPr>
                    <w:color w:val="231F20"/>
                    <w:spacing w:val="12"/>
                    <w:w w:val="105"/>
                    <w:sz w:val="14"/>
                  </w:rPr>
                  <w:t>(11)</w:t>
                </w:r>
                <w:r>
                  <w:rPr>
                    <w:color w:val="231F20"/>
                    <w:spacing w:val="-12"/>
                    <w:sz w:val="14"/>
                  </w:rPr>
                  <w:t xml:space="preserve"> </w:t>
                </w:r>
              </w:p>
            </w:txbxContent>
          </v:textbox>
          <w10:wrap anchorx="page" anchory="page"/>
        </v:shape>
      </w:pict>
    </w:r>
  </w:p>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058A6" w14:textId="77777777" w:rsidR="001008C3" w:rsidRDefault="00000000">
    <w:pPr>
      <w:pStyle w:val="a3"/>
      <w:spacing w:line="14" w:lineRule="auto"/>
    </w:pPr>
    <w:r>
      <w:rPr>
        <w:noProof w:val="0"/>
      </w:rPr>
      <w:pict w14:anchorId="5B06CC4C">
        <v:shapetype id="_x0000_t202" coordsize="21600,21600" o:spt="202" path="m,l,21600r21600,l21600,xe">
          <v:stroke joinstyle="miter"/>
          <v:path gradientshapeok="t" o:connecttype="rect"/>
        </v:shapetype>
        <v:shape id="_x0000_s1239" type="#_x0000_t202" style="position:absolute;margin-left:65.4pt;margin-top:594.5pt;width:116.6pt;height:12.55pt;z-index:-451792;mso-position-horizontal-relative:page;mso-position-vertical-relative:page" filled="f" stroked="f">
          <v:textbox inset="0,0,0,0">
            <w:txbxContent>
              <w:p w14:paraId="5AF14750"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2ED86CA2">
        <v:shape id="_x0000_s1238" type="#_x0000_t202" style="position:absolute;margin-left:355.1pt;margin-top:594.5pt;width:22.8pt;height:12.55pt;z-index:-451768;mso-position-horizontal-relative:page;mso-position-vertical-relative:page" filled="f" stroked="f">
          <v:textbox inset="0,0,0,0">
            <w:txbxContent>
              <w:p w14:paraId="24E62BD1"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443</w:t>
                </w:r>
                <w:r>
                  <w:fldChar w:fldCharType="end"/>
                </w:r>
                <w:r>
                  <w:rPr>
                    <w:color w:val="231F20"/>
                    <w:sz w:val="18"/>
                  </w:rPr>
                  <w:t xml:space="preserve"> </w:t>
                </w:r>
              </w:p>
            </w:txbxContent>
          </v:textbox>
          <w10:wrap anchorx="page" anchory="page"/>
        </v:shape>
      </w:pic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21DFD" w14:textId="77777777" w:rsidR="001008C3" w:rsidRDefault="00000000">
    <w:pPr>
      <w:pStyle w:val="a3"/>
      <w:spacing w:line="14" w:lineRule="auto"/>
    </w:pPr>
    <w:r>
      <w:rPr>
        <w:noProof w:val="0"/>
      </w:rPr>
      <w:pict w14:anchorId="3FCC4158">
        <v:shapetype id="_x0000_t202" coordsize="21600,21600" o:spt="202" path="m,l,21600r21600,l21600,xe">
          <v:stroke joinstyle="miter"/>
          <v:path gradientshapeok="t" o:connecttype="rect"/>
        </v:shapetype>
        <v:shape id="_x0000_s1235" type="#_x0000_t202" style="position:absolute;margin-left:65.4pt;margin-top:594.5pt;width:116.6pt;height:12.55pt;z-index:-451696;mso-position-horizontal-relative:page;mso-position-vertical-relative:page" filled="f" stroked="f">
          <v:textbox inset="0,0,0,0">
            <w:txbxContent>
              <w:p w14:paraId="0048BE55"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19F3932E">
        <v:shape id="_x0000_s1234" type="#_x0000_t202" style="position:absolute;margin-left:356.1pt;margin-top:594.5pt;width:20.8pt;height:12.55pt;z-index:-451672;mso-position-horizontal-relative:page;mso-position-vertical-relative:page" filled="f" stroked="f">
          <v:textbox inset="0,0,0,0">
            <w:txbxContent>
              <w:p w14:paraId="69D40D4C" w14:textId="77777777" w:rsidR="001008C3" w:rsidRDefault="001008C3">
                <w:pPr>
                  <w:spacing w:before="19"/>
                  <w:ind w:left="20"/>
                  <w:rPr>
                    <w:sz w:val="18"/>
                  </w:rPr>
                </w:pPr>
                <w:r>
                  <w:rPr>
                    <w:color w:val="231F20"/>
                    <w:sz w:val="18"/>
                  </w:rPr>
                  <w:t xml:space="preserve">451 </w:t>
                </w:r>
              </w:p>
            </w:txbxContent>
          </v:textbox>
          <w10:wrap anchorx="page" anchory="page"/>
        </v:shape>
      </w:pict>
    </w: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13ECD" w14:textId="77777777" w:rsidR="001008C3" w:rsidRDefault="00000000">
    <w:pPr>
      <w:pStyle w:val="a3"/>
      <w:spacing w:line="14" w:lineRule="auto"/>
    </w:pPr>
    <w:r>
      <w:rPr>
        <w:noProof w:val="0"/>
      </w:rPr>
      <w:pict w14:anchorId="306206C1">
        <v:shapetype id="_x0000_t202" coordsize="21600,21600" o:spt="202" path="m,l,21600r21600,l21600,xe">
          <v:stroke joinstyle="miter"/>
          <v:path gradientshapeok="t" o:connecttype="rect"/>
        </v:shapetype>
        <v:shape id="_x0000_s1237" type="#_x0000_t202" style="position:absolute;margin-left:56.4pt;margin-top:594.5pt;width:20.8pt;height:12.55pt;z-index:-451744;mso-position-horizontal-relative:page;mso-position-vertical-relative:page" filled="f" stroked="f">
          <v:textbox inset="0,0,0,0">
            <w:txbxContent>
              <w:p w14:paraId="68F6400C" w14:textId="77777777" w:rsidR="001008C3" w:rsidRDefault="001008C3">
                <w:pPr>
                  <w:spacing w:before="19"/>
                  <w:ind w:left="20"/>
                  <w:rPr>
                    <w:sz w:val="18"/>
                  </w:rPr>
                </w:pPr>
                <w:r>
                  <w:rPr>
                    <w:color w:val="231F20"/>
                    <w:sz w:val="18"/>
                  </w:rPr>
                  <w:t xml:space="preserve">450 </w:t>
                </w:r>
              </w:p>
            </w:txbxContent>
          </v:textbox>
          <w10:wrap anchorx="page" anchory="page"/>
        </v:shape>
      </w:pict>
    </w:r>
    <w:r>
      <w:rPr>
        <w:noProof w:val="0"/>
      </w:rPr>
      <w:pict w14:anchorId="3BA9F90C">
        <v:shape id="_x0000_s1236" type="#_x0000_t202" style="position:absolute;margin-left:147.7pt;margin-top:594.5pt;width:219.9pt;height:12.55pt;z-index:-451720;mso-position-horizontal-relative:page;mso-position-vertical-relative:page" filled="f" stroked="f">
          <v:textbox inset="0,0,0,0">
            <w:txbxContent>
              <w:p w14:paraId="148E8E16" w14:textId="77777777" w:rsidR="001008C3" w:rsidRDefault="001008C3">
                <w:pPr>
                  <w:tabs>
                    <w:tab w:val="left" w:pos="4050"/>
                  </w:tabs>
                  <w:spacing w:before="19"/>
                  <w:ind w:left="20"/>
                  <w:rPr>
                    <w:sz w:val="14"/>
                  </w:rPr>
                </w:pPr>
                <w:r>
                  <w:rPr>
                    <w:color w:val="231F20"/>
                    <w:spacing w:val="21"/>
                    <w:w w:val="115"/>
                    <w:sz w:val="18"/>
                  </w:rPr>
                  <w:t xml:space="preserve">meanwhile,  elsewhere  </w:t>
                </w:r>
                <w:r>
                  <w:rPr>
                    <w:color w:val="231F20"/>
                    <w:spacing w:val="11"/>
                    <w:w w:val="115"/>
                    <w:sz w:val="18"/>
                  </w:rPr>
                  <w:t>on</w:t>
                </w:r>
                <w:r>
                  <w:rPr>
                    <w:color w:val="231F20"/>
                    <w:spacing w:val="45"/>
                    <w:w w:val="115"/>
                    <w:sz w:val="18"/>
                  </w:rPr>
                  <w:t xml:space="preserve"> </w:t>
                </w:r>
                <w:r>
                  <w:rPr>
                    <w:color w:val="231F20"/>
                    <w:spacing w:val="15"/>
                    <w:w w:val="115"/>
                    <w:sz w:val="18"/>
                  </w:rPr>
                  <w:t xml:space="preserve">the  </w:t>
                </w:r>
                <w:r>
                  <w:rPr>
                    <w:color w:val="231F20"/>
                    <w:spacing w:val="17"/>
                    <w:w w:val="120"/>
                    <w:sz w:val="18"/>
                  </w:rPr>
                  <w:t>left</w:t>
                </w:r>
                <w:r>
                  <w:rPr>
                    <w:color w:val="231F20"/>
                    <w:spacing w:val="17"/>
                    <w:w w:val="120"/>
                    <w:sz w:val="18"/>
                  </w:rPr>
                  <w:tab/>
                </w:r>
                <w:r>
                  <w:rPr>
                    <w:color w:val="231F20"/>
                    <w:spacing w:val="12"/>
                    <w:w w:val="105"/>
                    <w:sz w:val="14"/>
                  </w:rPr>
                  <w:t>(11)</w:t>
                </w:r>
                <w:r>
                  <w:rPr>
                    <w:color w:val="231F20"/>
                    <w:spacing w:val="-12"/>
                    <w:sz w:val="14"/>
                  </w:rPr>
                  <w:t xml:space="preserve"> </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70D61" w14:textId="77777777" w:rsidR="001008C3" w:rsidRDefault="00000000">
    <w:pPr>
      <w:pStyle w:val="a3"/>
      <w:spacing w:line="14" w:lineRule="auto"/>
    </w:pPr>
    <w:r>
      <w:rPr>
        <w:noProof w:val="0"/>
      </w:rPr>
      <w:pict w14:anchorId="11D6FBE4">
        <v:shapetype id="_x0000_t202" coordsize="21600,21600" o:spt="202" path="m,l,21600r21600,l21600,xe">
          <v:stroke joinstyle="miter"/>
          <v:path gradientshapeok="t" o:connecttype="rect"/>
        </v:shapetype>
        <v:shape id="_x0000_s1703" type="#_x0000_t202" style="position:absolute;margin-left:55.4pt;margin-top:594.5pt;width:16.55pt;height:12.55pt;z-index:-462928;mso-position-horizontal-relative:page;mso-position-vertical-relative:page" filled="f" stroked="f">
          <v:textbox inset="0,0,0,0">
            <w:txbxContent>
              <w:p w14:paraId="66F6479C"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46</w:t>
                </w:r>
                <w:r>
                  <w:fldChar w:fldCharType="end"/>
                </w:r>
                <w:r>
                  <w:rPr>
                    <w:color w:val="231F20"/>
                    <w:sz w:val="18"/>
                  </w:rPr>
                  <w:t xml:space="preserve"> </w:t>
                </w:r>
              </w:p>
            </w:txbxContent>
          </v:textbox>
          <w10:wrap anchorx="page" anchory="page"/>
        </v:shape>
      </w:pict>
    </w:r>
    <w:r>
      <w:rPr>
        <w:noProof w:val="0"/>
      </w:rPr>
      <w:pict w14:anchorId="7F8A0AFA">
        <v:shape id="_x0000_s1702" type="#_x0000_t202" style="position:absolute;margin-left:243pt;margin-top:594.5pt;width:124.6pt;height:12.55pt;z-index:-462904;mso-position-horizontal-relative:page;mso-position-vertical-relative:page" filled="f" stroked="f">
          <v:textbox inset="0,0,0,0">
            <w:txbxContent>
              <w:p w14:paraId="7DC1E0D3" w14:textId="77777777" w:rsidR="001008C3" w:rsidRDefault="001008C3">
                <w:pPr>
                  <w:tabs>
                    <w:tab w:val="left" w:pos="2242"/>
                  </w:tabs>
                  <w:spacing w:before="19"/>
                  <w:ind w:left="20"/>
                  <w:rPr>
                    <w:sz w:val="14"/>
                  </w:rPr>
                </w:pPr>
                <w:r>
                  <w:rPr>
                    <w:color w:val="231F20"/>
                    <w:spacing w:val="20"/>
                    <w:w w:val="110"/>
                    <w:sz w:val="18"/>
                  </w:rPr>
                  <w:t xml:space="preserve">taking  </w:t>
                </w:r>
                <w:r>
                  <w:rPr>
                    <w:color w:val="231F20"/>
                    <w:spacing w:val="11"/>
                    <w:w w:val="110"/>
                    <w:sz w:val="18"/>
                  </w:rPr>
                  <w:t xml:space="preserve">up </w:t>
                </w:r>
                <w:r>
                  <w:rPr>
                    <w:color w:val="231F20"/>
                    <w:spacing w:val="33"/>
                    <w:w w:val="110"/>
                    <w:sz w:val="18"/>
                  </w:rPr>
                  <w:t xml:space="preserve"> </w:t>
                </w:r>
                <w:r>
                  <w:rPr>
                    <w:color w:val="231F20"/>
                    <w:spacing w:val="15"/>
                    <w:w w:val="110"/>
                    <w:sz w:val="18"/>
                  </w:rPr>
                  <w:t xml:space="preserve">the </w:t>
                </w:r>
                <w:r>
                  <w:rPr>
                    <w:color w:val="231F20"/>
                    <w:spacing w:val="28"/>
                    <w:w w:val="110"/>
                    <w:sz w:val="18"/>
                  </w:rPr>
                  <w:t xml:space="preserve"> </w:t>
                </w:r>
                <w:r>
                  <w:rPr>
                    <w:color w:val="231F20"/>
                    <w:spacing w:val="15"/>
                    <w:w w:val="110"/>
                    <w:sz w:val="18"/>
                  </w:rPr>
                  <w:t>gun</w:t>
                </w:r>
                <w:r>
                  <w:rPr>
                    <w:color w:val="231F20"/>
                    <w:spacing w:val="15"/>
                    <w:w w:val="110"/>
                    <w:sz w:val="18"/>
                  </w:rPr>
                  <w:tab/>
                </w:r>
                <w:r>
                  <w:rPr>
                    <w:color w:val="231F20"/>
                    <w:spacing w:val="11"/>
                    <w:w w:val="105"/>
                    <w:sz w:val="14"/>
                  </w:rPr>
                  <w:t>(3)</w:t>
                </w:r>
                <w:r>
                  <w:rPr>
                    <w:color w:val="231F20"/>
                    <w:spacing w:val="-12"/>
                    <w:sz w:val="14"/>
                  </w:rPr>
                  <w:t xml:space="preserve"> </w:t>
                </w:r>
              </w:p>
            </w:txbxContent>
          </v:textbox>
          <w10:wrap anchorx="page" anchory="page"/>
        </v:shape>
      </w:pic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2995" w14:textId="77777777" w:rsidR="001008C3" w:rsidRDefault="00000000">
    <w:pPr>
      <w:pStyle w:val="a3"/>
      <w:spacing w:line="14" w:lineRule="auto"/>
    </w:pPr>
    <w:r>
      <w:rPr>
        <w:noProof w:val="0"/>
      </w:rPr>
      <w:pict w14:anchorId="02C42086">
        <v:shapetype id="_x0000_t202" coordsize="21600,21600" o:spt="202" path="m,l,21600r21600,l21600,xe">
          <v:stroke joinstyle="miter"/>
          <v:path gradientshapeok="t" o:connecttype="rect"/>
        </v:shapetype>
        <v:shape id="_x0000_s1231" type="#_x0000_t202" style="position:absolute;margin-left:356.1pt;margin-top:594.5pt;width:20.8pt;height:12.55pt;z-index:-451600;mso-position-horizontal-relative:page;mso-position-vertical-relative:page" filled="f" stroked="f">
          <v:textbox inset="0,0,0,0">
            <w:txbxContent>
              <w:p w14:paraId="281B2545" w14:textId="77777777" w:rsidR="001008C3" w:rsidRDefault="001008C3">
                <w:pPr>
                  <w:spacing w:before="19"/>
                  <w:ind w:left="20"/>
                  <w:rPr>
                    <w:sz w:val="18"/>
                  </w:rPr>
                </w:pPr>
                <w:r>
                  <w:rPr>
                    <w:color w:val="231F20"/>
                    <w:sz w:val="18"/>
                  </w:rPr>
                  <w:t xml:space="preserve">453 </w:t>
                </w:r>
              </w:p>
            </w:txbxContent>
          </v:textbox>
          <w10:wrap anchorx="page" anchory="page"/>
        </v:shape>
      </w:pic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06CE1" w14:textId="77777777" w:rsidR="001008C3" w:rsidRDefault="00000000">
    <w:pPr>
      <w:pStyle w:val="a3"/>
      <w:spacing w:line="14" w:lineRule="auto"/>
    </w:pPr>
    <w:r>
      <w:rPr>
        <w:noProof w:val="0"/>
      </w:rPr>
      <w:pict w14:anchorId="39205C05">
        <v:shapetype id="_x0000_t202" coordsize="21600,21600" o:spt="202" path="m,l,21600r21600,l21600,xe">
          <v:stroke joinstyle="miter"/>
          <v:path gradientshapeok="t" o:connecttype="rect"/>
        </v:shapetype>
        <v:shape id="_x0000_s1233" type="#_x0000_t202" style="position:absolute;margin-left:56.4pt;margin-top:594.5pt;width:20.8pt;height:12.55pt;z-index:-451648;mso-position-horizontal-relative:page;mso-position-vertical-relative:page" filled="f" stroked="f">
          <v:textbox inset="0,0,0,0">
            <w:txbxContent>
              <w:p w14:paraId="05FE373A" w14:textId="77777777" w:rsidR="001008C3" w:rsidRDefault="001008C3">
                <w:pPr>
                  <w:spacing w:before="19"/>
                  <w:ind w:left="20"/>
                  <w:rPr>
                    <w:sz w:val="18"/>
                  </w:rPr>
                </w:pPr>
                <w:r>
                  <w:rPr>
                    <w:color w:val="231F20"/>
                    <w:sz w:val="18"/>
                  </w:rPr>
                  <w:t xml:space="preserve">452 </w:t>
                </w:r>
              </w:p>
            </w:txbxContent>
          </v:textbox>
          <w10:wrap anchorx="page" anchory="page"/>
        </v:shape>
      </w:pict>
    </w:r>
    <w:r>
      <w:rPr>
        <w:noProof w:val="0"/>
      </w:rPr>
      <w:pict w14:anchorId="2976ED28">
        <v:shape id="_x0000_s1232" type="#_x0000_t202" style="position:absolute;margin-left:147.7pt;margin-top:594.5pt;width:219.9pt;height:12.55pt;z-index:-451624;mso-position-horizontal-relative:page;mso-position-vertical-relative:page" filled="f" stroked="f">
          <v:textbox inset="0,0,0,0">
            <w:txbxContent>
              <w:p w14:paraId="08444E72" w14:textId="77777777" w:rsidR="001008C3" w:rsidRDefault="001008C3">
                <w:pPr>
                  <w:tabs>
                    <w:tab w:val="left" w:pos="4050"/>
                  </w:tabs>
                  <w:spacing w:before="19"/>
                  <w:ind w:left="20"/>
                  <w:rPr>
                    <w:sz w:val="14"/>
                  </w:rPr>
                </w:pPr>
                <w:r>
                  <w:rPr>
                    <w:color w:val="231F20"/>
                    <w:spacing w:val="21"/>
                    <w:w w:val="115"/>
                    <w:sz w:val="18"/>
                  </w:rPr>
                  <w:t xml:space="preserve">meanwhile,  elsewhere  </w:t>
                </w:r>
                <w:r>
                  <w:rPr>
                    <w:color w:val="231F20"/>
                    <w:spacing w:val="11"/>
                    <w:w w:val="115"/>
                    <w:sz w:val="18"/>
                  </w:rPr>
                  <w:t>on</w:t>
                </w:r>
                <w:r>
                  <w:rPr>
                    <w:color w:val="231F20"/>
                    <w:spacing w:val="45"/>
                    <w:w w:val="115"/>
                    <w:sz w:val="18"/>
                  </w:rPr>
                  <w:t xml:space="preserve"> </w:t>
                </w:r>
                <w:r>
                  <w:rPr>
                    <w:color w:val="231F20"/>
                    <w:spacing w:val="15"/>
                    <w:w w:val="115"/>
                    <w:sz w:val="18"/>
                  </w:rPr>
                  <w:t xml:space="preserve">the  </w:t>
                </w:r>
                <w:r>
                  <w:rPr>
                    <w:color w:val="231F20"/>
                    <w:spacing w:val="17"/>
                    <w:w w:val="120"/>
                    <w:sz w:val="18"/>
                  </w:rPr>
                  <w:t>left</w:t>
                </w:r>
                <w:r>
                  <w:rPr>
                    <w:color w:val="231F20"/>
                    <w:spacing w:val="17"/>
                    <w:w w:val="120"/>
                    <w:sz w:val="18"/>
                  </w:rPr>
                  <w:tab/>
                </w:r>
                <w:r>
                  <w:rPr>
                    <w:color w:val="231F20"/>
                    <w:spacing w:val="12"/>
                    <w:w w:val="105"/>
                    <w:sz w:val="14"/>
                  </w:rPr>
                  <w:t>(11)</w:t>
                </w:r>
                <w:r>
                  <w:rPr>
                    <w:color w:val="231F20"/>
                    <w:spacing w:val="-12"/>
                    <w:sz w:val="14"/>
                  </w:rPr>
                  <w:t xml:space="preserve"> </w:t>
                </w:r>
              </w:p>
            </w:txbxContent>
          </v:textbox>
          <w10:wrap anchorx="page" anchory="page"/>
        </v:shape>
      </w:pict>
    </w: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C1F4A" w14:textId="77777777" w:rsidR="001008C3" w:rsidRDefault="00000000">
    <w:pPr>
      <w:pStyle w:val="a3"/>
      <w:spacing w:line="14" w:lineRule="auto"/>
    </w:pPr>
    <w:r>
      <w:rPr>
        <w:noProof w:val="0"/>
      </w:rPr>
      <w:pict w14:anchorId="5274F0FF">
        <v:shapetype id="_x0000_t202" coordsize="21600,21600" o:spt="202" path="m,l,21600r21600,l21600,xe">
          <v:stroke joinstyle="miter"/>
          <v:path gradientshapeok="t" o:connecttype="rect"/>
        </v:shapetype>
        <v:shape id="_x0000_s1230" type="#_x0000_t202" style="position:absolute;margin-left:55.4pt;margin-top:594.5pt;width:22.8pt;height:12.55pt;z-index:-451576;mso-position-horizontal-relative:page;mso-position-vertical-relative:page" filled="f" stroked="f">
          <v:textbox inset="0,0,0,0">
            <w:txbxContent>
              <w:p w14:paraId="7BF698DF"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454</w:t>
                </w:r>
                <w:r>
                  <w:fldChar w:fldCharType="end"/>
                </w:r>
                <w:r>
                  <w:rPr>
                    <w:color w:val="231F20"/>
                    <w:sz w:val="18"/>
                  </w:rPr>
                  <w:t xml:space="preserve"> </w:t>
                </w:r>
              </w:p>
            </w:txbxContent>
          </v:textbox>
          <w10:wrap anchorx="page" anchory="page"/>
        </v:shape>
      </w:pict>
    </w:r>
    <w:r>
      <w:rPr>
        <w:noProof w:val="0"/>
      </w:rPr>
      <w:pict w14:anchorId="6B4E3BD4">
        <v:shape id="_x0000_s1229" type="#_x0000_t202" style="position:absolute;margin-left:238.95pt;margin-top:594.5pt;width:128.65pt;height:12.55pt;z-index:-451552;mso-position-horizontal-relative:page;mso-position-vertical-relative:page" filled="f" stroked="f">
          <v:textbox inset="0,0,0,0">
            <w:txbxContent>
              <w:p w14:paraId="2733C2FA" w14:textId="77777777" w:rsidR="001008C3" w:rsidRDefault="001008C3">
                <w:pPr>
                  <w:tabs>
                    <w:tab w:val="left" w:pos="2225"/>
                  </w:tabs>
                  <w:spacing w:before="19"/>
                  <w:ind w:left="20"/>
                  <w:rPr>
                    <w:sz w:val="14"/>
                  </w:rPr>
                </w:pPr>
                <w:r>
                  <w:rPr>
                    <w:color w:val="231F20"/>
                    <w:w w:val="115"/>
                    <w:sz w:val="18"/>
                  </w:rPr>
                  <w:t xml:space="preserve">&amp;   </w:t>
                </w:r>
                <w:r>
                  <w:rPr>
                    <w:color w:val="231F20"/>
                    <w:spacing w:val="15"/>
                    <w:w w:val="115"/>
                    <w:sz w:val="18"/>
                  </w:rPr>
                  <w:t xml:space="preserve">back  </w:t>
                </w:r>
                <w:r>
                  <w:rPr>
                    <w:color w:val="231F20"/>
                    <w:spacing w:val="10"/>
                    <w:w w:val="115"/>
                    <w:sz w:val="18"/>
                  </w:rPr>
                  <w:t xml:space="preserve">to </w:t>
                </w:r>
                <w:r>
                  <w:rPr>
                    <w:color w:val="231F20"/>
                    <w:spacing w:val="16"/>
                    <w:w w:val="115"/>
                    <w:sz w:val="18"/>
                  </w:rPr>
                  <w:t xml:space="preserve"> </w:t>
                </w:r>
                <w:r>
                  <w:rPr>
                    <w:color w:val="231F20"/>
                    <w:spacing w:val="15"/>
                    <w:w w:val="115"/>
                    <w:sz w:val="18"/>
                  </w:rPr>
                  <w:t xml:space="preserve">the </w:t>
                </w:r>
                <w:r>
                  <w:rPr>
                    <w:color w:val="231F20"/>
                    <w:spacing w:val="21"/>
                    <w:w w:val="115"/>
                    <w:sz w:val="18"/>
                  </w:rPr>
                  <w:t xml:space="preserve"> </w:t>
                </w:r>
                <w:r>
                  <w:rPr>
                    <w:color w:val="231F20"/>
                    <w:spacing w:val="15"/>
                    <w:w w:val="115"/>
                    <w:sz w:val="18"/>
                  </w:rPr>
                  <w:t>raf</w:t>
                </w:r>
                <w:r>
                  <w:rPr>
                    <w:color w:val="231F20"/>
                    <w:spacing w:val="15"/>
                    <w:w w:val="115"/>
                    <w:sz w:val="18"/>
                  </w:rPr>
                  <w:tab/>
                </w:r>
                <w:r>
                  <w:rPr>
                    <w:color w:val="231F20"/>
                    <w:spacing w:val="12"/>
                    <w:w w:val="105"/>
                    <w:sz w:val="14"/>
                  </w:rPr>
                  <w:t>(12)</w:t>
                </w:r>
                <w:r>
                  <w:rPr>
                    <w:color w:val="231F20"/>
                    <w:spacing w:val="-12"/>
                    <w:sz w:val="14"/>
                  </w:rPr>
                  <w:t xml:space="preserve"> </w:t>
                </w:r>
              </w:p>
            </w:txbxContent>
          </v:textbox>
          <w10:wrap anchorx="page" anchory="page"/>
        </v:shape>
      </w:pict>
    </w:r>
  </w:p>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44BF" w14:textId="77777777" w:rsidR="001008C3" w:rsidRDefault="00000000">
    <w:pPr>
      <w:pStyle w:val="a3"/>
      <w:spacing w:line="14" w:lineRule="auto"/>
    </w:pPr>
    <w:r>
      <w:rPr>
        <w:noProof w:val="0"/>
      </w:rPr>
      <w:pict w14:anchorId="335A2203">
        <v:shapetype id="_x0000_t202" coordsize="21600,21600" o:spt="202" path="m,l,21600r21600,l21600,xe">
          <v:stroke joinstyle="miter"/>
          <v:path gradientshapeok="t" o:connecttype="rect"/>
        </v:shapetype>
        <v:shape id="_x0000_s1228" type="#_x0000_t202" style="position:absolute;margin-left:65.4pt;margin-top:594.5pt;width:116.6pt;height:12.55pt;z-index:-451528;mso-position-horizontal-relative:page;mso-position-vertical-relative:page" filled="f" stroked="f">
          <v:textbox inset="0,0,0,0">
            <w:txbxContent>
              <w:p w14:paraId="2D5EC745"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23D79972">
        <v:shape id="_x0000_s1227" type="#_x0000_t202" style="position:absolute;margin-left:355.1pt;margin-top:594.5pt;width:22.8pt;height:12.55pt;z-index:-451504;mso-position-horizontal-relative:page;mso-position-vertical-relative:page" filled="f" stroked="f">
          <v:textbox inset="0,0,0,0">
            <w:txbxContent>
              <w:p w14:paraId="738D3669"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455</w:t>
                </w:r>
                <w:r>
                  <w:fldChar w:fldCharType="end"/>
                </w:r>
                <w:r>
                  <w:rPr>
                    <w:color w:val="231F20"/>
                    <w:sz w:val="18"/>
                  </w:rPr>
                  <w:t xml:space="preserve"> </w:t>
                </w:r>
              </w:p>
            </w:txbxContent>
          </v:textbox>
          <w10:wrap anchorx="page" anchory="page"/>
        </v:shape>
      </w:pic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81CFA" w14:textId="77777777" w:rsidR="001008C3" w:rsidRDefault="00000000">
    <w:pPr>
      <w:pStyle w:val="a3"/>
      <w:spacing w:line="14" w:lineRule="auto"/>
    </w:pPr>
    <w:r>
      <w:rPr>
        <w:noProof w:val="0"/>
      </w:rPr>
      <w:pict w14:anchorId="2126616A">
        <v:shapetype id="_x0000_t202" coordsize="21600,21600" o:spt="202" path="m,l,21600r21600,l21600,xe">
          <v:stroke joinstyle="miter"/>
          <v:path gradientshapeok="t" o:connecttype="rect"/>
        </v:shapetype>
        <v:shape id="_x0000_s1224" type="#_x0000_t202" style="position:absolute;margin-left:55.4pt;margin-top:594.5pt;width:22.8pt;height:12.55pt;z-index:-451432;mso-position-horizontal-relative:page;mso-position-vertical-relative:page" filled="f" stroked="f">
          <v:textbox inset="0,0,0,0">
            <w:txbxContent>
              <w:p w14:paraId="7A419BE8"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458</w:t>
                </w:r>
                <w:r>
                  <w:fldChar w:fldCharType="end"/>
                </w:r>
                <w:r>
                  <w:rPr>
                    <w:color w:val="231F20"/>
                    <w:sz w:val="18"/>
                  </w:rPr>
                  <w:t xml:space="preserve"> </w:t>
                </w:r>
              </w:p>
            </w:txbxContent>
          </v:textbox>
          <w10:wrap anchorx="page" anchory="page"/>
        </v:shape>
      </w:pict>
    </w:r>
    <w:r>
      <w:rPr>
        <w:noProof w:val="0"/>
      </w:rPr>
      <w:pict w14:anchorId="5873DF6C">
        <v:shape id="_x0000_s1223" type="#_x0000_t202" style="position:absolute;margin-left:238.95pt;margin-top:594.5pt;width:128.65pt;height:12.55pt;z-index:-451408;mso-position-horizontal-relative:page;mso-position-vertical-relative:page" filled="f" stroked="f">
          <v:textbox inset="0,0,0,0">
            <w:txbxContent>
              <w:p w14:paraId="20FF965A" w14:textId="77777777" w:rsidR="001008C3" w:rsidRDefault="001008C3">
                <w:pPr>
                  <w:tabs>
                    <w:tab w:val="left" w:pos="2225"/>
                  </w:tabs>
                  <w:spacing w:before="19"/>
                  <w:ind w:left="20"/>
                  <w:rPr>
                    <w:sz w:val="14"/>
                  </w:rPr>
                </w:pPr>
                <w:r>
                  <w:rPr>
                    <w:color w:val="231F20"/>
                    <w:w w:val="115"/>
                    <w:sz w:val="18"/>
                  </w:rPr>
                  <w:t xml:space="preserve">&amp;   </w:t>
                </w:r>
                <w:r>
                  <w:rPr>
                    <w:color w:val="231F20"/>
                    <w:spacing w:val="15"/>
                    <w:w w:val="115"/>
                    <w:sz w:val="18"/>
                  </w:rPr>
                  <w:t xml:space="preserve">back  </w:t>
                </w:r>
                <w:r>
                  <w:rPr>
                    <w:color w:val="231F20"/>
                    <w:spacing w:val="10"/>
                    <w:w w:val="115"/>
                    <w:sz w:val="18"/>
                  </w:rPr>
                  <w:t xml:space="preserve">to </w:t>
                </w:r>
                <w:r>
                  <w:rPr>
                    <w:color w:val="231F20"/>
                    <w:spacing w:val="16"/>
                    <w:w w:val="115"/>
                    <w:sz w:val="18"/>
                  </w:rPr>
                  <w:t xml:space="preserve"> </w:t>
                </w:r>
                <w:r>
                  <w:rPr>
                    <w:color w:val="231F20"/>
                    <w:spacing w:val="15"/>
                    <w:w w:val="115"/>
                    <w:sz w:val="18"/>
                  </w:rPr>
                  <w:t xml:space="preserve">the </w:t>
                </w:r>
                <w:r>
                  <w:rPr>
                    <w:color w:val="231F20"/>
                    <w:spacing w:val="21"/>
                    <w:w w:val="115"/>
                    <w:sz w:val="18"/>
                  </w:rPr>
                  <w:t xml:space="preserve"> </w:t>
                </w:r>
                <w:r>
                  <w:rPr>
                    <w:color w:val="231F20"/>
                    <w:spacing w:val="15"/>
                    <w:w w:val="115"/>
                    <w:sz w:val="18"/>
                  </w:rPr>
                  <w:t>raf</w:t>
                </w:r>
                <w:r>
                  <w:rPr>
                    <w:color w:val="231F20"/>
                    <w:spacing w:val="15"/>
                    <w:w w:val="115"/>
                    <w:sz w:val="18"/>
                  </w:rPr>
                  <w:tab/>
                </w:r>
                <w:r>
                  <w:rPr>
                    <w:color w:val="231F20"/>
                    <w:spacing w:val="12"/>
                    <w:w w:val="105"/>
                    <w:sz w:val="14"/>
                  </w:rPr>
                  <w:t>(12)</w:t>
                </w:r>
                <w:r>
                  <w:rPr>
                    <w:color w:val="231F20"/>
                    <w:spacing w:val="-12"/>
                    <w:sz w:val="14"/>
                  </w:rPr>
                  <w:t xml:space="preserve"> </w:t>
                </w:r>
              </w:p>
            </w:txbxContent>
          </v:textbox>
          <w10:wrap anchorx="page" anchory="page"/>
        </v:shape>
      </w:pict>
    </w: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6C991" w14:textId="77777777" w:rsidR="001008C3" w:rsidRDefault="00000000">
    <w:pPr>
      <w:pStyle w:val="a3"/>
      <w:spacing w:line="14" w:lineRule="auto"/>
    </w:pPr>
    <w:r>
      <w:rPr>
        <w:noProof w:val="0"/>
      </w:rPr>
      <w:pict w14:anchorId="704F09BF">
        <v:shapetype id="_x0000_t202" coordsize="21600,21600" o:spt="202" path="m,l,21600r21600,l21600,xe">
          <v:stroke joinstyle="miter"/>
          <v:path gradientshapeok="t" o:connecttype="rect"/>
        </v:shapetype>
        <v:shape id="_x0000_s1226" type="#_x0000_t202" style="position:absolute;margin-left:65.4pt;margin-top:594.5pt;width:213.35pt;height:12.55pt;z-index:-451480;mso-position-horizontal-relative:page;mso-position-vertical-relative:page" filled="f" stroked="f">
          <v:textbox inset="0,0,0,0">
            <w:txbxContent>
              <w:p w14:paraId="5AFC4156" w14:textId="77777777" w:rsidR="001008C3" w:rsidRDefault="001008C3">
                <w:pPr>
                  <w:spacing w:before="19"/>
                  <w:ind w:left="20"/>
                  <w:rPr>
                    <w:sz w:val="18"/>
                  </w:rPr>
                </w:pPr>
                <w:r>
                  <w:rPr>
                    <w:color w:val="231F20"/>
                    <w:w w:val="115"/>
                    <w:sz w:val="18"/>
                  </w:rPr>
                  <w:t>december 1976 • rz letter to the raf</w:t>
                </w:r>
                <w:r>
                  <w:rPr>
                    <w:color w:val="231F20"/>
                    <w:sz w:val="18"/>
                  </w:rPr>
                  <w:t xml:space="preserve"> </w:t>
                </w:r>
              </w:p>
            </w:txbxContent>
          </v:textbox>
          <w10:wrap anchorx="page" anchory="page"/>
        </v:shape>
      </w:pict>
    </w:r>
    <w:r>
      <w:rPr>
        <w:noProof w:val="0"/>
      </w:rPr>
      <w:pict w14:anchorId="2335EA96">
        <v:shape id="_x0000_s1225" type="#_x0000_t202" style="position:absolute;margin-left:355.1pt;margin-top:594.5pt;width:22.8pt;height:12.55pt;z-index:-451456;mso-position-horizontal-relative:page;mso-position-vertical-relative:page" filled="f" stroked="f">
          <v:textbox inset="0,0,0,0">
            <w:txbxContent>
              <w:p w14:paraId="72B9EFD2"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457</w:t>
                </w:r>
                <w:r>
                  <w:fldChar w:fldCharType="end"/>
                </w:r>
                <w:r>
                  <w:rPr>
                    <w:color w:val="231F20"/>
                    <w:sz w:val="18"/>
                  </w:rPr>
                  <w:t xml:space="preserve"> </w:t>
                </w:r>
              </w:p>
            </w:txbxContent>
          </v:textbox>
          <w10:wrap anchorx="page" anchory="page"/>
        </v:shape>
      </w:pict>
    </w:r>
  </w:p>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8FAD7" w14:textId="77777777" w:rsidR="001008C3" w:rsidRDefault="00000000">
    <w:pPr>
      <w:pStyle w:val="a3"/>
      <w:spacing w:line="14" w:lineRule="auto"/>
    </w:pPr>
    <w:r>
      <w:rPr>
        <w:noProof w:val="0"/>
      </w:rPr>
      <w:pict w14:anchorId="66753C41">
        <v:shapetype id="_x0000_t202" coordsize="21600,21600" o:spt="202" path="m,l,21600r21600,l21600,xe">
          <v:stroke joinstyle="miter"/>
          <v:path gradientshapeok="t" o:connecttype="rect"/>
        </v:shapetype>
        <v:shape id="_x0000_s1220" type="#_x0000_t202" style="position:absolute;margin-left:65.4pt;margin-top:594.5pt;width:213.35pt;height:12.55pt;z-index:-451336;mso-position-horizontal-relative:page;mso-position-vertical-relative:page" filled="f" stroked="f">
          <v:textbox inset="0,0,0,0">
            <w:txbxContent>
              <w:p w14:paraId="3D871E1B" w14:textId="77777777" w:rsidR="001008C3" w:rsidRDefault="001008C3">
                <w:pPr>
                  <w:spacing w:before="19"/>
                  <w:ind w:left="20"/>
                  <w:rPr>
                    <w:sz w:val="18"/>
                  </w:rPr>
                </w:pPr>
                <w:r>
                  <w:rPr>
                    <w:color w:val="231F20"/>
                    <w:w w:val="115"/>
                    <w:sz w:val="18"/>
                  </w:rPr>
                  <w:t>december 1976 • rz letter to the raf</w:t>
                </w:r>
                <w:r>
                  <w:rPr>
                    <w:color w:val="231F20"/>
                    <w:sz w:val="18"/>
                  </w:rPr>
                  <w:t xml:space="preserve"> </w:t>
                </w:r>
              </w:p>
            </w:txbxContent>
          </v:textbox>
          <w10:wrap anchorx="page" anchory="page"/>
        </v:shape>
      </w:pict>
    </w:r>
    <w:r>
      <w:rPr>
        <w:noProof w:val="0"/>
      </w:rPr>
      <w:pict w14:anchorId="3A95798F">
        <v:shape id="_x0000_s1219" type="#_x0000_t202" style="position:absolute;margin-left:356.1pt;margin-top:594.5pt;width:20.8pt;height:12.55pt;z-index:-451312;mso-position-horizontal-relative:page;mso-position-vertical-relative:page" filled="f" stroked="f">
          <v:textbox inset="0,0,0,0">
            <w:txbxContent>
              <w:p w14:paraId="640216CB" w14:textId="77777777" w:rsidR="001008C3" w:rsidRDefault="001008C3">
                <w:pPr>
                  <w:spacing w:before="19"/>
                  <w:ind w:left="20"/>
                  <w:rPr>
                    <w:sz w:val="18"/>
                  </w:rPr>
                </w:pPr>
                <w:r>
                  <w:rPr>
                    <w:color w:val="231F20"/>
                    <w:sz w:val="18"/>
                  </w:rPr>
                  <w:t xml:space="preserve">461 </w:t>
                </w:r>
              </w:p>
            </w:txbxContent>
          </v:textbox>
          <w10:wrap anchorx="page" anchory="page"/>
        </v:shape>
      </w:pic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26134" w14:textId="77777777" w:rsidR="001008C3" w:rsidRDefault="00000000">
    <w:pPr>
      <w:pStyle w:val="a3"/>
      <w:spacing w:line="14" w:lineRule="auto"/>
    </w:pPr>
    <w:r>
      <w:rPr>
        <w:noProof w:val="0"/>
      </w:rPr>
      <w:pict w14:anchorId="136524AA">
        <v:shapetype id="_x0000_t202" coordsize="21600,21600" o:spt="202" path="m,l,21600r21600,l21600,xe">
          <v:stroke joinstyle="miter"/>
          <v:path gradientshapeok="t" o:connecttype="rect"/>
        </v:shapetype>
        <v:shape id="_x0000_s1222" type="#_x0000_t202" style="position:absolute;margin-left:56.4pt;margin-top:594.5pt;width:20.8pt;height:12.55pt;z-index:-451384;mso-position-horizontal-relative:page;mso-position-vertical-relative:page" filled="f" stroked="f">
          <v:textbox inset="0,0,0,0">
            <w:txbxContent>
              <w:p w14:paraId="64B4CCB7" w14:textId="77777777" w:rsidR="001008C3" w:rsidRDefault="001008C3">
                <w:pPr>
                  <w:spacing w:before="19"/>
                  <w:ind w:left="20"/>
                  <w:rPr>
                    <w:sz w:val="18"/>
                  </w:rPr>
                </w:pPr>
                <w:r>
                  <w:rPr>
                    <w:color w:val="231F20"/>
                    <w:sz w:val="18"/>
                  </w:rPr>
                  <w:t xml:space="preserve">460 </w:t>
                </w:r>
              </w:p>
            </w:txbxContent>
          </v:textbox>
          <w10:wrap anchorx="page" anchory="page"/>
        </v:shape>
      </w:pict>
    </w:r>
    <w:r>
      <w:rPr>
        <w:noProof w:val="0"/>
      </w:rPr>
      <w:pict w14:anchorId="2A3C4CB3">
        <v:shape id="_x0000_s1221" type="#_x0000_t202" style="position:absolute;margin-left:238.95pt;margin-top:594.5pt;width:128.65pt;height:12.55pt;z-index:-451360;mso-position-horizontal-relative:page;mso-position-vertical-relative:page" filled="f" stroked="f">
          <v:textbox inset="0,0,0,0">
            <w:txbxContent>
              <w:p w14:paraId="3812A2E5" w14:textId="77777777" w:rsidR="001008C3" w:rsidRDefault="001008C3">
                <w:pPr>
                  <w:tabs>
                    <w:tab w:val="left" w:pos="2225"/>
                  </w:tabs>
                  <w:spacing w:before="19"/>
                  <w:ind w:left="20"/>
                  <w:rPr>
                    <w:sz w:val="14"/>
                  </w:rPr>
                </w:pPr>
                <w:r>
                  <w:rPr>
                    <w:color w:val="231F20"/>
                    <w:w w:val="115"/>
                    <w:sz w:val="18"/>
                  </w:rPr>
                  <w:t xml:space="preserve">&amp;   </w:t>
                </w:r>
                <w:r>
                  <w:rPr>
                    <w:color w:val="231F20"/>
                    <w:spacing w:val="15"/>
                    <w:w w:val="115"/>
                    <w:sz w:val="18"/>
                  </w:rPr>
                  <w:t xml:space="preserve">back  </w:t>
                </w:r>
                <w:r>
                  <w:rPr>
                    <w:color w:val="231F20"/>
                    <w:spacing w:val="10"/>
                    <w:w w:val="115"/>
                    <w:sz w:val="18"/>
                  </w:rPr>
                  <w:t xml:space="preserve">to </w:t>
                </w:r>
                <w:r>
                  <w:rPr>
                    <w:color w:val="231F20"/>
                    <w:spacing w:val="16"/>
                    <w:w w:val="115"/>
                    <w:sz w:val="18"/>
                  </w:rPr>
                  <w:t xml:space="preserve"> </w:t>
                </w:r>
                <w:r>
                  <w:rPr>
                    <w:color w:val="231F20"/>
                    <w:spacing w:val="15"/>
                    <w:w w:val="115"/>
                    <w:sz w:val="18"/>
                  </w:rPr>
                  <w:t xml:space="preserve">the </w:t>
                </w:r>
                <w:r>
                  <w:rPr>
                    <w:color w:val="231F20"/>
                    <w:spacing w:val="21"/>
                    <w:w w:val="115"/>
                    <w:sz w:val="18"/>
                  </w:rPr>
                  <w:t xml:space="preserve"> </w:t>
                </w:r>
                <w:r>
                  <w:rPr>
                    <w:color w:val="231F20"/>
                    <w:spacing w:val="15"/>
                    <w:w w:val="115"/>
                    <w:sz w:val="18"/>
                  </w:rPr>
                  <w:t>raf</w:t>
                </w:r>
                <w:r>
                  <w:rPr>
                    <w:color w:val="231F20"/>
                    <w:spacing w:val="15"/>
                    <w:w w:val="115"/>
                    <w:sz w:val="18"/>
                  </w:rPr>
                  <w:tab/>
                </w:r>
                <w:r>
                  <w:rPr>
                    <w:color w:val="231F20"/>
                    <w:spacing w:val="12"/>
                    <w:w w:val="105"/>
                    <w:sz w:val="14"/>
                  </w:rPr>
                  <w:t>(12)</w:t>
                </w:r>
                <w:r>
                  <w:rPr>
                    <w:color w:val="231F20"/>
                    <w:spacing w:val="-12"/>
                    <w:sz w:val="14"/>
                  </w:rPr>
                  <w:t xml:space="preserve"> </w:t>
                </w:r>
              </w:p>
            </w:txbxContent>
          </v:textbox>
          <w10:wrap anchorx="page" anchory="page"/>
        </v:shape>
      </w:pict>
    </w: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0FD53" w14:textId="77777777" w:rsidR="001008C3" w:rsidRDefault="00000000">
    <w:pPr>
      <w:pStyle w:val="a3"/>
      <w:spacing w:line="14" w:lineRule="auto"/>
    </w:pPr>
    <w:r>
      <w:rPr>
        <w:noProof w:val="0"/>
      </w:rPr>
      <w:pict w14:anchorId="665738AE">
        <v:shapetype id="_x0000_t202" coordsize="21600,21600" o:spt="202" path="m,l,21600r21600,l21600,xe">
          <v:stroke joinstyle="miter"/>
          <v:path gradientshapeok="t" o:connecttype="rect"/>
        </v:shapetype>
        <v:shape id="_x0000_s1218" type="#_x0000_t202" style="position:absolute;margin-left:55.4pt;margin-top:594.5pt;width:22.8pt;height:12.55pt;z-index:-451288;mso-position-horizontal-relative:page;mso-position-vertical-relative:page" filled="f" stroked="f">
          <v:textbox inset="0,0,0,0">
            <w:txbxContent>
              <w:p w14:paraId="21B9B67C"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462</w:t>
                </w:r>
                <w:r>
                  <w:fldChar w:fldCharType="end"/>
                </w:r>
                <w:r>
                  <w:rPr>
                    <w:color w:val="231F20"/>
                    <w:sz w:val="18"/>
                  </w:rPr>
                  <w:t xml:space="preserve"> </w:t>
                </w:r>
              </w:p>
            </w:txbxContent>
          </v:textbox>
          <w10:wrap anchorx="page" anchory="page"/>
        </v:shape>
      </w:pict>
    </w:r>
    <w:r>
      <w:rPr>
        <w:noProof w:val="0"/>
      </w:rPr>
      <w:pict w14:anchorId="3B265A41">
        <v:shape id="_x0000_s1217" type="#_x0000_t202" style="position:absolute;margin-left:238.95pt;margin-top:594.5pt;width:128.65pt;height:12.55pt;z-index:-451264;mso-position-horizontal-relative:page;mso-position-vertical-relative:page" filled="f" stroked="f">
          <v:textbox inset="0,0,0,0">
            <w:txbxContent>
              <w:p w14:paraId="7E9D6355" w14:textId="77777777" w:rsidR="001008C3" w:rsidRDefault="001008C3">
                <w:pPr>
                  <w:tabs>
                    <w:tab w:val="left" w:pos="2225"/>
                  </w:tabs>
                  <w:spacing w:before="19"/>
                  <w:ind w:left="20"/>
                  <w:rPr>
                    <w:sz w:val="14"/>
                  </w:rPr>
                </w:pPr>
                <w:r>
                  <w:rPr>
                    <w:color w:val="231F20"/>
                    <w:w w:val="115"/>
                    <w:sz w:val="18"/>
                  </w:rPr>
                  <w:t xml:space="preserve">&amp;   </w:t>
                </w:r>
                <w:r>
                  <w:rPr>
                    <w:color w:val="231F20"/>
                    <w:spacing w:val="15"/>
                    <w:w w:val="115"/>
                    <w:sz w:val="18"/>
                  </w:rPr>
                  <w:t xml:space="preserve">back  </w:t>
                </w:r>
                <w:r>
                  <w:rPr>
                    <w:color w:val="231F20"/>
                    <w:spacing w:val="10"/>
                    <w:w w:val="115"/>
                    <w:sz w:val="18"/>
                  </w:rPr>
                  <w:t xml:space="preserve">to </w:t>
                </w:r>
                <w:r>
                  <w:rPr>
                    <w:color w:val="231F20"/>
                    <w:spacing w:val="16"/>
                    <w:w w:val="115"/>
                    <w:sz w:val="18"/>
                  </w:rPr>
                  <w:t xml:space="preserve"> </w:t>
                </w:r>
                <w:r>
                  <w:rPr>
                    <w:color w:val="231F20"/>
                    <w:spacing w:val="15"/>
                    <w:w w:val="115"/>
                    <w:sz w:val="18"/>
                  </w:rPr>
                  <w:t xml:space="preserve">the </w:t>
                </w:r>
                <w:r>
                  <w:rPr>
                    <w:color w:val="231F20"/>
                    <w:spacing w:val="21"/>
                    <w:w w:val="115"/>
                    <w:sz w:val="18"/>
                  </w:rPr>
                  <w:t xml:space="preserve"> </w:t>
                </w:r>
                <w:r>
                  <w:rPr>
                    <w:color w:val="231F20"/>
                    <w:spacing w:val="15"/>
                    <w:w w:val="115"/>
                    <w:sz w:val="18"/>
                  </w:rPr>
                  <w:t>raf</w:t>
                </w:r>
                <w:r>
                  <w:rPr>
                    <w:color w:val="231F20"/>
                    <w:spacing w:val="15"/>
                    <w:w w:val="115"/>
                    <w:sz w:val="18"/>
                  </w:rPr>
                  <w:tab/>
                </w:r>
                <w:r>
                  <w:rPr>
                    <w:color w:val="231F20"/>
                    <w:spacing w:val="12"/>
                    <w:w w:val="105"/>
                    <w:sz w:val="14"/>
                  </w:rPr>
                  <w:t>(12)</w:t>
                </w:r>
                <w:r>
                  <w:rPr>
                    <w:color w:val="231F20"/>
                    <w:spacing w:val="-12"/>
                    <w:sz w:val="14"/>
                  </w:rPr>
                  <w:t xml:space="preserve"> </w:t>
                </w:r>
              </w:p>
            </w:txbxContent>
          </v:textbox>
          <w10:wrap anchorx="page" anchory="page"/>
        </v:shape>
      </w:pict>
    </w:r>
  </w:p>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820BF" w14:textId="77777777" w:rsidR="001008C3" w:rsidRDefault="00000000">
    <w:pPr>
      <w:pStyle w:val="a3"/>
      <w:spacing w:line="14" w:lineRule="auto"/>
    </w:pPr>
    <w:r>
      <w:rPr>
        <w:noProof w:val="0"/>
      </w:rPr>
      <w:pict w14:anchorId="496150CC">
        <v:shapetype id="_x0000_t202" coordsize="21600,21600" o:spt="202" path="m,l,21600r21600,l21600,xe">
          <v:stroke joinstyle="miter"/>
          <v:path gradientshapeok="t" o:connecttype="rect"/>
        </v:shapetype>
        <v:shape id="_x0000_s1216" type="#_x0000_t202" style="position:absolute;margin-left:65.4pt;margin-top:594.5pt;width:213.35pt;height:12.55pt;z-index:-451240;mso-position-horizontal-relative:page;mso-position-vertical-relative:page" filled="f" stroked="f">
          <v:textbox inset="0,0,0,0">
            <w:txbxContent>
              <w:p w14:paraId="3FB98903" w14:textId="77777777" w:rsidR="001008C3" w:rsidRDefault="001008C3">
                <w:pPr>
                  <w:spacing w:before="19"/>
                  <w:ind w:left="20"/>
                  <w:rPr>
                    <w:sz w:val="18"/>
                  </w:rPr>
                </w:pPr>
                <w:r>
                  <w:rPr>
                    <w:color w:val="231F20"/>
                    <w:w w:val="115"/>
                    <w:sz w:val="18"/>
                  </w:rPr>
                  <w:t>december 1976 • rz letter to the raf</w:t>
                </w:r>
                <w:r>
                  <w:rPr>
                    <w:color w:val="231F20"/>
                    <w:sz w:val="18"/>
                  </w:rPr>
                  <w:t xml:space="preserve"> </w:t>
                </w:r>
              </w:p>
            </w:txbxContent>
          </v:textbox>
          <w10:wrap anchorx="page" anchory="page"/>
        </v:shape>
      </w:pict>
    </w:r>
    <w:r>
      <w:rPr>
        <w:noProof w:val="0"/>
      </w:rPr>
      <w:pict w14:anchorId="35656C24">
        <v:shape id="_x0000_s1215" type="#_x0000_t202" style="position:absolute;margin-left:356.1pt;margin-top:594.5pt;width:20.8pt;height:12.55pt;z-index:-451216;mso-position-horizontal-relative:page;mso-position-vertical-relative:page" filled="f" stroked="f">
          <v:textbox inset="0,0,0,0">
            <w:txbxContent>
              <w:p w14:paraId="21A5EE91" w14:textId="77777777" w:rsidR="001008C3" w:rsidRDefault="001008C3">
                <w:pPr>
                  <w:spacing w:before="19"/>
                  <w:ind w:left="20"/>
                  <w:rPr>
                    <w:sz w:val="18"/>
                  </w:rPr>
                </w:pPr>
                <w:r>
                  <w:rPr>
                    <w:color w:val="231F20"/>
                    <w:sz w:val="18"/>
                  </w:rPr>
                  <w:t xml:space="preserve">463 </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81CF4" w14:textId="77777777" w:rsidR="001008C3" w:rsidRDefault="00000000">
    <w:pPr>
      <w:pStyle w:val="a3"/>
      <w:spacing w:line="14" w:lineRule="auto"/>
    </w:pPr>
    <w:r>
      <w:rPr>
        <w:noProof w:val="0"/>
      </w:rPr>
      <w:pict w14:anchorId="6DD41F04">
        <v:shapetype id="_x0000_t202" coordsize="21600,21600" o:spt="202" path="m,l,21600r21600,l21600,xe">
          <v:stroke joinstyle="miter"/>
          <v:path gradientshapeok="t" o:connecttype="rect"/>
        </v:shapetype>
        <v:shape id="_x0000_s1704" type="#_x0000_t202" style="position:absolute;margin-left:361.35pt;margin-top:594.5pt;width:16.55pt;height:12.55pt;z-index:-462952;mso-position-horizontal-relative:page;mso-position-vertical-relative:page" filled="f" stroked="f">
          <v:textbox inset="0,0,0,0">
            <w:txbxContent>
              <w:p w14:paraId="16E086CB"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45</w:t>
                </w:r>
                <w:r>
                  <w:fldChar w:fldCharType="end"/>
                </w:r>
                <w:r>
                  <w:rPr>
                    <w:color w:val="231F20"/>
                    <w:sz w:val="18"/>
                  </w:rPr>
                  <w:t xml:space="preserve"> </w:t>
                </w:r>
              </w:p>
            </w:txbxContent>
          </v:textbox>
          <w10:wrap anchorx="page" anchory="page"/>
        </v:shape>
      </w:pict>
    </w: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E654A" w14:textId="77777777" w:rsidR="001008C3" w:rsidRDefault="00000000">
    <w:pPr>
      <w:pStyle w:val="a3"/>
      <w:spacing w:line="14" w:lineRule="auto"/>
    </w:pPr>
    <w:r>
      <w:rPr>
        <w:noProof w:val="0"/>
      </w:rPr>
      <w:pict w14:anchorId="0EF2663E">
        <v:shapetype id="_x0000_t202" coordsize="21600,21600" o:spt="202" path="m,l,21600r21600,l21600,xe">
          <v:stroke joinstyle="miter"/>
          <v:path gradientshapeok="t" o:connecttype="rect"/>
        </v:shapetype>
        <v:shape id="_x0000_s1214" type="#_x0000_t202" style="position:absolute;margin-left:65.4pt;margin-top:594.5pt;width:240.7pt;height:12.55pt;z-index:-451192;mso-position-horizontal-relative:page;mso-position-vertical-relative:page" filled="f" stroked="f">
          <v:textbox inset="0,0,0,0">
            <w:txbxContent>
              <w:p w14:paraId="13C65CBC" w14:textId="77777777" w:rsidR="001008C3" w:rsidRDefault="001008C3">
                <w:pPr>
                  <w:spacing w:before="19"/>
                  <w:ind w:left="20"/>
                  <w:rPr>
                    <w:sz w:val="18"/>
                  </w:rPr>
                </w:pPr>
                <w:r>
                  <w:rPr>
                    <w:color w:val="231F20"/>
                    <w:w w:val="110"/>
                    <w:sz w:val="18"/>
                  </w:rPr>
                  <w:t>january 1977 • monika berberich responds</w:t>
                </w:r>
                <w:r>
                  <w:rPr>
                    <w:color w:val="231F20"/>
                    <w:sz w:val="18"/>
                  </w:rPr>
                  <w:t xml:space="preserve"> </w:t>
                </w:r>
              </w:p>
            </w:txbxContent>
          </v:textbox>
          <w10:wrap anchorx="page" anchory="page"/>
        </v:shape>
      </w:pict>
    </w:r>
    <w:r>
      <w:rPr>
        <w:noProof w:val="0"/>
      </w:rPr>
      <w:pict w14:anchorId="0448FEBE">
        <v:shape id="_x0000_s1213" type="#_x0000_t202" style="position:absolute;margin-left:356.1pt;margin-top:594.5pt;width:20.8pt;height:12.55pt;z-index:-451168;mso-position-horizontal-relative:page;mso-position-vertical-relative:page" filled="f" stroked="f">
          <v:textbox inset="0,0,0,0">
            <w:txbxContent>
              <w:p w14:paraId="299C1C03" w14:textId="77777777" w:rsidR="001008C3" w:rsidRDefault="001008C3">
                <w:pPr>
                  <w:spacing w:before="19"/>
                  <w:ind w:left="20"/>
                  <w:rPr>
                    <w:sz w:val="18"/>
                  </w:rPr>
                </w:pPr>
                <w:r>
                  <w:rPr>
                    <w:color w:val="231F20"/>
                    <w:sz w:val="18"/>
                  </w:rPr>
                  <w:t xml:space="preserve">465 </w:t>
                </w:r>
              </w:p>
            </w:txbxContent>
          </v:textbox>
          <w10:wrap anchorx="page" anchory="page"/>
        </v:shape>
      </w:pict>
    </w: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4F956" w14:textId="77777777" w:rsidR="001008C3" w:rsidRDefault="00000000">
    <w:pPr>
      <w:pStyle w:val="a3"/>
      <w:spacing w:line="14" w:lineRule="auto"/>
    </w:pPr>
    <w:r>
      <w:rPr>
        <w:noProof w:val="0"/>
      </w:rPr>
      <w:pict w14:anchorId="7F61648F">
        <v:shapetype id="_x0000_t202" coordsize="21600,21600" o:spt="202" path="m,l,21600r21600,l21600,xe">
          <v:stroke joinstyle="miter"/>
          <v:path gradientshapeok="t" o:connecttype="rect"/>
        </v:shapetype>
        <v:shape id="_x0000_s1212" type="#_x0000_t202" style="position:absolute;margin-left:55.4pt;margin-top:594.5pt;width:22.8pt;height:12.55pt;z-index:-451144;mso-position-horizontal-relative:page;mso-position-vertical-relative:page" filled="f" stroked="f">
          <v:textbox inset="0,0,0,0">
            <w:txbxContent>
              <w:p w14:paraId="38125991" w14:textId="77777777" w:rsidR="001008C3" w:rsidRDefault="001008C3">
                <w:pPr>
                  <w:spacing w:before="19"/>
                  <w:ind w:left="40"/>
                  <w:rPr>
                    <w:sz w:val="18"/>
                  </w:rPr>
                </w:pPr>
                <w:r>
                  <w:rPr>
                    <w:color w:val="231F20"/>
                    <w:sz w:val="18"/>
                  </w:rPr>
                  <w:t xml:space="preserve">466 </w:t>
                </w:r>
              </w:p>
            </w:txbxContent>
          </v:textbox>
          <w10:wrap anchorx="page" anchory="page"/>
        </v:shape>
      </w:pict>
    </w:r>
    <w:r>
      <w:rPr>
        <w:noProof w:val="0"/>
      </w:rPr>
      <w:pict w14:anchorId="565BC23A">
        <v:shape id="_x0000_s1211" type="#_x0000_t202" style="position:absolute;margin-left:238.95pt;margin-top:594.5pt;width:128.65pt;height:12.55pt;z-index:-451120;mso-position-horizontal-relative:page;mso-position-vertical-relative:page" filled="f" stroked="f">
          <v:textbox inset="0,0,0,0">
            <w:txbxContent>
              <w:p w14:paraId="0EE55FBC" w14:textId="77777777" w:rsidR="001008C3" w:rsidRDefault="001008C3">
                <w:pPr>
                  <w:tabs>
                    <w:tab w:val="left" w:pos="2225"/>
                  </w:tabs>
                  <w:spacing w:before="19"/>
                  <w:ind w:left="20"/>
                  <w:rPr>
                    <w:sz w:val="14"/>
                  </w:rPr>
                </w:pPr>
                <w:r>
                  <w:rPr>
                    <w:color w:val="231F20"/>
                    <w:w w:val="115"/>
                    <w:sz w:val="18"/>
                  </w:rPr>
                  <w:t xml:space="preserve">&amp;   </w:t>
                </w:r>
                <w:r>
                  <w:rPr>
                    <w:color w:val="231F20"/>
                    <w:spacing w:val="15"/>
                    <w:w w:val="115"/>
                    <w:sz w:val="18"/>
                  </w:rPr>
                  <w:t xml:space="preserve">back  </w:t>
                </w:r>
                <w:r>
                  <w:rPr>
                    <w:color w:val="231F20"/>
                    <w:spacing w:val="10"/>
                    <w:w w:val="115"/>
                    <w:sz w:val="18"/>
                  </w:rPr>
                  <w:t xml:space="preserve">to </w:t>
                </w:r>
                <w:r>
                  <w:rPr>
                    <w:color w:val="231F20"/>
                    <w:spacing w:val="16"/>
                    <w:w w:val="115"/>
                    <w:sz w:val="18"/>
                  </w:rPr>
                  <w:t xml:space="preserve"> </w:t>
                </w:r>
                <w:r>
                  <w:rPr>
                    <w:color w:val="231F20"/>
                    <w:spacing w:val="15"/>
                    <w:w w:val="115"/>
                    <w:sz w:val="18"/>
                  </w:rPr>
                  <w:t xml:space="preserve">the </w:t>
                </w:r>
                <w:r>
                  <w:rPr>
                    <w:color w:val="231F20"/>
                    <w:spacing w:val="21"/>
                    <w:w w:val="115"/>
                    <w:sz w:val="18"/>
                  </w:rPr>
                  <w:t xml:space="preserve"> </w:t>
                </w:r>
                <w:r>
                  <w:rPr>
                    <w:color w:val="231F20"/>
                    <w:spacing w:val="15"/>
                    <w:w w:val="115"/>
                    <w:sz w:val="18"/>
                  </w:rPr>
                  <w:t>raf</w:t>
                </w:r>
                <w:r>
                  <w:rPr>
                    <w:color w:val="231F20"/>
                    <w:spacing w:val="15"/>
                    <w:w w:val="115"/>
                    <w:sz w:val="18"/>
                  </w:rPr>
                  <w:tab/>
                </w:r>
                <w:r>
                  <w:rPr>
                    <w:color w:val="231F20"/>
                    <w:spacing w:val="12"/>
                    <w:w w:val="105"/>
                    <w:sz w:val="14"/>
                  </w:rPr>
                  <w:t>(12)</w:t>
                </w:r>
                <w:r>
                  <w:rPr>
                    <w:color w:val="231F20"/>
                    <w:spacing w:val="-12"/>
                    <w:sz w:val="14"/>
                  </w:rPr>
                  <w:t xml:space="preserve"> </w:t>
                </w:r>
              </w:p>
            </w:txbxContent>
          </v:textbox>
          <w10:wrap anchorx="page" anchory="page"/>
        </v:shape>
      </w:pict>
    </w:r>
  </w:p>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5A0FE" w14:textId="77777777" w:rsidR="001008C3" w:rsidRDefault="00000000">
    <w:pPr>
      <w:pStyle w:val="a3"/>
      <w:spacing w:line="14" w:lineRule="auto"/>
    </w:pPr>
    <w:r>
      <w:rPr>
        <w:noProof w:val="0"/>
      </w:rPr>
      <w:pict w14:anchorId="193703B7">
        <v:shapetype id="_x0000_t202" coordsize="21600,21600" o:spt="202" path="m,l,21600r21600,l21600,xe">
          <v:stroke joinstyle="miter"/>
          <v:path gradientshapeok="t" o:connecttype="rect"/>
        </v:shapetype>
        <v:shape id="_x0000_s1210" type="#_x0000_t202" style="position:absolute;margin-left:65.4pt;margin-top:594.5pt;width:311.5pt;height:12.55pt;z-index:-451096;mso-position-horizontal-relative:page;mso-position-vertical-relative:page" filled="f" stroked="f">
          <v:textbox inset="0,0,0,0">
            <w:txbxContent>
              <w:p w14:paraId="7726B744" w14:textId="77777777" w:rsidR="001008C3" w:rsidRDefault="001008C3">
                <w:pPr>
                  <w:spacing w:before="19"/>
                  <w:ind w:left="20"/>
                  <w:rPr>
                    <w:sz w:val="18"/>
                  </w:rPr>
                </w:pPr>
                <w:r>
                  <w:rPr>
                    <w:color w:val="231F20"/>
                    <w:w w:val="115"/>
                    <w:sz w:val="18"/>
                  </w:rPr>
                  <w:t>june 1977 • andreas baader on the geneva convention 467</w:t>
                </w:r>
                <w:r>
                  <w:rPr>
                    <w:color w:val="231F20"/>
                    <w:sz w:val="18"/>
                  </w:rPr>
                  <w:t xml:space="preserve"> </w:t>
                </w:r>
              </w:p>
            </w:txbxContent>
          </v:textbox>
          <w10:wrap anchorx="page" anchory="page"/>
        </v:shape>
      </w:pic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2BAE" w14:textId="77777777" w:rsidR="001008C3" w:rsidRDefault="00000000">
    <w:pPr>
      <w:pStyle w:val="a3"/>
      <w:spacing w:line="14" w:lineRule="auto"/>
    </w:pPr>
    <w:r>
      <w:rPr>
        <w:noProof w:val="0"/>
      </w:rPr>
      <w:pict w14:anchorId="6E963262">
        <v:shapetype id="_x0000_t202" coordsize="21600,21600" o:spt="202" path="m,l,21600r21600,l21600,xe">
          <v:stroke joinstyle="miter"/>
          <v:path gradientshapeok="t" o:connecttype="rect"/>
        </v:shapetype>
        <v:shape id="_x0000_s1209" type="#_x0000_t202" style="position:absolute;margin-left:55.4pt;margin-top:594.5pt;width:22.8pt;height:12.55pt;z-index:-451072;mso-position-horizontal-relative:page;mso-position-vertical-relative:page" filled="f" stroked="f">
          <v:textbox inset="0,0,0,0">
            <w:txbxContent>
              <w:p w14:paraId="10002C3D" w14:textId="77777777" w:rsidR="001008C3" w:rsidRDefault="001008C3">
                <w:pPr>
                  <w:spacing w:before="19"/>
                  <w:ind w:left="40"/>
                  <w:rPr>
                    <w:sz w:val="18"/>
                  </w:rPr>
                </w:pPr>
                <w:r>
                  <w:rPr>
                    <w:color w:val="231F20"/>
                    <w:sz w:val="18"/>
                  </w:rPr>
                  <w:t xml:space="preserve">468 </w:t>
                </w:r>
              </w:p>
            </w:txbxContent>
          </v:textbox>
          <w10:wrap anchorx="page" anchory="page"/>
        </v:shape>
      </w:pict>
    </w:r>
    <w:r>
      <w:rPr>
        <w:noProof w:val="0"/>
      </w:rPr>
      <w:pict w14:anchorId="1317CE91">
        <v:shape id="_x0000_s1208" type="#_x0000_t202" style="position:absolute;margin-left:238.95pt;margin-top:594.5pt;width:128.65pt;height:12.55pt;z-index:-451048;mso-position-horizontal-relative:page;mso-position-vertical-relative:page" filled="f" stroked="f">
          <v:textbox inset="0,0,0,0">
            <w:txbxContent>
              <w:p w14:paraId="33D68ED0" w14:textId="77777777" w:rsidR="001008C3" w:rsidRDefault="001008C3">
                <w:pPr>
                  <w:tabs>
                    <w:tab w:val="left" w:pos="2225"/>
                  </w:tabs>
                  <w:spacing w:before="19"/>
                  <w:ind w:left="20"/>
                  <w:rPr>
                    <w:sz w:val="14"/>
                  </w:rPr>
                </w:pPr>
                <w:r>
                  <w:rPr>
                    <w:color w:val="231F20"/>
                    <w:w w:val="115"/>
                    <w:sz w:val="18"/>
                  </w:rPr>
                  <w:t xml:space="preserve">&amp;   </w:t>
                </w:r>
                <w:r>
                  <w:rPr>
                    <w:color w:val="231F20"/>
                    <w:spacing w:val="15"/>
                    <w:w w:val="115"/>
                    <w:sz w:val="18"/>
                  </w:rPr>
                  <w:t xml:space="preserve">back  </w:t>
                </w:r>
                <w:r>
                  <w:rPr>
                    <w:color w:val="231F20"/>
                    <w:spacing w:val="10"/>
                    <w:w w:val="115"/>
                    <w:sz w:val="18"/>
                  </w:rPr>
                  <w:t xml:space="preserve">to </w:t>
                </w:r>
                <w:r>
                  <w:rPr>
                    <w:color w:val="231F20"/>
                    <w:spacing w:val="16"/>
                    <w:w w:val="115"/>
                    <w:sz w:val="18"/>
                  </w:rPr>
                  <w:t xml:space="preserve"> </w:t>
                </w:r>
                <w:r>
                  <w:rPr>
                    <w:color w:val="231F20"/>
                    <w:spacing w:val="15"/>
                    <w:w w:val="115"/>
                    <w:sz w:val="18"/>
                  </w:rPr>
                  <w:t xml:space="preserve">the </w:t>
                </w:r>
                <w:r>
                  <w:rPr>
                    <w:color w:val="231F20"/>
                    <w:spacing w:val="21"/>
                    <w:w w:val="115"/>
                    <w:sz w:val="18"/>
                  </w:rPr>
                  <w:t xml:space="preserve"> </w:t>
                </w:r>
                <w:r>
                  <w:rPr>
                    <w:color w:val="231F20"/>
                    <w:spacing w:val="15"/>
                    <w:w w:val="115"/>
                    <w:sz w:val="18"/>
                  </w:rPr>
                  <w:t>raf</w:t>
                </w:r>
                <w:r>
                  <w:rPr>
                    <w:color w:val="231F20"/>
                    <w:spacing w:val="15"/>
                    <w:w w:val="115"/>
                    <w:sz w:val="18"/>
                  </w:rPr>
                  <w:tab/>
                </w:r>
                <w:r>
                  <w:rPr>
                    <w:color w:val="231F20"/>
                    <w:spacing w:val="12"/>
                    <w:w w:val="105"/>
                    <w:sz w:val="14"/>
                  </w:rPr>
                  <w:t>(12)</w:t>
                </w:r>
                <w:r>
                  <w:rPr>
                    <w:color w:val="231F20"/>
                    <w:spacing w:val="-12"/>
                    <w:sz w:val="14"/>
                  </w:rPr>
                  <w:t xml:space="preserve"> </w:t>
                </w:r>
              </w:p>
            </w:txbxContent>
          </v:textbox>
          <w10:wrap anchorx="page" anchory="page"/>
        </v:shape>
      </w:pict>
    </w: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B91D9" w14:textId="77777777" w:rsidR="001008C3" w:rsidRDefault="00000000">
    <w:pPr>
      <w:pStyle w:val="a3"/>
      <w:spacing w:line="14" w:lineRule="auto"/>
    </w:pPr>
    <w:r>
      <w:rPr>
        <w:noProof w:val="0"/>
      </w:rPr>
      <w:pict w14:anchorId="135C58FC">
        <v:shapetype id="_x0000_t202" coordsize="21600,21600" o:spt="202" path="m,l,21600r21600,l21600,xe">
          <v:stroke joinstyle="miter"/>
          <v:path gradientshapeok="t" o:connecttype="rect"/>
        </v:shapetype>
        <v:shape id="_x0000_s1207" type="#_x0000_t202" style="position:absolute;margin-left:356.1pt;margin-top:594.5pt;width:20.8pt;height:12.55pt;z-index:-451024;mso-position-horizontal-relative:page;mso-position-vertical-relative:page" filled="f" stroked="f">
          <v:textbox inset="0,0,0,0">
            <w:txbxContent>
              <w:p w14:paraId="0BB3F7AB" w14:textId="77777777" w:rsidR="001008C3" w:rsidRDefault="001008C3">
                <w:pPr>
                  <w:spacing w:before="19"/>
                  <w:ind w:left="20"/>
                  <w:rPr>
                    <w:sz w:val="18"/>
                  </w:rPr>
                </w:pPr>
                <w:r>
                  <w:rPr>
                    <w:color w:val="231F20"/>
                    <w:sz w:val="18"/>
                  </w:rPr>
                  <w:t xml:space="preserve">469 </w:t>
                </w:r>
              </w:p>
            </w:txbxContent>
          </v:textbox>
          <w10:wrap anchorx="page" anchory="page"/>
        </v:shape>
      </w:pict>
    </w:r>
  </w:p>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B5093" w14:textId="77777777" w:rsidR="001008C3" w:rsidRDefault="00000000">
    <w:pPr>
      <w:pStyle w:val="a3"/>
      <w:spacing w:line="14" w:lineRule="auto"/>
    </w:pPr>
    <w:r>
      <w:rPr>
        <w:noProof w:val="0"/>
      </w:rPr>
      <w:pict w14:anchorId="58CE79E3">
        <v:shapetype id="_x0000_t202" coordsize="21600,21600" o:spt="202" path="m,l,21600r21600,l21600,xe">
          <v:stroke joinstyle="miter"/>
          <v:path gradientshapeok="t" o:connecttype="rect"/>
        </v:shapetype>
        <v:shape id="_x0000_s1206" type="#_x0000_t202" style="position:absolute;margin-left:55.4pt;margin-top:594.5pt;width:22.8pt;height:12.55pt;z-index:-451000;mso-position-horizontal-relative:page;mso-position-vertical-relative:page" filled="f" stroked="f">
          <v:textbox inset="0,0,0,0">
            <w:txbxContent>
              <w:p w14:paraId="7E3ADE90" w14:textId="77777777" w:rsidR="001008C3" w:rsidRDefault="001008C3">
                <w:pPr>
                  <w:spacing w:before="19"/>
                  <w:ind w:left="40"/>
                  <w:rPr>
                    <w:sz w:val="18"/>
                  </w:rPr>
                </w:pPr>
                <w:r>
                  <w:rPr>
                    <w:color w:val="231F20"/>
                    <w:sz w:val="18"/>
                  </w:rPr>
                  <w:t xml:space="preserve">470 </w:t>
                </w:r>
              </w:p>
            </w:txbxContent>
          </v:textbox>
          <w10:wrap anchorx="page" anchory="page"/>
        </v:shape>
      </w:pict>
    </w:r>
    <w:r>
      <w:rPr>
        <w:noProof w:val="0"/>
      </w:rPr>
      <w:pict w14:anchorId="0426D81A">
        <v:shape id="_x0000_s1205" type="#_x0000_t202" style="position:absolute;margin-left:142.85pt;margin-top:594.5pt;width:224.75pt;height:12.55pt;z-index:-450976;mso-position-horizontal-relative:page;mso-position-vertical-relative:page" filled="f" stroked="f">
          <v:textbox inset="0,0,0,0">
            <w:txbxContent>
              <w:p w14:paraId="4B2E7E10" w14:textId="77777777" w:rsidR="001008C3" w:rsidRDefault="001008C3">
                <w:pPr>
                  <w:tabs>
                    <w:tab w:val="left" w:pos="4147"/>
                  </w:tabs>
                  <w:spacing w:before="19"/>
                  <w:ind w:left="20"/>
                  <w:rPr>
                    <w:sz w:val="14"/>
                  </w:rPr>
                </w:pPr>
                <w:r>
                  <w:rPr>
                    <w:color w:val="231F20"/>
                    <w:spacing w:val="18"/>
                    <w:w w:val="120"/>
                    <w:sz w:val="18"/>
                  </w:rPr>
                  <w:t xml:space="preserve">daring  </w:t>
                </w:r>
                <w:r>
                  <w:rPr>
                    <w:color w:val="231F20"/>
                    <w:spacing w:val="10"/>
                    <w:w w:val="120"/>
                    <w:sz w:val="18"/>
                  </w:rPr>
                  <w:t xml:space="preserve">to   </w:t>
                </w:r>
                <w:r>
                  <w:rPr>
                    <w:color w:val="231F20"/>
                    <w:spacing w:val="20"/>
                    <w:w w:val="120"/>
                    <w:sz w:val="18"/>
                  </w:rPr>
                  <w:t>struggle,  failing</w:t>
                </w:r>
                <w:r>
                  <w:rPr>
                    <w:color w:val="231F20"/>
                    <w:spacing w:val="26"/>
                    <w:w w:val="120"/>
                    <w:sz w:val="18"/>
                  </w:rPr>
                  <w:t xml:space="preserve"> </w:t>
                </w:r>
                <w:r>
                  <w:rPr>
                    <w:color w:val="231F20"/>
                    <w:spacing w:val="10"/>
                    <w:w w:val="120"/>
                    <w:sz w:val="18"/>
                  </w:rPr>
                  <w:t xml:space="preserve">to </w:t>
                </w:r>
                <w:r>
                  <w:rPr>
                    <w:color w:val="231F20"/>
                    <w:spacing w:val="22"/>
                    <w:w w:val="120"/>
                    <w:sz w:val="18"/>
                  </w:rPr>
                  <w:t xml:space="preserve"> </w:t>
                </w:r>
                <w:r>
                  <w:rPr>
                    <w:color w:val="231F20"/>
                    <w:spacing w:val="15"/>
                    <w:w w:val="120"/>
                    <w:sz w:val="18"/>
                  </w:rPr>
                  <w:t>win</w:t>
                </w:r>
                <w:r>
                  <w:rPr>
                    <w:color w:val="231F20"/>
                    <w:spacing w:val="15"/>
                    <w:w w:val="120"/>
                    <w:sz w:val="18"/>
                  </w:rPr>
                  <w:tab/>
                </w:r>
                <w:r>
                  <w:rPr>
                    <w:color w:val="231F20"/>
                    <w:spacing w:val="12"/>
                    <w:w w:val="105"/>
                    <w:sz w:val="14"/>
                  </w:rPr>
                  <w:t>(13)</w:t>
                </w:r>
                <w:r>
                  <w:rPr>
                    <w:color w:val="231F20"/>
                    <w:spacing w:val="-12"/>
                    <w:sz w:val="14"/>
                  </w:rPr>
                  <w:t xml:space="preserve"> </w:t>
                </w:r>
              </w:p>
            </w:txbxContent>
          </v:textbox>
          <w10:wrap anchorx="page" anchory="page"/>
        </v:shape>
      </w:pic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7BC01" w14:textId="77777777" w:rsidR="001008C3" w:rsidRDefault="00000000">
    <w:pPr>
      <w:pStyle w:val="a3"/>
      <w:spacing w:line="14" w:lineRule="auto"/>
    </w:pPr>
    <w:r>
      <w:rPr>
        <w:noProof w:val="0"/>
      </w:rPr>
      <w:pict w14:anchorId="613D20BB">
        <v:shapetype id="_x0000_t202" coordsize="21600,21600" o:spt="202" path="m,l,21600r21600,l21600,xe">
          <v:stroke joinstyle="miter"/>
          <v:path gradientshapeok="t" o:connecttype="rect"/>
        </v:shapetype>
        <v:shape id="_x0000_s1202" type="#_x0000_t202" style="position:absolute;margin-left:55.4pt;margin-top:594.5pt;width:22.8pt;height:12.55pt;z-index:-450904;mso-position-horizontal-relative:page;mso-position-vertical-relative:page" filled="f" stroked="f">
          <v:textbox inset="0,0,0,0">
            <w:txbxContent>
              <w:p w14:paraId="12006D47"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472</w:t>
                </w:r>
                <w:r>
                  <w:fldChar w:fldCharType="end"/>
                </w:r>
                <w:r>
                  <w:rPr>
                    <w:color w:val="231F20"/>
                    <w:sz w:val="18"/>
                  </w:rPr>
                  <w:t xml:space="preserve"> </w:t>
                </w:r>
              </w:p>
            </w:txbxContent>
          </v:textbox>
          <w10:wrap anchorx="page" anchory="page"/>
        </v:shape>
      </w:pict>
    </w:r>
    <w:r>
      <w:rPr>
        <w:noProof w:val="0"/>
      </w:rPr>
      <w:pict w14:anchorId="011D841F">
        <v:shape id="_x0000_s1201" type="#_x0000_t202" style="position:absolute;margin-left:142.85pt;margin-top:594.5pt;width:224.75pt;height:12.55pt;z-index:-450880;mso-position-horizontal-relative:page;mso-position-vertical-relative:page" filled="f" stroked="f">
          <v:textbox inset="0,0,0,0">
            <w:txbxContent>
              <w:p w14:paraId="332FCBDD" w14:textId="77777777" w:rsidR="001008C3" w:rsidRDefault="001008C3">
                <w:pPr>
                  <w:tabs>
                    <w:tab w:val="left" w:pos="4147"/>
                  </w:tabs>
                  <w:spacing w:before="19"/>
                  <w:ind w:left="20"/>
                  <w:rPr>
                    <w:sz w:val="14"/>
                  </w:rPr>
                </w:pPr>
                <w:r>
                  <w:rPr>
                    <w:color w:val="231F20"/>
                    <w:spacing w:val="18"/>
                    <w:w w:val="120"/>
                    <w:sz w:val="18"/>
                  </w:rPr>
                  <w:t xml:space="preserve">daring  </w:t>
                </w:r>
                <w:r>
                  <w:rPr>
                    <w:color w:val="231F20"/>
                    <w:spacing w:val="10"/>
                    <w:w w:val="120"/>
                    <w:sz w:val="18"/>
                  </w:rPr>
                  <w:t xml:space="preserve">to   </w:t>
                </w:r>
                <w:r>
                  <w:rPr>
                    <w:color w:val="231F20"/>
                    <w:spacing w:val="20"/>
                    <w:w w:val="120"/>
                    <w:sz w:val="18"/>
                  </w:rPr>
                  <w:t>struggle,  failing</w:t>
                </w:r>
                <w:r>
                  <w:rPr>
                    <w:color w:val="231F20"/>
                    <w:spacing w:val="26"/>
                    <w:w w:val="120"/>
                    <w:sz w:val="18"/>
                  </w:rPr>
                  <w:t xml:space="preserve"> </w:t>
                </w:r>
                <w:r>
                  <w:rPr>
                    <w:color w:val="231F20"/>
                    <w:spacing w:val="10"/>
                    <w:w w:val="120"/>
                    <w:sz w:val="18"/>
                  </w:rPr>
                  <w:t xml:space="preserve">to </w:t>
                </w:r>
                <w:r>
                  <w:rPr>
                    <w:color w:val="231F20"/>
                    <w:spacing w:val="22"/>
                    <w:w w:val="120"/>
                    <w:sz w:val="18"/>
                  </w:rPr>
                  <w:t xml:space="preserve"> </w:t>
                </w:r>
                <w:r>
                  <w:rPr>
                    <w:color w:val="231F20"/>
                    <w:spacing w:val="15"/>
                    <w:w w:val="120"/>
                    <w:sz w:val="18"/>
                  </w:rPr>
                  <w:t>win</w:t>
                </w:r>
                <w:r>
                  <w:rPr>
                    <w:color w:val="231F20"/>
                    <w:spacing w:val="15"/>
                    <w:w w:val="120"/>
                    <w:sz w:val="18"/>
                  </w:rPr>
                  <w:tab/>
                </w:r>
                <w:r>
                  <w:rPr>
                    <w:color w:val="231F20"/>
                    <w:spacing w:val="12"/>
                    <w:w w:val="105"/>
                    <w:sz w:val="14"/>
                  </w:rPr>
                  <w:t>(13)</w:t>
                </w:r>
                <w:r>
                  <w:rPr>
                    <w:color w:val="231F20"/>
                    <w:spacing w:val="-12"/>
                    <w:sz w:val="14"/>
                  </w:rPr>
                  <w:t xml:space="preserve"> </w:t>
                </w:r>
              </w:p>
            </w:txbxContent>
          </v:textbox>
          <w10:wrap anchorx="page" anchory="page"/>
        </v:shape>
      </w:pict>
    </w: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672AB" w14:textId="77777777" w:rsidR="001008C3" w:rsidRDefault="00000000">
    <w:pPr>
      <w:pStyle w:val="a3"/>
      <w:spacing w:line="14" w:lineRule="auto"/>
    </w:pPr>
    <w:r>
      <w:rPr>
        <w:noProof w:val="0"/>
      </w:rPr>
      <w:pict w14:anchorId="64625919">
        <v:shapetype id="_x0000_t202" coordsize="21600,21600" o:spt="202" path="m,l,21600r21600,l21600,xe">
          <v:stroke joinstyle="miter"/>
          <v:path gradientshapeok="t" o:connecttype="rect"/>
        </v:shapetype>
        <v:shape id="_x0000_s1204" type="#_x0000_t202" style="position:absolute;margin-left:65.4pt;margin-top:594.5pt;width:116.6pt;height:12.55pt;z-index:-450952;mso-position-horizontal-relative:page;mso-position-vertical-relative:page" filled="f" stroked="f">
          <v:textbox inset="0,0,0,0">
            <w:txbxContent>
              <w:p w14:paraId="3A538B4F"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2C010AFF">
        <v:shape id="_x0000_s1203" type="#_x0000_t202" style="position:absolute;margin-left:355.1pt;margin-top:594.5pt;width:22.8pt;height:12.55pt;z-index:-450928;mso-position-horizontal-relative:page;mso-position-vertical-relative:page" filled="f" stroked="f">
          <v:textbox inset="0,0,0,0">
            <w:txbxContent>
              <w:p w14:paraId="4A2BC16B"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471</w:t>
                </w:r>
                <w:r>
                  <w:fldChar w:fldCharType="end"/>
                </w:r>
                <w:r>
                  <w:rPr>
                    <w:color w:val="231F20"/>
                    <w:sz w:val="18"/>
                  </w:rPr>
                  <w:t xml:space="preserve"> </w:t>
                </w:r>
              </w:p>
            </w:txbxContent>
          </v:textbox>
          <w10:wrap anchorx="page" anchory="page"/>
        </v:shape>
      </w:pict>
    </w:r>
  </w:p>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F242D" w14:textId="77777777" w:rsidR="001008C3" w:rsidRDefault="00000000">
    <w:pPr>
      <w:pStyle w:val="a3"/>
      <w:spacing w:line="14" w:lineRule="auto"/>
    </w:pPr>
    <w:r>
      <w:rPr>
        <w:noProof w:val="0"/>
      </w:rPr>
      <w:pict w14:anchorId="3F0FA1B1">
        <v:shapetype id="_x0000_t202" coordsize="21600,21600" o:spt="202" path="m,l,21600r21600,l21600,xe">
          <v:stroke joinstyle="miter"/>
          <v:path gradientshapeok="t" o:connecttype="rect"/>
        </v:shapetype>
        <v:shape id="_x0000_s1198" type="#_x0000_t202" style="position:absolute;margin-left:65.4pt;margin-top:594.5pt;width:116.6pt;height:12.55pt;z-index:-450808;mso-position-horizontal-relative:page;mso-position-vertical-relative:page" filled="f" stroked="f">
          <v:textbox inset="0,0,0,0">
            <w:txbxContent>
              <w:p w14:paraId="47C49262"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55BAE0F6">
        <v:shape id="_x0000_s1197" type="#_x0000_t202" style="position:absolute;margin-left:356.1pt;margin-top:594.5pt;width:20.8pt;height:12.55pt;z-index:-450784;mso-position-horizontal-relative:page;mso-position-vertical-relative:page" filled="f" stroked="f">
          <v:textbox inset="0,0,0,0">
            <w:txbxContent>
              <w:p w14:paraId="719DC755" w14:textId="77777777" w:rsidR="001008C3" w:rsidRDefault="001008C3">
                <w:pPr>
                  <w:spacing w:before="19"/>
                  <w:ind w:left="20"/>
                  <w:rPr>
                    <w:sz w:val="18"/>
                  </w:rPr>
                </w:pPr>
                <w:r>
                  <w:rPr>
                    <w:color w:val="231F20"/>
                    <w:sz w:val="18"/>
                  </w:rPr>
                  <w:t xml:space="preserve">481 </w:t>
                </w:r>
              </w:p>
            </w:txbxContent>
          </v:textbox>
          <w10:wrap anchorx="page" anchory="page"/>
        </v:shape>
      </w:pict>
    </w: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C1884" w14:textId="77777777" w:rsidR="001008C3" w:rsidRDefault="00000000">
    <w:pPr>
      <w:pStyle w:val="a3"/>
      <w:spacing w:line="14" w:lineRule="auto"/>
    </w:pPr>
    <w:r>
      <w:rPr>
        <w:noProof w:val="0"/>
      </w:rPr>
      <w:pict w14:anchorId="7D551927">
        <v:shapetype id="_x0000_t202" coordsize="21600,21600" o:spt="202" path="m,l,21600r21600,l21600,xe">
          <v:stroke joinstyle="miter"/>
          <v:path gradientshapeok="t" o:connecttype="rect"/>
        </v:shapetype>
        <v:shape id="_x0000_s1200" type="#_x0000_t202" style="position:absolute;margin-left:56.4pt;margin-top:594.5pt;width:20.8pt;height:12.55pt;z-index:-450856;mso-position-horizontal-relative:page;mso-position-vertical-relative:page" filled="f" stroked="f">
          <v:textbox inset="0,0,0,0">
            <w:txbxContent>
              <w:p w14:paraId="6D58556A" w14:textId="77777777" w:rsidR="001008C3" w:rsidRDefault="001008C3">
                <w:pPr>
                  <w:spacing w:before="19"/>
                  <w:ind w:left="20"/>
                  <w:rPr>
                    <w:sz w:val="18"/>
                  </w:rPr>
                </w:pPr>
                <w:r>
                  <w:rPr>
                    <w:color w:val="231F20"/>
                    <w:sz w:val="18"/>
                  </w:rPr>
                  <w:t xml:space="preserve">480 </w:t>
                </w:r>
              </w:p>
            </w:txbxContent>
          </v:textbox>
          <w10:wrap anchorx="page" anchory="page"/>
        </v:shape>
      </w:pict>
    </w:r>
    <w:r>
      <w:rPr>
        <w:noProof w:val="0"/>
      </w:rPr>
      <w:pict w14:anchorId="44B2DA90">
        <v:shape id="_x0000_s1199" type="#_x0000_t202" style="position:absolute;margin-left:142.85pt;margin-top:594.5pt;width:224.75pt;height:12.55pt;z-index:-450832;mso-position-horizontal-relative:page;mso-position-vertical-relative:page" filled="f" stroked="f">
          <v:textbox inset="0,0,0,0">
            <w:txbxContent>
              <w:p w14:paraId="369C397D" w14:textId="77777777" w:rsidR="001008C3" w:rsidRDefault="001008C3">
                <w:pPr>
                  <w:tabs>
                    <w:tab w:val="left" w:pos="4147"/>
                  </w:tabs>
                  <w:spacing w:before="19"/>
                  <w:ind w:left="20"/>
                  <w:rPr>
                    <w:sz w:val="14"/>
                  </w:rPr>
                </w:pPr>
                <w:r>
                  <w:rPr>
                    <w:color w:val="231F20"/>
                    <w:spacing w:val="18"/>
                    <w:w w:val="120"/>
                    <w:sz w:val="18"/>
                  </w:rPr>
                  <w:t xml:space="preserve">daring  </w:t>
                </w:r>
                <w:r>
                  <w:rPr>
                    <w:color w:val="231F20"/>
                    <w:spacing w:val="10"/>
                    <w:w w:val="120"/>
                    <w:sz w:val="18"/>
                  </w:rPr>
                  <w:t xml:space="preserve">to   </w:t>
                </w:r>
                <w:r>
                  <w:rPr>
                    <w:color w:val="231F20"/>
                    <w:spacing w:val="20"/>
                    <w:w w:val="120"/>
                    <w:sz w:val="18"/>
                  </w:rPr>
                  <w:t>struggle,  failing</w:t>
                </w:r>
                <w:r>
                  <w:rPr>
                    <w:color w:val="231F20"/>
                    <w:spacing w:val="26"/>
                    <w:w w:val="120"/>
                    <w:sz w:val="18"/>
                  </w:rPr>
                  <w:t xml:space="preserve"> </w:t>
                </w:r>
                <w:r>
                  <w:rPr>
                    <w:color w:val="231F20"/>
                    <w:spacing w:val="10"/>
                    <w:w w:val="120"/>
                    <w:sz w:val="18"/>
                  </w:rPr>
                  <w:t xml:space="preserve">to </w:t>
                </w:r>
                <w:r>
                  <w:rPr>
                    <w:color w:val="231F20"/>
                    <w:spacing w:val="22"/>
                    <w:w w:val="120"/>
                    <w:sz w:val="18"/>
                  </w:rPr>
                  <w:t xml:space="preserve"> </w:t>
                </w:r>
                <w:r>
                  <w:rPr>
                    <w:color w:val="231F20"/>
                    <w:spacing w:val="15"/>
                    <w:w w:val="120"/>
                    <w:sz w:val="18"/>
                  </w:rPr>
                  <w:t>win</w:t>
                </w:r>
                <w:r>
                  <w:rPr>
                    <w:color w:val="231F20"/>
                    <w:spacing w:val="15"/>
                    <w:w w:val="120"/>
                    <w:sz w:val="18"/>
                  </w:rPr>
                  <w:tab/>
                </w:r>
                <w:r>
                  <w:rPr>
                    <w:color w:val="231F20"/>
                    <w:spacing w:val="12"/>
                    <w:w w:val="105"/>
                    <w:sz w:val="14"/>
                  </w:rPr>
                  <w:t>(13)</w:t>
                </w:r>
                <w:r>
                  <w:rPr>
                    <w:color w:val="231F20"/>
                    <w:spacing w:val="-12"/>
                    <w:sz w:val="14"/>
                  </w:rPr>
                  <w:t xml:space="preserve"> </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76AA0" w14:textId="77777777" w:rsidR="001008C3" w:rsidRDefault="00000000">
    <w:pPr>
      <w:pStyle w:val="a3"/>
      <w:spacing w:line="14" w:lineRule="auto"/>
    </w:pPr>
    <w:r>
      <w:rPr>
        <w:noProof w:val="0"/>
      </w:rPr>
      <w:pict w14:anchorId="7DB6C294">
        <v:shapetype id="_x0000_t202" coordsize="21600,21600" o:spt="202" path="m,l,21600r21600,l21600,xe">
          <v:stroke joinstyle="miter"/>
          <v:path gradientshapeok="t" o:connecttype="rect"/>
        </v:shapetype>
        <v:shape id="_x0000_s1699" type="#_x0000_t202" style="position:absolute;margin-left:55.4pt;margin-top:594.5pt;width:16.55pt;height:12.55pt;z-index:-462832;mso-position-horizontal-relative:page;mso-position-vertical-relative:page" filled="f" stroked="f">
          <v:textbox inset="0,0,0,0">
            <w:txbxContent>
              <w:p w14:paraId="175F498A"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48</w:t>
                </w:r>
                <w:r>
                  <w:fldChar w:fldCharType="end"/>
                </w:r>
                <w:r>
                  <w:rPr>
                    <w:color w:val="231F20"/>
                    <w:sz w:val="18"/>
                  </w:rPr>
                  <w:t xml:space="preserve"> </w:t>
                </w:r>
              </w:p>
            </w:txbxContent>
          </v:textbox>
          <w10:wrap anchorx="page" anchory="page"/>
        </v:shape>
      </w:pict>
    </w:r>
    <w:r>
      <w:rPr>
        <w:noProof w:val="0"/>
      </w:rPr>
      <w:pict w14:anchorId="675397C8">
        <v:shape id="_x0000_s1698" type="#_x0000_t202" style="position:absolute;margin-left:243pt;margin-top:594.5pt;width:124.6pt;height:12.55pt;z-index:-462808;mso-position-horizontal-relative:page;mso-position-vertical-relative:page" filled="f" stroked="f">
          <v:textbox inset="0,0,0,0">
            <w:txbxContent>
              <w:p w14:paraId="17A9FA74" w14:textId="77777777" w:rsidR="001008C3" w:rsidRDefault="001008C3">
                <w:pPr>
                  <w:tabs>
                    <w:tab w:val="left" w:pos="2242"/>
                  </w:tabs>
                  <w:spacing w:before="19"/>
                  <w:ind w:left="20"/>
                  <w:rPr>
                    <w:sz w:val="14"/>
                  </w:rPr>
                </w:pPr>
                <w:r>
                  <w:rPr>
                    <w:color w:val="231F20"/>
                    <w:spacing w:val="20"/>
                    <w:w w:val="110"/>
                    <w:sz w:val="18"/>
                  </w:rPr>
                  <w:t xml:space="preserve">taking  </w:t>
                </w:r>
                <w:r>
                  <w:rPr>
                    <w:color w:val="231F20"/>
                    <w:spacing w:val="11"/>
                    <w:w w:val="110"/>
                    <w:sz w:val="18"/>
                  </w:rPr>
                  <w:t xml:space="preserve">up </w:t>
                </w:r>
                <w:r>
                  <w:rPr>
                    <w:color w:val="231F20"/>
                    <w:spacing w:val="33"/>
                    <w:w w:val="110"/>
                    <w:sz w:val="18"/>
                  </w:rPr>
                  <w:t xml:space="preserve"> </w:t>
                </w:r>
                <w:r>
                  <w:rPr>
                    <w:color w:val="231F20"/>
                    <w:spacing w:val="15"/>
                    <w:w w:val="110"/>
                    <w:sz w:val="18"/>
                  </w:rPr>
                  <w:t xml:space="preserve">the </w:t>
                </w:r>
                <w:r>
                  <w:rPr>
                    <w:color w:val="231F20"/>
                    <w:spacing w:val="28"/>
                    <w:w w:val="110"/>
                    <w:sz w:val="18"/>
                  </w:rPr>
                  <w:t xml:space="preserve"> </w:t>
                </w:r>
                <w:r>
                  <w:rPr>
                    <w:color w:val="231F20"/>
                    <w:spacing w:val="15"/>
                    <w:w w:val="110"/>
                    <w:sz w:val="18"/>
                  </w:rPr>
                  <w:t>gun</w:t>
                </w:r>
                <w:r>
                  <w:rPr>
                    <w:color w:val="231F20"/>
                    <w:spacing w:val="15"/>
                    <w:w w:val="110"/>
                    <w:sz w:val="18"/>
                  </w:rPr>
                  <w:tab/>
                </w:r>
                <w:r>
                  <w:rPr>
                    <w:color w:val="231F20"/>
                    <w:spacing w:val="11"/>
                    <w:w w:val="105"/>
                    <w:sz w:val="14"/>
                  </w:rPr>
                  <w:t>(3)</w:t>
                </w:r>
                <w:r>
                  <w:rPr>
                    <w:color w:val="231F20"/>
                    <w:spacing w:val="-12"/>
                    <w:sz w:val="14"/>
                  </w:rPr>
                  <w:t xml:space="preserve"> </w:t>
                </w:r>
              </w:p>
            </w:txbxContent>
          </v:textbox>
          <w10:wrap anchorx="page" anchory="page"/>
        </v:shape>
      </w:pict>
    </w:r>
  </w:p>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112E1" w14:textId="77777777" w:rsidR="001008C3" w:rsidRDefault="00000000">
    <w:pPr>
      <w:pStyle w:val="a3"/>
      <w:spacing w:line="14" w:lineRule="auto"/>
    </w:pPr>
    <w:r>
      <w:rPr>
        <w:noProof w:val="0"/>
      </w:rPr>
      <w:pict w14:anchorId="1C77A7A6">
        <v:shapetype id="_x0000_t202" coordsize="21600,21600" o:spt="202" path="m,l,21600r21600,l21600,xe">
          <v:stroke joinstyle="miter"/>
          <v:path gradientshapeok="t" o:connecttype="rect"/>
        </v:shapetype>
        <v:shape id="_x0000_s1196" type="#_x0000_t202" style="position:absolute;margin-left:55.4pt;margin-top:594.5pt;width:22.8pt;height:12.55pt;z-index:-450760;mso-position-horizontal-relative:page;mso-position-vertical-relative:page" filled="f" stroked="f">
          <v:textbox inset="0,0,0,0">
            <w:txbxContent>
              <w:p w14:paraId="61AADF18"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482</w:t>
                </w:r>
                <w:r>
                  <w:fldChar w:fldCharType="end"/>
                </w:r>
                <w:r>
                  <w:rPr>
                    <w:color w:val="231F20"/>
                    <w:sz w:val="18"/>
                  </w:rPr>
                  <w:t xml:space="preserve"> </w:t>
                </w:r>
              </w:p>
            </w:txbxContent>
          </v:textbox>
          <w10:wrap anchorx="page" anchory="page"/>
        </v:shape>
      </w:pict>
    </w:r>
    <w:r>
      <w:rPr>
        <w:noProof w:val="0"/>
      </w:rPr>
      <w:pict w14:anchorId="35673CE8">
        <v:shape id="_x0000_s1195" type="#_x0000_t202" style="position:absolute;margin-left:142.85pt;margin-top:594.5pt;width:224.75pt;height:12.55pt;z-index:-450736;mso-position-horizontal-relative:page;mso-position-vertical-relative:page" filled="f" stroked="f">
          <v:textbox inset="0,0,0,0">
            <w:txbxContent>
              <w:p w14:paraId="1C1DCF39" w14:textId="77777777" w:rsidR="001008C3" w:rsidRDefault="001008C3">
                <w:pPr>
                  <w:tabs>
                    <w:tab w:val="left" w:pos="4147"/>
                  </w:tabs>
                  <w:spacing w:before="19"/>
                  <w:ind w:left="20"/>
                  <w:rPr>
                    <w:sz w:val="14"/>
                  </w:rPr>
                </w:pPr>
                <w:r>
                  <w:rPr>
                    <w:color w:val="231F20"/>
                    <w:spacing w:val="18"/>
                    <w:w w:val="120"/>
                    <w:sz w:val="18"/>
                  </w:rPr>
                  <w:t xml:space="preserve">daring  </w:t>
                </w:r>
                <w:r>
                  <w:rPr>
                    <w:color w:val="231F20"/>
                    <w:spacing w:val="10"/>
                    <w:w w:val="120"/>
                    <w:sz w:val="18"/>
                  </w:rPr>
                  <w:t xml:space="preserve">to   </w:t>
                </w:r>
                <w:r>
                  <w:rPr>
                    <w:color w:val="231F20"/>
                    <w:spacing w:val="20"/>
                    <w:w w:val="120"/>
                    <w:sz w:val="18"/>
                  </w:rPr>
                  <w:t>struggle,  failing</w:t>
                </w:r>
                <w:r>
                  <w:rPr>
                    <w:color w:val="231F20"/>
                    <w:spacing w:val="26"/>
                    <w:w w:val="120"/>
                    <w:sz w:val="18"/>
                  </w:rPr>
                  <w:t xml:space="preserve"> </w:t>
                </w:r>
                <w:r>
                  <w:rPr>
                    <w:color w:val="231F20"/>
                    <w:spacing w:val="10"/>
                    <w:w w:val="120"/>
                    <w:sz w:val="18"/>
                  </w:rPr>
                  <w:t xml:space="preserve">to </w:t>
                </w:r>
                <w:r>
                  <w:rPr>
                    <w:color w:val="231F20"/>
                    <w:spacing w:val="22"/>
                    <w:w w:val="120"/>
                    <w:sz w:val="18"/>
                  </w:rPr>
                  <w:t xml:space="preserve"> </w:t>
                </w:r>
                <w:r>
                  <w:rPr>
                    <w:color w:val="231F20"/>
                    <w:spacing w:val="15"/>
                    <w:w w:val="120"/>
                    <w:sz w:val="18"/>
                  </w:rPr>
                  <w:t>win</w:t>
                </w:r>
                <w:r>
                  <w:rPr>
                    <w:color w:val="231F20"/>
                    <w:spacing w:val="15"/>
                    <w:w w:val="120"/>
                    <w:sz w:val="18"/>
                  </w:rPr>
                  <w:tab/>
                </w:r>
                <w:r>
                  <w:rPr>
                    <w:color w:val="231F20"/>
                    <w:spacing w:val="12"/>
                    <w:w w:val="105"/>
                    <w:sz w:val="14"/>
                  </w:rPr>
                  <w:t>(13)</w:t>
                </w:r>
                <w:r>
                  <w:rPr>
                    <w:color w:val="231F20"/>
                    <w:spacing w:val="-12"/>
                    <w:sz w:val="14"/>
                  </w:rPr>
                  <w:t xml:space="preserve"> </w:t>
                </w:r>
              </w:p>
            </w:txbxContent>
          </v:textbox>
          <w10:wrap anchorx="page" anchory="page"/>
        </v:shape>
      </w:pict>
    </w:r>
  </w:p>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CF1AB" w14:textId="77777777" w:rsidR="001008C3" w:rsidRDefault="00000000">
    <w:pPr>
      <w:pStyle w:val="a3"/>
      <w:spacing w:line="14" w:lineRule="auto"/>
    </w:pPr>
    <w:r>
      <w:rPr>
        <w:noProof w:val="0"/>
      </w:rPr>
      <w:pict w14:anchorId="5498738F">
        <v:shapetype id="_x0000_t202" coordsize="21600,21600" o:spt="202" path="m,l,21600r21600,l21600,xe">
          <v:stroke joinstyle="miter"/>
          <v:path gradientshapeok="t" o:connecttype="rect"/>
        </v:shapetype>
        <v:shape id="_x0000_s1194" type="#_x0000_t202" style="position:absolute;margin-left:65.4pt;margin-top:594.5pt;width:116.6pt;height:12.55pt;z-index:-450712;mso-position-horizontal-relative:page;mso-position-vertical-relative:page" filled="f" stroked="f">
          <v:textbox inset="0,0,0,0">
            <w:txbxContent>
              <w:p w14:paraId="1EF4ECDA"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779628A3">
        <v:shape id="_x0000_s1193" type="#_x0000_t202" style="position:absolute;margin-left:355.1pt;margin-top:594.5pt;width:22.8pt;height:12.55pt;z-index:-450688;mso-position-horizontal-relative:page;mso-position-vertical-relative:page" filled="f" stroked="f">
          <v:textbox inset="0,0,0,0">
            <w:txbxContent>
              <w:p w14:paraId="6E60A4A6"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483</w:t>
                </w:r>
                <w:r>
                  <w:fldChar w:fldCharType="end"/>
                </w:r>
                <w:r>
                  <w:rPr>
                    <w:color w:val="231F20"/>
                    <w:sz w:val="18"/>
                  </w:rPr>
                  <w:t xml:space="preserve"> </w:t>
                </w:r>
              </w:p>
            </w:txbxContent>
          </v:textbox>
          <w10:wrap anchorx="page" anchory="page"/>
        </v:shape>
      </w:pic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A705F" w14:textId="77777777" w:rsidR="001008C3" w:rsidRDefault="00000000">
    <w:pPr>
      <w:pStyle w:val="a3"/>
      <w:spacing w:line="14" w:lineRule="auto"/>
    </w:pPr>
    <w:r>
      <w:rPr>
        <w:noProof w:val="0"/>
      </w:rPr>
      <w:pict w14:anchorId="56A1E070">
        <v:shapetype id="_x0000_t202" coordsize="21600,21600" o:spt="202" path="m,l,21600r21600,l21600,xe">
          <v:stroke joinstyle="miter"/>
          <v:path gradientshapeok="t" o:connecttype="rect"/>
        </v:shapetype>
        <v:shape id="_x0000_s1190" type="#_x0000_t202" style="position:absolute;margin-left:55.4pt;margin-top:594.5pt;width:22.8pt;height:12.55pt;z-index:-450616;mso-position-horizontal-relative:page;mso-position-vertical-relative:page" filled="f" stroked="f">
          <v:textbox inset="0,0,0,0">
            <w:txbxContent>
              <w:p w14:paraId="7525FBD5"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488</w:t>
                </w:r>
                <w:r>
                  <w:fldChar w:fldCharType="end"/>
                </w:r>
                <w:r>
                  <w:rPr>
                    <w:color w:val="231F20"/>
                    <w:sz w:val="18"/>
                  </w:rPr>
                  <w:t xml:space="preserve"> </w:t>
                </w:r>
              </w:p>
            </w:txbxContent>
          </v:textbox>
          <w10:wrap anchorx="page" anchory="page"/>
        </v:shape>
      </w:pict>
    </w:r>
    <w:r>
      <w:rPr>
        <w:noProof w:val="0"/>
      </w:rPr>
      <w:pict w14:anchorId="1B2BFFD5">
        <v:shape id="_x0000_s1189" type="#_x0000_t202" style="position:absolute;margin-left:142.85pt;margin-top:594.5pt;width:224.75pt;height:12.55pt;z-index:-450592;mso-position-horizontal-relative:page;mso-position-vertical-relative:page" filled="f" stroked="f">
          <v:textbox inset="0,0,0,0">
            <w:txbxContent>
              <w:p w14:paraId="70942B25" w14:textId="77777777" w:rsidR="001008C3" w:rsidRDefault="001008C3">
                <w:pPr>
                  <w:tabs>
                    <w:tab w:val="left" w:pos="4147"/>
                  </w:tabs>
                  <w:spacing w:before="19"/>
                  <w:ind w:left="20"/>
                  <w:rPr>
                    <w:sz w:val="14"/>
                  </w:rPr>
                </w:pPr>
                <w:r>
                  <w:rPr>
                    <w:color w:val="231F20"/>
                    <w:spacing w:val="18"/>
                    <w:w w:val="120"/>
                    <w:sz w:val="18"/>
                  </w:rPr>
                  <w:t xml:space="preserve">daring  </w:t>
                </w:r>
                <w:r>
                  <w:rPr>
                    <w:color w:val="231F20"/>
                    <w:spacing w:val="10"/>
                    <w:w w:val="120"/>
                    <w:sz w:val="18"/>
                  </w:rPr>
                  <w:t xml:space="preserve">to   </w:t>
                </w:r>
                <w:r>
                  <w:rPr>
                    <w:color w:val="231F20"/>
                    <w:spacing w:val="20"/>
                    <w:w w:val="120"/>
                    <w:sz w:val="18"/>
                  </w:rPr>
                  <w:t>struggle,  failing</w:t>
                </w:r>
                <w:r>
                  <w:rPr>
                    <w:color w:val="231F20"/>
                    <w:spacing w:val="26"/>
                    <w:w w:val="120"/>
                    <w:sz w:val="18"/>
                  </w:rPr>
                  <w:t xml:space="preserve"> </w:t>
                </w:r>
                <w:r>
                  <w:rPr>
                    <w:color w:val="231F20"/>
                    <w:spacing w:val="10"/>
                    <w:w w:val="120"/>
                    <w:sz w:val="18"/>
                  </w:rPr>
                  <w:t xml:space="preserve">to </w:t>
                </w:r>
                <w:r>
                  <w:rPr>
                    <w:color w:val="231F20"/>
                    <w:spacing w:val="22"/>
                    <w:w w:val="120"/>
                    <w:sz w:val="18"/>
                  </w:rPr>
                  <w:t xml:space="preserve"> </w:t>
                </w:r>
                <w:r>
                  <w:rPr>
                    <w:color w:val="231F20"/>
                    <w:spacing w:val="15"/>
                    <w:w w:val="120"/>
                    <w:sz w:val="18"/>
                  </w:rPr>
                  <w:t>win</w:t>
                </w:r>
                <w:r>
                  <w:rPr>
                    <w:color w:val="231F20"/>
                    <w:spacing w:val="15"/>
                    <w:w w:val="120"/>
                    <w:sz w:val="18"/>
                  </w:rPr>
                  <w:tab/>
                </w:r>
                <w:r>
                  <w:rPr>
                    <w:color w:val="231F20"/>
                    <w:spacing w:val="12"/>
                    <w:w w:val="105"/>
                    <w:sz w:val="14"/>
                  </w:rPr>
                  <w:t>(13)</w:t>
                </w:r>
                <w:r>
                  <w:rPr>
                    <w:color w:val="231F20"/>
                    <w:spacing w:val="-12"/>
                    <w:sz w:val="14"/>
                  </w:rPr>
                  <w:t xml:space="preserve"> </w:t>
                </w:r>
              </w:p>
            </w:txbxContent>
          </v:textbox>
          <w10:wrap anchorx="page" anchory="page"/>
        </v:shape>
      </w:pict>
    </w: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D3E53" w14:textId="77777777" w:rsidR="001008C3" w:rsidRDefault="00000000">
    <w:pPr>
      <w:pStyle w:val="a3"/>
      <w:spacing w:line="14" w:lineRule="auto"/>
    </w:pPr>
    <w:r>
      <w:rPr>
        <w:noProof w:val="0"/>
      </w:rPr>
      <w:pict w14:anchorId="02024B60">
        <v:shapetype id="_x0000_t202" coordsize="21600,21600" o:spt="202" path="m,l,21600r21600,l21600,xe">
          <v:stroke joinstyle="miter"/>
          <v:path gradientshapeok="t" o:connecttype="rect"/>
        </v:shapetype>
        <v:shape id="_x0000_s1192" type="#_x0000_t202" style="position:absolute;margin-left:65.4pt;margin-top:594.5pt;width:201.65pt;height:12.55pt;z-index:-450664;mso-position-horizontal-relative:page;mso-position-vertical-relative:page" filled="f" stroked="f">
          <v:textbox inset="0,0,0,0">
            <w:txbxContent>
              <w:p w14:paraId="0CF80085" w14:textId="77777777" w:rsidR="001008C3" w:rsidRDefault="001008C3">
                <w:pPr>
                  <w:spacing w:before="19"/>
                  <w:ind w:left="20"/>
                  <w:rPr>
                    <w:sz w:val="18"/>
                  </w:rPr>
                </w:pPr>
                <w:r>
                  <w:rPr>
                    <w:color w:val="231F20"/>
                    <w:w w:val="115"/>
                    <w:sz w:val="18"/>
                  </w:rPr>
                  <w:t>march 1977 • fourth hunger strike</w:t>
                </w:r>
                <w:r>
                  <w:rPr>
                    <w:color w:val="231F20"/>
                    <w:sz w:val="18"/>
                  </w:rPr>
                  <w:t xml:space="preserve"> </w:t>
                </w:r>
              </w:p>
            </w:txbxContent>
          </v:textbox>
          <w10:wrap anchorx="page" anchory="page"/>
        </v:shape>
      </w:pict>
    </w:r>
    <w:r>
      <w:rPr>
        <w:noProof w:val="0"/>
      </w:rPr>
      <w:pict w14:anchorId="2D124FCF">
        <v:shape id="_x0000_s1191" type="#_x0000_t202" style="position:absolute;margin-left:355.1pt;margin-top:594.5pt;width:22.8pt;height:12.55pt;z-index:-450640;mso-position-horizontal-relative:page;mso-position-vertical-relative:page" filled="f" stroked="f">
          <v:textbox inset="0,0,0,0">
            <w:txbxContent>
              <w:p w14:paraId="143C3F14"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487</w:t>
                </w:r>
                <w:r>
                  <w:fldChar w:fldCharType="end"/>
                </w:r>
                <w:r>
                  <w:rPr>
                    <w:color w:val="231F20"/>
                    <w:sz w:val="18"/>
                  </w:rPr>
                  <w:t xml:space="preserve"> </w:t>
                </w:r>
              </w:p>
            </w:txbxContent>
          </v:textbox>
          <w10:wrap anchorx="page" anchory="page"/>
        </v:shape>
      </w:pict>
    </w:r>
  </w:p>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6A3F2" w14:textId="77777777" w:rsidR="001008C3" w:rsidRDefault="00000000">
    <w:pPr>
      <w:pStyle w:val="a3"/>
      <w:spacing w:line="14" w:lineRule="auto"/>
    </w:pPr>
    <w:r>
      <w:rPr>
        <w:noProof w:val="0"/>
      </w:rPr>
      <w:pict w14:anchorId="328C78F1">
        <v:shapetype id="_x0000_t202" coordsize="21600,21600" o:spt="202" path="m,l,21600r21600,l21600,xe">
          <v:stroke joinstyle="miter"/>
          <v:path gradientshapeok="t" o:connecttype="rect"/>
        </v:shapetype>
        <v:shape id="_x0000_s1186" type="#_x0000_t202" style="position:absolute;margin-left:65.4pt;margin-top:594.5pt;width:231.8pt;height:12.55pt;z-index:-450520;mso-position-horizontal-relative:page;mso-position-vertical-relative:page" filled="f" stroked="f">
          <v:textbox inset="0,0,0,0">
            <w:txbxContent>
              <w:p w14:paraId="2244B544" w14:textId="77777777" w:rsidR="001008C3" w:rsidRDefault="001008C3">
                <w:pPr>
                  <w:spacing w:before="19"/>
                  <w:ind w:left="20"/>
                  <w:rPr>
                    <w:sz w:val="18"/>
                  </w:rPr>
                </w:pPr>
                <w:r>
                  <w:rPr>
                    <w:color w:val="231F20"/>
                    <w:w w:val="115"/>
                    <w:sz w:val="18"/>
                  </w:rPr>
                  <w:t>april 1977 • the assassination of buback</w:t>
                </w:r>
                <w:r>
                  <w:rPr>
                    <w:color w:val="231F20"/>
                    <w:sz w:val="18"/>
                  </w:rPr>
                  <w:t xml:space="preserve"> </w:t>
                </w:r>
              </w:p>
            </w:txbxContent>
          </v:textbox>
          <w10:wrap anchorx="page" anchory="page"/>
        </v:shape>
      </w:pict>
    </w:r>
    <w:r>
      <w:rPr>
        <w:noProof w:val="0"/>
      </w:rPr>
      <w:pict w14:anchorId="52087DA2">
        <v:shape id="_x0000_s1185" type="#_x0000_t202" style="position:absolute;margin-left:356.1pt;margin-top:594.5pt;width:20.8pt;height:12.55pt;z-index:-450496;mso-position-horizontal-relative:page;mso-position-vertical-relative:page" filled="f" stroked="f">
          <v:textbox inset="0,0,0,0">
            <w:txbxContent>
              <w:p w14:paraId="0A33694F" w14:textId="77777777" w:rsidR="001008C3" w:rsidRDefault="001008C3">
                <w:pPr>
                  <w:spacing w:before="19"/>
                  <w:ind w:left="20"/>
                  <w:rPr>
                    <w:sz w:val="18"/>
                  </w:rPr>
                </w:pPr>
                <w:r>
                  <w:rPr>
                    <w:color w:val="231F20"/>
                    <w:sz w:val="18"/>
                  </w:rPr>
                  <w:t xml:space="preserve">491 </w:t>
                </w:r>
              </w:p>
            </w:txbxContent>
          </v:textbox>
          <w10:wrap anchorx="page" anchory="page"/>
        </v:shape>
      </w:pic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723DC" w14:textId="77777777" w:rsidR="001008C3" w:rsidRDefault="00000000">
    <w:pPr>
      <w:pStyle w:val="a3"/>
      <w:spacing w:line="14" w:lineRule="auto"/>
    </w:pPr>
    <w:r>
      <w:rPr>
        <w:noProof w:val="0"/>
      </w:rPr>
      <w:pict w14:anchorId="2AC87FA7">
        <v:shapetype id="_x0000_t202" coordsize="21600,21600" o:spt="202" path="m,l,21600r21600,l21600,xe">
          <v:stroke joinstyle="miter"/>
          <v:path gradientshapeok="t" o:connecttype="rect"/>
        </v:shapetype>
        <v:shape id="_x0000_s1188" type="#_x0000_t202" style="position:absolute;margin-left:56.4pt;margin-top:594.5pt;width:20.8pt;height:12.55pt;z-index:-450568;mso-position-horizontal-relative:page;mso-position-vertical-relative:page" filled="f" stroked="f">
          <v:textbox inset="0,0,0,0">
            <w:txbxContent>
              <w:p w14:paraId="67CEC6D3" w14:textId="77777777" w:rsidR="001008C3" w:rsidRDefault="001008C3">
                <w:pPr>
                  <w:spacing w:before="19"/>
                  <w:ind w:left="20"/>
                  <w:rPr>
                    <w:sz w:val="18"/>
                  </w:rPr>
                </w:pPr>
                <w:r>
                  <w:rPr>
                    <w:color w:val="231F20"/>
                    <w:sz w:val="18"/>
                  </w:rPr>
                  <w:t xml:space="preserve">490 </w:t>
                </w:r>
              </w:p>
            </w:txbxContent>
          </v:textbox>
          <w10:wrap anchorx="page" anchory="page"/>
        </v:shape>
      </w:pict>
    </w:r>
    <w:r>
      <w:rPr>
        <w:noProof w:val="0"/>
      </w:rPr>
      <w:pict w14:anchorId="68D5EE4D">
        <v:shape id="_x0000_s1187" type="#_x0000_t202" style="position:absolute;margin-left:142.85pt;margin-top:594.5pt;width:224.75pt;height:12.55pt;z-index:-450544;mso-position-horizontal-relative:page;mso-position-vertical-relative:page" filled="f" stroked="f">
          <v:textbox inset="0,0,0,0">
            <w:txbxContent>
              <w:p w14:paraId="7AE61BAE" w14:textId="77777777" w:rsidR="001008C3" w:rsidRDefault="001008C3">
                <w:pPr>
                  <w:tabs>
                    <w:tab w:val="left" w:pos="4147"/>
                  </w:tabs>
                  <w:spacing w:before="19"/>
                  <w:ind w:left="20"/>
                  <w:rPr>
                    <w:sz w:val="14"/>
                  </w:rPr>
                </w:pPr>
                <w:r>
                  <w:rPr>
                    <w:color w:val="231F20"/>
                    <w:spacing w:val="18"/>
                    <w:w w:val="120"/>
                    <w:sz w:val="18"/>
                  </w:rPr>
                  <w:t xml:space="preserve">daring  </w:t>
                </w:r>
                <w:r>
                  <w:rPr>
                    <w:color w:val="231F20"/>
                    <w:spacing w:val="10"/>
                    <w:w w:val="120"/>
                    <w:sz w:val="18"/>
                  </w:rPr>
                  <w:t xml:space="preserve">to   </w:t>
                </w:r>
                <w:r>
                  <w:rPr>
                    <w:color w:val="231F20"/>
                    <w:spacing w:val="20"/>
                    <w:w w:val="120"/>
                    <w:sz w:val="18"/>
                  </w:rPr>
                  <w:t>struggle,  failing</w:t>
                </w:r>
                <w:r>
                  <w:rPr>
                    <w:color w:val="231F20"/>
                    <w:spacing w:val="26"/>
                    <w:w w:val="120"/>
                    <w:sz w:val="18"/>
                  </w:rPr>
                  <w:t xml:space="preserve"> </w:t>
                </w:r>
                <w:r>
                  <w:rPr>
                    <w:color w:val="231F20"/>
                    <w:spacing w:val="10"/>
                    <w:w w:val="120"/>
                    <w:sz w:val="18"/>
                  </w:rPr>
                  <w:t xml:space="preserve">to </w:t>
                </w:r>
                <w:r>
                  <w:rPr>
                    <w:color w:val="231F20"/>
                    <w:spacing w:val="22"/>
                    <w:w w:val="120"/>
                    <w:sz w:val="18"/>
                  </w:rPr>
                  <w:t xml:space="preserve"> </w:t>
                </w:r>
                <w:r>
                  <w:rPr>
                    <w:color w:val="231F20"/>
                    <w:spacing w:val="15"/>
                    <w:w w:val="120"/>
                    <w:sz w:val="18"/>
                  </w:rPr>
                  <w:t>win</w:t>
                </w:r>
                <w:r>
                  <w:rPr>
                    <w:color w:val="231F20"/>
                    <w:spacing w:val="15"/>
                    <w:w w:val="120"/>
                    <w:sz w:val="18"/>
                  </w:rPr>
                  <w:tab/>
                </w:r>
                <w:r>
                  <w:rPr>
                    <w:color w:val="231F20"/>
                    <w:spacing w:val="12"/>
                    <w:w w:val="105"/>
                    <w:sz w:val="14"/>
                  </w:rPr>
                  <w:t>(13)</w:t>
                </w:r>
                <w:r>
                  <w:rPr>
                    <w:color w:val="231F20"/>
                    <w:spacing w:val="-12"/>
                    <w:sz w:val="14"/>
                  </w:rPr>
                  <w:t xml:space="preserve"> </w:t>
                </w:r>
              </w:p>
            </w:txbxContent>
          </v:textbox>
          <w10:wrap anchorx="page" anchory="page"/>
        </v:shape>
      </w:pict>
    </w: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3C44D" w14:textId="77777777" w:rsidR="001008C3" w:rsidRDefault="00000000">
    <w:pPr>
      <w:pStyle w:val="a3"/>
      <w:spacing w:line="14" w:lineRule="auto"/>
    </w:pPr>
    <w:r>
      <w:rPr>
        <w:noProof w:val="0"/>
      </w:rPr>
      <w:pict w14:anchorId="7223E87F">
        <v:shapetype id="_x0000_t202" coordsize="21600,21600" o:spt="202" path="m,l,21600r21600,l21600,xe">
          <v:stroke joinstyle="miter"/>
          <v:path gradientshapeok="t" o:connecttype="rect"/>
        </v:shapetype>
        <v:shape id="_x0000_s1184" type="#_x0000_t202" style="position:absolute;margin-left:55.4pt;margin-top:594.5pt;width:22.8pt;height:12.55pt;z-index:-450472;mso-position-horizontal-relative:page;mso-position-vertical-relative:page" filled="f" stroked="f">
          <v:textbox inset="0,0,0,0">
            <w:txbxContent>
              <w:p w14:paraId="488D3E46"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492</w:t>
                </w:r>
                <w:r>
                  <w:fldChar w:fldCharType="end"/>
                </w:r>
                <w:r>
                  <w:rPr>
                    <w:color w:val="231F20"/>
                    <w:sz w:val="18"/>
                  </w:rPr>
                  <w:t xml:space="preserve"> </w:t>
                </w:r>
              </w:p>
            </w:txbxContent>
          </v:textbox>
          <w10:wrap anchorx="page" anchory="page"/>
        </v:shape>
      </w:pict>
    </w:r>
    <w:r>
      <w:rPr>
        <w:noProof w:val="0"/>
      </w:rPr>
      <w:pict w14:anchorId="669B38E2">
        <v:shape id="_x0000_s1183" type="#_x0000_t202" style="position:absolute;margin-left:142.85pt;margin-top:594.5pt;width:224.75pt;height:12.55pt;z-index:-450448;mso-position-horizontal-relative:page;mso-position-vertical-relative:page" filled="f" stroked="f">
          <v:textbox inset="0,0,0,0">
            <w:txbxContent>
              <w:p w14:paraId="66CEACC4" w14:textId="77777777" w:rsidR="001008C3" w:rsidRDefault="001008C3">
                <w:pPr>
                  <w:tabs>
                    <w:tab w:val="left" w:pos="4147"/>
                  </w:tabs>
                  <w:spacing w:before="19"/>
                  <w:ind w:left="20"/>
                  <w:rPr>
                    <w:sz w:val="14"/>
                  </w:rPr>
                </w:pPr>
                <w:r>
                  <w:rPr>
                    <w:color w:val="231F20"/>
                    <w:spacing w:val="18"/>
                    <w:w w:val="120"/>
                    <w:sz w:val="18"/>
                  </w:rPr>
                  <w:t xml:space="preserve">daring  </w:t>
                </w:r>
                <w:r>
                  <w:rPr>
                    <w:color w:val="231F20"/>
                    <w:spacing w:val="10"/>
                    <w:w w:val="120"/>
                    <w:sz w:val="18"/>
                  </w:rPr>
                  <w:t xml:space="preserve">to   </w:t>
                </w:r>
                <w:r>
                  <w:rPr>
                    <w:color w:val="231F20"/>
                    <w:spacing w:val="20"/>
                    <w:w w:val="120"/>
                    <w:sz w:val="18"/>
                  </w:rPr>
                  <w:t>struggle,  failing</w:t>
                </w:r>
                <w:r>
                  <w:rPr>
                    <w:color w:val="231F20"/>
                    <w:spacing w:val="26"/>
                    <w:w w:val="120"/>
                    <w:sz w:val="18"/>
                  </w:rPr>
                  <w:t xml:space="preserve"> </w:t>
                </w:r>
                <w:r>
                  <w:rPr>
                    <w:color w:val="231F20"/>
                    <w:spacing w:val="10"/>
                    <w:w w:val="120"/>
                    <w:sz w:val="18"/>
                  </w:rPr>
                  <w:t xml:space="preserve">to </w:t>
                </w:r>
                <w:r>
                  <w:rPr>
                    <w:color w:val="231F20"/>
                    <w:spacing w:val="22"/>
                    <w:w w:val="120"/>
                    <w:sz w:val="18"/>
                  </w:rPr>
                  <w:t xml:space="preserve"> </w:t>
                </w:r>
                <w:r>
                  <w:rPr>
                    <w:color w:val="231F20"/>
                    <w:spacing w:val="15"/>
                    <w:w w:val="120"/>
                    <w:sz w:val="18"/>
                  </w:rPr>
                  <w:t>win</w:t>
                </w:r>
                <w:r>
                  <w:rPr>
                    <w:color w:val="231F20"/>
                    <w:spacing w:val="15"/>
                    <w:w w:val="120"/>
                    <w:sz w:val="18"/>
                  </w:rPr>
                  <w:tab/>
                </w:r>
                <w:r>
                  <w:rPr>
                    <w:color w:val="231F20"/>
                    <w:spacing w:val="12"/>
                    <w:w w:val="105"/>
                    <w:sz w:val="14"/>
                  </w:rPr>
                  <w:t>(13)</w:t>
                </w:r>
                <w:r>
                  <w:rPr>
                    <w:color w:val="231F20"/>
                    <w:spacing w:val="-12"/>
                    <w:sz w:val="14"/>
                  </w:rPr>
                  <w:t xml:space="preserve"> </w:t>
                </w:r>
              </w:p>
            </w:txbxContent>
          </v:textbox>
          <w10:wrap anchorx="page" anchory="page"/>
        </v:shape>
      </w:pict>
    </w:r>
  </w:p>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FA157" w14:textId="77777777" w:rsidR="001008C3" w:rsidRDefault="00000000">
    <w:pPr>
      <w:pStyle w:val="a3"/>
      <w:spacing w:line="14" w:lineRule="auto"/>
    </w:pPr>
    <w:r>
      <w:rPr>
        <w:noProof w:val="0"/>
      </w:rPr>
      <w:pict w14:anchorId="6BE233E7">
        <v:shapetype id="_x0000_t202" coordsize="21600,21600" o:spt="202" path="m,l,21600r21600,l21600,xe">
          <v:stroke joinstyle="miter"/>
          <v:path gradientshapeok="t" o:connecttype="rect"/>
        </v:shapetype>
        <v:shape id="_x0000_s1182" type="#_x0000_t202" style="position:absolute;margin-left:65.4pt;margin-top:594.5pt;width:311.5pt;height:12.55pt;z-index:-450424;mso-position-horizontal-relative:page;mso-position-vertical-relative:page" filled="f" stroked="f">
          <v:textbox inset="0,0,0,0">
            <w:txbxContent>
              <w:p w14:paraId="61A5DB70" w14:textId="77777777" w:rsidR="001008C3" w:rsidRDefault="001008C3">
                <w:pPr>
                  <w:spacing w:before="19"/>
                  <w:ind w:left="20"/>
                  <w:rPr>
                    <w:sz w:val="18"/>
                  </w:rPr>
                </w:pPr>
                <w:r>
                  <w:rPr>
                    <w:color w:val="231F20"/>
                    <w:w w:val="120"/>
                    <w:sz w:val="18"/>
                  </w:rPr>
                  <w:t xml:space="preserve">april 1977 • calling </w:t>
                </w:r>
                <w:r>
                  <w:rPr>
                    <w:color w:val="231F20"/>
                    <w:w w:val="125"/>
                    <w:sz w:val="18"/>
                  </w:rPr>
                  <w:t xml:space="preserve">off </w:t>
                </w:r>
                <w:r>
                  <w:rPr>
                    <w:color w:val="231F20"/>
                    <w:w w:val="120"/>
                    <w:sz w:val="18"/>
                  </w:rPr>
                  <w:t>the fourth hunger strike 493</w:t>
                </w:r>
                <w:r>
                  <w:rPr>
                    <w:color w:val="231F20"/>
                    <w:sz w:val="18"/>
                  </w:rPr>
                  <w:t xml:space="preserve"> </w:t>
                </w:r>
              </w:p>
            </w:txbxContent>
          </v:textbox>
          <w10:wrap anchorx="page" anchory="page"/>
        </v:shape>
      </w:pic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4268E" w14:textId="77777777" w:rsidR="001008C3" w:rsidRDefault="00000000">
    <w:pPr>
      <w:pStyle w:val="a3"/>
      <w:spacing w:line="14" w:lineRule="auto"/>
    </w:pPr>
    <w:r>
      <w:rPr>
        <w:noProof w:val="0"/>
      </w:rPr>
      <w:pict w14:anchorId="5FEE2425">
        <v:shapetype id="_x0000_t202" coordsize="21600,21600" o:spt="202" path="m,l,21600r21600,l21600,xe">
          <v:stroke joinstyle="miter"/>
          <v:path gradientshapeok="t" o:connecttype="rect"/>
        </v:shapetype>
        <v:shape id="_x0000_s1181" type="#_x0000_t202" style="position:absolute;margin-left:65.4pt;margin-top:594.5pt;width:311.5pt;height:12.55pt;z-index:-450400;mso-position-horizontal-relative:page;mso-position-vertical-relative:page" filled="f" stroked="f">
          <v:textbox inset="0,0,0,0">
            <w:txbxContent>
              <w:p w14:paraId="61EF2AA3" w14:textId="77777777" w:rsidR="001008C3" w:rsidRDefault="001008C3">
                <w:pPr>
                  <w:spacing w:before="19"/>
                  <w:ind w:left="20"/>
                  <w:rPr>
                    <w:sz w:val="18"/>
                  </w:rPr>
                </w:pPr>
                <w:r>
                  <w:rPr>
                    <w:color w:val="231F20"/>
                    <w:spacing w:val="15"/>
                    <w:w w:val="115"/>
                    <w:sz w:val="18"/>
                  </w:rPr>
                  <w:t xml:space="preserve">september </w:t>
                </w:r>
                <w:r>
                  <w:rPr>
                    <w:color w:val="231F20"/>
                    <w:spacing w:val="12"/>
                    <w:w w:val="115"/>
                    <w:sz w:val="18"/>
                  </w:rPr>
                  <w:t xml:space="preserve">1977 </w:t>
                </w:r>
                <w:r>
                  <w:rPr>
                    <w:color w:val="231F20"/>
                    <w:w w:val="115"/>
                    <w:sz w:val="18"/>
                  </w:rPr>
                  <w:t xml:space="preserve">• </w:t>
                </w:r>
                <w:r>
                  <w:rPr>
                    <w:color w:val="231F20"/>
                    <w:spacing w:val="15"/>
                    <w:w w:val="115"/>
                    <w:sz w:val="18"/>
                  </w:rPr>
                  <w:t xml:space="preserve">breaking </w:t>
                </w:r>
                <w:r>
                  <w:rPr>
                    <w:color w:val="231F20"/>
                    <w:spacing w:val="11"/>
                    <w:w w:val="125"/>
                    <w:sz w:val="18"/>
                  </w:rPr>
                  <w:t xml:space="preserve">off </w:t>
                </w:r>
                <w:r>
                  <w:rPr>
                    <w:color w:val="231F20"/>
                    <w:spacing w:val="11"/>
                    <w:w w:val="115"/>
                    <w:sz w:val="18"/>
                  </w:rPr>
                  <w:t xml:space="preserve">the </w:t>
                </w:r>
                <w:r>
                  <w:rPr>
                    <w:color w:val="231F20"/>
                    <w:spacing w:val="13"/>
                    <w:w w:val="125"/>
                    <w:sz w:val="18"/>
                  </w:rPr>
                  <w:t xml:space="preserve">fifth </w:t>
                </w:r>
                <w:r>
                  <w:rPr>
                    <w:color w:val="231F20"/>
                    <w:spacing w:val="15"/>
                    <w:w w:val="115"/>
                    <w:sz w:val="18"/>
                  </w:rPr>
                  <w:t>hunger strike</w:t>
                </w:r>
                <w:r>
                  <w:rPr>
                    <w:color w:val="231F20"/>
                    <w:spacing w:val="66"/>
                    <w:w w:val="115"/>
                    <w:sz w:val="18"/>
                  </w:rPr>
                  <w:t xml:space="preserve"> </w:t>
                </w:r>
                <w:r>
                  <w:rPr>
                    <w:color w:val="231F20"/>
                    <w:spacing w:val="15"/>
                    <w:w w:val="115"/>
                    <w:sz w:val="18"/>
                  </w:rPr>
                  <w:t>495</w:t>
                </w:r>
                <w:r>
                  <w:rPr>
                    <w:color w:val="231F20"/>
                    <w:spacing w:val="-15"/>
                    <w:sz w:val="18"/>
                  </w:rPr>
                  <w:t xml:space="preserve"> </w:t>
                </w:r>
              </w:p>
            </w:txbxContent>
          </v:textbox>
          <w10:wrap anchorx="page" anchory="page"/>
        </v:shape>
      </w:pict>
    </w: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F8302" w14:textId="77777777" w:rsidR="001008C3" w:rsidRDefault="00000000">
    <w:pPr>
      <w:pStyle w:val="a3"/>
      <w:spacing w:line="14" w:lineRule="auto"/>
    </w:pPr>
    <w:r>
      <w:rPr>
        <w:noProof w:val="0"/>
      </w:rPr>
      <w:pict w14:anchorId="4DED89C4">
        <v:shapetype id="_x0000_t202" coordsize="21600,21600" o:spt="202" path="m,l,21600r21600,l21600,xe">
          <v:stroke joinstyle="miter"/>
          <v:path gradientshapeok="t" o:connecttype="rect"/>
        </v:shapetype>
        <v:shape id="_x0000_s1180" type="#_x0000_t202" style="position:absolute;margin-left:55.4pt;margin-top:594.5pt;width:22.8pt;height:12.55pt;z-index:-450376;mso-position-horizontal-relative:page;mso-position-vertical-relative:page" filled="f" stroked="f">
          <v:textbox inset="0,0,0,0">
            <w:txbxContent>
              <w:p w14:paraId="5206B50B" w14:textId="77777777" w:rsidR="001008C3" w:rsidRDefault="001008C3">
                <w:pPr>
                  <w:spacing w:before="19"/>
                  <w:ind w:left="40"/>
                  <w:rPr>
                    <w:sz w:val="18"/>
                  </w:rPr>
                </w:pPr>
                <w:r>
                  <w:rPr>
                    <w:color w:val="231F20"/>
                    <w:sz w:val="18"/>
                  </w:rPr>
                  <w:t xml:space="preserve">496 </w:t>
                </w:r>
              </w:p>
            </w:txbxContent>
          </v:textbox>
          <w10:wrap anchorx="page" anchory="page"/>
        </v:shape>
      </w:pict>
    </w:r>
    <w:r>
      <w:rPr>
        <w:noProof w:val="0"/>
      </w:rPr>
      <w:pict w14:anchorId="2CCAF461">
        <v:shape id="_x0000_s1179" type="#_x0000_t202" style="position:absolute;margin-left:142.85pt;margin-top:594.5pt;width:224.75pt;height:12.55pt;z-index:-450352;mso-position-horizontal-relative:page;mso-position-vertical-relative:page" filled="f" stroked="f">
          <v:textbox inset="0,0,0,0">
            <w:txbxContent>
              <w:p w14:paraId="7D7214ED" w14:textId="77777777" w:rsidR="001008C3" w:rsidRDefault="001008C3">
                <w:pPr>
                  <w:tabs>
                    <w:tab w:val="left" w:pos="4147"/>
                  </w:tabs>
                  <w:spacing w:before="19"/>
                  <w:ind w:left="20"/>
                  <w:rPr>
                    <w:sz w:val="14"/>
                  </w:rPr>
                </w:pPr>
                <w:r>
                  <w:rPr>
                    <w:color w:val="231F20"/>
                    <w:spacing w:val="18"/>
                    <w:w w:val="120"/>
                    <w:sz w:val="18"/>
                  </w:rPr>
                  <w:t xml:space="preserve">daring  </w:t>
                </w:r>
                <w:r>
                  <w:rPr>
                    <w:color w:val="231F20"/>
                    <w:spacing w:val="10"/>
                    <w:w w:val="120"/>
                    <w:sz w:val="18"/>
                  </w:rPr>
                  <w:t xml:space="preserve">to   </w:t>
                </w:r>
                <w:r>
                  <w:rPr>
                    <w:color w:val="231F20"/>
                    <w:spacing w:val="20"/>
                    <w:w w:val="120"/>
                    <w:sz w:val="18"/>
                  </w:rPr>
                  <w:t>struggle,  failing</w:t>
                </w:r>
                <w:r>
                  <w:rPr>
                    <w:color w:val="231F20"/>
                    <w:spacing w:val="26"/>
                    <w:w w:val="120"/>
                    <w:sz w:val="18"/>
                  </w:rPr>
                  <w:t xml:space="preserve"> </w:t>
                </w:r>
                <w:r>
                  <w:rPr>
                    <w:color w:val="231F20"/>
                    <w:spacing w:val="10"/>
                    <w:w w:val="120"/>
                    <w:sz w:val="18"/>
                  </w:rPr>
                  <w:t xml:space="preserve">to </w:t>
                </w:r>
                <w:r>
                  <w:rPr>
                    <w:color w:val="231F20"/>
                    <w:spacing w:val="22"/>
                    <w:w w:val="120"/>
                    <w:sz w:val="18"/>
                  </w:rPr>
                  <w:t xml:space="preserve"> </w:t>
                </w:r>
                <w:r>
                  <w:rPr>
                    <w:color w:val="231F20"/>
                    <w:spacing w:val="15"/>
                    <w:w w:val="120"/>
                    <w:sz w:val="18"/>
                  </w:rPr>
                  <w:t>win</w:t>
                </w:r>
                <w:r>
                  <w:rPr>
                    <w:color w:val="231F20"/>
                    <w:spacing w:val="15"/>
                    <w:w w:val="120"/>
                    <w:sz w:val="18"/>
                  </w:rPr>
                  <w:tab/>
                </w:r>
                <w:r>
                  <w:rPr>
                    <w:color w:val="231F20"/>
                    <w:spacing w:val="12"/>
                    <w:w w:val="105"/>
                    <w:sz w:val="14"/>
                  </w:rPr>
                  <w:t>(13)</w:t>
                </w:r>
                <w:r>
                  <w:rPr>
                    <w:color w:val="231F20"/>
                    <w:spacing w:val="-12"/>
                    <w:sz w:val="14"/>
                  </w:rPr>
                  <w:t xml:space="preserve"> </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4BB44" w14:textId="77777777" w:rsidR="001008C3" w:rsidRDefault="00000000">
    <w:pPr>
      <w:pStyle w:val="a3"/>
      <w:spacing w:line="14" w:lineRule="auto"/>
    </w:pPr>
    <w:r>
      <w:rPr>
        <w:noProof w:val="0"/>
      </w:rPr>
      <w:pict w14:anchorId="4880BCAE">
        <v:shapetype id="_x0000_t202" coordsize="21600,21600" o:spt="202" path="m,l,21600r21600,l21600,xe">
          <v:stroke joinstyle="miter"/>
          <v:path gradientshapeok="t" o:connecttype="rect"/>
        </v:shapetype>
        <v:shape id="_x0000_s1729" type="#_x0000_t202" style="position:absolute;margin-left:353.85pt;margin-top:594.5pt;width:23pt;height:12.55pt;z-index:-463552;mso-position-horizontal-relative:page;mso-position-vertical-relative:page" filled="f" stroked="f">
          <v:textbox inset="0,0,0,0">
            <w:txbxContent>
              <w:p w14:paraId="249CFDD5" w14:textId="77777777" w:rsidR="001008C3" w:rsidRDefault="001008C3">
                <w:pPr>
                  <w:spacing w:before="19"/>
                  <w:ind w:left="20"/>
                  <w:rPr>
                    <w:sz w:val="18"/>
                  </w:rPr>
                </w:pPr>
                <w:r>
                  <w:rPr>
                    <w:color w:val="231F20"/>
                    <w:w w:val="115"/>
                    <w:sz w:val="18"/>
                  </w:rPr>
                  <w:t>xvii</w:t>
                </w:r>
                <w:r>
                  <w:rPr>
                    <w:color w:val="231F20"/>
                    <w:sz w:val="18"/>
                  </w:rPr>
                  <w:t xml:space="preserve"> </w:t>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74144" w14:textId="77777777" w:rsidR="001008C3" w:rsidRDefault="00000000">
    <w:pPr>
      <w:pStyle w:val="a3"/>
      <w:spacing w:line="14" w:lineRule="auto"/>
    </w:pPr>
    <w:r>
      <w:rPr>
        <w:noProof w:val="0"/>
      </w:rPr>
      <w:pict w14:anchorId="0CF2C2C7">
        <v:shapetype id="_x0000_t202" coordsize="21600,21600" o:spt="202" path="m,l,21600r21600,l21600,xe">
          <v:stroke joinstyle="miter"/>
          <v:path gradientshapeok="t" o:connecttype="rect"/>
        </v:shapetype>
        <v:shape id="_x0000_s1701" type="#_x0000_t202" style="position:absolute;margin-left:65.4pt;margin-top:594.5pt;width:116.6pt;height:12.55pt;z-index:-462880;mso-position-horizontal-relative:page;mso-position-vertical-relative:page" filled="f" stroked="f">
          <v:textbox inset="0,0,0,0">
            <w:txbxContent>
              <w:p w14:paraId="072B6810"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58270E14">
        <v:shape id="_x0000_s1700" type="#_x0000_t202" style="position:absolute;margin-left:361.35pt;margin-top:594.5pt;width:16.55pt;height:12.55pt;z-index:-462856;mso-position-horizontal-relative:page;mso-position-vertical-relative:page" filled="f" stroked="f">
          <v:textbox inset="0,0,0,0">
            <w:txbxContent>
              <w:p w14:paraId="70A576E2"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47</w:t>
                </w:r>
                <w:r>
                  <w:fldChar w:fldCharType="end"/>
                </w:r>
                <w:r>
                  <w:rPr>
                    <w:color w:val="231F20"/>
                    <w:sz w:val="18"/>
                  </w:rPr>
                  <w:t xml:space="preserve"> </w:t>
                </w:r>
              </w:p>
            </w:txbxContent>
          </v:textbox>
          <w10:wrap anchorx="page" anchory="page"/>
        </v:shape>
      </w:pic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B9CF8" w14:textId="77777777" w:rsidR="001008C3" w:rsidRDefault="00000000">
    <w:pPr>
      <w:pStyle w:val="a3"/>
      <w:spacing w:line="14" w:lineRule="auto"/>
    </w:pPr>
    <w:r>
      <w:rPr>
        <w:noProof w:val="0"/>
      </w:rPr>
      <w:pict w14:anchorId="010DEE5B">
        <v:shapetype id="_x0000_t202" coordsize="21600,21600" o:spt="202" path="m,l,21600r21600,l21600,xe">
          <v:stroke joinstyle="miter"/>
          <v:path gradientshapeok="t" o:connecttype="rect"/>
        </v:shapetype>
        <v:shape id="_x0000_s1176" type="#_x0000_t202" style="position:absolute;margin-left:55.4pt;margin-top:594.5pt;width:22.8pt;height:12.55pt;z-index:-450280;mso-position-horizontal-relative:page;mso-position-vertical-relative:page" filled="f" stroked="f">
          <v:textbox inset="0,0,0,0">
            <w:txbxContent>
              <w:p w14:paraId="5266C690"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498</w:t>
                </w:r>
                <w:r>
                  <w:fldChar w:fldCharType="end"/>
                </w:r>
                <w:r>
                  <w:rPr>
                    <w:color w:val="231F20"/>
                    <w:sz w:val="18"/>
                  </w:rPr>
                  <w:t xml:space="preserve"> </w:t>
                </w:r>
              </w:p>
            </w:txbxContent>
          </v:textbox>
          <w10:wrap anchorx="page" anchory="page"/>
        </v:shape>
      </w:pict>
    </w:r>
    <w:r>
      <w:rPr>
        <w:noProof w:val="0"/>
      </w:rPr>
      <w:pict w14:anchorId="0E7DC69E">
        <v:shape id="_x0000_s1175" type="#_x0000_t202" style="position:absolute;margin-left:142.85pt;margin-top:594.5pt;width:224.75pt;height:12.55pt;z-index:-450256;mso-position-horizontal-relative:page;mso-position-vertical-relative:page" filled="f" stroked="f">
          <v:textbox inset="0,0,0,0">
            <w:txbxContent>
              <w:p w14:paraId="62D8D288" w14:textId="77777777" w:rsidR="001008C3" w:rsidRDefault="001008C3">
                <w:pPr>
                  <w:tabs>
                    <w:tab w:val="left" w:pos="4147"/>
                  </w:tabs>
                  <w:spacing w:before="19"/>
                  <w:ind w:left="20"/>
                  <w:rPr>
                    <w:sz w:val="14"/>
                  </w:rPr>
                </w:pPr>
                <w:r>
                  <w:rPr>
                    <w:color w:val="231F20"/>
                    <w:spacing w:val="18"/>
                    <w:w w:val="120"/>
                    <w:sz w:val="18"/>
                  </w:rPr>
                  <w:t xml:space="preserve">daring  </w:t>
                </w:r>
                <w:r>
                  <w:rPr>
                    <w:color w:val="231F20"/>
                    <w:spacing w:val="10"/>
                    <w:w w:val="120"/>
                    <w:sz w:val="18"/>
                  </w:rPr>
                  <w:t xml:space="preserve">to   </w:t>
                </w:r>
                <w:r>
                  <w:rPr>
                    <w:color w:val="231F20"/>
                    <w:spacing w:val="20"/>
                    <w:w w:val="120"/>
                    <w:sz w:val="18"/>
                  </w:rPr>
                  <w:t>struggle,  failing</w:t>
                </w:r>
                <w:r>
                  <w:rPr>
                    <w:color w:val="231F20"/>
                    <w:spacing w:val="26"/>
                    <w:w w:val="120"/>
                    <w:sz w:val="18"/>
                  </w:rPr>
                  <w:t xml:space="preserve"> </w:t>
                </w:r>
                <w:r>
                  <w:rPr>
                    <w:color w:val="231F20"/>
                    <w:spacing w:val="10"/>
                    <w:w w:val="120"/>
                    <w:sz w:val="18"/>
                  </w:rPr>
                  <w:t xml:space="preserve">to </w:t>
                </w:r>
                <w:r>
                  <w:rPr>
                    <w:color w:val="231F20"/>
                    <w:spacing w:val="22"/>
                    <w:w w:val="120"/>
                    <w:sz w:val="18"/>
                  </w:rPr>
                  <w:t xml:space="preserve"> </w:t>
                </w:r>
                <w:r>
                  <w:rPr>
                    <w:color w:val="231F20"/>
                    <w:spacing w:val="15"/>
                    <w:w w:val="120"/>
                    <w:sz w:val="18"/>
                  </w:rPr>
                  <w:t>win</w:t>
                </w:r>
                <w:r>
                  <w:rPr>
                    <w:color w:val="231F20"/>
                    <w:spacing w:val="15"/>
                    <w:w w:val="120"/>
                    <w:sz w:val="18"/>
                  </w:rPr>
                  <w:tab/>
                </w:r>
                <w:r>
                  <w:rPr>
                    <w:color w:val="231F20"/>
                    <w:spacing w:val="12"/>
                    <w:w w:val="105"/>
                    <w:sz w:val="14"/>
                  </w:rPr>
                  <w:t>(13)</w:t>
                </w:r>
                <w:r>
                  <w:rPr>
                    <w:color w:val="231F20"/>
                    <w:spacing w:val="-12"/>
                    <w:sz w:val="14"/>
                  </w:rPr>
                  <w:t xml:space="preserve"> </w:t>
                </w:r>
              </w:p>
            </w:txbxContent>
          </v:textbox>
          <w10:wrap anchorx="page" anchory="page"/>
        </v:shape>
      </w:pic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93791" w14:textId="77777777" w:rsidR="001008C3" w:rsidRDefault="00000000">
    <w:pPr>
      <w:pStyle w:val="a3"/>
      <w:spacing w:line="14" w:lineRule="auto"/>
    </w:pPr>
    <w:r>
      <w:rPr>
        <w:noProof w:val="0"/>
      </w:rPr>
      <w:pict w14:anchorId="0A395FAA">
        <v:shapetype id="_x0000_t202" coordsize="21600,21600" o:spt="202" path="m,l,21600r21600,l21600,xe">
          <v:stroke joinstyle="miter"/>
          <v:path gradientshapeok="t" o:connecttype="rect"/>
        </v:shapetype>
        <v:shape id="_x0000_s1178" type="#_x0000_t202" style="position:absolute;margin-left:65.4pt;margin-top:594.5pt;width:225.65pt;height:12.55pt;z-index:-450328;mso-position-horizontal-relative:page;mso-position-vertical-relative:page" filled="f" stroked="f">
          <v:textbox inset="0,0,0,0">
            <w:txbxContent>
              <w:p w14:paraId="460007B8" w14:textId="77777777" w:rsidR="001008C3" w:rsidRDefault="001008C3">
                <w:pPr>
                  <w:spacing w:before="19"/>
                  <w:ind w:left="20"/>
                  <w:rPr>
                    <w:sz w:val="18"/>
                  </w:rPr>
                </w:pPr>
                <w:r>
                  <w:rPr>
                    <w:color w:val="231F20"/>
                    <w:w w:val="115"/>
                    <w:sz w:val="18"/>
                  </w:rPr>
                  <w:t>september 1977 • the attack on the baw</w:t>
                </w:r>
              </w:p>
            </w:txbxContent>
          </v:textbox>
          <w10:wrap anchorx="page" anchory="page"/>
        </v:shape>
      </w:pict>
    </w:r>
    <w:r>
      <w:rPr>
        <w:noProof w:val="0"/>
      </w:rPr>
      <w:pict w14:anchorId="5617A794">
        <v:shape id="_x0000_s1177" type="#_x0000_t202" style="position:absolute;margin-left:355.1pt;margin-top:594.5pt;width:22.8pt;height:12.55pt;z-index:-450304;mso-position-horizontal-relative:page;mso-position-vertical-relative:page" filled="f" stroked="f">
          <v:textbox inset="0,0,0,0">
            <w:txbxContent>
              <w:p w14:paraId="2A994292"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497</w:t>
                </w:r>
                <w:r>
                  <w:fldChar w:fldCharType="end"/>
                </w:r>
                <w:r>
                  <w:rPr>
                    <w:color w:val="231F20"/>
                    <w:sz w:val="18"/>
                  </w:rPr>
                  <w:t xml:space="preserve"> </w:t>
                </w:r>
              </w:p>
            </w:txbxContent>
          </v:textbox>
          <w10:wrap anchorx="page" anchory="page"/>
        </v:shape>
      </w:pict>
    </w: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06007" w14:textId="77777777" w:rsidR="001008C3" w:rsidRDefault="00000000">
    <w:pPr>
      <w:pStyle w:val="a3"/>
      <w:spacing w:line="14" w:lineRule="auto"/>
    </w:pPr>
    <w:r>
      <w:rPr>
        <w:noProof w:val="0"/>
      </w:rPr>
      <w:pict w14:anchorId="6484BE67">
        <v:shapetype id="_x0000_t202" coordsize="21600,21600" o:spt="202" path="m,l,21600r21600,l21600,xe">
          <v:stroke joinstyle="miter"/>
          <v:path gradientshapeok="t" o:connecttype="rect"/>
        </v:shapetype>
        <v:shape id="_x0000_s1172" type="#_x0000_t202" style="position:absolute;margin-left:55.4pt;margin-top:594.5pt;width:22.8pt;height:12.55pt;z-index:-450184;mso-position-horizontal-relative:page;mso-position-vertical-relative:page" filled="f" stroked="f">
          <v:textbox inset="0,0,0,0">
            <w:txbxContent>
              <w:p w14:paraId="71AB2D9C"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500</w:t>
                </w:r>
                <w:r>
                  <w:fldChar w:fldCharType="end"/>
                </w:r>
                <w:r>
                  <w:rPr>
                    <w:color w:val="231F20"/>
                    <w:sz w:val="18"/>
                  </w:rPr>
                  <w:t xml:space="preserve"> </w:t>
                </w:r>
              </w:p>
            </w:txbxContent>
          </v:textbox>
          <w10:wrap anchorx="page" anchory="page"/>
        </v:shape>
      </w:pict>
    </w:r>
    <w:r>
      <w:rPr>
        <w:noProof w:val="0"/>
      </w:rPr>
      <w:pict w14:anchorId="538971A6">
        <v:shape id="_x0000_s1171" type="#_x0000_t202" style="position:absolute;margin-left:142.85pt;margin-top:594.5pt;width:224.75pt;height:12.55pt;z-index:-450160;mso-position-horizontal-relative:page;mso-position-vertical-relative:page" filled="f" stroked="f">
          <v:textbox inset="0,0,0,0">
            <w:txbxContent>
              <w:p w14:paraId="0EC08982" w14:textId="77777777" w:rsidR="001008C3" w:rsidRDefault="001008C3">
                <w:pPr>
                  <w:tabs>
                    <w:tab w:val="left" w:pos="4147"/>
                  </w:tabs>
                  <w:spacing w:before="19"/>
                  <w:ind w:left="20"/>
                  <w:rPr>
                    <w:sz w:val="14"/>
                  </w:rPr>
                </w:pPr>
                <w:r>
                  <w:rPr>
                    <w:color w:val="231F20"/>
                    <w:spacing w:val="18"/>
                    <w:w w:val="120"/>
                    <w:sz w:val="18"/>
                  </w:rPr>
                  <w:t xml:space="preserve">daring  </w:t>
                </w:r>
                <w:r>
                  <w:rPr>
                    <w:color w:val="231F20"/>
                    <w:spacing w:val="10"/>
                    <w:w w:val="120"/>
                    <w:sz w:val="18"/>
                  </w:rPr>
                  <w:t xml:space="preserve">to   </w:t>
                </w:r>
                <w:r>
                  <w:rPr>
                    <w:color w:val="231F20"/>
                    <w:spacing w:val="20"/>
                    <w:w w:val="120"/>
                    <w:sz w:val="18"/>
                  </w:rPr>
                  <w:t>struggle,  failing</w:t>
                </w:r>
                <w:r>
                  <w:rPr>
                    <w:color w:val="231F20"/>
                    <w:spacing w:val="26"/>
                    <w:w w:val="120"/>
                    <w:sz w:val="18"/>
                  </w:rPr>
                  <w:t xml:space="preserve"> </w:t>
                </w:r>
                <w:r>
                  <w:rPr>
                    <w:color w:val="231F20"/>
                    <w:spacing w:val="10"/>
                    <w:w w:val="120"/>
                    <w:sz w:val="18"/>
                  </w:rPr>
                  <w:t xml:space="preserve">to </w:t>
                </w:r>
                <w:r>
                  <w:rPr>
                    <w:color w:val="231F20"/>
                    <w:spacing w:val="22"/>
                    <w:w w:val="120"/>
                    <w:sz w:val="18"/>
                  </w:rPr>
                  <w:t xml:space="preserve"> </w:t>
                </w:r>
                <w:r>
                  <w:rPr>
                    <w:color w:val="231F20"/>
                    <w:spacing w:val="15"/>
                    <w:w w:val="120"/>
                    <w:sz w:val="18"/>
                  </w:rPr>
                  <w:t>win</w:t>
                </w:r>
                <w:r>
                  <w:rPr>
                    <w:color w:val="231F20"/>
                    <w:spacing w:val="15"/>
                    <w:w w:val="120"/>
                    <w:sz w:val="18"/>
                  </w:rPr>
                  <w:tab/>
                </w:r>
                <w:r>
                  <w:rPr>
                    <w:color w:val="231F20"/>
                    <w:spacing w:val="12"/>
                    <w:w w:val="105"/>
                    <w:sz w:val="14"/>
                  </w:rPr>
                  <w:t>(13)</w:t>
                </w:r>
                <w:r>
                  <w:rPr>
                    <w:color w:val="231F20"/>
                    <w:spacing w:val="-12"/>
                    <w:sz w:val="14"/>
                  </w:rPr>
                  <w:t xml:space="preserve"> </w:t>
                </w:r>
              </w:p>
            </w:txbxContent>
          </v:textbox>
          <w10:wrap anchorx="page" anchory="page"/>
        </v:shape>
      </w:pict>
    </w:r>
  </w:p>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2AC3" w14:textId="77777777" w:rsidR="001008C3" w:rsidRDefault="00000000">
    <w:pPr>
      <w:pStyle w:val="a3"/>
      <w:spacing w:line="14" w:lineRule="auto"/>
    </w:pPr>
    <w:r>
      <w:rPr>
        <w:noProof w:val="0"/>
      </w:rPr>
      <w:pict w14:anchorId="5AD9CD49">
        <v:shapetype id="_x0000_t202" coordsize="21600,21600" o:spt="202" path="m,l,21600r21600,l21600,xe">
          <v:stroke joinstyle="miter"/>
          <v:path gradientshapeok="t" o:connecttype="rect"/>
        </v:shapetype>
        <v:shape id="_x0000_s1174" type="#_x0000_t202" style="position:absolute;margin-left:65.4pt;margin-top:594.5pt;width:247.9pt;height:12.55pt;z-index:-450232;mso-position-horizontal-relative:page;mso-position-vertical-relative:page" filled="f" stroked="f">
          <v:textbox inset="0,0,0,0">
            <w:txbxContent>
              <w:p w14:paraId="30CE919A" w14:textId="77777777" w:rsidR="001008C3" w:rsidRDefault="001008C3">
                <w:pPr>
                  <w:spacing w:before="19"/>
                  <w:ind w:left="20"/>
                  <w:rPr>
                    <w:sz w:val="18"/>
                  </w:rPr>
                </w:pPr>
                <w:r>
                  <w:rPr>
                    <w:color w:val="231F20"/>
                    <w:w w:val="115"/>
                    <w:sz w:val="18"/>
                  </w:rPr>
                  <w:t>sept.-oct. 1977 • the schleyer communiqués</w:t>
                </w:r>
                <w:r>
                  <w:rPr>
                    <w:color w:val="231F20"/>
                    <w:sz w:val="18"/>
                  </w:rPr>
                  <w:t xml:space="preserve"> </w:t>
                </w:r>
              </w:p>
            </w:txbxContent>
          </v:textbox>
          <w10:wrap anchorx="page" anchory="page"/>
        </v:shape>
      </w:pict>
    </w:r>
    <w:r>
      <w:rPr>
        <w:noProof w:val="0"/>
      </w:rPr>
      <w:pict w14:anchorId="70A55D82">
        <v:shape id="_x0000_s1173" type="#_x0000_t202" style="position:absolute;margin-left:355.1pt;margin-top:594.5pt;width:22.8pt;height:12.55pt;z-index:-450208;mso-position-horizontal-relative:page;mso-position-vertical-relative:page" filled="f" stroked="f">
          <v:textbox inset="0,0,0,0">
            <w:txbxContent>
              <w:p w14:paraId="4EC84102"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499</w:t>
                </w:r>
                <w:r>
                  <w:fldChar w:fldCharType="end"/>
                </w:r>
                <w:r>
                  <w:rPr>
                    <w:color w:val="231F20"/>
                    <w:sz w:val="18"/>
                  </w:rPr>
                  <w:t xml:space="preserve"> </w:t>
                </w:r>
              </w:p>
            </w:txbxContent>
          </v:textbox>
          <w10:wrap anchorx="page" anchory="page"/>
        </v:shape>
      </w:pict>
    </w: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38E3F" w14:textId="77777777" w:rsidR="001008C3" w:rsidRDefault="00000000">
    <w:pPr>
      <w:pStyle w:val="a3"/>
      <w:spacing w:line="14" w:lineRule="auto"/>
    </w:pPr>
    <w:r>
      <w:rPr>
        <w:noProof w:val="0"/>
      </w:rPr>
      <w:pict w14:anchorId="130124F6">
        <v:shapetype id="_x0000_t202" coordsize="21600,21600" o:spt="202" path="m,l,21600r21600,l21600,xe">
          <v:stroke joinstyle="miter"/>
          <v:path gradientshapeok="t" o:connecttype="rect"/>
        </v:shapetype>
        <v:shape id="_x0000_s1168" type="#_x0000_t202" style="position:absolute;margin-left:55.4pt;margin-top:594.5pt;width:22.8pt;height:12.55pt;z-index:-450088;mso-position-horizontal-relative:page;mso-position-vertical-relative:page" filled="f" stroked="f">
          <v:textbox inset="0,0,0,0">
            <w:txbxContent>
              <w:p w14:paraId="182F3C09"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504</w:t>
                </w:r>
                <w:r>
                  <w:fldChar w:fldCharType="end"/>
                </w:r>
                <w:r>
                  <w:rPr>
                    <w:color w:val="231F20"/>
                    <w:sz w:val="18"/>
                  </w:rPr>
                  <w:t xml:space="preserve"> </w:t>
                </w:r>
              </w:p>
            </w:txbxContent>
          </v:textbox>
          <w10:wrap anchorx="page" anchory="page"/>
        </v:shape>
      </w:pict>
    </w:r>
    <w:r>
      <w:rPr>
        <w:noProof w:val="0"/>
      </w:rPr>
      <w:pict w14:anchorId="2DF3B807">
        <v:shape id="_x0000_s1167" type="#_x0000_t202" style="position:absolute;margin-left:142.85pt;margin-top:594.5pt;width:224.75pt;height:12.55pt;z-index:-450064;mso-position-horizontal-relative:page;mso-position-vertical-relative:page" filled="f" stroked="f">
          <v:textbox inset="0,0,0,0">
            <w:txbxContent>
              <w:p w14:paraId="275C52D1" w14:textId="77777777" w:rsidR="001008C3" w:rsidRDefault="001008C3">
                <w:pPr>
                  <w:tabs>
                    <w:tab w:val="left" w:pos="4147"/>
                  </w:tabs>
                  <w:spacing w:before="19"/>
                  <w:ind w:left="20"/>
                  <w:rPr>
                    <w:sz w:val="14"/>
                  </w:rPr>
                </w:pPr>
                <w:r>
                  <w:rPr>
                    <w:color w:val="231F20"/>
                    <w:spacing w:val="18"/>
                    <w:w w:val="120"/>
                    <w:sz w:val="18"/>
                  </w:rPr>
                  <w:t xml:space="preserve">daring  </w:t>
                </w:r>
                <w:r>
                  <w:rPr>
                    <w:color w:val="231F20"/>
                    <w:spacing w:val="10"/>
                    <w:w w:val="120"/>
                    <w:sz w:val="18"/>
                  </w:rPr>
                  <w:t xml:space="preserve">to   </w:t>
                </w:r>
                <w:r>
                  <w:rPr>
                    <w:color w:val="231F20"/>
                    <w:spacing w:val="20"/>
                    <w:w w:val="120"/>
                    <w:sz w:val="18"/>
                  </w:rPr>
                  <w:t>struggle,  failing</w:t>
                </w:r>
                <w:r>
                  <w:rPr>
                    <w:color w:val="231F20"/>
                    <w:spacing w:val="26"/>
                    <w:w w:val="120"/>
                    <w:sz w:val="18"/>
                  </w:rPr>
                  <w:t xml:space="preserve"> </w:t>
                </w:r>
                <w:r>
                  <w:rPr>
                    <w:color w:val="231F20"/>
                    <w:spacing w:val="10"/>
                    <w:w w:val="120"/>
                    <w:sz w:val="18"/>
                  </w:rPr>
                  <w:t xml:space="preserve">to </w:t>
                </w:r>
                <w:r>
                  <w:rPr>
                    <w:color w:val="231F20"/>
                    <w:spacing w:val="22"/>
                    <w:w w:val="120"/>
                    <w:sz w:val="18"/>
                  </w:rPr>
                  <w:t xml:space="preserve"> </w:t>
                </w:r>
                <w:r>
                  <w:rPr>
                    <w:color w:val="231F20"/>
                    <w:spacing w:val="15"/>
                    <w:w w:val="120"/>
                    <w:sz w:val="18"/>
                  </w:rPr>
                  <w:t>win</w:t>
                </w:r>
                <w:r>
                  <w:rPr>
                    <w:color w:val="231F20"/>
                    <w:spacing w:val="15"/>
                    <w:w w:val="120"/>
                    <w:sz w:val="18"/>
                  </w:rPr>
                  <w:tab/>
                </w:r>
                <w:r>
                  <w:rPr>
                    <w:color w:val="231F20"/>
                    <w:spacing w:val="12"/>
                    <w:w w:val="105"/>
                    <w:sz w:val="14"/>
                  </w:rPr>
                  <w:t>(13)</w:t>
                </w:r>
                <w:r>
                  <w:rPr>
                    <w:color w:val="231F20"/>
                    <w:spacing w:val="-12"/>
                    <w:sz w:val="14"/>
                  </w:rPr>
                  <w:t xml:space="preserve"> </w:t>
                </w:r>
              </w:p>
            </w:txbxContent>
          </v:textbox>
          <w10:wrap anchorx="page" anchory="page"/>
        </v:shape>
      </w:pict>
    </w:r>
  </w:p>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F5CC4" w14:textId="77777777" w:rsidR="001008C3" w:rsidRDefault="00000000">
    <w:pPr>
      <w:pStyle w:val="a3"/>
      <w:spacing w:line="14" w:lineRule="auto"/>
    </w:pPr>
    <w:r>
      <w:rPr>
        <w:noProof w:val="0"/>
      </w:rPr>
      <w:pict w14:anchorId="79E7A308">
        <v:shapetype id="_x0000_t202" coordsize="21600,21600" o:spt="202" path="m,l,21600r21600,l21600,xe">
          <v:stroke joinstyle="miter"/>
          <v:path gradientshapeok="t" o:connecttype="rect"/>
        </v:shapetype>
        <v:shape id="_x0000_s1170" type="#_x0000_t202" style="position:absolute;margin-left:65.4pt;margin-top:594.5pt;width:222.6pt;height:12.55pt;z-index:-450136;mso-position-horizontal-relative:page;mso-position-vertical-relative:page" filled="f" stroked="f">
          <v:textbox inset="0,0,0,0">
            <w:txbxContent>
              <w:p w14:paraId="43CF9235" w14:textId="77777777" w:rsidR="001008C3" w:rsidRDefault="001008C3">
                <w:pPr>
                  <w:spacing w:before="19"/>
                  <w:ind w:left="20"/>
                  <w:rPr>
                    <w:sz w:val="18"/>
                  </w:rPr>
                </w:pPr>
                <w:r>
                  <w:rPr>
                    <w:color w:val="231F20"/>
                    <w:w w:val="115"/>
                    <w:sz w:val="18"/>
                  </w:rPr>
                  <w:t>october 1977 • operation kofr kaddum</w:t>
                </w:r>
                <w:r>
                  <w:rPr>
                    <w:color w:val="231F20"/>
                    <w:sz w:val="18"/>
                  </w:rPr>
                  <w:t xml:space="preserve"> </w:t>
                </w:r>
              </w:p>
            </w:txbxContent>
          </v:textbox>
          <w10:wrap anchorx="page" anchory="page"/>
        </v:shape>
      </w:pict>
    </w:r>
    <w:r>
      <w:rPr>
        <w:noProof w:val="0"/>
      </w:rPr>
      <w:pict w14:anchorId="4666567A">
        <v:shape id="_x0000_s1169" type="#_x0000_t202" style="position:absolute;margin-left:355.1pt;margin-top:594.5pt;width:22.8pt;height:12.55pt;z-index:-450112;mso-position-horizontal-relative:page;mso-position-vertical-relative:page" filled="f" stroked="f">
          <v:textbox inset="0,0,0,0">
            <w:txbxContent>
              <w:p w14:paraId="719DD5BC"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503</w:t>
                </w:r>
                <w:r>
                  <w:fldChar w:fldCharType="end"/>
                </w:r>
                <w:r>
                  <w:rPr>
                    <w:color w:val="231F20"/>
                    <w:sz w:val="18"/>
                  </w:rPr>
                  <w:t xml:space="preserve"> </w:t>
                </w:r>
              </w:p>
            </w:txbxContent>
          </v:textbox>
          <w10:wrap anchorx="page" anchory="page"/>
        </v:shape>
      </w:pict>
    </w:r>
  </w:p>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F8D2" w14:textId="77777777" w:rsidR="001008C3" w:rsidRDefault="00000000">
    <w:pPr>
      <w:pStyle w:val="a3"/>
      <w:spacing w:line="14" w:lineRule="auto"/>
    </w:pPr>
    <w:r>
      <w:rPr>
        <w:noProof w:val="0"/>
      </w:rPr>
      <w:pict w14:anchorId="5F1067CD">
        <v:shapetype id="_x0000_t202" coordsize="21600,21600" o:spt="202" path="m,l,21600r21600,l21600,xe">
          <v:stroke joinstyle="miter"/>
          <v:path gradientshapeok="t" o:connecttype="rect"/>
        </v:shapetype>
        <v:shape id="_x0000_s1164" type="#_x0000_t202" style="position:absolute;margin-left:55.4pt;margin-top:594.5pt;width:22.8pt;height:12.55pt;z-index:-449992;mso-position-horizontal-relative:page;mso-position-vertical-relative:page" filled="f" stroked="f">
          <v:textbox inset="0,0,0,0">
            <w:txbxContent>
              <w:p w14:paraId="396314EC"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506</w:t>
                </w:r>
                <w:r>
                  <w:fldChar w:fldCharType="end"/>
                </w:r>
                <w:r>
                  <w:rPr>
                    <w:color w:val="231F20"/>
                    <w:sz w:val="18"/>
                  </w:rPr>
                  <w:t xml:space="preserve"> </w:t>
                </w:r>
              </w:p>
            </w:txbxContent>
          </v:textbox>
          <w10:wrap anchorx="page" anchory="page"/>
        </v:shape>
      </w:pict>
    </w:r>
    <w:r>
      <w:rPr>
        <w:noProof w:val="0"/>
      </w:rPr>
      <w:pict w14:anchorId="136B0961">
        <v:shape id="_x0000_s1163" type="#_x0000_t202" style="position:absolute;margin-left:142.85pt;margin-top:594.5pt;width:224.75pt;height:12.55pt;z-index:-449968;mso-position-horizontal-relative:page;mso-position-vertical-relative:page" filled="f" stroked="f">
          <v:textbox inset="0,0,0,0">
            <w:txbxContent>
              <w:p w14:paraId="45485D99" w14:textId="77777777" w:rsidR="001008C3" w:rsidRDefault="001008C3">
                <w:pPr>
                  <w:tabs>
                    <w:tab w:val="left" w:pos="4147"/>
                  </w:tabs>
                  <w:spacing w:before="19"/>
                  <w:ind w:left="20"/>
                  <w:rPr>
                    <w:sz w:val="14"/>
                  </w:rPr>
                </w:pPr>
                <w:r>
                  <w:rPr>
                    <w:color w:val="231F20"/>
                    <w:spacing w:val="18"/>
                    <w:w w:val="120"/>
                    <w:sz w:val="18"/>
                  </w:rPr>
                  <w:t xml:space="preserve">daring  </w:t>
                </w:r>
                <w:r>
                  <w:rPr>
                    <w:color w:val="231F20"/>
                    <w:spacing w:val="10"/>
                    <w:w w:val="120"/>
                    <w:sz w:val="18"/>
                  </w:rPr>
                  <w:t xml:space="preserve">to   </w:t>
                </w:r>
                <w:r>
                  <w:rPr>
                    <w:color w:val="231F20"/>
                    <w:spacing w:val="20"/>
                    <w:w w:val="120"/>
                    <w:sz w:val="18"/>
                  </w:rPr>
                  <w:t>struggle,  failing</w:t>
                </w:r>
                <w:r>
                  <w:rPr>
                    <w:color w:val="231F20"/>
                    <w:spacing w:val="26"/>
                    <w:w w:val="120"/>
                    <w:sz w:val="18"/>
                  </w:rPr>
                  <w:t xml:space="preserve"> </w:t>
                </w:r>
                <w:r>
                  <w:rPr>
                    <w:color w:val="231F20"/>
                    <w:spacing w:val="10"/>
                    <w:w w:val="120"/>
                    <w:sz w:val="18"/>
                  </w:rPr>
                  <w:t xml:space="preserve">to </w:t>
                </w:r>
                <w:r>
                  <w:rPr>
                    <w:color w:val="231F20"/>
                    <w:spacing w:val="22"/>
                    <w:w w:val="120"/>
                    <w:sz w:val="18"/>
                  </w:rPr>
                  <w:t xml:space="preserve"> </w:t>
                </w:r>
                <w:r>
                  <w:rPr>
                    <w:color w:val="231F20"/>
                    <w:spacing w:val="15"/>
                    <w:w w:val="120"/>
                    <w:sz w:val="18"/>
                  </w:rPr>
                  <w:t>win</w:t>
                </w:r>
                <w:r>
                  <w:rPr>
                    <w:color w:val="231F20"/>
                    <w:spacing w:val="15"/>
                    <w:w w:val="120"/>
                    <w:sz w:val="18"/>
                  </w:rPr>
                  <w:tab/>
                </w:r>
                <w:r>
                  <w:rPr>
                    <w:color w:val="231F20"/>
                    <w:spacing w:val="12"/>
                    <w:w w:val="105"/>
                    <w:sz w:val="14"/>
                  </w:rPr>
                  <w:t>(13)</w:t>
                </w:r>
                <w:r>
                  <w:rPr>
                    <w:color w:val="231F20"/>
                    <w:spacing w:val="-12"/>
                    <w:sz w:val="14"/>
                  </w:rPr>
                  <w:t xml:space="preserve"> </w:t>
                </w:r>
              </w:p>
            </w:txbxContent>
          </v:textbox>
          <w10:wrap anchorx="page" anchory="page"/>
        </v:shape>
      </w:pict>
    </w: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BF7D6" w14:textId="77777777" w:rsidR="001008C3" w:rsidRDefault="00000000">
    <w:pPr>
      <w:pStyle w:val="a3"/>
      <w:spacing w:line="14" w:lineRule="auto"/>
    </w:pPr>
    <w:r>
      <w:rPr>
        <w:noProof w:val="0"/>
      </w:rPr>
      <w:pict w14:anchorId="0C5382EB">
        <v:shapetype id="_x0000_t202" coordsize="21600,21600" o:spt="202" path="m,l,21600r21600,l21600,xe">
          <v:stroke joinstyle="miter"/>
          <v:path gradientshapeok="t" o:connecttype="rect"/>
        </v:shapetype>
        <v:shape id="_x0000_s1166" type="#_x0000_t202" style="position:absolute;margin-left:65.4pt;margin-top:594.5pt;width:183.8pt;height:12.55pt;z-index:-450040;mso-position-horizontal-relative:page;mso-position-vertical-relative:page" filled="f" stroked="f">
          <v:textbox inset="0,0,0,0">
            <w:txbxContent>
              <w:p w14:paraId="7DC6DDE4" w14:textId="77777777" w:rsidR="001008C3" w:rsidRDefault="001008C3">
                <w:pPr>
                  <w:spacing w:before="19"/>
                  <w:ind w:left="20"/>
                  <w:rPr>
                    <w:sz w:val="18"/>
                  </w:rPr>
                </w:pPr>
                <w:r>
                  <w:rPr>
                    <w:color w:val="231F20"/>
                    <w:w w:val="115"/>
                    <w:sz w:val="18"/>
                  </w:rPr>
                  <w:t>october 1977 • sawio ultimatum</w:t>
                </w:r>
                <w:r>
                  <w:rPr>
                    <w:color w:val="231F20"/>
                    <w:sz w:val="18"/>
                  </w:rPr>
                  <w:t xml:space="preserve"> </w:t>
                </w:r>
              </w:p>
            </w:txbxContent>
          </v:textbox>
          <w10:wrap anchorx="page" anchory="page"/>
        </v:shape>
      </w:pict>
    </w:r>
    <w:r>
      <w:rPr>
        <w:noProof w:val="0"/>
      </w:rPr>
      <w:pict w14:anchorId="7AD21914">
        <v:shape id="_x0000_s1165" type="#_x0000_t202" style="position:absolute;margin-left:355.1pt;margin-top:594.5pt;width:22.8pt;height:12.55pt;z-index:-450016;mso-position-horizontal-relative:page;mso-position-vertical-relative:page" filled="f" stroked="f">
          <v:textbox inset="0,0,0,0">
            <w:txbxContent>
              <w:p w14:paraId="72017B83"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505</w:t>
                </w:r>
                <w:r>
                  <w:fldChar w:fldCharType="end"/>
                </w:r>
                <w:r>
                  <w:rPr>
                    <w:color w:val="231F20"/>
                    <w:sz w:val="18"/>
                  </w:rPr>
                  <w:t xml:space="preserve"> </w:t>
                </w:r>
              </w:p>
            </w:txbxContent>
          </v:textbox>
          <w10:wrap anchorx="page" anchory="page"/>
        </v:shape>
      </w:pict>
    </w: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D87A6" w14:textId="77777777" w:rsidR="001008C3" w:rsidRDefault="00000000">
    <w:pPr>
      <w:pStyle w:val="a3"/>
      <w:spacing w:line="14" w:lineRule="auto"/>
    </w:pPr>
    <w:r>
      <w:rPr>
        <w:noProof w:val="0"/>
      </w:rPr>
      <w:pict w14:anchorId="69191ECE">
        <v:shapetype id="_x0000_t202" coordsize="21600,21600" o:spt="202" path="m,l,21600r21600,l21600,xe">
          <v:stroke joinstyle="miter"/>
          <v:path gradientshapeok="t" o:connecttype="rect"/>
        </v:shapetype>
        <v:shape id="_x0000_s1160" type="#_x0000_t202" style="position:absolute;margin-left:55.4pt;margin-top:594.5pt;width:22.8pt;height:12.55pt;z-index:-449896;mso-position-horizontal-relative:page;mso-position-vertical-relative:page" filled="f" stroked="f">
          <v:textbox inset="0,0,0,0">
            <w:txbxContent>
              <w:p w14:paraId="2EB06463"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508</w:t>
                </w:r>
                <w:r>
                  <w:fldChar w:fldCharType="end"/>
                </w:r>
                <w:r>
                  <w:rPr>
                    <w:color w:val="231F20"/>
                    <w:sz w:val="18"/>
                  </w:rPr>
                  <w:t xml:space="preserve"> </w:t>
                </w:r>
              </w:p>
            </w:txbxContent>
          </v:textbox>
          <w10:wrap anchorx="page" anchory="page"/>
        </v:shape>
      </w:pict>
    </w:r>
    <w:r>
      <w:rPr>
        <w:noProof w:val="0"/>
      </w:rPr>
      <w:pict w14:anchorId="03BFBF7F">
        <v:shape id="_x0000_s1159" type="#_x0000_t202" style="position:absolute;margin-left:142.85pt;margin-top:594.5pt;width:224.75pt;height:12.55pt;z-index:-449872;mso-position-horizontal-relative:page;mso-position-vertical-relative:page" filled="f" stroked="f">
          <v:textbox inset="0,0,0,0">
            <w:txbxContent>
              <w:p w14:paraId="0CF179BF" w14:textId="77777777" w:rsidR="001008C3" w:rsidRDefault="001008C3">
                <w:pPr>
                  <w:tabs>
                    <w:tab w:val="left" w:pos="4147"/>
                  </w:tabs>
                  <w:spacing w:before="19"/>
                  <w:ind w:left="20"/>
                  <w:rPr>
                    <w:sz w:val="14"/>
                  </w:rPr>
                </w:pPr>
                <w:r>
                  <w:rPr>
                    <w:color w:val="231F20"/>
                    <w:spacing w:val="18"/>
                    <w:w w:val="120"/>
                    <w:sz w:val="18"/>
                  </w:rPr>
                  <w:t xml:space="preserve">daring  </w:t>
                </w:r>
                <w:r>
                  <w:rPr>
                    <w:color w:val="231F20"/>
                    <w:spacing w:val="10"/>
                    <w:w w:val="120"/>
                    <w:sz w:val="18"/>
                  </w:rPr>
                  <w:t xml:space="preserve">to   </w:t>
                </w:r>
                <w:r>
                  <w:rPr>
                    <w:color w:val="231F20"/>
                    <w:spacing w:val="20"/>
                    <w:w w:val="120"/>
                    <w:sz w:val="18"/>
                  </w:rPr>
                  <w:t>struggle,  failing</w:t>
                </w:r>
                <w:r>
                  <w:rPr>
                    <w:color w:val="231F20"/>
                    <w:spacing w:val="26"/>
                    <w:w w:val="120"/>
                    <w:sz w:val="18"/>
                  </w:rPr>
                  <w:t xml:space="preserve"> </w:t>
                </w:r>
                <w:r>
                  <w:rPr>
                    <w:color w:val="231F20"/>
                    <w:spacing w:val="10"/>
                    <w:w w:val="120"/>
                    <w:sz w:val="18"/>
                  </w:rPr>
                  <w:t xml:space="preserve">to </w:t>
                </w:r>
                <w:r>
                  <w:rPr>
                    <w:color w:val="231F20"/>
                    <w:spacing w:val="22"/>
                    <w:w w:val="120"/>
                    <w:sz w:val="18"/>
                  </w:rPr>
                  <w:t xml:space="preserve"> </w:t>
                </w:r>
                <w:r>
                  <w:rPr>
                    <w:color w:val="231F20"/>
                    <w:spacing w:val="15"/>
                    <w:w w:val="120"/>
                    <w:sz w:val="18"/>
                  </w:rPr>
                  <w:t>win</w:t>
                </w:r>
                <w:r>
                  <w:rPr>
                    <w:color w:val="231F20"/>
                    <w:spacing w:val="15"/>
                    <w:w w:val="120"/>
                    <w:sz w:val="18"/>
                  </w:rPr>
                  <w:tab/>
                </w:r>
                <w:r>
                  <w:rPr>
                    <w:color w:val="231F20"/>
                    <w:spacing w:val="12"/>
                    <w:w w:val="105"/>
                    <w:sz w:val="14"/>
                  </w:rPr>
                  <w:t>(13)</w:t>
                </w:r>
                <w:r>
                  <w:rPr>
                    <w:color w:val="231F20"/>
                    <w:spacing w:val="-12"/>
                    <w:sz w:val="14"/>
                  </w:rPr>
                  <w:t xml:space="preserve"> </w:t>
                </w:r>
              </w:p>
            </w:txbxContent>
          </v:textbox>
          <w10:wrap anchorx="page" anchory="page"/>
        </v:shape>
      </w:pict>
    </w:r>
  </w:p>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873BF" w14:textId="77777777" w:rsidR="001008C3" w:rsidRDefault="00000000">
    <w:pPr>
      <w:pStyle w:val="a3"/>
      <w:spacing w:line="14" w:lineRule="auto"/>
    </w:pPr>
    <w:r>
      <w:rPr>
        <w:noProof w:val="0"/>
      </w:rPr>
      <w:pict w14:anchorId="6E222BDF">
        <v:shapetype id="_x0000_t202" coordsize="21600,21600" o:spt="202" path="m,l,21600r21600,l21600,xe">
          <v:stroke joinstyle="miter"/>
          <v:path gradientshapeok="t" o:connecttype="rect"/>
        </v:shapetype>
        <v:shape id="_x0000_s1162" type="#_x0000_t202" style="position:absolute;margin-left:65.4pt;margin-top:594.5pt;width:245.1pt;height:12.55pt;z-index:-449944;mso-position-horizontal-relative:page;mso-position-vertical-relative:page" filled="f" stroked="f">
          <v:textbox inset="0,0,0,0">
            <w:txbxContent>
              <w:p w14:paraId="53101208" w14:textId="77777777" w:rsidR="001008C3" w:rsidRDefault="001008C3">
                <w:pPr>
                  <w:spacing w:before="19"/>
                  <w:ind w:left="20"/>
                  <w:rPr>
                    <w:sz w:val="18"/>
                  </w:rPr>
                </w:pPr>
                <w:r>
                  <w:rPr>
                    <w:color w:val="231F20"/>
                    <w:w w:val="115"/>
                    <w:sz w:val="18"/>
                  </w:rPr>
                  <w:t>october 1977 • final schleyer communiqué</w:t>
                </w:r>
                <w:r>
                  <w:rPr>
                    <w:color w:val="231F20"/>
                    <w:sz w:val="18"/>
                  </w:rPr>
                  <w:t xml:space="preserve"> </w:t>
                </w:r>
              </w:p>
            </w:txbxContent>
          </v:textbox>
          <w10:wrap anchorx="page" anchory="page"/>
        </v:shape>
      </w:pict>
    </w:r>
    <w:r>
      <w:rPr>
        <w:noProof w:val="0"/>
      </w:rPr>
      <w:pict w14:anchorId="2FFA07D1">
        <v:shape id="_x0000_s1161" type="#_x0000_t202" style="position:absolute;margin-left:355.1pt;margin-top:594.5pt;width:22.8pt;height:12.55pt;z-index:-449920;mso-position-horizontal-relative:page;mso-position-vertical-relative:page" filled="f" stroked="f">
          <v:textbox inset="0,0,0,0">
            <w:txbxContent>
              <w:p w14:paraId="0B43E8E9"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507</w:t>
                </w:r>
                <w:r>
                  <w:fldChar w:fldCharType="end"/>
                </w:r>
                <w:r>
                  <w:rPr>
                    <w:color w:val="231F20"/>
                    <w:sz w:val="18"/>
                  </w:rPr>
                  <w:t xml:space="preserve"> </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C9064" w14:textId="77777777" w:rsidR="001008C3" w:rsidRDefault="00000000">
    <w:pPr>
      <w:pStyle w:val="a3"/>
      <w:spacing w:line="14" w:lineRule="auto"/>
    </w:pPr>
    <w:r>
      <w:rPr>
        <w:noProof w:val="0"/>
      </w:rPr>
      <w:pict w14:anchorId="6D540189">
        <v:line id="_x0000_s1697" style="position:absolute;z-index:-462784;mso-position-horizontal-relative:page;mso-position-vertical-relative:page" from="57.4pt,510.8pt" to="129.4pt,510.8pt" strokecolor="#231f20" strokeweight=".5pt">
          <w10:wrap anchorx="page" anchory="page"/>
        </v:line>
      </w:pict>
    </w:r>
    <w:r>
      <w:rPr>
        <w:noProof w:val="0"/>
      </w:rPr>
      <w:pict w14:anchorId="4ACBD0AA">
        <v:shapetype id="_x0000_t202" coordsize="21600,21600" o:spt="202" path="m,l,21600r21600,l21600,xe">
          <v:stroke joinstyle="miter"/>
          <v:path gradientshapeok="t" o:connecttype="rect"/>
        </v:shapetype>
        <v:shape id="_x0000_s1696" type="#_x0000_t202" style="position:absolute;margin-left:55.4pt;margin-top:594.5pt;width:16.55pt;height:12.55pt;z-index:-462760;mso-position-horizontal-relative:page;mso-position-vertical-relative:page" filled="f" stroked="f">
          <v:textbox inset="0,0,0,0">
            <w:txbxContent>
              <w:p w14:paraId="108E76F4"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50</w:t>
                </w:r>
                <w:r>
                  <w:fldChar w:fldCharType="end"/>
                </w:r>
                <w:r>
                  <w:rPr>
                    <w:color w:val="231F20"/>
                    <w:sz w:val="18"/>
                  </w:rPr>
                  <w:t xml:space="preserve"> </w:t>
                </w:r>
              </w:p>
            </w:txbxContent>
          </v:textbox>
          <w10:wrap anchorx="page" anchory="page"/>
        </v:shape>
      </w:pict>
    </w:r>
    <w:r>
      <w:rPr>
        <w:noProof w:val="0"/>
      </w:rPr>
      <w:pict w14:anchorId="0810F92E">
        <v:shape id="_x0000_s1695" type="#_x0000_t202" style="position:absolute;margin-left:243pt;margin-top:594.5pt;width:124.6pt;height:12.55pt;z-index:-462736;mso-position-horizontal-relative:page;mso-position-vertical-relative:page" filled="f" stroked="f">
          <v:textbox inset="0,0,0,0">
            <w:txbxContent>
              <w:p w14:paraId="03B142F2" w14:textId="77777777" w:rsidR="001008C3" w:rsidRDefault="001008C3">
                <w:pPr>
                  <w:tabs>
                    <w:tab w:val="left" w:pos="2242"/>
                  </w:tabs>
                  <w:spacing w:before="19"/>
                  <w:ind w:left="20"/>
                  <w:rPr>
                    <w:sz w:val="14"/>
                  </w:rPr>
                </w:pPr>
                <w:r>
                  <w:rPr>
                    <w:color w:val="231F20"/>
                    <w:spacing w:val="20"/>
                    <w:w w:val="110"/>
                    <w:sz w:val="18"/>
                  </w:rPr>
                  <w:t xml:space="preserve">taking  </w:t>
                </w:r>
                <w:r>
                  <w:rPr>
                    <w:color w:val="231F20"/>
                    <w:spacing w:val="11"/>
                    <w:w w:val="110"/>
                    <w:sz w:val="18"/>
                  </w:rPr>
                  <w:t xml:space="preserve">up </w:t>
                </w:r>
                <w:r>
                  <w:rPr>
                    <w:color w:val="231F20"/>
                    <w:spacing w:val="33"/>
                    <w:w w:val="110"/>
                    <w:sz w:val="18"/>
                  </w:rPr>
                  <w:t xml:space="preserve"> </w:t>
                </w:r>
                <w:r>
                  <w:rPr>
                    <w:color w:val="231F20"/>
                    <w:spacing w:val="15"/>
                    <w:w w:val="110"/>
                    <w:sz w:val="18"/>
                  </w:rPr>
                  <w:t xml:space="preserve">the </w:t>
                </w:r>
                <w:r>
                  <w:rPr>
                    <w:color w:val="231F20"/>
                    <w:spacing w:val="28"/>
                    <w:w w:val="110"/>
                    <w:sz w:val="18"/>
                  </w:rPr>
                  <w:t xml:space="preserve"> </w:t>
                </w:r>
                <w:r>
                  <w:rPr>
                    <w:color w:val="231F20"/>
                    <w:spacing w:val="15"/>
                    <w:w w:val="110"/>
                    <w:sz w:val="18"/>
                  </w:rPr>
                  <w:t>gun</w:t>
                </w:r>
                <w:r>
                  <w:rPr>
                    <w:color w:val="231F20"/>
                    <w:spacing w:val="15"/>
                    <w:w w:val="110"/>
                    <w:sz w:val="18"/>
                  </w:rPr>
                  <w:tab/>
                </w:r>
                <w:r>
                  <w:rPr>
                    <w:color w:val="231F20"/>
                    <w:spacing w:val="11"/>
                    <w:w w:val="105"/>
                    <w:sz w:val="14"/>
                  </w:rPr>
                  <w:t>(3)</w:t>
                </w:r>
                <w:r>
                  <w:rPr>
                    <w:color w:val="231F20"/>
                    <w:spacing w:val="-12"/>
                    <w:sz w:val="14"/>
                  </w:rPr>
                  <w:t xml:space="preserve"> </w:t>
                </w:r>
              </w:p>
            </w:txbxContent>
          </v:textbox>
          <w10:wrap anchorx="page" anchory="page"/>
        </v:shape>
      </w:pict>
    </w: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2D252" w14:textId="77777777" w:rsidR="001008C3" w:rsidRDefault="00000000">
    <w:pPr>
      <w:pStyle w:val="a3"/>
      <w:spacing w:line="14" w:lineRule="auto"/>
    </w:pPr>
    <w:r>
      <w:rPr>
        <w:noProof w:val="0"/>
      </w:rPr>
      <w:pict w14:anchorId="260AB5DE">
        <v:shapetype id="_x0000_t202" coordsize="21600,21600" o:spt="202" path="m,l,21600r21600,l21600,xe">
          <v:stroke joinstyle="miter"/>
          <v:path gradientshapeok="t" o:connecttype="rect"/>
        </v:shapetype>
        <v:shape id="_x0000_s1158" type="#_x0000_t202" style="position:absolute;margin-left:65.4pt;margin-top:594.5pt;width:157.45pt;height:12.55pt;z-index:-449848;mso-position-horizontal-relative:page;mso-position-vertical-relative:page" filled="f" stroked="f">
          <v:textbox inset="0,0,0,0">
            <w:txbxContent>
              <w:p w14:paraId="2122D126" w14:textId="77777777" w:rsidR="001008C3" w:rsidRDefault="001008C3">
                <w:pPr>
                  <w:spacing w:before="19"/>
                  <w:ind w:left="20"/>
                  <w:rPr>
                    <w:sz w:val="18"/>
                  </w:rPr>
                </w:pPr>
                <w:r>
                  <w:rPr>
                    <w:color w:val="231F20"/>
                    <w:w w:val="120"/>
                    <w:sz w:val="18"/>
                  </w:rPr>
                  <w:t>77: living with the fallout</w:t>
                </w:r>
                <w:r>
                  <w:rPr>
                    <w:color w:val="231F20"/>
                    <w:sz w:val="18"/>
                  </w:rPr>
                  <w:t xml:space="preserve"> </w:t>
                </w:r>
              </w:p>
            </w:txbxContent>
          </v:textbox>
          <w10:wrap anchorx="page" anchory="page"/>
        </v:shape>
      </w:pict>
    </w:r>
    <w:r>
      <w:rPr>
        <w:noProof w:val="0"/>
      </w:rPr>
      <w:pict w14:anchorId="03EFD06E">
        <v:shape id="_x0000_s1157" type="#_x0000_t202" style="position:absolute;margin-left:355.1pt;margin-top:594.5pt;width:22.8pt;height:12.55pt;z-index:-449824;mso-position-horizontal-relative:page;mso-position-vertical-relative:page" filled="f" stroked="f">
          <v:textbox inset="0,0,0,0">
            <w:txbxContent>
              <w:p w14:paraId="5694E13A"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509</w:t>
                </w:r>
                <w:r>
                  <w:fldChar w:fldCharType="end"/>
                </w:r>
                <w:r>
                  <w:rPr>
                    <w:color w:val="231F20"/>
                    <w:sz w:val="18"/>
                  </w:rPr>
                  <w:t xml:space="preserve"> </w:t>
                </w:r>
              </w:p>
            </w:txbxContent>
          </v:textbox>
          <w10:wrap anchorx="page" anchory="page"/>
        </v:shape>
      </w:pict>
    </w:r>
  </w:p>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967C" w14:textId="77777777" w:rsidR="001008C3" w:rsidRDefault="001008C3">
    <w:pPr>
      <w:pStyle w:val="a3"/>
      <w:spacing w:line="14" w:lineRule="auto"/>
      <w:rPr>
        <w:sz w:val="2"/>
      </w:rPr>
    </w:pPr>
  </w:p>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233D2" w14:textId="77777777" w:rsidR="001008C3" w:rsidRDefault="00000000">
    <w:pPr>
      <w:pStyle w:val="a3"/>
      <w:spacing w:line="14" w:lineRule="auto"/>
    </w:pPr>
    <w:r>
      <w:rPr>
        <w:noProof w:val="0"/>
      </w:rPr>
      <w:pict w14:anchorId="221BCA14">
        <v:shapetype id="_x0000_t202" coordsize="21600,21600" o:spt="202" path="m,l,21600r21600,l21600,xe">
          <v:stroke joinstyle="miter"/>
          <v:path gradientshapeok="t" o:connecttype="rect"/>
        </v:shapetype>
        <v:shape id="_x0000_s1156" type="#_x0000_t202" style="position:absolute;margin-left:356.1pt;margin-top:594.5pt;width:20.8pt;height:12.55pt;z-index:-449800;mso-position-horizontal-relative:page;mso-position-vertical-relative:page" filled="f" stroked="f">
          <v:textbox inset="0,0,0,0">
            <w:txbxContent>
              <w:p w14:paraId="6BE1C063" w14:textId="77777777" w:rsidR="001008C3" w:rsidRDefault="001008C3">
                <w:pPr>
                  <w:spacing w:before="19"/>
                  <w:ind w:left="20"/>
                  <w:rPr>
                    <w:sz w:val="18"/>
                  </w:rPr>
                </w:pPr>
                <w:r>
                  <w:rPr>
                    <w:color w:val="231F20"/>
                    <w:sz w:val="18"/>
                  </w:rPr>
                  <w:t xml:space="preserve">511 </w:t>
                </w:r>
              </w:p>
            </w:txbxContent>
          </v:textbox>
          <w10:wrap anchorx="page" anchory="page"/>
        </v:shape>
      </w:pict>
    </w: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2167" w14:textId="77777777" w:rsidR="001008C3" w:rsidRDefault="00000000">
    <w:pPr>
      <w:pStyle w:val="a3"/>
      <w:spacing w:line="14" w:lineRule="auto"/>
    </w:pPr>
    <w:r>
      <w:rPr>
        <w:noProof w:val="0"/>
      </w:rPr>
      <w:pict w14:anchorId="1F242AFF">
        <v:shapetype id="_x0000_t202" coordsize="21600,21600" o:spt="202" path="m,l,21600r21600,l21600,xe">
          <v:stroke joinstyle="miter"/>
          <v:path gradientshapeok="t" o:connecttype="rect"/>
        </v:shapetype>
        <v:shape id="_x0000_s1155" type="#_x0000_t202" style="position:absolute;margin-left:55.4pt;margin-top:594.5pt;width:22.8pt;height:12.55pt;z-index:-449776;mso-position-horizontal-relative:page;mso-position-vertical-relative:page" filled="f" stroked="f">
          <v:textbox inset="0,0,0,0">
            <w:txbxContent>
              <w:p w14:paraId="32F6F856" w14:textId="77777777" w:rsidR="001008C3" w:rsidRDefault="001008C3">
                <w:pPr>
                  <w:spacing w:before="19"/>
                  <w:ind w:left="40"/>
                  <w:rPr>
                    <w:sz w:val="18"/>
                  </w:rPr>
                </w:pPr>
                <w:r>
                  <w:rPr>
                    <w:color w:val="231F20"/>
                    <w:sz w:val="18"/>
                  </w:rPr>
                  <w:t xml:space="preserve">512 </w:t>
                </w:r>
              </w:p>
            </w:txbxContent>
          </v:textbox>
          <w10:wrap anchorx="page" anchory="page"/>
        </v:shape>
      </w:pict>
    </w:r>
    <w:r>
      <w:rPr>
        <w:noProof w:val="0"/>
      </w:rPr>
      <w:pict w14:anchorId="49924849">
        <v:shape id="_x0000_s1154" type="#_x0000_t202" style="position:absolute;margin-left:214.65pt;margin-top:594.5pt;width:152.95pt;height:12.55pt;z-index:-449752;mso-position-horizontal-relative:page;mso-position-vertical-relative:page" filled="f" stroked="f">
          <v:textbox inset="0,0,0,0">
            <w:txbxContent>
              <w:p w14:paraId="22D22255" w14:textId="77777777" w:rsidR="001008C3" w:rsidRDefault="001008C3">
                <w:pPr>
                  <w:tabs>
                    <w:tab w:val="left" w:pos="2712"/>
                  </w:tabs>
                  <w:spacing w:before="19"/>
                  <w:ind w:left="20"/>
                  <w:rPr>
                    <w:sz w:val="14"/>
                  </w:rPr>
                </w:pPr>
                <w:r>
                  <w:rPr>
                    <w:color w:val="231F20"/>
                    <w:spacing w:val="15"/>
                    <w:w w:val="110"/>
                    <w:sz w:val="18"/>
                  </w:rPr>
                  <w:t xml:space="preserve">the </w:t>
                </w:r>
                <w:r>
                  <w:rPr>
                    <w:color w:val="231F20"/>
                    <w:spacing w:val="21"/>
                    <w:w w:val="110"/>
                    <w:sz w:val="18"/>
                  </w:rPr>
                  <w:t xml:space="preserve"> </w:t>
                </w:r>
                <w:r>
                  <w:rPr>
                    <w:color w:val="231F20"/>
                    <w:spacing w:val="20"/>
                    <w:w w:val="110"/>
                    <w:sz w:val="18"/>
                  </w:rPr>
                  <w:t>stammheim</w:t>
                </w:r>
                <w:r>
                  <w:rPr>
                    <w:color w:val="231F20"/>
                    <w:spacing w:val="81"/>
                    <w:w w:val="110"/>
                    <w:sz w:val="18"/>
                  </w:rPr>
                  <w:t xml:space="preserve"> </w:t>
                </w:r>
                <w:r>
                  <w:rPr>
                    <w:color w:val="231F20"/>
                    <w:spacing w:val="20"/>
                    <w:w w:val="110"/>
                    <w:sz w:val="18"/>
                  </w:rPr>
                  <w:t>deaths</w:t>
                </w:r>
                <w:r>
                  <w:rPr>
                    <w:color w:val="231F20"/>
                    <w:spacing w:val="20"/>
                    <w:w w:val="110"/>
                    <w:sz w:val="18"/>
                  </w:rPr>
                  <w:tab/>
                </w:r>
                <w:r>
                  <w:rPr>
                    <w:color w:val="231F20"/>
                    <w:spacing w:val="12"/>
                    <w:w w:val="105"/>
                    <w:sz w:val="14"/>
                  </w:rPr>
                  <w:t>(14)</w:t>
                </w:r>
                <w:r>
                  <w:rPr>
                    <w:color w:val="231F20"/>
                    <w:spacing w:val="-12"/>
                    <w:sz w:val="14"/>
                  </w:rPr>
                  <w:t xml:space="preserve"> </w:t>
                </w:r>
              </w:p>
            </w:txbxContent>
          </v:textbox>
          <w10:wrap anchorx="page" anchory="page"/>
        </v:shape>
      </w:pict>
    </w: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19160" w14:textId="77777777" w:rsidR="001008C3" w:rsidRDefault="00000000">
    <w:pPr>
      <w:pStyle w:val="a3"/>
      <w:spacing w:line="14" w:lineRule="auto"/>
    </w:pPr>
    <w:r>
      <w:rPr>
        <w:noProof w:val="0"/>
      </w:rPr>
      <w:pict w14:anchorId="0BEBF595">
        <v:shapetype id="_x0000_t202" coordsize="21600,21600" o:spt="202" path="m,l,21600r21600,l21600,xe">
          <v:stroke joinstyle="miter"/>
          <v:path gradientshapeok="t" o:connecttype="rect"/>
        </v:shapetype>
        <v:shape id="_x0000_s1151" type="#_x0000_t202" style="position:absolute;margin-left:55.4pt;margin-top:594.5pt;width:22.8pt;height:12.55pt;z-index:-449680;mso-position-horizontal-relative:page;mso-position-vertical-relative:page" filled="f" stroked="f">
          <v:textbox inset="0,0,0,0">
            <w:txbxContent>
              <w:p w14:paraId="173BFB1D"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514</w:t>
                </w:r>
                <w:r>
                  <w:fldChar w:fldCharType="end"/>
                </w:r>
                <w:r>
                  <w:rPr>
                    <w:color w:val="231F20"/>
                    <w:sz w:val="18"/>
                  </w:rPr>
                  <w:t xml:space="preserve"> </w:t>
                </w:r>
              </w:p>
            </w:txbxContent>
          </v:textbox>
          <w10:wrap anchorx="page" anchory="page"/>
        </v:shape>
      </w:pict>
    </w:r>
    <w:r>
      <w:rPr>
        <w:noProof w:val="0"/>
      </w:rPr>
      <w:pict w14:anchorId="76391F88">
        <v:shape id="_x0000_s1150" type="#_x0000_t202" style="position:absolute;margin-left:214.65pt;margin-top:594.5pt;width:152.95pt;height:12.55pt;z-index:-449656;mso-position-horizontal-relative:page;mso-position-vertical-relative:page" filled="f" stroked="f">
          <v:textbox inset="0,0,0,0">
            <w:txbxContent>
              <w:p w14:paraId="461F94B9" w14:textId="77777777" w:rsidR="001008C3" w:rsidRDefault="001008C3">
                <w:pPr>
                  <w:tabs>
                    <w:tab w:val="left" w:pos="2712"/>
                  </w:tabs>
                  <w:spacing w:before="19"/>
                  <w:ind w:left="20"/>
                  <w:rPr>
                    <w:sz w:val="14"/>
                  </w:rPr>
                </w:pPr>
                <w:r>
                  <w:rPr>
                    <w:color w:val="231F20"/>
                    <w:spacing w:val="15"/>
                    <w:w w:val="110"/>
                    <w:sz w:val="18"/>
                  </w:rPr>
                  <w:t xml:space="preserve">the </w:t>
                </w:r>
                <w:r>
                  <w:rPr>
                    <w:color w:val="231F20"/>
                    <w:spacing w:val="21"/>
                    <w:w w:val="110"/>
                    <w:sz w:val="18"/>
                  </w:rPr>
                  <w:t xml:space="preserve"> </w:t>
                </w:r>
                <w:r>
                  <w:rPr>
                    <w:color w:val="231F20"/>
                    <w:spacing w:val="20"/>
                    <w:w w:val="110"/>
                    <w:sz w:val="18"/>
                  </w:rPr>
                  <w:t>stammheim</w:t>
                </w:r>
                <w:r>
                  <w:rPr>
                    <w:color w:val="231F20"/>
                    <w:spacing w:val="81"/>
                    <w:w w:val="110"/>
                    <w:sz w:val="18"/>
                  </w:rPr>
                  <w:t xml:space="preserve"> </w:t>
                </w:r>
                <w:r>
                  <w:rPr>
                    <w:color w:val="231F20"/>
                    <w:spacing w:val="20"/>
                    <w:w w:val="110"/>
                    <w:sz w:val="18"/>
                  </w:rPr>
                  <w:t>deaths</w:t>
                </w:r>
                <w:r>
                  <w:rPr>
                    <w:color w:val="231F20"/>
                    <w:spacing w:val="20"/>
                    <w:w w:val="110"/>
                    <w:sz w:val="18"/>
                  </w:rPr>
                  <w:tab/>
                </w:r>
                <w:r>
                  <w:rPr>
                    <w:color w:val="231F20"/>
                    <w:spacing w:val="12"/>
                    <w:w w:val="105"/>
                    <w:sz w:val="14"/>
                  </w:rPr>
                  <w:t>(14)</w:t>
                </w:r>
                <w:r>
                  <w:rPr>
                    <w:color w:val="231F20"/>
                    <w:spacing w:val="-12"/>
                    <w:sz w:val="14"/>
                  </w:rPr>
                  <w:t xml:space="preserve"> </w:t>
                </w:r>
              </w:p>
            </w:txbxContent>
          </v:textbox>
          <w10:wrap anchorx="page" anchory="page"/>
        </v:shape>
      </w:pict>
    </w:r>
  </w:p>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E107" w14:textId="77777777" w:rsidR="001008C3" w:rsidRDefault="00000000">
    <w:pPr>
      <w:pStyle w:val="a3"/>
      <w:spacing w:line="14" w:lineRule="auto"/>
    </w:pPr>
    <w:r>
      <w:rPr>
        <w:noProof w:val="0"/>
      </w:rPr>
      <w:pict w14:anchorId="087B8C69">
        <v:shapetype id="_x0000_t202" coordsize="21600,21600" o:spt="202" path="m,l,21600r21600,l21600,xe">
          <v:stroke joinstyle="miter"/>
          <v:path gradientshapeok="t" o:connecttype="rect"/>
        </v:shapetype>
        <v:shape id="_x0000_s1153" type="#_x0000_t202" style="position:absolute;margin-left:65.4pt;margin-top:594.5pt;width:116.6pt;height:12.55pt;z-index:-449728;mso-position-horizontal-relative:page;mso-position-vertical-relative:page" filled="f" stroked="f">
          <v:textbox inset="0,0,0,0">
            <w:txbxContent>
              <w:p w14:paraId="4AE3AB10"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06C6501F">
        <v:shape id="_x0000_s1152" type="#_x0000_t202" style="position:absolute;margin-left:355.1pt;margin-top:594.5pt;width:22.8pt;height:12.55pt;z-index:-449704;mso-position-horizontal-relative:page;mso-position-vertical-relative:page" filled="f" stroked="f">
          <v:textbox inset="0,0,0,0">
            <w:txbxContent>
              <w:p w14:paraId="2C4324BC"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513</w:t>
                </w:r>
                <w:r>
                  <w:fldChar w:fldCharType="end"/>
                </w:r>
                <w:r>
                  <w:rPr>
                    <w:color w:val="231F20"/>
                    <w:sz w:val="18"/>
                  </w:rPr>
                  <w:t xml:space="preserve"> </w:t>
                </w:r>
              </w:p>
            </w:txbxContent>
          </v:textbox>
          <w10:wrap anchorx="page" anchory="page"/>
        </v:shape>
      </w:pict>
    </w: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B6556" w14:textId="77777777" w:rsidR="001008C3" w:rsidRDefault="00000000">
    <w:pPr>
      <w:pStyle w:val="a3"/>
      <w:spacing w:line="14" w:lineRule="auto"/>
    </w:pPr>
    <w:r>
      <w:rPr>
        <w:noProof w:val="0"/>
      </w:rPr>
      <w:pict w14:anchorId="00FC5CAE">
        <v:shapetype id="_x0000_t202" coordsize="21600,21600" o:spt="202" path="m,l,21600r21600,l21600,xe">
          <v:stroke joinstyle="miter"/>
          <v:path gradientshapeok="t" o:connecttype="rect"/>
        </v:shapetype>
        <v:shape id="_x0000_s1146" type="#_x0000_t202" style="position:absolute;margin-left:356.1pt;margin-top:594.5pt;width:20.8pt;height:12.55pt;z-index:-449560;mso-position-horizontal-relative:page;mso-position-vertical-relative:page" filled="f" stroked="f">
          <v:textbox inset="0,0,0,0">
            <w:txbxContent>
              <w:p w14:paraId="3C8A9503" w14:textId="77777777" w:rsidR="001008C3" w:rsidRDefault="001008C3">
                <w:pPr>
                  <w:spacing w:before="19"/>
                  <w:ind w:left="20"/>
                  <w:rPr>
                    <w:sz w:val="18"/>
                  </w:rPr>
                </w:pPr>
                <w:r>
                  <w:rPr>
                    <w:color w:val="231F20"/>
                    <w:sz w:val="18"/>
                  </w:rPr>
                  <w:t xml:space="preserve">521 </w:t>
                </w:r>
              </w:p>
            </w:txbxContent>
          </v:textbox>
          <w10:wrap anchorx="page" anchory="page"/>
        </v:shape>
      </w:pict>
    </w: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5808" w14:textId="77777777" w:rsidR="001008C3" w:rsidRDefault="00000000">
    <w:pPr>
      <w:pStyle w:val="a3"/>
      <w:spacing w:line="14" w:lineRule="auto"/>
    </w:pPr>
    <w:r>
      <w:rPr>
        <w:noProof w:val="0"/>
      </w:rPr>
      <w:pict w14:anchorId="6C7C2127">
        <v:line id="_x0000_s1149" style="position:absolute;z-index:-449632;mso-position-horizontal-relative:page;mso-position-vertical-relative:page" from="57.4pt,522.75pt" to="129.4pt,522.75pt" strokecolor="#231f20" strokeweight=".5pt">
          <w10:wrap anchorx="page" anchory="page"/>
        </v:line>
      </w:pict>
    </w:r>
    <w:r>
      <w:rPr>
        <w:noProof w:val="0"/>
      </w:rPr>
      <w:pict w14:anchorId="7110B9DF">
        <v:shapetype id="_x0000_t202" coordsize="21600,21600" o:spt="202" path="m,l,21600r21600,l21600,xe">
          <v:stroke joinstyle="miter"/>
          <v:path gradientshapeok="t" o:connecttype="rect"/>
        </v:shapetype>
        <v:shape id="_x0000_s1148" type="#_x0000_t202" style="position:absolute;margin-left:56.4pt;margin-top:594.5pt;width:20.8pt;height:12.55pt;z-index:-449608;mso-position-horizontal-relative:page;mso-position-vertical-relative:page" filled="f" stroked="f">
          <v:textbox inset="0,0,0,0">
            <w:txbxContent>
              <w:p w14:paraId="68FDF915" w14:textId="77777777" w:rsidR="001008C3" w:rsidRDefault="001008C3">
                <w:pPr>
                  <w:spacing w:before="19"/>
                  <w:ind w:left="20"/>
                  <w:rPr>
                    <w:sz w:val="18"/>
                  </w:rPr>
                </w:pPr>
                <w:r>
                  <w:rPr>
                    <w:color w:val="231F20"/>
                    <w:sz w:val="18"/>
                  </w:rPr>
                  <w:t xml:space="preserve">520 </w:t>
                </w:r>
              </w:p>
            </w:txbxContent>
          </v:textbox>
          <w10:wrap anchorx="page" anchory="page"/>
        </v:shape>
      </w:pict>
    </w:r>
    <w:r>
      <w:rPr>
        <w:noProof w:val="0"/>
      </w:rPr>
      <w:pict w14:anchorId="29B78A30">
        <v:shape id="_x0000_s1147" type="#_x0000_t202" style="position:absolute;margin-left:214.65pt;margin-top:594.5pt;width:152.95pt;height:12.55pt;z-index:-449584;mso-position-horizontal-relative:page;mso-position-vertical-relative:page" filled="f" stroked="f">
          <v:textbox inset="0,0,0,0">
            <w:txbxContent>
              <w:p w14:paraId="0BEB38E2" w14:textId="77777777" w:rsidR="001008C3" w:rsidRDefault="001008C3">
                <w:pPr>
                  <w:tabs>
                    <w:tab w:val="left" w:pos="2712"/>
                  </w:tabs>
                  <w:spacing w:before="19"/>
                  <w:ind w:left="20"/>
                  <w:rPr>
                    <w:sz w:val="14"/>
                  </w:rPr>
                </w:pPr>
                <w:r>
                  <w:rPr>
                    <w:color w:val="231F20"/>
                    <w:spacing w:val="15"/>
                    <w:w w:val="110"/>
                    <w:sz w:val="18"/>
                  </w:rPr>
                  <w:t xml:space="preserve">the </w:t>
                </w:r>
                <w:r>
                  <w:rPr>
                    <w:color w:val="231F20"/>
                    <w:spacing w:val="21"/>
                    <w:w w:val="110"/>
                    <w:sz w:val="18"/>
                  </w:rPr>
                  <w:t xml:space="preserve"> </w:t>
                </w:r>
                <w:r>
                  <w:rPr>
                    <w:color w:val="231F20"/>
                    <w:spacing w:val="20"/>
                    <w:w w:val="110"/>
                    <w:sz w:val="18"/>
                  </w:rPr>
                  <w:t>stammheim</w:t>
                </w:r>
                <w:r>
                  <w:rPr>
                    <w:color w:val="231F20"/>
                    <w:spacing w:val="81"/>
                    <w:w w:val="110"/>
                    <w:sz w:val="18"/>
                  </w:rPr>
                  <w:t xml:space="preserve"> </w:t>
                </w:r>
                <w:r>
                  <w:rPr>
                    <w:color w:val="231F20"/>
                    <w:spacing w:val="20"/>
                    <w:w w:val="110"/>
                    <w:sz w:val="18"/>
                  </w:rPr>
                  <w:t>deaths</w:t>
                </w:r>
                <w:r>
                  <w:rPr>
                    <w:color w:val="231F20"/>
                    <w:spacing w:val="20"/>
                    <w:w w:val="110"/>
                    <w:sz w:val="18"/>
                  </w:rPr>
                  <w:tab/>
                </w:r>
                <w:r>
                  <w:rPr>
                    <w:color w:val="231F20"/>
                    <w:spacing w:val="12"/>
                    <w:w w:val="105"/>
                    <w:sz w:val="14"/>
                  </w:rPr>
                  <w:t>(14)</w:t>
                </w:r>
                <w:r>
                  <w:rPr>
                    <w:color w:val="231F20"/>
                    <w:spacing w:val="-12"/>
                    <w:sz w:val="14"/>
                  </w:rPr>
                  <w:t xml:space="preserve"> </w:t>
                </w:r>
              </w:p>
            </w:txbxContent>
          </v:textbox>
          <w10:wrap anchorx="page" anchory="page"/>
        </v:shape>
      </w:pict>
    </w:r>
  </w:p>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7C92F" w14:textId="77777777" w:rsidR="001008C3" w:rsidRDefault="00000000">
    <w:pPr>
      <w:pStyle w:val="a3"/>
      <w:spacing w:line="14" w:lineRule="auto"/>
    </w:pPr>
    <w:r>
      <w:rPr>
        <w:noProof w:val="0"/>
      </w:rPr>
      <w:pict w14:anchorId="013D15C1">
        <v:shapetype id="_x0000_t202" coordsize="21600,21600" o:spt="202" path="m,l,21600r21600,l21600,xe">
          <v:stroke joinstyle="miter"/>
          <v:path gradientshapeok="t" o:connecttype="rect"/>
        </v:shapetype>
        <v:shape id="_x0000_s1145" type="#_x0000_t202" style="position:absolute;margin-left:55.4pt;margin-top:594.5pt;width:22.8pt;height:12.55pt;z-index:-449536;mso-position-horizontal-relative:page;mso-position-vertical-relative:page" filled="f" stroked="f">
          <v:textbox inset="0,0,0,0">
            <w:txbxContent>
              <w:p w14:paraId="31809A18"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522</w:t>
                </w:r>
                <w:r>
                  <w:fldChar w:fldCharType="end"/>
                </w:r>
                <w:r>
                  <w:rPr>
                    <w:color w:val="231F20"/>
                    <w:sz w:val="18"/>
                  </w:rPr>
                  <w:t xml:space="preserve"> </w:t>
                </w:r>
              </w:p>
            </w:txbxContent>
          </v:textbox>
          <w10:wrap anchorx="page" anchory="page"/>
        </v:shape>
      </w:pict>
    </w:r>
    <w:r>
      <w:rPr>
        <w:noProof w:val="0"/>
      </w:rPr>
      <w:pict w14:anchorId="1F783713">
        <v:shape id="_x0000_s1144" type="#_x0000_t202" style="position:absolute;margin-left:244.55pt;margin-top:594.5pt;width:123.05pt;height:12.55pt;z-index:-449512;mso-position-horizontal-relative:page;mso-position-vertical-relative:page" filled="f" stroked="f">
          <v:textbox inset="0,0,0,0">
            <w:txbxContent>
              <w:p w14:paraId="13377BB7" w14:textId="77777777" w:rsidR="001008C3" w:rsidRDefault="001008C3">
                <w:pPr>
                  <w:tabs>
                    <w:tab w:val="left" w:pos="2113"/>
                  </w:tabs>
                  <w:spacing w:before="19"/>
                  <w:ind w:left="20"/>
                  <w:rPr>
                    <w:sz w:val="14"/>
                  </w:rPr>
                </w:pPr>
                <w:r>
                  <w:rPr>
                    <w:color w:val="231F20"/>
                    <w:spacing w:val="11"/>
                    <w:w w:val="110"/>
                    <w:sz w:val="18"/>
                  </w:rPr>
                  <w:t xml:space="preserve">on </w:t>
                </w:r>
                <w:r>
                  <w:rPr>
                    <w:color w:val="231F20"/>
                    <w:spacing w:val="35"/>
                    <w:w w:val="110"/>
                    <w:sz w:val="18"/>
                  </w:rPr>
                  <w:t xml:space="preserve"> </w:t>
                </w:r>
                <w:r>
                  <w:rPr>
                    <w:color w:val="231F20"/>
                    <w:spacing w:val="15"/>
                    <w:w w:val="110"/>
                    <w:sz w:val="18"/>
                  </w:rPr>
                  <w:t xml:space="preserve">the </w:t>
                </w:r>
                <w:r>
                  <w:rPr>
                    <w:color w:val="231F20"/>
                    <w:spacing w:val="35"/>
                    <w:w w:val="110"/>
                    <w:sz w:val="18"/>
                  </w:rPr>
                  <w:t xml:space="preserve"> </w:t>
                </w:r>
                <w:r>
                  <w:rPr>
                    <w:color w:val="231F20"/>
                    <w:spacing w:val="21"/>
                    <w:w w:val="110"/>
                    <w:sz w:val="18"/>
                  </w:rPr>
                  <w:t>defensive</w:t>
                </w:r>
                <w:r>
                  <w:rPr>
                    <w:color w:val="231F20"/>
                    <w:spacing w:val="21"/>
                    <w:w w:val="110"/>
                    <w:sz w:val="18"/>
                  </w:rPr>
                  <w:tab/>
                </w:r>
                <w:r>
                  <w:rPr>
                    <w:color w:val="231F20"/>
                    <w:spacing w:val="12"/>
                    <w:w w:val="105"/>
                    <w:sz w:val="14"/>
                  </w:rPr>
                  <w:t>(15)</w:t>
                </w:r>
                <w:r>
                  <w:rPr>
                    <w:color w:val="231F20"/>
                    <w:spacing w:val="-12"/>
                    <w:sz w:val="14"/>
                  </w:rPr>
                  <w:t xml:space="preserve"> </w:t>
                </w:r>
              </w:p>
            </w:txbxContent>
          </v:textbox>
          <w10:wrap anchorx="page" anchory="page"/>
        </v:shape>
      </w:pict>
    </w: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69935" w14:textId="77777777" w:rsidR="001008C3" w:rsidRDefault="00000000">
    <w:pPr>
      <w:pStyle w:val="a3"/>
      <w:spacing w:line="14" w:lineRule="auto"/>
    </w:pPr>
    <w:r>
      <w:rPr>
        <w:noProof w:val="0"/>
      </w:rPr>
      <w:pict w14:anchorId="61E5A2F3">
        <v:shapetype id="_x0000_t202" coordsize="21600,21600" o:spt="202" path="m,l,21600r21600,l21600,xe">
          <v:stroke joinstyle="miter"/>
          <v:path gradientshapeok="t" o:connecttype="rect"/>
        </v:shapetype>
        <v:shape id="_x0000_s1143" type="#_x0000_t202" style="position:absolute;margin-left:65.4pt;margin-top:594.5pt;width:116.6pt;height:12.55pt;z-index:-449488;mso-position-horizontal-relative:page;mso-position-vertical-relative:page" filled="f" stroked="f">
          <v:textbox inset="0,0,0,0">
            <w:txbxContent>
              <w:p w14:paraId="4066CB89"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41A941D2">
        <v:shape id="_x0000_s1142" type="#_x0000_t202" style="position:absolute;margin-left:355.1pt;margin-top:594.5pt;width:22.8pt;height:12.55pt;z-index:-449464;mso-position-horizontal-relative:page;mso-position-vertical-relative:page" filled="f" stroked="f">
          <v:textbox inset="0,0,0,0">
            <w:txbxContent>
              <w:p w14:paraId="54C30C65"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523</w:t>
                </w:r>
                <w:r>
                  <w:fldChar w:fldCharType="end"/>
                </w:r>
                <w:r>
                  <w:rPr>
                    <w:color w:val="231F20"/>
                    <w:sz w:val="18"/>
                  </w:rPr>
                  <w:t xml:space="preserve"> </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AFA89" w14:textId="77777777" w:rsidR="001008C3" w:rsidRDefault="00000000">
    <w:pPr>
      <w:pStyle w:val="a3"/>
      <w:spacing w:line="14" w:lineRule="auto"/>
    </w:pPr>
    <w:r>
      <w:rPr>
        <w:noProof w:val="0"/>
      </w:rPr>
      <w:pict w14:anchorId="0E341103">
        <v:shapetype id="_x0000_t202" coordsize="21600,21600" o:spt="202" path="m,l,21600r21600,l21600,xe">
          <v:stroke joinstyle="miter"/>
          <v:path gradientshapeok="t" o:connecttype="rect"/>
        </v:shapetype>
        <v:shape id="_x0000_s1694" type="#_x0000_t202" style="position:absolute;margin-left:65.4pt;margin-top:594.5pt;width:116.6pt;height:12.55pt;z-index:-462712;mso-position-horizontal-relative:page;mso-position-vertical-relative:page" filled="f" stroked="f">
          <v:textbox inset="0,0,0,0">
            <w:txbxContent>
              <w:p w14:paraId="4073D226"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7E7D5583">
        <v:shape id="_x0000_s1693" type="#_x0000_t202" style="position:absolute;margin-left:361.35pt;margin-top:594.5pt;width:16.55pt;height:12.55pt;z-index:-462688;mso-position-horizontal-relative:page;mso-position-vertical-relative:page" filled="f" stroked="f">
          <v:textbox inset="0,0,0,0">
            <w:txbxContent>
              <w:p w14:paraId="7DBCFE41"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51</w:t>
                </w:r>
                <w:r>
                  <w:fldChar w:fldCharType="end"/>
                </w:r>
                <w:r>
                  <w:rPr>
                    <w:color w:val="231F20"/>
                    <w:sz w:val="18"/>
                  </w:rPr>
                  <w:t xml:space="preserve"> </w:t>
                </w:r>
              </w:p>
            </w:txbxContent>
          </v:textbox>
          <w10:wrap anchorx="page" anchory="page"/>
        </v:shape>
      </w:pict>
    </w:r>
  </w:p>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39FAA" w14:textId="77777777" w:rsidR="001008C3" w:rsidRDefault="00000000">
    <w:pPr>
      <w:pStyle w:val="a3"/>
      <w:spacing w:line="14" w:lineRule="auto"/>
    </w:pPr>
    <w:r>
      <w:rPr>
        <w:noProof w:val="0"/>
      </w:rPr>
      <w:pict w14:anchorId="154EE8E9">
        <v:shapetype id="_x0000_t202" coordsize="21600,21600" o:spt="202" path="m,l,21600r21600,l21600,xe">
          <v:stroke joinstyle="miter"/>
          <v:path gradientshapeok="t" o:connecttype="rect"/>
        </v:shapetype>
        <v:shape id="_x0000_s1139" type="#_x0000_t202" style="position:absolute;margin-left:65.4pt;margin-top:594.5pt;width:116.6pt;height:12.55pt;z-index:-449392;mso-position-horizontal-relative:page;mso-position-vertical-relative:page" filled="f" stroked="f">
          <v:textbox inset="0,0,0,0">
            <w:txbxContent>
              <w:p w14:paraId="1CF927FA"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0F4A0166">
        <v:shape id="_x0000_s1138" type="#_x0000_t202" style="position:absolute;margin-left:356.1pt;margin-top:594.5pt;width:20.8pt;height:12.55pt;z-index:-449368;mso-position-horizontal-relative:page;mso-position-vertical-relative:page" filled="f" stroked="f">
          <v:textbox inset="0,0,0,0">
            <w:txbxContent>
              <w:p w14:paraId="3B53BB20" w14:textId="77777777" w:rsidR="001008C3" w:rsidRDefault="001008C3">
                <w:pPr>
                  <w:spacing w:before="19"/>
                  <w:ind w:left="20"/>
                  <w:rPr>
                    <w:sz w:val="18"/>
                  </w:rPr>
                </w:pPr>
                <w:r>
                  <w:rPr>
                    <w:color w:val="231F20"/>
                    <w:sz w:val="18"/>
                  </w:rPr>
                  <w:t xml:space="preserve">531 </w:t>
                </w:r>
              </w:p>
            </w:txbxContent>
          </v:textbox>
          <w10:wrap anchorx="page" anchory="page"/>
        </v:shape>
      </w:pict>
    </w:r>
  </w:p>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01541" w14:textId="77777777" w:rsidR="001008C3" w:rsidRDefault="00000000">
    <w:pPr>
      <w:pStyle w:val="a3"/>
      <w:spacing w:line="14" w:lineRule="auto"/>
    </w:pPr>
    <w:r>
      <w:rPr>
        <w:noProof w:val="0"/>
      </w:rPr>
      <w:pict w14:anchorId="252455DC">
        <v:shapetype id="_x0000_t202" coordsize="21600,21600" o:spt="202" path="m,l,21600r21600,l21600,xe">
          <v:stroke joinstyle="miter"/>
          <v:path gradientshapeok="t" o:connecttype="rect"/>
        </v:shapetype>
        <v:shape id="_x0000_s1141" type="#_x0000_t202" style="position:absolute;margin-left:56.4pt;margin-top:594.5pt;width:20.8pt;height:12.55pt;z-index:-449440;mso-position-horizontal-relative:page;mso-position-vertical-relative:page" filled="f" stroked="f">
          <v:textbox inset="0,0,0,0">
            <w:txbxContent>
              <w:p w14:paraId="768B10AA" w14:textId="77777777" w:rsidR="001008C3" w:rsidRDefault="001008C3">
                <w:pPr>
                  <w:spacing w:before="19"/>
                  <w:ind w:left="20"/>
                  <w:rPr>
                    <w:sz w:val="18"/>
                  </w:rPr>
                </w:pPr>
                <w:r>
                  <w:rPr>
                    <w:color w:val="231F20"/>
                    <w:sz w:val="18"/>
                  </w:rPr>
                  <w:t xml:space="preserve">530 </w:t>
                </w:r>
              </w:p>
            </w:txbxContent>
          </v:textbox>
          <w10:wrap anchorx="page" anchory="page"/>
        </v:shape>
      </w:pict>
    </w:r>
    <w:r>
      <w:rPr>
        <w:noProof w:val="0"/>
      </w:rPr>
      <w:pict w14:anchorId="7DFEAE69">
        <v:shape id="_x0000_s1140" type="#_x0000_t202" style="position:absolute;margin-left:244.55pt;margin-top:594.5pt;width:123.05pt;height:12.55pt;z-index:-449416;mso-position-horizontal-relative:page;mso-position-vertical-relative:page" filled="f" stroked="f">
          <v:textbox inset="0,0,0,0">
            <w:txbxContent>
              <w:p w14:paraId="586C9ECA" w14:textId="77777777" w:rsidR="001008C3" w:rsidRDefault="001008C3">
                <w:pPr>
                  <w:tabs>
                    <w:tab w:val="left" w:pos="2113"/>
                  </w:tabs>
                  <w:spacing w:before="19"/>
                  <w:ind w:left="20"/>
                  <w:rPr>
                    <w:sz w:val="14"/>
                  </w:rPr>
                </w:pPr>
                <w:r>
                  <w:rPr>
                    <w:color w:val="231F20"/>
                    <w:spacing w:val="11"/>
                    <w:w w:val="110"/>
                    <w:sz w:val="18"/>
                  </w:rPr>
                  <w:t xml:space="preserve">on </w:t>
                </w:r>
                <w:r>
                  <w:rPr>
                    <w:color w:val="231F20"/>
                    <w:spacing w:val="35"/>
                    <w:w w:val="110"/>
                    <w:sz w:val="18"/>
                  </w:rPr>
                  <w:t xml:space="preserve"> </w:t>
                </w:r>
                <w:r>
                  <w:rPr>
                    <w:color w:val="231F20"/>
                    <w:spacing w:val="15"/>
                    <w:w w:val="110"/>
                    <w:sz w:val="18"/>
                  </w:rPr>
                  <w:t xml:space="preserve">the </w:t>
                </w:r>
                <w:r>
                  <w:rPr>
                    <w:color w:val="231F20"/>
                    <w:spacing w:val="35"/>
                    <w:w w:val="110"/>
                    <w:sz w:val="18"/>
                  </w:rPr>
                  <w:t xml:space="preserve"> </w:t>
                </w:r>
                <w:r>
                  <w:rPr>
                    <w:color w:val="231F20"/>
                    <w:spacing w:val="21"/>
                    <w:w w:val="110"/>
                    <w:sz w:val="18"/>
                  </w:rPr>
                  <w:t>defensive</w:t>
                </w:r>
                <w:r>
                  <w:rPr>
                    <w:color w:val="231F20"/>
                    <w:spacing w:val="21"/>
                    <w:w w:val="110"/>
                    <w:sz w:val="18"/>
                  </w:rPr>
                  <w:tab/>
                </w:r>
                <w:r>
                  <w:rPr>
                    <w:color w:val="231F20"/>
                    <w:spacing w:val="12"/>
                    <w:w w:val="105"/>
                    <w:sz w:val="14"/>
                  </w:rPr>
                  <w:t>(15)</w:t>
                </w:r>
                <w:r>
                  <w:rPr>
                    <w:color w:val="231F20"/>
                    <w:spacing w:val="-12"/>
                    <w:sz w:val="14"/>
                  </w:rPr>
                  <w:t xml:space="preserve"> </w:t>
                </w:r>
              </w:p>
            </w:txbxContent>
          </v:textbox>
          <w10:wrap anchorx="page" anchory="page"/>
        </v:shape>
      </w:pict>
    </w: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18CCB" w14:textId="77777777" w:rsidR="001008C3" w:rsidRDefault="00000000">
    <w:pPr>
      <w:pStyle w:val="a3"/>
      <w:spacing w:line="14" w:lineRule="auto"/>
    </w:pPr>
    <w:r>
      <w:rPr>
        <w:noProof w:val="0"/>
      </w:rPr>
      <w:pict w14:anchorId="2E75FC04">
        <v:shapetype id="_x0000_t202" coordsize="21600,21600" o:spt="202" path="m,l,21600r21600,l21600,xe">
          <v:stroke joinstyle="miter"/>
          <v:path gradientshapeok="t" o:connecttype="rect"/>
        </v:shapetype>
        <v:shape id="_x0000_s1137" type="#_x0000_t202" style="position:absolute;margin-left:55.4pt;margin-top:594.5pt;width:22.8pt;height:12.55pt;z-index:-449344;mso-position-horizontal-relative:page;mso-position-vertical-relative:page" filled="f" stroked="f">
          <v:textbox inset="0,0,0,0">
            <w:txbxContent>
              <w:p w14:paraId="63D6E461"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532</w:t>
                </w:r>
                <w:r>
                  <w:fldChar w:fldCharType="end"/>
                </w:r>
                <w:r>
                  <w:rPr>
                    <w:color w:val="231F20"/>
                    <w:sz w:val="18"/>
                  </w:rPr>
                  <w:t xml:space="preserve"> </w:t>
                </w:r>
              </w:p>
            </w:txbxContent>
          </v:textbox>
          <w10:wrap anchorx="page" anchory="page"/>
        </v:shape>
      </w:pict>
    </w:r>
    <w:r>
      <w:rPr>
        <w:noProof w:val="0"/>
      </w:rPr>
      <w:pict w14:anchorId="7F51E151">
        <v:shape id="_x0000_s1136" type="#_x0000_t202" style="position:absolute;margin-left:244.55pt;margin-top:594.5pt;width:123.05pt;height:12.55pt;z-index:-449320;mso-position-horizontal-relative:page;mso-position-vertical-relative:page" filled="f" stroked="f">
          <v:textbox inset="0,0,0,0">
            <w:txbxContent>
              <w:p w14:paraId="3022ADFE" w14:textId="77777777" w:rsidR="001008C3" w:rsidRDefault="001008C3">
                <w:pPr>
                  <w:tabs>
                    <w:tab w:val="left" w:pos="2113"/>
                  </w:tabs>
                  <w:spacing w:before="19"/>
                  <w:ind w:left="20"/>
                  <w:rPr>
                    <w:sz w:val="14"/>
                  </w:rPr>
                </w:pPr>
                <w:r>
                  <w:rPr>
                    <w:color w:val="231F20"/>
                    <w:spacing w:val="11"/>
                    <w:w w:val="110"/>
                    <w:sz w:val="18"/>
                  </w:rPr>
                  <w:t xml:space="preserve">on </w:t>
                </w:r>
                <w:r>
                  <w:rPr>
                    <w:color w:val="231F20"/>
                    <w:spacing w:val="35"/>
                    <w:w w:val="110"/>
                    <w:sz w:val="18"/>
                  </w:rPr>
                  <w:t xml:space="preserve"> </w:t>
                </w:r>
                <w:r>
                  <w:rPr>
                    <w:color w:val="231F20"/>
                    <w:spacing w:val="15"/>
                    <w:w w:val="110"/>
                    <w:sz w:val="18"/>
                  </w:rPr>
                  <w:t xml:space="preserve">the </w:t>
                </w:r>
                <w:r>
                  <w:rPr>
                    <w:color w:val="231F20"/>
                    <w:spacing w:val="35"/>
                    <w:w w:val="110"/>
                    <w:sz w:val="18"/>
                  </w:rPr>
                  <w:t xml:space="preserve"> </w:t>
                </w:r>
                <w:r>
                  <w:rPr>
                    <w:color w:val="231F20"/>
                    <w:spacing w:val="21"/>
                    <w:w w:val="110"/>
                    <w:sz w:val="18"/>
                  </w:rPr>
                  <w:t>defensive</w:t>
                </w:r>
                <w:r>
                  <w:rPr>
                    <w:color w:val="231F20"/>
                    <w:spacing w:val="21"/>
                    <w:w w:val="110"/>
                    <w:sz w:val="18"/>
                  </w:rPr>
                  <w:tab/>
                </w:r>
                <w:r>
                  <w:rPr>
                    <w:color w:val="231F20"/>
                    <w:spacing w:val="12"/>
                    <w:w w:val="105"/>
                    <w:sz w:val="14"/>
                  </w:rPr>
                  <w:t>(15)</w:t>
                </w:r>
                <w:r>
                  <w:rPr>
                    <w:color w:val="231F20"/>
                    <w:spacing w:val="-12"/>
                    <w:sz w:val="14"/>
                  </w:rPr>
                  <w:t xml:space="preserve"> </w:t>
                </w:r>
              </w:p>
            </w:txbxContent>
          </v:textbox>
          <w10:wrap anchorx="page" anchory="page"/>
        </v:shape>
      </w:pict>
    </w: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D1229" w14:textId="77777777" w:rsidR="001008C3" w:rsidRDefault="00000000">
    <w:pPr>
      <w:pStyle w:val="a3"/>
      <w:spacing w:line="14" w:lineRule="auto"/>
    </w:pPr>
    <w:r>
      <w:rPr>
        <w:noProof w:val="0"/>
      </w:rPr>
      <w:pict w14:anchorId="033DE5A7">
        <v:shapetype id="_x0000_t202" coordsize="21600,21600" o:spt="202" path="m,l,21600r21600,l21600,xe">
          <v:stroke joinstyle="miter"/>
          <v:path gradientshapeok="t" o:connecttype="rect"/>
        </v:shapetype>
        <v:shape id="_x0000_s1135" type="#_x0000_t202" style="position:absolute;margin-left:65.4pt;margin-top:594.5pt;width:116.6pt;height:12.55pt;z-index:-449296;mso-position-horizontal-relative:page;mso-position-vertical-relative:page" filled="f" stroked="f">
          <v:textbox inset="0,0,0,0">
            <w:txbxContent>
              <w:p w14:paraId="0090001F"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789FE9A4">
        <v:shape id="_x0000_s1134" type="#_x0000_t202" style="position:absolute;margin-left:355.1pt;margin-top:594.5pt;width:22.8pt;height:12.55pt;z-index:-449272;mso-position-horizontal-relative:page;mso-position-vertical-relative:page" filled="f" stroked="f">
          <v:textbox inset="0,0,0,0">
            <w:txbxContent>
              <w:p w14:paraId="42A4D2B5"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533</w:t>
                </w:r>
                <w:r>
                  <w:fldChar w:fldCharType="end"/>
                </w:r>
                <w:r>
                  <w:rPr>
                    <w:color w:val="231F20"/>
                    <w:sz w:val="18"/>
                  </w:rPr>
                  <w:t xml:space="preserve"> </w:t>
                </w:r>
              </w:p>
            </w:txbxContent>
          </v:textbox>
          <w10:wrap anchorx="page" anchory="page"/>
        </v:shape>
      </w:pict>
    </w:r>
  </w:p>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CC340" w14:textId="77777777" w:rsidR="001008C3" w:rsidRDefault="00000000">
    <w:pPr>
      <w:pStyle w:val="a3"/>
      <w:spacing w:line="14" w:lineRule="auto"/>
    </w:pPr>
    <w:r>
      <w:rPr>
        <w:noProof w:val="0"/>
      </w:rPr>
      <w:pict w14:anchorId="29D33EB4">
        <v:shapetype id="_x0000_t202" coordsize="21600,21600" o:spt="202" path="m,l,21600r21600,l21600,xe">
          <v:stroke joinstyle="miter"/>
          <v:path gradientshapeok="t" o:connecttype="rect"/>
        </v:shapetype>
        <v:shape id="_x0000_s1131" type="#_x0000_t202" style="position:absolute;margin-left:65.4pt;margin-top:594.5pt;width:116.6pt;height:12.55pt;z-index:-449200;mso-position-horizontal-relative:page;mso-position-vertical-relative:page" filled="f" stroked="f">
          <v:textbox inset="0,0,0,0">
            <w:txbxContent>
              <w:p w14:paraId="1755A854"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28194F31">
        <v:shape id="_x0000_s1130" type="#_x0000_t202" style="position:absolute;margin-left:356.1pt;margin-top:594.5pt;width:20.8pt;height:12.55pt;z-index:-449176;mso-position-horizontal-relative:page;mso-position-vertical-relative:page" filled="f" stroked="f">
          <v:textbox inset="0,0,0,0">
            <w:txbxContent>
              <w:p w14:paraId="1B1F9358" w14:textId="77777777" w:rsidR="001008C3" w:rsidRDefault="001008C3">
                <w:pPr>
                  <w:spacing w:before="19"/>
                  <w:ind w:left="20"/>
                  <w:rPr>
                    <w:sz w:val="18"/>
                  </w:rPr>
                </w:pPr>
                <w:r>
                  <w:rPr>
                    <w:color w:val="231F20"/>
                    <w:sz w:val="18"/>
                  </w:rPr>
                  <w:t xml:space="preserve">541 </w:t>
                </w:r>
              </w:p>
            </w:txbxContent>
          </v:textbox>
          <w10:wrap anchorx="page" anchory="page"/>
        </v:shape>
      </w:pic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5BAE" w14:textId="77777777" w:rsidR="001008C3" w:rsidRDefault="00000000">
    <w:pPr>
      <w:pStyle w:val="a3"/>
      <w:spacing w:line="14" w:lineRule="auto"/>
    </w:pPr>
    <w:r>
      <w:rPr>
        <w:noProof w:val="0"/>
      </w:rPr>
      <w:pict w14:anchorId="6DFFCF6F">
        <v:shapetype id="_x0000_t202" coordsize="21600,21600" o:spt="202" path="m,l,21600r21600,l21600,xe">
          <v:stroke joinstyle="miter"/>
          <v:path gradientshapeok="t" o:connecttype="rect"/>
        </v:shapetype>
        <v:shape id="_x0000_s1133" type="#_x0000_t202" style="position:absolute;margin-left:56.4pt;margin-top:594.5pt;width:20.8pt;height:12.55pt;z-index:-449248;mso-position-horizontal-relative:page;mso-position-vertical-relative:page" filled="f" stroked="f">
          <v:textbox inset="0,0,0,0">
            <w:txbxContent>
              <w:p w14:paraId="17379EAB" w14:textId="77777777" w:rsidR="001008C3" w:rsidRDefault="001008C3">
                <w:pPr>
                  <w:spacing w:before="19"/>
                  <w:ind w:left="20"/>
                  <w:rPr>
                    <w:sz w:val="18"/>
                  </w:rPr>
                </w:pPr>
                <w:r>
                  <w:rPr>
                    <w:color w:val="231F20"/>
                    <w:sz w:val="18"/>
                  </w:rPr>
                  <w:t xml:space="preserve">540 </w:t>
                </w:r>
              </w:p>
            </w:txbxContent>
          </v:textbox>
          <w10:wrap anchorx="page" anchory="page"/>
        </v:shape>
      </w:pict>
    </w:r>
    <w:r>
      <w:rPr>
        <w:noProof w:val="0"/>
      </w:rPr>
      <w:pict w14:anchorId="09C5BDDA">
        <v:shape id="_x0000_s1132" type="#_x0000_t202" style="position:absolute;margin-left:244.55pt;margin-top:594.5pt;width:123.05pt;height:12.55pt;z-index:-449224;mso-position-horizontal-relative:page;mso-position-vertical-relative:page" filled="f" stroked="f">
          <v:textbox inset="0,0,0,0">
            <w:txbxContent>
              <w:p w14:paraId="59088255" w14:textId="77777777" w:rsidR="001008C3" w:rsidRDefault="001008C3">
                <w:pPr>
                  <w:tabs>
                    <w:tab w:val="left" w:pos="2113"/>
                  </w:tabs>
                  <w:spacing w:before="19"/>
                  <w:ind w:left="20"/>
                  <w:rPr>
                    <w:sz w:val="14"/>
                  </w:rPr>
                </w:pPr>
                <w:r>
                  <w:rPr>
                    <w:color w:val="231F20"/>
                    <w:spacing w:val="11"/>
                    <w:w w:val="110"/>
                    <w:sz w:val="18"/>
                  </w:rPr>
                  <w:t xml:space="preserve">on </w:t>
                </w:r>
                <w:r>
                  <w:rPr>
                    <w:color w:val="231F20"/>
                    <w:spacing w:val="35"/>
                    <w:w w:val="110"/>
                    <w:sz w:val="18"/>
                  </w:rPr>
                  <w:t xml:space="preserve"> </w:t>
                </w:r>
                <w:r>
                  <w:rPr>
                    <w:color w:val="231F20"/>
                    <w:spacing w:val="15"/>
                    <w:w w:val="110"/>
                    <w:sz w:val="18"/>
                  </w:rPr>
                  <w:t xml:space="preserve">the </w:t>
                </w:r>
                <w:r>
                  <w:rPr>
                    <w:color w:val="231F20"/>
                    <w:spacing w:val="35"/>
                    <w:w w:val="110"/>
                    <w:sz w:val="18"/>
                  </w:rPr>
                  <w:t xml:space="preserve"> </w:t>
                </w:r>
                <w:r>
                  <w:rPr>
                    <w:color w:val="231F20"/>
                    <w:spacing w:val="21"/>
                    <w:w w:val="110"/>
                    <w:sz w:val="18"/>
                  </w:rPr>
                  <w:t>defensive</w:t>
                </w:r>
                <w:r>
                  <w:rPr>
                    <w:color w:val="231F20"/>
                    <w:spacing w:val="21"/>
                    <w:w w:val="110"/>
                    <w:sz w:val="18"/>
                  </w:rPr>
                  <w:tab/>
                </w:r>
                <w:r>
                  <w:rPr>
                    <w:color w:val="231F20"/>
                    <w:spacing w:val="12"/>
                    <w:w w:val="105"/>
                    <w:sz w:val="14"/>
                  </w:rPr>
                  <w:t>(15)</w:t>
                </w:r>
                <w:r>
                  <w:rPr>
                    <w:color w:val="231F20"/>
                    <w:spacing w:val="-12"/>
                    <w:sz w:val="14"/>
                  </w:rPr>
                  <w:t xml:space="preserve"> </w:t>
                </w:r>
              </w:p>
            </w:txbxContent>
          </v:textbox>
          <w10:wrap anchorx="page" anchory="page"/>
        </v:shape>
      </w:pict>
    </w: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2EBDE" w14:textId="77777777" w:rsidR="001008C3" w:rsidRDefault="001008C3">
    <w:pPr>
      <w:pStyle w:val="a3"/>
      <w:spacing w:line="14" w:lineRule="auto"/>
      <w:rPr>
        <w:sz w:val="2"/>
      </w:rPr>
    </w:pPr>
  </w:p>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E46F4" w14:textId="77777777" w:rsidR="001008C3" w:rsidRDefault="00000000">
    <w:pPr>
      <w:pStyle w:val="a3"/>
      <w:spacing w:line="14" w:lineRule="auto"/>
    </w:pPr>
    <w:r>
      <w:rPr>
        <w:noProof w:val="0"/>
      </w:rPr>
      <w:pict w14:anchorId="021116A9">
        <v:shapetype id="_x0000_t202" coordsize="21600,21600" o:spt="202" path="m,l,21600r21600,l21600,xe">
          <v:stroke joinstyle="miter"/>
          <v:path gradientshapeok="t" o:connecttype="rect"/>
        </v:shapetype>
        <v:shape id="_x0000_s1128" type="#_x0000_t202" style="position:absolute;margin-left:55.4pt;margin-top:594.5pt;width:22.8pt;height:12.55pt;z-index:-449128;mso-position-horizontal-relative:page;mso-position-vertical-relative:page" filled="f" stroked="f">
          <v:textbox inset="0,0,0,0">
            <w:txbxContent>
              <w:p w14:paraId="706251DB"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544</w:t>
                </w:r>
                <w:r>
                  <w:fldChar w:fldCharType="end"/>
                </w:r>
                <w:r>
                  <w:rPr>
                    <w:color w:val="231F20"/>
                    <w:sz w:val="18"/>
                  </w:rPr>
                  <w:t xml:space="preserve"> </w:t>
                </w:r>
              </w:p>
            </w:txbxContent>
          </v:textbox>
          <w10:wrap anchorx="page" anchory="page"/>
        </v:shape>
      </w:pict>
    </w:r>
    <w:r>
      <w:rPr>
        <w:noProof w:val="0"/>
      </w:rPr>
      <w:pict w14:anchorId="649F094A">
        <v:shape id="_x0000_s1127" type="#_x0000_t202" style="position:absolute;margin-left:309.05pt;margin-top:594.5pt;width:57.6pt;height:12.55pt;z-index:-449104;mso-position-horizontal-relative:page;mso-position-vertical-relative:page" filled="f" stroked="f">
          <v:textbox inset="0,0,0,0">
            <w:txbxContent>
              <w:p w14:paraId="0539059D" w14:textId="77777777" w:rsidR="001008C3" w:rsidRDefault="001008C3">
                <w:pPr>
                  <w:spacing w:before="19"/>
                  <w:ind w:left="20"/>
                  <w:rPr>
                    <w:sz w:val="18"/>
                  </w:rPr>
                </w:pPr>
                <w:r>
                  <w:rPr>
                    <w:color w:val="231F20"/>
                    <w:w w:val="110"/>
                    <w:sz w:val="18"/>
                  </w:rPr>
                  <w:t>ap p e n dix i</w:t>
                </w:r>
              </w:p>
            </w:txbxContent>
          </v:textbox>
          <w10:wrap anchorx="page" anchory="page"/>
        </v:shape>
      </w:pict>
    </w: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BFEC5" w14:textId="77777777" w:rsidR="001008C3" w:rsidRDefault="00000000">
    <w:pPr>
      <w:pStyle w:val="a3"/>
      <w:spacing w:line="14" w:lineRule="auto"/>
    </w:pPr>
    <w:r>
      <w:rPr>
        <w:noProof w:val="0"/>
      </w:rPr>
      <w:pict w14:anchorId="4434490E">
        <v:shapetype id="_x0000_t202" coordsize="21600,21600" o:spt="202" path="m,l,21600r21600,l21600,xe">
          <v:stroke joinstyle="miter"/>
          <v:path gradientshapeok="t" o:connecttype="rect"/>
        </v:shapetype>
        <v:shape id="_x0000_s1129" type="#_x0000_t202" style="position:absolute;margin-left:355.1pt;margin-top:594.5pt;width:22.8pt;height:12.55pt;z-index:-449152;mso-position-horizontal-relative:page;mso-position-vertical-relative:page" filled="f" stroked="f">
          <v:textbox inset="0,0,0,0">
            <w:txbxContent>
              <w:p w14:paraId="4694C42A"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543</w:t>
                </w:r>
                <w:r>
                  <w:fldChar w:fldCharType="end"/>
                </w:r>
                <w:r>
                  <w:rPr>
                    <w:color w:val="231F20"/>
                    <w:sz w:val="18"/>
                  </w:rPr>
                  <w:t xml:space="preserve"> </w:t>
                </w:r>
              </w:p>
            </w:txbxContent>
          </v:textbox>
          <w10:wrap anchorx="page" anchory="page"/>
        </v:shape>
      </w:pict>
    </w: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81C9" w14:textId="77777777" w:rsidR="001008C3" w:rsidRDefault="00000000">
    <w:pPr>
      <w:pStyle w:val="a3"/>
      <w:spacing w:line="14" w:lineRule="auto"/>
    </w:pPr>
    <w:r>
      <w:rPr>
        <w:noProof w:val="0"/>
      </w:rPr>
      <w:pict w14:anchorId="24E38185">
        <v:shapetype id="_x0000_t202" coordsize="21600,21600" o:spt="202" path="m,l,21600r21600,l21600,xe">
          <v:stroke joinstyle="miter"/>
          <v:path gradientshapeok="t" o:connecttype="rect"/>
        </v:shapetype>
        <v:shape id="_x0000_s1125" type="#_x0000_t202" style="position:absolute;margin-left:55.4pt;margin-top:594.5pt;width:22.8pt;height:12.55pt;z-index:-449056;mso-position-horizontal-relative:page;mso-position-vertical-relative:page" filled="f" stroked="f">
          <v:textbox inset="0,0,0,0">
            <w:txbxContent>
              <w:p w14:paraId="45A2D322"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546</w:t>
                </w:r>
                <w:r>
                  <w:fldChar w:fldCharType="end"/>
                </w:r>
                <w:r>
                  <w:rPr>
                    <w:color w:val="231F20"/>
                    <w:sz w:val="18"/>
                  </w:rPr>
                  <w:t xml:space="preserve"> </w:t>
                </w:r>
              </w:p>
            </w:txbxContent>
          </v:textbox>
          <w10:wrap anchorx="page" anchory="page"/>
        </v:shape>
      </w:pict>
    </w:r>
    <w:r>
      <w:rPr>
        <w:noProof w:val="0"/>
      </w:rPr>
      <w:pict w14:anchorId="46EC8037">
        <v:shape id="_x0000_s1124" type="#_x0000_t202" style="position:absolute;margin-left:309.05pt;margin-top:594.5pt;width:57.6pt;height:12.55pt;z-index:-449032;mso-position-horizontal-relative:page;mso-position-vertical-relative:page" filled="f" stroked="f">
          <v:textbox inset="0,0,0,0">
            <w:txbxContent>
              <w:p w14:paraId="67609E49" w14:textId="77777777" w:rsidR="001008C3" w:rsidRDefault="001008C3">
                <w:pPr>
                  <w:spacing w:before="19"/>
                  <w:ind w:left="20"/>
                  <w:rPr>
                    <w:sz w:val="18"/>
                  </w:rPr>
                </w:pPr>
                <w:r>
                  <w:rPr>
                    <w:color w:val="231F20"/>
                    <w:w w:val="110"/>
                    <w:sz w:val="18"/>
                  </w:rPr>
                  <w:t>ap p e n dix i</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3C1A2" w14:textId="77777777" w:rsidR="001008C3" w:rsidRDefault="00000000">
    <w:pPr>
      <w:pStyle w:val="a3"/>
      <w:spacing w:line="14" w:lineRule="auto"/>
    </w:pPr>
    <w:r>
      <w:rPr>
        <w:noProof w:val="0"/>
      </w:rPr>
      <w:pict w14:anchorId="29466FFD">
        <v:shapetype id="_x0000_t202" coordsize="21600,21600" o:spt="202" path="m,l,21600r21600,l21600,xe">
          <v:stroke joinstyle="miter"/>
          <v:path gradientshapeok="t" o:connecttype="rect"/>
        </v:shapetype>
        <v:shape id="_x0000_s1692" type="#_x0000_t202" style="position:absolute;margin-left:55.4pt;margin-top:594.5pt;width:16.55pt;height:12.55pt;z-index:-462664;mso-position-horizontal-relative:page;mso-position-vertical-relative:page" filled="f" stroked="f">
          <v:textbox inset="0,0,0,0">
            <w:txbxContent>
              <w:p w14:paraId="15C51655"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54</w:t>
                </w:r>
                <w:r>
                  <w:fldChar w:fldCharType="end"/>
                </w:r>
                <w:r>
                  <w:rPr>
                    <w:color w:val="231F20"/>
                    <w:sz w:val="18"/>
                  </w:rPr>
                  <w:t xml:space="preserve"> </w:t>
                </w:r>
              </w:p>
            </w:txbxContent>
          </v:textbox>
          <w10:wrap anchorx="page" anchory="page"/>
        </v:shape>
      </w:pict>
    </w:r>
    <w:r>
      <w:rPr>
        <w:noProof w:val="0"/>
      </w:rPr>
      <w:pict w14:anchorId="0E42F7E2">
        <v:shape id="_x0000_s1691" type="#_x0000_t202" style="position:absolute;margin-left:243pt;margin-top:594.5pt;width:124.6pt;height:12.55pt;z-index:-462640;mso-position-horizontal-relative:page;mso-position-vertical-relative:page" filled="f" stroked="f">
          <v:textbox inset="0,0,0,0">
            <w:txbxContent>
              <w:p w14:paraId="3F80ED60" w14:textId="77777777" w:rsidR="001008C3" w:rsidRDefault="001008C3">
                <w:pPr>
                  <w:tabs>
                    <w:tab w:val="left" w:pos="2242"/>
                  </w:tabs>
                  <w:spacing w:before="19"/>
                  <w:ind w:left="20"/>
                  <w:rPr>
                    <w:sz w:val="14"/>
                  </w:rPr>
                </w:pPr>
                <w:r>
                  <w:rPr>
                    <w:color w:val="231F20"/>
                    <w:spacing w:val="20"/>
                    <w:w w:val="110"/>
                    <w:sz w:val="18"/>
                  </w:rPr>
                  <w:t xml:space="preserve">taking  </w:t>
                </w:r>
                <w:r>
                  <w:rPr>
                    <w:color w:val="231F20"/>
                    <w:spacing w:val="11"/>
                    <w:w w:val="110"/>
                    <w:sz w:val="18"/>
                  </w:rPr>
                  <w:t xml:space="preserve">up </w:t>
                </w:r>
                <w:r>
                  <w:rPr>
                    <w:color w:val="231F20"/>
                    <w:spacing w:val="33"/>
                    <w:w w:val="110"/>
                    <w:sz w:val="18"/>
                  </w:rPr>
                  <w:t xml:space="preserve"> </w:t>
                </w:r>
                <w:r>
                  <w:rPr>
                    <w:color w:val="231F20"/>
                    <w:spacing w:val="15"/>
                    <w:w w:val="110"/>
                    <w:sz w:val="18"/>
                  </w:rPr>
                  <w:t xml:space="preserve">the </w:t>
                </w:r>
                <w:r>
                  <w:rPr>
                    <w:color w:val="231F20"/>
                    <w:spacing w:val="28"/>
                    <w:w w:val="110"/>
                    <w:sz w:val="18"/>
                  </w:rPr>
                  <w:t xml:space="preserve"> </w:t>
                </w:r>
                <w:r>
                  <w:rPr>
                    <w:color w:val="231F20"/>
                    <w:spacing w:val="15"/>
                    <w:w w:val="110"/>
                    <w:sz w:val="18"/>
                  </w:rPr>
                  <w:t>gun</w:t>
                </w:r>
                <w:r>
                  <w:rPr>
                    <w:color w:val="231F20"/>
                    <w:spacing w:val="15"/>
                    <w:w w:val="110"/>
                    <w:sz w:val="18"/>
                  </w:rPr>
                  <w:tab/>
                </w:r>
                <w:r>
                  <w:rPr>
                    <w:color w:val="231F20"/>
                    <w:spacing w:val="11"/>
                    <w:w w:val="105"/>
                    <w:sz w:val="14"/>
                  </w:rPr>
                  <w:t>(3)</w:t>
                </w:r>
                <w:r>
                  <w:rPr>
                    <w:color w:val="231F20"/>
                    <w:spacing w:val="-12"/>
                    <w:sz w:val="14"/>
                  </w:rPr>
                  <w:t xml:space="preserve"> </w:t>
                </w:r>
              </w:p>
            </w:txbxContent>
          </v:textbox>
          <w10:wrap anchorx="page" anchory="page"/>
        </v:shape>
      </w:pict>
    </w: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913A9" w14:textId="77777777" w:rsidR="001008C3" w:rsidRDefault="00000000">
    <w:pPr>
      <w:pStyle w:val="a3"/>
      <w:spacing w:line="14" w:lineRule="auto"/>
    </w:pPr>
    <w:r>
      <w:rPr>
        <w:noProof w:val="0"/>
      </w:rPr>
      <w:pict w14:anchorId="79FFA0F5">
        <v:shapetype id="_x0000_t202" coordsize="21600,21600" o:spt="202" path="m,l,21600r21600,l21600,xe">
          <v:stroke joinstyle="miter"/>
          <v:path gradientshapeok="t" o:connecttype="rect"/>
        </v:shapetype>
        <v:shape id="_x0000_s1126" type="#_x0000_t202" style="position:absolute;margin-left:65.4pt;margin-top:594.5pt;width:312.5pt;height:12.55pt;z-index:-449080;mso-position-horizontal-relative:page;mso-position-vertical-relative:page" filled="f" stroked="f">
          <v:textbox inset="0,0,0,0">
            <w:txbxContent>
              <w:p w14:paraId="5E9E6FAD" w14:textId="77777777" w:rsidR="001008C3" w:rsidRPr="00846956" w:rsidRDefault="001008C3">
                <w:pPr>
                  <w:spacing w:before="19"/>
                  <w:ind w:left="20"/>
                  <w:rPr>
                    <w:sz w:val="18"/>
                    <w:lang w:val="de-DE"/>
                  </w:rPr>
                </w:pPr>
                <w:r w:rsidRPr="00846956">
                  <w:rPr>
                    <w:color w:val="231F20"/>
                    <w:spacing w:val="20"/>
                    <w:w w:val="115"/>
                    <w:sz w:val="18"/>
                    <w:lang w:val="de-DE"/>
                  </w:rPr>
                  <w:t xml:space="preserve">excerpts </w:t>
                </w:r>
                <w:r w:rsidRPr="00846956">
                  <w:rPr>
                    <w:color w:val="231F20"/>
                    <w:spacing w:val="16"/>
                    <w:w w:val="115"/>
                    <w:sz w:val="18"/>
                    <w:lang w:val="de-DE"/>
                  </w:rPr>
                  <w:t xml:space="preserve">from </w:t>
                </w:r>
                <w:r w:rsidRPr="00846956">
                  <w:rPr>
                    <w:color w:val="231F20"/>
                    <w:spacing w:val="15"/>
                    <w:w w:val="115"/>
                    <w:sz w:val="18"/>
                    <w:lang w:val="de-DE"/>
                  </w:rPr>
                  <w:t xml:space="preserve">the </w:t>
                </w:r>
                <w:r w:rsidRPr="00846956">
                  <w:rPr>
                    <w:color w:val="231F20"/>
                    <w:spacing w:val="21"/>
                    <w:w w:val="115"/>
                    <w:sz w:val="18"/>
                    <w:lang w:val="de-DE"/>
                  </w:rPr>
                  <w:t xml:space="preserve">frankfurter allgemeine </w:t>
                </w:r>
                <w:r w:rsidRPr="00846956">
                  <w:rPr>
                    <w:color w:val="231F20"/>
                    <w:spacing w:val="20"/>
                    <w:w w:val="115"/>
                    <w:sz w:val="18"/>
                    <w:lang w:val="de-DE"/>
                  </w:rPr>
                  <w:t>zeitung</w:t>
                </w:r>
                <w:r w:rsidRPr="00846956">
                  <w:rPr>
                    <w:color w:val="231F20"/>
                    <w:spacing w:val="75"/>
                    <w:w w:val="115"/>
                    <w:sz w:val="18"/>
                    <w:lang w:val="de-DE"/>
                  </w:rPr>
                  <w:t xml:space="preserve"> </w:t>
                </w:r>
                <w:r>
                  <w:fldChar w:fldCharType="begin"/>
                </w:r>
                <w:r w:rsidRPr="00846956">
                  <w:rPr>
                    <w:color w:val="231F20"/>
                    <w:w w:val="115"/>
                    <w:sz w:val="18"/>
                    <w:lang w:val="de-DE"/>
                  </w:rPr>
                  <w:instrText xml:space="preserve"> PAGE </w:instrText>
                </w:r>
                <w:r>
                  <w:fldChar w:fldCharType="separate"/>
                </w:r>
                <w:r w:rsidRPr="00846956">
                  <w:rPr>
                    <w:lang w:val="de-DE"/>
                  </w:rPr>
                  <w:t>545</w:t>
                </w:r>
                <w:r>
                  <w:fldChar w:fldCharType="end"/>
                </w:r>
                <w:r w:rsidRPr="00846956">
                  <w:rPr>
                    <w:color w:val="231F20"/>
                    <w:spacing w:val="-15"/>
                    <w:sz w:val="18"/>
                    <w:lang w:val="de-DE"/>
                  </w:rPr>
                  <w:t xml:space="preserve"> </w:t>
                </w:r>
              </w:p>
            </w:txbxContent>
          </v:textbox>
          <w10:wrap anchorx="page" anchory="page"/>
        </v:shape>
      </w:pict>
    </w: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44656" w14:textId="77777777" w:rsidR="001008C3" w:rsidRDefault="00000000">
    <w:pPr>
      <w:pStyle w:val="a3"/>
      <w:spacing w:line="14" w:lineRule="auto"/>
    </w:pPr>
    <w:r>
      <w:rPr>
        <w:noProof w:val="0"/>
      </w:rPr>
      <w:pict w14:anchorId="5ECED52E">
        <v:shapetype id="_x0000_t202" coordsize="21600,21600" o:spt="202" path="m,l,21600r21600,l21600,xe">
          <v:stroke joinstyle="miter"/>
          <v:path gradientshapeok="t" o:connecttype="rect"/>
        </v:shapetype>
        <v:shape id="_x0000_s1121" type="#_x0000_t202" style="position:absolute;margin-left:56.4pt;margin-top:594.5pt;width:20.8pt;height:12.55pt;z-index:-448960;mso-position-horizontal-relative:page;mso-position-vertical-relative:page" filled="f" stroked="f">
          <v:textbox inset="0,0,0,0">
            <w:txbxContent>
              <w:p w14:paraId="4E3583D9" w14:textId="77777777" w:rsidR="001008C3" w:rsidRDefault="001008C3">
                <w:pPr>
                  <w:spacing w:before="19"/>
                  <w:ind w:left="20"/>
                  <w:rPr>
                    <w:sz w:val="18"/>
                  </w:rPr>
                </w:pPr>
                <w:r>
                  <w:rPr>
                    <w:color w:val="231F20"/>
                    <w:sz w:val="18"/>
                  </w:rPr>
                  <w:t xml:space="preserve">550 </w:t>
                </w:r>
              </w:p>
            </w:txbxContent>
          </v:textbox>
          <w10:wrap anchorx="page" anchory="page"/>
        </v:shape>
      </w:pict>
    </w:r>
    <w:r>
      <w:rPr>
        <w:noProof w:val="0"/>
      </w:rPr>
      <w:pict w14:anchorId="3FD5416B">
        <v:shape id="_x0000_s1120" type="#_x0000_t202" style="position:absolute;margin-left:300.55pt;margin-top:594.5pt;width:66.1pt;height:12.55pt;z-index:-448936;mso-position-horizontal-relative:page;mso-position-vertical-relative:page" filled="f" stroked="f">
          <v:textbox inset="0,0,0,0">
            <w:txbxContent>
              <w:p w14:paraId="5D1CDB7C" w14:textId="77777777" w:rsidR="001008C3" w:rsidRDefault="001008C3">
                <w:pPr>
                  <w:spacing w:before="19"/>
                  <w:ind w:left="20"/>
                  <w:rPr>
                    <w:sz w:val="18"/>
                  </w:rPr>
                </w:pPr>
                <w:r>
                  <w:rPr>
                    <w:color w:val="231F20"/>
                    <w:spacing w:val="11"/>
                    <w:w w:val="110"/>
                    <w:sz w:val="18"/>
                  </w:rPr>
                  <w:t>ap</w:t>
                </w:r>
                <w:r>
                  <w:rPr>
                    <w:color w:val="231F20"/>
                    <w:spacing w:val="-20"/>
                    <w:w w:val="110"/>
                    <w:sz w:val="18"/>
                  </w:rPr>
                  <w:t xml:space="preserve"> </w:t>
                </w:r>
                <w:r>
                  <w:rPr>
                    <w:color w:val="231F20"/>
                    <w:w w:val="110"/>
                    <w:sz w:val="18"/>
                  </w:rPr>
                  <w:t>p</w:t>
                </w:r>
                <w:r>
                  <w:rPr>
                    <w:color w:val="231F20"/>
                    <w:spacing w:val="-20"/>
                    <w:w w:val="110"/>
                    <w:sz w:val="18"/>
                  </w:rPr>
                  <w:t xml:space="preserve"> </w:t>
                </w:r>
                <w:r>
                  <w:rPr>
                    <w:color w:val="231F20"/>
                    <w:w w:val="110"/>
                    <w:sz w:val="18"/>
                  </w:rPr>
                  <w:t>e</w:t>
                </w:r>
                <w:r>
                  <w:rPr>
                    <w:color w:val="231F20"/>
                    <w:spacing w:val="-20"/>
                    <w:w w:val="110"/>
                    <w:sz w:val="18"/>
                  </w:rPr>
                  <w:t xml:space="preserve"> </w:t>
                </w:r>
                <w:r>
                  <w:rPr>
                    <w:color w:val="231F20"/>
                    <w:w w:val="110"/>
                    <w:sz w:val="18"/>
                  </w:rPr>
                  <w:t>n</w:t>
                </w:r>
                <w:r>
                  <w:rPr>
                    <w:color w:val="231F20"/>
                    <w:spacing w:val="-20"/>
                    <w:w w:val="110"/>
                    <w:sz w:val="18"/>
                  </w:rPr>
                  <w:t xml:space="preserve"> </w:t>
                </w:r>
                <w:r>
                  <w:rPr>
                    <w:color w:val="231F20"/>
                    <w:spacing w:val="15"/>
                    <w:w w:val="110"/>
                    <w:sz w:val="18"/>
                  </w:rPr>
                  <w:t>dix</w:t>
                </w:r>
                <w:r>
                  <w:rPr>
                    <w:color w:val="231F20"/>
                    <w:spacing w:val="68"/>
                    <w:w w:val="110"/>
                    <w:sz w:val="18"/>
                  </w:rPr>
                  <w:t xml:space="preserve"> </w:t>
                </w:r>
                <w:r>
                  <w:rPr>
                    <w:color w:val="231F20"/>
                    <w:w w:val="110"/>
                    <w:sz w:val="18"/>
                  </w:rPr>
                  <w:t>i</w:t>
                </w:r>
                <w:r>
                  <w:rPr>
                    <w:color w:val="231F20"/>
                    <w:spacing w:val="-20"/>
                    <w:w w:val="110"/>
                    <w:sz w:val="18"/>
                  </w:rPr>
                  <w:t xml:space="preserve"> </w:t>
                </w:r>
                <w:r>
                  <w:rPr>
                    <w:color w:val="231F20"/>
                    <w:w w:val="110"/>
                    <w:sz w:val="18"/>
                  </w:rPr>
                  <w:t>i</w:t>
                </w:r>
                <w:r>
                  <w:rPr>
                    <w:color w:val="231F20"/>
                    <w:spacing w:val="-20"/>
                    <w:w w:val="110"/>
                    <w:sz w:val="18"/>
                  </w:rPr>
                  <w:t xml:space="preserve"> </w:t>
                </w:r>
                <w:r>
                  <w:rPr>
                    <w:color w:val="231F20"/>
                    <w:w w:val="110"/>
                    <w:sz w:val="18"/>
                  </w:rPr>
                  <w:t>i</w:t>
                </w:r>
              </w:p>
            </w:txbxContent>
          </v:textbox>
          <w10:wrap anchorx="page" anchory="page"/>
        </v:shape>
      </w:pict>
    </w:r>
  </w:p>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DD789" w14:textId="77777777" w:rsidR="001008C3" w:rsidRDefault="00000000">
    <w:pPr>
      <w:pStyle w:val="a3"/>
      <w:spacing w:line="14" w:lineRule="auto"/>
    </w:pPr>
    <w:r>
      <w:rPr>
        <w:noProof w:val="0"/>
      </w:rPr>
      <w:pict w14:anchorId="733B7B70">
        <v:shapetype id="_x0000_t202" coordsize="21600,21600" o:spt="202" path="m,l,21600r21600,l21600,xe">
          <v:stroke joinstyle="miter"/>
          <v:path gradientshapeok="t" o:connecttype="rect"/>
        </v:shapetype>
        <v:shape id="_x0000_s1123" type="#_x0000_t202" style="position:absolute;margin-left:65.4pt;margin-top:594.5pt;width:218.4pt;height:12.55pt;z-index:-449008;mso-position-horizontal-relative:page;mso-position-vertical-relative:page" filled="f" stroked="f">
          <v:textbox inset="0,0,0,0">
            <w:txbxContent>
              <w:p w14:paraId="6DD1C44F" w14:textId="77777777" w:rsidR="001008C3" w:rsidRDefault="001008C3">
                <w:pPr>
                  <w:spacing w:before="19"/>
                  <w:ind w:left="20"/>
                  <w:rPr>
                    <w:sz w:val="18"/>
                  </w:rPr>
                </w:pPr>
                <w:r>
                  <w:rPr>
                    <w:color w:val="231F20"/>
                    <w:w w:val="115"/>
                    <w:sz w:val="18"/>
                  </w:rPr>
                  <w:t>european commission on human rights</w:t>
                </w:r>
                <w:r>
                  <w:rPr>
                    <w:color w:val="231F20"/>
                    <w:sz w:val="18"/>
                  </w:rPr>
                  <w:t xml:space="preserve"> </w:t>
                </w:r>
              </w:p>
            </w:txbxContent>
          </v:textbox>
          <w10:wrap anchorx="page" anchory="page"/>
        </v:shape>
      </w:pict>
    </w:r>
    <w:r>
      <w:rPr>
        <w:noProof w:val="0"/>
      </w:rPr>
      <w:pict w14:anchorId="4BFB6229">
        <v:shape id="_x0000_s1122" type="#_x0000_t202" style="position:absolute;margin-left:355.1pt;margin-top:594.5pt;width:22.8pt;height:12.55pt;z-index:-448984;mso-position-horizontal-relative:page;mso-position-vertical-relative:page" filled="f" stroked="f">
          <v:textbox inset="0,0,0,0">
            <w:txbxContent>
              <w:p w14:paraId="724400FF"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549</w:t>
                </w:r>
                <w:r>
                  <w:fldChar w:fldCharType="end"/>
                </w:r>
                <w:r>
                  <w:rPr>
                    <w:color w:val="231F20"/>
                    <w:sz w:val="18"/>
                  </w:rPr>
                  <w:t xml:space="preserve"> </w:t>
                </w:r>
              </w:p>
            </w:txbxContent>
          </v:textbox>
          <w10:wrap anchorx="page" anchory="page"/>
        </v:shape>
      </w:pict>
    </w:r>
  </w:p>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FF6E6" w14:textId="77777777" w:rsidR="001008C3" w:rsidRDefault="00000000">
    <w:pPr>
      <w:pStyle w:val="a3"/>
      <w:spacing w:line="14" w:lineRule="auto"/>
    </w:pPr>
    <w:r>
      <w:rPr>
        <w:noProof w:val="0"/>
      </w:rPr>
      <w:pict w14:anchorId="05F19D15">
        <v:shapetype id="_x0000_t202" coordsize="21600,21600" o:spt="202" path="m,l,21600r21600,l21600,xe">
          <v:stroke joinstyle="miter"/>
          <v:path gradientshapeok="t" o:connecttype="rect"/>
        </v:shapetype>
        <v:shape id="_x0000_s1117" type="#_x0000_t202" style="position:absolute;margin-left:56.4pt;margin-top:594.5pt;width:20.8pt;height:12.55pt;z-index:-448864;mso-position-horizontal-relative:page;mso-position-vertical-relative:page" filled="f" stroked="f">
          <v:textbox inset="0,0,0,0">
            <w:txbxContent>
              <w:p w14:paraId="7F3BA9C9" w14:textId="77777777" w:rsidR="001008C3" w:rsidRDefault="001008C3">
                <w:pPr>
                  <w:spacing w:before="19"/>
                  <w:ind w:left="20"/>
                  <w:rPr>
                    <w:sz w:val="18"/>
                  </w:rPr>
                </w:pPr>
                <w:r>
                  <w:rPr>
                    <w:color w:val="231F20"/>
                    <w:sz w:val="18"/>
                  </w:rPr>
                  <w:t xml:space="preserve">552 </w:t>
                </w:r>
              </w:p>
            </w:txbxContent>
          </v:textbox>
          <w10:wrap anchorx="page" anchory="page"/>
        </v:shape>
      </w:pict>
    </w:r>
    <w:r>
      <w:rPr>
        <w:noProof w:val="0"/>
      </w:rPr>
      <w:pict w14:anchorId="2123EE78">
        <v:shape id="_x0000_s1116" type="#_x0000_t202" style="position:absolute;margin-left:300.55pt;margin-top:594.5pt;width:66.1pt;height:12.55pt;z-index:-448840;mso-position-horizontal-relative:page;mso-position-vertical-relative:page" filled="f" stroked="f">
          <v:textbox inset="0,0,0,0">
            <w:txbxContent>
              <w:p w14:paraId="6A57E09F" w14:textId="77777777" w:rsidR="001008C3" w:rsidRDefault="001008C3">
                <w:pPr>
                  <w:spacing w:before="19"/>
                  <w:ind w:left="20"/>
                  <w:rPr>
                    <w:sz w:val="18"/>
                  </w:rPr>
                </w:pPr>
                <w:r>
                  <w:rPr>
                    <w:color w:val="231F20"/>
                    <w:spacing w:val="11"/>
                    <w:w w:val="110"/>
                    <w:sz w:val="18"/>
                  </w:rPr>
                  <w:t>ap</w:t>
                </w:r>
                <w:r>
                  <w:rPr>
                    <w:color w:val="231F20"/>
                    <w:spacing w:val="-20"/>
                    <w:w w:val="110"/>
                    <w:sz w:val="18"/>
                  </w:rPr>
                  <w:t xml:space="preserve"> </w:t>
                </w:r>
                <w:r>
                  <w:rPr>
                    <w:color w:val="231F20"/>
                    <w:w w:val="110"/>
                    <w:sz w:val="18"/>
                  </w:rPr>
                  <w:t>p</w:t>
                </w:r>
                <w:r>
                  <w:rPr>
                    <w:color w:val="231F20"/>
                    <w:spacing w:val="-20"/>
                    <w:w w:val="110"/>
                    <w:sz w:val="18"/>
                  </w:rPr>
                  <w:t xml:space="preserve"> </w:t>
                </w:r>
                <w:r>
                  <w:rPr>
                    <w:color w:val="231F20"/>
                    <w:w w:val="110"/>
                    <w:sz w:val="18"/>
                  </w:rPr>
                  <w:t>e</w:t>
                </w:r>
                <w:r>
                  <w:rPr>
                    <w:color w:val="231F20"/>
                    <w:spacing w:val="-20"/>
                    <w:w w:val="110"/>
                    <w:sz w:val="18"/>
                  </w:rPr>
                  <w:t xml:space="preserve"> </w:t>
                </w:r>
                <w:r>
                  <w:rPr>
                    <w:color w:val="231F20"/>
                    <w:w w:val="110"/>
                    <w:sz w:val="18"/>
                  </w:rPr>
                  <w:t>n</w:t>
                </w:r>
                <w:r>
                  <w:rPr>
                    <w:color w:val="231F20"/>
                    <w:spacing w:val="-20"/>
                    <w:w w:val="110"/>
                    <w:sz w:val="18"/>
                  </w:rPr>
                  <w:t xml:space="preserve"> </w:t>
                </w:r>
                <w:r>
                  <w:rPr>
                    <w:color w:val="231F20"/>
                    <w:spacing w:val="15"/>
                    <w:w w:val="110"/>
                    <w:sz w:val="18"/>
                  </w:rPr>
                  <w:t>dix</w:t>
                </w:r>
                <w:r>
                  <w:rPr>
                    <w:color w:val="231F20"/>
                    <w:spacing w:val="68"/>
                    <w:w w:val="110"/>
                    <w:sz w:val="18"/>
                  </w:rPr>
                  <w:t xml:space="preserve"> </w:t>
                </w:r>
                <w:r>
                  <w:rPr>
                    <w:color w:val="231F20"/>
                    <w:w w:val="110"/>
                    <w:sz w:val="18"/>
                  </w:rPr>
                  <w:t>i</w:t>
                </w:r>
                <w:r>
                  <w:rPr>
                    <w:color w:val="231F20"/>
                    <w:spacing w:val="-20"/>
                    <w:w w:val="110"/>
                    <w:sz w:val="18"/>
                  </w:rPr>
                  <w:t xml:space="preserve"> </w:t>
                </w:r>
                <w:r>
                  <w:rPr>
                    <w:color w:val="231F20"/>
                    <w:w w:val="110"/>
                    <w:sz w:val="18"/>
                  </w:rPr>
                  <w:t>i</w:t>
                </w:r>
                <w:r>
                  <w:rPr>
                    <w:color w:val="231F20"/>
                    <w:spacing w:val="-20"/>
                    <w:w w:val="110"/>
                    <w:sz w:val="18"/>
                  </w:rPr>
                  <w:t xml:space="preserve"> </w:t>
                </w:r>
                <w:r>
                  <w:rPr>
                    <w:color w:val="231F20"/>
                    <w:w w:val="110"/>
                    <w:sz w:val="18"/>
                  </w:rPr>
                  <w:t>i</w:t>
                </w:r>
              </w:p>
            </w:txbxContent>
          </v:textbox>
          <w10:wrap anchorx="page" anchory="page"/>
        </v:shape>
      </w:pic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3187D" w14:textId="77777777" w:rsidR="001008C3" w:rsidRDefault="00000000">
    <w:pPr>
      <w:pStyle w:val="a3"/>
      <w:spacing w:line="14" w:lineRule="auto"/>
    </w:pPr>
    <w:r>
      <w:rPr>
        <w:noProof w:val="0"/>
      </w:rPr>
      <w:pict w14:anchorId="7A804223">
        <v:shapetype id="_x0000_t202" coordsize="21600,21600" o:spt="202" path="m,l,21600r21600,l21600,xe">
          <v:stroke joinstyle="miter"/>
          <v:path gradientshapeok="t" o:connecttype="rect"/>
        </v:shapetype>
        <v:shape id="_x0000_s1119" type="#_x0000_t202" style="position:absolute;margin-left:65.4pt;margin-top:594.5pt;width:180.75pt;height:12.55pt;z-index:-448912;mso-position-horizontal-relative:page;mso-position-vertical-relative:page" filled="f" stroked="f">
          <v:textbox inset="0,0,0,0">
            <w:txbxContent>
              <w:p w14:paraId="694FB56F" w14:textId="77777777" w:rsidR="001008C3" w:rsidRDefault="001008C3">
                <w:pPr>
                  <w:spacing w:before="19"/>
                  <w:ind w:left="20"/>
                  <w:rPr>
                    <w:sz w:val="18"/>
                  </w:rPr>
                </w:pPr>
                <w:r>
                  <w:rPr>
                    <w:color w:val="231F20"/>
                    <w:w w:val="125"/>
                    <w:sz w:val="18"/>
                  </w:rPr>
                  <w:t>the frg and the state of israel</w:t>
                </w:r>
                <w:r>
                  <w:rPr>
                    <w:color w:val="231F20"/>
                    <w:sz w:val="18"/>
                  </w:rPr>
                  <w:t xml:space="preserve"> </w:t>
                </w:r>
              </w:p>
            </w:txbxContent>
          </v:textbox>
          <w10:wrap anchorx="page" anchory="page"/>
        </v:shape>
      </w:pict>
    </w:r>
    <w:r>
      <w:rPr>
        <w:noProof w:val="0"/>
      </w:rPr>
      <w:pict w14:anchorId="25764309">
        <v:shape id="_x0000_s1118" type="#_x0000_t202" style="position:absolute;margin-left:355.1pt;margin-top:594.5pt;width:22.8pt;height:12.55pt;z-index:-448888;mso-position-horizontal-relative:page;mso-position-vertical-relative:page" filled="f" stroked="f">
          <v:textbox inset="0,0,0,0">
            <w:txbxContent>
              <w:p w14:paraId="6A7B0E01"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551</w:t>
                </w:r>
                <w:r>
                  <w:fldChar w:fldCharType="end"/>
                </w:r>
                <w:r>
                  <w:rPr>
                    <w:color w:val="231F20"/>
                    <w:sz w:val="18"/>
                  </w:rPr>
                  <w:t xml:space="preserve"> </w:t>
                </w:r>
              </w:p>
            </w:txbxContent>
          </v:textbox>
          <w10:wrap anchorx="page" anchory="page"/>
        </v:shape>
      </w:pict>
    </w: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997E3" w14:textId="77777777" w:rsidR="001008C3" w:rsidRDefault="00000000">
    <w:pPr>
      <w:pStyle w:val="a3"/>
      <w:spacing w:line="14" w:lineRule="auto"/>
    </w:pPr>
    <w:r>
      <w:rPr>
        <w:noProof w:val="0"/>
      </w:rPr>
      <w:pict w14:anchorId="44F66FBC">
        <v:shapetype id="_x0000_t202" coordsize="21600,21600" o:spt="202" path="m,l,21600r21600,l21600,xe">
          <v:stroke joinstyle="miter"/>
          <v:path gradientshapeok="t" o:connecttype="rect"/>
        </v:shapetype>
        <v:shape id="_x0000_s1115" type="#_x0000_t202" style="position:absolute;margin-left:55.4pt;margin-top:594.5pt;width:22.8pt;height:12.55pt;z-index:-448816;mso-position-horizontal-relative:page;mso-position-vertical-relative:page" filled="f" stroked="f">
          <v:textbox inset="0,0,0,0">
            <w:txbxContent>
              <w:p w14:paraId="436B32EF"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554</w:t>
                </w:r>
                <w:r>
                  <w:fldChar w:fldCharType="end"/>
                </w:r>
                <w:r>
                  <w:rPr>
                    <w:color w:val="231F20"/>
                    <w:sz w:val="18"/>
                  </w:rPr>
                  <w:t xml:space="preserve"> </w:t>
                </w:r>
              </w:p>
            </w:txbxContent>
          </v:textbox>
          <w10:wrap anchorx="page" anchory="page"/>
        </v:shape>
      </w:pict>
    </w:r>
    <w:r>
      <w:rPr>
        <w:noProof w:val="0"/>
      </w:rPr>
      <w:pict w14:anchorId="3D29535E">
        <v:shape id="_x0000_s1114" type="#_x0000_t202" style="position:absolute;margin-left:302.75pt;margin-top:594.5pt;width:63.85pt;height:12.55pt;z-index:-448792;mso-position-horizontal-relative:page;mso-position-vertical-relative:page" filled="f" stroked="f">
          <v:textbox inset="0,0,0,0">
            <w:txbxContent>
              <w:p w14:paraId="1421C695" w14:textId="77777777" w:rsidR="001008C3" w:rsidRDefault="001008C3">
                <w:pPr>
                  <w:spacing w:before="19"/>
                  <w:ind w:left="20"/>
                  <w:rPr>
                    <w:sz w:val="18"/>
                  </w:rPr>
                </w:pPr>
                <w:r>
                  <w:rPr>
                    <w:color w:val="231F20"/>
                    <w:w w:val="110"/>
                    <w:sz w:val="18"/>
                  </w:rPr>
                  <w:t>ap p e n dix iv</w:t>
                </w:r>
              </w:p>
            </w:txbxContent>
          </v:textbox>
          <w10:wrap anchorx="page" anchory="page"/>
        </v:shape>
      </w:pict>
    </w:r>
  </w:p>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8FE6" w14:textId="77777777" w:rsidR="001008C3" w:rsidRDefault="00000000">
    <w:pPr>
      <w:pStyle w:val="a3"/>
      <w:spacing w:line="14" w:lineRule="auto"/>
    </w:pPr>
    <w:r>
      <w:rPr>
        <w:noProof w:val="0"/>
      </w:rPr>
      <w:pict w14:anchorId="75700F58">
        <v:shapetype id="_x0000_t202" coordsize="21600,21600" o:spt="202" path="m,l,21600r21600,l21600,xe">
          <v:stroke joinstyle="miter"/>
          <v:path gradientshapeok="t" o:connecttype="rect"/>
        </v:shapetype>
        <v:shape id="_x0000_s1113" type="#_x0000_t202" style="position:absolute;margin-left:65.4pt;margin-top:594.5pt;width:185.25pt;height:12.55pt;z-index:-448768;mso-position-horizontal-relative:page;mso-position-vertical-relative:page" filled="f" stroked="f">
          <v:textbox inset="0,0,0,0">
            <w:txbxContent>
              <w:p w14:paraId="22D935A1" w14:textId="77777777" w:rsidR="001008C3" w:rsidRDefault="001008C3">
                <w:pPr>
                  <w:spacing w:before="19"/>
                  <w:ind w:left="20"/>
                  <w:rPr>
                    <w:sz w:val="18"/>
                  </w:rPr>
                </w:pPr>
                <w:r>
                  <w:rPr>
                    <w:color w:val="231F20"/>
                    <w:w w:val="115"/>
                    <w:sz w:val="18"/>
                  </w:rPr>
                  <w:t>the geneva convention: excerpts</w:t>
                </w:r>
                <w:r>
                  <w:rPr>
                    <w:color w:val="231F20"/>
                    <w:sz w:val="18"/>
                  </w:rPr>
                  <w:t xml:space="preserve"> </w:t>
                </w:r>
              </w:p>
            </w:txbxContent>
          </v:textbox>
          <w10:wrap anchorx="page" anchory="page"/>
        </v:shape>
      </w:pict>
    </w:r>
    <w:r>
      <w:rPr>
        <w:noProof w:val="0"/>
      </w:rPr>
      <w:pict w14:anchorId="670986C5">
        <v:shape id="_x0000_s1112" type="#_x0000_t202" style="position:absolute;margin-left:355.1pt;margin-top:594.5pt;width:22.8pt;height:12.55pt;z-index:-448744;mso-position-horizontal-relative:page;mso-position-vertical-relative:page" filled="f" stroked="f">
          <v:textbox inset="0,0,0,0">
            <w:txbxContent>
              <w:p w14:paraId="3752E292"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555</w:t>
                </w:r>
                <w:r>
                  <w:fldChar w:fldCharType="end"/>
                </w:r>
                <w:r>
                  <w:rPr>
                    <w:color w:val="231F20"/>
                    <w:sz w:val="18"/>
                  </w:rPr>
                  <w:t xml:space="preserve"> </w:t>
                </w:r>
              </w:p>
            </w:txbxContent>
          </v:textbox>
          <w10:wrap anchorx="page" anchory="page"/>
        </v:shape>
      </w:pict>
    </w: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13DA1" w14:textId="77777777" w:rsidR="001008C3" w:rsidRDefault="00000000">
    <w:pPr>
      <w:pStyle w:val="a3"/>
      <w:spacing w:line="14" w:lineRule="auto"/>
    </w:pPr>
    <w:r>
      <w:rPr>
        <w:noProof w:val="0"/>
      </w:rPr>
      <w:pict w14:anchorId="738431AB">
        <v:shapetype id="_x0000_t202" coordsize="21600,21600" o:spt="202" path="m,l,21600r21600,l21600,xe">
          <v:stroke joinstyle="miter"/>
          <v:path gradientshapeok="t" o:connecttype="rect"/>
        </v:shapetype>
        <v:shape id="_x0000_s1109" type="#_x0000_t202" style="position:absolute;margin-left:55.4pt;margin-top:594.5pt;width:22.8pt;height:12.55pt;z-index:-448672;mso-position-horizontal-relative:page;mso-position-vertical-relative:page" filled="f" stroked="f">
          <v:textbox inset="0,0,0,0">
            <w:txbxContent>
              <w:p w14:paraId="5A1F8966"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558</w:t>
                </w:r>
                <w:r>
                  <w:fldChar w:fldCharType="end"/>
                </w:r>
                <w:r>
                  <w:rPr>
                    <w:color w:val="231F20"/>
                    <w:sz w:val="18"/>
                  </w:rPr>
                  <w:t xml:space="preserve"> </w:t>
                </w:r>
              </w:p>
            </w:txbxContent>
          </v:textbox>
          <w10:wrap anchorx="page" anchory="page"/>
        </v:shape>
      </w:pict>
    </w:r>
    <w:r>
      <w:rPr>
        <w:noProof w:val="0"/>
      </w:rPr>
      <w:pict w14:anchorId="317261DC">
        <v:shape id="_x0000_s1108" type="#_x0000_t202" style="position:absolute;margin-left:307.25pt;margin-top:594.5pt;width:59.4pt;height:12.55pt;z-index:-448648;mso-position-horizontal-relative:page;mso-position-vertical-relative:page" filled="f" stroked="f">
          <v:textbox inset="0,0,0,0">
            <w:txbxContent>
              <w:p w14:paraId="6615A570" w14:textId="77777777" w:rsidR="001008C3" w:rsidRDefault="001008C3">
                <w:pPr>
                  <w:spacing w:before="19"/>
                  <w:ind w:left="20"/>
                  <w:rPr>
                    <w:sz w:val="18"/>
                  </w:rPr>
                </w:pPr>
                <w:r>
                  <w:rPr>
                    <w:color w:val="231F20"/>
                    <w:spacing w:val="11"/>
                    <w:w w:val="110"/>
                    <w:sz w:val="18"/>
                  </w:rPr>
                  <w:t>ap</w:t>
                </w:r>
                <w:r>
                  <w:rPr>
                    <w:color w:val="231F20"/>
                    <w:spacing w:val="-22"/>
                    <w:w w:val="110"/>
                    <w:sz w:val="18"/>
                  </w:rPr>
                  <w:t xml:space="preserve"> </w:t>
                </w:r>
                <w:r>
                  <w:rPr>
                    <w:color w:val="231F20"/>
                    <w:w w:val="110"/>
                    <w:sz w:val="18"/>
                  </w:rPr>
                  <w:t>p</w:t>
                </w:r>
                <w:r>
                  <w:rPr>
                    <w:color w:val="231F20"/>
                    <w:spacing w:val="-22"/>
                    <w:w w:val="110"/>
                    <w:sz w:val="18"/>
                  </w:rPr>
                  <w:t xml:space="preserve"> </w:t>
                </w:r>
                <w:r>
                  <w:rPr>
                    <w:color w:val="231F20"/>
                    <w:w w:val="110"/>
                    <w:sz w:val="18"/>
                  </w:rPr>
                  <w:t>e</w:t>
                </w:r>
                <w:r>
                  <w:rPr>
                    <w:color w:val="231F20"/>
                    <w:spacing w:val="-22"/>
                    <w:w w:val="110"/>
                    <w:sz w:val="18"/>
                  </w:rPr>
                  <w:t xml:space="preserve"> </w:t>
                </w:r>
                <w:r>
                  <w:rPr>
                    <w:color w:val="231F20"/>
                    <w:w w:val="110"/>
                    <w:sz w:val="18"/>
                  </w:rPr>
                  <w:t>n</w:t>
                </w:r>
                <w:r>
                  <w:rPr>
                    <w:color w:val="231F20"/>
                    <w:spacing w:val="-22"/>
                    <w:w w:val="110"/>
                    <w:sz w:val="18"/>
                  </w:rPr>
                  <w:t xml:space="preserve"> </w:t>
                </w:r>
                <w:r>
                  <w:rPr>
                    <w:color w:val="231F20"/>
                    <w:spacing w:val="15"/>
                    <w:w w:val="110"/>
                    <w:sz w:val="18"/>
                  </w:rPr>
                  <w:t>dix</w:t>
                </w:r>
                <w:r>
                  <w:rPr>
                    <w:color w:val="231F20"/>
                    <w:spacing w:val="57"/>
                    <w:w w:val="110"/>
                    <w:sz w:val="18"/>
                  </w:rPr>
                  <w:t xml:space="preserve"> </w:t>
                </w:r>
                <w:r>
                  <w:rPr>
                    <w:color w:val="231F20"/>
                    <w:w w:val="110"/>
                    <w:sz w:val="18"/>
                  </w:rPr>
                  <w:t>v</w:t>
                </w:r>
              </w:p>
            </w:txbxContent>
          </v:textbox>
          <w10:wrap anchorx="page" anchory="page"/>
        </v:shape>
      </w:pict>
    </w:r>
  </w:p>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07A68" w14:textId="77777777" w:rsidR="001008C3" w:rsidRDefault="00000000">
    <w:pPr>
      <w:pStyle w:val="a3"/>
      <w:spacing w:line="14" w:lineRule="auto"/>
    </w:pPr>
    <w:r>
      <w:rPr>
        <w:noProof w:val="0"/>
      </w:rPr>
      <w:pict w14:anchorId="0C210EC4">
        <v:shapetype id="_x0000_t202" coordsize="21600,21600" o:spt="202" path="m,l,21600r21600,l21600,xe">
          <v:stroke joinstyle="miter"/>
          <v:path gradientshapeok="t" o:connecttype="rect"/>
        </v:shapetype>
        <v:shape id="_x0000_s1111" type="#_x0000_t202" style="position:absolute;margin-left:65.4pt;margin-top:594.5pt;width:266.7pt;height:12.55pt;z-index:-448720;mso-position-horizontal-relative:page;mso-position-vertical-relative:page" filled="f" stroked="f">
          <v:textbox inset="0,0,0,0">
            <w:txbxContent>
              <w:p w14:paraId="1B7AC8C8" w14:textId="77777777" w:rsidR="001008C3" w:rsidRDefault="001008C3">
                <w:pPr>
                  <w:spacing w:before="19"/>
                  <w:ind w:left="20"/>
                  <w:rPr>
                    <w:sz w:val="18"/>
                  </w:rPr>
                </w:pPr>
                <w:r>
                  <w:rPr>
                    <w:color w:val="231F20"/>
                    <w:w w:val="115"/>
                    <w:sz w:val="18"/>
                  </w:rPr>
                  <w:t>strange stories: peter homann and stefan aust</w:t>
                </w:r>
                <w:r>
                  <w:rPr>
                    <w:color w:val="231F20"/>
                    <w:sz w:val="18"/>
                  </w:rPr>
                  <w:t xml:space="preserve"> </w:t>
                </w:r>
              </w:p>
            </w:txbxContent>
          </v:textbox>
          <w10:wrap anchorx="page" anchory="page"/>
        </v:shape>
      </w:pict>
    </w:r>
    <w:r>
      <w:rPr>
        <w:noProof w:val="0"/>
      </w:rPr>
      <w:pict w14:anchorId="6B402082">
        <v:shape id="_x0000_s1110" type="#_x0000_t202" style="position:absolute;margin-left:355.1pt;margin-top:594.5pt;width:22.8pt;height:12.55pt;z-index:-448696;mso-position-horizontal-relative:page;mso-position-vertical-relative:page" filled="f" stroked="f">
          <v:textbox inset="0,0,0,0">
            <w:txbxContent>
              <w:p w14:paraId="4206988E"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557</w:t>
                </w:r>
                <w:r>
                  <w:fldChar w:fldCharType="end"/>
                </w:r>
                <w:r>
                  <w:rPr>
                    <w:color w:val="231F20"/>
                    <w:sz w:val="18"/>
                  </w:rPr>
                  <w:t xml:space="preserve"> </w:t>
                </w:r>
              </w:p>
            </w:txbxContent>
          </v:textbox>
          <w10:wrap anchorx="page" anchory="page"/>
        </v:shape>
      </w:pict>
    </w:r>
  </w:p>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923BE" w14:textId="77777777" w:rsidR="001008C3" w:rsidRDefault="00000000">
    <w:pPr>
      <w:pStyle w:val="a3"/>
      <w:spacing w:line="14" w:lineRule="auto"/>
    </w:pPr>
    <w:r>
      <w:rPr>
        <w:noProof w:val="0"/>
      </w:rPr>
      <w:pict w14:anchorId="162C1AFB">
        <v:shapetype id="_x0000_t202" coordsize="21600,21600" o:spt="202" path="m,l,21600r21600,l21600,xe">
          <v:stroke joinstyle="miter"/>
          <v:path gradientshapeok="t" o:connecttype="rect"/>
        </v:shapetype>
        <v:shape id="_x0000_s1107" type="#_x0000_t202" style="position:absolute;margin-left:65.4pt;margin-top:594.5pt;width:141.45pt;height:12.55pt;z-index:-448624;mso-position-horizontal-relative:page;mso-position-vertical-relative:page" filled="f" stroked="f">
          <v:textbox inset="0,0,0,0">
            <w:txbxContent>
              <w:p w14:paraId="25B471ED" w14:textId="77777777" w:rsidR="001008C3" w:rsidRDefault="001008C3">
                <w:pPr>
                  <w:spacing w:before="19"/>
                  <w:ind w:left="20"/>
                  <w:rPr>
                    <w:sz w:val="18"/>
                  </w:rPr>
                </w:pPr>
                <w:r>
                  <w:rPr>
                    <w:color w:val="231F20"/>
                    <w:w w:val="115"/>
                    <w:sz w:val="18"/>
                  </w:rPr>
                  <w:t>waddi haddad’s pflp (eo)</w:t>
                </w:r>
                <w:r>
                  <w:rPr>
                    <w:color w:val="231F20"/>
                    <w:sz w:val="18"/>
                  </w:rPr>
                  <w:t xml:space="preserve"> </w:t>
                </w:r>
              </w:p>
            </w:txbxContent>
          </v:textbox>
          <w10:wrap anchorx="page" anchory="page"/>
        </v:shape>
      </w:pict>
    </w:r>
    <w:r>
      <w:rPr>
        <w:noProof w:val="0"/>
      </w:rPr>
      <w:pict w14:anchorId="3513DD7C">
        <v:shape id="_x0000_s1106" type="#_x0000_t202" style="position:absolute;margin-left:356.1pt;margin-top:594.5pt;width:20.8pt;height:12.55pt;z-index:-448600;mso-position-horizontal-relative:page;mso-position-vertical-relative:page" filled="f" stroked="f">
          <v:textbox inset="0,0,0,0">
            <w:txbxContent>
              <w:p w14:paraId="472F32F3" w14:textId="77777777" w:rsidR="001008C3" w:rsidRDefault="001008C3">
                <w:pPr>
                  <w:spacing w:before="19"/>
                  <w:ind w:left="20"/>
                  <w:rPr>
                    <w:sz w:val="18"/>
                  </w:rPr>
                </w:pPr>
                <w:r>
                  <w:rPr>
                    <w:color w:val="231F20"/>
                    <w:sz w:val="18"/>
                  </w:rPr>
                  <w:t xml:space="preserve">559 </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ECA2" w14:textId="77777777" w:rsidR="001008C3" w:rsidRDefault="00000000">
    <w:pPr>
      <w:pStyle w:val="a3"/>
      <w:spacing w:line="14" w:lineRule="auto"/>
    </w:pPr>
    <w:r>
      <w:rPr>
        <w:noProof w:val="0"/>
      </w:rPr>
      <w:pict w14:anchorId="3A2C4AB4">
        <v:shapetype id="_x0000_t202" coordsize="21600,21600" o:spt="202" path="m,l,21600r21600,l21600,xe">
          <v:stroke joinstyle="miter"/>
          <v:path gradientshapeok="t" o:connecttype="rect"/>
        </v:shapetype>
        <v:shape id="_x0000_s1690" type="#_x0000_t202" style="position:absolute;margin-left:65.4pt;margin-top:594.5pt;width:116.6pt;height:12.55pt;z-index:-462616;mso-position-horizontal-relative:page;mso-position-vertical-relative:page" filled="f" stroked="f">
          <v:textbox inset="0,0,0,0">
            <w:txbxContent>
              <w:p w14:paraId="5AE09967"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503ABEAC">
        <v:shape id="_x0000_s1689" type="#_x0000_t202" style="position:absolute;margin-left:361.35pt;margin-top:594.5pt;width:16.55pt;height:12.55pt;z-index:-462592;mso-position-horizontal-relative:page;mso-position-vertical-relative:page" filled="f" stroked="f">
          <v:textbox inset="0,0,0,0">
            <w:txbxContent>
              <w:p w14:paraId="7E124702"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55</w:t>
                </w:r>
                <w:r>
                  <w:fldChar w:fldCharType="end"/>
                </w:r>
                <w:r>
                  <w:rPr>
                    <w:color w:val="231F20"/>
                    <w:sz w:val="18"/>
                  </w:rPr>
                  <w:t xml:space="preserve"> </w:t>
                </w:r>
              </w:p>
            </w:txbxContent>
          </v:textbox>
          <w10:wrap anchorx="page" anchory="page"/>
        </v:shape>
      </w:pict>
    </w:r>
  </w:p>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C0550" w14:textId="77777777" w:rsidR="001008C3" w:rsidRDefault="00000000">
    <w:pPr>
      <w:pStyle w:val="a3"/>
      <w:spacing w:line="14" w:lineRule="auto"/>
    </w:pPr>
    <w:r>
      <w:rPr>
        <w:noProof w:val="0"/>
      </w:rPr>
      <w:pict w14:anchorId="5624B0C4">
        <v:shapetype id="_x0000_t202" coordsize="21600,21600" o:spt="202" path="m,l,21600r21600,l21600,xe">
          <v:stroke joinstyle="miter"/>
          <v:path gradientshapeok="t" o:connecttype="rect"/>
        </v:shapetype>
        <v:shape id="_x0000_s1105" type="#_x0000_t202" style="position:absolute;margin-left:56.4pt;margin-top:594.5pt;width:20.8pt;height:12.55pt;z-index:-448576;mso-position-horizontal-relative:page;mso-position-vertical-relative:page" filled="f" stroked="f">
          <v:textbox inset="0,0,0,0">
            <w:txbxContent>
              <w:p w14:paraId="57B0B36E" w14:textId="77777777" w:rsidR="001008C3" w:rsidRDefault="001008C3">
                <w:pPr>
                  <w:spacing w:before="19"/>
                  <w:ind w:left="20"/>
                  <w:rPr>
                    <w:sz w:val="18"/>
                  </w:rPr>
                </w:pPr>
                <w:r>
                  <w:rPr>
                    <w:color w:val="231F20"/>
                    <w:sz w:val="18"/>
                  </w:rPr>
                  <w:t xml:space="preserve">560 </w:t>
                </w:r>
              </w:p>
            </w:txbxContent>
          </v:textbox>
          <w10:wrap anchorx="page" anchory="page"/>
        </v:shape>
      </w:pict>
    </w:r>
    <w:r>
      <w:rPr>
        <w:noProof w:val="0"/>
      </w:rPr>
      <w:pict w14:anchorId="589E3D6C">
        <v:shape id="_x0000_s1104" type="#_x0000_t202" style="position:absolute;margin-left:303pt;margin-top:594.5pt;width:63.65pt;height:12.55pt;z-index:-448552;mso-position-horizontal-relative:page;mso-position-vertical-relative:page" filled="f" stroked="f">
          <v:textbox inset="0,0,0,0">
            <w:txbxContent>
              <w:p w14:paraId="2ADEEFF0" w14:textId="77777777" w:rsidR="001008C3" w:rsidRDefault="001008C3">
                <w:pPr>
                  <w:spacing w:before="19"/>
                  <w:ind w:left="20"/>
                  <w:rPr>
                    <w:sz w:val="18"/>
                  </w:rPr>
                </w:pPr>
                <w:r>
                  <w:rPr>
                    <w:color w:val="231F20"/>
                    <w:w w:val="105"/>
                    <w:sz w:val="18"/>
                  </w:rPr>
                  <w:t>ap p e n dix v i</w:t>
                </w:r>
              </w:p>
            </w:txbxContent>
          </v:textbox>
          <w10:wrap anchorx="page" anchory="page"/>
        </v:shape>
      </w:pict>
    </w: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BFD74" w14:textId="77777777" w:rsidR="001008C3" w:rsidRDefault="00000000">
    <w:pPr>
      <w:pStyle w:val="a3"/>
      <w:spacing w:line="14" w:lineRule="auto"/>
    </w:pPr>
    <w:r>
      <w:rPr>
        <w:noProof w:val="0"/>
      </w:rPr>
      <w:pict w14:anchorId="49A7397E">
        <v:shapetype id="_x0000_t202" coordsize="21600,21600" o:spt="202" path="m,l,21600r21600,l21600,xe">
          <v:stroke joinstyle="miter"/>
          <v:path gradientshapeok="t" o:connecttype="rect"/>
        </v:shapetype>
        <v:shape id="_x0000_s1103" type="#_x0000_t202" style="position:absolute;margin-left:65.4pt;margin-top:594.5pt;width:141.45pt;height:12.55pt;z-index:-448528;mso-position-horizontal-relative:page;mso-position-vertical-relative:page" filled="f" stroked="f">
          <v:textbox inset="0,0,0,0">
            <w:txbxContent>
              <w:p w14:paraId="4A553D56" w14:textId="77777777" w:rsidR="001008C3" w:rsidRDefault="001008C3">
                <w:pPr>
                  <w:spacing w:before="19"/>
                  <w:ind w:left="20"/>
                  <w:rPr>
                    <w:sz w:val="18"/>
                  </w:rPr>
                </w:pPr>
                <w:r>
                  <w:rPr>
                    <w:color w:val="231F20"/>
                    <w:w w:val="115"/>
                    <w:sz w:val="18"/>
                  </w:rPr>
                  <w:t>waddi haddad’s pflp (eo)</w:t>
                </w:r>
                <w:r>
                  <w:rPr>
                    <w:color w:val="231F20"/>
                    <w:sz w:val="18"/>
                  </w:rPr>
                  <w:t xml:space="preserve"> </w:t>
                </w:r>
              </w:p>
            </w:txbxContent>
          </v:textbox>
          <w10:wrap anchorx="page" anchory="page"/>
        </v:shape>
      </w:pict>
    </w:r>
    <w:r>
      <w:rPr>
        <w:noProof w:val="0"/>
      </w:rPr>
      <w:pict w14:anchorId="2F5567C6">
        <v:shape id="_x0000_s1102" type="#_x0000_t202" style="position:absolute;margin-left:356.1pt;margin-top:594.5pt;width:20.8pt;height:12.55pt;z-index:-448504;mso-position-horizontal-relative:page;mso-position-vertical-relative:page" filled="f" stroked="f">
          <v:textbox inset="0,0,0,0">
            <w:txbxContent>
              <w:p w14:paraId="14BAF64D" w14:textId="77777777" w:rsidR="001008C3" w:rsidRDefault="001008C3">
                <w:pPr>
                  <w:spacing w:before="19"/>
                  <w:ind w:left="20"/>
                  <w:rPr>
                    <w:sz w:val="18"/>
                  </w:rPr>
                </w:pPr>
                <w:r>
                  <w:rPr>
                    <w:color w:val="231F20"/>
                    <w:sz w:val="18"/>
                  </w:rPr>
                  <w:t xml:space="preserve">561 </w:t>
                </w:r>
              </w:p>
            </w:txbxContent>
          </v:textbox>
          <w10:wrap anchorx="page" anchory="page"/>
        </v:shape>
      </w:pict>
    </w:r>
  </w:p>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80249" w14:textId="77777777" w:rsidR="001008C3" w:rsidRDefault="001008C3">
    <w:pPr>
      <w:pStyle w:val="a3"/>
      <w:spacing w:line="14" w:lineRule="auto"/>
      <w:rPr>
        <w:sz w:val="2"/>
      </w:rPr>
    </w:pP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5EB3B" w14:textId="77777777" w:rsidR="001008C3" w:rsidRDefault="00000000">
    <w:pPr>
      <w:pStyle w:val="a3"/>
      <w:spacing w:line="14" w:lineRule="auto"/>
    </w:pPr>
    <w:r>
      <w:rPr>
        <w:noProof w:val="0"/>
      </w:rPr>
      <w:pict w14:anchorId="7A7AD7F7">
        <v:shapetype id="_x0000_t202" coordsize="21600,21600" o:spt="202" path="m,l,21600r21600,l21600,xe">
          <v:stroke joinstyle="miter"/>
          <v:path gradientshapeok="t" o:connecttype="rect"/>
        </v:shapetype>
        <v:shape id="_x0000_s1101" type="#_x0000_t202" style="position:absolute;margin-left:65.4pt;margin-top:594.5pt;width:207.3pt;height:12.55pt;z-index:-448480;mso-position-horizontal-relative:page;mso-position-vertical-relative:page" filled="f" stroked="f">
          <v:textbox inset="0,0,0,0">
            <w:txbxContent>
              <w:p w14:paraId="676B7987" w14:textId="77777777" w:rsidR="001008C3" w:rsidRDefault="001008C3">
                <w:pPr>
                  <w:spacing w:before="19"/>
                  <w:ind w:left="20"/>
                  <w:rPr>
                    <w:sz w:val="18"/>
                  </w:rPr>
                </w:pPr>
                <w:r>
                  <w:rPr>
                    <w:color w:val="231F20"/>
                    <w:w w:val="110"/>
                    <w:sz w:val="18"/>
                  </w:rPr>
                  <w:t>dramatis personae (baader, andreas)</w:t>
                </w:r>
                <w:r>
                  <w:rPr>
                    <w:color w:val="231F20"/>
                    <w:sz w:val="18"/>
                  </w:rPr>
                  <w:t xml:space="preserve"> </w:t>
                </w:r>
              </w:p>
            </w:txbxContent>
          </v:textbox>
          <w10:wrap anchorx="page" anchory="page"/>
        </v:shape>
      </w:pict>
    </w:r>
    <w:r>
      <w:rPr>
        <w:noProof w:val="0"/>
      </w:rPr>
      <w:pict w14:anchorId="55BC120B">
        <v:shape id="_x0000_s1100" type="#_x0000_t202" style="position:absolute;margin-left:356.1pt;margin-top:594.5pt;width:20.8pt;height:12.55pt;z-index:-448456;mso-position-horizontal-relative:page;mso-position-vertical-relative:page" filled="f" stroked="f">
          <v:textbox inset="0,0,0,0">
            <w:txbxContent>
              <w:p w14:paraId="378AB398" w14:textId="77777777" w:rsidR="001008C3" w:rsidRDefault="001008C3">
                <w:pPr>
                  <w:spacing w:before="19"/>
                  <w:ind w:left="20"/>
                  <w:rPr>
                    <w:sz w:val="18"/>
                  </w:rPr>
                </w:pPr>
                <w:r>
                  <w:rPr>
                    <w:color w:val="231F20"/>
                    <w:sz w:val="18"/>
                  </w:rPr>
                  <w:t xml:space="preserve">563 </w:t>
                </w:r>
              </w:p>
            </w:txbxContent>
          </v:textbox>
          <w10:wrap anchorx="page" anchory="page"/>
        </v:shape>
      </w:pict>
    </w: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A031B" w14:textId="77777777" w:rsidR="001008C3" w:rsidRDefault="00000000">
    <w:pPr>
      <w:pStyle w:val="a3"/>
      <w:spacing w:line="14" w:lineRule="auto"/>
    </w:pPr>
    <w:r>
      <w:rPr>
        <w:noProof w:val="0"/>
      </w:rPr>
      <w:pict w14:anchorId="2B0D1ED1">
        <v:shapetype id="_x0000_t202" coordsize="21600,21600" o:spt="202" path="m,l,21600r21600,l21600,xe">
          <v:stroke joinstyle="miter"/>
          <v:path gradientshapeok="t" o:connecttype="rect"/>
        </v:shapetype>
        <v:shape id="_x0000_s1099" type="#_x0000_t202" style="position:absolute;margin-left:56.4pt;margin-top:594.5pt;width:20.8pt;height:12.55pt;z-index:-448432;mso-position-horizontal-relative:page;mso-position-vertical-relative:page" filled="f" stroked="f">
          <v:textbox inset="0,0,0,0">
            <w:txbxContent>
              <w:p w14:paraId="4F13E335" w14:textId="77777777" w:rsidR="001008C3" w:rsidRDefault="001008C3">
                <w:pPr>
                  <w:spacing w:before="19"/>
                  <w:ind w:left="20"/>
                  <w:rPr>
                    <w:sz w:val="18"/>
                  </w:rPr>
                </w:pPr>
                <w:r>
                  <w:rPr>
                    <w:color w:val="231F20"/>
                    <w:sz w:val="18"/>
                  </w:rPr>
                  <w:t xml:space="preserve">564 </w:t>
                </w:r>
              </w:p>
            </w:txbxContent>
          </v:textbox>
          <w10:wrap anchorx="page" anchory="page"/>
        </v:shape>
      </w:pict>
    </w:r>
    <w:r>
      <w:rPr>
        <w:noProof w:val="0"/>
      </w:rPr>
      <w:pict w14:anchorId="31640434">
        <v:shape id="_x0000_s1098" type="#_x0000_t202" style="position:absolute;margin-left:138.6pt;margin-top:594.5pt;width:229.3pt;height:12.55pt;z-index:-448408;mso-position-horizontal-relative:page;mso-position-vertical-relative:page" filled="f" stroked="f">
          <v:textbox inset="0,0,0,0">
            <w:txbxContent>
              <w:p w14:paraId="2C10CC14" w14:textId="77777777" w:rsidR="001008C3" w:rsidRPr="00846956" w:rsidRDefault="001008C3">
                <w:pPr>
                  <w:spacing w:before="19"/>
                  <w:ind w:left="20"/>
                  <w:rPr>
                    <w:sz w:val="18"/>
                    <w:lang w:val="de-DE"/>
                  </w:rPr>
                </w:pPr>
                <w:r w:rsidRPr="00846956">
                  <w:rPr>
                    <w:color w:val="231F20"/>
                    <w:w w:val="115"/>
                    <w:sz w:val="18"/>
                    <w:lang w:val="de-DE"/>
                  </w:rPr>
                  <w:t>(bäcker, hans-jürgen) dramatis personae</w:t>
                </w:r>
                <w:r w:rsidRPr="00846956">
                  <w:rPr>
                    <w:color w:val="231F20"/>
                    <w:sz w:val="18"/>
                    <w:lang w:val="de-DE"/>
                  </w:rPr>
                  <w:t xml:space="preserve"> </w:t>
                </w:r>
              </w:p>
            </w:txbxContent>
          </v:textbox>
          <w10:wrap anchorx="page" anchory="page"/>
        </v:shape>
      </w:pict>
    </w:r>
  </w:p>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E86D6" w14:textId="77777777" w:rsidR="001008C3" w:rsidRDefault="00000000">
    <w:pPr>
      <w:pStyle w:val="a3"/>
      <w:spacing w:line="14" w:lineRule="auto"/>
    </w:pPr>
    <w:r>
      <w:rPr>
        <w:noProof w:val="0"/>
      </w:rPr>
      <w:pict w14:anchorId="65021548">
        <v:shapetype id="_x0000_t202" coordsize="21600,21600" o:spt="202" path="m,l,21600r21600,l21600,xe">
          <v:stroke joinstyle="miter"/>
          <v:path gradientshapeok="t" o:connecttype="rect"/>
        </v:shapetype>
        <v:shape id="_x0000_s1097" type="#_x0000_t202" style="position:absolute;margin-left:65.4pt;margin-top:594.5pt;width:208.3pt;height:12.55pt;z-index:-448384;mso-position-horizontal-relative:page;mso-position-vertical-relative:page" filled="f" stroked="f">
          <v:textbox inset="0,0,0,0">
            <w:txbxContent>
              <w:p w14:paraId="7CA42C30" w14:textId="77777777" w:rsidR="001008C3" w:rsidRDefault="001008C3">
                <w:pPr>
                  <w:spacing w:before="19"/>
                  <w:ind w:left="20"/>
                  <w:rPr>
                    <w:sz w:val="18"/>
                  </w:rPr>
                </w:pPr>
                <w:r>
                  <w:rPr>
                    <w:color w:val="231F20"/>
                    <w:w w:val="115"/>
                    <w:sz w:val="18"/>
                  </w:rPr>
                  <w:t>dramatis personae (croissant, klaus)</w:t>
                </w:r>
                <w:r>
                  <w:rPr>
                    <w:color w:val="231F20"/>
                    <w:sz w:val="18"/>
                  </w:rPr>
                  <w:t xml:space="preserve"> </w:t>
                </w:r>
              </w:p>
            </w:txbxContent>
          </v:textbox>
          <w10:wrap anchorx="page" anchory="page"/>
        </v:shape>
      </w:pict>
    </w:r>
    <w:r>
      <w:rPr>
        <w:noProof w:val="0"/>
      </w:rPr>
      <w:pict w14:anchorId="1BF7558F">
        <v:shape id="_x0000_s1096" type="#_x0000_t202" style="position:absolute;margin-left:356.1pt;margin-top:594.5pt;width:20.8pt;height:12.55pt;z-index:-448360;mso-position-horizontal-relative:page;mso-position-vertical-relative:page" filled="f" stroked="f">
          <v:textbox inset="0,0,0,0">
            <w:txbxContent>
              <w:p w14:paraId="528BE7B5" w14:textId="77777777" w:rsidR="001008C3" w:rsidRDefault="001008C3">
                <w:pPr>
                  <w:spacing w:before="19"/>
                  <w:ind w:left="20"/>
                  <w:rPr>
                    <w:sz w:val="18"/>
                  </w:rPr>
                </w:pPr>
                <w:r>
                  <w:rPr>
                    <w:color w:val="231F20"/>
                    <w:sz w:val="18"/>
                  </w:rPr>
                  <w:t xml:space="preserve">565 </w:t>
                </w:r>
              </w:p>
            </w:txbxContent>
          </v:textbox>
          <w10:wrap anchorx="page" anchory="page"/>
        </v:shape>
      </w:pict>
    </w: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332FF" w14:textId="77777777" w:rsidR="001008C3" w:rsidRDefault="00000000">
    <w:pPr>
      <w:pStyle w:val="a3"/>
      <w:spacing w:line="14" w:lineRule="auto"/>
    </w:pPr>
    <w:r>
      <w:rPr>
        <w:noProof w:val="0"/>
      </w:rPr>
      <w:pict w14:anchorId="7A99FFB9">
        <v:shapetype id="_x0000_t202" coordsize="21600,21600" o:spt="202" path="m,l,21600r21600,l21600,xe">
          <v:stroke joinstyle="miter"/>
          <v:path gradientshapeok="t" o:connecttype="rect"/>
        </v:shapetype>
        <v:shape id="_x0000_s1095" type="#_x0000_t202" style="position:absolute;margin-left:56.4pt;margin-top:594.5pt;width:20.8pt;height:12.55pt;z-index:-448336;mso-position-horizontal-relative:page;mso-position-vertical-relative:page" filled="f" stroked="f">
          <v:textbox inset="0,0,0,0">
            <w:txbxContent>
              <w:p w14:paraId="5D2468CF" w14:textId="77777777" w:rsidR="001008C3" w:rsidRDefault="001008C3">
                <w:pPr>
                  <w:spacing w:before="19"/>
                  <w:ind w:left="20"/>
                  <w:rPr>
                    <w:sz w:val="18"/>
                  </w:rPr>
                </w:pPr>
                <w:r>
                  <w:rPr>
                    <w:color w:val="231F20"/>
                    <w:sz w:val="18"/>
                  </w:rPr>
                  <w:t xml:space="preserve">566 </w:t>
                </w:r>
              </w:p>
            </w:txbxContent>
          </v:textbox>
          <w10:wrap anchorx="page" anchory="page"/>
        </v:shape>
      </w:pict>
    </w:r>
    <w:r>
      <w:rPr>
        <w:noProof w:val="0"/>
      </w:rPr>
      <w:pict w14:anchorId="00F465EE">
        <v:shape id="_x0000_s1094" type="#_x0000_t202" style="position:absolute;margin-left:129.75pt;margin-top:594.5pt;width:238.15pt;height:12.55pt;z-index:-448312;mso-position-horizontal-relative:page;mso-position-vertical-relative:page" filled="f" stroked="f">
          <v:textbox inset="0,0,0,0">
            <w:txbxContent>
              <w:p w14:paraId="178FDB25" w14:textId="77777777" w:rsidR="001008C3" w:rsidRDefault="001008C3">
                <w:pPr>
                  <w:spacing w:before="19"/>
                  <w:ind w:left="20"/>
                  <w:rPr>
                    <w:sz w:val="18"/>
                  </w:rPr>
                </w:pPr>
                <w:r>
                  <w:rPr>
                    <w:color w:val="231F20"/>
                    <w:w w:val="115"/>
                    <w:sz w:val="18"/>
                  </w:rPr>
                  <w:t>(dellwo, hans-joachim) dramatis personae</w:t>
                </w:r>
                <w:r>
                  <w:rPr>
                    <w:color w:val="231F20"/>
                    <w:sz w:val="18"/>
                  </w:rPr>
                  <w:t xml:space="preserve"> </w:t>
                </w:r>
              </w:p>
            </w:txbxContent>
          </v:textbox>
          <w10:wrap anchorx="page" anchory="page"/>
        </v:shape>
      </w:pict>
    </w: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1597D" w14:textId="77777777" w:rsidR="001008C3" w:rsidRDefault="00000000">
    <w:pPr>
      <w:pStyle w:val="a3"/>
      <w:spacing w:line="14" w:lineRule="auto"/>
    </w:pPr>
    <w:r>
      <w:rPr>
        <w:noProof w:val="0"/>
      </w:rPr>
      <w:pict w14:anchorId="3AF7098B">
        <v:shapetype id="_x0000_t202" coordsize="21600,21600" o:spt="202" path="m,l,21600r21600,l21600,xe">
          <v:stroke joinstyle="miter"/>
          <v:path gradientshapeok="t" o:connecttype="rect"/>
        </v:shapetype>
        <v:shape id="_x0000_s1093" type="#_x0000_t202" style="position:absolute;margin-left:65.4pt;margin-top:594.5pt;width:197.4pt;height:12.55pt;z-index:-448288;mso-position-horizontal-relative:page;mso-position-vertical-relative:page" filled="f" stroked="f">
          <v:textbox inset="0,0,0,0">
            <w:txbxContent>
              <w:p w14:paraId="3FC6209F" w14:textId="77777777" w:rsidR="001008C3" w:rsidRDefault="001008C3">
                <w:pPr>
                  <w:spacing w:before="19"/>
                  <w:ind w:left="20"/>
                  <w:rPr>
                    <w:sz w:val="18"/>
                  </w:rPr>
                </w:pPr>
                <w:r>
                  <w:rPr>
                    <w:color w:val="231F20"/>
                    <w:w w:val="115"/>
                    <w:sz w:val="18"/>
                  </w:rPr>
                  <w:t>dramatis personae (grustadt, eric)</w:t>
                </w:r>
                <w:r>
                  <w:rPr>
                    <w:color w:val="231F20"/>
                    <w:sz w:val="18"/>
                  </w:rPr>
                  <w:t xml:space="preserve"> </w:t>
                </w:r>
              </w:p>
            </w:txbxContent>
          </v:textbox>
          <w10:wrap anchorx="page" anchory="page"/>
        </v:shape>
      </w:pict>
    </w:r>
    <w:r>
      <w:rPr>
        <w:noProof w:val="0"/>
      </w:rPr>
      <w:pict w14:anchorId="3235E82C">
        <v:shape id="_x0000_s1092" type="#_x0000_t202" style="position:absolute;margin-left:356.1pt;margin-top:594.5pt;width:20.8pt;height:12.55pt;z-index:-448264;mso-position-horizontal-relative:page;mso-position-vertical-relative:page" filled="f" stroked="f">
          <v:textbox inset="0,0,0,0">
            <w:txbxContent>
              <w:p w14:paraId="20374B6C" w14:textId="77777777" w:rsidR="001008C3" w:rsidRDefault="001008C3">
                <w:pPr>
                  <w:spacing w:before="19"/>
                  <w:ind w:left="20"/>
                  <w:rPr>
                    <w:sz w:val="18"/>
                  </w:rPr>
                </w:pPr>
                <w:r>
                  <w:rPr>
                    <w:color w:val="231F20"/>
                    <w:sz w:val="18"/>
                  </w:rPr>
                  <w:t xml:space="preserve">567 </w:t>
                </w:r>
              </w:p>
            </w:txbxContent>
          </v:textbox>
          <w10:wrap anchorx="page" anchory="page"/>
        </v:shape>
      </w:pict>
    </w:r>
  </w:p>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2780" w14:textId="77777777" w:rsidR="001008C3" w:rsidRDefault="00000000">
    <w:pPr>
      <w:pStyle w:val="a3"/>
      <w:spacing w:line="14" w:lineRule="auto"/>
    </w:pPr>
    <w:r>
      <w:rPr>
        <w:noProof w:val="0"/>
      </w:rPr>
      <w:pict w14:anchorId="5918BAA5">
        <v:shapetype id="_x0000_t202" coordsize="21600,21600" o:spt="202" path="m,l,21600r21600,l21600,xe">
          <v:stroke joinstyle="miter"/>
          <v:path gradientshapeok="t" o:connecttype="rect"/>
        </v:shapetype>
        <v:shape id="_x0000_s1091" type="#_x0000_t202" style="position:absolute;margin-left:56.4pt;margin-top:594.5pt;width:20.8pt;height:12.55pt;z-index:-448240;mso-position-horizontal-relative:page;mso-position-vertical-relative:page" filled="f" stroked="f">
          <v:textbox inset="0,0,0,0">
            <w:txbxContent>
              <w:p w14:paraId="54900B88" w14:textId="77777777" w:rsidR="001008C3" w:rsidRDefault="001008C3">
                <w:pPr>
                  <w:spacing w:before="19"/>
                  <w:ind w:left="20"/>
                  <w:rPr>
                    <w:sz w:val="18"/>
                  </w:rPr>
                </w:pPr>
                <w:r>
                  <w:rPr>
                    <w:color w:val="231F20"/>
                    <w:sz w:val="18"/>
                  </w:rPr>
                  <w:t xml:space="preserve">568 </w:t>
                </w:r>
              </w:p>
            </w:txbxContent>
          </v:textbox>
          <w10:wrap anchorx="page" anchory="page"/>
        </v:shape>
      </w:pict>
    </w:r>
    <w:r>
      <w:rPr>
        <w:noProof w:val="0"/>
      </w:rPr>
      <w:pict w14:anchorId="24BD43E7">
        <v:shape id="_x0000_s1090" type="#_x0000_t202" style="position:absolute;margin-left:164.45pt;margin-top:594.5pt;width:203.4pt;height:12.55pt;z-index:-448216;mso-position-horizontal-relative:page;mso-position-vertical-relative:page" filled="f" stroked="f">
          <v:textbox inset="0,0,0,0">
            <w:txbxContent>
              <w:p w14:paraId="5B4704D6" w14:textId="77777777" w:rsidR="001008C3" w:rsidRDefault="001008C3">
                <w:pPr>
                  <w:spacing w:before="19"/>
                  <w:ind w:left="20"/>
                  <w:rPr>
                    <w:sz w:val="18"/>
                  </w:rPr>
                </w:pPr>
                <w:r>
                  <w:rPr>
                    <w:color w:val="231F20"/>
                    <w:w w:val="115"/>
                    <w:sz w:val="18"/>
                  </w:rPr>
                  <w:t>(haag, siegfried) dramatis personae</w:t>
                </w:r>
                <w:r>
                  <w:rPr>
                    <w:color w:val="231F20"/>
                    <w:sz w:val="18"/>
                  </w:rPr>
                  <w:t xml:space="preserve"> </w:t>
                </w:r>
              </w:p>
            </w:txbxContent>
          </v:textbox>
          <w10:wrap anchorx="page" anchory="page"/>
        </v:shape>
      </w:pict>
    </w: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C9209" w14:textId="77777777" w:rsidR="001008C3" w:rsidRDefault="00000000">
    <w:pPr>
      <w:pStyle w:val="a3"/>
      <w:spacing w:line="14" w:lineRule="auto"/>
    </w:pPr>
    <w:r>
      <w:rPr>
        <w:noProof w:val="0"/>
      </w:rPr>
      <w:pict w14:anchorId="0BE2C758">
        <v:shapetype id="_x0000_t202" coordsize="21600,21600" o:spt="202" path="m,l,21600r21600,l21600,xe">
          <v:stroke joinstyle="miter"/>
          <v:path gradientshapeok="t" o:connecttype="rect"/>
        </v:shapetype>
        <v:shape id="_x0000_s1089" type="#_x0000_t202" style="position:absolute;margin-left:65.4pt;margin-top:594.5pt;width:227.85pt;height:12.55pt;z-index:-448192;mso-position-horizontal-relative:page;mso-position-vertical-relative:page" filled="f" stroked="f">
          <v:textbox inset="0,0,0,0">
            <w:txbxContent>
              <w:p w14:paraId="3C0F31A7" w14:textId="77777777" w:rsidR="001008C3" w:rsidRDefault="001008C3">
                <w:pPr>
                  <w:spacing w:before="19"/>
                  <w:ind w:left="20"/>
                  <w:rPr>
                    <w:sz w:val="18"/>
                  </w:rPr>
                </w:pPr>
                <w:r>
                  <w:rPr>
                    <w:color w:val="231F20"/>
                    <w:w w:val="115"/>
                    <w:sz w:val="18"/>
                  </w:rPr>
                  <w:t>dramatis personae (klein, hans-joachim)</w:t>
                </w:r>
                <w:r>
                  <w:rPr>
                    <w:color w:val="231F20"/>
                    <w:sz w:val="18"/>
                  </w:rPr>
                  <w:t xml:space="preserve"> </w:t>
                </w:r>
              </w:p>
            </w:txbxContent>
          </v:textbox>
          <w10:wrap anchorx="page" anchory="page"/>
        </v:shape>
      </w:pict>
    </w:r>
    <w:r>
      <w:rPr>
        <w:noProof w:val="0"/>
      </w:rPr>
      <w:pict w14:anchorId="160626F4">
        <v:shape id="_x0000_s1088" type="#_x0000_t202" style="position:absolute;margin-left:356.1pt;margin-top:594.5pt;width:20.8pt;height:12.55pt;z-index:-448168;mso-position-horizontal-relative:page;mso-position-vertical-relative:page" filled="f" stroked="f">
          <v:textbox inset="0,0,0,0">
            <w:txbxContent>
              <w:p w14:paraId="03DB95CF" w14:textId="77777777" w:rsidR="001008C3" w:rsidRDefault="001008C3">
                <w:pPr>
                  <w:spacing w:before="19"/>
                  <w:ind w:left="20"/>
                  <w:rPr>
                    <w:sz w:val="18"/>
                  </w:rPr>
                </w:pPr>
                <w:r>
                  <w:rPr>
                    <w:color w:val="231F20"/>
                    <w:sz w:val="18"/>
                  </w:rPr>
                  <w:t xml:space="preserve">569 </w:t>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87170" w14:textId="77777777" w:rsidR="001008C3" w:rsidRDefault="00000000">
    <w:pPr>
      <w:pStyle w:val="a3"/>
      <w:spacing w:line="14" w:lineRule="auto"/>
    </w:pPr>
    <w:r>
      <w:rPr>
        <w:noProof w:val="0"/>
      </w:rPr>
      <w:pict w14:anchorId="78B199CF">
        <v:shapetype id="_x0000_t202" coordsize="21600,21600" o:spt="202" path="m,l,21600r21600,l21600,xe">
          <v:stroke joinstyle="miter"/>
          <v:path gradientshapeok="t" o:connecttype="rect"/>
        </v:shapetype>
        <v:shape id="_x0000_s1685" type="#_x0000_t202" style="position:absolute;margin-left:65.4pt;margin-top:594.5pt;width:116.6pt;height:12.55pt;z-index:-462496;mso-position-horizontal-relative:page;mso-position-vertical-relative:page" filled="f" stroked="f">
          <v:textbox inset="0,0,0,0">
            <w:txbxContent>
              <w:p w14:paraId="5D9E855C"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5066856C">
        <v:shape id="_x0000_s1684" type="#_x0000_t202" style="position:absolute;margin-left:361.35pt;margin-top:594.5pt;width:16.55pt;height:12.55pt;z-index:-462472;mso-position-horizontal-relative:page;mso-position-vertical-relative:page" filled="f" stroked="f">
          <v:textbox inset="0,0,0,0">
            <w:txbxContent>
              <w:p w14:paraId="2E9A491F" w14:textId="77777777" w:rsidR="001008C3" w:rsidRDefault="001008C3">
                <w:pPr>
                  <w:spacing w:before="19"/>
                  <w:ind w:left="40"/>
                  <w:rPr>
                    <w:sz w:val="18"/>
                  </w:rPr>
                </w:pPr>
                <w:r>
                  <w:rPr>
                    <w:color w:val="231F20"/>
                    <w:sz w:val="18"/>
                  </w:rPr>
                  <w:t xml:space="preserve">63 </w:t>
                </w:r>
              </w:p>
            </w:txbxContent>
          </v:textbox>
          <w10:wrap anchorx="page" anchory="page"/>
        </v:shape>
      </w:pict>
    </w:r>
  </w:p>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E1016" w14:textId="77777777" w:rsidR="001008C3" w:rsidRDefault="00000000">
    <w:pPr>
      <w:pStyle w:val="a3"/>
      <w:spacing w:line="14" w:lineRule="auto"/>
    </w:pPr>
    <w:r>
      <w:rPr>
        <w:noProof w:val="0"/>
      </w:rPr>
      <w:pict w14:anchorId="05112A06">
        <v:shapetype id="_x0000_t202" coordsize="21600,21600" o:spt="202" path="m,l,21600r21600,l21600,xe">
          <v:stroke joinstyle="miter"/>
          <v:path gradientshapeok="t" o:connecttype="rect"/>
        </v:shapetype>
        <v:shape id="_x0000_s1087" type="#_x0000_t202" style="position:absolute;margin-left:56.4pt;margin-top:594.5pt;width:20.8pt;height:12.55pt;z-index:-448144;mso-position-horizontal-relative:page;mso-position-vertical-relative:page" filled="f" stroked="f">
          <v:textbox inset="0,0,0,0">
            <w:txbxContent>
              <w:p w14:paraId="47E9A633" w14:textId="77777777" w:rsidR="001008C3" w:rsidRDefault="001008C3">
                <w:pPr>
                  <w:spacing w:before="19"/>
                  <w:ind w:left="20"/>
                  <w:rPr>
                    <w:sz w:val="18"/>
                  </w:rPr>
                </w:pPr>
                <w:r>
                  <w:rPr>
                    <w:color w:val="231F20"/>
                    <w:sz w:val="18"/>
                  </w:rPr>
                  <w:t xml:space="preserve">570 </w:t>
                </w:r>
              </w:p>
            </w:txbxContent>
          </v:textbox>
          <w10:wrap anchorx="page" anchory="page"/>
        </v:shape>
      </w:pict>
    </w:r>
    <w:r>
      <w:rPr>
        <w:noProof w:val="0"/>
      </w:rPr>
      <w:pict w14:anchorId="7E85D150">
        <v:shape id="_x0000_s1086" type="#_x0000_t202" style="position:absolute;margin-left:166.55pt;margin-top:594.5pt;width:201.35pt;height:12.55pt;z-index:-448120;mso-position-horizontal-relative:page;mso-position-vertical-relative:page" filled="f" stroked="f">
          <v:textbox inset="0,0,0,0">
            <w:txbxContent>
              <w:p w14:paraId="4BD1E8DD" w14:textId="77777777" w:rsidR="001008C3" w:rsidRDefault="001008C3">
                <w:pPr>
                  <w:spacing w:before="19"/>
                  <w:ind w:left="20"/>
                  <w:rPr>
                    <w:sz w:val="18"/>
                  </w:rPr>
                </w:pPr>
                <w:r>
                  <w:rPr>
                    <w:color w:val="231F20"/>
                    <w:w w:val="115"/>
                    <w:sz w:val="18"/>
                  </w:rPr>
                  <w:t>(knoll, michael) dramatis personae</w:t>
                </w:r>
                <w:r>
                  <w:rPr>
                    <w:color w:val="231F20"/>
                    <w:sz w:val="18"/>
                  </w:rPr>
                  <w:t xml:space="preserve"> </w:t>
                </w:r>
              </w:p>
            </w:txbxContent>
          </v:textbox>
          <w10:wrap anchorx="page" anchory="page"/>
        </v:shape>
      </w:pict>
    </w:r>
  </w:p>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BB06F" w14:textId="77777777" w:rsidR="001008C3" w:rsidRDefault="00000000">
    <w:pPr>
      <w:pStyle w:val="a3"/>
      <w:spacing w:line="14" w:lineRule="auto"/>
    </w:pPr>
    <w:r>
      <w:rPr>
        <w:noProof w:val="0"/>
      </w:rPr>
      <w:pict w14:anchorId="6EBBDF8C">
        <v:shapetype id="_x0000_t202" coordsize="21600,21600" o:spt="202" path="m,l,21600r21600,l21600,xe">
          <v:stroke joinstyle="miter"/>
          <v:path gradientshapeok="t" o:connecttype="rect"/>
        </v:shapetype>
        <v:shape id="_x0000_s1085" type="#_x0000_t202" style="position:absolute;margin-left:65.4pt;margin-top:594.5pt;width:205.25pt;height:12.55pt;z-index:-448096;mso-position-horizontal-relative:page;mso-position-vertical-relative:page" filled="f" stroked="f">
          <v:textbox inset="0,0,0,0">
            <w:txbxContent>
              <w:p w14:paraId="66B17187" w14:textId="77777777" w:rsidR="001008C3" w:rsidRDefault="001008C3">
                <w:pPr>
                  <w:spacing w:before="19"/>
                  <w:ind w:left="20"/>
                  <w:rPr>
                    <w:sz w:val="18"/>
                  </w:rPr>
                </w:pPr>
                <w:r>
                  <w:rPr>
                    <w:color w:val="231F20"/>
                    <w:w w:val="115"/>
                    <w:sz w:val="18"/>
                  </w:rPr>
                  <w:t>dramatis personae (meinhof, ulrike)</w:t>
                </w:r>
                <w:r>
                  <w:rPr>
                    <w:color w:val="231F20"/>
                    <w:sz w:val="18"/>
                  </w:rPr>
                  <w:t xml:space="preserve"> </w:t>
                </w:r>
              </w:p>
            </w:txbxContent>
          </v:textbox>
          <w10:wrap anchorx="page" anchory="page"/>
        </v:shape>
      </w:pict>
    </w:r>
    <w:r>
      <w:rPr>
        <w:noProof w:val="0"/>
      </w:rPr>
      <w:pict w14:anchorId="387BF6DF">
        <v:shape id="_x0000_s1084" type="#_x0000_t202" style="position:absolute;margin-left:356.1pt;margin-top:594.5pt;width:20.8pt;height:12.55pt;z-index:-448072;mso-position-horizontal-relative:page;mso-position-vertical-relative:page" filled="f" stroked="f">
          <v:textbox inset="0,0,0,0">
            <w:txbxContent>
              <w:p w14:paraId="5122FEAD" w14:textId="77777777" w:rsidR="001008C3" w:rsidRDefault="001008C3">
                <w:pPr>
                  <w:spacing w:before="19"/>
                  <w:ind w:left="20"/>
                  <w:rPr>
                    <w:sz w:val="18"/>
                  </w:rPr>
                </w:pPr>
                <w:r>
                  <w:rPr>
                    <w:color w:val="231F20"/>
                    <w:sz w:val="18"/>
                  </w:rPr>
                  <w:t xml:space="preserve">571 </w:t>
                </w:r>
              </w:p>
            </w:txbxContent>
          </v:textbox>
          <w10:wrap anchorx="page" anchory="page"/>
        </v:shape>
      </w:pict>
    </w: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2DF9A" w14:textId="77777777" w:rsidR="001008C3" w:rsidRDefault="00000000">
    <w:pPr>
      <w:pStyle w:val="a3"/>
      <w:spacing w:line="14" w:lineRule="auto"/>
    </w:pPr>
    <w:r>
      <w:rPr>
        <w:noProof w:val="0"/>
      </w:rPr>
      <w:pict w14:anchorId="06BA89FA">
        <v:shapetype id="_x0000_t202" coordsize="21600,21600" o:spt="202" path="m,l,21600r21600,l21600,xe">
          <v:stroke joinstyle="miter"/>
          <v:path gradientshapeok="t" o:connecttype="rect"/>
        </v:shapetype>
        <v:shape id="_x0000_s1083" type="#_x0000_t202" style="position:absolute;margin-left:56.4pt;margin-top:594.5pt;width:20.8pt;height:12.55pt;z-index:-448048;mso-position-horizontal-relative:page;mso-position-vertical-relative:page" filled="f" stroked="f">
          <v:textbox inset="0,0,0,0">
            <w:txbxContent>
              <w:p w14:paraId="473B9B1E" w14:textId="77777777" w:rsidR="001008C3" w:rsidRDefault="001008C3">
                <w:pPr>
                  <w:spacing w:before="19"/>
                  <w:ind w:left="20"/>
                  <w:rPr>
                    <w:sz w:val="18"/>
                  </w:rPr>
                </w:pPr>
                <w:r>
                  <w:rPr>
                    <w:color w:val="231F20"/>
                    <w:sz w:val="18"/>
                  </w:rPr>
                  <w:t xml:space="preserve">572 </w:t>
                </w:r>
              </w:p>
            </w:txbxContent>
          </v:textbox>
          <w10:wrap anchorx="page" anchory="page"/>
        </v:shape>
      </w:pict>
    </w:r>
    <w:r>
      <w:rPr>
        <w:noProof w:val="0"/>
      </w:rPr>
      <w:pict w14:anchorId="3D4C01CE">
        <v:shape id="_x0000_s1082" type="#_x0000_t202" style="position:absolute;margin-left:172.8pt;margin-top:594.5pt;width:195.1pt;height:12.55pt;z-index:-448024;mso-position-horizontal-relative:page;mso-position-vertical-relative:page" filled="f" stroked="f">
          <v:textbox inset="0,0,0,0">
            <w:txbxContent>
              <w:p w14:paraId="159CC809" w14:textId="77777777" w:rsidR="001008C3" w:rsidRDefault="001008C3">
                <w:pPr>
                  <w:spacing w:before="19"/>
                  <w:ind w:left="20"/>
                  <w:rPr>
                    <w:sz w:val="18"/>
                  </w:rPr>
                </w:pPr>
                <w:r>
                  <w:rPr>
                    <w:color w:val="231F20"/>
                    <w:w w:val="115"/>
                    <w:sz w:val="18"/>
                  </w:rPr>
                  <w:t>(meins, holger) dramatis personae</w:t>
                </w:r>
                <w:r>
                  <w:rPr>
                    <w:color w:val="231F20"/>
                    <w:sz w:val="18"/>
                  </w:rPr>
                  <w:t xml:space="preserve"> </w:t>
                </w:r>
              </w:p>
            </w:txbxContent>
          </v:textbox>
          <w10:wrap anchorx="page" anchory="page"/>
        </v:shape>
      </w:pict>
    </w:r>
  </w:p>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87BCA" w14:textId="77777777" w:rsidR="001008C3" w:rsidRDefault="00000000">
    <w:pPr>
      <w:pStyle w:val="a3"/>
      <w:spacing w:line="14" w:lineRule="auto"/>
    </w:pPr>
    <w:r>
      <w:rPr>
        <w:noProof w:val="0"/>
      </w:rPr>
      <w:pict w14:anchorId="27EE0857">
        <v:shapetype id="_x0000_t202" coordsize="21600,21600" o:spt="202" path="m,l,21600r21600,l21600,xe">
          <v:stroke joinstyle="miter"/>
          <v:path gradientshapeok="t" o:connecttype="rect"/>
        </v:shapetype>
        <v:shape id="_x0000_s1081" type="#_x0000_t202" style="position:absolute;margin-left:65.4pt;margin-top:594.5pt;width:201.2pt;height:12.55pt;z-index:-448000;mso-position-horizontal-relative:page;mso-position-vertical-relative:page" filled="f" stroked="f">
          <v:textbox inset="0,0,0,0">
            <w:txbxContent>
              <w:p w14:paraId="77B5538F" w14:textId="77777777" w:rsidR="001008C3" w:rsidRDefault="001008C3">
                <w:pPr>
                  <w:spacing w:before="19"/>
                  <w:ind w:left="20"/>
                  <w:rPr>
                    <w:sz w:val="18"/>
                  </w:rPr>
                </w:pPr>
                <w:r>
                  <w:rPr>
                    <w:color w:val="231F20"/>
                    <w:w w:val="115"/>
                    <w:sz w:val="18"/>
                  </w:rPr>
                  <w:t>dramatis personae (raspe, jan-carl)</w:t>
                </w:r>
                <w:r>
                  <w:rPr>
                    <w:color w:val="231F20"/>
                    <w:sz w:val="18"/>
                  </w:rPr>
                  <w:t xml:space="preserve"> </w:t>
                </w:r>
              </w:p>
            </w:txbxContent>
          </v:textbox>
          <w10:wrap anchorx="page" anchory="page"/>
        </v:shape>
      </w:pict>
    </w:r>
    <w:r>
      <w:rPr>
        <w:noProof w:val="0"/>
      </w:rPr>
      <w:pict w14:anchorId="71C2B689">
        <v:shape id="_x0000_s1080" type="#_x0000_t202" style="position:absolute;margin-left:356.1pt;margin-top:594.5pt;width:20.8pt;height:12.55pt;z-index:-447976;mso-position-horizontal-relative:page;mso-position-vertical-relative:page" filled="f" stroked="f">
          <v:textbox inset="0,0,0,0">
            <w:txbxContent>
              <w:p w14:paraId="5C821FD8" w14:textId="77777777" w:rsidR="001008C3" w:rsidRDefault="001008C3">
                <w:pPr>
                  <w:spacing w:before="19"/>
                  <w:ind w:left="20"/>
                  <w:rPr>
                    <w:sz w:val="18"/>
                  </w:rPr>
                </w:pPr>
                <w:r>
                  <w:rPr>
                    <w:color w:val="231F20"/>
                    <w:sz w:val="18"/>
                  </w:rPr>
                  <w:t xml:space="preserve">573 </w:t>
                </w:r>
              </w:p>
            </w:txbxContent>
          </v:textbox>
          <w10:wrap anchorx="page" anchory="page"/>
        </v:shape>
      </w:pict>
    </w:r>
  </w:p>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6CADC" w14:textId="77777777" w:rsidR="001008C3" w:rsidRDefault="00000000">
    <w:pPr>
      <w:pStyle w:val="a3"/>
      <w:spacing w:line="14" w:lineRule="auto"/>
    </w:pPr>
    <w:r>
      <w:rPr>
        <w:noProof w:val="0"/>
      </w:rPr>
      <w:pict w14:anchorId="55E1AA2B">
        <v:shapetype id="_x0000_t202" coordsize="21600,21600" o:spt="202" path="m,l,21600r21600,l21600,xe">
          <v:stroke joinstyle="miter"/>
          <v:path gradientshapeok="t" o:connecttype="rect"/>
        </v:shapetype>
        <v:shape id="_x0000_s1079" type="#_x0000_t202" style="position:absolute;margin-left:56.4pt;margin-top:594.5pt;width:20.8pt;height:12.55pt;z-index:-447952;mso-position-horizontal-relative:page;mso-position-vertical-relative:page" filled="f" stroked="f">
          <v:textbox inset="0,0,0,0">
            <w:txbxContent>
              <w:p w14:paraId="09D1559B" w14:textId="77777777" w:rsidR="001008C3" w:rsidRDefault="001008C3">
                <w:pPr>
                  <w:spacing w:before="19"/>
                  <w:ind w:left="20"/>
                  <w:rPr>
                    <w:sz w:val="18"/>
                  </w:rPr>
                </w:pPr>
                <w:r>
                  <w:rPr>
                    <w:color w:val="231F20"/>
                    <w:sz w:val="18"/>
                  </w:rPr>
                  <w:t xml:space="preserve">574 </w:t>
                </w:r>
              </w:p>
            </w:txbxContent>
          </v:textbox>
          <w10:wrap anchorx="page" anchory="page"/>
        </v:shape>
      </w:pict>
    </w:r>
    <w:r>
      <w:rPr>
        <w:noProof w:val="0"/>
      </w:rPr>
      <w:pict w14:anchorId="4D4A0BF6">
        <v:shape id="_x0000_s1078" type="#_x0000_t202" style="position:absolute;margin-left:152.35pt;margin-top:594.5pt;width:215.55pt;height:12.55pt;z-index:-447928;mso-position-horizontal-relative:page;mso-position-vertical-relative:page" filled="f" stroked="f">
          <v:textbox inset="0,0,0,0">
            <w:txbxContent>
              <w:p w14:paraId="762CE197" w14:textId="77777777" w:rsidR="001008C3" w:rsidRDefault="001008C3">
                <w:pPr>
                  <w:spacing w:before="19"/>
                  <w:ind w:left="20"/>
                  <w:rPr>
                    <w:sz w:val="18"/>
                  </w:rPr>
                </w:pPr>
                <w:r>
                  <w:rPr>
                    <w:color w:val="231F20"/>
                    <w:w w:val="115"/>
                    <w:sz w:val="18"/>
                  </w:rPr>
                  <w:t>(rauch, georg von) dramatis personae</w:t>
                </w:r>
                <w:r>
                  <w:rPr>
                    <w:color w:val="231F20"/>
                    <w:sz w:val="18"/>
                  </w:rPr>
                  <w:t xml:space="preserve"> </w:t>
                </w:r>
              </w:p>
            </w:txbxContent>
          </v:textbox>
          <w10:wrap anchorx="page" anchory="page"/>
        </v:shape>
      </w:pict>
    </w: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EAB7" w14:textId="77777777" w:rsidR="001008C3" w:rsidRDefault="00000000">
    <w:pPr>
      <w:pStyle w:val="a3"/>
      <w:spacing w:line="14" w:lineRule="auto"/>
    </w:pPr>
    <w:r>
      <w:rPr>
        <w:noProof w:val="0"/>
      </w:rPr>
      <w:pict w14:anchorId="2CB9BC21">
        <v:shapetype id="_x0000_t202" coordsize="21600,21600" o:spt="202" path="m,l,21600r21600,l21600,xe">
          <v:stroke joinstyle="miter"/>
          <v:path gradientshapeok="t" o:connecttype="rect"/>
        </v:shapetype>
        <v:shape id="_x0000_s1077" type="#_x0000_t202" style="position:absolute;margin-left:65.4pt;margin-top:594.5pt;width:206.35pt;height:12.55pt;z-index:-447904;mso-position-horizontal-relative:page;mso-position-vertical-relative:page" filled="f" stroked="f">
          <v:textbox inset="0,0,0,0">
            <w:txbxContent>
              <w:p w14:paraId="0769236E" w14:textId="77777777" w:rsidR="001008C3" w:rsidRDefault="001008C3">
                <w:pPr>
                  <w:spacing w:before="19"/>
                  <w:ind w:left="20"/>
                  <w:rPr>
                    <w:sz w:val="18"/>
                  </w:rPr>
                </w:pPr>
                <w:r>
                  <w:rPr>
                    <w:color w:val="231F20"/>
                    <w:w w:val="115"/>
                    <w:sz w:val="18"/>
                  </w:rPr>
                  <w:t>dramatis personae (söhnlein, horst)</w:t>
                </w:r>
                <w:r>
                  <w:rPr>
                    <w:color w:val="231F20"/>
                    <w:sz w:val="18"/>
                  </w:rPr>
                  <w:t xml:space="preserve"> </w:t>
                </w:r>
              </w:p>
            </w:txbxContent>
          </v:textbox>
          <w10:wrap anchorx="page" anchory="page"/>
        </v:shape>
      </w:pict>
    </w:r>
    <w:r>
      <w:rPr>
        <w:noProof w:val="0"/>
      </w:rPr>
      <w:pict w14:anchorId="6C72F6B5">
        <v:shape id="_x0000_s1076" type="#_x0000_t202" style="position:absolute;margin-left:356.1pt;margin-top:594.5pt;width:20.8pt;height:12.55pt;z-index:-447880;mso-position-horizontal-relative:page;mso-position-vertical-relative:page" filled="f" stroked="f">
          <v:textbox inset="0,0,0,0">
            <w:txbxContent>
              <w:p w14:paraId="568E0E70" w14:textId="77777777" w:rsidR="001008C3" w:rsidRDefault="001008C3">
                <w:pPr>
                  <w:spacing w:before="19"/>
                  <w:ind w:left="20"/>
                  <w:rPr>
                    <w:sz w:val="18"/>
                  </w:rPr>
                </w:pPr>
                <w:r>
                  <w:rPr>
                    <w:color w:val="231F20"/>
                    <w:sz w:val="18"/>
                  </w:rPr>
                  <w:t xml:space="preserve">575 </w:t>
                </w:r>
              </w:p>
            </w:txbxContent>
          </v:textbox>
          <w10:wrap anchorx="page" anchory="page"/>
        </v:shape>
      </w:pict>
    </w: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052FC" w14:textId="77777777" w:rsidR="001008C3" w:rsidRDefault="00000000">
    <w:pPr>
      <w:pStyle w:val="a3"/>
      <w:spacing w:line="14" w:lineRule="auto"/>
    </w:pPr>
    <w:r>
      <w:rPr>
        <w:noProof w:val="0"/>
      </w:rPr>
      <w:pict w14:anchorId="116F6ADA">
        <v:shapetype id="_x0000_t202" coordsize="21600,21600" o:spt="202" path="m,l,21600r21600,l21600,xe">
          <v:stroke joinstyle="miter"/>
          <v:path gradientshapeok="t" o:connecttype="rect"/>
        </v:shapetype>
        <v:shape id="_x0000_s1075" type="#_x0000_t202" style="position:absolute;margin-left:56.4pt;margin-top:594.5pt;width:20.8pt;height:12.55pt;z-index:-447856;mso-position-horizontal-relative:page;mso-position-vertical-relative:page" filled="f" stroked="f">
          <v:textbox inset="0,0,0,0">
            <w:txbxContent>
              <w:p w14:paraId="23068242" w14:textId="77777777" w:rsidR="001008C3" w:rsidRDefault="001008C3">
                <w:pPr>
                  <w:spacing w:before="19"/>
                  <w:ind w:left="20"/>
                  <w:rPr>
                    <w:sz w:val="18"/>
                  </w:rPr>
                </w:pPr>
                <w:r>
                  <w:rPr>
                    <w:color w:val="231F20"/>
                    <w:sz w:val="18"/>
                  </w:rPr>
                  <w:t xml:space="preserve">576 </w:t>
                </w:r>
              </w:p>
            </w:txbxContent>
          </v:textbox>
          <w10:wrap anchorx="page" anchory="page"/>
        </v:shape>
      </w:pict>
    </w:r>
    <w:r>
      <w:rPr>
        <w:noProof w:val="0"/>
      </w:rPr>
      <w:pict w14:anchorId="7A62F2A7">
        <v:shape id="_x0000_s1074" type="#_x0000_t202" style="position:absolute;margin-left:140.55pt;margin-top:594.5pt;width:227.35pt;height:12.55pt;z-index:-447832;mso-position-horizontal-relative:page;mso-position-vertical-relative:page" filled="f" stroked="f">
          <v:textbox inset="0,0,0,0">
            <w:txbxContent>
              <w:p w14:paraId="1E454218" w14:textId="77777777" w:rsidR="001008C3" w:rsidRPr="00846956" w:rsidRDefault="001008C3">
                <w:pPr>
                  <w:spacing w:before="19"/>
                  <w:ind w:left="20"/>
                  <w:rPr>
                    <w:sz w:val="18"/>
                    <w:lang w:val="de-DE"/>
                  </w:rPr>
                </w:pPr>
                <w:r w:rsidRPr="00846956">
                  <w:rPr>
                    <w:color w:val="231F20"/>
                    <w:w w:val="115"/>
                    <w:sz w:val="18"/>
                    <w:lang w:val="de-DE"/>
                  </w:rPr>
                  <w:t>(sonnenberg, günter) dramatis personae</w:t>
                </w:r>
                <w:r w:rsidRPr="00846956">
                  <w:rPr>
                    <w:color w:val="231F20"/>
                    <w:sz w:val="18"/>
                    <w:lang w:val="de-DE"/>
                  </w:rPr>
                  <w:t xml:space="preserve"> </w:t>
                </w:r>
              </w:p>
            </w:txbxContent>
          </v:textbox>
          <w10:wrap anchorx="page" anchory="page"/>
        </v:shape>
      </w:pict>
    </w:r>
  </w:p>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51CDF" w14:textId="77777777" w:rsidR="001008C3" w:rsidRDefault="00000000">
    <w:pPr>
      <w:pStyle w:val="a3"/>
      <w:spacing w:line="14" w:lineRule="auto"/>
    </w:pPr>
    <w:r>
      <w:rPr>
        <w:noProof w:val="0"/>
      </w:rPr>
      <w:pict w14:anchorId="4103D91E">
        <v:shapetype id="_x0000_t202" coordsize="21600,21600" o:spt="202" path="m,l,21600r21600,l21600,xe">
          <v:stroke joinstyle="miter"/>
          <v:path gradientshapeok="t" o:connecttype="rect"/>
        </v:shapetype>
        <v:shape id="_x0000_s1073" type="#_x0000_t202" style="position:absolute;margin-left:65.4pt;margin-top:594.5pt;width:198.35pt;height:12.55pt;z-index:-447808;mso-position-horizontal-relative:page;mso-position-vertical-relative:page" filled="f" stroked="f">
          <v:textbox inset="0,0,0,0">
            <w:txbxContent>
              <w:p w14:paraId="7EBEE534" w14:textId="77777777" w:rsidR="001008C3" w:rsidRDefault="001008C3">
                <w:pPr>
                  <w:spacing w:before="19"/>
                  <w:ind w:left="20"/>
                  <w:rPr>
                    <w:sz w:val="18"/>
                  </w:rPr>
                </w:pPr>
                <w:r>
                  <w:rPr>
                    <w:color w:val="231F20"/>
                    <w:w w:val="115"/>
                    <w:sz w:val="18"/>
                  </w:rPr>
                  <w:t>dramatis personae (wessel, ulrich)</w:t>
                </w:r>
                <w:r>
                  <w:rPr>
                    <w:color w:val="231F20"/>
                    <w:sz w:val="18"/>
                  </w:rPr>
                  <w:t xml:space="preserve"> </w:t>
                </w:r>
              </w:p>
            </w:txbxContent>
          </v:textbox>
          <w10:wrap anchorx="page" anchory="page"/>
        </v:shape>
      </w:pict>
    </w:r>
    <w:r>
      <w:rPr>
        <w:noProof w:val="0"/>
      </w:rPr>
      <w:pict w14:anchorId="4BAD35D4">
        <v:shape id="_x0000_s1072" type="#_x0000_t202" style="position:absolute;margin-left:356.1pt;margin-top:594.5pt;width:20.8pt;height:12.55pt;z-index:-447784;mso-position-horizontal-relative:page;mso-position-vertical-relative:page" filled="f" stroked="f">
          <v:textbox inset="0,0,0,0">
            <w:txbxContent>
              <w:p w14:paraId="5656CF05" w14:textId="77777777" w:rsidR="001008C3" w:rsidRDefault="001008C3">
                <w:pPr>
                  <w:spacing w:before="19"/>
                  <w:ind w:left="20"/>
                  <w:rPr>
                    <w:sz w:val="18"/>
                  </w:rPr>
                </w:pPr>
                <w:r>
                  <w:rPr>
                    <w:color w:val="231F20"/>
                    <w:sz w:val="18"/>
                  </w:rPr>
                  <w:t xml:space="preserve">577 </w:t>
                </w:r>
              </w:p>
            </w:txbxContent>
          </v:textbox>
          <w10:wrap anchorx="page" anchory="page"/>
        </v:shape>
      </w:pict>
    </w: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DC425" w14:textId="77777777" w:rsidR="001008C3" w:rsidRDefault="00000000">
    <w:pPr>
      <w:pStyle w:val="a3"/>
      <w:spacing w:line="14" w:lineRule="auto"/>
    </w:pPr>
    <w:r>
      <w:rPr>
        <w:noProof w:val="0"/>
      </w:rPr>
      <w:pict w14:anchorId="4EF6EF5D">
        <v:shapetype id="_x0000_t202" coordsize="21600,21600" o:spt="202" path="m,l,21600r21600,l21600,xe">
          <v:stroke joinstyle="miter"/>
          <v:path gradientshapeok="t" o:connecttype="rect"/>
        </v:shapetype>
        <v:shape id="_x0000_s1071" type="#_x0000_t202" style="position:absolute;margin-left:56.4pt;margin-top:594.5pt;width:20.8pt;height:12.55pt;z-index:-447760;mso-position-horizontal-relative:page;mso-position-vertical-relative:page" filled="f" stroked="f">
          <v:textbox inset="0,0,0,0">
            <w:txbxContent>
              <w:p w14:paraId="4504A37F" w14:textId="77777777" w:rsidR="001008C3" w:rsidRDefault="001008C3">
                <w:pPr>
                  <w:spacing w:before="19"/>
                  <w:ind w:left="20"/>
                  <w:rPr>
                    <w:sz w:val="18"/>
                  </w:rPr>
                </w:pPr>
                <w:r>
                  <w:rPr>
                    <w:color w:val="231F20"/>
                    <w:sz w:val="18"/>
                  </w:rPr>
                  <w:t xml:space="preserve">578 </w:t>
                </w:r>
              </w:p>
            </w:txbxContent>
          </v:textbox>
          <w10:wrap anchorx="page" anchory="page"/>
        </v:shape>
      </w:pict>
    </w:r>
    <w:r>
      <w:rPr>
        <w:noProof w:val="0"/>
      </w:rPr>
      <w:pict w14:anchorId="7249AB75">
        <v:shape id="_x0000_s1070" type="#_x0000_t202" style="position:absolute;margin-left:107.55pt;margin-top:594.5pt;width:260.35pt;height:12.55pt;z-index:-447736;mso-position-horizontal-relative:page;mso-position-vertical-relative:page" filled="f" stroked="f">
          <v:textbox inset="0,0,0,0">
            <w:txbxContent>
              <w:p w14:paraId="6CD72D17" w14:textId="77777777" w:rsidR="001008C3" w:rsidRPr="00846956" w:rsidRDefault="001008C3">
                <w:pPr>
                  <w:spacing w:before="19"/>
                  <w:ind w:left="20"/>
                  <w:rPr>
                    <w:sz w:val="18"/>
                    <w:lang w:val="de-DE"/>
                  </w:rPr>
                </w:pPr>
                <w:r w:rsidRPr="00846956">
                  <w:rPr>
                    <w:color w:val="231F20"/>
                    <w:spacing w:val="22"/>
                    <w:w w:val="110"/>
                    <w:sz w:val="18"/>
                    <w:lang w:val="de-DE"/>
                  </w:rPr>
                  <w:t xml:space="preserve">(wischnewski, </w:t>
                </w:r>
                <w:r w:rsidRPr="00846956">
                  <w:rPr>
                    <w:color w:val="231F20"/>
                    <w:spacing w:val="21"/>
                    <w:w w:val="110"/>
                    <w:sz w:val="18"/>
                    <w:lang w:val="de-DE"/>
                  </w:rPr>
                  <w:t xml:space="preserve">hans-jürgen) </w:t>
                </w:r>
                <w:r w:rsidRPr="00846956">
                  <w:rPr>
                    <w:color w:val="231F20"/>
                    <w:spacing w:val="20"/>
                    <w:w w:val="110"/>
                    <w:sz w:val="18"/>
                    <w:lang w:val="de-DE"/>
                  </w:rPr>
                  <w:t>dramatis</w:t>
                </w:r>
                <w:r w:rsidRPr="00846956">
                  <w:rPr>
                    <w:color w:val="231F20"/>
                    <w:spacing w:val="80"/>
                    <w:w w:val="110"/>
                    <w:sz w:val="18"/>
                    <w:lang w:val="de-DE"/>
                  </w:rPr>
                  <w:t xml:space="preserve"> </w:t>
                </w:r>
                <w:r w:rsidRPr="00846956">
                  <w:rPr>
                    <w:color w:val="231F20"/>
                    <w:spacing w:val="20"/>
                    <w:w w:val="110"/>
                    <w:sz w:val="18"/>
                    <w:lang w:val="de-DE"/>
                  </w:rPr>
                  <w:t>personae</w:t>
                </w:r>
                <w:r w:rsidRPr="00846956">
                  <w:rPr>
                    <w:color w:val="231F20"/>
                    <w:spacing w:val="-15"/>
                    <w:sz w:val="18"/>
                    <w:lang w:val="de-DE"/>
                  </w:rPr>
                  <w:t xml:space="preserve"> </w:t>
                </w:r>
              </w:p>
            </w:txbxContent>
          </v:textbox>
          <w10:wrap anchorx="page" anchory="page"/>
        </v:shape>
      </w:pict>
    </w: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A1B1A" w14:textId="77777777" w:rsidR="001008C3" w:rsidRDefault="001008C3">
    <w:pPr>
      <w:pStyle w:val="a3"/>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A29C0" w14:textId="77777777" w:rsidR="001008C3" w:rsidRDefault="00000000">
    <w:pPr>
      <w:pStyle w:val="a3"/>
      <w:spacing w:line="14" w:lineRule="auto"/>
    </w:pPr>
    <w:r>
      <w:rPr>
        <w:noProof w:val="0"/>
      </w:rPr>
      <w:pict w14:anchorId="08195761">
        <v:line id="_x0000_s1688" style="position:absolute;z-index:-462568;mso-position-horizontal-relative:page;mso-position-vertical-relative:page" from="57.4pt,546.7pt" to="129.4pt,546.7pt" strokecolor="#231f20" strokeweight=".5pt">
          <w10:wrap anchorx="page" anchory="page"/>
        </v:line>
      </w:pict>
    </w:r>
    <w:r>
      <w:rPr>
        <w:noProof w:val="0"/>
      </w:rPr>
      <w:pict w14:anchorId="4F39E13B">
        <v:shapetype id="_x0000_t202" coordsize="21600,21600" o:spt="202" path="m,l,21600r21600,l21600,xe">
          <v:stroke joinstyle="miter"/>
          <v:path gradientshapeok="t" o:connecttype="rect"/>
        </v:shapetype>
        <v:shape id="_x0000_s1687" type="#_x0000_t202" style="position:absolute;margin-left:56.4pt;margin-top:594.5pt;width:14.55pt;height:12.55pt;z-index:-462544;mso-position-horizontal-relative:page;mso-position-vertical-relative:page" filled="f" stroked="f">
          <v:textbox inset="0,0,0,0">
            <w:txbxContent>
              <w:p w14:paraId="7F28CCCB" w14:textId="77777777" w:rsidR="001008C3" w:rsidRDefault="001008C3">
                <w:pPr>
                  <w:spacing w:before="19"/>
                  <w:ind w:left="20"/>
                  <w:rPr>
                    <w:sz w:val="18"/>
                  </w:rPr>
                </w:pPr>
                <w:r>
                  <w:rPr>
                    <w:color w:val="231F20"/>
                    <w:sz w:val="18"/>
                  </w:rPr>
                  <w:t xml:space="preserve">62 </w:t>
                </w:r>
              </w:p>
            </w:txbxContent>
          </v:textbox>
          <w10:wrap anchorx="page" anchory="page"/>
        </v:shape>
      </w:pict>
    </w:r>
    <w:r>
      <w:rPr>
        <w:noProof w:val="0"/>
      </w:rPr>
      <w:pict w14:anchorId="7A8268BA">
        <v:shape id="_x0000_s1686" type="#_x0000_t202" style="position:absolute;margin-left:243pt;margin-top:594.5pt;width:124.6pt;height:12.55pt;z-index:-462520;mso-position-horizontal-relative:page;mso-position-vertical-relative:page" filled="f" stroked="f">
          <v:textbox inset="0,0,0,0">
            <w:txbxContent>
              <w:p w14:paraId="17B66D6C" w14:textId="77777777" w:rsidR="001008C3" w:rsidRDefault="001008C3">
                <w:pPr>
                  <w:tabs>
                    <w:tab w:val="left" w:pos="2242"/>
                  </w:tabs>
                  <w:spacing w:before="19"/>
                  <w:ind w:left="20"/>
                  <w:rPr>
                    <w:sz w:val="14"/>
                  </w:rPr>
                </w:pPr>
                <w:r>
                  <w:rPr>
                    <w:color w:val="231F20"/>
                    <w:spacing w:val="20"/>
                    <w:w w:val="110"/>
                    <w:sz w:val="18"/>
                  </w:rPr>
                  <w:t xml:space="preserve">taking  </w:t>
                </w:r>
                <w:r>
                  <w:rPr>
                    <w:color w:val="231F20"/>
                    <w:spacing w:val="11"/>
                    <w:w w:val="110"/>
                    <w:sz w:val="18"/>
                  </w:rPr>
                  <w:t xml:space="preserve">up </w:t>
                </w:r>
                <w:r>
                  <w:rPr>
                    <w:color w:val="231F20"/>
                    <w:spacing w:val="33"/>
                    <w:w w:val="110"/>
                    <w:sz w:val="18"/>
                  </w:rPr>
                  <w:t xml:space="preserve"> </w:t>
                </w:r>
                <w:r>
                  <w:rPr>
                    <w:color w:val="231F20"/>
                    <w:spacing w:val="15"/>
                    <w:w w:val="110"/>
                    <w:sz w:val="18"/>
                  </w:rPr>
                  <w:t xml:space="preserve">the </w:t>
                </w:r>
                <w:r>
                  <w:rPr>
                    <w:color w:val="231F20"/>
                    <w:spacing w:val="28"/>
                    <w:w w:val="110"/>
                    <w:sz w:val="18"/>
                  </w:rPr>
                  <w:t xml:space="preserve"> </w:t>
                </w:r>
                <w:r>
                  <w:rPr>
                    <w:color w:val="231F20"/>
                    <w:spacing w:val="15"/>
                    <w:w w:val="110"/>
                    <w:sz w:val="18"/>
                  </w:rPr>
                  <w:t>gun</w:t>
                </w:r>
                <w:r>
                  <w:rPr>
                    <w:color w:val="231F20"/>
                    <w:spacing w:val="15"/>
                    <w:w w:val="110"/>
                    <w:sz w:val="18"/>
                  </w:rPr>
                  <w:tab/>
                </w:r>
                <w:r>
                  <w:rPr>
                    <w:color w:val="231F20"/>
                    <w:spacing w:val="11"/>
                    <w:w w:val="105"/>
                    <w:sz w:val="14"/>
                  </w:rPr>
                  <w:t>(3)</w:t>
                </w:r>
                <w:r>
                  <w:rPr>
                    <w:color w:val="231F20"/>
                    <w:spacing w:val="-12"/>
                    <w:sz w:val="14"/>
                  </w:rPr>
                  <w:t xml:space="preserve"> </w:t>
                </w:r>
              </w:p>
            </w:txbxContent>
          </v:textbox>
          <w10:wrap anchorx="page" anchory="page"/>
        </v:shape>
      </w:pict>
    </w: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F1C12" w14:textId="77777777" w:rsidR="001008C3" w:rsidRDefault="001008C3">
    <w:pPr>
      <w:pStyle w:val="a3"/>
      <w:spacing w:line="14" w:lineRule="auto"/>
      <w:rPr>
        <w:sz w:val="2"/>
      </w:rPr>
    </w:pP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8A4F2" w14:textId="77777777" w:rsidR="001008C3" w:rsidRDefault="001008C3">
    <w:pPr>
      <w:pStyle w:val="a3"/>
      <w:spacing w:line="14" w:lineRule="auto"/>
      <w:rPr>
        <w:sz w:val="2"/>
      </w:rPr>
    </w:pP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57364" w14:textId="77777777" w:rsidR="001008C3" w:rsidRDefault="001008C3">
    <w:pPr>
      <w:pStyle w:val="a3"/>
      <w:spacing w:line="14" w:lineRule="auto"/>
      <w:rPr>
        <w:sz w:val="2"/>
      </w:rPr>
    </w:pPr>
  </w:p>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41CC6" w14:textId="77777777" w:rsidR="001008C3" w:rsidRDefault="001008C3">
    <w:pPr>
      <w:pStyle w:val="a3"/>
      <w:spacing w:line="14" w:lineRule="auto"/>
      <w:rPr>
        <w:sz w:val="2"/>
      </w:rPr>
    </w:pP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C9A1A" w14:textId="77777777" w:rsidR="001008C3" w:rsidRDefault="001008C3">
    <w:pPr>
      <w:pStyle w:val="a3"/>
      <w:spacing w:line="14" w:lineRule="auto"/>
      <w:rPr>
        <w:sz w:val="2"/>
      </w:rPr>
    </w:pP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8E288" w14:textId="77777777" w:rsidR="001008C3" w:rsidRDefault="001008C3">
    <w:pPr>
      <w:pStyle w:val="a3"/>
      <w:spacing w:line="14" w:lineRule="auto"/>
      <w:rPr>
        <w:sz w:val="2"/>
      </w:rPr>
    </w:pPr>
  </w:p>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5987" w14:textId="77777777" w:rsidR="001008C3" w:rsidRDefault="001008C3">
    <w:pPr>
      <w:pStyle w:val="a3"/>
      <w:spacing w:line="14" w:lineRule="auto"/>
      <w:rPr>
        <w:sz w:val="2"/>
      </w:rPr>
    </w:pP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9EFBB" w14:textId="77777777" w:rsidR="001008C3" w:rsidRDefault="001008C3">
    <w:pPr>
      <w:pStyle w:val="a3"/>
      <w:spacing w:line="14" w:lineRule="auto"/>
      <w:rPr>
        <w:sz w:val="2"/>
      </w:rPr>
    </w:pP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514ED" w14:textId="77777777" w:rsidR="001008C3" w:rsidRDefault="001008C3">
    <w:pPr>
      <w:pStyle w:val="a3"/>
      <w:spacing w:line="14" w:lineRule="auto"/>
      <w:rPr>
        <w:sz w:val="2"/>
      </w:rPr>
    </w:pPr>
  </w:p>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F2496" w14:textId="77777777" w:rsidR="001008C3" w:rsidRDefault="001008C3">
    <w:pPr>
      <w:pStyle w:val="a3"/>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187B1" w14:textId="77777777" w:rsidR="001008C3" w:rsidRDefault="00000000">
    <w:pPr>
      <w:pStyle w:val="a3"/>
      <w:spacing w:line="14" w:lineRule="auto"/>
    </w:pPr>
    <w:r>
      <w:rPr>
        <w:noProof w:val="0"/>
      </w:rPr>
      <w:pict w14:anchorId="77F88EAB">
        <v:shapetype id="_x0000_t202" coordsize="21600,21600" o:spt="202" path="m,l,21600r21600,l21600,xe">
          <v:stroke joinstyle="miter"/>
          <v:path gradientshapeok="t" o:connecttype="rect"/>
        </v:shapetype>
        <v:shape id="_x0000_s1683" type="#_x0000_t202" style="position:absolute;margin-left:55.4pt;margin-top:594.5pt;width:16.55pt;height:12.55pt;z-index:-462448;mso-position-horizontal-relative:page;mso-position-vertical-relative:page" filled="f" stroked="f">
          <v:textbox inset="0,0,0,0">
            <w:txbxContent>
              <w:p w14:paraId="5D542D62"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64</w:t>
                </w:r>
                <w:r>
                  <w:fldChar w:fldCharType="end"/>
                </w:r>
                <w:r>
                  <w:rPr>
                    <w:color w:val="231F20"/>
                    <w:sz w:val="18"/>
                  </w:rPr>
                  <w:t xml:space="preserve"> </w:t>
                </w:r>
              </w:p>
            </w:txbxContent>
          </v:textbox>
          <w10:wrap anchorx="page" anchory="page"/>
        </v:shape>
      </w:pict>
    </w:r>
    <w:r>
      <w:rPr>
        <w:noProof w:val="0"/>
      </w:rPr>
      <w:pict w14:anchorId="158633EE">
        <v:shape id="_x0000_s1682" type="#_x0000_t202" style="position:absolute;margin-left:243pt;margin-top:594.5pt;width:124.6pt;height:12.55pt;z-index:-462424;mso-position-horizontal-relative:page;mso-position-vertical-relative:page" filled="f" stroked="f">
          <v:textbox inset="0,0,0,0">
            <w:txbxContent>
              <w:p w14:paraId="0C73DBD1" w14:textId="77777777" w:rsidR="001008C3" w:rsidRDefault="001008C3">
                <w:pPr>
                  <w:tabs>
                    <w:tab w:val="left" w:pos="2242"/>
                  </w:tabs>
                  <w:spacing w:before="19"/>
                  <w:ind w:left="20"/>
                  <w:rPr>
                    <w:sz w:val="14"/>
                  </w:rPr>
                </w:pPr>
                <w:r>
                  <w:rPr>
                    <w:color w:val="231F20"/>
                    <w:spacing w:val="20"/>
                    <w:w w:val="110"/>
                    <w:sz w:val="18"/>
                  </w:rPr>
                  <w:t xml:space="preserve">taking  </w:t>
                </w:r>
                <w:r>
                  <w:rPr>
                    <w:color w:val="231F20"/>
                    <w:spacing w:val="11"/>
                    <w:w w:val="110"/>
                    <w:sz w:val="18"/>
                  </w:rPr>
                  <w:t xml:space="preserve">up </w:t>
                </w:r>
                <w:r>
                  <w:rPr>
                    <w:color w:val="231F20"/>
                    <w:spacing w:val="33"/>
                    <w:w w:val="110"/>
                    <w:sz w:val="18"/>
                  </w:rPr>
                  <w:t xml:space="preserve"> </w:t>
                </w:r>
                <w:r>
                  <w:rPr>
                    <w:color w:val="231F20"/>
                    <w:spacing w:val="15"/>
                    <w:w w:val="110"/>
                    <w:sz w:val="18"/>
                  </w:rPr>
                  <w:t xml:space="preserve">the </w:t>
                </w:r>
                <w:r>
                  <w:rPr>
                    <w:color w:val="231F20"/>
                    <w:spacing w:val="28"/>
                    <w:w w:val="110"/>
                    <w:sz w:val="18"/>
                  </w:rPr>
                  <w:t xml:space="preserve"> </w:t>
                </w:r>
                <w:r>
                  <w:rPr>
                    <w:color w:val="231F20"/>
                    <w:spacing w:val="15"/>
                    <w:w w:val="110"/>
                    <w:sz w:val="18"/>
                  </w:rPr>
                  <w:t>gun</w:t>
                </w:r>
                <w:r>
                  <w:rPr>
                    <w:color w:val="231F20"/>
                    <w:spacing w:val="15"/>
                    <w:w w:val="110"/>
                    <w:sz w:val="18"/>
                  </w:rPr>
                  <w:tab/>
                </w:r>
                <w:r>
                  <w:rPr>
                    <w:color w:val="231F20"/>
                    <w:spacing w:val="11"/>
                    <w:w w:val="105"/>
                    <w:sz w:val="14"/>
                  </w:rPr>
                  <w:t>(3)</w:t>
                </w:r>
                <w:r>
                  <w:rPr>
                    <w:color w:val="231F20"/>
                    <w:spacing w:val="-12"/>
                    <w:sz w:val="14"/>
                  </w:rPr>
                  <w:t xml:space="preserve"> </w:t>
                </w:r>
              </w:p>
            </w:txbxContent>
          </v:textbox>
          <w10:wrap anchorx="page" anchory="page"/>
        </v:shape>
      </w:pict>
    </w: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7DA1E" w14:textId="77777777" w:rsidR="001008C3" w:rsidRDefault="001008C3">
    <w:pPr>
      <w:pStyle w:val="a3"/>
      <w:spacing w:line="14" w:lineRule="auto"/>
      <w:rPr>
        <w:sz w:val="2"/>
      </w:rPr>
    </w:pP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D8580" w14:textId="77777777" w:rsidR="001008C3" w:rsidRDefault="001008C3">
    <w:pPr>
      <w:pStyle w:val="a3"/>
      <w:spacing w:line="14" w:lineRule="auto"/>
      <w:rPr>
        <w:sz w:val="2"/>
      </w:rPr>
    </w:pPr>
  </w:p>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6186C" w14:textId="77777777" w:rsidR="001008C3" w:rsidRDefault="001008C3">
    <w:pPr>
      <w:pStyle w:val="a3"/>
      <w:spacing w:line="14" w:lineRule="auto"/>
      <w:rPr>
        <w:sz w:val="2"/>
      </w:rPr>
    </w:pP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E1566" w14:textId="77777777" w:rsidR="001008C3" w:rsidRDefault="001008C3">
    <w:pPr>
      <w:pStyle w:val="a3"/>
      <w:spacing w:line="14" w:lineRule="auto"/>
      <w:rPr>
        <w:sz w:val="2"/>
      </w:rPr>
    </w:pP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967A6" w14:textId="77777777" w:rsidR="001008C3" w:rsidRDefault="001008C3">
    <w:pPr>
      <w:pStyle w:val="a3"/>
      <w:spacing w:line="14" w:lineRule="auto"/>
      <w:rPr>
        <w:sz w:val="2"/>
      </w:rPr>
    </w:pPr>
  </w:p>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70F4B" w14:textId="77777777" w:rsidR="001008C3" w:rsidRDefault="001008C3">
    <w:pPr>
      <w:pStyle w:val="a3"/>
      <w:spacing w:line="14" w:lineRule="auto"/>
      <w:rPr>
        <w:sz w:val="2"/>
      </w:rPr>
    </w:pP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5F722" w14:textId="77777777" w:rsidR="001008C3" w:rsidRDefault="001008C3">
    <w:pPr>
      <w:pStyle w:val="a3"/>
      <w:spacing w:line="14" w:lineRule="auto"/>
      <w:rPr>
        <w:sz w:val="2"/>
      </w:rPr>
    </w:pP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9CB69" w14:textId="77777777" w:rsidR="001008C3" w:rsidRDefault="001008C3">
    <w:pPr>
      <w:pStyle w:val="a3"/>
      <w:spacing w:line="14" w:lineRule="auto"/>
      <w:rPr>
        <w:sz w:val="2"/>
      </w:rPr>
    </w:pPr>
  </w:p>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86F76" w14:textId="77777777" w:rsidR="001008C3" w:rsidRDefault="001008C3">
    <w:pPr>
      <w:pStyle w:val="a3"/>
      <w:spacing w:line="14" w:lineRule="auto"/>
      <w:rPr>
        <w:sz w:val="2"/>
      </w:rPr>
    </w:pP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89618" w14:textId="77777777" w:rsidR="001008C3" w:rsidRDefault="001008C3">
    <w:pPr>
      <w:pStyle w:val="a3"/>
      <w:spacing w:line="14" w:lineRule="auto"/>
      <w:rPr>
        <w:sz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ED898" w14:textId="77777777" w:rsidR="001008C3" w:rsidRDefault="00000000">
    <w:pPr>
      <w:pStyle w:val="a3"/>
      <w:spacing w:line="14" w:lineRule="auto"/>
    </w:pPr>
    <w:r>
      <w:rPr>
        <w:noProof w:val="0"/>
      </w:rPr>
      <w:pict w14:anchorId="5882E409">
        <v:shapetype id="_x0000_t202" coordsize="21600,21600" o:spt="202" path="m,l,21600r21600,l21600,xe">
          <v:stroke joinstyle="miter"/>
          <v:path gradientshapeok="t" o:connecttype="rect"/>
        </v:shapetype>
        <v:shape id="_x0000_s1681" type="#_x0000_t202" style="position:absolute;margin-left:65.4pt;margin-top:594.5pt;width:116.6pt;height:12.55pt;z-index:-462400;mso-position-horizontal-relative:page;mso-position-vertical-relative:page" filled="f" stroked="f">
          <v:textbox inset="0,0,0,0">
            <w:txbxContent>
              <w:p w14:paraId="394CDBC5"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30731E6A">
        <v:shape id="_x0000_s1680" type="#_x0000_t202" style="position:absolute;margin-left:361.35pt;margin-top:594.5pt;width:16.55pt;height:12.55pt;z-index:-462376;mso-position-horizontal-relative:page;mso-position-vertical-relative:page" filled="f" stroked="f">
          <v:textbox inset="0,0,0,0">
            <w:txbxContent>
              <w:p w14:paraId="6411F868"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65</w:t>
                </w:r>
                <w:r>
                  <w:fldChar w:fldCharType="end"/>
                </w:r>
                <w:r>
                  <w:rPr>
                    <w:color w:val="231F20"/>
                    <w:sz w:val="18"/>
                  </w:rPr>
                  <w:t xml:space="preserve"> </w:t>
                </w:r>
              </w:p>
            </w:txbxContent>
          </v:textbox>
          <w10:wrap anchorx="page" anchory="page"/>
        </v:shape>
      </w:pict>
    </w:r>
  </w:p>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7E9FC" w14:textId="77777777" w:rsidR="001008C3" w:rsidRDefault="001008C3">
    <w:pPr>
      <w:pStyle w:val="a3"/>
      <w:spacing w:line="14" w:lineRule="auto"/>
      <w:rPr>
        <w:sz w:val="2"/>
      </w:rPr>
    </w:pPr>
  </w:p>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7D165" w14:textId="77777777" w:rsidR="001008C3" w:rsidRDefault="001008C3">
    <w:pPr>
      <w:pStyle w:val="a3"/>
      <w:spacing w:line="14" w:lineRule="auto"/>
      <w:rPr>
        <w:sz w:val="2"/>
      </w:rPr>
    </w:pP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09B1D" w14:textId="77777777" w:rsidR="001008C3" w:rsidRDefault="001008C3">
    <w:pPr>
      <w:pStyle w:val="a3"/>
      <w:spacing w:line="14" w:lineRule="auto"/>
      <w:rPr>
        <w:sz w:val="2"/>
      </w:rPr>
    </w:pP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E54DB" w14:textId="77777777" w:rsidR="001008C3" w:rsidRDefault="001008C3">
    <w:pPr>
      <w:pStyle w:val="a3"/>
      <w:spacing w:line="14" w:lineRule="auto"/>
      <w:rPr>
        <w:sz w:val="2"/>
      </w:rPr>
    </w:pPr>
  </w:p>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83B1E" w14:textId="77777777" w:rsidR="001008C3" w:rsidRDefault="001008C3">
    <w:pPr>
      <w:pStyle w:val="a3"/>
      <w:spacing w:line="14" w:lineRule="auto"/>
      <w:rPr>
        <w:sz w:val="2"/>
      </w:rPr>
    </w:pP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7E192" w14:textId="77777777" w:rsidR="001008C3" w:rsidRDefault="001008C3">
    <w:pPr>
      <w:pStyle w:val="a3"/>
      <w:spacing w:line="14" w:lineRule="auto"/>
      <w:rPr>
        <w:sz w:val="2"/>
      </w:rPr>
    </w:pPr>
  </w:p>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3D60E" w14:textId="77777777" w:rsidR="001008C3" w:rsidRDefault="001008C3">
    <w:pPr>
      <w:pStyle w:val="a3"/>
      <w:spacing w:line="14" w:lineRule="auto"/>
      <w:rPr>
        <w:sz w:val="2"/>
      </w:rPr>
    </w:pPr>
  </w:p>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A2181" w14:textId="77777777" w:rsidR="001008C3" w:rsidRDefault="001008C3">
    <w:pPr>
      <w:pStyle w:val="a3"/>
      <w:spacing w:line="14" w:lineRule="auto"/>
      <w:rPr>
        <w:sz w:val="2"/>
      </w:rPr>
    </w:pP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A2EEC" w14:textId="77777777" w:rsidR="001008C3" w:rsidRDefault="001008C3">
    <w:pPr>
      <w:pStyle w:val="a3"/>
      <w:spacing w:line="14" w:lineRule="auto"/>
      <w:rPr>
        <w:sz w:val="2"/>
      </w:rPr>
    </w:pPr>
  </w:p>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D6C55" w14:textId="77777777" w:rsidR="001008C3" w:rsidRDefault="001008C3">
    <w:pPr>
      <w:pStyle w:val="a3"/>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B8EEB" w14:textId="77777777" w:rsidR="001008C3" w:rsidRDefault="00000000">
    <w:pPr>
      <w:pStyle w:val="a3"/>
      <w:spacing w:line="14" w:lineRule="auto"/>
    </w:pPr>
    <w:r>
      <w:rPr>
        <w:noProof w:val="0"/>
      </w:rPr>
      <w:pict w14:anchorId="4B62869F">
        <v:shapetype id="_x0000_t202" coordsize="21600,21600" o:spt="202" path="m,l,21600r21600,l21600,xe">
          <v:stroke joinstyle="miter"/>
          <v:path gradientshapeok="t" o:connecttype="rect"/>
        </v:shapetype>
        <v:shape id="_x0000_s1677" type="#_x0000_t202" style="position:absolute;margin-left:55.4pt;margin-top:594.5pt;width:16.55pt;height:12.55pt;z-index:-462304;mso-position-horizontal-relative:page;mso-position-vertical-relative:page" filled="f" stroked="f">
          <v:textbox inset="0,0,0,0">
            <w:txbxContent>
              <w:p w14:paraId="0FBE5B8B"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68</w:t>
                </w:r>
                <w:r>
                  <w:fldChar w:fldCharType="end"/>
                </w:r>
                <w:r>
                  <w:rPr>
                    <w:color w:val="231F20"/>
                    <w:sz w:val="18"/>
                  </w:rPr>
                  <w:t xml:space="preserve"> </w:t>
                </w:r>
              </w:p>
            </w:txbxContent>
          </v:textbox>
          <w10:wrap anchorx="page" anchory="page"/>
        </v:shape>
      </w:pict>
    </w:r>
    <w:r>
      <w:rPr>
        <w:noProof w:val="0"/>
      </w:rPr>
      <w:pict w14:anchorId="1DD371DB">
        <v:shape id="_x0000_s1676" type="#_x0000_t202" style="position:absolute;margin-left:243pt;margin-top:594.5pt;width:124.6pt;height:12.55pt;z-index:-462280;mso-position-horizontal-relative:page;mso-position-vertical-relative:page" filled="f" stroked="f">
          <v:textbox inset="0,0,0,0">
            <w:txbxContent>
              <w:p w14:paraId="3B5C3CA3" w14:textId="77777777" w:rsidR="001008C3" w:rsidRDefault="001008C3">
                <w:pPr>
                  <w:tabs>
                    <w:tab w:val="left" w:pos="2242"/>
                  </w:tabs>
                  <w:spacing w:before="19"/>
                  <w:ind w:left="20"/>
                  <w:rPr>
                    <w:sz w:val="14"/>
                  </w:rPr>
                </w:pPr>
                <w:r>
                  <w:rPr>
                    <w:color w:val="231F20"/>
                    <w:spacing w:val="20"/>
                    <w:w w:val="110"/>
                    <w:sz w:val="18"/>
                  </w:rPr>
                  <w:t xml:space="preserve">taking  </w:t>
                </w:r>
                <w:r>
                  <w:rPr>
                    <w:color w:val="231F20"/>
                    <w:spacing w:val="11"/>
                    <w:w w:val="110"/>
                    <w:sz w:val="18"/>
                  </w:rPr>
                  <w:t xml:space="preserve">up </w:t>
                </w:r>
                <w:r>
                  <w:rPr>
                    <w:color w:val="231F20"/>
                    <w:spacing w:val="33"/>
                    <w:w w:val="110"/>
                    <w:sz w:val="18"/>
                  </w:rPr>
                  <w:t xml:space="preserve"> </w:t>
                </w:r>
                <w:r>
                  <w:rPr>
                    <w:color w:val="231F20"/>
                    <w:spacing w:val="15"/>
                    <w:w w:val="110"/>
                    <w:sz w:val="18"/>
                  </w:rPr>
                  <w:t xml:space="preserve">the </w:t>
                </w:r>
                <w:r>
                  <w:rPr>
                    <w:color w:val="231F20"/>
                    <w:spacing w:val="28"/>
                    <w:w w:val="110"/>
                    <w:sz w:val="18"/>
                  </w:rPr>
                  <w:t xml:space="preserve"> </w:t>
                </w:r>
                <w:r>
                  <w:rPr>
                    <w:color w:val="231F20"/>
                    <w:spacing w:val="15"/>
                    <w:w w:val="110"/>
                    <w:sz w:val="18"/>
                  </w:rPr>
                  <w:t>gun</w:t>
                </w:r>
                <w:r>
                  <w:rPr>
                    <w:color w:val="231F20"/>
                    <w:spacing w:val="15"/>
                    <w:w w:val="110"/>
                    <w:sz w:val="18"/>
                  </w:rPr>
                  <w:tab/>
                </w:r>
                <w:r>
                  <w:rPr>
                    <w:color w:val="231F20"/>
                    <w:spacing w:val="11"/>
                    <w:w w:val="105"/>
                    <w:sz w:val="14"/>
                  </w:rPr>
                  <w:t>(3)</w:t>
                </w:r>
                <w:r>
                  <w:rPr>
                    <w:color w:val="231F20"/>
                    <w:spacing w:val="-12"/>
                    <w:sz w:val="14"/>
                  </w:rPr>
                  <w:t xml:space="preserve"> </w:t>
                </w:r>
              </w:p>
            </w:txbxContent>
          </v:textbox>
          <w10:wrap anchorx="page" anchory="page"/>
        </v:shape>
      </w:pict>
    </w: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01E4F" w14:textId="77777777" w:rsidR="001008C3" w:rsidRDefault="001008C3">
    <w:pPr>
      <w:pStyle w:val="a3"/>
      <w:spacing w:line="14" w:lineRule="auto"/>
      <w:rPr>
        <w:sz w:val="2"/>
      </w:rPr>
    </w:pP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3ABF4" w14:textId="77777777" w:rsidR="001008C3" w:rsidRDefault="001008C3">
    <w:pPr>
      <w:pStyle w:val="a3"/>
      <w:spacing w:line="14" w:lineRule="auto"/>
      <w:rPr>
        <w:sz w:val="2"/>
      </w:rPr>
    </w:pP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0385A" w14:textId="77777777" w:rsidR="001008C3" w:rsidRDefault="001008C3">
    <w:pPr>
      <w:pStyle w:val="a3"/>
      <w:spacing w:line="14" w:lineRule="auto"/>
      <w:rPr>
        <w:sz w:val="2"/>
      </w:rPr>
    </w:pPr>
  </w:p>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225BF" w14:textId="77777777" w:rsidR="001008C3" w:rsidRDefault="001008C3">
    <w:pPr>
      <w:pStyle w:val="a3"/>
      <w:spacing w:line="14" w:lineRule="auto"/>
      <w:rPr>
        <w:sz w:val="2"/>
      </w:rPr>
    </w:pP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82B7C" w14:textId="77777777" w:rsidR="001008C3" w:rsidRDefault="001008C3">
    <w:pPr>
      <w:pStyle w:val="a3"/>
      <w:spacing w:line="14" w:lineRule="auto"/>
      <w:rPr>
        <w:sz w:val="2"/>
      </w:rPr>
    </w:pP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3BFD1" w14:textId="77777777" w:rsidR="001008C3" w:rsidRDefault="001008C3">
    <w:pPr>
      <w:pStyle w:val="a3"/>
      <w:spacing w:line="14" w:lineRule="auto"/>
      <w:rPr>
        <w:sz w:val="2"/>
      </w:rPr>
    </w:pPr>
  </w:p>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86EE0" w14:textId="77777777" w:rsidR="001008C3" w:rsidRDefault="001008C3">
    <w:pPr>
      <w:pStyle w:val="a3"/>
      <w:spacing w:line="14" w:lineRule="auto"/>
      <w:rPr>
        <w:sz w:val="2"/>
      </w:rPr>
    </w:pPr>
  </w:p>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2CD61" w14:textId="77777777" w:rsidR="001008C3" w:rsidRDefault="001008C3">
    <w:pPr>
      <w:pStyle w:val="a3"/>
      <w:spacing w:line="14" w:lineRule="auto"/>
      <w:rPr>
        <w:sz w:val="2"/>
      </w:rPr>
    </w:pPr>
  </w:p>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E0EBB" w14:textId="77777777" w:rsidR="001008C3" w:rsidRDefault="001008C3">
    <w:pPr>
      <w:pStyle w:val="a3"/>
      <w:spacing w:line="14" w:lineRule="auto"/>
      <w:rPr>
        <w:sz w:val="2"/>
      </w:rPr>
    </w:pPr>
  </w:p>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989EC" w14:textId="77777777" w:rsidR="001008C3" w:rsidRDefault="001008C3">
    <w:pPr>
      <w:pStyle w:val="a3"/>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0C0FD" w14:textId="77777777" w:rsidR="001008C3" w:rsidRDefault="00000000">
    <w:pPr>
      <w:pStyle w:val="a3"/>
      <w:spacing w:line="14" w:lineRule="auto"/>
    </w:pPr>
    <w:r>
      <w:rPr>
        <w:noProof w:val="0"/>
      </w:rPr>
      <w:pict w14:anchorId="0DD3280B">
        <v:shapetype id="_x0000_t202" coordsize="21600,21600" o:spt="202" path="m,l,21600r21600,l21600,xe">
          <v:stroke joinstyle="miter"/>
          <v:path gradientshapeok="t" o:connecttype="rect"/>
        </v:shapetype>
        <v:shape id="_x0000_s1730" type="#_x0000_t202" style="position:absolute;margin-left:55.4pt;margin-top:594.5pt;width:19.75pt;height:12.55pt;z-index:-463576;mso-position-horizontal-relative:page;mso-position-vertical-relative:page" filled="f" stroked="f">
          <v:textbox inset="0,0,0,0">
            <w:txbxContent>
              <w:p w14:paraId="086EAE59" w14:textId="77777777" w:rsidR="001008C3" w:rsidRDefault="001008C3">
                <w:pPr>
                  <w:spacing w:before="19"/>
                  <w:ind w:left="40"/>
                  <w:rPr>
                    <w:sz w:val="18"/>
                  </w:rPr>
                </w:pPr>
                <w:r>
                  <w:fldChar w:fldCharType="begin"/>
                </w:r>
                <w:r>
                  <w:rPr>
                    <w:color w:val="231F20"/>
                    <w:w w:val="115"/>
                    <w:sz w:val="18"/>
                  </w:rPr>
                  <w:instrText xml:space="preserve"> PAGE  \* roman </w:instrText>
                </w:r>
                <w:r>
                  <w:fldChar w:fldCharType="separate"/>
                </w:r>
                <w:r>
                  <w:t>xv</w:t>
                </w:r>
                <w:r>
                  <w:fldChar w:fldCharType="end"/>
                </w:r>
                <w:r>
                  <w:rPr>
                    <w:color w:val="231F20"/>
                    <w:w w:val="115"/>
                    <w:sz w:val="18"/>
                  </w:rPr>
                  <w:t>i</w:t>
                </w:r>
                <w:r>
                  <w:rPr>
                    <w:color w:val="231F20"/>
                    <w:sz w:val="18"/>
                  </w:rPr>
                  <w:t xml:space="preserve"> </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53F48" w14:textId="77777777" w:rsidR="001008C3" w:rsidRDefault="00000000">
    <w:pPr>
      <w:pStyle w:val="a3"/>
      <w:spacing w:line="14" w:lineRule="auto"/>
    </w:pPr>
    <w:r>
      <w:rPr>
        <w:noProof w:val="0"/>
      </w:rPr>
      <w:pict w14:anchorId="53C3AE35">
        <v:shapetype id="_x0000_t202" coordsize="21600,21600" o:spt="202" path="m,l,21600r21600,l21600,xe">
          <v:stroke joinstyle="miter"/>
          <v:path gradientshapeok="t" o:connecttype="rect"/>
        </v:shapetype>
        <v:shape id="_x0000_s1679" type="#_x0000_t202" style="position:absolute;margin-left:65.4pt;margin-top:594.5pt;width:262.7pt;height:12.55pt;z-index:-462352;mso-position-horizontal-relative:page;mso-position-vertical-relative:page" filled="f" stroked="f">
          <v:textbox inset="0,0,0,0">
            <w:txbxContent>
              <w:p w14:paraId="785C2BEF" w14:textId="77777777" w:rsidR="001008C3" w:rsidRDefault="001008C3">
                <w:pPr>
                  <w:spacing w:before="19"/>
                  <w:ind w:left="20"/>
                  <w:rPr>
                    <w:sz w:val="18"/>
                  </w:rPr>
                </w:pPr>
                <w:r>
                  <w:rPr>
                    <w:color w:val="231F20"/>
                    <w:w w:val="115"/>
                    <w:sz w:val="18"/>
                  </w:rPr>
                  <w:t>october 1968 • faced with this justice system</w:t>
                </w:r>
                <w:r>
                  <w:rPr>
                    <w:color w:val="231F20"/>
                    <w:sz w:val="18"/>
                  </w:rPr>
                  <w:t xml:space="preserve"> </w:t>
                </w:r>
              </w:p>
            </w:txbxContent>
          </v:textbox>
          <w10:wrap anchorx="page" anchory="page"/>
        </v:shape>
      </w:pict>
    </w:r>
    <w:r>
      <w:rPr>
        <w:noProof w:val="0"/>
      </w:rPr>
      <w:pict w14:anchorId="14FF0451">
        <v:shape id="_x0000_s1678" type="#_x0000_t202" style="position:absolute;margin-left:361.35pt;margin-top:594.5pt;width:16.55pt;height:12.55pt;z-index:-462328;mso-position-horizontal-relative:page;mso-position-vertical-relative:page" filled="f" stroked="f">
          <v:textbox inset="0,0,0,0">
            <w:txbxContent>
              <w:p w14:paraId="5CCFA426"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67</w:t>
                </w:r>
                <w:r>
                  <w:fldChar w:fldCharType="end"/>
                </w:r>
                <w:r>
                  <w:rPr>
                    <w:color w:val="231F20"/>
                    <w:sz w:val="18"/>
                  </w:rPr>
                  <w:t xml:space="preserve"> </w:t>
                </w:r>
              </w:p>
            </w:txbxContent>
          </v:textbox>
          <w10:wrap anchorx="page" anchory="page"/>
        </v:shape>
      </w:pict>
    </w: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CC4B1" w14:textId="77777777" w:rsidR="001008C3" w:rsidRDefault="001008C3">
    <w:pPr>
      <w:pStyle w:val="a3"/>
      <w:spacing w:line="14" w:lineRule="auto"/>
      <w:rPr>
        <w:sz w:val="2"/>
      </w:rPr>
    </w:pPr>
  </w:p>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72B70" w14:textId="77777777" w:rsidR="001008C3" w:rsidRDefault="001008C3">
    <w:pPr>
      <w:pStyle w:val="a3"/>
      <w:spacing w:line="14" w:lineRule="auto"/>
      <w:rPr>
        <w:sz w:val="2"/>
      </w:rPr>
    </w:pPr>
  </w:p>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DD626" w14:textId="77777777" w:rsidR="001008C3" w:rsidRDefault="001008C3">
    <w:pPr>
      <w:pStyle w:val="a3"/>
      <w:spacing w:line="14" w:lineRule="auto"/>
      <w:rPr>
        <w:sz w:val="2"/>
      </w:rPr>
    </w:pP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CB345" w14:textId="77777777" w:rsidR="001008C3" w:rsidRDefault="001008C3">
    <w:pPr>
      <w:pStyle w:val="a3"/>
      <w:spacing w:line="14" w:lineRule="auto"/>
      <w:rPr>
        <w:sz w:val="2"/>
      </w:rPr>
    </w:pP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39D8F" w14:textId="77777777" w:rsidR="001008C3" w:rsidRDefault="001008C3">
    <w:pPr>
      <w:pStyle w:val="a3"/>
      <w:spacing w:line="14" w:lineRule="auto"/>
      <w:rPr>
        <w:sz w:val="2"/>
      </w:rPr>
    </w:pPr>
  </w:p>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CADB9" w14:textId="77777777" w:rsidR="001008C3" w:rsidRDefault="001008C3">
    <w:pPr>
      <w:pStyle w:val="a3"/>
      <w:spacing w:line="14" w:lineRule="auto"/>
      <w:rPr>
        <w:sz w:val="2"/>
      </w:rPr>
    </w:pP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BD2C9" w14:textId="77777777" w:rsidR="001008C3" w:rsidRDefault="001008C3">
    <w:pPr>
      <w:pStyle w:val="a3"/>
      <w:spacing w:line="14" w:lineRule="auto"/>
      <w:rPr>
        <w:sz w:val="2"/>
      </w:rPr>
    </w:pP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34344" w14:textId="77777777" w:rsidR="001008C3" w:rsidRDefault="001008C3">
    <w:pPr>
      <w:pStyle w:val="a3"/>
      <w:spacing w:line="14" w:lineRule="auto"/>
      <w:rPr>
        <w:sz w:val="2"/>
      </w:rPr>
    </w:pPr>
  </w:p>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2D8C4" w14:textId="77777777" w:rsidR="001008C3" w:rsidRDefault="001008C3">
    <w:pPr>
      <w:pStyle w:val="a3"/>
      <w:spacing w:line="14" w:lineRule="auto"/>
      <w:rPr>
        <w:sz w:val="2"/>
      </w:rPr>
    </w:pPr>
  </w:p>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46975" w14:textId="77777777" w:rsidR="001008C3" w:rsidRDefault="00000000">
    <w:pPr>
      <w:pStyle w:val="a3"/>
      <w:spacing w:line="14" w:lineRule="auto"/>
    </w:pPr>
    <w:r>
      <w:rPr>
        <w:noProof w:val="0"/>
      </w:rPr>
      <w:pict w14:anchorId="0F439E32">
        <v:shapetype id="_x0000_t202" coordsize="21600,21600" o:spt="202" path="m,l,21600r21600,l21600,xe">
          <v:stroke joinstyle="miter"/>
          <v:path gradientshapeok="t" o:connecttype="rect"/>
        </v:shapetype>
        <v:shape id="_x0000_s1069" type="#_x0000_t202" style="position:absolute;margin-left:65.4pt;margin-top:594.5pt;width:197.45pt;height:12.55pt;z-index:-447712;mso-position-horizontal-relative:page;mso-position-vertical-relative:page" filled="f" stroked="f">
          <v:textbox inset="0,0,0,0">
            <w:txbxContent>
              <w:p w14:paraId="447B06F9" w14:textId="77777777" w:rsidR="001008C3" w:rsidRDefault="001008C3">
                <w:pPr>
                  <w:spacing w:before="19"/>
                  <w:ind w:left="20"/>
                  <w:rPr>
                    <w:sz w:val="18"/>
                  </w:rPr>
                </w:pPr>
                <w:r>
                  <w:rPr>
                    <w:color w:val="231F20"/>
                    <w:spacing w:val="17"/>
                    <w:w w:val="115"/>
                    <w:sz w:val="18"/>
                  </w:rPr>
                  <w:t xml:space="preserve">note </w:t>
                </w:r>
                <w:r>
                  <w:rPr>
                    <w:color w:val="231F20"/>
                    <w:spacing w:val="11"/>
                    <w:w w:val="115"/>
                    <w:sz w:val="18"/>
                  </w:rPr>
                  <w:t xml:space="preserve">on </w:t>
                </w:r>
                <w:r>
                  <w:rPr>
                    <w:color w:val="231F20"/>
                    <w:spacing w:val="20"/>
                    <w:w w:val="115"/>
                    <w:sz w:val="18"/>
                  </w:rPr>
                  <w:t xml:space="preserve">sources </w:t>
                </w:r>
                <w:r>
                  <w:rPr>
                    <w:color w:val="231F20"/>
                    <w:spacing w:val="15"/>
                    <w:w w:val="115"/>
                    <w:sz w:val="18"/>
                  </w:rPr>
                  <w:t>and</w:t>
                </w:r>
                <w:r>
                  <w:rPr>
                    <w:color w:val="231F20"/>
                    <w:spacing w:val="68"/>
                    <w:w w:val="115"/>
                    <w:sz w:val="18"/>
                  </w:rPr>
                  <w:t xml:space="preserve"> </w:t>
                </w:r>
                <w:r>
                  <w:rPr>
                    <w:color w:val="231F20"/>
                    <w:spacing w:val="21"/>
                    <w:w w:val="115"/>
                    <w:sz w:val="18"/>
                  </w:rPr>
                  <w:t>methodology</w:t>
                </w:r>
                <w:r>
                  <w:rPr>
                    <w:color w:val="231F20"/>
                    <w:spacing w:val="-15"/>
                    <w:sz w:val="18"/>
                  </w:rPr>
                  <w:t xml:space="preserve"> </w:t>
                </w:r>
              </w:p>
            </w:txbxContent>
          </v:textbox>
          <w10:wrap anchorx="page" anchory="page"/>
        </v:shape>
      </w:pict>
    </w:r>
    <w:r>
      <w:rPr>
        <w:noProof w:val="0"/>
      </w:rPr>
      <w:pict w14:anchorId="30188CDA">
        <v:shape id="_x0000_s1068" type="#_x0000_t202" style="position:absolute;margin-left:356.1pt;margin-top:594.5pt;width:20.8pt;height:12.55pt;z-index:-447688;mso-position-horizontal-relative:page;mso-position-vertical-relative:page" filled="f" stroked="f">
          <v:textbox inset="0,0,0,0">
            <w:txbxContent>
              <w:p w14:paraId="00D54A50" w14:textId="77777777" w:rsidR="001008C3" w:rsidRDefault="001008C3">
                <w:pPr>
                  <w:spacing w:before="19"/>
                  <w:ind w:left="20"/>
                  <w:rPr>
                    <w:sz w:val="18"/>
                  </w:rPr>
                </w:pPr>
                <w:r>
                  <w:rPr>
                    <w:color w:val="231F20"/>
                    <w:sz w:val="18"/>
                  </w:rPr>
                  <w:t xml:space="preserve">629 </w:t>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0E6C" w14:textId="77777777" w:rsidR="001008C3" w:rsidRDefault="00000000">
    <w:pPr>
      <w:pStyle w:val="a3"/>
      <w:spacing w:line="14" w:lineRule="auto"/>
    </w:pPr>
    <w:r>
      <w:rPr>
        <w:noProof w:val="0"/>
      </w:rPr>
      <w:pict w14:anchorId="165561D5">
        <v:shapetype id="_x0000_t202" coordsize="21600,21600" o:spt="202" path="m,l,21600r21600,l21600,xe">
          <v:stroke joinstyle="miter"/>
          <v:path gradientshapeok="t" o:connecttype="rect"/>
        </v:shapetype>
        <v:shape id="_x0000_s1672" type="#_x0000_t202" style="position:absolute;margin-left:65.4pt;margin-top:594.5pt;width:179.35pt;height:12.55pt;z-index:-462184;mso-position-horizontal-relative:page;mso-position-vertical-relative:page" filled="f" stroked="f">
          <v:textbox inset="0,0,0,0">
            <w:txbxContent>
              <w:p w14:paraId="37D98E8A" w14:textId="77777777" w:rsidR="001008C3" w:rsidRDefault="001008C3">
                <w:pPr>
                  <w:spacing w:before="19"/>
                  <w:ind w:left="20"/>
                  <w:rPr>
                    <w:sz w:val="18"/>
                  </w:rPr>
                </w:pPr>
                <w:r>
                  <w:rPr>
                    <w:color w:val="231F20"/>
                    <w:w w:val="115"/>
                    <w:sz w:val="18"/>
                  </w:rPr>
                  <w:t>june 1970 • build the red army</w:t>
                </w:r>
                <w:r>
                  <w:rPr>
                    <w:color w:val="231F20"/>
                    <w:sz w:val="18"/>
                  </w:rPr>
                  <w:t xml:space="preserve"> </w:t>
                </w:r>
              </w:p>
            </w:txbxContent>
          </v:textbox>
          <w10:wrap anchorx="page" anchory="page"/>
        </v:shape>
      </w:pict>
    </w:r>
    <w:r>
      <w:rPr>
        <w:noProof w:val="0"/>
      </w:rPr>
      <w:pict w14:anchorId="6496EA04">
        <v:shape id="_x0000_s1671" type="#_x0000_t202" style="position:absolute;margin-left:361.35pt;margin-top:594.5pt;width:16.55pt;height:12.55pt;z-index:-462160;mso-position-horizontal-relative:page;mso-position-vertical-relative:page" filled="f" stroked="f">
          <v:textbox inset="0,0,0,0">
            <w:txbxContent>
              <w:p w14:paraId="5B022044" w14:textId="77777777" w:rsidR="001008C3" w:rsidRDefault="001008C3">
                <w:pPr>
                  <w:spacing w:before="19"/>
                  <w:ind w:left="40"/>
                  <w:rPr>
                    <w:sz w:val="18"/>
                  </w:rPr>
                </w:pPr>
                <w:r>
                  <w:rPr>
                    <w:color w:val="231F20"/>
                    <w:sz w:val="18"/>
                  </w:rPr>
                  <w:t xml:space="preserve">79 </w:t>
                </w:r>
              </w:p>
            </w:txbxContent>
          </v:textbox>
          <w10:wrap anchorx="page" anchory="page"/>
        </v:shape>
      </w:pict>
    </w:r>
  </w:p>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4B150" w14:textId="77777777" w:rsidR="001008C3" w:rsidRDefault="00000000">
    <w:pPr>
      <w:pStyle w:val="a3"/>
      <w:spacing w:line="14" w:lineRule="auto"/>
    </w:pPr>
    <w:r>
      <w:rPr>
        <w:noProof w:val="0"/>
      </w:rPr>
      <w:pict w14:anchorId="38E052E0">
        <v:shapetype id="_x0000_t202" coordsize="21600,21600" o:spt="202" path="m,l,21600r21600,l21600,xe">
          <v:stroke joinstyle="miter"/>
          <v:path gradientshapeok="t" o:connecttype="rect"/>
        </v:shapetype>
        <v:shape id="_x0000_s1067" type="#_x0000_t202" style="position:absolute;margin-left:55.4pt;margin-top:594.5pt;width:22.8pt;height:12.55pt;z-index:-447664;mso-position-horizontal-relative:page;mso-position-vertical-relative:page" filled="f" stroked="f">
          <v:textbox inset="0,0,0,0">
            <w:txbxContent>
              <w:p w14:paraId="6F8C89BF" w14:textId="77777777" w:rsidR="001008C3" w:rsidRDefault="001008C3">
                <w:pPr>
                  <w:spacing w:before="19"/>
                  <w:ind w:left="40"/>
                  <w:rPr>
                    <w:sz w:val="18"/>
                  </w:rPr>
                </w:pPr>
                <w:r>
                  <w:rPr>
                    <w:color w:val="231F20"/>
                    <w:sz w:val="18"/>
                  </w:rPr>
                  <w:t xml:space="preserve">630 </w:t>
                </w:r>
              </w:p>
            </w:txbxContent>
          </v:textbox>
          <w10:wrap anchorx="page" anchory="page"/>
        </v:shape>
      </w:pict>
    </w:r>
    <w:r>
      <w:rPr>
        <w:noProof w:val="0"/>
      </w:rPr>
      <w:pict w14:anchorId="10D82063">
        <v:shape id="_x0000_s1066" type="#_x0000_t202" style="position:absolute;margin-left:170.45pt;margin-top:594.5pt;width:196.2pt;height:12.55pt;z-index:-447640;mso-position-horizontal-relative:page;mso-position-vertical-relative:page" filled="f" stroked="f">
          <v:textbox inset="0,0,0,0">
            <w:txbxContent>
              <w:p w14:paraId="3351C266" w14:textId="77777777" w:rsidR="001008C3" w:rsidRDefault="001008C3">
                <w:pPr>
                  <w:spacing w:before="19"/>
                  <w:ind w:left="20"/>
                  <w:rPr>
                    <w:sz w:val="18"/>
                  </w:rPr>
                </w:pPr>
                <w:r>
                  <w:rPr>
                    <w:color w:val="231F20"/>
                    <w:w w:val="115"/>
                    <w:sz w:val="18"/>
                  </w:rPr>
                  <w:t>n ote on s ou rce s an d m e thodology</w:t>
                </w:r>
              </w:p>
            </w:txbxContent>
          </v:textbox>
          <w10:wrap anchorx="page" anchory="page"/>
        </v:shape>
      </w:pict>
    </w:r>
  </w:p>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044A6" w14:textId="77777777" w:rsidR="001008C3" w:rsidRDefault="00000000">
    <w:pPr>
      <w:pStyle w:val="a3"/>
      <w:spacing w:line="14" w:lineRule="auto"/>
    </w:pPr>
    <w:r>
      <w:rPr>
        <w:noProof w:val="0"/>
      </w:rPr>
      <w:pict w14:anchorId="4E5F349B">
        <v:shapetype id="_x0000_t202" coordsize="21600,21600" o:spt="202" path="m,l,21600r21600,l21600,xe">
          <v:stroke joinstyle="miter"/>
          <v:path gradientshapeok="t" o:connecttype="rect"/>
        </v:shapetype>
        <v:shape id="_x0000_s1065" type="#_x0000_t202" style="position:absolute;margin-left:65.4pt;margin-top:594.5pt;width:197.45pt;height:12.55pt;z-index:-447616;mso-position-horizontal-relative:page;mso-position-vertical-relative:page" filled="f" stroked="f">
          <v:textbox inset="0,0,0,0">
            <w:txbxContent>
              <w:p w14:paraId="065A94D1" w14:textId="77777777" w:rsidR="001008C3" w:rsidRDefault="001008C3">
                <w:pPr>
                  <w:spacing w:before="19"/>
                  <w:ind w:left="20"/>
                  <w:rPr>
                    <w:sz w:val="18"/>
                  </w:rPr>
                </w:pPr>
                <w:r>
                  <w:rPr>
                    <w:color w:val="231F20"/>
                    <w:spacing w:val="17"/>
                    <w:w w:val="115"/>
                    <w:sz w:val="18"/>
                  </w:rPr>
                  <w:t xml:space="preserve">note </w:t>
                </w:r>
                <w:r>
                  <w:rPr>
                    <w:color w:val="231F20"/>
                    <w:spacing w:val="11"/>
                    <w:w w:val="115"/>
                    <w:sz w:val="18"/>
                  </w:rPr>
                  <w:t xml:space="preserve">on </w:t>
                </w:r>
                <w:r>
                  <w:rPr>
                    <w:color w:val="231F20"/>
                    <w:spacing w:val="20"/>
                    <w:w w:val="115"/>
                    <w:sz w:val="18"/>
                  </w:rPr>
                  <w:t xml:space="preserve">sources </w:t>
                </w:r>
                <w:r>
                  <w:rPr>
                    <w:color w:val="231F20"/>
                    <w:spacing w:val="15"/>
                    <w:w w:val="115"/>
                    <w:sz w:val="18"/>
                  </w:rPr>
                  <w:t>and</w:t>
                </w:r>
                <w:r>
                  <w:rPr>
                    <w:color w:val="231F20"/>
                    <w:spacing w:val="68"/>
                    <w:w w:val="115"/>
                    <w:sz w:val="18"/>
                  </w:rPr>
                  <w:t xml:space="preserve"> </w:t>
                </w:r>
                <w:r>
                  <w:rPr>
                    <w:color w:val="231F20"/>
                    <w:spacing w:val="21"/>
                    <w:w w:val="115"/>
                    <w:sz w:val="18"/>
                  </w:rPr>
                  <w:t>methodology</w:t>
                </w:r>
                <w:r>
                  <w:rPr>
                    <w:color w:val="231F20"/>
                    <w:spacing w:val="-15"/>
                    <w:sz w:val="18"/>
                  </w:rPr>
                  <w:t xml:space="preserve"> </w:t>
                </w:r>
              </w:p>
            </w:txbxContent>
          </v:textbox>
          <w10:wrap anchorx="page" anchory="page"/>
        </v:shape>
      </w:pict>
    </w:r>
    <w:r>
      <w:rPr>
        <w:noProof w:val="0"/>
      </w:rPr>
      <w:pict w14:anchorId="3571F274">
        <v:shape id="_x0000_s1064" type="#_x0000_t202" style="position:absolute;margin-left:356.1pt;margin-top:594.5pt;width:20.8pt;height:12.55pt;z-index:-447592;mso-position-horizontal-relative:page;mso-position-vertical-relative:page" filled="f" stroked="f">
          <v:textbox inset="0,0,0,0">
            <w:txbxContent>
              <w:p w14:paraId="4AD2CABF" w14:textId="77777777" w:rsidR="001008C3" w:rsidRDefault="001008C3">
                <w:pPr>
                  <w:spacing w:before="19"/>
                  <w:ind w:left="20"/>
                  <w:rPr>
                    <w:sz w:val="18"/>
                  </w:rPr>
                </w:pPr>
                <w:r>
                  <w:rPr>
                    <w:color w:val="231F20"/>
                    <w:sz w:val="18"/>
                  </w:rPr>
                  <w:t xml:space="preserve">631 </w:t>
                </w:r>
              </w:p>
            </w:txbxContent>
          </v:textbox>
          <w10:wrap anchorx="page" anchory="page"/>
        </v:shape>
      </w:pict>
    </w:r>
  </w:p>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71A28" w14:textId="77777777" w:rsidR="001008C3" w:rsidRDefault="00000000">
    <w:pPr>
      <w:pStyle w:val="a3"/>
      <w:spacing w:line="14" w:lineRule="auto"/>
    </w:pPr>
    <w:r>
      <w:rPr>
        <w:noProof w:val="0"/>
      </w:rPr>
      <w:pict w14:anchorId="6F6F254D">
        <v:shapetype id="_x0000_t202" coordsize="21600,21600" o:spt="202" path="m,l,21600r21600,l21600,xe">
          <v:stroke joinstyle="miter"/>
          <v:path gradientshapeok="t" o:connecttype="rect"/>
        </v:shapetype>
        <v:shape id="_x0000_s1063" type="#_x0000_t202" style="position:absolute;margin-left:55.4pt;margin-top:594.5pt;width:22.8pt;height:12.55pt;z-index:-447568;mso-position-horizontal-relative:page;mso-position-vertical-relative:page" filled="f" stroked="f">
          <v:textbox inset="0,0,0,0">
            <w:txbxContent>
              <w:p w14:paraId="34EA5B50" w14:textId="77777777" w:rsidR="001008C3" w:rsidRDefault="001008C3">
                <w:pPr>
                  <w:spacing w:before="19"/>
                  <w:ind w:left="40"/>
                  <w:rPr>
                    <w:sz w:val="18"/>
                  </w:rPr>
                </w:pPr>
                <w:r>
                  <w:rPr>
                    <w:color w:val="231F20"/>
                    <w:sz w:val="18"/>
                  </w:rPr>
                  <w:t xml:space="preserve">632 </w:t>
                </w:r>
              </w:p>
            </w:txbxContent>
          </v:textbox>
          <w10:wrap anchorx="page" anchory="page"/>
        </v:shape>
      </w:pict>
    </w:r>
    <w:r>
      <w:rPr>
        <w:noProof w:val="0"/>
      </w:rPr>
      <w:pict w14:anchorId="15F70106">
        <v:shape id="_x0000_s1062" type="#_x0000_t202" style="position:absolute;margin-left:293.35pt;margin-top:594.5pt;width:73.3pt;height:12.55pt;z-index:-447544;mso-position-horizontal-relative:page;mso-position-vertical-relative:page" filled="f" stroked="f">
          <v:textbox inset="0,0,0,0">
            <w:txbxContent>
              <w:p w14:paraId="18CDA4BB" w14:textId="77777777" w:rsidR="001008C3" w:rsidRDefault="001008C3">
                <w:pPr>
                  <w:spacing w:before="19"/>
                  <w:ind w:left="20"/>
                  <w:rPr>
                    <w:sz w:val="18"/>
                  </w:rPr>
                </w:pPr>
                <w:r>
                  <w:rPr>
                    <w:color w:val="231F20"/>
                    <w:w w:val="101"/>
                    <w:sz w:val="18"/>
                  </w:rPr>
                  <w:t>b</w:t>
                </w:r>
                <w:r>
                  <w:rPr>
                    <w:color w:val="231F20"/>
                    <w:spacing w:val="-15"/>
                    <w:sz w:val="18"/>
                  </w:rPr>
                  <w:t xml:space="preserve"> </w:t>
                </w:r>
                <w:r>
                  <w:rPr>
                    <w:color w:val="231F20"/>
                    <w:spacing w:val="25"/>
                    <w:w w:val="119"/>
                    <w:sz w:val="18"/>
                  </w:rPr>
                  <w:t>i</w:t>
                </w:r>
                <w:r>
                  <w:rPr>
                    <w:color w:val="231F20"/>
                    <w:w w:val="101"/>
                    <w:sz w:val="18"/>
                  </w:rPr>
                  <w:t>b</w:t>
                </w:r>
                <w:r>
                  <w:rPr>
                    <w:color w:val="231F20"/>
                    <w:spacing w:val="-15"/>
                    <w:sz w:val="18"/>
                  </w:rPr>
                  <w:t xml:space="preserve"> </w:t>
                </w:r>
                <w:r>
                  <w:rPr>
                    <w:color w:val="231F20"/>
                    <w:spacing w:val="25"/>
                    <w:w w:val="184"/>
                    <w:sz w:val="18"/>
                  </w:rPr>
                  <w:t>l</w:t>
                </w:r>
                <w:r>
                  <w:rPr>
                    <w:color w:val="231F20"/>
                    <w:spacing w:val="25"/>
                    <w:w w:val="119"/>
                    <w:sz w:val="18"/>
                  </w:rPr>
                  <w:t>i</w:t>
                </w:r>
                <w:r>
                  <w:rPr>
                    <w:color w:val="231F20"/>
                    <w:spacing w:val="25"/>
                    <w:w w:val="125"/>
                    <w:sz w:val="18"/>
                  </w:rPr>
                  <w:t>o</w:t>
                </w:r>
                <w:r>
                  <w:rPr>
                    <w:color w:val="231F20"/>
                    <w:spacing w:val="25"/>
                    <w:w w:val="123"/>
                    <w:sz w:val="18"/>
                  </w:rPr>
                  <w:t>g</w:t>
                </w:r>
                <w:r>
                  <w:rPr>
                    <w:color w:val="231F20"/>
                    <w:spacing w:val="25"/>
                    <w:w w:val="134"/>
                    <w:sz w:val="18"/>
                  </w:rPr>
                  <w:t>r</w:t>
                </w:r>
                <w:r>
                  <w:rPr>
                    <w:color w:val="231F20"/>
                    <w:spacing w:val="25"/>
                    <w:w w:val="113"/>
                    <w:sz w:val="18"/>
                  </w:rPr>
                  <w:t>a</w:t>
                </w:r>
                <w:r>
                  <w:rPr>
                    <w:color w:val="231F20"/>
                    <w:w w:val="89"/>
                    <w:sz w:val="18"/>
                  </w:rPr>
                  <w:t>p</w:t>
                </w:r>
                <w:r>
                  <w:rPr>
                    <w:color w:val="231F20"/>
                    <w:spacing w:val="-15"/>
                    <w:sz w:val="18"/>
                  </w:rPr>
                  <w:t xml:space="preserve"> </w:t>
                </w:r>
                <w:r>
                  <w:rPr>
                    <w:color w:val="231F20"/>
                    <w:spacing w:val="25"/>
                    <w:w w:val="120"/>
                    <w:sz w:val="18"/>
                  </w:rPr>
                  <w:t>h</w:t>
                </w:r>
                <w:r>
                  <w:rPr>
                    <w:color w:val="231F20"/>
                    <w:w w:val="110"/>
                    <w:sz w:val="18"/>
                  </w:rPr>
                  <w:t>y</w:t>
                </w:r>
              </w:p>
            </w:txbxContent>
          </v:textbox>
          <w10:wrap anchorx="page" anchory="page"/>
        </v:shape>
      </w:pict>
    </w:r>
  </w:p>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1C174" w14:textId="77777777" w:rsidR="001008C3" w:rsidRDefault="00000000">
    <w:pPr>
      <w:pStyle w:val="a3"/>
      <w:spacing w:line="14" w:lineRule="auto"/>
    </w:pPr>
    <w:r>
      <w:rPr>
        <w:noProof w:val="0"/>
      </w:rPr>
      <w:pict w14:anchorId="3FEEF502">
        <v:shapetype id="_x0000_t202" coordsize="21600,21600" o:spt="202" path="m,l,21600r21600,l21600,xe">
          <v:stroke joinstyle="miter"/>
          <v:path gradientshapeok="t" o:connecttype="rect"/>
        </v:shapetype>
        <v:shape id="_x0000_s1059" type="#_x0000_t202" style="position:absolute;margin-left:55.4pt;margin-top:594.5pt;width:22.8pt;height:12.55pt;z-index:-447472;mso-position-horizontal-relative:page;mso-position-vertical-relative:page" filled="f" stroked="f">
          <v:textbox inset="0,0,0,0">
            <w:txbxContent>
              <w:p w14:paraId="2E5A2AA0"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634</w:t>
                </w:r>
                <w:r>
                  <w:fldChar w:fldCharType="end"/>
                </w:r>
                <w:r>
                  <w:rPr>
                    <w:color w:val="231F20"/>
                    <w:sz w:val="18"/>
                  </w:rPr>
                  <w:t xml:space="preserve"> </w:t>
                </w:r>
              </w:p>
            </w:txbxContent>
          </v:textbox>
          <w10:wrap anchorx="page" anchory="page"/>
        </v:shape>
      </w:pict>
    </w:r>
    <w:r>
      <w:rPr>
        <w:noProof w:val="0"/>
      </w:rPr>
      <w:pict w14:anchorId="4D3A1F8C">
        <v:shape id="_x0000_s1058" type="#_x0000_t202" style="position:absolute;margin-left:293.35pt;margin-top:594.5pt;width:73.3pt;height:12.55pt;z-index:-447448;mso-position-horizontal-relative:page;mso-position-vertical-relative:page" filled="f" stroked="f">
          <v:textbox inset="0,0,0,0">
            <w:txbxContent>
              <w:p w14:paraId="383912DB" w14:textId="77777777" w:rsidR="001008C3" w:rsidRDefault="001008C3">
                <w:pPr>
                  <w:spacing w:before="19"/>
                  <w:ind w:left="20"/>
                  <w:rPr>
                    <w:sz w:val="18"/>
                  </w:rPr>
                </w:pPr>
                <w:r>
                  <w:rPr>
                    <w:color w:val="231F20"/>
                    <w:w w:val="101"/>
                    <w:sz w:val="18"/>
                  </w:rPr>
                  <w:t>b</w:t>
                </w:r>
                <w:r>
                  <w:rPr>
                    <w:color w:val="231F20"/>
                    <w:spacing w:val="-15"/>
                    <w:sz w:val="18"/>
                  </w:rPr>
                  <w:t xml:space="preserve"> </w:t>
                </w:r>
                <w:r>
                  <w:rPr>
                    <w:color w:val="231F20"/>
                    <w:spacing w:val="25"/>
                    <w:w w:val="119"/>
                    <w:sz w:val="18"/>
                  </w:rPr>
                  <w:t>i</w:t>
                </w:r>
                <w:r>
                  <w:rPr>
                    <w:color w:val="231F20"/>
                    <w:w w:val="101"/>
                    <w:sz w:val="18"/>
                  </w:rPr>
                  <w:t>b</w:t>
                </w:r>
                <w:r>
                  <w:rPr>
                    <w:color w:val="231F20"/>
                    <w:spacing w:val="-15"/>
                    <w:sz w:val="18"/>
                  </w:rPr>
                  <w:t xml:space="preserve"> </w:t>
                </w:r>
                <w:r>
                  <w:rPr>
                    <w:color w:val="231F20"/>
                    <w:spacing w:val="25"/>
                    <w:w w:val="184"/>
                    <w:sz w:val="18"/>
                  </w:rPr>
                  <w:t>l</w:t>
                </w:r>
                <w:r>
                  <w:rPr>
                    <w:color w:val="231F20"/>
                    <w:spacing w:val="25"/>
                    <w:w w:val="119"/>
                    <w:sz w:val="18"/>
                  </w:rPr>
                  <w:t>i</w:t>
                </w:r>
                <w:r>
                  <w:rPr>
                    <w:color w:val="231F20"/>
                    <w:spacing w:val="25"/>
                    <w:w w:val="125"/>
                    <w:sz w:val="18"/>
                  </w:rPr>
                  <w:t>o</w:t>
                </w:r>
                <w:r>
                  <w:rPr>
                    <w:color w:val="231F20"/>
                    <w:spacing w:val="25"/>
                    <w:w w:val="123"/>
                    <w:sz w:val="18"/>
                  </w:rPr>
                  <w:t>g</w:t>
                </w:r>
                <w:r>
                  <w:rPr>
                    <w:color w:val="231F20"/>
                    <w:spacing w:val="25"/>
                    <w:w w:val="134"/>
                    <w:sz w:val="18"/>
                  </w:rPr>
                  <w:t>r</w:t>
                </w:r>
                <w:r>
                  <w:rPr>
                    <w:color w:val="231F20"/>
                    <w:spacing w:val="25"/>
                    <w:w w:val="113"/>
                    <w:sz w:val="18"/>
                  </w:rPr>
                  <w:t>a</w:t>
                </w:r>
                <w:r>
                  <w:rPr>
                    <w:color w:val="231F20"/>
                    <w:w w:val="89"/>
                    <w:sz w:val="18"/>
                  </w:rPr>
                  <w:t>p</w:t>
                </w:r>
                <w:r>
                  <w:rPr>
                    <w:color w:val="231F20"/>
                    <w:spacing w:val="-15"/>
                    <w:sz w:val="18"/>
                  </w:rPr>
                  <w:t xml:space="preserve"> </w:t>
                </w:r>
                <w:r>
                  <w:rPr>
                    <w:color w:val="231F20"/>
                    <w:spacing w:val="25"/>
                    <w:w w:val="120"/>
                    <w:sz w:val="18"/>
                  </w:rPr>
                  <w:t>h</w:t>
                </w:r>
                <w:r>
                  <w:rPr>
                    <w:color w:val="231F20"/>
                    <w:w w:val="110"/>
                    <w:sz w:val="18"/>
                  </w:rPr>
                  <w:t>y</w:t>
                </w:r>
              </w:p>
            </w:txbxContent>
          </v:textbox>
          <w10:wrap anchorx="page" anchory="page"/>
        </v:shape>
      </w:pict>
    </w:r>
  </w:p>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46A25" w14:textId="77777777" w:rsidR="001008C3" w:rsidRDefault="00000000">
    <w:pPr>
      <w:pStyle w:val="a3"/>
      <w:spacing w:line="14" w:lineRule="auto"/>
    </w:pPr>
    <w:r>
      <w:rPr>
        <w:noProof w:val="0"/>
      </w:rPr>
      <w:pict w14:anchorId="49D9252F">
        <v:shapetype id="_x0000_t202" coordsize="21600,21600" o:spt="202" path="m,l,21600r21600,l21600,xe">
          <v:stroke joinstyle="miter"/>
          <v:path gradientshapeok="t" o:connecttype="rect"/>
        </v:shapetype>
        <v:shape id="_x0000_s1061" type="#_x0000_t202" style="position:absolute;margin-left:65.4pt;margin-top:594.5pt;width:74.55pt;height:12.55pt;z-index:-447520;mso-position-horizontal-relative:page;mso-position-vertical-relative:page" filled="f" stroked="f">
          <v:textbox inset="0,0,0,0">
            <w:txbxContent>
              <w:p w14:paraId="7500B4D0" w14:textId="77777777" w:rsidR="001008C3" w:rsidRDefault="001008C3">
                <w:pPr>
                  <w:spacing w:before="19"/>
                  <w:ind w:left="20"/>
                  <w:rPr>
                    <w:sz w:val="18"/>
                  </w:rPr>
                </w:pPr>
                <w:r>
                  <w:rPr>
                    <w:color w:val="231F20"/>
                    <w:w w:val="115"/>
                    <w:sz w:val="18"/>
                  </w:rPr>
                  <w:t>bibliography</w:t>
                </w:r>
                <w:r>
                  <w:rPr>
                    <w:color w:val="231F20"/>
                    <w:sz w:val="18"/>
                  </w:rPr>
                  <w:t xml:space="preserve"> </w:t>
                </w:r>
              </w:p>
            </w:txbxContent>
          </v:textbox>
          <w10:wrap anchorx="page" anchory="page"/>
        </v:shape>
      </w:pict>
    </w:r>
    <w:r>
      <w:rPr>
        <w:noProof w:val="0"/>
      </w:rPr>
      <w:pict w14:anchorId="2A74686C">
        <v:shape id="_x0000_s1060" type="#_x0000_t202" style="position:absolute;margin-left:355.1pt;margin-top:594.5pt;width:22.8pt;height:12.55pt;z-index:-447496;mso-position-horizontal-relative:page;mso-position-vertical-relative:page" filled="f" stroked="f">
          <v:textbox inset="0,0,0,0">
            <w:txbxContent>
              <w:p w14:paraId="360C3ADF"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633</w:t>
                </w:r>
                <w:r>
                  <w:fldChar w:fldCharType="end"/>
                </w:r>
                <w:r>
                  <w:rPr>
                    <w:color w:val="231F20"/>
                    <w:sz w:val="18"/>
                  </w:rPr>
                  <w:t xml:space="preserve"> </w:t>
                </w:r>
              </w:p>
            </w:txbxContent>
          </v:textbox>
          <w10:wrap anchorx="page" anchory="page"/>
        </v:shape>
      </w:pict>
    </w:r>
  </w:p>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8B9B1" w14:textId="77777777" w:rsidR="001008C3" w:rsidRDefault="00000000">
    <w:pPr>
      <w:pStyle w:val="a3"/>
      <w:spacing w:line="14" w:lineRule="auto"/>
    </w:pPr>
    <w:r>
      <w:rPr>
        <w:noProof w:val="0"/>
      </w:rPr>
      <w:pict w14:anchorId="4ED6C3BC">
        <v:shapetype id="_x0000_t202" coordsize="21600,21600" o:spt="202" path="m,l,21600r21600,l21600,xe">
          <v:stroke joinstyle="miter"/>
          <v:path gradientshapeok="t" o:connecttype="rect"/>
        </v:shapetype>
        <v:shape id="_x0000_s1055" type="#_x0000_t202" style="position:absolute;margin-left:65.4pt;margin-top:594.5pt;width:74.55pt;height:12.55pt;z-index:-447376;mso-position-horizontal-relative:page;mso-position-vertical-relative:page" filled="f" stroked="f">
          <v:textbox inset="0,0,0,0">
            <w:txbxContent>
              <w:p w14:paraId="132CB5A4" w14:textId="77777777" w:rsidR="001008C3" w:rsidRDefault="001008C3">
                <w:pPr>
                  <w:spacing w:before="19"/>
                  <w:ind w:left="20"/>
                  <w:rPr>
                    <w:sz w:val="18"/>
                  </w:rPr>
                </w:pPr>
                <w:r>
                  <w:rPr>
                    <w:color w:val="231F20"/>
                    <w:w w:val="115"/>
                    <w:sz w:val="18"/>
                  </w:rPr>
                  <w:t>bibliography</w:t>
                </w:r>
                <w:r>
                  <w:rPr>
                    <w:color w:val="231F20"/>
                    <w:sz w:val="18"/>
                  </w:rPr>
                  <w:t xml:space="preserve"> </w:t>
                </w:r>
              </w:p>
            </w:txbxContent>
          </v:textbox>
          <w10:wrap anchorx="page" anchory="page"/>
        </v:shape>
      </w:pict>
    </w:r>
    <w:r>
      <w:rPr>
        <w:noProof w:val="0"/>
      </w:rPr>
      <w:pict w14:anchorId="201FEE99">
        <v:shape id="_x0000_s1054" type="#_x0000_t202" style="position:absolute;margin-left:356.1pt;margin-top:594.5pt;width:20.8pt;height:12.55pt;z-index:-447352;mso-position-horizontal-relative:page;mso-position-vertical-relative:page" filled="f" stroked="f">
          <v:textbox inset="0,0,0,0">
            <w:txbxContent>
              <w:p w14:paraId="1C2963E3" w14:textId="77777777" w:rsidR="001008C3" w:rsidRDefault="001008C3">
                <w:pPr>
                  <w:spacing w:before="19"/>
                  <w:ind w:left="20"/>
                  <w:rPr>
                    <w:sz w:val="18"/>
                  </w:rPr>
                </w:pPr>
                <w:r>
                  <w:rPr>
                    <w:color w:val="231F20"/>
                    <w:sz w:val="18"/>
                  </w:rPr>
                  <w:t xml:space="preserve">641 </w:t>
                </w:r>
              </w:p>
            </w:txbxContent>
          </v:textbox>
          <w10:wrap anchorx="page" anchory="page"/>
        </v:shape>
      </w:pict>
    </w:r>
  </w:p>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B56C5" w14:textId="77777777" w:rsidR="001008C3" w:rsidRDefault="00000000">
    <w:pPr>
      <w:pStyle w:val="a3"/>
      <w:spacing w:line="14" w:lineRule="auto"/>
    </w:pPr>
    <w:r>
      <w:rPr>
        <w:noProof w:val="0"/>
      </w:rPr>
      <w:pict w14:anchorId="04111B42">
        <v:shapetype id="_x0000_t202" coordsize="21600,21600" o:spt="202" path="m,l,21600r21600,l21600,xe">
          <v:stroke joinstyle="miter"/>
          <v:path gradientshapeok="t" o:connecttype="rect"/>
        </v:shapetype>
        <v:shape id="_x0000_s1057" type="#_x0000_t202" style="position:absolute;margin-left:56.4pt;margin-top:594.5pt;width:20.8pt;height:12.55pt;z-index:-447424;mso-position-horizontal-relative:page;mso-position-vertical-relative:page" filled="f" stroked="f">
          <v:textbox inset="0,0,0,0">
            <w:txbxContent>
              <w:p w14:paraId="758F5B30" w14:textId="77777777" w:rsidR="001008C3" w:rsidRDefault="001008C3">
                <w:pPr>
                  <w:spacing w:before="19"/>
                  <w:ind w:left="20"/>
                  <w:rPr>
                    <w:sz w:val="18"/>
                  </w:rPr>
                </w:pPr>
                <w:r>
                  <w:rPr>
                    <w:color w:val="231F20"/>
                    <w:sz w:val="18"/>
                  </w:rPr>
                  <w:t xml:space="preserve">640 </w:t>
                </w:r>
              </w:p>
            </w:txbxContent>
          </v:textbox>
          <w10:wrap anchorx="page" anchory="page"/>
        </v:shape>
      </w:pict>
    </w:r>
    <w:r>
      <w:rPr>
        <w:noProof w:val="0"/>
      </w:rPr>
      <w:pict w14:anchorId="1F4F64E2">
        <v:shape id="_x0000_s1056" type="#_x0000_t202" style="position:absolute;margin-left:293.35pt;margin-top:594.5pt;width:73.3pt;height:12.55pt;z-index:-447400;mso-position-horizontal-relative:page;mso-position-vertical-relative:page" filled="f" stroked="f">
          <v:textbox inset="0,0,0,0">
            <w:txbxContent>
              <w:p w14:paraId="79F1A026" w14:textId="77777777" w:rsidR="001008C3" w:rsidRDefault="001008C3">
                <w:pPr>
                  <w:spacing w:before="19"/>
                  <w:ind w:left="20"/>
                  <w:rPr>
                    <w:sz w:val="18"/>
                  </w:rPr>
                </w:pPr>
                <w:r>
                  <w:rPr>
                    <w:color w:val="231F20"/>
                    <w:w w:val="101"/>
                    <w:sz w:val="18"/>
                  </w:rPr>
                  <w:t>b</w:t>
                </w:r>
                <w:r>
                  <w:rPr>
                    <w:color w:val="231F20"/>
                    <w:spacing w:val="-15"/>
                    <w:sz w:val="18"/>
                  </w:rPr>
                  <w:t xml:space="preserve"> </w:t>
                </w:r>
                <w:r>
                  <w:rPr>
                    <w:color w:val="231F20"/>
                    <w:spacing w:val="25"/>
                    <w:w w:val="119"/>
                    <w:sz w:val="18"/>
                  </w:rPr>
                  <w:t>i</w:t>
                </w:r>
                <w:r>
                  <w:rPr>
                    <w:color w:val="231F20"/>
                    <w:w w:val="101"/>
                    <w:sz w:val="18"/>
                  </w:rPr>
                  <w:t>b</w:t>
                </w:r>
                <w:r>
                  <w:rPr>
                    <w:color w:val="231F20"/>
                    <w:spacing w:val="-15"/>
                    <w:sz w:val="18"/>
                  </w:rPr>
                  <w:t xml:space="preserve"> </w:t>
                </w:r>
                <w:r>
                  <w:rPr>
                    <w:color w:val="231F20"/>
                    <w:spacing w:val="25"/>
                    <w:w w:val="184"/>
                    <w:sz w:val="18"/>
                  </w:rPr>
                  <w:t>l</w:t>
                </w:r>
                <w:r>
                  <w:rPr>
                    <w:color w:val="231F20"/>
                    <w:spacing w:val="25"/>
                    <w:w w:val="119"/>
                    <w:sz w:val="18"/>
                  </w:rPr>
                  <w:t>i</w:t>
                </w:r>
                <w:r>
                  <w:rPr>
                    <w:color w:val="231F20"/>
                    <w:spacing w:val="25"/>
                    <w:w w:val="125"/>
                    <w:sz w:val="18"/>
                  </w:rPr>
                  <w:t>o</w:t>
                </w:r>
                <w:r>
                  <w:rPr>
                    <w:color w:val="231F20"/>
                    <w:spacing w:val="25"/>
                    <w:w w:val="123"/>
                    <w:sz w:val="18"/>
                  </w:rPr>
                  <w:t>g</w:t>
                </w:r>
                <w:r>
                  <w:rPr>
                    <w:color w:val="231F20"/>
                    <w:spacing w:val="25"/>
                    <w:w w:val="134"/>
                    <w:sz w:val="18"/>
                  </w:rPr>
                  <w:t>r</w:t>
                </w:r>
                <w:r>
                  <w:rPr>
                    <w:color w:val="231F20"/>
                    <w:spacing w:val="25"/>
                    <w:w w:val="113"/>
                    <w:sz w:val="18"/>
                  </w:rPr>
                  <w:t>a</w:t>
                </w:r>
                <w:r>
                  <w:rPr>
                    <w:color w:val="231F20"/>
                    <w:w w:val="89"/>
                    <w:sz w:val="18"/>
                  </w:rPr>
                  <w:t>p</w:t>
                </w:r>
                <w:r>
                  <w:rPr>
                    <w:color w:val="231F20"/>
                    <w:spacing w:val="-15"/>
                    <w:sz w:val="18"/>
                  </w:rPr>
                  <w:t xml:space="preserve"> </w:t>
                </w:r>
                <w:r>
                  <w:rPr>
                    <w:color w:val="231F20"/>
                    <w:spacing w:val="25"/>
                    <w:w w:val="120"/>
                    <w:sz w:val="18"/>
                  </w:rPr>
                  <w:t>h</w:t>
                </w:r>
                <w:r>
                  <w:rPr>
                    <w:color w:val="231F20"/>
                    <w:w w:val="110"/>
                    <w:sz w:val="18"/>
                  </w:rPr>
                  <w:t>y</w:t>
                </w:r>
              </w:p>
            </w:txbxContent>
          </v:textbox>
          <w10:wrap anchorx="page" anchory="page"/>
        </v:shape>
      </w:pict>
    </w:r>
  </w:p>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2902" w14:textId="77777777" w:rsidR="001008C3" w:rsidRDefault="00000000">
    <w:pPr>
      <w:pStyle w:val="a3"/>
      <w:spacing w:line="14" w:lineRule="auto"/>
    </w:pPr>
    <w:r>
      <w:rPr>
        <w:noProof w:val="0"/>
      </w:rPr>
      <w:pict w14:anchorId="43DDE487">
        <v:shapetype id="_x0000_t202" coordsize="21600,21600" o:spt="202" path="m,l,21600r21600,l21600,xe">
          <v:stroke joinstyle="miter"/>
          <v:path gradientshapeok="t" o:connecttype="rect"/>
        </v:shapetype>
        <v:shape id="_x0000_s1053" type="#_x0000_t202" style="position:absolute;margin-left:55.4pt;margin-top:594.5pt;width:22.8pt;height:12.55pt;z-index:-447328;mso-position-horizontal-relative:page;mso-position-vertical-relative:page" filled="f" stroked="f">
          <v:textbox inset="0,0,0,0">
            <w:txbxContent>
              <w:p w14:paraId="385F90F5"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642</w:t>
                </w:r>
                <w:r>
                  <w:fldChar w:fldCharType="end"/>
                </w:r>
                <w:r>
                  <w:rPr>
                    <w:color w:val="231F20"/>
                    <w:sz w:val="18"/>
                  </w:rPr>
                  <w:t xml:space="preserve"> </w:t>
                </w:r>
              </w:p>
            </w:txbxContent>
          </v:textbox>
          <w10:wrap anchorx="page" anchory="page"/>
        </v:shape>
      </w:pict>
    </w:r>
    <w:r>
      <w:rPr>
        <w:noProof w:val="0"/>
      </w:rPr>
      <w:pict w14:anchorId="3294F240">
        <v:shape id="_x0000_s1052" type="#_x0000_t202" style="position:absolute;margin-left:293.35pt;margin-top:594.5pt;width:73.3pt;height:12.55pt;z-index:-447304;mso-position-horizontal-relative:page;mso-position-vertical-relative:page" filled="f" stroked="f">
          <v:textbox inset="0,0,0,0">
            <w:txbxContent>
              <w:p w14:paraId="14125C3E" w14:textId="77777777" w:rsidR="001008C3" w:rsidRDefault="001008C3">
                <w:pPr>
                  <w:spacing w:before="19"/>
                  <w:ind w:left="20"/>
                  <w:rPr>
                    <w:sz w:val="18"/>
                  </w:rPr>
                </w:pPr>
                <w:r>
                  <w:rPr>
                    <w:color w:val="231F20"/>
                    <w:w w:val="101"/>
                    <w:sz w:val="18"/>
                  </w:rPr>
                  <w:t>b</w:t>
                </w:r>
                <w:r>
                  <w:rPr>
                    <w:color w:val="231F20"/>
                    <w:spacing w:val="-15"/>
                    <w:sz w:val="18"/>
                  </w:rPr>
                  <w:t xml:space="preserve"> </w:t>
                </w:r>
                <w:r>
                  <w:rPr>
                    <w:color w:val="231F20"/>
                    <w:spacing w:val="25"/>
                    <w:w w:val="119"/>
                    <w:sz w:val="18"/>
                  </w:rPr>
                  <w:t>i</w:t>
                </w:r>
                <w:r>
                  <w:rPr>
                    <w:color w:val="231F20"/>
                    <w:w w:val="101"/>
                    <w:sz w:val="18"/>
                  </w:rPr>
                  <w:t>b</w:t>
                </w:r>
                <w:r>
                  <w:rPr>
                    <w:color w:val="231F20"/>
                    <w:spacing w:val="-15"/>
                    <w:sz w:val="18"/>
                  </w:rPr>
                  <w:t xml:space="preserve"> </w:t>
                </w:r>
                <w:r>
                  <w:rPr>
                    <w:color w:val="231F20"/>
                    <w:spacing w:val="25"/>
                    <w:w w:val="184"/>
                    <w:sz w:val="18"/>
                  </w:rPr>
                  <w:t>l</w:t>
                </w:r>
                <w:r>
                  <w:rPr>
                    <w:color w:val="231F20"/>
                    <w:spacing w:val="25"/>
                    <w:w w:val="119"/>
                    <w:sz w:val="18"/>
                  </w:rPr>
                  <w:t>i</w:t>
                </w:r>
                <w:r>
                  <w:rPr>
                    <w:color w:val="231F20"/>
                    <w:spacing w:val="25"/>
                    <w:w w:val="125"/>
                    <w:sz w:val="18"/>
                  </w:rPr>
                  <w:t>o</w:t>
                </w:r>
                <w:r>
                  <w:rPr>
                    <w:color w:val="231F20"/>
                    <w:spacing w:val="25"/>
                    <w:w w:val="123"/>
                    <w:sz w:val="18"/>
                  </w:rPr>
                  <w:t>g</w:t>
                </w:r>
                <w:r>
                  <w:rPr>
                    <w:color w:val="231F20"/>
                    <w:spacing w:val="25"/>
                    <w:w w:val="134"/>
                    <w:sz w:val="18"/>
                  </w:rPr>
                  <w:t>r</w:t>
                </w:r>
                <w:r>
                  <w:rPr>
                    <w:color w:val="231F20"/>
                    <w:spacing w:val="25"/>
                    <w:w w:val="113"/>
                    <w:sz w:val="18"/>
                  </w:rPr>
                  <w:t>a</w:t>
                </w:r>
                <w:r>
                  <w:rPr>
                    <w:color w:val="231F20"/>
                    <w:w w:val="89"/>
                    <w:sz w:val="18"/>
                  </w:rPr>
                  <w:t>p</w:t>
                </w:r>
                <w:r>
                  <w:rPr>
                    <w:color w:val="231F20"/>
                    <w:spacing w:val="-15"/>
                    <w:sz w:val="18"/>
                  </w:rPr>
                  <w:t xml:space="preserve"> </w:t>
                </w:r>
                <w:r>
                  <w:rPr>
                    <w:color w:val="231F20"/>
                    <w:spacing w:val="25"/>
                    <w:w w:val="120"/>
                    <w:sz w:val="18"/>
                  </w:rPr>
                  <w:t>h</w:t>
                </w:r>
                <w:r>
                  <w:rPr>
                    <w:color w:val="231F20"/>
                    <w:w w:val="110"/>
                    <w:sz w:val="18"/>
                  </w:rPr>
                  <w:t>y</w:t>
                </w:r>
              </w:p>
            </w:txbxContent>
          </v:textbox>
          <w10:wrap anchorx="page" anchory="page"/>
        </v:shape>
      </w:pict>
    </w:r>
  </w:p>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91C7A" w14:textId="77777777" w:rsidR="001008C3" w:rsidRDefault="00000000">
    <w:pPr>
      <w:pStyle w:val="a3"/>
      <w:spacing w:line="14" w:lineRule="auto"/>
    </w:pPr>
    <w:r>
      <w:rPr>
        <w:noProof w:val="0"/>
      </w:rPr>
      <w:pict w14:anchorId="171E479C">
        <v:shapetype id="_x0000_t202" coordsize="21600,21600" o:spt="202" path="m,l,21600r21600,l21600,xe">
          <v:stroke joinstyle="miter"/>
          <v:path gradientshapeok="t" o:connecttype="rect"/>
        </v:shapetype>
        <v:shape id="_x0000_s1051" type="#_x0000_t202" style="position:absolute;margin-left:65.4pt;margin-top:594.5pt;width:74.55pt;height:12.55pt;z-index:-447280;mso-position-horizontal-relative:page;mso-position-vertical-relative:page" filled="f" stroked="f">
          <v:textbox inset="0,0,0,0">
            <w:txbxContent>
              <w:p w14:paraId="2DA38AAD" w14:textId="77777777" w:rsidR="001008C3" w:rsidRDefault="001008C3">
                <w:pPr>
                  <w:spacing w:before="19"/>
                  <w:ind w:left="20"/>
                  <w:rPr>
                    <w:sz w:val="18"/>
                  </w:rPr>
                </w:pPr>
                <w:r>
                  <w:rPr>
                    <w:color w:val="231F20"/>
                    <w:w w:val="115"/>
                    <w:sz w:val="18"/>
                  </w:rPr>
                  <w:t>bibliography</w:t>
                </w:r>
                <w:r>
                  <w:rPr>
                    <w:color w:val="231F20"/>
                    <w:sz w:val="18"/>
                  </w:rPr>
                  <w:t xml:space="preserve"> </w:t>
                </w:r>
              </w:p>
            </w:txbxContent>
          </v:textbox>
          <w10:wrap anchorx="page" anchory="page"/>
        </v:shape>
      </w:pict>
    </w:r>
    <w:r>
      <w:rPr>
        <w:noProof w:val="0"/>
      </w:rPr>
      <w:pict w14:anchorId="7FADF4A6">
        <v:shape id="_x0000_s1050" type="#_x0000_t202" style="position:absolute;margin-left:355.1pt;margin-top:594.5pt;width:22.8pt;height:12.55pt;z-index:-447256;mso-position-horizontal-relative:page;mso-position-vertical-relative:page" filled="f" stroked="f">
          <v:textbox inset="0,0,0,0">
            <w:txbxContent>
              <w:p w14:paraId="418B9DE1"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643</w:t>
                </w:r>
                <w:r>
                  <w:fldChar w:fldCharType="end"/>
                </w:r>
                <w:r>
                  <w:rPr>
                    <w:color w:val="231F20"/>
                    <w:sz w:val="18"/>
                  </w:rPr>
                  <w:t xml:space="preserve"> </w:t>
                </w:r>
              </w:p>
            </w:txbxContent>
          </v:textbox>
          <w10:wrap anchorx="page" anchory="page"/>
        </v:shape>
      </w:pict>
    </w:r>
  </w:p>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A49F" w14:textId="77777777" w:rsidR="001008C3" w:rsidRDefault="00000000">
    <w:pPr>
      <w:pStyle w:val="a3"/>
      <w:spacing w:line="14" w:lineRule="auto"/>
    </w:pPr>
    <w:r>
      <w:rPr>
        <w:noProof w:val="0"/>
      </w:rPr>
      <w:pict w14:anchorId="4F8F815C">
        <v:shapetype id="_x0000_t202" coordsize="21600,21600" o:spt="202" path="m,l,21600r21600,l21600,xe">
          <v:stroke joinstyle="miter"/>
          <v:path gradientshapeok="t" o:connecttype="rect"/>
        </v:shapetype>
        <v:shape id="_x0000_s1047" type="#_x0000_t202" style="position:absolute;margin-left:65.4pt;margin-top:594.5pt;width:74.55pt;height:12.55pt;z-index:-447184;mso-position-horizontal-relative:page;mso-position-vertical-relative:page" filled="f" stroked="f">
          <v:textbox inset="0,0,0,0">
            <w:txbxContent>
              <w:p w14:paraId="0E6ED038" w14:textId="77777777" w:rsidR="001008C3" w:rsidRDefault="001008C3">
                <w:pPr>
                  <w:spacing w:before="19"/>
                  <w:ind w:left="20"/>
                  <w:rPr>
                    <w:sz w:val="18"/>
                  </w:rPr>
                </w:pPr>
                <w:r>
                  <w:rPr>
                    <w:color w:val="231F20"/>
                    <w:w w:val="115"/>
                    <w:sz w:val="18"/>
                  </w:rPr>
                  <w:t>bibliography</w:t>
                </w:r>
                <w:r>
                  <w:rPr>
                    <w:color w:val="231F20"/>
                    <w:sz w:val="18"/>
                  </w:rPr>
                  <w:t xml:space="preserve"> </w:t>
                </w:r>
              </w:p>
            </w:txbxContent>
          </v:textbox>
          <w10:wrap anchorx="page" anchory="page"/>
        </v:shape>
      </w:pict>
    </w:r>
    <w:r>
      <w:rPr>
        <w:noProof w:val="0"/>
      </w:rPr>
      <w:pict w14:anchorId="4F628668">
        <v:shape id="_x0000_s1046" type="#_x0000_t202" style="position:absolute;margin-left:356.1pt;margin-top:594.5pt;width:20.8pt;height:12.55pt;z-index:-447160;mso-position-horizontal-relative:page;mso-position-vertical-relative:page" filled="f" stroked="f">
          <v:textbox inset="0,0,0,0">
            <w:txbxContent>
              <w:p w14:paraId="6B01503B" w14:textId="77777777" w:rsidR="001008C3" w:rsidRDefault="001008C3">
                <w:pPr>
                  <w:spacing w:before="19"/>
                  <w:ind w:left="20"/>
                  <w:rPr>
                    <w:sz w:val="18"/>
                  </w:rPr>
                </w:pPr>
                <w:r>
                  <w:rPr>
                    <w:color w:val="231F20"/>
                    <w:sz w:val="18"/>
                  </w:rPr>
                  <w:t xml:space="preserve">651 </w:t>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032F2" w14:textId="77777777" w:rsidR="001008C3" w:rsidRDefault="00000000">
    <w:pPr>
      <w:pStyle w:val="a3"/>
      <w:spacing w:line="14" w:lineRule="auto"/>
    </w:pPr>
    <w:r>
      <w:rPr>
        <w:noProof w:val="0"/>
      </w:rPr>
      <w:pict w14:anchorId="0C9C79CB">
        <v:line id="_x0000_s1675" style="position:absolute;z-index:-462256;mso-position-horizontal-relative:page;mso-position-vertical-relative:page" from="57.4pt,514.8pt" to="129.4pt,514.8pt" strokecolor="#231f20" strokeweight=".5pt">
          <w10:wrap anchorx="page" anchory="page"/>
        </v:line>
      </w:pict>
    </w:r>
    <w:r>
      <w:rPr>
        <w:noProof w:val="0"/>
      </w:rPr>
      <w:pict w14:anchorId="69F90828">
        <v:shapetype id="_x0000_t202" coordsize="21600,21600" o:spt="202" path="m,l,21600r21600,l21600,xe">
          <v:stroke joinstyle="miter"/>
          <v:path gradientshapeok="t" o:connecttype="rect"/>
        </v:shapetype>
        <v:shape id="_x0000_s1674" type="#_x0000_t202" style="position:absolute;margin-left:56.4pt;margin-top:594.5pt;width:14.55pt;height:12.55pt;z-index:-462232;mso-position-horizontal-relative:page;mso-position-vertical-relative:page" filled="f" stroked="f">
          <v:textbox inset="0,0,0,0">
            <w:txbxContent>
              <w:p w14:paraId="4413AA7F" w14:textId="77777777" w:rsidR="001008C3" w:rsidRDefault="001008C3">
                <w:pPr>
                  <w:spacing w:before="19"/>
                  <w:ind w:left="20"/>
                  <w:rPr>
                    <w:sz w:val="18"/>
                  </w:rPr>
                </w:pPr>
                <w:r>
                  <w:rPr>
                    <w:color w:val="231F20"/>
                    <w:sz w:val="18"/>
                  </w:rPr>
                  <w:t xml:space="preserve">78 </w:t>
                </w:r>
              </w:p>
            </w:txbxContent>
          </v:textbox>
          <w10:wrap anchorx="page" anchory="page"/>
        </v:shape>
      </w:pict>
    </w:r>
    <w:r>
      <w:rPr>
        <w:noProof w:val="0"/>
      </w:rPr>
      <w:pict w14:anchorId="11BAD534">
        <v:shape id="_x0000_s1673" type="#_x0000_t202" style="position:absolute;margin-left:243pt;margin-top:594.5pt;width:124.6pt;height:12.55pt;z-index:-462208;mso-position-horizontal-relative:page;mso-position-vertical-relative:page" filled="f" stroked="f">
          <v:textbox inset="0,0,0,0">
            <w:txbxContent>
              <w:p w14:paraId="7EAC84A9" w14:textId="77777777" w:rsidR="001008C3" w:rsidRDefault="001008C3">
                <w:pPr>
                  <w:tabs>
                    <w:tab w:val="left" w:pos="2242"/>
                  </w:tabs>
                  <w:spacing w:before="19"/>
                  <w:ind w:left="20"/>
                  <w:rPr>
                    <w:sz w:val="14"/>
                  </w:rPr>
                </w:pPr>
                <w:r>
                  <w:rPr>
                    <w:color w:val="231F20"/>
                    <w:spacing w:val="20"/>
                    <w:w w:val="110"/>
                    <w:sz w:val="18"/>
                  </w:rPr>
                  <w:t xml:space="preserve">taking  </w:t>
                </w:r>
                <w:r>
                  <w:rPr>
                    <w:color w:val="231F20"/>
                    <w:spacing w:val="11"/>
                    <w:w w:val="110"/>
                    <w:sz w:val="18"/>
                  </w:rPr>
                  <w:t xml:space="preserve">up </w:t>
                </w:r>
                <w:r>
                  <w:rPr>
                    <w:color w:val="231F20"/>
                    <w:spacing w:val="33"/>
                    <w:w w:val="110"/>
                    <w:sz w:val="18"/>
                  </w:rPr>
                  <w:t xml:space="preserve"> </w:t>
                </w:r>
                <w:r>
                  <w:rPr>
                    <w:color w:val="231F20"/>
                    <w:spacing w:val="15"/>
                    <w:w w:val="110"/>
                    <w:sz w:val="18"/>
                  </w:rPr>
                  <w:t xml:space="preserve">the </w:t>
                </w:r>
                <w:r>
                  <w:rPr>
                    <w:color w:val="231F20"/>
                    <w:spacing w:val="28"/>
                    <w:w w:val="110"/>
                    <w:sz w:val="18"/>
                  </w:rPr>
                  <w:t xml:space="preserve"> </w:t>
                </w:r>
                <w:r>
                  <w:rPr>
                    <w:color w:val="231F20"/>
                    <w:spacing w:val="15"/>
                    <w:w w:val="110"/>
                    <w:sz w:val="18"/>
                  </w:rPr>
                  <w:t>gun</w:t>
                </w:r>
                <w:r>
                  <w:rPr>
                    <w:color w:val="231F20"/>
                    <w:spacing w:val="15"/>
                    <w:w w:val="110"/>
                    <w:sz w:val="18"/>
                  </w:rPr>
                  <w:tab/>
                </w:r>
                <w:r>
                  <w:rPr>
                    <w:color w:val="231F20"/>
                    <w:spacing w:val="11"/>
                    <w:w w:val="105"/>
                    <w:sz w:val="14"/>
                  </w:rPr>
                  <w:t>(3)</w:t>
                </w:r>
                <w:r>
                  <w:rPr>
                    <w:color w:val="231F20"/>
                    <w:spacing w:val="-12"/>
                    <w:sz w:val="14"/>
                  </w:rPr>
                  <w:t xml:space="preserve"> </w:t>
                </w:r>
              </w:p>
            </w:txbxContent>
          </v:textbox>
          <w10:wrap anchorx="page" anchory="page"/>
        </v:shape>
      </w:pict>
    </w:r>
  </w:p>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84B0" w14:textId="77777777" w:rsidR="001008C3" w:rsidRDefault="00000000">
    <w:pPr>
      <w:pStyle w:val="a3"/>
      <w:spacing w:line="14" w:lineRule="auto"/>
    </w:pPr>
    <w:r>
      <w:rPr>
        <w:noProof w:val="0"/>
      </w:rPr>
      <w:pict w14:anchorId="11CB1169">
        <v:shapetype id="_x0000_t202" coordsize="21600,21600" o:spt="202" path="m,l,21600r21600,l21600,xe">
          <v:stroke joinstyle="miter"/>
          <v:path gradientshapeok="t" o:connecttype="rect"/>
        </v:shapetype>
        <v:shape id="_x0000_s1049" type="#_x0000_t202" style="position:absolute;margin-left:56.4pt;margin-top:594.5pt;width:20.8pt;height:12.55pt;z-index:-447232;mso-position-horizontal-relative:page;mso-position-vertical-relative:page" filled="f" stroked="f">
          <v:textbox inset="0,0,0,0">
            <w:txbxContent>
              <w:p w14:paraId="59198C5C" w14:textId="77777777" w:rsidR="001008C3" w:rsidRDefault="001008C3">
                <w:pPr>
                  <w:spacing w:before="19"/>
                  <w:ind w:left="20"/>
                  <w:rPr>
                    <w:sz w:val="18"/>
                  </w:rPr>
                </w:pPr>
                <w:r>
                  <w:rPr>
                    <w:color w:val="231F20"/>
                    <w:sz w:val="18"/>
                  </w:rPr>
                  <w:t xml:space="preserve">650 </w:t>
                </w:r>
              </w:p>
            </w:txbxContent>
          </v:textbox>
          <w10:wrap anchorx="page" anchory="page"/>
        </v:shape>
      </w:pict>
    </w:r>
    <w:r>
      <w:rPr>
        <w:noProof w:val="0"/>
      </w:rPr>
      <w:pict w14:anchorId="3667A384">
        <v:shape id="_x0000_s1048" type="#_x0000_t202" style="position:absolute;margin-left:293.35pt;margin-top:594.5pt;width:73.3pt;height:12.55pt;z-index:-447208;mso-position-horizontal-relative:page;mso-position-vertical-relative:page" filled="f" stroked="f">
          <v:textbox inset="0,0,0,0">
            <w:txbxContent>
              <w:p w14:paraId="31A82DBD" w14:textId="77777777" w:rsidR="001008C3" w:rsidRDefault="001008C3">
                <w:pPr>
                  <w:spacing w:before="19"/>
                  <w:ind w:left="20"/>
                  <w:rPr>
                    <w:sz w:val="18"/>
                  </w:rPr>
                </w:pPr>
                <w:r>
                  <w:rPr>
                    <w:color w:val="231F20"/>
                    <w:w w:val="101"/>
                    <w:sz w:val="18"/>
                  </w:rPr>
                  <w:t>b</w:t>
                </w:r>
                <w:r>
                  <w:rPr>
                    <w:color w:val="231F20"/>
                    <w:spacing w:val="-15"/>
                    <w:sz w:val="18"/>
                  </w:rPr>
                  <w:t xml:space="preserve"> </w:t>
                </w:r>
                <w:r>
                  <w:rPr>
                    <w:color w:val="231F20"/>
                    <w:spacing w:val="25"/>
                    <w:w w:val="119"/>
                    <w:sz w:val="18"/>
                  </w:rPr>
                  <w:t>i</w:t>
                </w:r>
                <w:r>
                  <w:rPr>
                    <w:color w:val="231F20"/>
                    <w:w w:val="101"/>
                    <w:sz w:val="18"/>
                  </w:rPr>
                  <w:t>b</w:t>
                </w:r>
                <w:r>
                  <w:rPr>
                    <w:color w:val="231F20"/>
                    <w:spacing w:val="-15"/>
                    <w:sz w:val="18"/>
                  </w:rPr>
                  <w:t xml:space="preserve"> </w:t>
                </w:r>
                <w:r>
                  <w:rPr>
                    <w:color w:val="231F20"/>
                    <w:spacing w:val="25"/>
                    <w:w w:val="184"/>
                    <w:sz w:val="18"/>
                  </w:rPr>
                  <w:t>l</w:t>
                </w:r>
                <w:r>
                  <w:rPr>
                    <w:color w:val="231F20"/>
                    <w:spacing w:val="25"/>
                    <w:w w:val="119"/>
                    <w:sz w:val="18"/>
                  </w:rPr>
                  <w:t>i</w:t>
                </w:r>
                <w:r>
                  <w:rPr>
                    <w:color w:val="231F20"/>
                    <w:spacing w:val="25"/>
                    <w:w w:val="125"/>
                    <w:sz w:val="18"/>
                  </w:rPr>
                  <w:t>o</w:t>
                </w:r>
                <w:r>
                  <w:rPr>
                    <w:color w:val="231F20"/>
                    <w:spacing w:val="25"/>
                    <w:w w:val="123"/>
                    <w:sz w:val="18"/>
                  </w:rPr>
                  <w:t>g</w:t>
                </w:r>
                <w:r>
                  <w:rPr>
                    <w:color w:val="231F20"/>
                    <w:spacing w:val="25"/>
                    <w:w w:val="134"/>
                    <w:sz w:val="18"/>
                  </w:rPr>
                  <w:t>r</w:t>
                </w:r>
                <w:r>
                  <w:rPr>
                    <w:color w:val="231F20"/>
                    <w:spacing w:val="25"/>
                    <w:w w:val="113"/>
                    <w:sz w:val="18"/>
                  </w:rPr>
                  <w:t>a</w:t>
                </w:r>
                <w:r>
                  <w:rPr>
                    <w:color w:val="231F20"/>
                    <w:w w:val="89"/>
                    <w:sz w:val="18"/>
                  </w:rPr>
                  <w:t>p</w:t>
                </w:r>
                <w:r>
                  <w:rPr>
                    <w:color w:val="231F20"/>
                    <w:spacing w:val="-15"/>
                    <w:sz w:val="18"/>
                  </w:rPr>
                  <w:t xml:space="preserve"> </w:t>
                </w:r>
                <w:r>
                  <w:rPr>
                    <w:color w:val="231F20"/>
                    <w:spacing w:val="25"/>
                    <w:w w:val="120"/>
                    <w:sz w:val="18"/>
                  </w:rPr>
                  <w:t>h</w:t>
                </w:r>
                <w:r>
                  <w:rPr>
                    <w:color w:val="231F20"/>
                    <w:w w:val="110"/>
                    <w:sz w:val="18"/>
                  </w:rPr>
                  <w:t>y</w:t>
                </w:r>
              </w:p>
            </w:txbxContent>
          </v:textbox>
          <w10:wrap anchorx="page" anchory="page"/>
        </v:shape>
      </w:pict>
    </w:r>
  </w:p>
</w:ftr>
</file>

<file path=word/footer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9D05D" w14:textId="77777777" w:rsidR="001008C3" w:rsidRDefault="00000000">
    <w:pPr>
      <w:pStyle w:val="a3"/>
      <w:spacing w:line="14" w:lineRule="auto"/>
    </w:pPr>
    <w:r>
      <w:rPr>
        <w:noProof w:val="0"/>
      </w:rPr>
      <w:pict w14:anchorId="40F8C589">
        <v:shapetype id="_x0000_t202" coordsize="21600,21600" o:spt="202" path="m,l,21600r21600,l21600,xe">
          <v:stroke joinstyle="miter"/>
          <v:path gradientshapeok="t" o:connecttype="rect"/>
        </v:shapetype>
        <v:shape id="_x0000_s1045" type="#_x0000_t202" style="position:absolute;margin-left:55.4pt;margin-top:594.5pt;width:22.8pt;height:12.55pt;z-index:-447136;mso-position-horizontal-relative:page;mso-position-vertical-relative:page" filled="f" stroked="f">
          <v:textbox inset="0,0,0,0">
            <w:txbxContent>
              <w:p w14:paraId="4F3A6D2A"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652</w:t>
                </w:r>
                <w:r>
                  <w:fldChar w:fldCharType="end"/>
                </w:r>
                <w:r>
                  <w:rPr>
                    <w:color w:val="231F20"/>
                    <w:sz w:val="18"/>
                  </w:rPr>
                  <w:t xml:space="preserve"> </w:t>
                </w:r>
              </w:p>
            </w:txbxContent>
          </v:textbox>
          <w10:wrap anchorx="page" anchory="page"/>
        </v:shape>
      </w:pict>
    </w:r>
    <w:r>
      <w:rPr>
        <w:noProof w:val="0"/>
      </w:rPr>
      <w:pict w14:anchorId="22BEF6A8">
        <v:shape id="_x0000_s1044" type="#_x0000_t202" style="position:absolute;margin-left:293.35pt;margin-top:594.5pt;width:73.3pt;height:12.55pt;z-index:-447112;mso-position-horizontal-relative:page;mso-position-vertical-relative:page" filled="f" stroked="f">
          <v:textbox inset="0,0,0,0">
            <w:txbxContent>
              <w:p w14:paraId="70E48D62" w14:textId="77777777" w:rsidR="001008C3" w:rsidRDefault="001008C3">
                <w:pPr>
                  <w:spacing w:before="19"/>
                  <w:ind w:left="20"/>
                  <w:rPr>
                    <w:sz w:val="18"/>
                  </w:rPr>
                </w:pPr>
                <w:r>
                  <w:rPr>
                    <w:color w:val="231F20"/>
                    <w:w w:val="101"/>
                    <w:sz w:val="18"/>
                  </w:rPr>
                  <w:t>b</w:t>
                </w:r>
                <w:r>
                  <w:rPr>
                    <w:color w:val="231F20"/>
                    <w:spacing w:val="-15"/>
                    <w:sz w:val="18"/>
                  </w:rPr>
                  <w:t xml:space="preserve"> </w:t>
                </w:r>
                <w:r>
                  <w:rPr>
                    <w:color w:val="231F20"/>
                    <w:spacing w:val="25"/>
                    <w:w w:val="119"/>
                    <w:sz w:val="18"/>
                  </w:rPr>
                  <w:t>i</w:t>
                </w:r>
                <w:r>
                  <w:rPr>
                    <w:color w:val="231F20"/>
                    <w:w w:val="101"/>
                    <w:sz w:val="18"/>
                  </w:rPr>
                  <w:t>b</w:t>
                </w:r>
                <w:r>
                  <w:rPr>
                    <w:color w:val="231F20"/>
                    <w:spacing w:val="-15"/>
                    <w:sz w:val="18"/>
                  </w:rPr>
                  <w:t xml:space="preserve"> </w:t>
                </w:r>
                <w:r>
                  <w:rPr>
                    <w:color w:val="231F20"/>
                    <w:spacing w:val="25"/>
                    <w:w w:val="184"/>
                    <w:sz w:val="18"/>
                  </w:rPr>
                  <w:t>l</w:t>
                </w:r>
                <w:r>
                  <w:rPr>
                    <w:color w:val="231F20"/>
                    <w:spacing w:val="25"/>
                    <w:w w:val="119"/>
                    <w:sz w:val="18"/>
                  </w:rPr>
                  <w:t>i</w:t>
                </w:r>
                <w:r>
                  <w:rPr>
                    <w:color w:val="231F20"/>
                    <w:spacing w:val="25"/>
                    <w:w w:val="125"/>
                    <w:sz w:val="18"/>
                  </w:rPr>
                  <w:t>o</w:t>
                </w:r>
                <w:r>
                  <w:rPr>
                    <w:color w:val="231F20"/>
                    <w:spacing w:val="25"/>
                    <w:w w:val="123"/>
                    <w:sz w:val="18"/>
                  </w:rPr>
                  <w:t>g</w:t>
                </w:r>
                <w:r>
                  <w:rPr>
                    <w:color w:val="231F20"/>
                    <w:spacing w:val="25"/>
                    <w:w w:val="134"/>
                    <w:sz w:val="18"/>
                  </w:rPr>
                  <w:t>r</w:t>
                </w:r>
                <w:r>
                  <w:rPr>
                    <w:color w:val="231F20"/>
                    <w:spacing w:val="25"/>
                    <w:w w:val="113"/>
                    <w:sz w:val="18"/>
                  </w:rPr>
                  <w:t>a</w:t>
                </w:r>
                <w:r>
                  <w:rPr>
                    <w:color w:val="231F20"/>
                    <w:w w:val="89"/>
                    <w:sz w:val="18"/>
                  </w:rPr>
                  <w:t>p</w:t>
                </w:r>
                <w:r>
                  <w:rPr>
                    <w:color w:val="231F20"/>
                    <w:spacing w:val="-15"/>
                    <w:sz w:val="18"/>
                  </w:rPr>
                  <w:t xml:space="preserve"> </w:t>
                </w:r>
                <w:r>
                  <w:rPr>
                    <w:color w:val="231F20"/>
                    <w:spacing w:val="25"/>
                    <w:w w:val="120"/>
                    <w:sz w:val="18"/>
                  </w:rPr>
                  <w:t>h</w:t>
                </w:r>
                <w:r>
                  <w:rPr>
                    <w:color w:val="231F20"/>
                    <w:w w:val="110"/>
                    <w:sz w:val="18"/>
                  </w:rPr>
                  <w:t>y</w:t>
                </w:r>
              </w:p>
            </w:txbxContent>
          </v:textbox>
          <w10:wrap anchorx="page" anchory="page"/>
        </v:shape>
      </w:pict>
    </w:r>
  </w:p>
</w:ftr>
</file>

<file path=word/footer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9A12" w14:textId="77777777" w:rsidR="001008C3" w:rsidRDefault="00000000">
    <w:pPr>
      <w:pStyle w:val="a3"/>
      <w:spacing w:line="14" w:lineRule="auto"/>
    </w:pPr>
    <w:r>
      <w:rPr>
        <w:noProof w:val="0"/>
      </w:rPr>
      <w:pict w14:anchorId="1309555D">
        <v:shapetype id="_x0000_t202" coordsize="21600,21600" o:spt="202" path="m,l,21600r21600,l21600,xe">
          <v:stroke joinstyle="miter"/>
          <v:path gradientshapeok="t" o:connecttype="rect"/>
        </v:shapetype>
        <v:shape id="_x0000_s1043" type="#_x0000_t202" style="position:absolute;margin-left:65.4pt;margin-top:594.5pt;width:74.55pt;height:12.55pt;z-index:-447088;mso-position-horizontal-relative:page;mso-position-vertical-relative:page" filled="f" stroked="f">
          <v:textbox inset="0,0,0,0">
            <w:txbxContent>
              <w:p w14:paraId="2186A6C2" w14:textId="77777777" w:rsidR="001008C3" w:rsidRDefault="001008C3">
                <w:pPr>
                  <w:spacing w:before="19"/>
                  <w:ind w:left="20"/>
                  <w:rPr>
                    <w:sz w:val="18"/>
                  </w:rPr>
                </w:pPr>
                <w:r>
                  <w:rPr>
                    <w:color w:val="231F20"/>
                    <w:w w:val="115"/>
                    <w:sz w:val="18"/>
                  </w:rPr>
                  <w:t>bibliography</w:t>
                </w:r>
                <w:r>
                  <w:rPr>
                    <w:color w:val="231F20"/>
                    <w:sz w:val="18"/>
                  </w:rPr>
                  <w:t xml:space="preserve"> </w:t>
                </w:r>
              </w:p>
            </w:txbxContent>
          </v:textbox>
          <w10:wrap anchorx="page" anchory="page"/>
        </v:shape>
      </w:pict>
    </w:r>
    <w:r>
      <w:rPr>
        <w:noProof w:val="0"/>
      </w:rPr>
      <w:pict w14:anchorId="681C8B74">
        <v:shape id="_x0000_s1042" type="#_x0000_t202" style="position:absolute;margin-left:355.1pt;margin-top:594.5pt;width:22.8pt;height:12.55pt;z-index:-447064;mso-position-horizontal-relative:page;mso-position-vertical-relative:page" filled="f" stroked="f">
          <v:textbox inset="0,0,0,0">
            <w:txbxContent>
              <w:p w14:paraId="423B654E"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653</w:t>
                </w:r>
                <w:r>
                  <w:fldChar w:fldCharType="end"/>
                </w:r>
                <w:r>
                  <w:rPr>
                    <w:color w:val="231F20"/>
                    <w:sz w:val="18"/>
                  </w:rPr>
                  <w:t xml:space="preserve"> </w:t>
                </w:r>
              </w:p>
            </w:txbxContent>
          </v:textbox>
          <w10:wrap anchorx="page" anchory="page"/>
        </v:shape>
      </w:pict>
    </w:r>
  </w:p>
</w:ftr>
</file>

<file path=word/footer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10602" w14:textId="77777777" w:rsidR="001008C3" w:rsidRDefault="00000000">
    <w:pPr>
      <w:pStyle w:val="a3"/>
      <w:spacing w:line="14" w:lineRule="auto"/>
    </w:pPr>
    <w:r>
      <w:rPr>
        <w:noProof w:val="0"/>
      </w:rPr>
      <w:pict w14:anchorId="2A1EC399">
        <v:shapetype id="_x0000_t202" coordsize="21600,21600" o:spt="202" path="m,l,21600r21600,l21600,xe">
          <v:stroke joinstyle="miter"/>
          <v:path gradientshapeok="t" o:connecttype="rect"/>
        </v:shapetype>
        <v:shape id="_x0000_s1039" type="#_x0000_t202" style="position:absolute;margin-left:355.1pt;margin-top:594.7pt;width:22.8pt;height:12.55pt;z-index:-446992;mso-position-horizontal-relative:page;mso-position-vertical-relative:page" filled="f" stroked="f">
          <v:textbox inset="0,0,0,0">
            <w:txbxContent>
              <w:p w14:paraId="4AB5F5A7" w14:textId="77777777" w:rsidR="001008C3" w:rsidRDefault="001008C3">
                <w:pPr>
                  <w:spacing w:before="19"/>
                  <w:ind w:left="40"/>
                  <w:rPr>
                    <w:sz w:val="18"/>
                  </w:rPr>
                </w:pPr>
                <w:r>
                  <w:rPr>
                    <w:color w:val="231F20"/>
                    <w:sz w:val="18"/>
                  </w:rPr>
                  <w:t xml:space="preserve">661 </w:t>
                </w:r>
              </w:p>
            </w:txbxContent>
          </v:textbox>
          <w10:wrap anchorx="page" anchory="page"/>
        </v:shape>
      </w:pict>
    </w:r>
  </w:p>
</w:ftr>
</file>

<file path=word/footer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DA5BF" w14:textId="77777777" w:rsidR="001008C3" w:rsidRDefault="00000000">
    <w:pPr>
      <w:pStyle w:val="a3"/>
      <w:spacing w:line="14" w:lineRule="auto"/>
    </w:pPr>
    <w:r>
      <w:rPr>
        <w:noProof w:val="0"/>
      </w:rPr>
      <w:pict w14:anchorId="794291FB">
        <v:shapetype id="_x0000_t202" coordsize="21600,21600" o:spt="202" path="m,l,21600r21600,l21600,xe">
          <v:stroke joinstyle="miter"/>
          <v:path gradientshapeok="t" o:connecttype="rect"/>
        </v:shapetype>
        <v:shape id="_x0000_s1041" type="#_x0000_t202" style="position:absolute;margin-left:56.4pt;margin-top:594.5pt;width:20.8pt;height:12.55pt;z-index:-447040;mso-position-horizontal-relative:page;mso-position-vertical-relative:page" filled="f" stroked="f">
          <v:textbox inset="0,0,0,0">
            <w:txbxContent>
              <w:p w14:paraId="5FAA97DD" w14:textId="77777777" w:rsidR="001008C3" w:rsidRDefault="001008C3">
                <w:pPr>
                  <w:spacing w:before="19"/>
                  <w:ind w:left="20"/>
                  <w:rPr>
                    <w:sz w:val="18"/>
                  </w:rPr>
                </w:pPr>
                <w:r>
                  <w:rPr>
                    <w:color w:val="231F20"/>
                    <w:sz w:val="18"/>
                  </w:rPr>
                  <w:t xml:space="preserve">660 </w:t>
                </w:r>
              </w:p>
            </w:txbxContent>
          </v:textbox>
          <w10:wrap anchorx="page" anchory="page"/>
        </v:shape>
      </w:pict>
    </w:r>
    <w:r>
      <w:rPr>
        <w:noProof w:val="0"/>
      </w:rPr>
      <w:pict w14:anchorId="09E73C61">
        <v:shape id="_x0000_s1040" type="#_x0000_t202" style="position:absolute;margin-left:293.35pt;margin-top:594.5pt;width:73.3pt;height:12.55pt;z-index:-447016;mso-position-horizontal-relative:page;mso-position-vertical-relative:page" filled="f" stroked="f">
          <v:textbox inset="0,0,0,0">
            <w:txbxContent>
              <w:p w14:paraId="08645D3F" w14:textId="77777777" w:rsidR="001008C3" w:rsidRDefault="001008C3">
                <w:pPr>
                  <w:spacing w:before="19"/>
                  <w:ind w:left="20"/>
                  <w:rPr>
                    <w:sz w:val="18"/>
                  </w:rPr>
                </w:pPr>
                <w:r>
                  <w:rPr>
                    <w:color w:val="231F20"/>
                    <w:w w:val="101"/>
                    <w:sz w:val="18"/>
                  </w:rPr>
                  <w:t>b</w:t>
                </w:r>
                <w:r>
                  <w:rPr>
                    <w:color w:val="231F20"/>
                    <w:spacing w:val="-15"/>
                    <w:sz w:val="18"/>
                  </w:rPr>
                  <w:t xml:space="preserve"> </w:t>
                </w:r>
                <w:r>
                  <w:rPr>
                    <w:color w:val="231F20"/>
                    <w:spacing w:val="25"/>
                    <w:w w:val="119"/>
                    <w:sz w:val="18"/>
                  </w:rPr>
                  <w:t>i</w:t>
                </w:r>
                <w:r>
                  <w:rPr>
                    <w:color w:val="231F20"/>
                    <w:w w:val="101"/>
                    <w:sz w:val="18"/>
                  </w:rPr>
                  <w:t>b</w:t>
                </w:r>
                <w:r>
                  <w:rPr>
                    <w:color w:val="231F20"/>
                    <w:spacing w:val="-15"/>
                    <w:sz w:val="18"/>
                  </w:rPr>
                  <w:t xml:space="preserve"> </w:t>
                </w:r>
                <w:r>
                  <w:rPr>
                    <w:color w:val="231F20"/>
                    <w:spacing w:val="25"/>
                    <w:w w:val="184"/>
                    <w:sz w:val="18"/>
                  </w:rPr>
                  <w:t>l</w:t>
                </w:r>
                <w:r>
                  <w:rPr>
                    <w:color w:val="231F20"/>
                    <w:spacing w:val="25"/>
                    <w:w w:val="119"/>
                    <w:sz w:val="18"/>
                  </w:rPr>
                  <w:t>i</w:t>
                </w:r>
                <w:r>
                  <w:rPr>
                    <w:color w:val="231F20"/>
                    <w:spacing w:val="25"/>
                    <w:w w:val="125"/>
                    <w:sz w:val="18"/>
                  </w:rPr>
                  <w:t>o</w:t>
                </w:r>
                <w:r>
                  <w:rPr>
                    <w:color w:val="231F20"/>
                    <w:spacing w:val="25"/>
                    <w:w w:val="123"/>
                    <w:sz w:val="18"/>
                  </w:rPr>
                  <w:t>g</w:t>
                </w:r>
                <w:r>
                  <w:rPr>
                    <w:color w:val="231F20"/>
                    <w:spacing w:val="25"/>
                    <w:w w:val="134"/>
                    <w:sz w:val="18"/>
                  </w:rPr>
                  <w:t>r</w:t>
                </w:r>
                <w:r>
                  <w:rPr>
                    <w:color w:val="231F20"/>
                    <w:spacing w:val="25"/>
                    <w:w w:val="113"/>
                    <w:sz w:val="18"/>
                  </w:rPr>
                  <w:t>a</w:t>
                </w:r>
                <w:r>
                  <w:rPr>
                    <w:color w:val="231F20"/>
                    <w:w w:val="89"/>
                    <w:sz w:val="18"/>
                  </w:rPr>
                  <w:t>p</w:t>
                </w:r>
                <w:r>
                  <w:rPr>
                    <w:color w:val="231F20"/>
                    <w:spacing w:val="-15"/>
                    <w:sz w:val="18"/>
                  </w:rPr>
                  <w:t xml:space="preserve"> </w:t>
                </w:r>
                <w:r>
                  <w:rPr>
                    <w:color w:val="231F20"/>
                    <w:spacing w:val="25"/>
                    <w:w w:val="120"/>
                    <w:sz w:val="18"/>
                  </w:rPr>
                  <w:t>h</w:t>
                </w:r>
                <w:r>
                  <w:rPr>
                    <w:color w:val="231F20"/>
                    <w:w w:val="110"/>
                    <w:sz w:val="18"/>
                  </w:rPr>
                  <w:t>y</w:t>
                </w:r>
              </w:p>
            </w:txbxContent>
          </v:textbox>
          <w10:wrap anchorx="page" anchory="page"/>
        </v:shape>
      </w:pict>
    </w:r>
  </w:p>
</w:ftr>
</file>

<file path=word/footer4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8F73D" w14:textId="77777777" w:rsidR="001008C3" w:rsidRDefault="00000000">
    <w:pPr>
      <w:pStyle w:val="a3"/>
      <w:spacing w:line="14" w:lineRule="auto"/>
    </w:pPr>
    <w:r>
      <w:rPr>
        <w:noProof w:val="0"/>
      </w:rPr>
      <w:pict w14:anchorId="070401D3">
        <v:shapetype id="_x0000_t202" coordsize="21600,21600" o:spt="202" path="m,l,21600r21600,l21600,xe">
          <v:stroke joinstyle="miter"/>
          <v:path gradientshapeok="t" o:connecttype="rect"/>
        </v:shapetype>
        <v:shape id="_x0000_s1038" type="#_x0000_t202" style="position:absolute;margin-left:55.4pt;margin-top:594.7pt;width:22.8pt;height:12.55pt;z-index:-446968;mso-position-horizontal-relative:page;mso-position-vertical-relative:page" filled="f" stroked="f">
          <v:textbox inset="0,0,0,0">
            <w:txbxContent>
              <w:p w14:paraId="4B58F876"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662</w:t>
                </w:r>
                <w:r>
                  <w:fldChar w:fldCharType="end"/>
                </w:r>
                <w:r>
                  <w:rPr>
                    <w:color w:val="231F20"/>
                    <w:sz w:val="18"/>
                  </w:rPr>
                  <w:t xml:space="preserve"> </w:t>
                </w:r>
              </w:p>
            </w:txbxContent>
          </v:textbox>
          <w10:wrap anchorx="page" anchory="page"/>
        </v:shape>
      </w:pict>
    </w:r>
  </w:p>
</w:ftr>
</file>

<file path=word/footer4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5D1BC" w14:textId="77777777" w:rsidR="001008C3" w:rsidRDefault="00000000">
    <w:pPr>
      <w:pStyle w:val="a3"/>
      <w:spacing w:line="14" w:lineRule="auto"/>
    </w:pPr>
    <w:r>
      <w:rPr>
        <w:noProof w:val="0"/>
      </w:rPr>
      <w:pict w14:anchorId="3FC6B20D">
        <v:shapetype id="_x0000_t202" coordsize="21600,21600" o:spt="202" path="m,l,21600r21600,l21600,xe">
          <v:stroke joinstyle="miter"/>
          <v:path gradientshapeok="t" o:connecttype="rect"/>
        </v:shapetype>
        <v:shape id="_x0000_s1037" type="#_x0000_t202" style="position:absolute;margin-left:355.1pt;margin-top:594.7pt;width:22.8pt;height:12.55pt;z-index:-446944;mso-position-horizontal-relative:page;mso-position-vertical-relative:page" filled="f" stroked="f">
          <v:textbox inset="0,0,0,0">
            <w:txbxContent>
              <w:p w14:paraId="5CDDD760"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663</w:t>
                </w:r>
                <w:r>
                  <w:fldChar w:fldCharType="end"/>
                </w:r>
                <w:r>
                  <w:rPr>
                    <w:color w:val="231F20"/>
                    <w:sz w:val="18"/>
                  </w:rPr>
                  <w:t xml:space="preserve"> </w:t>
                </w:r>
              </w:p>
            </w:txbxContent>
          </v:textbox>
          <w10:wrap anchorx="page" anchory="page"/>
        </v:shape>
      </w:pict>
    </w:r>
  </w:p>
</w:ftr>
</file>

<file path=word/footer4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98515" w14:textId="77777777" w:rsidR="001008C3" w:rsidRDefault="00000000">
    <w:pPr>
      <w:pStyle w:val="a3"/>
      <w:spacing w:line="14" w:lineRule="auto"/>
    </w:pPr>
    <w:r>
      <w:rPr>
        <w:noProof w:val="0"/>
      </w:rPr>
      <w:pict w14:anchorId="44A9719E">
        <v:shapetype id="_x0000_t202" coordsize="21600,21600" o:spt="202" path="m,l,21600r21600,l21600,xe">
          <v:stroke joinstyle="miter"/>
          <v:path gradientshapeok="t" o:connecttype="rect"/>
        </v:shapetype>
        <v:shape id="_x0000_s1035" type="#_x0000_t202" style="position:absolute;margin-left:356.1pt;margin-top:594.7pt;width:20.8pt;height:12.55pt;z-index:-446896;mso-position-horizontal-relative:page;mso-position-vertical-relative:page" filled="f" stroked="f">
          <v:textbox inset="0,0,0,0">
            <w:txbxContent>
              <w:p w14:paraId="19765DD0" w14:textId="77777777" w:rsidR="001008C3" w:rsidRDefault="001008C3">
                <w:pPr>
                  <w:spacing w:before="19"/>
                  <w:ind w:left="20"/>
                  <w:rPr>
                    <w:sz w:val="18"/>
                  </w:rPr>
                </w:pPr>
                <w:r>
                  <w:rPr>
                    <w:color w:val="231F20"/>
                    <w:sz w:val="18"/>
                  </w:rPr>
                  <w:t xml:space="preserve">671 </w:t>
                </w:r>
              </w:p>
            </w:txbxContent>
          </v:textbox>
          <w10:wrap anchorx="page" anchory="page"/>
        </v:shape>
      </w:pict>
    </w:r>
  </w:p>
</w:ftr>
</file>

<file path=word/footer4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3229" w14:textId="77777777" w:rsidR="001008C3" w:rsidRDefault="00000000">
    <w:pPr>
      <w:pStyle w:val="a3"/>
      <w:spacing w:line="14" w:lineRule="auto"/>
    </w:pPr>
    <w:r>
      <w:rPr>
        <w:noProof w:val="0"/>
      </w:rPr>
      <w:pict w14:anchorId="33788C85">
        <v:shapetype id="_x0000_t202" coordsize="21600,21600" o:spt="202" path="m,l,21600r21600,l21600,xe">
          <v:stroke joinstyle="miter"/>
          <v:path gradientshapeok="t" o:connecttype="rect"/>
        </v:shapetype>
        <v:shape id="_x0000_s1036" type="#_x0000_t202" style="position:absolute;margin-left:56.4pt;margin-top:594.7pt;width:20.8pt;height:12.55pt;z-index:-446920;mso-position-horizontal-relative:page;mso-position-vertical-relative:page" filled="f" stroked="f">
          <v:textbox inset="0,0,0,0">
            <w:txbxContent>
              <w:p w14:paraId="3FDBA2E0" w14:textId="77777777" w:rsidR="001008C3" w:rsidRDefault="001008C3">
                <w:pPr>
                  <w:spacing w:before="19"/>
                  <w:ind w:left="20"/>
                  <w:rPr>
                    <w:sz w:val="18"/>
                  </w:rPr>
                </w:pPr>
                <w:r>
                  <w:rPr>
                    <w:color w:val="231F20"/>
                    <w:sz w:val="18"/>
                  </w:rPr>
                  <w:t xml:space="preserve">670 </w:t>
                </w:r>
              </w:p>
            </w:txbxContent>
          </v:textbox>
          <w10:wrap anchorx="page" anchory="page"/>
        </v:shape>
      </w:pict>
    </w:r>
  </w:p>
</w:ftr>
</file>

<file path=word/footer4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76B04" w14:textId="77777777" w:rsidR="001008C3" w:rsidRDefault="00000000">
    <w:pPr>
      <w:pStyle w:val="a3"/>
      <w:spacing w:line="14" w:lineRule="auto"/>
    </w:pPr>
    <w:r>
      <w:rPr>
        <w:noProof w:val="0"/>
      </w:rPr>
      <w:pict w14:anchorId="32B3A727">
        <v:shapetype id="_x0000_t202" coordsize="21600,21600" o:spt="202" path="m,l,21600r21600,l21600,xe">
          <v:stroke joinstyle="miter"/>
          <v:path gradientshapeok="t" o:connecttype="rect"/>
        </v:shapetype>
        <v:shape id="_x0000_s1034" type="#_x0000_t202" style="position:absolute;margin-left:55.4pt;margin-top:594.7pt;width:22.8pt;height:12.55pt;z-index:-446872;mso-position-horizontal-relative:page;mso-position-vertical-relative:page" filled="f" stroked="f">
          <v:textbox inset="0,0,0,0">
            <w:txbxContent>
              <w:p w14:paraId="068424CB"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672</w:t>
                </w:r>
                <w:r>
                  <w:fldChar w:fldCharType="end"/>
                </w:r>
                <w:r>
                  <w:rPr>
                    <w:color w:val="231F20"/>
                    <w:sz w:val="18"/>
                  </w:rPr>
                  <w:t xml:space="preserve"> </w:t>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1245F" w14:textId="77777777" w:rsidR="001008C3" w:rsidRDefault="00000000">
    <w:pPr>
      <w:pStyle w:val="a3"/>
      <w:spacing w:line="14" w:lineRule="auto"/>
    </w:pPr>
    <w:r>
      <w:rPr>
        <w:noProof w:val="0"/>
      </w:rPr>
      <w:pict w14:anchorId="4791EA3B">
        <v:shapetype id="_x0000_t202" coordsize="21600,21600" o:spt="202" path="m,l,21600r21600,l21600,xe">
          <v:stroke joinstyle="miter"/>
          <v:path gradientshapeok="t" o:connecttype="rect"/>
        </v:shapetype>
        <v:shape id="_x0000_s1670" type="#_x0000_t202" style="position:absolute;margin-left:55.4pt;margin-top:594.5pt;width:16.55pt;height:12.55pt;z-index:-462136;mso-position-horizontal-relative:page;mso-position-vertical-relative:page" filled="f" stroked="f">
          <v:textbox inset="0,0,0,0">
            <w:txbxContent>
              <w:p w14:paraId="78ED3772"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80</w:t>
                </w:r>
                <w:r>
                  <w:fldChar w:fldCharType="end"/>
                </w:r>
                <w:r>
                  <w:rPr>
                    <w:color w:val="231F20"/>
                    <w:sz w:val="18"/>
                  </w:rPr>
                  <w:t xml:space="preserve"> </w:t>
                </w:r>
              </w:p>
            </w:txbxContent>
          </v:textbox>
          <w10:wrap anchorx="page" anchory="page"/>
        </v:shape>
      </w:pict>
    </w:r>
    <w:r>
      <w:rPr>
        <w:noProof w:val="0"/>
      </w:rPr>
      <w:pict w14:anchorId="43D3B811">
        <v:shape id="_x0000_s1669" type="#_x0000_t202" style="position:absolute;margin-left:243pt;margin-top:594.5pt;width:124.6pt;height:12.55pt;z-index:-462112;mso-position-horizontal-relative:page;mso-position-vertical-relative:page" filled="f" stroked="f">
          <v:textbox inset="0,0,0,0">
            <w:txbxContent>
              <w:p w14:paraId="06175116" w14:textId="77777777" w:rsidR="001008C3" w:rsidRDefault="001008C3">
                <w:pPr>
                  <w:tabs>
                    <w:tab w:val="left" w:pos="2242"/>
                  </w:tabs>
                  <w:spacing w:before="19"/>
                  <w:ind w:left="20"/>
                  <w:rPr>
                    <w:sz w:val="14"/>
                  </w:rPr>
                </w:pPr>
                <w:r>
                  <w:rPr>
                    <w:color w:val="231F20"/>
                    <w:spacing w:val="20"/>
                    <w:w w:val="110"/>
                    <w:sz w:val="18"/>
                  </w:rPr>
                  <w:t xml:space="preserve">taking  </w:t>
                </w:r>
                <w:r>
                  <w:rPr>
                    <w:color w:val="231F20"/>
                    <w:spacing w:val="11"/>
                    <w:w w:val="110"/>
                    <w:sz w:val="18"/>
                  </w:rPr>
                  <w:t xml:space="preserve">up </w:t>
                </w:r>
                <w:r>
                  <w:rPr>
                    <w:color w:val="231F20"/>
                    <w:spacing w:val="33"/>
                    <w:w w:val="110"/>
                    <w:sz w:val="18"/>
                  </w:rPr>
                  <w:t xml:space="preserve"> </w:t>
                </w:r>
                <w:r>
                  <w:rPr>
                    <w:color w:val="231F20"/>
                    <w:spacing w:val="15"/>
                    <w:w w:val="110"/>
                    <w:sz w:val="18"/>
                  </w:rPr>
                  <w:t xml:space="preserve">the </w:t>
                </w:r>
                <w:r>
                  <w:rPr>
                    <w:color w:val="231F20"/>
                    <w:spacing w:val="28"/>
                    <w:w w:val="110"/>
                    <w:sz w:val="18"/>
                  </w:rPr>
                  <w:t xml:space="preserve"> </w:t>
                </w:r>
                <w:r>
                  <w:rPr>
                    <w:color w:val="231F20"/>
                    <w:spacing w:val="15"/>
                    <w:w w:val="110"/>
                    <w:sz w:val="18"/>
                  </w:rPr>
                  <w:t>gun</w:t>
                </w:r>
                <w:r>
                  <w:rPr>
                    <w:color w:val="231F20"/>
                    <w:spacing w:val="15"/>
                    <w:w w:val="110"/>
                    <w:sz w:val="18"/>
                  </w:rPr>
                  <w:tab/>
                </w:r>
                <w:r>
                  <w:rPr>
                    <w:color w:val="231F20"/>
                    <w:spacing w:val="11"/>
                    <w:w w:val="105"/>
                    <w:sz w:val="14"/>
                  </w:rPr>
                  <w:t>(3)</w:t>
                </w:r>
                <w:r>
                  <w:rPr>
                    <w:color w:val="231F20"/>
                    <w:spacing w:val="-12"/>
                    <w:sz w:val="14"/>
                  </w:rPr>
                  <w:t xml:space="preserve"> </w:t>
                </w:r>
              </w:p>
            </w:txbxContent>
          </v:textbox>
          <w10:wrap anchorx="page" anchory="page"/>
        </v:shape>
      </w:pict>
    </w:r>
  </w:p>
</w:ftr>
</file>

<file path=word/footer4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78F3D" w14:textId="77777777" w:rsidR="001008C3" w:rsidRDefault="00000000">
    <w:pPr>
      <w:pStyle w:val="a3"/>
      <w:spacing w:line="14" w:lineRule="auto"/>
    </w:pPr>
    <w:r>
      <w:rPr>
        <w:noProof w:val="0"/>
      </w:rPr>
      <w:pict w14:anchorId="31205F08">
        <v:shapetype id="_x0000_t202" coordsize="21600,21600" o:spt="202" path="m,l,21600r21600,l21600,xe">
          <v:stroke joinstyle="miter"/>
          <v:path gradientshapeok="t" o:connecttype="rect"/>
        </v:shapetype>
        <v:shape id="_x0000_s1033" type="#_x0000_t202" style="position:absolute;margin-left:355.1pt;margin-top:594.7pt;width:22.8pt;height:12.55pt;z-index:-446848;mso-position-horizontal-relative:page;mso-position-vertical-relative:page" filled="f" stroked="f">
          <v:textbox inset="0,0,0,0">
            <w:txbxContent>
              <w:p w14:paraId="6B20872F"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673</w:t>
                </w:r>
                <w:r>
                  <w:fldChar w:fldCharType="end"/>
                </w:r>
                <w:r>
                  <w:rPr>
                    <w:color w:val="231F20"/>
                    <w:sz w:val="18"/>
                  </w:rPr>
                  <w:t xml:space="preserve"> </w:t>
                </w:r>
              </w:p>
            </w:txbxContent>
          </v:textbox>
          <w10:wrap anchorx="page" anchory="page"/>
        </v:shape>
      </w:pict>
    </w:r>
  </w:p>
</w:ftr>
</file>

<file path=word/footer4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199A4" w14:textId="77777777" w:rsidR="001008C3" w:rsidRDefault="00000000">
    <w:pPr>
      <w:pStyle w:val="a3"/>
      <w:spacing w:line="14" w:lineRule="auto"/>
    </w:pPr>
    <w:r>
      <w:rPr>
        <w:noProof w:val="0"/>
      </w:rPr>
      <w:pict w14:anchorId="41EA83E8">
        <v:shapetype id="_x0000_t202" coordsize="21600,21600" o:spt="202" path="m,l,21600r21600,l21600,xe">
          <v:stroke joinstyle="miter"/>
          <v:path gradientshapeok="t" o:connecttype="rect"/>
        </v:shapetype>
        <v:shape id="_x0000_s1031" type="#_x0000_t202" style="position:absolute;margin-left:356.1pt;margin-top:594.7pt;width:20.8pt;height:12.55pt;z-index:-446800;mso-position-horizontal-relative:page;mso-position-vertical-relative:page" filled="f" stroked="f">
          <v:textbox inset="0,0,0,0">
            <w:txbxContent>
              <w:p w14:paraId="41BE0FFE" w14:textId="77777777" w:rsidR="001008C3" w:rsidRDefault="001008C3">
                <w:pPr>
                  <w:spacing w:before="19"/>
                  <w:ind w:left="20"/>
                  <w:rPr>
                    <w:sz w:val="18"/>
                  </w:rPr>
                </w:pPr>
                <w:r>
                  <w:rPr>
                    <w:color w:val="231F20"/>
                    <w:sz w:val="18"/>
                  </w:rPr>
                  <w:t xml:space="preserve">681 </w:t>
                </w:r>
              </w:p>
            </w:txbxContent>
          </v:textbox>
          <w10:wrap anchorx="page" anchory="page"/>
        </v:shape>
      </w:pict>
    </w:r>
  </w:p>
</w:ftr>
</file>

<file path=word/footer4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11438" w14:textId="77777777" w:rsidR="001008C3" w:rsidRDefault="00000000">
    <w:pPr>
      <w:pStyle w:val="a3"/>
      <w:spacing w:line="14" w:lineRule="auto"/>
    </w:pPr>
    <w:r>
      <w:rPr>
        <w:noProof w:val="0"/>
      </w:rPr>
      <w:pict w14:anchorId="5CD3387E">
        <v:shapetype id="_x0000_t202" coordsize="21600,21600" o:spt="202" path="m,l,21600r21600,l21600,xe">
          <v:stroke joinstyle="miter"/>
          <v:path gradientshapeok="t" o:connecttype="rect"/>
        </v:shapetype>
        <v:shape id="_x0000_s1032" type="#_x0000_t202" style="position:absolute;margin-left:56.4pt;margin-top:594.7pt;width:20.8pt;height:12.55pt;z-index:-446824;mso-position-horizontal-relative:page;mso-position-vertical-relative:page" filled="f" stroked="f">
          <v:textbox inset="0,0,0,0">
            <w:txbxContent>
              <w:p w14:paraId="2A76A045" w14:textId="77777777" w:rsidR="001008C3" w:rsidRDefault="001008C3">
                <w:pPr>
                  <w:spacing w:before="19"/>
                  <w:ind w:left="20"/>
                  <w:rPr>
                    <w:sz w:val="18"/>
                  </w:rPr>
                </w:pPr>
                <w:r>
                  <w:rPr>
                    <w:color w:val="231F20"/>
                    <w:sz w:val="18"/>
                  </w:rPr>
                  <w:t xml:space="preserve">680 </w:t>
                </w:r>
              </w:p>
            </w:txbxContent>
          </v:textbox>
          <w10:wrap anchorx="page" anchory="page"/>
        </v:shape>
      </w:pict>
    </w:r>
  </w:p>
</w:ftr>
</file>

<file path=word/footer4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C4E8E" w14:textId="77777777" w:rsidR="001008C3" w:rsidRDefault="00000000">
    <w:pPr>
      <w:pStyle w:val="a3"/>
      <w:spacing w:line="14" w:lineRule="auto"/>
    </w:pPr>
    <w:r>
      <w:rPr>
        <w:noProof w:val="0"/>
      </w:rPr>
      <w:pict w14:anchorId="2E2B121E">
        <v:shapetype id="_x0000_t202" coordsize="21600,21600" o:spt="202" path="m,l,21600r21600,l21600,xe">
          <v:stroke joinstyle="miter"/>
          <v:path gradientshapeok="t" o:connecttype="rect"/>
        </v:shapetype>
        <v:shape id="_x0000_s1030" type="#_x0000_t202" style="position:absolute;margin-left:55.4pt;margin-top:594.7pt;width:22.8pt;height:12.55pt;z-index:-446776;mso-position-horizontal-relative:page;mso-position-vertical-relative:page" filled="f" stroked="f">
          <v:textbox inset="0,0,0,0">
            <w:txbxContent>
              <w:p w14:paraId="2E1110B0"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682</w:t>
                </w:r>
                <w:r>
                  <w:fldChar w:fldCharType="end"/>
                </w:r>
                <w:r>
                  <w:rPr>
                    <w:color w:val="231F20"/>
                    <w:sz w:val="18"/>
                  </w:rPr>
                  <w:t xml:space="preserve"> </w:t>
                </w:r>
              </w:p>
            </w:txbxContent>
          </v:textbox>
          <w10:wrap anchorx="page" anchory="page"/>
        </v:shape>
      </w:pict>
    </w:r>
  </w:p>
</w:ftr>
</file>

<file path=word/footer4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DC4D8" w14:textId="77777777" w:rsidR="001008C3" w:rsidRDefault="00000000">
    <w:pPr>
      <w:pStyle w:val="a3"/>
      <w:spacing w:line="14" w:lineRule="auto"/>
    </w:pPr>
    <w:r>
      <w:rPr>
        <w:noProof w:val="0"/>
      </w:rPr>
      <w:pict w14:anchorId="4562C24B">
        <v:shapetype id="_x0000_t202" coordsize="21600,21600" o:spt="202" path="m,l,21600r21600,l21600,xe">
          <v:stroke joinstyle="miter"/>
          <v:path gradientshapeok="t" o:connecttype="rect"/>
        </v:shapetype>
        <v:shape id="_x0000_s1029" type="#_x0000_t202" style="position:absolute;margin-left:355.1pt;margin-top:594.7pt;width:22.8pt;height:12.55pt;z-index:-446752;mso-position-horizontal-relative:page;mso-position-vertical-relative:page" filled="f" stroked="f">
          <v:textbox inset="0,0,0,0">
            <w:txbxContent>
              <w:p w14:paraId="7E890F4C"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683</w:t>
                </w:r>
                <w:r>
                  <w:fldChar w:fldCharType="end"/>
                </w:r>
                <w:r>
                  <w:rPr>
                    <w:color w:val="231F20"/>
                    <w:sz w:val="18"/>
                  </w:rPr>
                  <w:t xml:space="preserve"> </w:t>
                </w:r>
              </w:p>
            </w:txbxContent>
          </v:textbox>
          <w10:wrap anchorx="page" anchory="page"/>
        </v:shape>
      </w:pict>
    </w:r>
  </w:p>
</w:ftr>
</file>

<file path=word/footer4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2890B" w14:textId="77777777" w:rsidR="001008C3" w:rsidRDefault="00000000">
    <w:pPr>
      <w:pStyle w:val="a3"/>
      <w:spacing w:line="14" w:lineRule="auto"/>
    </w:pPr>
    <w:r>
      <w:rPr>
        <w:noProof w:val="0"/>
      </w:rPr>
      <w:pict w14:anchorId="78C49654">
        <v:shapetype id="_x0000_t202" coordsize="21600,21600" o:spt="202" path="m,l,21600r21600,l21600,xe">
          <v:stroke joinstyle="miter"/>
          <v:path gradientshapeok="t" o:connecttype="rect"/>
        </v:shapetype>
        <v:shape id="_x0000_s1027" type="#_x0000_t202" style="position:absolute;margin-left:356.1pt;margin-top:594.7pt;width:20.8pt;height:12.55pt;z-index:-446704;mso-position-horizontal-relative:page;mso-position-vertical-relative:page" filled="f" stroked="f">
          <v:textbox inset="0,0,0,0">
            <w:txbxContent>
              <w:p w14:paraId="4DDC8A8D" w14:textId="77777777" w:rsidR="001008C3" w:rsidRDefault="001008C3">
                <w:pPr>
                  <w:spacing w:before="19"/>
                  <w:ind w:left="20"/>
                  <w:rPr>
                    <w:sz w:val="18"/>
                  </w:rPr>
                </w:pPr>
                <w:r>
                  <w:rPr>
                    <w:color w:val="231F20"/>
                    <w:sz w:val="18"/>
                  </w:rPr>
                  <w:t xml:space="preserve">691 </w:t>
                </w:r>
              </w:p>
            </w:txbxContent>
          </v:textbox>
          <w10:wrap anchorx="page" anchory="page"/>
        </v:shape>
      </w:pict>
    </w:r>
  </w:p>
</w:ftr>
</file>

<file path=word/footer4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8B57A" w14:textId="77777777" w:rsidR="001008C3" w:rsidRDefault="00000000">
    <w:pPr>
      <w:pStyle w:val="a3"/>
      <w:spacing w:line="14" w:lineRule="auto"/>
    </w:pPr>
    <w:r>
      <w:rPr>
        <w:noProof w:val="0"/>
      </w:rPr>
      <w:pict w14:anchorId="28C8019D">
        <v:shapetype id="_x0000_t202" coordsize="21600,21600" o:spt="202" path="m,l,21600r21600,l21600,xe">
          <v:stroke joinstyle="miter"/>
          <v:path gradientshapeok="t" o:connecttype="rect"/>
        </v:shapetype>
        <v:shape id="_x0000_s1028" type="#_x0000_t202" style="position:absolute;margin-left:56.4pt;margin-top:594.7pt;width:20.8pt;height:12.55pt;z-index:-446728;mso-position-horizontal-relative:page;mso-position-vertical-relative:page" filled="f" stroked="f">
          <v:textbox inset="0,0,0,0">
            <w:txbxContent>
              <w:p w14:paraId="6C7737B0" w14:textId="77777777" w:rsidR="001008C3" w:rsidRDefault="001008C3">
                <w:pPr>
                  <w:spacing w:before="19"/>
                  <w:ind w:left="20"/>
                  <w:rPr>
                    <w:sz w:val="18"/>
                  </w:rPr>
                </w:pPr>
                <w:r>
                  <w:rPr>
                    <w:color w:val="231F20"/>
                    <w:sz w:val="18"/>
                  </w:rPr>
                  <w:t xml:space="preserve">690 </w:t>
                </w:r>
              </w:p>
            </w:txbxContent>
          </v:textbox>
          <w10:wrap anchorx="page" anchory="page"/>
        </v:shape>
      </w:pict>
    </w:r>
  </w:p>
</w:ftr>
</file>

<file path=word/footer4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076D3" w14:textId="77777777" w:rsidR="001008C3" w:rsidRDefault="00000000">
    <w:pPr>
      <w:pStyle w:val="a3"/>
      <w:spacing w:line="14" w:lineRule="auto"/>
    </w:pPr>
    <w:r>
      <w:rPr>
        <w:noProof w:val="0"/>
      </w:rPr>
      <w:pict w14:anchorId="1BF2A97F">
        <v:shapetype id="_x0000_t202" coordsize="21600,21600" o:spt="202" path="m,l,21600r21600,l21600,xe">
          <v:stroke joinstyle="miter"/>
          <v:path gradientshapeok="t" o:connecttype="rect"/>
        </v:shapetype>
        <v:shape id="_x0000_s1025" type="#_x0000_t202" style="position:absolute;margin-left:356.1pt;margin-top:594.7pt;width:20.8pt;height:12.55pt;z-index:-446656;mso-position-horizontal-relative:page;mso-position-vertical-relative:page" filled="f" stroked="f">
          <v:textbox inset="0,0,0,0">
            <w:txbxContent>
              <w:p w14:paraId="05039AC8" w14:textId="77777777" w:rsidR="001008C3" w:rsidRDefault="001008C3">
                <w:pPr>
                  <w:spacing w:before="19"/>
                  <w:ind w:left="20"/>
                  <w:rPr>
                    <w:sz w:val="18"/>
                  </w:rPr>
                </w:pPr>
                <w:r>
                  <w:rPr>
                    <w:color w:val="231F20"/>
                    <w:sz w:val="18"/>
                  </w:rPr>
                  <w:t xml:space="preserve">693 </w:t>
                </w:r>
              </w:p>
            </w:txbxContent>
          </v:textbox>
          <w10:wrap anchorx="page" anchory="page"/>
        </v:shape>
      </w:pict>
    </w:r>
  </w:p>
</w:ftr>
</file>

<file path=word/footer4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AC2B9" w14:textId="77777777" w:rsidR="001008C3" w:rsidRDefault="00000000">
    <w:pPr>
      <w:pStyle w:val="a3"/>
      <w:spacing w:line="14" w:lineRule="auto"/>
    </w:pPr>
    <w:r>
      <w:rPr>
        <w:noProof w:val="0"/>
      </w:rPr>
      <w:pict w14:anchorId="475D2F39">
        <v:shapetype id="_x0000_t202" coordsize="21600,21600" o:spt="202" path="m,l,21600r21600,l21600,xe">
          <v:stroke joinstyle="miter"/>
          <v:path gradientshapeok="t" o:connecttype="rect"/>
        </v:shapetype>
        <v:shape id="_x0000_s1026" type="#_x0000_t202" style="position:absolute;margin-left:56.4pt;margin-top:594.7pt;width:20.8pt;height:12.55pt;z-index:-446680;mso-position-horizontal-relative:page;mso-position-vertical-relative:page" filled="f" stroked="f">
          <v:textbox inset="0,0,0,0">
            <w:txbxContent>
              <w:p w14:paraId="4B2ACC58" w14:textId="77777777" w:rsidR="001008C3" w:rsidRDefault="001008C3">
                <w:pPr>
                  <w:spacing w:before="19"/>
                  <w:ind w:left="20"/>
                  <w:rPr>
                    <w:sz w:val="18"/>
                  </w:rPr>
                </w:pPr>
                <w:r>
                  <w:rPr>
                    <w:color w:val="231F20"/>
                    <w:sz w:val="18"/>
                  </w:rPr>
                  <w:t xml:space="preserve">692 </w:t>
                </w:r>
              </w:p>
            </w:txbxContent>
          </v:textbox>
          <w10:wrap anchorx="page" anchory="page"/>
        </v:shape>
      </w:pict>
    </w:r>
  </w:p>
</w:ftr>
</file>

<file path=word/footer4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EFECF" w14:textId="77777777" w:rsidR="001008C3" w:rsidRDefault="001008C3">
    <w:pPr>
      <w:pStyle w:val="a3"/>
      <w:spacing w:line="14"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D25A2" w14:textId="77777777" w:rsidR="001008C3" w:rsidRDefault="00000000">
    <w:pPr>
      <w:pStyle w:val="a3"/>
      <w:spacing w:line="14" w:lineRule="auto"/>
    </w:pPr>
    <w:r>
      <w:rPr>
        <w:noProof w:val="0"/>
      </w:rPr>
      <w:pict w14:anchorId="2C494DD4">
        <v:shapetype id="_x0000_t202" coordsize="21600,21600" o:spt="202" path="m,l,21600r21600,l21600,xe">
          <v:stroke joinstyle="miter"/>
          <v:path gradientshapeok="t" o:connecttype="rect"/>
        </v:shapetype>
        <v:shape id="_x0000_s1668" type="#_x0000_t202" style="position:absolute;margin-left:65.4pt;margin-top:594.5pt;width:179.35pt;height:12.55pt;z-index:-462088;mso-position-horizontal-relative:page;mso-position-vertical-relative:page" filled="f" stroked="f">
          <v:textbox inset="0,0,0,0">
            <w:txbxContent>
              <w:p w14:paraId="3F45995C" w14:textId="77777777" w:rsidR="001008C3" w:rsidRDefault="001008C3">
                <w:pPr>
                  <w:spacing w:before="19"/>
                  <w:ind w:left="20"/>
                  <w:rPr>
                    <w:sz w:val="18"/>
                  </w:rPr>
                </w:pPr>
                <w:r>
                  <w:rPr>
                    <w:color w:val="231F20"/>
                    <w:w w:val="115"/>
                    <w:sz w:val="18"/>
                  </w:rPr>
                  <w:t>june 1970 • build the red army</w:t>
                </w:r>
                <w:r>
                  <w:rPr>
                    <w:color w:val="231F20"/>
                    <w:sz w:val="18"/>
                  </w:rPr>
                  <w:t xml:space="preserve"> </w:t>
                </w:r>
              </w:p>
            </w:txbxContent>
          </v:textbox>
          <w10:wrap anchorx="page" anchory="page"/>
        </v:shape>
      </w:pict>
    </w:r>
    <w:r>
      <w:rPr>
        <w:noProof w:val="0"/>
      </w:rPr>
      <w:pict w14:anchorId="133B75D7">
        <v:shape id="_x0000_s1667" type="#_x0000_t202" style="position:absolute;margin-left:361.35pt;margin-top:594.5pt;width:16.55pt;height:12.55pt;z-index:-462064;mso-position-horizontal-relative:page;mso-position-vertical-relative:page" filled="f" stroked="f">
          <v:textbox inset="0,0,0,0">
            <w:txbxContent>
              <w:p w14:paraId="1D45A2E3"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81</w:t>
                </w:r>
                <w:r>
                  <w:fldChar w:fldCharType="end"/>
                </w:r>
                <w:r>
                  <w:rPr>
                    <w:color w:val="231F20"/>
                    <w:sz w:val="18"/>
                  </w:rPr>
                  <w:t xml:space="preserve"> </w:t>
                </w:r>
              </w:p>
            </w:txbxContent>
          </v:textbox>
          <w10:wrap anchorx="page" anchory="page"/>
        </v:shape>
      </w:pict>
    </w:r>
  </w:p>
</w:ftr>
</file>

<file path=word/footer4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4DC2B" w14:textId="77777777" w:rsidR="001008C3" w:rsidRDefault="001008C3">
    <w:pPr>
      <w:pStyle w:val="a3"/>
      <w:spacing w:line="14" w:lineRule="auto"/>
      <w:rPr>
        <w:sz w:val="2"/>
      </w:rPr>
    </w:pPr>
  </w:p>
</w:ftr>
</file>

<file path=word/footer4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71C51" w14:textId="77777777" w:rsidR="001008C3" w:rsidRDefault="001008C3">
    <w:pPr>
      <w:pStyle w:val="a3"/>
      <w:spacing w:line="14" w:lineRule="auto"/>
      <w:rPr>
        <w:sz w:val="2"/>
      </w:rPr>
    </w:pPr>
  </w:p>
</w:ftr>
</file>

<file path=word/footer4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9BBDE" w14:textId="77777777" w:rsidR="001008C3" w:rsidRDefault="001008C3">
    <w:pPr>
      <w:pStyle w:val="a3"/>
      <w:spacing w:line="14" w:lineRule="auto"/>
      <w:rPr>
        <w:sz w:val="2"/>
      </w:rPr>
    </w:pPr>
  </w:p>
</w:ftr>
</file>

<file path=word/footer4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D0BF9" w14:textId="77777777" w:rsidR="001008C3" w:rsidRDefault="001008C3">
    <w:pPr>
      <w:pStyle w:val="a3"/>
      <w:spacing w:line="14" w:lineRule="auto"/>
      <w:rPr>
        <w:sz w:val="2"/>
      </w:rPr>
    </w:pPr>
  </w:p>
</w:ftr>
</file>

<file path=word/footer4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35BA1" w14:textId="77777777" w:rsidR="001008C3" w:rsidRDefault="001008C3">
    <w:pPr>
      <w:pStyle w:val="a3"/>
      <w:spacing w:line="14" w:lineRule="auto"/>
      <w:rPr>
        <w:sz w:val="2"/>
      </w:rPr>
    </w:pPr>
  </w:p>
</w:ftr>
</file>

<file path=word/footer4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0AA23" w14:textId="77777777" w:rsidR="001008C3" w:rsidRDefault="001008C3">
    <w:pPr>
      <w:pStyle w:val="a3"/>
      <w:spacing w:line="14" w:lineRule="auto"/>
      <w:rPr>
        <w:sz w:val="2"/>
      </w:rPr>
    </w:pPr>
  </w:p>
</w:ftr>
</file>

<file path=word/footer4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9D124" w14:textId="77777777" w:rsidR="001008C3" w:rsidRDefault="001008C3">
    <w:pPr>
      <w:pStyle w:val="a3"/>
      <w:spacing w:line="14" w:lineRule="auto"/>
      <w:rPr>
        <w:sz w:val="2"/>
      </w:rPr>
    </w:pPr>
  </w:p>
</w:ftr>
</file>

<file path=word/footer4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CD582" w14:textId="77777777" w:rsidR="001008C3" w:rsidRDefault="001008C3">
    <w:pPr>
      <w:pStyle w:val="a3"/>
      <w:spacing w:line="14" w:lineRule="auto"/>
      <w:rPr>
        <w:sz w:val="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16030" w14:textId="77777777" w:rsidR="001008C3" w:rsidRDefault="00000000">
    <w:pPr>
      <w:pStyle w:val="a3"/>
      <w:spacing w:line="14" w:lineRule="auto"/>
    </w:pPr>
    <w:r>
      <w:rPr>
        <w:noProof w:val="0"/>
      </w:rPr>
      <w:pict w14:anchorId="6B2478F1">
        <v:shapetype id="_x0000_t202" coordsize="21600,21600" o:spt="202" path="m,l,21600r21600,l21600,xe">
          <v:stroke joinstyle="miter"/>
          <v:path gradientshapeok="t" o:connecttype="rect"/>
        </v:shapetype>
        <v:shape id="_x0000_s1666" type="#_x0000_t202" style="position:absolute;margin-left:65.4pt;margin-top:594.5pt;width:230.45pt;height:12.55pt;z-index:-462040;mso-position-horizontal-relative:page;mso-position-vertical-relative:page" filled="f" stroked="f">
          <v:textbox inset="0,0,0,0">
            <w:txbxContent>
              <w:p w14:paraId="2E938576" w14:textId="77777777" w:rsidR="001008C3" w:rsidRDefault="001008C3">
                <w:pPr>
                  <w:spacing w:before="19"/>
                  <w:ind w:left="20"/>
                  <w:rPr>
                    <w:sz w:val="18"/>
                  </w:rPr>
                </w:pPr>
                <w:r>
                  <w:rPr>
                    <w:color w:val="231F20"/>
                    <w:w w:val="115"/>
                    <w:sz w:val="18"/>
                  </w:rPr>
                  <w:t>april 1971 • the urban guerilla concept</w:t>
                </w:r>
                <w:r>
                  <w:rPr>
                    <w:color w:val="231F20"/>
                    <w:sz w:val="18"/>
                  </w:rPr>
                  <w:t xml:space="preserve"> </w:t>
                </w:r>
              </w:p>
            </w:txbxContent>
          </v:textbox>
          <w10:wrap anchorx="page" anchory="page"/>
        </v:shape>
      </w:pict>
    </w:r>
    <w:r>
      <w:rPr>
        <w:noProof w:val="0"/>
      </w:rPr>
      <w:pict w14:anchorId="7140AC76">
        <v:shape id="_x0000_s1665" type="#_x0000_t202" style="position:absolute;margin-left:362.35pt;margin-top:594.5pt;width:14.55pt;height:12.55pt;z-index:-462016;mso-position-horizontal-relative:page;mso-position-vertical-relative:page" filled="f" stroked="f">
          <v:textbox inset="0,0,0,0">
            <w:txbxContent>
              <w:p w14:paraId="33EC80FF" w14:textId="77777777" w:rsidR="001008C3" w:rsidRDefault="001008C3">
                <w:pPr>
                  <w:spacing w:before="19"/>
                  <w:ind w:left="20"/>
                  <w:rPr>
                    <w:sz w:val="18"/>
                  </w:rPr>
                </w:pPr>
                <w:r>
                  <w:rPr>
                    <w:color w:val="231F20"/>
                    <w:sz w:val="18"/>
                  </w:rPr>
                  <w:t xml:space="preserve">83 </w:t>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9F390" w14:textId="77777777" w:rsidR="001008C3" w:rsidRDefault="00000000">
    <w:pPr>
      <w:pStyle w:val="a3"/>
      <w:spacing w:line="14" w:lineRule="auto"/>
    </w:pPr>
    <w:r>
      <w:rPr>
        <w:noProof w:val="0"/>
      </w:rPr>
      <w:pict w14:anchorId="59250EE5">
        <v:shapetype id="_x0000_t202" coordsize="21600,21600" o:spt="202" path="m,l,21600r21600,l21600,xe">
          <v:stroke joinstyle="miter"/>
          <v:path gradientshapeok="t" o:connecttype="rect"/>
        </v:shapetype>
        <v:shape id="_x0000_s1664" type="#_x0000_t202" style="position:absolute;margin-left:55.4pt;margin-top:594.5pt;width:16.55pt;height:12.55pt;z-index:-461992;mso-position-horizontal-relative:page;mso-position-vertical-relative:page" filled="f" stroked="f">
          <v:textbox inset="0,0,0,0">
            <w:txbxContent>
              <w:p w14:paraId="6D3A0CA6" w14:textId="77777777" w:rsidR="001008C3" w:rsidRDefault="001008C3">
                <w:pPr>
                  <w:spacing w:before="19"/>
                  <w:ind w:left="40"/>
                  <w:rPr>
                    <w:sz w:val="18"/>
                  </w:rPr>
                </w:pPr>
                <w:r>
                  <w:rPr>
                    <w:color w:val="231F20"/>
                    <w:sz w:val="18"/>
                  </w:rPr>
                  <w:t xml:space="preserve">84 </w:t>
                </w:r>
              </w:p>
            </w:txbxContent>
          </v:textbox>
          <w10:wrap anchorx="page" anchory="page"/>
        </v:shape>
      </w:pict>
    </w:r>
    <w:r>
      <w:rPr>
        <w:noProof w:val="0"/>
      </w:rPr>
      <w:pict w14:anchorId="7DB953E9">
        <v:shape id="_x0000_s1663" type="#_x0000_t202" style="position:absolute;margin-left:243pt;margin-top:594.5pt;width:124.6pt;height:12.55pt;z-index:-461968;mso-position-horizontal-relative:page;mso-position-vertical-relative:page" filled="f" stroked="f">
          <v:textbox inset="0,0,0,0">
            <w:txbxContent>
              <w:p w14:paraId="274A67B8" w14:textId="77777777" w:rsidR="001008C3" w:rsidRDefault="001008C3">
                <w:pPr>
                  <w:tabs>
                    <w:tab w:val="left" w:pos="2242"/>
                  </w:tabs>
                  <w:spacing w:before="19"/>
                  <w:ind w:left="20"/>
                  <w:rPr>
                    <w:sz w:val="14"/>
                  </w:rPr>
                </w:pPr>
                <w:r>
                  <w:rPr>
                    <w:color w:val="231F20"/>
                    <w:spacing w:val="20"/>
                    <w:w w:val="110"/>
                    <w:sz w:val="18"/>
                  </w:rPr>
                  <w:t xml:space="preserve">taking  </w:t>
                </w:r>
                <w:r>
                  <w:rPr>
                    <w:color w:val="231F20"/>
                    <w:spacing w:val="11"/>
                    <w:w w:val="110"/>
                    <w:sz w:val="18"/>
                  </w:rPr>
                  <w:t xml:space="preserve">up </w:t>
                </w:r>
                <w:r>
                  <w:rPr>
                    <w:color w:val="231F20"/>
                    <w:spacing w:val="33"/>
                    <w:w w:val="110"/>
                    <w:sz w:val="18"/>
                  </w:rPr>
                  <w:t xml:space="preserve"> </w:t>
                </w:r>
                <w:r>
                  <w:rPr>
                    <w:color w:val="231F20"/>
                    <w:spacing w:val="15"/>
                    <w:w w:val="110"/>
                    <w:sz w:val="18"/>
                  </w:rPr>
                  <w:t xml:space="preserve">the </w:t>
                </w:r>
                <w:r>
                  <w:rPr>
                    <w:color w:val="231F20"/>
                    <w:spacing w:val="28"/>
                    <w:w w:val="110"/>
                    <w:sz w:val="18"/>
                  </w:rPr>
                  <w:t xml:space="preserve"> </w:t>
                </w:r>
                <w:r>
                  <w:rPr>
                    <w:color w:val="231F20"/>
                    <w:spacing w:val="15"/>
                    <w:w w:val="110"/>
                    <w:sz w:val="18"/>
                  </w:rPr>
                  <w:t>gun</w:t>
                </w:r>
                <w:r>
                  <w:rPr>
                    <w:color w:val="231F20"/>
                    <w:spacing w:val="15"/>
                    <w:w w:val="110"/>
                    <w:sz w:val="18"/>
                  </w:rPr>
                  <w:tab/>
                </w:r>
                <w:r>
                  <w:rPr>
                    <w:color w:val="231F20"/>
                    <w:spacing w:val="11"/>
                    <w:w w:val="105"/>
                    <w:sz w:val="14"/>
                  </w:rPr>
                  <w:t>(3)</w:t>
                </w:r>
                <w:r>
                  <w:rPr>
                    <w:color w:val="231F20"/>
                    <w:spacing w:val="-12"/>
                    <w:sz w:val="14"/>
                  </w:rPr>
                  <w:t xml:space="preserve"> </w:t>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B7D69" w14:textId="77777777" w:rsidR="001008C3" w:rsidRDefault="00000000">
    <w:pPr>
      <w:pStyle w:val="a3"/>
      <w:spacing w:line="14" w:lineRule="auto"/>
    </w:pPr>
    <w:r>
      <w:rPr>
        <w:noProof w:val="0"/>
      </w:rPr>
      <w:pict w14:anchorId="49D500FD">
        <v:line id="_x0000_s1662" style="position:absolute;z-index:-461944;mso-position-horizontal-relative:page;mso-position-vertical-relative:page" from="66.4pt,514.8pt" to="138.4pt,514.8pt" strokecolor="#231f20" strokeweight=".5pt">
          <w10:wrap anchorx="page" anchory="page"/>
        </v:line>
      </w:pict>
    </w:r>
    <w:r>
      <w:rPr>
        <w:noProof w:val="0"/>
      </w:rPr>
      <w:pict w14:anchorId="0B93C0C1">
        <v:shapetype id="_x0000_t202" coordsize="21600,21600" o:spt="202" path="m,l,21600r21600,l21600,xe">
          <v:stroke joinstyle="miter"/>
          <v:path gradientshapeok="t" o:connecttype="rect"/>
        </v:shapetype>
        <v:shape id="_x0000_s1661" type="#_x0000_t202" style="position:absolute;margin-left:65.4pt;margin-top:594.5pt;width:230.45pt;height:12.55pt;z-index:-461920;mso-position-horizontal-relative:page;mso-position-vertical-relative:page" filled="f" stroked="f">
          <v:textbox inset="0,0,0,0">
            <w:txbxContent>
              <w:p w14:paraId="15F8ACEB" w14:textId="77777777" w:rsidR="001008C3" w:rsidRDefault="001008C3">
                <w:pPr>
                  <w:spacing w:before="19"/>
                  <w:ind w:left="20"/>
                  <w:rPr>
                    <w:sz w:val="18"/>
                  </w:rPr>
                </w:pPr>
                <w:r>
                  <w:rPr>
                    <w:color w:val="231F20"/>
                    <w:w w:val="115"/>
                    <w:sz w:val="18"/>
                  </w:rPr>
                  <w:t>april 1971 • the urban guerilla concept</w:t>
                </w:r>
                <w:r>
                  <w:rPr>
                    <w:color w:val="231F20"/>
                    <w:sz w:val="18"/>
                  </w:rPr>
                  <w:t xml:space="preserve"> </w:t>
                </w:r>
              </w:p>
            </w:txbxContent>
          </v:textbox>
          <w10:wrap anchorx="page" anchory="page"/>
        </v:shape>
      </w:pict>
    </w:r>
    <w:r>
      <w:rPr>
        <w:noProof w:val="0"/>
      </w:rPr>
      <w:pict w14:anchorId="3E567398">
        <v:shape id="_x0000_s1660" type="#_x0000_t202" style="position:absolute;margin-left:362.35pt;margin-top:594.5pt;width:14.55pt;height:12.55pt;z-index:-461896;mso-position-horizontal-relative:page;mso-position-vertical-relative:page" filled="f" stroked="f">
          <v:textbox inset="0,0,0,0">
            <w:txbxContent>
              <w:p w14:paraId="442D5D43" w14:textId="77777777" w:rsidR="001008C3" w:rsidRDefault="001008C3">
                <w:pPr>
                  <w:spacing w:before="19"/>
                  <w:ind w:left="20"/>
                  <w:rPr>
                    <w:sz w:val="18"/>
                  </w:rPr>
                </w:pPr>
                <w:r>
                  <w:rPr>
                    <w:color w:val="231F20"/>
                    <w:sz w:val="18"/>
                  </w:rPr>
                  <w:t xml:space="preserve">85 </w:t>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2BE14" w14:textId="77777777" w:rsidR="001008C3" w:rsidRDefault="00000000">
    <w:pPr>
      <w:pStyle w:val="a3"/>
      <w:spacing w:line="14" w:lineRule="auto"/>
    </w:pPr>
    <w:r>
      <w:rPr>
        <w:noProof w:val="0"/>
      </w:rPr>
      <w:pict w14:anchorId="159D7300">
        <v:shapetype id="_x0000_t202" coordsize="21600,21600" o:spt="202" path="m,l,21600r21600,l21600,xe">
          <v:stroke joinstyle="miter"/>
          <v:path gradientshapeok="t" o:connecttype="rect"/>
        </v:shapetype>
        <v:shape id="_x0000_s1659" type="#_x0000_t202" style="position:absolute;margin-left:55.4pt;margin-top:594.5pt;width:16.55pt;height:12.55pt;z-index:-461872;mso-position-horizontal-relative:page;mso-position-vertical-relative:page" filled="f" stroked="f">
          <v:textbox inset="0,0,0,0">
            <w:txbxContent>
              <w:p w14:paraId="405B5ED5" w14:textId="77777777" w:rsidR="001008C3" w:rsidRDefault="001008C3">
                <w:pPr>
                  <w:spacing w:before="19"/>
                  <w:ind w:left="40"/>
                  <w:rPr>
                    <w:sz w:val="18"/>
                  </w:rPr>
                </w:pPr>
                <w:r>
                  <w:rPr>
                    <w:color w:val="231F20"/>
                    <w:sz w:val="18"/>
                  </w:rPr>
                  <w:t xml:space="preserve">86 </w:t>
                </w:r>
              </w:p>
            </w:txbxContent>
          </v:textbox>
          <w10:wrap anchorx="page" anchory="page"/>
        </v:shape>
      </w:pict>
    </w:r>
    <w:r>
      <w:rPr>
        <w:noProof w:val="0"/>
      </w:rPr>
      <w:pict w14:anchorId="5451863D">
        <v:shape id="_x0000_s1658" type="#_x0000_t202" style="position:absolute;margin-left:243pt;margin-top:594.5pt;width:124.6pt;height:12.55pt;z-index:-461848;mso-position-horizontal-relative:page;mso-position-vertical-relative:page" filled="f" stroked="f">
          <v:textbox inset="0,0,0,0">
            <w:txbxContent>
              <w:p w14:paraId="3B2472C3" w14:textId="77777777" w:rsidR="001008C3" w:rsidRDefault="001008C3">
                <w:pPr>
                  <w:tabs>
                    <w:tab w:val="left" w:pos="2242"/>
                  </w:tabs>
                  <w:spacing w:before="19"/>
                  <w:ind w:left="20"/>
                  <w:rPr>
                    <w:sz w:val="14"/>
                  </w:rPr>
                </w:pPr>
                <w:r>
                  <w:rPr>
                    <w:color w:val="231F20"/>
                    <w:spacing w:val="20"/>
                    <w:w w:val="110"/>
                    <w:sz w:val="18"/>
                  </w:rPr>
                  <w:t xml:space="preserve">taking  </w:t>
                </w:r>
                <w:r>
                  <w:rPr>
                    <w:color w:val="231F20"/>
                    <w:spacing w:val="11"/>
                    <w:w w:val="110"/>
                    <w:sz w:val="18"/>
                  </w:rPr>
                  <w:t xml:space="preserve">up </w:t>
                </w:r>
                <w:r>
                  <w:rPr>
                    <w:color w:val="231F20"/>
                    <w:spacing w:val="33"/>
                    <w:w w:val="110"/>
                    <w:sz w:val="18"/>
                  </w:rPr>
                  <w:t xml:space="preserve"> </w:t>
                </w:r>
                <w:r>
                  <w:rPr>
                    <w:color w:val="231F20"/>
                    <w:spacing w:val="15"/>
                    <w:w w:val="110"/>
                    <w:sz w:val="18"/>
                  </w:rPr>
                  <w:t xml:space="preserve">the </w:t>
                </w:r>
                <w:r>
                  <w:rPr>
                    <w:color w:val="231F20"/>
                    <w:spacing w:val="28"/>
                    <w:w w:val="110"/>
                    <w:sz w:val="18"/>
                  </w:rPr>
                  <w:t xml:space="preserve"> </w:t>
                </w:r>
                <w:r>
                  <w:rPr>
                    <w:color w:val="231F20"/>
                    <w:spacing w:val="15"/>
                    <w:w w:val="110"/>
                    <w:sz w:val="18"/>
                  </w:rPr>
                  <w:t>gun</w:t>
                </w:r>
                <w:r>
                  <w:rPr>
                    <w:color w:val="231F20"/>
                    <w:spacing w:val="15"/>
                    <w:w w:val="110"/>
                    <w:sz w:val="18"/>
                  </w:rPr>
                  <w:tab/>
                </w:r>
                <w:r>
                  <w:rPr>
                    <w:color w:val="231F20"/>
                    <w:spacing w:val="11"/>
                    <w:w w:val="105"/>
                    <w:sz w:val="14"/>
                  </w:rPr>
                  <w:t>(3)</w:t>
                </w:r>
                <w:r>
                  <w:rPr>
                    <w:color w:val="231F20"/>
                    <w:spacing w:val="-12"/>
                    <w:sz w:val="14"/>
                  </w:rPr>
                  <w:t xml:space="preserve"> </w:t>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B1DB0" w14:textId="77777777" w:rsidR="001008C3" w:rsidRDefault="00000000">
    <w:pPr>
      <w:pStyle w:val="a3"/>
      <w:spacing w:line="14" w:lineRule="auto"/>
    </w:pPr>
    <w:r>
      <w:rPr>
        <w:noProof w:val="0"/>
      </w:rPr>
      <w:pict w14:anchorId="5697B7B0">
        <v:shapetype id="_x0000_t202" coordsize="21600,21600" o:spt="202" path="m,l,21600r21600,l21600,xe">
          <v:stroke joinstyle="miter"/>
          <v:path gradientshapeok="t" o:connecttype="rect"/>
        </v:shapetype>
        <v:shape id="_x0000_s1655" type="#_x0000_t202" style="position:absolute;margin-left:55.4pt;margin-top:594.5pt;width:16.55pt;height:12.55pt;z-index:-461776;mso-position-horizontal-relative:page;mso-position-vertical-relative:page" filled="f" stroked="f">
          <v:textbox inset="0,0,0,0">
            <w:txbxContent>
              <w:p w14:paraId="1C22850F"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88</w:t>
                </w:r>
                <w:r>
                  <w:fldChar w:fldCharType="end"/>
                </w:r>
                <w:r>
                  <w:rPr>
                    <w:color w:val="231F20"/>
                    <w:sz w:val="18"/>
                  </w:rPr>
                  <w:t xml:space="preserve"> </w:t>
                </w:r>
              </w:p>
            </w:txbxContent>
          </v:textbox>
          <w10:wrap anchorx="page" anchory="page"/>
        </v:shape>
      </w:pict>
    </w:r>
    <w:r>
      <w:rPr>
        <w:noProof w:val="0"/>
      </w:rPr>
      <w:pict w14:anchorId="156EB980">
        <v:shape id="_x0000_s1654" type="#_x0000_t202" style="position:absolute;margin-left:243pt;margin-top:594.5pt;width:124.6pt;height:12.55pt;z-index:-461752;mso-position-horizontal-relative:page;mso-position-vertical-relative:page" filled="f" stroked="f">
          <v:textbox inset="0,0,0,0">
            <w:txbxContent>
              <w:p w14:paraId="7A1FC9C0" w14:textId="77777777" w:rsidR="001008C3" w:rsidRDefault="001008C3">
                <w:pPr>
                  <w:tabs>
                    <w:tab w:val="left" w:pos="2242"/>
                  </w:tabs>
                  <w:spacing w:before="19"/>
                  <w:ind w:left="20"/>
                  <w:rPr>
                    <w:sz w:val="14"/>
                  </w:rPr>
                </w:pPr>
                <w:r>
                  <w:rPr>
                    <w:color w:val="231F20"/>
                    <w:spacing w:val="20"/>
                    <w:w w:val="110"/>
                    <w:sz w:val="18"/>
                  </w:rPr>
                  <w:t xml:space="preserve">taking  </w:t>
                </w:r>
                <w:r>
                  <w:rPr>
                    <w:color w:val="231F20"/>
                    <w:spacing w:val="11"/>
                    <w:w w:val="110"/>
                    <w:sz w:val="18"/>
                  </w:rPr>
                  <w:t xml:space="preserve">up </w:t>
                </w:r>
                <w:r>
                  <w:rPr>
                    <w:color w:val="231F20"/>
                    <w:spacing w:val="33"/>
                    <w:w w:val="110"/>
                    <w:sz w:val="18"/>
                  </w:rPr>
                  <w:t xml:space="preserve"> </w:t>
                </w:r>
                <w:r>
                  <w:rPr>
                    <w:color w:val="231F20"/>
                    <w:spacing w:val="15"/>
                    <w:w w:val="110"/>
                    <w:sz w:val="18"/>
                  </w:rPr>
                  <w:t xml:space="preserve">the </w:t>
                </w:r>
                <w:r>
                  <w:rPr>
                    <w:color w:val="231F20"/>
                    <w:spacing w:val="28"/>
                    <w:w w:val="110"/>
                    <w:sz w:val="18"/>
                  </w:rPr>
                  <w:t xml:space="preserve"> </w:t>
                </w:r>
                <w:r>
                  <w:rPr>
                    <w:color w:val="231F20"/>
                    <w:spacing w:val="15"/>
                    <w:w w:val="110"/>
                    <w:sz w:val="18"/>
                  </w:rPr>
                  <w:t>gun</w:t>
                </w:r>
                <w:r>
                  <w:rPr>
                    <w:color w:val="231F20"/>
                    <w:spacing w:val="15"/>
                    <w:w w:val="110"/>
                    <w:sz w:val="18"/>
                  </w:rPr>
                  <w:tab/>
                </w:r>
                <w:r>
                  <w:rPr>
                    <w:color w:val="231F20"/>
                    <w:spacing w:val="11"/>
                    <w:w w:val="105"/>
                    <w:sz w:val="14"/>
                  </w:rPr>
                  <w:t>(3)</w:t>
                </w:r>
                <w:r>
                  <w:rPr>
                    <w:color w:val="231F20"/>
                    <w:spacing w:val="-12"/>
                    <w:sz w:val="14"/>
                  </w:rPr>
                  <w:t xml:space="preserve"> </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07A10" w14:textId="77777777" w:rsidR="001008C3" w:rsidRDefault="00000000">
    <w:pPr>
      <w:pStyle w:val="a3"/>
      <w:spacing w:line="14" w:lineRule="auto"/>
    </w:pPr>
    <w:r>
      <w:rPr>
        <w:noProof w:val="0"/>
      </w:rPr>
      <w:pict w14:anchorId="78B3F6C0">
        <v:shapetype id="_x0000_t202" coordsize="21600,21600" o:spt="202" path="m,l,21600r21600,l21600,xe">
          <v:stroke joinstyle="miter"/>
          <v:path gradientshapeok="t" o:connecttype="rect"/>
        </v:shapetype>
        <v:shape id="_x0000_s1727" type="#_x0000_t202" style="position:absolute;margin-left:358.1pt;margin-top:594.5pt;width:18.75pt;height:12.55pt;z-index:-463504;mso-position-horizontal-relative:page;mso-position-vertical-relative:page" filled="f" stroked="f">
          <v:textbox inset="0,0,0,0">
            <w:txbxContent>
              <w:p w14:paraId="77E0BF0A" w14:textId="77777777" w:rsidR="001008C3" w:rsidRDefault="001008C3">
                <w:pPr>
                  <w:spacing w:before="19"/>
                  <w:ind w:left="20"/>
                  <w:rPr>
                    <w:sz w:val="18"/>
                  </w:rPr>
                </w:pPr>
                <w:r>
                  <w:rPr>
                    <w:color w:val="231F20"/>
                    <w:w w:val="115"/>
                    <w:sz w:val="18"/>
                  </w:rPr>
                  <w:t>xix</w:t>
                </w:r>
                <w:r>
                  <w:rPr>
                    <w:color w:val="231F20"/>
                    <w:sz w:val="18"/>
                  </w:rPr>
                  <w:t xml:space="preserve"> </w:t>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CD59F" w14:textId="77777777" w:rsidR="001008C3" w:rsidRDefault="00000000">
    <w:pPr>
      <w:pStyle w:val="a3"/>
      <w:spacing w:line="14" w:lineRule="auto"/>
    </w:pPr>
    <w:r>
      <w:rPr>
        <w:noProof w:val="0"/>
      </w:rPr>
      <w:pict w14:anchorId="53CF1FD1">
        <v:shapetype id="_x0000_t202" coordsize="21600,21600" o:spt="202" path="m,l,21600r21600,l21600,xe">
          <v:stroke joinstyle="miter"/>
          <v:path gradientshapeok="t" o:connecttype="rect"/>
        </v:shapetype>
        <v:shape id="_x0000_s1657" type="#_x0000_t202" style="position:absolute;margin-left:65.4pt;margin-top:594.5pt;width:230.45pt;height:12.55pt;z-index:-461824;mso-position-horizontal-relative:page;mso-position-vertical-relative:page" filled="f" stroked="f">
          <v:textbox inset="0,0,0,0">
            <w:txbxContent>
              <w:p w14:paraId="7CF8CFC4" w14:textId="77777777" w:rsidR="001008C3" w:rsidRDefault="001008C3">
                <w:pPr>
                  <w:spacing w:before="19"/>
                  <w:ind w:left="20"/>
                  <w:rPr>
                    <w:sz w:val="18"/>
                  </w:rPr>
                </w:pPr>
                <w:r>
                  <w:rPr>
                    <w:color w:val="231F20"/>
                    <w:w w:val="115"/>
                    <w:sz w:val="18"/>
                  </w:rPr>
                  <w:t>april 1971 • the urban guerilla concept</w:t>
                </w:r>
                <w:r>
                  <w:rPr>
                    <w:color w:val="231F20"/>
                    <w:sz w:val="18"/>
                  </w:rPr>
                  <w:t xml:space="preserve"> </w:t>
                </w:r>
              </w:p>
            </w:txbxContent>
          </v:textbox>
          <w10:wrap anchorx="page" anchory="page"/>
        </v:shape>
      </w:pict>
    </w:r>
    <w:r>
      <w:rPr>
        <w:noProof w:val="0"/>
      </w:rPr>
      <w:pict w14:anchorId="4C04773B">
        <v:shape id="_x0000_s1656" type="#_x0000_t202" style="position:absolute;margin-left:361.35pt;margin-top:594.5pt;width:16.55pt;height:12.55pt;z-index:-461800;mso-position-horizontal-relative:page;mso-position-vertical-relative:page" filled="f" stroked="f">
          <v:textbox inset="0,0,0,0">
            <w:txbxContent>
              <w:p w14:paraId="029DAA91"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87</w:t>
                </w:r>
                <w:r>
                  <w:fldChar w:fldCharType="end"/>
                </w:r>
                <w:r>
                  <w:rPr>
                    <w:color w:val="231F20"/>
                    <w:sz w:val="18"/>
                  </w:rPr>
                  <w:t xml:space="preserve"> </w:t>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03CCC" w14:textId="77777777" w:rsidR="001008C3" w:rsidRDefault="00000000">
    <w:pPr>
      <w:pStyle w:val="a3"/>
      <w:spacing w:line="14" w:lineRule="auto"/>
    </w:pPr>
    <w:r>
      <w:rPr>
        <w:noProof w:val="0"/>
      </w:rPr>
      <w:pict w14:anchorId="625EF842">
        <v:shapetype id="_x0000_t202" coordsize="21600,21600" o:spt="202" path="m,l,21600r21600,l21600,xe">
          <v:stroke joinstyle="miter"/>
          <v:path gradientshapeok="t" o:connecttype="rect"/>
        </v:shapetype>
        <v:shape id="_x0000_s1650" type="#_x0000_t202" style="position:absolute;margin-left:65.4pt;margin-top:594.5pt;width:230.45pt;height:12.55pt;z-index:-461656;mso-position-horizontal-relative:page;mso-position-vertical-relative:page" filled="f" stroked="f">
          <v:textbox inset="0,0,0,0">
            <w:txbxContent>
              <w:p w14:paraId="5DB39426" w14:textId="77777777" w:rsidR="001008C3" w:rsidRDefault="001008C3">
                <w:pPr>
                  <w:spacing w:before="19"/>
                  <w:ind w:left="20"/>
                  <w:rPr>
                    <w:sz w:val="18"/>
                  </w:rPr>
                </w:pPr>
                <w:r>
                  <w:rPr>
                    <w:color w:val="231F20"/>
                    <w:w w:val="115"/>
                    <w:sz w:val="18"/>
                  </w:rPr>
                  <w:t>april 1971 • the urban guerilla concept</w:t>
                </w:r>
                <w:r>
                  <w:rPr>
                    <w:color w:val="231F20"/>
                    <w:sz w:val="18"/>
                  </w:rPr>
                  <w:t xml:space="preserve"> </w:t>
                </w:r>
              </w:p>
            </w:txbxContent>
          </v:textbox>
          <w10:wrap anchorx="page" anchory="page"/>
        </v:shape>
      </w:pict>
    </w:r>
    <w:r>
      <w:rPr>
        <w:noProof w:val="0"/>
      </w:rPr>
      <w:pict w14:anchorId="7066F668">
        <v:shape id="_x0000_s1649" type="#_x0000_t202" style="position:absolute;margin-left:361.35pt;margin-top:594.5pt;width:16.55pt;height:12.55pt;z-index:-461632;mso-position-horizontal-relative:page;mso-position-vertical-relative:page" filled="f" stroked="f">
          <v:textbox inset="0,0,0,0">
            <w:txbxContent>
              <w:p w14:paraId="48BDC573" w14:textId="77777777" w:rsidR="001008C3" w:rsidRDefault="001008C3">
                <w:pPr>
                  <w:spacing w:before="19"/>
                  <w:ind w:left="40"/>
                  <w:rPr>
                    <w:sz w:val="18"/>
                  </w:rPr>
                </w:pPr>
                <w:r>
                  <w:rPr>
                    <w:color w:val="231F20"/>
                    <w:sz w:val="18"/>
                  </w:rPr>
                  <w:t xml:space="preserve">93 </w:t>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1EE6B" w14:textId="77777777" w:rsidR="001008C3" w:rsidRDefault="00000000">
    <w:pPr>
      <w:pStyle w:val="a3"/>
      <w:spacing w:line="14" w:lineRule="auto"/>
    </w:pPr>
    <w:r>
      <w:rPr>
        <w:noProof w:val="0"/>
      </w:rPr>
      <w:pict w14:anchorId="3907EC57">
        <v:line id="_x0000_s1653" style="position:absolute;z-index:-461728;mso-position-horizontal-relative:page;mso-position-vertical-relative:page" from="57.4pt,546.7pt" to="129.4pt,546.7pt" strokecolor="#231f20" strokeweight=".5pt">
          <w10:wrap anchorx="page" anchory="page"/>
        </v:line>
      </w:pict>
    </w:r>
    <w:r>
      <w:rPr>
        <w:noProof w:val="0"/>
      </w:rPr>
      <w:pict w14:anchorId="0002A97D">
        <v:shapetype id="_x0000_t202" coordsize="21600,21600" o:spt="202" path="m,l,21600r21600,l21600,xe">
          <v:stroke joinstyle="miter"/>
          <v:path gradientshapeok="t" o:connecttype="rect"/>
        </v:shapetype>
        <v:shape id="_x0000_s1652" type="#_x0000_t202" style="position:absolute;margin-left:56.4pt;margin-top:594.5pt;width:14.55pt;height:12.55pt;z-index:-461704;mso-position-horizontal-relative:page;mso-position-vertical-relative:page" filled="f" stroked="f">
          <v:textbox inset="0,0,0,0">
            <w:txbxContent>
              <w:p w14:paraId="218C2B73" w14:textId="77777777" w:rsidR="001008C3" w:rsidRDefault="001008C3">
                <w:pPr>
                  <w:spacing w:before="19"/>
                  <w:ind w:left="20"/>
                  <w:rPr>
                    <w:sz w:val="18"/>
                  </w:rPr>
                </w:pPr>
                <w:r>
                  <w:rPr>
                    <w:color w:val="231F20"/>
                    <w:sz w:val="18"/>
                  </w:rPr>
                  <w:t xml:space="preserve">92 </w:t>
                </w:r>
              </w:p>
            </w:txbxContent>
          </v:textbox>
          <w10:wrap anchorx="page" anchory="page"/>
        </v:shape>
      </w:pict>
    </w:r>
    <w:r>
      <w:rPr>
        <w:noProof w:val="0"/>
      </w:rPr>
      <w:pict w14:anchorId="012CD8C3">
        <v:shape id="_x0000_s1651" type="#_x0000_t202" style="position:absolute;margin-left:243pt;margin-top:594.5pt;width:124.6pt;height:12.55pt;z-index:-461680;mso-position-horizontal-relative:page;mso-position-vertical-relative:page" filled="f" stroked="f">
          <v:textbox inset="0,0,0,0">
            <w:txbxContent>
              <w:p w14:paraId="4E936168" w14:textId="77777777" w:rsidR="001008C3" w:rsidRDefault="001008C3">
                <w:pPr>
                  <w:tabs>
                    <w:tab w:val="left" w:pos="2242"/>
                  </w:tabs>
                  <w:spacing w:before="19"/>
                  <w:ind w:left="20"/>
                  <w:rPr>
                    <w:sz w:val="14"/>
                  </w:rPr>
                </w:pPr>
                <w:r>
                  <w:rPr>
                    <w:color w:val="231F20"/>
                    <w:spacing w:val="20"/>
                    <w:w w:val="110"/>
                    <w:sz w:val="18"/>
                  </w:rPr>
                  <w:t xml:space="preserve">taking  </w:t>
                </w:r>
                <w:r>
                  <w:rPr>
                    <w:color w:val="231F20"/>
                    <w:spacing w:val="11"/>
                    <w:w w:val="110"/>
                    <w:sz w:val="18"/>
                  </w:rPr>
                  <w:t xml:space="preserve">up </w:t>
                </w:r>
                <w:r>
                  <w:rPr>
                    <w:color w:val="231F20"/>
                    <w:spacing w:val="33"/>
                    <w:w w:val="110"/>
                    <w:sz w:val="18"/>
                  </w:rPr>
                  <w:t xml:space="preserve"> </w:t>
                </w:r>
                <w:r>
                  <w:rPr>
                    <w:color w:val="231F20"/>
                    <w:spacing w:val="15"/>
                    <w:w w:val="110"/>
                    <w:sz w:val="18"/>
                  </w:rPr>
                  <w:t xml:space="preserve">the </w:t>
                </w:r>
                <w:r>
                  <w:rPr>
                    <w:color w:val="231F20"/>
                    <w:spacing w:val="28"/>
                    <w:w w:val="110"/>
                    <w:sz w:val="18"/>
                  </w:rPr>
                  <w:t xml:space="preserve"> </w:t>
                </w:r>
                <w:r>
                  <w:rPr>
                    <w:color w:val="231F20"/>
                    <w:spacing w:val="15"/>
                    <w:w w:val="110"/>
                    <w:sz w:val="18"/>
                  </w:rPr>
                  <w:t>gun</w:t>
                </w:r>
                <w:r>
                  <w:rPr>
                    <w:color w:val="231F20"/>
                    <w:spacing w:val="15"/>
                    <w:w w:val="110"/>
                    <w:sz w:val="18"/>
                  </w:rPr>
                  <w:tab/>
                </w:r>
                <w:r>
                  <w:rPr>
                    <w:color w:val="231F20"/>
                    <w:spacing w:val="11"/>
                    <w:w w:val="105"/>
                    <w:sz w:val="14"/>
                  </w:rPr>
                  <w:t>(3)</w:t>
                </w:r>
                <w:r>
                  <w:rPr>
                    <w:color w:val="231F20"/>
                    <w:spacing w:val="-12"/>
                    <w:sz w:val="14"/>
                  </w:rPr>
                  <w:t xml:space="preserve"> </w:t>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D8BB" w14:textId="77777777" w:rsidR="001008C3" w:rsidRDefault="00000000">
    <w:pPr>
      <w:pStyle w:val="a3"/>
      <w:spacing w:line="14" w:lineRule="auto"/>
    </w:pPr>
    <w:r>
      <w:rPr>
        <w:noProof w:val="0"/>
      </w:rPr>
      <w:pict w14:anchorId="308454BC">
        <v:shapetype id="_x0000_t202" coordsize="21600,21600" o:spt="202" path="m,l,21600r21600,l21600,xe">
          <v:stroke joinstyle="miter"/>
          <v:path gradientshapeok="t" o:connecttype="rect"/>
        </v:shapetype>
        <v:shape id="_x0000_s1648" type="#_x0000_t202" style="position:absolute;margin-left:55.4pt;margin-top:594.5pt;width:22.8pt;height:12.55pt;z-index:-461608;mso-position-horizontal-relative:page;mso-position-vertical-relative:page" filled="f" stroked="f">
          <v:textbox inset="0,0,0,0">
            <w:txbxContent>
              <w:p w14:paraId="0AEE30F5"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100</w:t>
                </w:r>
                <w:r>
                  <w:fldChar w:fldCharType="end"/>
                </w:r>
                <w:r>
                  <w:rPr>
                    <w:color w:val="231F20"/>
                    <w:sz w:val="18"/>
                  </w:rPr>
                  <w:t xml:space="preserve"> </w:t>
                </w:r>
              </w:p>
            </w:txbxContent>
          </v:textbox>
          <w10:wrap anchorx="page" anchory="page"/>
        </v:shape>
      </w:pict>
    </w:r>
    <w:r>
      <w:rPr>
        <w:noProof w:val="0"/>
      </w:rPr>
      <w:pict w14:anchorId="5FB371D5">
        <v:shape id="_x0000_s1647" type="#_x0000_t202" style="position:absolute;margin-left:243pt;margin-top:594.5pt;width:124.6pt;height:12.55pt;z-index:-461584;mso-position-horizontal-relative:page;mso-position-vertical-relative:page" filled="f" stroked="f">
          <v:textbox inset="0,0,0,0">
            <w:txbxContent>
              <w:p w14:paraId="0F903A60" w14:textId="77777777" w:rsidR="001008C3" w:rsidRDefault="001008C3">
                <w:pPr>
                  <w:tabs>
                    <w:tab w:val="left" w:pos="2242"/>
                  </w:tabs>
                  <w:spacing w:before="19"/>
                  <w:ind w:left="20"/>
                  <w:rPr>
                    <w:sz w:val="14"/>
                  </w:rPr>
                </w:pPr>
                <w:r>
                  <w:rPr>
                    <w:color w:val="231F20"/>
                    <w:spacing w:val="20"/>
                    <w:w w:val="110"/>
                    <w:sz w:val="18"/>
                  </w:rPr>
                  <w:t xml:space="preserve">taking  </w:t>
                </w:r>
                <w:r>
                  <w:rPr>
                    <w:color w:val="231F20"/>
                    <w:spacing w:val="11"/>
                    <w:w w:val="110"/>
                    <w:sz w:val="18"/>
                  </w:rPr>
                  <w:t xml:space="preserve">up </w:t>
                </w:r>
                <w:r>
                  <w:rPr>
                    <w:color w:val="231F20"/>
                    <w:spacing w:val="33"/>
                    <w:w w:val="110"/>
                    <w:sz w:val="18"/>
                  </w:rPr>
                  <w:t xml:space="preserve"> </w:t>
                </w:r>
                <w:r>
                  <w:rPr>
                    <w:color w:val="231F20"/>
                    <w:spacing w:val="15"/>
                    <w:w w:val="110"/>
                    <w:sz w:val="18"/>
                  </w:rPr>
                  <w:t xml:space="preserve">the </w:t>
                </w:r>
                <w:r>
                  <w:rPr>
                    <w:color w:val="231F20"/>
                    <w:spacing w:val="28"/>
                    <w:w w:val="110"/>
                    <w:sz w:val="18"/>
                  </w:rPr>
                  <w:t xml:space="preserve"> </w:t>
                </w:r>
                <w:r>
                  <w:rPr>
                    <w:color w:val="231F20"/>
                    <w:spacing w:val="15"/>
                    <w:w w:val="110"/>
                    <w:sz w:val="18"/>
                  </w:rPr>
                  <w:t>gun</w:t>
                </w:r>
                <w:r>
                  <w:rPr>
                    <w:color w:val="231F20"/>
                    <w:spacing w:val="15"/>
                    <w:w w:val="110"/>
                    <w:sz w:val="18"/>
                  </w:rPr>
                  <w:tab/>
                </w:r>
                <w:r>
                  <w:rPr>
                    <w:color w:val="231F20"/>
                    <w:spacing w:val="11"/>
                    <w:w w:val="105"/>
                    <w:sz w:val="14"/>
                  </w:rPr>
                  <w:t>(3)</w:t>
                </w:r>
                <w:r>
                  <w:rPr>
                    <w:color w:val="231F20"/>
                    <w:spacing w:val="-12"/>
                    <w:sz w:val="14"/>
                  </w:rPr>
                  <w:t xml:space="preserve"> </w:t>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74CC" w14:textId="77777777" w:rsidR="001008C3" w:rsidRDefault="00000000">
    <w:pPr>
      <w:pStyle w:val="a3"/>
      <w:spacing w:line="14" w:lineRule="auto"/>
    </w:pPr>
    <w:r>
      <w:rPr>
        <w:noProof w:val="0"/>
      </w:rPr>
      <w:pict w14:anchorId="0222D3D5">
        <v:line id="_x0000_s1646" style="position:absolute;z-index:-461560;mso-position-horizontal-relative:page;mso-position-vertical-relative:page" from="66.4pt,536.7pt" to="138.4pt,536.7pt" strokecolor="#231f20" strokeweight=".5pt">
          <w10:wrap anchorx="page" anchory="page"/>
        </v:line>
      </w:pict>
    </w:r>
    <w:r>
      <w:rPr>
        <w:noProof w:val="0"/>
      </w:rPr>
      <w:pict w14:anchorId="0D254D47">
        <v:shapetype id="_x0000_t202" coordsize="21600,21600" o:spt="202" path="m,l,21600r21600,l21600,xe">
          <v:stroke joinstyle="miter"/>
          <v:path gradientshapeok="t" o:connecttype="rect"/>
        </v:shapetype>
        <v:shape id="_x0000_s1645" type="#_x0000_t202" style="position:absolute;margin-left:65.4pt;margin-top:594.5pt;width:230.45pt;height:12.55pt;z-index:-461536;mso-position-horizontal-relative:page;mso-position-vertical-relative:page" filled="f" stroked="f">
          <v:textbox inset="0,0,0,0">
            <w:txbxContent>
              <w:p w14:paraId="75FF2B6E" w14:textId="77777777" w:rsidR="001008C3" w:rsidRDefault="001008C3">
                <w:pPr>
                  <w:spacing w:before="19"/>
                  <w:ind w:left="20"/>
                  <w:rPr>
                    <w:sz w:val="18"/>
                  </w:rPr>
                </w:pPr>
                <w:r>
                  <w:rPr>
                    <w:color w:val="231F20"/>
                    <w:w w:val="115"/>
                    <w:sz w:val="18"/>
                  </w:rPr>
                  <w:t>april 1971 • the urban guerilla concept</w:t>
                </w:r>
                <w:r>
                  <w:rPr>
                    <w:color w:val="231F20"/>
                    <w:sz w:val="18"/>
                  </w:rPr>
                  <w:t xml:space="preserve"> </w:t>
                </w:r>
              </w:p>
            </w:txbxContent>
          </v:textbox>
          <w10:wrap anchorx="page" anchory="page"/>
        </v:shape>
      </w:pict>
    </w:r>
    <w:r>
      <w:rPr>
        <w:noProof w:val="0"/>
      </w:rPr>
      <w:pict w14:anchorId="6B12476D">
        <v:shape id="_x0000_s1644" type="#_x0000_t202" style="position:absolute;margin-left:362.35pt;margin-top:594.5pt;width:14.55pt;height:12.55pt;z-index:-461512;mso-position-horizontal-relative:page;mso-position-vertical-relative:page" filled="f" stroked="f">
          <v:textbox inset="0,0,0,0">
            <w:txbxContent>
              <w:p w14:paraId="6E6658C0" w14:textId="77777777" w:rsidR="001008C3" w:rsidRDefault="001008C3">
                <w:pPr>
                  <w:spacing w:before="19"/>
                  <w:ind w:left="20"/>
                  <w:rPr>
                    <w:sz w:val="18"/>
                  </w:rPr>
                </w:pPr>
                <w:r>
                  <w:rPr>
                    <w:color w:val="231F20"/>
                    <w:sz w:val="18"/>
                  </w:rPr>
                  <w:t xml:space="preserve">95 </w:t>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05644" w14:textId="77777777" w:rsidR="001008C3" w:rsidRDefault="00000000">
    <w:pPr>
      <w:pStyle w:val="a3"/>
      <w:spacing w:line="14" w:lineRule="auto"/>
    </w:pPr>
    <w:r>
      <w:rPr>
        <w:noProof w:val="0"/>
      </w:rPr>
      <w:pict w14:anchorId="374B1EFE">
        <v:shapetype id="_x0000_t202" coordsize="21600,21600" o:spt="202" path="m,l,21600r21600,l21600,xe">
          <v:stroke joinstyle="miter"/>
          <v:path gradientshapeok="t" o:connecttype="rect"/>
        </v:shapetype>
        <v:shape id="_x0000_s1641" type="#_x0000_t202" style="position:absolute;margin-left:55.4pt;margin-top:594.5pt;width:16.55pt;height:12.55pt;z-index:-461440;mso-position-horizontal-relative:page;mso-position-vertical-relative:page" filled="f" stroked="f">
          <v:textbox inset="0,0,0,0">
            <w:txbxContent>
              <w:p w14:paraId="0E209728"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98</w:t>
                </w:r>
                <w:r>
                  <w:fldChar w:fldCharType="end"/>
                </w:r>
                <w:r>
                  <w:rPr>
                    <w:color w:val="231F20"/>
                    <w:sz w:val="18"/>
                  </w:rPr>
                  <w:t xml:space="preserve"> </w:t>
                </w:r>
              </w:p>
            </w:txbxContent>
          </v:textbox>
          <w10:wrap anchorx="page" anchory="page"/>
        </v:shape>
      </w:pict>
    </w:r>
    <w:r>
      <w:rPr>
        <w:noProof w:val="0"/>
      </w:rPr>
      <w:pict w14:anchorId="57F0D14F">
        <v:shape id="_x0000_s1640" type="#_x0000_t202" style="position:absolute;margin-left:243pt;margin-top:594.5pt;width:124.6pt;height:12.55pt;z-index:-461416;mso-position-horizontal-relative:page;mso-position-vertical-relative:page" filled="f" stroked="f">
          <v:textbox inset="0,0,0,0">
            <w:txbxContent>
              <w:p w14:paraId="09A85CA2" w14:textId="77777777" w:rsidR="001008C3" w:rsidRDefault="001008C3">
                <w:pPr>
                  <w:tabs>
                    <w:tab w:val="left" w:pos="2242"/>
                  </w:tabs>
                  <w:spacing w:before="19"/>
                  <w:ind w:left="20"/>
                  <w:rPr>
                    <w:sz w:val="14"/>
                  </w:rPr>
                </w:pPr>
                <w:r>
                  <w:rPr>
                    <w:color w:val="231F20"/>
                    <w:spacing w:val="20"/>
                    <w:w w:val="110"/>
                    <w:sz w:val="18"/>
                  </w:rPr>
                  <w:t xml:space="preserve">taking  </w:t>
                </w:r>
                <w:r>
                  <w:rPr>
                    <w:color w:val="231F20"/>
                    <w:spacing w:val="11"/>
                    <w:w w:val="110"/>
                    <w:sz w:val="18"/>
                  </w:rPr>
                  <w:t xml:space="preserve">up </w:t>
                </w:r>
                <w:r>
                  <w:rPr>
                    <w:color w:val="231F20"/>
                    <w:spacing w:val="33"/>
                    <w:w w:val="110"/>
                    <w:sz w:val="18"/>
                  </w:rPr>
                  <w:t xml:space="preserve"> </w:t>
                </w:r>
                <w:r>
                  <w:rPr>
                    <w:color w:val="231F20"/>
                    <w:spacing w:val="15"/>
                    <w:w w:val="110"/>
                    <w:sz w:val="18"/>
                  </w:rPr>
                  <w:t xml:space="preserve">the </w:t>
                </w:r>
                <w:r>
                  <w:rPr>
                    <w:color w:val="231F20"/>
                    <w:spacing w:val="28"/>
                    <w:w w:val="110"/>
                    <w:sz w:val="18"/>
                  </w:rPr>
                  <w:t xml:space="preserve"> </w:t>
                </w:r>
                <w:r>
                  <w:rPr>
                    <w:color w:val="231F20"/>
                    <w:spacing w:val="15"/>
                    <w:w w:val="110"/>
                    <w:sz w:val="18"/>
                  </w:rPr>
                  <w:t>gun</w:t>
                </w:r>
                <w:r>
                  <w:rPr>
                    <w:color w:val="231F20"/>
                    <w:spacing w:val="15"/>
                    <w:w w:val="110"/>
                    <w:sz w:val="18"/>
                  </w:rPr>
                  <w:tab/>
                </w:r>
                <w:r>
                  <w:rPr>
                    <w:color w:val="231F20"/>
                    <w:spacing w:val="11"/>
                    <w:w w:val="105"/>
                    <w:sz w:val="14"/>
                  </w:rPr>
                  <w:t>(3)</w:t>
                </w:r>
                <w:r>
                  <w:rPr>
                    <w:color w:val="231F20"/>
                    <w:spacing w:val="-12"/>
                    <w:sz w:val="14"/>
                  </w:rPr>
                  <w:t xml:space="preserve"> </w:t>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2A5B5" w14:textId="77777777" w:rsidR="001008C3" w:rsidRDefault="00000000">
    <w:pPr>
      <w:pStyle w:val="a3"/>
      <w:spacing w:line="14" w:lineRule="auto"/>
    </w:pPr>
    <w:r>
      <w:rPr>
        <w:noProof w:val="0"/>
      </w:rPr>
      <w:pict w14:anchorId="4C9AB823">
        <v:shapetype id="_x0000_t202" coordsize="21600,21600" o:spt="202" path="m,l,21600r21600,l21600,xe">
          <v:stroke joinstyle="miter"/>
          <v:path gradientshapeok="t" o:connecttype="rect"/>
        </v:shapetype>
        <v:shape id="_x0000_s1643" type="#_x0000_t202" style="position:absolute;margin-left:65.4pt;margin-top:594.5pt;width:230.45pt;height:12.55pt;z-index:-461488;mso-position-horizontal-relative:page;mso-position-vertical-relative:page" filled="f" stroked="f">
          <v:textbox inset="0,0,0,0">
            <w:txbxContent>
              <w:p w14:paraId="7853669C" w14:textId="77777777" w:rsidR="001008C3" w:rsidRDefault="001008C3">
                <w:pPr>
                  <w:spacing w:before="19"/>
                  <w:ind w:left="20"/>
                  <w:rPr>
                    <w:sz w:val="18"/>
                  </w:rPr>
                </w:pPr>
                <w:r>
                  <w:rPr>
                    <w:color w:val="231F20"/>
                    <w:w w:val="115"/>
                    <w:sz w:val="18"/>
                  </w:rPr>
                  <w:t>april 1971 • the urban guerilla concept</w:t>
                </w:r>
                <w:r>
                  <w:rPr>
                    <w:color w:val="231F20"/>
                    <w:sz w:val="18"/>
                  </w:rPr>
                  <w:t xml:space="preserve"> </w:t>
                </w:r>
              </w:p>
            </w:txbxContent>
          </v:textbox>
          <w10:wrap anchorx="page" anchory="page"/>
        </v:shape>
      </w:pict>
    </w:r>
    <w:r>
      <w:rPr>
        <w:noProof w:val="0"/>
      </w:rPr>
      <w:pict w14:anchorId="6696FAE4">
        <v:shape id="_x0000_s1642" type="#_x0000_t202" style="position:absolute;margin-left:355.1pt;margin-top:594.5pt;width:22.8pt;height:12.55pt;z-index:-461464;mso-position-horizontal-relative:page;mso-position-vertical-relative:page" filled="f" stroked="f">
          <v:textbox inset="0,0,0,0">
            <w:txbxContent>
              <w:p w14:paraId="014F11A5"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101</w:t>
                </w:r>
                <w:r>
                  <w:fldChar w:fldCharType="end"/>
                </w:r>
                <w:r>
                  <w:rPr>
                    <w:color w:val="231F20"/>
                    <w:sz w:val="18"/>
                  </w:rPr>
                  <w:t xml:space="preserve"> </w:t>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D396A" w14:textId="77777777" w:rsidR="001008C3" w:rsidRDefault="00000000">
    <w:pPr>
      <w:pStyle w:val="a3"/>
      <w:spacing w:line="14" w:lineRule="auto"/>
    </w:pPr>
    <w:r>
      <w:rPr>
        <w:noProof w:val="0"/>
      </w:rPr>
      <w:pict w14:anchorId="4923F769">
        <v:line id="_x0000_s1639" style="position:absolute;z-index:-461392;mso-position-horizontal-relative:page;mso-position-vertical-relative:page" from="66.4pt,526.75pt" to="138.4pt,526.75pt" strokecolor="#231f20" strokeweight=".5pt">
          <w10:wrap anchorx="page" anchory="page"/>
        </v:line>
      </w:pict>
    </w:r>
    <w:r>
      <w:rPr>
        <w:noProof w:val="0"/>
      </w:rPr>
      <w:pict w14:anchorId="03D75748">
        <v:shapetype id="_x0000_t202" coordsize="21600,21600" o:spt="202" path="m,l,21600r21600,l21600,xe">
          <v:stroke joinstyle="miter"/>
          <v:path gradientshapeok="t" o:connecttype="rect"/>
        </v:shapetype>
        <v:shape id="_x0000_s1638" type="#_x0000_t202" style="position:absolute;margin-left:65.4pt;margin-top:594.5pt;width:230.45pt;height:12.55pt;z-index:-461368;mso-position-horizontal-relative:page;mso-position-vertical-relative:page" filled="f" stroked="f">
          <v:textbox inset="0,0,0,0">
            <w:txbxContent>
              <w:p w14:paraId="19880370" w14:textId="77777777" w:rsidR="001008C3" w:rsidRDefault="001008C3">
                <w:pPr>
                  <w:spacing w:before="19"/>
                  <w:ind w:left="20"/>
                  <w:rPr>
                    <w:sz w:val="18"/>
                  </w:rPr>
                </w:pPr>
                <w:r>
                  <w:rPr>
                    <w:color w:val="231F20"/>
                    <w:w w:val="115"/>
                    <w:sz w:val="18"/>
                  </w:rPr>
                  <w:t>april 1971 • the urban guerilla concept</w:t>
                </w:r>
                <w:r>
                  <w:rPr>
                    <w:color w:val="231F20"/>
                    <w:sz w:val="18"/>
                  </w:rPr>
                  <w:t xml:space="preserve"> </w:t>
                </w:r>
              </w:p>
            </w:txbxContent>
          </v:textbox>
          <w10:wrap anchorx="page" anchory="page"/>
        </v:shape>
      </w:pict>
    </w:r>
    <w:r>
      <w:rPr>
        <w:noProof w:val="0"/>
      </w:rPr>
      <w:pict w14:anchorId="773C1A5A">
        <v:shape id="_x0000_s1637" type="#_x0000_t202" style="position:absolute;margin-left:356.1pt;margin-top:594.5pt;width:20.8pt;height:12.55pt;z-index:-461344;mso-position-horizontal-relative:page;mso-position-vertical-relative:page" filled="f" stroked="f">
          <v:textbox inset="0,0,0,0">
            <w:txbxContent>
              <w:p w14:paraId="09ED3004" w14:textId="77777777" w:rsidR="001008C3" w:rsidRDefault="001008C3">
                <w:pPr>
                  <w:spacing w:before="19"/>
                  <w:ind w:left="20"/>
                  <w:rPr>
                    <w:sz w:val="18"/>
                  </w:rPr>
                </w:pPr>
                <w:r>
                  <w:rPr>
                    <w:color w:val="231F20"/>
                    <w:sz w:val="18"/>
                  </w:rPr>
                  <w:t xml:space="preserve">105 </w:t>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DA0B7" w14:textId="77777777" w:rsidR="001008C3" w:rsidRDefault="00000000">
    <w:pPr>
      <w:pStyle w:val="a3"/>
      <w:spacing w:line="14" w:lineRule="auto"/>
    </w:pPr>
    <w:r>
      <w:rPr>
        <w:noProof w:val="0"/>
      </w:rPr>
      <w:pict w14:anchorId="57CBED8C">
        <v:shapetype id="_x0000_t202" coordsize="21600,21600" o:spt="202" path="m,l,21600r21600,l21600,xe">
          <v:stroke joinstyle="miter"/>
          <v:path gradientshapeok="t" o:connecttype="rect"/>
        </v:shapetype>
        <v:shape id="_x0000_s1636" type="#_x0000_t202" style="position:absolute;margin-left:55.4pt;margin-top:594.5pt;width:22.8pt;height:12.55pt;z-index:-461320;mso-position-horizontal-relative:page;mso-position-vertical-relative:page" filled="f" stroked="f">
          <v:textbox inset="0,0,0,0">
            <w:txbxContent>
              <w:p w14:paraId="22872AA6" w14:textId="77777777" w:rsidR="001008C3" w:rsidRDefault="001008C3">
                <w:pPr>
                  <w:spacing w:before="19"/>
                  <w:ind w:left="40"/>
                  <w:rPr>
                    <w:sz w:val="18"/>
                  </w:rPr>
                </w:pPr>
                <w:r>
                  <w:rPr>
                    <w:color w:val="231F20"/>
                    <w:sz w:val="18"/>
                  </w:rPr>
                  <w:t xml:space="preserve">106 </w:t>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615E1" w14:textId="77777777" w:rsidR="001008C3" w:rsidRDefault="00000000">
    <w:pPr>
      <w:pStyle w:val="a3"/>
      <w:spacing w:line="14" w:lineRule="auto"/>
    </w:pPr>
    <w:r>
      <w:rPr>
        <w:noProof w:val="0"/>
      </w:rPr>
      <w:pict w14:anchorId="456501A1">
        <v:line id="_x0000_s1635" style="position:absolute;z-index:-461296;mso-position-horizontal-relative:page;mso-position-vertical-relative:page" from="66.4pt,524.75pt" to="138.4pt,524.75pt" strokecolor="#231f20" strokeweight=".5pt">
          <w10:wrap anchorx="page" anchory="page"/>
        </v:line>
      </w:pict>
    </w:r>
    <w:r>
      <w:rPr>
        <w:noProof w:val="0"/>
      </w:rPr>
      <w:pict w14:anchorId="4EFC5B4C">
        <v:shapetype id="_x0000_t202" coordsize="21600,21600" o:spt="202" path="m,l,21600r21600,l21600,xe">
          <v:stroke joinstyle="miter"/>
          <v:path gradientshapeok="t" o:connecttype="rect"/>
        </v:shapetype>
        <v:shape id="_x0000_s1634" type="#_x0000_t202" style="position:absolute;margin-left:356.1pt;margin-top:594.5pt;width:20.8pt;height:12.55pt;z-index:-461272;mso-position-horizontal-relative:page;mso-position-vertical-relative:page" filled="f" stroked="f">
          <v:textbox inset="0,0,0,0">
            <w:txbxContent>
              <w:p w14:paraId="4AA50A38" w14:textId="77777777" w:rsidR="001008C3" w:rsidRDefault="001008C3">
                <w:pPr>
                  <w:spacing w:before="19"/>
                  <w:ind w:left="20"/>
                  <w:rPr>
                    <w:sz w:val="18"/>
                  </w:rPr>
                </w:pPr>
                <w:r>
                  <w:rPr>
                    <w:color w:val="231F20"/>
                    <w:sz w:val="18"/>
                  </w:rPr>
                  <w:t xml:space="preserve">107 </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19C1A" w14:textId="77777777" w:rsidR="001008C3" w:rsidRDefault="00000000">
    <w:pPr>
      <w:pStyle w:val="a3"/>
      <w:spacing w:line="14" w:lineRule="auto"/>
    </w:pPr>
    <w:r>
      <w:rPr>
        <w:noProof w:val="0"/>
      </w:rPr>
      <w:pict w14:anchorId="2B0E0BE7">
        <v:shapetype id="_x0000_t202" coordsize="21600,21600" o:spt="202" path="m,l,21600r21600,l21600,xe">
          <v:stroke joinstyle="miter"/>
          <v:path gradientshapeok="t" o:connecttype="rect"/>
        </v:shapetype>
        <v:shape id="_x0000_s1728" type="#_x0000_t202" style="position:absolute;margin-left:55.4pt;margin-top:594.5pt;width:28.25pt;height:12.55pt;z-index:-463528;mso-position-horizontal-relative:page;mso-position-vertical-relative:page" filled="f" stroked="f">
          <v:textbox inset="0,0,0,0">
            <w:txbxContent>
              <w:p w14:paraId="2567AA9C" w14:textId="77777777" w:rsidR="001008C3" w:rsidRDefault="001008C3">
                <w:pPr>
                  <w:spacing w:before="19"/>
                  <w:ind w:left="40"/>
                  <w:rPr>
                    <w:sz w:val="18"/>
                  </w:rPr>
                </w:pPr>
                <w:r>
                  <w:fldChar w:fldCharType="begin"/>
                </w:r>
                <w:r>
                  <w:rPr>
                    <w:color w:val="231F20"/>
                    <w:w w:val="115"/>
                    <w:sz w:val="18"/>
                  </w:rPr>
                  <w:instrText xml:space="preserve"> PAGE  \* roman </w:instrText>
                </w:r>
                <w:r>
                  <w:fldChar w:fldCharType="separate"/>
                </w:r>
                <w:r>
                  <w:t>xvii</w:t>
                </w:r>
                <w:r>
                  <w:fldChar w:fldCharType="end"/>
                </w:r>
                <w:r>
                  <w:rPr>
                    <w:color w:val="231F20"/>
                    <w:w w:val="115"/>
                    <w:sz w:val="18"/>
                  </w:rPr>
                  <w:t>i</w:t>
                </w:r>
                <w:r>
                  <w:rPr>
                    <w:color w:val="231F20"/>
                    <w:sz w:val="18"/>
                  </w:rPr>
                  <w:t xml:space="preserve"> </w:t>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253E9" w14:textId="77777777" w:rsidR="001008C3" w:rsidRDefault="00000000">
    <w:pPr>
      <w:pStyle w:val="a3"/>
      <w:spacing w:line="14" w:lineRule="auto"/>
    </w:pPr>
    <w:r>
      <w:rPr>
        <w:noProof w:val="0"/>
      </w:rPr>
      <w:pict w14:anchorId="42475C55">
        <v:shapetype id="_x0000_t202" coordsize="21600,21600" o:spt="202" path="m,l,21600r21600,l21600,xe">
          <v:stroke joinstyle="miter"/>
          <v:path gradientshapeok="t" o:connecttype="rect"/>
        </v:shapetype>
        <v:shape id="_x0000_s1633" type="#_x0000_t202" style="position:absolute;margin-left:56.4pt;margin-top:594.5pt;width:20.8pt;height:12.55pt;z-index:-461248;mso-position-horizontal-relative:page;mso-position-vertical-relative:page" filled="f" stroked="f">
          <v:textbox inset="0,0,0,0">
            <w:txbxContent>
              <w:p w14:paraId="05C4DC6B" w14:textId="77777777" w:rsidR="001008C3" w:rsidRDefault="001008C3">
                <w:pPr>
                  <w:spacing w:before="19"/>
                  <w:ind w:left="20"/>
                  <w:rPr>
                    <w:sz w:val="18"/>
                  </w:rPr>
                </w:pPr>
                <w:r>
                  <w:rPr>
                    <w:color w:val="231F20"/>
                    <w:sz w:val="18"/>
                  </w:rPr>
                  <w:t xml:space="preserve">108 </w:t>
                </w:r>
              </w:p>
            </w:txbxContent>
          </v:textbox>
          <w10:wrap anchorx="page" anchory="page"/>
        </v:shape>
      </w:pict>
    </w:r>
    <w:r>
      <w:rPr>
        <w:noProof w:val="0"/>
      </w:rPr>
      <w:pict w14:anchorId="46AE0E08">
        <v:shape id="_x0000_s1632" type="#_x0000_t202" style="position:absolute;margin-left:112pt;margin-top:594.5pt;width:255.6pt;height:12.55pt;z-index:-461224;mso-position-horizontal-relative:page;mso-position-vertical-relative:page" filled="f" stroked="f">
          <v:textbox inset="0,0,0,0">
            <w:txbxContent>
              <w:p w14:paraId="3B32A736" w14:textId="77777777" w:rsidR="001008C3" w:rsidRDefault="001008C3">
                <w:pPr>
                  <w:tabs>
                    <w:tab w:val="left" w:pos="4862"/>
                  </w:tabs>
                  <w:spacing w:before="19"/>
                  <w:ind w:left="20"/>
                  <w:rPr>
                    <w:sz w:val="14"/>
                  </w:rPr>
                </w:pPr>
                <w:r>
                  <w:rPr>
                    <w:color w:val="231F20"/>
                    <w:spacing w:val="20"/>
                    <w:w w:val="115"/>
                    <w:sz w:val="18"/>
                  </w:rPr>
                  <w:t xml:space="preserve">building  </w:t>
                </w:r>
                <w:r>
                  <w:rPr>
                    <w:color w:val="231F20"/>
                    <w:w w:val="115"/>
                    <w:sz w:val="18"/>
                  </w:rPr>
                  <w:t xml:space="preserve">a   </w:t>
                </w:r>
                <w:r>
                  <w:rPr>
                    <w:color w:val="231F20"/>
                    <w:spacing w:val="15"/>
                    <w:w w:val="115"/>
                    <w:sz w:val="18"/>
                  </w:rPr>
                  <w:t xml:space="preserve">base  and  </w:t>
                </w:r>
                <w:r>
                  <w:rPr>
                    <w:color w:val="231F20"/>
                    <w:spacing w:val="20"/>
                    <w:w w:val="115"/>
                    <w:sz w:val="18"/>
                  </w:rPr>
                  <w:t>“serving</w:t>
                </w:r>
                <w:r>
                  <w:rPr>
                    <w:color w:val="231F20"/>
                    <w:spacing w:val="25"/>
                    <w:w w:val="115"/>
                    <w:sz w:val="18"/>
                  </w:rPr>
                  <w:t xml:space="preserve"> </w:t>
                </w:r>
                <w:r>
                  <w:rPr>
                    <w:color w:val="231F20"/>
                    <w:spacing w:val="15"/>
                    <w:w w:val="115"/>
                    <w:sz w:val="18"/>
                  </w:rPr>
                  <w:t>the</w:t>
                </w:r>
                <w:r>
                  <w:rPr>
                    <w:color w:val="231F20"/>
                    <w:spacing w:val="75"/>
                    <w:w w:val="115"/>
                    <w:sz w:val="18"/>
                  </w:rPr>
                  <w:t xml:space="preserve"> </w:t>
                </w:r>
                <w:r>
                  <w:rPr>
                    <w:color w:val="231F20"/>
                    <w:spacing w:val="20"/>
                    <w:w w:val="115"/>
                    <w:sz w:val="18"/>
                  </w:rPr>
                  <w:t>people”</w:t>
                </w:r>
                <w:r>
                  <w:rPr>
                    <w:color w:val="231F20"/>
                    <w:spacing w:val="20"/>
                    <w:w w:val="115"/>
                    <w:sz w:val="18"/>
                  </w:rPr>
                  <w:tab/>
                </w:r>
                <w:r>
                  <w:rPr>
                    <w:color w:val="231F20"/>
                    <w:spacing w:val="11"/>
                    <w:w w:val="105"/>
                    <w:sz w:val="14"/>
                  </w:rPr>
                  <w:t>(4)</w:t>
                </w:r>
                <w:r>
                  <w:rPr>
                    <w:color w:val="231F20"/>
                    <w:spacing w:val="-12"/>
                    <w:sz w:val="14"/>
                  </w:rPr>
                  <w:t xml:space="preserve"> </w:t>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27811" w14:textId="77777777" w:rsidR="001008C3" w:rsidRDefault="00000000">
    <w:pPr>
      <w:pStyle w:val="a3"/>
      <w:spacing w:line="14" w:lineRule="auto"/>
    </w:pPr>
    <w:r>
      <w:rPr>
        <w:noProof w:val="0"/>
      </w:rPr>
      <w:pict w14:anchorId="1E5D2AFD">
        <v:shapetype id="_x0000_t202" coordsize="21600,21600" o:spt="202" path="m,l,21600r21600,l21600,xe">
          <v:stroke joinstyle="miter"/>
          <v:path gradientshapeok="t" o:connecttype="rect"/>
        </v:shapetype>
        <v:shape id="_x0000_s1631" type="#_x0000_t202" style="position:absolute;margin-left:65.4pt;margin-top:594.5pt;width:116.6pt;height:12.55pt;z-index:-461200;mso-position-horizontal-relative:page;mso-position-vertical-relative:page" filled="f" stroked="f">
          <v:textbox inset="0,0,0,0">
            <w:txbxContent>
              <w:p w14:paraId="04C41ADF"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7746FCD4">
        <v:shape id="_x0000_s1630" type="#_x0000_t202" style="position:absolute;margin-left:356.1pt;margin-top:594.5pt;width:20.8pt;height:12.55pt;z-index:-461176;mso-position-horizontal-relative:page;mso-position-vertical-relative:page" filled="f" stroked="f">
          <v:textbox inset="0,0,0,0">
            <w:txbxContent>
              <w:p w14:paraId="3F819171" w14:textId="77777777" w:rsidR="001008C3" w:rsidRDefault="001008C3">
                <w:pPr>
                  <w:spacing w:before="19"/>
                  <w:ind w:left="20"/>
                  <w:rPr>
                    <w:sz w:val="18"/>
                  </w:rPr>
                </w:pPr>
                <w:r>
                  <w:rPr>
                    <w:color w:val="231F20"/>
                    <w:sz w:val="18"/>
                  </w:rPr>
                  <w:t xml:space="preserve">109 </w:t>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4C99" w14:textId="77777777" w:rsidR="001008C3" w:rsidRDefault="00000000">
    <w:pPr>
      <w:pStyle w:val="a3"/>
      <w:spacing w:line="14" w:lineRule="auto"/>
    </w:pPr>
    <w:r>
      <w:rPr>
        <w:noProof w:val="0"/>
      </w:rPr>
      <w:pict w14:anchorId="795E57CF">
        <v:shapetype id="_x0000_t202" coordsize="21600,21600" o:spt="202" path="m,l,21600r21600,l21600,xe">
          <v:stroke joinstyle="miter"/>
          <v:path gradientshapeok="t" o:connecttype="rect"/>
        </v:shapetype>
        <v:shape id="_x0000_s1629" type="#_x0000_t202" style="position:absolute;margin-left:56.4pt;margin-top:594.5pt;width:20.8pt;height:12.55pt;z-index:-461152;mso-position-horizontal-relative:page;mso-position-vertical-relative:page" filled="f" stroked="f">
          <v:textbox inset="0,0,0,0">
            <w:txbxContent>
              <w:p w14:paraId="164FE84B" w14:textId="77777777" w:rsidR="001008C3" w:rsidRDefault="001008C3">
                <w:pPr>
                  <w:spacing w:before="19"/>
                  <w:ind w:left="20"/>
                  <w:rPr>
                    <w:sz w:val="18"/>
                  </w:rPr>
                </w:pPr>
                <w:r>
                  <w:rPr>
                    <w:color w:val="231F20"/>
                    <w:sz w:val="18"/>
                  </w:rPr>
                  <w:t xml:space="preserve">110 </w:t>
                </w:r>
              </w:p>
            </w:txbxContent>
          </v:textbox>
          <w10:wrap anchorx="page" anchory="page"/>
        </v:shape>
      </w:pict>
    </w:r>
    <w:r>
      <w:rPr>
        <w:noProof w:val="0"/>
      </w:rPr>
      <w:pict w14:anchorId="335B97B6">
        <v:shape id="_x0000_s1628" type="#_x0000_t202" style="position:absolute;margin-left:112pt;margin-top:594.5pt;width:255.6pt;height:12.55pt;z-index:-461128;mso-position-horizontal-relative:page;mso-position-vertical-relative:page" filled="f" stroked="f">
          <v:textbox inset="0,0,0,0">
            <w:txbxContent>
              <w:p w14:paraId="1DA20A4F" w14:textId="77777777" w:rsidR="001008C3" w:rsidRDefault="001008C3">
                <w:pPr>
                  <w:tabs>
                    <w:tab w:val="left" w:pos="4862"/>
                  </w:tabs>
                  <w:spacing w:before="19"/>
                  <w:ind w:left="20"/>
                  <w:rPr>
                    <w:sz w:val="14"/>
                  </w:rPr>
                </w:pPr>
                <w:r>
                  <w:rPr>
                    <w:color w:val="231F20"/>
                    <w:spacing w:val="20"/>
                    <w:w w:val="115"/>
                    <w:sz w:val="18"/>
                  </w:rPr>
                  <w:t xml:space="preserve">building  </w:t>
                </w:r>
                <w:r>
                  <w:rPr>
                    <w:color w:val="231F20"/>
                    <w:w w:val="115"/>
                    <w:sz w:val="18"/>
                  </w:rPr>
                  <w:t xml:space="preserve">a   </w:t>
                </w:r>
                <w:r>
                  <w:rPr>
                    <w:color w:val="231F20"/>
                    <w:spacing w:val="15"/>
                    <w:w w:val="115"/>
                    <w:sz w:val="18"/>
                  </w:rPr>
                  <w:t xml:space="preserve">base  and  </w:t>
                </w:r>
                <w:r>
                  <w:rPr>
                    <w:color w:val="231F20"/>
                    <w:spacing w:val="20"/>
                    <w:w w:val="115"/>
                    <w:sz w:val="18"/>
                  </w:rPr>
                  <w:t>“serving</w:t>
                </w:r>
                <w:r>
                  <w:rPr>
                    <w:color w:val="231F20"/>
                    <w:spacing w:val="25"/>
                    <w:w w:val="115"/>
                    <w:sz w:val="18"/>
                  </w:rPr>
                  <w:t xml:space="preserve"> </w:t>
                </w:r>
                <w:r>
                  <w:rPr>
                    <w:color w:val="231F20"/>
                    <w:spacing w:val="15"/>
                    <w:w w:val="115"/>
                    <w:sz w:val="18"/>
                  </w:rPr>
                  <w:t>the</w:t>
                </w:r>
                <w:r>
                  <w:rPr>
                    <w:color w:val="231F20"/>
                    <w:spacing w:val="75"/>
                    <w:w w:val="115"/>
                    <w:sz w:val="18"/>
                  </w:rPr>
                  <w:t xml:space="preserve"> </w:t>
                </w:r>
                <w:r>
                  <w:rPr>
                    <w:color w:val="231F20"/>
                    <w:spacing w:val="20"/>
                    <w:w w:val="115"/>
                    <w:sz w:val="18"/>
                  </w:rPr>
                  <w:t>people”</w:t>
                </w:r>
                <w:r>
                  <w:rPr>
                    <w:color w:val="231F20"/>
                    <w:spacing w:val="20"/>
                    <w:w w:val="115"/>
                    <w:sz w:val="18"/>
                  </w:rPr>
                  <w:tab/>
                </w:r>
                <w:r>
                  <w:rPr>
                    <w:color w:val="231F20"/>
                    <w:spacing w:val="11"/>
                    <w:w w:val="105"/>
                    <w:sz w:val="14"/>
                  </w:rPr>
                  <w:t>(4)</w:t>
                </w:r>
                <w:r>
                  <w:rPr>
                    <w:color w:val="231F20"/>
                    <w:spacing w:val="-12"/>
                    <w:sz w:val="14"/>
                  </w:rPr>
                  <w:t xml:space="preserve"> </w:t>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728A5" w14:textId="77777777" w:rsidR="001008C3" w:rsidRDefault="00000000">
    <w:pPr>
      <w:pStyle w:val="a3"/>
      <w:spacing w:line="14" w:lineRule="auto"/>
    </w:pPr>
    <w:r>
      <w:rPr>
        <w:noProof w:val="0"/>
      </w:rPr>
      <w:pict w14:anchorId="5BD7F02A">
        <v:shapetype id="_x0000_t202" coordsize="21600,21600" o:spt="202" path="m,l,21600r21600,l21600,xe">
          <v:stroke joinstyle="miter"/>
          <v:path gradientshapeok="t" o:connecttype="rect"/>
        </v:shapetype>
        <v:shape id="_x0000_s1627" type="#_x0000_t202" style="position:absolute;margin-left:65.4pt;margin-top:594.5pt;width:116.6pt;height:12.55pt;z-index:-461104;mso-position-horizontal-relative:page;mso-position-vertical-relative:page" filled="f" stroked="f">
          <v:textbox inset="0,0,0,0">
            <w:txbxContent>
              <w:p w14:paraId="766865BC"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06256D4D">
        <v:shape id="_x0000_s1626" type="#_x0000_t202" style="position:absolute;margin-left:356.1pt;margin-top:594.5pt;width:20.8pt;height:12.55pt;z-index:-461080;mso-position-horizontal-relative:page;mso-position-vertical-relative:page" filled="f" stroked="f">
          <v:textbox inset="0,0,0,0">
            <w:txbxContent>
              <w:p w14:paraId="7C44BC50" w14:textId="77777777" w:rsidR="001008C3" w:rsidRDefault="001008C3">
                <w:pPr>
                  <w:spacing w:before="19"/>
                  <w:ind w:left="20"/>
                  <w:rPr>
                    <w:sz w:val="18"/>
                  </w:rPr>
                </w:pPr>
                <w:r>
                  <w:rPr>
                    <w:color w:val="231F20"/>
                    <w:sz w:val="18"/>
                  </w:rPr>
                  <w:t xml:space="preserve">111 </w:t>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584B6" w14:textId="77777777" w:rsidR="001008C3" w:rsidRDefault="00000000">
    <w:pPr>
      <w:pStyle w:val="a3"/>
      <w:spacing w:line="14" w:lineRule="auto"/>
    </w:pPr>
    <w:r>
      <w:rPr>
        <w:noProof w:val="0"/>
      </w:rPr>
      <w:pict w14:anchorId="64DEE7FB">
        <v:shapetype id="_x0000_t202" coordsize="21600,21600" o:spt="202" path="m,l,21600r21600,l21600,xe">
          <v:stroke joinstyle="miter"/>
          <v:path gradientshapeok="t" o:connecttype="rect"/>
        </v:shapetype>
        <v:shape id="_x0000_s1625" type="#_x0000_t202" style="position:absolute;margin-left:55.4pt;margin-top:594.5pt;width:22.8pt;height:12.55pt;z-index:-461056;mso-position-horizontal-relative:page;mso-position-vertical-relative:page" filled="f" stroked="f">
          <v:textbox inset="0,0,0,0">
            <w:txbxContent>
              <w:p w14:paraId="3A324D6B" w14:textId="77777777" w:rsidR="001008C3" w:rsidRDefault="001008C3">
                <w:pPr>
                  <w:spacing w:before="19"/>
                  <w:ind w:left="40"/>
                  <w:rPr>
                    <w:sz w:val="18"/>
                  </w:rPr>
                </w:pPr>
                <w:r>
                  <w:rPr>
                    <w:color w:val="231F20"/>
                    <w:sz w:val="18"/>
                  </w:rPr>
                  <w:t xml:space="preserve">112 </w:t>
                </w:r>
              </w:p>
            </w:txbxContent>
          </v:textbox>
          <w10:wrap anchorx="page" anchory="page"/>
        </v:shape>
      </w:pict>
    </w:r>
    <w:r>
      <w:rPr>
        <w:noProof w:val="0"/>
      </w:rPr>
      <w:pict w14:anchorId="56766D30">
        <v:shape id="_x0000_s1624" type="#_x0000_t202" style="position:absolute;margin-left:112pt;margin-top:594.5pt;width:255.6pt;height:12.55pt;z-index:-461032;mso-position-horizontal-relative:page;mso-position-vertical-relative:page" filled="f" stroked="f">
          <v:textbox inset="0,0,0,0">
            <w:txbxContent>
              <w:p w14:paraId="048CB22C" w14:textId="77777777" w:rsidR="001008C3" w:rsidRDefault="001008C3">
                <w:pPr>
                  <w:tabs>
                    <w:tab w:val="left" w:pos="4862"/>
                  </w:tabs>
                  <w:spacing w:before="19"/>
                  <w:ind w:left="20"/>
                  <w:rPr>
                    <w:sz w:val="14"/>
                  </w:rPr>
                </w:pPr>
                <w:r>
                  <w:rPr>
                    <w:color w:val="231F20"/>
                    <w:spacing w:val="20"/>
                    <w:w w:val="115"/>
                    <w:sz w:val="18"/>
                  </w:rPr>
                  <w:t xml:space="preserve">building  </w:t>
                </w:r>
                <w:r>
                  <w:rPr>
                    <w:color w:val="231F20"/>
                    <w:w w:val="115"/>
                    <w:sz w:val="18"/>
                  </w:rPr>
                  <w:t xml:space="preserve">a   </w:t>
                </w:r>
                <w:r>
                  <w:rPr>
                    <w:color w:val="231F20"/>
                    <w:spacing w:val="15"/>
                    <w:w w:val="115"/>
                    <w:sz w:val="18"/>
                  </w:rPr>
                  <w:t xml:space="preserve">base  and  </w:t>
                </w:r>
                <w:r>
                  <w:rPr>
                    <w:color w:val="231F20"/>
                    <w:spacing w:val="20"/>
                    <w:w w:val="115"/>
                    <w:sz w:val="18"/>
                  </w:rPr>
                  <w:t>“serving</w:t>
                </w:r>
                <w:r>
                  <w:rPr>
                    <w:color w:val="231F20"/>
                    <w:spacing w:val="25"/>
                    <w:w w:val="115"/>
                    <w:sz w:val="18"/>
                  </w:rPr>
                  <w:t xml:space="preserve"> </w:t>
                </w:r>
                <w:r>
                  <w:rPr>
                    <w:color w:val="231F20"/>
                    <w:spacing w:val="15"/>
                    <w:w w:val="115"/>
                    <w:sz w:val="18"/>
                  </w:rPr>
                  <w:t>the</w:t>
                </w:r>
                <w:r>
                  <w:rPr>
                    <w:color w:val="231F20"/>
                    <w:spacing w:val="75"/>
                    <w:w w:val="115"/>
                    <w:sz w:val="18"/>
                  </w:rPr>
                  <w:t xml:space="preserve"> </w:t>
                </w:r>
                <w:r>
                  <w:rPr>
                    <w:color w:val="231F20"/>
                    <w:spacing w:val="20"/>
                    <w:w w:val="115"/>
                    <w:sz w:val="18"/>
                  </w:rPr>
                  <w:t>people”</w:t>
                </w:r>
                <w:r>
                  <w:rPr>
                    <w:color w:val="231F20"/>
                    <w:spacing w:val="20"/>
                    <w:w w:val="115"/>
                    <w:sz w:val="18"/>
                  </w:rPr>
                  <w:tab/>
                </w:r>
                <w:r>
                  <w:rPr>
                    <w:color w:val="231F20"/>
                    <w:spacing w:val="11"/>
                    <w:w w:val="105"/>
                    <w:sz w:val="14"/>
                  </w:rPr>
                  <w:t>(4)</w:t>
                </w:r>
                <w:r>
                  <w:rPr>
                    <w:color w:val="231F20"/>
                    <w:spacing w:val="-12"/>
                    <w:sz w:val="14"/>
                  </w:rPr>
                  <w:t xml:space="preserve"> </w:t>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D90D7" w14:textId="77777777" w:rsidR="001008C3" w:rsidRDefault="00000000">
    <w:pPr>
      <w:pStyle w:val="a3"/>
      <w:spacing w:line="14" w:lineRule="auto"/>
    </w:pPr>
    <w:r>
      <w:rPr>
        <w:noProof w:val="0"/>
      </w:rPr>
      <w:pict w14:anchorId="18479E96">
        <v:shapetype id="_x0000_t202" coordsize="21600,21600" o:spt="202" path="m,l,21600r21600,l21600,xe">
          <v:stroke joinstyle="miter"/>
          <v:path gradientshapeok="t" o:connecttype="rect"/>
        </v:shapetype>
        <v:shape id="_x0000_s1621" type="#_x0000_t202" style="position:absolute;margin-left:55.4pt;margin-top:594.5pt;width:22.8pt;height:12.55pt;z-index:-460960;mso-position-horizontal-relative:page;mso-position-vertical-relative:page" filled="f" stroked="f">
          <v:textbox inset="0,0,0,0">
            <w:txbxContent>
              <w:p w14:paraId="10AE2451"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114</w:t>
                </w:r>
                <w:r>
                  <w:fldChar w:fldCharType="end"/>
                </w:r>
                <w:r>
                  <w:rPr>
                    <w:color w:val="231F20"/>
                    <w:sz w:val="18"/>
                  </w:rPr>
                  <w:t xml:space="preserve"> </w:t>
                </w:r>
              </w:p>
            </w:txbxContent>
          </v:textbox>
          <w10:wrap anchorx="page" anchory="page"/>
        </v:shape>
      </w:pict>
    </w:r>
    <w:r>
      <w:rPr>
        <w:noProof w:val="0"/>
      </w:rPr>
      <w:pict w14:anchorId="0E9B934C">
        <v:shape id="_x0000_s1620" type="#_x0000_t202" style="position:absolute;margin-left:112pt;margin-top:594.5pt;width:255.6pt;height:12.55pt;z-index:-460936;mso-position-horizontal-relative:page;mso-position-vertical-relative:page" filled="f" stroked="f">
          <v:textbox inset="0,0,0,0">
            <w:txbxContent>
              <w:p w14:paraId="269E04BB" w14:textId="77777777" w:rsidR="001008C3" w:rsidRDefault="001008C3">
                <w:pPr>
                  <w:tabs>
                    <w:tab w:val="left" w:pos="4862"/>
                  </w:tabs>
                  <w:spacing w:before="19"/>
                  <w:ind w:left="20"/>
                  <w:rPr>
                    <w:sz w:val="14"/>
                  </w:rPr>
                </w:pPr>
                <w:r>
                  <w:rPr>
                    <w:color w:val="231F20"/>
                    <w:spacing w:val="20"/>
                    <w:w w:val="115"/>
                    <w:sz w:val="18"/>
                  </w:rPr>
                  <w:t xml:space="preserve">building  </w:t>
                </w:r>
                <w:r>
                  <w:rPr>
                    <w:color w:val="231F20"/>
                    <w:w w:val="115"/>
                    <w:sz w:val="18"/>
                  </w:rPr>
                  <w:t xml:space="preserve">a   </w:t>
                </w:r>
                <w:r>
                  <w:rPr>
                    <w:color w:val="231F20"/>
                    <w:spacing w:val="15"/>
                    <w:w w:val="115"/>
                    <w:sz w:val="18"/>
                  </w:rPr>
                  <w:t xml:space="preserve">base  and  </w:t>
                </w:r>
                <w:r>
                  <w:rPr>
                    <w:color w:val="231F20"/>
                    <w:spacing w:val="20"/>
                    <w:w w:val="115"/>
                    <w:sz w:val="18"/>
                  </w:rPr>
                  <w:t>“serving</w:t>
                </w:r>
                <w:r>
                  <w:rPr>
                    <w:color w:val="231F20"/>
                    <w:spacing w:val="25"/>
                    <w:w w:val="115"/>
                    <w:sz w:val="18"/>
                  </w:rPr>
                  <w:t xml:space="preserve"> </w:t>
                </w:r>
                <w:r>
                  <w:rPr>
                    <w:color w:val="231F20"/>
                    <w:spacing w:val="15"/>
                    <w:w w:val="115"/>
                    <w:sz w:val="18"/>
                  </w:rPr>
                  <w:t>the</w:t>
                </w:r>
                <w:r>
                  <w:rPr>
                    <w:color w:val="231F20"/>
                    <w:spacing w:val="75"/>
                    <w:w w:val="115"/>
                    <w:sz w:val="18"/>
                  </w:rPr>
                  <w:t xml:space="preserve"> </w:t>
                </w:r>
                <w:r>
                  <w:rPr>
                    <w:color w:val="231F20"/>
                    <w:spacing w:val="20"/>
                    <w:w w:val="115"/>
                    <w:sz w:val="18"/>
                  </w:rPr>
                  <w:t>people”</w:t>
                </w:r>
                <w:r>
                  <w:rPr>
                    <w:color w:val="231F20"/>
                    <w:spacing w:val="20"/>
                    <w:w w:val="115"/>
                    <w:sz w:val="18"/>
                  </w:rPr>
                  <w:tab/>
                </w:r>
                <w:r>
                  <w:rPr>
                    <w:color w:val="231F20"/>
                    <w:spacing w:val="11"/>
                    <w:w w:val="105"/>
                    <w:sz w:val="14"/>
                  </w:rPr>
                  <w:t>(4)</w:t>
                </w:r>
                <w:r>
                  <w:rPr>
                    <w:color w:val="231F20"/>
                    <w:spacing w:val="-12"/>
                    <w:sz w:val="14"/>
                  </w:rPr>
                  <w:t xml:space="preserve"> </w:t>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358F" w14:textId="77777777" w:rsidR="001008C3" w:rsidRDefault="00000000">
    <w:pPr>
      <w:pStyle w:val="a3"/>
      <w:spacing w:line="14" w:lineRule="auto"/>
    </w:pPr>
    <w:r>
      <w:rPr>
        <w:noProof w:val="0"/>
      </w:rPr>
      <w:pict w14:anchorId="016E83EF">
        <v:shapetype id="_x0000_t202" coordsize="21600,21600" o:spt="202" path="m,l,21600r21600,l21600,xe">
          <v:stroke joinstyle="miter"/>
          <v:path gradientshapeok="t" o:connecttype="rect"/>
        </v:shapetype>
        <v:shape id="_x0000_s1623" type="#_x0000_t202" style="position:absolute;margin-left:65.4pt;margin-top:594.5pt;width:116.6pt;height:12.55pt;z-index:-461008;mso-position-horizontal-relative:page;mso-position-vertical-relative:page" filled="f" stroked="f">
          <v:textbox inset="0,0,0,0">
            <w:txbxContent>
              <w:p w14:paraId="007BEC1B"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07C81995">
        <v:shape id="_x0000_s1622" type="#_x0000_t202" style="position:absolute;margin-left:355.1pt;margin-top:594.5pt;width:22.8pt;height:12.55pt;z-index:-460984;mso-position-horizontal-relative:page;mso-position-vertical-relative:page" filled="f" stroked="f">
          <v:textbox inset="0,0,0,0">
            <w:txbxContent>
              <w:p w14:paraId="605162B5"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113</w:t>
                </w:r>
                <w:r>
                  <w:fldChar w:fldCharType="end"/>
                </w:r>
                <w:r>
                  <w:rPr>
                    <w:color w:val="231F20"/>
                    <w:sz w:val="18"/>
                  </w:rPr>
                  <w:t xml:space="preserve"> </w:t>
                </w:r>
              </w:p>
            </w:txbxContent>
          </v:textbox>
          <w10:wrap anchorx="page" anchory="page"/>
        </v:shape>
      </w:pic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100A9" w14:textId="77777777" w:rsidR="001008C3" w:rsidRDefault="00000000">
    <w:pPr>
      <w:pStyle w:val="a3"/>
      <w:spacing w:line="14" w:lineRule="auto"/>
    </w:pPr>
    <w:r>
      <w:rPr>
        <w:noProof w:val="0"/>
      </w:rPr>
      <w:pict w14:anchorId="228A0D9F">
        <v:shapetype id="_x0000_t202" coordsize="21600,21600" o:spt="202" path="m,l,21600r21600,l21600,xe">
          <v:stroke joinstyle="miter"/>
          <v:path gradientshapeok="t" o:connecttype="rect"/>
        </v:shapetype>
        <v:shape id="_x0000_s1617" type="#_x0000_t202" style="position:absolute;margin-left:65.4pt;margin-top:594.5pt;width:311.5pt;height:12.55pt;z-index:-460864;mso-position-horizontal-relative:page;mso-position-vertical-relative:page" filled="f" stroked="f">
          <v:textbox inset="0,0,0,0">
            <w:txbxContent>
              <w:p w14:paraId="3C58FEEC" w14:textId="77777777" w:rsidR="001008C3" w:rsidRDefault="001008C3">
                <w:pPr>
                  <w:spacing w:before="19"/>
                  <w:ind w:left="20"/>
                  <w:rPr>
                    <w:sz w:val="18"/>
                  </w:rPr>
                </w:pPr>
                <w:r>
                  <w:rPr>
                    <w:color w:val="231F20"/>
                    <w:w w:val="115"/>
                    <w:sz w:val="18"/>
                  </w:rPr>
                  <w:t>january 1972 • andreas baader: letter to the press 121</w:t>
                </w:r>
                <w:r>
                  <w:rPr>
                    <w:color w:val="231F20"/>
                    <w:sz w:val="18"/>
                  </w:rPr>
                  <w:t xml:space="preserve"> </w:t>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25733" w14:textId="77777777" w:rsidR="001008C3" w:rsidRDefault="00000000">
    <w:pPr>
      <w:pStyle w:val="a3"/>
      <w:spacing w:line="14" w:lineRule="auto"/>
    </w:pPr>
    <w:r>
      <w:rPr>
        <w:noProof w:val="0"/>
      </w:rPr>
      <w:pict w14:anchorId="25395D59">
        <v:shapetype id="_x0000_t202" coordsize="21600,21600" o:spt="202" path="m,l,21600r21600,l21600,xe">
          <v:stroke joinstyle="miter"/>
          <v:path gradientshapeok="t" o:connecttype="rect"/>
        </v:shapetype>
        <v:shape id="_x0000_s1619" type="#_x0000_t202" style="position:absolute;margin-left:56.4pt;margin-top:594.5pt;width:20.8pt;height:12.55pt;z-index:-460912;mso-position-horizontal-relative:page;mso-position-vertical-relative:page" filled="f" stroked="f">
          <v:textbox inset="0,0,0,0">
            <w:txbxContent>
              <w:p w14:paraId="3AF1452E" w14:textId="77777777" w:rsidR="001008C3" w:rsidRDefault="001008C3">
                <w:pPr>
                  <w:spacing w:before="19"/>
                  <w:ind w:left="20"/>
                  <w:rPr>
                    <w:sz w:val="18"/>
                  </w:rPr>
                </w:pPr>
                <w:r>
                  <w:rPr>
                    <w:color w:val="231F20"/>
                    <w:sz w:val="18"/>
                  </w:rPr>
                  <w:t xml:space="preserve">120 </w:t>
                </w:r>
              </w:p>
            </w:txbxContent>
          </v:textbox>
          <w10:wrap anchorx="page" anchory="page"/>
        </v:shape>
      </w:pict>
    </w:r>
    <w:r>
      <w:rPr>
        <w:noProof w:val="0"/>
      </w:rPr>
      <w:pict w14:anchorId="24BEF397">
        <v:shape id="_x0000_s1618" type="#_x0000_t202" style="position:absolute;margin-left:112pt;margin-top:594.5pt;width:255.6pt;height:12.55pt;z-index:-460888;mso-position-horizontal-relative:page;mso-position-vertical-relative:page" filled="f" stroked="f">
          <v:textbox inset="0,0,0,0">
            <w:txbxContent>
              <w:p w14:paraId="3F64029B" w14:textId="77777777" w:rsidR="001008C3" w:rsidRDefault="001008C3">
                <w:pPr>
                  <w:tabs>
                    <w:tab w:val="left" w:pos="4862"/>
                  </w:tabs>
                  <w:spacing w:before="19"/>
                  <w:ind w:left="20"/>
                  <w:rPr>
                    <w:sz w:val="14"/>
                  </w:rPr>
                </w:pPr>
                <w:r>
                  <w:rPr>
                    <w:color w:val="231F20"/>
                    <w:spacing w:val="20"/>
                    <w:w w:val="115"/>
                    <w:sz w:val="18"/>
                  </w:rPr>
                  <w:t xml:space="preserve">building  </w:t>
                </w:r>
                <w:r>
                  <w:rPr>
                    <w:color w:val="231F20"/>
                    <w:w w:val="115"/>
                    <w:sz w:val="18"/>
                  </w:rPr>
                  <w:t xml:space="preserve">a   </w:t>
                </w:r>
                <w:r>
                  <w:rPr>
                    <w:color w:val="231F20"/>
                    <w:spacing w:val="15"/>
                    <w:w w:val="115"/>
                    <w:sz w:val="18"/>
                  </w:rPr>
                  <w:t xml:space="preserve">base  and  </w:t>
                </w:r>
                <w:r>
                  <w:rPr>
                    <w:color w:val="231F20"/>
                    <w:spacing w:val="20"/>
                    <w:w w:val="115"/>
                    <w:sz w:val="18"/>
                  </w:rPr>
                  <w:t>“serving</w:t>
                </w:r>
                <w:r>
                  <w:rPr>
                    <w:color w:val="231F20"/>
                    <w:spacing w:val="25"/>
                    <w:w w:val="115"/>
                    <w:sz w:val="18"/>
                  </w:rPr>
                  <w:t xml:space="preserve"> </w:t>
                </w:r>
                <w:r>
                  <w:rPr>
                    <w:color w:val="231F20"/>
                    <w:spacing w:val="15"/>
                    <w:w w:val="115"/>
                    <w:sz w:val="18"/>
                  </w:rPr>
                  <w:t>the</w:t>
                </w:r>
                <w:r>
                  <w:rPr>
                    <w:color w:val="231F20"/>
                    <w:spacing w:val="75"/>
                    <w:w w:val="115"/>
                    <w:sz w:val="18"/>
                  </w:rPr>
                  <w:t xml:space="preserve"> </w:t>
                </w:r>
                <w:r>
                  <w:rPr>
                    <w:color w:val="231F20"/>
                    <w:spacing w:val="20"/>
                    <w:w w:val="115"/>
                    <w:sz w:val="18"/>
                  </w:rPr>
                  <w:t>people”</w:t>
                </w:r>
                <w:r>
                  <w:rPr>
                    <w:color w:val="231F20"/>
                    <w:spacing w:val="20"/>
                    <w:w w:val="115"/>
                    <w:sz w:val="18"/>
                  </w:rPr>
                  <w:tab/>
                </w:r>
                <w:r>
                  <w:rPr>
                    <w:color w:val="231F20"/>
                    <w:spacing w:val="11"/>
                    <w:w w:val="105"/>
                    <w:sz w:val="14"/>
                  </w:rPr>
                  <w:t>(4)</w:t>
                </w:r>
                <w:r>
                  <w:rPr>
                    <w:color w:val="231F20"/>
                    <w:spacing w:val="-12"/>
                    <w:sz w:val="14"/>
                  </w:rPr>
                  <w:t xml:space="preserve"> </w:t>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E3AE7" w14:textId="77777777" w:rsidR="001008C3" w:rsidRDefault="00000000">
    <w:pPr>
      <w:pStyle w:val="a3"/>
      <w:spacing w:line="14" w:lineRule="auto"/>
    </w:pPr>
    <w:r>
      <w:rPr>
        <w:noProof w:val="0"/>
      </w:rPr>
      <w:pict w14:anchorId="4C93B84A">
        <v:shapetype id="_x0000_t202" coordsize="21600,21600" o:spt="202" path="m,l,21600r21600,l21600,xe">
          <v:stroke joinstyle="miter"/>
          <v:path gradientshapeok="t" o:connecttype="rect"/>
        </v:shapetype>
        <v:shape id="_x0000_s1616" type="#_x0000_t202" style="position:absolute;margin-left:55.4pt;margin-top:594.5pt;width:22.8pt;height:12.55pt;z-index:-460840;mso-position-horizontal-relative:page;mso-position-vertical-relative:page" filled="f" stroked="f">
          <v:textbox inset="0,0,0,0">
            <w:txbxContent>
              <w:p w14:paraId="6A33E456"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122</w:t>
                </w:r>
                <w:r>
                  <w:fldChar w:fldCharType="end"/>
                </w:r>
                <w:r>
                  <w:rPr>
                    <w:color w:val="231F20"/>
                    <w:sz w:val="18"/>
                  </w:rPr>
                  <w:t xml:space="preserve"> </w:t>
                </w:r>
              </w:p>
            </w:txbxContent>
          </v:textbox>
          <w10:wrap anchorx="page" anchory="page"/>
        </v:shape>
      </w:pict>
    </w:r>
    <w:r>
      <w:rPr>
        <w:noProof w:val="0"/>
      </w:rPr>
      <w:pict w14:anchorId="5A11DB91">
        <v:shape id="_x0000_s1615" type="#_x0000_t202" style="position:absolute;margin-left:112pt;margin-top:594.5pt;width:255.6pt;height:12.55pt;z-index:-460816;mso-position-horizontal-relative:page;mso-position-vertical-relative:page" filled="f" stroked="f">
          <v:textbox inset="0,0,0,0">
            <w:txbxContent>
              <w:p w14:paraId="1960610E" w14:textId="77777777" w:rsidR="001008C3" w:rsidRDefault="001008C3">
                <w:pPr>
                  <w:tabs>
                    <w:tab w:val="left" w:pos="4862"/>
                  </w:tabs>
                  <w:spacing w:before="19"/>
                  <w:ind w:left="20"/>
                  <w:rPr>
                    <w:sz w:val="14"/>
                  </w:rPr>
                </w:pPr>
                <w:r>
                  <w:rPr>
                    <w:color w:val="231F20"/>
                    <w:spacing w:val="20"/>
                    <w:w w:val="115"/>
                    <w:sz w:val="18"/>
                  </w:rPr>
                  <w:t xml:space="preserve">building  </w:t>
                </w:r>
                <w:r>
                  <w:rPr>
                    <w:color w:val="231F20"/>
                    <w:w w:val="115"/>
                    <w:sz w:val="18"/>
                  </w:rPr>
                  <w:t xml:space="preserve">a   </w:t>
                </w:r>
                <w:r>
                  <w:rPr>
                    <w:color w:val="231F20"/>
                    <w:spacing w:val="15"/>
                    <w:w w:val="115"/>
                    <w:sz w:val="18"/>
                  </w:rPr>
                  <w:t xml:space="preserve">base  and  </w:t>
                </w:r>
                <w:r>
                  <w:rPr>
                    <w:color w:val="231F20"/>
                    <w:spacing w:val="20"/>
                    <w:w w:val="115"/>
                    <w:sz w:val="18"/>
                  </w:rPr>
                  <w:t>“serving</w:t>
                </w:r>
                <w:r>
                  <w:rPr>
                    <w:color w:val="231F20"/>
                    <w:spacing w:val="25"/>
                    <w:w w:val="115"/>
                    <w:sz w:val="18"/>
                  </w:rPr>
                  <w:t xml:space="preserve"> </w:t>
                </w:r>
                <w:r>
                  <w:rPr>
                    <w:color w:val="231F20"/>
                    <w:spacing w:val="15"/>
                    <w:w w:val="115"/>
                    <w:sz w:val="18"/>
                  </w:rPr>
                  <w:t>the</w:t>
                </w:r>
                <w:r>
                  <w:rPr>
                    <w:color w:val="231F20"/>
                    <w:spacing w:val="75"/>
                    <w:w w:val="115"/>
                    <w:sz w:val="18"/>
                  </w:rPr>
                  <w:t xml:space="preserve"> </w:t>
                </w:r>
                <w:r>
                  <w:rPr>
                    <w:color w:val="231F20"/>
                    <w:spacing w:val="20"/>
                    <w:w w:val="115"/>
                    <w:sz w:val="18"/>
                  </w:rPr>
                  <w:t>people”</w:t>
                </w:r>
                <w:r>
                  <w:rPr>
                    <w:color w:val="231F20"/>
                    <w:spacing w:val="20"/>
                    <w:w w:val="115"/>
                    <w:sz w:val="18"/>
                  </w:rPr>
                  <w:tab/>
                </w:r>
                <w:r>
                  <w:rPr>
                    <w:color w:val="231F20"/>
                    <w:spacing w:val="11"/>
                    <w:w w:val="105"/>
                    <w:sz w:val="14"/>
                  </w:rPr>
                  <w:t>(4)</w:t>
                </w:r>
                <w:r>
                  <w:rPr>
                    <w:color w:val="231F20"/>
                    <w:spacing w:val="-12"/>
                    <w:sz w:val="14"/>
                  </w:rPr>
                  <w:t xml:space="preserve"> </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B682D" w14:textId="77777777" w:rsidR="001008C3" w:rsidRDefault="00000000">
    <w:pPr>
      <w:pStyle w:val="a3"/>
      <w:spacing w:line="14" w:lineRule="auto"/>
    </w:pPr>
    <w:r>
      <w:rPr>
        <w:noProof w:val="0"/>
      </w:rPr>
      <w:pict w14:anchorId="54EB62FA">
        <v:shapetype id="_x0000_t202" coordsize="21600,21600" o:spt="202" path="m,l,21600r21600,l21600,xe">
          <v:stroke joinstyle="miter"/>
          <v:path gradientshapeok="t" o:connecttype="rect"/>
        </v:shapetype>
        <v:shape id="_x0000_s1725" type="#_x0000_t202" style="position:absolute;margin-left:357.1pt;margin-top:594.5pt;width:19.75pt;height:12.55pt;z-index:-463456;mso-position-horizontal-relative:page;mso-position-vertical-relative:page" filled="f" stroked="f">
          <v:textbox inset="0,0,0,0">
            <w:txbxContent>
              <w:p w14:paraId="11D80147" w14:textId="77777777" w:rsidR="001008C3" w:rsidRDefault="001008C3">
                <w:pPr>
                  <w:spacing w:before="19"/>
                  <w:ind w:left="40"/>
                  <w:rPr>
                    <w:sz w:val="18"/>
                  </w:rPr>
                </w:pPr>
                <w:r>
                  <w:rPr>
                    <w:color w:val="231F20"/>
                    <w:w w:val="115"/>
                    <w:sz w:val="18"/>
                  </w:rPr>
                  <w:t>xxi</w:t>
                </w:r>
                <w:r>
                  <w:rPr>
                    <w:color w:val="231F20"/>
                    <w:sz w:val="18"/>
                  </w:rPr>
                  <w:t xml:space="preserve"> </w:t>
                </w:r>
              </w:p>
            </w:txbxContent>
          </v:textbox>
          <w10:wrap anchorx="page" anchory="page"/>
        </v:shape>
      </w:pic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AC91D" w14:textId="77777777" w:rsidR="001008C3" w:rsidRDefault="00000000">
    <w:pPr>
      <w:pStyle w:val="a3"/>
      <w:spacing w:line="14" w:lineRule="auto"/>
    </w:pPr>
    <w:r>
      <w:rPr>
        <w:noProof w:val="0"/>
      </w:rPr>
      <w:pict w14:anchorId="7A212263">
        <v:shapetype id="_x0000_t202" coordsize="21600,21600" o:spt="202" path="m,l,21600r21600,l21600,xe">
          <v:stroke joinstyle="miter"/>
          <v:path gradientshapeok="t" o:connecttype="rect"/>
        </v:shapetype>
        <v:shape id="_x0000_s1614" type="#_x0000_t202" style="position:absolute;margin-left:65.4pt;margin-top:594.5pt;width:167.5pt;height:12.55pt;z-index:-460792;mso-position-horizontal-relative:page;mso-position-vertical-relative:page" filled="f" stroked="f">
          <v:textbox inset="0,0,0,0">
            <w:txbxContent>
              <w:p w14:paraId="15D16274" w14:textId="77777777" w:rsidR="001008C3" w:rsidRDefault="001008C3">
                <w:pPr>
                  <w:spacing w:before="19"/>
                  <w:ind w:left="20"/>
                  <w:rPr>
                    <w:sz w:val="18"/>
                  </w:rPr>
                </w:pPr>
                <w:r>
                  <w:rPr>
                    <w:color w:val="231F20"/>
                    <w:w w:val="115"/>
                    <w:sz w:val="18"/>
                  </w:rPr>
                  <w:t>april 1972 • serve the people</w:t>
                </w:r>
                <w:r>
                  <w:rPr>
                    <w:color w:val="231F20"/>
                    <w:sz w:val="18"/>
                  </w:rPr>
                  <w:t xml:space="preserve"> </w:t>
                </w:r>
              </w:p>
            </w:txbxContent>
          </v:textbox>
          <w10:wrap anchorx="page" anchory="page"/>
        </v:shape>
      </w:pict>
    </w:r>
    <w:r>
      <w:rPr>
        <w:noProof w:val="0"/>
      </w:rPr>
      <w:pict w14:anchorId="64313290">
        <v:shape id="_x0000_s1613" type="#_x0000_t202" style="position:absolute;margin-left:355.1pt;margin-top:594.5pt;width:22.8pt;height:12.55pt;z-index:-460768;mso-position-horizontal-relative:page;mso-position-vertical-relative:page" filled="f" stroked="f">
          <v:textbox inset="0,0,0,0">
            <w:txbxContent>
              <w:p w14:paraId="405A98CC"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123</w:t>
                </w:r>
                <w:r>
                  <w:fldChar w:fldCharType="end"/>
                </w:r>
                <w:r>
                  <w:rPr>
                    <w:color w:val="231F20"/>
                    <w:sz w:val="18"/>
                  </w:rPr>
                  <w:t xml:space="preserve"> </w:t>
                </w:r>
              </w:p>
            </w:txbxContent>
          </v:textbox>
          <w10:wrap anchorx="page" anchory="page"/>
        </v:shape>
      </w:pic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57E3B" w14:textId="77777777" w:rsidR="001008C3" w:rsidRDefault="00000000">
    <w:pPr>
      <w:pStyle w:val="a3"/>
      <w:spacing w:line="14" w:lineRule="auto"/>
    </w:pPr>
    <w:r>
      <w:rPr>
        <w:noProof w:val="0"/>
      </w:rPr>
      <w:pict w14:anchorId="4E6DAF3B">
        <v:shapetype id="_x0000_t202" coordsize="21600,21600" o:spt="202" path="m,l,21600r21600,l21600,xe">
          <v:stroke joinstyle="miter"/>
          <v:path gradientshapeok="t" o:connecttype="rect"/>
        </v:shapetype>
        <v:shape id="_x0000_s1609" type="#_x0000_t202" style="position:absolute;margin-left:65.4pt;margin-top:594.5pt;width:167.5pt;height:12.55pt;z-index:-460672;mso-position-horizontal-relative:page;mso-position-vertical-relative:page" filled="f" stroked="f">
          <v:textbox inset="0,0,0,0">
            <w:txbxContent>
              <w:p w14:paraId="3ABFCF25" w14:textId="77777777" w:rsidR="001008C3" w:rsidRDefault="001008C3">
                <w:pPr>
                  <w:spacing w:before="19"/>
                  <w:ind w:left="20"/>
                  <w:rPr>
                    <w:sz w:val="18"/>
                  </w:rPr>
                </w:pPr>
                <w:r>
                  <w:rPr>
                    <w:color w:val="231F20"/>
                    <w:w w:val="115"/>
                    <w:sz w:val="18"/>
                  </w:rPr>
                  <w:t>april 1972 • serve the people</w:t>
                </w:r>
                <w:r>
                  <w:rPr>
                    <w:color w:val="231F20"/>
                    <w:sz w:val="18"/>
                  </w:rPr>
                  <w:t xml:space="preserve"> </w:t>
                </w:r>
              </w:p>
            </w:txbxContent>
          </v:textbox>
          <w10:wrap anchorx="page" anchory="page"/>
        </v:shape>
      </w:pict>
    </w:r>
    <w:r>
      <w:rPr>
        <w:noProof w:val="0"/>
      </w:rPr>
      <w:pict w14:anchorId="60E83A01">
        <v:shape id="_x0000_s1608" type="#_x0000_t202" style="position:absolute;margin-left:356.1pt;margin-top:594.5pt;width:20.8pt;height:12.55pt;z-index:-460648;mso-position-horizontal-relative:page;mso-position-vertical-relative:page" filled="f" stroked="f">
          <v:textbox inset="0,0,0,0">
            <w:txbxContent>
              <w:p w14:paraId="55C6FB24" w14:textId="77777777" w:rsidR="001008C3" w:rsidRDefault="001008C3">
                <w:pPr>
                  <w:spacing w:before="19"/>
                  <w:ind w:left="20"/>
                  <w:rPr>
                    <w:sz w:val="18"/>
                  </w:rPr>
                </w:pPr>
                <w:r>
                  <w:rPr>
                    <w:color w:val="231F20"/>
                    <w:sz w:val="18"/>
                  </w:rPr>
                  <w:t xml:space="preserve">131 </w:t>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E3748" w14:textId="77777777" w:rsidR="001008C3" w:rsidRDefault="00000000">
    <w:pPr>
      <w:pStyle w:val="a3"/>
      <w:spacing w:line="14" w:lineRule="auto"/>
    </w:pPr>
    <w:r>
      <w:rPr>
        <w:noProof w:val="0"/>
      </w:rPr>
      <w:pict w14:anchorId="480634D2">
        <v:line id="_x0000_s1612" style="position:absolute;z-index:-460744;mso-position-horizontal-relative:page;mso-position-vertical-relative:page" from="57.4pt,524.75pt" to="129.4pt,524.75pt" strokecolor="#231f20" strokeweight=".5pt">
          <w10:wrap anchorx="page" anchory="page"/>
        </v:line>
      </w:pict>
    </w:r>
    <w:r>
      <w:rPr>
        <w:noProof w:val="0"/>
      </w:rPr>
      <w:pict w14:anchorId="31252AD1">
        <v:shapetype id="_x0000_t202" coordsize="21600,21600" o:spt="202" path="m,l,21600r21600,l21600,xe">
          <v:stroke joinstyle="miter"/>
          <v:path gradientshapeok="t" o:connecttype="rect"/>
        </v:shapetype>
        <v:shape id="_x0000_s1611" type="#_x0000_t202" style="position:absolute;margin-left:56.4pt;margin-top:594.5pt;width:20.8pt;height:12.55pt;z-index:-460720;mso-position-horizontal-relative:page;mso-position-vertical-relative:page" filled="f" stroked="f">
          <v:textbox inset="0,0,0,0">
            <w:txbxContent>
              <w:p w14:paraId="2F48F71C" w14:textId="77777777" w:rsidR="001008C3" w:rsidRDefault="001008C3">
                <w:pPr>
                  <w:spacing w:before="19"/>
                  <w:ind w:left="20"/>
                  <w:rPr>
                    <w:sz w:val="18"/>
                  </w:rPr>
                </w:pPr>
                <w:r>
                  <w:rPr>
                    <w:color w:val="231F20"/>
                    <w:sz w:val="18"/>
                  </w:rPr>
                  <w:t xml:space="preserve">130 </w:t>
                </w:r>
              </w:p>
            </w:txbxContent>
          </v:textbox>
          <w10:wrap anchorx="page" anchory="page"/>
        </v:shape>
      </w:pict>
    </w:r>
    <w:r>
      <w:rPr>
        <w:noProof w:val="0"/>
      </w:rPr>
      <w:pict w14:anchorId="79E8552F">
        <v:shape id="_x0000_s1610" type="#_x0000_t202" style="position:absolute;margin-left:112pt;margin-top:594.5pt;width:255.6pt;height:12.55pt;z-index:-460696;mso-position-horizontal-relative:page;mso-position-vertical-relative:page" filled="f" stroked="f">
          <v:textbox inset="0,0,0,0">
            <w:txbxContent>
              <w:p w14:paraId="3BC8FC82" w14:textId="77777777" w:rsidR="001008C3" w:rsidRDefault="001008C3">
                <w:pPr>
                  <w:tabs>
                    <w:tab w:val="left" w:pos="4862"/>
                  </w:tabs>
                  <w:spacing w:before="19"/>
                  <w:ind w:left="20"/>
                  <w:rPr>
                    <w:sz w:val="14"/>
                  </w:rPr>
                </w:pPr>
                <w:r>
                  <w:rPr>
                    <w:color w:val="231F20"/>
                    <w:spacing w:val="20"/>
                    <w:w w:val="115"/>
                    <w:sz w:val="18"/>
                  </w:rPr>
                  <w:t xml:space="preserve">building  </w:t>
                </w:r>
                <w:r>
                  <w:rPr>
                    <w:color w:val="231F20"/>
                    <w:w w:val="115"/>
                    <w:sz w:val="18"/>
                  </w:rPr>
                  <w:t xml:space="preserve">a   </w:t>
                </w:r>
                <w:r>
                  <w:rPr>
                    <w:color w:val="231F20"/>
                    <w:spacing w:val="15"/>
                    <w:w w:val="115"/>
                    <w:sz w:val="18"/>
                  </w:rPr>
                  <w:t xml:space="preserve">base  and  </w:t>
                </w:r>
                <w:r>
                  <w:rPr>
                    <w:color w:val="231F20"/>
                    <w:spacing w:val="20"/>
                    <w:w w:val="115"/>
                    <w:sz w:val="18"/>
                  </w:rPr>
                  <w:t>“serving</w:t>
                </w:r>
                <w:r>
                  <w:rPr>
                    <w:color w:val="231F20"/>
                    <w:spacing w:val="25"/>
                    <w:w w:val="115"/>
                    <w:sz w:val="18"/>
                  </w:rPr>
                  <w:t xml:space="preserve"> </w:t>
                </w:r>
                <w:r>
                  <w:rPr>
                    <w:color w:val="231F20"/>
                    <w:spacing w:val="15"/>
                    <w:w w:val="115"/>
                    <w:sz w:val="18"/>
                  </w:rPr>
                  <w:t>the</w:t>
                </w:r>
                <w:r>
                  <w:rPr>
                    <w:color w:val="231F20"/>
                    <w:spacing w:val="75"/>
                    <w:w w:val="115"/>
                    <w:sz w:val="18"/>
                  </w:rPr>
                  <w:t xml:space="preserve"> </w:t>
                </w:r>
                <w:r>
                  <w:rPr>
                    <w:color w:val="231F20"/>
                    <w:spacing w:val="20"/>
                    <w:w w:val="115"/>
                    <w:sz w:val="18"/>
                  </w:rPr>
                  <w:t>people”</w:t>
                </w:r>
                <w:r>
                  <w:rPr>
                    <w:color w:val="231F20"/>
                    <w:spacing w:val="20"/>
                    <w:w w:val="115"/>
                    <w:sz w:val="18"/>
                  </w:rPr>
                  <w:tab/>
                </w:r>
                <w:r>
                  <w:rPr>
                    <w:color w:val="231F20"/>
                    <w:spacing w:val="11"/>
                    <w:w w:val="105"/>
                    <w:sz w:val="14"/>
                  </w:rPr>
                  <w:t>(4)</w:t>
                </w:r>
                <w:r>
                  <w:rPr>
                    <w:color w:val="231F20"/>
                    <w:spacing w:val="-12"/>
                    <w:sz w:val="14"/>
                  </w:rPr>
                  <w:t xml:space="preserve"> </w:t>
                </w:r>
              </w:p>
            </w:txbxContent>
          </v:textbox>
          <w10:wrap anchorx="page" anchory="page"/>
        </v:shape>
      </w:pic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F5FA8" w14:textId="77777777" w:rsidR="001008C3" w:rsidRDefault="00000000">
    <w:pPr>
      <w:pStyle w:val="a3"/>
      <w:spacing w:line="14" w:lineRule="auto"/>
    </w:pPr>
    <w:r>
      <w:rPr>
        <w:noProof w:val="0"/>
      </w:rPr>
      <w:pict w14:anchorId="6118F44B">
        <v:shapetype id="_x0000_t202" coordsize="21600,21600" o:spt="202" path="m,l,21600r21600,l21600,xe">
          <v:stroke joinstyle="miter"/>
          <v:path gradientshapeok="t" o:connecttype="rect"/>
        </v:shapetype>
        <v:shape id="_x0000_s1607" type="#_x0000_t202" style="position:absolute;margin-left:55.4pt;margin-top:594.5pt;width:22.8pt;height:12.55pt;z-index:-460624;mso-position-horizontal-relative:page;mso-position-vertical-relative:page" filled="f" stroked="f">
          <v:textbox inset="0,0,0,0">
            <w:txbxContent>
              <w:p w14:paraId="1A2C1081"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132</w:t>
                </w:r>
                <w:r>
                  <w:fldChar w:fldCharType="end"/>
                </w:r>
                <w:r>
                  <w:rPr>
                    <w:color w:val="231F20"/>
                    <w:sz w:val="18"/>
                  </w:rPr>
                  <w:t xml:space="preserve"> </w:t>
                </w:r>
              </w:p>
            </w:txbxContent>
          </v:textbox>
          <w10:wrap anchorx="page" anchory="page"/>
        </v:shape>
      </w:pict>
    </w:r>
    <w:r>
      <w:rPr>
        <w:noProof w:val="0"/>
      </w:rPr>
      <w:pict w14:anchorId="1560C3C8">
        <v:shape id="_x0000_s1606" type="#_x0000_t202" style="position:absolute;margin-left:112pt;margin-top:594.5pt;width:255.6pt;height:12.55pt;z-index:-460600;mso-position-horizontal-relative:page;mso-position-vertical-relative:page" filled="f" stroked="f">
          <v:textbox inset="0,0,0,0">
            <w:txbxContent>
              <w:p w14:paraId="3D99F927" w14:textId="77777777" w:rsidR="001008C3" w:rsidRDefault="001008C3">
                <w:pPr>
                  <w:tabs>
                    <w:tab w:val="left" w:pos="4862"/>
                  </w:tabs>
                  <w:spacing w:before="19"/>
                  <w:ind w:left="20"/>
                  <w:rPr>
                    <w:sz w:val="14"/>
                  </w:rPr>
                </w:pPr>
                <w:r>
                  <w:rPr>
                    <w:color w:val="231F20"/>
                    <w:spacing w:val="20"/>
                    <w:w w:val="115"/>
                    <w:sz w:val="18"/>
                  </w:rPr>
                  <w:t xml:space="preserve">building  </w:t>
                </w:r>
                <w:r>
                  <w:rPr>
                    <w:color w:val="231F20"/>
                    <w:w w:val="115"/>
                    <w:sz w:val="18"/>
                  </w:rPr>
                  <w:t xml:space="preserve">a   </w:t>
                </w:r>
                <w:r>
                  <w:rPr>
                    <w:color w:val="231F20"/>
                    <w:spacing w:val="15"/>
                    <w:w w:val="115"/>
                    <w:sz w:val="18"/>
                  </w:rPr>
                  <w:t xml:space="preserve">base  and  </w:t>
                </w:r>
                <w:r>
                  <w:rPr>
                    <w:color w:val="231F20"/>
                    <w:spacing w:val="20"/>
                    <w:w w:val="115"/>
                    <w:sz w:val="18"/>
                  </w:rPr>
                  <w:t>“serving</w:t>
                </w:r>
                <w:r>
                  <w:rPr>
                    <w:color w:val="231F20"/>
                    <w:spacing w:val="25"/>
                    <w:w w:val="115"/>
                    <w:sz w:val="18"/>
                  </w:rPr>
                  <w:t xml:space="preserve"> </w:t>
                </w:r>
                <w:r>
                  <w:rPr>
                    <w:color w:val="231F20"/>
                    <w:spacing w:val="15"/>
                    <w:w w:val="115"/>
                    <w:sz w:val="18"/>
                  </w:rPr>
                  <w:t>the</w:t>
                </w:r>
                <w:r>
                  <w:rPr>
                    <w:color w:val="231F20"/>
                    <w:spacing w:val="75"/>
                    <w:w w:val="115"/>
                    <w:sz w:val="18"/>
                  </w:rPr>
                  <w:t xml:space="preserve"> </w:t>
                </w:r>
                <w:r>
                  <w:rPr>
                    <w:color w:val="231F20"/>
                    <w:spacing w:val="20"/>
                    <w:w w:val="115"/>
                    <w:sz w:val="18"/>
                  </w:rPr>
                  <w:t>people”</w:t>
                </w:r>
                <w:r>
                  <w:rPr>
                    <w:color w:val="231F20"/>
                    <w:spacing w:val="20"/>
                    <w:w w:val="115"/>
                    <w:sz w:val="18"/>
                  </w:rPr>
                  <w:tab/>
                </w:r>
                <w:r>
                  <w:rPr>
                    <w:color w:val="231F20"/>
                    <w:spacing w:val="11"/>
                    <w:w w:val="105"/>
                    <w:sz w:val="14"/>
                  </w:rPr>
                  <w:t>(4)</w:t>
                </w:r>
                <w:r>
                  <w:rPr>
                    <w:color w:val="231F20"/>
                    <w:spacing w:val="-12"/>
                    <w:sz w:val="14"/>
                  </w:rPr>
                  <w:t xml:space="preserve"> </w:t>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A7F0A" w14:textId="77777777" w:rsidR="001008C3" w:rsidRDefault="00000000">
    <w:pPr>
      <w:pStyle w:val="a3"/>
      <w:spacing w:line="14" w:lineRule="auto"/>
    </w:pPr>
    <w:r>
      <w:rPr>
        <w:noProof w:val="0"/>
      </w:rPr>
      <w:pict w14:anchorId="3C437DAA">
        <v:shapetype id="_x0000_t202" coordsize="21600,21600" o:spt="202" path="m,l,21600r21600,l21600,xe">
          <v:stroke joinstyle="miter"/>
          <v:path gradientshapeok="t" o:connecttype="rect"/>
        </v:shapetype>
        <v:shape id="_x0000_s1605" type="#_x0000_t202" style="position:absolute;margin-left:65.4pt;margin-top:594.5pt;width:167.5pt;height:12.55pt;z-index:-460576;mso-position-horizontal-relative:page;mso-position-vertical-relative:page" filled="f" stroked="f">
          <v:textbox inset="0,0,0,0">
            <w:txbxContent>
              <w:p w14:paraId="0AA6B643" w14:textId="77777777" w:rsidR="001008C3" w:rsidRDefault="001008C3">
                <w:pPr>
                  <w:spacing w:before="19"/>
                  <w:ind w:left="20"/>
                  <w:rPr>
                    <w:sz w:val="18"/>
                  </w:rPr>
                </w:pPr>
                <w:r>
                  <w:rPr>
                    <w:color w:val="231F20"/>
                    <w:w w:val="115"/>
                    <w:sz w:val="18"/>
                  </w:rPr>
                  <w:t>april 1972 • serve the people</w:t>
                </w:r>
                <w:r>
                  <w:rPr>
                    <w:color w:val="231F20"/>
                    <w:sz w:val="18"/>
                  </w:rPr>
                  <w:t xml:space="preserve"> </w:t>
                </w:r>
              </w:p>
            </w:txbxContent>
          </v:textbox>
          <w10:wrap anchorx="page" anchory="page"/>
        </v:shape>
      </w:pict>
    </w:r>
    <w:r>
      <w:rPr>
        <w:noProof w:val="0"/>
      </w:rPr>
      <w:pict w14:anchorId="0438AA78">
        <v:shape id="_x0000_s1604" type="#_x0000_t202" style="position:absolute;margin-left:355.1pt;margin-top:594.5pt;width:22.8pt;height:12.55pt;z-index:-460552;mso-position-horizontal-relative:page;mso-position-vertical-relative:page" filled="f" stroked="f">
          <v:textbox inset="0,0,0,0">
            <w:txbxContent>
              <w:p w14:paraId="0E43ECA7"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133</w:t>
                </w:r>
                <w:r>
                  <w:fldChar w:fldCharType="end"/>
                </w:r>
                <w:r>
                  <w:rPr>
                    <w:color w:val="231F20"/>
                    <w:sz w:val="18"/>
                  </w:rPr>
                  <w:t xml:space="preserve"> </w:t>
                </w:r>
              </w:p>
            </w:txbxContent>
          </v:textbox>
          <w10:wrap anchorx="page" anchory="page"/>
        </v:shape>
      </w:pic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3E6CD" w14:textId="77777777" w:rsidR="001008C3" w:rsidRDefault="00000000">
    <w:pPr>
      <w:pStyle w:val="a3"/>
      <w:spacing w:line="14" w:lineRule="auto"/>
    </w:pPr>
    <w:r>
      <w:rPr>
        <w:noProof w:val="0"/>
      </w:rPr>
      <w:pict w14:anchorId="0CF06A8E">
        <v:shapetype id="_x0000_t202" coordsize="21600,21600" o:spt="202" path="m,l,21600r21600,l21600,xe">
          <v:stroke joinstyle="miter"/>
          <v:path gradientshapeok="t" o:connecttype="rect"/>
        </v:shapetype>
        <v:shape id="_x0000_s1601" type="#_x0000_t202" style="position:absolute;margin-left:65.4pt;margin-top:594.5pt;width:167.5pt;height:12.55pt;z-index:-460480;mso-position-horizontal-relative:page;mso-position-vertical-relative:page" filled="f" stroked="f">
          <v:textbox inset="0,0,0,0">
            <w:txbxContent>
              <w:p w14:paraId="7E383802" w14:textId="77777777" w:rsidR="001008C3" w:rsidRDefault="001008C3">
                <w:pPr>
                  <w:spacing w:before="19"/>
                  <w:ind w:left="20"/>
                  <w:rPr>
                    <w:sz w:val="18"/>
                  </w:rPr>
                </w:pPr>
                <w:r>
                  <w:rPr>
                    <w:color w:val="231F20"/>
                    <w:w w:val="115"/>
                    <w:sz w:val="18"/>
                  </w:rPr>
                  <w:t>april 1972 • serve the people</w:t>
                </w:r>
                <w:r>
                  <w:rPr>
                    <w:color w:val="231F20"/>
                    <w:sz w:val="18"/>
                  </w:rPr>
                  <w:t xml:space="preserve"> </w:t>
                </w:r>
              </w:p>
            </w:txbxContent>
          </v:textbox>
          <w10:wrap anchorx="page" anchory="page"/>
        </v:shape>
      </w:pict>
    </w:r>
    <w:r>
      <w:rPr>
        <w:noProof w:val="0"/>
      </w:rPr>
      <w:pict w14:anchorId="7E347C75">
        <v:shape id="_x0000_s1600" type="#_x0000_t202" style="position:absolute;margin-left:356.1pt;margin-top:594.5pt;width:20.8pt;height:12.55pt;z-index:-460456;mso-position-horizontal-relative:page;mso-position-vertical-relative:page" filled="f" stroked="f">
          <v:textbox inset="0,0,0,0">
            <w:txbxContent>
              <w:p w14:paraId="4864F744" w14:textId="77777777" w:rsidR="001008C3" w:rsidRDefault="001008C3">
                <w:pPr>
                  <w:spacing w:before="19"/>
                  <w:ind w:left="20"/>
                  <w:rPr>
                    <w:sz w:val="18"/>
                  </w:rPr>
                </w:pPr>
                <w:r>
                  <w:rPr>
                    <w:color w:val="231F20"/>
                    <w:sz w:val="18"/>
                  </w:rPr>
                  <w:t xml:space="preserve">141 </w:t>
                </w:r>
              </w:p>
            </w:txbxContent>
          </v:textbox>
          <w10:wrap anchorx="page" anchory="page"/>
        </v:shape>
      </w:pic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D58E6" w14:textId="77777777" w:rsidR="001008C3" w:rsidRDefault="00000000">
    <w:pPr>
      <w:pStyle w:val="a3"/>
      <w:spacing w:line="14" w:lineRule="auto"/>
    </w:pPr>
    <w:r>
      <w:rPr>
        <w:noProof w:val="0"/>
      </w:rPr>
      <w:pict w14:anchorId="3E97A185">
        <v:shapetype id="_x0000_t202" coordsize="21600,21600" o:spt="202" path="m,l,21600r21600,l21600,xe">
          <v:stroke joinstyle="miter"/>
          <v:path gradientshapeok="t" o:connecttype="rect"/>
        </v:shapetype>
        <v:shape id="_x0000_s1603" type="#_x0000_t202" style="position:absolute;margin-left:56.4pt;margin-top:594.5pt;width:20.8pt;height:12.55pt;z-index:-460528;mso-position-horizontal-relative:page;mso-position-vertical-relative:page" filled="f" stroked="f">
          <v:textbox inset="0,0,0,0">
            <w:txbxContent>
              <w:p w14:paraId="066130E8" w14:textId="77777777" w:rsidR="001008C3" w:rsidRDefault="001008C3">
                <w:pPr>
                  <w:spacing w:before="19"/>
                  <w:ind w:left="20"/>
                  <w:rPr>
                    <w:sz w:val="18"/>
                  </w:rPr>
                </w:pPr>
                <w:r>
                  <w:rPr>
                    <w:color w:val="231F20"/>
                    <w:sz w:val="18"/>
                  </w:rPr>
                  <w:t xml:space="preserve">140 </w:t>
                </w:r>
              </w:p>
            </w:txbxContent>
          </v:textbox>
          <w10:wrap anchorx="page" anchory="page"/>
        </v:shape>
      </w:pict>
    </w:r>
    <w:r>
      <w:rPr>
        <w:noProof w:val="0"/>
      </w:rPr>
      <w:pict w14:anchorId="5A1C3F76">
        <v:shape id="_x0000_s1602" type="#_x0000_t202" style="position:absolute;margin-left:112pt;margin-top:594.5pt;width:255.6pt;height:12.55pt;z-index:-460504;mso-position-horizontal-relative:page;mso-position-vertical-relative:page" filled="f" stroked="f">
          <v:textbox inset="0,0,0,0">
            <w:txbxContent>
              <w:p w14:paraId="1BEA56F8" w14:textId="77777777" w:rsidR="001008C3" w:rsidRDefault="001008C3">
                <w:pPr>
                  <w:tabs>
                    <w:tab w:val="left" w:pos="4862"/>
                  </w:tabs>
                  <w:spacing w:before="19"/>
                  <w:ind w:left="20"/>
                  <w:rPr>
                    <w:sz w:val="14"/>
                  </w:rPr>
                </w:pPr>
                <w:r>
                  <w:rPr>
                    <w:color w:val="231F20"/>
                    <w:spacing w:val="20"/>
                    <w:w w:val="115"/>
                    <w:sz w:val="18"/>
                  </w:rPr>
                  <w:t xml:space="preserve">building  </w:t>
                </w:r>
                <w:r>
                  <w:rPr>
                    <w:color w:val="231F20"/>
                    <w:w w:val="115"/>
                    <w:sz w:val="18"/>
                  </w:rPr>
                  <w:t xml:space="preserve">a   </w:t>
                </w:r>
                <w:r>
                  <w:rPr>
                    <w:color w:val="231F20"/>
                    <w:spacing w:val="15"/>
                    <w:w w:val="115"/>
                    <w:sz w:val="18"/>
                  </w:rPr>
                  <w:t xml:space="preserve">base  and  </w:t>
                </w:r>
                <w:r>
                  <w:rPr>
                    <w:color w:val="231F20"/>
                    <w:spacing w:val="20"/>
                    <w:w w:val="115"/>
                    <w:sz w:val="18"/>
                  </w:rPr>
                  <w:t>“serving</w:t>
                </w:r>
                <w:r>
                  <w:rPr>
                    <w:color w:val="231F20"/>
                    <w:spacing w:val="25"/>
                    <w:w w:val="115"/>
                    <w:sz w:val="18"/>
                  </w:rPr>
                  <w:t xml:space="preserve"> </w:t>
                </w:r>
                <w:r>
                  <w:rPr>
                    <w:color w:val="231F20"/>
                    <w:spacing w:val="15"/>
                    <w:w w:val="115"/>
                    <w:sz w:val="18"/>
                  </w:rPr>
                  <w:t>the</w:t>
                </w:r>
                <w:r>
                  <w:rPr>
                    <w:color w:val="231F20"/>
                    <w:spacing w:val="75"/>
                    <w:w w:val="115"/>
                    <w:sz w:val="18"/>
                  </w:rPr>
                  <w:t xml:space="preserve"> </w:t>
                </w:r>
                <w:r>
                  <w:rPr>
                    <w:color w:val="231F20"/>
                    <w:spacing w:val="20"/>
                    <w:w w:val="115"/>
                    <w:sz w:val="18"/>
                  </w:rPr>
                  <w:t>people”</w:t>
                </w:r>
                <w:r>
                  <w:rPr>
                    <w:color w:val="231F20"/>
                    <w:spacing w:val="20"/>
                    <w:w w:val="115"/>
                    <w:sz w:val="18"/>
                  </w:rPr>
                  <w:tab/>
                </w:r>
                <w:r>
                  <w:rPr>
                    <w:color w:val="231F20"/>
                    <w:spacing w:val="11"/>
                    <w:w w:val="105"/>
                    <w:sz w:val="14"/>
                  </w:rPr>
                  <w:t>(4)</w:t>
                </w:r>
                <w:r>
                  <w:rPr>
                    <w:color w:val="231F20"/>
                    <w:spacing w:val="-12"/>
                    <w:sz w:val="14"/>
                  </w:rPr>
                  <w:t xml:space="preserve"> </w:t>
                </w:r>
              </w:p>
            </w:txbxContent>
          </v:textbox>
          <w10:wrap anchorx="page" anchory="page"/>
        </v:shape>
      </w:pic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03B0F" w14:textId="77777777" w:rsidR="001008C3" w:rsidRDefault="00000000">
    <w:pPr>
      <w:pStyle w:val="a3"/>
      <w:spacing w:line="14" w:lineRule="auto"/>
    </w:pPr>
    <w:r>
      <w:rPr>
        <w:noProof w:val="0"/>
      </w:rPr>
      <w:pict w14:anchorId="08BB6B09">
        <v:shapetype id="_x0000_t202" coordsize="21600,21600" o:spt="202" path="m,l,21600r21600,l21600,xe">
          <v:stroke joinstyle="miter"/>
          <v:path gradientshapeok="t" o:connecttype="rect"/>
        </v:shapetype>
        <v:shape id="_x0000_s1599" type="#_x0000_t202" style="position:absolute;margin-left:55.4pt;margin-top:594.5pt;width:22.8pt;height:12.55pt;z-index:-460432;mso-position-horizontal-relative:page;mso-position-vertical-relative:page" filled="f" stroked="f">
          <v:textbox inset="0,0,0,0">
            <w:txbxContent>
              <w:p w14:paraId="78F6E84E"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142</w:t>
                </w:r>
                <w:r>
                  <w:fldChar w:fldCharType="end"/>
                </w:r>
                <w:r>
                  <w:rPr>
                    <w:color w:val="231F20"/>
                    <w:sz w:val="18"/>
                  </w:rPr>
                  <w:t xml:space="preserve"> </w:t>
                </w:r>
              </w:p>
            </w:txbxContent>
          </v:textbox>
          <w10:wrap anchorx="page" anchory="page"/>
        </v:shape>
      </w:pict>
    </w:r>
    <w:r>
      <w:rPr>
        <w:noProof w:val="0"/>
      </w:rPr>
      <w:pict w14:anchorId="1905F198">
        <v:shape id="_x0000_s1598" type="#_x0000_t202" style="position:absolute;margin-left:112pt;margin-top:594.5pt;width:255.6pt;height:12.55pt;z-index:-460408;mso-position-horizontal-relative:page;mso-position-vertical-relative:page" filled="f" stroked="f">
          <v:textbox inset="0,0,0,0">
            <w:txbxContent>
              <w:p w14:paraId="754CDB42" w14:textId="77777777" w:rsidR="001008C3" w:rsidRDefault="001008C3">
                <w:pPr>
                  <w:tabs>
                    <w:tab w:val="left" w:pos="4862"/>
                  </w:tabs>
                  <w:spacing w:before="19"/>
                  <w:ind w:left="20"/>
                  <w:rPr>
                    <w:sz w:val="14"/>
                  </w:rPr>
                </w:pPr>
                <w:r>
                  <w:rPr>
                    <w:color w:val="231F20"/>
                    <w:spacing w:val="20"/>
                    <w:w w:val="115"/>
                    <w:sz w:val="18"/>
                  </w:rPr>
                  <w:t xml:space="preserve">building  </w:t>
                </w:r>
                <w:r>
                  <w:rPr>
                    <w:color w:val="231F20"/>
                    <w:w w:val="115"/>
                    <w:sz w:val="18"/>
                  </w:rPr>
                  <w:t xml:space="preserve">a   </w:t>
                </w:r>
                <w:r>
                  <w:rPr>
                    <w:color w:val="231F20"/>
                    <w:spacing w:val="15"/>
                    <w:w w:val="115"/>
                    <w:sz w:val="18"/>
                  </w:rPr>
                  <w:t xml:space="preserve">base  and  </w:t>
                </w:r>
                <w:r>
                  <w:rPr>
                    <w:color w:val="231F20"/>
                    <w:spacing w:val="20"/>
                    <w:w w:val="115"/>
                    <w:sz w:val="18"/>
                  </w:rPr>
                  <w:t>“serving</w:t>
                </w:r>
                <w:r>
                  <w:rPr>
                    <w:color w:val="231F20"/>
                    <w:spacing w:val="25"/>
                    <w:w w:val="115"/>
                    <w:sz w:val="18"/>
                  </w:rPr>
                  <w:t xml:space="preserve"> </w:t>
                </w:r>
                <w:r>
                  <w:rPr>
                    <w:color w:val="231F20"/>
                    <w:spacing w:val="15"/>
                    <w:w w:val="115"/>
                    <w:sz w:val="18"/>
                  </w:rPr>
                  <w:t>the</w:t>
                </w:r>
                <w:r>
                  <w:rPr>
                    <w:color w:val="231F20"/>
                    <w:spacing w:val="75"/>
                    <w:w w:val="115"/>
                    <w:sz w:val="18"/>
                  </w:rPr>
                  <w:t xml:space="preserve"> </w:t>
                </w:r>
                <w:r>
                  <w:rPr>
                    <w:color w:val="231F20"/>
                    <w:spacing w:val="20"/>
                    <w:w w:val="115"/>
                    <w:sz w:val="18"/>
                  </w:rPr>
                  <w:t>people”</w:t>
                </w:r>
                <w:r>
                  <w:rPr>
                    <w:color w:val="231F20"/>
                    <w:spacing w:val="20"/>
                    <w:w w:val="115"/>
                    <w:sz w:val="18"/>
                  </w:rPr>
                  <w:tab/>
                </w:r>
                <w:r>
                  <w:rPr>
                    <w:color w:val="231F20"/>
                    <w:spacing w:val="11"/>
                    <w:w w:val="105"/>
                    <w:sz w:val="14"/>
                  </w:rPr>
                  <w:t>(4)</w:t>
                </w:r>
                <w:r>
                  <w:rPr>
                    <w:color w:val="231F20"/>
                    <w:spacing w:val="-12"/>
                    <w:sz w:val="14"/>
                  </w:rPr>
                  <w:t xml:space="preserve"> </w:t>
                </w:r>
              </w:p>
            </w:txbxContent>
          </v:textbox>
          <w10:wrap anchorx="page" anchory="page"/>
        </v:shape>
      </w:pic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D6B91" w14:textId="77777777" w:rsidR="001008C3" w:rsidRDefault="00000000">
    <w:pPr>
      <w:pStyle w:val="a3"/>
      <w:spacing w:line="14" w:lineRule="auto"/>
    </w:pPr>
    <w:r>
      <w:rPr>
        <w:noProof w:val="0"/>
      </w:rPr>
      <w:pict w14:anchorId="141205F9">
        <v:shapetype id="_x0000_t202" coordsize="21600,21600" o:spt="202" path="m,l,21600r21600,l21600,xe">
          <v:stroke joinstyle="miter"/>
          <v:path gradientshapeok="t" o:connecttype="rect"/>
        </v:shapetype>
        <v:shape id="_x0000_s1597" type="#_x0000_t202" style="position:absolute;margin-left:65.4pt;margin-top:594.5pt;width:167.5pt;height:12.55pt;z-index:-460384;mso-position-horizontal-relative:page;mso-position-vertical-relative:page" filled="f" stroked="f">
          <v:textbox inset="0,0,0,0">
            <w:txbxContent>
              <w:p w14:paraId="126932E0" w14:textId="77777777" w:rsidR="001008C3" w:rsidRDefault="001008C3">
                <w:pPr>
                  <w:spacing w:before="19"/>
                  <w:ind w:left="20"/>
                  <w:rPr>
                    <w:sz w:val="18"/>
                  </w:rPr>
                </w:pPr>
                <w:r>
                  <w:rPr>
                    <w:color w:val="231F20"/>
                    <w:w w:val="115"/>
                    <w:sz w:val="18"/>
                  </w:rPr>
                  <w:t>april 1972 • serve the people</w:t>
                </w:r>
                <w:r>
                  <w:rPr>
                    <w:color w:val="231F20"/>
                    <w:sz w:val="18"/>
                  </w:rPr>
                  <w:t xml:space="preserve"> </w:t>
                </w:r>
              </w:p>
            </w:txbxContent>
          </v:textbox>
          <w10:wrap anchorx="page" anchory="page"/>
        </v:shape>
      </w:pict>
    </w:r>
    <w:r>
      <w:rPr>
        <w:noProof w:val="0"/>
      </w:rPr>
      <w:pict w14:anchorId="127BEC50">
        <v:shape id="_x0000_s1596" type="#_x0000_t202" style="position:absolute;margin-left:355.1pt;margin-top:594.5pt;width:22.8pt;height:12.55pt;z-index:-460360;mso-position-horizontal-relative:page;mso-position-vertical-relative:page" filled="f" stroked="f">
          <v:textbox inset="0,0,0,0">
            <w:txbxContent>
              <w:p w14:paraId="46068DD3"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143</w:t>
                </w:r>
                <w:r>
                  <w:fldChar w:fldCharType="end"/>
                </w:r>
                <w:r>
                  <w:rPr>
                    <w:color w:val="231F20"/>
                    <w:sz w:val="18"/>
                  </w:rPr>
                  <w:t xml:space="preserve"> </w:t>
                </w:r>
              </w:p>
            </w:txbxContent>
          </v:textbox>
          <w10:wrap anchorx="page" anchory="page"/>
        </v:shape>
      </w:pic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74F09" w14:textId="77777777" w:rsidR="001008C3" w:rsidRDefault="00000000">
    <w:pPr>
      <w:pStyle w:val="a3"/>
      <w:spacing w:line="14" w:lineRule="auto"/>
    </w:pPr>
    <w:r>
      <w:rPr>
        <w:noProof w:val="0"/>
      </w:rPr>
      <w:pict w14:anchorId="37257E26">
        <v:shapetype id="_x0000_t202" coordsize="21600,21600" o:spt="202" path="m,l,21600r21600,l21600,xe">
          <v:stroke joinstyle="miter"/>
          <v:path gradientshapeok="t" o:connecttype="rect"/>
        </v:shapetype>
        <v:shape id="_x0000_s1592" type="#_x0000_t202" style="position:absolute;margin-left:65.4pt;margin-top:594.5pt;width:167.5pt;height:12.55pt;z-index:-460264;mso-position-horizontal-relative:page;mso-position-vertical-relative:page" filled="f" stroked="f">
          <v:textbox inset="0,0,0,0">
            <w:txbxContent>
              <w:p w14:paraId="172CEDC5" w14:textId="77777777" w:rsidR="001008C3" w:rsidRDefault="001008C3">
                <w:pPr>
                  <w:spacing w:before="19"/>
                  <w:ind w:left="20"/>
                  <w:rPr>
                    <w:sz w:val="18"/>
                  </w:rPr>
                </w:pPr>
                <w:r>
                  <w:rPr>
                    <w:color w:val="231F20"/>
                    <w:w w:val="115"/>
                    <w:sz w:val="18"/>
                  </w:rPr>
                  <w:t>april 1972 • serve the people</w:t>
                </w:r>
                <w:r>
                  <w:rPr>
                    <w:color w:val="231F20"/>
                    <w:sz w:val="18"/>
                  </w:rPr>
                  <w:t xml:space="preserve"> </w:t>
                </w:r>
              </w:p>
            </w:txbxContent>
          </v:textbox>
          <w10:wrap anchorx="page" anchory="page"/>
        </v:shape>
      </w:pict>
    </w:r>
    <w:r>
      <w:rPr>
        <w:noProof w:val="0"/>
      </w:rPr>
      <w:pict w14:anchorId="34653D6A">
        <v:shape id="_x0000_s1591" type="#_x0000_t202" style="position:absolute;margin-left:355.1pt;margin-top:594.5pt;width:22.8pt;height:12.55pt;z-index:-460240;mso-position-horizontal-relative:page;mso-position-vertical-relative:page" filled="f" stroked="f">
          <v:textbox inset="0,0,0,0">
            <w:txbxContent>
              <w:p w14:paraId="6E67DE2C" w14:textId="77777777" w:rsidR="001008C3" w:rsidRDefault="001008C3">
                <w:pPr>
                  <w:spacing w:before="19"/>
                  <w:ind w:left="40"/>
                  <w:rPr>
                    <w:sz w:val="18"/>
                  </w:rPr>
                </w:pPr>
                <w:r>
                  <w:rPr>
                    <w:color w:val="231F20"/>
                    <w:sz w:val="18"/>
                  </w:rPr>
                  <w:t xml:space="preserve">147 </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87114" w14:textId="77777777" w:rsidR="001008C3" w:rsidRDefault="00000000">
    <w:pPr>
      <w:pStyle w:val="a3"/>
      <w:spacing w:line="14" w:lineRule="auto"/>
    </w:pPr>
    <w:r>
      <w:rPr>
        <w:noProof w:val="0"/>
      </w:rPr>
      <w:pict w14:anchorId="6540E44A">
        <v:shapetype id="_x0000_t202" coordsize="21600,21600" o:spt="202" path="m,l,21600r21600,l21600,xe">
          <v:stroke joinstyle="miter"/>
          <v:path gradientshapeok="t" o:connecttype="rect"/>
        </v:shapetype>
        <v:shape id="_x0000_s1726" type="#_x0000_t202" style="position:absolute;margin-left:56.4pt;margin-top:594.5pt;width:14.55pt;height:12.55pt;z-index:-463480;mso-position-horizontal-relative:page;mso-position-vertical-relative:page" filled="f" stroked="f">
          <v:textbox inset="0,0,0,0">
            <w:txbxContent>
              <w:p w14:paraId="25331CD5" w14:textId="77777777" w:rsidR="001008C3" w:rsidRDefault="001008C3">
                <w:pPr>
                  <w:spacing w:before="19"/>
                  <w:ind w:left="20"/>
                  <w:rPr>
                    <w:sz w:val="18"/>
                  </w:rPr>
                </w:pPr>
                <w:r>
                  <w:rPr>
                    <w:color w:val="231F20"/>
                    <w:w w:val="115"/>
                    <w:sz w:val="18"/>
                  </w:rPr>
                  <w:t>xx</w:t>
                </w:r>
                <w:r>
                  <w:rPr>
                    <w:color w:val="231F20"/>
                    <w:sz w:val="18"/>
                  </w:rPr>
                  <w:t xml:space="preserve"> </w:t>
                </w:r>
              </w:p>
            </w:txbxContent>
          </v:textbox>
          <w10:wrap anchorx="page" anchory="page"/>
        </v:shape>
      </w:pic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938C2" w14:textId="77777777" w:rsidR="001008C3" w:rsidRDefault="00000000">
    <w:pPr>
      <w:pStyle w:val="a3"/>
      <w:spacing w:line="14" w:lineRule="auto"/>
    </w:pPr>
    <w:r>
      <w:rPr>
        <w:noProof w:val="0"/>
      </w:rPr>
      <w:pict w14:anchorId="2AF1DB88">
        <v:line id="_x0000_s1595" style="position:absolute;z-index:-460336;mso-position-horizontal-relative:page;mso-position-vertical-relative:page" from="57.4pt,536.7pt" to="129.4pt,536.7pt" strokecolor="#231f20" strokeweight=".5pt">
          <w10:wrap anchorx="page" anchory="page"/>
        </v:line>
      </w:pict>
    </w:r>
    <w:r>
      <w:rPr>
        <w:noProof w:val="0"/>
      </w:rPr>
      <w:pict w14:anchorId="1B7FC9F3">
        <v:shapetype id="_x0000_t202" coordsize="21600,21600" o:spt="202" path="m,l,21600r21600,l21600,xe">
          <v:stroke joinstyle="miter"/>
          <v:path gradientshapeok="t" o:connecttype="rect"/>
        </v:shapetype>
        <v:shape id="_x0000_s1594" type="#_x0000_t202" style="position:absolute;margin-left:56.4pt;margin-top:594.5pt;width:20.8pt;height:12.55pt;z-index:-460312;mso-position-horizontal-relative:page;mso-position-vertical-relative:page" filled="f" stroked="f">
          <v:textbox inset="0,0,0,0">
            <w:txbxContent>
              <w:p w14:paraId="5AB6E34A" w14:textId="77777777" w:rsidR="001008C3" w:rsidRDefault="001008C3">
                <w:pPr>
                  <w:spacing w:before="19"/>
                  <w:ind w:left="20"/>
                  <w:rPr>
                    <w:sz w:val="18"/>
                  </w:rPr>
                </w:pPr>
                <w:r>
                  <w:rPr>
                    <w:color w:val="231F20"/>
                    <w:sz w:val="18"/>
                  </w:rPr>
                  <w:t xml:space="preserve">146 </w:t>
                </w:r>
              </w:p>
            </w:txbxContent>
          </v:textbox>
          <w10:wrap anchorx="page" anchory="page"/>
        </v:shape>
      </w:pict>
    </w:r>
    <w:r>
      <w:rPr>
        <w:noProof w:val="0"/>
      </w:rPr>
      <w:pict w14:anchorId="10732514">
        <v:shape id="_x0000_s1593" type="#_x0000_t202" style="position:absolute;margin-left:112pt;margin-top:594.5pt;width:255.6pt;height:12.55pt;z-index:-460288;mso-position-horizontal-relative:page;mso-position-vertical-relative:page" filled="f" stroked="f">
          <v:textbox inset="0,0,0,0">
            <w:txbxContent>
              <w:p w14:paraId="1D8D0BAA" w14:textId="77777777" w:rsidR="001008C3" w:rsidRDefault="001008C3">
                <w:pPr>
                  <w:tabs>
                    <w:tab w:val="left" w:pos="4862"/>
                  </w:tabs>
                  <w:spacing w:before="19"/>
                  <w:ind w:left="20"/>
                  <w:rPr>
                    <w:sz w:val="14"/>
                  </w:rPr>
                </w:pPr>
                <w:r>
                  <w:rPr>
                    <w:color w:val="231F20"/>
                    <w:spacing w:val="20"/>
                    <w:w w:val="115"/>
                    <w:sz w:val="18"/>
                  </w:rPr>
                  <w:t xml:space="preserve">building  </w:t>
                </w:r>
                <w:r>
                  <w:rPr>
                    <w:color w:val="231F20"/>
                    <w:w w:val="115"/>
                    <w:sz w:val="18"/>
                  </w:rPr>
                  <w:t xml:space="preserve">a   </w:t>
                </w:r>
                <w:r>
                  <w:rPr>
                    <w:color w:val="231F20"/>
                    <w:spacing w:val="15"/>
                    <w:w w:val="115"/>
                    <w:sz w:val="18"/>
                  </w:rPr>
                  <w:t xml:space="preserve">base  and  </w:t>
                </w:r>
                <w:r>
                  <w:rPr>
                    <w:color w:val="231F20"/>
                    <w:spacing w:val="20"/>
                    <w:w w:val="115"/>
                    <w:sz w:val="18"/>
                  </w:rPr>
                  <w:t>“serving</w:t>
                </w:r>
                <w:r>
                  <w:rPr>
                    <w:color w:val="231F20"/>
                    <w:spacing w:val="25"/>
                    <w:w w:val="115"/>
                    <w:sz w:val="18"/>
                  </w:rPr>
                  <w:t xml:space="preserve"> </w:t>
                </w:r>
                <w:r>
                  <w:rPr>
                    <w:color w:val="231F20"/>
                    <w:spacing w:val="15"/>
                    <w:w w:val="115"/>
                    <w:sz w:val="18"/>
                  </w:rPr>
                  <w:t>the</w:t>
                </w:r>
                <w:r>
                  <w:rPr>
                    <w:color w:val="231F20"/>
                    <w:spacing w:val="75"/>
                    <w:w w:val="115"/>
                    <w:sz w:val="18"/>
                  </w:rPr>
                  <w:t xml:space="preserve"> </w:t>
                </w:r>
                <w:r>
                  <w:rPr>
                    <w:color w:val="231F20"/>
                    <w:spacing w:val="20"/>
                    <w:w w:val="115"/>
                    <w:sz w:val="18"/>
                  </w:rPr>
                  <w:t>people”</w:t>
                </w:r>
                <w:r>
                  <w:rPr>
                    <w:color w:val="231F20"/>
                    <w:spacing w:val="20"/>
                    <w:w w:val="115"/>
                    <w:sz w:val="18"/>
                  </w:rPr>
                  <w:tab/>
                </w:r>
                <w:r>
                  <w:rPr>
                    <w:color w:val="231F20"/>
                    <w:spacing w:val="11"/>
                    <w:w w:val="105"/>
                    <w:sz w:val="14"/>
                  </w:rPr>
                  <w:t>(4)</w:t>
                </w:r>
                <w:r>
                  <w:rPr>
                    <w:color w:val="231F20"/>
                    <w:spacing w:val="-12"/>
                    <w:sz w:val="14"/>
                  </w:rPr>
                  <w:t xml:space="preserve"> </w:t>
                </w:r>
              </w:p>
            </w:txbxContent>
          </v:textbox>
          <w10:wrap anchorx="page" anchory="page"/>
        </v:shape>
      </w:pic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B617D" w14:textId="77777777" w:rsidR="001008C3" w:rsidRDefault="00000000">
    <w:pPr>
      <w:pStyle w:val="a3"/>
      <w:spacing w:line="14" w:lineRule="auto"/>
    </w:pPr>
    <w:r>
      <w:rPr>
        <w:noProof w:val="0"/>
      </w:rPr>
      <w:pict w14:anchorId="2C6233C7">
        <v:shapetype id="_x0000_t202" coordsize="21600,21600" o:spt="202" path="m,l,21600r21600,l21600,xe">
          <v:stroke joinstyle="miter"/>
          <v:path gradientshapeok="t" o:connecttype="rect"/>
        </v:shapetype>
        <v:shape id="_x0000_s1588" type="#_x0000_t202" style="position:absolute;margin-left:65.4pt;margin-top:594.5pt;width:167.5pt;height:12.55pt;z-index:-460168;mso-position-horizontal-relative:page;mso-position-vertical-relative:page" filled="f" stroked="f">
          <v:textbox inset="0,0,0,0">
            <w:txbxContent>
              <w:p w14:paraId="2F618A3C" w14:textId="77777777" w:rsidR="001008C3" w:rsidRDefault="001008C3">
                <w:pPr>
                  <w:spacing w:before="19"/>
                  <w:ind w:left="20"/>
                  <w:rPr>
                    <w:sz w:val="18"/>
                  </w:rPr>
                </w:pPr>
                <w:r>
                  <w:rPr>
                    <w:color w:val="231F20"/>
                    <w:w w:val="115"/>
                    <w:sz w:val="18"/>
                  </w:rPr>
                  <w:t>april 1972 • serve the people</w:t>
                </w:r>
                <w:r>
                  <w:rPr>
                    <w:color w:val="231F20"/>
                    <w:sz w:val="18"/>
                  </w:rPr>
                  <w:t xml:space="preserve"> </w:t>
                </w:r>
              </w:p>
            </w:txbxContent>
          </v:textbox>
          <w10:wrap anchorx="page" anchory="page"/>
        </v:shape>
      </w:pict>
    </w:r>
    <w:r>
      <w:rPr>
        <w:noProof w:val="0"/>
      </w:rPr>
      <w:pict w14:anchorId="4E692605">
        <v:shape id="_x0000_s1587" type="#_x0000_t202" style="position:absolute;margin-left:355.1pt;margin-top:594.5pt;width:22.8pt;height:12.55pt;z-index:-460144;mso-position-horizontal-relative:page;mso-position-vertical-relative:page" filled="f" stroked="f">
          <v:textbox inset="0,0,0,0">
            <w:txbxContent>
              <w:p w14:paraId="58E67CE2" w14:textId="77777777" w:rsidR="001008C3" w:rsidRDefault="001008C3">
                <w:pPr>
                  <w:spacing w:before="19"/>
                  <w:ind w:left="40"/>
                  <w:rPr>
                    <w:sz w:val="18"/>
                  </w:rPr>
                </w:pPr>
                <w:r>
                  <w:rPr>
                    <w:color w:val="231F20"/>
                    <w:sz w:val="18"/>
                  </w:rPr>
                  <w:t xml:space="preserve">149 </w:t>
                </w:r>
              </w:p>
            </w:txbxContent>
          </v:textbox>
          <w10:wrap anchorx="page" anchory="page"/>
        </v:shape>
      </w:pic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F27F2" w14:textId="77777777" w:rsidR="001008C3" w:rsidRDefault="00000000">
    <w:pPr>
      <w:pStyle w:val="a3"/>
      <w:spacing w:line="14" w:lineRule="auto"/>
    </w:pPr>
    <w:r>
      <w:rPr>
        <w:noProof w:val="0"/>
      </w:rPr>
      <w:pict w14:anchorId="32E467A8">
        <v:shapetype id="_x0000_t202" coordsize="21600,21600" o:spt="202" path="m,l,21600r21600,l21600,xe">
          <v:stroke joinstyle="miter"/>
          <v:path gradientshapeok="t" o:connecttype="rect"/>
        </v:shapetype>
        <v:shape id="_x0000_s1590" type="#_x0000_t202" style="position:absolute;margin-left:56.4pt;margin-top:594.5pt;width:20.8pt;height:12.55pt;z-index:-460216;mso-position-horizontal-relative:page;mso-position-vertical-relative:page" filled="f" stroked="f">
          <v:textbox inset="0,0,0,0">
            <w:txbxContent>
              <w:p w14:paraId="65132381" w14:textId="77777777" w:rsidR="001008C3" w:rsidRDefault="001008C3">
                <w:pPr>
                  <w:spacing w:before="19"/>
                  <w:ind w:left="20"/>
                  <w:rPr>
                    <w:sz w:val="18"/>
                  </w:rPr>
                </w:pPr>
                <w:r>
                  <w:rPr>
                    <w:color w:val="231F20"/>
                    <w:sz w:val="18"/>
                  </w:rPr>
                  <w:t xml:space="preserve">148 </w:t>
                </w:r>
              </w:p>
            </w:txbxContent>
          </v:textbox>
          <w10:wrap anchorx="page" anchory="page"/>
        </v:shape>
      </w:pict>
    </w:r>
    <w:r>
      <w:rPr>
        <w:noProof w:val="0"/>
      </w:rPr>
      <w:pict w14:anchorId="7F6969B3">
        <v:shape id="_x0000_s1589" type="#_x0000_t202" style="position:absolute;margin-left:112pt;margin-top:594.5pt;width:255.6pt;height:12.55pt;z-index:-460192;mso-position-horizontal-relative:page;mso-position-vertical-relative:page" filled="f" stroked="f">
          <v:textbox inset="0,0,0,0">
            <w:txbxContent>
              <w:p w14:paraId="5ABFEB90" w14:textId="77777777" w:rsidR="001008C3" w:rsidRDefault="001008C3">
                <w:pPr>
                  <w:tabs>
                    <w:tab w:val="left" w:pos="4862"/>
                  </w:tabs>
                  <w:spacing w:before="19"/>
                  <w:ind w:left="20"/>
                  <w:rPr>
                    <w:sz w:val="14"/>
                  </w:rPr>
                </w:pPr>
                <w:r>
                  <w:rPr>
                    <w:color w:val="231F20"/>
                    <w:spacing w:val="20"/>
                    <w:w w:val="115"/>
                    <w:sz w:val="18"/>
                  </w:rPr>
                  <w:t xml:space="preserve">building  </w:t>
                </w:r>
                <w:r>
                  <w:rPr>
                    <w:color w:val="231F20"/>
                    <w:w w:val="115"/>
                    <w:sz w:val="18"/>
                  </w:rPr>
                  <w:t xml:space="preserve">a   </w:t>
                </w:r>
                <w:r>
                  <w:rPr>
                    <w:color w:val="231F20"/>
                    <w:spacing w:val="15"/>
                    <w:w w:val="115"/>
                    <w:sz w:val="18"/>
                  </w:rPr>
                  <w:t xml:space="preserve">base  and  </w:t>
                </w:r>
                <w:r>
                  <w:rPr>
                    <w:color w:val="231F20"/>
                    <w:spacing w:val="20"/>
                    <w:w w:val="115"/>
                    <w:sz w:val="18"/>
                  </w:rPr>
                  <w:t>“serving</w:t>
                </w:r>
                <w:r>
                  <w:rPr>
                    <w:color w:val="231F20"/>
                    <w:spacing w:val="25"/>
                    <w:w w:val="115"/>
                    <w:sz w:val="18"/>
                  </w:rPr>
                  <w:t xml:space="preserve"> </w:t>
                </w:r>
                <w:r>
                  <w:rPr>
                    <w:color w:val="231F20"/>
                    <w:spacing w:val="15"/>
                    <w:w w:val="115"/>
                    <w:sz w:val="18"/>
                  </w:rPr>
                  <w:t>the</w:t>
                </w:r>
                <w:r>
                  <w:rPr>
                    <w:color w:val="231F20"/>
                    <w:spacing w:val="75"/>
                    <w:w w:val="115"/>
                    <w:sz w:val="18"/>
                  </w:rPr>
                  <w:t xml:space="preserve"> </w:t>
                </w:r>
                <w:r>
                  <w:rPr>
                    <w:color w:val="231F20"/>
                    <w:spacing w:val="20"/>
                    <w:w w:val="115"/>
                    <w:sz w:val="18"/>
                  </w:rPr>
                  <w:t>people”</w:t>
                </w:r>
                <w:r>
                  <w:rPr>
                    <w:color w:val="231F20"/>
                    <w:spacing w:val="20"/>
                    <w:w w:val="115"/>
                    <w:sz w:val="18"/>
                  </w:rPr>
                  <w:tab/>
                </w:r>
                <w:r>
                  <w:rPr>
                    <w:color w:val="231F20"/>
                    <w:spacing w:val="11"/>
                    <w:w w:val="105"/>
                    <w:sz w:val="14"/>
                  </w:rPr>
                  <w:t>(4)</w:t>
                </w:r>
                <w:r>
                  <w:rPr>
                    <w:color w:val="231F20"/>
                    <w:spacing w:val="-12"/>
                    <w:sz w:val="14"/>
                  </w:rPr>
                  <w:t xml:space="preserve"> </w:t>
                </w:r>
              </w:p>
            </w:txbxContent>
          </v:textbox>
          <w10:wrap anchorx="page" anchory="page"/>
        </v:shape>
      </w:pic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DE3B7" w14:textId="77777777" w:rsidR="001008C3" w:rsidRDefault="00000000">
    <w:pPr>
      <w:pStyle w:val="a3"/>
      <w:spacing w:line="14" w:lineRule="auto"/>
    </w:pPr>
    <w:r>
      <w:rPr>
        <w:noProof w:val="0"/>
      </w:rPr>
      <w:pict w14:anchorId="0A08F7C9">
        <v:shapetype id="_x0000_t202" coordsize="21600,21600" o:spt="202" path="m,l,21600r21600,l21600,xe">
          <v:stroke joinstyle="miter"/>
          <v:path gradientshapeok="t" o:connecttype="rect"/>
        </v:shapetype>
        <v:shape id="_x0000_s1584" type="#_x0000_t202" style="position:absolute;margin-left:65.4pt;margin-top:594.5pt;width:167.5pt;height:12.55pt;z-index:-460072;mso-position-horizontal-relative:page;mso-position-vertical-relative:page" filled="f" stroked="f">
          <v:textbox inset="0,0,0,0">
            <w:txbxContent>
              <w:p w14:paraId="5D24D427" w14:textId="77777777" w:rsidR="001008C3" w:rsidRDefault="001008C3">
                <w:pPr>
                  <w:spacing w:before="19"/>
                  <w:ind w:left="20"/>
                  <w:rPr>
                    <w:sz w:val="18"/>
                  </w:rPr>
                </w:pPr>
                <w:r>
                  <w:rPr>
                    <w:color w:val="231F20"/>
                    <w:w w:val="115"/>
                    <w:sz w:val="18"/>
                  </w:rPr>
                  <w:t>april 1972 • serve the people</w:t>
                </w:r>
                <w:r>
                  <w:rPr>
                    <w:color w:val="231F20"/>
                    <w:sz w:val="18"/>
                  </w:rPr>
                  <w:t xml:space="preserve"> </w:t>
                </w:r>
              </w:p>
            </w:txbxContent>
          </v:textbox>
          <w10:wrap anchorx="page" anchory="page"/>
        </v:shape>
      </w:pict>
    </w:r>
    <w:r>
      <w:rPr>
        <w:noProof w:val="0"/>
      </w:rPr>
      <w:pict w14:anchorId="151681F6">
        <v:shape id="_x0000_s1583" type="#_x0000_t202" style="position:absolute;margin-left:356.1pt;margin-top:594.5pt;width:20.8pt;height:12.55pt;z-index:-460048;mso-position-horizontal-relative:page;mso-position-vertical-relative:page" filled="f" stroked="f">
          <v:textbox inset="0,0,0,0">
            <w:txbxContent>
              <w:p w14:paraId="36E5CE90" w14:textId="77777777" w:rsidR="001008C3" w:rsidRDefault="001008C3">
                <w:pPr>
                  <w:spacing w:before="19"/>
                  <w:ind w:left="20"/>
                  <w:rPr>
                    <w:sz w:val="18"/>
                  </w:rPr>
                </w:pPr>
                <w:r>
                  <w:rPr>
                    <w:color w:val="231F20"/>
                    <w:sz w:val="18"/>
                  </w:rPr>
                  <w:t xml:space="preserve">151 </w:t>
                </w:r>
              </w:p>
            </w:txbxContent>
          </v:textbox>
          <w10:wrap anchorx="page" anchory="page"/>
        </v:shape>
      </w:pic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9729E" w14:textId="77777777" w:rsidR="001008C3" w:rsidRDefault="00000000">
    <w:pPr>
      <w:pStyle w:val="a3"/>
      <w:spacing w:line="14" w:lineRule="auto"/>
    </w:pPr>
    <w:r>
      <w:rPr>
        <w:noProof w:val="0"/>
      </w:rPr>
      <w:pict w14:anchorId="1B8466BA">
        <v:shapetype id="_x0000_t202" coordsize="21600,21600" o:spt="202" path="m,l,21600r21600,l21600,xe">
          <v:stroke joinstyle="miter"/>
          <v:path gradientshapeok="t" o:connecttype="rect"/>
        </v:shapetype>
        <v:shape id="_x0000_s1586" type="#_x0000_t202" style="position:absolute;margin-left:56.4pt;margin-top:594.5pt;width:20.8pt;height:12.55pt;z-index:-460120;mso-position-horizontal-relative:page;mso-position-vertical-relative:page" filled="f" stroked="f">
          <v:textbox inset="0,0,0,0">
            <w:txbxContent>
              <w:p w14:paraId="0584DF57" w14:textId="77777777" w:rsidR="001008C3" w:rsidRDefault="001008C3">
                <w:pPr>
                  <w:spacing w:before="19"/>
                  <w:ind w:left="20"/>
                  <w:rPr>
                    <w:sz w:val="18"/>
                  </w:rPr>
                </w:pPr>
                <w:r>
                  <w:rPr>
                    <w:color w:val="231F20"/>
                    <w:sz w:val="18"/>
                  </w:rPr>
                  <w:t xml:space="preserve">150 </w:t>
                </w:r>
              </w:p>
            </w:txbxContent>
          </v:textbox>
          <w10:wrap anchorx="page" anchory="page"/>
        </v:shape>
      </w:pict>
    </w:r>
    <w:r>
      <w:rPr>
        <w:noProof w:val="0"/>
      </w:rPr>
      <w:pict w14:anchorId="4165B56D">
        <v:shape id="_x0000_s1585" type="#_x0000_t202" style="position:absolute;margin-left:112pt;margin-top:594.5pt;width:255.6pt;height:12.55pt;z-index:-460096;mso-position-horizontal-relative:page;mso-position-vertical-relative:page" filled="f" stroked="f">
          <v:textbox inset="0,0,0,0">
            <w:txbxContent>
              <w:p w14:paraId="1356E3D9" w14:textId="77777777" w:rsidR="001008C3" w:rsidRDefault="001008C3">
                <w:pPr>
                  <w:tabs>
                    <w:tab w:val="left" w:pos="4862"/>
                  </w:tabs>
                  <w:spacing w:before="19"/>
                  <w:ind w:left="20"/>
                  <w:rPr>
                    <w:sz w:val="14"/>
                  </w:rPr>
                </w:pPr>
                <w:r>
                  <w:rPr>
                    <w:color w:val="231F20"/>
                    <w:spacing w:val="20"/>
                    <w:w w:val="115"/>
                    <w:sz w:val="18"/>
                  </w:rPr>
                  <w:t xml:space="preserve">building  </w:t>
                </w:r>
                <w:r>
                  <w:rPr>
                    <w:color w:val="231F20"/>
                    <w:w w:val="115"/>
                    <w:sz w:val="18"/>
                  </w:rPr>
                  <w:t xml:space="preserve">a   </w:t>
                </w:r>
                <w:r>
                  <w:rPr>
                    <w:color w:val="231F20"/>
                    <w:spacing w:val="15"/>
                    <w:w w:val="115"/>
                    <w:sz w:val="18"/>
                  </w:rPr>
                  <w:t xml:space="preserve">base  and  </w:t>
                </w:r>
                <w:r>
                  <w:rPr>
                    <w:color w:val="231F20"/>
                    <w:spacing w:val="20"/>
                    <w:w w:val="115"/>
                    <w:sz w:val="18"/>
                  </w:rPr>
                  <w:t>“serving</w:t>
                </w:r>
                <w:r>
                  <w:rPr>
                    <w:color w:val="231F20"/>
                    <w:spacing w:val="25"/>
                    <w:w w:val="115"/>
                    <w:sz w:val="18"/>
                  </w:rPr>
                  <w:t xml:space="preserve"> </w:t>
                </w:r>
                <w:r>
                  <w:rPr>
                    <w:color w:val="231F20"/>
                    <w:spacing w:val="15"/>
                    <w:w w:val="115"/>
                    <w:sz w:val="18"/>
                  </w:rPr>
                  <w:t>the</w:t>
                </w:r>
                <w:r>
                  <w:rPr>
                    <w:color w:val="231F20"/>
                    <w:spacing w:val="75"/>
                    <w:w w:val="115"/>
                    <w:sz w:val="18"/>
                  </w:rPr>
                  <w:t xml:space="preserve"> </w:t>
                </w:r>
                <w:r>
                  <w:rPr>
                    <w:color w:val="231F20"/>
                    <w:spacing w:val="20"/>
                    <w:w w:val="115"/>
                    <w:sz w:val="18"/>
                  </w:rPr>
                  <w:t>people”</w:t>
                </w:r>
                <w:r>
                  <w:rPr>
                    <w:color w:val="231F20"/>
                    <w:spacing w:val="20"/>
                    <w:w w:val="115"/>
                    <w:sz w:val="18"/>
                  </w:rPr>
                  <w:tab/>
                </w:r>
                <w:r>
                  <w:rPr>
                    <w:color w:val="231F20"/>
                    <w:spacing w:val="11"/>
                    <w:w w:val="105"/>
                    <w:sz w:val="14"/>
                  </w:rPr>
                  <w:t>(4)</w:t>
                </w:r>
                <w:r>
                  <w:rPr>
                    <w:color w:val="231F20"/>
                    <w:spacing w:val="-12"/>
                    <w:sz w:val="14"/>
                  </w:rPr>
                  <w:t xml:space="preserve"> </w:t>
                </w:r>
              </w:p>
            </w:txbxContent>
          </v:textbox>
          <w10:wrap anchorx="page" anchory="page"/>
        </v:shape>
      </w:pic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B3A30" w14:textId="77777777" w:rsidR="001008C3" w:rsidRDefault="00000000">
    <w:pPr>
      <w:pStyle w:val="a3"/>
      <w:spacing w:line="14" w:lineRule="auto"/>
    </w:pPr>
    <w:r>
      <w:rPr>
        <w:noProof w:val="0"/>
      </w:rPr>
      <w:pict w14:anchorId="75EDF7DA">
        <v:shapetype id="_x0000_t202" coordsize="21600,21600" o:spt="202" path="m,l,21600r21600,l21600,xe">
          <v:stroke joinstyle="miter"/>
          <v:path gradientshapeok="t" o:connecttype="rect"/>
        </v:shapetype>
        <v:shape id="_x0000_s1582" type="#_x0000_t202" style="position:absolute;margin-left:55.4pt;margin-top:594.5pt;width:22.8pt;height:12.55pt;z-index:-460024;mso-position-horizontal-relative:page;mso-position-vertical-relative:page" filled="f" stroked="f">
          <v:textbox inset="0,0,0,0">
            <w:txbxContent>
              <w:p w14:paraId="64FE0057"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152</w:t>
                </w:r>
                <w:r>
                  <w:fldChar w:fldCharType="end"/>
                </w:r>
                <w:r>
                  <w:rPr>
                    <w:color w:val="231F20"/>
                    <w:sz w:val="18"/>
                  </w:rPr>
                  <w:t xml:space="preserve"> </w:t>
                </w:r>
              </w:p>
            </w:txbxContent>
          </v:textbox>
          <w10:wrap anchorx="page" anchory="page"/>
        </v:shape>
      </w:pict>
    </w:r>
    <w:r>
      <w:rPr>
        <w:noProof w:val="0"/>
      </w:rPr>
      <w:pict w14:anchorId="454A5D8E">
        <v:shape id="_x0000_s1581" type="#_x0000_t202" style="position:absolute;margin-left:112pt;margin-top:594.5pt;width:255.6pt;height:12.55pt;z-index:-460000;mso-position-horizontal-relative:page;mso-position-vertical-relative:page" filled="f" stroked="f">
          <v:textbox inset="0,0,0,0">
            <w:txbxContent>
              <w:p w14:paraId="1FBBDA86" w14:textId="77777777" w:rsidR="001008C3" w:rsidRDefault="001008C3">
                <w:pPr>
                  <w:tabs>
                    <w:tab w:val="left" w:pos="4862"/>
                  </w:tabs>
                  <w:spacing w:before="19"/>
                  <w:ind w:left="20"/>
                  <w:rPr>
                    <w:sz w:val="14"/>
                  </w:rPr>
                </w:pPr>
                <w:r>
                  <w:rPr>
                    <w:color w:val="231F20"/>
                    <w:spacing w:val="20"/>
                    <w:w w:val="115"/>
                    <w:sz w:val="18"/>
                  </w:rPr>
                  <w:t xml:space="preserve">building  </w:t>
                </w:r>
                <w:r>
                  <w:rPr>
                    <w:color w:val="231F20"/>
                    <w:w w:val="115"/>
                    <w:sz w:val="18"/>
                  </w:rPr>
                  <w:t xml:space="preserve">a   </w:t>
                </w:r>
                <w:r>
                  <w:rPr>
                    <w:color w:val="231F20"/>
                    <w:spacing w:val="15"/>
                    <w:w w:val="115"/>
                    <w:sz w:val="18"/>
                  </w:rPr>
                  <w:t xml:space="preserve">base  and  </w:t>
                </w:r>
                <w:r>
                  <w:rPr>
                    <w:color w:val="231F20"/>
                    <w:spacing w:val="20"/>
                    <w:w w:val="115"/>
                    <w:sz w:val="18"/>
                  </w:rPr>
                  <w:t>“serving</w:t>
                </w:r>
                <w:r>
                  <w:rPr>
                    <w:color w:val="231F20"/>
                    <w:spacing w:val="25"/>
                    <w:w w:val="115"/>
                    <w:sz w:val="18"/>
                  </w:rPr>
                  <w:t xml:space="preserve"> </w:t>
                </w:r>
                <w:r>
                  <w:rPr>
                    <w:color w:val="231F20"/>
                    <w:spacing w:val="15"/>
                    <w:w w:val="115"/>
                    <w:sz w:val="18"/>
                  </w:rPr>
                  <w:t>the</w:t>
                </w:r>
                <w:r>
                  <w:rPr>
                    <w:color w:val="231F20"/>
                    <w:spacing w:val="75"/>
                    <w:w w:val="115"/>
                    <w:sz w:val="18"/>
                  </w:rPr>
                  <w:t xml:space="preserve"> </w:t>
                </w:r>
                <w:r>
                  <w:rPr>
                    <w:color w:val="231F20"/>
                    <w:spacing w:val="20"/>
                    <w:w w:val="115"/>
                    <w:sz w:val="18"/>
                  </w:rPr>
                  <w:t>people”</w:t>
                </w:r>
                <w:r>
                  <w:rPr>
                    <w:color w:val="231F20"/>
                    <w:spacing w:val="20"/>
                    <w:w w:val="115"/>
                    <w:sz w:val="18"/>
                  </w:rPr>
                  <w:tab/>
                </w:r>
                <w:r>
                  <w:rPr>
                    <w:color w:val="231F20"/>
                    <w:spacing w:val="11"/>
                    <w:w w:val="105"/>
                    <w:sz w:val="14"/>
                  </w:rPr>
                  <w:t>(4)</w:t>
                </w:r>
                <w:r>
                  <w:rPr>
                    <w:color w:val="231F20"/>
                    <w:spacing w:val="-12"/>
                    <w:sz w:val="14"/>
                  </w:rPr>
                  <w:t xml:space="preserve"> </w:t>
                </w:r>
              </w:p>
            </w:txbxContent>
          </v:textbox>
          <w10:wrap anchorx="page" anchory="page"/>
        </v:shape>
      </w:pic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08302" w14:textId="77777777" w:rsidR="001008C3" w:rsidRDefault="00000000">
    <w:pPr>
      <w:pStyle w:val="a3"/>
      <w:spacing w:line="14" w:lineRule="auto"/>
    </w:pPr>
    <w:r>
      <w:rPr>
        <w:noProof w:val="0"/>
      </w:rPr>
      <w:pict w14:anchorId="50F3F810">
        <v:shapetype id="_x0000_t202" coordsize="21600,21600" o:spt="202" path="m,l,21600r21600,l21600,xe">
          <v:stroke joinstyle="miter"/>
          <v:path gradientshapeok="t" o:connecttype="rect"/>
        </v:shapetype>
        <v:shape id="_x0000_s1580" type="#_x0000_t202" style="position:absolute;margin-left:65.4pt;margin-top:594.5pt;width:167.5pt;height:12.55pt;z-index:-459976;mso-position-horizontal-relative:page;mso-position-vertical-relative:page" filled="f" stroked="f">
          <v:textbox inset="0,0,0,0">
            <w:txbxContent>
              <w:p w14:paraId="16B0C476" w14:textId="77777777" w:rsidR="001008C3" w:rsidRDefault="001008C3">
                <w:pPr>
                  <w:spacing w:before="19"/>
                  <w:ind w:left="20"/>
                  <w:rPr>
                    <w:sz w:val="18"/>
                  </w:rPr>
                </w:pPr>
                <w:r>
                  <w:rPr>
                    <w:color w:val="231F20"/>
                    <w:w w:val="115"/>
                    <w:sz w:val="18"/>
                  </w:rPr>
                  <w:t>april 1972 • serve the people</w:t>
                </w:r>
                <w:r>
                  <w:rPr>
                    <w:color w:val="231F20"/>
                    <w:sz w:val="18"/>
                  </w:rPr>
                  <w:t xml:space="preserve"> </w:t>
                </w:r>
              </w:p>
            </w:txbxContent>
          </v:textbox>
          <w10:wrap anchorx="page" anchory="page"/>
        </v:shape>
      </w:pict>
    </w:r>
    <w:r>
      <w:rPr>
        <w:noProof w:val="0"/>
      </w:rPr>
      <w:pict w14:anchorId="3A8051BC">
        <v:shape id="_x0000_s1579" type="#_x0000_t202" style="position:absolute;margin-left:355.1pt;margin-top:594.5pt;width:22.8pt;height:12.55pt;z-index:-459952;mso-position-horizontal-relative:page;mso-position-vertical-relative:page" filled="f" stroked="f">
          <v:textbox inset="0,0,0,0">
            <w:txbxContent>
              <w:p w14:paraId="06CB6D05"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153</w:t>
                </w:r>
                <w:r>
                  <w:fldChar w:fldCharType="end"/>
                </w:r>
                <w:r>
                  <w:rPr>
                    <w:color w:val="231F20"/>
                    <w:sz w:val="18"/>
                  </w:rPr>
                  <w:t xml:space="preserve"> </w:t>
                </w:r>
              </w:p>
            </w:txbxContent>
          </v:textbox>
          <w10:wrap anchorx="page" anchory="page"/>
        </v:shape>
      </w:pic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83A85" w14:textId="77777777" w:rsidR="001008C3" w:rsidRDefault="00000000">
    <w:pPr>
      <w:pStyle w:val="a3"/>
      <w:spacing w:line="14" w:lineRule="auto"/>
    </w:pPr>
    <w:r>
      <w:rPr>
        <w:noProof w:val="0"/>
      </w:rPr>
      <w:pict w14:anchorId="67CC5D8E">
        <v:line id="_x0000_s1578" style="position:absolute;z-index:-459928;mso-position-horizontal-relative:page;mso-position-vertical-relative:page" from="66.4pt,516.8pt" to="138.4pt,516.8pt" strokecolor="#231f20" strokeweight=".5pt">
          <w10:wrap anchorx="page" anchory="page"/>
        </v:line>
      </w:pict>
    </w:r>
    <w:r>
      <w:rPr>
        <w:noProof w:val="0"/>
      </w:rPr>
      <w:pict w14:anchorId="262DFCA2">
        <v:shapetype id="_x0000_t202" coordsize="21600,21600" o:spt="202" path="m,l,21600r21600,l21600,xe">
          <v:stroke joinstyle="miter"/>
          <v:path gradientshapeok="t" o:connecttype="rect"/>
        </v:shapetype>
        <v:shape id="_x0000_s1577" type="#_x0000_t202" style="position:absolute;margin-left:65.4pt;margin-top:594.5pt;width:167.5pt;height:12.55pt;z-index:-459904;mso-position-horizontal-relative:page;mso-position-vertical-relative:page" filled="f" stroked="f">
          <v:textbox inset="0,0,0,0">
            <w:txbxContent>
              <w:p w14:paraId="493B0884" w14:textId="77777777" w:rsidR="001008C3" w:rsidRDefault="001008C3">
                <w:pPr>
                  <w:spacing w:before="19"/>
                  <w:ind w:left="20"/>
                  <w:rPr>
                    <w:sz w:val="18"/>
                  </w:rPr>
                </w:pPr>
                <w:r>
                  <w:rPr>
                    <w:color w:val="231F20"/>
                    <w:w w:val="115"/>
                    <w:sz w:val="18"/>
                  </w:rPr>
                  <w:t>april 1972 • serve the people</w:t>
                </w:r>
                <w:r>
                  <w:rPr>
                    <w:color w:val="231F20"/>
                    <w:sz w:val="18"/>
                  </w:rPr>
                  <w:t xml:space="preserve"> </w:t>
                </w:r>
              </w:p>
            </w:txbxContent>
          </v:textbox>
          <w10:wrap anchorx="page" anchory="page"/>
        </v:shape>
      </w:pict>
    </w:r>
    <w:r>
      <w:rPr>
        <w:noProof w:val="0"/>
      </w:rPr>
      <w:pict w14:anchorId="4D41A9D8">
        <v:shape id="_x0000_s1576" type="#_x0000_t202" style="position:absolute;margin-left:356.1pt;margin-top:594.5pt;width:20.8pt;height:12.55pt;z-index:-459880;mso-position-horizontal-relative:page;mso-position-vertical-relative:page" filled="f" stroked="f">
          <v:textbox inset="0,0,0,0">
            <w:txbxContent>
              <w:p w14:paraId="5C8E6700" w14:textId="77777777" w:rsidR="001008C3" w:rsidRDefault="001008C3">
                <w:pPr>
                  <w:spacing w:before="19"/>
                  <w:ind w:left="20"/>
                  <w:rPr>
                    <w:sz w:val="18"/>
                  </w:rPr>
                </w:pPr>
                <w:r>
                  <w:rPr>
                    <w:color w:val="231F20"/>
                    <w:sz w:val="18"/>
                  </w:rPr>
                  <w:t xml:space="preserve">159 </w:t>
                </w:r>
              </w:p>
            </w:txbxContent>
          </v:textbox>
          <w10:wrap anchorx="page" anchory="page"/>
        </v:shape>
      </w:pic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6AF65" w14:textId="77777777" w:rsidR="001008C3" w:rsidRDefault="00000000">
    <w:pPr>
      <w:pStyle w:val="a3"/>
      <w:spacing w:line="14" w:lineRule="auto"/>
    </w:pPr>
    <w:r>
      <w:rPr>
        <w:noProof w:val="0"/>
      </w:rPr>
      <w:pict w14:anchorId="6B1D98E2">
        <v:shapetype id="_x0000_t202" coordsize="21600,21600" o:spt="202" path="m,l,21600r21600,l21600,xe">
          <v:stroke joinstyle="miter"/>
          <v:path gradientshapeok="t" o:connecttype="rect"/>
        </v:shapetype>
        <v:shape id="_x0000_s1575" type="#_x0000_t202" style="position:absolute;margin-left:55.4pt;margin-top:594.5pt;width:22.8pt;height:12.55pt;z-index:-459856;mso-position-horizontal-relative:page;mso-position-vertical-relative:page" filled="f" stroked="f">
          <v:textbox inset="0,0,0,0">
            <w:txbxContent>
              <w:p w14:paraId="7F29AF4A" w14:textId="77777777" w:rsidR="001008C3" w:rsidRDefault="001008C3">
                <w:pPr>
                  <w:spacing w:before="19"/>
                  <w:ind w:left="40"/>
                  <w:rPr>
                    <w:sz w:val="18"/>
                  </w:rPr>
                </w:pPr>
                <w:r>
                  <w:rPr>
                    <w:color w:val="231F20"/>
                    <w:sz w:val="18"/>
                  </w:rPr>
                  <w:t xml:space="preserve">160 </w:t>
                </w:r>
              </w:p>
            </w:txbxContent>
          </v:textbox>
          <w10:wrap anchorx="page" anchory="page"/>
        </v:shape>
      </w:pict>
    </w:r>
    <w:r>
      <w:rPr>
        <w:noProof w:val="0"/>
      </w:rPr>
      <w:pict w14:anchorId="697F1900">
        <v:shape id="_x0000_s1574" type="#_x0000_t202" style="position:absolute;margin-left:177.7pt;margin-top:594.5pt;width:189.9pt;height:12.55pt;z-index:-459832;mso-position-horizontal-relative:page;mso-position-vertical-relative:page" filled="f" stroked="f">
          <v:textbox inset="0,0,0,0">
            <w:txbxContent>
              <w:p w14:paraId="34E8A296" w14:textId="77777777" w:rsidR="001008C3" w:rsidRDefault="001008C3">
                <w:pPr>
                  <w:tabs>
                    <w:tab w:val="left" w:pos="3548"/>
                  </w:tabs>
                  <w:spacing w:before="19"/>
                  <w:ind w:left="20"/>
                  <w:rPr>
                    <w:sz w:val="14"/>
                  </w:rPr>
                </w:pPr>
                <w:r>
                  <w:rPr>
                    <w:color w:val="231F20"/>
                    <w:spacing w:val="11"/>
                    <w:w w:val="115"/>
                    <w:sz w:val="18"/>
                  </w:rPr>
                  <w:t xml:space="preserve">on   </w:t>
                </w:r>
                <w:r>
                  <w:rPr>
                    <w:color w:val="231F20"/>
                    <w:spacing w:val="15"/>
                    <w:w w:val="115"/>
                    <w:sz w:val="18"/>
                  </w:rPr>
                  <w:t xml:space="preserve">the   </w:t>
                </w:r>
                <w:r>
                  <w:rPr>
                    <w:color w:val="231F20"/>
                    <w:spacing w:val="20"/>
                    <w:w w:val="115"/>
                    <w:sz w:val="18"/>
                  </w:rPr>
                  <w:t>treatment</w:t>
                </w:r>
                <w:r>
                  <w:rPr>
                    <w:color w:val="231F20"/>
                    <w:spacing w:val="32"/>
                    <w:w w:val="115"/>
                    <w:sz w:val="18"/>
                  </w:rPr>
                  <w:t xml:space="preserve"> </w:t>
                </w:r>
                <w:r>
                  <w:rPr>
                    <w:color w:val="231F20"/>
                    <w:spacing w:val="11"/>
                    <w:w w:val="115"/>
                    <w:sz w:val="18"/>
                  </w:rPr>
                  <w:t xml:space="preserve">of </w:t>
                </w:r>
                <w:r>
                  <w:rPr>
                    <w:color w:val="231F20"/>
                    <w:spacing w:val="40"/>
                    <w:w w:val="115"/>
                    <w:sz w:val="18"/>
                  </w:rPr>
                  <w:t xml:space="preserve"> </w:t>
                </w:r>
                <w:r>
                  <w:rPr>
                    <w:color w:val="231F20"/>
                    <w:spacing w:val="20"/>
                    <w:w w:val="115"/>
                    <w:sz w:val="18"/>
                  </w:rPr>
                  <w:t>traitors</w:t>
                </w:r>
                <w:r>
                  <w:rPr>
                    <w:color w:val="231F20"/>
                    <w:spacing w:val="20"/>
                    <w:w w:val="115"/>
                    <w:sz w:val="18"/>
                  </w:rPr>
                  <w:tab/>
                </w:r>
                <w:r>
                  <w:rPr>
                    <w:color w:val="231F20"/>
                    <w:spacing w:val="11"/>
                    <w:w w:val="105"/>
                    <w:sz w:val="14"/>
                  </w:rPr>
                  <w:t>(4)</w:t>
                </w:r>
                <w:r>
                  <w:rPr>
                    <w:color w:val="231F20"/>
                    <w:spacing w:val="-12"/>
                    <w:sz w:val="14"/>
                  </w:rPr>
                  <w:t xml:space="preserve"> </w:t>
                </w:r>
              </w:p>
            </w:txbxContent>
          </v:textbox>
          <w10:wrap anchorx="page" anchory="page"/>
        </v:shape>
      </w:pic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4C5BF" w14:textId="77777777" w:rsidR="001008C3" w:rsidRDefault="00000000">
    <w:pPr>
      <w:pStyle w:val="a3"/>
      <w:spacing w:line="14" w:lineRule="auto"/>
    </w:pPr>
    <w:r>
      <w:rPr>
        <w:noProof w:val="0"/>
      </w:rPr>
      <w:pict w14:anchorId="4BEEFB6D">
        <v:shapetype id="_x0000_t202" coordsize="21600,21600" o:spt="202" path="m,l,21600r21600,l21600,xe">
          <v:stroke joinstyle="miter"/>
          <v:path gradientshapeok="t" o:connecttype="rect"/>
        </v:shapetype>
        <v:shape id="_x0000_s1573" type="#_x0000_t202" style="position:absolute;margin-left:65.4pt;margin-top:594.5pt;width:116.6pt;height:12.55pt;z-index:-459808;mso-position-horizontal-relative:page;mso-position-vertical-relative:page" filled="f" stroked="f">
          <v:textbox inset="0,0,0,0">
            <w:txbxContent>
              <w:p w14:paraId="5AFC2354"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2A306A0D">
        <v:shape id="_x0000_s1572" type="#_x0000_t202" style="position:absolute;margin-left:356.1pt;margin-top:594.5pt;width:20.8pt;height:12.55pt;z-index:-459784;mso-position-horizontal-relative:page;mso-position-vertical-relative:page" filled="f" stroked="f">
          <v:textbox inset="0,0,0,0">
            <w:txbxContent>
              <w:p w14:paraId="6FF6FB00" w14:textId="77777777" w:rsidR="001008C3" w:rsidRDefault="001008C3">
                <w:pPr>
                  <w:spacing w:before="19"/>
                  <w:ind w:left="20"/>
                  <w:rPr>
                    <w:sz w:val="18"/>
                  </w:rPr>
                </w:pPr>
                <w:r>
                  <w:rPr>
                    <w:color w:val="231F20"/>
                    <w:sz w:val="18"/>
                  </w:rPr>
                  <w:t xml:space="preserve">161 </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AC6A4" w14:textId="77777777" w:rsidR="001008C3" w:rsidRDefault="00000000">
    <w:pPr>
      <w:pStyle w:val="a3"/>
      <w:spacing w:line="14" w:lineRule="auto"/>
    </w:pPr>
    <w:r>
      <w:rPr>
        <w:noProof w:val="0"/>
      </w:rPr>
      <w:pict w14:anchorId="0582D210">
        <v:shapetype id="_x0000_t202" coordsize="21600,21600" o:spt="202" path="m,l,21600r21600,l21600,xe">
          <v:stroke joinstyle="miter"/>
          <v:path gradientshapeok="t" o:connecttype="rect"/>
        </v:shapetype>
        <v:shape id="_x0000_s1723" type="#_x0000_t202" style="position:absolute;margin-left:348.65pt;margin-top:594.5pt;width:28.25pt;height:12.55pt;z-index:-463408;mso-position-horizontal-relative:page;mso-position-vertical-relative:page" filled="f" stroked="f">
          <v:textbox inset="0,0,0,0">
            <w:txbxContent>
              <w:p w14:paraId="731931E3" w14:textId="77777777" w:rsidR="001008C3" w:rsidRDefault="001008C3">
                <w:pPr>
                  <w:spacing w:before="19"/>
                  <w:ind w:left="40"/>
                  <w:rPr>
                    <w:sz w:val="18"/>
                  </w:rPr>
                </w:pPr>
                <w:r>
                  <w:rPr>
                    <w:color w:val="231F20"/>
                    <w:w w:val="115"/>
                    <w:sz w:val="18"/>
                  </w:rPr>
                  <w:t>xxiii</w:t>
                </w:r>
                <w:r>
                  <w:rPr>
                    <w:color w:val="231F20"/>
                    <w:sz w:val="18"/>
                  </w:rPr>
                  <w:t xml:space="preserve"> </w:t>
                </w:r>
              </w:p>
            </w:txbxContent>
          </v:textbox>
          <w10:wrap anchorx="page" anchory="page"/>
        </v:shape>
      </w:pic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9BF3" w14:textId="77777777" w:rsidR="001008C3" w:rsidRDefault="00000000">
    <w:pPr>
      <w:pStyle w:val="a3"/>
      <w:spacing w:line="14" w:lineRule="auto"/>
    </w:pPr>
    <w:r>
      <w:rPr>
        <w:noProof w:val="0"/>
      </w:rPr>
      <w:pict w14:anchorId="1E614C51">
        <v:shapetype id="_x0000_t202" coordsize="21600,21600" o:spt="202" path="m,l,21600r21600,l21600,xe">
          <v:stroke joinstyle="miter"/>
          <v:path gradientshapeok="t" o:connecttype="rect"/>
        </v:shapetype>
        <v:shape id="_x0000_s1571" type="#_x0000_t202" style="position:absolute;margin-left:55.4pt;margin-top:594.5pt;width:22.8pt;height:12.55pt;z-index:-459760;mso-position-horizontal-relative:page;mso-position-vertical-relative:page" filled="f" stroked="f">
          <v:textbox inset="0,0,0,0">
            <w:txbxContent>
              <w:p w14:paraId="5F0B1209" w14:textId="77777777" w:rsidR="001008C3" w:rsidRDefault="001008C3">
                <w:pPr>
                  <w:spacing w:before="19"/>
                  <w:ind w:left="40"/>
                  <w:rPr>
                    <w:sz w:val="18"/>
                  </w:rPr>
                </w:pPr>
                <w:r>
                  <w:rPr>
                    <w:color w:val="231F20"/>
                    <w:sz w:val="18"/>
                  </w:rPr>
                  <w:t xml:space="preserve">162 </w:t>
                </w:r>
              </w:p>
            </w:txbxContent>
          </v:textbox>
          <w10:wrap anchorx="page" anchory="page"/>
        </v:shape>
      </w:pict>
    </w:r>
    <w:r>
      <w:rPr>
        <w:noProof w:val="0"/>
      </w:rPr>
      <w:pict w14:anchorId="15B97FDE">
        <v:shape id="_x0000_s1570" type="#_x0000_t202" style="position:absolute;margin-left:177.7pt;margin-top:594.5pt;width:189.9pt;height:12.55pt;z-index:-459736;mso-position-horizontal-relative:page;mso-position-vertical-relative:page" filled="f" stroked="f">
          <v:textbox inset="0,0,0,0">
            <w:txbxContent>
              <w:p w14:paraId="4910BB71" w14:textId="77777777" w:rsidR="001008C3" w:rsidRDefault="001008C3">
                <w:pPr>
                  <w:tabs>
                    <w:tab w:val="left" w:pos="3548"/>
                  </w:tabs>
                  <w:spacing w:before="19"/>
                  <w:ind w:left="20"/>
                  <w:rPr>
                    <w:sz w:val="14"/>
                  </w:rPr>
                </w:pPr>
                <w:r>
                  <w:rPr>
                    <w:color w:val="231F20"/>
                    <w:spacing w:val="11"/>
                    <w:w w:val="115"/>
                    <w:sz w:val="18"/>
                  </w:rPr>
                  <w:t xml:space="preserve">on   </w:t>
                </w:r>
                <w:r>
                  <w:rPr>
                    <w:color w:val="231F20"/>
                    <w:spacing w:val="15"/>
                    <w:w w:val="115"/>
                    <w:sz w:val="18"/>
                  </w:rPr>
                  <w:t xml:space="preserve">the   </w:t>
                </w:r>
                <w:r>
                  <w:rPr>
                    <w:color w:val="231F20"/>
                    <w:spacing w:val="20"/>
                    <w:w w:val="115"/>
                    <w:sz w:val="18"/>
                  </w:rPr>
                  <w:t>treatment</w:t>
                </w:r>
                <w:r>
                  <w:rPr>
                    <w:color w:val="231F20"/>
                    <w:spacing w:val="32"/>
                    <w:w w:val="115"/>
                    <w:sz w:val="18"/>
                  </w:rPr>
                  <w:t xml:space="preserve"> </w:t>
                </w:r>
                <w:r>
                  <w:rPr>
                    <w:color w:val="231F20"/>
                    <w:spacing w:val="11"/>
                    <w:w w:val="115"/>
                    <w:sz w:val="18"/>
                  </w:rPr>
                  <w:t xml:space="preserve">of </w:t>
                </w:r>
                <w:r>
                  <w:rPr>
                    <w:color w:val="231F20"/>
                    <w:spacing w:val="40"/>
                    <w:w w:val="115"/>
                    <w:sz w:val="18"/>
                  </w:rPr>
                  <w:t xml:space="preserve"> </w:t>
                </w:r>
                <w:r>
                  <w:rPr>
                    <w:color w:val="231F20"/>
                    <w:spacing w:val="20"/>
                    <w:w w:val="115"/>
                    <w:sz w:val="18"/>
                  </w:rPr>
                  <w:t>traitors</w:t>
                </w:r>
                <w:r>
                  <w:rPr>
                    <w:color w:val="231F20"/>
                    <w:spacing w:val="20"/>
                    <w:w w:val="115"/>
                    <w:sz w:val="18"/>
                  </w:rPr>
                  <w:tab/>
                </w:r>
                <w:r>
                  <w:rPr>
                    <w:color w:val="231F20"/>
                    <w:spacing w:val="11"/>
                    <w:w w:val="105"/>
                    <w:sz w:val="14"/>
                  </w:rPr>
                  <w:t>(4)</w:t>
                </w:r>
                <w:r>
                  <w:rPr>
                    <w:color w:val="231F20"/>
                    <w:spacing w:val="-12"/>
                    <w:sz w:val="14"/>
                  </w:rPr>
                  <w:t xml:space="preserve"> </w:t>
                </w:r>
              </w:p>
            </w:txbxContent>
          </v:textbox>
          <w10:wrap anchorx="page" anchory="page"/>
        </v:shape>
      </w:pic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2CC43" w14:textId="77777777" w:rsidR="001008C3" w:rsidRDefault="00000000">
    <w:pPr>
      <w:pStyle w:val="a3"/>
      <w:spacing w:line="14" w:lineRule="auto"/>
    </w:pPr>
    <w:r>
      <w:rPr>
        <w:noProof w:val="0"/>
      </w:rPr>
      <w:pict w14:anchorId="086B2338">
        <v:shapetype id="_x0000_t202" coordsize="21600,21600" o:spt="202" path="m,l,21600r21600,l21600,xe">
          <v:stroke joinstyle="miter"/>
          <v:path gradientshapeok="t" o:connecttype="rect"/>
        </v:shapetype>
        <v:shape id="_x0000_s1568" type="#_x0000_t202" style="position:absolute;margin-left:55.4pt;margin-top:594.5pt;width:22.8pt;height:12.55pt;z-index:-459688;mso-position-horizontal-relative:page;mso-position-vertical-relative:page" filled="f" stroked="f">
          <v:textbox inset="0,0,0,0">
            <w:txbxContent>
              <w:p w14:paraId="1D9D7A9B"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164</w:t>
                </w:r>
                <w:r>
                  <w:fldChar w:fldCharType="end"/>
                </w:r>
                <w:r>
                  <w:rPr>
                    <w:color w:val="231F20"/>
                    <w:sz w:val="18"/>
                  </w:rPr>
                  <w:t xml:space="preserve"> </w:t>
                </w:r>
              </w:p>
            </w:txbxContent>
          </v:textbox>
          <w10:wrap anchorx="page" anchory="page"/>
        </v:shape>
      </w:pict>
    </w:r>
    <w:r>
      <w:rPr>
        <w:noProof w:val="0"/>
      </w:rPr>
      <w:pict w14:anchorId="1132DE55">
        <v:shape id="_x0000_s1567" type="#_x0000_t202" style="position:absolute;margin-left:105.55pt;margin-top:594.5pt;width:262.05pt;height:12.55pt;z-index:-459664;mso-position-horizontal-relative:page;mso-position-vertical-relative:page" filled="f" stroked="f">
          <v:textbox inset="0,0,0,0">
            <w:txbxContent>
              <w:p w14:paraId="595E6E30" w14:textId="77777777" w:rsidR="001008C3" w:rsidRDefault="001008C3">
                <w:pPr>
                  <w:tabs>
                    <w:tab w:val="left" w:pos="4990"/>
                  </w:tabs>
                  <w:spacing w:before="19"/>
                  <w:ind w:left="20"/>
                  <w:rPr>
                    <w:sz w:val="14"/>
                  </w:rPr>
                </w:pPr>
                <w:r>
                  <w:rPr>
                    <w:color w:val="231F20"/>
                    <w:spacing w:val="15"/>
                    <w:w w:val="110"/>
                    <w:sz w:val="18"/>
                  </w:rPr>
                  <w:t xml:space="preserve">the </w:t>
                </w:r>
                <w:r>
                  <w:rPr>
                    <w:color w:val="231F20"/>
                    <w:spacing w:val="75"/>
                    <w:w w:val="110"/>
                    <w:sz w:val="18"/>
                  </w:rPr>
                  <w:t xml:space="preserve"> </w:t>
                </w:r>
                <w:r>
                  <w:rPr>
                    <w:color w:val="231F20"/>
                    <w:spacing w:val="13"/>
                    <w:w w:val="110"/>
                    <w:sz w:val="18"/>
                  </w:rPr>
                  <w:t xml:space="preserve">may   </w:t>
                </w:r>
                <w:r>
                  <w:rPr>
                    <w:color w:val="231F20"/>
                    <w:spacing w:val="21"/>
                    <w:w w:val="110"/>
                    <w:sz w:val="18"/>
                  </w:rPr>
                  <w:t xml:space="preserve">offensive:  </w:t>
                </w:r>
                <w:r>
                  <w:rPr>
                    <w:color w:val="231F20"/>
                    <w:spacing w:val="20"/>
                    <w:w w:val="110"/>
                    <w:sz w:val="18"/>
                  </w:rPr>
                  <w:t xml:space="preserve">bringing  </w:t>
                </w:r>
                <w:r>
                  <w:rPr>
                    <w:color w:val="231F20"/>
                    <w:spacing w:val="15"/>
                    <w:w w:val="110"/>
                    <w:sz w:val="18"/>
                  </w:rPr>
                  <w:t>the</w:t>
                </w:r>
                <w:r>
                  <w:rPr>
                    <w:color w:val="231F20"/>
                    <w:spacing w:val="30"/>
                    <w:w w:val="110"/>
                    <w:sz w:val="18"/>
                  </w:rPr>
                  <w:t xml:space="preserve"> </w:t>
                </w:r>
                <w:r>
                  <w:rPr>
                    <w:color w:val="231F20"/>
                    <w:spacing w:val="12"/>
                    <w:w w:val="110"/>
                    <w:sz w:val="18"/>
                  </w:rPr>
                  <w:t xml:space="preserve">war </w:t>
                </w:r>
                <w:r>
                  <w:rPr>
                    <w:color w:val="231F20"/>
                    <w:spacing w:val="38"/>
                    <w:w w:val="110"/>
                    <w:sz w:val="18"/>
                  </w:rPr>
                  <w:t xml:space="preserve"> </w:t>
                </w:r>
                <w:r>
                  <w:rPr>
                    <w:color w:val="231F20"/>
                    <w:spacing w:val="17"/>
                    <w:w w:val="110"/>
                    <w:sz w:val="18"/>
                  </w:rPr>
                  <w:t>home</w:t>
                </w:r>
                <w:r>
                  <w:rPr>
                    <w:color w:val="231F20"/>
                    <w:spacing w:val="17"/>
                    <w:w w:val="110"/>
                    <w:sz w:val="18"/>
                  </w:rPr>
                  <w:tab/>
                </w:r>
                <w:r>
                  <w:rPr>
                    <w:color w:val="231F20"/>
                    <w:spacing w:val="11"/>
                    <w:w w:val="105"/>
                    <w:sz w:val="14"/>
                  </w:rPr>
                  <w:t>(5)</w:t>
                </w:r>
                <w:r>
                  <w:rPr>
                    <w:color w:val="231F20"/>
                    <w:spacing w:val="-12"/>
                    <w:sz w:val="14"/>
                  </w:rPr>
                  <w:t xml:space="preserve"> </w:t>
                </w:r>
              </w:p>
            </w:txbxContent>
          </v:textbox>
          <w10:wrap anchorx="page" anchory="page"/>
        </v:shape>
      </w:pic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D6ABE" w14:textId="77777777" w:rsidR="001008C3" w:rsidRDefault="00000000">
    <w:pPr>
      <w:pStyle w:val="a3"/>
      <w:spacing w:line="14" w:lineRule="auto"/>
    </w:pPr>
    <w:r>
      <w:rPr>
        <w:noProof w:val="0"/>
      </w:rPr>
      <w:pict w14:anchorId="67882530">
        <v:shapetype id="_x0000_t202" coordsize="21600,21600" o:spt="202" path="m,l,21600r21600,l21600,xe">
          <v:stroke joinstyle="miter"/>
          <v:path gradientshapeok="t" o:connecttype="rect"/>
        </v:shapetype>
        <v:shape id="_x0000_s1569" type="#_x0000_t202" style="position:absolute;margin-left:355.1pt;margin-top:594.5pt;width:22.8pt;height:12.55pt;z-index:-459712;mso-position-horizontal-relative:page;mso-position-vertical-relative:page" filled="f" stroked="f">
          <v:textbox inset="0,0,0,0">
            <w:txbxContent>
              <w:p w14:paraId="5E6A5D54"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163</w:t>
                </w:r>
                <w:r>
                  <w:fldChar w:fldCharType="end"/>
                </w:r>
                <w:r>
                  <w:rPr>
                    <w:color w:val="231F20"/>
                    <w:sz w:val="18"/>
                  </w:rPr>
                  <w:t xml:space="preserve"> </w:t>
                </w:r>
              </w:p>
            </w:txbxContent>
          </v:textbox>
          <w10:wrap anchorx="page" anchory="page"/>
        </v:shape>
      </w:pic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E5EBF" w14:textId="77777777" w:rsidR="001008C3" w:rsidRDefault="00000000">
    <w:pPr>
      <w:pStyle w:val="a3"/>
      <w:spacing w:line="14" w:lineRule="auto"/>
    </w:pPr>
    <w:r>
      <w:rPr>
        <w:noProof w:val="0"/>
      </w:rPr>
      <w:pict w14:anchorId="6D07991F">
        <v:shapetype id="_x0000_t202" coordsize="21600,21600" o:spt="202" path="m,l,21600r21600,l21600,xe">
          <v:stroke joinstyle="miter"/>
          <v:path gradientshapeok="t" o:connecttype="rect"/>
        </v:shapetype>
        <v:shape id="_x0000_s1564" type="#_x0000_t202" style="position:absolute;margin-left:55.4pt;margin-top:594.5pt;width:22.8pt;height:12.55pt;z-index:-459592;mso-position-horizontal-relative:page;mso-position-vertical-relative:page" filled="f" stroked="f">
          <v:textbox inset="0,0,0,0">
            <w:txbxContent>
              <w:p w14:paraId="453568F4"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166</w:t>
                </w:r>
                <w:r>
                  <w:fldChar w:fldCharType="end"/>
                </w:r>
                <w:r>
                  <w:rPr>
                    <w:color w:val="231F20"/>
                    <w:sz w:val="18"/>
                  </w:rPr>
                  <w:t xml:space="preserve"> </w:t>
                </w:r>
              </w:p>
            </w:txbxContent>
          </v:textbox>
          <w10:wrap anchorx="page" anchory="page"/>
        </v:shape>
      </w:pict>
    </w:r>
    <w:r>
      <w:rPr>
        <w:noProof w:val="0"/>
      </w:rPr>
      <w:pict w14:anchorId="578A2FAC">
        <v:shape id="_x0000_s1563" type="#_x0000_t202" style="position:absolute;margin-left:105.55pt;margin-top:594.5pt;width:262.05pt;height:12.55pt;z-index:-459568;mso-position-horizontal-relative:page;mso-position-vertical-relative:page" filled="f" stroked="f">
          <v:textbox inset="0,0,0,0">
            <w:txbxContent>
              <w:p w14:paraId="307F5398" w14:textId="77777777" w:rsidR="001008C3" w:rsidRDefault="001008C3">
                <w:pPr>
                  <w:tabs>
                    <w:tab w:val="left" w:pos="4990"/>
                  </w:tabs>
                  <w:spacing w:before="19"/>
                  <w:ind w:left="20"/>
                  <w:rPr>
                    <w:sz w:val="14"/>
                  </w:rPr>
                </w:pPr>
                <w:r>
                  <w:rPr>
                    <w:color w:val="231F20"/>
                    <w:spacing w:val="15"/>
                    <w:w w:val="110"/>
                    <w:sz w:val="18"/>
                  </w:rPr>
                  <w:t xml:space="preserve">the </w:t>
                </w:r>
                <w:r>
                  <w:rPr>
                    <w:color w:val="231F20"/>
                    <w:spacing w:val="75"/>
                    <w:w w:val="110"/>
                    <w:sz w:val="18"/>
                  </w:rPr>
                  <w:t xml:space="preserve"> </w:t>
                </w:r>
                <w:r>
                  <w:rPr>
                    <w:color w:val="231F20"/>
                    <w:spacing w:val="13"/>
                    <w:w w:val="110"/>
                    <w:sz w:val="18"/>
                  </w:rPr>
                  <w:t xml:space="preserve">may   </w:t>
                </w:r>
                <w:r>
                  <w:rPr>
                    <w:color w:val="231F20"/>
                    <w:spacing w:val="21"/>
                    <w:w w:val="110"/>
                    <w:sz w:val="18"/>
                  </w:rPr>
                  <w:t xml:space="preserve">offensive:  </w:t>
                </w:r>
                <w:r>
                  <w:rPr>
                    <w:color w:val="231F20"/>
                    <w:spacing w:val="20"/>
                    <w:w w:val="110"/>
                    <w:sz w:val="18"/>
                  </w:rPr>
                  <w:t xml:space="preserve">bringing  </w:t>
                </w:r>
                <w:r>
                  <w:rPr>
                    <w:color w:val="231F20"/>
                    <w:spacing w:val="15"/>
                    <w:w w:val="110"/>
                    <w:sz w:val="18"/>
                  </w:rPr>
                  <w:t>the</w:t>
                </w:r>
                <w:r>
                  <w:rPr>
                    <w:color w:val="231F20"/>
                    <w:spacing w:val="30"/>
                    <w:w w:val="110"/>
                    <w:sz w:val="18"/>
                  </w:rPr>
                  <w:t xml:space="preserve"> </w:t>
                </w:r>
                <w:r>
                  <w:rPr>
                    <w:color w:val="231F20"/>
                    <w:spacing w:val="12"/>
                    <w:w w:val="110"/>
                    <w:sz w:val="18"/>
                  </w:rPr>
                  <w:t xml:space="preserve">war </w:t>
                </w:r>
                <w:r>
                  <w:rPr>
                    <w:color w:val="231F20"/>
                    <w:spacing w:val="38"/>
                    <w:w w:val="110"/>
                    <w:sz w:val="18"/>
                  </w:rPr>
                  <w:t xml:space="preserve"> </w:t>
                </w:r>
                <w:r>
                  <w:rPr>
                    <w:color w:val="231F20"/>
                    <w:spacing w:val="17"/>
                    <w:w w:val="110"/>
                    <w:sz w:val="18"/>
                  </w:rPr>
                  <w:t>home</w:t>
                </w:r>
                <w:r>
                  <w:rPr>
                    <w:color w:val="231F20"/>
                    <w:spacing w:val="17"/>
                    <w:w w:val="110"/>
                    <w:sz w:val="18"/>
                  </w:rPr>
                  <w:tab/>
                </w:r>
                <w:r>
                  <w:rPr>
                    <w:color w:val="231F20"/>
                    <w:spacing w:val="11"/>
                    <w:w w:val="105"/>
                    <w:sz w:val="14"/>
                  </w:rPr>
                  <w:t>(5)</w:t>
                </w:r>
                <w:r>
                  <w:rPr>
                    <w:color w:val="231F20"/>
                    <w:spacing w:val="-12"/>
                    <w:sz w:val="14"/>
                  </w:rPr>
                  <w:t xml:space="preserve"> </w:t>
                </w:r>
              </w:p>
            </w:txbxContent>
          </v:textbox>
          <w10:wrap anchorx="page" anchory="page"/>
        </v:shape>
      </w:pic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C6D2C" w14:textId="77777777" w:rsidR="001008C3" w:rsidRDefault="00000000">
    <w:pPr>
      <w:pStyle w:val="a3"/>
      <w:spacing w:line="14" w:lineRule="auto"/>
    </w:pPr>
    <w:r>
      <w:rPr>
        <w:noProof w:val="0"/>
      </w:rPr>
      <w:pict w14:anchorId="6B53CB99">
        <v:shapetype id="_x0000_t202" coordsize="21600,21600" o:spt="202" path="m,l,21600r21600,l21600,xe">
          <v:stroke joinstyle="miter"/>
          <v:path gradientshapeok="t" o:connecttype="rect"/>
        </v:shapetype>
        <v:shape id="_x0000_s1566" type="#_x0000_t202" style="position:absolute;margin-left:65.4pt;margin-top:594.5pt;width:116.6pt;height:12.55pt;z-index:-459640;mso-position-horizontal-relative:page;mso-position-vertical-relative:page" filled="f" stroked="f">
          <v:textbox inset="0,0,0,0">
            <w:txbxContent>
              <w:p w14:paraId="429E73B1"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08B69EED">
        <v:shape id="_x0000_s1565" type="#_x0000_t202" style="position:absolute;margin-left:355.1pt;margin-top:594.5pt;width:22.8pt;height:12.55pt;z-index:-459616;mso-position-horizontal-relative:page;mso-position-vertical-relative:page" filled="f" stroked="f">
          <v:textbox inset="0,0,0,0">
            <w:txbxContent>
              <w:p w14:paraId="63ED0468"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165</w:t>
                </w:r>
                <w:r>
                  <w:fldChar w:fldCharType="end"/>
                </w:r>
                <w:r>
                  <w:rPr>
                    <w:color w:val="231F20"/>
                    <w:sz w:val="18"/>
                  </w:rPr>
                  <w:t xml:space="preserve"> </w:t>
                </w:r>
              </w:p>
            </w:txbxContent>
          </v:textbox>
          <w10:wrap anchorx="page" anchory="page"/>
        </v:shape>
      </w:pic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02E42" w14:textId="77777777" w:rsidR="001008C3" w:rsidRDefault="00000000">
    <w:pPr>
      <w:pStyle w:val="a3"/>
      <w:spacing w:line="14" w:lineRule="auto"/>
    </w:pPr>
    <w:r>
      <w:rPr>
        <w:noProof w:val="0"/>
      </w:rPr>
      <w:pict w14:anchorId="60FBA4C4">
        <v:shapetype id="_x0000_t202" coordsize="21600,21600" o:spt="202" path="m,l,21600r21600,l21600,xe">
          <v:stroke joinstyle="miter"/>
          <v:path gradientshapeok="t" o:connecttype="rect"/>
        </v:shapetype>
        <v:shape id="_x0000_s1560" type="#_x0000_t202" style="position:absolute;margin-left:65.4pt;margin-top:594.5pt;width:116.6pt;height:12.55pt;z-index:-459496;mso-position-horizontal-relative:page;mso-position-vertical-relative:page" filled="f" stroked="f">
          <v:textbox inset="0,0,0,0">
            <w:txbxContent>
              <w:p w14:paraId="1E7728F7" w14:textId="77777777" w:rsidR="001008C3" w:rsidRDefault="001008C3">
                <w:pPr>
                  <w:spacing w:before="19"/>
                  <w:ind w:left="20"/>
                  <w:rPr>
                    <w:sz w:val="18"/>
                  </w:rPr>
                </w:pPr>
                <w:r>
                  <w:rPr>
                    <w:color w:val="231F20"/>
                    <w:w w:val="115"/>
                    <w:sz w:val="18"/>
                  </w:rPr>
                  <w:t>moncourt and smith</w:t>
                </w:r>
                <w:r>
                  <w:rPr>
                    <w:color w:val="231F20"/>
                    <w:sz w:val="18"/>
                  </w:rPr>
                  <w:t xml:space="preserve"> </w:t>
                </w:r>
              </w:p>
            </w:txbxContent>
          </v:textbox>
          <w10:wrap anchorx="page" anchory="page"/>
        </v:shape>
      </w:pict>
    </w:r>
    <w:r>
      <w:rPr>
        <w:noProof w:val="0"/>
      </w:rPr>
      <w:pict w14:anchorId="30ECD5A9">
        <v:shape id="_x0000_s1559" type="#_x0000_t202" style="position:absolute;margin-left:356.1pt;margin-top:594.5pt;width:20.8pt;height:12.55pt;z-index:-459472;mso-position-horizontal-relative:page;mso-position-vertical-relative:page" filled="f" stroked="f">
          <v:textbox inset="0,0,0,0">
            <w:txbxContent>
              <w:p w14:paraId="1ABD9669" w14:textId="77777777" w:rsidR="001008C3" w:rsidRDefault="001008C3">
                <w:pPr>
                  <w:spacing w:before="19"/>
                  <w:ind w:left="20"/>
                  <w:rPr>
                    <w:sz w:val="18"/>
                  </w:rPr>
                </w:pPr>
                <w:r>
                  <w:rPr>
                    <w:color w:val="231F20"/>
                    <w:sz w:val="18"/>
                  </w:rPr>
                  <w:t xml:space="preserve">171 </w:t>
                </w:r>
              </w:p>
            </w:txbxContent>
          </v:textbox>
          <w10:wrap anchorx="page" anchory="page"/>
        </v:shape>
      </w:pic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09DEC" w14:textId="77777777" w:rsidR="001008C3" w:rsidRDefault="00000000">
    <w:pPr>
      <w:pStyle w:val="a3"/>
      <w:spacing w:line="14" w:lineRule="auto"/>
    </w:pPr>
    <w:r>
      <w:rPr>
        <w:noProof w:val="0"/>
      </w:rPr>
      <w:pict w14:anchorId="08CD81CD">
        <v:shapetype id="_x0000_t202" coordsize="21600,21600" o:spt="202" path="m,l,21600r21600,l21600,xe">
          <v:stroke joinstyle="miter"/>
          <v:path gradientshapeok="t" o:connecttype="rect"/>
        </v:shapetype>
        <v:shape id="_x0000_s1562" type="#_x0000_t202" style="position:absolute;margin-left:56.4pt;margin-top:594.5pt;width:20.8pt;height:12.55pt;z-index:-459544;mso-position-horizontal-relative:page;mso-position-vertical-relative:page" filled="f" stroked="f">
          <v:textbox inset="0,0,0,0">
            <w:txbxContent>
              <w:p w14:paraId="0E1B77F8" w14:textId="77777777" w:rsidR="001008C3" w:rsidRDefault="001008C3">
                <w:pPr>
                  <w:spacing w:before="19"/>
                  <w:ind w:left="20"/>
                  <w:rPr>
                    <w:sz w:val="18"/>
                  </w:rPr>
                </w:pPr>
                <w:r>
                  <w:rPr>
                    <w:color w:val="231F20"/>
                    <w:sz w:val="18"/>
                  </w:rPr>
                  <w:t xml:space="preserve">170 </w:t>
                </w:r>
              </w:p>
            </w:txbxContent>
          </v:textbox>
          <w10:wrap anchorx="page" anchory="page"/>
        </v:shape>
      </w:pict>
    </w:r>
    <w:r>
      <w:rPr>
        <w:noProof w:val="0"/>
      </w:rPr>
      <w:pict w14:anchorId="4EF93AF0">
        <v:shape id="_x0000_s1561" type="#_x0000_t202" style="position:absolute;margin-left:105.55pt;margin-top:594.5pt;width:262.05pt;height:12.55pt;z-index:-459520;mso-position-horizontal-relative:page;mso-position-vertical-relative:page" filled="f" stroked="f">
          <v:textbox inset="0,0,0,0">
            <w:txbxContent>
              <w:p w14:paraId="0A05C1D9" w14:textId="77777777" w:rsidR="001008C3" w:rsidRDefault="001008C3">
                <w:pPr>
                  <w:tabs>
                    <w:tab w:val="left" w:pos="4990"/>
                  </w:tabs>
                  <w:spacing w:before="19"/>
                  <w:ind w:left="20"/>
                  <w:rPr>
                    <w:sz w:val="14"/>
                  </w:rPr>
                </w:pPr>
                <w:r>
                  <w:rPr>
                    <w:color w:val="231F20"/>
                    <w:spacing w:val="15"/>
                    <w:w w:val="110"/>
                    <w:sz w:val="18"/>
                  </w:rPr>
                  <w:t xml:space="preserve">the </w:t>
                </w:r>
                <w:r>
                  <w:rPr>
                    <w:color w:val="231F20"/>
                    <w:spacing w:val="75"/>
                    <w:w w:val="110"/>
                    <w:sz w:val="18"/>
                  </w:rPr>
                  <w:t xml:space="preserve"> </w:t>
                </w:r>
                <w:r>
                  <w:rPr>
                    <w:color w:val="231F20"/>
                    <w:spacing w:val="13"/>
                    <w:w w:val="110"/>
                    <w:sz w:val="18"/>
                  </w:rPr>
                  <w:t xml:space="preserve">may   </w:t>
                </w:r>
                <w:r>
                  <w:rPr>
                    <w:color w:val="231F20"/>
                    <w:spacing w:val="21"/>
                    <w:w w:val="110"/>
                    <w:sz w:val="18"/>
                  </w:rPr>
                  <w:t xml:space="preserve">offensive:  </w:t>
                </w:r>
                <w:r>
                  <w:rPr>
                    <w:color w:val="231F20"/>
                    <w:spacing w:val="20"/>
                    <w:w w:val="110"/>
                    <w:sz w:val="18"/>
                  </w:rPr>
                  <w:t xml:space="preserve">bringing  </w:t>
                </w:r>
                <w:r>
                  <w:rPr>
                    <w:color w:val="231F20"/>
                    <w:spacing w:val="15"/>
                    <w:w w:val="110"/>
                    <w:sz w:val="18"/>
                  </w:rPr>
                  <w:t>the</w:t>
                </w:r>
                <w:r>
                  <w:rPr>
                    <w:color w:val="231F20"/>
                    <w:spacing w:val="30"/>
                    <w:w w:val="110"/>
                    <w:sz w:val="18"/>
                  </w:rPr>
                  <w:t xml:space="preserve"> </w:t>
                </w:r>
                <w:r>
                  <w:rPr>
                    <w:color w:val="231F20"/>
                    <w:spacing w:val="12"/>
                    <w:w w:val="110"/>
                    <w:sz w:val="18"/>
                  </w:rPr>
                  <w:t xml:space="preserve">war </w:t>
                </w:r>
                <w:r>
                  <w:rPr>
                    <w:color w:val="231F20"/>
                    <w:spacing w:val="38"/>
                    <w:w w:val="110"/>
                    <w:sz w:val="18"/>
                  </w:rPr>
                  <w:t xml:space="preserve"> </w:t>
                </w:r>
                <w:r>
                  <w:rPr>
                    <w:color w:val="231F20"/>
                    <w:spacing w:val="17"/>
                    <w:w w:val="110"/>
                    <w:sz w:val="18"/>
                  </w:rPr>
                  <w:t>home</w:t>
                </w:r>
                <w:r>
                  <w:rPr>
                    <w:color w:val="231F20"/>
                    <w:spacing w:val="17"/>
                    <w:w w:val="110"/>
                    <w:sz w:val="18"/>
                  </w:rPr>
                  <w:tab/>
                </w:r>
                <w:r>
                  <w:rPr>
                    <w:color w:val="231F20"/>
                    <w:spacing w:val="11"/>
                    <w:w w:val="105"/>
                    <w:sz w:val="14"/>
                  </w:rPr>
                  <w:t>(5)</w:t>
                </w:r>
                <w:r>
                  <w:rPr>
                    <w:color w:val="231F20"/>
                    <w:spacing w:val="-12"/>
                    <w:sz w:val="14"/>
                  </w:rPr>
                  <w:t xml:space="preserve"> </w:t>
                </w:r>
              </w:p>
            </w:txbxContent>
          </v:textbox>
          <w10:wrap anchorx="page" anchory="page"/>
        </v:shape>
      </w:pic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B7AA1" w14:textId="77777777" w:rsidR="001008C3" w:rsidRDefault="00000000">
    <w:pPr>
      <w:pStyle w:val="a3"/>
      <w:spacing w:line="14" w:lineRule="auto"/>
    </w:pPr>
    <w:r>
      <w:rPr>
        <w:noProof w:val="0"/>
      </w:rPr>
      <w:pict w14:anchorId="4A56DC22">
        <v:shapetype id="_x0000_t202" coordsize="21600,21600" o:spt="202" path="m,l,21600r21600,l21600,xe">
          <v:stroke joinstyle="miter"/>
          <v:path gradientshapeok="t" o:connecttype="rect"/>
        </v:shapetype>
        <v:shape id="_x0000_s1558" type="#_x0000_t202" style="position:absolute;margin-left:55.4pt;margin-top:594.5pt;width:22.8pt;height:12.55pt;z-index:-459448;mso-position-horizontal-relative:page;mso-position-vertical-relative:page" filled="f" stroked="f">
          <v:textbox inset="0,0,0,0">
            <w:txbxContent>
              <w:p w14:paraId="4E16C686" w14:textId="77777777" w:rsidR="001008C3" w:rsidRDefault="001008C3">
                <w:pPr>
                  <w:spacing w:before="19"/>
                  <w:ind w:left="40"/>
                  <w:rPr>
                    <w:sz w:val="18"/>
                  </w:rPr>
                </w:pPr>
                <w:r>
                  <w:fldChar w:fldCharType="begin"/>
                </w:r>
                <w:r>
                  <w:rPr>
                    <w:color w:val="231F20"/>
                    <w:sz w:val="18"/>
                  </w:rPr>
                  <w:instrText xml:space="preserve"> PAGE </w:instrText>
                </w:r>
                <w:r>
                  <w:fldChar w:fldCharType="separate"/>
                </w:r>
                <w:r>
                  <w:t>172</w:t>
                </w:r>
                <w:r>
                  <w:fldChar w:fldCharType="end"/>
                </w:r>
                <w:r>
                  <w:rPr>
                    <w:color w:val="231F20"/>
                    <w:sz w:val="18"/>
                  </w:rPr>
                  <w:t xml:space="preserve"> </w:t>
                </w:r>
              </w:p>
            </w:txbxContent>
          </v:textbox>
          <w10:wrap anchorx="page" anchory="page"/>
        </v:shape>
      </w:pict>
    </w:r>
    <w:r>
      <w:rPr>
        <w:noProof w:val="0"/>
      </w:rPr>
      <w:pict w14:anchorId="0147E11E">
        <v:shape id="_x0000_s1557" type="#_x0000_t202" style="position:absolute;margin-left:105.55pt;margin-top:594.5pt;width:262.05pt;height:12.55pt;z-index:-459424;mso-position-horizontal-relative:page;mso-position-vertical-relative:page" filled="f" stroked="f">
          <v:textbox inset="0,0,0,0">
            <w:txbxContent>
              <w:p w14:paraId="3712829B" w14:textId="77777777" w:rsidR="001008C3" w:rsidRDefault="001008C3">
                <w:pPr>
                  <w:tabs>
                    <w:tab w:val="left" w:pos="4990"/>
                  </w:tabs>
                  <w:spacing w:before="19"/>
                  <w:ind w:left="20"/>
                  <w:rPr>
                    <w:sz w:val="14"/>
                  </w:rPr>
                </w:pPr>
                <w:r>
                  <w:rPr>
                    <w:color w:val="231F20"/>
                    <w:spacing w:val="15"/>
                    <w:w w:val="110"/>
                    <w:sz w:val="18"/>
                  </w:rPr>
                  <w:t xml:space="preserve">the </w:t>
                </w:r>
                <w:r>
                  <w:rPr>
                    <w:color w:val="231F20"/>
                    <w:spacing w:val="75"/>
                    <w:w w:val="110"/>
                    <w:sz w:val="18"/>
                  </w:rPr>
                  <w:t xml:space="preserve"> </w:t>
                </w:r>
                <w:r>
                  <w:rPr>
                    <w:color w:val="231F20"/>
                    <w:spacing w:val="13"/>
                    <w:w w:val="110"/>
                    <w:sz w:val="18"/>
                  </w:rPr>
                  <w:t xml:space="preserve">may   </w:t>
                </w:r>
                <w:r>
                  <w:rPr>
                    <w:color w:val="231F20"/>
                    <w:spacing w:val="21"/>
                    <w:w w:val="110"/>
                    <w:sz w:val="18"/>
                  </w:rPr>
                  <w:t xml:space="preserve">offensive:  </w:t>
                </w:r>
                <w:r>
                  <w:rPr>
                    <w:color w:val="231F20"/>
                    <w:spacing w:val="20"/>
                    <w:w w:val="110"/>
                    <w:sz w:val="18"/>
                  </w:rPr>
                  <w:t xml:space="preserve">bringing  </w:t>
                </w:r>
                <w:r>
                  <w:rPr>
                    <w:color w:val="231F20"/>
                    <w:spacing w:val="15"/>
                    <w:w w:val="110"/>
                    <w:sz w:val="18"/>
                  </w:rPr>
                  <w:t>the</w:t>
                </w:r>
                <w:r>
                  <w:rPr>
                    <w:color w:val="231F20"/>
                    <w:spacing w:val="30"/>
                    <w:w w:val="110"/>
                    <w:sz w:val="18"/>
                  </w:rPr>
                  <w:t xml:space="preserve"> </w:t>
                </w:r>
                <w:r>
                  <w:rPr>
                    <w:color w:val="231F20"/>
                    <w:spacing w:val="12"/>
                    <w:w w:val="110"/>
                    <w:sz w:val="18"/>
                  </w:rPr>
                  <w:t xml:space="preserve">war </w:t>
                </w:r>
                <w:r>
                  <w:rPr>
                    <w:color w:val="231F20"/>
                    <w:spacing w:val="38"/>
                    <w:w w:val="110"/>
                    <w:sz w:val="18"/>
                  </w:rPr>
                  <w:t xml:space="preserve"> </w:t>
                </w:r>
                <w:r>
                  <w:rPr>
                    <w:color w:val="231F20"/>
                    <w:spacing w:val="17"/>
                    <w:w w:val="110"/>
                    <w:sz w:val="18"/>
                  </w:rPr>
                  <w:t>home</w:t>
                </w:r>
                <w:r>
                  <w:rPr>
                    <w:color w:val="231F20"/>
                    <w:spacing w:val="17"/>
                    <w:w w:val="110"/>
                    <w:sz w:val="18"/>
                  </w:rPr>
                  <w:tab/>
                </w:r>
                <w:r>
                  <w:rPr>
                    <w:color w:val="231F20"/>
                    <w:spacing w:val="11"/>
                    <w:w w:val="105"/>
                    <w:sz w:val="14"/>
                  </w:rPr>
                  <w:t>(5)</w:t>
                </w:r>
                <w:r>
                  <w:rPr>
                    <w:color w:val="231F20"/>
                    <w:spacing w:val="-12"/>
                    <w:sz w:val="14"/>
                  </w:rPr>
                  <w:t xml:space="preserve"> </w:t>
                </w:r>
              </w:p>
            </w:txbxContent>
          </v:textbox>
          <w10:wrap anchorx="page" anchory="page"/>
        </v:shape>
      </w:pic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B038" w14:textId="77777777" w:rsidR="001008C3" w:rsidRDefault="00000000">
    <w:pPr>
      <w:pStyle w:val="a3"/>
      <w:spacing w:line="14" w:lineRule="auto"/>
    </w:pPr>
    <w:r>
      <w:rPr>
        <w:noProof w:val="0"/>
      </w:rPr>
      <w:pict w14:anchorId="3D93EA6E">
        <v:shapetype id="_x0000_t202" coordsize="21600,21600" o:spt="202" path="m,l,21600r21600,l21600,xe">
          <v:stroke joinstyle="miter"/>
          <v:path gradientshapeok="t" o:connecttype="rect"/>
        </v:shapetype>
        <v:shape id="_x0000_s1556" type="#_x0000_t202" style="position:absolute;margin-left:65.4pt;margin-top:594.5pt;width:254.1pt;height:12.55pt;z-index:-459400;mso-position-horizontal-relative:page;mso-position-vertical-relative:page" filled="f" stroked="f">
          <v:textbox inset="0,0,0,0">
            <w:txbxContent>
              <w:p w14:paraId="356EB316" w14:textId="77777777" w:rsidR="001008C3" w:rsidRDefault="001008C3">
                <w:pPr>
                  <w:spacing w:before="19"/>
                  <w:ind w:left="20"/>
                  <w:rPr>
                    <w:sz w:val="16"/>
                  </w:rPr>
                </w:pPr>
                <w:r>
                  <w:rPr>
                    <w:color w:val="231F20"/>
                    <w:w w:val="125"/>
                    <w:sz w:val="16"/>
                  </w:rPr>
                  <w:t xml:space="preserve">“ </w:t>
                </w:r>
                <w:r>
                  <w:rPr>
                    <w:color w:val="231F20"/>
                    <w:w w:val="125"/>
                    <w:sz w:val="18"/>
                  </w:rPr>
                  <w:t>the objective of these actions was clear…</w:t>
                </w:r>
                <w:r>
                  <w:rPr>
                    <w:color w:val="231F20"/>
                    <w:w w:val="125"/>
                    <w:sz w:val="16"/>
                  </w:rPr>
                  <w:t>”</w:t>
                </w:r>
              </w:p>
            </w:txbxContent>
          </v:textbox>
          <w10:wrap anchorx="page" anchory="page"/>
        </v:shape>
      </w:pict>
    </w:r>
    <w:r>
      <w:rPr>
        <w:noProof w:val="0"/>
      </w:rPr>
      <w:pict w14:anchorId="6E955015">
        <v:shape id="_x0000_s1555" type="#_x0000_t202" style="position:absolute;margin-left:356.1pt;margin-top:594.5pt;width:20.8pt;height:12.55pt;z-index:-459376;mso-position-horizontal-relative:page;mso-position-vertical-relative:page" filled="f" stroked="f">
          <v:textbox inset="0,0,0,0">
            <w:txbxContent>
              <w:p w14:paraId="0C556A33" w14:textId="77777777" w:rsidR="001008C3" w:rsidRDefault="001008C3">
                <w:pPr>
                  <w:spacing w:before="19"/>
                  <w:ind w:left="20"/>
                  <w:rPr>
                    <w:sz w:val="18"/>
                  </w:rPr>
                </w:pPr>
                <w:r>
                  <w:rPr>
                    <w:color w:val="231F20"/>
                    <w:sz w:val="18"/>
                  </w:rPr>
                  <w:t xml:space="preserve">173 </w:t>
                </w:r>
              </w:p>
            </w:txbxContent>
          </v:textbox>
          <w10:wrap anchorx="page" anchory="page"/>
        </v:shape>
      </w:pic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21641" w14:textId="77777777" w:rsidR="001008C3" w:rsidRDefault="00000000">
    <w:pPr>
      <w:pStyle w:val="a3"/>
      <w:spacing w:line="14" w:lineRule="auto"/>
    </w:pPr>
    <w:r>
      <w:rPr>
        <w:noProof w:val="0"/>
      </w:rPr>
      <w:pict w14:anchorId="712E1DED">
        <v:shapetype id="_x0000_t202" coordsize="21600,21600" o:spt="202" path="m,l,21600r21600,l21600,xe">
          <v:stroke joinstyle="miter"/>
          <v:path gradientshapeok="t" o:connecttype="rect"/>
        </v:shapetype>
        <v:shape id="_x0000_s1554" type="#_x0000_t202" style="position:absolute;margin-left:65.4pt;margin-top:594.5pt;width:248.1pt;height:12.55pt;z-index:-459352;mso-position-horizontal-relative:page;mso-position-vertical-relative:page" filled="f" stroked="f">
          <v:textbox inset="0,0,0,0">
            <w:txbxContent>
              <w:p w14:paraId="49BF3673" w14:textId="77777777" w:rsidR="001008C3" w:rsidRDefault="001008C3">
                <w:pPr>
                  <w:spacing w:before="19"/>
                  <w:ind w:left="20"/>
                  <w:rPr>
                    <w:sz w:val="18"/>
                  </w:rPr>
                </w:pPr>
                <w:r>
                  <w:rPr>
                    <w:color w:val="231F20"/>
                    <w:w w:val="115"/>
                    <w:sz w:val="18"/>
                  </w:rPr>
                  <w:t>may 1972 • attacks in augsburg and munich</w:t>
                </w:r>
                <w:r>
                  <w:rPr>
                    <w:color w:val="231F20"/>
                    <w:sz w:val="18"/>
                  </w:rPr>
                  <w:t xml:space="preserve"> </w:t>
                </w:r>
              </w:p>
            </w:txbxContent>
          </v:textbox>
          <w10:wrap anchorx="page" anchory="page"/>
        </v:shape>
      </w:pict>
    </w:r>
    <w:r>
      <w:rPr>
        <w:noProof w:val="0"/>
      </w:rPr>
      <w:pict w14:anchorId="113F074F">
        <v:shape id="_x0000_s1553" type="#_x0000_t202" style="position:absolute;margin-left:356.1pt;margin-top:594.5pt;width:20.8pt;height:12.55pt;z-index:-459328;mso-position-horizontal-relative:page;mso-position-vertical-relative:page" filled="f" stroked="f">
          <v:textbox inset="0,0,0,0">
            <w:txbxContent>
              <w:p w14:paraId="49EA3227" w14:textId="77777777" w:rsidR="001008C3" w:rsidRDefault="001008C3">
                <w:pPr>
                  <w:spacing w:before="19"/>
                  <w:ind w:left="20"/>
                  <w:rPr>
                    <w:sz w:val="18"/>
                  </w:rPr>
                </w:pPr>
                <w:r>
                  <w:rPr>
                    <w:color w:val="231F20"/>
                    <w:sz w:val="18"/>
                  </w:rPr>
                  <w:t xml:space="preserve">175 </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321CC" w14:textId="77777777" w:rsidR="00BF4A94" w:rsidRDefault="00BF4A94">
      <w:r>
        <w:separator/>
      </w:r>
    </w:p>
  </w:footnote>
  <w:footnote w:type="continuationSeparator" w:id="0">
    <w:p w14:paraId="22191CD7" w14:textId="77777777" w:rsidR="00BF4A94" w:rsidRDefault="00BF4A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179"/>
    <w:multiLevelType w:val="hybridMultilevel"/>
    <w:tmpl w:val="8B4ED10A"/>
    <w:lvl w:ilvl="0" w:tplc="1EE0CEFA">
      <w:start w:val="1"/>
      <w:numFmt w:val="decimal"/>
      <w:lvlText w:val="%1"/>
      <w:lvlJc w:val="left"/>
      <w:pPr>
        <w:ind w:left="1147" w:hanging="139"/>
        <w:jc w:val="right"/>
      </w:pPr>
      <w:rPr>
        <w:rFonts w:ascii="Cambria" w:eastAsia="Cambria" w:hAnsi="Cambria" w:cs="Cambria" w:hint="default"/>
        <w:color w:val="231F20"/>
        <w:w w:val="104"/>
        <w:sz w:val="16"/>
        <w:szCs w:val="16"/>
      </w:rPr>
    </w:lvl>
    <w:lvl w:ilvl="1" w:tplc="DC925204">
      <w:numFmt w:val="bullet"/>
      <w:lvlText w:val="•"/>
      <w:lvlJc w:val="left"/>
      <w:pPr>
        <w:ind w:left="1823" w:hanging="240"/>
      </w:pPr>
      <w:rPr>
        <w:rFonts w:ascii="Cambria" w:eastAsia="Cambria" w:hAnsi="Cambria" w:cs="Cambria" w:hint="default"/>
        <w:color w:val="231F20"/>
        <w:w w:val="112"/>
        <w:sz w:val="20"/>
        <w:szCs w:val="20"/>
      </w:rPr>
    </w:lvl>
    <w:lvl w:ilvl="2" w:tplc="F31871E4">
      <w:numFmt w:val="bullet"/>
      <w:lvlText w:val="•"/>
      <w:lvlJc w:val="left"/>
      <w:pPr>
        <w:ind w:left="2577" w:hanging="240"/>
      </w:pPr>
      <w:rPr>
        <w:rFonts w:hint="default"/>
      </w:rPr>
    </w:lvl>
    <w:lvl w:ilvl="3" w:tplc="A0821DAE">
      <w:numFmt w:val="bullet"/>
      <w:lvlText w:val="•"/>
      <w:lvlJc w:val="left"/>
      <w:pPr>
        <w:ind w:left="3335" w:hanging="240"/>
      </w:pPr>
      <w:rPr>
        <w:rFonts w:hint="default"/>
      </w:rPr>
    </w:lvl>
    <w:lvl w:ilvl="4" w:tplc="E972423C">
      <w:numFmt w:val="bullet"/>
      <w:lvlText w:val="•"/>
      <w:lvlJc w:val="left"/>
      <w:pPr>
        <w:ind w:left="4093" w:hanging="240"/>
      </w:pPr>
      <w:rPr>
        <w:rFonts w:hint="default"/>
      </w:rPr>
    </w:lvl>
    <w:lvl w:ilvl="5" w:tplc="48EE52E0">
      <w:numFmt w:val="bullet"/>
      <w:lvlText w:val="•"/>
      <w:lvlJc w:val="left"/>
      <w:pPr>
        <w:ind w:left="4851" w:hanging="240"/>
      </w:pPr>
      <w:rPr>
        <w:rFonts w:hint="default"/>
      </w:rPr>
    </w:lvl>
    <w:lvl w:ilvl="6" w:tplc="DDFA83CC">
      <w:numFmt w:val="bullet"/>
      <w:lvlText w:val="•"/>
      <w:lvlJc w:val="left"/>
      <w:pPr>
        <w:ind w:left="5608" w:hanging="240"/>
      </w:pPr>
      <w:rPr>
        <w:rFonts w:hint="default"/>
      </w:rPr>
    </w:lvl>
    <w:lvl w:ilvl="7" w:tplc="BD329A88">
      <w:numFmt w:val="bullet"/>
      <w:lvlText w:val="•"/>
      <w:lvlJc w:val="left"/>
      <w:pPr>
        <w:ind w:left="6366" w:hanging="240"/>
      </w:pPr>
      <w:rPr>
        <w:rFonts w:hint="default"/>
      </w:rPr>
    </w:lvl>
    <w:lvl w:ilvl="8" w:tplc="D70EEF84">
      <w:numFmt w:val="bullet"/>
      <w:lvlText w:val="•"/>
      <w:lvlJc w:val="left"/>
      <w:pPr>
        <w:ind w:left="7124" w:hanging="240"/>
      </w:pPr>
      <w:rPr>
        <w:rFonts w:hint="default"/>
      </w:rPr>
    </w:lvl>
  </w:abstractNum>
  <w:abstractNum w:abstractNumId="1" w15:restartNumberingAfterBreak="0">
    <w:nsid w:val="01CA4484"/>
    <w:multiLevelType w:val="hybridMultilevel"/>
    <w:tmpl w:val="7E9A6BBE"/>
    <w:lvl w:ilvl="0" w:tplc="DC8A5D86">
      <w:start w:val="6"/>
      <w:numFmt w:val="decimal"/>
      <w:lvlText w:val="%1"/>
      <w:lvlJc w:val="left"/>
      <w:pPr>
        <w:ind w:left="1466" w:hanging="139"/>
      </w:pPr>
      <w:rPr>
        <w:rFonts w:ascii="Cambria" w:eastAsia="Cambria" w:hAnsi="Cambria" w:cs="Cambria" w:hint="default"/>
        <w:color w:val="231F20"/>
        <w:w w:val="104"/>
        <w:sz w:val="16"/>
        <w:szCs w:val="16"/>
      </w:rPr>
    </w:lvl>
    <w:lvl w:ilvl="1" w:tplc="7340C1A0">
      <w:numFmt w:val="bullet"/>
      <w:lvlText w:val="•"/>
      <w:lvlJc w:val="left"/>
      <w:pPr>
        <w:ind w:left="2178" w:hanging="139"/>
      </w:pPr>
      <w:rPr>
        <w:rFonts w:hint="default"/>
      </w:rPr>
    </w:lvl>
    <w:lvl w:ilvl="2" w:tplc="A7DE89EE">
      <w:numFmt w:val="bullet"/>
      <w:lvlText w:val="•"/>
      <w:lvlJc w:val="left"/>
      <w:pPr>
        <w:ind w:left="2896" w:hanging="139"/>
      </w:pPr>
      <w:rPr>
        <w:rFonts w:hint="default"/>
      </w:rPr>
    </w:lvl>
    <w:lvl w:ilvl="3" w:tplc="0E040816">
      <w:numFmt w:val="bullet"/>
      <w:lvlText w:val="•"/>
      <w:lvlJc w:val="left"/>
      <w:pPr>
        <w:ind w:left="3614" w:hanging="139"/>
      </w:pPr>
      <w:rPr>
        <w:rFonts w:hint="default"/>
      </w:rPr>
    </w:lvl>
    <w:lvl w:ilvl="4" w:tplc="B900CFDC">
      <w:numFmt w:val="bullet"/>
      <w:lvlText w:val="•"/>
      <w:lvlJc w:val="left"/>
      <w:pPr>
        <w:ind w:left="4332" w:hanging="139"/>
      </w:pPr>
      <w:rPr>
        <w:rFonts w:hint="default"/>
      </w:rPr>
    </w:lvl>
    <w:lvl w:ilvl="5" w:tplc="C4406876">
      <w:numFmt w:val="bullet"/>
      <w:lvlText w:val="•"/>
      <w:lvlJc w:val="left"/>
      <w:pPr>
        <w:ind w:left="5050" w:hanging="139"/>
      </w:pPr>
      <w:rPr>
        <w:rFonts w:hint="default"/>
      </w:rPr>
    </w:lvl>
    <w:lvl w:ilvl="6" w:tplc="E0E2F188">
      <w:numFmt w:val="bullet"/>
      <w:lvlText w:val="•"/>
      <w:lvlJc w:val="left"/>
      <w:pPr>
        <w:ind w:left="5768" w:hanging="139"/>
      </w:pPr>
      <w:rPr>
        <w:rFonts w:hint="default"/>
      </w:rPr>
    </w:lvl>
    <w:lvl w:ilvl="7" w:tplc="9BC43BAA">
      <w:numFmt w:val="bullet"/>
      <w:lvlText w:val="•"/>
      <w:lvlJc w:val="left"/>
      <w:pPr>
        <w:ind w:left="6486" w:hanging="139"/>
      </w:pPr>
      <w:rPr>
        <w:rFonts w:hint="default"/>
      </w:rPr>
    </w:lvl>
    <w:lvl w:ilvl="8" w:tplc="5E7C45AE">
      <w:numFmt w:val="bullet"/>
      <w:lvlText w:val="•"/>
      <w:lvlJc w:val="left"/>
      <w:pPr>
        <w:ind w:left="7204" w:hanging="139"/>
      </w:pPr>
      <w:rPr>
        <w:rFonts w:hint="default"/>
      </w:rPr>
    </w:lvl>
  </w:abstractNum>
  <w:abstractNum w:abstractNumId="2" w15:restartNumberingAfterBreak="0">
    <w:nsid w:val="026A453D"/>
    <w:multiLevelType w:val="hybridMultilevel"/>
    <w:tmpl w:val="CF3E0044"/>
    <w:lvl w:ilvl="0" w:tplc="6D9C6524">
      <w:numFmt w:val="bullet"/>
      <w:lvlText w:val="•"/>
      <w:lvlJc w:val="left"/>
      <w:pPr>
        <w:ind w:left="1823" w:hanging="240"/>
      </w:pPr>
      <w:rPr>
        <w:rFonts w:ascii="Cambria" w:eastAsia="Cambria" w:hAnsi="Cambria" w:cs="Cambria" w:hint="default"/>
        <w:color w:val="231F20"/>
        <w:w w:val="112"/>
        <w:sz w:val="20"/>
        <w:szCs w:val="20"/>
      </w:rPr>
    </w:lvl>
    <w:lvl w:ilvl="1" w:tplc="94B42E12">
      <w:numFmt w:val="bullet"/>
      <w:lvlText w:val="•"/>
      <w:lvlJc w:val="left"/>
      <w:pPr>
        <w:ind w:left="2502" w:hanging="240"/>
      </w:pPr>
      <w:rPr>
        <w:rFonts w:hint="default"/>
      </w:rPr>
    </w:lvl>
    <w:lvl w:ilvl="2" w:tplc="C56C4154">
      <w:numFmt w:val="bullet"/>
      <w:lvlText w:val="•"/>
      <w:lvlJc w:val="left"/>
      <w:pPr>
        <w:ind w:left="3184" w:hanging="240"/>
      </w:pPr>
      <w:rPr>
        <w:rFonts w:hint="default"/>
      </w:rPr>
    </w:lvl>
    <w:lvl w:ilvl="3" w:tplc="8CE848AE">
      <w:numFmt w:val="bullet"/>
      <w:lvlText w:val="•"/>
      <w:lvlJc w:val="left"/>
      <w:pPr>
        <w:ind w:left="3866" w:hanging="240"/>
      </w:pPr>
      <w:rPr>
        <w:rFonts w:hint="default"/>
      </w:rPr>
    </w:lvl>
    <w:lvl w:ilvl="4" w:tplc="B232B204">
      <w:numFmt w:val="bullet"/>
      <w:lvlText w:val="•"/>
      <w:lvlJc w:val="left"/>
      <w:pPr>
        <w:ind w:left="4548" w:hanging="240"/>
      </w:pPr>
      <w:rPr>
        <w:rFonts w:hint="default"/>
      </w:rPr>
    </w:lvl>
    <w:lvl w:ilvl="5" w:tplc="D696AFD0">
      <w:numFmt w:val="bullet"/>
      <w:lvlText w:val="•"/>
      <w:lvlJc w:val="left"/>
      <w:pPr>
        <w:ind w:left="5230" w:hanging="240"/>
      </w:pPr>
      <w:rPr>
        <w:rFonts w:hint="default"/>
      </w:rPr>
    </w:lvl>
    <w:lvl w:ilvl="6" w:tplc="70D2A822">
      <w:numFmt w:val="bullet"/>
      <w:lvlText w:val="•"/>
      <w:lvlJc w:val="left"/>
      <w:pPr>
        <w:ind w:left="5912" w:hanging="240"/>
      </w:pPr>
      <w:rPr>
        <w:rFonts w:hint="default"/>
      </w:rPr>
    </w:lvl>
    <w:lvl w:ilvl="7" w:tplc="8B1C17E0">
      <w:numFmt w:val="bullet"/>
      <w:lvlText w:val="•"/>
      <w:lvlJc w:val="left"/>
      <w:pPr>
        <w:ind w:left="6594" w:hanging="240"/>
      </w:pPr>
      <w:rPr>
        <w:rFonts w:hint="default"/>
      </w:rPr>
    </w:lvl>
    <w:lvl w:ilvl="8" w:tplc="3A588DDC">
      <w:numFmt w:val="bullet"/>
      <w:lvlText w:val="•"/>
      <w:lvlJc w:val="left"/>
      <w:pPr>
        <w:ind w:left="7276" w:hanging="240"/>
      </w:pPr>
      <w:rPr>
        <w:rFonts w:hint="default"/>
      </w:rPr>
    </w:lvl>
  </w:abstractNum>
  <w:abstractNum w:abstractNumId="3" w15:restartNumberingAfterBreak="0">
    <w:nsid w:val="032424BC"/>
    <w:multiLevelType w:val="hybridMultilevel"/>
    <w:tmpl w:val="18306E66"/>
    <w:lvl w:ilvl="0" w:tplc="CA2A39F4">
      <w:start w:val="1"/>
      <w:numFmt w:val="decimal"/>
      <w:lvlText w:val="%1"/>
      <w:lvlJc w:val="left"/>
      <w:pPr>
        <w:ind w:left="1147" w:hanging="139"/>
      </w:pPr>
      <w:rPr>
        <w:rFonts w:ascii="Cambria" w:eastAsia="Cambria" w:hAnsi="Cambria" w:cs="Cambria" w:hint="default"/>
        <w:color w:val="231F20"/>
        <w:w w:val="104"/>
        <w:sz w:val="16"/>
        <w:szCs w:val="16"/>
      </w:rPr>
    </w:lvl>
    <w:lvl w:ilvl="1" w:tplc="BDB2045E">
      <w:start w:val="7"/>
      <w:numFmt w:val="decimal"/>
      <w:lvlText w:val="%2"/>
      <w:lvlJc w:val="left"/>
      <w:pPr>
        <w:ind w:left="1328" w:hanging="133"/>
      </w:pPr>
      <w:rPr>
        <w:rFonts w:ascii="Cambria" w:eastAsia="Cambria" w:hAnsi="Cambria" w:cs="Cambria" w:hint="default"/>
        <w:color w:val="231F20"/>
        <w:w w:val="104"/>
        <w:sz w:val="16"/>
        <w:szCs w:val="16"/>
      </w:rPr>
    </w:lvl>
    <w:lvl w:ilvl="2" w:tplc="EA3CB0EA">
      <w:numFmt w:val="bullet"/>
      <w:lvlText w:val="•"/>
      <w:lvlJc w:val="left"/>
      <w:pPr>
        <w:ind w:left="2133" w:hanging="133"/>
      </w:pPr>
      <w:rPr>
        <w:rFonts w:hint="default"/>
      </w:rPr>
    </w:lvl>
    <w:lvl w:ilvl="3" w:tplc="B198AE14">
      <w:numFmt w:val="bullet"/>
      <w:lvlText w:val="•"/>
      <w:lvlJc w:val="left"/>
      <w:pPr>
        <w:ind w:left="2946" w:hanging="133"/>
      </w:pPr>
      <w:rPr>
        <w:rFonts w:hint="default"/>
      </w:rPr>
    </w:lvl>
    <w:lvl w:ilvl="4" w:tplc="A226236E">
      <w:numFmt w:val="bullet"/>
      <w:lvlText w:val="•"/>
      <w:lvlJc w:val="left"/>
      <w:pPr>
        <w:ind w:left="3760" w:hanging="133"/>
      </w:pPr>
      <w:rPr>
        <w:rFonts w:hint="default"/>
      </w:rPr>
    </w:lvl>
    <w:lvl w:ilvl="5" w:tplc="B4FE04EA">
      <w:numFmt w:val="bullet"/>
      <w:lvlText w:val="•"/>
      <w:lvlJc w:val="left"/>
      <w:pPr>
        <w:ind w:left="4573" w:hanging="133"/>
      </w:pPr>
      <w:rPr>
        <w:rFonts w:hint="default"/>
      </w:rPr>
    </w:lvl>
    <w:lvl w:ilvl="6" w:tplc="EB40A6B8">
      <w:numFmt w:val="bullet"/>
      <w:lvlText w:val="•"/>
      <w:lvlJc w:val="left"/>
      <w:pPr>
        <w:ind w:left="5386" w:hanging="133"/>
      </w:pPr>
      <w:rPr>
        <w:rFonts w:hint="default"/>
      </w:rPr>
    </w:lvl>
    <w:lvl w:ilvl="7" w:tplc="65BA168A">
      <w:numFmt w:val="bullet"/>
      <w:lvlText w:val="•"/>
      <w:lvlJc w:val="left"/>
      <w:pPr>
        <w:ind w:left="6200" w:hanging="133"/>
      </w:pPr>
      <w:rPr>
        <w:rFonts w:hint="default"/>
      </w:rPr>
    </w:lvl>
    <w:lvl w:ilvl="8" w:tplc="25B29684">
      <w:numFmt w:val="bullet"/>
      <w:lvlText w:val="•"/>
      <w:lvlJc w:val="left"/>
      <w:pPr>
        <w:ind w:left="7013" w:hanging="133"/>
      </w:pPr>
      <w:rPr>
        <w:rFonts w:hint="default"/>
      </w:rPr>
    </w:lvl>
  </w:abstractNum>
  <w:abstractNum w:abstractNumId="4" w15:restartNumberingAfterBreak="0">
    <w:nsid w:val="040A2176"/>
    <w:multiLevelType w:val="hybridMultilevel"/>
    <w:tmpl w:val="DDC45788"/>
    <w:lvl w:ilvl="0" w:tplc="7D826972">
      <w:start w:val="1"/>
      <w:numFmt w:val="decimal"/>
      <w:lvlText w:val="%1"/>
      <w:lvlJc w:val="left"/>
      <w:pPr>
        <w:ind w:left="1342" w:hanging="139"/>
      </w:pPr>
      <w:rPr>
        <w:rFonts w:ascii="Cambria" w:eastAsia="Cambria" w:hAnsi="Cambria" w:cs="Cambria" w:hint="default"/>
        <w:color w:val="231F20"/>
        <w:w w:val="104"/>
        <w:sz w:val="16"/>
        <w:szCs w:val="16"/>
      </w:rPr>
    </w:lvl>
    <w:lvl w:ilvl="1" w:tplc="AC328F72">
      <w:numFmt w:val="bullet"/>
      <w:lvlText w:val="•"/>
      <w:lvlJc w:val="left"/>
      <w:pPr>
        <w:ind w:left="2070" w:hanging="139"/>
      </w:pPr>
      <w:rPr>
        <w:rFonts w:hint="default"/>
      </w:rPr>
    </w:lvl>
    <w:lvl w:ilvl="2" w:tplc="7F381BE8">
      <w:numFmt w:val="bullet"/>
      <w:lvlText w:val="•"/>
      <w:lvlJc w:val="left"/>
      <w:pPr>
        <w:ind w:left="2800" w:hanging="139"/>
      </w:pPr>
      <w:rPr>
        <w:rFonts w:hint="default"/>
      </w:rPr>
    </w:lvl>
    <w:lvl w:ilvl="3" w:tplc="0658D5D2">
      <w:numFmt w:val="bullet"/>
      <w:lvlText w:val="•"/>
      <w:lvlJc w:val="left"/>
      <w:pPr>
        <w:ind w:left="3530" w:hanging="139"/>
      </w:pPr>
      <w:rPr>
        <w:rFonts w:hint="default"/>
      </w:rPr>
    </w:lvl>
    <w:lvl w:ilvl="4" w:tplc="57AE01DA">
      <w:numFmt w:val="bullet"/>
      <w:lvlText w:val="•"/>
      <w:lvlJc w:val="left"/>
      <w:pPr>
        <w:ind w:left="4260" w:hanging="139"/>
      </w:pPr>
      <w:rPr>
        <w:rFonts w:hint="default"/>
      </w:rPr>
    </w:lvl>
    <w:lvl w:ilvl="5" w:tplc="839C6C52">
      <w:numFmt w:val="bullet"/>
      <w:lvlText w:val="•"/>
      <w:lvlJc w:val="left"/>
      <w:pPr>
        <w:ind w:left="4990" w:hanging="139"/>
      </w:pPr>
      <w:rPr>
        <w:rFonts w:hint="default"/>
      </w:rPr>
    </w:lvl>
    <w:lvl w:ilvl="6" w:tplc="E61A3A80">
      <w:numFmt w:val="bullet"/>
      <w:lvlText w:val="•"/>
      <w:lvlJc w:val="left"/>
      <w:pPr>
        <w:ind w:left="5720" w:hanging="139"/>
      </w:pPr>
      <w:rPr>
        <w:rFonts w:hint="default"/>
      </w:rPr>
    </w:lvl>
    <w:lvl w:ilvl="7" w:tplc="B3ECD3BE">
      <w:numFmt w:val="bullet"/>
      <w:lvlText w:val="•"/>
      <w:lvlJc w:val="left"/>
      <w:pPr>
        <w:ind w:left="6450" w:hanging="139"/>
      </w:pPr>
      <w:rPr>
        <w:rFonts w:hint="default"/>
      </w:rPr>
    </w:lvl>
    <w:lvl w:ilvl="8" w:tplc="C8D889D8">
      <w:numFmt w:val="bullet"/>
      <w:lvlText w:val="•"/>
      <w:lvlJc w:val="left"/>
      <w:pPr>
        <w:ind w:left="7180" w:hanging="139"/>
      </w:pPr>
      <w:rPr>
        <w:rFonts w:hint="default"/>
      </w:rPr>
    </w:lvl>
  </w:abstractNum>
  <w:abstractNum w:abstractNumId="5" w15:restartNumberingAfterBreak="0">
    <w:nsid w:val="044A4434"/>
    <w:multiLevelType w:val="hybridMultilevel"/>
    <w:tmpl w:val="5FA83408"/>
    <w:lvl w:ilvl="0" w:tplc="68865D28">
      <w:start w:val="1"/>
      <w:numFmt w:val="decimal"/>
      <w:lvlText w:val="%1"/>
      <w:lvlJc w:val="left"/>
      <w:pPr>
        <w:ind w:left="1327" w:hanging="139"/>
      </w:pPr>
      <w:rPr>
        <w:rFonts w:ascii="Cambria" w:eastAsia="Cambria" w:hAnsi="Cambria" w:cs="Cambria" w:hint="default"/>
        <w:color w:val="231F20"/>
        <w:w w:val="104"/>
        <w:sz w:val="16"/>
        <w:szCs w:val="16"/>
      </w:rPr>
    </w:lvl>
    <w:lvl w:ilvl="1" w:tplc="49222514">
      <w:numFmt w:val="bullet"/>
      <w:lvlText w:val="•"/>
      <w:lvlJc w:val="left"/>
      <w:pPr>
        <w:ind w:left="2052" w:hanging="139"/>
      </w:pPr>
      <w:rPr>
        <w:rFonts w:hint="default"/>
      </w:rPr>
    </w:lvl>
    <w:lvl w:ilvl="2" w:tplc="CD548B9A">
      <w:numFmt w:val="bullet"/>
      <w:lvlText w:val="•"/>
      <w:lvlJc w:val="left"/>
      <w:pPr>
        <w:ind w:left="2784" w:hanging="139"/>
      </w:pPr>
      <w:rPr>
        <w:rFonts w:hint="default"/>
      </w:rPr>
    </w:lvl>
    <w:lvl w:ilvl="3" w:tplc="15C0C6C2">
      <w:numFmt w:val="bullet"/>
      <w:lvlText w:val="•"/>
      <w:lvlJc w:val="left"/>
      <w:pPr>
        <w:ind w:left="3516" w:hanging="139"/>
      </w:pPr>
      <w:rPr>
        <w:rFonts w:hint="default"/>
      </w:rPr>
    </w:lvl>
    <w:lvl w:ilvl="4" w:tplc="8AD0EB88">
      <w:numFmt w:val="bullet"/>
      <w:lvlText w:val="•"/>
      <w:lvlJc w:val="left"/>
      <w:pPr>
        <w:ind w:left="4248" w:hanging="139"/>
      </w:pPr>
      <w:rPr>
        <w:rFonts w:hint="default"/>
      </w:rPr>
    </w:lvl>
    <w:lvl w:ilvl="5" w:tplc="70D8AE48">
      <w:numFmt w:val="bullet"/>
      <w:lvlText w:val="•"/>
      <w:lvlJc w:val="left"/>
      <w:pPr>
        <w:ind w:left="4980" w:hanging="139"/>
      </w:pPr>
      <w:rPr>
        <w:rFonts w:hint="default"/>
      </w:rPr>
    </w:lvl>
    <w:lvl w:ilvl="6" w:tplc="B2DEA0CC">
      <w:numFmt w:val="bullet"/>
      <w:lvlText w:val="•"/>
      <w:lvlJc w:val="left"/>
      <w:pPr>
        <w:ind w:left="5712" w:hanging="139"/>
      </w:pPr>
      <w:rPr>
        <w:rFonts w:hint="default"/>
      </w:rPr>
    </w:lvl>
    <w:lvl w:ilvl="7" w:tplc="3A74C9A0">
      <w:numFmt w:val="bullet"/>
      <w:lvlText w:val="•"/>
      <w:lvlJc w:val="left"/>
      <w:pPr>
        <w:ind w:left="6444" w:hanging="139"/>
      </w:pPr>
      <w:rPr>
        <w:rFonts w:hint="default"/>
      </w:rPr>
    </w:lvl>
    <w:lvl w:ilvl="8" w:tplc="805600E8">
      <w:numFmt w:val="bullet"/>
      <w:lvlText w:val="•"/>
      <w:lvlJc w:val="left"/>
      <w:pPr>
        <w:ind w:left="7176" w:hanging="139"/>
      </w:pPr>
      <w:rPr>
        <w:rFonts w:hint="default"/>
      </w:rPr>
    </w:lvl>
  </w:abstractNum>
  <w:abstractNum w:abstractNumId="6" w15:restartNumberingAfterBreak="0">
    <w:nsid w:val="045D009D"/>
    <w:multiLevelType w:val="hybridMultilevel"/>
    <w:tmpl w:val="79C8635A"/>
    <w:lvl w:ilvl="0" w:tplc="E56E4036">
      <w:start w:val="1"/>
      <w:numFmt w:val="decimal"/>
      <w:lvlText w:val="%1"/>
      <w:lvlJc w:val="left"/>
      <w:pPr>
        <w:ind w:left="1147" w:hanging="139"/>
        <w:jc w:val="right"/>
      </w:pPr>
      <w:rPr>
        <w:rFonts w:ascii="Cambria" w:eastAsia="Cambria" w:hAnsi="Cambria" w:cs="Cambria" w:hint="default"/>
        <w:color w:val="231F20"/>
        <w:w w:val="104"/>
        <w:sz w:val="16"/>
        <w:szCs w:val="16"/>
      </w:rPr>
    </w:lvl>
    <w:lvl w:ilvl="1" w:tplc="DA0EF2A4">
      <w:numFmt w:val="bullet"/>
      <w:lvlText w:val="•"/>
      <w:lvlJc w:val="left"/>
      <w:pPr>
        <w:ind w:left="1740" w:hanging="139"/>
      </w:pPr>
      <w:rPr>
        <w:rFonts w:hint="default"/>
      </w:rPr>
    </w:lvl>
    <w:lvl w:ilvl="2" w:tplc="4266A904">
      <w:numFmt w:val="bullet"/>
      <w:lvlText w:val="•"/>
      <w:lvlJc w:val="left"/>
      <w:pPr>
        <w:ind w:left="2506" w:hanging="139"/>
      </w:pPr>
      <w:rPr>
        <w:rFonts w:hint="default"/>
      </w:rPr>
    </w:lvl>
    <w:lvl w:ilvl="3" w:tplc="856AAA8C">
      <w:numFmt w:val="bullet"/>
      <w:lvlText w:val="•"/>
      <w:lvlJc w:val="left"/>
      <w:pPr>
        <w:ind w:left="3273" w:hanging="139"/>
      </w:pPr>
      <w:rPr>
        <w:rFonts w:hint="default"/>
      </w:rPr>
    </w:lvl>
    <w:lvl w:ilvl="4" w:tplc="50F8D200">
      <w:numFmt w:val="bullet"/>
      <w:lvlText w:val="•"/>
      <w:lvlJc w:val="left"/>
      <w:pPr>
        <w:ind w:left="4040" w:hanging="139"/>
      </w:pPr>
      <w:rPr>
        <w:rFonts w:hint="default"/>
      </w:rPr>
    </w:lvl>
    <w:lvl w:ilvl="5" w:tplc="EA6CD94E">
      <w:numFmt w:val="bullet"/>
      <w:lvlText w:val="•"/>
      <w:lvlJc w:val="left"/>
      <w:pPr>
        <w:ind w:left="4806" w:hanging="139"/>
      </w:pPr>
      <w:rPr>
        <w:rFonts w:hint="default"/>
      </w:rPr>
    </w:lvl>
    <w:lvl w:ilvl="6" w:tplc="36780B36">
      <w:numFmt w:val="bullet"/>
      <w:lvlText w:val="•"/>
      <w:lvlJc w:val="left"/>
      <w:pPr>
        <w:ind w:left="5573" w:hanging="139"/>
      </w:pPr>
      <w:rPr>
        <w:rFonts w:hint="default"/>
      </w:rPr>
    </w:lvl>
    <w:lvl w:ilvl="7" w:tplc="76EA610C">
      <w:numFmt w:val="bullet"/>
      <w:lvlText w:val="•"/>
      <w:lvlJc w:val="left"/>
      <w:pPr>
        <w:ind w:left="6340" w:hanging="139"/>
      </w:pPr>
      <w:rPr>
        <w:rFonts w:hint="default"/>
      </w:rPr>
    </w:lvl>
    <w:lvl w:ilvl="8" w:tplc="68CAAAD2">
      <w:numFmt w:val="bullet"/>
      <w:lvlText w:val="•"/>
      <w:lvlJc w:val="left"/>
      <w:pPr>
        <w:ind w:left="7106" w:hanging="139"/>
      </w:pPr>
      <w:rPr>
        <w:rFonts w:hint="default"/>
      </w:rPr>
    </w:lvl>
  </w:abstractNum>
  <w:abstractNum w:abstractNumId="7" w15:restartNumberingAfterBreak="0">
    <w:nsid w:val="04D1775D"/>
    <w:multiLevelType w:val="hybridMultilevel"/>
    <w:tmpl w:val="DFD48778"/>
    <w:lvl w:ilvl="0" w:tplc="ADF62D06">
      <w:start w:val="2"/>
      <w:numFmt w:val="decimal"/>
      <w:lvlText w:val="%1"/>
      <w:lvlJc w:val="left"/>
      <w:pPr>
        <w:ind w:left="1327" w:hanging="139"/>
      </w:pPr>
      <w:rPr>
        <w:rFonts w:ascii="Cambria" w:eastAsia="Cambria" w:hAnsi="Cambria" w:cs="Cambria" w:hint="default"/>
        <w:color w:val="231F20"/>
        <w:w w:val="104"/>
        <w:sz w:val="16"/>
        <w:szCs w:val="16"/>
      </w:rPr>
    </w:lvl>
    <w:lvl w:ilvl="1" w:tplc="A97C8974">
      <w:numFmt w:val="bullet"/>
      <w:lvlText w:val="•"/>
      <w:lvlJc w:val="left"/>
      <w:pPr>
        <w:ind w:left="2052" w:hanging="139"/>
      </w:pPr>
      <w:rPr>
        <w:rFonts w:hint="default"/>
      </w:rPr>
    </w:lvl>
    <w:lvl w:ilvl="2" w:tplc="BD608C9A">
      <w:numFmt w:val="bullet"/>
      <w:lvlText w:val="•"/>
      <w:lvlJc w:val="left"/>
      <w:pPr>
        <w:ind w:left="2784" w:hanging="139"/>
      </w:pPr>
      <w:rPr>
        <w:rFonts w:hint="default"/>
      </w:rPr>
    </w:lvl>
    <w:lvl w:ilvl="3" w:tplc="777EAECE">
      <w:numFmt w:val="bullet"/>
      <w:lvlText w:val="•"/>
      <w:lvlJc w:val="left"/>
      <w:pPr>
        <w:ind w:left="3516" w:hanging="139"/>
      </w:pPr>
      <w:rPr>
        <w:rFonts w:hint="default"/>
      </w:rPr>
    </w:lvl>
    <w:lvl w:ilvl="4" w:tplc="AE2C74C0">
      <w:numFmt w:val="bullet"/>
      <w:lvlText w:val="•"/>
      <w:lvlJc w:val="left"/>
      <w:pPr>
        <w:ind w:left="4248" w:hanging="139"/>
      </w:pPr>
      <w:rPr>
        <w:rFonts w:hint="default"/>
      </w:rPr>
    </w:lvl>
    <w:lvl w:ilvl="5" w:tplc="452051B2">
      <w:numFmt w:val="bullet"/>
      <w:lvlText w:val="•"/>
      <w:lvlJc w:val="left"/>
      <w:pPr>
        <w:ind w:left="4980" w:hanging="139"/>
      </w:pPr>
      <w:rPr>
        <w:rFonts w:hint="default"/>
      </w:rPr>
    </w:lvl>
    <w:lvl w:ilvl="6" w:tplc="AD8EBEB0">
      <w:numFmt w:val="bullet"/>
      <w:lvlText w:val="•"/>
      <w:lvlJc w:val="left"/>
      <w:pPr>
        <w:ind w:left="5712" w:hanging="139"/>
      </w:pPr>
      <w:rPr>
        <w:rFonts w:hint="default"/>
      </w:rPr>
    </w:lvl>
    <w:lvl w:ilvl="7" w:tplc="F80EC4A4">
      <w:numFmt w:val="bullet"/>
      <w:lvlText w:val="•"/>
      <w:lvlJc w:val="left"/>
      <w:pPr>
        <w:ind w:left="6444" w:hanging="139"/>
      </w:pPr>
      <w:rPr>
        <w:rFonts w:hint="default"/>
      </w:rPr>
    </w:lvl>
    <w:lvl w:ilvl="8" w:tplc="49743E06">
      <w:numFmt w:val="bullet"/>
      <w:lvlText w:val="•"/>
      <w:lvlJc w:val="left"/>
      <w:pPr>
        <w:ind w:left="7176" w:hanging="139"/>
      </w:pPr>
      <w:rPr>
        <w:rFonts w:hint="default"/>
      </w:rPr>
    </w:lvl>
  </w:abstractNum>
  <w:abstractNum w:abstractNumId="8" w15:restartNumberingAfterBreak="0">
    <w:nsid w:val="05ED080D"/>
    <w:multiLevelType w:val="hybridMultilevel"/>
    <w:tmpl w:val="F9643BF4"/>
    <w:lvl w:ilvl="0" w:tplc="56F6889E">
      <w:start w:val="2"/>
      <w:numFmt w:val="decimal"/>
      <w:lvlText w:val="%1"/>
      <w:lvlJc w:val="left"/>
      <w:pPr>
        <w:ind w:left="1327" w:hanging="139"/>
      </w:pPr>
      <w:rPr>
        <w:rFonts w:ascii="Cambria" w:eastAsia="Cambria" w:hAnsi="Cambria" w:cs="Cambria" w:hint="default"/>
        <w:color w:val="231F20"/>
        <w:w w:val="104"/>
        <w:sz w:val="16"/>
        <w:szCs w:val="16"/>
      </w:rPr>
    </w:lvl>
    <w:lvl w:ilvl="1" w:tplc="8070F18C">
      <w:numFmt w:val="bullet"/>
      <w:lvlText w:val="•"/>
      <w:lvlJc w:val="left"/>
      <w:pPr>
        <w:ind w:left="2052" w:hanging="139"/>
      </w:pPr>
      <w:rPr>
        <w:rFonts w:hint="default"/>
      </w:rPr>
    </w:lvl>
    <w:lvl w:ilvl="2" w:tplc="3F60D69A">
      <w:numFmt w:val="bullet"/>
      <w:lvlText w:val="•"/>
      <w:lvlJc w:val="left"/>
      <w:pPr>
        <w:ind w:left="2784" w:hanging="139"/>
      </w:pPr>
      <w:rPr>
        <w:rFonts w:hint="default"/>
      </w:rPr>
    </w:lvl>
    <w:lvl w:ilvl="3" w:tplc="65062B4E">
      <w:numFmt w:val="bullet"/>
      <w:lvlText w:val="•"/>
      <w:lvlJc w:val="left"/>
      <w:pPr>
        <w:ind w:left="3516" w:hanging="139"/>
      </w:pPr>
      <w:rPr>
        <w:rFonts w:hint="default"/>
      </w:rPr>
    </w:lvl>
    <w:lvl w:ilvl="4" w:tplc="9CA4AE3C">
      <w:numFmt w:val="bullet"/>
      <w:lvlText w:val="•"/>
      <w:lvlJc w:val="left"/>
      <w:pPr>
        <w:ind w:left="4248" w:hanging="139"/>
      </w:pPr>
      <w:rPr>
        <w:rFonts w:hint="default"/>
      </w:rPr>
    </w:lvl>
    <w:lvl w:ilvl="5" w:tplc="A428413E">
      <w:numFmt w:val="bullet"/>
      <w:lvlText w:val="•"/>
      <w:lvlJc w:val="left"/>
      <w:pPr>
        <w:ind w:left="4980" w:hanging="139"/>
      </w:pPr>
      <w:rPr>
        <w:rFonts w:hint="default"/>
      </w:rPr>
    </w:lvl>
    <w:lvl w:ilvl="6" w:tplc="461A9F88">
      <w:numFmt w:val="bullet"/>
      <w:lvlText w:val="•"/>
      <w:lvlJc w:val="left"/>
      <w:pPr>
        <w:ind w:left="5712" w:hanging="139"/>
      </w:pPr>
      <w:rPr>
        <w:rFonts w:hint="default"/>
      </w:rPr>
    </w:lvl>
    <w:lvl w:ilvl="7" w:tplc="9C9816AA">
      <w:numFmt w:val="bullet"/>
      <w:lvlText w:val="•"/>
      <w:lvlJc w:val="left"/>
      <w:pPr>
        <w:ind w:left="6444" w:hanging="139"/>
      </w:pPr>
      <w:rPr>
        <w:rFonts w:hint="default"/>
      </w:rPr>
    </w:lvl>
    <w:lvl w:ilvl="8" w:tplc="EDD0D266">
      <w:numFmt w:val="bullet"/>
      <w:lvlText w:val="•"/>
      <w:lvlJc w:val="left"/>
      <w:pPr>
        <w:ind w:left="7176" w:hanging="139"/>
      </w:pPr>
      <w:rPr>
        <w:rFonts w:hint="default"/>
      </w:rPr>
    </w:lvl>
  </w:abstractNum>
  <w:abstractNum w:abstractNumId="9" w15:restartNumberingAfterBreak="0">
    <w:nsid w:val="06EE0908"/>
    <w:multiLevelType w:val="hybridMultilevel"/>
    <w:tmpl w:val="46CA489E"/>
    <w:lvl w:ilvl="0" w:tplc="30AA6942">
      <w:start w:val="1"/>
      <w:numFmt w:val="decimal"/>
      <w:lvlText w:val="%1"/>
      <w:lvlJc w:val="left"/>
      <w:pPr>
        <w:ind w:left="1147" w:hanging="139"/>
      </w:pPr>
      <w:rPr>
        <w:rFonts w:ascii="Cambria" w:eastAsia="Cambria" w:hAnsi="Cambria" w:cs="Cambria" w:hint="default"/>
        <w:color w:val="231F20"/>
        <w:w w:val="104"/>
        <w:sz w:val="16"/>
        <w:szCs w:val="16"/>
      </w:rPr>
    </w:lvl>
    <w:lvl w:ilvl="1" w:tplc="9772883E">
      <w:numFmt w:val="bullet"/>
      <w:lvlText w:val="•"/>
      <w:lvlJc w:val="left"/>
      <w:pPr>
        <w:ind w:left="1320" w:hanging="139"/>
      </w:pPr>
      <w:rPr>
        <w:rFonts w:hint="default"/>
      </w:rPr>
    </w:lvl>
    <w:lvl w:ilvl="2" w:tplc="4340823A">
      <w:numFmt w:val="bullet"/>
      <w:lvlText w:val="•"/>
      <w:lvlJc w:val="left"/>
      <w:pPr>
        <w:ind w:left="2133" w:hanging="139"/>
      </w:pPr>
      <w:rPr>
        <w:rFonts w:hint="default"/>
      </w:rPr>
    </w:lvl>
    <w:lvl w:ilvl="3" w:tplc="7DA473BA">
      <w:numFmt w:val="bullet"/>
      <w:lvlText w:val="•"/>
      <w:lvlJc w:val="left"/>
      <w:pPr>
        <w:ind w:left="2946" w:hanging="139"/>
      </w:pPr>
      <w:rPr>
        <w:rFonts w:hint="default"/>
      </w:rPr>
    </w:lvl>
    <w:lvl w:ilvl="4" w:tplc="3E06C1CC">
      <w:numFmt w:val="bullet"/>
      <w:lvlText w:val="•"/>
      <w:lvlJc w:val="left"/>
      <w:pPr>
        <w:ind w:left="3760" w:hanging="139"/>
      </w:pPr>
      <w:rPr>
        <w:rFonts w:hint="default"/>
      </w:rPr>
    </w:lvl>
    <w:lvl w:ilvl="5" w:tplc="33F0DE9C">
      <w:numFmt w:val="bullet"/>
      <w:lvlText w:val="•"/>
      <w:lvlJc w:val="left"/>
      <w:pPr>
        <w:ind w:left="4573" w:hanging="139"/>
      </w:pPr>
      <w:rPr>
        <w:rFonts w:hint="default"/>
      </w:rPr>
    </w:lvl>
    <w:lvl w:ilvl="6" w:tplc="A0F66E56">
      <w:numFmt w:val="bullet"/>
      <w:lvlText w:val="•"/>
      <w:lvlJc w:val="left"/>
      <w:pPr>
        <w:ind w:left="5386" w:hanging="139"/>
      </w:pPr>
      <w:rPr>
        <w:rFonts w:hint="default"/>
      </w:rPr>
    </w:lvl>
    <w:lvl w:ilvl="7" w:tplc="78D27598">
      <w:numFmt w:val="bullet"/>
      <w:lvlText w:val="•"/>
      <w:lvlJc w:val="left"/>
      <w:pPr>
        <w:ind w:left="6200" w:hanging="139"/>
      </w:pPr>
      <w:rPr>
        <w:rFonts w:hint="default"/>
      </w:rPr>
    </w:lvl>
    <w:lvl w:ilvl="8" w:tplc="DF380E2A">
      <w:numFmt w:val="bullet"/>
      <w:lvlText w:val="•"/>
      <w:lvlJc w:val="left"/>
      <w:pPr>
        <w:ind w:left="7013" w:hanging="139"/>
      </w:pPr>
      <w:rPr>
        <w:rFonts w:hint="default"/>
      </w:rPr>
    </w:lvl>
  </w:abstractNum>
  <w:abstractNum w:abstractNumId="10" w15:restartNumberingAfterBreak="0">
    <w:nsid w:val="07A32860"/>
    <w:multiLevelType w:val="hybridMultilevel"/>
    <w:tmpl w:val="36469E9C"/>
    <w:lvl w:ilvl="0" w:tplc="6DE09BD4">
      <w:start w:val="1"/>
      <w:numFmt w:val="decimal"/>
      <w:lvlText w:val="%1"/>
      <w:lvlJc w:val="left"/>
      <w:pPr>
        <w:ind w:left="1147" w:hanging="139"/>
        <w:jc w:val="right"/>
      </w:pPr>
      <w:rPr>
        <w:rFonts w:ascii="Cambria" w:eastAsia="Cambria" w:hAnsi="Cambria" w:cs="Cambria" w:hint="default"/>
        <w:color w:val="231F20"/>
        <w:w w:val="104"/>
        <w:sz w:val="16"/>
        <w:szCs w:val="16"/>
      </w:rPr>
    </w:lvl>
    <w:lvl w:ilvl="1" w:tplc="C0843F8C">
      <w:numFmt w:val="bullet"/>
      <w:lvlText w:val="•"/>
      <w:lvlJc w:val="left"/>
      <w:pPr>
        <w:ind w:left="1890" w:hanging="139"/>
      </w:pPr>
      <w:rPr>
        <w:rFonts w:hint="default"/>
      </w:rPr>
    </w:lvl>
    <w:lvl w:ilvl="2" w:tplc="399EAD16">
      <w:numFmt w:val="bullet"/>
      <w:lvlText w:val="•"/>
      <w:lvlJc w:val="left"/>
      <w:pPr>
        <w:ind w:left="2640" w:hanging="139"/>
      </w:pPr>
      <w:rPr>
        <w:rFonts w:hint="default"/>
      </w:rPr>
    </w:lvl>
    <w:lvl w:ilvl="3" w:tplc="9C7A6570">
      <w:numFmt w:val="bullet"/>
      <w:lvlText w:val="•"/>
      <w:lvlJc w:val="left"/>
      <w:pPr>
        <w:ind w:left="3390" w:hanging="139"/>
      </w:pPr>
      <w:rPr>
        <w:rFonts w:hint="default"/>
      </w:rPr>
    </w:lvl>
    <w:lvl w:ilvl="4" w:tplc="0A584412">
      <w:numFmt w:val="bullet"/>
      <w:lvlText w:val="•"/>
      <w:lvlJc w:val="left"/>
      <w:pPr>
        <w:ind w:left="4140" w:hanging="139"/>
      </w:pPr>
      <w:rPr>
        <w:rFonts w:hint="default"/>
      </w:rPr>
    </w:lvl>
    <w:lvl w:ilvl="5" w:tplc="D646FB68">
      <w:numFmt w:val="bullet"/>
      <w:lvlText w:val="•"/>
      <w:lvlJc w:val="left"/>
      <w:pPr>
        <w:ind w:left="4890" w:hanging="139"/>
      </w:pPr>
      <w:rPr>
        <w:rFonts w:hint="default"/>
      </w:rPr>
    </w:lvl>
    <w:lvl w:ilvl="6" w:tplc="4ECA303A">
      <w:numFmt w:val="bullet"/>
      <w:lvlText w:val="•"/>
      <w:lvlJc w:val="left"/>
      <w:pPr>
        <w:ind w:left="5640" w:hanging="139"/>
      </w:pPr>
      <w:rPr>
        <w:rFonts w:hint="default"/>
      </w:rPr>
    </w:lvl>
    <w:lvl w:ilvl="7" w:tplc="6D966D24">
      <w:numFmt w:val="bullet"/>
      <w:lvlText w:val="•"/>
      <w:lvlJc w:val="left"/>
      <w:pPr>
        <w:ind w:left="6390" w:hanging="139"/>
      </w:pPr>
      <w:rPr>
        <w:rFonts w:hint="default"/>
      </w:rPr>
    </w:lvl>
    <w:lvl w:ilvl="8" w:tplc="8550BE62">
      <w:numFmt w:val="bullet"/>
      <w:lvlText w:val="•"/>
      <w:lvlJc w:val="left"/>
      <w:pPr>
        <w:ind w:left="7140" w:hanging="139"/>
      </w:pPr>
      <w:rPr>
        <w:rFonts w:hint="default"/>
      </w:rPr>
    </w:lvl>
  </w:abstractNum>
  <w:abstractNum w:abstractNumId="11" w15:restartNumberingAfterBreak="0">
    <w:nsid w:val="085F58F6"/>
    <w:multiLevelType w:val="hybridMultilevel"/>
    <w:tmpl w:val="340AC56C"/>
    <w:lvl w:ilvl="0" w:tplc="754A1A06">
      <w:start w:val="1"/>
      <w:numFmt w:val="decimal"/>
      <w:lvlText w:val="%1"/>
      <w:lvlJc w:val="left"/>
      <w:pPr>
        <w:ind w:left="1148" w:hanging="139"/>
        <w:jc w:val="right"/>
      </w:pPr>
      <w:rPr>
        <w:rFonts w:ascii="Cambria" w:eastAsia="Cambria" w:hAnsi="Cambria" w:cs="Cambria" w:hint="default"/>
        <w:color w:val="231F20"/>
        <w:w w:val="104"/>
        <w:sz w:val="16"/>
        <w:szCs w:val="16"/>
      </w:rPr>
    </w:lvl>
    <w:lvl w:ilvl="1" w:tplc="96361DF6">
      <w:numFmt w:val="bullet"/>
      <w:lvlText w:val="•"/>
      <w:lvlJc w:val="left"/>
      <w:pPr>
        <w:ind w:left="1890" w:hanging="139"/>
      </w:pPr>
      <w:rPr>
        <w:rFonts w:hint="default"/>
      </w:rPr>
    </w:lvl>
    <w:lvl w:ilvl="2" w:tplc="AFD6311A">
      <w:numFmt w:val="bullet"/>
      <w:lvlText w:val="•"/>
      <w:lvlJc w:val="left"/>
      <w:pPr>
        <w:ind w:left="2640" w:hanging="139"/>
      </w:pPr>
      <w:rPr>
        <w:rFonts w:hint="default"/>
      </w:rPr>
    </w:lvl>
    <w:lvl w:ilvl="3" w:tplc="397C994C">
      <w:numFmt w:val="bullet"/>
      <w:lvlText w:val="•"/>
      <w:lvlJc w:val="left"/>
      <w:pPr>
        <w:ind w:left="3390" w:hanging="139"/>
      </w:pPr>
      <w:rPr>
        <w:rFonts w:hint="default"/>
      </w:rPr>
    </w:lvl>
    <w:lvl w:ilvl="4" w:tplc="5D8E7330">
      <w:numFmt w:val="bullet"/>
      <w:lvlText w:val="•"/>
      <w:lvlJc w:val="left"/>
      <w:pPr>
        <w:ind w:left="4140" w:hanging="139"/>
      </w:pPr>
      <w:rPr>
        <w:rFonts w:hint="default"/>
      </w:rPr>
    </w:lvl>
    <w:lvl w:ilvl="5" w:tplc="8834BB92">
      <w:numFmt w:val="bullet"/>
      <w:lvlText w:val="•"/>
      <w:lvlJc w:val="left"/>
      <w:pPr>
        <w:ind w:left="4890" w:hanging="139"/>
      </w:pPr>
      <w:rPr>
        <w:rFonts w:hint="default"/>
      </w:rPr>
    </w:lvl>
    <w:lvl w:ilvl="6" w:tplc="49CC8C24">
      <w:numFmt w:val="bullet"/>
      <w:lvlText w:val="•"/>
      <w:lvlJc w:val="left"/>
      <w:pPr>
        <w:ind w:left="5640" w:hanging="139"/>
      </w:pPr>
      <w:rPr>
        <w:rFonts w:hint="default"/>
      </w:rPr>
    </w:lvl>
    <w:lvl w:ilvl="7" w:tplc="D372372C">
      <w:numFmt w:val="bullet"/>
      <w:lvlText w:val="•"/>
      <w:lvlJc w:val="left"/>
      <w:pPr>
        <w:ind w:left="6390" w:hanging="139"/>
      </w:pPr>
      <w:rPr>
        <w:rFonts w:hint="default"/>
      </w:rPr>
    </w:lvl>
    <w:lvl w:ilvl="8" w:tplc="11184466">
      <w:numFmt w:val="bullet"/>
      <w:lvlText w:val="•"/>
      <w:lvlJc w:val="left"/>
      <w:pPr>
        <w:ind w:left="7140" w:hanging="139"/>
      </w:pPr>
      <w:rPr>
        <w:rFonts w:hint="default"/>
      </w:rPr>
    </w:lvl>
  </w:abstractNum>
  <w:abstractNum w:abstractNumId="12" w15:restartNumberingAfterBreak="0">
    <w:nsid w:val="09786BE6"/>
    <w:multiLevelType w:val="hybridMultilevel"/>
    <w:tmpl w:val="7096959A"/>
    <w:lvl w:ilvl="0" w:tplc="BC50FE3C">
      <w:start w:val="2"/>
      <w:numFmt w:val="decimal"/>
      <w:lvlText w:val="%1"/>
      <w:lvlJc w:val="left"/>
      <w:pPr>
        <w:ind w:left="1147" w:hanging="139"/>
        <w:jc w:val="right"/>
      </w:pPr>
      <w:rPr>
        <w:rFonts w:ascii="Cambria" w:eastAsia="Cambria" w:hAnsi="Cambria" w:cs="Cambria" w:hint="default"/>
        <w:color w:val="231F20"/>
        <w:w w:val="104"/>
        <w:sz w:val="16"/>
        <w:szCs w:val="16"/>
      </w:rPr>
    </w:lvl>
    <w:lvl w:ilvl="1" w:tplc="DF9E5A66">
      <w:numFmt w:val="bullet"/>
      <w:lvlText w:val="•"/>
      <w:lvlJc w:val="left"/>
      <w:pPr>
        <w:ind w:left="1890" w:hanging="139"/>
      </w:pPr>
      <w:rPr>
        <w:rFonts w:hint="default"/>
      </w:rPr>
    </w:lvl>
    <w:lvl w:ilvl="2" w:tplc="64B881A4">
      <w:numFmt w:val="bullet"/>
      <w:lvlText w:val="•"/>
      <w:lvlJc w:val="left"/>
      <w:pPr>
        <w:ind w:left="2640" w:hanging="139"/>
      </w:pPr>
      <w:rPr>
        <w:rFonts w:hint="default"/>
      </w:rPr>
    </w:lvl>
    <w:lvl w:ilvl="3" w:tplc="08C48AF0">
      <w:numFmt w:val="bullet"/>
      <w:lvlText w:val="•"/>
      <w:lvlJc w:val="left"/>
      <w:pPr>
        <w:ind w:left="3390" w:hanging="139"/>
      </w:pPr>
      <w:rPr>
        <w:rFonts w:hint="default"/>
      </w:rPr>
    </w:lvl>
    <w:lvl w:ilvl="4" w:tplc="83D400E6">
      <w:numFmt w:val="bullet"/>
      <w:lvlText w:val="•"/>
      <w:lvlJc w:val="left"/>
      <w:pPr>
        <w:ind w:left="4140" w:hanging="139"/>
      </w:pPr>
      <w:rPr>
        <w:rFonts w:hint="default"/>
      </w:rPr>
    </w:lvl>
    <w:lvl w:ilvl="5" w:tplc="EB327262">
      <w:numFmt w:val="bullet"/>
      <w:lvlText w:val="•"/>
      <w:lvlJc w:val="left"/>
      <w:pPr>
        <w:ind w:left="4890" w:hanging="139"/>
      </w:pPr>
      <w:rPr>
        <w:rFonts w:hint="default"/>
      </w:rPr>
    </w:lvl>
    <w:lvl w:ilvl="6" w:tplc="7A8255F2">
      <w:numFmt w:val="bullet"/>
      <w:lvlText w:val="•"/>
      <w:lvlJc w:val="left"/>
      <w:pPr>
        <w:ind w:left="5640" w:hanging="139"/>
      </w:pPr>
      <w:rPr>
        <w:rFonts w:hint="default"/>
      </w:rPr>
    </w:lvl>
    <w:lvl w:ilvl="7" w:tplc="BCE63D94">
      <w:numFmt w:val="bullet"/>
      <w:lvlText w:val="•"/>
      <w:lvlJc w:val="left"/>
      <w:pPr>
        <w:ind w:left="6390" w:hanging="139"/>
      </w:pPr>
      <w:rPr>
        <w:rFonts w:hint="default"/>
      </w:rPr>
    </w:lvl>
    <w:lvl w:ilvl="8" w:tplc="E07222C2">
      <w:numFmt w:val="bullet"/>
      <w:lvlText w:val="•"/>
      <w:lvlJc w:val="left"/>
      <w:pPr>
        <w:ind w:left="7140" w:hanging="139"/>
      </w:pPr>
      <w:rPr>
        <w:rFonts w:hint="default"/>
      </w:rPr>
    </w:lvl>
  </w:abstractNum>
  <w:abstractNum w:abstractNumId="13" w15:restartNumberingAfterBreak="0">
    <w:nsid w:val="09C60F35"/>
    <w:multiLevelType w:val="hybridMultilevel"/>
    <w:tmpl w:val="335483EC"/>
    <w:lvl w:ilvl="0" w:tplc="9EA806C4">
      <w:start w:val="1"/>
      <w:numFmt w:val="decimal"/>
      <w:lvlText w:val="%1"/>
      <w:lvlJc w:val="left"/>
      <w:pPr>
        <w:ind w:left="1147" w:hanging="139"/>
        <w:jc w:val="right"/>
      </w:pPr>
      <w:rPr>
        <w:rFonts w:ascii="Cambria" w:eastAsia="Cambria" w:hAnsi="Cambria" w:cs="Cambria" w:hint="default"/>
        <w:color w:val="231F20"/>
        <w:w w:val="104"/>
        <w:sz w:val="16"/>
        <w:szCs w:val="16"/>
      </w:rPr>
    </w:lvl>
    <w:lvl w:ilvl="1" w:tplc="CAA6E74C">
      <w:numFmt w:val="bullet"/>
      <w:lvlText w:val="•"/>
      <w:lvlJc w:val="left"/>
      <w:pPr>
        <w:ind w:left="1890" w:hanging="139"/>
      </w:pPr>
      <w:rPr>
        <w:rFonts w:hint="default"/>
      </w:rPr>
    </w:lvl>
    <w:lvl w:ilvl="2" w:tplc="DF704852">
      <w:numFmt w:val="bullet"/>
      <w:lvlText w:val="•"/>
      <w:lvlJc w:val="left"/>
      <w:pPr>
        <w:ind w:left="2640" w:hanging="139"/>
      </w:pPr>
      <w:rPr>
        <w:rFonts w:hint="default"/>
      </w:rPr>
    </w:lvl>
    <w:lvl w:ilvl="3" w:tplc="BE5A3166">
      <w:numFmt w:val="bullet"/>
      <w:lvlText w:val="•"/>
      <w:lvlJc w:val="left"/>
      <w:pPr>
        <w:ind w:left="3390" w:hanging="139"/>
      </w:pPr>
      <w:rPr>
        <w:rFonts w:hint="default"/>
      </w:rPr>
    </w:lvl>
    <w:lvl w:ilvl="4" w:tplc="9238DBD4">
      <w:numFmt w:val="bullet"/>
      <w:lvlText w:val="•"/>
      <w:lvlJc w:val="left"/>
      <w:pPr>
        <w:ind w:left="4140" w:hanging="139"/>
      </w:pPr>
      <w:rPr>
        <w:rFonts w:hint="default"/>
      </w:rPr>
    </w:lvl>
    <w:lvl w:ilvl="5" w:tplc="08005D68">
      <w:numFmt w:val="bullet"/>
      <w:lvlText w:val="•"/>
      <w:lvlJc w:val="left"/>
      <w:pPr>
        <w:ind w:left="4890" w:hanging="139"/>
      </w:pPr>
      <w:rPr>
        <w:rFonts w:hint="default"/>
      </w:rPr>
    </w:lvl>
    <w:lvl w:ilvl="6" w:tplc="DFCAECC6">
      <w:numFmt w:val="bullet"/>
      <w:lvlText w:val="•"/>
      <w:lvlJc w:val="left"/>
      <w:pPr>
        <w:ind w:left="5640" w:hanging="139"/>
      </w:pPr>
      <w:rPr>
        <w:rFonts w:hint="default"/>
      </w:rPr>
    </w:lvl>
    <w:lvl w:ilvl="7" w:tplc="F74CD95C">
      <w:numFmt w:val="bullet"/>
      <w:lvlText w:val="•"/>
      <w:lvlJc w:val="left"/>
      <w:pPr>
        <w:ind w:left="6390" w:hanging="139"/>
      </w:pPr>
      <w:rPr>
        <w:rFonts w:hint="default"/>
      </w:rPr>
    </w:lvl>
    <w:lvl w:ilvl="8" w:tplc="1A14C40E">
      <w:numFmt w:val="bullet"/>
      <w:lvlText w:val="•"/>
      <w:lvlJc w:val="left"/>
      <w:pPr>
        <w:ind w:left="7140" w:hanging="139"/>
      </w:pPr>
      <w:rPr>
        <w:rFonts w:hint="default"/>
      </w:rPr>
    </w:lvl>
  </w:abstractNum>
  <w:abstractNum w:abstractNumId="14" w15:restartNumberingAfterBreak="0">
    <w:nsid w:val="0A0E7B5C"/>
    <w:multiLevelType w:val="hybridMultilevel"/>
    <w:tmpl w:val="7F3CBFCA"/>
    <w:lvl w:ilvl="0" w:tplc="371A5C10">
      <w:start w:val="1"/>
      <w:numFmt w:val="decimal"/>
      <w:lvlText w:val="%1"/>
      <w:lvlJc w:val="left"/>
      <w:pPr>
        <w:ind w:left="1147" w:hanging="139"/>
        <w:jc w:val="right"/>
      </w:pPr>
      <w:rPr>
        <w:rFonts w:ascii="Cambria" w:eastAsia="Cambria" w:hAnsi="Cambria" w:cs="Cambria" w:hint="default"/>
        <w:color w:val="231F20"/>
        <w:w w:val="104"/>
        <w:sz w:val="16"/>
        <w:szCs w:val="16"/>
      </w:rPr>
    </w:lvl>
    <w:lvl w:ilvl="1" w:tplc="64AC9350">
      <w:numFmt w:val="bullet"/>
      <w:lvlText w:val="•"/>
      <w:lvlJc w:val="left"/>
      <w:pPr>
        <w:ind w:left="1890" w:hanging="139"/>
      </w:pPr>
      <w:rPr>
        <w:rFonts w:hint="default"/>
      </w:rPr>
    </w:lvl>
    <w:lvl w:ilvl="2" w:tplc="F99EDDF2">
      <w:numFmt w:val="bullet"/>
      <w:lvlText w:val="•"/>
      <w:lvlJc w:val="left"/>
      <w:pPr>
        <w:ind w:left="2640" w:hanging="139"/>
      </w:pPr>
      <w:rPr>
        <w:rFonts w:hint="default"/>
      </w:rPr>
    </w:lvl>
    <w:lvl w:ilvl="3" w:tplc="11A8D2B8">
      <w:numFmt w:val="bullet"/>
      <w:lvlText w:val="•"/>
      <w:lvlJc w:val="left"/>
      <w:pPr>
        <w:ind w:left="3390" w:hanging="139"/>
      </w:pPr>
      <w:rPr>
        <w:rFonts w:hint="default"/>
      </w:rPr>
    </w:lvl>
    <w:lvl w:ilvl="4" w:tplc="85BC0982">
      <w:numFmt w:val="bullet"/>
      <w:lvlText w:val="•"/>
      <w:lvlJc w:val="left"/>
      <w:pPr>
        <w:ind w:left="4140" w:hanging="139"/>
      </w:pPr>
      <w:rPr>
        <w:rFonts w:hint="default"/>
      </w:rPr>
    </w:lvl>
    <w:lvl w:ilvl="5" w:tplc="432AFBF2">
      <w:numFmt w:val="bullet"/>
      <w:lvlText w:val="•"/>
      <w:lvlJc w:val="left"/>
      <w:pPr>
        <w:ind w:left="4890" w:hanging="139"/>
      </w:pPr>
      <w:rPr>
        <w:rFonts w:hint="default"/>
      </w:rPr>
    </w:lvl>
    <w:lvl w:ilvl="6" w:tplc="310E60C2">
      <w:numFmt w:val="bullet"/>
      <w:lvlText w:val="•"/>
      <w:lvlJc w:val="left"/>
      <w:pPr>
        <w:ind w:left="5640" w:hanging="139"/>
      </w:pPr>
      <w:rPr>
        <w:rFonts w:hint="default"/>
      </w:rPr>
    </w:lvl>
    <w:lvl w:ilvl="7" w:tplc="83C6EC22">
      <w:numFmt w:val="bullet"/>
      <w:lvlText w:val="•"/>
      <w:lvlJc w:val="left"/>
      <w:pPr>
        <w:ind w:left="6390" w:hanging="139"/>
      </w:pPr>
      <w:rPr>
        <w:rFonts w:hint="default"/>
      </w:rPr>
    </w:lvl>
    <w:lvl w:ilvl="8" w:tplc="5F3C1FBE">
      <w:numFmt w:val="bullet"/>
      <w:lvlText w:val="•"/>
      <w:lvlJc w:val="left"/>
      <w:pPr>
        <w:ind w:left="7140" w:hanging="139"/>
      </w:pPr>
      <w:rPr>
        <w:rFonts w:hint="default"/>
      </w:rPr>
    </w:lvl>
  </w:abstractNum>
  <w:abstractNum w:abstractNumId="15" w15:restartNumberingAfterBreak="0">
    <w:nsid w:val="0A1E627B"/>
    <w:multiLevelType w:val="hybridMultilevel"/>
    <w:tmpl w:val="874E27D4"/>
    <w:lvl w:ilvl="0" w:tplc="587CF134">
      <w:start w:val="1"/>
      <w:numFmt w:val="decimal"/>
      <w:lvlText w:val="%1"/>
      <w:lvlJc w:val="left"/>
      <w:pPr>
        <w:ind w:left="1327" w:hanging="139"/>
      </w:pPr>
      <w:rPr>
        <w:rFonts w:ascii="Cambria" w:eastAsia="Cambria" w:hAnsi="Cambria" w:cs="Cambria" w:hint="default"/>
        <w:color w:val="231F20"/>
        <w:w w:val="104"/>
        <w:sz w:val="16"/>
        <w:szCs w:val="16"/>
      </w:rPr>
    </w:lvl>
    <w:lvl w:ilvl="1" w:tplc="EAD0B2DC">
      <w:numFmt w:val="bullet"/>
      <w:lvlText w:val="•"/>
      <w:lvlJc w:val="left"/>
      <w:pPr>
        <w:ind w:left="2052" w:hanging="139"/>
      </w:pPr>
      <w:rPr>
        <w:rFonts w:hint="default"/>
      </w:rPr>
    </w:lvl>
    <w:lvl w:ilvl="2" w:tplc="30B4AF1E">
      <w:numFmt w:val="bullet"/>
      <w:lvlText w:val="•"/>
      <w:lvlJc w:val="left"/>
      <w:pPr>
        <w:ind w:left="2784" w:hanging="139"/>
      </w:pPr>
      <w:rPr>
        <w:rFonts w:hint="default"/>
      </w:rPr>
    </w:lvl>
    <w:lvl w:ilvl="3" w:tplc="93D4B200">
      <w:numFmt w:val="bullet"/>
      <w:lvlText w:val="•"/>
      <w:lvlJc w:val="left"/>
      <w:pPr>
        <w:ind w:left="3516" w:hanging="139"/>
      </w:pPr>
      <w:rPr>
        <w:rFonts w:hint="default"/>
      </w:rPr>
    </w:lvl>
    <w:lvl w:ilvl="4" w:tplc="576ADA18">
      <w:numFmt w:val="bullet"/>
      <w:lvlText w:val="•"/>
      <w:lvlJc w:val="left"/>
      <w:pPr>
        <w:ind w:left="4248" w:hanging="139"/>
      </w:pPr>
      <w:rPr>
        <w:rFonts w:hint="default"/>
      </w:rPr>
    </w:lvl>
    <w:lvl w:ilvl="5" w:tplc="6820FC6E">
      <w:numFmt w:val="bullet"/>
      <w:lvlText w:val="•"/>
      <w:lvlJc w:val="left"/>
      <w:pPr>
        <w:ind w:left="4980" w:hanging="139"/>
      </w:pPr>
      <w:rPr>
        <w:rFonts w:hint="default"/>
      </w:rPr>
    </w:lvl>
    <w:lvl w:ilvl="6" w:tplc="A86CA7AE">
      <w:numFmt w:val="bullet"/>
      <w:lvlText w:val="•"/>
      <w:lvlJc w:val="left"/>
      <w:pPr>
        <w:ind w:left="5712" w:hanging="139"/>
      </w:pPr>
      <w:rPr>
        <w:rFonts w:hint="default"/>
      </w:rPr>
    </w:lvl>
    <w:lvl w:ilvl="7" w:tplc="6578490E">
      <w:numFmt w:val="bullet"/>
      <w:lvlText w:val="•"/>
      <w:lvlJc w:val="left"/>
      <w:pPr>
        <w:ind w:left="6444" w:hanging="139"/>
      </w:pPr>
      <w:rPr>
        <w:rFonts w:hint="default"/>
      </w:rPr>
    </w:lvl>
    <w:lvl w:ilvl="8" w:tplc="03AE779E">
      <w:numFmt w:val="bullet"/>
      <w:lvlText w:val="•"/>
      <w:lvlJc w:val="left"/>
      <w:pPr>
        <w:ind w:left="7176" w:hanging="139"/>
      </w:pPr>
      <w:rPr>
        <w:rFonts w:hint="default"/>
      </w:rPr>
    </w:lvl>
  </w:abstractNum>
  <w:abstractNum w:abstractNumId="16" w15:restartNumberingAfterBreak="0">
    <w:nsid w:val="0AA64634"/>
    <w:multiLevelType w:val="hybridMultilevel"/>
    <w:tmpl w:val="08BC59D2"/>
    <w:lvl w:ilvl="0" w:tplc="61846B70">
      <w:start w:val="3"/>
      <w:numFmt w:val="decimal"/>
      <w:lvlText w:val="%1"/>
      <w:lvlJc w:val="left"/>
      <w:pPr>
        <w:ind w:left="1148" w:hanging="139"/>
      </w:pPr>
      <w:rPr>
        <w:rFonts w:ascii="Cambria" w:eastAsia="Cambria" w:hAnsi="Cambria" w:cs="Cambria" w:hint="default"/>
        <w:color w:val="231F20"/>
        <w:w w:val="104"/>
        <w:sz w:val="16"/>
        <w:szCs w:val="16"/>
      </w:rPr>
    </w:lvl>
    <w:lvl w:ilvl="1" w:tplc="0C6CE5C2">
      <w:start w:val="6"/>
      <w:numFmt w:val="decimal"/>
      <w:lvlText w:val="%2"/>
      <w:lvlJc w:val="left"/>
      <w:pPr>
        <w:ind w:left="1328" w:hanging="139"/>
      </w:pPr>
      <w:rPr>
        <w:rFonts w:ascii="Cambria" w:eastAsia="Cambria" w:hAnsi="Cambria" w:cs="Cambria" w:hint="default"/>
        <w:color w:val="231F20"/>
        <w:w w:val="104"/>
        <w:sz w:val="16"/>
        <w:szCs w:val="16"/>
      </w:rPr>
    </w:lvl>
    <w:lvl w:ilvl="2" w:tplc="C2A49A4A">
      <w:numFmt w:val="bullet"/>
      <w:lvlText w:val="•"/>
      <w:lvlJc w:val="left"/>
      <w:pPr>
        <w:ind w:left="1740" w:hanging="139"/>
      </w:pPr>
      <w:rPr>
        <w:rFonts w:hint="default"/>
      </w:rPr>
    </w:lvl>
    <w:lvl w:ilvl="3" w:tplc="B4744F92">
      <w:numFmt w:val="bullet"/>
      <w:lvlText w:val="•"/>
      <w:lvlJc w:val="left"/>
      <w:pPr>
        <w:ind w:left="2602" w:hanging="139"/>
      </w:pPr>
      <w:rPr>
        <w:rFonts w:hint="default"/>
      </w:rPr>
    </w:lvl>
    <w:lvl w:ilvl="4" w:tplc="0756F29A">
      <w:numFmt w:val="bullet"/>
      <w:lvlText w:val="•"/>
      <w:lvlJc w:val="left"/>
      <w:pPr>
        <w:ind w:left="3465" w:hanging="139"/>
      </w:pPr>
      <w:rPr>
        <w:rFonts w:hint="default"/>
      </w:rPr>
    </w:lvl>
    <w:lvl w:ilvl="5" w:tplc="813AF0C8">
      <w:numFmt w:val="bullet"/>
      <w:lvlText w:val="•"/>
      <w:lvlJc w:val="left"/>
      <w:pPr>
        <w:ind w:left="4327" w:hanging="139"/>
      </w:pPr>
      <w:rPr>
        <w:rFonts w:hint="default"/>
      </w:rPr>
    </w:lvl>
    <w:lvl w:ilvl="6" w:tplc="B53AE082">
      <w:numFmt w:val="bullet"/>
      <w:lvlText w:val="•"/>
      <w:lvlJc w:val="left"/>
      <w:pPr>
        <w:ind w:left="5190" w:hanging="139"/>
      </w:pPr>
      <w:rPr>
        <w:rFonts w:hint="default"/>
      </w:rPr>
    </w:lvl>
    <w:lvl w:ilvl="7" w:tplc="69EE296C">
      <w:numFmt w:val="bullet"/>
      <w:lvlText w:val="•"/>
      <w:lvlJc w:val="left"/>
      <w:pPr>
        <w:ind w:left="6052" w:hanging="139"/>
      </w:pPr>
      <w:rPr>
        <w:rFonts w:hint="default"/>
      </w:rPr>
    </w:lvl>
    <w:lvl w:ilvl="8" w:tplc="90D25B1E">
      <w:numFmt w:val="bullet"/>
      <w:lvlText w:val="•"/>
      <w:lvlJc w:val="left"/>
      <w:pPr>
        <w:ind w:left="6915" w:hanging="139"/>
      </w:pPr>
      <w:rPr>
        <w:rFonts w:hint="default"/>
      </w:rPr>
    </w:lvl>
  </w:abstractNum>
  <w:abstractNum w:abstractNumId="17" w15:restartNumberingAfterBreak="0">
    <w:nsid w:val="0BC067D7"/>
    <w:multiLevelType w:val="hybridMultilevel"/>
    <w:tmpl w:val="05DC3272"/>
    <w:lvl w:ilvl="0" w:tplc="989C3434">
      <w:start w:val="1"/>
      <w:numFmt w:val="decimal"/>
      <w:lvlText w:val="%1"/>
      <w:lvlJc w:val="left"/>
      <w:pPr>
        <w:ind w:left="1147" w:hanging="139"/>
      </w:pPr>
      <w:rPr>
        <w:rFonts w:ascii="Cambria" w:eastAsia="Cambria" w:hAnsi="Cambria" w:cs="Cambria" w:hint="default"/>
        <w:color w:val="231F20"/>
        <w:w w:val="104"/>
        <w:sz w:val="16"/>
        <w:szCs w:val="16"/>
      </w:rPr>
    </w:lvl>
    <w:lvl w:ilvl="1" w:tplc="281E808E">
      <w:numFmt w:val="bullet"/>
      <w:lvlText w:val="•"/>
      <w:lvlJc w:val="left"/>
      <w:pPr>
        <w:ind w:left="1890" w:hanging="139"/>
      </w:pPr>
      <w:rPr>
        <w:rFonts w:hint="default"/>
      </w:rPr>
    </w:lvl>
    <w:lvl w:ilvl="2" w:tplc="3E3CE840">
      <w:numFmt w:val="bullet"/>
      <w:lvlText w:val="•"/>
      <w:lvlJc w:val="left"/>
      <w:pPr>
        <w:ind w:left="2640" w:hanging="139"/>
      </w:pPr>
      <w:rPr>
        <w:rFonts w:hint="default"/>
      </w:rPr>
    </w:lvl>
    <w:lvl w:ilvl="3" w:tplc="93AE1540">
      <w:numFmt w:val="bullet"/>
      <w:lvlText w:val="•"/>
      <w:lvlJc w:val="left"/>
      <w:pPr>
        <w:ind w:left="3390" w:hanging="139"/>
      </w:pPr>
      <w:rPr>
        <w:rFonts w:hint="default"/>
      </w:rPr>
    </w:lvl>
    <w:lvl w:ilvl="4" w:tplc="BAEC9B46">
      <w:numFmt w:val="bullet"/>
      <w:lvlText w:val="•"/>
      <w:lvlJc w:val="left"/>
      <w:pPr>
        <w:ind w:left="4140" w:hanging="139"/>
      </w:pPr>
      <w:rPr>
        <w:rFonts w:hint="default"/>
      </w:rPr>
    </w:lvl>
    <w:lvl w:ilvl="5" w:tplc="31C82CBA">
      <w:numFmt w:val="bullet"/>
      <w:lvlText w:val="•"/>
      <w:lvlJc w:val="left"/>
      <w:pPr>
        <w:ind w:left="4890" w:hanging="139"/>
      </w:pPr>
      <w:rPr>
        <w:rFonts w:hint="default"/>
      </w:rPr>
    </w:lvl>
    <w:lvl w:ilvl="6" w:tplc="3D22CB90">
      <w:numFmt w:val="bullet"/>
      <w:lvlText w:val="•"/>
      <w:lvlJc w:val="left"/>
      <w:pPr>
        <w:ind w:left="5640" w:hanging="139"/>
      </w:pPr>
      <w:rPr>
        <w:rFonts w:hint="default"/>
      </w:rPr>
    </w:lvl>
    <w:lvl w:ilvl="7" w:tplc="06C04E80">
      <w:numFmt w:val="bullet"/>
      <w:lvlText w:val="•"/>
      <w:lvlJc w:val="left"/>
      <w:pPr>
        <w:ind w:left="6390" w:hanging="139"/>
      </w:pPr>
      <w:rPr>
        <w:rFonts w:hint="default"/>
      </w:rPr>
    </w:lvl>
    <w:lvl w:ilvl="8" w:tplc="08E47F36">
      <w:numFmt w:val="bullet"/>
      <w:lvlText w:val="•"/>
      <w:lvlJc w:val="left"/>
      <w:pPr>
        <w:ind w:left="7140" w:hanging="139"/>
      </w:pPr>
      <w:rPr>
        <w:rFonts w:hint="default"/>
      </w:rPr>
    </w:lvl>
  </w:abstractNum>
  <w:abstractNum w:abstractNumId="18" w15:restartNumberingAfterBreak="0">
    <w:nsid w:val="0C1404BA"/>
    <w:multiLevelType w:val="hybridMultilevel"/>
    <w:tmpl w:val="FC223822"/>
    <w:lvl w:ilvl="0" w:tplc="F69C735C">
      <w:start w:val="4"/>
      <w:numFmt w:val="decimal"/>
      <w:lvlText w:val="%1"/>
      <w:lvlJc w:val="left"/>
      <w:pPr>
        <w:ind w:left="1327" w:hanging="139"/>
      </w:pPr>
      <w:rPr>
        <w:rFonts w:ascii="Cambria" w:eastAsia="Cambria" w:hAnsi="Cambria" w:cs="Cambria" w:hint="default"/>
        <w:color w:val="231F20"/>
        <w:w w:val="104"/>
        <w:sz w:val="16"/>
        <w:szCs w:val="16"/>
      </w:rPr>
    </w:lvl>
    <w:lvl w:ilvl="1" w:tplc="042672E0">
      <w:numFmt w:val="bullet"/>
      <w:lvlText w:val="•"/>
      <w:lvlJc w:val="left"/>
      <w:pPr>
        <w:ind w:left="2052" w:hanging="139"/>
      </w:pPr>
      <w:rPr>
        <w:rFonts w:hint="default"/>
      </w:rPr>
    </w:lvl>
    <w:lvl w:ilvl="2" w:tplc="79FAD622">
      <w:numFmt w:val="bullet"/>
      <w:lvlText w:val="•"/>
      <w:lvlJc w:val="left"/>
      <w:pPr>
        <w:ind w:left="2784" w:hanging="139"/>
      </w:pPr>
      <w:rPr>
        <w:rFonts w:hint="default"/>
      </w:rPr>
    </w:lvl>
    <w:lvl w:ilvl="3" w:tplc="82B832F2">
      <w:numFmt w:val="bullet"/>
      <w:lvlText w:val="•"/>
      <w:lvlJc w:val="left"/>
      <w:pPr>
        <w:ind w:left="3516" w:hanging="139"/>
      </w:pPr>
      <w:rPr>
        <w:rFonts w:hint="default"/>
      </w:rPr>
    </w:lvl>
    <w:lvl w:ilvl="4" w:tplc="CD8E4FEA">
      <w:numFmt w:val="bullet"/>
      <w:lvlText w:val="•"/>
      <w:lvlJc w:val="left"/>
      <w:pPr>
        <w:ind w:left="4248" w:hanging="139"/>
      </w:pPr>
      <w:rPr>
        <w:rFonts w:hint="default"/>
      </w:rPr>
    </w:lvl>
    <w:lvl w:ilvl="5" w:tplc="4F888B9C">
      <w:numFmt w:val="bullet"/>
      <w:lvlText w:val="•"/>
      <w:lvlJc w:val="left"/>
      <w:pPr>
        <w:ind w:left="4980" w:hanging="139"/>
      </w:pPr>
      <w:rPr>
        <w:rFonts w:hint="default"/>
      </w:rPr>
    </w:lvl>
    <w:lvl w:ilvl="6" w:tplc="881E5C08">
      <w:numFmt w:val="bullet"/>
      <w:lvlText w:val="•"/>
      <w:lvlJc w:val="left"/>
      <w:pPr>
        <w:ind w:left="5712" w:hanging="139"/>
      </w:pPr>
      <w:rPr>
        <w:rFonts w:hint="default"/>
      </w:rPr>
    </w:lvl>
    <w:lvl w:ilvl="7" w:tplc="0710461C">
      <w:numFmt w:val="bullet"/>
      <w:lvlText w:val="•"/>
      <w:lvlJc w:val="left"/>
      <w:pPr>
        <w:ind w:left="6444" w:hanging="139"/>
      </w:pPr>
      <w:rPr>
        <w:rFonts w:hint="default"/>
      </w:rPr>
    </w:lvl>
    <w:lvl w:ilvl="8" w:tplc="EFE6D7E2">
      <w:numFmt w:val="bullet"/>
      <w:lvlText w:val="•"/>
      <w:lvlJc w:val="left"/>
      <w:pPr>
        <w:ind w:left="7176" w:hanging="139"/>
      </w:pPr>
      <w:rPr>
        <w:rFonts w:hint="default"/>
      </w:rPr>
    </w:lvl>
  </w:abstractNum>
  <w:abstractNum w:abstractNumId="19" w15:restartNumberingAfterBreak="0">
    <w:nsid w:val="0C8C1637"/>
    <w:multiLevelType w:val="hybridMultilevel"/>
    <w:tmpl w:val="D6F2AE5C"/>
    <w:lvl w:ilvl="0" w:tplc="6A9EB568">
      <w:start w:val="1"/>
      <w:numFmt w:val="decimal"/>
      <w:lvlText w:val="%1"/>
      <w:lvlJc w:val="left"/>
      <w:pPr>
        <w:ind w:left="1147" w:hanging="139"/>
        <w:jc w:val="right"/>
      </w:pPr>
      <w:rPr>
        <w:rFonts w:ascii="Cambria" w:eastAsia="Cambria" w:hAnsi="Cambria" w:cs="Cambria" w:hint="default"/>
        <w:color w:val="231F20"/>
        <w:w w:val="104"/>
        <w:sz w:val="16"/>
        <w:szCs w:val="16"/>
      </w:rPr>
    </w:lvl>
    <w:lvl w:ilvl="1" w:tplc="FC32C6CC">
      <w:numFmt w:val="bullet"/>
      <w:lvlText w:val="•"/>
      <w:lvlJc w:val="left"/>
      <w:pPr>
        <w:ind w:left="1890" w:hanging="139"/>
      </w:pPr>
      <w:rPr>
        <w:rFonts w:hint="default"/>
      </w:rPr>
    </w:lvl>
    <w:lvl w:ilvl="2" w:tplc="F7D085F8">
      <w:numFmt w:val="bullet"/>
      <w:lvlText w:val="•"/>
      <w:lvlJc w:val="left"/>
      <w:pPr>
        <w:ind w:left="2640" w:hanging="139"/>
      </w:pPr>
      <w:rPr>
        <w:rFonts w:hint="default"/>
      </w:rPr>
    </w:lvl>
    <w:lvl w:ilvl="3" w:tplc="029C87B4">
      <w:numFmt w:val="bullet"/>
      <w:lvlText w:val="•"/>
      <w:lvlJc w:val="left"/>
      <w:pPr>
        <w:ind w:left="3390" w:hanging="139"/>
      </w:pPr>
      <w:rPr>
        <w:rFonts w:hint="default"/>
      </w:rPr>
    </w:lvl>
    <w:lvl w:ilvl="4" w:tplc="9CAE4652">
      <w:numFmt w:val="bullet"/>
      <w:lvlText w:val="•"/>
      <w:lvlJc w:val="left"/>
      <w:pPr>
        <w:ind w:left="4140" w:hanging="139"/>
      </w:pPr>
      <w:rPr>
        <w:rFonts w:hint="default"/>
      </w:rPr>
    </w:lvl>
    <w:lvl w:ilvl="5" w:tplc="2970F16E">
      <w:numFmt w:val="bullet"/>
      <w:lvlText w:val="•"/>
      <w:lvlJc w:val="left"/>
      <w:pPr>
        <w:ind w:left="4890" w:hanging="139"/>
      </w:pPr>
      <w:rPr>
        <w:rFonts w:hint="default"/>
      </w:rPr>
    </w:lvl>
    <w:lvl w:ilvl="6" w:tplc="96DE6FA4">
      <w:numFmt w:val="bullet"/>
      <w:lvlText w:val="•"/>
      <w:lvlJc w:val="left"/>
      <w:pPr>
        <w:ind w:left="5640" w:hanging="139"/>
      </w:pPr>
      <w:rPr>
        <w:rFonts w:hint="default"/>
      </w:rPr>
    </w:lvl>
    <w:lvl w:ilvl="7" w:tplc="4AE8F93C">
      <w:numFmt w:val="bullet"/>
      <w:lvlText w:val="•"/>
      <w:lvlJc w:val="left"/>
      <w:pPr>
        <w:ind w:left="6390" w:hanging="139"/>
      </w:pPr>
      <w:rPr>
        <w:rFonts w:hint="default"/>
      </w:rPr>
    </w:lvl>
    <w:lvl w:ilvl="8" w:tplc="38B28994">
      <w:numFmt w:val="bullet"/>
      <w:lvlText w:val="•"/>
      <w:lvlJc w:val="left"/>
      <w:pPr>
        <w:ind w:left="7140" w:hanging="139"/>
      </w:pPr>
      <w:rPr>
        <w:rFonts w:hint="default"/>
      </w:rPr>
    </w:lvl>
  </w:abstractNum>
  <w:abstractNum w:abstractNumId="20" w15:restartNumberingAfterBreak="0">
    <w:nsid w:val="0CE97271"/>
    <w:multiLevelType w:val="hybridMultilevel"/>
    <w:tmpl w:val="57EC55CA"/>
    <w:lvl w:ilvl="0" w:tplc="79867168">
      <w:numFmt w:val="bullet"/>
      <w:lvlText w:val="•"/>
      <w:lvlJc w:val="left"/>
      <w:pPr>
        <w:ind w:left="1644" w:hanging="240"/>
      </w:pPr>
      <w:rPr>
        <w:rFonts w:ascii="Cambria" w:eastAsia="Cambria" w:hAnsi="Cambria" w:cs="Cambria" w:hint="default"/>
        <w:color w:val="231F20"/>
        <w:w w:val="112"/>
        <w:sz w:val="20"/>
        <w:szCs w:val="20"/>
      </w:rPr>
    </w:lvl>
    <w:lvl w:ilvl="1" w:tplc="2D08E458">
      <w:numFmt w:val="bullet"/>
      <w:lvlText w:val="•"/>
      <w:lvlJc w:val="left"/>
      <w:pPr>
        <w:ind w:left="2340" w:hanging="240"/>
      </w:pPr>
      <w:rPr>
        <w:rFonts w:hint="default"/>
      </w:rPr>
    </w:lvl>
    <w:lvl w:ilvl="2" w:tplc="884EA316">
      <w:numFmt w:val="bullet"/>
      <w:lvlText w:val="•"/>
      <w:lvlJc w:val="left"/>
      <w:pPr>
        <w:ind w:left="3040" w:hanging="240"/>
      </w:pPr>
      <w:rPr>
        <w:rFonts w:hint="default"/>
      </w:rPr>
    </w:lvl>
    <w:lvl w:ilvl="3" w:tplc="1676246C">
      <w:numFmt w:val="bullet"/>
      <w:lvlText w:val="•"/>
      <w:lvlJc w:val="left"/>
      <w:pPr>
        <w:ind w:left="3740" w:hanging="240"/>
      </w:pPr>
      <w:rPr>
        <w:rFonts w:hint="default"/>
      </w:rPr>
    </w:lvl>
    <w:lvl w:ilvl="4" w:tplc="BE06698A">
      <w:numFmt w:val="bullet"/>
      <w:lvlText w:val="•"/>
      <w:lvlJc w:val="left"/>
      <w:pPr>
        <w:ind w:left="4440" w:hanging="240"/>
      </w:pPr>
      <w:rPr>
        <w:rFonts w:hint="default"/>
      </w:rPr>
    </w:lvl>
    <w:lvl w:ilvl="5" w:tplc="50E28016">
      <w:numFmt w:val="bullet"/>
      <w:lvlText w:val="•"/>
      <w:lvlJc w:val="left"/>
      <w:pPr>
        <w:ind w:left="5140" w:hanging="240"/>
      </w:pPr>
      <w:rPr>
        <w:rFonts w:hint="default"/>
      </w:rPr>
    </w:lvl>
    <w:lvl w:ilvl="6" w:tplc="54025A62">
      <w:numFmt w:val="bullet"/>
      <w:lvlText w:val="•"/>
      <w:lvlJc w:val="left"/>
      <w:pPr>
        <w:ind w:left="5840" w:hanging="240"/>
      </w:pPr>
      <w:rPr>
        <w:rFonts w:hint="default"/>
      </w:rPr>
    </w:lvl>
    <w:lvl w:ilvl="7" w:tplc="E80A86B8">
      <w:numFmt w:val="bullet"/>
      <w:lvlText w:val="•"/>
      <w:lvlJc w:val="left"/>
      <w:pPr>
        <w:ind w:left="6540" w:hanging="240"/>
      </w:pPr>
      <w:rPr>
        <w:rFonts w:hint="default"/>
      </w:rPr>
    </w:lvl>
    <w:lvl w:ilvl="8" w:tplc="D690DD96">
      <w:numFmt w:val="bullet"/>
      <w:lvlText w:val="•"/>
      <w:lvlJc w:val="left"/>
      <w:pPr>
        <w:ind w:left="7240" w:hanging="240"/>
      </w:pPr>
      <w:rPr>
        <w:rFonts w:hint="default"/>
      </w:rPr>
    </w:lvl>
  </w:abstractNum>
  <w:abstractNum w:abstractNumId="21" w15:restartNumberingAfterBreak="0">
    <w:nsid w:val="0D2279D9"/>
    <w:multiLevelType w:val="hybridMultilevel"/>
    <w:tmpl w:val="B0EE35EE"/>
    <w:lvl w:ilvl="0" w:tplc="527E2C82">
      <w:start w:val="10"/>
      <w:numFmt w:val="decimal"/>
      <w:lvlText w:val="%1"/>
      <w:lvlJc w:val="left"/>
      <w:pPr>
        <w:ind w:left="1327" w:hanging="227"/>
      </w:pPr>
      <w:rPr>
        <w:rFonts w:ascii="Cambria" w:eastAsia="Cambria" w:hAnsi="Cambria" w:cs="Cambria" w:hint="default"/>
        <w:color w:val="231F20"/>
        <w:spacing w:val="-5"/>
        <w:w w:val="104"/>
        <w:sz w:val="16"/>
        <w:szCs w:val="16"/>
      </w:rPr>
    </w:lvl>
    <w:lvl w:ilvl="1" w:tplc="F2624C74">
      <w:numFmt w:val="bullet"/>
      <w:lvlText w:val="•"/>
      <w:lvlJc w:val="left"/>
      <w:pPr>
        <w:ind w:left="2052" w:hanging="227"/>
      </w:pPr>
      <w:rPr>
        <w:rFonts w:hint="default"/>
      </w:rPr>
    </w:lvl>
    <w:lvl w:ilvl="2" w:tplc="4FC6E59E">
      <w:numFmt w:val="bullet"/>
      <w:lvlText w:val="•"/>
      <w:lvlJc w:val="left"/>
      <w:pPr>
        <w:ind w:left="2784" w:hanging="227"/>
      </w:pPr>
      <w:rPr>
        <w:rFonts w:hint="default"/>
      </w:rPr>
    </w:lvl>
    <w:lvl w:ilvl="3" w:tplc="9280BC36">
      <w:numFmt w:val="bullet"/>
      <w:lvlText w:val="•"/>
      <w:lvlJc w:val="left"/>
      <w:pPr>
        <w:ind w:left="3516" w:hanging="227"/>
      </w:pPr>
      <w:rPr>
        <w:rFonts w:hint="default"/>
      </w:rPr>
    </w:lvl>
    <w:lvl w:ilvl="4" w:tplc="E7901B00">
      <w:numFmt w:val="bullet"/>
      <w:lvlText w:val="•"/>
      <w:lvlJc w:val="left"/>
      <w:pPr>
        <w:ind w:left="4248" w:hanging="227"/>
      </w:pPr>
      <w:rPr>
        <w:rFonts w:hint="default"/>
      </w:rPr>
    </w:lvl>
    <w:lvl w:ilvl="5" w:tplc="35D6BAAE">
      <w:numFmt w:val="bullet"/>
      <w:lvlText w:val="•"/>
      <w:lvlJc w:val="left"/>
      <w:pPr>
        <w:ind w:left="4980" w:hanging="227"/>
      </w:pPr>
      <w:rPr>
        <w:rFonts w:hint="default"/>
      </w:rPr>
    </w:lvl>
    <w:lvl w:ilvl="6" w:tplc="4D1445BA">
      <w:numFmt w:val="bullet"/>
      <w:lvlText w:val="•"/>
      <w:lvlJc w:val="left"/>
      <w:pPr>
        <w:ind w:left="5712" w:hanging="227"/>
      </w:pPr>
      <w:rPr>
        <w:rFonts w:hint="default"/>
      </w:rPr>
    </w:lvl>
    <w:lvl w:ilvl="7" w:tplc="580AF2DE">
      <w:numFmt w:val="bullet"/>
      <w:lvlText w:val="•"/>
      <w:lvlJc w:val="left"/>
      <w:pPr>
        <w:ind w:left="6444" w:hanging="227"/>
      </w:pPr>
      <w:rPr>
        <w:rFonts w:hint="default"/>
      </w:rPr>
    </w:lvl>
    <w:lvl w:ilvl="8" w:tplc="EA7AD868">
      <w:numFmt w:val="bullet"/>
      <w:lvlText w:val="•"/>
      <w:lvlJc w:val="left"/>
      <w:pPr>
        <w:ind w:left="7176" w:hanging="227"/>
      </w:pPr>
      <w:rPr>
        <w:rFonts w:hint="default"/>
      </w:rPr>
    </w:lvl>
  </w:abstractNum>
  <w:abstractNum w:abstractNumId="22" w15:restartNumberingAfterBreak="0">
    <w:nsid w:val="0D4C43B5"/>
    <w:multiLevelType w:val="hybridMultilevel"/>
    <w:tmpl w:val="7058493E"/>
    <w:lvl w:ilvl="0" w:tplc="5AD4F436">
      <w:start w:val="1"/>
      <w:numFmt w:val="decimal"/>
      <w:lvlText w:val="%1"/>
      <w:lvlJc w:val="left"/>
      <w:pPr>
        <w:ind w:left="1148" w:hanging="139"/>
        <w:jc w:val="right"/>
      </w:pPr>
      <w:rPr>
        <w:rFonts w:ascii="Cambria" w:eastAsia="Cambria" w:hAnsi="Cambria" w:cs="Cambria" w:hint="default"/>
        <w:color w:val="231F20"/>
        <w:w w:val="104"/>
        <w:sz w:val="16"/>
        <w:szCs w:val="16"/>
      </w:rPr>
    </w:lvl>
    <w:lvl w:ilvl="1" w:tplc="5FB2A58C">
      <w:numFmt w:val="bullet"/>
      <w:lvlText w:val="•"/>
      <w:lvlJc w:val="left"/>
      <w:pPr>
        <w:ind w:left="1890" w:hanging="139"/>
      </w:pPr>
      <w:rPr>
        <w:rFonts w:hint="default"/>
      </w:rPr>
    </w:lvl>
    <w:lvl w:ilvl="2" w:tplc="7F50C83C">
      <w:numFmt w:val="bullet"/>
      <w:lvlText w:val="•"/>
      <w:lvlJc w:val="left"/>
      <w:pPr>
        <w:ind w:left="2640" w:hanging="139"/>
      </w:pPr>
      <w:rPr>
        <w:rFonts w:hint="default"/>
      </w:rPr>
    </w:lvl>
    <w:lvl w:ilvl="3" w:tplc="626E9ED2">
      <w:numFmt w:val="bullet"/>
      <w:lvlText w:val="•"/>
      <w:lvlJc w:val="left"/>
      <w:pPr>
        <w:ind w:left="3390" w:hanging="139"/>
      </w:pPr>
      <w:rPr>
        <w:rFonts w:hint="default"/>
      </w:rPr>
    </w:lvl>
    <w:lvl w:ilvl="4" w:tplc="86724C44">
      <w:numFmt w:val="bullet"/>
      <w:lvlText w:val="•"/>
      <w:lvlJc w:val="left"/>
      <w:pPr>
        <w:ind w:left="4140" w:hanging="139"/>
      </w:pPr>
      <w:rPr>
        <w:rFonts w:hint="default"/>
      </w:rPr>
    </w:lvl>
    <w:lvl w:ilvl="5" w:tplc="54F012EE">
      <w:numFmt w:val="bullet"/>
      <w:lvlText w:val="•"/>
      <w:lvlJc w:val="left"/>
      <w:pPr>
        <w:ind w:left="4890" w:hanging="139"/>
      </w:pPr>
      <w:rPr>
        <w:rFonts w:hint="default"/>
      </w:rPr>
    </w:lvl>
    <w:lvl w:ilvl="6" w:tplc="AFCCD354">
      <w:numFmt w:val="bullet"/>
      <w:lvlText w:val="•"/>
      <w:lvlJc w:val="left"/>
      <w:pPr>
        <w:ind w:left="5640" w:hanging="139"/>
      </w:pPr>
      <w:rPr>
        <w:rFonts w:hint="default"/>
      </w:rPr>
    </w:lvl>
    <w:lvl w:ilvl="7" w:tplc="FB08EF5A">
      <w:numFmt w:val="bullet"/>
      <w:lvlText w:val="•"/>
      <w:lvlJc w:val="left"/>
      <w:pPr>
        <w:ind w:left="6390" w:hanging="139"/>
      </w:pPr>
      <w:rPr>
        <w:rFonts w:hint="default"/>
      </w:rPr>
    </w:lvl>
    <w:lvl w:ilvl="8" w:tplc="ED100E18">
      <w:numFmt w:val="bullet"/>
      <w:lvlText w:val="•"/>
      <w:lvlJc w:val="left"/>
      <w:pPr>
        <w:ind w:left="7140" w:hanging="139"/>
      </w:pPr>
      <w:rPr>
        <w:rFonts w:hint="default"/>
      </w:rPr>
    </w:lvl>
  </w:abstractNum>
  <w:abstractNum w:abstractNumId="23" w15:restartNumberingAfterBreak="0">
    <w:nsid w:val="0D797A45"/>
    <w:multiLevelType w:val="hybridMultilevel"/>
    <w:tmpl w:val="FABE18B6"/>
    <w:lvl w:ilvl="0" w:tplc="7A6ABAEC">
      <w:start w:val="1"/>
      <w:numFmt w:val="decimal"/>
      <w:lvlText w:val="%1"/>
      <w:lvlJc w:val="left"/>
      <w:pPr>
        <w:ind w:left="1147" w:hanging="139"/>
        <w:jc w:val="right"/>
      </w:pPr>
      <w:rPr>
        <w:rFonts w:ascii="Cambria" w:eastAsia="Cambria" w:hAnsi="Cambria" w:cs="Cambria" w:hint="default"/>
        <w:color w:val="231F20"/>
        <w:w w:val="104"/>
        <w:sz w:val="16"/>
        <w:szCs w:val="16"/>
      </w:rPr>
    </w:lvl>
    <w:lvl w:ilvl="1" w:tplc="5E788FD8">
      <w:numFmt w:val="bullet"/>
      <w:lvlText w:val="•"/>
      <w:lvlJc w:val="left"/>
      <w:pPr>
        <w:ind w:left="1890" w:hanging="139"/>
      </w:pPr>
      <w:rPr>
        <w:rFonts w:hint="default"/>
      </w:rPr>
    </w:lvl>
    <w:lvl w:ilvl="2" w:tplc="EFDEE084">
      <w:numFmt w:val="bullet"/>
      <w:lvlText w:val="•"/>
      <w:lvlJc w:val="left"/>
      <w:pPr>
        <w:ind w:left="2640" w:hanging="139"/>
      </w:pPr>
      <w:rPr>
        <w:rFonts w:hint="default"/>
      </w:rPr>
    </w:lvl>
    <w:lvl w:ilvl="3" w:tplc="E620E65E">
      <w:numFmt w:val="bullet"/>
      <w:lvlText w:val="•"/>
      <w:lvlJc w:val="left"/>
      <w:pPr>
        <w:ind w:left="3390" w:hanging="139"/>
      </w:pPr>
      <w:rPr>
        <w:rFonts w:hint="default"/>
      </w:rPr>
    </w:lvl>
    <w:lvl w:ilvl="4" w:tplc="273EFF7A">
      <w:numFmt w:val="bullet"/>
      <w:lvlText w:val="•"/>
      <w:lvlJc w:val="left"/>
      <w:pPr>
        <w:ind w:left="4140" w:hanging="139"/>
      </w:pPr>
      <w:rPr>
        <w:rFonts w:hint="default"/>
      </w:rPr>
    </w:lvl>
    <w:lvl w:ilvl="5" w:tplc="716E1B86">
      <w:numFmt w:val="bullet"/>
      <w:lvlText w:val="•"/>
      <w:lvlJc w:val="left"/>
      <w:pPr>
        <w:ind w:left="4890" w:hanging="139"/>
      </w:pPr>
      <w:rPr>
        <w:rFonts w:hint="default"/>
      </w:rPr>
    </w:lvl>
    <w:lvl w:ilvl="6" w:tplc="5294886E">
      <w:numFmt w:val="bullet"/>
      <w:lvlText w:val="•"/>
      <w:lvlJc w:val="left"/>
      <w:pPr>
        <w:ind w:left="5640" w:hanging="139"/>
      </w:pPr>
      <w:rPr>
        <w:rFonts w:hint="default"/>
      </w:rPr>
    </w:lvl>
    <w:lvl w:ilvl="7" w:tplc="773EE434">
      <w:numFmt w:val="bullet"/>
      <w:lvlText w:val="•"/>
      <w:lvlJc w:val="left"/>
      <w:pPr>
        <w:ind w:left="6390" w:hanging="139"/>
      </w:pPr>
      <w:rPr>
        <w:rFonts w:hint="default"/>
      </w:rPr>
    </w:lvl>
    <w:lvl w:ilvl="8" w:tplc="2B98B6C8">
      <w:numFmt w:val="bullet"/>
      <w:lvlText w:val="•"/>
      <w:lvlJc w:val="left"/>
      <w:pPr>
        <w:ind w:left="7140" w:hanging="139"/>
      </w:pPr>
      <w:rPr>
        <w:rFonts w:hint="default"/>
      </w:rPr>
    </w:lvl>
  </w:abstractNum>
  <w:abstractNum w:abstractNumId="24" w15:restartNumberingAfterBreak="0">
    <w:nsid w:val="10A82ED5"/>
    <w:multiLevelType w:val="hybridMultilevel"/>
    <w:tmpl w:val="A7BAF930"/>
    <w:lvl w:ilvl="0" w:tplc="56F0C24C">
      <w:start w:val="1"/>
      <w:numFmt w:val="decimal"/>
      <w:lvlText w:val="%1."/>
      <w:lvlJc w:val="left"/>
      <w:pPr>
        <w:ind w:left="1943" w:hanging="361"/>
        <w:jc w:val="right"/>
      </w:pPr>
      <w:rPr>
        <w:rFonts w:ascii="Cambria" w:eastAsia="Cambria" w:hAnsi="Cambria" w:cs="Cambria" w:hint="default"/>
        <w:color w:val="231F20"/>
        <w:spacing w:val="-5"/>
        <w:w w:val="100"/>
        <w:sz w:val="20"/>
        <w:szCs w:val="20"/>
      </w:rPr>
    </w:lvl>
    <w:lvl w:ilvl="1" w:tplc="98FA2E32">
      <w:numFmt w:val="bullet"/>
      <w:lvlText w:val="•"/>
      <w:lvlJc w:val="left"/>
      <w:pPr>
        <w:ind w:left="2067" w:hanging="240"/>
      </w:pPr>
      <w:rPr>
        <w:rFonts w:ascii="Cambria" w:eastAsia="Cambria" w:hAnsi="Cambria" w:cs="Cambria" w:hint="default"/>
        <w:color w:val="231F20"/>
        <w:w w:val="112"/>
        <w:sz w:val="20"/>
        <w:szCs w:val="20"/>
      </w:rPr>
    </w:lvl>
    <w:lvl w:ilvl="2" w:tplc="82269254">
      <w:numFmt w:val="bullet"/>
      <w:lvlText w:val="•"/>
      <w:lvlJc w:val="left"/>
      <w:pPr>
        <w:ind w:left="2791" w:hanging="240"/>
      </w:pPr>
      <w:rPr>
        <w:rFonts w:hint="default"/>
      </w:rPr>
    </w:lvl>
    <w:lvl w:ilvl="3" w:tplc="17265CE0">
      <w:numFmt w:val="bullet"/>
      <w:lvlText w:val="•"/>
      <w:lvlJc w:val="left"/>
      <w:pPr>
        <w:ind w:left="3522" w:hanging="240"/>
      </w:pPr>
      <w:rPr>
        <w:rFonts w:hint="default"/>
      </w:rPr>
    </w:lvl>
    <w:lvl w:ilvl="4" w:tplc="8E2CCCBC">
      <w:numFmt w:val="bullet"/>
      <w:lvlText w:val="•"/>
      <w:lvlJc w:val="left"/>
      <w:pPr>
        <w:ind w:left="4253" w:hanging="240"/>
      </w:pPr>
      <w:rPr>
        <w:rFonts w:hint="default"/>
      </w:rPr>
    </w:lvl>
    <w:lvl w:ilvl="5" w:tplc="BC14E2A4">
      <w:numFmt w:val="bullet"/>
      <w:lvlText w:val="•"/>
      <w:lvlJc w:val="left"/>
      <w:pPr>
        <w:ind w:left="4984" w:hanging="240"/>
      </w:pPr>
      <w:rPr>
        <w:rFonts w:hint="default"/>
      </w:rPr>
    </w:lvl>
    <w:lvl w:ilvl="6" w:tplc="3580EAFC">
      <w:numFmt w:val="bullet"/>
      <w:lvlText w:val="•"/>
      <w:lvlJc w:val="left"/>
      <w:pPr>
        <w:ind w:left="5715" w:hanging="240"/>
      </w:pPr>
      <w:rPr>
        <w:rFonts w:hint="default"/>
      </w:rPr>
    </w:lvl>
    <w:lvl w:ilvl="7" w:tplc="87EE300C">
      <w:numFmt w:val="bullet"/>
      <w:lvlText w:val="•"/>
      <w:lvlJc w:val="left"/>
      <w:pPr>
        <w:ind w:left="6446" w:hanging="240"/>
      </w:pPr>
      <w:rPr>
        <w:rFonts w:hint="default"/>
      </w:rPr>
    </w:lvl>
    <w:lvl w:ilvl="8" w:tplc="AA26E622">
      <w:numFmt w:val="bullet"/>
      <w:lvlText w:val="•"/>
      <w:lvlJc w:val="left"/>
      <w:pPr>
        <w:ind w:left="7177" w:hanging="240"/>
      </w:pPr>
      <w:rPr>
        <w:rFonts w:hint="default"/>
      </w:rPr>
    </w:lvl>
  </w:abstractNum>
  <w:abstractNum w:abstractNumId="25" w15:restartNumberingAfterBreak="0">
    <w:nsid w:val="132D64C9"/>
    <w:multiLevelType w:val="hybridMultilevel"/>
    <w:tmpl w:val="7D0C9E34"/>
    <w:lvl w:ilvl="0" w:tplc="C5000336">
      <w:start w:val="1"/>
      <w:numFmt w:val="decimal"/>
      <w:lvlText w:val="%1."/>
      <w:lvlJc w:val="left"/>
      <w:pPr>
        <w:ind w:left="1650" w:hanging="323"/>
        <w:jc w:val="right"/>
      </w:pPr>
      <w:rPr>
        <w:rFonts w:ascii="Cambria" w:eastAsia="Cambria" w:hAnsi="Cambria" w:cs="Cambria" w:hint="default"/>
        <w:color w:val="231F20"/>
        <w:spacing w:val="0"/>
        <w:w w:val="100"/>
        <w:sz w:val="22"/>
        <w:szCs w:val="22"/>
      </w:rPr>
    </w:lvl>
    <w:lvl w:ilvl="1" w:tplc="6D141A74">
      <w:numFmt w:val="bullet"/>
      <w:lvlText w:val="•"/>
      <w:lvlJc w:val="left"/>
      <w:pPr>
        <w:ind w:left="1740" w:hanging="323"/>
      </w:pPr>
      <w:rPr>
        <w:rFonts w:hint="default"/>
      </w:rPr>
    </w:lvl>
    <w:lvl w:ilvl="2" w:tplc="3738ACA4">
      <w:numFmt w:val="bullet"/>
      <w:lvlText w:val="•"/>
      <w:lvlJc w:val="left"/>
      <w:pPr>
        <w:ind w:left="2506" w:hanging="323"/>
      </w:pPr>
      <w:rPr>
        <w:rFonts w:hint="default"/>
      </w:rPr>
    </w:lvl>
    <w:lvl w:ilvl="3" w:tplc="C518D426">
      <w:numFmt w:val="bullet"/>
      <w:lvlText w:val="•"/>
      <w:lvlJc w:val="left"/>
      <w:pPr>
        <w:ind w:left="3273" w:hanging="323"/>
      </w:pPr>
      <w:rPr>
        <w:rFonts w:hint="default"/>
      </w:rPr>
    </w:lvl>
    <w:lvl w:ilvl="4" w:tplc="67ACA1C4">
      <w:numFmt w:val="bullet"/>
      <w:lvlText w:val="•"/>
      <w:lvlJc w:val="left"/>
      <w:pPr>
        <w:ind w:left="4040" w:hanging="323"/>
      </w:pPr>
      <w:rPr>
        <w:rFonts w:hint="default"/>
      </w:rPr>
    </w:lvl>
    <w:lvl w:ilvl="5" w:tplc="48DED47A">
      <w:numFmt w:val="bullet"/>
      <w:lvlText w:val="•"/>
      <w:lvlJc w:val="left"/>
      <w:pPr>
        <w:ind w:left="4806" w:hanging="323"/>
      </w:pPr>
      <w:rPr>
        <w:rFonts w:hint="default"/>
      </w:rPr>
    </w:lvl>
    <w:lvl w:ilvl="6" w:tplc="F6DC01A6">
      <w:numFmt w:val="bullet"/>
      <w:lvlText w:val="•"/>
      <w:lvlJc w:val="left"/>
      <w:pPr>
        <w:ind w:left="5573" w:hanging="323"/>
      </w:pPr>
      <w:rPr>
        <w:rFonts w:hint="default"/>
      </w:rPr>
    </w:lvl>
    <w:lvl w:ilvl="7" w:tplc="B532B274">
      <w:numFmt w:val="bullet"/>
      <w:lvlText w:val="•"/>
      <w:lvlJc w:val="left"/>
      <w:pPr>
        <w:ind w:left="6340" w:hanging="323"/>
      </w:pPr>
      <w:rPr>
        <w:rFonts w:hint="default"/>
      </w:rPr>
    </w:lvl>
    <w:lvl w:ilvl="8" w:tplc="AC167D26">
      <w:numFmt w:val="bullet"/>
      <w:lvlText w:val="•"/>
      <w:lvlJc w:val="left"/>
      <w:pPr>
        <w:ind w:left="7106" w:hanging="323"/>
      </w:pPr>
      <w:rPr>
        <w:rFonts w:hint="default"/>
      </w:rPr>
    </w:lvl>
  </w:abstractNum>
  <w:abstractNum w:abstractNumId="26" w15:restartNumberingAfterBreak="0">
    <w:nsid w:val="134F75F9"/>
    <w:multiLevelType w:val="hybridMultilevel"/>
    <w:tmpl w:val="3B7ED1CA"/>
    <w:lvl w:ilvl="0" w:tplc="BF4A2A0A">
      <w:start w:val="1"/>
      <w:numFmt w:val="decimal"/>
      <w:lvlText w:val="%1"/>
      <w:lvlJc w:val="left"/>
      <w:pPr>
        <w:ind w:left="1147" w:hanging="139"/>
        <w:jc w:val="right"/>
      </w:pPr>
      <w:rPr>
        <w:rFonts w:ascii="Cambria" w:eastAsia="Cambria" w:hAnsi="Cambria" w:cs="Cambria" w:hint="default"/>
        <w:color w:val="231F20"/>
        <w:w w:val="104"/>
        <w:sz w:val="16"/>
        <w:szCs w:val="16"/>
      </w:rPr>
    </w:lvl>
    <w:lvl w:ilvl="1" w:tplc="1AE2C732">
      <w:numFmt w:val="bullet"/>
      <w:lvlText w:val="•"/>
      <w:lvlJc w:val="left"/>
      <w:pPr>
        <w:ind w:left="1890" w:hanging="139"/>
      </w:pPr>
      <w:rPr>
        <w:rFonts w:hint="default"/>
      </w:rPr>
    </w:lvl>
    <w:lvl w:ilvl="2" w:tplc="8744BE64">
      <w:numFmt w:val="bullet"/>
      <w:lvlText w:val="•"/>
      <w:lvlJc w:val="left"/>
      <w:pPr>
        <w:ind w:left="2640" w:hanging="139"/>
      </w:pPr>
      <w:rPr>
        <w:rFonts w:hint="default"/>
      </w:rPr>
    </w:lvl>
    <w:lvl w:ilvl="3" w:tplc="A2F2A362">
      <w:numFmt w:val="bullet"/>
      <w:lvlText w:val="•"/>
      <w:lvlJc w:val="left"/>
      <w:pPr>
        <w:ind w:left="3390" w:hanging="139"/>
      </w:pPr>
      <w:rPr>
        <w:rFonts w:hint="default"/>
      </w:rPr>
    </w:lvl>
    <w:lvl w:ilvl="4" w:tplc="680E664E">
      <w:numFmt w:val="bullet"/>
      <w:lvlText w:val="•"/>
      <w:lvlJc w:val="left"/>
      <w:pPr>
        <w:ind w:left="4140" w:hanging="139"/>
      </w:pPr>
      <w:rPr>
        <w:rFonts w:hint="default"/>
      </w:rPr>
    </w:lvl>
    <w:lvl w:ilvl="5" w:tplc="2CB0B402">
      <w:numFmt w:val="bullet"/>
      <w:lvlText w:val="•"/>
      <w:lvlJc w:val="left"/>
      <w:pPr>
        <w:ind w:left="4890" w:hanging="139"/>
      </w:pPr>
      <w:rPr>
        <w:rFonts w:hint="default"/>
      </w:rPr>
    </w:lvl>
    <w:lvl w:ilvl="6" w:tplc="5E4C2342">
      <w:numFmt w:val="bullet"/>
      <w:lvlText w:val="•"/>
      <w:lvlJc w:val="left"/>
      <w:pPr>
        <w:ind w:left="5640" w:hanging="139"/>
      </w:pPr>
      <w:rPr>
        <w:rFonts w:hint="default"/>
      </w:rPr>
    </w:lvl>
    <w:lvl w:ilvl="7" w:tplc="23C82880">
      <w:numFmt w:val="bullet"/>
      <w:lvlText w:val="•"/>
      <w:lvlJc w:val="left"/>
      <w:pPr>
        <w:ind w:left="6390" w:hanging="139"/>
      </w:pPr>
      <w:rPr>
        <w:rFonts w:hint="default"/>
      </w:rPr>
    </w:lvl>
    <w:lvl w:ilvl="8" w:tplc="40FC892A">
      <w:numFmt w:val="bullet"/>
      <w:lvlText w:val="•"/>
      <w:lvlJc w:val="left"/>
      <w:pPr>
        <w:ind w:left="7140" w:hanging="139"/>
      </w:pPr>
      <w:rPr>
        <w:rFonts w:hint="default"/>
      </w:rPr>
    </w:lvl>
  </w:abstractNum>
  <w:abstractNum w:abstractNumId="27" w15:restartNumberingAfterBreak="0">
    <w:nsid w:val="14D14258"/>
    <w:multiLevelType w:val="hybridMultilevel"/>
    <w:tmpl w:val="D2047708"/>
    <w:lvl w:ilvl="0" w:tplc="CD72094E">
      <w:start w:val="1"/>
      <w:numFmt w:val="decimal"/>
      <w:lvlText w:val="%1"/>
      <w:lvlJc w:val="left"/>
      <w:pPr>
        <w:ind w:left="1147" w:hanging="139"/>
        <w:jc w:val="right"/>
      </w:pPr>
      <w:rPr>
        <w:rFonts w:ascii="Cambria" w:eastAsia="Cambria" w:hAnsi="Cambria" w:cs="Cambria" w:hint="default"/>
        <w:color w:val="231F20"/>
        <w:w w:val="104"/>
        <w:sz w:val="16"/>
        <w:szCs w:val="16"/>
      </w:rPr>
    </w:lvl>
    <w:lvl w:ilvl="1" w:tplc="65D61854">
      <w:numFmt w:val="bullet"/>
      <w:lvlText w:val="•"/>
      <w:lvlJc w:val="left"/>
      <w:pPr>
        <w:ind w:left="1890" w:hanging="139"/>
      </w:pPr>
      <w:rPr>
        <w:rFonts w:hint="default"/>
      </w:rPr>
    </w:lvl>
    <w:lvl w:ilvl="2" w:tplc="95148E78">
      <w:numFmt w:val="bullet"/>
      <w:lvlText w:val="•"/>
      <w:lvlJc w:val="left"/>
      <w:pPr>
        <w:ind w:left="2640" w:hanging="139"/>
      </w:pPr>
      <w:rPr>
        <w:rFonts w:hint="default"/>
      </w:rPr>
    </w:lvl>
    <w:lvl w:ilvl="3" w:tplc="3EE2C51A">
      <w:numFmt w:val="bullet"/>
      <w:lvlText w:val="•"/>
      <w:lvlJc w:val="left"/>
      <w:pPr>
        <w:ind w:left="3390" w:hanging="139"/>
      </w:pPr>
      <w:rPr>
        <w:rFonts w:hint="default"/>
      </w:rPr>
    </w:lvl>
    <w:lvl w:ilvl="4" w:tplc="1EB8CA1C">
      <w:numFmt w:val="bullet"/>
      <w:lvlText w:val="•"/>
      <w:lvlJc w:val="left"/>
      <w:pPr>
        <w:ind w:left="4140" w:hanging="139"/>
      </w:pPr>
      <w:rPr>
        <w:rFonts w:hint="default"/>
      </w:rPr>
    </w:lvl>
    <w:lvl w:ilvl="5" w:tplc="4B3E06A8">
      <w:numFmt w:val="bullet"/>
      <w:lvlText w:val="•"/>
      <w:lvlJc w:val="left"/>
      <w:pPr>
        <w:ind w:left="4890" w:hanging="139"/>
      </w:pPr>
      <w:rPr>
        <w:rFonts w:hint="default"/>
      </w:rPr>
    </w:lvl>
    <w:lvl w:ilvl="6" w:tplc="B086A6BC">
      <w:numFmt w:val="bullet"/>
      <w:lvlText w:val="•"/>
      <w:lvlJc w:val="left"/>
      <w:pPr>
        <w:ind w:left="5640" w:hanging="139"/>
      </w:pPr>
      <w:rPr>
        <w:rFonts w:hint="default"/>
      </w:rPr>
    </w:lvl>
    <w:lvl w:ilvl="7" w:tplc="FDE4A2A0">
      <w:numFmt w:val="bullet"/>
      <w:lvlText w:val="•"/>
      <w:lvlJc w:val="left"/>
      <w:pPr>
        <w:ind w:left="6390" w:hanging="139"/>
      </w:pPr>
      <w:rPr>
        <w:rFonts w:hint="default"/>
      </w:rPr>
    </w:lvl>
    <w:lvl w:ilvl="8" w:tplc="4176D040">
      <w:numFmt w:val="bullet"/>
      <w:lvlText w:val="•"/>
      <w:lvlJc w:val="left"/>
      <w:pPr>
        <w:ind w:left="7140" w:hanging="139"/>
      </w:pPr>
      <w:rPr>
        <w:rFonts w:hint="default"/>
      </w:rPr>
    </w:lvl>
  </w:abstractNum>
  <w:abstractNum w:abstractNumId="28" w15:restartNumberingAfterBreak="0">
    <w:nsid w:val="1500531A"/>
    <w:multiLevelType w:val="hybridMultilevel"/>
    <w:tmpl w:val="8EA6090A"/>
    <w:lvl w:ilvl="0" w:tplc="170EE1BE">
      <w:start w:val="3"/>
      <w:numFmt w:val="decimal"/>
      <w:lvlText w:val="%1"/>
      <w:lvlJc w:val="left"/>
      <w:pPr>
        <w:ind w:left="1327" w:hanging="139"/>
        <w:jc w:val="right"/>
      </w:pPr>
      <w:rPr>
        <w:rFonts w:ascii="Cambria" w:eastAsia="Cambria" w:hAnsi="Cambria" w:cs="Cambria" w:hint="default"/>
        <w:color w:val="231F20"/>
        <w:w w:val="104"/>
        <w:sz w:val="16"/>
        <w:szCs w:val="16"/>
      </w:rPr>
    </w:lvl>
    <w:lvl w:ilvl="1" w:tplc="E92AB5FC">
      <w:numFmt w:val="bullet"/>
      <w:lvlText w:val="•"/>
      <w:lvlJc w:val="left"/>
      <w:pPr>
        <w:ind w:left="2052" w:hanging="139"/>
      </w:pPr>
      <w:rPr>
        <w:rFonts w:hint="default"/>
      </w:rPr>
    </w:lvl>
    <w:lvl w:ilvl="2" w:tplc="33A472B2">
      <w:numFmt w:val="bullet"/>
      <w:lvlText w:val="•"/>
      <w:lvlJc w:val="left"/>
      <w:pPr>
        <w:ind w:left="2784" w:hanging="139"/>
      </w:pPr>
      <w:rPr>
        <w:rFonts w:hint="default"/>
      </w:rPr>
    </w:lvl>
    <w:lvl w:ilvl="3" w:tplc="A1C6B2CA">
      <w:numFmt w:val="bullet"/>
      <w:lvlText w:val="•"/>
      <w:lvlJc w:val="left"/>
      <w:pPr>
        <w:ind w:left="3516" w:hanging="139"/>
      </w:pPr>
      <w:rPr>
        <w:rFonts w:hint="default"/>
      </w:rPr>
    </w:lvl>
    <w:lvl w:ilvl="4" w:tplc="A5DEDB4A">
      <w:numFmt w:val="bullet"/>
      <w:lvlText w:val="•"/>
      <w:lvlJc w:val="left"/>
      <w:pPr>
        <w:ind w:left="4248" w:hanging="139"/>
      </w:pPr>
      <w:rPr>
        <w:rFonts w:hint="default"/>
      </w:rPr>
    </w:lvl>
    <w:lvl w:ilvl="5" w:tplc="2E4697AE">
      <w:numFmt w:val="bullet"/>
      <w:lvlText w:val="•"/>
      <w:lvlJc w:val="left"/>
      <w:pPr>
        <w:ind w:left="4980" w:hanging="139"/>
      </w:pPr>
      <w:rPr>
        <w:rFonts w:hint="default"/>
      </w:rPr>
    </w:lvl>
    <w:lvl w:ilvl="6" w:tplc="576E7414">
      <w:numFmt w:val="bullet"/>
      <w:lvlText w:val="•"/>
      <w:lvlJc w:val="left"/>
      <w:pPr>
        <w:ind w:left="5712" w:hanging="139"/>
      </w:pPr>
      <w:rPr>
        <w:rFonts w:hint="default"/>
      </w:rPr>
    </w:lvl>
    <w:lvl w:ilvl="7" w:tplc="8CFADBDC">
      <w:numFmt w:val="bullet"/>
      <w:lvlText w:val="•"/>
      <w:lvlJc w:val="left"/>
      <w:pPr>
        <w:ind w:left="6444" w:hanging="139"/>
      </w:pPr>
      <w:rPr>
        <w:rFonts w:hint="default"/>
      </w:rPr>
    </w:lvl>
    <w:lvl w:ilvl="8" w:tplc="3F365874">
      <w:numFmt w:val="bullet"/>
      <w:lvlText w:val="•"/>
      <w:lvlJc w:val="left"/>
      <w:pPr>
        <w:ind w:left="7176" w:hanging="139"/>
      </w:pPr>
      <w:rPr>
        <w:rFonts w:hint="default"/>
      </w:rPr>
    </w:lvl>
  </w:abstractNum>
  <w:abstractNum w:abstractNumId="29" w15:restartNumberingAfterBreak="0">
    <w:nsid w:val="15296A88"/>
    <w:multiLevelType w:val="hybridMultilevel"/>
    <w:tmpl w:val="5B1A661E"/>
    <w:lvl w:ilvl="0" w:tplc="F6A49026">
      <w:start w:val="3"/>
      <w:numFmt w:val="decimal"/>
      <w:lvlText w:val="%1"/>
      <w:lvlJc w:val="left"/>
      <w:pPr>
        <w:ind w:left="1327" w:hanging="139"/>
      </w:pPr>
      <w:rPr>
        <w:rFonts w:ascii="Cambria" w:eastAsia="Cambria" w:hAnsi="Cambria" w:cs="Cambria" w:hint="default"/>
        <w:color w:val="231F20"/>
        <w:w w:val="104"/>
        <w:sz w:val="16"/>
        <w:szCs w:val="16"/>
      </w:rPr>
    </w:lvl>
    <w:lvl w:ilvl="1" w:tplc="92B6CE00">
      <w:numFmt w:val="bullet"/>
      <w:lvlText w:val="•"/>
      <w:lvlJc w:val="left"/>
      <w:pPr>
        <w:ind w:left="2052" w:hanging="139"/>
      </w:pPr>
      <w:rPr>
        <w:rFonts w:hint="default"/>
      </w:rPr>
    </w:lvl>
    <w:lvl w:ilvl="2" w:tplc="6C56ABE0">
      <w:numFmt w:val="bullet"/>
      <w:lvlText w:val="•"/>
      <w:lvlJc w:val="left"/>
      <w:pPr>
        <w:ind w:left="2784" w:hanging="139"/>
      </w:pPr>
      <w:rPr>
        <w:rFonts w:hint="default"/>
      </w:rPr>
    </w:lvl>
    <w:lvl w:ilvl="3" w:tplc="3B5211CE">
      <w:numFmt w:val="bullet"/>
      <w:lvlText w:val="•"/>
      <w:lvlJc w:val="left"/>
      <w:pPr>
        <w:ind w:left="3516" w:hanging="139"/>
      </w:pPr>
      <w:rPr>
        <w:rFonts w:hint="default"/>
      </w:rPr>
    </w:lvl>
    <w:lvl w:ilvl="4" w:tplc="69B24A88">
      <w:numFmt w:val="bullet"/>
      <w:lvlText w:val="•"/>
      <w:lvlJc w:val="left"/>
      <w:pPr>
        <w:ind w:left="4248" w:hanging="139"/>
      </w:pPr>
      <w:rPr>
        <w:rFonts w:hint="default"/>
      </w:rPr>
    </w:lvl>
    <w:lvl w:ilvl="5" w:tplc="DAFC9A0A">
      <w:numFmt w:val="bullet"/>
      <w:lvlText w:val="•"/>
      <w:lvlJc w:val="left"/>
      <w:pPr>
        <w:ind w:left="4980" w:hanging="139"/>
      </w:pPr>
      <w:rPr>
        <w:rFonts w:hint="default"/>
      </w:rPr>
    </w:lvl>
    <w:lvl w:ilvl="6" w:tplc="120E286C">
      <w:numFmt w:val="bullet"/>
      <w:lvlText w:val="•"/>
      <w:lvlJc w:val="left"/>
      <w:pPr>
        <w:ind w:left="5712" w:hanging="139"/>
      </w:pPr>
      <w:rPr>
        <w:rFonts w:hint="default"/>
      </w:rPr>
    </w:lvl>
    <w:lvl w:ilvl="7" w:tplc="27A68508">
      <w:numFmt w:val="bullet"/>
      <w:lvlText w:val="•"/>
      <w:lvlJc w:val="left"/>
      <w:pPr>
        <w:ind w:left="6444" w:hanging="139"/>
      </w:pPr>
      <w:rPr>
        <w:rFonts w:hint="default"/>
      </w:rPr>
    </w:lvl>
    <w:lvl w:ilvl="8" w:tplc="07AE22F4">
      <w:numFmt w:val="bullet"/>
      <w:lvlText w:val="•"/>
      <w:lvlJc w:val="left"/>
      <w:pPr>
        <w:ind w:left="7176" w:hanging="139"/>
      </w:pPr>
      <w:rPr>
        <w:rFonts w:hint="default"/>
      </w:rPr>
    </w:lvl>
  </w:abstractNum>
  <w:abstractNum w:abstractNumId="30" w15:restartNumberingAfterBreak="0">
    <w:nsid w:val="168E08D9"/>
    <w:multiLevelType w:val="hybridMultilevel"/>
    <w:tmpl w:val="41F24424"/>
    <w:lvl w:ilvl="0" w:tplc="8168130E">
      <w:start w:val="1"/>
      <w:numFmt w:val="decimal"/>
      <w:lvlText w:val="%1"/>
      <w:lvlJc w:val="left"/>
      <w:pPr>
        <w:ind w:left="1147" w:hanging="139"/>
        <w:jc w:val="right"/>
      </w:pPr>
      <w:rPr>
        <w:rFonts w:ascii="Cambria" w:eastAsia="Cambria" w:hAnsi="Cambria" w:cs="Cambria" w:hint="default"/>
        <w:color w:val="231F20"/>
        <w:w w:val="104"/>
        <w:sz w:val="16"/>
        <w:szCs w:val="16"/>
      </w:rPr>
    </w:lvl>
    <w:lvl w:ilvl="1" w:tplc="6A025EA4">
      <w:numFmt w:val="bullet"/>
      <w:lvlText w:val="•"/>
      <w:lvlJc w:val="left"/>
      <w:pPr>
        <w:ind w:left="1460" w:hanging="139"/>
      </w:pPr>
      <w:rPr>
        <w:rFonts w:hint="default"/>
      </w:rPr>
    </w:lvl>
    <w:lvl w:ilvl="2" w:tplc="24A68106">
      <w:numFmt w:val="bullet"/>
      <w:lvlText w:val="•"/>
      <w:lvlJc w:val="left"/>
      <w:pPr>
        <w:ind w:left="1740" w:hanging="139"/>
      </w:pPr>
      <w:rPr>
        <w:rFonts w:hint="default"/>
      </w:rPr>
    </w:lvl>
    <w:lvl w:ilvl="3" w:tplc="35F8D21A">
      <w:numFmt w:val="bullet"/>
      <w:lvlText w:val="•"/>
      <w:lvlJc w:val="left"/>
      <w:pPr>
        <w:ind w:left="2602" w:hanging="139"/>
      </w:pPr>
      <w:rPr>
        <w:rFonts w:hint="default"/>
      </w:rPr>
    </w:lvl>
    <w:lvl w:ilvl="4" w:tplc="BA64224A">
      <w:numFmt w:val="bullet"/>
      <w:lvlText w:val="•"/>
      <w:lvlJc w:val="left"/>
      <w:pPr>
        <w:ind w:left="3465" w:hanging="139"/>
      </w:pPr>
      <w:rPr>
        <w:rFonts w:hint="default"/>
      </w:rPr>
    </w:lvl>
    <w:lvl w:ilvl="5" w:tplc="F8DA78E8">
      <w:numFmt w:val="bullet"/>
      <w:lvlText w:val="•"/>
      <w:lvlJc w:val="left"/>
      <w:pPr>
        <w:ind w:left="4327" w:hanging="139"/>
      </w:pPr>
      <w:rPr>
        <w:rFonts w:hint="default"/>
      </w:rPr>
    </w:lvl>
    <w:lvl w:ilvl="6" w:tplc="C53036E4">
      <w:numFmt w:val="bullet"/>
      <w:lvlText w:val="•"/>
      <w:lvlJc w:val="left"/>
      <w:pPr>
        <w:ind w:left="5190" w:hanging="139"/>
      </w:pPr>
      <w:rPr>
        <w:rFonts w:hint="default"/>
      </w:rPr>
    </w:lvl>
    <w:lvl w:ilvl="7" w:tplc="16EA80EA">
      <w:numFmt w:val="bullet"/>
      <w:lvlText w:val="•"/>
      <w:lvlJc w:val="left"/>
      <w:pPr>
        <w:ind w:left="6052" w:hanging="139"/>
      </w:pPr>
      <w:rPr>
        <w:rFonts w:hint="default"/>
      </w:rPr>
    </w:lvl>
    <w:lvl w:ilvl="8" w:tplc="37422606">
      <w:numFmt w:val="bullet"/>
      <w:lvlText w:val="•"/>
      <w:lvlJc w:val="left"/>
      <w:pPr>
        <w:ind w:left="6915" w:hanging="139"/>
      </w:pPr>
      <w:rPr>
        <w:rFonts w:hint="default"/>
      </w:rPr>
    </w:lvl>
  </w:abstractNum>
  <w:abstractNum w:abstractNumId="31" w15:restartNumberingAfterBreak="0">
    <w:nsid w:val="16945BE8"/>
    <w:multiLevelType w:val="hybridMultilevel"/>
    <w:tmpl w:val="5F18AA6C"/>
    <w:lvl w:ilvl="0" w:tplc="910A908A">
      <w:start w:val="1"/>
      <w:numFmt w:val="decimal"/>
      <w:lvlText w:val="%1"/>
      <w:lvlJc w:val="left"/>
      <w:pPr>
        <w:ind w:left="1147" w:hanging="139"/>
      </w:pPr>
      <w:rPr>
        <w:rFonts w:ascii="Cambria" w:eastAsia="Cambria" w:hAnsi="Cambria" w:cs="Cambria" w:hint="default"/>
        <w:color w:val="231F20"/>
        <w:w w:val="104"/>
        <w:sz w:val="16"/>
        <w:szCs w:val="16"/>
      </w:rPr>
    </w:lvl>
    <w:lvl w:ilvl="1" w:tplc="76A65304">
      <w:numFmt w:val="bullet"/>
      <w:lvlText w:val="•"/>
      <w:lvlJc w:val="left"/>
      <w:pPr>
        <w:ind w:left="1890" w:hanging="139"/>
      </w:pPr>
      <w:rPr>
        <w:rFonts w:hint="default"/>
      </w:rPr>
    </w:lvl>
    <w:lvl w:ilvl="2" w:tplc="20A0E27E">
      <w:numFmt w:val="bullet"/>
      <w:lvlText w:val="•"/>
      <w:lvlJc w:val="left"/>
      <w:pPr>
        <w:ind w:left="2640" w:hanging="139"/>
      </w:pPr>
      <w:rPr>
        <w:rFonts w:hint="default"/>
      </w:rPr>
    </w:lvl>
    <w:lvl w:ilvl="3" w:tplc="8F3ED450">
      <w:numFmt w:val="bullet"/>
      <w:lvlText w:val="•"/>
      <w:lvlJc w:val="left"/>
      <w:pPr>
        <w:ind w:left="3390" w:hanging="139"/>
      </w:pPr>
      <w:rPr>
        <w:rFonts w:hint="default"/>
      </w:rPr>
    </w:lvl>
    <w:lvl w:ilvl="4" w:tplc="9C46B94E">
      <w:numFmt w:val="bullet"/>
      <w:lvlText w:val="•"/>
      <w:lvlJc w:val="left"/>
      <w:pPr>
        <w:ind w:left="4140" w:hanging="139"/>
      </w:pPr>
      <w:rPr>
        <w:rFonts w:hint="default"/>
      </w:rPr>
    </w:lvl>
    <w:lvl w:ilvl="5" w:tplc="72A805CC">
      <w:numFmt w:val="bullet"/>
      <w:lvlText w:val="•"/>
      <w:lvlJc w:val="left"/>
      <w:pPr>
        <w:ind w:left="4890" w:hanging="139"/>
      </w:pPr>
      <w:rPr>
        <w:rFonts w:hint="default"/>
      </w:rPr>
    </w:lvl>
    <w:lvl w:ilvl="6" w:tplc="BBD6A54C">
      <w:numFmt w:val="bullet"/>
      <w:lvlText w:val="•"/>
      <w:lvlJc w:val="left"/>
      <w:pPr>
        <w:ind w:left="5640" w:hanging="139"/>
      </w:pPr>
      <w:rPr>
        <w:rFonts w:hint="default"/>
      </w:rPr>
    </w:lvl>
    <w:lvl w:ilvl="7" w:tplc="F57C2698">
      <w:numFmt w:val="bullet"/>
      <w:lvlText w:val="•"/>
      <w:lvlJc w:val="left"/>
      <w:pPr>
        <w:ind w:left="6390" w:hanging="139"/>
      </w:pPr>
      <w:rPr>
        <w:rFonts w:hint="default"/>
      </w:rPr>
    </w:lvl>
    <w:lvl w:ilvl="8" w:tplc="FD3211BA">
      <w:numFmt w:val="bullet"/>
      <w:lvlText w:val="•"/>
      <w:lvlJc w:val="left"/>
      <w:pPr>
        <w:ind w:left="7140" w:hanging="139"/>
      </w:pPr>
      <w:rPr>
        <w:rFonts w:hint="default"/>
      </w:rPr>
    </w:lvl>
  </w:abstractNum>
  <w:abstractNum w:abstractNumId="32" w15:restartNumberingAfterBreak="0">
    <w:nsid w:val="16BE1A55"/>
    <w:multiLevelType w:val="hybridMultilevel"/>
    <w:tmpl w:val="C3AC3606"/>
    <w:lvl w:ilvl="0" w:tplc="DB6C6D42">
      <w:start w:val="3"/>
      <w:numFmt w:val="decimal"/>
      <w:lvlText w:val="%1"/>
      <w:lvlJc w:val="left"/>
      <w:pPr>
        <w:ind w:left="1328" w:hanging="139"/>
      </w:pPr>
      <w:rPr>
        <w:rFonts w:ascii="Cambria" w:eastAsia="Cambria" w:hAnsi="Cambria" w:cs="Cambria" w:hint="default"/>
        <w:color w:val="231F20"/>
        <w:w w:val="104"/>
        <w:sz w:val="16"/>
        <w:szCs w:val="16"/>
      </w:rPr>
    </w:lvl>
    <w:lvl w:ilvl="1" w:tplc="071E7AD8">
      <w:numFmt w:val="bullet"/>
      <w:lvlText w:val="•"/>
      <w:lvlJc w:val="left"/>
      <w:pPr>
        <w:ind w:left="2052" w:hanging="139"/>
      </w:pPr>
      <w:rPr>
        <w:rFonts w:hint="default"/>
      </w:rPr>
    </w:lvl>
    <w:lvl w:ilvl="2" w:tplc="470A9D32">
      <w:numFmt w:val="bullet"/>
      <w:lvlText w:val="•"/>
      <w:lvlJc w:val="left"/>
      <w:pPr>
        <w:ind w:left="2784" w:hanging="139"/>
      </w:pPr>
      <w:rPr>
        <w:rFonts w:hint="default"/>
      </w:rPr>
    </w:lvl>
    <w:lvl w:ilvl="3" w:tplc="EDC67570">
      <w:numFmt w:val="bullet"/>
      <w:lvlText w:val="•"/>
      <w:lvlJc w:val="left"/>
      <w:pPr>
        <w:ind w:left="3516" w:hanging="139"/>
      </w:pPr>
      <w:rPr>
        <w:rFonts w:hint="default"/>
      </w:rPr>
    </w:lvl>
    <w:lvl w:ilvl="4" w:tplc="D856F90C">
      <w:numFmt w:val="bullet"/>
      <w:lvlText w:val="•"/>
      <w:lvlJc w:val="left"/>
      <w:pPr>
        <w:ind w:left="4248" w:hanging="139"/>
      </w:pPr>
      <w:rPr>
        <w:rFonts w:hint="default"/>
      </w:rPr>
    </w:lvl>
    <w:lvl w:ilvl="5" w:tplc="DEF296D0">
      <w:numFmt w:val="bullet"/>
      <w:lvlText w:val="•"/>
      <w:lvlJc w:val="left"/>
      <w:pPr>
        <w:ind w:left="4980" w:hanging="139"/>
      </w:pPr>
      <w:rPr>
        <w:rFonts w:hint="default"/>
      </w:rPr>
    </w:lvl>
    <w:lvl w:ilvl="6" w:tplc="4B94FEFA">
      <w:numFmt w:val="bullet"/>
      <w:lvlText w:val="•"/>
      <w:lvlJc w:val="left"/>
      <w:pPr>
        <w:ind w:left="5712" w:hanging="139"/>
      </w:pPr>
      <w:rPr>
        <w:rFonts w:hint="default"/>
      </w:rPr>
    </w:lvl>
    <w:lvl w:ilvl="7" w:tplc="5BD42846">
      <w:numFmt w:val="bullet"/>
      <w:lvlText w:val="•"/>
      <w:lvlJc w:val="left"/>
      <w:pPr>
        <w:ind w:left="6444" w:hanging="139"/>
      </w:pPr>
      <w:rPr>
        <w:rFonts w:hint="default"/>
      </w:rPr>
    </w:lvl>
    <w:lvl w:ilvl="8" w:tplc="89C0FB40">
      <w:numFmt w:val="bullet"/>
      <w:lvlText w:val="•"/>
      <w:lvlJc w:val="left"/>
      <w:pPr>
        <w:ind w:left="7176" w:hanging="139"/>
      </w:pPr>
      <w:rPr>
        <w:rFonts w:hint="default"/>
      </w:rPr>
    </w:lvl>
  </w:abstractNum>
  <w:abstractNum w:abstractNumId="33" w15:restartNumberingAfterBreak="0">
    <w:nsid w:val="175E1D48"/>
    <w:multiLevelType w:val="hybridMultilevel"/>
    <w:tmpl w:val="2168E832"/>
    <w:lvl w:ilvl="0" w:tplc="8D8A8AFA">
      <w:start w:val="1"/>
      <w:numFmt w:val="decimal"/>
      <w:lvlText w:val="%1"/>
      <w:lvlJc w:val="left"/>
      <w:pPr>
        <w:ind w:left="1327" w:hanging="139"/>
      </w:pPr>
      <w:rPr>
        <w:rFonts w:ascii="Cambria" w:eastAsia="Cambria" w:hAnsi="Cambria" w:cs="Cambria" w:hint="default"/>
        <w:color w:val="231F20"/>
        <w:w w:val="104"/>
        <w:sz w:val="16"/>
        <w:szCs w:val="16"/>
      </w:rPr>
    </w:lvl>
    <w:lvl w:ilvl="1" w:tplc="2FB23940">
      <w:numFmt w:val="bullet"/>
      <w:lvlText w:val="•"/>
      <w:lvlJc w:val="left"/>
      <w:pPr>
        <w:ind w:left="2052" w:hanging="139"/>
      </w:pPr>
      <w:rPr>
        <w:rFonts w:hint="default"/>
      </w:rPr>
    </w:lvl>
    <w:lvl w:ilvl="2" w:tplc="9A9262EE">
      <w:numFmt w:val="bullet"/>
      <w:lvlText w:val="•"/>
      <w:lvlJc w:val="left"/>
      <w:pPr>
        <w:ind w:left="2784" w:hanging="139"/>
      </w:pPr>
      <w:rPr>
        <w:rFonts w:hint="default"/>
      </w:rPr>
    </w:lvl>
    <w:lvl w:ilvl="3" w:tplc="BE427E1C">
      <w:numFmt w:val="bullet"/>
      <w:lvlText w:val="•"/>
      <w:lvlJc w:val="left"/>
      <w:pPr>
        <w:ind w:left="3516" w:hanging="139"/>
      </w:pPr>
      <w:rPr>
        <w:rFonts w:hint="default"/>
      </w:rPr>
    </w:lvl>
    <w:lvl w:ilvl="4" w:tplc="979CB7DC">
      <w:numFmt w:val="bullet"/>
      <w:lvlText w:val="•"/>
      <w:lvlJc w:val="left"/>
      <w:pPr>
        <w:ind w:left="4248" w:hanging="139"/>
      </w:pPr>
      <w:rPr>
        <w:rFonts w:hint="default"/>
      </w:rPr>
    </w:lvl>
    <w:lvl w:ilvl="5" w:tplc="E7A43EC8">
      <w:numFmt w:val="bullet"/>
      <w:lvlText w:val="•"/>
      <w:lvlJc w:val="left"/>
      <w:pPr>
        <w:ind w:left="4980" w:hanging="139"/>
      </w:pPr>
      <w:rPr>
        <w:rFonts w:hint="default"/>
      </w:rPr>
    </w:lvl>
    <w:lvl w:ilvl="6" w:tplc="F07E9C44">
      <w:numFmt w:val="bullet"/>
      <w:lvlText w:val="•"/>
      <w:lvlJc w:val="left"/>
      <w:pPr>
        <w:ind w:left="5712" w:hanging="139"/>
      </w:pPr>
      <w:rPr>
        <w:rFonts w:hint="default"/>
      </w:rPr>
    </w:lvl>
    <w:lvl w:ilvl="7" w:tplc="8632BD9A">
      <w:numFmt w:val="bullet"/>
      <w:lvlText w:val="•"/>
      <w:lvlJc w:val="left"/>
      <w:pPr>
        <w:ind w:left="6444" w:hanging="139"/>
      </w:pPr>
      <w:rPr>
        <w:rFonts w:hint="default"/>
      </w:rPr>
    </w:lvl>
    <w:lvl w:ilvl="8" w:tplc="47FE6EA2">
      <w:numFmt w:val="bullet"/>
      <w:lvlText w:val="•"/>
      <w:lvlJc w:val="left"/>
      <w:pPr>
        <w:ind w:left="7176" w:hanging="139"/>
      </w:pPr>
      <w:rPr>
        <w:rFonts w:hint="default"/>
      </w:rPr>
    </w:lvl>
  </w:abstractNum>
  <w:abstractNum w:abstractNumId="34" w15:restartNumberingAfterBreak="0">
    <w:nsid w:val="188A0B1D"/>
    <w:multiLevelType w:val="hybridMultilevel"/>
    <w:tmpl w:val="0F0A5DBC"/>
    <w:lvl w:ilvl="0" w:tplc="7340E84A">
      <w:start w:val="1"/>
      <w:numFmt w:val="decimal"/>
      <w:lvlText w:val="%1"/>
      <w:lvlJc w:val="left"/>
      <w:pPr>
        <w:ind w:left="1327" w:hanging="139"/>
      </w:pPr>
      <w:rPr>
        <w:rFonts w:ascii="Cambria" w:eastAsia="Cambria" w:hAnsi="Cambria" w:cs="Cambria" w:hint="default"/>
        <w:color w:val="231F20"/>
        <w:w w:val="104"/>
        <w:sz w:val="16"/>
        <w:szCs w:val="16"/>
      </w:rPr>
    </w:lvl>
    <w:lvl w:ilvl="1" w:tplc="11509792">
      <w:numFmt w:val="bullet"/>
      <w:lvlText w:val="•"/>
      <w:lvlJc w:val="left"/>
      <w:pPr>
        <w:ind w:left="2052" w:hanging="139"/>
      </w:pPr>
      <w:rPr>
        <w:rFonts w:hint="default"/>
      </w:rPr>
    </w:lvl>
    <w:lvl w:ilvl="2" w:tplc="6568B744">
      <w:numFmt w:val="bullet"/>
      <w:lvlText w:val="•"/>
      <w:lvlJc w:val="left"/>
      <w:pPr>
        <w:ind w:left="2784" w:hanging="139"/>
      </w:pPr>
      <w:rPr>
        <w:rFonts w:hint="default"/>
      </w:rPr>
    </w:lvl>
    <w:lvl w:ilvl="3" w:tplc="3564A2F4">
      <w:numFmt w:val="bullet"/>
      <w:lvlText w:val="•"/>
      <w:lvlJc w:val="left"/>
      <w:pPr>
        <w:ind w:left="3516" w:hanging="139"/>
      </w:pPr>
      <w:rPr>
        <w:rFonts w:hint="default"/>
      </w:rPr>
    </w:lvl>
    <w:lvl w:ilvl="4" w:tplc="ED0EE808">
      <w:numFmt w:val="bullet"/>
      <w:lvlText w:val="•"/>
      <w:lvlJc w:val="left"/>
      <w:pPr>
        <w:ind w:left="4248" w:hanging="139"/>
      </w:pPr>
      <w:rPr>
        <w:rFonts w:hint="default"/>
      </w:rPr>
    </w:lvl>
    <w:lvl w:ilvl="5" w:tplc="3E222140">
      <w:numFmt w:val="bullet"/>
      <w:lvlText w:val="•"/>
      <w:lvlJc w:val="left"/>
      <w:pPr>
        <w:ind w:left="4980" w:hanging="139"/>
      </w:pPr>
      <w:rPr>
        <w:rFonts w:hint="default"/>
      </w:rPr>
    </w:lvl>
    <w:lvl w:ilvl="6" w:tplc="045C9BB6">
      <w:numFmt w:val="bullet"/>
      <w:lvlText w:val="•"/>
      <w:lvlJc w:val="left"/>
      <w:pPr>
        <w:ind w:left="5712" w:hanging="139"/>
      </w:pPr>
      <w:rPr>
        <w:rFonts w:hint="default"/>
      </w:rPr>
    </w:lvl>
    <w:lvl w:ilvl="7" w:tplc="438CCBEE">
      <w:numFmt w:val="bullet"/>
      <w:lvlText w:val="•"/>
      <w:lvlJc w:val="left"/>
      <w:pPr>
        <w:ind w:left="6444" w:hanging="139"/>
      </w:pPr>
      <w:rPr>
        <w:rFonts w:hint="default"/>
      </w:rPr>
    </w:lvl>
    <w:lvl w:ilvl="8" w:tplc="1414AFA4">
      <w:numFmt w:val="bullet"/>
      <w:lvlText w:val="•"/>
      <w:lvlJc w:val="left"/>
      <w:pPr>
        <w:ind w:left="7176" w:hanging="139"/>
      </w:pPr>
      <w:rPr>
        <w:rFonts w:hint="default"/>
      </w:rPr>
    </w:lvl>
  </w:abstractNum>
  <w:abstractNum w:abstractNumId="35" w15:restartNumberingAfterBreak="0">
    <w:nsid w:val="19C671F9"/>
    <w:multiLevelType w:val="hybridMultilevel"/>
    <w:tmpl w:val="7E3080A8"/>
    <w:lvl w:ilvl="0" w:tplc="13B8BBE2">
      <w:start w:val="3"/>
      <w:numFmt w:val="decimal"/>
      <w:lvlText w:val="%1"/>
      <w:lvlJc w:val="left"/>
      <w:pPr>
        <w:ind w:left="1147" w:hanging="139"/>
      </w:pPr>
      <w:rPr>
        <w:rFonts w:ascii="Cambria" w:eastAsia="Cambria" w:hAnsi="Cambria" w:cs="Cambria" w:hint="default"/>
        <w:color w:val="231F20"/>
        <w:w w:val="104"/>
        <w:sz w:val="16"/>
        <w:szCs w:val="16"/>
      </w:rPr>
    </w:lvl>
    <w:lvl w:ilvl="1" w:tplc="769CBD54">
      <w:numFmt w:val="bullet"/>
      <w:lvlText w:val="•"/>
      <w:lvlJc w:val="left"/>
      <w:pPr>
        <w:ind w:left="1823" w:hanging="240"/>
      </w:pPr>
      <w:rPr>
        <w:rFonts w:ascii="Cambria" w:eastAsia="Cambria" w:hAnsi="Cambria" w:cs="Cambria" w:hint="default"/>
        <w:color w:val="231F20"/>
        <w:w w:val="112"/>
        <w:sz w:val="20"/>
        <w:szCs w:val="20"/>
      </w:rPr>
    </w:lvl>
    <w:lvl w:ilvl="2" w:tplc="E5105606">
      <w:numFmt w:val="bullet"/>
      <w:lvlText w:val="•"/>
      <w:lvlJc w:val="left"/>
      <w:pPr>
        <w:ind w:left="1820" w:hanging="240"/>
      </w:pPr>
      <w:rPr>
        <w:rFonts w:hint="default"/>
      </w:rPr>
    </w:lvl>
    <w:lvl w:ilvl="3" w:tplc="99FA7894">
      <w:numFmt w:val="bullet"/>
      <w:lvlText w:val="•"/>
      <w:lvlJc w:val="left"/>
      <w:pPr>
        <w:ind w:left="2672" w:hanging="240"/>
      </w:pPr>
      <w:rPr>
        <w:rFonts w:hint="default"/>
      </w:rPr>
    </w:lvl>
    <w:lvl w:ilvl="4" w:tplc="296682DE">
      <w:numFmt w:val="bullet"/>
      <w:lvlText w:val="•"/>
      <w:lvlJc w:val="left"/>
      <w:pPr>
        <w:ind w:left="3525" w:hanging="240"/>
      </w:pPr>
      <w:rPr>
        <w:rFonts w:hint="default"/>
      </w:rPr>
    </w:lvl>
    <w:lvl w:ilvl="5" w:tplc="F3BE8A6C">
      <w:numFmt w:val="bullet"/>
      <w:lvlText w:val="•"/>
      <w:lvlJc w:val="left"/>
      <w:pPr>
        <w:ind w:left="4377" w:hanging="240"/>
      </w:pPr>
      <w:rPr>
        <w:rFonts w:hint="default"/>
      </w:rPr>
    </w:lvl>
    <w:lvl w:ilvl="6" w:tplc="ED18762C">
      <w:numFmt w:val="bullet"/>
      <w:lvlText w:val="•"/>
      <w:lvlJc w:val="left"/>
      <w:pPr>
        <w:ind w:left="5230" w:hanging="240"/>
      </w:pPr>
      <w:rPr>
        <w:rFonts w:hint="default"/>
      </w:rPr>
    </w:lvl>
    <w:lvl w:ilvl="7" w:tplc="EB1C10EC">
      <w:numFmt w:val="bullet"/>
      <w:lvlText w:val="•"/>
      <w:lvlJc w:val="left"/>
      <w:pPr>
        <w:ind w:left="6082" w:hanging="240"/>
      </w:pPr>
      <w:rPr>
        <w:rFonts w:hint="default"/>
      </w:rPr>
    </w:lvl>
    <w:lvl w:ilvl="8" w:tplc="7ED4F4C4">
      <w:numFmt w:val="bullet"/>
      <w:lvlText w:val="•"/>
      <w:lvlJc w:val="left"/>
      <w:pPr>
        <w:ind w:left="6935" w:hanging="240"/>
      </w:pPr>
      <w:rPr>
        <w:rFonts w:hint="default"/>
      </w:rPr>
    </w:lvl>
  </w:abstractNum>
  <w:abstractNum w:abstractNumId="36" w15:restartNumberingAfterBreak="0">
    <w:nsid w:val="1A5D0FC5"/>
    <w:multiLevelType w:val="hybridMultilevel"/>
    <w:tmpl w:val="42E491E2"/>
    <w:lvl w:ilvl="0" w:tplc="15D60A0E">
      <w:start w:val="5"/>
      <w:numFmt w:val="decimal"/>
      <w:lvlText w:val="%1"/>
      <w:lvlJc w:val="left"/>
      <w:pPr>
        <w:ind w:left="1327" w:hanging="139"/>
      </w:pPr>
      <w:rPr>
        <w:rFonts w:ascii="Cambria" w:eastAsia="Cambria" w:hAnsi="Cambria" w:cs="Cambria" w:hint="default"/>
        <w:color w:val="231F20"/>
        <w:w w:val="104"/>
        <w:sz w:val="16"/>
        <w:szCs w:val="16"/>
      </w:rPr>
    </w:lvl>
    <w:lvl w:ilvl="1" w:tplc="23B404D2">
      <w:numFmt w:val="bullet"/>
      <w:lvlText w:val="•"/>
      <w:lvlJc w:val="left"/>
      <w:pPr>
        <w:ind w:left="2052" w:hanging="139"/>
      </w:pPr>
      <w:rPr>
        <w:rFonts w:hint="default"/>
      </w:rPr>
    </w:lvl>
    <w:lvl w:ilvl="2" w:tplc="670A510A">
      <w:numFmt w:val="bullet"/>
      <w:lvlText w:val="•"/>
      <w:lvlJc w:val="left"/>
      <w:pPr>
        <w:ind w:left="2784" w:hanging="139"/>
      </w:pPr>
      <w:rPr>
        <w:rFonts w:hint="default"/>
      </w:rPr>
    </w:lvl>
    <w:lvl w:ilvl="3" w:tplc="7F32441A">
      <w:numFmt w:val="bullet"/>
      <w:lvlText w:val="•"/>
      <w:lvlJc w:val="left"/>
      <w:pPr>
        <w:ind w:left="3516" w:hanging="139"/>
      </w:pPr>
      <w:rPr>
        <w:rFonts w:hint="default"/>
      </w:rPr>
    </w:lvl>
    <w:lvl w:ilvl="4" w:tplc="ED127CFC">
      <w:numFmt w:val="bullet"/>
      <w:lvlText w:val="•"/>
      <w:lvlJc w:val="left"/>
      <w:pPr>
        <w:ind w:left="4248" w:hanging="139"/>
      </w:pPr>
      <w:rPr>
        <w:rFonts w:hint="default"/>
      </w:rPr>
    </w:lvl>
    <w:lvl w:ilvl="5" w:tplc="731A4CF0">
      <w:numFmt w:val="bullet"/>
      <w:lvlText w:val="•"/>
      <w:lvlJc w:val="left"/>
      <w:pPr>
        <w:ind w:left="4980" w:hanging="139"/>
      </w:pPr>
      <w:rPr>
        <w:rFonts w:hint="default"/>
      </w:rPr>
    </w:lvl>
    <w:lvl w:ilvl="6" w:tplc="04C2C018">
      <w:numFmt w:val="bullet"/>
      <w:lvlText w:val="•"/>
      <w:lvlJc w:val="left"/>
      <w:pPr>
        <w:ind w:left="5712" w:hanging="139"/>
      </w:pPr>
      <w:rPr>
        <w:rFonts w:hint="default"/>
      </w:rPr>
    </w:lvl>
    <w:lvl w:ilvl="7" w:tplc="C8EA7410">
      <w:numFmt w:val="bullet"/>
      <w:lvlText w:val="•"/>
      <w:lvlJc w:val="left"/>
      <w:pPr>
        <w:ind w:left="6444" w:hanging="139"/>
      </w:pPr>
      <w:rPr>
        <w:rFonts w:hint="default"/>
      </w:rPr>
    </w:lvl>
    <w:lvl w:ilvl="8" w:tplc="E340AA5A">
      <w:numFmt w:val="bullet"/>
      <w:lvlText w:val="•"/>
      <w:lvlJc w:val="left"/>
      <w:pPr>
        <w:ind w:left="7176" w:hanging="139"/>
      </w:pPr>
      <w:rPr>
        <w:rFonts w:hint="default"/>
      </w:rPr>
    </w:lvl>
  </w:abstractNum>
  <w:abstractNum w:abstractNumId="37" w15:restartNumberingAfterBreak="0">
    <w:nsid w:val="1B315E4C"/>
    <w:multiLevelType w:val="hybridMultilevel"/>
    <w:tmpl w:val="BBF40912"/>
    <w:lvl w:ilvl="0" w:tplc="5A722E86">
      <w:start w:val="9"/>
      <w:numFmt w:val="decimal"/>
      <w:lvlText w:val="%1"/>
      <w:lvlJc w:val="left"/>
      <w:pPr>
        <w:ind w:left="1327" w:hanging="139"/>
      </w:pPr>
      <w:rPr>
        <w:rFonts w:ascii="Cambria" w:eastAsia="Cambria" w:hAnsi="Cambria" w:cs="Cambria" w:hint="default"/>
        <w:color w:val="231F20"/>
        <w:w w:val="104"/>
        <w:sz w:val="16"/>
        <w:szCs w:val="16"/>
      </w:rPr>
    </w:lvl>
    <w:lvl w:ilvl="1" w:tplc="518014FC">
      <w:numFmt w:val="bullet"/>
      <w:lvlText w:val="•"/>
      <w:lvlJc w:val="left"/>
      <w:pPr>
        <w:ind w:left="2052" w:hanging="139"/>
      </w:pPr>
      <w:rPr>
        <w:rFonts w:hint="default"/>
      </w:rPr>
    </w:lvl>
    <w:lvl w:ilvl="2" w:tplc="89785292">
      <w:numFmt w:val="bullet"/>
      <w:lvlText w:val="•"/>
      <w:lvlJc w:val="left"/>
      <w:pPr>
        <w:ind w:left="2784" w:hanging="139"/>
      </w:pPr>
      <w:rPr>
        <w:rFonts w:hint="default"/>
      </w:rPr>
    </w:lvl>
    <w:lvl w:ilvl="3" w:tplc="FEC80D82">
      <w:numFmt w:val="bullet"/>
      <w:lvlText w:val="•"/>
      <w:lvlJc w:val="left"/>
      <w:pPr>
        <w:ind w:left="3516" w:hanging="139"/>
      </w:pPr>
      <w:rPr>
        <w:rFonts w:hint="default"/>
      </w:rPr>
    </w:lvl>
    <w:lvl w:ilvl="4" w:tplc="73F29FDC">
      <w:numFmt w:val="bullet"/>
      <w:lvlText w:val="•"/>
      <w:lvlJc w:val="left"/>
      <w:pPr>
        <w:ind w:left="4248" w:hanging="139"/>
      </w:pPr>
      <w:rPr>
        <w:rFonts w:hint="default"/>
      </w:rPr>
    </w:lvl>
    <w:lvl w:ilvl="5" w:tplc="2CCA8F48">
      <w:numFmt w:val="bullet"/>
      <w:lvlText w:val="•"/>
      <w:lvlJc w:val="left"/>
      <w:pPr>
        <w:ind w:left="4980" w:hanging="139"/>
      </w:pPr>
      <w:rPr>
        <w:rFonts w:hint="default"/>
      </w:rPr>
    </w:lvl>
    <w:lvl w:ilvl="6" w:tplc="3D28A606">
      <w:numFmt w:val="bullet"/>
      <w:lvlText w:val="•"/>
      <w:lvlJc w:val="left"/>
      <w:pPr>
        <w:ind w:left="5712" w:hanging="139"/>
      </w:pPr>
      <w:rPr>
        <w:rFonts w:hint="default"/>
      </w:rPr>
    </w:lvl>
    <w:lvl w:ilvl="7" w:tplc="CD98E41A">
      <w:numFmt w:val="bullet"/>
      <w:lvlText w:val="•"/>
      <w:lvlJc w:val="left"/>
      <w:pPr>
        <w:ind w:left="6444" w:hanging="139"/>
      </w:pPr>
      <w:rPr>
        <w:rFonts w:hint="default"/>
      </w:rPr>
    </w:lvl>
    <w:lvl w:ilvl="8" w:tplc="65BEB7CA">
      <w:numFmt w:val="bullet"/>
      <w:lvlText w:val="•"/>
      <w:lvlJc w:val="left"/>
      <w:pPr>
        <w:ind w:left="7176" w:hanging="139"/>
      </w:pPr>
      <w:rPr>
        <w:rFonts w:hint="default"/>
      </w:rPr>
    </w:lvl>
  </w:abstractNum>
  <w:abstractNum w:abstractNumId="38" w15:restartNumberingAfterBreak="0">
    <w:nsid w:val="1B32714F"/>
    <w:multiLevelType w:val="hybridMultilevel"/>
    <w:tmpl w:val="6D2CB28A"/>
    <w:lvl w:ilvl="0" w:tplc="E786A45C">
      <w:start w:val="1"/>
      <w:numFmt w:val="decimal"/>
      <w:lvlText w:val="%1."/>
      <w:lvlJc w:val="left"/>
      <w:pPr>
        <w:ind w:left="1470" w:hanging="323"/>
        <w:jc w:val="right"/>
      </w:pPr>
      <w:rPr>
        <w:rFonts w:ascii="Cambria" w:eastAsia="Cambria" w:hAnsi="Cambria" w:cs="Cambria" w:hint="default"/>
        <w:color w:val="231F20"/>
        <w:spacing w:val="0"/>
        <w:w w:val="100"/>
        <w:sz w:val="22"/>
        <w:szCs w:val="22"/>
      </w:rPr>
    </w:lvl>
    <w:lvl w:ilvl="1" w:tplc="D4B6FF7A">
      <w:numFmt w:val="bullet"/>
      <w:lvlText w:val="•"/>
      <w:lvlJc w:val="left"/>
      <w:pPr>
        <w:ind w:left="2196" w:hanging="323"/>
      </w:pPr>
      <w:rPr>
        <w:rFonts w:hint="default"/>
      </w:rPr>
    </w:lvl>
    <w:lvl w:ilvl="2" w:tplc="AB22C5D8">
      <w:numFmt w:val="bullet"/>
      <w:lvlText w:val="•"/>
      <w:lvlJc w:val="left"/>
      <w:pPr>
        <w:ind w:left="2912" w:hanging="323"/>
      </w:pPr>
      <w:rPr>
        <w:rFonts w:hint="default"/>
      </w:rPr>
    </w:lvl>
    <w:lvl w:ilvl="3" w:tplc="72B04A38">
      <w:numFmt w:val="bullet"/>
      <w:lvlText w:val="•"/>
      <w:lvlJc w:val="left"/>
      <w:pPr>
        <w:ind w:left="3628" w:hanging="323"/>
      </w:pPr>
      <w:rPr>
        <w:rFonts w:hint="default"/>
      </w:rPr>
    </w:lvl>
    <w:lvl w:ilvl="4" w:tplc="DDD0385A">
      <w:numFmt w:val="bullet"/>
      <w:lvlText w:val="•"/>
      <w:lvlJc w:val="left"/>
      <w:pPr>
        <w:ind w:left="4344" w:hanging="323"/>
      </w:pPr>
      <w:rPr>
        <w:rFonts w:hint="default"/>
      </w:rPr>
    </w:lvl>
    <w:lvl w:ilvl="5" w:tplc="42182644">
      <w:numFmt w:val="bullet"/>
      <w:lvlText w:val="•"/>
      <w:lvlJc w:val="left"/>
      <w:pPr>
        <w:ind w:left="5060" w:hanging="323"/>
      </w:pPr>
      <w:rPr>
        <w:rFonts w:hint="default"/>
      </w:rPr>
    </w:lvl>
    <w:lvl w:ilvl="6" w:tplc="7B1099BA">
      <w:numFmt w:val="bullet"/>
      <w:lvlText w:val="•"/>
      <w:lvlJc w:val="left"/>
      <w:pPr>
        <w:ind w:left="5776" w:hanging="323"/>
      </w:pPr>
      <w:rPr>
        <w:rFonts w:hint="default"/>
      </w:rPr>
    </w:lvl>
    <w:lvl w:ilvl="7" w:tplc="E1724EB4">
      <w:numFmt w:val="bullet"/>
      <w:lvlText w:val="•"/>
      <w:lvlJc w:val="left"/>
      <w:pPr>
        <w:ind w:left="6492" w:hanging="323"/>
      </w:pPr>
      <w:rPr>
        <w:rFonts w:hint="default"/>
      </w:rPr>
    </w:lvl>
    <w:lvl w:ilvl="8" w:tplc="B20ACAB2">
      <w:numFmt w:val="bullet"/>
      <w:lvlText w:val="•"/>
      <w:lvlJc w:val="left"/>
      <w:pPr>
        <w:ind w:left="7208" w:hanging="323"/>
      </w:pPr>
      <w:rPr>
        <w:rFonts w:hint="default"/>
      </w:rPr>
    </w:lvl>
  </w:abstractNum>
  <w:abstractNum w:abstractNumId="39" w15:restartNumberingAfterBreak="0">
    <w:nsid w:val="1B9B2EA8"/>
    <w:multiLevelType w:val="hybridMultilevel"/>
    <w:tmpl w:val="61B6FACA"/>
    <w:lvl w:ilvl="0" w:tplc="C284FA92">
      <w:numFmt w:val="bullet"/>
      <w:lvlText w:val="•"/>
      <w:lvlJc w:val="left"/>
      <w:pPr>
        <w:ind w:left="1643" w:hanging="240"/>
      </w:pPr>
      <w:rPr>
        <w:rFonts w:ascii="Cambria" w:eastAsia="Cambria" w:hAnsi="Cambria" w:cs="Cambria" w:hint="default"/>
        <w:color w:val="231F20"/>
        <w:w w:val="112"/>
        <w:sz w:val="20"/>
        <w:szCs w:val="20"/>
      </w:rPr>
    </w:lvl>
    <w:lvl w:ilvl="1" w:tplc="7A523AEC">
      <w:numFmt w:val="bullet"/>
      <w:lvlText w:val="•"/>
      <w:lvlJc w:val="left"/>
      <w:pPr>
        <w:ind w:left="2340" w:hanging="240"/>
      </w:pPr>
      <w:rPr>
        <w:rFonts w:hint="default"/>
      </w:rPr>
    </w:lvl>
    <w:lvl w:ilvl="2" w:tplc="0242E776">
      <w:numFmt w:val="bullet"/>
      <w:lvlText w:val="•"/>
      <w:lvlJc w:val="left"/>
      <w:pPr>
        <w:ind w:left="3040" w:hanging="240"/>
      </w:pPr>
      <w:rPr>
        <w:rFonts w:hint="default"/>
      </w:rPr>
    </w:lvl>
    <w:lvl w:ilvl="3" w:tplc="31F29100">
      <w:numFmt w:val="bullet"/>
      <w:lvlText w:val="•"/>
      <w:lvlJc w:val="left"/>
      <w:pPr>
        <w:ind w:left="3740" w:hanging="240"/>
      </w:pPr>
      <w:rPr>
        <w:rFonts w:hint="default"/>
      </w:rPr>
    </w:lvl>
    <w:lvl w:ilvl="4" w:tplc="15D612B8">
      <w:numFmt w:val="bullet"/>
      <w:lvlText w:val="•"/>
      <w:lvlJc w:val="left"/>
      <w:pPr>
        <w:ind w:left="4440" w:hanging="240"/>
      </w:pPr>
      <w:rPr>
        <w:rFonts w:hint="default"/>
      </w:rPr>
    </w:lvl>
    <w:lvl w:ilvl="5" w:tplc="9A760A4E">
      <w:numFmt w:val="bullet"/>
      <w:lvlText w:val="•"/>
      <w:lvlJc w:val="left"/>
      <w:pPr>
        <w:ind w:left="5140" w:hanging="240"/>
      </w:pPr>
      <w:rPr>
        <w:rFonts w:hint="default"/>
      </w:rPr>
    </w:lvl>
    <w:lvl w:ilvl="6" w:tplc="A120E1DA">
      <w:numFmt w:val="bullet"/>
      <w:lvlText w:val="•"/>
      <w:lvlJc w:val="left"/>
      <w:pPr>
        <w:ind w:left="5840" w:hanging="240"/>
      </w:pPr>
      <w:rPr>
        <w:rFonts w:hint="default"/>
      </w:rPr>
    </w:lvl>
    <w:lvl w:ilvl="7" w:tplc="1A0486AE">
      <w:numFmt w:val="bullet"/>
      <w:lvlText w:val="•"/>
      <w:lvlJc w:val="left"/>
      <w:pPr>
        <w:ind w:left="6540" w:hanging="240"/>
      </w:pPr>
      <w:rPr>
        <w:rFonts w:hint="default"/>
      </w:rPr>
    </w:lvl>
    <w:lvl w:ilvl="8" w:tplc="5CB2866E">
      <w:numFmt w:val="bullet"/>
      <w:lvlText w:val="•"/>
      <w:lvlJc w:val="left"/>
      <w:pPr>
        <w:ind w:left="7240" w:hanging="240"/>
      </w:pPr>
      <w:rPr>
        <w:rFonts w:hint="default"/>
      </w:rPr>
    </w:lvl>
  </w:abstractNum>
  <w:abstractNum w:abstractNumId="40" w15:restartNumberingAfterBreak="0">
    <w:nsid w:val="1BBF27D4"/>
    <w:multiLevelType w:val="hybridMultilevel"/>
    <w:tmpl w:val="36606860"/>
    <w:lvl w:ilvl="0" w:tplc="A962ABCA">
      <w:start w:val="2"/>
      <w:numFmt w:val="decimal"/>
      <w:lvlText w:val="%1"/>
      <w:lvlJc w:val="left"/>
      <w:pPr>
        <w:ind w:left="1327" w:hanging="139"/>
      </w:pPr>
      <w:rPr>
        <w:rFonts w:ascii="Cambria" w:eastAsia="Cambria" w:hAnsi="Cambria" w:cs="Cambria" w:hint="default"/>
        <w:color w:val="231F20"/>
        <w:w w:val="104"/>
        <w:sz w:val="16"/>
        <w:szCs w:val="16"/>
      </w:rPr>
    </w:lvl>
    <w:lvl w:ilvl="1" w:tplc="FC9CB942">
      <w:numFmt w:val="bullet"/>
      <w:lvlText w:val="•"/>
      <w:lvlJc w:val="left"/>
      <w:pPr>
        <w:ind w:left="2052" w:hanging="139"/>
      </w:pPr>
      <w:rPr>
        <w:rFonts w:hint="default"/>
      </w:rPr>
    </w:lvl>
    <w:lvl w:ilvl="2" w:tplc="9064E402">
      <w:numFmt w:val="bullet"/>
      <w:lvlText w:val="•"/>
      <w:lvlJc w:val="left"/>
      <w:pPr>
        <w:ind w:left="2784" w:hanging="139"/>
      </w:pPr>
      <w:rPr>
        <w:rFonts w:hint="default"/>
      </w:rPr>
    </w:lvl>
    <w:lvl w:ilvl="3" w:tplc="E482DB2E">
      <w:numFmt w:val="bullet"/>
      <w:lvlText w:val="•"/>
      <w:lvlJc w:val="left"/>
      <w:pPr>
        <w:ind w:left="3516" w:hanging="139"/>
      </w:pPr>
      <w:rPr>
        <w:rFonts w:hint="default"/>
      </w:rPr>
    </w:lvl>
    <w:lvl w:ilvl="4" w:tplc="0A3AAE20">
      <w:numFmt w:val="bullet"/>
      <w:lvlText w:val="•"/>
      <w:lvlJc w:val="left"/>
      <w:pPr>
        <w:ind w:left="4248" w:hanging="139"/>
      </w:pPr>
      <w:rPr>
        <w:rFonts w:hint="default"/>
      </w:rPr>
    </w:lvl>
    <w:lvl w:ilvl="5" w:tplc="731214E8">
      <w:numFmt w:val="bullet"/>
      <w:lvlText w:val="•"/>
      <w:lvlJc w:val="left"/>
      <w:pPr>
        <w:ind w:left="4980" w:hanging="139"/>
      </w:pPr>
      <w:rPr>
        <w:rFonts w:hint="default"/>
      </w:rPr>
    </w:lvl>
    <w:lvl w:ilvl="6" w:tplc="555AB9C0">
      <w:numFmt w:val="bullet"/>
      <w:lvlText w:val="•"/>
      <w:lvlJc w:val="left"/>
      <w:pPr>
        <w:ind w:left="5712" w:hanging="139"/>
      </w:pPr>
      <w:rPr>
        <w:rFonts w:hint="default"/>
      </w:rPr>
    </w:lvl>
    <w:lvl w:ilvl="7" w:tplc="B3DC9740">
      <w:numFmt w:val="bullet"/>
      <w:lvlText w:val="•"/>
      <w:lvlJc w:val="left"/>
      <w:pPr>
        <w:ind w:left="6444" w:hanging="139"/>
      </w:pPr>
      <w:rPr>
        <w:rFonts w:hint="default"/>
      </w:rPr>
    </w:lvl>
    <w:lvl w:ilvl="8" w:tplc="0D0E3AB2">
      <w:numFmt w:val="bullet"/>
      <w:lvlText w:val="•"/>
      <w:lvlJc w:val="left"/>
      <w:pPr>
        <w:ind w:left="7176" w:hanging="139"/>
      </w:pPr>
      <w:rPr>
        <w:rFonts w:hint="default"/>
      </w:rPr>
    </w:lvl>
  </w:abstractNum>
  <w:abstractNum w:abstractNumId="41" w15:restartNumberingAfterBreak="0">
    <w:nsid w:val="1BC34E41"/>
    <w:multiLevelType w:val="hybridMultilevel"/>
    <w:tmpl w:val="C540E4AC"/>
    <w:lvl w:ilvl="0" w:tplc="58DEC032">
      <w:start w:val="1"/>
      <w:numFmt w:val="decimal"/>
      <w:lvlText w:val="%1"/>
      <w:lvlJc w:val="left"/>
      <w:pPr>
        <w:ind w:left="1147" w:hanging="139"/>
      </w:pPr>
      <w:rPr>
        <w:rFonts w:ascii="Cambria" w:eastAsia="Cambria" w:hAnsi="Cambria" w:cs="Cambria" w:hint="default"/>
        <w:color w:val="231F20"/>
        <w:w w:val="104"/>
        <w:sz w:val="16"/>
        <w:szCs w:val="16"/>
      </w:rPr>
    </w:lvl>
    <w:lvl w:ilvl="1" w:tplc="F946B4DA">
      <w:numFmt w:val="bullet"/>
      <w:lvlText w:val="•"/>
      <w:lvlJc w:val="left"/>
      <w:pPr>
        <w:ind w:left="1890" w:hanging="139"/>
      </w:pPr>
      <w:rPr>
        <w:rFonts w:hint="default"/>
      </w:rPr>
    </w:lvl>
    <w:lvl w:ilvl="2" w:tplc="92DA3948">
      <w:numFmt w:val="bullet"/>
      <w:lvlText w:val="•"/>
      <w:lvlJc w:val="left"/>
      <w:pPr>
        <w:ind w:left="2640" w:hanging="139"/>
      </w:pPr>
      <w:rPr>
        <w:rFonts w:hint="default"/>
      </w:rPr>
    </w:lvl>
    <w:lvl w:ilvl="3" w:tplc="0DB6643A">
      <w:numFmt w:val="bullet"/>
      <w:lvlText w:val="•"/>
      <w:lvlJc w:val="left"/>
      <w:pPr>
        <w:ind w:left="3390" w:hanging="139"/>
      </w:pPr>
      <w:rPr>
        <w:rFonts w:hint="default"/>
      </w:rPr>
    </w:lvl>
    <w:lvl w:ilvl="4" w:tplc="7B54ED36">
      <w:numFmt w:val="bullet"/>
      <w:lvlText w:val="•"/>
      <w:lvlJc w:val="left"/>
      <w:pPr>
        <w:ind w:left="4140" w:hanging="139"/>
      </w:pPr>
      <w:rPr>
        <w:rFonts w:hint="default"/>
      </w:rPr>
    </w:lvl>
    <w:lvl w:ilvl="5" w:tplc="AE5CA140">
      <w:numFmt w:val="bullet"/>
      <w:lvlText w:val="•"/>
      <w:lvlJc w:val="left"/>
      <w:pPr>
        <w:ind w:left="4890" w:hanging="139"/>
      </w:pPr>
      <w:rPr>
        <w:rFonts w:hint="default"/>
      </w:rPr>
    </w:lvl>
    <w:lvl w:ilvl="6" w:tplc="AF0C1012">
      <w:numFmt w:val="bullet"/>
      <w:lvlText w:val="•"/>
      <w:lvlJc w:val="left"/>
      <w:pPr>
        <w:ind w:left="5640" w:hanging="139"/>
      </w:pPr>
      <w:rPr>
        <w:rFonts w:hint="default"/>
      </w:rPr>
    </w:lvl>
    <w:lvl w:ilvl="7" w:tplc="C24EC9E8">
      <w:numFmt w:val="bullet"/>
      <w:lvlText w:val="•"/>
      <w:lvlJc w:val="left"/>
      <w:pPr>
        <w:ind w:left="6390" w:hanging="139"/>
      </w:pPr>
      <w:rPr>
        <w:rFonts w:hint="default"/>
      </w:rPr>
    </w:lvl>
    <w:lvl w:ilvl="8" w:tplc="76FCFCE4">
      <w:numFmt w:val="bullet"/>
      <w:lvlText w:val="•"/>
      <w:lvlJc w:val="left"/>
      <w:pPr>
        <w:ind w:left="7140" w:hanging="139"/>
      </w:pPr>
      <w:rPr>
        <w:rFonts w:hint="default"/>
      </w:rPr>
    </w:lvl>
  </w:abstractNum>
  <w:abstractNum w:abstractNumId="42" w15:restartNumberingAfterBreak="0">
    <w:nsid w:val="1BCE6D1F"/>
    <w:multiLevelType w:val="hybridMultilevel"/>
    <w:tmpl w:val="13E6D540"/>
    <w:lvl w:ilvl="0" w:tplc="87E24AE4">
      <w:start w:val="2"/>
      <w:numFmt w:val="decimal"/>
      <w:lvlText w:val="%1"/>
      <w:lvlJc w:val="left"/>
      <w:pPr>
        <w:ind w:left="1327" w:hanging="139"/>
      </w:pPr>
      <w:rPr>
        <w:rFonts w:ascii="Cambria" w:eastAsia="Cambria" w:hAnsi="Cambria" w:cs="Cambria" w:hint="default"/>
        <w:color w:val="231F20"/>
        <w:w w:val="104"/>
        <w:sz w:val="16"/>
        <w:szCs w:val="16"/>
      </w:rPr>
    </w:lvl>
    <w:lvl w:ilvl="1" w:tplc="840ADA3E">
      <w:numFmt w:val="bullet"/>
      <w:lvlText w:val="•"/>
      <w:lvlJc w:val="left"/>
      <w:pPr>
        <w:ind w:left="2052" w:hanging="139"/>
      </w:pPr>
      <w:rPr>
        <w:rFonts w:hint="default"/>
      </w:rPr>
    </w:lvl>
    <w:lvl w:ilvl="2" w:tplc="FBA0C052">
      <w:numFmt w:val="bullet"/>
      <w:lvlText w:val="•"/>
      <w:lvlJc w:val="left"/>
      <w:pPr>
        <w:ind w:left="2784" w:hanging="139"/>
      </w:pPr>
      <w:rPr>
        <w:rFonts w:hint="default"/>
      </w:rPr>
    </w:lvl>
    <w:lvl w:ilvl="3" w:tplc="A7C2487C">
      <w:numFmt w:val="bullet"/>
      <w:lvlText w:val="•"/>
      <w:lvlJc w:val="left"/>
      <w:pPr>
        <w:ind w:left="3516" w:hanging="139"/>
      </w:pPr>
      <w:rPr>
        <w:rFonts w:hint="default"/>
      </w:rPr>
    </w:lvl>
    <w:lvl w:ilvl="4" w:tplc="20CCBC1E">
      <w:numFmt w:val="bullet"/>
      <w:lvlText w:val="•"/>
      <w:lvlJc w:val="left"/>
      <w:pPr>
        <w:ind w:left="4248" w:hanging="139"/>
      </w:pPr>
      <w:rPr>
        <w:rFonts w:hint="default"/>
      </w:rPr>
    </w:lvl>
    <w:lvl w:ilvl="5" w:tplc="72E429C2">
      <w:numFmt w:val="bullet"/>
      <w:lvlText w:val="•"/>
      <w:lvlJc w:val="left"/>
      <w:pPr>
        <w:ind w:left="4980" w:hanging="139"/>
      </w:pPr>
      <w:rPr>
        <w:rFonts w:hint="default"/>
      </w:rPr>
    </w:lvl>
    <w:lvl w:ilvl="6" w:tplc="4DCAB826">
      <w:numFmt w:val="bullet"/>
      <w:lvlText w:val="•"/>
      <w:lvlJc w:val="left"/>
      <w:pPr>
        <w:ind w:left="5712" w:hanging="139"/>
      </w:pPr>
      <w:rPr>
        <w:rFonts w:hint="default"/>
      </w:rPr>
    </w:lvl>
    <w:lvl w:ilvl="7" w:tplc="11600418">
      <w:numFmt w:val="bullet"/>
      <w:lvlText w:val="•"/>
      <w:lvlJc w:val="left"/>
      <w:pPr>
        <w:ind w:left="6444" w:hanging="139"/>
      </w:pPr>
      <w:rPr>
        <w:rFonts w:hint="default"/>
      </w:rPr>
    </w:lvl>
    <w:lvl w:ilvl="8" w:tplc="6BF63952">
      <w:numFmt w:val="bullet"/>
      <w:lvlText w:val="•"/>
      <w:lvlJc w:val="left"/>
      <w:pPr>
        <w:ind w:left="7176" w:hanging="139"/>
      </w:pPr>
      <w:rPr>
        <w:rFonts w:hint="default"/>
      </w:rPr>
    </w:lvl>
  </w:abstractNum>
  <w:abstractNum w:abstractNumId="43" w15:restartNumberingAfterBreak="0">
    <w:nsid w:val="1C551E0E"/>
    <w:multiLevelType w:val="hybridMultilevel"/>
    <w:tmpl w:val="8A16EEF2"/>
    <w:lvl w:ilvl="0" w:tplc="3A8A2A0A">
      <w:start w:val="1"/>
      <w:numFmt w:val="decimal"/>
      <w:lvlText w:val="%1"/>
      <w:lvlJc w:val="left"/>
      <w:pPr>
        <w:ind w:left="1147" w:hanging="139"/>
        <w:jc w:val="right"/>
      </w:pPr>
      <w:rPr>
        <w:rFonts w:ascii="Cambria" w:eastAsia="Cambria" w:hAnsi="Cambria" w:cs="Cambria" w:hint="default"/>
        <w:color w:val="231F20"/>
        <w:w w:val="104"/>
        <w:sz w:val="16"/>
        <w:szCs w:val="16"/>
      </w:rPr>
    </w:lvl>
    <w:lvl w:ilvl="1" w:tplc="0F0829C8">
      <w:numFmt w:val="bullet"/>
      <w:lvlText w:val="•"/>
      <w:lvlJc w:val="left"/>
      <w:pPr>
        <w:ind w:left="1890" w:hanging="139"/>
      </w:pPr>
      <w:rPr>
        <w:rFonts w:hint="default"/>
      </w:rPr>
    </w:lvl>
    <w:lvl w:ilvl="2" w:tplc="3F809BA2">
      <w:numFmt w:val="bullet"/>
      <w:lvlText w:val="•"/>
      <w:lvlJc w:val="left"/>
      <w:pPr>
        <w:ind w:left="2640" w:hanging="139"/>
      </w:pPr>
      <w:rPr>
        <w:rFonts w:hint="default"/>
      </w:rPr>
    </w:lvl>
    <w:lvl w:ilvl="3" w:tplc="2BD2A5A8">
      <w:numFmt w:val="bullet"/>
      <w:lvlText w:val="•"/>
      <w:lvlJc w:val="left"/>
      <w:pPr>
        <w:ind w:left="3390" w:hanging="139"/>
      </w:pPr>
      <w:rPr>
        <w:rFonts w:hint="default"/>
      </w:rPr>
    </w:lvl>
    <w:lvl w:ilvl="4" w:tplc="A5BC8B8E">
      <w:numFmt w:val="bullet"/>
      <w:lvlText w:val="•"/>
      <w:lvlJc w:val="left"/>
      <w:pPr>
        <w:ind w:left="4140" w:hanging="139"/>
      </w:pPr>
      <w:rPr>
        <w:rFonts w:hint="default"/>
      </w:rPr>
    </w:lvl>
    <w:lvl w:ilvl="5" w:tplc="59022AD0">
      <w:numFmt w:val="bullet"/>
      <w:lvlText w:val="•"/>
      <w:lvlJc w:val="left"/>
      <w:pPr>
        <w:ind w:left="4890" w:hanging="139"/>
      </w:pPr>
      <w:rPr>
        <w:rFonts w:hint="default"/>
      </w:rPr>
    </w:lvl>
    <w:lvl w:ilvl="6" w:tplc="B97A1AFA">
      <w:numFmt w:val="bullet"/>
      <w:lvlText w:val="•"/>
      <w:lvlJc w:val="left"/>
      <w:pPr>
        <w:ind w:left="5640" w:hanging="139"/>
      </w:pPr>
      <w:rPr>
        <w:rFonts w:hint="default"/>
      </w:rPr>
    </w:lvl>
    <w:lvl w:ilvl="7" w:tplc="530A1FAA">
      <w:numFmt w:val="bullet"/>
      <w:lvlText w:val="•"/>
      <w:lvlJc w:val="left"/>
      <w:pPr>
        <w:ind w:left="6390" w:hanging="139"/>
      </w:pPr>
      <w:rPr>
        <w:rFonts w:hint="default"/>
      </w:rPr>
    </w:lvl>
    <w:lvl w:ilvl="8" w:tplc="4896F218">
      <w:numFmt w:val="bullet"/>
      <w:lvlText w:val="•"/>
      <w:lvlJc w:val="left"/>
      <w:pPr>
        <w:ind w:left="7140" w:hanging="139"/>
      </w:pPr>
      <w:rPr>
        <w:rFonts w:hint="default"/>
      </w:rPr>
    </w:lvl>
  </w:abstractNum>
  <w:abstractNum w:abstractNumId="44" w15:restartNumberingAfterBreak="0">
    <w:nsid w:val="1D0745D5"/>
    <w:multiLevelType w:val="hybridMultilevel"/>
    <w:tmpl w:val="7E1EB21A"/>
    <w:lvl w:ilvl="0" w:tplc="31027FCE">
      <w:start w:val="19"/>
      <w:numFmt w:val="decimal"/>
      <w:lvlText w:val="%1."/>
      <w:lvlJc w:val="left"/>
      <w:pPr>
        <w:ind w:left="1568" w:hanging="291"/>
        <w:jc w:val="right"/>
      </w:pPr>
      <w:rPr>
        <w:rFonts w:ascii="Bookman Old Style" w:eastAsia="Bookman Old Style" w:hAnsi="Bookman Old Style" w:cs="Bookman Old Style" w:hint="default"/>
        <w:i/>
        <w:color w:val="231F20"/>
        <w:w w:val="89"/>
        <w:sz w:val="19"/>
        <w:szCs w:val="19"/>
      </w:rPr>
    </w:lvl>
    <w:lvl w:ilvl="1" w:tplc="A88CA1DA">
      <w:numFmt w:val="bullet"/>
      <w:lvlText w:val="•"/>
      <w:lvlJc w:val="left"/>
      <w:pPr>
        <w:ind w:left="2268" w:hanging="291"/>
      </w:pPr>
      <w:rPr>
        <w:rFonts w:hint="default"/>
      </w:rPr>
    </w:lvl>
    <w:lvl w:ilvl="2" w:tplc="D1E25B4E">
      <w:numFmt w:val="bullet"/>
      <w:lvlText w:val="•"/>
      <w:lvlJc w:val="left"/>
      <w:pPr>
        <w:ind w:left="2976" w:hanging="291"/>
      </w:pPr>
      <w:rPr>
        <w:rFonts w:hint="default"/>
      </w:rPr>
    </w:lvl>
    <w:lvl w:ilvl="3" w:tplc="4104C384">
      <w:numFmt w:val="bullet"/>
      <w:lvlText w:val="•"/>
      <w:lvlJc w:val="left"/>
      <w:pPr>
        <w:ind w:left="3684" w:hanging="291"/>
      </w:pPr>
      <w:rPr>
        <w:rFonts w:hint="default"/>
      </w:rPr>
    </w:lvl>
    <w:lvl w:ilvl="4" w:tplc="51F0CA34">
      <w:numFmt w:val="bullet"/>
      <w:lvlText w:val="•"/>
      <w:lvlJc w:val="left"/>
      <w:pPr>
        <w:ind w:left="4392" w:hanging="291"/>
      </w:pPr>
      <w:rPr>
        <w:rFonts w:hint="default"/>
      </w:rPr>
    </w:lvl>
    <w:lvl w:ilvl="5" w:tplc="D60C1668">
      <w:numFmt w:val="bullet"/>
      <w:lvlText w:val="•"/>
      <w:lvlJc w:val="left"/>
      <w:pPr>
        <w:ind w:left="5100" w:hanging="291"/>
      </w:pPr>
      <w:rPr>
        <w:rFonts w:hint="default"/>
      </w:rPr>
    </w:lvl>
    <w:lvl w:ilvl="6" w:tplc="FF4EDEB4">
      <w:numFmt w:val="bullet"/>
      <w:lvlText w:val="•"/>
      <w:lvlJc w:val="left"/>
      <w:pPr>
        <w:ind w:left="5808" w:hanging="291"/>
      </w:pPr>
      <w:rPr>
        <w:rFonts w:hint="default"/>
      </w:rPr>
    </w:lvl>
    <w:lvl w:ilvl="7" w:tplc="628C1BB2">
      <w:numFmt w:val="bullet"/>
      <w:lvlText w:val="•"/>
      <w:lvlJc w:val="left"/>
      <w:pPr>
        <w:ind w:left="6516" w:hanging="291"/>
      </w:pPr>
      <w:rPr>
        <w:rFonts w:hint="default"/>
      </w:rPr>
    </w:lvl>
    <w:lvl w:ilvl="8" w:tplc="FAC269FE">
      <w:numFmt w:val="bullet"/>
      <w:lvlText w:val="•"/>
      <w:lvlJc w:val="left"/>
      <w:pPr>
        <w:ind w:left="7224" w:hanging="291"/>
      </w:pPr>
      <w:rPr>
        <w:rFonts w:hint="default"/>
      </w:rPr>
    </w:lvl>
  </w:abstractNum>
  <w:abstractNum w:abstractNumId="45" w15:restartNumberingAfterBreak="0">
    <w:nsid w:val="1E0A2B62"/>
    <w:multiLevelType w:val="hybridMultilevel"/>
    <w:tmpl w:val="F0C41954"/>
    <w:lvl w:ilvl="0" w:tplc="11228BEA">
      <w:start w:val="1"/>
      <w:numFmt w:val="decimal"/>
      <w:lvlText w:val="%1"/>
      <w:lvlJc w:val="left"/>
      <w:pPr>
        <w:ind w:left="1147" w:hanging="139"/>
        <w:jc w:val="right"/>
      </w:pPr>
      <w:rPr>
        <w:rFonts w:ascii="Cambria" w:eastAsia="Cambria" w:hAnsi="Cambria" w:cs="Cambria" w:hint="default"/>
        <w:color w:val="231F20"/>
        <w:w w:val="104"/>
        <w:sz w:val="16"/>
        <w:szCs w:val="16"/>
      </w:rPr>
    </w:lvl>
    <w:lvl w:ilvl="1" w:tplc="11FC2F00">
      <w:numFmt w:val="bullet"/>
      <w:lvlText w:val="•"/>
      <w:lvlJc w:val="left"/>
      <w:pPr>
        <w:ind w:left="1890" w:hanging="139"/>
      </w:pPr>
      <w:rPr>
        <w:rFonts w:hint="default"/>
      </w:rPr>
    </w:lvl>
    <w:lvl w:ilvl="2" w:tplc="73F04F36">
      <w:numFmt w:val="bullet"/>
      <w:lvlText w:val="•"/>
      <w:lvlJc w:val="left"/>
      <w:pPr>
        <w:ind w:left="2640" w:hanging="139"/>
      </w:pPr>
      <w:rPr>
        <w:rFonts w:hint="default"/>
      </w:rPr>
    </w:lvl>
    <w:lvl w:ilvl="3" w:tplc="354874CE">
      <w:numFmt w:val="bullet"/>
      <w:lvlText w:val="•"/>
      <w:lvlJc w:val="left"/>
      <w:pPr>
        <w:ind w:left="3390" w:hanging="139"/>
      </w:pPr>
      <w:rPr>
        <w:rFonts w:hint="default"/>
      </w:rPr>
    </w:lvl>
    <w:lvl w:ilvl="4" w:tplc="5BFAFBC8">
      <w:numFmt w:val="bullet"/>
      <w:lvlText w:val="•"/>
      <w:lvlJc w:val="left"/>
      <w:pPr>
        <w:ind w:left="4140" w:hanging="139"/>
      </w:pPr>
      <w:rPr>
        <w:rFonts w:hint="default"/>
      </w:rPr>
    </w:lvl>
    <w:lvl w:ilvl="5" w:tplc="C458DEAE">
      <w:numFmt w:val="bullet"/>
      <w:lvlText w:val="•"/>
      <w:lvlJc w:val="left"/>
      <w:pPr>
        <w:ind w:left="4890" w:hanging="139"/>
      </w:pPr>
      <w:rPr>
        <w:rFonts w:hint="default"/>
      </w:rPr>
    </w:lvl>
    <w:lvl w:ilvl="6" w:tplc="3DF66E8A">
      <w:numFmt w:val="bullet"/>
      <w:lvlText w:val="•"/>
      <w:lvlJc w:val="left"/>
      <w:pPr>
        <w:ind w:left="5640" w:hanging="139"/>
      </w:pPr>
      <w:rPr>
        <w:rFonts w:hint="default"/>
      </w:rPr>
    </w:lvl>
    <w:lvl w:ilvl="7" w:tplc="284437F4">
      <w:numFmt w:val="bullet"/>
      <w:lvlText w:val="•"/>
      <w:lvlJc w:val="left"/>
      <w:pPr>
        <w:ind w:left="6390" w:hanging="139"/>
      </w:pPr>
      <w:rPr>
        <w:rFonts w:hint="default"/>
      </w:rPr>
    </w:lvl>
    <w:lvl w:ilvl="8" w:tplc="DCAC4978">
      <w:numFmt w:val="bullet"/>
      <w:lvlText w:val="•"/>
      <w:lvlJc w:val="left"/>
      <w:pPr>
        <w:ind w:left="7140" w:hanging="139"/>
      </w:pPr>
      <w:rPr>
        <w:rFonts w:hint="default"/>
      </w:rPr>
    </w:lvl>
  </w:abstractNum>
  <w:abstractNum w:abstractNumId="46" w15:restartNumberingAfterBreak="0">
    <w:nsid w:val="1FAE0F5A"/>
    <w:multiLevelType w:val="hybridMultilevel"/>
    <w:tmpl w:val="4D7AA840"/>
    <w:lvl w:ilvl="0" w:tplc="11589FEC">
      <w:start w:val="1"/>
      <w:numFmt w:val="decimal"/>
      <w:lvlText w:val="%1"/>
      <w:lvlJc w:val="left"/>
      <w:pPr>
        <w:ind w:left="1147" w:hanging="139"/>
        <w:jc w:val="right"/>
      </w:pPr>
      <w:rPr>
        <w:rFonts w:ascii="Cambria" w:eastAsia="Cambria" w:hAnsi="Cambria" w:cs="Cambria" w:hint="default"/>
        <w:color w:val="231F20"/>
        <w:w w:val="104"/>
        <w:sz w:val="16"/>
        <w:szCs w:val="16"/>
      </w:rPr>
    </w:lvl>
    <w:lvl w:ilvl="1" w:tplc="9C50252C">
      <w:numFmt w:val="bullet"/>
      <w:lvlText w:val="•"/>
      <w:lvlJc w:val="left"/>
      <w:pPr>
        <w:ind w:left="1890" w:hanging="139"/>
      </w:pPr>
      <w:rPr>
        <w:rFonts w:hint="default"/>
      </w:rPr>
    </w:lvl>
    <w:lvl w:ilvl="2" w:tplc="8CB0C646">
      <w:numFmt w:val="bullet"/>
      <w:lvlText w:val="•"/>
      <w:lvlJc w:val="left"/>
      <w:pPr>
        <w:ind w:left="2640" w:hanging="139"/>
      </w:pPr>
      <w:rPr>
        <w:rFonts w:hint="default"/>
      </w:rPr>
    </w:lvl>
    <w:lvl w:ilvl="3" w:tplc="0D6E74F6">
      <w:numFmt w:val="bullet"/>
      <w:lvlText w:val="•"/>
      <w:lvlJc w:val="left"/>
      <w:pPr>
        <w:ind w:left="3390" w:hanging="139"/>
      </w:pPr>
      <w:rPr>
        <w:rFonts w:hint="default"/>
      </w:rPr>
    </w:lvl>
    <w:lvl w:ilvl="4" w:tplc="A450FD1C">
      <w:numFmt w:val="bullet"/>
      <w:lvlText w:val="•"/>
      <w:lvlJc w:val="left"/>
      <w:pPr>
        <w:ind w:left="4140" w:hanging="139"/>
      </w:pPr>
      <w:rPr>
        <w:rFonts w:hint="default"/>
      </w:rPr>
    </w:lvl>
    <w:lvl w:ilvl="5" w:tplc="B77E0166">
      <w:numFmt w:val="bullet"/>
      <w:lvlText w:val="•"/>
      <w:lvlJc w:val="left"/>
      <w:pPr>
        <w:ind w:left="4890" w:hanging="139"/>
      </w:pPr>
      <w:rPr>
        <w:rFonts w:hint="default"/>
      </w:rPr>
    </w:lvl>
    <w:lvl w:ilvl="6" w:tplc="FEFCD336">
      <w:numFmt w:val="bullet"/>
      <w:lvlText w:val="•"/>
      <w:lvlJc w:val="left"/>
      <w:pPr>
        <w:ind w:left="5640" w:hanging="139"/>
      </w:pPr>
      <w:rPr>
        <w:rFonts w:hint="default"/>
      </w:rPr>
    </w:lvl>
    <w:lvl w:ilvl="7" w:tplc="4F56F43E">
      <w:numFmt w:val="bullet"/>
      <w:lvlText w:val="•"/>
      <w:lvlJc w:val="left"/>
      <w:pPr>
        <w:ind w:left="6390" w:hanging="139"/>
      </w:pPr>
      <w:rPr>
        <w:rFonts w:hint="default"/>
      </w:rPr>
    </w:lvl>
    <w:lvl w:ilvl="8" w:tplc="A2DC7A54">
      <w:numFmt w:val="bullet"/>
      <w:lvlText w:val="•"/>
      <w:lvlJc w:val="left"/>
      <w:pPr>
        <w:ind w:left="7140" w:hanging="139"/>
      </w:pPr>
      <w:rPr>
        <w:rFonts w:hint="default"/>
      </w:rPr>
    </w:lvl>
  </w:abstractNum>
  <w:abstractNum w:abstractNumId="47" w15:restartNumberingAfterBreak="0">
    <w:nsid w:val="20286403"/>
    <w:multiLevelType w:val="hybridMultilevel"/>
    <w:tmpl w:val="1700C9F0"/>
    <w:lvl w:ilvl="0" w:tplc="75189C14">
      <w:start w:val="1"/>
      <w:numFmt w:val="decimal"/>
      <w:lvlText w:val="%1"/>
      <w:lvlJc w:val="left"/>
      <w:pPr>
        <w:ind w:left="1328" w:hanging="139"/>
      </w:pPr>
      <w:rPr>
        <w:rFonts w:ascii="Cambria" w:eastAsia="Cambria" w:hAnsi="Cambria" w:cs="Cambria" w:hint="default"/>
        <w:color w:val="231F20"/>
        <w:w w:val="104"/>
        <w:sz w:val="16"/>
        <w:szCs w:val="16"/>
      </w:rPr>
    </w:lvl>
    <w:lvl w:ilvl="1" w:tplc="30E0681C">
      <w:numFmt w:val="bullet"/>
      <w:lvlText w:val="•"/>
      <w:lvlJc w:val="left"/>
      <w:pPr>
        <w:ind w:left="2052" w:hanging="139"/>
      </w:pPr>
      <w:rPr>
        <w:rFonts w:hint="default"/>
      </w:rPr>
    </w:lvl>
    <w:lvl w:ilvl="2" w:tplc="78583186">
      <w:numFmt w:val="bullet"/>
      <w:lvlText w:val="•"/>
      <w:lvlJc w:val="left"/>
      <w:pPr>
        <w:ind w:left="2784" w:hanging="139"/>
      </w:pPr>
      <w:rPr>
        <w:rFonts w:hint="default"/>
      </w:rPr>
    </w:lvl>
    <w:lvl w:ilvl="3" w:tplc="5320587E">
      <w:numFmt w:val="bullet"/>
      <w:lvlText w:val="•"/>
      <w:lvlJc w:val="left"/>
      <w:pPr>
        <w:ind w:left="3516" w:hanging="139"/>
      </w:pPr>
      <w:rPr>
        <w:rFonts w:hint="default"/>
      </w:rPr>
    </w:lvl>
    <w:lvl w:ilvl="4" w:tplc="6FFCA9E2">
      <w:numFmt w:val="bullet"/>
      <w:lvlText w:val="•"/>
      <w:lvlJc w:val="left"/>
      <w:pPr>
        <w:ind w:left="4248" w:hanging="139"/>
      </w:pPr>
      <w:rPr>
        <w:rFonts w:hint="default"/>
      </w:rPr>
    </w:lvl>
    <w:lvl w:ilvl="5" w:tplc="E822FD30">
      <w:numFmt w:val="bullet"/>
      <w:lvlText w:val="•"/>
      <w:lvlJc w:val="left"/>
      <w:pPr>
        <w:ind w:left="4980" w:hanging="139"/>
      </w:pPr>
      <w:rPr>
        <w:rFonts w:hint="default"/>
      </w:rPr>
    </w:lvl>
    <w:lvl w:ilvl="6" w:tplc="D8421628">
      <w:numFmt w:val="bullet"/>
      <w:lvlText w:val="•"/>
      <w:lvlJc w:val="left"/>
      <w:pPr>
        <w:ind w:left="5712" w:hanging="139"/>
      </w:pPr>
      <w:rPr>
        <w:rFonts w:hint="default"/>
      </w:rPr>
    </w:lvl>
    <w:lvl w:ilvl="7" w:tplc="3E3E3A6A">
      <w:numFmt w:val="bullet"/>
      <w:lvlText w:val="•"/>
      <w:lvlJc w:val="left"/>
      <w:pPr>
        <w:ind w:left="6444" w:hanging="139"/>
      </w:pPr>
      <w:rPr>
        <w:rFonts w:hint="default"/>
      </w:rPr>
    </w:lvl>
    <w:lvl w:ilvl="8" w:tplc="806E8CEA">
      <w:numFmt w:val="bullet"/>
      <w:lvlText w:val="•"/>
      <w:lvlJc w:val="left"/>
      <w:pPr>
        <w:ind w:left="7176" w:hanging="139"/>
      </w:pPr>
      <w:rPr>
        <w:rFonts w:hint="default"/>
      </w:rPr>
    </w:lvl>
  </w:abstractNum>
  <w:abstractNum w:abstractNumId="48" w15:restartNumberingAfterBreak="0">
    <w:nsid w:val="207613D7"/>
    <w:multiLevelType w:val="hybridMultilevel"/>
    <w:tmpl w:val="885496DE"/>
    <w:lvl w:ilvl="0" w:tplc="6DF01B68">
      <w:start w:val="1"/>
      <w:numFmt w:val="decimal"/>
      <w:lvlText w:val="%1"/>
      <w:lvlJc w:val="left"/>
      <w:pPr>
        <w:ind w:left="1147" w:hanging="139"/>
        <w:jc w:val="right"/>
      </w:pPr>
      <w:rPr>
        <w:rFonts w:ascii="Cambria" w:eastAsia="Cambria" w:hAnsi="Cambria" w:cs="Cambria" w:hint="default"/>
        <w:color w:val="231F20"/>
        <w:w w:val="104"/>
        <w:sz w:val="16"/>
        <w:szCs w:val="16"/>
      </w:rPr>
    </w:lvl>
    <w:lvl w:ilvl="1" w:tplc="CC3A8C04">
      <w:numFmt w:val="bullet"/>
      <w:lvlText w:val="•"/>
      <w:lvlJc w:val="left"/>
      <w:pPr>
        <w:ind w:left="1320" w:hanging="139"/>
      </w:pPr>
      <w:rPr>
        <w:rFonts w:hint="default"/>
      </w:rPr>
    </w:lvl>
    <w:lvl w:ilvl="2" w:tplc="E6DAE1FA">
      <w:numFmt w:val="bullet"/>
      <w:lvlText w:val="•"/>
      <w:lvlJc w:val="left"/>
      <w:pPr>
        <w:ind w:left="2133" w:hanging="139"/>
      </w:pPr>
      <w:rPr>
        <w:rFonts w:hint="default"/>
      </w:rPr>
    </w:lvl>
    <w:lvl w:ilvl="3" w:tplc="BE94CF64">
      <w:numFmt w:val="bullet"/>
      <w:lvlText w:val="•"/>
      <w:lvlJc w:val="left"/>
      <w:pPr>
        <w:ind w:left="2946" w:hanging="139"/>
      </w:pPr>
      <w:rPr>
        <w:rFonts w:hint="default"/>
      </w:rPr>
    </w:lvl>
    <w:lvl w:ilvl="4" w:tplc="D43469A0">
      <w:numFmt w:val="bullet"/>
      <w:lvlText w:val="•"/>
      <w:lvlJc w:val="left"/>
      <w:pPr>
        <w:ind w:left="3760" w:hanging="139"/>
      </w:pPr>
      <w:rPr>
        <w:rFonts w:hint="default"/>
      </w:rPr>
    </w:lvl>
    <w:lvl w:ilvl="5" w:tplc="8236EBD8">
      <w:numFmt w:val="bullet"/>
      <w:lvlText w:val="•"/>
      <w:lvlJc w:val="left"/>
      <w:pPr>
        <w:ind w:left="4573" w:hanging="139"/>
      </w:pPr>
      <w:rPr>
        <w:rFonts w:hint="default"/>
      </w:rPr>
    </w:lvl>
    <w:lvl w:ilvl="6" w:tplc="3CCA7642">
      <w:numFmt w:val="bullet"/>
      <w:lvlText w:val="•"/>
      <w:lvlJc w:val="left"/>
      <w:pPr>
        <w:ind w:left="5386" w:hanging="139"/>
      </w:pPr>
      <w:rPr>
        <w:rFonts w:hint="default"/>
      </w:rPr>
    </w:lvl>
    <w:lvl w:ilvl="7" w:tplc="50ECD058">
      <w:numFmt w:val="bullet"/>
      <w:lvlText w:val="•"/>
      <w:lvlJc w:val="left"/>
      <w:pPr>
        <w:ind w:left="6200" w:hanging="139"/>
      </w:pPr>
      <w:rPr>
        <w:rFonts w:hint="default"/>
      </w:rPr>
    </w:lvl>
    <w:lvl w:ilvl="8" w:tplc="79DA1B92">
      <w:numFmt w:val="bullet"/>
      <w:lvlText w:val="•"/>
      <w:lvlJc w:val="left"/>
      <w:pPr>
        <w:ind w:left="7013" w:hanging="139"/>
      </w:pPr>
      <w:rPr>
        <w:rFonts w:hint="default"/>
      </w:rPr>
    </w:lvl>
  </w:abstractNum>
  <w:abstractNum w:abstractNumId="49" w15:restartNumberingAfterBreak="0">
    <w:nsid w:val="213770CF"/>
    <w:multiLevelType w:val="hybridMultilevel"/>
    <w:tmpl w:val="0C3A7F82"/>
    <w:lvl w:ilvl="0" w:tplc="098EC6CC">
      <w:start w:val="1"/>
      <w:numFmt w:val="decimal"/>
      <w:lvlText w:val="%1"/>
      <w:lvlJc w:val="left"/>
      <w:pPr>
        <w:ind w:left="1147" w:hanging="139"/>
      </w:pPr>
      <w:rPr>
        <w:rFonts w:ascii="Cambria" w:eastAsia="Cambria" w:hAnsi="Cambria" w:cs="Cambria" w:hint="default"/>
        <w:color w:val="231F20"/>
        <w:w w:val="104"/>
        <w:sz w:val="16"/>
        <w:szCs w:val="16"/>
      </w:rPr>
    </w:lvl>
    <w:lvl w:ilvl="1" w:tplc="24A06B00">
      <w:numFmt w:val="bullet"/>
      <w:lvlText w:val="•"/>
      <w:lvlJc w:val="left"/>
      <w:pPr>
        <w:ind w:left="1823" w:hanging="241"/>
      </w:pPr>
      <w:rPr>
        <w:rFonts w:ascii="Cambria" w:eastAsia="Cambria" w:hAnsi="Cambria" w:cs="Cambria" w:hint="default"/>
        <w:color w:val="231F20"/>
        <w:w w:val="112"/>
        <w:sz w:val="20"/>
        <w:szCs w:val="20"/>
      </w:rPr>
    </w:lvl>
    <w:lvl w:ilvl="2" w:tplc="6B503D06">
      <w:numFmt w:val="bullet"/>
      <w:lvlText w:val="•"/>
      <w:lvlJc w:val="left"/>
      <w:pPr>
        <w:ind w:left="2577" w:hanging="241"/>
      </w:pPr>
      <w:rPr>
        <w:rFonts w:hint="default"/>
      </w:rPr>
    </w:lvl>
    <w:lvl w:ilvl="3" w:tplc="8B802E3C">
      <w:numFmt w:val="bullet"/>
      <w:lvlText w:val="•"/>
      <w:lvlJc w:val="left"/>
      <w:pPr>
        <w:ind w:left="3335" w:hanging="241"/>
      </w:pPr>
      <w:rPr>
        <w:rFonts w:hint="default"/>
      </w:rPr>
    </w:lvl>
    <w:lvl w:ilvl="4" w:tplc="3B72FB58">
      <w:numFmt w:val="bullet"/>
      <w:lvlText w:val="•"/>
      <w:lvlJc w:val="left"/>
      <w:pPr>
        <w:ind w:left="4093" w:hanging="241"/>
      </w:pPr>
      <w:rPr>
        <w:rFonts w:hint="default"/>
      </w:rPr>
    </w:lvl>
    <w:lvl w:ilvl="5" w:tplc="FBE4EF1A">
      <w:numFmt w:val="bullet"/>
      <w:lvlText w:val="•"/>
      <w:lvlJc w:val="left"/>
      <w:pPr>
        <w:ind w:left="4851" w:hanging="241"/>
      </w:pPr>
      <w:rPr>
        <w:rFonts w:hint="default"/>
      </w:rPr>
    </w:lvl>
    <w:lvl w:ilvl="6" w:tplc="6358A2F0">
      <w:numFmt w:val="bullet"/>
      <w:lvlText w:val="•"/>
      <w:lvlJc w:val="left"/>
      <w:pPr>
        <w:ind w:left="5608" w:hanging="241"/>
      </w:pPr>
      <w:rPr>
        <w:rFonts w:hint="default"/>
      </w:rPr>
    </w:lvl>
    <w:lvl w:ilvl="7" w:tplc="4D366A4C">
      <w:numFmt w:val="bullet"/>
      <w:lvlText w:val="•"/>
      <w:lvlJc w:val="left"/>
      <w:pPr>
        <w:ind w:left="6366" w:hanging="241"/>
      </w:pPr>
      <w:rPr>
        <w:rFonts w:hint="default"/>
      </w:rPr>
    </w:lvl>
    <w:lvl w:ilvl="8" w:tplc="57803FAC">
      <w:numFmt w:val="bullet"/>
      <w:lvlText w:val="•"/>
      <w:lvlJc w:val="left"/>
      <w:pPr>
        <w:ind w:left="7124" w:hanging="241"/>
      </w:pPr>
      <w:rPr>
        <w:rFonts w:hint="default"/>
      </w:rPr>
    </w:lvl>
  </w:abstractNum>
  <w:abstractNum w:abstractNumId="50" w15:restartNumberingAfterBreak="0">
    <w:nsid w:val="22C759AE"/>
    <w:multiLevelType w:val="hybridMultilevel"/>
    <w:tmpl w:val="74A8EBE0"/>
    <w:lvl w:ilvl="0" w:tplc="A26A34FC">
      <w:numFmt w:val="bullet"/>
      <w:lvlText w:val="•"/>
      <w:lvlJc w:val="left"/>
      <w:pPr>
        <w:ind w:left="1644" w:hanging="240"/>
      </w:pPr>
      <w:rPr>
        <w:rFonts w:ascii="Cambria" w:eastAsia="Cambria" w:hAnsi="Cambria" w:cs="Cambria" w:hint="default"/>
        <w:color w:val="231F20"/>
        <w:w w:val="112"/>
        <w:sz w:val="20"/>
        <w:szCs w:val="20"/>
      </w:rPr>
    </w:lvl>
    <w:lvl w:ilvl="1" w:tplc="F50A2C24">
      <w:numFmt w:val="bullet"/>
      <w:lvlText w:val="•"/>
      <w:lvlJc w:val="left"/>
      <w:pPr>
        <w:ind w:left="2340" w:hanging="240"/>
      </w:pPr>
      <w:rPr>
        <w:rFonts w:hint="default"/>
      </w:rPr>
    </w:lvl>
    <w:lvl w:ilvl="2" w:tplc="BAFCC904">
      <w:numFmt w:val="bullet"/>
      <w:lvlText w:val="•"/>
      <w:lvlJc w:val="left"/>
      <w:pPr>
        <w:ind w:left="3040" w:hanging="240"/>
      </w:pPr>
      <w:rPr>
        <w:rFonts w:hint="default"/>
      </w:rPr>
    </w:lvl>
    <w:lvl w:ilvl="3" w:tplc="5A7A92C4">
      <w:numFmt w:val="bullet"/>
      <w:lvlText w:val="•"/>
      <w:lvlJc w:val="left"/>
      <w:pPr>
        <w:ind w:left="3740" w:hanging="240"/>
      </w:pPr>
      <w:rPr>
        <w:rFonts w:hint="default"/>
      </w:rPr>
    </w:lvl>
    <w:lvl w:ilvl="4" w:tplc="E37CABA2">
      <w:numFmt w:val="bullet"/>
      <w:lvlText w:val="•"/>
      <w:lvlJc w:val="left"/>
      <w:pPr>
        <w:ind w:left="4440" w:hanging="240"/>
      </w:pPr>
      <w:rPr>
        <w:rFonts w:hint="default"/>
      </w:rPr>
    </w:lvl>
    <w:lvl w:ilvl="5" w:tplc="D3DC1592">
      <w:numFmt w:val="bullet"/>
      <w:lvlText w:val="•"/>
      <w:lvlJc w:val="left"/>
      <w:pPr>
        <w:ind w:left="5140" w:hanging="240"/>
      </w:pPr>
      <w:rPr>
        <w:rFonts w:hint="default"/>
      </w:rPr>
    </w:lvl>
    <w:lvl w:ilvl="6" w:tplc="002023E2">
      <w:numFmt w:val="bullet"/>
      <w:lvlText w:val="•"/>
      <w:lvlJc w:val="left"/>
      <w:pPr>
        <w:ind w:left="5840" w:hanging="240"/>
      </w:pPr>
      <w:rPr>
        <w:rFonts w:hint="default"/>
      </w:rPr>
    </w:lvl>
    <w:lvl w:ilvl="7" w:tplc="E03037DE">
      <w:numFmt w:val="bullet"/>
      <w:lvlText w:val="•"/>
      <w:lvlJc w:val="left"/>
      <w:pPr>
        <w:ind w:left="6540" w:hanging="240"/>
      </w:pPr>
      <w:rPr>
        <w:rFonts w:hint="default"/>
      </w:rPr>
    </w:lvl>
    <w:lvl w:ilvl="8" w:tplc="A4FE3CD4">
      <w:numFmt w:val="bullet"/>
      <w:lvlText w:val="•"/>
      <w:lvlJc w:val="left"/>
      <w:pPr>
        <w:ind w:left="7240" w:hanging="240"/>
      </w:pPr>
      <w:rPr>
        <w:rFonts w:hint="default"/>
      </w:rPr>
    </w:lvl>
  </w:abstractNum>
  <w:abstractNum w:abstractNumId="51" w15:restartNumberingAfterBreak="0">
    <w:nsid w:val="237C0DCD"/>
    <w:multiLevelType w:val="hybridMultilevel"/>
    <w:tmpl w:val="58728890"/>
    <w:lvl w:ilvl="0" w:tplc="610699EE">
      <w:start w:val="2"/>
      <w:numFmt w:val="decimal"/>
      <w:lvlText w:val="%1"/>
      <w:lvlJc w:val="left"/>
      <w:pPr>
        <w:ind w:left="1327" w:hanging="139"/>
      </w:pPr>
      <w:rPr>
        <w:rFonts w:ascii="Cambria" w:eastAsia="Cambria" w:hAnsi="Cambria" w:cs="Cambria" w:hint="default"/>
        <w:color w:val="231F20"/>
        <w:w w:val="104"/>
        <w:sz w:val="16"/>
        <w:szCs w:val="16"/>
      </w:rPr>
    </w:lvl>
    <w:lvl w:ilvl="1" w:tplc="A52889D0">
      <w:numFmt w:val="bullet"/>
      <w:lvlText w:val="•"/>
      <w:lvlJc w:val="left"/>
      <w:pPr>
        <w:ind w:left="2052" w:hanging="139"/>
      </w:pPr>
      <w:rPr>
        <w:rFonts w:hint="default"/>
      </w:rPr>
    </w:lvl>
    <w:lvl w:ilvl="2" w:tplc="7AB88708">
      <w:numFmt w:val="bullet"/>
      <w:lvlText w:val="•"/>
      <w:lvlJc w:val="left"/>
      <w:pPr>
        <w:ind w:left="2784" w:hanging="139"/>
      </w:pPr>
      <w:rPr>
        <w:rFonts w:hint="default"/>
      </w:rPr>
    </w:lvl>
    <w:lvl w:ilvl="3" w:tplc="E310A066">
      <w:numFmt w:val="bullet"/>
      <w:lvlText w:val="•"/>
      <w:lvlJc w:val="left"/>
      <w:pPr>
        <w:ind w:left="3516" w:hanging="139"/>
      </w:pPr>
      <w:rPr>
        <w:rFonts w:hint="default"/>
      </w:rPr>
    </w:lvl>
    <w:lvl w:ilvl="4" w:tplc="0B10EA5E">
      <w:numFmt w:val="bullet"/>
      <w:lvlText w:val="•"/>
      <w:lvlJc w:val="left"/>
      <w:pPr>
        <w:ind w:left="4248" w:hanging="139"/>
      </w:pPr>
      <w:rPr>
        <w:rFonts w:hint="default"/>
      </w:rPr>
    </w:lvl>
    <w:lvl w:ilvl="5" w:tplc="DE54C8DE">
      <w:numFmt w:val="bullet"/>
      <w:lvlText w:val="•"/>
      <w:lvlJc w:val="left"/>
      <w:pPr>
        <w:ind w:left="4980" w:hanging="139"/>
      </w:pPr>
      <w:rPr>
        <w:rFonts w:hint="default"/>
      </w:rPr>
    </w:lvl>
    <w:lvl w:ilvl="6" w:tplc="78749F3C">
      <w:numFmt w:val="bullet"/>
      <w:lvlText w:val="•"/>
      <w:lvlJc w:val="left"/>
      <w:pPr>
        <w:ind w:left="5712" w:hanging="139"/>
      </w:pPr>
      <w:rPr>
        <w:rFonts w:hint="default"/>
      </w:rPr>
    </w:lvl>
    <w:lvl w:ilvl="7" w:tplc="52C02260">
      <w:numFmt w:val="bullet"/>
      <w:lvlText w:val="•"/>
      <w:lvlJc w:val="left"/>
      <w:pPr>
        <w:ind w:left="6444" w:hanging="139"/>
      </w:pPr>
      <w:rPr>
        <w:rFonts w:hint="default"/>
      </w:rPr>
    </w:lvl>
    <w:lvl w:ilvl="8" w:tplc="400A1F4C">
      <w:numFmt w:val="bullet"/>
      <w:lvlText w:val="•"/>
      <w:lvlJc w:val="left"/>
      <w:pPr>
        <w:ind w:left="7176" w:hanging="139"/>
      </w:pPr>
      <w:rPr>
        <w:rFonts w:hint="default"/>
      </w:rPr>
    </w:lvl>
  </w:abstractNum>
  <w:abstractNum w:abstractNumId="52" w15:restartNumberingAfterBreak="0">
    <w:nsid w:val="23D26C9E"/>
    <w:multiLevelType w:val="hybridMultilevel"/>
    <w:tmpl w:val="804AF890"/>
    <w:lvl w:ilvl="0" w:tplc="701C5772">
      <w:start w:val="2"/>
      <w:numFmt w:val="decimal"/>
      <w:lvlText w:val="%1"/>
      <w:lvlJc w:val="left"/>
      <w:pPr>
        <w:ind w:left="1147" w:hanging="139"/>
      </w:pPr>
      <w:rPr>
        <w:rFonts w:ascii="Cambria" w:eastAsia="Cambria" w:hAnsi="Cambria" w:cs="Cambria" w:hint="default"/>
        <w:color w:val="231F20"/>
        <w:w w:val="104"/>
        <w:sz w:val="16"/>
        <w:szCs w:val="16"/>
      </w:rPr>
    </w:lvl>
    <w:lvl w:ilvl="1" w:tplc="084A7E3E">
      <w:numFmt w:val="bullet"/>
      <w:lvlText w:val="•"/>
      <w:lvlJc w:val="left"/>
      <w:pPr>
        <w:ind w:left="1320" w:hanging="139"/>
      </w:pPr>
      <w:rPr>
        <w:rFonts w:hint="default"/>
      </w:rPr>
    </w:lvl>
    <w:lvl w:ilvl="2" w:tplc="75943CFA">
      <w:numFmt w:val="bullet"/>
      <w:lvlText w:val="•"/>
      <w:lvlJc w:val="left"/>
      <w:pPr>
        <w:ind w:left="2133" w:hanging="139"/>
      </w:pPr>
      <w:rPr>
        <w:rFonts w:hint="default"/>
      </w:rPr>
    </w:lvl>
    <w:lvl w:ilvl="3" w:tplc="8DEE8248">
      <w:numFmt w:val="bullet"/>
      <w:lvlText w:val="•"/>
      <w:lvlJc w:val="left"/>
      <w:pPr>
        <w:ind w:left="2946" w:hanging="139"/>
      </w:pPr>
      <w:rPr>
        <w:rFonts w:hint="default"/>
      </w:rPr>
    </w:lvl>
    <w:lvl w:ilvl="4" w:tplc="6E7ABD10">
      <w:numFmt w:val="bullet"/>
      <w:lvlText w:val="•"/>
      <w:lvlJc w:val="left"/>
      <w:pPr>
        <w:ind w:left="3760" w:hanging="139"/>
      </w:pPr>
      <w:rPr>
        <w:rFonts w:hint="default"/>
      </w:rPr>
    </w:lvl>
    <w:lvl w:ilvl="5" w:tplc="825CA6EC">
      <w:numFmt w:val="bullet"/>
      <w:lvlText w:val="•"/>
      <w:lvlJc w:val="left"/>
      <w:pPr>
        <w:ind w:left="4573" w:hanging="139"/>
      </w:pPr>
      <w:rPr>
        <w:rFonts w:hint="default"/>
      </w:rPr>
    </w:lvl>
    <w:lvl w:ilvl="6" w:tplc="4762D474">
      <w:numFmt w:val="bullet"/>
      <w:lvlText w:val="•"/>
      <w:lvlJc w:val="left"/>
      <w:pPr>
        <w:ind w:left="5386" w:hanging="139"/>
      </w:pPr>
      <w:rPr>
        <w:rFonts w:hint="default"/>
      </w:rPr>
    </w:lvl>
    <w:lvl w:ilvl="7" w:tplc="F8069F30">
      <w:numFmt w:val="bullet"/>
      <w:lvlText w:val="•"/>
      <w:lvlJc w:val="left"/>
      <w:pPr>
        <w:ind w:left="6200" w:hanging="139"/>
      </w:pPr>
      <w:rPr>
        <w:rFonts w:hint="default"/>
      </w:rPr>
    </w:lvl>
    <w:lvl w:ilvl="8" w:tplc="6AF84D1E">
      <w:numFmt w:val="bullet"/>
      <w:lvlText w:val="•"/>
      <w:lvlJc w:val="left"/>
      <w:pPr>
        <w:ind w:left="7013" w:hanging="139"/>
      </w:pPr>
      <w:rPr>
        <w:rFonts w:hint="default"/>
      </w:rPr>
    </w:lvl>
  </w:abstractNum>
  <w:abstractNum w:abstractNumId="53" w15:restartNumberingAfterBreak="0">
    <w:nsid w:val="261F1B53"/>
    <w:multiLevelType w:val="hybridMultilevel"/>
    <w:tmpl w:val="0150D0C8"/>
    <w:lvl w:ilvl="0" w:tplc="25465284">
      <w:start w:val="6"/>
      <w:numFmt w:val="decimal"/>
      <w:lvlText w:val="%1"/>
      <w:lvlJc w:val="left"/>
      <w:pPr>
        <w:ind w:left="1327" w:hanging="139"/>
      </w:pPr>
      <w:rPr>
        <w:rFonts w:ascii="Cambria" w:eastAsia="Cambria" w:hAnsi="Cambria" w:cs="Cambria" w:hint="default"/>
        <w:color w:val="231F20"/>
        <w:w w:val="104"/>
        <w:sz w:val="16"/>
        <w:szCs w:val="16"/>
      </w:rPr>
    </w:lvl>
    <w:lvl w:ilvl="1" w:tplc="00A403B6">
      <w:numFmt w:val="bullet"/>
      <w:lvlText w:val="•"/>
      <w:lvlJc w:val="left"/>
      <w:pPr>
        <w:ind w:left="2052" w:hanging="139"/>
      </w:pPr>
      <w:rPr>
        <w:rFonts w:hint="default"/>
      </w:rPr>
    </w:lvl>
    <w:lvl w:ilvl="2" w:tplc="C6DEBFA4">
      <w:numFmt w:val="bullet"/>
      <w:lvlText w:val="•"/>
      <w:lvlJc w:val="left"/>
      <w:pPr>
        <w:ind w:left="2784" w:hanging="139"/>
      </w:pPr>
      <w:rPr>
        <w:rFonts w:hint="default"/>
      </w:rPr>
    </w:lvl>
    <w:lvl w:ilvl="3" w:tplc="ABF8C4A0">
      <w:numFmt w:val="bullet"/>
      <w:lvlText w:val="•"/>
      <w:lvlJc w:val="left"/>
      <w:pPr>
        <w:ind w:left="3516" w:hanging="139"/>
      </w:pPr>
      <w:rPr>
        <w:rFonts w:hint="default"/>
      </w:rPr>
    </w:lvl>
    <w:lvl w:ilvl="4" w:tplc="D9ECCC2A">
      <w:numFmt w:val="bullet"/>
      <w:lvlText w:val="•"/>
      <w:lvlJc w:val="left"/>
      <w:pPr>
        <w:ind w:left="4248" w:hanging="139"/>
      </w:pPr>
      <w:rPr>
        <w:rFonts w:hint="default"/>
      </w:rPr>
    </w:lvl>
    <w:lvl w:ilvl="5" w:tplc="F45871C8">
      <w:numFmt w:val="bullet"/>
      <w:lvlText w:val="•"/>
      <w:lvlJc w:val="left"/>
      <w:pPr>
        <w:ind w:left="4980" w:hanging="139"/>
      </w:pPr>
      <w:rPr>
        <w:rFonts w:hint="default"/>
      </w:rPr>
    </w:lvl>
    <w:lvl w:ilvl="6" w:tplc="65CA88EE">
      <w:numFmt w:val="bullet"/>
      <w:lvlText w:val="•"/>
      <w:lvlJc w:val="left"/>
      <w:pPr>
        <w:ind w:left="5712" w:hanging="139"/>
      </w:pPr>
      <w:rPr>
        <w:rFonts w:hint="default"/>
      </w:rPr>
    </w:lvl>
    <w:lvl w:ilvl="7" w:tplc="7C9ABEBA">
      <w:numFmt w:val="bullet"/>
      <w:lvlText w:val="•"/>
      <w:lvlJc w:val="left"/>
      <w:pPr>
        <w:ind w:left="6444" w:hanging="139"/>
      </w:pPr>
      <w:rPr>
        <w:rFonts w:hint="default"/>
      </w:rPr>
    </w:lvl>
    <w:lvl w:ilvl="8" w:tplc="7422DCD2">
      <w:numFmt w:val="bullet"/>
      <w:lvlText w:val="•"/>
      <w:lvlJc w:val="left"/>
      <w:pPr>
        <w:ind w:left="7176" w:hanging="139"/>
      </w:pPr>
      <w:rPr>
        <w:rFonts w:hint="default"/>
      </w:rPr>
    </w:lvl>
  </w:abstractNum>
  <w:abstractNum w:abstractNumId="54" w15:restartNumberingAfterBreak="0">
    <w:nsid w:val="26484B78"/>
    <w:multiLevelType w:val="hybridMultilevel"/>
    <w:tmpl w:val="188AA5B0"/>
    <w:lvl w:ilvl="0" w:tplc="ED3005B0">
      <w:start w:val="1"/>
      <w:numFmt w:val="decimal"/>
      <w:lvlText w:val="%1"/>
      <w:lvlJc w:val="left"/>
      <w:pPr>
        <w:ind w:left="1147" w:hanging="139"/>
      </w:pPr>
      <w:rPr>
        <w:rFonts w:ascii="Cambria" w:eastAsia="Cambria" w:hAnsi="Cambria" w:cs="Cambria" w:hint="default"/>
        <w:color w:val="231F20"/>
        <w:w w:val="104"/>
        <w:sz w:val="16"/>
        <w:szCs w:val="16"/>
      </w:rPr>
    </w:lvl>
    <w:lvl w:ilvl="1" w:tplc="7898CB6C">
      <w:numFmt w:val="bullet"/>
      <w:lvlText w:val="•"/>
      <w:lvlJc w:val="left"/>
      <w:pPr>
        <w:ind w:left="1460" w:hanging="139"/>
      </w:pPr>
      <w:rPr>
        <w:rFonts w:hint="default"/>
      </w:rPr>
    </w:lvl>
    <w:lvl w:ilvl="2" w:tplc="9DDEFCAA">
      <w:numFmt w:val="bullet"/>
      <w:lvlText w:val="•"/>
      <w:lvlJc w:val="left"/>
      <w:pPr>
        <w:ind w:left="1852" w:hanging="139"/>
      </w:pPr>
      <w:rPr>
        <w:rFonts w:hint="default"/>
      </w:rPr>
    </w:lvl>
    <w:lvl w:ilvl="3" w:tplc="96BC471E">
      <w:numFmt w:val="bullet"/>
      <w:lvlText w:val="•"/>
      <w:lvlJc w:val="left"/>
      <w:pPr>
        <w:ind w:left="2245" w:hanging="139"/>
      </w:pPr>
      <w:rPr>
        <w:rFonts w:hint="default"/>
      </w:rPr>
    </w:lvl>
    <w:lvl w:ilvl="4" w:tplc="D83AE4C8">
      <w:numFmt w:val="bullet"/>
      <w:lvlText w:val="•"/>
      <w:lvlJc w:val="left"/>
      <w:pPr>
        <w:ind w:left="2638" w:hanging="139"/>
      </w:pPr>
      <w:rPr>
        <w:rFonts w:hint="default"/>
      </w:rPr>
    </w:lvl>
    <w:lvl w:ilvl="5" w:tplc="549EB806">
      <w:numFmt w:val="bullet"/>
      <w:lvlText w:val="•"/>
      <w:lvlJc w:val="left"/>
      <w:pPr>
        <w:ind w:left="3031" w:hanging="139"/>
      </w:pPr>
      <w:rPr>
        <w:rFonts w:hint="default"/>
      </w:rPr>
    </w:lvl>
    <w:lvl w:ilvl="6" w:tplc="6CEE8172">
      <w:numFmt w:val="bullet"/>
      <w:lvlText w:val="•"/>
      <w:lvlJc w:val="left"/>
      <w:pPr>
        <w:ind w:left="3424" w:hanging="139"/>
      </w:pPr>
      <w:rPr>
        <w:rFonts w:hint="default"/>
      </w:rPr>
    </w:lvl>
    <w:lvl w:ilvl="7" w:tplc="5C20A174">
      <w:numFmt w:val="bullet"/>
      <w:lvlText w:val="•"/>
      <w:lvlJc w:val="left"/>
      <w:pPr>
        <w:ind w:left="3817" w:hanging="139"/>
      </w:pPr>
      <w:rPr>
        <w:rFonts w:hint="default"/>
      </w:rPr>
    </w:lvl>
    <w:lvl w:ilvl="8" w:tplc="6D66437A">
      <w:numFmt w:val="bullet"/>
      <w:lvlText w:val="•"/>
      <w:lvlJc w:val="left"/>
      <w:pPr>
        <w:ind w:left="4210" w:hanging="139"/>
      </w:pPr>
      <w:rPr>
        <w:rFonts w:hint="default"/>
      </w:rPr>
    </w:lvl>
  </w:abstractNum>
  <w:abstractNum w:abstractNumId="55" w15:restartNumberingAfterBreak="0">
    <w:nsid w:val="273430DA"/>
    <w:multiLevelType w:val="hybridMultilevel"/>
    <w:tmpl w:val="992E1F30"/>
    <w:lvl w:ilvl="0" w:tplc="D3E6AC5A">
      <w:numFmt w:val="bullet"/>
      <w:lvlText w:val="•"/>
      <w:lvlJc w:val="left"/>
      <w:pPr>
        <w:ind w:left="1643" w:hanging="240"/>
      </w:pPr>
      <w:rPr>
        <w:rFonts w:ascii="Cambria" w:eastAsia="Cambria" w:hAnsi="Cambria" w:cs="Cambria" w:hint="default"/>
        <w:color w:val="231F20"/>
        <w:w w:val="112"/>
        <w:sz w:val="20"/>
        <w:szCs w:val="20"/>
      </w:rPr>
    </w:lvl>
    <w:lvl w:ilvl="1" w:tplc="82DCD54A">
      <w:numFmt w:val="bullet"/>
      <w:lvlText w:val="•"/>
      <w:lvlJc w:val="left"/>
      <w:pPr>
        <w:ind w:left="2340" w:hanging="240"/>
      </w:pPr>
      <w:rPr>
        <w:rFonts w:hint="default"/>
      </w:rPr>
    </w:lvl>
    <w:lvl w:ilvl="2" w:tplc="0016BB46">
      <w:numFmt w:val="bullet"/>
      <w:lvlText w:val="•"/>
      <w:lvlJc w:val="left"/>
      <w:pPr>
        <w:ind w:left="3040" w:hanging="240"/>
      </w:pPr>
      <w:rPr>
        <w:rFonts w:hint="default"/>
      </w:rPr>
    </w:lvl>
    <w:lvl w:ilvl="3" w:tplc="FFDE8D40">
      <w:numFmt w:val="bullet"/>
      <w:lvlText w:val="•"/>
      <w:lvlJc w:val="left"/>
      <w:pPr>
        <w:ind w:left="3740" w:hanging="240"/>
      </w:pPr>
      <w:rPr>
        <w:rFonts w:hint="default"/>
      </w:rPr>
    </w:lvl>
    <w:lvl w:ilvl="4" w:tplc="4504F76E">
      <w:numFmt w:val="bullet"/>
      <w:lvlText w:val="•"/>
      <w:lvlJc w:val="left"/>
      <w:pPr>
        <w:ind w:left="4440" w:hanging="240"/>
      </w:pPr>
      <w:rPr>
        <w:rFonts w:hint="default"/>
      </w:rPr>
    </w:lvl>
    <w:lvl w:ilvl="5" w:tplc="FE080FDA">
      <w:numFmt w:val="bullet"/>
      <w:lvlText w:val="•"/>
      <w:lvlJc w:val="left"/>
      <w:pPr>
        <w:ind w:left="5140" w:hanging="240"/>
      </w:pPr>
      <w:rPr>
        <w:rFonts w:hint="default"/>
      </w:rPr>
    </w:lvl>
    <w:lvl w:ilvl="6" w:tplc="8382B0E6">
      <w:numFmt w:val="bullet"/>
      <w:lvlText w:val="•"/>
      <w:lvlJc w:val="left"/>
      <w:pPr>
        <w:ind w:left="5840" w:hanging="240"/>
      </w:pPr>
      <w:rPr>
        <w:rFonts w:hint="default"/>
      </w:rPr>
    </w:lvl>
    <w:lvl w:ilvl="7" w:tplc="DC9E25BE">
      <w:numFmt w:val="bullet"/>
      <w:lvlText w:val="•"/>
      <w:lvlJc w:val="left"/>
      <w:pPr>
        <w:ind w:left="6540" w:hanging="240"/>
      </w:pPr>
      <w:rPr>
        <w:rFonts w:hint="default"/>
      </w:rPr>
    </w:lvl>
    <w:lvl w:ilvl="8" w:tplc="3D02EB38">
      <w:numFmt w:val="bullet"/>
      <w:lvlText w:val="•"/>
      <w:lvlJc w:val="left"/>
      <w:pPr>
        <w:ind w:left="7240" w:hanging="240"/>
      </w:pPr>
      <w:rPr>
        <w:rFonts w:hint="default"/>
      </w:rPr>
    </w:lvl>
  </w:abstractNum>
  <w:abstractNum w:abstractNumId="56" w15:restartNumberingAfterBreak="0">
    <w:nsid w:val="2751005B"/>
    <w:multiLevelType w:val="hybridMultilevel"/>
    <w:tmpl w:val="7F0C9072"/>
    <w:lvl w:ilvl="0" w:tplc="E9D2E36E">
      <w:start w:val="4"/>
      <w:numFmt w:val="decimal"/>
      <w:lvlText w:val="%1"/>
      <w:lvlJc w:val="left"/>
      <w:pPr>
        <w:ind w:left="1466" w:hanging="139"/>
      </w:pPr>
      <w:rPr>
        <w:rFonts w:ascii="Cambria" w:eastAsia="Cambria" w:hAnsi="Cambria" w:cs="Cambria" w:hint="default"/>
        <w:color w:val="231F20"/>
        <w:w w:val="104"/>
        <w:sz w:val="16"/>
        <w:szCs w:val="16"/>
      </w:rPr>
    </w:lvl>
    <w:lvl w:ilvl="1" w:tplc="7D2ED3FE">
      <w:numFmt w:val="bullet"/>
      <w:lvlText w:val="•"/>
      <w:lvlJc w:val="left"/>
      <w:pPr>
        <w:ind w:left="2178" w:hanging="139"/>
      </w:pPr>
      <w:rPr>
        <w:rFonts w:hint="default"/>
      </w:rPr>
    </w:lvl>
    <w:lvl w:ilvl="2" w:tplc="3B7677BE">
      <w:numFmt w:val="bullet"/>
      <w:lvlText w:val="•"/>
      <w:lvlJc w:val="left"/>
      <w:pPr>
        <w:ind w:left="2896" w:hanging="139"/>
      </w:pPr>
      <w:rPr>
        <w:rFonts w:hint="default"/>
      </w:rPr>
    </w:lvl>
    <w:lvl w:ilvl="3" w:tplc="18EA23C2">
      <w:numFmt w:val="bullet"/>
      <w:lvlText w:val="•"/>
      <w:lvlJc w:val="left"/>
      <w:pPr>
        <w:ind w:left="3614" w:hanging="139"/>
      </w:pPr>
      <w:rPr>
        <w:rFonts w:hint="default"/>
      </w:rPr>
    </w:lvl>
    <w:lvl w:ilvl="4" w:tplc="338CF54E">
      <w:numFmt w:val="bullet"/>
      <w:lvlText w:val="•"/>
      <w:lvlJc w:val="left"/>
      <w:pPr>
        <w:ind w:left="4332" w:hanging="139"/>
      </w:pPr>
      <w:rPr>
        <w:rFonts w:hint="default"/>
      </w:rPr>
    </w:lvl>
    <w:lvl w:ilvl="5" w:tplc="5D588AC2">
      <w:numFmt w:val="bullet"/>
      <w:lvlText w:val="•"/>
      <w:lvlJc w:val="left"/>
      <w:pPr>
        <w:ind w:left="5050" w:hanging="139"/>
      </w:pPr>
      <w:rPr>
        <w:rFonts w:hint="default"/>
      </w:rPr>
    </w:lvl>
    <w:lvl w:ilvl="6" w:tplc="C6EE5524">
      <w:numFmt w:val="bullet"/>
      <w:lvlText w:val="•"/>
      <w:lvlJc w:val="left"/>
      <w:pPr>
        <w:ind w:left="5768" w:hanging="139"/>
      </w:pPr>
      <w:rPr>
        <w:rFonts w:hint="default"/>
      </w:rPr>
    </w:lvl>
    <w:lvl w:ilvl="7" w:tplc="B364B620">
      <w:numFmt w:val="bullet"/>
      <w:lvlText w:val="•"/>
      <w:lvlJc w:val="left"/>
      <w:pPr>
        <w:ind w:left="6486" w:hanging="139"/>
      </w:pPr>
      <w:rPr>
        <w:rFonts w:hint="default"/>
      </w:rPr>
    </w:lvl>
    <w:lvl w:ilvl="8" w:tplc="721ADDA6">
      <w:numFmt w:val="bullet"/>
      <w:lvlText w:val="•"/>
      <w:lvlJc w:val="left"/>
      <w:pPr>
        <w:ind w:left="7204" w:hanging="139"/>
      </w:pPr>
      <w:rPr>
        <w:rFonts w:hint="default"/>
      </w:rPr>
    </w:lvl>
  </w:abstractNum>
  <w:abstractNum w:abstractNumId="57" w15:restartNumberingAfterBreak="0">
    <w:nsid w:val="27F22CB7"/>
    <w:multiLevelType w:val="hybridMultilevel"/>
    <w:tmpl w:val="23665E20"/>
    <w:lvl w:ilvl="0" w:tplc="803AC1B0">
      <w:start w:val="9"/>
      <w:numFmt w:val="decimal"/>
      <w:lvlText w:val="%1"/>
      <w:lvlJc w:val="left"/>
      <w:pPr>
        <w:ind w:left="1148" w:hanging="139"/>
        <w:jc w:val="right"/>
      </w:pPr>
      <w:rPr>
        <w:rFonts w:ascii="Cambria" w:eastAsia="Cambria" w:hAnsi="Cambria" w:cs="Cambria" w:hint="default"/>
        <w:color w:val="231F20"/>
        <w:w w:val="104"/>
        <w:sz w:val="16"/>
        <w:szCs w:val="16"/>
      </w:rPr>
    </w:lvl>
    <w:lvl w:ilvl="1" w:tplc="F64A0872">
      <w:numFmt w:val="bullet"/>
      <w:lvlText w:val="•"/>
      <w:lvlJc w:val="left"/>
      <w:pPr>
        <w:ind w:left="1890" w:hanging="139"/>
      </w:pPr>
      <w:rPr>
        <w:rFonts w:hint="default"/>
      </w:rPr>
    </w:lvl>
    <w:lvl w:ilvl="2" w:tplc="480E8FAA">
      <w:numFmt w:val="bullet"/>
      <w:lvlText w:val="•"/>
      <w:lvlJc w:val="left"/>
      <w:pPr>
        <w:ind w:left="2640" w:hanging="139"/>
      </w:pPr>
      <w:rPr>
        <w:rFonts w:hint="default"/>
      </w:rPr>
    </w:lvl>
    <w:lvl w:ilvl="3" w:tplc="FCA60FB2">
      <w:numFmt w:val="bullet"/>
      <w:lvlText w:val="•"/>
      <w:lvlJc w:val="left"/>
      <w:pPr>
        <w:ind w:left="3390" w:hanging="139"/>
      </w:pPr>
      <w:rPr>
        <w:rFonts w:hint="default"/>
      </w:rPr>
    </w:lvl>
    <w:lvl w:ilvl="4" w:tplc="92601068">
      <w:numFmt w:val="bullet"/>
      <w:lvlText w:val="•"/>
      <w:lvlJc w:val="left"/>
      <w:pPr>
        <w:ind w:left="4140" w:hanging="139"/>
      </w:pPr>
      <w:rPr>
        <w:rFonts w:hint="default"/>
      </w:rPr>
    </w:lvl>
    <w:lvl w:ilvl="5" w:tplc="DF58EBC6">
      <w:numFmt w:val="bullet"/>
      <w:lvlText w:val="•"/>
      <w:lvlJc w:val="left"/>
      <w:pPr>
        <w:ind w:left="4890" w:hanging="139"/>
      </w:pPr>
      <w:rPr>
        <w:rFonts w:hint="default"/>
      </w:rPr>
    </w:lvl>
    <w:lvl w:ilvl="6" w:tplc="B07E80FE">
      <w:numFmt w:val="bullet"/>
      <w:lvlText w:val="•"/>
      <w:lvlJc w:val="left"/>
      <w:pPr>
        <w:ind w:left="5640" w:hanging="139"/>
      </w:pPr>
      <w:rPr>
        <w:rFonts w:hint="default"/>
      </w:rPr>
    </w:lvl>
    <w:lvl w:ilvl="7" w:tplc="F56CD57E">
      <w:numFmt w:val="bullet"/>
      <w:lvlText w:val="•"/>
      <w:lvlJc w:val="left"/>
      <w:pPr>
        <w:ind w:left="6390" w:hanging="139"/>
      </w:pPr>
      <w:rPr>
        <w:rFonts w:hint="default"/>
      </w:rPr>
    </w:lvl>
    <w:lvl w:ilvl="8" w:tplc="0276DCDA">
      <w:numFmt w:val="bullet"/>
      <w:lvlText w:val="•"/>
      <w:lvlJc w:val="left"/>
      <w:pPr>
        <w:ind w:left="7140" w:hanging="139"/>
      </w:pPr>
      <w:rPr>
        <w:rFonts w:hint="default"/>
      </w:rPr>
    </w:lvl>
  </w:abstractNum>
  <w:abstractNum w:abstractNumId="58" w15:restartNumberingAfterBreak="0">
    <w:nsid w:val="29583CBA"/>
    <w:multiLevelType w:val="hybridMultilevel"/>
    <w:tmpl w:val="D34A7096"/>
    <w:lvl w:ilvl="0" w:tplc="CCD22C80">
      <w:start w:val="1"/>
      <w:numFmt w:val="decimal"/>
      <w:lvlText w:val="%1"/>
      <w:lvlJc w:val="left"/>
      <w:pPr>
        <w:ind w:left="1328" w:hanging="139"/>
      </w:pPr>
      <w:rPr>
        <w:rFonts w:ascii="Cambria" w:eastAsia="Cambria" w:hAnsi="Cambria" w:cs="Cambria" w:hint="default"/>
        <w:color w:val="231F20"/>
        <w:w w:val="104"/>
        <w:sz w:val="16"/>
        <w:szCs w:val="16"/>
      </w:rPr>
    </w:lvl>
    <w:lvl w:ilvl="1" w:tplc="9F54D4DA">
      <w:numFmt w:val="bullet"/>
      <w:lvlText w:val="•"/>
      <w:lvlJc w:val="left"/>
      <w:pPr>
        <w:ind w:left="2052" w:hanging="139"/>
      </w:pPr>
      <w:rPr>
        <w:rFonts w:hint="default"/>
      </w:rPr>
    </w:lvl>
    <w:lvl w:ilvl="2" w:tplc="51C44786">
      <w:numFmt w:val="bullet"/>
      <w:lvlText w:val="•"/>
      <w:lvlJc w:val="left"/>
      <w:pPr>
        <w:ind w:left="2784" w:hanging="139"/>
      </w:pPr>
      <w:rPr>
        <w:rFonts w:hint="default"/>
      </w:rPr>
    </w:lvl>
    <w:lvl w:ilvl="3" w:tplc="3934EF54">
      <w:numFmt w:val="bullet"/>
      <w:lvlText w:val="•"/>
      <w:lvlJc w:val="left"/>
      <w:pPr>
        <w:ind w:left="3516" w:hanging="139"/>
      </w:pPr>
      <w:rPr>
        <w:rFonts w:hint="default"/>
      </w:rPr>
    </w:lvl>
    <w:lvl w:ilvl="4" w:tplc="1564173C">
      <w:numFmt w:val="bullet"/>
      <w:lvlText w:val="•"/>
      <w:lvlJc w:val="left"/>
      <w:pPr>
        <w:ind w:left="4248" w:hanging="139"/>
      </w:pPr>
      <w:rPr>
        <w:rFonts w:hint="default"/>
      </w:rPr>
    </w:lvl>
    <w:lvl w:ilvl="5" w:tplc="A87E9C6E">
      <w:numFmt w:val="bullet"/>
      <w:lvlText w:val="•"/>
      <w:lvlJc w:val="left"/>
      <w:pPr>
        <w:ind w:left="4980" w:hanging="139"/>
      </w:pPr>
      <w:rPr>
        <w:rFonts w:hint="default"/>
      </w:rPr>
    </w:lvl>
    <w:lvl w:ilvl="6" w:tplc="D6E6E67C">
      <w:numFmt w:val="bullet"/>
      <w:lvlText w:val="•"/>
      <w:lvlJc w:val="left"/>
      <w:pPr>
        <w:ind w:left="5712" w:hanging="139"/>
      </w:pPr>
      <w:rPr>
        <w:rFonts w:hint="default"/>
      </w:rPr>
    </w:lvl>
    <w:lvl w:ilvl="7" w:tplc="DFCAF078">
      <w:numFmt w:val="bullet"/>
      <w:lvlText w:val="•"/>
      <w:lvlJc w:val="left"/>
      <w:pPr>
        <w:ind w:left="6444" w:hanging="139"/>
      </w:pPr>
      <w:rPr>
        <w:rFonts w:hint="default"/>
      </w:rPr>
    </w:lvl>
    <w:lvl w:ilvl="8" w:tplc="E79CE7B8">
      <w:numFmt w:val="bullet"/>
      <w:lvlText w:val="•"/>
      <w:lvlJc w:val="left"/>
      <w:pPr>
        <w:ind w:left="7176" w:hanging="139"/>
      </w:pPr>
      <w:rPr>
        <w:rFonts w:hint="default"/>
      </w:rPr>
    </w:lvl>
  </w:abstractNum>
  <w:abstractNum w:abstractNumId="59" w15:restartNumberingAfterBreak="0">
    <w:nsid w:val="2A117B52"/>
    <w:multiLevelType w:val="hybridMultilevel"/>
    <w:tmpl w:val="8362C89E"/>
    <w:lvl w:ilvl="0" w:tplc="DBD2A1D8">
      <w:start w:val="1"/>
      <w:numFmt w:val="decimal"/>
      <w:lvlText w:val="%1"/>
      <w:lvlJc w:val="left"/>
      <w:pPr>
        <w:ind w:left="1148" w:hanging="139"/>
      </w:pPr>
      <w:rPr>
        <w:rFonts w:ascii="Cambria" w:eastAsia="Cambria" w:hAnsi="Cambria" w:cs="Cambria" w:hint="default"/>
        <w:color w:val="231F20"/>
        <w:w w:val="104"/>
        <w:sz w:val="16"/>
        <w:szCs w:val="16"/>
      </w:rPr>
    </w:lvl>
    <w:lvl w:ilvl="1" w:tplc="5FD604BE">
      <w:start w:val="1"/>
      <w:numFmt w:val="decimal"/>
      <w:lvlText w:val="%2"/>
      <w:lvlJc w:val="left"/>
      <w:pPr>
        <w:ind w:left="1327" w:hanging="139"/>
      </w:pPr>
      <w:rPr>
        <w:rFonts w:ascii="Cambria" w:eastAsia="Cambria" w:hAnsi="Cambria" w:cs="Cambria" w:hint="default"/>
        <w:color w:val="231F20"/>
        <w:w w:val="104"/>
        <w:sz w:val="16"/>
        <w:szCs w:val="16"/>
      </w:rPr>
    </w:lvl>
    <w:lvl w:ilvl="2" w:tplc="4C7E1064">
      <w:numFmt w:val="bullet"/>
      <w:lvlText w:val="•"/>
      <w:lvlJc w:val="left"/>
      <w:pPr>
        <w:ind w:left="2133" w:hanging="139"/>
      </w:pPr>
      <w:rPr>
        <w:rFonts w:hint="default"/>
      </w:rPr>
    </w:lvl>
    <w:lvl w:ilvl="3" w:tplc="2014F5E8">
      <w:numFmt w:val="bullet"/>
      <w:lvlText w:val="•"/>
      <w:lvlJc w:val="left"/>
      <w:pPr>
        <w:ind w:left="2946" w:hanging="139"/>
      </w:pPr>
      <w:rPr>
        <w:rFonts w:hint="default"/>
      </w:rPr>
    </w:lvl>
    <w:lvl w:ilvl="4" w:tplc="500C340C">
      <w:numFmt w:val="bullet"/>
      <w:lvlText w:val="•"/>
      <w:lvlJc w:val="left"/>
      <w:pPr>
        <w:ind w:left="3760" w:hanging="139"/>
      </w:pPr>
      <w:rPr>
        <w:rFonts w:hint="default"/>
      </w:rPr>
    </w:lvl>
    <w:lvl w:ilvl="5" w:tplc="02F86098">
      <w:numFmt w:val="bullet"/>
      <w:lvlText w:val="•"/>
      <w:lvlJc w:val="left"/>
      <w:pPr>
        <w:ind w:left="4573" w:hanging="139"/>
      </w:pPr>
      <w:rPr>
        <w:rFonts w:hint="default"/>
      </w:rPr>
    </w:lvl>
    <w:lvl w:ilvl="6" w:tplc="037873B8">
      <w:numFmt w:val="bullet"/>
      <w:lvlText w:val="•"/>
      <w:lvlJc w:val="left"/>
      <w:pPr>
        <w:ind w:left="5386" w:hanging="139"/>
      </w:pPr>
      <w:rPr>
        <w:rFonts w:hint="default"/>
      </w:rPr>
    </w:lvl>
    <w:lvl w:ilvl="7" w:tplc="DEF04D6E">
      <w:numFmt w:val="bullet"/>
      <w:lvlText w:val="•"/>
      <w:lvlJc w:val="left"/>
      <w:pPr>
        <w:ind w:left="6200" w:hanging="139"/>
      </w:pPr>
      <w:rPr>
        <w:rFonts w:hint="default"/>
      </w:rPr>
    </w:lvl>
    <w:lvl w:ilvl="8" w:tplc="D960E984">
      <w:numFmt w:val="bullet"/>
      <w:lvlText w:val="•"/>
      <w:lvlJc w:val="left"/>
      <w:pPr>
        <w:ind w:left="7013" w:hanging="139"/>
      </w:pPr>
      <w:rPr>
        <w:rFonts w:hint="default"/>
      </w:rPr>
    </w:lvl>
  </w:abstractNum>
  <w:abstractNum w:abstractNumId="60" w15:restartNumberingAfterBreak="0">
    <w:nsid w:val="2A801B6D"/>
    <w:multiLevelType w:val="hybridMultilevel"/>
    <w:tmpl w:val="DC647A62"/>
    <w:lvl w:ilvl="0" w:tplc="77B0242A">
      <w:start w:val="1"/>
      <w:numFmt w:val="decimal"/>
      <w:lvlText w:val="%1"/>
      <w:lvlJc w:val="left"/>
      <w:pPr>
        <w:ind w:left="1147" w:hanging="139"/>
        <w:jc w:val="right"/>
      </w:pPr>
      <w:rPr>
        <w:rFonts w:ascii="Cambria" w:eastAsia="Cambria" w:hAnsi="Cambria" w:cs="Cambria" w:hint="default"/>
        <w:color w:val="231F20"/>
        <w:w w:val="104"/>
        <w:sz w:val="16"/>
        <w:szCs w:val="16"/>
      </w:rPr>
    </w:lvl>
    <w:lvl w:ilvl="1" w:tplc="D5E41DAE">
      <w:numFmt w:val="bullet"/>
      <w:lvlText w:val="•"/>
      <w:lvlJc w:val="left"/>
      <w:pPr>
        <w:ind w:left="1890" w:hanging="139"/>
      </w:pPr>
      <w:rPr>
        <w:rFonts w:hint="default"/>
      </w:rPr>
    </w:lvl>
    <w:lvl w:ilvl="2" w:tplc="FE9C6EB6">
      <w:numFmt w:val="bullet"/>
      <w:lvlText w:val="•"/>
      <w:lvlJc w:val="left"/>
      <w:pPr>
        <w:ind w:left="2640" w:hanging="139"/>
      </w:pPr>
      <w:rPr>
        <w:rFonts w:hint="default"/>
      </w:rPr>
    </w:lvl>
    <w:lvl w:ilvl="3" w:tplc="93B2B49C">
      <w:numFmt w:val="bullet"/>
      <w:lvlText w:val="•"/>
      <w:lvlJc w:val="left"/>
      <w:pPr>
        <w:ind w:left="3390" w:hanging="139"/>
      </w:pPr>
      <w:rPr>
        <w:rFonts w:hint="default"/>
      </w:rPr>
    </w:lvl>
    <w:lvl w:ilvl="4" w:tplc="5FFCDC78">
      <w:numFmt w:val="bullet"/>
      <w:lvlText w:val="•"/>
      <w:lvlJc w:val="left"/>
      <w:pPr>
        <w:ind w:left="4140" w:hanging="139"/>
      </w:pPr>
      <w:rPr>
        <w:rFonts w:hint="default"/>
      </w:rPr>
    </w:lvl>
    <w:lvl w:ilvl="5" w:tplc="65A616EE">
      <w:numFmt w:val="bullet"/>
      <w:lvlText w:val="•"/>
      <w:lvlJc w:val="left"/>
      <w:pPr>
        <w:ind w:left="4890" w:hanging="139"/>
      </w:pPr>
      <w:rPr>
        <w:rFonts w:hint="default"/>
      </w:rPr>
    </w:lvl>
    <w:lvl w:ilvl="6" w:tplc="242AECDE">
      <w:numFmt w:val="bullet"/>
      <w:lvlText w:val="•"/>
      <w:lvlJc w:val="left"/>
      <w:pPr>
        <w:ind w:left="5640" w:hanging="139"/>
      </w:pPr>
      <w:rPr>
        <w:rFonts w:hint="default"/>
      </w:rPr>
    </w:lvl>
    <w:lvl w:ilvl="7" w:tplc="A0625B16">
      <w:numFmt w:val="bullet"/>
      <w:lvlText w:val="•"/>
      <w:lvlJc w:val="left"/>
      <w:pPr>
        <w:ind w:left="6390" w:hanging="139"/>
      </w:pPr>
      <w:rPr>
        <w:rFonts w:hint="default"/>
      </w:rPr>
    </w:lvl>
    <w:lvl w:ilvl="8" w:tplc="D4F08C1A">
      <w:numFmt w:val="bullet"/>
      <w:lvlText w:val="•"/>
      <w:lvlJc w:val="left"/>
      <w:pPr>
        <w:ind w:left="7140" w:hanging="139"/>
      </w:pPr>
      <w:rPr>
        <w:rFonts w:hint="default"/>
      </w:rPr>
    </w:lvl>
  </w:abstractNum>
  <w:abstractNum w:abstractNumId="61" w15:restartNumberingAfterBreak="0">
    <w:nsid w:val="2B8A0E2A"/>
    <w:multiLevelType w:val="hybridMultilevel"/>
    <w:tmpl w:val="3C4E07CC"/>
    <w:lvl w:ilvl="0" w:tplc="868C20CC">
      <w:start w:val="1"/>
      <w:numFmt w:val="decimal"/>
      <w:lvlText w:val="%1"/>
      <w:lvlJc w:val="left"/>
      <w:pPr>
        <w:ind w:left="1328" w:hanging="139"/>
        <w:jc w:val="right"/>
      </w:pPr>
      <w:rPr>
        <w:rFonts w:ascii="Cambria" w:eastAsia="Cambria" w:hAnsi="Cambria" w:cs="Cambria" w:hint="default"/>
        <w:color w:val="231F20"/>
        <w:w w:val="104"/>
        <w:sz w:val="16"/>
        <w:szCs w:val="16"/>
      </w:rPr>
    </w:lvl>
    <w:lvl w:ilvl="1" w:tplc="84542B76">
      <w:numFmt w:val="bullet"/>
      <w:lvlText w:val="•"/>
      <w:lvlJc w:val="left"/>
      <w:pPr>
        <w:ind w:left="2052" w:hanging="139"/>
      </w:pPr>
      <w:rPr>
        <w:rFonts w:hint="default"/>
      </w:rPr>
    </w:lvl>
    <w:lvl w:ilvl="2" w:tplc="C55621AA">
      <w:numFmt w:val="bullet"/>
      <w:lvlText w:val="•"/>
      <w:lvlJc w:val="left"/>
      <w:pPr>
        <w:ind w:left="2784" w:hanging="139"/>
      </w:pPr>
      <w:rPr>
        <w:rFonts w:hint="default"/>
      </w:rPr>
    </w:lvl>
    <w:lvl w:ilvl="3" w:tplc="E8602F6C">
      <w:numFmt w:val="bullet"/>
      <w:lvlText w:val="•"/>
      <w:lvlJc w:val="left"/>
      <w:pPr>
        <w:ind w:left="3516" w:hanging="139"/>
      </w:pPr>
      <w:rPr>
        <w:rFonts w:hint="default"/>
      </w:rPr>
    </w:lvl>
    <w:lvl w:ilvl="4" w:tplc="88E420EC">
      <w:numFmt w:val="bullet"/>
      <w:lvlText w:val="•"/>
      <w:lvlJc w:val="left"/>
      <w:pPr>
        <w:ind w:left="4248" w:hanging="139"/>
      </w:pPr>
      <w:rPr>
        <w:rFonts w:hint="default"/>
      </w:rPr>
    </w:lvl>
    <w:lvl w:ilvl="5" w:tplc="6D5243CE">
      <w:numFmt w:val="bullet"/>
      <w:lvlText w:val="•"/>
      <w:lvlJc w:val="left"/>
      <w:pPr>
        <w:ind w:left="4980" w:hanging="139"/>
      </w:pPr>
      <w:rPr>
        <w:rFonts w:hint="default"/>
      </w:rPr>
    </w:lvl>
    <w:lvl w:ilvl="6" w:tplc="BA7C9CB6">
      <w:numFmt w:val="bullet"/>
      <w:lvlText w:val="•"/>
      <w:lvlJc w:val="left"/>
      <w:pPr>
        <w:ind w:left="5712" w:hanging="139"/>
      </w:pPr>
      <w:rPr>
        <w:rFonts w:hint="default"/>
      </w:rPr>
    </w:lvl>
    <w:lvl w:ilvl="7" w:tplc="76EEF992">
      <w:numFmt w:val="bullet"/>
      <w:lvlText w:val="•"/>
      <w:lvlJc w:val="left"/>
      <w:pPr>
        <w:ind w:left="6444" w:hanging="139"/>
      </w:pPr>
      <w:rPr>
        <w:rFonts w:hint="default"/>
      </w:rPr>
    </w:lvl>
    <w:lvl w:ilvl="8" w:tplc="0962628A">
      <w:numFmt w:val="bullet"/>
      <w:lvlText w:val="•"/>
      <w:lvlJc w:val="left"/>
      <w:pPr>
        <w:ind w:left="7176" w:hanging="139"/>
      </w:pPr>
      <w:rPr>
        <w:rFonts w:hint="default"/>
      </w:rPr>
    </w:lvl>
  </w:abstractNum>
  <w:abstractNum w:abstractNumId="62" w15:restartNumberingAfterBreak="0">
    <w:nsid w:val="2DF5463B"/>
    <w:multiLevelType w:val="hybridMultilevel"/>
    <w:tmpl w:val="0126651A"/>
    <w:lvl w:ilvl="0" w:tplc="EFFC520C">
      <w:start w:val="2"/>
      <w:numFmt w:val="decimal"/>
      <w:lvlText w:val="%1"/>
      <w:lvlJc w:val="left"/>
      <w:pPr>
        <w:ind w:left="1328" w:hanging="139"/>
      </w:pPr>
      <w:rPr>
        <w:rFonts w:ascii="Cambria" w:eastAsia="Cambria" w:hAnsi="Cambria" w:cs="Cambria" w:hint="default"/>
        <w:color w:val="231F20"/>
        <w:w w:val="104"/>
        <w:sz w:val="16"/>
        <w:szCs w:val="16"/>
      </w:rPr>
    </w:lvl>
    <w:lvl w:ilvl="1" w:tplc="12D25CAC">
      <w:numFmt w:val="bullet"/>
      <w:lvlText w:val="•"/>
      <w:lvlJc w:val="left"/>
      <w:pPr>
        <w:ind w:left="2052" w:hanging="139"/>
      </w:pPr>
      <w:rPr>
        <w:rFonts w:hint="default"/>
      </w:rPr>
    </w:lvl>
    <w:lvl w:ilvl="2" w:tplc="B3FA2880">
      <w:numFmt w:val="bullet"/>
      <w:lvlText w:val="•"/>
      <w:lvlJc w:val="left"/>
      <w:pPr>
        <w:ind w:left="2784" w:hanging="139"/>
      </w:pPr>
      <w:rPr>
        <w:rFonts w:hint="default"/>
      </w:rPr>
    </w:lvl>
    <w:lvl w:ilvl="3" w:tplc="0A2EE4BA">
      <w:numFmt w:val="bullet"/>
      <w:lvlText w:val="•"/>
      <w:lvlJc w:val="left"/>
      <w:pPr>
        <w:ind w:left="3516" w:hanging="139"/>
      </w:pPr>
      <w:rPr>
        <w:rFonts w:hint="default"/>
      </w:rPr>
    </w:lvl>
    <w:lvl w:ilvl="4" w:tplc="3DCC4FFA">
      <w:numFmt w:val="bullet"/>
      <w:lvlText w:val="•"/>
      <w:lvlJc w:val="left"/>
      <w:pPr>
        <w:ind w:left="4248" w:hanging="139"/>
      </w:pPr>
      <w:rPr>
        <w:rFonts w:hint="default"/>
      </w:rPr>
    </w:lvl>
    <w:lvl w:ilvl="5" w:tplc="96ACDEEC">
      <w:numFmt w:val="bullet"/>
      <w:lvlText w:val="•"/>
      <w:lvlJc w:val="left"/>
      <w:pPr>
        <w:ind w:left="4980" w:hanging="139"/>
      </w:pPr>
      <w:rPr>
        <w:rFonts w:hint="default"/>
      </w:rPr>
    </w:lvl>
    <w:lvl w:ilvl="6" w:tplc="A97ED492">
      <w:numFmt w:val="bullet"/>
      <w:lvlText w:val="•"/>
      <w:lvlJc w:val="left"/>
      <w:pPr>
        <w:ind w:left="5712" w:hanging="139"/>
      </w:pPr>
      <w:rPr>
        <w:rFonts w:hint="default"/>
      </w:rPr>
    </w:lvl>
    <w:lvl w:ilvl="7" w:tplc="81FAFD24">
      <w:numFmt w:val="bullet"/>
      <w:lvlText w:val="•"/>
      <w:lvlJc w:val="left"/>
      <w:pPr>
        <w:ind w:left="6444" w:hanging="139"/>
      </w:pPr>
      <w:rPr>
        <w:rFonts w:hint="default"/>
      </w:rPr>
    </w:lvl>
    <w:lvl w:ilvl="8" w:tplc="139A637E">
      <w:numFmt w:val="bullet"/>
      <w:lvlText w:val="•"/>
      <w:lvlJc w:val="left"/>
      <w:pPr>
        <w:ind w:left="7176" w:hanging="139"/>
      </w:pPr>
      <w:rPr>
        <w:rFonts w:hint="default"/>
      </w:rPr>
    </w:lvl>
  </w:abstractNum>
  <w:abstractNum w:abstractNumId="63" w15:restartNumberingAfterBreak="0">
    <w:nsid w:val="2EBA46B5"/>
    <w:multiLevelType w:val="hybridMultilevel"/>
    <w:tmpl w:val="95961906"/>
    <w:lvl w:ilvl="0" w:tplc="74148FD6">
      <w:start w:val="1"/>
      <w:numFmt w:val="decimal"/>
      <w:lvlText w:val="%1"/>
      <w:lvlJc w:val="left"/>
      <w:pPr>
        <w:ind w:left="1147" w:hanging="139"/>
      </w:pPr>
      <w:rPr>
        <w:rFonts w:ascii="Cambria" w:eastAsia="Cambria" w:hAnsi="Cambria" w:cs="Cambria" w:hint="default"/>
        <w:color w:val="231F20"/>
        <w:w w:val="104"/>
        <w:sz w:val="16"/>
        <w:szCs w:val="16"/>
      </w:rPr>
    </w:lvl>
    <w:lvl w:ilvl="1" w:tplc="6AFCC98C">
      <w:start w:val="4"/>
      <w:numFmt w:val="decimal"/>
      <w:lvlText w:val="%2"/>
      <w:lvlJc w:val="left"/>
      <w:pPr>
        <w:ind w:left="1327" w:hanging="139"/>
      </w:pPr>
      <w:rPr>
        <w:rFonts w:ascii="Cambria" w:eastAsia="Cambria" w:hAnsi="Cambria" w:cs="Cambria" w:hint="default"/>
        <w:color w:val="231F20"/>
        <w:w w:val="104"/>
        <w:sz w:val="16"/>
        <w:szCs w:val="16"/>
      </w:rPr>
    </w:lvl>
    <w:lvl w:ilvl="2" w:tplc="AB2069D2">
      <w:numFmt w:val="bullet"/>
      <w:lvlText w:val="•"/>
      <w:lvlJc w:val="left"/>
      <w:pPr>
        <w:ind w:left="2133" w:hanging="139"/>
      </w:pPr>
      <w:rPr>
        <w:rFonts w:hint="default"/>
      </w:rPr>
    </w:lvl>
    <w:lvl w:ilvl="3" w:tplc="30BC0A14">
      <w:numFmt w:val="bullet"/>
      <w:lvlText w:val="•"/>
      <w:lvlJc w:val="left"/>
      <w:pPr>
        <w:ind w:left="2946" w:hanging="139"/>
      </w:pPr>
      <w:rPr>
        <w:rFonts w:hint="default"/>
      </w:rPr>
    </w:lvl>
    <w:lvl w:ilvl="4" w:tplc="1DD0FCA6">
      <w:numFmt w:val="bullet"/>
      <w:lvlText w:val="•"/>
      <w:lvlJc w:val="left"/>
      <w:pPr>
        <w:ind w:left="3760" w:hanging="139"/>
      </w:pPr>
      <w:rPr>
        <w:rFonts w:hint="default"/>
      </w:rPr>
    </w:lvl>
    <w:lvl w:ilvl="5" w:tplc="0E760006">
      <w:numFmt w:val="bullet"/>
      <w:lvlText w:val="•"/>
      <w:lvlJc w:val="left"/>
      <w:pPr>
        <w:ind w:left="4573" w:hanging="139"/>
      </w:pPr>
      <w:rPr>
        <w:rFonts w:hint="default"/>
      </w:rPr>
    </w:lvl>
    <w:lvl w:ilvl="6" w:tplc="4344F8A0">
      <w:numFmt w:val="bullet"/>
      <w:lvlText w:val="•"/>
      <w:lvlJc w:val="left"/>
      <w:pPr>
        <w:ind w:left="5386" w:hanging="139"/>
      </w:pPr>
      <w:rPr>
        <w:rFonts w:hint="default"/>
      </w:rPr>
    </w:lvl>
    <w:lvl w:ilvl="7" w:tplc="DDA83530">
      <w:numFmt w:val="bullet"/>
      <w:lvlText w:val="•"/>
      <w:lvlJc w:val="left"/>
      <w:pPr>
        <w:ind w:left="6200" w:hanging="139"/>
      </w:pPr>
      <w:rPr>
        <w:rFonts w:hint="default"/>
      </w:rPr>
    </w:lvl>
    <w:lvl w:ilvl="8" w:tplc="F3BCF8D8">
      <w:numFmt w:val="bullet"/>
      <w:lvlText w:val="•"/>
      <w:lvlJc w:val="left"/>
      <w:pPr>
        <w:ind w:left="7013" w:hanging="139"/>
      </w:pPr>
      <w:rPr>
        <w:rFonts w:hint="default"/>
      </w:rPr>
    </w:lvl>
  </w:abstractNum>
  <w:abstractNum w:abstractNumId="64" w15:restartNumberingAfterBreak="0">
    <w:nsid w:val="316C415A"/>
    <w:multiLevelType w:val="hybridMultilevel"/>
    <w:tmpl w:val="A59CFC22"/>
    <w:lvl w:ilvl="0" w:tplc="5424777C">
      <w:start w:val="1"/>
      <w:numFmt w:val="decimal"/>
      <w:lvlText w:val="%1"/>
      <w:lvlJc w:val="left"/>
      <w:pPr>
        <w:ind w:left="1147" w:hanging="139"/>
        <w:jc w:val="right"/>
      </w:pPr>
      <w:rPr>
        <w:rFonts w:ascii="Cambria" w:eastAsia="Cambria" w:hAnsi="Cambria" w:cs="Cambria" w:hint="default"/>
        <w:color w:val="231F20"/>
        <w:w w:val="104"/>
        <w:sz w:val="16"/>
        <w:szCs w:val="16"/>
      </w:rPr>
    </w:lvl>
    <w:lvl w:ilvl="1" w:tplc="716A8766">
      <w:numFmt w:val="bullet"/>
      <w:lvlText w:val="•"/>
      <w:lvlJc w:val="left"/>
      <w:pPr>
        <w:ind w:left="1890" w:hanging="139"/>
      </w:pPr>
      <w:rPr>
        <w:rFonts w:hint="default"/>
      </w:rPr>
    </w:lvl>
    <w:lvl w:ilvl="2" w:tplc="E0408504">
      <w:numFmt w:val="bullet"/>
      <w:lvlText w:val="•"/>
      <w:lvlJc w:val="left"/>
      <w:pPr>
        <w:ind w:left="2640" w:hanging="139"/>
      </w:pPr>
      <w:rPr>
        <w:rFonts w:hint="default"/>
      </w:rPr>
    </w:lvl>
    <w:lvl w:ilvl="3" w:tplc="4A8C4E6A">
      <w:numFmt w:val="bullet"/>
      <w:lvlText w:val="•"/>
      <w:lvlJc w:val="left"/>
      <w:pPr>
        <w:ind w:left="3390" w:hanging="139"/>
      </w:pPr>
      <w:rPr>
        <w:rFonts w:hint="default"/>
      </w:rPr>
    </w:lvl>
    <w:lvl w:ilvl="4" w:tplc="BF32920E">
      <w:numFmt w:val="bullet"/>
      <w:lvlText w:val="•"/>
      <w:lvlJc w:val="left"/>
      <w:pPr>
        <w:ind w:left="4140" w:hanging="139"/>
      </w:pPr>
      <w:rPr>
        <w:rFonts w:hint="default"/>
      </w:rPr>
    </w:lvl>
    <w:lvl w:ilvl="5" w:tplc="A2C0182E">
      <w:numFmt w:val="bullet"/>
      <w:lvlText w:val="•"/>
      <w:lvlJc w:val="left"/>
      <w:pPr>
        <w:ind w:left="4890" w:hanging="139"/>
      </w:pPr>
      <w:rPr>
        <w:rFonts w:hint="default"/>
      </w:rPr>
    </w:lvl>
    <w:lvl w:ilvl="6" w:tplc="04966B02">
      <w:numFmt w:val="bullet"/>
      <w:lvlText w:val="•"/>
      <w:lvlJc w:val="left"/>
      <w:pPr>
        <w:ind w:left="5640" w:hanging="139"/>
      </w:pPr>
      <w:rPr>
        <w:rFonts w:hint="default"/>
      </w:rPr>
    </w:lvl>
    <w:lvl w:ilvl="7" w:tplc="ABAC895A">
      <w:numFmt w:val="bullet"/>
      <w:lvlText w:val="•"/>
      <w:lvlJc w:val="left"/>
      <w:pPr>
        <w:ind w:left="6390" w:hanging="139"/>
      </w:pPr>
      <w:rPr>
        <w:rFonts w:hint="default"/>
      </w:rPr>
    </w:lvl>
    <w:lvl w:ilvl="8" w:tplc="CE263F40">
      <w:numFmt w:val="bullet"/>
      <w:lvlText w:val="•"/>
      <w:lvlJc w:val="left"/>
      <w:pPr>
        <w:ind w:left="7140" w:hanging="139"/>
      </w:pPr>
      <w:rPr>
        <w:rFonts w:hint="default"/>
      </w:rPr>
    </w:lvl>
  </w:abstractNum>
  <w:abstractNum w:abstractNumId="65" w15:restartNumberingAfterBreak="0">
    <w:nsid w:val="3231436F"/>
    <w:multiLevelType w:val="hybridMultilevel"/>
    <w:tmpl w:val="915E6118"/>
    <w:lvl w:ilvl="0" w:tplc="4CEA1A40">
      <w:start w:val="1"/>
      <w:numFmt w:val="decimal"/>
      <w:lvlText w:val="%1"/>
      <w:lvlJc w:val="left"/>
      <w:pPr>
        <w:ind w:left="1147" w:hanging="139"/>
        <w:jc w:val="right"/>
      </w:pPr>
      <w:rPr>
        <w:rFonts w:ascii="Cambria" w:eastAsia="Cambria" w:hAnsi="Cambria" w:cs="Cambria" w:hint="default"/>
        <w:color w:val="231F20"/>
        <w:w w:val="104"/>
        <w:sz w:val="16"/>
        <w:szCs w:val="16"/>
      </w:rPr>
    </w:lvl>
    <w:lvl w:ilvl="1" w:tplc="660C56D6">
      <w:numFmt w:val="bullet"/>
      <w:lvlText w:val="•"/>
      <w:lvlJc w:val="left"/>
      <w:pPr>
        <w:ind w:left="1890" w:hanging="139"/>
      </w:pPr>
      <w:rPr>
        <w:rFonts w:hint="default"/>
      </w:rPr>
    </w:lvl>
    <w:lvl w:ilvl="2" w:tplc="D662F31E">
      <w:numFmt w:val="bullet"/>
      <w:lvlText w:val="•"/>
      <w:lvlJc w:val="left"/>
      <w:pPr>
        <w:ind w:left="2640" w:hanging="139"/>
      </w:pPr>
      <w:rPr>
        <w:rFonts w:hint="default"/>
      </w:rPr>
    </w:lvl>
    <w:lvl w:ilvl="3" w:tplc="556C7510">
      <w:numFmt w:val="bullet"/>
      <w:lvlText w:val="•"/>
      <w:lvlJc w:val="left"/>
      <w:pPr>
        <w:ind w:left="3390" w:hanging="139"/>
      </w:pPr>
      <w:rPr>
        <w:rFonts w:hint="default"/>
      </w:rPr>
    </w:lvl>
    <w:lvl w:ilvl="4" w:tplc="6EF67032">
      <w:numFmt w:val="bullet"/>
      <w:lvlText w:val="•"/>
      <w:lvlJc w:val="left"/>
      <w:pPr>
        <w:ind w:left="4140" w:hanging="139"/>
      </w:pPr>
      <w:rPr>
        <w:rFonts w:hint="default"/>
      </w:rPr>
    </w:lvl>
    <w:lvl w:ilvl="5" w:tplc="C602AE52">
      <w:numFmt w:val="bullet"/>
      <w:lvlText w:val="•"/>
      <w:lvlJc w:val="left"/>
      <w:pPr>
        <w:ind w:left="4890" w:hanging="139"/>
      </w:pPr>
      <w:rPr>
        <w:rFonts w:hint="default"/>
      </w:rPr>
    </w:lvl>
    <w:lvl w:ilvl="6" w:tplc="235E56F0">
      <w:numFmt w:val="bullet"/>
      <w:lvlText w:val="•"/>
      <w:lvlJc w:val="left"/>
      <w:pPr>
        <w:ind w:left="5640" w:hanging="139"/>
      </w:pPr>
      <w:rPr>
        <w:rFonts w:hint="default"/>
      </w:rPr>
    </w:lvl>
    <w:lvl w:ilvl="7" w:tplc="C9DCAF92">
      <w:numFmt w:val="bullet"/>
      <w:lvlText w:val="•"/>
      <w:lvlJc w:val="left"/>
      <w:pPr>
        <w:ind w:left="6390" w:hanging="139"/>
      </w:pPr>
      <w:rPr>
        <w:rFonts w:hint="default"/>
      </w:rPr>
    </w:lvl>
    <w:lvl w:ilvl="8" w:tplc="0B04EAA6">
      <w:numFmt w:val="bullet"/>
      <w:lvlText w:val="•"/>
      <w:lvlJc w:val="left"/>
      <w:pPr>
        <w:ind w:left="7140" w:hanging="139"/>
      </w:pPr>
      <w:rPr>
        <w:rFonts w:hint="default"/>
      </w:rPr>
    </w:lvl>
  </w:abstractNum>
  <w:abstractNum w:abstractNumId="66" w15:restartNumberingAfterBreak="0">
    <w:nsid w:val="32813A04"/>
    <w:multiLevelType w:val="hybridMultilevel"/>
    <w:tmpl w:val="E6667D56"/>
    <w:lvl w:ilvl="0" w:tplc="A8C4EE5E">
      <w:start w:val="9"/>
      <w:numFmt w:val="decimal"/>
      <w:lvlText w:val="%1"/>
      <w:lvlJc w:val="left"/>
      <w:pPr>
        <w:ind w:left="1327" w:hanging="139"/>
      </w:pPr>
      <w:rPr>
        <w:rFonts w:ascii="Cambria" w:eastAsia="Cambria" w:hAnsi="Cambria" w:cs="Cambria" w:hint="default"/>
        <w:color w:val="231F20"/>
        <w:w w:val="104"/>
        <w:sz w:val="16"/>
        <w:szCs w:val="16"/>
      </w:rPr>
    </w:lvl>
    <w:lvl w:ilvl="1" w:tplc="2960C9F6">
      <w:numFmt w:val="bullet"/>
      <w:lvlText w:val="•"/>
      <w:lvlJc w:val="left"/>
      <w:pPr>
        <w:ind w:left="2052" w:hanging="139"/>
      </w:pPr>
      <w:rPr>
        <w:rFonts w:hint="default"/>
      </w:rPr>
    </w:lvl>
    <w:lvl w:ilvl="2" w:tplc="8CBC9BC0">
      <w:numFmt w:val="bullet"/>
      <w:lvlText w:val="•"/>
      <w:lvlJc w:val="left"/>
      <w:pPr>
        <w:ind w:left="2784" w:hanging="139"/>
      </w:pPr>
      <w:rPr>
        <w:rFonts w:hint="default"/>
      </w:rPr>
    </w:lvl>
    <w:lvl w:ilvl="3" w:tplc="A1326AFC">
      <w:numFmt w:val="bullet"/>
      <w:lvlText w:val="•"/>
      <w:lvlJc w:val="left"/>
      <w:pPr>
        <w:ind w:left="3516" w:hanging="139"/>
      </w:pPr>
      <w:rPr>
        <w:rFonts w:hint="default"/>
      </w:rPr>
    </w:lvl>
    <w:lvl w:ilvl="4" w:tplc="DAB4DA04">
      <w:numFmt w:val="bullet"/>
      <w:lvlText w:val="•"/>
      <w:lvlJc w:val="left"/>
      <w:pPr>
        <w:ind w:left="4248" w:hanging="139"/>
      </w:pPr>
      <w:rPr>
        <w:rFonts w:hint="default"/>
      </w:rPr>
    </w:lvl>
    <w:lvl w:ilvl="5" w:tplc="554A91B0">
      <w:numFmt w:val="bullet"/>
      <w:lvlText w:val="•"/>
      <w:lvlJc w:val="left"/>
      <w:pPr>
        <w:ind w:left="4980" w:hanging="139"/>
      </w:pPr>
      <w:rPr>
        <w:rFonts w:hint="default"/>
      </w:rPr>
    </w:lvl>
    <w:lvl w:ilvl="6" w:tplc="9B72E510">
      <w:numFmt w:val="bullet"/>
      <w:lvlText w:val="•"/>
      <w:lvlJc w:val="left"/>
      <w:pPr>
        <w:ind w:left="5712" w:hanging="139"/>
      </w:pPr>
      <w:rPr>
        <w:rFonts w:hint="default"/>
      </w:rPr>
    </w:lvl>
    <w:lvl w:ilvl="7" w:tplc="4F2A599A">
      <w:numFmt w:val="bullet"/>
      <w:lvlText w:val="•"/>
      <w:lvlJc w:val="left"/>
      <w:pPr>
        <w:ind w:left="6444" w:hanging="139"/>
      </w:pPr>
      <w:rPr>
        <w:rFonts w:hint="default"/>
      </w:rPr>
    </w:lvl>
    <w:lvl w:ilvl="8" w:tplc="E0B88DE2">
      <w:numFmt w:val="bullet"/>
      <w:lvlText w:val="•"/>
      <w:lvlJc w:val="left"/>
      <w:pPr>
        <w:ind w:left="7176" w:hanging="139"/>
      </w:pPr>
      <w:rPr>
        <w:rFonts w:hint="default"/>
      </w:rPr>
    </w:lvl>
  </w:abstractNum>
  <w:abstractNum w:abstractNumId="67" w15:restartNumberingAfterBreak="0">
    <w:nsid w:val="32826658"/>
    <w:multiLevelType w:val="hybridMultilevel"/>
    <w:tmpl w:val="03AC3FDC"/>
    <w:lvl w:ilvl="0" w:tplc="32EABE96">
      <w:start w:val="8"/>
      <w:numFmt w:val="decimal"/>
      <w:lvlText w:val="%1"/>
      <w:lvlJc w:val="left"/>
      <w:pPr>
        <w:ind w:left="1327" w:hanging="139"/>
      </w:pPr>
      <w:rPr>
        <w:rFonts w:ascii="Cambria" w:eastAsia="Cambria" w:hAnsi="Cambria" w:cs="Cambria" w:hint="default"/>
        <w:color w:val="231F20"/>
        <w:w w:val="104"/>
        <w:sz w:val="16"/>
        <w:szCs w:val="16"/>
      </w:rPr>
    </w:lvl>
    <w:lvl w:ilvl="1" w:tplc="0A607702">
      <w:numFmt w:val="bullet"/>
      <w:lvlText w:val="•"/>
      <w:lvlJc w:val="left"/>
      <w:pPr>
        <w:ind w:left="2052" w:hanging="139"/>
      </w:pPr>
      <w:rPr>
        <w:rFonts w:hint="default"/>
      </w:rPr>
    </w:lvl>
    <w:lvl w:ilvl="2" w:tplc="0F6C104A">
      <w:numFmt w:val="bullet"/>
      <w:lvlText w:val="•"/>
      <w:lvlJc w:val="left"/>
      <w:pPr>
        <w:ind w:left="2784" w:hanging="139"/>
      </w:pPr>
      <w:rPr>
        <w:rFonts w:hint="default"/>
      </w:rPr>
    </w:lvl>
    <w:lvl w:ilvl="3" w:tplc="2B1A04B6">
      <w:numFmt w:val="bullet"/>
      <w:lvlText w:val="•"/>
      <w:lvlJc w:val="left"/>
      <w:pPr>
        <w:ind w:left="3516" w:hanging="139"/>
      </w:pPr>
      <w:rPr>
        <w:rFonts w:hint="default"/>
      </w:rPr>
    </w:lvl>
    <w:lvl w:ilvl="4" w:tplc="38C8DBAC">
      <w:numFmt w:val="bullet"/>
      <w:lvlText w:val="•"/>
      <w:lvlJc w:val="left"/>
      <w:pPr>
        <w:ind w:left="4248" w:hanging="139"/>
      </w:pPr>
      <w:rPr>
        <w:rFonts w:hint="default"/>
      </w:rPr>
    </w:lvl>
    <w:lvl w:ilvl="5" w:tplc="EE04B098">
      <w:numFmt w:val="bullet"/>
      <w:lvlText w:val="•"/>
      <w:lvlJc w:val="left"/>
      <w:pPr>
        <w:ind w:left="4980" w:hanging="139"/>
      </w:pPr>
      <w:rPr>
        <w:rFonts w:hint="default"/>
      </w:rPr>
    </w:lvl>
    <w:lvl w:ilvl="6" w:tplc="57F83C92">
      <w:numFmt w:val="bullet"/>
      <w:lvlText w:val="•"/>
      <w:lvlJc w:val="left"/>
      <w:pPr>
        <w:ind w:left="5712" w:hanging="139"/>
      </w:pPr>
      <w:rPr>
        <w:rFonts w:hint="default"/>
      </w:rPr>
    </w:lvl>
    <w:lvl w:ilvl="7" w:tplc="0FA691AC">
      <w:numFmt w:val="bullet"/>
      <w:lvlText w:val="•"/>
      <w:lvlJc w:val="left"/>
      <w:pPr>
        <w:ind w:left="6444" w:hanging="139"/>
      </w:pPr>
      <w:rPr>
        <w:rFonts w:hint="default"/>
      </w:rPr>
    </w:lvl>
    <w:lvl w:ilvl="8" w:tplc="043A9C0E">
      <w:numFmt w:val="bullet"/>
      <w:lvlText w:val="•"/>
      <w:lvlJc w:val="left"/>
      <w:pPr>
        <w:ind w:left="7176" w:hanging="139"/>
      </w:pPr>
      <w:rPr>
        <w:rFonts w:hint="default"/>
      </w:rPr>
    </w:lvl>
  </w:abstractNum>
  <w:abstractNum w:abstractNumId="68" w15:restartNumberingAfterBreak="0">
    <w:nsid w:val="33185500"/>
    <w:multiLevelType w:val="hybridMultilevel"/>
    <w:tmpl w:val="6EECCD72"/>
    <w:lvl w:ilvl="0" w:tplc="1562C28E">
      <w:start w:val="5"/>
      <w:numFmt w:val="decimal"/>
      <w:lvlText w:val="%1"/>
      <w:lvlJc w:val="left"/>
      <w:pPr>
        <w:ind w:left="1327" w:hanging="139"/>
        <w:jc w:val="right"/>
      </w:pPr>
      <w:rPr>
        <w:rFonts w:ascii="Cambria" w:eastAsia="Cambria" w:hAnsi="Cambria" w:cs="Cambria" w:hint="default"/>
        <w:color w:val="231F20"/>
        <w:w w:val="104"/>
        <w:sz w:val="16"/>
        <w:szCs w:val="16"/>
      </w:rPr>
    </w:lvl>
    <w:lvl w:ilvl="1" w:tplc="39F603AE">
      <w:numFmt w:val="bullet"/>
      <w:lvlText w:val="•"/>
      <w:lvlJc w:val="left"/>
      <w:pPr>
        <w:ind w:left="2052" w:hanging="139"/>
      </w:pPr>
      <w:rPr>
        <w:rFonts w:hint="default"/>
      </w:rPr>
    </w:lvl>
    <w:lvl w:ilvl="2" w:tplc="9CBA1C9A">
      <w:numFmt w:val="bullet"/>
      <w:lvlText w:val="•"/>
      <w:lvlJc w:val="left"/>
      <w:pPr>
        <w:ind w:left="2784" w:hanging="139"/>
      </w:pPr>
      <w:rPr>
        <w:rFonts w:hint="default"/>
      </w:rPr>
    </w:lvl>
    <w:lvl w:ilvl="3" w:tplc="8EA275EC">
      <w:numFmt w:val="bullet"/>
      <w:lvlText w:val="•"/>
      <w:lvlJc w:val="left"/>
      <w:pPr>
        <w:ind w:left="3516" w:hanging="139"/>
      </w:pPr>
      <w:rPr>
        <w:rFonts w:hint="default"/>
      </w:rPr>
    </w:lvl>
    <w:lvl w:ilvl="4" w:tplc="5C1E6BD8">
      <w:numFmt w:val="bullet"/>
      <w:lvlText w:val="•"/>
      <w:lvlJc w:val="left"/>
      <w:pPr>
        <w:ind w:left="4248" w:hanging="139"/>
      </w:pPr>
      <w:rPr>
        <w:rFonts w:hint="default"/>
      </w:rPr>
    </w:lvl>
    <w:lvl w:ilvl="5" w:tplc="BC48C478">
      <w:numFmt w:val="bullet"/>
      <w:lvlText w:val="•"/>
      <w:lvlJc w:val="left"/>
      <w:pPr>
        <w:ind w:left="4980" w:hanging="139"/>
      </w:pPr>
      <w:rPr>
        <w:rFonts w:hint="default"/>
      </w:rPr>
    </w:lvl>
    <w:lvl w:ilvl="6" w:tplc="A49EABDA">
      <w:numFmt w:val="bullet"/>
      <w:lvlText w:val="•"/>
      <w:lvlJc w:val="left"/>
      <w:pPr>
        <w:ind w:left="5712" w:hanging="139"/>
      </w:pPr>
      <w:rPr>
        <w:rFonts w:hint="default"/>
      </w:rPr>
    </w:lvl>
    <w:lvl w:ilvl="7" w:tplc="3B4896DE">
      <w:numFmt w:val="bullet"/>
      <w:lvlText w:val="•"/>
      <w:lvlJc w:val="left"/>
      <w:pPr>
        <w:ind w:left="6444" w:hanging="139"/>
      </w:pPr>
      <w:rPr>
        <w:rFonts w:hint="default"/>
      </w:rPr>
    </w:lvl>
    <w:lvl w:ilvl="8" w:tplc="2F006D40">
      <w:numFmt w:val="bullet"/>
      <w:lvlText w:val="•"/>
      <w:lvlJc w:val="left"/>
      <w:pPr>
        <w:ind w:left="7176" w:hanging="139"/>
      </w:pPr>
      <w:rPr>
        <w:rFonts w:hint="default"/>
      </w:rPr>
    </w:lvl>
  </w:abstractNum>
  <w:abstractNum w:abstractNumId="69" w15:restartNumberingAfterBreak="0">
    <w:nsid w:val="34706899"/>
    <w:multiLevelType w:val="hybridMultilevel"/>
    <w:tmpl w:val="13502B66"/>
    <w:lvl w:ilvl="0" w:tplc="6C709EFC">
      <w:start w:val="2"/>
      <w:numFmt w:val="decimal"/>
      <w:lvlText w:val="%1"/>
      <w:lvlJc w:val="left"/>
      <w:pPr>
        <w:ind w:left="1327" w:hanging="139"/>
      </w:pPr>
      <w:rPr>
        <w:rFonts w:ascii="Cambria" w:eastAsia="Cambria" w:hAnsi="Cambria" w:cs="Cambria" w:hint="default"/>
        <w:color w:val="231F20"/>
        <w:w w:val="104"/>
        <w:sz w:val="16"/>
        <w:szCs w:val="16"/>
      </w:rPr>
    </w:lvl>
    <w:lvl w:ilvl="1" w:tplc="D38C1A60">
      <w:numFmt w:val="bullet"/>
      <w:lvlText w:val="•"/>
      <w:lvlJc w:val="left"/>
      <w:pPr>
        <w:ind w:left="2052" w:hanging="139"/>
      </w:pPr>
      <w:rPr>
        <w:rFonts w:hint="default"/>
      </w:rPr>
    </w:lvl>
    <w:lvl w:ilvl="2" w:tplc="2614420A">
      <w:numFmt w:val="bullet"/>
      <w:lvlText w:val="•"/>
      <w:lvlJc w:val="left"/>
      <w:pPr>
        <w:ind w:left="2784" w:hanging="139"/>
      </w:pPr>
      <w:rPr>
        <w:rFonts w:hint="default"/>
      </w:rPr>
    </w:lvl>
    <w:lvl w:ilvl="3" w:tplc="F0F466D6">
      <w:numFmt w:val="bullet"/>
      <w:lvlText w:val="•"/>
      <w:lvlJc w:val="left"/>
      <w:pPr>
        <w:ind w:left="3516" w:hanging="139"/>
      </w:pPr>
      <w:rPr>
        <w:rFonts w:hint="default"/>
      </w:rPr>
    </w:lvl>
    <w:lvl w:ilvl="4" w:tplc="BDF63E20">
      <w:numFmt w:val="bullet"/>
      <w:lvlText w:val="•"/>
      <w:lvlJc w:val="left"/>
      <w:pPr>
        <w:ind w:left="4248" w:hanging="139"/>
      </w:pPr>
      <w:rPr>
        <w:rFonts w:hint="default"/>
      </w:rPr>
    </w:lvl>
    <w:lvl w:ilvl="5" w:tplc="C96E34FE">
      <w:numFmt w:val="bullet"/>
      <w:lvlText w:val="•"/>
      <w:lvlJc w:val="left"/>
      <w:pPr>
        <w:ind w:left="4980" w:hanging="139"/>
      </w:pPr>
      <w:rPr>
        <w:rFonts w:hint="default"/>
      </w:rPr>
    </w:lvl>
    <w:lvl w:ilvl="6" w:tplc="49C8D742">
      <w:numFmt w:val="bullet"/>
      <w:lvlText w:val="•"/>
      <w:lvlJc w:val="left"/>
      <w:pPr>
        <w:ind w:left="5712" w:hanging="139"/>
      </w:pPr>
      <w:rPr>
        <w:rFonts w:hint="default"/>
      </w:rPr>
    </w:lvl>
    <w:lvl w:ilvl="7" w:tplc="99CEFA6C">
      <w:numFmt w:val="bullet"/>
      <w:lvlText w:val="•"/>
      <w:lvlJc w:val="left"/>
      <w:pPr>
        <w:ind w:left="6444" w:hanging="139"/>
      </w:pPr>
      <w:rPr>
        <w:rFonts w:hint="default"/>
      </w:rPr>
    </w:lvl>
    <w:lvl w:ilvl="8" w:tplc="9AAC5BDC">
      <w:numFmt w:val="bullet"/>
      <w:lvlText w:val="•"/>
      <w:lvlJc w:val="left"/>
      <w:pPr>
        <w:ind w:left="7176" w:hanging="139"/>
      </w:pPr>
      <w:rPr>
        <w:rFonts w:hint="default"/>
      </w:rPr>
    </w:lvl>
  </w:abstractNum>
  <w:abstractNum w:abstractNumId="70" w15:restartNumberingAfterBreak="0">
    <w:nsid w:val="35262B77"/>
    <w:multiLevelType w:val="hybridMultilevel"/>
    <w:tmpl w:val="5AEC7C56"/>
    <w:lvl w:ilvl="0" w:tplc="96442096">
      <w:start w:val="1"/>
      <w:numFmt w:val="decimal"/>
      <w:lvlText w:val="%1."/>
      <w:lvlJc w:val="left"/>
      <w:pPr>
        <w:ind w:left="1328" w:hanging="271"/>
        <w:jc w:val="right"/>
      </w:pPr>
      <w:rPr>
        <w:rFonts w:ascii="Cambria" w:eastAsia="Cambria" w:hAnsi="Cambria" w:cs="Cambria" w:hint="default"/>
        <w:color w:val="231F20"/>
        <w:spacing w:val="-4"/>
        <w:w w:val="100"/>
        <w:sz w:val="20"/>
        <w:szCs w:val="20"/>
      </w:rPr>
    </w:lvl>
    <w:lvl w:ilvl="1" w:tplc="7F22D152">
      <w:numFmt w:val="bullet"/>
      <w:lvlText w:val="•"/>
      <w:lvlJc w:val="left"/>
      <w:pPr>
        <w:ind w:left="2052" w:hanging="271"/>
      </w:pPr>
      <w:rPr>
        <w:rFonts w:hint="default"/>
      </w:rPr>
    </w:lvl>
    <w:lvl w:ilvl="2" w:tplc="D2B296F2">
      <w:numFmt w:val="bullet"/>
      <w:lvlText w:val="•"/>
      <w:lvlJc w:val="left"/>
      <w:pPr>
        <w:ind w:left="2784" w:hanging="271"/>
      </w:pPr>
      <w:rPr>
        <w:rFonts w:hint="default"/>
      </w:rPr>
    </w:lvl>
    <w:lvl w:ilvl="3" w:tplc="5090303A">
      <w:numFmt w:val="bullet"/>
      <w:lvlText w:val="•"/>
      <w:lvlJc w:val="left"/>
      <w:pPr>
        <w:ind w:left="3516" w:hanging="271"/>
      </w:pPr>
      <w:rPr>
        <w:rFonts w:hint="default"/>
      </w:rPr>
    </w:lvl>
    <w:lvl w:ilvl="4" w:tplc="740EB6BC">
      <w:numFmt w:val="bullet"/>
      <w:lvlText w:val="•"/>
      <w:lvlJc w:val="left"/>
      <w:pPr>
        <w:ind w:left="4248" w:hanging="271"/>
      </w:pPr>
      <w:rPr>
        <w:rFonts w:hint="default"/>
      </w:rPr>
    </w:lvl>
    <w:lvl w:ilvl="5" w:tplc="CA522E2C">
      <w:numFmt w:val="bullet"/>
      <w:lvlText w:val="•"/>
      <w:lvlJc w:val="left"/>
      <w:pPr>
        <w:ind w:left="4980" w:hanging="271"/>
      </w:pPr>
      <w:rPr>
        <w:rFonts w:hint="default"/>
      </w:rPr>
    </w:lvl>
    <w:lvl w:ilvl="6" w:tplc="DC9E55FA">
      <w:numFmt w:val="bullet"/>
      <w:lvlText w:val="•"/>
      <w:lvlJc w:val="left"/>
      <w:pPr>
        <w:ind w:left="5712" w:hanging="271"/>
      </w:pPr>
      <w:rPr>
        <w:rFonts w:hint="default"/>
      </w:rPr>
    </w:lvl>
    <w:lvl w:ilvl="7" w:tplc="D9644940">
      <w:numFmt w:val="bullet"/>
      <w:lvlText w:val="•"/>
      <w:lvlJc w:val="left"/>
      <w:pPr>
        <w:ind w:left="6444" w:hanging="271"/>
      </w:pPr>
      <w:rPr>
        <w:rFonts w:hint="default"/>
      </w:rPr>
    </w:lvl>
    <w:lvl w:ilvl="8" w:tplc="A066E9BA">
      <w:numFmt w:val="bullet"/>
      <w:lvlText w:val="•"/>
      <w:lvlJc w:val="left"/>
      <w:pPr>
        <w:ind w:left="7176" w:hanging="271"/>
      </w:pPr>
      <w:rPr>
        <w:rFonts w:hint="default"/>
      </w:rPr>
    </w:lvl>
  </w:abstractNum>
  <w:abstractNum w:abstractNumId="71" w15:restartNumberingAfterBreak="0">
    <w:nsid w:val="354854E2"/>
    <w:multiLevelType w:val="hybridMultilevel"/>
    <w:tmpl w:val="796EE71E"/>
    <w:lvl w:ilvl="0" w:tplc="0B7CF136">
      <w:start w:val="1"/>
      <w:numFmt w:val="decimal"/>
      <w:lvlText w:val="%1"/>
      <w:lvlJc w:val="left"/>
      <w:pPr>
        <w:ind w:left="1327" w:hanging="139"/>
      </w:pPr>
      <w:rPr>
        <w:rFonts w:ascii="Cambria" w:eastAsia="Cambria" w:hAnsi="Cambria" w:cs="Cambria" w:hint="default"/>
        <w:color w:val="231F20"/>
        <w:w w:val="104"/>
        <w:sz w:val="16"/>
        <w:szCs w:val="16"/>
      </w:rPr>
    </w:lvl>
    <w:lvl w:ilvl="1" w:tplc="69D46674">
      <w:numFmt w:val="bullet"/>
      <w:lvlText w:val="•"/>
      <w:lvlJc w:val="left"/>
      <w:pPr>
        <w:ind w:left="2052" w:hanging="139"/>
      </w:pPr>
      <w:rPr>
        <w:rFonts w:hint="default"/>
      </w:rPr>
    </w:lvl>
    <w:lvl w:ilvl="2" w:tplc="0FA69186">
      <w:numFmt w:val="bullet"/>
      <w:lvlText w:val="•"/>
      <w:lvlJc w:val="left"/>
      <w:pPr>
        <w:ind w:left="2784" w:hanging="139"/>
      </w:pPr>
      <w:rPr>
        <w:rFonts w:hint="default"/>
      </w:rPr>
    </w:lvl>
    <w:lvl w:ilvl="3" w:tplc="3EDA8A32">
      <w:numFmt w:val="bullet"/>
      <w:lvlText w:val="•"/>
      <w:lvlJc w:val="left"/>
      <w:pPr>
        <w:ind w:left="3516" w:hanging="139"/>
      </w:pPr>
      <w:rPr>
        <w:rFonts w:hint="default"/>
      </w:rPr>
    </w:lvl>
    <w:lvl w:ilvl="4" w:tplc="156E8686">
      <w:numFmt w:val="bullet"/>
      <w:lvlText w:val="•"/>
      <w:lvlJc w:val="left"/>
      <w:pPr>
        <w:ind w:left="4248" w:hanging="139"/>
      </w:pPr>
      <w:rPr>
        <w:rFonts w:hint="default"/>
      </w:rPr>
    </w:lvl>
    <w:lvl w:ilvl="5" w:tplc="3E70DE22">
      <w:numFmt w:val="bullet"/>
      <w:lvlText w:val="•"/>
      <w:lvlJc w:val="left"/>
      <w:pPr>
        <w:ind w:left="4980" w:hanging="139"/>
      </w:pPr>
      <w:rPr>
        <w:rFonts w:hint="default"/>
      </w:rPr>
    </w:lvl>
    <w:lvl w:ilvl="6" w:tplc="67D0F5BA">
      <w:numFmt w:val="bullet"/>
      <w:lvlText w:val="•"/>
      <w:lvlJc w:val="left"/>
      <w:pPr>
        <w:ind w:left="5712" w:hanging="139"/>
      </w:pPr>
      <w:rPr>
        <w:rFonts w:hint="default"/>
      </w:rPr>
    </w:lvl>
    <w:lvl w:ilvl="7" w:tplc="77EE6F74">
      <w:numFmt w:val="bullet"/>
      <w:lvlText w:val="•"/>
      <w:lvlJc w:val="left"/>
      <w:pPr>
        <w:ind w:left="6444" w:hanging="139"/>
      </w:pPr>
      <w:rPr>
        <w:rFonts w:hint="default"/>
      </w:rPr>
    </w:lvl>
    <w:lvl w:ilvl="8" w:tplc="33046A8A">
      <w:numFmt w:val="bullet"/>
      <w:lvlText w:val="•"/>
      <w:lvlJc w:val="left"/>
      <w:pPr>
        <w:ind w:left="7176" w:hanging="139"/>
      </w:pPr>
      <w:rPr>
        <w:rFonts w:hint="default"/>
      </w:rPr>
    </w:lvl>
  </w:abstractNum>
  <w:abstractNum w:abstractNumId="72" w15:restartNumberingAfterBreak="0">
    <w:nsid w:val="35507845"/>
    <w:multiLevelType w:val="hybridMultilevel"/>
    <w:tmpl w:val="8878F678"/>
    <w:lvl w:ilvl="0" w:tplc="0608AAAC">
      <w:start w:val="1"/>
      <w:numFmt w:val="decimal"/>
      <w:lvlText w:val="%1"/>
      <w:lvlJc w:val="left"/>
      <w:pPr>
        <w:ind w:left="1147" w:hanging="139"/>
        <w:jc w:val="right"/>
      </w:pPr>
      <w:rPr>
        <w:rFonts w:ascii="Cambria" w:eastAsia="Cambria" w:hAnsi="Cambria" w:cs="Cambria" w:hint="default"/>
        <w:color w:val="231F20"/>
        <w:w w:val="104"/>
        <w:sz w:val="16"/>
        <w:szCs w:val="16"/>
      </w:rPr>
    </w:lvl>
    <w:lvl w:ilvl="1" w:tplc="3CC81CCE">
      <w:numFmt w:val="bullet"/>
      <w:lvlText w:val="•"/>
      <w:lvlJc w:val="left"/>
      <w:pPr>
        <w:ind w:left="1890" w:hanging="139"/>
      </w:pPr>
      <w:rPr>
        <w:rFonts w:hint="default"/>
      </w:rPr>
    </w:lvl>
    <w:lvl w:ilvl="2" w:tplc="6BDA175C">
      <w:numFmt w:val="bullet"/>
      <w:lvlText w:val="•"/>
      <w:lvlJc w:val="left"/>
      <w:pPr>
        <w:ind w:left="2640" w:hanging="139"/>
      </w:pPr>
      <w:rPr>
        <w:rFonts w:hint="default"/>
      </w:rPr>
    </w:lvl>
    <w:lvl w:ilvl="3" w:tplc="6EA06320">
      <w:numFmt w:val="bullet"/>
      <w:lvlText w:val="•"/>
      <w:lvlJc w:val="left"/>
      <w:pPr>
        <w:ind w:left="3390" w:hanging="139"/>
      </w:pPr>
      <w:rPr>
        <w:rFonts w:hint="default"/>
      </w:rPr>
    </w:lvl>
    <w:lvl w:ilvl="4" w:tplc="1F9E4B48">
      <w:numFmt w:val="bullet"/>
      <w:lvlText w:val="•"/>
      <w:lvlJc w:val="left"/>
      <w:pPr>
        <w:ind w:left="4140" w:hanging="139"/>
      </w:pPr>
      <w:rPr>
        <w:rFonts w:hint="default"/>
      </w:rPr>
    </w:lvl>
    <w:lvl w:ilvl="5" w:tplc="7B26DC4C">
      <w:numFmt w:val="bullet"/>
      <w:lvlText w:val="•"/>
      <w:lvlJc w:val="left"/>
      <w:pPr>
        <w:ind w:left="4890" w:hanging="139"/>
      </w:pPr>
      <w:rPr>
        <w:rFonts w:hint="default"/>
      </w:rPr>
    </w:lvl>
    <w:lvl w:ilvl="6" w:tplc="EB1AE736">
      <w:numFmt w:val="bullet"/>
      <w:lvlText w:val="•"/>
      <w:lvlJc w:val="left"/>
      <w:pPr>
        <w:ind w:left="5640" w:hanging="139"/>
      </w:pPr>
      <w:rPr>
        <w:rFonts w:hint="default"/>
      </w:rPr>
    </w:lvl>
    <w:lvl w:ilvl="7" w:tplc="BB3EAD9C">
      <w:numFmt w:val="bullet"/>
      <w:lvlText w:val="•"/>
      <w:lvlJc w:val="left"/>
      <w:pPr>
        <w:ind w:left="6390" w:hanging="139"/>
      </w:pPr>
      <w:rPr>
        <w:rFonts w:hint="default"/>
      </w:rPr>
    </w:lvl>
    <w:lvl w:ilvl="8" w:tplc="E3FE0660">
      <w:numFmt w:val="bullet"/>
      <w:lvlText w:val="•"/>
      <w:lvlJc w:val="left"/>
      <w:pPr>
        <w:ind w:left="7140" w:hanging="139"/>
      </w:pPr>
      <w:rPr>
        <w:rFonts w:hint="default"/>
      </w:rPr>
    </w:lvl>
  </w:abstractNum>
  <w:abstractNum w:abstractNumId="73" w15:restartNumberingAfterBreak="0">
    <w:nsid w:val="360A6761"/>
    <w:multiLevelType w:val="hybridMultilevel"/>
    <w:tmpl w:val="7D12ACDC"/>
    <w:lvl w:ilvl="0" w:tplc="1ED2A8A6">
      <w:start w:val="1"/>
      <w:numFmt w:val="decimal"/>
      <w:lvlText w:val="%1"/>
      <w:lvlJc w:val="left"/>
      <w:pPr>
        <w:ind w:left="1147" w:hanging="139"/>
      </w:pPr>
      <w:rPr>
        <w:rFonts w:ascii="Cambria" w:eastAsia="Cambria" w:hAnsi="Cambria" w:cs="Cambria" w:hint="default"/>
        <w:color w:val="231F20"/>
        <w:w w:val="104"/>
        <w:sz w:val="16"/>
        <w:szCs w:val="16"/>
      </w:rPr>
    </w:lvl>
    <w:lvl w:ilvl="1" w:tplc="76CA9C20">
      <w:numFmt w:val="bullet"/>
      <w:lvlText w:val="•"/>
      <w:lvlJc w:val="left"/>
      <w:pPr>
        <w:ind w:left="1890" w:hanging="139"/>
      </w:pPr>
      <w:rPr>
        <w:rFonts w:hint="default"/>
      </w:rPr>
    </w:lvl>
    <w:lvl w:ilvl="2" w:tplc="11BEE58C">
      <w:numFmt w:val="bullet"/>
      <w:lvlText w:val="•"/>
      <w:lvlJc w:val="left"/>
      <w:pPr>
        <w:ind w:left="2640" w:hanging="139"/>
      </w:pPr>
      <w:rPr>
        <w:rFonts w:hint="default"/>
      </w:rPr>
    </w:lvl>
    <w:lvl w:ilvl="3" w:tplc="C848F5CA">
      <w:numFmt w:val="bullet"/>
      <w:lvlText w:val="•"/>
      <w:lvlJc w:val="left"/>
      <w:pPr>
        <w:ind w:left="3390" w:hanging="139"/>
      </w:pPr>
      <w:rPr>
        <w:rFonts w:hint="default"/>
      </w:rPr>
    </w:lvl>
    <w:lvl w:ilvl="4" w:tplc="E6946100">
      <w:numFmt w:val="bullet"/>
      <w:lvlText w:val="•"/>
      <w:lvlJc w:val="left"/>
      <w:pPr>
        <w:ind w:left="4140" w:hanging="139"/>
      </w:pPr>
      <w:rPr>
        <w:rFonts w:hint="default"/>
      </w:rPr>
    </w:lvl>
    <w:lvl w:ilvl="5" w:tplc="AA7C06A8">
      <w:numFmt w:val="bullet"/>
      <w:lvlText w:val="•"/>
      <w:lvlJc w:val="left"/>
      <w:pPr>
        <w:ind w:left="4890" w:hanging="139"/>
      </w:pPr>
      <w:rPr>
        <w:rFonts w:hint="default"/>
      </w:rPr>
    </w:lvl>
    <w:lvl w:ilvl="6" w:tplc="A80A22CC">
      <w:numFmt w:val="bullet"/>
      <w:lvlText w:val="•"/>
      <w:lvlJc w:val="left"/>
      <w:pPr>
        <w:ind w:left="5640" w:hanging="139"/>
      </w:pPr>
      <w:rPr>
        <w:rFonts w:hint="default"/>
      </w:rPr>
    </w:lvl>
    <w:lvl w:ilvl="7" w:tplc="465A5D58">
      <w:numFmt w:val="bullet"/>
      <w:lvlText w:val="•"/>
      <w:lvlJc w:val="left"/>
      <w:pPr>
        <w:ind w:left="6390" w:hanging="139"/>
      </w:pPr>
      <w:rPr>
        <w:rFonts w:hint="default"/>
      </w:rPr>
    </w:lvl>
    <w:lvl w:ilvl="8" w:tplc="75C207A4">
      <w:numFmt w:val="bullet"/>
      <w:lvlText w:val="•"/>
      <w:lvlJc w:val="left"/>
      <w:pPr>
        <w:ind w:left="7140" w:hanging="139"/>
      </w:pPr>
      <w:rPr>
        <w:rFonts w:hint="default"/>
      </w:rPr>
    </w:lvl>
  </w:abstractNum>
  <w:abstractNum w:abstractNumId="74" w15:restartNumberingAfterBreak="0">
    <w:nsid w:val="361F0AA8"/>
    <w:multiLevelType w:val="hybridMultilevel"/>
    <w:tmpl w:val="F4365C96"/>
    <w:lvl w:ilvl="0" w:tplc="5A0ABB6C">
      <w:start w:val="1"/>
      <w:numFmt w:val="decimal"/>
      <w:lvlText w:val="%1."/>
      <w:lvlJc w:val="left"/>
      <w:pPr>
        <w:ind w:left="1944" w:hanging="416"/>
        <w:jc w:val="right"/>
      </w:pPr>
      <w:rPr>
        <w:rFonts w:ascii="Cambria" w:eastAsia="Cambria" w:hAnsi="Cambria" w:cs="Cambria" w:hint="default"/>
        <w:color w:val="231F20"/>
        <w:spacing w:val="-5"/>
        <w:w w:val="100"/>
        <w:sz w:val="20"/>
        <w:szCs w:val="20"/>
      </w:rPr>
    </w:lvl>
    <w:lvl w:ilvl="1" w:tplc="A3207A34">
      <w:start w:val="1"/>
      <w:numFmt w:val="decimal"/>
      <w:lvlText w:val="%2."/>
      <w:lvlJc w:val="left"/>
      <w:pPr>
        <w:ind w:left="2302" w:hanging="263"/>
      </w:pPr>
      <w:rPr>
        <w:rFonts w:hint="default"/>
        <w:spacing w:val="-5"/>
        <w:w w:val="100"/>
      </w:rPr>
    </w:lvl>
    <w:lvl w:ilvl="2" w:tplc="C44E7084">
      <w:numFmt w:val="bullet"/>
      <w:lvlText w:val="•"/>
      <w:lvlJc w:val="left"/>
      <w:pPr>
        <w:ind w:left="3004" w:hanging="263"/>
      </w:pPr>
      <w:rPr>
        <w:rFonts w:hint="default"/>
      </w:rPr>
    </w:lvl>
    <w:lvl w:ilvl="3" w:tplc="DB583E26">
      <w:numFmt w:val="bullet"/>
      <w:lvlText w:val="•"/>
      <w:lvlJc w:val="left"/>
      <w:pPr>
        <w:ind w:left="3708" w:hanging="263"/>
      </w:pPr>
      <w:rPr>
        <w:rFonts w:hint="default"/>
      </w:rPr>
    </w:lvl>
    <w:lvl w:ilvl="4" w:tplc="B0F4182A">
      <w:numFmt w:val="bullet"/>
      <w:lvlText w:val="•"/>
      <w:lvlJc w:val="left"/>
      <w:pPr>
        <w:ind w:left="4413" w:hanging="263"/>
      </w:pPr>
      <w:rPr>
        <w:rFonts w:hint="default"/>
      </w:rPr>
    </w:lvl>
    <w:lvl w:ilvl="5" w:tplc="80A85416">
      <w:numFmt w:val="bullet"/>
      <w:lvlText w:val="•"/>
      <w:lvlJc w:val="left"/>
      <w:pPr>
        <w:ind w:left="5117" w:hanging="263"/>
      </w:pPr>
      <w:rPr>
        <w:rFonts w:hint="default"/>
      </w:rPr>
    </w:lvl>
    <w:lvl w:ilvl="6" w:tplc="23E8F4A6">
      <w:numFmt w:val="bullet"/>
      <w:lvlText w:val="•"/>
      <w:lvlJc w:val="left"/>
      <w:pPr>
        <w:ind w:left="5822" w:hanging="263"/>
      </w:pPr>
      <w:rPr>
        <w:rFonts w:hint="default"/>
      </w:rPr>
    </w:lvl>
    <w:lvl w:ilvl="7" w:tplc="1694A2AA">
      <w:numFmt w:val="bullet"/>
      <w:lvlText w:val="•"/>
      <w:lvlJc w:val="left"/>
      <w:pPr>
        <w:ind w:left="6526" w:hanging="263"/>
      </w:pPr>
      <w:rPr>
        <w:rFonts w:hint="default"/>
      </w:rPr>
    </w:lvl>
    <w:lvl w:ilvl="8" w:tplc="DF38ED08">
      <w:numFmt w:val="bullet"/>
      <w:lvlText w:val="•"/>
      <w:lvlJc w:val="left"/>
      <w:pPr>
        <w:ind w:left="7231" w:hanging="263"/>
      </w:pPr>
      <w:rPr>
        <w:rFonts w:hint="default"/>
      </w:rPr>
    </w:lvl>
  </w:abstractNum>
  <w:abstractNum w:abstractNumId="75" w15:restartNumberingAfterBreak="0">
    <w:nsid w:val="371E3D21"/>
    <w:multiLevelType w:val="hybridMultilevel"/>
    <w:tmpl w:val="B9A0B448"/>
    <w:lvl w:ilvl="0" w:tplc="AF6E978A">
      <w:start w:val="1"/>
      <w:numFmt w:val="decimal"/>
      <w:lvlText w:val="%1"/>
      <w:lvlJc w:val="left"/>
      <w:pPr>
        <w:ind w:left="1147" w:hanging="139"/>
      </w:pPr>
      <w:rPr>
        <w:rFonts w:ascii="Cambria" w:eastAsia="Cambria" w:hAnsi="Cambria" w:cs="Cambria" w:hint="default"/>
        <w:color w:val="231F20"/>
        <w:w w:val="104"/>
        <w:sz w:val="16"/>
        <w:szCs w:val="16"/>
      </w:rPr>
    </w:lvl>
    <w:lvl w:ilvl="1" w:tplc="273A20D2">
      <w:numFmt w:val="bullet"/>
      <w:lvlText w:val="•"/>
      <w:lvlJc w:val="left"/>
      <w:pPr>
        <w:ind w:left="1320" w:hanging="139"/>
      </w:pPr>
      <w:rPr>
        <w:rFonts w:hint="default"/>
      </w:rPr>
    </w:lvl>
    <w:lvl w:ilvl="2" w:tplc="6FBCE512">
      <w:numFmt w:val="bullet"/>
      <w:lvlText w:val="•"/>
      <w:lvlJc w:val="left"/>
      <w:pPr>
        <w:ind w:left="2133" w:hanging="139"/>
      </w:pPr>
      <w:rPr>
        <w:rFonts w:hint="default"/>
      </w:rPr>
    </w:lvl>
    <w:lvl w:ilvl="3" w:tplc="95B61400">
      <w:numFmt w:val="bullet"/>
      <w:lvlText w:val="•"/>
      <w:lvlJc w:val="left"/>
      <w:pPr>
        <w:ind w:left="2946" w:hanging="139"/>
      </w:pPr>
      <w:rPr>
        <w:rFonts w:hint="default"/>
      </w:rPr>
    </w:lvl>
    <w:lvl w:ilvl="4" w:tplc="B6426FD4">
      <w:numFmt w:val="bullet"/>
      <w:lvlText w:val="•"/>
      <w:lvlJc w:val="left"/>
      <w:pPr>
        <w:ind w:left="3760" w:hanging="139"/>
      </w:pPr>
      <w:rPr>
        <w:rFonts w:hint="default"/>
      </w:rPr>
    </w:lvl>
    <w:lvl w:ilvl="5" w:tplc="B35C4A3E">
      <w:numFmt w:val="bullet"/>
      <w:lvlText w:val="•"/>
      <w:lvlJc w:val="left"/>
      <w:pPr>
        <w:ind w:left="4573" w:hanging="139"/>
      </w:pPr>
      <w:rPr>
        <w:rFonts w:hint="default"/>
      </w:rPr>
    </w:lvl>
    <w:lvl w:ilvl="6" w:tplc="9F505B72">
      <w:numFmt w:val="bullet"/>
      <w:lvlText w:val="•"/>
      <w:lvlJc w:val="left"/>
      <w:pPr>
        <w:ind w:left="5386" w:hanging="139"/>
      </w:pPr>
      <w:rPr>
        <w:rFonts w:hint="default"/>
      </w:rPr>
    </w:lvl>
    <w:lvl w:ilvl="7" w:tplc="7B560758">
      <w:numFmt w:val="bullet"/>
      <w:lvlText w:val="•"/>
      <w:lvlJc w:val="left"/>
      <w:pPr>
        <w:ind w:left="6200" w:hanging="139"/>
      </w:pPr>
      <w:rPr>
        <w:rFonts w:hint="default"/>
      </w:rPr>
    </w:lvl>
    <w:lvl w:ilvl="8" w:tplc="2408A672">
      <w:numFmt w:val="bullet"/>
      <w:lvlText w:val="•"/>
      <w:lvlJc w:val="left"/>
      <w:pPr>
        <w:ind w:left="7013" w:hanging="139"/>
      </w:pPr>
      <w:rPr>
        <w:rFonts w:hint="default"/>
      </w:rPr>
    </w:lvl>
  </w:abstractNum>
  <w:abstractNum w:abstractNumId="76" w15:restartNumberingAfterBreak="0">
    <w:nsid w:val="37701394"/>
    <w:multiLevelType w:val="hybridMultilevel"/>
    <w:tmpl w:val="767CD41C"/>
    <w:lvl w:ilvl="0" w:tplc="F1607BEC">
      <w:start w:val="2"/>
      <w:numFmt w:val="decimal"/>
      <w:lvlText w:val="%1"/>
      <w:lvlJc w:val="left"/>
      <w:pPr>
        <w:ind w:left="1327" w:hanging="139"/>
      </w:pPr>
      <w:rPr>
        <w:rFonts w:ascii="Cambria" w:eastAsia="Cambria" w:hAnsi="Cambria" w:cs="Cambria" w:hint="default"/>
        <w:color w:val="231F20"/>
        <w:w w:val="104"/>
        <w:sz w:val="16"/>
        <w:szCs w:val="16"/>
      </w:rPr>
    </w:lvl>
    <w:lvl w:ilvl="1" w:tplc="A46EA56E">
      <w:numFmt w:val="bullet"/>
      <w:lvlText w:val="•"/>
      <w:lvlJc w:val="left"/>
      <w:pPr>
        <w:ind w:left="2052" w:hanging="139"/>
      </w:pPr>
      <w:rPr>
        <w:rFonts w:hint="default"/>
      </w:rPr>
    </w:lvl>
    <w:lvl w:ilvl="2" w:tplc="0966FAB0">
      <w:numFmt w:val="bullet"/>
      <w:lvlText w:val="•"/>
      <w:lvlJc w:val="left"/>
      <w:pPr>
        <w:ind w:left="2784" w:hanging="139"/>
      </w:pPr>
      <w:rPr>
        <w:rFonts w:hint="default"/>
      </w:rPr>
    </w:lvl>
    <w:lvl w:ilvl="3" w:tplc="CD90A3D0">
      <w:numFmt w:val="bullet"/>
      <w:lvlText w:val="•"/>
      <w:lvlJc w:val="left"/>
      <w:pPr>
        <w:ind w:left="3516" w:hanging="139"/>
      </w:pPr>
      <w:rPr>
        <w:rFonts w:hint="default"/>
      </w:rPr>
    </w:lvl>
    <w:lvl w:ilvl="4" w:tplc="1620380E">
      <w:numFmt w:val="bullet"/>
      <w:lvlText w:val="•"/>
      <w:lvlJc w:val="left"/>
      <w:pPr>
        <w:ind w:left="4248" w:hanging="139"/>
      </w:pPr>
      <w:rPr>
        <w:rFonts w:hint="default"/>
      </w:rPr>
    </w:lvl>
    <w:lvl w:ilvl="5" w:tplc="0428E978">
      <w:numFmt w:val="bullet"/>
      <w:lvlText w:val="•"/>
      <w:lvlJc w:val="left"/>
      <w:pPr>
        <w:ind w:left="4980" w:hanging="139"/>
      </w:pPr>
      <w:rPr>
        <w:rFonts w:hint="default"/>
      </w:rPr>
    </w:lvl>
    <w:lvl w:ilvl="6" w:tplc="319A6644">
      <w:numFmt w:val="bullet"/>
      <w:lvlText w:val="•"/>
      <w:lvlJc w:val="left"/>
      <w:pPr>
        <w:ind w:left="5712" w:hanging="139"/>
      </w:pPr>
      <w:rPr>
        <w:rFonts w:hint="default"/>
      </w:rPr>
    </w:lvl>
    <w:lvl w:ilvl="7" w:tplc="DD78E74E">
      <w:numFmt w:val="bullet"/>
      <w:lvlText w:val="•"/>
      <w:lvlJc w:val="left"/>
      <w:pPr>
        <w:ind w:left="6444" w:hanging="139"/>
      </w:pPr>
      <w:rPr>
        <w:rFonts w:hint="default"/>
      </w:rPr>
    </w:lvl>
    <w:lvl w:ilvl="8" w:tplc="3BB632FE">
      <w:numFmt w:val="bullet"/>
      <w:lvlText w:val="•"/>
      <w:lvlJc w:val="left"/>
      <w:pPr>
        <w:ind w:left="7176" w:hanging="139"/>
      </w:pPr>
      <w:rPr>
        <w:rFonts w:hint="default"/>
      </w:rPr>
    </w:lvl>
  </w:abstractNum>
  <w:abstractNum w:abstractNumId="77" w15:restartNumberingAfterBreak="0">
    <w:nsid w:val="37B423E3"/>
    <w:multiLevelType w:val="hybridMultilevel"/>
    <w:tmpl w:val="D28860D4"/>
    <w:lvl w:ilvl="0" w:tplc="42623F26">
      <w:start w:val="1"/>
      <w:numFmt w:val="decimal"/>
      <w:lvlText w:val="%1"/>
      <w:lvlJc w:val="left"/>
      <w:pPr>
        <w:ind w:left="1327" w:hanging="139"/>
      </w:pPr>
      <w:rPr>
        <w:rFonts w:ascii="Cambria" w:eastAsia="Cambria" w:hAnsi="Cambria" w:cs="Cambria" w:hint="default"/>
        <w:color w:val="231F20"/>
        <w:w w:val="104"/>
        <w:sz w:val="16"/>
        <w:szCs w:val="16"/>
      </w:rPr>
    </w:lvl>
    <w:lvl w:ilvl="1" w:tplc="E8689766">
      <w:numFmt w:val="bullet"/>
      <w:lvlText w:val="•"/>
      <w:lvlJc w:val="left"/>
      <w:pPr>
        <w:ind w:left="2052" w:hanging="139"/>
      </w:pPr>
      <w:rPr>
        <w:rFonts w:hint="default"/>
      </w:rPr>
    </w:lvl>
    <w:lvl w:ilvl="2" w:tplc="B3FC5BBA">
      <w:numFmt w:val="bullet"/>
      <w:lvlText w:val="•"/>
      <w:lvlJc w:val="left"/>
      <w:pPr>
        <w:ind w:left="2784" w:hanging="139"/>
      </w:pPr>
      <w:rPr>
        <w:rFonts w:hint="default"/>
      </w:rPr>
    </w:lvl>
    <w:lvl w:ilvl="3" w:tplc="50624A2C">
      <w:numFmt w:val="bullet"/>
      <w:lvlText w:val="•"/>
      <w:lvlJc w:val="left"/>
      <w:pPr>
        <w:ind w:left="3516" w:hanging="139"/>
      </w:pPr>
      <w:rPr>
        <w:rFonts w:hint="default"/>
      </w:rPr>
    </w:lvl>
    <w:lvl w:ilvl="4" w:tplc="FE3E27EC">
      <w:numFmt w:val="bullet"/>
      <w:lvlText w:val="•"/>
      <w:lvlJc w:val="left"/>
      <w:pPr>
        <w:ind w:left="4248" w:hanging="139"/>
      </w:pPr>
      <w:rPr>
        <w:rFonts w:hint="default"/>
      </w:rPr>
    </w:lvl>
    <w:lvl w:ilvl="5" w:tplc="EA52056C">
      <w:numFmt w:val="bullet"/>
      <w:lvlText w:val="•"/>
      <w:lvlJc w:val="left"/>
      <w:pPr>
        <w:ind w:left="4980" w:hanging="139"/>
      </w:pPr>
      <w:rPr>
        <w:rFonts w:hint="default"/>
      </w:rPr>
    </w:lvl>
    <w:lvl w:ilvl="6" w:tplc="4A98FFF6">
      <w:numFmt w:val="bullet"/>
      <w:lvlText w:val="•"/>
      <w:lvlJc w:val="left"/>
      <w:pPr>
        <w:ind w:left="5712" w:hanging="139"/>
      </w:pPr>
      <w:rPr>
        <w:rFonts w:hint="default"/>
      </w:rPr>
    </w:lvl>
    <w:lvl w:ilvl="7" w:tplc="1FC65E98">
      <w:numFmt w:val="bullet"/>
      <w:lvlText w:val="•"/>
      <w:lvlJc w:val="left"/>
      <w:pPr>
        <w:ind w:left="6444" w:hanging="139"/>
      </w:pPr>
      <w:rPr>
        <w:rFonts w:hint="default"/>
      </w:rPr>
    </w:lvl>
    <w:lvl w:ilvl="8" w:tplc="70307772">
      <w:numFmt w:val="bullet"/>
      <w:lvlText w:val="•"/>
      <w:lvlJc w:val="left"/>
      <w:pPr>
        <w:ind w:left="7176" w:hanging="139"/>
      </w:pPr>
      <w:rPr>
        <w:rFonts w:hint="default"/>
      </w:rPr>
    </w:lvl>
  </w:abstractNum>
  <w:abstractNum w:abstractNumId="78" w15:restartNumberingAfterBreak="0">
    <w:nsid w:val="380E39ED"/>
    <w:multiLevelType w:val="hybridMultilevel"/>
    <w:tmpl w:val="FD1EF16E"/>
    <w:lvl w:ilvl="0" w:tplc="C3C4B704">
      <w:start w:val="1"/>
      <w:numFmt w:val="decimal"/>
      <w:lvlText w:val="%1."/>
      <w:lvlJc w:val="left"/>
      <w:pPr>
        <w:ind w:left="1943" w:hanging="360"/>
        <w:jc w:val="right"/>
      </w:pPr>
      <w:rPr>
        <w:rFonts w:ascii="Cambria" w:eastAsia="Cambria" w:hAnsi="Cambria" w:cs="Cambria" w:hint="default"/>
        <w:color w:val="231F20"/>
        <w:spacing w:val="-5"/>
        <w:w w:val="100"/>
        <w:sz w:val="20"/>
        <w:szCs w:val="20"/>
      </w:rPr>
    </w:lvl>
    <w:lvl w:ilvl="1" w:tplc="9198D62A">
      <w:numFmt w:val="bullet"/>
      <w:lvlText w:val="•"/>
      <w:lvlJc w:val="left"/>
      <w:pPr>
        <w:ind w:left="2610" w:hanging="360"/>
      </w:pPr>
      <w:rPr>
        <w:rFonts w:hint="default"/>
      </w:rPr>
    </w:lvl>
    <w:lvl w:ilvl="2" w:tplc="8E14F60A">
      <w:numFmt w:val="bullet"/>
      <w:lvlText w:val="•"/>
      <w:lvlJc w:val="left"/>
      <w:pPr>
        <w:ind w:left="3280" w:hanging="360"/>
      </w:pPr>
      <w:rPr>
        <w:rFonts w:hint="default"/>
      </w:rPr>
    </w:lvl>
    <w:lvl w:ilvl="3" w:tplc="6BEEF882">
      <w:numFmt w:val="bullet"/>
      <w:lvlText w:val="•"/>
      <w:lvlJc w:val="left"/>
      <w:pPr>
        <w:ind w:left="3950" w:hanging="360"/>
      </w:pPr>
      <w:rPr>
        <w:rFonts w:hint="default"/>
      </w:rPr>
    </w:lvl>
    <w:lvl w:ilvl="4" w:tplc="4B741CBA">
      <w:numFmt w:val="bullet"/>
      <w:lvlText w:val="•"/>
      <w:lvlJc w:val="left"/>
      <w:pPr>
        <w:ind w:left="4620" w:hanging="360"/>
      </w:pPr>
      <w:rPr>
        <w:rFonts w:hint="default"/>
      </w:rPr>
    </w:lvl>
    <w:lvl w:ilvl="5" w:tplc="67D27976">
      <w:numFmt w:val="bullet"/>
      <w:lvlText w:val="•"/>
      <w:lvlJc w:val="left"/>
      <w:pPr>
        <w:ind w:left="5290" w:hanging="360"/>
      </w:pPr>
      <w:rPr>
        <w:rFonts w:hint="default"/>
      </w:rPr>
    </w:lvl>
    <w:lvl w:ilvl="6" w:tplc="038430F6">
      <w:numFmt w:val="bullet"/>
      <w:lvlText w:val="•"/>
      <w:lvlJc w:val="left"/>
      <w:pPr>
        <w:ind w:left="5960" w:hanging="360"/>
      </w:pPr>
      <w:rPr>
        <w:rFonts w:hint="default"/>
      </w:rPr>
    </w:lvl>
    <w:lvl w:ilvl="7" w:tplc="D17AE65E">
      <w:numFmt w:val="bullet"/>
      <w:lvlText w:val="•"/>
      <w:lvlJc w:val="left"/>
      <w:pPr>
        <w:ind w:left="6630" w:hanging="360"/>
      </w:pPr>
      <w:rPr>
        <w:rFonts w:hint="default"/>
      </w:rPr>
    </w:lvl>
    <w:lvl w:ilvl="8" w:tplc="4D3AFFDA">
      <w:numFmt w:val="bullet"/>
      <w:lvlText w:val="•"/>
      <w:lvlJc w:val="left"/>
      <w:pPr>
        <w:ind w:left="7300" w:hanging="360"/>
      </w:pPr>
      <w:rPr>
        <w:rFonts w:hint="default"/>
      </w:rPr>
    </w:lvl>
  </w:abstractNum>
  <w:abstractNum w:abstractNumId="79" w15:restartNumberingAfterBreak="0">
    <w:nsid w:val="38A95D92"/>
    <w:multiLevelType w:val="hybridMultilevel"/>
    <w:tmpl w:val="FEF6AD5A"/>
    <w:lvl w:ilvl="0" w:tplc="E5C42C24">
      <w:start w:val="1"/>
      <w:numFmt w:val="decimal"/>
      <w:lvlText w:val="%1"/>
      <w:lvlJc w:val="left"/>
      <w:pPr>
        <w:ind w:left="1147" w:hanging="139"/>
      </w:pPr>
      <w:rPr>
        <w:rFonts w:ascii="Cambria" w:eastAsia="Cambria" w:hAnsi="Cambria" w:cs="Cambria" w:hint="default"/>
        <w:color w:val="231F20"/>
        <w:w w:val="104"/>
        <w:sz w:val="16"/>
        <w:szCs w:val="16"/>
      </w:rPr>
    </w:lvl>
    <w:lvl w:ilvl="1" w:tplc="E4A65582">
      <w:start w:val="4"/>
      <w:numFmt w:val="decimal"/>
      <w:lvlText w:val="%2"/>
      <w:lvlJc w:val="left"/>
      <w:pPr>
        <w:ind w:left="1327" w:hanging="139"/>
      </w:pPr>
      <w:rPr>
        <w:rFonts w:ascii="Cambria" w:eastAsia="Cambria" w:hAnsi="Cambria" w:cs="Cambria" w:hint="default"/>
        <w:color w:val="231F20"/>
        <w:w w:val="104"/>
        <w:sz w:val="16"/>
        <w:szCs w:val="16"/>
      </w:rPr>
    </w:lvl>
    <w:lvl w:ilvl="2" w:tplc="F0FC980E">
      <w:numFmt w:val="bullet"/>
      <w:lvlText w:val="•"/>
      <w:lvlJc w:val="left"/>
      <w:pPr>
        <w:ind w:left="2133" w:hanging="139"/>
      </w:pPr>
      <w:rPr>
        <w:rFonts w:hint="default"/>
      </w:rPr>
    </w:lvl>
    <w:lvl w:ilvl="3" w:tplc="F7F2A32E">
      <w:numFmt w:val="bullet"/>
      <w:lvlText w:val="•"/>
      <w:lvlJc w:val="left"/>
      <w:pPr>
        <w:ind w:left="2946" w:hanging="139"/>
      </w:pPr>
      <w:rPr>
        <w:rFonts w:hint="default"/>
      </w:rPr>
    </w:lvl>
    <w:lvl w:ilvl="4" w:tplc="929295E0">
      <w:numFmt w:val="bullet"/>
      <w:lvlText w:val="•"/>
      <w:lvlJc w:val="left"/>
      <w:pPr>
        <w:ind w:left="3760" w:hanging="139"/>
      </w:pPr>
      <w:rPr>
        <w:rFonts w:hint="default"/>
      </w:rPr>
    </w:lvl>
    <w:lvl w:ilvl="5" w:tplc="1F126066">
      <w:numFmt w:val="bullet"/>
      <w:lvlText w:val="•"/>
      <w:lvlJc w:val="left"/>
      <w:pPr>
        <w:ind w:left="4573" w:hanging="139"/>
      </w:pPr>
      <w:rPr>
        <w:rFonts w:hint="default"/>
      </w:rPr>
    </w:lvl>
    <w:lvl w:ilvl="6" w:tplc="7F6E2AA2">
      <w:numFmt w:val="bullet"/>
      <w:lvlText w:val="•"/>
      <w:lvlJc w:val="left"/>
      <w:pPr>
        <w:ind w:left="5386" w:hanging="139"/>
      </w:pPr>
      <w:rPr>
        <w:rFonts w:hint="default"/>
      </w:rPr>
    </w:lvl>
    <w:lvl w:ilvl="7" w:tplc="ED126B06">
      <w:numFmt w:val="bullet"/>
      <w:lvlText w:val="•"/>
      <w:lvlJc w:val="left"/>
      <w:pPr>
        <w:ind w:left="6200" w:hanging="139"/>
      </w:pPr>
      <w:rPr>
        <w:rFonts w:hint="default"/>
      </w:rPr>
    </w:lvl>
    <w:lvl w:ilvl="8" w:tplc="1D2EB8DC">
      <w:numFmt w:val="bullet"/>
      <w:lvlText w:val="•"/>
      <w:lvlJc w:val="left"/>
      <w:pPr>
        <w:ind w:left="7013" w:hanging="139"/>
      </w:pPr>
      <w:rPr>
        <w:rFonts w:hint="default"/>
      </w:rPr>
    </w:lvl>
  </w:abstractNum>
  <w:abstractNum w:abstractNumId="80" w15:restartNumberingAfterBreak="0">
    <w:nsid w:val="38D44DF7"/>
    <w:multiLevelType w:val="hybridMultilevel"/>
    <w:tmpl w:val="5EB25008"/>
    <w:lvl w:ilvl="0" w:tplc="C2420238">
      <w:start w:val="1"/>
      <w:numFmt w:val="decimal"/>
      <w:lvlText w:val="%1"/>
      <w:lvlJc w:val="left"/>
      <w:pPr>
        <w:ind w:left="1327" w:hanging="139"/>
        <w:jc w:val="right"/>
      </w:pPr>
      <w:rPr>
        <w:rFonts w:ascii="Cambria" w:eastAsia="Cambria" w:hAnsi="Cambria" w:cs="Cambria" w:hint="default"/>
        <w:color w:val="231F20"/>
        <w:w w:val="104"/>
        <w:sz w:val="16"/>
        <w:szCs w:val="16"/>
      </w:rPr>
    </w:lvl>
    <w:lvl w:ilvl="1" w:tplc="93F8088C">
      <w:numFmt w:val="bullet"/>
      <w:lvlText w:val="•"/>
      <w:lvlJc w:val="left"/>
      <w:pPr>
        <w:ind w:left="2052" w:hanging="139"/>
      </w:pPr>
      <w:rPr>
        <w:rFonts w:hint="default"/>
      </w:rPr>
    </w:lvl>
    <w:lvl w:ilvl="2" w:tplc="3B78C1B8">
      <w:numFmt w:val="bullet"/>
      <w:lvlText w:val="•"/>
      <w:lvlJc w:val="left"/>
      <w:pPr>
        <w:ind w:left="2784" w:hanging="139"/>
      </w:pPr>
      <w:rPr>
        <w:rFonts w:hint="default"/>
      </w:rPr>
    </w:lvl>
    <w:lvl w:ilvl="3" w:tplc="3E10463A">
      <w:numFmt w:val="bullet"/>
      <w:lvlText w:val="•"/>
      <w:lvlJc w:val="left"/>
      <w:pPr>
        <w:ind w:left="3516" w:hanging="139"/>
      </w:pPr>
      <w:rPr>
        <w:rFonts w:hint="default"/>
      </w:rPr>
    </w:lvl>
    <w:lvl w:ilvl="4" w:tplc="A552AB16">
      <w:numFmt w:val="bullet"/>
      <w:lvlText w:val="•"/>
      <w:lvlJc w:val="left"/>
      <w:pPr>
        <w:ind w:left="4248" w:hanging="139"/>
      </w:pPr>
      <w:rPr>
        <w:rFonts w:hint="default"/>
      </w:rPr>
    </w:lvl>
    <w:lvl w:ilvl="5" w:tplc="DFD21BD8">
      <w:numFmt w:val="bullet"/>
      <w:lvlText w:val="•"/>
      <w:lvlJc w:val="left"/>
      <w:pPr>
        <w:ind w:left="4980" w:hanging="139"/>
      </w:pPr>
      <w:rPr>
        <w:rFonts w:hint="default"/>
      </w:rPr>
    </w:lvl>
    <w:lvl w:ilvl="6" w:tplc="8638ABE0">
      <w:numFmt w:val="bullet"/>
      <w:lvlText w:val="•"/>
      <w:lvlJc w:val="left"/>
      <w:pPr>
        <w:ind w:left="5712" w:hanging="139"/>
      </w:pPr>
      <w:rPr>
        <w:rFonts w:hint="default"/>
      </w:rPr>
    </w:lvl>
    <w:lvl w:ilvl="7" w:tplc="603667CA">
      <w:numFmt w:val="bullet"/>
      <w:lvlText w:val="•"/>
      <w:lvlJc w:val="left"/>
      <w:pPr>
        <w:ind w:left="6444" w:hanging="139"/>
      </w:pPr>
      <w:rPr>
        <w:rFonts w:hint="default"/>
      </w:rPr>
    </w:lvl>
    <w:lvl w:ilvl="8" w:tplc="1452F47C">
      <w:numFmt w:val="bullet"/>
      <w:lvlText w:val="•"/>
      <w:lvlJc w:val="left"/>
      <w:pPr>
        <w:ind w:left="7176" w:hanging="139"/>
      </w:pPr>
      <w:rPr>
        <w:rFonts w:hint="default"/>
      </w:rPr>
    </w:lvl>
  </w:abstractNum>
  <w:abstractNum w:abstractNumId="81" w15:restartNumberingAfterBreak="0">
    <w:nsid w:val="39897A78"/>
    <w:multiLevelType w:val="hybridMultilevel"/>
    <w:tmpl w:val="3CC6FA16"/>
    <w:lvl w:ilvl="0" w:tplc="ACFA7964">
      <w:start w:val="1"/>
      <w:numFmt w:val="decimal"/>
      <w:lvlText w:val="%1"/>
      <w:lvlJc w:val="left"/>
      <w:pPr>
        <w:ind w:left="1147" w:hanging="139"/>
        <w:jc w:val="right"/>
      </w:pPr>
      <w:rPr>
        <w:rFonts w:ascii="Cambria" w:eastAsia="Cambria" w:hAnsi="Cambria" w:cs="Cambria" w:hint="default"/>
        <w:color w:val="231F20"/>
        <w:w w:val="104"/>
        <w:sz w:val="16"/>
        <w:szCs w:val="16"/>
      </w:rPr>
    </w:lvl>
    <w:lvl w:ilvl="1" w:tplc="633A2C1C">
      <w:numFmt w:val="bullet"/>
      <w:lvlText w:val="•"/>
      <w:lvlJc w:val="left"/>
      <w:pPr>
        <w:ind w:left="1890" w:hanging="139"/>
      </w:pPr>
      <w:rPr>
        <w:rFonts w:hint="default"/>
      </w:rPr>
    </w:lvl>
    <w:lvl w:ilvl="2" w:tplc="74E03520">
      <w:numFmt w:val="bullet"/>
      <w:lvlText w:val="•"/>
      <w:lvlJc w:val="left"/>
      <w:pPr>
        <w:ind w:left="2640" w:hanging="139"/>
      </w:pPr>
      <w:rPr>
        <w:rFonts w:hint="default"/>
      </w:rPr>
    </w:lvl>
    <w:lvl w:ilvl="3" w:tplc="966C1E94">
      <w:numFmt w:val="bullet"/>
      <w:lvlText w:val="•"/>
      <w:lvlJc w:val="left"/>
      <w:pPr>
        <w:ind w:left="3390" w:hanging="139"/>
      </w:pPr>
      <w:rPr>
        <w:rFonts w:hint="default"/>
      </w:rPr>
    </w:lvl>
    <w:lvl w:ilvl="4" w:tplc="62361530">
      <w:numFmt w:val="bullet"/>
      <w:lvlText w:val="•"/>
      <w:lvlJc w:val="left"/>
      <w:pPr>
        <w:ind w:left="4140" w:hanging="139"/>
      </w:pPr>
      <w:rPr>
        <w:rFonts w:hint="default"/>
      </w:rPr>
    </w:lvl>
    <w:lvl w:ilvl="5" w:tplc="431E328A">
      <w:numFmt w:val="bullet"/>
      <w:lvlText w:val="•"/>
      <w:lvlJc w:val="left"/>
      <w:pPr>
        <w:ind w:left="4890" w:hanging="139"/>
      </w:pPr>
      <w:rPr>
        <w:rFonts w:hint="default"/>
      </w:rPr>
    </w:lvl>
    <w:lvl w:ilvl="6" w:tplc="29B20D96">
      <w:numFmt w:val="bullet"/>
      <w:lvlText w:val="•"/>
      <w:lvlJc w:val="left"/>
      <w:pPr>
        <w:ind w:left="5640" w:hanging="139"/>
      </w:pPr>
      <w:rPr>
        <w:rFonts w:hint="default"/>
      </w:rPr>
    </w:lvl>
    <w:lvl w:ilvl="7" w:tplc="B9A6C584">
      <w:numFmt w:val="bullet"/>
      <w:lvlText w:val="•"/>
      <w:lvlJc w:val="left"/>
      <w:pPr>
        <w:ind w:left="6390" w:hanging="139"/>
      </w:pPr>
      <w:rPr>
        <w:rFonts w:hint="default"/>
      </w:rPr>
    </w:lvl>
    <w:lvl w:ilvl="8" w:tplc="EC68D138">
      <w:numFmt w:val="bullet"/>
      <w:lvlText w:val="•"/>
      <w:lvlJc w:val="left"/>
      <w:pPr>
        <w:ind w:left="7140" w:hanging="139"/>
      </w:pPr>
      <w:rPr>
        <w:rFonts w:hint="default"/>
      </w:rPr>
    </w:lvl>
  </w:abstractNum>
  <w:abstractNum w:abstractNumId="82" w15:restartNumberingAfterBreak="0">
    <w:nsid w:val="3ABA37AA"/>
    <w:multiLevelType w:val="hybridMultilevel"/>
    <w:tmpl w:val="70A4E6D2"/>
    <w:lvl w:ilvl="0" w:tplc="A4BC5538">
      <w:start w:val="6"/>
      <w:numFmt w:val="decimal"/>
      <w:lvlText w:val="%1"/>
      <w:lvlJc w:val="left"/>
      <w:pPr>
        <w:ind w:left="1328" w:hanging="139"/>
      </w:pPr>
      <w:rPr>
        <w:rFonts w:ascii="Cambria" w:eastAsia="Cambria" w:hAnsi="Cambria" w:cs="Cambria" w:hint="default"/>
        <w:color w:val="231F20"/>
        <w:w w:val="104"/>
        <w:sz w:val="16"/>
        <w:szCs w:val="16"/>
      </w:rPr>
    </w:lvl>
    <w:lvl w:ilvl="1" w:tplc="9544F16C">
      <w:numFmt w:val="bullet"/>
      <w:lvlText w:val="•"/>
      <w:lvlJc w:val="left"/>
      <w:pPr>
        <w:ind w:left="2052" w:hanging="139"/>
      </w:pPr>
      <w:rPr>
        <w:rFonts w:hint="default"/>
      </w:rPr>
    </w:lvl>
    <w:lvl w:ilvl="2" w:tplc="4E32227C">
      <w:numFmt w:val="bullet"/>
      <w:lvlText w:val="•"/>
      <w:lvlJc w:val="left"/>
      <w:pPr>
        <w:ind w:left="2784" w:hanging="139"/>
      </w:pPr>
      <w:rPr>
        <w:rFonts w:hint="default"/>
      </w:rPr>
    </w:lvl>
    <w:lvl w:ilvl="3" w:tplc="6D4EEB26">
      <w:numFmt w:val="bullet"/>
      <w:lvlText w:val="•"/>
      <w:lvlJc w:val="left"/>
      <w:pPr>
        <w:ind w:left="3516" w:hanging="139"/>
      </w:pPr>
      <w:rPr>
        <w:rFonts w:hint="default"/>
      </w:rPr>
    </w:lvl>
    <w:lvl w:ilvl="4" w:tplc="BBAA0D3E">
      <w:numFmt w:val="bullet"/>
      <w:lvlText w:val="•"/>
      <w:lvlJc w:val="left"/>
      <w:pPr>
        <w:ind w:left="4248" w:hanging="139"/>
      </w:pPr>
      <w:rPr>
        <w:rFonts w:hint="default"/>
      </w:rPr>
    </w:lvl>
    <w:lvl w:ilvl="5" w:tplc="6058783E">
      <w:numFmt w:val="bullet"/>
      <w:lvlText w:val="•"/>
      <w:lvlJc w:val="left"/>
      <w:pPr>
        <w:ind w:left="4980" w:hanging="139"/>
      </w:pPr>
      <w:rPr>
        <w:rFonts w:hint="default"/>
      </w:rPr>
    </w:lvl>
    <w:lvl w:ilvl="6" w:tplc="44D870F0">
      <w:numFmt w:val="bullet"/>
      <w:lvlText w:val="•"/>
      <w:lvlJc w:val="left"/>
      <w:pPr>
        <w:ind w:left="5712" w:hanging="139"/>
      </w:pPr>
      <w:rPr>
        <w:rFonts w:hint="default"/>
      </w:rPr>
    </w:lvl>
    <w:lvl w:ilvl="7" w:tplc="FF841DB8">
      <w:numFmt w:val="bullet"/>
      <w:lvlText w:val="•"/>
      <w:lvlJc w:val="left"/>
      <w:pPr>
        <w:ind w:left="6444" w:hanging="139"/>
      </w:pPr>
      <w:rPr>
        <w:rFonts w:hint="default"/>
      </w:rPr>
    </w:lvl>
    <w:lvl w:ilvl="8" w:tplc="92FEABDC">
      <w:numFmt w:val="bullet"/>
      <w:lvlText w:val="•"/>
      <w:lvlJc w:val="left"/>
      <w:pPr>
        <w:ind w:left="7176" w:hanging="139"/>
      </w:pPr>
      <w:rPr>
        <w:rFonts w:hint="default"/>
      </w:rPr>
    </w:lvl>
  </w:abstractNum>
  <w:abstractNum w:abstractNumId="83" w15:restartNumberingAfterBreak="0">
    <w:nsid w:val="3AE75E55"/>
    <w:multiLevelType w:val="hybridMultilevel"/>
    <w:tmpl w:val="456A7C08"/>
    <w:lvl w:ilvl="0" w:tplc="9C5866A2">
      <w:start w:val="1"/>
      <w:numFmt w:val="decimal"/>
      <w:lvlText w:val="%1"/>
      <w:lvlJc w:val="left"/>
      <w:pPr>
        <w:ind w:left="1147" w:hanging="139"/>
      </w:pPr>
      <w:rPr>
        <w:rFonts w:ascii="Cambria" w:eastAsia="Cambria" w:hAnsi="Cambria" w:cs="Cambria" w:hint="default"/>
        <w:color w:val="231F20"/>
        <w:w w:val="104"/>
        <w:sz w:val="16"/>
        <w:szCs w:val="16"/>
      </w:rPr>
    </w:lvl>
    <w:lvl w:ilvl="1" w:tplc="DD5A4584">
      <w:numFmt w:val="bullet"/>
      <w:lvlText w:val="•"/>
      <w:lvlJc w:val="left"/>
      <w:pPr>
        <w:ind w:left="1890" w:hanging="139"/>
      </w:pPr>
      <w:rPr>
        <w:rFonts w:hint="default"/>
      </w:rPr>
    </w:lvl>
    <w:lvl w:ilvl="2" w:tplc="2C5ADBDE">
      <w:numFmt w:val="bullet"/>
      <w:lvlText w:val="•"/>
      <w:lvlJc w:val="left"/>
      <w:pPr>
        <w:ind w:left="2640" w:hanging="139"/>
      </w:pPr>
      <w:rPr>
        <w:rFonts w:hint="default"/>
      </w:rPr>
    </w:lvl>
    <w:lvl w:ilvl="3" w:tplc="5F665242">
      <w:numFmt w:val="bullet"/>
      <w:lvlText w:val="•"/>
      <w:lvlJc w:val="left"/>
      <w:pPr>
        <w:ind w:left="3390" w:hanging="139"/>
      </w:pPr>
      <w:rPr>
        <w:rFonts w:hint="default"/>
      </w:rPr>
    </w:lvl>
    <w:lvl w:ilvl="4" w:tplc="087CD2E4">
      <w:numFmt w:val="bullet"/>
      <w:lvlText w:val="•"/>
      <w:lvlJc w:val="left"/>
      <w:pPr>
        <w:ind w:left="4140" w:hanging="139"/>
      </w:pPr>
      <w:rPr>
        <w:rFonts w:hint="default"/>
      </w:rPr>
    </w:lvl>
    <w:lvl w:ilvl="5" w:tplc="28665958">
      <w:numFmt w:val="bullet"/>
      <w:lvlText w:val="•"/>
      <w:lvlJc w:val="left"/>
      <w:pPr>
        <w:ind w:left="4890" w:hanging="139"/>
      </w:pPr>
      <w:rPr>
        <w:rFonts w:hint="default"/>
      </w:rPr>
    </w:lvl>
    <w:lvl w:ilvl="6" w:tplc="0070183C">
      <w:numFmt w:val="bullet"/>
      <w:lvlText w:val="•"/>
      <w:lvlJc w:val="left"/>
      <w:pPr>
        <w:ind w:left="5640" w:hanging="139"/>
      </w:pPr>
      <w:rPr>
        <w:rFonts w:hint="default"/>
      </w:rPr>
    </w:lvl>
    <w:lvl w:ilvl="7" w:tplc="032600AE">
      <w:numFmt w:val="bullet"/>
      <w:lvlText w:val="•"/>
      <w:lvlJc w:val="left"/>
      <w:pPr>
        <w:ind w:left="6390" w:hanging="139"/>
      </w:pPr>
      <w:rPr>
        <w:rFonts w:hint="default"/>
      </w:rPr>
    </w:lvl>
    <w:lvl w:ilvl="8" w:tplc="580C16EE">
      <w:numFmt w:val="bullet"/>
      <w:lvlText w:val="•"/>
      <w:lvlJc w:val="left"/>
      <w:pPr>
        <w:ind w:left="7140" w:hanging="139"/>
      </w:pPr>
      <w:rPr>
        <w:rFonts w:hint="default"/>
      </w:rPr>
    </w:lvl>
  </w:abstractNum>
  <w:abstractNum w:abstractNumId="84" w15:restartNumberingAfterBreak="0">
    <w:nsid w:val="3BCB2277"/>
    <w:multiLevelType w:val="hybridMultilevel"/>
    <w:tmpl w:val="C1988160"/>
    <w:lvl w:ilvl="0" w:tplc="B202727E">
      <w:start w:val="1"/>
      <w:numFmt w:val="decimal"/>
      <w:lvlText w:val="%1"/>
      <w:lvlJc w:val="left"/>
      <w:pPr>
        <w:ind w:left="1147" w:hanging="139"/>
        <w:jc w:val="right"/>
      </w:pPr>
      <w:rPr>
        <w:rFonts w:ascii="Cambria" w:eastAsia="Cambria" w:hAnsi="Cambria" w:cs="Cambria" w:hint="default"/>
        <w:color w:val="231F20"/>
        <w:w w:val="104"/>
        <w:sz w:val="16"/>
        <w:szCs w:val="16"/>
      </w:rPr>
    </w:lvl>
    <w:lvl w:ilvl="1" w:tplc="EB2CA384">
      <w:numFmt w:val="bullet"/>
      <w:lvlText w:val="•"/>
      <w:lvlJc w:val="left"/>
      <w:pPr>
        <w:ind w:left="1890" w:hanging="139"/>
      </w:pPr>
      <w:rPr>
        <w:rFonts w:hint="default"/>
      </w:rPr>
    </w:lvl>
    <w:lvl w:ilvl="2" w:tplc="B0787F94">
      <w:numFmt w:val="bullet"/>
      <w:lvlText w:val="•"/>
      <w:lvlJc w:val="left"/>
      <w:pPr>
        <w:ind w:left="2640" w:hanging="139"/>
      </w:pPr>
      <w:rPr>
        <w:rFonts w:hint="default"/>
      </w:rPr>
    </w:lvl>
    <w:lvl w:ilvl="3" w:tplc="E3246896">
      <w:numFmt w:val="bullet"/>
      <w:lvlText w:val="•"/>
      <w:lvlJc w:val="left"/>
      <w:pPr>
        <w:ind w:left="3390" w:hanging="139"/>
      </w:pPr>
      <w:rPr>
        <w:rFonts w:hint="default"/>
      </w:rPr>
    </w:lvl>
    <w:lvl w:ilvl="4" w:tplc="C0947916">
      <w:numFmt w:val="bullet"/>
      <w:lvlText w:val="•"/>
      <w:lvlJc w:val="left"/>
      <w:pPr>
        <w:ind w:left="4140" w:hanging="139"/>
      </w:pPr>
      <w:rPr>
        <w:rFonts w:hint="default"/>
      </w:rPr>
    </w:lvl>
    <w:lvl w:ilvl="5" w:tplc="BA3631E2">
      <w:numFmt w:val="bullet"/>
      <w:lvlText w:val="•"/>
      <w:lvlJc w:val="left"/>
      <w:pPr>
        <w:ind w:left="4890" w:hanging="139"/>
      </w:pPr>
      <w:rPr>
        <w:rFonts w:hint="default"/>
      </w:rPr>
    </w:lvl>
    <w:lvl w:ilvl="6" w:tplc="2D0ECDAE">
      <w:numFmt w:val="bullet"/>
      <w:lvlText w:val="•"/>
      <w:lvlJc w:val="left"/>
      <w:pPr>
        <w:ind w:left="5640" w:hanging="139"/>
      </w:pPr>
      <w:rPr>
        <w:rFonts w:hint="default"/>
      </w:rPr>
    </w:lvl>
    <w:lvl w:ilvl="7" w:tplc="153CED84">
      <w:numFmt w:val="bullet"/>
      <w:lvlText w:val="•"/>
      <w:lvlJc w:val="left"/>
      <w:pPr>
        <w:ind w:left="6390" w:hanging="139"/>
      </w:pPr>
      <w:rPr>
        <w:rFonts w:hint="default"/>
      </w:rPr>
    </w:lvl>
    <w:lvl w:ilvl="8" w:tplc="6B0ABA1E">
      <w:numFmt w:val="bullet"/>
      <w:lvlText w:val="•"/>
      <w:lvlJc w:val="left"/>
      <w:pPr>
        <w:ind w:left="7140" w:hanging="139"/>
      </w:pPr>
      <w:rPr>
        <w:rFonts w:hint="default"/>
      </w:rPr>
    </w:lvl>
  </w:abstractNum>
  <w:abstractNum w:abstractNumId="85" w15:restartNumberingAfterBreak="0">
    <w:nsid w:val="3C891675"/>
    <w:multiLevelType w:val="hybridMultilevel"/>
    <w:tmpl w:val="62F83874"/>
    <w:lvl w:ilvl="0" w:tplc="0B5AF878">
      <w:start w:val="6"/>
      <w:numFmt w:val="decimal"/>
      <w:lvlText w:val="%1"/>
      <w:lvlJc w:val="left"/>
      <w:pPr>
        <w:ind w:left="1328" w:hanging="139"/>
      </w:pPr>
      <w:rPr>
        <w:rFonts w:ascii="Cambria" w:eastAsia="Cambria" w:hAnsi="Cambria" w:cs="Cambria" w:hint="default"/>
        <w:color w:val="231F20"/>
        <w:w w:val="104"/>
        <w:sz w:val="16"/>
        <w:szCs w:val="16"/>
      </w:rPr>
    </w:lvl>
    <w:lvl w:ilvl="1" w:tplc="AEE638A0">
      <w:numFmt w:val="bullet"/>
      <w:lvlText w:val="•"/>
      <w:lvlJc w:val="left"/>
      <w:pPr>
        <w:ind w:left="2052" w:hanging="139"/>
      </w:pPr>
      <w:rPr>
        <w:rFonts w:hint="default"/>
      </w:rPr>
    </w:lvl>
    <w:lvl w:ilvl="2" w:tplc="A78E60EC">
      <w:numFmt w:val="bullet"/>
      <w:lvlText w:val="•"/>
      <w:lvlJc w:val="left"/>
      <w:pPr>
        <w:ind w:left="2784" w:hanging="139"/>
      </w:pPr>
      <w:rPr>
        <w:rFonts w:hint="default"/>
      </w:rPr>
    </w:lvl>
    <w:lvl w:ilvl="3" w:tplc="98C69248">
      <w:numFmt w:val="bullet"/>
      <w:lvlText w:val="•"/>
      <w:lvlJc w:val="left"/>
      <w:pPr>
        <w:ind w:left="3516" w:hanging="139"/>
      </w:pPr>
      <w:rPr>
        <w:rFonts w:hint="default"/>
      </w:rPr>
    </w:lvl>
    <w:lvl w:ilvl="4" w:tplc="7F648BBC">
      <w:numFmt w:val="bullet"/>
      <w:lvlText w:val="•"/>
      <w:lvlJc w:val="left"/>
      <w:pPr>
        <w:ind w:left="4248" w:hanging="139"/>
      </w:pPr>
      <w:rPr>
        <w:rFonts w:hint="default"/>
      </w:rPr>
    </w:lvl>
    <w:lvl w:ilvl="5" w:tplc="4E36DEE8">
      <w:numFmt w:val="bullet"/>
      <w:lvlText w:val="•"/>
      <w:lvlJc w:val="left"/>
      <w:pPr>
        <w:ind w:left="4980" w:hanging="139"/>
      </w:pPr>
      <w:rPr>
        <w:rFonts w:hint="default"/>
      </w:rPr>
    </w:lvl>
    <w:lvl w:ilvl="6" w:tplc="FFC82452">
      <w:numFmt w:val="bullet"/>
      <w:lvlText w:val="•"/>
      <w:lvlJc w:val="left"/>
      <w:pPr>
        <w:ind w:left="5712" w:hanging="139"/>
      </w:pPr>
      <w:rPr>
        <w:rFonts w:hint="default"/>
      </w:rPr>
    </w:lvl>
    <w:lvl w:ilvl="7" w:tplc="E0BC142C">
      <w:numFmt w:val="bullet"/>
      <w:lvlText w:val="•"/>
      <w:lvlJc w:val="left"/>
      <w:pPr>
        <w:ind w:left="6444" w:hanging="139"/>
      </w:pPr>
      <w:rPr>
        <w:rFonts w:hint="default"/>
      </w:rPr>
    </w:lvl>
    <w:lvl w:ilvl="8" w:tplc="55DAF99A">
      <w:numFmt w:val="bullet"/>
      <w:lvlText w:val="•"/>
      <w:lvlJc w:val="left"/>
      <w:pPr>
        <w:ind w:left="7176" w:hanging="139"/>
      </w:pPr>
      <w:rPr>
        <w:rFonts w:hint="default"/>
      </w:rPr>
    </w:lvl>
  </w:abstractNum>
  <w:abstractNum w:abstractNumId="86" w15:restartNumberingAfterBreak="0">
    <w:nsid w:val="3DD727DE"/>
    <w:multiLevelType w:val="hybridMultilevel"/>
    <w:tmpl w:val="5E36DA4E"/>
    <w:lvl w:ilvl="0" w:tplc="5DC4ABB0">
      <w:start w:val="1"/>
      <w:numFmt w:val="decimal"/>
      <w:lvlText w:val="%1"/>
      <w:lvlJc w:val="left"/>
      <w:pPr>
        <w:ind w:left="1147" w:hanging="139"/>
        <w:jc w:val="right"/>
      </w:pPr>
      <w:rPr>
        <w:rFonts w:ascii="Cambria" w:eastAsia="Cambria" w:hAnsi="Cambria" w:cs="Cambria" w:hint="default"/>
        <w:color w:val="231F20"/>
        <w:w w:val="104"/>
        <w:sz w:val="16"/>
        <w:szCs w:val="16"/>
      </w:rPr>
    </w:lvl>
    <w:lvl w:ilvl="1" w:tplc="02EC6AC6">
      <w:numFmt w:val="bullet"/>
      <w:lvlText w:val="•"/>
      <w:lvlJc w:val="left"/>
      <w:pPr>
        <w:ind w:left="1890" w:hanging="139"/>
      </w:pPr>
      <w:rPr>
        <w:rFonts w:hint="default"/>
      </w:rPr>
    </w:lvl>
    <w:lvl w:ilvl="2" w:tplc="95182368">
      <w:numFmt w:val="bullet"/>
      <w:lvlText w:val="•"/>
      <w:lvlJc w:val="left"/>
      <w:pPr>
        <w:ind w:left="2640" w:hanging="139"/>
      </w:pPr>
      <w:rPr>
        <w:rFonts w:hint="default"/>
      </w:rPr>
    </w:lvl>
    <w:lvl w:ilvl="3" w:tplc="D8EA499C">
      <w:numFmt w:val="bullet"/>
      <w:lvlText w:val="•"/>
      <w:lvlJc w:val="left"/>
      <w:pPr>
        <w:ind w:left="3390" w:hanging="139"/>
      </w:pPr>
      <w:rPr>
        <w:rFonts w:hint="default"/>
      </w:rPr>
    </w:lvl>
    <w:lvl w:ilvl="4" w:tplc="5BF689FE">
      <w:numFmt w:val="bullet"/>
      <w:lvlText w:val="•"/>
      <w:lvlJc w:val="left"/>
      <w:pPr>
        <w:ind w:left="4140" w:hanging="139"/>
      </w:pPr>
      <w:rPr>
        <w:rFonts w:hint="default"/>
      </w:rPr>
    </w:lvl>
    <w:lvl w:ilvl="5" w:tplc="5896E8CC">
      <w:numFmt w:val="bullet"/>
      <w:lvlText w:val="•"/>
      <w:lvlJc w:val="left"/>
      <w:pPr>
        <w:ind w:left="4890" w:hanging="139"/>
      </w:pPr>
      <w:rPr>
        <w:rFonts w:hint="default"/>
      </w:rPr>
    </w:lvl>
    <w:lvl w:ilvl="6" w:tplc="7C229A2A">
      <w:numFmt w:val="bullet"/>
      <w:lvlText w:val="•"/>
      <w:lvlJc w:val="left"/>
      <w:pPr>
        <w:ind w:left="5640" w:hanging="139"/>
      </w:pPr>
      <w:rPr>
        <w:rFonts w:hint="default"/>
      </w:rPr>
    </w:lvl>
    <w:lvl w:ilvl="7" w:tplc="D598CA92">
      <w:numFmt w:val="bullet"/>
      <w:lvlText w:val="•"/>
      <w:lvlJc w:val="left"/>
      <w:pPr>
        <w:ind w:left="6390" w:hanging="139"/>
      </w:pPr>
      <w:rPr>
        <w:rFonts w:hint="default"/>
      </w:rPr>
    </w:lvl>
    <w:lvl w:ilvl="8" w:tplc="F6C224DE">
      <w:numFmt w:val="bullet"/>
      <w:lvlText w:val="•"/>
      <w:lvlJc w:val="left"/>
      <w:pPr>
        <w:ind w:left="7140" w:hanging="139"/>
      </w:pPr>
      <w:rPr>
        <w:rFonts w:hint="default"/>
      </w:rPr>
    </w:lvl>
  </w:abstractNum>
  <w:abstractNum w:abstractNumId="87" w15:restartNumberingAfterBreak="0">
    <w:nsid w:val="3E4C3430"/>
    <w:multiLevelType w:val="hybridMultilevel"/>
    <w:tmpl w:val="C436D3D6"/>
    <w:lvl w:ilvl="0" w:tplc="48D48510">
      <w:start w:val="6"/>
      <w:numFmt w:val="decimal"/>
      <w:lvlText w:val="%1"/>
      <w:lvlJc w:val="left"/>
      <w:pPr>
        <w:ind w:left="1327" w:hanging="139"/>
      </w:pPr>
      <w:rPr>
        <w:rFonts w:ascii="Cambria" w:eastAsia="Cambria" w:hAnsi="Cambria" w:cs="Cambria" w:hint="default"/>
        <w:color w:val="231F20"/>
        <w:w w:val="104"/>
        <w:sz w:val="16"/>
        <w:szCs w:val="16"/>
      </w:rPr>
    </w:lvl>
    <w:lvl w:ilvl="1" w:tplc="44C83F6C">
      <w:numFmt w:val="bullet"/>
      <w:lvlText w:val="•"/>
      <w:lvlJc w:val="left"/>
      <w:pPr>
        <w:ind w:left="2052" w:hanging="139"/>
      </w:pPr>
      <w:rPr>
        <w:rFonts w:hint="default"/>
      </w:rPr>
    </w:lvl>
    <w:lvl w:ilvl="2" w:tplc="828E22EA">
      <w:numFmt w:val="bullet"/>
      <w:lvlText w:val="•"/>
      <w:lvlJc w:val="left"/>
      <w:pPr>
        <w:ind w:left="2784" w:hanging="139"/>
      </w:pPr>
      <w:rPr>
        <w:rFonts w:hint="default"/>
      </w:rPr>
    </w:lvl>
    <w:lvl w:ilvl="3" w:tplc="BAB2F18A">
      <w:numFmt w:val="bullet"/>
      <w:lvlText w:val="•"/>
      <w:lvlJc w:val="left"/>
      <w:pPr>
        <w:ind w:left="3516" w:hanging="139"/>
      </w:pPr>
      <w:rPr>
        <w:rFonts w:hint="default"/>
      </w:rPr>
    </w:lvl>
    <w:lvl w:ilvl="4" w:tplc="CB16A84C">
      <w:numFmt w:val="bullet"/>
      <w:lvlText w:val="•"/>
      <w:lvlJc w:val="left"/>
      <w:pPr>
        <w:ind w:left="4248" w:hanging="139"/>
      </w:pPr>
      <w:rPr>
        <w:rFonts w:hint="default"/>
      </w:rPr>
    </w:lvl>
    <w:lvl w:ilvl="5" w:tplc="0AC43F16">
      <w:numFmt w:val="bullet"/>
      <w:lvlText w:val="•"/>
      <w:lvlJc w:val="left"/>
      <w:pPr>
        <w:ind w:left="4980" w:hanging="139"/>
      </w:pPr>
      <w:rPr>
        <w:rFonts w:hint="default"/>
      </w:rPr>
    </w:lvl>
    <w:lvl w:ilvl="6" w:tplc="A6964F02">
      <w:numFmt w:val="bullet"/>
      <w:lvlText w:val="•"/>
      <w:lvlJc w:val="left"/>
      <w:pPr>
        <w:ind w:left="5712" w:hanging="139"/>
      </w:pPr>
      <w:rPr>
        <w:rFonts w:hint="default"/>
      </w:rPr>
    </w:lvl>
    <w:lvl w:ilvl="7" w:tplc="554A7992">
      <w:numFmt w:val="bullet"/>
      <w:lvlText w:val="•"/>
      <w:lvlJc w:val="left"/>
      <w:pPr>
        <w:ind w:left="6444" w:hanging="139"/>
      </w:pPr>
      <w:rPr>
        <w:rFonts w:hint="default"/>
      </w:rPr>
    </w:lvl>
    <w:lvl w:ilvl="8" w:tplc="422C0C92">
      <w:numFmt w:val="bullet"/>
      <w:lvlText w:val="•"/>
      <w:lvlJc w:val="left"/>
      <w:pPr>
        <w:ind w:left="7176" w:hanging="139"/>
      </w:pPr>
      <w:rPr>
        <w:rFonts w:hint="default"/>
      </w:rPr>
    </w:lvl>
  </w:abstractNum>
  <w:abstractNum w:abstractNumId="88" w15:restartNumberingAfterBreak="0">
    <w:nsid w:val="3E614C12"/>
    <w:multiLevelType w:val="hybridMultilevel"/>
    <w:tmpl w:val="3DA41DAC"/>
    <w:lvl w:ilvl="0" w:tplc="C948738E">
      <w:start w:val="3"/>
      <w:numFmt w:val="decimal"/>
      <w:lvlText w:val="%1"/>
      <w:lvlJc w:val="left"/>
      <w:pPr>
        <w:ind w:left="1327" w:hanging="139"/>
      </w:pPr>
      <w:rPr>
        <w:rFonts w:ascii="Cambria" w:eastAsia="Cambria" w:hAnsi="Cambria" w:cs="Cambria" w:hint="default"/>
        <w:color w:val="231F20"/>
        <w:w w:val="104"/>
        <w:sz w:val="16"/>
        <w:szCs w:val="16"/>
      </w:rPr>
    </w:lvl>
    <w:lvl w:ilvl="1" w:tplc="6B9846A0">
      <w:numFmt w:val="bullet"/>
      <w:lvlText w:val="•"/>
      <w:lvlJc w:val="left"/>
      <w:pPr>
        <w:ind w:left="2052" w:hanging="139"/>
      </w:pPr>
      <w:rPr>
        <w:rFonts w:hint="default"/>
      </w:rPr>
    </w:lvl>
    <w:lvl w:ilvl="2" w:tplc="CF4E5DC0">
      <w:numFmt w:val="bullet"/>
      <w:lvlText w:val="•"/>
      <w:lvlJc w:val="left"/>
      <w:pPr>
        <w:ind w:left="2784" w:hanging="139"/>
      </w:pPr>
      <w:rPr>
        <w:rFonts w:hint="default"/>
      </w:rPr>
    </w:lvl>
    <w:lvl w:ilvl="3" w:tplc="1174EE66">
      <w:numFmt w:val="bullet"/>
      <w:lvlText w:val="•"/>
      <w:lvlJc w:val="left"/>
      <w:pPr>
        <w:ind w:left="3516" w:hanging="139"/>
      </w:pPr>
      <w:rPr>
        <w:rFonts w:hint="default"/>
      </w:rPr>
    </w:lvl>
    <w:lvl w:ilvl="4" w:tplc="75E07C2C">
      <w:numFmt w:val="bullet"/>
      <w:lvlText w:val="•"/>
      <w:lvlJc w:val="left"/>
      <w:pPr>
        <w:ind w:left="4248" w:hanging="139"/>
      </w:pPr>
      <w:rPr>
        <w:rFonts w:hint="default"/>
      </w:rPr>
    </w:lvl>
    <w:lvl w:ilvl="5" w:tplc="2CAE860C">
      <w:numFmt w:val="bullet"/>
      <w:lvlText w:val="•"/>
      <w:lvlJc w:val="left"/>
      <w:pPr>
        <w:ind w:left="4980" w:hanging="139"/>
      </w:pPr>
      <w:rPr>
        <w:rFonts w:hint="default"/>
      </w:rPr>
    </w:lvl>
    <w:lvl w:ilvl="6" w:tplc="DB587F3A">
      <w:numFmt w:val="bullet"/>
      <w:lvlText w:val="•"/>
      <w:lvlJc w:val="left"/>
      <w:pPr>
        <w:ind w:left="5712" w:hanging="139"/>
      </w:pPr>
      <w:rPr>
        <w:rFonts w:hint="default"/>
      </w:rPr>
    </w:lvl>
    <w:lvl w:ilvl="7" w:tplc="4E92BF78">
      <w:numFmt w:val="bullet"/>
      <w:lvlText w:val="•"/>
      <w:lvlJc w:val="left"/>
      <w:pPr>
        <w:ind w:left="6444" w:hanging="139"/>
      </w:pPr>
      <w:rPr>
        <w:rFonts w:hint="default"/>
      </w:rPr>
    </w:lvl>
    <w:lvl w:ilvl="8" w:tplc="14F2FC78">
      <w:numFmt w:val="bullet"/>
      <w:lvlText w:val="•"/>
      <w:lvlJc w:val="left"/>
      <w:pPr>
        <w:ind w:left="7176" w:hanging="139"/>
      </w:pPr>
      <w:rPr>
        <w:rFonts w:hint="default"/>
      </w:rPr>
    </w:lvl>
  </w:abstractNum>
  <w:abstractNum w:abstractNumId="89" w15:restartNumberingAfterBreak="0">
    <w:nsid w:val="3E837955"/>
    <w:multiLevelType w:val="hybridMultilevel"/>
    <w:tmpl w:val="2A7C2602"/>
    <w:lvl w:ilvl="0" w:tplc="5E88DF10">
      <w:start w:val="1"/>
      <w:numFmt w:val="decimal"/>
      <w:lvlText w:val="%1"/>
      <w:lvlJc w:val="left"/>
      <w:pPr>
        <w:ind w:left="1327" w:hanging="139"/>
      </w:pPr>
      <w:rPr>
        <w:rFonts w:ascii="Cambria" w:eastAsia="Cambria" w:hAnsi="Cambria" w:cs="Cambria" w:hint="default"/>
        <w:color w:val="231F20"/>
        <w:w w:val="104"/>
        <w:sz w:val="16"/>
        <w:szCs w:val="16"/>
      </w:rPr>
    </w:lvl>
    <w:lvl w:ilvl="1" w:tplc="05804182">
      <w:numFmt w:val="bullet"/>
      <w:lvlText w:val="•"/>
      <w:lvlJc w:val="left"/>
      <w:pPr>
        <w:ind w:left="2052" w:hanging="139"/>
      </w:pPr>
      <w:rPr>
        <w:rFonts w:hint="default"/>
      </w:rPr>
    </w:lvl>
    <w:lvl w:ilvl="2" w:tplc="955EC178">
      <w:numFmt w:val="bullet"/>
      <w:lvlText w:val="•"/>
      <w:lvlJc w:val="left"/>
      <w:pPr>
        <w:ind w:left="2784" w:hanging="139"/>
      </w:pPr>
      <w:rPr>
        <w:rFonts w:hint="default"/>
      </w:rPr>
    </w:lvl>
    <w:lvl w:ilvl="3" w:tplc="BE8489C0">
      <w:numFmt w:val="bullet"/>
      <w:lvlText w:val="•"/>
      <w:lvlJc w:val="left"/>
      <w:pPr>
        <w:ind w:left="3516" w:hanging="139"/>
      </w:pPr>
      <w:rPr>
        <w:rFonts w:hint="default"/>
      </w:rPr>
    </w:lvl>
    <w:lvl w:ilvl="4" w:tplc="2EE207F2">
      <w:numFmt w:val="bullet"/>
      <w:lvlText w:val="•"/>
      <w:lvlJc w:val="left"/>
      <w:pPr>
        <w:ind w:left="4248" w:hanging="139"/>
      </w:pPr>
      <w:rPr>
        <w:rFonts w:hint="default"/>
      </w:rPr>
    </w:lvl>
    <w:lvl w:ilvl="5" w:tplc="094E4650">
      <w:numFmt w:val="bullet"/>
      <w:lvlText w:val="•"/>
      <w:lvlJc w:val="left"/>
      <w:pPr>
        <w:ind w:left="4980" w:hanging="139"/>
      </w:pPr>
      <w:rPr>
        <w:rFonts w:hint="default"/>
      </w:rPr>
    </w:lvl>
    <w:lvl w:ilvl="6" w:tplc="E906437E">
      <w:numFmt w:val="bullet"/>
      <w:lvlText w:val="•"/>
      <w:lvlJc w:val="left"/>
      <w:pPr>
        <w:ind w:left="5712" w:hanging="139"/>
      </w:pPr>
      <w:rPr>
        <w:rFonts w:hint="default"/>
      </w:rPr>
    </w:lvl>
    <w:lvl w:ilvl="7" w:tplc="CD2223C8">
      <w:numFmt w:val="bullet"/>
      <w:lvlText w:val="•"/>
      <w:lvlJc w:val="left"/>
      <w:pPr>
        <w:ind w:left="6444" w:hanging="139"/>
      </w:pPr>
      <w:rPr>
        <w:rFonts w:hint="default"/>
      </w:rPr>
    </w:lvl>
    <w:lvl w:ilvl="8" w:tplc="04A0DC48">
      <w:numFmt w:val="bullet"/>
      <w:lvlText w:val="•"/>
      <w:lvlJc w:val="left"/>
      <w:pPr>
        <w:ind w:left="7176" w:hanging="139"/>
      </w:pPr>
      <w:rPr>
        <w:rFonts w:hint="default"/>
      </w:rPr>
    </w:lvl>
  </w:abstractNum>
  <w:abstractNum w:abstractNumId="90" w15:restartNumberingAfterBreak="0">
    <w:nsid w:val="3F55545C"/>
    <w:multiLevelType w:val="hybridMultilevel"/>
    <w:tmpl w:val="0672874E"/>
    <w:lvl w:ilvl="0" w:tplc="561010F4">
      <w:start w:val="1"/>
      <w:numFmt w:val="decimal"/>
      <w:lvlText w:val="%1"/>
      <w:lvlJc w:val="left"/>
      <w:pPr>
        <w:ind w:left="1327" w:hanging="139"/>
      </w:pPr>
      <w:rPr>
        <w:rFonts w:ascii="Cambria" w:eastAsia="Cambria" w:hAnsi="Cambria" w:cs="Cambria" w:hint="default"/>
        <w:color w:val="231F20"/>
        <w:w w:val="104"/>
        <w:sz w:val="16"/>
        <w:szCs w:val="16"/>
      </w:rPr>
    </w:lvl>
    <w:lvl w:ilvl="1" w:tplc="E4FAE7C8">
      <w:numFmt w:val="bullet"/>
      <w:lvlText w:val="•"/>
      <w:lvlJc w:val="left"/>
      <w:pPr>
        <w:ind w:left="2052" w:hanging="139"/>
      </w:pPr>
      <w:rPr>
        <w:rFonts w:hint="default"/>
      </w:rPr>
    </w:lvl>
    <w:lvl w:ilvl="2" w:tplc="879A8032">
      <w:numFmt w:val="bullet"/>
      <w:lvlText w:val="•"/>
      <w:lvlJc w:val="left"/>
      <w:pPr>
        <w:ind w:left="2784" w:hanging="139"/>
      </w:pPr>
      <w:rPr>
        <w:rFonts w:hint="default"/>
      </w:rPr>
    </w:lvl>
    <w:lvl w:ilvl="3" w:tplc="8C5AFEBA">
      <w:numFmt w:val="bullet"/>
      <w:lvlText w:val="•"/>
      <w:lvlJc w:val="left"/>
      <w:pPr>
        <w:ind w:left="3516" w:hanging="139"/>
      </w:pPr>
      <w:rPr>
        <w:rFonts w:hint="default"/>
      </w:rPr>
    </w:lvl>
    <w:lvl w:ilvl="4" w:tplc="D826E472">
      <w:numFmt w:val="bullet"/>
      <w:lvlText w:val="•"/>
      <w:lvlJc w:val="left"/>
      <w:pPr>
        <w:ind w:left="4248" w:hanging="139"/>
      </w:pPr>
      <w:rPr>
        <w:rFonts w:hint="default"/>
      </w:rPr>
    </w:lvl>
    <w:lvl w:ilvl="5" w:tplc="7D5481BC">
      <w:numFmt w:val="bullet"/>
      <w:lvlText w:val="•"/>
      <w:lvlJc w:val="left"/>
      <w:pPr>
        <w:ind w:left="4980" w:hanging="139"/>
      </w:pPr>
      <w:rPr>
        <w:rFonts w:hint="default"/>
      </w:rPr>
    </w:lvl>
    <w:lvl w:ilvl="6" w:tplc="7130CA7C">
      <w:numFmt w:val="bullet"/>
      <w:lvlText w:val="•"/>
      <w:lvlJc w:val="left"/>
      <w:pPr>
        <w:ind w:left="5712" w:hanging="139"/>
      </w:pPr>
      <w:rPr>
        <w:rFonts w:hint="default"/>
      </w:rPr>
    </w:lvl>
    <w:lvl w:ilvl="7" w:tplc="A300BCAA">
      <w:numFmt w:val="bullet"/>
      <w:lvlText w:val="•"/>
      <w:lvlJc w:val="left"/>
      <w:pPr>
        <w:ind w:left="6444" w:hanging="139"/>
      </w:pPr>
      <w:rPr>
        <w:rFonts w:hint="default"/>
      </w:rPr>
    </w:lvl>
    <w:lvl w:ilvl="8" w:tplc="736EBD16">
      <w:numFmt w:val="bullet"/>
      <w:lvlText w:val="•"/>
      <w:lvlJc w:val="left"/>
      <w:pPr>
        <w:ind w:left="7176" w:hanging="139"/>
      </w:pPr>
      <w:rPr>
        <w:rFonts w:hint="default"/>
      </w:rPr>
    </w:lvl>
  </w:abstractNum>
  <w:abstractNum w:abstractNumId="91" w15:restartNumberingAfterBreak="0">
    <w:nsid w:val="3F777EA9"/>
    <w:multiLevelType w:val="hybridMultilevel"/>
    <w:tmpl w:val="D786B7F2"/>
    <w:lvl w:ilvl="0" w:tplc="50B24018">
      <w:start w:val="1"/>
      <w:numFmt w:val="decimal"/>
      <w:lvlText w:val="%1"/>
      <w:lvlJc w:val="left"/>
      <w:pPr>
        <w:ind w:left="1147" w:hanging="138"/>
      </w:pPr>
      <w:rPr>
        <w:rFonts w:ascii="Cambria" w:eastAsia="Cambria" w:hAnsi="Cambria" w:cs="Cambria" w:hint="default"/>
        <w:color w:val="231F20"/>
        <w:w w:val="104"/>
        <w:sz w:val="16"/>
        <w:szCs w:val="16"/>
      </w:rPr>
    </w:lvl>
    <w:lvl w:ilvl="1" w:tplc="3A6A5910">
      <w:start w:val="7"/>
      <w:numFmt w:val="decimal"/>
      <w:lvlText w:val="%2"/>
      <w:lvlJc w:val="left"/>
      <w:pPr>
        <w:ind w:left="1466" w:hanging="139"/>
      </w:pPr>
      <w:rPr>
        <w:rFonts w:ascii="Cambria" w:eastAsia="Cambria" w:hAnsi="Cambria" w:cs="Cambria" w:hint="default"/>
        <w:color w:val="231F20"/>
        <w:w w:val="104"/>
        <w:sz w:val="16"/>
        <w:szCs w:val="16"/>
      </w:rPr>
    </w:lvl>
    <w:lvl w:ilvl="2" w:tplc="18584AC4">
      <w:numFmt w:val="bullet"/>
      <w:lvlText w:val="•"/>
      <w:lvlJc w:val="left"/>
      <w:pPr>
        <w:ind w:left="2257" w:hanging="139"/>
      </w:pPr>
      <w:rPr>
        <w:rFonts w:hint="default"/>
      </w:rPr>
    </w:lvl>
    <w:lvl w:ilvl="3" w:tplc="D7E29A4C">
      <w:numFmt w:val="bullet"/>
      <w:lvlText w:val="•"/>
      <w:lvlJc w:val="left"/>
      <w:pPr>
        <w:ind w:left="3055" w:hanging="139"/>
      </w:pPr>
      <w:rPr>
        <w:rFonts w:hint="default"/>
      </w:rPr>
    </w:lvl>
    <w:lvl w:ilvl="4" w:tplc="D48EDA5C">
      <w:numFmt w:val="bullet"/>
      <w:lvlText w:val="•"/>
      <w:lvlJc w:val="left"/>
      <w:pPr>
        <w:ind w:left="3853" w:hanging="139"/>
      </w:pPr>
      <w:rPr>
        <w:rFonts w:hint="default"/>
      </w:rPr>
    </w:lvl>
    <w:lvl w:ilvl="5" w:tplc="9FD2A7D6">
      <w:numFmt w:val="bullet"/>
      <w:lvlText w:val="•"/>
      <w:lvlJc w:val="left"/>
      <w:pPr>
        <w:ind w:left="4651" w:hanging="139"/>
      </w:pPr>
      <w:rPr>
        <w:rFonts w:hint="default"/>
      </w:rPr>
    </w:lvl>
    <w:lvl w:ilvl="6" w:tplc="68B67DC0">
      <w:numFmt w:val="bullet"/>
      <w:lvlText w:val="•"/>
      <w:lvlJc w:val="left"/>
      <w:pPr>
        <w:ind w:left="5448" w:hanging="139"/>
      </w:pPr>
      <w:rPr>
        <w:rFonts w:hint="default"/>
      </w:rPr>
    </w:lvl>
    <w:lvl w:ilvl="7" w:tplc="B9687282">
      <w:numFmt w:val="bullet"/>
      <w:lvlText w:val="•"/>
      <w:lvlJc w:val="left"/>
      <w:pPr>
        <w:ind w:left="6246" w:hanging="139"/>
      </w:pPr>
      <w:rPr>
        <w:rFonts w:hint="default"/>
      </w:rPr>
    </w:lvl>
    <w:lvl w:ilvl="8" w:tplc="7A06D65C">
      <w:numFmt w:val="bullet"/>
      <w:lvlText w:val="•"/>
      <w:lvlJc w:val="left"/>
      <w:pPr>
        <w:ind w:left="7044" w:hanging="139"/>
      </w:pPr>
      <w:rPr>
        <w:rFonts w:hint="default"/>
      </w:rPr>
    </w:lvl>
  </w:abstractNum>
  <w:abstractNum w:abstractNumId="92" w15:restartNumberingAfterBreak="0">
    <w:nsid w:val="40460E1A"/>
    <w:multiLevelType w:val="hybridMultilevel"/>
    <w:tmpl w:val="7D661D32"/>
    <w:lvl w:ilvl="0" w:tplc="4E9891E6">
      <w:start w:val="1"/>
      <w:numFmt w:val="decimal"/>
      <w:lvlText w:val="%1"/>
      <w:lvlJc w:val="left"/>
      <w:pPr>
        <w:ind w:left="1327" w:hanging="139"/>
        <w:jc w:val="right"/>
      </w:pPr>
      <w:rPr>
        <w:rFonts w:ascii="Cambria" w:eastAsia="Cambria" w:hAnsi="Cambria" w:cs="Cambria" w:hint="default"/>
        <w:color w:val="231F20"/>
        <w:w w:val="104"/>
        <w:sz w:val="16"/>
        <w:szCs w:val="16"/>
      </w:rPr>
    </w:lvl>
    <w:lvl w:ilvl="1" w:tplc="C9B235D2">
      <w:numFmt w:val="bullet"/>
      <w:lvlText w:val="•"/>
      <w:lvlJc w:val="left"/>
      <w:pPr>
        <w:ind w:left="2052" w:hanging="139"/>
      </w:pPr>
      <w:rPr>
        <w:rFonts w:hint="default"/>
      </w:rPr>
    </w:lvl>
    <w:lvl w:ilvl="2" w:tplc="187A4180">
      <w:numFmt w:val="bullet"/>
      <w:lvlText w:val="•"/>
      <w:lvlJc w:val="left"/>
      <w:pPr>
        <w:ind w:left="2784" w:hanging="139"/>
      </w:pPr>
      <w:rPr>
        <w:rFonts w:hint="default"/>
      </w:rPr>
    </w:lvl>
    <w:lvl w:ilvl="3" w:tplc="1CC8676A">
      <w:numFmt w:val="bullet"/>
      <w:lvlText w:val="•"/>
      <w:lvlJc w:val="left"/>
      <w:pPr>
        <w:ind w:left="3516" w:hanging="139"/>
      </w:pPr>
      <w:rPr>
        <w:rFonts w:hint="default"/>
      </w:rPr>
    </w:lvl>
    <w:lvl w:ilvl="4" w:tplc="EA6E2BEC">
      <w:numFmt w:val="bullet"/>
      <w:lvlText w:val="•"/>
      <w:lvlJc w:val="left"/>
      <w:pPr>
        <w:ind w:left="4248" w:hanging="139"/>
      </w:pPr>
      <w:rPr>
        <w:rFonts w:hint="default"/>
      </w:rPr>
    </w:lvl>
    <w:lvl w:ilvl="5" w:tplc="60446CE0">
      <w:numFmt w:val="bullet"/>
      <w:lvlText w:val="•"/>
      <w:lvlJc w:val="left"/>
      <w:pPr>
        <w:ind w:left="4980" w:hanging="139"/>
      </w:pPr>
      <w:rPr>
        <w:rFonts w:hint="default"/>
      </w:rPr>
    </w:lvl>
    <w:lvl w:ilvl="6" w:tplc="5760601C">
      <w:numFmt w:val="bullet"/>
      <w:lvlText w:val="•"/>
      <w:lvlJc w:val="left"/>
      <w:pPr>
        <w:ind w:left="5712" w:hanging="139"/>
      </w:pPr>
      <w:rPr>
        <w:rFonts w:hint="default"/>
      </w:rPr>
    </w:lvl>
    <w:lvl w:ilvl="7" w:tplc="8DCC631E">
      <w:numFmt w:val="bullet"/>
      <w:lvlText w:val="•"/>
      <w:lvlJc w:val="left"/>
      <w:pPr>
        <w:ind w:left="6444" w:hanging="139"/>
      </w:pPr>
      <w:rPr>
        <w:rFonts w:hint="default"/>
      </w:rPr>
    </w:lvl>
    <w:lvl w:ilvl="8" w:tplc="0E0C33FE">
      <w:numFmt w:val="bullet"/>
      <w:lvlText w:val="•"/>
      <w:lvlJc w:val="left"/>
      <w:pPr>
        <w:ind w:left="7176" w:hanging="139"/>
      </w:pPr>
      <w:rPr>
        <w:rFonts w:hint="default"/>
      </w:rPr>
    </w:lvl>
  </w:abstractNum>
  <w:abstractNum w:abstractNumId="93" w15:restartNumberingAfterBreak="0">
    <w:nsid w:val="412E41FF"/>
    <w:multiLevelType w:val="hybridMultilevel"/>
    <w:tmpl w:val="5038D7DA"/>
    <w:lvl w:ilvl="0" w:tplc="89146A74">
      <w:start w:val="1"/>
      <w:numFmt w:val="decimal"/>
      <w:lvlText w:val="%1"/>
      <w:lvlJc w:val="left"/>
      <w:pPr>
        <w:ind w:left="1148" w:hanging="139"/>
      </w:pPr>
      <w:rPr>
        <w:rFonts w:ascii="Cambria" w:eastAsia="Cambria" w:hAnsi="Cambria" w:cs="Cambria" w:hint="default"/>
        <w:color w:val="231F20"/>
        <w:w w:val="104"/>
        <w:sz w:val="16"/>
        <w:szCs w:val="16"/>
      </w:rPr>
    </w:lvl>
    <w:lvl w:ilvl="1" w:tplc="5630C4F4">
      <w:start w:val="7"/>
      <w:numFmt w:val="decimal"/>
      <w:lvlText w:val="%2"/>
      <w:lvlJc w:val="left"/>
      <w:pPr>
        <w:ind w:left="1327" w:hanging="139"/>
      </w:pPr>
      <w:rPr>
        <w:rFonts w:ascii="Cambria" w:eastAsia="Cambria" w:hAnsi="Cambria" w:cs="Cambria" w:hint="default"/>
        <w:color w:val="231F20"/>
        <w:w w:val="104"/>
        <w:sz w:val="16"/>
        <w:szCs w:val="16"/>
      </w:rPr>
    </w:lvl>
    <w:lvl w:ilvl="2" w:tplc="4516B6A0">
      <w:numFmt w:val="bullet"/>
      <w:lvlText w:val="•"/>
      <w:lvlJc w:val="left"/>
      <w:pPr>
        <w:ind w:left="2133" w:hanging="139"/>
      </w:pPr>
      <w:rPr>
        <w:rFonts w:hint="default"/>
      </w:rPr>
    </w:lvl>
    <w:lvl w:ilvl="3" w:tplc="CA468844">
      <w:numFmt w:val="bullet"/>
      <w:lvlText w:val="•"/>
      <w:lvlJc w:val="left"/>
      <w:pPr>
        <w:ind w:left="2946" w:hanging="139"/>
      </w:pPr>
      <w:rPr>
        <w:rFonts w:hint="default"/>
      </w:rPr>
    </w:lvl>
    <w:lvl w:ilvl="4" w:tplc="0C6CE86A">
      <w:numFmt w:val="bullet"/>
      <w:lvlText w:val="•"/>
      <w:lvlJc w:val="left"/>
      <w:pPr>
        <w:ind w:left="3760" w:hanging="139"/>
      </w:pPr>
      <w:rPr>
        <w:rFonts w:hint="default"/>
      </w:rPr>
    </w:lvl>
    <w:lvl w:ilvl="5" w:tplc="E1C4B468">
      <w:numFmt w:val="bullet"/>
      <w:lvlText w:val="•"/>
      <w:lvlJc w:val="left"/>
      <w:pPr>
        <w:ind w:left="4573" w:hanging="139"/>
      </w:pPr>
      <w:rPr>
        <w:rFonts w:hint="default"/>
      </w:rPr>
    </w:lvl>
    <w:lvl w:ilvl="6" w:tplc="73285D90">
      <w:numFmt w:val="bullet"/>
      <w:lvlText w:val="•"/>
      <w:lvlJc w:val="left"/>
      <w:pPr>
        <w:ind w:left="5386" w:hanging="139"/>
      </w:pPr>
      <w:rPr>
        <w:rFonts w:hint="default"/>
      </w:rPr>
    </w:lvl>
    <w:lvl w:ilvl="7" w:tplc="D5B4FB86">
      <w:numFmt w:val="bullet"/>
      <w:lvlText w:val="•"/>
      <w:lvlJc w:val="left"/>
      <w:pPr>
        <w:ind w:left="6200" w:hanging="139"/>
      </w:pPr>
      <w:rPr>
        <w:rFonts w:hint="default"/>
      </w:rPr>
    </w:lvl>
    <w:lvl w:ilvl="8" w:tplc="0A6068F2">
      <w:numFmt w:val="bullet"/>
      <w:lvlText w:val="•"/>
      <w:lvlJc w:val="left"/>
      <w:pPr>
        <w:ind w:left="7013" w:hanging="139"/>
      </w:pPr>
      <w:rPr>
        <w:rFonts w:hint="default"/>
      </w:rPr>
    </w:lvl>
  </w:abstractNum>
  <w:abstractNum w:abstractNumId="94" w15:restartNumberingAfterBreak="0">
    <w:nsid w:val="413C6EC0"/>
    <w:multiLevelType w:val="hybridMultilevel"/>
    <w:tmpl w:val="1156835E"/>
    <w:lvl w:ilvl="0" w:tplc="2158AD38">
      <w:start w:val="2"/>
      <w:numFmt w:val="decimal"/>
      <w:lvlText w:val="%1"/>
      <w:lvlJc w:val="left"/>
      <w:pPr>
        <w:ind w:left="1327" w:hanging="139"/>
      </w:pPr>
      <w:rPr>
        <w:rFonts w:ascii="Cambria" w:eastAsia="Cambria" w:hAnsi="Cambria" w:cs="Cambria" w:hint="default"/>
        <w:color w:val="231F20"/>
        <w:w w:val="104"/>
        <w:sz w:val="16"/>
        <w:szCs w:val="16"/>
      </w:rPr>
    </w:lvl>
    <w:lvl w:ilvl="1" w:tplc="B55870A0">
      <w:numFmt w:val="bullet"/>
      <w:lvlText w:val="•"/>
      <w:lvlJc w:val="left"/>
      <w:pPr>
        <w:ind w:left="2052" w:hanging="139"/>
      </w:pPr>
      <w:rPr>
        <w:rFonts w:hint="default"/>
      </w:rPr>
    </w:lvl>
    <w:lvl w:ilvl="2" w:tplc="31C0F1BC">
      <w:numFmt w:val="bullet"/>
      <w:lvlText w:val="•"/>
      <w:lvlJc w:val="left"/>
      <w:pPr>
        <w:ind w:left="2784" w:hanging="139"/>
      </w:pPr>
      <w:rPr>
        <w:rFonts w:hint="default"/>
      </w:rPr>
    </w:lvl>
    <w:lvl w:ilvl="3" w:tplc="66D8CC2C">
      <w:numFmt w:val="bullet"/>
      <w:lvlText w:val="•"/>
      <w:lvlJc w:val="left"/>
      <w:pPr>
        <w:ind w:left="3516" w:hanging="139"/>
      </w:pPr>
      <w:rPr>
        <w:rFonts w:hint="default"/>
      </w:rPr>
    </w:lvl>
    <w:lvl w:ilvl="4" w:tplc="4E8CCE22">
      <w:numFmt w:val="bullet"/>
      <w:lvlText w:val="•"/>
      <w:lvlJc w:val="left"/>
      <w:pPr>
        <w:ind w:left="4248" w:hanging="139"/>
      </w:pPr>
      <w:rPr>
        <w:rFonts w:hint="default"/>
      </w:rPr>
    </w:lvl>
    <w:lvl w:ilvl="5" w:tplc="9C5AC63A">
      <w:numFmt w:val="bullet"/>
      <w:lvlText w:val="•"/>
      <w:lvlJc w:val="left"/>
      <w:pPr>
        <w:ind w:left="4980" w:hanging="139"/>
      </w:pPr>
      <w:rPr>
        <w:rFonts w:hint="default"/>
      </w:rPr>
    </w:lvl>
    <w:lvl w:ilvl="6" w:tplc="39BEA90C">
      <w:numFmt w:val="bullet"/>
      <w:lvlText w:val="•"/>
      <w:lvlJc w:val="left"/>
      <w:pPr>
        <w:ind w:left="5712" w:hanging="139"/>
      </w:pPr>
      <w:rPr>
        <w:rFonts w:hint="default"/>
      </w:rPr>
    </w:lvl>
    <w:lvl w:ilvl="7" w:tplc="B0506F5C">
      <w:numFmt w:val="bullet"/>
      <w:lvlText w:val="•"/>
      <w:lvlJc w:val="left"/>
      <w:pPr>
        <w:ind w:left="6444" w:hanging="139"/>
      </w:pPr>
      <w:rPr>
        <w:rFonts w:hint="default"/>
      </w:rPr>
    </w:lvl>
    <w:lvl w:ilvl="8" w:tplc="BB6CAA50">
      <w:numFmt w:val="bullet"/>
      <w:lvlText w:val="•"/>
      <w:lvlJc w:val="left"/>
      <w:pPr>
        <w:ind w:left="7176" w:hanging="139"/>
      </w:pPr>
      <w:rPr>
        <w:rFonts w:hint="default"/>
      </w:rPr>
    </w:lvl>
  </w:abstractNum>
  <w:abstractNum w:abstractNumId="95" w15:restartNumberingAfterBreak="0">
    <w:nsid w:val="41C32755"/>
    <w:multiLevelType w:val="hybridMultilevel"/>
    <w:tmpl w:val="35E8551A"/>
    <w:lvl w:ilvl="0" w:tplc="390039D6">
      <w:start w:val="1"/>
      <w:numFmt w:val="decimal"/>
      <w:lvlText w:val="%1"/>
      <w:lvlJc w:val="left"/>
      <w:pPr>
        <w:ind w:left="1147" w:hanging="139"/>
        <w:jc w:val="right"/>
      </w:pPr>
      <w:rPr>
        <w:rFonts w:ascii="Cambria" w:eastAsia="Cambria" w:hAnsi="Cambria" w:cs="Cambria" w:hint="default"/>
        <w:color w:val="231F20"/>
        <w:w w:val="104"/>
        <w:sz w:val="16"/>
        <w:szCs w:val="16"/>
      </w:rPr>
    </w:lvl>
    <w:lvl w:ilvl="1" w:tplc="2082894E">
      <w:numFmt w:val="bullet"/>
      <w:lvlText w:val="•"/>
      <w:lvlJc w:val="left"/>
      <w:pPr>
        <w:ind w:left="1890" w:hanging="139"/>
      </w:pPr>
      <w:rPr>
        <w:rFonts w:hint="default"/>
      </w:rPr>
    </w:lvl>
    <w:lvl w:ilvl="2" w:tplc="0FEE9470">
      <w:numFmt w:val="bullet"/>
      <w:lvlText w:val="•"/>
      <w:lvlJc w:val="left"/>
      <w:pPr>
        <w:ind w:left="2640" w:hanging="139"/>
      </w:pPr>
      <w:rPr>
        <w:rFonts w:hint="default"/>
      </w:rPr>
    </w:lvl>
    <w:lvl w:ilvl="3" w:tplc="39C0C5B0">
      <w:numFmt w:val="bullet"/>
      <w:lvlText w:val="•"/>
      <w:lvlJc w:val="left"/>
      <w:pPr>
        <w:ind w:left="3390" w:hanging="139"/>
      </w:pPr>
      <w:rPr>
        <w:rFonts w:hint="default"/>
      </w:rPr>
    </w:lvl>
    <w:lvl w:ilvl="4" w:tplc="76B227AC">
      <w:numFmt w:val="bullet"/>
      <w:lvlText w:val="•"/>
      <w:lvlJc w:val="left"/>
      <w:pPr>
        <w:ind w:left="4140" w:hanging="139"/>
      </w:pPr>
      <w:rPr>
        <w:rFonts w:hint="default"/>
      </w:rPr>
    </w:lvl>
    <w:lvl w:ilvl="5" w:tplc="482AD50E">
      <w:numFmt w:val="bullet"/>
      <w:lvlText w:val="•"/>
      <w:lvlJc w:val="left"/>
      <w:pPr>
        <w:ind w:left="4890" w:hanging="139"/>
      </w:pPr>
      <w:rPr>
        <w:rFonts w:hint="default"/>
      </w:rPr>
    </w:lvl>
    <w:lvl w:ilvl="6" w:tplc="18168966">
      <w:numFmt w:val="bullet"/>
      <w:lvlText w:val="•"/>
      <w:lvlJc w:val="left"/>
      <w:pPr>
        <w:ind w:left="5640" w:hanging="139"/>
      </w:pPr>
      <w:rPr>
        <w:rFonts w:hint="default"/>
      </w:rPr>
    </w:lvl>
    <w:lvl w:ilvl="7" w:tplc="794002CA">
      <w:numFmt w:val="bullet"/>
      <w:lvlText w:val="•"/>
      <w:lvlJc w:val="left"/>
      <w:pPr>
        <w:ind w:left="6390" w:hanging="139"/>
      </w:pPr>
      <w:rPr>
        <w:rFonts w:hint="default"/>
      </w:rPr>
    </w:lvl>
    <w:lvl w:ilvl="8" w:tplc="7C60DF2E">
      <w:numFmt w:val="bullet"/>
      <w:lvlText w:val="•"/>
      <w:lvlJc w:val="left"/>
      <w:pPr>
        <w:ind w:left="7140" w:hanging="139"/>
      </w:pPr>
      <w:rPr>
        <w:rFonts w:hint="default"/>
      </w:rPr>
    </w:lvl>
  </w:abstractNum>
  <w:abstractNum w:abstractNumId="96" w15:restartNumberingAfterBreak="0">
    <w:nsid w:val="430C707F"/>
    <w:multiLevelType w:val="hybridMultilevel"/>
    <w:tmpl w:val="34028A7C"/>
    <w:lvl w:ilvl="0" w:tplc="1C74F2BA">
      <w:start w:val="1"/>
      <w:numFmt w:val="decimal"/>
      <w:lvlText w:val="%1."/>
      <w:lvlJc w:val="left"/>
      <w:pPr>
        <w:ind w:left="1470" w:hanging="323"/>
      </w:pPr>
      <w:rPr>
        <w:rFonts w:ascii="Cambria" w:eastAsia="Cambria" w:hAnsi="Cambria" w:cs="Cambria" w:hint="default"/>
        <w:color w:val="231F20"/>
        <w:spacing w:val="0"/>
        <w:w w:val="100"/>
        <w:sz w:val="22"/>
        <w:szCs w:val="22"/>
      </w:rPr>
    </w:lvl>
    <w:lvl w:ilvl="1" w:tplc="890635BC">
      <w:numFmt w:val="bullet"/>
      <w:lvlText w:val="•"/>
      <w:lvlJc w:val="left"/>
      <w:pPr>
        <w:ind w:left="2196" w:hanging="323"/>
      </w:pPr>
      <w:rPr>
        <w:rFonts w:hint="default"/>
      </w:rPr>
    </w:lvl>
    <w:lvl w:ilvl="2" w:tplc="E5B4B5CA">
      <w:numFmt w:val="bullet"/>
      <w:lvlText w:val="•"/>
      <w:lvlJc w:val="left"/>
      <w:pPr>
        <w:ind w:left="2912" w:hanging="323"/>
      </w:pPr>
      <w:rPr>
        <w:rFonts w:hint="default"/>
      </w:rPr>
    </w:lvl>
    <w:lvl w:ilvl="3" w:tplc="799CB796">
      <w:numFmt w:val="bullet"/>
      <w:lvlText w:val="•"/>
      <w:lvlJc w:val="left"/>
      <w:pPr>
        <w:ind w:left="3628" w:hanging="323"/>
      </w:pPr>
      <w:rPr>
        <w:rFonts w:hint="default"/>
      </w:rPr>
    </w:lvl>
    <w:lvl w:ilvl="4" w:tplc="AD3A1B76">
      <w:numFmt w:val="bullet"/>
      <w:lvlText w:val="•"/>
      <w:lvlJc w:val="left"/>
      <w:pPr>
        <w:ind w:left="4344" w:hanging="323"/>
      </w:pPr>
      <w:rPr>
        <w:rFonts w:hint="default"/>
      </w:rPr>
    </w:lvl>
    <w:lvl w:ilvl="5" w:tplc="BD18B372">
      <w:numFmt w:val="bullet"/>
      <w:lvlText w:val="•"/>
      <w:lvlJc w:val="left"/>
      <w:pPr>
        <w:ind w:left="5060" w:hanging="323"/>
      </w:pPr>
      <w:rPr>
        <w:rFonts w:hint="default"/>
      </w:rPr>
    </w:lvl>
    <w:lvl w:ilvl="6" w:tplc="A3C09B80">
      <w:numFmt w:val="bullet"/>
      <w:lvlText w:val="•"/>
      <w:lvlJc w:val="left"/>
      <w:pPr>
        <w:ind w:left="5776" w:hanging="323"/>
      </w:pPr>
      <w:rPr>
        <w:rFonts w:hint="default"/>
      </w:rPr>
    </w:lvl>
    <w:lvl w:ilvl="7" w:tplc="F586C280">
      <w:numFmt w:val="bullet"/>
      <w:lvlText w:val="•"/>
      <w:lvlJc w:val="left"/>
      <w:pPr>
        <w:ind w:left="6492" w:hanging="323"/>
      </w:pPr>
      <w:rPr>
        <w:rFonts w:hint="default"/>
      </w:rPr>
    </w:lvl>
    <w:lvl w:ilvl="8" w:tplc="3E025E80">
      <w:numFmt w:val="bullet"/>
      <w:lvlText w:val="•"/>
      <w:lvlJc w:val="left"/>
      <w:pPr>
        <w:ind w:left="7208" w:hanging="323"/>
      </w:pPr>
      <w:rPr>
        <w:rFonts w:hint="default"/>
      </w:rPr>
    </w:lvl>
  </w:abstractNum>
  <w:abstractNum w:abstractNumId="97" w15:restartNumberingAfterBreak="0">
    <w:nsid w:val="4317070E"/>
    <w:multiLevelType w:val="hybridMultilevel"/>
    <w:tmpl w:val="C54EF8CE"/>
    <w:lvl w:ilvl="0" w:tplc="B92ED258">
      <w:start w:val="2"/>
      <w:numFmt w:val="decimal"/>
      <w:lvlText w:val="%1"/>
      <w:lvlJc w:val="left"/>
      <w:pPr>
        <w:ind w:left="1328" w:hanging="139"/>
      </w:pPr>
      <w:rPr>
        <w:rFonts w:ascii="Cambria" w:eastAsia="Cambria" w:hAnsi="Cambria" w:cs="Cambria" w:hint="default"/>
        <w:color w:val="231F20"/>
        <w:w w:val="104"/>
        <w:sz w:val="16"/>
        <w:szCs w:val="16"/>
      </w:rPr>
    </w:lvl>
    <w:lvl w:ilvl="1" w:tplc="F9B8B308">
      <w:numFmt w:val="bullet"/>
      <w:lvlText w:val="•"/>
      <w:lvlJc w:val="left"/>
      <w:pPr>
        <w:ind w:left="2052" w:hanging="139"/>
      </w:pPr>
      <w:rPr>
        <w:rFonts w:hint="default"/>
      </w:rPr>
    </w:lvl>
    <w:lvl w:ilvl="2" w:tplc="C7EC49C0">
      <w:numFmt w:val="bullet"/>
      <w:lvlText w:val="•"/>
      <w:lvlJc w:val="left"/>
      <w:pPr>
        <w:ind w:left="2784" w:hanging="139"/>
      </w:pPr>
      <w:rPr>
        <w:rFonts w:hint="default"/>
      </w:rPr>
    </w:lvl>
    <w:lvl w:ilvl="3" w:tplc="9A5AFE6A">
      <w:numFmt w:val="bullet"/>
      <w:lvlText w:val="•"/>
      <w:lvlJc w:val="left"/>
      <w:pPr>
        <w:ind w:left="3516" w:hanging="139"/>
      </w:pPr>
      <w:rPr>
        <w:rFonts w:hint="default"/>
      </w:rPr>
    </w:lvl>
    <w:lvl w:ilvl="4" w:tplc="CDB2C310">
      <w:numFmt w:val="bullet"/>
      <w:lvlText w:val="•"/>
      <w:lvlJc w:val="left"/>
      <w:pPr>
        <w:ind w:left="4248" w:hanging="139"/>
      </w:pPr>
      <w:rPr>
        <w:rFonts w:hint="default"/>
      </w:rPr>
    </w:lvl>
    <w:lvl w:ilvl="5" w:tplc="EE92FDFC">
      <w:numFmt w:val="bullet"/>
      <w:lvlText w:val="•"/>
      <w:lvlJc w:val="left"/>
      <w:pPr>
        <w:ind w:left="4980" w:hanging="139"/>
      </w:pPr>
      <w:rPr>
        <w:rFonts w:hint="default"/>
      </w:rPr>
    </w:lvl>
    <w:lvl w:ilvl="6" w:tplc="4DB4495E">
      <w:numFmt w:val="bullet"/>
      <w:lvlText w:val="•"/>
      <w:lvlJc w:val="left"/>
      <w:pPr>
        <w:ind w:left="5712" w:hanging="139"/>
      </w:pPr>
      <w:rPr>
        <w:rFonts w:hint="default"/>
      </w:rPr>
    </w:lvl>
    <w:lvl w:ilvl="7" w:tplc="FC304C6C">
      <w:numFmt w:val="bullet"/>
      <w:lvlText w:val="•"/>
      <w:lvlJc w:val="left"/>
      <w:pPr>
        <w:ind w:left="6444" w:hanging="139"/>
      </w:pPr>
      <w:rPr>
        <w:rFonts w:hint="default"/>
      </w:rPr>
    </w:lvl>
    <w:lvl w:ilvl="8" w:tplc="3496E606">
      <w:numFmt w:val="bullet"/>
      <w:lvlText w:val="•"/>
      <w:lvlJc w:val="left"/>
      <w:pPr>
        <w:ind w:left="7176" w:hanging="139"/>
      </w:pPr>
      <w:rPr>
        <w:rFonts w:hint="default"/>
      </w:rPr>
    </w:lvl>
  </w:abstractNum>
  <w:abstractNum w:abstractNumId="98" w15:restartNumberingAfterBreak="0">
    <w:nsid w:val="440366DB"/>
    <w:multiLevelType w:val="hybridMultilevel"/>
    <w:tmpl w:val="36560570"/>
    <w:lvl w:ilvl="0" w:tplc="0DF0062C">
      <w:start w:val="1"/>
      <w:numFmt w:val="decimal"/>
      <w:lvlText w:val="%1"/>
      <w:lvlJc w:val="left"/>
      <w:pPr>
        <w:ind w:left="1147" w:hanging="139"/>
        <w:jc w:val="right"/>
      </w:pPr>
      <w:rPr>
        <w:rFonts w:ascii="Cambria" w:eastAsia="Cambria" w:hAnsi="Cambria" w:cs="Cambria" w:hint="default"/>
        <w:color w:val="231F20"/>
        <w:w w:val="104"/>
        <w:sz w:val="16"/>
        <w:szCs w:val="16"/>
      </w:rPr>
    </w:lvl>
    <w:lvl w:ilvl="1" w:tplc="20BEA2D4">
      <w:numFmt w:val="bullet"/>
      <w:lvlText w:val="•"/>
      <w:lvlJc w:val="left"/>
      <w:pPr>
        <w:ind w:left="1890" w:hanging="139"/>
      </w:pPr>
      <w:rPr>
        <w:rFonts w:hint="default"/>
      </w:rPr>
    </w:lvl>
    <w:lvl w:ilvl="2" w:tplc="350C77EE">
      <w:numFmt w:val="bullet"/>
      <w:lvlText w:val="•"/>
      <w:lvlJc w:val="left"/>
      <w:pPr>
        <w:ind w:left="2640" w:hanging="139"/>
      </w:pPr>
      <w:rPr>
        <w:rFonts w:hint="default"/>
      </w:rPr>
    </w:lvl>
    <w:lvl w:ilvl="3" w:tplc="65C6B264">
      <w:numFmt w:val="bullet"/>
      <w:lvlText w:val="•"/>
      <w:lvlJc w:val="left"/>
      <w:pPr>
        <w:ind w:left="3390" w:hanging="139"/>
      </w:pPr>
      <w:rPr>
        <w:rFonts w:hint="default"/>
      </w:rPr>
    </w:lvl>
    <w:lvl w:ilvl="4" w:tplc="538EE120">
      <w:numFmt w:val="bullet"/>
      <w:lvlText w:val="•"/>
      <w:lvlJc w:val="left"/>
      <w:pPr>
        <w:ind w:left="4140" w:hanging="139"/>
      </w:pPr>
      <w:rPr>
        <w:rFonts w:hint="default"/>
      </w:rPr>
    </w:lvl>
    <w:lvl w:ilvl="5" w:tplc="03E6EB8C">
      <w:numFmt w:val="bullet"/>
      <w:lvlText w:val="•"/>
      <w:lvlJc w:val="left"/>
      <w:pPr>
        <w:ind w:left="4890" w:hanging="139"/>
      </w:pPr>
      <w:rPr>
        <w:rFonts w:hint="default"/>
      </w:rPr>
    </w:lvl>
    <w:lvl w:ilvl="6" w:tplc="E836EBDC">
      <w:numFmt w:val="bullet"/>
      <w:lvlText w:val="•"/>
      <w:lvlJc w:val="left"/>
      <w:pPr>
        <w:ind w:left="5640" w:hanging="139"/>
      </w:pPr>
      <w:rPr>
        <w:rFonts w:hint="default"/>
      </w:rPr>
    </w:lvl>
    <w:lvl w:ilvl="7" w:tplc="DD5833EE">
      <w:numFmt w:val="bullet"/>
      <w:lvlText w:val="•"/>
      <w:lvlJc w:val="left"/>
      <w:pPr>
        <w:ind w:left="6390" w:hanging="139"/>
      </w:pPr>
      <w:rPr>
        <w:rFonts w:hint="default"/>
      </w:rPr>
    </w:lvl>
    <w:lvl w:ilvl="8" w:tplc="ADDEC738">
      <w:numFmt w:val="bullet"/>
      <w:lvlText w:val="•"/>
      <w:lvlJc w:val="left"/>
      <w:pPr>
        <w:ind w:left="7140" w:hanging="139"/>
      </w:pPr>
      <w:rPr>
        <w:rFonts w:hint="default"/>
      </w:rPr>
    </w:lvl>
  </w:abstractNum>
  <w:abstractNum w:abstractNumId="99" w15:restartNumberingAfterBreak="0">
    <w:nsid w:val="4428653C"/>
    <w:multiLevelType w:val="hybridMultilevel"/>
    <w:tmpl w:val="DA2A39AE"/>
    <w:lvl w:ilvl="0" w:tplc="408EE0FC">
      <w:start w:val="1"/>
      <w:numFmt w:val="decimal"/>
      <w:lvlText w:val="%1"/>
      <w:lvlJc w:val="left"/>
      <w:pPr>
        <w:ind w:left="1481" w:hanging="139"/>
      </w:pPr>
      <w:rPr>
        <w:rFonts w:ascii="Cambria" w:eastAsia="Cambria" w:hAnsi="Cambria" w:cs="Cambria" w:hint="default"/>
        <w:color w:val="231F20"/>
        <w:w w:val="104"/>
        <w:sz w:val="16"/>
        <w:szCs w:val="16"/>
      </w:rPr>
    </w:lvl>
    <w:lvl w:ilvl="1" w:tplc="D4BCAD22">
      <w:numFmt w:val="bullet"/>
      <w:lvlText w:val="•"/>
      <w:lvlJc w:val="left"/>
      <w:pPr>
        <w:ind w:left="1520" w:hanging="139"/>
      </w:pPr>
      <w:rPr>
        <w:rFonts w:hint="default"/>
      </w:rPr>
    </w:lvl>
    <w:lvl w:ilvl="2" w:tplc="84B6C4DC">
      <w:numFmt w:val="bullet"/>
      <w:lvlText w:val="•"/>
      <w:lvlJc w:val="left"/>
      <w:pPr>
        <w:ind w:left="2311" w:hanging="139"/>
      </w:pPr>
      <w:rPr>
        <w:rFonts w:hint="default"/>
      </w:rPr>
    </w:lvl>
    <w:lvl w:ilvl="3" w:tplc="A55AFD2A">
      <w:numFmt w:val="bullet"/>
      <w:lvlText w:val="•"/>
      <w:lvlJc w:val="left"/>
      <w:pPr>
        <w:ind w:left="3102" w:hanging="139"/>
      </w:pPr>
      <w:rPr>
        <w:rFonts w:hint="default"/>
      </w:rPr>
    </w:lvl>
    <w:lvl w:ilvl="4" w:tplc="BEBA7FBE">
      <w:numFmt w:val="bullet"/>
      <w:lvlText w:val="•"/>
      <w:lvlJc w:val="left"/>
      <w:pPr>
        <w:ind w:left="3893" w:hanging="139"/>
      </w:pPr>
      <w:rPr>
        <w:rFonts w:hint="default"/>
      </w:rPr>
    </w:lvl>
    <w:lvl w:ilvl="5" w:tplc="2F3426CA">
      <w:numFmt w:val="bullet"/>
      <w:lvlText w:val="•"/>
      <w:lvlJc w:val="left"/>
      <w:pPr>
        <w:ind w:left="4684" w:hanging="139"/>
      </w:pPr>
      <w:rPr>
        <w:rFonts w:hint="default"/>
      </w:rPr>
    </w:lvl>
    <w:lvl w:ilvl="6" w:tplc="61046014">
      <w:numFmt w:val="bullet"/>
      <w:lvlText w:val="•"/>
      <w:lvlJc w:val="left"/>
      <w:pPr>
        <w:ind w:left="5475" w:hanging="139"/>
      </w:pPr>
      <w:rPr>
        <w:rFonts w:hint="default"/>
      </w:rPr>
    </w:lvl>
    <w:lvl w:ilvl="7" w:tplc="34E6CE12">
      <w:numFmt w:val="bullet"/>
      <w:lvlText w:val="•"/>
      <w:lvlJc w:val="left"/>
      <w:pPr>
        <w:ind w:left="6266" w:hanging="139"/>
      </w:pPr>
      <w:rPr>
        <w:rFonts w:hint="default"/>
      </w:rPr>
    </w:lvl>
    <w:lvl w:ilvl="8" w:tplc="1F6E2050">
      <w:numFmt w:val="bullet"/>
      <w:lvlText w:val="•"/>
      <w:lvlJc w:val="left"/>
      <w:pPr>
        <w:ind w:left="7057" w:hanging="139"/>
      </w:pPr>
      <w:rPr>
        <w:rFonts w:hint="default"/>
      </w:rPr>
    </w:lvl>
  </w:abstractNum>
  <w:abstractNum w:abstractNumId="100" w15:restartNumberingAfterBreak="0">
    <w:nsid w:val="44D61630"/>
    <w:multiLevelType w:val="hybridMultilevel"/>
    <w:tmpl w:val="E902B52C"/>
    <w:lvl w:ilvl="0" w:tplc="DBFE55EE">
      <w:start w:val="2"/>
      <w:numFmt w:val="decimal"/>
      <w:lvlText w:val="%1"/>
      <w:lvlJc w:val="left"/>
      <w:pPr>
        <w:ind w:left="1327" w:hanging="139"/>
      </w:pPr>
      <w:rPr>
        <w:rFonts w:ascii="Cambria" w:eastAsia="Cambria" w:hAnsi="Cambria" w:cs="Cambria" w:hint="default"/>
        <w:color w:val="231F20"/>
        <w:w w:val="104"/>
        <w:sz w:val="16"/>
        <w:szCs w:val="16"/>
      </w:rPr>
    </w:lvl>
    <w:lvl w:ilvl="1" w:tplc="100CE354">
      <w:numFmt w:val="bullet"/>
      <w:lvlText w:val="•"/>
      <w:lvlJc w:val="left"/>
      <w:pPr>
        <w:ind w:left="2052" w:hanging="139"/>
      </w:pPr>
      <w:rPr>
        <w:rFonts w:hint="default"/>
      </w:rPr>
    </w:lvl>
    <w:lvl w:ilvl="2" w:tplc="ADD2CE56">
      <w:numFmt w:val="bullet"/>
      <w:lvlText w:val="•"/>
      <w:lvlJc w:val="left"/>
      <w:pPr>
        <w:ind w:left="2784" w:hanging="139"/>
      </w:pPr>
      <w:rPr>
        <w:rFonts w:hint="default"/>
      </w:rPr>
    </w:lvl>
    <w:lvl w:ilvl="3" w:tplc="42B8FA76">
      <w:numFmt w:val="bullet"/>
      <w:lvlText w:val="•"/>
      <w:lvlJc w:val="left"/>
      <w:pPr>
        <w:ind w:left="3516" w:hanging="139"/>
      </w:pPr>
      <w:rPr>
        <w:rFonts w:hint="default"/>
      </w:rPr>
    </w:lvl>
    <w:lvl w:ilvl="4" w:tplc="4A0641F2">
      <w:numFmt w:val="bullet"/>
      <w:lvlText w:val="•"/>
      <w:lvlJc w:val="left"/>
      <w:pPr>
        <w:ind w:left="4248" w:hanging="139"/>
      </w:pPr>
      <w:rPr>
        <w:rFonts w:hint="default"/>
      </w:rPr>
    </w:lvl>
    <w:lvl w:ilvl="5" w:tplc="54E2B504">
      <w:numFmt w:val="bullet"/>
      <w:lvlText w:val="•"/>
      <w:lvlJc w:val="left"/>
      <w:pPr>
        <w:ind w:left="4980" w:hanging="139"/>
      </w:pPr>
      <w:rPr>
        <w:rFonts w:hint="default"/>
      </w:rPr>
    </w:lvl>
    <w:lvl w:ilvl="6" w:tplc="FE7697E0">
      <w:numFmt w:val="bullet"/>
      <w:lvlText w:val="•"/>
      <w:lvlJc w:val="left"/>
      <w:pPr>
        <w:ind w:left="5712" w:hanging="139"/>
      </w:pPr>
      <w:rPr>
        <w:rFonts w:hint="default"/>
      </w:rPr>
    </w:lvl>
    <w:lvl w:ilvl="7" w:tplc="01488BBA">
      <w:numFmt w:val="bullet"/>
      <w:lvlText w:val="•"/>
      <w:lvlJc w:val="left"/>
      <w:pPr>
        <w:ind w:left="6444" w:hanging="139"/>
      </w:pPr>
      <w:rPr>
        <w:rFonts w:hint="default"/>
      </w:rPr>
    </w:lvl>
    <w:lvl w:ilvl="8" w:tplc="C3CCE8AA">
      <w:numFmt w:val="bullet"/>
      <w:lvlText w:val="•"/>
      <w:lvlJc w:val="left"/>
      <w:pPr>
        <w:ind w:left="7176" w:hanging="139"/>
      </w:pPr>
      <w:rPr>
        <w:rFonts w:hint="default"/>
      </w:rPr>
    </w:lvl>
  </w:abstractNum>
  <w:abstractNum w:abstractNumId="101" w15:restartNumberingAfterBreak="0">
    <w:nsid w:val="45650916"/>
    <w:multiLevelType w:val="hybridMultilevel"/>
    <w:tmpl w:val="84622BCC"/>
    <w:lvl w:ilvl="0" w:tplc="7A34C072">
      <w:start w:val="9"/>
      <w:numFmt w:val="decimal"/>
      <w:lvlText w:val="%1"/>
      <w:lvlJc w:val="left"/>
      <w:pPr>
        <w:ind w:left="1327" w:hanging="139"/>
      </w:pPr>
      <w:rPr>
        <w:rFonts w:ascii="Cambria" w:eastAsia="Cambria" w:hAnsi="Cambria" w:cs="Cambria" w:hint="default"/>
        <w:color w:val="231F20"/>
        <w:w w:val="104"/>
        <w:sz w:val="16"/>
        <w:szCs w:val="16"/>
      </w:rPr>
    </w:lvl>
    <w:lvl w:ilvl="1" w:tplc="4F1A0044">
      <w:numFmt w:val="bullet"/>
      <w:lvlText w:val="•"/>
      <w:lvlJc w:val="left"/>
      <w:pPr>
        <w:ind w:left="2052" w:hanging="139"/>
      </w:pPr>
      <w:rPr>
        <w:rFonts w:hint="default"/>
      </w:rPr>
    </w:lvl>
    <w:lvl w:ilvl="2" w:tplc="7C94DA68">
      <w:numFmt w:val="bullet"/>
      <w:lvlText w:val="•"/>
      <w:lvlJc w:val="left"/>
      <w:pPr>
        <w:ind w:left="2784" w:hanging="139"/>
      </w:pPr>
      <w:rPr>
        <w:rFonts w:hint="default"/>
      </w:rPr>
    </w:lvl>
    <w:lvl w:ilvl="3" w:tplc="4A005622">
      <w:numFmt w:val="bullet"/>
      <w:lvlText w:val="•"/>
      <w:lvlJc w:val="left"/>
      <w:pPr>
        <w:ind w:left="3516" w:hanging="139"/>
      </w:pPr>
      <w:rPr>
        <w:rFonts w:hint="default"/>
      </w:rPr>
    </w:lvl>
    <w:lvl w:ilvl="4" w:tplc="C3B0B742">
      <w:numFmt w:val="bullet"/>
      <w:lvlText w:val="•"/>
      <w:lvlJc w:val="left"/>
      <w:pPr>
        <w:ind w:left="4248" w:hanging="139"/>
      </w:pPr>
      <w:rPr>
        <w:rFonts w:hint="default"/>
      </w:rPr>
    </w:lvl>
    <w:lvl w:ilvl="5" w:tplc="D1040DCC">
      <w:numFmt w:val="bullet"/>
      <w:lvlText w:val="•"/>
      <w:lvlJc w:val="left"/>
      <w:pPr>
        <w:ind w:left="4980" w:hanging="139"/>
      </w:pPr>
      <w:rPr>
        <w:rFonts w:hint="default"/>
      </w:rPr>
    </w:lvl>
    <w:lvl w:ilvl="6" w:tplc="9A146E90">
      <w:numFmt w:val="bullet"/>
      <w:lvlText w:val="•"/>
      <w:lvlJc w:val="left"/>
      <w:pPr>
        <w:ind w:left="5712" w:hanging="139"/>
      </w:pPr>
      <w:rPr>
        <w:rFonts w:hint="default"/>
      </w:rPr>
    </w:lvl>
    <w:lvl w:ilvl="7" w:tplc="239ECB46">
      <w:numFmt w:val="bullet"/>
      <w:lvlText w:val="•"/>
      <w:lvlJc w:val="left"/>
      <w:pPr>
        <w:ind w:left="6444" w:hanging="139"/>
      </w:pPr>
      <w:rPr>
        <w:rFonts w:hint="default"/>
      </w:rPr>
    </w:lvl>
    <w:lvl w:ilvl="8" w:tplc="F51A7F42">
      <w:numFmt w:val="bullet"/>
      <w:lvlText w:val="•"/>
      <w:lvlJc w:val="left"/>
      <w:pPr>
        <w:ind w:left="7176" w:hanging="139"/>
      </w:pPr>
      <w:rPr>
        <w:rFonts w:hint="default"/>
      </w:rPr>
    </w:lvl>
  </w:abstractNum>
  <w:abstractNum w:abstractNumId="102" w15:restartNumberingAfterBreak="0">
    <w:nsid w:val="45E65236"/>
    <w:multiLevelType w:val="hybridMultilevel"/>
    <w:tmpl w:val="71CE8F76"/>
    <w:lvl w:ilvl="0" w:tplc="1570CFDC">
      <w:start w:val="1"/>
      <w:numFmt w:val="decimal"/>
      <w:lvlText w:val="%1"/>
      <w:lvlJc w:val="left"/>
      <w:pPr>
        <w:ind w:left="1148" w:hanging="139"/>
      </w:pPr>
      <w:rPr>
        <w:rFonts w:ascii="Cambria" w:eastAsia="Cambria" w:hAnsi="Cambria" w:cs="Cambria" w:hint="default"/>
        <w:color w:val="231F20"/>
        <w:w w:val="104"/>
        <w:sz w:val="16"/>
        <w:szCs w:val="16"/>
      </w:rPr>
    </w:lvl>
    <w:lvl w:ilvl="1" w:tplc="DF9E608A">
      <w:numFmt w:val="bullet"/>
      <w:lvlText w:val="•"/>
      <w:lvlJc w:val="left"/>
      <w:pPr>
        <w:ind w:left="1890" w:hanging="139"/>
      </w:pPr>
      <w:rPr>
        <w:rFonts w:hint="default"/>
      </w:rPr>
    </w:lvl>
    <w:lvl w:ilvl="2" w:tplc="04A0F23E">
      <w:numFmt w:val="bullet"/>
      <w:lvlText w:val="•"/>
      <w:lvlJc w:val="left"/>
      <w:pPr>
        <w:ind w:left="2640" w:hanging="139"/>
      </w:pPr>
      <w:rPr>
        <w:rFonts w:hint="default"/>
      </w:rPr>
    </w:lvl>
    <w:lvl w:ilvl="3" w:tplc="ED60FF3E">
      <w:numFmt w:val="bullet"/>
      <w:lvlText w:val="•"/>
      <w:lvlJc w:val="left"/>
      <w:pPr>
        <w:ind w:left="3390" w:hanging="139"/>
      </w:pPr>
      <w:rPr>
        <w:rFonts w:hint="default"/>
      </w:rPr>
    </w:lvl>
    <w:lvl w:ilvl="4" w:tplc="B9BE6220">
      <w:numFmt w:val="bullet"/>
      <w:lvlText w:val="•"/>
      <w:lvlJc w:val="left"/>
      <w:pPr>
        <w:ind w:left="4140" w:hanging="139"/>
      </w:pPr>
      <w:rPr>
        <w:rFonts w:hint="default"/>
      </w:rPr>
    </w:lvl>
    <w:lvl w:ilvl="5" w:tplc="D7764648">
      <w:numFmt w:val="bullet"/>
      <w:lvlText w:val="•"/>
      <w:lvlJc w:val="left"/>
      <w:pPr>
        <w:ind w:left="4890" w:hanging="139"/>
      </w:pPr>
      <w:rPr>
        <w:rFonts w:hint="default"/>
      </w:rPr>
    </w:lvl>
    <w:lvl w:ilvl="6" w:tplc="CA00D8A6">
      <w:numFmt w:val="bullet"/>
      <w:lvlText w:val="•"/>
      <w:lvlJc w:val="left"/>
      <w:pPr>
        <w:ind w:left="5640" w:hanging="139"/>
      </w:pPr>
      <w:rPr>
        <w:rFonts w:hint="default"/>
      </w:rPr>
    </w:lvl>
    <w:lvl w:ilvl="7" w:tplc="0526C3E6">
      <w:numFmt w:val="bullet"/>
      <w:lvlText w:val="•"/>
      <w:lvlJc w:val="left"/>
      <w:pPr>
        <w:ind w:left="6390" w:hanging="139"/>
      </w:pPr>
      <w:rPr>
        <w:rFonts w:hint="default"/>
      </w:rPr>
    </w:lvl>
    <w:lvl w:ilvl="8" w:tplc="F4E233EE">
      <w:numFmt w:val="bullet"/>
      <w:lvlText w:val="•"/>
      <w:lvlJc w:val="left"/>
      <w:pPr>
        <w:ind w:left="7140" w:hanging="139"/>
      </w:pPr>
      <w:rPr>
        <w:rFonts w:hint="default"/>
      </w:rPr>
    </w:lvl>
  </w:abstractNum>
  <w:abstractNum w:abstractNumId="103" w15:restartNumberingAfterBreak="0">
    <w:nsid w:val="49AF7BD1"/>
    <w:multiLevelType w:val="hybridMultilevel"/>
    <w:tmpl w:val="99ACF396"/>
    <w:lvl w:ilvl="0" w:tplc="807C7CDE">
      <w:start w:val="2"/>
      <w:numFmt w:val="decimal"/>
      <w:lvlText w:val="%1"/>
      <w:lvlJc w:val="left"/>
      <w:pPr>
        <w:ind w:left="1327" w:hanging="139"/>
      </w:pPr>
      <w:rPr>
        <w:rFonts w:ascii="Cambria" w:eastAsia="Cambria" w:hAnsi="Cambria" w:cs="Cambria" w:hint="default"/>
        <w:color w:val="231F20"/>
        <w:w w:val="104"/>
        <w:sz w:val="16"/>
        <w:szCs w:val="16"/>
      </w:rPr>
    </w:lvl>
    <w:lvl w:ilvl="1" w:tplc="E51AD344">
      <w:numFmt w:val="bullet"/>
      <w:lvlText w:val="•"/>
      <w:lvlJc w:val="left"/>
      <w:pPr>
        <w:ind w:left="2052" w:hanging="139"/>
      </w:pPr>
      <w:rPr>
        <w:rFonts w:hint="default"/>
      </w:rPr>
    </w:lvl>
    <w:lvl w:ilvl="2" w:tplc="4FEC5ED0">
      <w:numFmt w:val="bullet"/>
      <w:lvlText w:val="•"/>
      <w:lvlJc w:val="left"/>
      <w:pPr>
        <w:ind w:left="2784" w:hanging="139"/>
      </w:pPr>
      <w:rPr>
        <w:rFonts w:hint="default"/>
      </w:rPr>
    </w:lvl>
    <w:lvl w:ilvl="3" w:tplc="BF48E260">
      <w:numFmt w:val="bullet"/>
      <w:lvlText w:val="•"/>
      <w:lvlJc w:val="left"/>
      <w:pPr>
        <w:ind w:left="3516" w:hanging="139"/>
      </w:pPr>
      <w:rPr>
        <w:rFonts w:hint="default"/>
      </w:rPr>
    </w:lvl>
    <w:lvl w:ilvl="4" w:tplc="F7727BB8">
      <w:numFmt w:val="bullet"/>
      <w:lvlText w:val="•"/>
      <w:lvlJc w:val="left"/>
      <w:pPr>
        <w:ind w:left="4248" w:hanging="139"/>
      </w:pPr>
      <w:rPr>
        <w:rFonts w:hint="default"/>
      </w:rPr>
    </w:lvl>
    <w:lvl w:ilvl="5" w:tplc="A6406370">
      <w:numFmt w:val="bullet"/>
      <w:lvlText w:val="•"/>
      <w:lvlJc w:val="left"/>
      <w:pPr>
        <w:ind w:left="4980" w:hanging="139"/>
      </w:pPr>
      <w:rPr>
        <w:rFonts w:hint="default"/>
      </w:rPr>
    </w:lvl>
    <w:lvl w:ilvl="6" w:tplc="56FC6146">
      <w:numFmt w:val="bullet"/>
      <w:lvlText w:val="•"/>
      <w:lvlJc w:val="left"/>
      <w:pPr>
        <w:ind w:left="5712" w:hanging="139"/>
      </w:pPr>
      <w:rPr>
        <w:rFonts w:hint="default"/>
      </w:rPr>
    </w:lvl>
    <w:lvl w:ilvl="7" w:tplc="1C2AB91C">
      <w:numFmt w:val="bullet"/>
      <w:lvlText w:val="•"/>
      <w:lvlJc w:val="left"/>
      <w:pPr>
        <w:ind w:left="6444" w:hanging="139"/>
      </w:pPr>
      <w:rPr>
        <w:rFonts w:hint="default"/>
      </w:rPr>
    </w:lvl>
    <w:lvl w:ilvl="8" w:tplc="09CC3F0A">
      <w:numFmt w:val="bullet"/>
      <w:lvlText w:val="•"/>
      <w:lvlJc w:val="left"/>
      <w:pPr>
        <w:ind w:left="7176" w:hanging="139"/>
      </w:pPr>
      <w:rPr>
        <w:rFonts w:hint="default"/>
      </w:rPr>
    </w:lvl>
  </w:abstractNum>
  <w:abstractNum w:abstractNumId="104" w15:restartNumberingAfterBreak="0">
    <w:nsid w:val="49BD1393"/>
    <w:multiLevelType w:val="hybridMultilevel"/>
    <w:tmpl w:val="4DD687E0"/>
    <w:lvl w:ilvl="0" w:tplc="08BC7BB6">
      <w:start w:val="2"/>
      <w:numFmt w:val="decimal"/>
      <w:lvlText w:val="%1"/>
      <w:lvlJc w:val="left"/>
      <w:pPr>
        <w:ind w:left="1327" w:hanging="139"/>
      </w:pPr>
      <w:rPr>
        <w:rFonts w:ascii="Cambria" w:eastAsia="Cambria" w:hAnsi="Cambria" w:cs="Cambria" w:hint="default"/>
        <w:color w:val="231F20"/>
        <w:w w:val="104"/>
        <w:sz w:val="16"/>
        <w:szCs w:val="16"/>
      </w:rPr>
    </w:lvl>
    <w:lvl w:ilvl="1" w:tplc="7EEA59A4">
      <w:start w:val="1"/>
      <w:numFmt w:val="decimal"/>
      <w:lvlText w:val="%2)"/>
      <w:lvlJc w:val="left"/>
      <w:pPr>
        <w:ind w:left="1747" w:hanging="289"/>
        <w:jc w:val="right"/>
      </w:pPr>
      <w:rPr>
        <w:rFonts w:ascii="Bookman Old Style" w:eastAsia="Bookman Old Style" w:hAnsi="Bookman Old Style" w:cs="Bookman Old Style" w:hint="default"/>
        <w:i/>
        <w:color w:val="231F20"/>
        <w:w w:val="89"/>
        <w:sz w:val="19"/>
        <w:szCs w:val="19"/>
      </w:rPr>
    </w:lvl>
    <w:lvl w:ilvl="2" w:tplc="52B8E6B8">
      <w:start w:val="1"/>
      <w:numFmt w:val="lowerLetter"/>
      <w:lvlText w:val="%3)"/>
      <w:lvlJc w:val="left"/>
      <w:pPr>
        <w:ind w:left="1659" w:hanging="205"/>
      </w:pPr>
      <w:rPr>
        <w:rFonts w:ascii="Cambria" w:eastAsia="Cambria" w:hAnsi="Cambria" w:cs="Cambria" w:hint="default"/>
        <w:i/>
        <w:color w:val="231F20"/>
        <w:w w:val="92"/>
        <w:sz w:val="19"/>
        <w:szCs w:val="19"/>
      </w:rPr>
    </w:lvl>
    <w:lvl w:ilvl="3" w:tplc="A38A7E5A">
      <w:numFmt w:val="bullet"/>
      <w:lvlText w:val="•"/>
      <w:lvlJc w:val="left"/>
      <w:pPr>
        <w:ind w:left="1840" w:hanging="205"/>
      </w:pPr>
      <w:rPr>
        <w:rFonts w:hint="default"/>
      </w:rPr>
    </w:lvl>
    <w:lvl w:ilvl="4" w:tplc="A6D48C38">
      <w:numFmt w:val="bullet"/>
      <w:lvlText w:val="•"/>
      <w:lvlJc w:val="left"/>
      <w:pPr>
        <w:ind w:left="2811" w:hanging="205"/>
      </w:pPr>
      <w:rPr>
        <w:rFonts w:hint="default"/>
      </w:rPr>
    </w:lvl>
    <w:lvl w:ilvl="5" w:tplc="CFBAD144">
      <w:numFmt w:val="bullet"/>
      <w:lvlText w:val="•"/>
      <w:lvlJc w:val="left"/>
      <w:pPr>
        <w:ind w:left="3782" w:hanging="205"/>
      </w:pPr>
      <w:rPr>
        <w:rFonts w:hint="default"/>
      </w:rPr>
    </w:lvl>
    <w:lvl w:ilvl="6" w:tplc="B2F88A4C">
      <w:numFmt w:val="bullet"/>
      <w:lvlText w:val="•"/>
      <w:lvlJc w:val="left"/>
      <w:pPr>
        <w:ind w:left="4754" w:hanging="205"/>
      </w:pPr>
      <w:rPr>
        <w:rFonts w:hint="default"/>
      </w:rPr>
    </w:lvl>
    <w:lvl w:ilvl="7" w:tplc="2F54354A">
      <w:numFmt w:val="bullet"/>
      <w:lvlText w:val="•"/>
      <w:lvlJc w:val="left"/>
      <w:pPr>
        <w:ind w:left="5725" w:hanging="205"/>
      </w:pPr>
      <w:rPr>
        <w:rFonts w:hint="default"/>
      </w:rPr>
    </w:lvl>
    <w:lvl w:ilvl="8" w:tplc="B8A072C6">
      <w:numFmt w:val="bullet"/>
      <w:lvlText w:val="•"/>
      <w:lvlJc w:val="left"/>
      <w:pPr>
        <w:ind w:left="6697" w:hanging="205"/>
      </w:pPr>
      <w:rPr>
        <w:rFonts w:hint="default"/>
      </w:rPr>
    </w:lvl>
  </w:abstractNum>
  <w:abstractNum w:abstractNumId="105" w15:restartNumberingAfterBreak="0">
    <w:nsid w:val="4A850440"/>
    <w:multiLevelType w:val="hybridMultilevel"/>
    <w:tmpl w:val="72F6C342"/>
    <w:lvl w:ilvl="0" w:tplc="2CFC1818">
      <w:start w:val="1"/>
      <w:numFmt w:val="decimal"/>
      <w:lvlText w:val="%1"/>
      <w:lvlJc w:val="left"/>
      <w:pPr>
        <w:ind w:left="1466" w:hanging="139"/>
      </w:pPr>
      <w:rPr>
        <w:rFonts w:ascii="Cambria" w:eastAsia="Cambria" w:hAnsi="Cambria" w:cs="Cambria" w:hint="default"/>
        <w:color w:val="231F20"/>
        <w:w w:val="104"/>
        <w:sz w:val="16"/>
        <w:szCs w:val="16"/>
      </w:rPr>
    </w:lvl>
    <w:lvl w:ilvl="1" w:tplc="D5E66874">
      <w:numFmt w:val="bullet"/>
      <w:lvlText w:val="•"/>
      <w:lvlJc w:val="left"/>
      <w:pPr>
        <w:ind w:left="2178" w:hanging="139"/>
      </w:pPr>
      <w:rPr>
        <w:rFonts w:hint="default"/>
      </w:rPr>
    </w:lvl>
    <w:lvl w:ilvl="2" w:tplc="A898705C">
      <w:numFmt w:val="bullet"/>
      <w:lvlText w:val="•"/>
      <w:lvlJc w:val="left"/>
      <w:pPr>
        <w:ind w:left="2896" w:hanging="139"/>
      </w:pPr>
      <w:rPr>
        <w:rFonts w:hint="default"/>
      </w:rPr>
    </w:lvl>
    <w:lvl w:ilvl="3" w:tplc="105C050A">
      <w:numFmt w:val="bullet"/>
      <w:lvlText w:val="•"/>
      <w:lvlJc w:val="left"/>
      <w:pPr>
        <w:ind w:left="3614" w:hanging="139"/>
      </w:pPr>
      <w:rPr>
        <w:rFonts w:hint="default"/>
      </w:rPr>
    </w:lvl>
    <w:lvl w:ilvl="4" w:tplc="CF6054F8">
      <w:numFmt w:val="bullet"/>
      <w:lvlText w:val="•"/>
      <w:lvlJc w:val="left"/>
      <w:pPr>
        <w:ind w:left="4332" w:hanging="139"/>
      </w:pPr>
      <w:rPr>
        <w:rFonts w:hint="default"/>
      </w:rPr>
    </w:lvl>
    <w:lvl w:ilvl="5" w:tplc="424CD772">
      <w:numFmt w:val="bullet"/>
      <w:lvlText w:val="•"/>
      <w:lvlJc w:val="left"/>
      <w:pPr>
        <w:ind w:left="5050" w:hanging="139"/>
      </w:pPr>
      <w:rPr>
        <w:rFonts w:hint="default"/>
      </w:rPr>
    </w:lvl>
    <w:lvl w:ilvl="6" w:tplc="A7C254AE">
      <w:numFmt w:val="bullet"/>
      <w:lvlText w:val="•"/>
      <w:lvlJc w:val="left"/>
      <w:pPr>
        <w:ind w:left="5768" w:hanging="139"/>
      </w:pPr>
      <w:rPr>
        <w:rFonts w:hint="default"/>
      </w:rPr>
    </w:lvl>
    <w:lvl w:ilvl="7" w:tplc="082AADE0">
      <w:numFmt w:val="bullet"/>
      <w:lvlText w:val="•"/>
      <w:lvlJc w:val="left"/>
      <w:pPr>
        <w:ind w:left="6486" w:hanging="139"/>
      </w:pPr>
      <w:rPr>
        <w:rFonts w:hint="default"/>
      </w:rPr>
    </w:lvl>
    <w:lvl w:ilvl="8" w:tplc="DBD62748">
      <w:numFmt w:val="bullet"/>
      <w:lvlText w:val="•"/>
      <w:lvlJc w:val="left"/>
      <w:pPr>
        <w:ind w:left="7204" w:hanging="139"/>
      </w:pPr>
      <w:rPr>
        <w:rFonts w:hint="default"/>
      </w:rPr>
    </w:lvl>
  </w:abstractNum>
  <w:abstractNum w:abstractNumId="106" w15:restartNumberingAfterBreak="0">
    <w:nsid w:val="4BA00716"/>
    <w:multiLevelType w:val="hybridMultilevel"/>
    <w:tmpl w:val="FEB28810"/>
    <w:lvl w:ilvl="0" w:tplc="4F04D782">
      <w:start w:val="1"/>
      <w:numFmt w:val="decimal"/>
      <w:lvlText w:val="%1"/>
      <w:lvlJc w:val="left"/>
      <w:pPr>
        <w:ind w:left="1327" w:hanging="139"/>
      </w:pPr>
      <w:rPr>
        <w:rFonts w:ascii="Cambria" w:eastAsia="Cambria" w:hAnsi="Cambria" w:cs="Cambria" w:hint="default"/>
        <w:color w:val="231F20"/>
        <w:w w:val="104"/>
        <w:sz w:val="16"/>
        <w:szCs w:val="16"/>
      </w:rPr>
    </w:lvl>
    <w:lvl w:ilvl="1" w:tplc="4F6A0A34">
      <w:numFmt w:val="bullet"/>
      <w:lvlText w:val="•"/>
      <w:lvlJc w:val="left"/>
      <w:pPr>
        <w:ind w:left="2052" w:hanging="139"/>
      </w:pPr>
      <w:rPr>
        <w:rFonts w:hint="default"/>
      </w:rPr>
    </w:lvl>
    <w:lvl w:ilvl="2" w:tplc="C7C8E224">
      <w:numFmt w:val="bullet"/>
      <w:lvlText w:val="•"/>
      <w:lvlJc w:val="left"/>
      <w:pPr>
        <w:ind w:left="2784" w:hanging="139"/>
      </w:pPr>
      <w:rPr>
        <w:rFonts w:hint="default"/>
      </w:rPr>
    </w:lvl>
    <w:lvl w:ilvl="3" w:tplc="22B4DFD6">
      <w:numFmt w:val="bullet"/>
      <w:lvlText w:val="•"/>
      <w:lvlJc w:val="left"/>
      <w:pPr>
        <w:ind w:left="3516" w:hanging="139"/>
      </w:pPr>
      <w:rPr>
        <w:rFonts w:hint="default"/>
      </w:rPr>
    </w:lvl>
    <w:lvl w:ilvl="4" w:tplc="C31A7586">
      <w:numFmt w:val="bullet"/>
      <w:lvlText w:val="•"/>
      <w:lvlJc w:val="left"/>
      <w:pPr>
        <w:ind w:left="4248" w:hanging="139"/>
      </w:pPr>
      <w:rPr>
        <w:rFonts w:hint="default"/>
      </w:rPr>
    </w:lvl>
    <w:lvl w:ilvl="5" w:tplc="F5AC65D6">
      <w:numFmt w:val="bullet"/>
      <w:lvlText w:val="•"/>
      <w:lvlJc w:val="left"/>
      <w:pPr>
        <w:ind w:left="4980" w:hanging="139"/>
      </w:pPr>
      <w:rPr>
        <w:rFonts w:hint="default"/>
      </w:rPr>
    </w:lvl>
    <w:lvl w:ilvl="6" w:tplc="4DAC30EA">
      <w:numFmt w:val="bullet"/>
      <w:lvlText w:val="•"/>
      <w:lvlJc w:val="left"/>
      <w:pPr>
        <w:ind w:left="5712" w:hanging="139"/>
      </w:pPr>
      <w:rPr>
        <w:rFonts w:hint="default"/>
      </w:rPr>
    </w:lvl>
    <w:lvl w:ilvl="7" w:tplc="EA9608A0">
      <w:numFmt w:val="bullet"/>
      <w:lvlText w:val="•"/>
      <w:lvlJc w:val="left"/>
      <w:pPr>
        <w:ind w:left="6444" w:hanging="139"/>
      </w:pPr>
      <w:rPr>
        <w:rFonts w:hint="default"/>
      </w:rPr>
    </w:lvl>
    <w:lvl w:ilvl="8" w:tplc="1F789488">
      <w:numFmt w:val="bullet"/>
      <w:lvlText w:val="•"/>
      <w:lvlJc w:val="left"/>
      <w:pPr>
        <w:ind w:left="7176" w:hanging="139"/>
      </w:pPr>
      <w:rPr>
        <w:rFonts w:hint="default"/>
      </w:rPr>
    </w:lvl>
  </w:abstractNum>
  <w:abstractNum w:abstractNumId="107" w15:restartNumberingAfterBreak="0">
    <w:nsid w:val="4C953F68"/>
    <w:multiLevelType w:val="hybridMultilevel"/>
    <w:tmpl w:val="8E54C232"/>
    <w:lvl w:ilvl="0" w:tplc="90B60B3E">
      <w:start w:val="9"/>
      <w:numFmt w:val="decimal"/>
      <w:lvlText w:val="%1"/>
      <w:lvlJc w:val="left"/>
      <w:pPr>
        <w:ind w:left="1328" w:hanging="139"/>
      </w:pPr>
      <w:rPr>
        <w:rFonts w:ascii="Cambria" w:eastAsia="Cambria" w:hAnsi="Cambria" w:cs="Cambria" w:hint="default"/>
        <w:color w:val="231F20"/>
        <w:w w:val="104"/>
        <w:sz w:val="16"/>
        <w:szCs w:val="16"/>
      </w:rPr>
    </w:lvl>
    <w:lvl w:ilvl="1" w:tplc="BD3A0CAA">
      <w:numFmt w:val="bullet"/>
      <w:lvlText w:val="•"/>
      <w:lvlJc w:val="left"/>
      <w:pPr>
        <w:ind w:left="2052" w:hanging="139"/>
      </w:pPr>
      <w:rPr>
        <w:rFonts w:hint="default"/>
      </w:rPr>
    </w:lvl>
    <w:lvl w:ilvl="2" w:tplc="55D42608">
      <w:numFmt w:val="bullet"/>
      <w:lvlText w:val="•"/>
      <w:lvlJc w:val="left"/>
      <w:pPr>
        <w:ind w:left="2784" w:hanging="139"/>
      </w:pPr>
      <w:rPr>
        <w:rFonts w:hint="default"/>
      </w:rPr>
    </w:lvl>
    <w:lvl w:ilvl="3" w:tplc="6526BA22">
      <w:numFmt w:val="bullet"/>
      <w:lvlText w:val="•"/>
      <w:lvlJc w:val="left"/>
      <w:pPr>
        <w:ind w:left="3516" w:hanging="139"/>
      </w:pPr>
      <w:rPr>
        <w:rFonts w:hint="default"/>
      </w:rPr>
    </w:lvl>
    <w:lvl w:ilvl="4" w:tplc="41445294">
      <w:numFmt w:val="bullet"/>
      <w:lvlText w:val="•"/>
      <w:lvlJc w:val="left"/>
      <w:pPr>
        <w:ind w:left="4248" w:hanging="139"/>
      </w:pPr>
      <w:rPr>
        <w:rFonts w:hint="default"/>
      </w:rPr>
    </w:lvl>
    <w:lvl w:ilvl="5" w:tplc="88861B52">
      <w:numFmt w:val="bullet"/>
      <w:lvlText w:val="•"/>
      <w:lvlJc w:val="left"/>
      <w:pPr>
        <w:ind w:left="4980" w:hanging="139"/>
      </w:pPr>
      <w:rPr>
        <w:rFonts w:hint="default"/>
      </w:rPr>
    </w:lvl>
    <w:lvl w:ilvl="6" w:tplc="70609AC4">
      <w:numFmt w:val="bullet"/>
      <w:lvlText w:val="•"/>
      <w:lvlJc w:val="left"/>
      <w:pPr>
        <w:ind w:left="5712" w:hanging="139"/>
      </w:pPr>
      <w:rPr>
        <w:rFonts w:hint="default"/>
      </w:rPr>
    </w:lvl>
    <w:lvl w:ilvl="7" w:tplc="FCD4D5AC">
      <w:numFmt w:val="bullet"/>
      <w:lvlText w:val="•"/>
      <w:lvlJc w:val="left"/>
      <w:pPr>
        <w:ind w:left="6444" w:hanging="139"/>
      </w:pPr>
      <w:rPr>
        <w:rFonts w:hint="default"/>
      </w:rPr>
    </w:lvl>
    <w:lvl w:ilvl="8" w:tplc="E970307E">
      <w:numFmt w:val="bullet"/>
      <w:lvlText w:val="•"/>
      <w:lvlJc w:val="left"/>
      <w:pPr>
        <w:ind w:left="7176" w:hanging="139"/>
      </w:pPr>
      <w:rPr>
        <w:rFonts w:hint="default"/>
      </w:rPr>
    </w:lvl>
  </w:abstractNum>
  <w:abstractNum w:abstractNumId="108" w15:restartNumberingAfterBreak="0">
    <w:nsid w:val="4D027A1C"/>
    <w:multiLevelType w:val="hybridMultilevel"/>
    <w:tmpl w:val="9178381C"/>
    <w:lvl w:ilvl="0" w:tplc="EC5C36A0">
      <w:start w:val="1"/>
      <w:numFmt w:val="decimal"/>
      <w:lvlText w:val="%1"/>
      <w:lvlJc w:val="left"/>
      <w:pPr>
        <w:ind w:left="1147" w:hanging="139"/>
        <w:jc w:val="right"/>
      </w:pPr>
      <w:rPr>
        <w:rFonts w:ascii="Cambria" w:eastAsia="Cambria" w:hAnsi="Cambria" w:cs="Cambria" w:hint="default"/>
        <w:color w:val="231F20"/>
        <w:w w:val="104"/>
        <w:sz w:val="16"/>
        <w:szCs w:val="16"/>
      </w:rPr>
    </w:lvl>
    <w:lvl w:ilvl="1" w:tplc="022A7006">
      <w:numFmt w:val="bullet"/>
      <w:lvlText w:val="•"/>
      <w:lvlJc w:val="left"/>
      <w:pPr>
        <w:ind w:left="1890" w:hanging="139"/>
      </w:pPr>
      <w:rPr>
        <w:rFonts w:hint="default"/>
      </w:rPr>
    </w:lvl>
    <w:lvl w:ilvl="2" w:tplc="2D0A2BA4">
      <w:numFmt w:val="bullet"/>
      <w:lvlText w:val="•"/>
      <w:lvlJc w:val="left"/>
      <w:pPr>
        <w:ind w:left="2640" w:hanging="139"/>
      </w:pPr>
      <w:rPr>
        <w:rFonts w:hint="default"/>
      </w:rPr>
    </w:lvl>
    <w:lvl w:ilvl="3" w:tplc="9348B1CE">
      <w:numFmt w:val="bullet"/>
      <w:lvlText w:val="•"/>
      <w:lvlJc w:val="left"/>
      <w:pPr>
        <w:ind w:left="3390" w:hanging="139"/>
      </w:pPr>
      <w:rPr>
        <w:rFonts w:hint="default"/>
      </w:rPr>
    </w:lvl>
    <w:lvl w:ilvl="4" w:tplc="BEA2E900">
      <w:numFmt w:val="bullet"/>
      <w:lvlText w:val="•"/>
      <w:lvlJc w:val="left"/>
      <w:pPr>
        <w:ind w:left="4140" w:hanging="139"/>
      </w:pPr>
      <w:rPr>
        <w:rFonts w:hint="default"/>
      </w:rPr>
    </w:lvl>
    <w:lvl w:ilvl="5" w:tplc="3B989204">
      <w:numFmt w:val="bullet"/>
      <w:lvlText w:val="•"/>
      <w:lvlJc w:val="left"/>
      <w:pPr>
        <w:ind w:left="4890" w:hanging="139"/>
      </w:pPr>
      <w:rPr>
        <w:rFonts w:hint="default"/>
      </w:rPr>
    </w:lvl>
    <w:lvl w:ilvl="6" w:tplc="094CE742">
      <w:numFmt w:val="bullet"/>
      <w:lvlText w:val="•"/>
      <w:lvlJc w:val="left"/>
      <w:pPr>
        <w:ind w:left="5640" w:hanging="139"/>
      </w:pPr>
      <w:rPr>
        <w:rFonts w:hint="default"/>
      </w:rPr>
    </w:lvl>
    <w:lvl w:ilvl="7" w:tplc="50E26AAE">
      <w:numFmt w:val="bullet"/>
      <w:lvlText w:val="•"/>
      <w:lvlJc w:val="left"/>
      <w:pPr>
        <w:ind w:left="6390" w:hanging="139"/>
      </w:pPr>
      <w:rPr>
        <w:rFonts w:hint="default"/>
      </w:rPr>
    </w:lvl>
    <w:lvl w:ilvl="8" w:tplc="F70644A8">
      <w:numFmt w:val="bullet"/>
      <w:lvlText w:val="•"/>
      <w:lvlJc w:val="left"/>
      <w:pPr>
        <w:ind w:left="7140" w:hanging="139"/>
      </w:pPr>
      <w:rPr>
        <w:rFonts w:hint="default"/>
      </w:rPr>
    </w:lvl>
  </w:abstractNum>
  <w:abstractNum w:abstractNumId="109" w15:restartNumberingAfterBreak="0">
    <w:nsid w:val="4F762A86"/>
    <w:multiLevelType w:val="hybridMultilevel"/>
    <w:tmpl w:val="1326E584"/>
    <w:lvl w:ilvl="0" w:tplc="7C0EC2C4">
      <w:start w:val="1"/>
      <w:numFmt w:val="decimal"/>
      <w:lvlText w:val="%1"/>
      <w:lvlJc w:val="left"/>
      <w:pPr>
        <w:ind w:left="1148" w:hanging="139"/>
        <w:jc w:val="right"/>
      </w:pPr>
      <w:rPr>
        <w:rFonts w:ascii="Cambria" w:eastAsia="Cambria" w:hAnsi="Cambria" w:cs="Cambria" w:hint="default"/>
        <w:color w:val="231F20"/>
        <w:w w:val="104"/>
        <w:sz w:val="16"/>
        <w:szCs w:val="16"/>
      </w:rPr>
    </w:lvl>
    <w:lvl w:ilvl="1" w:tplc="5BE83AC4">
      <w:numFmt w:val="bullet"/>
      <w:lvlText w:val="•"/>
      <w:lvlJc w:val="left"/>
      <w:pPr>
        <w:ind w:left="1890" w:hanging="139"/>
      </w:pPr>
      <w:rPr>
        <w:rFonts w:hint="default"/>
      </w:rPr>
    </w:lvl>
    <w:lvl w:ilvl="2" w:tplc="E04AFEA4">
      <w:numFmt w:val="bullet"/>
      <w:lvlText w:val="•"/>
      <w:lvlJc w:val="left"/>
      <w:pPr>
        <w:ind w:left="2640" w:hanging="139"/>
      </w:pPr>
      <w:rPr>
        <w:rFonts w:hint="default"/>
      </w:rPr>
    </w:lvl>
    <w:lvl w:ilvl="3" w:tplc="953EEEC2">
      <w:numFmt w:val="bullet"/>
      <w:lvlText w:val="•"/>
      <w:lvlJc w:val="left"/>
      <w:pPr>
        <w:ind w:left="3390" w:hanging="139"/>
      </w:pPr>
      <w:rPr>
        <w:rFonts w:hint="default"/>
      </w:rPr>
    </w:lvl>
    <w:lvl w:ilvl="4" w:tplc="1F66D032">
      <w:numFmt w:val="bullet"/>
      <w:lvlText w:val="•"/>
      <w:lvlJc w:val="left"/>
      <w:pPr>
        <w:ind w:left="4140" w:hanging="139"/>
      </w:pPr>
      <w:rPr>
        <w:rFonts w:hint="default"/>
      </w:rPr>
    </w:lvl>
    <w:lvl w:ilvl="5" w:tplc="9D74ED68">
      <w:numFmt w:val="bullet"/>
      <w:lvlText w:val="•"/>
      <w:lvlJc w:val="left"/>
      <w:pPr>
        <w:ind w:left="4890" w:hanging="139"/>
      </w:pPr>
      <w:rPr>
        <w:rFonts w:hint="default"/>
      </w:rPr>
    </w:lvl>
    <w:lvl w:ilvl="6" w:tplc="5CB4E386">
      <w:numFmt w:val="bullet"/>
      <w:lvlText w:val="•"/>
      <w:lvlJc w:val="left"/>
      <w:pPr>
        <w:ind w:left="5640" w:hanging="139"/>
      </w:pPr>
      <w:rPr>
        <w:rFonts w:hint="default"/>
      </w:rPr>
    </w:lvl>
    <w:lvl w:ilvl="7" w:tplc="4A200008">
      <w:numFmt w:val="bullet"/>
      <w:lvlText w:val="•"/>
      <w:lvlJc w:val="left"/>
      <w:pPr>
        <w:ind w:left="6390" w:hanging="139"/>
      </w:pPr>
      <w:rPr>
        <w:rFonts w:hint="default"/>
      </w:rPr>
    </w:lvl>
    <w:lvl w:ilvl="8" w:tplc="6B6A59A0">
      <w:numFmt w:val="bullet"/>
      <w:lvlText w:val="•"/>
      <w:lvlJc w:val="left"/>
      <w:pPr>
        <w:ind w:left="7140" w:hanging="139"/>
      </w:pPr>
      <w:rPr>
        <w:rFonts w:hint="default"/>
      </w:rPr>
    </w:lvl>
  </w:abstractNum>
  <w:abstractNum w:abstractNumId="110" w15:restartNumberingAfterBreak="0">
    <w:nsid w:val="4FA2466E"/>
    <w:multiLevelType w:val="hybridMultilevel"/>
    <w:tmpl w:val="3C4C92C2"/>
    <w:lvl w:ilvl="0" w:tplc="C166D80E">
      <w:start w:val="1"/>
      <w:numFmt w:val="decimal"/>
      <w:lvlText w:val="%1"/>
      <w:lvlJc w:val="left"/>
      <w:pPr>
        <w:ind w:left="1148" w:hanging="139"/>
        <w:jc w:val="right"/>
      </w:pPr>
      <w:rPr>
        <w:rFonts w:ascii="Cambria" w:eastAsia="Cambria" w:hAnsi="Cambria" w:cs="Cambria" w:hint="default"/>
        <w:color w:val="231F20"/>
        <w:w w:val="104"/>
        <w:sz w:val="16"/>
        <w:szCs w:val="16"/>
      </w:rPr>
    </w:lvl>
    <w:lvl w:ilvl="1" w:tplc="3258B622">
      <w:numFmt w:val="bullet"/>
      <w:lvlText w:val="•"/>
      <w:lvlJc w:val="left"/>
      <w:pPr>
        <w:ind w:left="1890" w:hanging="139"/>
      </w:pPr>
      <w:rPr>
        <w:rFonts w:hint="default"/>
      </w:rPr>
    </w:lvl>
    <w:lvl w:ilvl="2" w:tplc="C32AD418">
      <w:numFmt w:val="bullet"/>
      <w:lvlText w:val="•"/>
      <w:lvlJc w:val="left"/>
      <w:pPr>
        <w:ind w:left="2640" w:hanging="139"/>
      </w:pPr>
      <w:rPr>
        <w:rFonts w:hint="default"/>
      </w:rPr>
    </w:lvl>
    <w:lvl w:ilvl="3" w:tplc="500A2442">
      <w:numFmt w:val="bullet"/>
      <w:lvlText w:val="•"/>
      <w:lvlJc w:val="left"/>
      <w:pPr>
        <w:ind w:left="3390" w:hanging="139"/>
      </w:pPr>
      <w:rPr>
        <w:rFonts w:hint="default"/>
      </w:rPr>
    </w:lvl>
    <w:lvl w:ilvl="4" w:tplc="5CC2141E">
      <w:numFmt w:val="bullet"/>
      <w:lvlText w:val="•"/>
      <w:lvlJc w:val="left"/>
      <w:pPr>
        <w:ind w:left="4140" w:hanging="139"/>
      </w:pPr>
      <w:rPr>
        <w:rFonts w:hint="default"/>
      </w:rPr>
    </w:lvl>
    <w:lvl w:ilvl="5" w:tplc="33D002FC">
      <w:numFmt w:val="bullet"/>
      <w:lvlText w:val="•"/>
      <w:lvlJc w:val="left"/>
      <w:pPr>
        <w:ind w:left="4890" w:hanging="139"/>
      </w:pPr>
      <w:rPr>
        <w:rFonts w:hint="default"/>
      </w:rPr>
    </w:lvl>
    <w:lvl w:ilvl="6" w:tplc="E1E6EC9E">
      <w:numFmt w:val="bullet"/>
      <w:lvlText w:val="•"/>
      <w:lvlJc w:val="left"/>
      <w:pPr>
        <w:ind w:left="5640" w:hanging="139"/>
      </w:pPr>
      <w:rPr>
        <w:rFonts w:hint="default"/>
      </w:rPr>
    </w:lvl>
    <w:lvl w:ilvl="7" w:tplc="0C965B02">
      <w:numFmt w:val="bullet"/>
      <w:lvlText w:val="•"/>
      <w:lvlJc w:val="left"/>
      <w:pPr>
        <w:ind w:left="6390" w:hanging="139"/>
      </w:pPr>
      <w:rPr>
        <w:rFonts w:hint="default"/>
      </w:rPr>
    </w:lvl>
    <w:lvl w:ilvl="8" w:tplc="CD6641A2">
      <w:numFmt w:val="bullet"/>
      <w:lvlText w:val="•"/>
      <w:lvlJc w:val="left"/>
      <w:pPr>
        <w:ind w:left="7140" w:hanging="139"/>
      </w:pPr>
      <w:rPr>
        <w:rFonts w:hint="default"/>
      </w:rPr>
    </w:lvl>
  </w:abstractNum>
  <w:abstractNum w:abstractNumId="111" w15:restartNumberingAfterBreak="0">
    <w:nsid w:val="50B44531"/>
    <w:multiLevelType w:val="hybridMultilevel"/>
    <w:tmpl w:val="518CB76C"/>
    <w:lvl w:ilvl="0" w:tplc="3B0A459E">
      <w:start w:val="7"/>
      <w:numFmt w:val="decimal"/>
      <w:lvlText w:val="%1"/>
      <w:lvlJc w:val="left"/>
      <w:pPr>
        <w:ind w:left="1327" w:hanging="139"/>
      </w:pPr>
      <w:rPr>
        <w:rFonts w:ascii="Cambria" w:eastAsia="Cambria" w:hAnsi="Cambria" w:cs="Cambria" w:hint="default"/>
        <w:color w:val="231F20"/>
        <w:w w:val="104"/>
        <w:sz w:val="16"/>
        <w:szCs w:val="16"/>
      </w:rPr>
    </w:lvl>
    <w:lvl w:ilvl="1" w:tplc="4664D4B2">
      <w:numFmt w:val="bullet"/>
      <w:lvlText w:val="•"/>
      <w:lvlJc w:val="left"/>
      <w:pPr>
        <w:ind w:left="2052" w:hanging="139"/>
      </w:pPr>
      <w:rPr>
        <w:rFonts w:hint="default"/>
      </w:rPr>
    </w:lvl>
    <w:lvl w:ilvl="2" w:tplc="4AD0833A">
      <w:numFmt w:val="bullet"/>
      <w:lvlText w:val="•"/>
      <w:lvlJc w:val="left"/>
      <w:pPr>
        <w:ind w:left="2784" w:hanging="139"/>
      </w:pPr>
      <w:rPr>
        <w:rFonts w:hint="default"/>
      </w:rPr>
    </w:lvl>
    <w:lvl w:ilvl="3" w:tplc="AB322210">
      <w:numFmt w:val="bullet"/>
      <w:lvlText w:val="•"/>
      <w:lvlJc w:val="left"/>
      <w:pPr>
        <w:ind w:left="3516" w:hanging="139"/>
      </w:pPr>
      <w:rPr>
        <w:rFonts w:hint="default"/>
      </w:rPr>
    </w:lvl>
    <w:lvl w:ilvl="4" w:tplc="03AA0372">
      <w:numFmt w:val="bullet"/>
      <w:lvlText w:val="•"/>
      <w:lvlJc w:val="left"/>
      <w:pPr>
        <w:ind w:left="4248" w:hanging="139"/>
      </w:pPr>
      <w:rPr>
        <w:rFonts w:hint="default"/>
      </w:rPr>
    </w:lvl>
    <w:lvl w:ilvl="5" w:tplc="88BAE036">
      <w:numFmt w:val="bullet"/>
      <w:lvlText w:val="•"/>
      <w:lvlJc w:val="left"/>
      <w:pPr>
        <w:ind w:left="4980" w:hanging="139"/>
      </w:pPr>
      <w:rPr>
        <w:rFonts w:hint="default"/>
      </w:rPr>
    </w:lvl>
    <w:lvl w:ilvl="6" w:tplc="18921FBA">
      <w:numFmt w:val="bullet"/>
      <w:lvlText w:val="•"/>
      <w:lvlJc w:val="left"/>
      <w:pPr>
        <w:ind w:left="5712" w:hanging="139"/>
      </w:pPr>
      <w:rPr>
        <w:rFonts w:hint="default"/>
      </w:rPr>
    </w:lvl>
    <w:lvl w:ilvl="7" w:tplc="913656B8">
      <w:numFmt w:val="bullet"/>
      <w:lvlText w:val="•"/>
      <w:lvlJc w:val="left"/>
      <w:pPr>
        <w:ind w:left="6444" w:hanging="139"/>
      </w:pPr>
      <w:rPr>
        <w:rFonts w:hint="default"/>
      </w:rPr>
    </w:lvl>
    <w:lvl w:ilvl="8" w:tplc="380EC8BA">
      <w:numFmt w:val="bullet"/>
      <w:lvlText w:val="•"/>
      <w:lvlJc w:val="left"/>
      <w:pPr>
        <w:ind w:left="7176" w:hanging="139"/>
      </w:pPr>
      <w:rPr>
        <w:rFonts w:hint="default"/>
      </w:rPr>
    </w:lvl>
  </w:abstractNum>
  <w:abstractNum w:abstractNumId="112" w15:restartNumberingAfterBreak="0">
    <w:nsid w:val="50C604FA"/>
    <w:multiLevelType w:val="hybridMultilevel"/>
    <w:tmpl w:val="3D343F80"/>
    <w:lvl w:ilvl="0" w:tplc="62A820BC">
      <w:start w:val="1"/>
      <w:numFmt w:val="decimal"/>
      <w:lvlText w:val="%1."/>
      <w:lvlJc w:val="left"/>
      <w:pPr>
        <w:ind w:left="1764" w:hanging="360"/>
      </w:pPr>
      <w:rPr>
        <w:rFonts w:ascii="Cambria" w:eastAsia="Cambria" w:hAnsi="Cambria" w:cs="Cambria" w:hint="default"/>
        <w:color w:val="231F20"/>
        <w:spacing w:val="-5"/>
        <w:w w:val="100"/>
        <w:sz w:val="20"/>
        <w:szCs w:val="20"/>
      </w:rPr>
    </w:lvl>
    <w:lvl w:ilvl="1" w:tplc="4A865380">
      <w:start w:val="1"/>
      <w:numFmt w:val="lowerLetter"/>
      <w:lvlText w:val="(%2)"/>
      <w:lvlJc w:val="left"/>
      <w:pPr>
        <w:ind w:left="2119" w:hanging="361"/>
      </w:pPr>
      <w:rPr>
        <w:rFonts w:ascii="Cambria" w:eastAsia="Cambria" w:hAnsi="Cambria" w:cs="Cambria" w:hint="default"/>
        <w:color w:val="231F20"/>
        <w:spacing w:val="-8"/>
        <w:w w:val="87"/>
        <w:sz w:val="20"/>
        <w:szCs w:val="20"/>
      </w:rPr>
    </w:lvl>
    <w:lvl w:ilvl="2" w:tplc="A6AE11BE">
      <w:numFmt w:val="bullet"/>
      <w:lvlText w:val="•"/>
      <w:lvlJc w:val="left"/>
      <w:pPr>
        <w:ind w:left="2844" w:hanging="361"/>
      </w:pPr>
      <w:rPr>
        <w:rFonts w:hint="default"/>
      </w:rPr>
    </w:lvl>
    <w:lvl w:ilvl="3" w:tplc="F3D25F6C">
      <w:numFmt w:val="bullet"/>
      <w:lvlText w:val="•"/>
      <w:lvlJc w:val="left"/>
      <w:pPr>
        <w:ind w:left="3568" w:hanging="361"/>
      </w:pPr>
      <w:rPr>
        <w:rFonts w:hint="default"/>
      </w:rPr>
    </w:lvl>
    <w:lvl w:ilvl="4" w:tplc="2478534A">
      <w:numFmt w:val="bullet"/>
      <w:lvlText w:val="•"/>
      <w:lvlJc w:val="left"/>
      <w:pPr>
        <w:ind w:left="4293" w:hanging="361"/>
      </w:pPr>
      <w:rPr>
        <w:rFonts w:hint="default"/>
      </w:rPr>
    </w:lvl>
    <w:lvl w:ilvl="5" w:tplc="D952D952">
      <w:numFmt w:val="bullet"/>
      <w:lvlText w:val="•"/>
      <w:lvlJc w:val="left"/>
      <w:pPr>
        <w:ind w:left="5017" w:hanging="361"/>
      </w:pPr>
      <w:rPr>
        <w:rFonts w:hint="default"/>
      </w:rPr>
    </w:lvl>
    <w:lvl w:ilvl="6" w:tplc="C7D83086">
      <w:numFmt w:val="bullet"/>
      <w:lvlText w:val="•"/>
      <w:lvlJc w:val="left"/>
      <w:pPr>
        <w:ind w:left="5742" w:hanging="361"/>
      </w:pPr>
      <w:rPr>
        <w:rFonts w:hint="default"/>
      </w:rPr>
    </w:lvl>
    <w:lvl w:ilvl="7" w:tplc="0744FBAE">
      <w:numFmt w:val="bullet"/>
      <w:lvlText w:val="•"/>
      <w:lvlJc w:val="left"/>
      <w:pPr>
        <w:ind w:left="6466" w:hanging="361"/>
      </w:pPr>
      <w:rPr>
        <w:rFonts w:hint="default"/>
      </w:rPr>
    </w:lvl>
    <w:lvl w:ilvl="8" w:tplc="ED08D4C8">
      <w:numFmt w:val="bullet"/>
      <w:lvlText w:val="•"/>
      <w:lvlJc w:val="left"/>
      <w:pPr>
        <w:ind w:left="7191" w:hanging="361"/>
      </w:pPr>
      <w:rPr>
        <w:rFonts w:hint="default"/>
      </w:rPr>
    </w:lvl>
  </w:abstractNum>
  <w:abstractNum w:abstractNumId="113" w15:restartNumberingAfterBreak="0">
    <w:nsid w:val="52F71C56"/>
    <w:multiLevelType w:val="hybridMultilevel"/>
    <w:tmpl w:val="7D023048"/>
    <w:lvl w:ilvl="0" w:tplc="AB926E56">
      <w:start w:val="1"/>
      <w:numFmt w:val="decimal"/>
      <w:lvlText w:val="%1"/>
      <w:lvlJc w:val="left"/>
      <w:pPr>
        <w:ind w:left="1328" w:hanging="139"/>
      </w:pPr>
      <w:rPr>
        <w:rFonts w:ascii="Cambria" w:eastAsia="Cambria" w:hAnsi="Cambria" w:cs="Cambria" w:hint="default"/>
        <w:color w:val="231F20"/>
        <w:w w:val="104"/>
        <w:sz w:val="16"/>
        <w:szCs w:val="16"/>
      </w:rPr>
    </w:lvl>
    <w:lvl w:ilvl="1" w:tplc="76503E36">
      <w:numFmt w:val="bullet"/>
      <w:lvlText w:val="•"/>
      <w:lvlJc w:val="left"/>
      <w:pPr>
        <w:ind w:left="2052" w:hanging="139"/>
      </w:pPr>
      <w:rPr>
        <w:rFonts w:hint="default"/>
      </w:rPr>
    </w:lvl>
    <w:lvl w:ilvl="2" w:tplc="F8A0D3BC">
      <w:numFmt w:val="bullet"/>
      <w:lvlText w:val="•"/>
      <w:lvlJc w:val="left"/>
      <w:pPr>
        <w:ind w:left="2784" w:hanging="139"/>
      </w:pPr>
      <w:rPr>
        <w:rFonts w:hint="default"/>
      </w:rPr>
    </w:lvl>
    <w:lvl w:ilvl="3" w:tplc="5F86F074">
      <w:numFmt w:val="bullet"/>
      <w:lvlText w:val="•"/>
      <w:lvlJc w:val="left"/>
      <w:pPr>
        <w:ind w:left="3516" w:hanging="139"/>
      </w:pPr>
      <w:rPr>
        <w:rFonts w:hint="default"/>
      </w:rPr>
    </w:lvl>
    <w:lvl w:ilvl="4" w:tplc="384891CE">
      <w:numFmt w:val="bullet"/>
      <w:lvlText w:val="•"/>
      <w:lvlJc w:val="left"/>
      <w:pPr>
        <w:ind w:left="4248" w:hanging="139"/>
      </w:pPr>
      <w:rPr>
        <w:rFonts w:hint="default"/>
      </w:rPr>
    </w:lvl>
    <w:lvl w:ilvl="5" w:tplc="3A5C35C2">
      <w:numFmt w:val="bullet"/>
      <w:lvlText w:val="•"/>
      <w:lvlJc w:val="left"/>
      <w:pPr>
        <w:ind w:left="4980" w:hanging="139"/>
      </w:pPr>
      <w:rPr>
        <w:rFonts w:hint="default"/>
      </w:rPr>
    </w:lvl>
    <w:lvl w:ilvl="6" w:tplc="E42AC16E">
      <w:numFmt w:val="bullet"/>
      <w:lvlText w:val="•"/>
      <w:lvlJc w:val="left"/>
      <w:pPr>
        <w:ind w:left="5712" w:hanging="139"/>
      </w:pPr>
      <w:rPr>
        <w:rFonts w:hint="default"/>
      </w:rPr>
    </w:lvl>
    <w:lvl w:ilvl="7" w:tplc="136C5678">
      <w:numFmt w:val="bullet"/>
      <w:lvlText w:val="•"/>
      <w:lvlJc w:val="left"/>
      <w:pPr>
        <w:ind w:left="6444" w:hanging="139"/>
      </w:pPr>
      <w:rPr>
        <w:rFonts w:hint="default"/>
      </w:rPr>
    </w:lvl>
    <w:lvl w:ilvl="8" w:tplc="C9E6F34C">
      <w:numFmt w:val="bullet"/>
      <w:lvlText w:val="•"/>
      <w:lvlJc w:val="left"/>
      <w:pPr>
        <w:ind w:left="7176" w:hanging="139"/>
      </w:pPr>
      <w:rPr>
        <w:rFonts w:hint="default"/>
      </w:rPr>
    </w:lvl>
  </w:abstractNum>
  <w:abstractNum w:abstractNumId="114" w15:restartNumberingAfterBreak="0">
    <w:nsid w:val="534E1B54"/>
    <w:multiLevelType w:val="hybridMultilevel"/>
    <w:tmpl w:val="3D2AE264"/>
    <w:lvl w:ilvl="0" w:tplc="C3AAF768">
      <w:start w:val="1"/>
      <w:numFmt w:val="decimal"/>
      <w:lvlText w:val="%1"/>
      <w:lvlJc w:val="left"/>
      <w:pPr>
        <w:ind w:left="1148" w:hanging="139"/>
      </w:pPr>
      <w:rPr>
        <w:rFonts w:ascii="Cambria" w:eastAsia="Cambria" w:hAnsi="Cambria" w:cs="Cambria" w:hint="default"/>
        <w:color w:val="231F20"/>
        <w:w w:val="104"/>
        <w:sz w:val="16"/>
        <w:szCs w:val="16"/>
      </w:rPr>
    </w:lvl>
    <w:lvl w:ilvl="1" w:tplc="F5683B32">
      <w:start w:val="5"/>
      <w:numFmt w:val="decimal"/>
      <w:lvlText w:val="%2"/>
      <w:lvlJc w:val="left"/>
      <w:pPr>
        <w:ind w:left="1327" w:hanging="139"/>
      </w:pPr>
      <w:rPr>
        <w:rFonts w:ascii="Cambria" w:eastAsia="Cambria" w:hAnsi="Cambria" w:cs="Cambria" w:hint="default"/>
        <w:color w:val="231F20"/>
        <w:w w:val="104"/>
        <w:sz w:val="16"/>
        <w:szCs w:val="16"/>
      </w:rPr>
    </w:lvl>
    <w:lvl w:ilvl="2" w:tplc="77BCF650">
      <w:numFmt w:val="bullet"/>
      <w:lvlText w:val="•"/>
      <w:lvlJc w:val="left"/>
      <w:pPr>
        <w:ind w:left="2133" w:hanging="139"/>
      </w:pPr>
      <w:rPr>
        <w:rFonts w:hint="default"/>
      </w:rPr>
    </w:lvl>
    <w:lvl w:ilvl="3" w:tplc="E97AA5B8">
      <w:numFmt w:val="bullet"/>
      <w:lvlText w:val="•"/>
      <w:lvlJc w:val="left"/>
      <w:pPr>
        <w:ind w:left="2946" w:hanging="139"/>
      </w:pPr>
      <w:rPr>
        <w:rFonts w:hint="default"/>
      </w:rPr>
    </w:lvl>
    <w:lvl w:ilvl="4" w:tplc="F5DA4B0E">
      <w:numFmt w:val="bullet"/>
      <w:lvlText w:val="•"/>
      <w:lvlJc w:val="left"/>
      <w:pPr>
        <w:ind w:left="3760" w:hanging="139"/>
      </w:pPr>
      <w:rPr>
        <w:rFonts w:hint="default"/>
      </w:rPr>
    </w:lvl>
    <w:lvl w:ilvl="5" w:tplc="E096717C">
      <w:numFmt w:val="bullet"/>
      <w:lvlText w:val="•"/>
      <w:lvlJc w:val="left"/>
      <w:pPr>
        <w:ind w:left="4573" w:hanging="139"/>
      </w:pPr>
      <w:rPr>
        <w:rFonts w:hint="default"/>
      </w:rPr>
    </w:lvl>
    <w:lvl w:ilvl="6" w:tplc="1A2C6352">
      <w:numFmt w:val="bullet"/>
      <w:lvlText w:val="•"/>
      <w:lvlJc w:val="left"/>
      <w:pPr>
        <w:ind w:left="5386" w:hanging="139"/>
      </w:pPr>
      <w:rPr>
        <w:rFonts w:hint="default"/>
      </w:rPr>
    </w:lvl>
    <w:lvl w:ilvl="7" w:tplc="982A194A">
      <w:numFmt w:val="bullet"/>
      <w:lvlText w:val="•"/>
      <w:lvlJc w:val="left"/>
      <w:pPr>
        <w:ind w:left="6200" w:hanging="139"/>
      </w:pPr>
      <w:rPr>
        <w:rFonts w:hint="default"/>
      </w:rPr>
    </w:lvl>
    <w:lvl w:ilvl="8" w:tplc="709EECA6">
      <w:numFmt w:val="bullet"/>
      <w:lvlText w:val="•"/>
      <w:lvlJc w:val="left"/>
      <w:pPr>
        <w:ind w:left="7013" w:hanging="139"/>
      </w:pPr>
      <w:rPr>
        <w:rFonts w:hint="default"/>
      </w:rPr>
    </w:lvl>
  </w:abstractNum>
  <w:abstractNum w:abstractNumId="115" w15:restartNumberingAfterBreak="0">
    <w:nsid w:val="549E705D"/>
    <w:multiLevelType w:val="hybridMultilevel"/>
    <w:tmpl w:val="EC26F248"/>
    <w:lvl w:ilvl="0" w:tplc="4106042E">
      <w:start w:val="1"/>
      <w:numFmt w:val="decimal"/>
      <w:lvlText w:val="%1"/>
      <w:lvlJc w:val="left"/>
      <w:pPr>
        <w:ind w:left="1147" w:hanging="139"/>
        <w:jc w:val="right"/>
      </w:pPr>
      <w:rPr>
        <w:rFonts w:ascii="Cambria" w:eastAsia="Cambria" w:hAnsi="Cambria" w:cs="Cambria" w:hint="default"/>
        <w:color w:val="231F20"/>
        <w:w w:val="104"/>
        <w:sz w:val="16"/>
        <w:szCs w:val="16"/>
      </w:rPr>
    </w:lvl>
    <w:lvl w:ilvl="1" w:tplc="90AC95C2">
      <w:numFmt w:val="bullet"/>
      <w:lvlText w:val="•"/>
      <w:lvlJc w:val="left"/>
      <w:pPr>
        <w:ind w:left="1890" w:hanging="139"/>
      </w:pPr>
      <w:rPr>
        <w:rFonts w:hint="default"/>
      </w:rPr>
    </w:lvl>
    <w:lvl w:ilvl="2" w:tplc="CDAE113C">
      <w:numFmt w:val="bullet"/>
      <w:lvlText w:val="•"/>
      <w:lvlJc w:val="left"/>
      <w:pPr>
        <w:ind w:left="2640" w:hanging="139"/>
      </w:pPr>
      <w:rPr>
        <w:rFonts w:hint="default"/>
      </w:rPr>
    </w:lvl>
    <w:lvl w:ilvl="3" w:tplc="6D220A96">
      <w:numFmt w:val="bullet"/>
      <w:lvlText w:val="•"/>
      <w:lvlJc w:val="left"/>
      <w:pPr>
        <w:ind w:left="3390" w:hanging="139"/>
      </w:pPr>
      <w:rPr>
        <w:rFonts w:hint="default"/>
      </w:rPr>
    </w:lvl>
    <w:lvl w:ilvl="4" w:tplc="5F2A235C">
      <w:numFmt w:val="bullet"/>
      <w:lvlText w:val="•"/>
      <w:lvlJc w:val="left"/>
      <w:pPr>
        <w:ind w:left="4140" w:hanging="139"/>
      </w:pPr>
      <w:rPr>
        <w:rFonts w:hint="default"/>
      </w:rPr>
    </w:lvl>
    <w:lvl w:ilvl="5" w:tplc="F30C9FE8">
      <w:numFmt w:val="bullet"/>
      <w:lvlText w:val="•"/>
      <w:lvlJc w:val="left"/>
      <w:pPr>
        <w:ind w:left="4890" w:hanging="139"/>
      </w:pPr>
      <w:rPr>
        <w:rFonts w:hint="default"/>
      </w:rPr>
    </w:lvl>
    <w:lvl w:ilvl="6" w:tplc="1442A2C2">
      <w:numFmt w:val="bullet"/>
      <w:lvlText w:val="•"/>
      <w:lvlJc w:val="left"/>
      <w:pPr>
        <w:ind w:left="5640" w:hanging="139"/>
      </w:pPr>
      <w:rPr>
        <w:rFonts w:hint="default"/>
      </w:rPr>
    </w:lvl>
    <w:lvl w:ilvl="7" w:tplc="95A4319C">
      <w:numFmt w:val="bullet"/>
      <w:lvlText w:val="•"/>
      <w:lvlJc w:val="left"/>
      <w:pPr>
        <w:ind w:left="6390" w:hanging="139"/>
      </w:pPr>
      <w:rPr>
        <w:rFonts w:hint="default"/>
      </w:rPr>
    </w:lvl>
    <w:lvl w:ilvl="8" w:tplc="A1C69AFE">
      <w:numFmt w:val="bullet"/>
      <w:lvlText w:val="•"/>
      <w:lvlJc w:val="left"/>
      <w:pPr>
        <w:ind w:left="7140" w:hanging="139"/>
      </w:pPr>
      <w:rPr>
        <w:rFonts w:hint="default"/>
      </w:rPr>
    </w:lvl>
  </w:abstractNum>
  <w:abstractNum w:abstractNumId="116" w15:restartNumberingAfterBreak="0">
    <w:nsid w:val="55155BBB"/>
    <w:multiLevelType w:val="hybridMultilevel"/>
    <w:tmpl w:val="CA06C7FA"/>
    <w:lvl w:ilvl="0" w:tplc="404E803E">
      <w:start w:val="6"/>
      <w:numFmt w:val="decimal"/>
      <w:lvlText w:val="%1"/>
      <w:lvlJc w:val="left"/>
      <w:pPr>
        <w:ind w:left="1466" w:hanging="139"/>
      </w:pPr>
      <w:rPr>
        <w:rFonts w:ascii="Cambria" w:eastAsia="Cambria" w:hAnsi="Cambria" w:cs="Cambria" w:hint="default"/>
        <w:color w:val="231F20"/>
        <w:w w:val="104"/>
        <w:sz w:val="16"/>
        <w:szCs w:val="16"/>
      </w:rPr>
    </w:lvl>
    <w:lvl w:ilvl="1" w:tplc="69CC47CA">
      <w:numFmt w:val="bullet"/>
      <w:lvlText w:val="•"/>
      <w:lvlJc w:val="left"/>
      <w:pPr>
        <w:ind w:left="2178" w:hanging="139"/>
      </w:pPr>
      <w:rPr>
        <w:rFonts w:hint="default"/>
      </w:rPr>
    </w:lvl>
    <w:lvl w:ilvl="2" w:tplc="9AF67A48">
      <w:numFmt w:val="bullet"/>
      <w:lvlText w:val="•"/>
      <w:lvlJc w:val="left"/>
      <w:pPr>
        <w:ind w:left="2896" w:hanging="139"/>
      </w:pPr>
      <w:rPr>
        <w:rFonts w:hint="default"/>
      </w:rPr>
    </w:lvl>
    <w:lvl w:ilvl="3" w:tplc="BF662180">
      <w:numFmt w:val="bullet"/>
      <w:lvlText w:val="•"/>
      <w:lvlJc w:val="left"/>
      <w:pPr>
        <w:ind w:left="3614" w:hanging="139"/>
      </w:pPr>
      <w:rPr>
        <w:rFonts w:hint="default"/>
      </w:rPr>
    </w:lvl>
    <w:lvl w:ilvl="4" w:tplc="80EC637C">
      <w:numFmt w:val="bullet"/>
      <w:lvlText w:val="•"/>
      <w:lvlJc w:val="left"/>
      <w:pPr>
        <w:ind w:left="4332" w:hanging="139"/>
      </w:pPr>
      <w:rPr>
        <w:rFonts w:hint="default"/>
      </w:rPr>
    </w:lvl>
    <w:lvl w:ilvl="5" w:tplc="E332A5CA">
      <w:numFmt w:val="bullet"/>
      <w:lvlText w:val="•"/>
      <w:lvlJc w:val="left"/>
      <w:pPr>
        <w:ind w:left="5050" w:hanging="139"/>
      </w:pPr>
      <w:rPr>
        <w:rFonts w:hint="default"/>
      </w:rPr>
    </w:lvl>
    <w:lvl w:ilvl="6" w:tplc="A7A88102">
      <w:numFmt w:val="bullet"/>
      <w:lvlText w:val="•"/>
      <w:lvlJc w:val="left"/>
      <w:pPr>
        <w:ind w:left="5768" w:hanging="139"/>
      </w:pPr>
      <w:rPr>
        <w:rFonts w:hint="default"/>
      </w:rPr>
    </w:lvl>
    <w:lvl w:ilvl="7" w:tplc="A04633A6">
      <w:numFmt w:val="bullet"/>
      <w:lvlText w:val="•"/>
      <w:lvlJc w:val="left"/>
      <w:pPr>
        <w:ind w:left="6486" w:hanging="139"/>
      </w:pPr>
      <w:rPr>
        <w:rFonts w:hint="default"/>
      </w:rPr>
    </w:lvl>
    <w:lvl w:ilvl="8" w:tplc="E772C86A">
      <w:numFmt w:val="bullet"/>
      <w:lvlText w:val="•"/>
      <w:lvlJc w:val="left"/>
      <w:pPr>
        <w:ind w:left="7204" w:hanging="139"/>
      </w:pPr>
      <w:rPr>
        <w:rFonts w:hint="default"/>
      </w:rPr>
    </w:lvl>
  </w:abstractNum>
  <w:abstractNum w:abstractNumId="117" w15:restartNumberingAfterBreak="0">
    <w:nsid w:val="55E036EC"/>
    <w:multiLevelType w:val="hybridMultilevel"/>
    <w:tmpl w:val="5EC62EFC"/>
    <w:lvl w:ilvl="0" w:tplc="C6205308">
      <w:start w:val="8"/>
      <w:numFmt w:val="decimal"/>
      <w:lvlText w:val="%1"/>
      <w:lvlJc w:val="left"/>
      <w:pPr>
        <w:ind w:left="1466" w:hanging="139"/>
      </w:pPr>
      <w:rPr>
        <w:rFonts w:ascii="Cambria" w:eastAsia="Cambria" w:hAnsi="Cambria" w:cs="Cambria" w:hint="default"/>
        <w:color w:val="231F20"/>
        <w:w w:val="104"/>
        <w:sz w:val="16"/>
        <w:szCs w:val="16"/>
      </w:rPr>
    </w:lvl>
    <w:lvl w:ilvl="1" w:tplc="F4EA3540">
      <w:numFmt w:val="bullet"/>
      <w:lvlText w:val="•"/>
      <w:lvlJc w:val="left"/>
      <w:pPr>
        <w:ind w:left="2178" w:hanging="139"/>
      </w:pPr>
      <w:rPr>
        <w:rFonts w:hint="default"/>
      </w:rPr>
    </w:lvl>
    <w:lvl w:ilvl="2" w:tplc="2A50B1A8">
      <w:numFmt w:val="bullet"/>
      <w:lvlText w:val="•"/>
      <w:lvlJc w:val="left"/>
      <w:pPr>
        <w:ind w:left="2896" w:hanging="139"/>
      </w:pPr>
      <w:rPr>
        <w:rFonts w:hint="default"/>
      </w:rPr>
    </w:lvl>
    <w:lvl w:ilvl="3" w:tplc="F64EA670">
      <w:numFmt w:val="bullet"/>
      <w:lvlText w:val="•"/>
      <w:lvlJc w:val="left"/>
      <w:pPr>
        <w:ind w:left="3614" w:hanging="139"/>
      </w:pPr>
      <w:rPr>
        <w:rFonts w:hint="default"/>
      </w:rPr>
    </w:lvl>
    <w:lvl w:ilvl="4" w:tplc="AE16FE30">
      <w:numFmt w:val="bullet"/>
      <w:lvlText w:val="•"/>
      <w:lvlJc w:val="left"/>
      <w:pPr>
        <w:ind w:left="4332" w:hanging="139"/>
      </w:pPr>
      <w:rPr>
        <w:rFonts w:hint="default"/>
      </w:rPr>
    </w:lvl>
    <w:lvl w:ilvl="5" w:tplc="463A88CE">
      <w:numFmt w:val="bullet"/>
      <w:lvlText w:val="•"/>
      <w:lvlJc w:val="left"/>
      <w:pPr>
        <w:ind w:left="5050" w:hanging="139"/>
      </w:pPr>
      <w:rPr>
        <w:rFonts w:hint="default"/>
      </w:rPr>
    </w:lvl>
    <w:lvl w:ilvl="6" w:tplc="BE14784E">
      <w:numFmt w:val="bullet"/>
      <w:lvlText w:val="•"/>
      <w:lvlJc w:val="left"/>
      <w:pPr>
        <w:ind w:left="5768" w:hanging="139"/>
      </w:pPr>
      <w:rPr>
        <w:rFonts w:hint="default"/>
      </w:rPr>
    </w:lvl>
    <w:lvl w:ilvl="7" w:tplc="DFB6D84A">
      <w:numFmt w:val="bullet"/>
      <w:lvlText w:val="•"/>
      <w:lvlJc w:val="left"/>
      <w:pPr>
        <w:ind w:left="6486" w:hanging="139"/>
      </w:pPr>
      <w:rPr>
        <w:rFonts w:hint="default"/>
      </w:rPr>
    </w:lvl>
    <w:lvl w:ilvl="8" w:tplc="2DD0DBD4">
      <w:numFmt w:val="bullet"/>
      <w:lvlText w:val="•"/>
      <w:lvlJc w:val="left"/>
      <w:pPr>
        <w:ind w:left="7204" w:hanging="139"/>
      </w:pPr>
      <w:rPr>
        <w:rFonts w:hint="default"/>
      </w:rPr>
    </w:lvl>
  </w:abstractNum>
  <w:abstractNum w:abstractNumId="118" w15:restartNumberingAfterBreak="0">
    <w:nsid w:val="55E62345"/>
    <w:multiLevelType w:val="hybridMultilevel"/>
    <w:tmpl w:val="6958B148"/>
    <w:lvl w:ilvl="0" w:tplc="91142EA0">
      <w:start w:val="2"/>
      <w:numFmt w:val="decimal"/>
      <w:lvlText w:val="%1"/>
      <w:lvlJc w:val="left"/>
      <w:pPr>
        <w:ind w:left="1328" w:hanging="139"/>
      </w:pPr>
      <w:rPr>
        <w:rFonts w:ascii="Cambria" w:eastAsia="Cambria" w:hAnsi="Cambria" w:cs="Cambria" w:hint="default"/>
        <w:color w:val="231F20"/>
        <w:w w:val="104"/>
        <w:sz w:val="16"/>
        <w:szCs w:val="16"/>
      </w:rPr>
    </w:lvl>
    <w:lvl w:ilvl="1" w:tplc="2BCE08E4">
      <w:numFmt w:val="bullet"/>
      <w:lvlText w:val="•"/>
      <w:lvlJc w:val="left"/>
      <w:pPr>
        <w:ind w:left="1823" w:hanging="240"/>
      </w:pPr>
      <w:rPr>
        <w:rFonts w:ascii="Cambria" w:eastAsia="Cambria" w:hAnsi="Cambria" w:cs="Cambria" w:hint="default"/>
        <w:color w:val="231F20"/>
        <w:w w:val="112"/>
        <w:sz w:val="20"/>
        <w:szCs w:val="20"/>
      </w:rPr>
    </w:lvl>
    <w:lvl w:ilvl="2" w:tplc="518E466A">
      <w:numFmt w:val="bullet"/>
      <w:lvlText w:val="•"/>
      <w:lvlJc w:val="left"/>
      <w:pPr>
        <w:ind w:left="2577" w:hanging="240"/>
      </w:pPr>
      <w:rPr>
        <w:rFonts w:hint="default"/>
      </w:rPr>
    </w:lvl>
    <w:lvl w:ilvl="3" w:tplc="CD9C6484">
      <w:numFmt w:val="bullet"/>
      <w:lvlText w:val="•"/>
      <w:lvlJc w:val="left"/>
      <w:pPr>
        <w:ind w:left="3335" w:hanging="240"/>
      </w:pPr>
      <w:rPr>
        <w:rFonts w:hint="default"/>
      </w:rPr>
    </w:lvl>
    <w:lvl w:ilvl="4" w:tplc="7758D324">
      <w:numFmt w:val="bullet"/>
      <w:lvlText w:val="•"/>
      <w:lvlJc w:val="left"/>
      <w:pPr>
        <w:ind w:left="4093" w:hanging="240"/>
      </w:pPr>
      <w:rPr>
        <w:rFonts w:hint="default"/>
      </w:rPr>
    </w:lvl>
    <w:lvl w:ilvl="5" w:tplc="C3809F4E">
      <w:numFmt w:val="bullet"/>
      <w:lvlText w:val="•"/>
      <w:lvlJc w:val="left"/>
      <w:pPr>
        <w:ind w:left="4851" w:hanging="240"/>
      </w:pPr>
      <w:rPr>
        <w:rFonts w:hint="default"/>
      </w:rPr>
    </w:lvl>
    <w:lvl w:ilvl="6" w:tplc="FD64A734">
      <w:numFmt w:val="bullet"/>
      <w:lvlText w:val="•"/>
      <w:lvlJc w:val="left"/>
      <w:pPr>
        <w:ind w:left="5608" w:hanging="240"/>
      </w:pPr>
      <w:rPr>
        <w:rFonts w:hint="default"/>
      </w:rPr>
    </w:lvl>
    <w:lvl w:ilvl="7" w:tplc="E932C8D0">
      <w:numFmt w:val="bullet"/>
      <w:lvlText w:val="•"/>
      <w:lvlJc w:val="left"/>
      <w:pPr>
        <w:ind w:left="6366" w:hanging="240"/>
      </w:pPr>
      <w:rPr>
        <w:rFonts w:hint="default"/>
      </w:rPr>
    </w:lvl>
    <w:lvl w:ilvl="8" w:tplc="625CE4DA">
      <w:numFmt w:val="bullet"/>
      <w:lvlText w:val="•"/>
      <w:lvlJc w:val="left"/>
      <w:pPr>
        <w:ind w:left="7124" w:hanging="240"/>
      </w:pPr>
      <w:rPr>
        <w:rFonts w:hint="default"/>
      </w:rPr>
    </w:lvl>
  </w:abstractNum>
  <w:abstractNum w:abstractNumId="119" w15:restartNumberingAfterBreak="0">
    <w:nsid w:val="567210DF"/>
    <w:multiLevelType w:val="hybridMultilevel"/>
    <w:tmpl w:val="EEDAC43A"/>
    <w:lvl w:ilvl="0" w:tplc="895C211E">
      <w:start w:val="2"/>
      <w:numFmt w:val="decimal"/>
      <w:lvlText w:val="%1"/>
      <w:lvlJc w:val="left"/>
      <w:pPr>
        <w:ind w:left="1147" w:hanging="139"/>
      </w:pPr>
      <w:rPr>
        <w:rFonts w:ascii="Cambria" w:eastAsia="Cambria" w:hAnsi="Cambria" w:cs="Cambria" w:hint="default"/>
        <w:color w:val="231F20"/>
        <w:w w:val="104"/>
        <w:sz w:val="16"/>
        <w:szCs w:val="16"/>
      </w:rPr>
    </w:lvl>
    <w:lvl w:ilvl="1" w:tplc="DF682C78">
      <w:numFmt w:val="bullet"/>
      <w:lvlText w:val="•"/>
      <w:lvlJc w:val="left"/>
      <w:pPr>
        <w:ind w:left="1890" w:hanging="139"/>
      </w:pPr>
      <w:rPr>
        <w:rFonts w:hint="default"/>
      </w:rPr>
    </w:lvl>
    <w:lvl w:ilvl="2" w:tplc="42A042B4">
      <w:numFmt w:val="bullet"/>
      <w:lvlText w:val="•"/>
      <w:lvlJc w:val="left"/>
      <w:pPr>
        <w:ind w:left="2640" w:hanging="139"/>
      </w:pPr>
      <w:rPr>
        <w:rFonts w:hint="default"/>
      </w:rPr>
    </w:lvl>
    <w:lvl w:ilvl="3" w:tplc="7F788F06">
      <w:numFmt w:val="bullet"/>
      <w:lvlText w:val="•"/>
      <w:lvlJc w:val="left"/>
      <w:pPr>
        <w:ind w:left="3390" w:hanging="139"/>
      </w:pPr>
      <w:rPr>
        <w:rFonts w:hint="default"/>
      </w:rPr>
    </w:lvl>
    <w:lvl w:ilvl="4" w:tplc="803873E8">
      <w:numFmt w:val="bullet"/>
      <w:lvlText w:val="•"/>
      <w:lvlJc w:val="left"/>
      <w:pPr>
        <w:ind w:left="4140" w:hanging="139"/>
      </w:pPr>
      <w:rPr>
        <w:rFonts w:hint="default"/>
      </w:rPr>
    </w:lvl>
    <w:lvl w:ilvl="5" w:tplc="16B20302">
      <w:numFmt w:val="bullet"/>
      <w:lvlText w:val="•"/>
      <w:lvlJc w:val="left"/>
      <w:pPr>
        <w:ind w:left="4890" w:hanging="139"/>
      </w:pPr>
      <w:rPr>
        <w:rFonts w:hint="default"/>
      </w:rPr>
    </w:lvl>
    <w:lvl w:ilvl="6" w:tplc="AAFC0D4E">
      <w:numFmt w:val="bullet"/>
      <w:lvlText w:val="•"/>
      <w:lvlJc w:val="left"/>
      <w:pPr>
        <w:ind w:left="5640" w:hanging="139"/>
      </w:pPr>
      <w:rPr>
        <w:rFonts w:hint="default"/>
      </w:rPr>
    </w:lvl>
    <w:lvl w:ilvl="7" w:tplc="C50AAD0C">
      <w:numFmt w:val="bullet"/>
      <w:lvlText w:val="•"/>
      <w:lvlJc w:val="left"/>
      <w:pPr>
        <w:ind w:left="6390" w:hanging="139"/>
      </w:pPr>
      <w:rPr>
        <w:rFonts w:hint="default"/>
      </w:rPr>
    </w:lvl>
    <w:lvl w:ilvl="8" w:tplc="12C2F7B8">
      <w:numFmt w:val="bullet"/>
      <w:lvlText w:val="•"/>
      <w:lvlJc w:val="left"/>
      <w:pPr>
        <w:ind w:left="7140" w:hanging="139"/>
      </w:pPr>
      <w:rPr>
        <w:rFonts w:hint="default"/>
      </w:rPr>
    </w:lvl>
  </w:abstractNum>
  <w:abstractNum w:abstractNumId="120" w15:restartNumberingAfterBreak="0">
    <w:nsid w:val="56914757"/>
    <w:multiLevelType w:val="hybridMultilevel"/>
    <w:tmpl w:val="2F6A80BE"/>
    <w:lvl w:ilvl="0" w:tplc="8108A3EE">
      <w:start w:val="1"/>
      <w:numFmt w:val="decimal"/>
      <w:lvlText w:val="%1"/>
      <w:lvlJc w:val="left"/>
      <w:pPr>
        <w:ind w:left="1147" w:hanging="139"/>
      </w:pPr>
      <w:rPr>
        <w:rFonts w:ascii="Cambria" w:eastAsia="Cambria" w:hAnsi="Cambria" w:cs="Cambria" w:hint="default"/>
        <w:color w:val="231F20"/>
        <w:w w:val="104"/>
        <w:sz w:val="16"/>
        <w:szCs w:val="16"/>
      </w:rPr>
    </w:lvl>
    <w:lvl w:ilvl="1" w:tplc="5DC4841C">
      <w:start w:val="6"/>
      <w:numFmt w:val="decimal"/>
      <w:lvlText w:val="%2"/>
      <w:lvlJc w:val="left"/>
      <w:pPr>
        <w:ind w:left="1327" w:hanging="139"/>
      </w:pPr>
      <w:rPr>
        <w:rFonts w:ascii="Cambria" w:eastAsia="Cambria" w:hAnsi="Cambria" w:cs="Cambria" w:hint="default"/>
        <w:color w:val="231F20"/>
        <w:w w:val="104"/>
        <w:sz w:val="16"/>
        <w:szCs w:val="16"/>
      </w:rPr>
    </w:lvl>
    <w:lvl w:ilvl="2" w:tplc="CCEC052C">
      <w:numFmt w:val="bullet"/>
      <w:lvlText w:val="•"/>
      <w:lvlJc w:val="left"/>
      <w:pPr>
        <w:ind w:left="2133" w:hanging="139"/>
      </w:pPr>
      <w:rPr>
        <w:rFonts w:hint="default"/>
      </w:rPr>
    </w:lvl>
    <w:lvl w:ilvl="3" w:tplc="DDBCFA8A">
      <w:numFmt w:val="bullet"/>
      <w:lvlText w:val="•"/>
      <w:lvlJc w:val="left"/>
      <w:pPr>
        <w:ind w:left="2946" w:hanging="139"/>
      </w:pPr>
      <w:rPr>
        <w:rFonts w:hint="default"/>
      </w:rPr>
    </w:lvl>
    <w:lvl w:ilvl="4" w:tplc="08CA6E18">
      <w:numFmt w:val="bullet"/>
      <w:lvlText w:val="•"/>
      <w:lvlJc w:val="left"/>
      <w:pPr>
        <w:ind w:left="3760" w:hanging="139"/>
      </w:pPr>
      <w:rPr>
        <w:rFonts w:hint="default"/>
      </w:rPr>
    </w:lvl>
    <w:lvl w:ilvl="5" w:tplc="13FC14D8">
      <w:numFmt w:val="bullet"/>
      <w:lvlText w:val="•"/>
      <w:lvlJc w:val="left"/>
      <w:pPr>
        <w:ind w:left="4573" w:hanging="139"/>
      </w:pPr>
      <w:rPr>
        <w:rFonts w:hint="default"/>
      </w:rPr>
    </w:lvl>
    <w:lvl w:ilvl="6" w:tplc="EFD2DE9A">
      <w:numFmt w:val="bullet"/>
      <w:lvlText w:val="•"/>
      <w:lvlJc w:val="left"/>
      <w:pPr>
        <w:ind w:left="5386" w:hanging="139"/>
      </w:pPr>
      <w:rPr>
        <w:rFonts w:hint="default"/>
      </w:rPr>
    </w:lvl>
    <w:lvl w:ilvl="7" w:tplc="42D0B3F8">
      <w:numFmt w:val="bullet"/>
      <w:lvlText w:val="•"/>
      <w:lvlJc w:val="left"/>
      <w:pPr>
        <w:ind w:left="6200" w:hanging="139"/>
      </w:pPr>
      <w:rPr>
        <w:rFonts w:hint="default"/>
      </w:rPr>
    </w:lvl>
    <w:lvl w:ilvl="8" w:tplc="C1E4C2C8">
      <w:numFmt w:val="bullet"/>
      <w:lvlText w:val="•"/>
      <w:lvlJc w:val="left"/>
      <w:pPr>
        <w:ind w:left="7013" w:hanging="139"/>
      </w:pPr>
      <w:rPr>
        <w:rFonts w:hint="default"/>
      </w:rPr>
    </w:lvl>
  </w:abstractNum>
  <w:abstractNum w:abstractNumId="121" w15:restartNumberingAfterBreak="0">
    <w:nsid w:val="56E90360"/>
    <w:multiLevelType w:val="hybridMultilevel"/>
    <w:tmpl w:val="349E232C"/>
    <w:lvl w:ilvl="0" w:tplc="BEEE451E">
      <w:start w:val="1"/>
      <w:numFmt w:val="decimal"/>
      <w:lvlText w:val="%1"/>
      <w:lvlJc w:val="left"/>
      <w:pPr>
        <w:ind w:left="1147" w:hanging="139"/>
        <w:jc w:val="right"/>
      </w:pPr>
      <w:rPr>
        <w:rFonts w:ascii="Cambria" w:eastAsia="Cambria" w:hAnsi="Cambria" w:cs="Cambria" w:hint="default"/>
        <w:color w:val="231F20"/>
        <w:w w:val="104"/>
        <w:sz w:val="16"/>
        <w:szCs w:val="16"/>
      </w:rPr>
    </w:lvl>
    <w:lvl w:ilvl="1" w:tplc="F35EFC6A">
      <w:numFmt w:val="bullet"/>
      <w:lvlText w:val="•"/>
      <w:lvlJc w:val="left"/>
      <w:pPr>
        <w:ind w:left="1890" w:hanging="139"/>
      </w:pPr>
      <w:rPr>
        <w:rFonts w:hint="default"/>
      </w:rPr>
    </w:lvl>
    <w:lvl w:ilvl="2" w:tplc="1902C784">
      <w:numFmt w:val="bullet"/>
      <w:lvlText w:val="•"/>
      <w:lvlJc w:val="left"/>
      <w:pPr>
        <w:ind w:left="2640" w:hanging="139"/>
      </w:pPr>
      <w:rPr>
        <w:rFonts w:hint="default"/>
      </w:rPr>
    </w:lvl>
    <w:lvl w:ilvl="3" w:tplc="CA665286">
      <w:numFmt w:val="bullet"/>
      <w:lvlText w:val="•"/>
      <w:lvlJc w:val="left"/>
      <w:pPr>
        <w:ind w:left="3390" w:hanging="139"/>
      </w:pPr>
      <w:rPr>
        <w:rFonts w:hint="default"/>
      </w:rPr>
    </w:lvl>
    <w:lvl w:ilvl="4" w:tplc="30548F16">
      <w:numFmt w:val="bullet"/>
      <w:lvlText w:val="•"/>
      <w:lvlJc w:val="left"/>
      <w:pPr>
        <w:ind w:left="4140" w:hanging="139"/>
      </w:pPr>
      <w:rPr>
        <w:rFonts w:hint="default"/>
      </w:rPr>
    </w:lvl>
    <w:lvl w:ilvl="5" w:tplc="E9F028CE">
      <w:numFmt w:val="bullet"/>
      <w:lvlText w:val="•"/>
      <w:lvlJc w:val="left"/>
      <w:pPr>
        <w:ind w:left="4890" w:hanging="139"/>
      </w:pPr>
      <w:rPr>
        <w:rFonts w:hint="default"/>
      </w:rPr>
    </w:lvl>
    <w:lvl w:ilvl="6" w:tplc="EDEADC56">
      <w:numFmt w:val="bullet"/>
      <w:lvlText w:val="•"/>
      <w:lvlJc w:val="left"/>
      <w:pPr>
        <w:ind w:left="5640" w:hanging="139"/>
      </w:pPr>
      <w:rPr>
        <w:rFonts w:hint="default"/>
      </w:rPr>
    </w:lvl>
    <w:lvl w:ilvl="7" w:tplc="489CF274">
      <w:numFmt w:val="bullet"/>
      <w:lvlText w:val="•"/>
      <w:lvlJc w:val="left"/>
      <w:pPr>
        <w:ind w:left="6390" w:hanging="139"/>
      </w:pPr>
      <w:rPr>
        <w:rFonts w:hint="default"/>
      </w:rPr>
    </w:lvl>
    <w:lvl w:ilvl="8" w:tplc="D8FE1A9C">
      <w:numFmt w:val="bullet"/>
      <w:lvlText w:val="•"/>
      <w:lvlJc w:val="left"/>
      <w:pPr>
        <w:ind w:left="7140" w:hanging="139"/>
      </w:pPr>
      <w:rPr>
        <w:rFonts w:hint="default"/>
      </w:rPr>
    </w:lvl>
  </w:abstractNum>
  <w:abstractNum w:abstractNumId="122" w15:restartNumberingAfterBreak="0">
    <w:nsid w:val="57773D15"/>
    <w:multiLevelType w:val="hybridMultilevel"/>
    <w:tmpl w:val="3EB87408"/>
    <w:lvl w:ilvl="0" w:tplc="C886770C">
      <w:start w:val="1"/>
      <w:numFmt w:val="decimal"/>
      <w:lvlText w:val="%1"/>
      <w:lvlJc w:val="left"/>
      <w:pPr>
        <w:ind w:left="1147" w:hanging="139"/>
      </w:pPr>
      <w:rPr>
        <w:rFonts w:ascii="Cambria" w:eastAsia="Cambria" w:hAnsi="Cambria" w:cs="Cambria" w:hint="default"/>
        <w:color w:val="231F20"/>
        <w:w w:val="104"/>
        <w:sz w:val="16"/>
        <w:szCs w:val="16"/>
      </w:rPr>
    </w:lvl>
    <w:lvl w:ilvl="1" w:tplc="A754F4B4">
      <w:numFmt w:val="bullet"/>
      <w:lvlText w:val="•"/>
      <w:lvlJc w:val="left"/>
      <w:pPr>
        <w:ind w:left="1890" w:hanging="139"/>
      </w:pPr>
      <w:rPr>
        <w:rFonts w:hint="default"/>
      </w:rPr>
    </w:lvl>
    <w:lvl w:ilvl="2" w:tplc="1D406CCC">
      <w:numFmt w:val="bullet"/>
      <w:lvlText w:val="•"/>
      <w:lvlJc w:val="left"/>
      <w:pPr>
        <w:ind w:left="2640" w:hanging="139"/>
      </w:pPr>
      <w:rPr>
        <w:rFonts w:hint="default"/>
      </w:rPr>
    </w:lvl>
    <w:lvl w:ilvl="3" w:tplc="46463BC8">
      <w:numFmt w:val="bullet"/>
      <w:lvlText w:val="•"/>
      <w:lvlJc w:val="left"/>
      <w:pPr>
        <w:ind w:left="3390" w:hanging="139"/>
      </w:pPr>
      <w:rPr>
        <w:rFonts w:hint="default"/>
      </w:rPr>
    </w:lvl>
    <w:lvl w:ilvl="4" w:tplc="CE2851F6">
      <w:numFmt w:val="bullet"/>
      <w:lvlText w:val="•"/>
      <w:lvlJc w:val="left"/>
      <w:pPr>
        <w:ind w:left="4140" w:hanging="139"/>
      </w:pPr>
      <w:rPr>
        <w:rFonts w:hint="default"/>
      </w:rPr>
    </w:lvl>
    <w:lvl w:ilvl="5" w:tplc="C114B7CA">
      <w:numFmt w:val="bullet"/>
      <w:lvlText w:val="•"/>
      <w:lvlJc w:val="left"/>
      <w:pPr>
        <w:ind w:left="4890" w:hanging="139"/>
      </w:pPr>
      <w:rPr>
        <w:rFonts w:hint="default"/>
      </w:rPr>
    </w:lvl>
    <w:lvl w:ilvl="6" w:tplc="67A456E8">
      <w:numFmt w:val="bullet"/>
      <w:lvlText w:val="•"/>
      <w:lvlJc w:val="left"/>
      <w:pPr>
        <w:ind w:left="5640" w:hanging="139"/>
      </w:pPr>
      <w:rPr>
        <w:rFonts w:hint="default"/>
      </w:rPr>
    </w:lvl>
    <w:lvl w:ilvl="7" w:tplc="5732B59C">
      <w:numFmt w:val="bullet"/>
      <w:lvlText w:val="•"/>
      <w:lvlJc w:val="left"/>
      <w:pPr>
        <w:ind w:left="6390" w:hanging="139"/>
      </w:pPr>
      <w:rPr>
        <w:rFonts w:hint="default"/>
      </w:rPr>
    </w:lvl>
    <w:lvl w:ilvl="8" w:tplc="D348F77A">
      <w:numFmt w:val="bullet"/>
      <w:lvlText w:val="•"/>
      <w:lvlJc w:val="left"/>
      <w:pPr>
        <w:ind w:left="7140" w:hanging="139"/>
      </w:pPr>
      <w:rPr>
        <w:rFonts w:hint="default"/>
      </w:rPr>
    </w:lvl>
  </w:abstractNum>
  <w:abstractNum w:abstractNumId="123" w15:restartNumberingAfterBreak="0">
    <w:nsid w:val="57866E49"/>
    <w:multiLevelType w:val="hybridMultilevel"/>
    <w:tmpl w:val="522AA778"/>
    <w:lvl w:ilvl="0" w:tplc="5752373E">
      <w:start w:val="1"/>
      <w:numFmt w:val="decimal"/>
      <w:lvlText w:val="%1"/>
      <w:lvlJc w:val="left"/>
      <w:pPr>
        <w:ind w:left="1148" w:hanging="139"/>
        <w:jc w:val="right"/>
      </w:pPr>
      <w:rPr>
        <w:rFonts w:ascii="Cambria" w:eastAsia="Cambria" w:hAnsi="Cambria" w:cs="Cambria" w:hint="default"/>
        <w:color w:val="231F20"/>
        <w:w w:val="104"/>
        <w:sz w:val="16"/>
        <w:szCs w:val="16"/>
      </w:rPr>
    </w:lvl>
    <w:lvl w:ilvl="1" w:tplc="98963B02">
      <w:numFmt w:val="bullet"/>
      <w:lvlText w:val="•"/>
      <w:lvlJc w:val="left"/>
      <w:pPr>
        <w:ind w:left="1890" w:hanging="139"/>
      </w:pPr>
      <w:rPr>
        <w:rFonts w:hint="default"/>
      </w:rPr>
    </w:lvl>
    <w:lvl w:ilvl="2" w:tplc="3482E8CE">
      <w:numFmt w:val="bullet"/>
      <w:lvlText w:val="•"/>
      <w:lvlJc w:val="left"/>
      <w:pPr>
        <w:ind w:left="2640" w:hanging="139"/>
      </w:pPr>
      <w:rPr>
        <w:rFonts w:hint="default"/>
      </w:rPr>
    </w:lvl>
    <w:lvl w:ilvl="3" w:tplc="CF3CB60A">
      <w:numFmt w:val="bullet"/>
      <w:lvlText w:val="•"/>
      <w:lvlJc w:val="left"/>
      <w:pPr>
        <w:ind w:left="3390" w:hanging="139"/>
      </w:pPr>
      <w:rPr>
        <w:rFonts w:hint="default"/>
      </w:rPr>
    </w:lvl>
    <w:lvl w:ilvl="4" w:tplc="3ED4C3F2">
      <w:numFmt w:val="bullet"/>
      <w:lvlText w:val="•"/>
      <w:lvlJc w:val="left"/>
      <w:pPr>
        <w:ind w:left="4140" w:hanging="139"/>
      </w:pPr>
      <w:rPr>
        <w:rFonts w:hint="default"/>
      </w:rPr>
    </w:lvl>
    <w:lvl w:ilvl="5" w:tplc="8DAC7598">
      <w:numFmt w:val="bullet"/>
      <w:lvlText w:val="•"/>
      <w:lvlJc w:val="left"/>
      <w:pPr>
        <w:ind w:left="4890" w:hanging="139"/>
      </w:pPr>
      <w:rPr>
        <w:rFonts w:hint="default"/>
      </w:rPr>
    </w:lvl>
    <w:lvl w:ilvl="6" w:tplc="C4EAE9F8">
      <w:numFmt w:val="bullet"/>
      <w:lvlText w:val="•"/>
      <w:lvlJc w:val="left"/>
      <w:pPr>
        <w:ind w:left="5640" w:hanging="139"/>
      </w:pPr>
      <w:rPr>
        <w:rFonts w:hint="default"/>
      </w:rPr>
    </w:lvl>
    <w:lvl w:ilvl="7" w:tplc="5D7014D4">
      <w:numFmt w:val="bullet"/>
      <w:lvlText w:val="•"/>
      <w:lvlJc w:val="left"/>
      <w:pPr>
        <w:ind w:left="6390" w:hanging="139"/>
      </w:pPr>
      <w:rPr>
        <w:rFonts w:hint="default"/>
      </w:rPr>
    </w:lvl>
    <w:lvl w:ilvl="8" w:tplc="700A89FA">
      <w:numFmt w:val="bullet"/>
      <w:lvlText w:val="•"/>
      <w:lvlJc w:val="left"/>
      <w:pPr>
        <w:ind w:left="7140" w:hanging="139"/>
      </w:pPr>
      <w:rPr>
        <w:rFonts w:hint="default"/>
      </w:rPr>
    </w:lvl>
  </w:abstractNum>
  <w:abstractNum w:abstractNumId="124" w15:restartNumberingAfterBreak="0">
    <w:nsid w:val="57CC6C6E"/>
    <w:multiLevelType w:val="hybridMultilevel"/>
    <w:tmpl w:val="EA50AEC2"/>
    <w:lvl w:ilvl="0" w:tplc="EE04C920">
      <w:start w:val="1"/>
      <w:numFmt w:val="decimal"/>
      <w:lvlText w:val="%1"/>
      <w:lvlJc w:val="left"/>
      <w:pPr>
        <w:ind w:left="1148" w:hanging="139"/>
        <w:jc w:val="right"/>
      </w:pPr>
      <w:rPr>
        <w:rFonts w:ascii="Cambria" w:eastAsia="Cambria" w:hAnsi="Cambria" w:cs="Cambria" w:hint="default"/>
        <w:color w:val="231F20"/>
        <w:w w:val="104"/>
        <w:sz w:val="16"/>
        <w:szCs w:val="16"/>
      </w:rPr>
    </w:lvl>
    <w:lvl w:ilvl="1" w:tplc="7E167388">
      <w:numFmt w:val="bullet"/>
      <w:lvlText w:val="•"/>
      <w:lvlJc w:val="left"/>
      <w:pPr>
        <w:ind w:left="1890" w:hanging="139"/>
      </w:pPr>
      <w:rPr>
        <w:rFonts w:hint="default"/>
      </w:rPr>
    </w:lvl>
    <w:lvl w:ilvl="2" w:tplc="A1F49EC6">
      <w:numFmt w:val="bullet"/>
      <w:lvlText w:val="•"/>
      <w:lvlJc w:val="left"/>
      <w:pPr>
        <w:ind w:left="2640" w:hanging="139"/>
      </w:pPr>
      <w:rPr>
        <w:rFonts w:hint="default"/>
      </w:rPr>
    </w:lvl>
    <w:lvl w:ilvl="3" w:tplc="8534B6D0">
      <w:numFmt w:val="bullet"/>
      <w:lvlText w:val="•"/>
      <w:lvlJc w:val="left"/>
      <w:pPr>
        <w:ind w:left="3390" w:hanging="139"/>
      </w:pPr>
      <w:rPr>
        <w:rFonts w:hint="default"/>
      </w:rPr>
    </w:lvl>
    <w:lvl w:ilvl="4" w:tplc="E3805064">
      <w:numFmt w:val="bullet"/>
      <w:lvlText w:val="•"/>
      <w:lvlJc w:val="left"/>
      <w:pPr>
        <w:ind w:left="4140" w:hanging="139"/>
      </w:pPr>
      <w:rPr>
        <w:rFonts w:hint="default"/>
      </w:rPr>
    </w:lvl>
    <w:lvl w:ilvl="5" w:tplc="7B4EF980">
      <w:numFmt w:val="bullet"/>
      <w:lvlText w:val="•"/>
      <w:lvlJc w:val="left"/>
      <w:pPr>
        <w:ind w:left="4890" w:hanging="139"/>
      </w:pPr>
      <w:rPr>
        <w:rFonts w:hint="default"/>
      </w:rPr>
    </w:lvl>
    <w:lvl w:ilvl="6" w:tplc="2F369B52">
      <w:numFmt w:val="bullet"/>
      <w:lvlText w:val="•"/>
      <w:lvlJc w:val="left"/>
      <w:pPr>
        <w:ind w:left="5640" w:hanging="139"/>
      </w:pPr>
      <w:rPr>
        <w:rFonts w:hint="default"/>
      </w:rPr>
    </w:lvl>
    <w:lvl w:ilvl="7" w:tplc="48BA5EC0">
      <w:numFmt w:val="bullet"/>
      <w:lvlText w:val="•"/>
      <w:lvlJc w:val="left"/>
      <w:pPr>
        <w:ind w:left="6390" w:hanging="139"/>
      </w:pPr>
      <w:rPr>
        <w:rFonts w:hint="default"/>
      </w:rPr>
    </w:lvl>
    <w:lvl w:ilvl="8" w:tplc="62CE11B6">
      <w:numFmt w:val="bullet"/>
      <w:lvlText w:val="•"/>
      <w:lvlJc w:val="left"/>
      <w:pPr>
        <w:ind w:left="7140" w:hanging="139"/>
      </w:pPr>
      <w:rPr>
        <w:rFonts w:hint="default"/>
      </w:rPr>
    </w:lvl>
  </w:abstractNum>
  <w:abstractNum w:abstractNumId="125" w15:restartNumberingAfterBreak="0">
    <w:nsid w:val="57D2502D"/>
    <w:multiLevelType w:val="hybridMultilevel"/>
    <w:tmpl w:val="20A47FF2"/>
    <w:lvl w:ilvl="0" w:tplc="E38E7648">
      <w:start w:val="6"/>
      <w:numFmt w:val="decimal"/>
      <w:lvlText w:val="%1"/>
      <w:lvlJc w:val="left"/>
      <w:pPr>
        <w:ind w:left="1466" w:hanging="139"/>
      </w:pPr>
      <w:rPr>
        <w:rFonts w:ascii="Cambria" w:eastAsia="Cambria" w:hAnsi="Cambria" w:cs="Cambria" w:hint="default"/>
        <w:color w:val="231F20"/>
        <w:w w:val="104"/>
        <w:sz w:val="16"/>
        <w:szCs w:val="16"/>
      </w:rPr>
    </w:lvl>
    <w:lvl w:ilvl="1" w:tplc="2FA400E6">
      <w:numFmt w:val="bullet"/>
      <w:lvlText w:val="•"/>
      <w:lvlJc w:val="left"/>
      <w:pPr>
        <w:ind w:left="2178" w:hanging="139"/>
      </w:pPr>
      <w:rPr>
        <w:rFonts w:hint="default"/>
      </w:rPr>
    </w:lvl>
    <w:lvl w:ilvl="2" w:tplc="B5B20AC4">
      <w:numFmt w:val="bullet"/>
      <w:lvlText w:val="•"/>
      <w:lvlJc w:val="left"/>
      <w:pPr>
        <w:ind w:left="2896" w:hanging="139"/>
      </w:pPr>
      <w:rPr>
        <w:rFonts w:hint="default"/>
      </w:rPr>
    </w:lvl>
    <w:lvl w:ilvl="3" w:tplc="83C21C38">
      <w:numFmt w:val="bullet"/>
      <w:lvlText w:val="•"/>
      <w:lvlJc w:val="left"/>
      <w:pPr>
        <w:ind w:left="3614" w:hanging="139"/>
      </w:pPr>
      <w:rPr>
        <w:rFonts w:hint="default"/>
      </w:rPr>
    </w:lvl>
    <w:lvl w:ilvl="4" w:tplc="15BC0F2E">
      <w:numFmt w:val="bullet"/>
      <w:lvlText w:val="•"/>
      <w:lvlJc w:val="left"/>
      <w:pPr>
        <w:ind w:left="4332" w:hanging="139"/>
      </w:pPr>
      <w:rPr>
        <w:rFonts w:hint="default"/>
      </w:rPr>
    </w:lvl>
    <w:lvl w:ilvl="5" w:tplc="A8601150">
      <w:numFmt w:val="bullet"/>
      <w:lvlText w:val="•"/>
      <w:lvlJc w:val="left"/>
      <w:pPr>
        <w:ind w:left="5050" w:hanging="139"/>
      </w:pPr>
      <w:rPr>
        <w:rFonts w:hint="default"/>
      </w:rPr>
    </w:lvl>
    <w:lvl w:ilvl="6" w:tplc="8C66D09C">
      <w:numFmt w:val="bullet"/>
      <w:lvlText w:val="•"/>
      <w:lvlJc w:val="left"/>
      <w:pPr>
        <w:ind w:left="5768" w:hanging="139"/>
      </w:pPr>
      <w:rPr>
        <w:rFonts w:hint="default"/>
      </w:rPr>
    </w:lvl>
    <w:lvl w:ilvl="7" w:tplc="7444D7FA">
      <w:numFmt w:val="bullet"/>
      <w:lvlText w:val="•"/>
      <w:lvlJc w:val="left"/>
      <w:pPr>
        <w:ind w:left="6486" w:hanging="139"/>
      </w:pPr>
      <w:rPr>
        <w:rFonts w:hint="default"/>
      </w:rPr>
    </w:lvl>
    <w:lvl w:ilvl="8" w:tplc="1CA2E846">
      <w:numFmt w:val="bullet"/>
      <w:lvlText w:val="•"/>
      <w:lvlJc w:val="left"/>
      <w:pPr>
        <w:ind w:left="7204" w:hanging="139"/>
      </w:pPr>
      <w:rPr>
        <w:rFonts w:hint="default"/>
      </w:rPr>
    </w:lvl>
  </w:abstractNum>
  <w:abstractNum w:abstractNumId="126" w15:restartNumberingAfterBreak="0">
    <w:nsid w:val="58173CED"/>
    <w:multiLevelType w:val="hybridMultilevel"/>
    <w:tmpl w:val="067C1C3C"/>
    <w:lvl w:ilvl="0" w:tplc="AD542632">
      <w:start w:val="2"/>
      <w:numFmt w:val="decimal"/>
      <w:lvlText w:val="%1"/>
      <w:lvlJc w:val="left"/>
      <w:pPr>
        <w:ind w:left="1147" w:hanging="139"/>
        <w:jc w:val="right"/>
      </w:pPr>
      <w:rPr>
        <w:rFonts w:ascii="Cambria" w:eastAsia="Cambria" w:hAnsi="Cambria" w:cs="Cambria" w:hint="default"/>
        <w:color w:val="231F20"/>
        <w:w w:val="104"/>
        <w:sz w:val="16"/>
        <w:szCs w:val="16"/>
      </w:rPr>
    </w:lvl>
    <w:lvl w:ilvl="1" w:tplc="9CC8379E">
      <w:numFmt w:val="bullet"/>
      <w:lvlText w:val="•"/>
      <w:lvlJc w:val="left"/>
      <w:pPr>
        <w:ind w:left="1890" w:hanging="139"/>
      </w:pPr>
      <w:rPr>
        <w:rFonts w:hint="default"/>
      </w:rPr>
    </w:lvl>
    <w:lvl w:ilvl="2" w:tplc="F15AA9EC">
      <w:numFmt w:val="bullet"/>
      <w:lvlText w:val="•"/>
      <w:lvlJc w:val="left"/>
      <w:pPr>
        <w:ind w:left="2640" w:hanging="139"/>
      </w:pPr>
      <w:rPr>
        <w:rFonts w:hint="default"/>
      </w:rPr>
    </w:lvl>
    <w:lvl w:ilvl="3" w:tplc="3DCAB8F4">
      <w:numFmt w:val="bullet"/>
      <w:lvlText w:val="•"/>
      <w:lvlJc w:val="left"/>
      <w:pPr>
        <w:ind w:left="3390" w:hanging="139"/>
      </w:pPr>
      <w:rPr>
        <w:rFonts w:hint="default"/>
      </w:rPr>
    </w:lvl>
    <w:lvl w:ilvl="4" w:tplc="132CDC48">
      <w:numFmt w:val="bullet"/>
      <w:lvlText w:val="•"/>
      <w:lvlJc w:val="left"/>
      <w:pPr>
        <w:ind w:left="4140" w:hanging="139"/>
      </w:pPr>
      <w:rPr>
        <w:rFonts w:hint="default"/>
      </w:rPr>
    </w:lvl>
    <w:lvl w:ilvl="5" w:tplc="36E44AE8">
      <w:numFmt w:val="bullet"/>
      <w:lvlText w:val="•"/>
      <w:lvlJc w:val="left"/>
      <w:pPr>
        <w:ind w:left="4890" w:hanging="139"/>
      </w:pPr>
      <w:rPr>
        <w:rFonts w:hint="default"/>
      </w:rPr>
    </w:lvl>
    <w:lvl w:ilvl="6" w:tplc="26DADFDE">
      <w:numFmt w:val="bullet"/>
      <w:lvlText w:val="•"/>
      <w:lvlJc w:val="left"/>
      <w:pPr>
        <w:ind w:left="5640" w:hanging="139"/>
      </w:pPr>
      <w:rPr>
        <w:rFonts w:hint="default"/>
      </w:rPr>
    </w:lvl>
    <w:lvl w:ilvl="7" w:tplc="C73A8E00">
      <w:numFmt w:val="bullet"/>
      <w:lvlText w:val="•"/>
      <w:lvlJc w:val="left"/>
      <w:pPr>
        <w:ind w:left="6390" w:hanging="139"/>
      </w:pPr>
      <w:rPr>
        <w:rFonts w:hint="default"/>
      </w:rPr>
    </w:lvl>
    <w:lvl w:ilvl="8" w:tplc="13EC8634">
      <w:numFmt w:val="bullet"/>
      <w:lvlText w:val="•"/>
      <w:lvlJc w:val="left"/>
      <w:pPr>
        <w:ind w:left="7140" w:hanging="139"/>
      </w:pPr>
      <w:rPr>
        <w:rFonts w:hint="default"/>
      </w:rPr>
    </w:lvl>
  </w:abstractNum>
  <w:abstractNum w:abstractNumId="127" w15:restartNumberingAfterBreak="0">
    <w:nsid w:val="58370BEE"/>
    <w:multiLevelType w:val="hybridMultilevel"/>
    <w:tmpl w:val="D692434C"/>
    <w:lvl w:ilvl="0" w:tplc="4956E800">
      <w:start w:val="1"/>
      <w:numFmt w:val="decimal"/>
      <w:lvlText w:val="%1"/>
      <w:lvlJc w:val="left"/>
      <w:pPr>
        <w:ind w:left="1327" w:hanging="139"/>
        <w:jc w:val="right"/>
      </w:pPr>
      <w:rPr>
        <w:rFonts w:ascii="Cambria" w:eastAsia="Cambria" w:hAnsi="Cambria" w:cs="Cambria" w:hint="default"/>
        <w:color w:val="231F20"/>
        <w:w w:val="104"/>
        <w:sz w:val="16"/>
        <w:szCs w:val="16"/>
      </w:rPr>
    </w:lvl>
    <w:lvl w:ilvl="1" w:tplc="DF24075C">
      <w:numFmt w:val="bullet"/>
      <w:lvlText w:val="•"/>
      <w:lvlJc w:val="left"/>
      <w:pPr>
        <w:ind w:left="4200" w:hanging="139"/>
      </w:pPr>
      <w:rPr>
        <w:rFonts w:hint="default"/>
      </w:rPr>
    </w:lvl>
    <w:lvl w:ilvl="2" w:tplc="A9EAFF1C">
      <w:numFmt w:val="bullet"/>
      <w:lvlText w:val="•"/>
      <w:lvlJc w:val="left"/>
      <w:pPr>
        <w:ind w:left="4693" w:hanging="139"/>
      </w:pPr>
      <w:rPr>
        <w:rFonts w:hint="default"/>
      </w:rPr>
    </w:lvl>
    <w:lvl w:ilvl="3" w:tplc="7A3EFA4E">
      <w:numFmt w:val="bullet"/>
      <w:lvlText w:val="•"/>
      <w:lvlJc w:val="left"/>
      <w:pPr>
        <w:ind w:left="5186" w:hanging="139"/>
      </w:pPr>
      <w:rPr>
        <w:rFonts w:hint="default"/>
      </w:rPr>
    </w:lvl>
    <w:lvl w:ilvl="4" w:tplc="1332ADC0">
      <w:numFmt w:val="bullet"/>
      <w:lvlText w:val="•"/>
      <w:lvlJc w:val="left"/>
      <w:pPr>
        <w:ind w:left="5680" w:hanging="139"/>
      </w:pPr>
      <w:rPr>
        <w:rFonts w:hint="default"/>
      </w:rPr>
    </w:lvl>
    <w:lvl w:ilvl="5" w:tplc="1C94CCCE">
      <w:numFmt w:val="bullet"/>
      <w:lvlText w:val="•"/>
      <w:lvlJc w:val="left"/>
      <w:pPr>
        <w:ind w:left="6173" w:hanging="139"/>
      </w:pPr>
      <w:rPr>
        <w:rFonts w:hint="default"/>
      </w:rPr>
    </w:lvl>
    <w:lvl w:ilvl="6" w:tplc="7DF49898">
      <w:numFmt w:val="bullet"/>
      <w:lvlText w:val="•"/>
      <w:lvlJc w:val="left"/>
      <w:pPr>
        <w:ind w:left="6666" w:hanging="139"/>
      </w:pPr>
      <w:rPr>
        <w:rFonts w:hint="default"/>
      </w:rPr>
    </w:lvl>
    <w:lvl w:ilvl="7" w:tplc="968AA2E0">
      <w:numFmt w:val="bullet"/>
      <w:lvlText w:val="•"/>
      <w:lvlJc w:val="left"/>
      <w:pPr>
        <w:ind w:left="7160" w:hanging="139"/>
      </w:pPr>
      <w:rPr>
        <w:rFonts w:hint="default"/>
      </w:rPr>
    </w:lvl>
    <w:lvl w:ilvl="8" w:tplc="1464BAE6">
      <w:numFmt w:val="bullet"/>
      <w:lvlText w:val="•"/>
      <w:lvlJc w:val="left"/>
      <w:pPr>
        <w:ind w:left="7653" w:hanging="139"/>
      </w:pPr>
      <w:rPr>
        <w:rFonts w:hint="default"/>
      </w:rPr>
    </w:lvl>
  </w:abstractNum>
  <w:abstractNum w:abstractNumId="128" w15:restartNumberingAfterBreak="0">
    <w:nsid w:val="5A203AFA"/>
    <w:multiLevelType w:val="hybridMultilevel"/>
    <w:tmpl w:val="7AEAE592"/>
    <w:lvl w:ilvl="0" w:tplc="CE44B222">
      <w:start w:val="2"/>
      <w:numFmt w:val="decimal"/>
      <w:lvlText w:val="%1"/>
      <w:lvlJc w:val="left"/>
      <w:pPr>
        <w:ind w:left="1327" w:hanging="139"/>
      </w:pPr>
      <w:rPr>
        <w:rFonts w:ascii="Cambria" w:eastAsia="Cambria" w:hAnsi="Cambria" w:cs="Cambria" w:hint="default"/>
        <w:color w:val="231F20"/>
        <w:w w:val="104"/>
        <w:sz w:val="16"/>
        <w:szCs w:val="16"/>
      </w:rPr>
    </w:lvl>
    <w:lvl w:ilvl="1" w:tplc="422AC4C6">
      <w:numFmt w:val="bullet"/>
      <w:lvlText w:val="•"/>
      <w:lvlJc w:val="left"/>
      <w:pPr>
        <w:ind w:left="2052" w:hanging="139"/>
      </w:pPr>
      <w:rPr>
        <w:rFonts w:hint="default"/>
      </w:rPr>
    </w:lvl>
    <w:lvl w:ilvl="2" w:tplc="54FA6BE6">
      <w:numFmt w:val="bullet"/>
      <w:lvlText w:val="•"/>
      <w:lvlJc w:val="left"/>
      <w:pPr>
        <w:ind w:left="2784" w:hanging="139"/>
      </w:pPr>
      <w:rPr>
        <w:rFonts w:hint="default"/>
      </w:rPr>
    </w:lvl>
    <w:lvl w:ilvl="3" w:tplc="F1ACED72">
      <w:numFmt w:val="bullet"/>
      <w:lvlText w:val="•"/>
      <w:lvlJc w:val="left"/>
      <w:pPr>
        <w:ind w:left="3516" w:hanging="139"/>
      </w:pPr>
      <w:rPr>
        <w:rFonts w:hint="default"/>
      </w:rPr>
    </w:lvl>
    <w:lvl w:ilvl="4" w:tplc="CDC44D78">
      <w:numFmt w:val="bullet"/>
      <w:lvlText w:val="•"/>
      <w:lvlJc w:val="left"/>
      <w:pPr>
        <w:ind w:left="4248" w:hanging="139"/>
      </w:pPr>
      <w:rPr>
        <w:rFonts w:hint="default"/>
      </w:rPr>
    </w:lvl>
    <w:lvl w:ilvl="5" w:tplc="44444A04">
      <w:numFmt w:val="bullet"/>
      <w:lvlText w:val="•"/>
      <w:lvlJc w:val="left"/>
      <w:pPr>
        <w:ind w:left="4980" w:hanging="139"/>
      </w:pPr>
      <w:rPr>
        <w:rFonts w:hint="default"/>
      </w:rPr>
    </w:lvl>
    <w:lvl w:ilvl="6" w:tplc="10EC7926">
      <w:numFmt w:val="bullet"/>
      <w:lvlText w:val="•"/>
      <w:lvlJc w:val="left"/>
      <w:pPr>
        <w:ind w:left="5712" w:hanging="139"/>
      </w:pPr>
      <w:rPr>
        <w:rFonts w:hint="default"/>
      </w:rPr>
    </w:lvl>
    <w:lvl w:ilvl="7" w:tplc="05D65FF2">
      <w:numFmt w:val="bullet"/>
      <w:lvlText w:val="•"/>
      <w:lvlJc w:val="left"/>
      <w:pPr>
        <w:ind w:left="6444" w:hanging="139"/>
      </w:pPr>
      <w:rPr>
        <w:rFonts w:hint="default"/>
      </w:rPr>
    </w:lvl>
    <w:lvl w:ilvl="8" w:tplc="41FA5F42">
      <w:numFmt w:val="bullet"/>
      <w:lvlText w:val="•"/>
      <w:lvlJc w:val="left"/>
      <w:pPr>
        <w:ind w:left="7176" w:hanging="139"/>
      </w:pPr>
      <w:rPr>
        <w:rFonts w:hint="default"/>
      </w:rPr>
    </w:lvl>
  </w:abstractNum>
  <w:abstractNum w:abstractNumId="129" w15:restartNumberingAfterBreak="0">
    <w:nsid w:val="5AA3769B"/>
    <w:multiLevelType w:val="hybridMultilevel"/>
    <w:tmpl w:val="E702CFCE"/>
    <w:lvl w:ilvl="0" w:tplc="B858815C">
      <w:start w:val="1"/>
      <w:numFmt w:val="decimal"/>
      <w:lvlText w:val="%1"/>
      <w:lvlJc w:val="left"/>
      <w:pPr>
        <w:ind w:left="1147" w:hanging="139"/>
        <w:jc w:val="right"/>
      </w:pPr>
      <w:rPr>
        <w:rFonts w:ascii="Cambria" w:eastAsia="Cambria" w:hAnsi="Cambria" w:cs="Cambria" w:hint="default"/>
        <w:color w:val="231F20"/>
        <w:w w:val="104"/>
        <w:sz w:val="16"/>
        <w:szCs w:val="16"/>
      </w:rPr>
    </w:lvl>
    <w:lvl w:ilvl="1" w:tplc="4DF2A7D8">
      <w:numFmt w:val="bullet"/>
      <w:lvlText w:val="•"/>
      <w:lvlJc w:val="left"/>
      <w:pPr>
        <w:ind w:left="1560" w:hanging="139"/>
      </w:pPr>
      <w:rPr>
        <w:rFonts w:hint="default"/>
      </w:rPr>
    </w:lvl>
    <w:lvl w:ilvl="2" w:tplc="99AA80C2">
      <w:numFmt w:val="bullet"/>
      <w:lvlText w:val="•"/>
      <w:lvlJc w:val="left"/>
      <w:pPr>
        <w:ind w:left="2346" w:hanging="139"/>
      </w:pPr>
      <w:rPr>
        <w:rFonts w:hint="default"/>
      </w:rPr>
    </w:lvl>
    <w:lvl w:ilvl="3" w:tplc="F5A2F26A">
      <w:numFmt w:val="bullet"/>
      <w:lvlText w:val="•"/>
      <w:lvlJc w:val="left"/>
      <w:pPr>
        <w:ind w:left="3133" w:hanging="139"/>
      </w:pPr>
      <w:rPr>
        <w:rFonts w:hint="default"/>
      </w:rPr>
    </w:lvl>
    <w:lvl w:ilvl="4" w:tplc="70281388">
      <w:numFmt w:val="bullet"/>
      <w:lvlText w:val="•"/>
      <w:lvlJc w:val="left"/>
      <w:pPr>
        <w:ind w:left="3920" w:hanging="139"/>
      </w:pPr>
      <w:rPr>
        <w:rFonts w:hint="default"/>
      </w:rPr>
    </w:lvl>
    <w:lvl w:ilvl="5" w:tplc="B082E1A0">
      <w:numFmt w:val="bullet"/>
      <w:lvlText w:val="•"/>
      <w:lvlJc w:val="left"/>
      <w:pPr>
        <w:ind w:left="4706" w:hanging="139"/>
      </w:pPr>
      <w:rPr>
        <w:rFonts w:hint="default"/>
      </w:rPr>
    </w:lvl>
    <w:lvl w:ilvl="6" w:tplc="33EAE784">
      <w:numFmt w:val="bullet"/>
      <w:lvlText w:val="•"/>
      <w:lvlJc w:val="left"/>
      <w:pPr>
        <w:ind w:left="5493" w:hanging="139"/>
      </w:pPr>
      <w:rPr>
        <w:rFonts w:hint="default"/>
      </w:rPr>
    </w:lvl>
    <w:lvl w:ilvl="7" w:tplc="3E42DA54">
      <w:numFmt w:val="bullet"/>
      <w:lvlText w:val="•"/>
      <w:lvlJc w:val="left"/>
      <w:pPr>
        <w:ind w:left="6280" w:hanging="139"/>
      </w:pPr>
      <w:rPr>
        <w:rFonts w:hint="default"/>
      </w:rPr>
    </w:lvl>
    <w:lvl w:ilvl="8" w:tplc="5C7202C6">
      <w:numFmt w:val="bullet"/>
      <w:lvlText w:val="•"/>
      <w:lvlJc w:val="left"/>
      <w:pPr>
        <w:ind w:left="7066" w:hanging="139"/>
      </w:pPr>
      <w:rPr>
        <w:rFonts w:hint="default"/>
      </w:rPr>
    </w:lvl>
  </w:abstractNum>
  <w:abstractNum w:abstractNumId="130" w15:restartNumberingAfterBreak="0">
    <w:nsid w:val="5B2A2C56"/>
    <w:multiLevelType w:val="hybridMultilevel"/>
    <w:tmpl w:val="295E674A"/>
    <w:lvl w:ilvl="0" w:tplc="0A4AFC8A">
      <w:start w:val="1"/>
      <w:numFmt w:val="lowerRoman"/>
      <w:lvlText w:val="(%1)"/>
      <w:lvlJc w:val="left"/>
      <w:pPr>
        <w:ind w:left="1867" w:hanging="668"/>
        <w:jc w:val="right"/>
      </w:pPr>
      <w:rPr>
        <w:rFonts w:ascii="Cambria" w:eastAsia="Cambria" w:hAnsi="Cambria" w:cs="Cambria" w:hint="default"/>
        <w:i/>
        <w:color w:val="231F20"/>
        <w:w w:val="93"/>
        <w:sz w:val="19"/>
        <w:szCs w:val="19"/>
      </w:rPr>
    </w:lvl>
    <w:lvl w:ilvl="1" w:tplc="CC149042">
      <w:numFmt w:val="bullet"/>
      <w:lvlText w:val="•"/>
      <w:lvlJc w:val="left"/>
      <w:pPr>
        <w:ind w:left="2538" w:hanging="668"/>
      </w:pPr>
      <w:rPr>
        <w:rFonts w:hint="default"/>
      </w:rPr>
    </w:lvl>
    <w:lvl w:ilvl="2" w:tplc="D54682EE">
      <w:numFmt w:val="bullet"/>
      <w:lvlText w:val="•"/>
      <w:lvlJc w:val="left"/>
      <w:pPr>
        <w:ind w:left="3216" w:hanging="668"/>
      </w:pPr>
      <w:rPr>
        <w:rFonts w:hint="default"/>
      </w:rPr>
    </w:lvl>
    <w:lvl w:ilvl="3" w:tplc="5D8092A6">
      <w:numFmt w:val="bullet"/>
      <w:lvlText w:val="•"/>
      <w:lvlJc w:val="left"/>
      <w:pPr>
        <w:ind w:left="3894" w:hanging="668"/>
      </w:pPr>
      <w:rPr>
        <w:rFonts w:hint="default"/>
      </w:rPr>
    </w:lvl>
    <w:lvl w:ilvl="4" w:tplc="6470A406">
      <w:numFmt w:val="bullet"/>
      <w:lvlText w:val="•"/>
      <w:lvlJc w:val="left"/>
      <w:pPr>
        <w:ind w:left="4572" w:hanging="668"/>
      </w:pPr>
      <w:rPr>
        <w:rFonts w:hint="default"/>
      </w:rPr>
    </w:lvl>
    <w:lvl w:ilvl="5" w:tplc="1EFE7704">
      <w:numFmt w:val="bullet"/>
      <w:lvlText w:val="•"/>
      <w:lvlJc w:val="left"/>
      <w:pPr>
        <w:ind w:left="5250" w:hanging="668"/>
      </w:pPr>
      <w:rPr>
        <w:rFonts w:hint="default"/>
      </w:rPr>
    </w:lvl>
    <w:lvl w:ilvl="6" w:tplc="68D89C6E">
      <w:numFmt w:val="bullet"/>
      <w:lvlText w:val="•"/>
      <w:lvlJc w:val="left"/>
      <w:pPr>
        <w:ind w:left="5928" w:hanging="668"/>
      </w:pPr>
      <w:rPr>
        <w:rFonts w:hint="default"/>
      </w:rPr>
    </w:lvl>
    <w:lvl w:ilvl="7" w:tplc="BF0250F0">
      <w:numFmt w:val="bullet"/>
      <w:lvlText w:val="•"/>
      <w:lvlJc w:val="left"/>
      <w:pPr>
        <w:ind w:left="6606" w:hanging="668"/>
      </w:pPr>
      <w:rPr>
        <w:rFonts w:hint="default"/>
      </w:rPr>
    </w:lvl>
    <w:lvl w:ilvl="8" w:tplc="9988841C">
      <w:numFmt w:val="bullet"/>
      <w:lvlText w:val="•"/>
      <w:lvlJc w:val="left"/>
      <w:pPr>
        <w:ind w:left="7284" w:hanging="668"/>
      </w:pPr>
      <w:rPr>
        <w:rFonts w:hint="default"/>
      </w:rPr>
    </w:lvl>
  </w:abstractNum>
  <w:abstractNum w:abstractNumId="131" w15:restartNumberingAfterBreak="0">
    <w:nsid w:val="5B72738A"/>
    <w:multiLevelType w:val="hybridMultilevel"/>
    <w:tmpl w:val="783E7044"/>
    <w:lvl w:ilvl="0" w:tplc="652009D6">
      <w:start w:val="1"/>
      <w:numFmt w:val="decimal"/>
      <w:lvlText w:val="%1"/>
      <w:lvlJc w:val="left"/>
      <w:pPr>
        <w:ind w:left="1148" w:hanging="139"/>
      </w:pPr>
      <w:rPr>
        <w:rFonts w:ascii="Cambria" w:eastAsia="Cambria" w:hAnsi="Cambria" w:cs="Cambria" w:hint="default"/>
        <w:color w:val="231F20"/>
        <w:w w:val="104"/>
        <w:sz w:val="16"/>
        <w:szCs w:val="16"/>
      </w:rPr>
    </w:lvl>
    <w:lvl w:ilvl="1" w:tplc="C0A4CADE">
      <w:start w:val="5"/>
      <w:numFmt w:val="decimal"/>
      <w:lvlText w:val="%2"/>
      <w:lvlJc w:val="left"/>
      <w:pPr>
        <w:ind w:left="1466" w:hanging="139"/>
      </w:pPr>
      <w:rPr>
        <w:rFonts w:ascii="Cambria" w:eastAsia="Cambria" w:hAnsi="Cambria" w:cs="Cambria" w:hint="default"/>
        <w:color w:val="231F20"/>
        <w:w w:val="104"/>
        <w:sz w:val="16"/>
        <w:szCs w:val="16"/>
      </w:rPr>
    </w:lvl>
    <w:lvl w:ilvl="2" w:tplc="5D0C19DA">
      <w:numFmt w:val="bullet"/>
      <w:lvlText w:val="•"/>
      <w:lvlJc w:val="left"/>
      <w:pPr>
        <w:ind w:left="2257" w:hanging="139"/>
      </w:pPr>
      <w:rPr>
        <w:rFonts w:hint="default"/>
      </w:rPr>
    </w:lvl>
    <w:lvl w:ilvl="3" w:tplc="040EE31E">
      <w:numFmt w:val="bullet"/>
      <w:lvlText w:val="•"/>
      <w:lvlJc w:val="left"/>
      <w:pPr>
        <w:ind w:left="3055" w:hanging="139"/>
      </w:pPr>
      <w:rPr>
        <w:rFonts w:hint="default"/>
      </w:rPr>
    </w:lvl>
    <w:lvl w:ilvl="4" w:tplc="B5749C96">
      <w:numFmt w:val="bullet"/>
      <w:lvlText w:val="•"/>
      <w:lvlJc w:val="left"/>
      <w:pPr>
        <w:ind w:left="3853" w:hanging="139"/>
      </w:pPr>
      <w:rPr>
        <w:rFonts w:hint="default"/>
      </w:rPr>
    </w:lvl>
    <w:lvl w:ilvl="5" w:tplc="B4EC5B46">
      <w:numFmt w:val="bullet"/>
      <w:lvlText w:val="•"/>
      <w:lvlJc w:val="left"/>
      <w:pPr>
        <w:ind w:left="4651" w:hanging="139"/>
      </w:pPr>
      <w:rPr>
        <w:rFonts w:hint="default"/>
      </w:rPr>
    </w:lvl>
    <w:lvl w:ilvl="6" w:tplc="F43A0048">
      <w:numFmt w:val="bullet"/>
      <w:lvlText w:val="•"/>
      <w:lvlJc w:val="left"/>
      <w:pPr>
        <w:ind w:left="5448" w:hanging="139"/>
      </w:pPr>
      <w:rPr>
        <w:rFonts w:hint="default"/>
      </w:rPr>
    </w:lvl>
    <w:lvl w:ilvl="7" w:tplc="03E233C8">
      <w:numFmt w:val="bullet"/>
      <w:lvlText w:val="•"/>
      <w:lvlJc w:val="left"/>
      <w:pPr>
        <w:ind w:left="6246" w:hanging="139"/>
      </w:pPr>
      <w:rPr>
        <w:rFonts w:hint="default"/>
      </w:rPr>
    </w:lvl>
    <w:lvl w:ilvl="8" w:tplc="CD62C7C6">
      <w:numFmt w:val="bullet"/>
      <w:lvlText w:val="•"/>
      <w:lvlJc w:val="left"/>
      <w:pPr>
        <w:ind w:left="7044" w:hanging="139"/>
      </w:pPr>
      <w:rPr>
        <w:rFonts w:hint="default"/>
      </w:rPr>
    </w:lvl>
  </w:abstractNum>
  <w:abstractNum w:abstractNumId="132" w15:restartNumberingAfterBreak="0">
    <w:nsid w:val="5BA800BB"/>
    <w:multiLevelType w:val="hybridMultilevel"/>
    <w:tmpl w:val="7D162BFC"/>
    <w:lvl w:ilvl="0" w:tplc="D5C0ACB6">
      <w:start w:val="1"/>
      <w:numFmt w:val="decimal"/>
      <w:lvlText w:val="%1"/>
      <w:lvlJc w:val="left"/>
      <w:pPr>
        <w:ind w:left="1147" w:hanging="139"/>
      </w:pPr>
      <w:rPr>
        <w:rFonts w:ascii="Cambria" w:eastAsia="Cambria" w:hAnsi="Cambria" w:cs="Cambria" w:hint="default"/>
        <w:color w:val="231F20"/>
        <w:w w:val="104"/>
        <w:sz w:val="16"/>
        <w:szCs w:val="16"/>
      </w:rPr>
    </w:lvl>
    <w:lvl w:ilvl="1" w:tplc="2C8AF82A">
      <w:numFmt w:val="bullet"/>
      <w:lvlText w:val="•"/>
      <w:lvlJc w:val="left"/>
      <w:pPr>
        <w:ind w:left="1890" w:hanging="139"/>
      </w:pPr>
      <w:rPr>
        <w:rFonts w:hint="default"/>
      </w:rPr>
    </w:lvl>
    <w:lvl w:ilvl="2" w:tplc="12DE1A4A">
      <w:numFmt w:val="bullet"/>
      <w:lvlText w:val="•"/>
      <w:lvlJc w:val="left"/>
      <w:pPr>
        <w:ind w:left="2640" w:hanging="139"/>
      </w:pPr>
      <w:rPr>
        <w:rFonts w:hint="default"/>
      </w:rPr>
    </w:lvl>
    <w:lvl w:ilvl="3" w:tplc="09AAFD96">
      <w:numFmt w:val="bullet"/>
      <w:lvlText w:val="•"/>
      <w:lvlJc w:val="left"/>
      <w:pPr>
        <w:ind w:left="3390" w:hanging="139"/>
      </w:pPr>
      <w:rPr>
        <w:rFonts w:hint="default"/>
      </w:rPr>
    </w:lvl>
    <w:lvl w:ilvl="4" w:tplc="E67A7B64">
      <w:numFmt w:val="bullet"/>
      <w:lvlText w:val="•"/>
      <w:lvlJc w:val="left"/>
      <w:pPr>
        <w:ind w:left="4140" w:hanging="139"/>
      </w:pPr>
      <w:rPr>
        <w:rFonts w:hint="default"/>
      </w:rPr>
    </w:lvl>
    <w:lvl w:ilvl="5" w:tplc="18D6191A">
      <w:numFmt w:val="bullet"/>
      <w:lvlText w:val="•"/>
      <w:lvlJc w:val="left"/>
      <w:pPr>
        <w:ind w:left="4890" w:hanging="139"/>
      </w:pPr>
      <w:rPr>
        <w:rFonts w:hint="default"/>
      </w:rPr>
    </w:lvl>
    <w:lvl w:ilvl="6" w:tplc="6CD49628">
      <w:numFmt w:val="bullet"/>
      <w:lvlText w:val="•"/>
      <w:lvlJc w:val="left"/>
      <w:pPr>
        <w:ind w:left="5640" w:hanging="139"/>
      </w:pPr>
      <w:rPr>
        <w:rFonts w:hint="default"/>
      </w:rPr>
    </w:lvl>
    <w:lvl w:ilvl="7" w:tplc="FB2086F4">
      <w:numFmt w:val="bullet"/>
      <w:lvlText w:val="•"/>
      <w:lvlJc w:val="left"/>
      <w:pPr>
        <w:ind w:left="6390" w:hanging="139"/>
      </w:pPr>
      <w:rPr>
        <w:rFonts w:hint="default"/>
      </w:rPr>
    </w:lvl>
    <w:lvl w:ilvl="8" w:tplc="CDEC79EA">
      <w:numFmt w:val="bullet"/>
      <w:lvlText w:val="•"/>
      <w:lvlJc w:val="left"/>
      <w:pPr>
        <w:ind w:left="7140" w:hanging="139"/>
      </w:pPr>
      <w:rPr>
        <w:rFonts w:hint="default"/>
      </w:rPr>
    </w:lvl>
  </w:abstractNum>
  <w:abstractNum w:abstractNumId="133" w15:restartNumberingAfterBreak="0">
    <w:nsid w:val="5BB44F25"/>
    <w:multiLevelType w:val="hybridMultilevel"/>
    <w:tmpl w:val="1C08D376"/>
    <w:lvl w:ilvl="0" w:tplc="E05607E8">
      <w:start w:val="1"/>
      <w:numFmt w:val="decimal"/>
      <w:lvlText w:val="%1"/>
      <w:lvlJc w:val="left"/>
      <w:pPr>
        <w:ind w:left="1147" w:hanging="139"/>
        <w:jc w:val="right"/>
      </w:pPr>
      <w:rPr>
        <w:rFonts w:ascii="Cambria" w:eastAsia="Cambria" w:hAnsi="Cambria" w:cs="Cambria" w:hint="default"/>
        <w:color w:val="231F20"/>
        <w:w w:val="104"/>
        <w:sz w:val="16"/>
        <w:szCs w:val="16"/>
      </w:rPr>
    </w:lvl>
    <w:lvl w:ilvl="1" w:tplc="BF7C6EDC">
      <w:numFmt w:val="bullet"/>
      <w:lvlText w:val="•"/>
      <w:lvlJc w:val="left"/>
      <w:pPr>
        <w:ind w:left="1890" w:hanging="139"/>
      </w:pPr>
      <w:rPr>
        <w:rFonts w:hint="default"/>
      </w:rPr>
    </w:lvl>
    <w:lvl w:ilvl="2" w:tplc="6B5C3BA4">
      <w:numFmt w:val="bullet"/>
      <w:lvlText w:val="•"/>
      <w:lvlJc w:val="left"/>
      <w:pPr>
        <w:ind w:left="2640" w:hanging="139"/>
      </w:pPr>
      <w:rPr>
        <w:rFonts w:hint="default"/>
      </w:rPr>
    </w:lvl>
    <w:lvl w:ilvl="3" w:tplc="951CC45E">
      <w:numFmt w:val="bullet"/>
      <w:lvlText w:val="•"/>
      <w:lvlJc w:val="left"/>
      <w:pPr>
        <w:ind w:left="3390" w:hanging="139"/>
      </w:pPr>
      <w:rPr>
        <w:rFonts w:hint="default"/>
      </w:rPr>
    </w:lvl>
    <w:lvl w:ilvl="4" w:tplc="F5D6C880">
      <w:numFmt w:val="bullet"/>
      <w:lvlText w:val="•"/>
      <w:lvlJc w:val="left"/>
      <w:pPr>
        <w:ind w:left="4140" w:hanging="139"/>
      </w:pPr>
      <w:rPr>
        <w:rFonts w:hint="default"/>
      </w:rPr>
    </w:lvl>
    <w:lvl w:ilvl="5" w:tplc="5C0CB65A">
      <w:numFmt w:val="bullet"/>
      <w:lvlText w:val="•"/>
      <w:lvlJc w:val="left"/>
      <w:pPr>
        <w:ind w:left="4890" w:hanging="139"/>
      </w:pPr>
      <w:rPr>
        <w:rFonts w:hint="default"/>
      </w:rPr>
    </w:lvl>
    <w:lvl w:ilvl="6" w:tplc="384E557C">
      <w:numFmt w:val="bullet"/>
      <w:lvlText w:val="•"/>
      <w:lvlJc w:val="left"/>
      <w:pPr>
        <w:ind w:left="5640" w:hanging="139"/>
      </w:pPr>
      <w:rPr>
        <w:rFonts w:hint="default"/>
      </w:rPr>
    </w:lvl>
    <w:lvl w:ilvl="7" w:tplc="03064DEE">
      <w:numFmt w:val="bullet"/>
      <w:lvlText w:val="•"/>
      <w:lvlJc w:val="left"/>
      <w:pPr>
        <w:ind w:left="6390" w:hanging="139"/>
      </w:pPr>
      <w:rPr>
        <w:rFonts w:hint="default"/>
      </w:rPr>
    </w:lvl>
    <w:lvl w:ilvl="8" w:tplc="FBBABF5A">
      <w:numFmt w:val="bullet"/>
      <w:lvlText w:val="•"/>
      <w:lvlJc w:val="left"/>
      <w:pPr>
        <w:ind w:left="7140" w:hanging="139"/>
      </w:pPr>
      <w:rPr>
        <w:rFonts w:hint="default"/>
      </w:rPr>
    </w:lvl>
  </w:abstractNum>
  <w:abstractNum w:abstractNumId="134" w15:restartNumberingAfterBreak="0">
    <w:nsid w:val="5BDD092F"/>
    <w:multiLevelType w:val="hybridMultilevel"/>
    <w:tmpl w:val="1BF6F934"/>
    <w:lvl w:ilvl="0" w:tplc="CFC2D768">
      <w:start w:val="4"/>
      <w:numFmt w:val="decimal"/>
      <w:lvlText w:val="%1"/>
      <w:lvlJc w:val="left"/>
      <w:pPr>
        <w:ind w:left="1147" w:hanging="139"/>
        <w:jc w:val="right"/>
      </w:pPr>
      <w:rPr>
        <w:rFonts w:ascii="Cambria" w:eastAsia="Cambria" w:hAnsi="Cambria" w:cs="Cambria" w:hint="default"/>
        <w:color w:val="231F20"/>
        <w:w w:val="104"/>
        <w:sz w:val="16"/>
        <w:szCs w:val="16"/>
      </w:rPr>
    </w:lvl>
    <w:lvl w:ilvl="1" w:tplc="6C0C9FC0">
      <w:numFmt w:val="bullet"/>
      <w:lvlText w:val="•"/>
      <w:lvlJc w:val="left"/>
      <w:pPr>
        <w:ind w:left="1890" w:hanging="139"/>
      </w:pPr>
      <w:rPr>
        <w:rFonts w:hint="default"/>
      </w:rPr>
    </w:lvl>
    <w:lvl w:ilvl="2" w:tplc="2ED4EC80">
      <w:numFmt w:val="bullet"/>
      <w:lvlText w:val="•"/>
      <w:lvlJc w:val="left"/>
      <w:pPr>
        <w:ind w:left="2640" w:hanging="139"/>
      </w:pPr>
      <w:rPr>
        <w:rFonts w:hint="default"/>
      </w:rPr>
    </w:lvl>
    <w:lvl w:ilvl="3" w:tplc="A3DCE146">
      <w:numFmt w:val="bullet"/>
      <w:lvlText w:val="•"/>
      <w:lvlJc w:val="left"/>
      <w:pPr>
        <w:ind w:left="3390" w:hanging="139"/>
      </w:pPr>
      <w:rPr>
        <w:rFonts w:hint="default"/>
      </w:rPr>
    </w:lvl>
    <w:lvl w:ilvl="4" w:tplc="D012D750">
      <w:numFmt w:val="bullet"/>
      <w:lvlText w:val="•"/>
      <w:lvlJc w:val="left"/>
      <w:pPr>
        <w:ind w:left="4140" w:hanging="139"/>
      </w:pPr>
      <w:rPr>
        <w:rFonts w:hint="default"/>
      </w:rPr>
    </w:lvl>
    <w:lvl w:ilvl="5" w:tplc="94200CE6">
      <w:numFmt w:val="bullet"/>
      <w:lvlText w:val="•"/>
      <w:lvlJc w:val="left"/>
      <w:pPr>
        <w:ind w:left="4890" w:hanging="139"/>
      </w:pPr>
      <w:rPr>
        <w:rFonts w:hint="default"/>
      </w:rPr>
    </w:lvl>
    <w:lvl w:ilvl="6" w:tplc="4AD05CF6">
      <w:numFmt w:val="bullet"/>
      <w:lvlText w:val="•"/>
      <w:lvlJc w:val="left"/>
      <w:pPr>
        <w:ind w:left="5640" w:hanging="139"/>
      </w:pPr>
      <w:rPr>
        <w:rFonts w:hint="default"/>
      </w:rPr>
    </w:lvl>
    <w:lvl w:ilvl="7" w:tplc="C20A838A">
      <w:numFmt w:val="bullet"/>
      <w:lvlText w:val="•"/>
      <w:lvlJc w:val="left"/>
      <w:pPr>
        <w:ind w:left="6390" w:hanging="139"/>
      </w:pPr>
      <w:rPr>
        <w:rFonts w:hint="default"/>
      </w:rPr>
    </w:lvl>
    <w:lvl w:ilvl="8" w:tplc="C0028144">
      <w:numFmt w:val="bullet"/>
      <w:lvlText w:val="•"/>
      <w:lvlJc w:val="left"/>
      <w:pPr>
        <w:ind w:left="7140" w:hanging="139"/>
      </w:pPr>
      <w:rPr>
        <w:rFonts w:hint="default"/>
      </w:rPr>
    </w:lvl>
  </w:abstractNum>
  <w:abstractNum w:abstractNumId="135" w15:restartNumberingAfterBreak="0">
    <w:nsid w:val="5C0C7712"/>
    <w:multiLevelType w:val="hybridMultilevel"/>
    <w:tmpl w:val="6C42B258"/>
    <w:lvl w:ilvl="0" w:tplc="4A4A45E2">
      <w:start w:val="1"/>
      <w:numFmt w:val="decimal"/>
      <w:lvlText w:val="%1"/>
      <w:lvlJc w:val="left"/>
      <w:pPr>
        <w:ind w:left="1148" w:hanging="139"/>
        <w:jc w:val="right"/>
      </w:pPr>
      <w:rPr>
        <w:rFonts w:ascii="Cambria" w:eastAsia="Cambria" w:hAnsi="Cambria" w:cs="Cambria" w:hint="default"/>
        <w:color w:val="231F20"/>
        <w:w w:val="104"/>
        <w:sz w:val="16"/>
        <w:szCs w:val="16"/>
      </w:rPr>
    </w:lvl>
    <w:lvl w:ilvl="1" w:tplc="53AAF77C">
      <w:numFmt w:val="bullet"/>
      <w:lvlText w:val="•"/>
      <w:lvlJc w:val="left"/>
      <w:pPr>
        <w:ind w:left="1740" w:hanging="139"/>
      </w:pPr>
      <w:rPr>
        <w:rFonts w:hint="default"/>
      </w:rPr>
    </w:lvl>
    <w:lvl w:ilvl="2" w:tplc="0D26B96A">
      <w:numFmt w:val="bullet"/>
      <w:lvlText w:val="•"/>
      <w:lvlJc w:val="left"/>
      <w:pPr>
        <w:ind w:left="2506" w:hanging="139"/>
      </w:pPr>
      <w:rPr>
        <w:rFonts w:hint="default"/>
      </w:rPr>
    </w:lvl>
    <w:lvl w:ilvl="3" w:tplc="99668434">
      <w:numFmt w:val="bullet"/>
      <w:lvlText w:val="•"/>
      <w:lvlJc w:val="left"/>
      <w:pPr>
        <w:ind w:left="3273" w:hanging="139"/>
      </w:pPr>
      <w:rPr>
        <w:rFonts w:hint="default"/>
      </w:rPr>
    </w:lvl>
    <w:lvl w:ilvl="4" w:tplc="352E910E">
      <w:numFmt w:val="bullet"/>
      <w:lvlText w:val="•"/>
      <w:lvlJc w:val="left"/>
      <w:pPr>
        <w:ind w:left="4040" w:hanging="139"/>
      </w:pPr>
      <w:rPr>
        <w:rFonts w:hint="default"/>
      </w:rPr>
    </w:lvl>
    <w:lvl w:ilvl="5" w:tplc="49DE3602">
      <w:numFmt w:val="bullet"/>
      <w:lvlText w:val="•"/>
      <w:lvlJc w:val="left"/>
      <w:pPr>
        <w:ind w:left="4806" w:hanging="139"/>
      </w:pPr>
      <w:rPr>
        <w:rFonts w:hint="default"/>
      </w:rPr>
    </w:lvl>
    <w:lvl w:ilvl="6" w:tplc="6962663C">
      <w:numFmt w:val="bullet"/>
      <w:lvlText w:val="•"/>
      <w:lvlJc w:val="left"/>
      <w:pPr>
        <w:ind w:left="5573" w:hanging="139"/>
      </w:pPr>
      <w:rPr>
        <w:rFonts w:hint="default"/>
      </w:rPr>
    </w:lvl>
    <w:lvl w:ilvl="7" w:tplc="97120B6C">
      <w:numFmt w:val="bullet"/>
      <w:lvlText w:val="•"/>
      <w:lvlJc w:val="left"/>
      <w:pPr>
        <w:ind w:left="6340" w:hanging="139"/>
      </w:pPr>
      <w:rPr>
        <w:rFonts w:hint="default"/>
      </w:rPr>
    </w:lvl>
    <w:lvl w:ilvl="8" w:tplc="A366292C">
      <w:numFmt w:val="bullet"/>
      <w:lvlText w:val="•"/>
      <w:lvlJc w:val="left"/>
      <w:pPr>
        <w:ind w:left="7106" w:hanging="139"/>
      </w:pPr>
      <w:rPr>
        <w:rFonts w:hint="default"/>
      </w:rPr>
    </w:lvl>
  </w:abstractNum>
  <w:abstractNum w:abstractNumId="136" w15:restartNumberingAfterBreak="0">
    <w:nsid w:val="5C212F91"/>
    <w:multiLevelType w:val="hybridMultilevel"/>
    <w:tmpl w:val="35EE5608"/>
    <w:lvl w:ilvl="0" w:tplc="CFCC5440">
      <w:start w:val="1"/>
      <w:numFmt w:val="decimal"/>
      <w:lvlText w:val="%1"/>
      <w:lvlJc w:val="left"/>
      <w:pPr>
        <w:ind w:left="1147" w:hanging="139"/>
        <w:jc w:val="right"/>
      </w:pPr>
      <w:rPr>
        <w:rFonts w:ascii="Cambria" w:eastAsia="Cambria" w:hAnsi="Cambria" w:cs="Cambria" w:hint="default"/>
        <w:color w:val="231F20"/>
        <w:w w:val="104"/>
        <w:sz w:val="16"/>
        <w:szCs w:val="16"/>
      </w:rPr>
    </w:lvl>
    <w:lvl w:ilvl="1" w:tplc="A2EA9C92">
      <w:numFmt w:val="bullet"/>
      <w:lvlText w:val="•"/>
      <w:lvlJc w:val="left"/>
      <w:pPr>
        <w:ind w:left="1890" w:hanging="139"/>
      </w:pPr>
      <w:rPr>
        <w:rFonts w:hint="default"/>
      </w:rPr>
    </w:lvl>
    <w:lvl w:ilvl="2" w:tplc="152EEADC">
      <w:numFmt w:val="bullet"/>
      <w:lvlText w:val="•"/>
      <w:lvlJc w:val="left"/>
      <w:pPr>
        <w:ind w:left="2640" w:hanging="139"/>
      </w:pPr>
      <w:rPr>
        <w:rFonts w:hint="default"/>
      </w:rPr>
    </w:lvl>
    <w:lvl w:ilvl="3" w:tplc="901E5246">
      <w:numFmt w:val="bullet"/>
      <w:lvlText w:val="•"/>
      <w:lvlJc w:val="left"/>
      <w:pPr>
        <w:ind w:left="3390" w:hanging="139"/>
      </w:pPr>
      <w:rPr>
        <w:rFonts w:hint="default"/>
      </w:rPr>
    </w:lvl>
    <w:lvl w:ilvl="4" w:tplc="DE02A552">
      <w:numFmt w:val="bullet"/>
      <w:lvlText w:val="•"/>
      <w:lvlJc w:val="left"/>
      <w:pPr>
        <w:ind w:left="4140" w:hanging="139"/>
      </w:pPr>
      <w:rPr>
        <w:rFonts w:hint="default"/>
      </w:rPr>
    </w:lvl>
    <w:lvl w:ilvl="5" w:tplc="C6E4D0D0">
      <w:numFmt w:val="bullet"/>
      <w:lvlText w:val="•"/>
      <w:lvlJc w:val="left"/>
      <w:pPr>
        <w:ind w:left="4890" w:hanging="139"/>
      </w:pPr>
      <w:rPr>
        <w:rFonts w:hint="default"/>
      </w:rPr>
    </w:lvl>
    <w:lvl w:ilvl="6" w:tplc="4C8ABB68">
      <w:numFmt w:val="bullet"/>
      <w:lvlText w:val="•"/>
      <w:lvlJc w:val="left"/>
      <w:pPr>
        <w:ind w:left="5640" w:hanging="139"/>
      </w:pPr>
      <w:rPr>
        <w:rFonts w:hint="default"/>
      </w:rPr>
    </w:lvl>
    <w:lvl w:ilvl="7" w:tplc="2E46B2AE">
      <w:numFmt w:val="bullet"/>
      <w:lvlText w:val="•"/>
      <w:lvlJc w:val="left"/>
      <w:pPr>
        <w:ind w:left="6390" w:hanging="139"/>
      </w:pPr>
      <w:rPr>
        <w:rFonts w:hint="default"/>
      </w:rPr>
    </w:lvl>
    <w:lvl w:ilvl="8" w:tplc="2E1C781A">
      <w:numFmt w:val="bullet"/>
      <w:lvlText w:val="•"/>
      <w:lvlJc w:val="left"/>
      <w:pPr>
        <w:ind w:left="7140" w:hanging="139"/>
      </w:pPr>
      <w:rPr>
        <w:rFonts w:hint="default"/>
      </w:rPr>
    </w:lvl>
  </w:abstractNum>
  <w:abstractNum w:abstractNumId="137" w15:restartNumberingAfterBreak="0">
    <w:nsid w:val="5CB96CDC"/>
    <w:multiLevelType w:val="hybridMultilevel"/>
    <w:tmpl w:val="0CF2EF0A"/>
    <w:lvl w:ilvl="0" w:tplc="17543E06">
      <w:start w:val="4"/>
      <w:numFmt w:val="decimal"/>
      <w:lvlText w:val="%1"/>
      <w:lvlJc w:val="left"/>
      <w:pPr>
        <w:ind w:left="1286" w:hanging="139"/>
      </w:pPr>
      <w:rPr>
        <w:rFonts w:ascii="Cambria" w:eastAsia="Cambria" w:hAnsi="Cambria" w:cs="Cambria" w:hint="default"/>
        <w:color w:val="231F20"/>
        <w:w w:val="104"/>
        <w:sz w:val="16"/>
        <w:szCs w:val="16"/>
      </w:rPr>
    </w:lvl>
    <w:lvl w:ilvl="1" w:tplc="F7FC2A0C">
      <w:numFmt w:val="bullet"/>
      <w:lvlText w:val="•"/>
      <w:lvlJc w:val="left"/>
      <w:pPr>
        <w:ind w:left="1320" w:hanging="139"/>
      </w:pPr>
      <w:rPr>
        <w:rFonts w:hint="default"/>
      </w:rPr>
    </w:lvl>
    <w:lvl w:ilvl="2" w:tplc="655037F8">
      <w:numFmt w:val="bullet"/>
      <w:lvlText w:val="•"/>
      <w:lvlJc w:val="left"/>
      <w:pPr>
        <w:ind w:left="2133" w:hanging="139"/>
      </w:pPr>
      <w:rPr>
        <w:rFonts w:hint="default"/>
      </w:rPr>
    </w:lvl>
    <w:lvl w:ilvl="3" w:tplc="B4BE4A7C">
      <w:numFmt w:val="bullet"/>
      <w:lvlText w:val="•"/>
      <w:lvlJc w:val="left"/>
      <w:pPr>
        <w:ind w:left="2946" w:hanging="139"/>
      </w:pPr>
      <w:rPr>
        <w:rFonts w:hint="default"/>
      </w:rPr>
    </w:lvl>
    <w:lvl w:ilvl="4" w:tplc="FA90F04C">
      <w:numFmt w:val="bullet"/>
      <w:lvlText w:val="•"/>
      <w:lvlJc w:val="left"/>
      <w:pPr>
        <w:ind w:left="3760" w:hanging="139"/>
      </w:pPr>
      <w:rPr>
        <w:rFonts w:hint="default"/>
      </w:rPr>
    </w:lvl>
    <w:lvl w:ilvl="5" w:tplc="438CE6BA">
      <w:numFmt w:val="bullet"/>
      <w:lvlText w:val="•"/>
      <w:lvlJc w:val="left"/>
      <w:pPr>
        <w:ind w:left="4573" w:hanging="139"/>
      </w:pPr>
      <w:rPr>
        <w:rFonts w:hint="default"/>
      </w:rPr>
    </w:lvl>
    <w:lvl w:ilvl="6" w:tplc="F6DAAC1C">
      <w:numFmt w:val="bullet"/>
      <w:lvlText w:val="•"/>
      <w:lvlJc w:val="left"/>
      <w:pPr>
        <w:ind w:left="5386" w:hanging="139"/>
      </w:pPr>
      <w:rPr>
        <w:rFonts w:hint="default"/>
      </w:rPr>
    </w:lvl>
    <w:lvl w:ilvl="7" w:tplc="3A146F44">
      <w:numFmt w:val="bullet"/>
      <w:lvlText w:val="•"/>
      <w:lvlJc w:val="left"/>
      <w:pPr>
        <w:ind w:left="6200" w:hanging="139"/>
      </w:pPr>
      <w:rPr>
        <w:rFonts w:hint="default"/>
      </w:rPr>
    </w:lvl>
    <w:lvl w:ilvl="8" w:tplc="0EDC7724">
      <w:numFmt w:val="bullet"/>
      <w:lvlText w:val="•"/>
      <w:lvlJc w:val="left"/>
      <w:pPr>
        <w:ind w:left="7013" w:hanging="139"/>
      </w:pPr>
      <w:rPr>
        <w:rFonts w:hint="default"/>
      </w:rPr>
    </w:lvl>
  </w:abstractNum>
  <w:abstractNum w:abstractNumId="138" w15:restartNumberingAfterBreak="0">
    <w:nsid w:val="5E34381F"/>
    <w:multiLevelType w:val="hybridMultilevel"/>
    <w:tmpl w:val="8B8AB498"/>
    <w:lvl w:ilvl="0" w:tplc="D464BD5E">
      <w:start w:val="1"/>
      <w:numFmt w:val="decimal"/>
      <w:lvlText w:val="%1"/>
      <w:lvlJc w:val="left"/>
      <w:pPr>
        <w:ind w:left="1147" w:hanging="139"/>
        <w:jc w:val="right"/>
      </w:pPr>
      <w:rPr>
        <w:rFonts w:ascii="Cambria" w:eastAsia="Cambria" w:hAnsi="Cambria" w:cs="Cambria" w:hint="default"/>
        <w:color w:val="231F20"/>
        <w:w w:val="104"/>
        <w:sz w:val="16"/>
        <w:szCs w:val="16"/>
      </w:rPr>
    </w:lvl>
    <w:lvl w:ilvl="1" w:tplc="5678BF12">
      <w:numFmt w:val="bullet"/>
      <w:lvlText w:val="•"/>
      <w:lvlJc w:val="left"/>
      <w:pPr>
        <w:ind w:left="1890" w:hanging="139"/>
      </w:pPr>
      <w:rPr>
        <w:rFonts w:hint="default"/>
      </w:rPr>
    </w:lvl>
    <w:lvl w:ilvl="2" w:tplc="A52051A6">
      <w:numFmt w:val="bullet"/>
      <w:lvlText w:val="•"/>
      <w:lvlJc w:val="left"/>
      <w:pPr>
        <w:ind w:left="2640" w:hanging="139"/>
      </w:pPr>
      <w:rPr>
        <w:rFonts w:hint="default"/>
      </w:rPr>
    </w:lvl>
    <w:lvl w:ilvl="3" w:tplc="E74CD328">
      <w:numFmt w:val="bullet"/>
      <w:lvlText w:val="•"/>
      <w:lvlJc w:val="left"/>
      <w:pPr>
        <w:ind w:left="3390" w:hanging="139"/>
      </w:pPr>
      <w:rPr>
        <w:rFonts w:hint="default"/>
      </w:rPr>
    </w:lvl>
    <w:lvl w:ilvl="4" w:tplc="46CEBB30">
      <w:numFmt w:val="bullet"/>
      <w:lvlText w:val="•"/>
      <w:lvlJc w:val="left"/>
      <w:pPr>
        <w:ind w:left="4140" w:hanging="139"/>
      </w:pPr>
      <w:rPr>
        <w:rFonts w:hint="default"/>
      </w:rPr>
    </w:lvl>
    <w:lvl w:ilvl="5" w:tplc="9B187FF6">
      <w:numFmt w:val="bullet"/>
      <w:lvlText w:val="•"/>
      <w:lvlJc w:val="left"/>
      <w:pPr>
        <w:ind w:left="4890" w:hanging="139"/>
      </w:pPr>
      <w:rPr>
        <w:rFonts w:hint="default"/>
      </w:rPr>
    </w:lvl>
    <w:lvl w:ilvl="6" w:tplc="99E6B966">
      <w:numFmt w:val="bullet"/>
      <w:lvlText w:val="•"/>
      <w:lvlJc w:val="left"/>
      <w:pPr>
        <w:ind w:left="5640" w:hanging="139"/>
      </w:pPr>
      <w:rPr>
        <w:rFonts w:hint="default"/>
      </w:rPr>
    </w:lvl>
    <w:lvl w:ilvl="7" w:tplc="2356FD22">
      <w:numFmt w:val="bullet"/>
      <w:lvlText w:val="•"/>
      <w:lvlJc w:val="left"/>
      <w:pPr>
        <w:ind w:left="6390" w:hanging="139"/>
      </w:pPr>
      <w:rPr>
        <w:rFonts w:hint="default"/>
      </w:rPr>
    </w:lvl>
    <w:lvl w:ilvl="8" w:tplc="CE427396">
      <w:numFmt w:val="bullet"/>
      <w:lvlText w:val="•"/>
      <w:lvlJc w:val="left"/>
      <w:pPr>
        <w:ind w:left="7140" w:hanging="139"/>
      </w:pPr>
      <w:rPr>
        <w:rFonts w:hint="default"/>
      </w:rPr>
    </w:lvl>
  </w:abstractNum>
  <w:abstractNum w:abstractNumId="139" w15:restartNumberingAfterBreak="0">
    <w:nsid w:val="5F0A4079"/>
    <w:multiLevelType w:val="hybridMultilevel"/>
    <w:tmpl w:val="23A0011E"/>
    <w:lvl w:ilvl="0" w:tplc="5574DAD0">
      <w:start w:val="1"/>
      <w:numFmt w:val="decimal"/>
      <w:lvlText w:val="%1"/>
      <w:lvlJc w:val="left"/>
      <w:pPr>
        <w:ind w:left="1147" w:hanging="139"/>
        <w:jc w:val="right"/>
      </w:pPr>
      <w:rPr>
        <w:rFonts w:ascii="Cambria" w:eastAsia="Cambria" w:hAnsi="Cambria" w:cs="Cambria" w:hint="default"/>
        <w:color w:val="231F20"/>
        <w:w w:val="104"/>
        <w:sz w:val="16"/>
        <w:szCs w:val="16"/>
      </w:rPr>
    </w:lvl>
    <w:lvl w:ilvl="1" w:tplc="00F0366E">
      <w:numFmt w:val="bullet"/>
      <w:lvlText w:val="•"/>
      <w:lvlJc w:val="left"/>
      <w:pPr>
        <w:ind w:left="1890" w:hanging="139"/>
      </w:pPr>
      <w:rPr>
        <w:rFonts w:hint="default"/>
      </w:rPr>
    </w:lvl>
    <w:lvl w:ilvl="2" w:tplc="613815C4">
      <w:numFmt w:val="bullet"/>
      <w:lvlText w:val="•"/>
      <w:lvlJc w:val="left"/>
      <w:pPr>
        <w:ind w:left="2640" w:hanging="139"/>
      </w:pPr>
      <w:rPr>
        <w:rFonts w:hint="default"/>
      </w:rPr>
    </w:lvl>
    <w:lvl w:ilvl="3" w:tplc="63F427E6">
      <w:numFmt w:val="bullet"/>
      <w:lvlText w:val="•"/>
      <w:lvlJc w:val="left"/>
      <w:pPr>
        <w:ind w:left="3390" w:hanging="139"/>
      </w:pPr>
      <w:rPr>
        <w:rFonts w:hint="default"/>
      </w:rPr>
    </w:lvl>
    <w:lvl w:ilvl="4" w:tplc="0C2EBF10">
      <w:numFmt w:val="bullet"/>
      <w:lvlText w:val="•"/>
      <w:lvlJc w:val="left"/>
      <w:pPr>
        <w:ind w:left="4140" w:hanging="139"/>
      </w:pPr>
      <w:rPr>
        <w:rFonts w:hint="default"/>
      </w:rPr>
    </w:lvl>
    <w:lvl w:ilvl="5" w:tplc="84148382">
      <w:numFmt w:val="bullet"/>
      <w:lvlText w:val="•"/>
      <w:lvlJc w:val="left"/>
      <w:pPr>
        <w:ind w:left="4890" w:hanging="139"/>
      </w:pPr>
      <w:rPr>
        <w:rFonts w:hint="default"/>
      </w:rPr>
    </w:lvl>
    <w:lvl w:ilvl="6" w:tplc="8FD8C866">
      <w:numFmt w:val="bullet"/>
      <w:lvlText w:val="•"/>
      <w:lvlJc w:val="left"/>
      <w:pPr>
        <w:ind w:left="5640" w:hanging="139"/>
      </w:pPr>
      <w:rPr>
        <w:rFonts w:hint="default"/>
      </w:rPr>
    </w:lvl>
    <w:lvl w:ilvl="7" w:tplc="6BB0B916">
      <w:numFmt w:val="bullet"/>
      <w:lvlText w:val="•"/>
      <w:lvlJc w:val="left"/>
      <w:pPr>
        <w:ind w:left="6390" w:hanging="139"/>
      </w:pPr>
      <w:rPr>
        <w:rFonts w:hint="default"/>
      </w:rPr>
    </w:lvl>
    <w:lvl w:ilvl="8" w:tplc="FC389A8E">
      <w:numFmt w:val="bullet"/>
      <w:lvlText w:val="•"/>
      <w:lvlJc w:val="left"/>
      <w:pPr>
        <w:ind w:left="7140" w:hanging="139"/>
      </w:pPr>
      <w:rPr>
        <w:rFonts w:hint="default"/>
      </w:rPr>
    </w:lvl>
  </w:abstractNum>
  <w:abstractNum w:abstractNumId="140" w15:restartNumberingAfterBreak="0">
    <w:nsid w:val="5F342195"/>
    <w:multiLevelType w:val="hybridMultilevel"/>
    <w:tmpl w:val="FF76EBC6"/>
    <w:lvl w:ilvl="0" w:tplc="D1B8040E">
      <w:start w:val="1"/>
      <w:numFmt w:val="decimal"/>
      <w:lvlText w:val="%1"/>
      <w:lvlJc w:val="left"/>
      <w:pPr>
        <w:ind w:left="1148" w:hanging="139"/>
      </w:pPr>
      <w:rPr>
        <w:rFonts w:ascii="Cambria" w:eastAsia="Cambria" w:hAnsi="Cambria" w:cs="Cambria" w:hint="default"/>
        <w:color w:val="231F20"/>
        <w:w w:val="104"/>
        <w:sz w:val="16"/>
        <w:szCs w:val="16"/>
      </w:rPr>
    </w:lvl>
    <w:lvl w:ilvl="1" w:tplc="D070E060">
      <w:start w:val="5"/>
      <w:numFmt w:val="decimal"/>
      <w:lvlText w:val="%2"/>
      <w:lvlJc w:val="left"/>
      <w:pPr>
        <w:ind w:left="1328" w:hanging="139"/>
      </w:pPr>
      <w:rPr>
        <w:rFonts w:ascii="Cambria" w:eastAsia="Cambria" w:hAnsi="Cambria" w:cs="Cambria" w:hint="default"/>
        <w:color w:val="231F20"/>
        <w:w w:val="104"/>
        <w:sz w:val="16"/>
        <w:szCs w:val="16"/>
      </w:rPr>
    </w:lvl>
    <w:lvl w:ilvl="2" w:tplc="61A68F2A">
      <w:numFmt w:val="bullet"/>
      <w:lvlText w:val="•"/>
      <w:lvlJc w:val="left"/>
      <w:pPr>
        <w:ind w:left="2133" w:hanging="139"/>
      </w:pPr>
      <w:rPr>
        <w:rFonts w:hint="default"/>
      </w:rPr>
    </w:lvl>
    <w:lvl w:ilvl="3" w:tplc="A4F6FE40">
      <w:numFmt w:val="bullet"/>
      <w:lvlText w:val="•"/>
      <w:lvlJc w:val="left"/>
      <w:pPr>
        <w:ind w:left="2946" w:hanging="139"/>
      </w:pPr>
      <w:rPr>
        <w:rFonts w:hint="default"/>
      </w:rPr>
    </w:lvl>
    <w:lvl w:ilvl="4" w:tplc="8F88D468">
      <w:numFmt w:val="bullet"/>
      <w:lvlText w:val="•"/>
      <w:lvlJc w:val="left"/>
      <w:pPr>
        <w:ind w:left="3760" w:hanging="139"/>
      </w:pPr>
      <w:rPr>
        <w:rFonts w:hint="default"/>
      </w:rPr>
    </w:lvl>
    <w:lvl w:ilvl="5" w:tplc="39C8339C">
      <w:numFmt w:val="bullet"/>
      <w:lvlText w:val="•"/>
      <w:lvlJc w:val="left"/>
      <w:pPr>
        <w:ind w:left="4573" w:hanging="139"/>
      </w:pPr>
      <w:rPr>
        <w:rFonts w:hint="default"/>
      </w:rPr>
    </w:lvl>
    <w:lvl w:ilvl="6" w:tplc="49E2E3CC">
      <w:numFmt w:val="bullet"/>
      <w:lvlText w:val="•"/>
      <w:lvlJc w:val="left"/>
      <w:pPr>
        <w:ind w:left="5386" w:hanging="139"/>
      </w:pPr>
      <w:rPr>
        <w:rFonts w:hint="default"/>
      </w:rPr>
    </w:lvl>
    <w:lvl w:ilvl="7" w:tplc="A606B6BE">
      <w:numFmt w:val="bullet"/>
      <w:lvlText w:val="•"/>
      <w:lvlJc w:val="left"/>
      <w:pPr>
        <w:ind w:left="6200" w:hanging="139"/>
      </w:pPr>
      <w:rPr>
        <w:rFonts w:hint="default"/>
      </w:rPr>
    </w:lvl>
    <w:lvl w:ilvl="8" w:tplc="13B44CE2">
      <w:numFmt w:val="bullet"/>
      <w:lvlText w:val="•"/>
      <w:lvlJc w:val="left"/>
      <w:pPr>
        <w:ind w:left="7013" w:hanging="139"/>
      </w:pPr>
      <w:rPr>
        <w:rFonts w:hint="default"/>
      </w:rPr>
    </w:lvl>
  </w:abstractNum>
  <w:abstractNum w:abstractNumId="141" w15:restartNumberingAfterBreak="0">
    <w:nsid w:val="5F575200"/>
    <w:multiLevelType w:val="hybridMultilevel"/>
    <w:tmpl w:val="0CC643B0"/>
    <w:lvl w:ilvl="0" w:tplc="4A5E4C62">
      <w:start w:val="1"/>
      <w:numFmt w:val="decimal"/>
      <w:lvlText w:val="%1"/>
      <w:lvlJc w:val="left"/>
      <w:pPr>
        <w:ind w:left="1148" w:hanging="139"/>
        <w:jc w:val="right"/>
      </w:pPr>
      <w:rPr>
        <w:rFonts w:ascii="Cambria" w:eastAsia="Cambria" w:hAnsi="Cambria" w:cs="Cambria" w:hint="default"/>
        <w:color w:val="231F20"/>
        <w:w w:val="104"/>
        <w:sz w:val="16"/>
        <w:szCs w:val="16"/>
      </w:rPr>
    </w:lvl>
    <w:lvl w:ilvl="1" w:tplc="9A3ECA9A">
      <w:numFmt w:val="bullet"/>
      <w:lvlText w:val="•"/>
      <w:lvlJc w:val="left"/>
      <w:pPr>
        <w:ind w:left="1890" w:hanging="139"/>
      </w:pPr>
      <w:rPr>
        <w:rFonts w:hint="default"/>
      </w:rPr>
    </w:lvl>
    <w:lvl w:ilvl="2" w:tplc="04D8168A">
      <w:numFmt w:val="bullet"/>
      <w:lvlText w:val="•"/>
      <w:lvlJc w:val="left"/>
      <w:pPr>
        <w:ind w:left="2640" w:hanging="139"/>
      </w:pPr>
      <w:rPr>
        <w:rFonts w:hint="default"/>
      </w:rPr>
    </w:lvl>
    <w:lvl w:ilvl="3" w:tplc="F63C1E8A">
      <w:numFmt w:val="bullet"/>
      <w:lvlText w:val="•"/>
      <w:lvlJc w:val="left"/>
      <w:pPr>
        <w:ind w:left="3390" w:hanging="139"/>
      </w:pPr>
      <w:rPr>
        <w:rFonts w:hint="default"/>
      </w:rPr>
    </w:lvl>
    <w:lvl w:ilvl="4" w:tplc="E64C9192">
      <w:numFmt w:val="bullet"/>
      <w:lvlText w:val="•"/>
      <w:lvlJc w:val="left"/>
      <w:pPr>
        <w:ind w:left="4140" w:hanging="139"/>
      </w:pPr>
      <w:rPr>
        <w:rFonts w:hint="default"/>
      </w:rPr>
    </w:lvl>
    <w:lvl w:ilvl="5" w:tplc="0D805EEE">
      <w:numFmt w:val="bullet"/>
      <w:lvlText w:val="•"/>
      <w:lvlJc w:val="left"/>
      <w:pPr>
        <w:ind w:left="4890" w:hanging="139"/>
      </w:pPr>
      <w:rPr>
        <w:rFonts w:hint="default"/>
      </w:rPr>
    </w:lvl>
    <w:lvl w:ilvl="6" w:tplc="56E61E1E">
      <w:numFmt w:val="bullet"/>
      <w:lvlText w:val="•"/>
      <w:lvlJc w:val="left"/>
      <w:pPr>
        <w:ind w:left="5640" w:hanging="139"/>
      </w:pPr>
      <w:rPr>
        <w:rFonts w:hint="default"/>
      </w:rPr>
    </w:lvl>
    <w:lvl w:ilvl="7" w:tplc="D9BCA0B6">
      <w:numFmt w:val="bullet"/>
      <w:lvlText w:val="•"/>
      <w:lvlJc w:val="left"/>
      <w:pPr>
        <w:ind w:left="6390" w:hanging="139"/>
      </w:pPr>
      <w:rPr>
        <w:rFonts w:hint="default"/>
      </w:rPr>
    </w:lvl>
    <w:lvl w:ilvl="8" w:tplc="E9088842">
      <w:numFmt w:val="bullet"/>
      <w:lvlText w:val="•"/>
      <w:lvlJc w:val="left"/>
      <w:pPr>
        <w:ind w:left="7140" w:hanging="139"/>
      </w:pPr>
      <w:rPr>
        <w:rFonts w:hint="default"/>
      </w:rPr>
    </w:lvl>
  </w:abstractNum>
  <w:abstractNum w:abstractNumId="142" w15:restartNumberingAfterBreak="0">
    <w:nsid w:val="5F85393E"/>
    <w:multiLevelType w:val="hybridMultilevel"/>
    <w:tmpl w:val="623043EE"/>
    <w:lvl w:ilvl="0" w:tplc="7B2CBD0A">
      <w:start w:val="1"/>
      <w:numFmt w:val="decimal"/>
      <w:lvlText w:val="%1"/>
      <w:lvlJc w:val="left"/>
      <w:pPr>
        <w:ind w:left="1466" w:hanging="139"/>
      </w:pPr>
      <w:rPr>
        <w:rFonts w:ascii="Cambria" w:eastAsia="Cambria" w:hAnsi="Cambria" w:cs="Cambria" w:hint="default"/>
        <w:color w:val="231F20"/>
        <w:w w:val="104"/>
        <w:sz w:val="16"/>
        <w:szCs w:val="16"/>
      </w:rPr>
    </w:lvl>
    <w:lvl w:ilvl="1" w:tplc="C15C87A8">
      <w:numFmt w:val="bullet"/>
      <w:lvlText w:val="•"/>
      <w:lvlJc w:val="left"/>
      <w:pPr>
        <w:ind w:left="2178" w:hanging="139"/>
      </w:pPr>
      <w:rPr>
        <w:rFonts w:hint="default"/>
      </w:rPr>
    </w:lvl>
    <w:lvl w:ilvl="2" w:tplc="B0542058">
      <w:numFmt w:val="bullet"/>
      <w:lvlText w:val="•"/>
      <w:lvlJc w:val="left"/>
      <w:pPr>
        <w:ind w:left="2896" w:hanging="139"/>
      </w:pPr>
      <w:rPr>
        <w:rFonts w:hint="default"/>
      </w:rPr>
    </w:lvl>
    <w:lvl w:ilvl="3" w:tplc="23B0A2AC">
      <w:numFmt w:val="bullet"/>
      <w:lvlText w:val="•"/>
      <w:lvlJc w:val="left"/>
      <w:pPr>
        <w:ind w:left="3614" w:hanging="139"/>
      </w:pPr>
      <w:rPr>
        <w:rFonts w:hint="default"/>
      </w:rPr>
    </w:lvl>
    <w:lvl w:ilvl="4" w:tplc="4E823006">
      <w:numFmt w:val="bullet"/>
      <w:lvlText w:val="•"/>
      <w:lvlJc w:val="left"/>
      <w:pPr>
        <w:ind w:left="4332" w:hanging="139"/>
      </w:pPr>
      <w:rPr>
        <w:rFonts w:hint="default"/>
      </w:rPr>
    </w:lvl>
    <w:lvl w:ilvl="5" w:tplc="B608D0F6">
      <w:numFmt w:val="bullet"/>
      <w:lvlText w:val="•"/>
      <w:lvlJc w:val="left"/>
      <w:pPr>
        <w:ind w:left="5050" w:hanging="139"/>
      </w:pPr>
      <w:rPr>
        <w:rFonts w:hint="default"/>
      </w:rPr>
    </w:lvl>
    <w:lvl w:ilvl="6" w:tplc="E5129590">
      <w:numFmt w:val="bullet"/>
      <w:lvlText w:val="•"/>
      <w:lvlJc w:val="left"/>
      <w:pPr>
        <w:ind w:left="5768" w:hanging="139"/>
      </w:pPr>
      <w:rPr>
        <w:rFonts w:hint="default"/>
      </w:rPr>
    </w:lvl>
    <w:lvl w:ilvl="7" w:tplc="3978163A">
      <w:numFmt w:val="bullet"/>
      <w:lvlText w:val="•"/>
      <w:lvlJc w:val="left"/>
      <w:pPr>
        <w:ind w:left="6486" w:hanging="139"/>
      </w:pPr>
      <w:rPr>
        <w:rFonts w:hint="default"/>
      </w:rPr>
    </w:lvl>
    <w:lvl w:ilvl="8" w:tplc="EEB64420">
      <w:numFmt w:val="bullet"/>
      <w:lvlText w:val="•"/>
      <w:lvlJc w:val="left"/>
      <w:pPr>
        <w:ind w:left="7204" w:hanging="139"/>
      </w:pPr>
      <w:rPr>
        <w:rFonts w:hint="default"/>
      </w:rPr>
    </w:lvl>
  </w:abstractNum>
  <w:abstractNum w:abstractNumId="143" w15:restartNumberingAfterBreak="0">
    <w:nsid w:val="5FEB1782"/>
    <w:multiLevelType w:val="hybridMultilevel"/>
    <w:tmpl w:val="2AAECCA2"/>
    <w:lvl w:ilvl="0" w:tplc="15F83B04">
      <w:start w:val="1"/>
      <w:numFmt w:val="decimal"/>
      <w:lvlText w:val="%1"/>
      <w:lvlJc w:val="left"/>
      <w:pPr>
        <w:ind w:left="1147" w:hanging="139"/>
        <w:jc w:val="right"/>
      </w:pPr>
      <w:rPr>
        <w:rFonts w:ascii="Cambria" w:eastAsia="Cambria" w:hAnsi="Cambria" w:cs="Cambria" w:hint="default"/>
        <w:color w:val="231F20"/>
        <w:w w:val="104"/>
        <w:sz w:val="16"/>
        <w:szCs w:val="16"/>
      </w:rPr>
    </w:lvl>
    <w:lvl w:ilvl="1" w:tplc="6984872A">
      <w:numFmt w:val="bullet"/>
      <w:lvlText w:val="•"/>
      <w:lvlJc w:val="left"/>
      <w:pPr>
        <w:ind w:left="1890" w:hanging="139"/>
      </w:pPr>
      <w:rPr>
        <w:rFonts w:hint="default"/>
      </w:rPr>
    </w:lvl>
    <w:lvl w:ilvl="2" w:tplc="FE78F5A6">
      <w:numFmt w:val="bullet"/>
      <w:lvlText w:val="•"/>
      <w:lvlJc w:val="left"/>
      <w:pPr>
        <w:ind w:left="2640" w:hanging="139"/>
      </w:pPr>
      <w:rPr>
        <w:rFonts w:hint="default"/>
      </w:rPr>
    </w:lvl>
    <w:lvl w:ilvl="3" w:tplc="656AF88A">
      <w:numFmt w:val="bullet"/>
      <w:lvlText w:val="•"/>
      <w:lvlJc w:val="left"/>
      <w:pPr>
        <w:ind w:left="3390" w:hanging="139"/>
      </w:pPr>
      <w:rPr>
        <w:rFonts w:hint="default"/>
      </w:rPr>
    </w:lvl>
    <w:lvl w:ilvl="4" w:tplc="5BAE8B16">
      <w:numFmt w:val="bullet"/>
      <w:lvlText w:val="•"/>
      <w:lvlJc w:val="left"/>
      <w:pPr>
        <w:ind w:left="4140" w:hanging="139"/>
      </w:pPr>
      <w:rPr>
        <w:rFonts w:hint="default"/>
      </w:rPr>
    </w:lvl>
    <w:lvl w:ilvl="5" w:tplc="4322E93C">
      <w:numFmt w:val="bullet"/>
      <w:lvlText w:val="•"/>
      <w:lvlJc w:val="left"/>
      <w:pPr>
        <w:ind w:left="4890" w:hanging="139"/>
      </w:pPr>
      <w:rPr>
        <w:rFonts w:hint="default"/>
      </w:rPr>
    </w:lvl>
    <w:lvl w:ilvl="6" w:tplc="68B46250">
      <w:numFmt w:val="bullet"/>
      <w:lvlText w:val="•"/>
      <w:lvlJc w:val="left"/>
      <w:pPr>
        <w:ind w:left="5640" w:hanging="139"/>
      </w:pPr>
      <w:rPr>
        <w:rFonts w:hint="default"/>
      </w:rPr>
    </w:lvl>
    <w:lvl w:ilvl="7" w:tplc="2862961E">
      <w:numFmt w:val="bullet"/>
      <w:lvlText w:val="•"/>
      <w:lvlJc w:val="left"/>
      <w:pPr>
        <w:ind w:left="6390" w:hanging="139"/>
      </w:pPr>
      <w:rPr>
        <w:rFonts w:hint="default"/>
      </w:rPr>
    </w:lvl>
    <w:lvl w:ilvl="8" w:tplc="87F2EEBC">
      <w:numFmt w:val="bullet"/>
      <w:lvlText w:val="•"/>
      <w:lvlJc w:val="left"/>
      <w:pPr>
        <w:ind w:left="7140" w:hanging="139"/>
      </w:pPr>
      <w:rPr>
        <w:rFonts w:hint="default"/>
      </w:rPr>
    </w:lvl>
  </w:abstractNum>
  <w:abstractNum w:abstractNumId="144" w15:restartNumberingAfterBreak="0">
    <w:nsid w:val="603A6763"/>
    <w:multiLevelType w:val="hybridMultilevel"/>
    <w:tmpl w:val="202A4EF4"/>
    <w:lvl w:ilvl="0" w:tplc="6CF43E2E">
      <w:start w:val="1"/>
      <w:numFmt w:val="decimal"/>
      <w:lvlText w:val="%1"/>
      <w:lvlJc w:val="left"/>
      <w:pPr>
        <w:ind w:left="1147" w:hanging="139"/>
        <w:jc w:val="right"/>
      </w:pPr>
      <w:rPr>
        <w:rFonts w:ascii="Cambria" w:eastAsia="Cambria" w:hAnsi="Cambria" w:cs="Cambria" w:hint="default"/>
        <w:color w:val="231F20"/>
        <w:w w:val="104"/>
        <w:sz w:val="16"/>
        <w:szCs w:val="16"/>
      </w:rPr>
    </w:lvl>
    <w:lvl w:ilvl="1" w:tplc="C5C6C25A">
      <w:numFmt w:val="bullet"/>
      <w:lvlText w:val="•"/>
      <w:lvlJc w:val="left"/>
      <w:pPr>
        <w:ind w:left="1890" w:hanging="139"/>
      </w:pPr>
      <w:rPr>
        <w:rFonts w:hint="default"/>
      </w:rPr>
    </w:lvl>
    <w:lvl w:ilvl="2" w:tplc="716CDEC6">
      <w:numFmt w:val="bullet"/>
      <w:lvlText w:val="•"/>
      <w:lvlJc w:val="left"/>
      <w:pPr>
        <w:ind w:left="2640" w:hanging="139"/>
      </w:pPr>
      <w:rPr>
        <w:rFonts w:hint="default"/>
      </w:rPr>
    </w:lvl>
    <w:lvl w:ilvl="3" w:tplc="FD7296D4">
      <w:numFmt w:val="bullet"/>
      <w:lvlText w:val="•"/>
      <w:lvlJc w:val="left"/>
      <w:pPr>
        <w:ind w:left="3390" w:hanging="139"/>
      </w:pPr>
      <w:rPr>
        <w:rFonts w:hint="default"/>
      </w:rPr>
    </w:lvl>
    <w:lvl w:ilvl="4" w:tplc="AC5A9168">
      <w:numFmt w:val="bullet"/>
      <w:lvlText w:val="•"/>
      <w:lvlJc w:val="left"/>
      <w:pPr>
        <w:ind w:left="4140" w:hanging="139"/>
      </w:pPr>
      <w:rPr>
        <w:rFonts w:hint="default"/>
      </w:rPr>
    </w:lvl>
    <w:lvl w:ilvl="5" w:tplc="F11C56BA">
      <w:numFmt w:val="bullet"/>
      <w:lvlText w:val="•"/>
      <w:lvlJc w:val="left"/>
      <w:pPr>
        <w:ind w:left="4890" w:hanging="139"/>
      </w:pPr>
      <w:rPr>
        <w:rFonts w:hint="default"/>
      </w:rPr>
    </w:lvl>
    <w:lvl w:ilvl="6" w:tplc="A66ACB38">
      <w:numFmt w:val="bullet"/>
      <w:lvlText w:val="•"/>
      <w:lvlJc w:val="left"/>
      <w:pPr>
        <w:ind w:left="5640" w:hanging="139"/>
      </w:pPr>
      <w:rPr>
        <w:rFonts w:hint="default"/>
      </w:rPr>
    </w:lvl>
    <w:lvl w:ilvl="7" w:tplc="995CDC0C">
      <w:numFmt w:val="bullet"/>
      <w:lvlText w:val="•"/>
      <w:lvlJc w:val="left"/>
      <w:pPr>
        <w:ind w:left="6390" w:hanging="139"/>
      </w:pPr>
      <w:rPr>
        <w:rFonts w:hint="default"/>
      </w:rPr>
    </w:lvl>
    <w:lvl w:ilvl="8" w:tplc="327299AC">
      <w:numFmt w:val="bullet"/>
      <w:lvlText w:val="•"/>
      <w:lvlJc w:val="left"/>
      <w:pPr>
        <w:ind w:left="7140" w:hanging="139"/>
      </w:pPr>
      <w:rPr>
        <w:rFonts w:hint="default"/>
      </w:rPr>
    </w:lvl>
  </w:abstractNum>
  <w:abstractNum w:abstractNumId="145" w15:restartNumberingAfterBreak="0">
    <w:nsid w:val="60847D82"/>
    <w:multiLevelType w:val="hybridMultilevel"/>
    <w:tmpl w:val="68B08D7C"/>
    <w:lvl w:ilvl="0" w:tplc="35F8DC74">
      <w:start w:val="1"/>
      <w:numFmt w:val="decimal"/>
      <w:lvlText w:val="%1"/>
      <w:lvlJc w:val="left"/>
      <w:pPr>
        <w:ind w:left="1147" w:hanging="139"/>
        <w:jc w:val="right"/>
      </w:pPr>
      <w:rPr>
        <w:rFonts w:ascii="Cambria" w:eastAsia="Cambria" w:hAnsi="Cambria" w:cs="Cambria" w:hint="default"/>
        <w:color w:val="231F20"/>
        <w:w w:val="104"/>
        <w:sz w:val="16"/>
        <w:szCs w:val="16"/>
      </w:rPr>
    </w:lvl>
    <w:lvl w:ilvl="1" w:tplc="F5FA17C6">
      <w:numFmt w:val="bullet"/>
      <w:lvlText w:val="•"/>
      <w:lvlJc w:val="left"/>
      <w:pPr>
        <w:ind w:left="1890" w:hanging="139"/>
      </w:pPr>
      <w:rPr>
        <w:rFonts w:hint="default"/>
      </w:rPr>
    </w:lvl>
    <w:lvl w:ilvl="2" w:tplc="7BBC6CD8">
      <w:numFmt w:val="bullet"/>
      <w:lvlText w:val="•"/>
      <w:lvlJc w:val="left"/>
      <w:pPr>
        <w:ind w:left="2640" w:hanging="139"/>
      </w:pPr>
      <w:rPr>
        <w:rFonts w:hint="default"/>
      </w:rPr>
    </w:lvl>
    <w:lvl w:ilvl="3" w:tplc="079AE648">
      <w:numFmt w:val="bullet"/>
      <w:lvlText w:val="•"/>
      <w:lvlJc w:val="left"/>
      <w:pPr>
        <w:ind w:left="3390" w:hanging="139"/>
      </w:pPr>
      <w:rPr>
        <w:rFonts w:hint="default"/>
      </w:rPr>
    </w:lvl>
    <w:lvl w:ilvl="4" w:tplc="DFE29266">
      <w:numFmt w:val="bullet"/>
      <w:lvlText w:val="•"/>
      <w:lvlJc w:val="left"/>
      <w:pPr>
        <w:ind w:left="4140" w:hanging="139"/>
      </w:pPr>
      <w:rPr>
        <w:rFonts w:hint="default"/>
      </w:rPr>
    </w:lvl>
    <w:lvl w:ilvl="5" w:tplc="E0D02EAE">
      <w:numFmt w:val="bullet"/>
      <w:lvlText w:val="•"/>
      <w:lvlJc w:val="left"/>
      <w:pPr>
        <w:ind w:left="4890" w:hanging="139"/>
      </w:pPr>
      <w:rPr>
        <w:rFonts w:hint="default"/>
      </w:rPr>
    </w:lvl>
    <w:lvl w:ilvl="6" w:tplc="4B7E7C2A">
      <w:numFmt w:val="bullet"/>
      <w:lvlText w:val="•"/>
      <w:lvlJc w:val="left"/>
      <w:pPr>
        <w:ind w:left="5640" w:hanging="139"/>
      </w:pPr>
      <w:rPr>
        <w:rFonts w:hint="default"/>
      </w:rPr>
    </w:lvl>
    <w:lvl w:ilvl="7" w:tplc="BAE68F44">
      <w:numFmt w:val="bullet"/>
      <w:lvlText w:val="•"/>
      <w:lvlJc w:val="left"/>
      <w:pPr>
        <w:ind w:left="6390" w:hanging="139"/>
      </w:pPr>
      <w:rPr>
        <w:rFonts w:hint="default"/>
      </w:rPr>
    </w:lvl>
    <w:lvl w:ilvl="8" w:tplc="92FAF502">
      <w:numFmt w:val="bullet"/>
      <w:lvlText w:val="•"/>
      <w:lvlJc w:val="left"/>
      <w:pPr>
        <w:ind w:left="7140" w:hanging="139"/>
      </w:pPr>
      <w:rPr>
        <w:rFonts w:hint="default"/>
      </w:rPr>
    </w:lvl>
  </w:abstractNum>
  <w:abstractNum w:abstractNumId="146" w15:restartNumberingAfterBreak="0">
    <w:nsid w:val="62470682"/>
    <w:multiLevelType w:val="hybridMultilevel"/>
    <w:tmpl w:val="A4B2E77E"/>
    <w:lvl w:ilvl="0" w:tplc="79285E9C">
      <w:start w:val="1"/>
      <w:numFmt w:val="lowerLetter"/>
      <w:lvlText w:val="%1)"/>
      <w:lvlJc w:val="left"/>
      <w:pPr>
        <w:ind w:left="1659" w:hanging="210"/>
      </w:pPr>
      <w:rPr>
        <w:rFonts w:ascii="Cambria" w:eastAsia="Cambria" w:hAnsi="Cambria" w:cs="Cambria" w:hint="default"/>
        <w:i/>
        <w:color w:val="231F20"/>
        <w:w w:val="92"/>
        <w:sz w:val="19"/>
        <w:szCs w:val="19"/>
      </w:rPr>
    </w:lvl>
    <w:lvl w:ilvl="1" w:tplc="11566BA6">
      <w:numFmt w:val="bullet"/>
      <w:lvlText w:val="•"/>
      <w:lvlJc w:val="left"/>
      <w:pPr>
        <w:ind w:left="2358" w:hanging="210"/>
      </w:pPr>
      <w:rPr>
        <w:rFonts w:hint="default"/>
      </w:rPr>
    </w:lvl>
    <w:lvl w:ilvl="2" w:tplc="403A64B4">
      <w:numFmt w:val="bullet"/>
      <w:lvlText w:val="•"/>
      <w:lvlJc w:val="left"/>
      <w:pPr>
        <w:ind w:left="3056" w:hanging="210"/>
      </w:pPr>
      <w:rPr>
        <w:rFonts w:hint="default"/>
      </w:rPr>
    </w:lvl>
    <w:lvl w:ilvl="3" w:tplc="A9941AB8">
      <w:numFmt w:val="bullet"/>
      <w:lvlText w:val="•"/>
      <w:lvlJc w:val="left"/>
      <w:pPr>
        <w:ind w:left="3754" w:hanging="210"/>
      </w:pPr>
      <w:rPr>
        <w:rFonts w:hint="default"/>
      </w:rPr>
    </w:lvl>
    <w:lvl w:ilvl="4" w:tplc="5B1EF4CC">
      <w:numFmt w:val="bullet"/>
      <w:lvlText w:val="•"/>
      <w:lvlJc w:val="left"/>
      <w:pPr>
        <w:ind w:left="4452" w:hanging="210"/>
      </w:pPr>
      <w:rPr>
        <w:rFonts w:hint="default"/>
      </w:rPr>
    </w:lvl>
    <w:lvl w:ilvl="5" w:tplc="DE9EE746">
      <w:numFmt w:val="bullet"/>
      <w:lvlText w:val="•"/>
      <w:lvlJc w:val="left"/>
      <w:pPr>
        <w:ind w:left="5150" w:hanging="210"/>
      </w:pPr>
      <w:rPr>
        <w:rFonts w:hint="default"/>
      </w:rPr>
    </w:lvl>
    <w:lvl w:ilvl="6" w:tplc="0A280262">
      <w:numFmt w:val="bullet"/>
      <w:lvlText w:val="•"/>
      <w:lvlJc w:val="left"/>
      <w:pPr>
        <w:ind w:left="5848" w:hanging="210"/>
      </w:pPr>
      <w:rPr>
        <w:rFonts w:hint="default"/>
      </w:rPr>
    </w:lvl>
    <w:lvl w:ilvl="7" w:tplc="B80E733A">
      <w:numFmt w:val="bullet"/>
      <w:lvlText w:val="•"/>
      <w:lvlJc w:val="left"/>
      <w:pPr>
        <w:ind w:left="6546" w:hanging="210"/>
      </w:pPr>
      <w:rPr>
        <w:rFonts w:hint="default"/>
      </w:rPr>
    </w:lvl>
    <w:lvl w:ilvl="8" w:tplc="028C2FC8">
      <w:numFmt w:val="bullet"/>
      <w:lvlText w:val="•"/>
      <w:lvlJc w:val="left"/>
      <w:pPr>
        <w:ind w:left="7244" w:hanging="210"/>
      </w:pPr>
      <w:rPr>
        <w:rFonts w:hint="default"/>
      </w:rPr>
    </w:lvl>
  </w:abstractNum>
  <w:abstractNum w:abstractNumId="147" w15:restartNumberingAfterBreak="0">
    <w:nsid w:val="62AB08FB"/>
    <w:multiLevelType w:val="hybridMultilevel"/>
    <w:tmpl w:val="75441B88"/>
    <w:lvl w:ilvl="0" w:tplc="86F2705E">
      <w:start w:val="1"/>
      <w:numFmt w:val="decimal"/>
      <w:lvlText w:val="%1"/>
      <w:lvlJc w:val="left"/>
      <w:pPr>
        <w:ind w:left="1147" w:hanging="139"/>
      </w:pPr>
      <w:rPr>
        <w:rFonts w:ascii="Cambria" w:eastAsia="Cambria" w:hAnsi="Cambria" w:cs="Cambria" w:hint="default"/>
        <w:color w:val="231F20"/>
        <w:w w:val="104"/>
        <w:sz w:val="16"/>
        <w:szCs w:val="16"/>
      </w:rPr>
    </w:lvl>
    <w:lvl w:ilvl="1" w:tplc="2E526932">
      <w:numFmt w:val="bullet"/>
      <w:lvlText w:val="•"/>
      <w:lvlJc w:val="left"/>
      <w:pPr>
        <w:ind w:left="1890" w:hanging="139"/>
      </w:pPr>
      <w:rPr>
        <w:rFonts w:hint="default"/>
      </w:rPr>
    </w:lvl>
    <w:lvl w:ilvl="2" w:tplc="3D5A321C">
      <w:numFmt w:val="bullet"/>
      <w:lvlText w:val="•"/>
      <w:lvlJc w:val="left"/>
      <w:pPr>
        <w:ind w:left="2640" w:hanging="139"/>
      </w:pPr>
      <w:rPr>
        <w:rFonts w:hint="default"/>
      </w:rPr>
    </w:lvl>
    <w:lvl w:ilvl="3" w:tplc="B46C235A">
      <w:numFmt w:val="bullet"/>
      <w:lvlText w:val="•"/>
      <w:lvlJc w:val="left"/>
      <w:pPr>
        <w:ind w:left="3390" w:hanging="139"/>
      </w:pPr>
      <w:rPr>
        <w:rFonts w:hint="default"/>
      </w:rPr>
    </w:lvl>
    <w:lvl w:ilvl="4" w:tplc="911AFD22">
      <w:numFmt w:val="bullet"/>
      <w:lvlText w:val="•"/>
      <w:lvlJc w:val="left"/>
      <w:pPr>
        <w:ind w:left="4140" w:hanging="139"/>
      </w:pPr>
      <w:rPr>
        <w:rFonts w:hint="default"/>
      </w:rPr>
    </w:lvl>
    <w:lvl w:ilvl="5" w:tplc="CCD80CD6">
      <w:numFmt w:val="bullet"/>
      <w:lvlText w:val="•"/>
      <w:lvlJc w:val="left"/>
      <w:pPr>
        <w:ind w:left="4890" w:hanging="139"/>
      </w:pPr>
      <w:rPr>
        <w:rFonts w:hint="default"/>
      </w:rPr>
    </w:lvl>
    <w:lvl w:ilvl="6" w:tplc="E19A77BA">
      <w:numFmt w:val="bullet"/>
      <w:lvlText w:val="•"/>
      <w:lvlJc w:val="left"/>
      <w:pPr>
        <w:ind w:left="5640" w:hanging="139"/>
      </w:pPr>
      <w:rPr>
        <w:rFonts w:hint="default"/>
      </w:rPr>
    </w:lvl>
    <w:lvl w:ilvl="7" w:tplc="9A52B8EA">
      <w:numFmt w:val="bullet"/>
      <w:lvlText w:val="•"/>
      <w:lvlJc w:val="left"/>
      <w:pPr>
        <w:ind w:left="6390" w:hanging="139"/>
      </w:pPr>
      <w:rPr>
        <w:rFonts w:hint="default"/>
      </w:rPr>
    </w:lvl>
    <w:lvl w:ilvl="8" w:tplc="9692E3EE">
      <w:numFmt w:val="bullet"/>
      <w:lvlText w:val="•"/>
      <w:lvlJc w:val="left"/>
      <w:pPr>
        <w:ind w:left="7140" w:hanging="139"/>
      </w:pPr>
      <w:rPr>
        <w:rFonts w:hint="default"/>
      </w:rPr>
    </w:lvl>
  </w:abstractNum>
  <w:abstractNum w:abstractNumId="148" w15:restartNumberingAfterBreak="0">
    <w:nsid w:val="636A16CD"/>
    <w:multiLevelType w:val="hybridMultilevel"/>
    <w:tmpl w:val="BBF2AA6E"/>
    <w:lvl w:ilvl="0" w:tplc="DF0424E0">
      <w:start w:val="1"/>
      <w:numFmt w:val="upperLetter"/>
      <w:lvlText w:val="%1."/>
      <w:lvlJc w:val="left"/>
      <w:pPr>
        <w:ind w:left="1147" w:hanging="284"/>
      </w:pPr>
      <w:rPr>
        <w:rFonts w:ascii="Cambria" w:eastAsia="Cambria" w:hAnsi="Cambria" w:cs="Cambria" w:hint="default"/>
        <w:color w:val="231F20"/>
        <w:spacing w:val="0"/>
        <w:w w:val="115"/>
        <w:sz w:val="20"/>
        <w:szCs w:val="20"/>
      </w:rPr>
    </w:lvl>
    <w:lvl w:ilvl="1" w:tplc="0C34630E">
      <w:numFmt w:val="bullet"/>
      <w:lvlText w:val="•"/>
      <w:lvlJc w:val="left"/>
      <w:pPr>
        <w:ind w:left="1823" w:hanging="296"/>
      </w:pPr>
      <w:rPr>
        <w:rFonts w:ascii="Cambria" w:eastAsia="Cambria" w:hAnsi="Cambria" w:cs="Cambria" w:hint="default"/>
        <w:color w:val="231F20"/>
        <w:w w:val="112"/>
        <w:sz w:val="20"/>
        <w:szCs w:val="20"/>
      </w:rPr>
    </w:lvl>
    <w:lvl w:ilvl="2" w:tplc="8E943268">
      <w:numFmt w:val="bullet"/>
      <w:lvlText w:val="•"/>
      <w:lvlJc w:val="left"/>
      <w:pPr>
        <w:ind w:left="2577" w:hanging="296"/>
      </w:pPr>
      <w:rPr>
        <w:rFonts w:hint="default"/>
      </w:rPr>
    </w:lvl>
    <w:lvl w:ilvl="3" w:tplc="1DA6CAC2">
      <w:numFmt w:val="bullet"/>
      <w:lvlText w:val="•"/>
      <w:lvlJc w:val="left"/>
      <w:pPr>
        <w:ind w:left="3335" w:hanging="296"/>
      </w:pPr>
      <w:rPr>
        <w:rFonts w:hint="default"/>
      </w:rPr>
    </w:lvl>
    <w:lvl w:ilvl="4" w:tplc="0FF45924">
      <w:numFmt w:val="bullet"/>
      <w:lvlText w:val="•"/>
      <w:lvlJc w:val="left"/>
      <w:pPr>
        <w:ind w:left="4093" w:hanging="296"/>
      </w:pPr>
      <w:rPr>
        <w:rFonts w:hint="default"/>
      </w:rPr>
    </w:lvl>
    <w:lvl w:ilvl="5" w:tplc="47BA400C">
      <w:numFmt w:val="bullet"/>
      <w:lvlText w:val="•"/>
      <w:lvlJc w:val="left"/>
      <w:pPr>
        <w:ind w:left="4851" w:hanging="296"/>
      </w:pPr>
      <w:rPr>
        <w:rFonts w:hint="default"/>
      </w:rPr>
    </w:lvl>
    <w:lvl w:ilvl="6" w:tplc="660A0F6C">
      <w:numFmt w:val="bullet"/>
      <w:lvlText w:val="•"/>
      <w:lvlJc w:val="left"/>
      <w:pPr>
        <w:ind w:left="5608" w:hanging="296"/>
      </w:pPr>
      <w:rPr>
        <w:rFonts w:hint="default"/>
      </w:rPr>
    </w:lvl>
    <w:lvl w:ilvl="7" w:tplc="23549F18">
      <w:numFmt w:val="bullet"/>
      <w:lvlText w:val="•"/>
      <w:lvlJc w:val="left"/>
      <w:pPr>
        <w:ind w:left="6366" w:hanging="296"/>
      </w:pPr>
      <w:rPr>
        <w:rFonts w:hint="default"/>
      </w:rPr>
    </w:lvl>
    <w:lvl w:ilvl="8" w:tplc="EB3C24B8">
      <w:numFmt w:val="bullet"/>
      <w:lvlText w:val="•"/>
      <w:lvlJc w:val="left"/>
      <w:pPr>
        <w:ind w:left="7124" w:hanging="296"/>
      </w:pPr>
      <w:rPr>
        <w:rFonts w:hint="default"/>
      </w:rPr>
    </w:lvl>
  </w:abstractNum>
  <w:abstractNum w:abstractNumId="149" w15:restartNumberingAfterBreak="0">
    <w:nsid w:val="638A744B"/>
    <w:multiLevelType w:val="hybridMultilevel"/>
    <w:tmpl w:val="57444B1C"/>
    <w:lvl w:ilvl="0" w:tplc="0572415E">
      <w:start w:val="1"/>
      <w:numFmt w:val="decimal"/>
      <w:lvlText w:val="%1"/>
      <w:lvlJc w:val="left"/>
      <w:pPr>
        <w:ind w:left="1147" w:hanging="139"/>
        <w:jc w:val="right"/>
      </w:pPr>
      <w:rPr>
        <w:rFonts w:ascii="Cambria" w:eastAsia="Cambria" w:hAnsi="Cambria" w:cs="Cambria" w:hint="default"/>
        <w:color w:val="231F20"/>
        <w:w w:val="104"/>
        <w:sz w:val="16"/>
        <w:szCs w:val="16"/>
      </w:rPr>
    </w:lvl>
    <w:lvl w:ilvl="1" w:tplc="FD4AA0C6">
      <w:numFmt w:val="bullet"/>
      <w:lvlText w:val="•"/>
      <w:lvlJc w:val="left"/>
      <w:pPr>
        <w:ind w:left="1890" w:hanging="139"/>
      </w:pPr>
      <w:rPr>
        <w:rFonts w:hint="default"/>
      </w:rPr>
    </w:lvl>
    <w:lvl w:ilvl="2" w:tplc="74E8469A">
      <w:numFmt w:val="bullet"/>
      <w:lvlText w:val="•"/>
      <w:lvlJc w:val="left"/>
      <w:pPr>
        <w:ind w:left="2640" w:hanging="139"/>
      </w:pPr>
      <w:rPr>
        <w:rFonts w:hint="default"/>
      </w:rPr>
    </w:lvl>
    <w:lvl w:ilvl="3" w:tplc="EBAA8DA6">
      <w:numFmt w:val="bullet"/>
      <w:lvlText w:val="•"/>
      <w:lvlJc w:val="left"/>
      <w:pPr>
        <w:ind w:left="3390" w:hanging="139"/>
      </w:pPr>
      <w:rPr>
        <w:rFonts w:hint="default"/>
      </w:rPr>
    </w:lvl>
    <w:lvl w:ilvl="4" w:tplc="915878D4">
      <w:numFmt w:val="bullet"/>
      <w:lvlText w:val="•"/>
      <w:lvlJc w:val="left"/>
      <w:pPr>
        <w:ind w:left="4140" w:hanging="139"/>
      </w:pPr>
      <w:rPr>
        <w:rFonts w:hint="default"/>
      </w:rPr>
    </w:lvl>
    <w:lvl w:ilvl="5" w:tplc="004EF536">
      <w:numFmt w:val="bullet"/>
      <w:lvlText w:val="•"/>
      <w:lvlJc w:val="left"/>
      <w:pPr>
        <w:ind w:left="4890" w:hanging="139"/>
      </w:pPr>
      <w:rPr>
        <w:rFonts w:hint="default"/>
      </w:rPr>
    </w:lvl>
    <w:lvl w:ilvl="6" w:tplc="9CF60242">
      <w:numFmt w:val="bullet"/>
      <w:lvlText w:val="•"/>
      <w:lvlJc w:val="left"/>
      <w:pPr>
        <w:ind w:left="5640" w:hanging="139"/>
      </w:pPr>
      <w:rPr>
        <w:rFonts w:hint="default"/>
      </w:rPr>
    </w:lvl>
    <w:lvl w:ilvl="7" w:tplc="ECEA515E">
      <w:numFmt w:val="bullet"/>
      <w:lvlText w:val="•"/>
      <w:lvlJc w:val="left"/>
      <w:pPr>
        <w:ind w:left="6390" w:hanging="139"/>
      </w:pPr>
      <w:rPr>
        <w:rFonts w:hint="default"/>
      </w:rPr>
    </w:lvl>
    <w:lvl w:ilvl="8" w:tplc="08E6D4AA">
      <w:numFmt w:val="bullet"/>
      <w:lvlText w:val="•"/>
      <w:lvlJc w:val="left"/>
      <w:pPr>
        <w:ind w:left="7140" w:hanging="139"/>
      </w:pPr>
      <w:rPr>
        <w:rFonts w:hint="default"/>
      </w:rPr>
    </w:lvl>
  </w:abstractNum>
  <w:abstractNum w:abstractNumId="150" w15:restartNumberingAfterBreak="0">
    <w:nsid w:val="63EB6E6A"/>
    <w:multiLevelType w:val="hybridMultilevel"/>
    <w:tmpl w:val="2F8C5B94"/>
    <w:lvl w:ilvl="0" w:tplc="9992FD52">
      <w:start w:val="2"/>
      <w:numFmt w:val="decimal"/>
      <w:lvlText w:val="%1"/>
      <w:lvlJc w:val="left"/>
      <w:pPr>
        <w:ind w:left="1327" w:hanging="139"/>
      </w:pPr>
      <w:rPr>
        <w:rFonts w:ascii="Cambria" w:eastAsia="Cambria" w:hAnsi="Cambria" w:cs="Cambria" w:hint="default"/>
        <w:color w:val="231F20"/>
        <w:w w:val="104"/>
        <w:sz w:val="16"/>
        <w:szCs w:val="16"/>
      </w:rPr>
    </w:lvl>
    <w:lvl w:ilvl="1" w:tplc="F55684AC">
      <w:numFmt w:val="bullet"/>
      <w:lvlText w:val="•"/>
      <w:lvlJc w:val="left"/>
      <w:pPr>
        <w:ind w:left="2052" w:hanging="139"/>
      </w:pPr>
      <w:rPr>
        <w:rFonts w:hint="default"/>
      </w:rPr>
    </w:lvl>
    <w:lvl w:ilvl="2" w:tplc="5A4EE070">
      <w:numFmt w:val="bullet"/>
      <w:lvlText w:val="•"/>
      <w:lvlJc w:val="left"/>
      <w:pPr>
        <w:ind w:left="2784" w:hanging="139"/>
      </w:pPr>
      <w:rPr>
        <w:rFonts w:hint="default"/>
      </w:rPr>
    </w:lvl>
    <w:lvl w:ilvl="3" w:tplc="EAC062D8">
      <w:numFmt w:val="bullet"/>
      <w:lvlText w:val="•"/>
      <w:lvlJc w:val="left"/>
      <w:pPr>
        <w:ind w:left="3516" w:hanging="139"/>
      </w:pPr>
      <w:rPr>
        <w:rFonts w:hint="default"/>
      </w:rPr>
    </w:lvl>
    <w:lvl w:ilvl="4" w:tplc="727806A8">
      <w:numFmt w:val="bullet"/>
      <w:lvlText w:val="•"/>
      <w:lvlJc w:val="left"/>
      <w:pPr>
        <w:ind w:left="4248" w:hanging="139"/>
      </w:pPr>
      <w:rPr>
        <w:rFonts w:hint="default"/>
      </w:rPr>
    </w:lvl>
    <w:lvl w:ilvl="5" w:tplc="AA8E7E22">
      <w:numFmt w:val="bullet"/>
      <w:lvlText w:val="•"/>
      <w:lvlJc w:val="left"/>
      <w:pPr>
        <w:ind w:left="4980" w:hanging="139"/>
      </w:pPr>
      <w:rPr>
        <w:rFonts w:hint="default"/>
      </w:rPr>
    </w:lvl>
    <w:lvl w:ilvl="6" w:tplc="79AAD848">
      <w:numFmt w:val="bullet"/>
      <w:lvlText w:val="•"/>
      <w:lvlJc w:val="left"/>
      <w:pPr>
        <w:ind w:left="5712" w:hanging="139"/>
      </w:pPr>
      <w:rPr>
        <w:rFonts w:hint="default"/>
      </w:rPr>
    </w:lvl>
    <w:lvl w:ilvl="7" w:tplc="C9B496A4">
      <w:numFmt w:val="bullet"/>
      <w:lvlText w:val="•"/>
      <w:lvlJc w:val="left"/>
      <w:pPr>
        <w:ind w:left="6444" w:hanging="139"/>
      </w:pPr>
      <w:rPr>
        <w:rFonts w:hint="default"/>
      </w:rPr>
    </w:lvl>
    <w:lvl w:ilvl="8" w:tplc="BD001C0C">
      <w:numFmt w:val="bullet"/>
      <w:lvlText w:val="•"/>
      <w:lvlJc w:val="left"/>
      <w:pPr>
        <w:ind w:left="7176" w:hanging="139"/>
      </w:pPr>
      <w:rPr>
        <w:rFonts w:hint="default"/>
      </w:rPr>
    </w:lvl>
  </w:abstractNum>
  <w:abstractNum w:abstractNumId="151" w15:restartNumberingAfterBreak="0">
    <w:nsid w:val="652A525D"/>
    <w:multiLevelType w:val="hybridMultilevel"/>
    <w:tmpl w:val="E42274F6"/>
    <w:lvl w:ilvl="0" w:tplc="6818B61E">
      <w:start w:val="1"/>
      <w:numFmt w:val="decimal"/>
      <w:lvlText w:val="%1"/>
      <w:lvlJc w:val="left"/>
      <w:pPr>
        <w:ind w:left="1327" w:hanging="139"/>
      </w:pPr>
      <w:rPr>
        <w:rFonts w:ascii="Cambria" w:eastAsia="Cambria" w:hAnsi="Cambria" w:cs="Cambria" w:hint="default"/>
        <w:color w:val="231F20"/>
        <w:w w:val="104"/>
        <w:sz w:val="16"/>
        <w:szCs w:val="16"/>
      </w:rPr>
    </w:lvl>
    <w:lvl w:ilvl="1" w:tplc="37CCF3C6">
      <w:numFmt w:val="bullet"/>
      <w:lvlText w:val="•"/>
      <w:lvlJc w:val="left"/>
      <w:pPr>
        <w:ind w:left="2052" w:hanging="139"/>
      </w:pPr>
      <w:rPr>
        <w:rFonts w:hint="default"/>
      </w:rPr>
    </w:lvl>
    <w:lvl w:ilvl="2" w:tplc="9A7AA234">
      <w:numFmt w:val="bullet"/>
      <w:lvlText w:val="•"/>
      <w:lvlJc w:val="left"/>
      <w:pPr>
        <w:ind w:left="2784" w:hanging="139"/>
      </w:pPr>
      <w:rPr>
        <w:rFonts w:hint="default"/>
      </w:rPr>
    </w:lvl>
    <w:lvl w:ilvl="3" w:tplc="198A05CA">
      <w:numFmt w:val="bullet"/>
      <w:lvlText w:val="•"/>
      <w:lvlJc w:val="left"/>
      <w:pPr>
        <w:ind w:left="3516" w:hanging="139"/>
      </w:pPr>
      <w:rPr>
        <w:rFonts w:hint="default"/>
      </w:rPr>
    </w:lvl>
    <w:lvl w:ilvl="4" w:tplc="7D58FC44">
      <w:numFmt w:val="bullet"/>
      <w:lvlText w:val="•"/>
      <w:lvlJc w:val="left"/>
      <w:pPr>
        <w:ind w:left="4248" w:hanging="139"/>
      </w:pPr>
      <w:rPr>
        <w:rFonts w:hint="default"/>
      </w:rPr>
    </w:lvl>
    <w:lvl w:ilvl="5" w:tplc="6D4677DC">
      <w:numFmt w:val="bullet"/>
      <w:lvlText w:val="•"/>
      <w:lvlJc w:val="left"/>
      <w:pPr>
        <w:ind w:left="4980" w:hanging="139"/>
      </w:pPr>
      <w:rPr>
        <w:rFonts w:hint="default"/>
      </w:rPr>
    </w:lvl>
    <w:lvl w:ilvl="6" w:tplc="9DA2EA64">
      <w:numFmt w:val="bullet"/>
      <w:lvlText w:val="•"/>
      <w:lvlJc w:val="left"/>
      <w:pPr>
        <w:ind w:left="5712" w:hanging="139"/>
      </w:pPr>
      <w:rPr>
        <w:rFonts w:hint="default"/>
      </w:rPr>
    </w:lvl>
    <w:lvl w:ilvl="7" w:tplc="9DFC4348">
      <w:numFmt w:val="bullet"/>
      <w:lvlText w:val="•"/>
      <w:lvlJc w:val="left"/>
      <w:pPr>
        <w:ind w:left="6444" w:hanging="139"/>
      </w:pPr>
      <w:rPr>
        <w:rFonts w:hint="default"/>
      </w:rPr>
    </w:lvl>
    <w:lvl w:ilvl="8" w:tplc="995C0508">
      <w:numFmt w:val="bullet"/>
      <w:lvlText w:val="•"/>
      <w:lvlJc w:val="left"/>
      <w:pPr>
        <w:ind w:left="7176" w:hanging="139"/>
      </w:pPr>
      <w:rPr>
        <w:rFonts w:hint="default"/>
      </w:rPr>
    </w:lvl>
  </w:abstractNum>
  <w:abstractNum w:abstractNumId="152" w15:restartNumberingAfterBreak="0">
    <w:nsid w:val="655241F9"/>
    <w:multiLevelType w:val="hybridMultilevel"/>
    <w:tmpl w:val="74AC5FF2"/>
    <w:lvl w:ilvl="0" w:tplc="37CC0D82">
      <w:start w:val="1"/>
      <w:numFmt w:val="decimal"/>
      <w:lvlText w:val="%1"/>
      <w:lvlJc w:val="left"/>
      <w:pPr>
        <w:ind w:left="1147" w:hanging="139"/>
        <w:jc w:val="right"/>
      </w:pPr>
      <w:rPr>
        <w:rFonts w:ascii="Cambria" w:eastAsia="Cambria" w:hAnsi="Cambria" w:cs="Cambria" w:hint="default"/>
        <w:color w:val="231F20"/>
        <w:w w:val="104"/>
        <w:sz w:val="16"/>
        <w:szCs w:val="16"/>
      </w:rPr>
    </w:lvl>
    <w:lvl w:ilvl="1" w:tplc="9E500A8C">
      <w:numFmt w:val="bullet"/>
      <w:lvlText w:val="•"/>
      <w:lvlJc w:val="left"/>
      <w:pPr>
        <w:ind w:left="1890" w:hanging="139"/>
      </w:pPr>
      <w:rPr>
        <w:rFonts w:hint="default"/>
      </w:rPr>
    </w:lvl>
    <w:lvl w:ilvl="2" w:tplc="DF9263B8">
      <w:numFmt w:val="bullet"/>
      <w:lvlText w:val="•"/>
      <w:lvlJc w:val="left"/>
      <w:pPr>
        <w:ind w:left="2640" w:hanging="139"/>
      </w:pPr>
      <w:rPr>
        <w:rFonts w:hint="default"/>
      </w:rPr>
    </w:lvl>
    <w:lvl w:ilvl="3" w:tplc="FF529700">
      <w:numFmt w:val="bullet"/>
      <w:lvlText w:val="•"/>
      <w:lvlJc w:val="left"/>
      <w:pPr>
        <w:ind w:left="3390" w:hanging="139"/>
      </w:pPr>
      <w:rPr>
        <w:rFonts w:hint="default"/>
      </w:rPr>
    </w:lvl>
    <w:lvl w:ilvl="4" w:tplc="5C0A7306">
      <w:numFmt w:val="bullet"/>
      <w:lvlText w:val="•"/>
      <w:lvlJc w:val="left"/>
      <w:pPr>
        <w:ind w:left="4140" w:hanging="139"/>
      </w:pPr>
      <w:rPr>
        <w:rFonts w:hint="default"/>
      </w:rPr>
    </w:lvl>
    <w:lvl w:ilvl="5" w:tplc="32D8E260">
      <w:numFmt w:val="bullet"/>
      <w:lvlText w:val="•"/>
      <w:lvlJc w:val="left"/>
      <w:pPr>
        <w:ind w:left="4890" w:hanging="139"/>
      </w:pPr>
      <w:rPr>
        <w:rFonts w:hint="default"/>
      </w:rPr>
    </w:lvl>
    <w:lvl w:ilvl="6" w:tplc="014E8F54">
      <w:numFmt w:val="bullet"/>
      <w:lvlText w:val="•"/>
      <w:lvlJc w:val="left"/>
      <w:pPr>
        <w:ind w:left="5640" w:hanging="139"/>
      </w:pPr>
      <w:rPr>
        <w:rFonts w:hint="default"/>
      </w:rPr>
    </w:lvl>
    <w:lvl w:ilvl="7" w:tplc="EBDE3D64">
      <w:numFmt w:val="bullet"/>
      <w:lvlText w:val="•"/>
      <w:lvlJc w:val="left"/>
      <w:pPr>
        <w:ind w:left="6390" w:hanging="139"/>
      </w:pPr>
      <w:rPr>
        <w:rFonts w:hint="default"/>
      </w:rPr>
    </w:lvl>
    <w:lvl w:ilvl="8" w:tplc="A86CC67C">
      <w:numFmt w:val="bullet"/>
      <w:lvlText w:val="•"/>
      <w:lvlJc w:val="left"/>
      <w:pPr>
        <w:ind w:left="7140" w:hanging="139"/>
      </w:pPr>
      <w:rPr>
        <w:rFonts w:hint="default"/>
      </w:rPr>
    </w:lvl>
  </w:abstractNum>
  <w:abstractNum w:abstractNumId="153" w15:restartNumberingAfterBreak="0">
    <w:nsid w:val="6563538E"/>
    <w:multiLevelType w:val="hybridMultilevel"/>
    <w:tmpl w:val="75908B06"/>
    <w:lvl w:ilvl="0" w:tplc="C63A15D6">
      <w:start w:val="1"/>
      <w:numFmt w:val="decimal"/>
      <w:lvlText w:val="%1"/>
      <w:lvlJc w:val="left"/>
      <w:pPr>
        <w:ind w:left="1148" w:hanging="139"/>
        <w:jc w:val="right"/>
      </w:pPr>
      <w:rPr>
        <w:rFonts w:ascii="Cambria" w:eastAsia="Cambria" w:hAnsi="Cambria" w:cs="Cambria" w:hint="default"/>
        <w:color w:val="231F20"/>
        <w:w w:val="104"/>
        <w:sz w:val="16"/>
        <w:szCs w:val="16"/>
      </w:rPr>
    </w:lvl>
    <w:lvl w:ilvl="1" w:tplc="FB045612">
      <w:numFmt w:val="bullet"/>
      <w:lvlText w:val="•"/>
      <w:lvlJc w:val="left"/>
      <w:pPr>
        <w:ind w:left="1890" w:hanging="139"/>
      </w:pPr>
      <w:rPr>
        <w:rFonts w:hint="default"/>
      </w:rPr>
    </w:lvl>
    <w:lvl w:ilvl="2" w:tplc="54FA6840">
      <w:numFmt w:val="bullet"/>
      <w:lvlText w:val="•"/>
      <w:lvlJc w:val="left"/>
      <w:pPr>
        <w:ind w:left="2640" w:hanging="139"/>
      </w:pPr>
      <w:rPr>
        <w:rFonts w:hint="default"/>
      </w:rPr>
    </w:lvl>
    <w:lvl w:ilvl="3" w:tplc="CE1CC19E">
      <w:numFmt w:val="bullet"/>
      <w:lvlText w:val="•"/>
      <w:lvlJc w:val="left"/>
      <w:pPr>
        <w:ind w:left="3390" w:hanging="139"/>
      </w:pPr>
      <w:rPr>
        <w:rFonts w:hint="default"/>
      </w:rPr>
    </w:lvl>
    <w:lvl w:ilvl="4" w:tplc="6466FDE8">
      <w:numFmt w:val="bullet"/>
      <w:lvlText w:val="•"/>
      <w:lvlJc w:val="left"/>
      <w:pPr>
        <w:ind w:left="4140" w:hanging="139"/>
      </w:pPr>
      <w:rPr>
        <w:rFonts w:hint="default"/>
      </w:rPr>
    </w:lvl>
    <w:lvl w:ilvl="5" w:tplc="37B2FFE2">
      <w:numFmt w:val="bullet"/>
      <w:lvlText w:val="•"/>
      <w:lvlJc w:val="left"/>
      <w:pPr>
        <w:ind w:left="4890" w:hanging="139"/>
      </w:pPr>
      <w:rPr>
        <w:rFonts w:hint="default"/>
      </w:rPr>
    </w:lvl>
    <w:lvl w:ilvl="6" w:tplc="22EC28C2">
      <w:numFmt w:val="bullet"/>
      <w:lvlText w:val="•"/>
      <w:lvlJc w:val="left"/>
      <w:pPr>
        <w:ind w:left="5640" w:hanging="139"/>
      </w:pPr>
      <w:rPr>
        <w:rFonts w:hint="default"/>
      </w:rPr>
    </w:lvl>
    <w:lvl w:ilvl="7" w:tplc="14D2FBAA">
      <w:numFmt w:val="bullet"/>
      <w:lvlText w:val="•"/>
      <w:lvlJc w:val="left"/>
      <w:pPr>
        <w:ind w:left="6390" w:hanging="139"/>
      </w:pPr>
      <w:rPr>
        <w:rFonts w:hint="default"/>
      </w:rPr>
    </w:lvl>
    <w:lvl w:ilvl="8" w:tplc="753A9FB2">
      <w:numFmt w:val="bullet"/>
      <w:lvlText w:val="•"/>
      <w:lvlJc w:val="left"/>
      <w:pPr>
        <w:ind w:left="7140" w:hanging="139"/>
      </w:pPr>
      <w:rPr>
        <w:rFonts w:hint="default"/>
      </w:rPr>
    </w:lvl>
  </w:abstractNum>
  <w:abstractNum w:abstractNumId="154" w15:restartNumberingAfterBreak="0">
    <w:nsid w:val="65D97836"/>
    <w:multiLevelType w:val="hybridMultilevel"/>
    <w:tmpl w:val="ED9C30C0"/>
    <w:lvl w:ilvl="0" w:tplc="7A7A0FE6">
      <w:start w:val="1"/>
      <w:numFmt w:val="decimal"/>
      <w:lvlText w:val="%1"/>
      <w:lvlJc w:val="left"/>
      <w:pPr>
        <w:ind w:left="1147" w:hanging="139"/>
      </w:pPr>
      <w:rPr>
        <w:rFonts w:ascii="Cambria" w:eastAsia="Cambria" w:hAnsi="Cambria" w:cs="Cambria" w:hint="default"/>
        <w:color w:val="231F20"/>
        <w:w w:val="104"/>
        <w:sz w:val="16"/>
        <w:szCs w:val="16"/>
      </w:rPr>
    </w:lvl>
    <w:lvl w:ilvl="1" w:tplc="5058BF2E">
      <w:numFmt w:val="bullet"/>
      <w:lvlText w:val="•"/>
      <w:lvlJc w:val="left"/>
      <w:pPr>
        <w:ind w:left="1460" w:hanging="139"/>
      </w:pPr>
      <w:rPr>
        <w:rFonts w:hint="default"/>
      </w:rPr>
    </w:lvl>
    <w:lvl w:ilvl="2" w:tplc="0382F796">
      <w:numFmt w:val="bullet"/>
      <w:lvlText w:val="•"/>
      <w:lvlJc w:val="left"/>
      <w:pPr>
        <w:ind w:left="2257" w:hanging="139"/>
      </w:pPr>
      <w:rPr>
        <w:rFonts w:hint="default"/>
      </w:rPr>
    </w:lvl>
    <w:lvl w:ilvl="3" w:tplc="E5B6F5B6">
      <w:numFmt w:val="bullet"/>
      <w:lvlText w:val="•"/>
      <w:lvlJc w:val="left"/>
      <w:pPr>
        <w:ind w:left="3055" w:hanging="139"/>
      </w:pPr>
      <w:rPr>
        <w:rFonts w:hint="default"/>
      </w:rPr>
    </w:lvl>
    <w:lvl w:ilvl="4" w:tplc="0678AD90">
      <w:numFmt w:val="bullet"/>
      <w:lvlText w:val="•"/>
      <w:lvlJc w:val="left"/>
      <w:pPr>
        <w:ind w:left="3853" w:hanging="139"/>
      </w:pPr>
      <w:rPr>
        <w:rFonts w:hint="default"/>
      </w:rPr>
    </w:lvl>
    <w:lvl w:ilvl="5" w:tplc="F5EE68AC">
      <w:numFmt w:val="bullet"/>
      <w:lvlText w:val="•"/>
      <w:lvlJc w:val="left"/>
      <w:pPr>
        <w:ind w:left="4651" w:hanging="139"/>
      </w:pPr>
      <w:rPr>
        <w:rFonts w:hint="default"/>
      </w:rPr>
    </w:lvl>
    <w:lvl w:ilvl="6" w:tplc="2A4CF58A">
      <w:numFmt w:val="bullet"/>
      <w:lvlText w:val="•"/>
      <w:lvlJc w:val="left"/>
      <w:pPr>
        <w:ind w:left="5448" w:hanging="139"/>
      </w:pPr>
      <w:rPr>
        <w:rFonts w:hint="default"/>
      </w:rPr>
    </w:lvl>
    <w:lvl w:ilvl="7" w:tplc="6F3A6000">
      <w:numFmt w:val="bullet"/>
      <w:lvlText w:val="•"/>
      <w:lvlJc w:val="left"/>
      <w:pPr>
        <w:ind w:left="6246" w:hanging="139"/>
      </w:pPr>
      <w:rPr>
        <w:rFonts w:hint="default"/>
      </w:rPr>
    </w:lvl>
    <w:lvl w:ilvl="8" w:tplc="502ACDC2">
      <w:numFmt w:val="bullet"/>
      <w:lvlText w:val="•"/>
      <w:lvlJc w:val="left"/>
      <w:pPr>
        <w:ind w:left="7044" w:hanging="139"/>
      </w:pPr>
      <w:rPr>
        <w:rFonts w:hint="default"/>
      </w:rPr>
    </w:lvl>
  </w:abstractNum>
  <w:abstractNum w:abstractNumId="155" w15:restartNumberingAfterBreak="0">
    <w:nsid w:val="65E9590F"/>
    <w:multiLevelType w:val="hybridMultilevel"/>
    <w:tmpl w:val="986CFC7A"/>
    <w:lvl w:ilvl="0" w:tplc="7FF2ED6A">
      <w:start w:val="1"/>
      <w:numFmt w:val="decimal"/>
      <w:lvlText w:val="%1"/>
      <w:lvlJc w:val="left"/>
      <w:pPr>
        <w:ind w:left="1148" w:hanging="139"/>
        <w:jc w:val="right"/>
      </w:pPr>
      <w:rPr>
        <w:rFonts w:ascii="Cambria" w:eastAsia="Cambria" w:hAnsi="Cambria" w:cs="Cambria" w:hint="default"/>
        <w:color w:val="231F20"/>
        <w:w w:val="104"/>
        <w:sz w:val="16"/>
        <w:szCs w:val="16"/>
      </w:rPr>
    </w:lvl>
    <w:lvl w:ilvl="1" w:tplc="A71C4CF2">
      <w:numFmt w:val="bullet"/>
      <w:lvlText w:val="•"/>
      <w:lvlJc w:val="left"/>
      <w:pPr>
        <w:ind w:left="1890" w:hanging="139"/>
      </w:pPr>
      <w:rPr>
        <w:rFonts w:hint="default"/>
      </w:rPr>
    </w:lvl>
    <w:lvl w:ilvl="2" w:tplc="608A1B9C">
      <w:numFmt w:val="bullet"/>
      <w:lvlText w:val="•"/>
      <w:lvlJc w:val="left"/>
      <w:pPr>
        <w:ind w:left="2640" w:hanging="139"/>
      </w:pPr>
      <w:rPr>
        <w:rFonts w:hint="default"/>
      </w:rPr>
    </w:lvl>
    <w:lvl w:ilvl="3" w:tplc="8C5AFF0E">
      <w:numFmt w:val="bullet"/>
      <w:lvlText w:val="•"/>
      <w:lvlJc w:val="left"/>
      <w:pPr>
        <w:ind w:left="3390" w:hanging="139"/>
      </w:pPr>
      <w:rPr>
        <w:rFonts w:hint="default"/>
      </w:rPr>
    </w:lvl>
    <w:lvl w:ilvl="4" w:tplc="3EB8A09A">
      <w:numFmt w:val="bullet"/>
      <w:lvlText w:val="•"/>
      <w:lvlJc w:val="left"/>
      <w:pPr>
        <w:ind w:left="4140" w:hanging="139"/>
      </w:pPr>
      <w:rPr>
        <w:rFonts w:hint="default"/>
      </w:rPr>
    </w:lvl>
    <w:lvl w:ilvl="5" w:tplc="E10E726A">
      <w:numFmt w:val="bullet"/>
      <w:lvlText w:val="•"/>
      <w:lvlJc w:val="left"/>
      <w:pPr>
        <w:ind w:left="4890" w:hanging="139"/>
      </w:pPr>
      <w:rPr>
        <w:rFonts w:hint="default"/>
      </w:rPr>
    </w:lvl>
    <w:lvl w:ilvl="6" w:tplc="EA4892A6">
      <w:numFmt w:val="bullet"/>
      <w:lvlText w:val="•"/>
      <w:lvlJc w:val="left"/>
      <w:pPr>
        <w:ind w:left="5640" w:hanging="139"/>
      </w:pPr>
      <w:rPr>
        <w:rFonts w:hint="default"/>
      </w:rPr>
    </w:lvl>
    <w:lvl w:ilvl="7" w:tplc="792634D4">
      <w:numFmt w:val="bullet"/>
      <w:lvlText w:val="•"/>
      <w:lvlJc w:val="left"/>
      <w:pPr>
        <w:ind w:left="6390" w:hanging="139"/>
      </w:pPr>
      <w:rPr>
        <w:rFonts w:hint="default"/>
      </w:rPr>
    </w:lvl>
    <w:lvl w:ilvl="8" w:tplc="09A2E2F2">
      <w:numFmt w:val="bullet"/>
      <w:lvlText w:val="•"/>
      <w:lvlJc w:val="left"/>
      <w:pPr>
        <w:ind w:left="7140" w:hanging="139"/>
      </w:pPr>
      <w:rPr>
        <w:rFonts w:hint="default"/>
      </w:rPr>
    </w:lvl>
  </w:abstractNum>
  <w:abstractNum w:abstractNumId="156" w15:restartNumberingAfterBreak="0">
    <w:nsid w:val="664F41BD"/>
    <w:multiLevelType w:val="hybridMultilevel"/>
    <w:tmpl w:val="7FF8F482"/>
    <w:lvl w:ilvl="0" w:tplc="A7003C5A">
      <w:numFmt w:val="bullet"/>
      <w:lvlText w:val="•"/>
      <w:lvlJc w:val="left"/>
      <w:pPr>
        <w:ind w:left="1643" w:hanging="241"/>
      </w:pPr>
      <w:rPr>
        <w:rFonts w:ascii="Cambria" w:eastAsia="Cambria" w:hAnsi="Cambria" w:cs="Cambria" w:hint="default"/>
        <w:color w:val="231F20"/>
        <w:w w:val="112"/>
        <w:sz w:val="20"/>
        <w:szCs w:val="20"/>
      </w:rPr>
    </w:lvl>
    <w:lvl w:ilvl="1" w:tplc="C24ED11E">
      <w:numFmt w:val="bullet"/>
      <w:lvlText w:val="•"/>
      <w:lvlJc w:val="left"/>
      <w:pPr>
        <w:ind w:left="2340" w:hanging="241"/>
      </w:pPr>
      <w:rPr>
        <w:rFonts w:hint="default"/>
      </w:rPr>
    </w:lvl>
    <w:lvl w:ilvl="2" w:tplc="0BAC44DE">
      <w:numFmt w:val="bullet"/>
      <w:lvlText w:val="•"/>
      <w:lvlJc w:val="left"/>
      <w:pPr>
        <w:ind w:left="3040" w:hanging="241"/>
      </w:pPr>
      <w:rPr>
        <w:rFonts w:hint="default"/>
      </w:rPr>
    </w:lvl>
    <w:lvl w:ilvl="3" w:tplc="5728EBD8">
      <w:numFmt w:val="bullet"/>
      <w:lvlText w:val="•"/>
      <w:lvlJc w:val="left"/>
      <w:pPr>
        <w:ind w:left="3740" w:hanging="241"/>
      </w:pPr>
      <w:rPr>
        <w:rFonts w:hint="default"/>
      </w:rPr>
    </w:lvl>
    <w:lvl w:ilvl="4" w:tplc="53E044F4">
      <w:numFmt w:val="bullet"/>
      <w:lvlText w:val="•"/>
      <w:lvlJc w:val="left"/>
      <w:pPr>
        <w:ind w:left="4440" w:hanging="241"/>
      </w:pPr>
      <w:rPr>
        <w:rFonts w:hint="default"/>
      </w:rPr>
    </w:lvl>
    <w:lvl w:ilvl="5" w:tplc="D6A8946E">
      <w:numFmt w:val="bullet"/>
      <w:lvlText w:val="•"/>
      <w:lvlJc w:val="left"/>
      <w:pPr>
        <w:ind w:left="5140" w:hanging="241"/>
      </w:pPr>
      <w:rPr>
        <w:rFonts w:hint="default"/>
      </w:rPr>
    </w:lvl>
    <w:lvl w:ilvl="6" w:tplc="DA80D8F2">
      <w:numFmt w:val="bullet"/>
      <w:lvlText w:val="•"/>
      <w:lvlJc w:val="left"/>
      <w:pPr>
        <w:ind w:left="5840" w:hanging="241"/>
      </w:pPr>
      <w:rPr>
        <w:rFonts w:hint="default"/>
      </w:rPr>
    </w:lvl>
    <w:lvl w:ilvl="7" w:tplc="3CC82CE8">
      <w:numFmt w:val="bullet"/>
      <w:lvlText w:val="•"/>
      <w:lvlJc w:val="left"/>
      <w:pPr>
        <w:ind w:left="6540" w:hanging="241"/>
      </w:pPr>
      <w:rPr>
        <w:rFonts w:hint="default"/>
      </w:rPr>
    </w:lvl>
    <w:lvl w:ilvl="8" w:tplc="2CD67B60">
      <w:numFmt w:val="bullet"/>
      <w:lvlText w:val="•"/>
      <w:lvlJc w:val="left"/>
      <w:pPr>
        <w:ind w:left="7240" w:hanging="241"/>
      </w:pPr>
      <w:rPr>
        <w:rFonts w:hint="default"/>
      </w:rPr>
    </w:lvl>
  </w:abstractNum>
  <w:abstractNum w:abstractNumId="157" w15:restartNumberingAfterBreak="0">
    <w:nsid w:val="665D3E2D"/>
    <w:multiLevelType w:val="hybridMultilevel"/>
    <w:tmpl w:val="0B54D370"/>
    <w:lvl w:ilvl="0" w:tplc="02C0E010">
      <w:start w:val="1"/>
      <w:numFmt w:val="decimal"/>
      <w:lvlText w:val="%1"/>
      <w:lvlJc w:val="left"/>
      <w:pPr>
        <w:ind w:left="1148" w:hanging="139"/>
      </w:pPr>
      <w:rPr>
        <w:rFonts w:ascii="Cambria" w:eastAsia="Cambria" w:hAnsi="Cambria" w:cs="Cambria" w:hint="default"/>
        <w:color w:val="231F20"/>
        <w:w w:val="104"/>
        <w:sz w:val="16"/>
        <w:szCs w:val="16"/>
      </w:rPr>
    </w:lvl>
    <w:lvl w:ilvl="1" w:tplc="68D8B1B2">
      <w:numFmt w:val="bullet"/>
      <w:lvlText w:val="•"/>
      <w:lvlJc w:val="left"/>
      <w:pPr>
        <w:ind w:left="1320" w:hanging="139"/>
      </w:pPr>
      <w:rPr>
        <w:rFonts w:hint="default"/>
      </w:rPr>
    </w:lvl>
    <w:lvl w:ilvl="2" w:tplc="94AAB8C0">
      <w:numFmt w:val="bullet"/>
      <w:lvlText w:val="•"/>
      <w:lvlJc w:val="left"/>
      <w:pPr>
        <w:ind w:left="1560" w:hanging="139"/>
      </w:pPr>
      <w:rPr>
        <w:rFonts w:hint="default"/>
      </w:rPr>
    </w:lvl>
    <w:lvl w:ilvl="3" w:tplc="43BE544E">
      <w:numFmt w:val="bullet"/>
      <w:lvlText w:val="•"/>
      <w:lvlJc w:val="left"/>
      <w:pPr>
        <w:ind w:left="2445" w:hanging="139"/>
      </w:pPr>
      <w:rPr>
        <w:rFonts w:hint="default"/>
      </w:rPr>
    </w:lvl>
    <w:lvl w:ilvl="4" w:tplc="92A67A66">
      <w:numFmt w:val="bullet"/>
      <w:lvlText w:val="•"/>
      <w:lvlJc w:val="left"/>
      <w:pPr>
        <w:ind w:left="3330" w:hanging="139"/>
      </w:pPr>
      <w:rPr>
        <w:rFonts w:hint="default"/>
      </w:rPr>
    </w:lvl>
    <w:lvl w:ilvl="5" w:tplc="1F10FB50">
      <w:numFmt w:val="bullet"/>
      <w:lvlText w:val="•"/>
      <w:lvlJc w:val="left"/>
      <w:pPr>
        <w:ind w:left="4215" w:hanging="139"/>
      </w:pPr>
      <w:rPr>
        <w:rFonts w:hint="default"/>
      </w:rPr>
    </w:lvl>
    <w:lvl w:ilvl="6" w:tplc="C0089CB6">
      <w:numFmt w:val="bullet"/>
      <w:lvlText w:val="•"/>
      <w:lvlJc w:val="left"/>
      <w:pPr>
        <w:ind w:left="5100" w:hanging="139"/>
      </w:pPr>
      <w:rPr>
        <w:rFonts w:hint="default"/>
      </w:rPr>
    </w:lvl>
    <w:lvl w:ilvl="7" w:tplc="65BC4C0A">
      <w:numFmt w:val="bullet"/>
      <w:lvlText w:val="•"/>
      <w:lvlJc w:val="left"/>
      <w:pPr>
        <w:ind w:left="5985" w:hanging="139"/>
      </w:pPr>
      <w:rPr>
        <w:rFonts w:hint="default"/>
      </w:rPr>
    </w:lvl>
    <w:lvl w:ilvl="8" w:tplc="9CA6F8FC">
      <w:numFmt w:val="bullet"/>
      <w:lvlText w:val="•"/>
      <w:lvlJc w:val="left"/>
      <w:pPr>
        <w:ind w:left="6870" w:hanging="139"/>
      </w:pPr>
      <w:rPr>
        <w:rFonts w:hint="default"/>
      </w:rPr>
    </w:lvl>
  </w:abstractNum>
  <w:abstractNum w:abstractNumId="158" w15:restartNumberingAfterBreak="0">
    <w:nsid w:val="666458CC"/>
    <w:multiLevelType w:val="hybridMultilevel"/>
    <w:tmpl w:val="95C65A6A"/>
    <w:lvl w:ilvl="0" w:tplc="1FB6F436">
      <w:start w:val="1"/>
      <w:numFmt w:val="decimal"/>
      <w:lvlText w:val="%1"/>
      <w:lvlJc w:val="left"/>
      <w:pPr>
        <w:ind w:left="1147" w:hanging="139"/>
        <w:jc w:val="right"/>
      </w:pPr>
      <w:rPr>
        <w:rFonts w:ascii="Cambria" w:eastAsia="Cambria" w:hAnsi="Cambria" w:cs="Cambria" w:hint="default"/>
        <w:color w:val="231F20"/>
        <w:w w:val="104"/>
        <w:sz w:val="16"/>
        <w:szCs w:val="16"/>
      </w:rPr>
    </w:lvl>
    <w:lvl w:ilvl="1" w:tplc="40A4293A">
      <w:numFmt w:val="bullet"/>
      <w:lvlText w:val="•"/>
      <w:lvlJc w:val="left"/>
      <w:pPr>
        <w:ind w:left="1890" w:hanging="139"/>
      </w:pPr>
      <w:rPr>
        <w:rFonts w:hint="default"/>
      </w:rPr>
    </w:lvl>
    <w:lvl w:ilvl="2" w:tplc="F45E6E06">
      <w:numFmt w:val="bullet"/>
      <w:lvlText w:val="•"/>
      <w:lvlJc w:val="left"/>
      <w:pPr>
        <w:ind w:left="2640" w:hanging="139"/>
      </w:pPr>
      <w:rPr>
        <w:rFonts w:hint="default"/>
      </w:rPr>
    </w:lvl>
    <w:lvl w:ilvl="3" w:tplc="451CBFEE">
      <w:numFmt w:val="bullet"/>
      <w:lvlText w:val="•"/>
      <w:lvlJc w:val="left"/>
      <w:pPr>
        <w:ind w:left="3390" w:hanging="139"/>
      </w:pPr>
      <w:rPr>
        <w:rFonts w:hint="default"/>
      </w:rPr>
    </w:lvl>
    <w:lvl w:ilvl="4" w:tplc="B2A05408">
      <w:numFmt w:val="bullet"/>
      <w:lvlText w:val="•"/>
      <w:lvlJc w:val="left"/>
      <w:pPr>
        <w:ind w:left="4140" w:hanging="139"/>
      </w:pPr>
      <w:rPr>
        <w:rFonts w:hint="default"/>
      </w:rPr>
    </w:lvl>
    <w:lvl w:ilvl="5" w:tplc="1CD45A72">
      <w:numFmt w:val="bullet"/>
      <w:lvlText w:val="•"/>
      <w:lvlJc w:val="left"/>
      <w:pPr>
        <w:ind w:left="4890" w:hanging="139"/>
      </w:pPr>
      <w:rPr>
        <w:rFonts w:hint="default"/>
      </w:rPr>
    </w:lvl>
    <w:lvl w:ilvl="6" w:tplc="41DAD762">
      <w:numFmt w:val="bullet"/>
      <w:lvlText w:val="•"/>
      <w:lvlJc w:val="left"/>
      <w:pPr>
        <w:ind w:left="5640" w:hanging="139"/>
      </w:pPr>
      <w:rPr>
        <w:rFonts w:hint="default"/>
      </w:rPr>
    </w:lvl>
    <w:lvl w:ilvl="7" w:tplc="6690F8C6">
      <w:numFmt w:val="bullet"/>
      <w:lvlText w:val="•"/>
      <w:lvlJc w:val="left"/>
      <w:pPr>
        <w:ind w:left="6390" w:hanging="139"/>
      </w:pPr>
      <w:rPr>
        <w:rFonts w:hint="default"/>
      </w:rPr>
    </w:lvl>
    <w:lvl w:ilvl="8" w:tplc="4F0CF8CA">
      <w:numFmt w:val="bullet"/>
      <w:lvlText w:val="•"/>
      <w:lvlJc w:val="left"/>
      <w:pPr>
        <w:ind w:left="7140" w:hanging="139"/>
      </w:pPr>
      <w:rPr>
        <w:rFonts w:hint="default"/>
      </w:rPr>
    </w:lvl>
  </w:abstractNum>
  <w:abstractNum w:abstractNumId="159" w15:restartNumberingAfterBreak="0">
    <w:nsid w:val="667B4899"/>
    <w:multiLevelType w:val="hybridMultilevel"/>
    <w:tmpl w:val="B7107388"/>
    <w:lvl w:ilvl="0" w:tplc="C038CCC4">
      <w:start w:val="1"/>
      <w:numFmt w:val="decimal"/>
      <w:lvlText w:val="%1"/>
      <w:lvlJc w:val="left"/>
      <w:pPr>
        <w:ind w:left="1147" w:hanging="139"/>
      </w:pPr>
      <w:rPr>
        <w:rFonts w:ascii="Cambria" w:eastAsia="Cambria" w:hAnsi="Cambria" w:cs="Cambria" w:hint="default"/>
        <w:color w:val="231F20"/>
        <w:w w:val="104"/>
        <w:sz w:val="16"/>
        <w:szCs w:val="16"/>
      </w:rPr>
    </w:lvl>
    <w:lvl w:ilvl="1" w:tplc="1C2624C6">
      <w:start w:val="5"/>
      <w:numFmt w:val="decimal"/>
      <w:lvlText w:val="%2"/>
      <w:lvlJc w:val="left"/>
      <w:pPr>
        <w:ind w:left="1327" w:hanging="139"/>
      </w:pPr>
      <w:rPr>
        <w:rFonts w:ascii="Cambria" w:eastAsia="Cambria" w:hAnsi="Cambria" w:cs="Cambria" w:hint="default"/>
        <w:color w:val="231F20"/>
        <w:w w:val="104"/>
        <w:sz w:val="16"/>
        <w:szCs w:val="16"/>
      </w:rPr>
    </w:lvl>
    <w:lvl w:ilvl="2" w:tplc="27A07406">
      <w:numFmt w:val="bullet"/>
      <w:lvlText w:val="•"/>
      <w:lvlJc w:val="left"/>
      <w:pPr>
        <w:ind w:left="2133" w:hanging="139"/>
      </w:pPr>
      <w:rPr>
        <w:rFonts w:hint="default"/>
      </w:rPr>
    </w:lvl>
    <w:lvl w:ilvl="3" w:tplc="A4E8DE2A">
      <w:numFmt w:val="bullet"/>
      <w:lvlText w:val="•"/>
      <w:lvlJc w:val="left"/>
      <w:pPr>
        <w:ind w:left="2946" w:hanging="139"/>
      </w:pPr>
      <w:rPr>
        <w:rFonts w:hint="default"/>
      </w:rPr>
    </w:lvl>
    <w:lvl w:ilvl="4" w:tplc="A3E61A22">
      <w:numFmt w:val="bullet"/>
      <w:lvlText w:val="•"/>
      <w:lvlJc w:val="left"/>
      <w:pPr>
        <w:ind w:left="3760" w:hanging="139"/>
      </w:pPr>
      <w:rPr>
        <w:rFonts w:hint="default"/>
      </w:rPr>
    </w:lvl>
    <w:lvl w:ilvl="5" w:tplc="F5A688CE">
      <w:numFmt w:val="bullet"/>
      <w:lvlText w:val="•"/>
      <w:lvlJc w:val="left"/>
      <w:pPr>
        <w:ind w:left="4573" w:hanging="139"/>
      </w:pPr>
      <w:rPr>
        <w:rFonts w:hint="default"/>
      </w:rPr>
    </w:lvl>
    <w:lvl w:ilvl="6" w:tplc="C0CE491C">
      <w:numFmt w:val="bullet"/>
      <w:lvlText w:val="•"/>
      <w:lvlJc w:val="left"/>
      <w:pPr>
        <w:ind w:left="5386" w:hanging="139"/>
      </w:pPr>
      <w:rPr>
        <w:rFonts w:hint="default"/>
      </w:rPr>
    </w:lvl>
    <w:lvl w:ilvl="7" w:tplc="3C26E6C6">
      <w:numFmt w:val="bullet"/>
      <w:lvlText w:val="•"/>
      <w:lvlJc w:val="left"/>
      <w:pPr>
        <w:ind w:left="6200" w:hanging="139"/>
      </w:pPr>
      <w:rPr>
        <w:rFonts w:hint="default"/>
      </w:rPr>
    </w:lvl>
    <w:lvl w:ilvl="8" w:tplc="D54687F8">
      <w:numFmt w:val="bullet"/>
      <w:lvlText w:val="•"/>
      <w:lvlJc w:val="left"/>
      <w:pPr>
        <w:ind w:left="7013" w:hanging="139"/>
      </w:pPr>
      <w:rPr>
        <w:rFonts w:hint="default"/>
      </w:rPr>
    </w:lvl>
  </w:abstractNum>
  <w:abstractNum w:abstractNumId="160" w15:restartNumberingAfterBreak="0">
    <w:nsid w:val="66DC613A"/>
    <w:multiLevelType w:val="hybridMultilevel"/>
    <w:tmpl w:val="752C87E2"/>
    <w:lvl w:ilvl="0" w:tplc="66A8BF56">
      <w:start w:val="1"/>
      <w:numFmt w:val="decimal"/>
      <w:lvlText w:val="%1"/>
      <w:lvlJc w:val="left"/>
      <w:pPr>
        <w:ind w:left="1286" w:hanging="139"/>
      </w:pPr>
      <w:rPr>
        <w:rFonts w:ascii="Cambria" w:eastAsia="Cambria" w:hAnsi="Cambria" w:cs="Cambria" w:hint="default"/>
        <w:color w:val="231F20"/>
        <w:w w:val="104"/>
        <w:sz w:val="16"/>
        <w:szCs w:val="16"/>
      </w:rPr>
    </w:lvl>
    <w:lvl w:ilvl="1" w:tplc="F15C00EE">
      <w:numFmt w:val="bullet"/>
      <w:lvlText w:val="•"/>
      <w:lvlJc w:val="left"/>
      <w:pPr>
        <w:ind w:left="2016" w:hanging="139"/>
      </w:pPr>
      <w:rPr>
        <w:rFonts w:hint="default"/>
      </w:rPr>
    </w:lvl>
    <w:lvl w:ilvl="2" w:tplc="00200752">
      <w:numFmt w:val="bullet"/>
      <w:lvlText w:val="•"/>
      <w:lvlJc w:val="left"/>
      <w:pPr>
        <w:ind w:left="2752" w:hanging="139"/>
      </w:pPr>
      <w:rPr>
        <w:rFonts w:hint="default"/>
      </w:rPr>
    </w:lvl>
    <w:lvl w:ilvl="3" w:tplc="2EA2660C">
      <w:numFmt w:val="bullet"/>
      <w:lvlText w:val="•"/>
      <w:lvlJc w:val="left"/>
      <w:pPr>
        <w:ind w:left="3488" w:hanging="139"/>
      </w:pPr>
      <w:rPr>
        <w:rFonts w:hint="default"/>
      </w:rPr>
    </w:lvl>
    <w:lvl w:ilvl="4" w:tplc="5E66D932">
      <w:numFmt w:val="bullet"/>
      <w:lvlText w:val="•"/>
      <w:lvlJc w:val="left"/>
      <w:pPr>
        <w:ind w:left="4224" w:hanging="139"/>
      </w:pPr>
      <w:rPr>
        <w:rFonts w:hint="default"/>
      </w:rPr>
    </w:lvl>
    <w:lvl w:ilvl="5" w:tplc="CF4A0AAC">
      <w:numFmt w:val="bullet"/>
      <w:lvlText w:val="•"/>
      <w:lvlJc w:val="left"/>
      <w:pPr>
        <w:ind w:left="4960" w:hanging="139"/>
      </w:pPr>
      <w:rPr>
        <w:rFonts w:hint="default"/>
      </w:rPr>
    </w:lvl>
    <w:lvl w:ilvl="6" w:tplc="A9E2B1F4">
      <w:numFmt w:val="bullet"/>
      <w:lvlText w:val="•"/>
      <w:lvlJc w:val="left"/>
      <w:pPr>
        <w:ind w:left="5696" w:hanging="139"/>
      </w:pPr>
      <w:rPr>
        <w:rFonts w:hint="default"/>
      </w:rPr>
    </w:lvl>
    <w:lvl w:ilvl="7" w:tplc="80D4A3B0">
      <w:numFmt w:val="bullet"/>
      <w:lvlText w:val="•"/>
      <w:lvlJc w:val="left"/>
      <w:pPr>
        <w:ind w:left="6432" w:hanging="139"/>
      </w:pPr>
      <w:rPr>
        <w:rFonts w:hint="default"/>
      </w:rPr>
    </w:lvl>
    <w:lvl w:ilvl="8" w:tplc="2D20AFB2">
      <w:numFmt w:val="bullet"/>
      <w:lvlText w:val="•"/>
      <w:lvlJc w:val="left"/>
      <w:pPr>
        <w:ind w:left="7168" w:hanging="139"/>
      </w:pPr>
      <w:rPr>
        <w:rFonts w:hint="default"/>
      </w:rPr>
    </w:lvl>
  </w:abstractNum>
  <w:abstractNum w:abstractNumId="161" w15:restartNumberingAfterBreak="0">
    <w:nsid w:val="66F34DC1"/>
    <w:multiLevelType w:val="hybridMultilevel"/>
    <w:tmpl w:val="3C04F650"/>
    <w:lvl w:ilvl="0" w:tplc="14E262BA">
      <w:start w:val="1"/>
      <w:numFmt w:val="decimal"/>
      <w:lvlText w:val="%1"/>
      <w:lvlJc w:val="left"/>
      <w:pPr>
        <w:ind w:left="1147" w:hanging="139"/>
        <w:jc w:val="right"/>
      </w:pPr>
      <w:rPr>
        <w:rFonts w:ascii="Cambria" w:eastAsia="Cambria" w:hAnsi="Cambria" w:cs="Cambria" w:hint="default"/>
        <w:color w:val="231F20"/>
        <w:w w:val="104"/>
        <w:sz w:val="16"/>
        <w:szCs w:val="16"/>
      </w:rPr>
    </w:lvl>
    <w:lvl w:ilvl="1" w:tplc="DD56E272">
      <w:numFmt w:val="bullet"/>
      <w:lvlText w:val="•"/>
      <w:lvlJc w:val="left"/>
      <w:pPr>
        <w:ind w:left="1890" w:hanging="139"/>
      </w:pPr>
      <w:rPr>
        <w:rFonts w:hint="default"/>
      </w:rPr>
    </w:lvl>
    <w:lvl w:ilvl="2" w:tplc="AB964D88">
      <w:numFmt w:val="bullet"/>
      <w:lvlText w:val="•"/>
      <w:lvlJc w:val="left"/>
      <w:pPr>
        <w:ind w:left="2640" w:hanging="139"/>
      </w:pPr>
      <w:rPr>
        <w:rFonts w:hint="default"/>
      </w:rPr>
    </w:lvl>
    <w:lvl w:ilvl="3" w:tplc="BCDA929E">
      <w:numFmt w:val="bullet"/>
      <w:lvlText w:val="•"/>
      <w:lvlJc w:val="left"/>
      <w:pPr>
        <w:ind w:left="3390" w:hanging="139"/>
      </w:pPr>
      <w:rPr>
        <w:rFonts w:hint="default"/>
      </w:rPr>
    </w:lvl>
    <w:lvl w:ilvl="4" w:tplc="37147EF4">
      <w:numFmt w:val="bullet"/>
      <w:lvlText w:val="•"/>
      <w:lvlJc w:val="left"/>
      <w:pPr>
        <w:ind w:left="4140" w:hanging="139"/>
      </w:pPr>
      <w:rPr>
        <w:rFonts w:hint="default"/>
      </w:rPr>
    </w:lvl>
    <w:lvl w:ilvl="5" w:tplc="B6A2F1E8">
      <w:numFmt w:val="bullet"/>
      <w:lvlText w:val="•"/>
      <w:lvlJc w:val="left"/>
      <w:pPr>
        <w:ind w:left="4890" w:hanging="139"/>
      </w:pPr>
      <w:rPr>
        <w:rFonts w:hint="default"/>
      </w:rPr>
    </w:lvl>
    <w:lvl w:ilvl="6" w:tplc="0D3E4EA0">
      <w:numFmt w:val="bullet"/>
      <w:lvlText w:val="•"/>
      <w:lvlJc w:val="left"/>
      <w:pPr>
        <w:ind w:left="5640" w:hanging="139"/>
      </w:pPr>
      <w:rPr>
        <w:rFonts w:hint="default"/>
      </w:rPr>
    </w:lvl>
    <w:lvl w:ilvl="7" w:tplc="B15A7FB2">
      <w:numFmt w:val="bullet"/>
      <w:lvlText w:val="•"/>
      <w:lvlJc w:val="left"/>
      <w:pPr>
        <w:ind w:left="6390" w:hanging="139"/>
      </w:pPr>
      <w:rPr>
        <w:rFonts w:hint="default"/>
      </w:rPr>
    </w:lvl>
    <w:lvl w:ilvl="8" w:tplc="6E985216">
      <w:numFmt w:val="bullet"/>
      <w:lvlText w:val="•"/>
      <w:lvlJc w:val="left"/>
      <w:pPr>
        <w:ind w:left="7140" w:hanging="139"/>
      </w:pPr>
      <w:rPr>
        <w:rFonts w:hint="default"/>
      </w:rPr>
    </w:lvl>
  </w:abstractNum>
  <w:abstractNum w:abstractNumId="162" w15:restartNumberingAfterBreak="0">
    <w:nsid w:val="68845E0E"/>
    <w:multiLevelType w:val="hybridMultilevel"/>
    <w:tmpl w:val="21842AD0"/>
    <w:lvl w:ilvl="0" w:tplc="F5D2FC82">
      <w:start w:val="3"/>
      <w:numFmt w:val="decimal"/>
      <w:lvlText w:val="%1"/>
      <w:lvlJc w:val="left"/>
      <w:pPr>
        <w:ind w:left="1147" w:hanging="139"/>
      </w:pPr>
      <w:rPr>
        <w:rFonts w:ascii="Cambria" w:eastAsia="Cambria" w:hAnsi="Cambria" w:cs="Cambria" w:hint="default"/>
        <w:color w:val="231F20"/>
        <w:w w:val="104"/>
        <w:sz w:val="16"/>
        <w:szCs w:val="16"/>
      </w:rPr>
    </w:lvl>
    <w:lvl w:ilvl="1" w:tplc="985465C2">
      <w:numFmt w:val="bullet"/>
      <w:lvlText w:val="•"/>
      <w:lvlJc w:val="left"/>
      <w:pPr>
        <w:ind w:left="1890" w:hanging="139"/>
      </w:pPr>
      <w:rPr>
        <w:rFonts w:hint="default"/>
      </w:rPr>
    </w:lvl>
    <w:lvl w:ilvl="2" w:tplc="2294F0DC">
      <w:numFmt w:val="bullet"/>
      <w:lvlText w:val="•"/>
      <w:lvlJc w:val="left"/>
      <w:pPr>
        <w:ind w:left="2640" w:hanging="139"/>
      </w:pPr>
      <w:rPr>
        <w:rFonts w:hint="default"/>
      </w:rPr>
    </w:lvl>
    <w:lvl w:ilvl="3" w:tplc="AFE68980">
      <w:numFmt w:val="bullet"/>
      <w:lvlText w:val="•"/>
      <w:lvlJc w:val="left"/>
      <w:pPr>
        <w:ind w:left="3390" w:hanging="139"/>
      </w:pPr>
      <w:rPr>
        <w:rFonts w:hint="default"/>
      </w:rPr>
    </w:lvl>
    <w:lvl w:ilvl="4" w:tplc="700ACD24">
      <w:numFmt w:val="bullet"/>
      <w:lvlText w:val="•"/>
      <w:lvlJc w:val="left"/>
      <w:pPr>
        <w:ind w:left="4140" w:hanging="139"/>
      </w:pPr>
      <w:rPr>
        <w:rFonts w:hint="default"/>
      </w:rPr>
    </w:lvl>
    <w:lvl w:ilvl="5" w:tplc="547473EC">
      <w:numFmt w:val="bullet"/>
      <w:lvlText w:val="•"/>
      <w:lvlJc w:val="left"/>
      <w:pPr>
        <w:ind w:left="4890" w:hanging="139"/>
      </w:pPr>
      <w:rPr>
        <w:rFonts w:hint="default"/>
      </w:rPr>
    </w:lvl>
    <w:lvl w:ilvl="6" w:tplc="948432D0">
      <w:numFmt w:val="bullet"/>
      <w:lvlText w:val="•"/>
      <w:lvlJc w:val="left"/>
      <w:pPr>
        <w:ind w:left="5640" w:hanging="139"/>
      </w:pPr>
      <w:rPr>
        <w:rFonts w:hint="default"/>
      </w:rPr>
    </w:lvl>
    <w:lvl w:ilvl="7" w:tplc="BFAA581A">
      <w:numFmt w:val="bullet"/>
      <w:lvlText w:val="•"/>
      <w:lvlJc w:val="left"/>
      <w:pPr>
        <w:ind w:left="6390" w:hanging="139"/>
      </w:pPr>
      <w:rPr>
        <w:rFonts w:hint="default"/>
      </w:rPr>
    </w:lvl>
    <w:lvl w:ilvl="8" w:tplc="7004A8B0">
      <w:numFmt w:val="bullet"/>
      <w:lvlText w:val="•"/>
      <w:lvlJc w:val="left"/>
      <w:pPr>
        <w:ind w:left="7140" w:hanging="139"/>
      </w:pPr>
      <w:rPr>
        <w:rFonts w:hint="default"/>
      </w:rPr>
    </w:lvl>
  </w:abstractNum>
  <w:abstractNum w:abstractNumId="163" w15:restartNumberingAfterBreak="0">
    <w:nsid w:val="6AE6494A"/>
    <w:multiLevelType w:val="hybridMultilevel"/>
    <w:tmpl w:val="C92AD7B6"/>
    <w:lvl w:ilvl="0" w:tplc="FB0E00D0">
      <w:start w:val="2"/>
      <w:numFmt w:val="decimal"/>
      <w:lvlText w:val="%1"/>
      <w:lvlJc w:val="left"/>
      <w:pPr>
        <w:ind w:left="1147" w:hanging="139"/>
        <w:jc w:val="right"/>
      </w:pPr>
      <w:rPr>
        <w:rFonts w:ascii="Cambria" w:eastAsia="Cambria" w:hAnsi="Cambria" w:cs="Cambria" w:hint="default"/>
        <w:color w:val="231F20"/>
        <w:w w:val="104"/>
        <w:sz w:val="16"/>
        <w:szCs w:val="16"/>
      </w:rPr>
    </w:lvl>
    <w:lvl w:ilvl="1" w:tplc="82B01B1C">
      <w:numFmt w:val="bullet"/>
      <w:lvlText w:val="•"/>
      <w:lvlJc w:val="left"/>
      <w:pPr>
        <w:ind w:left="1890" w:hanging="139"/>
      </w:pPr>
      <w:rPr>
        <w:rFonts w:hint="default"/>
      </w:rPr>
    </w:lvl>
    <w:lvl w:ilvl="2" w:tplc="55563616">
      <w:numFmt w:val="bullet"/>
      <w:lvlText w:val="•"/>
      <w:lvlJc w:val="left"/>
      <w:pPr>
        <w:ind w:left="2640" w:hanging="139"/>
      </w:pPr>
      <w:rPr>
        <w:rFonts w:hint="default"/>
      </w:rPr>
    </w:lvl>
    <w:lvl w:ilvl="3" w:tplc="511CF7B6">
      <w:numFmt w:val="bullet"/>
      <w:lvlText w:val="•"/>
      <w:lvlJc w:val="left"/>
      <w:pPr>
        <w:ind w:left="3390" w:hanging="139"/>
      </w:pPr>
      <w:rPr>
        <w:rFonts w:hint="default"/>
      </w:rPr>
    </w:lvl>
    <w:lvl w:ilvl="4" w:tplc="B922C6CE">
      <w:numFmt w:val="bullet"/>
      <w:lvlText w:val="•"/>
      <w:lvlJc w:val="left"/>
      <w:pPr>
        <w:ind w:left="4140" w:hanging="139"/>
      </w:pPr>
      <w:rPr>
        <w:rFonts w:hint="default"/>
      </w:rPr>
    </w:lvl>
    <w:lvl w:ilvl="5" w:tplc="515489B0">
      <w:numFmt w:val="bullet"/>
      <w:lvlText w:val="•"/>
      <w:lvlJc w:val="left"/>
      <w:pPr>
        <w:ind w:left="4890" w:hanging="139"/>
      </w:pPr>
      <w:rPr>
        <w:rFonts w:hint="default"/>
      </w:rPr>
    </w:lvl>
    <w:lvl w:ilvl="6" w:tplc="98603168">
      <w:numFmt w:val="bullet"/>
      <w:lvlText w:val="•"/>
      <w:lvlJc w:val="left"/>
      <w:pPr>
        <w:ind w:left="5640" w:hanging="139"/>
      </w:pPr>
      <w:rPr>
        <w:rFonts w:hint="default"/>
      </w:rPr>
    </w:lvl>
    <w:lvl w:ilvl="7" w:tplc="E7D8E926">
      <w:numFmt w:val="bullet"/>
      <w:lvlText w:val="•"/>
      <w:lvlJc w:val="left"/>
      <w:pPr>
        <w:ind w:left="6390" w:hanging="139"/>
      </w:pPr>
      <w:rPr>
        <w:rFonts w:hint="default"/>
      </w:rPr>
    </w:lvl>
    <w:lvl w:ilvl="8" w:tplc="117AE744">
      <w:numFmt w:val="bullet"/>
      <w:lvlText w:val="•"/>
      <w:lvlJc w:val="left"/>
      <w:pPr>
        <w:ind w:left="7140" w:hanging="139"/>
      </w:pPr>
      <w:rPr>
        <w:rFonts w:hint="default"/>
      </w:rPr>
    </w:lvl>
  </w:abstractNum>
  <w:abstractNum w:abstractNumId="164" w15:restartNumberingAfterBreak="0">
    <w:nsid w:val="6D534E02"/>
    <w:multiLevelType w:val="hybridMultilevel"/>
    <w:tmpl w:val="ABE4D06A"/>
    <w:lvl w:ilvl="0" w:tplc="FAA2AA28">
      <w:start w:val="2"/>
      <w:numFmt w:val="decimal"/>
      <w:lvlText w:val="%1"/>
      <w:lvlJc w:val="left"/>
      <w:pPr>
        <w:ind w:left="1147" w:hanging="139"/>
        <w:jc w:val="right"/>
      </w:pPr>
      <w:rPr>
        <w:rFonts w:ascii="Cambria" w:eastAsia="Cambria" w:hAnsi="Cambria" w:cs="Cambria" w:hint="default"/>
        <w:color w:val="231F20"/>
        <w:w w:val="104"/>
        <w:sz w:val="16"/>
        <w:szCs w:val="16"/>
      </w:rPr>
    </w:lvl>
    <w:lvl w:ilvl="1" w:tplc="49F825EE">
      <w:numFmt w:val="bullet"/>
      <w:lvlText w:val="•"/>
      <w:lvlJc w:val="left"/>
      <w:pPr>
        <w:ind w:left="1890" w:hanging="139"/>
      </w:pPr>
      <w:rPr>
        <w:rFonts w:hint="default"/>
      </w:rPr>
    </w:lvl>
    <w:lvl w:ilvl="2" w:tplc="75329BFC">
      <w:numFmt w:val="bullet"/>
      <w:lvlText w:val="•"/>
      <w:lvlJc w:val="left"/>
      <w:pPr>
        <w:ind w:left="2640" w:hanging="139"/>
      </w:pPr>
      <w:rPr>
        <w:rFonts w:hint="default"/>
      </w:rPr>
    </w:lvl>
    <w:lvl w:ilvl="3" w:tplc="AB6A7B16">
      <w:numFmt w:val="bullet"/>
      <w:lvlText w:val="•"/>
      <w:lvlJc w:val="left"/>
      <w:pPr>
        <w:ind w:left="3390" w:hanging="139"/>
      </w:pPr>
      <w:rPr>
        <w:rFonts w:hint="default"/>
      </w:rPr>
    </w:lvl>
    <w:lvl w:ilvl="4" w:tplc="82929C94">
      <w:numFmt w:val="bullet"/>
      <w:lvlText w:val="•"/>
      <w:lvlJc w:val="left"/>
      <w:pPr>
        <w:ind w:left="4140" w:hanging="139"/>
      </w:pPr>
      <w:rPr>
        <w:rFonts w:hint="default"/>
      </w:rPr>
    </w:lvl>
    <w:lvl w:ilvl="5" w:tplc="70944202">
      <w:numFmt w:val="bullet"/>
      <w:lvlText w:val="•"/>
      <w:lvlJc w:val="left"/>
      <w:pPr>
        <w:ind w:left="4890" w:hanging="139"/>
      </w:pPr>
      <w:rPr>
        <w:rFonts w:hint="default"/>
      </w:rPr>
    </w:lvl>
    <w:lvl w:ilvl="6" w:tplc="C7EAF766">
      <w:numFmt w:val="bullet"/>
      <w:lvlText w:val="•"/>
      <w:lvlJc w:val="left"/>
      <w:pPr>
        <w:ind w:left="5640" w:hanging="139"/>
      </w:pPr>
      <w:rPr>
        <w:rFonts w:hint="default"/>
      </w:rPr>
    </w:lvl>
    <w:lvl w:ilvl="7" w:tplc="8A30E262">
      <w:numFmt w:val="bullet"/>
      <w:lvlText w:val="•"/>
      <w:lvlJc w:val="left"/>
      <w:pPr>
        <w:ind w:left="6390" w:hanging="139"/>
      </w:pPr>
      <w:rPr>
        <w:rFonts w:hint="default"/>
      </w:rPr>
    </w:lvl>
    <w:lvl w:ilvl="8" w:tplc="7432FC96">
      <w:numFmt w:val="bullet"/>
      <w:lvlText w:val="•"/>
      <w:lvlJc w:val="left"/>
      <w:pPr>
        <w:ind w:left="7140" w:hanging="139"/>
      </w:pPr>
      <w:rPr>
        <w:rFonts w:hint="default"/>
      </w:rPr>
    </w:lvl>
  </w:abstractNum>
  <w:abstractNum w:abstractNumId="165" w15:restartNumberingAfterBreak="0">
    <w:nsid w:val="6E4C33DB"/>
    <w:multiLevelType w:val="hybridMultilevel"/>
    <w:tmpl w:val="223CD51E"/>
    <w:lvl w:ilvl="0" w:tplc="569AB6F0">
      <w:start w:val="1"/>
      <w:numFmt w:val="decimal"/>
      <w:lvlText w:val="%1"/>
      <w:lvlJc w:val="left"/>
      <w:pPr>
        <w:ind w:left="1147" w:hanging="139"/>
      </w:pPr>
      <w:rPr>
        <w:rFonts w:ascii="Cambria" w:eastAsia="Cambria" w:hAnsi="Cambria" w:cs="Cambria" w:hint="default"/>
        <w:color w:val="231F20"/>
        <w:w w:val="104"/>
        <w:sz w:val="16"/>
        <w:szCs w:val="16"/>
      </w:rPr>
    </w:lvl>
    <w:lvl w:ilvl="1" w:tplc="9C0CE7C8">
      <w:start w:val="6"/>
      <w:numFmt w:val="decimal"/>
      <w:lvlText w:val="%2"/>
      <w:lvlJc w:val="left"/>
      <w:pPr>
        <w:ind w:left="1327" w:hanging="139"/>
      </w:pPr>
      <w:rPr>
        <w:rFonts w:ascii="Cambria" w:eastAsia="Cambria" w:hAnsi="Cambria" w:cs="Cambria" w:hint="default"/>
        <w:color w:val="231F20"/>
        <w:w w:val="104"/>
        <w:sz w:val="16"/>
        <w:szCs w:val="16"/>
      </w:rPr>
    </w:lvl>
    <w:lvl w:ilvl="2" w:tplc="7690F6DA">
      <w:numFmt w:val="bullet"/>
      <w:lvlText w:val="•"/>
      <w:lvlJc w:val="left"/>
      <w:pPr>
        <w:ind w:left="2133" w:hanging="139"/>
      </w:pPr>
      <w:rPr>
        <w:rFonts w:hint="default"/>
      </w:rPr>
    </w:lvl>
    <w:lvl w:ilvl="3" w:tplc="8C087662">
      <w:numFmt w:val="bullet"/>
      <w:lvlText w:val="•"/>
      <w:lvlJc w:val="left"/>
      <w:pPr>
        <w:ind w:left="2946" w:hanging="139"/>
      </w:pPr>
      <w:rPr>
        <w:rFonts w:hint="default"/>
      </w:rPr>
    </w:lvl>
    <w:lvl w:ilvl="4" w:tplc="1C02EEF4">
      <w:numFmt w:val="bullet"/>
      <w:lvlText w:val="•"/>
      <w:lvlJc w:val="left"/>
      <w:pPr>
        <w:ind w:left="3760" w:hanging="139"/>
      </w:pPr>
      <w:rPr>
        <w:rFonts w:hint="default"/>
      </w:rPr>
    </w:lvl>
    <w:lvl w:ilvl="5" w:tplc="A5DA4794">
      <w:numFmt w:val="bullet"/>
      <w:lvlText w:val="•"/>
      <w:lvlJc w:val="left"/>
      <w:pPr>
        <w:ind w:left="4573" w:hanging="139"/>
      </w:pPr>
      <w:rPr>
        <w:rFonts w:hint="default"/>
      </w:rPr>
    </w:lvl>
    <w:lvl w:ilvl="6" w:tplc="468A73E2">
      <w:numFmt w:val="bullet"/>
      <w:lvlText w:val="•"/>
      <w:lvlJc w:val="left"/>
      <w:pPr>
        <w:ind w:left="5386" w:hanging="139"/>
      </w:pPr>
      <w:rPr>
        <w:rFonts w:hint="default"/>
      </w:rPr>
    </w:lvl>
    <w:lvl w:ilvl="7" w:tplc="12103A64">
      <w:numFmt w:val="bullet"/>
      <w:lvlText w:val="•"/>
      <w:lvlJc w:val="left"/>
      <w:pPr>
        <w:ind w:left="6200" w:hanging="139"/>
      </w:pPr>
      <w:rPr>
        <w:rFonts w:hint="default"/>
      </w:rPr>
    </w:lvl>
    <w:lvl w:ilvl="8" w:tplc="718A523A">
      <w:numFmt w:val="bullet"/>
      <w:lvlText w:val="•"/>
      <w:lvlJc w:val="left"/>
      <w:pPr>
        <w:ind w:left="7013" w:hanging="139"/>
      </w:pPr>
      <w:rPr>
        <w:rFonts w:hint="default"/>
      </w:rPr>
    </w:lvl>
  </w:abstractNum>
  <w:abstractNum w:abstractNumId="166" w15:restartNumberingAfterBreak="0">
    <w:nsid w:val="6FAD0A06"/>
    <w:multiLevelType w:val="hybridMultilevel"/>
    <w:tmpl w:val="71CC2072"/>
    <w:lvl w:ilvl="0" w:tplc="3DF06D36">
      <w:start w:val="1"/>
      <w:numFmt w:val="decimal"/>
      <w:lvlText w:val="%1"/>
      <w:lvlJc w:val="left"/>
      <w:pPr>
        <w:ind w:left="1327" w:hanging="139"/>
      </w:pPr>
      <w:rPr>
        <w:rFonts w:ascii="Cambria" w:eastAsia="Cambria" w:hAnsi="Cambria" w:cs="Cambria" w:hint="default"/>
        <w:color w:val="231F20"/>
        <w:w w:val="104"/>
        <w:sz w:val="16"/>
        <w:szCs w:val="16"/>
      </w:rPr>
    </w:lvl>
    <w:lvl w:ilvl="1" w:tplc="27AA1110">
      <w:numFmt w:val="bullet"/>
      <w:lvlText w:val="•"/>
      <w:lvlJc w:val="left"/>
      <w:pPr>
        <w:ind w:left="2052" w:hanging="139"/>
      </w:pPr>
      <w:rPr>
        <w:rFonts w:hint="default"/>
      </w:rPr>
    </w:lvl>
    <w:lvl w:ilvl="2" w:tplc="115E981E">
      <w:numFmt w:val="bullet"/>
      <w:lvlText w:val="•"/>
      <w:lvlJc w:val="left"/>
      <w:pPr>
        <w:ind w:left="2784" w:hanging="139"/>
      </w:pPr>
      <w:rPr>
        <w:rFonts w:hint="default"/>
      </w:rPr>
    </w:lvl>
    <w:lvl w:ilvl="3" w:tplc="62FA7ACE">
      <w:numFmt w:val="bullet"/>
      <w:lvlText w:val="•"/>
      <w:lvlJc w:val="left"/>
      <w:pPr>
        <w:ind w:left="3516" w:hanging="139"/>
      </w:pPr>
      <w:rPr>
        <w:rFonts w:hint="default"/>
      </w:rPr>
    </w:lvl>
    <w:lvl w:ilvl="4" w:tplc="D56E92F8">
      <w:numFmt w:val="bullet"/>
      <w:lvlText w:val="•"/>
      <w:lvlJc w:val="left"/>
      <w:pPr>
        <w:ind w:left="4248" w:hanging="139"/>
      </w:pPr>
      <w:rPr>
        <w:rFonts w:hint="default"/>
      </w:rPr>
    </w:lvl>
    <w:lvl w:ilvl="5" w:tplc="B5A89AA6">
      <w:numFmt w:val="bullet"/>
      <w:lvlText w:val="•"/>
      <w:lvlJc w:val="left"/>
      <w:pPr>
        <w:ind w:left="4980" w:hanging="139"/>
      </w:pPr>
      <w:rPr>
        <w:rFonts w:hint="default"/>
      </w:rPr>
    </w:lvl>
    <w:lvl w:ilvl="6" w:tplc="6CBE5520">
      <w:numFmt w:val="bullet"/>
      <w:lvlText w:val="•"/>
      <w:lvlJc w:val="left"/>
      <w:pPr>
        <w:ind w:left="5712" w:hanging="139"/>
      </w:pPr>
      <w:rPr>
        <w:rFonts w:hint="default"/>
      </w:rPr>
    </w:lvl>
    <w:lvl w:ilvl="7" w:tplc="1DD4D8CA">
      <w:numFmt w:val="bullet"/>
      <w:lvlText w:val="•"/>
      <w:lvlJc w:val="left"/>
      <w:pPr>
        <w:ind w:left="6444" w:hanging="139"/>
      </w:pPr>
      <w:rPr>
        <w:rFonts w:hint="default"/>
      </w:rPr>
    </w:lvl>
    <w:lvl w:ilvl="8" w:tplc="7DD60080">
      <w:numFmt w:val="bullet"/>
      <w:lvlText w:val="•"/>
      <w:lvlJc w:val="left"/>
      <w:pPr>
        <w:ind w:left="7176" w:hanging="139"/>
      </w:pPr>
      <w:rPr>
        <w:rFonts w:hint="default"/>
      </w:rPr>
    </w:lvl>
  </w:abstractNum>
  <w:abstractNum w:abstractNumId="167" w15:restartNumberingAfterBreak="0">
    <w:nsid w:val="70443CB2"/>
    <w:multiLevelType w:val="hybridMultilevel"/>
    <w:tmpl w:val="68586FB0"/>
    <w:lvl w:ilvl="0" w:tplc="4FF602EA">
      <w:start w:val="1"/>
      <w:numFmt w:val="decimal"/>
      <w:lvlText w:val="%1"/>
      <w:lvlJc w:val="left"/>
      <w:pPr>
        <w:ind w:left="1147" w:hanging="139"/>
        <w:jc w:val="right"/>
      </w:pPr>
      <w:rPr>
        <w:rFonts w:ascii="Cambria" w:eastAsia="Cambria" w:hAnsi="Cambria" w:cs="Cambria" w:hint="default"/>
        <w:color w:val="231F20"/>
        <w:w w:val="104"/>
        <w:sz w:val="16"/>
        <w:szCs w:val="16"/>
      </w:rPr>
    </w:lvl>
    <w:lvl w:ilvl="1" w:tplc="13949B26">
      <w:numFmt w:val="bullet"/>
      <w:lvlText w:val="•"/>
      <w:lvlJc w:val="left"/>
      <w:pPr>
        <w:ind w:left="1890" w:hanging="139"/>
      </w:pPr>
      <w:rPr>
        <w:rFonts w:hint="default"/>
      </w:rPr>
    </w:lvl>
    <w:lvl w:ilvl="2" w:tplc="AE1CFFF4">
      <w:numFmt w:val="bullet"/>
      <w:lvlText w:val="•"/>
      <w:lvlJc w:val="left"/>
      <w:pPr>
        <w:ind w:left="2640" w:hanging="139"/>
      </w:pPr>
      <w:rPr>
        <w:rFonts w:hint="default"/>
      </w:rPr>
    </w:lvl>
    <w:lvl w:ilvl="3" w:tplc="C8FCFFAE">
      <w:numFmt w:val="bullet"/>
      <w:lvlText w:val="•"/>
      <w:lvlJc w:val="left"/>
      <w:pPr>
        <w:ind w:left="3390" w:hanging="139"/>
      </w:pPr>
      <w:rPr>
        <w:rFonts w:hint="default"/>
      </w:rPr>
    </w:lvl>
    <w:lvl w:ilvl="4" w:tplc="7D383EC8">
      <w:numFmt w:val="bullet"/>
      <w:lvlText w:val="•"/>
      <w:lvlJc w:val="left"/>
      <w:pPr>
        <w:ind w:left="4140" w:hanging="139"/>
      </w:pPr>
      <w:rPr>
        <w:rFonts w:hint="default"/>
      </w:rPr>
    </w:lvl>
    <w:lvl w:ilvl="5" w:tplc="E60ABC28">
      <w:numFmt w:val="bullet"/>
      <w:lvlText w:val="•"/>
      <w:lvlJc w:val="left"/>
      <w:pPr>
        <w:ind w:left="4890" w:hanging="139"/>
      </w:pPr>
      <w:rPr>
        <w:rFonts w:hint="default"/>
      </w:rPr>
    </w:lvl>
    <w:lvl w:ilvl="6" w:tplc="C98A47B0">
      <w:numFmt w:val="bullet"/>
      <w:lvlText w:val="•"/>
      <w:lvlJc w:val="left"/>
      <w:pPr>
        <w:ind w:left="5640" w:hanging="139"/>
      </w:pPr>
      <w:rPr>
        <w:rFonts w:hint="default"/>
      </w:rPr>
    </w:lvl>
    <w:lvl w:ilvl="7" w:tplc="9A8EB58A">
      <w:numFmt w:val="bullet"/>
      <w:lvlText w:val="•"/>
      <w:lvlJc w:val="left"/>
      <w:pPr>
        <w:ind w:left="6390" w:hanging="139"/>
      </w:pPr>
      <w:rPr>
        <w:rFonts w:hint="default"/>
      </w:rPr>
    </w:lvl>
    <w:lvl w:ilvl="8" w:tplc="063229CE">
      <w:numFmt w:val="bullet"/>
      <w:lvlText w:val="•"/>
      <w:lvlJc w:val="left"/>
      <w:pPr>
        <w:ind w:left="7140" w:hanging="139"/>
      </w:pPr>
      <w:rPr>
        <w:rFonts w:hint="default"/>
      </w:rPr>
    </w:lvl>
  </w:abstractNum>
  <w:abstractNum w:abstractNumId="168" w15:restartNumberingAfterBreak="0">
    <w:nsid w:val="71DC5946"/>
    <w:multiLevelType w:val="hybridMultilevel"/>
    <w:tmpl w:val="1234C426"/>
    <w:lvl w:ilvl="0" w:tplc="80B89C6E">
      <w:start w:val="1"/>
      <w:numFmt w:val="decimal"/>
      <w:lvlText w:val="%1"/>
      <w:lvlJc w:val="left"/>
      <w:pPr>
        <w:ind w:left="1147" w:hanging="139"/>
        <w:jc w:val="right"/>
      </w:pPr>
      <w:rPr>
        <w:rFonts w:ascii="Cambria" w:eastAsia="Cambria" w:hAnsi="Cambria" w:cs="Cambria" w:hint="default"/>
        <w:color w:val="231F20"/>
        <w:w w:val="104"/>
        <w:sz w:val="16"/>
        <w:szCs w:val="16"/>
      </w:rPr>
    </w:lvl>
    <w:lvl w:ilvl="1" w:tplc="96EC6FA4">
      <w:numFmt w:val="bullet"/>
      <w:lvlText w:val="•"/>
      <w:lvlJc w:val="left"/>
      <w:pPr>
        <w:ind w:left="1890" w:hanging="139"/>
      </w:pPr>
      <w:rPr>
        <w:rFonts w:hint="default"/>
      </w:rPr>
    </w:lvl>
    <w:lvl w:ilvl="2" w:tplc="530C7554">
      <w:numFmt w:val="bullet"/>
      <w:lvlText w:val="•"/>
      <w:lvlJc w:val="left"/>
      <w:pPr>
        <w:ind w:left="2640" w:hanging="139"/>
      </w:pPr>
      <w:rPr>
        <w:rFonts w:hint="default"/>
      </w:rPr>
    </w:lvl>
    <w:lvl w:ilvl="3" w:tplc="BD365D48">
      <w:numFmt w:val="bullet"/>
      <w:lvlText w:val="•"/>
      <w:lvlJc w:val="left"/>
      <w:pPr>
        <w:ind w:left="3390" w:hanging="139"/>
      </w:pPr>
      <w:rPr>
        <w:rFonts w:hint="default"/>
      </w:rPr>
    </w:lvl>
    <w:lvl w:ilvl="4" w:tplc="FE12AFC4">
      <w:numFmt w:val="bullet"/>
      <w:lvlText w:val="•"/>
      <w:lvlJc w:val="left"/>
      <w:pPr>
        <w:ind w:left="4140" w:hanging="139"/>
      </w:pPr>
      <w:rPr>
        <w:rFonts w:hint="default"/>
      </w:rPr>
    </w:lvl>
    <w:lvl w:ilvl="5" w:tplc="86A4CD38">
      <w:numFmt w:val="bullet"/>
      <w:lvlText w:val="•"/>
      <w:lvlJc w:val="left"/>
      <w:pPr>
        <w:ind w:left="4890" w:hanging="139"/>
      </w:pPr>
      <w:rPr>
        <w:rFonts w:hint="default"/>
      </w:rPr>
    </w:lvl>
    <w:lvl w:ilvl="6" w:tplc="76CCF912">
      <w:numFmt w:val="bullet"/>
      <w:lvlText w:val="•"/>
      <w:lvlJc w:val="left"/>
      <w:pPr>
        <w:ind w:left="5640" w:hanging="139"/>
      </w:pPr>
      <w:rPr>
        <w:rFonts w:hint="default"/>
      </w:rPr>
    </w:lvl>
    <w:lvl w:ilvl="7" w:tplc="AB9C1B9E">
      <w:numFmt w:val="bullet"/>
      <w:lvlText w:val="•"/>
      <w:lvlJc w:val="left"/>
      <w:pPr>
        <w:ind w:left="6390" w:hanging="139"/>
      </w:pPr>
      <w:rPr>
        <w:rFonts w:hint="default"/>
      </w:rPr>
    </w:lvl>
    <w:lvl w:ilvl="8" w:tplc="D0549F1E">
      <w:numFmt w:val="bullet"/>
      <w:lvlText w:val="•"/>
      <w:lvlJc w:val="left"/>
      <w:pPr>
        <w:ind w:left="7140" w:hanging="139"/>
      </w:pPr>
      <w:rPr>
        <w:rFonts w:hint="default"/>
      </w:rPr>
    </w:lvl>
  </w:abstractNum>
  <w:abstractNum w:abstractNumId="169" w15:restartNumberingAfterBreak="0">
    <w:nsid w:val="72C3065D"/>
    <w:multiLevelType w:val="hybridMultilevel"/>
    <w:tmpl w:val="8E105EAA"/>
    <w:lvl w:ilvl="0" w:tplc="163C6E62">
      <w:start w:val="1"/>
      <w:numFmt w:val="decimal"/>
      <w:lvlText w:val="%1"/>
      <w:lvlJc w:val="left"/>
      <w:pPr>
        <w:ind w:left="1147" w:hanging="139"/>
        <w:jc w:val="right"/>
      </w:pPr>
      <w:rPr>
        <w:rFonts w:ascii="Cambria" w:eastAsia="Cambria" w:hAnsi="Cambria" w:cs="Cambria" w:hint="default"/>
        <w:color w:val="231F20"/>
        <w:w w:val="104"/>
        <w:sz w:val="16"/>
        <w:szCs w:val="16"/>
      </w:rPr>
    </w:lvl>
    <w:lvl w:ilvl="1" w:tplc="3F7E27EE">
      <w:numFmt w:val="bullet"/>
      <w:lvlText w:val="•"/>
      <w:lvlJc w:val="left"/>
      <w:pPr>
        <w:ind w:left="1890" w:hanging="139"/>
      </w:pPr>
      <w:rPr>
        <w:rFonts w:hint="default"/>
      </w:rPr>
    </w:lvl>
    <w:lvl w:ilvl="2" w:tplc="2EF01364">
      <w:numFmt w:val="bullet"/>
      <w:lvlText w:val="•"/>
      <w:lvlJc w:val="left"/>
      <w:pPr>
        <w:ind w:left="2640" w:hanging="139"/>
      </w:pPr>
      <w:rPr>
        <w:rFonts w:hint="default"/>
      </w:rPr>
    </w:lvl>
    <w:lvl w:ilvl="3" w:tplc="6424570C">
      <w:numFmt w:val="bullet"/>
      <w:lvlText w:val="•"/>
      <w:lvlJc w:val="left"/>
      <w:pPr>
        <w:ind w:left="3390" w:hanging="139"/>
      </w:pPr>
      <w:rPr>
        <w:rFonts w:hint="default"/>
      </w:rPr>
    </w:lvl>
    <w:lvl w:ilvl="4" w:tplc="F08A9B56">
      <w:numFmt w:val="bullet"/>
      <w:lvlText w:val="•"/>
      <w:lvlJc w:val="left"/>
      <w:pPr>
        <w:ind w:left="4140" w:hanging="139"/>
      </w:pPr>
      <w:rPr>
        <w:rFonts w:hint="default"/>
      </w:rPr>
    </w:lvl>
    <w:lvl w:ilvl="5" w:tplc="E2462286">
      <w:numFmt w:val="bullet"/>
      <w:lvlText w:val="•"/>
      <w:lvlJc w:val="left"/>
      <w:pPr>
        <w:ind w:left="4890" w:hanging="139"/>
      </w:pPr>
      <w:rPr>
        <w:rFonts w:hint="default"/>
      </w:rPr>
    </w:lvl>
    <w:lvl w:ilvl="6" w:tplc="F88CA8EE">
      <w:numFmt w:val="bullet"/>
      <w:lvlText w:val="•"/>
      <w:lvlJc w:val="left"/>
      <w:pPr>
        <w:ind w:left="5640" w:hanging="139"/>
      </w:pPr>
      <w:rPr>
        <w:rFonts w:hint="default"/>
      </w:rPr>
    </w:lvl>
    <w:lvl w:ilvl="7" w:tplc="2868615E">
      <w:numFmt w:val="bullet"/>
      <w:lvlText w:val="•"/>
      <w:lvlJc w:val="left"/>
      <w:pPr>
        <w:ind w:left="6390" w:hanging="139"/>
      </w:pPr>
      <w:rPr>
        <w:rFonts w:hint="default"/>
      </w:rPr>
    </w:lvl>
    <w:lvl w:ilvl="8" w:tplc="ADBEEF9A">
      <w:numFmt w:val="bullet"/>
      <w:lvlText w:val="•"/>
      <w:lvlJc w:val="left"/>
      <w:pPr>
        <w:ind w:left="7140" w:hanging="139"/>
      </w:pPr>
      <w:rPr>
        <w:rFonts w:hint="default"/>
      </w:rPr>
    </w:lvl>
  </w:abstractNum>
  <w:abstractNum w:abstractNumId="170" w15:restartNumberingAfterBreak="0">
    <w:nsid w:val="738B59E2"/>
    <w:multiLevelType w:val="hybridMultilevel"/>
    <w:tmpl w:val="138077F4"/>
    <w:lvl w:ilvl="0" w:tplc="30208286">
      <w:start w:val="1"/>
      <w:numFmt w:val="decimal"/>
      <w:lvlText w:val="%1"/>
      <w:lvlJc w:val="left"/>
      <w:pPr>
        <w:ind w:left="1286" w:hanging="139"/>
        <w:jc w:val="right"/>
      </w:pPr>
      <w:rPr>
        <w:rFonts w:ascii="Cambria" w:eastAsia="Cambria" w:hAnsi="Cambria" w:cs="Cambria" w:hint="default"/>
        <w:color w:val="231F20"/>
        <w:w w:val="104"/>
        <w:sz w:val="16"/>
        <w:szCs w:val="16"/>
      </w:rPr>
    </w:lvl>
    <w:lvl w:ilvl="1" w:tplc="E4BA581A">
      <w:numFmt w:val="bullet"/>
      <w:lvlText w:val="•"/>
      <w:lvlJc w:val="left"/>
      <w:pPr>
        <w:ind w:left="2016" w:hanging="139"/>
      </w:pPr>
      <w:rPr>
        <w:rFonts w:hint="default"/>
      </w:rPr>
    </w:lvl>
    <w:lvl w:ilvl="2" w:tplc="6E148BE0">
      <w:numFmt w:val="bullet"/>
      <w:lvlText w:val="•"/>
      <w:lvlJc w:val="left"/>
      <w:pPr>
        <w:ind w:left="2752" w:hanging="139"/>
      </w:pPr>
      <w:rPr>
        <w:rFonts w:hint="default"/>
      </w:rPr>
    </w:lvl>
    <w:lvl w:ilvl="3" w:tplc="9B7A4896">
      <w:numFmt w:val="bullet"/>
      <w:lvlText w:val="•"/>
      <w:lvlJc w:val="left"/>
      <w:pPr>
        <w:ind w:left="3488" w:hanging="139"/>
      </w:pPr>
      <w:rPr>
        <w:rFonts w:hint="default"/>
      </w:rPr>
    </w:lvl>
    <w:lvl w:ilvl="4" w:tplc="397E18F8">
      <w:numFmt w:val="bullet"/>
      <w:lvlText w:val="•"/>
      <w:lvlJc w:val="left"/>
      <w:pPr>
        <w:ind w:left="4224" w:hanging="139"/>
      </w:pPr>
      <w:rPr>
        <w:rFonts w:hint="default"/>
      </w:rPr>
    </w:lvl>
    <w:lvl w:ilvl="5" w:tplc="35705D5E">
      <w:numFmt w:val="bullet"/>
      <w:lvlText w:val="•"/>
      <w:lvlJc w:val="left"/>
      <w:pPr>
        <w:ind w:left="4960" w:hanging="139"/>
      </w:pPr>
      <w:rPr>
        <w:rFonts w:hint="default"/>
      </w:rPr>
    </w:lvl>
    <w:lvl w:ilvl="6" w:tplc="78BE9DEA">
      <w:numFmt w:val="bullet"/>
      <w:lvlText w:val="•"/>
      <w:lvlJc w:val="left"/>
      <w:pPr>
        <w:ind w:left="5696" w:hanging="139"/>
      </w:pPr>
      <w:rPr>
        <w:rFonts w:hint="default"/>
      </w:rPr>
    </w:lvl>
    <w:lvl w:ilvl="7" w:tplc="CBA03288">
      <w:numFmt w:val="bullet"/>
      <w:lvlText w:val="•"/>
      <w:lvlJc w:val="left"/>
      <w:pPr>
        <w:ind w:left="6432" w:hanging="139"/>
      </w:pPr>
      <w:rPr>
        <w:rFonts w:hint="default"/>
      </w:rPr>
    </w:lvl>
    <w:lvl w:ilvl="8" w:tplc="DD56CEAC">
      <w:numFmt w:val="bullet"/>
      <w:lvlText w:val="•"/>
      <w:lvlJc w:val="left"/>
      <w:pPr>
        <w:ind w:left="7168" w:hanging="139"/>
      </w:pPr>
      <w:rPr>
        <w:rFonts w:hint="default"/>
      </w:rPr>
    </w:lvl>
  </w:abstractNum>
  <w:abstractNum w:abstractNumId="171" w15:restartNumberingAfterBreak="0">
    <w:nsid w:val="746631F6"/>
    <w:multiLevelType w:val="hybridMultilevel"/>
    <w:tmpl w:val="F4EE0F90"/>
    <w:lvl w:ilvl="0" w:tplc="87CADF36">
      <w:start w:val="8"/>
      <w:numFmt w:val="decimal"/>
      <w:lvlText w:val="%1"/>
      <w:lvlJc w:val="left"/>
      <w:pPr>
        <w:ind w:left="1328" w:hanging="139"/>
      </w:pPr>
      <w:rPr>
        <w:rFonts w:ascii="Cambria" w:eastAsia="Cambria" w:hAnsi="Cambria" w:cs="Cambria" w:hint="default"/>
        <w:color w:val="231F20"/>
        <w:w w:val="104"/>
        <w:sz w:val="16"/>
        <w:szCs w:val="16"/>
      </w:rPr>
    </w:lvl>
    <w:lvl w:ilvl="1" w:tplc="A8485FA8">
      <w:numFmt w:val="bullet"/>
      <w:lvlText w:val="•"/>
      <w:lvlJc w:val="left"/>
      <w:pPr>
        <w:ind w:left="2052" w:hanging="139"/>
      </w:pPr>
      <w:rPr>
        <w:rFonts w:hint="default"/>
      </w:rPr>
    </w:lvl>
    <w:lvl w:ilvl="2" w:tplc="080288D6">
      <w:numFmt w:val="bullet"/>
      <w:lvlText w:val="•"/>
      <w:lvlJc w:val="left"/>
      <w:pPr>
        <w:ind w:left="2784" w:hanging="139"/>
      </w:pPr>
      <w:rPr>
        <w:rFonts w:hint="default"/>
      </w:rPr>
    </w:lvl>
    <w:lvl w:ilvl="3" w:tplc="F4A87B7E">
      <w:numFmt w:val="bullet"/>
      <w:lvlText w:val="•"/>
      <w:lvlJc w:val="left"/>
      <w:pPr>
        <w:ind w:left="3516" w:hanging="139"/>
      </w:pPr>
      <w:rPr>
        <w:rFonts w:hint="default"/>
      </w:rPr>
    </w:lvl>
    <w:lvl w:ilvl="4" w:tplc="17B2698E">
      <w:numFmt w:val="bullet"/>
      <w:lvlText w:val="•"/>
      <w:lvlJc w:val="left"/>
      <w:pPr>
        <w:ind w:left="4248" w:hanging="139"/>
      </w:pPr>
      <w:rPr>
        <w:rFonts w:hint="default"/>
      </w:rPr>
    </w:lvl>
    <w:lvl w:ilvl="5" w:tplc="C5AE4D24">
      <w:numFmt w:val="bullet"/>
      <w:lvlText w:val="•"/>
      <w:lvlJc w:val="left"/>
      <w:pPr>
        <w:ind w:left="4980" w:hanging="139"/>
      </w:pPr>
      <w:rPr>
        <w:rFonts w:hint="default"/>
      </w:rPr>
    </w:lvl>
    <w:lvl w:ilvl="6" w:tplc="F7A636C0">
      <w:numFmt w:val="bullet"/>
      <w:lvlText w:val="•"/>
      <w:lvlJc w:val="left"/>
      <w:pPr>
        <w:ind w:left="5712" w:hanging="139"/>
      </w:pPr>
      <w:rPr>
        <w:rFonts w:hint="default"/>
      </w:rPr>
    </w:lvl>
    <w:lvl w:ilvl="7" w:tplc="D05E347C">
      <w:numFmt w:val="bullet"/>
      <w:lvlText w:val="•"/>
      <w:lvlJc w:val="left"/>
      <w:pPr>
        <w:ind w:left="6444" w:hanging="139"/>
      </w:pPr>
      <w:rPr>
        <w:rFonts w:hint="default"/>
      </w:rPr>
    </w:lvl>
    <w:lvl w:ilvl="8" w:tplc="060A01D0">
      <w:numFmt w:val="bullet"/>
      <w:lvlText w:val="•"/>
      <w:lvlJc w:val="left"/>
      <w:pPr>
        <w:ind w:left="7176" w:hanging="139"/>
      </w:pPr>
      <w:rPr>
        <w:rFonts w:hint="default"/>
      </w:rPr>
    </w:lvl>
  </w:abstractNum>
  <w:abstractNum w:abstractNumId="172" w15:restartNumberingAfterBreak="0">
    <w:nsid w:val="7524321C"/>
    <w:multiLevelType w:val="hybridMultilevel"/>
    <w:tmpl w:val="4E20A106"/>
    <w:lvl w:ilvl="0" w:tplc="E21AAD58">
      <w:start w:val="1"/>
      <w:numFmt w:val="decimal"/>
      <w:lvlText w:val="%1"/>
      <w:lvlJc w:val="left"/>
      <w:pPr>
        <w:ind w:left="1327" w:hanging="139"/>
      </w:pPr>
      <w:rPr>
        <w:rFonts w:ascii="Cambria" w:eastAsia="Cambria" w:hAnsi="Cambria" w:cs="Cambria" w:hint="default"/>
        <w:color w:val="231F20"/>
        <w:w w:val="104"/>
        <w:sz w:val="16"/>
        <w:szCs w:val="16"/>
      </w:rPr>
    </w:lvl>
    <w:lvl w:ilvl="1" w:tplc="854E970A">
      <w:numFmt w:val="bullet"/>
      <w:lvlText w:val="•"/>
      <w:lvlJc w:val="left"/>
      <w:pPr>
        <w:ind w:left="2052" w:hanging="139"/>
      </w:pPr>
      <w:rPr>
        <w:rFonts w:hint="default"/>
      </w:rPr>
    </w:lvl>
    <w:lvl w:ilvl="2" w:tplc="F1B8CCF4">
      <w:numFmt w:val="bullet"/>
      <w:lvlText w:val="•"/>
      <w:lvlJc w:val="left"/>
      <w:pPr>
        <w:ind w:left="2784" w:hanging="139"/>
      </w:pPr>
      <w:rPr>
        <w:rFonts w:hint="default"/>
      </w:rPr>
    </w:lvl>
    <w:lvl w:ilvl="3" w:tplc="639CB44C">
      <w:numFmt w:val="bullet"/>
      <w:lvlText w:val="•"/>
      <w:lvlJc w:val="left"/>
      <w:pPr>
        <w:ind w:left="3516" w:hanging="139"/>
      </w:pPr>
      <w:rPr>
        <w:rFonts w:hint="default"/>
      </w:rPr>
    </w:lvl>
    <w:lvl w:ilvl="4" w:tplc="6D3627AC">
      <w:numFmt w:val="bullet"/>
      <w:lvlText w:val="•"/>
      <w:lvlJc w:val="left"/>
      <w:pPr>
        <w:ind w:left="4248" w:hanging="139"/>
      </w:pPr>
      <w:rPr>
        <w:rFonts w:hint="default"/>
      </w:rPr>
    </w:lvl>
    <w:lvl w:ilvl="5" w:tplc="4DAC521A">
      <w:numFmt w:val="bullet"/>
      <w:lvlText w:val="•"/>
      <w:lvlJc w:val="left"/>
      <w:pPr>
        <w:ind w:left="4980" w:hanging="139"/>
      </w:pPr>
      <w:rPr>
        <w:rFonts w:hint="default"/>
      </w:rPr>
    </w:lvl>
    <w:lvl w:ilvl="6" w:tplc="23422678">
      <w:numFmt w:val="bullet"/>
      <w:lvlText w:val="•"/>
      <w:lvlJc w:val="left"/>
      <w:pPr>
        <w:ind w:left="5712" w:hanging="139"/>
      </w:pPr>
      <w:rPr>
        <w:rFonts w:hint="default"/>
      </w:rPr>
    </w:lvl>
    <w:lvl w:ilvl="7" w:tplc="17161CFC">
      <w:numFmt w:val="bullet"/>
      <w:lvlText w:val="•"/>
      <w:lvlJc w:val="left"/>
      <w:pPr>
        <w:ind w:left="6444" w:hanging="139"/>
      </w:pPr>
      <w:rPr>
        <w:rFonts w:hint="default"/>
      </w:rPr>
    </w:lvl>
    <w:lvl w:ilvl="8" w:tplc="4F806C7E">
      <w:numFmt w:val="bullet"/>
      <w:lvlText w:val="•"/>
      <w:lvlJc w:val="left"/>
      <w:pPr>
        <w:ind w:left="7176" w:hanging="139"/>
      </w:pPr>
      <w:rPr>
        <w:rFonts w:hint="default"/>
      </w:rPr>
    </w:lvl>
  </w:abstractNum>
  <w:abstractNum w:abstractNumId="173" w15:restartNumberingAfterBreak="0">
    <w:nsid w:val="75574973"/>
    <w:multiLevelType w:val="hybridMultilevel"/>
    <w:tmpl w:val="EBBC52E2"/>
    <w:lvl w:ilvl="0" w:tplc="32FEC46C">
      <w:start w:val="1"/>
      <w:numFmt w:val="decimal"/>
      <w:lvlText w:val="%1"/>
      <w:lvlJc w:val="left"/>
      <w:pPr>
        <w:ind w:left="1147" w:hanging="139"/>
      </w:pPr>
      <w:rPr>
        <w:rFonts w:ascii="Cambria" w:eastAsia="Cambria" w:hAnsi="Cambria" w:cs="Cambria" w:hint="default"/>
        <w:color w:val="231F20"/>
        <w:w w:val="104"/>
        <w:sz w:val="16"/>
        <w:szCs w:val="16"/>
      </w:rPr>
    </w:lvl>
    <w:lvl w:ilvl="1" w:tplc="0C0696FC">
      <w:start w:val="4"/>
      <w:numFmt w:val="decimal"/>
      <w:lvlText w:val="%2"/>
      <w:lvlJc w:val="left"/>
      <w:pPr>
        <w:ind w:left="1327" w:hanging="139"/>
      </w:pPr>
      <w:rPr>
        <w:rFonts w:ascii="Cambria" w:eastAsia="Cambria" w:hAnsi="Cambria" w:cs="Cambria" w:hint="default"/>
        <w:color w:val="231F20"/>
        <w:w w:val="104"/>
        <w:sz w:val="16"/>
        <w:szCs w:val="16"/>
      </w:rPr>
    </w:lvl>
    <w:lvl w:ilvl="2" w:tplc="C908BA5E">
      <w:numFmt w:val="bullet"/>
      <w:lvlText w:val="•"/>
      <w:lvlJc w:val="left"/>
      <w:pPr>
        <w:ind w:left="2133" w:hanging="139"/>
      </w:pPr>
      <w:rPr>
        <w:rFonts w:hint="default"/>
      </w:rPr>
    </w:lvl>
    <w:lvl w:ilvl="3" w:tplc="60CE3BB8">
      <w:numFmt w:val="bullet"/>
      <w:lvlText w:val="•"/>
      <w:lvlJc w:val="left"/>
      <w:pPr>
        <w:ind w:left="2946" w:hanging="139"/>
      </w:pPr>
      <w:rPr>
        <w:rFonts w:hint="default"/>
      </w:rPr>
    </w:lvl>
    <w:lvl w:ilvl="4" w:tplc="9126DED2">
      <w:numFmt w:val="bullet"/>
      <w:lvlText w:val="•"/>
      <w:lvlJc w:val="left"/>
      <w:pPr>
        <w:ind w:left="3760" w:hanging="139"/>
      </w:pPr>
      <w:rPr>
        <w:rFonts w:hint="default"/>
      </w:rPr>
    </w:lvl>
    <w:lvl w:ilvl="5" w:tplc="CA301222">
      <w:numFmt w:val="bullet"/>
      <w:lvlText w:val="•"/>
      <w:lvlJc w:val="left"/>
      <w:pPr>
        <w:ind w:left="4573" w:hanging="139"/>
      </w:pPr>
      <w:rPr>
        <w:rFonts w:hint="default"/>
      </w:rPr>
    </w:lvl>
    <w:lvl w:ilvl="6" w:tplc="E5B28FC4">
      <w:numFmt w:val="bullet"/>
      <w:lvlText w:val="•"/>
      <w:lvlJc w:val="left"/>
      <w:pPr>
        <w:ind w:left="5386" w:hanging="139"/>
      </w:pPr>
      <w:rPr>
        <w:rFonts w:hint="default"/>
      </w:rPr>
    </w:lvl>
    <w:lvl w:ilvl="7" w:tplc="DF78B3A0">
      <w:numFmt w:val="bullet"/>
      <w:lvlText w:val="•"/>
      <w:lvlJc w:val="left"/>
      <w:pPr>
        <w:ind w:left="6200" w:hanging="139"/>
      </w:pPr>
      <w:rPr>
        <w:rFonts w:hint="default"/>
      </w:rPr>
    </w:lvl>
    <w:lvl w:ilvl="8" w:tplc="9D149A86">
      <w:numFmt w:val="bullet"/>
      <w:lvlText w:val="•"/>
      <w:lvlJc w:val="left"/>
      <w:pPr>
        <w:ind w:left="7013" w:hanging="139"/>
      </w:pPr>
      <w:rPr>
        <w:rFonts w:hint="default"/>
      </w:rPr>
    </w:lvl>
  </w:abstractNum>
  <w:abstractNum w:abstractNumId="174" w15:restartNumberingAfterBreak="0">
    <w:nsid w:val="76612E9D"/>
    <w:multiLevelType w:val="hybridMultilevel"/>
    <w:tmpl w:val="CD304774"/>
    <w:lvl w:ilvl="0" w:tplc="9906108A">
      <w:start w:val="1"/>
      <w:numFmt w:val="decimal"/>
      <w:lvlText w:val="%1"/>
      <w:lvlJc w:val="left"/>
      <w:pPr>
        <w:ind w:left="1147" w:hanging="139"/>
      </w:pPr>
      <w:rPr>
        <w:rFonts w:ascii="Cambria" w:eastAsia="Cambria" w:hAnsi="Cambria" w:cs="Cambria" w:hint="default"/>
        <w:color w:val="231F20"/>
        <w:w w:val="104"/>
        <w:sz w:val="16"/>
        <w:szCs w:val="16"/>
      </w:rPr>
    </w:lvl>
    <w:lvl w:ilvl="1" w:tplc="C4F8F7F4">
      <w:numFmt w:val="bullet"/>
      <w:lvlText w:val="•"/>
      <w:lvlJc w:val="left"/>
      <w:pPr>
        <w:ind w:left="1600" w:hanging="139"/>
      </w:pPr>
      <w:rPr>
        <w:rFonts w:hint="default"/>
      </w:rPr>
    </w:lvl>
    <w:lvl w:ilvl="2" w:tplc="F7A0661A">
      <w:numFmt w:val="bullet"/>
      <w:lvlText w:val="•"/>
      <w:lvlJc w:val="left"/>
      <w:pPr>
        <w:ind w:left="2382" w:hanging="139"/>
      </w:pPr>
      <w:rPr>
        <w:rFonts w:hint="default"/>
      </w:rPr>
    </w:lvl>
    <w:lvl w:ilvl="3" w:tplc="8DB4D454">
      <w:numFmt w:val="bullet"/>
      <w:lvlText w:val="•"/>
      <w:lvlJc w:val="left"/>
      <w:pPr>
        <w:ind w:left="3164" w:hanging="139"/>
      </w:pPr>
      <w:rPr>
        <w:rFonts w:hint="default"/>
      </w:rPr>
    </w:lvl>
    <w:lvl w:ilvl="4" w:tplc="17BCF4FC">
      <w:numFmt w:val="bullet"/>
      <w:lvlText w:val="•"/>
      <w:lvlJc w:val="left"/>
      <w:pPr>
        <w:ind w:left="3946" w:hanging="139"/>
      </w:pPr>
      <w:rPr>
        <w:rFonts w:hint="default"/>
      </w:rPr>
    </w:lvl>
    <w:lvl w:ilvl="5" w:tplc="074AE3DA">
      <w:numFmt w:val="bullet"/>
      <w:lvlText w:val="•"/>
      <w:lvlJc w:val="left"/>
      <w:pPr>
        <w:ind w:left="4728" w:hanging="139"/>
      </w:pPr>
      <w:rPr>
        <w:rFonts w:hint="default"/>
      </w:rPr>
    </w:lvl>
    <w:lvl w:ilvl="6" w:tplc="A036CA66">
      <w:numFmt w:val="bullet"/>
      <w:lvlText w:val="•"/>
      <w:lvlJc w:val="left"/>
      <w:pPr>
        <w:ind w:left="5511" w:hanging="139"/>
      </w:pPr>
      <w:rPr>
        <w:rFonts w:hint="default"/>
      </w:rPr>
    </w:lvl>
    <w:lvl w:ilvl="7" w:tplc="49FE2CF6">
      <w:numFmt w:val="bullet"/>
      <w:lvlText w:val="•"/>
      <w:lvlJc w:val="left"/>
      <w:pPr>
        <w:ind w:left="6293" w:hanging="139"/>
      </w:pPr>
      <w:rPr>
        <w:rFonts w:hint="default"/>
      </w:rPr>
    </w:lvl>
    <w:lvl w:ilvl="8" w:tplc="2F08B52E">
      <w:numFmt w:val="bullet"/>
      <w:lvlText w:val="•"/>
      <w:lvlJc w:val="left"/>
      <w:pPr>
        <w:ind w:left="7075" w:hanging="139"/>
      </w:pPr>
      <w:rPr>
        <w:rFonts w:hint="default"/>
      </w:rPr>
    </w:lvl>
  </w:abstractNum>
  <w:abstractNum w:abstractNumId="175" w15:restartNumberingAfterBreak="0">
    <w:nsid w:val="76696839"/>
    <w:multiLevelType w:val="hybridMultilevel"/>
    <w:tmpl w:val="1A0473DA"/>
    <w:lvl w:ilvl="0" w:tplc="D018C90A">
      <w:start w:val="6"/>
      <w:numFmt w:val="decimal"/>
      <w:lvlText w:val="%1"/>
      <w:lvlJc w:val="left"/>
      <w:pPr>
        <w:ind w:left="1327" w:hanging="139"/>
      </w:pPr>
      <w:rPr>
        <w:rFonts w:ascii="Cambria" w:eastAsia="Cambria" w:hAnsi="Cambria" w:cs="Cambria" w:hint="default"/>
        <w:color w:val="231F20"/>
        <w:w w:val="104"/>
        <w:sz w:val="16"/>
        <w:szCs w:val="16"/>
      </w:rPr>
    </w:lvl>
    <w:lvl w:ilvl="1" w:tplc="413CEA32">
      <w:numFmt w:val="bullet"/>
      <w:lvlText w:val="•"/>
      <w:lvlJc w:val="left"/>
      <w:pPr>
        <w:ind w:left="2052" w:hanging="139"/>
      </w:pPr>
      <w:rPr>
        <w:rFonts w:hint="default"/>
      </w:rPr>
    </w:lvl>
    <w:lvl w:ilvl="2" w:tplc="40FEC724">
      <w:numFmt w:val="bullet"/>
      <w:lvlText w:val="•"/>
      <w:lvlJc w:val="left"/>
      <w:pPr>
        <w:ind w:left="2784" w:hanging="139"/>
      </w:pPr>
      <w:rPr>
        <w:rFonts w:hint="default"/>
      </w:rPr>
    </w:lvl>
    <w:lvl w:ilvl="3" w:tplc="2BCA312C">
      <w:numFmt w:val="bullet"/>
      <w:lvlText w:val="•"/>
      <w:lvlJc w:val="left"/>
      <w:pPr>
        <w:ind w:left="3516" w:hanging="139"/>
      </w:pPr>
      <w:rPr>
        <w:rFonts w:hint="default"/>
      </w:rPr>
    </w:lvl>
    <w:lvl w:ilvl="4" w:tplc="DCFE9928">
      <w:numFmt w:val="bullet"/>
      <w:lvlText w:val="•"/>
      <w:lvlJc w:val="left"/>
      <w:pPr>
        <w:ind w:left="4248" w:hanging="139"/>
      </w:pPr>
      <w:rPr>
        <w:rFonts w:hint="default"/>
      </w:rPr>
    </w:lvl>
    <w:lvl w:ilvl="5" w:tplc="10EA68D4">
      <w:numFmt w:val="bullet"/>
      <w:lvlText w:val="•"/>
      <w:lvlJc w:val="left"/>
      <w:pPr>
        <w:ind w:left="4980" w:hanging="139"/>
      </w:pPr>
      <w:rPr>
        <w:rFonts w:hint="default"/>
      </w:rPr>
    </w:lvl>
    <w:lvl w:ilvl="6" w:tplc="ECCA8EE4">
      <w:numFmt w:val="bullet"/>
      <w:lvlText w:val="•"/>
      <w:lvlJc w:val="left"/>
      <w:pPr>
        <w:ind w:left="5712" w:hanging="139"/>
      </w:pPr>
      <w:rPr>
        <w:rFonts w:hint="default"/>
      </w:rPr>
    </w:lvl>
    <w:lvl w:ilvl="7" w:tplc="2BACF138">
      <w:numFmt w:val="bullet"/>
      <w:lvlText w:val="•"/>
      <w:lvlJc w:val="left"/>
      <w:pPr>
        <w:ind w:left="6444" w:hanging="139"/>
      </w:pPr>
      <w:rPr>
        <w:rFonts w:hint="default"/>
      </w:rPr>
    </w:lvl>
    <w:lvl w:ilvl="8" w:tplc="99E8DE44">
      <w:numFmt w:val="bullet"/>
      <w:lvlText w:val="•"/>
      <w:lvlJc w:val="left"/>
      <w:pPr>
        <w:ind w:left="7176" w:hanging="139"/>
      </w:pPr>
      <w:rPr>
        <w:rFonts w:hint="default"/>
      </w:rPr>
    </w:lvl>
  </w:abstractNum>
  <w:abstractNum w:abstractNumId="176" w15:restartNumberingAfterBreak="0">
    <w:nsid w:val="76AF5F15"/>
    <w:multiLevelType w:val="hybridMultilevel"/>
    <w:tmpl w:val="DF181B94"/>
    <w:lvl w:ilvl="0" w:tplc="8196F4D4">
      <w:start w:val="5"/>
      <w:numFmt w:val="decimal"/>
      <w:lvlText w:val="%1"/>
      <w:lvlJc w:val="left"/>
      <w:pPr>
        <w:ind w:left="1466" w:hanging="139"/>
      </w:pPr>
      <w:rPr>
        <w:rFonts w:ascii="Cambria" w:eastAsia="Cambria" w:hAnsi="Cambria" w:cs="Cambria" w:hint="default"/>
        <w:color w:val="231F20"/>
        <w:w w:val="104"/>
        <w:sz w:val="16"/>
        <w:szCs w:val="16"/>
      </w:rPr>
    </w:lvl>
    <w:lvl w:ilvl="1" w:tplc="1E980EE6">
      <w:numFmt w:val="bullet"/>
      <w:lvlText w:val="•"/>
      <w:lvlJc w:val="left"/>
      <w:pPr>
        <w:ind w:left="2178" w:hanging="139"/>
      </w:pPr>
      <w:rPr>
        <w:rFonts w:hint="default"/>
      </w:rPr>
    </w:lvl>
    <w:lvl w:ilvl="2" w:tplc="025A87B0">
      <w:numFmt w:val="bullet"/>
      <w:lvlText w:val="•"/>
      <w:lvlJc w:val="left"/>
      <w:pPr>
        <w:ind w:left="2896" w:hanging="139"/>
      </w:pPr>
      <w:rPr>
        <w:rFonts w:hint="default"/>
      </w:rPr>
    </w:lvl>
    <w:lvl w:ilvl="3" w:tplc="02826EBA">
      <w:numFmt w:val="bullet"/>
      <w:lvlText w:val="•"/>
      <w:lvlJc w:val="left"/>
      <w:pPr>
        <w:ind w:left="3614" w:hanging="139"/>
      </w:pPr>
      <w:rPr>
        <w:rFonts w:hint="default"/>
      </w:rPr>
    </w:lvl>
    <w:lvl w:ilvl="4" w:tplc="66DA32B6">
      <w:numFmt w:val="bullet"/>
      <w:lvlText w:val="•"/>
      <w:lvlJc w:val="left"/>
      <w:pPr>
        <w:ind w:left="4332" w:hanging="139"/>
      </w:pPr>
      <w:rPr>
        <w:rFonts w:hint="default"/>
      </w:rPr>
    </w:lvl>
    <w:lvl w:ilvl="5" w:tplc="BD36553A">
      <w:numFmt w:val="bullet"/>
      <w:lvlText w:val="•"/>
      <w:lvlJc w:val="left"/>
      <w:pPr>
        <w:ind w:left="5050" w:hanging="139"/>
      </w:pPr>
      <w:rPr>
        <w:rFonts w:hint="default"/>
      </w:rPr>
    </w:lvl>
    <w:lvl w:ilvl="6" w:tplc="28A6CAAE">
      <w:numFmt w:val="bullet"/>
      <w:lvlText w:val="•"/>
      <w:lvlJc w:val="left"/>
      <w:pPr>
        <w:ind w:left="5768" w:hanging="139"/>
      </w:pPr>
      <w:rPr>
        <w:rFonts w:hint="default"/>
      </w:rPr>
    </w:lvl>
    <w:lvl w:ilvl="7" w:tplc="18B05C60">
      <w:numFmt w:val="bullet"/>
      <w:lvlText w:val="•"/>
      <w:lvlJc w:val="left"/>
      <w:pPr>
        <w:ind w:left="6486" w:hanging="139"/>
      </w:pPr>
      <w:rPr>
        <w:rFonts w:hint="default"/>
      </w:rPr>
    </w:lvl>
    <w:lvl w:ilvl="8" w:tplc="6366D8E8">
      <w:numFmt w:val="bullet"/>
      <w:lvlText w:val="•"/>
      <w:lvlJc w:val="left"/>
      <w:pPr>
        <w:ind w:left="7204" w:hanging="139"/>
      </w:pPr>
      <w:rPr>
        <w:rFonts w:hint="default"/>
      </w:rPr>
    </w:lvl>
  </w:abstractNum>
  <w:abstractNum w:abstractNumId="177" w15:restartNumberingAfterBreak="0">
    <w:nsid w:val="76F90033"/>
    <w:multiLevelType w:val="hybridMultilevel"/>
    <w:tmpl w:val="C9FA1CEE"/>
    <w:lvl w:ilvl="0" w:tplc="274CFD12">
      <w:start w:val="4"/>
      <w:numFmt w:val="decimal"/>
      <w:lvlText w:val="%1"/>
      <w:lvlJc w:val="left"/>
      <w:pPr>
        <w:ind w:left="1147" w:hanging="139"/>
        <w:jc w:val="right"/>
      </w:pPr>
      <w:rPr>
        <w:rFonts w:ascii="Cambria" w:eastAsia="Cambria" w:hAnsi="Cambria" w:cs="Cambria" w:hint="default"/>
        <w:color w:val="231F20"/>
        <w:w w:val="104"/>
        <w:sz w:val="16"/>
        <w:szCs w:val="16"/>
      </w:rPr>
    </w:lvl>
    <w:lvl w:ilvl="1" w:tplc="570CCFD4">
      <w:numFmt w:val="bullet"/>
      <w:lvlText w:val="•"/>
      <w:lvlJc w:val="left"/>
      <w:pPr>
        <w:ind w:left="1890" w:hanging="139"/>
      </w:pPr>
      <w:rPr>
        <w:rFonts w:hint="default"/>
      </w:rPr>
    </w:lvl>
    <w:lvl w:ilvl="2" w:tplc="71F067F6">
      <w:numFmt w:val="bullet"/>
      <w:lvlText w:val="•"/>
      <w:lvlJc w:val="left"/>
      <w:pPr>
        <w:ind w:left="2640" w:hanging="139"/>
      </w:pPr>
      <w:rPr>
        <w:rFonts w:hint="default"/>
      </w:rPr>
    </w:lvl>
    <w:lvl w:ilvl="3" w:tplc="BF4A352A">
      <w:numFmt w:val="bullet"/>
      <w:lvlText w:val="•"/>
      <w:lvlJc w:val="left"/>
      <w:pPr>
        <w:ind w:left="3390" w:hanging="139"/>
      </w:pPr>
      <w:rPr>
        <w:rFonts w:hint="default"/>
      </w:rPr>
    </w:lvl>
    <w:lvl w:ilvl="4" w:tplc="E1B6A1F6">
      <w:numFmt w:val="bullet"/>
      <w:lvlText w:val="•"/>
      <w:lvlJc w:val="left"/>
      <w:pPr>
        <w:ind w:left="4140" w:hanging="139"/>
      </w:pPr>
      <w:rPr>
        <w:rFonts w:hint="default"/>
      </w:rPr>
    </w:lvl>
    <w:lvl w:ilvl="5" w:tplc="DA4A07CA">
      <w:numFmt w:val="bullet"/>
      <w:lvlText w:val="•"/>
      <w:lvlJc w:val="left"/>
      <w:pPr>
        <w:ind w:left="4890" w:hanging="139"/>
      </w:pPr>
      <w:rPr>
        <w:rFonts w:hint="default"/>
      </w:rPr>
    </w:lvl>
    <w:lvl w:ilvl="6" w:tplc="21C4B65E">
      <w:numFmt w:val="bullet"/>
      <w:lvlText w:val="•"/>
      <w:lvlJc w:val="left"/>
      <w:pPr>
        <w:ind w:left="5640" w:hanging="139"/>
      </w:pPr>
      <w:rPr>
        <w:rFonts w:hint="default"/>
      </w:rPr>
    </w:lvl>
    <w:lvl w:ilvl="7" w:tplc="C09E1E4A">
      <w:numFmt w:val="bullet"/>
      <w:lvlText w:val="•"/>
      <w:lvlJc w:val="left"/>
      <w:pPr>
        <w:ind w:left="6390" w:hanging="139"/>
      </w:pPr>
      <w:rPr>
        <w:rFonts w:hint="default"/>
      </w:rPr>
    </w:lvl>
    <w:lvl w:ilvl="8" w:tplc="440CE738">
      <w:numFmt w:val="bullet"/>
      <w:lvlText w:val="•"/>
      <w:lvlJc w:val="left"/>
      <w:pPr>
        <w:ind w:left="7140" w:hanging="139"/>
      </w:pPr>
      <w:rPr>
        <w:rFonts w:hint="default"/>
      </w:rPr>
    </w:lvl>
  </w:abstractNum>
  <w:abstractNum w:abstractNumId="178" w15:restartNumberingAfterBreak="0">
    <w:nsid w:val="77FB17F2"/>
    <w:multiLevelType w:val="hybridMultilevel"/>
    <w:tmpl w:val="A8AA0654"/>
    <w:lvl w:ilvl="0" w:tplc="17B60BE0">
      <w:start w:val="4"/>
      <w:numFmt w:val="decimal"/>
      <w:lvlText w:val="%1"/>
      <w:lvlJc w:val="left"/>
      <w:pPr>
        <w:ind w:left="1327" w:hanging="139"/>
      </w:pPr>
      <w:rPr>
        <w:rFonts w:ascii="Cambria" w:eastAsia="Cambria" w:hAnsi="Cambria" w:cs="Cambria" w:hint="default"/>
        <w:color w:val="231F20"/>
        <w:w w:val="104"/>
        <w:sz w:val="16"/>
        <w:szCs w:val="16"/>
      </w:rPr>
    </w:lvl>
    <w:lvl w:ilvl="1" w:tplc="F254470C">
      <w:numFmt w:val="bullet"/>
      <w:lvlText w:val="•"/>
      <w:lvlJc w:val="left"/>
      <w:pPr>
        <w:ind w:left="2052" w:hanging="139"/>
      </w:pPr>
      <w:rPr>
        <w:rFonts w:hint="default"/>
      </w:rPr>
    </w:lvl>
    <w:lvl w:ilvl="2" w:tplc="23340786">
      <w:numFmt w:val="bullet"/>
      <w:lvlText w:val="•"/>
      <w:lvlJc w:val="left"/>
      <w:pPr>
        <w:ind w:left="2784" w:hanging="139"/>
      </w:pPr>
      <w:rPr>
        <w:rFonts w:hint="default"/>
      </w:rPr>
    </w:lvl>
    <w:lvl w:ilvl="3" w:tplc="246CB980">
      <w:numFmt w:val="bullet"/>
      <w:lvlText w:val="•"/>
      <w:lvlJc w:val="left"/>
      <w:pPr>
        <w:ind w:left="3516" w:hanging="139"/>
      </w:pPr>
      <w:rPr>
        <w:rFonts w:hint="default"/>
      </w:rPr>
    </w:lvl>
    <w:lvl w:ilvl="4" w:tplc="EA30E264">
      <w:numFmt w:val="bullet"/>
      <w:lvlText w:val="•"/>
      <w:lvlJc w:val="left"/>
      <w:pPr>
        <w:ind w:left="4248" w:hanging="139"/>
      </w:pPr>
      <w:rPr>
        <w:rFonts w:hint="default"/>
      </w:rPr>
    </w:lvl>
    <w:lvl w:ilvl="5" w:tplc="D2DE27EA">
      <w:numFmt w:val="bullet"/>
      <w:lvlText w:val="•"/>
      <w:lvlJc w:val="left"/>
      <w:pPr>
        <w:ind w:left="4980" w:hanging="139"/>
      </w:pPr>
      <w:rPr>
        <w:rFonts w:hint="default"/>
      </w:rPr>
    </w:lvl>
    <w:lvl w:ilvl="6" w:tplc="95020532">
      <w:numFmt w:val="bullet"/>
      <w:lvlText w:val="•"/>
      <w:lvlJc w:val="left"/>
      <w:pPr>
        <w:ind w:left="5712" w:hanging="139"/>
      </w:pPr>
      <w:rPr>
        <w:rFonts w:hint="default"/>
      </w:rPr>
    </w:lvl>
    <w:lvl w:ilvl="7" w:tplc="ADA63284">
      <w:numFmt w:val="bullet"/>
      <w:lvlText w:val="•"/>
      <w:lvlJc w:val="left"/>
      <w:pPr>
        <w:ind w:left="6444" w:hanging="139"/>
      </w:pPr>
      <w:rPr>
        <w:rFonts w:hint="default"/>
      </w:rPr>
    </w:lvl>
    <w:lvl w:ilvl="8" w:tplc="3FB6A204">
      <w:numFmt w:val="bullet"/>
      <w:lvlText w:val="•"/>
      <w:lvlJc w:val="left"/>
      <w:pPr>
        <w:ind w:left="7176" w:hanging="139"/>
      </w:pPr>
      <w:rPr>
        <w:rFonts w:hint="default"/>
      </w:rPr>
    </w:lvl>
  </w:abstractNum>
  <w:abstractNum w:abstractNumId="179" w15:restartNumberingAfterBreak="0">
    <w:nsid w:val="786A4456"/>
    <w:multiLevelType w:val="hybridMultilevel"/>
    <w:tmpl w:val="973076C6"/>
    <w:lvl w:ilvl="0" w:tplc="F320C238">
      <w:start w:val="1"/>
      <w:numFmt w:val="decimal"/>
      <w:lvlText w:val="%1"/>
      <w:lvlJc w:val="left"/>
      <w:pPr>
        <w:ind w:left="1147" w:hanging="139"/>
        <w:jc w:val="right"/>
      </w:pPr>
      <w:rPr>
        <w:rFonts w:ascii="Cambria" w:eastAsia="Cambria" w:hAnsi="Cambria" w:cs="Cambria" w:hint="default"/>
        <w:color w:val="231F20"/>
        <w:w w:val="104"/>
        <w:sz w:val="16"/>
        <w:szCs w:val="16"/>
      </w:rPr>
    </w:lvl>
    <w:lvl w:ilvl="1" w:tplc="6A662F44">
      <w:numFmt w:val="bullet"/>
      <w:lvlText w:val="•"/>
      <w:lvlJc w:val="left"/>
      <w:pPr>
        <w:ind w:left="1823" w:hanging="240"/>
      </w:pPr>
      <w:rPr>
        <w:rFonts w:ascii="Cambria" w:eastAsia="Cambria" w:hAnsi="Cambria" w:cs="Cambria" w:hint="default"/>
        <w:color w:val="231F20"/>
        <w:w w:val="112"/>
        <w:sz w:val="20"/>
        <w:szCs w:val="20"/>
      </w:rPr>
    </w:lvl>
    <w:lvl w:ilvl="2" w:tplc="D3F28B50">
      <w:numFmt w:val="bullet"/>
      <w:lvlText w:val="•"/>
      <w:lvlJc w:val="left"/>
      <w:pPr>
        <w:ind w:left="2577" w:hanging="240"/>
      </w:pPr>
      <w:rPr>
        <w:rFonts w:hint="default"/>
      </w:rPr>
    </w:lvl>
    <w:lvl w:ilvl="3" w:tplc="20746762">
      <w:numFmt w:val="bullet"/>
      <w:lvlText w:val="•"/>
      <w:lvlJc w:val="left"/>
      <w:pPr>
        <w:ind w:left="3335" w:hanging="240"/>
      </w:pPr>
      <w:rPr>
        <w:rFonts w:hint="default"/>
      </w:rPr>
    </w:lvl>
    <w:lvl w:ilvl="4" w:tplc="AAF4D96E">
      <w:numFmt w:val="bullet"/>
      <w:lvlText w:val="•"/>
      <w:lvlJc w:val="left"/>
      <w:pPr>
        <w:ind w:left="4093" w:hanging="240"/>
      </w:pPr>
      <w:rPr>
        <w:rFonts w:hint="default"/>
      </w:rPr>
    </w:lvl>
    <w:lvl w:ilvl="5" w:tplc="EE9C5F8A">
      <w:numFmt w:val="bullet"/>
      <w:lvlText w:val="•"/>
      <w:lvlJc w:val="left"/>
      <w:pPr>
        <w:ind w:left="4851" w:hanging="240"/>
      </w:pPr>
      <w:rPr>
        <w:rFonts w:hint="default"/>
      </w:rPr>
    </w:lvl>
    <w:lvl w:ilvl="6" w:tplc="86A287F6">
      <w:numFmt w:val="bullet"/>
      <w:lvlText w:val="•"/>
      <w:lvlJc w:val="left"/>
      <w:pPr>
        <w:ind w:left="5608" w:hanging="240"/>
      </w:pPr>
      <w:rPr>
        <w:rFonts w:hint="default"/>
      </w:rPr>
    </w:lvl>
    <w:lvl w:ilvl="7" w:tplc="57A6FC60">
      <w:numFmt w:val="bullet"/>
      <w:lvlText w:val="•"/>
      <w:lvlJc w:val="left"/>
      <w:pPr>
        <w:ind w:left="6366" w:hanging="240"/>
      </w:pPr>
      <w:rPr>
        <w:rFonts w:hint="default"/>
      </w:rPr>
    </w:lvl>
    <w:lvl w:ilvl="8" w:tplc="7AA23B1C">
      <w:numFmt w:val="bullet"/>
      <w:lvlText w:val="•"/>
      <w:lvlJc w:val="left"/>
      <w:pPr>
        <w:ind w:left="7124" w:hanging="240"/>
      </w:pPr>
      <w:rPr>
        <w:rFonts w:hint="default"/>
      </w:rPr>
    </w:lvl>
  </w:abstractNum>
  <w:abstractNum w:abstractNumId="180" w15:restartNumberingAfterBreak="0">
    <w:nsid w:val="789C539D"/>
    <w:multiLevelType w:val="hybridMultilevel"/>
    <w:tmpl w:val="FB92BD0C"/>
    <w:lvl w:ilvl="0" w:tplc="213A2C52">
      <w:start w:val="1"/>
      <w:numFmt w:val="decimal"/>
      <w:lvlText w:val="%1"/>
      <w:lvlJc w:val="left"/>
      <w:pPr>
        <w:ind w:left="1147" w:hanging="139"/>
        <w:jc w:val="right"/>
      </w:pPr>
      <w:rPr>
        <w:rFonts w:ascii="Cambria" w:eastAsia="Cambria" w:hAnsi="Cambria" w:cs="Cambria" w:hint="default"/>
        <w:color w:val="231F20"/>
        <w:w w:val="104"/>
        <w:sz w:val="16"/>
        <w:szCs w:val="16"/>
      </w:rPr>
    </w:lvl>
    <w:lvl w:ilvl="1" w:tplc="BC0CD302">
      <w:numFmt w:val="bullet"/>
      <w:lvlText w:val="•"/>
      <w:lvlJc w:val="left"/>
      <w:pPr>
        <w:ind w:left="1890" w:hanging="139"/>
      </w:pPr>
      <w:rPr>
        <w:rFonts w:hint="default"/>
      </w:rPr>
    </w:lvl>
    <w:lvl w:ilvl="2" w:tplc="7720640A">
      <w:numFmt w:val="bullet"/>
      <w:lvlText w:val="•"/>
      <w:lvlJc w:val="left"/>
      <w:pPr>
        <w:ind w:left="2640" w:hanging="139"/>
      </w:pPr>
      <w:rPr>
        <w:rFonts w:hint="default"/>
      </w:rPr>
    </w:lvl>
    <w:lvl w:ilvl="3" w:tplc="41CCA024">
      <w:numFmt w:val="bullet"/>
      <w:lvlText w:val="•"/>
      <w:lvlJc w:val="left"/>
      <w:pPr>
        <w:ind w:left="3390" w:hanging="139"/>
      </w:pPr>
      <w:rPr>
        <w:rFonts w:hint="default"/>
      </w:rPr>
    </w:lvl>
    <w:lvl w:ilvl="4" w:tplc="1E82C31C">
      <w:numFmt w:val="bullet"/>
      <w:lvlText w:val="•"/>
      <w:lvlJc w:val="left"/>
      <w:pPr>
        <w:ind w:left="4140" w:hanging="139"/>
      </w:pPr>
      <w:rPr>
        <w:rFonts w:hint="default"/>
      </w:rPr>
    </w:lvl>
    <w:lvl w:ilvl="5" w:tplc="7E7251E0">
      <w:numFmt w:val="bullet"/>
      <w:lvlText w:val="•"/>
      <w:lvlJc w:val="left"/>
      <w:pPr>
        <w:ind w:left="4890" w:hanging="139"/>
      </w:pPr>
      <w:rPr>
        <w:rFonts w:hint="default"/>
      </w:rPr>
    </w:lvl>
    <w:lvl w:ilvl="6" w:tplc="827C509A">
      <w:numFmt w:val="bullet"/>
      <w:lvlText w:val="•"/>
      <w:lvlJc w:val="left"/>
      <w:pPr>
        <w:ind w:left="5640" w:hanging="139"/>
      </w:pPr>
      <w:rPr>
        <w:rFonts w:hint="default"/>
      </w:rPr>
    </w:lvl>
    <w:lvl w:ilvl="7" w:tplc="9B6C0910">
      <w:numFmt w:val="bullet"/>
      <w:lvlText w:val="•"/>
      <w:lvlJc w:val="left"/>
      <w:pPr>
        <w:ind w:left="6390" w:hanging="139"/>
      </w:pPr>
      <w:rPr>
        <w:rFonts w:hint="default"/>
      </w:rPr>
    </w:lvl>
    <w:lvl w:ilvl="8" w:tplc="FA145446">
      <w:numFmt w:val="bullet"/>
      <w:lvlText w:val="•"/>
      <w:lvlJc w:val="left"/>
      <w:pPr>
        <w:ind w:left="7140" w:hanging="139"/>
      </w:pPr>
      <w:rPr>
        <w:rFonts w:hint="default"/>
      </w:rPr>
    </w:lvl>
  </w:abstractNum>
  <w:abstractNum w:abstractNumId="181" w15:restartNumberingAfterBreak="0">
    <w:nsid w:val="78E367B2"/>
    <w:multiLevelType w:val="hybridMultilevel"/>
    <w:tmpl w:val="B7CA5EC4"/>
    <w:lvl w:ilvl="0" w:tplc="E75C56CA">
      <w:numFmt w:val="bullet"/>
      <w:lvlText w:val="•"/>
      <w:lvlJc w:val="left"/>
      <w:pPr>
        <w:ind w:left="1823" w:hanging="241"/>
      </w:pPr>
      <w:rPr>
        <w:rFonts w:ascii="Cambria" w:eastAsia="Cambria" w:hAnsi="Cambria" w:cs="Cambria" w:hint="default"/>
        <w:color w:val="231F20"/>
        <w:w w:val="112"/>
        <w:sz w:val="20"/>
        <w:szCs w:val="20"/>
      </w:rPr>
    </w:lvl>
    <w:lvl w:ilvl="1" w:tplc="F6106F7C">
      <w:numFmt w:val="bullet"/>
      <w:lvlText w:val="•"/>
      <w:lvlJc w:val="left"/>
      <w:pPr>
        <w:ind w:left="2502" w:hanging="241"/>
      </w:pPr>
      <w:rPr>
        <w:rFonts w:hint="default"/>
      </w:rPr>
    </w:lvl>
    <w:lvl w:ilvl="2" w:tplc="4C34D29A">
      <w:numFmt w:val="bullet"/>
      <w:lvlText w:val="•"/>
      <w:lvlJc w:val="left"/>
      <w:pPr>
        <w:ind w:left="3184" w:hanging="241"/>
      </w:pPr>
      <w:rPr>
        <w:rFonts w:hint="default"/>
      </w:rPr>
    </w:lvl>
    <w:lvl w:ilvl="3" w:tplc="ED60FABC">
      <w:numFmt w:val="bullet"/>
      <w:lvlText w:val="•"/>
      <w:lvlJc w:val="left"/>
      <w:pPr>
        <w:ind w:left="3866" w:hanging="241"/>
      </w:pPr>
      <w:rPr>
        <w:rFonts w:hint="default"/>
      </w:rPr>
    </w:lvl>
    <w:lvl w:ilvl="4" w:tplc="901E635E">
      <w:numFmt w:val="bullet"/>
      <w:lvlText w:val="•"/>
      <w:lvlJc w:val="left"/>
      <w:pPr>
        <w:ind w:left="4548" w:hanging="241"/>
      </w:pPr>
      <w:rPr>
        <w:rFonts w:hint="default"/>
      </w:rPr>
    </w:lvl>
    <w:lvl w:ilvl="5" w:tplc="A760BBE0">
      <w:numFmt w:val="bullet"/>
      <w:lvlText w:val="•"/>
      <w:lvlJc w:val="left"/>
      <w:pPr>
        <w:ind w:left="5230" w:hanging="241"/>
      </w:pPr>
      <w:rPr>
        <w:rFonts w:hint="default"/>
      </w:rPr>
    </w:lvl>
    <w:lvl w:ilvl="6" w:tplc="37B6CC06">
      <w:numFmt w:val="bullet"/>
      <w:lvlText w:val="•"/>
      <w:lvlJc w:val="left"/>
      <w:pPr>
        <w:ind w:left="5912" w:hanging="241"/>
      </w:pPr>
      <w:rPr>
        <w:rFonts w:hint="default"/>
      </w:rPr>
    </w:lvl>
    <w:lvl w:ilvl="7" w:tplc="91B2D682">
      <w:numFmt w:val="bullet"/>
      <w:lvlText w:val="•"/>
      <w:lvlJc w:val="left"/>
      <w:pPr>
        <w:ind w:left="6594" w:hanging="241"/>
      </w:pPr>
      <w:rPr>
        <w:rFonts w:hint="default"/>
      </w:rPr>
    </w:lvl>
    <w:lvl w:ilvl="8" w:tplc="EC5E87C8">
      <w:numFmt w:val="bullet"/>
      <w:lvlText w:val="•"/>
      <w:lvlJc w:val="left"/>
      <w:pPr>
        <w:ind w:left="7276" w:hanging="241"/>
      </w:pPr>
      <w:rPr>
        <w:rFonts w:hint="default"/>
      </w:rPr>
    </w:lvl>
  </w:abstractNum>
  <w:abstractNum w:abstractNumId="182" w15:restartNumberingAfterBreak="0">
    <w:nsid w:val="798113F6"/>
    <w:multiLevelType w:val="hybridMultilevel"/>
    <w:tmpl w:val="CE982952"/>
    <w:lvl w:ilvl="0" w:tplc="9296F08E">
      <w:start w:val="1"/>
      <w:numFmt w:val="decimal"/>
      <w:lvlText w:val="%1"/>
      <w:lvlJc w:val="left"/>
      <w:pPr>
        <w:ind w:left="1147" w:hanging="139"/>
        <w:jc w:val="right"/>
      </w:pPr>
      <w:rPr>
        <w:rFonts w:ascii="Cambria" w:eastAsia="Cambria" w:hAnsi="Cambria" w:cs="Cambria" w:hint="default"/>
        <w:color w:val="231F20"/>
        <w:w w:val="104"/>
        <w:sz w:val="16"/>
        <w:szCs w:val="16"/>
      </w:rPr>
    </w:lvl>
    <w:lvl w:ilvl="1" w:tplc="FE68A930">
      <w:numFmt w:val="bullet"/>
      <w:lvlText w:val="•"/>
      <w:lvlJc w:val="left"/>
      <w:pPr>
        <w:ind w:left="1890" w:hanging="139"/>
      </w:pPr>
      <w:rPr>
        <w:rFonts w:hint="default"/>
      </w:rPr>
    </w:lvl>
    <w:lvl w:ilvl="2" w:tplc="176619AA">
      <w:numFmt w:val="bullet"/>
      <w:lvlText w:val="•"/>
      <w:lvlJc w:val="left"/>
      <w:pPr>
        <w:ind w:left="2640" w:hanging="139"/>
      </w:pPr>
      <w:rPr>
        <w:rFonts w:hint="default"/>
      </w:rPr>
    </w:lvl>
    <w:lvl w:ilvl="3" w:tplc="E7264DB0">
      <w:numFmt w:val="bullet"/>
      <w:lvlText w:val="•"/>
      <w:lvlJc w:val="left"/>
      <w:pPr>
        <w:ind w:left="3390" w:hanging="139"/>
      </w:pPr>
      <w:rPr>
        <w:rFonts w:hint="default"/>
      </w:rPr>
    </w:lvl>
    <w:lvl w:ilvl="4" w:tplc="D87A5D86">
      <w:numFmt w:val="bullet"/>
      <w:lvlText w:val="•"/>
      <w:lvlJc w:val="left"/>
      <w:pPr>
        <w:ind w:left="4140" w:hanging="139"/>
      </w:pPr>
      <w:rPr>
        <w:rFonts w:hint="default"/>
      </w:rPr>
    </w:lvl>
    <w:lvl w:ilvl="5" w:tplc="5BB47126">
      <w:numFmt w:val="bullet"/>
      <w:lvlText w:val="•"/>
      <w:lvlJc w:val="left"/>
      <w:pPr>
        <w:ind w:left="4890" w:hanging="139"/>
      </w:pPr>
      <w:rPr>
        <w:rFonts w:hint="default"/>
      </w:rPr>
    </w:lvl>
    <w:lvl w:ilvl="6" w:tplc="183ACC66">
      <w:numFmt w:val="bullet"/>
      <w:lvlText w:val="•"/>
      <w:lvlJc w:val="left"/>
      <w:pPr>
        <w:ind w:left="5640" w:hanging="139"/>
      </w:pPr>
      <w:rPr>
        <w:rFonts w:hint="default"/>
      </w:rPr>
    </w:lvl>
    <w:lvl w:ilvl="7" w:tplc="177A1ECC">
      <w:numFmt w:val="bullet"/>
      <w:lvlText w:val="•"/>
      <w:lvlJc w:val="left"/>
      <w:pPr>
        <w:ind w:left="6390" w:hanging="139"/>
      </w:pPr>
      <w:rPr>
        <w:rFonts w:hint="default"/>
      </w:rPr>
    </w:lvl>
    <w:lvl w:ilvl="8" w:tplc="C45C78A8">
      <w:numFmt w:val="bullet"/>
      <w:lvlText w:val="•"/>
      <w:lvlJc w:val="left"/>
      <w:pPr>
        <w:ind w:left="7140" w:hanging="139"/>
      </w:pPr>
      <w:rPr>
        <w:rFonts w:hint="default"/>
      </w:rPr>
    </w:lvl>
  </w:abstractNum>
  <w:abstractNum w:abstractNumId="183" w15:restartNumberingAfterBreak="0">
    <w:nsid w:val="7A0C6AAE"/>
    <w:multiLevelType w:val="hybridMultilevel"/>
    <w:tmpl w:val="A242431C"/>
    <w:lvl w:ilvl="0" w:tplc="D714C604">
      <w:start w:val="1"/>
      <w:numFmt w:val="decimal"/>
      <w:lvlText w:val="%1"/>
      <w:lvlJc w:val="left"/>
      <w:pPr>
        <w:ind w:left="1148" w:hanging="139"/>
        <w:jc w:val="right"/>
      </w:pPr>
      <w:rPr>
        <w:rFonts w:ascii="Cambria" w:eastAsia="Cambria" w:hAnsi="Cambria" w:cs="Cambria" w:hint="default"/>
        <w:color w:val="231F20"/>
        <w:w w:val="104"/>
        <w:sz w:val="16"/>
        <w:szCs w:val="16"/>
      </w:rPr>
    </w:lvl>
    <w:lvl w:ilvl="1" w:tplc="38F44124">
      <w:numFmt w:val="bullet"/>
      <w:lvlText w:val="•"/>
      <w:lvlJc w:val="left"/>
      <w:pPr>
        <w:ind w:left="1890" w:hanging="139"/>
      </w:pPr>
      <w:rPr>
        <w:rFonts w:hint="default"/>
      </w:rPr>
    </w:lvl>
    <w:lvl w:ilvl="2" w:tplc="9788C1F0">
      <w:numFmt w:val="bullet"/>
      <w:lvlText w:val="•"/>
      <w:lvlJc w:val="left"/>
      <w:pPr>
        <w:ind w:left="2640" w:hanging="139"/>
      </w:pPr>
      <w:rPr>
        <w:rFonts w:hint="default"/>
      </w:rPr>
    </w:lvl>
    <w:lvl w:ilvl="3" w:tplc="AE42A036">
      <w:numFmt w:val="bullet"/>
      <w:lvlText w:val="•"/>
      <w:lvlJc w:val="left"/>
      <w:pPr>
        <w:ind w:left="3390" w:hanging="139"/>
      </w:pPr>
      <w:rPr>
        <w:rFonts w:hint="default"/>
      </w:rPr>
    </w:lvl>
    <w:lvl w:ilvl="4" w:tplc="B87271FC">
      <w:numFmt w:val="bullet"/>
      <w:lvlText w:val="•"/>
      <w:lvlJc w:val="left"/>
      <w:pPr>
        <w:ind w:left="4140" w:hanging="139"/>
      </w:pPr>
      <w:rPr>
        <w:rFonts w:hint="default"/>
      </w:rPr>
    </w:lvl>
    <w:lvl w:ilvl="5" w:tplc="295CFC4C">
      <w:numFmt w:val="bullet"/>
      <w:lvlText w:val="•"/>
      <w:lvlJc w:val="left"/>
      <w:pPr>
        <w:ind w:left="4890" w:hanging="139"/>
      </w:pPr>
      <w:rPr>
        <w:rFonts w:hint="default"/>
      </w:rPr>
    </w:lvl>
    <w:lvl w:ilvl="6" w:tplc="BDAAAE74">
      <w:numFmt w:val="bullet"/>
      <w:lvlText w:val="•"/>
      <w:lvlJc w:val="left"/>
      <w:pPr>
        <w:ind w:left="5640" w:hanging="139"/>
      </w:pPr>
      <w:rPr>
        <w:rFonts w:hint="default"/>
      </w:rPr>
    </w:lvl>
    <w:lvl w:ilvl="7" w:tplc="342C03CE">
      <w:numFmt w:val="bullet"/>
      <w:lvlText w:val="•"/>
      <w:lvlJc w:val="left"/>
      <w:pPr>
        <w:ind w:left="6390" w:hanging="139"/>
      </w:pPr>
      <w:rPr>
        <w:rFonts w:hint="default"/>
      </w:rPr>
    </w:lvl>
    <w:lvl w:ilvl="8" w:tplc="32BCDCDC">
      <w:numFmt w:val="bullet"/>
      <w:lvlText w:val="•"/>
      <w:lvlJc w:val="left"/>
      <w:pPr>
        <w:ind w:left="7140" w:hanging="139"/>
      </w:pPr>
      <w:rPr>
        <w:rFonts w:hint="default"/>
      </w:rPr>
    </w:lvl>
  </w:abstractNum>
  <w:abstractNum w:abstractNumId="184" w15:restartNumberingAfterBreak="0">
    <w:nsid w:val="7A1C56AA"/>
    <w:multiLevelType w:val="hybridMultilevel"/>
    <w:tmpl w:val="02A03496"/>
    <w:lvl w:ilvl="0" w:tplc="DEAE660C">
      <w:start w:val="2"/>
      <w:numFmt w:val="decimal"/>
      <w:lvlText w:val="%1"/>
      <w:lvlJc w:val="left"/>
      <w:pPr>
        <w:ind w:left="1147" w:hanging="139"/>
      </w:pPr>
      <w:rPr>
        <w:rFonts w:ascii="Cambria" w:eastAsia="Cambria" w:hAnsi="Cambria" w:cs="Cambria" w:hint="default"/>
        <w:color w:val="231F20"/>
        <w:w w:val="104"/>
        <w:sz w:val="16"/>
        <w:szCs w:val="16"/>
      </w:rPr>
    </w:lvl>
    <w:lvl w:ilvl="1" w:tplc="66A072CC">
      <w:numFmt w:val="bullet"/>
      <w:lvlText w:val="•"/>
      <w:lvlJc w:val="left"/>
      <w:pPr>
        <w:ind w:left="1890" w:hanging="139"/>
      </w:pPr>
      <w:rPr>
        <w:rFonts w:hint="default"/>
      </w:rPr>
    </w:lvl>
    <w:lvl w:ilvl="2" w:tplc="9FBEE922">
      <w:numFmt w:val="bullet"/>
      <w:lvlText w:val="•"/>
      <w:lvlJc w:val="left"/>
      <w:pPr>
        <w:ind w:left="2640" w:hanging="139"/>
      </w:pPr>
      <w:rPr>
        <w:rFonts w:hint="default"/>
      </w:rPr>
    </w:lvl>
    <w:lvl w:ilvl="3" w:tplc="51EAEFA6">
      <w:numFmt w:val="bullet"/>
      <w:lvlText w:val="•"/>
      <w:lvlJc w:val="left"/>
      <w:pPr>
        <w:ind w:left="3390" w:hanging="139"/>
      </w:pPr>
      <w:rPr>
        <w:rFonts w:hint="default"/>
      </w:rPr>
    </w:lvl>
    <w:lvl w:ilvl="4" w:tplc="70C232B4">
      <w:numFmt w:val="bullet"/>
      <w:lvlText w:val="•"/>
      <w:lvlJc w:val="left"/>
      <w:pPr>
        <w:ind w:left="4140" w:hanging="139"/>
      </w:pPr>
      <w:rPr>
        <w:rFonts w:hint="default"/>
      </w:rPr>
    </w:lvl>
    <w:lvl w:ilvl="5" w:tplc="AAF61898">
      <w:numFmt w:val="bullet"/>
      <w:lvlText w:val="•"/>
      <w:lvlJc w:val="left"/>
      <w:pPr>
        <w:ind w:left="4890" w:hanging="139"/>
      </w:pPr>
      <w:rPr>
        <w:rFonts w:hint="default"/>
      </w:rPr>
    </w:lvl>
    <w:lvl w:ilvl="6" w:tplc="DF682834">
      <w:numFmt w:val="bullet"/>
      <w:lvlText w:val="•"/>
      <w:lvlJc w:val="left"/>
      <w:pPr>
        <w:ind w:left="5640" w:hanging="139"/>
      </w:pPr>
      <w:rPr>
        <w:rFonts w:hint="default"/>
      </w:rPr>
    </w:lvl>
    <w:lvl w:ilvl="7" w:tplc="B28C445A">
      <w:numFmt w:val="bullet"/>
      <w:lvlText w:val="•"/>
      <w:lvlJc w:val="left"/>
      <w:pPr>
        <w:ind w:left="6390" w:hanging="139"/>
      </w:pPr>
      <w:rPr>
        <w:rFonts w:hint="default"/>
      </w:rPr>
    </w:lvl>
    <w:lvl w:ilvl="8" w:tplc="C0C6F192">
      <w:numFmt w:val="bullet"/>
      <w:lvlText w:val="•"/>
      <w:lvlJc w:val="left"/>
      <w:pPr>
        <w:ind w:left="7140" w:hanging="139"/>
      </w:pPr>
      <w:rPr>
        <w:rFonts w:hint="default"/>
      </w:rPr>
    </w:lvl>
  </w:abstractNum>
  <w:abstractNum w:abstractNumId="185" w15:restartNumberingAfterBreak="0">
    <w:nsid w:val="7A306168"/>
    <w:multiLevelType w:val="hybridMultilevel"/>
    <w:tmpl w:val="2C2CE8E4"/>
    <w:lvl w:ilvl="0" w:tplc="F89049BE">
      <w:start w:val="5"/>
      <w:numFmt w:val="decimal"/>
      <w:lvlText w:val="%1"/>
      <w:lvlJc w:val="left"/>
      <w:pPr>
        <w:ind w:left="1327" w:hanging="139"/>
      </w:pPr>
      <w:rPr>
        <w:rFonts w:ascii="Cambria" w:eastAsia="Cambria" w:hAnsi="Cambria" w:cs="Cambria" w:hint="default"/>
        <w:color w:val="231F20"/>
        <w:w w:val="104"/>
        <w:sz w:val="16"/>
        <w:szCs w:val="16"/>
      </w:rPr>
    </w:lvl>
    <w:lvl w:ilvl="1" w:tplc="5810BD62">
      <w:numFmt w:val="bullet"/>
      <w:lvlText w:val="•"/>
      <w:lvlJc w:val="left"/>
      <w:pPr>
        <w:ind w:left="4720" w:hanging="139"/>
      </w:pPr>
      <w:rPr>
        <w:rFonts w:hint="default"/>
      </w:rPr>
    </w:lvl>
    <w:lvl w:ilvl="2" w:tplc="F6606F9C">
      <w:numFmt w:val="bullet"/>
      <w:lvlText w:val="•"/>
      <w:lvlJc w:val="left"/>
      <w:pPr>
        <w:ind w:left="5155" w:hanging="139"/>
      </w:pPr>
      <w:rPr>
        <w:rFonts w:hint="default"/>
      </w:rPr>
    </w:lvl>
    <w:lvl w:ilvl="3" w:tplc="31FCEE8E">
      <w:numFmt w:val="bullet"/>
      <w:lvlText w:val="•"/>
      <w:lvlJc w:val="left"/>
      <w:pPr>
        <w:ind w:left="5591" w:hanging="139"/>
      </w:pPr>
      <w:rPr>
        <w:rFonts w:hint="default"/>
      </w:rPr>
    </w:lvl>
    <w:lvl w:ilvl="4" w:tplc="80DE551C">
      <w:numFmt w:val="bullet"/>
      <w:lvlText w:val="•"/>
      <w:lvlJc w:val="left"/>
      <w:pPr>
        <w:ind w:left="6026" w:hanging="139"/>
      </w:pPr>
      <w:rPr>
        <w:rFonts w:hint="default"/>
      </w:rPr>
    </w:lvl>
    <w:lvl w:ilvl="5" w:tplc="6596A3E0">
      <w:numFmt w:val="bullet"/>
      <w:lvlText w:val="•"/>
      <w:lvlJc w:val="left"/>
      <w:pPr>
        <w:ind w:left="6462" w:hanging="139"/>
      </w:pPr>
      <w:rPr>
        <w:rFonts w:hint="default"/>
      </w:rPr>
    </w:lvl>
    <w:lvl w:ilvl="6" w:tplc="70C25476">
      <w:numFmt w:val="bullet"/>
      <w:lvlText w:val="•"/>
      <w:lvlJc w:val="left"/>
      <w:pPr>
        <w:ind w:left="6897" w:hanging="139"/>
      </w:pPr>
      <w:rPr>
        <w:rFonts w:hint="default"/>
      </w:rPr>
    </w:lvl>
    <w:lvl w:ilvl="7" w:tplc="A73647DE">
      <w:numFmt w:val="bullet"/>
      <w:lvlText w:val="•"/>
      <w:lvlJc w:val="left"/>
      <w:pPr>
        <w:ind w:left="7333" w:hanging="139"/>
      </w:pPr>
      <w:rPr>
        <w:rFonts w:hint="default"/>
      </w:rPr>
    </w:lvl>
    <w:lvl w:ilvl="8" w:tplc="7BA62C58">
      <w:numFmt w:val="bullet"/>
      <w:lvlText w:val="•"/>
      <w:lvlJc w:val="left"/>
      <w:pPr>
        <w:ind w:left="7768" w:hanging="139"/>
      </w:pPr>
      <w:rPr>
        <w:rFonts w:hint="default"/>
      </w:rPr>
    </w:lvl>
  </w:abstractNum>
  <w:abstractNum w:abstractNumId="186" w15:restartNumberingAfterBreak="0">
    <w:nsid w:val="7B900CC7"/>
    <w:multiLevelType w:val="hybridMultilevel"/>
    <w:tmpl w:val="9D0A136C"/>
    <w:lvl w:ilvl="0" w:tplc="6096B66A">
      <w:start w:val="2"/>
      <w:numFmt w:val="decimal"/>
      <w:lvlText w:val="%1"/>
      <w:lvlJc w:val="left"/>
      <w:pPr>
        <w:ind w:left="1466" w:hanging="139"/>
      </w:pPr>
      <w:rPr>
        <w:rFonts w:ascii="Cambria" w:eastAsia="Cambria" w:hAnsi="Cambria" w:cs="Cambria" w:hint="default"/>
        <w:color w:val="231F20"/>
        <w:w w:val="104"/>
        <w:sz w:val="16"/>
        <w:szCs w:val="16"/>
      </w:rPr>
    </w:lvl>
    <w:lvl w:ilvl="1" w:tplc="9522AE36">
      <w:numFmt w:val="bullet"/>
      <w:lvlText w:val="•"/>
      <w:lvlJc w:val="left"/>
      <w:pPr>
        <w:ind w:left="2178" w:hanging="139"/>
      </w:pPr>
      <w:rPr>
        <w:rFonts w:hint="default"/>
      </w:rPr>
    </w:lvl>
    <w:lvl w:ilvl="2" w:tplc="EDDEDB0E">
      <w:numFmt w:val="bullet"/>
      <w:lvlText w:val="•"/>
      <w:lvlJc w:val="left"/>
      <w:pPr>
        <w:ind w:left="2896" w:hanging="139"/>
      </w:pPr>
      <w:rPr>
        <w:rFonts w:hint="default"/>
      </w:rPr>
    </w:lvl>
    <w:lvl w:ilvl="3" w:tplc="5D90DD4C">
      <w:numFmt w:val="bullet"/>
      <w:lvlText w:val="•"/>
      <w:lvlJc w:val="left"/>
      <w:pPr>
        <w:ind w:left="3614" w:hanging="139"/>
      </w:pPr>
      <w:rPr>
        <w:rFonts w:hint="default"/>
      </w:rPr>
    </w:lvl>
    <w:lvl w:ilvl="4" w:tplc="6E982B32">
      <w:numFmt w:val="bullet"/>
      <w:lvlText w:val="•"/>
      <w:lvlJc w:val="left"/>
      <w:pPr>
        <w:ind w:left="4332" w:hanging="139"/>
      </w:pPr>
      <w:rPr>
        <w:rFonts w:hint="default"/>
      </w:rPr>
    </w:lvl>
    <w:lvl w:ilvl="5" w:tplc="A2B0BD56">
      <w:numFmt w:val="bullet"/>
      <w:lvlText w:val="•"/>
      <w:lvlJc w:val="left"/>
      <w:pPr>
        <w:ind w:left="5050" w:hanging="139"/>
      </w:pPr>
      <w:rPr>
        <w:rFonts w:hint="default"/>
      </w:rPr>
    </w:lvl>
    <w:lvl w:ilvl="6" w:tplc="37C4A176">
      <w:numFmt w:val="bullet"/>
      <w:lvlText w:val="•"/>
      <w:lvlJc w:val="left"/>
      <w:pPr>
        <w:ind w:left="5768" w:hanging="139"/>
      </w:pPr>
      <w:rPr>
        <w:rFonts w:hint="default"/>
      </w:rPr>
    </w:lvl>
    <w:lvl w:ilvl="7" w:tplc="CCC644F4">
      <w:numFmt w:val="bullet"/>
      <w:lvlText w:val="•"/>
      <w:lvlJc w:val="left"/>
      <w:pPr>
        <w:ind w:left="6486" w:hanging="139"/>
      </w:pPr>
      <w:rPr>
        <w:rFonts w:hint="default"/>
      </w:rPr>
    </w:lvl>
    <w:lvl w:ilvl="8" w:tplc="A5BC918C">
      <w:numFmt w:val="bullet"/>
      <w:lvlText w:val="•"/>
      <w:lvlJc w:val="left"/>
      <w:pPr>
        <w:ind w:left="7204" w:hanging="139"/>
      </w:pPr>
      <w:rPr>
        <w:rFonts w:hint="default"/>
      </w:rPr>
    </w:lvl>
  </w:abstractNum>
  <w:abstractNum w:abstractNumId="187" w15:restartNumberingAfterBreak="0">
    <w:nsid w:val="7CE9483F"/>
    <w:multiLevelType w:val="hybridMultilevel"/>
    <w:tmpl w:val="CA443BEA"/>
    <w:lvl w:ilvl="0" w:tplc="D01092A2">
      <w:numFmt w:val="bullet"/>
      <w:lvlText w:val="•"/>
      <w:lvlJc w:val="left"/>
      <w:pPr>
        <w:ind w:left="1824" w:hanging="240"/>
      </w:pPr>
      <w:rPr>
        <w:rFonts w:ascii="Cambria" w:eastAsia="Cambria" w:hAnsi="Cambria" w:cs="Cambria" w:hint="default"/>
        <w:color w:val="231F20"/>
        <w:w w:val="112"/>
        <w:sz w:val="20"/>
        <w:szCs w:val="20"/>
      </w:rPr>
    </w:lvl>
    <w:lvl w:ilvl="1" w:tplc="C3FC553E">
      <w:numFmt w:val="bullet"/>
      <w:lvlText w:val="•"/>
      <w:lvlJc w:val="left"/>
      <w:pPr>
        <w:ind w:left="2502" w:hanging="240"/>
      </w:pPr>
      <w:rPr>
        <w:rFonts w:hint="default"/>
      </w:rPr>
    </w:lvl>
    <w:lvl w:ilvl="2" w:tplc="BA32C510">
      <w:numFmt w:val="bullet"/>
      <w:lvlText w:val="•"/>
      <w:lvlJc w:val="left"/>
      <w:pPr>
        <w:ind w:left="3184" w:hanging="240"/>
      </w:pPr>
      <w:rPr>
        <w:rFonts w:hint="default"/>
      </w:rPr>
    </w:lvl>
    <w:lvl w:ilvl="3" w:tplc="7214C7DE">
      <w:numFmt w:val="bullet"/>
      <w:lvlText w:val="•"/>
      <w:lvlJc w:val="left"/>
      <w:pPr>
        <w:ind w:left="3866" w:hanging="240"/>
      </w:pPr>
      <w:rPr>
        <w:rFonts w:hint="default"/>
      </w:rPr>
    </w:lvl>
    <w:lvl w:ilvl="4" w:tplc="0FCC6284">
      <w:numFmt w:val="bullet"/>
      <w:lvlText w:val="•"/>
      <w:lvlJc w:val="left"/>
      <w:pPr>
        <w:ind w:left="4548" w:hanging="240"/>
      </w:pPr>
      <w:rPr>
        <w:rFonts w:hint="default"/>
      </w:rPr>
    </w:lvl>
    <w:lvl w:ilvl="5" w:tplc="E4621C8A">
      <w:numFmt w:val="bullet"/>
      <w:lvlText w:val="•"/>
      <w:lvlJc w:val="left"/>
      <w:pPr>
        <w:ind w:left="5230" w:hanging="240"/>
      </w:pPr>
      <w:rPr>
        <w:rFonts w:hint="default"/>
      </w:rPr>
    </w:lvl>
    <w:lvl w:ilvl="6" w:tplc="30163B5E">
      <w:numFmt w:val="bullet"/>
      <w:lvlText w:val="•"/>
      <w:lvlJc w:val="left"/>
      <w:pPr>
        <w:ind w:left="5912" w:hanging="240"/>
      </w:pPr>
      <w:rPr>
        <w:rFonts w:hint="default"/>
      </w:rPr>
    </w:lvl>
    <w:lvl w:ilvl="7" w:tplc="E7DC95A0">
      <w:numFmt w:val="bullet"/>
      <w:lvlText w:val="•"/>
      <w:lvlJc w:val="left"/>
      <w:pPr>
        <w:ind w:left="6594" w:hanging="240"/>
      </w:pPr>
      <w:rPr>
        <w:rFonts w:hint="default"/>
      </w:rPr>
    </w:lvl>
    <w:lvl w:ilvl="8" w:tplc="814C9D9E">
      <w:numFmt w:val="bullet"/>
      <w:lvlText w:val="•"/>
      <w:lvlJc w:val="left"/>
      <w:pPr>
        <w:ind w:left="7276" w:hanging="240"/>
      </w:pPr>
      <w:rPr>
        <w:rFonts w:hint="default"/>
      </w:rPr>
    </w:lvl>
  </w:abstractNum>
  <w:abstractNum w:abstractNumId="188" w15:restartNumberingAfterBreak="0">
    <w:nsid w:val="7DB274ED"/>
    <w:multiLevelType w:val="hybridMultilevel"/>
    <w:tmpl w:val="DB9C8E64"/>
    <w:lvl w:ilvl="0" w:tplc="0CC652EE">
      <w:start w:val="1"/>
      <w:numFmt w:val="decimal"/>
      <w:lvlText w:val="%1"/>
      <w:lvlJc w:val="left"/>
      <w:pPr>
        <w:ind w:left="1328" w:hanging="139"/>
        <w:jc w:val="right"/>
      </w:pPr>
      <w:rPr>
        <w:rFonts w:ascii="Cambria" w:eastAsia="Cambria" w:hAnsi="Cambria" w:cs="Cambria" w:hint="default"/>
        <w:color w:val="231F20"/>
        <w:w w:val="104"/>
        <w:sz w:val="16"/>
        <w:szCs w:val="16"/>
      </w:rPr>
    </w:lvl>
    <w:lvl w:ilvl="1" w:tplc="DB5289E6">
      <w:numFmt w:val="bullet"/>
      <w:lvlText w:val="•"/>
      <w:lvlJc w:val="left"/>
      <w:pPr>
        <w:ind w:left="2052" w:hanging="139"/>
      </w:pPr>
      <w:rPr>
        <w:rFonts w:hint="default"/>
      </w:rPr>
    </w:lvl>
    <w:lvl w:ilvl="2" w:tplc="CB8EBE76">
      <w:numFmt w:val="bullet"/>
      <w:lvlText w:val="•"/>
      <w:lvlJc w:val="left"/>
      <w:pPr>
        <w:ind w:left="2784" w:hanging="139"/>
      </w:pPr>
      <w:rPr>
        <w:rFonts w:hint="default"/>
      </w:rPr>
    </w:lvl>
    <w:lvl w:ilvl="3" w:tplc="652830E2">
      <w:numFmt w:val="bullet"/>
      <w:lvlText w:val="•"/>
      <w:lvlJc w:val="left"/>
      <w:pPr>
        <w:ind w:left="3516" w:hanging="139"/>
      </w:pPr>
      <w:rPr>
        <w:rFonts w:hint="default"/>
      </w:rPr>
    </w:lvl>
    <w:lvl w:ilvl="4" w:tplc="D8D6235A">
      <w:numFmt w:val="bullet"/>
      <w:lvlText w:val="•"/>
      <w:lvlJc w:val="left"/>
      <w:pPr>
        <w:ind w:left="4248" w:hanging="139"/>
      </w:pPr>
      <w:rPr>
        <w:rFonts w:hint="default"/>
      </w:rPr>
    </w:lvl>
    <w:lvl w:ilvl="5" w:tplc="769CE3D6">
      <w:numFmt w:val="bullet"/>
      <w:lvlText w:val="•"/>
      <w:lvlJc w:val="left"/>
      <w:pPr>
        <w:ind w:left="4980" w:hanging="139"/>
      </w:pPr>
      <w:rPr>
        <w:rFonts w:hint="default"/>
      </w:rPr>
    </w:lvl>
    <w:lvl w:ilvl="6" w:tplc="308A9BA2">
      <w:numFmt w:val="bullet"/>
      <w:lvlText w:val="•"/>
      <w:lvlJc w:val="left"/>
      <w:pPr>
        <w:ind w:left="5712" w:hanging="139"/>
      </w:pPr>
      <w:rPr>
        <w:rFonts w:hint="default"/>
      </w:rPr>
    </w:lvl>
    <w:lvl w:ilvl="7" w:tplc="334C53DE">
      <w:numFmt w:val="bullet"/>
      <w:lvlText w:val="•"/>
      <w:lvlJc w:val="left"/>
      <w:pPr>
        <w:ind w:left="6444" w:hanging="139"/>
      </w:pPr>
      <w:rPr>
        <w:rFonts w:hint="default"/>
      </w:rPr>
    </w:lvl>
    <w:lvl w:ilvl="8" w:tplc="E4900192">
      <w:numFmt w:val="bullet"/>
      <w:lvlText w:val="•"/>
      <w:lvlJc w:val="left"/>
      <w:pPr>
        <w:ind w:left="7176" w:hanging="139"/>
      </w:pPr>
      <w:rPr>
        <w:rFonts w:hint="default"/>
      </w:rPr>
    </w:lvl>
  </w:abstractNum>
  <w:abstractNum w:abstractNumId="189" w15:restartNumberingAfterBreak="0">
    <w:nsid w:val="7DB67230"/>
    <w:multiLevelType w:val="hybridMultilevel"/>
    <w:tmpl w:val="D00C0A54"/>
    <w:lvl w:ilvl="0" w:tplc="73FE373E">
      <w:start w:val="1"/>
      <w:numFmt w:val="decimal"/>
      <w:lvlText w:val="%1"/>
      <w:lvlJc w:val="left"/>
      <w:pPr>
        <w:ind w:left="1147" w:hanging="139"/>
      </w:pPr>
      <w:rPr>
        <w:rFonts w:ascii="Cambria" w:eastAsia="Cambria" w:hAnsi="Cambria" w:cs="Cambria" w:hint="default"/>
        <w:color w:val="231F20"/>
        <w:w w:val="104"/>
        <w:sz w:val="16"/>
        <w:szCs w:val="16"/>
      </w:rPr>
    </w:lvl>
    <w:lvl w:ilvl="1" w:tplc="B9DA7E2C">
      <w:numFmt w:val="bullet"/>
      <w:lvlText w:val="•"/>
      <w:lvlJc w:val="left"/>
      <w:pPr>
        <w:ind w:left="1460" w:hanging="139"/>
      </w:pPr>
      <w:rPr>
        <w:rFonts w:hint="default"/>
      </w:rPr>
    </w:lvl>
    <w:lvl w:ilvl="2" w:tplc="E8581838">
      <w:numFmt w:val="bullet"/>
      <w:lvlText w:val="•"/>
      <w:lvlJc w:val="left"/>
      <w:pPr>
        <w:ind w:left="2257" w:hanging="139"/>
      </w:pPr>
      <w:rPr>
        <w:rFonts w:hint="default"/>
      </w:rPr>
    </w:lvl>
    <w:lvl w:ilvl="3" w:tplc="7812C716">
      <w:numFmt w:val="bullet"/>
      <w:lvlText w:val="•"/>
      <w:lvlJc w:val="left"/>
      <w:pPr>
        <w:ind w:left="3055" w:hanging="139"/>
      </w:pPr>
      <w:rPr>
        <w:rFonts w:hint="default"/>
      </w:rPr>
    </w:lvl>
    <w:lvl w:ilvl="4" w:tplc="375291C8">
      <w:numFmt w:val="bullet"/>
      <w:lvlText w:val="•"/>
      <w:lvlJc w:val="left"/>
      <w:pPr>
        <w:ind w:left="3853" w:hanging="139"/>
      </w:pPr>
      <w:rPr>
        <w:rFonts w:hint="default"/>
      </w:rPr>
    </w:lvl>
    <w:lvl w:ilvl="5" w:tplc="3ADA1478">
      <w:numFmt w:val="bullet"/>
      <w:lvlText w:val="•"/>
      <w:lvlJc w:val="left"/>
      <w:pPr>
        <w:ind w:left="4651" w:hanging="139"/>
      </w:pPr>
      <w:rPr>
        <w:rFonts w:hint="default"/>
      </w:rPr>
    </w:lvl>
    <w:lvl w:ilvl="6" w:tplc="8CD441DA">
      <w:numFmt w:val="bullet"/>
      <w:lvlText w:val="•"/>
      <w:lvlJc w:val="left"/>
      <w:pPr>
        <w:ind w:left="5448" w:hanging="139"/>
      </w:pPr>
      <w:rPr>
        <w:rFonts w:hint="default"/>
      </w:rPr>
    </w:lvl>
    <w:lvl w:ilvl="7" w:tplc="A7B2C7F4">
      <w:numFmt w:val="bullet"/>
      <w:lvlText w:val="•"/>
      <w:lvlJc w:val="left"/>
      <w:pPr>
        <w:ind w:left="6246" w:hanging="139"/>
      </w:pPr>
      <w:rPr>
        <w:rFonts w:hint="default"/>
      </w:rPr>
    </w:lvl>
    <w:lvl w:ilvl="8" w:tplc="5ED0D784">
      <w:numFmt w:val="bullet"/>
      <w:lvlText w:val="•"/>
      <w:lvlJc w:val="left"/>
      <w:pPr>
        <w:ind w:left="7044" w:hanging="139"/>
      </w:pPr>
      <w:rPr>
        <w:rFonts w:hint="default"/>
      </w:rPr>
    </w:lvl>
  </w:abstractNum>
  <w:abstractNum w:abstractNumId="190" w15:restartNumberingAfterBreak="0">
    <w:nsid w:val="7DED40AA"/>
    <w:multiLevelType w:val="hybridMultilevel"/>
    <w:tmpl w:val="E5BE5520"/>
    <w:lvl w:ilvl="0" w:tplc="40627C0E">
      <w:start w:val="1"/>
      <w:numFmt w:val="decimal"/>
      <w:lvlText w:val="%1"/>
      <w:lvlJc w:val="left"/>
      <w:pPr>
        <w:ind w:left="1327" w:hanging="139"/>
      </w:pPr>
      <w:rPr>
        <w:rFonts w:ascii="Cambria" w:eastAsia="Cambria" w:hAnsi="Cambria" w:cs="Cambria" w:hint="default"/>
        <w:color w:val="231F20"/>
        <w:w w:val="104"/>
        <w:sz w:val="16"/>
        <w:szCs w:val="16"/>
      </w:rPr>
    </w:lvl>
    <w:lvl w:ilvl="1" w:tplc="C988027E">
      <w:numFmt w:val="bullet"/>
      <w:lvlText w:val="•"/>
      <w:lvlJc w:val="left"/>
      <w:pPr>
        <w:ind w:left="2052" w:hanging="139"/>
      </w:pPr>
      <w:rPr>
        <w:rFonts w:hint="default"/>
      </w:rPr>
    </w:lvl>
    <w:lvl w:ilvl="2" w:tplc="DA5EFD20">
      <w:numFmt w:val="bullet"/>
      <w:lvlText w:val="•"/>
      <w:lvlJc w:val="left"/>
      <w:pPr>
        <w:ind w:left="2784" w:hanging="139"/>
      </w:pPr>
      <w:rPr>
        <w:rFonts w:hint="default"/>
      </w:rPr>
    </w:lvl>
    <w:lvl w:ilvl="3" w:tplc="3F40E764">
      <w:numFmt w:val="bullet"/>
      <w:lvlText w:val="•"/>
      <w:lvlJc w:val="left"/>
      <w:pPr>
        <w:ind w:left="3516" w:hanging="139"/>
      </w:pPr>
      <w:rPr>
        <w:rFonts w:hint="default"/>
      </w:rPr>
    </w:lvl>
    <w:lvl w:ilvl="4" w:tplc="A9F0F72A">
      <w:numFmt w:val="bullet"/>
      <w:lvlText w:val="•"/>
      <w:lvlJc w:val="left"/>
      <w:pPr>
        <w:ind w:left="4248" w:hanging="139"/>
      </w:pPr>
      <w:rPr>
        <w:rFonts w:hint="default"/>
      </w:rPr>
    </w:lvl>
    <w:lvl w:ilvl="5" w:tplc="AB16F334">
      <w:numFmt w:val="bullet"/>
      <w:lvlText w:val="•"/>
      <w:lvlJc w:val="left"/>
      <w:pPr>
        <w:ind w:left="4980" w:hanging="139"/>
      </w:pPr>
      <w:rPr>
        <w:rFonts w:hint="default"/>
      </w:rPr>
    </w:lvl>
    <w:lvl w:ilvl="6" w:tplc="D6A65646">
      <w:numFmt w:val="bullet"/>
      <w:lvlText w:val="•"/>
      <w:lvlJc w:val="left"/>
      <w:pPr>
        <w:ind w:left="5712" w:hanging="139"/>
      </w:pPr>
      <w:rPr>
        <w:rFonts w:hint="default"/>
      </w:rPr>
    </w:lvl>
    <w:lvl w:ilvl="7" w:tplc="492EC020">
      <w:numFmt w:val="bullet"/>
      <w:lvlText w:val="•"/>
      <w:lvlJc w:val="left"/>
      <w:pPr>
        <w:ind w:left="6444" w:hanging="139"/>
      </w:pPr>
      <w:rPr>
        <w:rFonts w:hint="default"/>
      </w:rPr>
    </w:lvl>
    <w:lvl w:ilvl="8" w:tplc="308A7CC4">
      <w:numFmt w:val="bullet"/>
      <w:lvlText w:val="•"/>
      <w:lvlJc w:val="left"/>
      <w:pPr>
        <w:ind w:left="7176" w:hanging="139"/>
      </w:pPr>
      <w:rPr>
        <w:rFonts w:hint="default"/>
      </w:rPr>
    </w:lvl>
  </w:abstractNum>
  <w:abstractNum w:abstractNumId="191" w15:restartNumberingAfterBreak="0">
    <w:nsid w:val="7DFA228E"/>
    <w:multiLevelType w:val="hybridMultilevel"/>
    <w:tmpl w:val="AB28BB8A"/>
    <w:lvl w:ilvl="0" w:tplc="49C8E080">
      <w:start w:val="1"/>
      <w:numFmt w:val="decimal"/>
      <w:lvlText w:val="%1"/>
      <w:lvlJc w:val="left"/>
      <w:pPr>
        <w:ind w:left="1147" w:hanging="139"/>
        <w:jc w:val="right"/>
      </w:pPr>
      <w:rPr>
        <w:rFonts w:ascii="Cambria" w:eastAsia="Cambria" w:hAnsi="Cambria" w:cs="Cambria" w:hint="default"/>
        <w:color w:val="231F20"/>
        <w:w w:val="104"/>
        <w:sz w:val="16"/>
        <w:szCs w:val="16"/>
      </w:rPr>
    </w:lvl>
    <w:lvl w:ilvl="1" w:tplc="52C83362">
      <w:numFmt w:val="bullet"/>
      <w:lvlText w:val="•"/>
      <w:lvlJc w:val="left"/>
      <w:pPr>
        <w:ind w:left="1890" w:hanging="139"/>
      </w:pPr>
      <w:rPr>
        <w:rFonts w:hint="default"/>
      </w:rPr>
    </w:lvl>
    <w:lvl w:ilvl="2" w:tplc="C5586A22">
      <w:numFmt w:val="bullet"/>
      <w:lvlText w:val="•"/>
      <w:lvlJc w:val="left"/>
      <w:pPr>
        <w:ind w:left="2640" w:hanging="139"/>
      </w:pPr>
      <w:rPr>
        <w:rFonts w:hint="default"/>
      </w:rPr>
    </w:lvl>
    <w:lvl w:ilvl="3" w:tplc="30DA7686">
      <w:numFmt w:val="bullet"/>
      <w:lvlText w:val="•"/>
      <w:lvlJc w:val="left"/>
      <w:pPr>
        <w:ind w:left="3390" w:hanging="139"/>
      </w:pPr>
      <w:rPr>
        <w:rFonts w:hint="default"/>
      </w:rPr>
    </w:lvl>
    <w:lvl w:ilvl="4" w:tplc="698A58E4">
      <w:numFmt w:val="bullet"/>
      <w:lvlText w:val="•"/>
      <w:lvlJc w:val="left"/>
      <w:pPr>
        <w:ind w:left="4140" w:hanging="139"/>
      </w:pPr>
      <w:rPr>
        <w:rFonts w:hint="default"/>
      </w:rPr>
    </w:lvl>
    <w:lvl w:ilvl="5" w:tplc="9F90C8EA">
      <w:numFmt w:val="bullet"/>
      <w:lvlText w:val="•"/>
      <w:lvlJc w:val="left"/>
      <w:pPr>
        <w:ind w:left="4890" w:hanging="139"/>
      </w:pPr>
      <w:rPr>
        <w:rFonts w:hint="default"/>
      </w:rPr>
    </w:lvl>
    <w:lvl w:ilvl="6" w:tplc="494C7736">
      <w:numFmt w:val="bullet"/>
      <w:lvlText w:val="•"/>
      <w:lvlJc w:val="left"/>
      <w:pPr>
        <w:ind w:left="5640" w:hanging="139"/>
      </w:pPr>
      <w:rPr>
        <w:rFonts w:hint="default"/>
      </w:rPr>
    </w:lvl>
    <w:lvl w:ilvl="7" w:tplc="DDA4692C">
      <w:numFmt w:val="bullet"/>
      <w:lvlText w:val="•"/>
      <w:lvlJc w:val="left"/>
      <w:pPr>
        <w:ind w:left="6390" w:hanging="139"/>
      </w:pPr>
      <w:rPr>
        <w:rFonts w:hint="default"/>
      </w:rPr>
    </w:lvl>
    <w:lvl w:ilvl="8" w:tplc="50E86AEC">
      <w:numFmt w:val="bullet"/>
      <w:lvlText w:val="•"/>
      <w:lvlJc w:val="left"/>
      <w:pPr>
        <w:ind w:left="7140" w:hanging="139"/>
      </w:pPr>
      <w:rPr>
        <w:rFonts w:hint="default"/>
      </w:rPr>
    </w:lvl>
  </w:abstractNum>
  <w:abstractNum w:abstractNumId="192" w15:restartNumberingAfterBreak="0">
    <w:nsid w:val="7E1A711E"/>
    <w:multiLevelType w:val="hybridMultilevel"/>
    <w:tmpl w:val="BFC0CF64"/>
    <w:lvl w:ilvl="0" w:tplc="D0F6EEBE">
      <w:start w:val="4"/>
      <w:numFmt w:val="decimal"/>
      <w:lvlText w:val="%1"/>
      <w:lvlJc w:val="left"/>
      <w:pPr>
        <w:ind w:left="1466" w:hanging="139"/>
      </w:pPr>
      <w:rPr>
        <w:rFonts w:ascii="Cambria" w:eastAsia="Cambria" w:hAnsi="Cambria" w:cs="Cambria" w:hint="default"/>
        <w:color w:val="231F20"/>
        <w:w w:val="104"/>
        <w:sz w:val="16"/>
        <w:szCs w:val="16"/>
      </w:rPr>
    </w:lvl>
    <w:lvl w:ilvl="1" w:tplc="A726F0B8">
      <w:numFmt w:val="bullet"/>
      <w:lvlText w:val="•"/>
      <w:lvlJc w:val="left"/>
      <w:pPr>
        <w:ind w:left="2178" w:hanging="139"/>
      </w:pPr>
      <w:rPr>
        <w:rFonts w:hint="default"/>
      </w:rPr>
    </w:lvl>
    <w:lvl w:ilvl="2" w:tplc="89C82202">
      <w:numFmt w:val="bullet"/>
      <w:lvlText w:val="•"/>
      <w:lvlJc w:val="left"/>
      <w:pPr>
        <w:ind w:left="2896" w:hanging="139"/>
      </w:pPr>
      <w:rPr>
        <w:rFonts w:hint="default"/>
      </w:rPr>
    </w:lvl>
    <w:lvl w:ilvl="3" w:tplc="274E3B42">
      <w:numFmt w:val="bullet"/>
      <w:lvlText w:val="•"/>
      <w:lvlJc w:val="left"/>
      <w:pPr>
        <w:ind w:left="3614" w:hanging="139"/>
      </w:pPr>
      <w:rPr>
        <w:rFonts w:hint="default"/>
      </w:rPr>
    </w:lvl>
    <w:lvl w:ilvl="4" w:tplc="CCDEE9FA">
      <w:numFmt w:val="bullet"/>
      <w:lvlText w:val="•"/>
      <w:lvlJc w:val="left"/>
      <w:pPr>
        <w:ind w:left="4332" w:hanging="139"/>
      </w:pPr>
      <w:rPr>
        <w:rFonts w:hint="default"/>
      </w:rPr>
    </w:lvl>
    <w:lvl w:ilvl="5" w:tplc="AA76212C">
      <w:numFmt w:val="bullet"/>
      <w:lvlText w:val="•"/>
      <w:lvlJc w:val="left"/>
      <w:pPr>
        <w:ind w:left="5050" w:hanging="139"/>
      </w:pPr>
      <w:rPr>
        <w:rFonts w:hint="default"/>
      </w:rPr>
    </w:lvl>
    <w:lvl w:ilvl="6" w:tplc="07442A98">
      <w:numFmt w:val="bullet"/>
      <w:lvlText w:val="•"/>
      <w:lvlJc w:val="left"/>
      <w:pPr>
        <w:ind w:left="5768" w:hanging="139"/>
      </w:pPr>
      <w:rPr>
        <w:rFonts w:hint="default"/>
      </w:rPr>
    </w:lvl>
    <w:lvl w:ilvl="7" w:tplc="951E099E">
      <w:numFmt w:val="bullet"/>
      <w:lvlText w:val="•"/>
      <w:lvlJc w:val="left"/>
      <w:pPr>
        <w:ind w:left="6486" w:hanging="139"/>
      </w:pPr>
      <w:rPr>
        <w:rFonts w:hint="default"/>
      </w:rPr>
    </w:lvl>
    <w:lvl w:ilvl="8" w:tplc="4AB80664">
      <w:numFmt w:val="bullet"/>
      <w:lvlText w:val="•"/>
      <w:lvlJc w:val="left"/>
      <w:pPr>
        <w:ind w:left="7204" w:hanging="139"/>
      </w:pPr>
      <w:rPr>
        <w:rFonts w:hint="default"/>
      </w:rPr>
    </w:lvl>
  </w:abstractNum>
  <w:abstractNum w:abstractNumId="193" w15:restartNumberingAfterBreak="0">
    <w:nsid w:val="7FA41B6D"/>
    <w:multiLevelType w:val="hybridMultilevel"/>
    <w:tmpl w:val="B632155C"/>
    <w:lvl w:ilvl="0" w:tplc="EFE0EF3E">
      <w:start w:val="3"/>
      <w:numFmt w:val="decimal"/>
      <w:lvlText w:val="%1"/>
      <w:lvlJc w:val="left"/>
      <w:pPr>
        <w:ind w:left="1328" w:hanging="139"/>
      </w:pPr>
      <w:rPr>
        <w:rFonts w:ascii="Cambria" w:eastAsia="Cambria" w:hAnsi="Cambria" w:cs="Cambria" w:hint="default"/>
        <w:color w:val="231F20"/>
        <w:w w:val="104"/>
        <w:sz w:val="16"/>
        <w:szCs w:val="16"/>
      </w:rPr>
    </w:lvl>
    <w:lvl w:ilvl="1" w:tplc="A1FEF736">
      <w:numFmt w:val="bullet"/>
      <w:lvlText w:val="•"/>
      <w:lvlJc w:val="left"/>
      <w:pPr>
        <w:ind w:left="2052" w:hanging="139"/>
      </w:pPr>
      <w:rPr>
        <w:rFonts w:hint="default"/>
      </w:rPr>
    </w:lvl>
    <w:lvl w:ilvl="2" w:tplc="5484A2F2">
      <w:numFmt w:val="bullet"/>
      <w:lvlText w:val="•"/>
      <w:lvlJc w:val="left"/>
      <w:pPr>
        <w:ind w:left="2784" w:hanging="139"/>
      </w:pPr>
      <w:rPr>
        <w:rFonts w:hint="default"/>
      </w:rPr>
    </w:lvl>
    <w:lvl w:ilvl="3" w:tplc="BECC0950">
      <w:numFmt w:val="bullet"/>
      <w:lvlText w:val="•"/>
      <w:lvlJc w:val="left"/>
      <w:pPr>
        <w:ind w:left="3516" w:hanging="139"/>
      </w:pPr>
      <w:rPr>
        <w:rFonts w:hint="default"/>
      </w:rPr>
    </w:lvl>
    <w:lvl w:ilvl="4" w:tplc="C534032A">
      <w:numFmt w:val="bullet"/>
      <w:lvlText w:val="•"/>
      <w:lvlJc w:val="left"/>
      <w:pPr>
        <w:ind w:left="4248" w:hanging="139"/>
      </w:pPr>
      <w:rPr>
        <w:rFonts w:hint="default"/>
      </w:rPr>
    </w:lvl>
    <w:lvl w:ilvl="5" w:tplc="B734FAA0">
      <w:numFmt w:val="bullet"/>
      <w:lvlText w:val="•"/>
      <w:lvlJc w:val="left"/>
      <w:pPr>
        <w:ind w:left="4980" w:hanging="139"/>
      </w:pPr>
      <w:rPr>
        <w:rFonts w:hint="default"/>
      </w:rPr>
    </w:lvl>
    <w:lvl w:ilvl="6" w:tplc="818A2B86">
      <w:numFmt w:val="bullet"/>
      <w:lvlText w:val="•"/>
      <w:lvlJc w:val="left"/>
      <w:pPr>
        <w:ind w:left="5712" w:hanging="139"/>
      </w:pPr>
      <w:rPr>
        <w:rFonts w:hint="default"/>
      </w:rPr>
    </w:lvl>
    <w:lvl w:ilvl="7" w:tplc="423097D6">
      <w:numFmt w:val="bullet"/>
      <w:lvlText w:val="•"/>
      <w:lvlJc w:val="left"/>
      <w:pPr>
        <w:ind w:left="6444" w:hanging="139"/>
      </w:pPr>
      <w:rPr>
        <w:rFonts w:hint="default"/>
      </w:rPr>
    </w:lvl>
    <w:lvl w:ilvl="8" w:tplc="6824CD8A">
      <w:numFmt w:val="bullet"/>
      <w:lvlText w:val="•"/>
      <w:lvlJc w:val="left"/>
      <w:pPr>
        <w:ind w:left="7176" w:hanging="139"/>
      </w:pPr>
      <w:rPr>
        <w:rFonts w:hint="default"/>
      </w:rPr>
    </w:lvl>
  </w:abstractNum>
  <w:num w:numId="1" w16cid:durableId="318585477">
    <w:abstractNumId w:val="176"/>
  </w:num>
  <w:num w:numId="2" w16cid:durableId="1968389313">
    <w:abstractNumId w:val="178"/>
  </w:num>
  <w:num w:numId="3" w16cid:durableId="956521089">
    <w:abstractNumId w:val="187"/>
  </w:num>
  <w:num w:numId="4" w16cid:durableId="865675546">
    <w:abstractNumId w:val="24"/>
  </w:num>
  <w:num w:numId="5" w16cid:durableId="749616013">
    <w:abstractNumId w:val="56"/>
  </w:num>
  <w:num w:numId="6" w16cid:durableId="878589641">
    <w:abstractNumId w:val="150"/>
  </w:num>
  <w:num w:numId="7" w16cid:durableId="560754565">
    <w:abstractNumId w:val="94"/>
  </w:num>
  <w:num w:numId="8" w16cid:durableId="261568905">
    <w:abstractNumId w:val="40"/>
  </w:num>
  <w:num w:numId="9" w16cid:durableId="1784230737">
    <w:abstractNumId w:val="7"/>
  </w:num>
  <w:num w:numId="10" w16cid:durableId="268120987">
    <w:abstractNumId w:val="146"/>
  </w:num>
  <w:num w:numId="11" w16cid:durableId="1844392703">
    <w:abstractNumId w:val="104"/>
  </w:num>
  <w:num w:numId="12" w16cid:durableId="1153526408">
    <w:abstractNumId w:val="128"/>
  </w:num>
  <w:num w:numId="13" w16cid:durableId="1532841504">
    <w:abstractNumId w:val="171"/>
  </w:num>
  <w:num w:numId="14" w16cid:durableId="1661345516">
    <w:abstractNumId w:val="181"/>
  </w:num>
  <w:num w:numId="15" w16cid:durableId="1253977221">
    <w:abstractNumId w:val="67"/>
  </w:num>
  <w:num w:numId="16" w16cid:durableId="868565753">
    <w:abstractNumId w:val="32"/>
  </w:num>
  <w:num w:numId="17" w16cid:durableId="752817752">
    <w:abstractNumId w:val="78"/>
  </w:num>
  <w:num w:numId="18" w16cid:durableId="560529697">
    <w:abstractNumId w:val="18"/>
  </w:num>
  <w:num w:numId="19" w16cid:durableId="1210605821">
    <w:abstractNumId w:val="88"/>
  </w:num>
  <w:num w:numId="20" w16cid:durableId="866527680">
    <w:abstractNumId w:val="8"/>
  </w:num>
  <w:num w:numId="21" w16cid:durableId="407117331">
    <w:abstractNumId w:val="29"/>
  </w:num>
  <w:num w:numId="22" w16cid:durableId="1279996047">
    <w:abstractNumId w:val="51"/>
  </w:num>
  <w:num w:numId="23" w16cid:durableId="535581269">
    <w:abstractNumId w:val="175"/>
  </w:num>
  <w:num w:numId="24" w16cid:durableId="1867671426">
    <w:abstractNumId w:val="62"/>
  </w:num>
  <w:num w:numId="25" w16cid:durableId="831291375">
    <w:abstractNumId w:val="42"/>
  </w:num>
  <w:num w:numId="26" w16cid:durableId="463618851">
    <w:abstractNumId w:val="69"/>
  </w:num>
  <w:num w:numId="27" w16cid:durableId="365447224">
    <w:abstractNumId w:val="100"/>
  </w:num>
  <w:num w:numId="28" w16cid:durableId="176231804">
    <w:abstractNumId w:val="76"/>
  </w:num>
  <w:num w:numId="29" w16cid:durableId="1964653687">
    <w:abstractNumId w:val="97"/>
  </w:num>
  <w:num w:numId="30" w16cid:durableId="1692029670">
    <w:abstractNumId w:val="186"/>
  </w:num>
  <w:num w:numId="31" w16cid:durableId="1941336324">
    <w:abstractNumId w:val="53"/>
  </w:num>
  <w:num w:numId="32" w16cid:durableId="51277160">
    <w:abstractNumId w:val="192"/>
  </w:num>
  <w:num w:numId="33" w16cid:durableId="945891280">
    <w:abstractNumId w:val="85"/>
  </w:num>
  <w:num w:numId="34" w16cid:durableId="718895232">
    <w:abstractNumId w:val="43"/>
  </w:num>
  <w:num w:numId="35" w16cid:durableId="432748048">
    <w:abstractNumId w:val="34"/>
  </w:num>
  <w:num w:numId="36" w16cid:durableId="1328366738">
    <w:abstractNumId w:val="112"/>
  </w:num>
  <w:num w:numId="37" w16cid:durableId="1061749237">
    <w:abstractNumId w:val="137"/>
  </w:num>
  <w:num w:numId="38" w16cid:durableId="1023631434">
    <w:abstractNumId w:val="44"/>
  </w:num>
  <w:num w:numId="39" w16cid:durableId="541357450">
    <w:abstractNumId w:val="130"/>
  </w:num>
  <w:num w:numId="40" w16cid:durableId="2080591111">
    <w:abstractNumId w:val="153"/>
  </w:num>
  <w:num w:numId="41" w16cid:durableId="16737911">
    <w:abstractNumId w:val="182"/>
  </w:num>
  <w:num w:numId="42" w16cid:durableId="1836218998">
    <w:abstractNumId w:val="28"/>
  </w:num>
  <w:num w:numId="43" w16cid:durableId="542207491">
    <w:abstractNumId w:val="117"/>
  </w:num>
  <w:num w:numId="44" w16cid:durableId="1477802216">
    <w:abstractNumId w:val="170"/>
  </w:num>
  <w:num w:numId="45" w16cid:durableId="1719939794">
    <w:abstractNumId w:val="31"/>
  </w:num>
  <w:num w:numId="46" w16cid:durableId="1047265924">
    <w:abstractNumId w:val="60"/>
  </w:num>
  <w:num w:numId="47" w16cid:durableId="556285504">
    <w:abstractNumId w:val="57"/>
  </w:num>
  <w:num w:numId="48" w16cid:durableId="1468402360">
    <w:abstractNumId w:val="17"/>
  </w:num>
  <w:num w:numId="49" w16cid:durableId="180441265">
    <w:abstractNumId w:val="163"/>
  </w:num>
  <w:num w:numId="50" w16cid:durableId="467943151">
    <w:abstractNumId w:val="157"/>
  </w:num>
  <w:num w:numId="51" w16cid:durableId="1504857700">
    <w:abstractNumId w:val="103"/>
  </w:num>
  <w:num w:numId="52" w16cid:durableId="596720128">
    <w:abstractNumId w:val="183"/>
  </w:num>
  <w:num w:numId="53" w16cid:durableId="1552502269">
    <w:abstractNumId w:val="90"/>
  </w:num>
  <w:num w:numId="54" w16cid:durableId="1313408526">
    <w:abstractNumId w:val="74"/>
  </w:num>
  <w:num w:numId="55" w16cid:durableId="334572755">
    <w:abstractNumId w:val="156"/>
  </w:num>
  <w:num w:numId="56" w16cid:durableId="398939404">
    <w:abstractNumId w:val="118"/>
  </w:num>
  <w:num w:numId="57" w16cid:durableId="1115438894">
    <w:abstractNumId w:val="39"/>
  </w:num>
  <w:num w:numId="58" w16cid:durableId="2111389948">
    <w:abstractNumId w:val="107"/>
  </w:num>
  <w:num w:numId="59" w16cid:durableId="965309941">
    <w:abstractNumId w:val="167"/>
  </w:num>
  <w:num w:numId="60" w16cid:durableId="1657420670">
    <w:abstractNumId w:val="22"/>
  </w:num>
  <w:num w:numId="61" w16cid:durableId="886456731">
    <w:abstractNumId w:val="1"/>
  </w:num>
  <w:num w:numId="62" w16cid:durableId="1882862461">
    <w:abstractNumId w:val="108"/>
  </w:num>
  <w:num w:numId="63" w16cid:durableId="127211598">
    <w:abstractNumId w:val="61"/>
  </w:num>
  <w:num w:numId="64" w16cid:durableId="291331182">
    <w:abstractNumId w:val="109"/>
  </w:num>
  <w:num w:numId="65" w16cid:durableId="1457140645">
    <w:abstractNumId w:val="113"/>
  </w:num>
  <w:num w:numId="66" w16cid:durableId="1712539359">
    <w:abstractNumId w:val="73"/>
  </w:num>
  <w:num w:numId="67" w16cid:durableId="1658920964">
    <w:abstractNumId w:val="72"/>
  </w:num>
  <w:num w:numId="68" w16cid:durableId="2138907883">
    <w:abstractNumId w:val="190"/>
  </w:num>
  <w:num w:numId="69" w16cid:durableId="347291264">
    <w:abstractNumId w:val="10"/>
  </w:num>
  <w:num w:numId="70" w16cid:durableId="1606956344">
    <w:abstractNumId w:val="77"/>
  </w:num>
  <w:num w:numId="71" w16cid:durableId="405877912">
    <w:abstractNumId w:val="121"/>
  </w:num>
  <w:num w:numId="72" w16cid:durableId="2147039296">
    <w:abstractNumId w:val="46"/>
  </w:num>
  <w:num w:numId="73" w16cid:durableId="1440562746">
    <w:abstractNumId w:val="65"/>
  </w:num>
  <w:num w:numId="74" w16cid:durableId="914779002">
    <w:abstractNumId w:val="68"/>
  </w:num>
  <w:num w:numId="75" w16cid:durableId="1718430072">
    <w:abstractNumId w:val="102"/>
  </w:num>
  <w:num w:numId="76" w16cid:durableId="1385517933">
    <w:abstractNumId w:val="106"/>
  </w:num>
  <w:num w:numId="77" w16cid:durableId="899252061">
    <w:abstractNumId w:val="148"/>
  </w:num>
  <w:num w:numId="78" w16cid:durableId="1614629148">
    <w:abstractNumId w:val="33"/>
  </w:num>
  <w:num w:numId="79" w16cid:durableId="245236061">
    <w:abstractNumId w:val="145"/>
  </w:num>
  <w:num w:numId="80" w16cid:durableId="1823618740">
    <w:abstractNumId w:val="15"/>
  </w:num>
  <w:num w:numId="81" w16cid:durableId="1865097892">
    <w:abstractNumId w:val="83"/>
  </w:num>
  <w:num w:numId="82" w16cid:durableId="69037871">
    <w:abstractNumId w:val="180"/>
  </w:num>
  <w:num w:numId="83" w16cid:durableId="1285306199">
    <w:abstractNumId w:val="92"/>
  </w:num>
  <w:num w:numId="84" w16cid:durableId="2072461936">
    <w:abstractNumId w:val="21"/>
  </w:num>
  <w:num w:numId="85" w16cid:durableId="885217114">
    <w:abstractNumId w:val="155"/>
  </w:num>
  <w:num w:numId="86" w16cid:durableId="405803166">
    <w:abstractNumId w:val="184"/>
  </w:num>
  <w:num w:numId="87" w16cid:durableId="1177648006">
    <w:abstractNumId w:val="30"/>
  </w:num>
  <w:num w:numId="88" w16cid:durableId="1086154353">
    <w:abstractNumId w:val="0"/>
  </w:num>
  <w:num w:numId="89" w16cid:durableId="1290625010">
    <w:abstractNumId w:val="55"/>
  </w:num>
  <w:num w:numId="90" w16cid:durableId="675231667">
    <w:abstractNumId w:val="59"/>
  </w:num>
  <w:num w:numId="91" w16cid:durableId="1816801501">
    <w:abstractNumId w:val="35"/>
  </w:num>
  <w:num w:numId="92" w16cid:durableId="1046293673">
    <w:abstractNumId w:val="131"/>
  </w:num>
  <w:num w:numId="93" w16cid:durableId="1004091203">
    <w:abstractNumId w:val="79"/>
  </w:num>
  <w:num w:numId="94" w16cid:durableId="627316741">
    <w:abstractNumId w:val="87"/>
  </w:num>
  <w:num w:numId="95" w16cid:durableId="1698503116">
    <w:abstractNumId w:val="95"/>
  </w:num>
  <w:num w:numId="96" w16cid:durableId="14695742">
    <w:abstractNumId w:val="70"/>
  </w:num>
  <w:num w:numId="97" w16cid:durableId="1478305531">
    <w:abstractNumId w:val="47"/>
  </w:num>
  <w:num w:numId="98" w16cid:durableId="524058557">
    <w:abstractNumId w:val="63"/>
  </w:num>
  <w:num w:numId="99" w16cid:durableId="1122579977">
    <w:abstractNumId w:val="45"/>
  </w:num>
  <w:num w:numId="100" w16cid:durableId="1790466381">
    <w:abstractNumId w:val="161"/>
  </w:num>
  <w:num w:numId="101" w16cid:durableId="16473155">
    <w:abstractNumId w:val="105"/>
  </w:num>
  <w:num w:numId="102" w16cid:durableId="971404867">
    <w:abstractNumId w:val="89"/>
  </w:num>
  <w:num w:numId="103" w16cid:durableId="1913270393">
    <w:abstractNumId w:val="75"/>
  </w:num>
  <w:num w:numId="104" w16cid:durableId="393967638">
    <w:abstractNumId w:val="179"/>
  </w:num>
  <w:num w:numId="105" w16cid:durableId="2054109928">
    <w:abstractNumId w:val="20"/>
  </w:num>
  <w:num w:numId="106" w16cid:durableId="1614359519">
    <w:abstractNumId w:val="50"/>
  </w:num>
  <w:num w:numId="107" w16cid:durableId="641615480">
    <w:abstractNumId w:val="2"/>
  </w:num>
  <w:num w:numId="108" w16cid:durableId="1502894425">
    <w:abstractNumId w:val="127"/>
  </w:num>
  <w:num w:numId="109" w16cid:durableId="615868898">
    <w:abstractNumId w:val="86"/>
  </w:num>
  <w:num w:numId="110" w16cid:durableId="1864441273">
    <w:abstractNumId w:val="111"/>
  </w:num>
  <w:num w:numId="111" w16cid:durableId="1400438931">
    <w:abstractNumId w:val="14"/>
  </w:num>
  <w:num w:numId="112" w16cid:durableId="59862826">
    <w:abstractNumId w:val="191"/>
  </w:num>
  <w:num w:numId="113" w16cid:durableId="141317487">
    <w:abstractNumId w:val="54"/>
  </w:num>
  <w:num w:numId="114" w16cid:durableId="889151323">
    <w:abstractNumId w:val="19"/>
  </w:num>
  <w:num w:numId="115" w16cid:durableId="1023630216">
    <w:abstractNumId w:val="58"/>
  </w:num>
  <w:num w:numId="116" w16cid:durableId="1063024815">
    <w:abstractNumId w:val="27"/>
  </w:num>
  <w:num w:numId="117" w16cid:durableId="1525971429">
    <w:abstractNumId w:val="123"/>
  </w:num>
  <w:num w:numId="118" w16cid:durableId="452601420">
    <w:abstractNumId w:val="162"/>
  </w:num>
  <w:num w:numId="119" w16cid:durableId="1416972968">
    <w:abstractNumId w:val="169"/>
  </w:num>
  <w:num w:numId="120" w16cid:durableId="2116167527">
    <w:abstractNumId w:val="125"/>
  </w:num>
  <w:num w:numId="121" w16cid:durableId="2068458402">
    <w:abstractNumId w:val="64"/>
  </w:num>
  <w:num w:numId="122" w16cid:durableId="1237473205">
    <w:abstractNumId w:val="6"/>
  </w:num>
  <w:num w:numId="123" w16cid:durableId="1729641955">
    <w:abstractNumId w:val="129"/>
  </w:num>
  <w:num w:numId="124" w16cid:durableId="450125298">
    <w:abstractNumId w:val="165"/>
  </w:num>
  <w:num w:numId="125" w16cid:durableId="732461242">
    <w:abstractNumId w:val="168"/>
  </w:num>
  <w:num w:numId="126" w16cid:durableId="792166127">
    <w:abstractNumId w:val="138"/>
  </w:num>
  <w:num w:numId="127" w16cid:durableId="485173609">
    <w:abstractNumId w:val="110"/>
  </w:num>
  <w:num w:numId="128" w16cid:durableId="747729677">
    <w:abstractNumId w:val="38"/>
  </w:num>
  <w:num w:numId="129" w16cid:durableId="305472045">
    <w:abstractNumId w:val="139"/>
  </w:num>
  <w:num w:numId="130" w16cid:durableId="439641281">
    <w:abstractNumId w:val="164"/>
  </w:num>
  <w:num w:numId="131" w16cid:durableId="1876043913">
    <w:abstractNumId w:val="134"/>
  </w:num>
  <w:num w:numId="132" w16cid:durableId="288511256">
    <w:abstractNumId w:val="122"/>
  </w:num>
  <w:num w:numId="133" w16cid:durableId="1679113851">
    <w:abstractNumId w:val="159"/>
  </w:num>
  <w:num w:numId="134" w16cid:durableId="1612858956">
    <w:abstractNumId w:val="142"/>
  </w:num>
  <w:num w:numId="135" w16cid:durableId="215241226">
    <w:abstractNumId w:val="5"/>
  </w:num>
  <w:num w:numId="136" w16cid:durableId="2973322">
    <w:abstractNumId w:val="49"/>
  </w:num>
  <w:num w:numId="137" w16cid:durableId="1909262944">
    <w:abstractNumId w:val="3"/>
  </w:num>
  <w:num w:numId="138" w16cid:durableId="1835755566">
    <w:abstractNumId w:val="144"/>
  </w:num>
  <w:num w:numId="139" w16cid:durableId="1832867616">
    <w:abstractNumId w:val="174"/>
  </w:num>
  <w:num w:numId="140" w16cid:durableId="2012486407">
    <w:abstractNumId w:val="37"/>
  </w:num>
  <w:num w:numId="141" w16cid:durableId="426193202">
    <w:abstractNumId w:val="52"/>
  </w:num>
  <w:num w:numId="142" w16cid:durableId="1901619">
    <w:abstractNumId w:val="4"/>
  </w:num>
  <w:num w:numId="143" w16cid:durableId="2065712543">
    <w:abstractNumId w:val="99"/>
  </w:num>
  <w:num w:numId="144" w16cid:durableId="731735439">
    <w:abstractNumId w:val="166"/>
  </w:num>
  <w:num w:numId="145" w16cid:durableId="446392319">
    <w:abstractNumId w:val="80"/>
  </w:num>
  <w:num w:numId="146" w16cid:durableId="75521667">
    <w:abstractNumId w:val="172"/>
  </w:num>
  <w:num w:numId="147" w16cid:durableId="684786236">
    <w:abstractNumId w:val="132"/>
  </w:num>
  <w:num w:numId="148" w16cid:durableId="1720786386">
    <w:abstractNumId w:val="115"/>
  </w:num>
  <w:num w:numId="149" w16cid:durableId="1163820039">
    <w:abstractNumId w:val="81"/>
  </w:num>
  <w:num w:numId="150" w16cid:durableId="1651978190">
    <w:abstractNumId w:val="185"/>
  </w:num>
  <w:num w:numId="151" w16cid:durableId="96873280">
    <w:abstractNumId w:val="84"/>
  </w:num>
  <w:num w:numId="152" w16cid:durableId="341398881">
    <w:abstractNumId w:val="96"/>
  </w:num>
  <w:num w:numId="153" w16cid:durableId="355926230">
    <w:abstractNumId w:val="151"/>
  </w:num>
  <w:num w:numId="154" w16cid:durableId="1255360236">
    <w:abstractNumId w:val="66"/>
  </w:num>
  <w:num w:numId="155" w16cid:durableId="313292201">
    <w:abstractNumId w:val="120"/>
  </w:num>
  <w:num w:numId="156" w16cid:durableId="457721875">
    <w:abstractNumId w:val="173"/>
  </w:num>
  <w:num w:numId="157" w16cid:durableId="1145588250">
    <w:abstractNumId w:val="82"/>
  </w:num>
  <w:num w:numId="158" w16cid:durableId="1630822070">
    <w:abstractNumId w:val="114"/>
  </w:num>
  <w:num w:numId="159" w16cid:durableId="460077775">
    <w:abstractNumId w:val="41"/>
  </w:num>
  <w:num w:numId="160" w16cid:durableId="617763711">
    <w:abstractNumId w:val="71"/>
  </w:num>
  <w:num w:numId="161" w16cid:durableId="255290210">
    <w:abstractNumId w:val="136"/>
  </w:num>
  <w:num w:numId="162" w16cid:durableId="1760640135">
    <w:abstractNumId w:val="13"/>
  </w:num>
  <w:num w:numId="163" w16cid:durableId="528684030">
    <w:abstractNumId w:val="152"/>
  </w:num>
  <w:num w:numId="164" w16cid:durableId="1958481996">
    <w:abstractNumId w:val="25"/>
  </w:num>
  <w:num w:numId="165" w16cid:durableId="433207431">
    <w:abstractNumId w:val="135"/>
  </w:num>
  <w:num w:numId="166" w16cid:durableId="277025577">
    <w:abstractNumId w:val="143"/>
  </w:num>
  <w:num w:numId="167" w16cid:durableId="2031563332">
    <w:abstractNumId w:val="48"/>
  </w:num>
  <w:num w:numId="168" w16cid:durableId="898443849">
    <w:abstractNumId w:val="26"/>
  </w:num>
  <w:num w:numId="169" w16cid:durableId="151336177">
    <w:abstractNumId w:val="133"/>
  </w:num>
  <w:num w:numId="170" w16cid:durableId="36588096">
    <w:abstractNumId w:val="91"/>
  </w:num>
  <w:num w:numId="171" w16cid:durableId="451287123">
    <w:abstractNumId w:val="193"/>
  </w:num>
  <w:num w:numId="172" w16cid:durableId="848759788">
    <w:abstractNumId w:val="140"/>
  </w:num>
  <w:num w:numId="173" w16cid:durableId="1905413235">
    <w:abstractNumId w:val="158"/>
  </w:num>
  <w:num w:numId="174" w16cid:durableId="969481643">
    <w:abstractNumId w:val="16"/>
  </w:num>
  <w:num w:numId="175" w16cid:durableId="50616740">
    <w:abstractNumId w:val="188"/>
  </w:num>
  <w:num w:numId="176" w16cid:durableId="1267928903">
    <w:abstractNumId w:val="101"/>
  </w:num>
  <w:num w:numId="177" w16cid:durableId="1785879140">
    <w:abstractNumId w:val="119"/>
  </w:num>
  <w:num w:numId="178" w16cid:durableId="2050569170">
    <w:abstractNumId w:val="189"/>
  </w:num>
  <w:num w:numId="179" w16cid:durableId="739910227">
    <w:abstractNumId w:val="93"/>
  </w:num>
  <w:num w:numId="180" w16cid:durableId="90316313">
    <w:abstractNumId w:val="116"/>
  </w:num>
  <w:num w:numId="181" w16cid:durableId="1393505598">
    <w:abstractNumId w:val="12"/>
  </w:num>
  <w:num w:numId="182" w16cid:durableId="441729373">
    <w:abstractNumId w:val="177"/>
  </w:num>
  <w:num w:numId="183" w16cid:durableId="1239024878">
    <w:abstractNumId w:val="160"/>
  </w:num>
  <w:num w:numId="184" w16cid:durableId="1707832398">
    <w:abstractNumId w:val="149"/>
  </w:num>
  <w:num w:numId="185" w16cid:durableId="1101296340">
    <w:abstractNumId w:val="9"/>
  </w:num>
  <w:num w:numId="186" w16cid:durableId="10841742">
    <w:abstractNumId w:val="154"/>
  </w:num>
  <w:num w:numId="187" w16cid:durableId="524372160">
    <w:abstractNumId w:val="11"/>
  </w:num>
  <w:num w:numId="188" w16cid:durableId="1188448893">
    <w:abstractNumId w:val="98"/>
  </w:num>
  <w:num w:numId="189" w16cid:durableId="1287275063">
    <w:abstractNumId w:val="36"/>
  </w:num>
  <w:num w:numId="190" w16cid:durableId="1477335069">
    <w:abstractNumId w:val="124"/>
  </w:num>
  <w:num w:numId="191" w16cid:durableId="153107659">
    <w:abstractNumId w:val="126"/>
  </w:num>
  <w:num w:numId="192" w16cid:durableId="378667998">
    <w:abstractNumId w:val="23"/>
  </w:num>
  <w:num w:numId="193" w16cid:durableId="1747608754">
    <w:abstractNumId w:val="141"/>
  </w:num>
  <w:num w:numId="194" w16cid:durableId="1788115800">
    <w:abstractNumId w:val="147"/>
  </w:num>
  <w:numIdMacAtCleanup w:val="1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hideSpellingErrors/>
  <w:hideGrammaticalErrors/>
  <w:proofState w:spelling="clean" w:grammar="clean"/>
  <w:defaultTabStop w:val="720"/>
  <w:evenAndOddHeaders/>
  <w:drawingGridHorizontalSpacing w:val="110"/>
  <w:displayHorizontalDrawingGridEvery w:val="2"/>
  <w:characterSpacingControl w:val="doNotCompress"/>
  <w:hdrShapeDefaults>
    <o:shapedefaults v:ext="edit" spidmax="2741"/>
    <o:shapelayout v:ext="edit">
      <o:idmap v:ext="edit" data="1"/>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2653E8"/>
    <w:rsid w:val="00000262"/>
    <w:rsid w:val="00003E60"/>
    <w:rsid w:val="00007095"/>
    <w:rsid w:val="000118B2"/>
    <w:rsid w:val="000168F6"/>
    <w:rsid w:val="00022C61"/>
    <w:rsid w:val="00024642"/>
    <w:rsid w:val="00027A73"/>
    <w:rsid w:val="0003020B"/>
    <w:rsid w:val="00033419"/>
    <w:rsid w:val="0004021B"/>
    <w:rsid w:val="00047946"/>
    <w:rsid w:val="00060A56"/>
    <w:rsid w:val="0006399E"/>
    <w:rsid w:val="000944C8"/>
    <w:rsid w:val="000966F1"/>
    <w:rsid w:val="000A3DBF"/>
    <w:rsid w:val="000A6F4D"/>
    <w:rsid w:val="000B24D1"/>
    <w:rsid w:val="000B2AE2"/>
    <w:rsid w:val="000C2900"/>
    <w:rsid w:val="000D38D6"/>
    <w:rsid w:val="000D706C"/>
    <w:rsid w:val="000E118C"/>
    <w:rsid w:val="000E3B5A"/>
    <w:rsid w:val="000E5789"/>
    <w:rsid w:val="000F4C7D"/>
    <w:rsid w:val="000F5056"/>
    <w:rsid w:val="001008C3"/>
    <w:rsid w:val="0011155B"/>
    <w:rsid w:val="00114A97"/>
    <w:rsid w:val="00127308"/>
    <w:rsid w:val="00140798"/>
    <w:rsid w:val="00141FBB"/>
    <w:rsid w:val="00142401"/>
    <w:rsid w:val="001438BB"/>
    <w:rsid w:val="0014405B"/>
    <w:rsid w:val="00153EAD"/>
    <w:rsid w:val="00157293"/>
    <w:rsid w:val="001661AA"/>
    <w:rsid w:val="00182F0F"/>
    <w:rsid w:val="0019181E"/>
    <w:rsid w:val="001A61A9"/>
    <w:rsid w:val="001A7D94"/>
    <w:rsid w:val="001B0DE6"/>
    <w:rsid w:val="001E6357"/>
    <w:rsid w:val="001E6DE7"/>
    <w:rsid w:val="001F498E"/>
    <w:rsid w:val="001F7FB5"/>
    <w:rsid w:val="002022AD"/>
    <w:rsid w:val="00204CA8"/>
    <w:rsid w:val="00211A31"/>
    <w:rsid w:val="002241C0"/>
    <w:rsid w:val="002324D1"/>
    <w:rsid w:val="00233792"/>
    <w:rsid w:val="002453AB"/>
    <w:rsid w:val="00252FCB"/>
    <w:rsid w:val="002653E8"/>
    <w:rsid w:val="00292EE1"/>
    <w:rsid w:val="0029533C"/>
    <w:rsid w:val="002B2B6E"/>
    <w:rsid w:val="002B744C"/>
    <w:rsid w:val="002C1600"/>
    <w:rsid w:val="002F415A"/>
    <w:rsid w:val="003115E3"/>
    <w:rsid w:val="00314143"/>
    <w:rsid w:val="00321B65"/>
    <w:rsid w:val="00335FD3"/>
    <w:rsid w:val="00340C16"/>
    <w:rsid w:val="0034477B"/>
    <w:rsid w:val="00347E19"/>
    <w:rsid w:val="00351F27"/>
    <w:rsid w:val="00395D1A"/>
    <w:rsid w:val="003A12E2"/>
    <w:rsid w:val="003B6CCD"/>
    <w:rsid w:val="003B795D"/>
    <w:rsid w:val="003C76CC"/>
    <w:rsid w:val="003E441E"/>
    <w:rsid w:val="003F33E5"/>
    <w:rsid w:val="003F667F"/>
    <w:rsid w:val="004001D6"/>
    <w:rsid w:val="0040178D"/>
    <w:rsid w:val="004232D0"/>
    <w:rsid w:val="00427875"/>
    <w:rsid w:val="00433F3F"/>
    <w:rsid w:val="0044541C"/>
    <w:rsid w:val="004520CE"/>
    <w:rsid w:val="00465CB1"/>
    <w:rsid w:val="0048310C"/>
    <w:rsid w:val="00490C4A"/>
    <w:rsid w:val="004928CC"/>
    <w:rsid w:val="004B1CEE"/>
    <w:rsid w:val="004D393C"/>
    <w:rsid w:val="004E0ECB"/>
    <w:rsid w:val="00513BF7"/>
    <w:rsid w:val="00527C61"/>
    <w:rsid w:val="00535805"/>
    <w:rsid w:val="00537E49"/>
    <w:rsid w:val="00541CDA"/>
    <w:rsid w:val="00541D1C"/>
    <w:rsid w:val="00545365"/>
    <w:rsid w:val="00545750"/>
    <w:rsid w:val="005526AE"/>
    <w:rsid w:val="00554B7A"/>
    <w:rsid w:val="00572A5B"/>
    <w:rsid w:val="005850FE"/>
    <w:rsid w:val="00585C2E"/>
    <w:rsid w:val="005A5C8F"/>
    <w:rsid w:val="005B117D"/>
    <w:rsid w:val="005C3D1F"/>
    <w:rsid w:val="005C5699"/>
    <w:rsid w:val="005D0AE8"/>
    <w:rsid w:val="005D40E2"/>
    <w:rsid w:val="005D6EBF"/>
    <w:rsid w:val="005E1461"/>
    <w:rsid w:val="005F38FB"/>
    <w:rsid w:val="005F63F4"/>
    <w:rsid w:val="00601598"/>
    <w:rsid w:val="00605894"/>
    <w:rsid w:val="00622C19"/>
    <w:rsid w:val="00623713"/>
    <w:rsid w:val="00630565"/>
    <w:rsid w:val="006329A0"/>
    <w:rsid w:val="00667B4D"/>
    <w:rsid w:val="00674D4D"/>
    <w:rsid w:val="0067580E"/>
    <w:rsid w:val="006918DA"/>
    <w:rsid w:val="00697096"/>
    <w:rsid w:val="006A32D9"/>
    <w:rsid w:val="006B7CE8"/>
    <w:rsid w:val="006C3761"/>
    <w:rsid w:val="006C6280"/>
    <w:rsid w:val="006D1026"/>
    <w:rsid w:val="006D6184"/>
    <w:rsid w:val="006F03C3"/>
    <w:rsid w:val="006F612F"/>
    <w:rsid w:val="00725E12"/>
    <w:rsid w:val="00734308"/>
    <w:rsid w:val="00754B0F"/>
    <w:rsid w:val="007649E9"/>
    <w:rsid w:val="00766BAC"/>
    <w:rsid w:val="00776B43"/>
    <w:rsid w:val="00795CEA"/>
    <w:rsid w:val="00797592"/>
    <w:rsid w:val="007A2361"/>
    <w:rsid w:val="007D2267"/>
    <w:rsid w:val="007D6D7B"/>
    <w:rsid w:val="007E43D7"/>
    <w:rsid w:val="007E4AB8"/>
    <w:rsid w:val="0080675D"/>
    <w:rsid w:val="00806DBC"/>
    <w:rsid w:val="00816A1D"/>
    <w:rsid w:val="0081775E"/>
    <w:rsid w:val="00817E61"/>
    <w:rsid w:val="00823EBA"/>
    <w:rsid w:val="008421C4"/>
    <w:rsid w:val="00845F46"/>
    <w:rsid w:val="00846956"/>
    <w:rsid w:val="0084783B"/>
    <w:rsid w:val="008546EB"/>
    <w:rsid w:val="00856BA1"/>
    <w:rsid w:val="00860C67"/>
    <w:rsid w:val="008861F9"/>
    <w:rsid w:val="00886F37"/>
    <w:rsid w:val="00892008"/>
    <w:rsid w:val="008977A8"/>
    <w:rsid w:val="008B3165"/>
    <w:rsid w:val="008B6BE1"/>
    <w:rsid w:val="008C6CD8"/>
    <w:rsid w:val="008E05CA"/>
    <w:rsid w:val="008F2B1E"/>
    <w:rsid w:val="008F5CD7"/>
    <w:rsid w:val="008F6E04"/>
    <w:rsid w:val="0090102B"/>
    <w:rsid w:val="0090407D"/>
    <w:rsid w:val="00906A26"/>
    <w:rsid w:val="009072BE"/>
    <w:rsid w:val="00912B26"/>
    <w:rsid w:val="00923E04"/>
    <w:rsid w:val="00934E4A"/>
    <w:rsid w:val="00940F1F"/>
    <w:rsid w:val="00941EB2"/>
    <w:rsid w:val="00945DAC"/>
    <w:rsid w:val="0094763D"/>
    <w:rsid w:val="009477FA"/>
    <w:rsid w:val="00956C4F"/>
    <w:rsid w:val="00963075"/>
    <w:rsid w:val="009643A7"/>
    <w:rsid w:val="00984D3F"/>
    <w:rsid w:val="00987E7F"/>
    <w:rsid w:val="009933FA"/>
    <w:rsid w:val="009952D5"/>
    <w:rsid w:val="009A56DF"/>
    <w:rsid w:val="009B07F3"/>
    <w:rsid w:val="009B09AB"/>
    <w:rsid w:val="009F1E9A"/>
    <w:rsid w:val="00A26125"/>
    <w:rsid w:val="00A72C67"/>
    <w:rsid w:val="00AF148D"/>
    <w:rsid w:val="00AF1C69"/>
    <w:rsid w:val="00AF1E0C"/>
    <w:rsid w:val="00B00550"/>
    <w:rsid w:val="00B264AA"/>
    <w:rsid w:val="00B27EE2"/>
    <w:rsid w:val="00B32E44"/>
    <w:rsid w:val="00B40314"/>
    <w:rsid w:val="00B40B9B"/>
    <w:rsid w:val="00B46B2D"/>
    <w:rsid w:val="00B5167D"/>
    <w:rsid w:val="00B520F7"/>
    <w:rsid w:val="00B659AB"/>
    <w:rsid w:val="00B70191"/>
    <w:rsid w:val="00B87DA5"/>
    <w:rsid w:val="00BA56EA"/>
    <w:rsid w:val="00BC7112"/>
    <w:rsid w:val="00BD10B5"/>
    <w:rsid w:val="00BD3D00"/>
    <w:rsid w:val="00BE317F"/>
    <w:rsid w:val="00BE3D19"/>
    <w:rsid w:val="00BF19A6"/>
    <w:rsid w:val="00BF4A94"/>
    <w:rsid w:val="00C01A92"/>
    <w:rsid w:val="00C0624E"/>
    <w:rsid w:val="00C07941"/>
    <w:rsid w:val="00C14ABE"/>
    <w:rsid w:val="00C17535"/>
    <w:rsid w:val="00C20BD7"/>
    <w:rsid w:val="00C228DE"/>
    <w:rsid w:val="00C44AE9"/>
    <w:rsid w:val="00C507A5"/>
    <w:rsid w:val="00C51CC5"/>
    <w:rsid w:val="00C52991"/>
    <w:rsid w:val="00C61903"/>
    <w:rsid w:val="00C61D27"/>
    <w:rsid w:val="00C63A6F"/>
    <w:rsid w:val="00C81250"/>
    <w:rsid w:val="00C85AAB"/>
    <w:rsid w:val="00C96F9B"/>
    <w:rsid w:val="00CB68E3"/>
    <w:rsid w:val="00CC0D1B"/>
    <w:rsid w:val="00CC0E51"/>
    <w:rsid w:val="00CC482A"/>
    <w:rsid w:val="00CD37F2"/>
    <w:rsid w:val="00D22D93"/>
    <w:rsid w:val="00D353D8"/>
    <w:rsid w:val="00D5045A"/>
    <w:rsid w:val="00D51ED6"/>
    <w:rsid w:val="00D92D66"/>
    <w:rsid w:val="00DA0160"/>
    <w:rsid w:val="00DA13D0"/>
    <w:rsid w:val="00DA22FE"/>
    <w:rsid w:val="00DB1DBF"/>
    <w:rsid w:val="00DC2526"/>
    <w:rsid w:val="00DD0FC3"/>
    <w:rsid w:val="00DF7232"/>
    <w:rsid w:val="00DF7B1F"/>
    <w:rsid w:val="00E04797"/>
    <w:rsid w:val="00E12B8F"/>
    <w:rsid w:val="00E516D3"/>
    <w:rsid w:val="00E64B6F"/>
    <w:rsid w:val="00E650BE"/>
    <w:rsid w:val="00E66CBF"/>
    <w:rsid w:val="00E8202C"/>
    <w:rsid w:val="00E85E78"/>
    <w:rsid w:val="00EA0EFC"/>
    <w:rsid w:val="00EA51E7"/>
    <w:rsid w:val="00EB7353"/>
    <w:rsid w:val="00EE7E69"/>
    <w:rsid w:val="00EF0094"/>
    <w:rsid w:val="00EF37B8"/>
    <w:rsid w:val="00EF5A7B"/>
    <w:rsid w:val="00F04C7B"/>
    <w:rsid w:val="00F2428A"/>
    <w:rsid w:val="00F31902"/>
    <w:rsid w:val="00F42F4F"/>
    <w:rsid w:val="00F452BC"/>
    <w:rsid w:val="00F46613"/>
    <w:rsid w:val="00F52E75"/>
    <w:rsid w:val="00F64843"/>
    <w:rsid w:val="00F7052E"/>
    <w:rsid w:val="00F8039E"/>
    <w:rsid w:val="00F8597F"/>
    <w:rsid w:val="00F8728D"/>
    <w:rsid w:val="00F93CDC"/>
    <w:rsid w:val="00F96FCD"/>
    <w:rsid w:val="00FA6ADA"/>
    <w:rsid w:val="00FB5D13"/>
    <w:rsid w:val="00FB6856"/>
    <w:rsid w:val="00FE0666"/>
    <w:rsid w:val="00FE1A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41"/>
    <o:shapelayout v:ext="edit">
      <o:idmap v:ext="edit" data="2"/>
    </o:shapelayout>
  </w:shapeDefaults>
  <w:decimalSymbol w:val="."/>
  <w:listSeparator w:val=","/>
  <w14:docId w14:val="7BAD662C"/>
  <w15:docId w15:val="{6510E9A4-022C-4BA7-8267-186E4E78C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mbria" w:eastAsia="Cambria" w:hAnsi="Cambria" w:cs="Cambria"/>
      <w:noProof/>
      <w:lang w:eastAsia="zh-CN"/>
    </w:rPr>
  </w:style>
  <w:style w:type="paragraph" w:styleId="1">
    <w:name w:val="heading 1"/>
    <w:basedOn w:val="a"/>
    <w:uiPriority w:val="9"/>
    <w:qFormat/>
    <w:pPr>
      <w:spacing w:before="82"/>
      <w:ind w:left="179"/>
      <w:jc w:val="center"/>
      <w:outlineLvl w:val="0"/>
    </w:pPr>
    <w:rPr>
      <w:rFonts w:ascii="Times New Roman" w:eastAsia="Times New Roman" w:hAnsi="Times New Roman" w:cs="Times New Roman"/>
      <w:b/>
      <w:bCs/>
      <w:sz w:val="42"/>
      <w:szCs w:val="42"/>
    </w:rPr>
  </w:style>
  <w:style w:type="paragraph" w:styleId="2">
    <w:name w:val="heading 2"/>
    <w:basedOn w:val="a"/>
    <w:uiPriority w:val="9"/>
    <w:unhideWhenUsed/>
    <w:qFormat/>
    <w:pPr>
      <w:spacing w:before="10"/>
      <w:ind w:left="2584"/>
      <w:outlineLvl w:val="1"/>
    </w:pPr>
    <w:rPr>
      <w:rFonts w:ascii="Arial" w:eastAsia="Arial" w:hAnsi="Arial" w:cs="Arial"/>
      <w:i/>
      <w:sz w:val="36"/>
      <w:szCs w:val="36"/>
    </w:rPr>
  </w:style>
  <w:style w:type="paragraph" w:styleId="3">
    <w:name w:val="heading 3"/>
    <w:basedOn w:val="a"/>
    <w:uiPriority w:val="9"/>
    <w:unhideWhenUsed/>
    <w:qFormat/>
    <w:pPr>
      <w:spacing w:before="88"/>
      <w:ind w:left="2093"/>
      <w:outlineLvl w:val="2"/>
    </w:pPr>
    <w:rPr>
      <w:rFonts w:ascii="Calibri" w:eastAsia="Calibri" w:hAnsi="Calibri" w:cs="Calibri"/>
      <w:b/>
      <w:bCs/>
      <w:i/>
      <w:sz w:val="30"/>
      <w:szCs w:val="30"/>
    </w:rPr>
  </w:style>
  <w:style w:type="paragraph" w:styleId="4">
    <w:name w:val="heading 4"/>
    <w:basedOn w:val="a"/>
    <w:uiPriority w:val="9"/>
    <w:unhideWhenUsed/>
    <w:qFormat/>
    <w:pPr>
      <w:spacing w:before="89"/>
      <w:ind w:left="1327"/>
      <w:outlineLvl w:val="3"/>
    </w:pPr>
    <w:rPr>
      <w:rFonts w:ascii="Bookman Old Style" w:eastAsia="Bookman Old Style" w:hAnsi="Bookman Old Style" w:cs="Bookman Old Style"/>
      <w:sz w:val="30"/>
      <w:szCs w:val="30"/>
    </w:rPr>
  </w:style>
  <w:style w:type="paragraph" w:styleId="5">
    <w:name w:val="heading 5"/>
    <w:basedOn w:val="a"/>
    <w:uiPriority w:val="9"/>
    <w:unhideWhenUsed/>
    <w:qFormat/>
    <w:pPr>
      <w:ind w:left="1327"/>
      <w:outlineLvl w:val="4"/>
    </w:pPr>
    <w:rPr>
      <w:rFonts w:ascii="Arial" w:eastAsia="Arial" w:hAnsi="Arial" w:cs="Arial"/>
      <w:b/>
      <w:bCs/>
      <w:sz w:val="28"/>
      <w:szCs w:val="28"/>
    </w:rPr>
  </w:style>
  <w:style w:type="paragraph" w:styleId="6">
    <w:name w:val="heading 6"/>
    <w:basedOn w:val="a"/>
    <w:uiPriority w:val="9"/>
    <w:unhideWhenUsed/>
    <w:qFormat/>
    <w:pPr>
      <w:ind w:left="1327"/>
      <w:outlineLvl w:val="5"/>
    </w:pPr>
    <w:rPr>
      <w:sz w:val="28"/>
      <w:szCs w:val="28"/>
    </w:rPr>
  </w:style>
  <w:style w:type="paragraph" w:styleId="7">
    <w:name w:val="heading 7"/>
    <w:basedOn w:val="a"/>
    <w:uiPriority w:val="1"/>
    <w:qFormat/>
    <w:pPr>
      <w:spacing w:before="74"/>
      <w:ind w:left="155"/>
      <w:outlineLvl w:val="6"/>
    </w:pPr>
    <w:rPr>
      <w:rFonts w:ascii="Courier New" w:eastAsia="Courier New" w:hAnsi="Courier New" w:cs="Courier New"/>
      <w:b/>
      <w:bCs/>
      <w:sz w:val="26"/>
      <w:szCs w:val="26"/>
    </w:rPr>
  </w:style>
  <w:style w:type="paragraph" w:styleId="8">
    <w:name w:val="heading 8"/>
    <w:basedOn w:val="a"/>
    <w:uiPriority w:val="1"/>
    <w:qFormat/>
    <w:pPr>
      <w:spacing w:before="93"/>
      <w:ind w:left="1147"/>
      <w:outlineLvl w:val="7"/>
    </w:pPr>
    <w:rPr>
      <w:sz w:val="26"/>
      <w:szCs w:val="26"/>
    </w:rPr>
  </w:style>
  <w:style w:type="paragraph" w:styleId="9">
    <w:name w:val="heading 9"/>
    <w:basedOn w:val="a"/>
    <w:uiPriority w:val="1"/>
    <w:qFormat/>
    <w:pPr>
      <w:ind w:left="100"/>
      <w:outlineLvl w:val="8"/>
    </w:pPr>
    <w:rPr>
      <w:rFonts w:ascii="Tahoma" w:eastAsia="Tahoma" w:hAnsi="Tahoma" w:cs="Tahoma"/>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655" w:line="554" w:lineRule="exact"/>
      <w:ind w:left="1147"/>
    </w:pPr>
    <w:rPr>
      <w:sz w:val="26"/>
      <w:szCs w:val="26"/>
    </w:rPr>
  </w:style>
  <w:style w:type="paragraph" w:styleId="TOC2">
    <w:name w:val="toc 2"/>
    <w:basedOn w:val="a"/>
    <w:uiPriority w:val="1"/>
    <w:qFormat/>
    <w:pPr>
      <w:spacing w:before="326"/>
      <w:ind w:left="1327"/>
    </w:pPr>
    <w:rPr>
      <w:b/>
      <w:bCs/>
      <w:sz w:val="26"/>
      <w:szCs w:val="26"/>
    </w:rPr>
  </w:style>
  <w:style w:type="paragraph" w:styleId="TOC3">
    <w:name w:val="toc 3"/>
    <w:basedOn w:val="a"/>
    <w:uiPriority w:val="1"/>
    <w:qFormat/>
    <w:pPr>
      <w:spacing w:before="15"/>
      <w:ind w:left="1327"/>
    </w:pPr>
    <w:rPr>
      <w:sz w:val="26"/>
      <w:szCs w:val="26"/>
    </w:rPr>
  </w:style>
  <w:style w:type="paragraph" w:styleId="TOC4">
    <w:name w:val="toc 4"/>
    <w:basedOn w:val="a"/>
    <w:uiPriority w:val="1"/>
    <w:qFormat/>
    <w:pPr>
      <w:spacing w:before="15"/>
      <w:ind w:left="1327"/>
    </w:pPr>
    <w:rPr>
      <w:b/>
      <w:bCs/>
      <w:i/>
    </w:rPr>
  </w:style>
  <w:style w:type="paragraph" w:styleId="TOC5">
    <w:name w:val="toc 5"/>
    <w:basedOn w:val="a"/>
    <w:uiPriority w:val="1"/>
    <w:qFormat/>
    <w:pPr>
      <w:spacing w:before="186"/>
      <w:ind w:left="1839"/>
    </w:pPr>
  </w:style>
  <w:style w:type="paragraph" w:styleId="TOC6">
    <w:name w:val="toc 6"/>
    <w:basedOn w:val="a"/>
    <w:uiPriority w:val="1"/>
    <w:qFormat/>
    <w:pPr>
      <w:spacing w:before="66"/>
      <w:ind w:left="1887"/>
    </w:pPr>
    <w:rPr>
      <w:sz w:val="20"/>
      <w:szCs w:val="20"/>
    </w:rPr>
  </w:style>
  <w:style w:type="paragraph" w:styleId="TOC7">
    <w:name w:val="toc 7"/>
    <w:basedOn w:val="a"/>
    <w:uiPriority w:val="1"/>
    <w:qFormat/>
    <w:pPr>
      <w:spacing w:before="66"/>
      <w:ind w:left="2067"/>
    </w:pPr>
    <w:rPr>
      <w:sz w:val="20"/>
      <w:szCs w:val="20"/>
    </w:rPr>
  </w:style>
  <w:style w:type="paragraph" w:styleId="TOC8">
    <w:name w:val="toc 8"/>
    <w:basedOn w:val="a"/>
    <w:uiPriority w:val="1"/>
    <w:qFormat/>
    <w:pPr>
      <w:spacing w:before="382"/>
      <w:ind w:left="2359"/>
    </w:pPr>
    <w:rPr>
      <w:i/>
    </w:rPr>
  </w:style>
  <w:style w:type="paragraph" w:styleId="a3">
    <w:name w:val="Body Text"/>
    <w:basedOn w:val="a"/>
    <w:uiPriority w:val="1"/>
    <w:qFormat/>
    <w:rPr>
      <w:sz w:val="20"/>
      <w:szCs w:val="20"/>
    </w:rPr>
  </w:style>
  <w:style w:type="paragraph" w:styleId="a4">
    <w:name w:val="List Paragraph"/>
    <w:basedOn w:val="a"/>
    <w:uiPriority w:val="1"/>
    <w:qFormat/>
    <w:pPr>
      <w:spacing w:before="41"/>
      <w:ind w:left="1147"/>
    </w:pPr>
  </w:style>
  <w:style w:type="paragraph" w:customStyle="1" w:styleId="TableParagraph">
    <w:name w:val="Table Paragraph"/>
    <w:basedOn w:val="a"/>
    <w:uiPriority w:val="1"/>
    <w:qFormat/>
  </w:style>
  <w:style w:type="paragraph" w:styleId="a5">
    <w:name w:val="header"/>
    <w:basedOn w:val="a"/>
    <w:link w:val="a6"/>
    <w:uiPriority w:val="99"/>
    <w:unhideWhenUsed/>
    <w:rsid w:val="00C507A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507A5"/>
    <w:rPr>
      <w:rFonts w:ascii="Cambria" w:eastAsia="Cambria" w:hAnsi="Cambria" w:cs="Cambria"/>
      <w:sz w:val="18"/>
      <w:szCs w:val="18"/>
    </w:rPr>
  </w:style>
  <w:style w:type="paragraph" w:styleId="a7">
    <w:name w:val="footer"/>
    <w:basedOn w:val="a"/>
    <w:link w:val="a8"/>
    <w:uiPriority w:val="99"/>
    <w:unhideWhenUsed/>
    <w:rsid w:val="00C507A5"/>
    <w:pPr>
      <w:tabs>
        <w:tab w:val="center" w:pos="4153"/>
        <w:tab w:val="right" w:pos="8306"/>
      </w:tabs>
      <w:snapToGrid w:val="0"/>
    </w:pPr>
    <w:rPr>
      <w:sz w:val="18"/>
      <w:szCs w:val="18"/>
    </w:rPr>
  </w:style>
  <w:style w:type="character" w:customStyle="1" w:styleId="a8">
    <w:name w:val="页脚 字符"/>
    <w:basedOn w:val="a0"/>
    <w:link w:val="a7"/>
    <w:uiPriority w:val="99"/>
    <w:rsid w:val="00C507A5"/>
    <w:rPr>
      <w:rFonts w:ascii="Cambria" w:eastAsia="Cambria" w:hAnsi="Cambria" w:cs="Cambr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71.xml"/><Relationship Id="rId671" Type="http://schemas.openxmlformats.org/officeDocument/2006/relationships/footer" Target="footer445.xml"/><Relationship Id="rId21" Type="http://schemas.openxmlformats.org/officeDocument/2006/relationships/footer" Target="footer6.xml"/><Relationship Id="rId324" Type="http://schemas.openxmlformats.org/officeDocument/2006/relationships/footer" Target="footer231.xml"/><Relationship Id="rId531" Type="http://schemas.openxmlformats.org/officeDocument/2006/relationships/footer" Target="footer396.xml"/><Relationship Id="rId629" Type="http://schemas.openxmlformats.org/officeDocument/2006/relationships/hyperlink" Target="http://www.timesonline.co.uk/tol/news/world/middle_" TargetMode="External"/><Relationship Id="rId170" Type="http://schemas.openxmlformats.org/officeDocument/2006/relationships/hyperlink" Target="http://www.terrorism101.org/counter/Germany.html" TargetMode="External"/><Relationship Id="rId268" Type="http://schemas.openxmlformats.org/officeDocument/2006/relationships/footer" Target="footer186.xml"/><Relationship Id="rId475" Type="http://schemas.openxmlformats.org/officeDocument/2006/relationships/hyperlink" Target="http://www.mongrelmedia.com/press/Terrors_Advocate/press_kit.pdf" TargetMode="External"/><Relationship Id="rId32" Type="http://schemas.openxmlformats.org/officeDocument/2006/relationships/footer" Target="footer17.xml"/><Relationship Id="rId128" Type="http://schemas.openxmlformats.org/officeDocument/2006/relationships/footer" Target="footer82.xml"/><Relationship Id="rId335" Type="http://schemas.openxmlformats.org/officeDocument/2006/relationships/footer" Target="footer238.xml"/><Relationship Id="rId542" Type="http://schemas.openxmlformats.org/officeDocument/2006/relationships/footer" Target="footer407.xml"/><Relationship Id="rId181" Type="http://schemas.openxmlformats.org/officeDocument/2006/relationships/footer" Target="footer121.xml"/><Relationship Id="rId402" Type="http://schemas.openxmlformats.org/officeDocument/2006/relationships/footer" Target="footer288.xml"/><Relationship Id="rId279" Type="http://schemas.openxmlformats.org/officeDocument/2006/relationships/image" Target="media/image44.png"/><Relationship Id="rId486" Type="http://schemas.openxmlformats.org/officeDocument/2006/relationships/footer" Target="footer351.xml"/><Relationship Id="rId43" Type="http://schemas.openxmlformats.org/officeDocument/2006/relationships/footer" Target="footer24.xml"/><Relationship Id="rId139" Type="http://schemas.openxmlformats.org/officeDocument/2006/relationships/footer" Target="footer92.xml"/><Relationship Id="rId346" Type="http://schemas.openxmlformats.org/officeDocument/2006/relationships/footer" Target="footer249.xml"/><Relationship Id="rId553" Type="http://schemas.openxmlformats.org/officeDocument/2006/relationships/hyperlink" Target="http://www.brigaterosse.org/brigaterosse/documenti/" TargetMode="External"/><Relationship Id="rId192" Type="http://schemas.openxmlformats.org/officeDocument/2006/relationships/footer" Target="footer130.xml"/><Relationship Id="rId206" Type="http://schemas.openxmlformats.org/officeDocument/2006/relationships/footer" Target="footer143.xml"/><Relationship Id="rId413" Type="http://schemas.openxmlformats.org/officeDocument/2006/relationships/footer" Target="footer296.xml"/><Relationship Id="rId497" Type="http://schemas.openxmlformats.org/officeDocument/2006/relationships/footer" Target="footer362.xml"/><Relationship Id="rId620" Type="http://schemas.openxmlformats.org/officeDocument/2006/relationships/hyperlink" Target="http://einestages/" TargetMode="External"/><Relationship Id="rId357" Type="http://schemas.openxmlformats.org/officeDocument/2006/relationships/footer" Target="footer260.xml"/><Relationship Id="rId54" Type="http://schemas.openxmlformats.org/officeDocument/2006/relationships/image" Target="media/image15.png"/><Relationship Id="rId217" Type="http://schemas.openxmlformats.org/officeDocument/2006/relationships/footer" Target="footer148.xml"/><Relationship Id="rId564" Type="http://schemas.openxmlformats.org/officeDocument/2006/relationships/hyperlink" Target="http://www.kssursee.ch/schuelerweb/kalter-krieg/kk/" TargetMode="External"/><Relationship Id="rId424" Type="http://schemas.openxmlformats.org/officeDocument/2006/relationships/footer" Target="footer307.xml"/><Relationship Id="rId631" Type="http://schemas.openxmlformats.org/officeDocument/2006/relationships/footer" Target="footer424.xml"/><Relationship Id="rId270" Type="http://schemas.openxmlformats.org/officeDocument/2006/relationships/hyperlink" Target="http://www/" TargetMode="External"/><Relationship Id="rId65" Type="http://schemas.openxmlformats.org/officeDocument/2006/relationships/footer" Target="footer34.xml"/><Relationship Id="rId130" Type="http://schemas.openxmlformats.org/officeDocument/2006/relationships/footer" Target="footer84.xml"/><Relationship Id="rId368" Type="http://schemas.openxmlformats.org/officeDocument/2006/relationships/footer" Target="footer264.xml"/><Relationship Id="rId575" Type="http://schemas.openxmlformats.org/officeDocument/2006/relationships/hyperlink" Target="http://projekte.free.de/dada/dada-p/P0000921.HTM" TargetMode="External"/><Relationship Id="rId228" Type="http://schemas.openxmlformats.org/officeDocument/2006/relationships/footer" Target="footer153.xml"/><Relationship Id="rId435" Type="http://schemas.openxmlformats.org/officeDocument/2006/relationships/footer" Target="footer315.xml"/><Relationship Id="rId642" Type="http://schemas.openxmlformats.org/officeDocument/2006/relationships/footer" Target="footer435.xml"/><Relationship Id="rId281" Type="http://schemas.openxmlformats.org/officeDocument/2006/relationships/footer" Target="footer196.xml"/><Relationship Id="rId502" Type="http://schemas.openxmlformats.org/officeDocument/2006/relationships/footer" Target="footer367.xml"/><Relationship Id="rId76" Type="http://schemas.openxmlformats.org/officeDocument/2006/relationships/footer" Target="footer44.xml"/><Relationship Id="rId141" Type="http://schemas.openxmlformats.org/officeDocument/2006/relationships/footer" Target="footer94.xml"/><Relationship Id="rId379" Type="http://schemas.openxmlformats.org/officeDocument/2006/relationships/footer" Target="footer269.xml"/><Relationship Id="rId586" Type="http://schemas.openxmlformats.org/officeDocument/2006/relationships/hyperlink" Target="http://www.tkb.org/Incident.jsp?incID=790" TargetMode="External"/><Relationship Id="rId7" Type="http://schemas.openxmlformats.org/officeDocument/2006/relationships/image" Target="media/image1.jpeg"/><Relationship Id="rId239" Type="http://schemas.openxmlformats.org/officeDocument/2006/relationships/footer" Target="footer161.xml"/><Relationship Id="rId446" Type="http://schemas.openxmlformats.org/officeDocument/2006/relationships/image" Target="media/image71.png"/><Relationship Id="rId653" Type="http://schemas.openxmlformats.org/officeDocument/2006/relationships/image" Target="media/image82.png"/><Relationship Id="rId292" Type="http://schemas.openxmlformats.org/officeDocument/2006/relationships/image" Target="media/image47.png"/><Relationship Id="rId306" Type="http://schemas.openxmlformats.org/officeDocument/2006/relationships/footer" Target="footer215.xml"/><Relationship Id="rId87" Type="http://schemas.openxmlformats.org/officeDocument/2006/relationships/hyperlink" Target="http://www.marxists.org/reference/archive/mao/selected-works/volume-1/" TargetMode="External"/><Relationship Id="rId513" Type="http://schemas.openxmlformats.org/officeDocument/2006/relationships/footer" Target="footer378.xml"/><Relationship Id="rId597" Type="http://schemas.openxmlformats.org/officeDocument/2006/relationships/footer" Target="footer419.xml"/><Relationship Id="rId152" Type="http://schemas.openxmlformats.org/officeDocument/2006/relationships/footer" Target="footer101.xml"/><Relationship Id="rId457" Type="http://schemas.openxmlformats.org/officeDocument/2006/relationships/footer" Target="footer325.xml"/><Relationship Id="rId664" Type="http://schemas.openxmlformats.org/officeDocument/2006/relationships/image" Target="media/image87.png"/><Relationship Id="rId14" Type="http://schemas.openxmlformats.org/officeDocument/2006/relationships/footer" Target="footer2.xml"/><Relationship Id="rId317" Type="http://schemas.openxmlformats.org/officeDocument/2006/relationships/footer" Target="footer224.xml"/><Relationship Id="rId524" Type="http://schemas.openxmlformats.org/officeDocument/2006/relationships/footer" Target="footer389.xml"/><Relationship Id="rId98" Type="http://schemas.openxmlformats.org/officeDocument/2006/relationships/hyperlink" Target="http://www.germanguerilla.com/red-army-faction/" TargetMode="External"/><Relationship Id="rId163" Type="http://schemas.openxmlformats.org/officeDocument/2006/relationships/footer" Target="footer110.xml"/><Relationship Id="rId370" Type="http://schemas.openxmlformats.org/officeDocument/2006/relationships/hyperlink" Target="http://www.freilassung.de/div/texte/rz/zorn/Zorn04.htm" TargetMode="External"/><Relationship Id="rId230" Type="http://schemas.openxmlformats.org/officeDocument/2006/relationships/hyperlink" Target="http://www.bewegung.in/mate_saehen.html" TargetMode="External"/><Relationship Id="rId468" Type="http://schemas.openxmlformats.org/officeDocument/2006/relationships/footer" Target="footer334.xml"/><Relationship Id="rId675" Type="http://schemas.openxmlformats.org/officeDocument/2006/relationships/hyperlink" Target="http://WWW.KERSPLEBEDEB.COM/" TargetMode="External"/><Relationship Id="rId25" Type="http://schemas.openxmlformats.org/officeDocument/2006/relationships/footer" Target="footer10.xml"/><Relationship Id="rId328" Type="http://schemas.openxmlformats.org/officeDocument/2006/relationships/image" Target="media/image51.png"/><Relationship Id="rId535" Type="http://schemas.openxmlformats.org/officeDocument/2006/relationships/footer" Target="footer400.xml"/><Relationship Id="rId174" Type="http://schemas.openxmlformats.org/officeDocument/2006/relationships/hyperlink" Target="http://www.marxists.org/archive/marighella-carlos/1969/06/minimanual-urban-" TargetMode="External"/><Relationship Id="rId381" Type="http://schemas.openxmlformats.org/officeDocument/2006/relationships/footer" Target="footer271.xml"/><Relationship Id="rId602" Type="http://schemas.openxmlformats.org/officeDocument/2006/relationships/hyperlink" Target="http://www.dw-world.de/dw/" TargetMode="External"/><Relationship Id="rId241" Type="http://schemas.openxmlformats.org/officeDocument/2006/relationships/footer" Target="footer163.xml"/><Relationship Id="rId479" Type="http://schemas.openxmlformats.org/officeDocument/2006/relationships/footer" Target="footer344.xml"/><Relationship Id="rId36" Type="http://schemas.openxmlformats.org/officeDocument/2006/relationships/footer" Target="footer20.xml"/><Relationship Id="rId339" Type="http://schemas.openxmlformats.org/officeDocument/2006/relationships/footer" Target="footer242.xml"/><Relationship Id="rId546" Type="http://schemas.openxmlformats.org/officeDocument/2006/relationships/image" Target="media/image78.png"/><Relationship Id="rId101" Type="http://schemas.openxmlformats.org/officeDocument/2006/relationships/image" Target="media/image21.png"/><Relationship Id="rId185" Type="http://schemas.openxmlformats.org/officeDocument/2006/relationships/footer" Target="footer124.xml"/><Relationship Id="rId406" Type="http://schemas.openxmlformats.org/officeDocument/2006/relationships/footer" Target="footer290.xml"/><Relationship Id="rId392" Type="http://schemas.openxmlformats.org/officeDocument/2006/relationships/footer" Target="footer280.xml"/><Relationship Id="rId613" Type="http://schemas.openxmlformats.org/officeDocument/2006/relationships/hyperlink" Target="http://www.stern.de/politik/" TargetMode="External"/><Relationship Id="rId252" Type="http://schemas.openxmlformats.org/officeDocument/2006/relationships/image" Target="media/image41.png"/><Relationship Id="rId47" Type="http://schemas.openxmlformats.org/officeDocument/2006/relationships/image" Target="media/image8.png"/><Relationship Id="rId112" Type="http://schemas.openxmlformats.org/officeDocument/2006/relationships/image" Target="media/image24.png"/><Relationship Id="rId557" Type="http://schemas.openxmlformats.org/officeDocument/2006/relationships/footer" Target="footer417.xml"/><Relationship Id="rId196" Type="http://schemas.openxmlformats.org/officeDocument/2006/relationships/footer" Target="footer134.xml"/><Relationship Id="rId417" Type="http://schemas.openxmlformats.org/officeDocument/2006/relationships/footer" Target="footer300.xml"/><Relationship Id="rId624" Type="http://schemas.openxmlformats.org/officeDocument/2006/relationships/hyperlink" Target="http://www.time.com/time/magazine/article/0%2C9171%2C919863%2C00" TargetMode="External"/><Relationship Id="rId263" Type="http://schemas.openxmlformats.org/officeDocument/2006/relationships/footer" Target="footer182.xml"/><Relationship Id="rId470" Type="http://schemas.openxmlformats.org/officeDocument/2006/relationships/footer" Target="footer336.xml"/><Relationship Id="rId58" Type="http://schemas.openxmlformats.org/officeDocument/2006/relationships/image" Target="media/image17.png"/><Relationship Id="rId123" Type="http://schemas.openxmlformats.org/officeDocument/2006/relationships/footer" Target="footer77.xml"/><Relationship Id="rId330" Type="http://schemas.openxmlformats.org/officeDocument/2006/relationships/image" Target="media/image53.png"/><Relationship Id="rId568" Type="http://schemas.openxmlformats.org/officeDocument/2006/relationships/hyperlink" Target="http://www.literaturhaus.at/autoren/F/fried/" TargetMode="External"/><Relationship Id="rId428" Type="http://schemas.openxmlformats.org/officeDocument/2006/relationships/footer" Target="footer310.xml"/><Relationship Id="rId635" Type="http://schemas.openxmlformats.org/officeDocument/2006/relationships/footer" Target="footer428.xml"/><Relationship Id="rId274" Type="http://schemas.openxmlformats.org/officeDocument/2006/relationships/footer" Target="footer191.xml"/><Relationship Id="rId481" Type="http://schemas.openxmlformats.org/officeDocument/2006/relationships/footer" Target="footer346.xml"/><Relationship Id="rId69" Type="http://schemas.openxmlformats.org/officeDocument/2006/relationships/footer" Target="footer37.xml"/><Relationship Id="rId134" Type="http://schemas.openxmlformats.org/officeDocument/2006/relationships/footer" Target="footer88.xml"/><Relationship Id="rId579" Type="http://schemas.openxmlformats.org/officeDocument/2006/relationships/hyperlink" Target="http://www.bewegung.in/mate_saehen.html" TargetMode="External"/><Relationship Id="rId341" Type="http://schemas.openxmlformats.org/officeDocument/2006/relationships/footer" Target="footer244.xml"/><Relationship Id="rId439" Type="http://schemas.openxmlformats.org/officeDocument/2006/relationships/footer" Target="footer316.xml"/><Relationship Id="rId646" Type="http://schemas.openxmlformats.org/officeDocument/2006/relationships/image" Target="media/image79.png"/><Relationship Id="rId201" Type="http://schemas.openxmlformats.org/officeDocument/2006/relationships/footer" Target="footer139.xml"/><Relationship Id="rId285" Type="http://schemas.openxmlformats.org/officeDocument/2006/relationships/image" Target="media/image46.png"/><Relationship Id="rId506" Type="http://schemas.openxmlformats.org/officeDocument/2006/relationships/footer" Target="footer371.xml"/><Relationship Id="rId38" Type="http://schemas.openxmlformats.org/officeDocument/2006/relationships/footer" Target="footer22.xml"/><Relationship Id="rId103" Type="http://schemas.openxmlformats.org/officeDocument/2006/relationships/footer" Target="footer63.xml"/><Relationship Id="rId310" Type="http://schemas.openxmlformats.org/officeDocument/2006/relationships/footer" Target="footer218.xml"/><Relationship Id="rId492" Type="http://schemas.openxmlformats.org/officeDocument/2006/relationships/footer" Target="footer357.xml"/><Relationship Id="rId548" Type="http://schemas.openxmlformats.org/officeDocument/2006/relationships/hyperlink" Target="http://www.germanguerilla.com/" TargetMode="External"/><Relationship Id="rId91" Type="http://schemas.openxmlformats.org/officeDocument/2006/relationships/footer" Target="footer56.xml"/><Relationship Id="rId145" Type="http://schemas.openxmlformats.org/officeDocument/2006/relationships/footer" Target="footer96.xml"/><Relationship Id="rId187" Type="http://schemas.openxmlformats.org/officeDocument/2006/relationships/footer" Target="footer126.xml"/><Relationship Id="rId352" Type="http://schemas.openxmlformats.org/officeDocument/2006/relationships/footer" Target="footer255.xml"/><Relationship Id="rId394" Type="http://schemas.openxmlformats.org/officeDocument/2006/relationships/footer" Target="footer282.xml"/><Relationship Id="rId408" Type="http://schemas.openxmlformats.org/officeDocument/2006/relationships/image" Target="media/image63.png"/><Relationship Id="rId615" Type="http://schemas.openxmlformats.org/officeDocument/2006/relationships/hyperlink" Target="http://www/" TargetMode="External"/><Relationship Id="rId212" Type="http://schemas.openxmlformats.org/officeDocument/2006/relationships/footer" Target="footer146.xml"/><Relationship Id="rId254" Type="http://schemas.openxmlformats.org/officeDocument/2006/relationships/image" Target="media/image43.png"/><Relationship Id="rId657" Type="http://schemas.openxmlformats.org/officeDocument/2006/relationships/footer" Target="footer442.xml"/><Relationship Id="rId49" Type="http://schemas.openxmlformats.org/officeDocument/2006/relationships/image" Target="media/image10.png"/><Relationship Id="rId114" Type="http://schemas.openxmlformats.org/officeDocument/2006/relationships/footer" Target="footer70.xml"/><Relationship Id="rId296" Type="http://schemas.openxmlformats.org/officeDocument/2006/relationships/footer" Target="footer208.xml"/><Relationship Id="rId461" Type="http://schemas.openxmlformats.org/officeDocument/2006/relationships/footer" Target="footer328.xml"/><Relationship Id="rId517" Type="http://schemas.openxmlformats.org/officeDocument/2006/relationships/footer" Target="footer382.xml"/><Relationship Id="rId559" Type="http://schemas.openxmlformats.org/officeDocument/2006/relationships/hyperlink" Target="http://www.katesharpleylibrary.net/stammheim.htm" TargetMode="External"/><Relationship Id="rId60" Type="http://schemas.openxmlformats.org/officeDocument/2006/relationships/footer" Target="footer30.xml"/><Relationship Id="rId156" Type="http://schemas.openxmlformats.org/officeDocument/2006/relationships/image" Target="media/image29.png"/><Relationship Id="rId198" Type="http://schemas.openxmlformats.org/officeDocument/2006/relationships/footer" Target="footer136.xml"/><Relationship Id="rId321" Type="http://schemas.openxmlformats.org/officeDocument/2006/relationships/footer" Target="footer228.xml"/><Relationship Id="rId363" Type="http://schemas.openxmlformats.org/officeDocument/2006/relationships/image" Target="media/image56.png"/><Relationship Id="rId419" Type="http://schemas.openxmlformats.org/officeDocument/2006/relationships/footer" Target="footer302.xml"/><Relationship Id="rId570" Type="http://schemas.openxmlformats.org/officeDocument/2006/relationships/hyperlink" Target="http://soc.world-journal.net/18sept2008spywars2.html" TargetMode="External"/><Relationship Id="rId626" Type="http://schemas.openxmlformats.org/officeDocument/2006/relationships/hyperlink" Target="http://www.time.com/time/magazine/" TargetMode="External"/><Relationship Id="rId223" Type="http://schemas.openxmlformats.org/officeDocument/2006/relationships/image" Target="media/image35.png"/><Relationship Id="rId430" Type="http://schemas.openxmlformats.org/officeDocument/2006/relationships/footer" Target="footer311.xml"/><Relationship Id="rId668" Type="http://schemas.openxmlformats.org/officeDocument/2006/relationships/image" Target="media/image89.png"/><Relationship Id="rId18" Type="http://schemas.openxmlformats.org/officeDocument/2006/relationships/hyperlink" Target="http://labourhistory.net/raf/" TargetMode="External"/><Relationship Id="rId265" Type="http://schemas.openxmlformats.org/officeDocument/2006/relationships/footer" Target="footer184.xml"/><Relationship Id="rId472" Type="http://schemas.openxmlformats.org/officeDocument/2006/relationships/footer" Target="footer338.xml"/><Relationship Id="rId528" Type="http://schemas.openxmlformats.org/officeDocument/2006/relationships/footer" Target="footer393.xml"/><Relationship Id="rId125" Type="http://schemas.openxmlformats.org/officeDocument/2006/relationships/footer" Target="footer79.xml"/><Relationship Id="rId167" Type="http://schemas.openxmlformats.org/officeDocument/2006/relationships/footer" Target="footer113.xml"/><Relationship Id="rId332" Type="http://schemas.openxmlformats.org/officeDocument/2006/relationships/footer" Target="footer235.xml"/><Relationship Id="rId374" Type="http://schemas.openxmlformats.org/officeDocument/2006/relationships/image" Target="media/image58.png"/><Relationship Id="rId581" Type="http://schemas.openxmlformats.org/officeDocument/2006/relationships/hyperlink" Target="http://www.linksnet.de/artikel.php?id=374" TargetMode="External"/><Relationship Id="rId71" Type="http://schemas.openxmlformats.org/officeDocument/2006/relationships/footer" Target="footer39.xml"/><Relationship Id="rId234" Type="http://schemas.openxmlformats.org/officeDocument/2006/relationships/footer" Target="footer157.xml"/><Relationship Id="rId637" Type="http://schemas.openxmlformats.org/officeDocument/2006/relationships/footer" Target="footer430.xml"/><Relationship Id="rId679" Type="http://schemas.openxmlformats.org/officeDocument/2006/relationships/theme" Target="theme/theme1.xml"/><Relationship Id="rId2" Type="http://schemas.openxmlformats.org/officeDocument/2006/relationships/styles" Target="styles.xml"/><Relationship Id="rId29" Type="http://schemas.openxmlformats.org/officeDocument/2006/relationships/footer" Target="footer14.xml"/><Relationship Id="rId276" Type="http://schemas.openxmlformats.org/officeDocument/2006/relationships/footer" Target="footer193.xml"/><Relationship Id="rId441" Type="http://schemas.openxmlformats.org/officeDocument/2006/relationships/footer" Target="footer318.xml"/><Relationship Id="rId483" Type="http://schemas.openxmlformats.org/officeDocument/2006/relationships/footer" Target="footer348.xml"/><Relationship Id="rId539" Type="http://schemas.openxmlformats.org/officeDocument/2006/relationships/footer" Target="footer404.xml"/><Relationship Id="rId40" Type="http://schemas.openxmlformats.org/officeDocument/2006/relationships/hyperlink" Target="http://www.kssursee.ch/schuelerweb/kalter-krieg/kk/integration.htm" TargetMode="External"/><Relationship Id="rId136" Type="http://schemas.openxmlformats.org/officeDocument/2006/relationships/footer" Target="footer90.xml"/><Relationship Id="rId178" Type="http://schemas.openxmlformats.org/officeDocument/2006/relationships/footer" Target="footer118.xml"/><Relationship Id="rId301" Type="http://schemas.openxmlformats.org/officeDocument/2006/relationships/footer" Target="footer213.xml"/><Relationship Id="rId343" Type="http://schemas.openxmlformats.org/officeDocument/2006/relationships/footer" Target="footer246.xml"/><Relationship Id="rId550" Type="http://schemas.openxmlformats.org/officeDocument/2006/relationships/footer" Target="footer412.xml"/><Relationship Id="rId82" Type="http://schemas.openxmlformats.org/officeDocument/2006/relationships/footer" Target="footer49.xml"/><Relationship Id="rId203" Type="http://schemas.openxmlformats.org/officeDocument/2006/relationships/footer" Target="footer141.xml"/><Relationship Id="rId385" Type="http://schemas.openxmlformats.org/officeDocument/2006/relationships/footer" Target="footer274.xml"/><Relationship Id="rId592" Type="http://schemas.openxmlformats.org/officeDocument/2006/relationships/hyperlink" Target="http://www.zeithistorische-forschungen.de/site/40208730/" TargetMode="External"/><Relationship Id="rId606" Type="http://schemas.openxmlformats.org/officeDocument/2006/relationships/footer" Target="footer421.xml"/><Relationship Id="rId648" Type="http://schemas.openxmlformats.org/officeDocument/2006/relationships/footer" Target="footer439.xml"/><Relationship Id="rId245" Type="http://schemas.openxmlformats.org/officeDocument/2006/relationships/footer" Target="footer167.xml"/><Relationship Id="rId287" Type="http://schemas.openxmlformats.org/officeDocument/2006/relationships/footer" Target="footer201.xml"/><Relationship Id="rId410" Type="http://schemas.openxmlformats.org/officeDocument/2006/relationships/footer" Target="footer293.xml"/><Relationship Id="rId452" Type="http://schemas.openxmlformats.org/officeDocument/2006/relationships/footer" Target="footer323.xml"/><Relationship Id="rId494" Type="http://schemas.openxmlformats.org/officeDocument/2006/relationships/footer" Target="footer359.xml"/><Relationship Id="rId508" Type="http://schemas.openxmlformats.org/officeDocument/2006/relationships/footer" Target="footer373.xml"/><Relationship Id="rId105" Type="http://schemas.openxmlformats.org/officeDocument/2006/relationships/hyperlink" Target="http://www.fau.org/artikel/art_040308-182546" TargetMode="External"/><Relationship Id="rId147" Type="http://schemas.openxmlformats.org/officeDocument/2006/relationships/hyperlink" Target="http://forum.llc.ed.ac.uk/issue2/bielby.html" TargetMode="External"/><Relationship Id="rId312" Type="http://schemas.openxmlformats.org/officeDocument/2006/relationships/footer" Target="footer220.xml"/><Relationship Id="rId354" Type="http://schemas.openxmlformats.org/officeDocument/2006/relationships/footer" Target="footer257.xml"/><Relationship Id="rId51" Type="http://schemas.openxmlformats.org/officeDocument/2006/relationships/image" Target="media/image12.png"/><Relationship Id="rId93" Type="http://schemas.openxmlformats.org/officeDocument/2006/relationships/footer" Target="footer58.xml"/><Relationship Id="rId189" Type="http://schemas.openxmlformats.org/officeDocument/2006/relationships/footer" Target="footer128.xml"/><Relationship Id="rId396" Type="http://schemas.openxmlformats.org/officeDocument/2006/relationships/footer" Target="footer284.xml"/><Relationship Id="rId561" Type="http://schemas.openxmlformats.org/officeDocument/2006/relationships/hyperlink" Target="http://www.nadir.org/nadir/periodika/angehoerigen_info/" TargetMode="External"/><Relationship Id="rId617" Type="http://schemas.openxmlformats.org/officeDocument/2006/relationships/hyperlink" Target="http://www.welt.de/politik/article1263664/Die_RAF_erleidet_" TargetMode="External"/><Relationship Id="rId659" Type="http://schemas.openxmlformats.org/officeDocument/2006/relationships/image" Target="media/image84.png"/><Relationship Id="rId214" Type="http://schemas.openxmlformats.org/officeDocument/2006/relationships/hyperlink" Target="http://www36.websamba.com/Soligruppe/data/spiegel1975.htm%3B" TargetMode="External"/><Relationship Id="rId256" Type="http://schemas.openxmlformats.org/officeDocument/2006/relationships/footer" Target="footer175.xml"/><Relationship Id="rId298" Type="http://schemas.openxmlformats.org/officeDocument/2006/relationships/footer" Target="footer210.xml"/><Relationship Id="rId421" Type="http://schemas.openxmlformats.org/officeDocument/2006/relationships/footer" Target="footer304.xml"/><Relationship Id="rId463" Type="http://schemas.openxmlformats.org/officeDocument/2006/relationships/footer" Target="footer329.xml"/><Relationship Id="rId519" Type="http://schemas.openxmlformats.org/officeDocument/2006/relationships/footer" Target="footer384.xml"/><Relationship Id="rId670" Type="http://schemas.openxmlformats.org/officeDocument/2006/relationships/hyperlink" Target="http://WWW.KERSPLEBEDEB.COM/" TargetMode="External"/><Relationship Id="rId116" Type="http://schemas.openxmlformats.org/officeDocument/2006/relationships/image" Target="media/image26.png"/><Relationship Id="rId158" Type="http://schemas.openxmlformats.org/officeDocument/2006/relationships/footer" Target="footer106.xml"/><Relationship Id="rId323" Type="http://schemas.openxmlformats.org/officeDocument/2006/relationships/footer" Target="footer230.xml"/><Relationship Id="rId530" Type="http://schemas.openxmlformats.org/officeDocument/2006/relationships/footer" Target="footer395.xml"/><Relationship Id="rId20" Type="http://schemas.openxmlformats.org/officeDocument/2006/relationships/footer" Target="footer5.xml"/><Relationship Id="rId62" Type="http://schemas.openxmlformats.org/officeDocument/2006/relationships/footer" Target="footer32.xml"/><Relationship Id="rId365" Type="http://schemas.openxmlformats.org/officeDocument/2006/relationships/hyperlink" Target="http://www.etext.org/Politics/Autonome" TargetMode="External"/><Relationship Id="rId572" Type="http://schemas.openxmlformats.org/officeDocument/2006/relationships/hyperlink" Target="http://www.hartford-hwp.com/archives/61/191.html" TargetMode="External"/><Relationship Id="rId628" Type="http://schemas.openxmlformats.org/officeDocument/2006/relationships/hyperlink" Target="http://www.freitag.de/2002/17/02170125.php" TargetMode="External"/><Relationship Id="rId225" Type="http://schemas.openxmlformats.org/officeDocument/2006/relationships/image" Target="media/image37.png"/><Relationship Id="rId267" Type="http://schemas.openxmlformats.org/officeDocument/2006/relationships/hyperlink" Target="http://www.marxists.org/archive/" TargetMode="External"/><Relationship Id="rId432" Type="http://schemas.openxmlformats.org/officeDocument/2006/relationships/footer" Target="footer313.xml"/><Relationship Id="rId474" Type="http://schemas.openxmlformats.org/officeDocument/2006/relationships/footer" Target="footer340.xml"/><Relationship Id="rId127" Type="http://schemas.openxmlformats.org/officeDocument/2006/relationships/footer" Target="footer81.xml"/><Relationship Id="rId31" Type="http://schemas.openxmlformats.org/officeDocument/2006/relationships/footer" Target="footer16.xml"/><Relationship Id="rId73" Type="http://schemas.openxmlformats.org/officeDocument/2006/relationships/footer" Target="footer41.xml"/><Relationship Id="rId169" Type="http://schemas.openxmlformats.org/officeDocument/2006/relationships/footer" Target="footer115.xml"/><Relationship Id="rId334" Type="http://schemas.openxmlformats.org/officeDocument/2006/relationships/footer" Target="footer237.xml"/><Relationship Id="rId376" Type="http://schemas.openxmlformats.org/officeDocument/2006/relationships/hyperlink" Target="http://www.freilassung.de/div/texte/rz/zorn/Zorn12i.htm" TargetMode="External"/><Relationship Id="rId541" Type="http://schemas.openxmlformats.org/officeDocument/2006/relationships/footer" Target="footer406.xml"/><Relationship Id="rId583" Type="http://schemas.openxmlformats.org/officeDocument/2006/relationships/hyperlink" Target="http://www.marxists.org/archive/lenin/works/1901/" TargetMode="External"/><Relationship Id="rId639" Type="http://schemas.openxmlformats.org/officeDocument/2006/relationships/footer" Target="footer432.xml"/><Relationship Id="rId4" Type="http://schemas.openxmlformats.org/officeDocument/2006/relationships/webSettings" Target="webSettings.xml"/><Relationship Id="rId180" Type="http://schemas.openxmlformats.org/officeDocument/2006/relationships/footer" Target="footer120.xml"/><Relationship Id="rId236" Type="http://schemas.openxmlformats.org/officeDocument/2006/relationships/footer" Target="footer158.xml"/><Relationship Id="rId278" Type="http://schemas.openxmlformats.org/officeDocument/2006/relationships/footer" Target="footer195.xml"/><Relationship Id="rId401" Type="http://schemas.openxmlformats.org/officeDocument/2006/relationships/hyperlink" Target="http://www.litrix.de/buecher/sachbuecher/jahr/2004/schleyer/" TargetMode="External"/><Relationship Id="rId443" Type="http://schemas.openxmlformats.org/officeDocument/2006/relationships/hyperlink" Target="http://www.gjbip.org/comm_teeth.htm" TargetMode="External"/><Relationship Id="rId650" Type="http://schemas.openxmlformats.org/officeDocument/2006/relationships/hyperlink" Target="mailto:info@kersplebedeb.com" TargetMode="External"/><Relationship Id="rId303" Type="http://schemas.openxmlformats.org/officeDocument/2006/relationships/hyperlink" Target="http://www.germanguerilla.com/red-army-faction/" TargetMode="External"/><Relationship Id="rId485" Type="http://schemas.openxmlformats.org/officeDocument/2006/relationships/footer" Target="footer350.xml"/><Relationship Id="rId42" Type="http://schemas.openxmlformats.org/officeDocument/2006/relationships/footer" Target="footer23.xml"/><Relationship Id="rId84" Type="http://schemas.openxmlformats.org/officeDocument/2006/relationships/footer" Target="footer51.xml"/><Relationship Id="rId138" Type="http://schemas.openxmlformats.org/officeDocument/2006/relationships/footer" Target="footer91.xml"/><Relationship Id="rId345" Type="http://schemas.openxmlformats.org/officeDocument/2006/relationships/footer" Target="footer248.xml"/><Relationship Id="rId387" Type="http://schemas.openxmlformats.org/officeDocument/2006/relationships/hyperlink" Target="http://www.marxists.org/reference/archive/sartre/1974/baader.htm" TargetMode="External"/><Relationship Id="rId510" Type="http://schemas.openxmlformats.org/officeDocument/2006/relationships/footer" Target="footer375.xml"/><Relationship Id="rId552" Type="http://schemas.openxmlformats.org/officeDocument/2006/relationships/footer" Target="footer414.xml"/><Relationship Id="rId594" Type="http://schemas.openxmlformats.org/officeDocument/2006/relationships/hyperlink" Target="http://soc.world-journal.net/18sept2008spywars2.html" TargetMode="External"/><Relationship Id="rId608" Type="http://schemas.openxmlformats.org/officeDocument/2006/relationships/hyperlink" Target="http://www.taz.de/1/leben/koepfe/artikel/1/die-" TargetMode="External"/><Relationship Id="rId191" Type="http://schemas.openxmlformats.org/officeDocument/2006/relationships/hyperlink" Target="http://www/" TargetMode="External"/><Relationship Id="rId205" Type="http://schemas.openxmlformats.org/officeDocument/2006/relationships/footer" Target="footer142.xml"/><Relationship Id="rId247" Type="http://schemas.openxmlformats.org/officeDocument/2006/relationships/footer" Target="footer169.xml"/><Relationship Id="rId412" Type="http://schemas.openxmlformats.org/officeDocument/2006/relationships/footer" Target="footer295.xml"/><Relationship Id="rId107" Type="http://schemas.openxmlformats.org/officeDocument/2006/relationships/footer" Target="footer65.xml"/><Relationship Id="rId289" Type="http://schemas.openxmlformats.org/officeDocument/2006/relationships/footer" Target="footer203.xml"/><Relationship Id="rId454" Type="http://schemas.openxmlformats.org/officeDocument/2006/relationships/image" Target="media/image74.png"/><Relationship Id="rId496" Type="http://schemas.openxmlformats.org/officeDocument/2006/relationships/footer" Target="footer361.xml"/><Relationship Id="rId661" Type="http://schemas.openxmlformats.org/officeDocument/2006/relationships/hyperlink" Target="http://www.pmpress.org/" TargetMode="External"/><Relationship Id="rId11" Type="http://schemas.openxmlformats.org/officeDocument/2006/relationships/hyperlink" Target="http://www.kersplebedeb.com/" TargetMode="External"/><Relationship Id="rId53" Type="http://schemas.openxmlformats.org/officeDocument/2006/relationships/image" Target="media/image14.png"/><Relationship Id="rId149" Type="http://schemas.openxmlformats.org/officeDocument/2006/relationships/footer" Target="footer98.xml"/><Relationship Id="rId314" Type="http://schemas.openxmlformats.org/officeDocument/2006/relationships/hyperlink" Target="http://www.marxists.org/" TargetMode="External"/><Relationship Id="rId356" Type="http://schemas.openxmlformats.org/officeDocument/2006/relationships/footer" Target="footer259.xml"/><Relationship Id="rId398" Type="http://schemas.openxmlformats.org/officeDocument/2006/relationships/footer" Target="footer286.xml"/><Relationship Id="rId521" Type="http://schemas.openxmlformats.org/officeDocument/2006/relationships/footer" Target="footer386.xml"/><Relationship Id="rId563" Type="http://schemas.openxmlformats.org/officeDocument/2006/relationships/hyperlink" Target="http://www.freilassung.de/div/texte/rz/zorn/Zorn12.htm" TargetMode="External"/><Relationship Id="rId619" Type="http://schemas.openxmlformats.org/officeDocument/2006/relationships/hyperlink" Target="http://www.dradio.de/dlf/sendungen/interview_dlf/256035/" TargetMode="External"/><Relationship Id="rId95" Type="http://schemas.openxmlformats.org/officeDocument/2006/relationships/image" Target="media/image20.png"/><Relationship Id="rId160" Type="http://schemas.openxmlformats.org/officeDocument/2006/relationships/footer" Target="footer108.xml"/><Relationship Id="rId216" Type="http://schemas.openxmlformats.org/officeDocument/2006/relationships/hyperlink" Target="http://de.wikipedia.org/wiki/Katharina_Hammerschmidt" TargetMode="External"/><Relationship Id="rId423" Type="http://schemas.openxmlformats.org/officeDocument/2006/relationships/footer" Target="footer306.xml"/><Relationship Id="rId258" Type="http://schemas.openxmlformats.org/officeDocument/2006/relationships/footer" Target="footer177.xml"/><Relationship Id="rId465" Type="http://schemas.openxmlformats.org/officeDocument/2006/relationships/footer" Target="footer331.xml"/><Relationship Id="rId630" Type="http://schemas.openxmlformats.org/officeDocument/2006/relationships/footer" Target="footer423.xml"/><Relationship Id="rId672" Type="http://schemas.openxmlformats.org/officeDocument/2006/relationships/image" Target="media/image90.png"/><Relationship Id="rId22" Type="http://schemas.openxmlformats.org/officeDocument/2006/relationships/footer" Target="footer7.xml"/><Relationship Id="rId64" Type="http://schemas.openxmlformats.org/officeDocument/2006/relationships/footer" Target="footer33.xml"/><Relationship Id="rId118" Type="http://schemas.openxmlformats.org/officeDocument/2006/relationships/footer" Target="footer72.xml"/><Relationship Id="rId325" Type="http://schemas.openxmlformats.org/officeDocument/2006/relationships/footer" Target="footer232.xml"/><Relationship Id="rId367" Type="http://schemas.openxmlformats.org/officeDocument/2006/relationships/hyperlink" Target="http://www.zeithistorische-forschungen.de/site/40208212/" TargetMode="External"/><Relationship Id="rId532" Type="http://schemas.openxmlformats.org/officeDocument/2006/relationships/footer" Target="footer397.xml"/><Relationship Id="rId574" Type="http://schemas.openxmlformats.org/officeDocument/2006/relationships/hyperlink" Target="http://forum.llc.ed.ac.uk/issue2/bielby.html" TargetMode="External"/><Relationship Id="rId171" Type="http://schemas.openxmlformats.org/officeDocument/2006/relationships/hyperlink" Target="http://www.tkb.org/Incident.jsp?incID=790" TargetMode="External"/><Relationship Id="rId227" Type="http://schemas.openxmlformats.org/officeDocument/2006/relationships/footer" Target="footer152.xml"/><Relationship Id="rId269" Type="http://schemas.openxmlformats.org/officeDocument/2006/relationships/footer" Target="footer187.xml"/><Relationship Id="rId434" Type="http://schemas.openxmlformats.org/officeDocument/2006/relationships/footer" Target="footer314.xml"/><Relationship Id="rId476" Type="http://schemas.openxmlformats.org/officeDocument/2006/relationships/footer" Target="footer341.xml"/><Relationship Id="rId641" Type="http://schemas.openxmlformats.org/officeDocument/2006/relationships/footer" Target="footer434.xml"/><Relationship Id="rId33" Type="http://schemas.openxmlformats.org/officeDocument/2006/relationships/footer" Target="footer18.xml"/><Relationship Id="rId129" Type="http://schemas.openxmlformats.org/officeDocument/2006/relationships/footer" Target="footer83.xml"/><Relationship Id="rId280" Type="http://schemas.openxmlformats.org/officeDocument/2006/relationships/image" Target="media/image45.png"/><Relationship Id="rId336" Type="http://schemas.openxmlformats.org/officeDocument/2006/relationships/footer" Target="footer239.xml"/><Relationship Id="rId501" Type="http://schemas.openxmlformats.org/officeDocument/2006/relationships/footer" Target="footer366.xml"/><Relationship Id="rId543" Type="http://schemas.openxmlformats.org/officeDocument/2006/relationships/footer" Target="footer408.xml"/><Relationship Id="rId75" Type="http://schemas.openxmlformats.org/officeDocument/2006/relationships/footer" Target="footer43.xml"/><Relationship Id="rId140" Type="http://schemas.openxmlformats.org/officeDocument/2006/relationships/footer" Target="footer93.xml"/><Relationship Id="rId182" Type="http://schemas.openxmlformats.org/officeDocument/2006/relationships/footer" Target="footer122.xml"/><Relationship Id="rId378" Type="http://schemas.openxmlformats.org/officeDocument/2006/relationships/footer" Target="footer268.xml"/><Relationship Id="rId403" Type="http://schemas.openxmlformats.org/officeDocument/2006/relationships/footer" Target="footer289.xml"/><Relationship Id="rId585" Type="http://schemas.openxmlformats.org/officeDocument/2006/relationships/hyperlink" Target="http://www.mao-projekt.de/INT/NA/USA/USA_Black_" TargetMode="External"/><Relationship Id="rId6" Type="http://schemas.openxmlformats.org/officeDocument/2006/relationships/endnotes" Target="endnotes.xml"/><Relationship Id="rId238" Type="http://schemas.openxmlformats.org/officeDocument/2006/relationships/footer" Target="footer160.xml"/><Relationship Id="rId445" Type="http://schemas.openxmlformats.org/officeDocument/2006/relationships/image" Target="media/image70.png"/><Relationship Id="rId487" Type="http://schemas.openxmlformats.org/officeDocument/2006/relationships/footer" Target="footer352.xml"/><Relationship Id="rId610" Type="http://schemas.openxmlformats.org/officeDocument/2006/relationships/hyperlink" Target="http://www.fr-online.de/in_und_ausland/politik/" TargetMode="External"/><Relationship Id="rId652" Type="http://schemas.openxmlformats.org/officeDocument/2006/relationships/footer" Target="footer440.xml"/><Relationship Id="rId291" Type="http://schemas.openxmlformats.org/officeDocument/2006/relationships/footer" Target="footer205.xml"/><Relationship Id="rId305" Type="http://schemas.openxmlformats.org/officeDocument/2006/relationships/footer" Target="footer214.xml"/><Relationship Id="rId347" Type="http://schemas.openxmlformats.org/officeDocument/2006/relationships/footer" Target="footer250.xml"/><Relationship Id="rId512" Type="http://schemas.openxmlformats.org/officeDocument/2006/relationships/footer" Target="footer377.xml"/><Relationship Id="rId44" Type="http://schemas.openxmlformats.org/officeDocument/2006/relationships/footer" Target="footer25.xml"/><Relationship Id="rId86" Type="http://schemas.openxmlformats.org/officeDocument/2006/relationships/hyperlink" Target="http://www.marxists.org/archive/lenin/" TargetMode="External"/><Relationship Id="rId151" Type="http://schemas.openxmlformats.org/officeDocument/2006/relationships/footer" Target="footer100.xml"/><Relationship Id="rId389" Type="http://schemas.openxmlformats.org/officeDocument/2006/relationships/footer" Target="footer277.xml"/><Relationship Id="rId554" Type="http://schemas.openxmlformats.org/officeDocument/2006/relationships/hyperlink" Target="http://www.germanlawjournal.com/" TargetMode="External"/><Relationship Id="rId596" Type="http://schemas.openxmlformats.org/officeDocument/2006/relationships/hyperlink" Target="http://news.bbc.co.uk/1/hi/world/europe/2455647.stm" TargetMode="External"/><Relationship Id="rId193" Type="http://schemas.openxmlformats.org/officeDocument/2006/relationships/footer" Target="footer131.xml"/><Relationship Id="rId207" Type="http://schemas.openxmlformats.org/officeDocument/2006/relationships/image" Target="media/image31.png"/><Relationship Id="rId249" Type="http://schemas.openxmlformats.org/officeDocument/2006/relationships/footer" Target="footer171.xml"/><Relationship Id="rId414" Type="http://schemas.openxmlformats.org/officeDocument/2006/relationships/footer" Target="footer297.xml"/><Relationship Id="rId456" Type="http://schemas.openxmlformats.org/officeDocument/2006/relationships/footer" Target="footer324.xml"/><Relationship Id="rId498" Type="http://schemas.openxmlformats.org/officeDocument/2006/relationships/footer" Target="footer363.xml"/><Relationship Id="rId621" Type="http://schemas.openxmlformats.org/officeDocument/2006/relationships/hyperlink" Target="http://www.zeit.de/1998/19/Kaffee_Kuchen_und_Terror" TargetMode="External"/><Relationship Id="rId663" Type="http://schemas.openxmlformats.org/officeDocument/2006/relationships/image" Target="media/image86.png"/><Relationship Id="rId13" Type="http://schemas.openxmlformats.org/officeDocument/2006/relationships/footer" Target="footer1.xml"/><Relationship Id="rId109" Type="http://schemas.openxmlformats.org/officeDocument/2006/relationships/image" Target="media/image23.png"/><Relationship Id="rId260" Type="http://schemas.openxmlformats.org/officeDocument/2006/relationships/footer" Target="footer179.xml"/><Relationship Id="rId316" Type="http://schemas.openxmlformats.org/officeDocument/2006/relationships/footer" Target="footer223.xml"/><Relationship Id="rId523" Type="http://schemas.openxmlformats.org/officeDocument/2006/relationships/footer" Target="footer388.xml"/><Relationship Id="rId55" Type="http://schemas.openxmlformats.org/officeDocument/2006/relationships/image" Target="media/image16.png"/><Relationship Id="rId97" Type="http://schemas.openxmlformats.org/officeDocument/2006/relationships/footer" Target="footer60.xml"/><Relationship Id="rId120" Type="http://schemas.openxmlformats.org/officeDocument/2006/relationships/footer" Target="footer74.xml"/><Relationship Id="rId358" Type="http://schemas.openxmlformats.org/officeDocument/2006/relationships/footer" Target="footer261.xml"/><Relationship Id="rId565" Type="http://schemas.openxmlformats.org/officeDocument/2006/relationships/hyperlink" Target="http://www.freilassung.de/div/texte/rz/zorn/" TargetMode="External"/><Relationship Id="rId162" Type="http://schemas.openxmlformats.org/officeDocument/2006/relationships/image" Target="media/image30.png"/><Relationship Id="rId218" Type="http://schemas.openxmlformats.org/officeDocument/2006/relationships/footer" Target="footer149.xml"/><Relationship Id="rId425" Type="http://schemas.openxmlformats.org/officeDocument/2006/relationships/footer" Target="footer308.xml"/><Relationship Id="rId467" Type="http://schemas.openxmlformats.org/officeDocument/2006/relationships/footer" Target="footer333.xml"/><Relationship Id="rId632" Type="http://schemas.openxmlformats.org/officeDocument/2006/relationships/footer" Target="footer425.xml"/><Relationship Id="rId271" Type="http://schemas.openxmlformats.org/officeDocument/2006/relationships/footer" Target="footer188.xml"/><Relationship Id="rId674" Type="http://schemas.openxmlformats.org/officeDocument/2006/relationships/hyperlink" Target="mailto:iNfO@KERSPLEBEDEB.COM" TargetMode="External"/><Relationship Id="rId24" Type="http://schemas.openxmlformats.org/officeDocument/2006/relationships/footer" Target="footer9.xml"/><Relationship Id="rId66" Type="http://schemas.openxmlformats.org/officeDocument/2006/relationships/hyperlink" Target="http://projekte.free.de/dada/dada-p/P0000921.HTM" TargetMode="External"/><Relationship Id="rId131" Type="http://schemas.openxmlformats.org/officeDocument/2006/relationships/footer" Target="footer85.xml"/><Relationship Id="rId327" Type="http://schemas.openxmlformats.org/officeDocument/2006/relationships/image" Target="media/image50.png"/><Relationship Id="rId369" Type="http://schemas.openxmlformats.org/officeDocument/2006/relationships/footer" Target="footer265.xml"/><Relationship Id="rId534" Type="http://schemas.openxmlformats.org/officeDocument/2006/relationships/footer" Target="footer399.xml"/><Relationship Id="rId576" Type="http://schemas.openxmlformats.org/officeDocument/2006/relationships/hyperlink" Target="http://www.bpb.de/themen/xNP7ZG%2C0%2C0%2CDie_RAF_" TargetMode="External"/><Relationship Id="rId173" Type="http://schemas.openxmlformats.org/officeDocument/2006/relationships/footer" Target="footer117.xml"/><Relationship Id="rId229" Type="http://schemas.openxmlformats.org/officeDocument/2006/relationships/image" Target="media/image39.png"/><Relationship Id="rId380" Type="http://schemas.openxmlformats.org/officeDocument/2006/relationships/footer" Target="footer270.xml"/><Relationship Id="rId436" Type="http://schemas.openxmlformats.org/officeDocument/2006/relationships/image" Target="media/image67.png"/><Relationship Id="rId601" Type="http://schemas.openxmlformats.org/officeDocument/2006/relationships/hyperlink" Target="http://www/" TargetMode="External"/><Relationship Id="rId643" Type="http://schemas.openxmlformats.org/officeDocument/2006/relationships/footer" Target="footer436.xml"/><Relationship Id="rId240" Type="http://schemas.openxmlformats.org/officeDocument/2006/relationships/footer" Target="footer162.xml"/><Relationship Id="rId478" Type="http://schemas.openxmlformats.org/officeDocument/2006/relationships/footer" Target="footer343.xml"/><Relationship Id="rId35" Type="http://schemas.openxmlformats.org/officeDocument/2006/relationships/footer" Target="footer19.xml"/><Relationship Id="rId77" Type="http://schemas.openxmlformats.org/officeDocument/2006/relationships/image" Target="media/image18.png"/><Relationship Id="rId100" Type="http://schemas.openxmlformats.org/officeDocument/2006/relationships/footer" Target="footer62.xml"/><Relationship Id="rId282" Type="http://schemas.openxmlformats.org/officeDocument/2006/relationships/footer" Target="footer197.xml"/><Relationship Id="rId338" Type="http://schemas.openxmlformats.org/officeDocument/2006/relationships/footer" Target="footer241.xml"/><Relationship Id="rId503" Type="http://schemas.openxmlformats.org/officeDocument/2006/relationships/footer" Target="footer368.xml"/><Relationship Id="rId545" Type="http://schemas.openxmlformats.org/officeDocument/2006/relationships/footer" Target="footer410.xml"/><Relationship Id="rId587" Type="http://schemas.openxmlformats.org/officeDocument/2006/relationships/hyperlink" Target="http://www.mongrelmedia.com/press/Terrors_Advocate/" TargetMode="External"/><Relationship Id="rId8" Type="http://schemas.openxmlformats.org/officeDocument/2006/relationships/image" Target="media/image2.png"/><Relationship Id="rId142" Type="http://schemas.openxmlformats.org/officeDocument/2006/relationships/hyperlink" Target="http://www.hartford-hwp.com/archives/61/191.html" TargetMode="External"/><Relationship Id="rId184" Type="http://schemas.openxmlformats.org/officeDocument/2006/relationships/hyperlink" Target="http://www.marxists.org/archive/marx/works/1867-c1/ch15.htm" TargetMode="External"/><Relationship Id="rId391" Type="http://schemas.openxmlformats.org/officeDocument/2006/relationships/footer" Target="footer279.xml"/><Relationship Id="rId405" Type="http://schemas.openxmlformats.org/officeDocument/2006/relationships/hyperlink" Target="http://soc.world-journal.net/18sept2008spywars2.html" TargetMode="External"/><Relationship Id="rId447" Type="http://schemas.openxmlformats.org/officeDocument/2006/relationships/image" Target="media/image72.png"/><Relationship Id="rId612" Type="http://schemas.openxmlformats.org/officeDocument/2006/relationships/hyperlink" Target="http://www/" TargetMode="External"/><Relationship Id="rId251" Type="http://schemas.openxmlformats.org/officeDocument/2006/relationships/footer" Target="footer173.xml"/><Relationship Id="rId489" Type="http://schemas.openxmlformats.org/officeDocument/2006/relationships/footer" Target="footer354.xml"/><Relationship Id="rId654" Type="http://schemas.openxmlformats.org/officeDocument/2006/relationships/hyperlink" Target="http://www.pmpress.org/" TargetMode="External"/><Relationship Id="rId46" Type="http://schemas.openxmlformats.org/officeDocument/2006/relationships/image" Target="media/image7.png"/><Relationship Id="rId293" Type="http://schemas.openxmlformats.org/officeDocument/2006/relationships/footer" Target="footer206.xml"/><Relationship Id="rId307" Type="http://schemas.openxmlformats.org/officeDocument/2006/relationships/image" Target="media/image49.png"/><Relationship Id="rId349" Type="http://schemas.openxmlformats.org/officeDocument/2006/relationships/footer" Target="footer252.xml"/><Relationship Id="rId514" Type="http://schemas.openxmlformats.org/officeDocument/2006/relationships/footer" Target="footer379.xml"/><Relationship Id="rId556" Type="http://schemas.openxmlformats.org/officeDocument/2006/relationships/footer" Target="footer416.xml"/><Relationship Id="rId88" Type="http://schemas.openxmlformats.org/officeDocument/2006/relationships/footer" Target="footer53.xml"/><Relationship Id="rId111" Type="http://schemas.openxmlformats.org/officeDocument/2006/relationships/footer" Target="footer68.xml"/><Relationship Id="rId153" Type="http://schemas.openxmlformats.org/officeDocument/2006/relationships/footer" Target="footer102.xml"/><Relationship Id="rId195" Type="http://schemas.openxmlformats.org/officeDocument/2006/relationships/footer" Target="footer133.xml"/><Relationship Id="rId209" Type="http://schemas.openxmlformats.org/officeDocument/2006/relationships/footer" Target="footer144.xml"/><Relationship Id="rId360" Type="http://schemas.openxmlformats.org/officeDocument/2006/relationships/footer" Target="footer262.xml"/><Relationship Id="rId416" Type="http://schemas.openxmlformats.org/officeDocument/2006/relationships/footer" Target="footer299.xml"/><Relationship Id="rId598" Type="http://schemas.openxmlformats.org/officeDocument/2006/relationships/footer" Target="footer420.xml"/><Relationship Id="rId220" Type="http://schemas.openxmlformats.org/officeDocument/2006/relationships/hyperlink" Target="http://www.rote-hilfe.de/publikationen/die_rote_hilfe_zeitung/2007/1/zwischen_raf_" TargetMode="External"/><Relationship Id="rId458" Type="http://schemas.openxmlformats.org/officeDocument/2006/relationships/image" Target="media/image76.png"/><Relationship Id="rId623" Type="http://schemas.openxmlformats.org/officeDocument/2006/relationships/hyperlink" Target="http://www.dradio.de/dlf/sendungen/" TargetMode="External"/><Relationship Id="rId665" Type="http://schemas.openxmlformats.org/officeDocument/2006/relationships/hyperlink" Target="http://www.pmpress.org/" TargetMode="External"/><Relationship Id="rId15" Type="http://schemas.openxmlformats.org/officeDocument/2006/relationships/hyperlink" Target="http://plakat.nadir.org/" TargetMode="External"/><Relationship Id="rId57" Type="http://schemas.openxmlformats.org/officeDocument/2006/relationships/footer" Target="footer28.xml"/><Relationship Id="rId262" Type="http://schemas.openxmlformats.org/officeDocument/2006/relationships/footer" Target="footer181.xml"/><Relationship Id="rId318" Type="http://schemas.openxmlformats.org/officeDocument/2006/relationships/footer" Target="footer225.xml"/><Relationship Id="rId525" Type="http://schemas.openxmlformats.org/officeDocument/2006/relationships/footer" Target="footer390.xml"/><Relationship Id="rId567" Type="http://schemas.openxmlformats.org/officeDocument/2006/relationships/hyperlink" Target="http://www.freilassung.de/div/texte/rz/zorn/Zorn50.htm" TargetMode="External"/><Relationship Id="rId99" Type="http://schemas.openxmlformats.org/officeDocument/2006/relationships/footer" Target="footer61.xml"/><Relationship Id="rId122" Type="http://schemas.openxmlformats.org/officeDocument/2006/relationships/footer" Target="footer76.xml"/><Relationship Id="rId164" Type="http://schemas.openxmlformats.org/officeDocument/2006/relationships/footer" Target="footer111.xml"/><Relationship Id="rId371" Type="http://schemas.openxmlformats.org/officeDocument/2006/relationships/footer" Target="footer266.xml"/><Relationship Id="rId427" Type="http://schemas.openxmlformats.org/officeDocument/2006/relationships/image" Target="media/image64.png"/><Relationship Id="rId469" Type="http://schemas.openxmlformats.org/officeDocument/2006/relationships/footer" Target="footer335.xml"/><Relationship Id="rId634" Type="http://schemas.openxmlformats.org/officeDocument/2006/relationships/footer" Target="footer427.xml"/><Relationship Id="rId676" Type="http://schemas.openxmlformats.org/officeDocument/2006/relationships/footer" Target="footer446.xml"/><Relationship Id="rId26" Type="http://schemas.openxmlformats.org/officeDocument/2006/relationships/footer" Target="footer11.xml"/><Relationship Id="rId231" Type="http://schemas.openxmlformats.org/officeDocument/2006/relationships/footer" Target="footer154.xml"/><Relationship Id="rId273" Type="http://schemas.openxmlformats.org/officeDocument/2006/relationships/footer" Target="footer190.xml"/><Relationship Id="rId329" Type="http://schemas.openxmlformats.org/officeDocument/2006/relationships/image" Target="media/image52.png"/><Relationship Id="rId480" Type="http://schemas.openxmlformats.org/officeDocument/2006/relationships/footer" Target="footer345.xml"/><Relationship Id="rId536" Type="http://schemas.openxmlformats.org/officeDocument/2006/relationships/footer" Target="footer401.xml"/><Relationship Id="rId68" Type="http://schemas.openxmlformats.org/officeDocument/2006/relationships/footer" Target="footer36.xml"/><Relationship Id="rId133" Type="http://schemas.openxmlformats.org/officeDocument/2006/relationships/footer" Target="footer87.xml"/><Relationship Id="rId175" Type="http://schemas.openxmlformats.org/officeDocument/2006/relationships/hyperlink" Target="http://nobelprize.org/nobel_prizes/literature/laureates/1976/bellow-lecture.html" TargetMode="External"/><Relationship Id="rId340" Type="http://schemas.openxmlformats.org/officeDocument/2006/relationships/footer" Target="footer243.xml"/><Relationship Id="rId578" Type="http://schemas.openxmlformats.org/officeDocument/2006/relationships/hyperlink" Target="http://www.gjbip.org/comm_teeth.htm" TargetMode="External"/><Relationship Id="rId200" Type="http://schemas.openxmlformats.org/officeDocument/2006/relationships/footer" Target="footer138.xml"/><Relationship Id="rId382" Type="http://schemas.openxmlformats.org/officeDocument/2006/relationships/footer" Target="footer272.xml"/><Relationship Id="rId438" Type="http://schemas.openxmlformats.org/officeDocument/2006/relationships/image" Target="media/image69.png"/><Relationship Id="rId603" Type="http://schemas.openxmlformats.org/officeDocument/2006/relationships/hyperlink" Target="http://www/" TargetMode="External"/><Relationship Id="rId645" Type="http://schemas.openxmlformats.org/officeDocument/2006/relationships/footer" Target="footer438.xml"/><Relationship Id="rId242" Type="http://schemas.openxmlformats.org/officeDocument/2006/relationships/footer" Target="footer164.xml"/><Relationship Id="rId284" Type="http://schemas.openxmlformats.org/officeDocument/2006/relationships/footer" Target="footer199.xml"/><Relationship Id="rId491" Type="http://schemas.openxmlformats.org/officeDocument/2006/relationships/footer" Target="footer356.xml"/><Relationship Id="rId505" Type="http://schemas.openxmlformats.org/officeDocument/2006/relationships/footer" Target="footer370.xml"/><Relationship Id="rId37" Type="http://schemas.openxmlformats.org/officeDocument/2006/relationships/footer" Target="footer21.xml"/><Relationship Id="rId79" Type="http://schemas.openxmlformats.org/officeDocument/2006/relationships/footer" Target="footer46.xml"/><Relationship Id="rId102" Type="http://schemas.openxmlformats.org/officeDocument/2006/relationships/image" Target="media/image22.png"/><Relationship Id="rId144" Type="http://schemas.openxmlformats.org/officeDocument/2006/relationships/footer" Target="footer95.xml"/><Relationship Id="rId547" Type="http://schemas.openxmlformats.org/officeDocument/2006/relationships/hyperlink" Target="http://www.labourhistory.net/raf/index.php" TargetMode="External"/><Relationship Id="rId589" Type="http://schemas.openxmlformats.org/officeDocument/2006/relationships/hyperlink" Target="http://www.heritage.org/Research/Europe/bg56.cfm" TargetMode="External"/><Relationship Id="rId90" Type="http://schemas.openxmlformats.org/officeDocument/2006/relationships/footer" Target="footer55.xml"/><Relationship Id="rId186" Type="http://schemas.openxmlformats.org/officeDocument/2006/relationships/footer" Target="footer125.xml"/><Relationship Id="rId351" Type="http://schemas.openxmlformats.org/officeDocument/2006/relationships/footer" Target="footer254.xml"/><Relationship Id="rId393" Type="http://schemas.openxmlformats.org/officeDocument/2006/relationships/footer" Target="footer281.xml"/><Relationship Id="rId407" Type="http://schemas.openxmlformats.org/officeDocument/2006/relationships/footer" Target="footer291.xml"/><Relationship Id="rId449" Type="http://schemas.openxmlformats.org/officeDocument/2006/relationships/footer" Target="footer320.xml"/><Relationship Id="rId614" Type="http://schemas.openxmlformats.org/officeDocument/2006/relationships/hyperlink" Target="http://www.abendblatt.de/daten/2006/03/03/539507.html" TargetMode="External"/><Relationship Id="rId656" Type="http://schemas.openxmlformats.org/officeDocument/2006/relationships/hyperlink" Target="mailto:info@pmpress.org" TargetMode="External"/><Relationship Id="rId211" Type="http://schemas.openxmlformats.org/officeDocument/2006/relationships/image" Target="media/image32.png"/><Relationship Id="rId253" Type="http://schemas.openxmlformats.org/officeDocument/2006/relationships/image" Target="media/image42.png"/><Relationship Id="rId295" Type="http://schemas.openxmlformats.org/officeDocument/2006/relationships/hyperlink" Target="http://labourhistory.net/raf/search.php?search=das%2Bin" TargetMode="External"/><Relationship Id="rId309" Type="http://schemas.openxmlformats.org/officeDocument/2006/relationships/footer" Target="footer217.xml"/><Relationship Id="rId460" Type="http://schemas.openxmlformats.org/officeDocument/2006/relationships/footer" Target="footer327.xml"/><Relationship Id="rId516" Type="http://schemas.openxmlformats.org/officeDocument/2006/relationships/footer" Target="footer381.xml"/><Relationship Id="rId48" Type="http://schemas.openxmlformats.org/officeDocument/2006/relationships/image" Target="media/image9.png"/><Relationship Id="rId113" Type="http://schemas.openxmlformats.org/officeDocument/2006/relationships/footer" Target="footer69.xml"/><Relationship Id="rId320" Type="http://schemas.openxmlformats.org/officeDocument/2006/relationships/footer" Target="footer227.xml"/><Relationship Id="rId558" Type="http://schemas.openxmlformats.org/officeDocument/2006/relationships/footer" Target="footer418.xml"/><Relationship Id="rId155" Type="http://schemas.openxmlformats.org/officeDocument/2006/relationships/footer" Target="footer104.xml"/><Relationship Id="rId197" Type="http://schemas.openxmlformats.org/officeDocument/2006/relationships/footer" Target="footer135.xml"/><Relationship Id="rId362" Type="http://schemas.openxmlformats.org/officeDocument/2006/relationships/image" Target="media/image55.png"/><Relationship Id="rId418" Type="http://schemas.openxmlformats.org/officeDocument/2006/relationships/footer" Target="footer301.xml"/><Relationship Id="rId625" Type="http://schemas.openxmlformats.org/officeDocument/2006/relationships/hyperlink" Target="http://www.time.com/time/magazine/" TargetMode="External"/><Relationship Id="rId222" Type="http://schemas.openxmlformats.org/officeDocument/2006/relationships/footer" Target="footer151.xml"/><Relationship Id="rId264" Type="http://schemas.openxmlformats.org/officeDocument/2006/relationships/footer" Target="footer183.xml"/><Relationship Id="rId471" Type="http://schemas.openxmlformats.org/officeDocument/2006/relationships/footer" Target="footer337.xml"/><Relationship Id="rId667" Type="http://schemas.openxmlformats.org/officeDocument/2006/relationships/image" Target="media/image88.png"/><Relationship Id="rId17" Type="http://schemas.openxmlformats.org/officeDocument/2006/relationships/footer" Target="footer4.xml"/><Relationship Id="rId59" Type="http://schemas.openxmlformats.org/officeDocument/2006/relationships/footer" Target="footer29.xml"/><Relationship Id="rId124" Type="http://schemas.openxmlformats.org/officeDocument/2006/relationships/footer" Target="footer78.xml"/><Relationship Id="rId527" Type="http://schemas.openxmlformats.org/officeDocument/2006/relationships/footer" Target="footer392.xml"/><Relationship Id="rId569" Type="http://schemas.openxmlformats.org/officeDocument/2006/relationships/hyperlink" Target="http://www.terrorism101.org/counter/Germany.html" TargetMode="External"/><Relationship Id="rId70" Type="http://schemas.openxmlformats.org/officeDocument/2006/relationships/footer" Target="footer38.xml"/><Relationship Id="rId166" Type="http://schemas.openxmlformats.org/officeDocument/2006/relationships/footer" Target="footer112.xml"/><Relationship Id="rId331" Type="http://schemas.openxmlformats.org/officeDocument/2006/relationships/footer" Target="footer234.xml"/><Relationship Id="rId373" Type="http://schemas.openxmlformats.org/officeDocument/2006/relationships/image" Target="media/image57.png"/><Relationship Id="rId429" Type="http://schemas.openxmlformats.org/officeDocument/2006/relationships/image" Target="media/image65.png"/><Relationship Id="rId580" Type="http://schemas.openxmlformats.org/officeDocument/2006/relationships/hyperlink" Target="http://www.lavocatdelaterreur.com/pdf/" TargetMode="External"/><Relationship Id="rId636" Type="http://schemas.openxmlformats.org/officeDocument/2006/relationships/footer" Target="footer429.xml"/><Relationship Id="rId1" Type="http://schemas.openxmlformats.org/officeDocument/2006/relationships/numbering" Target="numbering.xml"/><Relationship Id="rId233" Type="http://schemas.openxmlformats.org/officeDocument/2006/relationships/footer" Target="footer156.xml"/><Relationship Id="rId440" Type="http://schemas.openxmlformats.org/officeDocument/2006/relationships/footer" Target="footer317.xml"/><Relationship Id="rId678" Type="http://schemas.openxmlformats.org/officeDocument/2006/relationships/fontTable" Target="fontTable.xml"/><Relationship Id="rId28" Type="http://schemas.openxmlformats.org/officeDocument/2006/relationships/footer" Target="footer13.xml"/><Relationship Id="rId275" Type="http://schemas.openxmlformats.org/officeDocument/2006/relationships/footer" Target="footer192.xml"/><Relationship Id="rId300" Type="http://schemas.openxmlformats.org/officeDocument/2006/relationships/footer" Target="footer212.xml"/><Relationship Id="rId482" Type="http://schemas.openxmlformats.org/officeDocument/2006/relationships/footer" Target="footer347.xml"/><Relationship Id="rId538" Type="http://schemas.openxmlformats.org/officeDocument/2006/relationships/footer" Target="footer403.xml"/><Relationship Id="rId81" Type="http://schemas.openxmlformats.org/officeDocument/2006/relationships/footer" Target="footer48.xml"/><Relationship Id="rId135" Type="http://schemas.openxmlformats.org/officeDocument/2006/relationships/footer" Target="footer89.xml"/><Relationship Id="rId177" Type="http://schemas.openxmlformats.org/officeDocument/2006/relationships/hyperlink" Target="http://www.linksnet.de/" TargetMode="External"/><Relationship Id="rId342" Type="http://schemas.openxmlformats.org/officeDocument/2006/relationships/footer" Target="footer245.xml"/><Relationship Id="rId384" Type="http://schemas.openxmlformats.org/officeDocument/2006/relationships/image" Target="media/image61.png"/><Relationship Id="rId591" Type="http://schemas.openxmlformats.org/officeDocument/2006/relationships/hyperlink" Target="http://www.marxists.org/reference/archive/sartre/1974" TargetMode="External"/><Relationship Id="rId605" Type="http://schemas.openxmlformats.org/officeDocument/2006/relationships/hyperlink" Target="http://www.signandsight.com/features/434.html" TargetMode="External"/><Relationship Id="rId202" Type="http://schemas.openxmlformats.org/officeDocument/2006/relationships/footer" Target="footer140.xml"/><Relationship Id="rId244" Type="http://schemas.openxmlformats.org/officeDocument/2006/relationships/footer" Target="footer166.xml"/><Relationship Id="rId647" Type="http://schemas.openxmlformats.org/officeDocument/2006/relationships/image" Target="media/image80.png"/><Relationship Id="rId39" Type="http://schemas.openxmlformats.org/officeDocument/2006/relationships/image" Target="media/image5.png"/><Relationship Id="rId286" Type="http://schemas.openxmlformats.org/officeDocument/2006/relationships/footer" Target="footer200.xml"/><Relationship Id="rId451" Type="http://schemas.openxmlformats.org/officeDocument/2006/relationships/footer" Target="footer322.xml"/><Relationship Id="rId493" Type="http://schemas.openxmlformats.org/officeDocument/2006/relationships/footer" Target="footer358.xml"/><Relationship Id="rId507" Type="http://schemas.openxmlformats.org/officeDocument/2006/relationships/footer" Target="footer372.xml"/><Relationship Id="rId549" Type="http://schemas.openxmlformats.org/officeDocument/2006/relationships/footer" Target="footer411.xml"/><Relationship Id="rId50" Type="http://schemas.openxmlformats.org/officeDocument/2006/relationships/image" Target="media/image11.png"/><Relationship Id="rId104" Type="http://schemas.openxmlformats.org/officeDocument/2006/relationships/footer" Target="footer64.xml"/><Relationship Id="rId146" Type="http://schemas.openxmlformats.org/officeDocument/2006/relationships/hyperlink" Target="http://www.germanguerilla.com/red-army-faction/" TargetMode="External"/><Relationship Id="rId188" Type="http://schemas.openxmlformats.org/officeDocument/2006/relationships/footer" Target="footer127.xml"/><Relationship Id="rId311" Type="http://schemas.openxmlformats.org/officeDocument/2006/relationships/footer" Target="footer219.xml"/><Relationship Id="rId353" Type="http://schemas.openxmlformats.org/officeDocument/2006/relationships/footer" Target="footer256.xml"/><Relationship Id="rId395" Type="http://schemas.openxmlformats.org/officeDocument/2006/relationships/footer" Target="footer283.xml"/><Relationship Id="rId409" Type="http://schemas.openxmlformats.org/officeDocument/2006/relationships/footer" Target="footer292.xml"/><Relationship Id="rId560" Type="http://schemas.openxmlformats.org/officeDocument/2006/relationships/hyperlink" Target="http://www.nadir.org/nadir/archiv/" TargetMode="External"/><Relationship Id="rId92" Type="http://schemas.openxmlformats.org/officeDocument/2006/relationships/footer" Target="footer57.xml"/><Relationship Id="rId213" Type="http://schemas.openxmlformats.org/officeDocument/2006/relationships/footer" Target="footer147.xml"/><Relationship Id="rId420" Type="http://schemas.openxmlformats.org/officeDocument/2006/relationships/footer" Target="footer303.xml"/><Relationship Id="rId616" Type="http://schemas.openxmlformats.org/officeDocument/2006/relationships/hyperlink" Target="http://www.itsabouttimebpp.com/News_Media/pdf/" TargetMode="External"/><Relationship Id="rId658" Type="http://schemas.openxmlformats.org/officeDocument/2006/relationships/image" Target="media/image83.png"/><Relationship Id="rId255" Type="http://schemas.openxmlformats.org/officeDocument/2006/relationships/footer" Target="footer174.xml"/><Relationship Id="rId297" Type="http://schemas.openxmlformats.org/officeDocument/2006/relationships/footer" Target="footer209.xml"/><Relationship Id="rId462" Type="http://schemas.openxmlformats.org/officeDocument/2006/relationships/image" Target="media/image77.png"/><Relationship Id="rId518" Type="http://schemas.openxmlformats.org/officeDocument/2006/relationships/footer" Target="footer383.xml"/><Relationship Id="rId115" Type="http://schemas.openxmlformats.org/officeDocument/2006/relationships/image" Target="media/image25.png"/><Relationship Id="rId157" Type="http://schemas.openxmlformats.org/officeDocument/2006/relationships/footer" Target="footer105.xml"/><Relationship Id="rId322" Type="http://schemas.openxmlformats.org/officeDocument/2006/relationships/footer" Target="footer229.xml"/><Relationship Id="rId364" Type="http://schemas.openxmlformats.org/officeDocument/2006/relationships/hyperlink" Target="http://www.freilassung.de/div/texte/rz/zorn/Zorn12.htm" TargetMode="External"/><Relationship Id="rId61" Type="http://schemas.openxmlformats.org/officeDocument/2006/relationships/footer" Target="footer31.xml"/><Relationship Id="rId199" Type="http://schemas.openxmlformats.org/officeDocument/2006/relationships/footer" Target="footer137.xml"/><Relationship Id="rId571" Type="http://schemas.openxmlformats.org/officeDocument/2006/relationships/hyperlink" Target="http://www.thepeoplesvoice.org/cgi-bin/" TargetMode="External"/><Relationship Id="rId627" Type="http://schemas.openxmlformats.org/officeDocument/2006/relationships/hyperlink" Target="http://www.time.com/time/magazine/article/0%2C9171%2C910445%2C00" TargetMode="External"/><Relationship Id="rId669" Type="http://schemas.openxmlformats.org/officeDocument/2006/relationships/hyperlink" Target="mailto:iNfO@KERSPLEBEDEB.COM" TargetMode="External"/><Relationship Id="rId19" Type="http://schemas.openxmlformats.org/officeDocument/2006/relationships/hyperlink" Target="http://www.nadir.org/nadir/archiv/PolitischeStroemungen/Stadtguerilla%2BRAF/" TargetMode="External"/><Relationship Id="rId224" Type="http://schemas.openxmlformats.org/officeDocument/2006/relationships/image" Target="media/image36.png"/><Relationship Id="rId266" Type="http://schemas.openxmlformats.org/officeDocument/2006/relationships/footer" Target="footer185.xml"/><Relationship Id="rId431" Type="http://schemas.openxmlformats.org/officeDocument/2006/relationships/footer" Target="footer312.xml"/><Relationship Id="rId473" Type="http://schemas.openxmlformats.org/officeDocument/2006/relationships/footer" Target="footer339.xml"/><Relationship Id="rId529" Type="http://schemas.openxmlformats.org/officeDocument/2006/relationships/footer" Target="footer394.xml"/><Relationship Id="rId30" Type="http://schemas.openxmlformats.org/officeDocument/2006/relationships/footer" Target="footer15.xml"/><Relationship Id="rId126" Type="http://schemas.openxmlformats.org/officeDocument/2006/relationships/footer" Target="footer80.xml"/><Relationship Id="rId168" Type="http://schemas.openxmlformats.org/officeDocument/2006/relationships/footer" Target="footer114.xml"/><Relationship Id="rId333" Type="http://schemas.openxmlformats.org/officeDocument/2006/relationships/footer" Target="footer236.xml"/><Relationship Id="rId540" Type="http://schemas.openxmlformats.org/officeDocument/2006/relationships/footer" Target="footer405.xml"/><Relationship Id="rId72" Type="http://schemas.openxmlformats.org/officeDocument/2006/relationships/footer" Target="footer40.xml"/><Relationship Id="rId375" Type="http://schemas.openxmlformats.org/officeDocument/2006/relationships/image" Target="media/image59.png"/><Relationship Id="rId582" Type="http://schemas.openxmlformats.org/officeDocument/2006/relationships/hyperlink" Target="http://www.litrix.de/buecher/sachbuecher/jahr/2004/" TargetMode="External"/><Relationship Id="rId638" Type="http://schemas.openxmlformats.org/officeDocument/2006/relationships/footer" Target="footer431.xml"/><Relationship Id="rId3" Type="http://schemas.openxmlformats.org/officeDocument/2006/relationships/settings" Target="settings.xml"/><Relationship Id="rId235" Type="http://schemas.openxmlformats.org/officeDocument/2006/relationships/image" Target="media/image40.png"/><Relationship Id="rId277" Type="http://schemas.openxmlformats.org/officeDocument/2006/relationships/footer" Target="footer194.xml"/><Relationship Id="rId400" Type="http://schemas.openxmlformats.org/officeDocument/2006/relationships/image" Target="media/image62.png"/><Relationship Id="rId442" Type="http://schemas.openxmlformats.org/officeDocument/2006/relationships/footer" Target="footer319.xml"/><Relationship Id="rId484" Type="http://schemas.openxmlformats.org/officeDocument/2006/relationships/footer" Target="footer349.xml"/><Relationship Id="rId137" Type="http://schemas.openxmlformats.org/officeDocument/2006/relationships/image" Target="media/image27.png"/><Relationship Id="rId302" Type="http://schemas.openxmlformats.org/officeDocument/2006/relationships/hyperlink" Target="http://www.freilassung.de/div/texte/kronzeuge/" TargetMode="External"/><Relationship Id="rId344" Type="http://schemas.openxmlformats.org/officeDocument/2006/relationships/footer" Target="footer247.xml"/><Relationship Id="rId41" Type="http://schemas.openxmlformats.org/officeDocument/2006/relationships/image" Target="media/image6.png"/><Relationship Id="rId83" Type="http://schemas.openxmlformats.org/officeDocument/2006/relationships/footer" Target="footer50.xml"/><Relationship Id="rId179" Type="http://schemas.openxmlformats.org/officeDocument/2006/relationships/footer" Target="footer119.xml"/><Relationship Id="rId386" Type="http://schemas.openxmlformats.org/officeDocument/2006/relationships/footer" Target="footer275.xml"/><Relationship Id="rId551" Type="http://schemas.openxmlformats.org/officeDocument/2006/relationships/footer" Target="footer413.xml"/><Relationship Id="rId593" Type="http://schemas.openxmlformats.org/officeDocument/2006/relationships/hyperlink" Target="http://www36.websamba.com/Soligruppe/data/" TargetMode="External"/><Relationship Id="rId607" Type="http://schemas.openxmlformats.org/officeDocument/2006/relationships/footer" Target="footer422.xml"/><Relationship Id="rId649" Type="http://schemas.openxmlformats.org/officeDocument/2006/relationships/hyperlink" Target="http://www.kersplebedeb.com/" TargetMode="External"/><Relationship Id="rId190" Type="http://schemas.openxmlformats.org/officeDocument/2006/relationships/footer" Target="footer129.xml"/><Relationship Id="rId204" Type="http://schemas.openxmlformats.org/officeDocument/2006/relationships/hyperlink" Target="http://www.nadir.org/nadir/archiv/" TargetMode="External"/><Relationship Id="rId246" Type="http://schemas.openxmlformats.org/officeDocument/2006/relationships/footer" Target="footer168.xml"/><Relationship Id="rId288" Type="http://schemas.openxmlformats.org/officeDocument/2006/relationships/footer" Target="footer202.xml"/><Relationship Id="rId411" Type="http://schemas.openxmlformats.org/officeDocument/2006/relationships/footer" Target="footer294.xml"/><Relationship Id="rId453" Type="http://schemas.openxmlformats.org/officeDocument/2006/relationships/image" Target="media/image73.png"/><Relationship Id="rId509" Type="http://schemas.openxmlformats.org/officeDocument/2006/relationships/footer" Target="footer374.xml"/><Relationship Id="rId660" Type="http://schemas.openxmlformats.org/officeDocument/2006/relationships/image" Target="media/image85.png"/><Relationship Id="rId106" Type="http://schemas.openxmlformats.org/officeDocument/2006/relationships/hyperlink" Target="http://www.freilassung.de/div/texte/kronzeuge/heinhan1.htm" TargetMode="External"/><Relationship Id="rId313" Type="http://schemas.openxmlformats.org/officeDocument/2006/relationships/footer" Target="footer221.xml"/><Relationship Id="rId495" Type="http://schemas.openxmlformats.org/officeDocument/2006/relationships/footer" Target="footer360.xml"/><Relationship Id="rId10" Type="http://schemas.openxmlformats.org/officeDocument/2006/relationships/hyperlink" Target="http://www.germanguerilla.com/" TargetMode="External"/><Relationship Id="rId52" Type="http://schemas.openxmlformats.org/officeDocument/2006/relationships/image" Target="media/image13.png"/><Relationship Id="rId94" Type="http://schemas.openxmlformats.org/officeDocument/2006/relationships/image" Target="media/image19.png"/><Relationship Id="rId148" Type="http://schemas.openxmlformats.org/officeDocument/2006/relationships/footer" Target="footer97.xml"/><Relationship Id="rId355" Type="http://schemas.openxmlformats.org/officeDocument/2006/relationships/footer" Target="footer258.xml"/><Relationship Id="rId397" Type="http://schemas.openxmlformats.org/officeDocument/2006/relationships/footer" Target="footer285.xml"/><Relationship Id="rId520" Type="http://schemas.openxmlformats.org/officeDocument/2006/relationships/footer" Target="footer385.xml"/><Relationship Id="rId562" Type="http://schemas.openxmlformats.org/officeDocument/2006/relationships/hyperlink" Target="http://www/" TargetMode="External"/><Relationship Id="rId618" Type="http://schemas.openxmlformats.org/officeDocument/2006/relationships/hyperlink" Target="http://www.guardian.co.uk/news/2004/" TargetMode="External"/><Relationship Id="rId215" Type="http://schemas.openxmlformats.org/officeDocument/2006/relationships/image" Target="media/image33.png"/><Relationship Id="rId257" Type="http://schemas.openxmlformats.org/officeDocument/2006/relationships/footer" Target="footer176.xml"/><Relationship Id="rId422" Type="http://schemas.openxmlformats.org/officeDocument/2006/relationships/footer" Target="footer305.xml"/><Relationship Id="rId464" Type="http://schemas.openxmlformats.org/officeDocument/2006/relationships/footer" Target="footer330.xml"/><Relationship Id="rId299" Type="http://schemas.openxmlformats.org/officeDocument/2006/relationships/footer" Target="footer211.xml"/><Relationship Id="rId63" Type="http://schemas.openxmlformats.org/officeDocument/2006/relationships/hyperlink" Target="http://www.bewegung.in/mate_nichtaufloesung.html" TargetMode="External"/><Relationship Id="rId159" Type="http://schemas.openxmlformats.org/officeDocument/2006/relationships/footer" Target="footer107.xml"/><Relationship Id="rId366" Type="http://schemas.openxmlformats.org/officeDocument/2006/relationships/hyperlink" Target="http://www.freilassung.de/div/texte/" TargetMode="External"/><Relationship Id="rId573" Type="http://schemas.openxmlformats.org/officeDocument/2006/relationships/hyperlink" Target="http://www.etext.org/Politics/Autonome.Forum/Guerrilla/" TargetMode="External"/><Relationship Id="rId226" Type="http://schemas.openxmlformats.org/officeDocument/2006/relationships/image" Target="media/image38.png"/><Relationship Id="rId433" Type="http://schemas.openxmlformats.org/officeDocument/2006/relationships/image" Target="media/image66.png"/><Relationship Id="rId640" Type="http://schemas.openxmlformats.org/officeDocument/2006/relationships/footer" Target="footer433.xml"/><Relationship Id="rId74" Type="http://schemas.openxmlformats.org/officeDocument/2006/relationships/footer" Target="footer42.xml"/><Relationship Id="rId377" Type="http://schemas.openxmlformats.org/officeDocument/2006/relationships/image" Target="media/image60.png"/><Relationship Id="rId500" Type="http://schemas.openxmlformats.org/officeDocument/2006/relationships/footer" Target="footer365.xml"/><Relationship Id="rId584" Type="http://schemas.openxmlformats.org/officeDocument/2006/relationships/hyperlink" Target="http://www.marxists.org/archive/marighella-" TargetMode="External"/><Relationship Id="rId5" Type="http://schemas.openxmlformats.org/officeDocument/2006/relationships/footnotes" Target="footnotes.xml"/><Relationship Id="rId237" Type="http://schemas.openxmlformats.org/officeDocument/2006/relationships/footer" Target="footer159.xml"/><Relationship Id="rId444" Type="http://schemas.openxmlformats.org/officeDocument/2006/relationships/hyperlink" Target="http://www.heritage.org/Research/Europe/bg56.cfm" TargetMode="External"/><Relationship Id="rId651" Type="http://schemas.openxmlformats.org/officeDocument/2006/relationships/image" Target="media/image81.png"/><Relationship Id="rId290" Type="http://schemas.openxmlformats.org/officeDocument/2006/relationships/footer" Target="footer204.xml"/><Relationship Id="rId304" Type="http://schemas.openxmlformats.org/officeDocument/2006/relationships/image" Target="media/image48.png"/><Relationship Id="rId388" Type="http://schemas.openxmlformats.org/officeDocument/2006/relationships/footer" Target="footer276.xml"/><Relationship Id="rId511" Type="http://schemas.openxmlformats.org/officeDocument/2006/relationships/footer" Target="footer376.xml"/><Relationship Id="rId609" Type="http://schemas.openxmlformats.org/officeDocument/2006/relationships/hyperlink" Target="http://www.werner-mauss.com/index1339.html" TargetMode="External"/><Relationship Id="rId85" Type="http://schemas.openxmlformats.org/officeDocument/2006/relationships/footer" Target="footer52.xml"/><Relationship Id="rId150" Type="http://schemas.openxmlformats.org/officeDocument/2006/relationships/footer" Target="footer99.xml"/><Relationship Id="rId595" Type="http://schemas.openxmlformats.org/officeDocument/2006/relationships/hyperlink" Target="http://www.zeithistorische-forschungen.de/" TargetMode="External"/><Relationship Id="rId248" Type="http://schemas.openxmlformats.org/officeDocument/2006/relationships/footer" Target="footer170.xml"/><Relationship Id="rId455" Type="http://schemas.openxmlformats.org/officeDocument/2006/relationships/image" Target="media/image75.png"/><Relationship Id="rId662" Type="http://schemas.openxmlformats.org/officeDocument/2006/relationships/footer" Target="footer443.xml"/><Relationship Id="rId12" Type="http://schemas.openxmlformats.org/officeDocument/2006/relationships/hyperlink" Target="http://www.pmpress.org/" TargetMode="External"/><Relationship Id="rId108" Type="http://schemas.openxmlformats.org/officeDocument/2006/relationships/footer" Target="footer66.xml"/><Relationship Id="rId315" Type="http://schemas.openxmlformats.org/officeDocument/2006/relationships/footer" Target="footer222.xml"/><Relationship Id="rId522" Type="http://schemas.openxmlformats.org/officeDocument/2006/relationships/footer" Target="footer387.xml"/><Relationship Id="rId96" Type="http://schemas.openxmlformats.org/officeDocument/2006/relationships/footer" Target="footer59.xml"/><Relationship Id="rId161" Type="http://schemas.openxmlformats.org/officeDocument/2006/relationships/footer" Target="footer109.xml"/><Relationship Id="rId399" Type="http://schemas.openxmlformats.org/officeDocument/2006/relationships/footer" Target="footer287.xml"/><Relationship Id="rId259" Type="http://schemas.openxmlformats.org/officeDocument/2006/relationships/footer" Target="footer178.xml"/><Relationship Id="rId466" Type="http://schemas.openxmlformats.org/officeDocument/2006/relationships/footer" Target="footer332.xml"/><Relationship Id="rId673" Type="http://schemas.openxmlformats.org/officeDocument/2006/relationships/image" Target="media/image91.png"/><Relationship Id="rId23" Type="http://schemas.openxmlformats.org/officeDocument/2006/relationships/footer" Target="footer8.xml"/><Relationship Id="rId119" Type="http://schemas.openxmlformats.org/officeDocument/2006/relationships/footer" Target="footer73.xml"/><Relationship Id="rId326" Type="http://schemas.openxmlformats.org/officeDocument/2006/relationships/footer" Target="footer233.xml"/><Relationship Id="rId533" Type="http://schemas.openxmlformats.org/officeDocument/2006/relationships/footer" Target="footer398.xml"/><Relationship Id="rId172" Type="http://schemas.openxmlformats.org/officeDocument/2006/relationships/footer" Target="footer116.xml"/><Relationship Id="rId477" Type="http://schemas.openxmlformats.org/officeDocument/2006/relationships/footer" Target="footer342.xml"/><Relationship Id="rId600" Type="http://schemas.openxmlformats.org/officeDocument/2006/relationships/hyperlink" Target="http://wissen.spiegel.de/" TargetMode="External"/><Relationship Id="rId337" Type="http://schemas.openxmlformats.org/officeDocument/2006/relationships/footer" Target="footer240.xml"/><Relationship Id="rId34" Type="http://schemas.openxmlformats.org/officeDocument/2006/relationships/image" Target="media/image4.png"/><Relationship Id="rId544" Type="http://schemas.openxmlformats.org/officeDocument/2006/relationships/footer" Target="footer409.xml"/><Relationship Id="rId183" Type="http://schemas.openxmlformats.org/officeDocument/2006/relationships/footer" Target="footer123.xml"/><Relationship Id="rId390" Type="http://schemas.openxmlformats.org/officeDocument/2006/relationships/footer" Target="footer278.xml"/><Relationship Id="rId404" Type="http://schemas.openxmlformats.org/officeDocument/2006/relationships/hyperlink" Target="http://www.lavocatdelaterreur.com/pdf/Im%20Schatten%20des%20Schakals.pdf" TargetMode="External"/><Relationship Id="rId611" Type="http://schemas.openxmlformats.org/officeDocument/2006/relationships/hyperlink" Target="http://www.blythe.org/Intelligence/readme/50Maus" TargetMode="External"/><Relationship Id="rId250" Type="http://schemas.openxmlformats.org/officeDocument/2006/relationships/footer" Target="footer172.xml"/><Relationship Id="rId488" Type="http://schemas.openxmlformats.org/officeDocument/2006/relationships/footer" Target="footer353.xml"/><Relationship Id="rId45" Type="http://schemas.openxmlformats.org/officeDocument/2006/relationships/footer" Target="footer26.xml"/><Relationship Id="rId110" Type="http://schemas.openxmlformats.org/officeDocument/2006/relationships/footer" Target="footer67.xml"/><Relationship Id="rId348" Type="http://schemas.openxmlformats.org/officeDocument/2006/relationships/footer" Target="footer251.xml"/><Relationship Id="rId555" Type="http://schemas.openxmlformats.org/officeDocument/2006/relationships/footer" Target="footer415.xml"/><Relationship Id="rId194" Type="http://schemas.openxmlformats.org/officeDocument/2006/relationships/footer" Target="footer132.xml"/><Relationship Id="rId208" Type="http://schemas.openxmlformats.org/officeDocument/2006/relationships/hyperlink" Target="http://www.literaturhaus.at/autoren/F/fried/" TargetMode="External"/><Relationship Id="rId415" Type="http://schemas.openxmlformats.org/officeDocument/2006/relationships/footer" Target="footer298.xml"/><Relationship Id="rId622" Type="http://schemas.openxmlformats.org/officeDocument/2006/relationships/hyperlink" Target="http://www.spiegel.de/" TargetMode="External"/><Relationship Id="rId261" Type="http://schemas.openxmlformats.org/officeDocument/2006/relationships/footer" Target="footer180.xml"/><Relationship Id="rId499" Type="http://schemas.openxmlformats.org/officeDocument/2006/relationships/footer" Target="footer364.xml"/><Relationship Id="rId56" Type="http://schemas.openxmlformats.org/officeDocument/2006/relationships/footer" Target="footer27.xml"/><Relationship Id="rId359" Type="http://schemas.openxmlformats.org/officeDocument/2006/relationships/image" Target="media/image54.png"/><Relationship Id="rId566" Type="http://schemas.openxmlformats.org/officeDocument/2006/relationships/hyperlink" Target="http://www.freilassung.de/" TargetMode="External"/><Relationship Id="rId121" Type="http://schemas.openxmlformats.org/officeDocument/2006/relationships/footer" Target="footer75.xml"/><Relationship Id="rId219" Type="http://schemas.openxmlformats.org/officeDocument/2006/relationships/image" Target="media/image34.png"/><Relationship Id="rId426" Type="http://schemas.openxmlformats.org/officeDocument/2006/relationships/footer" Target="footer309.xml"/><Relationship Id="rId633" Type="http://schemas.openxmlformats.org/officeDocument/2006/relationships/footer" Target="footer426.xml"/><Relationship Id="rId67" Type="http://schemas.openxmlformats.org/officeDocument/2006/relationships/footer" Target="footer35.xml"/><Relationship Id="rId272" Type="http://schemas.openxmlformats.org/officeDocument/2006/relationships/footer" Target="footer189.xml"/><Relationship Id="rId577" Type="http://schemas.openxmlformats.org/officeDocument/2006/relationships/hyperlink" Target="http://www.fau.org/artikel/art_040308-182546" TargetMode="External"/><Relationship Id="rId132" Type="http://schemas.openxmlformats.org/officeDocument/2006/relationships/footer" Target="footer86.xml"/><Relationship Id="rId437" Type="http://schemas.openxmlformats.org/officeDocument/2006/relationships/image" Target="media/image68.png"/><Relationship Id="rId644" Type="http://schemas.openxmlformats.org/officeDocument/2006/relationships/footer" Target="footer437.xml"/><Relationship Id="rId283" Type="http://schemas.openxmlformats.org/officeDocument/2006/relationships/footer" Target="footer198.xml"/><Relationship Id="rId490" Type="http://schemas.openxmlformats.org/officeDocument/2006/relationships/footer" Target="footer355.xml"/><Relationship Id="rId504" Type="http://schemas.openxmlformats.org/officeDocument/2006/relationships/footer" Target="footer369.xml"/><Relationship Id="rId78" Type="http://schemas.openxmlformats.org/officeDocument/2006/relationships/footer" Target="footer45.xml"/><Relationship Id="rId143" Type="http://schemas.openxmlformats.org/officeDocument/2006/relationships/image" Target="media/image28.png"/><Relationship Id="rId350" Type="http://schemas.openxmlformats.org/officeDocument/2006/relationships/footer" Target="footer253.xml"/><Relationship Id="rId588" Type="http://schemas.openxmlformats.org/officeDocument/2006/relationships/hyperlink" Target="http://nobelprize/" TargetMode="External"/><Relationship Id="rId9" Type="http://schemas.openxmlformats.org/officeDocument/2006/relationships/image" Target="media/image3.png"/><Relationship Id="rId210" Type="http://schemas.openxmlformats.org/officeDocument/2006/relationships/footer" Target="footer145.xml"/><Relationship Id="rId448" Type="http://schemas.openxmlformats.org/officeDocument/2006/relationships/hyperlink" Target="http://www.nadir.org/nadir/periodika/angehoerigen_info/ai-168.html" TargetMode="External"/><Relationship Id="rId655" Type="http://schemas.openxmlformats.org/officeDocument/2006/relationships/footer" Target="footer441.xml"/><Relationship Id="rId294" Type="http://schemas.openxmlformats.org/officeDocument/2006/relationships/footer" Target="footer207.xml"/><Relationship Id="rId308" Type="http://schemas.openxmlformats.org/officeDocument/2006/relationships/footer" Target="footer216.xml"/><Relationship Id="rId515" Type="http://schemas.openxmlformats.org/officeDocument/2006/relationships/footer" Target="footer380.xml"/><Relationship Id="rId89" Type="http://schemas.openxmlformats.org/officeDocument/2006/relationships/footer" Target="footer54.xml"/><Relationship Id="rId154" Type="http://schemas.openxmlformats.org/officeDocument/2006/relationships/footer" Target="footer103.xml"/><Relationship Id="rId361" Type="http://schemas.openxmlformats.org/officeDocument/2006/relationships/footer" Target="footer263.xml"/><Relationship Id="rId599" Type="http://schemas.openxmlformats.org/officeDocument/2006/relationships/hyperlink" Target="http://query.nytimes.com/gst/fullpage.html?res=9C00EE" TargetMode="External"/><Relationship Id="rId459" Type="http://schemas.openxmlformats.org/officeDocument/2006/relationships/footer" Target="footer326.xml"/><Relationship Id="rId666" Type="http://schemas.openxmlformats.org/officeDocument/2006/relationships/footer" Target="footer444.xml"/><Relationship Id="rId16" Type="http://schemas.openxmlformats.org/officeDocument/2006/relationships/footer" Target="footer3.xml"/><Relationship Id="rId221" Type="http://schemas.openxmlformats.org/officeDocument/2006/relationships/footer" Target="footer150.xml"/><Relationship Id="rId319" Type="http://schemas.openxmlformats.org/officeDocument/2006/relationships/footer" Target="footer226.xml"/><Relationship Id="rId526" Type="http://schemas.openxmlformats.org/officeDocument/2006/relationships/footer" Target="footer391.xml"/><Relationship Id="rId165" Type="http://schemas.openxmlformats.org/officeDocument/2006/relationships/hyperlink" Target="http://www/" TargetMode="External"/><Relationship Id="rId372" Type="http://schemas.openxmlformats.org/officeDocument/2006/relationships/footer" Target="footer267.xml"/><Relationship Id="rId677" Type="http://schemas.openxmlformats.org/officeDocument/2006/relationships/footer" Target="footer447.xml"/><Relationship Id="rId232" Type="http://schemas.openxmlformats.org/officeDocument/2006/relationships/footer" Target="footer155.xml"/><Relationship Id="rId27" Type="http://schemas.openxmlformats.org/officeDocument/2006/relationships/footer" Target="footer12.xml"/><Relationship Id="rId537" Type="http://schemas.openxmlformats.org/officeDocument/2006/relationships/footer" Target="footer402.xml"/><Relationship Id="rId80" Type="http://schemas.openxmlformats.org/officeDocument/2006/relationships/footer" Target="footer47.xml"/><Relationship Id="rId176" Type="http://schemas.openxmlformats.org/officeDocument/2006/relationships/hyperlink" Target="http://www.mao-projekt.de/INT/NA/USA/USA_" TargetMode="External"/><Relationship Id="rId383" Type="http://schemas.openxmlformats.org/officeDocument/2006/relationships/footer" Target="footer273.xml"/><Relationship Id="rId590" Type="http://schemas.openxmlformats.org/officeDocument/2006/relationships/hyperlink" Target="http://www.bewegung.in/mate_nichtaufloesung.html" TargetMode="External"/><Relationship Id="rId604" Type="http://schemas.openxmlformats.org/officeDocument/2006/relationships/hyperlink" Target="http://www.nrhz.de/flyer/" TargetMode="External"/><Relationship Id="rId243" Type="http://schemas.openxmlformats.org/officeDocument/2006/relationships/footer" Target="footer165.xml"/><Relationship Id="rId450" Type="http://schemas.openxmlformats.org/officeDocument/2006/relationships/footer" Target="footer3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6099</TotalTime>
  <Pages>843</Pages>
  <Words>231054</Words>
  <Characters>1317011</Characters>
  <Application>Microsoft Office Word</Application>
  <DocSecurity>0</DocSecurity>
  <Lines>10975</Lines>
  <Paragraphs>3089</Paragraphs>
  <ScaleCrop>false</ScaleCrop>
  <Company/>
  <LinksUpToDate>false</LinksUpToDate>
  <CharactersWithSpaces>1544976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Red Army Faction, A Documentary History, Volume I: Projectiles for the People</dc:title>
  <dc:creator>J. Smith and Andre Moncourt</dc:creator>
  <cp:lastModifiedBy>Administrator</cp:lastModifiedBy>
  <cp:revision>168</cp:revision>
  <dcterms:created xsi:type="dcterms:W3CDTF">2020-10-04T14:38:00Z</dcterms:created>
  <dcterms:modified xsi:type="dcterms:W3CDTF">2023-04-10T16:26:00Z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2009-03-26T00:00:00Z</vt:filetime>
  </property>
  <property fmtid="{D5CDD505-2E9C-101B-9397-08002B2CF9AE}" pid="3" name="Creator">
    <vt:lpwstr>Adobe InDesign CS3 (5.0.3)</vt:lpwstr>
  </property>
  <property fmtid="{D5CDD505-2E9C-101B-9397-08002B2CF9AE}" pid="4" name="LastSaved">
    <vt:filetime>2020-10-04T00:00:00Z</vt:filetime>
  </property>
</Properties>
</file>